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8A77D4" w14:textId="77777777" w:rsidR="00AB3647" w:rsidRDefault="00000000" w:rsidP="007923E9">
      <w:pPr>
        <w:spacing w:before="2400" w:after="600" w:line="276" w:lineRule="auto"/>
        <w:jc w:val="center"/>
      </w:pPr>
      <w:r>
        <w:rPr>
          <w:sz w:val="30"/>
          <w:szCs w:val="30"/>
          <w:rtl/>
        </w:rPr>
        <w:t xml:space="preserve">נתן </w:t>
      </w:r>
      <w:proofErr w:type="spellStart"/>
      <w:r>
        <w:rPr>
          <w:sz w:val="30"/>
          <w:szCs w:val="30"/>
          <w:rtl/>
        </w:rPr>
        <w:t>קמינצקי</w:t>
      </w:r>
      <w:proofErr w:type="spellEnd"/>
    </w:p>
    <w:p w14:paraId="3823A7CE" w14:textId="77777777" w:rsidR="00AB3647" w:rsidRDefault="00000000" w:rsidP="007923E9">
      <w:pPr>
        <w:spacing w:after="400" w:line="276" w:lineRule="auto"/>
        <w:jc w:val="center"/>
      </w:pPr>
      <w:r>
        <w:rPr>
          <w:b/>
          <w:bCs/>
          <w:sz w:val="56"/>
          <w:szCs w:val="56"/>
          <w:rtl/>
        </w:rPr>
        <w:t>גידולו של גדול</w:t>
      </w:r>
    </w:p>
    <w:p w14:paraId="4AE94E9F" w14:textId="77777777" w:rsidR="00AB3647" w:rsidRDefault="00000000" w:rsidP="007923E9">
      <w:pPr>
        <w:spacing w:after="300" w:line="276" w:lineRule="auto"/>
        <w:jc w:val="center"/>
      </w:pPr>
      <w:r>
        <w:rPr>
          <w:sz w:val="30"/>
          <w:szCs w:val="30"/>
          <w:rtl/>
        </w:rPr>
        <w:t>עיון בפרקי חייהם של גדולי תורה</w:t>
      </w:r>
    </w:p>
    <w:p w14:paraId="737A0552" w14:textId="77777777" w:rsidR="00AB3647" w:rsidRDefault="00000000" w:rsidP="007923E9">
      <w:pPr>
        <w:spacing w:after="300" w:line="276" w:lineRule="auto"/>
        <w:jc w:val="center"/>
      </w:pPr>
      <w:r>
        <w:rPr>
          <w:sz w:val="30"/>
          <w:szCs w:val="30"/>
          <w:rtl/>
        </w:rPr>
        <w:t>כרך א׳</w:t>
      </w:r>
    </w:p>
    <w:p w14:paraId="2B2B19A5" w14:textId="77777777" w:rsidR="00AB3647" w:rsidRDefault="00000000" w:rsidP="007923E9">
      <w:pPr>
        <w:spacing w:line="276" w:lineRule="auto"/>
      </w:pPr>
      <w:r>
        <w:br w:type="page"/>
      </w:r>
    </w:p>
    <w:p w14:paraId="2F839659" w14:textId="77777777" w:rsidR="00AB3647" w:rsidRDefault="00000000" w:rsidP="007923E9">
      <w:pPr>
        <w:spacing w:before="3600" w:after="120" w:line="276" w:lineRule="auto"/>
        <w:jc w:val="center"/>
      </w:pPr>
      <w:proofErr w:type="spellStart"/>
      <w:r>
        <w:rPr>
          <w:b/>
          <w:bCs/>
          <w:sz w:val="40"/>
          <w:szCs w:val="40"/>
          <w:rtl/>
        </w:rPr>
        <w:lastRenderedPageBreak/>
        <w:t>תְּחִלַּת</w:t>
      </w:r>
      <w:proofErr w:type="spellEnd"/>
      <w:r>
        <w:rPr>
          <w:b/>
          <w:bCs/>
          <w:sz w:val="40"/>
          <w:szCs w:val="40"/>
          <w:rtl/>
        </w:rPr>
        <w:t xml:space="preserve"> חָכְמָה יִרְאַת ה׳ וְדַעַת קְדֹשִׁים בִּינָה</w:t>
      </w:r>
    </w:p>
    <w:p w14:paraId="662BB224" w14:textId="77777777" w:rsidR="00AB3647" w:rsidRDefault="00000000" w:rsidP="007923E9">
      <w:pPr>
        <w:spacing w:line="276" w:lineRule="auto"/>
        <w:jc w:val="center"/>
      </w:pPr>
      <w:r>
        <w:rPr>
          <w:rtl/>
        </w:rPr>
        <w:t>(משלי ט, י)</w:t>
      </w:r>
    </w:p>
    <w:p w14:paraId="355DF8CE" w14:textId="77777777" w:rsidR="00AB3647" w:rsidRDefault="00AB3647" w:rsidP="007923E9">
      <w:pPr>
        <w:spacing w:line="276" w:lineRule="auto"/>
        <w:sectPr w:rsidR="00AB3647">
          <w:footerReference w:type="default" r:id="rId7"/>
          <w:footnotePr>
            <w:pos w:val="pageBottom"/>
            <w:numRestart w:val="eachSect"/>
          </w:footnotePr>
          <w:pgSz w:w="9638" w:h="13606"/>
          <w:pgMar w:top="1134" w:right="1077" w:bottom="1134" w:left="1077" w:header="567" w:footer="567" w:gutter="0"/>
          <w:cols w:space="720"/>
          <w:bidi/>
          <w:docGrid w:linePitch="360"/>
        </w:sectPr>
      </w:pPr>
    </w:p>
    <w:p w14:paraId="711EB5A0" w14:textId="77777777" w:rsidR="00AB3647" w:rsidRDefault="00000000" w:rsidP="007923E9">
      <w:pPr>
        <w:spacing w:before="240" w:after="240" w:line="276" w:lineRule="auto"/>
        <w:jc w:val="center"/>
      </w:pPr>
      <w:r>
        <w:rPr>
          <w:b/>
          <w:bCs/>
          <w:sz w:val="32"/>
          <w:szCs w:val="32"/>
          <w:rtl/>
        </w:rPr>
        <w:lastRenderedPageBreak/>
        <w:t>תוכן עניינים</w:t>
      </w:r>
    </w:p>
    <w:p w14:paraId="422A9D35" w14:textId="77777777" w:rsidR="00AB3647" w:rsidRDefault="00000000" w:rsidP="007923E9">
      <w:pPr>
        <w:pStyle w:val="TOC1"/>
        <w:keepLines/>
        <w:spacing w:line="276" w:lineRule="auto"/>
      </w:pPr>
      <w:hyperlink w:anchor="b0_translator" w:history="1">
        <w:r>
          <w:t>הערת המתרגם</w:t>
        </w:r>
      </w:hyperlink>
      <w:r>
        <w:tab/>
      </w:r>
      <w:r>
        <w:fldChar w:fldCharType="begin" w:dirty="true"/>
      </w:r>
      <w:r>
        <w:instrText xml:space="preserve"> PAGEREF b0_translator \h </w:instrText>
      </w:r>
      <w:r>
        <w:fldChar w:fldCharType="separate"/>
      </w:r>
      <w:r w:rsidR="007923E9">
        <w:rPr>
          <w:noProof/>
        </w:rPr>
        <w:t>1</w:t>
      </w:r>
      <w:r>
        <w:fldChar w:fldCharType="end"/>
      </w:r>
    </w:p>
    <w:p w14:paraId="77DDCB40" w14:textId="77777777" w:rsidR="00AB3647" w:rsidRDefault="00000000" w:rsidP="007923E9">
      <w:pPr>
        <w:pStyle w:val="TOC1"/>
        <w:keepLines/>
        <w:spacing w:line="276" w:lineRule="auto"/>
      </w:pPr>
      <w:hyperlink w:anchor="b0_foreword" w:history="1">
        <w:r>
          <w:t>הקדמה – כיצד נכתב ספר זה</w:t>
        </w:r>
      </w:hyperlink>
      <w:r>
        <w:tab/>
      </w:r>
      <w:r>
        <w:fldChar w:fldCharType="begin" w:dirty="true"/>
      </w:r>
      <w:r>
        <w:instrText xml:space="preserve"> PAGEREF b0_foreword \h </w:instrText>
      </w:r>
      <w:r>
        <w:fldChar w:fldCharType="separate"/>
      </w:r>
      <w:r w:rsidR="007923E9">
        <w:rPr>
          <w:noProof/>
        </w:rPr>
        <w:t>1</w:t>
      </w:r>
      <w:r>
        <w:fldChar w:fldCharType="end"/>
      </w:r>
    </w:p>
    <w:p w14:paraId="12CB3DA7" w14:textId="77777777" w:rsidR="00AB3647" w:rsidRDefault="00000000" w:rsidP="007923E9">
      <w:pPr>
        <w:pStyle w:val="TOC1"/>
        <w:keepLines/>
        <w:spacing w:line="276" w:lineRule="auto"/>
      </w:pPr>
      <w:hyperlink w:anchor="b0_intro" w:history="1">
        <w:r>
          <w:t>מבוא</w:t>
        </w:r>
      </w:hyperlink>
      <w:r>
        <w:tab/>
      </w:r>
      <w:r>
        <w:fldChar w:fldCharType="begin" w:dirty="true"/>
      </w:r>
      <w:r>
        <w:instrText xml:space="preserve"> PAGEREF b0_intro \h </w:instrText>
      </w:r>
      <w:r>
        <w:fldChar w:fldCharType="separate"/>
      </w:r>
      <w:r w:rsidR="007923E9">
        <w:rPr>
          <w:noProof/>
        </w:rPr>
        <w:t>1</w:t>
      </w:r>
      <w:r>
        <w:fldChar w:fldCharType="end"/>
      </w:r>
    </w:p>
    <w:p w14:paraId="1A08FC9F" w14:textId="77777777" w:rsidR="00AB3647" w:rsidRDefault="00000000" w:rsidP="007923E9">
      <w:pPr>
        <w:pStyle w:val="TOC1"/>
        <w:keepLines/>
        <w:spacing w:line="276" w:lineRule="auto"/>
      </w:pPr>
      <w:hyperlink w:anchor="b0_prologue" w:history="1">
        <w:r>
          <w:t>פתיחה</w:t>
        </w:r>
      </w:hyperlink>
      <w:r>
        <w:tab/>
      </w:r>
      <w:r>
        <w:fldChar w:fldCharType="begin" w:dirty="true"/>
      </w:r>
      <w:r>
        <w:instrText xml:space="preserve"> PAGEREF b0_prologue \h </w:instrText>
      </w:r>
      <w:r>
        <w:fldChar w:fldCharType="separate"/>
      </w:r>
      <w:r w:rsidR="007923E9">
        <w:rPr>
          <w:noProof/>
        </w:rPr>
        <w:t>1</w:t>
      </w:r>
      <w:r>
        <w:fldChar w:fldCharType="end"/>
      </w:r>
    </w:p>
    <w:p w14:paraId="65D02824" w14:textId="77777777" w:rsidR="00AB3647" w:rsidRDefault="00000000" w:rsidP="007923E9">
      <w:pPr>
        <w:pStyle w:val="TOC1"/>
        <w:keepNext/>
        <w:keepLines/>
        <w:spacing w:line="276" w:lineRule="auto"/>
      </w:pPr>
      <w:hyperlink w:anchor="continuous_story" w:history="1">
        <w:r>
          <w:t>חלק ראשון — הסיפור</w:t>
        </w:r>
      </w:hyperlink>
      <w:r>
        <w:tab/>
      </w:r>
      <w:r>
        <w:fldChar w:fldCharType="begin" w:dirty="true"/>
      </w:r>
      <w:r>
        <w:instrText xml:space="preserve"> PAGEREF continuous_story \h </w:instrText>
      </w:r>
      <w:r>
        <w:fldChar w:fldCharType="separate"/>
      </w:r>
      <w:r w:rsidR="007923E9">
        <w:rPr>
          <w:noProof/>
        </w:rPr>
        <w:t>1</w:t>
      </w:r>
      <w:r>
        <w:fldChar w:fldCharType="end"/>
      </w:r>
    </w:p>
    <w:p w14:paraId="7DA0D8BF" w14:textId="77777777" w:rsidR="00AB3647" w:rsidRDefault="00000000" w:rsidP="007923E9">
      <w:pPr>
        <w:pStyle w:val="TOC1"/>
        <w:keepLines/>
        <w:spacing w:line="276" w:lineRule="auto"/>
      </w:pPr>
      <w:hyperlink w:anchor="text_chapter1" w:history="1">
        <w:r>
          <w:t>פרק ראשון — העשור הראשון: ייחוס וילדות</w:t>
        </w:r>
      </w:hyperlink>
      <w:r>
        <w:tab/>
      </w:r>
      <w:r>
        <w:fldChar w:fldCharType="begin" w:dirty="true"/>
      </w:r>
      <w:r>
        <w:instrText xml:space="preserve"> PAGEREF text_chapter1 \h </w:instrText>
      </w:r>
      <w:r>
        <w:fldChar w:fldCharType="separate"/>
      </w:r>
      <w:r w:rsidR="007923E9">
        <w:rPr>
          <w:noProof/>
        </w:rPr>
        <w:t>1</w:t>
      </w:r>
      <w:r>
        <w:fldChar w:fldCharType="end"/>
      </w:r>
    </w:p>
    <w:p w14:paraId="1EA81844" w14:textId="77777777" w:rsidR="00AB3647" w:rsidRDefault="00000000" w:rsidP="007923E9">
      <w:pPr>
        <w:pStyle w:val="TOC1"/>
        <w:keepLines/>
        <w:spacing w:line="276" w:lineRule="auto"/>
      </w:pPr>
      <w:hyperlink w:anchor="text_chapter2" w:history="1">
        <w:r>
          <w:t>פרק שני — העשור השני – א: מינסק</w:t>
        </w:r>
      </w:hyperlink>
      <w:r>
        <w:tab/>
      </w:r>
      <w:r>
        <w:fldChar w:fldCharType="begin" w:dirty="true"/>
      </w:r>
      <w:r>
        <w:instrText xml:space="preserve"> PAGEREF text_chapter2 \h </w:instrText>
      </w:r>
      <w:r>
        <w:fldChar w:fldCharType="separate"/>
      </w:r>
      <w:r w:rsidR="007923E9">
        <w:rPr>
          <w:noProof/>
        </w:rPr>
        <w:t>1</w:t>
      </w:r>
      <w:r>
        <w:fldChar w:fldCharType="end"/>
      </w:r>
    </w:p>
    <w:p w14:paraId="31B7AC5D" w14:textId="77777777" w:rsidR="00AB3647" w:rsidRDefault="00000000" w:rsidP="007923E9">
      <w:pPr>
        <w:pStyle w:val="TOC1"/>
        <w:keepLines/>
        <w:spacing w:line="276" w:lineRule="auto"/>
      </w:pPr>
      <w:hyperlink w:anchor="text_chapter3" w:history="1">
        <w:r>
          <w:t xml:space="preserve">פרק שלישי — העשור השני – ב: </w:t>
        </w:r>
        <w:proofErr w:type="spellStart"/>
        <w:r>
          <w:t>סלבודקה</w:t>
        </w:r>
        <w:proofErr w:type="spellEnd"/>
      </w:hyperlink>
      <w:r>
        <w:tab/>
      </w:r>
      <w:r>
        <w:fldChar w:fldCharType="begin" w:dirty="true"/>
      </w:r>
      <w:r>
        <w:instrText xml:space="preserve"> PAGEREF text_chapter3 \h </w:instrText>
      </w:r>
      <w:r>
        <w:fldChar w:fldCharType="separate"/>
      </w:r>
      <w:r w:rsidR="007923E9">
        <w:rPr>
          <w:noProof/>
        </w:rPr>
        <w:t>1</w:t>
      </w:r>
      <w:r>
        <w:fldChar w:fldCharType="end"/>
      </w:r>
    </w:p>
    <w:p w14:paraId="6E5C4672" w14:textId="77777777" w:rsidR="00AB3647" w:rsidRDefault="00000000" w:rsidP="007923E9">
      <w:pPr>
        <w:pStyle w:val="TOC1"/>
        <w:keepLines/>
        <w:spacing w:line="276" w:lineRule="auto"/>
      </w:pPr>
      <w:hyperlink w:anchor="text_chapter4" w:history="1">
        <w:r>
          <w:t xml:space="preserve">פרק רביעי — העשור השני – ג: ישיבת </w:t>
        </w:r>
        <w:proofErr w:type="spellStart"/>
        <w:r>
          <w:t>סלבודקה</w:t>
        </w:r>
        <w:proofErr w:type="spellEnd"/>
      </w:hyperlink>
      <w:r>
        <w:tab/>
      </w:r>
      <w:r>
        <w:fldChar w:fldCharType="begin" w:dirty="true"/>
      </w:r>
      <w:r>
        <w:instrText xml:space="preserve"> PAGEREF text_chapter4 \h </w:instrText>
      </w:r>
      <w:r>
        <w:fldChar w:fldCharType="separate"/>
      </w:r>
      <w:r w:rsidR="007923E9">
        <w:rPr>
          <w:noProof/>
        </w:rPr>
        <w:t>1</w:t>
      </w:r>
      <w:r>
        <w:fldChar w:fldCharType="end"/>
      </w:r>
    </w:p>
    <w:p w14:paraId="65077B5F" w14:textId="77777777" w:rsidR="00AB3647" w:rsidRDefault="00000000" w:rsidP="007923E9">
      <w:pPr>
        <w:pStyle w:val="TOC1"/>
        <w:keepLines/>
        <w:spacing w:line="276" w:lineRule="auto"/>
      </w:pPr>
      <w:hyperlink w:anchor="text_chapter5" w:history="1">
        <w:r>
          <w:t xml:space="preserve">פרק חמישי — העשור השני – ד: </w:t>
        </w:r>
        <w:proofErr w:type="spellStart"/>
        <w:r>
          <w:t>מאלטש</w:t>
        </w:r>
        <w:proofErr w:type="spellEnd"/>
      </w:hyperlink>
      <w:r>
        <w:tab/>
      </w:r>
      <w:r>
        <w:fldChar w:fldCharType="begin" w:dirty="true"/>
      </w:r>
      <w:r>
        <w:instrText xml:space="preserve"> PAGEREF text_chapter5 \h </w:instrText>
      </w:r>
      <w:r>
        <w:fldChar w:fldCharType="separate"/>
      </w:r>
      <w:r w:rsidR="007923E9">
        <w:rPr>
          <w:noProof/>
        </w:rPr>
        <w:t>1</w:t>
      </w:r>
      <w:r>
        <w:fldChar w:fldCharType="end"/>
      </w:r>
    </w:p>
    <w:p w14:paraId="6B14E45E" w14:textId="77777777" w:rsidR="00AB3647" w:rsidRDefault="00000000" w:rsidP="007923E9">
      <w:pPr>
        <w:pStyle w:val="TOC1"/>
        <w:keepNext/>
        <w:keepLines/>
        <w:spacing w:line="276" w:lineRule="auto"/>
      </w:pPr>
      <w:hyperlink w:anchor="annotated_story" w:history="1">
        <w:r>
          <w:t>חלק שני — הערות ונספחים</w:t>
        </w:r>
      </w:hyperlink>
      <w:r>
        <w:tab/>
      </w:r>
      <w:r>
        <w:fldChar w:fldCharType="begin" w:dirty="true"/>
      </w:r>
      <w:r>
        <w:instrText xml:space="preserve"> PAGEREF annotated_story \h </w:instrText>
      </w:r>
      <w:r>
        <w:fldChar w:fldCharType="separate"/>
      </w:r>
      <w:r w:rsidR="007923E9">
        <w:rPr>
          <w:noProof/>
        </w:rPr>
        <w:t>1</w:t>
      </w:r>
      <w:r>
        <w:fldChar w:fldCharType="end"/>
      </w:r>
    </w:p>
    <w:p w14:paraId="1B89E9D4"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14DC3147" w14:textId="77777777" w:rsidR="00AB3647" w:rsidRDefault="00000000" w:rsidP="007923E9">
      <w:pPr>
        <w:pStyle w:val="TOC2"/>
        <w:keepLines/>
        <w:spacing w:line="276" w:lineRule="auto"/>
      </w:pPr>
      <w:hyperlink w:anchor="b1_sec1" w:history="1">
        <w:r>
          <w:t>סעיף 1</w:t>
        </w:r>
      </w:hyperlink>
      <w:r>
        <w:tab/>
      </w:r>
      <w:r>
        <w:fldChar w:fldCharType="begin" w:dirty="true"/>
      </w:r>
      <w:r>
        <w:instrText xml:space="preserve"> PAGEREF b1_sec1 \h </w:instrText>
      </w:r>
      <w:r>
        <w:fldChar w:fldCharType="separate"/>
      </w:r>
      <w:r w:rsidR="007923E9">
        <w:rPr>
          <w:noProof/>
        </w:rPr>
        <w:t>1</w:t>
      </w:r>
      <w:r>
        <w:fldChar w:fldCharType="end"/>
      </w:r>
    </w:p>
    <w:p w14:paraId="5E5B1A4D" w14:textId="77777777" w:rsidR="00AB3647" w:rsidRDefault="00000000" w:rsidP="007923E9">
      <w:pPr>
        <w:pStyle w:val="TOC2"/>
        <w:keepLines/>
        <w:spacing w:line="276" w:lineRule="auto"/>
      </w:pPr>
      <w:hyperlink w:anchor="b1_sec2" w:history="1">
        <w:r>
          <w:t>סעיף 2</w:t>
        </w:r>
      </w:hyperlink>
      <w:r>
        <w:tab/>
      </w:r>
      <w:r>
        <w:fldChar w:fldCharType="begin" w:dirty="true"/>
      </w:r>
      <w:r>
        <w:instrText xml:space="preserve"> PAGEREF b1_sec2 \h </w:instrText>
      </w:r>
      <w:r>
        <w:fldChar w:fldCharType="separate"/>
      </w:r>
      <w:r w:rsidR="007923E9">
        <w:rPr>
          <w:noProof/>
        </w:rPr>
        <w:t>1</w:t>
      </w:r>
      <w:r>
        <w:fldChar w:fldCharType="end"/>
      </w:r>
    </w:p>
    <w:p w14:paraId="680CEDF0" w14:textId="77777777" w:rsidR="00AB3647" w:rsidRDefault="00000000" w:rsidP="007923E9">
      <w:pPr>
        <w:pStyle w:val="TOC2"/>
        <w:keepLines/>
        <w:spacing w:line="276" w:lineRule="auto"/>
      </w:pPr>
      <w:hyperlink w:anchor="b1_sec3" w:history="1">
        <w:r>
          <w:t>סעיף 3</w:t>
        </w:r>
      </w:hyperlink>
      <w:r>
        <w:tab/>
      </w:r>
      <w:r>
        <w:fldChar w:fldCharType="begin" w:dirty="true"/>
      </w:r>
      <w:r>
        <w:instrText xml:space="preserve"> PAGEREF b1_sec3 \h </w:instrText>
      </w:r>
      <w:r>
        <w:fldChar w:fldCharType="separate"/>
      </w:r>
      <w:r w:rsidR="007923E9">
        <w:rPr>
          <w:noProof/>
        </w:rPr>
        <w:t>1</w:t>
      </w:r>
      <w:r>
        <w:fldChar w:fldCharType="end"/>
      </w:r>
    </w:p>
    <w:p w14:paraId="5310F497" w14:textId="77777777" w:rsidR="00AB3647" w:rsidRDefault="00000000" w:rsidP="007923E9">
      <w:pPr>
        <w:pStyle w:val="TOC2"/>
        <w:keepLines/>
        <w:spacing w:line="276" w:lineRule="auto"/>
      </w:pPr>
      <w:hyperlink w:anchor="b1_sec4" w:history="1">
        <w:r>
          <w:t>סעיף 4</w:t>
        </w:r>
      </w:hyperlink>
      <w:r>
        <w:tab/>
      </w:r>
      <w:r>
        <w:fldChar w:fldCharType="begin" w:dirty="true"/>
      </w:r>
      <w:r>
        <w:instrText xml:space="preserve"> PAGEREF b1_sec4 \h </w:instrText>
      </w:r>
      <w:r>
        <w:fldChar w:fldCharType="separate"/>
      </w:r>
      <w:r w:rsidR="007923E9">
        <w:rPr>
          <w:noProof/>
        </w:rPr>
        <w:t>1</w:t>
      </w:r>
      <w:r>
        <w:fldChar w:fldCharType="end"/>
      </w:r>
    </w:p>
    <w:p w14:paraId="4C842DFB"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05E4C9F5" w14:textId="77777777" w:rsidR="00AB3647" w:rsidRDefault="00000000" w:rsidP="007923E9">
      <w:pPr>
        <w:pStyle w:val="TOC2"/>
        <w:keepLines/>
        <w:spacing w:line="276" w:lineRule="auto"/>
      </w:pPr>
      <w:hyperlink w:anchor="b2_sec1" w:history="1">
        <w:r>
          <w:t>סעיף 1</w:t>
        </w:r>
      </w:hyperlink>
      <w:r>
        <w:tab/>
      </w:r>
      <w:r>
        <w:fldChar w:fldCharType="begin" w:dirty="true"/>
      </w:r>
      <w:r>
        <w:instrText xml:space="preserve"> PAGEREF b2_sec1 \h </w:instrText>
      </w:r>
      <w:r>
        <w:fldChar w:fldCharType="separate"/>
      </w:r>
      <w:r w:rsidR="007923E9">
        <w:rPr>
          <w:noProof/>
        </w:rPr>
        <w:t>1</w:t>
      </w:r>
      <w:r>
        <w:fldChar w:fldCharType="end"/>
      </w:r>
    </w:p>
    <w:p w14:paraId="35247254" w14:textId="77777777" w:rsidR="00AB3647" w:rsidRDefault="00000000" w:rsidP="007923E9">
      <w:pPr>
        <w:pStyle w:val="TOC2"/>
        <w:keepLines/>
        <w:spacing w:line="276" w:lineRule="auto"/>
      </w:pPr>
      <w:hyperlink w:anchor="b2_sec2" w:history="1">
        <w:r>
          <w:t>סעיף 2</w:t>
        </w:r>
      </w:hyperlink>
      <w:r>
        <w:tab/>
      </w:r>
      <w:r>
        <w:fldChar w:fldCharType="begin" w:dirty="true"/>
      </w:r>
      <w:r>
        <w:instrText xml:space="preserve"> PAGEREF b2_sec2 \h </w:instrText>
      </w:r>
      <w:r>
        <w:fldChar w:fldCharType="separate"/>
      </w:r>
      <w:r w:rsidR="007923E9">
        <w:rPr>
          <w:noProof/>
        </w:rPr>
        <w:t>1</w:t>
      </w:r>
      <w:r>
        <w:fldChar w:fldCharType="end"/>
      </w:r>
    </w:p>
    <w:p w14:paraId="5242CE71" w14:textId="77777777" w:rsidR="00AB3647" w:rsidRDefault="00000000" w:rsidP="007923E9">
      <w:pPr>
        <w:pStyle w:val="TOC2"/>
        <w:keepLines/>
        <w:spacing w:line="276" w:lineRule="auto"/>
      </w:pPr>
      <w:hyperlink w:anchor="b2_sec3" w:history="1">
        <w:r>
          <w:t>סעיף 3</w:t>
        </w:r>
      </w:hyperlink>
      <w:r>
        <w:tab/>
      </w:r>
      <w:r>
        <w:fldChar w:fldCharType="begin" w:dirty="true"/>
      </w:r>
      <w:r>
        <w:instrText xml:space="preserve"> PAGEREF b2_sec3 \h </w:instrText>
      </w:r>
      <w:r>
        <w:fldChar w:fldCharType="separate"/>
      </w:r>
      <w:r w:rsidR="007923E9">
        <w:rPr>
          <w:noProof/>
        </w:rPr>
        <w:t>1</w:t>
      </w:r>
      <w:r>
        <w:fldChar w:fldCharType="end"/>
      </w:r>
    </w:p>
    <w:p w14:paraId="67F69B4B"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7AB068B4" w14:textId="77777777" w:rsidR="00AB3647" w:rsidRDefault="00000000" w:rsidP="007923E9">
      <w:pPr>
        <w:pStyle w:val="TOC2"/>
        <w:keepLines/>
        <w:spacing w:line="276" w:lineRule="auto"/>
      </w:pPr>
      <w:hyperlink w:anchor="b3_sec1" w:history="1">
        <w:r>
          <w:t>סעיף 1</w:t>
        </w:r>
      </w:hyperlink>
      <w:r>
        <w:tab/>
      </w:r>
      <w:r>
        <w:fldChar w:fldCharType="begin" w:dirty="true"/>
      </w:r>
      <w:r>
        <w:instrText xml:space="preserve"> PAGEREF b3_sec1 \h </w:instrText>
      </w:r>
      <w:r>
        <w:fldChar w:fldCharType="separate"/>
      </w:r>
      <w:r w:rsidR="007923E9">
        <w:rPr>
          <w:noProof/>
        </w:rPr>
        <w:t>1</w:t>
      </w:r>
      <w:r>
        <w:fldChar w:fldCharType="end"/>
      </w:r>
    </w:p>
    <w:p w14:paraId="5CADC723" w14:textId="77777777" w:rsidR="00AB3647" w:rsidRDefault="00000000" w:rsidP="007923E9">
      <w:pPr>
        <w:pStyle w:val="TOC2"/>
        <w:keepLines/>
        <w:spacing w:line="276" w:lineRule="auto"/>
      </w:pPr>
      <w:hyperlink w:anchor="b3_sec2" w:history="1">
        <w:r>
          <w:t>סעיף 2</w:t>
        </w:r>
      </w:hyperlink>
      <w:r>
        <w:tab/>
      </w:r>
      <w:r>
        <w:fldChar w:fldCharType="begin" w:dirty="true"/>
      </w:r>
      <w:r>
        <w:instrText xml:space="preserve"> PAGEREF b3_sec2 \h </w:instrText>
      </w:r>
      <w:r>
        <w:fldChar w:fldCharType="separate"/>
      </w:r>
      <w:r w:rsidR="007923E9">
        <w:rPr>
          <w:noProof/>
        </w:rPr>
        <w:t>1</w:t>
      </w:r>
      <w:r>
        <w:fldChar w:fldCharType="end"/>
      </w:r>
    </w:p>
    <w:p w14:paraId="11BD6C66"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2AF44100" w14:textId="77777777" w:rsidR="00AB3647" w:rsidRDefault="00000000" w:rsidP="007923E9">
      <w:pPr>
        <w:pStyle w:val="TOC2"/>
        <w:keepLines/>
        <w:spacing w:line="276" w:lineRule="auto"/>
      </w:pPr>
      <w:hyperlink w:anchor="b4_sec1" w:history="1">
        <w:r>
          <w:t>סעיף 1</w:t>
        </w:r>
      </w:hyperlink>
      <w:r>
        <w:tab/>
      </w:r>
      <w:r>
        <w:fldChar w:fldCharType="begin" w:dirty="true"/>
      </w:r>
      <w:r>
        <w:instrText xml:space="preserve"> PAGEREF b4_sec1 \h </w:instrText>
      </w:r>
      <w:r>
        <w:fldChar w:fldCharType="separate"/>
      </w:r>
      <w:r w:rsidR="007923E9">
        <w:rPr>
          <w:noProof/>
        </w:rPr>
        <w:t>1</w:t>
      </w:r>
      <w:r>
        <w:fldChar w:fldCharType="end"/>
      </w:r>
    </w:p>
    <w:p w14:paraId="776E5C76" w14:textId="77777777" w:rsidR="00AB3647" w:rsidRDefault="00000000" w:rsidP="007923E9">
      <w:pPr>
        <w:pStyle w:val="TOC2"/>
        <w:keepLines/>
        <w:spacing w:line="276" w:lineRule="auto"/>
      </w:pPr>
      <w:hyperlink w:anchor="b4_sec2" w:history="1">
        <w:r>
          <w:t>סעיף 2</w:t>
        </w:r>
      </w:hyperlink>
      <w:r>
        <w:tab/>
      </w:r>
      <w:r>
        <w:fldChar w:fldCharType="begin" w:dirty="true"/>
      </w:r>
      <w:r>
        <w:instrText xml:space="preserve"> PAGEREF b4_sec2 \h </w:instrText>
      </w:r>
      <w:r>
        <w:fldChar w:fldCharType="separate"/>
      </w:r>
      <w:r w:rsidR="007923E9">
        <w:rPr>
          <w:noProof/>
        </w:rPr>
        <w:t>1</w:t>
      </w:r>
      <w:r>
        <w:fldChar w:fldCharType="end"/>
      </w:r>
    </w:p>
    <w:p w14:paraId="5FDE154C"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65E3FD51" w14:textId="77777777" w:rsidR="00AB3647" w:rsidRDefault="00000000" w:rsidP="007923E9">
      <w:pPr>
        <w:pStyle w:val="TOC2"/>
        <w:keepLines/>
        <w:spacing w:line="276" w:lineRule="auto"/>
      </w:pPr>
      <w:hyperlink w:anchor="b5_sec1" w:history="1">
        <w:r>
          <w:t>סעיף 1</w:t>
        </w:r>
      </w:hyperlink>
      <w:r>
        <w:tab/>
      </w:r>
      <w:r>
        <w:fldChar w:fldCharType="begin" w:dirty="true"/>
      </w:r>
      <w:r>
        <w:instrText xml:space="preserve"> PAGEREF b5_sec1 \h </w:instrText>
      </w:r>
      <w:r>
        <w:fldChar w:fldCharType="separate"/>
      </w:r>
      <w:r w:rsidR="007923E9">
        <w:rPr>
          <w:noProof/>
        </w:rPr>
        <w:t>1</w:t>
      </w:r>
      <w:r>
        <w:fldChar w:fldCharType="end"/>
      </w:r>
    </w:p>
    <w:p w14:paraId="7679FE2A" w14:textId="77777777" w:rsidR="00AB3647" w:rsidRDefault="00000000" w:rsidP="007923E9">
      <w:pPr>
        <w:pStyle w:val="TOC2"/>
        <w:keepLines/>
        <w:spacing w:line="276" w:lineRule="auto"/>
      </w:pPr>
      <w:hyperlink w:anchor="b5_sec2" w:history="1">
        <w:r>
          <w:t>סעיף 2</w:t>
        </w:r>
      </w:hyperlink>
      <w:r>
        <w:tab/>
      </w:r>
      <w:r>
        <w:fldChar w:fldCharType="begin" w:dirty="true"/>
      </w:r>
      <w:r>
        <w:instrText xml:space="preserve"> PAGEREF b5_sec2 \h </w:instrText>
      </w:r>
      <w:r>
        <w:fldChar w:fldCharType="separate"/>
      </w:r>
      <w:r w:rsidR="007923E9">
        <w:rPr>
          <w:noProof/>
        </w:rPr>
        <w:t>1</w:t>
      </w:r>
      <w:r>
        <w:fldChar w:fldCharType="end"/>
      </w:r>
    </w:p>
    <w:p w14:paraId="4118871F" w14:textId="77777777" w:rsidR="00AB3647" w:rsidRDefault="00000000" w:rsidP="007923E9">
      <w:pPr>
        <w:pageBreakBefore/>
        <w:spacing w:before="240" w:after="240" w:line="276" w:lineRule="auto"/>
        <w:jc w:val="center"/>
      </w:pPr>
      <w:r>
        <w:rPr>
          <w:b/>
          <w:bCs/>
          <w:sz w:val="32"/>
          <w:szCs w:val="32"/>
          <w:rtl/>
        </w:rPr>
        <w:lastRenderedPageBreak/>
        <w:t>מפתח הנספחים</w:t>
      </w:r>
    </w:p>
    <w:p w14:paraId="65047F76" w14:textId="77777777" w:rsidR="00AB3647" w:rsidRDefault="00000000" w:rsidP="007923E9">
      <w:pPr>
        <w:pStyle w:val="TOC1"/>
        <w:keepNext/>
        <w:keepLines/>
        <w:spacing w:line="276" w:lineRule="auto"/>
      </w:pPr>
      <w:hyperlink w:anchor="b1_chapter" w:history="1">
        <w:r>
          <w:t>פרק ראשון – העשור הראשון: ייחוס וילדות</w:t>
        </w:r>
      </w:hyperlink>
      <w:r>
        <w:tab/>
      </w:r>
      <w:r>
        <w:fldChar w:fldCharType="begin" w:dirty="true"/>
      </w:r>
      <w:r>
        <w:instrText xml:space="preserve"> PAGEREF b1_chapter \h </w:instrText>
      </w:r>
      <w:r>
        <w:fldChar w:fldCharType="separate"/>
      </w:r>
      <w:r w:rsidR="007923E9">
        <w:rPr>
          <w:noProof/>
        </w:rPr>
        <w:t>1</w:t>
      </w:r>
      <w:r>
        <w:fldChar w:fldCharType="end"/>
      </w:r>
    </w:p>
    <w:p w14:paraId="789AAB7A" w14:textId="77777777" w:rsidR="00AB3647" w:rsidRDefault="00000000" w:rsidP="007923E9">
      <w:pPr>
        <w:pStyle w:val="TOC3"/>
        <w:keepLines/>
        <w:spacing w:line="276" w:lineRule="auto"/>
      </w:pPr>
      <w:hyperlink w:anchor="b1_excA" w:history="1">
        <w:r>
          <w:t>נספח א – על הפרעות שאחרי רצח הצאר אלכסנדר השני ועל הערכתם המשובשת של המשכילים</w:t>
        </w:r>
      </w:hyperlink>
      <w:r>
        <w:tab/>
      </w:r>
      <w:r>
        <w:fldChar w:fldCharType="begin" w:dirty="true"/>
      </w:r>
      <w:r>
        <w:instrText xml:space="preserve"> PAGEREF b1_excA \h </w:instrText>
      </w:r>
      <w:r>
        <w:fldChar w:fldCharType="separate"/>
      </w:r>
      <w:r w:rsidR="007923E9">
        <w:rPr>
          <w:noProof/>
        </w:rPr>
        <w:t>1</w:t>
      </w:r>
      <w:r>
        <w:fldChar w:fldCharType="end"/>
      </w:r>
    </w:p>
    <w:p w14:paraId="60B170D0" w14:textId="77777777" w:rsidR="00AB3647" w:rsidRDefault="00000000" w:rsidP="007923E9">
      <w:pPr>
        <w:pStyle w:val="TOC3"/>
        <w:keepLines/>
        <w:spacing w:line="276" w:lineRule="auto"/>
      </w:pPr>
      <w:hyperlink w:anchor="b1_excB" w:history="1">
        <w:r>
          <w:t>נספח ב – על ר׳ אליהו שיק ועל משפחת שיק</w:t>
        </w:r>
      </w:hyperlink>
      <w:r>
        <w:tab/>
      </w:r>
      <w:r>
        <w:fldChar w:fldCharType="begin" w:dirty="true"/>
      </w:r>
      <w:r>
        <w:instrText xml:space="preserve"> PAGEREF b1_excB \h </w:instrText>
      </w:r>
      <w:r>
        <w:fldChar w:fldCharType="separate"/>
      </w:r>
      <w:r w:rsidR="007923E9">
        <w:rPr>
          <w:noProof/>
        </w:rPr>
        <w:t>1</w:t>
      </w:r>
      <w:r>
        <w:fldChar w:fldCharType="end"/>
      </w:r>
    </w:p>
    <w:p w14:paraId="1241C165" w14:textId="77777777" w:rsidR="00AB3647" w:rsidRDefault="00000000" w:rsidP="007923E9">
      <w:pPr>
        <w:pStyle w:val="TOC3"/>
        <w:keepLines/>
        <w:spacing w:line="276" w:lineRule="auto"/>
      </w:pPr>
      <w:hyperlink w:anchor="b1_excC" w:history="1">
        <w:r>
          <w:t>נספח ג – על הליכה לבתי המדרש בערי ליטא בלילות שבת ובהשכמת בוקר השבת</w:t>
        </w:r>
      </w:hyperlink>
      <w:r>
        <w:tab/>
      </w:r>
      <w:r>
        <w:fldChar w:fldCharType="begin" w:dirty="true"/>
      </w:r>
      <w:r>
        <w:instrText xml:space="preserve"> PAGEREF b1_excC \h </w:instrText>
      </w:r>
      <w:r>
        <w:fldChar w:fldCharType="separate"/>
      </w:r>
      <w:r w:rsidR="007923E9">
        <w:rPr>
          <w:noProof/>
        </w:rPr>
        <w:t>1</w:t>
      </w:r>
      <w:r>
        <w:fldChar w:fldCharType="end"/>
      </w:r>
    </w:p>
    <w:p w14:paraId="7FA4ED65" w14:textId="77777777" w:rsidR="00AB3647" w:rsidRDefault="00000000" w:rsidP="007923E9">
      <w:pPr>
        <w:pStyle w:val="TOC3"/>
        <w:keepLines/>
        <w:spacing w:line="276" w:lineRule="auto"/>
      </w:pPr>
      <w:hyperlink w:anchor="b1_excD" w:history="1">
        <w:r>
          <w:t>נספח ד – על הקפדתו של רבנו על המנהגים</w:t>
        </w:r>
      </w:hyperlink>
      <w:r>
        <w:tab/>
      </w:r>
      <w:r>
        <w:fldChar w:fldCharType="begin" w:dirty="true"/>
      </w:r>
      <w:r>
        <w:instrText xml:space="preserve"> PAGEREF b1_excD \h </w:instrText>
      </w:r>
      <w:r>
        <w:fldChar w:fldCharType="separate"/>
      </w:r>
      <w:r w:rsidR="007923E9">
        <w:rPr>
          <w:noProof/>
        </w:rPr>
        <w:t>1</w:t>
      </w:r>
      <w:r>
        <w:fldChar w:fldCharType="end"/>
      </w:r>
    </w:p>
    <w:p w14:paraId="75343440" w14:textId="77777777" w:rsidR="00AB3647" w:rsidRDefault="00000000" w:rsidP="007923E9">
      <w:pPr>
        <w:pStyle w:val="TOC3"/>
        <w:keepLines/>
        <w:spacing w:line="276" w:lineRule="auto"/>
      </w:pPr>
      <w:hyperlink w:anchor="b1_excE" w:history="1">
        <w:r>
          <w:t>נספח ה – על טעויות של תלמידים צעירים שמקורן במלמדיהם, ועל הרעיונות הדמיוניים של הילדים להצדקת טעויות מלמדיהם – ועל היעשותם מחנכים טובים יותר מתוך כך</w:t>
        </w:r>
      </w:hyperlink>
      <w:r>
        <w:tab/>
      </w:r>
      <w:r>
        <w:fldChar w:fldCharType="begin" w:dirty="true"/>
      </w:r>
      <w:r>
        <w:instrText xml:space="preserve"> PAGEREF b1_excE \h </w:instrText>
      </w:r>
      <w:r>
        <w:fldChar w:fldCharType="separate"/>
      </w:r>
      <w:r w:rsidR="007923E9">
        <w:rPr>
          <w:noProof/>
        </w:rPr>
        <w:t>1</w:t>
      </w:r>
      <w:r>
        <w:fldChar w:fldCharType="end"/>
      </w:r>
    </w:p>
    <w:p w14:paraId="6EC55F20" w14:textId="77777777" w:rsidR="00AB3647" w:rsidRDefault="00000000" w:rsidP="007923E9">
      <w:pPr>
        <w:pStyle w:val="TOC3"/>
        <w:keepLines/>
        <w:spacing w:line="276" w:lineRule="auto"/>
      </w:pPr>
      <w:hyperlink w:anchor="b1_excF" w:history="1">
        <w:r>
          <w:t>נספח ו – על התואר יוצא הדופן של רבני מינסק, ועל כמה כינויים משונים לבני העיירות</w:t>
        </w:r>
      </w:hyperlink>
      <w:r>
        <w:tab/>
      </w:r>
      <w:r>
        <w:fldChar w:fldCharType="begin" w:dirty="true"/>
      </w:r>
      <w:r>
        <w:instrText xml:space="preserve"> PAGEREF b1_excF \h </w:instrText>
      </w:r>
      <w:r>
        <w:fldChar w:fldCharType="separate"/>
      </w:r>
      <w:r w:rsidR="007923E9">
        <w:rPr>
          <w:noProof/>
        </w:rPr>
        <w:t>1</w:t>
      </w:r>
      <w:r>
        <w:fldChar w:fldCharType="end"/>
      </w:r>
    </w:p>
    <w:p w14:paraId="24DF53C6" w14:textId="77777777" w:rsidR="00AB3647" w:rsidRDefault="00000000" w:rsidP="007923E9">
      <w:pPr>
        <w:pStyle w:val="TOC1"/>
        <w:keepNext/>
        <w:keepLines/>
        <w:spacing w:line="276" w:lineRule="auto"/>
      </w:pPr>
      <w:hyperlink w:anchor="b2_chapter" w:history="1">
        <w:r>
          <w:t>פרק שני – העשור השני – א: מינסק</w:t>
        </w:r>
      </w:hyperlink>
      <w:r>
        <w:tab/>
      </w:r>
      <w:r>
        <w:fldChar w:fldCharType="begin" w:dirty="true"/>
      </w:r>
      <w:r>
        <w:instrText xml:space="preserve"> PAGEREF b2_chapter \h </w:instrText>
      </w:r>
      <w:r>
        <w:fldChar w:fldCharType="separate"/>
      </w:r>
      <w:r w:rsidR="007923E9">
        <w:rPr>
          <w:noProof/>
        </w:rPr>
        <w:t>1</w:t>
      </w:r>
      <w:r>
        <w:fldChar w:fldCharType="end"/>
      </w:r>
    </w:p>
    <w:p w14:paraId="269DA43B" w14:textId="77777777" w:rsidR="00AB3647" w:rsidRDefault="00000000" w:rsidP="007923E9">
      <w:pPr>
        <w:pStyle w:val="TOC3"/>
        <w:keepLines/>
        <w:spacing w:line="276" w:lineRule="auto"/>
      </w:pPr>
      <w:hyperlink w:anchor="b2_excA" w:history="1">
        <w:r>
          <w:t xml:space="preserve">נספח א – 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hyperlink>
      <w:r>
        <w:tab/>
      </w:r>
      <w:r>
        <w:fldChar w:fldCharType="begin" w:dirty="true"/>
      </w:r>
      <w:r>
        <w:instrText xml:space="preserve"> PAGEREF b2_excA \h </w:instrText>
      </w:r>
      <w:r>
        <w:fldChar w:fldCharType="separate"/>
      </w:r>
      <w:r w:rsidR="007923E9">
        <w:rPr>
          <w:noProof/>
        </w:rPr>
        <w:t>1</w:t>
      </w:r>
      <w:r>
        <w:fldChar w:fldCharType="end"/>
      </w:r>
    </w:p>
    <w:p w14:paraId="08B221FC" w14:textId="77777777" w:rsidR="00AB3647" w:rsidRDefault="00000000" w:rsidP="007923E9">
      <w:pPr>
        <w:pStyle w:val="TOC3"/>
        <w:keepLines/>
        <w:spacing w:line="276" w:lineRule="auto"/>
      </w:pPr>
      <w:hyperlink w:anchor="b2_excB" w:history="1">
        <w:r>
          <w:t>נספח ב – על קריאת ספרות חול ועל הסכנה שאיימה על צעירים מחוננים לפני מאה שנה ויותר</w:t>
        </w:r>
      </w:hyperlink>
      <w:r>
        <w:tab/>
      </w:r>
      <w:r>
        <w:fldChar w:fldCharType="begin" w:dirty="true"/>
      </w:r>
      <w:r>
        <w:instrText xml:space="preserve"> PAGEREF b2_excB \h </w:instrText>
      </w:r>
      <w:r>
        <w:fldChar w:fldCharType="separate"/>
      </w:r>
      <w:r w:rsidR="007923E9">
        <w:rPr>
          <w:noProof/>
        </w:rPr>
        <w:t>1</w:t>
      </w:r>
      <w:r>
        <w:fldChar w:fldCharType="end"/>
      </w:r>
    </w:p>
    <w:p w14:paraId="34CE7D04" w14:textId="77777777" w:rsidR="00AB3647" w:rsidRDefault="00000000" w:rsidP="007923E9">
      <w:pPr>
        <w:pStyle w:val="TOC3"/>
        <w:keepLines/>
        <w:spacing w:line="276" w:lineRule="auto"/>
      </w:pPr>
      <w:hyperlink w:anchor="b2_excC" w:history="1">
        <w:r>
          <w:t xml:space="preserve">נספח ג – על פעולותיו של ר׳ </w:t>
        </w:r>
        <w:proofErr w:type="spellStart"/>
        <w:r>
          <w:t>יהושע׳לה</w:t>
        </w:r>
        <w:proofErr w:type="spellEnd"/>
        <w:r>
          <w:t xml:space="preserve"> </w:t>
        </w:r>
        <w:proofErr w:type="spellStart"/>
        <w:r>
          <w:t>הורודנער</w:t>
        </w:r>
        <w:proofErr w:type="spellEnd"/>
      </w:hyperlink>
      <w:r>
        <w:tab/>
      </w:r>
      <w:r>
        <w:fldChar w:fldCharType="begin" w:dirty="true"/>
      </w:r>
      <w:r>
        <w:instrText xml:space="preserve"> PAGEREF b2_excC \h </w:instrText>
      </w:r>
      <w:r>
        <w:fldChar w:fldCharType="separate"/>
      </w:r>
      <w:r w:rsidR="007923E9">
        <w:rPr>
          <w:noProof/>
        </w:rPr>
        <w:t>1</w:t>
      </w:r>
      <w:r>
        <w:fldChar w:fldCharType="end"/>
      </w:r>
    </w:p>
    <w:p w14:paraId="709ECC54" w14:textId="77777777" w:rsidR="00AB3647" w:rsidRDefault="00000000" w:rsidP="007923E9">
      <w:pPr>
        <w:pStyle w:val="TOC3"/>
        <w:keepLines/>
        <w:spacing w:line="276" w:lineRule="auto"/>
      </w:pPr>
      <w:hyperlink w:anchor="b2_excD" w:history="1">
        <w:r>
          <w:t>נספח ד – על הישיבות שבהן למד ר׳ אהרן קוטלר בילדותו</w:t>
        </w:r>
      </w:hyperlink>
      <w:r>
        <w:tab/>
      </w:r>
      <w:r>
        <w:fldChar w:fldCharType="begin" w:dirty="true"/>
      </w:r>
      <w:r>
        <w:instrText xml:space="preserve"> PAGEREF b2_excD \h </w:instrText>
      </w:r>
      <w:r>
        <w:fldChar w:fldCharType="separate"/>
      </w:r>
      <w:r w:rsidR="007923E9">
        <w:rPr>
          <w:noProof/>
        </w:rPr>
        <w:t>1</w:t>
      </w:r>
      <w:r>
        <w:fldChar w:fldCharType="end"/>
      </w:r>
    </w:p>
    <w:p w14:paraId="1711B678" w14:textId="77777777" w:rsidR="00AB3647" w:rsidRDefault="00000000" w:rsidP="007923E9">
      <w:pPr>
        <w:pStyle w:val="TOC3"/>
        <w:keepLines/>
        <w:spacing w:line="276" w:lineRule="auto"/>
      </w:pPr>
      <w:hyperlink w:anchor="b2_excE" w:history="1">
        <w:r>
          <w:t>נספח ה – על הצימאון לידיעות כלליות שגילו תלמידי ישיבה צעירים</w:t>
        </w:r>
      </w:hyperlink>
      <w:r>
        <w:tab/>
      </w:r>
      <w:r>
        <w:fldChar w:fldCharType="begin" w:dirty="true"/>
      </w:r>
      <w:r>
        <w:instrText xml:space="preserve"> PAGEREF b2_excE \h </w:instrText>
      </w:r>
      <w:r>
        <w:fldChar w:fldCharType="separate"/>
      </w:r>
      <w:r w:rsidR="007923E9">
        <w:rPr>
          <w:noProof/>
        </w:rPr>
        <w:t>1</w:t>
      </w:r>
      <w:r>
        <w:fldChar w:fldCharType="end"/>
      </w:r>
    </w:p>
    <w:p w14:paraId="1D91C820" w14:textId="77777777" w:rsidR="00AB3647" w:rsidRDefault="00000000" w:rsidP="007923E9">
      <w:pPr>
        <w:pStyle w:val="TOC3"/>
        <w:keepLines/>
        <w:spacing w:line="276" w:lineRule="auto"/>
      </w:pPr>
      <w:hyperlink w:anchor="b2_excF" w:history="1">
        <w:r>
          <w:t xml:space="preserve">נספח ו – על השתתפותם של תלמידי הישיבה האחרת </w:t>
        </w:r>
        <w:proofErr w:type="spellStart"/>
        <w:r>
          <w:t>בסלבודקה</w:t>
        </w:r>
        <w:proofErr w:type="spellEnd"/>
        <w:r>
          <w:t xml:space="preserve"> בשיעוריו של ר׳ </w:t>
        </w:r>
        <w:proofErr w:type="spellStart"/>
        <w:r>
          <w:t>ברוך־בער</w:t>
        </w:r>
        <w:proofErr w:type="spellEnd"/>
      </w:hyperlink>
      <w:r>
        <w:tab/>
      </w:r>
      <w:r>
        <w:fldChar w:fldCharType="begin" w:dirty="true"/>
      </w:r>
      <w:r>
        <w:instrText xml:space="preserve"> PAGEREF b2_excF \h </w:instrText>
      </w:r>
      <w:r>
        <w:fldChar w:fldCharType="separate"/>
      </w:r>
      <w:r w:rsidR="007923E9">
        <w:rPr>
          <w:noProof/>
        </w:rPr>
        <w:t>1</w:t>
      </w:r>
      <w:r>
        <w:fldChar w:fldCharType="end"/>
      </w:r>
    </w:p>
    <w:p w14:paraId="7CB745BE" w14:textId="77777777" w:rsidR="00AB3647" w:rsidRDefault="00000000" w:rsidP="007923E9">
      <w:pPr>
        <w:pStyle w:val="TOC1"/>
        <w:keepNext/>
        <w:keepLines/>
        <w:spacing w:line="276" w:lineRule="auto"/>
      </w:pPr>
      <w:hyperlink w:anchor="b3_chapter" w:history="1">
        <w:r>
          <w:t xml:space="preserve">פרק שלישי – העשור השני – ב: </w:t>
        </w:r>
        <w:proofErr w:type="spellStart"/>
        <w:r>
          <w:t>סלבודקה</w:t>
        </w:r>
        <w:proofErr w:type="spellEnd"/>
      </w:hyperlink>
      <w:r>
        <w:tab/>
      </w:r>
      <w:r>
        <w:fldChar w:fldCharType="begin" w:dirty="true"/>
      </w:r>
      <w:r>
        <w:instrText xml:space="preserve"> PAGEREF b3_chapter \h </w:instrText>
      </w:r>
      <w:r>
        <w:fldChar w:fldCharType="separate"/>
      </w:r>
      <w:r w:rsidR="007923E9">
        <w:rPr>
          <w:noProof/>
        </w:rPr>
        <w:t>1</w:t>
      </w:r>
      <w:r>
        <w:fldChar w:fldCharType="end"/>
      </w:r>
    </w:p>
    <w:p w14:paraId="1DFB8D3A" w14:textId="77777777" w:rsidR="00AB3647" w:rsidRDefault="00000000" w:rsidP="007923E9">
      <w:pPr>
        <w:pStyle w:val="TOC3"/>
        <w:keepLines/>
        <w:spacing w:line="276" w:lineRule="auto"/>
      </w:pPr>
      <w:hyperlink w:anchor="b3_excA" w:history="1">
        <w:r>
          <w:t>נספח א – על ראשיתו של כולל קובנה ועל עלון “עץ פרי” שחולק לתומכיו</w:t>
        </w:r>
      </w:hyperlink>
      <w:r>
        <w:tab/>
      </w:r>
      <w:r>
        <w:fldChar w:fldCharType="begin" w:dirty="true"/>
      </w:r>
      <w:r>
        <w:instrText xml:space="preserve"> PAGEREF b3_excA \h </w:instrText>
      </w:r>
      <w:r>
        <w:fldChar w:fldCharType="separate"/>
      </w:r>
      <w:r w:rsidR="007923E9">
        <w:rPr>
          <w:noProof/>
        </w:rPr>
        <w:t>1</w:t>
      </w:r>
      <w:r>
        <w:fldChar w:fldCharType="end"/>
      </w:r>
    </w:p>
    <w:p w14:paraId="56659FA5" w14:textId="77777777" w:rsidR="00AB3647" w:rsidRDefault="00000000" w:rsidP="007923E9">
      <w:pPr>
        <w:pStyle w:val="TOC3"/>
        <w:keepLines/>
        <w:spacing w:line="276" w:lineRule="auto"/>
      </w:pPr>
      <w:hyperlink w:anchor="b3_excB" w:history="1">
        <w:r>
          <w:t xml:space="preserve">נספח ב – על שלושת תלמידיו הראשיים של ר׳ ישראל </w:t>
        </w:r>
        <w:proofErr w:type="spellStart"/>
        <w:r>
          <w:t>סלנטר</w:t>
        </w:r>
        <w:proofErr w:type="spellEnd"/>
      </w:hyperlink>
      <w:r>
        <w:tab/>
      </w:r>
      <w:r>
        <w:fldChar w:fldCharType="begin" w:dirty="true"/>
      </w:r>
      <w:r>
        <w:instrText xml:space="preserve"> PAGEREF b3_excB \h </w:instrText>
      </w:r>
      <w:r>
        <w:fldChar w:fldCharType="separate"/>
      </w:r>
      <w:r w:rsidR="007923E9">
        <w:rPr>
          <w:noProof/>
        </w:rPr>
        <w:t>1</w:t>
      </w:r>
      <w:r>
        <w:fldChar w:fldCharType="end"/>
      </w:r>
    </w:p>
    <w:p w14:paraId="13AA51EA" w14:textId="77777777" w:rsidR="00AB3647" w:rsidRDefault="00000000" w:rsidP="007923E9">
      <w:pPr>
        <w:pStyle w:val="TOC3"/>
        <w:keepLines/>
        <w:spacing w:line="276" w:lineRule="auto"/>
      </w:pPr>
      <w:hyperlink w:anchor="b3_excC" w:history="1">
        <w:r>
          <w:t xml:space="preserve">נספח ג – על שני מלאכים ממש, ר׳ </w:t>
        </w:r>
        <w:proofErr w:type="spellStart"/>
        <w:r>
          <w:t>לייזר־יעקב</w:t>
        </w:r>
        <w:proofErr w:type="spellEnd"/>
        <w:r>
          <w:t xml:space="preserve"> </w:t>
        </w:r>
        <w:proofErr w:type="spellStart"/>
        <w:r>
          <w:t xml:space="preserve">חווס</w:t>
        </w:r>
        <w:proofErr w:type="spellEnd"/>
        <w:r>
          <w:t xml:space="preserve"> וחתנו ר׳ נפתלי </w:t>
        </w:r>
        <w:proofErr w:type="spellStart"/>
        <w:r>
          <w:t>טרופ</w:t>
        </w:r>
        <w:proofErr w:type="spellEnd"/>
      </w:hyperlink>
      <w:r>
        <w:tab/>
      </w:r>
      <w:r>
        <w:fldChar w:fldCharType="begin" w:dirty="true"/>
      </w:r>
      <w:r>
        <w:instrText xml:space="preserve"> PAGEREF b3_excC \h </w:instrText>
      </w:r>
      <w:r>
        <w:fldChar w:fldCharType="separate"/>
      </w:r>
      <w:r w:rsidR="007923E9">
        <w:rPr>
          <w:noProof/>
        </w:rPr>
        <w:t>1</w:t>
      </w:r>
      <w:r>
        <w:fldChar w:fldCharType="end"/>
      </w:r>
    </w:p>
    <w:p w14:paraId="081530BD" w14:textId="77777777" w:rsidR="00AB3647" w:rsidRDefault="00000000" w:rsidP="007923E9">
      <w:pPr>
        <w:pStyle w:val="TOC3"/>
        <w:keepLines/>
        <w:spacing w:line="276" w:lineRule="auto"/>
      </w:pPr>
      <w:hyperlink w:anchor="b3_excD" w:history="1">
        <w:r>
          <w:t xml:space="preserve">נספח ד – 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hyperlink>
      <w:r>
        <w:tab/>
      </w:r>
      <w:r>
        <w:fldChar w:fldCharType="begin" w:dirty="true"/>
      </w:r>
      <w:r>
        <w:instrText xml:space="preserve"> PAGEREF b3_excD \h </w:instrText>
      </w:r>
      <w:r>
        <w:fldChar w:fldCharType="separate"/>
      </w:r>
      <w:r w:rsidR="007923E9">
        <w:rPr>
          <w:noProof/>
        </w:rPr>
        <w:t>1</w:t>
      </w:r>
      <w:r>
        <w:fldChar w:fldCharType="end"/>
      </w:r>
    </w:p>
    <w:p w14:paraId="2FFB7503" w14:textId="77777777" w:rsidR="00AB3647" w:rsidRDefault="00000000" w:rsidP="007923E9">
      <w:pPr>
        <w:pStyle w:val="TOC3"/>
        <w:keepLines/>
        <w:spacing w:line="276" w:lineRule="auto"/>
      </w:pPr>
      <w:hyperlink w:anchor="b3_excE" w:history="1">
        <w:r>
          <w:t>נספח ה – על ביטול עצמם של בעלי המוסר; על מינוי מתרימים לכולל קובנה; ועל ההתנגדות להשתרשות תנועת המוסר בו</w:t>
        </w:r>
      </w:hyperlink>
      <w:r>
        <w:tab/>
      </w:r>
      <w:r>
        <w:fldChar w:fldCharType="begin" w:dirty="true"/>
      </w:r>
      <w:r>
        <w:instrText xml:space="preserve"> PAGEREF b3_excE \h </w:instrText>
      </w:r>
      <w:r>
        <w:fldChar w:fldCharType="separate"/>
      </w:r>
      <w:r w:rsidR="007923E9">
        <w:rPr>
          <w:noProof/>
        </w:rPr>
        <w:t>1</w:t>
      </w:r>
      <w:r>
        <w:fldChar w:fldCharType="end"/>
      </w:r>
    </w:p>
    <w:p w14:paraId="5CC4D053" w14:textId="77777777" w:rsidR="00AB3647" w:rsidRDefault="00000000" w:rsidP="007923E9">
      <w:pPr>
        <w:pStyle w:val="TOC3"/>
        <w:keepLines/>
        <w:spacing w:line="276" w:lineRule="auto"/>
      </w:pPr>
      <w:hyperlink w:anchor="b3_excF" w:history="1">
        <w:r>
          <w:t>נספח ו – על ריבוי התלמידים בחלק הישיבה של כולל קובנה</w:t>
        </w:r>
      </w:hyperlink>
      <w:r>
        <w:tab/>
      </w:r>
      <w:r>
        <w:fldChar w:fldCharType="begin" w:dirty="true"/>
      </w:r>
      <w:r>
        <w:instrText xml:space="preserve"> PAGEREF b3_excF \h </w:instrText>
      </w:r>
      <w:r>
        <w:fldChar w:fldCharType="separate"/>
      </w:r>
      <w:r w:rsidR="007923E9">
        <w:rPr>
          <w:noProof/>
        </w:rPr>
        <w:t>1</w:t>
      </w:r>
      <w:r>
        <w:fldChar w:fldCharType="end"/>
      </w:r>
    </w:p>
    <w:p w14:paraId="0578F100" w14:textId="77777777" w:rsidR="00AB3647" w:rsidRDefault="00000000" w:rsidP="007923E9">
      <w:pPr>
        <w:pStyle w:val="TOC3"/>
        <w:keepLines/>
        <w:spacing w:line="276" w:lineRule="auto"/>
      </w:pPr>
      <w:hyperlink w:anchor="b3_excG" w:history="1">
        <w:r>
          <w:t xml:space="preserve">נספח ז – על חברי כולל קובנה </w:t>
        </w:r>
        <w:proofErr w:type="spellStart"/>
        <w:r>
          <w:t>המתכשרים</w:t>
        </w:r>
        <w:proofErr w:type="spellEnd"/>
        <w:r>
          <w:t xml:space="preserve"> להיות ראשי ישיבה</w:t>
        </w:r>
      </w:hyperlink>
      <w:r>
        <w:tab/>
      </w:r>
      <w:r>
        <w:fldChar w:fldCharType="begin" w:dirty="true"/>
      </w:r>
      <w:r>
        <w:instrText xml:space="preserve"> PAGEREF b3_excG \h </w:instrText>
      </w:r>
      <w:r>
        <w:fldChar w:fldCharType="separate"/>
      </w:r>
      <w:r w:rsidR="007923E9">
        <w:rPr>
          <w:noProof/>
        </w:rPr>
        <w:t>1</w:t>
      </w:r>
      <w:r>
        <w:fldChar w:fldCharType="end"/>
      </w:r>
    </w:p>
    <w:p w14:paraId="0BC22F3F" w14:textId="77777777" w:rsidR="00AB3647" w:rsidRDefault="00000000" w:rsidP="007923E9">
      <w:pPr>
        <w:pStyle w:val="TOC3"/>
        <w:keepLines/>
        <w:spacing w:line="276" w:lineRule="auto"/>
      </w:pPr>
      <w:hyperlink w:anchor="b3_excH" w:history="1">
        <w:r>
          <w:t xml:space="preserve">נספח ח – על דרכים חדשות בלימוד התלמוד ועל יועציו של הסבא </w:t>
        </w:r>
        <w:proofErr w:type="spellStart"/>
        <w:r>
          <w:t>מסלבודקה</w:t>
        </w:r>
        <w:proofErr w:type="spellEnd"/>
      </w:hyperlink>
      <w:r>
        <w:tab/>
      </w:r>
      <w:r>
        <w:fldChar w:fldCharType="begin" w:dirty="true"/>
      </w:r>
      <w:r>
        <w:instrText xml:space="preserve"> PAGEREF b3_excH \h </w:instrText>
      </w:r>
      <w:r>
        <w:fldChar w:fldCharType="separate"/>
      </w:r>
      <w:r w:rsidR="007923E9">
        <w:rPr>
          <w:noProof/>
        </w:rPr>
        <w:t>1</w:t>
      </w:r>
      <w:r>
        <w:fldChar w:fldCharType="end"/>
      </w:r>
    </w:p>
    <w:p w14:paraId="339B37BD" w14:textId="77777777" w:rsidR="00AB3647" w:rsidRDefault="00000000" w:rsidP="007923E9">
      <w:pPr>
        <w:pStyle w:val="TOC3"/>
        <w:keepLines/>
        <w:spacing w:line="276" w:lineRule="auto"/>
      </w:pPr>
      <w:hyperlink w:anchor="b3_excI" w:history="1">
        <w:r>
          <w:t xml:space="preserve">נספח ט – 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hyperlink>
      <w:r>
        <w:tab/>
      </w:r>
      <w:r>
        <w:fldChar w:fldCharType="begin" w:dirty="true"/>
      </w:r>
      <w:r>
        <w:instrText xml:space="preserve"> PAGEREF b3_excI \h </w:instrText>
      </w:r>
      <w:r>
        <w:fldChar w:fldCharType="separate"/>
      </w:r>
      <w:r w:rsidR="007923E9">
        <w:rPr>
          <w:noProof/>
        </w:rPr>
        <w:t>1</w:t>
      </w:r>
      <w:r>
        <w:fldChar w:fldCharType="end"/>
      </w:r>
    </w:p>
    <w:p w14:paraId="64B61BCF" w14:textId="77777777" w:rsidR="00AB3647" w:rsidRDefault="00000000" w:rsidP="007923E9">
      <w:pPr>
        <w:pStyle w:val="TOC3"/>
        <w:keepLines/>
        <w:spacing w:line="276" w:lineRule="auto"/>
      </w:pPr>
      <w:hyperlink w:anchor="b3_excJ" w:history="1">
        <w:r>
          <w:t xml:space="preserve">נספח י – 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hyperlink>
      <w:r>
        <w:tab/>
      </w:r>
      <w:r>
        <w:fldChar w:fldCharType="begin" w:dirty="true"/>
      </w:r>
      <w:r>
        <w:instrText xml:space="preserve"> PAGEREF b3_excJ \h </w:instrText>
      </w:r>
      <w:r>
        <w:fldChar w:fldCharType="separate"/>
      </w:r>
      <w:r w:rsidR="007923E9">
        <w:rPr>
          <w:noProof/>
        </w:rPr>
        <w:t>1</w:t>
      </w:r>
      <w:r>
        <w:fldChar w:fldCharType="end"/>
      </w:r>
    </w:p>
    <w:p w14:paraId="3955BF59" w14:textId="77777777" w:rsidR="00AB3647" w:rsidRDefault="00000000" w:rsidP="007923E9">
      <w:pPr>
        <w:pStyle w:val="TOC3"/>
        <w:keepLines/>
        <w:spacing w:line="276" w:lineRule="auto"/>
      </w:pPr>
      <w:hyperlink w:anchor="b3_excK" w:history="1">
        <w:r>
          <w:t xml:space="preserve">נספח יא – על שנותיה האחרונות של ישיבת </w:t>
        </w:r>
        <w:proofErr w:type="spellStart"/>
        <w:r>
          <w:t>וולוז׳ין</w:t>
        </w:r>
        <w:proofErr w:type="spellEnd"/>
        <w:r>
          <w:t xml:space="preserve"> המקורית ועל מעורבות ר׳ חיים ברלין בסגירתה ובניסיון לפתחה מחדש</w:t>
        </w:r>
      </w:hyperlink>
      <w:r>
        <w:tab/>
      </w:r>
      <w:r>
        <w:fldChar w:fldCharType="begin" w:dirty="true"/>
      </w:r>
      <w:r>
        <w:instrText xml:space="preserve"> PAGEREF b3_excK \h </w:instrText>
      </w:r>
      <w:r>
        <w:fldChar w:fldCharType="separate"/>
      </w:r>
      <w:r w:rsidR="007923E9">
        <w:rPr>
          <w:noProof/>
        </w:rPr>
        <w:t>1</w:t>
      </w:r>
      <w:r>
        <w:fldChar w:fldCharType="end"/>
      </w:r>
    </w:p>
    <w:p w14:paraId="299A896F" w14:textId="77777777" w:rsidR="00AB3647" w:rsidRDefault="00000000" w:rsidP="007923E9">
      <w:pPr>
        <w:pStyle w:val="TOC3"/>
        <w:keepLines/>
        <w:spacing w:line="276" w:lineRule="auto"/>
      </w:pPr>
      <w:hyperlink w:anchor="b3_excL" w:history="1">
        <w:r>
          <w:t xml:space="preserve">נספח </w:t>
        </w:r>
        <w:proofErr w:type="spellStart"/>
        <w:r>
          <w:t>יב</w:t>
        </w:r>
        <w:proofErr w:type="spellEnd"/>
        <w:r>
          <w:t xml:space="preserve"> – 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hyperlink>
      <w:r>
        <w:tab/>
      </w:r>
      <w:r>
        <w:fldChar w:fldCharType="begin" w:dirty="true"/>
      </w:r>
      <w:r>
        <w:instrText xml:space="preserve"> PAGEREF b3_excL \h </w:instrText>
      </w:r>
      <w:r>
        <w:fldChar w:fldCharType="separate"/>
      </w:r>
      <w:r w:rsidR="007923E9">
        <w:rPr>
          <w:noProof/>
        </w:rPr>
        <w:t>1</w:t>
      </w:r>
      <w:r>
        <w:fldChar w:fldCharType="end"/>
      </w:r>
    </w:p>
    <w:p w14:paraId="28972178" w14:textId="77777777" w:rsidR="00AB3647" w:rsidRDefault="00000000" w:rsidP="007923E9">
      <w:pPr>
        <w:pStyle w:val="TOC3"/>
        <w:keepLines/>
        <w:spacing w:line="276" w:lineRule="auto"/>
      </w:pPr>
      <w:hyperlink w:anchor="b3_excM" w:history="1">
        <w:r>
          <w:t xml:space="preserve">נספח </w:t>
        </w:r>
        <w:proofErr w:type="spellStart"/>
        <w:r>
          <w:t>יג</w:t>
        </w:r>
        <w:proofErr w:type="spellEnd"/>
        <w:r>
          <w:t xml:space="preserve"> – 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hyperlink>
      <w:r>
        <w:tab/>
      </w:r>
      <w:r>
        <w:fldChar w:fldCharType="begin" w:dirty="true"/>
      </w:r>
      <w:r>
        <w:instrText xml:space="preserve"> PAGEREF b3_excM \h </w:instrText>
      </w:r>
      <w:r>
        <w:fldChar w:fldCharType="separate"/>
      </w:r>
      <w:r w:rsidR="007923E9">
        <w:rPr>
          <w:noProof/>
        </w:rPr>
        <w:t>1</w:t>
      </w:r>
      <w:r>
        <w:fldChar w:fldCharType="end"/>
      </w:r>
    </w:p>
    <w:p w14:paraId="48EBD0A2" w14:textId="77777777" w:rsidR="00AB3647" w:rsidRDefault="00000000" w:rsidP="007923E9">
      <w:pPr>
        <w:pStyle w:val="TOC3"/>
        <w:keepLines/>
        <w:spacing w:line="276" w:lineRule="auto"/>
      </w:pPr>
      <w:hyperlink w:anchor="b3_excN" w:history="1">
        <w:r>
          <w:t>נספח יד – על פולמוס המוסר בקובנה ועל הרבנים שחתמו על הכרוזים הפומביים נגד המוסר ובעדו</w:t>
        </w:r>
      </w:hyperlink>
      <w:r>
        <w:tab/>
      </w:r>
      <w:r>
        <w:fldChar w:fldCharType="begin" w:dirty="true"/>
      </w:r>
      <w:r>
        <w:instrText xml:space="preserve"> PAGEREF b3_excN \h </w:instrText>
      </w:r>
      <w:r>
        <w:fldChar w:fldCharType="separate"/>
      </w:r>
      <w:r w:rsidR="007923E9">
        <w:rPr>
          <w:noProof/>
        </w:rPr>
        <w:t>1</w:t>
      </w:r>
      <w:r>
        <w:fldChar w:fldCharType="end"/>
      </w:r>
    </w:p>
    <w:p w14:paraId="19AFC11A" w14:textId="77777777" w:rsidR="00AB3647" w:rsidRDefault="00000000" w:rsidP="007923E9">
      <w:pPr>
        <w:pStyle w:val="TOC3"/>
        <w:keepLines/>
        <w:spacing w:line="276" w:lineRule="auto"/>
      </w:pPr>
      <w:hyperlink w:anchor="b3_excO" w:history="1">
        <w:r>
          <w:t xml:space="preserve">נספח טו – על הרקע להקמת ישיבת </w:t>
        </w:r>
        <w:proofErr w:type="spellStart"/>
        <w:r>
          <w:t>סלוצק</w:t>
        </w:r>
        <w:proofErr w:type="spellEnd"/>
        <w:r>
          <w:t xml:space="preserve"> בידי ר׳ </w:t>
        </w:r>
        <w:proofErr w:type="spellStart"/>
        <w:r>
          <w:t>איסר־זלמן</w:t>
        </w:r>
        <w:proofErr w:type="spellEnd"/>
        <w:r>
          <w:t xml:space="preserve"> מלצר</w:t>
        </w:r>
      </w:hyperlink>
      <w:r>
        <w:tab/>
      </w:r>
      <w:r>
        <w:fldChar w:fldCharType="begin" w:dirty="true"/>
      </w:r>
      <w:r>
        <w:instrText xml:space="preserve"> PAGEREF b3_excO \h </w:instrText>
      </w:r>
      <w:r>
        <w:fldChar w:fldCharType="separate"/>
      </w:r>
      <w:r w:rsidR="007923E9">
        <w:rPr>
          <w:noProof/>
        </w:rPr>
        <w:t>1</w:t>
      </w:r>
      <w:r>
        <w:fldChar w:fldCharType="end"/>
      </w:r>
    </w:p>
    <w:p w14:paraId="068FCBA7" w14:textId="77777777" w:rsidR="00AB3647" w:rsidRDefault="00000000" w:rsidP="007923E9">
      <w:pPr>
        <w:pStyle w:val="TOC3"/>
        <w:keepLines/>
        <w:spacing w:line="276" w:lineRule="auto"/>
      </w:pPr>
      <w:hyperlink w:anchor="b3_excP" w:history="1">
        <w:r>
          <w:t xml:space="preserve">נספח </w:t>
        </w:r>
        <w:proofErr w:type="spellStart"/>
        <w:r>
          <w:t>טז</w:t>
        </w:r>
        <w:proofErr w:type="spellEnd"/>
        <w:r>
          <w:t xml:space="preserve"> – 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hyperlink>
      <w:r>
        <w:tab/>
      </w:r>
      <w:r>
        <w:fldChar w:fldCharType="begin" w:dirty="true"/>
      </w:r>
      <w:r>
        <w:instrText xml:space="preserve"> PAGEREF b3_excP \h </w:instrText>
      </w:r>
      <w:r>
        <w:fldChar w:fldCharType="separate"/>
      </w:r>
      <w:r w:rsidR="007923E9">
        <w:rPr>
          <w:noProof/>
        </w:rPr>
        <w:t>1</w:t>
      </w:r>
      <w:r>
        <w:fldChar w:fldCharType="end"/>
      </w:r>
    </w:p>
    <w:p w14:paraId="55848AE7" w14:textId="77777777" w:rsidR="00AB3647" w:rsidRDefault="00000000" w:rsidP="007923E9">
      <w:pPr>
        <w:pStyle w:val="TOC3"/>
        <w:keepLines/>
        <w:spacing w:line="276" w:lineRule="auto"/>
      </w:pPr>
      <w:hyperlink w:anchor="b3_excQ" w:history="1">
        <w:r>
          <w:t xml:space="preserve">נספח </w:t>
        </w:r>
        <w:proofErr w:type="spellStart"/>
        <w:r>
          <w:t>יז</w:t>
        </w:r>
        <w:proofErr w:type="spellEnd"/>
        <w:r>
          <w:t xml:space="preserve"> – 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hyperlink>
      <w:r>
        <w:tab/>
      </w:r>
      <w:r>
        <w:fldChar w:fldCharType="begin" w:dirty="true"/>
      </w:r>
      <w:r>
        <w:instrText xml:space="preserve"> PAGEREF b3_excQ \h </w:instrText>
      </w:r>
      <w:r>
        <w:fldChar w:fldCharType="separate"/>
      </w:r>
      <w:r w:rsidR="007923E9">
        <w:rPr>
          <w:noProof/>
        </w:rPr>
        <w:t>1</w:t>
      </w:r>
      <w:r>
        <w:fldChar w:fldCharType="end"/>
      </w:r>
    </w:p>
    <w:p w14:paraId="58D19376" w14:textId="77777777" w:rsidR="00AB3647" w:rsidRDefault="00000000" w:rsidP="007923E9">
      <w:pPr>
        <w:pStyle w:val="TOC3"/>
        <w:keepLines/>
        <w:spacing w:line="276" w:lineRule="auto"/>
      </w:pPr>
      <w:hyperlink w:anchor="b3_excR" w:history="1">
        <w:r>
          <w:t xml:space="preserve">נספח </w:t>
        </w:r>
        <w:proofErr w:type="spellStart"/>
        <w:r>
          <w:t>יח</w:t>
        </w:r>
        <w:proofErr w:type="spellEnd"/>
        <w:r>
          <w:t xml:space="preserve"> – 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hyperlink>
      <w:r>
        <w:tab/>
      </w:r>
      <w:r>
        <w:fldChar w:fldCharType="begin" w:dirty="true"/>
      </w:r>
      <w:r>
        <w:instrText xml:space="preserve"> PAGEREF b3_excR \h </w:instrText>
      </w:r>
      <w:r>
        <w:fldChar w:fldCharType="separate"/>
      </w:r>
      <w:r w:rsidR="007923E9">
        <w:rPr>
          <w:noProof/>
        </w:rPr>
        <w:t>1</w:t>
      </w:r>
      <w:r>
        <w:fldChar w:fldCharType="end"/>
      </w:r>
    </w:p>
    <w:p w14:paraId="7B130402" w14:textId="77777777" w:rsidR="00AB3647" w:rsidRDefault="00000000" w:rsidP="007923E9">
      <w:pPr>
        <w:pStyle w:val="TOC3"/>
        <w:keepLines/>
        <w:spacing w:line="276" w:lineRule="auto"/>
      </w:pPr>
      <w:hyperlink w:anchor="b3_excS" w:history="1">
        <w:r>
          <w:t xml:space="preserve">נספח </w:t>
        </w:r>
        <w:proofErr w:type="spellStart"/>
        <w:r>
          <w:t>יט</w:t>
        </w:r>
        <w:proofErr w:type="spellEnd"/>
        <w:r>
          <w:t xml:space="preserve"> – 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hyperlink>
      <w:r>
        <w:tab/>
      </w:r>
      <w:r>
        <w:fldChar w:fldCharType="begin" w:dirty="true"/>
      </w:r>
      <w:r>
        <w:instrText xml:space="preserve"> PAGEREF b3_excS \h </w:instrText>
      </w:r>
      <w:r>
        <w:fldChar w:fldCharType="separate"/>
      </w:r>
      <w:r w:rsidR="007923E9">
        <w:rPr>
          <w:noProof/>
        </w:rPr>
        <w:t>1</w:t>
      </w:r>
      <w:r>
        <w:fldChar w:fldCharType="end"/>
      </w:r>
    </w:p>
    <w:p w14:paraId="238DC161" w14:textId="77777777" w:rsidR="00AB3647" w:rsidRDefault="00000000" w:rsidP="007923E9">
      <w:pPr>
        <w:pStyle w:val="TOC3"/>
        <w:keepLines/>
        <w:spacing w:line="276" w:lineRule="auto"/>
      </w:pPr>
      <w:hyperlink w:anchor="b3_excT" w:history="1">
        <w:r>
          <w:t xml:space="preserve">נספח כ – על הדרך שבה התמודד הסבא </w:t>
        </w:r>
        <w:proofErr w:type="spellStart"/>
        <w:r>
          <w:t>מסלבודקה</w:t>
        </w:r>
        <w:proofErr w:type="spellEnd"/>
        <w:r>
          <w:t xml:space="preserve"> עם המרד נגד המוסר בישיבתו, ועל יכולתו לחזות את עתיד תלמידיו</w:t>
        </w:r>
      </w:hyperlink>
      <w:r>
        <w:tab/>
      </w:r>
      <w:r>
        <w:fldChar w:fldCharType="begin" w:dirty="true"/>
      </w:r>
      <w:r>
        <w:instrText xml:space="preserve"> PAGEREF b3_excT \h </w:instrText>
      </w:r>
      <w:r>
        <w:fldChar w:fldCharType="separate"/>
      </w:r>
      <w:r w:rsidR="007923E9">
        <w:rPr>
          <w:noProof/>
        </w:rPr>
        <w:t>1</w:t>
      </w:r>
      <w:r>
        <w:fldChar w:fldCharType="end"/>
      </w:r>
    </w:p>
    <w:p w14:paraId="10407B6F" w14:textId="77777777" w:rsidR="00AB3647" w:rsidRDefault="00000000" w:rsidP="007923E9">
      <w:pPr>
        <w:pStyle w:val="TOC3"/>
        <w:keepLines/>
        <w:spacing w:line="276" w:lineRule="auto"/>
      </w:pPr>
      <w:hyperlink w:anchor="b3_excU" w:history="1">
        <w:r>
          <w:t xml:space="preserve">נספח </w:t>
        </w:r>
        <w:proofErr w:type="spellStart"/>
        <w:r>
          <w:t>כא</w:t>
        </w:r>
        <w:proofErr w:type="spellEnd"/>
        <w:r>
          <w:t xml:space="preserve"> – על המאבקים למען המוסר</w:t>
        </w:r>
      </w:hyperlink>
      <w:r>
        <w:tab/>
      </w:r>
      <w:r>
        <w:fldChar w:fldCharType="begin" w:dirty="true"/>
      </w:r>
      <w:r>
        <w:instrText xml:space="preserve"> PAGEREF b3_excU \h </w:instrText>
      </w:r>
      <w:r>
        <w:fldChar w:fldCharType="separate"/>
      </w:r>
      <w:r w:rsidR="007923E9">
        <w:rPr>
          <w:noProof/>
        </w:rPr>
        <w:t>1</w:t>
      </w:r>
      <w:r>
        <w:fldChar w:fldCharType="end"/>
      </w:r>
    </w:p>
    <w:p w14:paraId="14CC18F5" w14:textId="77777777" w:rsidR="00AB3647" w:rsidRDefault="00000000" w:rsidP="007923E9">
      <w:pPr>
        <w:pStyle w:val="TOC3"/>
        <w:keepLines/>
        <w:spacing w:line="276" w:lineRule="auto"/>
      </w:pPr>
      <w:hyperlink w:anchor="b3_excV" w:history="1">
        <w:r>
          <w:t xml:space="preserve">נספח </w:t>
        </w:r>
        <w:proofErr w:type="spellStart"/>
        <w:r>
          <w:t>כב</w:t>
        </w:r>
        <w:proofErr w:type="spellEnd"/>
        <w:r>
          <w:t xml:space="preserve"> – כיצד רומם הסבא את כבודם של בחורי הישיבות</w:t>
        </w:r>
      </w:hyperlink>
      <w:r>
        <w:tab/>
      </w:r>
      <w:r>
        <w:fldChar w:fldCharType="begin" w:dirty="true"/>
      </w:r>
      <w:r>
        <w:instrText xml:space="preserve"> PAGEREF b3_excV \h </w:instrText>
      </w:r>
      <w:r>
        <w:fldChar w:fldCharType="separate"/>
      </w:r>
      <w:r w:rsidR="007923E9">
        <w:rPr>
          <w:noProof/>
        </w:rPr>
        <w:t>1</w:t>
      </w:r>
      <w:r>
        <w:fldChar w:fldCharType="end"/>
      </w:r>
    </w:p>
    <w:p w14:paraId="74E63B5A" w14:textId="77777777" w:rsidR="00AB3647" w:rsidRDefault="00000000" w:rsidP="007923E9">
      <w:pPr>
        <w:pStyle w:val="TOC3"/>
        <w:keepLines/>
        <w:spacing w:line="276" w:lineRule="auto"/>
      </w:pPr>
      <w:hyperlink w:anchor="b3_excW" w:history="1">
        <w:r>
          <w:t xml:space="preserve">נספח </w:t>
        </w:r>
        <w:proofErr w:type="spellStart"/>
        <w:r>
          <w:t>כג</w:t>
        </w:r>
        <w:proofErr w:type="spellEnd"/>
        <w:r>
          <w:t xml:space="preserve"> – על חיי הבית של הסבא </w:t>
        </w:r>
        <w:proofErr w:type="spellStart"/>
        <w:r>
          <w:t>מסלבודקה</w:t>
        </w:r>
        <w:proofErr w:type="spellEnd"/>
      </w:hyperlink>
      <w:r>
        <w:tab/>
      </w:r>
      <w:r>
        <w:fldChar w:fldCharType="begin" w:dirty="true"/>
      </w:r>
      <w:r>
        <w:instrText xml:space="preserve"> PAGEREF b3_excW \h </w:instrText>
      </w:r>
      <w:r>
        <w:fldChar w:fldCharType="separate"/>
      </w:r>
      <w:r w:rsidR="007923E9">
        <w:rPr>
          <w:noProof/>
        </w:rPr>
        <w:t>1</w:t>
      </w:r>
      <w:r>
        <w:fldChar w:fldCharType="end"/>
      </w:r>
    </w:p>
    <w:p w14:paraId="3F7FEF6B" w14:textId="77777777" w:rsidR="00AB3647" w:rsidRDefault="00000000" w:rsidP="007923E9">
      <w:pPr>
        <w:pStyle w:val="TOC3"/>
        <w:keepLines/>
        <w:spacing w:line="276" w:lineRule="auto"/>
      </w:pPr>
      <w:hyperlink w:anchor="b3_excX" w:history="1">
        <w:r>
          <w:t>נספח כד – על היחסים בין בעלי המוסר למתנגדיהם</w:t>
        </w:r>
      </w:hyperlink>
      <w:r>
        <w:tab/>
      </w:r>
      <w:r>
        <w:fldChar w:fldCharType="begin" w:dirty="true"/>
      </w:r>
      <w:r>
        <w:instrText xml:space="preserve"> PAGEREF b3_excX \h </w:instrText>
      </w:r>
      <w:r>
        <w:fldChar w:fldCharType="separate"/>
      </w:r>
      <w:r w:rsidR="007923E9">
        <w:rPr>
          <w:noProof/>
        </w:rPr>
        <w:t>1</w:t>
      </w:r>
      <w:r>
        <w:fldChar w:fldCharType="end"/>
      </w:r>
    </w:p>
    <w:p w14:paraId="2A10C24D" w14:textId="77777777" w:rsidR="00AB3647" w:rsidRDefault="00000000" w:rsidP="007923E9">
      <w:pPr>
        <w:pStyle w:val="TOC3"/>
        <w:keepLines/>
        <w:spacing w:line="276" w:lineRule="auto"/>
      </w:pPr>
      <w:hyperlink w:anchor="b3_excY" w:history="1">
        <w:r>
          <w:t xml:space="preserve">נספח כה – 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hyperlink>
      <w:r>
        <w:tab/>
      </w:r>
      <w:r>
        <w:fldChar w:fldCharType="begin" w:dirty="true"/>
      </w:r>
      <w:r>
        <w:instrText xml:space="preserve"> PAGEREF b3_excY \h </w:instrText>
      </w:r>
      <w:r>
        <w:fldChar w:fldCharType="separate"/>
      </w:r>
      <w:r w:rsidR="007923E9">
        <w:rPr>
          <w:noProof/>
        </w:rPr>
        <w:t>1</w:t>
      </w:r>
      <w:r>
        <w:fldChar w:fldCharType="end"/>
      </w:r>
    </w:p>
    <w:p w14:paraId="5FFAC310" w14:textId="77777777" w:rsidR="00AB3647" w:rsidRDefault="00000000" w:rsidP="007923E9">
      <w:pPr>
        <w:pStyle w:val="TOC3"/>
        <w:keepLines/>
        <w:spacing w:line="276" w:lineRule="auto"/>
      </w:pPr>
      <w:hyperlink w:anchor="b3_excZ" w:history="1">
        <w:r>
          <w:t xml:space="preserve">נספח </w:t>
        </w:r>
        <w:proofErr w:type="spellStart"/>
        <w:r>
          <w:t>כו</w:t>
        </w:r>
        <w:proofErr w:type="spellEnd"/>
        <w:r>
          <w:t xml:space="preserve"> – 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hyperlink>
      <w:r>
        <w:tab/>
      </w:r>
      <w:r>
        <w:fldChar w:fldCharType="begin" w:dirty="true"/>
      </w:r>
      <w:r>
        <w:instrText xml:space="preserve"> PAGEREF b3_excZ \h </w:instrText>
      </w:r>
      <w:r>
        <w:fldChar w:fldCharType="separate"/>
      </w:r>
      <w:r w:rsidR="007923E9">
        <w:rPr>
          <w:noProof/>
        </w:rPr>
        <w:t>1</w:t>
      </w:r>
      <w:r>
        <w:fldChar w:fldCharType="end"/>
      </w:r>
    </w:p>
    <w:p w14:paraId="321A1468" w14:textId="77777777" w:rsidR="00AB3647" w:rsidRDefault="00000000" w:rsidP="007923E9">
      <w:pPr>
        <w:pStyle w:val="TOC3"/>
        <w:keepLines/>
        <w:spacing w:line="276" w:lineRule="auto"/>
      </w:pPr>
      <w:hyperlink w:anchor="b3_excAA" w:history="1">
        <w:r>
          <w:t xml:space="preserve">נספח </w:t>
        </w:r>
        <w:proofErr w:type="spellStart"/>
        <w:r>
          <w:t>כז</w:t>
        </w:r>
        <w:proofErr w:type="spellEnd"/>
        <w:r>
          <w:t xml:space="preserve"> – על תפקידיו ואופיו של ר׳ </w:t>
        </w:r>
        <w:proofErr w:type="spellStart"/>
        <w:r>
          <w:t xml:space="preserve">בער־הירש</w:t>
        </w:r>
        <w:proofErr w:type="spellEnd"/>
        <w:r>
          <w:t xml:space="preserve"> </w:t>
        </w:r>
        <w:proofErr w:type="spellStart"/>
        <w:r>
          <w:t xml:space="preserve">הלר</w:t>
        </w:r>
        <w:proofErr w:type="spellEnd"/>
      </w:hyperlink>
      <w:r>
        <w:tab/>
      </w:r>
      <w:r>
        <w:fldChar w:fldCharType="begin" w:dirty="true"/>
      </w:r>
      <w:r>
        <w:instrText xml:space="preserve"> PAGEREF b3_excAA \h </w:instrText>
      </w:r>
      <w:r>
        <w:fldChar w:fldCharType="separate"/>
      </w:r>
      <w:r w:rsidR="007923E9">
        <w:rPr>
          <w:noProof/>
        </w:rPr>
        <w:t>1</w:t>
      </w:r>
      <w:r>
        <w:fldChar w:fldCharType="end"/>
      </w:r>
    </w:p>
    <w:p w14:paraId="2D8D9A39" w14:textId="77777777" w:rsidR="00AB3647" w:rsidRDefault="00000000" w:rsidP="007923E9">
      <w:pPr>
        <w:pStyle w:val="TOC3"/>
        <w:keepLines/>
        <w:spacing w:line="276" w:lineRule="auto"/>
      </w:pPr>
      <w:hyperlink w:anchor="b3_excBB" w:history="1">
        <w:r>
          <w:t xml:space="preserve">נספח </w:t>
        </w:r>
        <w:proofErr w:type="spellStart"/>
        <w:r>
          <w:t>כח</w:t>
        </w:r>
        <w:proofErr w:type="spellEnd"/>
        <w:r>
          <w:t xml:space="preserve"> – 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hyperlink>
      <w:r>
        <w:tab/>
      </w:r>
      <w:r>
        <w:fldChar w:fldCharType="begin" w:dirty="true"/>
      </w:r>
      <w:r>
        <w:instrText xml:space="preserve"> PAGEREF b3_excBB \h </w:instrText>
      </w:r>
      <w:r>
        <w:fldChar w:fldCharType="separate"/>
      </w:r>
      <w:r w:rsidR="007923E9">
        <w:rPr>
          <w:noProof/>
        </w:rPr>
        <w:t>1</w:t>
      </w:r>
      <w:r>
        <w:fldChar w:fldCharType="end"/>
      </w:r>
    </w:p>
    <w:p w14:paraId="2C623847" w14:textId="77777777" w:rsidR="00AB3647" w:rsidRDefault="00000000" w:rsidP="007923E9">
      <w:pPr>
        <w:pStyle w:val="TOC3"/>
        <w:keepLines/>
        <w:spacing w:line="276" w:lineRule="auto"/>
      </w:pPr>
      <w:hyperlink w:anchor="b3_excCC" w:history="1">
        <w:r>
          <w:t xml:space="preserve">נספח </w:t>
        </w:r>
        <w:proofErr w:type="spellStart"/>
        <w:r>
          <w:t>כט</w:t>
        </w:r>
        <w:proofErr w:type="spellEnd"/>
        <w:r>
          <w:t xml:space="preserve"> – 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hyperlink>
      <w:r>
        <w:tab/>
      </w:r>
      <w:r>
        <w:fldChar w:fldCharType="begin" w:dirty="true"/>
      </w:r>
      <w:r>
        <w:instrText xml:space="preserve"> PAGEREF b3_excCC \h </w:instrText>
      </w:r>
      <w:r>
        <w:fldChar w:fldCharType="separate"/>
      </w:r>
      <w:r w:rsidR="007923E9">
        <w:rPr>
          <w:noProof/>
        </w:rPr>
        <w:t>1</w:t>
      </w:r>
      <w:r>
        <w:fldChar w:fldCharType="end"/>
      </w:r>
    </w:p>
    <w:p w14:paraId="4F15BEC7" w14:textId="77777777" w:rsidR="00AB3647" w:rsidRDefault="00000000" w:rsidP="007923E9">
      <w:pPr>
        <w:pStyle w:val="TOC3"/>
        <w:keepLines/>
        <w:spacing w:line="276" w:lineRule="auto"/>
      </w:pPr>
      <w:hyperlink w:anchor="b3_excDD" w:history="1">
        <w:r>
          <w:t xml:space="preserve">נספח ל – 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hyperlink>
      <w:r>
        <w:tab/>
      </w:r>
      <w:r>
        <w:fldChar w:fldCharType="begin" w:dirty="true"/>
      </w:r>
      <w:r>
        <w:instrText xml:space="preserve"> PAGEREF b3_excDD \h </w:instrText>
      </w:r>
      <w:r>
        <w:fldChar w:fldCharType="separate"/>
      </w:r>
      <w:r w:rsidR="007923E9">
        <w:rPr>
          <w:noProof/>
        </w:rPr>
        <w:t>1</w:t>
      </w:r>
      <w:r>
        <w:fldChar w:fldCharType="end"/>
      </w:r>
    </w:p>
    <w:p w14:paraId="1044C0F9" w14:textId="77777777" w:rsidR="00AB3647" w:rsidRDefault="00000000" w:rsidP="007923E9">
      <w:pPr>
        <w:pStyle w:val="TOC3"/>
        <w:keepLines/>
        <w:spacing w:line="276" w:lineRule="auto"/>
      </w:pPr>
      <w:hyperlink w:anchor="b3_excEE" w:history="1">
        <w:r>
          <w:t xml:space="preserve">נספח לא – על הקפדתו של ר׳ חיים </w:t>
        </w:r>
        <w:proofErr w:type="spellStart"/>
        <w:r>
          <w:t>סולובייצ׳יק</w:t>
        </w:r>
        <w:proofErr w:type="spellEnd"/>
        <w:r>
          <w:t xml:space="preserve"> על דיוק בדיבור ובדפוס</w:t>
        </w:r>
      </w:hyperlink>
      <w:r>
        <w:tab/>
      </w:r>
      <w:r>
        <w:fldChar w:fldCharType="begin" w:dirty="true"/>
      </w:r>
      <w:r>
        <w:instrText xml:space="preserve"> PAGEREF b3_excEE \h </w:instrText>
      </w:r>
      <w:r>
        <w:fldChar w:fldCharType="separate"/>
      </w:r>
      <w:r w:rsidR="007923E9">
        <w:rPr>
          <w:noProof/>
        </w:rPr>
        <w:t>1</w:t>
      </w:r>
      <w:r>
        <w:fldChar w:fldCharType="end"/>
      </w:r>
    </w:p>
    <w:p w14:paraId="38ABBA6B" w14:textId="77777777" w:rsidR="00AB3647" w:rsidRDefault="00000000" w:rsidP="007923E9">
      <w:pPr>
        <w:pStyle w:val="TOC3"/>
        <w:keepLines/>
        <w:spacing w:line="276" w:lineRule="auto"/>
      </w:pPr>
      <w:hyperlink w:anchor="b3_excFF" w:history="1">
        <w:r>
          <w:t xml:space="preserve">נספח לב – 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hyperlink>
      <w:r>
        <w:tab/>
      </w:r>
      <w:r>
        <w:fldChar w:fldCharType="begin" w:dirty="true"/>
      </w:r>
      <w:r>
        <w:instrText xml:space="preserve"> PAGEREF b3_excFF \h </w:instrText>
      </w:r>
      <w:r>
        <w:fldChar w:fldCharType="separate"/>
      </w:r>
      <w:r w:rsidR="007923E9">
        <w:rPr>
          <w:noProof/>
        </w:rPr>
        <w:t>1</w:t>
      </w:r>
      <w:r>
        <w:fldChar w:fldCharType="end"/>
      </w:r>
    </w:p>
    <w:p w14:paraId="2F1B69EC" w14:textId="77777777" w:rsidR="00AB3647" w:rsidRDefault="00000000" w:rsidP="007923E9">
      <w:pPr>
        <w:pStyle w:val="TOC3"/>
        <w:keepLines/>
        <w:spacing w:line="276" w:lineRule="auto"/>
      </w:pPr>
      <w:hyperlink w:anchor="b3_excGG" w:history="1">
        <w:r>
          <w:t>נספח לג – על השתתפות תלמידי כנסת בית יצחק בשיחות הסבא</w:t>
        </w:r>
      </w:hyperlink>
      <w:r>
        <w:tab/>
      </w:r>
      <w:r>
        <w:fldChar w:fldCharType="begin" w:dirty="true"/>
      </w:r>
      <w:r>
        <w:instrText xml:space="preserve"> PAGEREF b3_excGG \h </w:instrText>
      </w:r>
      <w:r>
        <w:fldChar w:fldCharType="separate"/>
      </w:r>
      <w:r w:rsidR="007923E9">
        <w:rPr>
          <w:noProof/>
        </w:rPr>
        <w:t>1</w:t>
      </w:r>
      <w:r>
        <w:fldChar w:fldCharType="end"/>
      </w:r>
    </w:p>
    <w:p w14:paraId="49BB4E69" w14:textId="77777777" w:rsidR="00AB3647" w:rsidRDefault="00000000" w:rsidP="007923E9">
      <w:pPr>
        <w:pStyle w:val="TOC3"/>
        <w:keepLines/>
        <w:spacing w:line="276" w:lineRule="auto"/>
      </w:pPr>
      <w:hyperlink w:anchor="b3_excHH" w:history="1">
        <w:r>
          <w:t xml:space="preserve">נספח לד – על יחסו של ר׳ </w:t>
        </w:r>
        <w:proofErr w:type="spellStart"/>
        <w:r>
          <w:t>ברוך־בער</w:t>
        </w:r>
        <w:proofErr w:type="spellEnd"/>
        <w:r>
          <w:t xml:space="preserve"> למוסר</w:t>
        </w:r>
      </w:hyperlink>
      <w:r>
        <w:tab/>
      </w:r>
      <w:r>
        <w:fldChar w:fldCharType="begin" w:dirty="true"/>
      </w:r>
      <w:r>
        <w:instrText xml:space="preserve"> PAGEREF b3_excHH \h </w:instrText>
      </w:r>
      <w:r>
        <w:fldChar w:fldCharType="separate"/>
      </w:r>
      <w:r w:rsidR="007923E9">
        <w:rPr>
          <w:noProof/>
        </w:rPr>
        <w:t>1</w:t>
      </w:r>
      <w:r>
        <w:fldChar w:fldCharType="end"/>
      </w:r>
    </w:p>
    <w:p w14:paraId="31BBFD85" w14:textId="77777777" w:rsidR="00AB3647" w:rsidRDefault="00000000" w:rsidP="007923E9">
      <w:pPr>
        <w:pStyle w:val="TOC3"/>
        <w:keepLines/>
        <w:spacing w:line="276" w:lineRule="auto"/>
      </w:pPr>
      <w:hyperlink w:anchor="b3_excII" w:history="1">
        <w:r>
          <w:t xml:space="preserve">נספח לה – על היחסים בין שתי הישיבות </w:t>
        </w:r>
        <w:proofErr w:type="spellStart"/>
        <w:r>
          <w:t>בסלבודקה</w:t>
        </w:r>
        <w:proofErr w:type="spellEnd"/>
      </w:hyperlink>
      <w:r>
        <w:tab/>
      </w:r>
      <w:r>
        <w:fldChar w:fldCharType="begin" w:dirty="true"/>
      </w:r>
      <w:r>
        <w:instrText xml:space="preserve"> PAGEREF b3_excII \h </w:instrText>
      </w:r>
      <w:r>
        <w:fldChar w:fldCharType="separate"/>
      </w:r>
      <w:r w:rsidR="007923E9">
        <w:rPr>
          <w:noProof/>
        </w:rPr>
        <w:t>1</w:t>
      </w:r>
      <w:r>
        <w:fldChar w:fldCharType="end"/>
      </w:r>
    </w:p>
    <w:p w14:paraId="13F995F6" w14:textId="77777777" w:rsidR="00AB3647" w:rsidRDefault="00000000" w:rsidP="007923E9">
      <w:pPr>
        <w:pStyle w:val="TOC3"/>
        <w:keepLines/>
        <w:spacing w:line="276" w:lineRule="auto"/>
      </w:pPr>
      <w:hyperlink w:anchor="b3_excJJ" w:history="1">
        <w:r>
          <w:t xml:space="preserve">נספח לו – על ר׳ זלמן </w:t>
        </w:r>
        <w:proofErr w:type="spellStart"/>
        <w:r>
          <w:t>דולינסקי</w:t>
        </w:r>
        <w:proofErr w:type="spellEnd"/>
        <w:r>
          <w:t xml:space="preserve">, שניהל ועדים בהדרכת הסבא </w:t>
        </w:r>
        <w:proofErr w:type="spellStart"/>
        <w:r>
          <w:t>מסלבודקה</w:t>
        </w:r>
        <w:proofErr w:type="spellEnd"/>
      </w:hyperlink>
      <w:r>
        <w:tab/>
      </w:r>
      <w:r>
        <w:fldChar w:fldCharType="begin" w:dirty="true"/>
      </w:r>
      <w:r>
        <w:instrText xml:space="preserve"> PAGEREF b3_excJJ \h </w:instrText>
      </w:r>
      <w:r>
        <w:fldChar w:fldCharType="separate"/>
      </w:r>
      <w:r w:rsidR="007923E9">
        <w:rPr>
          <w:noProof/>
        </w:rPr>
        <w:t>1</w:t>
      </w:r>
      <w:r>
        <w:fldChar w:fldCharType="end"/>
      </w:r>
    </w:p>
    <w:p w14:paraId="68FAAC25" w14:textId="77777777" w:rsidR="00AB3647" w:rsidRDefault="00000000" w:rsidP="007923E9">
      <w:pPr>
        <w:pStyle w:val="TOC1"/>
        <w:keepNext/>
        <w:keepLines/>
        <w:spacing w:line="276" w:lineRule="auto"/>
      </w:pPr>
      <w:hyperlink w:anchor="b4_chapter" w:history="1">
        <w:r>
          <w:t xml:space="preserve">פרק רביעי – העשור השני – ג: ישיבת </w:t>
        </w:r>
        <w:proofErr w:type="spellStart"/>
        <w:r>
          <w:t>סלבודקה</w:t>
        </w:r>
        <w:proofErr w:type="spellEnd"/>
      </w:hyperlink>
      <w:r>
        <w:tab/>
      </w:r>
      <w:r>
        <w:fldChar w:fldCharType="begin" w:dirty="true"/>
      </w:r>
      <w:r>
        <w:instrText xml:space="preserve"> PAGEREF b4_chapter \h </w:instrText>
      </w:r>
      <w:r>
        <w:fldChar w:fldCharType="separate"/>
      </w:r>
      <w:r w:rsidR="007923E9">
        <w:rPr>
          <w:noProof/>
        </w:rPr>
        <w:t>1</w:t>
      </w:r>
      <w:r>
        <w:fldChar w:fldCharType="end"/>
      </w:r>
    </w:p>
    <w:p w14:paraId="73AB06F7" w14:textId="77777777" w:rsidR="00AB3647" w:rsidRDefault="00000000" w:rsidP="007923E9">
      <w:pPr>
        <w:pStyle w:val="TOC3"/>
        <w:keepLines/>
        <w:spacing w:line="276" w:lineRule="auto"/>
      </w:pPr>
      <w:hyperlink w:anchor="b4_excA" w:history="1">
        <w:r>
          <w:t xml:space="preserve">נספח א – על ידיעת הסבא בחלקי ההלכה שבש״ס ועל החומרות שהנהיג בתפילה בישיבת </w:t>
        </w:r>
        <w:proofErr w:type="spellStart"/>
        <w:r>
          <w:t>סלבודקה</w:t>
        </w:r>
        <w:proofErr w:type="spellEnd"/>
        <w:r>
          <w:t xml:space="preserve"> ושאומצו בישיבות אחרות</w:t>
        </w:r>
      </w:hyperlink>
      <w:r>
        <w:tab/>
      </w:r>
      <w:r>
        <w:fldChar w:fldCharType="begin" w:dirty="true"/>
      </w:r>
      <w:r>
        <w:instrText xml:space="preserve"> PAGEREF b4_excA \h </w:instrText>
      </w:r>
      <w:r>
        <w:fldChar w:fldCharType="separate"/>
      </w:r>
      <w:r w:rsidR="007923E9">
        <w:rPr>
          <w:noProof/>
        </w:rPr>
        <w:t>1</w:t>
      </w:r>
      <w:r>
        <w:fldChar w:fldCharType="end"/>
      </w:r>
    </w:p>
    <w:p w14:paraId="033737C8" w14:textId="77777777" w:rsidR="00AB3647" w:rsidRDefault="00000000" w:rsidP="007923E9">
      <w:pPr>
        <w:pStyle w:val="TOC3"/>
        <w:keepLines/>
        <w:spacing w:line="276" w:lineRule="auto"/>
      </w:pPr>
      <w:hyperlink w:anchor="b4_excB" w:history="1">
        <w:r>
          <w:t xml:space="preserve">נספח ב – 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hyperlink>
      <w:r>
        <w:tab/>
      </w:r>
      <w:r>
        <w:fldChar w:fldCharType="begin" w:dirty="true"/>
      </w:r>
      <w:r>
        <w:instrText xml:space="preserve"> PAGEREF b4_excB \h </w:instrText>
      </w:r>
      <w:r>
        <w:fldChar w:fldCharType="separate"/>
      </w:r>
      <w:r w:rsidR="007923E9">
        <w:rPr>
          <w:noProof/>
        </w:rPr>
        <w:t>1</w:t>
      </w:r>
      <w:r>
        <w:fldChar w:fldCharType="end"/>
      </w:r>
    </w:p>
    <w:p w14:paraId="7863A57B" w14:textId="77777777" w:rsidR="00AB3647" w:rsidRDefault="00000000" w:rsidP="007923E9">
      <w:pPr>
        <w:pStyle w:val="TOC3"/>
        <w:keepLines/>
        <w:spacing w:line="276" w:lineRule="auto"/>
      </w:pPr>
      <w:hyperlink w:anchor="b4_excC" w:history="1">
        <w:r>
          <w:t>נספח ג – על יחסו האבהי של הסבא לתלמידיו ועל יחסם אליו כבנים אל אביהם</w:t>
        </w:r>
      </w:hyperlink>
      <w:r>
        <w:tab/>
      </w:r>
      <w:r>
        <w:fldChar w:fldCharType="begin" w:dirty="true"/>
      </w:r>
      <w:r>
        <w:instrText xml:space="preserve"> PAGEREF b4_excC \h </w:instrText>
      </w:r>
      <w:r>
        <w:fldChar w:fldCharType="separate"/>
      </w:r>
      <w:r w:rsidR="007923E9">
        <w:rPr>
          <w:noProof/>
        </w:rPr>
        <w:t>1</w:t>
      </w:r>
      <w:r>
        <w:fldChar w:fldCharType="end"/>
      </w:r>
    </w:p>
    <w:p w14:paraId="21D057E0" w14:textId="77777777" w:rsidR="00AB3647" w:rsidRDefault="00000000" w:rsidP="007923E9">
      <w:pPr>
        <w:pStyle w:val="TOC3"/>
        <w:keepLines/>
        <w:spacing w:line="276" w:lineRule="auto"/>
      </w:pPr>
      <w:hyperlink w:anchor="b4_excD" w:history="1">
        <w:r>
          <w:t xml:space="preserve">נספח ד – על הכוונת הסבא את ר׳ </w:t>
        </w:r>
        <w:proofErr w:type="spellStart"/>
        <w:r>
          <w:t>יחיאל־יעקב</w:t>
        </w:r>
        <w:proofErr w:type="spellEnd"/>
        <w:r>
          <w:t xml:space="preserve"> ויינברג, ועל אורך רוחו של הלה לנוכח חייו הטרגיים</w:t>
        </w:r>
      </w:hyperlink>
      <w:r>
        <w:tab/>
      </w:r>
      <w:r>
        <w:fldChar w:fldCharType="begin" w:dirty="true"/>
      </w:r>
      <w:r>
        <w:instrText xml:space="preserve"> PAGEREF b4_excD \h </w:instrText>
      </w:r>
      <w:r>
        <w:fldChar w:fldCharType="separate"/>
      </w:r>
      <w:r w:rsidR="007923E9">
        <w:rPr>
          <w:noProof/>
        </w:rPr>
        <w:t>1</w:t>
      </w:r>
      <w:r>
        <w:fldChar w:fldCharType="end"/>
      </w:r>
    </w:p>
    <w:p w14:paraId="50C7DE0D" w14:textId="77777777" w:rsidR="00AB3647" w:rsidRDefault="00000000" w:rsidP="007923E9">
      <w:pPr>
        <w:pStyle w:val="TOC3"/>
        <w:keepLines/>
        <w:spacing w:line="276" w:lineRule="auto"/>
      </w:pPr>
      <w:hyperlink w:anchor="b4_excE" w:history="1">
        <w:r>
          <w:t xml:space="preserve">נספח ה – על יחס הסבא לתלמידים ועל דרך חינוך שנקט פעם כלפי התלמיד שציפה שיהיה גדול הדור ר׳ </w:t>
        </w:r>
        <w:proofErr w:type="spellStart"/>
        <w:r>
          <w:t>יחיאל־יעקב</w:t>
        </w:r>
        <w:proofErr w:type="spellEnd"/>
        <w:r>
          <w:t xml:space="preserve"> ויינברג</w:t>
        </w:r>
      </w:hyperlink>
      <w:r>
        <w:tab/>
      </w:r>
      <w:r>
        <w:fldChar w:fldCharType="begin" w:dirty="true"/>
      </w:r>
      <w:r>
        <w:instrText xml:space="preserve"> PAGEREF b4_excE \h </w:instrText>
      </w:r>
      <w:r>
        <w:fldChar w:fldCharType="separate"/>
      </w:r>
      <w:r w:rsidR="007923E9">
        <w:rPr>
          <w:noProof/>
        </w:rPr>
        <w:t>1</w:t>
      </w:r>
      <w:r>
        <w:fldChar w:fldCharType="end"/>
      </w:r>
    </w:p>
    <w:p w14:paraId="1E9E82F9" w14:textId="77777777" w:rsidR="00AB3647" w:rsidRDefault="00000000" w:rsidP="007923E9">
      <w:pPr>
        <w:pStyle w:val="TOC3"/>
        <w:keepLines/>
        <w:spacing w:line="276" w:lineRule="auto"/>
      </w:pPr>
      <w:hyperlink w:anchor="b4_excF" w:history="1">
        <w:r>
          <w:t xml:space="preserve">נספח ו – על תעניות שקיבל הסבא על עצמו למען תלמידיו ועל תעניות בנו ר׳ </w:t>
        </w:r>
        <w:proofErr w:type="spellStart"/>
        <w:r>
          <w:t>לייזר־יודל</w:t>
        </w:r>
        <w:proofErr w:type="spellEnd"/>
      </w:hyperlink>
      <w:r>
        <w:tab/>
      </w:r>
      <w:r>
        <w:fldChar w:fldCharType="begin" w:dirty="true"/>
      </w:r>
      <w:r>
        <w:instrText xml:space="preserve"> PAGEREF b4_excF \h </w:instrText>
      </w:r>
      <w:r>
        <w:fldChar w:fldCharType="separate"/>
      </w:r>
      <w:r w:rsidR="007923E9">
        <w:rPr>
          <w:noProof/>
        </w:rPr>
        <w:t>1</w:t>
      </w:r>
      <w:r>
        <w:fldChar w:fldCharType="end"/>
      </w:r>
    </w:p>
    <w:p w14:paraId="421353AA" w14:textId="77777777" w:rsidR="00AB3647" w:rsidRDefault="00000000" w:rsidP="007923E9">
      <w:pPr>
        <w:pStyle w:val="TOC3"/>
        <w:keepLines/>
        <w:spacing w:line="276" w:lineRule="auto"/>
      </w:pPr>
      <w:hyperlink w:anchor="b4_excG" w:history="1">
        <w:r>
          <w:t>נספח ז – על הישגי הסבא בהמשכת לימוד התורה והנהגתה ועל תומכי תורה מרכזיים בימיו ובזמנים האחרונים</w:t>
        </w:r>
      </w:hyperlink>
      <w:r>
        <w:tab/>
      </w:r>
      <w:r>
        <w:fldChar w:fldCharType="begin" w:dirty="true"/>
      </w:r>
      <w:r>
        <w:instrText xml:space="preserve"> PAGEREF b4_excG \h </w:instrText>
      </w:r>
      <w:r>
        <w:fldChar w:fldCharType="separate"/>
      </w:r>
      <w:r w:rsidR="007923E9">
        <w:rPr>
          <w:noProof/>
        </w:rPr>
        <w:t>1</w:t>
      </w:r>
      <w:r>
        <w:fldChar w:fldCharType="end"/>
      </w:r>
    </w:p>
    <w:p w14:paraId="7A7D65FD" w14:textId="77777777" w:rsidR="00AB3647" w:rsidRDefault="00000000" w:rsidP="007923E9">
      <w:pPr>
        <w:pStyle w:val="TOC3"/>
        <w:keepLines/>
        <w:spacing w:line="276" w:lineRule="auto"/>
      </w:pPr>
      <w:hyperlink w:anchor="b4_excH" w:history="1">
        <w:r>
          <w:t xml:space="preserve">נספח ח – 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hyperlink>
      <w:r>
        <w:tab/>
      </w:r>
      <w:r>
        <w:fldChar w:fldCharType="begin" w:dirty="true"/>
      </w:r>
      <w:r>
        <w:instrText xml:space="preserve"> PAGEREF b4_excH \h </w:instrText>
      </w:r>
      <w:r>
        <w:fldChar w:fldCharType="separate"/>
      </w:r>
      <w:r w:rsidR="007923E9">
        <w:rPr>
          <w:noProof/>
        </w:rPr>
        <w:t>1</w:t>
      </w:r>
      <w:r>
        <w:fldChar w:fldCharType="end"/>
      </w:r>
    </w:p>
    <w:p w14:paraId="37BE94D2" w14:textId="77777777" w:rsidR="00AB3647" w:rsidRDefault="00000000" w:rsidP="007923E9">
      <w:pPr>
        <w:pStyle w:val="TOC3"/>
        <w:keepLines/>
        <w:spacing w:line="276" w:lineRule="auto"/>
      </w:pPr>
      <w:hyperlink w:anchor="b4_excI" w:history="1">
        <w:r>
          <w:t xml:space="preserve">נספח ט – 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hyperlink>
      <w:r>
        <w:tab/>
      </w:r>
      <w:r>
        <w:fldChar w:fldCharType="begin" w:dirty="true"/>
      </w:r>
      <w:r>
        <w:instrText xml:space="preserve"> PAGEREF b4_excI \h </w:instrText>
      </w:r>
      <w:r>
        <w:fldChar w:fldCharType="separate"/>
      </w:r>
      <w:r w:rsidR="007923E9">
        <w:rPr>
          <w:noProof/>
        </w:rPr>
        <w:t>1</w:t>
      </w:r>
      <w:r>
        <w:fldChar w:fldCharType="end"/>
      </w:r>
    </w:p>
    <w:p w14:paraId="25600426" w14:textId="77777777" w:rsidR="00AB3647" w:rsidRDefault="00000000" w:rsidP="007923E9">
      <w:pPr>
        <w:pStyle w:val="TOC3"/>
        <w:keepLines/>
        <w:spacing w:line="276" w:lineRule="auto"/>
      </w:pPr>
      <w:hyperlink w:anchor="b4_excJ" w:history="1">
        <w:r>
          <w:t xml:space="preserve">נספח י – על סיפורים שסיפר ר׳ נפתלי אמסטרדם לרבנו על עצמו ועל חבריו ועל מקצת תורת רבם ר׳ ישראל </w:t>
        </w:r>
        <w:proofErr w:type="spellStart"/>
        <w:r>
          <w:t>סלנטר</w:t>
        </w:r>
        <w:proofErr w:type="spellEnd"/>
      </w:hyperlink>
      <w:r>
        <w:tab/>
      </w:r>
      <w:r>
        <w:fldChar w:fldCharType="begin" w:dirty="true"/>
      </w:r>
      <w:r>
        <w:instrText xml:space="preserve"> PAGEREF b4_excJ \h </w:instrText>
      </w:r>
      <w:r>
        <w:fldChar w:fldCharType="separate"/>
      </w:r>
      <w:r w:rsidR="007923E9">
        <w:rPr>
          <w:noProof/>
        </w:rPr>
        <w:t>1</w:t>
      </w:r>
      <w:r>
        <w:fldChar w:fldCharType="end"/>
      </w:r>
    </w:p>
    <w:p w14:paraId="6F8BE0B2" w14:textId="77777777" w:rsidR="00AB3647" w:rsidRDefault="00000000" w:rsidP="007923E9">
      <w:pPr>
        <w:pStyle w:val="TOC3"/>
        <w:keepLines/>
        <w:spacing w:line="276" w:lineRule="auto"/>
      </w:pPr>
      <w:hyperlink w:anchor="b4_excK" w:history="1">
        <w:r>
          <w:t>נספח יא – על פטירתו של ר׳ לייזר גורדון הנכבד בעת גיוס כספים בלונדון</w:t>
        </w:r>
      </w:hyperlink>
      <w:r>
        <w:tab/>
      </w:r>
      <w:r>
        <w:fldChar w:fldCharType="begin" w:dirty="true"/>
      </w:r>
      <w:r>
        <w:instrText xml:space="preserve"> PAGEREF b4_excK \h </w:instrText>
      </w:r>
      <w:r>
        <w:fldChar w:fldCharType="separate"/>
      </w:r>
      <w:r w:rsidR="007923E9">
        <w:rPr>
          <w:noProof/>
        </w:rPr>
        <w:t>1</w:t>
      </w:r>
      <w:r>
        <w:fldChar w:fldCharType="end"/>
      </w:r>
    </w:p>
    <w:p w14:paraId="64380406" w14:textId="77777777" w:rsidR="00AB3647" w:rsidRDefault="00000000" w:rsidP="007923E9">
      <w:pPr>
        <w:pStyle w:val="TOC3"/>
        <w:keepLines/>
        <w:spacing w:line="276" w:lineRule="auto"/>
      </w:pPr>
      <w:hyperlink w:anchor="b4_excL" w:history="1">
        <w:r>
          <w:t xml:space="preserve">נספח </w:t>
        </w:r>
        <w:proofErr w:type="spellStart"/>
        <w:r>
          <w:t>יב</w:t>
        </w:r>
        <w:proofErr w:type="spellEnd"/>
        <w:r>
          <w:t xml:space="preserve"> – על הנסיבות שהביאו למינויו של ר׳ לייזר גורדון לרבנות </w:t>
        </w:r>
        <w:proofErr w:type="spellStart"/>
        <w:r>
          <w:t>טלז</w:t>
        </w:r>
        <w:proofErr w:type="spellEnd"/>
      </w:hyperlink>
      <w:r>
        <w:tab/>
      </w:r>
      <w:r>
        <w:fldChar w:fldCharType="begin" w:dirty="true"/>
      </w:r>
      <w:r>
        <w:instrText xml:space="preserve"> PAGEREF b4_excL \h </w:instrText>
      </w:r>
      <w:r>
        <w:fldChar w:fldCharType="separate"/>
      </w:r>
      <w:r w:rsidR="007923E9">
        <w:rPr>
          <w:noProof/>
        </w:rPr>
        <w:t>1</w:t>
      </w:r>
      <w:r>
        <w:fldChar w:fldCharType="end"/>
      </w:r>
    </w:p>
    <w:p w14:paraId="53FF41A8" w14:textId="77777777" w:rsidR="00AB3647" w:rsidRDefault="00000000" w:rsidP="007923E9">
      <w:pPr>
        <w:pStyle w:val="TOC3"/>
        <w:keepLines/>
        <w:spacing w:line="276" w:lineRule="auto"/>
      </w:pPr>
      <w:hyperlink w:anchor="b4_excM" w:history="1">
        <w:r>
          <w:t xml:space="preserve">נספח </w:t>
        </w:r>
        <w:proofErr w:type="spellStart"/>
        <w:r>
          <w:t>יג</w:t>
        </w:r>
        <w:proofErr w:type="spellEnd"/>
        <w:r>
          <w:t xml:space="preserve"> – 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hyperlink>
      <w:r>
        <w:tab/>
      </w:r>
      <w:r>
        <w:fldChar w:fldCharType="begin" w:dirty="true"/>
      </w:r>
      <w:r>
        <w:instrText xml:space="preserve"> PAGEREF b4_excM \h </w:instrText>
      </w:r>
      <w:r>
        <w:fldChar w:fldCharType="separate"/>
      </w:r>
      <w:r w:rsidR="007923E9">
        <w:rPr>
          <w:noProof/>
        </w:rPr>
        <w:t>1</w:t>
      </w:r>
      <w:r>
        <w:fldChar w:fldCharType="end"/>
      </w:r>
    </w:p>
    <w:p w14:paraId="02869DF4" w14:textId="77777777" w:rsidR="00AB3647" w:rsidRDefault="00000000" w:rsidP="007923E9">
      <w:pPr>
        <w:pStyle w:val="TOC3"/>
        <w:keepLines/>
        <w:spacing w:line="276" w:lineRule="auto"/>
      </w:pPr>
      <w:hyperlink w:anchor="b4_excN" w:history="1">
        <w:r>
          <w:t xml:space="preserve">נספח יד – 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hyperlink>
      <w:r>
        <w:tab/>
      </w:r>
      <w:r>
        <w:fldChar w:fldCharType="begin" w:dirty="true"/>
      </w:r>
      <w:r>
        <w:instrText xml:space="preserve"> PAGEREF b4_excN \h </w:instrText>
      </w:r>
      <w:r>
        <w:fldChar w:fldCharType="separate"/>
      </w:r>
      <w:r w:rsidR="007923E9">
        <w:rPr>
          <w:noProof/>
        </w:rPr>
        <w:t>1</w:t>
      </w:r>
      <w:r>
        <w:fldChar w:fldCharType="end"/>
      </w:r>
    </w:p>
    <w:p w14:paraId="01665DE8" w14:textId="77777777" w:rsidR="00AB3647" w:rsidRDefault="00000000" w:rsidP="007923E9">
      <w:pPr>
        <w:pStyle w:val="TOC3"/>
        <w:keepLines/>
        <w:spacing w:line="276" w:lineRule="auto"/>
      </w:pPr>
      <w:hyperlink w:anchor="b4_excO" w:history="1">
        <w:r>
          <w:t xml:space="preserve">נספח טו – 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hyperlink>
      <w:r>
        <w:tab/>
      </w:r>
      <w:r>
        <w:fldChar w:fldCharType="begin" w:dirty="true"/>
      </w:r>
      <w:r>
        <w:instrText xml:space="preserve"> PAGEREF b4_excO \h </w:instrText>
      </w:r>
      <w:r>
        <w:fldChar w:fldCharType="separate"/>
      </w:r>
      <w:r w:rsidR="007923E9">
        <w:rPr>
          <w:noProof/>
        </w:rPr>
        <w:t>1</w:t>
      </w:r>
      <w:r>
        <w:fldChar w:fldCharType="end"/>
      </w:r>
    </w:p>
    <w:p w14:paraId="4F2D2C9A" w14:textId="77777777" w:rsidR="00AB3647" w:rsidRDefault="00000000" w:rsidP="007923E9">
      <w:pPr>
        <w:pStyle w:val="TOC3"/>
        <w:keepLines/>
        <w:spacing w:line="276" w:lineRule="auto"/>
      </w:pPr>
      <w:hyperlink w:anchor="b4_excP" w:history="1">
        <w:r>
          <w:t xml:space="preserve">נספח </w:t>
        </w:r>
        <w:proofErr w:type="spellStart"/>
        <w:r>
          <w:t>טז</w:t>
        </w:r>
        <w:proofErr w:type="spellEnd"/>
        <w:r>
          <w:t xml:space="preserve"> – על ר׳ אהרן קוטלר ור׳ שלמה היימן ועל קרבת ר׳ </w:t>
        </w:r>
        <w:proofErr w:type="spellStart"/>
        <w:r>
          <w:t>ברוך־בער</w:t>
        </w:r>
        <w:proofErr w:type="spellEnd"/>
        <w:r>
          <w:t xml:space="preserve"> לתלמידיו</w:t>
        </w:r>
      </w:hyperlink>
      <w:r>
        <w:tab/>
      </w:r>
      <w:r>
        <w:fldChar w:fldCharType="begin" w:dirty="true"/>
      </w:r>
      <w:r>
        <w:instrText xml:space="preserve"> PAGEREF b4_excP \h </w:instrText>
      </w:r>
      <w:r>
        <w:fldChar w:fldCharType="separate"/>
      </w:r>
      <w:r w:rsidR="007923E9">
        <w:rPr>
          <w:noProof/>
        </w:rPr>
        <w:t>1</w:t>
      </w:r>
      <w:r>
        <w:fldChar w:fldCharType="end"/>
      </w:r>
    </w:p>
    <w:p w14:paraId="1314FDF0" w14:textId="77777777" w:rsidR="00AB3647" w:rsidRDefault="00000000" w:rsidP="007923E9">
      <w:pPr>
        <w:pStyle w:val="TOC3"/>
        <w:keepLines/>
        <w:spacing w:line="276" w:lineRule="auto"/>
      </w:pPr>
      <w:hyperlink w:anchor="b4_excQ" w:history="1">
        <w:r>
          <w:t xml:space="preserve">נספח </w:t>
        </w:r>
        <w:proofErr w:type="spellStart"/>
        <w:r>
          <w:t>יז</w:t>
        </w:r>
        <w:proofErr w:type="spellEnd"/>
        <w:r>
          <w:t xml:space="preserve"> – 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hyperlink>
      <w:r>
        <w:tab/>
      </w:r>
      <w:r>
        <w:fldChar w:fldCharType="begin" w:dirty="true"/>
      </w:r>
      <w:r>
        <w:instrText xml:space="preserve"> PAGEREF b4_excQ \h </w:instrText>
      </w:r>
      <w:r>
        <w:fldChar w:fldCharType="separate"/>
      </w:r>
      <w:r w:rsidR="007923E9">
        <w:rPr>
          <w:noProof/>
        </w:rPr>
        <w:t>1</w:t>
      </w:r>
      <w:r>
        <w:fldChar w:fldCharType="end"/>
      </w:r>
    </w:p>
    <w:p w14:paraId="275E996F" w14:textId="77777777" w:rsidR="00AB3647" w:rsidRDefault="00000000" w:rsidP="007923E9">
      <w:pPr>
        <w:pStyle w:val="TOC3"/>
        <w:keepLines/>
        <w:spacing w:line="276" w:lineRule="auto"/>
      </w:pPr>
      <w:hyperlink w:anchor="b4_excR" w:history="1">
        <w:r>
          <w:t xml:space="preserve">נספח </w:t>
        </w:r>
        <w:proofErr w:type="spellStart"/>
        <w:r>
          <w:t>יח</w:t>
        </w:r>
        <w:proofErr w:type="spellEnd"/>
        <w:r>
          <w:t xml:space="preserve"> – 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hyperlink>
      <w:r>
        <w:tab/>
      </w:r>
      <w:r>
        <w:fldChar w:fldCharType="begin" w:dirty="true"/>
      </w:r>
      <w:r>
        <w:instrText xml:space="preserve"> PAGEREF b4_excR \h </w:instrText>
      </w:r>
      <w:r>
        <w:fldChar w:fldCharType="separate"/>
      </w:r>
      <w:r w:rsidR="007923E9">
        <w:rPr>
          <w:noProof/>
        </w:rPr>
        <w:t>1</w:t>
      </w:r>
      <w:r>
        <w:fldChar w:fldCharType="end"/>
      </w:r>
    </w:p>
    <w:p w14:paraId="73310878" w14:textId="77777777" w:rsidR="00AB3647" w:rsidRDefault="00000000" w:rsidP="007923E9">
      <w:pPr>
        <w:pStyle w:val="TOC3"/>
        <w:keepLines/>
        <w:spacing w:line="276" w:lineRule="auto"/>
      </w:pPr>
      <w:hyperlink w:anchor="b4_excS" w:history="1">
        <w:r>
          <w:t xml:space="preserve">נספח </w:t>
        </w:r>
        <w:proofErr w:type="spellStart"/>
        <w:r>
          <w:t>יט</w:t>
        </w:r>
        <w:proofErr w:type="spellEnd"/>
        <w:r>
          <w:t xml:space="preserve"> – 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hyperlink>
      <w:r>
        <w:tab/>
      </w:r>
      <w:r>
        <w:fldChar w:fldCharType="begin" w:dirty="true"/>
      </w:r>
      <w:r>
        <w:instrText xml:space="preserve"> PAGEREF b4_excS \h </w:instrText>
      </w:r>
      <w:r>
        <w:fldChar w:fldCharType="separate"/>
      </w:r>
      <w:r w:rsidR="007923E9">
        <w:rPr>
          <w:noProof/>
        </w:rPr>
        <w:t>1</w:t>
      </w:r>
      <w:r>
        <w:fldChar w:fldCharType="end"/>
      </w:r>
    </w:p>
    <w:p w14:paraId="3B1ED8EF" w14:textId="77777777" w:rsidR="00AB3647" w:rsidRDefault="00000000" w:rsidP="007923E9">
      <w:pPr>
        <w:pStyle w:val="TOC3"/>
        <w:keepLines/>
        <w:spacing w:line="276" w:lineRule="auto"/>
      </w:pPr>
      <w:hyperlink w:anchor="b4_excT" w:history="1">
        <w:r>
          <w:t xml:space="preserve">נספח כ – 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hyperlink>
      <w:r>
        <w:tab/>
      </w:r>
      <w:r>
        <w:fldChar w:fldCharType="begin" w:dirty="true"/>
      </w:r>
      <w:r>
        <w:instrText xml:space="preserve"> PAGEREF b4_excT \h </w:instrText>
      </w:r>
      <w:r>
        <w:fldChar w:fldCharType="separate"/>
      </w:r>
      <w:r w:rsidR="007923E9">
        <w:rPr>
          <w:noProof/>
        </w:rPr>
        <w:t>1</w:t>
      </w:r>
      <w:r>
        <w:fldChar w:fldCharType="end"/>
      </w:r>
    </w:p>
    <w:p w14:paraId="29750DAF" w14:textId="77777777" w:rsidR="00AB3647" w:rsidRDefault="00000000" w:rsidP="007923E9">
      <w:pPr>
        <w:pStyle w:val="TOC1"/>
        <w:keepNext/>
        <w:keepLines/>
        <w:spacing w:line="276" w:lineRule="auto"/>
      </w:pPr>
      <w:hyperlink w:anchor="b5_chapter" w:history="1">
        <w:r>
          <w:t xml:space="preserve">פרק חמישי – העשור השני – ד: </w:t>
        </w:r>
        <w:proofErr w:type="spellStart"/>
        <w:r>
          <w:t>מאלטש</w:t>
        </w:r>
        <w:proofErr w:type="spellEnd"/>
      </w:hyperlink>
      <w:r>
        <w:tab/>
      </w:r>
      <w:r>
        <w:fldChar w:fldCharType="begin" w:dirty="true"/>
      </w:r>
      <w:r>
        <w:instrText xml:space="preserve"> PAGEREF b5_chapter \h </w:instrText>
      </w:r>
      <w:r>
        <w:fldChar w:fldCharType="separate"/>
      </w:r>
      <w:r w:rsidR="007923E9">
        <w:rPr>
          <w:noProof/>
        </w:rPr>
        <w:t>1</w:t>
      </w:r>
      <w:r>
        <w:fldChar w:fldCharType="end"/>
      </w:r>
    </w:p>
    <w:p w14:paraId="0A9AC9A5" w14:textId="77777777" w:rsidR="00AB3647" w:rsidRDefault="00000000" w:rsidP="007923E9">
      <w:pPr>
        <w:pStyle w:val="TOC3"/>
        <w:keepLines/>
        <w:spacing w:line="276" w:lineRule="auto"/>
      </w:pPr>
      <w:hyperlink w:anchor="b5_excA" w:history="1">
        <w:r>
          <w:t xml:space="preserve">נספח א – על גילוח הזקנים בישיבות </w:t>
        </w:r>
        <w:proofErr w:type="spellStart"/>
        <w:r>
          <w:t>וולוז׳ין</w:t>
        </w:r>
        <w:proofErr w:type="spellEnd"/>
        <w:r>
          <w:t xml:space="preserve"> </w:t>
        </w:r>
        <w:proofErr w:type="spellStart"/>
        <w:r>
          <w:t>וסלבודקה</w:t>
        </w:r>
        <w:proofErr w:type="spellEnd"/>
      </w:hyperlink>
      <w:r>
        <w:tab/>
      </w:r>
      <w:r>
        <w:fldChar w:fldCharType="begin" w:dirty="true"/>
      </w:r>
      <w:r>
        <w:instrText xml:space="preserve"> PAGEREF b5_excA \h </w:instrText>
      </w:r>
      <w:r>
        <w:fldChar w:fldCharType="separate"/>
      </w:r>
      <w:r w:rsidR="007923E9">
        <w:rPr>
          <w:noProof/>
        </w:rPr>
        <w:t>1</w:t>
      </w:r>
      <w:r>
        <w:fldChar w:fldCharType="end"/>
      </w:r>
    </w:p>
    <w:p w14:paraId="6F3674F6" w14:textId="77777777" w:rsidR="00AB3647" w:rsidRDefault="00000000" w:rsidP="007923E9">
      <w:pPr>
        <w:pStyle w:val="TOC3"/>
        <w:keepLines/>
        <w:spacing w:line="276" w:lineRule="auto"/>
      </w:pPr>
      <w:hyperlink w:anchor="b5_excB" w:history="1">
        <w:r>
          <w:t xml:space="preserve">נספח ב – על מאמצו השכלי של ר׳ ישראל </w:t>
        </w:r>
        <w:proofErr w:type="spellStart"/>
        <w:r>
          <w:t>סלנטר</w:t>
        </w:r>
        <w:proofErr w:type="spellEnd"/>
        <w:r>
          <w:t>, על פסקו המדהים להצלת חייו ועל מורת רוחו מדרכו להרוויח את לחמו</w:t>
        </w:r>
      </w:hyperlink>
      <w:r>
        <w:tab/>
      </w:r>
      <w:r>
        <w:fldChar w:fldCharType="begin" w:dirty="true"/>
      </w:r>
      <w:r>
        <w:instrText xml:space="preserve"> PAGEREF b5_excB \h </w:instrText>
      </w:r>
      <w:r>
        <w:fldChar w:fldCharType="separate"/>
      </w:r>
      <w:r w:rsidR="007923E9">
        <w:rPr>
          <w:noProof/>
        </w:rPr>
        <w:t>1</w:t>
      </w:r>
      <w:r>
        <w:fldChar w:fldCharType="end"/>
      </w:r>
    </w:p>
    <w:p w14:paraId="17320026" w14:textId="77777777" w:rsidR="00AB3647" w:rsidRDefault="00000000" w:rsidP="007923E9">
      <w:pPr>
        <w:pStyle w:val="TOC3"/>
        <w:keepLines/>
        <w:spacing w:line="276" w:lineRule="auto"/>
      </w:pPr>
      <w:hyperlink w:anchor="b5_excC" w:history="1">
        <w:r>
          <w:t xml:space="preserve">נספח ג – על לימוד תנ״ך בישיבות לצעירים ועל גאונותו של העילוי </w:t>
        </w:r>
        <w:proofErr w:type="spellStart"/>
        <w:r>
          <w:t>מווישקי</w:t>
        </w:r>
        <w:proofErr w:type="spellEnd"/>
      </w:hyperlink>
      <w:r>
        <w:tab/>
      </w:r>
      <w:r>
        <w:fldChar w:fldCharType="begin" w:dirty="true"/>
      </w:r>
      <w:r>
        <w:instrText xml:space="preserve"> PAGEREF b5_excC \h </w:instrText>
      </w:r>
      <w:r>
        <w:fldChar w:fldCharType="separate"/>
      </w:r>
      <w:r w:rsidR="007923E9">
        <w:rPr>
          <w:noProof/>
        </w:rPr>
        <w:t>1</w:t>
      </w:r>
      <w:r>
        <w:fldChar w:fldCharType="end"/>
      </w:r>
    </w:p>
    <w:p w14:paraId="743C722A" w14:textId="77777777" w:rsidR="00AB3647" w:rsidRDefault="00000000" w:rsidP="007923E9">
      <w:pPr>
        <w:pStyle w:val="TOC3"/>
        <w:keepLines/>
        <w:spacing w:line="276" w:lineRule="auto"/>
      </w:pPr>
      <w:hyperlink w:anchor="b5_excD" w:history="1">
        <w:r>
          <w:t xml:space="preserve">נספח ד – על טעם אפשרי להחזרת רבנו </w:t>
        </w:r>
        <w:proofErr w:type="spellStart"/>
        <w:r>
          <w:t>ממאלטש</w:t>
        </w:r>
        <w:proofErr w:type="spellEnd"/>
        <w:r>
          <w:t xml:space="preserve"> בידי הסבא ועל ויתורו של הרב על האמת לטובת תלמידיו</w:t>
        </w:r>
      </w:hyperlink>
      <w:r>
        <w:tab/>
      </w:r>
      <w:r>
        <w:fldChar w:fldCharType="begin" w:dirty="true"/>
      </w:r>
      <w:r>
        <w:instrText xml:space="preserve"> PAGEREF b5_excD \h </w:instrText>
      </w:r>
      <w:r>
        <w:fldChar w:fldCharType="separate"/>
      </w:r>
      <w:r w:rsidR="007923E9">
        <w:rPr>
          <w:noProof/>
        </w:rPr>
        <w:t>1</w:t>
      </w:r>
      <w:r>
        <w:fldChar w:fldCharType="end"/>
      </w:r>
    </w:p>
    <w:p w14:paraId="4DF4B695" w14:textId="77777777" w:rsidR="00AB3647" w:rsidRDefault="00000000" w:rsidP="007923E9">
      <w:pPr>
        <w:pStyle w:val="TOC3"/>
        <w:keepLines/>
        <w:spacing w:line="276" w:lineRule="auto"/>
      </w:pPr>
      <w:hyperlink w:anchor="b5_excE" w:history="1">
        <w:r>
          <w:t>נספח ה – על גיוס יהודים לצבא הצאר</w:t>
        </w:r>
      </w:hyperlink>
      <w:r>
        <w:tab/>
      </w:r>
      <w:r>
        <w:fldChar w:fldCharType="begin" w:dirty="true"/>
      </w:r>
      <w:r>
        <w:instrText xml:space="preserve"> PAGEREF b5_excE \h </w:instrText>
      </w:r>
      <w:r>
        <w:fldChar w:fldCharType="separate"/>
      </w:r>
      <w:r w:rsidR="007923E9">
        <w:rPr>
          <w:noProof/>
        </w:rPr>
        <w:t>1</w:t>
      </w:r>
      <w:r>
        <w:fldChar w:fldCharType="end"/>
      </w:r>
    </w:p>
    <w:p w14:paraId="400D5FC0" w14:textId="77777777" w:rsidR="00AB3647" w:rsidRDefault="00000000" w:rsidP="007923E9">
      <w:pPr>
        <w:pStyle w:val="TOC3"/>
        <w:keepLines/>
        <w:spacing w:line="276" w:lineRule="auto"/>
      </w:pPr>
      <w:hyperlink w:anchor="b5_excF" w:history="1">
        <w:r>
          <w:t xml:space="preserve">נספח ו – על כושר המחשבה המיוחד של ר׳ חיים </w:t>
        </w:r>
        <w:proofErr w:type="spellStart"/>
        <w:r>
          <w:t>סולובייצ׳יק</w:t>
        </w:r>
        <w:proofErr w:type="spellEnd"/>
        <w:r>
          <w:t xml:space="preserve"> ועל חסדו המופלג</w:t>
        </w:r>
      </w:hyperlink>
      <w:r>
        <w:tab/>
      </w:r>
      <w:r>
        <w:fldChar w:fldCharType="begin" w:dirty="true"/>
      </w:r>
      <w:r>
        <w:instrText xml:space="preserve"> PAGEREF b5_excF \h </w:instrText>
      </w:r>
      <w:r>
        <w:fldChar w:fldCharType="separate"/>
      </w:r>
      <w:r w:rsidR="007923E9">
        <w:rPr>
          <w:noProof/>
        </w:rPr>
        <w:t>1</w:t>
      </w:r>
      <w:r>
        <w:fldChar w:fldCharType="end"/>
      </w:r>
    </w:p>
    <w:p w14:paraId="5C1F189F" w14:textId="77777777" w:rsidR="00AB3647" w:rsidRDefault="00000000" w:rsidP="007923E9">
      <w:pPr>
        <w:pStyle w:val="TOC3"/>
        <w:keepLines/>
        <w:spacing w:line="276" w:lineRule="auto"/>
      </w:pPr>
      <w:hyperlink w:anchor="b5_excG" w:history="1">
        <w:r>
          <w:t xml:space="preserve">נספח ז – על גאונותו של ר׳ </w:t>
        </w:r>
        <w:proofErr w:type="spellStart"/>
        <w:r>
          <w:t>אברהם־אליהו</w:t>
        </w:r>
        <w:proofErr w:type="spellEnd"/>
        <w:r>
          <w:t xml:space="preserve"> קפלן ופטירתו בטרם עת</w:t>
        </w:r>
      </w:hyperlink>
      <w:r>
        <w:tab/>
      </w:r>
      <w:r>
        <w:fldChar w:fldCharType="begin" w:dirty="true"/>
      </w:r>
      <w:r>
        <w:instrText xml:space="preserve"> PAGEREF b5_excG \h </w:instrText>
      </w:r>
      <w:r>
        <w:fldChar w:fldCharType="separate"/>
      </w:r>
      <w:r w:rsidR="007923E9">
        <w:rPr>
          <w:noProof/>
        </w:rPr>
        <w:t>1</w:t>
      </w:r>
      <w:r>
        <w:fldChar w:fldCharType="end"/>
      </w:r>
    </w:p>
    <w:p w14:paraId="30007DBB" w14:textId="77777777" w:rsidR="00AB3647" w:rsidRDefault="00000000" w:rsidP="007923E9">
      <w:pPr>
        <w:pStyle w:val="TOC3"/>
        <w:keepLines/>
        <w:spacing w:line="276" w:lineRule="auto"/>
      </w:pPr>
      <w:hyperlink w:anchor="b5_excH" w:history="1">
        <w:r>
          <w:t xml:space="preserve">נספח ח – על העילוי </w:t>
        </w:r>
        <w:proofErr w:type="spellStart"/>
        <w:r>
          <w:t>מראקוב</w:t>
        </w:r>
        <w:proofErr w:type="spellEnd"/>
        <w:r>
          <w:t xml:space="preserve"> והעילוי </w:t>
        </w:r>
        <w:proofErr w:type="spellStart"/>
        <w:r>
          <w:t>ממייצ׳ט</w:t>
        </w:r>
        <w:proofErr w:type="spellEnd"/>
      </w:hyperlink>
      <w:r>
        <w:tab/>
      </w:r>
      <w:r>
        <w:fldChar w:fldCharType="begin" w:dirty="true"/>
      </w:r>
      <w:r>
        <w:instrText xml:space="preserve"> PAGEREF b5_excH \h </w:instrText>
      </w:r>
      <w:r>
        <w:fldChar w:fldCharType="separate"/>
      </w:r>
      <w:r w:rsidR="007923E9">
        <w:rPr>
          <w:noProof/>
        </w:rPr>
        <w:t>1</w:t>
      </w:r>
      <w:r>
        <w:fldChar w:fldCharType="end"/>
      </w:r>
    </w:p>
    <w:p w14:paraId="1DE42CFA" w14:textId="77777777" w:rsidR="00AB3647" w:rsidRDefault="00000000" w:rsidP="007923E9">
      <w:pPr>
        <w:pStyle w:val="TOC3"/>
        <w:keepLines/>
        <w:spacing w:line="276" w:lineRule="auto"/>
      </w:pPr>
      <w:hyperlink w:anchor="b5_excI" w:history="1">
        <w:r>
          <w:t xml:space="preserve">נספח ט – על בריאותו של ר׳ חיים </w:t>
        </w:r>
        <w:proofErr w:type="spellStart"/>
        <w:r>
          <w:t>סולובייצ׳יק</w:t>
        </w:r>
        <w:proofErr w:type="spellEnd"/>
      </w:hyperlink>
      <w:r>
        <w:tab/>
      </w:r>
      <w:r>
        <w:fldChar w:fldCharType="begin" w:dirty="true"/>
      </w:r>
      <w:r>
        <w:instrText xml:space="preserve"> PAGEREF b5_excI \h </w:instrText>
      </w:r>
      <w:r>
        <w:fldChar w:fldCharType="separate"/>
      </w:r>
      <w:r w:rsidR="007923E9">
        <w:rPr>
          <w:noProof/>
        </w:rPr>
        <w:t>1</w:t>
      </w:r>
      <w:r>
        <w:fldChar w:fldCharType="end"/>
      </w:r>
    </w:p>
    <w:p w14:paraId="559E3595" w14:textId="77777777" w:rsidR="00AB3647" w:rsidRDefault="00000000" w:rsidP="007923E9">
      <w:pPr>
        <w:pStyle w:val="TOC3"/>
        <w:keepLines/>
        <w:spacing w:line="276" w:lineRule="auto"/>
      </w:pPr>
      <w:hyperlink w:anchor="b5_excJ" w:history="1">
        <w:r>
          <w:t xml:space="preserve">נספח י – על לבושו הרבני של ר׳ חיים </w:t>
        </w:r>
        <w:proofErr w:type="spellStart"/>
        <w:r>
          <w:t>סולובייצ׳יק</w:t>
        </w:r>
        <w:proofErr w:type="spellEnd"/>
        <w:r>
          <w:t xml:space="preserve"> ועל יחסו אליו</w:t>
        </w:r>
      </w:hyperlink>
      <w:r>
        <w:tab/>
      </w:r>
      <w:r>
        <w:fldChar w:fldCharType="begin" w:dirty="true"/>
      </w:r>
      <w:r>
        <w:instrText xml:space="preserve"> PAGEREF b5_excJ \h </w:instrText>
      </w:r>
      <w:r>
        <w:fldChar w:fldCharType="separate"/>
      </w:r>
      <w:r w:rsidR="007923E9">
        <w:rPr>
          <w:noProof/>
        </w:rPr>
        <w:t>1</w:t>
      </w:r>
      <w:r>
        <w:fldChar w:fldCharType="end"/>
      </w:r>
    </w:p>
    <w:p w14:paraId="317A68E6" w14:textId="77777777" w:rsidR="00AB3647" w:rsidRDefault="00000000" w:rsidP="007923E9">
      <w:pPr>
        <w:spacing w:line="276" w:lineRule="auto"/>
      </w:pPr>
      <w:r>
        <w:br w:type="page"/>
      </w:r>
    </w:p>
    <w:p w14:paraId="40171C3E" w14:textId="77777777" w:rsidR="00AB3647" w:rsidRDefault="00000000" w:rsidP="007923E9">
      <w:pPr>
        <w:pStyle w:val="1"/>
        <w:spacing w:line="276" w:lineRule="auto"/>
      </w:pPr>
      <w:bookmarkStart w:id="0" w:name="b0_translator"/>
      <w:r>
        <w:rPr>
          <w:b w:val="0"/>
        </w:rPr>
        <w:lastRenderedPageBreak/>
        <w:t>הערת המתרגם</w:t>
      </w:r>
      <w:bookmarkEnd w:id="0"/>
    </w:p>
    <w:p w14:paraId="51A34473" w14:textId="77777777" w:rsidR="00AB3647" w:rsidRDefault="00000000" w:rsidP="007923E9">
      <w:pPr>
        <w:spacing w:after="100" w:line="276" w:lineRule="auto"/>
        <w:ind w:firstLine="340"/>
        <w:jc w:val="both"/>
      </w:pPr>
      <w:r>
        <w:rPr>
          <w:rtl/>
        </w:rPr>
        <w:t xml:space="preserve">ספר זה הוא תרגום של הכרך הראשון של </w:t>
      </w:r>
      <w:proofErr w:type="spellStart"/>
      <w:r>
        <w:rPr>
          <w:rtl/>
        </w:rPr>
        <w:t>Making</w:t>
      </w:r>
      <w:proofErr w:type="spellEnd"/>
      <w:r>
        <w:rPr>
          <w:rtl/>
        </w:rPr>
        <w:t xml:space="preserve"> </w:t>
      </w:r>
      <w:proofErr w:type="spellStart"/>
      <w:r>
        <w:rPr>
          <w:rtl/>
        </w:rPr>
        <w:t>of</w:t>
      </w:r>
      <w:proofErr w:type="spellEnd"/>
      <w:r>
        <w:rPr>
          <w:rtl/>
        </w:rPr>
        <w:t xml:space="preserve"> a </w:t>
      </w:r>
      <w:proofErr w:type="spellStart"/>
      <w:r>
        <w:rPr>
          <w:rtl/>
        </w:rPr>
        <w:t>Godol</w:t>
      </w:r>
      <w:proofErr w:type="spellEnd"/>
      <w:r>
        <w:rPr>
          <w:rtl/>
        </w:rPr>
        <w:t xml:space="preserve"> מאת הרב נתן </w:t>
      </w:r>
      <w:proofErr w:type="spellStart"/>
      <w:r>
        <w:rPr>
          <w:rtl/>
        </w:rPr>
        <w:t>קמינצקי</w:t>
      </w:r>
      <w:proofErr w:type="spellEnd"/>
      <w:r>
        <w:rPr>
          <w:rtl/>
        </w:rPr>
        <w:t>. הספר ערוך בשני חלקים, על יסוד מתכונת המהדורה האנגלית: בחלק הראשון מובאים חמשת פרקי הסיפור ברצף, ללא מנגנון ההערות; בחלק השני חוזר הסיפור במקטעים ממוסגרים, וביניהם ההערות הממוספרות; הנספחים מרוכזים בסוף כל פרק, לאחר הסיפור וההערות שלו. בשני החלקים מובא אותו נוסח עברי של הסיפור. מספרי ההערות זהים למקור, והנספחים מסומנים באותיות עבריות. הערות המקור שבתחתית העמודים מובאות בחלק השני כהערות שוליים ממוספרות, המתחילות מחדש בכל פרק; גם לחלקי הפתיחה נשמרו הערותיהם. ההקדמה “כיצד נכתב ספר זה” מתייחסת למבנה זה.</w:t>
      </w:r>
    </w:p>
    <w:p w14:paraId="7F85C604" w14:textId="77777777" w:rsidR="00AB3647" w:rsidRDefault="00000000" w:rsidP="007923E9">
      <w:pPr>
        <w:spacing w:after="100" w:line="276" w:lineRule="auto"/>
        <w:ind w:firstLine="340"/>
        <w:jc w:val="both"/>
      </w:pPr>
      <w:r>
        <w:rPr>
          <w:rtl/>
        </w:rPr>
        <w:t>התאריכים בספר הובאו לפי הלוח העברי, למעט תאריכי אירועי עולם ותאריכי ראיונות שנמסרו במקור בלועזית בלבד; המידות הומרו למידות מטריות; הסברים שנועדו לקורא האנגלי הושמטו. מובאות שהמחבר הביא בעברית הועתקו כלשונן. מובאות ממקורות עבריים שהמחבר הביא בתרגום לאנגלית הושבו ללשון המקור כל אימת שהמקור אותר (וכשהנוסח נלקח ממהדורה אחרת או מספר מקביל, צוין הדבר בהערת המתרגם), ובשאר המקומות תורגמו מן האנגלית. הערות המתרגם מסומנות בכוכבית (*) ועוסקות בפרטים עובדתיים בלבד; נוסח המחבר עצמו לא שונה, מלבד ציוני מקורות שגויים (עמוד, כרך, הפניה פנימית), שתוקנו בלי ציון. הפניה בנוסח “נספח ט לעיל – עמ׳ 172” פירושה: הספר שצוין בנספח ט, בעמוד 172 שלו.</w:t>
      </w:r>
    </w:p>
    <w:p w14:paraId="4A0A8A47" w14:textId="77777777" w:rsidR="00AB3647" w:rsidRDefault="00000000" w:rsidP="007923E9">
      <w:pPr>
        <w:spacing w:after="100" w:line="276" w:lineRule="auto"/>
        <w:ind w:firstLine="340"/>
        <w:jc w:val="both"/>
      </w:pPr>
      <w:r>
        <w:rPr>
          <w:rtl/>
        </w:rPr>
        <w:t>לא תורגמו דברי הפתיחה של המהדורה האנגלית – כללי התעתיק לאנגלית והפרק “כיצד לקרוא ספר זה”, שנועדו לקורא האנגלי – וכן דברי התודה, לוח הנספחים לפי סדר הזמנים, רשימת המקורות, המילון והמפתחות שבסוף המקור. תוכן העניינים ומפתח הנספחים שבראש תרגום זה הותאמו למבנהו של הקובץ העברי. ההקדמה “כיצד נכתב ספר זה”, שבה מתאר המחבר כיצד אסף את העדויות ואיך הכריע ביניהן, תורגמה במלואה ומובאת להלן.</w:t>
      </w:r>
    </w:p>
    <w:p w14:paraId="1167A554" w14:textId="77777777" w:rsidR="00AB3647" w:rsidRDefault="00000000" w:rsidP="007923E9">
      <w:pPr>
        <w:spacing w:after="100" w:line="276" w:lineRule="auto"/>
        <w:ind w:firstLine="340"/>
        <w:jc w:val="both"/>
      </w:pPr>
      <w:r>
        <w:rPr>
          <w:rtl/>
        </w:rPr>
        <w:t>תרגום זה נעשה מן המהדורה הראשונה של הספר (תשס״ב), בנוסח שכתבו המחבר מלכתחילה, בלא השינויים וההשמטות שנעשו בו לאחר מכן. עת לחשות ועת לדבר.</w:t>
      </w:r>
    </w:p>
    <w:p w14:paraId="503E51B2" w14:textId="77777777" w:rsidR="00AB3647" w:rsidRDefault="00000000" w:rsidP="007923E9">
      <w:pPr>
        <w:spacing w:line="276" w:lineRule="auto"/>
      </w:pPr>
      <w:r>
        <w:br w:type="page"/>
      </w:r>
    </w:p>
    <w:p w14:paraId="01D0ECC3" w14:textId="77777777" w:rsidR="00AB3647" w:rsidRDefault="00000000" w:rsidP="007923E9">
      <w:pPr>
        <w:pStyle w:val="1"/>
        <w:spacing w:line="276" w:lineRule="auto"/>
      </w:pPr>
      <w:bookmarkStart w:id="1" w:name="b0_foreword"/>
      <w:r>
        <w:rPr>
          <w:b w:val="0"/>
        </w:rPr>
        <w:lastRenderedPageBreak/>
        <w:t>הקדמה – כיצד נכתב ספר זה</w:t>
      </w:r>
      <w:bookmarkEnd w:id="1"/>
    </w:p>
    <w:p w14:paraId="4717B92D" w14:textId="77777777" w:rsidR="00AB3647" w:rsidRDefault="00000000" w:rsidP="007923E9">
      <w:pPr>
        <w:pStyle w:val="2"/>
        <w:spacing w:line="276" w:lineRule="auto"/>
      </w:pPr>
      <w:r>
        <w:t>א. רעיון ותהליך</w:t>
      </w:r>
    </w:p>
    <w:p w14:paraId="7427C000" w14:textId="77777777" w:rsidR="00AB3647" w:rsidRDefault="00000000" w:rsidP="007923E9">
      <w:pPr>
        <w:spacing w:after="100" w:line="276" w:lineRule="auto"/>
        <w:ind w:firstLine="340"/>
        <w:jc w:val="both"/>
      </w:pPr>
      <w:r>
        <w:rPr>
          <w:rtl/>
        </w:rPr>
        <w:t xml:space="preserve">התחלתי לעבוד על ביוגרפיה של אבי ז״ל זמן קצר אחרי פטירתו. בתחילה – כמתחיל שהייתי – סברתי שאוכל להשלימה בשלוש שנים. ככל שחלף הזמן ונערם עוד ועוד מידע, החלטתי למסור את החומר שנאסף </w:t>
      </w:r>
      <w:proofErr w:type="spellStart"/>
      <w:r>
        <w:rPr>
          <w:rtl/>
        </w:rPr>
        <w:t>לארטסקרול</w:t>
      </w:r>
      <w:proofErr w:type="spellEnd"/>
      <w:r>
        <w:rPr>
          <w:rtl/>
        </w:rPr>
        <w:t>, הוצאה מכובדת המתמחה בספרים מסוג זה, שתעסיק סופר ותוציא את הספר לאור.</w:t>
      </w:r>
    </w:p>
    <w:p w14:paraId="33FDA9E0" w14:textId="77777777" w:rsidR="00AB3647" w:rsidRDefault="00000000" w:rsidP="007923E9">
      <w:pPr>
        <w:spacing w:after="100" w:line="276" w:lineRule="auto"/>
        <w:ind w:firstLine="340"/>
        <w:jc w:val="both"/>
      </w:pPr>
      <w:r>
        <w:rPr>
          <w:rtl/>
        </w:rPr>
        <w:t xml:space="preserve">למזלה של משפחתנו בחרה </w:t>
      </w:r>
      <w:proofErr w:type="spellStart"/>
      <w:r>
        <w:rPr>
          <w:rtl/>
        </w:rPr>
        <w:t>ארטסקרול</w:t>
      </w:r>
      <w:proofErr w:type="spellEnd"/>
      <w:r>
        <w:rPr>
          <w:rtl/>
        </w:rPr>
        <w:t xml:space="preserve"> בר׳ יונתן רוזנבלום למלאכה. תיאורו של אדם שלא הכיר אלא מתוך תמלילי ראיונות עם אנשים שהכירוהו – תמלילים שסיפקתי לו – היה מדויק להפליא. התוצאה הייתה הכרך מעורר ההשראה והמחנך </w:t>
      </w:r>
      <w:proofErr w:type="spellStart"/>
      <w:r>
        <w:rPr>
          <w:rtl/>
        </w:rPr>
        <w:t>Reb</w:t>
      </w:r>
      <w:proofErr w:type="spellEnd"/>
      <w:r>
        <w:rPr>
          <w:rtl/>
        </w:rPr>
        <w:t xml:space="preserve"> </w:t>
      </w:r>
      <w:proofErr w:type="spellStart"/>
      <w:r>
        <w:rPr>
          <w:rtl/>
        </w:rPr>
        <w:t>Yaakov</w:t>
      </w:r>
      <w:proofErr w:type="spellEnd"/>
      <w:r>
        <w:rPr>
          <w:rtl/>
        </w:rPr>
        <w:t>,</w:t>
      </w:r>
      <w:bookmarkStart w:id="2" w:name="_fnr1"/>
      <w:r>
        <w:rPr>
          <w:rStyle w:val="a5"/>
        </w:rPr>
        <w:footnoteReference w:id="1" w:customMarkFollows="0"/>
      </w:r>
      <w:bookmarkEnd w:id="2"/>
      <w:r>
        <w:rPr>
          <w:rtl/>
        </w:rPr>
        <w:t xml:space="preserve"> שיצא לאור שבע שנים אחרי פטירת אבינו, </w:t>
      </w:r>
      <w:proofErr w:type="spellStart"/>
      <w:r>
        <w:rPr>
          <w:rtl/>
        </w:rPr>
        <w:t>בתשנ״ג</w:t>
      </w:r>
      <w:proofErr w:type="spellEnd"/>
      <w:r>
        <w:rPr>
          <w:rtl/>
        </w:rPr>
        <w:t xml:space="preserve">. אחר כך תרגמתי את הספר ההוא לעברית, </w:t>
      </w:r>
      <w:proofErr w:type="spellStart"/>
      <w:r>
        <w:rPr>
          <w:rtl/>
        </w:rPr>
        <w:t>ו“רבי</w:t>
      </w:r>
      <w:proofErr w:type="spellEnd"/>
      <w:r>
        <w:rPr>
          <w:rtl/>
        </w:rPr>
        <w:t xml:space="preserve"> יעקב”</w:t>
      </w:r>
      <w:bookmarkStart w:id="3" w:name="_fnr2"/>
      <w:r>
        <w:rPr>
          <w:rStyle w:val="a5"/>
        </w:rPr>
        <w:footnoteReference w:id="2" w:customMarkFollows="0"/>
      </w:r>
      <w:bookmarkEnd w:id="3"/>
      <w:r>
        <w:rPr>
          <w:rtl/>
        </w:rPr>
        <w:t xml:space="preserve"> ראה אור בארץ </w:t>
      </w:r>
      <w:proofErr w:type="spellStart"/>
      <w:r>
        <w:rPr>
          <w:rtl/>
        </w:rPr>
        <w:t>בתשנ״ו</w:t>
      </w:r>
      <w:proofErr w:type="spellEnd"/>
      <w:r>
        <w:rPr>
          <w:rtl/>
        </w:rPr>
        <w:t xml:space="preserve"> וזכה לקבלת פנים חמה מצד הציבור התורני בארץ.</w:t>
      </w:r>
    </w:p>
    <w:p w14:paraId="256AC32E" w14:textId="77777777" w:rsidR="00AB3647" w:rsidRDefault="00000000" w:rsidP="007923E9">
      <w:pPr>
        <w:spacing w:after="100" w:line="276" w:lineRule="auto"/>
        <w:ind w:firstLine="340"/>
        <w:jc w:val="both"/>
      </w:pPr>
      <w:r>
        <w:rPr>
          <w:rtl/>
        </w:rPr>
        <w:t xml:space="preserve">לא זו בלבד שרוזנבלום עשה את מלאכתו בצורה מעולה, טובה לאין ערוך ממה שאני הייתי יכול לעשות או אפילו לחלום שאוכל לעשות, אלא שהוא גם חסך ממני את </w:t>
      </w:r>
      <w:proofErr w:type="spellStart"/>
      <w:r>
        <w:rPr>
          <w:rtl/>
        </w:rPr>
        <w:t>אי־הנוחות</w:t>
      </w:r>
      <w:proofErr w:type="spellEnd"/>
      <w:r>
        <w:rPr>
          <w:rtl/>
        </w:rPr>
        <w:t xml:space="preserve"> שעלול לחוש בן הכותב בשבח אביו. על כך מגיעה </w:t>
      </w:r>
      <w:proofErr w:type="spellStart"/>
      <w:r>
        <w:rPr>
          <w:rtl/>
        </w:rPr>
        <w:t>לר</w:t>
      </w:r>
      <w:proofErr w:type="spellEnd"/>
      <w:r>
        <w:rPr>
          <w:rtl/>
        </w:rPr>
        <w:t>׳ יונתן הכרת תודה אישית מיוחדת.</w:t>
      </w:r>
    </w:p>
    <w:p w14:paraId="0BCE7629" w14:textId="77777777" w:rsidR="00AB3647" w:rsidRDefault="00000000" w:rsidP="007923E9">
      <w:pPr>
        <w:spacing w:after="100" w:line="276" w:lineRule="auto"/>
        <w:ind w:firstLine="340"/>
        <w:jc w:val="both"/>
      </w:pPr>
      <w:r>
        <w:rPr>
          <w:rtl/>
        </w:rPr>
        <w:t>בשנות הראיונות והמחקר שלי אספתי חומר הראוי להפצה בעולם התורה הרבה מעבר למה שפורסם ב-</w:t>
      </w:r>
      <w:proofErr w:type="spellStart"/>
      <w:r>
        <w:rPr>
          <w:rtl/>
        </w:rPr>
        <w:t>Reb</w:t>
      </w:r>
      <w:proofErr w:type="spellEnd"/>
      <w:r>
        <w:rPr>
          <w:rtl/>
        </w:rPr>
        <w:t xml:space="preserve"> </w:t>
      </w:r>
      <w:proofErr w:type="spellStart"/>
      <w:r>
        <w:rPr>
          <w:rtl/>
        </w:rPr>
        <w:t>Yaakov</w:t>
      </w:r>
      <w:proofErr w:type="spellEnd"/>
      <w:r>
        <w:rPr>
          <w:rtl/>
        </w:rPr>
        <w:t>. חלק גדול ממנו לא נגע ישירות לאבי אלא לאנשים גדולים שעליהם דיבר באריכות או בדרך אגב.</w:t>
      </w:r>
    </w:p>
    <w:p w14:paraId="0A97AA16" w14:textId="77777777" w:rsidR="00AB3647" w:rsidRDefault="00000000" w:rsidP="007923E9">
      <w:pPr>
        <w:spacing w:after="100" w:line="276" w:lineRule="auto"/>
        <w:ind w:firstLine="340"/>
        <w:jc w:val="both"/>
      </w:pPr>
      <w:r>
        <w:rPr>
          <w:rtl/>
        </w:rPr>
        <w:t>הספר שהתחלתי לכתוב התפתח לדבר רחב יותר מביוגרפיה של אבי. הוא הקיף גם סיפורים על גדולי התורה של דורות קודמים, סיפורים הנותנים הבנה עמוקה יותר של אישים שמקומם בהיסטוריה הרוחנית של עמנו – שלא כמקומם של בני דורנו – כבר מובטח. התיאורים של מאורות אלה המופיעים כאן מבוססים בעיקר על דברים שאמר אבי עליהם ועל מחקר והיקשים שלי שאמירותיו עוררו. אבי היה מפורסם בסיפורים שסיפר על דורות קודמים. לא שהיה סתם מספר סיפורים; הוא היה מספר את סיפוריו לחיזוק רעיונות שביקש להנחיל או עצות שנתן.</w:t>
      </w:r>
    </w:p>
    <w:p w14:paraId="7764C164" w14:textId="77777777" w:rsidR="00AB3647" w:rsidRDefault="00000000" w:rsidP="007923E9">
      <w:pPr>
        <w:spacing w:after="100" w:line="276" w:lineRule="auto"/>
        <w:ind w:firstLine="340"/>
        <w:jc w:val="both"/>
      </w:pPr>
      <w:r>
        <w:rPr>
          <w:rtl/>
        </w:rPr>
        <w:t xml:space="preserve">נכדו של אבי, ר׳ פסח </w:t>
      </w:r>
      <w:proofErr w:type="spellStart"/>
      <w:r>
        <w:rPr>
          <w:rtl/>
        </w:rPr>
        <w:t>דיסקינד</w:t>
      </w:r>
      <w:proofErr w:type="spellEnd"/>
      <w:r>
        <w:rPr>
          <w:rtl/>
        </w:rPr>
        <w:t>, סיפר</w:t>
      </w:r>
      <w:bookmarkStart w:id="4" w:name="_fnr3"/>
      <w:r>
        <w:rPr>
          <w:rStyle w:val="a5"/>
        </w:rPr>
        <w:footnoteReference w:id="3" w:customMarkFollows="0"/>
      </w:r>
      <w:bookmarkEnd w:id="4"/>
      <w:r>
        <w:rPr>
          <w:rtl/>
        </w:rPr>
        <w:t xml:space="preserve"> כיצד למד אצל סבו קיץ אחד, לאחר שראש הישיבה שלו, ר׳ אלי׳ שווי, אמר לו להקפיד לנצל את ההזדמנות וללקט סיפורים מעניינים מפי החכם הישיש. “פעם אחת, </w:t>
      </w:r>
      <w:proofErr w:type="spellStart"/>
      <w:r>
        <w:rPr>
          <w:rtl/>
        </w:rPr>
        <w:t>כשלא</w:t>
      </w:r>
      <w:proofErr w:type="spellEnd"/>
      <w:r>
        <w:rPr>
          <w:rtl/>
        </w:rPr>
        <w:t xml:space="preserve"> הצלחתי להוציא מסבי מעשה,” סיפר ר׳ פסח, “גיליתי לו מה שאמר לי ר׳ אלי׳ וביקשתי ממנו ישירות שיספר לי סיפור. תגובתו הייתה: ‘אח, אי אפשר סתם לספר </w:t>
      </w:r>
      <w:r>
        <w:rPr>
          <w:rtl/>
        </w:rPr>
        <w:lastRenderedPageBreak/>
        <w:t xml:space="preserve">סיפור! סיפור בא להסביר משהו – כמו מלח ופלפל שנותנים טעם לאוכל. האם אפשר לשבת ולאכול רק מלח או פלפל?!’” (ראה </w:t>
      </w:r>
      <w:proofErr w:type="spellStart"/>
      <w:r>
        <w:rPr>
          <w:rtl/>
        </w:rPr>
        <w:t>Reb</w:t>
      </w:r>
      <w:proofErr w:type="spellEnd"/>
      <w:r>
        <w:rPr>
          <w:rtl/>
        </w:rPr>
        <w:t xml:space="preserve"> </w:t>
      </w:r>
      <w:proofErr w:type="spellStart"/>
      <w:r>
        <w:rPr>
          <w:rtl/>
        </w:rPr>
        <w:t>Yaakov</w:t>
      </w:r>
      <w:bookmarkStart w:id="5" w:name="_fnr4"/>
      <w:proofErr w:type="spellEnd"/>
      <w:r>
        <w:rPr>
          <w:rStyle w:val="a5"/>
        </w:rPr>
        <w:footnoteReference w:id="4" w:customMarkFollows="0"/>
      </w:r>
      <w:bookmarkEnd w:id="5"/>
      <w:r>
        <w:rPr>
          <w:rtl/>
        </w:rPr>
        <w:t xml:space="preserve"> </w:t>
      </w:r>
      <w:proofErr w:type="spellStart"/>
      <w:r>
        <w:rPr>
          <w:rtl/>
        </w:rPr>
        <w:t>ו“רבי</w:t>
      </w:r>
      <w:proofErr w:type="spellEnd"/>
      <w:r>
        <w:rPr>
          <w:rtl/>
        </w:rPr>
        <w:t xml:space="preserve"> יעקב”.</w:t>
      </w:r>
      <w:bookmarkStart w:id="6" w:name="_fnr5"/>
      <w:r>
        <w:rPr>
          <w:rStyle w:val="a5"/>
        </w:rPr>
        <w:footnoteReference w:id="5" w:customMarkFollows="0"/>
      </w:r>
      <w:bookmarkEnd w:id="6"/>
      <w:r>
        <w:rPr>
          <w:rtl/>
        </w:rPr>
        <w:t>)</w:t>
      </w:r>
    </w:p>
    <w:p w14:paraId="6F5C0A64" w14:textId="77777777" w:rsidR="00AB3647" w:rsidRDefault="00000000" w:rsidP="007923E9">
      <w:pPr>
        <w:spacing w:after="100" w:line="276" w:lineRule="auto"/>
        <w:ind w:firstLine="340"/>
        <w:jc w:val="both"/>
      </w:pPr>
      <w:r>
        <w:rPr>
          <w:rtl/>
        </w:rPr>
        <w:t xml:space="preserve">אמירה שאמר ר׳ </w:t>
      </w:r>
      <w:proofErr w:type="spellStart"/>
      <w:r>
        <w:rPr>
          <w:rtl/>
        </w:rPr>
        <w:t>איצל׳ה</w:t>
      </w:r>
      <w:proofErr w:type="spellEnd"/>
      <w:r>
        <w:rPr>
          <w:rtl/>
        </w:rPr>
        <w:t xml:space="preserve"> </w:t>
      </w:r>
      <w:proofErr w:type="spellStart"/>
      <w:r>
        <w:rPr>
          <w:rtl/>
        </w:rPr>
        <w:t>מוולוז׳ין</w:t>
      </w:r>
      <w:proofErr w:type="spellEnd"/>
      <w:r>
        <w:rPr>
          <w:rtl/>
        </w:rPr>
        <w:t xml:space="preserve"> – בנו של ר׳ חיים ויורשו בראשות ישיבת </w:t>
      </w:r>
      <w:proofErr w:type="spellStart"/>
      <w:r>
        <w:rPr>
          <w:rtl/>
        </w:rPr>
        <w:t>וולוז׳ין</w:t>
      </w:r>
      <w:proofErr w:type="spellEnd"/>
      <w:r>
        <w:rPr>
          <w:rtl/>
        </w:rPr>
        <w:t xml:space="preserve"> – </w:t>
      </w:r>
      <w:proofErr w:type="spellStart"/>
      <w:r>
        <w:rPr>
          <w:rtl/>
        </w:rPr>
        <w:t>בתקצ״א</w:t>
      </w:r>
      <w:proofErr w:type="spellEnd"/>
      <w:r>
        <w:rPr>
          <w:rtl/>
        </w:rPr>
        <w:t xml:space="preserve"> ממחישה את הנקודה שבסיפורי אבי. פעם אמר לאחד מתלמידיו:</w:t>
      </w:r>
      <w:bookmarkStart w:id="7" w:name="_fnr6"/>
      <w:r>
        <w:rPr>
          <w:rStyle w:val="a5"/>
        </w:rPr>
        <w:footnoteReference w:id="6" w:customMarkFollows="0"/>
      </w:r>
      <w:bookmarkEnd w:id="7"/>
      <w:r>
        <w:rPr>
          <w:rtl/>
        </w:rPr>
        <w:t xml:space="preserve"> “דע לך, בני, שכל סיפוריי מכילים כללים מקיפים להנהגת החיים בחכמה ולהתנהגות נאותה, שיועילו לך בימים הבאים.”</w:t>
      </w:r>
      <w:bookmarkStart w:id="8" w:name="_fnr7"/>
      <w:r>
        <w:rPr>
          <w:rStyle w:val="a5"/>
        </w:rPr>
        <w:footnoteReference w:id="7" w:customMarkFollows="0"/>
      </w:r>
      <w:bookmarkEnd w:id="8"/>
    </w:p>
    <w:p w14:paraId="3907A247" w14:textId="77777777" w:rsidR="00AB3647" w:rsidRDefault="00000000" w:rsidP="007923E9">
      <w:pPr>
        <w:spacing w:after="100" w:line="276" w:lineRule="auto"/>
        <w:ind w:firstLine="340"/>
        <w:jc w:val="both"/>
      </w:pPr>
      <w:r>
        <w:rPr>
          <w:rtl/>
        </w:rPr>
        <w:t xml:space="preserve">לפי “ספר </w:t>
      </w:r>
      <w:proofErr w:type="spellStart"/>
      <w:r>
        <w:rPr>
          <w:rtl/>
        </w:rPr>
        <w:t>זכרון</w:t>
      </w:r>
      <w:proofErr w:type="spellEnd"/>
      <w:r>
        <w:rPr>
          <w:rtl/>
        </w:rPr>
        <w:t xml:space="preserve"> – המאיר”,</w:t>
      </w:r>
      <w:bookmarkStart w:id="9" w:name="_fnr8"/>
      <w:r>
        <w:rPr>
          <w:rStyle w:val="a5"/>
        </w:rPr>
        <w:footnoteReference w:id="8" w:customMarkFollows="0"/>
      </w:r>
      <w:bookmarkEnd w:id="9"/>
      <w:r>
        <w:rPr>
          <w:rtl/>
        </w:rPr>
        <w:t xml:space="preserve"> אמירה דומה אמר ר׳ </w:t>
      </w:r>
      <w:proofErr w:type="spellStart"/>
      <w:r>
        <w:rPr>
          <w:rtl/>
        </w:rPr>
        <w:t>מאיר־שמחה</w:t>
      </w:r>
      <w:proofErr w:type="spellEnd"/>
      <w:r>
        <w:rPr>
          <w:rtl/>
        </w:rPr>
        <w:t xml:space="preserve"> הכהן כמעט מאה שנה מאוחר יותר, בתקופה קרובה הרבה יותר לתקופתו של רבנו. אצל ר׳ </w:t>
      </w:r>
      <w:proofErr w:type="spellStart"/>
      <w:r>
        <w:rPr>
          <w:rtl/>
        </w:rPr>
        <w:t>מאיר־שמחה</w:t>
      </w:r>
      <w:proofErr w:type="spellEnd"/>
      <w:r>
        <w:rPr>
          <w:rtl/>
        </w:rPr>
        <w:t xml:space="preserve"> ביקר רבה האחרון של מוסקבה שלפני הקומוניסטים, תלמיד </w:t>
      </w:r>
      <w:proofErr w:type="spellStart"/>
      <w:r>
        <w:rPr>
          <w:rtl/>
        </w:rPr>
        <w:t>סלבודקה</w:t>
      </w:r>
      <w:proofErr w:type="spellEnd"/>
      <w:r>
        <w:rPr>
          <w:rtl/>
        </w:rPr>
        <w:t xml:space="preserve"> המוכשר מאוד והחכם ר׳ יעקב </w:t>
      </w:r>
      <w:proofErr w:type="spellStart"/>
      <w:r>
        <w:rPr>
          <w:rtl/>
        </w:rPr>
        <w:t>קלמס</w:t>
      </w:r>
      <w:proofErr w:type="spellEnd"/>
      <w:r>
        <w:rPr>
          <w:rtl/>
        </w:rPr>
        <w:t xml:space="preserve">, ושאל את הגאון מדוע הוא מדבר עמו “בדברים בעלמא” ולא “דברי תורה”. השיב ר׳ </w:t>
      </w:r>
      <w:proofErr w:type="spellStart"/>
      <w:r>
        <w:rPr>
          <w:rtl/>
        </w:rPr>
        <w:t>מאיר־שמחה</w:t>
      </w:r>
      <w:proofErr w:type="spellEnd"/>
      <w:r>
        <w:rPr>
          <w:rtl/>
        </w:rPr>
        <w:t xml:space="preserve">: “הקשב היטב </w:t>
      </w:r>
      <w:proofErr w:type="spellStart"/>
      <w:r>
        <w:rPr>
          <w:rtl/>
        </w:rPr>
        <w:t>ל‘דברים</w:t>
      </w:r>
      <w:proofErr w:type="spellEnd"/>
      <w:r>
        <w:rPr>
          <w:rtl/>
        </w:rPr>
        <w:t xml:space="preserve"> בעלמא’ שלי, כי הם יועילו לך בעתיד.”</w:t>
      </w:r>
    </w:p>
    <w:p w14:paraId="74E952AF" w14:textId="77777777" w:rsidR="00AB3647" w:rsidRDefault="00000000" w:rsidP="007923E9">
      <w:pPr>
        <w:spacing w:after="100" w:line="276" w:lineRule="auto"/>
        <w:ind w:firstLine="340"/>
        <w:jc w:val="both"/>
      </w:pPr>
      <w:r>
        <w:rPr>
          <w:rtl/>
        </w:rPr>
        <w:t>גם בסיפוריו של אבי היו רעיונות על חכמת העולם והנהגתו, שיכולים להועיל לאדם. אני מוסר אותם לאחר שלמדתי אותם ביסודיות, ומניח לקורא ליישמם במציאות שלו, לתבל בהם את חייו והתנהגותו. לשם כך אספתי סיפורים שאבי סיפר בהזדמנויות שונות ולמטרות שונות, וחקרתי אותם עד תום.</w:t>
      </w:r>
    </w:p>
    <w:p w14:paraId="3615FC0F" w14:textId="77777777" w:rsidR="00AB3647" w:rsidRDefault="00000000" w:rsidP="007923E9">
      <w:pPr>
        <w:spacing w:after="100" w:line="276" w:lineRule="auto"/>
        <w:ind w:firstLine="340"/>
        <w:jc w:val="both"/>
      </w:pPr>
      <w:r>
        <w:rPr>
          <w:rtl/>
        </w:rPr>
        <w:t>חלק מן הרבנים שכתבתי עליהם אינם מוכרים כיום. ר׳ זאב לב סיפר</w:t>
      </w:r>
      <w:bookmarkStart w:id="10" w:name="_fnr9"/>
      <w:r>
        <w:rPr>
          <w:rStyle w:val="a5"/>
        </w:rPr>
        <w:footnoteReference w:id="9" w:customMarkFollows="0"/>
      </w:r>
      <w:bookmarkEnd w:id="10"/>
      <w:r>
        <w:rPr>
          <w:rtl/>
        </w:rPr>
        <w:t xml:space="preserve"> שאחרי שקרא את “סדר אליהו”,</w:t>
      </w:r>
      <w:bookmarkStart w:id="11" w:name="_fnr10"/>
      <w:r>
        <w:rPr>
          <w:rStyle w:val="a5"/>
        </w:rPr>
        <w:footnoteReference w:id="10" w:customMarkFollows="0"/>
      </w:r>
      <w:bookmarkEnd w:id="11"/>
      <w:r>
        <w:rPr>
          <w:rtl/>
        </w:rPr>
        <w:t xml:space="preserve"> יומנו התמציתי של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הידוע בראשי התיבות </w:t>
      </w:r>
      <w:proofErr w:type="spellStart"/>
      <w:r>
        <w:rPr>
          <w:rtl/>
        </w:rPr>
        <w:t>האדר״ת</w:t>
      </w:r>
      <w:proofErr w:type="spellEnd"/>
      <w:r>
        <w:rPr>
          <w:rtl/>
        </w:rPr>
        <w:t xml:space="preserve"> (שפירושם “מעיל”</w:t>
      </w:r>
      <w:bookmarkStart w:id="12" w:name="_fnr11"/>
      <w:r>
        <w:rPr>
          <w:rStyle w:val="a5"/>
        </w:rPr>
        <w:footnoteReference w:id="11" w:customMarkFollows="0"/>
      </w:r>
      <w:bookmarkEnd w:id="12"/>
      <w:r>
        <w:rPr>
          <w:rtl/>
        </w:rPr>
        <w:t>), הבחין שבתוך 95 עמודיו פזורים אזכורים של 86 רבנים, שבעל היומן פגש במשך שלושים שנות כהונתו ברבנות באירופה.</w:t>
      </w:r>
    </w:p>
    <w:p w14:paraId="0473A84A" w14:textId="77777777" w:rsidR="00AB3647" w:rsidRDefault="00000000" w:rsidP="007923E9">
      <w:pPr>
        <w:spacing w:after="100" w:line="276" w:lineRule="auto"/>
        <w:ind w:firstLine="340"/>
        <w:jc w:val="both"/>
      </w:pPr>
      <w:r>
        <w:rPr>
          <w:rtl/>
        </w:rPr>
        <w:t xml:space="preserve">הרב לב שאל את אבי: “מי הם כל הרבנים האלה </w:t>
      </w:r>
      <w:proofErr w:type="spellStart"/>
      <w:r>
        <w:rPr>
          <w:rtl/>
        </w:rPr>
        <w:t>שהאדר״ת</w:t>
      </w:r>
      <w:proofErr w:type="spellEnd"/>
      <w:r>
        <w:rPr>
          <w:rtl/>
        </w:rPr>
        <w:t xml:space="preserve"> מזכיר, שעל רובם מעולם לא שמעתי?” אבי השיב: “אתה חושב כמו </w:t>
      </w:r>
      <w:proofErr w:type="spellStart"/>
      <w:r>
        <w:rPr>
          <w:rtl/>
        </w:rPr>
        <w:t>ישיבה־בחור</w:t>
      </w:r>
      <w:proofErr w:type="spellEnd"/>
      <w:r>
        <w:rPr>
          <w:rtl/>
        </w:rPr>
        <w:t xml:space="preserve"> [שמכיר רק שמות של כמה ראשי ישיבה שחידושיהם חוזרים ונשנים בבתי המדרש]. הרבנים </w:t>
      </w:r>
      <w:proofErr w:type="spellStart"/>
      <w:r>
        <w:rPr>
          <w:rtl/>
        </w:rPr>
        <w:t>שהאדר״ת</w:t>
      </w:r>
      <w:proofErr w:type="spellEnd"/>
      <w:r>
        <w:rPr>
          <w:rtl/>
        </w:rPr>
        <w:t xml:space="preserve"> מזכיר – הם היו הלומדים </w:t>
      </w:r>
      <w:r>
        <w:rPr>
          <w:i/>
          <w:iCs/>
          <w:rtl/>
        </w:rPr>
        <w:t>הגדולים באמת</w:t>
      </w:r>
      <w:r>
        <w:rPr>
          <w:rtl/>
        </w:rPr>
        <w:t>, האריות.”</w:t>
      </w:r>
      <w:bookmarkStart w:id="13" w:name="_fnr12"/>
      <w:r>
        <w:rPr>
          <w:rStyle w:val="a5"/>
        </w:rPr>
        <w:footnoteReference w:id="12" w:customMarkFollows="0"/>
      </w:r>
      <w:bookmarkEnd w:id="13"/>
      <w:r>
        <w:rPr>
          <w:rtl/>
        </w:rPr>
        <w:t xml:space="preserve"> הכרך המוגש בזה לקורא מזכיר 779 רבנים וראשי ישיבה, שרובם </w:t>
      </w:r>
      <w:r>
        <w:rPr>
          <w:rtl/>
        </w:rPr>
        <w:lastRenderedPageBreak/>
        <w:t>פעלו לפני כמאה שנה ויותר. חלק משמותיהם ידועים כיום, אבל ספר זה מציג רבים מהם לפני הקורא הממוצע של ימינו.</w:t>
      </w:r>
    </w:p>
    <w:p w14:paraId="640BD461" w14:textId="77777777" w:rsidR="00AB3647" w:rsidRDefault="00000000" w:rsidP="007923E9">
      <w:pPr>
        <w:spacing w:after="100" w:line="276" w:lineRule="auto"/>
        <w:ind w:firstLine="340"/>
        <w:jc w:val="both"/>
      </w:pPr>
      <w:r>
        <w:rPr>
          <w:rtl/>
        </w:rPr>
        <w:t>מבחינה טכנית, עבודתי כללה ראיונות עם אנשים בחלקים רבים של העולם, האזנה להקלטות, מחקר בספריות, הזנת מידע למחשב, עיבוד המידע והוצאתו לאור בצורת ספר. נוסף על העמל הגופני הכרוך בכך, היה גם המתח הרגשי שבהאזנה לקלטות שבהן נשמע אבי מדבר – ממש “שפתותיו דובבות בקבר”.</w:t>
      </w:r>
      <w:bookmarkStart w:id="14" w:name="_fnr13"/>
      <w:r>
        <w:rPr>
          <w:rStyle w:val="a5"/>
        </w:rPr>
        <w:footnoteReference w:id="13" w:customMarkFollows="0"/>
      </w:r>
      <w:bookmarkEnd w:id="14"/>
    </w:p>
    <w:p w14:paraId="34DF819A" w14:textId="77777777" w:rsidR="00AB3647" w:rsidRDefault="00000000" w:rsidP="007923E9">
      <w:pPr>
        <w:spacing w:after="100" w:line="276" w:lineRule="auto"/>
        <w:ind w:firstLine="340"/>
        <w:jc w:val="both"/>
      </w:pPr>
      <w:r>
        <w:rPr>
          <w:rtl/>
        </w:rPr>
        <w:t xml:space="preserve">עבודה על חייו של אב לאחר מותו מעמיסה על האדם משא של עצב. ואל יחשוב אדם שהעצב פוחת כשהאב האריך ימים עד גיל תשעים וחמש, כאבי. אדרבה: כשר׳ </w:t>
      </w:r>
      <w:proofErr w:type="spellStart"/>
      <w:r>
        <w:rPr>
          <w:rtl/>
        </w:rPr>
        <w:t>יענקל</w:t>
      </w:r>
      <w:proofErr w:type="spellEnd"/>
      <w:r>
        <w:rPr>
          <w:rtl/>
        </w:rPr>
        <w:t xml:space="preserve"> </w:t>
      </w:r>
      <w:proofErr w:type="spellStart"/>
      <w:r>
        <w:rPr>
          <w:rtl/>
        </w:rPr>
        <w:t>לשינסקי</w:t>
      </w:r>
      <w:proofErr w:type="spellEnd"/>
      <w:r>
        <w:rPr>
          <w:rtl/>
        </w:rPr>
        <w:t xml:space="preserve"> ישב שבעה על אביו הזקן, הוא סיפר</w:t>
      </w:r>
      <w:bookmarkStart w:id="15" w:name="_fnr14"/>
      <w:r>
        <w:rPr>
          <w:rStyle w:val="a5"/>
        </w:rPr>
        <w:footnoteReference w:id="14" w:customMarkFollows="0"/>
      </w:r>
      <w:bookmarkEnd w:id="15"/>
      <w:r>
        <w:rPr>
          <w:rtl/>
        </w:rPr>
        <w:t xml:space="preserve"> שבאביב תש״ח, כשר׳ אברהם </w:t>
      </w:r>
      <w:proofErr w:type="spellStart"/>
      <w:r>
        <w:rPr>
          <w:rtl/>
        </w:rPr>
        <w:t>קלמנוביץ</w:t>
      </w:r>
      <w:proofErr w:type="spellEnd"/>
      <w:r>
        <w:rPr>
          <w:rtl/>
        </w:rPr>
        <w:t xml:space="preserve"> ישב שבעה בארץ ישראל על אביו, שנפטר בגיל שמונים, אמר: “האנשים הסבורים שפטירת אב זקן מצערת פחות מפטירת אב צעיר – טועים, כי בן מכיר את אביו </w:t>
      </w:r>
      <w:r>
        <w:rPr>
          <w:i/>
          <w:iCs/>
          <w:rtl/>
        </w:rPr>
        <w:t>הזקן</w:t>
      </w:r>
      <w:r>
        <w:rPr>
          <w:rtl/>
        </w:rPr>
        <w:t xml:space="preserve"> זמן ארוך הרבה יותר וטוב הרבה יותר, ונקשר אליו יותר.”</w:t>
      </w:r>
    </w:p>
    <w:p w14:paraId="7D7BCE27" w14:textId="77777777" w:rsidR="00AB3647" w:rsidRDefault="00000000" w:rsidP="007923E9">
      <w:pPr>
        <w:spacing w:after="100" w:line="276" w:lineRule="auto"/>
        <w:ind w:firstLine="340"/>
        <w:jc w:val="both"/>
      </w:pPr>
      <w:r>
        <w:rPr>
          <w:rtl/>
        </w:rPr>
        <w:t>אבל משא העצב שלי בשעת המחקר הוקל בזכות ההתעניינות הנלהבת והרגישה ושיתוף הפעולה הלבבי מצד אלה שפניתי אליהם לקבל מידע שהיה בידם על אבי. אף שציון קצר זה אינו יכול לפרוע את חובי לאנשים נעימים אלה, יש בו כדי להביע את תודתי על התחשבותם.</w:t>
      </w:r>
    </w:p>
    <w:p w14:paraId="11A0ACE0" w14:textId="77777777" w:rsidR="00AB3647" w:rsidRDefault="00000000" w:rsidP="007923E9">
      <w:pPr>
        <w:spacing w:after="100" w:line="276" w:lineRule="auto"/>
        <w:ind w:firstLine="340"/>
        <w:jc w:val="both"/>
      </w:pPr>
      <w:r>
        <w:rPr>
          <w:rtl/>
        </w:rPr>
        <w:t xml:space="preserve">נתקלתי במכתבים של ר׳ </w:t>
      </w:r>
      <w:proofErr w:type="spellStart"/>
      <w:r>
        <w:rPr>
          <w:rtl/>
        </w:rPr>
        <w:t>שמחה־זיסל</w:t>
      </w:r>
      <w:proofErr w:type="spellEnd"/>
      <w:r>
        <w:rPr>
          <w:rtl/>
        </w:rPr>
        <w:t xml:space="preserve"> זיו, הסבא מקלם, שפורסמו לאחרונה,</w:t>
      </w:r>
      <w:bookmarkStart w:id="16" w:name="_fnr15"/>
      <w:r>
        <w:rPr>
          <w:rStyle w:val="a5"/>
        </w:rPr>
        <w:footnoteReference w:id="15" w:customMarkFollows="0"/>
      </w:r>
      <w:bookmarkEnd w:id="16"/>
      <w:r>
        <w:rPr>
          <w:rtl/>
        </w:rPr>
        <w:t xml:space="preserve"> והם נוגעים לסיפורים שנמסרו לי על אבי. מיד כשהגיעה אליו הידיעה על פטירת רבו, ר׳ ישראל </w:t>
      </w:r>
      <w:proofErr w:type="spellStart"/>
      <w:r>
        <w:rPr>
          <w:rtl/>
        </w:rPr>
        <w:t>סלנטר</w:t>
      </w:r>
      <w:proofErr w:type="spellEnd"/>
      <w:r>
        <w:rPr>
          <w:rtl/>
        </w:rPr>
        <w:t xml:space="preserve">, כתב ר׳ </w:t>
      </w:r>
      <w:proofErr w:type="spellStart"/>
      <w:r>
        <w:rPr>
          <w:rtl/>
        </w:rPr>
        <w:t>שמחה־זיסל</w:t>
      </w:r>
      <w:proofErr w:type="spellEnd"/>
      <w:r>
        <w:rPr>
          <w:rtl/>
        </w:rPr>
        <w:t xml:space="preserve"> לכמה מכרים (שהפרסום אינו נוקב בשמם) וביקש מהם לדווח על כל דבר ודבר שקלטו מר׳ ישראל – “אפילו דברים קלי ערך, כמו שיחת חולין”. “נדמה לי שגם מדברים כאלה לא קרה מעולם שלא למדתי מהם לקחים נשגבים,” כתב הסבא מקלם. ובה בעת הזהיר ר׳ </w:t>
      </w:r>
      <w:proofErr w:type="spellStart"/>
      <w:r>
        <w:rPr>
          <w:rtl/>
        </w:rPr>
        <w:t>שמחה־זיסל</w:t>
      </w:r>
      <w:proofErr w:type="spellEnd"/>
      <w:r>
        <w:rPr>
          <w:rtl/>
        </w:rPr>
        <w:t xml:space="preserve"> את הנמענים שלא יחשבו שידעו מה היה ר׳ ישראל באמת, כי “אינם יודעים שאינם יודעים אותו”.</w:t>
      </w:r>
    </w:p>
    <w:p w14:paraId="5C14C6D8" w14:textId="77777777" w:rsidR="00AB3647" w:rsidRDefault="00000000" w:rsidP="007923E9">
      <w:pPr>
        <w:spacing w:after="100" w:line="276" w:lineRule="auto"/>
        <w:ind w:firstLine="340"/>
        <w:jc w:val="both"/>
      </w:pPr>
      <w:r>
        <w:rPr>
          <w:rtl/>
        </w:rPr>
        <w:t>מאחר שאבי פעל רוב חייו, ובכלל זה כל מחציתם השנייה, ביבשת צפון אמריקה (חוץ מביקור קצר אחד ברוסיה ושישה ביקורים קצרים יחסית בארץ), נאלצתי לעזוב את ביתי בארץ ולנסוע לחוץ לארץ לרוב הראיונות. הנסיעה כשלעצמה די בה להפריע ללימוד התורה, כפי שמעיר רש״י במסכת עירובין,</w:t>
      </w:r>
      <w:bookmarkStart w:id="17" w:name="_fnr16"/>
      <w:r>
        <w:rPr>
          <w:rStyle w:val="a5"/>
        </w:rPr>
        <w:footnoteReference w:id="16" w:customMarkFollows="0"/>
      </w:r>
      <w:bookmarkEnd w:id="17"/>
      <w:r>
        <w:rPr>
          <w:rtl/>
        </w:rPr>
        <w:t xml:space="preserve"> והעבודה המפרכת שבאה אחרי הנסיעות הייתה מכשול גדול עוד יותר ללימוד התורה. חששתי כל העת שאני שרוי בעוון ביטול תורה, בכך שאני מבזבז לתקופות ארוכות זמן שנועד ללימוד התורה.</w:t>
      </w:r>
    </w:p>
    <w:p w14:paraId="241D3286" w14:textId="77777777" w:rsidR="00AB3647" w:rsidRDefault="00000000" w:rsidP="007923E9">
      <w:pPr>
        <w:spacing w:after="100" w:line="276" w:lineRule="auto"/>
        <w:ind w:firstLine="340"/>
        <w:jc w:val="both"/>
      </w:pPr>
      <w:r>
        <w:rPr>
          <w:rtl/>
        </w:rPr>
        <w:t xml:space="preserve">ואומנם, כשראיינתי את ר׳ לוי </w:t>
      </w:r>
      <w:proofErr w:type="spellStart"/>
      <w:r>
        <w:rPr>
          <w:rtl/>
        </w:rPr>
        <w:t>קרופניא</w:t>
      </w:r>
      <w:proofErr w:type="spellEnd"/>
      <w:r>
        <w:rPr>
          <w:rtl/>
        </w:rPr>
        <w:t>,</w:t>
      </w:r>
      <w:bookmarkStart w:id="18" w:name="_fnr17"/>
      <w:r>
        <w:rPr>
          <w:rStyle w:val="a5"/>
        </w:rPr>
        <w:footnoteReference w:id="17" w:customMarkFollows="0"/>
      </w:r>
      <w:bookmarkEnd w:id="18"/>
      <w:r>
        <w:rPr>
          <w:rtl/>
        </w:rPr>
        <w:t xml:space="preserve"> הוא הוכיח אותי, באמצעות הסיפור על סב אשתו ר׳ </w:t>
      </w:r>
      <w:proofErr w:type="spellStart"/>
      <w:r>
        <w:rPr>
          <w:rtl/>
        </w:rPr>
        <w:t>ברוך־בער</w:t>
      </w:r>
      <w:proofErr w:type="spellEnd"/>
      <w:r>
        <w:rPr>
          <w:rtl/>
        </w:rPr>
        <w:t xml:space="preserve"> </w:t>
      </w:r>
      <w:proofErr w:type="spellStart"/>
      <w:r>
        <w:rPr>
          <w:rtl/>
        </w:rPr>
        <w:t>ליבוביץ</w:t>
      </w:r>
      <w:proofErr w:type="spellEnd"/>
      <w:r>
        <w:rPr>
          <w:rtl/>
        </w:rPr>
        <w:t xml:space="preserve"> המובא בספר זה,</w:t>
      </w:r>
      <w:bookmarkStart w:id="19" w:name="_fnr18"/>
      <w:r>
        <w:rPr>
          <w:rStyle w:val="a5"/>
        </w:rPr>
        <w:footnoteReference w:id="18" w:customMarkFollows="0"/>
      </w:r>
      <w:bookmarkEnd w:id="19"/>
      <w:r>
        <w:rPr>
          <w:rtl/>
        </w:rPr>
        <w:t xml:space="preserve"> על שבמקום לכתוב ספר של חידושי תורה אני מבלה </w:t>
      </w:r>
      <w:r>
        <w:rPr>
          <w:rtl/>
        </w:rPr>
        <w:lastRenderedPageBreak/>
        <w:t xml:space="preserve">את זמני בדברים לא חשובים יחסית. איני יכול לומר בביטחון שהחלטתי נכון </w:t>
      </w:r>
      <w:proofErr w:type="spellStart"/>
      <w:r>
        <w:rPr>
          <w:rtl/>
        </w:rPr>
        <w:t>כשלא</w:t>
      </w:r>
      <w:proofErr w:type="spellEnd"/>
      <w:r>
        <w:rPr>
          <w:rtl/>
        </w:rPr>
        <w:t xml:space="preserve"> נעניתי לביקורתו. האדם היחיד שיכולתי להעלות על דעתי לשאול אותו אם מה שאני עושה נכון או לא, היה דווקא האדם שכבר אי אפשר היה לשאול – אבי זצ״ל.</w:t>
      </w:r>
    </w:p>
    <w:p w14:paraId="0F28014B" w14:textId="77777777" w:rsidR="00AB3647" w:rsidRDefault="00000000" w:rsidP="007923E9">
      <w:pPr>
        <w:spacing w:after="100" w:line="276" w:lineRule="auto"/>
        <w:ind w:firstLine="340"/>
        <w:jc w:val="both"/>
      </w:pPr>
      <w:r>
        <w:rPr>
          <w:rtl/>
        </w:rPr>
        <w:t>סיפור אחד שסיפר ר׳ חיים ברנד לבני ר׳ יוסף</w:t>
      </w:r>
      <w:bookmarkStart w:id="20" w:name="_fnr19"/>
      <w:r>
        <w:rPr>
          <w:rStyle w:val="a5"/>
        </w:rPr>
        <w:footnoteReference w:id="19" w:customMarkFollows="0"/>
      </w:r>
      <w:bookmarkEnd w:id="20"/>
      <w:r>
        <w:rPr>
          <w:rtl/>
        </w:rPr>
        <w:t xml:space="preserve"> הקל במקצת את רגשות האשמה שלי. ר׳ חיים וגיסו היו נוכחים כשר׳ </w:t>
      </w:r>
      <w:proofErr w:type="spellStart"/>
      <w:r>
        <w:rPr>
          <w:rtl/>
        </w:rPr>
        <w:t>ידעאל</w:t>
      </w:r>
      <w:proofErr w:type="spellEnd"/>
      <w:r>
        <w:rPr>
          <w:rtl/>
        </w:rPr>
        <w:t xml:space="preserve"> מלצר בא לראיין את אבי על סבו של ר׳ </w:t>
      </w:r>
      <w:proofErr w:type="spellStart"/>
      <w:r>
        <w:rPr>
          <w:rtl/>
        </w:rPr>
        <w:t>ידעאל</w:t>
      </w:r>
      <w:proofErr w:type="spellEnd"/>
      <w:r>
        <w:rPr>
          <w:rtl/>
        </w:rPr>
        <w:t xml:space="preserve">, שבישיבתו </w:t>
      </w:r>
      <w:proofErr w:type="spellStart"/>
      <w:r>
        <w:rPr>
          <w:rtl/>
        </w:rPr>
        <w:t>בסלוצק</w:t>
      </w:r>
      <w:proofErr w:type="spellEnd"/>
      <w:r>
        <w:rPr>
          <w:rtl/>
        </w:rPr>
        <w:t xml:space="preserve"> למד אבי שנה וחצי</w:t>
      </w:r>
      <w:bookmarkStart w:id="21" w:name="_fnr20"/>
      <w:r>
        <w:rPr>
          <w:rStyle w:val="a5"/>
        </w:rPr>
        <w:footnoteReference w:id="20" w:customMarkFollows="0"/>
      </w:r>
      <w:bookmarkEnd w:id="21"/>
      <w:r>
        <w:rPr>
          <w:rtl/>
        </w:rPr>
        <w:t xml:space="preserve"> – גדול התורה המפורסם ר׳ </w:t>
      </w:r>
      <w:proofErr w:type="spellStart"/>
      <w:r>
        <w:rPr>
          <w:rtl/>
        </w:rPr>
        <w:t>איסר־זלמן</w:t>
      </w:r>
      <w:proofErr w:type="spellEnd"/>
      <w:r>
        <w:rPr>
          <w:rtl/>
        </w:rPr>
        <w:t xml:space="preserve"> מלצר. בתחילה אמר אבי לאורחו שהוא חש שהוא מתחיל לחלות בשפעת, והציע לו לחזור בזמן אחר. אבל כשעמד ר׳ </w:t>
      </w:r>
      <w:proofErr w:type="spellStart"/>
      <w:r>
        <w:rPr>
          <w:rtl/>
        </w:rPr>
        <w:t>ידעאל</w:t>
      </w:r>
      <w:proofErr w:type="spellEnd"/>
      <w:r>
        <w:rPr>
          <w:rtl/>
        </w:rPr>
        <w:t xml:space="preserve"> לצאת, שינה אבי את דעתו ואמר: “נו, כיוון שכבר אתה כאן, שב ונשוחח.”</w:t>
      </w:r>
    </w:p>
    <w:p w14:paraId="0CC66015" w14:textId="77777777" w:rsidR="00AB3647" w:rsidRDefault="00000000" w:rsidP="007923E9">
      <w:pPr>
        <w:spacing w:after="100" w:line="276" w:lineRule="auto"/>
        <w:ind w:firstLine="340"/>
        <w:jc w:val="both"/>
      </w:pPr>
      <w:r>
        <w:rPr>
          <w:rtl/>
        </w:rPr>
        <w:t>הם שוחחו כשעתיים,</w:t>
      </w:r>
      <w:bookmarkStart w:id="22" w:name="_fnr21"/>
      <w:r>
        <w:rPr>
          <w:rStyle w:val="a5"/>
        </w:rPr>
        <w:footnoteReference w:id="21" w:customMarkFollows="0"/>
      </w:r>
      <w:bookmarkEnd w:id="22"/>
      <w:r>
        <w:rPr>
          <w:rtl/>
        </w:rPr>
        <w:t xml:space="preserve"> ואחר כך העיר אבי: “כבר טוב לי יותר, כי ‘תכף לתלמיד חכם ברכה’.</w:t>
      </w:r>
      <w:bookmarkStart w:id="23" w:name="_fnr22"/>
      <w:r>
        <w:rPr>
          <w:rStyle w:val="a5"/>
        </w:rPr>
        <w:footnoteReference w:id="22" w:customMarkFollows="0"/>
      </w:r>
      <w:bookmarkEnd w:id="23"/>
      <w:r>
        <w:rPr>
          <w:rtl/>
        </w:rPr>
        <w:t xml:space="preserve">” ברור שאבי ראה את </w:t>
      </w:r>
      <w:r>
        <w:rPr>
          <w:i/>
          <w:iCs/>
          <w:rtl/>
        </w:rPr>
        <w:t>השיחה והדיון</w:t>
      </w:r>
      <w:r>
        <w:rPr>
          <w:rtl/>
        </w:rPr>
        <w:t xml:space="preserve"> על ר׳ </w:t>
      </w:r>
      <w:proofErr w:type="spellStart"/>
      <w:r>
        <w:rPr>
          <w:rtl/>
        </w:rPr>
        <w:t>איסר־זלמן</w:t>
      </w:r>
      <w:proofErr w:type="spellEnd"/>
      <w:r>
        <w:rPr>
          <w:rtl/>
        </w:rPr>
        <w:t xml:space="preserve"> </w:t>
      </w:r>
      <w:r>
        <w:rPr>
          <w:i/>
          <w:iCs/>
          <w:rtl/>
        </w:rPr>
        <w:t>כאירוח</w:t>
      </w:r>
      <w:r>
        <w:rPr>
          <w:rtl/>
        </w:rPr>
        <w:t xml:space="preserve"> של תלמיד חכם.</w:t>
      </w:r>
      <w:bookmarkStart w:id="24" w:name="_fnr23"/>
      <w:r>
        <w:rPr>
          <w:rStyle w:val="a5"/>
        </w:rPr>
        <w:footnoteReference w:id="23" w:customMarkFollows="0"/>
      </w:r>
      <w:bookmarkEnd w:id="24"/>
      <w:r>
        <w:rPr>
          <w:rtl/>
        </w:rPr>
        <w:t xml:space="preserve"> באותו אופן, כשחקרתי את מעשיהם ורעיונותיהם של גדולי התורה מדורות קודמים, חשתי עצמי בקרבתם, עוסק </w:t>
      </w:r>
      <w:proofErr w:type="spellStart"/>
      <w:r>
        <w:rPr>
          <w:rtl/>
        </w:rPr>
        <w:t>ב“שימוש</w:t>
      </w:r>
      <w:proofErr w:type="spellEnd"/>
      <w:r>
        <w:rPr>
          <w:rtl/>
        </w:rPr>
        <w:t xml:space="preserve"> תלמידי חכמים” כפשוטו, שהוא פסגת לימוד התורה,</w:t>
      </w:r>
      <w:bookmarkStart w:id="25" w:name="_fnr24"/>
      <w:r>
        <w:rPr>
          <w:rStyle w:val="a5"/>
        </w:rPr>
        <w:footnoteReference w:id="24" w:customMarkFollows="0"/>
      </w:r>
      <w:bookmarkEnd w:id="25"/>
      <w:r>
        <w:rPr>
          <w:rtl/>
        </w:rPr>
        <w:t xml:space="preserve"> וחשתי עצמי מטוהר במקצת מביטול התורה שחששתי ממנו.</w:t>
      </w:r>
    </w:p>
    <w:p w14:paraId="3160C432" w14:textId="77777777" w:rsidR="00AB3647" w:rsidRDefault="00000000" w:rsidP="007923E9">
      <w:pPr>
        <w:spacing w:after="100" w:line="276" w:lineRule="auto"/>
        <w:ind w:firstLine="340"/>
        <w:jc w:val="both"/>
      </w:pPr>
      <w:r>
        <w:rPr>
          <w:rtl/>
        </w:rPr>
        <w:t>הייתה עוד בעיה שהציקה למצפוני, ואזכיר אותה בדרך אגב בלי להאריך בדיון. המאירי</w:t>
      </w:r>
      <w:bookmarkStart w:id="26" w:name="_fnr25"/>
      <w:r>
        <w:rPr>
          <w:rStyle w:val="a5"/>
        </w:rPr>
        <w:footnoteReference w:id="25" w:customMarkFollows="0"/>
      </w:r>
      <w:bookmarkEnd w:id="26"/>
      <w:r>
        <w:rPr>
          <w:rtl/>
        </w:rPr>
        <w:t xml:space="preserve"> מוכיח שמידת חסידות, שבדרך כלל אינה חובה, אם נהג בה האב היא נעשית חובה על בנו, והבן נענש אם אינו מקיים אותה. נמצא שגילוי מידות נעלות אצל האב מוליד חובות חדשות – שאני מודה שלא נטלתי על עצמי. אבל קריאה מדוקדקת יותר בדברי המאירי מניחה מקום להחיל את פסקו רק על בן הממלא את משרתו הרשמית של אביו, וזאת לא עשה הבן הזה. ונחה דעתי.</w:t>
      </w:r>
    </w:p>
    <w:p w14:paraId="68537F57" w14:textId="77777777" w:rsidR="00AB3647" w:rsidRDefault="00000000" w:rsidP="007923E9">
      <w:pPr>
        <w:spacing w:after="100" w:line="276" w:lineRule="auto"/>
        <w:ind w:firstLine="340"/>
        <w:jc w:val="both"/>
      </w:pPr>
      <w:r>
        <w:rPr>
          <w:rtl/>
        </w:rPr>
        <w:t xml:space="preserve">בסך הכול, אחרי שנטלתי על עצמי את המשימה הקשה, שקעתי בה כל כך, שאת מצב רוחי אוכל לתאר היטב במילים שהרמב״ם משתמש בהן </w:t>
      </w:r>
      <w:proofErr w:type="spellStart"/>
      <w:r>
        <w:rPr>
          <w:rtl/>
        </w:rPr>
        <w:t>ב“מורה</w:t>
      </w:r>
      <w:proofErr w:type="spellEnd"/>
      <w:r>
        <w:rPr>
          <w:rtl/>
        </w:rPr>
        <w:t xml:space="preserve"> נבוכים”</w:t>
      </w:r>
      <w:bookmarkStart w:id="27" w:name="_fnr26"/>
      <w:r>
        <w:rPr>
          <w:rStyle w:val="a5"/>
        </w:rPr>
        <w:footnoteReference w:id="26" w:customMarkFollows="0"/>
      </w:r>
      <w:bookmarkEnd w:id="27"/>
      <w:r>
        <w:rPr>
          <w:rtl/>
        </w:rPr>
        <w:t xml:space="preserve"> כדי להגדיר את הביטוי “לבשה אותו רוח ה׳”</w:t>
      </w:r>
      <w:bookmarkStart w:id="28" w:name="_fnr27"/>
      <w:r>
        <w:rPr>
          <w:rStyle w:val="a5"/>
        </w:rPr>
        <w:footnoteReference w:id="27" w:customMarkFollows="0"/>
      </w:r>
      <w:bookmarkEnd w:id="28"/>
      <w:r>
        <w:rPr>
          <w:rtl/>
        </w:rPr>
        <w:t xml:space="preserve"> וביטויים מקראיים דומים, והן: “רוח הקודש </w:t>
      </w:r>
      <w:proofErr w:type="spellStart"/>
      <w:r>
        <w:rPr>
          <w:rtl/>
        </w:rPr>
        <w:t>עוררתו</w:t>
      </w:r>
      <w:proofErr w:type="spellEnd"/>
      <w:r>
        <w:rPr>
          <w:rtl/>
        </w:rPr>
        <w:t xml:space="preserve"> לפעולה </w:t>
      </w:r>
      <w:proofErr w:type="spellStart"/>
      <w:r>
        <w:rPr>
          <w:rtl/>
        </w:rPr>
        <w:t>מסויימת</w:t>
      </w:r>
      <w:proofErr w:type="spellEnd"/>
      <w:r>
        <w:rPr>
          <w:rtl/>
        </w:rPr>
        <w:t xml:space="preserve"> שיש לו ערך גדול”, וכן: “שילווה את האדם עזר א-להי יעוררו ויזרזו לעשות טובה גדולה בעלת ערך וימצא מצד עצמו לכך התעוררות ומשיכה”.</w:t>
      </w:r>
    </w:p>
    <w:p w14:paraId="664909E4" w14:textId="77777777" w:rsidR="00AB3647" w:rsidRDefault="00000000" w:rsidP="007923E9">
      <w:pPr>
        <w:spacing w:after="100" w:line="276" w:lineRule="auto"/>
        <w:ind w:firstLine="340"/>
        <w:jc w:val="both"/>
      </w:pPr>
      <w:proofErr w:type="spellStart"/>
      <w:r>
        <w:rPr>
          <w:rtl/>
        </w:rPr>
        <w:t>נלהבתי</w:t>
      </w:r>
      <w:proofErr w:type="spellEnd"/>
      <w:r>
        <w:rPr>
          <w:rtl/>
        </w:rPr>
        <w:t xml:space="preserve"> בהחלט מחשיבות הדבר שעשיתי, וחשתי דחף פנימי להתמיד במלאכה זו שנים על שנים. חשתי שאני עוסק בעניין בעל משמעות היסטורית – שפיכת אור על דורות קודמים </w:t>
      </w:r>
      <w:r>
        <w:rPr>
          <w:rtl/>
        </w:rPr>
        <w:lastRenderedPageBreak/>
        <w:t>של רבנים וראשי ישיבות. בנוגע לערכו של מפעל מסוג זה, שמעתי מבני ר׳ יוסף</w:t>
      </w:r>
      <w:bookmarkStart w:id="29" w:name="_fnr28"/>
      <w:r>
        <w:rPr>
          <w:rStyle w:val="a5"/>
        </w:rPr>
        <w:footnoteReference w:id="28" w:customMarkFollows="0"/>
      </w:r>
      <w:bookmarkEnd w:id="29"/>
      <w:r>
        <w:rPr>
          <w:rtl/>
        </w:rPr>
        <w:t xml:space="preserve"> בשם ר׳ מאיר </w:t>
      </w:r>
      <w:proofErr w:type="spellStart"/>
      <w:r>
        <w:rPr>
          <w:rtl/>
        </w:rPr>
        <w:t>זלוטוביץ</w:t>
      </w:r>
      <w:proofErr w:type="spellEnd"/>
      <w:r>
        <w:rPr>
          <w:rtl/>
        </w:rPr>
        <w:t xml:space="preserve"> על פגישה בין אבי לנדבן יהודי.</w:t>
      </w:r>
    </w:p>
    <w:p w14:paraId="1B0D4F24" w14:textId="77777777" w:rsidR="00AB3647" w:rsidRDefault="00000000" w:rsidP="007923E9">
      <w:pPr>
        <w:spacing w:after="100" w:line="276" w:lineRule="auto"/>
        <w:ind w:firstLine="340"/>
        <w:jc w:val="both"/>
      </w:pPr>
      <w:r>
        <w:rPr>
          <w:rtl/>
        </w:rPr>
        <w:t xml:space="preserve">הלה בא אל אבי לשאול היכן מוטב לו לתת את תמיכתו – לישיבות או למפעל הוצאה לאור מסוים של </w:t>
      </w:r>
      <w:proofErr w:type="spellStart"/>
      <w:r>
        <w:rPr>
          <w:rtl/>
        </w:rPr>
        <w:t>ארטסקרול</w:t>
      </w:r>
      <w:proofErr w:type="spellEnd"/>
      <w:r>
        <w:rPr>
          <w:rtl/>
        </w:rPr>
        <w:t xml:space="preserve">. אבי, שתמך </w:t>
      </w:r>
      <w:proofErr w:type="spellStart"/>
      <w:r>
        <w:rPr>
          <w:rtl/>
        </w:rPr>
        <w:t>בארטסקרול</w:t>
      </w:r>
      <w:proofErr w:type="spellEnd"/>
      <w:r>
        <w:rPr>
          <w:rtl/>
        </w:rPr>
        <w:t xml:space="preserve"> בלב ונפש ופעם כינה את ההוצאה הזאת “ישיבה בלי קירות”, אמר לנדבן לעיין בהקדמת פירוש אור החיים על החומש “עד סופה”, ושם ימצא את התשובה.</w:t>
      </w:r>
    </w:p>
    <w:p w14:paraId="68A1CD5A" w14:textId="77777777" w:rsidR="00AB3647" w:rsidRDefault="00000000" w:rsidP="007923E9">
      <w:pPr>
        <w:spacing w:after="100" w:line="276" w:lineRule="auto"/>
        <w:ind w:firstLine="340"/>
        <w:jc w:val="both"/>
      </w:pPr>
      <w:r>
        <w:rPr>
          <w:rtl/>
        </w:rPr>
        <w:t xml:space="preserve">לימים חזר הנדבן אל אבי ואמר שלא מצא </w:t>
      </w:r>
      <w:proofErr w:type="spellStart"/>
      <w:r>
        <w:rPr>
          <w:rtl/>
        </w:rPr>
        <w:t>שהאור־החיים</w:t>
      </w:r>
      <w:proofErr w:type="spellEnd"/>
      <w:r>
        <w:rPr>
          <w:rtl/>
        </w:rPr>
        <w:t xml:space="preserve"> עוסק בשאלה זו. אז הראה לו אבי שבסוף הקדמתו ממש מודה ר׳ חיים בן עטר לארבעה יהודים עשירים שסיפקו לו את הכסף להדפסת ספרו. הסביר אבי: “ארבעת היהודים הללו מן הסתם תמכו גם בישיבות, אבל מי יודע מה עלה בגורלה של תמיכה זו? בזכות תמיכתם בהדפסת ‘אור החיים’ זכה העולם לספר הקדוש הזה עד עצם היום הזה”.</w:t>
      </w:r>
      <w:bookmarkStart w:id="30" w:name="_fnr29"/>
      <w:r>
        <w:rPr>
          <w:rStyle w:val="a5"/>
        </w:rPr>
        <w:footnoteReference w:id="29" w:customMarkFollows="0"/>
      </w:r>
      <w:bookmarkEnd w:id="30"/>
    </w:p>
    <w:p w14:paraId="224FD528" w14:textId="77777777" w:rsidR="00AB3647" w:rsidRDefault="00000000" w:rsidP="007923E9">
      <w:pPr>
        <w:spacing w:after="100" w:line="276" w:lineRule="auto"/>
        <w:ind w:firstLine="340"/>
        <w:jc w:val="both"/>
      </w:pPr>
      <w:r>
        <w:rPr>
          <w:rtl/>
        </w:rPr>
        <w:t>עוד הניעו אותי דברי מדרש רבה</w:t>
      </w:r>
      <w:bookmarkStart w:id="31" w:name="_fnr30"/>
      <w:r>
        <w:rPr>
          <w:rStyle w:val="a5"/>
        </w:rPr>
        <w:footnoteReference w:id="30" w:customMarkFollows="0"/>
      </w:r>
      <w:bookmarkEnd w:id="31"/>
      <w:r>
        <w:rPr>
          <w:rtl/>
        </w:rPr>
        <w:t xml:space="preserve"> ורש״י,</w:t>
      </w:r>
      <w:bookmarkStart w:id="32" w:name="_fnr31"/>
      <w:r>
        <w:rPr>
          <w:rStyle w:val="a5"/>
        </w:rPr>
        <w:footnoteReference w:id="31" w:customMarkFollows="0"/>
      </w:r>
      <w:bookmarkEnd w:id="32"/>
      <w:r>
        <w:rPr>
          <w:rtl/>
        </w:rPr>
        <w:t xml:space="preserve"> שקובעים קביעות מפליאות בשאלה אילו מצוות כדאי לעשות! המדרש מציב אמת מידה מחמירה ביותר באומרו: “כל מי שהומה </w:t>
      </w:r>
      <w:proofErr w:type="spellStart"/>
      <w:r>
        <w:rPr>
          <w:rtl/>
        </w:rPr>
        <w:t>ומהמה</w:t>
      </w:r>
      <w:proofErr w:type="spellEnd"/>
      <w:r>
        <w:rPr>
          <w:rtl/>
        </w:rPr>
        <w:t xml:space="preserve"> אחר המצוות, ומצוה קבועה לדורות אין לו, מה </w:t>
      </w:r>
      <w:r>
        <w:rPr>
          <w:i/>
          <w:iCs/>
          <w:rtl/>
        </w:rPr>
        <w:t>הנאה</w:t>
      </w:r>
      <w:r>
        <w:rPr>
          <w:rtl/>
        </w:rPr>
        <w:t xml:space="preserve"> יש לו”.</w:t>
      </w:r>
      <w:bookmarkStart w:id="33" w:name="_fnr32"/>
      <w:r>
        <w:rPr>
          <w:rStyle w:val="a5"/>
        </w:rPr>
        <w:footnoteReference w:id="32" w:customMarkFollows="0"/>
      </w:r>
      <w:bookmarkEnd w:id="33"/>
      <w:r>
        <w:rPr>
          <w:rtl/>
        </w:rPr>
        <w:t xml:space="preserve"> אבל מי יכול לדעת באמת אם פעולתה של מצווה שהוא עושה תאריך ימים?</w:t>
      </w:r>
    </w:p>
    <w:p w14:paraId="6BB122BD" w14:textId="77777777" w:rsidR="00AB3647" w:rsidRDefault="00000000" w:rsidP="007923E9">
      <w:pPr>
        <w:spacing w:after="100" w:line="276" w:lineRule="auto"/>
        <w:ind w:firstLine="340"/>
        <w:jc w:val="both"/>
      </w:pPr>
      <w:r>
        <w:rPr>
          <w:rtl/>
        </w:rPr>
        <w:t xml:space="preserve">רש״י, לעומת זאת, המביא את דברי המדרש בלשונו, מרחיב את תחום המצוות הראויות לשבח כשהוא כותב: “ומי אוהב בהמון – מצות רבות; לא תבואה – ואין באחד מהם מצוה </w:t>
      </w:r>
      <w:proofErr w:type="spellStart"/>
      <w:r>
        <w:rPr>
          <w:rtl/>
        </w:rPr>
        <w:t>מסויימת</w:t>
      </w:r>
      <w:proofErr w:type="spellEnd"/>
      <w:r>
        <w:rPr>
          <w:rtl/>
        </w:rPr>
        <w:t xml:space="preserve"> וניכרת”. רש״י מקל עלינו להגיע </w:t>
      </w:r>
      <w:proofErr w:type="spellStart"/>
      <w:r>
        <w:rPr>
          <w:rtl/>
        </w:rPr>
        <w:t>ל“תבואה</w:t>
      </w:r>
      <w:proofErr w:type="spellEnd"/>
      <w:r>
        <w:rPr>
          <w:rtl/>
        </w:rPr>
        <w:t>” – למצווה בעלת ערך – שכן שלא כמדרש אינו מתנה תנאי בדבר קיומו של המעשה הטוב לאורך ימים; די בכך שהמצווה תהיה מסוימת וניכרת בשעת עשייתה.</w:t>
      </w:r>
    </w:p>
    <w:p w14:paraId="058EAA3E" w14:textId="77777777" w:rsidR="00AB3647" w:rsidRDefault="00000000" w:rsidP="007923E9">
      <w:pPr>
        <w:spacing w:after="100" w:line="276" w:lineRule="auto"/>
        <w:ind w:firstLine="340"/>
        <w:jc w:val="both"/>
      </w:pPr>
      <w:r>
        <w:rPr>
          <w:rtl/>
        </w:rPr>
        <w:t>תקוותי ותפילתי שאם יקרה שספר זה לא יעמוד באמת המידה של המדרש ולא יהיה “קבוע לדורות”, לפחות יהיה “מסוים וניכר” בימינו ובדורנו, ויסב לקהל קוראיו בני זמנו “הנאה” רוחנית כשם שהוא מסב למחברו.</w:t>
      </w:r>
    </w:p>
    <w:p w14:paraId="4D25D07C" w14:textId="77777777" w:rsidR="00AB3647" w:rsidRDefault="00000000" w:rsidP="007923E9">
      <w:pPr>
        <w:pStyle w:val="2"/>
        <w:spacing w:line="276" w:lineRule="auto"/>
      </w:pPr>
      <w:r>
        <w:t>ב. תוכן</w:t>
      </w:r>
    </w:p>
    <w:p w14:paraId="3EBBF538" w14:textId="77777777" w:rsidR="00AB3647" w:rsidRDefault="00000000" w:rsidP="007923E9">
      <w:pPr>
        <w:spacing w:after="100" w:line="276" w:lineRule="auto"/>
        <w:ind w:firstLine="340"/>
        <w:jc w:val="both"/>
      </w:pPr>
      <w:r>
        <w:rPr>
          <w:rtl/>
        </w:rPr>
        <w:t xml:space="preserve">בחיבור ספר זה קיבלתי בדרך כלל כמהימנים סיפורים על דורות קודמים גם </w:t>
      </w:r>
      <w:proofErr w:type="spellStart"/>
      <w:r>
        <w:rPr>
          <w:rtl/>
        </w:rPr>
        <w:t>כשלא</w:t>
      </w:r>
      <w:proofErr w:type="spellEnd"/>
      <w:r>
        <w:rPr>
          <w:rtl/>
        </w:rPr>
        <w:t xml:space="preserve"> נמסרו מפי אבי או מפי אדם אחר מהימן במיוחד. כמובן, נרתעתי מלהסתמך על דיווחים שמקורם באנשים שלדעתי לא היו מסוגלים לשפוט מאורעות כראוי, אבל לא חשדתי באיש שהוא משקר </w:t>
      </w:r>
      <w:r>
        <w:rPr>
          <w:rtl/>
        </w:rPr>
        <w:lastRenderedPageBreak/>
        <w:t>במתכוון. כיוצא בזה, אלא אם כן היה הכותב מגמתי בעליל, הנחתי שעובדות שנדפסו מהימנות.</w:t>
      </w:r>
    </w:p>
    <w:p w14:paraId="4BBB4CD2" w14:textId="77777777" w:rsidR="00AB3647" w:rsidRDefault="00000000" w:rsidP="007923E9">
      <w:pPr>
        <w:spacing w:after="100" w:line="276" w:lineRule="auto"/>
        <w:ind w:firstLine="340"/>
        <w:jc w:val="both"/>
      </w:pPr>
      <w:r>
        <w:rPr>
          <w:rtl/>
        </w:rPr>
        <w:t xml:space="preserve">אמון זה בבני אדם יש בי אף על פי שר׳ </w:t>
      </w:r>
      <w:proofErr w:type="spellStart"/>
      <w:r>
        <w:rPr>
          <w:rtl/>
        </w:rPr>
        <w:t>וועלוול</w:t>
      </w:r>
      <w:proofErr w:type="spellEnd"/>
      <w:r>
        <w:rPr>
          <w:rtl/>
        </w:rPr>
        <w:t xml:space="preserve"> </w:t>
      </w:r>
      <w:proofErr w:type="spellStart"/>
      <w:r>
        <w:rPr>
          <w:rtl/>
        </w:rPr>
        <w:t>קרצר</w:t>
      </w:r>
      <w:bookmarkStart w:id="34" w:name="_fnr33"/>
      <w:proofErr w:type="spellEnd"/>
      <w:r>
        <w:rPr>
          <w:rStyle w:val="a5"/>
        </w:rPr>
        <w:footnoteReference w:id="33" w:customMarkFollows="0"/>
      </w:r>
      <w:bookmarkEnd w:id="34"/>
      <w:r>
        <w:rPr>
          <w:rtl/>
        </w:rPr>
        <w:t xml:space="preserve"> דיווח שהרבנית </w:t>
      </w:r>
      <w:proofErr w:type="spellStart"/>
      <w:r>
        <w:rPr>
          <w:rtl/>
        </w:rPr>
        <w:t>פייגל</w:t>
      </w:r>
      <w:proofErr w:type="spellEnd"/>
      <w:r>
        <w:rPr>
          <w:rtl/>
        </w:rPr>
        <w:t xml:space="preserve"> זקס, בתו הצעירה ביותר של </w:t>
      </w:r>
      <w:proofErr w:type="spellStart"/>
      <w:r>
        <w:rPr>
          <w:rtl/>
        </w:rPr>
        <w:t>החפץ־חיים</w:t>
      </w:r>
      <w:proofErr w:type="spellEnd"/>
      <w:r>
        <w:rPr>
          <w:rtl/>
        </w:rPr>
        <w:t>, אמרה לו: “שמונים אחוז ממה שמספרים על [אבי] אינו אמת”. אין לי אלא להניח שכדי להבליט בחריפות את הרעיון ש</w:t>
      </w:r>
      <w:r>
        <w:rPr>
          <w:i/>
          <w:iCs/>
          <w:rtl/>
        </w:rPr>
        <w:t>לא כל</w:t>
      </w:r>
      <w:r>
        <w:rPr>
          <w:rtl/>
        </w:rPr>
        <w:t xml:space="preserve"> מה שמספרים על ר׳ </w:t>
      </w:r>
      <w:proofErr w:type="spellStart"/>
      <w:r>
        <w:rPr>
          <w:rtl/>
        </w:rPr>
        <w:t>ישראל־מאיר</w:t>
      </w:r>
      <w:proofErr w:type="spellEnd"/>
      <w:r>
        <w:rPr>
          <w:rtl/>
        </w:rPr>
        <w:t xml:space="preserve"> כגן, מחבר “חפץ חיים”, הוא אמת, הגזימה בתו באחוז הדברים שאינם אמת. הסיבה שציינתי בעקביות את מקורם של הדיווחים על מאורעות ופרשיות היא לאפשר לקורא לפקפק בשיפוטי ולהחליט בעצמו אם סיפור מהימן אם לאו.</w:t>
      </w:r>
    </w:p>
    <w:p w14:paraId="6B7EE835" w14:textId="77777777" w:rsidR="00AB3647" w:rsidRDefault="00000000" w:rsidP="007923E9">
      <w:pPr>
        <w:spacing w:after="100" w:line="276" w:lineRule="auto"/>
        <w:ind w:firstLine="340"/>
        <w:jc w:val="both"/>
      </w:pPr>
      <w:r>
        <w:rPr>
          <w:rtl/>
        </w:rPr>
        <w:t>אל יתפלא הקורא שבמחקרי לספר מסוג זה השתמשתי גם בחיבוריהם של סופרים שאינם דתיים – ואפילו של נוכרים – וציטטתי מהם.</w:t>
      </w:r>
      <w:bookmarkStart w:id="35" w:name="_fnr34"/>
      <w:r>
        <w:rPr>
          <w:rStyle w:val="a5"/>
        </w:rPr>
        <w:footnoteReference w:id="34" w:customMarkFollows="0"/>
      </w:r>
      <w:bookmarkEnd w:id="35"/>
      <w:r>
        <w:rPr>
          <w:rtl/>
        </w:rPr>
        <w:t xml:space="preserve"> נהגתי לפי כללו של הרמב״ם:</w:t>
      </w:r>
      <w:bookmarkStart w:id="36" w:name="_fnr35"/>
      <w:r>
        <w:rPr>
          <w:rStyle w:val="a5"/>
        </w:rPr>
        <w:footnoteReference w:id="35" w:customMarkFollows="0"/>
      </w:r>
      <w:bookmarkEnd w:id="36"/>
      <w:r>
        <w:rPr>
          <w:rtl/>
        </w:rPr>
        <w:t xml:space="preserve"> “שמע האמת ממי שאמרה”.</w:t>
      </w:r>
      <w:bookmarkStart w:id="37" w:name="_fnr36"/>
      <w:r>
        <w:rPr>
          <w:rStyle w:val="a5"/>
        </w:rPr>
        <w:footnoteReference w:id="36" w:customMarkFollows="0"/>
      </w:r>
      <w:bookmarkEnd w:id="37"/>
      <w:r>
        <w:rPr>
          <w:rtl/>
        </w:rPr>
        <w:t xml:space="preserve"> אני סמוך ובטוח שהקורא יסלח לי גם כשאני מצטט מרואיין המביא דברים בשם אדם אחר, בלי שחזרתי אל אותו אדם לאישור. גם זה חלק בלתי נפרד מטבעי, הנוטה לתת אמון בבריות.</w:t>
      </w:r>
    </w:p>
    <w:p w14:paraId="7E9F23E0" w14:textId="77777777" w:rsidR="00AB3647" w:rsidRDefault="00000000" w:rsidP="007923E9">
      <w:pPr>
        <w:spacing w:after="100" w:line="276" w:lineRule="auto"/>
        <w:ind w:firstLine="340"/>
        <w:jc w:val="both"/>
      </w:pPr>
      <w:r>
        <w:rPr>
          <w:rtl/>
        </w:rPr>
        <w:t>ייתכן שיש בספר זה סיפורים הידועים לקוראים אחדים – ולבני משפחותיהם של גיבורי הסיפורים – שאני מבין אותם אחרת מהם. למשל, בני ר׳ יוסף סיפר לי</w:t>
      </w:r>
      <w:bookmarkStart w:id="38" w:name="_fnr37"/>
      <w:r>
        <w:rPr>
          <w:rStyle w:val="a5"/>
        </w:rPr>
        <w:footnoteReference w:id="37" w:customMarkFollows="0"/>
      </w:r>
      <w:bookmarkEnd w:id="38"/>
      <w:r>
        <w:rPr>
          <w:rtl/>
        </w:rPr>
        <w:t xml:space="preserve"> שר׳ שלמה פישר סיפר לו כיצד התרעם ר׳ יצחק </w:t>
      </w:r>
      <w:proofErr w:type="spellStart"/>
      <w:r>
        <w:rPr>
          <w:rtl/>
        </w:rPr>
        <w:t>קוליץ</w:t>
      </w:r>
      <w:proofErr w:type="spellEnd"/>
      <w:r>
        <w:rPr>
          <w:rtl/>
        </w:rPr>
        <w:t>, רבה של ירושלים, על תגובתו של “ראש ישיבה בן זמננו” לסיפור ששמע, וזה הסיפור:</w:t>
      </w:r>
    </w:p>
    <w:p w14:paraId="3A30347F" w14:textId="77777777" w:rsidR="00AB3647" w:rsidRDefault="00000000" w:rsidP="007923E9">
      <w:pPr>
        <w:spacing w:after="100" w:line="276" w:lineRule="auto"/>
        <w:ind w:firstLine="340"/>
        <w:jc w:val="both"/>
      </w:pPr>
      <w:r>
        <w:rPr>
          <w:rtl/>
        </w:rPr>
        <w:t xml:space="preserve">ר׳ </w:t>
      </w:r>
      <w:proofErr w:type="spellStart"/>
      <w:r>
        <w:rPr>
          <w:rtl/>
        </w:rPr>
        <w:t>איסר־זלמן</w:t>
      </w:r>
      <w:proofErr w:type="spellEnd"/>
      <w:r>
        <w:rPr>
          <w:rtl/>
        </w:rPr>
        <w:t xml:space="preserve"> מלצר עלה במדרגות ביתו ושמע את עוזרת הבית שרה לעצמה בשעה ששטפה את הרצפה. ר׳ </w:t>
      </w:r>
      <w:proofErr w:type="spellStart"/>
      <w:r>
        <w:rPr>
          <w:rtl/>
        </w:rPr>
        <w:t>איסר־זלמן</w:t>
      </w:r>
      <w:proofErr w:type="spellEnd"/>
      <w:r>
        <w:rPr>
          <w:rtl/>
        </w:rPr>
        <w:t xml:space="preserve"> ירד בחזרה לרחוב והתהלך שם שעה ארוכה עד שסיימה את עבודתה, ואז שב הביתה. ראש הישיבה הבין את מעשהו של ר׳ </w:t>
      </w:r>
      <w:proofErr w:type="spellStart"/>
      <w:r>
        <w:rPr>
          <w:rtl/>
        </w:rPr>
        <w:t>איסר־זלמן</w:t>
      </w:r>
      <w:proofErr w:type="spellEnd"/>
      <w:r>
        <w:rPr>
          <w:rtl/>
        </w:rPr>
        <w:t xml:space="preserve"> כעדות לזהירותו הרבה מפני קול באישה במשך הזמן שהיה נדרש לו ללכת מאמצע המדרגות ועד כניסתו לביתו – שאז ודאי הייתה האישה מפסיקה לשיר.</w:t>
      </w:r>
    </w:p>
    <w:p w14:paraId="665ACA2B" w14:textId="77777777" w:rsidR="00AB3647" w:rsidRDefault="00000000" w:rsidP="007923E9">
      <w:pPr>
        <w:spacing w:after="100" w:line="276" w:lineRule="auto"/>
        <w:ind w:firstLine="340"/>
        <w:jc w:val="both"/>
      </w:pPr>
      <w:r>
        <w:rPr>
          <w:rtl/>
        </w:rPr>
        <w:t xml:space="preserve">“לאמיתו של דבר”, אמר הרב </w:t>
      </w:r>
      <w:proofErr w:type="spellStart"/>
      <w:r>
        <w:rPr>
          <w:rtl/>
        </w:rPr>
        <w:t>קוליץ</w:t>
      </w:r>
      <w:proofErr w:type="spellEnd"/>
      <w:r>
        <w:rPr>
          <w:rtl/>
        </w:rPr>
        <w:t xml:space="preserve">, “ר׳ </w:t>
      </w:r>
      <w:proofErr w:type="spellStart"/>
      <w:r>
        <w:rPr>
          <w:rtl/>
        </w:rPr>
        <w:t>איסר־זלמן</w:t>
      </w:r>
      <w:proofErr w:type="spellEnd"/>
      <w:r>
        <w:rPr>
          <w:rtl/>
        </w:rPr>
        <w:t xml:space="preserve"> חשש שכשייכנס לבית, האישה, שנהנתה לשיר בשעת עבודתה, תצטער על שתיאלץ להפסיק לשיר למשך שאר זמן עבודתה”. השווה גם את הביוגרפיה המוסמכת של ר׳ </w:t>
      </w:r>
      <w:proofErr w:type="spellStart"/>
      <w:r>
        <w:rPr>
          <w:rtl/>
        </w:rPr>
        <w:t>איסר־זלמן</w:t>
      </w:r>
      <w:proofErr w:type="spellEnd"/>
      <w:r>
        <w:rPr>
          <w:rtl/>
        </w:rPr>
        <w:t xml:space="preserve"> מלצר, “בדרך עץ החיים”,</w:t>
      </w:r>
      <w:bookmarkStart w:id="39" w:name="_fnr38"/>
      <w:r>
        <w:rPr>
          <w:rStyle w:val="a5"/>
        </w:rPr>
        <w:footnoteReference w:id="38" w:customMarkFollows="0"/>
      </w:r>
      <w:bookmarkEnd w:id="39"/>
      <w:r>
        <w:rPr>
          <w:rtl/>
        </w:rPr>
        <w:t xml:space="preserve"> שבה מתעד נכדו של אותו צדיק את הסיפור כפי שאירע, וכותב שסבו עצמו הסביר את מעשהו בלי להזכיר </w:t>
      </w:r>
      <w:r>
        <w:rPr>
          <w:rtl/>
        </w:rPr>
        <w:lastRenderedPageBreak/>
        <w:t xml:space="preserve">כלל קול באישה; ואף מסופר שם שר׳ </w:t>
      </w:r>
      <w:proofErr w:type="spellStart"/>
      <w:r>
        <w:rPr>
          <w:rtl/>
        </w:rPr>
        <w:t>איסר־זלמן</w:t>
      </w:r>
      <w:proofErr w:type="spellEnd"/>
      <w:r>
        <w:rPr>
          <w:rtl/>
        </w:rPr>
        <w:t xml:space="preserve"> התהלך </w:t>
      </w:r>
      <w:r>
        <w:rPr>
          <w:i/>
          <w:iCs/>
          <w:rtl/>
        </w:rPr>
        <w:t>במרפסת</w:t>
      </w:r>
      <w:r>
        <w:rPr>
          <w:rtl/>
        </w:rPr>
        <w:t xml:space="preserve"> שמחוץ לדלת ביתו ממש – מקום שבו כנראה עדיין יכול היה לשמוע את השירה (אילו בחר להאזין)!</w:t>
      </w:r>
      <w:bookmarkStart w:id="40" w:name="_fnr39"/>
      <w:r>
        <w:rPr>
          <w:rStyle w:val="a5"/>
        </w:rPr>
        <w:footnoteReference w:id="39" w:customMarkFollows="0"/>
      </w:r>
      <w:bookmarkEnd w:id="40"/>
    </w:p>
    <w:p w14:paraId="440AD240" w14:textId="77777777" w:rsidR="00AB3647" w:rsidRDefault="00000000" w:rsidP="007923E9">
      <w:pPr>
        <w:spacing w:after="100" w:line="276" w:lineRule="auto"/>
        <w:ind w:firstLine="340"/>
        <w:jc w:val="both"/>
      </w:pPr>
      <w:r>
        <w:rPr>
          <w:rtl/>
        </w:rPr>
        <w:t xml:space="preserve">ר׳ יצחק </w:t>
      </w:r>
      <w:proofErr w:type="spellStart"/>
      <w:r>
        <w:rPr>
          <w:rtl/>
        </w:rPr>
        <w:t>קוליץ</w:t>
      </w:r>
      <w:proofErr w:type="spellEnd"/>
      <w:r>
        <w:rPr>
          <w:rtl/>
        </w:rPr>
        <w:t xml:space="preserve"> רתח על פירושו המוטעה של אותו ראש ישיבה למניעו של ר׳ </w:t>
      </w:r>
      <w:proofErr w:type="spellStart"/>
      <w:r>
        <w:rPr>
          <w:rtl/>
        </w:rPr>
        <w:t>איסר־זלמן</w:t>
      </w:r>
      <w:proofErr w:type="spellEnd"/>
      <w:r>
        <w:rPr>
          <w:rtl/>
        </w:rPr>
        <w:t xml:space="preserve">, שכן בפירושו השגוי החמיץ את התחשבותו יוצאת הדופן של ר׳ </w:t>
      </w:r>
      <w:proofErr w:type="spellStart"/>
      <w:r>
        <w:rPr>
          <w:rtl/>
        </w:rPr>
        <w:t>איסר־זלמן</w:t>
      </w:r>
      <w:proofErr w:type="spellEnd"/>
      <w:r>
        <w:rPr>
          <w:rtl/>
        </w:rPr>
        <w:t xml:space="preserve"> בבני אדם. במקרה זה הבנתו של אדם אחד את המאורע הייתה שונה מאוד מהבנתו של אחר. במקרים אחרים ייתכן שההבדלים בפירוש זניחים, אבל גם אז הם קיימים.</w:t>
      </w:r>
    </w:p>
    <w:p w14:paraId="6E30BA0A" w14:textId="77777777" w:rsidR="00AB3647" w:rsidRDefault="00000000" w:rsidP="007923E9">
      <w:pPr>
        <w:spacing w:after="100" w:line="276" w:lineRule="auto"/>
        <w:ind w:firstLine="340"/>
        <w:jc w:val="both"/>
      </w:pPr>
      <w:r>
        <w:rPr>
          <w:rtl/>
        </w:rPr>
        <w:t xml:space="preserve">מטבע הדברים, גם הקורא עשוי להעריך את המאורעות אחרת ממני, אבל אני חש שמאחר שגדלתי בביתו של גדול בישראל, כישוריי להסיק מסקנות מסיפורי גדולים טובים לפחות כשל כל אדם אחר. לא זו בלבד שהקדשתי מחשבה רבה להבנה בהירה של הפרשיות שהעליתי על הכתב, אלא שבכל מקום שראיתי את פירושיי כשנויים במחלוקת ופתוחים לביאורו של הקורא עצמו, הרביתי להשתמש במסקנותיי בביטויים כגון “מציע”, “מעלה”, “סבור” </w:t>
      </w:r>
      <w:proofErr w:type="spellStart"/>
      <w:r>
        <w:rPr>
          <w:rtl/>
        </w:rPr>
        <w:t>ו“משער</w:t>
      </w:r>
      <w:proofErr w:type="spellEnd"/>
      <w:r>
        <w:rPr>
          <w:rtl/>
        </w:rPr>
        <w:t>”.</w:t>
      </w:r>
    </w:p>
    <w:p w14:paraId="5E5DF4D6" w14:textId="77777777" w:rsidR="00AB3647" w:rsidRDefault="00000000" w:rsidP="007923E9">
      <w:pPr>
        <w:spacing w:after="100" w:line="276" w:lineRule="auto"/>
        <w:ind w:firstLine="340"/>
        <w:jc w:val="both"/>
      </w:pPr>
      <w:r>
        <w:rPr>
          <w:rtl/>
        </w:rPr>
        <w:t xml:space="preserve">בהקדמתו </w:t>
      </w:r>
      <w:proofErr w:type="spellStart"/>
      <w:r>
        <w:rPr>
          <w:rtl/>
        </w:rPr>
        <w:t>ל“מקור</w:t>
      </w:r>
      <w:proofErr w:type="spellEnd"/>
      <w:r>
        <w:rPr>
          <w:rtl/>
        </w:rPr>
        <w:t xml:space="preserve"> ברוך”</w:t>
      </w:r>
      <w:bookmarkStart w:id="41" w:name="_fnr40"/>
      <w:r>
        <w:rPr>
          <w:rStyle w:val="a5"/>
        </w:rPr>
        <w:footnoteReference w:id="40" w:customMarkFollows="0"/>
      </w:r>
      <w:bookmarkEnd w:id="41"/>
      <w:r>
        <w:rPr>
          <w:rtl/>
        </w:rPr>
        <w:t xml:space="preserve"> כותב ר׳ ברוך אפשטיין: “ותמיד לא זז מרעיוני, כי לא כל דבר העולה ברעיון ראוי לדבר, ולא כל מה שידובר ראוי </w:t>
      </w:r>
      <w:proofErr w:type="spellStart"/>
      <w:r>
        <w:rPr>
          <w:rtl/>
        </w:rPr>
        <w:t>להכתב</w:t>
      </w:r>
      <w:proofErr w:type="spellEnd"/>
      <w:r>
        <w:rPr>
          <w:rtl/>
        </w:rPr>
        <w:t xml:space="preserve">, ולא כל הכתוב ראוי לבא בדפוס”. הרב אפשטיין טוען שנהג לפי כלל זה בחיבור ספרו. הפתגם הזה נמנה גם בין אמרותיו של ר׳ ישראל </w:t>
      </w:r>
      <w:proofErr w:type="spellStart"/>
      <w:r>
        <w:rPr>
          <w:rtl/>
        </w:rPr>
        <w:t>סלנטר</w:t>
      </w:r>
      <w:proofErr w:type="spellEnd"/>
      <w:r>
        <w:rPr>
          <w:rtl/>
        </w:rPr>
        <w:t>.</w:t>
      </w:r>
      <w:bookmarkStart w:id="42" w:name="_fnr41"/>
      <w:r>
        <w:rPr>
          <w:rStyle w:val="a5"/>
        </w:rPr>
        <w:footnoteReference w:id="41" w:customMarkFollows="0"/>
      </w:r>
      <w:bookmarkEnd w:id="42"/>
    </w:p>
    <w:p w14:paraId="5586A276" w14:textId="77777777" w:rsidR="00AB3647" w:rsidRDefault="00000000" w:rsidP="007923E9">
      <w:pPr>
        <w:spacing w:after="100" w:line="276" w:lineRule="auto"/>
        <w:ind w:firstLine="340"/>
        <w:jc w:val="both"/>
      </w:pPr>
      <w:r>
        <w:rPr>
          <w:rtl/>
        </w:rPr>
        <w:t xml:space="preserve">מצאתי מקור מוקדם יותר לפתגם זה: </w:t>
      </w:r>
      <w:proofErr w:type="spellStart"/>
      <w:r>
        <w:rPr>
          <w:rtl/>
        </w:rPr>
        <w:t>ב“כל</w:t>
      </w:r>
      <w:proofErr w:type="spellEnd"/>
      <w:r>
        <w:rPr>
          <w:rtl/>
        </w:rPr>
        <w:t xml:space="preserve"> כתבי חפץ חיים השלם”</w:t>
      </w:r>
      <w:bookmarkStart w:id="43" w:name="_fnr42"/>
      <w:r>
        <w:rPr>
          <w:rStyle w:val="a5"/>
        </w:rPr>
        <w:footnoteReference w:id="42" w:customMarkFollows="0"/>
      </w:r>
      <w:bookmarkEnd w:id="43"/>
      <w:r>
        <w:rPr>
          <w:rtl/>
        </w:rPr>
        <w:t xml:space="preserve"> פותח בנו של </w:t>
      </w:r>
      <w:proofErr w:type="spellStart"/>
      <w:r>
        <w:rPr>
          <w:rtl/>
        </w:rPr>
        <w:t>החפץ־חיים</w:t>
      </w:r>
      <w:proofErr w:type="spellEnd"/>
      <w:r>
        <w:rPr>
          <w:rtl/>
        </w:rPr>
        <w:t xml:space="preserve"> את תולדות אביו בכך שהוא מביא שאביו היה חוזר על פתגם זה “לכאורה בשם ר׳ רפאל מהמבורג”, תלמידו של </w:t>
      </w:r>
      <w:proofErr w:type="spellStart"/>
      <w:r>
        <w:rPr>
          <w:rtl/>
        </w:rPr>
        <w:t>השאגת־אריה</w:t>
      </w:r>
      <w:proofErr w:type="spellEnd"/>
      <w:r>
        <w:rPr>
          <w:rtl/>
        </w:rPr>
        <w:t xml:space="preserve">. גם בנו של </w:t>
      </w:r>
      <w:proofErr w:type="spellStart"/>
      <w:r>
        <w:rPr>
          <w:rtl/>
        </w:rPr>
        <w:t>החפץ־חיים</w:t>
      </w:r>
      <w:proofErr w:type="spellEnd"/>
      <w:r>
        <w:rPr>
          <w:rtl/>
        </w:rPr>
        <w:t xml:space="preserve"> טוען שעיקרון זה הוא שהנחה אותו כשהשמיט “כמה מן הסיפורים המעטים על ימי נעוריו של (אביו), שנפלטו מדי פעם מפי (אביו), ואשר כולם </w:t>
      </w:r>
      <w:r>
        <w:rPr>
          <w:i/>
          <w:iCs/>
          <w:rtl/>
        </w:rPr>
        <w:t>אי אפשר</w:t>
      </w:r>
      <w:r>
        <w:rPr>
          <w:rtl/>
        </w:rPr>
        <w:t xml:space="preserve"> (ההדגשה שלי) להוציאם לרשות הרבים”.</w:t>
      </w:r>
    </w:p>
    <w:p w14:paraId="29137836" w14:textId="77777777" w:rsidR="00AB3647" w:rsidRDefault="00000000" w:rsidP="007923E9">
      <w:pPr>
        <w:spacing w:after="100" w:line="276" w:lineRule="auto"/>
        <w:ind w:firstLine="340"/>
        <w:jc w:val="both"/>
      </w:pPr>
      <w:r>
        <w:rPr>
          <w:rtl/>
        </w:rPr>
        <w:t xml:space="preserve">אני משער שהסינון של הדברים שמפרסמים נובעת מן החשש שמא ייפגעו רגשותיו של מישהו מגילויים שלא עברו צנזורה. כנראה לחשש זה רמז בנו של </w:t>
      </w:r>
      <w:proofErr w:type="spellStart"/>
      <w:r>
        <w:rPr>
          <w:rtl/>
        </w:rPr>
        <w:t>החפץ־חיים</w:t>
      </w:r>
      <w:proofErr w:type="spellEnd"/>
      <w:r>
        <w:rPr>
          <w:rtl/>
        </w:rPr>
        <w:t xml:space="preserve"> כשכתב שסיפורים מסוימים </w:t>
      </w:r>
      <w:r>
        <w:rPr>
          <w:i/>
          <w:iCs/>
          <w:rtl/>
        </w:rPr>
        <w:t>אי אפשר</w:t>
      </w:r>
      <w:r>
        <w:rPr>
          <w:rtl/>
        </w:rPr>
        <w:t xml:space="preserve"> לפרסם.</w:t>
      </w:r>
    </w:p>
    <w:p w14:paraId="6AF7864F" w14:textId="43BC6AE9" w:rsidR="00AB3647" w:rsidRDefault="00000000" w:rsidP="007923E9">
      <w:pPr>
        <w:spacing w:after="100" w:line="276" w:lineRule="auto"/>
        <w:ind w:firstLine="340"/>
        <w:jc w:val="both"/>
      </w:pPr>
      <w:r>
        <w:rPr>
          <w:rtl/>
        </w:rPr>
        <w:lastRenderedPageBreak/>
        <w:t>אשר לספרי, עם זאת, עליי לומר שבכרך הראשון הזה, העוסק בעניינים שאירעו לפני מאה שנה, לא שקלתי הרבה אם להסתיר עניינים שהיו רגישים באותם ימים. הטעם לכך: כשאבי דיבר על הפרשיות הרחוקות הללו, הוא החיל עליהן במפורש את הפסוק</w:t>
      </w:r>
      <w:bookmarkStart w:id="44" w:name="_fnr43"/>
      <w:r>
        <w:rPr>
          <w:rStyle w:val="a5"/>
        </w:rPr>
        <w:footnoteReference w:id="43" w:customMarkFollows="0"/>
      </w:r>
      <w:bookmarkEnd w:id="44"/>
      <w:r>
        <w:rPr>
          <w:rtl/>
        </w:rPr>
        <w:t xml:space="preserve"> “גם שנאתם גם קנאתם כבר אבדה”</w:t>
      </w:r>
      <w:bookmarkStart w:id="45" w:name="_fnr44"/>
      <w:r>
        <w:rPr>
          <w:rStyle w:val="a5"/>
        </w:rPr>
        <w:footnoteReference w:id="44" w:customMarkFollows="0"/>
      </w:r>
      <w:bookmarkEnd w:id="45"/>
      <w:r>
        <w:rPr>
          <w:rtl/>
        </w:rPr>
        <w:t xml:space="preserve"> (שנאתם וקנאתם של גיבורי הסיפורים) – ראה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למעשה, אבי סבר שחלוף חמישים שנה בלבד – יובל (שהתורה מכנה “לעולם”) – יש בו די השפעה מצטברת כדי למחות עולם אחד ולהעמיד חברה חדשה תחתיו.</w:t>
      </w:r>
      <w:bookmarkStart w:id="46" w:name="_fnr45"/>
      <w:r>
        <w:rPr>
          <w:rStyle w:val="a5"/>
        </w:rPr>
        <w:footnoteReference w:id="45" w:customMarkFollows="0"/>
      </w:r>
      <w:bookmarkEnd w:id="46"/>
    </w:p>
    <w:p w14:paraId="34E8649C" w14:textId="77777777" w:rsidR="00AB3647" w:rsidRDefault="00000000" w:rsidP="007923E9">
      <w:pPr>
        <w:spacing w:after="100" w:line="276" w:lineRule="auto"/>
        <w:ind w:firstLine="340"/>
        <w:jc w:val="both"/>
      </w:pPr>
      <w:r>
        <w:rPr>
          <w:rtl/>
        </w:rPr>
        <w:t>ברוח זו לא ראיתי צורך להדחיק את מחשבותיי; ובמקום להניח לסיסמתו של ר׳ רפאל המבורגר לחסום את דרכי, השתמשתי בפסוק המקראי כדי לפנות את הדרך לגילויים מעניינים, מחכימים ומחנכים על עולם שחלף. אין ספק שבין קוראי ספר זה יש צאצאים של אותם גדולי העבר, זיכרונם לברכה, הנזכרים בו. תפילתי שיהיו נבונים דיים להעריך את חולשתם האנושית של אבותיהם לצד גדולתם – ומאחר שמוצאם מאבות גדולים, ראוי שיהיו כאלה.</w:t>
      </w:r>
      <w:bookmarkStart w:id="47" w:name="_fnr46"/>
      <w:r>
        <w:rPr>
          <w:rStyle w:val="a5"/>
        </w:rPr>
        <w:footnoteReference w:id="46" w:customMarkFollows="0"/>
      </w:r>
      <w:bookmarkEnd w:id="47"/>
    </w:p>
    <w:p w14:paraId="52687B54" w14:textId="77777777" w:rsidR="00AB3647" w:rsidRDefault="00000000" w:rsidP="007923E9">
      <w:pPr>
        <w:spacing w:after="100" w:line="276" w:lineRule="auto"/>
        <w:ind w:firstLine="340"/>
        <w:jc w:val="both"/>
      </w:pPr>
      <w:r>
        <w:rPr>
          <w:rtl/>
        </w:rPr>
        <w:t xml:space="preserve">נתקלתי במחלוקת בולטת בין שני אחים מפורסמים בנושא הסיפורים על גדולי הדורות הקודמים. ר׳ שמעון </w:t>
      </w:r>
      <w:proofErr w:type="spellStart"/>
      <w:r>
        <w:rPr>
          <w:rtl/>
        </w:rPr>
        <w:t>שוואב</w:t>
      </w:r>
      <w:proofErr w:type="spellEnd"/>
      <w:r>
        <w:rPr>
          <w:rtl/>
        </w:rPr>
        <w:t xml:space="preserve"> בספרו “כתבים נבחרים”</w:t>
      </w:r>
      <w:bookmarkStart w:id="48" w:name="_fnr47"/>
      <w:r>
        <w:rPr>
          <w:rStyle w:val="a5"/>
        </w:rPr>
        <w:footnoteReference w:id="47" w:customMarkFollows="0"/>
      </w:r>
      <w:bookmarkEnd w:id="48"/>
      <w:r>
        <w:rPr>
          <w:rtl/>
        </w:rPr>
        <w:t xml:space="preserve"> מגדיר את ההבדל בין היסטוריה </w:t>
      </w:r>
      <w:proofErr w:type="spellStart"/>
      <w:r>
        <w:rPr>
          <w:rtl/>
        </w:rPr>
        <w:t>ל“סיפור</w:t>
      </w:r>
      <w:proofErr w:type="spellEnd"/>
      <w:r>
        <w:rPr>
          <w:rtl/>
        </w:rPr>
        <w:t xml:space="preserve"> סיפורים” בכך שהראשונה חייבת להיות “אמיתית, ואינה חסה אפילו על </w:t>
      </w:r>
      <w:proofErr w:type="spellStart"/>
      <w:r>
        <w:rPr>
          <w:rtl/>
        </w:rPr>
        <w:t>כשלונותיהם</w:t>
      </w:r>
      <w:proofErr w:type="spellEnd"/>
      <w:r>
        <w:rPr>
          <w:rtl/>
        </w:rPr>
        <w:t xml:space="preserve"> של הצדיקים”.</w:t>
      </w:r>
    </w:p>
    <w:p w14:paraId="0D502A5F" w14:textId="77777777" w:rsidR="00AB3647" w:rsidRDefault="00000000" w:rsidP="007923E9">
      <w:pPr>
        <w:spacing w:after="100" w:line="276" w:lineRule="auto"/>
        <w:ind w:firstLine="340"/>
        <w:jc w:val="both"/>
      </w:pPr>
      <w:r>
        <w:rPr>
          <w:rtl/>
        </w:rPr>
        <w:t xml:space="preserve">הרב </w:t>
      </w:r>
      <w:proofErr w:type="spellStart"/>
      <w:r>
        <w:rPr>
          <w:rtl/>
        </w:rPr>
        <w:t>שוואב</w:t>
      </w:r>
      <w:proofErr w:type="spellEnd"/>
      <w:r>
        <w:rPr>
          <w:rtl/>
        </w:rPr>
        <w:t xml:space="preserve"> טוען ברהיטות </w:t>
      </w:r>
      <w:proofErr w:type="spellStart"/>
      <w:r>
        <w:rPr>
          <w:rtl/>
        </w:rPr>
        <w:t>ש“תמונה</w:t>
      </w:r>
      <w:proofErr w:type="spellEnd"/>
      <w:r>
        <w:rPr>
          <w:rtl/>
        </w:rPr>
        <w:t xml:space="preserve"> היסטורית ריאליסטית” תחשוף “ליקויים” </w:t>
      </w:r>
      <w:proofErr w:type="spellStart"/>
      <w:r>
        <w:rPr>
          <w:rtl/>
        </w:rPr>
        <w:t>ש“בצדק</w:t>
      </w:r>
      <w:proofErr w:type="spellEnd"/>
      <w:r>
        <w:rPr>
          <w:rtl/>
        </w:rPr>
        <w:t xml:space="preserve"> יכעיסו אנשים רבים”, </w:t>
      </w:r>
      <w:proofErr w:type="spellStart"/>
      <w:r>
        <w:rPr>
          <w:rtl/>
        </w:rPr>
        <w:t>וש“אין</w:t>
      </w:r>
      <w:proofErr w:type="spellEnd"/>
      <w:r>
        <w:rPr>
          <w:rtl/>
        </w:rPr>
        <w:t xml:space="preserve"> שום תועלת מוסרית בשימור” תמונה כזאת; לדבריו עלינו “לפרוש מסך על חולשותיהם האנושיות של אבותינו </w:t>
      </w:r>
      <w:r>
        <w:rPr>
          <w:i/>
          <w:iCs/>
          <w:rtl/>
        </w:rPr>
        <w:t>ולפאר את כל השאר, שהוא גדול ויפה</w:t>
      </w:r>
      <w:r>
        <w:rPr>
          <w:rtl/>
        </w:rPr>
        <w:t xml:space="preserve"> (ההדגשה שלי)”. במילים אחרות, הוא מעדיף “סיפור סיפורים” על “היסטוריה”. הוא טובע מימרה: “אין אנו זקוקים לריאליזם; אנו זקוקים </w:t>
      </w:r>
      <w:r>
        <w:rPr>
          <w:i/>
          <w:iCs/>
          <w:rtl/>
        </w:rPr>
        <w:t>להשראה</w:t>
      </w:r>
      <w:r>
        <w:rPr>
          <w:rtl/>
        </w:rPr>
        <w:t xml:space="preserve"> מאבותינו”.</w:t>
      </w:r>
      <w:bookmarkStart w:id="49" w:name="_fnr48"/>
      <w:r>
        <w:rPr>
          <w:rStyle w:val="a5"/>
        </w:rPr>
        <w:footnoteReference w:id="48" w:customMarkFollows="0"/>
      </w:r>
      <w:bookmarkEnd w:id="49"/>
    </w:p>
    <w:p w14:paraId="577644B8" w14:textId="77777777" w:rsidR="00AB3647" w:rsidRDefault="00000000" w:rsidP="007923E9">
      <w:pPr>
        <w:spacing w:after="100" w:line="276" w:lineRule="auto"/>
        <w:ind w:firstLine="340"/>
        <w:jc w:val="both"/>
      </w:pPr>
      <w:r>
        <w:rPr>
          <w:rtl/>
        </w:rPr>
        <w:t xml:space="preserve">אחיו של אותו מחבר, ר׳ מרדכי </w:t>
      </w:r>
      <w:proofErr w:type="spellStart"/>
      <w:r>
        <w:rPr>
          <w:rtl/>
        </w:rPr>
        <w:t>שוואב</w:t>
      </w:r>
      <w:proofErr w:type="spellEnd"/>
      <w:r>
        <w:rPr>
          <w:rtl/>
        </w:rPr>
        <w:t>, לעומת זאת, ראה את “סיפור המעשיות” בעין רעה, כשאמר לי</w:t>
      </w:r>
      <w:bookmarkStart w:id="50" w:name="_fnr49"/>
      <w:r>
        <w:rPr>
          <w:rStyle w:val="a5"/>
        </w:rPr>
        <w:footnoteReference w:id="49" w:customMarkFollows="0"/>
      </w:r>
      <w:bookmarkEnd w:id="50"/>
      <w:r>
        <w:rPr>
          <w:rtl/>
        </w:rPr>
        <w:t xml:space="preserve">: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מעולם לא סיפר מעשיות, מפני שאמר: ‘אי אפשר לחנך על ידי שקר’”. ר׳ מרדכי הסכים עם ר׳ </w:t>
      </w:r>
      <w:proofErr w:type="spellStart"/>
      <w:r>
        <w:rPr>
          <w:rtl/>
        </w:rPr>
        <w:t>יואליש</w:t>
      </w:r>
      <w:proofErr w:type="spellEnd"/>
      <w:r>
        <w:rPr>
          <w:rtl/>
        </w:rPr>
        <w:t xml:space="preserve"> בנוגע לסיפורים שנועדו לפאר את גיבוריהם תוך שהם מפשיטים אותם מצלם אנוש.</w:t>
      </w:r>
    </w:p>
    <w:p w14:paraId="6F37283F" w14:textId="77777777" w:rsidR="00AB3647" w:rsidRDefault="00000000" w:rsidP="007923E9">
      <w:pPr>
        <w:spacing w:after="100" w:line="276" w:lineRule="auto"/>
        <w:ind w:firstLine="340"/>
        <w:jc w:val="both"/>
      </w:pPr>
      <w:r>
        <w:rPr>
          <w:rtl/>
        </w:rPr>
        <w:t xml:space="preserve">ר׳ </w:t>
      </w:r>
      <w:proofErr w:type="spellStart"/>
      <w:r>
        <w:rPr>
          <w:rtl/>
        </w:rPr>
        <w:t>יואליש</w:t>
      </w:r>
      <w:proofErr w:type="spellEnd"/>
      <w:r>
        <w:rPr>
          <w:rtl/>
        </w:rPr>
        <w:t xml:space="preserve"> חזר על דברים שאמר ר׳ </w:t>
      </w:r>
      <w:proofErr w:type="spellStart"/>
      <w:r>
        <w:rPr>
          <w:rtl/>
        </w:rPr>
        <w:t>יהושע־יוסף</w:t>
      </w:r>
      <w:proofErr w:type="spellEnd"/>
      <w:r>
        <w:rPr>
          <w:rtl/>
        </w:rPr>
        <w:t xml:space="preserve"> </w:t>
      </w:r>
      <w:proofErr w:type="spellStart"/>
      <w:r>
        <w:rPr>
          <w:rtl/>
        </w:rPr>
        <w:t>פרייל</w:t>
      </w:r>
      <w:proofErr w:type="spellEnd"/>
      <w:r>
        <w:rPr>
          <w:rtl/>
        </w:rPr>
        <w:t xml:space="preserve">, רבה של העיירה הליטאית </w:t>
      </w:r>
      <w:proofErr w:type="spellStart"/>
      <w:r>
        <w:rPr>
          <w:rtl/>
        </w:rPr>
        <w:t>קרוק</w:t>
      </w:r>
      <w:proofErr w:type="spellEnd"/>
      <w:r>
        <w:rPr>
          <w:rtl/>
        </w:rPr>
        <w:t xml:space="preserve">. בביקורת שכתב בשנת תרנ״ו על “תולדות ישראל </w:t>
      </w:r>
      <w:proofErr w:type="spellStart"/>
      <w:r>
        <w:rPr>
          <w:rtl/>
        </w:rPr>
        <w:t>ח״ב</w:t>
      </w:r>
      <w:proofErr w:type="spellEnd"/>
      <w:r>
        <w:rPr>
          <w:rtl/>
        </w:rPr>
        <w:t xml:space="preserve">” של זאב </w:t>
      </w:r>
      <w:proofErr w:type="spellStart"/>
      <w:r>
        <w:rPr>
          <w:rtl/>
        </w:rPr>
        <w:t>יעבץ</w:t>
      </w:r>
      <w:proofErr w:type="spellEnd"/>
      <w:r>
        <w:rPr>
          <w:rtl/>
        </w:rPr>
        <w:t xml:space="preserve">, שיצא לאור שנה קודם </w:t>
      </w:r>
      <w:r>
        <w:rPr>
          <w:rtl/>
        </w:rPr>
        <w:lastRenderedPageBreak/>
        <w:t xml:space="preserve">לכן בוורשה, קבע הרב </w:t>
      </w:r>
      <w:proofErr w:type="spellStart"/>
      <w:r>
        <w:rPr>
          <w:rtl/>
        </w:rPr>
        <w:t>פרייל</w:t>
      </w:r>
      <w:proofErr w:type="spellEnd"/>
      <w:r>
        <w:rPr>
          <w:rtl/>
        </w:rPr>
        <w:t xml:space="preserve"> את הכלל המוסרי הזה: “לברוא סיפורים שלא היו מעולם ולהציגם כעובדות לשם הוראת מוסר – אוי לו </w:t>
      </w:r>
      <w:proofErr w:type="spellStart"/>
      <w:r>
        <w:rPr>
          <w:rtl/>
        </w:rPr>
        <w:t>למוסר־השכל</w:t>
      </w:r>
      <w:proofErr w:type="spellEnd"/>
      <w:r>
        <w:rPr>
          <w:rtl/>
        </w:rPr>
        <w:t xml:space="preserve"> הבנוי על יסוד רעוע כשקר!”</w:t>
      </w:r>
      <w:bookmarkStart w:id="51" w:name="_fnr50"/>
      <w:r>
        <w:rPr>
          <w:rStyle w:val="a5"/>
        </w:rPr>
        <w:footnoteReference w:id="50" w:customMarkFollows="0"/>
      </w:r>
      <w:bookmarkEnd w:id="51"/>
    </w:p>
    <w:p w14:paraId="320FFE2F" w14:textId="77777777" w:rsidR="00AB3647" w:rsidRDefault="00000000" w:rsidP="007923E9">
      <w:pPr>
        <w:spacing w:after="100" w:line="276" w:lineRule="auto"/>
        <w:ind w:firstLine="340"/>
        <w:jc w:val="both"/>
      </w:pPr>
      <w:r>
        <w:rPr>
          <w:rtl/>
        </w:rPr>
        <w:t xml:space="preserve">אפילו החסידים, מספרי הסיפורים המפורסמים, החשודים יותר מאחרים ביצירת אגדות על מנהיגיהם (ומהם, כנראה, ביקש הרב </w:t>
      </w:r>
      <w:proofErr w:type="spellStart"/>
      <w:r>
        <w:rPr>
          <w:rtl/>
        </w:rPr>
        <w:t>מסאטמר</w:t>
      </w:r>
      <w:proofErr w:type="spellEnd"/>
      <w:r>
        <w:rPr>
          <w:rtl/>
        </w:rPr>
        <w:t xml:space="preserve"> להתרחק באמירתו), נזהרים להבדיל בין עובדה לבדיה. ר׳ שמעון </w:t>
      </w:r>
      <w:proofErr w:type="spellStart"/>
      <w:r>
        <w:rPr>
          <w:rtl/>
        </w:rPr>
        <w:t>דויטש</w:t>
      </w:r>
      <w:proofErr w:type="spellEnd"/>
      <w:r>
        <w:rPr>
          <w:rtl/>
        </w:rPr>
        <w:t xml:space="preserve"> סיפר לי</w:t>
      </w:r>
      <w:bookmarkStart w:id="52" w:name="_fnr51"/>
      <w:r>
        <w:rPr>
          <w:rStyle w:val="a5"/>
        </w:rPr>
        <w:footnoteReference w:id="51" w:customMarkFollows="0"/>
      </w:r>
      <w:bookmarkEnd w:id="52"/>
      <w:r>
        <w:rPr>
          <w:rtl/>
        </w:rPr>
        <w:t xml:space="preserve"> ששאל את הרבי </w:t>
      </w:r>
      <w:proofErr w:type="spellStart"/>
      <w:r>
        <w:rPr>
          <w:rtl/>
        </w:rPr>
        <w:t>מליובאוויטש</w:t>
      </w:r>
      <w:proofErr w:type="spellEnd"/>
      <w:r>
        <w:rPr>
          <w:rtl/>
        </w:rPr>
        <w:t xml:space="preserve">, ר׳ </w:t>
      </w:r>
      <w:proofErr w:type="spellStart"/>
      <w:r>
        <w:rPr>
          <w:rtl/>
        </w:rPr>
        <w:t>מנחם־מנדל</w:t>
      </w:r>
      <w:proofErr w:type="spellEnd"/>
      <w:r>
        <w:rPr>
          <w:rtl/>
        </w:rPr>
        <w:t xml:space="preserve"> שניאורסון, האם כשהוא כותב על מאסרו ושחרורו של חותן הרבי, ר׳ </w:t>
      </w:r>
      <w:proofErr w:type="spellStart"/>
      <w:r>
        <w:rPr>
          <w:rtl/>
        </w:rPr>
        <w:t>יוסף־יצחק</w:t>
      </w:r>
      <w:proofErr w:type="spellEnd"/>
      <w:r>
        <w:rPr>
          <w:rtl/>
        </w:rPr>
        <w:t xml:space="preserve"> שניאורסון, עליו להזכיר או להשמיט את העובדה שמזכירו של ר׳ </w:t>
      </w:r>
      <w:proofErr w:type="spellStart"/>
      <w:r>
        <w:rPr>
          <w:rtl/>
        </w:rPr>
        <w:t>יוסף־יצחק</w:t>
      </w:r>
      <w:proofErr w:type="spellEnd"/>
      <w:r>
        <w:rPr>
          <w:rtl/>
        </w:rPr>
        <w:t>, ר׳ חיים ליברמן, נאסר ושוחרר יחד עמו.</w:t>
      </w:r>
    </w:p>
    <w:p w14:paraId="2A97304F" w14:textId="77777777" w:rsidR="00AB3647" w:rsidRDefault="00000000" w:rsidP="007923E9">
      <w:pPr>
        <w:spacing w:after="100" w:line="276" w:lineRule="auto"/>
        <w:ind w:firstLine="340"/>
        <w:jc w:val="both"/>
      </w:pPr>
      <w:r>
        <w:rPr>
          <w:rtl/>
        </w:rPr>
        <w:t xml:space="preserve">אגב, הרב ליברמן התנגד לעלייתו של ר׳ </w:t>
      </w:r>
      <w:proofErr w:type="spellStart"/>
      <w:r>
        <w:rPr>
          <w:rtl/>
        </w:rPr>
        <w:t>מנחם־מנדל</w:t>
      </w:r>
      <w:proofErr w:type="spellEnd"/>
      <w:r>
        <w:rPr>
          <w:rtl/>
        </w:rPr>
        <w:t xml:space="preserve"> לכס </w:t>
      </w:r>
      <w:proofErr w:type="spellStart"/>
      <w:r>
        <w:rPr>
          <w:rtl/>
        </w:rPr>
        <w:t>האדמו״רות</w:t>
      </w:r>
      <w:proofErr w:type="spellEnd"/>
      <w:r>
        <w:rPr>
          <w:rtl/>
        </w:rPr>
        <w:t xml:space="preserve"> של </w:t>
      </w:r>
      <w:proofErr w:type="spellStart"/>
      <w:r>
        <w:rPr>
          <w:rtl/>
        </w:rPr>
        <w:t>ליובאוויטש</w:t>
      </w:r>
      <w:proofErr w:type="spellEnd"/>
      <w:r>
        <w:rPr>
          <w:rtl/>
        </w:rPr>
        <w:t xml:space="preserve">, ולא הכיר בו כרבי לאחר שנכנס לתפקיד. על שאלתו של הרב </w:t>
      </w:r>
      <w:proofErr w:type="spellStart"/>
      <w:r>
        <w:rPr>
          <w:rtl/>
        </w:rPr>
        <w:t>דויטש</w:t>
      </w:r>
      <w:proofErr w:type="spellEnd"/>
      <w:r>
        <w:rPr>
          <w:rtl/>
        </w:rPr>
        <w:t xml:space="preserve"> השיב ר׳ </w:t>
      </w:r>
      <w:proofErr w:type="spellStart"/>
      <w:r>
        <w:rPr>
          <w:rtl/>
        </w:rPr>
        <w:t>מנחם־מנדל</w:t>
      </w:r>
      <w:proofErr w:type="spellEnd"/>
      <w:r>
        <w:rPr>
          <w:rtl/>
        </w:rPr>
        <w:t xml:space="preserve">: “היסטוריה צריך לכתוב אמת לאמיתה” – והסביר את הכפילות שבלשונו: “ובכלל זה שלא לייפות שום מילה [ניט </w:t>
      </w:r>
      <w:proofErr w:type="spellStart"/>
      <w:r>
        <w:rPr>
          <w:rtl/>
        </w:rPr>
        <w:t>צופוצען</w:t>
      </w:r>
      <w:proofErr w:type="spellEnd"/>
      <w:r>
        <w:rPr>
          <w:rtl/>
        </w:rPr>
        <w:t xml:space="preserve"> קיין </w:t>
      </w:r>
      <w:proofErr w:type="spellStart"/>
      <w:r>
        <w:rPr>
          <w:rtl/>
        </w:rPr>
        <w:t>ווארט</w:t>
      </w:r>
      <w:proofErr w:type="spellEnd"/>
      <w:r>
        <w:rPr>
          <w:rtl/>
        </w:rPr>
        <w:t>]”.</w:t>
      </w:r>
      <w:bookmarkStart w:id="53" w:name="_fnr52"/>
      <w:r>
        <w:rPr>
          <w:rStyle w:val="a5"/>
        </w:rPr>
        <w:footnoteReference w:id="52" w:customMarkFollows="0"/>
      </w:r>
      <w:bookmarkEnd w:id="53"/>
    </w:p>
    <w:p w14:paraId="05251B5F" w14:textId="77777777" w:rsidR="00AB3647" w:rsidRDefault="00000000" w:rsidP="007923E9">
      <w:pPr>
        <w:spacing w:after="100" w:line="276" w:lineRule="auto"/>
        <w:ind w:firstLine="340"/>
        <w:jc w:val="both"/>
      </w:pPr>
      <w:r>
        <w:rPr>
          <w:rtl/>
        </w:rPr>
        <w:t>השווה גם “פולמוס המוסר”</w:t>
      </w:r>
      <w:bookmarkStart w:id="54" w:name="_fnr53"/>
      <w:r>
        <w:rPr>
          <w:rStyle w:val="a5"/>
        </w:rPr>
        <w:footnoteReference w:id="53" w:customMarkFollows="0"/>
      </w:r>
      <w:bookmarkEnd w:id="54"/>
      <w:r>
        <w:rPr>
          <w:rtl/>
        </w:rPr>
        <w:t xml:space="preserve">, ספר על המחלוקת שבסוף שנות </w:t>
      </w:r>
      <w:proofErr w:type="spellStart"/>
      <w:r>
        <w:rPr>
          <w:rtl/>
        </w:rPr>
        <w:t xml:space="preserve">התר״נ</w:t>
      </w:r>
      <w:proofErr w:type="spellEnd"/>
      <w:r>
        <w:rPr>
          <w:rtl/>
        </w:rPr>
        <w:t xml:space="preserve">, שבה יצאו רוב גדולי התורה בפומבי </w:t>
      </w:r>
      <w:r>
        <w:rPr>
          <w:i/>
          <w:iCs/>
          <w:rtl/>
        </w:rPr>
        <w:t>נגד</w:t>
      </w:r>
      <w:r>
        <w:rPr>
          <w:rtl/>
        </w:rPr>
        <w:t xml:space="preserve"> תנועת המוסר. המחבר, ר׳ דב כץ, מחסידי המוסר, מספר </w:t>
      </w:r>
      <w:proofErr w:type="spellStart"/>
      <w:r>
        <w:rPr>
          <w:rtl/>
        </w:rPr>
        <w:t>ש“נשמעו</w:t>
      </w:r>
      <w:proofErr w:type="spellEnd"/>
      <w:r>
        <w:rPr>
          <w:rtl/>
        </w:rPr>
        <w:t xml:space="preserve"> גם דעות שיש להתעלם מכל הפרשה הזאת”; אבל “כמה מאישי המוסר”, ובהם ר׳ </w:t>
      </w:r>
      <w:proofErr w:type="spellStart"/>
      <w:r>
        <w:rPr>
          <w:rtl/>
        </w:rPr>
        <w:t>יחיאל־יעקב</w:t>
      </w:r>
      <w:proofErr w:type="spellEnd"/>
      <w:r>
        <w:rPr>
          <w:rtl/>
        </w:rPr>
        <w:t xml:space="preserve"> ויינברג</w:t>
      </w:r>
      <w:bookmarkStart w:id="55" w:name="_fnr54"/>
      <w:r>
        <w:rPr>
          <w:rStyle w:val="a5"/>
        </w:rPr>
        <w:footnoteReference w:id="54" w:customMarkFollows="0"/>
      </w:r>
      <w:bookmarkEnd w:id="55"/>
      <w:r>
        <w:rPr>
          <w:rtl/>
        </w:rPr>
        <w:t xml:space="preserve"> ור׳ </w:t>
      </w:r>
      <w:proofErr w:type="spellStart"/>
      <w:r>
        <w:rPr>
          <w:rtl/>
        </w:rPr>
        <w:t>חצקל</w:t>
      </w:r>
      <w:proofErr w:type="spellEnd"/>
      <w:r>
        <w:rPr>
          <w:rtl/>
        </w:rPr>
        <w:t xml:space="preserve"> </w:t>
      </w:r>
      <w:proofErr w:type="spellStart"/>
      <w:r>
        <w:rPr>
          <w:rtl/>
        </w:rPr>
        <w:t>סרנא</w:t>
      </w:r>
      <w:proofErr w:type="spellEnd"/>
      <w:r>
        <w:rPr>
          <w:rtl/>
        </w:rPr>
        <w:t xml:space="preserve">, עמדו על כך לא רק שיכתוב על הפולמוס, אלא – כלשונו של הרב </w:t>
      </w:r>
      <w:proofErr w:type="spellStart"/>
      <w:r>
        <w:rPr>
          <w:rtl/>
        </w:rPr>
        <w:t>סרנא</w:t>
      </w:r>
      <w:proofErr w:type="spellEnd"/>
      <w:r>
        <w:rPr>
          <w:rtl/>
        </w:rPr>
        <w:t xml:space="preserve"> – “שיעלה על ספר את כל הפרשה הזאת מבלי לחסר כל פרט, יהי׳ מה שיהי׳”.</w:t>
      </w:r>
    </w:p>
    <w:p w14:paraId="7B97C8BA" w14:textId="77777777" w:rsidR="00AB3647" w:rsidRDefault="00000000" w:rsidP="007923E9">
      <w:pPr>
        <w:spacing w:after="100" w:line="276" w:lineRule="auto"/>
        <w:ind w:firstLine="340"/>
        <w:jc w:val="both"/>
      </w:pPr>
      <w:r>
        <w:rPr>
          <w:rtl/>
        </w:rPr>
        <w:t xml:space="preserve">אני מודה בענווה שלא הלכתי בדרך שהתווה ר׳ שמעון </w:t>
      </w:r>
      <w:proofErr w:type="spellStart"/>
      <w:r>
        <w:rPr>
          <w:rtl/>
        </w:rPr>
        <w:t>שוואב</w:t>
      </w:r>
      <w:proofErr w:type="spellEnd"/>
      <w:r>
        <w:rPr>
          <w:rtl/>
        </w:rPr>
        <w:t xml:space="preserve"> אלא בדרכו של הרב </w:t>
      </w:r>
      <w:proofErr w:type="spellStart"/>
      <w:r>
        <w:rPr>
          <w:rtl/>
        </w:rPr>
        <w:t>סרנא</w:t>
      </w:r>
      <w:proofErr w:type="spellEnd"/>
      <w:r>
        <w:rPr>
          <w:rtl/>
        </w:rPr>
        <w:t xml:space="preserve">, ותיארתי מאורעות ואנשים במלואם ובכנות. איני יכול להסכים עם הרב </w:t>
      </w:r>
      <w:proofErr w:type="spellStart"/>
      <w:r>
        <w:rPr>
          <w:rtl/>
        </w:rPr>
        <w:t>שוואב</w:t>
      </w:r>
      <w:proofErr w:type="spellEnd"/>
      <w:r>
        <w:rPr>
          <w:rtl/>
        </w:rPr>
        <w:t>, המעניק לכל אדם “זכות” “לכעוס” על גילויַי, מפני שבשום אופן איני סבור שקומתם של גדולי הרבנים וראשי הישיבות של פעם מתגמדת כשמתארים אותם כפי שהיו.</w:t>
      </w:r>
    </w:p>
    <w:p w14:paraId="08FC70C6" w14:textId="77777777" w:rsidR="00AB3647" w:rsidRDefault="00000000" w:rsidP="007923E9">
      <w:pPr>
        <w:spacing w:after="100" w:line="276" w:lineRule="auto"/>
        <w:ind w:firstLine="340"/>
        <w:jc w:val="both"/>
      </w:pPr>
      <w:r>
        <w:rPr>
          <w:rtl/>
        </w:rPr>
        <w:t xml:space="preserve">ואם בשל תיאורי </w:t>
      </w:r>
      <w:proofErr w:type="spellStart"/>
      <w:r>
        <w:rPr>
          <w:rtl/>
        </w:rPr>
        <w:t>הבלתי־מצועצע</w:t>
      </w:r>
      <w:proofErr w:type="spellEnd"/>
      <w:r>
        <w:rPr>
          <w:rtl/>
        </w:rPr>
        <w:t xml:space="preserve"> ימצא קורא כלשהו באחד הגדולים חיסרון או פגם קל – הלוא החכם מכל אדם הכריז ברוח הקודש: “כי אדם אין צדיק בארץ אשר יעשה טוב ולא יחטא”,</w:t>
      </w:r>
      <w:bookmarkStart w:id="56" w:name="_fnr55"/>
      <w:r>
        <w:rPr>
          <w:rStyle w:val="a5"/>
        </w:rPr>
        <w:footnoteReference w:id="55" w:customMarkFollows="0"/>
      </w:r>
      <w:bookmarkEnd w:id="56"/>
      <w:r>
        <w:rPr>
          <w:rtl/>
        </w:rPr>
        <w:t xml:space="preserve"> ועל יסוד הכרזה זו קבעה הגמרא את ההלכה </w:t>
      </w:r>
      <w:proofErr w:type="spellStart"/>
      <w:r>
        <w:rPr>
          <w:rtl/>
        </w:rPr>
        <w:t>ש“צדיקי</w:t>
      </w:r>
      <w:proofErr w:type="spellEnd"/>
      <w:r>
        <w:rPr>
          <w:rtl/>
        </w:rPr>
        <w:t xml:space="preserve"> </w:t>
      </w:r>
      <w:proofErr w:type="spellStart"/>
      <w:r>
        <w:rPr>
          <w:rtl/>
        </w:rPr>
        <w:t>צריכי</w:t>
      </w:r>
      <w:proofErr w:type="spellEnd"/>
      <w:r>
        <w:rPr>
          <w:rtl/>
        </w:rPr>
        <w:t xml:space="preserve"> כפרה”</w:t>
      </w:r>
      <w:bookmarkStart w:id="57" w:name="_fnr56"/>
      <w:r>
        <w:rPr>
          <w:rStyle w:val="a5"/>
        </w:rPr>
        <w:footnoteReference w:id="56" w:customMarkFollows="0"/>
      </w:r>
      <w:bookmarkEnd w:id="57"/>
      <w:r>
        <w:rPr>
          <w:rtl/>
        </w:rPr>
        <w:t>.</w:t>
      </w:r>
    </w:p>
    <w:p w14:paraId="577F104E" w14:textId="77777777" w:rsidR="00AB3647" w:rsidRDefault="00000000" w:rsidP="007923E9">
      <w:pPr>
        <w:spacing w:after="100" w:line="276" w:lineRule="auto"/>
        <w:ind w:firstLine="340"/>
        <w:jc w:val="both"/>
      </w:pPr>
      <w:r>
        <w:rPr>
          <w:rtl/>
        </w:rPr>
        <w:lastRenderedPageBreak/>
        <w:t xml:space="preserve">אני עצמי רואה את כל גדולי התורה כפי שתואר האמורא רב </w:t>
      </w:r>
      <w:proofErr w:type="spellStart"/>
      <w:r>
        <w:rPr>
          <w:rtl/>
        </w:rPr>
        <w:t>זירא</w:t>
      </w:r>
      <w:proofErr w:type="spellEnd"/>
      <w:r>
        <w:rPr>
          <w:rtl/>
        </w:rPr>
        <w:t xml:space="preserve"> כשקיבל את סמיכתו</w:t>
      </w:r>
      <w:bookmarkStart w:id="58" w:name="_fnr57"/>
      <w:r>
        <w:rPr>
          <w:rStyle w:val="a5"/>
        </w:rPr>
        <w:footnoteReference w:id="57" w:customMarkFollows="0"/>
      </w:r>
      <w:bookmarkEnd w:id="58"/>
      <w:r>
        <w:rPr>
          <w:rtl/>
        </w:rPr>
        <w:t xml:space="preserve">: “לא כחל ולא שרק ולא </w:t>
      </w:r>
      <w:proofErr w:type="spellStart"/>
      <w:r>
        <w:rPr>
          <w:rtl/>
        </w:rPr>
        <w:t>פירכוס</w:t>
      </w:r>
      <w:proofErr w:type="spellEnd"/>
      <w:r>
        <w:rPr>
          <w:rtl/>
        </w:rPr>
        <w:t xml:space="preserve"> ויעלת חן”. אם יש גם פגם קל – ובאדם גדול באמת אין הוא לעולם אלא קל – אין הוא פוגם בחִנה של האישיות המופלגת; היא נשארת יעלת חן עם </w:t>
      </w:r>
      <w:proofErr w:type="spellStart"/>
      <w:r>
        <w:rPr>
          <w:rtl/>
        </w:rPr>
        <w:t>שומת־חן</w:t>
      </w:r>
      <w:proofErr w:type="spellEnd"/>
      <w:r>
        <w:rPr>
          <w:rtl/>
        </w:rPr>
        <w:t xml:space="preserve"> ייחודית.</w:t>
      </w:r>
    </w:p>
    <w:p w14:paraId="40A158E7" w14:textId="77777777" w:rsidR="00AB3647" w:rsidRDefault="00000000" w:rsidP="007923E9">
      <w:pPr>
        <w:spacing w:after="100" w:line="276" w:lineRule="auto"/>
        <w:ind w:firstLine="340"/>
        <w:jc w:val="both"/>
      </w:pPr>
      <w:r>
        <w:rPr>
          <w:rtl/>
        </w:rPr>
        <w:t xml:space="preserve">במאמר </w:t>
      </w:r>
      <w:proofErr w:type="spellStart"/>
      <w:r>
        <w:rPr>
          <w:rtl/>
        </w:rPr>
        <w:t>ב“המעין</w:t>
      </w:r>
      <w:proofErr w:type="spellEnd"/>
      <w:r>
        <w:rPr>
          <w:rtl/>
        </w:rPr>
        <w:t>”</w:t>
      </w:r>
      <w:bookmarkStart w:id="59" w:name="_fnr58"/>
      <w:r>
        <w:rPr>
          <w:rStyle w:val="a5"/>
        </w:rPr>
        <w:footnoteReference w:id="58" w:customMarkFollows="0"/>
      </w:r>
      <w:bookmarkEnd w:id="59"/>
      <w:r>
        <w:rPr>
          <w:rtl/>
        </w:rPr>
        <w:t xml:space="preserve"> מאת פרופ׳ זאב לב נתקלתי בדיווח על יחסו של אבי לסילוף מאורעות היסטוריים, דיווח המאשר את גישתי. מסופר בו שאבי הצדיק את ההסתייגות </w:t>
      </w:r>
      <w:proofErr w:type="spellStart"/>
      <w:r>
        <w:rPr>
          <w:rtl/>
        </w:rPr>
        <w:t>מ“ספר</w:t>
      </w:r>
      <w:proofErr w:type="spellEnd"/>
      <w:r>
        <w:rPr>
          <w:rtl/>
        </w:rPr>
        <w:t xml:space="preserve"> של סופר דגול, על הגאון </w:t>
      </w:r>
      <w:proofErr w:type="spellStart"/>
      <w:r>
        <w:rPr>
          <w:rtl/>
        </w:rPr>
        <w:t>מוילנא</w:t>
      </w:r>
      <w:proofErr w:type="spellEnd"/>
      <w:r>
        <w:rPr>
          <w:rtl/>
        </w:rPr>
        <w:t xml:space="preserve">”, מפני </w:t>
      </w:r>
      <w:proofErr w:type="spellStart"/>
      <w:r>
        <w:rPr>
          <w:rtl/>
        </w:rPr>
        <w:t>ש“המחבר</w:t>
      </w:r>
      <w:proofErr w:type="spellEnd"/>
      <w:r>
        <w:rPr>
          <w:rtl/>
        </w:rPr>
        <w:t xml:space="preserve"> השמיט במתכוון פרקים על התנגדותו של </w:t>
      </w:r>
      <w:proofErr w:type="spellStart"/>
      <w:r>
        <w:rPr>
          <w:rtl/>
        </w:rPr>
        <w:t>הגר״א</w:t>
      </w:r>
      <w:proofErr w:type="spellEnd"/>
      <w:r>
        <w:rPr>
          <w:rtl/>
        </w:rPr>
        <w:t xml:space="preserve"> לחסידות”, ושאמר: “אסור להעלים דברים מהותיים וחשובים כאלו. סילוף כזה הוא גם מעין שקר”.</w:t>
      </w:r>
    </w:p>
    <w:p w14:paraId="08DC6439" w14:textId="77777777" w:rsidR="00AB3647" w:rsidRDefault="00000000" w:rsidP="007923E9">
      <w:pPr>
        <w:spacing w:after="100" w:line="276" w:lineRule="auto"/>
        <w:ind w:firstLine="340"/>
        <w:jc w:val="both"/>
      </w:pPr>
      <w:r>
        <w:rPr>
          <w:rtl/>
        </w:rPr>
        <w:t xml:space="preserve">אשר לשאלה כיצד ראה רבנו את אותו ספר מסוים – ברור שהכוונה </w:t>
      </w:r>
      <w:proofErr w:type="spellStart"/>
      <w:r>
        <w:rPr>
          <w:rtl/>
        </w:rPr>
        <w:t>ל“הגאון</w:t>
      </w:r>
      <w:proofErr w:type="spellEnd"/>
      <w:r>
        <w:rPr>
          <w:rtl/>
        </w:rPr>
        <w:t xml:space="preserve"> החסיד </w:t>
      </w:r>
      <w:proofErr w:type="spellStart"/>
      <w:r>
        <w:rPr>
          <w:rtl/>
        </w:rPr>
        <w:t>מווילנא</w:t>
      </w:r>
      <w:proofErr w:type="spellEnd"/>
      <w:r>
        <w:rPr>
          <w:rtl/>
        </w:rPr>
        <w:t>” – אטען ראשית שמחברו לא התעלם סתם כך משאלת עמדתו של הגאון כלפי התנועה החסידית. במבוא למהדורה השלישית</w:t>
      </w:r>
      <w:bookmarkStart w:id="60" w:name="_fnr59"/>
      <w:r>
        <w:rPr>
          <w:rStyle w:val="a5"/>
        </w:rPr>
        <w:footnoteReference w:id="59" w:customMarkFollows="0"/>
      </w:r>
      <w:bookmarkEnd w:id="60"/>
      <w:r>
        <w:rPr>
          <w:rtl/>
        </w:rPr>
        <w:t xml:space="preserve"> הוא מצהיר במפורש שבידו “הפרקים השמורים אתנו על הפולמוס נגד תנועת החסידות, שהסעיר את בית ישראל בימים ההם”.</w:t>
      </w:r>
    </w:p>
    <w:p w14:paraId="09FD8B11" w14:textId="77777777" w:rsidR="00AB3647" w:rsidRDefault="00000000" w:rsidP="007923E9">
      <w:pPr>
        <w:spacing w:after="100" w:line="276" w:lineRule="auto"/>
        <w:ind w:firstLine="340"/>
        <w:jc w:val="both"/>
      </w:pPr>
      <w:r>
        <w:rPr>
          <w:rtl/>
        </w:rPr>
        <w:t xml:space="preserve">נכחתי גם כשהמחבר הישיש, ר׳ בצלאל </w:t>
      </w:r>
      <w:proofErr w:type="spellStart"/>
      <w:r>
        <w:rPr>
          <w:rtl/>
        </w:rPr>
        <w:t>לנדא</w:t>
      </w:r>
      <w:proofErr w:type="spellEnd"/>
      <w:r>
        <w:rPr>
          <w:rtl/>
        </w:rPr>
        <w:t xml:space="preserve">, דן בעניין זה עם אבי בעת ביקורו של אבי בארץ ישראל בשנת תשמ״ב, וסיפר שראש ישיבה נכבד בירושלים האשים אותו (כפי שעשה גם פרופ׳ לב) </w:t>
      </w:r>
      <w:proofErr w:type="spellStart"/>
      <w:r>
        <w:rPr>
          <w:rtl/>
        </w:rPr>
        <w:t>ב“זיוף</w:t>
      </w:r>
      <w:proofErr w:type="spellEnd"/>
      <w:r>
        <w:rPr>
          <w:rtl/>
        </w:rPr>
        <w:t xml:space="preserve"> דמותו של הגאון”, בכך שהשמיט את עניין התנגדותו של הגאון. הרב </w:t>
      </w:r>
      <w:proofErr w:type="spellStart"/>
      <w:r>
        <w:rPr>
          <w:rtl/>
        </w:rPr>
        <w:t>לנדא</w:t>
      </w:r>
      <w:proofErr w:type="spellEnd"/>
      <w:r>
        <w:rPr>
          <w:rtl/>
        </w:rPr>
        <w:t xml:space="preserve"> התחנן לפני אבי: “כיצד אוכל לפרסם את איסורו של הגאון על חיתון עם חסידים, ואולי לגרום לפירוק משפחות?”</w:t>
      </w:r>
      <w:bookmarkStart w:id="61" w:name="_fnr60"/>
      <w:r>
        <w:rPr>
          <w:rStyle w:val="a5"/>
        </w:rPr>
        <w:footnoteReference w:id="60" w:customMarkFollows="0"/>
      </w:r>
      <w:bookmarkEnd w:id="61"/>
    </w:p>
    <w:p w14:paraId="5ECCD308" w14:textId="77777777" w:rsidR="00AB3647" w:rsidRDefault="00000000" w:rsidP="007923E9">
      <w:pPr>
        <w:spacing w:after="100" w:line="276" w:lineRule="auto"/>
        <w:ind w:firstLine="340"/>
        <w:jc w:val="both"/>
      </w:pPr>
      <w:r>
        <w:rPr>
          <w:rtl/>
        </w:rPr>
        <w:t xml:space="preserve">אבי הסכים שחמשת הפרקים שהכין יישארו </w:t>
      </w:r>
      <w:proofErr w:type="spellStart"/>
      <w:r>
        <w:rPr>
          <w:rtl/>
        </w:rPr>
        <w:t>בלתי־מפורסמים</w:t>
      </w:r>
      <w:proofErr w:type="spellEnd"/>
      <w:r>
        <w:rPr>
          <w:rtl/>
        </w:rPr>
        <w:t xml:space="preserve"> אך לא יושמדו, ואמר: “שיהיו מוכנים לדפוס, אך הימנע [מפרסומם] עד שתבוא שעה, אם תבוא, שבה יחייבו המאורעות את פרסומם”. הוא הסביר ברמז: “הם צריכים להיות מוכנים למקרה שפלוני [</w:t>
      </w:r>
      <w:proofErr w:type="spellStart"/>
      <w:r>
        <w:rPr>
          <w:rtl/>
        </w:rPr>
        <w:t>יענער</w:t>
      </w:r>
      <w:proofErr w:type="spellEnd"/>
      <w:r>
        <w:rPr>
          <w:rtl/>
        </w:rPr>
        <w:t xml:space="preserve">] יעשה דבר מכוער [א </w:t>
      </w:r>
      <w:proofErr w:type="spellStart"/>
      <w:r>
        <w:rPr>
          <w:rtl/>
        </w:rPr>
        <w:t>מיאוס׳ע</w:t>
      </w:r>
      <w:proofErr w:type="spellEnd"/>
      <w:r>
        <w:rPr>
          <w:rtl/>
        </w:rPr>
        <w:t xml:space="preserve"> </w:t>
      </w:r>
      <w:proofErr w:type="spellStart"/>
      <w:r>
        <w:rPr>
          <w:rtl/>
        </w:rPr>
        <w:t>זאך</w:t>
      </w:r>
      <w:proofErr w:type="spellEnd"/>
      <w:r>
        <w:rPr>
          <w:rtl/>
        </w:rPr>
        <w:t>]”.</w:t>
      </w:r>
    </w:p>
    <w:p w14:paraId="72C8BB29" w14:textId="77777777" w:rsidR="00AB3647" w:rsidRDefault="00000000" w:rsidP="007923E9">
      <w:pPr>
        <w:spacing w:after="100" w:line="276" w:lineRule="auto"/>
        <w:ind w:firstLine="340"/>
        <w:jc w:val="both"/>
      </w:pPr>
      <w:r>
        <w:rPr>
          <w:rtl/>
        </w:rPr>
        <w:t xml:space="preserve">הוא התכוון לדמיונות משיחיים שתססו בחוג חסידי אחד – בארץ ישראל חוללו אנשי אותו חוג ריב פוליטי בין חסידים למתנגדים – ואבי סבר שפרסומם של פרקים אלה בבוא היום יסייע לציבור החסידי הרחב לנער מעליו את </w:t>
      </w:r>
      <w:proofErr w:type="spellStart"/>
      <w:r>
        <w:rPr>
          <w:rtl/>
        </w:rPr>
        <w:t>המשיחיסטים</w:t>
      </w:r>
      <w:proofErr w:type="spellEnd"/>
      <w:r>
        <w:rPr>
          <w:rtl/>
        </w:rPr>
        <w:t>, אם יצא דמיונם משליטה. בדיעבד התברר שחששותיו של אבי היו מבוססים: חלק גדול מאותה כת חסידית אכן הכריז על מנהיגו כמשיח.</w:t>
      </w:r>
    </w:p>
    <w:p w14:paraId="19C10B42" w14:textId="77777777" w:rsidR="00AB3647" w:rsidRDefault="00000000" w:rsidP="007923E9">
      <w:pPr>
        <w:spacing w:after="100" w:line="276" w:lineRule="auto"/>
        <w:ind w:firstLine="340"/>
        <w:jc w:val="both"/>
      </w:pPr>
      <w:r>
        <w:rPr>
          <w:rtl/>
        </w:rPr>
        <w:t xml:space="preserve">האפשרות המעוותת שעשור אחרי פגישתו של אבי עם ר׳ בצלאל ינסחו רבים מאנשי הכת את ההזיה שרבם </w:t>
      </w:r>
      <w:r>
        <w:rPr>
          <w:i/>
          <w:iCs/>
          <w:rtl/>
        </w:rPr>
        <w:t>המת</w:t>
      </w:r>
      <w:r>
        <w:rPr>
          <w:rtl/>
        </w:rPr>
        <w:t xml:space="preserve"> “ישוב ויבוא” – זו אמונתם, והם מפיצים אותה בימינו – כנראה לא עלתה כלל על דעתו של רבנו, בדמיונו הבריא והנורמלי. אפשר אפוא לשער שאבי היה מברך </w:t>
      </w:r>
      <w:r>
        <w:rPr>
          <w:rtl/>
        </w:rPr>
        <w:lastRenderedPageBreak/>
        <w:t xml:space="preserve">בהתלהבות על פרסומו לאחרונה של “הגאון” מאת דב </w:t>
      </w:r>
      <w:proofErr w:type="spellStart"/>
      <w:r>
        <w:rPr>
          <w:rtl/>
        </w:rPr>
        <w:t>אליאך</w:t>
      </w:r>
      <w:proofErr w:type="spellEnd"/>
      <w:r>
        <w:rPr>
          <w:rtl/>
        </w:rPr>
        <w:t xml:space="preserve"> (מכון “מורשת ישיבות”, ירושלים, תשס״ב), שבו נחשף מאבקו של הגאון מווילנה בחסידות.</w:t>
      </w:r>
    </w:p>
    <w:p w14:paraId="1DD9A417" w14:textId="77777777" w:rsidR="00AB3647" w:rsidRDefault="00000000" w:rsidP="007923E9">
      <w:pPr>
        <w:spacing w:after="100" w:line="276" w:lineRule="auto"/>
        <w:ind w:firstLine="340"/>
        <w:jc w:val="both"/>
      </w:pPr>
      <w:r>
        <w:rPr>
          <w:rtl/>
        </w:rPr>
        <w:t xml:space="preserve">עד כאן לעניין ספרו של הרב </w:t>
      </w:r>
      <w:proofErr w:type="spellStart"/>
      <w:r>
        <w:rPr>
          <w:rtl/>
        </w:rPr>
        <w:t>לנדא</w:t>
      </w:r>
      <w:proofErr w:type="spellEnd"/>
      <w:r>
        <w:rPr>
          <w:rtl/>
        </w:rPr>
        <w:t xml:space="preserve"> בפרט, שנגע, כפי שגילתה אותה שיחה, למצב בעל השלכות אקטואליות. אבל דברי אבי, כפי שמסר אותם פרופ׳ לב, שהסתרת עניינים “כמוה כשקר”, ודאי תקפים כשמוסרים מידע על עניינים היסטוריים שאין להם נגיעה לענייני השעה, כפי שעושה ספר זה</w:t>
      </w:r>
      <w:bookmarkStart w:id="62" w:name="_fnr61"/>
      <w:r>
        <w:rPr>
          <w:rStyle w:val="a5"/>
        </w:rPr>
        <w:footnoteReference w:id="61" w:customMarkFollows="0"/>
      </w:r>
      <w:bookmarkEnd w:id="62"/>
      <w:r>
        <w:rPr>
          <w:rtl/>
        </w:rPr>
        <w:t>.</w:t>
      </w:r>
    </w:p>
    <w:p w14:paraId="4178DA47" w14:textId="77777777" w:rsidR="00AB3647" w:rsidRDefault="00000000" w:rsidP="007923E9">
      <w:pPr>
        <w:spacing w:after="100" w:line="276" w:lineRule="auto"/>
        <w:ind w:firstLine="340"/>
        <w:jc w:val="both"/>
      </w:pPr>
      <w:r>
        <w:rPr>
          <w:rtl/>
        </w:rPr>
        <w:t>ויש דרך עמוקה יותר להבין את מה שנראה כביקורת על גדולי התורה. ר׳ יחיאל פער סיפר לי</w:t>
      </w:r>
      <w:bookmarkStart w:id="63" w:name="_fnr62"/>
      <w:r>
        <w:rPr>
          <w:rStyle w:val="a5"/>
        </w:rPr>
        <w:footnoteReference w:id="62" w:customMarkFollows="0"/>
      </w:r>
      <w:bookmarkEnd w:id="63"/>
      <w:r>
        <w:rPr>
          <w:rtl/>
        </w:rPr>
        <w:t xml:space="preserve"> על שאלה ששאל פעם את אביו, ר׳ מנחם, חברו של אבי לספסל הלימודים בישיבת </w:t>
      </w:r>
      <w:proofErr w:type="spellStart"/>
      <w:r>
        <w:rPr>
          <w:rtl/>
        </w:rPr>
        <w:t>סלבודקה</w:t>
      </w:r>
      <w:proofErr w:type="spellEnd"/>
      <w:r>
        <w:rPr>
          <w:rtl/>
        </w:rPr>
        <w:t>. נערה עמדה להתארס, ואז גילה מישהו להוריה שהחתן המיועד אושפז בעבר במוסד לחולי נפש. בקהילה פרץ ויכוח סוער: האם המלשין צדיק או רשע? ר׳ יחיאל שאל את אביו כיצד לראות מעשה זה, והלה השיב: “מן המעשה הזה אי אפשר לדעת. אם שאר מעשיו טובים – עשה זאת מתוך צדקות; ואם שאר מעשיו רעים – עשה זאת מתוך רשעות”.</w:t>
      </w:r>
    </w:p>
    <w:p w14:paraId="545A9A0D" w14:textId="77777777" w:rsidR="00AB3647" w:rsidRDefault="00000000" w:rsidP="007923E9">
      <w:pPr>
        <w:spacing w:after="100" w:line="276" w:lineRule="auto"/>
        <w:ind w:firstLine="340"/>
        <w:jc w:val="both"/>
      </w:pPr>
      <w:r>
        <w:rPr>
          <w:rtl/>
        </w:rPr>
        <w:t xml:space="preserve">ר׳ חיים </w:t>
      </w:r>
      <w:proofErr w:type="spellStart"/>
      <w:r>
        <w:rPr>
          <w:rtl/>
        </w:rPr>
        <w:t>שמואלביץ</w:t>
      </w:r>
      <w:proofErr w:type="spellEnd"/>
      <w:r>
        <w:rPr>
          <w:rtl/>
        </w:rPr>
        <w:t xml:space="preserve"> מבליט ביד אמן את אותו מוטיב</w:t>
      </w:r>
      <w:bookmarkStart w:id="64" w:name="_fnr63"/>
      <w:r>
        <w:rPr>
          <w:rStyle w:val="a5"/>
        </w:rPr>
        <w:footnoteReference w:id="63" w:customMarkFollows="0"/>
      </w:r>
      <w:bookmarkEnd w:id="64"/>
      <w:r>
        <w:rPr>
          <w:rtl/>
        </w:rPr>
        <w:t xml:space="preserve">, </w:t>
      </w:r>
      <w:proofErr w:type="spellStart"/>
      <w:r>
        <w:rPr>
          <w:rtl/>
        </w:rPr>
        <w:t>ב“ראיה</w:t>
      </w:r>
      <w:proofErr w:type="spellEnd"/>
      <w:r>
        <w:rPr>
          <w:rtl/>
        </w:rPr>
        <w:t xml:space="preserve"> גדולה” ממסכת יומא</w:t>
      </w:r>
      <w:bookmarkStart w:id="65" w:name="_fnr64"/>
      <w:r>
        <w:rPr>
          <w:rStyle w:val="a5"/>
        </w:rPr>
        <w:footnoteReference w:id="64" w:customMarkFollows="0"/>
      </w:r>
      <w:bookmarkEnd w:id="65"/>
      <w:r>
        <w:rPr>
          <w:rtl/>
        </w:rPr>
        <w:t>. הגמרא מספרת שכהן אחד דקר פעם בחור למוות בסכין של המקדש, ואבי הנרצח, שמצא את בנו מפרפר, העיר: “ועדיין בני מפרפר ולא נטמאה סכין” [שלא נגעה במת].</w:t>
      </w:r>
    </w:p>
    <w:p w14:paraId="32D4D0C5" w14:textId="77777777" w:rsidR="00AB3647" w:rsidRDefault="00000000" w:rsidP="007923E9">
      <w:pPr>
        <w:spacing w:after="100" w:line="276" w:lineRule="auto"/>
        <w:ind w:firstLine="340"/>
        <w:jc w:val="both"/>
      </w:pPr>
      <w:r>
        <w:rPr>
          <w:rtl/>
        </w:rPr>
        <w:t xml:space="preserve">בעקבות הערת האב בא דיון מעמיק: האם היא משקפת קלות ראש של אותו דור ברציחה, בעוד הקפדתו על טהרה הייתה כרגיל, או שמא היא מבטאת עד כמה דקדק אותו דור </w:t>
      </w:r>
      <w:proofErr w:type="spellStart"/>
      <w:r>
        <w:rPr>
          <w:rtl/>
        </w:rPr>
        <w:t>בטהרת</w:t>
      </w:r>
      <w:proofErr w:type="spellEnd"/>
      <w:r>
        <w:rPr>
          <w:rtl/>
        </w:rPr>
        <w:t xml:space="preserve"> כלי המקדש, בעוד יחסו לשפיכות דמים היה כמקובל?</w:t>
      </w:r>
    </w:p>
    <w:p w14:paraId="2959EC8F" w14:textId="77777777" w:rsidR="00AB3647" w:rsidRDefault="00000000" w:rsidP="007923E9">
      <w:pPr>
        <w:spacing w:after="100" w:line="276" w:lineRule="auto"/>
        <w:ind w:firstLine="340"/>
        <w:jc w:val="both"/>
      </w:pPr>
      <w:r>
        <w:rPr>
          <w:rtl/>
        </w:rPr>
        <w:t>ר׳ חיים מצביע על כך שיש לנו כאן דוגמה לכך שמעשה אחד או אמירה אחת יכולים לגלות שתי תכונות מנוגדות בתכלית. אותו אב יכול היה להיות התגלמות הרשע, אטום אפילו לחיי ילדו שלו, ויכול היה להיות צדיק כל כך, שגם ברגע ייסוריו הקיצוניים עדיין הייתה קדושת בית המקדש לנגד עיניו.</w:t>
      </w:r>
    </w:p>
    <w:p w14:paraId="79D4FF5D" w14:textId="77777777" w:rsidR="00AB3647" w:rsidRDefault="00000000" w:rsidP="007923E9">
      <w:pPr>
        <w:spacing w:after="100" w:line="276" w:lineRule="auto"/>
        <w:ind w:firstLine="340"/>
        <w:jc w:val="both"/>
      </w:pPr>
      <w:r>
        <w:rPr>
          <w:rtl/>
        </w:rPr>
        <w:t xml:space="preserve">כך גם כשאנו מדברים על “חסרונות” של גדולי תורה: האם נוכל לקבוע בוודאות שמעשיהם מעידים על פגמי אופי, ולא על גילוי של תכונות אחרות, נדירות אך חיוביות? כשמציגים עובדות על גדולי תורה, חריגות ככל שיהיו, לעולם איננו יכולים לקבוע </w:t>
      </w:r>
      <w:proofErr w:type="spellStart"/>
      <w:r>
        <w:rPr>
          <w:rtl/>
        </w:rPr>
        <w:t>חד־משמעית</w:t>
      </w:r>
      <w:proofErr w:type="spellEnd"/>
      <w:r>
        <w:rPr>
          <w:rtl/>
        </w:rPr>
        <w:t xml:space="preserve"> שהן מעידות על חולשות ופגמים; ומאחר שהן יכולות להיות ביטוי של מעלות נדירות או של חולשות אנוש מצויות, אנו בוחרים באפשרות הראשונה כשאנו מתארים אישים גדולים.</w:t>
      </w:r>
      <w:bookmarkStart w:id="66" w:name="_fnr65"/>
      <w:r>
        <w:rPr>
          <w:rStyle w:val="a5"/>
        </w:rPr>
        <w:footnoteReference w:id="65" w:customMarkFollows="0"/>
      </w:r>
      <w:bookmarkEnd w:id="66"/>
    </w:p>
    <w:p w14:paraId="7B5595AE" w14:textId="77777777" w:rsidR="00AB3647" w:rsidRDefault="00000000" w:rsidP="007923E9">
      <w:pPr>
        <w:spacing w:after="100" w:line="276" w:lineRule="auto"/>
        <w:ind w:firstLine="340"/>
        <w:jc w:val="both"/>
      </w:pPr>
      <w:r>
        <w:rPr>
          <w:rtl/>
        </w:rPr>
        <w:t xml:space="preserve">לסיכום: אין אנו יכולים לשפוט ולהעריך מעשה זה או אחר של אנשי התורה בדורות הקודמים – ומאותה סיבה גם אין אנו יכולים לפתור את בעיותינו בדרכים המסוימות שבהן </w:t>
      </w:r>
      <w:r>
        <w:rPr>
          <w:rtl/>
        </w:rPr>
        <w:lastRenderedPageBreak/>
        <w:t>פתרו הם את בעיותיהם. אם לשנות מעט את לשון הנביא</w:t>
      </w:r>
      <w:bookmarkStart w:id="67" w:name="_fnr66"/>
      <w:r>
        <w:rPr>
          <w:rStyle w:val="a5"/>
        </w:rPr>
        <w:footnoteReference w:id="66" w:customMarkFollows="0"/>
      </w:r>
      <w:bookmarkEnd w:id="67"/>
      <w:r>
        <w:rPr>
          <w:rtl/>
        </w:rPr>
        <w:t>: “כי לא מחשבותיהם מחשבותינו ולא דרכיהם דרכינו... כי גבהו שמים מארץ כן גבהו דרכיהם מדרכינו ומחשבותיהם ממחשבותינו”.</w:t>
      </w:r>
    </w:p>
    <w:p w14:paraId="1D5C4101" w14:textId="77777777" w:rsidR="00AB3647" w:rsidRDefault="00000000" w:rsidP="007923E9">
      <w:pPr>
        <w:spacing w:after="100" w:line="276" w:lineRule="auto"/>
        <w:ind w:firstLine="340"/>
        <w:jc w:val="both"/>
      </w:pPr>
      <w:r>
        <w:rPr>
          <w:rtl/>
        </w:rPr>
        <w:t xml:space="preserve">ועם זאת יש לנו הרבה ללמוד מהם: לא את השלמות – שאינה צריכה דוגמה, ושכל אדם חייב לשאוף אליה לפי אישיותו שלו – אלא את מניעיהם ואת האידיאלים שלהם, את </w:t>
      </w:r>
      <w:proofErr w:type="spellStart"/>
      <w:r>
        <w:rPr>
          <w:rtl/>
        </w:rPr>
        <w:t>אמיתותם</w:t>
      </w:r>
      <w:proofErr w:type="spellEnd"/>
      <w:r>
        <w:rPr>
          <w:rtl/>
        </w:rPr>
        <w:t xml:space="preserve"> ואת תמימותם, את חסדם ואת אהבת התורה שלהם. אלה משמשים מגדלורים בנתיבות חיינו.</w:t>
      </w:r>
    </w:p>
    <w:p w14:paraId="77368286" w14:textId="77777777" w:rsidR="00AB3647" w:rsidRDefault="00AB3647" w:rsidP="007923E9">
      <w:pPr>
        <w:spacing w:line="276" w:lineRule="auto"/>
        <w:sectPr w:rsidR="00AB3647">
          <w:footerReference w:type="default" r:id="rId8"/>
          <w:footnotePr>
            <w:pos w:val="pageBottom"/>
            <w:numRestart w:val="eachSect"/>
          </w:footnotePr>
          <w:pgSz w:w="9638" w:h="13606"/>
          <w:pgMar w:top="1134" w:right="1077" w:bottom="1134" w:left="1077" w:header="567" w:footer="567" w:gutter="0"/>
          <w:cols w:space="720"/>
          <w:bidi/>
          <w:docGrid w:linePitch="360"/>
        </w:sectPr>
      </w:pPr>
    </w:p>
    <w:p w14:paraId="013A539B" w14:textId="77777777" w:rsidR="00AB3647" w:rsidRDefault="00000000" w:rsidP="007923E9">
      <w:pPr>
        <w:pStyle w:val="1"/>
        <w:spacing w:line="276" w:lineRule="auto"/>
      </w:pPr>
      <w:bookmarkStart w:id="68" w:name="b0_intro"/>
      <w:r>
        <w:rPr>
          <w:b w:val="0"/>
        </w:rPr>
        <w:lastRenderedPageBreak/>
        <w:t>מבוא</w:t>
      </w:r>
      <w:bookmarkEnd w:id="68"/>
    </w:p>
    <w:p w14:paraId="35A61DC7" w14:textId="77777777" w:rsidR="00AB3647" w:rsidRDefault="00000000" w:rsidP="007923E9">
      <w:pPr>
        <w:spacing w:after="100" w:line="276" w:lineRule="auto"/>
        <w:ind w:firstLine="340"/>
        <w:jc w:val="both"/>
      </w:pPr>
      <w:r>
        <w:rPr>
          <w:rtl/>
        </w:rPr>
        <w:t xml:space="preserve">לפני שיפתח הקורא בתולדות חייו של אדם גדול, ראוי לדון בשאלה אם ספרי תולדותיהם של גדולי ישראל ראויים בכלל לפרסום ולקריאה. השאלה נגעה יותר לספרים הקודמים – </w:t>
      </w:r>
      <w:r>
        <w:t>Reb Yaakov</w:t>
      </w:r>
      <w:r>
        <w:rPr>
          <w:rtl/>
        </w:rPr>
        <w:t xml:space="preserve"> באנגלית </w:t>
      </w:r>
      <w:proofErr w:type="spellStart"/>
      <w:r>
        <w:rPr>
          <w:rtl/>
        </w:rPr>
        <w:t>ו“רבי</w:t>
      </w:r>
      <w:proofErr w:type="spellEnd"/>
      <w:r>
        <w:rPr>
          <w:rtl/>
        </w:rPr>
        <w:t xml:space="preserve"> יעקב” בעברית – שהם ספרים העוסקים בתולדות אבי ממש. לספר שלפנינו היא נוגעת פחות, שכן הוא אומנם החל כספר תולדות, אבל התפתח לדבר אחר, כמוסבר בפסקה המתחילה “אין בידינו, כמובן, להכריע” שבמבוא זה. אף על פי כן לא מחקתי את הדיון החשוב שלהלן, שכן כדברי חז״ל על משניות</w:t>
      </w:r>
      <w:bookmarkStart w:id="69" w:name="_fnr67"/>
      <w:r>
        <w:rPr>
          <w:rStyle w:val="a5"/>
        </w:rPr>
        <w:footnoteReference w:id="67" w:customMarkFollows="0"/>
      </w:r>
      <w:bookmarkEnd w:id="69"/>
      <w:r>
        <w:rPr>
          <w:rtl/>
        </w:rPr>
        <w:t xml:space="preserve"> – ואני מרשה לעצמי להחיל זאת על כל עיסוק ראוי – “משנה לא זזה ממקומה” (אף שעבר זמנה).</w:t>
      </w:r>
    </w:p>
    <w:p w14:paraId="40D1252C" w14:textId="77777777" w:rsidR="00AB3647" w:rsidRDefault="00000000" w:rsidP="007923E9">
      <w:pPr>
        <w:spacing w:after="100" w:line="276" w:lineRule="auto"/>
        <w:ind w:firstLine="340"/>
        <w:jc w:val="both"/>
      </w:pPr>
      <w:r>
        <w:rPr>
          <w:rtl/>
        </w:rPr>
        <w:t>המדרש</w:t>
      </w:r>
      <w:bookmarkStart w:id="70" w:name="_fnr68"/>
      <w:r>
        <w:rPr>
          <w:rStyle w:val="a5"/>
        </w:rPr>
        <w:footnoteReference w:id="68" w:customMarkFollows="0"/>
      </w:r>
      <w:bookmarkEnd w:id="70"/>
      <w:r>
        <w:rPr>
          <w:rtl/>
        </w:rPr>
        <w:t xml:space="preserve"> אומר: “כשם שהקב״ה מתעסק בשבחן של צדיקים לפרסמן בעולם, כך מתעסק בגנותן של רשעים לפרסמן בעולם”. מפרש המדרש “ידי משה” מבאר: “באמת הקב״ה לא מפרסם החטאים בישראל, ומפני זה כל שבעים שנה בא דבר בעולם ומכלה ממזרים ונוטל עמהם כשרים כדי שלא לפרסם את החטאים, ומפרסם גנותן רק כדי להודיע גדלות הצדיקים”.</w:t>
      </w:r>
      <w:bookmarkStart w:id="71" w:name="_fnr69"/>
      <w:r>
        <w:rPr>
          <w:rStyle w:val="a5"/>
        </w:rPr>
        <w:footnoteReference w:id="69" w:customMarkFollows="0"/>
      </w:r>
      <w:bookmarkEnd w:id="71"/>
    </w:p>
    <w:p w14:paraId="328BF209" w14:textId="77777777" w:rsidR="00AB3647" w:rsidRDefault="00000000" w:rsidP="007923E9">
      <w:pPr>
        <w:spacing w:after="100" w:line="276" w:lineRule="auto"/>
        <w:ind w:firstLine="340"/>
        <w:jc w:val="both"/>
      </w:pPr>
      <w:r>
        <w:rPr>
          <w:rtl/>
        </w:rPr>
        <w:t>מדרש זה הוא בלי ספק המקור לדברי “ספר המידות” (שמחברו אינו ידוע) בעניין שבח הצדיקים, שהרמב״ם מביא בפירושו למשנה.</w:t>
      </w:r>
      <w:bookmarkStart w:id="72" w:name="_fnr70"/>
      <w:r>
        <w:rPr>
          <w:rStyle w:val="a5"/>
        </w:rPr>
        <w:footnoteReference w:id="70" w:customMarkFollows="0"/>
      </w:r>
      <w:bookmarkEnd w:id="72"/>
      <w:r>
        <w:rPr>
          <w:rtl/>
        </w:rPr>
        <w:t xml:space="preserve"> ספר זה מחלק את הדיבור לחמישה סוגים לפי חיוב התורה (“דיבור לפי חיוב התורה”): “מצוה בו, נזהר ממנו, נמאס, אהוב, מותר”. בסוג הרביעי, “הנאהב”, הוא מונה: “לשבח החשובים ולהודות מעלותיהם כדי </w:t>
      </w:r>
      <w:proofErr w:type="spellStart"/>
      <w:r>
        <w:rPr>
          <w:rtl/>
        </w:rPr>
        <w:t>שיטבו</w:t>
      </w:r>
      <w:proofErr w:type="spellEnd"/>
      <w:r>
        <w:rPr>
          <w:rtl/>
        </w:rPr>
        <w:t xml:space="preserve"> מנהגיהם בעיני בני אדם וילכו בדרכיהם, ולגנות הרעים </w:t>
      </w:r>
      <w:proofErr w:type="spellStart"/>
      <w:r>
        <w:rPr>
          <w:rtl/>
        </w:rPr>
        <w:t>בפחיתיותיהם</w:t>
      </w:r>
      <w:proofErr w:type="spellEnd"/>
      <w:r>
        <w:rPr>
          <w:rtl/>
        </w:rPr>
        <w:t xml:space="preserve"> כדי שיתגנו פעולתם וזכרם בעיני בני אדם ויתרחקו מהם ולא יתנהגו הם כמנהגיהם”. מאחר ששבח הצדיקים אינו נמנה בסוג הראשון, “</w:t>
      </w:r>
      <w:proofErr w:type="spellStart"/>
      <w:r>
        <w:rPr>
          <w:rtl/>
        </w:rPr>
        <w:t>המצוה</w:t>
      </w:r>
      <w:proofErr w:type="spellEnd"/>
      <w:r>
        <w:rPr>
          <w:rtl/>
        </w:rPr>
        <w:t xml:space="preserve"> בו”, ברור שהרמב״ם לא ראה במדרש קביעה – הנלמדת כביכול מהנהגתו של הקב״ה – שיש חובה מוחלטת “לשבח את הצדיקים”.</w:t>
      </w:r>
    </w:p>
    <w:p w14:paraId="3DD11012" w14:textId="77777777" w:rsidR="00AB3647" w:rsidRDefault="00000000" w:rsidP="007923E9">
      <w:pPr>
        <w:spacing w:after="100" w:line="276" w:lineRule="auto"/>
        <w:ind w:firstLine="340"/>
        <w:jc w:val="both"/>
      </w:pPr>
      <w:r>
        <w:rPr>
          <w:rtl/>
        </w:rPr>
        <w:t>ועיין עוד בשערי תשובה לרבנו יונה</w:t>
      </w:r>
      <w:bookmarkStart w:id="73" w:name="_fnr71"/>
      <w:r>
        <w:rPr>
          <w:rStyle w:val="a5"/>
        </w:rPr>
        <w:footnoteReference w:id="71" w:customMarkFollows="0"/>
      </w:r>
      <w:bookmarkEnd w:id="73"/>
      <w:r>
        <w:rPr>
          <w:rtl/>
        </w:rPr>
        <w:t xml:space="preserve">, </w:t>
      </w:r>
      <w:proofErr w:type="spellStart"/>
      <w:r>
        <w:rPr>
          <w:rtl/>
        </w:rPr>
        <w:t>ש“ידוע</w:t>
      </w:r>
      <w:proofErr w:type="spellEnd"/>
      <w:r>
        <w:rPr>
          <w:rtl/>
        </w:rPr>
        <w:t xml:space="preserve"> הדבר כי מן </w:t>
      </w:r>
      <w:proofErr w:type="spellStart"/>
      <w:r>
        <w:rPr>
          <w:rtl/>
        </w:rPr>
        <w:t>המדות</w:t>
      </w:r>
      <w:proofErr w:type="spellEnd"/>
      <w:r>
        <w:rPr>
          <w:rtl/>
        </w:rPr>
        <w:t xml:space="preserve"> הנאות לספר בשבח החכמים והצדיקים”, ובמסילת ישרים</w:t>
      </w:r>
      <w:bookmarkStart w:id="74" w:name="_fnr72"/>
      <w:r>
        <w:rPr>
          <w:rStyle w:val="a5"/>
        </w:rPr>
        <w:footnoteReference w:id="72" w:customMarkFollows="0"/>
      </w:r>
      <w:bookmarkEnd w:id="74"/>
      <w:r>
        <w:rPr>
          <w:rtl/>
        </w:rPr>
        <w:t xml:space="preserve">: “תועיל הקריאה בסיפור מעשה החסידים באגדות אשר באו שם לקנות החסידות, כי כל אלה מעוררים את השכל </w:t>
      </w:r>
      <w:proofErr w:type="spellStart"/>
      <w:r>
        <w:rPr>
          <w:rtl/>
        </w:rPr>
        <w:t>להתיעץ</w:t>
      </w:r>
      <w:proofErr w:type="spellEnd"/>
      <w:r>
        <w:rPr>
          <w:rtl/>
        </w:rPr>
        <w:t xml:space="preserve"> ולעשות כמעשיהם הנחמדים”. משמע מדבריהם שסיפור מעשי החסידים אינו חובה, אלא רק דרך מומלצת להשגת מדרגות קדושה גבוהות יותר.</w:t>
      </w:r>
    </w:p>
    <w:p w14:paraId="18626359" w14:textId="77777777" w:rsidR="00AB3647" w:rsidRDefault="00000000" w:rsidP="007923E9">
      <w:pPr>
        <w:spacing w:after="100" w:line="276" w:lineRule="auto"/>
        <w:ind w:firstLine="340"/>
        <w:jc w:val="both"/>
      </w:pPr>
      <w:r>
        <w:rPr>
          <w:rtl/>
        </w:rPr>
        <w:lastRenderedPageBreak/>
        <w:t xml:space="preserve">גם מפירוש </w:t>
      </w:r>
      <w:proofErr w:type="spellStart"/>
      <w:r>
        <w:rPr>
          <w:rtl/>
        </w:rPr>
        <w:t>מהרז״ו</w:t>
      </w:r>
      <w:proofErr w:type="spellEnd"/>
      <w:r>
        <w:rPr>
          <w:rtl/>
        </w:rPr>
        <w:t xml:space="preserve"> על המדרש עולה שלדעת מחברו אין חובה גמורה לספר בשבח הצדיקים. על דברי המדרש </w:t>
      </w:r>
      <w:proofErr w:type="spellStart"/>
      <w:r>
        <w:rPr>
          <w:rtl/>
        </w:rPr>
        <w:t>ש“הקב״ה</w:t>
      </w:r>
      <w:proofErr w:type="spellEnd"/>
      <w:r>
        <w:rPr>
          <w:rtl/>
        </w:rPr>
        <w:t xml:space="preserve"> מתעסק בשבחן של צדיקים לפרסמן” הוא מוסיף שהדבר נעשה לתכלית, כדי שבני אדם ילכו בעקבות מעשי המשובחים. כל המקורות הנזכרים, מלבד מסילת ישרים, עוסקים בחשיבות שבחם של צדיקים </w:t>
      </w:r>
      <w:r>
        <w:rPr>
          <w:b/>
          <w:bCs/>
          <w:rtl/>
        </w:rPr>
        <w:t>בני הדור</w:t>
      </w:r>
      <w:r>
        <w:rPr>
          <w:rtl/>
        </w:rPr>
        <w:t>, ולא בעיון בדמויות היסטוריות, שבו עוסקים הספרים שאנו דנים בהם כאן.</w:t>
      </w:r>
    </w:p>
    <w:p w14:paraId="118A1AE3" w14:textId="77777777" w:rsidR="00AB3647" w:rsidRDefault="00000000" w:rsidP="007923E9">
      <w:pPr>
        <w:spacing w:after="100" w:line="276" w:lineRule="auto"/>
        <w:ind w:firstLine="340"/>
        <w:jc w:val="both"/>
      </w:pPr>
      <w:r>
        <w:rPr>
          <w:rtl/>
        </w:rPr>
        <w:t xml:space="preserve">נראה שגם גדולי התורה שכרך זה מתאר, בני הדור שבו הוא עוסק ברובו, ראו </w:t>
      </w:r>
      <w:proofErr w:type="spellStart"/>
      <w:r>
        <w:rPr>
          <w:rtl/>
        </w:rPr>
        <w:t>ב“שבח</w:t>
      </w:r>
      <w:proofErr w:type="spellEnd"/>
      <w:r>
        <w:rPr>
          <w:rtl/>
        </w:rPr>
        <w:t xml:space="preserve"> הצדיקים” דבר שאינו בגדר חובה – והם כבר נגעו בשאלת שבחן של דמויות </w:t>
      </w:r>
      <w:r>
        <w:rPr>
          <w:b/>
          <w:bCs/>
          <w:rtl/>
        </w:rPr>
        <w:t>היסטוריות</w:t>
      </w:r>
      <w:r>
        <w:rPr>
          <w:rtl/>
        </w:rPr>
        <w:t xml:space="preserve"> גדולות. ראה למשל את האיגרת “עלבונה של תורה” מאת ר׳ </w:t>
      </w:r>
      <w:proofErr w:type="spellStart"/>
      <w:r>
        <w:rPr>
          <w:rtl/>
        </w:rPr>
        <w:t>יצחק־אלחנן</w:t>
      </w:r>
      <w:proofErr w:type="spellEnd"/>
      <w:r>
        <w:rPr>
          <w:rtl/>
        </w:rPr>
        <w:t xml:space="preserve"> </w:t>
      </w:r>
      <w:proofErr w:type="spellStart"/>
      <w:r>
        <w:rPr>
          <w:rtl/>
        </w:rPr>
        <w:t>ספקטור</w:t>
      </w:r>
      <w:proofErr w:type="spellEnd"/>
      <w:r>
        <w:rPr>
          <w:rtl/>
        </w:rPr>
        <w:t xml:space="preserve"> מקובנה</w:t>
      </w:r>
      <w:bookmarkStart w:id="75" w:name="_fnr73"/>
      <w:r>
        <w:rPr>
          <w:rStyle w:val="a5"/>
        </w:rPr>
        <w:footnoteReference w:id="73" w:customMarkFollows="0"/>
      </w:r>
      <w:bookmarkEnd w:id="75"/>
      <w:r>
        <w:rPr>
          <w:rtl/>
        </w:rPr>
        <w:t>, הקובעת שלימוד התורה וקיומה הם יסוד קיומו של עם ישראל.</w:t>
      </w:r>
    </w:p>
    <w:p w14:paraId="7A3629DD" w14:textId="77777777" w:rsidR="00AB3647" w:rsidRDefault="00000000" w:rsidP="007923E9">
      <w:pPr>
        <w:spacing w:after="100" w:line="276" w:lineRule="auto"/>
        <w:ind w:firstLine="340"/>
        <w:jc w:val="both"/>
      </w:pPr>
      <w:r>
        <w:rPr>
          <w:rtl/>
        </w:rPr>
        <w:t xml:space="preserve">באיגרת זו כותב ר׳ </w:t>
      </w:r>
      <w:proofErr w:type="spellStart"/>
      <w:r>
        <w:rPr>
          <w:rtl/>
        </w:rPr>
        <w:t>יצחק־אלחנן</w:t>
      </w:r>
      <w:bookmarkStart w:id="76" w:name="_fnr74"/>
      <w:proofErr w:type="spellEnd"/>
      <w:r>
        <w:rPr>
          <w:rStyle w:val="a5"/>
        </w:rPr>
        <w:footnoteReference w:id="74" w:customMarkFollows="0"/>
      </w:r>
      <w:bookmarkEnd w:id="76"/>
      <w:r>
        <w:rPr>
          <w:rtl/>
        </w:rPr>
        <w:t xml:space="preserve">: “יש בידינו </w:t>
      </w:r>
      <w:r>
        <w:rPr>
          <w:b/>
          <w:bCs/>
          <w:rtl/>
        </w:rPr>
        <w:t>פרפראות</w:t>
      </w:r>
      <w:r>
        <w:rPr>
          <w:rtl/>
        </w:rPr>
        <w:t xml:space="preserve"> רבות </w:t>
      </w:r>
      <w:proofErr w:type="spellStart"/>
      <w:r>
        <w:rPr>
          <w:rtl/>
        </w:rPr>
        <w:t>לחכמת</w:t>
      </w:r>
      <w:proofErr w:type="spellEnd"/>
      <w:r>
        <w:rPr>
          <w:rtl/>
        </w:rPr>
        <w:t xml:space="preserve"> התורה, כגון דקדוק לה״ק ודרכי הלשון, וכהנה עוד ידיעות חביבות, כתולדות גאוני ישראל והרפתקאותיהם </w:t>
      </w:r>
      <w:proofErr w:type="spellStart"/>
      <w:r>
        <w:rPr>
          <w:rtl/>
        </w:rPr>
        <w:t>דעדו</w:t>
      </w:r>
      <w:proofErr w:type="spellEnd"/>
      <w:r>
        <w:rPr>
          <w:rtl/>
        </w:rPr>
        <w:t xml:space="preserve"> עליהן, המעידות ומודיעות עד כמה מסרו נפשם בעד עסק התורה וקיום האומה בה. אבל חלילה להעלותן, כשהן לעצמן, במעלות התורה, ומשנה מפורשת היא: ‘</w:t>
      </w:r>
      <w:proofErr w:type="spellStart"/>
      <w:r>
        <w:rPr>
          <w:rtl/>
        </w:rPr>
        <w:t>קינין</w:t>
      </w:r>
      <w:proofErr w:type="spellEnd"/>
      <w:r>
        <w:rPr>
          <w:rtl/>
        </w:rPr>
        <w:t xml:space="preserve"> ופתחי נדה – הן </w:t>
      </w:r>
      <w:proofErr w:type="spellStart"/>
      <w:r>
        <w:rPr>
          <w:rtl/>
        </w:rPr>
        <w:t>הן</w:t>
      </w:r>
      <w:proofErr w:type="spellEnd"/>
      <w:r>
        <w:rPr>
          <w:rtl/>
        </w:rPr>
        <w:t xml:space="preserve"> גופי הלכות; תקופות </w:t>
      </w:r>
      <w:proofErr w:type="spellStart"/>
      <w:r>
        <w:rPr>
          <w:rtl/>
        </w:rPr>
        <w:t>וגימטריאות</w:t>
      </w:r>
      <w:proofErr w:type="spellEnd"/>
      <w:r>
        <w:rPr>
          <w:rtl/>
        </w:rPr>
        <w:t xml:space="preserve"> – </w:t>
      </w:r>
      <w:r>
        <w:rPr>
          <w:b/>
          <w:bCs/>
          <w:rtl/>
        </w:rPr>
        <w:t>פרפראות</w:t>
      </w:r>
      <w:r>
        <w:rPr>
          <w:rtl/>
        </w:rPr>
        <w:t xml:space="preserve"> לחכמה’,</w:t>
      </w:r>
      <w:bookmarkStart w:id="77" w:name="_fnr75"/>
      <w:r>
        <w:rPr>
          <w:rStyle w:val="a5"/>
        </w:rPr>
        <w:footnoteReference w:id="75" w:customMarkFollows="0"/>
      </w:r>
      <w:bookmarkEnd w:id="77"/>
      <w:r>
        <w:rPr>
          <w:rtl/>
        </w:rPr>
        <w:t xml:space="preserve"> ר״ל </w:t>
      </w:r>
      <w:proofErr w:type="spellStart"/>
      <w:r>
        <w:rPr>
          <w:rtl/>
        </w:rPr>
        <w:t>לחכמת</w:t>
      </w:r>
      <w:proofErr w:type="spellEnd"/>
      <w:r>
        <w:rPr>
          <w:rtl/>
        </w:rPr>
        <w:t xml:space="preserve"> התורה” (ההדגשה שלי). ר׳ </w:t>
      </w:r>
      <w:proofErr w:type="spellStart"/>
      <w:r>
        <w:rPr>
          <w:rtl/>
        </w:rPr>
        <w:t>יצחק־אלחנן</w:t>
      </w:r>
      <w:proofErr w:type="spellEnd"/>
      <w:r>
        <w:rPr>
          <w:rtl/>
        </w:rPr>
        <w:t xml:space="preserve"> רואה אם כן </w:t>
      </w:r>
      <w:proofErr w:type="spellStart"/>
      <w:r>
        <w:rPr>
          <w:rtl/>
        </w:rPr>
        <w:t>ב“שבח</w:t>
      </w:r>
      <w:proofErr w:type="spellEnd"/>
      <w:r>
        <w:rPr>
          <w:rtl/>
        </w:rPr>
        <w:t xml:space="preserve"> הצדיקים” – לכל הפחות של הדורות הקודמים – “פרפרת” בלבד.</w:t>
      </w:r>
    </w:p>
    <w:p w14:paraId="0AF0F45B" w14:textId="77777777" w:rsidR="00AB3647" w:rsidRDefault="00000000" w:rsidP="007923E9">
      <w:pPr>
        <w:spacing w:after="100" w:line="276" w:lineRule="auto"/>
        <w:ind w:firstLine="340"/>
        <w:jc w:val="both"/>
      </w:pPr>
      <w:r>
        <w:rPr>
          <w:rtl/>
        </w:rPr>
        <w:t xml:space="preserve">ראש הישיבה האחרון של ישיבת </w:t>
      </w:r>
      <w:proofErr w:type="spellStart"/>
      <w:r>
        <w:rPr>
          <w:rtl/>
        </w:rPr>
        <w:t>וולוז׳ין</w:t>
      </w:r>
      <w:proofErr w:type="spellEnd"/>
      <w:r>
        <w:rPr>
          <w:rtl/>
        </w:rPr>
        <w:t xml:space="preserve"> המפוארת, ר׳ </w:t>
      </w:r>
      <w:proofErr w:type="spellStart"/>
      <w:r>
        <w:rPr>
          <w:rtl/>
        </w:rPr>
        <w:t>נפתלי־צבי־יהודה</w:t>
      </w:r>
      <w:proofErr w:type="spellEnd"/>
      <w:r>
        <w:rPr>
          <w:rtl/>
        </w:rPr>
        <w:t xml:space="preserve"> ברלין (</w:t>
      </w:r>
      <w:proofErr w:type="spellStart"/>
      <w:r>
        <w:rPr>
          <w:rtl/>
        </w:rPr>
        <w:t>הנצי״ב</w:t>
      </w:r>
      <w:proofErr w:type="spellEnd"/>
      <w:r>
        <w:rPr>
          <w:rtl/>
        </w:rPr>
        <w:t>), סירב אף הוא – כך מעיד “עדות נאמנה” בנו ר׳ חיים</w:t>
      </w:r>
      <w:bookmarkStart w:id="78" w:name="_fnr76"/>
      <w:r>
        <w:rPr>
          <w:rStyle w:val="a5"/>
        </w:rPr>
        <w:footnoteReference w:id="76" w:customMarkFollows="0"/>
      </w:r>
      <w:bookmarkEnd w:id="78"/>
      <w:r>
        <w:rPr>
          <w:rtl/>
        </w:rPr>
        <w:t xml:space="preserve"> – לקרוא חומר ביוגרפי על ר׳ עקיבא איגר.</w:t>
      </w:r>
      <w:bookmarkStart w:id="79" w:name="_fnr77"/>
      <w:r>
        <w:rPr>
          <w:rStyle w:val="a5"/>
        </w:rPr>
        <w:footnoteReference w:id="77" w:customMarkFollows="0"/>
      </w:r>
      <w:bookmarkEnd w:id="79"/>
      <w:r>
        <w:rPr>
          <w:rtl/>
        </w:rPr>
        <w:t xml:space="preserve"> </w:t>
      </w:r>
      <w:proofErr w:type="spellStart"/>
      <w:r>
        <w:rPr>
          <w:rtl/>
        </w:rPr>
        <w:t>הנצי״ב</w:t>
      </w:r>
      <w:proofErr w:type="spellEnd"/>
      <w:r>
        <w:rPr>
          <w:rtl/>
        </w:rPr>
        <w:t xml:space="preserve"> אמר: “מה יצא לי מכך שאדע את יום הולדתו או את יום פטירתו, או את קלסתר פניו – אם כך היה או כך? והעיקר הוא לשום עין ולב לדברי תורתו”. ועוד אמר, לפי המסופר, בחריפות: “כל הדברים האלה הם מתחבולות השטן, שהצליח בדורנו למצוא דרכים להסיח אף רבנים גדולים בתורה וביראה משקידת תלמודם. מאחר שאנשים כאלה לא ימשכו אחר ‘ספרים חיצונים בדברים בטלים’, ביקש למצוא גם להם תחבולה – להכשילם </w:t>
      </w:r>
      <w:proofErr w:type="spellStart"/>
      <w:r>
        <w:rPr>
          <w:rtl/>
        </w:rPr>
        <w:t>ב‘ביטול</w:t>
      </w:r>
      <w:proofErr w:type="spellEnd"/>
      <w:r>
        <w:rPr>
          <w:rtl/>
        </w:rPr>
        <w:t xml:space="preserve"> תורה’ בדרכים שיצודו את לבם. ואחת מדרכים אלה היא העיסוק בתולדות חייהם של גדולי התורה”.</w:t>
      </w:r>
    </w:p>
    <w:p w14:paraId="58DAFE48" w14:textId="77777777" w:rsidR="00AB3647" w:rsidRDefault="00000000" w:rsidP="007923E9">
      <w:pPr>
        <w:spacing w:after="100" w:line="276" w:lineRule="auto"/>
        <w:ind w:firstLine="340"/>
        <w:jc w:val="both"/>
      </w:pPr>
      <w:r>
        <w:rPr>
          <w:rtl/>
        </w:rPr>
        <w:t xml:space="preserve">ר׳ חיים ברלין סיפר זאת בתגובה לתלונתו של אחד מתלמידי אביו, שבחמש השנים שעברו מאז פטירת ראש הישיבה לא יצא לאור ספר ביוגרפי עליו. התלמיד הציע לתקן זאת בעצמו, וקיבל מבנו של </w:t>
      </w:r>
      <w:proofErr w:type="spellStart"/>
      <w:r>
        <w:rPr>
          <w:rtl/>
        </w:rPr>
        <w:t>הנצי״ב</w:t>
      </w:r>
      <w:proofErr w:type="spellEnd"/>
      <w:r>
        <w:rPr>
          <w:rtl/>
        </w:rPr>
        <w:t xml:space="preserve"> את התשובה המאכזבת הזאת.</w:t>
      </w:r>
    </w:p>
    <w:p w14:paraId="6459E4F9" w14:textId="77777777" w:rsidR="00AB3647" w:rsidRDefault="00000000" w:rsidP="007923E9">
      <w:pPr>
        <w:spacing w:after="100" w:line="276" w:lineRule="auto"/>
        <w:ind w:firstLine="340"/>
        <w:jc w:val="both"/>
      </w:pPr>
      <w:r>
        <w:rPr>
          <w:rtl/>
        </w:rPr>
        <w:t xml:space="preserve">עם זאת, הבן עצמו לא הסתייג </w:t>
      </w:r>
      <w:proofErr w:type="spellStart"/>
      <w:r>
        <w:rPr>
          <w:rtl/>
        </w:rPr>
        <w:t>מ“שבח</w:t>
      </w:r>
      <w:proofErr w:type="spellEnd"/>
      <w:r>
        <w:rPr>
          <w:rtl/>
        </w:rPr>
        <w:t xml:space="preserve"> הצדיקים” במידה שהסתייג אביו. הפסקה האחרונה של מכתבו לתלמיד אביו אומרת: “ויודע אני שתמצא דרכים ושבילים למטרתך דרך רבבות אלפי תלמידיו [של אבי] הפזורים בעולם. </w:t>
      </w:r>
      <w:proofErr w:type="spellStart"/>
      <w:r>
        <w:rPr>
          <w:rtl/>
        </w:rPr>
        <w:t>ולעניני</w:t>
      </w:r>
      <w:proofErr w:type="spellEnd"/>
      <w:r>
        <w:rPr>
          <w:rtl/>
        </w:rPr>
        <w:t xml:space="preserve"> יחוסו והשתלשלותו בעולם וכדומה, יש לך אתך בווילנה את אחיו, דודי [ששמי כשמו] ר׳ חיים ברלין; ואם נעלמו ממנו פרטים, בזה תוכל </w:t>
      </w:r>
      <w:r>
        <w:rPr>
          <w:rtl/>
        </w:rPr>
        <w:lastRenderedPageBreak/>
        <w:t>לשאול אותי בפירוש מה חסר לך, ואודיעך מה שאני יודע. אבל [על ידי] הפסקת לימודי או עסקי הציבור כדי להקדיש לכך זמן – יודע אני שלא אקיים בזה חובת ‘מכבדו במותו’.</w:t>
      </w:r>
      <w:bookmarkStart w:id="80" w:name="_fnr78"/>
      <w:r>
        <w:rPr>
          <w:rStyle w:val="a5"/>
        </w:rPr>
        <w:footnoteReference w:id="78" w:customMarkFollows="0"/>
      </w:r>
      <w:bookmarkEnd w:id="80"/>
      <w:r>
        <w:rPr>
          <w:rtl/>
        </w:rPr>
        <w:t xml:space="preserve"> </w:t>
      </w:r>
      <w:r>
        <w:rPr>
          <w:b/>
          <w:bCs/>
          <w:rtl/>
        </w:rPr>
        <w:t>אף אם אולי</w:t>
      </w:r>
      <w:r>
        <w:rPr>
          <w:rtl/>
        </w:rPr>
        <w:t xml:space="preserve"> יש בזה [בכתיבת תולדות אבי] </w:t>
      </w:r>
      <w:r>
        <w:rPr>
          <w:b/>
          <w:bCs/>
          <w:rtl/>
        </w:rPr>
        <w:t>איזו מצוה</w:t>
      </w:r>
      <w:r>
        <w:rPr>
          <w:rtl/>
        </w:rPr>
        <w:t xml:space="preserve"> [‘אחד’, כך במקור], הרי זו מצוה שאפשר לעשותה על ידי אחרים, ולא [דווקא] על ידי, כנ״ל” (ההדגשה שלי).</w:t>
      </w:r>
      <w:bookmarkStart w:id="81" w:name="_fnr79"/>
      <w:r>
        <w:rPr>
          <w:rStyle w:val="a5"/>
        </w:rPr>
        <w:footnoteReference w:id="79" w:customMarkFollows="0"/>
      </w:r>
      <w:bookmarkEnd w:id="81"/>
    </w:p>
    <w:p w14:paraId="67B215F9" w14:textId="77777777" w:rsidR="00AB3647" w:rsidRDefault="00000000" w:rsidP="007923E9">
      <w:pPr>
        <w:spacing w:after="100" w:line="276" w:lineRule="auto"/>
        <w:ind w:firstLine="340"/>
        <w:jc w:val="both"/>
      </w:pPr>
      <w:r>
        <w:rPr>
          <w:rtl/>
        </w:rPr>
        <w:t>מן המילים המודגשות עולה שר׳ חיים ברלין הודה בעל כורחו שיש “אולי איזו מצוה” בשבח הצדיקים – כמו שמלמד המדרש שהובא לעיל – ואף בשבחם של צדיקים שהלכו לעולמם, צדיקי הדורות הקודמים.</w:t>
      </w:r>
      <w:bookmarkStart w:id="82" w:name="_fnr80"/>
      <w:r>
        <w:rPr>
          <w:rStyle w:val="a5"/>
        </w:rPr>
        <w:footnoteReference w:id="80" w:customMarkFollows="0"/>
      </w:r>
      <w:bookmarkEnd w:id="82"/>
    </w:p>
    <w:p w14:paraId="3601D26A" w14:textId="77777777" w:rsidR="00AB3647" w:rsidRDefault="00000000" w:rsidP="007923E9">
      <w:pPr>
        <w:spacing w:after="100" w:line="276" w:lineRule="auto"/>
        <w:ind w:firstLine="340"/>
        <w:jc w:val="both"/>
      </w:pPr>
      <w:r>
        <w:rPr>
          <w:rtl/>
        </w:rPr>
        <w:t xml:space="preserve">בן דורם של </w:t>
      </w:r>
      <w:proofErr w:type="spellStart"/>
      <w:r>
        <w:rPr>
          <w:rtl/>
        </w:rPr>
        <w:t>הנצי״ב</w:t>
      </w:r>
      <w:proofErr w:type="spellEnd"/>
      <w:r>
        <w:rPr>
          <w:rtl/>
        </w:rPr>
        <w:t xml:space="preserve"> ושל ר׳ </w:t>
      </w:r>
      <w:proofErr w:type="spellStart"/>
      <w:r>
        <w:rPr>
          <w:rtl/>
        </w:rPr>
        <w:t>יצחק־אלחנן</w:t>
      </w:r>
      <w:proofErr w:type="spellEnd"/>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w:t>
      </w:r>
      <w:bookmarkStart w:id="83" w:name="_fnr81"/>
      <w:r>
        <w:rPr>
          <w:rStyle w:val="a5"/>
        </w:rPr>
        <w:footnoteReference w:id="81" w:customMarkFollows="0"/>
      </w:r>
      <w:bookmarkEnd w:id="83"/>
      <w:r>
        <w:rPr>
          <w:rtl/>
        </w:rPr>
        <w:t xml:space="preserve"> מביע גם הוא הסתייגות מן החובה לשבח את הצדיקים. מכתב הסכמה שלו, שאינו נושא תאריך אבל נכתב לאחר פטירת </w:t>
      </w:r>
      <w:proofErr w:type="spellStart"/>
      <w:r>
        <w:rPr>
          <w:rtl/>
        </w:rPr>
        <w:t>החפץ־חיים</w:t>
      </w:r>
      <w:proofErr w:type="spellEnd"/>
      <w:r>
        <w:rPr>
          <w:rtl/>
        </w:rPr>
        <w:t xml:space="preserve">, כלומר באמצע שנות </w:t>
      </w:r>
      <w:proofErr w:type="spellStart"/>
      <w:r>
        <w:rPr>
          <w:rtl/>
        </w:rPr>
        <w:t xml:space="preserve">התר״צ</w:t>
      </w:r>
      <w:proofErr w:type="spellEnd"/>
      <w:r>
        <w:rPr>
          <w:rtl/>
        </w:rPr>
        <w:t xml:space="preserve">, נדפס בספר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w:t>
      </w:r>
      <w:bookmarkStart w:id="84" w:name="_fnr82"/>
      <w:r>
        <w:rPr>
          <w:rStyle w:val="a5"/>
        </w:rPr>
        <w:footnoteReference w:id="82" w:customMarkFollows="0"/>
      </w:r>
      <w:bookmarkEnd w:id="84"/>
      <w:r>
        <w:rPr>
          <w:rtl/>
        </w:rPr>
        <w:t xml:space="preserve"> המכתב פותח בהערכה למשימה </w:t>
      </w:r>
      <w:proofErr w:type="spellStart"/>
      <w:r>
        <w:rPr>
          <w:rtl/>
        </w:rPr>
        <w:t>ה“בלתי</w:t>
      </w:r>
      <w:proofErr w:type="spellEnd"/>
      <w:r>
        <w:rPr>
          <w:rtl/>
        </w:rPr>
        <w:t xml:space="preserve"> אפשרית” שהמחבר הצליח לבצע (“בהיותו אצלו </w:t>
      </w:r>
      <w:proofErr w:type="spellStart"/>
      <w:r>
        <w:rPr>
          <w:rtl/>
        </w:rPr>
        <w:t>כבן־בית</w:t>
      </w:r>
      <w:proofErr w:type="spellEnd"/>
      <w:r>
        <w:rPr>
          <w:rtl/>
        </w:rPr>
        <w:t xml:space="preserve"> נאמן”), ומסיים במילים: “ומי </w:t>
      </w:r>
      <w:proofErr w:type="spellStart"/>
      <w:r>
        <w:rPr>
          <w:rtl/>
        </w:rPr>
        <w:t>יתן</w:t>
      </w:r>
      <w:proofErr w:type="spellEnd"/>
      <w:r>
        <w:rPr>
          <w:rtl/>
        </w:rPr>
        <w:t xml:space="preserve"> והי׳ לתועלת לזכות הרבים </w:t>
      </w:r>
      <w:proofErr w:type="spellStart"/>
      <w:r>
        <w:rPr>
          <w:rtl/>
        </w:rPr>
        <w:t>ולהתדבק</w:t>
      </w:r>
      <w:proofErr w:type="spellEnd"/>
      <w:r>
        <w:rPr>
          <w:rtl/>
        </w:rPr>
        <w:t xml:space="preserve"> במידותיו ולהתלמד ממעשיו”. סיום זה מביע תפילה ומשאלה בלבד, ולא את הציפייה שהייתה נובעת מחובה לספר במעשי צדיקים.</w:t>
      </w:r>
    </w:p>
    <w:p w14:paraId="7EF207FE" w14:textId="77777777" w:rsidR="00AB3647" w:rsidRDefault="00000000" w:rsidP="007923E9">
      <w:pPr>
        <w:spacing w:after="100" w:line="276" w:lineRule="auto"/>
        <w:ind w:firstLine="340"/>
        <w:jc w:val="both"/>
      </w:pPr>
      <w:r>
        <w:rPr>
          <w:rtl/>
        </w:rPr>
        <w:t xml:space="preserve">דעתו של ר׳ </w:t>
      </w:r>
      <w:proofErr w:type="spellStart"/>
      <w:r>
        <w:rPr>
          <w:rtl/>
        </w:rPr>
        <w:t>חיים־עוזר</w:t>
      </w:r>
      <w:proofErr w:type="spellEnd"/>
      <w:r>
        <w:rPr>
          <w:rtl/>
        </w:rPr>
        <w:t xml:space="preserve"> על ספרי תולדות של גדולי תורה עולה בקנה אחד עם יחסו המבטל ללימוד ההיסטוריה בכלל, שלפיו אין לרכוש ידיעות היסטוריות אלא דרך אגב. הוא ביטא זאת בהסכמה שכתב שלושים שנה קודם לכן, בשנת תרס״ז, לספר “דור ישרים”,</w:t>
      </w:r>
      <w:bookmarkStart w:id="85" w:name="_fnr83"/>
      <w:r>
        <w:rPr>
          <w:rStyle w:val="a5"/>
        </w:rPr>
        <w:footnoteReference w:id="83" w:customMarkFollows="0"/>
      </w:r>
      <w:bookmarkEnd w:id="85"/>
      <w:r>
        <w:rPr>
          <w:rtl/>
        </w:rPr>
        <w:t xml:space="preserve"> החולק על מסקנות הכפירה של ההיסטוריון היהודי הגליצאי </w:t>
      </w:r>
      <w:proofErr w:type="spellStart"/>
      <w:r>
        <w:rPr>
          <w:rtl/>
        </w:rPr>
        <w:t>אייזיק־הירש</w:t>
      </w:r>
      <w:proofErr w:type="spellEnd"/>
      <w:r>
        <w:rPr>
          <w:rtl/>
        </w:rPr>
        <w:t xml:space="preserve"> ווייס בספרו “דור </w:t>
      </w:r>
      <w:proofErr w:type="spellStart"/>
      <w:r>
        <w:rPr>
          <w:rtl/>
        </w:rPr>
        <w:t>דור</w:t>
      </w:r>
      <w:proofErr w:type="spellEnd"/>
      <w:r>
        <w:rPr>
          <w:rtl/>
        </w:rPr>
        <w:t xml:space="preserve"> ודורשיו”, שיצא לאור שלושים וחמש שנה קודם לכן. ר׳ </w:t>
      </w:r>
      <w:proofErr w:type="spellStart"/>
      <w:r>
        <w:rPr>
          <w:rtl/>
        </w:rPr>
        <w:t>חיים־עוזר</w:t>
      </w:r>
      <w:proofErr w:type="spellEnd"/>
      <w:r>
        <w:rPr>
          <w:rtl/>
        </w:rPr>
        <w:t xml:space="preserve"> קובע במכתבו שלימוד ההיסטוריה נעשה חשוב רק בעת החדשה, בשל הצורך להיאבק בהשפעתם הערמומית של הרפורמים בגרמניה ושל ממשיכי דרכם.</w:t>
      </w:r>
    </w:p>
    <w:p w14:paraId="26299329" w14:textId="77777777" w:rsidR="00AB3647" w:rsidRDefault="00000000" w:rsidP="007923E9">
      <w:pPr>
        <w:spacing w:after="100" w:line="276" w:lineRule="auto"/>
        <w:ind w:firstLine="340"/>
        <w:jc w:val="both"/>
      </w:pPr>
      <w:r>
        <w:rPr>
          <w:rtl/>
        </w:rPr>
        <w:t xml:space="preserve">ר׳ </w:t>
      </w:r>
      <w:proofErr w:type="spellStart"/>
      <w:r>
        <w:rPr>
          <w:rtl/>
        </w:rPr>
        <w:t>חיים־עוזר</w:t>
      </w:r>
      <w:proofErr w:type="spellEnd"/>
      <w:r>
        <w:rPr>
          <w:rtl/>
        </w:rPr>
        <w:t xml:space="preserve"> שולל את ערכו העצמי של לימוד ההיסטוריה וכותב: “גם עבודתם של הגדולים המעטים שעסקו [בחקר] ההיסטוריה נעשתה רק דרך אגב ובדרך העברה, ואילו עיקר זמנם הוקדש לידיעת התורה, ‘שארוכה מארץ מדה ורחבה מני ים’”.</w:t>
      </w:r>
      <w:bookmarkStart w:id="86" w:name="_fnr84"/>
      <w:r>
        <w:rPr>
          <w:rStyle w:val="a5"/>
        </w:rPr>
        <w:footnoteReference w:id="84" w:customMarkFollows="0"/>
      </w:r>
      <w:bookmarkEnd w:id="86"/>
      <w:r>
        <w:rPr>
          <w:rtl/>
        </w:rPr>
        <w:t xml:space="preserve"> כוונתו שענייני התורה </w:t>
      </w:r>
      <w:r>
        <w:rPr>
          <w:rtl/>
        </w:rPr>
        <w:lastRenderedPageBreak/>
        <w:t xml:space="preserve">של ממש שיש ללמוד מרובים מכדי שיוכל אדם להקדיש זמן לענייני </w:t>
      </w:r>
      <w:proofErr w:type="spellStart"/>
      <w:r>
        <w:rPr>
          <w:rtl/>
        </w:rPr>
        <w:t>ה“פרפראות</w:t>
      </w:r>
      <w:proofErr w:type="spellEnd"/>
      <w:r>
        <w:rPr>
          <w:rtl/>
        </w:rPr>
        <w:t xml:space="preserve">” שאינם הכרחיים, כגון ההיסטוריה. הוא מסיים בדברים ברורים: “גם אותם ‘גדולים מעטים [שעסקו בענייני ההיסטוריה]’ כיוונו את עיונם אל התורה לכל </w:t>
      </w:r>
      <w:proofErr w:type="spellStart"/>
      <w:r>
        <w:rPr>
          <w:rtl/>
        </w:rPr>
        <w:t>עניניה</w:t>
      </w:r>
      <w:proofErr w:type="spellEnd"/>
      <w:r>
        <w:rPr>
          <w:rtl/>
        </w:rPr>
        <w:t>, וממנה שאבו גם את ידיעותיהם בהיסטוריה. הם חקרו את עומק דברי רבותינו, ולא את תולדותיהם ומקומות מושבם”.</w:t>
      </w:r>
    </w:p>
    <w:p w14:paraId="23FF5759" w14:textId="77777777" w:rsidR="00AB3647" w:rsidRDefault="00000000" w:rsidP="007923E9">
      <w:pPr>
        <w:spacing w:after="100" w:line="276" w:lineRule="auto"/>
        <w:ind w:firstLine="340"/>
        <w:jc w:val="both"/>
      </w:pPr>
      <w:r>
        <w:rPr>
          <w:rtl/>
        </w:rPr>
        <w:t xml:space="preserve">גישה זו רחוקה מאוד מגישתו של ר׳ </w:t>
      </w:r>
      <w:proofErr w:type="spellStart"/>
      <w:r>
        <w:rPr>
          <w:rtl/>
        </w:rPr>
        <w:t>צבי־הירש</w:t>
      </w:r>
      <w:proofErr w:type="spellEnd"/>
      <w:r>
        <w:rPr>
          <w:rtl/>
        </w:rPr>
        <w:t xml:space="preserve"> חיות מבְּרוֹד שבגליציה ללימוד ההיסטוריה היהודית, שאותה הוא מכנה “חלק </w:t>
      </w:r>
      <w:proofErr w:type="spellStart"/>
      <w:r>
        <w:rPr>
          <w:rtl/>
        </w:rPr>
        <w:t>מחכמת</w:t>
      </w:r>
      <w:proofErr w:type="spellEnd"/>
      <w:r>
        <w:rPr>
          <w:rtl/>
        </w:rPr>
        <w:t xml:space="preserve"> התורה”.</w:t>
      </w:r>
      <w:bookmarkStart w:id="87" w:name="_fnr85"/>
      <w:r>
        <w:rPr>
          <w:rStyle w:val="a5"/>
        </w:rPr>
        <w:footnoteReference w:id="85" w:customMarkFollows="0"/>
      </w:r>
      <w:bookmarkEnd w:id="87"/>
      <w:r>
        <w:rPr>
          <w:rtl/>
        </w:rPr>
        <w:t xml:space="preserve"> כדי להוכיח שהרמב״ם לא התכוון בחיבורו “היד החזקה” לבטל את לימוד הש״ס והמדרשים, טוען הרב חיות </w:t>
      </w:r>
      <w:proofErr w:type="spellStart"/>
      <w:r>
        <w:rPr>
          <w:rtl/>
        </w:rPr>
        <w:t>ש“אין</w:t>
      </w:r>
      <w:proofErr w:type="spellEnd"/>
      <w:r>
        <w:rPr>
          <w:rtl/>
        </w:rPr>
        <w:t xml:space="preserve"> אדם בר דעת שיכחיש כי ידיעת קורות עמנו, בכלל ובפרט, הכרחית לכל משכיל אשר ה׳ חלקו – למען ידע מה עשה ה׳ עם </w:t>
      </w:r>
      <w:proofErr w:type="spellStart"/>
      <w:r>
        <w:rPr>
          <w:rtl/>
        </w:rPr>
        <w:t>עם</w:t>
      </w:r>
      <w:proofErr w:type="spellEnd"/>
      <w:r>
        <w:rPr>
          <w:rtl/>
        </w:rPr>
        <w:t xml:space="preserve"> זה, איך עמנו תמיד עולים ויורדים ומונהגים בהשגחה פרטית, ושבכל דור ודור עומדים עלינו לכלותנו ובכל עת ה׳ מעמיד מושיע נאמן המוסר נפשו להציל את ההמון הגדול הזה: גדול הרועה המצילם”.</w:t>
      </w:r>
      <w:bookmarkStart w:id="88" w:name="_fnr86"/>
      <w:r>
        <w:rPr>
          <w:rStyle w:val="a5"/>
        </w:rPr>
        <w:footnoteReference w:id="86" w:customMarkFollows="0"/>
      </w:r>
      <w:bookmarkEnd w:id="88"/>
    </w:p>
    <w:p w14:paraId="15C6C7CD" w14:textId="77777777" w:rsidR="00AB3647" w:rsidRDefault="00000000" w:rsidP="007923E9">
      <w:pPr>
        <w:spacing w:after="100" w:line="276" w:lineRule="auto"/>
        <w:ind w:firstLine="340"/>
        <w:jc w:val="both"/>
      </w:pPr>
      <w:r>
        <w:rPr>
          <w:rtl/>
        </w:rPr>
        <w:t xml:space="preserve">הרב חיות מונה בהמשך מקורות התומכים בהערכתו את ההיסטוריה, וממשיך: “[ואם התכוון הרמב״ם לבטל את לימוד כל דבר זולת </w:t>
      </w:r>
      <w:proofErr w:type="spellStart"/>
      <w:r>
        <w:rPr>
          <w:rtl/>
        </w:rPr>
        <w:t>ה‘יד</w:t>
      </w:r>
      <w:proofErr w:type="spellEnd"/>
      <w:r>
        <w:rPr>
          <w:rtl/>
        </w:rPr>
        <w:t xml:space="preserve"> החזקה’ שלו,] מה היינו עושים בלא כל ספרינו [ש״ס ומדרשים] – איך היינו יודעים את </w:t>
      </w:r>
      <w:r>
        <w:rPr>
          <w:b/>
          <w:bCs/>
          <w:rtl/>
        </w:rPr>
        <w:t xml:space="preserve">חלק </w:t>
      </w:r>
      <w:proofErr w:type="spellStart"/>
      <w:r>
        <w:rPr>
          <w:b/>
          <w:bCs/>
          <w:rtl/>
        </w:rPr>
        <w:t>מחכמת</w:t>
      </w:r>
      <w:proofErr w:type="spellEnd"/>
      <w:r>
        <w:rPr>
          <w:b/>
          <w:bCs/>
          <w:rtl/>
        </w:rPr>
        <w:t xml:space="preserve"> התורה</w:t>
      </w:r>
      <w:r>
        <w:rPr>
          <w:rtl/>
        </w:rPr>
        <w:t xml:space="preserve"> הזה?”. ר׳ </w:t>
      </w:r>
      <w:proofErr w:type="spellStart"/>
      <w:r>
        <w:rPr>
          <w:rtl/>
        </w:rPr>
        <w:t>צבי־הירש</w:t>
      </w:r>
      <w:proofErr w:type="spellEnd"/>
      <w:r>
        <w:rPr>
          <w:rtl/>
        </w:rPr>
        <w:t xml:space="preserve"> ראה אם כן את ידיעת ההיסטוריה כדבר חשוב לא רק בעת החדשה אלא אף בימי הרמב״ם – שלא כר׳ </w:t>
      </w:r>
      <w:proofErr w:type="spellStart"/>
      <w:r>
        <w:rPr>
          <w:rtl/>
        </w:rPr>
        <w:t>חיים־עוזר</w:t>
      </w:r>
      <w:proofErr w:type="spellEnd"/>
      <w:r>
        <w:rPr>
          <w:rtl/>
        </w:rPr>
        <w:t xml:space="preserve">, שנולד שמונה שנים לאחר פטירת הרב חיות. יתר על כן, הוא לא ראה בה “פרפרת” בלבד, כר׳ </w:t>
      </w:r>
      <w:proofErr w:type="spellStart"/>
      <w:r>
        <w:rPr>
          <w:rtl/>
        </w:rPr>
        <w:t>יצחק־אלחנן</w:t>
      </w:r>
      <w:proofErr w:type="spellEnd"/>
      <w:r>
        <w:rPr>
          <w:rtl/>
        </w:rPr>
        <w:t>, אלא חלק בלתי נפרד מן התורה.</w:t>
      </w:r>
    </w:p>
    <w:p w14:paraId="05EBCE7B" w14:textId="77777777" w:rsidR="00AB3647" w:rsidRDefault="00000000" w:rsidP="007923E9">
      <w:pPr>
        <w:spacing w:after="100" w:line="276" w:lineRule="auto"/>
        <w:ind w:firstLine="340"/>
        <w:jc w:val="both"/>
      </w:pPr>
      <w:r>
        <w:rPr>
          <w:rtl/>
        </w:rPr>
        <w:t xml:space="preserve">כשמתקרבים לזמננו, לעומת זאת, אנו מוצאים </w:t>
      </w:r>
      <w:proofErr w:type="spellStart"/>
      <w:r>
        <w:rPr>
          <w:rtl/>
        </w:rPr>
        <w:t>שהחזון־איש</w:t>
      </w:r>
      <w:bookmarkStart w:id="89" w:name="_fnr87"/>
      <w:proofErr w:type="spellEnd"/>
      <w:r>
        <w:rPr>
          <w:rStyle w:val="a5"/>
        </w:rPr>
        <w:footnoteReference w:id="87" w:customMarkFollows="0"/>
      </w:r>
      <w:bookmarkEnd w:id="89"/>
      <w:r>
        <w:rPr>
          <w:rtl/>
        </w:rPr>
        <w:t xml:space="preserve"> נטה בבירור לטובת “שבח הצדיקים” יותר מקודמיו החשובים בעולם התורה הליטאי, ר׳ </w:t>
      </w:r>
      <w:proofErr w:type="spellStart"/>
      <w:r>
        <w:rPr>
          <w:rtl/>
        </w:rPr>
        <w:t>יצחק־אלחנן</w:t>
      </w:r>
      <w:proofErr w:type="spellEnd"/>
      <w:r>
        <w:rPr>
          <w:rtl/>
        </w:rPr>
        <w:t xml:space="preserve"> ור׳ </w:t>
      </w:r>
      <w:proofErr w:type="spellStart"/>
      <w:r>
        <w:rPr>
          <w:rtl/>
        </w:rPr>
        <w:t>חיים־עוזר</w:t>
      </w:r>
      <w:proofErr w:type="spellEnd"/>
      <w:r>
        <w:rPr>
          <w:rtl/>
        </w:rPr>
        <w:t>. בספר “פאר הדור” ח״ד</w:t>
      </w:r>
      <w:bookmarkStart w:id="90" w:name="_fnr88"/>
      <w:r>
        <w:rPr>
          <w:rStyle w:val="a5"/>
        </w:rPr>
        <w:footnoteReference w:id="88" w:customMarkFollows="0"/>
      </w:r>
      <w:bookmarkEnd w:id="90"/>
      <w:r>
        <w:rPr>
          <w:rtl/>
        </w:rPr>
        <w:t xml:space="preserve"> מוסר ר׳ דב יפה בשם </w:t>
      </w:r>
      <w:proofErr w:type="spellStart"/>
      <w:r>
        <w:rPr>
          <w:rtl/>
        </w:rPr>
        <w:t>החזון־איש</w:t>
      </w:r>
      <w:proofErr w:type="spellEnd"/>
      <w:r>
        <w:rPr>
          <w:rtl/>
        </w:rPr>
        <w:t xml:space="preserve"> </w:t>
      </w:r>
      <w:proofErr w:type="spellStart"/>
      <w:r>
        <w:rPr>
          <w:rtl/>
        </w:rPr>
        <w:t>ש“ספרי</w:t>
      </w:r>
      <w:proofErr w:type="spellEnd"/>
      <w:r>
        <w:rPr>
          <w:rtl/>
        </w:rPr>
        <w:t xml:space="preserve"> תולדות גדולי ישראל הם ספרי המוסר הטובים ביותר”,</w:t>
      </w:r>
      <w:bookmarkStart w:id="91" w:name="_fnr89"/>
      <w:r>
        <w:rPr>
          <w:rStyle w:val="a5"/>
        </w:rPr>
        <w:footnoteReference w:id="89" w:customMarkFollows="0"/>
      </w:r>
      <w:bookmarkEnd w:id="91"/>
      <w:r>
        <w:rPr>
          <w:rtl/>
        </w:rPr>
        <w:t xml:space="preserve"> ושהוא עצמו קרא ספרים כאלה. כך עולה מן המכתב הראשון </w:t>
      </w:r>
      <w:proofErr w:type="spellStart"/>
      <w:r>
        <w:rPr>
          <w:rtl/>
        </w:rPr>
        <w:t>ב“קובץ</w:t>
      </w:r>
      <w:proofErr w:type="spellEnd"/>
      <w:r>
        <w:rPr>
          <w:rtl/>
        </w:rPr>
        <w:t xml:space="preserve"> אגרות” ח״א, שבו הוא מביא דבר שקרא על ר׳ עקיבא איגר – אותו גדול תורה </w:t>
      </w:r>
      <w:proofErr w:type="spellStart"/>
      <w:r>
        <w:rPr>
          <w:rtl/>
        </w:rPr>
        <w:t>שהנצי״ב</w:t>
      </w:r>
      <w:proofErr w:type="spellEnd"/>
      <w:r>
        <w:rPr>
          <w:rtl/>
        </w:rPr>
        <w:t xml:space="preserve"> סירב לעיין בתולדותיו!</w:t>
      </w:r>
    </w:p>
    <w:p w14:paraId="425CF157" w14:textId="77777777" w:rsidR="00AB3647" w:rsidRDefault="00000000" w:rsidP="007923E9">
      <w:pPr>
        <w:spacing w:after="100" w:line="276" w:lineRule="auto"/>
        <w:ind w:firstLine="340"/>
        <w:jc w:val="both"/>
      </w:pPr>
      <w:r>
        <w:rPr>
          <w:rtl/>
        </w:rPr>
        <w:lastRenderedPageBreak/>
        <w:t xml:space="preserve">באותה שיחה אמר </w:t>
      </w:r>
      <w:proofErr w:type="spellStart"/>
      <w:r>
        <w:rPr>
          <w:rtl/>
        </w:rPr>
        <w:t>החזון־איש</w:t>
      </w:r>
      <w:proofErr w:type="spellEnd"/>
      <w:r>
        <w:rPr>
          <w:rtl/>
        </w:rPr>
        <w:t xml:space="preserve">, לפי המסופר: “מן הראוי לכתוב את תולדותיו של </w:t>
      </w:r>
      <w:proofErr w:type="spellStart"/>
      <w:r>
        <w:rPr>
          <w:rtl/>
        </w:rPr>
        <w:t>הח״ח</w:t>
      </w:r>
      <w:proofErr w:type="spellEnd"/>
      <w:r>
        <w:rPr>
          <w:rtl/>
        </w:rPr>
        <w:t xml:space="preserve">, כי מהם יוכלו הבריות לעמוד על השגב האצור בגדלות התורה”. שלא כר׳ </w:t>
      </w:r>
      <w:proofErr w:type="spellStart"/>
      <w:r>
        <w:rPr>
          <w:rtl/>
        </w:rPr>
        <w:t>חיים־עוזר</w:t>
      </w:r>
      <w:proofErr w:type="spellEnd"/>
      <w:r>
        <w:rPr>
          <w:rtl/>
        </w:rPr>
        <w:t xml:space="preserve">, שרק התפלל שספר כזה יועיל, </w:t>
      </w:r>
      <w:proofErr w:type="spellStart"/>
      <w:r>
        <w:rPr>
          <w:rtl/>
        </w:rPr>
        <w:t>לחזון־איש</w:t>
      </w:r>
      <w:proofErr w:type="spellEnd"/>
      <w:r>
        <w:rPr>
          <w:rtl/>
        </w:rPr>
        <w:t xml:space="preserve"> לא היה ספק שספר מסוג זה יביא תועלת לעולם.</w:t>
      </w:r>
    </w:p>
    <w:p w14:paraId="02A37A57" w14:textId="77777777" w:rsidR="00AB3647" w:rsidRDefault="00000000" w:rsidP="007923E9">
      <w:pPr>
        <w:spacing w:after="100" w:line="276" w:lineRule="auto"/>
        <w:ind w:firstLine="340"/>
        <w:jc w:val="both"/>
      </w:pPr>
      <w:r>
        <w:rPr>
          <w:rtl/>
        </w:rPr>
        <w:t>הגישה החיובית לתולדות הגדולים מבוססת גם על דברי הראשונים. רבנו בחיי מבאר</w:t>
      </w:r>
      <w:bookmarkStart w:id="92" w:name="_fnr90"/>
      <w:r>
        <w:rPr>
          <w:rStyle w:val="a5"/>
        </w:rPr>
        <w:footnoteReference w:id="90" w:customMarkFollows="0"/>
      </w:r>
      <w:bookmarkEnd w:id="92"/>
      <w:r>
        <w:rPr>
          <w:rtl/>
        </w:rPr>
        <w:t xml:space="preserve"> את הפסוק “אכול דבש הרבות לא טוב וחקר כבודם כבוד”</w:t>
      </w:r>
      <w:bookmarkStart w:id="93" w:name="_fnr91"/>
      <w:r>
        <w:rPr>
          <w:rStyle w:val="a5"/>
        </w:rPr>
        <w:footnoteReference w:id="91" w:customMarkFollows="0"/>
      </w:r>
      <w:bookmarkEnd w:id="93"/>
      <w:r>
        <w:rPr>
          <w:rtl/>
        </w:rPr>
        <w:t xml:space="preserve"> כך: “הודיע בכתוב... כי </w:t>
      </w:r>
      <w:r>
        <w:rPr>
          <w:b/>
          <w:bCs/>
          <w:rtl/>
        </w:rPr>
        <w:t>יתחייב האדם</w:t>
      </w:r>
      <w:r>
        <w:rPr>
          <w:rtl/>
        </w:rPr>
        <w:t xml:space="preserve"> לחקור הצדיקים [שנזכרו בפסוק שלפני זה] ולספר בשבח מעלתם, והגיד לך כי ערך החקירה הזאת בחקר כבודם הוא טוב מאכילת הדבש, כי אכילת הדבש ‘הרבות לא טוב’, והרבות לחקור בכבודם הוא טוב וכבוד אצל המחשבה” (ההדגשה שלי).</w:t>
      </w:r>
      <w:bookmarkStart w:id="94" w:name="_fnr92"/>
      <w:r>
        <w:rPr>
          <w:rStyle w:val="a5"/>
        </w:rPr>
        <w:footnoteReference w:id="92" w:customMarkFollows="0"/>
      </w:r>
      <w:bookmarkEnd w:id="94"/>
      <w:r>
        <w:rPr>
          <w:rtl/>
        </w:rPr>
        <w:t xml:space="preserve"> וכן מתפרש הכתוב בשערי תשובה לרבנו יונה,</w:t>
      </w:r>
      <w:bookmarkStart w:id="95" w:name="_fnr93"/>
      <w:r>
        <w:rPr>
          <w:rStyle w:val="a5"/>
        </w:rPr>
        <w:footnoteReference w:id="93" w:customMarkFollows="0"/>
      </w:r>
      <w:bookmarkEnd w:id="95"/>
      <w:r>
        <w:rPr>
          <w:rtl/>
        </w:rPr>
        <w:t xml:space="preserve"> </w:t>
      </w:r>
      <w:proofErr w:type="spellStart"/>
      <w:r>
        <w:rPr>
          <w:rtl/>
        </w:rPr>
        <w:t>ש“הרבות</w:t>
      </w:r>
      <w:proofErr w:type="spellEnd"/>
      <w:r>
        <w:rPr>
          <w:rtl/>
        </w:rPr>
        <w:t xml:space="preserve"> החקר בכבוד צדיקים כבוד החוקר”.</w:t>
      </w:r>
    </w:p>
    <w:p w14:paraId="54990604" w14:textId="77777777" w:rsidR="00AB3647" w:rsidRDefault="00000000" w:rsidP="007923E9">
      <w:pPr>
        <w:spacing w:after="100" w:line="276" w:lineRule="auto"/>
        <w:ind w:firstLine="340"/>
        <w:jc w:val="both"/>
      </w:pPr>
      <w:r>
        <w:rPr>
          <w:rtl/>
        </w:rPr>
        <w:t xml:space="preserve">אין בידינו, כמובן, להכריע אם לבכר את דעת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או את דעת </w:t>
      </w:r>
      <w:proofErr w:type="spellStart"/>
      <w:r>
        <w:rPr>
          <w:rtl/>
        </w:rPr>
        <w:t>החזון־איש</w:t>
      </w:r>
      <w:proofErr w:type="spellEnd"/>
      <w:r>
        <w:rPr>
          <w:rtl/>
        </w:rPr>
        <w:t xml:space="preserve">. מי יערוב, אם כן, לתועלת שבכתיבת ספרי תולדות, אף ספרים כמו </w:t>
      </w:r>
      <w:r>
        <w:t>Reb Yaakov</w:t>
      </w:r>
      <w:r>
        <w:rPr>
          <w:rtl/>
        </w:rPr>
        <w:t xml:space="preserve"> </w:t>
      </w:r>
      <w:proofErr w:type="spellStart"/>
      <w:r>
        <w:rPr>
          <w:rtl/>
        </w:rPr>
        <w:t>ו“רבי</w:t>
      </w:r>
      <w:proofErr w:type="spellEnd"/>
      <w:r>
        <w:rPr>
          <w:rtl/>
        </w:rPr>
        <w:t xml:space="preserve"> יעקב”? אלא שהספר שלפנינו אינו ספר תולדות במובן המדויק של המילה. יש בו הרבה יותר חומר נלווה מאשר תולדות אבי לבדן, ועיקרו סיפורים שונים ומיוחדים על גדולי תורה רבים.</w:t>
      </w:r>
    </w:p>
    <w:p w14:paraId="0D8899F4" w14:textId="77777777" w:rsidR="00AB3647" w:rsidRDefault="00000000" w:rsidP="007923E9">
      <w:pPr>
        <w:spacing w:after="100" w:line="276" w:lineRule="auto"/>
        <w:ind w:firstLine="340"/>
        <w:jc w:val="both"/>
      </w:pPr>
      <w:r>
        <w:rPr>
          <w:rtl/>
        </w:rPr>
        <w:t xml:space="preserve">אם נבחן את חלוקת הספר באחוזים, רק 7% ממנו הם “הטקסט”, ו־93% הם הערות ונספחים. חלק “הטקסט” משמש כן שיגור שממנו ממריאים אל מסלוליהם של גדולים אחרים, תקופות אחרות, עולמות אחרים, ומאורעות מיוחדים ובלתי קשורים זה לזה שבהם היו מעורבים אותם גדולים. חלק זה – אותו חלק אחד </w:t>
      </w:r>
      <w:proofErr w:type="spellStart"/>
      <w:r>
        <w:rPr>
          <w:rtl/>
        </w:rPr>
        <w:t>מארבעה־עשר</w:t>
      </w:r>
      <w:proofErr w:type="spellEnd"/>
      <w:r>
        <w:rPr>
          <w:rtl/>
        </w:rPr>
        <w:t xml:space="preserve"> – הוא תולדות אבי, בפירוט רב יותר </w:t>
      </w:r>
      <w:proofErr w:type="spellStart"/>
      <w:r>
        <w:rPr>
          <w:rtl/>
        </w:rPr>
        <w:t>מבחלקו</w:t>
      </w:r>
      <w:proofErr w:type="spellEnd"/>
      <w:r>
        <w:rPr>
          <w:rtl/>
        </w:rPr>
        <w:t xml:space="preserve"> הראשון של הספר </w:t>
      </w:r>
      <w:r>
        <w:t>Reb Yaakov</w:t>
      </w:r>
      <w:r>
        <w:rPr>
          <w:rtl/>
        </w:rPr>
        <w:t>.</w:t>
      </w:r>
    </w:p>
    <w:p w14:paraId="4C86EF98" w14:textId="77777777" w:rsidR="00AB3647" w:rsidRDefault="00000000" w:rsidP="007923E9">
      <w:pPr>
        <w:spacing w:after="100" w:line="276" w:lineRule="auto"/>
        <w:ind w:firstLine="340"/>
        <w:jc w:val="both"/>
      </w:pPr>
      <w:r>
        <w:rPr>
          <w:rtl/>
        </w:rPr>
        <w:t xml:space="preserve">ממילא אין ערכו של ספר זה מוטל בספק כלל, שכן גם אם ערכן של ביוגרפיות של גדולים שנוי במחלוקת – </w:t>
      </w:r>
      <w:proofErr w:type="spellStart"/>
      <w:r>
        <w:rPr>
          <w:rtl/>
        </w:rPr>
        <w:t>הנצי״ב</w:t>
      </w:r>
      <w:proofErr w:type="spellEnd"/>
      <w:r>
        <w:rPr>
          <w:rtl/>
        </w:rPr>
        <w:t xml:space="preserve"> סבר </w:t>
      </w:r>
      <w:proofErr w:type="spellStart"/>
      <w:r>
        <w:rPr>
          <w:rtl/>
        </w:rPr>
        <w:t>ש“ידיעת</w:t>
      </w:r>
      <w:proofErr w:type="spellEnd"/>
      <w:r>
        <w:rPr>
          <w:rtl/>
        </w:rPr>
        <w:t xml:space="preserve"> יום הולדתו או יום פטירתו, או קלסתר פניו של הגדול” אינה חשובה – סיפורים נבחרים עליהם זוכים לאישור ברור. השווה “שיעורי אדמו״ר רבי ברוך דוב </w:t>
      </w:r>
      <w:proofErr w:type="spellStart"/>
      <w:r>
        <w:rPr>
          <w:rtl/>
        </w:rPr>
        <w:t>ליבוביץ</w:t>
      </w:r>
      <w:proofErr w:type="spellEnd"/>
      <w:r>
        <w:rPr>
          <w:rtl/>
        </w:rPr>
        <w:t>”,</w:t>
      </w:r>
      <w:bookmarkStart w:id="96" w:name="_fnr94"/>
      <w:r>
        <w:rPr>
          <w:rStyle w:val="a5"/>
        </w:rPr>
        <w:footnoteReference w:id="94" w:customMarkFollows="0"/>
      </w:r>
      <w:bookmarkEnd w:id="96"/>
      <w:r>
        <w:rPr>
          <w:rtl/>
        </w:rPr>
        <w:t xml:space="preserve"> שם נאמר: “</w:t>
      </w:r>
      <w:proofErr w:type="spellStart"/>
      <w:r>
        <w:rPr>
          <w:rtl/>
        </w:rPr>
        <w:t>מרגלא</w:t>
      </w:r>
      <w:proofErr w:type="spellEnd"/>
      <w:r>
        <w:rPr>
          <w:rtl/>
        </w:rPr>
        <w:t xml:space="preserve"> </w:t>
      </w:r>
      <w:proofErr w:type="spellStart"/>
      <w:r>
        <w:rPr>
          <w:rtl/>
        </w:rPr>
        <w:t>בפומיה</w:t>
      </w:r>
      <w:proofErr w:type="spellEnd"/>
      <w:r>
        <w:rPr>
          <w:rtl/>
        </w:rPr>
        <w:t xml:space="preserve"> דר׳ </w:t>
      </w:r>
      <w:proofErr w:type="spellStart"/>
      <w:r>
        <w:rPr>
          <w:rtl/>
        </w:rPr>
        <w:t>ברוך־בער</w:t>
      </w:r>
      <w:proofErr w:type="spellEnd"/>
      <w:r>
        <w:rPr>
          <w:rtl/>
        </w:rPr>
        <w:t xml:space="preserve"> [</w:t>
      </w:r>
      <w:proofErr w:type="spellStart"/>
      <w:r>
        <w:rPr>
          <w:rtl/>
        </w:rPr>
        <w:t>ליבוביץ</w:t>
      </w:r>
      <w:proofErr w:type="spellEnd"/>
      <w:r>
        <w:rPr>
          <w:rtl/>
        </w:rPr>
        <w:t xml:space="preserve">] בשם רבו ר׳ חיים </w:t>
      </w:r>
      <w:proofErr w:type="spellStart"/>
      <w:r>
        <w:rPr>
          <w:rtl/>
        </w:rPr>
        <w:t>סולובייצ׳יק</w:t>
      </w:r>
      <w:proofErr w:type="spellEnd"/>
      <w:r>
        <w:rPr>
          <w:rtl/>
        </w:rPr>
        <w:t xml:space="preserve"> </w:t>
      </w:r>
      <w:proofErr w:type="spellStart"/>
      <w:r>
        <w:rPr>
          <w:rtl/>
        </w:rPr>
        <w:t>מבריסק</w:t>
      </w:r>
      <w:proofErr w:type="spellEnd"/>
      <w:r>
        <w:rPr>
          <w:rtl/>
        </w:rPr>
        <w:t>, שסיפורי גדולי ישראל הם בגדר לימוד המוסר, ומי שמקשיב לסיפוריהם בשימת לב יכול להתעלות ולגדול בכל דרך – ‘ממני תראו וכן תעשו’”.</w:t>
      </w:r>
      <w:bookmarkStart w:id="97" w:name="_fnr95"/>
      <w:r>
        <w:rPr>
          <w:rStyle w:val="a5"/>
        </w:rPr>
        <w:footnoteReference w:id="95" w:customMarkFollows="0"/>
      </w:r>
      <w:bookmarkEnd w:id="97"/>
    </w:p>
    <w:p w14:paraId="6FA27EC5" w14:textId="77777777" w:rsidR="00AB3647" w:rsidRDefault="00000000" w:rsidP="007923E9">
      <w:pPr>
        <w:spacing w:after="100" w:line="276" w:lineRule="auto"/>
        <w:ind w:firstLine="340"/>
        <w:jc w:val="both"/>
      </w:pPr>
      <w:r>
        <w:rPr>
          <w:rtl/>
        </w:rPr>
        <w:t>“ר׳ ברוך בער” מאת הרב יצחק אדלשטיין</w:t>
      </w:r>
      <w:bookmarkStart w:id="98" w:name="_fnr96"/>
      <w:r>
        <w:rPr>
          <w:rStyle w:val="a5"/>
        </w:rPr>
        <w:footnoteReference w:id="96" w:customMarkFollows="0"/>
      </w:r>
      <w:bookmarkEnd w:id="98"/>
      <w:r>
        <w:rPr>
          <w:rtl/>
        </w:rPr>
        <w:t xml:space="preserve"> מספר אף הוא: “בזמנים מסוימים, ובמיוחד בשבועות, היה [ר׳ </w:t>
      </w:r>
      <w:proofErr w:type="spellStart"/>
      <w:r>
        <w:rPr>
          <w:rtl/>
        </w:rPr>
        <w:t>ברוך־בער</w:t>
      </w:r>
      <w:proofErr w:type="spellEnd"/>
      <w:r>
        <w:rPr>
          <w:rtl/>
        </w:rPr>
        <w:t xml:space="preserve">] פותח בשיחה על שנותיו הראשונות </w:t>
      </w:r>
      <w:proofErr w:type="spellStart"/>
      <w:r>
        <w:rPr>
          <w:rtl/>
        </w:rPr>
        <w:t>בוולוז׳ין</w:t>
      </w:r>
      <w:proofErr w:type="spellEnd"/>
      <w:r>
        <w:rPr>
          <w:rtl/>
        </w:rPr>
        <w:t xml:space="preserve">, בסיפורים על רבותיו ועל זקני הדור הקודם </w:t>
      </w:r>
      <w:proofErr w:type="spellStart"/>
      <w:r>
        <w:rPr>
          <w:rtl/>
        </w:rPr>
        <w:t>וגאוניו</w:t>
      </w:r>
      <w:proofErr w:type="spellEnd"/>
      <w:r>
        <w:rPr>
          <w:rtl/>
        </w:rPr>
        <w:t xml:space="preserve">. הוא אמר שגם רבו [ר׳ חיים </w:t>
      </w:r>
      <w:proofErr w:type="spellStart"/>
      <w:r>
        <w:rPr>
          <w:rtl/>
        </w:rPr>
        <w:t>סולובייצ׳יק</w:t>
      </w:r>
      <w:proofErr w:type="spellEnd"/>
      <w:r>
        <w:rPr>
          <w:rtl/>
        </w:rPr>
        <w:t>] היה מקדיש שעות לכך [לעיסוק זה], ולא חשש שמא יגזול הדבר זמן מלימודו”.</w:t>
      </w:r>
    </w:p>
    <w:p w14:paraId="47E642A1" w14:textId="77777777" w:rsidR="00AB3647" w:rsidRDefault="00000000" w:rsidP="007923E9">
      <w:pPr>
        <w:spacing w:after="100" w:line="276" w:lineRule="auto"/>
        <w:ind w:firstLine="340"/>
        <w:jc w:val="both"/>
      </w:pPr>
      <w:r>
        <w:rPr>
          <w:rtl/>
        </w:rPr>
        <w:lastRenderedPageBreak/>
        <w:t xml:space="preserve">השווה גם “עובדות והנהגות לבית </w:t>
      </w:r>
      <w:proofErr w:type="spellStart"/>
      <w:r>
        <w:rPr>
          <w:rtl/>
        </w:rPr>
        <w:t>בריסק</w:t>
      </w:r>
      <w:proofErr w:type="spellEnd"/>
      <w:r>
        <w:rPr>
          <w:rtl/>
        </w:rPr>
        <w:t xml:space="preserve">” מאת שמעון יוסף מילר,</w:t>
      </w:r>
      <w:bookmarkStart w:id="99" w:name="_fnr97"/>
      <w:r>
        <w:rPr>
          <w:rStyle w:val="a5"/>
        </w:rPr>
        <w:footnoteReference w:id="97" w:customMarkFollows="0"/>
      </w:r>
      <w:bookmarkEnd w:id="99"/>
      <w:r>
        <w:rPr>
          <w:rtl/>
        </w:rPr>
        <w:t xml:space="preserve"> המביא את זיכרונו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שביקר בביתו של ר׳ </w:t>
      </w:r>
      <w:proofErr w:type="spellStart"/>
      <w:r>
        <w:rPr>
          <w:rtl/>
        </w:rPr>
        <w:t>ברוך־בער</w:t>
      </w:r>
      <w:proofErr w:type="spellEnd"/>
      <w:r>
        <w:rPr>
          <w:rtl/>
        </w:rPr>
        <w:t xml:space="preserve"> בווילנה בראש השנה האחרון של ר׳ </w:t>
      </w:r>
      <w:proofErr w:type="spellStart"/>
      <w:r>
        <w:rPr>
          <w:rtl/>
        </w:rPr>
        <w:t>ברוך־בער</w:t>
      </w:r>
      <w:proofErr w:type="spellEnd"/>
      <w:r>
        <w:rPr>
          <w:rtl/>
        </w:rPr>
        <w:t xml:space="preserve"> עלי אדמות. ר׳ </w:t>
      </w:r>
      <w:proofErr w:type="spellStart"/>
      <w:r>
        <w:rPr>
          <w:rtl/>
        </w:rPr>
        <w:t>משולם־דוד</w:t>
      </w:r>
      <w:proofErr w:type="spellEnd"/>
      <w:r>
        <w:rPr>
          <w:rtl/>
        </w:rPr>
        <w:t xml:space="preserve"> סיפר </w:t>
      </w:r>
      <w:proofErr w:type="spellStart"/>
      <w:r>
        <w:rPr>
          <w:rtl/>
        </w:rPr>
        <w:t>ש“ר</w:t>
      </w:r>
      <w:proofErr w:type="spellEnd"/>
      <w:r>
        <w:rPr>
          <w:rtl/>
        </w:rPr>
        <w:t xml:space="preserve">׳ </w:t>
      </w:r>
      <w:proofErr w:type="spellStart"/>
      <w:r>
        <w:rPr>
          <w:rtl/>
        </w:rPr>
        <w:t>ברוך־בער</w:t>
      </w:r>
      <w:proofErr w:type="spellEnd"/>
      <w:r>
        <w:rPr>
          <w:rtl/>
        </w:rPr>
        <w:t xml:space="preserve"> ישב וסיפר סיפורים רבים על גדולי ישראל, עד שהרבנית” – שבוודאי לא העריכה את התועלת הרבה שבהסחת דעת זו – “נכנסה וקראה לעברו: ‘היום ראש השנה!’”.</w:t>
      </w:r>
    </w:p>
    <w:p w14:paraId="6796E617" w14:textId="77777777" w:rsidR="00AB3647" w:rsidRDefault="00000000" w:rsidP="007923E9">
      <w:pPr>
        <w:spacing w:after="100" w:line="276" w:lineRule="auto"/>
        <w:ind w:firstLine="340"/>
        <w:jc w:val="both"/>
      </w:pPr>
      <w:r>
        <w:rPr>
          <w:rtl/>
        </w:rPr>
        <w:t>לפי “תורה יבקשו מפיהו”,</w:t>
      </w:r>
      <w:bookmarkStart w:id="100" w:name="_fnr98"/>
      <w:r>
        <w:rPr>
          <w:rStyle w:val="a5"/>
        </w:rPr>
        <w:footnoteReference w:id="98" w:customMarkFollows="0"/>
      </w:r>
      <w:bookmarkEnd w:id="100"/>
      <w:r>
        <w:rPr>
          <w:rtl/>
        </w:rPr>
        <w:t xml:space="preserve"> סיפר ר׳ ישראל(־זאב) </w:t>
      </w:r>
      <w:proofErr w:type="spellStart"/>
      <w:r>
        <w:rPr>
          <w:rtl/>
        </w:rPr>
        <w:t>גוסטמן</w:t>
      </w:r>
      <w:proofErr w:type="spellEnd"/>
      <w:r>
        <w:rPr>
          <w:rtl/>
        </w:rPr>
        <w:t xml:space="preserve"> שבווילנה היה זקן ששמע מפי סבו דברים שראה אצל הגאון מווילנה, ור׳ </w:t>
      </w:r>
      <w:proofErr w:type="spellStart"/>
      <w:r>
        <w:rPr>
          <w:rtl/>
        </w:rPr>
        <w:t>חיים־עוזר</w:t>
      </w:r>
      <w:proofErr w:type="spellEnd"/>
      <w:r>
        <w:rPr>
          <w:rtl/>
        </w:rPr>
        <w:t xml:space="preserve"> ביקש ממנו לספרם לו. ר׳ </w:t>
      </w:r>
      <w:proofErr w:type="spellStart"/>
      <w:r>
        <w:rPr>
          <w:rtl/>
        </w:rPr>
        <w:t>חיים־עוזר</w:t>
      </w:r>
      <w:proofErr w:type="spellEnd"/>
      <w:r>
        <w:rPr>
          <w:rtl/>
        </w:rPr>
        <w:t xml:space="preserve"> בכלל נהנה מאוד לשמוע סיפורים על גדולים. נראה אם כן שאף ששלל בעיקרו של דבר </w:t>
      </w:r>
      <w:r>
        <w:rPr>
          <w:b/>
          <w:bCs/>
          <w:rtl/>
        </w:rPr>
        <w:t>ספרי תולדות</w:t>
      </w:r>
      <w:r>
        <w:rPr>
          <w:rtl/>
        </w:rPr>
        <w:t xml:space="preserve"> של גדולי תורה, הוא מצא חשיבות ומשמעות ב</w:t>
      </w:r>
      <w:r>
        <w:rPr>
          <w:b/>
          <w:bCs/>
          <w:rtl/>
        </w:rPr>
        <w:t>סיפורים נבחרים</w:t>
      </w:r>
      <w:r>
        <w:rPr>
          <w:rtl/>
        </w:rPr>
        <w:t xml:space="preserve"> על מאורות הדורות.</w:t>
      </w:r>
    </w:p>
    <w:p w14:paraId="2305E4C3" w14:textId="77777777" w:rsidR="00AB3647" w:rsidRDefault="00000000" w:rsidP="007923E9">
      <w:pPr>
        <w:spacing w:after="100" w:line="276" w:lineRule="auto"/>
        <w:ind w:firstLine="340"/>
        <w:jc w:val="both"/>
      </w:pPr>
      <w:r>
        <w:rPr>
          <w:rtl/>
        </w:rPr>
        <w:t>לפי “</w:t>
      </w:r>
      <w:proofErr w:type="spellStart"/>
      <w:r>
        <w:rPr>
          <w:rtl/>
        </w:rPr>
        <w:t>ארחות</w:t>
      </w:r>
      <w:proofErr w:type="spellEnd"/>
      <w:r>
        <w:rPr>
          <w:rtl/>
        </w:rPr>
        <w:t xml:space="preserve"> חסידיך”,</w:t>
      </w:r>
      <w:bookmarkStart w:id="101" w:name="_fnr99"/>
      <w:r>
        <w:rPr>
          <w:rStyle w:val="a5"/>
        </w:rPr>
        <w:footnoteReference w:id="99" w:customMarkFollows="0"/>
      </w:r>
      <w:bookmarkEnd w:id="101"/>
      <w:r>
        <w:rPr>
          <w:rtl/>
        </w:rPr>
        <w:t xml:space="preserve"> שהה ר׳ </w:t>
      </w:r>
      <w:proofErr w:type="spellStart"/>
      <w:r>
        <w:rPr>
          <w:rtl/>
        </w:rPr>
        <w:t>חיים־עוזר</w:t>
      </w:r>
      <w:proofErr w:type="spellEnd"/>
      <w:r>
        <w:rPr>
          <w:rtl/>
        </w:rPr>
        <w:t xml:space="preserve"> באחת משנותיו האחרונות בימים הנוראים בישיבת </w:t>
      </w:r>
      <w:proofErr w:type="spellStart"/>
      <w:r>
        <w:rPr>
          <w:rtl/>
        </w:rPr>
        <w:t>מונטרה</w:t>
      </w:r>
      <w:proofErr w:type="spellEnd"/>
      <w:r>
        <w:rPr>
          <w:rtl/>
        </w:rPr>
        <w:t xml:space="preserve"> שבשווייץ. כשביקשו ממנו לומר לבחורי הישיבה “דברי חיזוק והתעוררות”, הסתפק בסיפורים על </w:t>
      </w:r>
      <w:proofErr w:type="spellStart"/>
      <w:r>
        <w:rPr>
          <w:rtl/>
        </w:rPr>
        <w:t>החפץ־חיים</w:t>
      </w:r>
      <w:proofErr w:type="spellEnd"/>
      <w:r>
        <w:rPr>
          <w:rtl/>
        </w:rPr>
        <w:t>. בעיניו הייתה בסיפורים כאלה לא רק תועלת, אלא גם כוח התעוררות רב ביותר.</w:t>
      </w:r>
    </w:p>
    <w:p w14:paraId="3425CF9A" w14:textId="77777777" w:rsidR="00AB3647" w:rsidRDefault="00000000" w:rsidP="007923E9">
      <w:pPr>
        <w:spacing w:after="100" w:line="276" w:lineRule="auto"/>
        <w:ind w:firstLine="340"/>
        <w:jc w:val="both"/>
      </w:pPr>
      <w:r>
        <w:rPr>
          <w:rtl/>
        </w:rPr>
        <w:t>“בדרך עץ החיים”</w:t>
      </w:r>
      <w:bookmarkStart w:id="102" w:name="_fnr100"/>
      <w:r>
        <w:rPr>
          <w:rStyle w:val="a5"/>
        </w:rPr>
        <w:footnoteReference w:id="100" w:customMarkFollows="0"/>
      </w:r>
      <w:bookmarkEnd w:id="102"/>
      <w:r>
        <w:rPr>
          <w:rtl/>
        </w:rPr>
        <w:t xml:space="preserve"> מספר גם כיצד ביטא ר׳ </w:t>
      </w:r>
      <w:proofErr w:type="spellStart"/>
      <w:r>
        <w:rPr>
          <w:rtl/>
        </w:rPr>
        <w:t>איסר־זלמן</w:t>
      </w:r>
      <w:proofErr w:type="spellEnd"/>
      <w:r>
        <w:rPr>
          <w:rtl/>
        </w:rPr>
        <w:t xml:space="preserve"> מלצר את הערכתו הרבה לסיפורים על חכמי התורה של הדורות הקודמים. פעם דיבר על ר׳ </w:t>
      </w:r>
      <w:proofErr w:type="spellStart"/>
      <w:r>
        <w:rPr>
          <w:rtl/>
        </w:rPr>
        <w:t>יצחק־אלחנן</w:t>
      </w:r>
      <w:proofErr w:type="spellEnd"/>
      <w:r>
        <w:rPr>
          <w:rtl/>
        </w:rPr>
        <w:t xml:space="preserve"> </w:t>
      </w:r>
      <w:proofErr w:type="spellStart"/>
      <w:r>
        <w:rPr>
          <w:rtl/>
        </w:rPr>
        <w:t>ספקטור</w:t>
      </w:r>
      <w:proofErr w:type="spellEnd"/>
      <w:r>
        <w:rPr>
          <w:rtl/>
        </w:rPr>
        <w:t xml:space="preserve"> לפני קבוצת מבקרים, והבחין בשני בני תורה שלוחשים זה לזה על עניינים אחרים. אמר להם: “יום יבוא ותוכלו ללמוד טוב ממני ולחדש בתורה יותר ממני, אבל סיפורים אלה – אם לא תשמעו אותם ממני, לא תשמעו אותם עוד לעולם”.</w:t>
      </w:r>
    </w:p>
    <w:p w14:paraId="299A1AB8" w14:textId="77777777" w:rsidR="00AB3647" w:rsidRDefault="00000000" w:rsidP="007923E9">
      <w:pPr>
        <w:spacing w:after="100" w:line="276" w:lineRule="auto"/>
        <w:ind w:firstLine="340"/>
        <w:jc w:val="both"/>
      </w:pPr>
      <w:r>
        <w:rPr>
          <w:rtl/>
        </w:rPr>
        <w:t>אבי השתמש באותו נימוק כשדיבר עם ר׳ יעקב הירשמן</w:t>
      </w:r>
      <w:bookmarkStart w:id="103" w:name="_fnr101"/>
      <w:r>
        <w:rPr>
          <w:rStyle w:val="a5"/>
        </w:rPr>
        <w:footnoteReference w:id="101" w:customMarkFollows="0"/>
      </w:r>
      <w:bookmarkEnd w:id="103"/>
      <w:r>
        <w:rPr>
          <w:rtl/>
        </w:rPr>
        <w:t xml:space="preserve"> ואמר שהוא רוצה לספר סיפורים מימים עברו, שכן “לאחר מאה ועשרים – מי יהיה כאן כדי לספר אותם?”. בשני המקרים לא ייחסו ר׳ </w:t>
      </w:r>
      <w:proofErr w:type="spellStart"/>
      <w:r>
        <w:rPr>
          <w:rtl/>
        </w:rPr>
        <w:t>איסר־זלמן</w:t>
      </w:r>
      <w:proofErr w:type="spellEnd"/>
      <w:r>
        <w:rPr>
          <w:rtl/>
        </w:rPr>
        <w:t xml:space="preserve"> ותלמידו, אבי, חשיבות מהותית למה שסיפרו; כל טענתם הייתה שבלי הקשבה תאבד הזדמנות לשמוע דבר יוצא דופן. מתוך ענוותנותם לא הצהירו בגלוי שבסיפור הסיפורים הם נוטלים על עצמם את תפקיד מסירת המסורת, כפי שנראה להלן.</w:t>
      </w:r>
    </w:p>
    <w:p w14:paraId="17FFBB2B" w14:textId="77777777" w:rsidR="00AB3647" w:rsidRDefault="00000000" w:rsidP="007923E9">
      <w:pPr>
        <w:spacing w:after="100" w:line="276" w:lineRule="auto"/>
        <w:ind w:firstLine="340"/>
        <w:jc w:val="both"/>
      </w:pPr>
      <w:r>
        <w:rPr>
          <w:rtl/>
        </w:rPr>
        <w:t xml:space="preserve">ר׳ </w:t>
      </w:r>
      <w:proofErr w:type="spellStart"/>
      <w:r>
        <w:rPr>
          <w:rtl/>
        </w:rPr>
        <w:t>ידעאל</w:t>
      </w:r>
      <w:proofErr w:type="spellEnd"/>
      <w:r>
        <w:rPr>
          <w:rtl/>
        </w:rPr>
        <w:t xml:space="preserve"> מלצר, מחבר “בדרך עץ החיים”, מסר</w:t>
      </w:r>
      <w:bookmarkStart w:id="104" w:name="_fnr102"/>
      <w:r>
        <w:rPr>
          <w:rStyle w:val="a5"/>
        </w:rPr>
        <w:footnoteReference w:id="102" w:customMarkFollows="0"/>
      </w:r>
      <w:bookmarkEnd w:id="104"/>
      <w:r>
        <w:rPr>
          <w:rtl/>
        </w:rPr>
        <w:t xml:space="preserve"> בשם ר׳ אברהם שפירא שבאחת השבתות אחר הצהריים ישב ר׳ משה סופר, בעל </w:t>
      </w:r>
      <w:proofErr w:type="spellStart"/>
      <w:r>
        <w:rPr>
          <w:rtl/>
        </w:rPr>
        <w:t>ה“חתם</w:t>
      </w:r>
      <w:proofErr w:type="spellEnd"/>
      <w:r>
        <w:rPr>
          <w:rtl/>
        </w:rPr>
        <w:t xml:space="preserve"> סופר”, וסיפר סיפורים על חכמי הדורות הקודמים. אחד השומעים העיר שזמן סעודה שלישית עומד לעבור, והחכם השיב: “צדקת. ניטול ידינו, נברך ‘המוציא’, ונמשיך לדבר על הגדולים”.</w:t>
      </w:r>
    </w:p>
    <w:p w14:paraId="48BC2E8C" w14:textId="77777777" w:rsidR="00AB3647" w:rsidRDefault="00000000" w:rsidP="007923E9">
      <w:pPr>
        <w:spacing w:after="100" w:line="276" w:lineRule="auto"/>
        <w:ind w:firstLine="340"/>
        <w:jc w:val="both"/>
      </w:pPr>
      <w:r>
        <w:rPr>
          <w:rtl/>
        </w:rPr>
        <w:t xml:space="preserve">גם ר׳ אלחנן וסרמן הבחין בין ספרי תולדות של גדולים לבין סיפורים נבחרים עליהם. בספר </w:t>
      </w:r>
      <w:r>
        <w:t xml:space="preserve">“ר׳ </w:t>
      </w:r>
      <w:proofErr w:type="spellStart"/>
      <w:r>
        <w:t>מנדל</w:t>
      </w:r>
      <w:proofErr w:type="spellEnd"/>
      <w:r>
        <w:t xml:space="preserve"> </w:t>
      </w:r>
      <w:proofErr w:type="spellStart"/>
      <w:r>
        <w:t>וחכמתו</w:t>
      </w:r>
      <w:proofErr w:type="spellEnd"/>
      <w:r>
        <w:t>”</w:t>
      </w:r>
      <w:r>
        <w:rPr>
          <w:rtl/>
        </w:rPr>
        <w:t xml:space="preserve"> מאת ישראל </w:t>
      </w:r>
      <w:proofErr w:type="spellStart"/>
      <w:r>
        <w:rPr>
          <w:rtl/>
        </w:rPr>
        <w:t>גרינוולד</w:t>
      </w:r>
      <w:bookmarkStart w:id="105" w:name="_fnr103"/>
      <w:proofErr w:type="spellEnd"/>
      <w:r>
        <w:rPr>
          <w:rStyle w:val="a5"/>
        </w:rPr>
        <w:footnoteReference w:id="103" w:customMarkFollows="0"/>
      </w:r>
      <w:bookmarkEnd w:id="105"/>
      <w:r>
        <w:rPr>
          <w:rtl/>
        </w:rPr>
        <w:t xml:space="preserve"> מסופר בשם ר׳ מנדל קפלן שר׳ אלחנן “רצה </w:t>
      </w:r>
      <w:r>
        <w:rPr>
          <w:rtl/>
        </w:rPr>
        <w:lastRenderedPageBreak/>
        <w:t xml:space="preserve">לכתוב את תולדות </w:t>
      </w:r>
      <w:proofErr w:type="spellStart"/>
      <w:r>
        <w:rPr>
          <w:rtl/>
        </w:rPr>
        <w:t>החפץ־חיים</w:t>
      </w:r>
      <w:proofErr w:type="spellEnd"/>
      <w:r>
        <w:rPr>
          <w:rtl/>
        </w:rPr>
        <w:t>, אך לבסוף הגיע למסקנה שאינו יכול לכתוב על רבו, משום שאין לו השגה באדם במדרגה כה גבוהה”. אבל סיפורים על רבו הוא סיפר.</w:t>
      </w:r>
    </w:p>
    <w:p w14:paraId="76528719" w14:textId="77777777" w:rsidR="00AB3647" w:rsidRDefault="00000000" w:rsidP="007923E9">
      <w:pPr>
        <w:spacing w:after="100" w:line="276" w:lineRule="auto"/>
        <w:ind w:firstLine="340"/>
        <w:jc w:val="both"/>
      </w:pPr>
      <w:r>
        <w:rPr>
          <w:rtl/>
        </w:rPr>
        <w:t>בספרו על מסכת בבא קמא</w:t>
      </w:r>
      <w:bookmarkStart w:id="106" w:name="_fnr104"/>
      <w:r>
        <w:rPr>
          <w:rStyle w:val="a5"/>
        </w:rPr>
        <w:footnoteReference w:id="104" w:customMarkFollows="0"/>
      </w:r>
      <w:bookmarkEnd w:id="106"/>
      <w:r>
        <w:rPr>
          <w:rtl/>
        </w:rPr>
        <w:t xml:space="preserve"> מבאר </w:t>
      </w:r>
      <w:proofErr w:type="spellStart"/>
      <w:r>
        <w:rPr>
          <w:rtl/>
        </w:rPr>
        <w:t>החזון־איש</w:t>
      </w:r>
      <w:proofErr w:type="spellEnd"/>
      <w:r>
        <w:rPr>
          <w:rtl/>
        </w:rPr>
        <w:t xml:space="preserve"> למה התכוונו הראשונים כשהעלו את מעלתו של רבנו חננאל על פני שאר בני דורו, וקובע קביעה כוללת: “מי שהוא עשיר בידיעת עובדות על הגדולים הראשונים – כפי שהיה רבנו חננאל – יש בו קדושה יתירה וחכמה יתירה”.</w:t>
      </w:r>
    </w:p>
    <w:p w14:paraId="5715CCE8" w14:textId="77777777" w:rsidR="00AB3647" w:rsidRDefault="00000000" w:rsidP="007923E9">
      <w:pPr>
        <w:spacing w:after="100" w:line="276" w:lineRule="auto"/>
        <w:ind w:firstLine="340"/>
        <w:jc w:val="both"/>
      </w:pPr>
      <w:r>
        <w:rPr>
          <w:rtl/>
        </w:rPr>
        <w:t xml:space="preserve">גם אבי ראה בסיפורים על אישי התורה של הדורות הקודמים דבר חיוני. בביקור בביתו של ר׳ יוסף </w:t>
      </w:r>
      <w:proofErr w:type="spellStart"/>
      <w:r>
        <w:rPr>
          <w:rtl/>
        </w:rPr>
        <w:t>היינמן</w:t>
      </w:r>
      <w:proofErr w:type="spellEnd"/>
      <w:r>
        <w:rPr>
          <w:rtl/>
        </w:rPr>
        <w:t xml:space="preserve"> </w:t>
      </w:r>
      <w:proofErr w:type="spellStart"/>
      <w:r>
        <w:rPr>
          <w:rtl/>
        </w:rPr>
        <w:t>במונסי</w:t>
      </w:r>
      <w:bookmarkStart w:id="107" w:name="_fnr105"/>
      <w:proofErr w:type="spellEnd"/>
      <w:r>
        <w:rPr>
          <w:rStyle w:val="a5"/>
        </w:rPr>
        <w:footnoteReference w:id="105" w:customMarkFollows="0"/>
      </w:r>
      <w:bookmarkEnd w:id="107"/>
      <w:r>
        <w:rPr>
          <w:rtl/>
        </w:rPr>
        <w:t xml:space="preserve"> הראה לי המארח את “ספר חסידים” שלו, ובשוליו הערות שרשם משיעוריו של אבי על ספר זה. אחת ההערות ביטאה את חשדנותו של רבו כלפי ההיסטוריונים, וקבעה </w:t>
      </w:r>
      <w:proofErr w:type="spellStart"/>
      <w:r>
        <w:rPr>
          <w:rtl/>
        </w:rPr>
        <w:t>ש“עלינו</w:t>
      </w:r>
      <w:proofErr w:type="spellEnd"/>
      <w:r>
        <w:rPr>
          <w:rtl/>
        </w:rPr>
        <w:t xml:space="preserve"> להסתדר בלי היסטוריה”. “אולי על [ר׳ </w:t>
      </w:r>
      <w:proofErr w:type="spellStart"/>
      <w:r>
        <w:rPr>
          <w:rtl/>
        </w:rPr>
        <w:t>יצחק־אייזיק</w:t>
      </w:r>
      <w:proofErr w:type="spellEnd"/>
      <w:r>
        <w:rPr>
          <w:rtl/>
        </w:rPr>
        <w:t>] הלוי, שהיו לו הסכמות [מגדולי תורה], אפשר לסמוך”, אמר אז.</w:t>
      </w:r>
      <w:bookmarkStart w:id="108" w:name="_fnr106"/>
      <w:r>
        <w:rPr>
          <w:rStyle w:val="a5"/>
        </w:rPr>
        <w:footnoteReference w:id="106" w:customMarkFollows="0"/>
      </w:r>
      <w:bookmarkEnd w:id="108"/>
      <w:r>
        <w:rPr>
          <w:rtl/>
        </w:rPr>
        <w:t xml:space="preserve"> את הטענה שאפשר להסתדר בלי היסטוריה ביסס אבי על שאלת הגמרא</w:t>
      </w:r>
      <w:bookmarkStart w:id="109" w:name="_fnr107"/>
      <w:r>
        <w:rPr>
          <w:rStyle w:val="a5"/>
        </w:rPr>
        <w:footnoteReference w:id="107" w:customMarkFollows="0"/>
      </w:r>
      <w:bookmarkEnd w:id="109"/>
      <w:r>
        <w:rPr>
          <w:rtl/>
        </w:rPr>
        <w:t xml:space="preserve"> כיצד היה אהרן הכהן הגדול לבוש, ועל תשובתה – מאי דהוה </w:t>
      </w:r>
      <w:proofErr w:type="spellStart"/>
      <w:r>
        <w:rPr>
          <w:rtl/>
        </w:rPr>
        <w:t>הוה</w:t>
      </w:r>
      <w:proofErr w:type="spellEnd"/>
      <w:r>
        <w:rPr>
          <w:rtl/>
        </w:rPr>
        <w:t>! “אבל”, הוסיף רבנו, “חשוב מאוד לדעת את הנהגתם של הגדולים”.</w:t>
      </w:r>
    </w:p>
    <w:p w14:paraId="7A62BFD0" w14:textId="77777777" w:rsidR="00AB3647" w:rsidRDefault="00000000" w:rsidP="007923E9">
      <w:pPr>
        <w:spacing w:after="100" w:line="276" w:lineRule="auto"/>
        <w:ind w:firstLine="340"/>
        <w:jc w:val="both"/>
      </w:pPr>
      <w:r>
        <w:rPr>
          <w:rtl/>
        </w:rPr>
        <w:t xml:space="preserve">יש לשער שאבי למד להעריך סיפורים על גדולי הדורות הקודמים כשהגיע לראשונה </w:t>
      </w:r>
      <w:proofErr w:type="spellStart"/>
      <w:r>
        <w:rPr>
          <w:rtl/>
        </w:rPr>
        <w:t>לסלבודקה</w:t>
      </w:r>
      <w:proofErr w:type="spellEnd"/>
      <w:r>
        <w:rPr>
          <w:rtl/>
        </w:rPr>
        <w:t xml:space="preserve"> בשנת תרס״ו, ושמע סיפורים כאלה מפי ר׳ נפתלי אמסטרדם, תלמידו של ר׳ ישראל </w:t>
      </w:r>
      <w:proofErr w:type="spellStart"/>
      <w:r>
        <w:rPr>
          <w:rtl/>
        </w:rPr>
        <w:t>סלנטר</w:t>
      </w:r>
      <w:proofErr w:type="spellEnd"/>
      <w:r>
        <w:rPr>
          <w:rtl/>
        </w:rPr>
        <w:t xml:space="preserve"> (ראה הפסקה הרביעית בפרק 4.2, ואת ההערות והנספחים הקשורים בה בעמ׳ </w:t>
      </w:r>
      <w:r>
        <w:rPr>
          <w:rtl/>
        </w:rPr>
        <w:fldChar w:fldCharType="begin" w:dirty="true"/>
      </w:r>
      <w:r>
        <w:rPr>
          <w:rtl/>
        </w:rPr>
        <w:instrText xml:space="preserve"> PAGEREF pr_b_1769 \h </w:instrText>
      </w:r>
      <w:r>
        <w:rPr>
          <w:rtl/>
        </w:rPr>
      </w:r>
      <w:r>
        <w:rPr>
          <w:rtl/>
        </w:rPr>
        <w:fldChar w:fldCharType="separate"/>
      </w:r>
      <w:r w:rsidR="007923E9">
        <w:rPr>
          <w:noProof/>
          <w:rtl/>
        </w:rPr>
        <w:t>1</w:t>
      </w:r>
      <w:r>
        <w:rPr>
          <w:rtl/>
        </w:rPr>
        <w:fldChar w:fldCharType="end"/>
      </w:r>
      <w:r>
        <w:rPr>
          <w:rtl/>
        </w:rPr>
        <w:t xml:space="preserve"> ו־</w:t>
      </w:r>
      <w:r>
        <w:rPr>
          <w:rtl/>
        </w:rPr>
        <w:fldChar w:fldCharType="begin" w:dirty="true"/>
      </w:r>
      <w:r>
        <w:rPr>
          <w:rtl/>
        </w:rPr>
        <w:instrText xml:space="preserve"> PAGEREF pr_b_1900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pr_b_1916 \h </w:instrText>
      </w:r>
      <w:r>
        <w:rPr>
          <w:rtl/>
        </w:rPr>
      </w:r>
      <w:r>
        <w:rPr>
          <w:rtl/>
        </w:rPr>
        <w:fldChar w:fldCharType="separate"/>
      </w:r>
      <w:r w:rsidR="007923E9">
        <w:rPr>
          <w:noProof/>
          <w:rtl/>
        </w:rPr>
        <w:t>1</w:t>
      </w:r>
      <w:r>
        <w:rPr>
          <w:rtl/>
        </w:rPr>
        <w:fldChar w:fldCharType="end"/>
      </w:r>
      <w:r>
        <w:rPr>
          <w:rtl/>
        </w:rPr>
        <w:t xml:space="preserve">). לפי ר׳ </w:t>
      </w:r>
      <w:proofErr w:type="spellStart"/>
      <w:r>
        <w:rPr>
          <w:rtl/>
        </w:rPr>
        <w:t>אברהם־חיים</w:t>
      </w:r>
      <w:proofErr w:type="spellEnd"/>
      <w:r>
        <w:rPr>
          <w:rtl/>
        </w:rPr>
        <w:t xml:space="preserve"> </w:t>
      </w:r>
      <w:proofErr w:type="spellStart"/>
      <w:r>
        <w:rPr>
          <w:rtl/>
        </w:rPr>
        <w:t>פויער</w:t>
      </w:r>
      <w:proofErr w:type="spellEnd"/>
      <w:r>
        <w:rPr>
          <w:rtl/>
        </w:rPr>
        <w:t>,</w:t>
      </w:r>
      <w:bookmarkStart w:id="110" w:name="_fnr108"/>
      <w:r>
        <w:rPr>
          <w:rStyle w:val="a5"/>
        </w:rPr>
        <w:footnoteReference w:id="108" w:customMarkFollows="0"/>
      </w:r>
      <w:bookmarkEnd w:id="110"/>
      <w:r>
        <w:rPr>
          <w:rtl/>
        </w:rPr>
        <w:t xml:space="preserve"> ייחס אבי את אריכות ימיו לשליחות משמים להעביר הלאה סיפורים אלה, והכריז בפומבי: “ריבונו של עולם נתן לי אריכות ימים כדי שאספר לדור הזה איך היו הדורות הקודמים – כדי לגשר על הפער”.</w:t>
      </w:r>
      <w:bookmarkStart w:id="111" w:name="_fnr109"/>
      <w:r>
        <w:rPr>
          <w:rStyle w:val="a5"/>
        </w:rPr>
        <w:footnoteReference w:id="109" w:customMarkFollows="0"/>
      </w:r>
      <w:bookmarkEnd w:id="111"/>
    </w:p>
    <w:p w14:paraId="39657F1B" w14:textId="77777777" w:rsidR="00AB3647" w:rsidRDefault="00000000" w:rsidP="007923E9">
      <w:pPr>
        <w:spacing w:after="100" w:line="276" w:lineRule="auto"/>
        <w:ind w:firstLine="340"/>
        <w:jc w:val="both"/>
      </w:pPr>
      <w:r>
        <w:rPr>
          <w:rtl/>
        </w:rPr>
        <w:t xml:space="preserve">מעניינת עוד יותר ההסכמה שבין אבי לבין ראש ישיבת </w:t>
      </w:r>
      <w:proofErr w:type="spellStart"/>
      <w:r>
        <w:rPr>
          <w:rtl/>
        </w:rPr>
        <w:t>פוניבז</w:t>
      </w:r>
      <w:proofErr w:type="spellEnd"/>
      <w:r>
        <w:rPr>
          <w:rtl/>
        </w:rPr>
        <w:t xml:space="preserve">׳, ר׳ </w:t>
      </w:r>
      <w:proofErr w:type="spellStart"/>
      <w:r>
        <w:rPr>
          <w:rtl/>
        </w:rPr>
        <w:t>אלעזר־מנחם־מן</w:t>
      </w:r>
      <w:proofErr w:type="spellEnd"/>
      <w:r>
        <w:rPr>
          <w:rtl/>
        </w:rPr>
        <w:t xml:space="preserve"> שך, על אופיים הנעלה של הסיפורים על גדולי הדורות הקודמים. ראה בהקדמה </w:t>
      </w:r>
      <w:proofErr w:type="spellStart"/>
      <w:r>
        <w:rPr>
          <w:rtl/>
        </w:rPr>
        <w:t>ל“שמושה</w:t>
      </w:r>
      <w:proofErr w:type="spellEnd"/>
      <w:r>
        <w:rPr>
          <w:rtl/>
        </w:rPr>
        <w:t xml:space="preserve"> של תורה”</w:t>
      </w:r>
      <w:bookmarkStart w:id="112" w:name="_fnr110"/>
      <w:r>
        <w:rPr>
          <w:rStyle w:val="a5"/>
        </w:rPr>
        <w:footnoteReference w:id="110" w:customMarkFollows="0"/>
      </w:r>
      <w:bookmarkEnd w:id="112"/>
      <w:r>
        <w:rPr>
          <w:rtl/>
        </w:rPr>
        <w:t xml:space="preserve">, שם נאמר שר׳ </w:t>
      </w:r>
      <w:proofErr w:type="spellStart"/>
      <w:r>
        <w:rPr>
          <w:rtl/>
        </w:rPr>
        <w:t>אלעזר־מנחם־מן</w:t>
      </w:r>
      <w:proofErr w:type="spellEnd"/>
      <w:r>
        <w:rPr>
          <w:rtl/>
        </w:rPr>
        <w:t xml:space="preserve"> שך “ראה במאורעות ובמעשים של גדולי הדורות תורה שלמה, </w:t>
      </w:r>
      <w:r>
        <w:rPr>
          <w:b/>
          <w:bCs/>
          <w:rtl/>
        </w:rPr>
        <w:t>חלק ממסורת התורה</w:t>
      </w:r>
      <w:r>
        <w:rPr>
          <w:rtl/>
        </w:rPr>
        <w:t>” (ההדגשה שלי). גם אבי העלה את מעמד סיפוריהם לדרגת תורה.</w:t>
      </w:r>
    </w:p>
    <w:p w14:paraId="05CA020F" w14:textId="77777777" w:rsidR="00AB3647" w:rsidRDefault="00000000" w:rsidP="007923E9">
      <w:pPr>
        <w:spacing w:after="100" w:line="276" w:lineRule="auto"/>
        <w:ind w:firstLine="340"/>
        <w:jc w:val="both"/>
      </w:pPr>
      <w:r>
        <w:rPr>
          <w:rtl/>
        </w:rPr>
        <w:t xml:space="preserve">כשביקר ר׳ מיכל זילבר אצל אבי </w:t>
      </w:r>
      <w:proofErr w:type="spellStart"/>
      <w:r>
        <w:rPr>
          <w:rtl/>
        </w:rPr>
        <w:t>במונסי</w:t>
      </w:r>
      <w:proofErr w:type="spellEnd"/>
      <w:r>
        <w:rPr>
          <w:rtl/>
        </w:rPr>
        <w:t xml:space="preserve"> בשנת תשמ״ד, יחד איתי, אמר אבי דבר חידוש על תדירות שיעוריו של ר׳ </w:t>
      </w:r>
      <w:proofErr w:type="spellStart"/>
      <w:r>
        <w:rPr>
          <w:rtl/>
        </w:rPr>
        <w:t>משה־מרדכי</w:t>
      </w:r>
      <w:proofErr w:type="spellEnd"/>
      <w:r>
        <w:rPr>
          <w:rtl/>
        </w:rPr>
        <w:t xml:space="preserve"> אפשטיין. ר׳ מיכל העיר שאולי כדאי לרשום את זיכרונותיו של בן שיחו </w:t>
      </w:r>
      <w:proofErr w:type="spellStart"/>
      <w:r>
        <w:rPr>
          <w:rtl/>
        </w:rPr>
        <w:t>מסלבודקה</w:t>
      </w:r>
      <w:proofErr w:type="spellEnd"/>
      <w:r>
        <w:rPr>
          <w:rtl/>
        </w:rPr>
        <w:t xml:space="preserve">, ורבנו השיב: “הלואי </w:t>
      </w:r>
      <w:proofErr w:type="spellStart"/>
      <w:r>
        <w:rPr>
          <w:rtl/>
        </w:rPr>
        <w:t>וואלט</w:t>
      </w:r>
      <w:proofErr w:type="spellEnd"/>
      <w:r>
        <w:rPr>
          <w:rtl/>
        </w:rPr>
        <w:t xml:space="preserve"> מען </w:t>
      </w:r>
      <w:proofErr w:type="spellStart"/>
      <w:r>
        <w:rPr>
          <w:rtl/>
        </w:rPr>
        <w:t>דאס</w:t>
      </w:r>
      <w:proofErr w:type="spellEnd"/>
      <w:r>
        <w:rPr>
          <w:rtl/>
        </w:rPr>
        <w:t xml:space="preserve"> </w:t>
      </w:r>
      <w:proofErr w:type="spellStart"/>
      <w:r>
        <w:rPr>
          <w:rtl/>
        </w:rPr>
        <w:t>געטאהן</w:t>
      </w:r>
      <w:proofErr w:type="spellEnd"/>
      <w:r>
        <w:rPr>
          <w:rtl/>
        </w:rPr>
        <w:t xml:space="preserve">; </w:t>
      </w:r>
      <w:proofErr w:type="spellStart"/>
      <w:r>
        <w:rPr>
          <w:rtl/>
        </w:rPr>
        <w:t>סלבודקה</w:t>
      </w:r>
      <w:proofErr w:type="spellEnd"/>
      <w:r>
        <w:rPr>
          <w:rtl/>
        </w:rPr>
        <w:t xml:space="preserve"> </w:t>
      </w:r>
      <w:proofErr w:type="spellStart"/>
      <w:r>
        <w:rPr>
          <w:rtl/>
        </w:rPr>
        <w:t>איז</w:t>
      </w:r>
      <w:proofErr w:type="spellEnd"/>
      <w:r>
        <w:rPr>
          <w:rtl/>
        </w:rPr>
        <w:t xml:space="preserve"> א </w:t>
      </w:r>
      <w:proofErr w:type="spellStart"/>
      <w:r>
        <w:rPr>
          <w:b/>
          <w:bCs/>
          <w:rtl/>
        </w:rPr>
        <w:t>מסכתא</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דא </w:t>
      </w:r>
      <w:proofErr w:type="spellStart"/>
      <w:r>
        <w:rPr>
          <w:rtl/>
        </w:rPr>
        <w:t>וואס</w:t>
      </w:r>
      <w:proofErr w:type="spellEnd"/>
      <w:r>
        <w:rPr>
          <w:rtl/>
        </w:rPr>
        <w:t xml:space="preserve"> צו </w:t>
      </w:r>
      <w:proofErr w:type="spellStart"/>
      <w:r>
        <w:rPr>
          <w:rtl/>
        </w:rPr>
        <w:t>לערנען</w:t>
      </w:r>
      <w:proofErr w:type="spellEnd"/>
      <w:r>
        <w:rPr>
          <w:rtl/>
        </w:rPr>
        <w:t xml:space="preserve">” [הלוואי שיעשו זאת! </w:t>
      </w:r>
      <w:proofErr w:type="spellStart"/>
      <w:r>
        <w:rPr>
          <w:rtl/>
        </w:rPr>
        <w:t>סלבודקה</w:t>
      </w:r>
      <w:proofErr w:type="spellEnd"/>
      <w:r>
        <w:rPr>
          <w:rtl/>
        </w:rPr>
        <w:t xml:space="preserve"> היא </w:t>
      </w:r>
      <w:r>
        <w:rPr>
          <w:b/>
          <w:bCs/>
          <w:rtl/>
        </w:rPr>
        <w:t>מסכת</w:t>
      </w:r>
      <w:r>
        <w:rPr>
          <w:rtl/>
        </w:rPr>
        <w:t xml:space="preserve"> שיש בה מה ללמוד] (ההדגשה שלי).</w:t>
      </w:r>
    </w:p>
    <w:p w14:paraId="31BDA55C" w14:textId="77777777" w:rsidR="00AB3647" w:rsidRDefault="00000000" w:rsidP="007923E9">
      <w:pPr>
        <w:spacing w:after="100" w:line="276" w:lineRule="auto"/>
        <w:ind w:firstLine="340"/>
        <w:jc w:val="both"/>
      </w:pPr>
      <w:r>
        <w:rPr>
          <w:rtl/>
        </w:rPr>
        <w:lastRenderedPageBreak/>
        <w:t xml:space="preserve">הערכה כה נועזת של סיפורי גדולים מקורה בוודאי ברבותיהם. גם אבי וגם ר׳ </w:t>
      </w:r>
      <w:proofErr w:type="spellStart"/>
      <w:r>
        <w:rPr>
          <w:rtl/>
        </w:rPr>
        <w:t>אלעזר־מנחם־מן</w:t>
      </w:r>
      <w:proofErr w:type="spellEnd"/>
      <w:r>
        <w:rPr>
          <w:rtl/>
        </w:rPr>
        <w:t xml:space="preserve"> שך למדו אצל ר׳ </w:t>
      </w:r>
      <w:proofErr w:type="spellStart"/>
      <w:r>
        <w:rPr>
          <w:rtl/>
        </w:rPr>
        <w:t>נתן־צבי</w:t>
      </w:r>
      <w:proofErr w:type="spellEnd"/>
      <w:r>
        <w:rPr>
          <w:rtl/>
        </w:rPr>
        <w:t xml:space="preserve"> </w:t>
      </w:r>
      <w:proofErr w:type="spellStart"/>
      <w:r>
        <w:rPr>
          <w:rtl/>
        </w:rPr>
        <w:t>פינקל</w:t>
      </w:r>
      <w:proofErr w:type="spellEnd"/>
      <w:r>
        <w:rPr>
          <w:rtl/>
        </w:rPr>
        <w:t xml:space="preserve">. אבל ר׳ </w:t>
      </w:r>
      <w:proofErr w:type="spellStart"/>
      <w:r>
        <w:rPr>
          <w:rtl/>
        </w:rPr>
        <w:t>אלעזר־מנחם־מן</w:t>
      </w:r>
      <w:proofErr w:type="spellEnd"/>
      <w:r>
        <w:rPr>
          <w:rtl/>
        </w:rPr>
        <w:t xml:space="preserve"> שך היה רק בן </w:t>
      </w:r>
      <w:proofErr w:type="spellStart"/>
      <w:r>
        <w:rPr>
          <w:rtl/>
        </w:rPr>
        <w:t>שש־עשרה</w:t>
      </w:r>
      <w:proofErr w:type="spellEnd"/>
      <w:r>
        <w:rPr>
          <w:rtl/>
        </w:rPr>
        <w:t xml:space="preserve"> כשעזב את </w:t>
      </w:r>
      <w:proofErr w:type="spellStart"/>
      <w:r>
        <w:rPr>
          <w:rtl/>
        </w:rPr>
        <w:t>סלבודקה</w:t>
      </w:r>
      <w:proofErr w:type="spellEnd"/>
      <w:r>
        <w:rPr>
          <w:rtl/>
        </w:rPr>
        <w:t xml:space="preserve"> בפרוץ מלחמת העולם הראשונה, ולכן ספק אם למד לקח זה מהסבא </w:t>
      </w:r>
      <w:proofErr w:type="spellStart"/>
      <w:r>
        <w:rPr>
          <w:rtl/>
        </w:rPr>
        <w:t>מסלבודקה</w:t>
      </w:r>
      <w:proofErr w:type="spellEnd"/>
      <w:r>
        <w:rPr>
          <w:rtl/>
        </w:rPr>
        <w:t xml:space="preserve">. שניהם למדו אצל ר׳ </w:t>
      </w:r>
      <w:proofErr w:type="spellStart"/>
      <w:r>
        <w:rPr>
          <w:rtl/>
        </w:rPr>
        <w:t>איסר־זלמן</w:t>
      </w:r>
      <w:proofErr w:type="spellEnd"/>
      <w:r>
        <w:rPr>
          <w:rtl/>
        </w:rPr>
        <w:t xml:space="preserve">, אם כי בזמנים שונים. לכן מסתבר שר׳ </w:t>
      </w:r>
      <w:proofErr w:type="spellStart"/>
      <w:r>
        <w:rPr>
          <w:rtl/>
        </w:rPr>
        <w:t>איסר־זלמן</w:t>
      </w:r>
      <w:proofErr w:type="spellEnd"/>
      <w:r>
        <w:rPr>
          <w:rtl/>
        </w:rPr>
        <w:t xml:space="preserve"> – שהקפיד ששומעיו לא יחמיצו מילה מן הסיפורים שסיפר, כמסופר לעיל – הוא שהנחיל להם את העיקרון שסיפורי גדולי הדורות הקודמים הם “</w:t>
      </w:r>
      <w:proofErr w:type="spellStart"/>
      <w:r>
        <w:rPr>
          <w:rtl/>
        </w:rPr>
        <w:t>מסכתא</w:t>
      </w:r>
      <w:proofErr w:type="spellEnd"/>
      <w:r>
        <w:rPr>
          <w:rtl/>
        </w:rPr>
        <w:t xml:space="preserve"> – חלק ממסורת התורה”. זוהי תמצית הספר שלפנינו.</w:t>
      </w:r>
    </w:p>
    <w:p w14:paraId="537D7ED5" w14:textId="77777777" w:rsidR="00AB3647" w:rsidRDefault="00AB3647" w:rsidP="007923E9">
      <w:pPr>
        <w:spacing w:line="276" w:lineRule="auto"/>
        <w:sectPr w:rsidR="00AB3647">
          <w:footerReference w:type="default" r:id="rId9"/>
          <w:footnotePr>
            <w:pos w:val="pageBottom"/>
            <w:numRestart w:val="eachSect"/>
          </w:footnotePr>
          <w:pgSz w:w="9638" w:h="13606"/>
          <w:pgMar w:top="1134" w:right="1077" w:bottom="1134" w:left="1077" w:header="567" w:footer="567" w:gutter="0"/>
          <w:cols w:space="720"/>
          <w:bidi/>
          <w:docGrid w:linePitch="360"/>
        </w:sectPr>
      </w:pPr>
    </w:p>
    <w:p w14:paraId="10778501" w14:textId="77777777" w:rsidR="00AB3647" w:rsidRDefault="00000000" w:rsidP="007923E9">
      <w:pPr>
        <w:pStyle w:val="1"/>
        <w:spacing w:line="276" w:lineRule="auto"/>
      </w:pPr>
      <w:bookmarkStart w:id="113" w:name="b0_prologue"/>
      <w:r>
        <w:rPr>
          <w:b w:val="0"/>
        </w:rPr>
        <w:lastRenderedPageBreak/>
        <w:t>פתיחה</w:t>
      </w:r>
      <w:bookmarkEnd w:id="113"/>
    </w:p>
    <w:p w14:paraId="54361FC0" w14:textId="734CA300" w:rsidR="00AB3647" w:rsidRDefault="00000000" w:rsidP="007923E9">
      <w:pPr>
        <w:spacing w:after="100" w:line="276" w:lineRule="auto"/>
        <w:ind w:firstLine="340"/>
        <w:jc w:val="both"/>
      </w:pPr>
      <w:r>
        <w:rPr>
          <w:rtl/>
        </w:rPr>
        <w:t>העולם השתנה פעמיים</w:t>
      </w:r>
      <w:r>
        <w:rPr>
          <w:vertAlign w:val="superscript"/>
          <w:rtl/>
        </w:rPr>
        <w:fldChar w:fldCharType="begin" w:dirty="true"/>
      </w:r>
      <w:r>
        <w:rPr>
          <w:vertAlign w:val="superscript"/>
          <w:rtl/>
        </w:rPr>
        <w:instrText xml:space="preserve"> REF b0_note_1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מאז, והמקום עבר מיד ליד – מרוסיה לפולין ושוב לרוסיה</w:t>
      </w:r>
      <w:r>
        <w:rPr>
          <w:vertAlign w:val="superscript"/>
          <w:rtl/>
        </w:rPr>
        <w:fldChar w:fldCharType="begin" w:dirty="true"/>
      </w:r>
      <w:r>
        <w:rPr>
          <w:vertAlign w:val="superscript"/>
          <w:rtl/>
        </w:rPr>
        <w:instrText xml:space="preserve"> REF b0_note_2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 ובינתיים נכבש בידי הגרמנים במלחמת העולם הראשונה, ושוב במלחמת העולם השנייה. המקום היה אחוזה הגובלת ביער ובנהר, ובה, כנהוג, אסמים, בהמות משק ושדות מכוסי שלג. על הנהר, שהיה אז גוש של קרח, עמדה טחנה גדולה, ואליה היו האיכרים השכנים מביאים את חיטתם לטחינה בבוא האביב המאוחר.</w:t>
      </w:r>
    </w:p>
    <w:p w14:paraId="3B6CDEEB" w14:textId="112067F4" w:rsidR="00AB3647" w:rsidRDefault="00000000" w:rsidP="007923E9">
      <w:pPr>
        <w:spacing w:after="100" w:line="276" w:lineRule="auto"/>
        <w:ind w:firstLine="340"/>
        <w:jc w:val="both"/>
      </w:pPr>
      <w:r>
        <w:rPr>
          <w:rtl/>
        </w:rPr>
        <w:t xml:space="preserve">בעל האחוזה היה יהודי קשיש שומר מצוות, מומחה לייעור, ששלח את העצים שכרת במורד הנהר אל הים הבלטי, מרחק ארבע מאות קילומטרים. כמה מילדיו הנשואים סייעו בניהול האחוזה, והם ומשפחותיהם גרו שם עם </w:t>
      </w:r>
      <w:proofErr w:type="spellStart"/>
      <w:r>
        <w:rPr>
          <w:rtl/>
        </w:rPr>
        <w:t>ה“פריץ</w:t>
      </w:r>
      <w:proofErr w:type="spellEnd"/>
      <w:r>
        <w:rPr>
          <w:rtl/>
        </w:rPr>
        <w:t>” היהודי הזה.</w:t>
      </w:r>
      <w:r>
        <w:rPr>
          <w:vertAlign w:val="superscript"/>
          <w:rtl/>
        </w:rPr>
        <w:fldChar w:fldCharType="begin" w:dirty="true"/>
      </w:r>
      <w:r>
        <w:rPr>
          <w:vertAlign w:val="superscript"/>
          <w:rtl/>
        </w:rPr>
        <w:instrText xml:space="preserve"> REF b0_note_3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כאן בא לעולם נכדו, רבנו, ביום שבת. כעבור שמונה ימים, כשנדרש מניין כדי להכניס את הילד בבריתו של אברהם אבינו, נאלצו לחפש אדם זר כדי להשלים את המניין.</w:t>
      </w:r>
      <w:r>
        <w:rPr>
          <w:vertAlign w:val="superscript"/>
          <w:rtl/>
        </w:rPr>
        <w:fldChar w:fldCharType="begin" w:dirty="true"/>
      </w:r>
      <w:r>
        <w:rPr>
          <w:vertAlign w:val="superscript"/>
          <w:rtl/>
        </w:rPr>
        <w:instrText xml:space="preserve"> REF b0_note_4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p w14:paraId="5AB0B2DD" w14:textId="77777777" w:rsidR="00AB3647" w:rsidRDefault="00000000" w:rsidP="007923E9">
      <w:pPr>
        <w:spacing w:after="100" w:line="276" w:lineRule="auto"/>
        <w:ind w:firstLine="340"/>
        <w:jc w:val="both"/>
      </w:pPr>
      <w:r>
        <w:rPr>
          <w:rtl/>
        </w:rPr>
        <w:t xml:space="preserve">ביום שני בבוקר, באדר א׳ תשמ״ו, בבית החולים סיני בבולטימור, הלך החכם לעולמו בן תשעים וחמש. עד אחר הצהריים התאספו שלושים וחמישה אלף איש, מערים רבות במזרח ארצות הברית ובקנדה, ברחוב שלפני ישיבת “מתיבתא תורה ודעת” בברוקלין שבניו יורק, כדי לחלוק לו כבוד אחרון וללוותו לבית עולמו. </w:t>
      </w:r>
      <w:proofErr w:type="spellStart"/>
      <w:r>
        <w:rPr>
          <w:rtl/>
        </w:rPr>
        <w:t>בשנים־עשר</w:t>
      </w:r>
      <w:proofErr w:type="spellEnd"/>
      <w:r>
        <w:rPr>
          <w:rtl/>
        </w:rPr>
        <w:t xml:space="preserve"> החודשים שלאחר מכן נערכו הספדים על ראש הישיבה הנערץ בערים ברחבי העולם, ובמשך שנים רבות אחר כך נקראו תינוקות על שם הצדיק האהוב.</w:t>
      </w:r>
    </w:p>
    <w:p w14:paraId="47CAABCA" w14:textId="77777777" w:rsidR="00AB3647" w:rsidRDefault="00000000" w:rsidP="007923E9">
      <w:pPr>
        <w:spacing w:before="200" w:after="200" w:line="276" w:lineRule="auto"/>
        <w:jc w:val="center"/>
      </w:pPr>
      <w:r>
        <w:rPr>
          <w:rtl/>
        </w:rPr>
        <w:t>* * *</w:t>
      </w:r>
    </w:p>
    <w:p w14:paraId="452D469D" w14:textId="2340BF3A" w:rsidR="00AB3647" w:rsidRDefault="00000000" w:rsidP="007923E9">
      <w:pPr>
        <w:spacing w:after="100" w:line="276" w:lineRule="auto"/>
        <w:ind w:firstLine="340"/>
        <w:jc w:val="both"/>
      </w:pPr>
      <w:r>
        <w:rPr>
          <w:rtl/>
        </w:rPr>
        <w:t>הטקסט של ספר זה הוא ניסיון לתאר כיצד התחולל המעבר מנער חווה לגדול הדור.</w:t>
      </w:r>
      <w:r>
        <w:rPr>
          <w:vertAlign w:val="superscript"/>
          <w:rtl/>
        </w:rPr>
        <w:fldChar w:fldCharType="begin" w:dirty="true"/>
      </w:r>
      <w:r>
        <w:rPr>
          <w:vertAlign w:val="superscript"/>
          <w:rtl/>
        </w:rPr>
        <w:instrText xml:space="preserve"> REF b0_note_5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p>
    <w:p w14:paraId="74FAD3E4" w14:textId="77777777" w:rsidR="00AB3647" w:rsidRDefault="00000000" w:rsidP="007923E9">
      <w:pPr>
        <w:pStyle w:val="2"/>
        <w:spacing w:line="276" w:lineRule="auto"/>
      </w:pPr>
      <w:r>
        <w:rPr>
          <w:b w:val="0"/>
        </w:rPr>
        <w:t>הערות לפתיחה</w:t>
      </w:r>
    </w:p>
    <w:p w14:paraId="559FD062" w14:textId="77777777" w:rsidR="00AB3647" w:rsidRDefault="00000000" w:rsidP="007923E9">
      <w:pPr>
        <w:spacing w:after="160" w:line="276" w:lineRule="auto"/>
        <w:jc w:val="both"/>
      </w:pPr>
      <w:bookmarkStart w:id="114" w:name="b0_note_1"/>
      <w:r>
        <w:rPr>
          <w:b/>
          <w:bCs/>
          <w:rtl/>
        </w:rPr>
        <w:t>1.</w:t>
      </w:r>
      <w:bookmarkEnd w:id="114"/>
      <w:r>
        <w:rPr>
          <w:rtl/>
        </w:rPr>
        <w:t xml:space="preserve"> על שינויי הערכים שראה במו עיניו נהג אבי לומר שחלוף חמישים שנה, עם התמורות המצטברות בחברה, יוצר עולם חדש לגמרי (“עולמו של יובל”).</w:t>
      </w:r>
      <w:bookmarkStart w:id="115" w:name="_fnr111"/>
      <w:r>
        <w:rPr>
          <w:rStyle w:val="a5"/>
        </w:rPr>
        <w:footnoteReference w:id="111" w:customMarkFollows="0"/>
      </w:r>
      <w:bookmarkEnd w:id="115"/>
    </w:p>
    <w:p w14:paraId="6F0A117F" w14:textId="77777777" w:rsidR="00AB3647" w:rsidRDefault="00000000" w:rsidP="007923E9">
      <w:pPr>
        <w:spacing w:after="160" w:line="276" w:lineRule="auto"/>
        <w:jc w:val="both"/>
      </w:pPr>
      <w:bookmarkStart w:id="116" w:name="b0_note_2"/>
      <w:r>
        <w:rPr>
          <w:b/>
          <w:bCs/>
          <w:rtl/>
        </w:rPr>
        <w:t>2.</w:t>
      </w:r>
      <w:bookmarkEnd w:id="116"/>
      <w:r>
        <w:rPr>
          <w:rtl/>
        </w:rPr>
        <w:t xml:space="preserve"> בזמן הולדתו של אבי היו העיירה </w:t>
      </w:r>
      <w:proofErr w:type="spellStart"/>
      <w:r>
        <w:rPr>
          <w:rtl/>
        </w:rPr>
        <w:t>דולהינוב</w:t>
      </w:r>
      <w:proofErr w:type="spellEnd"/>
      <w:r>
        <w:rPr>
          <w:rtl/>
        </w:rPr>
        <w:t xml:space="preserve"> וסביבותיה – ובהן האחוזה </w:t>
      </w:r>
      <w:proofErr w:type="spellStart"/>
      <w:r>
        <w:rPr>
          <w:rtl/>
        </w:rPr>
        <w:t>קאליסקובקה</w:t>
      </w:r>
      <w:proofErr w:type="spellEnd"/>
      <w:r>
        <w:rPr>
          <w:rtl/>
        </w:rPr>
        <w:t>,</w:t>
      </w:r>
      <w:bookmarkStart w:id="117" w:name="_fnr112"/>
      <w:r>
        <w:rPr>
          <w:rStyle w:val="a5"/>
        </w:rPr>
        <w:footnoteReference w:id="112" w:customMarkFollows="0"/>
      </w:r>
      <w:bookmarkEnd w:id="117"/>
      <w:r>
        <w:rPr>
          <w:rtl/>
        </w:rPr>
        <w:t xml:space="preserve"> שבה נולד – חלק מרוסיה הצארית. בסוף מלחמת העולם הראשונה נכבש האזור בידי מורדים פולנים. כשנקבע הגבול המזרחי של הרפובליקה הפולנית החדשה, נעשתה </w:t>
      </w:r>
      <w:proofErr w:type="spellStart"/>
      <w:r>
        <w:rPr>
          <w:rtl/>
        </w:rPr>
        <w:t>דולהינוב</w:t>
      </w:r>
      <w:proofErr w:type="spellEnd"/>
      <w:r>
        <w:rPr>
          <w:rtl/>
        </w:rPr>
        <w:t xml:space="preserve"> חלק ממנה – הגבול עבר שבעה קילומטרים ממזרח לעיירה – ואילו </w:t>
      </w:r>
      <w:proofErr w:type="spellStart"/>
      <w:r>
        <w:rPr>
          <w:rtl/>
        </w:rPr>
        <w:t>קאליסקובקה</w:t>
      </w:r>
      <w:proofErr w:type="spellEnd"/>
      <w:r>
        <w:rPr>
          <w:rtl/>
        </w:rPr>
        <w:t xml:space="preserve"> נשארה בתחומי </w:t>
      </w:r>
      <w:r>
        <w:rPr>
          <w:rtl/>
        </w:rPr>
        <w:lastRenderedPageBreak/>
        <w:t>רוסיה. כעבור עשרים שנה חזרו הרוסים והזיזו את הגבול מאתיים ושמונים קילומטרים מערבה, וסיפחו את כל מזרח פולין לרפובליקה הסובייטית הסוציאליסטית הבלארוסית, שבשנת תשנ״ב נעשתה לרפובליקה של בלארוס, במסגרת חבר המדינות העצמאיות.</w:t>
      </w:r>
    </w:p>
    <w:p w14:paraId="704E236E" w14:textId="77777777" w:rsidR="00AB3647" w:rsidRDefault="00000000" w:rsidP="007923E9">
      <w:pPr>
        <w:spacing w:after="160" w:line="276" w:lineRule="auto"/>
        <w:jc w:val="both"/>
      </w:pPr>
      <w:bookmarkStart w:id="118" w:name="b0_note_3"/>
      <w:r>
        <w:rPr>
          <w:b/>
          <w:bCs/>
          <w:rtl/>
        </w:rPr>
        <w:t>3.</w:t>
      </w:r>
      <w:bookmarkEnd w:id="118"/>
      <w:r>
        <w:rPr>
          <w:rtl/>
        </w:rPr>
        <w:t xml:space="preserve"> כשהייתה מרכבתו עוברת בדרך, היו האיכרים מסירים את כובעיהם לכבוד האציל.</w:t>
      </w:r>
      <w:bookmarkStart w:id="119" w:name="_fnr113"/>
      <w:r>
        <w:rPr>
          <w:rStyle w:val="a5"/>
        </w:rPr>
        <w:footnoteReference w:id="113" w:customMarkFollows="0"/>
      </w:r>
      <w:bookmarkEnd w:id="119"/>
    </w:p>
    <w:p w14:paraId="00B21B31" w14:textId="05F4E7C5" w:rsidR="00AB3647" w:rsidRDefault="00000000" w:rsidP="007923E9">
      <w:pPr>
        <w:spacing w:after="160" w:line="276" w:lineRule="auto"/>
        <w:jc w:val="both"/>
      </w:pPr>
      <w:bookmarkStart w:id="120" w:name="b0_note_4"/>
      <w:r>
        <w:rPr>
          <w:b/>
          <w:bCs/>
          <w:rtl/>
        </w:rPr>
        <w:t>4.</w:t>
      </w:r>
      <w:bookmarkEnd w:id="120"/>
      <w:r>
        <w:rPr>
          <w:rtl/>
        </w:rPr>
        <w:t xml:space="preserve"> אבי סיפר </w:t>
      </w:r>
      <w:proofErr w:type="spellStart"/>
      <w:r>
        <w:rPr>
          <w:rtl/>
        </w:rPr>
        <w:t>לר</w:t>
      </w:r>
      <w:proofErr w:type="spellEnd"/>
      <w:r>
        <w:rPr>
          <w:rtl/>
        </w:rPr>
        <w:t>׳ אברהם פישמן</w:t>
      </w:r>
      <w:bookmarkStart w:id="121" w:name="_fnr114"/>
      <w:r>
        <w:rPr>
          <w:rStyle w:val="a5"/>
        </w:rPr>
        <w:footnoteReference w:id="114" w:customMarkFollows="0"/>
      </w:r>
      <w:bookmarkEnd w:id="121"/>
      <w:r>
        <w:rPr>
          <w:rtl/>
        </w:rPr>
        <w:t xml:space="preserve"> שהאחוזה הייתה רחוקה מדי מן העיירה היהודית הקרובה, ואיש לא יכול היה ללכת משם ברגל בשבת. לכן לא יכול היה לבוא המוהל המועדף, המומחה יותר. יום הולדתו של אבי היה שבת, כ׳ באדר א׳ תרנ״א, והברית נערכה בשבת שלאחריה. סבו כבר היה סנדק לאחיו הגדול, ואביו לא יכול היה לשמש סנדק משום שהיה צולע,</w:t>
      </w:r>
      <w:bookmarkStart w:id="122" w:name="_fnr115"/>
      <w:r>
        <w:rPr>
          <w:rStyle w:val="a5"/>
        </w:rPr>
        <w:footnoteReference w:id="115" w:customMarkFollows="0"/>
      </w:r>
      <w:bookmarkEnd w:id="122"/>
      <w:r>
        <w:rPr>
          <w:rtl/>
        </w:rPr>
        <w:t xml:space="preserve"> ולכן התבקש מלמד פשוט מן החדר להישאר באחוזה ולקבל עליו כיבוד זה. אבי הוסיף בבדיחות הדעת: “המוהל והסנדק שלי היו סוג ב׳; לכן לא הצלחתי בחיים”. ההלצה מבוססת על האמרה העממית “רוב הבנים דומים לסנדק שלהם”.</w:t>
      </w:r>
      <w:bookmarkStart w:id="123" w:name="_fnr116"/>
      <w:r>
        <w:rPr>
          <w:rStyle w:val="a5"/>
        </w:rPr>
        <w:footnoteReference w:id="116" w:customMarkFollows="0"/>
      </w:r>
      <w:bookmarkEnd w:id="123"/>
      <w:r>
        <w:rPr>
          <w:rtl/>
        </w:rPr>
        <w:t xml:space="preserve"> השווה גם פרק 1, הערה </w:t>
      </w:r>
      <w:r>
        <w:rPr>
          <w:rtl/>
        </w:rPr>
        <w:fldChar w:fldCharType="begin" w:dirty="true"/>
      </w:r>
      <w:r>
        <w:rPr>
          <w:rtl/>
        </w:rPr>
        <w:instrText xml:space="preserve"> REF b1_note70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70</w:t>
      </w:r>
      <w:r>
        <w:rPr>
          <w:rtl/>
        </w:rPr>
        <w:fldChar w:fldCharType="end"/>
      </w:r>
      <w:r>
        <w:rPr>
          <w:rtl/>
        </w:rPr>
        <w:t>: אבי חש שההשגחה הכינה אותו לחיים רצופי מכשולים. מכל מקום, למרבה הפלא, אורח השבת הזה היגר לימים לאמריקה, והציג את עצמו לפני אבינו בברונקס כעבור כמעט שישים שנה.</w:t>
      </w:r>
      <w:bookmarkStart w:id="124" w:name="_fnr117"/>
      <w:r>
        <w:rPr>
          <w:rStyle w:val="a5"/>
        </w:rPr>
        <w:footnoteReference w:id="117" w:customMarkFollows="0"/>
      </w:r>
      <w:bookmarkEnd w:id="124"/>
    </w:p>
    <w:p w14:paraId="4BC9CD63" w14:textId="77777777" w:rsidR="00AB3647" w:rsidRDefault="00000000" w:rsidP="007923E9">
      <w:pPr>
        <w:spacing w:after="160" w:line="276" w:lineRule="auto"/>
        <w:jc w:val="both"/>
      </w:pPr>
      <w:bookmarkStart w:id="125" w:name="b0_note_5"/>
      <w:r>
        <w:rPr>
          <w:b/>
          <w:bCs/>
          <w:rtl/>
        </w:rPr>
        <w:t>5.</w:t>
      </w:r>
      <w:bookmarkEnd w:id="125"/>
      <w:r>
        <w:rPr>
          <w:rtl/>
        </w:rPr>
        <w:t xml:space="preserve"> השווה “פחד יצחק – אגרות וכתבים”,</w:t>
      </w:r>
      <w:bookmarkStart w:id="126" w:name="_fnr118"/>
      <w:r>
        <w:rPr>
          <w:rStyle w:val="a5"/>
        </w:rPr>
        <w:footnoteReference w:id="118" w:customMarkFollows="0"/>
      </w:r>
      <w:bookmarkEnd w:id="126"/>
      <w:r>
        <w:rPr>
          <w:rtl/>
        </w:rPr>
        <w:t xml:space="preserve"> שבו כותב המחבר, ר׳ יצחק </w:t>
      </w:r>
      <w:proofErr w:type="spellStart"/>
      <w:r>
        <w:rPr>
          <w:rtl/>
        </w:rPr>
        <w:t>הוטנר</w:t>
      </w:r>
      <w:proofErr w:type="spellEnd"/>
      <w:r>
        <w:rPr>
          <w:rtl/>
        </w:rPr>
        <w:t xml:space="preserve">: “צרתנו היא שכאשר אנו עוסקים בצדדי השלמות של </w:t>
      </w:r>
      <w:proofErr w:type="spellStart"/>
      <w:r>
        <w:rPr>
          <w:rtl/>
        </w:rPr>
        <w:t>גדולינו</w:t>
      </w:r>
      <w:proofErr w:type="spellEnd"/>
      <w:r>
        <w:rPr>
          <w:rtl/>
        </w:rPr>
        <w:t xml:space="preserve">, אנו מטפלים בצורתן הגמורה של מעלותיהם, ומדלגים על המלחמה הפנימית שהתחוללה בנפשם. הרושם שמשאירות שיחותינו על הגדולים הוא כאילו יצאו מתחת ידו של היוצר בקומתם ובצביונם המלאים. </w:t>
      </w:r>
      <w:proofErr w:type="spellStart"/>
      <w:r>
        <w:rPr>
          <w:rtl/>
        </w:rPr>
        <w:t>הכל</w:t>
      </w:r>
      <w:proofErr w:type="spellEnd"/>
      <w:r>
        <w:rPr>
          <w:rtl/>
        </w:rPr>
        <w:t xml:space="preserve"> מדברים, </w:t>
      </w:r>
      <w:proofErr w:type="spellStart"/>
      <w:r>
        <w:rPr>
          <w:rtl/>
        </w:rPr>
        <w:t>הכל</w:t>
      </w:r>
      <w:proofErr w:type="spellEnd"/>
      <w:r>
        <w:rPr>
          <w:rtl/>
        </w:rPr>
        <w:t xml:space="preserve"> מתפעלים, מן הדוגמה של טהרת הלשון (בהימנעות מלשון הרע) של בעל </w:t>
      </w:r>
      <w:proofErr w:type="spellStart"/>
      <w:r>
        <w:rPr>
          <w:rtl/>
        </w:rPr>
        <w:t>ה‘חפץ</w:t>
      </w:r>
      <w:proofErr w:type="spellEnd"/>
      <w:r>
        <w:rPr>
          <w:rtl/>
        </w:rPr>
        <w:t xml:space="preserve"> חיים’; אבל מי יודע – נאמר, אחד מני אלף – על כל המלחמות, המאבקים, הכישלונות, הנפילות והנסיגות שמצא </w:t>
      </w:r>
      <w:proofErr w:type="spellStart"/>
      <w:r>
        <w:rPr>
          <w:rtl/>
        </w:rPr>
        <w:t>החפץ־חיים</w:t>
      </w:r>
      <w:proofErr w:type="spellEnd"/>
      <w:r>
        <w:rPr>
          <w:rtl/>
        </w:rPr>
        <w:t xml:space="preserve"> בדרך מלחמתו ביצר הרע?!”.</w:t>
      </w:r>
    </w:p>
    <w:p w14:paraId="17D93DB6" w14:textId="77777777" w:rsidR="00AB3647" w:rsidRDefault="00000000" w:rsidP="007923E9">
      <w:pPr>
        <w:spacing w:after="160" w:line="276" w:lineRule="auto"/>
        <w:jc w:val="both"/>
      </w:pPr>
      <w:r>
        <w:rPr>
          <w:rtl/>
        </w:rPr>
        <w:t>השווה גם “תולדות מנחם”,</w:t>
      </w:r>
      <w:bookmarkStart w:id="127" w:name="_fnr119"/>
      <w:bookmarkStart w:id="128" w:name="pr_f_54"/>
      <w:r>
        <w:rPr>
          <w:rStyle w:val="a5"/>
        </w:rPr>
        <w:footnoteReference w:id="119" w:customMarkFollows="0"/>
      </w:r>
      <w:bookmarkEnd w:id="127"/>
      <w:bookmarkEnd w:id="128"/>
      <w:r>
        <w:rPr>
          <w:rtl/>
        </w:rPr>
        <w:t xml:space="preserve"> הכותב בעברית המליצית של אותם ימים: “רבים מן הטובים מתרעמים עליי בחדרי לבם, על שבכתבי את תולדות הצדיק, קדוש לה׳, פאר דורנו, ר׳ נחום, ובתארי את הנהגתו עם ה׳ ועם אדם, הצגתי לפני הקוראים הנכבדים את עוון דרכי נעוריו, ולא </w:t>
      </w:r>
      <w:r>
        <w:rPr>
          <w:rtl/>
        </w:rPr>
        <w:lastRenderedPageBreak/>
        <w:t xml:space="preserve">כיסיתי את </w:t>
      </w:r>
      <w:proofErr w:type="spellStart"/>
      <w:r>
        <w:rPr>
          <w:rtl/>
        </w:rPr>
        <w:t>ה‘בוסר</w:t>
      </w:r>
      <w:proofErr w:type="spellEnd"/>
      <w:r>
        <w:rPr>
          <w:rtl/>
        </w:rPr>
        <w:t xml:space="preserve">’ של ילדותו. אבל אם דרכנו מכוונת אל האמת ומגמתנו אל הצדק, הרי זה כבודו של האדם הגדול בענקים לספר עליו את האמת כמות שהיא. כי אילו נמצא בארץ </w:t>
      </w:r>
      <w:proofErr w:type="spellStart"/>
      <w:r>
        <w:rPr>
          <w:rtl/>
        </w:rPr>
        <w:t>ציה</w:t>
      </w:r>
      <w:proofErr w:type="spellEnd"/>
      <w:r>
        <w:rPr>
          <w:rtl/>
        </w:rPr>
        <w:t xml:space="preserve"> עץ שפריו נחמד למראה וטוב למאכל ועלהו לתרופה, היינו משתוממים ותמהים. כן הוא בסיפור תולדות חייו של האיש הזה. רוב </w:t>
      </w:r>
      <w:proofErr w:type="spellStart"/>
      <w:r>
        <w:rPr>
          <w:rtl/>
        </w:rPr>
        <w:t>גאונינו</w:t>
      </w:r>
      <w:proofErr w:type="spellEnd"/>
      <w:r>
        <w:rPr>
          <w:rtl/>
        </w:rPr>
        <w:t xml:space="preserve">, ענקי דורותינו, אשר דרכיהם וסיפוריהם מסופרים למרחוק, זכו לאחת משתי הברכות האלה: או לאב אשר מפיו נתחנך הילד מטל ילדותו עד בואו לפרקו, או למורה גדול אשר תלמידו גדל על מי התורה, והוא הדריכו בקודש. ומשום כך נעשו לימים לגאוני הדור אשר ישראל מתפאר בהם. אבל האיש המעולה הזה אשר את סיפורו אנו מספרים עתה – שונה היה. אביו היה ריק מחכמה, צמח צחיח שלא יכול היה למשוח אותו </w:t>
      </w:r>
      <w:proofErr w:type="spellStart"/>
      <w:r>
        <w:rPr>
          <w:rtl/>
        </w:rPr>
        <w:t>ב‘שמן</w:t>
      </w:r>
      <w:proofErr w:type="spellEnd"/>
      <w:r>
        <w:rPr>
          <w:rtl/>
        </w:rPr>
        <w:t xml:space="preserve"> התורה’, וגם לא היו לו מורים חכמים בתורה בשחר ילדותו. ומשום כך נפלא סיפור חייו, עד שנוכל לקרוא לו ‘עץ פלאים’. ובכן, נוכל לספר את אשר ידענו מפי רבנים צדיקים, גדולים בישראל, אשר כיבדוני במכתביהם ובעדויותיהם; כולם כאחד העידו כי ראשית דרך חייו לא הייתה סוגה בשושנים, והנהגתו בנעוריו לא הלמה איש רב פעלים וצדיק יסוד עולם. ואף על פי כן צמח והיה לנטע צדיק אשר ענפיו נמשכו עד שהגיעו לארזי הלבנון. יהיו נא סיפורי צדיקנו זה לתוכחת מגולה ולראיה נאמנה לבני ישראל, כי אם יאחזו בענפי עץ החיים – יחיו לעולם. ואף אם בראשית ילדותם הלכו בדרכים עקלקלות במקצת ונכשלו, אל יתייאשו מן התקווה, כי אם ישובו אל ה׳ – ‘ושבו בנים לגבולם’,</w:t>
      </w:r>
      <w:bookmarkStart w:id="129" w:name="_fnr120"/>
      <w:r>
        <w:rPr>
          <w:rStyle w:val="a5"/>
        </w:rPr>
        <w:footnoteReference w:id="120" w:customMarkFollows="0"/>
      </w:r>
      <w:bookmarkEnd w:id="129"/>
      <w:r>
        <w:rPr>
          <w:rtl/>
        </w:rPr>
        <w:t xml:space="preserve"> ואחריתם ישגה מאוד. וגם דרכה של תורתנו הקדושה לספר בלי משוא פנים, בביקורת טהורה וישרה, אף על אבותינו הקדושים, מייסדי עדתנו, אשר היו כשרפים ממעל וכמלאכי השמים. קחו למשל את התנאים הגדולים, עמודי עולם, רבי אליעזר הגדול ותלמידו רבי עקיבא, ענקי הדורות הראשונים. רבותינו זיכרונם לברכה אמרו עליהם כי בנעוריהם לא ניכרו גדולתם וחכמתם, ותחילת צמיחתם לא הצטיינה במראות נפלאים ובדמויות קודש. רק לאחר מכן גדלו והצליחו, והאירו את פני תבל </w:t>
      </w:r>
      <w:proofErr w:type="spellStart"/>
      <w:r>
        <w:rPr>
          <w:rtl/>
        </w:rPr>
        <w:t>בחכמתם</w:t>
      </w:r>
      <w:proofErr w:type="spellEnd"/>
      <w:r>
        <w:rPr>
          <w:rtl/>
        </w:rPr>
        <w:t xml:space="preserve"> ובצדקתם. ובאורם אנו הולכים עד היום הזה.”</w:t>
      </w:r>
    </w:p>
    <w:p w14:paraId="04213FE5" w14:textId="77777777" w:rsidR="00AB3647" w:rsidRDefault="00AB3647" w:rsidP="007923E9">
      <w:pPr>
        <w:spacing w:line="276" w:lineRule="auto"/>
        <w:sectPr w:rsidR="00AB3647">
          <w:footerReference w:type="default" r:id="rId10"/>
          <w:footnotePr>
            <w:pos w:val="pageBottom"/>
            <w:numRestart w:val="eachSect"/>
          </w:footnotePr>
          <w:pgSz w:w="9638" w:h="13606"/>
          <w:pgMar w:top="1134" w:right="1077" w:bottom="1134" w:left="1077" w:header="567" w:footer="567" w:gutter="0"/>
          <w:cols w:space="720"/>
          <w:bidi/>
          <w:docGrid w:linePitch="360"/>
        </w:sectPr>
      </w:pPr>
    </w:p>
    <w:p w14:paraId="0A9CE054" w14:textId="77777777" w:rsidR="00AB3647" w:rsidRDefault="00000000" w:rsidP="007923E9">
      <w:pPr>
        <w:pStyle w:val="1"/>
        <w:pageBreakBefore/>
        <w:spacing w:line="276" w:lineRule="auto"/>
      </w:pPr>
      <w:bookmarkStart w:id="130" w:name="continuous_story"/>
      <w:r>
        <w:lastRenderedPageBreak/>
        <w:t>חלק ראשון — הסיפור</w:t>
      </w:r>
      <w:bookmarkEnd w:id="130"/>
    </w:p>
    <w:p w14:paraId="3F56A978" w14:textId="77777777" w:rsidR="00AB3647" w:rsidRDefault="00000000" w:rsidP="007923E9">
      <w:pPr>
        <w:pStyle w:val="ae"/>
        <w:pageBreakBefore/>
        <w:spacing w:line="276" w:lineRule="auto"/>
      </w:pPr>
      <w:bookmarkStart w:id="131" w:name="text_chapter1"/>
      <w:r>
        <w:lastRenderedPageBreak/>
        <w:t>פרק ראשון</w:t>
      </w:r>
      <w:bookmarkEnd w:id="131"/>
    </w:p>
    <w:p w14:paraId="7AB027D9" w14:textId="77777777" w:rsidR="00AB3647" w:rsidRDefault="00000000" w:rsidP="007923E9">
      <w:pPr>
        <w:pStyle w:val="1"/>
        <w:spacing w:line="276" w:lineRule="auto"/>
      </w:pPr>
      <w:r>
        <w:t>העשור הראשון: ייחוס וילדות</w:t>
      </w:r>
    </w:p>
    <w:p w14:paraId="52F5A611" w14:textId="77777777" w:rsidR="00AB3647" w:rsidRDefault="00000000" w:rsidP="007923E9">
      <w:pPr>
        <w:pStyle w:val="2"/>
        <w:spacing w:line="276" w:lineRule="auto"/>
      </w:pPr>
      <w:r>
        <w:t>1.</w:t>
      </w:r>
    </w:p>
    <w:p w14:paraId="34F0CC4B" w14:textId="77777777" w:rsidR="00AB3647" w:rsidRDefault="00000000" w:rsidP="007923E9">
      <w:pPr>
        <w:spacing w:after="100" w:line="276" w:lineRule="auto"/>
        <w:ind w:firstLine="340"/>
        <w:jc w:val="both"/>
      </w:pPr>
      <w:r>
        <w:rPr>
          <w:rtl/>
        </w:rPr>
        <w:t>הוריו של אבי ואחיו ואחיותיו היו אופייניים לציבור בעלי הבתים היהודים ברוסיה של אותם ימים. כמה דורות קודם לכן היו במשפחתם כמה רבנים מפורסמים, אבל הלוא “כל ישראל – בני אברהם יצחק ויעקב – בני מלכים הם”.</w:t>
      </w:r>
    </w:p>
    <w:p w14:paraId="14DA253A" w14:textId="77777777" w:rsidR="00AB3647" w:rsidRDefault="00000000" w:rsidP="007923E9">
      <w:pPr>
        <w:spacing w:after="100" w:line="276" w:lineRule="auto"/>
        <w:ind w:firstLine="340"/>
        <w:jc w:val="both"/>
      </w:pPr>
      <w:proofErr w:type="spellStart"/>
      <w:r>
        <w:rPr>
          <w:rtl/>
        </w:rPr>
        <w:t>אמו</w:t>
      </w:r>
      <w:proofErr w:type="spellEnd"/>
      <w:r>
        <w:rPr>
          <w:rtl/>
        </w:rPr>
        <w:t xml:space="preserve"> נולדה בשם אסתר דנציג בשנת תרכ״ח, והייתה קרובה </w:t>
      </w:r>
      <w:proofErr w:type="spellStart"/>
      <w:r>
        <w:rPr>
          <w:rtl/>
        </w:rPr>
        <w:t>לר</w:t>
      </w:r>
      <w:proofErr w:type="spellEnd"/>
      <w:r>
        <w:rPr>
          <w:rtl/>
        </w:rPr>
        <w:t>׳ אברהם דנציג,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 רק בשנותיו האחרונות – הוא נפטר בשנת תקפ״ב – כשירד מנכסיו, קיבל עליו משרה ציבורית של </w:t>
      </w:r>
      <w:proofErr w:type="spellStart"/>
      <w:r>
        <w:rPr>
          <w:rtl/>
        </w:rPr>
        <w:t>מ״ץ</w:t>
      </w:r>
      <w:proofErr w:type="spellEnd"/>
      <w:r>
        <w:rPr>
          <w:rtl/>
        </w:rPr>
        <w:t xml:space="preserve"> בווילנה.</w:t>
      </w:r>
    </w:p>
    <w:p w14:paraId="0FD2DC98" w14:textId="77777777" w:rsidR="00AB3647" w:rsidRDefault="00000000" w:rsidP="007923E9">
      <w:pPr>
        <w:spacing w:after="10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27656160" w14:textId="77777777" w:rsidR="00AB3647" w:rsidRDefault="00000000" w:rsidP="007923E9">
      <w:pPr>
        <w:spacing w:after="10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p>
    <w:p w14:paraId="77557584" w14:textId="77777777" w:rsidR="00AB3647" w:rsidRDefault="00000000" w:rsidP="007923E9">
      <w:pPr>
        <w:spacing w:after="10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248A3A66" w14:textId="77777777" w:rsidR="00AB3647" w:rsidRDefault="00000000" w:rsidP="007923E9">
      <w:pPr>
        <w:spacing w:after="10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proofErr w:type="spellEnd"/>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65EF0ED4" w14:textId="77777777" w:rsidR="00AB3647" w:rsidRDefault="00000000" w:rsidP="007923E9">
      <w:pPr>
        <w:spacing w:after="100" w:line="276" w:lineRule="auto"/>
        <w:ind w:firstLine="340"/>
        <w:jc w:val="both"/>
      </w:pPr>
      <w:r>
        <w:rPr>
          <w:rtl/>
        </w:rPr>
        <w:lastRenderedPageBreak/>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w:t>
      </w:r>
      <w:proofErr w:type="spellStart"/>
      <w:r>
        <w:rPr>
          <w:rtl/>
        </w:rPr>
        <w:t>עטיל</w:t>
      </w:r>
      <w:proofErr w:type="spellEnd"/>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p w14:paraId="1F18C890" w14:textId="77777777" w:rsidR="00AB3647" w:rsidRDefault="00000000" w:rsidP="007923E9">
      <w:pPr>
        <w:spacing w:after="100" w:line="276" w:lineRule="auto"/>
        <w:ind w:firstLine="340"/>
        <w:jc w:val="both"/>
      </w:pPr>
      <w:r>
        <w:rPr>
          <w:rtl/>
        </w:rPr>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xml:space="preserve">, נגלה אליה בחלומותיה איש צעיר למדי, בעל זקן, ואמר לה שלא תקרא לראש המשפחה “אבא”, משום שהוא, האיש שבחלום, הוא אביה האמיתי.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 [יהודים טובים] כדי שידברו על לבה של </w:t>
      </w:r>
      <w:proofErr w:type="spellStart"/>
      <w:r>
        <w:rPr>
          <w:rtl/>
        </w:rPr>
        <w:t>עטיל</w:t>
      </w:r>
      <w:proofErr w:type="spellEnd"/>
      <w:r>
        <w:rPr>
          <w:rtl/>
        </w:rPr>
        <w:t>.</w:t>
      </w:r>
    </w:p>
    <w:p w14:paraId="14D30538" w14:textId="77777777" w:rsidR="00AB3647" w:rsidRDefault="00000000" w:rsidP="007923E9">
      <w:pPr>
        <w:spacing w:after="10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7E7C0510" w14:textId="77777777" w:rsidR="00AB3647" w:rsidRDefault="00000000" w:rsidP="007923E9">
      <w:pPr>
        <w:spacing w:after="10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76DB4134" w14:textId="77777777" w:rsidR="00AB3647" w:rsidRDefault="00000000" w:rsidP="007923E9">
      <w:pPr>
        <w:spacing w:after="10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p w14:paraId="5461549C" w14:textId="77777777" w:rsidR="00AB3647" w:rsidRDefault="00000000" w:rsidP="007923E9">
      <w:pPr>
        <w:pStyle w:val="2"/>
        <w:spacing w:line="276" w:lineRule="auto"/>
      </w:pPr>
      <w:r>
        <w:t>2.</w:t>
      </w:r>
    </w:p>
    <w:p w14:paraId="34F7D417" w14:textId="77777777" w:rsidR="00AB3647" w:rsidRDefault="00000000" w:rsidP="007923E9">
      <w:pPr>
        <w:spacing w:after="10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xml:space="preserve">, בן עשרים וארבע, אדם נכבד בפלך וילנה. ר׳ </w:t>
      </w:r>
      <w:proofErr w:type="spellStart"/>
      <w:r>
        <w:rPr>
          <w:rtl/>
        </w:rPr>
        <w:t>שמואל־הירש</w:t>
      </w:r>
      <w:proofErr w:type="spellEnd"/>
      <w:r>
        <w:rPr>
          <w:rtl/>
        </w:rPr>
        <w:t xml:space="preserve"> היה בעל אחוזה גדולה, עשיר מופלג. האחוזה נקראה </w:t>
      </w:r>
      <w:proofErr w:type="spellStart"/>
      <w:r>
        <w:rPr>
          <w:rtl/>
        </w:rPr>
        <w:t>קאליסקובקה</w:t>
      </w:r>
      <w:proofErr w:type="spellEnd"/>
      <w:r>
        <w:rPr>
          <w:rtl/>
        </w:rPr>
        <w:t xml:space="preserve">, ושכנה סמוך לכפר </w:t>
      </w:r>
      <w:proofErr w:type="spellStart"/>
      <w:r>
        <w:rPr>
          <w:rtl/>
        </w:rPr>
        <w:t>מלישקי</w:t>
      </w:r>
      <w:proofErr w:type="spellEnd"/>
      <w:r>
        <w:rPr>
          <w:rtl/>
        </w:rPr>
        <w:t xml:space="preserve">, בלב יער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p w14:paraId="22905405" w14:textId="77777777" w:rsidR="00AB3647" w:rsidRDefault="00000000" w:rsidP="007923E9">
      <w:pPr>
        <w:spacing w:after="10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w:t>
      </w:r>
      <w:r>
        <w:rPr>
          <w:rtl/>
        </w:rPr>
        <w:lastRenderedPageBreak/>
        <w:t xml:space="preserve">בידיו היה גם הרישיון הממשלתי לכרות עצים ולהשיטם במורד הנהר אל נהר </w:t>
      </w:r>
      <w:proofErr w:type="spellStart"/>
      <w:r>
        <w:rPr>
          <w:rtl/>
        </w:rPr>
        <w:t>וויליה</w:t>
      </w:r>
      <w:proofErr w:type="spellEnd"/>
      <w:r>
        <w:rPr>
          <w:rtl/>
        </w:rPr>
        <w:t xml:space="preserve">, ומשם בנהר </w:t>
      </w:r>
      <w:proofErr w:type="spellStart"/>
      <w:r>
        <w:rPr>
          <w:rtl/>
        </w:rPr>
        <w:t>נמן</w:t>
      </w:r>
      <w:proofErr w:type="spellEnd"/>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p>
    <w:p w14:paraId="15F3F93E" w14:textId="77777777" w:rsidR="00AB3647" w:rsidRDefault="00000000" w:rsidP="007923E9">
      <w:pPr>
        <w:spacing w:after="10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w:t>
      </w:r>
      <w:proofErr w:type="spellStart"/>
      <w:r>
        <w:rPr>
          <w:rtl/>
        </w:rPr>
        <w:t>ישראל־יצחק</w:t>
      </w:r>
      <w:proofErr w:type="spellEnd"/>
      <w:r>
        <w:rPr>
          <w:rtl/>
        </w:rPr>
        <w:t xml:space="preserve"> </w:t>
      </w:r>
      <w:proofErr w:type="spellStart"/>
      <w:r>
        <w:rPr>
          <w:rtl/>
        </w:rPr>
        <w:t>ואברהם־משה</w:t>
      </w:r>
      <w:proofErr w:type="spellEnd"/>
      <w:r>
        <w:rPr>
          <w:rtl/>
        </w:rPr>
        <w:t xml:space="preserve">, ובעזרת פועלים גויים מן הסביבה.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p>
    <w:p w14:paraId="4BAD868E" w14:textId="77777777" w:rsidR="00AB3647" w:rsidRDefault="00000000" w:rsidP="007923E9">
      <w:pPr>
        <w:spacing w:after="100" w:line="276" w:lineRule="auto"/>
        <w:ind w:firstLine="340"/>
        <w:jc w:val="both"/>
      </w:pPr>
      <w:r>
        <w:rPr>
          <w:rtl/>
        </w:rPr>
        <w:t xml:space="preserve">אף שאביו היה עשיר, התקשה בנימין למצוא שידוך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xml:space="preserve">, לא היו מחזרים רבים שתוכל לבחור ביניהם, משום שהייתה יתומה. אבל הפגם שבכל אחד מהם היה רק בעיני השדכן: הם היו זוג מושלם, ועתידים היו לשמש לילדיהם דוגמה לנישואים הרמוניים.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xml:space="preserve">, משום שגל הפרעות שפקד את קהילות היהודים ברוסיה באותו עשור פגע </w:t>
      </w:r>
      <w:proofErr w:type="spellStart"/>
      <w:r>
        <w:rPr>
          <w:rtl/>
        </w:rPr>
        <w:t>בדולהינוב</w:t>
      </w:r>
      <w:proofErr w:type="spellEnd"/>
      <w:r>
        <w:rPr>
          <w:rtl/>
        </w:rPr>
        <w:t xml:space="preserve"> באותה שנה שבה נישאה, תרמ״ו.</w:t>
      </w:r>
    </w:p>
    <w:p w14:paraId="5B0FD6EB" w14:textId="77777777" w:rsidR="00AB3647" w:rsidRDefault="00000000" w:rsidP="007923E9">
      <w:pPr>
        <w:spacing w:after="10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w:t>
      </w:r>
      <w:proofErr w:type="spellStart"/>
      <w:r>
        <w:rPr>
          <w:rtl/>
        </w:rPr>
        <w:t>שרשבסקי</w:t>
      </w:r>
      <w:proofErr w:type="spellEnd"/>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w:t>
      </w:r>
      <w:proofErr w:type="spellStart"/>
      <w:r>
        <w:rPr>
          <w:rtl/>
        </w:rPr>
        <w:t>רוגוב</w:t>
      </w:r>
      <w:proofErr w:type="spellEnd"/>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p w14:paraId="09B4CD57" w14:textId="77777777" w:rsidR="00AB3647" w:rsidRDefault="00000000" w:rsidP="007923E9">
      <w:pPr>
        <w:spacing w:after="10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xml:space="preserve">. גבירת הבית החדשה השתלטה על האחוזה, ילדה לבעלה משפחה שנייה – חמישה ילדים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 עם אשת אביהם החדשה.</w:t>
      </w:r>
    </w:p>
    <w:p w14:paraId="78363F85"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של </w:t>
      </w:r>
      <w:proofErr w:type="spellStart"/>
      <w:r>
        <w:rPr>
          <w:rtl/>
        </w:rPr>
        <w:t>עטיל</w:t>
      </w:r>
      <w:proofErr w:type="spellEnd"/>
      <w:r>
        <w:rPr>
          <w:rtl/>
        </w:rPr>
        <w:t xml:space="preserve">, ר׳ </w:t>
      </w:r>
      <w:proofErr w:type="spellStart"/>
      <w:r>
        <w:rPr>
          <w:rtl/>
        </w:rPr>
        <w:t>יענקל</w:t>
      </w:r>
      <w:proofErr w:type="spellEnd"/>
      <w:r>
        <w:rPr>
          <w:rtl/>
        </w:rPr>
        <w:t xml:space="preserve"> </w:t>
      </w:r>
      <w:proofErr w:type="spellStart"/>
      <w:r>
        <w:rPr>
          <w:rtl/>
        </w:rPr>
        <w:t>פוטרפס</w:t>
      </w:r>
      <w:proofErr w:type="spellEnd"/>
      <w:r>
        <w:rPr>
          <w:rtl/>
        </w:rPr>
        <w:t xml:space="preserve"> – אבי; ובת שנה, דבורה. המשפחה הקטנה עברה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p>
    <w:p w14:paraId="542FC501" w14:textId="77777777" w:rsidR="00AB3647" w:rsidRDefault="00000000" w:rsidP="007923E9">
      <w:pPr>
        <w:pStyle w:val="2"/>
        <w:spacing w:line="276" w:lineRule="auto"/>
      </w:pPr>
      <w:r>
        <w:lastRenderedPageBreak/>
        <w:t>3.</w:t>
      </w:r>
    </w:p>
    <w:p w14:paraId="47A5A296" w14:textId="77777777" w:rsidR="00AB3647" w:rsidRDefault="00000000" w:rsidP="007923E9">
      <w:pPr>
        <w:spacing w:after="100" w:line="276" w:lineRule="auto"/>
        <w:ind w:firstLine="340"/>
        <w:jc w:val="both"/>
      </w:pPr>
      <w:r>
        <w:rPr>
          <w:rtl/>
        </w:rPr>
        <w:t xml:space="preserve">אבי עשה את רוב ימי ילדותו </w:t>
      </w:r>
      <w:proofErr w:type="spellStart"/>
      <w:r>
        <w:rPr>
          <w:rtl/>
        </w:rPr>
        <w:t>בדולהינוב</w:t>
      </w:r>
      <w:proofErr w:type="spellEnd"/>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p w14:paraId="385B2B8F" w14:textId="77777777" w:rsidR="00AB3647" w:rsidRDefault="00000000" w:rsidP="007923E9">
      <w:pPr>
        <w:spacing w:after="10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 מתוך אוכלוסייה כוללת של 3,500 נפש, היו </w:t>
      </w:r>
      <w:proofErr w:type="spellStart"/>
      <w:r>
        <w:rPr>
          <w:rtl/>
        </w:rPr>
        <w:t>בדולהינוב</w:t>
      </w:r>
      <w:proofErr w:type="spellEnd"/>
      <w:r>
        <w:rPr>
          <w:rtl/>
        </w:rPr>
        <w:t xml:space="preserve"> כ־2,500 יהודים בשנת תרנ״ד, פי שניים ממספרם חמישים שנה קודם לכן.</w:t>
      </w:r>
    </w:p>
    <w:p w14:paraId="1CA2E957" w14:textId="77777777" w:rsidR="00AB3647" w:rsidRDefault="00000000" w:rsidP="007923E9">
      <w:pPr>
        <w:spacing w:after="10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 נהגו באותם מנהגים כלליים ופיתחו אותן תכונות כמו אלה שהתיישבו באותו זמן באזורים האחרים שתחת שלטון ליטא.</w:t>
      </w:r>
    </w:p>
    <w:p w14:paraId="30DE60A9" w14:textId="77777777" w:rsidR="00AB3647" w:rsidRDefault="00000000" w:rsidP="007923E9">
      <w:pPr>
        <w:spacing w:after="10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w:t>
      </w:r>
      <w:proofErr w:type="spellStart"/>
      <w:r>
        <w:rPr>
          <w:rtl/>
        </w:rPr>
        <w:t>חב״דניקעס</w:t>
      </w:r>
      <w:proofErr w:type="spellEnd"/>
      <w:r>
        <w:rPr>
          <w:rtl/>
        </w:rPr>
        <w:t>.</w:t>
      </w:r>
    </w:p>
    <w:p w14:paraId="5E2EF3C2" w14:textId="77777777" w:rsidR="00AB3647" w:rsidRDefault="00000000" w:rsidP="007923E9">
      <w:pPr>
        <w:spacing w:after="10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 </w:t>
      </w:r>
      <w:proofErr w:type="spellStart"/>
      <w:r>
        <w:rPr>
          <w:rtl/>
        </w:rPr>
        <w:t>והמ״ץ</w:t>
      </w:r>
      <w:proofErr w:type="spellEnd"/>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p>
    <w:p w14:paraId="4A4A3470" w14:textId="77777777" w:rsidR="00AB3647" w:rsidRDefault="00000000" w:rsidP="007923E9">
      <w:pPr>
        <w:spacing w:after="100" w:line="276" w:lineRule="auto"/>
        <w:ind w:firstLine="340"/>
        <w:jc w:val="both"/>
      </w:pPr>
      <w:r>
        <w:rPr>
          <w:rtl/>
        </w:rPr>
        <w:t xml:space="preserve">אווירה של רוחניות שררה </w:t>
      </w:r>
      <w:proofErr w:type="spellStart"/>
      <w:r>
        <w:rPr>
          <w:rtl/>
        </w:rPr>
        <w:t>בדולהינוב</w:t>
      </w:r>
      <w:proofErr w:type="spellEnd"/>
      <w:r>
        <w:rPr>
          <w:rtl/>
        </w:rPr>
        <w:t xml:space="preserve">. חמשת בתי הכנסת, שלושת בתי המדרש ושני </w:t>
      </w:r>
      <w:proofErr w:type="spellStart"/>
      <w:r>
        <w:rPr>
          <w:rtl/>
        </w:rPr>
        <w:t>השטיבלעך</w:t>
      </w:r>
      <w:proofErr w:type="spellEnd"/>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 אבל היא הלכה ודעכה, משום שהתלמידים המבוגרים היו יוצאים לישיבות מפורסמות בעיירות אחרות.</w:t>
      </w:r>
    </w:p>
    <w:p w14:paraId="1BCA9A29" w14:textId="77777777" w:rsidR="00AB3647" w:rsidRDefault="00000000" w:rsidP="007923E9">
      <w:pPr>
        <w:spacing w:after="10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w:t>
      </w:r>
      <w:r>
        <w:rPr>
          <w:rtl/>
        </w:rPr>
        <w:lastRenderedPageBreak/>
        <w:t xml:space="preserve">כשדחו את האולטימטום של הממשלה הרוסית לכלול לימודי חול בתוכנית הלימודים.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p>
    <w:p w14:paraId="4688D8D5" w14:textId="77777777" w:rsidR="00AB3647" w:rsidRDefault="00000000" w:rsidP="007923E9">
      <w:pPr>
        <w:spacing w:after="10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 עניו אך מטופח ונשוא פנים, שימש דוגמה להתמדה בתורה: כל היום ישב ולמד בבית הכנסת הגדול.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 הציבור היהודי בכללו היה טוב לב ומכניס אורחים.</w:t>
      </w:r>
    </w:p>
    <w:p w14:paraId="0AF3373A" w14:textId="77777777" w:rsidR="00AB3647" w:rsidRDefault="00000000" w:rsidP="007923E9">
      <w:pPr>
        <w:spacing w:after="10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 בלילות שבת היה אבי קם בשעה שתיים כדי ללוות את אביו לבית הכנסת, שהיה מלא בעלי בתים הלומדים תורה עד 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p>
    <w:p w14:paraId="2F9A695D" w14:textId="77777777" w:rsidR="00AB3647" w:rsidRDefault="00000000" w:rsidP="007923E9">
      <w:pPr>
        <w:spacing w:after="100" w:line="276" w:lineRule="auto"/>
        <w:ind w:firstLine="340"/>
        <w:jc w:val="both"/>
      </w:pPr>
      <w:r>
        <w:rPr>
          <w:rtl/>
        </w:rPr>
        <w:t xml:space="preserve">בבית משפחת </w:t>
      </w:r>
      <w:proofErr w:type="spellStart"/>
      <w:r>
        <w:rPr>
          <w:rtl/>
        </w:rPr>
        <w:t>קמינצקי</w:t>
      </w:r>
      <w:proofErr w:type="spellEnd"/>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p w14:paraId="51C8DE97" w14:textId="77777777" w:rsidR="00AB3647" w:rsidRDefault="00000000" w:rsidP="007923E9">
      <w:pPr>
        <w:spacing w:after="100" w:line="276" w:lineRule="auto"/>
        <w:ind w:firstLine="340"/>
        <w:jc w:val="both"/>
      </w:pPr>
      <w:r>
        <w:rPr>
          <w:rtl/>
        </w:rPr>
        <w:t xml:space="preserve">בימי שהותם הקצרה של הוריו </w:t>
      </w:r>
      <w:proofErr w:type="spellStart"/>
      <w:r>
        <w:rPr>
          <w:rtl/>
        </w:rPr>
        <w:t>בחטאייביץ</w:t>
      </w:r>
      <w:proofErr w:type="spellEnd"/>
      <w:r>
        <w:rPr>
          <w:rtl/>
        </w:rPr>
        <w:t xml:space="preserve">׳ היה בחור ישיבה “אוכל ימים”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p w14:paraId="22101D7A" w14:textId="77777777" w:rsidR="00AB3647" w:rsidRDefault="00000000" w:rsidP="007923E9">
      <w:pPr>
        <w:spacing w:after="100" w:line="276" w:lineRule="auto"/>
        <w:ind w:firstLine="340"/>
        <w:jc w:val="both"/>
      </w:pPr>
      <w:r>
        <w:rPr>
          <w:rtl/>
        </w:rPr>
        <w:t xml:space="preserve">אחר כך הציק אבי לאחיו הגדול, </w:t>
      </w:r>
      <w:proofErr w:type="spellStart"/>
      <w:r>
        <w:rPr>
          <w:rtl/>
        </w:rPr>
        <w:t>חיים־זרח</w:t>
      </w:r>
      <w:proofErr w:type="spellEnd"/>
      <w:r>
        <w:rPr>
          <w:rtl/>
        </w:rPr>
        <w:t xml:space="preserve">,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 לאחר המעבר </w:t>
      </w:r>
      <w:proofErr w:type="spellStart"/>
      <w:r>
        <w:rPr>
          <w:rtl/>
        </w:rPr>
        <w:t>לדולהינוב</w:t>
      </w:r>
      <w:proofErr w:type="spellEnd"/>
      <w:r>
        <w:rPr>
          <w:rtl/>
        </w:rPr>
        <w:t xml:space="preserve"> נרשם לחדר פרטי, ושם למד חומש ונביא והגיע לראשית לימוד הגמרא.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p>
    <w:p w14:paraId="5F4783E5" w14:textId="77777777" w:rsidR="00AB3647" w:rsidRDefault="00000000" w:rsidP="007923E9">
      <w:pPr>
        <w:spacing w:after="100" w:line="276" w:lineRule="auto"/>
        <w:ind w:firstLine="340"/>
        <w:jc w:val="both"/>
      </w:pPr>
      <w:r>
        <w:rPr>
          <w:rtl/>
        </w:rPr>
        <w:t>מלמדים שונים היו לאבי בשנות גידולו: אחד היה חשוך ילדים אך טוב לב, ואחר הלקה אותו שלא כדין; אחד שיבש את פירוש המשנה שלימד, ואחר – אבי לא סלח לו לעולם על שלא הבין שהוא אינו מסוגל לומר שקר.</w:t>
      </w:r>
    </w:p>
    <w:p w14:paraId="559BD955" w14:textId="77777777" w:rsidR="00AB3647" w:rsidRDefault="00000000" w:rsidP="007923E9">
      <w:pPr>
        <w:spacing w:after="100" w:line="276" w:lineRule="auto"/>
        <w:ind w:firstLine="340"/>
        <w:jc w:val="both"/>
      </w:pPr>
      <w:r>
        <w:rPr>
          <w:rtl/>
        </w:rPr>
        <w:t xml:space="preserve">רבנו היה ילד שקדן שנתברך בזיכרון יוצא מן הכלל. כשהיה רק בן חמש הסתובב בבית המדרש </w:t>
      </w:r>
      <w:proofErr w:type="spellStart"/>
      <w:r>
        <w:rPr>
          <w:rtl/>
        </w:rPr>
        <w:t>בדולהינוב</w:t>
      </w:r>
      <w:proofErr w:type="spellEnd"/>
      <w:r>
        <w:rPr>
          <w:rtl/>
        </w:rPr>
        <w:t xml:space="preserve">, שבו למדו כמה בעלי בתים גמרא באחד מימי החורף, בשעות אחר </w:t>
      </w:r>
      <w:r>
        <w:rPr>
          <w:rtl/>
        </w:rPr>
        <w:lastRenderedPageBreak/>
        <w:t>הצהריים. הם נתקלו בהפניה לפסוק בספר שופטים והוצרכו לדעת את לשונו המדויקת, וביקשו מן הילד שימצא להם את הכרך הדרוש.</w:t>
      </w:r>
    </w:p>
    <w:p w14:paraId="56ED765B" w14:textId="77777777" w:rsidR="00AB3647" w:rsidRDefault="00000000" w:rsidP="007923E9">
      <w:pPr>
        <w:spacing w:after="10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 עד גיל </w:t>
      </w:r>
      <w:proofErr w:type="spellStart"/>
      <w:r>
        <w:rPr>
          <w:rtl/>
        </w:rPr>
        <w:t>אחת־עשרה</w:t>
      </w:r>
      <w:proofErr w:type="spellEnd"/>
      <w:r>
        <w:rPr>
          <w:rtl/>
        </w:rPr>
        <w:t xml:space="preserve"> כבר ידע בעל פה עשרים וחמישה דפי גמרא.</w:t>
      </w:r>
    </w:p>
    <w:p w14:paraId="6EE27126" w14:textId="77777777" w:rsidR="00AB3647" w:rsidRDefault="00000000" w:rsidP="007923E9">
      <w:pPr>
        <w:spacing w:after="100" w:line="276" w:lineRule="auto"/>
        <w:ind w:firstLine="340"/>
        <w:jc w:val="both"/>
      </w:pPr>
      <w:r>
        <w:rPr>
          <w:rtl/>
        </w:rPr>
        <w:t xml:space="preserve">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w:t>
      </w:r>
      <w:proofErr w:type="spellStart"/>
      <w:r>
        <w:rPr>
          <w:rtl/>
        </w:rPr>
        <w:t>היום־יום</w:t>
      </w:r>
      <w:proofErr w:type="spellEnd"/>
      <w:r>
        <w:rPr>
          <w:rtl/>
        </w:rPr>
        <w:t>.</w:t>
      </w:r>
    </w:p>
    <w:p w14:paraId="001BB4D2" w14:textId="77777777" w:rsidR="00AB3647" w:rsidRDefault="00000000" w:rsidP="007923E9">
      <w:pPr>
        <w:spacing w:after="100" w:line="276" w:lineRule="auto"/>
        <w:ind w:firstLine="340"/>
        <w:jc w:val="both"/>
      </w:pPr>
      <w:r>
        <w:rPr>
          <w:rtl/>
        </w:rPr>
        <w:t xml:space="preserve">אבי היה שקדן גדול, וחזר על הגמרא והמפרשים פעם אחר פעם עד שידע אותם על </w:t>
      </w:r>
      <w:proofErr w:type="spellStart"/>
      <w:r>
        <w:rPr>
          <w:rtl/>
        </w:rPr>
        <w:t>בוריים</w:t>
      </w:r>
      <w:proofErr w:type="spellEnd"/>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 – מן העשב השפל שלמטה ועד הכוכבים הרמים שלמעלה.</w:t>
      </w:r>
    </w:p>
    <w:p w14:paraId="41F49310" w14:textId="77777777" w:rsidR="00AB3647" w:rsidRDefault="00000000" w:rsidP="007923E9">
      <w:pPr>
        <w:spacing w:after="10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 אבל טראומה זו לא הפחידה אותו ואת הוריו עד כדי כך שיתרחקו מן המים. כשגדל מעט, היה אחיו הגדול, </w:t>
      </w:r>
      <w:proofErr w:type="spellStart"/>
      <w:r>
        <w:rPr>
          <w:rtl/>
        </w:rPr>
        <w:t>חיים־זרח</w:t>
      </w:r>
      <w:proofErr w:type="spellEnd"/>
      <w:r>
        <w:rPr>
          <w:rtl/>
        </w:rPr>
        <w:t xml:space="preserve">, לוקח אותו לשחות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xml:space="preserve">, שימש גם מחיצה בין הגברים הרוחצים לנשים – והוא גדל ונעשה נער כפרי חסון. כל ימי חייו הוקיר אבי את שנות התעצבותו </w:t>
      </w:r>
      <w:proofErr w:type="spellStart"/>
      <w:r>
        <w:rPr>
          <w:rtl/>
        </w:rPr>
        <w:t>בדולהינוב</w:t>
      </w:r>
      <w:proofErr w:type="spellEnd"/>
      <w:r>
        <w:rPr>
          <w:rtl/>
        </w:rPr>
        <w:t>, וחש שבזכות גידולו בסביבה של עיירה קטנה נקנו לו השקפה בריאה על החיים ויחס חיובי לבני האדם.</w:t>
      </w:r>
    </w:p>
    <w:p w14:paraId="5EBA9E2F" w14:textId="77777777" w:rsidR="00AB3647" w:rsidRDefault="00000000" w:rsidP="007923E9">
      <w:pPr>
        <w:pStyle w:val="2"/>
        <w:spacing w:line="276" w:lineRule="auto"/>
      </w:pPr>
      <w:r>
        <w:t>4.</w:t>
      </w:r>
    </w:p>
    <w:p w14:paraId="38536357" w14:textId="77777777" w:rsidR="00AB3647" w:rsidRDefault="00000000" w:rsidP="007923E9">
      <w:pPr>
        <w:spacing w:after="10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p>
    <w:p w14:paraId="7216DA84" w14:textId="77777777" w:rsidR="00AB3647" w:rsidRDefault="00000000" w:rsidP="007923E9">
      <w:pPr>
        <w:spacing w:after="10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xml:space="preserve">, עושי גלגלים לעגלות הקיץ ועושי מגלשיים למזחלות </w:t>
      </w:r>
      <w:r>
        <w:rPr>
          <w:rtl/>
        </w:rPr>
        <w:lastRenderedPageBreak/>
        <w:t>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p>
    <w:p w14:paraId="71C9F8F4" w14:textId="77777777" w:rsidR="00AB3647" w:rsidRDefault="00000000" w:rsidP="007923E9">
      <w:pPr>
        <w:spacing w:after="10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p>
    <w:p w14:paraId="6C60A458" w14:textId="77777777" w:rsidR="00AB3647" w:rsidRDefault="00000000" w:rsidP="007923E9">
      <w:pPr>
        <w:spacing w:after="10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p>
    <w:p w14:paraId="528DBFF9"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230AA4FA" w14:textId="77777777" w:rsidR="00AB3647" w:rsidRDefault="00000000" w:rsidP="007923E9">
      <w:pPr>
        <w:spacing w:after="10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xml:space="preserve">, מודד קרקעות במינסק. בני הזוג לא הקפידו הרבה על היידישקייט ובילו את שעות הפנאי שלהם במשחק קלפים, אבל עדיין משפחה היו.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xml:space="preserve">, בנו חיוור הפנים של סוחר יין עשיר. ביתם של בני הזוג חשוכי הילדים היה ודאי </w:t>
      </w:r>
      <w:proofErr w:type="spellStart"/>
      <w:r>
        <w:rPr>
          <w:rtl/>
        </w:rPr>
        <w:t>לחיים־זרח</w:t>
      </w:r>
      <w:proofErr w:type="spellEnd"/>
      <w:r>
        <w:rPr>
          <w:rtl/>
        </w:rPr>
        <w:t xml:space="preserve"> בית חם ומסביר פנים, כביתו שלו.</w:t>
      </w:r>
    </w:p>
    <w:p w14:paraId="6A67C569" w14:textId="77777777" w:rsidR="00AB3647" w:rsidRDefault="00000000" w:rsidP="007923E9">
      <w:pPr>
        <w:spacing w:after="10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 אבל לאכזבת דודתו הוא עזב 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p w14:paraId="2A0D4EFF" w14:textId="77777777" w:rsidR="00AB3647" w:rsidRDefault="00000000" w:rsidP="007923E9">
      <w:pPr>
        <w:spacing w:after="10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xml:space="preserve">, אל סבו ואל דודו </w:t>
      </w:r>
      <w:proofErr w:type="spellStart"/>
      <w:r>
        <w:rPr>
          <w:rtl/>
        </w:rPr>
        <w:t>ישראל־יצחק</w:t>
      </w:r>
      <w:proofErr w:type="spellEnd"/>
      <w:r>
        <w:rPr>
          <w:rtl/>
        </w:rPr>
        <w:t>. סבו שמח בילד המחונן, שהסתגל במהרה למטלותיו ולאחריותו בחווה, ואף מצא זמן ללמוד עמו בלאַט גמרא [דף גמרא].</w:t>
      </w:r>
    </w:p>
    <w:p w14:paraId="5B9C5E28" w14:textId="77777777" w:rsidR="00AB3647" w:rsidRDefault="00000000" w:rsidP="007923E9">
      <w:pPr>
        <w:spacing w:after="100" w:line="276" w:lineRule="auto"/>
        <w:ind w:firstLine="340"/>
        <w:jc w:val="both"/>
      </w:pPr>
      <w:r>
        <w:rPr>
          <w:rtl/>
        </w:rPr>
        <w:t xml:space="preserve">גורלו של אבי היה להיות איכר יהודי, אלמלא התמורות המדיניות ששטפו את רוסיה. בניסיונו הכושל להרגיע בכל רחבי המדינה את רוחות המהפכה הסוציאליסטית, הפקיע משטרו של הצאר ניקולאי השני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 משום שחוקי רוסיה אסרו על יהודי להחזיק בקרקע. גם היא הייתה בין </w:t>
      </w:r>
      <w:r>
        <w:rPr>
          <w:rtl/>
        </w:rPr>
        <w:lastRenderedPageBreak/>
        <w:t xml:space="preserve">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p>
    <w:p w14:paraId="18D5165A" w14:textId="77777777" w:rsidR="00AB3647" w:rsidRDefault="00000000" w:rsidP="007923E9">
      <w:pPr>
        <w:spacing w:after="10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41C72ACD" w14:textId="77777777" w:rsidR="00AB3647" w:rsidRDefault="00000000" w:rsidP="007923E9">
      <w:pPr>
        <w:spacing w:after="10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 – או שמא יש לו דרך טובה יותר? הוא ודאי הצטיין בלימודיו, ושקד על לימוד התורה בהתמדה כזו, שנראה היה כחטא לנתקו ממנו. אם ימשיך בלימוד התורה, אפשר שיגדל ויהיה לתלמיד חכם מפורסם, ואחר כך יישא אישה ממשפחה עשירה שתכניס אותו לעסקים.</w:t>
      </w:r>
    </w:p>
    <w:p w14:paraId="10C1C57B" w14:textId="77777777" w:rsidR="00AB3647" w:rsidRDefault="00000000" w:rsidP="007923E9">
      <w:pPr>
        <w:spacing w:after="10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xml:space="preserve">”, נימקו, “שהוא בקי כל כך בתורה, עד שרבה של מינסק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 ועוד, בעיר גדולה רבים יותר הסיכויים שתקוותינו לעתידו של בננו יתגשמו”.</w:t>
      </w:r>
    </w:p>
    <w:p w14:paraId="74C1AC57" w14:textId="77777777" w:rsidR="00AB3647" w:rsidRDefault="00000000" w:rsidP="007923E9">
      <w:pPr>
        <w:spacing w:after="10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 ויישן בבית מדרש, כשאר בחורי הישיבה. גם על אחיו הגדול, </w:t>
      </w:r>
      <w:proofErr w:type="spellStart"/>
      <w:r>
        <w:rPr>
          <w:rtl/>
        </w:rPr>
        <w:t>חיים־זרח</w:t>
      </w:r>
      <w:proofErr w:type="spellEnd"/>
      <w:r>
        <w:rPr>
          <w:rtl/>
        </w:rPr>
        <w:t xml:space="preserve"> – נשמה טובה – אפשר היה לסמוך שיעזור לפי הצורך.</w:t>
      </w:r>
    </w:p>
    <w:p w14:paraId="44FD6956" w14:textId="77777777" w:rsidR="00AB3647" w:rsidRDefault="00000000" w:rsidP="007923E9">
      <w:pPr>
        <w:spacing w:after="10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48BED917" w14:textId="77777777" w:rsidR="00AB3647" w:rsidRDefault="00000000" w:rsidP="007923E9">
      <w:pPr>
        <w:spacing w:after="10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w:t>
      </w:r>
      <w:r>
        <w:rPr>
          <w:rtl/>
        </w:rPr>
        <w:lastRenderedPageBreak/>
        <w:t xml:space="preserve">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 מואר בדבר שלא ראה מעולם – חשמל.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w:t>
      </w:r>
      <w:proofErr w:type="spellStart"/>
      <w:r>
        <w:rPr>
          <w:rtl/>
        </w:rPr>
        <w:t>הקונקה</w:t>
      </w:r>
      <w:proofErr w:type="spellEnd"/>
      <w:r>
        <w:rPr>
          <w:rtl/>
        </w:rPr>
        <w:t xml:space="preserve"> לנסיעה ברחובות העיר הגדולה אל חדרו של האח הגדול.</w:t>
      </w:r>
    </w:p>
    <w:p w14:paraId="5C9B20D2" w14:textId="77777777" w:rsidR="00AB3647" w:rsidRDefault="00000000" w:rsidP="007923E9">
      <w:pPr>
        <w:pStyle w:val="ae"/>
        <w:pageBreakBefore/>
        <w:spacing w:line="276" w:lineRule="auto"/>
      </w:pPr>
      <w:bookmarkStart w:id="132" w:name="text_chapter2"/>
      <w:r>
        <w:lastRenderedPageBreak/>
        <w:t>פרק שני</w:t>
      </w:r>
      <w:bookmarkEnd w:id="132"/>
    </w:p>
    <w:p w14:paraId="4646ED7C" w14:textId="77777777" w:rsidR="00AB3647" w:rsidRDefault="00000000" w:rsidP="007923E9">
      <w:pPr>
        <w:pStyle w:val="1"/>
        <w:spacing w:line="276" w:lineRule="auto"/>
      </w:pPr>
      <w:r>
        <w:t>העשור השני – א: מינסק</w:t>
      </w:r>
    </w:p>
    <w:p w14:paraId="2A1175AE" w14:textId="77777777" w:rsidR="00AB3647" w:rsidRDefault="00000000" w:rsidP="007923E9">
      <w:pPr>
        <w:pStyle w:val="2"/>
        <w:spacing w:line="276" w:lineRule="auto"/>
      </w:pPr>
      <w:r>
        <w:t>1.</w:t>
      </w:r>
    </w:p>
    <w:p w14:paraId="7ADC608F" w14:textId="77777777" w:rsidR="00AB3647" w:rsidRDefault="00000000" w:rsidP="007923E9">
      <w:pPr>
        <w:spacing w:after="10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 xml:space="preserve">׳. יהודים ישבו בה מימי גירוש ספרד, כשהייתה בתחומי ממלכת ליטא. גם ממינסק לא נחסכו שריפות,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p>
    <w:p w14:paraId="737151AC" w14:textId="77777777" w:rsidR="00AB3647" w:rsidRDefault="00000000" w:rsidP="007923E9">
      <w:pPr>
        <w:spacing w:after="100" w:line="276" w:lineRule="auto"/>
        <w:ind w:firstLine="340"/>
        <w:jc w:val="both"/>
      </w:pPr>
      <w:r>
        <w:rPr>
          <w:rtl/>
        </w:rPr>
        <w:t xml:space="preserve">עם חלוקת פולין בין פרוסיה, אוסטריה ורוסיה בשנת תקנ״ג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 אוכלוסיית העיר זינקה בשנות </w:t>
      </w:r>
      <w:proofErr w:type="spellStart"/>
      <w:r>
        <w:rPr>
          <w:rtl/>
        </w:rPr>
        <w:t xml:space="preserve">התר״ל</w:t>
      </w:r>
      <w:proofErr w:type="spellEnd"/>
      <w:r>
        <w:rPr>
          <w:rtl/>
        </w:rPr>
        <w:t xml:space="preserve">, כשהופעת מסילת הברזל הפכה את מינסק למרכז תעשייה ולצומת של מסחר ארצי ובינלאומי. בשעה שהגיע לשם רבנו, מנתה האוכלוסייה היהודית של העיר יותר ממחצית 102,000 תושביה.</w:t>
      </w:r>
    </w:p>
    <w:p w14:paraId="5D5719E9" w14:textId="77777777" w:rsidR="00AB3647" w:rsidRDefault="00000000" w:rsidP="007923E9">
      <w:pPr>
        <w:spacing w:after="10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 מחבר החיבור ההיסטורי האנציקלופדי “סדר הדורות”, שכיהן ברבנות שלושים וחמש שנה.</w:t>
      </w:r>
    </w:p>
    <w:p w14:paraId="7189E52B" w14:textId="77777777" w:rsidR="00AB3647" w:rsidRDefault="00000000" w:rsidP="007923E9">
      <w:pPr>
        <w:spacing w:after="100" w:line="276" w:lineRule="auto"/>
        <w:ind w:firstLine="340"/>
        <w:jc w:val="both"/>
      </w:pPr>
      <w:r>
        <w:rPr>
          <w:rtl/>
        </w:rPr>
        <w:t xml:space="preserve">כשנתמנה נכדו הצעיר של ר׳ לייב בעל התוספות, הקרוי על שמו, לעמוד בראש ישיבה בעיר, הפכו בקיאותו יוצאת הדופן ושיטתו המיוחדת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 אף על פי כן נתמנה במקומו תלמיד מובהק שלו, ר׳ רפאל רפפורט, ובכך הובטח מעמדה של מינסק כמרכז תורה מן המעלה הראשונה.</w:t>
      </w:r>
    </w:p>
    <w:p w14:paraId="5229A78B" w14:textId="77777777" w:rsidR="00AB3647" w:rsidRDefault="00000000" w:rsidP="007923E9">
      <w:pPr>
        <w:spacing w:after="100" w:line="276" w:lineRule="auto"/>
        <w:ind w:firstLine="340"/>
        <w:jc w:val="both"/>
      </w:pPr>
      <w:r>
        <w:rPr>
          <w:rtl/>
        </w:rPr>
        <w:t xml:space="preserve">למרות השינויים שחלו בחברה היהודית ברוסיה במאה וחצי שאחר כך, בשעה שהגיע אליה אבי עדיין היו בעיר המוני תלמידים הוגים בתורה ברבים מבתי המדרש שלה.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p w14:paraId="230D6254" w14:textId="77777777" w:rsidR="00AB3647" w:rsidRDefault="00000000" w:rsidP="007923E9">
      <w:pPr>
        <w:spacing w:after="100" w:line="276" w:lineRule="auto"/>
        <w:ind w:firstLine="340"/>
        <w:jc w:val="both"/>
      </w:pPr>
      <w:r>
        <w:rPr>
          <w:rtl/>
        </w:rPr>
        <w:t xml:space="preserve">בדרך כלל שימש רב בית הכנסת שבו שכנה ישיבה גם ראש הישיבה של החבורה שלמדה בו. כמה ישיבות שכרו גם משגיח מיוחד, שישהה עם התלמידים כל היום. הקהילה דאגה </w:t>
      </w:r>
      <w:r>
        <w:rPr>
          <w:rtl/>
        </w:rPr>
        <w:lastRenderedPageBreak/>
        <w:t>בנדיבות לפרנסתם של בני התורה הצעירים: פתחה לפניהם את מטבחיה וחדרי האוכל שלה, וגם שילמה את משכורותיהם (הדלות) של מוריהם.</w:t>
      </w:r>
    </w:p>
    <w:p w14:paraId="5381FA65" w14:textId="77777777" w:rsidR="00AB3647" w:rsidRDefault="00000000" w:rsidP="007923E9">
      <w:pPr>
        <w:spacing w:after="10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 ולערכיה, לא נפגע מעמדה של העיר כמרכז ללימוד תורה.</w:t>
      </w:r>
    </w:p>
    <w:p w14:paraId="3C6FD247" w14:textId="77777777" w:rsidR="00AB3647" w:rsidRDefault="00000000" w:rsidP="007923E9">
      <w:pPr>
        <w:spacing w:after="100" w:line="276" w:lineRule="auto"/>
        <w:ind w:firstLine="340"/>
        <w:jc w:val="both"/>
      </w:pPr>
      <w:r>
        <w:rPr>
          <w:rtl/>
        </w:rPr>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p>
    <w:p w14:paraId="28E2C29D" w14:textId="77777777" w:rsidR="00AB3647" w:rsidRDefault="00000000" w:rsidP="007923E9">
      <w:pPr>
        <w:spacing w:after="10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p w14:paraId="1E50CC31" w14:textId="77777777" w:rsidR="00AB3647" w:rsidRDefault="00000000" w:rsidP="007923E9">
      <w:pPr>
        <w:spacing w:after="10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 סיום נערך שנה אחר שנה, ורבים מתלמידי “החדר” נעשו לימים תלמידי חכמים מופלגים. נוכחותם של המוני בחורי הישיבות במינסק היא שהפכה את העיר כולה למרכז תורה תוסס.</w:t>
      </w:r>
    </w:p>
    <w:p w14:paraId="1CB62E66" w14:textId="77777777" w:rsidR="00AB3647" w:rsidRDefault="00000000" w:rsidP="007923E9">
      <w:pPr>
        <w:pStyle w:val="2"/>
        <w:spacing w:line="276" w:lineRule="auto"/>
      </w:pPr>
      <w:r>
        <w:t>2.</w:t>
      </w:r>
    </w:p>
    <w:p w14:paraId="141EB42F"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78F31A3B" w14:textId="77777777" w:rsidR="00AB3647" w:rsidRDefault="00000000" w:rsidP="007923E9">
      <w:pPr>
        <w:spacing w:after="100" w:line="276" w:lineRule="auto"/>
        <w:ind w:firstLine="340"/>
        <w:jc w:val="both"/>
      </w:pPr>
      <w:r>
        <w:rPr>
          <w:rtl/>
        </w:rPr>
        <w:t xml:space="preserve">משהוסדר עניין זה, הלך הבא החדש, שהשתוקק להתחיל בלימודיו, אל שול הכובענים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p w14:paraId="21423B40" w14:textId="77777777" w:rsidR="00AB3647" w:rsidRDefault="00000000" w:rsidP="007923E9">
      <w:pPr>
        <w:spacing w:after="100" w:line="276" w:lineRule="auto"/>
        <w:ind w:firstLine="340"/>
        <w:jc w:val="both"/>
      </w:pPr>
      <w:r>
        <w:rPr>
          <w:rtl/>
        </w:rPr>
        <w:lastRenderedPageBreak/>
        <w:t xml:space="preserve">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 די היה בכך לשכנע את הרב שהנער </w:t>
      </w:r>
      <w:proofErr w:type="spellStart"/>
      <w:r>
        <w:rPr>
          <w:rtl/>
        </w:rPr>
        <w:t>הדולהינובר</w:t>
      </w:r>
      <w:proofErr w:type="spellEnd"/>
      <w:r>
        <w:rPr>
          <w:rtl/>
        </w:rPr>
        <w:t xml:space="preserve"> ראוי להתקבל לישיבתו. אבי הצטרף לשאר הנערים הצעירים בישיבת שול הכובענים והחל ללמוד בשקידתו הרגילה, ולא עשה דבר כדי להתהדר בכישרונותיו המעולים.</w:t>
      </w:r>
    </w:p>
    <w:p w14:paraId="04E7DCCC" w14:textId="77777777" w:rsidR="00AB3647" w:rsidRDefault="00000000" w:rsidP="007923E9">
      <w:pPr>
        <w:spacing w:after="10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p>
    <w:p w14:paraId="4E0E29B8"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p>
    <w:p w14:paraId="106346BF" w14:textId="77777777" w:rsidR="00AB3647" w:rsidRDefault="00000000" w:rsidP="007923E9">
      <w:pPr>
        <w:spacing w:after="10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4B9DCB21" w14:textId="77777777" w:rsidR="00AB3647" w:rsidRDefault="00000000" w:rsidP="007923E9">
      <w:pPr>
        <w:spacing w:after="10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w:t>
      </w:r>
      <w:proofErr w:type="spellStart"/>
      <w:r>
        <w:rPr>
          <w:rtl/>
        </w:rPr>
        <w:t>טטרשה</w:t>
      </w:r>
      <w:proofErr w:type="spellEnd"/>
      <w:r>
        <w:rPr>
          <w:rtl/>
        </w:rPr>
        <w:t>.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p w14:paraId="7F867E3C" w14:textId="77777777" w:rsidR="00AB3647" w:rsidRDefault="00000000" w:rsidP="007923E9">
      <w:pPr>
        <w:spacing w:after="10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 והנער שב.</w:t>
      </w:r>
    </w:p>
    <w:p w14:paraId="65A5CE6A" w14:textId="77777777" w:rsidR="00AB3647" w:rsidRDefault="00000000" w:rsidP="007923E9">
      <w:pPr>
        <w:spacing w:after="10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 הוא למד שם אצל ר׳ שלמה </w:t>
      </w:r>
      <w:proofErr w:type="spellStart"/>
      <w:r>
        <w:rPr>
          <w:rtl/>
        </w:rPr>
        <w:t>גולובנצ׳יץ</w:t>
      </w:r>
      <w:proofErr w:type="spellEnd"/>
      <w:r>
        <w:rPr>
          <w:rtl/>
        </w:rPr>
        <w:t xml:space="preserve">, גיסו של רבו הראשון במינסק, ר׳ ראובן </w:t>
      </w:r>
      <w:proofErr w:type="spellStart"/>
      <w:r>
        <w:rPr>
          <w:rtl/>
        </w:rPr>
        <w:t>יודקובסקי</w:t>
      </w:r>
      <w:proofErr w:type="spellEnd"/>
      <w:r>
        <w:rPr>
          <w:rtl/>
        </w:rPr>
        <w:t>, וכשעברה הישיבה יחד עם רבה לבית המדרש הקטן שבחצר בית הכנסת, עבר עמה.</w:t>
      </w:r>
    </w:p>
    <w:p w14:paraId="24EC93D9" w14:textId="77777777" w:rsidR="00AB3647" w:rsidRDefault="00000000" w:rsidP="007923E9">
      <w:pPr>
        <w:spacing w:after="100" w:line="276" w:lineRule="auto"/>
        <w:ind w:firstLine="340"/>
        <w:jc w:val="both"/>
      </w:pPr>
      <w:r>
        <w:rPr>
          <w:rtl/>
        </w:rPr>
        <w:lastRenderedPageBreak/>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p>
    <w:p w14:paraId="22F0AF6B" w14:textId="77777777" w:rsidR="00AB3647" w:rsidRDefault="00000000" w:rsidP="007923E9">
      <w:pPr>
        <w:spacing w:after="10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xml:space="preserve">, תושבת מינסק עשירה, תמכה בר׳ לייב ראש ישיבה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p w14:paraId="06866F92" w14:textId="77777777" w:rsidR="00AB3647" w:rsidRDefault="00000000" w:rsidP="007923E9">
      <w:pPr>
        <w:spacing w:after="10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 אם תבנה שם שול. היא קיבלה את הצעתו ובנתה את </w:t>
      </w:r>
      <w:proofErr w:type="spellStart"/>
      <w:r>
        <w:rPr>
          <w:rtl/>
        </w:rPr>
        <w:t>הקלויז</w:t>
      </w:r>
      <w:proofErr w:type="spellEnd"/>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 שמה של הישיבה כראשונה במעלה הוא שמשך את אבי כשביקש שוב להחליף את מקום לימודו.</w:t>
      </w:r>
    </w:p>
    <w:p w14:paraId="6E72E364" w14:textId="77777777" w:rsidR="00AB3647" w:rsidRDefault="00000000" w:rsidP="007923E9">
      <w:pPr>
        <w:spacing w:after="10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w:t>
      </w:r>
      <w:proofErr w:type="spellStart"/>
      <w:r>
        <w:rPr>
          <w:rtl/>
        </w:rPr>
        <w:t>שימונוביץ</w:t>
      </w:r>
      <w:proofErr w:type="spellEnd"/>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אם כן עלי להיות בר מצווה?!” ראש הישיבה אהב את התשובה הנחרצת, והצעיר נתקבל.</w:t>
      </w:r>
    </w:p>
    <w:p w14:paraId="488A6BBD" w14:textId="77777777" w:rsidR="00AB3647" w:rsidRDefault="00000000" w:rsidP="007923E9">
      <w:pPr>
        <w:spacing w:after="10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p>
    <w:p w14:paraId="0154079B" w14:textId="77777777" w:rsidR="00AB3647" w:rsidRDefault="00000000" w:rsidP="007923E9">
      <w:pPr>
        <w:spacing w:after="10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p>
    <w:p w14:paraId="0FB485E6" w14:textId="77777777" w:rsidR="00AB3647" w:rsidRDefault="00000000" w:rsidP="007923E9">
      <w:pPr>
        <w:spacing w:after="100" w:line="276" w:lineRule="auto"/>
        <w:ind w:firstLine="340"/>
        <w:jc w:val="both"/>
      </w:pPr>
      <w:r>
        <w:rPr>
          <w:rtl/>
        </w:rPr>
        <w:t xml:space="preserve">אבי היה מהיר תפיסה, ומוחו פעל בלי הפסק בשנות התעצבותו אלה; הוא לא בזבז אף רגע לבטלה. כוח זיכרונו היה יוצא מן הכלל, אבל לא החשיב את עצמו לגאון. הוא פשוט תמה על כך שחבריו שוכחים לפעמים דבר שלמדו או נתקלו בו – תופעה שהייתה זרה לו לגמרי. </w:t>
      </w:r>
      <w:r>
        <w:rPr>
          <w:rtl/>
        </w:rPr>
        <w:lastRenderedPageBreak/>
        <w:t xml:space="preserve">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p>
    <w:p w14:paraId="1B819210" w14:textId="77777777" w:rsidR="00AB3647" w:rsidRDefault="00000000" w:rsidP="007923E9">
      <w:pPr>
        <w:spacing w:after="100" w:line="276" w:lineRule="auto"/>
        <w:ind w:firstLine="340"/>
        <w:jc w:val="both"/>
      </w:pPr>
      <w:r>
        <w:rPr>
          <w:rtl/>
        </w:rPr>
        <w:t xml:space="preserve">בתקופת לימודים אחת בלבד שהה בקלויז</w:t>
      </w:r>
      <w:proofErr w:type="spellStart"/>
      <w:r>
        <w:rPr>
          <w:rtl/>
        </w:rPr>
        <w:t xml:space="preserve"/>
      </w:r>
      <w:proofErr w:type="spellEnd"/>
      <w:r>
        <w:rPr>
          <w:rtl/>
        </w:rPr>
        <w:t xml:space="preserve">, כשלמדה הכיתה מסכת כתובות, שאל אבי קושיה שהמלמד לא ידע להשיב עליה, והרבי אמר כנביא: “זה הקטן גדול יהיה.”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נשא דרשה מלהיבה במינסק כשעבר בעיר בדרכו לארץ ישראל.</w:t>
      </w:r>
    </w:p>
    <w:p w14:paraId="54CD360F" w14:textId="77777777" w:rsidR="00AB3647" w:rsidRDefault="00000000" w:rsidP="007923E9">
      <w:pPr>
        <w:pStyle w:val="2"/>
        <w:spacing w:line="276" w:lineRule="auto"/>
      </w:pPr>
      <w:r>
        <w:t>3.</w:t>
      </w:r>
    </w:p>
    <w:p w14:paraId="5F9FAF28" w14:textId="77777777" w:rsidR="00AB3647" w:rsidRDefault="00000000" w:rsidP="007923E9">
      <w:pPr>
        <w:spacing w:after="10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p>
    <w:p w14:paraId="0C0F81A1" w14:textId="77777777" w:rsidR="00AB3647" w:rsidRDefault="00000000" w:rsidP="007923E9">
      <w:pPr>
        <w:spacing w:after="100" w:line="276" w:lineRule="auto"/>
        <w:ind w:firstLine="340"/>
        <w:jc w:val="both"/>
      </w:pPr>
      <w:r>
        <w:rPr>
          <w:rtl/>
        </w:rPr>
        <w:t xml:space="preserve">ר׳ </w:t>
      </w:r>
      <w:proofErr w:type="spellStart"/>
      <w:r>
        <w:rPr>
          <w:rtl/>
        </w:rPr>
        <w:t>יעקב־נח</w:t>
      </w:r>
      <w:proofErr w:type="spellEnd"/>
      <w:r>
        <w:rPr>
          <w:rtl/>
        </w:rPr>
        <w:t xml:space="preserve"> </w:t>
      </w:r>
      <w:proofErr w:type="spellStart"/>
      <w:r>
        <w:rPr>
          <w:rtl/>
        </w:rPr>
        <w:t>אוקסנקרוג</w:t>
      </w:r>
      <w:proofErr w:type="spellEnd"/>
      <w:r>
        <w:rPr>
          <w:rtl/>
        </w:rPr>
        <w:t xml:space="preserve">, קצב עשיר ובעל בתים, היה ממונה על השגת התקציב לישיבה, שלמדו בה מאתיים תלמידים. בעל הצדקה, שכונה בחיבה “ר׳ </w:t>
      </w:r>
      <w:proofErr w:type="spellStart"/>
      <w:r>
        <w:rPr>
          <w:rtl/>
        </w:rPr>
        <w:t>יענקל</w:t>
      </w:r>
      <w:proofErr w:type="spellEnd"/>
      <w:r>
        <w:rPr>
          <w:rtl/>
        </w:rPr>
        <w:t xml:space="preserve"> הקצב”, הקדיש לטובת הישיבה את כל דמי השכירות שגבה מבתיו. אבל כדי לספק לכל תלמיד את הקצבה החודשית המזערית של שני רובל,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w:t>
      </w:r>
      <w:proofErr w:type="spellStart"/>
      <w:r>
        <w:rPr>
          <w:rtl/>
        </w:rPr>
        <w:t>הורודנער</w:t>
      </w:r>
      <w:proofErr w:type="spellEnd"/>
      <w:r>
        <w:rPr>
          <w:rtl/>
        </w:rPr>
        <w:t xml:space="preserve">, שהייתה לו ישיבה משלו בשול “שואבי מים”; הוא גם עזר באיסוף כספים לישיבת שול </w:t>
      </w:r>
      <w:proofErr w:type="spellStart"/>
      <w:r>
        <w:rPr>
          <w:rtl/>
        </w:rPr>
        <w:t>הקצבים</w:t>
      </w:r>
      <w:proofErr w:type="spellEnd"/>
      <w:r>
        <w:rPr>
          <w:rtl/>
        </w:rPr>
        <w:t xml:space="preserve"> בעת הצורך.</w:t>
      </w:r>
    </w:p>
    <w:p w14:paraId="49ECA6C6" w14:textId="77777777" w:rsidR="00AB3647" w:rsidRDefault="00000000" w:rsidP="007923E9">
      <w:pPr>
        <w:spacing w:after="10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 xml:space="preserve">ו“אשמת שומרון” של אברהם מאפו</w:t>
      </w:r>
      <w:proofErr w:type="spellEnd"/>
      <w:r>
        <w:rPr>
          <w:rtl/>
        </w:rPr>
        <w:t xml:space="preserve">. הוא גם המשיך לקרוא בספרי הגאומטריה והטריגונומטריה של בני דודו,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 xml:space="preserve">), וכן על ספרו הקשה של אותו מחבר על טעמי המקרא. אבל ככל שהתבגר </w:t>
      </w:r>
      <w:proofErr w:type="spellStart"/>
      <w:r>
        <w:rPr>
          <w:rtl/>
        </w:rPr>
        <w:t>הדולהינובר</w:t>
      </w:r>
      <w:proofErr w:type="spellEnd"/>
      <w:r>
        <w:rPr>
          <w:rtl/>
        </w:rPr>
        <w:t xml:space="preserve">, הבין שחברת בני דודו, ולו רק בלילות, טומנת בחובה סכנה רוחנית, והחליט לעזוב את הגומחה שבבית דודו ולעבור לשול </w:t>
      </w:r>
      <w:proofErr w:type="spellStart"/>
      <w:r>
        <w:rPr>
          <w:rtl/>
        </w:rPr>
        <w:t>הקצבים</w:t>
      </w:r>
      <w:proofErr w:type="spellEnd"/>
      <w:r>
        <w:rPr>
          <w:rtl/>
        </w:rPr>
        <w:t>.</w:t>
      </w:r>
    </w:p>
    <w:p w14:paraId="16C6D6FE" w14:textId="77777777" w:rsidR="00AB3647" w:rsidRDefault="00000000" w:rsidP="007923E9">
      <w:pPr>
        <w:spacing w:after="10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w:t>
      </w:r>
      <w:proofErr w:type="spellStart"/>
      <w:r>
        <w:rPr>
          <w:rtl/>
        </w:rPr>
        <w:t>ב“חזקה</w:t>
      </w:r>
      <w:proofErr w:type="spellEnd"/>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 בחורף של השנה המעוברת שבאה אחר כך למדה הישיבה את כל מסכת יבמות.</w:t>
      </w:r>
    </w:p>
    <w:p w14:paraId="653298AD" w14:textId="77777777" w:rsidR="00AB3647" w:rsidRDefault="00000000" w:rsidP="007923E9">
      <w:pPr>
        <w:spacing w:after="100" w:line="276" w:lineRule="auto"/>
        <w:ind w:firstLine="340"/>
        <w:jc w:val="both"/>
      </w:pPr>
      <w:r>
        <w:rPr>
          <w:rtl/>
        </w:rPr>
        <w:lastRenderedPageBreak/>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61180CD9" w14:textId="77777777" w:rsidR="00AB3647" w:rsidRDefault="00000000" w:rsidP="007923E9">
      <w:pPr>
        <w:spacing w:after="100" w:line="276" w:lineRule="auto"/>
        <w:ind w:firstLine="340"/>
        <w:jc w:val="both"/>
      </w:pPr>
      <w:r>
        <w:rPr>
          <w:rtl/>
        </w:rPr>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72B1BF2A" w14:textId="77777777" w:rsidR="00AB3647" w:rsidRDefault="00000000" w:rsidP="007923E9">
      <w:pPr>
        <w:spacing w:after="10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p>
    <w:p w14:paraId="27FFA266" w14:textId="77777777" w:rsidR="00AB3647" w:rsidRDefault="00000000" w:rsidP="007923E9">
      <w:pPr>
        <w:spacing w:after="10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p w14:paraId="1505EB83" w14:textId="77777777" w:rsidR="00AB3647" w:rsidRDefault="00000000" w:rsidP="007923E9">
      <w:pPr>
        <w:spacing w:after="10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 הצעיר ממנו בעשרה חודשים, ורבנו היה מביא אותו לביתו לארוחה קבועה ולפעמים למשחק שחמט. אהרן היה יתום מאביו ומאמו: </w:t>
      </w:r>
      <w:proofErr w:type="spellStart"/>
      <w:r>
        <w:rPr>
          <w:rtl/>
        </w:rPr>
        <w:t>אמו</w:t>
      </w:r>
      <w:proofErr w:type="spellEnd"/>
      <w:r>
        <w:rPr>
          <w:rtl/>
        </w:rPr>
        <w:t xml:space="preserve"> נפטרה כשהיה בן שלוש, ואביו, ר׳ </w:t>
      </w:r>
      <w:proofErr w:type="spellStart"/>
      <w:r>
        <w:rPr>
          <w:rtl/>
        </w:rPr>
        <w:t>שניאור־זלמן</w:t>
      </w:r>
      <w:proofErr w:type="spellEnd"/>
      <w:r>
        <w:rPr>
          <w:rtl/>
        </w:rPr>
        <w:t xml:space="preserve"> פינס, רב </w:t>
      </w:r>
      <w:proofErr w:type="spellStart"/>
      <w:r>
        <w:rPr>
          <w:rtl/>
        </w:rPr>
        <w:t>סיסלוביץ</w:t>
      </w:r>
      <w:proofErr w:type="spellEnd"/>
      <w:r>
        <w:rPr>
          <w:rtl/>
        </w:rPr>
        <w:t xml:space="preserve">׳, כשהיה בן </w:t>
      </w:r>
      <w:proofErr w:type="spellStart"/>
      <w:r>
        <w:rPr>
          <w:rtl/>
        </w:rPr>
        <w:t>אחת־עשרה</w:t>
      </w:r>
      <w:proofErr w:type="spellEnd"/>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p>
    <w:p w14:paraId="1F28CCDF" w14:textId="77777777" w:rsidR="00AB3647" w:rsidRDefault="00000000" w:rsidP="007923E9">
      <w:pPr>
        <w:spacing w:after="10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אחרי שנה שם בא למינסק, שבה ישבו אז כמה מקרוביו, ופגש את רבנו ואת הוריו. אבל שוב נשלח אהרן מן העיר, הפעם </w:t>
      </w:r>
      <w:proofErr w:type="spellStart"/>
      <w:r>
        <w:rPr>
          <w:rtl/>
        </w:rPr>
        <w:t>לסלבודקה</w:t>
      </w:r>
      <w:proofErr w:type="spellEnd"/>
      <w:r>
        <w:rPr>
          <w:rtl/>
        </w:rPr>
        <w:t xml:space="preserve">, פרבר של העיר הגדולה קובנה, לישיבת כנסת בית יצחק,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איש שחסידותו יצאה לה מוניטין. שם נעשה אהרן בר מצווה, ושמעו כעילוי יצא בכל העיר, וגם בישיבה האחרת </w:t>
      </w:r>
      <w:proofErr w:type="spellStart"/>
      <w:r>
        <w:rPr>
          <w:rtl/>
        </w:rPr>
        <w:t>שבסלבודקה</w:t>
      </w:r>
      <w:proofErr w:type="spellEnd"/>
      <w:r>
        <w:rPr>
          <w:rtl/>
        </w:rPr>
        <w:t>, כנסת ישראל.</w:t>
      </w:r>
    </w:p>
    <w:p w14:paraId="7B48370A" w14:textId="77777777" w:rsidR="00AB3647" w:rsidRDefault="00000000" w:rsidP="007923E9">
      <w:pPr>
        <w:spacing w:after="100" w:line="276" w:lineRule="auto"/>
        <w:ind w:firstLine="340"/>
        <w:jc w:val="both"/>
      </w:pPr>
      <w:r>
        <w:rPr>
          <w:rtl/>
        </w:rPr>
        <w:lastRenderedPageBreak/>
        <w:t xml:space="preserve">אחרי פחות מחצי שנה </w:t>
      </w:r>
      <w:proofErr w:type="spellStart"/>
      <w:r>
        <w:rPr>
          <w:rtl/>
        </w:rPr>
        <w:t>בסלבודקה</w:t>
      </w:r>
      <w:proofErr w:type="spellEnd"/>
      <w:r>
        <w:rPr>
          <w:rtl/>
        </w:rPr>
        <w:t xml:space="preserve"> הוחזר אהרן הצעיר למינסק, העיר שבה כיהן פעם סבו של סבו כרב נכבד, כדי שיירשם אחרי פסח תרס״ה בקיבוץ שבשול </w:t>
      </w:r>
      <w:proofErr w:type="spellStart"/>
      <w:r>
        <w:rPr>
          <w:rtl/>
        </w:rPr>
        <w:t>הקצבים</w:t>
      </w:r>
      <w:proofErr w:type="spellEnd"/>
      <w:r>
        <w:rPr>
          <w:rtl/>
        </w:rPr>
        <w:t xml:space="preserve">. התלמיד החדש והמבריק התאים היטב בלימודו לחברו הוותיק, ונקשרה ביניהם ידידות אמיצה. בני משפחת </w:t>
      </w:r>
      <w:proofErr w:type="spellStart"/>
      <w:r>
        <w:rPr>
          <w:rtl/>
        </w:rPr>
        <w:t>קמינצקי</w:t>
      </w:r>
      <w:proofErr w:type="spellEnd"/>
      <w:r>
        <w:rPr>
          <w:rtl/>
        </w:rPr>
        <w:t xml:space="preserve"> הביטו על שניהם בכבוד, בשל רדיפתם הבלתי פוסקת אחרי החכמה.</w:t>
      </w:r>
    </w:p>
    <w:p w14:paraId="1C746509" w14:textId="77777777" w:rsidR="00AB3647" w:rsidRDefault="00000000" w:rsidP="007923E9">
      <w:pPr>
        <w:spacing w:after="10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 שכרה מורה בשם אשכנזי שייתן לרבנו שיעורים פרטיים.</w:t>
      </w:r>
    </w:p>
    <w:p w14:paraId="3854BB0C" w14:textId="77777777" w:rsidR="00AB3647" w:rsidRDefault="00000000" w:rsidP="007923E9">
      <w:pPr>
        <w:spacing w:after="100" w:line="276" w:lineRule="auto"/>
        <w:ind w:firstLine="340"/>
        <w:jc w:val="both"/>
      </w:pPr>
      <w:r>
        <w:rPr>
          <w:rtl/>
        </w:rPr>
        <w:t xml:space="preserve">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 כשהחלה הדודה ראשה לפתות את אבי לעזוב את לימוד התורה לגמרי, והוא הבין שאשכנזי מוליך אותו לאותו כיוון, סירב להמשיך בשיעורים.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p>
    <w:p w14:paraId="25989EB7" w14:textId="77777777" w:rsidR="00AB3647" w:rsidRDefault="00000000" w:rsidP="007923E9">
      <w:pPr>
        <w:spacing w:after="10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xml:space="preserve">, רב שכונת תחנת הרכבת של וילנה במינסק. את ראובן, בן </w:t>
      </w:r>
      <w:proofErr w:type="spellStart"/>
      <w:r>
        <w:rPr>
          <w:rtl/>
        </w:rPr>
        <w:t>שמונה־עשרה</w:t>
      </w:r>
      <w:proofErr w:type="spellEnd"/>
      <w:r>
        <w:rPr>
          <w:rtl/>
        </w:rPr>
        <w:t>, אפפה הילה של קדושה. שלא כשאר תלמידי הישיבות בימים ההם, לא גילח את זקנו, ולא עסק בשום עניין של חול אפילו כלאחר יד. להיטותו יוצאת הדופן לתורה הקנתה לו שם במינסק. כמו אביו, נלחם בהתפשטות הציונות המדינית, וניסה להטות את מרצם של צעירי העיר ממנה אל לימוד התורה.</w:t>
      </w:r>
    </w:p>
    <w:p w14:paraId="6B0DA6C6" w14:textId="77777777" w:rsidR="00AB3647" w:rsidRDefault="00000000" w:rsidP="007923E9">
      <w:pPr>
        <w:spacing w:after="100" w:line="276" w:lineRule="auto"/>
        <w:ind w:firstLine="340"/>
        <w:jc w:val="both"/>
      </w:pPr>
      <w:r>
        <w:rPr>
          <w:rtl/>
        </w:rPr>
        <w:t xml:space="preserve">בחורף הקודם, כשאהרן פינס היה שם, למד ראובן </w:t>
      </w:r>
      <w:proofErr w:type="spellStart"/>
      <w:r>
        <w:rPr>
          <w:rtl/>
        </w:rPr>
        <w:t>בסלבודקה</w:t>
      </w:r>
      <w:proofErr w:type="spellEnd"/>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xml:space="preserve">, אלא בישיבה המתחרה, כנסת ישראל, שבראשה עמד ר׳ </w:t>
      </w:r>
      <w:proofErr w:type="spellStart"/>
      <w:r>
        <w:rPr>
          <w:rtl/>
        </w:rPr>
        <w:t>משה־מרדכי</w:t>
      </w:r>
      <w:proofErr w:type="spellEnd"/>
      <w:r>
        <w:rPr>
          <w:rtl/>
        </w:rPr>
        <w:t xml:space="preserve"> אפשטיין. כשיצא ראובן לביתו, הורה לו המשגיח הוותיק של כנסת ישראל, ר׳ </w:t>
      </w:r>
      <w:proofErr w:type="spellStart"/>
      <w:r>
        <w:rPr>
          <w:rtl/>
        </w:rPr>
        <w:t>נתן־צבי</w:t>
      </w:r>
      <w:proofErr w:type="spellEnd"/>
      <w:r>
        <w:rPr>
          <w:rtl/>
        </w:rPr>
        <w:t xml:space="preserve"> </w:t>
      </w:r>
      <w:proofErr w:type="spellStart"/>
      <w:r>
        <w:rPr>
          <w:rtl/>
        </w:rPr>
        <w:t>פינקל</w:t>
      </w:r>
      <w:proofErr w:type="spellEnd"/>
      <w:r>
        <w:rPr>
          <w:rtl/>
        </w:rPr>
        <w:t xml:space="preserve">, לשים עין על אהרן פינס הצעיר בשעה שישהה ראובן בעיר הולדתו, ולנסות להביאו לישיבתו </w:t>
      </w:r>
      <w:proofErr w:type="spellStart"/>
      <w:r>
        <w:rPr>
          <w:rtl/>
        </w:rPr>
        <w:t>שבסלבודקה</w:t>
      </w:r>
      <w:proofErr w:type="spellEnd"/>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p w14:paraId="05C3E109" w14:textId="77777777" w:rsidR="00AB3647" w:rsidRDefault="00000000" w:rsidP="007923E9">
      <w:pPr>
        <w:spacing w:after="10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יוסף־דב,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xml:space="preserve">, אבל שמעו כעילוי כבר יצא בכל חוגי התורה של מינסק. ראובן דחה בנועם את הבקשה. הוא הסביר שהוא עצמו יכול לעמוד על שלו בוויכוחים עם אחיה ואחיותיה של </w:t>
      </w:r>
      <w:r>
        <w:rPr>
          <w:rtl/>
        </w:rPr>
        <w:lastRenderedPageBreak/>
        <w:t xml:space="preserve">הכלה הצעירה, שנטו לסוציאליזם, אבל אינו בטוח שאהרן הצעיר לא יימשך אל </w:t>
      </w:r>
      <w:proofErr w:type="spellStart"/>
      <w:r>
        <w:rPr>
          <w:rtl/>
        </w:rPr>
        <w:t>צדם</w:t>
      </w:r>
      <w:proofErr w:type="spellEnd"/>
      <w:r>
        <w:rPr>
          <w:rtl/>
        </w:rPr>
        <w:t>, צד שונאי התורה.</w:t>
      </w:r>
    </w:p>
    <w:p w14:paraId="469CC759" w14:textId="77777777" w:rsidR="00AB3647" w:rsidRDefault="00000000" w:rsidP="007923E9">
      <w:pPr>
        <w:spacing w:after="10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p>
    <w:p w14:paraId="07987A33" w14:textId="77777777" w:rsidR="00AB3647" w:rsidRDefault="00000000" w:rsidP="007923E9">
      <w:pPr>
        <w:spacing w:after="100" w:line="276" w:lineRule="auto"/>
        <w:ind w:firstLine="340"/>
        <w:jc w:val="both"/>
      </w:pPr>
      <w:r>
        <w:rPr>
          <w:rtl/>
        </w:rPr>
        <w:t xml:space="preserve">בעל ברית במערכה זו מצא ראובן בבן מינסק המבוגר ממנו בשנה, אשר </w:t>
      </w:r>
      <w:proofErr w:type="spellStart"/>
      <w:r>
        <w:rPr>
          <w:rtl/>
        </w:rPr>
        <w:t>קרשטיין</w:t>
      </w:r>
      <w:proofErr w:type="spellEnd"/>
      <w:r>
        <w:rPr>
          <w:rtl/>
        </w:rPr>
        <w:t xml:space="preserve">, שלמד אז כבר שנתיים באותה ישיבה שבה למד גם הוא, כנסת ישראל, ובא למינסק לביקור קצר. אשר 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p>
    <w:p w14:paraId="7F94BA55" w14:textId="77777777" w:rsidR="00AB3647" w:rsidRDefault="00000000" w:rsidP="007923E9">
      <w:pPr>
        <w:spacing w:after="10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 – ר׳ שלמה </w:t>
      </w:r>
      <w:proofErr w:type="spellStart"/>
      <w:r>
        <w:rPr>
          <w:rtl/>
        </w:rPr>
        <w:t>גולובנצ׳יץ</w:t>
      </w:r>
      <w:proofErr w:type="spellEnd"/>
      <w:r>
        <w:rPr>
          <w:rtl/>
        </w:rPr>
        <w:t xml:space="preserve">. ר׳ שלמה, מצדו, סידר שאוהב התורה ר׳ </w:t>
      </w:r>
      <w:proofErr w:type="spellStart"/>
      <w:r>
        <w:rPr>
          <w:rtl/>
        </w:rPr>
        <w:t>יעקב־נח</w:t>
      </w:r>
      <w:proofErr w:type="spellEnd"/>
      <w:r>
        <w:rPr>
          <w:rtl/>
        </w:rPr>
        <w:t xml:space="preserve"> </w:t>
      </w:r>
      <w:proofErr w:type="spellStart"/>
      <w:r>
        <w:rPr>
          <w:rtl/>
        </w:rPr>
        <w:t>אוקסנקרוג</w:t>
      </w:r>
      <w:proofErr w:type="spellEnd"/>
      <w:r>
        <w:rPr>
          <w:rtl/>
        </w:rPr>
        <w:t xml:space="preserve"> יממן את דמי הנסיעה ברכבת ואת ההוצאות הראשונות של שני תלמידי החכמים הצעירים המבטיחים, אם יסכימו לעזוב את מינסק. משהוסר מכשול זה, שב ראובן להסתערות חזיתית, ודחק בשני הנערים שלא ידחו עוד את יציאתם ממינסק.</w:t>
      </w:r>
    </w:p>
    <w:p w14:paraId="07BD5DD9" w14:textId="77777777" w:rsidR="00AB3647" w:rsidRDefault="00000000" w:rsidP="007923E9">
      <w:pPr>
        <w:spacing w:after="10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 ור׳ בנימין </w:t>
      </w:r>
      <w:proofErr w:type="spellStart"/>
      <w:r>
        <w:rPr>
          <w:rtl/>
        </w:rPr>
        <w:t>קמינצקי</w:t>
      </w:r>
      <w:proofErr w:type="spellEnd"/>
      <w:r>
        <w:rPr>
          <w:rtl/>
        </w:rPr>
        <w:t xml:space="preserve"> נועץ באביו, ר׳ </w:t>
      </w:r>
      <w:proofErr w:type="spellStart"/>
      <w:r>
        <w:rPr>
          <w:rtl/>
        </w:rPr>
        <w:t>שמואל־הירש</w:t>
      </w:r>
      <w:proofErr w:type="spellEnd"/>
      <w:r>
        <w:rPr>
          <w:rtl/>
        </w:rPr>
        <w:t xml:space="preserve">, מה לעשות. ר׳ </w:t>
      </w:r>
      <w:proofErr w:type="spellStart"/>
      <w:r>
        <w:rPr>
          <w:rtl/>
        </w:rPr>
        <w:t>שמואל־הירש</w:t>
      </w:r>
      <w:proofErr w:type="spellEnd"/>
      <w:r>
        <w:rPr>
          <w:rtl/>
        </w:rPr>
        <w:t xml:space="preserve"> תמך בלב שלם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p w14:paraId="06C5F0D4" w14:textId="77777777" w:rsidR="00AB3647" w:rsidRDefault="00000000" w:rsidP="007923E9">
      <w:pPr>
        <w:pStyle w:val="ae"/>
        <w:keepNext/>
        <w:pageBreakBefore/>
        <w:spacing w:line="276" w:lineRule="auto"/>
      </w:pPr>
      <w:bookmarkStart w:id="133" w:name="text_chapter3"/>
      <w:r>
        <w:lastRenderedPageBreak/>
        <w:t>פרק שלישי</w:t>
      </w:r>
      <w:bookmarkEnd w:id="133"/>
    </w:p>
    <w:p w14:paraId="72B4A1D2" w14:textId="77777777" w:rsidR="00AB3647" w:rsidRDefault="00000000" w:rsidP="007923E9">
      <w:pPr>
        <w:pStyle w:val="1"/>
        <w:spacing w:line="276" w:lineRule="auto"/>
      </w:pPr>
      <w:r>
        <w:t xml:space="preserve">העשור השני – ב: </w:t>
      </w:r>
      <w:proofErr w:type="spellStart"/>
      <w:r>
        <w:t>סלבודקה</w:t>
      </w:r>
      <w:proofErr w:type="spellEnd"/>
    </w:p>
    <w:p w14:paraId="16B0E6F5" w14:textId="77777777" w:rsidR="00AB3647" w:rsidRDefault="00000000" w:rsidP="007923E9">
      <w:pPr>
        <w:pStyle w:val="2"/>
        <w:spacing w:line="276" w:lineRule="auto"/>
      </w:pPr>
      <w:r>
        <w:t>1.</w:t>
      </w:r>
    </w:p>
    <w:p w14:paraId="1B990D9D" w14:textId="77777777" w:rsidR="00AB3647" w:rsidRDefault="00000000" w:rsidP="007923E9">
      <w:pPr>
        <w:spacing w:after="10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xml:space="preserve">, ועמם מועמד שלישי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w:t>
      </w:r>
      <w:proofErr w:type="spellStart"/>
      <w:r>
        <w:rPr>
          <w:rtl/>
        </w:rPr>
        <w:t>הסיסלוביצ׳ר</w:t>
      </w:r>
      <w:proofErr w:type="spellEnd"/>
      <w:r>
        <w:rPr>
          <w:rtl/>
        </w:rPr>
        <w:t xml:space="preserve"> החליטו לנצל את שעות הפנאי המעטות שהיו להם כדי להעיף מבט בעיר.</w:t>
      </w:r>
    </w:p>
    <w:p w14:paraId="59ABF3E2" w14:textId="77777777" w:rsidR="00AB3647" w:rsidRDefault="00000000" w:rsidP="007923E9">
      <w:pPr>
        <w:spacing w:after="10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xml:space="preserve">. רחוב זה עבר בשער מקומר שבתוך כנסייה: הקתולים שנכנסו בשער כרעו והצטלבו, ואילו היהודים, להבדיל, נדרשו להסיר את כובעיהם. יהודי וילנאי טוב לב, שראה את שני הנערים מעיינים בשלטי הרחובות, הבין שתעו והוליכם בחזרה אל התחנה.</w:t>
      </w:r>
    </w:p>
    <w:p w14:paraId="34B8199E" w14:textId="77777777" w:rsidR="00AB3647" w:rsidRDefault="00000000" w:rsidP="007923E9">
      <w:pPr>
        <w:spacing w:after="10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p>
    <w:p w14:paraId="15BB872F" w14:textId="77777777" w:rsidR="00AB3647" w:rsidRDefault="00000000" w:rsidP="007923E9">
      <w:pPr>
        <w:spacing w:after="10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w:t>
      </w:r>
      <w:proofErr w:type="spellStart"/>
      <w:r>
        <w:rPr>
          <w:rtl/>
        </w:rPr>
        <w:t>בטננברג</w:t>
      </w:r>
      <w:proofErr w:type="spellEnd"/>
      <w:r>
        <w:rPr>
          <w:rtl/>
        </w:rPr>
        <w:t>, יצאה העיר לדרך התפתחות איטית, ובשלב זה התקבלו יהודים בברכה לאזור קובנה.</w:t>
      </w:r>
    </w:p>
    <w:p w14:paraId="563DE62C" w14:textId="77777777" w:rsidR="00AB3647" w:rsidRDefault="00000000" w:rsidP="007923E9">
      <w:pPr>
        <w:spacing w:after="100" w:line="276" w:lineRule="auto"/>
        <w:ind w:firstLine="340"/>
        <w:jc w:val="both"/>
      </w:pPr>
      <w:r>
        <w:rPr>
          <w:rtl/>
        </w:rPr>
        <w:t xml:space="preserve">במשך 370 השנים שלאחר מכן השלימו הבורגנים הנוצרים של קובנה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p>
    <w:p w14:paraId="1FB4067F" w14:textId="77777777" w:rsidR="00AB3647" w:rsidRDefault="00000000" w:rsidP="007923E9">
      <w:pPr>
        <w:spacing w:after="10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xml:space="preserve">, ר׳ משה </w:t>
      </w:r>
      <w:proofErr w:type="spellStart"/>
      <w:r>
        <w:rPr>
          <w:rtl/>
        </w:rPr>
        <w:t>סולובייצ׳יק</w:t>
      </w:r>
      <w:proofErr w:type="spellEnd"/>
      <w:r>
        <w:rPr>
          <w:rtl/>
        </w:rPr>
        <w:t xml:space="preserve">, שהיה עשיר מצד עצמו, ואחיו הגדול, איש העסקים ר׳ אברהם, פתחו בשנת </w:t>
      </w:r>
      <w:r>
        <w:rPr>
          <w:rtl/>
        </w:rPr>
        <w:lastRenderedPageBreak/>
        <w:t xml:space="preserve">תקכ״א בתביעה משפטית נגד ההגבלה השרירותית על מגורי יהודים. ההתדיינות נמשכה עשרים ואחת שנה ועלתה הון תועפות, אבל לבסוף זכו בדין.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p>
    <w:p w14:paraId="5869E7D0" w14:textId="77777777" w:rsidR="00AB3647" w:rsidRDefault="00000000" w:rsidP="007923E9">
      <w:pPr>
        <w:spacing w:after="10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 ופולין.</w:t>
      </w:r>
    </w:p>
    <w:p w14:paraId="71EF00CF" w14:textId="77777777" w:rsidR="00AB3647" w:rsidRDefault="00000000" w:rsidP="007923E9">
      <w:pPr>
        <w:spacing w:after="10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p>
    <w:p w14:paraId="78FEF4C4" w14:textId="77777777" w:rsidR="00AB3647" w:rsidRDefault="00000000" w:rsidP="007923E9">
      <w:pPr>
        <w:spacing w:after="10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r>
        <w:rPr>
          <w:rtl/>
        </w:rPr>
        <w:t xml:space="preserve"> ישיבות נודעות בפרברה.</w:t>
      </w:r>
    </w:p>
    <w:p w14:paraId="6800EEDF" w14:textId="77777777" w:rsidR="00AB3647" w:rsidRDefault="00000000" w:rsidP="007923E9">
      <w:pPr>
        <w:spacing w:after="100" w:line="276" w:lineRule="auto"/>
        <w:ind w:firstLine="340"/>
        <w:jc w:val="both"/>
      </w:pPr>
      <w:r>
        <w:rPr>
          <w:rtl/>
        </w:rPr>
        <w:t xml:space="preserve">תחילה היה בקובנה רק כולל. הוא נחנך בשנת תרל״ז, וכעבור ארבע שנים יצא לו שם עם פרסום “עץ פרי”, חוברת שהעלתה על נס את רעיון הכולל. אחד ממנהליו הראשונים של כולל קובנה,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הביאו אל הנהלת הכולל חבר צעיר בתנועת המוסר, ר׳ </w:t>
      </w:r>
      <w:proofErr w:type="spellStart"/>
      <w:r>
        <w:rPr>
          <w:rtl/>
        </w:rPr>
        <w:t>נתן־צבי</w:t>
      </w:r>
      <w:proofErr w:type="spellEnd"/>
      <w:r>
        <w:rPr>
          <w:rtl/>
        </w:rPr>
        <w:t xml:space="preserve"> </w:t>
      </w:r>
      <w:proofErr w:type="spellStart"/>
      <w:r>
        <w:rPr>
          <w:rtl/>
        </w:rPr>
        <w:t>פינקל</w:t>
      </w:r>
      <w:proofErr w:type="spellEnd"/>
      <w:r>
        <w:rPr>
          <w:rtl/>
        </w:rPr>
        <w:t>, אף שלא באופן רשמי.</w:t>
      </w:r>
    </w:p>
    <w:p w14:paraId="06D8E1F8" w14:textId="77777777" w:rsidR="00AB3647" w:rsidRDefault="00000000" w:rsidP="007923E9">
      <w:pPr>
        <w:spacing w:after="10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 עד תרמ״ב כבר נכללה במסגרת כולל קובנה ישיבה שפעלה במלואה בבית המדרש הישן </w:t>
      </w:r>
      <w:proofErr w:type="spellStart"/>
      <w:r>
        <w:rPr>
          <w:rtl/>
        </w:rPr>
        <w:t>בסלבודקה</w:t>
      </w:r>
      <w:proofErr w:type="spellEnd"/>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p>
    <w:p w14:paraId="49618B5C" w14:textId="77777777" w:rsidR="00AB3647" w:rsidRDefault="00000000" w:rsidP="007923E9">
      <w:pPr>
        <w:spacing w:after="100" w:line="276" w:lineRule="auto"/>
        <w:ind w:firstLine="340"/>
        <w:jc w:val="both"/>
      </w:pPr>
      <w:r>
        <w:rPr>
          <w:rtl/>
        </w:rPr>
        <w:t xml:space="preserve">בשנת תרמ״ט נתקבל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 כשעזב בשנת תרנ״ד כדי לכהן כרב בעיירה ליטאית בינונית בגודלה,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p>
    <w:p w14:paraId="3E2C1EF7" w14:textId="77777777" w:rsidR="00AB3647" w:rsidRDefault="00000000" w:rsidP="007923E9">
      <w:pPr>
        <w:spacing w:after="100" w:line="276" w:lineRule="auto"/>
        <w:ind w:firstLine="340"/>
        <w:jc w:val="both"/>
      </w:pPr>
      <w:r>
        <w:rPr>
          <w:rtl/>
        </w:rPr>
        <w:lastRenderedPageBreak/>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p>
    <w:p w14:paraId="3DACBBB4" w14:textId="77777777" w:rsidR="00AB3647" w:rsidRDefault="00000000" w:rsidP="007923E9">
      <w:pPr>
        <w:spacing w:after="100" w:line="276" w:lineRule="auto"/>
        <w:ind w:firstLine="340"/>
        <w:jc w:val="both"/>
      </w:pPr>
      <w:r>
        <w:rPr>
          <w:rtl/>
        </w:rPr>
        <w:t xml:space="preserve">לאחר מכן, בשנת תרנ״ז, עלה על פני השטח זרם ההתנגדות הסמוי לתנועת המוסר בקרב רבני ליטא. אספה של רבנים ליטאיים מובילים,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 xml:space="preserve">, פסקה שר׳ </w:t>
      </w:r>
      <w:proofErr w:type="spellStart"/>
      <w:r>
        <w:rPr>
          <w:rtl/>
        </w:rPr>
        <w:t>נתן־צבי</w:t>
      </w:r>
      <w:proofErr w:type="spellEnd"/>
      <w:r>
        <w:rPr>
          <w:rtl/>
        </w:rPr>
        <w:t xml:space="preserve">, תומך המוסר, חייב להתנתק מכולל קובנה. מיד כשיצא פסק הרבנים נכנס הסבא </w:t>
      </w:r>
      <w:proofErr w:type="spellStart"/>
      <w:r>
        <w:rPr>
          <w:rtl/>
        </w:rPr>
        <w:t>מסלבודקה</w:t>
      </w:r>
      <w:proofErr w:type="spellEnd"/>
      <w:r>
        <w:rPr>
          <w:rtl/>
        </w:rPr>
        <w:t xml:space="preserve"> לבית המדרש הישן, והודיע ליותר ממאתיים התלמידים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w:t>
      </w:r>
      <w:proofErr w:type="spellStart"/>
      <w:r>
        <w:rPr>
          <w:rtl/>
        </w:rPr>
        <w:t>הקצבים</w:t>
      </w:r>
      <w:proofErr w:type="spellEnd"/>
      <w:r>
        <w:rPr>
          <w:rtl/>
        </w:rPr>
        <w:t xml:space="preserve"> ולייסד את הישיבה החדשה.</w:t>
      </w:r>
    </w:p>
    <w:p w14:paraId="26A9B74B" w14:textId="77777777" w:rsidR="00AB3647" w:rsidRDefault="00000000" w:rsidP="007923E9">
      <w:pPr>
        <w:spacing w:after="100" w:line="276" w:lineRule="auto"/>
        <w:ind w:firstLine="340"/>
        <w:jc w:val="both"/>
      </w:pPr>
      <w:r>
        <w:rPr>
          <w:rtl/>
        </w:rPr>
        <w:t xml:space="preserve">כרבע מן התלמידים,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 – קיבלו את ההזמנה. ישיבה חדשה בשם “כנסת ישראל”, על שם ר׳ ישראל </w:t>
      </w:r>
      <w:proofErr w:type="spellStart"/>
      <w:r>
        <w:rPr>
          <w:rtl/>
        </w:rPr>
        <w:t>סלנטר</w:t>
      </w:r>
      <w:proofErr w:type="spellEnd"/>
      <w:r>
        <w:rPr>
          <w:rtl/>
        </w:rPr>
        <w:t xml:space="preserve">, נפתחה </w:t>
      </w:r>
      <w:proofErr w:type="spellStart"/>
      <w:r>
        <w:rPr>
          <w:rtl/>
        </w:rPr>
        <w:t>בסלבודקה</w:t>
      </w:r>
      <w:proofErr w:type="spellEnd"/>
      <w:r>
        <w:rPr>
          <w:rtl/>
        </w:rPr>
        <w:t xml:space="preserve">. ישיבת </w:t>
      </w:r>
      <w:proofErr w:type="spellStart"/>
      <w:r>
        <w:rPr>
          <w:rtl/>
        </w:rPr>
        <w:t>סלבודקה</w:t>
      </w:r>
      <w:proofErr w:type="spellEnd"/>
      <w:r>
        <w:rPr>
          <w:rtl/>
        </w:rPr>
        <w:t xml:space="preserve"> המקורית, שנשארה בבית המדרש הישן, קיבלה את השם “כנסת בית יצחק”, על שם ר׳ </w:t>
      </w:r>
      <w:proofErr w:type="spellStart"/>
      <w:r>
        <w:rPr>
          <w:rtl/>
        </w:rPr>
        <w:t>יצחק־אלחנן</w:t>
      </w:r>
      <w:proofErr w:type="spellEnd"/>
      <w:r>
        <w:rPr>
          <w:rtl/>
        </w:rPr>
        <w:t xml:space="preserve"> המנוח,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w:t>
      </w:r>
      <w:proofErr w:type="spellStart"/>
      <w:r>
        <w:rPr>
          <w:rtl/>
        </w:rPr>
        <w:t>מסלבודקה</w:t>
      </w:r>
      <w:proofErr w:type="spellEnd"/>
      <w:r>
        <w:rPr>
          <w:rtl/>
        </w:rPr>
        <w:t xml:space="preserve">” – היה אחראי ליצירת </w:t>
      </w:r>
      <w:r>
        <w:rPr>
          <w:b/>
          <w:bCs/>
          <w:rtl/>
        </w:rPr>
        <w:t>שתיהן</w:t>
      </w:r>
      <w:r>
        <w:rPr>
          <w:rtl/>
        </w:rPr>
        <w:t>.</w:t>
      </w:r>
    </w:p>
    <w:p w14:paraId="57E975FC" w14:textId="77777777" w:rsidR="00AB3647" w:rsidRDefault="00000000" w:rsidP="007923E9">
      <w:pPr>
        <w:spacing w:after="10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xml:space="preserve">, רבה של </w:t>
      </w:r>
      <w:proofErr w:type="spellStart"/>
      <w:r>
        <w:rPr>
          <w:rtl/>
        </w:rPr>
        <w:t>מיאשאד</w:t>
      </w:r>
      <w:proofErr w:type="spellEnd"/>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 </w:t>
      </w:r>
      <w:proofErr w:type="spellStart"/>
      <w:r>
        <w:rPr>
          <w:rtl/>
        </w:rPr>
        <w:t>בתרס״ה</w:t>
      </w:r>
      <w:proofErr w:type="spellEnd"/>
      <w:r>
        <w:rPr>
          <w:rtl/>
        </w:rPr>
        <w:t>. בואו הביא לישיבה, לצד למדנות מעולה, גם מופת של יראת שמים שהתלמידים יכלו לחקותו.</w:t>
      </w:r>
    </w:p>
    <w:p w14:paraId="3260382A" w14:textId="77777777" w:rsidR="00AB3647" w:rsidRDefault="00000000" w:rsidP="007923E9">
      <w:pPr>
        <w:spacing w:after="10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 שם לדרך פילוסופית יותר. בישיבה החל לצמוח בן תורה מעמיק במחשבתו. כנסת ישראל גדלה גם במספר תלמידיה, השתוותה לכנסת בית יצחק ולבסוף אף עלתה עליה.</w:t>
      </w:r>
    </w:p>
    <w:p w14:paraId="30576126" w14:textId="77777777" w:rsidR="00AB3647" w:rsidRDefault="00000000" w:rsidP="007923E9">
      <w:pPr>
        <w:spacing w:after="10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 xml:space="preserve">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w:t>
      </w:r>
      <w:proofErr w:type="spellStart"/>
      <w:r>
        <w:rPr>
          <w:rtl/>
        </w:rPr>
        <w:t>טלז</w:t>
      </w:r>
      <w:proofErr w:type="spellEnd"/>
      <w:r>
        <w:rPr>
          <w:rtl/>
        </w:rPr>
        <w:t>. בקרב תלמידי כנסת ישראל הייתה שאלת לימוד המוסר מקור מחלוקת מתמיד.</w:t>
      </w:r>
    </w:p>
    <w:p w14:paraId="2336C9FF" w14:textId="77777777" w:rsidR="00AB3647" w:rsidRDefault="00000000" w:rsidP="007923E9">
      <w:pPr>
        <w:spacing w:after="10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 – ובהם בנו של ר׳ </w:t>
      </w:r>
      <w:proofErr w:type="spellStart"/>
      <w:r>
        <w:rPr>
          <w:rtl/>
        </w:rPr>
        <w:t>נתן־צבי</w:t>
      </w:r>
      <w:proofErr w:type="spellEnd"/>
      <w:r>
        <w:rPr>
          <w:rtl/>
        </w:rPr>
        <w:t xml:space="preserve">. מתנגדי המוסר חברו לגורמים המהפכניים וסיכנו את עצם קיומה של הישיבה. למזלן של שתי </w:t>
      </w:r>
      <w:r>
        <w:rPr>
          <w:rtl/>
        </w:rPr>
        <w:lastRenderedPageBreak/>
        <w:t>הישיבות, כשדוכאה המהפכה, טיהרו פעולות הדיכוי של הממשלה נגד כל אוהדי הסוציאליזם את הישיבות מן הגורמים שעשו בהן מהומות.</w:t>
      </w:r>
    </w:p>
    <w:p w14:paraId="07EFF14A" w14:textId="77777777" w:rsidR="00AB3647" w:rsidRDefault="00000000" w:rsidP="007923E9">
      <w:pPr>
        <w:spacing w:after="10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 נתפסה בעיני רבים כפסיבית וחלשה, ועוררה ביקורת חריפה בתוך ישיבתו. אבל מאחורי הקיפאון שנראה כלפי חוץ התחוללו תמורות אדירות. הסבא שינה מן היסוד את שיטתו החינוכית, ולבסוף, כשפקדה אותו עצמו הטרגדיה שבנו נטש את הדת, התגבשה בו גישה חדשה למוסר. הוא חדל להתעכב על חולשות האדם, ותחת זאת פנה להתבונן בכוחו של האדם להגיע לגדלות. שיחותיו, </w:t>
      </w:r>
      <w:proofErr w:type="spellStart"/>
      <w:r>
        <w:rPr>
          <w:rtl/>
        </w:rPr>
        <w:t>ה“שמועסן</w:t>
      </w:r>
      <w:proofErr w:type="spellEnd"/>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p>
    <w:p w14:paraId="1B085976" w14:textId="77777777" w:rsidR="00AB3647" w:rsidRDefault="00000000" w:rsidP="007923E9">
      <w:pPr>
        <w:spacing w:after="100" w:line="276" w:lineRule="auto"/>
        <w:ind w:firstLine="340"/>
        <w:jc w:val="both"/>
      </w:pPr>
      <w:r>
        <w:rPr>
          <w:rtl/>
        </w:rPr>
        <w:t xml:space="preserve">עד שבאו אבי וחבריו </w:t>
      </w:r>
      <w:proofErr w:type="spellStart"/>
      <w:r>
        <w:rPr>
          <w:rtl/>
        </w:rPr>
        <w:t>לסלבודקה</w:t>
      </w:r>
      <w:proofErr w:type="spellEnd"/>
      <w:r>
        <w:rPr>
          <w:rtl/>
        </w:rPr>
        <w:t xml:space="preserve">, כבר חלפו האירועים המטלטלים של תשע השנים הראשונות של הישיבות.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 – תקופה שנועדה להימשך עד פרוץ מלחמת העולם הראשונה.</w:t>
      </w:r>
    </w:p>
    <w:p w14:paraId="2A5CB279" w14:textId="77777777" w:rsidR="00AB3647" w:rsidRDefault="00000000" w:rsidP="007923E9">
      <w:pPr>
        <w:pStyle w:val="2"/>
        <w:spacing w:line="276" w:lineRule="auto"/>
      </w:pPr>
      <w:r>
        <w:t>2.</w:t>
      </w:r>
    </w:p>
    <w:p w14:paraId="4137A50C" w14:textId="77777777" w:rsidR="00AB3647" w:rsidRDefault="00000000" w:rsidP="007923E9">
      <w:pPr>
        <w:spacing w:after="10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xml:space="preserve">, לקבל את פניהם ולהעבירם. ועדת קבלת הפנים כללה את מכרם של הנוסעים ממינסק, אשר </w:t>
      </w:r>
      <w:proofErr w:type="spellStart"/>
      <w:r>
        <w:rPr>
          <w:rtl/>
        </w:rPr>
        <w:t>קרשטיין</w:t>
      </w:r>
      <w:proofErr w:type="spellEnd"/>
      <w:r>
        <w:rPr>
          <w:rtl/>
        </w:rPr>
        <w:t xml:space="preserve">, את שותפו לחדר,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p w14:paraId="0EC39614" w14:textId="77777777" w:rsidR="00AB3647" w:rsidRDefault="00000000" w:rsidP="007923E9">
      <w:pPr>
        <w:spacing w:after="100" w:line="276" w:lineRule="auto"/>
        <w:ind w:firstLine="340"/>
        <w:jc w:val="both"/>
      </w:pPr>
      <w:proofErr w:type="spellStart"/>
      <w:r>
        <w:rPr>
          <w:rtl/>
        </w:rPr>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 ולשם ליוו את האורחים הצעירים.</w:t>
      </w:r>
    </w:p>
    <w:p w14:paraId="00613325" w14:textId="77777777" w:rsidR="00AB3647" w:rsidRDefault="00000000" w:rsidP="007923E9">
      <w:pPr>
        <w:spacing w:after="10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w:t>
      </w:r>
      <w:r>
        <w:rPr>
          <w:rtl/>
        </w:rPr>
        <w:lastRenderedPageBreak/>
        <w:t xml:space="preserve">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p>
    <w:p w14:paraId="2BF3B68F" w14:textId="77777777" w:rsidR="00AB3647" w:rsidRDefault="00000000" w:rsidP="007923E9">
      <w:pPr>
        <w:spacing w:after="10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p>
    <w:p w14:paraId="3FAF548E" w14:textId="77777777" w:rsidR="00AB3647" w:rsidRDefault="00000000" w:rsidP="007923E9">
      <w:pPr>
        <w:spacing w:after="10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התפילה סיפר לו אשר שהחזן הוא תלמיד חכם גדול, חתנו של הסבא. החתן בא זה עתה מקלם, יום לפני אשתו וילדתם התינוקת, שעתידות היו להגיע עם אביה באותו יום חמישי. “ובכן”, הרהר אבי, “במינסק, תלמידי חכמים אינם מקצרים את זקניהם כל כך, ואף אינם מתלבשים לפי האופנה; המקום הזה אינו כפי שדמיינתי.”</w:t>
      </w:r>
    </w:p>
    <w:p w14:paraId="444BB430" w14:textId="77777777" w:rsidR="00AB3647" w:rsidRDefault="00000000" w:rsidP="007923E9">
      <w:pPr>
        <w:spacing w:after="10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274C5ECB" w14:textId="77777777" w:rsidR="00AB3647" w:rsidRDefault="00000000" w:rsidP="007923E9">
      <w:pPr>
        <w:spacing w:after="100" w:line="276" w:lineRule="auto"/>
        <w:ind w:firstLine="340"/>
        <w:jc w:val="both"/>
      </w:pPr>
      <w:r>
        <w:rPr>
          <w:rtl/>
        </w:rPr>
        <w:t xml:space="preserve">אהרן הבין שמשהו אינו כשורה.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לו מכתב המלצה אל ר׳ </w:t>
      </w:r>
      <w:proofErr w:type="spellStart"/>
      <w:r>
        <w:rPr>
          <w:rtl/>
        </w:rPr>
        <w:t>ברוך־בער</w:t>
      </w:r>
      <w:proofErr w:type="spellEnd"/>
      <w:r>
        <w:rPr>
          <w:rtl/>
        </w:rPr>
        <w:t xml:space="preserve">, והשיב: “למה לא?” אשר מיהר אל הסבא לספר מה ששמע, וזמן קצר מאוד אחר כך מסר להם את דברי הסבא: “אשר, לך אמור להם שהם כאן!” אשר </w:t>
      </w:r>
      <w:proofErr w:type="spellStart"/>
      <w:r>
        <w:rPr>
          <w:rtl/>
        </w:rPr>
        <w:t>קרשטיין</w:t>
      </w:r>
      <w:proofErr w:type="spellEnd"/>
      <w:r>
        <w:rPr>
          <w:rtl/>
        </w:rPr>
        <w:t>, שעוד במינסק הפציר בהם ללכת רק לכנסת ישראל, הביא את העניין לסיום מוצלח.</w:t>
      </w:r>
    </w:p>
    <w:p w14:paraId="37DD64EB" w14:textId="77777777" w:rsidR="00AB3647" w:rsidRDefault="00000000" w:rsidP="007923E9">
      <w:pPr>
        <w:spacing w:after="100" w:line="276" w:lineRule="auto"/>
        <w:ind w:firstLine="340"/>
        <w:jc w:val="both"/>
      </w:pPr>
      <w:proofErr w:type="spellStart"/>
      <w:r>
        <w:rPr>
          <w:rtl/>
        </w:rPr>
        <w:t>הדולהינובר</w:t>
      </w:r>
      <w:proofErr w:type="spellEnd"/>
      <w:r>
        <w:rPr>
          <w:rtl/>
        </w:rPr>
        <w:t xml:space="preserve"> הצעיר שובץ </w:t>
      </w:r>
      <w:proofErr w:type="spellStart"/>
      <w:r>
        <w:rPr>
          <w:rtl/>
        </w:rPr>
        <w:t>לאכסניה</w:t>
      </w:r>
      <w:proofErr w:type="spellEnd"/>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xml:space="preserve">), בן עשרים ואחת,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 xml:space="preserve">) </w:t>
      </w:r>
      <w:proofErr w:type="spellStart"/>
      <w:r>
        <w:rPr>
          <w:rtl/>
        </w:rPr>
        <w:t>ויעקב־משה</w:t>
      </w:r>
      <w:proofErr w:type="spellEnd"/>
      <w:r>
        <w:rPr>
          <w:rtl/>
        </w:rPr>
        <w:t xml:space="preserve"> </w:t>
      </w:r>
      <w:proofErr w:type="spellStart"/>
      <w:r>
        <w:rPr>
          <w:rtl/>
        </w:rPr>
        <w:t>קאפוליער</w:t>
      </w:r>
      <w:proofErr w:type="spellEnd"/>
      <w:r>
        <w:rPr>
          <w:rtl/>
        </w:rPr>
        <w:t xml:space="preserve">. האחרון, שהיה מבין מקבלי פניו, עזר לו גם למצוא </w:t>
      </w:r>
      <w:proofErr w:type="spellStart"/>
      <w:r>
        <w:rPr>
          <w:rtl/>
        </w:rPr>
        <w:t>חברותות</w:t>
      </w:r>
      <w:proofErr w:type="spellEnd"/>
      <w:r>
        <w:rPr>
          <w:rtl/>
        </w:rPr>
        <w:t xml:space="preserve"> למסכת קידושין, שנלמדה בזמן הקיץ. רבנו שקע מיד בלימודיו.</w:t>
      </w:r>
    </w:p>
    <w:p w14:paraId="437556AD" w14:textId="77777777" w:rsidR="00AB3647" w:rsidRDefault="00000000" w:rsidP="007923E9">
      <w:pPr>
        <w:spacing w:after="100" w:line="276" w:lineRule="auto"/>
        <w:ind w:firstLine="340"/>
        <w:jc w:val="both"/>
      </w:pPr>
      <w:r>
        <w:rPr>
          <w:rtl/>
        </w:rPr>
        <w:t xml:space="preserve">סדר היום התחיל בשבע בבוקר בתפילה, ובה השתתפו הסבא, לעיתים קרובות גם ר׳ </w:t>
      </w:r>
      <w:proofErr w:type="spellStart"/>
      <w:r>
        <w:rPr>
          <w:rtl/>
        </w:rPr>
        <w:t>משה־מרדכי</w:t>
      </w:r>
      <w:proofErr w:type="spellEnd"/>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w:t>
      </w:r>
      <w:r>
        <w:rPr>
          <w:rtl/>
        </w:rPr>
        <w:lastRenderedPageBreak/>
        <w:t>לימוד בן ארבע שעות, שהסתיים במנחה. פעמיים בשבוע נחתם סדר הבוקר בשיעור של כחצי שעה מפי ראש הישיבה. סדר אחר הצהריים התחיל בשלוש, כשחזרו התלמידים לישיבה מן הארוחה העיקרית של היום באכסניותיהם, והסתיים בתשע וחצי.</w:t>
      </w:r>
    </w:p>
    <w:p w14:paraId="078AF362" w14:textId="77777777" w:rsidR="00AB3647" w:rsidRDefault="00000000" w:rsidP="007923E9">
      <w:pPr>
        <w:spacing w:after="100" w:line="276" w:lineRule="auto"/>
        <w:ind w:firstLine="340"/>
        <w:jc w:val="both"/>
      </w:pPr>
      <w:r>
        <w:rPr>
          <w:rtl/>
        </w:rPr>
        <w:t xml:space="preserve">חצי שעה של לימוד מוסר אישי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p w14:paraId="78A7A37B" w14:textId="77777777" w:rsidR="00AB3647" w:rsidRDefault="00000000" w:rsidP="007923E9">
      <w:pPr>
        <w:spacing w:after="10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52379E51" w14:textId="77777777" w:rsidR="00AB3647" w:rsidRDefault="00000000" w:rsidP="007923E9">
      <w:pPr>
        <w:spacing w:after="10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xml:space="preserve">, והוא יקרטע אל חדרו. אם תיפול עליו תרדמה עמוקה לפני שיסיר את בגדיו, יכסה אותו אלתר </w:t>
      </w:r>
      <w:proofErr w:type="spellStart"/>
      <w:r>
        <w:rPr>
          <w:rtl/>
        </w:rPr>
        <w:t>אולקניקר</w:t>
      </w:r>
      <w:proofErr w:type="spellEnd"/>
      <w:r>
        <w:rPr>
          <w:rtl/>
        </w:rPr>
        <w:t xml:space="preserve"> בשמיכה ויחלוץ את נעליו ויסיר את מכנסיו.</w:t>
      </w:r>
    </w:p>
    <w:p w14:paraId="3AC17459" w14:textId="77777777" w:rsidR="00AB3647" w:rsidRDefault="00000000" w:rsidP="007923E9">
      <w:pPr>
        <w:spacing w:after="10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 יעלו לדיון קושיה על הגמרא שלמדו, שלהם או של אדם אחר. הוא גם הדריך את התלמיד המתחיל בנימוסי שולחן, תחום חינוך חשוב </w:t>
      </w:r>
      <w:proofErr w:type="spellStart"/>
      <w:r>
        <w:rPr>
          <w:rtl/>
        </w:rPr>
        <w:t>בסלבודקה</w:t>
      </w:r>
      <w:proofErr w:type="spellEnd"/>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 כדי לחזור לבית המדרש.</w:t>
      </w:r>
    </w:p>
    <w:p w14:paraId="2A995BE4" w14:textId="77777777" w:rsidR="00AB3647" w:rsidRDefault="00000000" w:rsidP="007923E9">
      <w:pPr>
        <w:spacing w:after="10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 האהוב מאוד.</w:t>
      </w:r>
    </w:p>
    <w:p w14:paraId="58670056" w14:textId="77777777" w:rsidR="00AB3647" w:rsidRDefault="00000000" w:rsidP="007923E9">
      <w:pPr>
        <w:spacing w:after="100" w:line="276" w:lineRule="auto"/>
        <w:ind w:firstLine="340"/>
        <w:jc w:val="both"/>
      </w:pPr>
      <w:r>
        <w:rPr>
          <w:rtl/>
        </w:rPr>
        <w:t xml:space="preserve">הרב </w:t>
      </w:r>
      <w:proofErr w:type="spellStart"/>
      <w:r>
        <w:rPr>
          <w:rtl/>
        </w:rPr>
        <w:t xml:space="preserve">הלר</w:t>
      </w:r>
      <w:proofErr w:type="spellEnd"/>
      <w:r>
        <w:rPr>
          <w:rtl/>
        </w:rPr>
        <w:t xml:space="preserve"> פגש לראשונה את ר׳ </w:t>
      </w:r>
      <w:proofErr w:type="spellStart"/>
      <w:r>
        <w:rPr>
          <w:rtl/>
        </w:rPr>
        <w:t>נתן־צבי</w:t>
      </w:r>
      <w:proofErr w:type="spellEnd"/>
      <w:r>
        <w:rPr>
          <w:rtl/>
        </w:rPr>
        <w:t xml:space="preserve"> כשהלה לימד תנ״ך בבית הספר שנקרא “בית ישיבה פרטי לעברים”.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xml:space="preserve">, </w:t>
      </w:r>
      <w:proofErr w:type="spellStart"/>
      <w:r>
        <w:rPr>
          <w:rtl/>
        </w:rPr>
        <w:t>בגרובין</w:t>
      </w:r>
      <w:proofErr w:type="spellEnd"/>
      <w:r>
        <w:rPr>
          <w:rtl/>
        </w:rPr>
        <w:t xml:space="preserve">, עיירה סמוכה </w:t>
      </w:r>
      <w:proofErr w:type="spellStart"/>
      <w:r>
        <w:rPr>
          <w:rtl/>
        </w:rPr>
        <w:t>לליבאו</w:t>
      </w:r>
      <w:proofErr w:type="spellEnd"/>
      <w:r>
        <w:rPr>
          <w:rtl/>
        </w:rPr>
        <w:t xml:space="preserve">. היה זה ניסיון נועז לבלום את השפעת ההשכלה על החיים היהודיים. בית הספר העניק לילדי האמידים תוכנית חינוך </w:t>
      </w:r>
      <w:proofErr w:type="spellStart"/>
      <w:r>
        <w:rPr>
          <w:rtl/>
        </w:rPr>
        <w:t>דתית־מוסרית־כללית</w:t>
      </w:r>
      <w:proofErr w:type="spellEnd"/>
      <w:r>
        <w:rPr>
          <w:rtl/>
        </w:rPr>
        <w:t xml:space="preserve">, וגבה שכר לימוד שהיה למעלה מיכולתו של צעיר חסר אמצעים כמו </w:t>
      </w:r>
      <w:proofErr w:type="spellStart"/>
      <w:r>
        <w:rPr>
          <w:rtl/>
        </w:rPr>
        <w:t xml:space="preserve">הלר</w:t>
      </w:r>
      <w:proofErr w:type="spellEnd"/>
      <w:r>
        <w:rPr>
          <w:rtl/>
        </w:rPr>
        <w:t xml:space="preserve">. אבל </w:t>
      </w:r>
      <w:proofErr w:type="spellStart"/>
      <w:r>
        <w:rPr>
          <w:rtl/>
        </w:rPr>
        <w:t xml:space="preserve">בער־הירש</w:t>
      </w:r>
      <w:proofErr w:type="spellEnd"/>
      <w:r>
        <w:rPr>
          <w:rtl/>
        </w:rPr>
        <w:t xml:space="preserve">, שהיה </w:t>
      </w:r>
      <w:r>
        <w:rPr>
          <w:rtl/>
        </w:rPr>
        <w:lastRenderedPageBreak/>
        <w:t>כבר בשלהי שנות העשרים לחייו, השתוקק לספוג את תורת הסבא מקלם. הוא “אכל ימים” בעיר, ומדי בוקר בא אל בית הספר לשמוע את שיחותיו של הסבא מקלם אחרי התפילה.</w:t>
      </w:r>
    </w:p>
    <w:p w14:paraId="0284BA2A" w14:textId="77777777" w:rsidR="00AB3647" w:rsidRDefault="00000000" w:rsidP="007923E9">
      <w:pPr>
        <w:spacing w:after="100" w:line="276" w:lineRule="auto"/>
        <w:ind w:firstLine="340"/>
        <w:jc w:val="both"/>
      </w:pPr>
      <w:r>
        <w:rPr>
          <w:rtl/>
        </w:rPr>
        <w:t xml:space="preserve">זמן קצר אחר כך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xml:space="preserve">, לקיבוץ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w:t>
      </w:r>
      <w:proofErr w:type="spellStart"/>
      <w:r>
        <w:rPr>
          <w:rtl/>
        </w:rPr>
        <w:t>בקלויז</w:t>
      </w:r>
      <w:proofErr w:type="spellEnd"/>
      <w:r>
        <w:rPr>
          <w:rtl/>
        </w:rPr>
        <w:t xml:space="preserve"> “הלוויית המת” </w:t>
      </w:r>
      <w:proofErr w:type="spellStart"/>
      <w:r>
        <w:rPr>
          <w:rtl/>
        </w:rPr>
        <w:t>בסלבודקה</w:t>
      </w:r>
      <w:proofErr w:type="spellEnd"/>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 כשנוסדה לבסוף ישיבת כנסת ישראל, התבקש לשמש עוזרו של הסבא – “המשגיח הצעיר”. המשגיח חם הלב ומשפחתו היו בית שני לתלמיד החדש ממינסק.</w:t>
      </w:r>
    </w:p>
    <w:p w14:paraId="38E68558" w14:textId="77777777" w:rsidR="00AB3647" w:rsidRDefault="00000000" w:rsidP="007923E9">
      <w:pPr>
        <w:spacing w:after="100" w:line="276" w:lineRule="auto"/>
        <w:ind w:firstLine="340"/>
        <w:jc w:val="both"/>
      </w:pPr>
      <w:r>
        <w:rPr>
          <w:rtl/>
        </w:rPr>
        <w:t xml:space="preserve">ראש הישיבה, ר׳ </w:t>
      </w:r>
      <w:proofErr w:type="spellStart"/>
      <w:r>
        <w:rPr>
          <w:rtl/>
        </w:rPr>
        <w:t>משה־מרדכי</w:t>
      </w:r>
      <w:proofErr w:type="spellEnd"/>
      <w:r>
        <w:rPr>
          <w:rtl/>
        </w:rPr>
        <w:t xml:space="preserve">, היה דמות מרשימה. גאונותו לא הייתה מוטלת בספק, ולמרות חובותיו הרבניות לעיר </w:t>
      </w:r>
      <w:proofErr w:type="spellStart"/>
      <w:r>
        <w:rPr>
          <w:rtl/>
        </w:rPr>
        <w:t>סלבודקה</w:t>
      </w:r>
      <w:proofErr w:type="spellEnd"/>
      <w:r>
        <w:rPr>
          <w:rtl/>
        </w:rPr>
        <w:t>, התמדתו לא נפלה מזו של המתמידים שבתלמידים. אבל שיעוריו, מבריקים ככל שהיו, לא הם שקבעו את אופייה של גישת הישיבה ללימוד התלמוד. כמה תלמידים היו רצים קדימה כדי לשמוע את השיעורים – הסבא הנהיג שהתלמידים ירוצו לשיעור, כביטוי לכבוד התורה. אבל רבים אחרים היו יוצאים בחיפזון מבית המדרש כשנכנס ראש הישיבה למסור את שיעוריו, שנמסרו פעמיים בשבוע. כשגישה כזו שררה, ובעליל בהסכמת ההנהלה, לא יכלה כנסת ישראל לקדם דרך מסוימת בלמדנות התלמודית. כל תלמיד התפתח בדרך המתאימה ביותר לנטייתו השכלית האישית.</w:t>
      </w:r>
    </w:p>
    <w:p w14:paraId="7E9661A0" w14:textId="77777777" w:rsidR="00AB3647" w:rsidRDefault="00000000" w:rsidP="007923E9">
      <w:pPr>
        <w:spacing w:after="10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 ומערער, לעיתים בלהט, על נכונות החידוש שנאמר. הפרעות כאלה היו מותרות לפי כללי הישיבה. אבי לא הקשיב לשיעורים בקשב מוחלט כל כך,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p>
    <w:p w14:paraId="6A2C341A" w14:textId="77777777" w:rsidR="00AB3647" w:rsidRDefault="00000000" w:rsidP="007923E9">
      <w:pPr>
        <w:spacing w:after="100" w:line="276" w:lineRule="auto"/>
        <w:ind w:firstLine="340"/>
        <w:jc w:val="both"/>
      </w:pPr>
      <w:r>
        <w:rPr>
          <w:b/>
          <w:bCs/>
          <w:rtl/>
        </w:rPr>
        <w:t>מחציתו</w:t>
      </w:r>
      <w:r>
        <w:rPr>
          <w:rtl/>
        </w:rPr>
        <w:t xml:space="preserve"> של כל יום לימודים הוקדשה לעיון, ובו למדו בכל זמן כ־75 דפי גמרא.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p>
    <w:p w14:paraId="3CD7C8C0" w14:textId="77777777" w:rsidR="00AB3647" w:rsidRDefault="00000000" w:rsidP="007923E9">
      <w:pPr>
        <w:spacing w:after="10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 להשתתף בשיעורים בכנסת בית יצחק. הבאים החדשים הצטרפו למספר הניכר של תלמידי כנסת ישראל שפקדו את שיעוריו של ר׳ </w:t>
      </w:r>
      <w:proofErr w:type="spellStart"/>
      <w:r>
        <w:rPr>
          <w:rtl/>
        </w:rPr>
        <w:t>ברוך־בער</w:t>
      </w:r>
      <w:proofErr w:type="spellEnd"/>
      <w:r>
        <w:rPr>
          <w:rtl/>
        </w:rPr>
        <w:t>, ונהנו הן מבהירותו המופלאה בהסברה והן מן הקשר שבו חיבר את שומעיו לתורתו של רבו האהוד.</w:t>
      </w:r>
    </w:p>
    <w:p w14:paraId="3D3D3887" w14:textId="77777777" w:rsidR="00AB3647" w:rsidRDefault="00000000" w:rsidP="007923E9">
      <w:pPr>
        <w:spacing w:after="100" w:line="276" w:lineRule="auto"/>
        <w:ind w:firstLine="340"/>
        <w:jc w:val="both"/>
      </w:pPr>
      <w:r>
        <w:rPr>
          <w:rtl/>
        </w:rPr>
        <w:lastRenderedPageBreak/>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 אבל יחסו השלילי של ר׳ </w:t>
      </w:r>
      <w:proofErr w:type="spellStart"/>
      <w:r>
        <w:rPr>
          <w:rtl/>
        </w:rPr>
        <w:t>ברוך־בער</w:t>
      </w:r>
      <w:proofErr w:type="spellEnd"/>
      <w:r>
        <w:rPr>
          <w:rtl/>
        </w:rPr>
        <w:t xml:space="preserve"> לא ארך ימים. התמדתם של תלמידי ישיבת המוסר פילסה דרך אל לבו הרך, הטוב ואוהב התורה. לבסוף אף היו רצויים במפגשים שקיים בביתו אחרי סעודה שלישית, ובהם יכלו התלמידים להעלות שאלות ולהציע פתרונות אחרים לקושיות שהועלו בשיעוריו.</w:t>
      </w:r>
    </w:p>
    <w:p w14:paraId="70AE7785" w14:textId="77777777" w:rsidR="00AB3647" w:rsidRDefault="00000000" w:rsidP="007923E9">
      <w:pPr>
        <w:spacing w:after="100" w:line="276" w:lineRule="auto"/>
        <w:ind w:firstLine="340"/>
        <w:jc w:val="both"/>
      </w:pPr>
      <w:r>
        <w:rPr>
          <w:rtl/>
        </w:rPr>
        <w:t xml:space="preserve">הסבא, מצדו, לא העלה על דעתו מעולם למנוע מתלמידי כנסת בית יצחק ליהנות מן המוסר, תחום ייחודה של כנסת ישראל.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p>
    <w:p w14:paraId="702C1968" w14:textId="77777777" w:rsidR="00AB3647" w:rsidRDefault="00000000" w:rsidP="007923E9">
      <w:pPr>
        <w:spacing w:after="100" w:line="276" w:lineRule="auto"/>
        <w:ind w:firstLine="340"/>
        <w:jc w:val="both"/>
      </w:pPr>
      <w:r>
        <w:rPr>
          <w:rtl/>
        </w:rPr>
        <w:t xml:space="preserve">כנסת ישראל הייתה ישיבת מוסר, ולכן התפתחות אישיותו של התלמיד לא הושארה ליד המקרה. את שיחות הסבא שמעו כל בני הישיבה בלילות שבת ובמוצאי שבת, ולעיתים גם בזמן המוסר שלפני ערבית בליל חמישי. מלבד שיחות אלה השתייך כל תלמיד לאחד הוועדים, שנפגשו מדי שבוע לדיון משותף במוסר. ועדה בראשות ר׳ זלמן </w:t>
      </w:r>
      <w:proofErr w:type="spellStart"/>
      <w:r>
        <w:rPr>
          <w:rtl/>
        </w:rPr>
        <w:t>דולינסקי</w:t>
      </w:r>
      <w:proofErr w:type="spellEnd"/>
      <w:r>
        <w:rPr>
          <w:rtl/>
        </w:rPr>
        <w:t xml:space="preserve"> פיקחה על תוכנית הוועדים, והיו בה עוד שני ממונים, ואחד מהם חתנו של הסבא, ר׳ אייזיק שר. המצטרפים החדשים שובצו בוועדיהם זמן קצר אחרי בואם.</w:t>
      </w:r>
    </w:p>
    <w:p w14:paraId="66D7A0CB" w14:textId="77777777" w:rsidR="00AB3647" w:rsidRDefault="00000000" w:rsidP="007923E9">
      <w:pPr>
        <w:pStyle w:val="ae"/>
        <w:pageBreakBefore/>
        <w:spacing w:after="160" w:line="276" w:lineRule="auto"/>
      </w:pPr>
      <w:bookmarkStart w:id="134" w:name="text_chapter4"/>
      <w:r>
        <w:lastRenderedPageBreak/>
        <w:t>פרק רביעי</w:t>
      </w:r>
      <w:bookmarkEnd w:id="134"/>
    </w:p>
    <w:p w14:paraId="794068E1"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37047779" w14:textId="77777777" w:rsidR="00AB3647" w:rsidRDefault="00000000" w:rsidP="007923E9">
      <w:pPr>
        <w:pStyle w:val="2"/>
        <w:spacing w:after="160" w:line="276" w:lineRule="auto"/>
      </w:pPr>
      <w:r>
        <w:rPr>
          <w:sz w:val="26"/>
          <w:szCs w:val="26"/>
        </w:rPr>
        <w:t>1.</w:t>
      </w:r>
    </w:p>
    <w:p w14:paraId="416840FD" w14:textId="77777777" w:rsidR="00AB3647" w:rsidRDefault="00000000" w:rsidP="007923E9">
      <w:pPr>
        <w:spacing w:after="12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 תלמידיו מעולם לא ראוהו לומד,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p>
    <w:p w14:paraId="5791F031" w14:textId="77777777" w:rsidR="00AB3647" w:rsidRDefault="00000000" w:rsidP="007923E9">
      <w:pPr>
        <w:spacing w:after="120" w:line="276" w:lineRule="auto"/>
        <w:jc w:val="both"/>
      </w:pPr>
      <w:r>
        <w:rPr>
          <w:rtl/>
        </w:rPr>
        <w:t>גם על כל פרט ופרט בהלכה הקפיד לא רק בלא פרסום, אלא מתוך מאמץ מכוון להסתיר את הקפדתו מן העין. ואף על פי כן העריכו התלמידים את הסבא במלוא ערכו. הם ראו בבירור שמטרתו היחידה בחיים היא לחנכם להיות תלמידי חכמים, להעלותם למדרגת בני אדם נעלים ולהוציא את שמם לתהילה, בעוד הוא עצמו מסתפק בעמידה ברקע.</w:t>
      </w:r>
    </w:p>
    <w:p w14:paraId="14B8702E" w14:textId="77777777" w:rsidR="00AB3647" w:rsidRDefault="00000000" w:rsidP="007923E9">
      <w:pPr>
        <w:spacing w:after="12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p>
    <w:p w14:paraId="02B4492A" w14:textId="77777777" w:rsidR="00AB3647" w:rsidRDefault="00000000" w:rsidP="007923E9">
      <w:pPr>
        <w:spacing w:after="120" w:line="276" w:lineRule="auto"/>
        <w:jc w:val="both"/>
      </w:pPr>
      <w:r>
        <w:rPr>
          <w:rtl/>
        </w:rPr>
        <w:t>אף שמעולם לא נראה שהוא מכין את שיחותיו מראש, היו מלאות רעיונות מבריקים. הוא דיבר בשקט ונזהר שלא להוציא מפיו מילה מיותרת או בלתי שקולה.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 כל שיחתו הייתה רמזים, פסוקים ומאמרים, שהשומעים היו צריכים לצרף בדעתם ליחידה אחת רצופה.</w:t>
      </w:r>
    </w:p>
    <w:p w14:paraId="5967896D" w14:textId="77777777" w:rsidR="00AB3647" w:rsidRDefault="00000000" w:rsidP="007923E9">
      <w:pPr>
        <w:spacing w:after="120" w:line="276" w:lineRule="auto"/>
        <w:jc w:val="both"/>
      </w:pPr>
      <w:r>
        <w:rPr>
          <w:rtl/>
        </w:rPr>
        <w:t>התלמידים היו מצטופפים סביבו, רוכנים ומטים אוזן במאמץ שלא להחמיץ מילה או צליל.</w:t>
      </w:r>
    </w:p>
    <w:p w14:paraId="74100B24" w14:textId="77777777" w:rsidR="00AB3647" w:rsidRDefault="00000000" w:rsidP="007923E9">
      <w:pPr>
        <w:spacing w:after="120" w:line="276" w:lineRule="auto"/>
        <w:jc w:val="both"/>
      </w:pPr>
      <w:r>
        <w:rPr>
          <w:rtl/>
        </w:rPr>
        <w:t xml:space="preserve">אחרי כל שיחה היו דנים ביניהם למה בדיוק התכוון רבם, ולעיתים קרובות פנו אליו לבקש הבהרה.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 הוא חשש להסתכל בפני שומעיו.</w:t>
      </w:r>
    </w:p>
    <w:p w14:paraId="26884E2E" w14:textId="77777777" w:rsidR="00AB3647" w:rsidRDefault="00000000" w:rsidP="007923E9">
      <w:pPr>
        <w:spacing w:after="12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p w14:paraId="562BF5FA" w14:textId="77777777" w:rsidR="00AB3647" w:rsidRDefault="00000000" w:rsidP="007923E9">
      <w:pPr>
        <w:spacing w:after="120" w:line="276" w:lineRule="auto"/>
        <w:jc w:val="both"/>
      </w:pPr>
      <w:r>
        <w:rPr>
          <w:rtl/>
        </w:rPr>
        <w:lastRenderedPageBreak/>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p>
    <w:p w14:paraId="6F886BA8" w14:textId="77777777" w:rsidR="00AB3647" w:rsidRDefault="00000000" w:rsidP="007923E9">
      <w:pPr>
        <w:spacing w:after="120" w:line="276" w:lineRule="auto"/>
        <w:jc w:val="both"/>
      </w:pPr>
      <w:r>
        <w:rPr>
          <w:rtl/>
        </w:rPr>
        <w:t>בישיבה בגודלה של כנסת ישראל לא היה ביכולתו של אדם יחיד זה לקיים קשר אישי עם כל התלמידים.</w:t>
      </w:r>
    </w:p>
    <w:p w14:paraId="5F970530" w14:textId="77777777" w:rsidR="00AB3647" w:rsidRDefault="00000000" w:rsidP="007923E9">
      <w:pPr>
        <w:spacing w:after="120" w:line="276" w:lineRule="auto"/>
        <w:jc w:val="both"/>
      </w:pPr>
      <w:r>
        <w:rPr>
          <w:rtl/>
        </w:rPr>
        <w:t xml:space="preserve">אף שכל תלמידי הישיבה היו בעלי כישרון, בחר ר׳ </w:t>
      </w:r>
      <w:proofErr w:type="spellStart"/>
      <w:r>
        <w:rPr>
          <w:rtl/>
        </w:rPr>
        <w:t>נתן־צבי</w:t>
      </w:r>
      <w:proofErr w:type="spellEnd"/>
      <w:r>
        <w:rPr>
          <w:rtl/>
        </w:rPr>
        <w:t xml:space="preserve"> לרכז את מאמציו במוכשרים ביותר.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p>
    <w:p w14:paraId="3FAEF7B3" w14:textId="77777777" w:rsidR="00AB3647" w:rsidRDefault="00000000" w:rsidP="007923E9">
      <w:pPr>
        <w:spacing w:after="12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 אם חיבב הסבא תלמיד בתחילה, ואחר כך גילה שאינו רוצה או אינו מסוגל למצוא עניין בשני התחומים הללו, היה זונח אותו. התלמידים הרבים שנשארו חביבים על הסבא וזכו לתשומת לבו המיוחדת הבינו שהוא אוהב אותם כשם שהוא אוהב את ילדיו.</w:t>
      </w:r>
    </w:p>
    <w:p w14:paraId="36617222" w14:textId="77777777" w:rsidR="00AB3647" w:rsidRDefault="00000000" w:rsidP="007923E9">
      <w:pPr>
        <w:spacing w:after="12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p>
    <w:p w14:paraId="53644F9A" w14:textId="77777777" w:rsidR="00AB3647" w:rsidRDefault="00000000" w:rsidP="007923E9">
      <w:pPr>
        <w:spacing w:after="12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p w14:paraId="4A4EAB33" w14:textId="77777777" w:rsidR="00AB3647" w:rsidRDefault="00000000" w:rsidP="007923E9">
      <w:pPr>
        <w:spacing w:after="120" w:line="276" w:lineRule="auto"/>
        <w:jc w:val="both"/>
      </w:pPr>
      <w:r>
        <w:rPr>
          <w:rtl/>
        </w:rPr>
        <w:t>דירת הסבא – וליתר דיוק צריפו – הייתה חדר יחיד, קטן, נמוך תקרה וכמעט מרובע, שקירו הרחוק היה משותף לצריף ולישיבה. גבוה בקיר זה, סמוך לתקרה, היה פתח קטן. מי שעמד על סולם מדרגות יכול היה להציץ דרכו אל בית המדרש ולראותו לכל אורכו, מן הספסלים האחוריים ועד ארון הקודש.</w:t>
      </w:r>
    </w:p>
    <w:p w14:paraId="470A9EB7" w14:textId="77777777" w:rsidR="00AB3647" w:rsidRDefault="00000000" w:rsidP="007923E9">
      <w:pPr>
        <w:spacing w:after="120" w:line="276" w:lineRule="auto"/>
        <w:jc w:val="both"/>
      </w:pPr>
      <w:r>
        <w:rPr>
          <w:rtl/>
        </w:rPr>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 בחזית, שמהם נראו הבחורים העוברים ליד דלת הצריף בדרכם לכניסת הישיבה.</w:t>
      </w:r>
    </w:p>
    <w:p w14:paraId="7D77AE7D" w14:textId="77777777" w:rsidR="00AB3647" w:rsidRDefault="00000000" w:rsidP="007923E9">
      <w:pPr>
        <w:spacing w:after="120" w:line="276" w:lineRule="auto"/>
        <w:jc w:val="both"/>
      </w:pPr>
      <w:r>
        <w:rPr>
          <w:rtl/>
        </w:rPr>
        <w:t xml:space="preserve">סמוך לאמצע אורכו של התנור עברה מחיצה לרוחב צד המטבח של החדר, והפרידה את חלקו האחורי של הצריף, ששימש כנראה לשינה. בצד הסבא, “חדרו”, היו שני חלונות בצד הפונה </w:t>
      </w:r>
      <w:r>
        <w:rPr>
          <w:rtl/>
        </w:rPr>
        <w:lastRenderedPageBreak/>
        <w:t xml:space="preserve">לרחוב גלזר,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p w14:paraId="736DF3B5" w14:textId="77777777" w:rsidR="00AB3647" w:rsidRDefault="00000000" w:rsidP="007923E9">
      <w:pPr>
        <w:spacing w:after="12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 ועד הקיר האחורי, כדי להפריד בין קצה מקום השינה ובין קצה “חדר הסבא”.</w:t>
      </w:r>
    </w:p>
    <w:p w14:paraId="5C2B6229" w14:textId="77777777" w:rsidR="00AB3647" w:rsidRDefault="00000000" w:rsidP="007923E9">
      <w:pPr>
        <w:spacing w:after="12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 והנהגתו השרתה נינוחות על מבקרו; אבל אבי הבין מיד שהוא יושב במחיצת אדם שיוכל להיות רבו ומדריכו. גם הסבא הכיר בשכלו המהיר ובאופיו העדין של הצעיר, וידע שנזדמן לו עוד תלמיד הראוי ליחס מועדף.</w:t>
      </w:r>
    </w:p>
    <w:p w14:paraId="07619F08" w14:textId="77777777" w:rsidR="00AB3647" w:rsidRDefault="00000000" w:rsidP="007923E9">
      <w:pPr>
        <w:spacing w:after="12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 אם חשש האורח המאוחר ללכת לבדו לאכסנייתו, היה הסבא מלווהו. הסבא נהג תמיד בתלמיד בכבוד,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p>
    <w:p w14:paraId="471EAB1B" w14:textId="77777777" w:rsidR="00AB3647" w:rsidRDefault="00000000" w:rsidP="007923E9">
      <w:pPr>
        <w:spacing w:after="12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 האחר זקוק לתוכחה; השלישי יפיק את מרב התועלת מעידוד בשבחים; וברביעי יש לנהוג בעדינות רבה. לפעמים היו נותנים לתלמיד להרגיש חסר ערך ודוחים אותו. אבל גם במקרים שבהם לא הייתה זו תחבולה חינוכית בלבד, מעולם לא סילק הסבא תלמיד במפורש.</w:t>
      </w:r>
    </w:p>
    <w:p w14:paraId="7E97034C" w14:textId="77777777" w:rsidR="00AB3647" w:rsidRDefault="00000000" w:rsidP="007923E9">
      <w:pPr>
        <w:spacing w:after="120" w:line="276" w:lineRule="auto"/>
        <w:jc w:val="both"/>
      </w:pPr>
      <w:r>
        <w:rPr>
          <w:rtl/>
        </w:rPr>
        <w:t xml:space="preserve">הסבא שם לב לכל פרט במעשי תלמידו – כיצד הלך, כיצד עמד, כיצד ישב. כל מילה, כל אמירה, כל מצמוץ עין וכל כיווץ שפתיים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p w14:paraId="0266684F" w14:textId="77777777" w:rsidR="00AB3647" w:rsidRDefault="00000000" w:rsidP="007923E9">
      <w:pPr>
        <w:spacing w:after="12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p>
    <w:p w14:paraId="2DBC4F2E" w14:textId="77777777" w:rsidR="00AB3647" w:rsidRDefault="00000000" w:rsidP="007923E9">
      <w:pPr>
        <w:spacing w:after="120" w:line="276" w:lineRule="auto"/>
        <w:jc w:val="both"/>
      </w:pPr>
      <w:r>
        <w:rPr>
          <w:rtl/>
        </w:rPr>
        <w:t>הסבא היה מחנך מעולה, מפני שהתקדמותו שלו לא פסקה אף לרגע. הוא נשאר צעיר ומתפתח תמיד. ביסודו היה רך ונעים, נוח לבריות, נבהל מכל דבר קטן ודואג לכל מאורע קל.</w:t>
      </w:r>
    </w:p>
    <w:p w14:paraId="2C365F32" w14:textId="77777777" w:rsidR="00AB3647" w:rsidRDefault="00000000" w:rsidP="007923E9">
      <w:pPr>
        <w:spacing w:after="120" w:line="276" w:lineRule="auto"/>
        <w:jc w:val="both"/>
      </w:pPr>
      <w:r>
        <w:rPr>
          <w:rtl/>
        </w:rPr>
        <w:lastRenderedPageBreak/>
        <w:t xml:space="preserve">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 לעיתים היה נכנס למצב רוח רע,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p w14:paraId="3CEED695" w14:textId="77777777" w:rsidR="00AB3647" w:rsidRDefault="00000000" w:rsidP="007923E9">
      <w:pPr>
        <w:pStyle w:val="2"/>
        <w:spacing w:after="160" w:line="276" w:lineRule="auto"/>
      </w:pPr>
      <w:r>
        <w:rPr>
          <w:sz w:val="26"/>
          <w:szCs w:val="26"/>
        </w:rPr>
        <w:t>2.</w:t>
      </w:r>
    </w:p>
    <w:p w14:paraId="31AAEEAB" w14:textId="77777777" w:rsidR="00AB3647" w:rsidRDefault="00000000" w:rsidP="007923E9">
      <w:pPr>
        <w:spacing w:after="120" w:line="276" w:lineRule="auto"/>
        <w:jc w:val="both"/>
      </w:pPr>
      <w:r>
        <w:rPr>
          <w:rtl/>
        </w:rPr>
        <w:t xml:space="preserve">עם תחילת זמן הקיץ משכו שקידתו יוצאת הדופן </w:t>
      </w:r>
      <w:bookmarkStart w:id="135" w:name="_Hlk243572119"/>
      <w:r>
        <w:rPr>
          <w:rtl/>
        </w:rPr>
        <w:t>של גיבור סיפורנו</w:t>
      </w:r>
      <w:bookmarkEnd w:id="135"/>
      <w:r>
        <w:rPr>
          <w:rtl/>
        </w:rPr>
        <w:t xml:space="preserve">,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 ומקיים לא רק כל דרישה הלכתית אלא גם כל מה שמשתמע ממנה.</w:t>
      </w:r>
    </w:p>
    <w:p w14:paraId="0592D61D" w14:textId="77777777" w:rsidR="00AB3647" w:rsidRDefault="00000000" w:rsidP="007923E9">
      <w:pPr>
        <w:spacing w:after="12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p>
    <w:p w14:paraId="6D2CCEA7" w14:textId="77777777" w:rsidR="00AB3647" w:rsidRDefault="00000000" w:rsidP="007923E9">
      <w:pPr>
        <w:spacing w:after="120" w:line="276" w:lineRule="auto"/>
        <w:jc w:val="both"/>
      </w:pPr>
      <w:r>
        <w:rPr>
          <w:rtl/>
        </w:rPr>
        <w:t xml:space="preserve">אחרי תשעה באב יצאו מקצת התלמידים, וכן הסבא, מן העיר לחופשה קצרה בעיירות </w:t>
      </w:r>
      <w:bookmarkStart w:id="136" w:name="_Hlk243572159"/>
      <w:r>
        <w:rPr>
          <w:rtl/>
        </w:rPr>
        <w:t xml:space="preserve">מוקפות יערות מחטניים </w:t>
      </w:r>
      <w:bookmarkEnd w:id="136"/>
      <w:r>
        <w:rPr>
          <w:rtl/>
        </w:rPr>
        <w:t xml:space="preserve">או בקרבת חוף הים. אבל התלמיד החדש נשאר </w:t>
      </w:r>
      <w:proofErr w:type="spellStart"/>
      <w:r>
        <w:rPr>
          <w:rtl/>
        </w:rPr>
        <w:t>בסלבודקה</w:t>
      </w:r>
      <w:proofErr w:type="spellEnd"/>
      <w:r>
        <w:rPr>
          <w:rtl/>
        </w:rPr>
        <w:t xml:space="preserve">, ומדי פעם התרענן במשחק שחמט או בטבילה מצננת בנהר </w:t>
      </w:r>
      <w:proofErr w:type="spellStart"/>
      <w:r>
        <w:rPr>
          <w:rtl/>
        </w:rPr>
        <w:t>וויליה</w:t>
      </w:r>
      <w:proofErr w:type="spellEnd"/>
      <w:r>
        <w:rPr>
          <w:rtl/>
        </w:rPr>
        <w:t>.</w:t>
      </w:r>
    </w:p>
    <w:p w14:paraId="6B00DEBE" w14:textId="77777777" w:rsidR="00AB3647" w:rsidRDefault="00000000" w:rsidP="007923E9">
      <w:pPr>
        <w:spacing w:after="12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w:t>
      </w:r>
      <w:proofErr w:type="spellStart"/>
      <w:r>
        <w:rPr>
          <w:rtl/>
        </w:rPr>
        <w:t>סלבודקה</w:t>
      </w:r>
      <w:proofErr w:type="spellEnd"/>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p w14:paraId="1B6E0574" w14:textId="77777777" w:rsidR="00AB3647" w:rsidRDefault="00000000" w:rsidP="007923E9">
      <w:pPr>
        <w:spacing w:after="120" w:line="276" w:lineRule="auto"/>
        <w:jc w:val="both"/>
      </w:pPr>
      <w:r>
        <w:rPr>
          <w:rtl/>
        </w:rPr>
        <w:t>בראש השנה, בשעה שראש הישיבה נשא דברים לפני התקיעות, הגיעה ההתעוררות הדתית בישיבה לרמה גבוהה, ושיאה היה ביום הכיפורים. הסבא בחר באבי וזיכה אותו בכבוד לעמוד לצדו בשעת אמירת “כל נדרי”. הנער התבונן מרותק בפניו המאירות של הזקן כשבירך “שהחיינו”, מתוך ציפייה למחילת העוונות המבושרת בבוא היום הקדוש ביותר.</w:t>
      </w:r>
    </w:p>
    <w:p w14:paraId="66D3F24E" w14:textId="77777777" w:rsidR="00AB3647" w:rsidRDefault="00000000" w:rsidP="007923E9">
      <w:pPr>
        <w:spacing w:after="120" w:line="276" w:lineRule="auto"/>
        <w:jc w:val="both"/>
      </w:pPr>
      <w:r>
        <w:rPr>
          <w:rtl/>
        </w:rPr>
        <w:t xml:space="preserve">זמן הקיץ הסתיים. לרוב התלמידים, כמו </w:t>
      </w:r>
      <w:proofErr w:type="spellStart"/>
      <w:r>
        <w:rPr>
          <w:rtl/>
        </w:rPr>
        <w:t>לדולהינובר</w:t>
      </w:r>
      <w:proofErr w:type="spellEnd"/>
      <w:r>
        <w:rPr>
          <w:rtl/>
        </w:rPr>
        <w:t xml:space="preserve">, לא היה הכסף הדרוש לנסוע לביתם לחג הסוכות, וגם לא רצו להפסיד את רוח השמחה שפיעמה בישיבה בימי בין הזמנים. בעלי התפילה נבחרו לפי כישרונם לשתף את הציבור בשירת החג. ניגון המבוצע כראוי ביום טוב </w:t>
      </w:r>
      <w:r>
        <w:rPr>
          <w:rtl/>
        </w:rPr>
        <w:lastRenderedPageBreak/>
        <w:t xml:space="preserve">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p>
    <w:p w14:paraId="6C0378E5" w14:textId="77777777" w:rsidR="00AB3647" w:rsidRDefault="00000000" w:rsidP="007923E9">
      <w:pPr>
        <w:spacing w:after="120" w:line="276" w:lineRule="auto"/>
        <w:jc w:val="both"/>
      </w:pPr>
      <w:r>
        <w:rPr>
          <w:rtl/>
        </w:rPr>
        <w:t xml:space="preserve">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w:t>
      </w:r>
      <w:proofErr w:type="spellStart"/>
      <w:r>
        <w:rPr>
          <w:rtl/>
        </w:rPr>
        <w:t>סלנטר</w:t>
      </w:r>
      <w:proofErr w:type="spellEnd"/>
      <w:r>
        <w:rPr>
          <w:rtl/>
        </w:rPr>
        <w:t>. הוא נולד בשנת תקצ״ב, התיישב בקובנה והתמסר ללימוד התורה בשקידה גדולה. כבר בנעוריו דבק בו הכינוי “נפתלי מתמיד”, ואילו אשתו התפרנסה בדוחק ממכירת מאפים. הוא היה בקי מופלג בש״ס ובפוסקים.</w:t>
      </w:r>
    </w:p>
    <w:p w14:paraId="5C41CBDF" w14:textId="77777777" w:rsidR="00AB3647" w:rsidRDefault="00000000" w:rsidP="007923E9">
      <w:pPr>
        <w:spacing w:after="12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w:t>
      </w:r>
      <w:proofErr w:type="spellStart"/>
      <w:r>
        <w:rPr>
          <w:rtl/>
        </w:rPr>
        <w:t>בלאזר</w:t>
      </w:r>
      <w:proofErr w:type="spellEnd"/>
      <w:r>
        <w:rPr>
          <w:rtl/>
        </w:rPr>
        <w:t xml:space="preserve">. הוא ניסה עוד לכהן ברבנות לתקופות קצרות במוסקבה,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p>
    <w:p w14:paraId="63370C64" w14:textId="77777777" w:rsidR="00AB3647" w:rsidRDefault="00000000" w:rsidP="007923E9">
      <w:pPr>
        <w:spacing w:after="12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 ואחר כך עקר משם לארץ ישראל. אבל ר׳ נפתלי חי בצנעה, ורק גילם באישיותו את אידיאל המוסר. אף על פי כן, בחול המועד יצא ר׳ נפתלי אל הציבור: הוא קיבל תלמידי כנסת ישראל וסיפר להם סיפורים על רבו ועל שאר גדולי העבר. </w:t>
      </w:r>
      <w:proofErr w:type="spellStart"/>
      <w:r>
        <w:rPr>
          <w:rtl/>
        </w:rPr>
        <w:t>הדולהינובר</w:t>
      </w:r>
      <w:proofErr w:type="spellEnd"/>
      <w:r>
        <w:rPr>
          <w:rtl/>
        </w:rPr>
        <w:t xml:space="preserve"> שאף כל מילה שהוציא מפיו החכם, שהיה בשנות השבעים לחייו. הן דמותו של החכם והן דבריו השפיעו עליו השפעה מתמשכת.</w:t>
      </w:r>
    </w:p>
    <w:p w14:paraId="51E34520" w14:textId="77777777" w:rsidR="00AB3647" w:rsidRDefault="00000000" w:rsidP="007923E9">
      <w:pPr>
        <w:spacing w:after="120" w:line="276" w:lineRule="auto"/>
        <w:jc w:val="both"/>
      </w:pPr>
      <w:r>
        <w:rPr>
          <w:rtl/>
        </w:rPr>
        <w:t xml:space="preserve">בתחילת זמן החורף של תרס״ז שקל הסבא לשלוח את אבי, יחד עם תלמידים אחרים מבוגרים ממנו,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 אבל הסבא החליט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xml:space="preserve">, שבה נלמדה באותו זמן מסכת בבא </w:t>
      </w:r>
      <w:proofErr w:type="spellStart"/>
      <w:r>
        <w:rPr>
          <w:rtl/>
        </w:rPr>
        <w:t>בתרא</w:t>
      </w:r>
      <w:proofErr w:type="spellEnd"/>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p w14:paraId="16DFAC94" w14:textId="77777777" w:rsidR="00AB3647" w:rsidRDefault="00000000" w:rsidP="007923E9">
      <w:pPr>
        <w:spacing w:after="12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 הוא הבין שסבל מקוצר ראייה מאז ינקותו, אבל לא היה בידו לעשות דבר לתיקון ראייתו עד שיבקר אצל הוריו במינסק בפסח.</w:t>
      </w:r>
    </w:p>
    <w:p w14:paraId="1DEC55FA" w14:textId="77777777" w:rsidR="00AB3647" w:rsidRDefault="00000000" w:rsidP="007923E9">
      <w:pPr>
        <w:spacing w:after="12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 אבל בתקופה זו של השנה נהנו בחורי הישיבה לראות שני מבקרים נכבדים. האחד היה ר׳ לייזר גורדון, שאהבתו ללימוד התורה הייתה לשם דבר.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וניצל את מעברו בעיר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p w14:paraId="0EAB11BE" w14:textId="77777777" w:rsidR="00AB3647" w:rsidRDefault="00000000" w:rsidP="007923E9">
      <w:pPr>
        <w:spacing w:after="120" w:line="276" w:lineRule="auto"/>
        <w:jc w:val="both"/>
      </w:pPr>
      <w:r>
        <w:rPr>
          <w:rtl/>
        </w:rPr>
        <w:lastRenderedPageBreak/>
        <w:t xml:space="preserve">שמו כמגיד שיעור מצטיין הגיע </w:t>
      </w:r>
      <w:proofErr w:type="spellStart"/>
      <w:r>
        <w:rPr>
          <w:rtl/>
        </w:rPr>
        <w:t>לטלז</w:t>
      </w:r>
      <w:proofErr w:type="spellEnd"/>
      <w:r>
        <w:rPr>
          <w:rtl/>
        </w:rPr>
        <w:t xml:space="preserve"> לפני בואו, והביא זרם של תלמידים חדשים אל הישיבה הקטנה שכבר הייתה קיימת שם.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 שדרך הפלפול שלו בלימוד הגמרא הייתה כשלו. בשנה שלאחר מכן הביא את חתנו הבכור, ר׳ יוסף לייב בלוך, למדן ומחנך נחוש וחדשני. הישיבה שגשגה, ובתוך זמן קצר הגיע מספר תלמידיה ל־400.</w:t>
      </w:r>
    </w:p>
    <w:p w14:paraId="53D46929" w14:textId="77777777" w:rsidR="00AB3647" w:rsidRDefault="00000000" w:rsidP="007923E9">
      <w:pPr>
        <w:spacing w:after="120" w:line="276" w:lineRule="auto"/>
        <w:jc w:val="both"/>
      </w:pPr>
      <w:r>
        <w:rPr>
          <w:rtl/>
        </w:rPr>
        <w:t xml:space="preserve">במקום ללמוד את דקדוקי הפשט שבדף עם המפרשים המעמיקים בהם, הדגישו ר׳ לייזר וצוותו את הראשונים ואת אותם אחרונים המנתחים את עקרונות היסוד של </w:t>
      </w:r>
      <w:proofErr w:type="spellStart"/>
      <w:r>
        <w:rPr>
          <w:rtl/>
        </w:rPr>
        <w:t>הסוגיה</w:t>
      </w:r>
      <w:proofErr w:type="spellEnd"/>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p>
    <w:p w14:paraId="16D31A25" w14:textId="77777777" w:rsidR="00AB3647" w:rsidRDefault="00000000" w:rsidP="007923E9">
      <w:pPr>
        <w:spacing w:after="120" w:line="276" w:lineRule="auto"/>
        <w:jc w:val="both"/>
      </w:pPr>
      <w:r>
        <w:rPr>
          <w:rtl/>
        </w:rPr>
        <w:t xml:space="preserve">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 ישיבת </w:t>
      </w:r>
      <w:proofErr w:type="spellStart"/>
      <w:r>
        <w:rPr>
          <w:rtl/>
        </w:rPr>
        <w:t>טלז</w:t>
      </w:r>
      <w:proofErr w:type="spellEnd"/>
      <w:r>
        <w:rPr>
          <w:rtl/>
        </w:rPr>
        <w:t xml:space="preserve"> נודעה כמוסד המוביל לפיתוח הלמדנות.</w:t>
      </w:r>
    </w:p>
    <w:p w14:paraId="3B9EC586" w14:textId="77777777" w:rsidR="00AB3647" w:rsidRDefault="00000000" w:rsidP="007923E9">
      <w:pPr>
        <w:spacing w:after="120" w:line="276" w:lineRule="auto"/>
        <w:jc w:val="both"/>
      </w:pPr>
      <w:r>
        <w:rPr>
          <w:rtl/>
        </w:rPr>
        <w:t xml:space="preserve">ר׳ לייזר ניחן במרץ עצום. אף שהיה שקוע כל כולו בלימוד ההלכה ובחידושיה, הצליח למלא בנאמנות את תפקידיו הרבניים בעירו, שהוקירה אותו, </w:t>
      </w:r>
      <w:proofErr w:type="spellStart"/>
      <w:r>
        <w:rPr>
          <w:rtl/>
        </w:rPr>
        <w:t>וכשנזדמנה</w:t>
      </w:r>
      <w:proofErr w:type="spellEnd"/>
      <w:r>
        <w:rPr>
          <w:rtl/>
        </w:rPr>
        <w:t xml:space="preserve"> לו האפשרות שירת גם את כלל ישראל. אבל שום פעילות לא הסיחה אותו מעולם מתשוקתו העיקרית: מסירת שיעורים ודיון בסוגיות הלכתיות עם תלמידים. אהבתו ללומדי תורה הייתה ללא גבול, והאהבה הייתה הדדית: הוא נחשב לראש הישיבה האהוב ביותר בליטא.</w:t>
      </w:r>
    </w:p>
    <w:p w14:paraId="550C757A" w14:textId="77777777" w:rsidR="00AB3647" w:rsidRDefault="00000000" w:rsidP="007923E9">
      <w:pPr>
        <w:spacing w:after="120" w:line="276" w:lineRule="auto"/>
        <w:jc w:val="both"/>
      </w:pPr>
      <w:r>
        <w:rPr>
          <w:rtl/>
        </w:rPr>
        <w:t xml:space="preserve">אף שבעיקרו לא התעניין בשום דבר מלבד לימוד תורה בעיון, שיבח את המוסר ככלי חינוכי נחוץ, והביא לישיבתו משגיחים בעלי שיעור קומה. חתנו ר׳ יוסף לייב, מנהל הישיבה, היה 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p>
    <w:p w14:paraId="5A03B451" w14:textId="77777777" w:rsidR="00AB3647" w:rsidRDefault="00000000" w:rsidP="007923E9">
      <w:pPr>
        <w:spacing w:after="120" w:line="276" w:lineRule="auto"/>
        <w:jc w:val="both"/>
      </w:pPr>
      <w:r>
        <w:rPr>
          <w:rtl/>
        </w:rPr>
        <w:t xml:space="preserve">בסביבות תרנ״ז החלו להיות מורגשים בישיבת </w:t>
      </w:r>
      <w:proofErr w:type="spellStart"/>
      <w:r>
        <w:rPr>
          <w:rtl/>
        </w:rPr>
        <w:t>טלז</w:t>
      </w:r>
      <w:proofErr w:type="spellEnd"/>
      <w:r>
        <w:rPr>
          <w:rtl/>
        </w:rPr>
        <w:t xml:space="preserve"> הזעזועים שפקדו את עולם הישיבות בעניין המוסר, ובעשור שלאחר מכן הגיעו לממדים של התפרצות הר געש. תחילה כוונו הרעשים כלפי המשגיח, ר׳ לייב חסמן, ואחר כך נגד ר׳ יוסף לייב, בגלל הקפדתו הנוקשה על סדרי הישיבה, שכללו זמן ללימוד מוסר. האחרון התפטר מן הישיבה בתחילת תרס״ב; ר׳ שמעון </w:t>
      </w:r>
      <w:proofErr w:type="spellStart"/>
      <w:r>
        <w:rPr>
          <w:rtl/>
        </w:rPr>
        <w:t>שקופ</w:t>
      </w:r>
      <w:proofErr w:type="spellEnd"/>
      <w:r>
        <w:rPr>
          <w:rtl/>
        </w:rPr>
        <w:t xml:space="preserve"> פרש בשנה שלאחר מכן, וכך גם המשגיח.</w:t>
      </w:r>
    </w:p>
    <w:p w14:paraId="5B296FF3" w14:textId="77777777" w:rsidR="00AB3647" w:rsidRDefault="00000000" w:rsidP="007923E9">
      <w:pPr>
        <w:spacing w:after="12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w:t>
      </w:r>
      <w:proofErr w:type="spellStart"/>
      <w:r>
        <w:rPr>
          <w:rtl/>
        </w:rPr>
        <w:t>בסלבודקה</w:t>
      </w:r>
      <w:proofErr w:type="spellEnd"/>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xml:space="preserve">, הצעיר ממנו בשמונה שנים, בבקשת תגבורת. לזמן הקיץ של תרס״ה באה </w:t>
      </w:r>
      <w:proofErr w:type="spellStart"/>
      <w:r>
        <w:rPr>
          <w:rtl/>
        </w:rPr>
        <w:t>לטלז</w:t>
      </w:r>
      <w:proofErr w:type="spellEnd"/>
      <w:r>
        <w:rPr>
          <w:rtl/>
        </w:rPr>
        <w:t xml:space="preserve"> קבוצה של יותר מעשרים </w:t>
      </w:r>
      <w:r>
        <w:rPr>
          <w:rtl/>
        </w:rPr>
        <w:lastRenderedPageBreak/>
        <w:t xml:space="preserve">מן התלמידים המעולים של </w:t>
      </w:r>
      <w:proofErr w:type="spellStart"/>
      <w:r>
        <w:rPr>
          <w:rtl/>
        </w:rPr>
        <w:t>סלבודקה</w:t>
      </w:r>
      <w:proofErr w:type="spellEnd"/>
      <w:r>
        <w:rPr>
          <w:rtl/>
        </w:rPr>
        <w:t xml:space="preserve">, יחד עם משגיח.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p>
    <w:p w14:paraId="5FB8A607" w14:textId="77777777" w:rsidR="00AB3647" w:rsidRDefault="00000000" w:rsidP="007923E9">
      <w:pPr>
        <w:spacing w:after="120" w:line="276" w:lineRule="auto"/>
        <w:jc w:val="both"/>
      </w:pPr>
      <w:r>
        <w:rPr>
          <w:rtl/>
        </w:rPr>
        <w:t xml:space="preserve">איזה כאב היה על ר׳ לייזר לשאת כדי להגיע להחלטה לסגור את הישיבה ולפזר את התלמידים! וכמה זמן יכול היה ר׳ לייזר להמשיך לחיות בלי שיעורים, תלמידים ודיוני תורה? בחנוכה, אחרי סגירה של חודשיים, פתח את הישיבה מחדש ופנה לסבא בבקשה לבוא שוב לעזרתו. זמן קצר אחרי תחילת זמן הקיץ של תרס״ו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 בלוויית המשגיח הצעיר יחסית ובעל ההדר, ר׳ שמואל </w:t>
      </w:r>
      <w:proofErr w:type="spellStart"/>
      <w:r>
        <w:rPr>
          <w:rtl/>
        </w:rPr>
        <w:t>פונדילער</w:t>
      </w:r>
      <w:proofErr w:type="spellEnd"/>
      <w:r>
        <w:rPr>
          <w:rtl/>
        </w:rPr>
        <w:t>, כדי לבנות מחדש את הישיבה.</w:t>
      </w:r>
    </w:p>
    <w:p w14:paraId="49C631D6" w14:textId="77777777" w:rsidR="00AB3647" w:rsidRDefault="00000000" w:rsidP="007923E9">
      <w:pPr>
        <w:spacing w:after="12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p w14:paraId="5372A9AB" w14:textId="77777777" w:rsidR="00AB3647" w:rsidRDefault="00000000" w:rsidP="007923E9">
      <w:pPr>
        <w:spacing w:after="120" w:line="276" w:lineRule="auto"/>
        <w:jc w:val="both"/>
      </w:pPr>
      <w:r>
        <w:rPr>
          <w:rtl/>
        </w:rPr>
        <w:t xml:space="preserve">רק בשבת אחר הצהריים נודע מי הגיע ביום הקודם, והידיעה התפשטה כאש </w:t>
      </w:r>
      <w:proofErr w:type="spellStart"/>
      <w:r>
        <w:rPr>
          <w:rtl/>
        </w:rPr>
        <w:t>בסלבודקה</w:t>
      </w:r>
      <w:proofErr w:type="spellEnd"/>
      <w:r>
        <w:rPr>
          <w:rtl/>
        </w:rPr>
        <w:t xml:space="preserve">.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p w14:paraId="70E3F789" w14:textId="77777777" w:rsidR="00AB3647" w:rsidRDefault="00000000" w:rsidP="007923E9">
      <w:pPr>
        <w:spacing w:after="120" w:line="276" w:lineRule="auto"/>
        <w:jc w:val="both"/>
      </w:pPr>
      <w:r>
        <w:rPr>
          <w:rtl/>
        </w:rPr>
        <w:t xml:space="preserve">השומעים ידעו שאם יפסיקוהו בשאלות מתוך הקהל, הם עלולים לספוג את כעסו המוצדק אך החולף של ר׳ לייזר;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 הנואם, בעודו מחפש במחשבתו תשובה מכרעת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w:t>
      </w:r>
      <w:proofErr w:type="spellStart"/>
      <w:r>
        <w:rPr>
          <w:rtl/>
        </w:rPr>
        <w:t>שייגעץ</w:t>
      </w:r>
      <w:proofErr w:type="spellEnd"/>
      <w:r>
        <w:rPr>
          <w:rtl/>
        </w:rPr>
        <w:t xml:space="preserve">; אתה מפטפט כמו </w:t>
      </w:r>
      <w:proofErr w:type="spellStart"/>
      <w:r>
        <w:rPr>
          <w:rtl/>
        </w:rPr>
        <w:t>שייגעץ</w:t>
      </w:r>
      <w:proofErr w:type="spellEnd"/>
      <w:r>
        <w:rPr>
          <w:rtl/>
        </w:rPr>
        <w:t xml:space="preserve">]!” איש לא נפגע מדרכו של ר׳ לייזר להגן על חידושיו מפני התקפה, מפני שלא היה ארס בדבריו; זו הייתה דרכו לבטא את התלהבותו שאין לה גבול </w:t>
      </w:r>
      <w:proofErr w:type="spellStart"/>
      <w:r>
        <w:rPr>
          <w:rtl/>
        </w:rPr>
        <w:t>ל“מלחמתה</w:t>
      </w:r>
      <w:proofErr w:type="spellEnd"/>
      <w:r>
        <w:rPr>
          <w:rtl/>
        </w:rPr>
        <w:t xml:space="preserve"> של תורה”.</w:t>
      </w:r>
    </w:p>
    <w:p w14:paraId="749C2A9E" w14:textId="77777777" w:rsidR="00AB3647" w:rsidRDefault="00000000" w:rsidP="007923E9">
      <w:pPr>
        <w:spacing w:after="12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p>
    <w:p w14:paraId="261BE650" w14:textId="77777777" w:rsidR="00AB3647" w:rsidRDefault="00000000" w:rsidP="007923E9">
      <w:pPr>
        <w:spacing w:after="120" w:line="276" w:lineRule="auto"/>
        <w:jc w:val="both"/>
      </w:pPr>
      <w:r>
        <w:rPr>
          <w:rtl/>
        </w:rPr>
        <w:t xml:space="preserve">לאחר ערבית והבדלה, בדרכם חזרה ברגל על הגשר, דנו הבחורים בשיעור מכל צדדיו. ישראל </w:t>
      </w:r>
      <w:proofErr w:type="spellStart"/>
      <w:r>
        <w:rPr>
          <w:rtl/>
        </w:rPr>
        <w:t>פיליפובער</w:t>
      </w:r>
      <w:proofErr w:type="spellEnd"/>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xml:space="preserve">, שכן טורקי הוא גם </w:t>
      </w:r>
      <w:proofErr w:type="spellStart"/>
      <w:r>
        <w:rPr>
          <w:rtl/>
        </w:rPr>
        <w:t>שייגעץ</w:t>
      </w:r>
      <w:proofErr w:type="spellEnd"/>
      <w:r>
        <w:rPr>
          <w:rtl/>
        </w:rPr>
        <w:t xml:space="preserve">. ברור אם כן ששלמה </w:t>
      </w:r>
      <w:proofErr w:type="spellStart"/>
      <w:r>
        <w:rPr>
          <w:rtl/>
        </w:rPr>
        <w:t>פאריטשער</w:t>
      </w:r>
      <w:proofErr w:type="spellEnd"/>
      <w:r>
        <w:rPr>
          <w:rtl/>
        </w:rPr>
        <w:t xml:space="preserve"> שאל את השאלה הטובה יותר”.</w:t>
      </w:r>
    </w:p>
    <w:p w14:paraId="175F48BB" w14:textId="77777777" w:rsidR="00AB3647" w:rsidRDefault="00000000" w:rsidP="007923E9">
      <w:pPr>
        <w:spacing w:after="120" w:line="276" w:lineRule="auto"/>
        <w:jc w:val="both"/>
      </w:pPr>
      <w:r>
        <w:rPr>
          <w:rtl/>
        </w:rPr>
        <w:lastRenderedPageBreak/>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שבא לקובנה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p w14:paraId="3D75F438" w14:textId="77777777" w:rsidR="00AB3647" w:rsidRDefault="00000000" w:rsidP="007923E9">
      <w:pPr>
        <w:spacing w:after="12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w:t>
      </w:r>
      <w:proofErr w:type="spellStart"/>
      <w:r>
        <w:rPr>
          <w:rtl/>
        </w:rPr>
        <w:t>דוד׳ל</w:t>
      </w:r>
      <w:proofErr w:type="spellEnd"/>
      <w:r>
        <w:rPr>
          <w:rtl/>
        </w:rPr>
        <w:t xml:space="preserve">,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w:t>
      </w:r>
      <w:proofErr w:type="spellStart"/>
      <w:r>
        <w:rPr>
          <w:rtl/>
        </w:rPr>
        <w:t>דוד׳ל</w:t>
      </w:r>
      <w:proofErr w:type="spellEnd"/>
      <w:r>
        <w:rPr>
          <w:rtl/>
        </w:rPr>
        <w:t xml:space="preserve"> אל המרפסת, כשבני משפחתו תומכים בו מתחת לזרועותיו, כדי שיניד בראשו ויברך: </w:t>
      </w:r>
      <w:bookmarkStart w:id="137" w:name="_Hlk243572731"/>
      <w:r>
        <w:rPr>
          <w:rtl/>
        </w:rPr>
        <w:t>“</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End w:id="137"/>
    <w:p w14:paraId="7126CA5A" w14:textId="77777777" w:rsidR="00AB3647" w:rsidRDefault="00000000" w:rsidP="007923E9">
      <w:pPr>
        <w:spacing w:after="12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w:t>
      </w:r>
      <w:proofErr w:type="spellStart"/>
      <w:r>
        <w:rPr>
          <w:rtl/>
        </w:rPr>
        <w:t>דוד׳ל</w:t>
      </w:r>
      <w:proofErr w:type="spellEnd"/>
      <w:r>
        <w:rPr>
          <w:rtl/>
        </w:rPr>
        <w:t xml:space="preserve">, בירך בקול את הברכה לראיית תלמיד חכם גדול: “ברוך אתה... שחלק </w:t>
      </w:r>
      <w:proofErr w:type="spellStart"/>
      <w:r>
        <w:rPr>
          <w:rtl/>
        </w:rPr>
        <w:t>מחכמתו</w:t>
      </w:r>
      <w:proofErr w:type="spellEnd"/>
      <w:r>
        <w:rPr>
          <w:rtl/>
        </w:rPr>
        <w:t xml:space="preserve"> </w:t>
      </w:r>
      <w:proofErr w:type="spellStart"/>
      <w:r>
        <w:rPr>
          <w:rtl/>
        </w:rPr>
        <w:t>ליראיו</w:t>
      </w:r>
      <w:proofErr w:type="spellEnd"/>
      <w:r>
        <w:rPr>
          <w:rtl/>
        </w:rPr>
        <w:t xml:space="preserve">”, וממעלה המדרגות נשמעה תשובת החכם: “אמן”.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ונוסיף את הרמב״ם ואת הטורים, ועליהם את כתבי היד שלו עצמו, תהיה הערמה גדולה בהרבה מגופו הזעיר – הוא לא יוכל אפילו להזיזה; ואת הכול הוא נושא בראשו!”</w:t>
      </w:r>
    </w:p>
    <w:p w14:paraId="782DDFDE" w14:textId="77777777" w:rsidR="00AB3647" w:rsidRDefault="00000000" w:rsidP="007923E9">
      <w:pPr>
        <w:spacing w:after="12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p>
    <w:p w14:paraId="12F24D8C" w14:textId="77777777" w:rsidR="00AB3647" w:rsidRDefault="00000000" w:rsidP="007923E9">
      <w:pPr>
        <w:spacing w:after="120" w:line="276" w:lineRule="auto"/>
        <w:jc w:val="both"/>
      </w:pPr>
      <w:r>
        <w:rPr>
          <w:rtl/>
        </w:rPr>
        <w:t xml:space="preserve">רבנו נהנה מחגיגות הפורים בישיבה, כשהזמן קרב לסיומו. הוא העריך את חריפות המחשבה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 באותה שנה ספגו שתי ישיבות </w:t>
      </w:r>
      <w:proofErr w:type="spellStart"/>
      <w:r>
        <w:rPr>
          <w:rtl/>
        </w:rPr>
        <w:t>סלבודקה</w:t>
      </w:r>
      <w:proofErr w:type="spellEnd"/>
      <w:r>
        <w:rPr>
          <w:rtl/>
        </w:rPr>
        <w:t xml:space="preserve"> את חיצי הביקורת.</w:t>
      </w:r>
    </w:p>
    <w:p w14:paraId="7495BE1C" w14:textId="77777777" w:rsidR="00AB3647" w:rsidRDefault="00000000" w:rsidP="007923E9">
      <w:pPr>
        <w:spacing w:after="120" w:line="276" w:lineRule="auto"/>
        <w:jc w:val="both"/>
      </w:pPr>
      <w:r>
        <w:rPr>
          <w:rtl/>
        </w:rPr>
        <w:t xml:space="preserve">זמן קצר לפני פורים אירע מאורע חמור בכנסת בית יצחק. אחד הבחורים המבוגרים והחשובים בא אל ר׳ משה </w:t>
      </w:r>
      <w:proofErr w:type="spellStart"/>
      <w:r>
        <w:rPr>
          <w:rtl/>
        </w:rPr>
        <w:t>פקרוביץ</w:t>
      </w:r>
      <w:proofErr w:type="spellEnd"/>
      <w:r>
        <w:rPr>
          <w:rtl/>
        </w:rPr>
        <w:t>׳, המשגיח שהיה ממונה על חלוקת התמיכות, וביקש תוספת. כשנענה בשלילה, איבד את עשתונותיו וסטר סטירה מצלצלת על לחיו של ר׳ משה. מאורע כזה סיפק חומר גלם מתבקש לבדיחות הפורים.</w:t>
      </w:r>
    </w:p>
    <w:p w14:paraId="2FAB389A" w14:textId="77777777" w:rsidR="00AB3647" w:rsidRDefault="00000000" w:rsidP="007923E9">
      <w:pPr>
        <w:spacing w:after="120" w:line="276" w:lineRule="auto"/>
        <w:jc w:val="both"/>
      </w:pPr>
      <w:proofErr w:type="spellStart"/>
      <w:r>
        <w:rPr>
          <w:rtl/>
        </w:rPr>
        <w:t>הפורים־רב</w:t>
      </w:r>
      <w:proofErr w:type="spellEnd"/>
      <w:r>
        <w:rPr>
          <w:rtl/>
        </w:rPr>
        <w:t xml:space="preserve">, שמילא את תפקיד ראש הישיבה,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p>
    <w:p w14:paraId="56A72C4F" w14:textId="77777777" w:rsidR="00AB3647" w:rsidRDefault="00000000" w:rsidP="007923E9">
      <w:pPr>
        <w:spacing w:after="120" w:line="276" w:lineRule="auto"/>
        <w:jc w:val="both"/>
      </w:pPr>
      <w:proofErr w:type="spellStart"/>
      <w:r>
        <w:rPr>
          <w:rtl/>
        </w:rPr>
        <w:lastRenderedPageBreak/>
        <w:t>הפורים־רב</w:t>
      </w:r>
      <w:proofErr w:type="spellEnd"/>
      <w:r>
        <w:rPr>
          <w:rtl/>
        </w:rPr>
        <w:t xml:space="preserve"> השתמש בכלל זה בכיוון ההפוך: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xml:space="preserve">, אשת ר׳ </w:t>
      </w:r>
      <w:proofErr w:type="spellStart"/>
      <w:r>
        <w:rPr>
          <w:rtl/>
        </w:rPr>
        <w:t>משה־מרדכי</w:t>
      </w:r>
      <w:proofErr w:type="spellEnd"/>
      <w:r>
        <w:rPr>
          <w:rtl/>
        </w:rPr>
        <w:t>, אישה תקיפה שבחורי הישיבה פחדו ממנה, ונקב בשם המקור הבדוי: ספר בשם “כסות מנוחה”. כך שיבש את שם ספרו של ראש ישיבתם הנערץ, שהתקבל באהדה, “לבוש מרדכי”, והפכו לכפיל בדוי.</w:t>
      </w:r>
    </w:p>
    <w:p w14:paraId="665BADA9" w14:textId="77777777" w:rsidR="00AB3647" w:rsidRDefault="00000000" w:rsidP="007923E9">
      <w:pPr>
        <w:spacing w:after="12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 מפיהם פרצו דברי תורה ומוסר, ואלה העידו שענייניהם הרוחניים לא היו חיצוניים ושטחיים. הצעיר שמח להימצא בחברה כזו.</w:t>
      </w:r>
    </w:p>
    <w:p w14:paraId="662219DD" w14:textId="77777777" w:rsidR="00AB3647" w:rsidRDefault="00000000" w:rsidP="007923E9">
      <w:pPr>
        <w:spacing w:after="120" w:line="276" w:lineRule="auto"/>
        <w:jc w:val="both"/>
      </w:pPr>
      <w:r>
        <w:rPr>
          <w:rtl/>
        </w:rPr>
        <w:t>רבנו כתב מכתבים הביתה בשנת היעדרו, וגם קיבל מכתבים. עתה הודיע להוריו שיבוא הביתה לפסח. הסבא דיבר אל הבחורים היוצאים מן הישיבה על הדרך שבה עליהם לנהוג בחברת בעלי בתים, שם מוטל עליהם לייצג את ההתרוממות שבאה מלימוד התורה. הוא הזהירם שלא להאריך בתפילת העמידה בבית הכנסת, פן יראו בהם המתפללים אנשים שאינם מן העולם הזה, מנותקים מן המציאות.</w:t>
      </w:r>
    </w:p>
    <w:p w14:paraId="45471B96" w14:textId="77777777" w:rsidR="00AB3647" w:rsidRDefault="00000000" w:rsidP="007923E9">
      <w:pPr>
        <w:spacing w:after="12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xml:space="preserve">. השבועות שעשה במינסק לא עברו בבטלה: הוא ביקר בספריית ספרי הקודש שבבית איל העצים ברוך </w:t>
      </w:r>
      <w:proofErr w:type="spellStart"/>
      <w:r>
        <w:rPr>
          <w:rtl/>
        </w:rPr>
        <w:t>זלדוביץ</w:t>
      </w:r>
      <w:proofErr w:type="spellEnd"/>
      <w:r>
        <w:rPr>
          <w:rtl/>
        </w:rPr>
        <w:t xml:space="preserve">׳ ושאל כמה ספרים, כדי ללמוד כמה עניינים שחיבב ושסדרי הישיבה במשך השנה לא הותירו לו זמן ללומדם. הוריו, ובייחוד סבו, היו גאים בצאצאם, שהיה עתה בן תורה צעיר. </w:t>
      </w:r>
      <w:bookmarkStart w:id="138" w:name="_Hlk243572889"/>
      <w:proofErr w:type="spellStart"/>
      <w:r>
        <w:rPr>
          <w:rtl/>
        </w:rPr>
        <w:t>אמו</w:t>
      </w:r>
      <w:proofErr w:type="spellEnd"/>
      <w:r>
        <w:rPr>
          <w:rtl/>
        </w:rPr>
        <w:t xml:space="preserve"> ראתה שהאבן הטובה שלה מתחילה להבהיק.</w:t>
      </w:r>
      <w:bookmarkEnd w:id="138"/>
    </w:p>
    <w:p w14:paraId="53FA1D56" w14:textId="77777777" w:rsidR="00AB3647" w:rsidRDefault="00000000" w:rsidP="007923E9">
      <w:pPr>
        <w:pStyle w:val="ae"/>
        <w:pageBreakBefore/>
        <w:spacing w:line="276" w:lineRule="auto"/>
      </w:pPr>
      <w:bookmarkStart w:id="139" w:name="text_chapter5"/>
      <w:r>
        <w:lastRenderedPageBreak/>
        <w:t>פרק חמישי</w:t>
      </w:r>
      <w:bookmarkEnd w:id="139"/>
    </w:p>
    <w:p w14:paraId="3D444FE6" w14:textId="77777777" w:rsidR="00AB3647" w:rsidRDefault="00000000" w:rsidP="007923E9">
      <w:pPr>
        <w:pStyle w:val="1"/>
        <w:spacing w:line="276" w:lineRule="auto"/>
      </w:pPr>
      <w:r>
        <w:t xml:space="preserve">העשור השני – ד: </w:t>
      </w:r>
      <w:proofErr w:type="spellStart"/>
      <w:r>
        <w:t>מאלטש</w:t>
      </w:r>
      <w:proofErr w:type="spellEnd"/>
    </w:p>
    <w:p w14:paraId="00B9F45D" w14:textId="77777777" w:rsidR="00AB3647" w:rsidRDefault="00000000" w:rsidP="007923E9">
      <w:pPr>
        <w:pStyle w:val="2"/>
        <w:spacing w:line="276" w:lineRule="auto"/>
      </w:pPr>
      <w:r>
        <w:t>1.</w:t>
      </w:r>
    </w:p>
    <w:p w14:paraId="78E04409" w14:textId="77777777" w:rsidR="00AB3647" w:rsidRDefault="00000000" w:rsidP="007923E9">
      <w:pPr>
        <w:spacing w:after="10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 הוא שב לסדרי הישיבה באותה התלהבות שהייתה בו שנה קודם לכן, אבל מעשה פזיזות ילדותי באותו זמן קיץ השפיע על כל חייו.</w:t>
      </w:r>
    </w:p>
    <w:p w14:paraId="4E9F0C93" w14:textId="77777777" w:rsidR="00AB3647" w:rsidRDefault="00000000" w:rsidP="007923E9">
      <w:pPr>
        <w:spacing w:after="100" w:line="276" w:lineRule="auto"/>
        <w:ind w:firstLine="340"/>
        <w:jc w:val="both"/>
      </w:pPr>
      <w:r>
        <w:rPr>
          <w:rtl/>
        </w:rPr>
        <w:t xml:space="preserve">כשלמד עם </w:t>
      </w:r>
      <w:proofErr w:type="spellStart"/>
      <w:r>
        <w:rPr>
          <w:rtl/>
        </w:rPr>
        <w:t>חברותתו</w:t>
      </w:r>
      <w:proofErr w:type="spellEnd"/>
      <w:r>
        <w:rPr>
          <w:rtl/>
        </w:rPr>
        <w:t xml:space="preserve">, בחור פיקח שהיה מבוגר ממנו, נתקלו בתוספות מורכב, סבוך דיו להקשות גם על תלמידים מוכשרים. שותפו ללימוד הציע לרבנו סיגריה ואמר שהעישון מסייע לצלילות המחשבה. סיגריה אחת גררה אחריה עוד אחת, ועד מהרה כבר לא היסס לבקש </w:t>
      </w:r>
      <w:proofErr w:type="spellStart"/>
      <w:r>
        <w:rPr>
          <w:rtl/>
        </w:rPr>
        <w:t>מחברותתו</w:t>
      </w:r>
      <w:proofErr w:type="spellEnd"/>
      <w:r>
        <w:rPr>
          <w:rtl/>
        </w:rPr>
        <w:t xml:space="preserve"> סיגריה תמורת ביאור קטע קשה שביאר לו. כפי שלא היה נדיר בקרב צעירי אותו דור, נעשה </w:t>
      </w:r>
      <w:proofErr w:type="spellStart"/>
      <w:r>
        <w:rPr>
          <w:rtl/>
        </w:rPr>
        <w:t>הדולהינובר</w:t>
      </w:r>
      <w:proofErr w:type="spellEnd"/>
      <w:r>
        <w:rPr>
          <w:rtl/>
        </w:rPr>
        <w:t xml:space="preserve"> מעשן קבוע.</w:t>
      </w:r>
    </w:p>
    <w:p w14:paraId="46B239CB" w14:textId="77777777" w:rsidR="00AB3647" w:rsidRDefault="00000000" w:rsidP="007923E9">
      <w:pPr>
        <w:spacing w:after="100" w:line="276" w:lineRule="auto"/>
        <w:ind w:firstLine="340"/>
        <w:jc w:val="both"/>
      </w:pPr>
      <w:r>
        <w:rPr>
          <w:rtl/>
        </w:rPr>
        <w:t xml:space="preserve">בסוף זמן הקיץ כבר היה רבנו אהוב כל כך בישיבה, שתלמידים מבוגרים ממנו ראו זכות לעצמם ללמוד עמו. לקראת סוף אלול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w:t>
      </w:r>
      <w:proofErr w:type="spellStart"/>
      <w:r>
        <w:rPr>
          <w:rtl/>
        </w:rPr>
        <w:t>במיר</w:t>
      </w:r>
      <w:proofErr w:type="spellEnd"/>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p>
    <w:p w14:paraId="3E600B25" w14:textId="77777777" w:rsidR="00AB3647" w:rsidRDefault="00000000" w:rsidP="007923E9">
      <w:pPr>
        <w:spacing w:after="10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 הסבא הביע את הסתייגותו באמירת שורה מתפילות הסליחות של אותו שבוע: “כי קטן יעקב ודל”. אף שהסבא נהנה מגילויי גאונות, הוא העדיף שתלמידו ישקיע את כישרונו בתורה שבעל פה, שאין לה גבול, ולא בתנ״ך הכתוב, שגבולותיו קבועים.</w:t>
      </w:r>
    </w:p>
    <w:p w14:paraId="05986196" w14:textId="77777777" w:rsidR="00AB3647" w:rsidRDefault="00000000" w:rsidP="007923E9">
      <w:pPr>
        <w:spacing w:after="100" w:line="276" w:lineRule="auto"/>
        <w:ind w:firstLine="340"/>
        <w:jc w:val="both"/>
      </w:pPr>
      <w:r>
        <w:rPr>
          <w:rtl/>
        </w:rPr>
        <w:t xml:space="preserve">בסוף אלול התקבלה בכנסת ישראל החלטה נועזת: לראשונה בתולדותיה תלמד הישיבה בזמן החורף את אחת משלוש המסכתות הקשות ביותר בתלמוד, מסכת יבמות. כל תלמידי הישיבה ניגשו לזמן החדש בחשש, ואפילו ראש הישיבה פחד.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 ובזיכרונו המבורך לא שכח ממנה שורה. אומנם מן התוספות למד אז רק מעט, אבל הגמרא נשארה בזיכרונו ברורה, בלי שתימחק.</w:t>
      </w:r>
    </w:p>
    <w:p w14:paraId="41E4747C" w14:textId="77777777" w:rsidR="00AB3647" w:rsidRDefault="00000000" w:rsidP="007923E9">
      <w:pPr>
        <w:spacing w:after="100" w:line="276" w:lineRule="auto"/>
        <w:ind w:firstLine="340"/>
        <w:jc w:val="both"/>
      </w:pPr>
      <w:r>
        <w:rPr>
          <w:rtl/>
        </w:rPr>
        <w:t xml:space="preserve">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 או שמא אופיו של חברו </w:t>
      </w:r>
      <w:r>
        <w:rPr>
          <w:rtl/>
        </w:rPr>
        <w:lastRenderedPageBreak/>
        <w:t xml:space="preserve">ללימוד הוא שצרם לרגישותו של צעיר שהבחין בחדות באופיים של בני אדם? תהא הבעיה אשר תהא, הוא היה ביישן מכדי לפצות פה ולבקש מן הסבא להחליף את </w:t>
      </w:r>
      <w:proofErr w:type="spellStart"/>
      <w:r>
        <w:rPr>
          <w:rtl/>
        </w:rPr>
        <w:t>חברותתו</w:t>
      </w:r>
      <w:proofErr w:type="spellEnd"/>
      <w:r>
        <w:rPr>
          <w:rtl/>
        </w:rPr>
        <w:t xml:space="preserve"> – כיצד יכול היה הוא, חדש יחסית בישיבה, להיפרד מתלמיד מבוגר, מכובד ומבוסס!</w:t>
      </w:r>
    </w:p>
    <w:p w14:paraId="74558D57" w14:textId="77777777" w:rsidR="00AB3647" w:rsidRDefault="00000000" w:rsidP="007923E9">
      <w:pPr>
        <w:spacing w:after="100" w:line="276" w:lineRule="auto"/>
        <w:ind w:firstLine="340"/>
        <w:jc w:val="both"/>
      </w:pPr>
      <w:r>
        <w:rPr>
          <w:rtl/>
        </w:rPr>
        <w:t xml:space="preserve">כשראה שתלמיד ותיק אחר עדיין לא מצא חברותא, הודיע לו שישמח לוותר לטובתו על חברו שלו. אבל תחבולה זו, למרבה הצער, לא הועילה, ואבי נשאר עם חבר שסלד ממנו. עד שעבר חג הסוכות והחלו להגיע לזמן החדש כמה תלמידים מצוינים במיוחד, כבר התחיל </w:t>
      </w:r>
      <w:proofErr w:type="spellStart"/>
      <w:r>
        <w:rPr>
          <w:rtl/>
        </w:rPr>
        <w:t>הדולהינובר</w:t>
      </w:r>
      <w:proofErr w:type="spellEnd"/>
      <w:r>
        <w:rPr>
          <w:rtl/>
        </w:rPr>
        <w:t xml:space="preserve"> להימנע מלשבת וללמוד עם החברותא שנקבע לו.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p w14:paraId="111C29B6" w14:textId="77777777" w:rsidR="00AB3647" w:rsidRDefault="00000000" w:rsidP="007923E9">
      <w:pPr>
        <w:spacing w:after="10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תלמיד ר׳ יוסף־דב </w:t>
      </w:r>
      <w:proofErr w:type="spellStart"/>
      <w:r>
        <w:rPr>
          <w:rtl/>
        </w:rPr>
        <w:t>סולובייצ׳יק</w:t>
      </w:r>
      <w:proofErr w:type="spellEnd"/>
      <w:r>
        <w:rPr>
          <w:rtl/>
        </w:rPr>
        <w:t xml:space="preserve"> </w:t>
      </w:r>
      <w:proofErr w:type="spellStart"/>
      <w:r>
        <w:rPr>
          <w:rtl/>
        </w:rPr>
        <w:t>בסלוצק</w:t>
      </w:r>
      <w:proofErr w:type="spellEnd"/>
      <w:r>
        <w:rPr>
          <w:rtl/>
        </w:rPr>
        <w:t xml:space="preserve">, עמד בראש ישיבה </w:t>
      </w:r>
      <w:proofErr w:type="spellStart"/>
      <w:r>
        <w:rPr>
          <w:rtl/>
        </w:rPr>
        <w:t>במאלטש</w:t>
      </w:r>
      <w:proofErr w:type="spellEnd"/>
      <w:r>
        <w:rPr>
          <w:rtl/>
        </w:rPr>
        <w:t xml:space="preserve"> בשנים שכיהן בה כרב, וכך גם יורשו לזמן קצר, ר׳ שמעון </w:t>
      </w:r>
      <w:proofErr w:type="spellStart"/>
      <w:r>
        <w:rPr>
          <w:rtl/>
        </w:rPr>
        <w:t>שקופ</w:t>
      </w:r>
      <w:proofErr w:type="spellEnd"/>
      <w:r>
        <w:rPr>
          <w:rtl/>
        </w:rPr>
        <w:t xml:space="preserve">, ראש הישיבה המפורסם </w:t>
      </w:r>
      <w:proofErr w:type="spellStart"/>
      <w:r>
        <w:rPr>
          <w:rtl/>
        </w:rPr>
        <w:t>מטלז</w:t>
      </w:r>
      <w:proofErr w:type="spellEnd"/>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w:t>
      </w:r>
      <w:proofErr w:type="spellStart"/>
      <w:r>
        <w:rPr>
          <w:rtl/>
        </w:rPr>
        <w:t>לומז׳ה</w:t>
      </w:r>
      <w:proofErr w:type="spellEnd"/>
      <w:r>
        <w:rPr>
          <w:rtl/>
        </w:rPr>
        <w:t>, התנו מנהיגי העיירה את מינויו בכך שיפתח מחדש את הישיבה המקומית.</w:t>
      </w:r>
    </w:p>
    <w:p w14:paraId="0078DC33"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 וגם ישיבתו המחודשת של ר׳ שמעון לקתה שוב באותו נגע. כשעזב ר׳ שמעון כדי לכהן כרבה של </w:t>
      </w:r>
      <w:proofErr w:type="spellStart"/>
      <w:r>
        <w:rPr>
          <w:rtl/>
        </w:rPr>
        <w:t>בריינסק</w:t>
      </w:r>
      <w:proofErr w:type="spellEnd"/>
      <w:r>
        <w:rPr>
          <w:rtl/>
        </w:rPr>
        <w:t xml:space="preserve"> באביב תרס״ז, הלך אחריו לשם גרעין התלמידים הבריא,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 – להקים בעיירתו ישיבת מוסר, והוא ידע היטב לאן לפנות לעזרה. מיד אחרי שמחת תורה בא </w:t>
      </w:r>
      <w:proofErr w:type="spellStart"/>
      <w:r>
        <w:rPr>
          <w:rtl/>
        </w:rPr>
        <w:t>לסלבודקה</w:t>
      </w:r>
      <w:proofErr w:type="spellEnd"/>
      <w:r>
        <w:rPr>
          <w:rtl/>
        </w:rPr>
        <w:t xml:space="preserve">, להודיע לסבא על המצב ולבקש את עזרתו. הסבא, שמטרת חייו הייתה לבנות ישיבות, נענה לבקשתו של הרב </w:t>
      </w:r>
      <w:proofErr w:type="spellStart"/>
      <w:r>
        <w:rPr>
          <w:rtl/>
        </w:rPr>
        <w:t>דינובסקי</w:t>
      </w:r>
      <w:proofErr w:type="spellEnd"/>
      <w:r>
        <w:rPr>
          <w:rtl/>
        </w:rPr>
        <w:t xml:space="preserve"> מיד בחיוב.</w:t>
      </w:r>
    </w:p>
    <w:p w14:paraId="37A44308" w14:textId="77777777" w:rsidR="00AB3647" w:rsidRDefault="00000000" w:rsidP="007923E9">
      <w:pPr>
        <w:spacing w:after="10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xml:space="preserve">. בארבעת הימים שעד שבת בראשית הצליח הסבא לארגן קבוצה של ארבעים בחורים, מבוגרים וצעירים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 בכנסת ישראל, שגם אותו שלח הסבא </w:t>
      </w:r>
      <w:proofErr w:type="spellStart"/>
      <w:r>
        <w:rPr>
          <w:rtl/>
        </w:rPr>
        <w:t>לטלז</w:t>
      </w:r>
      <w:proofErr w:type="spellEnd"/>
      <w:r>
        <w:rPr>
          <w:rtl/>
        </w:rPr>
        <w:t xml:space="preserve"> שנתיים קודם לכן: ר׳ שלמה </w:t>
      </w:r>
      <w:proofErr w:type="spellStart"/>
      <w:r>
        <w:rPr>
          <w:rtl/>
        </w:rPr>
        <w:t>גבורין</w:t>
      </w:r>
      <w:proofErr w:type="spellEnd"/>
      <w:r>
        <w:rPr>
          <w:rtl/>
        </w:rPr>
        <w:t>.</w:t>
      </w:r>
    </w:p>
    <w:p w14:paraId="33AC4DB8" w14:textId="77777777" w:rsidR="00AB3647" w:rsidRDefault="00000000" w:rsidP="007923E9">
      <w:pPr>
        <w:spacing w:after="10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742E598B" w14:textId="77777777" w:rsidR="00AB3647" w:rsidRDefault="00000000" w:rsidP="007923E9">
      <w:pPr>
        <w:spacing w:after="100" w:line="276" w:lineRule="auto"/>
        <w:ind w:firstLine="340"/>
        <w:jc w:val="both"/>
      </w:pPr>
      <w:r>
        <w:rPr>
          <w:rtl/>
        </w:rPr>
        <w:lastRenderedPageBreak/>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 כעבור זמן קצר חזר הסבא להמשיך לארח את אורחו הנכבד, ואמר: “זה עתה גייסתי לישיבתך תלמיד צעיר מצוין”.</w:t>
      </w:r>
    </w:p>
    <w:p w14:paraId="312E1133" w14:textId="77777777" w:rsidR="00AB3647" w:rsidRDefault="00000000" w:rsidP="007923E9">
      <w:pPr>
        <w:spacing w:after="10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xml:space="preserve">, שכן מלבד למדנותו הגדולה ומוחו המבריק הוא היה בעל אישיות מעוררת השראה, וחינוכו </w:t>
      </w:r>
      <w:proofErr w:type="spellStart"/>
      <w:r>
        <w:rPr>
          <w:rtl/>
        </w:rPr>
        <w:t>בקלם</w:t>
      </w:r>
      <w:proofErr w:type="spellEnd"/>
      <w:r>
        <w:rPr>
          <w:rtl/>
        </w:rPr>
        <w:t xml:space="preserve"> ניכר בכל מעשיו. הוא נהג כבוד בלתי רגיל בכל אדם, אפילו בצעיר תלמידיו. היה לו קול זמרה יפה ונפש של משורר. הוא ידע את כל התנ״ך בעל פה, והייתה לו ידיעה רחבה במאמרי חז״ל ובמדרשים. הוא לא אהב “לדבר בלימוד”, מפני שכבעל מוסר חשש שמא יסטה מן האמת כשיעמוד על דעתו, וכשהיה מוסר מפעם לפעם שיחת מוסר, לא הרגיש כיצד הזמן חולף.</w:t>
      </w:r>
    </w:p>
    <w:p w14:paraId="4F5693FD" w14:textId="77777777" w:rsidR="00AB3647" w:rsidRDefault="00000000" w:rsidP="007923E9">
      <w:pPr>
        <w:spacing w:after="10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w:t>
      </w:r>
      <w:proofErr w:type="spellStart"/>
      <w:r>
        <w:rPr>
          <w:rtl/>
        </w:rPr>
        <w:t>שרה־חסיה</w:t>
      </w:r>
      <w:proofErr w:type="spellEnd"/>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 הוא ראש הישיבה מכאן ואילך”.</w:t>
      </w:r>
    </w:p>
    <w:p w14:paraId="47782F2B" w14:textId="77777777" w:rsidR="00AB3647" w:rsidRDefault="00000000" w:rsidP="007923E9">
      <w:pPr>
        <w:spacing w:after="10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 ומושכת. שיעוריו המבריקים של ר׳ שלמה היו חביבים על הבחורים, והקנו לו את הכינוי “ר׳ שלמה החריף”. נוסף על כך, התלמידים חשו סיפוק מכך שהקימו מבצר תורה חדש על המפה היהודית.</w:t>
      </w:r>
    </w:p>
    <w:p w14:paraId="68B671CA" w14:textId="77777777" w:rsidR="00AB3647" w:rsidRDefault="00000000" w:rsidP="007923E9">
      <w:pPr>
        <w:spacing w:after="100" w:line="276" w:lineRule="auto"/>
        <w:ind w:firstLine="340"/>
        <w:jc w:val="both"/>
      </w:pPr>
      <w:r>
        <w:rPr>
          <w:rtl/>
        </w:rPr>
        <w:t xml:space="preserve">רבנו נהנה הן מן הלימוד והן מידידותם של ראשי ישיבתו, ומיד חזר להיות המתמיד שהיה. אחרי הסטייה הקלה בראשית השנה שב לדרך ההתקדמות שסללו שני הגאונים, שנהנה מחברתם הנעימה. אבל שהותו בעיירה היפה, המוקפת יערות, הייתה קצרה, שכן לקראת סוף החורף של אותה שנה מעוברת קיבל הודעה </w:t>
      </w:r>
      <w:proofErr w:type="spellStart"/>
      <w:r>
        <w:rPr>
          <w:rtl/>
        </w:rPr>
        <w:t>מסלבודקה</w:t>
      </w:r>
      <w:proofErr w:type="spellEnd"/>
      <w:r>
        <w:rPr>
          <w:rtl/>
        </w:rPr>
        <w:t>: הסבא רוצה שישוב לכנסת ישראל אחרי פסח, וסידר בשבילו במיוחד חברותא מצוין.</w:t>
      </w:r>
    </w:p>
    <w:p w14:paraId="3A38452C" w14:textId="77777777" w:rsidR="00AB3647" w:rsidRDefault="00000000" w:rsidP="007923E9">
      <w:pPr>
        <w:pStyle w:val="2"/>
        <w:spacing w:line="276" w:lineRule="auto"/>
      </w:pPr>
      <w:r>
        <w:t>2.</w:t>
      </w:r>
    </w:p>
    <w:p w14:paraId="1BC28D51" w14:textId="77777777" w:rsidR="00AB3647" w:rsidRDefault="00000000" w:rsidP="007923E9">
      <w:pPr>
        <w:spacing w:after="10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p w14:paraId="11B41839" w14:textId="77777777" w:rsidR="00AB3647" w:rsidRDefault="00000000" w:rsidP="007923E9">
      <w:pPr>
        <w:spacing w:after="100" w:line="276" w:lineRule="auto"/>
        <w:ind w:firstLine="340"/>
        <w:jc w:val="both"/>
      </w:pPr>
      <w:r>
        <w:rPr>
          <w:rtl/>
        </w:rPr>
        <w:t xml:space="preserve">ההורים הבינו שבנם בחור הישיבה ואחיו מתרחקים זה מזה בהשקפתם יותר מאשר במקום מגוריהם, ולכן החליטו שיש צורך במעשה שיבטא את אחדות המשפחה. הם קבעו מועד </w:t>
      </w:r>
      <w:r>
        <w:rPr>
          <w:rtl/>
        </w:rPr>
        <w:lastRenderedPageBreak/>
        <w:t>לצילום משפחתי, שילדיהם ישמרו באהבה – ככל שירחיק העתיד כל אחד מהם מאחיו ואחיותיו.</w:t>
      </w:r>
    </w:p>
    <w:p w14:paraId="4511F43C" w14:textId="77777777" w:rsidR="00AB3647" w:rsidRDefault="00000000" w:rsidP="007923E9">
      <w:pPr>
        <w:spacing w:after="100" w:line="276" w:lineRule="auto"/>
        <w:ind w:firstLine="340"/>
        <w:jc w:val="both"/>
      </w:pPr>
      <w:r>
        <w:rPr>
          <w:rtl/>
        </w:rPr>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p>
    <w:p w14:paraId="5CD37E1B" w14:textId="77777777" w:rsidR="00AB3647" w:rsidRDefault="00000000" w:rsidP="007923E9">
      <w:pPr>
        <w:spacing w:after="10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3899C99F" w14:textId="77777777" w:rsidR="00AB3647" w:rsidRDefault="00000000" w:rsidP="007923E9">
      <w:pPr>
        <w:spacing w:after="10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 באורח הנכבד.</w:t>
      </w:r>
    </w:p>
    <w:p w14:paraId="7ED89D3E" w14:textId="77777777" w:rsidR="00AB3647" w:rsidRDefault="00000000" w:rsidP="007923E9">
      <w:pPr>
        <w:spacing w:after="10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 כשנענה בחיוב, קרא: “כלום יש בן לאותו צדיק!”, וקם מלוא קומתו.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w:t>
      </w:r>
      <w:proofErr w:type="spellStart"/>
      <w:r>
        <w:rPr>
          <w:rtl/>
        </w:rPr>
        <w:t>בוולוז׳ין</w:t>
      </w:r>
      <w:proofErr w:type="spellEnd"/>
      <w:r>
        <w:rPr>
          <w:rtl/>
        </w:rPr>
        <w:t>.</w:t>
      </w:r>
    </w:p>
    <w:p w14:paraId="57155479" w14:textId="77777777" w:rsidR="00AB3647" w:rsidRDefault="00000000" w:rsidP="007923E9">
      <w:pPr>
        <w:spacing w:after="100" w:line="276" w:lineRule="auto"/>
        <w:ind w:firstLine="340"/>
        <w:jc w:val="both"/>
      </w:pPr>
      <w:r>
        <w:rPr>
          <w:rtl/>
        </w:rPr>
        <w:t xml:space="preserve">מלבד עשרות התלמידים הרבות שגדשו את החדר הגדול עד שבא ר׳ </w:t>
      </w:r>
      <w:proofErr w:type="spellStart"/>
      <w:r>
        <w:rPr>
          <w:rtl/>
        </w:rPr>
        <w:t>ברוך־בער</w:t>
      </w:r>
      <w:proofErr w:type="spellEnd"/>
      <w:r>
        <w:rPr>
          <w:rtl/>
        </w:rPr>
        <w:t xml:space="preserve">, היו שם ר׳ </w:t>
      </w:r>
      <w:proofErr w:type="spellStart"/>
      <w:r>
        <w:rPr>
          <w:rtl/>
        </w:rPr>
        <w:t>משה־מרדכי</w:t>
      </w:r>
      <w:proofErr w:type="spellEnd"/>
      <w:r>
        <w:rPr>
          <w:rtl/>
        </w:rPr>
        <w:t xml:space="preserve">, ר׳ ברוך הורביץ, רבה של </w:t>
      </w:r>
      <w:proofErr w:type="spellStart"/>
      <w:r>
        <w:rPr>
          <w:rtl/>
        </w:rPr>
        <w:t>אלקסוט</w:t>
      </w:r>
      <w:proofErr w:type="spellEnd"/>
      <w:r>
        <w:rPr>
          <w:rtl/>
        </w:rPr>
        <w:t xml:space="preserve">, ר׳ פנחס גלמן, רבה של </w:t>
      </w:r>
      <w:proofErr w:type="spellStart"/>
      <w:r>
        <w:rPr>
          <w:rtl/>
        </w:rPr>
        <w:t>יקטרינוסלב</w:t>
      </w:r>
      <w:proofErr w:type="spellEnd"/>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 אבל כשמישהו רצה לפנות לו את כיסאו ליד ר׳ חיים, דחה ר׳ </w:t>
      </w:r>
      <w:proofErr w:type="spellStart"/>
      <w:r>
        <w:rPr>
          <w:rtl/>
        </w:rPr>
        <w:t>ברוך־בער</w:t>
      </w:r>
      <w:proofErr w:type="spellEnd"/>
      <w:r>
        <w:rPr>
          <w:rtl/>
        </w:rPr>
        <w:t xml:space="preserve"> את ההצעה בתנועת יד.</w:t>
      </w:r>
    </w:p>
    <w:p w14:paraId="68569706" w14:textId="77777777" w:rsidR="00AB3647" w:rsidRDefault="00000000" w:rsidP="007923E9">
      <w:pPr>
        <w:spacing w:after="10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p w14:paraId="5CEC9EB0" w14:textId="77777777" w:rsidR="00AB3647" w:rsidRDefault="00000000" w:rsidP="007923E9">
      <w:pPr>
        <w:spacing w:after="100" w:line="276" w:lineRule="auto"/>
        <w:ind w:firstLine="340"/>
        <w:jc w:val="both"/>
      </w:pPr>
      <w:r>
        <w:rPr>
          <w:rtl/>
        </w:rPr>
        <w:lastRenderedPageBreak/>
        <w:t xml:space="preserve">אז אמרו הנכבדים שהתאספו </w:t>
      </w:r>
      <w:proofErr w:type="spellStart"/>
      <w:r>
        <w:rPr>
          <w:rtl/>
        </w:rPr>
        <w:t>לר</w:t>
      </w:r>
      <w:proofErr w:type="spellEnd"/>
      <w:r>
        <w:rPr>
          <w:rtl/>
        </w:rPr>
        <w:t xml:space="preserve">׳ חיים: “יאמר לנו הרב דבר תורה”. ר׳ חיים היה פעם מעשן בשרשרת, אבל כשהחל לירוק דם ציווה עליו הרופא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 ששמו כשם מזכירו של ר׳ </w:t>
      </w:r>
      <w:proofErr w:type="spellStart"/>
      <w:r>
        <w:rPr>
          <w:rtl/>
        </w:rPr>
        <w:t>יצחק־אלחנן</w:t>
      </w:r>
      <w:proofErr w:type="spellEnd"/>
      <w:r>
        <w:rPr>
          <w:rtl/>
        </w:rPr>
        <w:t xml:space="preserve">, ר׳ יעקב ליפשיץ. השמש פתח את פיו ואמר: “רבי, הרופא שלך הורה לי שלא להניח לך לדבר, וגם הרבנית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p w14:paraId="7C90BA26" w14:textId="77777777" w:rsidR="00AB3647" w:rsidRDefault="00000000" w:rsidP="007923E9">
      <w:pPr>
        <w:spacing w:after="100" w:line="276" w:lineRule="auto"/>
        <w:ind w:firstLine="340"/>
        <w:jc w:val="both"/>
      </w:pPr>
      <w:r>
        <w:rPr>
          <w:rtl/>
        </w:rPr>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w:t>
      </w:r>
      <w:proofErr w:type="spellStart"/>
      <w:r>
        <w:rPr>
          <w:rtl/>
        </w:rPr>
        <w:t>בוולוז׳ין</w:t>
      </w:r>
      <w:proofErr w:type="spellEnd"/>
      <w:r>
        <w:rPr>
          <w:rtl/>
        </w:rPr>
        <w:t>.</w:t>
      </w:r>
    </w:p>
    <w:p w14:paraId="57423971" w14:textId="77777777" w:rsidR="00AB3647" w:rsidRDefault="00000000" w:rsidP="007923E9">
      <w:pPr>
        <w:spacing w:after="10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w:t>
      </w:r>
      <w:proofErr w:type="spellStart"/>
      <w:r>
        <w:rPr>
          <w:rtl/>
        </w:rPr>
        <w:t>רבינוביץ</w:t>
      </w:r>
      <w:proofErr w:type="spellEnd"/>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p w14:paraId="22A284C9" w14:textId="77777777" w:rsidR="00AB3647" w:rsidRDefault="00000000" w:rsidP="007923E9">
      <w:pPr>
        <w:spacing w:after="100" w:line="276" w:lineRule="auto"/>
        <w:ind w:firstLine="340"/>
        <w:jc w:val="both"/>
      </w:pPr>
      <w:r>
        <w:rPr>
          <w:rtl/>
        </w:rPr>
        <w:t xml:space="preserve">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w:t>
      </w:r>
      <w:proofErr w:type="spellStart"/>
      <w:r>
        <w:rPr>
          <w:rtl/>
        </w:rPr>
        <w:t>בגרמנית־יידיש</w:t>
      </w:r>
      <w:proofErr w:type="spellEnd"/>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w:t>
      </w:r>
      <w:proofErr w:type="spellStart"/>
      <w:r>
        <w:rPr>
          <w:rtl/>
        </w:rPr>
        <w:t>מבריסק</w:t>
      </w:r>
      <w:proofErr w:type="spellEnd"/>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 והם הלכו.</w:t>
      </w:r>
    </w:p>
    <w:p w14:paraId="4FCCD99A" w14:textId="77777777" w:rsidR="00AB3647" w:rsidRDefault="00000000" w:rsidP="007923E9">
      <w:pPr>
        <w:spacing w:after="10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00C4C6D6" w14:textId="77777777" w:rsidR="00AB3647" w:rsidRDefault="00AB3647" w:rsidP="007923E9">
      <w:pPr>
        <w:spacing w:line="276" w:lineRule="auto"/>
        <w:sectPr w:rsidR="00AB3647">
          <w:footerReference w:type="default" r:id="rId11"/>
          <w:footnotePr>
            <w:pos w:val="pageBottom"/>
            <w:numRestart w:val="eachSect"/>
          </w:footnotePr>
          <w:pgSz w:w="9638" w:h="13606"/>
          <w:pgMar w:top="1134" w:right="1077" w:bottom="1134" w:left="1077" w:header="567" w:footer="567" w:gutter="0"/>
          <w:cols w:space="720"/>
          <w:bidi/>
          <w:docGrid w:linePitch="360"/>
        </w:sectPr>
      </w:pPr>
    </w:p>
    <w:p w14:paraId="180CA3B6" w14:textId="77777777" w:rsidR="00AB3647" w:rsidRDefault="00000000" w:rsidP="007923E9">
      <w:pPr>
        <w:pStyle w:val="1"/>
        <w:pageBreakBefore/>
        <w:spacing w:line="276" w:lineRule="auto"/>
      </w:pPr>
      <w:bookmarkStart w:id="140" w:name="annotated_story"/>
      <w:r>
        <w:lastRenderedPageBreak/>
        <w:t>חלק שני — הערות ונספחים</w:t>
      </w:r>
      <w:bookmarkEnd w:id="140"/>
    </w:p>
    <w:p w14:paraId="37F137CA" w14:textId="77777777" w:rsidR="00AB3647" w:rsidRDefault="00000000" w:rsidP="007923E9">
      <w:pPr>
        <w:pStyle w:val="ae"/>
        <w:spacing w:line="276" w:lineRule="auto"/>
      </w:pPr>
      <w:bookmarkStart w:id="141" w:name="b1_chapter"/>
      <w:r>
        <w:t>פרק ראשון</w:t>
      </w:r>
      <w:bookmarkEnd w:id="141"/>
    </w:p>
    <w:p w14:paraId="3BF607FA" w14:textId="77777777" w:rsidR="00AB3647" w:rsidRDefault="00000000" w:rsidP="007923E9">
      <w:pPr>
        <w:pStyle w:val="1"/>
        <w:spacing w:line="276" w:lineRule="auto"/>
      </w:pPr>
      <w:r>
        <w:t>העשור הראשון: ייחוס וילדות</w:t>
      </w:r>
    </w:p>
    <w:p w14:paraId="689CDDD5" w14:textId="77777777" w:rsidR="00AB3647" w:rsidRDefault="00000000" w:rsidP="007923E9">
      <w:pPr>
        <w:pStyle w:val="2"/>
        <w:spacing w:line="276" w:lineRule="auto"/>
      </w:pPr>
      <w:bookmarkStart w:id="142" w:name="b1_notes"/>
      <w:r>
        <w:t>הסיפור וההערות</w:t>
      </w:r>
      <w:bookmarkEnd w:id="142"/>
    </w:p>
    <w:p w14:paraId="64F71050" w14:textId="77777777" w:rsidR="00AB3647" w:rsidRDefault="00000000" w:rsidP="007923E9">
      <w:pPr>
        <w:pStyle w:val="2"/>
        <w:spacing w:line="276" w:lineRule="auto"/>
      </w:pPr>
      <w:bookmarkStart w:id="143" w:name="b1_sec1"/>
      <w:r>
        <w:t>1.</w:t>
      </w:r>
      <w:bookmarkEnd w:id="143"/>
    </w:p>
    <w:p w14:paraId="7539C864" w14:textId="426D38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הוריו של אבי ואחיו ואחיותיו היו אופייניים לציבור בעלי הבתים היהודים ברוסיה של אותם ימים</w:t>
      </w:r>
      <w:bookmarkStart w:id="144" w:name="b1_ref1"/>
      <w:bookmarkEnd w:id="144"/>
      <w:r>
        <w:rPr>
          <w:vertAlign w:val="superscript"/>
          <w:rtl/>
        </w:rPr>
        <w:fldChar w:fldCharType="begin" w:dirty="true"/>
      </w:r>
      <w:r>
        <w:rPr>
          <w:vertAlign w:val="superscript"/>
          <w:rtl/>
        </w:rPr>
        <w:instrText xml:space="preserve"> REF b1_note1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כמה דורות קודם לכן היו במשפחתם כמה רבנים מפורסמים</w:t>
      </w:r>
      <w:bookmarkStart w:id="145" w:name="b1_ref2"/>
      <w:bookmarkEnd w:id="145"/>
      <w:r>
        <w:rPr>
          <w:vertAlign w:val="superscript"/>
          <w:rtl/>
        </w:rPr>
        <w:fldChar w:fldCharType="begin" w:dirty="true"/>
      </w:r>
      <w:r>
        <w:rPr>
          <w:vertAlign w:val="superscript"/>
          <w:rtl/>
        </w:rPr>
        <w:instrText xml:space="preserve"> REF b1_note2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אבל הלוא “כל ישראל – בני אברהם יצחק ויעקב – בני מלכים הם”</w:t>
      </w:r>
      <w:bookmarkStart w:id="146" w:name="b1_ref3"/>
      <w:bookmarkEnd w:id="146"/>
      <w:r>
        <w:rPr>
          <w:vertAlign w:val="superscript"/>
          <w:rtl/>
        </w:rPr>
        <w:fldChar w:fldCharType="begin" w:dirty="true"/>
      </w:r>
      <w:r>
        <w:rPr>
          <w:vertAlign w:val="superscript"/>
          <w:rtl/>
        </w:rPr>
        <w:instrText xml:space="preserve"> REF b1_note3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w:t>
      </w:r>
    </w:p>
    <w:bookmarkStart w:id="147" w:name="b1_note1"/>
    <w:p w14:paraId="44C9A3C8" w14:textId="77777777" w:rsidR="00AB3647" w:rsidRDefault="00000000" w:rsidP="007923E9">
      <w:pPr>
        <w:spacing w:before="120" w:after="100" w:line="276" w:lineRule="auto"/>
        <w:jc w:val="both"/>
      </w:pPr>
      <w:r>
        <w:fldChar w:fldCharType="begin" w:dirty="true"/>
      </w:r>
      <w:r>
        <w:instrText>HYPERLINK \l "b1_ref1"</w:instrText>
      </w:r>
      <w:r>
        <w:fldChar w:fldCharType="separate"/>
      </w:r>
      <w:r>
        <w:rPr>
          <w:b/>
          <w:bCs/>
          <w:rtl/>
        </w:rPr>
        <w:t>1</w:t>
      </w:r>
      <w:r>
        <w:rPr>
          <w:b/>
          <w:bCs/>
        </w:rPr>
        <w:fldChar w:fldCharType="end"/>
      </w:r>
      <w:bookmarkEnd w:id="147"/>
      <w:r>
        <w:rPr>
          <w:rtl/>
        </w:rPr>
        <w:t xml:space="preserve"> ר׳ זאב לב</w:t>
      </w:r>
      <w:bookmarkStart w:id="148" w:name="_fnr123"/>
      <w:r>
        <w:rPr>
          <w:rStyle w:val="a5"/>
        </w:rPr>
        <w:footnoteReference w:id="121" w:customMarkFollows="0"/>
      </w:r>
      <w:bookmarkEnd w:id="148"/>
      <w:r>
        <w:rPr>
          <w:rtl/>
        </w:rPr>
        <w:t xml:space="preserve"> שאל פעם את אבי כיצד זה שהוא בקי בתנ״ך ובאבן עזרא, שלא כשאר הרבנים</w:t>
      </w:r>
      <w:bookmarkStart w:id="149" w:name="_fnr124"/>
      <w:r>
        <w:rPr>
          <w:rStyle w:val="a5"/>
        </w:rPr>
        <w:footnoteReference w:id="122" w:customMarkFollows="0"/>
      </w:r>
      <w:bookmarkEnd w:id="149"/>
      <w:r>
        <w:rPr>
          <w:rtl/>
        </w:rPr>
        <w:t>, ואבי השיב: “מזלי היה שאבי לא היה רב, ולא הכתיבו לי מה ללמוד ומה לא”.</w:t>
      </w:r>
    </w:p>
    <w:p w14:paraId="069D0873" w14:textId="77777777" w:rsidR="00AB3647" w:rsidRDefault="00000000" w:rsidP="007923E9">
      <w:pPr>
        <w:spacing w:before="120" w:after="100" w:line="276" w:lineRule="auto"/>
        <w:jc w:val="both"/>
      </w:pPr>
      <w:r>
        <w:rPr>
          <w:rtl/>
        </w:rPr>
        <w:t>לביאור ההבדל בין סדרי הלימוד שקבעו הרבנים לבניהם לבין אלו שקבעו אחרים, השווה “</w:t>
      </w:r>
      <w:proofErr w:type="spellStart"/>
      <w:r>
        <w:rPr>
          <w:rtl/>
        </w:rPr>
        <w:t>זכרון</w:t>
      </w:r>
      <w:proofErr w:type="spellEnd"/>
      <w:r>
        <w:rPr>
          <w:rtl/>
        </w:rPr>
        <w:t xml:space="preserve"> יעקב”</w:t>
      </w:r>
      <w:bookmarkStart w:id="150" w:name="_fnr125"/>
      <w:r>
        <w:rPr>
          <w:rStyle w:val="a5"/>
        </w:rPr>
        <w:footnoteReference w:id="123" w:customMarkFollows="0"/>
      </w:r>
      <w:bookmarkEnd w:id="150"/>
      <w:r>
        <w:rPr>
          <w:rtl/>
        </w:rPr>
        <w:t xml:space="preserve"> מאת ר׳ יעקב הלוי ליפשיץ, שהיה לצנינים בעיני המשכילים. וזו לשונו: “משנת ת״ר החלה לנשב גם בארצנו [רוסיה] רוח הרפורמה </w:t>
      </w:r>
      <w:proofErr w:type="spellStart"/>
      <w:r>
        <w:rPr>
          <w:rtl/>
        </w:rPr>
        <w:t>העברית־הגרמנית</w:t>
      </w:r>
      <w:proofErr w:type="spellEnd"/>
      <w:r>
        <w:rPr>
          <w:rtl/>
        </w:rPr>
        <w:t xml:space="preserve">. ולכן, עם כל הקדושה שבה מקדשים שומרי התורה ונוצרי מצוותיה את התנ״ך, אינם נמנעים מלחשוד באלה הקוראים בלי הרף: תנ״ך, תנ״ך... כאילו אין חלילה תורה בישראל אלא פשט. ובפרט שהתנ״ך היה בעיניהם רק אמצעי להרחבת ידיעת השפה העברית. וגם השפה העברית לא הייתה יקרה </w:t>
      </w:r>
      <w:r>
        <w:rPr>
          <w:rtl/>
        </w:rPr>
        <w:lastRenderedPageBreak/>
        <w:t>להם כשלעצמה. הם השתמשו בה רק... כמעבר אל מטרה אחרת, העומדת בניגוד לא רק לקדושת התנ״ך אלא גם לקדושת לשון הקודש”.</w:t>
      </w:r>
    </w:p>
    <w:p w14:paraId="5159E09E" w14:textId="77777777" w:rsidR="00AB3647" w:rsidRDefault="00000000" w:rsidP="007923E9">
      <w:pPr>
        <w:spacing w:before="120" w:after="100" w:line="276" w:lineRule="auto"/>
        <w:jc w:val="both"/>
      </w:pPr>
      <w:r>
        <w:rPr>
          <w:rtl/>
        </w:rPr>
        <w:t>משפחות הרבנים הבינו, מטבע הדברים, את הסכנות שבלימוד התנ״ך יותר מן ההמון הפשוט. לפיכך הרחיקו את בני הרבנים מן התנ״ך, ואילו את בני בעלי הבתים לא הרחיקו.</w:t>
      </w:r>
    </w:p>
    <w:bookmarkStart w:id="151" w:name="b1_note2"/>
    <w:p w14:paraId="000AFA20" w14:textId="77777777" w:rsidR="00AB3647" w:rsidRDefault="00000000" w:rsidP="007923E9">
      <w:pPr>
        <w:spacing w:before="120" w:after="100" w:line="276" w:lineRule="auto"/>
        <w:jc w:val="both"/>
      </w:pPr>
      <w:r>
        <w:fldChar w:fldCharType="begin" w:dirty="true"/>
      </w:r>
      <w:r>
        <w:instrText>HYPERLINK \l "b1_ref2"</w:instrText>
      </w:r>
      <w:r>
        <w:fldChar w:fldCharType="separate"/>
      </w:r>
      <w:r>
        <w:rPr>
          <w:b/>
          <w:bCs/>
          <w:rtl/>
        </w:rPr>
        <w:t>2</w:t>
      </w:r>
      <w:r>
        <w:rPr>
          <w:b/>
          <w:bCs/>
        </w:rPr>
        <w:fldChar w:fldCharType="end"/>
      </w:r>
      <w:bookmarkEnd w:id="151"/>
      <w:r>
        <w:rPr>
          <w:rtl/>
        </w:rPr>
        <w:t xml:space="preserve"> ביניהם בעל “תוספות יום טוב” ובעל “מגלה עמוקות”.</w:t>
      </w:r>
    </w:p>
    <w:bookmarkStart w:id="152" w:name="b1_note3"/>
    <w:p w14:paraId="402A403E" w14:textId="77777777" w:rsidR="00AB3647" w:rsidRDefault="00000000" w:rsidP="007923E9">
      <w:pPr>
        <w:spacing w:before="120" w:after="100" w:line="276" w:lineRule="auto"/>
        <w:jc w:val="both"/>
      </w:pPr>
      <w:r>
        <w:fldChar w:fldCharType="begin" w:dirty="true"/>
      </w:r>
      <w:r>
        <w:instrText>HYPERLINK \l "b1_ref3"</w:instrText>
      </w:r>
      <w:r>
        <w:fldChar w:fldCharType="separate"/>
      </w:r>
      <w:r>
        <w:rPr>
          <w:b/>
          <w:bCs/>
          <w:rtl/>
        </w:rPr>
        <w:t>3</w:t>
      </w:r>
      <w:r>
        <w:rPr>
          <w:b/>
          <w:bCs/>
        </w:rPr>
        <w:fldChar w:fldCharType="end"/>
      </w:r>
      <w:bookmarkEnd w:id="152"/>
      <w:r>
        <w:rPr>
          <w:rtl/>
        </w:rPr>
        <w:t xml:space="preserve"> מסכת שבת</w:t>
      </w:r>
      <w:bookmarkStart w:id="153" w:name="_fnr126"/>
      <w:r>
        <w:rPr>
          <w:rStyle w:val="a5"/>
        </w:rPr>
        <w:footnoteReference w:id="124" w:customMarkFollows="0"/>
      </w:r>
      <w:bookmarkEnd w:id="153"/>
      <w:r>
        <w:rPr>
          <w:rtl/>
        </w:rPr>
        <w:t xml:space="preserve"> ומסכת בבא מציעא</w:t>
      </w:r>
      <w:bookmarkStart w:id="154" w:name="_fnr127"/>
      <w:r>
        <w:rPr>
          <w:rStyle w:val="a5"/>
        </w:rPr>
        <w:footnoteReference w:id="125" w:customMarkFollows="0"/>
      </w:r>
      <w:bookmarkEnd w:id="154"/>
      <w:r>
        <w:rPr>
          <w:rtl/>
        </w:rPr>
        <w:t>.</w:t>
      </w:r>
    </w:p>
    <w:p w14:paraId="2FEF6138" w14:textId="26ED34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אמו</w:t>
      </w:r>
      <w:bookmarkStart w:id="155" w:name="b1_ref4"/>
      <w:bookmarkEnd w:id="155"/>
      <w:r>
        <w:rPr>
          <w:vertAlign w:val="superscript"/>
          <w:rtl/>
        </w:rPr>
        <w:fldChar w:fldCharType="begin" w:dirty="true"/>
      </w:r>
      <w:r>
        <w:rPr>
          <w:vertAlign w:val="superscript"/>
          <w:rtl/>
        </w:rPr>
        <w:instrText xml:space="preserve"> REF b1_note4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נולדה בשם אסתר דנציג בשנת תרכ״ח, והייתה קרובה </w:t>
      </w:r>
      <w:proofErr w:type="spellStart"/>
      <w:r>
        <w:rPr>
          <w:rtl/>
        </w:rPr>
        <w:t>לר</w:t>
      </w:r>
      <w:proofErr w:type="spellEnd"/>
      <w:r>
        <w:rPr>
          <w:rtl/>
        </w:rPr>
        <w:t>׳ אברהם דנציג</w:t>
      </w:r>
      <w:bookmarkStart w:id="156" w:name="b1_ref5"/>
      <w:bookmarkEnd w:id="156"/>
      <w:r>
        <w:rPr>
          <w:vertAlign w:val="superscript"/>
          <w:rtl/>
        </w:rPr>
        <w:fldChar w:fldCharType="begin" w:dirty="true"/>
      </w:r>
      <w:r>
        <w:rPr>
          <w:vertAlign w:val="superscript"/>
          <w:rtl/>
        </w:rPr>
        <w:instrText xml:space="preserve"> REF b1_note5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הידוע יותר בכינוי שניתן לו על שם ספרו הנודע, “</w:t>
      </w:r>
      <w:proofErr w:type="spellStart"/>
      <w:r>
        <w:rPr>
          <w:rtl/>
        </w:rPr>
        <w:t>החיי־אדם</w:t>
      </w:r>
      <w:proofErr w:type="spellEnd"/>
      <w:r>
        <w:rPr>
          <w:rtl/>
        </w:rPr>
        <w:t xml:space="preserve">”. ר׳ אברהם דנציג נולד בגרמניה בשנת תק״ח ולמד בפראג אצל בעל “נודע ביהודה”, ר׳ יחזקאל </w:t>
      </w:r>
      <w:proofErr w:type="spellStart"/>
      <w:r>
        <w:rPr>
          <w:rtl/>
        </w:rPr>
        <w:t>לנדא</w:t>
      </w:r>
      <w:proofErr w:type="spellEnd"/>
      <w:r>
        <w:rPr>
          <w:rtl/>
        </w:rPr>
        <w:t xml:space="preserve">, אבל בצעירותו השתקע בווילנה ופתח שם עסק. המסחר היה לו רק עיסוק צדדי: הוא היה שקוע בלימוד תורה ובחיבור ספרים, שכבר בחייו נעשו לספרי יסוד בהלכה למעשה לבעלי הבתים</w:t>
      </w:r>
      <w:bookmarkStart w:id="157" w:name="b1_ref6"/>
      <w:bookmarkEnd w:id="157"/>
      <w:r>
        <w:rPr>
          <w:vertAlign w:val="superscript"/>
          <w:rtl/>
        </w:rPr>
        <w:fldChar w:fldCharType="begin" w:dirty="true"/>
      </w:r>
      <w:r>
        <w:rPr>
          <w:vertAlign w:val="superscript"/>
          <w:rtl/>
        </w:rPr>
        <w:instrText xml:space="preserve"> REF b1_note6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רק בשנותיו האחרונות – הוא נפטר בשנת תקפ״ב</w:t>
      </w:r>
      <w:bookmarkStart w:id="158" w:name="_fnr121"/>
      <w:bookmarkEnd w:id="158"/>
      <w:r>
        <w:rPr>
          <w:rStyle w:val="a5"/>
        </w:rPr>
        <w:t/>
      </w:r>
      <w:bookmarkStart w:id="6986" w:name="_TranslatorNote_126"/>
      <w:r>
        <w:rPr>
          <w:rStyle w:val="a5"/>
          <w:vertAlign w:val="superscript"/>
          <w:rtl/>
        </w:rPr>
        <w:footnoteReference w:id="126" w:customMarkFollows="1"/>
        <w:t>*</w:t>
      </w:r>
      <w:bookmarkEnd w:id="6986"/>
      <w:r>
        <w:rPr>
          <w:rtl/>
        </w:rPr>
        <w:t xml:space="preserve"> – כשירד מנכסיו, קיבל עליו משרה ציבורית של מ״ץ</w:t>
      </w:r>
      <w:bookmarkStart w:id="159" w:name="b1_ref7"/>
      <w:bookmarkEnd w:id="159"/>
      <w:r>
        <w:rPr>
          <w:vertAlign w:val="superscript"/>
          <w:rtl/>
        </w:rPr>
        <w:fldChar w:fldCharType="begin" w:dirty="true"/>
      </w:r>
      <w:r>
        <w:rPr>
          <w:vertAlign w:val="superscript"/>
          <w:rtl/>
        </w:rPr>
        <w:instrText xml:space="preserve"> REF b1_note7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בווילנה.</w:t>
      </w:r>
    </w:p>
    <w:bookmarkStart w:id="160" w:name="b1_note4"/>
    <w:p w14:paraId="0D716887" w14:textId="77777777" w:rsidR="00AB3647" w:rsidRDefault="00000000" w:rsidP="007923E9">
      <w:pPr>
        <w:spacing w:before="120" w:after="100" w:line="276" w:lineRule="auto"/>
        <w:jc w:val="both"/>
      </w:pPr>
      <w:r>
        <w:fldChar w:fldCharType="begin" w:dirty="true"/>
      </w:r>
      <w:r>
        <w:instrText>HYPERLINK \l "b1_ref4"</w:instrText>
      </w:r>
      <w:r>
        <w:fldChar w:fldCharType="separate"/>
      </w:r>
      <w:r>
        <w:rPr>
          <w:b/>
          <w:bCs/>
          <w:rtl/>
        </w:rPr>
        <w:t>4</w:t>
      </w:r>
      <w:r>
        <w:rPr>
          <w:b/>
          <w:bCs/>
        </w:rPr>
        <w:fldChar w:fldCharType="end"/>
      </w:r>
      <w:bookmarkEnd w:id="160"/>
      <w:r>
        <w:rPr>
          <w:rtl/>
        </w:rPr>
        <w:t xml:space="preserve"> אני מקדים את </w:t>
      </w:r>
      <w:proofErr w:type="spellStart"/>
      <w:r>
        <w:rPr>
          <w:rtl/>
        </w:rPr>
        <w:t>אמו</w:t>
      </w:r>
      <w:proofErr w:type="spellEnd"/>
      <w:r>
        <w:rPr>
          <w:rtl/>
        </w:rPr>
        <w:t xml:space="preserve"> של רבנו לאביו, משום שהיא השפיעה על חייו יותר ממנו.</w:t>
      </w:r>
    </w:p>
    <w:bookmarkStart w:id="161" w:name="b1_note5"/>
    <w:p w14:paraId="52C3CBF3" w14:textId="77777777" w:rsidR="00AB3647" w:rsidRDefault="00000000" w:rsidP="007923E9">
      <w:pPr>
        <w:spacing w:before="120" w:after="100" w:line="276" w:lineRule="auto"/>
        <w:jc w:val="both"/>
      </w:pPr>
      <w:r>
        <w:fldChar w:fldCharType="begin" w:dirty="true"/>
      </w:r>
      <w:r>
        <w:instrText>HYPERLINK \l "b1_ref5"</w:instrText>
      </w:r>
      <w:r>
        <w:fldChar w:fldCharType="separate"/>
      </w:r>
      <w:r>
        <w:rPr>
          <w:b/>
          <w:bCs/>
          <w:rtl/>
        </w:rPr>
        <w:t>5</w:t>
      </w:r>
      <w:r>
        <w:rPr>
          <w:b/>
          <w:bCs/>
        </w:rPr>
        <w:fldChar w:fldCharType="end"/>
      </w:r>
      <w:bookmarkEnd w:id="161"/>
      <w:r>
        <w:rPr>
          <w:rtl/>
        </w:rPr>
        <w:t xml:space="preserve"> אבי כינה את ר׳ אברהם דנציג קרוב ולא אב קדמון, משום </w:t>
      </w:r>
      <w:proofErr w:type="spellStart"/>
      <w:r>
        <w:rPr>
          <w:rtl/>
        </w:rPr>
        <w:t>שאמו</w:t>
      </w:r>
      <w:proofErr w:type="spellEnd"/>
      <w:r>
        <w:rPr>
          <w:rtl/>
        </w:rPr>
        <w:t xml:space="preserve"> הייתה מצאצאי </w:t>
      </w:r>
      <w:r>
        <w:rPr>
          <w:b/>
          <w:bCs/>
          <w:rtl/>
        </w:rPr>
        <w:t>אחיו</w:t>
      </w:r>
      <w:r>
        <w:rPr>
          <w:rtl/>
        </w:rPr>
        <w:t xml:space="preserve"> של ר׳ אברהם. במשפחתנו לא ידוע אם אותו אח היה ר׳ צבי הבכור, שר׳ אברהם מזכיר </w:t>
      </w:r>
      <w:proofErr w:type="spellStart"/>
      <w:r>
        <w:rPr>
          <w:rtl/>
        </w:rPr>
        <w:t>ב“חיי</w:t>
      </w:r>
      <w:proofErr w:type="spellEnd"/>
      <w:r>
        <w:rPr>
          <w:rtl/>
        </w:rPr>
        <w:t xml:space="preserve"> אדם” שלו</w:t>
      </w:r>
      <w:bookmarkStart w:id="162" w:name="_fnr128"/>
      <w:r>
        <w:rPr>
          <w:rStyle w:val="a5"/>
        </w:rPr>
        <w:footnoteReference w:id="127" w:customMarkFollows="0"/>
      </w:r>
      <w:bookmarkEnd w:id="162"/>
      <w:r>
        <w:rPr>
          <w:rtl/>
        </w:rPr>
        <w:t xml:space="preserve"> שתיקן פסק שלו, או אח אחר. אביו של ר׳ אברהם קיבל עליו קודם לכן את שם עיר הנמל הפרוסית שבה נולדו, דנציג. ר׳ אברהם נשלח ללמוד בפראג בגיל </w:t>
      </w:r>
      <w:proofErr w:type="spellStart"/>
      <w:r>
        <w:rPr>
          <w:rtl/>
        </w:rPr>
        <w:t>ארבע־עשרה</w:t>
      </w:r>
      <w:proofErr w:type="spellEnd"/>
      <w:r>
        <w:rPr>
          <w:rtl/>
        </w:rPr>
        <w:t>, ועבר מגרמניה לליטא כשכבר היה נשוי. נראה שאחיו, ואולי גם קרובים אחרים, עברו עמו לליטא</w:t>
      </w:r>
      <w:bookmarkStart w:id="163" w:name="_fnr129"/>
      <w:r>
        <w:rPr>
          <w:rStyle w:val="a5"/>
        </w:rPr>
        <w:footnoteReference w:id="128" w:customMarkFollows="0"/>
      </w:r>
      <w:bookmarkEnd w:id="163"/>
      <w:r>
        <w:rPr>
          <w:rtl/>
        </w:rPr>
        <w:t>.</w:t>
      </w:r>
    </w:p>
    <w:bookmarkStart w:id="164" w:name="b1_note6"/>
    <w:p w14:paraId="3C73F900" w14:textId="77777777" w:rsidR="00AB3647" w:rsidRDefault="00000000" w:rsidP="007923E9">
      <w:pPr>
        <w:spacing w:before="120" w:after="100" w:line="276" w:lineRule="auto"/>
        <w:jc w:val="both"/>
      </w:pPr>
      <w:r>
        <w:fldChar w:fldCharType="begin" w:dirty="true"/>
      </w:r>
      <w:r>
        <w:instrText>HYPERLINK \l "b1_ref6"</w:instrText>
      </w:r>
      <w:r>
        <w:fldChar w:fldCharType="separate"/>
      </w:r>
      <w:r>
        <w:rPr>
          <w:b/>
          <w:bCs/>
          <w:rtl/>
        </w:rPr>
        <w:t>6</w:t>
      </w:r>
      <w:r>
        <w:rPr>
          <w:b/>
          <w:bCs/>
        </w:rPr>
        <w:fldChar w:fldCharType="end"/>
      </w:r>
      <w:bookmarkEnd w:id="164"/>
      <w:r>
        <w:rPr>
          <w:rtl/>
        </w:rPr>
        <w:t xml:space="preserve"> הידועים שבהם הם “חיי אדם” </w:t>
      </w:r>
      <w:proofErr w:type="spellStart"/>
      <w:r>
        <w:rPr>
          <w:rtl/>
        </w:rPr>
        <w:t>ו“חכמת</w:t>
      </w:r>
      <w:proofErr w:type="spellEnd"/>
      <w:r>
        <w:rPr>
          <w:rtl/>
        </w:rPr>
        <w:t xml:space="preserve"> אדם”. הראשון הוא תמצית של שולחן ערוך אורח חיים, והשני – תמצית של שולחן ערוך יורה דעה.</w:t>
      </w:r>
    </w:p>
    <w:bookmarkStart w:id="165" w:name="b1_note7"/>
    <w:p w14:paraId="48245907" w14:textId="77777777" w:rsidR="00AB3647" w:rsidRDefault="00000000" w:rsidP="007923E9">
      <w:pPr>
        <w:spacing w:before="120" w:after="100" w:line="276" w:lineRule="auto"/>
        <w:jc w:val="both"/>
      </w:pPr>
      <w:r>
        <w:fldChar w:fldCharType="begin" w:dirty="true"/>
      </w:r>
      <w:r>
        <w:instrText>HYPERLINK \l "b1_ref7"</w:instrText>
      </w:r>
      <w:r>
        <w:fldChar w:fldCharType="separate"/>
      </w:r>
      <w:r>
        <w:rPr>
          <w:b/>
          <w:bCs/>
          <w:rtl/>
        </w:rPr>
        <w:t>7</w:t>
      </w:r>
      <w:r>
        <w:rPr>
          <w:b/>
          <w:bCs/>
        </w:rPr>
        <w:fldChar w:fldCharType="end"/>
      </w:r>
      <w:bookmarkEnd w:id="165"/>
      <w:r>
        <w:rPr>
          <w:rtl/>
        </w:rPr>
        <w:t xml:space="preserve"> </w:t>
      </w:r>
      <w:proofErr w:type="spellStart"/>
      <w:r>
        <w:rPr>
          <w:rtl/>
        </w:rPr>
        <w:t>מ״ץ</w:t>
      </w:r>
      <w:proofErr w:type="spellEnd"/>
      <w:r>
        <w:rPr>
          <w:rtl/>
        </w:rPr>
        <w:t xml:space="preserve"> – ראשי תיבות של מורה צדק (פוסק). יש מבטאים ראשי תיבות אלו “מוֹץ”. נקטתי בהגייה של יידיש ליטא</w:t>
      </w:r>
      <w:bookmarkStart w:id="166" w:name="_fnr130"/>
      <w:r>
        <w:rPr>
          <w:rStyle w:val="a5"/>
        </w:rPr>
        <w:footnoteReference w:id="129" w:customMarkFollows="0"/>
      </w:r>
      <w:bookmarkEnd w:id="166"/>
      <w:r>
        <w:rPr>
          <w:rtl/>
        </w:rPr>
        <w:t>.</w:t>
      </w:r>
    </w:p>
    <w:p w14:paraId="35784E31" w14:textId="77777777" w:rsidR="00AB3647" w:rsidRDefault="00000000" w:rsidP="007923E9">
      <w:pPr>
        <w:spacing w:after="100" w:line="276" w:lineRule="auto"/>
        <w:ind w:firstLine="340"/>
        <w:jc w:val="both"/>
      </w:pPr>
      <w:r>
        <w:rPr>
          <w:rtl/>
        </w:rPr>
        <w:lastRenderedPageBreak/>
        <w:t xml:space="preserve">בהקדמתו </w:t>
      </w:r>
      <w:proofErr w:type="spellStart"/>
      <w:r>
        <w:rPr>
          <w:rtl/>
        </w:rPr>
        <w:t>ל“חכמת</w:t>
      </w:r>
      <w:proofErr w:type="spellEnd"/>
      <w:r>
        <w:rPr>
          <w:rtl/>
        </w:rPr>
        <w:t xml:space="preserve"> אדם” כותב ר׳ אברהם דנציג: “דע לך אחי כי נסיעתי למרחקים לא היה לקבץ עושר חלילה יעיד עלי אדון </w:t>
      </w:r>
      <w:proofErr w:type="spellStart"/>
      <w:r>
        <w:rPr>
          <w:rtl/>
        </w:rPr>
        <w:t>הכל</w:t>
      </w:r>
      <w:proofErr w:type="spellEnd"/>
      <w:r>
        <w:rPr>
          <w:rtl/>
        </w:rPr>
        <w:t xml:space="preserve"> רק לפרנס ב״ב וירושה היא בידי </w:t>
      </w:r>
      <w:proofErr w:type="spellStart"/>
      <w:r>
        <w:rPr>
          <w:rtl/>
        </w:rPr>
        <w:t>מאבותי</w:t>
      </w:r>
      <w:proofErr w:type="spellEnd"/>
      <w:r>
        <w:rPr>
          <w:rtl/>
        </w:rPr>
        <w:t xml:space="preserve"> הקדושים ה״ה </w:t>
      </w:r>
      <w:proofErr w:type="spellStart"/>
      <w:r>
        <w:rPr>
          <w:rtl/>
        </w:rPr>
        <w:t>אא״ז</w:t>
      </w:r>
      <w:proofErr w:type="spellEnd"/>
      <w:r>
        <w:rPr>
          <w:rtl/>
        </w:rPr>
        <w:t xml:space="preserve"> הרב הגדול המפורסם בדורו לצדיק תמים</w:t>
      </w:r>
      <w:bookmarkStart w:id="167" w:name="_fnr131"/>
      <w:r>
        <w:rPr>
          <w:rStyle w:val="a5"/>
        </w:rPr>
        <w:footnoteReference w:id="130" w:customMarkFollows="0"/>
      </w:r>
      <w:bookmarkEnd w:id="167"/>
      <w:r>
        <w:rPr>
          <w:rtl/>
        </w:rPr>
        <w:t xml:space="preserve"> ... זה היה דרכו כל ימיו לא נהנה מהתורה והיו לו י׳ בנים וכלכל אותם בכבוד ביגיע כפו והיה דורש תמיד לרבים בדברי מוסר ובצע כסף לא לקח גם אני הלכתי בעקבותיו ולא זזה הוראה מתוך ביתי זה יותר מעשרים שנה ולא נעשה דבר גדול </w:t>
      </w:r>
      <w:proofErr w:type="spellStart"/>
      <w:r>
        <w:rPr>
          <w:rtl/>
        </w:rPr>
        <w:t>בקהלתנו</w:t>
      </w:r>
      <w:proofErr w:type="spellEnd"/>
      <w:r>
        <w:rPr>
          <w:rtl/>
        </w:rPr>
        <w:t xml:space="preserve"> בלתי הסכמתי לא בכסף ולא במחיר עד זה </w:t>
      </w:r>
      <w:proofErr w:type="spellStart"/>
      <w:r>
        <w:rPr>
          <w:rtl/>
        </w:rPr>
        <w:t>שנתים</w:t>
      </w:r>
      <w:proofErr w:type="spellEnd"/>
      <w:r>
        <w:rPr>
          <w:rtl/>
        </w:rPr>
        <w:t xml:space="preserve"> שמטה ידי והייתי מוכרח לקבל עלי עול הוראה בקבלת פרס שהתירה התורה </w:t>
      </w:r>
      <w:proofErr w:type="spellStart"/>
      <w:r>
        <w:rPr>
          <w:rtl/>
        </w:rPr>
        <w:t>לת״ח</w:t>
      </w:r>
      <w:proofErr w:type="spellEnd"/>
      <w:r>
        <w:rPr>
          <w:rtl/>
        </w:rPr>
        <w:t xml:space="preserve"> בזקנותם</w:t>
      </w:r>
      <w:bookmarkStart w:id="168" w:name="_fnr132"/>
      <w:r>
        <w:rPr>
          <w:rStyle w:val="a5"/>
        </w:rPr>
        <w:footnoteReference w:id="131" w:customMarkFollows="0"/>
      </w:r>
      <w:bookmarkEnd w:id="168"/>
      <w:r>
        <w:rPr>
          <w:rtl/>
        </w:rPr>
        <w:t>”.</w:t>
      </w:r>
    </w:p>
    <w:p w14:paraId="635C6FD0" w14:textId="77777777" w:rsidR="00AB3647" w:rsidRDefault="00000000" w:rsidP="007923E9">
      <w:pPr>
        <w:spacing w:after="100" w:line="276" w:lineRule="auto"/>
        <w:ind w:firstLine="340"/>
        <w:jc w:val="both"/>
      </w:pPr>
      <w:r>
        <w:rPr>
          <w:rtl/>
        </w:rPr>
        <w:t xml:space="preserve">ספריו יצאו לאור כשהיה סוחר ולא רב קהילה, ולכן נחלקו אם יש לקבל את </w:t>
      </w:r>
      <w:proofErr w:type="spellStart"/>
      <w:r>
        <w:rPr>
          <w:rtl/>
        </w:rPr>
        <w:t>פסקיו</w:t>
      </w:r>
      <w:proofErr w:type="spellEnd"/>
      <w:r>
        <w:rPr>
          <w:rtl/>
        </w:rPr>
        <w:t xml:space="preserve"> כמכריעים</w:t>
      </w:r>
      <w:bookmarkStart w:id="169" w:name="_fnr133"/>
      <w:bookmarkStart w:id="170" w:name="pr_f_66"/>
      <w:r>
        <w:rPr>
          <w:rStyle w:val="a5"/>
        </w:rPr>
        <w:footnoteReference w:id="132" w:customMarkFollows="0"/>
      </w:r>
      <w:bookmarkEnd w:id="169"/>
      <w:bookmarkEnd w:id="170"/>
      <w:r>
        <w:rPr>
          <w:rtl/>
        </w:rPr>
        <w:t xml:space="preserve"> – השווה שדי חמד</w:t>
      </w:r>
      <w:bookmarkStart w:id="171" w:name="_fnr134"/>
      <w:r>
        <w:rPr>
          <w:rStyle w:val="a5"/>
        </w:rPr>
        <w:footnoteReference w:id="133" w:customMarkFollows="0"/>
      </w:r>
      <w:bookmarkEnd w:id="171"/>
      <w:r>
        <w:rPr>
          <w:rtl/>
        </w:rPr>
        <w:t xml:space="preserve">, כללי הפוסקים, סי׳ ט״ו אות ל״ב. אבל בהקדמה לדפוס הראשון של “חכמת אדם” כותב הרב דנציג שבתוך זמן קצר מכר את כל 1,400 העותקים שנדפסו מספרו “חיי אדם”, “אף על פי שהיו שנתיים של שעת הדחק בזמן ההוא” (רמז למלחמת נפוליאון ברוסיה). </w:t>
      </w:r>
      <w:proofErr w:type="spellStart"/>
      <w:r>
        <w:rPr>
          <w:rtl/>
        </w:rPr>
        <w:t>החיי־אדם</w:t>
      </w:r>
      <w:proofErr w:type="spellEnd"/>
      <w:r>
        <w:rPr>
          <w:rtl/>
        </w:rPr>
        <w:t xml:space="preserve"> היה מוערך ביותר בעיני פשוטי העם בליטא.</w:t>
      </w:r>
    </w:p>
    <w:p w14:paraId="6C3A5960" w14:textId="77777777" w:rsidR="00AB3647" w:rsidRDefault="00000000" w:rsidP="007923E9">
      <w:pPr>
        <w:spacing w:after="100" w:line="276" w:lineRule="auto"/>
        <w:ind w:firstLine="340"/>
        <w:jc w:val="both"/>
      </w:pPr>
      <w:r>
        <w:rPr>
          <w:rtl/>
        </w:rPr>
        <w:t xml:space="preserve">בספר “א </w:t>
      </w:r>
      <w:proofErr w:type="spellStart"/>
      <w:r>
        <w:rPr>
          <w:rtl/>
        </w:rPr>
        <w:t>וועלט</w:t>
      </w:r>
      <w:proofErr w:type="spellEnd"/>
      <w:r>
        <w:rPr>
          <w:rtl/>
        </w:rPr>
        <w:t xml:space="preserve">... </w:t>
      </w:r>
      <w:proofErr w:type="spellStart"/>
      <w:r>
        <w:rPr>
          <w:rtl/>
        </w:rPr>
        <w:t>וואס</w:t>
      </w:r>
      <w:proofErr w:type="spellEnd"/>
      <w:r>
        <w:rPr>
          <w:rtl/>
        </w:rPr>
        <w:t xml:space="preserve"> </w:t>
      </w:r>
      <w:proofErr w:type="spellStart"/>
      <w:r>
        <w:rPr>
          <w:rtl/>
        </w:rPr>
        <w:t>איז</w:t>
      </w:r>
      <w:proofErr w:type="spellEnd"/>
      <w:r>
        <w:rPr>
          <w:rtl/>
        </w:rPr>
        <w:t xml:space="preserve"> </w:t>
      </w:r>
      <w:proofErr w:type="spellStart"/>
      <w:r>
        <w:rPr>
          <w:rtl/>
        </w:rPr>
        <w:t>פארביי</w:t>
      </w:r>
      <w:proofErr w:type="spellEnd"/>
      <w:r>
        <w:rPr>
          <w:rtl/>
        </w:rPr>
        <w:t xml:space="preserve">” [עולם שחלף] מאת ד״ר ח. </w:t>
      </w:r>
      <w:proofErr w:type="spellStart"/>
      <w:r>
        <w:rPr>
          <w:rtl/>
        </w:rPr>
        <w:t>שאשקעס</w:t>
      </w:r>
      <w:bookmarkStart w:id="172" w:name="_fnr135"/>
      <w:proofErr w:type="spellEnd"/>
      <w:r>
        <w:rPr>
          <w:rStyle w:val="a5"/>
        </w:rPr>
        <w:footnoteReference w:id="134" w:customMarkFollows="0"/>
      </w:r>
      <w:bookmarkEnd w:id="172"/>
      <w:r>
        <w:rPr>
          <w:rtl/>
        </w:rPr>
        <w:t xml:space="preserve"> מספר המחבר כיצד </w:t>
      </w:r>
      <w:proofErr w:type="spellStart"/>
      <w:r>
        <w:rPr>
          <w:rtl/>
        </w:rPr>
        <w:t>אמדה</w:t>
      </w:r>
      <w:proofErr w:type="spellEnd"/>
      <w:r>
        <w:rPr>
          <w:rtl/>
        </w:rPr>
        <w:t xml:space="preserve"> סבתו את גדלותו של </w:t>
      </w:r>
      <w:proofErr w:type="spellStart"/>
      <w:r>
        <w:rPr>
          <w:rtl/>
        </w:rPr>
        <w:t>החפץ־חיים</w:t>
      </w:r>
      <w:proofErr w:type="spellEnd"/>
      <w:r>
        <w:rPr>
          <w:rtl/>
        </w:rPr>
        <w:t xml:space="preserve">, כשביקר בעיר הולדתו של </w:t>
      </w:r>
      <w:proofErr w:type="spellStart"/>
      <w:r>
        <w:rPr>
          <w:rtl/>
        </w:rPr>
        <w:t>שאשקעס</w:t>
      </w:r>
      <w:proofErr w:type="spellEnd"/>
      <w:r>
        <w:rPr>
          <w:rtl/>
        </w:rPr>
        <w:t xml:space="preserve">, </w:t>
      </w:r>
      <w:proofErr w:type="spellStart"/>
      <w:r>
        <w:rPr>
          <w:rtl/>
        </w:rPr>
        <w:t>ביאליסטוק</w:t>
      </w:r>
      <w:proofErr w:type="spellEnd"/>
      <w:r>
        <w:rPr>
          <w:rtl/>
        </w:rPr>
        <w:t xml:space="preserve">, לקראת סוף שנות </w:t>
      </w:r>
      <w:proofErr w:type="spellStart"/>
      <w:r>
        <w:rPr>
          <w:rtl/>
        </w:rPr>
        <w:t xml:space="preserve">התר״נ</w:t>
      </w:r>
      <w:proofErr w:type="spellEnd"/>
      <w:r>
        <w:rPr>
          <w:rtl/>
        </w:rPr>
        <w:t xml:space="preserve">: “הוא גדול מן </w:t>
      </w:r>
      <w:proofErr w:type="spellStart"/>
      <w:r>
        <w:rPr>
          <w:rtl/>
        </w:rPr>
        <w:t>החיי־אדם</w:t>
      </w:r>
      <w:proofErr w:type="spellEnd"/>
      <w:r>
        <w:rPr>
          <w:rtl/>
        </w:rPr>
        <w:t xml:space="preserve">”, אמרה. והשווה גם “בדרך עץ החיים” מאת </w:t>
      </w:r>
      <w:proofErr w:type="spellStart"/>
      <w:r>
        <w:rPr>
          <w:rtl/>
        </w:rPr>
        <w:t>ידעאל</w:t>
      </w:r>
      <w:proofErr w:type="spellEnd"/>
      <w:r>
        <w:rPr>
          <w:rtl/>
        </w:rPr>
        <w:t xml:space="preserve"> מלצר</w:t>
      </w:r>
      <w:bookmarkStart w:id="173" w:name="_fnr136"/>
      <w:r>
        <w:rPr>
          <w:rStyle w:val="a5"/>
        </w:rPr>
        <w:footnoteReference w:id="135" w:customMarkFollows="0"/>
      </w:r>
      <w:bookmarkEnd w:id="173"/>
      <w:r>
        <w:rPr>
          <w:rtl/>
        </w:rPr>
        <w:t xml:space="preserve">, על יחסו של ר׳ חיים </w:t>
      </w:r>
      <w:proofErr w:type="spellStart"/>
      <w:r>
        <w:rPr>
          <w:rtl/>
        </w:rPr>
        <w:t>סולובייצ׳יק</w:t>
      </w:r>
      <w:proofErr w:type="spellEnd"/>
      <w:r>
        <w:rPr>
          <w:rtl/>
        </w:rPr>
        <w:t xml:space="preserve"> לפסקי “חיי אדם”. לדברי ר׳ </w:t>
      </w:r>
      <w:proofErr w:type="spellStart"/>
      <w:r>
        <w:rPr>
          <w:rtl/>
        </w:rPr>
        <w:t>לייבל</w:t>
      </w:r>
      <w:proofErr w:type="spellEnd"/>
      <w:r>
        <w:rPr>
          <w:rtl/>
        </w:rPr>
        <w:t xml:space="preserve"> </w:t>
      </w:r>
      <w:proofErr w:type="spellStart"/>
      <w:r>
        <w:rPr>
          <w:rtl/>
        </w:rPr>
        <w:t>פרלשטיין</w:t>
      </w:r>
      <w:proofErr w:type="spellEnd"/>
      <w:r>
        <w:rPr>
          <w:rtl/>
        </w:rPr>
        <w:t>, סיפר אבי</w:t>
      </w:r>
      <w:bookmarkStart w:id="174" w:name="_fnr137"/>
      <w:bookmarkStart w:id="175" w:name="pr_f_70"/>
      <w:r>
        <w:rPr>
          <w:rStyle w:val="a5"/>
        </w:rPr>
        <w:footnoteReference w:id="136" w:customMarkFollows="0"/>
      </w:r>
      <w:bookmarkEnd w:id="174"/>
      <w:bookmarkEnd w:id="175"/>
      <w:r>
        <w:rPr>
          <w:rtl/>
        </w:rPr>
        <w:t xml:space="preserve"> שבישיבת </w:t>
      </w:r>
      <w:proofErr w:type="spellStart"/>
      <w:r>
        <w:rPr>
          <w:rtl/>
        </w:rPr>
        <w:t>סלבודקה</w:t>
      </w:r>
      <w:proofErr w:type="spellEnd"/>
      <w:r>
        <w:rPr>
          <w:rtl/>
        </w:rPr>
        <w:t xml:space="preserve"> בזמנו היה </w:t>
      </w:r>
      <w:proofErr w:type="spellStart"/>
      <w:r>
        <w:rPr>
          <w:rtl/>
        </w:rPr>
        <w:t>ה“חיי</w:t>
      </w:r>
      <w:proofErr w:type="spellEnd"/>
      <w:r>
        <w:rPr>
          <w:rtl/>
        </w:rPr>
        <w:t xml:space="preserve"> אדם” הספר שבו למדו הלכה למעשה, כמו </w:t>
      </w:r>
      <w:proofErr w:type="spellStart"/>
      <w:r>
        <w:rPr>
          <w:rtl/>
        </w:rPr>
        <w:t>ה“משנה</w:t>
      </w:r>
      <w:proofErr w:type="spellEnd"/>
      <w:r>
        <w:rPr>
          <w:rtl/>
        </w:rPr>
        <w:t xml:space="preserve"> ברורה” בישיבות של ימינו.</w:t>
      </w:r>
    </w:p>
    <w:p w14:paraId="15839769"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אמו</w:t>
      </w:r>
      <w:proofErr w:type="spellEnd"/>
      <w:r>
        <w:rPr>
          <w:rtl/>
        </w:rPr>
        <w:t xml:space="preserve"> של אבי התייתמה מהוריה כשהייתה תינוקת. אביה, ר׳ זרח דנציג, שנולד בשנת תר״ג, מוצאו היה מן העיירה סלונים, אך הוא התגורר בעיירה </w:t>
      </w:r>
      <w:proofErr w:type="spellStart"/>
      <w:r>
        <w:rPr>
          <w:rtl/>
        </w:rPr>
        <w:t>דולהינוב</w:t>
      </w:r>
      <w:proofErr w:type="spellEnd"/>
      <w:r>
        <w:rPr>
          <w:rtl/>
        </w:rPr>
        <w:t xml:space="preserve"> שבפלך וילנה </w:t>
      </w:r>
      <w:proofErr w:type="spellStart"/>
      <w:r>
        <w:rPr>
          <w:rtl/>
        </w:rPr>
        <w:t>הבלארוסי</w:t>
      </w:r>
      <w:proofErr w:type="spellEnd"/>
      <w:r>
        <w:rPr>
          <w:rtl/>
        </w:rPr>
        <w:t>. הוא הוסמך לרבנות, אבל בחר להיות סוחר: עסק ביצוא תבואה לחוץ לארץ, וצבר נכסים ניכרים בצעירותו. ר׳ זרח בלט בקהילה בצדקותיו, ובני העיר טבעו את המליצה “העניים חיים סביב דנציג”.</w:t>
      </w:r>
    </w:p>
    <w:p w14:paraId="74546165" w14:textId="7513406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בערב פסח תר״ל חזר ר׳ זרח הביתה ממסע עסקים, מאוחר מכדי למכור את </w:t>
      </w:r>
      <w:proofErr w:type="spellStart"/>
      <w:r>
        <w:rPr>
          <w:rtl/>
        </w:rPr>
        <w:t>חמצו</w:t>
      </w:r>
      <w:proofErr w:type="spellEnd"/>
      <w:r>
        <w:rPr>
          <w:rtl/>
        </w:rPr>
        <w:t xml:space="preserve">. הוא היה בטוח שלמרות זכויותיו ייענש על השגגה הזאת, ושלא יאריך ימים עד תום השנה הבאה. </w:t>
      </w:r>
      <w:r>
        <w:rPr>
          <w:rtl/>
        </w:rPr>
        <w:lastRenderedPageBreak/>
        <w:t xml:space="preserve">כעבור </w:t>
      </w:r>
      <w:proofErr w:type="spellStart"/>
      <w:r>
        <w:rPr>
          <w:rtl/>
        </w:rPr>
        <w:t>אחד־עשר</w:t>
      </w:r>
      <w:proofErr w:type="spellEnd"/>
      <w:r>
        <w:rPr>
          <w:rtl/>
        </w:rPr>
        <w:t xml:space="preserve"> חודשים וחצי, בראש חודש ניסן, נפטר, בן עשרים ושמונה בלבד. אשתו, דבורה לבית </w:t>
      </w:r>
      <w:proofErr w:type="spellStart"/>
      <w:r>
        <w:rPr>
          <w:rtl/>
        </w:rPr>
        <w:t>פוטרפס</w:t>
      </w:r>
      <w:proofErr w:type="spellEnd"/>
      <w:r>
        <w:rPr>
          <w:rtl/>
        </w:rPr>
        <w:t>, שהייתה צעירה ממנו בשנה, לא רצתה להמשיך לחיות בלעדיו, ונפטרה כעבור חמישה שבועות. נשארו ארבעה ילדים – שני בנים ושתי בנות, מבני שש ועד בני שנה</w:t>
      </w:r>
      <w:bookmarkStart w:id="176" w:name="b1_ref8"/>
      <w:bookmarkEnd w:id="176"/>
      <w:r>
        <w:rPr>
          <w:vertAlign w:val="superscript"/>
          <w:rtl/>
        </w:rPr>
        <w:fldChar w:fldCharType="begin" w:dirty="true"/>
      </w:r>
      <w:r>
        <w:rPr>
          <w:vertAlign w:val="superscript"/>
          <w:rtl/>
        </w:rPr>
        <w:instrText xml:space="preserve"> REF b1_note8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w:t>
      </w:r>
    </w:p>
    <w:bookmarkStart w:id="177" w:name="b1_note8"/>
    <w:p w14:paraId="6429601E" w14:textId="77777777" w:rsidR="00AB3647" w:rsidRDefault="00000000" w:rsidP="007923E9">
      <w:pPr>
        <w:spacing w:before="120" w:after="100" w:line="276" w:lineRule="auto"/>
        <w:jc w:val="both"/>
      </w:pPr>
      <w:r>
        <w:fldChar w:fldCharType="begin" w:dirty="true"/>
      </w:r>
      <w:r>
        <w:instrText>HYPERLINK \l "b1_ref8"</w:instrText>
      </w:r>
      <w:r>
        <w:fldChar w:fldCharType="separate"/>
      </w:r>
      <w:r>
        <w:rPr>
          <w:b/>
          <w:bCs/>
          <w:rtl/>
        </w:rPr>
        <w:t>8</w:t>
      </w:r>
      <w:r>
        <w:rPr>
          <w:b/>
          <w:bCs/>
        </w:rPr>
        <w:fldChar w:fldCharType="end"/>
      </w:r>
      <w:bookmarkEnd w:id="177"/>
      <w:r>
        <w:rPr>
          <w:rtl/>
        </w:rPr>
        <w:t xml:space="preserve"> את פרטי שנותיה הראשונות של סבתי ליקטתי משלוש שנות התכתבות עם דודתי דבורה (ילידת תרנ״ג), האחרונה שנותרה בחיים מאחיו ואחיותיו של אבי, ומארבעה ימים של פגישות פנים אל פנים עמה ועם בני משפחה אחרים במינסק, בין י״ז לכ״א בכסלו תשנ״א, שנה ושלושה שבועות לפני מותה. היא שמעה את הפרטים מפי אמה, ועל כמה מן המאורעות המוקדמים יותר שמעה אמה מאחותה הגדולה.</w:t>
      </w:r>
    </w:p>
    <w:p w14:paraId="225945A1" w14:textId="77777777" w:rsidR="00AB3647" w:rsidRDefault="00000000" w:rsidP="007923E9">
      <w:pPr>
        <w:spacing w:after="100" w:line="276" w:lineRule="auto"/>
        <w:ind w:firstLine="340"/>
        <w:jc w:val="both"/>
      </w:pPr>
      <w:r>
        <w:rPr>
          <w:rtl/>
        </w:rPr>
        <w:t xml:space="preserve">בעניין פטירתו של ר׳ זרח לא העליתי על הכתב בדיוק את מה שמסרה דודתי דבורה, אלא מסורת אחרת הרווחת במשפחתנו. דודתי דבורה סיפרה שר׳ זרח נפטר שבוע בלבד אחרי שלא מכר את </w:t>
      </w:r>
      <w:proofErr w:type="spellStart"/>
      <w:r>
        <w:rPr>
          <w:rtl/>
        </w:rPr>
        <w:t>חמצו</w:t>
      </w:r>
      <w:proofErr w:type="spellEnd"/>
      <w:r>
        <w:rPr>
          <w:rtl/>
        </w:rPr>
        <w:t xml:space="preserve">, ואמרה: “הוא חלה ושכב במיטתו ביום הראשון של פסח, ונפטר ביום האחרון”. אבל לדברי אחותי רבקה </w:t>
      </w:r>
      <w:proofErr w:type="spellStart"/>
      <w:r>
        <w:rPr>
          <w:rtl/>
        </w:rPr>
        <w:t>דיסקינד</w:t>
      </w:r>
      <w:proofErr w:type="spellEnd"/>
      <w:r>
        <w:rPr>
          <w:rtl/>
        </w:rPr>
        <w:t xml:space="preserve">, כשבישרה לאבינו את הבשורה הטובה שנולד תינוק לבתה בבני ברק בראש חודש ניסן, העיר אבי שזה יום היארצייט של סבו מצד </w:t>
      </w:r>
      <w:proofErr w:type="spellStart"/>
      <w:r>
        <w:rPr>
          <w:rtl/>
        </w:rPr>
        <w:t>אמו</w:t>
      </w:r>
      <w:proofErr w:type="spellEnd"/>
      <w:r>
        <w:rPr>
          <w:rtl/>
        </w:rPr>
        <w:t xml:space="preserve">. אחר כך סיפר על מעשה החמץ, ושאחריו אמר ר׳ זרח </w:t>
      </w:r>
      <w:r>
        <w:rPr>
          <w:b/>
          <w:bCs/>
          <w:rtl/>
        </w:rPr>
        <w:t>שלא יוציא את השנה</w:t>
      </w:r>
      <w:bookmarkStart w:id="178" w:name="_fnr138"/>
      <w:r>
        <w:rPr>
          <w:rStyle w:val="a5"/>
        </w:rPr>
        <w:footnoteReference w:id="137" w:customMarkFollows="0"/>
      </w:r>
      <w:bookmarkEnd w:id="178"/>
      <w:r>
        <w:rPr>
          <w:rtl/>
        </w:rPr>
        <w:t>, ונפטר בראש חודש ניסן שלאחריו.</w:t>
      </w:r>
    </w:p>
    <w:p w14:paraId="55D0E616" w14:textId="77777777" w:rsidR="00AB3647" w:rsidRDefault="00000000" w:rsidP="007923E9">
      <w:pPr>
        <w:spacing w:after="100" w:line="276" w:lineRule="auto"/>
        <w:ind w:firstLine="340"/>
        <w:jc w:val="both"/>
      </w:pPr>
      <w:r>
        <w:rPr>
          <w:rtl/>
        </w:rPr>
        <w:t xml:space="preserve">דודתי דבורה גרה באותו בית, באותה עיר או באותה מדינה עם אמה שלושים ותשע שנים – לעומת </w:t>
      </w:r>
      <w:proofErr w:type="spellStart"/>
      <w:r>
        <w:rPr>
          <w:rtl/>
        </w:rPr>
        <w:t>חמש־עשרה</w:t>
      </w:r>
      <w:proofErr w:type="spellEnd"/>
      <w:r>
        <w:rPr>
          <w:rtl/>
        </w:rPr>
        <w:t xml:space="preserve"> שנותיו של אבי, מלבד ביקוריו מזמן לזמן – והייתה אמורה לדעת את סיפור פטירת סבה טוב מאחיה. אף על פי כן נראה שהנוסח שבא ישירות מפי רבנו מהימן יותר. אילו היה נוסחה של דודתי דבורה נכון, ודאי היה אבינו רואה את </w:t>
      </w:r>
      <w:proofErr w:type="spellStart"/>
      <w:r>
        <w:rPr>
          <w:rtl/>
        </w:rPr>
        <w:t>אמו</w:t>
      </w:r>
      <w:proofErr w:type="spellEnd"/>
      <w:r>
        <w:rPr>
          <w:rtl/>
        </w:rPr>
        <w:t xml:space="preserve"> נוהגת יארצייט לאביה ביום האחרון של החג, שהרי עשה כמה חגי פסח עם הוריו אחרי בר המצווה שלו – פעם אחת ממש לפני שיצא </w:t>
      </w:r>
      <w:proofErr w:type="spellStart"/>
      <w:r>
        <w:rPr>
          <w:rtl/>
        </w:rPr>
        <w:t>לסלבודקה</w:t>
      </w:r>
      <w:bookmarkStart w:id="179" w:name="_fnr139"/>
      <w:proofErr w:type="spellEnd"/>
      <w:r>
        <w:rPr>
          <w:rStyle w:val="a5"/>
        </w:rPr>
        <w:footnoteReference w:id="138" w:customMarkFollows="0"/>
      </w:r>
      <w:bookmarkEnd w:id="179"/>
      <w:r>
        <w:rPr>
          <w:rtl/>
        </w:rPr>
        <w:t xml:space="preserve">, וכמה פעמים נוספות בביקורים בבית בזמן לימודיו בישיבת </w:t>
      </w:r>
      <w:proofErr w:type="spellStart"/>
      <w:r>
        <w:rPr>
          <w:rtl/>
        </w:rPr>
        <w:t>סלבודקה</w:t>
      </w:r>
      <w:bookmarkStart w:id="180" w:name="_fnr140"/>
      <w:proofErr w:type="spellEnd"/>
      <w:r>
        <w:rPr>
          <w:rStyle w:val="a5"/>
        </w:rPr>
        <w:footnoteReference w:id="139" w:customMarkFollows="0"/>
      </w:r>
      <w:bookmarkEnd w:id="180"/>
      <w:r>
        <w:rPr>
          <w:rtl/>
        </w:rPr>
        <w:t>.</w:t>
      </w:r>
    </w:p>
    <w:p w14:paraId="4A17C776" w14:textId="77777777" w:rsidR="00AB3647" w:rsidRDefault="00000000" w:rsidP="007923E9">
      <w:pPr>
        <w:spacing w:after="100" w:line="276" w:lineRule="auto"/>
        <w:ind w:firstLine="340"/>
        <w:jc w:val="both"/>
      </w:pPr>
      <w:r>
        <w:rPr>
          <w:rtl/>
        </w:rPr>
        <w:t>דודתי דבורה גרה במדינה שבה לא נמכר חמץ בגלוי יותר מחמישים שנה לפני פגישתי עמה פנים אל פנים, ובמשך עשרות שנים לא היה לה אפילו עם מי לשתף את הסיפור. ייתכן בהחלט ששכחה את הפרטים המדויקים של מה שסיפרה לה אמה.</w:t>
      </w:r>
    </w:p>
    <w:p w14:paraId="0D4BE22C" w14:textId="77777777" w:rsidR="00AB3647" w:rsidRDefault="00000000" w:rsidP="007923E9">
      <w:pPr>
        <w:spacing w:after="100" w:line="276" w:lineRule="auto"/>
        <w:ind w:firstLine="340"/>
        <w:jc w:val="both"/>
      </w:pPr>
      <w:r>
        <w:rPr>
          <w:rtl/>
        </w:rPr>
        <w:t xml:space="preserve">בעניין פטירת סבתם, שאבינו לא הזכיר באוזני בתו רבקה, אמרה דודתי דבורה שנפטרה “שבועיים אחרי בעלה”. אבל קיבלתי את נוסחו של אבי בעניין פטירת ר׳ זרח, ואם כן, אילו נפטרה סבתו שבועיים אחרי ר׳ זרח – מועד שחל </w:t>
      </w:r>
      <w:r>
        <w:rPr>
          <w:b/>
          <w:bCs/>
          <w:rtl/>
        </w:rPr>
        <w:t>בפסח</w:t>
      </w:r>
      <w:r>
        <w:rPr>
          <w:rtl/>
        </w:rPr>
        <w:t xml:space="preserve"> – היה אבינו מזכיר את פטירת</w:t>
      </w:r>
      <w:r>
        <w:rPr>
          <w:b/>
          <w:bCs/>
          <w:rtl/>
        </w:rPr>
        <w:t>ה</w:t>
      </w:r>
      <w:r>
        <w:rPr>
          <w:rtl/>
        </w:rPr>
        <w:t xml:space="preserve"> באותה שעה שסיפר על פטירת בעלה, סבו. שהרי גם פטירת</w:t>
      </w:r>
      <w:r>
        <w:rPr>
          <w:b/>
          <w:bCs/>
          <w:rtl/>
        </w:rPr>
        <w:t>ה</w:t>
      </w:r>
      <w:r>
        <w:rPr>
          <w:rtl/>
        </w:rPr>
        <w:t>, שחלה בחג הקשור בחמץ, יכלה להיראות כנוגעת להיסח הדעת במכירת החמץ</w:t>
      </w:r>
      <w:bookmarkStart w:id="181" w:name="_fnr141"/>
      <w:r>
        <w:rPr>
          <w:rStyle w:val="a5"/>
        </w:rPr>
        <w:footnoteReference w:id="140" w:customMarkFollows="0"/>
      </w:r>
      <w:bookmarkEnd w:id="181"/>
      <w:r>
        <w:rPr>
          <w:rtl/>
        </w:rPr>
        <w:t>.</w:t>
      </w:r>
    </w:p>
    <w:p w14:paraId="33305F78" w14:textId="77777777" w:rsidR="00AB3647" w:rsidRDefault="00000000" w:rsidP="007923E9">
      <w:pPr>
        <w:spacing w:after="100" w:line="276" w:lineRule="auto"/>
        <w:ind w:firstLine="340"/>
        <w:jc w:val="both"/>
      </w:pPr>
      <w:r>
        <w:rPr>
          <w:rtl/>
        </w:rPr>
        <w:lastRenderedPageBreak/>
        <w:t xml:space="preserve">לפיכך בחרתי לקבל את נוסחה של דודתי דבורה בעניין </w:t>
      </w:r>
      <w:r>
        <w:rPr>
          <w:b/>
          <w:bCs/>
          <w:rtl/>
        </w:rPr>
        <w:t>עונת השנה</w:t>
      </w:r>
      <w:r>
        <w:rPr>
          <w:rtl/>
        </w:rPr>
        <w:t xml:space="preserve"> המשוערת של פטירת סבתה, כשבוע לאחר תחילת אייר, אבל לא את הקשר שקשרה אותה לפטירת סבה, כלומר שבועיים אחריה. אמה ודאי אמרה לה רק שאמה נפטרה </w:t>
      </w:r>
      <w:r>
        <w:rPr>
          <w:b/>
          <w:bCs/>
          <w:rtl/>
        </w:rPr>
        <w:t>שבועיים אחרי פסח</w:t>
      </w:r>
      <w:r>
        <w:rPr>
          <w:rtl/>
        </w:rPr>
        <w:t xml:space="preserve">. דודתי דבורה טעתה לחשוב שר׳ זרח נפטר בסוף פסח, ולכן הבינה שסבתה נפטרה שבועיים אחרי סבה – מה שאינו נכון, שהרי ידוע לנו שר׳ זרח נפטר בראש חודש ניסן. נמצא שהיא נפטרה </w:t>
      </w:r>
      <w:r>
        <w:rPr>
          <w:b/>
          <w:bCs/>
          <w:rtl/>
        </w:rPr>
        <w:t>יותר מחודש</w:t>
      </w:r>
      <w:r>
        <w:rPr>
          <w:rtl/>
        </w:rPr>
        <w:t xml:space="preserve"> אחרי בעלה, שבועיים אחרי פסח.</w:t>
      </w:r>
    </w:p>
    <w:p w14:paraId="61CB3BE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הדודים השכולים התכנסו והחליטו שארבעה מהם יאמצו את ארבעת היתומים. סחורתו של ר׳ זרח נמכרה ב־20,000 רובל, הון עצום באותם ימים, וכל אחד מן ההורים המאמצים נטל חלק שווה. הבכורה, רבקה, נשלחה לעיירה </w:t>
      </w:r>
      <w:proofErr w:type="spellStart"/>
      <w:r>
        <w:rPr>
          <w:rtl/>
        </w:rPr>
        <w:t>ראקוב</w:t>
      </w:r>
      <w:proofErr w:type="spellEnd"/>
      <w:r>
        <w:rPr>
          <w:rtl/>
        </w:rPr>
        <w:t xml:space="preserve"> עם אח של ר׳ זרח, והבכור שבבנים, יוסל, נלקח בידי אח אחר לסלונים.</w:t>
      </w:r>
    </w:p>
    <w:p w14:paraId="4CC53D4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הילדה שאחריהם, אסתר, אימץ אחי אמה, ר׳ </w:t>
      </w:r>
      <w:proofErr w:type="spellStart"/>
      <w:r>
        <w:rPr>
          <w:rtl/>
        </w:rPr>
        <w:t>יענקל</w:t>
      </w:r>
      <w:proofErr w:type="spellEnd"/>
      <w:r>
        <w:rPr>
          <w:rtl/>
        </w:rPr>
        <w:t xml:space="preserve">, ולקח אותה לאוקראינה הרחוקה. שם קנה הדוד בכספי חלקו בירושה חוות דבורים סמוך לעיר </w:t>
      </w:r>
      <w:proofErr w:type="spellStart"/>
      <w:r>
        <w:rPr>
          <w:rtl/>
        </w:rPr>
        <w:t>פרייאסלב</w:t>
      </w:r>
      <w:proofErr w:type="spellEnd"/>
      <w:r>
        <w:rPr>
          <w:rtl/>
        </w:rPr>
        <w:t xml:space="preserve">, בפלך </w:t>
      </w:r>
      <w:proofErr w:type="spellStart"/>
      <w:r>
        <w:rPr>
          <w:rtl/>
        </w:rPr>
        <w:t>פודוליה</w:t>
      </w:r>
      <w:bookmarkStart w:id="182" w:name="_fnr122"/>
      <w:bookmarkEnd w:id="182"/>
      <w:proofErr w:type="spellEnd"/>
      <w:r>
        <w:rPr>
          <w:rStyle w:val="a5"/>
        </w:rPr>
        <w:t/>
      </w:r>
      <w:bookmarkStart w:id="6987" w:name="_TranslatorNote_141"/>
      <w:r>
        <w:rPr>
          <w:rStyle w:val="a5"/>
          <w:vertAlign w:val="superscript"/>
          <w:rtl/>
        </w:rPr>
        <w:footnoteReference w:id="141" w:customMarkFollows="1"/>
        <w:t>*</w:t>
      </w:r>
      <w:bookmarkEnd w:id="6987"/>
      <w:r>
        <w:rPr>
          <w:rtl/>
        </w:rPr>
        <w:t xml:space="preserve">, כשישים קילומטרים </w:t>
      </w:r>
      <w:proofErr w:type="spellStart"/>
      <w:r>
        <w:rPr>
          <w:rtl/>
        </w:rPr>
        <w:t>דרומית־מזרחית</w:t>
      </w:r>
      <w:proofErr w:type="spellEnd"/>
      <w:r>
        <w:rPr>
          <w:rtl/>
        </w:rPr>
        <w:t xml:space="preserve"> לקייב. ר׳ </w:t>
      </w:r>
      <w:proofErr w:type="spellStart"/>
      <w:r>
        <w:rPr>
          <w:rtl/>
        </w:rPr>
        <w:t>יענקל</w:t>
      </w:r>
      <w:proofErr w:type="spellEnd"/>
      <w:r>
        <w:rPr>
          <w:rtl/>
        </w:rPr>
        <w:t xml:space="preserve"> </w:t>
      </w:r>
      <w:proofErr w:type="spellStart"/>
      <w:r>
        <w:rPr>
          <w:rtl/>
        </w:rPr>
        <w:t>פוטרפס</w:t>
      </w:r>
      <w:proofErr w:type="spellEnd"/>
      <w:r>
        <w:rPr>
          <w:rtl/>
        </w:rPr>
        <w:t xml:space="preserve"> הפסיד את 5,000 הרובל שלו, משום שהייתה זו שנת בצורת והשדות לא הוציאו פרחים לדבוריו. אבל הוא קיבל זאת כרצון ה׳, ולא התחרט אף לרגע על שאימץ את אחייניתו.</w:t>
      </w:r>
    </w:p>
    <w:p w14:paraId="45CC56AF" w14:textId="7E9AC2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w:t>
      </w:r>
      <w:proofErr w:type="spellStart"/>
      <w:r>
        <w:rPr>
          <w:rtl/>
        </w:rPr>
        <w:t>לר</w:t>
      </w:r>
      <w:proofErr w:type="spellEnd"/>
      <w:r>
        <w:rPr>
          <w:rtl/>
        </w:rPr>
        <w:t xml:space="preserve">׳ </w:t>
      </w:r>
      <w:proofErr w:type="spellStart"/>
      <w:r>
        <w:rPr>
          <w:rtl/>
        </w:rPr>
        <w:t>יענקל</w:t>
      </w:r>
      <w:proofErr w:type="spellEnd"/>
      <w:r>
        <w:rPr>
          <w:rtl/>
        </w:rPr>
        <w:t xml:space="preserve"> הייתה בת בשם אסתר, ולכן שינה את שם אחייניתו לשם הנגזר ממנו, עטיל</w:t>
      </w:r>
      <w:bookmarkStart w:id="183" w:name="b1_ref9"/>
      <w:bookmarkEnd w:id="183"/>
      <w:r>
        <w:rPr>
          <w:vertAlign w:val="superscript"/>
          <w:rtl/>
        </w:rPr>
        <w:fldChar w:fldCharType="begin" w:dirty="true"/>
      </w:r>
      <w:r>
        <w:rPr>
          <w:vertAlign w:val="superscript"/>
          <w:rtl/>
        </w:rPr>
        <w:instrText xml:space="preserve"> REF b1_note9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וגידל את בת חסותו באותה אהבה ובאותה מסירות כמו את ילדיו שלו. מטבע הדברים, </w:t>
      </w:r>
      <w:proofErr w:type="spellStart"/>
      <w:r>
        <w:rPr>
          <w:rtl/>
        </w:rPr>
        <w:t>עטיל</w:t>
      </w:r>
      <w:proofErr w:type="spellEnd"/>
      <w:r>
        <w:rPr>
          <w:rtl/>
        </w:rPr>
        <w:t xml:space="preserve">, שהתייתמה מהוריה בעודה פעוטה, שכחה את שורשיה וגדלה במחשבה שהיא עוד אחת מבנותיו של ר׳ </w:t>
      </w:r>
      <w:proofErr w:type="spellStart"/>
      <w:r>
        <w:rPr>
          <w:rtl/>
        </w:rPr>
        <w:t>יענקל</w:t>
      </w:r>
      <w:proofErr w:type="spellEnd"/>
      <w:r>
        <w:rPr>
          <w:rtl/>
        </w:rPr>
        <w:t xml:space="preserve"> </w:t>
      </w:r>
      <w:proofErr w:type="spellStart"/>
      <w:r>
        <w:rPr>
          <w:rtl/>
        </w:rPr>
        <w:t>פוטרפס</w:t>
      </w:r>
      <w:proofErr w:type="spellEnd"/>
      <w:r>
        <w:rPr>
          <w:rtl/>
        </w:rPr>
        <w:t>.</w:t>
      </w:r>
    </w:p>
    <w:bookmarkStart w:id="184" w:name="b1_note9"/>
    <w:p w14:paraId="4B265084" w14:textId="77777777" w:rsidR="00AB3647" w:rsidRDefault="00000000" w:rsidP="007923E9">
      <w:pPr>
        <w:spacing w:before="120" w:after="100" w:line="276" w:lineRule="auto"/>
        <w:jc w:val="both"/>
      </w:pPr>
      <w:r>
        <w:fldChar w:fldCharType="begin" w:dirty="true"/>
      </w:r>
      <w:r>
        <w:instrText>HYPERLINK \l "b1_ref9"</w:instrText>
      </w:r>
      <w:r>
        <w:fldChar w:fldCharType="separate"/>
      </w:r>
      <w:r>
        <w:rPr>
          <w:b/>
          <w:bCs/>
          <w:rtl/>
        </w:rPr>
        <w:t>9</w:t>
      </w:r>
      <w:r>
        <w:rPr>
          <w:b/>
          <w:bCs/>
        </w:rPr>
        <w:fldChar w:fldCharType="end"/>
      </w:r>
      <w:bookmarkEnd w:id="184"/>
      <w:r>
        <w:rPr>
          <w:rtl/>
        </w:rPr>
        <w:t xml:space="preserve"> בתפילות לרפואת אבי בזמן מחלותיו בשנותיו האחרונות נקרא “בן </w:t>
      </w:r>
      <w:proofErr w:type="spellStart"/>
      <w:r>
        <w:rPr>
          <w:rtl/>
        </w:rPr>
        <w:t>עטקע</w:t>
      </w:r>
      <w:proofErr w:type="spellEnd"/>
      <w:r>
        <w:rPr>
          <w:rtl/>
        </w:rPr>
        <w:t>”. המתכתבת עמי מרוסיה</w:t>
      </w:r>
      <w:bookmarkStart w:id="185" w:name="_fnr142"/>
      <w:r>
        <w:rPr>
          <w:rStyle w:val="a5"/>
        </w:rPr>
        <w:footnoteReference w:id="142" w:customMarkFollows="0"/>
      </w:r>
      <w:bookmarkEnd w:id="185"/>
      <w:r>
        <w:rPr>
          <w:rtl/>
        </w:rPr>
        <w:t xml:space="preserve"> כינתה את אמה תמיד </w:t>
      </w:r>
      <w:proofErr w:type="spellStart"/>
      <w:r>
        <w:rPr>
          <w:rtl/>
        </w:rPr>
        <w:t>עטיל</w:t>
      </w:r>
      <w:proofErr w:type="spellEnd"/>
      <w:r>
        <w:rPr>
          <w:rtl/>
        </w:rPr>
        <w:t>, ולכן אני סבור שזה השם הנכון. מסתבר שאבי השתמש בצורה המקוצרת “</w:t>
      </w:r>
      <w:proofErr w:type="spellStart"/>
      <w:r>
        <w:rPr>
          <w:rtl/>
        </w:rPr>
        <w:t>עטקע</w:t>
      </w:r>
      <w:proofErr w:type="spellEnd"/>
      <w:r>
        <w:rPr>
          <w:rtl/>
        </w:rPr>
        <w:t xml:space="preserve">” – אולי כינוי שהשתמש בו בעלה, אביו של אבי – רק כדי ששם </w:t>
      </w:r>
      <w:proofErr w:type="spellStart"/>
      <w:r>
        <w:rPr>
          <w:rtl/>
        </w:rPr>
        <w:t>אמו</w:t>
      </w:r>
      <w:proofErr w:type="spellEnd"/>
      <w:r>
        <w:rPr>
          <w:rtl/>
        </w:rPr>
        <w:t xml:space="preserve"> לא יתחלף בשם אשתו הראשונה, (</w:t>
      </w:r>
      <w:proofErr w:type="spellStart"/>
      <w:r>
        <w:rPr>
          <w:rtl/>
        </w:rPr>
        <w:t>איטע</w:t>
      </w:r>
      <w:proofErr w:type="spellEnd"/>
      <w:r>
        <w:rPr>
          <w:rtl/>
        </w:rPr>
        <w:t>־)</w:t>
      </w:r>
      <w:proofErr w:type="spellStart"/>
      <w:r>
        <w:rPr>
          <w:b/>
          <w:bCs/>
          <w:rtl/>
        </w:rPr>
        <w:t>עטיל</w:t>
      </w:r>
      <w:proofErr w:type="spellEnd"/>
      <w:r>
        <w:rPr>
          <w:rtl/>
        </w:rPr>
        <w:t>, אמי</w:t>
      </w:r>
      <w:bookmarkStart w:id="186" w:name="_fnr143"/>
      <w:r>
        <w:rPr>
          <w:rStyle w:val="a5"/>
        </w:rPr>
        <w:footnoteReference w:id="143" w:customMarkFollows="0"/>
      </w:r>
      <w:bookmarkEnd w:id="186"/>
      <w:r>
        <w:rPr>
          <w:rtl/>
        </w:rPr>
        <w:t>.</w:t>
      </w:r>
    </w:p>
    <w:p w14:paraId="17EBA2BC" w14:textId="44581C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אבל כשהגיעה </w:t>
      </w:r>
      <w:proofErr w:type="spellStart"/>
      <w:r>
        <w:rPr>
          <w:rtl/>
        </w:rPr>
        <w:t>עטיל</w:t>
      </w:r>
      <w:proofErr w:type="spellEnd"/>
      <w:r>
        <w:rPr>
          <w:rtl/>
        </w:rPr>
        <w:t xml:space="preserve"> לגיל </w:t>
      </w:r>
      <w:proofErr w:type="spellStart"/>
      <w:r>
        <w:rPr>
          <w:rtl/>
        </w:rPr>
        <w:t>חמש־עשרה</w:t>
      </w:r>
      <w:proofErr w:type="spellEnd"/>
      <w:r>
        <w:rPr>
          <w:rtl/>
        </w:rPr>
        <w:t>, נגלה אליה בחלומותיה איש צעיר למדי, בעל זקן, ואמר לה שלא תקרא לראש המשפחה “אבא”, משום שהוא, האיש שבחלום, הוא אביה האמיתי</w:t>
      </w:r>
      <w:bookmarkStart w:id="187" w:name="b1_ref10"/>
      <w:bookmarkEnd w:id="187"/>
      <w:r>
        <w:rPr>
          <w:vertAlign w:val="superscript"/>
          <w:rtl/>
        </w:rPr>
        <w:fldChar w:fldCharType="begin" w:dirty="true"/>
      </w:r>
      <w:r>
        <w:rPr>
          <w:vertAlign w:val="superscript"/>
          <w:rtl/>
        </w:rPr>
        <w:instrText xml:space="preserve"> REF b1_note10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החלום המוזר הטריד אותה, ולמחרת סירבה לאכול ארוחת בוקר. דודתה, שגידלה אותה כאם, התחננה שתספר מה מטריד אותה, אבל לא נענתה. אחרי כמה ימים כאלה הביא דודה, שהיה לה כאב, הביתה שלושה </w:t>
      </w:r>
      <w:proofErr w:type="spellStart"/>
      <w:r>
        <w:rPr>
          <w:rtl/>
        </w:rPr>
        <w:t>גוטע</w:t>
      </w:r>
      <w:proofErr w:type="spellEnd"/>
      <w:r>
        <w:rPr>
          <w:rtl/>
        </w:rPr>
        <w:t xml:space="preserve"> יִדן</w:t>
      </w:r>
      <w:bookmarkStart w:id="188" w:name="b1_ref11"/>
      <w:bookmarkEnd w:id="188"/>
      <w:r>
        <w:rPr>
          <w:vertAlign w:val="superscript"/>
          <w:rtl/>
        </w:rPr>
        <w:fldChar w:fldCharType="begin" w:dirty="true"/>
      </w:r>
      <w:r>
        <w:rPr>
          <w:vertAlign w:val="superscript"/>
          <w:rtl/>
        </w:rPr>
        <w:instrText xml:space="preserve"> REF b1_note11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[יהודים טובים] כדי שידברו על לבה של </w:t>
      </w:r>
      <w:proofErr w:type="spellStart"/>
      <w:r>
        <w:rPr>
          <w:rtl/>
        </w:rPr>
        <w:t>עטיל</w:t>
      </w:r>
      <w:proofErr w:type="spellEnd"/>
      <w:r>
        <w:rPr>
          <w:rtl/>
        </w:rPr>
        <w:t>.</w:t>
      </w:r>
    </w:p>
    <w:bookmarkStart w:id="189" w:name="b1_note10"/>
    <w:p w14:paraId="45CEC46A" w14:textId="77777777" w:rsidR="00AB3647" w:rsidRDefault="00000000" w:rsidP="007923E9">
      <w:pPr>
        <w:spacing w:before="120" w:after="100" w:line="276" w:lineRule="auto"/>
        <w:jc w:val="both"/>
      </w:pPr>
      <w:r>
        <w:fldChar w:fldCharType="begin" w:dirty="true"/>
      </w:r>
      <w:r>
        <w:instrText>HYPERLINK \l "b1_ref10"</w:instrText>
      </w:r>
      <w:r>
        <w:fldChar w:fldCharType="separate"/>
      </w:r>
      <w:r>
        <w:rPr>
          <w:b/>
          <w:bCs/>
          <w:rtl/>
        </w:rPr>
        <w:t>10</w:t>
      </w:r>
      <w:r>
        <w:rPr>
          <w:b/>
          <w:bCs/>
        </w:rPr>
        <w:fldChar w:fldCharType="end"/>
      </w:r>
      <w:bookmarkEnd w:id="189"/>
      <w:r>
        <w:rPr>
          <w:rtl/>
        </w:rPr>
        <w:t xml:space="preserve"> עיין רמב״ן על התורה</w:t>
      </w:r>
      <w:bookmarkStart w:id="190" w:name="_fnr144"/>
      <w:r>
        <w:rPr>
          <w:rStyle w:val="a5"/>
        </w:rPr>
        <w:footnoteReference w:id="144" w:customMarkFollows="0"/>
      </w:r>
      <w:bookmarkEnd w:id="190"/>
      <w:r>
        <w:rPr>
          <w:rtl/>
        </w:rPr>
        <w:t xml:space="preserve"> שאסור לומר על אחר שהוא אביו.</w:t>
      </w:r>
    </w:p>
    <w:bookmarkStart w:id="191" w:name="b1_note11"/>
    <w:p w14:paraId="2851E03D" w14:textId="77777777" w:rsidR="00AB3647" w:rsidRDefault="00000000" w:rsidP="007923E9">
      <w:pPr>
        <w:spacing w:before="120" w:after="100" w:line="276" w:lineRule="auto"/>
        <w:jc w:val="both"/>
      </w:pPr>
      <w:r>
        <w:fldChar w:fldCharType="begin" w:dirty="true"/>
      </w:r>
      <w:r>
        <w:instrText>HYPERLINK \l "b1_ref11"</w:instrText>
      </w:r>
      <w:r>
        <w:fldChar w:fldCharType="separate"/>
      </w:r>
      <w:r>
        <w:rPr>
          <w:b/>
          <w:bCs/>
          <w:rtl/>
        </w:rPr>
        <w:t>11</w:t>
      </w:r>
      <w:r>
        <w:rPr>
          <w:b/>
          <w:bCs/>
        </w:rPr>
        <w:fldChar w:fldCharType="end"/>
      </w:r>
      <w:bookmarkEnd w:id="191"/>
      <w:r>
        <w:rPr>
          <w:rtl/>
        </w:rPr>
        <w:t xml:space="preserve"> אבי השתמש בביטוי “</w:t>
      </w:r>
      <w:proofErr w:type="spellStart"/>
      <w:r>
        <w:rPr>
          <w:rtl/>
        </w:rPr>
        <w:t>גוטער</w:t>
      </w:r>
      <w:proofErr w:type="spellEnd"/>
      <w:r>
        <w:rPr>
          <w:rtl/>
        </w:rPr>
        <w:t xml:space="preserve"> איד” [יהודי טוב] במקום שאחרים היו אומרים צדיק או רבי: אדם שחי חיים רוחניים ומסור לעבודת ה׳. יהודי בדרגה כזאת נחשב קדוש דיו </w:t>
      </w:r>
      <w:proofErr w:type="spellStart"/>
      <w:r>
        <w:rPr>
          <w:rtl/>
        </w:rPr>
        <w:t>להפגיע</w:t>
      </w:r>
      <w:proofErr w:type="spellEnd"/>
      <w:r>
        <w:rPr>
          <w:rtl/>
        </w:rPr>
        <w:t xml:space="preserve"> בעד אחרים לפני המקום בעת צרה, ולתת עצה שאין לערער עליה – כמו במקרה זה.</w:t>
      </w:r>
    </w:p>
    <w:p w14:paraId="681453CF" w14:textId="77777777" w:rsidR="00AB3647" w:rsidRDefault="00000000" w:rsidP="007923E9">
      <w:pPr>
        <w:spacing w:before="120" w:after="100" w:line="276" w:lineRule="auto"/>
        <w:jc w:val="both"/>
      </w:pPr>
      <w:r>
        <w:rPr>
          <w:rtl/>
        </w:rPr>
        <w:t>בעניין הכינוי “</w:t>
      </w:r>
      <w:proofErr w:type="spellStart"/>
      <w:r>
        <w:rPr>
          <w:rtl/>
        </w:rPr>
        <w:t>גוטער</w:t>
      </w:r>
      <w:proofErr w:type="spellEnd"/>
      <w:r>
        <w:rPr>
          <w:rtl/>
        </w:rPr>
        <w:t xml:space="preserve"> איד” מסופר על ר׳ ישראל </w:t>
      </w:r>
      <w:proofErr w:type="spellStart"/>
      <w:r>
        <w:rPr>
          <w:rtl/>
        </w:rPr>
        <w:t>סלנטר</w:t>
      </w:r>
      <w:proofErr w:type="spellEnd"/>
      <w:r>
        <w:rPr>
          <w:rtl/>
        </w:rPr>
        <w:t xml:space="preserve"> [ליפקין] בכתב העת הירושלמי “שערי ציון”</w:t>
      </w:r>
      <w:bookmarkStart w:id="192" w:name="_fnr145"/>
      <w:bookmarkStart w:id="193" w:name="pr_f_78"/>
      <w:r>
        <w:rPr>
          <w:rStyle w:val="a5"/>
        </w:rPr>
        <w:footnoteReference w:id="145" w:customMarkFollows="0"/>
      </w:r>
      <w:bookmarkEnd w:id="192"/>
      <w:bookmarkEnd w:id="193"/>
      <w:r>
        <w:rPr>
          <w:rtl/>
        </w:rPr>
        <w:t xml:space="preserve"> שחסיד עשיר ביקר אצלו, ובסוף שיחתם הניח לפניו שטר של 100 רובל. כששאל ר׳ ישראל לשם מה הכסף, השיב החסיד: “נוהגים אנו לתת </w:t>
      </w:r>
      <w:proofErr w:type="spellStart"/>
      <w:r>
        <w:rPr>
          <w:rtl/>
        </w:rPr>
        <w:t>לגוטער</w:t>
      </w:r>
      <w:proofErr w:type="spellEnd"/>
      <w:r>
        <w:rPr>
          <w:rtl/>
        </w:rPr>
        <w:t xml:space="preserve"> איד ‘פדיון’ כדי שיתפלל בעדנו”. השיב ר׳ ישראל בתמיהה: “כך? אצלכם ‘יהודי טוב’ הוא מי שפושט את ידו ולוקח. אצלנו </w:t>
      </w:r>
      <w:proofErr w:type="spellStart"/>
      <w:r>
        <w:rPr>
          <w:rtl/>
        </w:rPr>
        <w:t>גוטער</w:t>
      </w:r>
      <w:proofErr w:type="spellEnd"/>
      <w:r>
        <w:rPr>
          <w:rtl/>
        </w:rPr>
        <w:t xml:space="preserve"> איד הוא מי שפותח את ידו ונותן; אם כן </w:t>
      </w:r>
      <w:r>
        <w:rPr>
          <w:b/>
          <w:bCs/>
          <w:rtl/>
        </w:rPr>
        <w:t>אתה</w:t>
      </w:r>
      <w:r>
        <w:rPr>
          <w:rtl/>
        </w:rPr>
        <w:t xml:space="preserve"> </w:t>
      </w:r>
      <w:proofErr w:type="spellStart"/>
      <w:r>
        <w:rPr>
          <w:rtl/>
        </w:rPr>
        <w:t>הגוטער</w:t>
      </w:r>
      <w:proofErr w:type="spellEnd"/>
      <w:r>
        <w:rPr>
          <w:rtl/>
        </w:rPr>
        <w:t xml:space="preserve"> איד, ואני מבקש ממך שתתפלל בעדי”.</w:t>
      </w:r>
    </w:p>
    <w:p w14:paraId="6EE00942"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כשגילתה סוף סוף מה שעל לבה, גילה לה ר׳ </w:t>
      </w:r>
      <w:proofErr w:type="spellStart"/>
      <w:r>
        <w:rPr>
          <w:rtl/>
        </w:rPr>
        <w:t>יענקל</w:t>
      </w:r>
      <w:proofErr w:type="spellEnd"/>
      <w:r>
        <w:rPr>
          <w:rtl/>
        </w:rPr>
        <w:t xml:space="preserve"> שחלומה אמת לאמיתה. הוא סיפר על האסון שפקד את המשפחה לפני יותר </w:t>
      </w:r>
      <w:proofErr w:type="spellStart"/>
      <w:r>
        <w:rPr>
          <w:rtl/>
        </w:rPr>
        <w:t>מאחת־עשרה</w:t>
      </w:r>
      <w:proofErr w:type="spellEnd"/>
      <w:r>
        <w:rPr>
          <w:rtl/>
        </w:rPr>
        <w:t xml:space="preserve"> שנים ועל כך שנאלצו להפריד בין ארבעת היתומים, ואמר לה שאל לה לקרוא לו עוד “אבא”, אם כך רצון גיסו המנוח. כשסופר </w:t>
      </w:r>
      <w:proofErr w:type="spellStart"/>
      <w:r>
        <w:rPr>
          <w:rtl/>
        </w:rPr>
        <w:t>לעטיל</w:t>
      </w:r>
      <w:proofErr w:type="spellEnd"/>
      <w:r>
        <w:rPr>
          <w:rtl/>
        </w:rPr>
        <w:t xml:space="preserve"> שיש לה אחות גדולה, רבקה, שכבר חזרה בינתיים לבית אבותיה </w:t>
      </w:r>
      <w:proofErr w:type="spellStart"/>
      <w:r>
        <w:rPr>
          <w:rtl/>
        </w:rPr>
        <w:t>בדולהינוב</w:t>
      </w:r>
      <w:proofErr w:type="spellEnd"/>
      <w:r>
        <w:rPr>
          <w:rtl/>
        </w:rPr>
        <w:t xml:space="preserve"> ומתפרנסת מהכנסות הבתים והחנויות שהיו לאביה המנוח, ביקשה </w:t>
      </w:r>
      <w:proofErr w:type="spellStart"/>
      <w:r>
        <w:rPr>
          <w:rtl/>
        </w:rPr>
        <w:t>עטיל</w:t>
      </w:r>
      <w:proofErr w:type="spellEnd"/>
      <w:r>
        <w:rPr>
          <w:rtl/>
        </w:rPr>
        <w:t xml:space="preserve"> להתאחד עמה. שלושת היהודים הנכבדים הסכימו שתוחזר לבלארוס.</w:t>
      </w:r>
    </w:p>
    <w:p w14:paraId="23D019B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עטיל</w:t>
      </w:r>
      <w:proofErr w:type="spellEnd"/>
      <w:r>
        <w:rPr>
          <w:rtl/>
        </w:rPr>
        <w:t xml:space="preserve"> נשלחה ברכבת לעיר הגדולה מינסק, והלכה שם </w:t>
      </w:r>
      <w:proofErr w:type="spellStart"/>
      <w:r>
        <w:rPr>
          <w:rtl/>
        </w:rPr>
        <w:t>לאכסניה</w:t>
      </w:r>
      <w:proofErr w:type="spellEnd"/>
      <w:r>
        <w:rPr>
          <w:rtl/>
        </w:rPr>
        <w:t xml:space="preserve"> של </w:t>
      </w:r>
      <w:proofErr w:type="spellStart"/>
      <w:r>
        <w:rPr>
          <w:rtl/>
        </w:rPr>
        <w:t>דולהינוב</w:t>
      </w:r>
      <w:proofErr w:type="spellEnd"/>
      <w:r>
        <w:rPr>
          <w:rtl/>
        </w:rPr>
        <w:t xml:space="preserve">, שממנה הובילו העגלונים נוסעים וסחורות לאותה עיירה, המרוחקת 90 קילומטרים. כשסיפרה לעגלון שהיא בתו של ר׳ זרח דנציג המנוח, נודע לה שאחותה באה למינסק לראות רופא, ושהיא עתידה לחזור לעיירתה באותה עגלה עצמה. הפגישה הנרגשת של שתי האחיות התקיימה כשיצאו לדרך לעיר הולדתן, </w:t>
      </w:r>
      <w:proofErr w:type="spellStart"/>
      <w:r>
        <w:rPr>
          <w:rtl/>
        </w:rPr>
        <w:t>דולהינוב</w:t>
      </w:r>
      <w:proofErr w:type="spellEnd"/>
      <w:r>
        <w:rPr>
          <w:rtl/>
        </w:rPr>
        <w:t>.</w:t>
      </w:r>
    </w:p>
    <w:p w14:paraId="0178761A" w14:textId="03437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כעבור שנה נישאה האחות הבכורה, רבקה, לבחור מקומי, </w:t>
      </w:r>
      <w:proofErr w:type="spellStart"/>
      <w:r>
        <w:rPr>
          <w:rtl/>
        </w:rPr>
        <w:t>פעלשר</w:t>
      </w:r>
      <w:proofErr w:type="spellEnd"/>
      <w:r>
        <w:rPr>
          <w:rtl/>
        </w:rPr>
        <w:t xml:space="preserve"> (רופא עממי) בשם </w:t>
      </w:r>
      <w:proofErr w:type="spellStart"/>
      <w:r>
        <w:rPr>
          <w:rtl/>
        </w:rPr>
        <w:t>הירשקע</w:t>
      </w:r>
      <w:proofErr w:type="spellEnd"/>
      <w:r>
        <w:rPr>
          <w:rtl/>
        </w:rPr>
        <w:t xml:space="preserve"> פראג, והביאה את </w:t>
      </w:r>
      <w:proofErr w:type="spellStart"/>
      <w:r>
        <w:rPr>
          <w:rtl/>
        </w:rPr>
        <w:t>עטיל</w:t>
      </w:r>
      <w:proofErr w:type="spellEnd"/>
      <w:r>
        <w:rPr>
          <w:rtl/>
        </w:rPr>
        <w:t xml:space="preserve"> ואת אחיהם, יוסל, לגור עמה</w:t>
      </w:r>
      <w:bookmarkStart w:id="194" w:name="b1_ref12"/>
      <w:bookmarkEnd w:id="194"/>
      <w:r>
        <w:rPr>
          <w:vertAlign w:val="superscript"/>
          <w:rtl/>
        </w:rPr>
        <w:fldChar w:fldCharType="begin" w:dirty="true"/>
      </w:r>
      <w:r>
        <w:rPr>
          <w:vertAlign w:val="superscript"/>
          <w:rtl/>
        </w:rPr>
        <w:instrText xml:space="preserve"> REF b1_note12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w:t>
      </w:r>
      <w:proofErr w:type="spellStart"/>
      <w:r>
        <w:rPr>
          <w:rtl/>
        </w:rPr>
        <w:t>עטיל</w:t>
      </w:r>
      <w:proofErr w:type="spellEnd"/>
      <w:r>
        <w:rPr>
          <w:rtl/>
        </w:rPr>
        <w:t xml:space="preserve"> הייתה צעירה נבונה וטובת לב, ונשאה בכבוד את השם הטוב שהשאירו אחריהם הוריה </w:t>
      </w:r>
      <w:proofErr w:type="spellStart"/>
      <w:r>
        <w:rPr>
          <w:rtl/>
        </w:rPr>
        <w:t>בדולהינוב</w:t>
      </w:r>
      <w:proofErr w:type="spellEnd"/>
      <w:r>
        <w:rPr>
          <w:rtl/>
        </w:rPr>
        <w:t xml:space="preserve">. בעזרת אחותה </w:t>
      </w:r>
      <w:r>
        <w:rPr>
          <w:rtl/>
        </w:rPr>
        <w:lastRenderedPageBreak/>
        <w:t xml:space="preserve">הגדולה ובכספים שבאו ממכירת עיזבון אביהן פתחה שם חנות קטנה. בשנת תרמ״ו בחר איכר וסוחר מקומי, שהכיר היטב את ר׳ זרח דנציג, </w:t>
      </w:r>
      <w:proofErr w:type="spellStart"/>
      <w:r>
        <w:rPr>
          <w:rtl/>
        </w:rPr>
        <w:t>בעטיל</w:t>
      </w:r>
      <w:proofErr w:type="spellEnd"/>
      <w:r>
        <w:rPr>
          <w:rtl/>
        </w:rPr>
        <w:t xml:space="preserve"> דנציג לאישה לבנו בנימין </w:t>
      </w:r>
      <w:proofErr w:type="spellStart"/>
      <w:r>
        <w:rPr>
          <w:rtl/>
        </w:rPr>
        <w:t>קמינצקי</w:t>
      </w:r>
      <w:proofErr w:type="spellEnd"/>
      <w:r>
        <w:rPr>
          <w:rtl/>
        </w:rPr>
        <w:t>.</w:t>
      </w:r>
    </w:p>
    <w:bookmarkStart w:id="195" w:name="b1_note12"/>
    <w:p w14:paraId="05578264" w14:textId="77777777" w:rsidR="00AB3647" w:rsidRDefault="00000000" w:rsidP="007923E9">
      <w:pPr>
        <w:spacing w:before="120" w:after="100" w:line="276" w:lineRule="auto"/>
        <w:jc w:val="both"/>
      </w:pPr>
      <w:r>
        <w:fldChar w:fldCharType="begin" w:dirty="true"/>
      </w:r>
      <w:r>
        <w:instrText>HYPERLINK \l "b1_ref12"</w:instrText>
      </w:r>
      <w:r>
        <w:fldChar w:fldCharType="separate"/>
      </w:r>
      <w:r>
        <w:rPr>
          <w:b/>
          <w:bCs/>
          <w:rtl/>
        </w:rPr>
        <w:t>12</w:t>
      </w:r>
      <w:r>
        <w:rPr>
          <w:b/>
          <w:bCs/>
        </w:rPr>
        <w:fldChar w:fldCharType="end"/>
      </w:r>
      <w:bookmarkEnd w:id="195"/>
      <w:r>
        <w:rPr>
          <w:rtl/>
        </w:rPr>
        <w:t xml:space="preserve"> </w:t>
      </w:r>
      <w:proofErr w:type="spellStart"/>
      <w:r>
        <w:rPr>
          <w:rtl/>
        </w:rPr>
        <w:t>עטיל</w:t>
      </w:r>
      <w:proofErr w:type="spellEnd"/>
      <w:r>
        <w:rPr>
          <w:rtl/>
        </w:rPr>
        <w:t xml:space="preserve"> </w:t>
      </w:r>
      <w:proofErr w:type="spellStart"/>
      <w:r>
        <w:rPr>
          <w:rtl/>
        </w:rPr>
        <w:t>דנציג־קמינצקי</w:t>
      </w:r>
      <w:proofErr w:type="spellEnd"/>
      <w:r>
        <w:rPr>
          <w:rtl/>
        </w:rPr>
        <w:t xml:space="preserve"> איבדה את הקשר עם אחיה יוסל כשהיגר לאמריקה. אחיה הקטן, שהיה תינוק יונק כשמתו הוריהם, לא שרד את ינקותו.</w:t>
      </w:r>
    </w:p>
    <w:p w14:paraId="0931D9A0" w14:textId="77777777" w:rsidR="00AB3647" w:rsidRDefault="00000000" w:rsidP="007923E9">
      <w:pPr>
        <w:pStyle w:val="2"/>
        <w:spacing w:line="276" w:lineRule="auto"/>
      </w:pPr>
      <w:bookmarkStart w:id="196" w:name="b1_sec2"/>
      <w:r>
        <w:t>2.</w:t>
      </w:r>
      <w:bookmarkEnd w:id="196"/>
    </w:p>
    <w:p w14:paraId="58767CF0" w14:textId="2A8536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קמינצקי</w:t>
      </w:r>
      <w:proofErr w:type="spellEnd"/>
      <w:r>
        <w:rPr>
          <w:rtl/>
        </w:rPr>
        <w:t xml:space="preserve">, אביו של אבי, נולד בשנת תרכ״א </w:t>
      </w:r>
      <w:proofErr w:type="spellStart"/>
      <w:r>
        <w:rPr>
          <w:rtl/>
        </w:rPr>
        <w:t>לר</w:t>
      </w:r>
      <w:proofErr w:type="spellEnd"/>
      <w:r>
        <w:rPr>
          <w:rtl/>
        </w:rPr>
        <w:t xml:space="preserve">׳ </w:t>
      </w:r>
      <w:proofErr w:type="spellStart"/>
      <w:r>
        <w:rPr>
          <w:rtl/>
        </w:rPr>
        <w:t>שמואל־הירש</w:t>
      </w:r>
      <w:proofErr w:type="spellEnd"/>
      <w:r>
        <w:rPr>
          <w:rtl/>
        </w:rPr>
        <w:t xml:space="preserve"> </w:t>
      </w:r>
      <w:proofErr w:type="spellStart"/>
      <w:r>
        <w:rPr>
          <w:rtl/>
        </w:rPr>
        <w:t>קמינצקי</w:t>
      </w:r>
      <w:proofErr w:type="spellEnd"/>
      <w:r>
        <w:rPr>
          <w:rtl/>
        </w:rPr>
        <w:t>, בן עשרים וארבע, אדם נכבד</w:t>
      </w:r>
      <w:bookmarkStart w:id="197" w:name="b1_ref13"/>
      <w:bookmarkEnd w:id="197"/>
      <w:r>
        <w:rPr>
          <w:vertAlign w:val="superscript"/>
          <w:rtl/>
        </w:rPr>
        <w:fldChar w:fldCharType="begin" w:dirty="true"/>
      </w:r>
      <w:r>
        <w:rPr>
          <w:vertAlign w:val="superscript"/>
          <w:rtl/>
        </w:rPr>
        <w:instrText xml:space="preserve"> REF b1_note13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בפלך וילנה. ר׳ </w:t>
      </w:r>
      <w:proofErr w:type="spellStart"/>
      <w:r>
        <w:rPr>
          <w:rtl/>
        </w:rPr>
        <w:t>שמואל־הירש</w:t>
      </w:r>
      <w:proofErr w:type="spellEnd"/>
      <w:r>
        <w:rPr>
          <w:rtl/>
        </w:rPr>
        <w:t xml:space="preserve"> היה בעל אחוזה גדולה, עשיר מופלג. האחוזה נקראה קאליסקובקה</w:t>
      </w:r>
      <w:bookmarkStart w:id="198" w:name="b1_ref14"/>
      <w:bookmarkEnd w:id="198"/>
      <w:r>
        <w:rPr>
          <w:vertAlign w:val="superscript"/>
          <w:rtl/>
        </w:rPr>
        <w:fldChar w:fldCharType="begin" w:dirty="true"/>
      </w:r>
      <w:r>
        <w:rPr>
          <w:vertAlign w:val="superscript"/>
          <w:rtl/>
        </w:rPr>
        <w:instrText xml:space="preserve"> REF b1_note14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ושכנה סמוך לכפר </w:t>
      </w:r>
      <w:proofErr w:type="spellStart"/>
      <w:r>
        <w:rPr>
          <w:rtl/>
        </w:rPr>
        <w:t>מלישקי</w:t>
      </w:r>
      <w:proofErr w:type="spellEnd"/>
      <w:r>
        <w:rPr>
          <w:rtl/>
        </w:rPr>
        <w:t>, בלב יער</w:t>
      </w:r>
      <w:bookmarkStart w:id="199" w:name="b1_ref15"/>
      <w:bookmarkEnd w:id="199"/>
      <w:r>
        <w:rPr>
          <w:vertAlign w:val="superscript"/>
          <w:rtl/>
        </w:rPr>
        <w:fldChar w:fldCharType="begin" w:dirty="true"/>
      </w:r>
      <w:r>
        <w:rPr>
          <w:vertAlign w:val="superscript"/>
          <w:rtl/>
        </w:rPr>
        <w:instrText xml:space="preserve"> REF b1_note15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אינסופי של עצי אורן ולבנה לאורך נהר </w:t>
      </w:r>
      <w:proofErr w:type="spellStart"/>
      <w:r>
        <w:rPr>
          <w:rtl/>
        </w:rPr>
        <w:t>דווינושה</w:t>
      </w:r>
      <w:proofErr w:type="spellEnd"/>
      <w:r>
        <w:rPr>
          <w:rtl/>
        </w:rPr>
        <w:t xml:space="preserve">, כ־14 קילומטרים מזרחית לעיירה </w:t>
      </w:r>
      <w:proofErr w:type="spellStart"/>
      <w:r>
        <w:rPr>
          <w:rtl/>
        </w:rPr>
        <w:t>דולהינוב</w:t>
      </w:r>
      <w:proofErr w:type="spellEnd"/>
      <w:r>
        <w:rPr>
          <w:rtl/>
        </w:rPr>
        <w:t>. מלבד שדות התבואה הנרחבים הייתה שם רפת ובה עשרים וארבע פרות.</w:t>
      </w:r>
    </w:p>
    <w:bookmarkStart w:id="200" w:name="b1_note13"/>
    <w:p w14:paraId="54A3EB65" w14:textId="77777777" w:rsidR="00AB3647" w:rsidRDefault="00000000" w:rsidP="007923E9">
      <w:pPr>
        <w:spacing w:before="120" w:after="100" w:line="276" w:lineRule="auto"/>
        <w:jc w:val="both"/>
      </w:pPr>
      <w:r>
        <w:fldChar w:fldCharType="begin" w:dirty="true"/>
      </w:r>
      <w:r>
        <w:instrText>HYPERLINK \l "b1_ref13"</w:instrText>
      </w:r>
      <w:r>
        <w:fldChar w:fldCharType="separate"/>
      </w:r>
      <w:r>
        <w:rPr>
          <w:b/>
          <w:bCs/>
          <w:rtl/>
        </w:rPr>
        <w:t>13</w:t>
      </w:r>
      <w:r>
        <w:rPr>
          <w:b/>
          <w:bCs/>
        </w:rPr>
        <w:fldChar w:fldCharType="end"/>
      </w:r>
      <w:bookmarkEnd w:id="200"/>
      <w:r>
        <w:rPr>
          <w:rtl/>
        </w:rPr>
        <w:t xml:space="preserve"> ר׳ </w:t>
      </w:r>
      <w:proofErr w:type="spellStart"/>
      <w:r>
        <w:rPr>
          <w:rtl/>
        </w:rPr>
        <w:t>שמואל־הירש</w:t>
      </w:r>
      <w:proofErr w:type="spellEnd"/>
      <w:r>
        <w:rPr>
          <w:rtl/>
        </w:rPr>
        <w:t xml:space="preserve"> היה תלמיד חכם. פירושו למשנה האחרונה במסכת קידושין</w:t>
      </w:r>
      <w:bookmarkStart w:id="201" w:name="_fnr146"/>
      <w:r>
        <w:rPr>
          <w:rStyle w:val="a5"/>
        </w:rPr>
        <w:footnoteReference w:id="146" w:customMarkFollows="0"/>
      </w:r>
      <w:bookmarkEnd w:id="201"/>
      <w:r>
        <w:rPr>
          <w:rtl/>
        </w:rPr>
        <w:t xml:space="preserve"> עולה בקנה אחד עם הביאור שהעלה כעבור חמישים שנה או יותר ר׳ יצחק־זאב </w:t>
      </w:r>
      <w:proofErr w:type="spellStart"/>
      <w:r>
        <w:rPr>
          <w:rtl/>
        </w:rPr>
        <w:t>סולובייצ׳יק</w:t>
      </w:r>
      <w:proofErr w:type="spellEnd"/>
      <w:r>
        <w:rPr>
          <w:rtl/>
        </w:rPr>
        <w:t xml:space="preserve">, הרב האחרון של </w:t>
      </w:r>
      <w:proofErr w:type="spellStart"/>
      <w:r>
        <w:rPr>
          <w:rtl/>
        </w:rPr>
        <w:t>בריסק</w:t>
      </w:r>
      <w:bookmarkStart w:id="202" w:name="_fnr147"/>
      <w:proofErr w:type="spellEnd"/>
      <w:r>
        <w:rPr>
          <w:rStyle w:val="a5"/>
        </w:rPr>
        <w:footnoteReference w:id="147" w:customMarkFollows="0"/>
      </w:r>
      <w:bookmarkEnd w:id="202"/>
      <w:r>
        <w:rPr>
          <w:rtl/>
        </w:rPr>
        <w:t xml:space="preserve">. מפירושו של ר׳ </w:t>
      </w:r>
      <w:proofErr w:type="spellStart"/>
      <w:r>
        <w:rPr>
          <w:rtl/>
        </w:rPr>
        <w:t>שמואל־הירש</w:t>
      </w:r>
      <w:proofErr w:type="spellEnd"/>
      <w:r>
        <w:rPr>
          <w:rtl/>
        </w:rPr>
        <w:t xml:space="preserve"> עולה שעל אדם להקדיש את בנו ללימוד תורה, אף שעל פי ההלכה מותר ללמדו אומנות. מכאן שאף שהיה סוחר, רצה ר׳ </w:t>
      </w:r>
      <w:proofErr w:type="spellStart"/>
      <w:r>
        <w:rPr>
          <w:rtl/>
        </w:rPr>
        <w:t>שמואל־הירש</w:t>
      </w:r>
      <w:proofErr w:type="spellEnd"/>
      <w:r>
        <w:rPr>
          <w:rtl/>
        </w:rPr>
        <w:t xml:space="preserve"> לראות את ילדיו תלמידי חכמים.</w:t>
      </w:r>
    </w:p>
    <w:p w14:paraId="2F8A5670" w14:textId="77777777" w:rsidR="00AB3647" w:rsidRDefault="00000000" w:rsidP="007923E9">
      <w:pPr>
        <w:spacing w:before="120" w:after="100" w:line="276" w:lineRule="auto"/>
        <w:jc w:val="both"/>
      </w:pPr>
      <w:r>
        <w:rPr>
          <w:rtl/>
        </w:rPr>
        <w:t>אבי חזר על פירושו של סבו למשנה זו באספת היסוד של מרכז הרבנים</w:t>
      </w:r>
      <w:bookmarkStart w:id="203" w:name="_fnr148"/>
      <w:r>
        <w:rPr>
          <w:rStyle w:val="a5"/>
        </w:rPr>
        <w:footnoteReference w:id="148" w:customMarkFollows="0"/>
      </w:r>
      <w:bookmarkEnd w:id="203"/>
      <w:r>
        <w:rPr>
          <w:rtl/>
        </w:rPr>
        <w:t xml:space="preserve">, אבל באותה הזדמנות דחה את הקושיה שהפירוש המחודש בא ליישב, וביאר שאין במשנה קושי כלל. עוד על חשיבותו של ר׳ </w:t>
      </w:r>
      <w:proofErr w:type="spellStart"/>
      <w:r>
        <w:rPr>
          <w:rtl/>
        </w:rPr>
        <w:t>שמואל־הירש</w:t>
      </w:r>
      <w:proofErr w:type="spellEnd"/>
      <w:r>
        <w:rPr>
          <w:rtl/>
        </w:rPr>
        <w:t xml:space="preserve"> בעיני הגויים ראה הערה 3 בפתיחה.</w:t>
      </w:r>
    </w:p>
    <w:p w14:paraId="6922CADF" w14:textId="0C5CCDD1" w:rsidR="00AB3647" w:rsidRDefault="00000000" w:rsidP="007923E9">
      <w:pPr>
        <w:spacing w:after="100" w:line="276" w:lineRule="auto"/>
        <w:ind w:firstLine="340"/>
        <w:jc w:val="both"/>
      </w:pPr>
      <w:r>
        <w:rPr>
          <w:rtl/>
        </w:rPr>
        <w:t xml:space="preserve">אחותו של ר׳ </w:t>
      </w:r>
      <w:proofErr w:type="spellStart"/>
      <w:r>
        <w:rPr>
          <w:rtl/>
        </w:rPr>
        <w:t>שמואל־הירש</w:t>
      </w:r>
      <w:proofErr w:type="spellEnd"/>
      <w:r>
        <w:rPr>
          <w:rtl/>
        </w:rPr>
        <w:t xml:space="preserve"> הייתה נשואה </w:t>
      </w:r>
      <w:proofErr w:type="spellStart"/>
      <w:r>
        <w:rPr>
          <w:rtl/>
        </w:rPr>
        <w:t>לר</w:t>
      </w:r>
      <w:proofErr w:type="spellEnd"/>
      <w:r>
        <w:rPr>
          <w:rtl/>
        </w:rPr>
        <w:t xml:space="preserve">׳ </w:t>
      </w:r>
      <w:proofErr w:type="spellStart"/>
      <w:r>
        <w:rPr>
          <w:rtl/>
        </w:rPr>
        <w:t>מאיר־מיכל</w:t>
      </w:r>
      <w:proofErr w:type="spellEnd"/>
      <w:r>
        <w:rPr>
          <w:rtl/>
        </w:rPr>
        <w:t xml:space="preserve"> </w:t>
      </w:r>
      <w:proofErr w:type="spellStart"/>
      <w:r>
        <w:rPr>
          <w:rtl/>
        </w:rPr>
        <w:t>רבינוביץ</w:t>
      </w:r>
      <w:proofErr w:type="spellEnd"/>
      <w:r>
        <w:rPr>
          <w:rtl/>
        </w:rPr>
        <w:t xml:space="preserve"> (תק״צ–תרס״ב), רב העיירה שאט ואחר כך </w:t>
      </w:r>
      <w:proofErr w:type="spellStart"/>
      <w:r>
        <w:rPr>
          <w:rtl/>
        </w:rPr>
        <w:t>מ״ץ</w:t>
      </w:r>
      <w:proofErr w:type="spellEnd"/>
      <w:r>
        <w:rPr>
          <w:rtl/>
        </w:rPr>
        <w:t xml:space="preserve"> בווילנה, בעל “המאיר לעולם”, שכונה “השאגת אריה השני”. הספר “גדולים פון </w:t>
      </w:r>
      <w:proofErr w:type="spellStart"/>
      <w:r>
        <w:rPr>
          <w:rtl/>
        </w:rPr>
        <w:t>אונזער</w:t>
      </w:r>
      <w:proofErr w:type="spellEnd"/>
      <w:r>
        <w:rPr>
          <w:rtl/>
        </w:rPr>
        <w:t xml:space="preserve"> </w:t>
      </w:r>
      <w:proofErr w:type="spellStart"/>
      <w:r>
        <w:rPr>
          <w:rtl/>
        </w:rPr>
        <w:t>צייט</w:t>
      </w:r>
      <w:proofErr w:type="spellEnd"/>
      <w:r>
        <w:rPr>
          <w:rtl/>
        </w:rPr>
        <w:t>” [גדולי זמננו] מאת יעקב מארק</w:t>
      </w:r>
      <w:bookmarkStart w:id="204" w:name="_fnr149"/>
      <w:r>
        <w:rPr>
          <w:rStyle w:val="a5"/>
        </w:rPr>
        <w:footnoteReference w:id="149" w:customMarkFollows="0"/>
      </w:r>
      <w:bookmarkEnd w:id="204"/>
      <w:r>
        <w:rPr>
          <w:rtl/>
        </w:rPr>
        <w:t xml:space="preserve"> מקדיש לו פרק</w:t>
      </w:r>
      <w:bookmarkStart w:id="205" w:name="_fnr150"/>
      <w:r>
        <w:rPr>
          <w:rStyle w:val="a5"/>
        </w:rPr>
        <w:footnoteReference w:id="150" w:customMarkFollows="0"/>
      </w:r>
      <w:bookmarkEnd w:id="205"/>
      <w:r>
        <w:rPr>
          <w:rtl/>
        </w:rPr>
        <w:t xml:space="preserve">. בדורות קודמים היו גם רבנים ממשפחת </w:t>
      </w:r>
      <w:proofErr w:type="spellStart"/>
      <w:r>
        <w:rPr>
          <w:rtl/>
        </w:rPr>
        <w:t>קמינצקי</w:t>
      </w:r>
      <w:proofErr w:type="spellEnd"/>
      <w:r>
        <w:rPr>
          <w:rtl/>
        </w:rPr>
        <w:t xml:space="preserve"> בעיר לידה. אחד מבני </w:t>
      </w:r>
      <w:proofErr w:type="spellStart"/>
      <w:r>
        <w:rPr>
          <w:rtl/>
        </w:rPr>
        <w:t>קמינצקי</w:t>
      </w:r>
      <w:proofErr w:type="spellEnd"/>
      <w:r>
        <w:rPr>
          <w:rtl/>
        </w:rPr>
        <w:t xml:space="preserve"> שבלידה, ר׳ מרדכי, </w:t>
      </w:r>
      <w:r>
        <w:rPr>
          <w:rtl/>
        </w:rPr>
        <w:lastRenderedPageBreak/>
        <w:t>היה סוחר עשיר ורב מוסמך, וחתנו של ר׳ חיים (</w:t>
      </w:r>
      <w:proofErr w:type="spellStart"/>
      <w:r w:rsidR="00AB485B">
        <w:rPr>
          <w:rtl/>
        </w:rPr>
        <w:t>איצקוביץ</w:t>
      </w:r>
      <w:proofErr w:type="spellEnd"/>
      <w:r w:rsidR="00AB485B">
        <w:rPr>
          <w:rtl/>
        </w:rPr>
        <w:t>'</w:t>
      </w:r>
      <w:r>
        <w:rPr>
          <w:rtl/>
        </w:rPr>
        <w:t xml:space="preserve">) </w:t>
      </w:r>
      <w:proofErr w:type="spellStart"/>
      <w:r>
        <w:rPr>
          <w:rtl/>
        </w:rPr>
        <w:t>מוולוז׳ין</w:t>
      </w:r>
      <w:bookmarkStart w:id="206" w:name="_fnr151"/>
      <w:proofErr w:type="spellEnd"/>
      <w:r>
        <w:rPr>
          <w:rStyle w:val="a5"/>
        </w:rPr>
        <w:footnoteReference w:id="151" w:customMarkFollows="0"/>
      </w:r>
      <w:bookmarkEnd w:id="206"/>
      <w:r>
        <w:rPr>
          <w:rtl/>
        </w:rPr>
        <w:t>. אבל דודתי דבורה</w:t>
      </w:r>
      <w:bookmarkStart w:id="207" w:name="_fnr152"/>
      <w:r>
        <w:rPr>
          <w:rStyle w:val="a5"/>
        </w:rPr>
        <w:footnoteReference w:id="152" w:customMarkFollows="0"/>
      </w:r>
      <w:bookmarkEnd w:id="207"/>
      <w:r>
        <w:rPr>
          <w:rtl/>
        </w:rPr>
        <w:t xml:space="preserve"> טענה </w:t>
      </w:r>
      <w:proofErr w:type="spellStart"/>
      <w:r>
        <w:rPr>
          <w:rtl/>
        </w:rPr>
        <w:t>ש“במשפחת</w:t>
      </w:r>
      <w:proofErr w:type="spellEnd"/>
      <w:r>
        <w:rPr>
          <w:rtl/>
        </w:rPr>
        <w:t xml:space="preserve"> אמה היו יותר רבנים ובעלי צדקה מאשר במשפחת אביה”.</w:t>
      </w:r>
    </w:p>
    <w:p w14:paraId="76CDB216" w14:textId="77777777" w:rsidR="00AB3647" w:rsidRDefault="00000000" w:rsidP="007923E9">
      <w:pPr>
        <w:spacing w:after="100" w:line="276" w:lineRule="auto"/>
        <w:ind w:firstLine="340"/>
        <w:jc w:val="both"/>
      </w:pPr>
      <w:r>
        <w:rPr>
          <w:rtl/>
        </w:rPr>
        <w:t xml:space="preserve">אבי אמר שהיו באירופה שתי משפחות </w:t>
      </w:r>
      <w:proofErr w:type="spellStart"/>
      <w:r>
        <w:rPr>
          <w:rtl/>
        </w:rPr>
        <w:t>קמינצקי</w:t>
      </w:r>
      <w:proofErr w:type="spellEnd"/>
      <w:r>
        <w:rPr>
          <w:rtl/>
        </w:rPr>
        <w:t xml:space="preserve">: האחת </w:t>
      </w:r>
      <w:proofErr w:type="spellStart"/>
      <w:r>
        <w:rPr>
          <w:rtl/>
        </w:rPr>
        <w:t>מקמניץ־ליטובסק</w:t>
      </w:r>
      <w:proofErr w:type="spellEnd"/>
      <w:r>
        <w:rPr>
          <w:rtl/>
        </w:rPr>
        <w:t xml:space="preserve"> שבליטא, והאחרת </w:t>
      </w:r>
      <w:proofErr w:type="spellStart"/>
      <w:r>
        <w:rPr>
          <w:rtl/>
        </w:rPr>
        <w:t>מקמניץ־פודולסק</w:t>
      </w:r>
      <w:proofErr w:type="spellEnd"/>
      <w:r>
        <w:rPr>
          <w:rtl/>
        </w:rPr>
        <w:t xml:space="preserve"> </w:t>
      </w:r>
      <w:proofErr w:type="spellStart"/>
      <w:r>
        <w:rPr>
          <w:rtl/>
        </w:rPr>
        <w:t>שבפודוליה</w:t>
      </w:r>
      <w:proofErr w:type="spellEnd"/>
      <w:r>
        <w:rPr>
          <w:rtl/>
        </w:rPr>
        <w:t xml:space="preserve">, באוקראינה. לדבריו, כל בני </w:t>
      </w:r>
      <w:proofErr w:type="spellStart"/>
      <w:r>
        <w:rPr>
          <w:rtl/>
        </w:rPr>
        <w:t>קמינצקי</w:t>
      </w:r>
      <w:proofErr w:type="spellEnd"/>
      <w:r>
        <w:rPr>
          <w:rtl/>
        </w:rPr>
        <w:t xml:space="preserve"> שבליטא קרובים זה לזה. ראה </w:t>
      </w:r>
      <w:r>
        <w:rPr>
          <w:b/>
          <w:bCs/>
          <w:rtl/>
        </w:rPr>
        <w:t>לדוגמה</w:t>
      </w:r>
      <w:r>
        <w:rPr>
          <w:rtl/>
        </w:rPr>
        <w:t xml:space="preserve"> חידושים מאת ר׳ יעקב מאיר </w:t>
      </w:r>
      <w:proofErr w:type="spellStart"/>
      <w:r>
        <w:rPr>
          <w:rtl/>
        </w:rPr>
        <w:t>קאמענעצקי</w:t>
      </w:r>
      <w:proofErr w:type="spellEnd"/>
      <w:r>
        <w:rPr>
          <w:rtl/>
        </w:rPr>
        <w:t xml:space="preserve"> “המכונה </w:t>
      </w:r>
      <w:proofErr w:type="spellStart"/>
      <w:r>
        <w:rPr>
          <w:rtl/>
        </w:rPr>
        <w:t>ראגאלער</w:t>
      </w:r>
      <w:proofErr w:type="spellEnd"/>
      <w:r>
        <w:rPr>
          <w:rtl/>
        </w:rPr>
        <w:t>”</w:t>
      </w:r>
      <w:bookmarkStart w:id="208" w:name="_fnr153"/>
      <w:r>
        <w:rPr>
          <w:rStyle w:val="a5"/>
        </w:rPr>
        <w:footnoteReference w:id="153" w:customMarkFollows="0"/>
      </w:r>
      <w:bookmarkEnd w:id="208"/>
      <w:r>
        <w:rPr>
          <w:rtl/>
        </w:rPr>
        <w:t xml:space="preserve"> בסוף שו״ת נודע ביהודה </w:t>
      </w:r>
      <w:proofErr w:type="spellStart"/>
      <w:r>
        <w:rPr>
          <w:rtl/>
        </w:rPr>
        <w:t>מהדורא</w:t>
      </w:r>
      <w:proofErr w:type="spellEnd"/>
      <w:r>
        <w:rPr>
          <w:rtl/>
        </w:rPr>
        <w:t xml:space="preserve"> </w:t>
      </w:r>
      <w:proofErr w:type="spellStart"/>
      <w:r>
        <w:rPr>
          <w:rtl/>
        </w:rPr>
        <w:t>בתרא</w:t>
      </w:r>
      <w:proofErr w:type="spellEnd"/>
      <w:r>
        <w:rPr>
          <w:rtl/>
        </w:rPr>
        <w:t>.</w:t>
      </w:r>
    </w:p>
    <w:bookmarkStart w:id="209" w:name="b1_note14"/>
    <w:p w14:paraId="4C35F778" w14:textId="77777777" w:rsidR="00AB3647" w:rsidRDefault="00000000" w:rsidP="007923E9">
      <w:pPr>
        <w:spacing w:before="120" w:after="100" w:line="276" w:lineRule="auto"/>
        <w:jc w:val="both"/>
      </w:pPr>
      <w:r>
        <w:fldChar w:fldCharType="begin" w:dirty="true"/>
      </w:r>
      <w:r>
        <w:instrText>HYPERLINK \l "b1_ref14"</w:instrText>
      </w:r>
      <w:r>
        <w:fldChar w:fldCharType="separate"/>
      </w:r>
      <w:r>
        <w:rPr>
          <w:b/>
          <w:bCs/>
          <w:rtl/>
        </w:rPr>
        <w:t>14</w:t>
      </w:r>
      <w:r>
        <w:rPr>
          <w:b/>
          <w:bCs/>
        </w:rPr>
        <w:fldChar w:fldCharType="end"/>
      </w:r>
      <w:bookmarkEnd w:id="209"/>
      <w:r>
        <w:rPr>
          <w:rtl/>
        </w:rPr>
        <w:t xml:space="preserve"> מאמר זיכרון מאת הרב אהרן ב. </w:t>
      </w:r>
      <w:proofErr w:type="spellStart"/>
      <w:r>
        <w:rPr>
          <w:rtl/>
        </w:rPr>
        <w:t>שורין</w:t>
      </w:r>
      <w:proofErr w:type="spellEnd"/>
      <w:r>
        <w:rPr>
          <w:rtl/>
        </w:rPr>
        <w:t xml:space="preserve"> בעיתון </w:t>
      </w:r>
      <w:proofErr w:type="spellStart"/>
      <w:r>
        <w:rPr>
          <w:rtl/>
        </w:rPr>
        <w:t>פארווערטס</w:t>
      </w:r>
      <w:proofErr w:type="spellEnd"/>
      <w:r>
        <w:rPr>
          <w:rtl/>
        </w:rPr>
        <w:t xml:space="preserve"> מיום י״ז באדר ב׳ תשמ״ו אומר שר׳ </w:t>
      </w:r>
      <w:proofErr w:type="spellStart"/>
      <w:r>
        <w:rPr>
          <w:rtl/>
        </w:rPr>
        <w:t>שמואל־הירש</w:t>
      </w:r>
      <w:proofErr w:type="spellEnd"/>
      <w:r>
        <w:rPr>
          <w:rtl/>
        </w:rPr>
        <w:t xml:space="preserve"> היה בעליהם של “הכפרים </w:t>
      </w:r>
      <w:proofErr w:type="spellStart"/>
      <w:r>
        <w:rPr>
          <w:rtl/>
        </w:rPr>
        <w:t>קאלוז׳קובקה</w:t>
      </w:r>
      <w:proofErr w:type="spellEnd"/>
      <w:r>
        <w:rPr>
          <w:rtl/>
        </w:rPr>
        <w:t xml:space="preserve"> </w:t>
      </w:r>
      <w:proofErr w:type="spellStart"/>
      <w:r>
        <w:rPr>
          <w:rtl/>
        </w:rPr>
        <w:t>ואיזבישצ׳יה</w:t>
      </w:r>
      <w:bookmarkStart w:id="210" w:name="_fnr154"/>
      <w:proofErr w:type="spellEnd"/>
      <w:r>
        <w:rPr>
          <w:rStyle w:val="a5"/>
        </w:rPr>
        <w:footnoteReference w:id="154" w:customMarkFollows="0"/>
      </w:r>
      <w:bookmarkEnd w:id="210"/>
      <w:r>
        <w:rPr>
          <w:rtl/>
        </w:rPr>
        <w:t xml:space="preserve">”. המידע הביוגרפי שבמאמר הושג בריאיון עם אבי ונרשם “שנים רבות קודם לכן”. דודתי דבורה, שהתכתבה עמי, הזכירה את </w:t>
      </w:r>
      <w:proofErr w:type="spellStart"/>
      <w:r>
        <w:rPr>
          <w:rtl/>
        </w:rPr>
        <w:t>איזבישצ׳יה</w:t>
      </w:r>
      <w:proofErr w:type="spellEnd"/>
      <w:r>
        <w:rPr>
          <w:rtl/>
        </w:rPr>
        <w:t xml:space="preserve"> ועוד כפר, </w:t>
      </w:r>
      <w:proofErr w:type="spellStart"/>
      <w:r>
        <w:rPr>
          <w:rtl/>
        </w:rPr>
        <w:t>סאקוביצ׳י</w:t>
      </w:r>
      <w:proofErr w:type="spellEnd"/>
      <w:r>
        <w:rPr>
          <w:rtl/>
        </w:rPr>
        <w:t xml:space="preserve">, כקרובים </w:t>
      </w:r>
      <w:proofErr w:type="spellStart"/>
      <w:r>
        <w:rPr>
          <w:rtl/>
        </w:rPr>
        <w:t>לקאליסקובקה</w:t>
      </w:r>
      <w:bookmarkStart w:id="211" w:name="_fnr155"/>
      <w:proofErr w:type="spellEnd"/>
      <w:r>
        <w:rPr>
          <w:rStyle w:val="a5"/>
        </w:rPr>
        <w:footnoteReference w:id="155" w:customMarkFollows="0"/>
      </w:r>
      <w:bookmarkEnd w:id="211"/>
      <w:r>
        <w:rPr>
          <w:rtl/>
        </w:rPr>
        <w:t>.</w:t>
      </w:r>
    </w:p>
    <w:p w14:paraId="4D638BA3" w14:textId="77777777" w:rsidR="00AB3647" w:rsidRDefault="00000000" w:rsidP="007923E9">
      <w:pPr>
        <w:spacing w:after="100" w:line="276" w:lineRule="auto"/>
        <w:ind w:firstLine="340"/>
        <w:jc w:val="both"/>
      </w:pPr>
      <w:r>
        <w:rPr>
          <w:rtl/>
        </w:rPr>
        <w:t xml:space="preserve">במאמר בספר “אש תמיד – יזכור </w:t>
      </w:r>
      <w:proofErr w:type="spellStart"/>
      <w:r>
        <w:rPr>
          <w:rtl/>
        </w:rPr>
        <w:t>לדולהינוב</w:t>
      </w:r>
      <w:proofErr w:type="spellEnd"/>
      <w:r>
        <w:rPr>
          <w:rtl/>
        </w:rPr>
        <w:t xml:space="preserve">”, שהוציא לאור ארגון יוצאי </w:t>
      </w:r>
      <w:proofErr w:type="spellStart"/>
      <w:r>
        <w:rPr>
          <w:rtl/>
        </w:rPr>
        <w:t>דולהינוב</w:t>
      </w:r>
      <w:proofErr w:type="spellEnd"/>
      <w:r>
        <w:rPr>
          <w:rtl/>
        </w:rPr>
        <w:t xml:space="preserve"> בישראל בלי ציון שנה (להלן: “אש תמיד”)</w:t>
      </w:r>
      <w:bookmarkStart w:id="212" w:name="_fnr156"/>
      <w:r>
        <w:rPr>
          <w:rStyle w:val="a5"/>
        </w:rPr>
        <w:footnoteReference w:id="156" w:customMarkFollows="0"/>
      </w:r>
      <w:bookmarkEnd w:id="212"/>
      <w:r>
        <w:rPr>
          <w:rtl/>
        </w:rPr>
        <w:t xml:space="preserve">, מונה הרצל </w:t>
      </w:r>
      <w:proofErr w:type="spellStart"/>
      <w:r>
        <w:rPr>
          <w:rtl/>
        </w:rPr>
        <w:t>גיטלסון</w:t>
      </w:r>
      <w:proofErr w:type="spellEnd"/>
      <w:r>
        <w:rPr>
          <w:rtl/>
        </w:rPr>
        <w:t xml:space="preserve"> כמה אחוזות בסביבות </w:t>
      </w:r>
      <w:proofErr w:type="spellStart"/>
      <w:r>
        <w:rPr>
          <w:rtl/>
        </w:rPr>
        <w:t>דולהינוב</w:t>
      </w:r>
      <w:proofErr w:type="spellEnd"/>
      <w:r>
        <w:rPr>
          <w:rtl/>
        </w:rPr>
        <w:t xml:space="preserve"> שהיו בבעלות יהודים עשירים בשנות </w:t>
      </w:r>
      <w:proofErr w:type="spellStart"/>
      <w:r>
        <w:rPr>
          <w:rtl/>
        </w:rPr>
        <w:t xml:space="preserve">התר״נ</w:t>
      </w:r>
      <w:proofErr w:type="spellEnd"/>
      <w:r>
        <w:rPr>
          <w:rtl/>
        </w:rPr>
        <w:t xml:space="preserve">. המחבר יודע את שמותיהן של כמה מהאחוזות ושל כמה מבעליהן. את </w:t>
      </w:r>
      <w:proofErr w:type="spellStart"/>
      <w:r>
        <w:rPr>
          <w:rtl/>
        </w:rPr>
        <w:t>קאליסקובקה</w:t>
      </w:r>
      <w:proofErr w:type="spellEnd"/>
      <w:r>
        <w:rPr>
          <w:rtl/>
        </w:rPr>
        <w:t xml:space="preserve"> הוא מתאר בדייקנות, אבל אינו יודע את שמה ולא את שם בעליה.</w:t>
      </w:r>
    </w:p>
    <w:bookmarkStart w:id="213" w:name="b1_note15"/>
    <w:p w14:paraId="7EF0CC45" w14:textId="77777777" w:rsidR="00AB3647" w:rsidRDefault="00000000" w:rsidP="007923E9">
      <w:pPr>
        <w:spacing w:before="120" w:after="100" w:line="276" w:lineRule="auto"/>
        <w:jc w:val="both"/>
      </w:pPr>
      <w:r>
        <w:fldChar w:fldCharType="begin" w:dirty="true"/>
      </w:r>
      <w:r>
        <w:instrText>HYPERLINK \l "b1_ref15"</w:instrText>
      </w:r>
      <w:r>
        <w:fldChar w:fldCharType="separate"/>
      </w:r>
      <w:r>
        <w:rPr>
          <w:b/>
          <w:bCs/>
          <w:rtl/>
        </w:rPr>
        <w:t>15</w:t>
      </w:r>
      <w:r>
        <w:rPr>
          <w:b/>
          <w:bCs/>
        </w:rPr>
        <w:fldChar w:fldCharType="end"/>
      </w:r>
      <w:bookmarkEnd w:id="213"/>
      <w:r>
        <w:rPr>
          <w:rtl/>
        </w:rPr>
        <w:t xml:space="preserve"> חמישים וחמש שנה אחרי המאורעות המתוארים כאן ברחו לתוך היערות האלה, הידועים כיער </w:t>
      </w:r>
      <w:proofErr w:type="spellStart"/>
      <w:r>
        <w:rPr>
          <w:rtl/>
        </w:rPr>
        <w:t>נארוץ</w:t>
      </w:r>
      <w:proofErr w:type="spellEnd"/>
      <w:r>
        <w:rPr>
          <w:rtl/>
        </w:rPr>
        <w:t xml:space="preserve">׳, ניצולי מעשי הרצח של הגרמנים </w:t>
      </w:r>
      <w:proofErr w:type="spellStart"/>
      <w:r>
        <w:rPr>
          <w:rtl/>
        </w:rPr>
        <w:t>בדולהינוב</w:t>
      </w:r>
      <w:proofErr w:type="spellEnd"/>
      <w:r>
        <w:rPr>
          <w:rtl/>
        </w:rPr>
        <w:t xml:space="preserve"> ובעיירות השכנות, והצטרפו לקבוצות הפרטיזנים שם. ככל שמתקדמים מזרחה היער נעשה ביצתי יותר, וכך יכלו הפרטיזנים להיות בטוחים יותר מפני רודפיהם.</w:t>
      </w:r>
    </w:p>
    <w:p w14:paraId="76D96E05" w14:textId="3016326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גם הנהר היה מקור פרנסה שופע. מימיו השוצפים נסכרו כדי להניע את הטחנה הגדולה ואת מכונת טוויית הצמר, ובהן שירת ר׳ </w:t>
      </w:r>
      <w:proofErr w:type="spellStart"/>
      <w:r>
        <w:rPr>
          <w:rtl/>
        </w:rPr>
        <w:t>שמואל־הירש</w:t>
      </w:r>
      <w:proofErr w:type="spellEnd"/>
      <w:r>
        <w:rPr>
          <w:rtl/>
        </w:rPr>
        <w:t xml:space="preserve"> את האיכרים מן הכפרים שבסביבה. בידיו היה גם הרישיון הממשלתי לכרות עצים ולהשיטם במורד הנהר אל נהר </w:t>
      </w:r>
      <w:proofErr w:type="spellStart"/>
      <w:r>
        <w:rPr>
          <w:rtl/>
        </w:rPr>
        <w:t>וויליה</w:t>
      </w:r>
      <w:proofErr w:type="spellEnd"/>
      <w:r>
        <w:rPr>
          <w:rtl/>
        </w:rPr>
        <w:t>, ומשם בנהר נמן</w:t>
      </w:r>
      <w:bookmarkStart w:id="214" w:name="b1_ref16"/>
      <w:bookmarkEnd w:id="214"/>
      <w:r>
        <w:rPr>
          <w:vertAlign w:val="superscript"/>
          <w:rtl/>
        </w:rPr>
        <w:fldChar w:fldCharType="begin" w:dirty="true"/>
      </w:r>
      <w:r>
        <w:rPr>
          <w:vertAlign w:val="superscript"/>
          <w:rtl/>
        </w:rPr>
        <w:instrText xml:space="preserve"> REF b1_note16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אל הים הבלטי, סמוך לנמל הגרמני ממל. ובכל רגע פנוי ישב עם ספר ולמד. הוא נודע כתלמיד חכם מופלג, שכן בכל פעם שהתעוררה שאלה הלכתית קשה, היה רב </w:t>
      </w:r>
      <w:proofErr w:type="spellStart"/>
      <w:r>
        <w:rPr>
          <w:rtl/>
        </w:rPr>
        <w:t>דולהינוב</w:t>
      </w:r>
      <w:proofErr w:type="spellEnd"/>
      <w:r>
        <w:rPr>
          <w:rtl/>
        </w:rPr>
        <w:t xml:space="preserve">, ר׳ </w:t>
      </w:r>
      <w:proofErr w:type="spellStart"/>
      <w:r>
        <w:rPr>
          <w:rtl/>
        </w:rPr>
        <w:t>יעקב־אברהם</w:t>
      </w:r>
      <w:proofErr w:type="spellEnd"/>
      <w:r>
        <w:rPr>
          <w:rtl/>
        </w:rPr>
        <w:t>, נועץ בו</w:t>
      </w:r>
      <w:bookmarkStart w:id="215" w:name="b1_ref17"/>
      <w:bookmarkEnd w:id="215"/>
      <w:r>
        <w:rPr>
          <w:vertAlign w:val="superscript"/>
          <w:rtl/>
        </w:rPr>
        <w:fldChar w:fldCharType="begin" w:dirty="true"/>
      </w:r>
      <w:r>
        <w:rPr>
          <w:vertAlign w:val="superscript"/>
          <w:rtl/>
        </w:rPr>
        <w:instrText xml:space="preserve"> REF b1_note17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w:t>
      </w:r>
    </w:p>
    <w:bookmarkStart w:id="216" w:name="b1_note16"/>
    <w:p w14:paraId="0E5EB8DF" w14:textId="5E97ED22" w:rsidR="00AB3647" w:rsidRDefault="00000000" w:rsidP="007923E9">
      <w:pPr>
        <w:spacing w:before="120" w:after="100" w:line="276" w:lineRule="auto"/>
        <w:jc w:val="both"/>
      </w:pPr>
      <w:r>
        <w:lastRenderedPageBreak/>
        <w:fldChar w:fldCharType="begin" w:dirty="true"/>
      </w:r>
      <w:r>
        <w:instrText>HYPERLINK \l "b1_ref16"</w:instrText>
      </w:r>
      <w:r>
        <w:fldChar w:fldCharType="separate"/>
      </w:r>
      <w:r>
        <w:rPr>
          <w:b/>
          <w:bCs/>
          <w:rtl/>
        </w:rPr>
        <w:t>16</w:t>
      </w:r>
      <w:r>
        <w:rPr>
          <w:b/>
          <w:bCs/>
        </w:rPr>
        <w:fldChar w:fldCharType="end"/>
      </w:r>
      <w:bookmarkEnd w:id="216"/>
      <w:r>
        <w:rPr>
          <w:rtl/>
        </w:rPr>
        <w:t xml:space="preserve"> ראה פרק 3, הערה </w:t>
      </w:r>
      <w:r>
        <w:rPr>
          <w:rtl/>
        </w:rPr>
        <w:fldChar w:fldCharType="begin" w:dirty="true"/>
      </w:r>
      <w:r>
        <w:rPr>
          <w:rtl/>
        </w:rPr>
        <w:instrText xml:space="preserve"> REF b3_note5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5 </w:t>
      </w:r>
      <w:r>
        <w:rPr>
          <w:rtl/>
        </w:rPr>
        <w:fldChar w:fldCharType="end"/>
      </w:r>
      <w:r>
        <w:rPr>
          <w:rtl/>
        </w:rPr>
        <w:t>.</w:t>
      </w:r>
    </w:p>
    <w:bookmarkStart w:id="217" w:name="b1_note17"/>
    <w:p w14:paraId="62E6EAA6" w14:textId="77777777" w:rsidR="00AB3647" w:rsidRDefault="00000000" w:rsidP="007923E9">
      <w:pPr>
        <w:spacing w:before="120" w:after="100" w:line="276" w:lineRule="auto"/>
        <w:jc w:val="both"/>
      </w:pPr>
      <w:r>
        <w:fldChar w:fldCharType="begin" w:dirty="true"/>
      </w:r>
      <w:r>
        <w:instrText>HYPERLINK \l "b1_ref17"</w:instrText>
      </w:r>
      <w:r>
        <w:fldChar w:fldCharType="separate"/>
      </w:r>
      <w:r>
        <w:rPr>
          <w:b/>
          <w:bCs/>
          <w:rtl/>
        </w:rPr>
        <w:t>17</w:t>
      </w:r>
      <w:r>
        <w:rPr>
          <w:b/>
          <w:bCs/>
        </w:rPr>
        <w:fldChar w:fldCharType="end"/>
      </w:r>
      <w:bookmarkEnd w:id="217"/>
      <w:r>
        <w:rPr>
          <w:rtl/>
        </w:rPr>
        <w:t xml:space="preserve">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218" w:name="_fnr157"/>
      <w:r>
        <w:rPr>
          <w:rStyle w:val="a5"/>
        </w:rPr>
        <w:footnoteReference w:id="157" w:customMarkFollows="0"/>
      </w:r>
      <w:bookmarkEnd w:id="218"/>
      <w:r>
        <w:rPr>
          <w:rtl/>
        </w:rPr>
        <w:t xml:space="preserve"> מזכיר עובדה זו בלי לנקוב בשם הרב. שמו מופיע </w:t>
      </w:r>
      <w:proofErr w:type="spellStart"/>
      <w:r>
        <w:rPr>
          <w:rtl/>
        </w:rPr>
        <w:t>ב“אש</w:t>
      </w:r>
      <w:proofErr w:type="spellEnd"/>
      <w:r>
        <w:rPr>
          <w:rtl/>
        </w:rPr>
        <w:t xml:space="preserve"> תמיד”</w:t>
      </w:r>
      <w:bookmarkStart w:id="219" w:name="_fnr158"/>
      <w:r>
        <w:rPr>
          <w:rStyle w:val="a5"/>
        </w:rPr>
        <w:footnoteReference w:id="158" w:customMarkFollows="0"/>
      </w:r>
      <w:bookmarkEnd w:id="219"/>
      <w:r>
        <w:rPr>
          <w:rtl/>
        </w:rPr>
        <w:t>.</w:t>
      </w:r>
    </w:p>
    <w:p w14:paraId="4FC4BF84" w14:textId="42F74E9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שמואל־הירש</w:t>
      </w:r>
      <w:proofErr w:type="spellEnd"/>
      <w:r>
        <w:rPr>
          <w:rtl/>
        </w:rPr>
        <w:t xml:space="preserve"> ניהל את עסקיו הנרחבים בחקלאות ובכריתת עצים בעזרת בניו הבוגרים, ישראל־יצחק</w:t>
      </w:r>
      <w:bookmarkStart w:id="220" w:name="b1_ref18"/>
      <w:bookmarkEnd w:id="220"/>
      <w:r>
        <w:rPr>
          <w:vertAlign w:val="superscript"/>
          <w:rtl/>
        </w:rPr>
        <w:fldChar w:fldCharType="begin" w:dirty="true"/>
      </w:r>
      <w:r>
        <w:rPr>
          <w:vertAlign w:val="superscript"/>
          <w:rtl/>
        </w:rPr>
        <w:instrText xml:space="preserve"> REF b1_note18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ואברהם־משה</w:t>
      </w:r>
      <w:bookmarkStart w:id="221" w:name="b1_ref19"/>
      <w:bookmarkEnd w:id="221"/>
      <w:r>
        <w:rPr>
          <w:vertAlign w:val="superscript"/>
          <w:rtl/>
        </w:rPr>
        <w:fldChar w:fldCharType="begin" w:dirty="true"/>
      </w:r>
      <w:r>
        <w:rPr>
          <w:vertAlign w:val="superscript"/>
          <w:rtl/>
        </w:rPr>
        <w:instrText xml:space="preserve"> REF b1_note19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ובעזרת פועלים גויים מן הסביבה</w:t>
      </w:r>
      <w:bookmarkStart w:id="222" w:name="b1_ref20"/>
      <w:bookmarkEnd w:id="222"/>
      <w:r>
        <w:rPr>
          <w:vertAlign w:val="superscript"/>
          <w:rtl/>
        </w:rPr>
        <w:fldChar w:fldCharType="begin" w:dirty="true"/>
      </w:r>
      <w:r>
        <w:rPr>
          <w:vertAlign w:val="superscript"/>
          <w:rtl/>
        </w:rPr>
        <w:instrText xml:space="preserve"> REF b1_note20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בנו בנימין היה מבוגר </w:t>
      </w:r>
      <w:proofErr w:type="spellStart"/>
      <w:r>
        <w:rPr>
          <w:rtl/>
        </w:rPr>
        <w:t>מאברהם־משה</w:t>
      </w:r>
      <w:proofErr w:type="spellEnd"/>
      <w:r>
        <w:rPr>
          <w:rtl/>
        </w:rPr>
        <w:t xml:space="preserve"> בשלוש שנים, אבל לא יכול היה לעשות עבודת כפיים קשה, משום שצד אחד של גופו שותק בנעוריו מחמת מחלת האבעבועות השחורות, שהייתה נפוצה אז</w:t>
      </w:r>
      <w:bookmarkStart w:id="223" w:name="b1_ref21"/>
      <w:bookmarkEnd w:id="223"/>
      <w:r>
        <w:rPr>
          <w:vertAlign w:val="superscript"/>
          <w:rtl/>
        </w:rPr>
        <w:fldChar w:fldCharType="begin" w:dirty="true"/>
      </w:r>
      <w:r>
        <w:rPr>
          <w:vertAlign w:val="superscript"/>
          <w:rtl/>
        </w:rPr>
        <w:instrText xml:space="preserve"> REF b1_note21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עם זאת היה מעורב בעבודת טוויית הצמר, ורכב עם אביו אל היער ולמד לבחור את העצים המעולים ביותר לכריתה. אחרי לידת שלושת הבנים זכה ר׳ </w:t>
      </w:r>
      <w:proofErr w:type="spellStart"/>
      <w:r>
        <w:rPr>
          <w:rtl/>
        </w:rPr>
        <w:t>שמואל־הירש</w:t>
      </w:r>
      <w:proofErr w:type="spellEnd"/>
      <w:r>
        <w:rPr>
          <w:rtl/>
        </w:rPr>
        <w:t xml:space="preserve"> לעוד חמישה ילדים – שני בנים ושלוש בנות</w:t>
      </w:r>
      <w:bookmarkStart w:id="224" w:name="b1_ref22"/>
      <w:bookmarkEnd w:id="224"/>
      <w:r>
        <w:rPr>
          <w:vertAlign w:val="superscript"/>
          <w:rtl/>
        </w:rPr>
        <w:fldChar w:fldCharType="begin" w:dirty="true"/>
      </w:r>
      <w:r>
        <w:rPr>
          <w:vertAlign w:val="superscript"/>
          <w:rtl/>
        </w:rPr>
        <w:instrText xml:space="preserve"> REF b1_note22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w:t>
      </w:r>
    </w:p>
    <w:bookmarkStart w:id="225" w:name="b1_note18"/>
    <w:p w14:paraId="49F4034B" w14:textId="77777777" w:rsidR="00AB3647" w:rsidRDefault="00000000" w:rsidP="007923E9">
      <w:pPr>
        <w:spacing w:before="120" w:after="100" w:line="276" w:lineRule="auto"/>
        <w:jc w:val="both"/>
      </w:pPr>
      <w:r>
        <w:fldChar w:fldCharType="begin" w:dirty="true"/>
      </w:r>
      <w:r>
        <w:instrText>HYPERLINK \l "b1_ref18"</w:instrText>
      </w:r>
      <w:r>
        <w:fldChar w:fldCharType="separate"/>
      </w:r>
      <w:r>
        <w:rPr>
          <w:b/>
          <w:bCs/>
          <w:rtl/>
        </w:rPr>
        <w:t>18</w:t>
      </w:r>
      <w:r>
        <w:rPr>
          <w:b/>
          <w:bCs/>
        </w:rPr>
        <w:fldChar w:fldCharType="end"/>
      </w:r>
      <w:bookmarkEnd w:id="225"/>
      <w:r>
        <w:rPr>
          <w:rtl/>
        </w:rPr>
        <w:t xml:space="preserve"> הוא נולד בתחילת שנת תר״כ ונפטר בשנת תש״ב ברוסיה האסייתית, שאליה פונה מפני הפלישה הגרמנית לרוסיה בקיץ תש״א.</w:t>
      </w:r>
    </w:p>
    <w:p w14:paraId="312F3401" w14:textId="77777777" w:rsidR="00AB3647" w:rsidRDefault="00000000" w:rsidP="007923E9">
      <w:pPr>
        <w:spacing w:before="120" w:after="100" w:line="276" w:lineRule="auto"/>
        <w:jc w:val="both"/>
      </w:pPr>
      <w:r>
        <w:rPr>
          <w:rtl/>
        </w:rPr>
        <w:t xml:space="preserve">אני סבור שאשתו של </w:t>
      </w:r>
      <w:proofErr w:type="spellStart"/>
      <w:r>
        <w:rPr>
          <w:rtl/>
        </w:rPr>
        <w:t>ישראל־יצחק</w:t>
      </w:r>
      <w:proofErr w:type="spellEnd"/>
      <w:r>
        <w:rPr>
          <w:rtl/>
        </w:rPr>
        <w:t xml:space="preserve"> ואחד מבניו עברו לאמריקה זמן מה לפני שנת תרצ״ז, שכן בשיחה מוקלטת על המאורעות </w:t>
      </w:r>
      <w:proofErr w:type="spellStart"/>
      <w:r>
        <w:rPr>
          <w:rtl/>
        </w:rPr>
        <w:t>ההשגחתיים</w:t>
      </w:r>
      <w:proofErr w:type="spellEnd"/>
      <w:r>
        <w:rPr>
          <w:rtl/>
        </w:rPr>
        <w:t xml:space="preserve"> שהביאו להצלת משפחתו מן השואה</w:t>
      </w:r>
      <w:bookmarkStart w:id="226" w:name="_fnr159"/>
      <w:r>
        <w:rPr>
          <w:rStyle w:val="a5"/>
        </w:rPr>
        <w:footnoteReference w:id="159" w:customMarkFollows="0"/>
      </w:r>
      <w:bookmarkEnd w:id="226"/>
      <w:r>
        <w:rPr>
          <w:rtl/>
        </w:rPr>
        <w:t xml:space="preserve"> הזכיר אבי “דודה ובן דוד” </w:t>
      </w:r>
      <w:proofErr w:type="spellStart"/>
      <w:r>
        <w:rPr>
          <w:rtl/>
        </w:rPr>
        <w:t>ש“בתוך</w:t>
      </w:r>
      <w:proofErr w:type="spellEnd"/>
      <w:r>
        <w:rPr>
          <w:rtl/>
        </w:rPr>
        <w:t xml:space="preserve"> חודש מבואי מאירופה באו לבקר אותי במלון שבו התאכסנתי”. בת זוגו של </w:t>
      </w:r>
      <w:proofErr w:type="spellStart"/>
      <w:r>
        <w:rPr>
          <w:rtl/>
        </w:rPr>
        <w:t>ישראל־יצחק</w:t>
      </w:r>
      <w:proofErr w:type="spellEnd"/>
      <w:r>
        <w:rPr>
          <w:rtl/>
        </w:rPr>
        <w:t xml:space="preserve"> היא הדודה היחידה שאין לנו עליה ידיעה אחרת, ולכן ודאי היא זו שנפרדה מבעלה ובאה לאמריקה, והיא ובנה הם שאבי הזמין לבקרו כשהגיע לראשונה ליבשת צפון אמריקה.</w:t>
      </w:r>
    </w:p>
    <w:bookmarkStart w:id="227" w:name="b1_note19"/>
    <w:p w14:paraId="7AEAE972" w14:textId="77777777" w:rsidR="00AB3647" w:rsidRDefault="00000000" w:rsidP="007923E9">
      <w:pPr>
        <w:spacing w:before="120" w:after="100" w:line="276" w:lineRule="auto"/>
        <w:jc w:val="both"/>
      </w:pPr>
      <w:r>
        <w:fldChar w:fldCharType="begin" w:dirty="true"/>
      </w:r>
      <w:r>
        <w:instrText>HYPERLINK \l "b1_ref19"</w:instrText>
      </w:r>
      <w:r>
        <w:fldChar w:fldCharType="separate"/>
      </w:r>
      <w:r>
        <w:rPr>
          <w:b/>
          <w:bCs/>
          <w:rtl/>
        </w:rPr>
        <w:t>19</w:t>
      </w:r>
      <w:r>
        <w:rPr>
          <w:b/>
          <w:bCs/>
        </w:rPr>
        <w:fldChar w:fldCharType="end"/>
      </w:r>
      <w:bookmarkEnd w:id="227"/>
      <w:r>
        <w:rPr>
          <w:rtl/>
        </w:rPr>
        <w:t xml:space="preserve"> הוא נולד בשנת תרכ״ה. בזמן הכיבוש הגרמני לא יכלו עוד הזקן ואשתו, </w:t>
      </w:r>
      <w:proofErr w:type="spellStart"/>
      <w:r>
        <w:rPr>
          <w:rtl/>
        </w:rPr>
        <w:t>עטיל</w:t>
      </w:r>
      <w:proofErr w:type="spellEnd"/>
      <w:r>
        <w:rPr>
          <w:rtl/>
        </w:rPr>
        <w:t xml:space="preserve">, לשאת את הרעב והסבל בגטו מינסק, שבו היו כלואים, ושמו קץ לייסוריהם כשהשליכו את עצמם לנהר </w:t>
      </w:r>
      <w:proofErr w:type="spellStart"/>
      <w:r>
        <w:rPr>
          <w:rtl/>
        </w:rPr>
        <w:t>סביסלוץ</w:t>
      </w:r>
      <w:proofErr w:type="spellEnd"/>
      <w:r>
        <w:rPr>
          <w:rtl/>
        </w:rPr>
        <w:t>׳.</w:t>
      </w:r>
    </w:p>
    <w:bookmarkStart w:id="228" w:name="b1_note20"/>
    <w:p w14:paraId="210AA783" w14:textId="77777777" w:rsidR="00AB3647" w:rsidRDefault="00000000" w:rsidP="007923E9">
      <w:pPr>
        <w:spacing w:before="120" w:after="100" w:line="276" w:lineRule="auto"/>
        <w:jc w:val="both"/>
      </w:pPr>
      <w:r>
        <w:fldChar w:fldCharType="begin" w:dirty="true"/>
      </w:r>
      <w:r>
        <w:instrText>HYPERLINK \l "b1_ref20"</w:instrText>
      </w:r>
      <w:r>
        <w:fldChar w:fldCharType="separate"/>
      </w:r>
      <w:r>
        <w:rPr>
          <w:b/>
          <w:bCs/>
          <w:rtl/>
        </w:rPr>
        <w:t>20</w:t>
      </w:r>
      <w:r>
        <w:rPr>
          <w:b/>
          <w:bCs/>
        </w:rPr>
        <w:fldChar w:fldCharType="end"/>
      </w:r>
      <w:bookmarkEnd w:id="228"/>
      <w:r>
        <w:rPr>
          <w:rtl/>
        </w:rPr>
        <w:t xml:space="preserve"> ר׳ </w:t>
      </w:r>
      <w:proofErr w:type="spellStart"/>
      <w:r>
        <w:rPr>
          <w:rtl/>
        </w:rPr>
        <w:t>שמואל־הירש</w:t>
      </w:r>
      <w:proofErr w:type="spellEnd"/>
      <w:r>
        <w:rPr>
          <w:rtl/>
        </w:rPr>
        <w:t xml:space="preserve"> השתדל ככל יכולתו שהעבודה תישאר בידי בני הבית. במשפחה הוקירו את תשובתו בת השורה האחת לכלתו </w:t>
      </w:r>
      <w:proofErr w:type="spellStart"/>
      <w:r>
        <w:rPr>
          <w:rtl/>
        </w:rPr>
        <w:t>עטיל</w:t>
      </w:r>
      <w:proofErr w:type="spellEnd"/>
      <w:r>
        <w:rPr>
          <w:rtl/>
        </w:rPr>
        <w:t>, אשת בנימין, כשהתלוננה שהחלב מחמיץ והציעה שישתלם להחכיר את הרפת לאדם מבחוץ: “מוטב שהחלבן [</w:t>
      </w:r>
      <w:proofErr w:type="spellStart"/>
      <w:r>
        <w:rPr>
          <w:rtl/>
        </w:rPr>
        <w:t>דער</w:t>
      </w:r>
      <w:proofErr w:type="spellEnd"/>
      <w:r>
        <w:rPr>
          <w:rtl/>
        </w:rPr>
        <w:t xml:space="preserve"> </w:t>
      </w:r>
      <w:proofErr w:type="spellStart"/>
      <w:r>
        <w:rPr>
          <w:rtl/>
        </w:rPr>
        <w:t>מילכיגער</w:t>
      </w:r>
      <w:proofErr w:type="spellEnd"/>
      <w:r>
        <w:rPr>
          <w:rtl/>
        </w:rPr>
        <w:t>] יאכל את מה שמותירים ילדיי, ולא להפך”.</w:t>
      </w:r>
    </w:p>
    <w:bookmarkStart w:id="229" w:name="b1_note21"/>
    <w:p w14:paraId="30C9120D" w14:textId="77777777" w:rsidR="00AB3647" w:rsidRDefault="00000000" w:rsidP="007923E9">
      <w:pPr>
        <w:spacing w:before="120" w:after="100" w:line="276" w:lineRule="auto"/>
        <w:jc w:val="both"/>
      </w:pPr>
      <w:r>
        <w:fldChar w:fldCharType="begin" w:dirty="true"/>
      </w:r>
      <w:r>
        <w:instrText>HYPERLINK \l "b1_ref21"</w:instrText>
      </w:r>
      <w:r>
        <w:fldChar w:fldCharType="separate"/>
      </w:r>
      <w:r>
        <w:rPr>
          <w:b/>
          <w:bCs/>
          <w:rtl/>
        </w:rPr>
        <w:t>21</w:t>
      </w:r>
      <w:r>
        <w:rPr>
          <w:b/>
          <w:bCs/>
        </w:rPr>
        <w:fldChar w:fldCharType="end"/>
      </w:r>
      <w:bookmarkEnd w:id="229"/>
      <w:r>
        <w:rPr>
          <w:rtl/>
        </w:rPr>
        <w:t xml:space="preserve"> בשנת תרל״ו פרצה מגפת אבעבועות שחורות, ובה מת המתמטיקאי המבריק ליפמן ליפקין, בן שלושים, בנו של ר׳ ישראל </w:t>
      </w:r>
      <w:proofErr w:type="spellStart"/>
      <w:r>
        <w:rPr>
          <w:rtl/>
        </w:rPr>
        <w:t>סלנטר</w:t>
      </w:r>
      <w:bookmarkStart w:id="230" w:name="_fnr160"/>
      <w:proofErr w:type="spellEnd"/>
      <w:r>
        <w:rPr>
          <w:rStyle w:val="a5"/>
        </w:rPr>
        <w:footnoteReference w:id="160" w:customMarkFollows="0"/>
      </w:r>
      <w:bookmarkEnd w:id="230"/>
      <w:r>
        <w:rPr>
          <w:rtl/>
        </w:rPr>
        <w:t xml:space="preserve">. ייתכן שזו המגפה שהטילה מום בר׳ בנימין </w:t>
      </w:r>
      <w:proofErr w:type="spellStart"/>
      <w:r>
        <w:rPr>
          <w:rtl/>
        </w:rPr>
        <w:t>קמינצקי</w:t>
      </w:r>
      <w:proofErr w:type="spellEnd"/>
      <w:r>
        <w:rPr>
          <w:rtl/>
        </w:rPr>
        <w:t xml:space="preserve"> בגיל </w:t>
      </w:r>
      <w:proofErr w:type="spellStart"/>
      <w:r>
        <w:rPr>
          <w:rtl/>
        </w:rPr>
        <w:t>שש־עשרה</w:t>
      </w:r>
      <w:proofErr w:type="spellEnd"/>
      <w:r>
        <w:rPr>
          <w:rtl/>
        </w:rPr>
        <w:t>.</w:t>
      </w:r>
    </w:p>
    <w:bookmarkStart w:id="231" w:name="b1_note22"/>
    <w:p w14:paraId="2CC63ED0" w14:textId="77777777" w:rsidR="00AB3647" w:rsidRDefault="00000000" w:rsidP="007923E9">
      <w:pPr>
        <w:spacing w:before="120" w:after="100" w:line="276" w:lineRule="auto"/>
        <w:jc w:val="both"/>
      </w:pPr>
      <w:r>
        <w:lastRenderedPageBreak/>
        <w:fldChar w:fldCharType="begin" w:dirty="true"/>
      </w:r>
      <w:r>
        <w:instrText>HYPERLINK \l "b1_ref22"</w:instrText>
      </w:r>
      <w:r>
        <w:fldChar w:fldCharType="separate"/>
      </w:r>
      <w:r>
        <w:rPr>
          <w:b/>
          <w:bCs/>
          <w:rtl/>
        </w:rPr>
        <w:t>22</w:t>
      </w:r>
      <w:r>
        <w:rPr>
          <w:b/>
          <w:bCs/>
        </w:rPr>
        <w:fldChar w:fldCharType="end"/>
      </w:r>
      <w:bookmarkEnd w:id="231"/>
      <w:r>
        <w:rPr>
          <w:rtl/>
        </w:rPr>
        <w:t xml:space="preserve"> שיינה (ילידת תרכ״ח, נשואה </w:t>
      </w:r>
      <w:proofErr w:type="spellStart"/>
      <w:r>
        <w:rPr>
          <w:rtl/>
        </w:rPr>
        <w:t>לר</w:t>
      </w:r>
      <w:proofErr w:type="spellEnd"/>
      <w:r>
        <w:rPr>
          <w:rtl/>
        </w:rPr>
        <w:t xml:space="preserve">׳ </w:t>
      </w:r>
      <w:proofErr w:type="spellStart"/>
      <w:r>
        <w:rPr>
          <w:rtl/>
        </w:rPr>
        <w:t>חיים־אליהו</w:t>
      </w:r>
      <w:proofErr w:type="spellEnd"/>
      <w:r>
        <w:rPr>
          <w:rtl/>
        </w:rPr>
        <w:t xml:space="preserve"> </w:t>
      </w:r>
      <w:proofErr w:type="spellStart"/>
      <w:r>
        <w:rPr>
          <w:rtl/>
        </w:rPr>
        <w:t>קאפילביץ</w:t>
      </w:r>
      <w:proofErr w:type="spellEnd"/>
      <w:r>
        <w:rPr>
          <w:rtl/>
        </w:rPr>
        <w:t xml:space="preserve">׳, נהרגה עם בעלה, שתי בנותיה, חתניה וארבעה מנכדיה בגטו מינסק); דבורה (ילידת תרל״א, נישאה </w:t>
      </w:r>
      <w:proofErr w:type="spellStart"/>
      <w:r>
        <w:rPr>
          <w:rtl/>
        </w:rPr>
        <w:t>לר</w:t>
      </w:r>
      <w:proofErr w:type="spellEnd"/>
      <w:r>
        <w:rPr>
          <w:rtl/>
        </w:rPr>
        <w:t xml:space="preserve">׳ גרשון </w:t>
      </w:r>
      <w:proofErr w:type="spellStart"/>
      <w:r>
        <w:rPr>
          <w:rtl/>
        </w:rPr>
        <w:t>במדס</w:t>
      </w:r>
      <w:proofErr w:type="spellEnd"/>
      <w:r>
        <w:rPr>
          <w:rtl/>
        </w:rPr>
        <w:t xml:space="preserve">, נפטרה תרפ״ה); יודה (יליד תרל״ד, נפטר תרנ״ד); ראשה (ילידת תרל״ז, נפטרה תשכ״ט); </w:t>
      </w:r>
      <w:proofErr w:type="spellStart"/>
      <w:r>
        <w:rPr>
          <w:rtl/>
        </w:rPr>
        <w:t>וחאצה</w:t>
      </w:r>
      <w:proofErr w:type="spellEnd"/>
      <w:r>
        <w:rPr>
          <w:rtl/>
        </w:rPr>
        <w:t xml:space="preserve"> (יליד תרמ״ג, נפטר תש״ו בניו יורק).</w:t>
      </w:r>
    </w:p>
    <w:p w14:paraId="4C646CFB" w14:textId="3F7410E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אף שאביו היה עשיר, התקשה בנימין למצוא שידוך</w:t>
      </w:r>
      <w:bookmarkStart w:id="232" w:name="b1_ref23"/>
      <w:bookmarkEnd w:id="232"/>
      <w:r>
        <w:rPr>
          <w:vertAlign w:val="superscript"/>
          <w:rtl/>
        </w:rPr>
        <w:fldChar w:fldCharType="begin" w:dirty="true"/>
      </w:r>
      <w:r>
        <w:rPr>
          <w:vertAlign w:val="superscript"/>
          <w:rtl/>
        </w:rPr>
        <w:instrText xml:space="preserve"> REF b1_note23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בגלל צליעתו. גם </w:t>
      </w:r>
      <w:proofErr w:type="spellStart"/>
      <w:r>
        <w:rPr>
          <w:rtl/>
        </w:rPr>
        <w:t>לעטיל</w:t>
      </w:r>
      <w:proofErr w:type="spellEnd"/>
      <w:r>
        <w:rPr>
          <w:rtl/>
        </w:rPr>
        <w:t xml:space="preserve"> דנציג, אף שמשפחתה נהנתה משם טוב </w:t>
      </w:r>
      <w:proofErr w:type="spellStart"/>
      <w:r>
        <w:rPr>
          <w:rtl/>
        </w:rPr>
        <w:t>בדולהינוב</w:t>
      </w:r>
      <w:proofErr w:type="spellEnd"/>
      <w:r>
        <w:rPr>
          <w:rtl/>
        </w:rPr>
        <w:t>, לא היו מחזרים רבים שתוכל לבחור ביניהם, משום שהייתה יתומה. אבל הפגם שבכל אחד מהם היה רק בעיני השדכן: הם היו זוג מושלם</w:t>
      </w:r>
      <w:bookmarkStart w:id="233" w:name="b1_ref24"/>
      <w:bookmarkEnd w:id="233"/>
      <w:r>
        <w:rPr>
          <w:vertAlign w:val="superscript"/>
          <w:rtl/>
        </w:rPr>
        <w:fldChar w:fldCharType="begin" w:dirty="true"/>
      </w:r>
      <w:r>
        <w:rPr>
          <w:vertAlign w:val="superscript"/>
          <w:rtl/>
        </w:rPr>
        <w:instrText xml:space="preserve"> REF b1_note24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ועתידים היו לשמש לילדיהם דוגמה לנישואים הרמוניים</w:t>
      </w:r>
      <w:bookmarkStart w:id="234" w:name="b1_ref25"/>
      <w:bookmarkEnd w:id="234"/>
      <w:r>
        <w:rPr>
          <w:vertAlign w:val="superscript"/>
          <w:rtl/>
        </w:rPr>
        <w:fldChar w:fldCharType="begin" w:dirty="true"/>
      </w:r>
      <w:r>
        <w:rPr>
          <w:vertAlign w:val="superscript"/>
          <w:rtl/>
        </w:rPr>
        <w:instrText xml:space="preserve"> REF b1_note25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w:t>
      </w:r>
      <w:proofErr w:type="spellStart"/>
      <w:r>
        <w:rPr>
          <w:rtl/>
        </w:rPr>
        <w:t>עטיל</w:t>
      </w:r>
      <w:proofErr w:type="spellEnd"/>
      <w:r>
        <w:rPr>
          <w:rtl/>
        </w:rPr>
        <w:t xml:space="preserve"> שמחה לעבור עם בעלה </w:t>
      </w:r>
      <w:proofErr w:type="spellStart"/>
      <w:r>
        <w:rPr>
          <w:rtl/>
        </w:rPr>
        <w:t>לקאליסקובקה</w:t>
      </w:r>
      <w:proofErr w:type="spellEnd"/>
      <w:r>
        <w:rPr>
          <w:rtl/>
        </w:rPr>
        <w:t>, משום שגל הפרעות שפקד את קהילות היהודים ברוסיה באותו עשור</w:t>
      </w:r>
      <w:bookmarkStart w:id="235" w:name="b1_ref26"/>
      <w:bookmarkEnd w:id="235"/>
      <w:r>
        <w:rPr>
          <w:vertAlign w:val="superscript"/>
          <w:rtl/>
        </w:rPr>
        <w:fldChar w:fldCharType="begin" w:dirty="true"/>
      </w:r>
      <w:r>
        <w:rPr>
          <w:vertAlign w:val="superscript"/>
          <w:rtl/>
        </w:rPr>
        <w:instrText xml:space="preserve"> REF b1_note26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פגע </w:t>
      </w:r>
      <w:proofErr w:type="spellStart"/>
      <w:r>
        <w:rPr>
          <w:rtl/>
        </w:rPr>
        <w:t>בדולהינוב</w:t>
      </w:r>
      <w:proofErr w:type="spellEnd"/>
      <w:r>
        <w:rPr>
          <w:rtl/>
        </w:rPr>
        <w:t xml:space="preserve"> באותה שנה שבה נישאה, תרמ״ו.</w:t>
      </w:r>
    </w:p>
    <w:bookmarkStart w:id="236" w:name="b1_note23"/>
    <w:p w14:paraId="43B5B499" w14:textId="77777777" w:rsidR="00AB3647" w:rsidRDefault="00000000" w:rsidP="007923E9">
      <w:pPr>
        <w:spacing w:before="120" w:after="100" w:line="276" w:lineRule="auto"/>
        <w:jc w:val="both"/>
      </w:pPr>
      <w:r>
        <w:fldChar w:fldCharType="begin" w:dirty="true"/>
      </w:r>
      <w:r>
        <w:instrText>HYPERLINK \l "b1_ref23"</w:instrText>
      </w:r>
      <w:r>
        <w:fldChar w:fldCharType="separate"/>
      </w:r>
      <w:r>
        <w:rPr>
          <w:b/>
          <w:bCs/>
          <w:rtl/>
        </w:rPr>
        <w:t>23</w:t>
      </w:r>
      <w:r>
        <w:rPr>
          <w:b/>
          <w:bCs/>
        </w:rPr>
        <w:fldChar w:fldCharType="end"/>
      </w:r>
      <w:bookmarkEnd w:id="236"/>
      <w:r>
        <w:rPr>
          <w:rtl/>
        </w:rPr>
        <w:t xml:space="preserve"> להישאר רווק עד גיל עשרים ושש, כפי שעשה ר׳ בנימין, אסור בנסיבות רגילות</w:t>
      </w:r>
      <w:bookmarkStart w:id="237" w:name="_fnr161"/>
      <w:r>
        <w:rPr>
          <w:rStyle w:val="a5"/>
        </w:rPr>
        <w:footnoteReference w:id="161" w:customMarkFollows="0"/>
      </w:r>
      <w:bookmarkEnd w:id="237"/>
      <w:r>
        <w:rPr>
          <w:rtl/>
        </w:rPr>
        <w:t>.</w:t>
      </w:r>
    </w:p>
    <w:bookmarkStart w:id="238" w:name="b1_note24"/>
    <w:p w14:paraId="2CDE1C23" w14:textId="77777777" w:rsidR="00AB3647" w:rsidRDefault="00000000" w:rsidP="007923E9">
      <w:pPr>
        <w:spacing w:before="120" w:after="100" w:line="276" w:lineRule="auto"/>
        <w:jc w:val="both"/>
      </w:pPr>
      <w:r>
        <w:fldChar w:fldCharType="begin" w:dirty="true"/>
      </w:r>
      <w:r>
        <w:instrText>HYPERLINK \l "b1_ref24"</w:instrText>
      </w:r>
      <w:r>
        <w:fldChar w:fldCharType="separate"/>
      </w:r>
      <w:r>
        <w:rPr>
          <w:b/>
          <w:bCs/>
          <w:rtl/>
        </w:rPr>
        <w:t>24</w:t>
      </w:r>
      <w:r>
        <w:rPr>
          <w:b/>
          <w:bCs/>
        </w:rPr>
        <w:fldChar w:fldCharType="end"/>
      </w:r>
      <w:bookmarkEnd w:id="238"/>
      <w:r>
        <w:rPr>
          <w:rtl/>
        </w:rPr>
        <w:t xml:space="preserve"> רבקה, אחותה הגדולה של </w:t>
      </w:r>
      <w:proofErr w:type="spellStart"/>
      <w:r>
        <w:rPr>
          <w:rtl/>
        </w:rPr>
        <w:t>עטיל</w:t>
      </w:r>
      <w:proofErr w:type="spellEnd"/>
      <w:r>
        <w:rPr>
          <w:rtl/>
        </w:rPr>
        <w:t xml:space="preserve">, נישאה </w:t>
      </w:r>
      <w:proofErr w:type="spellStart"/>
      <w:r>
        <w:rPr>
          <w:rtl/>
        </w:rPr>
        <w:t>בדולהינוב</w:t>
      </w:r>
      <w:proofErr w:type="spellEnd"/>
      <w:r>
        <w:rPr>
          <w:rtl/>
        </w:rPr>
        <w:t xml:space="preserve">, ונישואיה הסתיימו בגירושין אחרי שנולדו להם שלושה ילדים. היא עזבה את העיירה עם הצעיר בילדיה והשתקעה </w:t>
      </w:r>
      <w:proofErr w:type="spellStart"/>
      <w:r>
        <w:rPr>
          <w:rtl/>
        </w:rPr>
        <w:t>בדווינסק</w:t>
      </w:r>
      <w:proofErr w:type="spellEnd"/>
      <w:r>
        <w:rPr>
          <w:rtl/>
        </w:rPr>
        <w:t xml:space="preserve">, אצל דודה ר׳ ישראל </w:t>
      </w:r>
      <w:proofErr w:type="spellStart"/>
      <w:r>
        <w:rPr>
          <w:rtl/>
        </w:rPr>
        <w:t>פוטרפס</w:t>
      </w:r>
      <w:proofErr w:type="spellEnd"/>
      <w:r>
        <w:rPr>
          <w:rtl/>
        </w:rPr>
        <w:t>. הוא הכיר לה אלמן צעיר בריגה, בירת לטביה, והיא נישאה לו וילדה לו עוד שלושה ילדים. היא וכל משפחתה נהרגו בשואה בריגה, בידי הגרמנים ומשתפי הפעולה שלהם.</w:t>
      </w:r>
    </w:p>
    <w:bookmarkStart w:id="239" w:name="b1_note25"/>
    <w:p w14:paraId="5FEA3A49" w14:textId="77777777" w:rsidR="00AB3647" w:rsidRDefault="00000000" w:rsidP="007923E9">
      <w:pPr>
        <w:spacing w:before="120" w:after="100" w:line="276" w:lineRule="auto"/>
        <w:jc w:val="both"/>
      </w:pPr>
      <w:r>
        <w:fldChar w:fldCharType="begin" w:dirty="true"/>
      </w:r>
      <w:r>
        <w:instrText>HYPERLINK \l "b1_ref25"</w:instrText>
      </w:r>
      <w:r>
        <w:fldChar w:fldCharType="separate"/>
      </w:r>
      <w:r>
        <w:rPr>
          <w:b/>
          <w:bCs/>
          <w:rtl/>
        </w:rPr>
        <w:t>25</w:t>
      </w:r>
      <w:r>
        <w:rPr>
          <w:b/>
          <w:bCs/>
        </w:rPr>
        <w:fldChar w:fldCharType="end"/>
      </w:r>
      <w:bookmarkEnd w:id="239"/>
      <w:r>
        <w:rPr>
          <w:rtl/>
        </w:rPr>
        <w:t xml:space="preserve"> כמחנך הדגיש אבי שחשוב לסדר לתלמידים הגרים בפנימיות לשבות בשבתות על שולחנה של משפחה – ולא בחדר האוכל של הישיבה – כדי שיראו במו עיניהם כיצד מתנהל בית רגיל. הוא הזכיר שהפיק תועלת רבה מכך שראה את היחסים הטובים בבית הוריו שלו.</w:t>
      </w:r>
    </w:p>
    <w:bookmarkStart w:id="240" w:name="b1_note26"/>
    <w:p w14:paraId="37CAFEFA" w14:textId="62B9DDE9" w:rsidR="00AB3647" w:rsidRDefault="00000000" w:rsidP="007923E9">
      <w:pPr>
        <w:spacing w:before="120" w:after="100" w:line="276" w:lineRule="auto"/>
        <w:jc w:val="both"/>
      </w:pPr>
      <w:r>
        <w:fldChar w:fldCharType="begin" w:dirty="true"/>
      </w:r>
      <w:r>
        <w:instrText>HYPERLINK \l "b1_ref26"</w:instrText>
      </w:r>
      <w:r>
        <w:fldChar w:fldCharType="separate"/>
      </w:r>
      <w:r>
        <w:rPr>
          <w:b/>
          <w:bCs/>
          <w:rtl/>
        </w:rPr>
        <w:t>26</w:t>
      </w:r>
      <w:r>
        <w:rPr>
          <w:b/>
          <w:bCs/>
        </w:rPr>
        <w:fldChar w:fldCharType="end"/>
      </w:r>
      <w:bookmarkEnd w:id="240"/>
      <w:r>
        <w:rPr>
          <w:rtl/>
        </w:rPr>
        <w:t xml:space="preserve"> ראה </w:t>
      </w:r>
      <w:r>
        <w:rPr>
          <w:rtl/>
        </w:rPr>
        <w:fldChar w:fldCharType="begin" w:dirty="true"/>
      </w:r>
      <w:r>
        <w:rPr>
          <w:rtl/>
        </w:rPr>
        <w:instrText xml:space="preserve"> REF b1_excA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1A48B59" w14:textId="363B0B1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שנה אחרי נישואיהם התחיל האסון להעיב על חייהם השלווים. </w:t>
      </w:r>
      <w:proofErr w:type="spellStart"/>
      <w:r>
        <w:rPr>
          <w:rtl/>
        </w:rPr>
        <w:t>אמו</w:t>
      </w:r>
      <w:proofErr w:type="spellEnd"/>
      <w:r>
        <w:rPr>
          <w:rtl/>
        </w:rPr>
        <w:t xml:space="preserve"> של ר׳ בנימין, חיה לבית שרשבסקי</w:t>
      </w:r>
      <w:bookmarkStart w:id="241" w:name="b1_ref27"/>
      <w:bookmarkEnd w:id="241"/>
      <w:r>
        <w:rPr>
          <w:vertAlign w:val="superscript"/>
          <w:rtl/>
        </w:rPr>
        <w:fldChar w:fldCharType="begin" w:dirty="true"/>
      </w:r>
      <w:r>
        <w:rPr>
          <w:vertAlign w:val="superscript"/>
          <w:rtl/>
        </w:rPr>
        <w:instrText xml:space="preserve"> REF b1_note27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אשתו האהובה של ר׳ </w:t>
      </w:r>
      <w:proofErr w:type="spellStart"/>
      <w:r>
        <w:rPr>
          <w:rtl/>
        </w:rPr>
        <w:t>שמואל־הירש</w:t>
      </w:r>
      <w:proofErr w:type="spellEnd"/>
      <w:r>
        <w:rPr>
          <w:rtl/>
        </w:rPr>
        <w:t xml:space="preserve">, חלתה בסרטן. ר׳ </w:t>
      </w:r>
      <w:proofErr w:type="spellStart"/>
      <w:r>
        <w:rPr>
          <w:rtl/>
        </w:rPr>
        <w:t>שמואל־הירש</w:t>
      </w:r>
      <w:proofErr w:type="spellEnd"/>
      <w:r>
        <w:rPr>
          <w:rtl/>
        </w:rPr>
        <w:t xml:space="preserve"> לקח אותה לווילנה אל אחיו מן האב, הרופא רוגוב</w:t>
      </w:r>
      <w:bookmarkStart w:id="242" w:name="b1_ref28"/>
      <w:bookmarkEnd w:id="242"/>
      <w:r>
        <w:rPr>
          <w:vertAlign w:val="superscript"/>
          <w:rtl/>
        </w:rPr>
        <w:fldChar w:fldCharType="begin" w:dirty="true"/>
      </w:r>
      <w:r>
        <w:rPr>
          <w:vertAlign w:val="superscript"/>
          <w:rtl/>
        </w:rPr>
        <w:instrText xml:space="preserve"> REF b1_note28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וזה הורה לקחתה לברלין לניתוח </w:t>
      </w:r>
      <w:proofErr w:type="spellStart"/>
      <w:r>
        <w:rPr>
          <w:rtl/>
        </w:rPr>
        <w:t>מיידי</w:t>
      </w:r>
      <w:proofErr w:type="spellEnd"/>
      <w:r>
        <w:rPr>
          <w:rtl/>
        </w:rPr>
        <w:t xml:space="preserve">. היא מתה שם על שולחן הניתוחים, והשאירה ילדים צעירים, שלושה מהם עדיין קטינים. למען הילדים הקטנים החליט ר׳ </w:t>
      </w:r>
      <w:proofErr w:type="spellStart"/>
      <w:r>
        <w:rPr>
          <w:rtl/>
        </w:rPr>
        <w:t>שמואל־הירש</w:t>
      </w:r>
      <w:proofErr w:type="spellEnd"/>
      <w:r>
        <w:rPr>
          <w:rtl/>
        </w:rPr>
        <w:t xml:space="preserve"> לשאת אישה שנייה.</w:t>
      </w:r>
    </w:p>
    <w:bookmarkStart w:id="243" w:name="b1_note27"/>
    <w:p w14:paraId="20829699" w14:textId="122508BC" w:rsidR="00AB3647" w:rsidRDefault="00000000" w:rsidP="007923E9">
      <w:pPr>
        <w:spacing w:before="120" w:after="100" w:line="276" w:lineRule="auto"/>
        <w:jc w:val="both"/>
      </w:pPr>
      <w:r>
        <w:fldChar w:fldCharType="begin" w:dirty="true"/>
      </w:r>
      <w:r>
        <w:instrText>HYPERLINK \l "b1_ref27"</w:instrText>
      </w:r>
      <w:r>
        <w:fldChar w:fldCharType="separate"/>
      </w:r>
      <w:r>
        <w:rPr>
          <w:b/>
          <w:bCs/>
          <w:rtl/>
        </w:rPr>
        <w:t>27</w:t>
      </w:r>
      <w:r>
        <w:rPr>
          <w:b/>
          <w:bCs/>
        </w:rPr>
        <w:fldChar w:fldCharType="end"/>
      </w:r>
      <w:bookmarkEnd w:id="243"/>
      <w:r>
        <w:rPr>
          <w:rtl/>
        </w:rPr>
        <w:t xml:space="preserve"> ראה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244" w:name="b1_note28"/>
    <w:p w14:paraId="4CD82713" w14:textId="31CCE18D" w:rsidR="00AB3647" w:rsidRDefault="00000000" w:rsidP="007923E9">
      <w:pPr>
        <w:spacing w:before="120" w:after="100" w:line="276" w:lineRule="auto"/>
        <w:jc w:val="both"/>
      </w:pPr>
      <w:r>
        <w:fldChar w:fldCharType="begin" w:dirty="true"/>
      </w:r>
      <w:r>
        <w:instrText>HYPERLINK \l "b1_ref28"</w:instrText>
      </w:r>
      <w:r>
        <w:fldChar w:fldCharType="separate"/>
      </w:r>
      <w:r>
        <w:rPr>
          <w:b/>
          <w:bCs/>
          <w:rtl/>
        </w:rPr>
        <w:t>28</w:t>
      </w:r>
      <w:r>
        <w:rPr>
          <w:b/>
          <w:bCs/>
        </w:rPr>
        <w:fldChar w:fldCharType="end"/>
      </w:r>
      <w:bookmarkEnd w:id="244"/>
      <w:r>
        <w:rPr>
          <w:rtl/>
        </w:rPr>
        <w:t xml:space="preserve"> אנשי רפואה יהודים היו נדירים ברוסיה של אותו זמן, ובפרט בחוגים היהודיים המסורתיים, ולכן עלו השערות בדבר זהותו של “רופא” זה, קרוב משפחת </w:t>
      </w:r>
      <w:proofErr w:type="spellStart"/>
      <w:r>
        <w:rPr>
          <w:rtl/>
        </w:rPr>
        <w:t>קמינצקי</w:t>
      </w:r>
      <w:proofErr w:type="spellEnd"/>
      <w:r>
        <w:rPr>
          <w:rtl/>
        </w:rPr>
        <w:t xml:space="preserve">. ההשערות מובאות בפרק 5,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ושם מגיעים למסקנה מפתיעה. השווה גם את הפסקה השנייה של מאמר </w:t>
      </w:r>
      <w:r>
        <w:rPr>
          <w:rtl/>
        </w:rPr>
        <w:lastRenderedPageBreak/>
        <w:t xml:space="preserve">מתוך “פנקס </w:t>
      </w:r>
      <w:proofErr w:type="spellStart"/>
      <w:r>
        <w:rPr>
          <w:rtl/>
        </w:rPr>
        <w:t>נאוואהרעדאק</w:t>
      </w:r>
      <w:proofErr w:type="spellEnd"/>
      <w:r>
        <w:rPr>
          <w:rtl/>
        </w:rPr>
        <w:t>”, המובא בפרק 3</w:t>
      </w:r>
      <w:bookmarkStart w:id="245" w:name="_fnr162"/>
      <w:r>
        <w:rPr>
          <w:rStyle w:val="a5"/>
        </w:rPr>
        <w:footnoteReference w:id="162" w:customMarkFollows="0"/>
      </w:r>
      <w:bookmarkEnd w:id="245"/>
      <w:r>
        <w:rPr>
          <w:rtl/>
        </w:rPr>
        <w:t>: נאמר שם שהחולים לא נתנו אמון רב בבקיאותו הרפואית של רופא אם במקרה היה שומר מצוות.</w:t>
      </w:r>
    </w:p>
    <w:p w14:paraId="1B5FF1CA" w14:textId="29FD983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האלמן העשיר, בעשור השישי לחייו, נשא את </w:t>
      </w:r>
      <w:proofErr w:type="spellStart"/>
      <w:r>
        <w:rPr>
          <w:rtl/>
        </w:rPr>
        <w:t>הינדה־ראשה</w:t>
      </w:r>
      <w:proofErr w:type="spellEnd"/>
      <w:r>
        <w:rPr>
          <w:rtl/>
        </w:rPr>
        <w:t xml:space="preserve">, הצעירה ממנו ביותר מעשרים שנה, ממשפחה ענייה ופשוטה </w:t>
      </w:r>
      <w:proofErr w:type="spellStart"/>
      <w:r>
        <w:rPr>
          <w:rtl/>
        </w:rPr>
        <w:t>מדולהינוב</w:t>
      </w:r>
      <w:proofErr w:type="spellEnd"/>
      <w:r>
        <w:rPr>
          <w:rtl/>
        </w:rPr>
        <w:t>. גבירת הבית החדשה השתלטה על האחוזה, ילדה לבעלה משפחה שנייה – חמישה ילדים</w:t>
      </w:r>
      <w:bookmarkStart w:id="246" w:name="b1_ref29"/>
      <w:bookmarkEnd w:id="246"/>
      <w:r>
        <w:rPr>
          <w:vertAlign w:val="superscript"/>
          <w:rtl/>
        </w:rPr>
        <w:fldChar w:fldCharType="begin" w:dirty="true"/>
      </w:r>
      <w:r>
        <w:rPr>
          <w:vertAlign w:val="superscript"/>
          <w:rtl/>
        </w:rPr>
        <w:instrText xml:space="preserve"> REF b1_note29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 והלכה ומיררה את חיי ילדיה החורגים. </w:t>
      </w:r>
      <w:proofErr w:type="spellStart"/>
      <w:r>
        <w:rPr>
          <w:rtl/>
        </w:rPr>
        <w:t>ישראל־יצחק</w:t>
      </w:r>
      <w:proofErr w:type="spellEnd"/>
      <w:r>
        <w:rPr>
          <w:rtl/>
        </w:rPr>
        <w:t xml:space="preserve">, בכורו של ר׳ </w:t>
      </w:r>
      <w:proofErr w:type="spellStart"/>
      <w:r>
        <w:rPr>
          <w:rtl/>
        </w:rPr>
        <w:t>שמואל־הירש</w:t>
      </w:r>
      <w:proofErr w:type="spellEnd"/>
      <w:r>
        <w:rPr>
          <w:rtl/>
        </w:rPr>
        <w:t xml:space="preserve"> ויד ימינו בניהול האחוזה, היה מבוסס היטב </w:t>
      </w:r>
      <w:proofErr w:type="spellStart"/>
      <w:r>
        <w:rPr>
          <w:rtl/>
        </w:rPr>
        <w:t>בקאליסקובקה</w:t>
      </w:r>
      <w:proofErr w:type="spellEnd"/>
      <w:r>
        <w:rPr>
          <w:rtl/>
        </w:rPr>
        <w:t>. אבל שאר ילדיו מאשתו הראשונה התרחקו בהדרגה מן הבית, כדי להימנע ממחלוקת גלויה</w:t>
      </w:r>
      <w:bookmarkStart w:id="247" w:name="b1_ref30"/>
      <w:bookmarkEnd w:id="247"/>
      <w:r>
        <w:rPr>
          <w:vertAlign w:val="superscript"/>
          <w:rtl/>
        </w:rPr>
        <w:fldChar w:fldCharType="begin" w:dirty="true"/>
      </w:r>
      <w:r>
        <w:rPr>
          <w:vertAlign w:val="superscript"/>
          <w:rtl/>
        </w:rPr>
        <w:instrText xml:space="preserve"> REF b1_note30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עם אשת אביהם החדשה</w:t>
      </w:r>
      <w:bookmarkStart w:id="248" w:name="b1_ref31"/>
      <w:bookmarkEnd w:id="248"/>
      <w:r>
        <w:rPr>
          <w:vertAlign w:val="superscript"/>
          <w:rtl/>
        </w:rPr>
        <w:fldChar w:fldCharType="begin" w:dirty="true"/>
      </w:r>
      <w:r>
        <w:rPr>
          <w:vertAlign w:val="superscript"/>
          <w:rtl/>
        </w:rPr>
        <w:instrText xml:space="preserve"> REF b1_note31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w:t>
      </w:r>
    </w:p>
    <w:bookmarkStart w:id="249" w:name="b1_note29"/>
    <w:p w14:paraId="4ACB8123" w14:textId="77777777" w:rsidR="00AB3647" w:rsidRDefault="00000000" w:rsidP="007923E9">
      <w:pPr>
        <w:spacing w:before="120" w:after="100" w:line="276" w:lineRule="auto"/>
        <w:jc w:val="both"/>
      </w:pPr>
      <w:r>
        <w:fldChar w:fldCharType="begin" w:dirty="true"/>
      </w:r>
      <w:r>
        <w:instrText>HYPERLINK \l "b1_ref29"</w:instrText>
      </w:r>
      <w:r>
        <w:fldChar w:fldCharType="separate"/>
      </w:r>
      <w:r>
        <w:rPr>
          <w:b/>
          <w:bCs/>
          <w:rtl/>
        </w:rPr>
        <w:t>29</w:t>
      </w:r>
      <w:r>
        <w:rPr>
          <w:b/>
          <w:bCs/>
        </w:rPr>
        <w:fldChar w:fldCharType="end"/>
      </w:r>
      <w:bookmarkEnd w:id="249"/>
      <w:r>
        <w:rPr>
          <w:rtl/>
        </w:rPr>
        <w:t xml:space="preserve"> דוד, </w:t>
      </w:r>
      <w:proofErr w:type="spellStart"/>
      <w:r>
        <w:rPr>
          <w:rtl/>
        </w:rPr>
        <w:t>קושקה</w:t>
      </w:r>
      <w:proofErr w:type="spellEnd"/>
      <w:r>
        <w:rPr>
          <w:rtl/>
        </w:rPr>
        <w:t xml:space="preserve">, ישעיה, מלכה ויעקב. את שני הראשונים הביא לאמריקה אחיהם מן האב, </w:t>
      </w:r>
      <w:proofErr w:type="spellStart"/>
      <w:r>
        <w:rPr>
          <w:rtl/>
        </w:rPr>
        <w:t>חאצה</w:t>
      </w:r>
      <w:proofErr w:type="spellEnd"/>
      <w:r>
        <w:rPr>
          <w:rtl/>
        </w:rPr>
        <w:t xml:space="preserve"> (השווה ההערה הבאה). השלישי נהרג כחייל רוסי במלחמת העולם הראשונה, והחמישי הצטרף לאחיו באמריקה אחרי אותה מלחמה. הרביעית, הבת היחידה של אמה, נישאה ונשארה ברוסיה.</w:t>
      </w:r>
    </w:p>
    <w:p w14:paraId="7C2602BD" w14:textId="77777777" w:rsidR="00AB3647" w:rsidRDefault="00000000" w:rsidP="007923E9">
      <w:pPr>
        <w:spacing w:before="120" w:after="100" w:line="276" w:lineRule="auto"/>
        <w:jc w:val="both"/>
      </w:pPr>
      <w:r>
        <w:rPr>
          <w:rtl/>
        </w:rPr>
        <w:t xml:space="preserve">מלכה – דודתו של אבי, שהייתה צעירה ממנו בשמונה שנים(!) – הצליחה בשנת </w:t>
      </w:r>
      <w:proofErr w:type="spellStart"/>
      <w:r>
        <w:rPr>
          <w:rtl/>
        </w:rPr>
        <w:t>תש״ך</w:t>
      </w:r>
      <w:proofErr w:type="spellEnd"/>
      <w:r>
        <w:rPr>
          <w:rtl/>
        </w:rPr>
        <w:t xml:space="preserve"> להעביר מעבר למסך הברזל את הידיעה שכמה מבני משפחתו הקרובה של אבי שרדו את השואה וחיים במינסק. גילוי זה, אחרי ניתוק קשר כפוי של עשרים ושבע שנים, פתח התכתבות סדירה בין אבי לאחיו ולאחיותיו, והביא לביקורו של אבי ברוסיה כעבור שלוש שנים</w:t>
      </w:r>
      <w:bookmarkStart w:id="250" w:name="_fnr163"/>
      <w:r>
        <w:rPr>
          <w:rStyle w:val="a5"/>
        </w:rPr>
        <w:footnoteReference w:id="163" w:customMarkFollows="0"/>
      </w:r>
      <w:bookmarkEnd w:id="250"/>
      <w:r>
        <w:rPr>
          <w:rtl/>
        </w:rPr>
        <w:t>.</w:t>
      </w:r>
    </w:p>
    <w:p w14:paraId="5944037F" w14:textId="77777777" w:rsidR="00AB3647" w:rsidRDefault="00000000" w:rsidP="007923E9">
      <w:pPr>
        <w:spacing w:after="100" w:line="276" w:lineRule="auto"/>
        <w:ind w:firstLine="340"/>
        <w:jc w:val="both"/>
      </w:pPr>
      <w:r>
        <w:rPr>
          <w:rtl/>
        </w:rPr>
        <w:t xml:space="preserve">סימן לרוח הזמן: ארבעת המהגרים לאמריקה הנזכרים לעיל הסבו את שמותיהם לשמות אנגליים – דייוויד, קרל, ג׳ק </w:t>
      </w:r>
      <w:proofErr w:type="spellStart"/>
      <w:r>
        <w:rPr>
          <w:rtl/>
        </w:rPr>
        <w:t>וצ׳ארלס</w:t>
      </w:r>
      <w:proofErr w:type="spellEnd"/>
      <w:r>
        <w:rPr>
          <w:rtl/>
        </w:rPr>
        <w:t xml:space="preserve"> בהתאמה – ושינו את שם משפחתם </w:t>
      </w:r>
      <w:proofErr w:type="spellStart"/>
      <w:r>
        <w:rPr>
          <w:rtl/>
        </w:rPr>
        <w:t>מקמינצקי</w:t>
      </w:r>
      <w:proofErr w:type="spellEnd"/>
      <w:r>
        <w:rPr>
          <w:rtl/>
        </w:rPr>
        <w:t xml:space="preserve"> </w:t>
      </w:r>
      <w:proofErr w:type="spellStart"/>
      <w:r>
        <w:rPr>
          <w:rtl/>
        </w:rPr>
        <w:t>לקאמינגס</w:t>
      </w:r>
      <w:proofErr w:type="spellEnd"/>
      <w:r>
        <w:rPr>
          <w:rtl/>
        </w:rPr>
        <w:t>.</w:t>
      </w:r>
    </w:p>
    <w:bookmarkStart w:id="251" w:name="b1_note30"/>
    <w:p w14:paraId="2146FC46" w14:textId="77777777" w:rsidR="00AB3647" w:rsidRDefault="00000000" w:rsidP="007923E9">
      <w:pPr>
        <w:spacing w:before="120" w:after="100" w:line="276" w:lineRule="auto"/>
        <w:jc w:val="both"/>
      </w:pPr>
      <w:r>
        <w:fldChar w:fldCharType="begin" w:dirty="true"/>
      </w:r>
      <w:r>
        <w:instrText>HYPERLINK \l "b1_ref30"</w:instrText>
      </w:r>
      <w:r>
        <w:fldChar w:fldCharType="separate"/>
      </w:r>
      <w:r>
        <w:rPr>
          <w:b/>
          <w:bCs/>
          <w:rtl/>
        </w:rPr>
        <w:t>30</w:t>
      </w:r>
      <w:r>
        <w:rPr>
          <w:b/>
          <w:bCs/>
        </w:rPr>
        <w:fldChar w:fldCharType="end"/>
      </w:r>
      <w:bookmarkEnd w:id="251"/>
      <w:r>
        <w:rPr>
          <w:rtl/>
        </w:rPr>
        <w:t xml:space="preserve"> כששאלה אותו גיסתו, </w:t>
      </w:r>
      <w:proofErr w:type="spellStart"/>
      <w:r>
        <w:rPr>
          <w:rtl/>
        </w:rPr>
        <w:t>עטיל</w:t>
      </w:r>
      <w:proofErr w:type="spellEnd"/>
      <w:r>
        <w:rPr>
          <w:rtl/>
        </w:rPr>
        <w:t xml:space="preserve">, מדוע הוא נוסע לאמריקה, השיב </w:t>
      </w:r>
      <w:proofErr w:type="spellStart"/>
      <w:r>
        <w:rPr>
          <w:rtl/>
        </w:rPr>
        <w:t>חאצה</w:t>
      </w:r>
      <w:bookmarkStart w:id="252" w:name="_fnr164"/>
      <w:proofErr w:type="spellEnd"/>
      <w:r>
        <w:rPr>
          <w:rStyle w:val="a5"/>
        </w:rPr>
        <w:footnoteReference w:id="164" w:customMarkFollows="0"/>
      </w:r>
      <w:bookmarkEnd w:id="252"/>
      <w:r>
        <w:rPr>
          <w:rtl/>
        </w:rPr>
        <w:t>: “</w:t>
      </w:r>
      <w:proofErr w:type="spellStart"/>
      <w:r>
        <w:rPr>
          <w:rtl/>
        </w:rPr>
        <w:t>הכרעמזלעך</w:t>
      </w:r>
      <w:bookmarkStart w:id="253" w:name="_fnr165"/>
      <w:proofErr w:type="spellEnd"/>
      <w:r>
        <w:rPr>
          <w:rStyle w:val="a5"/>
        </w:rPr>
        <w:footnoteReference w:id="165" w:customMarkFollows="0"/>
      </w:r>
      <w:bookmarkEnd w:id="253"/>
      <w:r>
        <w:rPr>
          <w:rtl/>
        </w:rPr>
        <w:t xml:space="preserve"> מגרשים אותי”. הוא ביאר את דבריו המוזרים: לא יכול היה לשאת עוד את היחס שספג מאמו החורגת ליד שולחן האוכל, שבו נספרו </w:t>
      </w:r>
      <w:proofErr w:type="spellStart"/>
      <w:r>
        <w:rPr>
          <w:rtl/>
        </w:rPr>
        <w:t>הכרעמזלעך</w:t>
      </w:r>
      <w:proofErr w:type="spellEnd"/>
      <w:r>
        <w:rPr>
          <w:rtl/>
        </w:rPr>
        <w:t xml:space="preserve"> שהוקצו לו.</w:t>
      </w:r>
    </w:p>
    <w:bookmarkStart w:id="254" w:name="b1_note31"/>
    <w:p w14:paraId="3B48DACD" w14:textId="77777777" w:rsidR="00AB3647" w:rsidRDefault="00000000" w:rsidP="007923E9">
      <w:pPr>
        <w:spacing w:before="120" w:after="100" w:line="276" w:lineRule="auto"/>
        <w:jc w:val="both"/>
      </w:pPr>
      <w:r>
        <w:fldChar w:fldCharType="begin" w:dirty="true"/>
      </w:r>
      <w:r>
        <w:instrText>HYPERLINK \l "b1_ref31"</w:instrText>
      </w:r>
      <w:r>
        <w:fldChar w:fldCharType="separate"/>
      </w:r>
      <w:r>
        <w:rPr>
          <w:b/>
          <w:bCs/>
          <w:rtl/>
        </w:rPr>
        <w:t>31</w:t>
      </w:r>
      <w:r>
        <w:rPr>
          <w:b/>
          <w:bCs/>
        </w:rPr>
        <w:fldChar w:fldCharType="end"/>
      </w:r>
      <w:bookmarkEnd w:id="254"/>
      <w:r>
        <w:rPr>
          <w:rtl/>
        </w:rPr>
        <w:t xml:space="preserve"> </w:t>
      </w:r>
      <w:proofErr w:type="spellStart"/>
      <w:r>
        <w:rPr>
          <w:rtl/>
        </w:rPr>
        <w:t>הינדה־ראשה</w:t>
      </w:r>
      <w:proofErr w:type="spellEnd"/>
      <w:r>
        <w:rPr>
          <w:rtl/>
        </w:rPr>
        <w:t xml:space="preserve"> התאלמנה בשנת תרע״ח</w:t>
      </w:r>
      <w:bookmarkStart w:id="255" w:name="_fnr166"/>
      <w:r>
        <w:rPr>
          <w:rStyle w:val="a5"/>
        </w:rPr>
        <w:footnoteReference w:id="166" w:customMarkFollows="0"/>
      </w:r>
      <w:bookmarkEnd w:id="255"/>
      <w:r>
        <w:rPr>
          <w:rtl/>
        </w:rPr>
        <w:t xml:space="preserve">, ובשנת תרפ״ב יצאה לאמריקה עם בנה הצעיר, יעקב, שהיה אז בן עשרים. כעבור </w:t>
      </w:r>
      <w:proofErr w:type="spellStart"/>
      <w:r>
        <w:rPr>
          <w:rtl/>
        </w:rPr>
        <w:t>שלוש־עשרה</w:t>
      </w:r>
      <w:proofErr w:type="spellEnd"/>
      <w:r>
        <w:rPr>
          <w:rtl/>
        </w:rPr>
        <w:t xml:space="preserve"> שנים נהרגה באורח טרגי בתאונה, כשנדרסה על ידי מכונית.</w:t>
      </w:r>
    </w:p>
    <w:p w14:paraId="74FECE59" w14:textId="60E39FB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w:t>
      </w:r>
      <w:proofErr w:type="spellStart"/>
      <w:r>
        <w:rPr>
          <w:rtl/>
        </w:rPr>
        <w:t>קמינצקי</w:t>
      </w:r>
      <w:proofErr w:type="spellEnd"/>
      <w:r>
        <w:rPr>
          <w:rtl/>
        </w:rPr>
        <w:t xml:space="preserve"> עזבו את </w:t>
      </w:r>
      <w:proofErr w:type="spellStart"/>
      <w:r>
        <w:rPr>
          <w:rtl/>
        </w:rPr>
        <w:t>קאליסקובקה</w:t>
      </w:r>
      <w:proofErr w:type="spellEnd"/>
      <w:r>
        <w:rPr>
          <w:rtl/>
        </w:rPr>
        <w:t xml:space="preserve"> בשנת תרנ״ד, שנה אחרי מות ילדתם השנייה, חיה, שנקראה על שם </w:t>
      </w:r>
      <w:proofErr w:type="spellStart"/>
      <w:r>
        <w:rPr>
          <w:rtl/>
        </w:rPr>
        <w:t>אמו</w:t>
      </w:r>
      <w:proofErr w:type="spellEnd"/>
      <w:r>
        <w:rPr>
          <w:rtl/>
        </w:rPr>
        <w:t xml:space="preserve"> של ר׳ בנימין. בכורם, </w:t>
      </w:r>
      <w:proofErr w:type="spellStart"/>
      <w:r>
        <w:rPr>
          <w:rtl/>
        </w:rPr>
        <w:t>חיים־זרח</w:t>
      </w:r>
      <w:proofErr w:type="spellEnd"/>
      <w:r>
        <w:rPr>
          <w:rtl/>
        </w:rPr>
        <w:t xml:space="preserve">, שנקרא על שם אביה של </w:t>
      </w:r>
      <w:proofErr w:type="spellStart"/>
      <w:r>
        <w:rPr>
          <w:rtl/>
        </w:rPr>
        <w:t>עטיל</w:t>
      </w:r>
      <w:proofErr w:type="spellEnd"/>
      <w:r>
        <w:rPr>
          <w:rtl/>
        </w:rPr>
        <w:t xml:space="preserve">, היה אז בן שבע. נשארו בחיים עוד שני ילדים: בן שלוש שנקרא על שם אביה המאמץ </w:t>
      </w:r>
      <w:r>
        <w:rPr>
          <w:rtl/>
        </w:rPr>
        <w:lastRenderedPageBreak/>
        <w:t xml:space="preserve">של </w:t>
      </w:r>
      <w:proofErr w:type="spellStart"/>
      <w:r>
        <w:rPr>
          <w:rtl/>
        </w:rPr>
        <w:t>עטיל</w:t>
      </w:r>
      <w:proofErr w:type="spellEnd"/>
      <w:r>
        <w:rPr>
          <w:rtl/>
        </w:rPr>
        <w:t xml:space="preserve">, ר׳ </w:t>
      </w:r>
      <w:proofErr w:type="spellStart"/>
      <w:r>
        <w:rPr>
          <w:rtl/>
        </w:rPr>
        <w:t>יענקל</w:t>
      </w:r>
      <w:proofErr w:type="spellEnd"/>
      <w:r>
        <w:rPr>
          <w:rtl/>
        </w:rPr>
        <w:t xml:space="preserve"> פוטרפס</w:t>
      </w:r>
      <w:bookmarkStart w:id="256" w:name="b1_ref32"/>
      <w:bookmarkEnd w:id="256"/>
      <w:r>
        <w:rPr>
          <w:vertAlign w:val="superscript"/>
          <w:rtl/>
        </w:rPr>
        <w:fldChar w:fldCharType="begin" w:dirty="true"/>
      </w:r>
      <w:r>
        <w:rPr>
          <w:vertAlign w:val="superscript"/>
          <w:rtl/>
        </w:rPr>
        <w:instrText xml:space="preserve"> REF b1_note32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אבי; ובת שנה, דבורה. המשפחה הקטנה עברה</w:t>
      </w:r>
      <w:bookmarkStart w:id="257" w:name="b1_ref33"/>
      <w:bookmarkEnd w:id="257"/>
      <w:r>
        <w:rPr>
          <w:vertAlign w:val="superscript"/>
          <w:rtl/>
        </w:rPr>
        <w:fldChar w:fldCharType="begin" w:dirty="true"/>
      </w:r>
      <w:r>
        <w:rPr>
          <w:vertAlign w:val="superscript"/>
          <w:rtl/>
        </w:rPr>
        <w:instrText xml:space="preserve"> REF b1_note33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תחילה לעיירה הקטנה </w:t>
      </w:r>
      <w:proofErr w:type="spellStart"/>
      <w:r>
        <w:rPr>
          <w:rtl/>
        </w:rPr>
        <w:t>חטאייביץ</w:t>
      </w:r>
      <w:proofErr w:type="spellEnd"/>
      <w:r>
        <w:rPr>
          <w:rtl/>
        </w:rPr>
        <w:t xml:space="preserve">׳, ואחרי שהות קצרה – </w:t>
      </w:r>
      <w:proofErr w:type="spellStart"/>
      <w:r>
        <w:rPr>
          <w:rtl/>
        </w:rPr>
        <w:t>לדולהינוב</w:t>
      </w:r>
      <w:proofErr w:type="spellEnd"/>
      <w:r>
        <w:rPr>
          <w:rtl/>
        </w:rPr>
        <w:t xml:space="preserve">. לימים נולדו </w:t>
      </w:r>
      <w:proofErr w:type="spellStart"/>
      <w:r>
        <w:rPr>
          <w:rtl/>
        </w:rPr>
        <w:t>לר</w:t>
      </w:r>
      <w:proofErr w:type="spellEnd"/>
      <w:r>
        <w:rPr>
          <w:rtl/>
        </w:rPr>
        <w:t xml:space="preserve">׳ בנימין </w:t>
      </w:r>
      <w:proofErr w:type="spellStart"/>
      <w:r>
        <w:rPr>
          <w:rtl/>
        </w:rPr>
        <w:t>ולעטיל</w:t>
      </w:r>
      <w:proofErr w:type="spellEnd"/>
      <w:r>
        <w:rPr>
          <w:rtl/>
        </w:rPr>
        <w:t xml:space="preserve"> עוד שלושה ילדים</w:t>
      </w:r>
      <w:bookmarkStart w:id="258" w:name="b1_ref34"/>
      <w:bookmarkEnd w:id="258"/>
      <w:r>
        <w:rPr>
          <w:vertAlign w:val="superscript"/>
          <w:rtl/>
        </w:rPr>
        <w:fldChar w:fldCharType="begin" w:dirty="true"/>
      </w:r>
      <w:r>
        <w:rPr>
          <w:vertAlign w:val="superscript"/>
          <w:rtl/>
        </w:rPr>
        <w:instrText xml:space="preserve"> REF b1_note34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w:t>
      </w:r>
    </w:p>
    <w:bookmarkStart w:id="259" w:name="b1_note32"/>
    <w:p w14:paraId="6E3F3167" w14:textId="77777777" w:rsidR="00AB3647" w:rsidRDefault="00000000" w:rsidP="007923E9">
      <w:pPr>
        <w:spacing w:before="120" w:after="100" w:line="276" w:lineRule="auto"/>
        <w:jc w:val="both"/>
      </w:pPr>
      <w:r>
        <w:fldChar w:fldCharType="begin" w:dirty="true"/>
      </w:r>
      <w:r>
        <w:instrText>HYPERLINK \l "b1_ref32"</w:instrText>
      </w:r>
      <w:r>
        <w:fldChar w:fldCharType="separate"/>
      </w:r>
      <w:r>
        <w:rPr>
          <w:b/>
          <w:bCs/>
          <w:rtl/>
        </w:rPr>
        <w:t>32</w:t>
      </w:r>
      <w:r>
        <w:rPr>
          <w:b/>
          <w:bCs/>
        </w:rPr>
        <w:fldChar w:fldCharType="end"/>
      </w:r>
      <w:bookmarkEnd w:id="259"/>
      <w:r>
        <w:rPr>
          <w:rtl/>
        </w:rPr>
        <w:t xml:space="preserve"> גם בתו של ר׳ </w:t>
      </w:r>
      <w:proofErr w:type="spellStart"/>
      <w:r>
        <w:rPr>
          <w:rtl/>
        </w:rPr>
        <w:t>יענקל</w:t>
      </w:r>
      <w:proofErr w:type="spellEnd"/>
      <w:r>
        <w:rPr>
          <w:rtl/>
        </w:rPr>
        <w:t xml:space="preserve"> </w:t>
      </w:r>
      <w:proofErr w:type="spellStart"/>
      <w:r>
        <w:rPr>
          <w:rtl/>
        </w:rPr>
        <w:t>פוטרפס</w:t>
      </w:r>
      <w:proofErr w:type="spellEnd"/>
      <w:r>
        <w:rPr>
          <w:rtl/>
        </w:rPr>
        <w:t xml:space="preserve">, שיינה, חזרה מאוקראינה לבלארוס ונישאה </w:t>
      </w:r>
      <w:proofErr w:type="spellStart"/>
      <w:r>
        <w:rPr>
          <w:rtl/>
        </w:rPr>
        <w:t>לר</w:t>
      </w:r>
      <w:proofErr w:type="spellEnd"/>
      <w:r>
        <w:rPr>
          <w:rtl/>
        </w:rPr>
        <w:t xml:space="preserve">׳ </w:t>
      </w:r>
      <w:proofErr w:type="spellStart"/>
      <w:r>
        <w:rPr>
          <w:rtl/>
        </w:rPr>
        <w:t>יהודה־לייב</w:t>
      </w:r>
      <w:proofErr w:type="spellEnd"/>
      <w:r>
        <w:rPr>
          <w:rtl/>
        </w:rPr>
        <w:t xml:space="preserve"> </w:t>
      </w:r>
      <w:proofErr w:type="spellStart"/>
      <w:r>
        <w:rPr>
          <w:rtl/>
        </w:rPr>
        <w:t>רודרמן</w:t>
      </w:r>
      <w:proofErr w:type="spellEnd"/>
      <w:r>
        <w:rPr>
          <w:rtl/>
        </w:rPr>
        <w:t xml:space="preserve"> </w:t>
      </w:r>
      <w:proofErr w:type="spellStart"/>
      <w:r>
        <w:rPr>
          <w:rtl/>
        </w:rPr>
        <w:t>מדולהינוב</w:t>
      </w:r>
      <w:proofErr w:type="spellEnd"/>
      <w:r>
        <w:rPr>
          <w:rtl/>
        </w:rPr>
        <w:t xml:space="preserve">. בנם, שנקרא על שם סבו,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ראש ישיבת נר ישראל בבולטימור. נמצא שאבי ור׳ </w:t>
      </w:r>
      <w:proofErr w:type="spellStart"/>
      <w:r>
        <w:rPr>
          <w:rtl/>
        </w:rPr>
        <w:t>יעקב־יצחק</w:t>
      </w:r>
      <w:proofErr w:type="spellEnd"/>
      <w:r>
        <w:rPr>
          <w:rtl/>
        </w:rPr>
        <w:t xml:space="preserve"> </w:t>
      </w:r>
      <w:proofErr w:type="spellStart"/>
      <w:r>
        <w:rPr>
          <w:rtl/>
        </w:rPr>
        <w:t>רודרמן</w:t>
      </w:r>
      <w:proofErr w:type="spellEnd"/>
      <w:r>
        <w:rPr>
          <w:rtl/>
        </w:rPr>
        <w:t xml:space="preserve">, ששניהם נקראו על שם אותו יעקב, היו בני דודים בדרגה השנייה. אבי היה מבוגר מבן דודו בעשר שנים, וזכר אותו היטב מימי ילדותו לפני שעזב את </w:t>
      </w:r>
      <w:proofErr w:type="spellStart"/>
      <w:r>
        <w:rPr>
          <w:rtl/>
        </w:rPr>
        <w:t>דולהינוב</w:t>
      </w:r>
      <w:proofErr w:type="spellEnd"/>
      <w:r>
        <w:rPr>
          <w:rtl/>
        </w:rPr>
        <w:t xml:space="preserve"> – ראה סוף פרק זה.</w:t>
      </w:r>
    </w:p>
    <w:p w14:paraId="09572D0A" w14:textId="77777777" w:rsidR="00AB3647" w:rsidRDefault="00000000" w:rsidP="007923E9">
      <w:pPr>
        <w:spacing w:before="120" w:after="100" w:line="276" w:lineRule="auto"/>
        <w:jc w:val="both"/>
      </w:pPr>
      <w:r>
        <w:rPr>
          <w:rtl/>
        </w:rPr>
        <w:t xml:space="preserve">לפי מה שסיפר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לר</w:t>
      </w:r>
      <w:proofErr w:type="spellEnd"/>
      <w:r>
        <w:rPr>
          <w:rtl/>
        </w:rPr>
        <w:t>׳ שמואל ויציק</w:t>
      </w:r>
      <w:bookmarkStart w:id="260" w:name="_fnr167"/>
      <w:r>
        <w:rPr>
          <w:rStyle w:val="a5"/>
        </w:rPr>
        <w:footnoteReference w:id="167" w:customMarkFollows="0"/>
      </w:r>
      <w:bookmarkEnd w:id="260"/>
      <w:r>
        <w:rPr>
          <w:rtl/>
        </w:rPr>
        <w:t xml:space="preserve">, ואישר רבנו פעמים רבות, אבי הוא שנשלח לבשר למכרים </w:t>
      </w:r>
      <w:proofErr w:type="spellStart"/>
      <w:r>
        <w:rPr>
          <w:rtl/>
        </w:rPr>
        <w:t>בדולהינוב</w:t>
      </w:r>
      <w:proofErr w:type="spellEnd"/>
      <w:r>
        <w:rPr>
          <w:rtl/>
        </w:rPr>
        <w:t xml:space="preserve"> על הולדת הבן במשפחת </w:t>
      </w:r>
      <w:proofErr w:type="spellStart"/>
      <w:r>
        <w:rPr>
          <w:rtl/>
        </w:rPr>
        <w:t>רודרמן</w:t>
      </w:r>
      <w:proofErr w:type="spellEnd"/>
      <w:r>
        <w:rPr>
          <w:rtl/>
        </w:rPr>
        <w:t>. ואומנם אבי היה בין הילדים שקראו קריאת שמע ליד עריסתו בליל ברית המילה של בן דודו, והיה גם בברית עצמה. כשהיה אבי בסוף שנות השמונים לחייו ושהה בקיץ במחנה אור שרגא</w:t>
      </w:r>
      <w:bookmarkStart w:id="261" w:name="_fnr168"/>
      <w:r>
        <w:rPr>
          <w:rStyle w:val="a5"/>
        </w:rPr>
        <w:footnoteReference w:id="168" w:customMarkFollows="0"/>
      </w:r>
      <w:bookmarkEnd w:id="261"/>
      <w:r>
        <w:rPr>
          <w:rtl/>
        </w:rPr>
        <w:t xml:space="preserve">, סיפרו לו שר׳ </w:t>
      </w:r>
      <w:proofErr w:type="spellStart"/>
      <w:r>
        <w:rPr>
          <w:rtl/>
        </w:rPr>
        <w:t>יעקב־יצחק</w:t>
      </w:r>
      <w:proofErr w:type="spellEnd"/>
      <w:r>
        <w:rPr>
          <w:rtl/>
        </w:rPr>
        <w:t xml:space="preserve"> </w:t>
      </w:r>
      <w:proofErr w:type="spellStart"/>
      <w:r>
        <w:rPr>
          <w:rtl/>
        </w:rPr>
        <w:t>רודרמן</w:t>
      </w:r>
      <w:proofErr w:type="spellEnd"/>
      <w:r>
        <w:rPr>
          <w:rtl/>
        </w:rPr>
        <w:t xml:space="preserve">, שהיה אז במחנה אגודה, חלש, והעיר: “כמה מוזר! הלא היה נער כל כך חסון [א </w:t>
      </w:r>
      <w:proofErr w:type="spellStart"/>
      <w:r>
        <w:rPr>
          <w:rtl/>
        </w:rPr>
        <w:t>פעסטער</w:t>
      </w:r>
      <w:proofErr w:type="spellEnd"/>
      <w:r>
        <w:rPr>
          <w:rtl/>
        </w:rPr>
        <w:t xml:space="preserve"> </w:t>
      </w:r>
      <w:proofErr w:type="spellStart"/>
      <w:r>
        <w:rPr>
          <w:rtl/>
        </w:rPr>
        <w:t>אינגל</w:t>
      </w:r>
      <w:proofErr w:type="spellEnd"/>
      <w:r>
        <w:rPr>
          <w:rtl/>
        </w:rPr>
        <w:t>]”</w:t>
      </w:r>
      <w:bookmarkStart w:id="262" w:name="_fnr169"/>
      <w:r>
        <w:rPr>
          <w:rStyle w:val="a5"/>
        </w:rPr>
        <w:footnoteReference w:id="169" w:customMarkFollows="0"/>
      </w:r>
      <w:bookmarkEnd w:id="262"/>
      <w:r>
        <w:rPr>
          <w:rtl/>
        </w:rPr>
        <w:t>.</w:t>
      </w:r>
    </w:p>
    <w:p w14:paraId="70678C68" w14:textId="77777777" w:rsidR="00AB3647" w:rsidRDefault="00000000" w:rsidP="007923E9">
      <w:pPr>
        <w:spacing w:before="120" w:after="100" w:line="276" w:lineRule="auto"/>
        <w:jc w:val="both"/>
        <w:rPr>
          <w:rFonts w:hint="cs"/>
        </w:rPr>
      </w:pPr>
      <w:r>
        <w:rPr>
          <w:rtl/>
        </w:rPr>
        <w:t xml:space="preserve">לדברי ר׳ עזרא </w:t>
      </w:r>
      <w:proofErr w:type="spellStart"/>
      <w:r>
        <w:rPr>
          <w:rtl/>
        </w:rPr>
        <w:t>נויבערגר</w:t>
      </w:r>
      <w:bookmarkStart w:id="263" w:name="_fnr170"/>
      <w:proofErr w:type="spellEnd"/>
      <w:r>
        <w:rPr>
          <w:rStyle w:val="a5"/>
        </w:rPr>
        <w:footnoteReference w:id="170" w:customMarkFollows="0"/>
      </w:r>
      <w:bookmarkEnd w:id="263"/>
      <w:r>
        <w:rPr>
          <w:rtl/>
        </w:rPr>
        <w:t xml:space="preserve">, אחיינו ותלמידו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דודו שקרא לעצמו </w:t>
      </w:r>
      <w:proofErr w:type="spellStart"/>
      <w:r>
        <w:rPr>
          <w:rtl/>
        </w:rPr>
        <w:t>יצחק־יעקב</w:t>
      </w:r>
      <w:proofErr w:type="spellEnd"/>
      <w:r>
        <w:rPr>
          <w:rtl/>
        </w:rPr>
        <w:t xml:space="preserve"> עד גיל </w:t>
      </w:r>
      <w:proofErr w:type="spellStart"/>
      <w:r>
        <w:rPr>
          <w:rtl/>
        </w:rPr>
        <w:t>שלוש־עשרה</w:t>
      </w:r>
      <w:proofErr w:type="spellEnd"/>
      <w:r>
        <w:rPr>
          <w:rtl/>
        </w:rPr>
        <w:t xml:space="preserve">. אז הצטרף לישיבת </w:t>
      </w:r>
      <w:proofErr w:type="spellStart"/>
      <w:r>
        <w:rPr>
          <w:rtl/>
        </w:rPr>
        <w:t>סלבודקה</w:t>
      </w:r>
      <w:proofErr w:type="spellEnd"/>
      <w:r>
        <w:rPr>
          <w:rtl/>
        </w:rPr>
        <w:t xml:space="preserve"> בגלותה במינסק בימי מלחמת העולם הראשונה, ובאותו זמן למד שם אבי. אבי זכר את השם המדויק שניתן לבן דודו בברית, ואמר לו אז להקדים את יעקב ליצחק</w:t>
      </w:r>
      <w:r>
        <w:rPr>
          <w:b/>
          <w:bCs/>
          <w:rtl/>
        </w:rPr>
        <w:t xml:space="preserve"/>
      </w:r>
      <w:r>
        <w:rPr>
          <w:rtl/>
        </w:rPr>
        <w:t xml:space="preserve"> – וכך נהג ר׳ </w:t>
      </w:r>
      <w:proofErr w:type="spellStart"/>
      <w:r>
        <w:rPr>
          <w:rtl/>
        </w:rPr>
        <w:t>יעקב־יצחק</w:t>
      </w:r>
      <w:proofErr w:type="spellEnd"/>
      <w:r>
        <w:rPr>
          <w:rtl/>
        </w:rPr>
        <w:t xml:space="preserve"> </w:t>
      </w:r>
      <w:proofErr w:type="spellStart"/>
      <w:r>
        <w:rPr>
          <w:rtl/>
        </w:rPr>
        <w:t>רודרמן</w:t>
      </w:r>
      <w:proofErr w:type="spellEnd"/>
      <w:r>
        <w:rPr>
          <w:rtl/>
        </w:rPr>
        <w:t xml:space="preserve"> מאז ואילך</w:t>
      </w:r>
      <w:bookmarkStart w:id="264" w:name="_fnr171"/>
      <w:r>
        <w:rPr>
          <w:rStyle w:val="a5"/>
        </w:rPr>
        <w:footnoteReference w:id="171" w:customMarkFollows="0"/>
      </w:r>
      <w:bookmarkEnd w:id="264"/>
      <w:r>
        <w:rPr>
          <w:rtl/>
        </w:rPr>
        <w:t>.</w:t>
      </w:r>
    </w:p>
    <w:p w14:paraId="4F825F53" w14:textId="77777777" w:rsidR="00AB3647" w:rsidRDefault="00000000" w:rsidP="007923E9">
      <w:pPr>
        <w:spacing w:after="100" w:line="276" w:lineRule="auto"/>
        <w:ind w:firstLine="340"/>
        <w:jc w:val="both"/>
      </w:pPr>
      <w:r>
        <w:rPr>
          <w:rtl/>
        </w:rPr>
        <w:t xml:space="preserve">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5" w:name="_fnr172"/>
      <w:bookmarkStart w:id="266" w:name="pr_f_105"/>
      <w:r>
        <w:rPr>
          <w:rStyle w:val="a5"/>
        </w:rPr>
        <w:footnoteReference w:id="172" w:customMarkFollows="0"/>
      </w:r>
      <w:bookmarkEnd w:id="265"/>
      <w:bookmarkEnd w:id="266"/>
      <w:r>
        <w:rPr>
          <w:rtl/>
        </w:rPr>
        <w:t xml:space="preserve"> סיפור מעניין, שאבי סיפר</w:t>
      </w:r>
      <w:bookmarkStart w:id="267" w:name="_fnr173"/>
      <w:r>
        <w:rPr>
          <w:rStyle w:val="a5"/>
        </w:rPr>
        <w:footnoteReference w:id="173" w:customMarkFollows="0"/>
      </w:r>
      <w:bookmarkEnd w:id="267"/>
      <w:r>
        <w:rPr>
          <w:rtl/>
        </w:rPr>
        <w:t xml:space="preserve"> כשביקר בבית משפחת </w:t>
      </w:r>
      <w:proofErr w:type="spellStart"/>
      <w:r>
        <w:rPr>
          <w:rtl/>
        </w:rPr>
        <w:t>פויער</w:t>
      </w:r>
      <w:proofErr w:type="spellEnd"/>
      <w:r>
        <w:rPr>
          <w:rtl/>
        </w:rPr>
        <w:t xml:space="preserve"> בפלורידה “בראש חודש אדר </w:t>
      </w:r>
      <w:proofErr w:type="spellStart"/>
      <w:r>
        <w:rPr>
          <w:rtl/>
        </w:rPr>
        <w:t>תש״ם</w:t>
      </w:r>
      <w:proofErr w:type="spellEnd"/>
      <w:r>
        <w:rPr>
          <w:rtl/>
        </w:rPr>
        <w:t xml:space="preserve">”, על הסיבה שניתן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שמו הכפול.</w:t>
      </w:r>
    </w:p>
    <w:p w14:paraId="578FE292" w14:textId="77777777" w:rsidR="00AB3647" w:rsidRDefault="00000000" w:rsidP="007923E9">
      <w:pPr>
        <w:spacing w:after="100" w:line="276" w:lineRule="auto"/>
        <w:ind w:firstLine="340"/>
        <w:jc w:val="both"/>
      </w:pPr>
      <w:r>
        <w:rPr>
          <w:rtl/>
        </w:rPr>
        <w:t xml:space="preserve">שיינה, </w:t>
      </w:r>
      <w:proofErr w:type="spellStart"/>
      <w:r>
        <w:rPr>
          <w:rtl/>
        </w:rPr>
        <w:t>אמו</w:t>
      </w:r>
      <w:proofErr w:type="spellEnd"/>
      <w:r>
        <w:rPr>
          <w:rtl/>
        </w:rPr>
        <w:t xml:space="preserve"> של ר׳ </w:t>
      </w:r>
      <w:proofErr w:type="spellStart"/>
      <w:r>
        <w:rPr>
          <w:rtl/>
        </w:rPr>
        <w:t>יעקב־יצחק</w:t>
      </w:r>
      <w:proofErr w:type="spellEnd"/>
      <w:r>
        <w:rPr>
          <w:rtl/>
        </w:rPr>
        <w:t xml:space="preserve">, ילדה קודם לכן שבע בנות. כשהייתה מעוברת ביקרה אצלה חברה ואמרה לה שהיא אינה יכולה לקרוא לבן על שם אביה יצחק, משום שאחד משני שמות בעלה היה יצחק. לכן ביקשה משיינה שתקרא לילד, אם יהיה בן, יצחק. שיינה, שציפתה לבת נוספת, הסכימה. כשנולד בן ורצתה לקרוא לו על שם אביה </w:t>
      </w:r>
      <w:r>
        <w:rPr>
          <w:b/>
          <w:bCs/>
          <w:rtl/>
        </w:rPr>
        <w:t>שלה</w:t>
      </w:r>
      <w:r>
        <w:rPr>
          <w:rtl/>
        </w:rPr>
        <w:t xml:space="preserve">, יעקב, פסק רב </w:t>
      </w:r>
      <w:proofErr w:type="spellStart"/>
      <w:r>
        <w:rPr>
          <w:rtl/>
        </w:rPr>
        <w:t>דולהינוב</w:t>
      </w:r>
      <w:proofErr w:type="spellEnd"/>
      <w:r>
        <w:rPr>
          <w:rtl/>
        </w:rPr>
        <w:t xml:space="preserve"> שיינתנו לתינוק שני שמות. השמות יעקב ויצחק ניתנו על שם </w:t>
      </w:r>
      <w:r>
        <w:rPr>
          <w:b/>
          <w:bCs/>
          <w:rtl/>
        </w:rPr>
        <w:t>שני</w:t>
      </w:r>
      <w:r>
        <w:rPr>
          <w:rtl/>
        </w:rPr>
        <w:t xml:space="preserve"> אנשים, ולכן לא היה קשה להחליף את סדרם.</w:t>
      </w:r>
    </w:p>
    <w:p w14:paraId="45F3D8B3" w14:textId="77777777" w:rsidR="00AB3647" w:rsidRDefault="00000000" w:rsidP="007923E9">
      <w:pPr>
        <w:spacing w:after="100" w:line="276" w:lineRule="auto"/>
        <w:ind w:firstLine="340"/>
        <w:jc w:val="both"/>
      </w:pPr>
      <w:r>
        <w:rPr>
          <w:rtl/>
        </w:rPr>
        <w:lastRenderedPageBreak/>
        <w:t xml:space="preserve">סדר השמות היה חשוב לאבי, משום שאצל האשכנזים – שלא כמו אצל הספרדים – השני בשמות כפולים הוא העיקרי. נמצא שסדר השמות יעיד אם רב </w:t>
      </w:r>
      <w:proofErr w:type="spellStart"/>
      <w:r>
        <w:rPr>
          <w:rtl/>
        </w:rPr>
        <w:t>דולהינוב</w:t>
      </w:r>
      <w:bookmarkStart w:id="268" w:name="_fnr174"/>
      <w:proofErr w:type="spellEnd"/>
      <w:r>
        <w:rPr>
          <w:rStyle w:val="a5"/>
        </w:rPr>
        <w:footnoteReference w:id="174" w:customMarkFollows="0"/>
      </w:r>
      <w:bookmarkEnd w:id="268"/>
      <w:r>
        <w:rPr>
          <w:rtl/>
        </w:rPr>
        <w:t xml:space="preserve"> ראה בהבטחתה של שיינה הבטחה מחייבת, או רק דבר ראוי לקיימו אך לא מחייב.</w:t>
      </w:r>
    </w:p>
    <w:p w14:paraId="36CD26D1" w14:textId="77777777" w:rsidR="00AB3647" w:rsidRDefault="00000000" w:rsidP="007923E9">
      <w:pPr>
        <w:spacing w:after="100" w:line="276" w:lineRule="auto"/>
        <w:ind w:firstLine="340"/>
        <w:jc w:val="both"/>
      </w:pPr>
      <w:r>
        <w:rPr>
          <w:rtl/>
        </w:rPr>
        <w:t xml:space="preserve">לפי נוסחו של ר׳ עזרא </w:t>
      </w:r>
      <w:proofErr w:type="spellStart"/>
      <w:r>
        <w:rPr>
          <w:rtl/>
        </w:rPr>
        <w:t>נויבערגר</w:t>
      </w:r>
      <w:proofErr w:type="spellEnd"/>
      <w:r>
        <w:rPr>
          <w:rtl/>
        </w:rPr>
        <w:t xml:space="preserve">, נפטר </w:t>
      </w:r>
      <w:proofErr w:type="spellStart"/>
      <w:r>
        <w:rPr>
          <w:rtl/>
        </w:rPr>
        <w:t>בדולהינוב</w:t>
      </w:r>
      <w:proofErr w:type="spellEnd"/>
      <w:r>
        <w:rPr>
          <w:rtl/>
        </w:rPr>
        <w:t xml:space="preserve"> אדם חשוך ילדים בשם יצחק, ובביקור הניחומים של שיינה קיבלה האלמנה את הבטחתה שאם תלד בן תקרא לו יצחק. נוסח אחר, שמועה שנמסרה בשם רבנו ושהזכיר ר׳ </w:t>
      </w:r>
      <w:proofErr w:type="spellStart"/>
      <w:r>
        <w:rPr>
          <w:rtl/>
        </w:rPr>
        <w:t>ליפא</w:t>
      </w:r>
      <w:proofErr w:type="spellEnd"/>
      <w:r>
        <w:rPr>
          <w:rtl/>
        </w:rPr>
        <w:t xml:space="preserve"> </w:t>
      </w:r>
      <w:proofErr w:type="spellStart"/>
      <w:r>
        <w:rPr>
          <w:rtl/>
        </w:rPr>
        <w:t>גלדוורט</w:t>
      </w:r>
      <w:proofErr w:type="spellEnd"/>
      <w:r>
        <w:rPr>
          <w:rtl/>
        </w:rPr>
        <w:t>, מספר שפרוש</w:t>
      </w:r>
      <w:bookmarkStart w:id="269" w:name="_fnr175"/>
      <w:bookmarkStart w:id="270" w:name="pr_f_108"/>
      <w:r>
        <w:rPr>
          <w:rStyle w:val="a5"/>
        </w:rPr>
        <w:footnoteReference w:id="175" w:customMarkFollows="0"/>
      </w:r>
      <w:bookmarkEnd w:id="269"/>
      <w:bookmarkEnd w:id="270"/>
      <w:r>
        <w:rPr>
          <w:rtl/>
        </w:rPr>
        <w:t xml:space="preserve"> סעד בבית משפחת </w:t>
      </w:r>
      <w:proofErr w:type="spellStart"/>
      <w:r>
        <w:rPr>
          <w:rtl/>
        </w:rPr>
        <w:t>רודרמן</w:t>
      </w:r>
      <w:proofErr w:type="spellEnd"/>
      <w:r>
        <w:rPr>
          <w:rtl/>
        </w:rPr>
        <w:t xml:space="preserve"> ושמע כמה נשים אומרות </w:t>
      </w:r>
      <w:proofErr w:type="spellStart"/>
      <w:r>
        <w:rPr>
          <w:rtl/>
        </w:rPr>
        <w:t>לשיינה</w:t>
      </w:r>
      <w:proofErr w:type="spellEnd"/>
      <w:r>
        <w:rPr>
          <w:rtl/>
        </w:rPr>
        <w:t xml:space="preserve"> </w:t>
      </w:r>
      <w:proofErr w:type="spellStart"/>
      <w:r>
        <w:rPr>
          <w:rtl/>
        </w:rPr>
        <w:t>רודרמן</w:t>
      </w:r>
      <w:proofErr w:type="spellEnd"/>
      <w:r>
        <w:rPr>
          <w:rtl/>
        </w:rPr>
        <w:t xml:space="preserve">: “הפעם יהיה לך בן”. “הוא נשא את עיניו ואמר: ‘מה, אין לך בן?! יהיה לך, בתנאי שתקראי לו יצחק, כשמי’”, סיפר כביכול אבי. לפי נוסח זה היה “יעקב” ודאי השם הראשי, ולא היה נקרא </w:t>
      </w:r>
      <w:proofErr w:type="spellStart"/>
      <w:r>
        <w:rPr>
          <w:rtl/>
        </w:rPr>
        <w:t>יעקב־יצחק</w:t>
      </w:r>
      <w:proofErr w:type="spellEnd"/>
      <w:r>
        <w:rPr>
          <w:rtl/>
        </w:rPr>
        <w:t xml:space="preserve"> כפי שזכר אבי מטקס הברית. אבל נוסח זה אינו מתקבל על הדעת כלל.</w:t>
      </w:r>
    </w:p>
    <w:bookmarkStart w:id="271" w:name="b1_note33"/>
    <w:p w14:paraId="7756E6F4" w14:textId="77777777" w:rsidR="00AB3647" w:rsidRDefault="00000000" w:rsidP="007923E9">
      <w:pPr>
        <w:spacing w:before="120" w:after="100" w:line="276" w:lineRule="auto"/>
        <w:jc w:val="both"/>
      </w:pPr>
      <w:r>
        <w:fldChar w:fldCharType="begin" w:dirty="true"/>
      </w:r>
      <w:r>
        <w:instrText>HYPERLINK \l "b1_ref33"</w:instrText>
      </w:r>
      <w:r>
        <w:fldChar w:fldCharType="separate"/>
      </w:r>
      <w:r>
        <w:rPr>
          <w:b/>
          <w:bCs/>
          <w:rtl/>
        </w:rPr>
        <w:t>33</w:t>
      </w:r>
      <w:r>
        <w:rPr>
          <w:b/>
          <w:bCs/>
        </w:rPr>
        <w:fldChar w:fldCharType="end"/>
      </w:r>
      <w:bookmarkEnd w:id="271"/>
      <w:r>
        <w:rPr>
          <w:rtl/>
        </w:rPr>
        <w:t xml:space="preserve"> אף שתמותת תינוקות לא הייתה נדירה באותן שנים, ייתכן שמות ילדתם השנייה זירז את החלטתם הקשה לעזוב את הנוחות של </w:t>
      </w:r>
      <w:proofErr w:type="spellStart"/>
      <w:r>
        <w:rPr>
          <w:rtl/>
        </w:rPr>
        <w:t>קאליסקובקה</w:t>
      </w:r>
      <w:proofErr w:type="spellEnd"/>
      <w:r>
        <w:rPr>
          <w:rtl/>
        </w:rPr>
        <w:t>. המקום העלה בהם זיכרונות עצובים.</w:t>
      </w:r>
    </w:p>
    <w:bookmarkStart w:id="272" w:name="b1_note34"/>
    <w:p w14:paraId="5BE72656" w14:textId="77777777" w:rsidR="00AB3647" w:rsidRDefault="00000000" w:rsidP="007923E9">
      <w:pPr>
        <w:spacing w:before="120" w:after="100" w:line="276" w:lineRule="auto"/>
        <w:jc w:val="both"/>
      </w:pPr>
      <w:r>
        <w:fldChar w:fldCharType="begin" w:dirty="true"/>
      </w:r>
      <w:r>
        <w:instrText>HYPERLINK \l "b1_ref34"</w:instrText>
      </w:r>
      <w:r>
        <w:fldChar w:fldCharType="separate"/>
      </w:r>
      <w:r>
        <w:rPr>
          <w:b/>
          <w:bCs/>
          <w:rtl/>
        </w:rPr>
        <w:t>34</w:t>
      </w:r>
      <w:r>
        <w:rPr>
          <w:b/>
          <w:bCs/>
        </w:rPr>
        <w:fldChar w:fldCharType="end"/>
      </w:r>
      <w:bookmarkEnd w:id="272"/>
      <w:r>
        <w:rPr>
          <w:rtl/>
        </w:rPr>
        <w:t xml:space="preserve"> אהרן (נולד תרנ״ו, נפטר תשכ״ו), יודל (נולד תרנ״ח, נהרג בקרב על </w:t>
      </w:r>
      <w:proofErr w:type="spellStart"/>
      <w:r>
        <w:rPr>
          <w:rtl/>
        </w:rPr>
        <w:t>דנייפרופטרובסק</w:t>
      </w:r>
      <w:proofErr w:type="spellEnd"/>
      <w:r>
        <w:rPr>
          <w:rtl/>
        </w:rPr>
        <w:t xml:space="preserve">, היא </w:t>
      </w:r>
      <w:proofErr w:type="spellStart"/>
      <w:r>
        <w:rPr>
          <w:rtl/>
        </w:rPr>
        <w:t>יקטרינוסלב</w:t>
      </w:r>
      <w:proofErr w:type="spellEnd"/>
      <w:r>
        <w:rPr>
          <w:rtl/>
        </w:rPr>
        <w:t>, בשנת תש״ג), ולאה (נולדה תר״ס, נפטרה תשל״א</w:t>
      </w:r>
      <w:bookmarkStart w:id="273" w:name="_fnr176"/>
      <w:r>
        <w:rPr>
          <w:rStyle w:val="a5"/>
        </w:rPr>
        <w:footnoteReference w:id="176" w:customMarkFollows="0"/>
      </w:r>
      <w:bookmarkEnd w:id="273"/>
      <w:r>
        <w:rPr>
          <w:rtl/>
        </w:rPr>
        <w:t>). דבורה, שהתכתבה עמי</w:t>
      </w:r>
      <w:bookmarkStart w:id="274" w:name="_fnr177"/>
      <w:r>
        <w:rPr>
          <w:rStyle w:val="a5"/>
        </w:rPr>
        <w:footnoteReference w:id="177" w:customMarkFollows="0"/>
      </w:r>
      <w:bookmarkEnd w:id="274"/>
      <w:r>
        <w:rPr>
          <w:rtl/>
        </w:rPr>
        <w:t>, נפטרה בשנת תשנ״ב.</w:t>
      </w:r>
    </w:p>
    <w:p w14:paraId="4DB68948" w14:textId="77777777" w:rsidR="00AB3647" w:rsidRDefault="00000000" w:rsidP="007923E9">
      <w:pPr>
        <w:pStyle w:val="2"/>
        <w:spacing w:line="276" w:lineRule="auto"/>
      </w:pPr>
      <w:bookmarkStart w:id="275" w:name="b1_sec3"/>
      <w:r>
        <w:t>3.</w:t>
      </w:r>
      <w:bookmarkEnd w:id="275"/>
    </w:p>
    <w:p w14:paraId="6EBD7967" w14:textId="177313B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עשה את רוב ימי ילדותו בדולהינוב</w:t>
      </w:r>
      <w:bookmarkStart w:id="276" w:name="b1_ref35"/>
      <w:bookmarkEnd w:id="276"/>
      <w:r>
        <w:rPr>
          <w:vertAlign w:val="superscript"/>
          <w:rtl/>
        </w:rPr>
        <w:fldChar w:fldCharType="begin" w:dirty="true"/>
      </w:r>
      <w:r>
        <w:rPr>
          <w:vertAlign w:val="superscript"/>
          <w:rtl/>
        </w:rPr>
        <w:instrText xml:space="preserve"> REF b1_note35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העיירה נעשתה חלק מרוסיה עם החלוקה האחרונה של פולין, מאה שנה שלמה קודם לכן – ביתור ששם קץ לעצמאותה של פולין עד סוף מלחמת העולם הראשונה. במסגרת תוכנית </w:t>
      </w:r>
      <w:proofErr w:type="spellStart"/>
      <w:r>
        <w:rPr>
          <w:rtl/>
        </w:rPr>
        <w:t>הרוּסיפיקציה</w:t>
      </w:r>
      <w:proofErr w:type="spellEnd"/>
      <w:r>
        <w:rPr>
          <w:rtl/>
        </w:rPr>
        <w:t xml:space="preserve"> שלה ציוותה הממשלה לגרש את היהודים מן הכפרים וליישבם מחדש בעיירות ובערים. אבל צו זה לא נאכף בקפדנות עד רצח הצאר אלכסנדר השני במרץ 1881, כשגל של פרעות היכה בארץ. מדיניות יישובם מחדש של היהודים התחזקה בצו מחודש שהוצא בשנת 1882.</w:t>
      </w:r>
    </w:p>
    <w:bookmarkStart w:id="277" w:name="b1_note35"/>
    <w:p w14:paraId="75E753FC" w14:textId="77777777" w:rsidR="00AB3647" w:rsidRDefault="00000000" w:rsidP="007923E9">
      <w:pPr>
        <w:spacing w:before="120" w:after="100" w:line="276" w:lineRule="auto"/>
        <w:jc w:val="both"/>
      </w:pPr>
      <w:r>
        <w:fldChar w:fldCharType="begin" w:dirty="true"/>
      </w:r>
      <w:r>
        <w:instrText>HYPERLINK \l "b1_ref35"</w:instrText>
      </w:r>
      <w:r>
        <w:fldChar w:fldCharType="separate"/>
      </w:r>
      <w:r>
        <w:rPr>
          <w:b/>
          <w:bCs/>
          <w:rtl/>
        </w:rPr>
        <w:t>35</w:t>
      </w:r>
      <w:r>
        <w:rPr>
          <w:b/>
          <w:bCs/>
        </w:rPr>
        <w:fldChar w:fldCharType="end"/>
      </w:r>
      <w:bookmarkEnd w:id="277"/>
      <w:r>
        <w:rPr>
          <w:rtl/>
        </w:rPr>
        <w:t xml:space="preserve"> הוא יצא ללמוד בישיבת </w:t>
      </w:r>
      <w:proofErr w:type="spellStart"/>
      <w:r>
        <w:rPr>
          <w:rtl/>
        </w:rPr>
        <w:t>סלבודקה</w:t>
      </w:r>
      <w:proofErr w:type="spellEnd"/>
      <w:r>
        <w:rPr>
          <w:rtl/>
        </w:rPr>
        <w:t xml:space="preserve"> לא </w:t>
      </w:r>
      <w:proofErr w:type="spellStart"/>
      <w:r>
        <w:rPr>
          <w:rtl/>
        </w:rPr>
        <w:t>מדולהינוב</w:t>
      </w:r>
      <w:proofErr w:type="spellEnd"/>
      <w:r>
        <w:rPr>
          <w:rtl/>
        </w:rPr>
        <w:t xml:space="preserve"> אלא ממינסק, העיר שאליה עברו הוריו באותו זמן. ואף על פי כן נקרא אבי </w:t>
      </w:r>
      <w:proofErr w:type="spellStart"/>
      <w:r>
        <w:rPr>
          <w:rtl/>
        </w:rPr>
        <w:t>יענקל</w:t>
      </w:r>
      <w:proofErr w:type="spellEnd"/>
      <w:r>
        <w:rPr>
          <w:rtl/>
        </w:rPr>
        <w:t xml:space="preserve"> </w:t>
      </w:r>
      <w:proofErr w:type="spellStart"/>
      <w:r>
        <w:rPr>
          <w:rtl/>
        </w:rPr>
        <w:t>דולהינובר</w:t>
      </w:r>
      <w:proofErr w:type="spellEnd"/>
      <w:r>
        <w:rPr>
          <w:rtl/>
        </w:rPr>
        <w:t>, לפי המנהג שרווח בישיבות ליטא לכנות תלמיד על שם העיר שממנה בא.</w:t>
      </w:r>
    </w:p>
    <w:p w14:paraId="468DD638" w14:textId="77777777" w:rsidR="00AB3647" w:rsidRDefault="00000000" w:rsidP="007923E9">
      <w:pPr>
        <w:spacing w:before="120" w:after="100" w:line="276" w:lineRule="auto"/>
        <w:jc w:val="both"/>
      </w:pPr>
      <w:r>
        <w:rPr>
          <w:rtl/>
        </w:rPr>
        <w:lastRenderedPageBreak/>
        <w:t xml:space="preserve">לדברי ר׳ </w:t>
      </w:r>
      <w:proofErr w:type="spellStart"/>
      <w:r>
        <w:rPr>
          <w:rtl/>
        </w:rPr>
        <w:t>ישראל־מאיר</w:t>
      </w:r>
      <w:proofErr w:type="spellEnd"/>
      <w:r>
        <w:rPr>
          <w:rtl/>
        </w:rPr>
        <w:t xml:space="preserve"> </w:t>
      </w:r>
      <w:proofErr w:type="spellStart"/>
      <w:r>
        <w:rPr>
          <w:rtl/>
        </w:rPr>
        <w:t>קארנו</w:t>
      </w:r>
      <w:proofErr w:type="spellEnd"/>
      <w:r>
        <w:rPr>
          <w:rtl/>
        </w:rPr>
        <w:t xml:space="preserve"> (במקורו </w:t>
      </w:r>
      <w:proofErr w:type="spellStart"/>
      <w:r>
        <w:rPr>
          <w:rtl/>
        </w:rPr>
        <w:t>קארנוביץ</w:t>
      </w:r>
      <w:proofErr w:type="spellEnd"/>
      <w:r>
        <w:rPr>
          <w:rtl/>
        </w:rPr>
        <w:t>)</w:t>
      </w:r>
      <w:bookmarkStart w:id="278" w:name="_fnr178"/>
      <w:r>
        <w:rPr>
          <w:rStyle w:val="a5"/>
        </w:rPr>
        <w:footnoteReference w:id="178" w:customMarkFollows="0"/>
      </w:r>
      <w:bookmarkEnd w:id="278"/>
      <w:r>
        <w:rPr>
          <w:rtl/>
        </w:rPr>
        <w:t xml:space="preserve">, דרך כינוי זו לא נהגה </w:t>
      </w:r>
      <w:proofErr w:type="spellStart"/>
      <w:r>
        <w:rPr>
          <w:rtl/>
        </w:rPr>
        <w:t>בטלז</w:t>
      </w:r>
      <w:proofErr w:type="spellEnd"/>
      <w:r>
        <w:rPr>
          <w:rtl/>
        </w:rPr>
        <w:t xml:space="preserve">, לפחות בשנות </w:t>
      </w:r>
      <w:proofErr w:type="spellStart"/>
      <w:r>
        <w:rPr>
          <w:rtl/>
        </w:rPr>
        <w:t xml:space="preserve">התר״צ</w:t>
      </w:r>
      <w:proofErr w:type="spellEnd"/>
      <w:r>
        <w:rPr>
          <w:rtl/>
        </w:rPr>
        <w:t xml:space="preserve"> – שנות השלושים של המאה ה־20, העשור האחרון לקיומן של ישיבות ליטא לפני השואה. המרואיין למד </w:t>
      </w:r>
      <w:proofErr w:type="spellStart"/>
      <w:r>
        <w:rPr>
          <w:rtl/>
        </w:rPr>
        <w:t>בטלז</w:t>
      </w:r>
      <w:proofErr w:type="spellEnd"/>
      <w:r>
        <w:rPr>
          <w:rtl/>
        </w:rPr>
        <w:t xml:space="preserve"> חמש שנים ונקרא שם פשוט </w:t>
      </w:r>
      <w:proofErr w:type="spellStart"/>
      <w:r>
        <w:rPr>
          <w:rtl/>
        </w:rPr>
        <w:t>ישראל־מאיר</w:t>
      </w:r>
      <w:proofErr w:type="spellEnd"/>
      <w:r>
        <w:rPr>
          <w:rtl/>
        </w:rPr>
        <w:t xml:space="preserve"> </w:t>
      </w:r>
      <w:proofErr w:type="spellStart"/>
      <w:r>
        <w:rPr>
          <w:rtl/>
        </w:rPr>
        <w:t>קארנוביץ</w:t>
      </w:r>
      <w:proofErr w:type="spellEnd"/>
      <w:r>
        <w:rPr>
          <w:rtl/>
        </w:rPr>
        <w:t xml:space="preserve">. הוא נימק זאת: “שלא </w:t>
      </w:r>
      <w:proofErr w:type="spellStart"/>
      <w:r>
        <w:rPr>
          <w:rtl/>
        </w:rPr>
        <w:t>כבסלבודקה</w:t>
      </w:r>
      <w:proofErr w:type="spellEnd"/>
      <w:r>
        <w:rPr>
          <w:rtl/>
        </w:rPr>
        <w:t xml:space="preserve"> – </w:t>
      </w:r>
      <w:proofErr w:type="spellStart"/>
      <w:r>
        <w:rPr>
          <w:rtl/>
        </w:rPr>
        <w:t>ובמיר</w:t>
      </w:r>
      <w:proofErr w:type="spellEnd"/>
      <w:r>
        <w:rPr>
          <w:rtl/>
        </w:rPr>
        <w:t xml:space="preserve">, שבה למדתי גם כן – קרבתה של </w:t>
      </w:r>
      <w:proofErr w:type="spellStart"/>
      <w:r>
        <w:rPr>
          <w:rtl/>
        </w:rPr>
        <w:t>טלז</w:t>
      </w:r>
      <w:proofErr w:type="spellEnd"/>
      <w:r>
        <w:rPr>
          <w:rtl/>
        </w:rPr>
        <w:t xml:space="preserve"> לגבול גרמניה, ואולי גם העובדה שמנהלי הישיבה היו חתניהם של בני משפחת דניס העשירים </w:t>
      </w:r>
      <w:proofErr w:type="spellStart"/>
      <w:r>
        <w:rPr>
          <w:rtl/>
        </w:rPr>
        <w:t>מהומל</w:t>
      </w:r>
      <w:proofErr w:type="spellEnd"/>
      <w:r>
        <w:rPr>
          <w:rtl/>
        </w:rPr>
        <w:t>, גרמו לה לאמץ מנהגים מודרניים יותר”.</w:t>
      </w:r>
    </w:p>
    <w:p w14:paraId="4A5FFCEF" w14:textId="02F0A9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בעשור שלפני בואה של משפחת </w:t>
      </w:r>
      <w:proofErr w:type="spellStart"/>
      <w:r>
        <w:rPr>
          <w:rtl/>
        </w:rPr>
        <w:t>קמינצקי</w:t>
      </w:r>
      <w:proofErr w:type="spellEnd"/>
      <w:r>
        <w:rPr>
          <w:rtl/>
        </w:rPr>
        <w:t xml:space="preserve">, עברו </w:t>
      </w:r>
      <w:proofErr w:type="spellStart"/>
      <w:r>
        <w:rPr>
          <w:rtl/>
        </w:rPr>
        <w:t>לדולהינוב</w:t>
      </w:r>
      <w:proofErr w:type="spellEnd"/>
      <w:r>
        <w:rPr>
          <w:rtl/>
        </w:rPr>
        <w:t xml:space="preserve"> משפחות יהודיות רבות שגרו בכפרים שסביב העיירה. הן הצטרפו לקהילה יהודית שלפי עדותן האילמת של מצבות בית הקברות שלה כבר הייתה קיימת יותר משלוש מאות שנה</w:t>
      </w:r>
      <w:bookmarkStart w:id="279" w:name="b1_ref36"/>
      <w:bookmarkEnd w:id="279"/>
      <w:r>
        <w:rPr>
          <w:vertAlign w:val="superscript"/>
          <w:rtl/>
        </w:rPr>
        <w:fldChar w:fldCharType="begin" w:dirty="true"/>
      </w:r>
      <w:r>
        <w:rPr>
          <w:vertAlign w:val="superscript"/>
          <w:rtl/>
        </w:rPr>
        <w:instrText xml:space="preserve"> REF b1_note36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vertAlign w:val="superscript"/>
        </w:rPr>
        <w:t>,</w:t>
      </w:r>
      <w:bookmarkStart w:id="280" w:name="b1_ref37"/>
      <w:bookmarkEnd w:id="280"/>
      <w:r>
        <w:rPr>
          <w:vertAlign w:val="superscript"/>
          <w:rtl/>
        </w:rPr>
        <w:fldChar w:fldCharType="begin" w:dirty="true"/>
      </w:r>
      <w:r>
        <w:rPr>
          <w:vertAlign w:val="superscript"/>
          <w:rtl/>
        </w:rPr>
        <w:instrText xml:space="preserve"> REF b1_note37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מתוך אוכלוסייה כוללת של 3,500 נפש, היו </w:t>
      </w:r>
      <w:proofErr w:type="spellStart"/>
      <w:r>
        <w:rPr>
          <w:rtl/>
        </w:rPr>
        <w:t>בדולהינוב</w:t>
      </w:r>
      <w:proofErr w:type="spellEnd"/>
      <w:r>
        <w:rPr>
          <w:rtl/>
        </w:rPr>
        <w:t xml:space="preserve"> כ־2,500 יהודים בשנת תרנ״ד</w:t>
      </w:r>
      <w:bookmarkStart w:id="281" w:name="b1_ref38"/>
      <w:bookmarkEnd w:id="281"/>
      <w:r>
        <w:rPr>
          <w:vertAlign w:val="superscript"/>
          <w:rtl/>
        </w:rPr>
        <w:fldChar w:fldCharType="begin" w:dirty="true"/>
      </w:r>
      <w:r>
        <w:rPr>
          <w:vertAlign w:val="superscript"/>
          <w:rtl/>
        </w:rPr>
        <w:instrText xml:space="preserve"> REF b1_note38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פי שניים ממספרם חמישים שנה קודם לכן.</w:t>
      </w:r>
    </w:p>
    <w:bookmarkStart w:id="282" w:name="b1_note36"/>
    <w:p w14:paraId="5F772774" w14:textId="77777777" w:rsidR="00AB3647" w:rsidRDefault="00000000" w:rsidP="007923E9">
      <w:pPr>
        <w:spacing w:before="120" w:after="100" w:line="276" w:lineRule="auto"/>
        <w:jc w:val="both"/>
      </w:pPr>
      <w:r>
        <w:fldChar w:fldCharType="begin" w:dirty="true"/>
      </w:r>
      <w:r>
        <w:instrText>HYPERLINK \l "b1_ref36"</w:instrText>
      </w:r>
      <w:r>
        <w:fldChar w:fldCharType="separate"/>
      </w:r>
      <w:r>
        <w:rPr>
          <w:b/>
          <w:bCs/>
          <w:rtl/>
        </w:rPr>
        <w:t>36</w:t>
      </w:r>
      <w:r>
        <w:rPr>
          <w:b/>
          <w:bCs/>
        </w:rPr>
        <w:fldChar w:fldCharType="end"/>
      </w:r>
      <w:bookmarkEnd w:id="282"/>
      <w:r>
        <w:rPr>
          <w:rtl/>
        </w:rPr>
        <w:t xml:space="preserve"> “אש תמיד”</w:t>
      </w:r>
      <w:bookmarkStart w:id="283" w:name="_fnr179"/>
      <w:r>
        <w:rPr>
          <w:rStyle w:val="a5"/>
        </w:rPr>
        <w:footnoteReference w:id="179" w:customMarkFollows="0"/>
      </w:r>
      <w:bookmarkEnd w:id="283"/>
      <w:r>
        <w:rPr>
          <w:rtl/>
        </w:rPr>
        <w:t>.</w:t>
      </w:r>
    </w:p>
    <w:bookmarkStart w:id="284" w:name="b1_note37"/>
    <w:p w14:paraId="793163AE" w14:textId="77777777" w:rsidR="00AB3647" w:rsidRDefault="00000000" w:rsidP="007923E9">
      <w:pPr>
        <w:spacing w:before="120" w:after="100" w:line="276" w:lineRule="auto"/>
        <w:jc w:val="both"/>
      </w:pPr>
      <w:r>
        <w:fldChar w:fldCharType="begin" w:dirty="true"/>
      </w:r>
      <w:r>
        <w:instrText>HYPERLINK \l "b1_ref37"</w:instrText>
      </w:r>
      <w:r>
        <w:fldChar w:fldCharType="separate"/>
      </w:r>
      <w:r>
        <w:rPr>
          <w:b/>
          <w:bCs/>
          <w:rtl/>
        </w:rPr>
        <w:t>37</w:t>
      </w:r>
      <w:r>
        <w:rPr>
          <w:b/>
          <w:bCs/>
        </w:rPr>
        <w:fldChar w:fldCharType="end"/>
      </w:r>
      <w:bookmarkEnd w:id="284"/>
      <w:r>
        <w:rPr>
          <w:rtl/>
        </w:rPr>
        <w:t xml:space="preserve"> הקהילה הושמדה בשנת תש״ב בידי הנאצים ומשתפי הפעולה המקומיים שלהם, בארבעה שלבים במשך חודשיים: אקציה ב־28 במרץ (י״ב בניסן), שבה נטבחו 800 יהודים, גופותיהם הוצתו, וגוויותיהם השרופות למחצה נקברו בקבר אחים; הקמת גטו ב־7 באפריל (כ׳ בניסן); השתוללות בת שלושה ימים שהחלה ב־29 באפריל (י״ב באייר), שבה נהרגו כולם חוץ מ־300 פועלים שהגרמנים עדיין נזקקו להם, יחד עם כמה מבני משפחותיהם; וההשמדה הסופית ב־21 במאי (ו׳ בסיוון</w:t>
      </w:r>
      <w:bookmarkStart w:id="285" w:name="_fnr180"/>
      <w:bookmarkEnd w:id="285"/>
      <w:r>
        <w:rPr>
          <w:rStyle w:val="a5"/>
        </w:rPr>
        <w:t/>
      </w:r>
      <w:bookmarkStart w:id="6988" w:name="_TranslatorNote_180"/>
      <w:r>
        <w:rPr>
          <w:rStyle w:val="a5"/>
          <w:vertAlign w:val="superscript"/>
          <w:rtl/>
        </w:rPr>
        <w:footnoteReference w:id="180" w:customMarkFollows="1"/>
        <w:t>*</w:t>
      </w:r>
      <w:bookmarkEnd w:id="6988"/>
      <w:r>
        <w:rPr>
          <w:rtl/>
        </w:rPr>
        <w:t>).</w:t>
      </w:r>
    </w:p>
    <w:p w14:paraId="76CA028B" w14:textId="77777777" w:rsidR="00AB3647" w:rsidRDefault="00000000" w:rsidP="007923E9">
      <w:pPr>
        <w:spacing w:before="120" w:after="100" w:line="276" w:lineRule="auto"/>
        <w:jc w:val="both"/>
      </w:pPr>
      <w:r>
        <w:rPr>
          <w:rtl/>
        </w:rPr>
        <w:t xml:space="preserve">בני </w:t>
      </w:r>
      <w:proofErr w:type="spellStart"/>
      <w:r>
        <w:rPr>
          <w:rtl/>
        </w:rPr>
        <w:t>דולהינוב</w:t>
      </w:r>
      <w:proofErr w:type="spellEnd"/>
      <w:r>
        <w:rPr>
          <w:rtl/>
        </w:rPr>
        <w:t xml:space="preserve"> שפונו לרוסיה האסייתית מפני הפלישה הגרמנית, אלה ששירתו בצבא האדום, ואלה ששרדו את הכיבוש – אלה שהצטרפו לפרטיזנים ביער </w:t>
      </w:r>
      <w:proofErr w:type="spellStart"/>
      <w:r>
        <w:rPr>
          <w:rtl/>
        </w:rPr>
        <w:t>נארוץ</w:t>
      </w:r>
      <w:proofErr w:type="spellEnd"/>
      <w:r>
        <w:rPr>
          <w:rtl/>
        </w:rPr>
        <w:t xml:space="preserve">׳ או שהוסתרו בבתי גויים בכפרים ובחוות שבסביבה – לא חזרו להתיישב </w:t>
      </w:r>
      <w:proofErr w:type="spellStart"/>
      <w:r>
        <w:rPr>
          <w:rtl/>
        </w:rPr>
        <w:t>בדולהינוב</w:t>
      </w:r>
      <w:bookmarkStart w:id="286" w:name="_fnr181"/>
      <w:proofErr w:type="spellEnd"/>
      <w:r>
        <w:rPr>
          <w:rStyle w:val="a5"/>
        </w:rPr>
        <w:footnoteReference w:id="181" w:customMarkFollows="0"/>
      </w:r>
      <w:bookmarkEnd w:id="286"/>
      <w:r>
        <w:rPr>
          <w:rtl/>
        </w:rPr>
        <w:t>.</w:t>
      </w:r>
    </w:p>
    <w:bookmarkStart w:id="287" w:name="b1_note38"/>
    <w:p w14:paraId="3ED083E9" w14:textId="77777777" w:rsidR="00AB3647" w:rsidRDefault="00000000" w:rsidP="007923E9">
      <w:pPr>
        <w:spacing w:before="120" w:after="100" w:line="276" w:lineRule="auto"/>
        <w:jc w:val="both"/>
      </w:pPr>
      <w:r>
        <w:fldChar w:fldCharType="begin" w:dirty="true"/>
      </w:r>
      <w:r>
        <w:instrText>HYPERLINK \l "b1_ref38"</w:instrText>
      </w:r>
      <w:r>
        <w:fldChar w:fldCharType="separate"/>
      </w:r>
      <w:r>
        <w:rPr>
          <w:b/>
          <w:bCs/>
          <w:rtl/>
        </w:rPr>
        <w:t>38</w:t>
      </w:r>
      <w:r>
        <w:rPr>
          <w:b/>
          <w:bCs/>
        </w:rPr>
        <w:fldChar w:fldCharType="end"/>
      </w:r>
      <w:bookmarkEnd w:id="287"/>
      <w:r>
        <w:rPr>
          <w:rtl/>
        </w:rPr>
        <w:t xml:space="preserve"> “אש תמיד”</w:t>
      </w:r>
      <w:bookmarkStart w:id="288" w:name="_fnr182"/>
      <w:r>
        <w:rPr>
          <w:rStyle w:val="a5"/>
        </w:rPr>
        <w:footnoteReference w:id="182" w:customMarkFollows="0"/>
      </w:r>
      <w:bookmarkEnd w:id="288"/>
      <w:r>
        <w:rPr>
          <w:rtl/>
        </w:rPr>
        <w:t>.</w:t>
      </w:r>
    </w:p>
    <w:p w14:paraId="60614D65" w14:textId="5D7294C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בלארוס הייתה חלק מממלכת ליטא מאז שנת ה׳ אלפים. לפיכך, היהודים מן ההמון שהתחילו להגיע לאזורים המזרחיים הרחוקים של אירופה בתחילת שנות </w:t>
      </w:r>
      <w:proofErr w:type="spellStart"/>
      <w:r>
        <w:rPr>
          <w:rtl/>
        </w:rPr>
        <w:t>ה׳ש</w:t>
      </w:r>
      <w:proofErr w:type="spellEnd"/>
      <w:r>
        <w:rPr>
          <w:rtl/>
        </w:rPr>
        <w:t>׳ והתיישבו בבלארוס</w:t>
      </w:r>
      <w:bookmarkStart w:id="289" w:name="b1_ref39"/>
      <w:bookmarkEnd w:id="289"/>
      <w:r>
        <w:rPr>
          <w:vertAlign w:val="superscript"/>
          <w:rtl/>
        </w:rPr>
        <w:fldChar w:fldCharType="begin" w:dirty="true"/>
      </w:r>
      <w:r>
        <w:rPr>
          <w:vertAlign w:val="superscript"/>
          <w:rtl/>
        </w:rPr>
        <w:instrText xml:space="preserve"> REF b1_note39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נהגו באותם מנהגים כלליים ופיתחו אותן תכונות כמו אלה שהתיישבו באותו זמן באזורים האחרים שתחת שלטון ליטא</w:t>
      </w:r>
      <w:bookmarkStart w:id="290" w:name="b1_ref40"/>
      <w:bookmarkEnd w:id="290"/>
      <w:r>
        <w:rPr>
          <w:vertAlign w:val="superscript"/>
          <w:rtl/>
        </w:rPr>
        <w:fldChar w:fldCharType="begin" w:dirty="true"/>
      </w:r>
      <w:r>
        <w:rPr>
          <w:vertAlign w:val="superscript"/>
          <w:rtl/>
        </w:rPr>
        <w:instrText xml:space="preserve"> REF b1_note40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w:t>
      </w:r>
    </w:p>
    <w:bookmarkStart w:id="291" w:name="b1_note39"/>
    <w:p w14:paraId="0FE30E09" w14:textId="77777777" w:rsidR="00AB3647" w:rsidRDefault="00000000" w:rsidP="007923E9">
      <w:pPr>
        <w:spacing w:before="120" w:after="100" w:line="276" w:lineRule="auto"/>
        <w:jc w:val="both"/>
      </w:pPr>
      <w:r>
        <w:lastRenderedPageBreak/>
        <w:fldChar w:fldCharType="begin" w:dirty="true"/>
      </w:r>
      <w:r>
        <w:instrText>HYPERLINK \l "b1_ref39"</w:instrText>
      </w:r>
      <w:r>
        <w:fldChar w:fldCharType="separate"/>
      </w:r>
      <w:r>
        <w:rPr>
          <w:b/>
          <w:bCs/>
          <w:rtl/>
        </w:rPr>
        <w:t>39</w:t>
      </w:r>
      <w:r>
        <w:rPr>
          <w:b/>
          <w:bCs/>
        </w:rPr>
        <w:fldChar w:fldCharType="end"/>
      </w:r>
      <w:bookmarkEnd w:id="291"/>
      <w:r>
        <w:rPr>
          <w:rtl/>
        </w:rPr>
        <w:t xml:space="preserve"> אנציקלופדיה יודאיקה</w:t>
      </w:r>
      <w:bookmarkStart w:id="292" w:name="_fnr183"/>
      <w:r>
        <w:rPr>
          <w:rStyle w:val="a5"/>
        </w:rPr>
        <w:footnoteReference w:id="183" w:customMarkFollows="0"/>
      </w:r>
      <w:bookmarkEnd w:id="292"/>
      <w:r>
        <w:rPr>
          <w:rtl/>
        </w:rPr>
        <w:t>. יש חוקרים הסבורים שהתפתחותה הייחודית של יהדות ליטא נבעה מהתפשטות כיבושי ליטא עד חצי האי קרים והים השחור: כך יכלו היהודים הספרדים שישבו שם להתערבב ביהודים האשכנזים שנדדו מזרחה ברחבי אירופה אל ממלכת ליטא. בולט שגדולי התורה בליטא אינם עושים הבחנה חברתית כלשהי בין אשכנזים לספרדים. אפשר לייחס זאת, בין שאר סיבות פשוטות ויסודיות יותר, להתמזגות אשכנז וספרד שלפי חוקרים אלה יצרה את יהדות ליטא.</w:t>
      </w:r>
    </w:p>
    <w:p w14:paraId="149E29CB" w14:textId="77777777" w:rsidR="00AB3647" w:rsidRDefault="00000000" w:rsidP="007923E9">
      <w:pPr>
        <w:spacing w:before="120" w:after="100" w:line="276" w:lineRule="auto"/>
        <w:jc w:val="both"/>
      </w:pPr>
      <w:r>
        <w:rPr>
          <w:rtl/>
        </w:rPr>
        <w:t xml:space="preserve">השקפתו של אבי בעניין זה נתגלתה בשנת </w:t>
      </w:r>
      <w:proofErr w:type="spellStart"/>
      <w:r>
        <w:rPr>
          <w:rtl/>
        </w:rPr>
        <w:t>תש״ם</w:t>
      </w:r>
      <w:proofErr w:type="spellEnd"/>
      <w:r>
        <w:rPr>
          <w:rtl/>
        </w:rPr>
        <w:t>, בביקור בישיבת קול יעקב בבית וגן שבירושלים: הוא דיבר בבית המדרש ואמר שהתלמידים יכולים להיות בטוחים שכשיבוא המשיח יבקר בישיבתם, משום שהיא משלבת תלמידים אשכנזים וספרדים.</w:t>
      </w:r>
    </w:p>
    <w:bookmarkStart w:id="293" w:name="b1_note40"/>
    <w:p w14:paraId="12B5FEE8" w14:textId="77777777" w:rsidR="00AB3647" w:rsidRDefault="00000000" w:rsidP="007923E9">
      <w:pPr>
        <w:spacing w:before="120" w:after="100" w:line="276" w:lineRule="auto"/>
        <w:jc w:val="both"/>
      </w:pPr>
      <w:r>
        <w:fldChar w:fldCharType="begin" w:dirty="true"/>
      </w:r>
      <w:r>
        <w:instrText>HYPERLINK \l "b1_ref40"</w:instrText>
      </w:r>
      <w:r>
        <w:fldChar w:fldCharType="separate"/>
      </w:r>
      <w:r>
        <w:rPr>
          <w:b/>
          <w:bCs/>
          <w:rtl/>
        </w:rPr>
        <w:t>40</w:t>
      </w:r>
      <w:r>
        <w:rPr>
          <w:b/>
          <w:bCs/>
        </w:rPr>
        <w:fldChar w:fldCharType="end"/>
      </w:r>
      <w:bookmarkEnd w:id="293"/>
      <w:r>
        <w:rPr>
          <w:rtl/>
        </w:rPr>
        <w:t xml:space="preserve"> נוסחם בכמה תפילות מזדמנות, הידוע כנוסח </w:t>
      </w:r>
      <w:proofErr w:type="spellStart"/>
      <w:r>
        <w:rPr>
          <w:rtl/>
        </w:rPr>
        <w:t>רייסין</w:t>
      </w:r>
      <w:proofErr w:type="spellEnd"/>
      <w:r>
        <w:rPr>
          <w:rtl/>
        </w:rPr>
        <w:t xml:space="preserve">, שונה רק במעט מן הנוסח הליטאי, הידוע כנוסח ליטא </w:t>
      </w:r>
      <w:proofErr w:type="spellStart"/>
      <w:r>
        <w:rPr>
          <w:rtl/>
        </w:rPr>
        <w:t>וזאמוט</w:t>
      </w:r>
      <w:proofErr w:type="spellEnd"/>
      <w:r>
        <w:rPr>
          <w:rtl/>
        </w:rPr>
        <w:t>.</w:t>
      </w:r>
    </w:p>
    <w:p w14:paraId="6B00B98F" w14:textId="332365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הדבר השתנה עם התפשטות החסידות כעבור מאתיים שנה. בבלארוס, הקרובה יותר מבחינה גאוגרפית </w:t>
      </w:r>
      <w:proofErr w:type="spellStart"/>
      <w:r>
        <w:rPr>
          <w:rtl/>
        </w:rPr>
        <w:t>לווהלין</w:t>
      </w:r>
      <w:proofErr w:type="spellEnd"/>
      <w:r>
        <w:rPr>
          <w:rtl/>
        </w:rPr>
        <w:t xml:space="preserve"> ולאוקראינה, ערש התנועה החדשה, הכו שורש יותר כיתות חסידיות מאשר בליטא הרחוקה יותר. החזקה שבכיתות החסידיות בבלארוס הייתה חב״ד</w:t>
      </w:r>
      <w:bookmarkStart w:id="294" w:name="b1_ref41"/>
      <w:bookmarkEnd w:id="294"/>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חסידי ר׳ </w:t>
      </w:r>
      <w:proofErr w:type="spellStart"/>
      <w:r>
        <w:rPr>
          <w:rtl/>
        </w:rPr>
        <w:t>שניאור־זלמן</w:t>
      </w:r>
      <w:proofErr w:type="spellEnd"/>
      <w:r>
        <w:rPr>
          <w:rtl/>
        </w:rPr>
        <w:t xml:space="preserve"> </w:t>
      </w:r>
      <w:proofErr w:type="spellStart"/>
      <w:r>
        <w:rPr>
          <w:rtl/>
        </w:rPr>
        <w:t>מלאדי</w:t>
      </w:r>
      <w:proofErr w:type="spellEnd"/>
      <w:r>
        <w:rPr>
          <w:rtl/>
        </w:rPr>
        <w:t xml:space="preserve">, עיירה סמוך </w:t>
      </w:r>
      <w:proofErr w:type="spellStart"/>
      <w:r>
        <w:rPr>
          <w:rtl/>
        </w:rPr>
        <w:t>למוהילוב</w:t>
      </w:r>
      <w:proofErr w:type="spellEnd"/>
      <w:r>
        <w:rPr>
          <w:rtl/>
        </w:rPr>
        <w:t xml:space="preserve">. רוב יהודי </w:t>
      </w:r>
      <w:proofErr w:type="spellStart"/>
      <w:r>
        <w:rPr>
          <w:rtl/>
        </w:rPr>
        <w:t>דולהינוב</w:t>
      </w:r>
      <w:proofErr w:type="spellEnd"/>
      <w:r>
        <w:rPr>
          <w:rtl/>
        </w:rPr>
        <w:t xml:space="preserve"> החזיקו בהתנגדות הנמרצת לחסידות שרווחה בשאר פלך וילנה ברוח תורת הגאון מווילנה ותלמידיו, אבל היה בעיירה מספר ניכר של חב״דניקעס</w:t>
      </w:r>
      <w:r>
        <w:rPr>
          <w:vertAlign w:val="superscript"/>
          <w:rtl/>
        </w:rPr>
        <w:fldChar w:fldCharType="begin" w:dirty="true"/>
      </w:r>
      <w:r>
        <w:rPr>
          <w:vertAlign w:val="superscript"/>
          <w:rtl/>
        </w:rPr>
        <w:instrText xml:space="preserve"> REF b1_note41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w:t>
      </w:r>
    </w:p>
    <w:bookmarkStart w:id="295" w:name="b1_note41"/>
    <w:p w14:paraId="15DB9465" w14:textId="77777777" w:rsidR="00AB3647" w:rsidRDefault="00000000" w:rsidP="007923E9">
      <w:pPr>
        <w:spacing w:before="120" w:after="100" w:line="276" w:lineRule="auto"/>
        <w:jc w:val="both"/>
      </w:pPr>
      <w:r>
        <w:fldChar w:fldCharType="begin" w:dirty="true"/>
      </w:r>
      <w:r>
        <w:instrText>HYPERLINK \l "b1_ref41"</w:instrText>
      </w:r>
      <w:r>
        <w:fldChar w:fldCharType="separate"/>
      </w:r>
      <w:r>
        <w:rPr>
          <w:b/>
          <w:bCs/>
          <w:rtl/>
        </w:rPr>
        <w:t>41</w:t>
      </w:r>
      <w:r>
        <w:rPr>
          <w:b/>
          <w:bCs/>
        </w:rPr>
        <w:fldChar w:fldCharType="end"/>
      </w:r>
      <w:bookmarkEnd w:id="295"/>
      <w:r>
        <w:rPr>
          <w:rtl/>
        </w:rPr>
        <w:t xml:space="preserve"> “חב״ד” הוא ראשי תיבות של חכמה בינה דעת, שלפי הקבלה הן הכתר של האלוהות. חסידי </w:t>
      </w:r>
      <w:proofErr w:type="spellStart"/>
      <w:r>
        <w:rPr>
          <w:rtl/>
        </w:rPr>
        <w:t>ליובאוויטש</w:t>
      </w:r>
      <w:proofErr w:type="spellEnd"/>
      <w:r>
        <w:rPr>
          <w:rtl/>
        </w:rPr>
        <w:t xml:space="preserve"> הם לומדי קבלה מסורים, ולכן הם נקראים בכינוי זה, </w:t>
      </w:r>
      <w:proofErr w:type="spellStart"/>
      <w:r>
        <w:rPr>
          <w:rtl/>
        </w:rPr>
        <w:t>חב״דניקעס</w:t>
      </w:r>
      <w:proofErr w:type="spellEnd"/>
      <w:r>
        <w:rPr>
          <w:rtl/>
        </w:rPr>
        <w:t>.</w:t>
      </w:r>
    </w:p>
    <w:p w14:paraId="23D89A78" w14:textId="77777777" w:rsidR="00AB3647" w:rsidRDefault="00000000" w:rsidP="007923E9">
      <w:pPr>
        <w:spacing w:after="100" w:line="276" w:lineRule="auto"/>
        <w:ind w:firstLine="340"/>
        <w:jc w:val="both"/>
      </w:pPr>
      <w:r>
        <w:rPr>
          <w:rtl/>
        </w:rPr>
        <w:t xml:space="preserve">דודיה של </w:t>
      </w:r>
      <w:proofErr w:type="spellStart"/>
      <w:r>
        <w:rPr>
          <w:rtl/>
        </w:rPr>
        <w:t>עטיל</w:t>
      </w:r>
      <w:proofErr w:type="spellEnd"/>
      <w:r>
        <w:rPr>
          <w:rtl/>
        </w:rPr>
        <w:t xml:space="preserve"> </w:t>
      </w:r>
      <w:proofErr w:type="spellStart"/>
      <w:r>
        <w:rPr>
          <w:rtl/>
        </w:rPr>
        <w:t>דנציג־קמינצקי</w:t>
      </w:r>
      <w:proofErr w:type="spellEnd"/>
      <w:r>
        <w:rPr>
          <w:rtl/>
        </w:rPr>
        <w:t xml:space="preserve">, בני משפחת </w:t>
      </w:r>
      <w:proofErr w:type="spellStart"/>
      <w:r>
        <w:rPr>
          <w:rtl/>
        </w:rPr>
        <w:t>פוטרפס</w:t>
      </w:r>
      <w:proofErr w:type="spellEnd"/>
      <w:r>
        <w:rPr>
          <w:rtl/>
        </w:rPr>
        <w:t xml:space="preserve">, היו חסידי חב״ד. חמיה, ר׳ </w:t>
      </w:r>
      <w:proofErr w:type="spellStart"/>
      <w:r>
        <w:rPr>
          <w:rtl/>
        </w:rPr>
        <w:t>שמואל־הירש</w:t>
      </w:r>
      <w:proofErr w:type="spellEnd"/>
      <w:r>
        <w:rPr>
          <w:rtl/>
        </w:rPr>
        <w:t>, מתנגד קנאי שלא נמנע מלראות באדמו״רים החסידיים שרלטנים, ביקש ממנה שלא לדבר עם דודיה.</w:t>
      </w:r>
    </w:p>
    <w:p w14:paraId="47AAB4C7" w14:textId="77777777" w:rsidR="00AB3647" w:rsidRDefault="00000000" w:rsidP="007923E9">
      <w:pPr>
        <w:spacing w:after="100" w:line="276" w:lineRule="auto"/>
        <w:ind w:firstLine="340"/>
        <w:jc w:val="both"/>
      </w:pPr>
      <w:r>
        <w:rPr>
          <w:rtl/>
        </w:rPr>
        <w:t xml:space="preserve">ר׳ </w:t>
      </w:r>
      <w:proofErr w:type="spellStart"/>
      <w:r>
        <w:rPr>
          <w:rtl/>
        </w:rPr>
        <w:t>יהודה־לייב</w:t>
      </w:r>
      <w:proofErr w:type="spellEnd"/>
      <w:r>
        <w:rPr>
          <w:rtl/>
        </w:rPr>
        <w:t xml:space="preserve">, אביו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מלמד בישיבה הקטנה </w:t>
      </w:r>
      <w:proofErr w:type="spellStart"/>
      <w:r>
        <w:rPr>
          <w:rtl/>
        </w:rPr>
        <w:t>בדולהינוב</w:t>
      </w:r>
      <w:proofErr w:type="spellEnd"/>
      <w:r>
        <w:rPr>
          <w:rtl/>
        </w:rPr>
        <w:t xml:space="preserve">, והיה מוסמך מישיבה </w:t>
      </w:r>
      <w:proofErr w:type="spellStart"/>
      <w:r>
        <w:rPr>
          <w:rtl/>
        </w:rPr>
        <w:t>חב״דית</w:t>
      </w:r>
      <w:bookmarkStart w:id="296" w:name="_fnr184"/>
      <w:proofErr w:type="spellEnd"/>
      <w:r>
        <w:rPr>
          <w:rStyle w:val="a5"/>
        </w:rPr>
        <w:footnoteReference w:id="184" w:customMarkFollows="0"/>
      </w:r>
      <w:bookmarkEnd w:id="296"/>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שמכיוון שגדל בבית חסידי, לא היה מעלה על דעתו כלל להצטרף לישיבת </w:t>
      </w:r>
      <w:proofErr w:type="spellStart"/>
      <w:r>
        <w:rPr>
          <w:rtl/>
        </w:rPr>
        <w:t>סלבודקה</w:t>
      </w:r>
      <w:proofErr w:type="spellEnd"/>
      <w:r>
        <w:rPr>
          <w:rtl/>
        </w:rPr>
        <w:t xml:space="preserve">, מוסד מתנגדי לגמרי, אילולא דחק בו ר׳ </w:t>
      </w:r>
      <w:proofErr w:type="spellStart"/>
      <w:r>
        <w:rPr>
          <w:rtl/>
        </w:rPr>
        <w:t>שמואל־הירש</w:t>
      </w:r>
      <w:proofErr w:type="spellEnd"/>
      <w:r>
        <w:rPr>
          <w:rtl/>
        </w:rPr>
        <w:t xml:space="preserve"> </w:t>
      </w:r>
      <w:proofErr w:type="spellStart"/>
      <w:r>
        <w:rPr>
          <w:rtl/>
        </w:rPr>
        <w:t>קמינצקי</w:t>
      </w:r>
      <w:proofErr w:type="spellEnd"/>
      <w:r>
        <w:rPr>
          <w:rtl/>
        </w:rPr>
        <w:t xml:space="preserve"> לעשות צעד זה, והזהירו שאם יישאר “בחוגים החסידיים לא יצא ממנו כלום”. הוא גילה מעשה זה כשהביע הכרת הטוב לסבו של אבי על שהעמידו בדרך שהובילה אותו לעבודת ה׳ ולעשייה למען כלל ישראל כראש ישיבה כל ימיו.</w:t>
      </w:r>
    </w:p>
    <w:p w14:paraId="7AE5FF32" w14:textId="77777777" w:rsidR="00AB3647" w:rsidRDefault="00000000" w:rsidP="007923E9">
      <w:pPr>
        <w:spacing w:after="100" w:line="276" w:lineRule="auto"/>
        <w:ind w:firstLine="340"/>
        <w:jc w:val="both"/>
      </w:pPr>
      <w:r>
        <w:rPr>
          <w:rtl/>
        </w:rPr>
        <w:lastRenderedPageBreak/>
        <w:t xml:space="preserve">ר׳ </w:t>
      </w:r>
      <w:proofErr w:type="spellStart"/>
      <w:r>
        <w:rPr>
          <w:rtl/>
        </w:rPr>
        <w:t>בערל־לייב</w:t>
      </w:r>
      <w:proofErr w:type="spellEnd"/>
      <w:r>
        <w:rPr>
          <w:rtl/>
        </w:rPr>
        <w:t xml:space="preserve"> ברזון, שסבו היה חב״דניק שנהג לעלות </w:t>
      </w:r>
      <w:proofErr w:type="spellStart"/>
      <w:r>
        <w:rPr>
          <w:rtl/>
        </w:rPr>
        <w:t>לליובאוויטש</w:t>
      </w:r>
      <w:proofErr w:type="spellEnd"/>
      <w:r>
        <w:rPr>
          <w:rtl/>
        </w:rPr>
        <w:t xml:space="preserve"> יחד עם ר׳ </w:t>
      </w:r>
      <w:proofErr w:type="spellStart"/>
      <w:r>
        <w:rPr>
          <w:rtl/>
        </w:rPr>
        <w:t>יהודה־לייב</w:t>
      </w:r>
      <w:proofErr w:type="spellEnd"/>
      <w:r>
        <w:rPr>
          <w:rtl/>
        </w:rPr>
        <w:t xml:space="preserve"> </w:t>
      </w:r>
      <w:proofErr w:type="spellStart"/>
      <w:r>
        <w:rPr>
          <w:rtl/>
        </w:rPr>
        <w:t>רודרמן</w:t>
      </w:r>
      <w:proofErr w:type="spellEnd"/>
      <w:r>
        <w:rPr>
          <w:rtl/>
        </w:rPr>
        <w:t>, סיפר</w:t>
      </w:r>
      <w:bookmarkStart w:id="297" w:name="_fnr185"/>
      <w:r>
        <w:rPr>
          <w:rStyle w:val="a5"/>
        </w:rPr>
        <w:footnoteReference w:id="185" w:customMarkFollows="0"/>
      </w:r>
      <w:bookmarkEnd w:id="297"/>
      <w:r>
        <w:rPr>
          <w:rtl/>
        </w:rPr>
        <w:t xml:space="preserve"> ששאל פעם את ר׳ </w:t>
      </w:r>
      <w:proofErr w:type="spellStart"/>
      <w:r>
        <w:rPr>
          <w:rtl/>
        </w:rPr>
        <w:t>יעקב־יצחק</w:t>
      </w:r>
      <w:proofErr w:type="spellEnd"/>
      <w:r>
        <w:rPr>
          <w:rtl/>
        </w:rPr>
        <w:t xml:space="preserve"> כיצד נעשה בנו של חסיד חב״ד נלהב כל כך למתנגד כזה. השיב ר׳ </w:t>
      </w:r>
      <w:proofErr w:type="spellStart"/>
      <w:r>
        <w:rPr>
          <w:rtl/>
        </w:rPr>
        <w:t>יעקב־יצחק</w:t>
      </w:r>
      <w:proofErr w:type="spellEnd"/>
      <w:r>
        <w:rPr>
          <w:rtl/>
        </w:rPr>
        <w:t xml:space="preserve"> שהסבא </w:t>
      </w:r>
      <w:proofErr w:type="spellStart"/>
      <w:r>
        <w:rPr>
          <w:rtl/>
        </w:rPr>
        <w:t>מסלבודקה</w:t>
      </w:r>
      <w:proofErr w:type="spellEnd"/>
      <w:r>
        <w:rPr>
          <w:rtl/>
        </w:rPr>
        <w:t xml:space="preserve"> דאג לכך שתלמידיו “יניחו את כל זה”.</w:t>
      </w:r>
    </w:p>
    <w:p w14:paraId="647C1740" w14:textId="77777777" w:rsidR="00AB3647" w:rsidRDefault="00000000" w:rsidP="007923E9">
      <w:pPr>
        <w:spacing w:after="100" w:line="276" w:lineRule="auto"/>
        <w:ind w:firstLine="340"/>
        <w:jc w:val="both"/>
      </w:pPr>
      <w:r>
        <w:rPr>
          <w:rtl/>
        </w:rPr>
        <w:t xml:space="preserve">למרות התנגדותו הקנאית של אביו לחסידות, קרא ר׳ בנימין </w:t>
      </w:r>
      <w:proofErr w:type="spellStart"/>
      <w:r>
        <w:rPr>
          <w:rtl/>
        </w:rPr>
        <w:t>קמינצקי</w:t>
      </w:r>
      <w:proofErr w:type="spellEnd"/>
      <w:r>
        <w:rPr>
          <w:rtl/>
        </w:rPr>
        <w:t xml:space="preserve"> לבנו, רבנו, על שם דודה של אשתו, החב״דניק ר׳ </w:t>
      </w:r>
      <w:proofErr w:type="spellStart"/>
      <w:r>
        <w:rPr>
          <w:rtl/>
        </w:rPr>
        <w:t>יענקל</w:t>
      </w:r>
      <w:proofErr w:type="spellEnd"/>
      <w:r>
        <w:rPr>
          <w:rtl/>
        </w:rPr>
        <w:t xml:space="preserve"> </w:t>
      </w:r>
      <w:proofErr w:type="spellStart"/>
      <w:r>
        <w:rPr>
          <w:rtl/>
        </w:rPr>
        <w:t>פוטרפס</w:t>
      </w:r>
      <w:proofErr w:type="spellEnd"/>
      <w:r>
        <w:rPr>
          <w:rtl/>
        </w:rPr>
        <w:t xml:space="preserve">. ר׳ </w:t>
      </w:r>
      <w:proofErr w:type="spellStart"/>
      <w:r>
        <w:rPr>
          <w:rtl/>
        </w:rPr>
        <w:t>אברהם־חיים</w:t>
      </w:r>
      <w:proofErr w:type="spellEnd"/>
      <w:r>
        <w:rPr>
          <w:rtl/>
        </w:rPr>
        <w:t xml:space="preserve"> </w:t>
      </w:r>
      <w:proofErr w:type="spellStart"/>
      <w:r>
        <w:rPr>
          <w:rtl/>
        </w:rPr>
        <w:t>פויער</w:t>
      </w:r>
      <w:bookmarkStart w:id="298" w:name="_fnr186"/>
      <w:proofErr w:type="spellEnd"/>
      <w:r>
        <w:rPr>
          <w:rStyle w:val="a5"/>
        </w:rPr>
        <w:footnoteReference w:id="186" w:customMarkFollows="0"/>
      </w:r>
      <w:bookmarkEnd w:id="298"/>
      <w:r>
        <w:rPr>
          <w:rtl/>
        </w:rPr>
        <w:t xml:space="preserve"> מסר שאבי אמר שניתן לו שמו משום שבזמן הולדתו היו לבתו של </w:t>
      </w:r>
      <w:proofErr w:type="spellStart"/>
      <w:r>
        <w:rPr>
          <w:rtl/>
        </w:rPr>
        <w:t>פוטרפס</w:t>
      </w:r>
      <w:proofErr w:type="spellEnd"/>
      <w:r>
        <w:rPr>
          <w:rtl/>
        </w:rPr>
        <w:t xml:space="preserve">, שיינה </w:t>
      </w:r>
      <w:proofErr w:type="spellStart"/>
      <w:r>
        <w:rPr>
          <w:rtl/>
        </w:rPr>
        <w:t>רודרמן</w:t>
      </w:r>
      <w:proofErr w:type="spellEnd"/>
      <w:r>
        <w:rPr>
          <w:rtl/>
        </w:rPr>
        <w:t xml:space="preserve">, רק בנות, ועדיין לא נקרא שום ילד על שם אביה המנוח, יעקב. ייתכן, עם זאת, שהכרת הטוב של ר׳ בנימין </w:t>
      </w:r>
      <w:proofErr w:type="spellStart"/>
      <w:r>
        <w:rPr>
          <w:rtl/>
        </w:rPr>
        <w:t>לר</w:t>
      </w:r>
      <w:proofErr w:type="spellEnd"/>
      <w:r>
        <w:rPr>
          <w:rtl/>
        </w:rPr>
        <w:t xml:space="preserve">׳ </w:t>
      </w:r>
      <w:proofErr w:type="spellStart"/>
      <w:r>
        <w:rPr>
          <w:rtl/>
        </w:rPr>
        <w:t>יענקל</w:t>
      </w:r>
      <w:proofErr w:type="spellEnd"/>
      <w:r>
        <w:rPr>
          <w:rtl/>
        </w:rPr>
        <w:t xml:space="preserve"> </w:t>
      </w:r>
      <w:proofErr w:type="spellStart"/>
      <w:r>
        <w:rPr>
          <w:rtl/>
        </w:rPr>
        <w:t>פוטרפס</w:t>
      </w:r>
      <w:proofErr w:type="spellEnd"/>
      <w:r>
        <w:rPr>
          <w:rtl/>
        </w:rPr>
        <w:t>, שגידל את אשתו היתומה, גברה על שיקולים עקרוניים, והוא היה קורא לבנו על שם אביה המאמץ של אשתו גם אילו כבר נקרא ילד על שם המנוח.</w:t>
      </w:r>
    </w:p>
    <w:p w14:paraId="0794D648" w14:textId="77777777" w:rsidR="00AB3647" w:rsidRDefault="00000000" w:rsidP="007923E9">
      <w:pPr>
        <w:spacing w:after="100" w:line="276" w:lineRule="auto"/>
        <w:ind w:firstLine="340"/>
        <w:jc w:val="both"/>
      </w:pPr>
      <w:r>
        <w:rPr>
          <w:rtl/>
        </w:rPr>
        <w:t xml:space="preserve">אחד משני ההורים, ר׳ בנימין או </w:t>
      </w:r>
      <w:proofErr w:type="spellStart"/>
      <w:r>
        <w:rPr>
          <w:rtl/>
        </w:rPr>
        <w:t>עטיל</w:t>
      </w:r>
      <w:proofErr w:type="spellEnd"/>
      <w:r>
        <w:rPr>
          <w:rtl/>
        </w:rPr>
        <w:t xml:space="preserve"> </w:t>
      </w:r>
      <w:proofErr w:type="spellStart"/>
      <w:r>
        <w:rPr>
          <w:rtl/>
        </w:rPr>
        <w:t>קמינצקי</w:t>
      </w:r>
      <w:proofErr w:type="spellEnd"/>
      <w:r>
        <w:rPr>
          <w:rtl/>
        </w:rPr>
        <w:t xml:space="preserve">, ודאי הוא שסיפר לאבי על שם מי נקרא. כנראה לא רצו לצער את בנם בסיפור </w:t>
      </w:r>
      <w:proofErr w:type="spellStart"/>
      <w:r>
        <w:rPr>
          <w:rtl/>
        </w:rPr>
        <w:t>שאמו</w:t>
      </w:r>
      <w:proofErr w:type="spellEnd"/>
      <w:r>
        <w:rPr>
          <w:rtl/>
        </w:rPr>
        <w:t xml:space="preserve"> התייתמה משני הוריה כשהייתה תינוקת וגדלה בבית דודה. הם אמרו לו על שם מי נקרא, והסתפקו בכך. ואומנם לא דרך אבינו אלא דרך אחותו דבורה נודע לנו הסיפור הטרגי במלואו.</w:t>
      </w:r>
    </w:p>
    <w:p w14:paraId="73ED4E70" w14:textId="6FEE49F7" w:rsidR="00AB3647" w:rsidRDefault="00000000" w:rsidP="007923E9">
      <w:pPr>
        <w:spacing w:after="100" w:line="276" w:lineRule="auto"/>
        <w:ind w:firstLine="340"/>
        <w:jc w:val="both"/>
      </w:pPr>
      <w:r>
        <w:rPr>
          <w:rtl/>
        </w:rPr>
        <w:t xml:space="preserve">רבנו ידע שאבי </w:t>
      </w:r>
      <w:proofErr w:type="spellStart"/>
      <w:r>
        <w:rPr>
          <w:rtl/>
        </w:rPr>
        <w:t>אמו</w:t>
      </w:r>
      <w:proofErr w:type="spellEnd"/>
      <w:r>
        <w:rPr>
          <w:rtl/>
        </w:rPr>
        <w:t xml:space="preserve"> נפטר כשהייתה תינוקת – כמו בהערה </w:t>
      </w:r>
      <w:r>
        <w:rPr>
          <w:rtl/>
        </w:rPr>
        <w:fldChar w:fldCharType="begin" w:dirty="true"/>
      </w:r>
      <w:r>
        <w:rPr>
          <w:rtl/>
        </w:rPr>
        <w:instrText xml:space="preserve"> REF b1_note8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w:t>
      </w:r>
      <w:r>
        <w:rPr>
          <w:rtl/>
        </w:rPr>
        <w:fldChar w:fldCharType="end"/>
      </w:r>
      <w:r>
        <w:rPr>
          <w:rtl/>
        </w:rPr>
        <w:t xml:space="preserve"> לעיל – אבל ייתכן מאוד שמעולם לא שמע שגם אמה נפטרה, </w:t>
      </w:r>
      <w:proofErr w:type="spellStart"/>
      <w:r>
        <w:rPr>
          <w:rtl/>
        </w:rPr>
        <w:t>ושאמו</w:t>
      </w:r>
      <w:proofErr w:type="spellEnd"/>
      <w:r>
        <w:rPr>
          <w:rtl/>
        </w:rPr>
        <w:t xml:space="preserve"> נעשתה יתומה מאב ומאם</w:t>
      </w:r>
      <w:bookmarkStart w:id="299" w:name="_fnr187"/>
      <w:r>
        <w:rPr>
          <w:rStyle w:val="a5"/>
        </w:rPr>
        <w:footnoteReference w:id="187" w:customMarkFollows="0"/>
      </w:r>
      <w:bookmarkEnd w:id="299"/>
      <w:r>
        <w:rPr>
          <w:rtl/>
        </w:rPr>
        <w:t xml:space="preserve"> בינקותה. ייתכן שגם דודתי דבורה לא שמעה על כך עד שהייתה לאישה בוגרת, כשאבי כבר עזב מזמן את בית הוריו.</w:t>
      </w:r>
    </w:p>
    <w:p w14:paraId="71E7070F" w14:textId="2025B0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הסכם של שלום, שנשתייר מימי המחלוקת הגדולה בין החסידים למתנגדים, עמד בתוקפו במשך המאה שלאחר מכן: רב </w:t>
      </w:r>
      <w:proofErr w:type="spellStart"/>
      <w:r>
        <w:rPr>
          <w:rtl/>
        </w:rPr>
        <w:t>דולהינוב</w:t>
      </w:r>
      <w:proofErr w:type="spellEnd"/>
      <w:r>
        <w:rPr>
          <w:rtl/>
        </w:rPr>
        <w:t xml:space="preserve"> יהיה מתנגד</w:t>
      </w:r>
      <w:bookmarkStart w:id="300" w:name="b1_ref42"/>
      <w:bookmarkEnd w:id="300"/>
      <w:r>
        <w:rPr>
          <w:vertAlign w:val="superscript"/>
          <w:rtl/>
        </w:rPr>
        <w:fldChar w:fldCharType="begin" w:dirty="true"/>
      </w:r>
      <w:r>
        <w:rPr>
          <w:vertAlign w:val="superscript"/>
          <w:rtl/>
        </w:rPr>
        <w:instrText xml:space="preserve"> REF b1_note42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והמ״ץ</w:t>
      </w:r>
      <w:bookmarkStart w:id="301" w:name="b1_ref43"/>
      <w:bookmarkEnd w:id="301"/>
      <w:r>
        <w:rPr>
          <w:vertAlign w:val="superscript"/>
          <w:rtl/>
        </w:rPr>
        <w:fldChar w:fldCharType="begin" w:dirty="true"/>
      </w:r>
      <w:r>
        <w:rPr>
          <w:vertAlign w:val="superscript"/>
          <w:rtl/>
        </w:rPr>
        <w:instrText xml:space="preserve"> REF b1_note43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 חב״דניק. בזמן שעברו הוריו של אבי לעיירה, הגיעה לסיומה מחלוקת בת שבע שנים על בחירת ממלא מקומו של הרב שנפטר, במינוי חתנו, ר׳ </w:t>
      </w:r>
      <w:proofErr w:type="spellStart"/>
      <w:r>
        <w:rPr>
          <w:rtl/>
        </w:rPr>
        <w:t>מנדל־בער</w:t>
      </w:r>
      <w:proofErr w:type="spellEnd"/>
      <w:r>
        <w:rPr>
          <w:rtl/>
        </w:rPr>
        <w:t xml:space="preserve"> </w:t>
      </w:r>
      <w:proofErr w:type="spellStart"/>
      <w:r>
        <w:rPr>
          <w:rtl/>
        </w:rPr>
        <w:t>שכנוביץ</w:t>
      </w:r>
      <w:proofErr w:type="spellEnd"/>
      <w:r>
        <w:rPr>
          <w:rtl/>
        </w:rPr>
        <w:t xml:space="preserve">. </w:t>
      </w:r>
      <w:proofErr w:type="spellStart"/>
      <w:r>
        <w:rPr>
          <w:rtl/>
        </w:rPr>
        <w:t>המ״ץ</w:t>
      </w:r>
      <w:proofErr w:type="spellEnd"/>
      <w:r>
        <w:rPr>
          <w:rtl/>
        </w:rPr>
        <w:t xml:space="preserve"> היה ר׳ לייב וולף</w:t>
      </w:r>
      <w:bookmarkStart w:id="302" w:name="b1_ref44"/>
      <w:bookmarkEnd w:id="302"/>
      <w:r>
        <w:rPr>
          <w:vertAlign w:val="superscript"/>
          <w:rtl/>
        </w:rPr>
        <w:fldChar w:fldCharType="begin" w:dirty="true"/>
      </w:r>
      <w:r>
        <w:rPr>
          <w:vertAlign w:val="superscript"/>
          <w:rtl/>
        </w:rPr>
        <w:instrText xml:space="preserve"> REF b1_note44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w:t>
      </w:r>
    </w:p>
    <w:bookmarkStart w:id="303" w:name="b1_note42"/>
    <w:p w14:paraId="4706CBB3" w14:textId="77777777" w:rsidR="00AB3647" w:rsidRDefault="00000000" w:rsidP="007923E9">
      <w:pPr>
        <w:spacing w:before="120" w:after="100" w:line="276" w:lineRule="auto"/>
        <w:jc w:val="both"/>
      </w:pPr>
      <w:r>
        <w:fldChar w:fldCharType="begin" w:dirty="true"/>
      </w:r>
      <w:r>
        <w:instrText>HYPERLINK \l "b1_ref42"</w:instrText>
      </w:r>
      <w:r>
        <w:fldChar w:fldCharType="separate"/>
      </w:r>
      <w:r>
        <w:rPr>
          <w:b/>
          <w:bCs/>
          <w:rtl/>
        </w:rPr>
        <w:t>42</w:t>
      </w:r>
      <w:r>
        <w:rPr>
          <w:b/>
          <w:bCs/>
        </w:rPr>
        <w:fldChar w:fldCharType="end"/>
      </w:r>
      <w:bookmarkEnd w:id="303"/>
      <w:r>
        <w:rPr>
          <w:rtl/>
        </w:rPr>
        <w:t xml:space="preserve"> בכמה עיירות רצו אפילו החסידים שרבם יהיה מתנגד. בספר “מורשת </w:t>
      </w:r>
      <w:proofErr w:type="spellStart"/>
      <w:r>
        <w:rPr>
          <w:rtl/>
        </w:rPr>
        <w:t>סולובייצ׳יק</w:t>
      </w:r>
      <w:proofErr w:type="spellEnd"/>
      <w:r>
        <w:rPr>
          <w:rtl/>
        </w:rPr>
        <w:t xml:space="preserve"> – זיכרונותיה של בת” מאת שולמית </w:t>
      </w:r>
      <w:proofErr w:type="spellStart"/>
      <w:r>
        <w:rPr>
          <w:rtl/>
        </w:rPr>
        <w:t>סולובייצ׳יק</w:t>
      </w:r>
      <w:proofErr w:type="spellEnd"/>
      <w:r>
        <w:rPr>
          <w:rtl/>
        </w:rPr>
        <w:t xml:space="preserve"> </w:t>
      </w:r>
      <w:proofErr w:type="spellStart"/>
      <w:r>
        <w:rPr>
          <w:rtl/>
        </w:rPr>
        <w:t>מייזלמן</w:t>
      </w:r>
      <w:bookmarkStart w:id="304" w:name="_fnr188"/>
      <w:proofErr w:type="spellEnd"/>
      <w:r>
        <w:rPr>
          <w:rStyle w:val="a5"/>
        </w:rPr>
        <w:footnoteReference w:id="188" w:customMarkFollows="0"/>
      </w:r>
      <w:bookmarkEnd w:id="304"/>
      <w:r>
        <w:rPr>
          <w:rtl/>
        </w:rPr>
        <w:t xml:space="preserve"> נרשמה אגדה מעניינת, וזו לשונה: ר׳ </w:t>
      </w:r>
      <w:proofErr w:type="spellStart"/>
      <w:r>
        <w:rPr>
          <w:rtl/>
        </w:rPr>
        <w:t>שניאור־זלמן</w:t>
      </w:r>
      <w:proofErr w:type="spellEnd"/>
      <w:r>
        <w:rPr>
          <w:rtl/>
        </w:rPr>
        <w:t xml:space="preserve">, מייסד </w:t>
      </w:r>
      <w:proofErr w:type="spellStart"/>
      <w:r>
        <w:rPr>
          <w:rtl/>
        </w:rPr>
        <w:t>חב״ד־ליובאוויטש</w:t>
      </w:r>
      <w:proofErr w:type="spellEnd"/>
      <w:r>
        <w:rPr>
          <w:rtl/>
        </w:rPr>
        <w:t>, ארגן רשת ריגול של חסידיו לפעול נגד נפוליאון</w:t>
      </w:r>
      <w:bookmarkStart w:id="305" w:name="_fnr189"/>
      <w:r>
        <w:rPr>
          <w:rStyle w:val="a5"/>
        </w:rPr>
        <w:footnoteReference w:id="189" w:customMarkFollows="0"/>
      </w:r>
      <w:bookmarkEnd w:id="305"/>
      <w:r>
        <w:rPr>
          <w:rtl/>
        </w:rPr>
        <w:t xml:space="preserve"> במסעו על רוסיה בשנת תקע״ב. כשגילה זאת המודיעין הצרפתי, ביקשו הצרפתים לאסור את הרבי, והוא הסתתר בביתו של רב </w:t>
      </w:r>
      <w:proofErr w:type="spellStart"/>
      <w:r>
        <w:rPr>
          <w:rtl/>
        </w:rPr>
        <w:t>חסלוויץ</w:t>
      </w:r>
      <w:proofErr w:type="spellEnd"/>
      <w:r>
        <w:rPr>
          <w:rtl/>
        </w:rPr>
        <w:t>׳, שהיה ידוע כמתנגד חריף לחסידים. בני העיר שפעלו עם הצרפתים היו בטוחים כל כך שהרב לא יסתיר</w:t>
      </w:r>
      <w:bookmarkStart w:id="306" w:name="_fnr190"/>
      <w:bookmarkStart w:id="307" w:name="pr_f_122"/>
      <w:r>
        <w:rPr>
          <w:rStyle w:val="a5"/>
        </w:rPr>
        <w:footnoteReference w:id="190" w:customMarkFollows="0"/>
      </w:r>
      <w:bookmarkEnd w:id="306"/>
      <w:bookmarkEnd w:id="307"/>
      <w:r>
        <w:rPr>
          <w:rtl/>
        </w:rPr>
        <w:t xml:space="preserve"> את האיש שסלד ממנו כל כך, עד שלא טרחו לחפש בביתו – והרבי ניצל.</w:t>
      </w:r>
    </w:p>
    <w:p w14:paraId="6AC1789A" w14:textId="77777777" w:rsidR="00AB3647" w:rsidRDefault="00000000" w:rsidP="007923E9">
      <w:pPr>
        <w:spacing w:before="120" w:after="100" w:line="276" w:lineRule="auto"/>
        <w:jc w:val="both"/>
      </w:pPr>
      <w:r>
        <w:rPr>
          <w:rtl/>
        </w:rPr>
        <w:lastRenderedPageBreak/>
        <w:t xml:space="preserve">כשנסוג נפוליאון מרוסיה, “הוציא ר׳ </w:t>
      </w:r>
      <w:proofErr w:type="spellStart"/>
      <w:r>
        <w:rPr>
          <w:rtl/>
        </w:rPr>
        <w:t>שניאור־זלמן</w:t>
      </w:r>
      <w:proofErr w:type="spellEnd"/>
      <w:r>
        <w:rPr>
          <w:rtl/>
        </w:rPr>
        <w:t xml:space="preserve"> את הצו הבא: ‘ייוודע לציבור החסידים </w:t>
      </w:r>
      <w:proofErr w:type="spellStart"/>
      <w:r>
        <w:rPr>
          <w:rtl/>
        </w:rPr>
        <w:t>בחסלוויץ</w:t>
      </w:r>
      <w:proofErr w:type="spellEnd"/>
      <w:r>
        <w:rPr>
          <w:rtl/>
        </w:rPr>
        <w:t>׳ שמהיום והלאה יכהן תמיד ברבנות העיירה למדן “ליטאי” – כלומר, מתנגד’”. הרבי נפטר זמן קצר אחר כך, בשנת תקע״ג, לאחר שראה במפלת נפוליאון.</w:t>
      </w:r>
    </w:p>
    <w:p w14:paraId="1B3C9F56" w14:textId="77777777" w:rsidR="00AB3647" w:rsidRDefault="00000000" w:rsidP="007923E9">
      <w:pPr>
        <w:spacing w:before="120" w:after="100" w:line="276" w:lineRule="auto"/>
        <w:jc w:val="both"/>
      </w:pPr>
      <w:r>
        <w:rPr>
          <w:rtl/>
        </w:rPr>
        <w:t xml:space="preserve">והשווה גם “מורשת </w:t>
      </w:r>
      <w:proofErr w:type="spellStart"/>
      <w:r>
        <w:rPr>
          <w:rtl/>
        </w:rPr>
        <w:t>סולובייצ׳יק</w:t>
      </w:r>
      <w:proofErr w:type="spellEnd"/>
      <w:r>
        <w:rPr>
          <w:rtl/>
        </w:rPr>
        <w:t>”</w:t>
      </w:r>
      <w:bookmarkStart w:id="308" w:name="_fnr191"/>
      <w:r>
        <w:rPr>
          <w:rStyle w:val="a5"/>
        </w:rPr>
        <w:footnoteReference w:id="191" w:customMarkFollows="0"/>
      </w:r>
      <w:bookmarkEnd w:id="308"/>
      <w:r>
        <w:rPr>
          <w:rtl/>
        </w:rPr>
        <w:t xml:space="preserve"> </w:t>
      </w:r>
      <w:proofErr w:type="spellStart"/>
      <w:r>
        <w:rPr>
          <w:rtl/>
        </w:rPr>
        <w:t>ש“חסלוויץ</w:t>
      </w:r>
      <w:proofErr w:type="spellEnd"/>
      <w:r>
        <w:rPr>
          <w:rtl/>
        </w:rPr>
        <w:t xml:space="preserve">׳ הייתה עיירה חסידית ברובה”, ושרוב יהודי </w:t>
      </w:r>
      <w:proofErr w:type="spellStart"/>
      <w:r>
        <w:rPr>
          <w:rtl/>
        </w:rPr>
        <w:t>חסלוויץ</w:t>
      </w:r>
      <w:proofErr w:type="spellEnd"/>
      <w:r>
        <w:rPr>
          <w:rtl/>
        </w:rPr>
        <w:t>׳ היו חסידי חב״ד</w:t>
      </w:r>
      <w:bookmarkStart w:id="309" w:name="_fnr192"/>
      <w:r>
        <w:rPr>
          <w:rStyle w:val="a5"/>
        </w:rPr>
        <w:footnoteReference w:id="192" w:customMarkFollows="0"/>
      </w:r>
      <w:bookmarkEnd w:id="309"/>
      <w:r>
        <w:rPr>
          <w:rtl/>
        </w:rPr>
        <w:t>.</w:t>
      </w:r>
    </w:p>
    <w:bookmarkStart w:id="310" w:name="b1_note43"/>
    <w:p w14:paraId="7FB97596" w14:textId="60E8DE53" w:rsidR="00AB3647" w:rsidRDefault="00000000" w:rsidP="007923E9">
      <w:pPr>
        <w:spacing w:before="120" w:after="100" w:line="276" w:lineRule="auto"/>
        <w:jc w:val="both"/>
      </w:pPr>
      <w:r>
        <w:fldChar w:fldCharType="begin" w:dirty="true"/>
      </w:r>
      <w:r>
        <w:instrText>HYPERLINK \l "b1_ref43"</w:instrText>
      </w:r>
      <w:r>
        <w:fldChar w:fldCharType="separate"/>
      </w:r>
      <w:r>
        <w:rPr>
          <w:b/>
          <w:bCs/>
          <w:rtl/>
        </w:rPr>
        <w:t>43</w:t>
      </w:r>
      <w:r>
        <w:rPr>
          <w:b/>
          <w:bCs/>
        </w:rPr>
        <w:fldChar w:fldCharType="end"/>
      </w:r>
      <w:bookmarkEnd w:id="310"/>
      <w:r>
        <w:rPr>
          <w:rtl/>
        </w:rPr>
        <w:t xml:space="preserve"> ראה הערה </w:t>
      </w:r>
      <w:r>
        <w:rPr>
          <w:rtl/>
        </w:rPr>
        <w:fldChar w:fldCharType="begin" w:dirty="true"/>
      </w:r>
      <w:r>
        <w:rPr>
          <w:rtl/>
        </w:rPr>
        <w:instrText xml:space="preserve"> REF b1_note7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w:t>
      </w:r>
      <w:r>
        <w:rPr>
          <w:rtl/>
        </w:rPr>
        <w:fldChar w:fldCharType="end"/>
      </w:r>
      <w:r>
        <w:rPr>
          <w:rtl/>
        </w:rPr>
        <w:t xml:space="preserve"> לעיל.</w:t>
      </w:r>
    </w:p>
    <w:bookmarkStart w:id="311" w:name="b1_note44"/>
    <w:p w14:paraId="08E10969" w14:textId="77777777" w:rsidR="00AB3647" w:rsidRDefault="00000000" w:rsidP="007923E9">
      <w:pPr>
        <w:spacing w:before="120" w:after="100" w:line="276" w:lineRule="auto"/>
        <w:jc w:val="both"/>
      </w:pPr>
      <w:r>
        <w:fldChar w:fldCharType="begin" w:dirty="true"/>
      </w:r>
      <w:r>
        <w:instrText>HYPERLINK \l "b1_ref44"</w:instrText>
      </w:r>
      <w:r>
        <w:fldChar w:fldCharType="separate"/>
      </w:r>
      <w:r>
        <w:rPr>
          <w:b/>
          <w:bCs/>
          <w:rtl/>
        </w:rPr>
        <w:t>44</w:t>
      </w:r>
      <w:r>
        <w:rPr>
          <w:b/>
          <w:bCs/>
        </w:rPr>
        <w:fldChar w:fldCharType="end"/>
      </w:r>
      <w:bookmarkEnd w:id="311"/>
      <w:r>
        <w:rPr>
          <w:rtl/>
        </w:rPr>
        <w:t xml:space="preserve"> “אש תמיד”</w:t>
      </w:r>
      <w:bookmarkStart w:id="312" w:name="_fnr193"/>
      <w:r>
        <w:rPr>
          <w:rStyle w:val="a5"/>
        </w:rPr>
        <w:footnoteReference w:id="193" w:customMarkFollows="0"/>
      </w:r>
      <w:bookmarkEnd w:id="312"/>
      <w:r>
        <w:rPr>
          <w:rtl/>
        </w:rPr>
        <w:t xml:space="preserve">. מחלוקות על מינוי רב לא היו נדירות בעיירות מזרח אירופה, אבל משך המחלוקת </w:t>
      </w:r>
      <w:proofErr w:type="spellStart"/>
      <w:r>
        <w:rPr>
          <w:rtl/>
        </w:rPr>
        <w:t>בדולהינוב</w:t>
      </w:r>
      <w:proofErr w:type="spellEnd"/>
      <w:r>
        <w:rPr>
          <w:rtl/>
        </w:rPr>
        <w:t xml:space="preserve"> היה ארוך במיוחד.</w:t>
      </w:r>
    </w:p>
    <w:p w14:paraId="3C32B5D2" w14:textId="58CF56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אווירה של רוחניות שררה </w:t>
      </w:r>
      <w:proofErr w:type="spellStart"/>
      <w:r>
        <w:rPr>
          <w:rtl/>
        </w:rPr>
        <w:t>בדולהינוב</w:t>
      </w:r>
      <w:proofErr w:type="spellEnd"/>
      <w:r>
        <w:rPr>
          <w:rtl/>
        </w:rPr>
        <w:t>. חמשת בתי הכנסת, שלושת בתי המדרש ושני השטיבלעך</w:t>
      </w:r>
      <w:bookmarkStart w:id="313" w:name="b1_ref45"/>
      <w:bookmarkEnd w:id="313"/>
      <w:r>
        <w:rPr>
          <w:vertAlign w:val="superscript"/>
          <w:rtl/>
        </w:rPr>
        <w:fldChar w:fldCharType="begin" w:dirty="true"/>
      </w:r>
      <w:r>
        <w:rPr>
          <w:vertAlign w:val="superscript"/>
          <w:rtl/>
        </w:rPr>
        <w:instrText xml:space="preserve"> REF b1_note45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היו מלאים מתפללים ולומדים, למרות הפגיעה הקשה של תנועת ההשכלה בחברה היהודית ברוסיה במשך חצי מאה. בעיירה היו חדרים רבים, כל אחד לשכבת גיל אחרת, אבל לא כל המלמדים היו מן המשובחים – כמו בכל העיירות באותם ימים, שכן ההוראה לא הייתה מקצוע משתלם. </w:t>
      </w:r>
      <w:proofErr w:type="spellStart"/>
      <w:r>
        <w:rPr>
          <w:rtl/>
        </w:rPr>
        <w:t>בדולהינוב</w:t>
      </w:r>
      <w:proofErr w:type="spellEnd"/>
      <w:r>
        <w:rPr>
          <w:rtl/>
        </w:rPr>
        <w:t xml:space="preserve"> הייתה ישיבה שבראשה עמד ר׳ </w:t>
      </w:r>
      <w:proofErr w:type="spellStart"/>
      <w:r>
        <w:rPr>
          <w:rtl/>
        </w:rPr>
        <w:t>מרדכי־בער</w:t>
      </w:r>
      <w:proofErr w:type="spellEnd"/>
      <w:r>
        <w:rPr>
          <w:rtl/>
        </w:rPr>
        <w:t>, חתנו של ר׳ לייב וולף</w:t>
      </w:r>
      <w:bookmarkStart w:id="314" w:name="b1_ref46"/>
      <w:bookmarkEnd w:id="314"/>
      <w:r>
        <w:rPr>
          <w:vertAlign w:val="superscript"/>
          <w:rtl/>
        </w:rPr>
        <w:fldChar w:fldCharType="begin" w:dirty="true"/>
      </w:r>
      <w:r>
        <w:rPr>
          <w:vertAlign w:val="superscript"/>
          <w:rtl/>
        </w:rPr>
        <w:instrText xml:space="preserve"> REF b1_note46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אבל היא הלכה ודעכה, משום שהתלמידים המבוגרים היו יוצאים לישיבות מפורסמות בעיירות אחרות.</w:t>
      </w:r>
    </w:p>
    <w:bookmarkStart w:id="315" w:name="b1_note45"/>
    <w:p w14:paraId="0076075E" w14:textId="77777777" w:rsidR="00AB3647" w:rsidRDefault="00000000" w:rsidP="007923E9">
      <w:pPr>
        <w:spacing w:before="120" w:after="100" w:line="276" w:lineRule="auto"/>
        <w:jc w:val="both"/>
      </w:pPr>
      <w:r>
        <w:fldChar w:fldCharType="begin" w:dirty="true"/>
      </w:r>
      <w:r>
        <w:instrText>HYPERLINK \l "b1_ref45"</w:instrText>
      </w:r>
      <w:r>
        <w:fldChar w:fldCharType="separate"/>
      </w:r>
      <w:r>
        <w:rPr>
          <w:b/>
          <w:bCs/>
          <w:rtl/>
        </w:rPr>
        <w:t>45</w:t>
      </w:r>
      <w:r>
        <w:rPr>
          <w:b/>
          <w:bCs/>
        </w:rPr>
        <w:fldChar w:fldCharType="end"/>
      </w:r>
      <w:bookmarkEnd w:id="315"/>
      <w:r>
        <w:rPr>
          <w:rtl/>
        </w:rPr>
        <w:t xml:space="preserve"> “אש תמיד”</w:t>
      </w:r>
      <w:bookmarkStart w:id="316" w:name="_fnr194"/>
      <w:r>
        <w:rPr>
          <w:rStyle w:val="a5"/>
        </w:rPr>
        <w:footnoteReference w:id="194" w:customMarkFollows="0"/>
      </w:r>
      <w:bookmarkEnd w:id="316"/>
      <w:r>
        <w:rPr>
          <w:rtl/>
        </w:rPr>
        <w:t xml:space="preserve">. אבי סבר שהחסידים כינו את בתי התפילה שלהם </w:t>
      </w:r>
      <w:bookmarkStart w:id="317" w:name="_Hlk243575030"/>
      <w:r>
        <w:rPr>
          <w:rtl/>
        </w:rPr>
        <w:t xml:space="preserve">בכינוי החולין “</w:t>
      </w:r>
      <w:proofErr w:type="spellStart"/>
      <w:r>
        <w:rPr>
          <w:rtl/>
        </w:rPr>
        <w:t>שטיבל</w:t>
      </w:r>
      <w:bookmarkEnd w:id="317"/>
      <w:proofErr w:type="spellEnd"/>
      <w:r>
        <w:rPr>
          <w:rtl/>
        </w:rPr>
        <w:t xml:space="preserve">” (בית קטן) כדי לסמן שבתי תפילה ולימוד אלה לא </w:t>
      </w:r>
      <w:proofErr w:type="spellStart"/>
      <w:r>
        <w:rPr>
          <w:rtl/>
        </w:rPr>
        <w:t>נתקדשו</w:t>
      </w:r>
      <w:proofErr w:type="spellEnd"/>
      <w:r>
        <w:rPr>
          <w:rtl/>
        </w:rPr>
        <w:t xml:space="preserve"> כבתי מדרש, ולכן הותר מנהג החסידים לאכול, לשתות ולשמוח בתוכם. השווה </w:t>
      </w:r>
      <w:proofErr w:type="spellStart"/>
      <w:r>
        <w:rPr>
          <w:rtl/>
        </w:rPr>
        <w:t>שו״ע</w:t>
      </w:r>
      <w:proofErr w:type="spellEnd"/>
      <w:r>
        <w:rPr>
          <w:rtl/>
        </w:rPr>
        <w:t xml:space="preserve"> </w:t>
      </w:r>
      <w:proofErr w:type="spellStart"/>
      <w:r>
        <w:rPr>
          <w:rtl/>
        </w:rPr>
        <w:t>או״ח</w:t>
      </w:r>
      <w:proofErr w:type="spellEnd"/>
      <w:r>
        <w:rPr>
          <w:rtl/>
        </w:rPr>
        <w:t xml:space="preserve"> סי׳ קנ״א.</w:t>
      </w:r>
    </w:p>
    <w:p w14:paraId="4B055EF7" w14:textId="77777777" w:rsidR="00AB3647" w:rsidRDefault="00000000" w:rsidP="007923E9">
      <w:pPr>
        <w:spacing w:after="100" w:line="276" w:lineRule="auto"/>
        <w:ind w:firstLine="340"/>
        <w:jc w:val="both"/>
      </w:pPr>
      <w:r>
        <w:rPr>
          <w:rtl/>
        </w:rPr>
        <w:t>והשווה גם “אש תמיד”</w:t>
      </w:r>
      <w:bookmarkStart w:id="318" w:name="_fnr195"/>
      <w:r>
        <w:rPr>
          <w:rStyle w:val="a5"/>
        </w:rPr>
        <w:footnoteReference w:id="195" w:customMarkFollows="0"/>
      </w:r>
      <w:bookmarkEnd w:id="318"/>
      <w:r>
        <w:rPr>
          <w:rtl/>
        </w:rPr>
        <w:t xml:space="preserve">: מסופר שם שבית הכנסת </w:t>
      </w:r>
      <w:proofErr w:type="spellStart"/>
      <w:r>
        <w:rPr>
          <w:rtl/>
        </w:rPr>
        <w:t>בדולהינוב</w:t>
      </w:r>
      <w:proofErr w:type="spellEnd"/>
      <w:r>
        <w:rPr>
          <w:rtl/>
        </w:rPr>
        <w:t xml:space="preserve"> חרב בשריפה – סכנה שכיחה בעיירות רוסיה, שבהן נבנו הבניינים בדרך כלל מעץ</w:t>
      </w:r>
      <w:bookmarkStart w:id="319" w:name="_fnr196"/>
      <w:r>
        <w:rPr>
          <w:rStyle w:val="a5"/>
        </w:rPr>
        <w:footnoteReference w:id="196" w:customMarkFollows="0"/>
      </w:r>
      <w:bookmarkEnd w:id="319"/>
      <w:r>
        <w:rPr>
          <w:rtl/>
        </w:rPr>
        <w:t>. מסיבה שאינה מפורשת הוא לא נבנה מחדש, והמגרש גודר ושימש לעריכת חתונות. טקסי חופה נערכו בדרך כלל בחצר בית הכנסת</w:t>
      </w:r>
      <w:bookmarkStart w:id="320" w:name="_fnr197"/>
      <w:r>
        <w:rPr>
          <w:rStyle w:val="a5"/>
        </w:rPr>
        <w:footnoteReference w:id="197" w:customMarkFollows="0"/>
      </w:r>
      <w:bookmarkEnd w:id="320"/>
      <w:r>
        <w:rPr>
          <w:rtl/>
        </w:rPr>
        <w:t>.</w:t>
      </w:r>
    </w:p>
    <w:bookmarkStart w:id="321" w:name="b1_note46"/>
    <w:p w14:paraId="2818FDF4" w14:textId="77777777" w:rsidR="00AB3647" w:rsidRDefault="00000000" w:rsidP="007923E9">
      <w:pPr>
        <w:spacing w:before="120" w:after="100" w:line="276" w:lineRule="auto"/>
        <w:jc w:val="both"/>
      </w:pPr>
      <w:r>
        <w:lastRenderedPageBreak/>
        <w:fldChar w:fldCharType="begin" w:dirty="true"/>
      </w:r>
      <w:r>
        <w:instrText>HYPERLINK \l "b1_ref46"</w:instrText>
      </w:r>
      <w:r>
        <w:fldChar w:fldCharType="separate"/>
      </w:r>
      <w:r>
        <w:rPr>
          <w:b/>
          <w:bCs/>
          <w:rtl/>
        </w:rPr>
        <w:t>46</w:t>
      </w:r>
      <w:r>
        <w:rPr>
          <w:b/>
          <w:bCs/>
        </w:rPr>
        <w:fldChar w:fldCharType="end"/>
      </w:r>
      <w:bookmarkEnd w:id="321"/>
      <w:r>
        <w:rPr>
          <w:rtl/>
        </w:rPr>
        <w:t xml:space="preserve"> “אש תמיד”</w:t>
      </w:r>
      <w:bookmarkStart w:id="322" w:name="_fnr198"/>
      <w:r>
        <w:rPr>
          <w:rStyle w:val="a5"/>
        </w:rPr>
        <w:footnoteReference w:id="198" w:customMarkFollows="0"/>
      </w:r>
      <w:bookmarkEnd w:id="322"/>
      <w:r>
        <w:rPr>
          <w:rtl/>
        </w:rPr>
        <w:t>. ברוך צוקרמן, בעל “</w:t>
      </w:r>
      <w:proofErr w:type="spellStart"/>
      <w:r>
        <w:rPr>
          <w:rtl/>
        </w:rPr>
        <w:t>זכרונות</w:t>
      </w:r>
      <w:proofErr w:type="spellEnd"/>
      <w:r>
        <w:rPr>
          <w:rtl/>
        </w:rPr>
        <w:t>”</w:t>
      </w:r>
      <w:bookmarkStart w:id="323" w:name="_fnr199"/>
      <w:r>
        <w:rPr>
          <w:rStyle w:val="a5"/>
        </w:rPr>
        <w:footnoteReference w:id="199" w:customMarkFollows="0"/>
      </w:r>
      <w:bookmarkEnd w:id="323"/>
      <w:r>
        <w:rPr>
          <w:rtl/>
        </w:rPr>
        <w:t xml:space="preserve">, בא לישיבת </w:t>
      </w:r>
      <w:proofErr w:type="spellStart"/>
      <w:r>
        <w:rPr>
          <w:rtl/>
        </w:rPr>
        <w:t>דולהינוב</w:t>
      </w:r>
      <w:proofErr w:type="spellEnd"/>
      <w:r>
        <w:rPr>
          <w:rtl/>
        </w:rPr>
        <w:t xml:space="preserve"> כנער צעיר בשנת תרנ״ז. למרות זיכרונו המופלא לא זכר את שם ראש הישיבה, משום שהיה “ידוע בעיר רק כחתנו של </w:t>
      </w:r>
      <w:proofErr w:type="spellStart"/>
      <w:r>
        <w:rPr>
          <w:rtl/>
        </w:rPr>
        <w:t>המ״ץ</w:t>
      </w:r>
      <w:proofErr w:type="spellEnd"/>
      <w:r>
        <w:rPr>
          <w:rtl/>
        </w:rPr>
        <w:t xml:space="preserve">”. הוא מספר גם שהמשגיח היה ר׳ שמרל, שסידר לתלמידים את ימי האכילה</w:t>
      </w:r>
      <w:bookmarkStart w:id="324" w:name="_fnr200"/>
      <w:r>
        <w:rPr>
          <w:rStyle w:val="a5"/>
        </w:rPr>
        <w:footnoteReference w:id="200" w:customMarkFollows="0"/>
      </w:r>
      <w:bookmarkEnd w:id="324"/>
      <w:r>
        <w:rPr>
          <w:rtl/>
        </w:rPr>
        <w:t xml:space="preserve">, ואסף כספים </w:t>
      </w:r>
      <w:proofErr w:type="spellStart"/>
      <w:r>
        <w:rPr>
          <w:rtl/>
        </w:rPr>
        <w:t>בדולהינוב</w:t>
      </w:r>
      <w:proofErr w:type="spellEnd"/>
      <w:r>
        <w:rPr>
          <w:rtl/>
        </w:rPr>
        <w:t xml:space="preserve"> ובעיירות השכנות </w:t>
      </w:r>
      <w:proofErr w:type="spellStart"/>
      <w:r>
        <w:rPr>
          <w:rtl/>
        </w:rPr>
        <w:t>ל“מטבח</w:t>
      </w:r>
      <w:proofErr w:type="spellEnd"/>
      <w:r>
        <w:rPr>
          <w:rtl/>
        </w:rPr>
        <w:t xml:space="preserve"> גדול” לנערים שלא ניתן היה לסדר להם </w:t>
      </w:r>
      <w:proofErr w:type="spellStart"/>
      <w:r>
        <w:rPr>
          <w:rtl/>
        </w:rPr>
        <w:t>טעג</w:t>
      </w:r>
      <w:proofErr w:type="spellEnd"/>
      <w:r>
        <w:rPr>
          <w:rtl/>
        </w:rPr>
        <w:t xml:space="preserve">. באחד ממסעות אלה, </w:t>
      </w:r>
      <w:proofErr w:type="spellStart"/>
      <w:r>
        <w:rPr>
          <w:rtl/>
        </w:rPr>
        <w:t>לקורניץ</w:t>
      </w:r>
      <w:proofErr w:type="spellEnd"/>
      <w:r>
        <w:rPr>
          <w:rtl/>
        </w:rPr>
        <w:t xml:space="preserve">, שכנע ר׳ שמרל את הוריו של המחבר לשלוח עמו את ברוך בן העשר לישיבת </w:t>
      </w:r>
      <w:proofErr w:type="spellStart"/>
      <w:r>
        <w:rPr>
          <w:rtl/>
        </w:rPr>
        <w:t>דולהינוב</w:t>
      </w:r>
      <w:bookmarkStart w:id="325" w:name="_fnr201"/>
      <w:proofErr w:type="spellEnd"/>
      <w:r>
        <w:rPr>
          <w:rStyle w:val="a5"/>
        </w:rPr>
        <w:footnoteReference w:id="201" w:customMarkFollows="0"/>
      </w:r>
      <w:bookmarkEnd w:id="325"/>
      <w:r>
        <w:rPr>
          <w:rtl/>
        </w:rPr>
        <w:t>.</w:t>
      </w:r>
    </w:p>
    <w:p w14:paraId="61D33EDF" w14:textId="686348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מוקד משיכה עיקרי לצעירים שרצו להתקדם בלימודם היה ישיבת עץ חיים </w:t>
      </w:r>
      <w:proofErr w:type="spellStart"/>
      <w:r>
        <w:rPr>
          <w:rtl/>
        </w:rPr>
        <w:t>בוולוז׳ין</w:t>
      </w:r>
      <w:proofErr w:type="spellEnd"/>
      <w:r>
        <w:rPr>
          <w:rtl/>
        </w:rPr>
        <w:t xml:space="preserve">, שהדרך אליה </w:t>
      </w:r>
      <w:proofErr w:type="spellStart"/>
      <w:r>
        <w:rPr>
          <w:rtl/>
        </w:rPr>
        <w:t>מדולהינוב</w:t>
      </w:r>
      <w:proofErr w:type="spellEnd"/>
      <w:r>
        <w:rPr>
          <w:rtl/>
        </w:rPr>
        <w:t xml:space="preserve"> הייתה נוחה. ישיבה עליונה זו נסגרה בידי ראשיה עצמם בשנת תרנ״ב, כשדחו את האולטימטום של הממשלה הרוסית לכלול לימודי חול בתוכנית הלימודים</w:t>
      </w:r>
      <w:bookmarkStart w:id="326" w:name="b1_ref47"/>
      <w:bookmarkEnd w:id="326"/>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אבל זמן קצר אחרי סגירתה החלו לפעול לחידושה, במסווה של עוד בית כנסת. כעבור שבע שנים, עם מינויו של ר׳ רפאל שפירא – שהיה ראש ישיבה </w:t>
      </w:r>
      <w:proofErr w:type="spellStart"/>
      <w:r>
        <w:rPr>
          <w:rtl/>
        </w:rPr>
        <w:t>בוולוז׳ין</w:t>
      </w:r>
      <w:proofErr w:type="spellEnd"/>
      <w:r>
        <w:rPr>
          <w:rtl/>
        </w:rPr>
        <w:t xml:space="preserve"> עשרים שנה קודם לכן – לרב העיר, נפתחה הישיבה מחדש באופן רשמי</w:t>
      </w:r>
      <w:r>
        <w:rPr>
          <w:vertAlign w:val="superscript"/>
          <w:rtl/>
        </w:rPr>
        <w:fldChar w:fldCharType="begin" w:dirty="true"/>
      </w:r>
      <w:r>
        <w:rPr>
          <w:vertAlign w:val="superscript"/>
          <w:rtl/>
        </w:rPr>
        <w:instrText xml:space="preserve"> REF b1_note47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327" w:name="b1_note47"/>
    <w:p w14:paraId="001FEAED" w14:textId="22AC455F" w:rsidR="00AB3647" w:rsidRDefault="00000000" w:rsidP="007923E9">
      <w:pPr>
        <w:spacing w:before="120" w:after="100" w:line="276" w:lineRule="auto"/>
        <w:jc w:val="both"/>
      </w:pPr>
      <w:r>
        <w:fldChar w:fldCharType="begin" w:dirty="true"/>
      </w:r>
      <w:r>
        <w:instrText>HYPERLINK \l "b1_ref47"</w:instrText>
      </w:r>
      <w:r>
        <w:fldChar w:fldCharType="separate"/>
      </w:r>
      <w:r>
        <w:rPr>
          <w:b/>
          <w:bCs/>
          <w:rtl/>
        </w:rPr>
        <w:t>47</w:t>
      </w:r>
      <w:r>
        <w:rPr>
          <w:b/>
          <w:bCs/>
        </w:rPr>
        <w:fldChar w:fldCharType="end"/>
      </w:r>
      <w:bookmarkEnd w:id="327"/>
      <w:r>
        <w:rPr>
          <w:rtl/>
        </w:rPr>
        <w:t xml:space="preserve"> והשווה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לפרטים על סיבה נוספת לסגירת הישיבה, ופרק 5, תחילת הפסקה הרביעית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לפרטים נוספים על פתיחתה מחדש.</w:t>
      </w:r>
    </w:p>
    <w:p w14:paraId="63842784" w14:textId="6FE3F1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אהבת התורה ניכרה </w:t>
      </w:r>
      <w:proofErr w:type="spellStart"/>
      <w:r>
        <w:rPr>
          <w:rtl/>
        </w:rPr>
        <w:t>בדולהינוב</w:t>
      </w:r>
      <w:proofErr w:type="spellEnd"/>
      <w:r>
        <w:rPr>
          <w:rtl/>
        </w:rPr>
        <w:t xml:space="preserve"> בדרכים רבות. הרב, תלמיד חכם גדול</w:t>
      </w:r>
      <w:bookmarkStart w:id="328" w:name="b1_ref48"/>
      <w:bookmarkEnd w:id="328"/>
      <w:r>
        <w:rPr>
          <w:vertAlign w:val="superscript"/>
          <w:rtl/>
        </w:rPr>
        <w:fldChar w:fldCharType="begin" w:dirty="true"/>
      </w:r>
      <w:r>
        <w:rPr>
          <w:vertAlign w:val="superscript"/>
          <w:rtl/>
        </w:rPr>
        <w:instrText xml:space="preserve"> REF b1_note48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עניו אך מטופח ונשוא פנים, שימש דוגמה להתמדה בתורה: כל היום ישב ולמד בבית הכנסת הגדול</w:t>
      </w:r>
      <w:bookmarkStart w:id="329" w:name="b1_ref49"/>
      <w:bookmarkEnd w:id="329"/>
      <w:r>
        <w:rPr>
          <w:vertAlign w:val="superscript"/>
          <w:rtl/>
        </w:rPr>
        <w:fldChar w:fldCharType="begin" w:dirty="true"/>
      </w:r>
      <w:r>
        <w:rPr>
          <w:vertAlign w:val="superscript"/>
          <w:rtl/>
        </w:rPr>
        <w:instrText xml:space="preserve"> REF b1_note49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הוא עודד את הצעירים להצטיין בלימודם – ניגש אל כל אחד שנכנס לבית הכנסת ושאל אותו מה למד בחדר באותו יום. ראש הקהל של </w:t>
      </w:r>
      <w:proofErr w:type="spellStart"/>
      <w:r>
        <w:rPr>
          <w:rtl/>
        </w:rPr>
        <w:t>דולהינוב</w:t>
      </w:r>
      <w:proofErr w:type="spellEnd"/>
      <w:r>
        <w:rPr>
          <w:rtl/>
        </w:rPr>
        <w:t xml:space="preserve">, העדין ר׳ שמריהו </w:t>
      </w:r>
      <w:proofErr w:type="spellStart"/>
      <w:r>
        <w:rPr>
          <w:rtl/>
        </w:rPr>
        <w:t>סמורגונסקי</w:t>
      </w:r>
      <w:proofErr w:type="spellEnd"/>
      <w:r>
        <w:rPr>
          <w:rtl/>
        </w:rPr>
        <w:t>, נבחר לא בזכות עושרו אלא בזכות בקיאותו בש״ס ובפוסקים</w:t>
      </w:r>
      <w:bookmarkStart w:id="330" w:name="b1_ref50"/>
      <w:bookmarkEnd w:id="330"/>
      <w:r>
        <w:rPr>
          <w:vertAlign w:val="superscript"/>
          <w:rtl/>
        </w:rPr>
        <w:fldChar w:fldCharType="begin" w:dirty="true"/>
      </w:r>
      <w:r>
        <w:rPr>
          <w:vertAlign w:val="superscript"/>
          <w:rtl/>
        </w:rPr>
        <w:instrText xml:space="preserve"> REF b1_note50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הציבור היהודי בכללו היה טוב לב ומכניס אורחים</w:t>
      </w:r>
      <w:bookmarkStart w:id="331" w:name="b1_ref51"/>
      <w:bookmarkEnd w:id="331"/>
      <w:r>
        <w:rPr>
          <w:vertAlign w:val="superscript"/>
          <w:rtl/>
        </w:rPr>
        <w:fldChar w:fldCharType="begin" w:dirty="true"/>
      </w:r>
      <w:r>
        <w:rPr>
          <w:vertAlign w:val="superscript"/>
          <w:rtl/>
        </w:rPr>
        <w:instrText xml:space="preserve"> REF b1_note51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332" w:name="b1_note48"/>
    <w:p w14:paraId="5FECCD3E" w14:textId="77777777" w:rsidR="00AB3647" w:rsidRDefault="00000000" w:rsidP="007923E9">
      <w:pPr>
        <w:spacing w:before="120" w:after="100" w:line="276" w:lineRule="auto"/>
        <w:jc w:val="both"/>
      </w:pPr>
      <w:r>
        <w:fldChar w:fldCharType="begin" w:dirty="true"/>
      </w:r>
      <w:r>
        <w:instrText>HYPERLINK \l "b1_ref48"</w:instrText>
      </w:r>
      <w:r>
        <w:fldChar w:fldCharType="separate"/>
      </w:r>
      <w:r>
        <w:rPr>
          <w:b/>
          <w:bCs/>
          <w:rtl/>
        </w:rPr>
        <w:t>48</w:t>
      </w:r>
      <w:r>
        <w:rPr>
          <w:b/>
          <w:bCs/>
        </w:rPr>
        <w:fldChar w:fldCharType="end"/>
      </w:r>
      <w:bookmarkEnd w:id="332"/>
      <w:r>
        <w:rPr>
          <w:rtl/>
        </w:rPr>
        <w:t xml:space="preserve"> כבודו המופלג של אבי לרב ניכר בכך שלא הרכיב משקפיים בשבת במקום שאין עירוב. תלמיד שאל אותו פעם אם גם הוא ינהג כך ולא ירכיב משקפיים, והשיב: “אני ‘לצערי’ בא מעיירה שבה פסק הרב שהדבר אסור, ועליי לנהוג כפסק רבי. אתה, לעומת זאת, רשאי להרכיב משקפיים, משום שאני לעצמי סובר שמותר</w:t>
      </w:r>
      <w:bookmarkStart w:id="333" w:name="_fnr202"/>
      <w:r>
        <w:rPr>
          <w:rStyle w:val="a5"/>
        </w:rPr>
        <w:footnoteReference w:id="202" w:customMarkFollows="0"/>
      </w:r>
      <w:bookmarkEnd w:id="333"/>
      <w:r>
        <w:rPr>
          <w:rtl/>
        </w:rPr>
        <w:t>”.</w:t>
      </w:r>
    </w:p>
    <w:p w14:paraId="1A8AA708" w14:textId="77777777" w:rsidR="00AB3647" w:rsidRDefault="00000000" w:rsidP="007923E9">
      <w:pPr>
        <w:spacing w:before="120" w:after="100" w:line="276" w:lineRule="auto"/>
        <w:jc w:val="both"/>
      </w:pPr>
      <w:r>
        <w:rPr>
          <w:rtl/>
        </w:rPr>
        <w:t xml:space="preserve">אבל לדברי ר׳ </w:t>
      </w:r>
      <w:proofErr w:type="spellStart"/>
      <w:r>
        <w:rPr>
          <w:rtl/>
        </w:rPr>
        <w:t>שמואל־יצחק</w:t>
      </w:r>
      <w:proofErr w:type="spellEnd"/>
      <w:r>
        <w:rPr>
          <w:rtl/>
        </w:rPr>
        <w:t xml:space="preserve"> הרמן</w:t>
      </w:r>
      <w:bookmarkStart w:id="334" w:name="_fnr203"/>
      <w:r>
        <w:rPr>
          <w:rStyle w:val="a5"/>
        </w:rPr>
        <w:footnoteReference w:id="203" w:customMarkFollows="0"/>
      </w:r>
      <w:bookmarkEnd w:id="334"/>
      <w:r>
        <w:rPr>
          <w:rtl/>
        </w:rPr>
        <w:t xml:space="preserve"> השיב אבי תשובה אחרת כששאלוהו מדוע אינו מרכיב משקפיים. ר׳ </w:t>
      </w:r>
      <w:proofErr w:type="spellStart"/>
      <w:r>
        <w:rPr>
          <w:rtl/>
        </w:rPr>
        <w:t>שמואל־יצחק</w:t>
      </w:r>
      <w:proofErr w:type="spellEnd"/>
      <w:r>
        <w:rPr>
          <w:rtl/>
        </w:rPr>
        <w:t xml:space="preserve"> היה מלווה את אבי בחזרה למתיבתא תורה ודעת בלילות שבת, </w:t>
      </w:r>
      <w:r>
        <w:rPr>
          <w:rtl/>
        </w:rPr>
        <w:lastRenderedPageBreak/>
        <w:t>אחרי שאבי סעד בבית משפחת הרמן, לפני שמשפחתו שלו עברה מטורונטו לברוקלין</w:t>
      </w:r>
      <w:bookmarkStart w:id="335" w:name="_fnr204"/>
      <w:r>
        <w:rPr>
          <w:rStyle w:val="a5"/>
        </w:rPr>
        <w:footnoteReference w:id="204" w:customMarkFollows="0"/>
      </w:r>
      <w:bookmarkEnd w:id="335"/>
      <w:r>
        <w:rPr>
          <w:rtl/>
        </w:rPr>
        <w:t>. לו נאמר: “האיסור ברור, וההיתר אינו ברור”</w:t>
      </w:r>
      <w:bookmarkStart w:id="336" w:name="_fnr205"/>
      <w:r>
        <w:rPr>
          <w:rStyle w:val="a5"/>
        </w:rPr>
        <w:footnoteReference w:id="205" w:customMarkFollows="0"/>
      </w:r>
      <w:bookmarkEnd w:id="336"/>
      <w:r>
        <w:rPr>
          <w:rtl/>
        </w:rPr>
        <w:t>.</w:t>
      </w:r>
    </w:p>
    <w:bookmarkStart w:id="337" w:name="b1_note49"/>
    <w:p w14:paraId="543699C6" w14:textId="77777777" w:rsidR="00AB3647" w:rsidRDefault="00000000" w:rsidP="007923E9">
      <w:pPr>
        <w:spacing w:before="120" w:after="100" w:line="276" w:lineRule="auto"/>
        <w:jc w:val="both"/>
      </w:pPr>
      <w:r>
        <w:fldChar w:fldCharType="begin" w:dirty="true"/>
      </w:r>
      <w:r>
        <w:instrText>HYPERLINK \l "b1_ref49"</w:instrText>
      </w:r>
      <w:r>
        <w:fldChar w:fldCharType="separate"/>
      </w:r>
      <w:r>
        <w:rPr>
          <w:b/>
          <w:bCs/>
          <w:rtl/>
        </w:rPr>
        <w:t>49</w:t>
      </w:r>
      <w:r>
        <w:rPr>
          <w:b/>
          <w:bCs/>
        </w:rPr>
        <w:fldChar w:fldCharType="end"/>
      </w:r>
      <w:bookmarkEnd w:id="337"/>
      <w:r>
        <w:rPr>
          <w:rtl/>
        </w:rPr>
        <w:t xml:space="preserve"> “אש תמיד”</w:t>
      </w:r>
      <w:bookmarkStart w:id="338" w:name="_fnr206"/>
      <w:r>
        <w:rPr>
          <w:rStyle w:val="a5"/>
        </w:rPr>
        <w:footnoteReference w:id="206" w:customMarkFollows="0"/>
      </w:r>
      <w:bookmarkEnd w:id="338"/>
      <w:r>
        <w:rPr>
          <w:rtl/>
        </w:rPr>
        <w:t xml:space="preserve">. מעניין שיהודי ליטא למדו תורה תמיד בבתי המדרש, ולא עלה על דעתם ללמוד תורה לבדם בבית. דבר זה נזכר בכל כתבי </w:t>
      </w:r>
      <w:proofErr w:type="spellStart"/>
      <w:r>
        <w:rPr>
          <w:rtl/>
        </w:rPr>
        <w:t>ח״ח</w:t>
      </w:r>
      <w:proofErr w:type="spellEnd"/>
      <w:r>
        <w:rPr>
          <w:rtl/>
        </w:rPr>
        <w:t>, ושם נאמר</w:t>
      </w:r>
      <w:bookmarkStart w:id="339" w:name="_fnr207"/>
      <w:r>
        <w:rPr>
          <w:rStyle w:val="a5"/>
        </w:rPr>
        <w:footnoteReference w:id="207" w:customMarkFollows="0"/>
      </w:r>
      <w:bookmarkEnd w:id="339"/>
      <w:r>
        <w:rPr>
          <w:rtl/>
        </w:rPr>
        <w:t xml:space="preserve">: “אחינו בני ליטא רגילים ללמוד בבית המדרש בחבורות אחרי תפילת שחרית, אם דף גמרא ואם פרק משניות – וכן אחרי מנחה. אבל חובת תלמוד תורה אינה עולה על דעתם כלל כשהם יושבים בביתם כל היום וכל הלילה”. כדי לתקן תפיסה זו הוציא </w:t>
      </w:r>
      <w:proofErr w:type="spellStart"/>
      <w:r>
        <w:rPr>
          <w:rtl/>
        </w:rPr>
        <w:t>החפץ־חיים</w:t>
      </w:r>
      <w:proofErr w:type="spellEnd"/>
      <w:r>
        <w:rPr>
          <w:rtl/>
        </w:rPr>
        <w:t xml:space="preserve"> חוברת בשם “תורת הבית” בשנת תרס״ז</w:t>
      </w:r>
      <w:bookmarkStart w:id="340" w:name="_fnr208"/>
      <w:r>
        <w:rPr>
          <w:rStyle w:val="a5"/>
        </w:rPr>
        <w:footnoteReference w:id="208" w:customMarkFollows="0"/>
      </w:r>
      <w:bookmarkEnd w:id="340"/>
      <w:r>
        <w:rPr>
          <w:rtl/>
        </w:rPr>
        <w:t>.</w:t>
      </w:r>
    </w:p>
    <w:p w14:paraId="4DB61FCA" w14:textId="77777777" w:rsidR="00AB3647" w:rsidRDefault="00000000" w:rsidP="007923E9">
      <w:pPr>
        <w:spacing w:before="120" w:after="100" w:line="276" w:lineRule="auto"/>
        <w:jc w:val="both"/>
      </w:pPr>
      <w:r>
        <w:rPr>
          <w:rtl/>
        </w:rPr>
        <w:t>מסתבר שתפיסה מוטעית זו נולדה מתנאי המגורים ברוב הבתים: הם לא היו נוחים ללימוד, ואף היה צורך באמצעי היגיינה מיוחדים לפני שהותר לומר בהם דבר שבקדושה. אבי שיער שמצב זה עמד גם מאחורי הנטייה לערוך את ברית המילה בבית הכנסת ולא בבית, שבו שכבה בדרך כלל היולדת.</w:t>
      </w:r>
    </w:p>
    <w:p w14:paraId="5EEE6092" w14:textId="16B54EF0" w:rsidR="00AB3647" w:rsidRDefault="00000000" w:rsidP="007923E9">
      <w:pPr>
        <w:spacing w:before="120" w:after="100" w:line="276" w:lineRule="auto"/>
        <w:jc w:val="both"/>
      </w:pPr>
      <w:r>
        <w:rPr>
          <w:rtl/>
        </w:rPr>
        <w:t xml:space="preserve">השווה גם פרק 3, הפסקה השלישית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לדברי רבנו, המנהג שלא ללמוד תורה בליל ניטל התבסס על המציאות שבה למדו רק בבתי המדרש ולא בבית. כשאסרו על היהודים לצאת לרחוב באותו לילה מסוכן, הורו הרבנים לבני קהילתם שלא ללכת לבית המדרש, וממילא – שלא ללמוד כלל.</w:t>
      </w:r>
    </w:p>
    <w:bookmarkStart w:id="341" w:name="b1_note50"/>
    <w:p w14:paraId="79FBB939" w14:textId="77777777" w:rsidR="00AB3647" w:rsidRDefault="00000000" w:rsidP="007923E9">
      <w:pPr>
        <w:spacing w:before="120" w:after="100" w:line="276" w:lineRule="auto"/>
        <w:jc w:val="both"/>
      </w:pPr>
      <w:r>
        <w:fldChar w:fldCharType="begin" w:dirty="true"/>
      </w:r>
      <w:r>
        <w:instrText>HYPERLINK \l "b1_ref50"</w:instrText>
      </w:r>
      <w:r>
        <w:fldChar w:fldCharType="separate"/>
      </w:r>
      <w:r>
        <w:rPr>
          <w:b/>
          <w:bCs/>
          <w:rtl/>
        </w:rPr>
        <w:t>50</w:t>
      </w:r>
      <w:r>
        <w:rPr>
          <w:b/>
          <w:bCs/>
        </w:rPr>
        <w:fldChar w:fldCharType="end"/>
      </w:r>
      <w:bookmarkEnd w:id="341"/>
      <w:r>
        <w:rPr>
          <w:rtl/>
        </w:rPr>
        <w:t xml:space="preserve"> “אש תמיד”</w:t>
      </w:r>
      <w:bookmarkStart w:id="342" w:name="_fnr209"/>
      <w:r>
        <w:rPr>
          <w:rStyle w:val="a5"/>
        </w:rPr>
        <w:footnoteReference w:id="209" w:customMarkFollows="0"/>
      </w:r>
      <w:bookmarkEnd w:id="342"/>
      <w:r>
        <w:rPr>
          <w:rtl/>
        </w:rPr>
        <w:t>.</w:t>
      </w:r>
    </w:p>
    <w:bookmarkStart w:id="343" w:name="b1_note51"/>
    <w:p w14:paraId="48FDA708" w14:textId="77777777" w:rsidR="00AB3647" w:rsidRDefault="00000000" w:rsidP="007923E9">
      <w:pPr>
        <w:spacing w:before="120" w:after="100" w:line="276" w:lineRule="auto"/>
        <w:jc w:val="both"/>
      </w:pPr>
      <w:r>
        <w:fldChar w:fldCharType="begin" w:dirty="true"/>
      </w:r>
      <w:r>
        <w:instrText>HYPERLINK \l "b1_ref51"</w:instrText>
      </w:r>
      <w:r>
        <w:fldChar w:fldCharType="separate"/>
      </w:r>
      <w:r>
        <w:rPr>
          <w:b/>
          <w:bCs/>
          <w:rtl/>
        </w:rPr>
        <w:t>51</w:t>
      </w:r>
      <w:r>
        <w:rPr>
          <w:b/>
          <w:bCs/>
        </w:rPr>
        <w:fldChar w:fldCharType="end"/>
      </w:r>
      <w:bookmarkEnd w:id="343"/>
      <w:r>
        <w:rPr>
          <w:rtl/>
        </w:rPr>
        <w:t xml:space="preserve"> ר׳ יהושע </w:t>
      </w:r>
      <w:proofErr w:type="spellStart"/>
      <w:r>
        <w:rPr>
          <w:rtl/>
        </w:rPr>
        <w:t>גולובנצ׳יץ</w:t>
      </w:r>
      <w:bookmarkStart w:id="344" w:name="_fnr210"/>
      <w:proofErr w:type="spellEnd"/>
      <w:r>
        <w:rPr>
          <w:rStyle w:val="a5"/>
        </w:rPr>
        <w:footnoteReference w:id="210" w:customMarkFollows="0"/>
      </w:r>
      <w:bookmarkEnd w:id="344"/>
      <w:r>
        <w:rPr>
          <w:rtl/>
        </w:rPr>
        <w:t xml:space="preserve"> תיאר</w:t>
      </w:r>
      <w:bookmarkStart w:id="345" w:name="_fnr211"/>
      <w:r>
        <w:rPr>
          <w:rStyle w:val="a5"/>
        </w:rPr>
        <w:footnoteReference w:id="211" w:customMarkFollows="0"/>
      </w:r>
      <w:bookmarkEnd w:id="345"/>
      <w:r>
        <w:rPr>
          <w:rtl/>
        </w:rPr>
        <w:t xml:space="preserve"> כיצד ברח בגיל </w:t>
      </w:r>
      <w:proofErr w:type="spellStart"/>
      <w:r>
        <w:rPr>
          <w:rtl/>
        </w:rPr>
        <w:t>שלוש־עשרה</w:t>
      </w:r>
      <w:proofErr w:type="spellEnd"/>
      <w:r>
        <w:rPr>
          <w:rtl/>
        </w:rPr>
        <w:t xml:space="preserve">, בשנת תרפ״ג, מבלארוס הסובייטית אל מעבר לגבול פולין, </w:t>
      </w:r>
      <w:proofErr w:type="spellStart"/>
      <w:r>
        <w:rPr>
          <w:rtl/>
        </w:rPr>
        <w:t>לדולהינוב</w:t>
      </w:r>
      <w:bookmarkStart w:id="346" w:name="_fnr212"/>
      <w:proofErr w:type="spellEnd"/>
      <w:r>
        <w:rPr>
          <w:rStyle w:val="a5"/>
        </w:rPr>
        <w:footnoteReference w:id="212" w:customMarkFollows="0"/>
      </w:r>
      <w:bookmarkEnd w:id="346"/>
      <w:r>
        <w:rPr>
          <w:rtl/>
        </w:rPr>
        <w:t xml:space="preserve">. “כשהלכתי ברחוב הראשי של העיירה, הוציאו אנשים את ראשיהם מן החלונות שוב ושוב וקראו: ‘היה אורח </w:t>
      </w:r>
      <w:r>
        <w:rPr>
          <w:b/>
          <w:bCs/>
          <w:rtl/>
        </w:rPr>
        <w:t>שלי</w:t>
      </w:r>
      <w:r>
        <w:rPr>
          <w:rtl/>
        </w:rPr>
        <w:t xml:space="preserve">!’ ‘היה אורח </w:t>
      </w:r>
      <w:r>
        <w:rPr>
          <w:b/>
          <w:bCs/>
          <w:rtl/>
        </w:rPr>
        <w:t>שלי</w:t>
      </w:r>
      <w:r>
        <w:rPr>
          <w:rtl/>
        </w:rPr>
        <w:t xml:space="preserve">!’”, סיפר. “הם החליפו את בגדיי המרופשים, שבהם שירכתי רגליים בפלגים רדודים וביערות עבותים, וגם נתנו לי כסף להמשיך בדרכי לווילנה, יעדי, שם קיוויתי להתקבל לישיבה”.</w:t>
      </w:r>
    </w:p>
    <w:p w14:paraId="45FDCA54" w14:textId="1A169C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השבת הייתה </w:t>
      </w:r>
      <w:proofErr w:type="spellStart"/>
      <w:r>
        <w:rPr>
          <w:rtl/>
        </w:rPr>
        <w:t>בדולהינוב</w:t>
      </w:r>
      <w:proofErr w:type="spellEnd"/>
      <w:r>
        <w:rPr>
          <w:rtl/>
        </w:rPr>
        <w:t xml:space="preserve"> יום של תלמוד תורה. כבר שעתיים לפני כניסת השבת היו בתי המדרש מלאים אנשים, כל אחד לומד את חלק התורה שמשך את לבו</w:t>
      </w:r>
      <w:bookmarkStart w:id="347" w:name="b1_ref52"/>
      <w:bookmarkEnd w:id="347"/>
      <w:r>
        <w:rPr>
          <w:vertAlign w:val="superscript"/>
          <w:rtl/>
        </w:rPr>
        <w:fldChar w:fldCharType="begin" w:dirty="true"/>
      </w:r>
      <w:r>
        <w:rPr>
          <w:vertAlign w:val="superscript"/>
          <w:rtl/>
        </w:rPr>
        <w:instrText xml:space="preserve"> REF b1_note52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בלילות שבת היה אבי קם בשעה שתיים כדי ללוות את אביו לבית הכנסת, שהיה מלא בעלי בתים הלומדים תורה עד </w:t>
      </w:r>
      <w:r>
        <w:rPr>
          <w:rtl/>
        </w:rPr>
        <w:lastRenderedPageBreak/>
        <w:t>זמן התפילה. מעטים למדו לבדם: בדרך כלל היו מאורגנים בחבורות לימוד בהנהגת תלמידי חכמים מבעלי הבתים. חבורה אחת למדה את פרשת השבוע עם פירוש האלשיך הקדוש, אחרת – “חיי אדם”, אחרת – משניות, ועוד אחת למדה גמרא</w:t>
      </w:r>
      <w:bookmarkStart w:id="348" w:name="b1_ref53"/>
      <w:bookmarkEnd w:id="348"/>
      <w:r>
        <w:rPr>
          <w:vertAlign w:val="superscript"/>
          <w:rtl/>
        </w:rPr>
        <w:fldChar w:fldCharType="begin" w:dirty="true"/>
      </w:r>
      <w:r>
        <w:rPr>
          <w:vertAlign w:val="superscript"/>
          <w:rtl/>
        </w:rPr>
        <w:instrText xml:space="preserve"> REF b1_note53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w:t>
      </w:r>
    </w:p>
    <w:bookmarkStart w:id="349" w:name="b1_note52"/>
    <w:p w14:paraId="3447CBFD" w14:textId="77777777" w:rsidR="00AB3647" w:rsidRDefault="00000000" w:rsidP="007923E9">
      <w:pPr>
        <w:spacing w:before="120" w:after="100" w:line="276" w:lineRule="auto"/>
        <w:jc w:val="both"/>
      </w:pPr>
      <w:r>
        <w:fldChar w:fldCharType="begin" w:dirty="true"/>
      </w:r>
      <w:r>
        <w:instrText>HYPERLINK \l "b1_ref52"</w:instrText>
      </w:r>
      <w:r>
        <w:fldChar w:fldCharType="separate"/>
      </w:r>
      <w:r>
        <w:rPr>
          <w:b/>
          <w:bCs/>
          <w:rtl/>
        </w:rPr>
        <w:t>52</w:t>
      </w:r>
      <w:r>
        <w:rPr>
          <w:b/>
          <w:bCs/>
        </w:rPr>
        <w:fldChar w:fldCharType="end"/>
      </w:r>
      <w:bookmarkEnd w:id="349"/>
      <w:r>
        <w:rPr>
          <w:rtl/>
        </w:rPr>
        <w:t xml:space="preserve"> ר׳ מנחם אדלר</w:t>
      </w:r>
      <w:bookmarkStart w:id="350" w:name="_fnr213"/>
      <w:r>
        <w:rPr>
          <w:rStyle w:val="a5"/>
        </w:rPr>
        <w:footnoteReference w:id="213" w:customMarkFollows="0"/>
      </w:r>
      <w:bookmarkEnd w:id="350"/>
      <w:r>
        <w:rPr>
          <w:rtl/>
        </w:rPr>
        <w:t xml:space="preserve"> בשם אבי.</w:t>
      </w:r>
    </w:p>
    <w:bookmarkStart w:id="351" w:name="b1_note53"/>
    <w:p w14:paraId="416969B9" w14:textId="7079248D" w:rsidR="00AB3647" w:rsidRDefault="00000000" w:rsidP="007923E9">
      <w:pPr>
        <w:spacing w:before="120" w:after="100" w:line="276" w:lineRule="auto"/>
        <w:jc w:val="both"/>
      </w:pPr>
      <w:r>
        <w:fldChar w:fldCharType="begin" w:dirty="true"/>
      </w:r>
      <w:r>
        <w:instrText>HYPERLINK \l "b1_ref53"</w:instrText>
      </w:r>
      <w:r>
        <w:fldChar w:fldCharType="separate"/>
      </w:r>
      <w:r>
        <w:rPr>
          <w:b/>
          <w:bCs/>
          <w:rtl/>
        </w:rPr>
        <w:t>53</w:t>
      </w:r>
      <w:r>
        <w:rPr>
          <w:b/>
          <w:bCs/>
        </w:rPr>
        <w:fldChar w:fldCharType="end"/>
      </w:r>
      <w:bookmarkEnd w:id="351"/>
      <w:r>
        <w:rPr>
          <w:rtl/>
        </w:rPr>
        <w:t xml:space="preserve"> ראה </w:t>
      </w:r>
      <w:r>
        <w:rPr>
          <w:rtl/>
        </w:rPr>
        <w:fldChar w:fldCharType="begin" w:dirty="true"/>
      </w:r>
      <w:r>
        <w:rPr>
          <w:rtl/>
        </w:rPr>
        <w:instrText xml:space="preserve"> REF b1_excC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0409BC9F" w14:textId="727C18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בבית משפחת קמינצקי</w:t>
      </w:r>
      <w:bookmarkStart w:id="352" w:name="b1_ref54"/>
      <w:bookmarkEnd w:id="352"/>
      <w:r>
        <w:rPr>
          <w:vertAlign w:val="superscript"/>
          <w:rtl/>
        </w:rPr>
        <w:fldChar w:fldCharType="begin" w:dirty="true"/>
      </w:r>
      <w:r>
        <w:rPr>
          <w:vertAlign w:val="superscript"/>
          <w:rtl/>
        </w:rPr>
        <w:instrText xml:space="preserve"> REF b1_note54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נתנה עטיל את הטון ללימוד התורה</w:t>
      </w:r>
      <w:proofErr w:type="spellStart"/>
      <w:r>
        <w:rPr>
          <w:rtl/>
        </w:rPr>
        <w:t xml:space="preserve"/>
      </w:r>
      <w:proofErr w:type="spellEnd"/>
      <w:r>
        <w:rPr>
          <w:rtl/>
        </w:rPr>
        <w:t xml:space="preserve">: בשבתות אחר הצהריים קראה בקול מתוך </w:t>
      </w:r>
      <w:proofErr w:type="spellStart"/>
      <w:r>
        <w:rPr>
          <w:rtl/>
        </w:rPr>
        <w:t>ה“צאינה</w:t>
      </w:r>
      <w:proofErr w:type="spellEnd"/>
      <w:r>
        <w:rPr>
          <w:rtl/>
        </w:rPr>
        <w:t xml:space="preserve"> וראינה” שביידיש על פרשת השבוע, לפני הילדים ולפני נשים שונות שבאו להתארח.</w:t>
      </w:r>
    </w:p>
    <w:bookmarkStart w:id="353" w:name="b1_note54"/>
    <w:p w14:paraId="0495CE25" w14:textId="1DCD79CE" w:rsidR="00AB3647" w:rsidRDefault="00000000" w:rsidP="007923E9">
      <w:pPr>
        <w:spacing w:before="120" w:after="100" w:line="276" w:lineRule="auto"/>
        <w:jc w:val="both"/>
      </w:pPr>
      <w:r>
        <w:fldChar w:fldCharType="begin" w:dirty="true"/>
      </w:r>
      <w:r>
        <w:instrText>HYPERLINK \l "b1_ref54"</w:instrText>
      </w:r>
      <w:r>
        <w:fldChar w:fldCharType="separate"/>
      </w:r>
      <w:r>
        <w:rPr>
          <w:b/>
          <w:bCs/>
          <w:rtl/>
        </w:rPr>
        <w:t>54</w:t>
      </w:r>
      <w:r>
        <w:rPr>
          <w:b/>
          <w:bCs/>
        </w:rPr>
        <w:fldChar w:fldCharType="end"/>
      </w:r>
      <w:bookmarkEnd w:id="353"/>
      <w:r>
        <w:rPr>
          <w:rtl/>
        </w:rPr>
        <w:t xml:space="preserve"> ראה </w:t>
      </w:r>
      <w:r>
        <w:rPr>
          <w:rtl/>
        </w:rPr>
        <w:fldChar w:fldCharType="begin" w:dirty="true"/>
      </w:r>
      <w:r>
        <w:rPr>
          <w:rtl/>
        </w:rPr>
        <w:instrText xml:space="preserve"> REF b1_excD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21225A1" w14:textId="6EC68C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שהותם הקצרה של הוריו </w:t>
      </w:r>
      <w:proofErr w:type="spellStart"/>
      <w:r>
        <w:rPr>
          <w:rtl/>
        </w:rPr>
        <w:t>בחטאייביץ</w:t>
      </w:r>
      <w:proofErr w:type="spellEnd"/>
      <w:r>
        <w:rPr>
          <w:rtl/>
        </w:rPr>
        <w:t>׳ היה בחור ישיבה “אוכל ימים”</w:t>
      </w:r>
      <w:bookmarkStart w:id="354" w:name="b1_ref55"/>
      <w:bookmarkEnd w:id="354"/>
      <w:r>
        <w:rPr>
          <w:vertAlign w:val="superscript"/>
          <w:rtl/>
        </w:rPr>
        <w:fldChar w:fldCharType="begin" w:dirty="true"/>
      </w:r>
      <w:r>
        <w:rPr>
          <w:vertAlign w:val="superscript"/>
          <w:rtl/>
        </w:rPr>
        <w:instrText xml:space="preserve"> REF b1_note55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בביתם, והוא לימד את אבי את הגיית אותיות </w:t>
      </w:r>
      <w:proofErr w:type="spellStart"/>
      <w:r>
        <w:rPr>
          <w:rtl/>
        </w:rPr>
        <w:t>האלף־בית</w:t>
      </w:r>
      <w:proofErr w:type="spellEnd"/>
      <w:r>
        <w:rPr>
          <w:rtl/>
        </w:rPr>
        <w:t xml:space="preserve"> ואת סימני הניקוד. </w:t>
      </w:r>
      <w:proofErr w:type="spellStart"/>
      <w:r>
        <w:rPr>
          <w:rtl/>
        </w:rPr>
        <w:t>אמו</w:t>
      </w:r>
      <w:proofErr w:type="spellEnd"/>
      <w:r>
        <w:rPr>
          <w:rtl/>
        </w:rPr>
        <w:t>, אישה שלמדה בכוחות עצמה, עודדה אז את בנה הקטן לגלות בעצמו כיצד מצרפים את ההגאים זה לזה. כשהתחיל ללמוד כסדרו בחדר שבעיירה, הפתיע את מלמדו כשגילה לו שלימד את עצמו לקרוא, ובזכות זה זכה לתשומת לב מיוחדת מצד המלמד.</w:t>
      </w:r>
    </w:p>
    <w:bookmarkStart w:id="355" w:name="b1_note55"/>
    <w:p w14:paraId="0D3A5035" w14:textId="520550F0" w:rsidR="00AB3647" w:rsidRDefault="00000000" w:rsidP="007923E9">
      <w:pPr>
        <w:spacing w:before="120" w:after="100" w:line="276" w:lineRule="auto"/>
        <w:jc w:val="both"/>
      </w:pPr>
      <w:r>
        <w:fldChar w:fldCharType="begin" w:dirty="true"/>
      </w:r>
      <w:r>
        <w:instrText>HYPERLINK \l "b1_ref55"</w:instrText>
      </w:r>
      <w:r>
        <w:fldChar w:fldCharType="separate"/>
      </w:r>
      <w:r>
        <w:rPr>
          <w:b/>
          <w:bCs/>
          <w:rtl/>
        </w:rPr>
        <w:t>55</w:t>
      </w:r>
      <w:r>
        <w:rPr>
          <w:b/>
          <w:bCs/>
        </w:rPr>
        <w:fldChar w:fldCharType="end"/>
      </w:r>
      <w:bookmarkEnd w:id="355"/>
      <w:r>
        <w:rPr>
          <w:rtl/>
        </w:rPr>
        <w:t xml:space="preserve"> השווה הערה </w:t>
      </w:r>
      <w:r>
        <w:rPr>
          <w:rtl/>
        </w:rPr>
        <w:fldChar w:fldCharType="begin" w:dirty="true"/>
      </w:r>
      <w:r>
        <w:rPr>
          <w:rtl/>
        </w:rPr>
        <w:instrText xml:space="preserve"> REF b1_note99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99</w:t>
      </w:r>
      <w:r>
        <w:rPr>
          <w:rtl/>
        </w:rPr>
        <w:fldChar w:fldCharType="end"/>
      </w:r>
      <w:r>
        <w:rPr>
          <w:rtl/>
        </w:rPr>
        <w:t xml:space="preserve"> להלן. </w:t>
      </w:r>
      <w:proofErr w:type="spellStart"/>
      <w:r>
        <w:rPr>
          <w:rtl/>
        </w:rPr>
        <w:t>חטאייביץ</w:t>
      </w:r>
      <w:proofErr w:type="spellEnd"/>
      <w:r>
        <w:rPr>
          <w:rtl/>
        </w:rPr>
        <w:t xml:space="preserve">׳ הייתה עיירה קטנה. לא היה זה דבר נדיר שילדים בני שמונה או תשע שהגיעו לדרגת לימוד גמרא נשלחו מבית הוריהם לקהילה יהודית גדולה יותר, שהיה בה חדר של גמרא. לכן יש להניח שבחור הישיבה היה נער צעיר בגיל זה. ארבעים שנה אחר כך נשלחו גם אחיי הגדולים מביתנו </w:t>
      </w:r>
      <w:proofErr w:type="spellStart"/>
      <w:r>
        <w:rPr>
          <w:rtl/>
        </w:rPr>
        <w:t>בציטוביאן</w:t>
      </w:r>
      <w:proofErr w:type="spellEnd"/>
      <w:r>
        <w:rPr>
          <w:rtl/>
        </w:rPr>
        <w:t>, באותו גיל רך, לעיירות שבהן “אכלו ימים”.</w:t>
      </w:r>
    </w:p>
    <w:p w14:paraId="1123B602" w14:textId="2CF16B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 כך הציק אבי לאחיו הגדול, </w:t>
      </w:r>
      <w:proofErr w:type="spellStart"/>
      <w:r>
        <w:rPr>
          <w:rtl/>
        </w:rPr>
        <w:t>חיים־זרח</w:t>
      </w:r>
      <w:proofErr w:type="spellEnd"/>
      <w:r>
        <w:rPr>
          <w:rtl/>
        </w:rPr>
        <w:t>, שכבר למד חומש, שילמד אותו את החומר המתקדם יותר, והוא קלט את החומר בקלות. לאחר שהתפאר לפני מלמדו שהוא כבר יודע חומש, נבחן הילד המחונן והועלה לשלב הלימוד הגבוה יותר</w:t>
      </w:r>
      <w:bookmarkStart w:id="356" w:name="b1_ref56"/>
      <w:bookmarkEnd w:id="356"/>
      <w:r>
        <w:rPr>
          <w:vertAlign w:val="superscript"/>
          <w:rtl/>
        </w:rPr>
        <w:fldChar w:fldCharType="begin" w:dirty="true"/>
      </w:r>
      <w:r>
        <w:rPr>
          <w:vertAlign w:val="superscript"/>
          <w:rtl/>
        </w:rPr>
        <w:instrText xml:space="preserve"> REF b1_note56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לאחר המעבר לדולהינוב</w:t>
      </w:r>
      <w:bookmarkStart w:id="357" w:name="b1_ref57"/>
      <w:bookmarkEnd w:id="357"/>
      <w:r>
        <w:rPr>
          <w:vertAlign w:val="superscript"/>
          <w:rtl/>
        </w:rPr>
        <w:fldChar w:fldCharType="begin" w:dirty="true"/>
      </w:r>
      <w:r>
        <w:rPr>
          <w:vertAlign w:val="superscript"/>
          <w:rtl/>
        </w:rPr>
        <w:instrText xml:space="preserve"> REF b1_note57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נרשם לחדר פרטי, ושם למד חומש</w:t>
      </w:r>
      <w:bookmarkStart w:id="358" w:name="b1_ref58"/>
      <w:bookmarkEnd w:id="358"/>
      <w:r>
        <w:rPr>
          <w:vertAlign w:val="superscript"/>
          <w:rtl/>
        </w:rPr>
        <w:fldChar w:fldCharType="begin" w:dirty="true"/>
      </w:r>
      <w:r>
        <w:rPr>
          <w:vertAlign w:val="superscript"/>
          <w:rtl/>
        </w:rPr>
        <w:instrText xml:space="preserve"> REF b1_note58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ונביא</w:t>
      </w:r>
      <w:bookmarkStart w:id="359" w:name="b1_ref59"/>
      <w:bookmarkEnd w:id="359"/>
      <w:r>
        <w:rPr>
          <w:vertAlign w:val="superscript"/>
          <w:rtl/>
        </w:rPr>
        <w:fldChar w:fldCharType="begin" w:dirty="true"/>
      </w:r>
      <w:r>
        <w:rPr>
          <w:vertAlign w:val="superscript"/>
          <w:rtl/>
        </w:rPr>
        <w:instrText xml:space="preserve"> REF b1_note59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והגיע לראשית לימוד הגמרא</w:t>
      </w:r>
      <w:bookmarkStart w:id="360" w:name="b1_ref60"/>
      <w:bookmarkEnd w:id="360"/>
      <w:r>
        <w:rPr>
          <w:vertAlign w:val="superscript"/>
          <w:rtl/>
        </w:rPr>
        <w:fldChar w:fldCharType="begin" w:dirty="true"/>
      </w:r>
      <w:r>
        <w:rPr>
          <w:vertAlign w:val="superscript"/>
          <w:rtl/>
        </w:rPr>
        <w:instrText xml:space="preserve"> REF b1_note60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כשהיה רק בן שמונה הצטרף לישיבה הקטנה שבעיירה, שבה למדו גמרא בלבד, ועד גיל עשר כבר היה לומד פרקים שלמים בתלמוד. בחורף שבו מלאו לו </w:t>
      </w:r>
      <w:proofErr w:type="spellStart"/>
      <w:r>
        <w:rPr>
          <w:rtl/>
        </w:rPr>
        <w:t>אחת־עשרה</w:t>
      </w:r>
      <w:proofErr w:type="spellEnd"/>
      <w:r>
        <w:rPr>
          <w:rtl/>
        </w:rPr>
        <w:t xml:space="preserve"> שנה למד את כל מסכת קידושין</w:t>
      </w:r>
      <w:bookmarkStart w:id="361" w:name="b1_ref61"/>
      <w:bookmarkEnd w:id="361"/>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w:t>
      </w:r>
    </w:p>
    <w:bookmarkStart w:id="362" w:name="b1_note56"/>
    <w:p w14:paraId="220A3067" w14:textId="77777777" w:rsidR="00AB3647" w:rsidRDefault="00000000" w:rsidP="007923E9">
      <w:pPr>
        <w:spacing w:before="120" w:after="100" w:line="276" w:lineRule="auto"/>
        <w:jc w:val="both"/>
      </w:pPr>
      <w:r>
        <w:fldChar w:fldCharType="begin" w:dirty="true"/>
      </w:r>
      <w:r>
        <w:instrText>HYPERLINK \l "b1_ref56"</w:instrText>
      </w:r>
      <w:r>
        <w:fldChar w:fldCharType="separate"/>
      </w:r>
      <w:r>
        <w:rPr>
          <w:b/>
          <w:bCs/>
          <w:rtl/>
        </w:rPr>
        <w:t>56</w:t>
      </w:r>
      <w:r>
        <w:rPr>
          <w:b/>
          <w:bCs/>
        </w:rPr>
        <w:fldChar w:fldCharType="end"/>
      </w:r>
      <w:bookmarkEnd w:id="362"/>
      <w:r>
        <w:rPr>
          <w:rtl/>
        </w:rPr>
        <w:t xml:space="preserve"> ר׳ ישעיה שכטר</w:t>
      </w:r>
      <w:bookmarkStart w:id="363" w:name="_fnr214"/>
      <w:r>
        <w:rPr>
          <w:rStyle w:val="a5"/>
        </w:rPr>
        <w:footnoteReference w:id="214" w:customMarkFollows="0"/>
      </w:r>
      <w:bookmarkEnd w:id="363"/>
      <w:r>
        <w:rPr>
          <w:rtl/>
        </w:rPr>
        <w:t>.</w:t>
      </w:r>
    </w:p>
    <w:bookmarkStart w:id="364" w:name="b1_note57"/>
    <w:p w14:paraId="7BEFA729" w14:textId="77777777" w:rsidR="00AB3647" w:rsidRDefault="00000000" w:rsidP="007923E9">
      <w:pPr>
        <w:spacing w:before="120" w:after="100" w:line="276" w:lineRule="auto"/>
        <w:jc w:val="both"/>
      </w:pPr>
      <w:r>
        <w:lastRenderedPageBreak/>
        <w:fldChar w:fldCharType="begin" w:dirty="true"/>
      </w:r>
      <w:r>
        <w:instrText>HYPERLINK \l "b1_ref57"</w:instrText>
      </w:r>
      <w:r>
        <w:fldChar w:fldCharType="separate"/>
      </w:r>
      <w:r>
        <w:rPr>
          <w:b/>
          <w:bCs/>
          <w:rtl/>
        </w:rPr>
        <w:t>57</w:t>
      </w:r>
      <w:r>
        <w:rPr>
          <w:b/>
          <w:bCs/>
        </w:rPr>
        <w:fldChar w:fldCharType="end"/>
      </w:r>
      <w:bookmarkEnd w:id="364"/>
      <w:r>
        <w:rPr>
          <w:rtl/>
        </w:rPr>
        <w:t xml:space="preserve"> לדברי ר׳ </w:t>
      </w:r>
      <w:proofErr w:type="spellStart"/>
      <w:r>
        <w:rPr>
          <w:rtl/>
        </w:rPr>
        <w:t>לייבל</w:t>
      </w:r>
      <w:proofErr w:type="spellEnd"/>
      <w:r>
        <w:rPr>
          <w:rtl/>
        </w:rPr>
        <w:t xml:space="preserve"> </w:t>
      </w:r>
      <w:proofErr w:type="spellStart"/>
      <w:r>
        <w:rPr>
          <w:rtl/>
        </w:rPr>
        <w:t>פרלשטיין</w:t>
      </w:r>
      <w:bookmarkStart w:id="365" w:name="_fnr215"/>
      <w:proofErr w:type="spellEnd"/>
      <w:r>
        <w:rPr>
          <w:rStyle w:val="a5"/>
        </w:rPr>
        <w:footnoteReference w:id="215" w:customMarkFollows="0"/>
      </w:r>
      <w:bookmarkEnd w:id="365"/>
      <w:r>
        <w:rPr>
          <w:rtl/>
        </w:rPr>
        <w:t xml:space="preserve">, זכר אבי את היום שבו הגיעה </w:t>
      </w:r>
      <w:proofErr w:type="spellStart"/>
      <w:r>
        <w:rPr>
          <w:rtl/>
        </w:rPr>
        <w:t>לדולהינוב</w:t>
      </w:r>
      <w:proofErr w:type="spellEnd"/>
      <w:r>
        <w:rPr>
          <w:rtl/>
        </w:rPr>
        <w:t xml:space="preserve"> הידיעה על פטירת ר׳ </w:t>
      </w:r>
      <w:proofErr w:type="spellStart"/>
      <w:r>
        <w:rPr>
          <w:rtl/>
        </w:rPr>
        <w:t>יצחק־אלחנן</w:t>
      </w:r>
      <w:proofErr w:type="spellEnd"/>
      <w:r>
        <w:rPr>
          <w:rtl/>
        </w:rPr>
        <w:t>, רבה של קובנה, וכיצד התקהלו אנשים ברחובות לדבר על האבדה. אותו רב נערץ</w:t>
      </w:r>
      <w:bookmarkStart w:id="366" w:name="_fnr216"/>
      <w:r>
        <w:rPr>
          <w:rStyle w:val="a5"/>
        </w:rPr>
        <w:footnoteReference w:id="216" w:customMarkFollows="0"/>
      </w:r>
      <w:bookmarkEnd w:id="366"/>
      <w:r>
        <w:rPr>
          <w:rtl/>
        </w:rPr>
        <w:t xml:space="preserve"> נפטר יום אחד אחרי יום הולדתו החמישי של אבי, בכ״א באדר תרנ״ו.</w:t>
      </w:r>
    </w:p>
    <w:p w14:paraId="33ECB9E2" w14:textId="77777777" w:rsidR="00AB3647" w:rsidRDefault="00000000" w:rsidP="007923E9">
      <w:pPr>
        <w:spacing w:before="120" w:after="100" w:line="276" w:lineRule="auto"/>
        <w:jc w:val="both"/>
      </w:pPr>
      <w:r>
        <w:rPr>
          <w:rtl/>
        </w:rPr>
        <w:t xml:space="preserve">על הרושם העז שעשתה הלוויית הרב על האנשים ראה </w:t>
      </w:r>
      <w:proofErr w:type="spellStart"/>
      <w:r>
        <w:rPr>
          <w:rtl/>
        </w:rPr>
        <w:t>ב“שנה</w:t>
      </w:r>
      <w:proofErr w:type="spellEnd"/>
      <w:r>
        <w:rPr>
          <w:rtl/>
        </w:rPr>
        <w:t xml:space="preserve"> בשנה – תשכ״ז”</w:t>
      </w:r>
      <w:bookmarkStart w:id="367" w:name="_fnr217"/>
      <w:r>
        <w:rPr>
          <w:rStyle w:val="a5"/>
        </w:rPr>
        <w:footnoteReference w:id="217" w:customMarkFollows="0"/>
      </w:r>
      <w:bookmarkEnd w:id="367"/>
      <w:r>
        <w:rPr>
          <w:rtl/>
        </w:rPr>
        <w:t xml:space="preserve"> את המאמר “הגאון ר׳ אליעזר יהודה </w:t>
      </w:r>
      <w:proofErr w:type="spellStart"/>
      <w:r>
        <w:rPr>
          <w:rtl/>
        </w:rPr>
        <w:t>פינקל</w:t>
      </w:r>
      <w:proofErr w:type="spellEnd"/>
      <w:r>
        <w:rPr>
          <w:rtl/>
        </w:rPr>
        <w:t xml:space="preserve">” מאת הרב ניסן וקסמן. המאמר מתאר את זיכרון אותו יום, החי כל כך שלושים שנה אחר כך, מפי שני תלמידי חכמים גדולים,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שלמה </w:t>
      </w:r>
      <w:proofErr w:type="spellStart"/>
      <w:r>
        <w:rPr>
          <w:rtl/>
        </w:rPr>
        <w:t>פוליצ׳ק</w:t>
      </w:r>
      <w:proofErr w:type="spellEnd"/>
      <w:r>
        <w:rPr>
          <w:rtl/>
        </w:rPr>
        <w:t xml:space="preserve">. הם הגיעו לקובנה </w:t>
      </w:r>
      <w:proofErr w:type="spellStart"/>
      <w:r>
        <w:rPr>
          <w:rtl/>
        </w:rPr>
        <w:t>מבריסק</w:t>
      </w:r>
      <w:proofErr w:type="spellEnd"/>
      <w:r>
        <w:rPr>
          <w:rtl/>
        </w:rPr>
        <w:t xml:space="preserve"> ביום הלווייתו של ר׳ </w:t>
      </w:r>
      <w:proofErr w:type="spellStart"/>
      <w:r>
        <w:rPr>
          <w:rtl/>
        </w:rPr>
        <w:t>יצחק־אלחנן</w:t>
      </w:r>
      <w:proofErr w:type="spellEnd"/>
      <w:r>
        <w:rPr>
          <w:rtl/>
        </w:rPr>
        <w:t xml:space="preserve">, ותיארו את בואם לעיר </w:t>
      </w:r>
      <w:proofErr w:type="spellStart"/>
      <w:r>
        <w:rPr>
          <w:rtl/>
        </w:rPr>
        <w:t>כ“קבלת</w:t>
      </w:r>
      <w:proofErr w:type="spellEnd"/>
      <w:r>
        <w:rPr>
          <w:rtl/>
        </w:rPr>
        <w:t xml:space="preserve"> פנים שחורה”. ר׳ </w:t>
      </w:r>
      <w:proofErr w:type="spellStart"/>
      <w:r>
        <w:rPr>
          <w:rtl/>
        </w:rPr>
        <w:t>לייזר־יודל</w:t>
      </w:r>
      <w:proofErr w:type="spellEnd"/>
      <w:r>
        <w:rPr>
          <w:rtl/>
        </w:rPr>
        <w:t xml:space="preserve"> חזר ותיאר את המאורע “בהתרגשות” פעמים רבות, ואמר על ההלוויה שהיה בה “כבוד שמים”.</w:t>
      </w:r>
    </w:p>
    <w:bookmarkStart w:id="368" w:name="b1_note58"/>
    <w:p w14:paraId="1BA3D737" w14:textId="77777777" w:rsidR="00AB3647" w:rsidRDefault="00000000" w:rsidP="007923E9">
      <w:pPr>
        <w:spacing w:before="120" w:after="100" w:line="276" w:lineRule="auto"/>
        <w:jc w:val="both"/>
      </w:pPr>
      <w:r>
        <w:fldChar w:fldCharType="begin" w:dirty="true"/>
      </w:r>
      <w:r>
        <w:instrText>HYPERLINK \l "b1_ref58"</w:instrText>
      </w:r>
      <w:r>
        <w:fldChar w:fldCharType="separate"/>
      </w:r>
      <w:r>
        <w:rPr>
          <w:b/>
          <w:bCs/>
          <w:rtl/>
        </w:rPr>
        <w:t>58</w:t>
      </w:r>
      <w:r>
        <w:rPr>
          <w:b/>
          <w:bCs/>
        </w:rPr>
        <w:fldChar w:fldCharType="end"/>
      </w:r>
      <w:bookmarkEnd w:id="368"/>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חומש בגיל חמש.</w:t>
      </w:r>
    </w:p>
    <w:bookmarkStart w:id="369" w:name="b1_note59"/>
    <w:p w14:paraId="778410B9" w14:textId="77777777" w:rsidR="00AB3647" w:rsidRDefault="00000000" w:rsidP="007923E9">
      <w:pPr>
        <w:spacing w:before="120" w:after="100" w:line="276" w:lineRule="auto"/>
        <w:jc w:val="both"/>
      </w:pPr>
      <w:r>
        <w:fldChar w:fldCharType="begin" w:dirty="true"/>
      </w:r>
      <w:r>
        <w:instrText>HYPERLINK \l "b1_ref59"</w:instrText>
      </w:r>
      <w:r>
        <w:fldChar w:fldCharType="separate"/>
      </w:r>
      <w:r>
        <w:rPr>
          <w:b/>
          <w:bCs/>
          <w:rtl/>
        </w:rPr>
        <w:t>59</w:t>
      </w:r>
      <w:r>
        <w:rPr>
          <w:b/>
          <w:bCs/>
        </w:rPr>
        <w:fldChar w:fldCharType="end"/>
      </w:r>
      <w:bookmarkEnd w:id="369"/>
      <w:r>
        <w:rPr>
          <w:rtl/>
        </w:rPr>
        <w:t xml:space="preserve"> לדברי ר׳ </w:t>
      </w:r>
      <w:proofErr w:type="spellStart"/>
      <w:r>
        <w:rPr>
          <w:rtl/>
        </w:rPr>
        <w:t>לייבל</w:t>
      </w:r>
      <w:proofErr w:type="spellEnd"/>
      <w:r>
        <w:rPr>
          <w:rtl/>
        </w:rPr>
        <w:t xml:space="preserve"> </w:t>
      </w:r>
      <w:proofErr w:type="spellStart"/>
      <w:r>
        <w:rPr>
          <w:rtl/>
        </w:rPr>
        <w:t>פרלשטיין</w:t>
      </w:r>
      <w:proofErr w:type="spellEnd"/>
      <w:r>
        <w:rPr>
          <w:rtl/>
        </w:rPr>
        <w:t>, סיים נ״ך בגיל תשע</w:t>
      </w:r>
      <w:bookmarkStart w:id="370" w:name="_fnr218"/>
      <w:r>
        <w:rPr>
          <w:rStyle w:val="a5"/>
        </w:rPr>
        <w:footnoteReference w:id="218" w:customMarkFollows="0"/>
      </w:r>
      <w:bookmarkEnd w:id="370"/>
      <w:r>
        <w:rPr>
          <w:rtl/>
        </w:rPr>
        <w:t xml:space="preserve">. ר׳ </w:t>
      </w:r>
      <w:proofErr w:type="spellStart"/>
      <w:r>
        <w:rPr>
          <w:rtl/>
        </w:rPr>
        <w:t>לייבל</w:t>
      </w:r>
      <w:proofErr w:type="spellEnd"/>
      <w:r>
        <w:rPr>
          <w:rtl/>
        </w:rPr>
        <w:t xml:space="preserve"> סיפר ששאל בתמיהה: “וגם עם רש״י למדת?”, ונענה: “ודאי – אחרת אין יודעים את הפשט”. עוד שאל: “ומה עשית עם מעשה מרכבה שבספר יחזקאל?”, ונאמר לו: “את הדברים הקשים דילגנו”. רבנו חזר על כל התנ״ך פעם בשנה כל ימי חייו. בשנותיו האחרונות השתמש במהדורת קורן, וקרא בה ארבעה עמודים בכל יום וחמישה בימי שישי.</w:t>
      </w:r>
    </w:p>
    <w:bookmarkStart w:id="371" w:name="b1_note60"/>
    <w:p w14:paraId="20828ECE" w14:textId="77777777" w:rsidR="00AB3647" w:rsidRDefault="00000000" w:rsidP="007923E9">
      <w:pPr>
        <w:spacing w:before="120" w:after="100" w:line="276" w:lineRule="auto"/>
        <w:jc w:val="both"/>
      </w:pPr>
      <w:r>
        <w:fldChar w:fldCharType="begin" w:dirty="true"/>
      </w:r>
      <w:r>
        <w:instrText>HYPERLINK \l "b1_ref60"</w:instrText>
      </w:r>
      <w:r>
        <w:fldChar w:fldCharType="separate"/>
      </w:r>
      <w:r>
        <w:rPr>
          <w:b/>
          <w:bCs/>
          <w:rtl/>
        </w:rPr>
        <w:t>60</w:t>
      </w:r>
      <w:r>
        <w:rPr>
          <w:b/>
          <w:bCs/>
        </w:rPr>
        <w:fldChar w:fldCharType="end"/>
      </w:r>
      <w:bookmarkEnd w:id="371"/>
      <w:r>
        <w:rPr>
          <w:rtl/>
        </w:rPr>
        <w:t xml:space="preserve"> משניות לא נכללו באותם ימים בתוכנית הלימודים של החדרים. נכדו של רבנו, ר׳ יוסף </w:t>
      </w:r>
      <w:proofErr w:type="spellStart"/>
      <w:r>
        <w:rPr>
          <w:rtl/>
        </w:rPr>
        <w:t>קמינצקי</w:t>
      </w:r>
      <w:proofErr w:type="spellEnd"/>
      <w:r>
        <w:rPr>
          <w:rtl/>
        </w:rPr>
        <w:t>, סיפר</w:t>
      </w:r>
      <w:bookmarkStart w:id="372" w:name="_fnr219"/>
      <w:r>
        <w:rPr>
          <w:rStyle w:val="a5"/>
        </w:rPr>
        <w:footnoteReference w:id="219" w:customMarkFollows="0"/>
      </w:r>
      <w:bookmarkEnd w:id="372"/>
      <w:r>
        <w:rPr>
          <w:rtl/>
        </w:rPr>
        <w:t xml:space="preserve"> שבשנותיו האחרונות, כשנשאל אבי על לימוד משניות לילדים, היה משיב שאפשר ללמדם זרעים וטהרות, שאין עליהם גמרא שבה ילמדו אותם כשיגדלו. מכאן נראית פשרה בין הדחייה הגמורה של המשניות, שרווחה בימי ילדותו, לבין ההדגשה היתרה שניתנת לנושא זה בזמננו.</w:t>
      </w:r>
    </w:p>
    <w:bookmarkStart w:id="373" w:name="b1_note61"/>
    <w:p w14:paraId="4BAD4994" w14:textId="77777777" w:rsidR="00AB3647" w:rsidRDefault="00000000" w:rsidP="007923E9">
      <w:pPr>
        <w:spacing w:before="120" w:after="100" w:line="276" w:lineRule="auto"/>
        <w:jc w:val="both"/>
      </w:pPr>
      <w:r>
        <w:fldChar w:fldCharType="begin" w:dirty="true"/>
      </w:r>
      <w:r>
        <w:instrText>HYPERLINK \l "b1_ref61"</w:instrText>
      </w:r>
      <w:r>
        <w:fldChar w:fldCharType="separate"/>
      </w:r>
      <w:r>
        <w:rPr>
          <w:b/>
          <w:bCs/>
          <w:rtl/>
        </w:rPr>
        <w:t>61</w:t>
      </w:r>
      <w:r>
        <w:rPr>
          <w:b/>
          <w:bCs/>
        </w:rPr>
        <w:fldChar w:fldCharType="end"/>
      </w:r>
      <w:bookmarkEnd w:id="373"/>
      <w:r>
        <w:rPr>
          <w:rtl/>
        </w:rPr>
        <w:t xml:space="preserve">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374" w:name="_fnr220"/>
      <w:r>
        <w:rPr>
          <w:rStyle w:val="a5"/>
        </w:rPr>
        <w:footnoteReference w:id="220" w:customMarkFollows="0"/>
      </w:r>
      <w:bookmarkEnd w:id="374"/>
      <w:r>
        <w:rPr>
          <w:rtl/>
        </w:rPr>
        <w:t xml:space="preserve"> נרשם שהישג זה הוצג </w:t>
      </w:r>
      <w:proofErr w:type="spellStart"/>
      <w:r>
        <w:rPr>
          <w:rtl/>
        </w:rPr>
        <w:t>בדולהינוב</w:t>
      </w:r>
      <w:proofErr w:type="spellEnd"/>
      <w:r>
        <w:rPr>
          <w:rtl/>
        </w:rPr>
        <w:t>, אבל לא נאמר בן כמה היה רבנו באותו זמן. ר׳ שמעון כהן</w:t>
      </w:r>
      <w:bookmarkStart w:id="375" w:name="_fnr221"/>
      <w:r>
        <w:rPr>
          <w:rStyle w:val="a5"/>
        </w:rPr>
        <w:footnoteReference w:id="221" w:customMarkFollows="0"/>
      </w:r>
      <w:bookmarkEnd w:id="375"/>
      <w:r>
        <w:rPr>
          <w:rtl/>
        </w:rPr>
        <w:t xml:space="preserve">, לעומת זאת, גילה פרט זה. בשנת תשמ״א הביא את ר׳ שלמה </w:t>
      </w:r>
      <w:proofErr w:type="spellStart"/>
      <w:r>
        <w:rPr>
          <w:rtl/>
        </w:rPr>
        <w:t>טייכמן</w:t>
      </w:r>
      <w:proofErr w:type="spellEnd"/>
      <w:r>
        <w:rPr>
          <w:rtl/>
        </w:rPr>
        <w:t xml:space="preserve"> לביתו של רבנו </w:t>
      </w:r>
      <w:proofErr w:type="spellStart"/>
      <w:r>
        <w:rPr>
          <w:rtl/>
        </w:rPr>
        <w:t>במונסי</w:t>
      </w:r>
      <w:proofErr w:type="spellEnd"/>
      <w:r>
        <w:rPr>
          <w:rtl/>
        </w:rPr>
        <w:t xml:space="preserve">, כדי לדון בפתיחת בית ספר יסודי לבנות בברוקלין, שיצורף לתיכון שר׳ שלמה </w:t>
      </w:r>
      <w:proofErr w:type="spellStart"/>
      <w:r>
        <w:rPr>
          <w:rtl/>
        </w:rPr>
        <w:t>טייכמן</w:t>
      </w:r>
      <w:proofErr w:type="spellEnd"/>
      <w:r>
        <w:rPr>
          <w:rtl/>
        </w:rPr>
        <w:t xml:space="preserve"> כבר ניהל. האורח לקח עמו את בנו כדי שיראה תלמיד חכם גדול. כשנשאל הנער מה למד לאחרונה והשיב שסיים מסכת קידושין, העיר אבי שהוא סיים מסכת זו “בחורף תרס״ב, (בשנתו) </w:t>
      </w:r>
      <w:proofErr w:type="spellStart"/>
      <w:r>
        <w:rPr>
          <w:rtl/>
        </w:rPr>
        <w:t>האחת־עשרה</w:t>
      </w:r>
      <w:proofErr w:type="spellEnd"/>
      <w:r>
        <w:rPr>
          <w:rtl/>
        </w:rPr>
        <w:t>”.</w:t>
      </w:r>
    </w:p>
    <w:p w14:paraId="51EC9D50" w14:textId="68899DD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מלמדים שונים היו לאבי בשנות גידולו</w:t>
      </w:r>
      <w:bookmarkStart w:id="376" w:name="b1_ref62"/>
      <w:bookmarkEnd w:id="376"/>
      <w:r>
        <w:rPr>
          <w:vertAlign w:val="superscript"/>
          <w:rtl/>
        </w:rPr>
        <w:fldChar w:fldCharType="begin" w:dirty="true"/>
      </w:r>
      <w:r>
        <w:rPr>
          <w:vertAlign w:val="superscript"/>
          <w:rtl/>
        </w:rPr>
        <w:instrText xml:space="preserve"> REF b1_note62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אחד היה חשוך ילדים אך טוב לב</w:t>
      </w:r>
      <w:bookmarkStart w:id="377" w:name="b1_ref63"/>
      <w:bookmarkEnd w:id="377"/>
      <w:r>
        <w:rPr>
          <w:vertAlign w:val="superscript"/>
          <w:rtl/>
        </w:rPr>
        <w:fldChar w:fldCharType="begin" w:dirty="true"/>
      </w:r>
      <w:r>
        <w:rPr>
          <w:vertAlign w:val="superscript"/>
          <w:rtl/>
        </w:rPr>
        <w:instrText xml:space="preserve"> REF b1_note63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ואחר הלקה אותו שלא כדין</w:t>
      </w:r>
      <w:bookmarkStart w:id="378" w:name="b1_ref64"/>
      <w:bookmarkEnd w:id="378"/>
      <w:r>
        <w:rPr>
          <w:vertAlign w:val="superscript"/>
          <w:rtl/>
        </w:rPr>
        <w:fldChar w:fldCharType="begin" w:dirty="true"/>
      </w:r>
      <w:r>
        <w:rPr>
          <w:vertAlign w:val="superscript"/>
          <w:rtl/>
        </w:rPr>
        <w:instrText xml:space="preserve"> REF b1_note64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אחד שיבש את פירוש המשנה שלימד</w:t>
      </w:r>
      <w:bookmarkStart w:id="379" w:name="b1_ref65"/>
      <w:bookmarkEnd w:id="379"/>
      <w:r>
        <w:rPr>
          <w:vertAlign w:val="superscript"/>
          <w:rtl/>
        </w:rPr>
        <w:fldChar w:fldCharType="begin" w:dirty="true"/>
      </w:r>
      <w:r>
        <w:rPr>
          <w:vertAlign w:val="superscript"/>
          <w:rtl/>
        </w:rPr>
        <w:instrText xml:space="preserve"> REF b1_note65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ואחר – אבי לא סלח לו לעולם על שלא הבין שהוא אינו מסוגל לומר שקר</w:t>
      </w:r>
      <w:bookmarkStart w:id="380" w:name="b1_ref66"/>
      <w:bookmarkEnd w:id="380"/>
      <w:r>
        <w:rPr>
          <w:vertAlign w:val="superscript"/>
          <w:rtl/>
        </w:rPr>
        <w:fldChar w:fldCharType="begin" w:dirty="true"/>
      </w:r>
      <w:r>
        <w:rPr>
          <w:vertAlign w:val="superscript"/>
          <w:rtl/>
        </w:rPr>
        <w:instrText xml:space="preserve"> REF b1_note66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w:t>
      </w:r>
    </w:p>
    <w:bookmarkStart w:id="381" w:name="b1_note62"/>
    <w:p w14:paraId="7D5BEB23" w14:textId="77777777" w:rsidR="00AB3647" w:rsidRDefault="00000000" w:rsidP="007923E9">
      <w:pPr>
        <w:spacing w:before="120" w:after="100" w:line="276" w:lineRule="auto"/>
        <w:jc w:val="both"/>
      </w:pPr>
      <w:r>
        <w:fldChar w:fldCharType="begin" w:dirty="true"/>
      </w:r>
      <w:r>
        <w:instrText>HYPERLINK \l "b1_ref62"</w:instrText>
      </w:r>
      <w:r>
        <w:fldChar w:fldCharType="separate"/>
      </w:r>
      <w:r>
        <w:rPr>
          <w:b/>
          <w:bCs/>
          <w:rtl/>
        </w:rPr>
        <w:t>62</w:t>
      </w:r>
      <w:r>
        <w:rPr>
          <w:b/>
          <w:bCs/>
        </w:rPr>
        <w:fldChar w:fldCharType="end"/>
      </w:r>
      <w:bookmarkEnd w:id="381"/>
      <w:r>
        <w:rPr>
          <w:rtl/>
        </w:rPr>
        <w:t xml:space="preserve"> ימיו בחדר היו רגילים. לדוגמה: פעם התבקש אבי לבחון ילד שהתחיל זה עתה ללמוד חומש, והילד השיב כראוי על שאלת אבי מה פירוש המילה “מרחפת” שבפסוק השני של התורה. אז נזכר אבי ואמר: “לפני שמונים שנה, כשלימדו אותי לראשונה את הפסוק הזה, לא שמתי לב למלמד, וכשנשאלתי מה פירוש ‘מרחפת’, </w:t>
      </w:r>
      <w:r>
        <w:rPr>
          <w:b/>
          <w:bCs/>
          <w:rtl/>
        </w:rPr>
        <w:t>לא</w:t>
      </w:r>
      <w:r>
        <w:rPr>
          <w:rtl/>
        </w:rPr>
        <w:t xml:space="preserve"> ידעתי את התשובה”</w:t>
      </w:r>
      <w:bookmarkStart w:id="382" w:name="_fnr222"/>
      <w:r>
        <w:rPr>
          <w:rStyle w:val="a5"/>
        </w:rPr>
        <w:footnoteReference w:id="222" w:customMarkFollows="0"/>
      </w:r>
      <w:bookmarkEnd w:id="382"/>
      <w:r>
        <w:rPr>
          <w:rtl/>
        </w:rPr>
        <w:t>.</w:t>
      </w:r>
    </w:p>
    <w:p w14:paraId="4A589F31" w14:textId="77777777" w:rsidR="00AB3647" w:rsidRDefault="00000000" w:rsidP="007923E9">
      <w:pPr>
        <w:spacing w:after="100" w:line="276" w:lineRule="auto"/>
        <w:ind w:firstLine="340"/>
        <w:jc w:val="both"/>
      </w:pPr>
      <w:r>
        <w:rPr>
          <w:rtl/>
        </w:rPr>
        <w:t>בשנת תשל״ו תכננה “רשת שיעורי תורה” – תוכנית של אגודת ישראל באמריקה, שבראשה עמד אז ר׳ יעקב בנדר – להקליט על סרטים את דעותיהם של גדולי התורה באמריקה על חינוך ילדים.</w:t>
      </w:r>
    </w:p>
    <w:p w14:paraId="44DFEFD8" w14:textId="77777777" w:rsidR="00AB3647" w:rsidRDefault="00000000" w:rsidP="007923E9">
      <w:pPr>
        <w:spacing w:after="100" w:line="276" w:lineRule="auto"/>
        <w:ind w:firstLine="340"/>
        <w:jc w:val="both"/>
      </w:pPr>
      <w:r>
        <w:rPr>
          <w:rtl/>
        </w:rPr>
        <w:t xml:space="preserve">בריאיון אמר אבי לרב בנדר: “תינוקות, שעדיין אינם יודעים אפילו לדבר, מסוגלים לקלוט דברים, ואם המידות בבית מקולקלות – הם יספגו זאת. אני זוכר שהיה לי מלמד </w:t>
      </w:r>
      <w:proofErr w:type="spellStart"/>
      <w:r>
        <w:rPr>
          <w:rtl/>
        </w:rPr>
        <w:t>בדולהינוב</w:t>
      </w:r>
      <w:proofErr w:type="spellEnd"/>
      <w:r>
        <w:rPr>
          <w:rtl/>
        </w:rPr>
        <w:t xml:space="preserve"> שהיה אדם עדין ונוח מאוד. הוא השאיר בי טעם מתוק כל כך, שכשהגעתי לארצות הברית בשנות הארבעים לחיי ושמעתי שאחיו הצעיר גר בוושינגטון הבירה, רציתי לנסוע לשם לראותו – כמו לבקר דוד, אח של אב רוחני</w:t>
      </w:r>
      <w:bookmarkStart w:id="383" w:name="_fnr223"/>
      <w:r>
        <w:rPr>
          <w:rStyle w:val="a5"/>
        </w:rPr>
        <w:footnoteReference w:id="223" w:customMarkFollows="0"/>
      </w:r>
      <w:bookmarkEnd w:id="383"/>
      <w:r>
        <w:rPr>
          <w:rtl/>
        </w:rPr>
        <w:t>. לעומת זאת, היה לי מלמד אחר שמידותיו היו מזוויעות. פעם נכנסה אשתו לבקש כמה רובלים לשבת, והוא צרח והתנפל עליה; זה היה נורא. אני אומר לכם שעד היום, בכל פעם שאני נזכר בזה, אני מזדעזע מן הטעם המר שהשאיר בי”</w:t>
      </w:r>
      <w:bookmarkStart w:id="384" w:name="_fnr224"/>
      <w:r>
        <w:rPr>
          <w:rStyle w:val="a5"/>
        </w:rPr>
        <w:footnoteReference w:id="224" w:customMarkFollows="0"/>
      </w:r>
      <w:bookmarkEnd w:id="384"/>
      <w:r>
        <w:rPr>
          <w:rtl/>
        </w:rPr>
        <w:t>.</w:t>
      </w:r>
    </w:p>
    <w:p w14:paraId="5E011186" w14:textId="77777777" w:rsidR="00AB3647" w:rsidRDefault="00000000" w:rsidP="007923E9">
      <w:pPr>
        <w:spacing w:after="100" w:line="276" w:lineRule="auto"/>
        <w:ind w:firstLine="340"/>
        <w:jc w:val="both"/>
      </w:pPr>
      <w:r>
        <w:rPr>
          <w:rtl/>
        </w:rPr>
        <w:t xml:space="preserve">פעם, במחנה אגודה, דיבר אבי בנוכחות ר׳ </w:t>
      </w:r>
      <w:proofErr w:type="spellStart"/>
      <w:r>
        <w:rPr>
          <w:rtl/>
        </w:rPr>
        <w:t>יעקב־יצחק</w:t>
      </w:r>
      <w:proofErr w:type="spellEnd"/>
      <w:r>
        <w:rPr>
          <w:rtl/>
        </w:rPr>
        <w:t xml:space="preserve"> </w:t>
      </w:r>
      <w:proofErr w:type="spellStart"/>
      <w:r>
        <w:rPr>
          <w:rtl/>
        </w:rPr>
        <w:t>רודרמן</w:t>
      </w:r>
      <w:proofErr w:type="spellEnd"/>
      <w:r>
        <w:rPr>
          <w:rtl/>
        </w:rPr>
        <w:t xml:space="preserve"> על השינוי לטובה שחל בחינוך היסודי של ילדים. כשהזכיר את הסלידה שעורר בו אחד ממלמדיו, העיר ר׳ </w:t>
      </w:r>
      <w:proofErr w:type="spellStart"/>
      <w:r>
        <w:rPr>
          <w:rtl/>
        </w:rPr>
        <w:t>יעקב־יצחק</w:t>
      </w:r>
      <w:proofErr w:type="spellEnd"/>
      <w:r>
        <w:rPr>
          <w:rtl/>
        </w:rPr>
        <w:t xml:space="preserve"> שמכל שש מאות הילדים שעברו תחת ידיו של אותו מלמד </w:t>
      </w:r>
      <w:proofErr w:type="spellStart"/>
      <w:r>
        <w:rPr>
          <w:rtl/>
        </w:rPr>
        <w:t>דולהינובי</w:t>
      </w:r>
      <w:proofErr w:type="spellEnd"/>
      <w:r>
        <w:rPr>
          <w:rtl/>
        </w:rPr>
        <w:t>, רק הוא ורבנו יצאו מתוקנים! הם הסיקו שאילו היו שיטת הלימוד וסדריו אז דומים לשל היום, היו מצליחים תלמידים רבים יותר</w:t>
      </w:r>
      <w:bookmarkStart w:id="385" w:name="_fnr225"/>
      <w:r>
        <w:rPr>
          <w:rStyle w:val="a5"/>
        </w:rPr>
        <w:footnoteReference w:id="225" w:customMarkFollows="0"/>
      </w:r>
      <w:bookmarkEnd w:id="385"/>
      <w:r>
        <w:rPr>
          <w:rtl/>
        </w:rPr>
        <w:t>.</w:t>
      </w:r>
    </w:p>
    <w:p w14:paraId="6A0A3CA3" w14:textId="77777777" w:rsidR="00AB3647" w:rsidRDefault="00000000" w:rsidP="007923E9">
      <w:pPr>
        <w:spacing w:after="100" w:line="276" w:lineRule="auto"/>
        <w:ind w:firstLine="340"/>
        <w:jc w:val="both"/>
      </w:pPr>
      <w:r>
        <w:rPr>
          <w:rtl/>
        </w:rPr>
        <w:t xml:space="preserve">אבי נזכר במאורע מתקופה זו של חייו כשאמר </w:t>
      </w:r>
      <w:proofErr w:type="spellStart"/>
      <w:r>
        <w:rPr>
          <w:rtl/>
        </w:rPr>
        <w:t>לר</w:t>
      </w:r>
      <w:proofErr w:type="spellEnd"/>
      <w:r>
        <w:rPr>
          <w:rtl/>
        </w:rPr>
        <w:t xml:space="preserve">׳ משה </w:t>
      </w:r>
      <w:proofErr w:type="spellStart"/>
      <w:r>
        <w:rPr>
          <w:rtl/>
        </w:rPr>
        <w:t>שוואב</w:t>
      </w:r>
      <w:proofErr w:type="spellEnd"/>
      <w:r>
        <w:rPr>
          <w:rtl/>
        </w:rPr>
        <w:t xml:space="preserve"> להקפיד לתת לבנו הנולד שם שיתגאה בו. הוא סיפר שבחדר שלו היה ילד שחבריו ללימודים התגרו בו בשל שמו המשונה, ופעם התרגז כל כך עד שקילל את אביו על שהטיל עליו שם זה</w:t>
      </w:r>
      <w:bookmarkStart w:id="386" w:name="_fnr226"/>
      <w:r>
        <w:rPr>
          <w:rStyle w:val="a5"/>
        </w:rPr>
        <w:footnoteReference w:id="226" w:customMarkFollows="0"/>
      </w:r>
      <w:bookmarkEnd w:id="386"/>
      <w:r>
        <w:rPr>
          <w:rtl/>
        </w:rPr>
        <w:t>.</w:t>
      </w:r>
    </w:p>
    <w:bookmarkStart w:id="387" w:name="b1_note63"/>
    <w:p w14:paraId="25C515D4" w14:textId="77777777" w:rsidR="00AB3647" w:rsidRDefault="00000000" w:rsidP="007923E9">
      <w:pPr>
        <w:spacing w:before="120" w:after="100" w:line="276" w:lineRule="auto"/>
        <w:jc w:val="both"/>
      </w:pPr>
      <w:r>
        <w:fldChar w:fldCharType="begin" w:dirty="true"/>
      </w:r>
      <w:r>
        <w:instrText>HYPERLINK \l "b1_ref63"</w:instrText>
      </w:r>
      <w:r>
        <w:fldChar w:fldCharType="separate"/>
      </w:r>
      <w:r>
        <w:rPr>
          <w:b/>
          <w:bCs/>
          <w:rtl/>
        </w:rPr>
        <w:t>63</w:t>
      </w:r>
      <w:r>
        <w:rPr>
          <w:b/>
          <w:bCs/>
        </w:rPr>
        <w:fldChar w:fldCharType="end"/>
      </w:r>
      <w:bookmarkEnd w:id="387"/>
      <w:r>
        <w:rPr>
          <w:rtl/>
        </w:rPr>
        <w:t xml:space="preserve"> השווה רמב״ם הל׳ סנהדרין פ״ב </w:t>
      </w:r>
      <w:proofErr w:type="spellStart"/>
      <w:r>
        <w:rPr>
          <w:rtl/>
        </w:rPr>
        <w:t>ה״ג</w:t>
      </w:r>
      <w:proofErr w:type="spellEnd"/>
      <w:r>
        <w:rPr>
          <w:rtl/>
        </w:rPr>
        <w:t>.</w:t>
      </w:r>
    </w:p>
    <w:bookmarkStart w:id="388" w:name="b1_note64"/>
    <w:p w14:paraId="14E32CFA" w14:textId="77777777" w:rsidR="00AB3647" w:rsidRDefault="00000000" w:rsidP="007923E9">
      <w:pPr>
        <w:spacing w:before="120" w:after="100" w:line="276" w:lineRule="auto"/>
        <w:jc w:val="both"/>
      </w:pPr>
      <w:r>
        <w:fldChar w:fldCharType="begin" w:dirty="true"/>
      </w:r>
      <w:r>
        <w:instrText>HYPERLINK \l "b1_ref64"</w:instrText>
      </w:r>
      <w:r>
        <w:fldChar w:fldCharType="separate"/>
      </w:r>
      <w:r>
        <w:rPr>
          <w:b/>
          <w:bCs/>
          <w:rtl/>
        </w:rPr>
        <w:t>64</w:t>
      </w:r>
      <w:r>
        <w:rPr>
          <w:b/>
          <w:bCs/>
        </w:rPr>
        <w:fldChar w:fldCharType="end"/>
      </w:r>
      <w:bookmarkEnd w:id="388"/>
      <w:r>
        <w:rPr>
          <w:rtl/>
        </w:rPr>
        <w:t xml:space="preserve"> כשנשאל אבי על הלקאת ילדים, אמר שאם ההורה אינו בטוח לגמרי שהילד ראוי לעונש, עליו למשוך את ידו, שמא </w:t>
      </w:r>
      <w:proofErr w:type="spellStart"/>
      <w:r>
        <w:rPr>
          <w:rtl/>
        </w:rPr>
        <w:t>יטור</w:t>
      </w:r>
      <w:proofErr w:type="spellEnd"/>
      <w:r>
        <w:rPr>
          <w:rtl/>
        </w:rPr>
        <w:t xml:space="preserve"> לו הילד טינה כל ימי חייו. כדרכו, הביא ראיה מניסיונו שלו: מלמדו נתן לו רשות לצאת מן הכיתה לבית הכיסא, ואחר כך תפס המלמד ילדים אחרים שטענו </w:t>
      </w:r>
      <w:r>
        <w:rPr>
          <w:rtl/>
        </w:rPr>
        <w:lastRenderedPageBreak/>
        <w:t>בשקר שהם צריכים לצאת לבית הכיסא, כתירוץ לצאת לשחק בחוץ. אז הלקה המלמד את כולם, וגם אותו, אף שהוא באמת היה צריך לצאת לבית הכיסא. אבי אמר שבעיניו “אותו מלמד מתועב עד היום הזה”</w:t>
      </w:r>
      <w:bookmarkStart w:id="389" w:name="_fnr227"/>
      <w:r>
        <w:rPr>
          <w:rStyle w:val="a5"/>
        </w:rPr>
        <w:footnoteReference w:id="227" w:customMarkFollows="0"/>
      </w:r>
      <w:bookmarkEnd w:id="389"/>
      <w:r>
        <w:rPr>
          <w:rtl/>
        </w:rPr>
        <w:t>.</w:t>
      </w:r>
    </w:p>
    <w:p w14:paraId="6A4126D1" w14:textId="027A3E0C" w:rsidR="00AB3647" w:rsidRDefault="00000000" w:rsidP="007923E9">
      <w:pPr>
        <w:spacing w:before="120" w:after="100" w:line="276" w:lineRule="auto"/>
        <w:jc w:val="both"/>
      </w:pPr>
      <w:r>
        <w:rPr>
          <w:rtl/>
        </w:rPr>
        <w:t xml:space="preserve">באותה הזדמנות סיפר אבי כיצד נהג ר׳ </w:t>
      </w:r>
      <w:proofErr w:type="spellStart"/>
      <w:r>
        <w:rPr>
          <w:rtl/>
        </w:rPr>
        <w:t>ברוך־בער</w:t>
      </w:r>
      <w:proofErr w:type="spellEnd"/>
      <w:r>
        <w:rPr>
          <w:rtl/>
        </w:rPr>
        <w:t xml:space="preserve"> </w:t>
      </w:r>
      <w:proofErr w:type="spellStart"/>
      <w:r>
        <w:rPr>
          <w:rtl/>
        </w:rPr>
        <w:t>ליבוביץ</w:t>
      </w:r>
      <w:proofErr w:type="spellEnd"/>
      <w:r>
        <w:rPr>
          <w:rtl/>
        </w:rPr>
        <w:t xml:space="preserve"> בבנו שסרח, כמובא בפרק 3, הערה </w:t>
      </w:r>
      <w:r>
        <w:rPr>
          <w:rtl/>
        </w:rPr>
        <w:fldChar w:fldCharType="begin" w:dirty="true"/>
      </w:r>
      <w:r>
        <w:rPr>
          <w:rtl/>
        </w:rPr>
        <w:instrText xml:space="preserve"> REF b3_note141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141</w:t>
      </w:r>
      <w:r>
        <w:rPr>
          <w:rtl/>
        </w:rPr>
        <w:fldChar w:fldCharType="end"/>
      </w:r>
      <w:r>
        <w:rPr>
          <w:rtl/>
        </w:rPr>
        <w:t>. ראה שם גם כיצד הענישו ר׳ יוסף לייב בלוך ורבנו את ילדיהם.</w:t>
      </w:r>
    </w:p>
    <w:bookmarkStart w:id="390" w:name="b1_note65"/>
    <w:p w14:paraId="607B2260" w14:textId="26AAF128" w:rsidR="00AB3647" w:rsidRDefault="00000000" w:rsidP="007923E9">
      <w:pPr>
        <w:spacing w:before="120" w:after="100" w:line="276" w:lineRule="auto"/>
        <w:jc w:val="both"/>
      </w:pPr>
      <w:r>
        <w:fldChar w:fldCharType="begin" w:dirty="true"/>
      </w:r>
      <w:r>
        <w:instrText>HYPERLINK \l "b1_ref65"</w:instrText>
      </w:r>
      <w:r>
        <w:fldChar w:fldCharType="separate"/>
      </w:r>
      <w:r>
        <w:rPr>
          <w:b/>
          <w:bCs/>
          <w:rtl/>
        </w:rPr>
        <w:t>65</w:t>
      </w:r>
      <w:r>
        <w:rPr>
          <w:b/>
          <w:bCs/>
        </w:rPr>
        <w:fldChar w:fldCharType="end"/>
      </w:r>
      <w:bookmarkEnd w:id="390"/>
      <w:r>
        <w:rPr>
          <w:rtl/>
        </w:rPr>
        <w:t xml:space="preserve"> ראה </w:t>
      </w:r>
      <w:r>
        <w:rPr>
          <w:rtl/>
        </w:rPr>
        <w:fldChar w:fldCharType="begin" w:dirty="true"/>
      </w:r>
      <w:r>
        <w:rPr>
          <w:rtl/>
        </w:rPr>
        <w:instrText xml:space="preserve"> REF b1_excE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391" w:name="b1_note66"/>
    <w:p w14:paraId="6EE29FC7" w14:textId="77777777" w:rsidR="00AB3647" w:rsidRDefault="00000000" w:rsidP="007923E9">
      <w:pPr>
        <w:spacing w:before="120" w:after="100" w:line="276" w:lineRule="auto"/>
        <w:jc w:val="both"/>
      </w:pPr>
      <w:r>
        <w:fldChar w:fldCharType="begin" w:dirty="true"/>
      </w:r>
      <w:r>
        <w:instrText>HYPERLINK \l "b1_ref66"</w:instrText>
      </w:r>
      <w:r>
        <w:fldChar w:fldCharType="separate"/>
      </w:r>
      <w:r>
        <w:rPr>
          <w:b/>
          <w:bCs/>
          <w:rtl/>
        </w:rPr>
        <w:t>66</w:t>
      </w:r>
      <w:r>
        <w:rPr>
          <w:b/>
          <w:bCs/>
        </w:rPr>
        <w:fldChar w:fldCharType="end"/>
      </w:r>
      <w:bookmarkEnd w:id="391"/>
      <w:r>
        <w:rPr>
          <w:rtl/>
        </w:rPr>
        <w:t xml:space="preserve"> יום אחד באביב איחר אבי לבוא לחדר. תירוצו היה שיהודי זקן עצר אותו בדרך וביקש ממנו ללכת לביתו ולהביא שמיכה לתינוק שנימול. בלילה הקודם נערכה </w:t>
      </w:r>
      <w:proofErr w:type="spellStart"/>
      <w:r>
        <w:rPr>
          <w:rtl/>
        </w:rPr>
        <w:t>בדולהינוב</w:t>
      </w:r>
      <w:proofErr w:type="spellEnd"/>
      <w:r>
        <w:rPr>
          <w:rtl/>
        </w:rPr>
        <w:t xml:space="preserve"> תהלוכת לפידים נוצרית, שהמלמד אסר על הילדים לצפות בה, והמלמד האשים את רבנו שנשאר ער עד מאוחר לצפות בה, ולכן איחר לקום.</w:t>
      </w:r>
    </w:p>
    <w:p w14:paraId="07188C82" w14:textId="77777777" w:rsidR="00AB3647" w:rsidRDefault="00000000" w:rsidP="007923E9">
      <w:pPr>
        <w:spacing w:before="120" w:after="100" w:line="276" w:lineRule="auto"/>
        <w:jc w:val="both"/>
      </w:pPr>
      <w:r>
        <w:rPr>
          <w:rtl/>
        </w:rPr>
        <w:t>הכחשותיו של אבי נפלו על אוזניים ערלות, והמלמד כבר הפשיל את דש מכנסיו מאחור לקראת ההלקאה, כשנכנסה אחותו דבורה לחדר עם ארוחת הצהריים ששכח לקחת מן הבית. המלמד שאל אותה היכן בילה אחיה בערב הקודם, ועדותה שנשאר בבית הצילה אותו מן המכות, אבל “באה מאוחר מדי כדי להציל (אותו) מן הבושה”.</w:t>
      </w:r>
    </w:p>
    <w:p w14:paraId="53D30A67" w14:textId="77777777" w:rsidR="00AB3647" w:rsidRDefault="00000000" w:rsidP="007923E9">
      <w:pPr>
        <w:spacing w:after="100" w:line="276" w:lineRule="auto"/>
        <w:ind w:firstLine="340"/>
        <w:jc w:val="both"/>
      </w:pPr>
      <w:r>
        <w:rPr>
          <w:rtl/>
        </w:rPr>
        <w:t xml:space="preserve">הוא לא סלח למלמדו בקלות, וכעבור כמה שבועות מצא דרך לנקום. המלמד אסר על הילדים לשחות </w:t>
      </w:r>
      <w:proofErr w:type="spellStart"/>
      <w:r>
        <w:rPr>
          <w:rtl/>
        </w:rPr>
        <w:t>ב“שלושת</w:t>
      </w:r>
      <w:proofErr w:type="spellEnd"/>
      <w:r>
        <w:rPr>
          <w:rtl/>
        </w:rPr>
        <w:t xml:space="preserve"> השבועות”, ואבי הסית את חבריו להציק לאמותיהם עד שקיבלו רשות ללכת. ידי המלמד היו כבולות, כביכול: לא זו בלבד שכל כיתתו לא שמעה בקולו, אלא שגם לא יכול היה להעניש את הילדים עונש גוף על כך בשלושת השבועות</w:t>
      </w:r>
      <w:bookmarkStart w:id="392" w:name="_fnr228"/>
      <w:r>
        <w:rPr>
          <w:rStyle w:val="a5"/>
        </w:rPr>
        <w:footnoteReference w:id="228" w:customMarkFollows="0"/>
      </w:r>
      <w:bookmarkEnd w:id="392"/>
      <w:r>
        <w:rPr>
          <w:rtl/>
        </w:rPr>
        <w:t xml:space="preserve">. כשסיפר אבי מעשה זה שנים אחר כך, הוסיף: “את העונש שלא הגיע לי סלחתי, אבל לא את השיפוט המוטעה. מלמד צריך להכיר את תלמידיו – מי משקר ומי לא, מי שומע לאיסורים ומי לא. ואני הייתי ילד צייתן כל כך, שאחרי שאסר עלינו להחליק על הקרח, לא החלקתי עד גיל </w:t>
      </w:r>
      <w:proofErr w:type="spellStart"/>
      <w:r>
        <w:rPr>
          <w:rtl/>
        </w:rPr>
        <w:t>שש־עשרה</w:t>
      </w:r>
      <w:proofErr w:type="spellEnd"/>
      <w:r>
        <w:rPr>
          <w:rtl/>
        </w:rPr>
        <w:t>!”</w:t>
      </w:r>
      <w:bookmarkStart w:id="393" w:name="_fnr229"/>
      <w:r>
        <w:rPr>
          <w:rStyle w:val="a5"/>
        </w:rPr>
        <w:footnoteReference w:id="229" w:customMarkFollows="0"/>
      </w:r>
      <w:bookmarkEnd w:id="393"/>
    </w:p>
    <w:p w14:paraId="6242ED94" w14:textId="77777777" w:rsidR="00AB3647" w:rsidRDefault="00000000" w:rsidP="007923E9">
      <w:pPr>
        <w:spacing w:after="100" w:line="276" w:lineRule="auto"/>
        <w:ind w:firstLine="340"/>
        <w:jc w:val="both"/>
      </w:pPr>
      <w:r>
        <w:rPr>
          <w:rtl/>
        </w:rPr>
        <w:t xml:space="preserve">לפי הספד אחרי השבעה מפי ר׳ ישראל </w:t>
      </w:r>
      <w:proofErr w:type="spellStart"/>
      <w:r>
        <w:rPr>
          <w:rtl/>
        </w:rPr>
        <w:t>שורין</w:t>
      </w:r>
      <w:proofErr w:type="spellEnd"/>
      <w:r>
        <w:rPr>
          <w:rtl/>
        </w:rPr>
        <w:t>, חתנו הבכור של רבנו, לא שמיכה לברית היא שעיכבה את אבי מלבוא לחדר באותו בוקר, אלא הסכין שהמוהל איבד בדרכו: המוהל ביקש מרבנו לעזור לו למצוא אותה וללוות אותו בשעה שחזר על עקבותיו. עוד מסר המספיד שאבי אמר שלא יוכל לסלוח לאותו מלמד כל ימי חייו!</w:t>
      </w:r>
    </w:p>
    <w:p w14:paraId="3CA130A4" w14:textId="77777777" w:rsidR="00AB3647" w:rsidRDefault="00000000" w:rsidP="007923E9">
      <w:pPr>
        <w:spacing w:after="100" w:line="276" w:lineRule="auto"/>
        <w:ind w:firstLine="340"/>
        <w:jc w:val="both"/>
      </w:pPr>
      <w:r>
        <w:rPr>
          <w:rtl/>
        </w:rPr>
        <w:t xml:space="preserve">נראה שהשחייה הייתה בילוי מפתה לילדי </w:t>
      </w:r>
      <w:proofErr w:type="spellStart"/>
      <w:r>
        <w:rPr>
          <w:rtl/>
        </w:rPr>
        <w:t>דולהינוב</w:t>
      </w:r>
      <w:proofErr w:type="spellEnd"/>
      <w:r>
        <w:rPr>
          <w:rtl/>
        </w:rPr>
        <w:t xml:space="preserve">. אבי סיפר לד״ר ג׳יי שפירא, שהתאכסן אצלו לזמן קצר </w:t>
      </w:r>
      <w:proofErr w:type="spellStart"/>
      <w:r>
        <w:rPr>
          <w:rtl/>
        </w:rPr>
        <w:t>באיסט</w:t>
      </w:r>
      <w:proofErr w:type="spellEnd"/>
      <w:r>
        <w:rPr>
          <w:rtl/>
        </w:rPr>
        <w:t xml:space="preserve"> ניו יורק</w:t>
      </w:r>
      <w:bookmarkStart w:id="394" w:name="_fnr230"/>
      <w:r>
        <w:rPr>
          <w:rStyle w:val="a5"/>
        </w:rPr>
        <w:footnoteReference w:id="230" w:customMarkFollows="0"/>
      </w:r>
      <w:bookmarkEnd w:id="394"/>
      <w:r>
        <w:rPr>
          <w:rtl/>
        </w:rPr>
        <w:t xml:space="preserve">, שבכל שנה בערב </w:t>
      </w:r>
      <w:proofErr w:type="spellStart"/>
      <w:r>
        <w:rPr>
          <w:rtl/>
        </w:rPr>
        <w:t>שבעה־עשר</w:t>
      </w:r>
      <w:proofErr w:type="spellEnd"/>
      <w:r>
        <w:rPr>
          <w:rtl/>
        </w:rPr>
        <w:t xml:space="preserve"> בתמוז היו הילדים מתגנבים לשחות בלי רשות אמותיהם. הם ידעו שעד שישובו הביתה עם רדת החשכה כבר </w:t>
      </w:r>
      <w:r>
        <w:rPr>
          <w:rtl/>
        </w:rPr>
        <w:lastRenderedPageBreak/>
        <w:t>יתחילו שלושת השבועות, ואז אי אפשר יהיה להענישם. הם חישבו, ובצדק, שעד שיעברו שלושת השבועות כבר ישכחו הוריהם את עבירתם.</w:t>
      </w:r>
    </w:p>
    <w:p w14:paraId="0ED3D04F"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95" w:name="_fnr231"/>
      <w:proofErr w:type="spellEnd"/>
      <w:r>
        <w:rPr>
          <w:rStyle w:val="a5"/>
        </w:rPr>
        <w:footnoteReference w:id="231" w:customMarkFollows="0"/>
      </w:r>
      <w:bookmarkEnd w:id="395"/>
      <w:r>
        <w:rPr>
          <w:rtl/>
        </w:rPr>
        <w:t xml:space="preserve"> מסר נוסח אחר לגמרי של המעשה, ולפיו אבי שיקר באמת! האירוע שנאסר על הילדים לצפות בו לא היה אירוע נוצרי בתחילת הקיץ, אלא חג ינואר של הכנסייה </w:t>
      </w:r>
      <w:proofErr w:type="spellStart"/>
      <w:r>
        <w:rPr>
          <w:rtl/>
        </w:rPr>
        <w:t>היוונית־אורתודוקסית</w:t>
      </w:r>
      <w:proofErr w:type="spellEnd"/>
      <w:r>
        <w:rPr>
          <w:rtl/>
        </w:rPr>
        <w:t xml:space="preserve">, ורבנו צפה בו עד שעה מאוחרת. דווקא איסור המלמד הוא שעורר בו את הרצון לראות מה הדבר שהמלמד אוסר: “וויל איך דאך </w:t>
      </w:r>
      <w:proofErr w:type="spellStart"/>
      <w:r>
        <w:rPr>
          <w:rtl/>
        </w:rPr>
        <w:t>דוקא</w:t>
      </w:r>
      <w:proofErr w:type="spellEnd"/>
      <w:r>
        <w:rPr>
          <w:rtl/>
        </w:rPr>
        <w:t xml:space="preserve"> </w:t>
      </w:r>
      <w:proofErr w:type="spellStart"/>
      <w:r>
        <w:rPr>
          <w:rtl/>
        </w:rPr>
        <w:t>גיין</w:t>
      </w:r>
      <w:proofErr w:type="spellEnd"/>
      <w:r>
        <w:rPr>
          <w:rtl/>
        </w:rPr>
        <w:t>” [משום כך דווקא רציתי ללכת], אמר.</w:t>
      </w:r>
    </w:p>
    <w:p w14:paraId="6EEB1A2C" w14:textId="77777777" w:rsidR="00AB3647" w:rsidRDefault="00000000" w:rsidP="007923E9">
      <w:pPr>
        <w:spacing w:after="100" w:line="276" w:lineRule="auto"/>
        <w:ind w:firstLine="340"/>
        <w:jc w:val="both"/>
      </w:pPr>
      <w:r>
        <w:rPr>
          <w:rtl/>
        </w:rPr>
        <w:t xml:space="preserve">למחרת בבוקר שיקר כשנשאל מדוע איחר לבוא לחדר. כשהביאה אחותו את ארוחת הצהריים ששכח, היא </w:t>
      </w:r>
      <w:r>
        <w:rPr>
          <w:b/>
          <w:bCs/>
          <w:rtl/>
        </w:rPr>
        <w:t>אישרה</w:t>
      </w:r>
      <w:r>
        <w:rPr>
          <w:rtl/>
        </w:rPr>
        <w:t xml:space="preserve"> את חשד המלמד, והנער הסורר ספג את המלקות שהיה ראוי להן בהחלט. אבי לא סלח למלמד על שהעמידו במצב שבו הרגיש שהוא נאלץ לשקר!</w:t>
      </w:r>
      <w:bookmarkStart w:id="396" w:name="_fnr232"/>
      <w:bookmarkStart w:id="397" w:name="pr_f_165"/>
      <w:r>
        <w:rPr>
          <w:rStyle w:val="a5"/>
        </w:rPr>
        <w:footnoteReference w:id="232" w:customMarkFollows="0"/>
      </w:r>
      <w:bookmarkEnd w:id="396"/>
      <w:bookmarkEnd w:id="397"/>
    </w:p>
    <w:p w14:paraId="4C580205" w14:textId="06F2581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היה ילד שקדן שנתברך בזיכרון יוצא מן הכלל</w:t>
      </w:r>
      <w:bookmarkStart w:id="398" w:name="b1_ref67"/>
      <w:bookmarkEnd w:id="398"/>
      <w:r>
        <w:rPr>
          <w:vertAlign w:val="superscript"/>
          <w:rtl/>
        </w:rPr>
        <w:fldChar w:fldCharType="begin" w:dirty="true"/>
      </w:r>
      <w:r>
        <w:rPr>
          <w:vertAlign w:val="superscript"/>
          <w:rtl/>
        </w:rPr>
        <w:instrText xml:space="preserve"> REF b1_note67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כשהיה רק בן חמש הסתובב בבית המדרש </w:t>
      </w:r>
      <w:proofErr w:type="spellStart"/>
      <w:r>
        <w:rPr>
          <w:rtl/>
        </w:rPr>
        <w:t>בדולהינוב</w:t>
      </w:r>
      <w:proofErr w:type="spellEnd"/>
      <w:r>
        <w:rPr>
          <w:rtl/>
        </w:rPr>
        <w:t>, שבו למדו כמה בעלי בתים גמרא באחד מימי החורף, בשעות אחר הצהריים. הם נתקלו בהפניה לפסוק בספר שופטים והוצרכו לדעת את לשונו המדויקת, וביקשו מן הילד שימצא להם את הכרך הדרוש.</w:t>
      </w:r>
    </w:p>
    <w:bookmarkStart w:id="399" w:name="b1_note67"/>
    <w:p w14:paraId="6752535B" w14:textId="77777777" w:rsidR="00AB3647" w:rsidRDefault="00000000" w:rsidP="007923E9">
      <w:pPr>
        <w:spacing w:before="120" w:after="100" w:line="276" w:lineRule="auto"/>
        <w:jc w:val="both"/>
      </w:pPr>
      <w:r>
        <w:fldChar w:fldCharType="begin" w:dirty="true"/>
      </w:r>
      <w:r>
        <w:instrText>HYPERLINK \l "b1_ref67"</w:instrText>
      </w:r>
      <w:r>
        <w:fldChar w:fldCharType="separate"/>
      </w:r>
      <w:r>
        <w:rPr>
          <w:b/>
          <w:bCs/>
          <w:rtl/>
        </w:rPr>
        <w:t>67</w:t>
      </w:r>
      <w:r>
        <w:rPr>
          <w:b/>
          <w:bCs/>
        </w:rPr>
        <w:fldChar w:fldCharType="end"/>
      </w:r>
      <w:bookmarkEnd w:id="39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שאבי אמר לו פעם, באמצע שנות </w:t>
      </w:r>
      <w:proofErr w:type="spellStart"/>
      <w:r>
        <w:rPr>
          <w:rtl/>
        </w:rPr>
        <w:t>הת״ש־כ</w:t>
      </w:r>
      <w:proofErr w:type="spellEnd"/>
      <w:r>
        <w:rPr>
          <w:rtl/>
        </w:rPr>
        <w:t>׳, שמעולם לא שכח תוספות בש״ס</w:t>
      </w:r>
      <w:bookmarkStart w:id="400" w:name="_fnr233"/>
      <w:r>
        <w:rPr>
          <w:rStyle w:val="a5"/>
        </w:rPr>
        <w:footnoteReference w:id="233" w:customMarkFollows="0"/>
      </w:r>
      <w:bookmarkEnd w:id="400"/>
      <w:r>
        <w:rPr>
          <w:rtl/>
        </w:rPr>
        <w:t xml:space="preserve">. נתקלתי בדוגמה הבאה לזיכרונו יוצא הדופן. ר׳ דוד </w:t>
      </w:r>
      <w:proofErr w:type="spellStart"/>
      <w:r>
        <w:rPr>
          <w:rtl/>
        </w:rPr>
        <w:t>דרעבין</w:t>
      </w:r>
      <w:proofErr w:type="spellEnd"/>
      <w:r>
        <w:rPr>
          <w:rtl/>
        </w:rPr>
        <w:t xml:space="preserve"> חזר</w:t>
      </w:r>
      <w:bookmarkStart w:id="401" w:name="_fnr234"/>
      <w:r>
        <w:rPr>
          <w:rStyle w:val="a5"/>
        </w:rPr>
        <w:footnoteReference w:id="234" w:customMarkFollows="0"/>
      </w:r>
      <w:bookmarkEnd w:id="401"/>
      <w:r>
        <w:rPr>
          <w:rtl/>
        </w:rPr>
        <w:t xml:space="preserve"> על מה שהשיב רבנו כשנשאל מה דעתו על המקפידים ללמד ילדים את אותיות </w:t>
      </w:r>
      <w:proofErr w:type="spellStart"/>
      <w:r>
        <w:rPr>
          <w:rtl/>
        </w:rPr>
        <w:t>האלף־בית</w:t>
      </w:r>
      <w:proofErr w:type="spellEnd"/>
      <w:r>
        <w:rPr>
          <w:rtl/>
        </w:rPr>
        <w:t xml:space="preserve"> רק כסדרן, ומאותיות מודפסות שחור על גבי לבן, כבספר תורה. אבי, שהיה אז בשנות השמונים לחייו, השיב: “אני זוכר שהאות הראשונה של </w:t>
      </w:r>
      <w:proofErr w:type="spellStart"/>
      <w:r>
        <w:rPr>
          <w:rtl/>
        </w:rPr>
        <w:t>האלף־בית</w:t>
      </w:r>
      <w:proofErr w:type="spellEnd"/>
      <w:r>
        <w:rPr>
          <w:rtl/>
        </w:rPr>
        <w:t xml:space="preserve"> שלמדתי כילד קטן הייתה מ״ם, ולא אל״ף”.</w:t>
      </w:r>
    </w:p>
    <w:p w14:paraId="5C54A638" w14:textId="77777777" w:rsidR="00AB3647" w:rsidRDefault="00000000" w:rsidP="007923E9">
      <w:pPr>
        <w:spacing w:before="120" w:after="100" w:line="276" w:lineRule="auto"/>
        <w:jc w:val="both"/>
      </w:pPr>
      <w:r>
        <w:rPr>
          <w:rtl/>
        </w:rPr>
        <w:lastRenderedPageBreak/>
        <w:t xml:space="preserve">ר׳ שמעון </w:t>
      </w:r>
      <w:proofErr w:type="spellStart"/>
      <w:r>
        <w:rPr>
          <w:rtl/>
        </w:rPr>
        <w:t>קצמן</w:t>
      </w:r>
      <w:proofErr w:type="spellEnd"/>
      <w:r>
        <w:rPr>
          <w:rtl/>
        </w:rPr>
        <w:t xml:space="preserve"> סיפר</w:t>
      </w:r>
      <w:bookmarkStart w:id="402" w:name="_fnr235"/>
      <w:r>
        <w:rPr>
          <w:rStyle w:val="a5"/>
        </w:rPr>
        <w:footnoteReference w:id="235" w:customMarkFollows="0"/>
      </w:r>
      <w:bookmarkEnd w:id="402"/>
      <w:r>
        <w:rPr>
          <w:rtl/>
        </w:rPr>
        <w:t xml:space="preserve"> שבשנת </w:t>
      </w:r>
      <w:proofErr w:type="spellStart"/>
      <w:r>
        <w:rPr>
          <w:rtl/>
        </w:rPr>
        <w:t>תש״ך</w:t>
      </w:r>
      <w:proofErr w:type="spellEnd"/>
      <w:r>
        <w:rPr>
          <w:rtl/>
        </w:rPr>
        <w:t xml:space="preserve"> ביקש עצה כיצד לשפר את לימודו. אביו הביא אותו לרבנו, שפתח את הפרק השישי של מסכת אבות והתעכב על כמה פריטים ברשימת “מ״ח דברים שהתורה נקנית בהם”. אז נזכר אבי ואמר: “כשהייתי ילד קטן ולמדתי בקול ‘</w:t>
      </w:r>
      <w:proofErr w:type="spellStart"/>
      <w:r>
        <w:rPr>
          <w:rtl/>
        </w:rPr>
        <w:t>געשמאק</w:t>
      </w:r>
      <w:proofErr w:type="spellEnd"/>
      <w:r>
        <w:rPr>
          <w:rtl/>
        </w:rPr>
        <w:t>’ [בהנאה] – כפי שהמשנה דורשת – ניגש אלי זקן אחד ואמר שאם אני רוצה לדעת את הש״ס בעל פה, עלי ללמוד אותו בניגון מסוים, ואותו זקן ניסה ללמד אותי את הניגון. ‘ניגון זה הוא סגולה לזכירת הש״ס׳, אמר. אבל הייתי צעיר וחסר שמיעה מוזיקלית, ולא הצלחתי לקלוט את הניגון; כך שנאלצתי ללכת בדרך הקשה”. המרואיין הסביר שאבי ביקש להבליט שהלימוד בניגון מועיל לזכירת מה שלומדים</w:t>
      </w:r>
      <w:bookmarkStart w:id="403" w:name="_fnr236"/>
      <w:r>
        <w:rPr>
          <w:rStyle w:val="a5"/>
        </w:rPr>
        <w:footnoteReference w:id="236" w:customMarkFollows="0"/>
      </w:r>
      <w:bookmarkEnd w:id="403"/>
      <w:r>
        <w:rPr>
          <w:rtl/>
        </w:rPr>
        <w:t>.</w:t>
      </w:r>
    </w:p>
    <w:p w14:paraId="36799C38" w14:textId="00A189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משלא</w:t>
      </w:r>
      <w:proofErr w:type="spellEnd"/>
      <w:r>
        <w:rPr>
          <w:rtl/>
        </w:rPr>
        <w:t xml:space="preserve"> עלה בידי הילד למצוא את הספר, נזכר אחד הלומדים שאותו פסוק נמצא בהפטרת פרשת בשלח – שירת דבורה, בפרק החמישי של ספר שופטים – שנקראה בבית הכנסת יומיים קודם לכן. שוב ביקשו מן הילד הקטן שיביא להם, הפעם, חומש שמות. הוא אמר שאין צורך בספר, שכן כבר למד את שירת דבורה בחדר ויכול לאומרה בעל פה. סקרנותו של ראש חבורת הלומדים התעוררה, והוא ביקש מן הילד לומר את השירה בעל פה – והילד אמר אותה כולה</w:t>
      </w:r>
      <w:bookmarkStart w:id="404" w:name="b1_ref68"/>
      <w:bookmarkEnd w:id="404"/>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עד גיל </w:t>
      </w:r>
      <w:proofErr w:type="spellStart"/>
      <w:r>
        <w:rPr>
          <w:rtl/>
        </w:rPr>
        <w:t>אחת־עשרה</w:t>
      </w:r>
      <w:proofErr w:type="spellEnd"/>
      <w:r>
        <w:rPr>
          <w:rtl/>
        </w:rPr>
        <w:t xml:space="preserve"> כבר ידע בעל פה עשרים וחמישה דפי גמרא</w:t>
      </w:r>
      <w:r>
        <w:rPr>
          <w:vertAlign w:val="superscript"/>
          <w:rtl/>
        </w:rPr>
        <w:fldChar w:fldCharType="begin" w:dirty="true"/>
      </w:r>
      <w:r>
        <w:rPr>
          <w:vertAlign w:val="superscript"/>
          <w:rtl/>
        </w:rPr>
        <w:instrText xml:space="preserve"> REF b1_note61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1</w:t>
      </w:r>
      <w:r>
        <w:rPr>
          <w:vertAlign w:val="superscript"/>
          <w:rtl/>
        </w:rPr>
        <w:fldChar w:fldCharType="end"/>
      </w:r>
      <w:r>
        <w:rPr>
          <w:rtl/>
        </w:rPr>
        <w:t>.</w:t>
      </w:r>
    </w:p>
    <w:bookmarkStart w:id="405" w:name="b1_note68"/>
    <w:p w14:paraId="726ADD11" w14:textId="77777777" w:rsidR="00AB3647" w:rsidRDefault="00000000" w:rsidP="007923E9">
      <w:pPr>
        <w:spacing w:before="120" w:after="100" w:line="276" w:lineRule="auto"/>
        <w:jc w:val="both"/>
      </w:pPr>
      <w:r>
        <w:fldChar w:fldCharType="begin" w:dirty="true"/>
      </w:r>
      <w:r>
        <w:instrText>HYPERLINK \l "b1_ref68"</w:instrText>
      </w:r>
      <w:r>
        <w:fldChar w:fldCharType="separate"/>
      </w:r>
      <w:r>
        <w:rPr>
          <w:b/>
          <w:bCs/>
          <w:rtl/>
        </w:rPr>
        <w:t>68</w:t>
      </w:r>
      <w:r>
        <w:rPr>
          <w:b/>
          <w:bCs/>
        </w:rPr>
        <w:fldChar w:fldCharType="end"/>
      </w:r>
      <w:bookmarkEnd w:id="405"/>
      <w:r>
        <w:rPr>
          <w:rtl/>
        </w:rPr>
        <w:t xml:space="preserve"> אבי סיפר זאת לנכדו, בני ר׳ יוסף</w:t>
      </w:r>
      <w:bookmarkStart w:id="406" w:name="_fnr237"/>
      <w:r>
        <w:rPr>
          <w:rStyle w:val="a5"/>
        </w:rPr>
        <w:footnoteReference w:id="237" w:customMarkFollows="0"/>
      </w:r>
      <w:bookmarkEnd w:id="406"/>
      <w:r>
        <w:rPr>
          <w:rtl/>
        </w:rPr>
        <w:t>.</w:t>
      </w:r>
    </w:p>
    <w:p w14:paraId="08AFD562" w14:textId="77777777" w:rsidR="00AB3647" w:rsidRDefault="00000000" w:rsidP="007923E9">
      <w:pPr>
        <w:spacing w:after="100" w:line="276" w:lineRule="auto"/>
        <w:ind w:firstLine="340"/>
        <w:jc w:val="both"/>
      </w:pPr>
      <w:r>
        <w:rPr>
          <w:rtl/>
        </w:rPr>
        <w:t xml:space="preserve">מעשה שירת דבורה אירע בט״ו בשבט, כשהילדים שוחררו מן החדר וקיבלו אחר </w:t>
      </w:r>
      <w:proofErr w:type="spellStart"/>
      <w:r>
        <w:rPr>
          <w:rtl/>
        </w:rPr>
        <w:t>צהריים</w:t>
      </w:r>
      <w:proofErr w:type="spellEnd"/>
      <w:r>
        <w:rPr>
          <w:rtl/>
        </w:rPr>
        <w:t xml:space="preserve"> של פנאי. אבי בילה אותו בבית המדרש, שבו עמד ר׳ </w:t>
      </w:r>
      <w:proofErr w:type="spellStart"/>
      <w:r>
        <w:rPr>
          <w:rtl/>
        </w:rPr>
        <w:t>יהודה־לייב</w:t>
      </w:r>
      <w:proofErr w:type="spellEnd"/>
      <w:r>
        <w:rPr>
          <w:rtl/>
        </w:rPr>
        <w:t xml:space="preserve"> </w:t>
      </w:r>
      <w:proofErr w:type="spellStart"/>
      <w:r>
        <w:rPr>
          <w:rtl/>
        </w:rPr>
        <w:t>רודרמן</w:t>
      </w:r>
      <w:proofErr w:type="spellEnd"/>
      <w:r>
        <w:rPr>
          <w:rtl/>
        </w:rPr>
        <w:t xml:space="preserve"> בראש חבורת הלומדים. בקיאותו של אבי זיכתה אותו בפרס של </w:t>
      </w:r>
      <w:proofErr w:type="spellStart"/>
      <w:r>
        <w:rPr>
          <w:rtl/>
        </w:rPr>
        <w:t>קופיקה</w:t>
      </w:r>
      <w:proofErr w:type="spellEnd"/>
      <w:r>
        <w:rPr>
          <w:rtl/>
        </w:rPr>
        <w:t xml:space="preserve"> “לקנות </w:t>
      </w:r>
      <w:proofErr w:type="spellStart"/>
      <w:r>
        <w:rPr>
          <w:rtl/>
        </w:rPr>
        <w:t>בוקסער</w:t>
      </w:r>
      <w:proofErr w:type="spellEnd"/>
      <w:r>
        <w:rPr>
          <w:rtl/>
        </w:rPr>
        <w:t xml:space="preserve"> (חרובים)”, מעדן של ט״ו בשבט. כשבא הביתה וסיפר </w:t>
      </w:r>
      <w:proofErr w:type="spellStart"/>
      <w:r>
        <w:rPr>
          <w:rtl/>
        </w:rPr>
        <w:t>לאמו</w:t>
      </w:r>
      <w:proofErr w:type="spellEnd"/>
      <w:r>
        <w:rPr>
          <w:rtl/>
        </w:rPr>
        <w:t xml:space="preserve"> על המזל הטוב שנפל בחלקו, אמרה לו שר׳ </w:t>
      </w:r>
      <w:proofErr w:type="spellStart"/>
      <w:r>
        <w:rPr>
          <w:rtl/>
        </w:rPr>
        <w:t>יהודה־לייב</w:t>
      </w:r>
      <w:proofErr w:type="spellEnd"/>
      <w:r>
        <w:rPr>
          <w:rtl/>
        </w:rPr>
        <w:t xml:space="preserve"> </w:t>
      </w:r>
      <w:proofErr w:type="spellStart"/>
      <w:r>
        <w:rPr>
          <w:rtl/>
        </w:rPr>
        <w:t>רודרמן</w:t>
      </w:r>
      <w:proofErr w:type="spellEnd"/>
      <w:r>
        <w:rPr>
          <w:rtl/>
        </w:rPr>
        <w:t xml:space="preserve"> קרוב משפחה שלהם – השווה הערות 32 ו־41 לעיל.</w:t>
      </w:r>
    </w:p>
    <w:p w14:paraId="5C99BBFC" w14:textId="5015F700" w:rsidR="00AB3647" w:rsidRDefault="00000000" w:rsidP="007923E9">
      <w:pPr>
        <w:spacing w:after="100" w:line="276" w:lineRule="auto"/>
        <w:ind w:firstLine="340"/>
        <w:jc w:val="both"/>
      </w:pPr>
      <w:r>
        <w:rPr>
          <w:rtl/>
        </w:rPr>
        <w:t xml:space="preserve">אחייני ר׳ אברהם </w:t>
      </w:r>
      <w:proofErr w:type="spellStart"/>
      <w:r>
        <w:rPr>
          <w:rtl/>
        </w:rPr>
        <w:t>קמינצקי</w:t>
      </w:r>
      <w:bookmarkStart w:id="407" w:name="_fnr238"/>
      <w:proofErr w:type="spellEnd"/>
      <w:r>
        <w:rPr>
          <w:rStyle w:val="a5"/>
        </w:rPr>
        <w:footnoteReference w:id="238" w:customMarkFollows="0"/>
      </w:r>
      <w:bookmarkEnd w:id="407"/>
      <w:r>
        <w:rPr>
          <w:rtl/>
        </w:rPr>
        <w:t xml:space="preserve"> הביא נוסח שונה מעט של המעשה מתוך רשימות ביוגרפיות שרשם בחיי סבו</w:t>
      </w:r>
      <w:bookmarkStart w:id="408" w:name="_fnr239"/>
      <w:r>
        <w:rPr>
          <w:rStyle w:val="a5"/>
        </w:rPr>
        <w:footnoteReference w:id="239" w:customMarkFollows="0"/>
      </w:r>
      <w:bookmarkEnd w:id="408"/>
      <w:r>
        <w:rPr>
          <w:rtl/>
        </w:rPr>
        <w:t xml:space="preserve">, וזה לשונו: ר׳ </w:t>
      </w:r>
      <w:proofErr w:type="spellStart"/>
      <w:r>
        <w:rPr>
          <w:rtl/>
        </w:rPr>
        <w:t>יהודה־לייב</w:t>
      </w:r>
      <w:proofErr w:type="spellEnd"/>
      <w:r>
        <w:rPr>
          <w:rtl/>
        </w:rPr>
        <w:t xml:space="preserve"> </w:t>
      </w:r>
      <w:proofErr w:type="spellStart"/>
      <w:r>
        <w:rPr>
          <w:rtl/>
        </w:rPr>
        <w:t>רודרמן</w:t>
      </w:r>
      <w:proofErr w:type="spellEnd"/>
      <w:r>
        <w:rPr>
          <w:rtl/>
        </w:rPr>
        <w:t xml:space="preserve">, שלימד כמה בחורים בבית המדרש, שאל את רבנו מה הוא לומד בחדר, כדי לבחון אותו. כשהשיב הילד שהוא לומד נ״ך, ולא היה בנמצא ספר נביאים לבחון אותו ממנו, הציע אחד מתלמידי ר׳ </w:t>
      </w:r>
      <w:proofErr w:type="spellStart"/>
      <w:r>
        <w:rPr>
          <w:rtl/>
        </w:rPr>
        <w:t>יהודה־לייב</w:t>
      </w:r>
      <w:proofErr w:type="spellEnd"/>
      <w:r>
        <w:rPr>
          <w:rtl/>
        </w:rPr>
        <w:t xml:space="preserve"> לבחון את הילד מתוך חומש בהפטרה האחרונה, שהייתה במקרה שירת דבורה</w:t>
      </w:r>
      <w:bookmarkStart w:id="409" w:name="_fnr240"/>
      <w:r>
        <w:rPr>
          <w:rStyle w:val="a5"/>
        </w:rPr>
        <w:footnoteReference w:id="240" w:customMarkFollows="0"/>
      </w:r>
      <w:bookmarkEnd w:id="409"/>
      <w:r>
        <w:rPr>
          <w:rtl/>
        </w:rPr>
        <w:t xml:space="preserve">. אז הכריז הילד שהוא יודע אותה בעל פה. אבי סיפר לנכדו ר׳ שלום </w:t>
      </w:r>
      <w:proofErr w:type="spellStart"/>
      <w:r>
        <w:rPr>
          <w:rtl/>
        </w:rPr>
        <w:t>קמינצקי</w:t>
      </w:r>
      <w:bookmarkStart w:id="410" w:name="_fnr241"/>
      <w:proofErr w:type="spellEnd"/>
      <w:r>
        <w:rPr>
          <w:rStyle w:val="a5"/>
        </w:rPr>
        <w:footnoteReference w:id="241" w:customMarkFollows="0"/>
      </w:r>
      <w:bookmarkEnd w:id="410"/>
      <w:r>
        <w:rPr>
          <w:rtl/>
        </w:rPr>
        <w:t xml:space="preserve"> שבאותו זמן כבר קרא את כל הנביאים הראשונים. והשווה גם הערה </w:t>
      </w:r>
      <w:r>
        <w:rPr>
          <w:rtl/>
        </w:rPr>
        <w:fldChar w:fldCharType="begin" w:dirty="true"/>
      </w:r>
      <w:r>
        <w:rPr>
          <w:rtl/>
        </w:rPr>
        <w:instrText xml:space="preserve"> REF b1_note59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59</w:t>
      </w:r>
      <w:r>
        <w:rPr>
          <w:rtl/>
        </w:rPr>
        <w:fldChar w:fldCharType="end"/>
      </w:r>
      <w:r>
        <w:rPr>
          <w:rtl/>
        </w:rPr>
        <w:t xml:space="preserve"> לעיל.</w:t>
      </w:r>
    </w:p>
    <w:p w14:paraId="10CD92E8" w14:textId="37F5A14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כבר בגיל צעיר גילה אבי שכל מעמיק ונטייה לסדר. הוא נהנה לעיין בפיוטים ולפענח את החתימות שהצפינו בהם מחבריהם, ואף גילה שמות נסתרים שנשזרו בחכמה רבה כל כך, עד שנעלמו מעיני מדפיסי המחזורים</w:t>
      </w:r>
      <w:r>
        <w:rPr>
          <w:vertAlign w:val="superscript"/>
          <w:rtl/>
        </w:rPr>
        <w:fldChar w:fldCharType="begin" w:dirty="true"/>
      </w:r>
      <w:r>
        <w:rPr>
          <w:vertAlign w:val="superscript"/>
          <w:rtl/>
        </w:rPr>
        <w:instrText xml:space="preserve"> REF b1_note68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sidR="007923E9" w:rsidRPr="007923E9">
        <w:rPr>
          <w:vertAlign w:val="superscript"/>
          <w:rtl/>
        </w:rPr>
        <w:t>8</w:t>
      </w:r>
      <w:r>
        <w:rPr>
          <w:vertAlign w:val="superscript"/>
          <w:rtl/>
        </w:rPr>
        <w:fldChar w:fldCharType="end"/>
      </w:r>
      <w:r>
        <w:rPr>
          <w:rtl/>
        </w:rPr>
        <w:t xml:space="preserve">. שכלו היה פתוח לדעת: מתוך סקרנות היה לומד סוגיות גמרא שמעבר לתוכנית הלימודים של מלמדו, ומעיין בחלקים הקלים לקריאה </w:t>
      </w:r>
      <w:proofErr w:type="spellStart"/>
      <w:r>
        <w:rPr>
          <w:rtl/>
        </w:rPr>
        <w:t>שב“יד</w:t>
      </w:r>
      <w:proofErr w:type="spellEnd"/>
      <w:r>
        <w:rPr>
          <w:rtl/>
        </w:rPr>
        <w:t xml:space="preserve"> החזקה” לרמב״ם. להבדיל, קלט את הכתב והלשון הרוסיים, אף שהיהודים לא השתמשו בהם בחיי היום־יום</w:t>
      </w:r>
      <w:bookmarkStart w:id="411" w:name="b1_ref69"/>
      <w:bookmarkEnd w:id="411"/>
      <w:r>
        <w:rPr>
          <w:vertAlign w:val="superscript"/>
          <w:rtl/>
        </w:rPr>
        <w:fldChar w:fldCharType="begin" w:dirty="true"/>
      </w:r>
      <w:r>
        <w:rPr>
          <w:vertAlign w:val="superscript"/>
          <w:rtl/>
        </w:rPr>
        <w:instrText xml:space="preserve"> REF b1_note69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412" w:name="b1_note69"/>
    <w:p w14:paraId="39899863" w14:textId="65384BBF" w:rsidR="00AB3647" w:rsidRDefault="00000000" w:rsidP="007923E9">
      <w:pPr>
        <w:spacing w:before="120" w:after="100" w:line="276" w:lineRule="auto"/>
        <w:jc w:val="both"/>
      </w:pPr>
      <w:r>
        <w:fldChar w:fldCharType="begin" w:dirty="true"/>
      </w:r>
      <w:r>
        <w:instrText>HYPERLINK \l "b1_ref69"</w:instrText>
      </w:r>
      <w:r>
        <w:fldChar w:fldCharType="separate"/>
      </w:r>
      <w:r>
        <w:rPr>
          <w:b/>
          <w:bCs/>
          <w:rtl/>
        </w:rPr>
        <w:t>69</w:t>
      </w:r>
      <w:r>
        <w:rPr>
          <w:b/>
          <w:bCs/>
        </w:rPr>
        <w:fldChar w:fldCharType="end"/>
      </w:r>
      <w:bookmarkEnd w:id="412"/>
      <w:r>
        <w:rPr>
          <w:rtl/>
        </w:rPr>
        <w:t xml:space="preserve"> השווה פרק 2, אמצע הפסקה התשיעית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שהיהודים הכירו את הלשון הפולנית יותר מן הרוסית, והטעם לכך.</w:t>
      </w:r>
    </w:p>
    <w:p w14:paraId="6EA7DA17" w14:textId="77777777" w:rsidR="00AB3647" w:rsidRDefault="00000000" w:rsidP="007923E9">
      <w:pPr>
        <w:spacing w:before="120" w:after="100" w:line="276" w:lineRule="auto"/>
        <w:jc w:val="both"/>
      </w:pPr>
      <w:r>
        <w:rPr>
          <w:rtl/>
        </w:rPr>
        <w:t xml:space="preserve">לדברי ר׳ </w:t>
      </w:r>
      <w:proofErr w:type="spellStart"/>
      <w:r>
        <w:rPr>
          <w:rtl/>
        </w:rPr>
        <w:t>חיים־דוב</w:t>
      </w:r>
      <w:proofErr w:type="spellEnd"/>
      <w:r>
        <w:rPr>
          <w:rtl/>
        </w:rPr>
        <w:t xml:space="preserve"> </w:t>
      </w:r>
      <w:proofErr w:type="spellStart"/>
      <w:r>
        <w:rPr>
          <w:rtl/>
        </w:rPr>
        <w:t>רבינוביץ</w:t>
      </w:r>
      <w:bookmarkStart w:id="413" w:name="_fnr242"/>
      <w:proofErr w:type="spellEnd"/>
      <w:r>
        <w:rPr>
          <w:rStyle w:val="a5"/>
        </w:rPr>
        <w:footnoteReference w:id="242" w:customMarkFollows="0"/>
      </w:r>
      <w:bookmarkEnd w:id="413"/>
      <w:r>
        <w:rPr>
          <w:rtl/>
        </w:rPr>
        <w:t xml:space="preserve">, הכריז אבי בכינוס מנהלי בתי ספר של תורה ומסורה שחשוב לדעת את שפת המדינה. הוא סיפר שאדם אחד, שבנו הבכור הגיע זה עתה לגיל בית הספר, אמר לו שהחליט שלא לשלוח את הילד לבית ספר שיש בו לימודי חול, כדי שהנער יוכל להקדיש את כל זמנו ללימוד תורה. מחה אבי: “אבל בנך לא יוכל לקרוא אפילו את שלטי הרחובות כדי לדעת היכן הוא עומד”. האב העיקש השיב: “גם ר׳ חיים </w:t>
      </w:r>
      <w:proofErr w:type="spellStart"/>
      <w:r>
        <w:rPr>
          <w:rtl/>
        </w:rPr>
        <w:t>סולובייצ׳יק</w:t>
      </w:r>
      <w:proofErr w:type="spellEnd"/>
      <w:r>
        <w:rPr>
          <w:rtl/>
        </w:rPr>
        <w:t xml:space="preserve"> לא קרא רוסית”. רבנו חש שהחינוך החריג שהתווה האב לבנו יעכב לגמרי את התפתחותו של הילד, וטען: “כן, אבל </w:t>
      </w:r>
      <w:proofErr w:type="spellStart"/>
      <w:r>
        <w:rPr>
          <w:rtl/>
        </w:rPr>
        <w:t>לר</w:t>
      </w:r>
      <w:proofErr w:type="spellEnd"/>
      <w:r>
        <w:rPr>
          <w:rtl/>
        </w:rPr>
        <w:t>׳ חיים היה שמש שידע רוסית וקרא את השלטים כשליווה אותו ברחובות. וכי אתה מצפה שיהיה לבנך שמש כשיגדל?” את המעשה סיים אבי בנימת ניצחון מהולה בעצב: “האב לא שמע לעצתי</w:t>
      </w:r>
      <w:bookmarkStart w:id="414" w:name="_fnr243"/>
      <w:r>
        <w:rPr>
          <w:rStyle w:val="a5"/>
        </w:rPr>
        <w:footnoteReference w:id="243" w:customMarkFollows="0"/>
      </w:r>
      <w:bookmarkEnd w:id="414"/>
      <w:r>
        <w:rPr>
          <w:rtl/>
        </w:rPr>
        <w:t xml:space="preserve"> עד שהגיעו ילדיו הבאים לגיל בית הספר. התברר שכשגדל הבן הבכור, הוא התעניין בלימוד תורה פחות מכולם”.</w:t>
      </w:r>
    </w:p>
    <w:p w14:paraId="3866932D" w14:textId="3BBED85F" w:rsidR="00AB3647" w:rsidRDefault="00000000" w:rsidP="007923E9">
      <w:pPr>
        <w:spacing w:before="120" w:after="100" w:line="276" w:lineRule="auto"/>
        <w:jc w:val="both"/>
      </w:pPr>
      <w:r>
        <w:rPr>
          <w:rtl/>
        </w:rPr>
        <w:t xml:space="preserve">והשווה גם פרק 4, הפסקה השלישית של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התקלה שאירעה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מחמת שלא ידע את הלשון הרוסית, ועל המסקנה שהסיק ממנה.</w:t>
      </w:r>
    </w:p>
    <w:p w14:paraId="5228F1B3" w14:textId="52F0F56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שקדן גדול, וחזר על הגמרא והמפרשים פעם אחר פעם עד שידע אותם על בוריים</w:t>
      </w:r>
      <w:bookmarkStart w:id="415" w:name="b1_ref70"/>
      <w:bookmarkEnd w:id="415"/>
      <w:r>
        <w:rPr>
          <w:vertAlign w:val="superscript"/>
          <w:rtl/>
        </w:rPr>
        <w:fldChar w:fldCharType="begin" w:dirty="true"/>
      </w:r>
      <w:r>
        <w:rPr>
          <w:vertAlign w:val="superscript"/>
          <w:rtl/>
        </w:rPr>
        <w:instrText xml:space="preserve"> REF b1_note70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מעולם לא הניח לשכלו לנוח. אבל אף שהיה שקדן, לא היה מסוגר בעצמו. הוא היה קשוב לסביבתו הכפרית, </w:t>
      </w:r>
      <w:proofErr w:type="spellStart"/>
      <w:r>
        <w:rPr>
          <w:rtl/>
        </w:rPr>
        <w:t>ובדולהינוב</w:t>
      </w:r>
      <w:proofErr w:type="spellEnd"/>
      <w:r>
        <w:rPr>
          <w:rtl/>
        </w:rPr>
        <w:t xml:space="preserve"> נקנו לו אהבה לטבע והתעניינות בו, שליוו אותו כל ימי חייו</w:t>
      </w:r>
      <w:bookmarkStart w:id="416" w:name="b1_ref71"/>
      <w:bookmarkEnd w:id="416"/>
      <w:r>
        <w:rPr>
          <w:vertAlign w:val="superscript"/>
          <w:rtl/>
        </w:rPr>
        <w:fldChar w:fldCharType="begin" w:dirty="true"/>
      </w:r>
      <w:r>
        <w:rPr>
          <w:vertAlign w:val="superscript"/>
          <w:rtl/>
        </w:rPr>
        <w:instrText xml:space="preserve"> REF b1_note71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 מן העשב השפל שלמטה</w:t>
      </w:r>
      <w:bookmarkStart w:id="417" w:name="b1_ref72"/>
      <w:bookmarkEnd w:id="417"/>
      <w:r>
        <w:rPr>
          <w:vertAlign w:val="superscript"/>
          <w:rtl/>
        </w:rPr>
        <w:fldChar w:fldCharType="begin" w:dirty="true"/>
      </w:r>
      <w:r>
        <w:rPr>
          <w:vertAlign w:val="superscript"/>
          <w:rtl/>
        </w:rPr>
        <w:instrText xml:space="preserve"> REF b1_note72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xml:space="preserve"> ועד הכוכבים הרמים שלמעלה</w:t>
      </w:r>
      <w:bookmarkStart w:id="418" w:name="b1_ref73"/>
      <w:bookmarkEnd w:id="418"/>
      <w:r>
        <w:rPr>
          <w:vertAlign w:val="superscript"/>
          <w:rtl/>
        </w:rPr>
        <w:fldChar w:fldCharType="begin" w:dirty="true"/>
      </w:r>
      <w:r>
        <w:rPr>
          <w:vertAlign w:val="superscript"/>
          <w:rtl/>
        </w:rPr>
        <w:instrText xml:space="preserve"> REF b1_note73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w:t>
      </w:r>
    </w:p>
    <w:bookmarkStart w:id="419" w:name="b1_note70"/>
    <w:p w14:paraId="07CD3D64" w14:textId="77777777" w:rsidR="00AB3647" w:rsidRDefault="00000000" w:rsidP="007923E9">
      <w:pPr>
        <w:spacing w:before="120" w:after="100" w:line="276" w:lineRule="auto"/>
        <w:jc w:val="both"/>
      </w:pPr>
      <w:r>
        <w:fldChar w:fldCharType="begin" w:dirty="true"/>
      </w:r>
      <w:r>
        <w:instrText>HYPERLINK \l "b1_ref70"</w:instrText>
      </w:r>
      <w:r>
        <w:fldChar w:fldCharType="separate"/>
      </w:r>
      <w:r>
        <w:rPr>
          <w:b/>
          <w:bCs/>
          <w:rtl/>
        </w:rPr>
        <w:t>70</w:t>
      </w:r>
      <w:r>
        <w:rPr>
          <w:b/>
          <w:bCs/>
        </w:rPr>
        <w:fldChar w:fldCharType="end"/>
      </w:r>
      <w:bookmarkEnd w:id="419"/>
      <w:r>
        <w:rPr>
          <w:rtl/>
        </w:rPr>
        <w:t xml:space="preserve"> לדברי ר׳ </w:t>
      </w:r>
      <w:proofErr w:type="spellStart"/>
      <w:r>
        <w:rPr>
          <w:rtl/>
        </w:rPr>
        <w:t>לייבל</w:t>
      </w:r>
      <w:proofErr w:type="spellEnd"/>
      <w:r>
        <w:rPr>
          <w:rtl/>
        </w:rPr>
        <w:t xml:space="preserve"> </w:t>
      </w:r>
      <w:proofErr w:type="spellStart"/>
      <w:r>
        <w:rPr>
          <w:rtl/>
        </w:rPr>
        <w:t>פרלשטיין</w:t>
      </w:r>
      <w:bookmarkStart w:id="420" w:name="_fnr244"/>
      <w:proofErr w:type="spellEnd"/>
      <w:r>
        <w:rPr>
          <w:rStyle w:val="a5"/>
        </w:rPr>
        <w:footnoteReference w:id="244" w:customMarkFollows="0"/>
      </w:r>
      <w:bookmarkEnd w:id="420"/>
      <w:r>
        <w:rPr>
          <w:rtl/>
        </w:rPr>
        <w:t xml:space="preserve">, היה אבי לומד את הגמרא עם רש״י כמה פעמים, אחר כך עם רש״י </w:t>
      </w:r>
      <w:proofErr w:type="spellStart"/>
      <w:r>
        <w:rPr>
          <w:rtl/>
        </w:rPr>
        <w:t>והרא״ש</w:t>
      </w:r>
      <w:proofErr w:type="spellEnd"/>
      <w:r>
        <w:rPr>
          <w:rtl/>
        </w:rPr>
        <w:t xml:space="preserve"> כמה פעמים, ואחר כך עם רש״י, תוספות </w:t>
      </w:r>
      <w:proofErr w:type="spellStart"/>
      <w:r>
        <w:rPr>
          <w:rtl/>
        </w:rPr>
        <w:t>והרא״ש</w:t>
      </w:r>
      <w:proofErr w:type="spellEnd"/>
      <w:r>
        <w:rPr>
          <w:rtl/>
        </w:rPr>
        <w:t xml:space="preserve"> כמה פעמים. אחר כך היה חוזר על </w:t>
      </w:r>
      <w:proofErr w:type="spellStart"/>
      <w:r>
        <w:rPr>
          <w:rtl/>
        </w:rPr>
        <w:t>הסוגיה</w:t>
      </w:r>
      <w:proofErr w:type="spellEnd"/>
      <w:r>
        <w:rPr>
          <w:rtl/>
        </w:rPr>
        <w:t xml:space="preserve"> כולה עוד פעמים רבות, עד שהגיע לעשרים וחמש פעמים בסך הכול!</w:t>
      </w:r>
    </w:p>
    <w:p w14:paraId="67B8E53D" w14:textId="77777777" w:rsidR="00AB3647" w:rsidRDefault="00000000" w:rsidP="007923E9">
      <w:pPr>
        <w:spacing w:before="120" w:after="100" w:line="276" w:lineRule="auto"/>
        <w:jc w:val="both"/>
      </w:pPr>
      <w:r>
        <w:rPr>
          <w:rtl/>
        </w:rPr>
        <w:lastRenderedPageBreak/>
        <w:t>בשיחת טלפון כעבור חמש שנים</w:t>
      </w:r>
      <w:bookmarkStart w:id="421" w:name="_fnr245"/>
      <w:r>
        <w:rPr>
          <w:rStyle w:val="a5"/>
        </w:rPr>
        <w:footnoteReference w:id="245" w:customMarkFollows="0"/>
      </w:r>
      <w:bookmarkEnd w:id="421"/>
      <w:r>
        <w:rPr>
          <w:rtl/>
        </w:rPr>
        <w:t xml:space="preserve"> אמר ר׳ </w:t>
      </w:r>
      <w:proofErr w:type="spellStart"/>
      <w:r>
        <w:rPr>
          <w:rtl/>
        </w:rPr>
        <w:t>לייבל</w:t>
      </w:r>
      <w:proofErr w:type="spellEnd"/>
      <w:r>
        <w:rPr>
          <w:rtl/>
        </w:rPr>
        <w:t xml:space="preserve"> שאבי הרגיש שהחמיץ דברים רבים בילדותו – וכנראה היה זה פרי שקידתו יותר מאשר פרי עוני הוריו. עוד אמר אבי </w:t>
      </w:r>
      <w:proofErr w:type="spellStart"/>
      <w:r>
        <w:rPr>
          <w:rtl/>
        </w:rPr>
        <w:t>לר</w:t>
      </w:r>
      <w:proofErr w:type="spellEnd"/>
      <w:r>
        <w:rPr>
          <w:rtl/>
        </w:rPr>
        <w:t xml:space="preserve">׳ </w:t>
      </w:r>
      <w:proofErr w:type="spellStart"/>
      <w:r>
        <w:rPr>
          <w:rtl/>
        </w:rPr>
        <w:t>לייבל</w:t>
      </w:r>
      <w:proofErr w:type="spellEnd"/>
      <w:r>
        <w:rPr>
          <w:rtl/>
        </w:rPr>
        <w:t xml:space="preserve">, בלי לפרט, </w:t>
      </w:r>
      <w:proofErr w:type="spellStart"/>
      <w:r>
        <w:rPr>
          <w:rtl/>
        </w:rPr>
        <w:t>ש“על</w:t>
      </w:r>
      <w:proofErr w:type="spellEnd"/>
      <w:r>
        <w:rPr>
          <w:rtl/>
        </w:rPr>
        <w:t xml:space="preserve"> ידי האכזבות שסבל בנעוריו הכינה אותו ההשגחה לקבל את המכשולים שיפגוש אחר כך בחייו, ומאידך גיסא – לראות את הישגיו כמתנות מאת הבורא”</w:t>
      </w:r>
      <w:bookmarkStart w:id="422" w:name="_fnr246"/>
      <w:r>
        <w:rPr>
          <w:rStyle w:val="a5"/>
        </w:rPr>
        <w:footnoteReference w:id="246" w:customMarkFollows="0"/>
      </w:r>
      <w:bookmarkEnd w:id="422"/>
      <w:r>
        <w:rPr>
          <w:rtl/>
        </w:rPr>
        <w:t>.</w:t>
      </w:r>
    </w:p>
    <w:bookmarkStart w:id="423" w:name="b1_note71"/>
    <w:p w14:paraId="3B3F530A" w14:textId="77777777" w:rsidR="00AB3647" w:rsidRDefault="00000000" w:rsidP="007923E9">
      <w:pPr>
        <w:spacing w:before="120" w:after="100" w:line="276" w:lineRule="auto"/>
        <w:jc w:val="both"/>
      </w:pPr>
      <w:r>
        <w:fldChar w:fldCharType="begin" w:dirty="true"/>
      </w:r>
      <w:r>
        <w:instrText>HYPERLINK \l "b1_ref71"</w:instrText>
      </w:r>
      <w:r>
        <w:fldChar w:fldCharType="separate"/>
      </w:r>
      <w:r>
        <w:rPr>
          <w:b/>
          <w:bCs/>
          <w:rtl/>
        </w:rPr>
        <w:t>71</w:t>
      </w:r>
      <w:r>
        <w:rPr>
          <w:b/>
          <w:bCs/>
        </w:rPr>
        <w:fldChar w:fldCharType="end"/>
      </w:r>
      <w:bookmarkEnd w:id="423"/>
      <w:r>
        <w:rPr>
          <w:rtl/>
        </w:rPr>
        <w:t xml:space="preserve"> בחור ישיבה ראה פעם את אבי, שהיה אז בשנות התשעים לחייו, מתבונן בעצים</w:t>
      </w:r>
      <w:bookmarkStart w:id="424" w:name="_fnr247"/>
      <w:r>
        <w:rPr>
          <w:rStyle w:val="a5"/>
        </w:rPr>
        <w:footnoteReference w:id="247" w:customMarkFollows="0"/>
      </w:r>
      <w:bookmarkEnd w:id="424"/>
      <w:r>
        <w:rPr>
          <w:rtl/>
        </w:rPr>
        <w:t xml:space="preserve"> בפארק </w:t>
      </w:r>
      <w:proofErr w:type="spellStart"/>
      <w:r>
        <w:rPr>
          <w:rtl/>
        </w:rPr>
        <w:t>לאמוס</w:t>
      </w:r>
      <w:proofErr w:type="spellEnd"/>
      <w:r>
        <w:rPr>
          <w:rtl/>
        </w:rPr>
        <w:t xml:space="preserve"> שבמיאמי </w:t>
      </w:r>
      <w:proofErr w:type="spellStart"/>
      <w:r>
        <w:rPr>
          <w:rtl/>
        </w:rPr>
        <w:t>ביץ</w:t>
      </w:r>
      <w:proofErr w:type="spellEnd"/>
      <w:r>
        <w:rPr>
          <w:rtl/>
        </w:rPr>
        <w:t>׳. הוא שאל את רבנו אם מעשהו עולה בקנה אחד עם מאמרו של רבי שמעון במסכת אבות</w:t>
      </w:r>
      <w:bookmarkStart w:id="425" w:name="_fnr248"/>
      <w:r>
        <w:rPr>
          <w:rStyle w:val="a5"/>
        </w:rPr>
        <w:footnoteReference w:id="248" w:customMarkFollows="0"/>
      </w:r>
      <w:bookmarkEnd w:id="425"/>
      <w:r>
        <w:rPr>
          <w:rtl/>
        </w:rPr>
        <w:t xml:space="preserve">: המפסיק ממשנתו ואומר מה נאה אילן זה </w:t>
      </w:r>
      <w:proofErr w:type="spellStart"/>
      <w:r>
        <w:rPr>
          <w:rtl/>
        </w:rPr>
        <w:t>ה״ז</w:t>
      </w:r>
      <w:proofErr w:type="spellEnd"/>
      <w:r>
        <w:rPr>
          <w:rtl/>
        </w:rPr>
        <w:t xml:space="preserve"> מתחייב בנפשו. השיב אבי: “המאמר מדבר דווקא במי שדעתו מוסחת מלימודו מחמת התעניינותו בטבע. אבל אם </w:t>
      </w:r>
      <w:proofErr w:type="spellStart"/>
      <w:r>
        <w:rPr>
          <w:rtl/>
        </w:rPr>
        <w:t>ה‘מה</w:t>
      </w:r>
      <w:proofErr w:type="spellEnd"/>
      <w:r>
        <w:rPr>
          <w:rtl/>
        </w:rPr>
        <w:t xml:space="preserve"> נאה </w:t>
      </w:r>
      <w:proofErr w:type="spellStart"/>
      <w:r>
        <w:rPr>
          <w:rtl/>
        </w:rPr>
        <w:t>וכו</w:t>
      </w:r>
      <w:proofErr w:type="spellEnd"/>
      <w:r>
        <w:rPr>
          <w:rtl/>
        </w:rPr>
        <w:t xml:space="preserve">׳’ הוא מעשה של גילוי חכמת הבורא, כמו ברמב״ם יסודי התורה פ״ב </w:t>
      </w:r>
      <w:proofErr w:type="spellStart"/>
      <w:r>
        <w:rPr>
          <w:rtl/>
        </w:rPr>
        <w:t>ה״ב</w:t>
      </w:r>
      <w:proofErr w:type="spellEnd"/>
      <w:r>
        <w:rPr>
          <w:rtl/>
        </w:rPr>
        <w:t xml:space="preserve">, הרי לא </w:t>
      </w:r>
      <w:r>
        <w:rPr>
          <w:b/>
          <w:bCs/>
          <w:rtl/>
        </w:rPr>
        <w:t>הפסיק</w:t>
      </w:r>
      <w:r>
        <w:rPr>
          <w:rtl/>
        </w:rPr>
        <w:t xml:space="preserve"> ממשנתו”</w:t>
      </w:r>
      <w:bookmarkStart w:id="426" w:name="_fnr249"/>
      <w:bookmarkStart w:id="427" w:name="pr_f_182"/>
      <w:r>
        <w:rPr>
          <w:rStyle w:val="a5"/>
        </w:rPr>
        <w:footnoteReference w:id="249" w:customMarkFollows="0"/>
      </w:r>
      <w:bookmarkEnd w:id="426"/>
      <w:bookmarkEnd w:id="427"/>
      <w:r>
        <w:rPr>
          <w:rtl/>
        </w:rPr>
        <w:t>.</w:t>
      </w:r>
    </w:p>
    <w:p w14:paraId="07618678" w14:textId="77777777" w:rsidR="00AB3647" w:rsidRDefault="00000000" w:rsidP="007923E9">
      <w:pPr>
        <w:spacing w:after="100" w:line="276" w:lineRule="auto"/>
        <w:ind w:firstLine="340"/>
        <w:jc w:val="both"/>
      </w:pPr>
      <w:r>
        <w:rPr>
          <w:rtl/>
        </w:rPr>
        <w:t xml:space="preserve">רבנו כתב בביקורו הראשון בארץ ישראל, ממקום נופשו בכרמל המערבי שבחיפה, מכתבים מתאריכים ב׳ ראה וג׳ ראה תשט״ז לבנו ר׳ בנימין ולבתו רבקה </w:t>
      </w:r>
      <w:proofErr w:type="spellStart"/>
      <w:r>
        <w:rPr>
          <w:rtl/>
        </w:rPr>
        <w:t>דיסקינד</w:t>
      </w:r>
      <w:proofErr w:type="spellEnd"/>
      <w:r>
        <w:rPr>
          <w:rtl/>
        </w:rPr>
        <w:t>, בהתאמה. במכתבים אלה הוא דן תחילה בבעיות ההלכתיות שבמזון המצוי שם</w:t>
      </w:r>
      <w:bookmarkStart w:id="428" w:name="_fnr250"/>
      <w:r>
        <w:rPr>
          <w:rStyle w:val="a5"/>
        </w:rPr>
        <w:footnoteReference w:id="250" w:customMarkFollows="0"/>
      </w:r>
      <w:bookmarkEnd w:id="428"/>
      <w:r>
        <w:rPr>
          <w:rtl/>
        </w:rPr>
        <w:t>. אחר כך הוא כותב (בתרגום מיידיש): “הדבר הטוב היחיד הוא יופי הטבע. אני יושב במרפסת גבוהה מאוד, שממנה נשקף יופיו של הים; הרחבת הדעת שתוקפת אותך כשאתה מרגיש שזהו ים הגדול של התורה, רחב ידיים</w:t>
      </w:r>
      <w:bookmarkStart w:id="429" w:name="_fnr251"/>
      <w:r>
        <w:rPr>
          <w:rStyle w:val="a5"/>
        </w:rPr>
        <w:footnoteReference w:id="251" w:customMarkFollows="0"/>
      </w:r>
      <w:bookmarkEnd w:id="429"/>
      <w:r>
        <w:rPr>
          <w:rtl/>
        </w:rPr>
        <w:t xml:space="preserve"> – קשה לתאר. נעשה אדם – איני יודע כיצד לומר זאת – במידת מה חלק מן הבריאה הגדולה של הקב״ה. כפי שאתה יודע, רחוק אני מלהיות משורר, אבל ‘מבין’ בחזנות אני – והטבע שר כאן יפה כל כך”.</w:t>
      </w:r>
    </w:p>
    <w:p w14:paraId="43706948" w14:textId="77777777" w:rsidR="00AB3647" w:rsidRDefault="00000000" w:rsidP="007923E9">
      <w:pPr>
        <w:spacing w:after="100" w:line="276" w:lineRule="auto"/>
        <w:ind w:firstLine="340"/>
        <w:jc w:val="both"/>
      </w:pPr>
      <w:r>
        <w:rPr>
          <w:rtl/>
        </w:rPr>
        <w:t>במכתב מאוחר יותר, מתאריך כ״ח מנחם אב (5 באוגוסט), לבנו ר׳ שמואל, הוא מתאר את מראה השמש השוקעת אל אופק שאינו ניכר, שבו אין להבחין בין הים לשמים, ואת “האור המתפוגג של ענני הבוקר, הנותן משמעות לפסוק וחסדכם כענן בוקר</w:t>
      </w:r>
      <w:bookmarkStart w:id="430" w:name="_fnr252"/>
      <w:r>
        <w:rPr>
          <w:rStyle w:val="a5"/>
        </w:rPr>
        <w:footnoteReference w:id="252" w:customMarkFollows="0"/>
      </w:r>
      <w:bookmarkEnd w:id="430"/>
      <w:r>
        <w:rPr>
          <w:rtl/>
        </w:rPr>
        <w:t xml:space="preserve">. הרבה </w:t>
      </w:r>
      <w:proofErr w:type="spellStart"/>
      <w:r>
        <w:rPr>
          <w:rtl/>
        </w:rPr>
        <w:t>הרבה</w:t>
      </w:r>
      <w:proofErr w:type="spellEnd"/>
      <w:r>
        <w:rPr>
          <w:rtl/>
        </w:rPr>
        <w:t xml:space="preserve"> פסוקים שמעולם לא הבנתי עד תומם מובנים כאן”.</w:t>
      </w:r>
    </w:p>
    <w:bookmarkStart w:id="431" w:name="b1_note72"/>
    <w:p w14:paraId="4A83D821" w14:textId="77777777" w:rsidR="00AB3647" w:rsidRDefault="00000000" w:rsidP="007923E9">
      <w:pPr>
        <w:spacing w:before="120" w:after="100" w:line="276" w:lineRule="auto"/>
        <w:jc w:val="both"/>
      </w:pPr>
      <w:r>
        <w:fldChar w:fldCharType="begin" w:dirty="true"/>
      </w:r>
      <w:r>
        <w:instrText>HYPERLINK \l "b1_ref72"</w:instrText>
      </w:r>
      <w:r>
        <w:fldChar w:fldCharType="separate"/>
      </w:r>
      <w:r>
        <w:rPr>
          <w:b/>
          <w:bCs/>
          <w:rtl/>
        </w:rPr>
        <w:t>72</w:t>
      </w:r>
      <w:r>
        <w:rPr>
          <w:b/>
          <w:bCs/>
        </w:rPr>
        <w:fldChar w:fldCharType="end"/>
      </w:r>
      <w:bookmarkEnd w:id="431"/>
      <w:r>
        <w:rPr>
          <w:rtl/>
        </w:rPr>
        <w:t xml:space="preserve"> ר׳ </w:t>
      </w:r>
      <w:proofErr w:type="spellStart"/>
      <w:r>
        <w:rPr>
          <w:rtl/>
        </w:rPr>
        <w:t>בן־ציון</w:t>
      </w:r>
      <w:proofErr w:type="spellEnd"/>
      <w:r>
        <w:rPr>
          <w:rtl/>
        </w:rPr>
        <w:t xml:space="preserve"> סובל, שעקב מקרוב אחר רבנו בשנים תשל״ג–תשל״ז ותיעד ביומן את הבחנותיו, קרא את הדברים הבאים מתוך רשימותיו: פעם ישב בשיעור הדף היומי של אבי, ונתקלו בעניין טכני כלשהו בזריעת תבואה ובקצירתה, שהוא עצמו לא הכיר. אבי הביע את תמיהתו על שמעולם לא ראה ולא בירר מהי אותה שיטה הנזכרת. אחרי שקרה כך כמה פעמים, אזר הרב </w:t>
      </w:r>
      <w:r>
        <w:rPr>
          <w:rtl/>
        </w:rPr>
        <w:lastRenderedPageBreak/>
        <w:t>סובל עוז והכריז: “בישיבה שבה למדתי לימדו שיותר מתורה איננו חייבים לדעת”, והשיב לו אבי: “זוהי באמת עוולה”.</w:t>
      </w:r>
    </w:p>
    <w:p w14:paraId="3F07562F" w14:textId="77777777" w:rsidR="00AB3647" w:rsidRDefault="00000000" w:rsidP="007923E9">
      <w:pPr>
        <w:spacing w:after="100" w:line="276" w:lineRule="auto"/>
        <w:ind w:firstLine="340"/>
        <w:jc w:val="both"/>
      </w:pPr>
      <w:r>
        <w:rPr>
          <w:rtl/>
        </w:rPr>
        <w:t xml:space="preserve">פעם אחרת, כשליווה ר׳ </w:t>
      </w:r>
      <w:proofErr w:type="spellStart"/>
      <w:r>
        <w:rPr>
          <w:rtl/>
        </w:rPr>
        <w:t>בן־ציון</w:t>
      </w:r>
      <w:proofErr w:type="spellEnd"/>
      <w:r>
        <w:rPr>
          <w:rtl/>
        </w:rPr>
        <w:t xml:space="preserve"> את אבי בטיול, ראו נמלה גדולה מאוד בשביל הכניסה לביתו </w:t>
      </w:r>
      <w:proofErr w:type="spellStart"/>
      <w:r>
        <w:rPr>
          <w:rtl/>
        </w:rPr>
        <w:t>במונסי</w:t>
      </w:r>
      <w:proofErr w:type="spellEnd"/>
      <w:r>
        <w:rPr>
          <w:rtl/>
        </w:rPr>
        <w:t xml:space="preserve">. אבי שאל אותו אם היצור נושך, וכשנענה בחיוב, דרך עליה. כעבור רגע באה נמלה אחרת וגררה משם את שרידי הנמלה המעוכה. אבי התעניין מאוד בתופעה, ותהה אם הנמלה גוררת את המתה כדי לטרוף אותה, או כדי להיפטר </w:t>
      </w:r>
      <w:proofErr w:type="spellStart"/>
      <w:r>
        <w:rPr>
          <w:rtl/>
        </w:rPr>
        <w:t>מ“קרובתה</w:t>
      </w:r>
      <w:proofErr w:type="spellEnd"/>
      <w:r>
        <w:rPr>
          <w:rtl/>
        </w:rPr>
        <w:t>” בדרך הראויה. כדי לברר זאת עקב בעיניו אחר השתיים עד שנעלמו בעשב הגבוה.</w:t>
      </w:r>
    </w:p>
    <w:p w14:paraId="17822E01"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שבקיץ תש״ל נלכד עטלף בין חלון לרשת במחנה אור שרגא</w:t>
      </w:r>
      <w:bookmarkStart w:id="432" w:name="_fnr253"/>
      <w:r>
        <w:rPr>
          <w:rStyle w:val="a5"/>
        </w:rPr>
        <w:footnoteReference w:id="253" w:customMarkFollows="0"/>
      </w:r>
      <w:bookmarkEnd w:id="432"/>
      <w:r>
        <w:rPr>
          <w:rtl/>
        </w:rPr>
        <w:t>. אבי העיר לחניכים: “עכשיו יש לנו הזדמנות לחקור עטלף מקרוב”.</w:t>
      </w:r>
    </w:p>
    <w:p w14:paraId="782BA989" w14:textId="77777777" w:rsidR="00AB3647" w:rsidRDefault="00000000" w:rsidP="007923E9">
      <w:pPr>
        <w:spacing w:after="100" w:line="276" w:lineRule="auto"/>
        <w:ind w:firstLine="340"/>
        <w:jc w:val="both"/>
      </w:pPr>
      <w:proofErr w:type="spellStart"/>
      <w:r>
        <w:rPr>
          <w:rtl/>
        </w:rPr>
        <w:t>ב“ארחות</w:t>
      </w:r>
      <w:proofErr w:type="spellEnd"/>
      <w:r>
        <w:rPr>
          <w:rtl/>
        </w:rPr>
        <w:t xml:space="preserve"> חסידיך”</w:t>
      </w:r>
      <w:bookmarkStart w:id="433" w:name="_fnr254"/>
      <w:r>
        <w:rPr>
          <w:rStyle w:val="a5"/>
        </w:rPr>
        <w:footnoteReference w:id="254" w:customMarkFollows="0"/>
      </w:r>
      <w:bookmarkEnd w:id="433"/>
      <w:r>
        <w:rPr>
          <w:rtl/>
        </w:rPr>
        <w:t xml:space="preserve"> מסופר מעשה מעניין על ר׳ </w:t>
      </w:r>
      <w:proofErr w:type="spellStart"/>
      <w:r>
        <w:rPr>
          <w:rtl/>
        </w:rPr>
        <w:t>חיים־עוזר</w:t>
      </w:r>
      <w:proofErr w:type="spellEnd"/>
      <w:r>
        <w:rPr>
          <w:rtl/>
        </w:rPr>
        <w:t xml:space="preserve"> </w:t>
      </w:r>
      <w:proofErr w:type="spellStart"/>
      <w:r>
        <w:rPr>
          <w:rtl/>
        </w:rPr>
        <w:t>גרודזנסקי</w:t>
      </w:r>
      <w:bookmarkStart w:id="434" w:name="_fnr255"/>
      <w:proofErr w:type="spellEnd"/>
      <w:r>
        <w:rPr>
          <w:rStyle w:val="a5"/>
        </w:rPr>
        <w:footnoteReference w:id="255" w:customMarkFollows="0"/>
      </w:r>
      <w:bookmarkEnd w:id="434"/>
      <w:r>
        <w:rPr>
          <w:rtl/>
        </w:rPr>
        <w:t xml:space="preserve">. פעם טייל ביער שליד וילנה עם אחד מחברי בית הדין שלו, ר׳ </w:t>
      </w:r>
      <w:proofErr w:type="spellStart"/>
      <w:r>
        <w:rPr>
          <w:rtl/>
        </w:rPr>
        <w:t>ישראל־זאב</w:t>
      </w:r>
      <w:proofErr w:type="spellEnd"/>
      <w:r>
        <w:rPr>
          <w:rtl/>
        </w:rPr>
        <w:t xml:space="preserve"> </w:t>
      </w:r>
      <w:proofErr w:type="spellStart"/>
      <w:r>
        <w:rPr>
          <w:rtl/>
        </w:rPr>
        <w:t>גוסטמן</w:t>
      </w:r>
      <w:proofErr w:type="spellEnd"/>
      <w:r>
        <w:rPr>
          <w:rtl/>
        </w:rPr>
        <w:t xml:space="preserve">. ר׳ </w:t>
      </w:r>
      <w:proofErr w:type="spellStart"/>
      <w:r>
        <w:rPr>
          <w:rtl/>
        </w:rPr>
        <w:t>חיים־עוזר</w:t>
      </w:r>
      <w:proofErr w:type="spellEnd"/>
      <w:r>
        <w:rPr>
          <w:rtl/>
        </w:rPr>
        <w:t xml:space="preserve"> הראה לו את צמחי הבר והפטריות השונים שגדלו שם, ציין אילו מהם רעילים ואילו ראויים למאכל, וגם הראה לו מערה נסתרת. ניכר שהגאון הגדול התעניין התעניינות חיה בטבע. “</w:t>
      </w:r>
      <w:proofErr w:type="spellStart"/>
      <w:r>
        <w:rPr>
          <w:rtl/>
        </w:rPr>
        <w:t>ארחות</w:t>
      </w:r>
      <w:proofErr w:type="spellEnd"/>
      <w:r>
        <w:rPr>
          <w:rtl/>
        </w:rPr>
        <w:t xml:space="preserve"> חסידיך” מסיים את המעשה בדברים נוגעים ללב: “כעבור שנים, בשעת בריחתו של הרב </w:t>
      </w:r>
      <w:proofErr w:type="spellStart"/>
      <w:r>
        <w:rPr>
          <w:rtl/>
        </w:rPr>
        <w:t>גוסטמן</w:t>
      </w:r>
      <w:proofErr w:type="spellEnd"/>
      <w:r>
        <w:rPr>
          <w:rtl/>
        </w:rPr>
        <w:t xml:space="preserve"> מגטו וילנה, שימשה לו המערה מקום מסתור והצמחים הראויים למאכל – מזון, והוא ניצל מן הגרמנים”.</w:t>
      </w:r>
    </w:p>
    <w:bookmarkStart w:id="435" w:name="b1_note73"/>
    <w:p w14:paraId="3E13F06B" w14:textId="77777777" w:rsidR="00AB3647" w:rsidRDefault="00000000" w:rsidP="007923E9">
      <w:pPr>
        <w:spacing w:before="120" w:after="100" w:line="276" w:lineRule="auto"/>
        <w:jc w:val="both"/>
      </w:pPr>
      <w:r>
        <w:fldChar w:fldCharType="begin" w:dirty="true"/>
      </w:r>
      <w:r>
        <w:instrText>HYPERLINK \l "b1_ref73"</w:instrText>
      </w:r>
      <w:r>
        <w:fldChar w:fldCharType="separate"/>
      </w:r>
      <w:r>
        <w:rPr>
          <w:b/>
          <w:bCs/>
          <w:rtl/>
        </w:rPr>
        <w:t>73</w:t>
      </w:r>
      <w:r>
        <w:rPr>
          <w:b/>
          <w:bCs/>
        </w:rPr>
        <w:fldChar w:fldCharType="end"/>
      </w:r>
      <w:bookmarkEnd w:id="435"/>
      <w:r>
        <w:rPr>
          <w:rtl/>
        </w:rPr>
        <w:t xml:space="preserve"> פעם בלילה הוטרד הרב סובל ממראהו של כוכב בעל צבע משונה, והלך לספר על כך לאבי. אבי יצא החוצה, הביט בו ואמר: “וכי אינך יודע מהו הכוכב הזה?” הוא המשיך ומנה בשמותיהם את כוכבי הלכת ואת המזלות, הראה את מקומם ברקיע, וסיים שהכוכב הצבעוני אמור להיראות כפי שהוא נראה.</w:t>
      </w:r>
    </w:p>
    <w:p w14:paraId="1DFB1842" w14:textId="77777777" w:rsidR="00AB3647" w:rsidRDefault="00000000" w:rsidP="007923E9">
      <w:pPr>
        <w:spacing w:after="100" w:line="276" w:lineRule="auto"/>
        <w:ind w:firstLine="340"/>
        <w:jc w:val="both"/>
      </w:pPr>
      <w:r>
        <w:rPr>
          <w:rtl/>
        </w:rPr>
        <w:t xml:space="preserve">ר׳ </w:t>
      </w:r>
      <w:proofErr w:type="spellStart"/>
      <w:r>
        <w:rPr>
          <w:rtl/>
        </w:rPr>
        <w:t>יעקב־משה</w:t>
      </w:r>
      <w:proofErr w:type="spellEnd"/>
      <w:r>
        <w:rPr>
          <w:rtl/>
        </w:rPr>
        <w:t xml:space="preserve"> קליין נזכר</w:t>
      </w:r>
      <w:bookmarkStart w:id="436" w:name="_fnr256"/>
      <w:r>
        <w:rPr>
          <w:rStyle w:val="a5"/>
        </w:rPr>
        <w:footnoteReference w:id="256" w:customMarkFollows="0"/>
      </w:r>
      <w:bookmarkEnd w:id="436"/>
      <w:r>
        <w:rPr>
          <w:rtl/>
        </w:rPr>
        <w:t xml:space="preserve"> שאבי, בהספדו על ר׳ אלי׳ </w:t>
      </w:r>
      <w:proofErr w:type="spellStart"/>
      <w:r>
        <w:rPr>
          <w:rtl/>
        </w:rPr>
        <w:t>לופיאן</w:t>
      </w:r>
      <w:proofErr w:type="spellEnd"/>
      <w:r>
        <w:rPr>
          <w:rtl/>
        </w:rPr>
        <w:t xml:space="preserve"> בברוקלין, תיאר את רגשות האנשים כשעבר שביט האלי ליד כדור הארץ, כשאבי היה בן עשרים ואחת</w:t>
      </w:r>
      <w:bookmarkStart w:id="437" w:name="_fnr257"/>
      <w:bookmarkEnd w:id="437"/>
      <w:r>
        <w:rPr>
          <w:rStyle w:val="a5"/>
        </w:rPr>
        <w:t/>
      </w:r>
      <w:bookmarkStart w:id="6989" w:name="_TranslatorNote_5367"/>
      <w:r>
        <w:rPr>
          <w:rStyle w:val="a5"/>
          <w:vertAlign w:val="superscript"/>
          <w:rtl/>
        </w:rPr>
        <w:footnoteReference w:id="257" w:customMarkFollows="1"/>
        <w:t>*</w:t>
      </w:r>
      <w:bookmarkEnd w:id="6989"/>
      <w:r>
        <w:rPr>
          <w:rtl/>
        </w:rPr>
        <w:t>. הוא סיפר שהכול דחו את התחזיות שנשמעו אז, שהשביט יתנגש בכדור הארץ ויחריב אותו. ואף על פי כן, ביום שבו הגיע השביט לנקודה הקרובה ביותר לכדור הארץ, הביטו אנשים מעבר לכתפיהם... ליתר ביטחון</w:t>
      </w:r>
      <w:bookmarkStart w:id="438" w:name="_fnr258"/>
      <w:r>
        <w:rPr>
          <w:rStyle w:val="a5"/>
        </w:rPr>
        <w:footnoteReference w:id="258" w:customMarkFollows="0"/>
      </w:r>
      <w:bookmarkEnd w:id="438"/>
      <w:r>
        <w:rPr>
          <w:rtl/>
        </w:rPr>
        <w:t>.</w:t>
      </w:r>
    </w:p>
    <w:p w14:paraId="44DE5838" w14:textId="77777777" w:rsidR="00AB3647" w:rsidRDefault="00000000" w:rsidP="007923E9">
      <w:pPr>
        <w:spacing w:after="100" w:line="276" w:lineRule="auto"/>
        <w:ind w:firstLine="340"/>
        <w:jc w:val="both"/>
      </w:pPr>
      <w:r>
        <w:rPr>
          <w:rtl/>
        </w:rPr>
        <w:lastRenderedPageBreak/>
        <w:t>ר׳ ישעיה שכטר</w:t>
      </w:r>
      <w:bookmarkStart w:id="439" w:name="_fnr259"/>
      <w:r>
        <w:rPr>
          <w:rStyle w:val="a5"/>
        </w:rPr>
        <w:footnoteReference w:id="259" w:customMarkFollows="0"/>
      </w:r>
      <w:bookmarkEnd w:id="439"/>
      <w:r>
        <w:rPr>
          <w:rtl/>
        </w:rPr>
        <w:t xml:space="preserve"> סיפר שביום ראשון, ה׳ באב תשכ״ט, חיפש אבי מישהו שיש לו מכשיר טלוויזיה, כדי לצפות באסטרונאוט ניל ארמסטרונג נוחת על הירח</w:t>
      </w:r>
      <w:bookmarkStart w:id="440" w:name="_fnr260"/>
      <w:bookmarkStart w:id="441" w:name="pr_f_192"/>
      <w:r>
        <w:rPr>
          <w:rStyle w:val="a5"/>
        </w:rPr>
        <w:footnoteReference w:id="260" w:customMarkFollows="0"/>
      </w:r>
      <w:bookmarkEnd w:id="440"/>
      <w:bookmarkEnd w:id="441"/>
      <w:r>
        <w:rPr>
          <w:rtl/>
        </w:rPr>
        <w:t>.</w:t>
      </w:r>
    </w:p>
    <w:p w14:paraId="20EB37AF" w14:textId="7913E00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בהיותו תינוק החליק אבי לתוך אגם </w:t>
      </w:r>
      <w:proofErr w:type="spellStart"/>
      <w:r>
        <w:rPr>
          <w:rtl/>
        </w:rPr>
        <w:t>מיקולינה</w:t>
      </w:r>
      <w:proofErr w:type="spellEnd"/>
      <w:r>
        <w:rPr>
          <w:rtl/>
        </w:rPr>
        <w:t xml:space="preserve"> הסמוך, ונמשה ממנו ברגע האחרון</w:t>
      </w:r>
      <w:bookmarkStart w:id="442" w:name="b1_ref74"/>
      <w:bookmarkEnd w:id="442"/>
      <w:r>
        <w:rPr>
          <w:vertAlign w:val="superscript"/>
          <w:rtl/>
        </w:rPr>
        <w:fldChar w:fldCharType="begin" w:dirty="true"/>
      </w:r>
      <w:r>
        <w:rPr>
          <w:vertAlign w:val="superscript"/>
          <w:rtl/>
        </w:rPr>
        <w:instrText xml:space="preserve"> REF b1_note74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טראומה זו לא הפחידה אותו ואת הוריו עד כדי כך שיתרחקו מן המים. כשגדל מעט, היה אחיו הגדול, </w:t>
      </w:r>
      <w:proofErr w:type="spellStart"/>
      <w:r>
        <w:rPr>
          <w:rtl/>
        </w:rPr>
        <w:t>חיים־זרח</w:t>
      </w:r>
      <w:proofErr w:type="spellEnd"/>
      <w:r>
        <w:rPr>
          <w:rtl/>
        </w:rPr>
        <w:t>, לוקח אותו לשחות</w:t>
      </w:r>
      <w:bookmarkStart w:id="443" w:name="b1_ref75"/>
      <w:bookmarkEnd w:id="443"/>
      <w:r>
        <w:rPr>
          <w:vertAlign w:val="superscript"/>
          <w:rtl/>
        </w:rPr>
        <w:fldChar w:fldCharType="begin" w:dirty="true"/>
      </w:r>
      <w:r>
        <w:rPr>
          <w:vertAlign w:val="superscript"/>
          <w:rtl/>
        </w:rPr>
        <w:instrText xml:space="preserve"> REF b1_note75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בנהר </w:t>
      </w:r>
      <w:proofErr w:type="spellStart"/>
      <w:r>
        <w:rPr>
          <w:rtl/>
        </w:rPr>
        <w:t>צ׳רשיסטה</w:t>
      </w:r>
      <w:proofErr w:type="spellEnd"/>
      <w:r>
        <w:rPr>
          <w:rtl/>
        </w:rPr>
        <w:t xml:space="preserve"> – גשר העץ שעליו, שהוביל מזרחה אל הכפר </w:t>
      </w:r>
      <w:proofErr w:type="spellStart"/>
      <w:r>
        <w:rPr>
          <w:rtl/>
        </w:rPr>
        <w:t>פוהוסט</w:t>
      </w:r>
      <w:proofErr w:type="spellEnd"/>
      <w:r>
        <w:rPr>
          <w:rtl/>
        </w:rPr>
        <w:t>, שימש גם מחיצה בין הגברים הרוחצים לנשים – והוא גדל ונעשה נער כפרי חסון</w:t>
      </w:r>
      <w:bookmarkStart w:id="444" w:name="b1_ref76"/>
      <w:bookmarkEnd w:id="444"/>
      <w:r>
        <w:rPr>
          <w:vertAlign w:val="superscript"/>
          <w:rtl/>
        </w:rPr>
        <w:fldChar w:fldCharType="begin" w:dirty="true"/>
      </w:r>
      <w:r>
        <w:rPr>
          <w:vertAlign w:val="superscript"/>
          <w:rtl/>
        </w:rPr>
        <w:instrText xml:space="preserve"> REF b1_note76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כל ימי חייו הוקיר אבי את שנות התעצבותו בדולהינוב</w:t>
      </w:r>
      <w:bookmarkStart w:id="445" w:name="b1_ref77"/>
      <w:bookmarkEnd w:id="445"/>
      <w:r>
        <w:rPr>
          <w:vertAlign w:val="superscript"/>
          <w:rtl/>
        </w:rPr>
        <w:fldChar w:fldCharType="begin" w:dirty="true"/>
      </w:r>
      <w:r>
        <w:rPr>
          <w:vertAlign w:val="superscript"/>
          <w:rtl/>
        </w:rPr>
        <w:instrText xml:space="preserve"> REF b1_note77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וחש שבזכות גידולו בסביבה של עיירה קטנה נקנו לו השקפה בריאה על החיים ויחס חיובי לבני האדם</w:t>
      </w:r>
      <w:bookmarkStart w:id="446" w:name="b1_ref78"/>
      <w:bookmarkEnd w:id="446"/>
      <w:r>
        <w:rPr>
          <w:vertAlign w:val="superscript"/>
          <w:rtl/>
        </w:rPr>
        <w:fldChar w:fldCharType="begin" w:dirty="true"/>
      </w:r>
      <w:r>
        <w:rPr>
          <w:vertAlign w:val="superscript"/>
          <w:rtl/>
        </w:rPr>
        <w:instrText xml:space="preserve"> REF b1_note78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w:t>
      </w:r>
    </w:p>
    <w:bookmarkStart w:id="447" w:name="b1_note74"/>
    <w:p w14:paraId="7AC3F828" w14:textId="77777777" w:rsidR="00AB3647" w:rsidRDefault="00000000" w:rsidP="007923E9">
      <w:pPr>
        <w:spacing w:before="120" w:after="100" w:line="276" w:lineRule="auto"/>
        <w:jc w:val="both"/>
      </w:pPr>
      <w:r>
        <w:fldChar w:fldCharType="begin" w:dirty="true"/>
      </w:r>
      <w:r>
        <w:instrText>HYPERLINK \l "b1_ref74"</w:instrText>
      </w:r>
      <w:r>
        <w:fldChar w:fldCharType="separate"/>
      </w:r>
      <w:r>
        <w:rPr>
          <w:b/>
          <w:bCs/>
          <w:rtl/>
        </w:rPr>
        <w:t>74</w:t>
      </w:r>
      <w:r>
        <w:rPr>
          <w:b/>
          <w:bCs/>
        </w:rPr>
        <w:fldChar w:fldCharType="end"/>
      </w:r>
      <w:bookmarkEnd w:id="447"/>
      <w:r>
        <w:rPr>
          <w:rtl/>
        </w:rPr>
        <w:t xml:space="preserve"> רבנו היה בן שלוש כשאירע הדבר – כפי שסיפר לשכנו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bookmarkStart w:id="448" w:name="_fnr261"/>
      <w:proofErr w:type="spellEnd"/>
      <w:r>
        <w:rPr>
          <w:rStyle w:val="a5"/>
        </w:rPr>
        <w:footnoteReference w:id="261" w:customMarkFollows="0"/>
      </w:r>
      <w:bookmarkEnd w:id="448"/>
      <w:r>
        <w:rPr>
          <w:rtl/>
        </w:rPr>
        <w:t>.</w:t>
      </w:r>
    </w:p>
    <w:bookmarkStart w:id="449" w:name="b1_note75"/>
    <w:p w14:paraId="4B141097" w14:textId="0A86BE92" w:rsidR="00AB3647" w:rsidRDefault="00000000" w:rsidP="007923E9">
      <w:pPr>
        <w:spacing w:before="120" w:after="100" w:line="276" w:lineRule="auto"/>
        <w:jc w:val="both"/>
      </w:pPr>
      <w:r>
        <w:fldChar w:fldCharType="begin" w:dirty="true"/>
      </w:r>
      <w:r>
        <w:instrText>HYPERLINK \l "b1_ref75"</w:instrText>
      </w:r>
      <w:r>
        <w:fldChar w:fldCharType="separate"/>
      </w:r>
      <w:r>
        <w:rPr>
          <w:b/>
          <w:bCs/>
          <w:rtl/>
        </w:rPr>
        <w:t>75</w:t>
      </w:r>
      <w:r>
        <w:rPr>
          <w:b/>
          <w:bCs/>
        </w:rPr>
        <w:fldChar w:fldCharType="end"/>
      </w:r>
      <w:bookmarkEnd w:id="449"/>
      <w:r>
        <w:rPr>
          <w:rtl/>
        </w:rPr>
        <w:t xml:space="preserve"> אבי היה שחיין טוב – השווה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 אבל אחיו, </w:t>
      </w:r>
      <w:proofErr w:type="spellStart"/>
      <w:r>
        <w:rPr>
          <w:rtl/>
        </w:rPr>
        <w:t>חיים־זרח</w:t>
      </w:r>
      <w:proofErr w:type="spellEnd"/>
      <w:r>
        <w:rPr>
          <w:rtl/>
        </w:rPr>
        <w:t>, עלה עליו. לדברי אחותו, דבורה</w:t>
      </w:r>
      <w:bookmarkStart w:id="450" w:name="_fnr262"/>
      <w:r>
        <w:rPr>
          <w:rStyle w:val="a5"/>
        </w:rPr>
        <w:footnoteReference w:id="262" w:customMarkFollows="0"/>
      </w:r>
      <w:bookmarkEnd w:id="450"/>
      <w:r>
        <w:rPr>
          <w:rtl/>
        </w:rPr>
        <w:t xml:space="preserve">, ובנו, יעקב, שחה </w:t>
      </w:r>
      <w:proofErr w:type="spellStart"/>
      <w:r>
        <w:rPr>
          <w:rtl/>
        </w:rPr>
        <w:t>חיים־זרח</w:t>
      </w:r>
      <w:proofErr w:type="spellEnd"/>
      <w:r>
        <w:rPr>
          <w:rtl/>
        </w:rPr>
        <w:t xml:space="preserve"> בבגרותו בנהר שבמינסק בכל יום ממאי ועד נובמבר, בגשם ובשמש. יעקב היה מצטרף אליו בפעילות זו.</w:t>
      </w:r>
    </w:p>
    <w:bookmarkStart w:id="451" w:name="b1_note76"/>
    <w:p w14:paraId="5BCD46A6" w14:textId="77777777" w:rsidR="00AB3647" w:rsidRDefault="00000000" w:rsidP="007923E9">
      <w:pPr>
        <w:spacing w:before="120" w:after="100" w:line="276" w:lineRule="auto"/>
        <w:jc w:val="both"/>
      </w:pPr>
      <w:r>
        <w:fldChar w:fldCharType="begin" w:dirty="true"/>
      </w:r>
      <w:r>
        <w:instrText>HYPERLINK \l "b1_ref76"</w:instrText>
      </w:r>
      <w:r>
        <w:fldChar w:fldCharType="separate"/>
      </w:r>
      <w:r>
        <w:rPr>
          <w:b/>
          <w:bCs/>
          <w:rtl/>
        </w:rPr>
        <w:t>76</w:t>
      </w:r>
      <w:r>
        <w:rPr>
          <w:b/>
          <w:bCs/>
        </w:rPr>
        <w:fldChar w:fldCharType="end"/>
      </w:r>
      <w:bookmarkEnd w:id="451"/>
      <w:r>
        <w:rPr>
          <w:rtl/>
        </w:rPr>
        <w:t xml:space="preserve"> בריאיון עם ר׳ מנדל קרביץ, </w:t>
      </w:r>
      <w:proofErr w:type="spellStart"/>
      <w:r>
        <w:rPr>
          <w:rtl/>
        </w:rPr>
        <w:t>רשל</w:t>
      </w:r>
      <w:proofErr w:type="spellEnd"/>
      <w:r>
        <w:rPr>
          <w:rtl/>
        </w:rPr>
        <w:t xml:space="preserve"> קרביץ ור׳ </w:t>
      </w:r>
      <w:proofErr w:type="spellStart"/>
      <w:r>
        <w:rPr>
          <w:rtl/>
        </w:rPr>
        <w:t>אברהם־ידידיה</w:t>
      </w:r>
      <w:proofErr w:type="spellEnd"/>
      <w:r>
        <w:rPr>
          <w:rtl/>
        </w:rPr>
        <w:t xml:space="preserve"> ברגר</w:t>
      </w:r>
      <w:bookmarkStart w:id="452" w:name="_fnr263"/>
      <w:r>
        <w:rPr>
          <w:rStyle w:val="a5"/>
        </w:rPr>
        <w:footnoteReference w:id="263" w:customMarkFollows="0"/>
      </w:r>
      <w:bookmarkEnd w:id="452"/>
      <w:r>
        <w:rPr>
          <w:rtl/>
        </w:rPr>
        <w:t xml:space="preserve"> הוזכר שאבי סיפר להם: בהיותו נער כפרי היה בריא וחזק</w:t>
      </w:r>
      <w:bookmarkStart w:id="453" w:name="_fnr264"/>
      <w:r>
        <w:rPr>
          <w:rStyle w:val="a5"/>
        </w:rPr>
        <w:footnoteReference w:id="264" w:customMarkFollows="0"/>
      </w:r>
      <w:bookmarkEnd w:id="453"/>
      <w:r>
        <w:rPr>
          <w:rtl/>
        </w:rPr>
        <w:t xml:space="preserve">. ר׳ יוחנן </w:t>
      </w:r>
      <w:proofErr w:type="spellStart"/>
      <w:r>
        <w:rPr>
          <w:rtl/>
        </w:rPr>
        <w:t>ווזנר</w:t>
      </w:r>
      <w:proofErr w:type="spellEnd"/>
      <w:r>
        <w:rPr>
          <w:rtl/>
        </w:rPr>
        <w:t xml:space="preserve"> חזר</w:t>
      </w:r>
      <w:bookmarkStart w:id="454" w:name="_fnr265"/>
      <w:r>
        <w:rPr>
          <w:rStyle w:val="a5"/>
        </w:rPr>
        <w:footnoteReference w:id="265" w:customMarkFollows="0"/>
      </w:r>
      <w:bookmarkEnd w:id="454"/>
      <w:r>
        <w:rPr>
          <w:rtl/>
        </w:rPr>
        <w:t xml:space="preserve"> על מה שאמר רבנו ערב נסיעתו לארץ ישראל בשנת </w:t>
      </w:r>
      <w:proofErr w:type="spellStart"/>
      <w:r>
        <w:rPr>
          <w:rtl/>
        </w:rPr>
        <w:t>תש״ם</w:t>
      </w:r>
      <w:proofErr w:type="spellEnd"/>
      <w:r>
        <w:rPr>
          <w:rtl/>
        </w:rPr>
        <w:t>: “</w:t>
      </w:r>
      <w:proofErr w:type="spellStart"/>
      <w:r>
        <w:rPr>
          <w:rtl/>
        </w:rPr>
        <w:t>קמינצקי</w:t>
      </w:r>
      <w:proofErr w:type="spellEnd"/>
      <w:r>
        <w:rPr>
          <w:rtl/>
        </w:rPr>
        <w:t xml:space="preserve"> בן שבעים הוא </w:t>
      </w:r>
      <w:proofErr w:type="spellStart"/>
      <w:r>
        <w:rPr>
          <w:rtl/>
        </w:rPr>
        <w:t>קמינצקי</w:t>
      </w:r>
      <w:proofErr w:type="spellEnd"/>
      <w:r>
        <w:rPr>
          <w:rtl/>
        </w:rPr>
        <w:t xml:space="preserve"> בן תשעים”. כלומר, משום שגדל גידול בריא בכפר ובחווה, נשאר בגיל תשעים חזק כבגיל שבעים. ר׳ יוחנן הוסיף: “בגיל תשעים עדיין יכול היה לנסוע </w:t>
      </w:r>
      <w:proofErr w:type="spellStart"/>
      <w:r>
        <w:rPr>
          <w:rtl/>
        </w:rPr>
        <w:t>ממונסי</w:t>
      </w:r>
      <w:proofErr w:type="spellEnd"/>
      <w:r>
        <w:rPr>
          <w:rtl/>
        </w:rPr>
        <w:t xml:space="preserve"> לניו יורק כמה ימים ברציפות”.</w:t>
      </w:r>
    </w:p>
    <w:bookmarkStart w:id="455" w:name="b1_note77"/>
    <w:p w14:paraId="6D1C2751" w14:textId="77777777" w:rsidR="00AB3647" w:rsidRDefault="00000000" w:rsidP="007923E9">
      <w:pPr>
        <w:spacing w:before="120" w:after="100" w:line="276" w:lineRule="auto"/>
        <w:jc w:val="both"/>
      </w:pPr>
      <w:r>
        <w:fldChar w:fldCharType="begin" w:dirty="true"/>
      </w:r>
      <w:r>
        <w:instrText>HYPERLINK \l "b1_ref77"</w:instrText>
      </w:r>
      <w:r>
        <w:fldChar w:fldCharType="separate"/>
      </w:r>
      <w:r>
        <w:rPr>
          <w:b/>
          <w:bCs/>
          <w:rtl/>
        </w:rPr>
        <w:t>77</w:t>
      </w:r>
      <w:r>
        <w:rPr>
          <w:b/>
          <w:bCs/>
        </w:rPr>
        <w:fldChar w:fldCharType="end"/>
      </w:r>
      <w:bookmarkEnd w:id="455"/>
      <w:r>
        <w:rPr>
          <w:rtl/>
        </w:rPr>
        <w:t xml:space="preserve"> הוא אמר לאחד מתלמידיו, ר׳ דוד </w:t>
      </w:r>
      <w:proofErr w:type="spellStart"/>
      <w:r>
        <w:rPr>
          <w:rtl/>
        </w:rPr>
        <w:t>צימט</w:t>
      </w:r>
      <w:proofErr w:type="spellEnd"/>
      <w:r>
        <w:rPr>
          <w:rtl/>
        </w:rPr>
        <w:t xml:space="preserve">, שהיה </w:t>
      </w:r>
      <w:proofErr w:type="spellStart"/>
      <w:r>
        <w:rPr>
          <w:rtl/>
        </w:rPr>
        <w:t>ה“שבת־בחור</w:t>
      </w:r>
      <w:proofErr w:type="spellEnd"/>
      <w:r>
        <w:rPr>
          <w:rtl/>
        </w:rPr>
        <w:t xml:space="preserve">” שלו בשנים תש״ו </w:t>
      </w:r>
      <w:proofErr w:type="spellStart"/>
      <w:r>
        <w:rPr>
          <w:rtl/>
        </w:rPr>
        <w:t>ותש״ז</w:t>
      </w:r>
      <w:bookmarkStart w:id="456" w:name="_fnr266"/>
      <w:proofErr w:type="spellEnd"/>
      <w:r>
        <w:rPr>
          <w:rStyle w:val="a5"/>
        </w:rPr>
        <w:footnoteReference w:id="266" w:customMarkFollows="0"/>
      </w:r>
      <w:bookmarkEnd w:id="456"/>
      <w:r>
        <w:rPr>
          <w:rtl/>
        </w:rPr>
        <w:t xml:space="preserve">, שהוא מבין לליבו בכל הנוגע לקשר שלו למולדתו, מקסיקו, משום שגם הוא עדיין חש קשור למולדתו </w:t>
      </w:r>
      <w:proofErr w:type="spellStart"/>
      <w:r>
        <w:rPr>
          <w:rtl/>
        </w:rPr>
        <w:t>דולהינוב</w:t>
      </w:r>
      <w:proofErr w:type="spellEnd"/>
      <w:r>
        <w:rPr>
          <w:rtl/>
        </w:rPr>
        <w:t>.</w:t>
      </w:r>
    </w:p>
    <w:bookmarkStart w:id="457" w:name="b1_note78"/>
    <w:p w14:paraId="6C1D4689" w14:textId="77777777" w:rsidR="00AB3647" w:rsidRDefault="00000000" w:rsidP="007923E9">
      <w:pPr>
        <w:spacing w:before="120" w:after="100" w:line="276" w:lineRule="auto"/>
        <w:jc w:val="both"/>
      </w:pPr>
      <w:r>
        <w:lastRenderedPageBreak/>
        <w:fldChar w:fldCharType="begin" w:dirty="true"/>
      </w:r>
      <w:r>
        <w:instrText>HYPERLINK \l "b1_ref78"</w:instrText>
      </w:r>
      <w:r>
        <w:fldChar w:fldCharType="separate"/>
      </w:r>
      <w:r>
        <w:rPr>
          <w:b/>
          <w:bCs/>
          <w:rtl/>
        </w:rPr>
        <w:t>78</w:t>
      </w:r>
      <w:r>
        <w:rPr>
          <w:b/>
          <w:bCs/>
        </w:rPr>
        <w:fldChar w:fldCharType="end"/>
      </w:r>
      <w:bookmarkEnd w:id="457"/>
      <w:r>
        <w:rPr>
          <w:rtl/>
        </w:rPr>
        <w:t xml:space="preserve"> ר׳ אבא </w:t>
      </w:r>
      <w:proofErr w:type="spellStart"/>
      <w:r>
        <w:rPr>
          <w:rtl/>
        </w:rPr>
        <w:t>גורליק</w:t>
      </w:r>
      <w:proofErr w:type="spellEnd"/>
      <w:r>
        <w:rPr>
          <w:rtl/>
        </w:rPr>
        <w:t xml:space="preserve">, ראש ישיבת </w:t>
      </w:r>
      <w:proofErr w:type="spellStart"/>
      <w:r>
        <w:rPr>
          <w:rtl/>
        </w:rPr>
        <w:t>זכרון</w:t>
      </w:r>
      <w:proofErr w:type="spellEnd"/>
      <w:r>
        <w:rPr>
          <w:rtl/>
        </w:rPr>
        <w:t xml:space="preserve"> משה בסאות’ </w:t>
      </w:r>
      <w:proofErr w:type="spellStart"/>
      <w:r>
        <w:rPr>
          <w:rtl/>
        </w:rPr>
        <w:t>פולסבורג</w:t>
      </w:r>
      <w:proofErr w:type="spellEnd"/>
      <w:r>
        <w:rPr>
          <w:rtl/>
        </w:rPr>
        <w:t xml:space="preserve">, עיירה קטנה בהרי </w:t>
      </w:r>
      <w:proofErr w:type="spellStart"/>
      <w:r>
        <w:rPr>
          <w:rtl/>
        </w:rPr>
        <w:t>הקטסקיל</w:t>
      </w:r>
      <w:proofErr w:type="spellEnd"/>
      <w:r>
        <w:rPr>
          <w:rtl/>
        </w:rPr>
        <w:t xml:space="preserve"> שבמדינת ניו יורק, שאל בעצת אבי אם להעביר את מוסדו לעיר </w:t>
      </w:r>
      <w:proofErr w:type="spellStart"/>
      <w:r>
        <w:rPr>
          <w:rtl/>
        </w:rPr>
        <w:t>מונסי</w:t>
      </w:r>
      <w:proofErr w:type="spellEnd"/>
      <w:r>
        <w:rPr>
          <w:rtl/>
        </w:rPr>
        <w:t>. השיב אבי: “נראה שאינך יודע מה רב ערכם של החיים בכפר. אני איש כפרי, ומשום כך אני רואה את העולם בעיניים אחרות לגמרי”</w:t>
      </w:r>
      <w:bookmarkStart w:id="458" w:name="_fnr267"/>
      <w:r>
        <w:rPr>
          <w:rStyle w:val="a5"/>
        </w:rPr>
        <w:footnoteReference w:id="267" w:customMarkFollows="0"/>
      </w:r>
      <w:bookmarkEnd w:id="458"/>
      <w:r>
        <w:rPr>
          <w:rtl/>
        </w:rPr>
        <w:t>.</w:t>
      </w:r>
    </w:p>
    <w:p w14:paraId="3A27D634" w14:textId="77777777" w:rsidR="00AB3647" w:rsidRDefault="00000000" w:rsidP="007923E9">
      <w:pPr>
        <w:pStyle w:val="2"/>
        <w:spacing w:line="276" w:lineRule="auto"/>
      </w:pPr>
      <w:bookmarkStart w:id="459" w:name="b1_sec4"/>
      <w:r>
        <w:t>4.</w:t>
      </w:r>
      <w:bookmarkEnd w:id="459"/>
    </w:p>
    <w:p w14:paraId="25515A0A" w14:textId="6E49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יהודי </w:t>
      </w:r>
      <w:proofErr w:type="spellStart"/>
      <w:r>
        <w:rPr>
          <w:rtl/>
        </w:rPr>
        <w:t>דולהינוב</w:t>
      </w:r>
      <w:proofErr w:type="spellEnd"/>
      <w:r>
        <w:rPr>
          <w:rtl/>
        </w:rPr>
        <w:t xml:space="preserve"> היו פשוטים וישרים, והתפרנסו בכל דרך שהצריכו הנסיבות. היו רוכלים שיצאו אל הכפרים שבסביבה במוצאי שבת, וחזרו בלילות רביעי כדי להשתתף ביום השוק השבועי שנערך במקום ביום חמישי. הם יצאו מבתיהם עם סחורות וסדקית, והביאו בחזרה תוצרת חקלאית ופרוות, ולפעמים פרות או סוסים. הם עבדו קשה והיו רחוקים מבתיהם רוב הזמן, אבל התפרנסו בכבוד</w:t>
      </w:r>
      <w:bookmarkStart w:id="460" w:name="b1_ref79"/>
      <w:bookmarkEnd w:id="460"/>
      <w:r>
        <w:rPr>
          <w:vertAlign w:val="superscript"/>
          <w:rtl/>
        </w:rPr>
        <w:fldChar w:fldCharType="begin" w:dirty="true"/>
      </w:r>
      <w:r>
        <w:rPr>
          <w:vertAlign w:val="superscript"/>
          <w:rtl/>
        </w:rPr>
        <w:instrText xml:space="preserve"> REF b1_note79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461" w:name="b1_note79"/>
    <w:p w14:paraId="3CF8009C" w14:textId="77777777" w:rsidR="00AB3647" w:rsidRDefault="00000000" w:rsidP="007923E9">
      <w:pPr>
        <w:spacing w:before="120" w:after="100" w:line="276" w:lineRule="auto"/>
        <w:jc w:val="both"/>
      </w:pPr>
      <w:r>
        <w:fldChar w:fldCharType="begin" w:dirty="true"/>
      </w:r>
      <w:r>
        <w:instrText>HYPERLINK \l "b1_ref79"</w:instrText>
      </w:r>
      <w:r>
        <w:fldChar w:fldCharType="separate"/>
      </w:r>
      <w:r>
        <w:rPr>
          <w:b/>
          <w:bCs/>
          <w:rtl/>
        </w:rPr>
        <w:t>79</w:t>
      </w:r>
      <w:r>
        <w:rPr>
          <w:b/>
          <w:bCs/>
        </w:rPr>
        <w:fldChar w:fldCharType="end"/>
      </w:r>
      <w:bookmarkEnd w:id="461"/>
      <w:r>
        <w:rPr>
          <w:rtl/>
        </w:rPr>
        <w:t xml:space="preserve"> </w:t>
      </w:r>
      <w:proofErr w:type="spellStart"/>
      <w:r>
        <w:rPr>
          <w:rtl/>
        </w:rPr>
        <w:t>בדולהינוב</w:t>
      </w:r>
      <w:proofErr w:type="spellEnd"/>
      <w:r>
        <w:rPr>
          <w:rtl/>
        </w:rPr>
        <w:t xml:space="preserve"> הייתה שגורה אמרה שביטאה את היתרון שבדרך פרנסה זו: “טוב לחיות בין הגויים ולמות בין היהודים”</w:t>
      </w:r>
      <w:bookmarkStart w:id="462" w:name="_fnr268"/>
      <w:r>
        <w:rPr>
          <w:rStyle w:val="a5"/>
        </w:rPr>
        <w:footnoteReference w:id="268" w:customMarkFollows="0"/>
      </w:r>
      <w:bookmarkEnd w:id="462"/>
      <w:r>
        <w:rPr>
          <w:rtl/>
        </w:rPr>
        <w:t>.</w:t>
      </w:r>
    </w:p>
    <w:p w14:paraId="113C2562" w14:textId="198882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בעיירה היו שני בתי חרושת קטנים שייצרו ממתקים ונעלי בד (</w:t>
      </w:r>
      <w:proofErr w:type="spellStart"/>
      <w:r>
        <w:rPr>
          <w:rtl/>
        </w:rPr>
        <w:t>וואָליקעס</w:t>
      </w:r>
      <w:proofErr w:type="spellEnd"/>
      <w:r>
        <w:rPr>
          <w:rtl/>
        </w:rPr>
        <w:t xml:space="preserve">), וחנויות רבות של יהודים. מספר רב של יהודים היו בעלי מלאכה: חייטים וסנדלרים, נפחים ופחחים, בורסקאים וכובענים, אופים </w:t>
      </w:r>
      <w:proofErr w:type="spellStart"/>
      <w:r>
        <w:rPr>
          <w:rtl/>
        </w:rPr>
        <w:t>וחביתנים</w:t>
      </w:r>
      <w:proofErr w:type="spellEnd"/>
      <w:r>
        <w:rPr>
          <w:rtl/>
        </w:rPr>
        <w:t>, עושי גלגלים לעגלות הקיץ ועושי מגלשיים למזחלות החורף. כמה משפחות חכרו אדמות או מטעים מן האיכרים המקומיים, וגידלו תפוחי אדמה ומגוון של ירקות ופירות אחרים. כל בית אפה את לחמו בעצמו, וכבש מלפפונים וכרוב לחורף</w:t>
      </w:r>
      <w:bookmarkStart w:id="463" w:name="b1_ref80"/>
      <w:bookmarkEnd w:id="463"/>
      <w:r>
        <w:rPr>
          <w:vertAlign w:val="superscript"/>
          <w:rtl/>
        </w:rPr>
        <w:fldChar w:fldCharType="begin" w:dirty="true"/>
      </w:r>
      <w:r>
        <w:rPr>
          <w:vertAlign w:val="superscript"/>
          <w:rtl/>
        </w:rPr>
        <w:instrText xml:space="preserve"> REF b1_note80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464" w:name="b1_note80"/>
    <w:p w14:paraId="4B72E9BB" w14:textId="77777777" w:rsidR="00AB3647" w:rsidRDefault="00000000" w:rsidP="007923E9">
      <w:pPr>
        <w:spacing w:before="120" w:after="100" w:line="276" w:lineRule="auto"/>
        <w:jc w:val="both"/>
      </w:pPr>
      <w:r>
        <w:fldChar w:fldCharType="begin" w:dirty="true"/>
      </w:r>
      <w:r>
        <w:instrText>HYPERLINK \l "b1_ref80"</w:instrText>
      </w:r>
      <w:r>
        <w:fldChar w:fldCharType="separate"/>
      </w:r>
      <w:r>
        <w:rPr>
          <w:b/>
          <w:bCs/>
          <w:rtl/>
        </w:rPr>
        <w:t>80</w:t>
      </w:r>
      <w:r>
        <w:rPr>
          <w:b/>
          <w:bCs/>
        </w:rPr>
        <w:fldChar w:fldCharType="end"/>
      </w:r>
      <w:bookmarkEnd w:id="464"/>
      <w:r>
        <w:rPr>
          <w:rtl/>
        </w:rPr>
        <w:t xml:space="preserve"> “אש תמיד”</w:t>
      </w:r>
      <w:bookmarkStart w:id="465" w:name="_fnr269"/>
      <w:r>
        <w:rPr>
          <w:rStyle w:val="a5"/>
        </w:rPr>
        <w:footnoteReference w:id="269" w:customMarkFollows="0"/>
      </w:r>
      <w:bookmarkEnd w:id="465"/>
      <w:r>
        <w:rPr>
          <w:rtl/>
        </w:rPr>
        <w:t>.</w:t>
      </w:r>
    </w:p>
    <w:p w14:paraId="127D8F91" w14:textId="24FC1AC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היו מבני </w:t>
      </w:r>
      <w:proofErr w:type="spellStart"/>
      <w:r>
        <w:rPr>
          <w:rtl/>
        </w:rPr>
        <w:t>דולהינוב</w:t>
      </w:r>
      <w:proofErr w:type="spellEnd"/>
      <w:r>
        <w:rPr>
          <w:rtl/>
        </w:rPr>
        <w:t xml:space="preserve"> שהחיים ברוסיה היו קשים להם מנשוא, והם עשו את דרכם לעולם החדש, לאמריקה. כמה מהם ראו את ילדיהם גדלים “גויים” </w:t>
      </w:r>
      <w:proofErr w:type="spellStart"/>
      <w:r>
        <w:rPr>
          <w:rtl/>
        </w:rPr>
        <w:t>ב“ארץ</w:t>
      </w:r>
      <w:proofErr w:type="spellEnd"/>
      <w:r>
        <w:rPr>
          <w:rtl/>
        </w:rPr>
        <w:t xml:space="preserve"> הזהב”, ושלחו את נשותיהם וילדיהם בחזרה “הביתה”, ומעבר לים שלחו להם כמה דולרים</w:t>
      </w:r>
      <w:bookmarkStart w:id="466" w:name="b1_ref81"/>
      <w:bookmarkEnd w:id="466"/>
      <w:r>
        <w:rPr>
          <w:vertAlign w:val="superscript"/>
          <w:rtl/>
        </w:rPr>
        <w:fldChar w:fldCharType="begin" w:dirty="true"/>
      </w:r>
      <w:r>
        <w:rPr>
          <w:vertAlign w:val="superscript"/>
          <w:rtl/>
        </w:rPr>
        <w:instrText xml:space="preserve"> REF b1_note81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w:t>
      </w:r>
    </w:p>
    <w:bookmarkStart w:id="467" w:name="b1_note81"/>
    <w:p w14:paraId="75F95EFA" w14:textId="77777777" w:rsidR="00AB3647" w:rsidRDefault="00000000" w:rsidP="007923E9">
      <w:pPr>
        <w:spacing w:before="120" w:after="100" w:line="276" w:lineRule="auto"/>
        <w:jc w:val="both"/>
      </w:pPr>
      <w:r>
        <w:fldChar w:fldCharType="begin" w:dirty="true"/>
      </w:r>
      <w:r>
        <w:instrText>HYPERLINK \l "b1_ref81"</w:instrText>
      </w:r>
      <w:r>
        <w:fldChar w:fldCharType="separate"/>
      </w:r>
      <w:r>
        <w:rPr>
          <w:b/>
          <w:bCs/>
          <w:rtl/>
        </w:rPr>
        <w:t>81</w:t>
      </w:r>
      <w:r>
        <w:rPr>
          <w:b/>
          <w:bCs/>
        </w:rPr>
        <w:fldChar w:fldCharType="end"/>
      </w:r>
      <w:bookmarkEnd w:id="467"/>
      <w:r>
        <w:rPr>
          <w:rtl/>
        </w:rPr>
        <w:t xml:space="preserve"> ר׳ </w:t>
      </w:r>
      <w:proofErr w:type="spellStart"/>
      <w:r>
        <w:rPr>
          <w:rtl/>
        </w:rPr>
        <w:t>ליפא</w:t>
      </w:r>
      <w:proofErr w:type="spellEnd"/>
      <w:r>
        <w:rPr>
          <w:rtl/>
        </w:rPr>
        <w:t xml:space="preserve"> </w:t>
      </w:r>
      <w:proofErr w:type="spellStart"/>
      <w:r>
        <w:rPr>
          <w:rtl/>
        </w:rPr>
        <w:t>גלדוורט</w:t>
      </w:r>
      <w:bookmarkStart w:id="468" w:name="_fnr270"/>
      <w:proofErr w:type="spellEnd"/>
      <w:r>
        <w:rPr>
          <w:rStyle w:val="a5"/>
        </w:rPr>
        <w:footnoteReference w:id="270" w:customMarkFollows="0"/>
      </w:r>
      <w:bookmarkEnd w:id="468"/>
      <w:r>
        <w:rPr>
          <w:rtl/>
        </w:rPr>
        <w:t xml:space="preserve"> סיפר שבסעודה למען מוסדות באר הגולה</w:t>
      </w:r>
      <w:bookmarkStart w:id="469" w:name="_fnr271"/>
      <w:r>
        <w:rPr>
          <w:rStyle w:val="a5"/>
        </w:rPr>
        <w:footnoteReference w:id="271" w:customMarkFollows="0"/>
      </w:r>
      <w:bookmarkEnd w:id="469"/>
      <w:r>
        <w:rPr>
          <w:rtl/>
        </w:rPr>
        <w:t xml:space="preserve"> סיפר אבי שהוא זוכר מילדותו כיצד הזהירו את ילדי המקום שלא לשחק עם השבים, שמא דבקו בהם השפעות רעות </w:t>
      </w:r>
      <w:r>
        <w:rPr>
          <w:rtl/>
        </w:rPr>
        <w:lastRenderedPageBreak/>
        <w:t xml:space="preserve">בשהותם </w:t>
      </w:r>
      <w:proofErr w:type="spellStart"/>
      <w:r>
        <w:rPr>
          <w:rtl/>
        </w:rPr>
        <w:t>ב“טרייפע</w:t>
      </w:r>
      <w:proofErr w:type="spellEnd"/>
      <w:r>
        <w:rPr>
          <w:rtl/>
        </w:rPr>
        <w:t xml:space="preserve"> מדינה [מדינה טרפה]”, אמריקה. אבי הזהיר את יהודי אמריקה שומרי המצוות שלא לדחות את אחיהם הבאים מרוסיה, “עכשיו שהגלגל התהפך”.</w:t>
      </w:r>
    </w:p>
    <w:p w14:paraId="7ABD8A96" w14:textId="769CAE8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בנימין </w:t>
      </w:r>
      <w:proofErr w:type="spellStart"/>
      <w:r>
        <w:rPr>
          <w:rtl/>
        </w:rPr>
        <w:t>קמינצקי</w:t>
      </w:r>
      <w:proofErr w:type="spellEnd"/>
      <w:r>
        <w:rPr>
          <w:rtl/>
        </w:rPr>
        <w:t xml:space="preserve"> לא הייתה פרנסה </w:t>
      </w:r>
      <w:proofErr w:type="spellStart"/>
      <w:r>
        <w:rPr>
          <w:rtl/>
        </w:rPr>
        <w:t>בדולהינוב</w:t>
      </w:r>
      <w:proofErr w:type="spellEnd"/>
      <w:r>
        <w:rPr>
          <w:rtl/>
        </w:rPr>
        <w:t xml:space="preserve">, אבל פעמים רבות קראו לו אל היער, שם נעזרו במומחיותו בכריתת עצים. לפעמים התלווה לאביו בנסיעות עסקים לווילנה, שדרכה זרם נהר </w:t>
      </w:r>
      <w:proofErr w:type="spellStart"/>
      <w:r>
        <w:rPr>
          <w:rtl/>
        </w:rPr>
        <w:t>הוויליה</w:t>
      </w:r>
      <w:proofErr w:type="spellEnd"/>
      <w:r>
        <w:rPr>
          <w:rtl/>
        </w:rPr>
        <w:t xml:space="preserve"> ועל מימיו שטו עצי היער של ר׳ </w:t>
      </w:r>
      <w:proofErr w:type="spellStart"/>
      <w:r>
        <w:rPr>
          <w:rtl/>
        </w:rPr>
        <w:t>שמואל־הירש</w:t>
      </w:r>
      <w:proofErr w:type="spellEnd"/>
      <w:r>
        <w:rPr>
          <w:rtl/>
        </w:rPr>
        <w:t xml:space="preserve">. כשחסרה לפעמים הכנסה, שמח האב העשיר להושיט יד לעזרה למשפחת בנו, שגדלה אחרי שעזבו את </w:t>
      </w:r>
      <w:proofErr w:type="spellStart"/>
      <w:r>
        <w:rPr>
          <w:rtl/>
        </w:rPr>
        <w:t>קאליסקובקה</w:t>
      </w:r>
      <w:proofErr w:type="spellEnd"/>
      <w:r>
        <w:rPr>
          <w:rtl/>
        </w:rPr>
        <w:t xml:space="preserve"> בשלושה ילדים נוספים: אהרן, יודל ולאה</w:t>
      </w:r>
      <w:bookmarkStart w:id="470" w:name="b1_ref82"/>
      <w:bookmarkEnd w:id="470"/>
      <w:r>
        <w:rPr>
          <w:vertAlign w:val="superscript"/>
          <w:rtl/>
        </w:rPr>
        <w:fldChar w:fldCharType="begin" w:dirty="true"/>
      </w:r>
      <w:r>
        <w:rPr>
          <w:vertAlign w:val="superscript"/>
          <w:rtl/>
        </w:rPr>
        <w:instrText xml:space="preserve"> REF b1_note82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w:t>
      </w:r>
    </w:p>
    <w:bookmarkStart w:id="471" w:name="b1_note82"/>
    <w:p w14:paraId="547AA0BD" w14:textId="73DFF6CF" w:rsidR="00AB3647" w:rsidRDefault="00000000" w:rsidP="007923E9">
      <w:pPr>
        <w:spacing w:before="120" w:after="100" w:line="276" w:lineRule="auto"/>
        <w:jc w:val="both"/>
      </w:pPr>
      <w:r>
        <w:fldChar w:fldCharType="begin" w:dirty="true"/>
      </w:r>
      <w:r>
        <w:instrText>HYPERLINK \l "b1_ref82"</w:instrText>
      </w:r>
      <w:r>
        <w:fldChar w:fldCharType="separate"/>
      </w:r>
      <w:r>
        <w:rPr>
          <w:b/>
          <w:bCs/>
          <w:rtl/>
        </w:rPr>
        <w:t>82</w:t>
      </w:r>
      <w:r>
        <w:rPr>
          <w:b/>
          <w:bCs/>
        </w:rPr>
        <w:fldChar w:fldCharType="end"/>
      </w:r>
      <w:bookmarkEnd w:id="471"/>
      <w:r>
        <w:rPr>
          <w:rtl/>
        </w:rPr>
        <w:t xml:space="preserve"> הם נולדו בשנים תרנ״ו, תרנ״ח </w:t>
      </w:r>
      <w:proofErr w:type="spellStart"/>
      <w:r>
        <w:rPr>
          <w:rtl/>
        </w:rPr>
        <w:t>ותר״ס</w:t>
      </w:r>
      <w:proofErr w:type="spellEnd"/>
      <w:r>
        <w:rPr>
          <w:rtl/>
        </w:rPr>
        <w:t xml:space="preserve">, בהתאמה, כמובא בהערה </w:t>
      </w:r>
      <w:r>
        <w:rPr>
          <w:rtl/>
        </w:rPr>
        <w:fldChar w:fldCharType="begin" w:dirty="true"/>
      </w:r>
      <w:r>
        <w:rPr>
          <w:rtl/>
        </w:rPr>
        <w:instrText xml:space="preserve"> REF b1_note34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34</w:t>
      </w:r>
      <w:r>
        <w:rPr>
          <w:rtl/>
        </w:rPr>
        <w:fldChar w:fldCharType="end"/>
      </w:r>
      <w:r>
        <w:rPr>
          <w:rtl/>
        </w:rPr>
        <w:t xml:space="preserve"> לעיל.</w:t>
      </w:r>
    </w:p>
    <w:p w14:paraId="7F75636C"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הבכור בילדי </w:t>
      </w:r>
      <w:proofErr w:type="spellStart"/>
      <w:r>
        <w:rPr>
          <w:rtl/>
        </w:rPr>
        <w:t>קמינצקי</w:t>
      </w:r>
      <w:proofErr w:type="spellEnd"/>
      <w:r>
        <w:rPr>
          <w:rtl/>
        </w:rPr>
        <w:t xml:space="preserve">, היה בן </w:t>
      </w:r>
      <w:proofErr w:type="spellStart"/>
      <w:r>
        <w:rPr>
          <w:rtl/>
        </w:rPr>
        <w:t>ארבע־עשרה</w:t>
      </w:r>
      <w:proofErr w:type="spellEnd"/>
      <w:r>
        <w:rPr>
          <w:rtl/>
        </w:rPr>
        <w:t xml:space="preserve"> כשהוריו סברו שהוא מוכן לעמוד ברשות עצמו. להשאירו </w:t>
      </w:r>
      <w:proofErr w:type="spellStart"/>
      <w:r>
        <w:rPr>
          <w:rtl/>
        </w:rPr>
        <w:t>בדולהינוב</w:t>
      </w:r>
      <w:proofErr w:type="spellEnd"/>
      <w:r>
        <w:rPr>
          <w:rtl/>
        </w:rPr>
        <w:t xml:space="preserve"> כשוליה באחת המלאכות – זה לא בא בחשבון לילד ממשפחת </w:t>
      </w:r>
      <w:proofErr w:type="spellStart"/>
      <w:r>
        <w:rPr>
          <w:rtl/>
        </w:rPr>
        <w:t>קמינצקי</w:t>
      </w:r>
      <w:proofErr w:type="spellEnd"/>
      <w:r>
        <w:rPr>
          <w:rtl/>
        </w:rPr>
        <w:t xml:space="preserve"> הגאה. הם החליטו לשלוח אותו למינסק, העיר הגדולה, המרוחקת תשעים קילומטרים. כמה מאחיו ואחיותיו של ר׳ בנימין כבר התגוררו שם. אחיו </w:t>
      </w:r>
      <w:proofErr w:type="spellStart"/>
      <w:r>
        <w:rPr>
          <w:rtl/>
        </w:rPr>
        <w:t>אברהם־משה</w:t>
      </w:r>
      <w:proofErr w:type="spellEnd"/>
      <w:r>
        <w:rPr>
          <w:rtl/>
        </w:rPr>
        <w:t xml:space="preserve"> עבר לשם עם אשתו, </w:t>
      </w:r>
      <w:proofErr w:type="spellStart"/>
      <w:r>
        <w:rPr>
          <w:rtl/>
        </w:rPr>
        <w:t>עטיל</w:t>
      </w:r>
      <w:proofErr w:type="spellEnd"/>
      <w:r>
        <w:rPr>
          <w:rtl/>
        </w:rPr>
        <w:t xml:space="preserve">, וששת ילדיהם, כשהאווירה </w:t>
      </w:r>
      <w:proofErr w:type="spellStart"/>
      <w:r>
        <w:rPr>
          <w:rtl/>
        </w:rPr>
        <w:t>בקאליסקובקה</w:t>
      </w:r>
      <w:proofErr w:type="spellEnd"/>
      <w:r>
        <w:rPr>
          <w:rtl/>
        </w:rPr>
        <w:t xml:space="preserve"> נעשתה מעיקה מדי לטעמו.</w:t>
      </w:r>
    </w:p>
    <w:p w14:paraId="55743499" w14:textId="603CF8F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אחותו הצעירה של ר׳ בנימין מאב ומאם, ראשה, נישאה </w:t>
      </w:r>
      <w:proofErr w:type="spellStart"/>
      <w:r>
        <w:rPr>
          <w:rtl/>
        </w:rPr>
        <w:t>לפייבה</w:t>
      </w:r>
      <w:proofErr w:type="spellEnd"/>
      <w:r>
        <w:rPr>
          <w:rtl/>
        </w:rPr>
        <w:t xml:space="preserve"> </w:t>
      </w:r>
      <w:proofErr w:type="spellStart"/>
      <w:r>
        <w:rPr>
          <w:rtl/>
        </w:rPr>
        <w:t>בלינקה</w:t>
      </w:r>
      <w:proofErr w:type="spellEnd"/>
      <w:r>
        <w:rPr>
          <w:rtl/>
        </w:rPr>
        <w:t>, מודד קרקעות במינסק. בני הזוג לא הקפידו הרבה על היידישקייט ובילו את שעות הפנאי שלהם במשחק קלפים, אבל עדיין משפחה היו</w:t>
      </w:r>
      <w:bookmarkStart w:id="472" w:name="b1_ref83"/>
      <w:bookmarkEnd w:id="472"/>
      <w:r>
        <w:rPr>
          <w:vertAlign w:val="superscript"/>
          <w:rtl/>
        </w:rPr>
        <w:fldChar w:fldCharType="begin" w:dirty="true"/>
      </w:r>
      <w:r>
        <w:rPr>
          <w:vertAlign w:val="superscript"/>
          <w:rtl/>
        </w:rPr>
        <w:instrText xml:space="preserve"> REF b1_note83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גם אחותו טובת הלב והחסודה של ר׳ בנימין, דבורה היפה, שהייתה יראה את אביה יותר מכדי להתעלם מרצונו, נישאה במינסק לתלמיד החכם הגדול והירא ר׳ גרשון </w:t>
      </w:r>
      <w:proofErr w:type="spellStart"/>
      <w:r>
        <w:rPr>
          <w:rtl/>
        </w:rPr>
        <w:t>במדס</w:t>
      </w:r>
      <w:proofErr w:type="spellEnd"/>
      <w:r>
        <w:rPr>
          <w:rtl/>
        </w:rPr>
        <w:t>, בנו חיוור הפנים של סוחר יין עשיר</w:t>
      </w:r>
      <w:bookmarkStart w:id="473" w:name="b1_ref84"/>
      <w:bookmarkEnd w:id="473"/>
      <w:r>
        <w:rPr>
          <w:vertAlign w:val="superscript"/>
          <w:rtl/>
        </w:rPr>
        <w:fldChar w:fldCharType="begin" w:dirty="true"/>
      </w:r>
      <w:r>
        <w:rPr>
          <w:vertAlign w:val="superscript"/>
          <w:rtl/>
        </w:rPr>
        <w:instrText xml:space="preserve"> REF b1_note84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ביתם של בני הזוג חשוכי הילדים היה ודאי </w:t>
      </w:r>
      <w:proofErr w:type="spellStart"/>
      <w:r>
        <w:rPr>
          <w:rtl/>
        </w:rPr>
        <w:t>לחיים־זרח</w:t>
      </w:r>
      <w:proofErr w:type="spellEnd"/>
      <w:r>
        <w:rPr>
          <w:rtl/>
        </w:rPr>
        <w:t xml:space="preserve"> בית חם ומסביר פנים, כביתו שלו.</w:t>
      </w:r>
    </w:p>
    <w:bookmarkStart w:id="474" w:name="b1_note83"/>
    <w:p w14:paraId="6612AFEA" w14:textId="77777777" w:rsidR="00AB3647" w:rsidRDefault="00000000" w:rsidP="007923E9">
      <w:pPr>
        <w:spacing w:before="120" w:after="100" w:line="276" w:lineRule="auto"/>
        <w:jc w:val="both"/>
      </w:pPr>
      <w:r>
        <w:fldChar w:fldCharType="begin" w:dirty="true"/>
      </w:r>
      <w:r>
        <w:instrText>HYPERLINK \l "b1_ref83"</w:instrText>
      </w:r>
      <w:r>
        <w:fldChar w:fldCharType="separate"/>
      </w:r>
      <w:r>
        <w:rPr>
          <w:b/>
          <w:bCs/>
          <w:rtl/>
        </w:rPr>
        <w:t>83</w:t>
      </w:r>
      <w:r>
        <w:rPr>
          <w:b/>
          <w:bCs/>
        </w:rPr>
        <w:fldChar w:fldCharType="end"/>
      </w:r>
      <w:bookmarkEnd w:id="474"/>
      <w:r>
        <w:rPr>
          <w:rtl/>
        </w:rPr>
        <w:t xml:space="preserve"> לדברי ר׳ </w:t>
      </w:r>
      <w:proofErr w:type="spellStart"/>
      <w:r>
        <w:rPr>
          <w:rtl/>
        </w:rPr>
        <w:t>לייבל</w:t>
      </w:r>
      <w:proofErr w:type="spellEnd"/>
      <w:r>
        <w:rPr>
          <w:rtl/>
        </w:rPr>
        <w:t xml:space="preserve"> </w:t>
      </w:r>
      <w:proofErr w:type="spellStart"/>
      <w:r>
        <w:rPr>
          <w:rtl/>
        </w:rPr>
        <w:t>פרלשטיין</w:t>
      </w:r>
      <w:bookmarkStart w:id="475" w:name="_fnr272"/>
      <w:proofErr w:type="spellEnd"/>
      <w:r>
        <w:rPr>
          <w:rStyle w:val="a5"/>
        </w:rPr>
        <w:footnoteReference w:id="272" w:customMarkFollows="0"/>
      </w:r>
      <w:bookmarkEnd w:id="475"/>
      <w:r>
        <w:rPr>
          <w:rtl/>
        </w:rPr>
        <w:t xml:space="preserve"> אמר אבי: “היא הייתה אישה עשירה, אבל קומוניסטית – לא שהמשפחה השלימה עם זה”.</w:t>
      </w:r>
    </w:p>
    <w:bookmarkStart w:id="476" w:name="b1_note84"/>
    <w:p w14:paraId="75F39825" w14:textId="77777777" w:rsidR="00AB3647" w:rsidRDefault="00000000" w:rsidP="007923E9">
      <w:pPr>
        <w:spacing w:before="120" w:after="100" w:line="276" w:lineRule="auto"/>
        <w:jc w:val="both"/>
      </w:pPr>
      <w:r>
        <w:fldChar w:fldCharType="begin" w:dirty="true"/>
      </w:r>
      <w:r>
        <w:instrText>HYPERLINK \l "b1_ref84"</w:instrText>
      </w:r>
      <w:r>
        <w:fldChar w:fldCharType="separate"/>
      </w:r>
      <w:r>
        <w:rPr>
          <w:b/>
          <w:bCs/>
          <w:rtl/>
        </w:rPr>
        <w:t>84</w:t>
      </w:r>
      <w:r>
        <w:rPr>
          <w:b/>
          <w:bCs/>
        </w:rPr>
        <w:fldChar w:fldCharType="end"/>
      </w:r>
      <w:bookmarkEnd w:id="476"/>
      <w:r>
        <w:rPr>
          <w:rtl/>
        </w:rPr>
        <w:t xml:space="preserve"> גם האחות האחרת, שיינה, הייתה חסודה במיוחד. היא גרה </w:t>
      </w:r>
      <w:proofErr w:type="spellStart"/>
      <w:r>
        <w:rPr>
          <w:rtl/>
        </w:rPr>
        <w:t>בקריסק</w:t>
      </w:r>
      <w:proofErr w:type="spellEnd"/>
      <w:r>
        <w:rPr>
          <w:rtl/>
        </w:rPr>
        <w:t>, ושם פרנסה את משפחתה בת ששת הילדים בחנות שהחזיקה, בשעה שבעלה לא עשה דבר מלבד ללמוד תורה. לפעמים הייתה באה למינסק לקנות סחורה. כך מסרה הדודה דבורה</w:t>
      </w:r>
      <w:bookmarkStart w:id="477" w:name="_fnr273"/>
      <w:r>
        <w:rPr>
          <w:rStyle w:val="a5"/>
        </w:rPr>
        <w:footnoteReference w:id="273" w:customMarkFollows="0"/>
      </w:r>
      <w:bookmarkEnd w:id="477"/>
      <w:r>
        <w:rPr>
          <w:rtl/>
        </w:rPr>
        <w:t>.</w:t>
      </w:r>
    </w:p>
    <w:p w14:paraId="1D20B21D" w14:textId="1E2708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ואכן, </w:t>
      </w:r>
      <w:proofErr w:type="spellStart"/>
      <w:r>
        <w:rPr>
          <w:rtl/>
        </w:rPr>
        <w:t>חיים־זרח</w:t>
      </w:r>
      <w:proofErr w:type="spellEnd"/>
      <w:r>
        <w:rPr>
          <w:rtl/>
        </w:rPr>
        <w:t xml:space="preserve"> עבר לגור אצל דודתו דבורה, ובעלה מצא לו עבודה בגולדברג ושפירא, חברת תרופות ענקית שסיפקה תרופות לכל מינסק וסביבותיה. </w:t>
      </w:r>
      <w:proofErr w:type="spellStart"/>
      <w:r>
        <w:rPr>
          <w:rtl/>
        </w:rPr>
        <w:t>חיים־זרח</w:t>
      </w:r>
      <w:proofErr w:type="spellEnd"/>
      <w:r>
        <w:rPr>
          <w:rtl/>
        </w:rPr>
        <w:t xml:space="preserve"> כתב הביתה שהוא אוהב את עבודתו, ושממוניו מעריכים אותו והעלו את שכרו</w:t>
      </w:r>
      <w:bookmarkStart w:id="478" w:name="b1_ref85"/>
      <w:bookmarkEnd w:id="478"/>
      <w:r>
        <w:rPr>
          <w:vertAlign w:val="superscript"/>
          <w:rtl/>
        </w:rPr>
        <w:fldChar w:fldCharType="begin" w:dirty="true"/>
      </w:r>
      <w:r>
        <w:rPr>
          <w:vertAlign w:val="superscript"/>
          <w:rtl/>
        </w:rPr>
        <w:instrText xml:space="preserve"> REF b1_note85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אבל לאכזבת דודתו הוא עזב </w:t>
      </w:r>
      <w:r>
        <w:rPr>
          <w:rtl/>
        </w:rPr>
        <w:lastRenderedPageBreak/>
        <w:t xml:space="preserve">את ביתה, כששמע אותה מגינה על יושרו כאשר בעלה הקמצן חשד בו שלקח לעצמו כמה </w:t>
      </w:r>
      <w:proofErr w:type="spellStart"/>
      <w:r>
        <w:rPr>
          <w:rtl/>
        </w:rPr>
        <w:t>קופיקות</w:t>
      </w:r>
      <w:proofErr w:type="spellEnd"/>
      <w:r>
        <w:rPr>
          <w:rtl/>
        </w:rPr>
        <w:t xml:space="preserve"> ממגירת המטבח. הוא הודיע להוריו ששכר חדר קטן אך נאה, ושהוא מאושר במינסק.</w:t>
      </w:r>
    </w:p>
    <w:bookmarkStart w:id="479" w:name="b1_note85"/>
    <w:p w14:paraId="0A5DC0F4" w14:textId="77777777" w:rsidR="00AB3647" w:rsidRDefault="00000000" w:rsidP="007923E9">
      <w:pPr>
        <w:spacing w:before="120" w:after="100" w:line="276" w:lineRule="auto"/>
        <w:jc w:val="both"/>
      </w:pPr>
      <w:r>
        <w:fldChar w:fldCharType="begin" w:dirty="true"/>
      </w:r>
      <w:r>
        <w:instrText>HYPERLINK \l "b1_ref85"</w:instrText>
      </w:r>
      <w:r>
        <w:fldChar w:fldCharType="separate"/>
      </w:r>
      <w:r>
        <w:rPr>
          <w:b/>
          <w:bCs/>
          <w:rtl/>
        </w:rPr>
        <w:t>85</w:t>
      </w:r>
      <w:r>
        <w:rPr>
          <w:b/>
          <w:bCs/>
        </w:rPr>
        <w:fldChar w:fldCharType="end"/>
      </w:r>
      <w:bookmarkEnd w:id="479"/>
      <w:r>
        <w:rPr>
          <w:rtl/>
        </w:rPr>
        <w:t xml:space="preserve"> דודתי כתבה</w:t>
      </w:r>
      <w:bookmarkStart w:id="480" w:name="_fnr274"/>
      <w:r>
        <w:rPr>
          <w:rStyle w:val="a5"/>
        </w:rPr>
        <w:footnoteReference w:id="274" w:customMarkFollows="0"/>
      </w:r>
      <w:bookmarkEnd w:id="480"/>
      <w:r>
        <w:rPr>
          <w:rtl/>
        </w:rPr>
        <w:t xml:space="preserve">: “הוא נשא חן בעיני מעסיקיו; הם חיבבו אותו כל כך, שכשהגיע לפרקו השיאו אותו </w:t>
      </w:r>
      <w:proofErr w:type="spellStart"/>
      <w:r>
        <w:rPr>
          <w:rtl/>
        </w:rPr>
        <w:t>לפערל</w:t>
      </w:r>
      <w:proofErr w:type="spellEnd"/>
      <w:r>
        <w:rPr>
          <w:rtl/>
        </w:rPr>
        <w:t xml:space="preserve"> </w:t>
      </w:r>
      <w:proofErr w:type="spellStart"/>
      <w:r>
        <w:rPr>
          <w:rtl/>
        </w:rPr>
        <w:t>בוטביניק</w:t>
      </w:r>
      <w:proofErr w:type="spellEnd"/>
      <w:r>
        <w:rPr>
          <w:rtl/>
        </w:rPr>
        <w:t xml:space="preserve">, נערה מכפר הסמוך </w:t>
      </w:r>
      <w:proofErr w:type="spellStart"/>
      <w:r>
        <w:rPr>
          <w:rtl/>
        </w:rPr>
        <w:t>לדולהינוב</w:t>
      </w:r>
      <w:proofErr w:type="spellEnd"/>
      <w:r>
        <w:rPr>
          <w:rtl/>
        </w:rPr>
        <w:t>”.</w:t>
      </w:r>
    </w:p>
    <w:p w14:paraId="49C00FE1" w14:textId="1A5D357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באותו זמן תכננו בני הזוג </w:t>
      </w:r>
      <w:proofErr w:type="spellStart"/>
      <w:r>
        <w:rPr>
          <w:rtl/>
        </w:rPr>
        <w:t>קמינצקי</w:t>
      </w:r>
      <w:proofErr w:type="spellEnd"/>
      <w:r>
        <w:rPr>
          <w:rtl/>
        </w:rPr>
        <w:t xml:space="preserve"> שגם בנם השני יעזוב את בית הוריו. אבי נשלח תחילה לאחוזת אבותיו </w:t>
      </w:r>
      <w:proofErr w:type="spellStart"/>
      <w:r>
        <w:rPr>
          <w:rtl/>
        </w:rPr>
        <w:t>בקאליסקובקה</w:t>
      </w:r>
      <w:proofErr w:type="spellEnd"/>
      <w:r>
        <w:rPr>
          <w:rtl/>
        </w:rPr>
        <w:t>, אל סבו ואל דודו ישראל־יצחק</w:t>
      </w:r>
      <w:bookmarkStart w:id="481" w:name="b1_ref86"/>
      <w:bookmarkEnd w:id="481"/>
      <w:r>
        <w:rPr>
          <w:vertAlign w:val="superscript"/>
          <w:rtl/>
        </w:rPr>
        <w:fldChar w:fldCharType="begin" w:dirty="true"/>
      </w:r>
      <w:r>
        <w:rPr>
          <w:vertAlign w:val="superscript"/>
          <w:rtl/>
        </w:rPr>
        <w:instrText xml:space="preserve"> REF b1_note86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סבו שמח בילד המחונן, שהסתגל במהרה</w:t>
      </w:r>
      <w:bookmarkStart w:id="482" w:name="b1_ref87"/>
      <w:bookmarkEnd w:id="482"/>
      <w:r>
        <w:rPr>
          <w:vertAlign w:val="superscript"/>
          <w:rtl/>
        </w:rPr>
        <w:fldChar w:fldCharType="begin" w:dirty="true"/>
      </w:r>
      <w:r>
        <w:rPr>
          <w:vertAlign w:val="superscript"/>
          <w:rtl/>
        </w:rPr>
        <w:instrText xml:space="preserve"> REF b1_note87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למטלותיו ולאחריותו בחווה, ואף מצא זמן ללמוד עמו בלאַט גמרא [דף גמרא]</w:t>
      </w:r>
      <w:bookmarkStart w:id="483" w:name="b1_ref88"/>
      <w:bookmarkEnd w:id="483"/>
      <w:r>
        <w:rPr>
          <w:vertAlign w:val="superscript"/>
          <w:rtl/>
        </w:rPr>
        <w:fldChar w:fldCharType="begin" w:dirty="true"/>
      </w:r>
      <w:r>
        <w:rPr>
          <w:vertAlign w:val="superscript"/>
          <w:rtl/>
        </w:rPr>
        <w:instrText xml:space="preserve"> REF b1_note88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w:t>
      </w:r>
    </w:p>
    <w:bookmarkStart w:id="484" w:name="b1_note86"/>
    <w:p w14:paraId="682E1044" w14:textId="04DA06A8" w:rsidR="00AB3647" w:rsidRDefault="00000000" w:rsidP="007923E9">
      <w:pPr>
        <w:spacing w:before="120" w:after="100" w:line="276" w:lineRule="auto"/>
        <w:jc w:val="both"/>
      </w:pPr>
      <w:r>
        <w:fldChar w:fldCharType="begin" w:dirty="true"/>
      </w:r>
      <w:r>
        <w:instrText>HYPERLINK \l "b1_ref86"</w:instrText>
      </w:r>
      <w:r>
        <w:fldChar w:fldCharType="separate"/>
      </w:r>
      <w:r>
        <w:rPr>
          <w:b/>
          <w:bCs/>
          <w:rtl/>
        </w:rPr>
        <w:t>86</w:t>
      </w:r>
      <w:r>
        <w:rPr>
          <w:b/>
          <w:bCs/>
        </w:rPr>
        <w:fldChar w:fldCharType="end"/>
      </w:r>
      <w:bookmarkEnd w:id="484"/>
      <w:r>
        <w:rPr>
          <w:rtl/>
        </w:rPr>
        <w:t xml:space="preserve"> ראה הערה </w:t>
      </w:r>
      <w:r>
        <w:rPr>
          <w:rtl/>
        </w:rPr>
        <w:fldChar w:fldCharType="begin" w:dirty="true"/>
      </w:r>
      <w:r>
        <w:rPr>
          <w:rtl/>
        </w:rPr>
        <w:instrText xml:space="preserve"> REF b1_note20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שר׳ </w:t>
      </w:r>
      <w:proofErr w:type="spellStart"/>
      <w:r>
        <w:rPr>
          <w:rtl/>
        </w:rPr>
        <w:t>שמואל־הירש</w:t>
      </w:r>
      <w:proofErr w:type="spellEnd"/>
      <w:r>
        <w:rPr>
          <w:rtl/>
        </w:rPr>
        <w:t xml:space="preserve"> העדיף עזרה מתוך המשפחה.</w:t>
      </w:r>
    </w:p>
    <w:bookmarkStart w:id="485" w:name="b1_note87"/>
    <w:p w14:paraId="4A32DF43" w14:textId="77777777" w:rsidR="00AB3647" w:rsidRDefault="00000000" w:rsidP="007923E9">
      <w:pPr>
        <w:spacing w:before="120" w:after="100" w:line="276" w:lineRule="auto"/>
        <w:jc w:val="both"/>
      </w:pPr>
      <w:r>
        <w:fldChar w:fldCharType="begin" w:dirty="true"/>
      </w:r>
      <w:r>
        <w:instrText>HYPERLINK \l "b1_ref87"</w:instrText>
      </w:r>
      <w:r>
        <w:fldChar w:fldCharType="separate"/>
      </w:r>
      <w:r>
        <w:rPr>
          <w:b/>
          <w:bCs/>
          <w:rtl/>
        </w:rPr>
        <w:t>87</w:t>
      </w:r>
      <w:r>
        <w:rPr>
          <w:b/>
          <w:bCs/>
        </w:rPr>
        <w:fldChar w:fldCharType="end"/>
      </w:r>
      <w:bookmarkEnd w:id="485"/>
      <w:r>
        <w:rPr>
          <w:rtl/>
        </w:rPr>
        <w:t xml:space="preserve"> ר׳ יוסף </w:t>
      </w:r>
      <w:proofErr w:type="spellStart"/>
      <w:r>
        <w:rPr>
          <w:rtl/>
        </w:rPr>
        <w:t>היינמן</w:t>
      </w:r>
      <w:proofErr w:type="spellEnd"/>
      <w:r>
        <w:rPr>
          <w:rtl/>
        </w:rPr>
        <w:t xml:space="preserve"> הראה</w:t>
      </w:r>
      <w:bookmarkStart w:id="486" w:name="_fnr275"/>
      <w:r>
        <w:rPr>
          <w:rStyle w:val="a5"/>
        </w:rPr>
        <w:footnoteReference w:id="275" w:customMarkFollows="0"/>
      </w:r>
      <w:bookmarkEnd w:id="486"/>
      <w:r>
        <w:rPr>
          <w:rtl/>
        </w:rPr>
        <w:t xml:space="preserve"> לי </w:t>
      </w:r>
      <w:proofErr w:type="spellStart"/>
      <w:r>
        <w:rPr>
          <w:rtl/>
        </w:rPr>
        <w:t>ב“ספר</w:t>
      </w:r>
      <w:proofErr w:type="spellEnd"/>
      <w:r>
        <w:rPr>
          <w:rtl/>
        </w:rPr>
        <w:t xml:space="preserve"> חסידים” שלו רשימות שוליים של הערות מעניינות ששמע מאבי, כשלימד אבי את הספר בשנים תשכ״ז–תשכ״ח לחבורה של תלמידיו לשעבר. הוא רשם (בלשונו של אבי): “אמי לא רצתה שאהיה רב</w:t>
      </w:r>
      <w:bookmarkStart w:id="487" w:name="_fnr276"/>
      <w:r>
        <w:rPr>
          <w:rStyle w:val="a5"/>
        </w:rPr>
        <w:footnoteReference w:id="276" w:customMarkFollows="0"/>
      </w:r>
      <w:bookmarkEnd w:id="487"/>
      <w:r>
        <w:rPr>
          <w:rtl/>
        </w:rPr>
        <w:t>, ונשלחתי לדוד בחווה. שם למדתי לעשן – למדתי לגלגל סיגריות בעצמי</w:t>
      </w:r>
      <w:bookmarkStart w:id="488" w:name="_fnr277"/>
      <w:r>
        <w:rPr>
          <w:rStyle w:val="a5"/>
        </w:rPr>
        <w:footnoteReference w:id="277" w:customMarkFollows="0"/>
      </w:r>
      <w:bookmarkEnd w:id="488"/>
      <w:r>
        <w:rPr>
          <w:rtl/>
        </w:rPr>
        <w:t>. אבל זה לא עלה יפה”.</w:t>
      </w:r>
    </w:p>
    <w:bookmarkStart w:id="489" w:name="b1_note88"/>
    <w:p w14:paraId="1CABF006" w14:textId="77777777" w:rsidR="00AB3647" w:rsidRDefault="00000000" w:rsidP="007923E9">
      <w:pPr>
        <w:spacing w:before="120" w:after="100" w:line="276" w:lineRule="auto"/>
        <w:jc w:val="both"/>
      </w:pPr>
      <w:r>
        <w:fldChar w:fldCharType="begin" w:dirty="true"/>
      </w:r>
      <w:r>
        <w:instrText>HYPERLINK \l "b1_ref88"</w:instrText>
      </w:r>
      <w:r>
        <w:fldChar w:fldCharType="separate"/>
      </w:r>
      <w:r>
        <w:rPr>
          <w:b/>
          <w:bCs/>
          <w:rtl/>
        </w:rPr>
        <w:t>88</w:t>
      </w:r>
      <w:r>
        <w:rPr>
          <w:b/>
          <w:bCs/>
        </w:rPr>
        <w:fldChar w:fldCharType="end"/>
      </w:r>
      <w:bookmarkEnd w:id="489"/>
      <w:r>
        <w:rPr>
          <w:rtl/>
        </w:rPr>
        <w:t xml:space="preserve"> אפשר רק לשער מדוע לא נשלח לחווה </w:t>
      </w:r>
      <w:proofErr w:type="spellStart"/>
      <w:r>
        <w:rPr>
          <w:rtl/>
        </w:rPr>
        <w:t>חיים־זרח</w:t>
      </w:r>
      <w:proofErr w:type="spellEnd"/>
      <w:r>
        <w:rPr>
          <w:rtl/>
        </w:rPr>
        <w:t xml:space="preserve">, הנער הגדול. אפשר שהטעם הוא שר׳ </w:t>
      </w:r>
      <w:proofErr w:type="spellStart"/>
      <w:r>
        <w:rPr>
          <w:rtl/>
        </w:rPr>
        <w:t>שמואל־הירש</w:t>
      </w:r>
      <w:proofErr w:type="spellEnd"/>
      <w:r>
        <w:rPr>
          <w:rtl/>
        </w:rPr>
        <w:t xml:space="preserve"> העדיף את הנכד הצעיר, משום שיכול היה ללמוד עמו שיעור בתורה.</w:t>
      </w:r>
    </w:p>
    <w:p w14:paraId="0B23D220" w14:textId="5D3F715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גורלו של אבי היה להיות איכר יהודי, אלמלא התמורות המדיניות ששטפו את רוסיה. בניסיונו הכושל להרגיע בכל רחבי המדינה את רוחות המהפכה הסוציאליסטית</w:t>
      </w:r>
      <w:bookmarkStart w:id="490" w:name="b1_ref89"/>
      <w:bookmarkEnd w:id="490"/>
      <w:r>
        <w:rPr>
          <w:vertAlign w:val="superscript"/>
          <w:rtl/>
        </w:rPr>
        <w:fldChar w:fldCharType="begin" w:dirty="true"/>
      </w:r>
      <w:r>
        <w:rPr>
          <w:vertAlign w:val="superscript"/>
          <w:rtl/>
        </w:rPr>
        <w:instrText xml:space="preserve"> REF b1_note89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הפקיע משטרו של הצאר ניקולאי השני</w:t>
      </w:r>
      <w:bookmarkStart w:id="491" w:name="b1_ref90"/>
      <w:bookmarkEnd w:id="491"/>
      <w:r>
        <w:rPr>
          <w:vertAlign w:val="superscript"/>
          <w:rtl/>
        </w:rPr>
        <w:fldChar w:fldCharType="begin" w:dirty="true"/>
      </w:r>
      <w:r>
        <w:rPr>
          <w:vertAlign w:val="superscript"/>
          <w:rtl/>
        </w:rPr>
        <w:instrText xml:space="preserve"> REF b1_note90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את האחוזות הגדולות וחילק אותן בין האיכרים. אחוזתו של ר׳ </w:t>
      </w:r>
      <w:proofErr w:type="spellStart"/>
      <w:r>
        <w:rPr>
          <w:rtl/>
        </w:rPr>
        <w:t>שמואל־הירש</w:t>
      </w:r>
      <w:proofErr w:type="spellEnd"/>
      <w:r>
        <w:rPr>
          <w:rtl/>
        </w:rPr>
        <w:t xml:space="preserve"> </w:t>
      </w:r>
      <w:proofErr w:type="spellStart"/>
      <w:r>
        <w:rPr>
          <w:rtl/>
        </w:rPr>
        <w:t>קמינצקי</w:t>
      </w:r>
      <w:proofErr w:type="spellEnd"/>
      <w:r>
        <w:rPr>
          <w:rtl/>
        </w:rPr>
        <w:t xml:space="preserve"> נרשמה רישום פיקטיבי על שמו של </w:t>
      </w:r>
      <w:proofErr w:type="spellStart"/>
      <w:r>
        <w:rPr>
          <w:rtl/>
        </w:rPr>
        <w:t>נכרי</w:t>
      </w:r>
      <w:proofErr w:type="spellEnd"/>
      <w:r>
        <w:rPr>
          <w:rtl/>
        </w:rPr>
        <w:t xml:space="preserve"> ממוצא גרמני ששיתף עמו פעולה, </w:t>
      </w:r>
      <w:proofErr w:type="spellStart"/>
      <w:r>
        <w:rPr>
          <w:rtl/>
        </w:rPr>
        <w:t>שמידט</w:t>
      </w:r>
      <w:proofErr w:type="spellEnd"/>
      <w:r>
        <w:rPr>
          <w:rtl/>
        </w:rPr>
        <w:t xml:space="preserve"> שמו</w:t>
      </w:r>
      <w:bookmarkStart w:id="492" w:name="b1_ref91"/>
      <w:bookmarkEnd w:id="492"/>
      <w:r>
        <w:rPr>
          <w:vertAlign w:val="superscript"/>
          <w:rtl/>
        </w:rPr>
        <w:fldChar w:fldCharType="begin" w:dirty="true"/>
      </w:r>
      <w:r>
        <w:rPr>
          <w:vertAlign w:val="superscript"/>
          <w:rtl/>
        </w:rPr>
        <w:instrText xml:space="preserve"> REF b1_note91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משום שחוקי רוסיה אסרו על יהודי להחזיק בקרקע. גם היא הייתה בין האחוזות שהופקעו. האחוזה המקוצצת לא נזקקה עוד לידיים הנוספות של הנער </w:t>
      </w:r>
      <w:proofErr w:type="spellStart"/>
      <w:r>
        <w:rPr>
          <w:rtl/>
        </w:rPr>
        <w:t>מדולהינוב</w:t>
      </w:r>
      <w:proofErr w:type="spellEnd"/>
      <w:r>
        <w:rPr>
          <w:rtl/>
        </w:rPr>
        <w:t xml:space="preserve">, ולכן שלח </w:t>
      </w:r>
      <w:proofErr w:type="spellStart"/>
      <w:r>
        <w:rPr>
          <w:rtl/>
        </w:rPr>
        <w:t>ישראל־יצחק</w:t>
      </w:r>
      <w:proofErr w:type="spellEnd"/>
      <w:r>
        <w:rPr>
          <w:rtl/>
        </w:rPr>
        <w:t xml:space="preserve"> את אחיינו בחזרה להוריו – בדיוק בשעה שר׳ </w:t>
      </w:r>
      <w:proofErr w:type="spellStart"/>
      <w:r>
        <w:rPr>
          <w:rtl/>
        </w:rPr>
        <w:t>שמואל־הירש</w:t>
      </w:r>
      <w:proofErr w:type="spellEnd"/>
      <w:r>
        <w:rPr>
          <w:rtl/>
        </w:rPr>
        <w:t xml:space="preserve"> עצמו החל להשתעשע במחשבה לעזוב את החווה ולעבור למינסק</w:t>
      </w:r>
      <w:bookmarkStart w:id="493" w:name="b1_ref92"/>
      <w:bookmarkEnd w:id="493"/>
      <w:r>
        <w:rPr>
          <w:vertAlign w:val="superscript"/>
          <w:rtl/>
        </w:rPr>
        <w:fldChar w:fldCharType="begin" w:dirty="true"/>
      </w:r>
      <w:r>
        <w:rPr>
          <w:vertAlign w:val="superscript"/>
          <w:rtl/>
        </w:rPr>
        <w:instrText xml:space="preserve"> REF b1_note92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w:t>
      </w:r>
    </w:p>
    <w:bookmarkStart w:id="494" w:name="b1_note89"/>
    <w:p w14:paraId="7840D516" w14:textId="77777777" w:rsidR="00AB3647" w:rsidRDefault="00000000" w:rsidP="007923E9">
      <w:pPr>
        <w:spacing w:before="120" w:after="100" w:line="276" w:lineRule="auto"/>
        <w:jc w:val="both"/>
      </w:pPr>
      <w:r>
        <w:fldChar w:fldCharType="begin" w:dirty="true"/>
      </w:r>
      <w:r>
        <w:instrText>HYPERLINK \l "b1_ref89"</w:instrText>
      </w:r>
      <w:r>
        <w:fldChar w:fldCharType="separate"/>
      </w:r>
      <w:r>
        <w:rPr>
          <w:b/>
          <w:bCs/>
          <w:rtl/>
        </w:rPr>
        <w:t>89</w:t>
      </w:r>
      <w:r>
        <w:rPr>
          <w:b/>
          <w:bCs/>
        </w:rPr>
        <w:fldChar w:fldCharType="end"/>
      </w:r>
      <w:bookmarkEnd w:id="494"/>
      <w:r>
        <w:rPr>
          <w:rtl/>
        </w:rPr>
        <w:t xml:space="preserve"> מהפכה זו הגיעה לשיאה בשנת 1905 ודוכאה. היא פרצה שוב בשנת 1917 והצליחה להפיל את המלוכה, אבל הקומוניסטים השתלטו עליה.</w:t>
      </w:r>
    </w:p>
    <w:bookmarkStart w:id="495" w:name="b1_note90"/>
    <w:p w14:paraId="6A3BA76C" w14:textId="77777777" w:rsidR="00AB3647" w:rsidRDefault="00000000" w:rsidP="007923E9">
      <w:pPr>
        <w:spacing w:before="120" w:after="100" w:line="276" w:lineRule="auto"/>
        <w:jc w:val="both"/>
      </w:pPr>
      <w:r>
        <w:lastRenderedPageBreak/>
        <w:fldChar w:fldCharType="begin" w:dirty="true"/>
      </w:r>
      <w:r>
        <w:instrText>HYPERLINK \l "b1_ref90"</w:instrText>
      </w:r>
      <w:r>
        <w:fldChar w:fldCharType="separate"/>
      </w:r>
      <w:r>
        <w:rPr>
          <w:b/>
          <w:bCs/>
          <w:rtl/>
        </w:rPr>
        <w:t>90</w:t>
      </w:r>
      <w:r>
        <w:rPr>
          <w:b/>
          <w:bCs/>
        </w:rPr>
        <w:fldChar w:fldCharType="end"/>
      </w:r>
      <w:bookmarkEnd w:id="495"/>
      <w:r>
        <w:rPr>
          <w:rtl/>
        </w:rPr>
        <w:t xml:space="preserve"> הוא ירש את הכתר בשנת 1894 (תרנ״ד) והיה הצאר האחרון של רוסיה. התפטרותו במרץ 1917 (אדר תרע״ז) סימנה את סוף שלטונה בן שלוש מאות השנים של שושלת </w:t>
      </w:r>
      <w:proofErr w:type="spellStart"/>
      <w:r>
        <w:rPr>
          <w:rtl/>
        </w:rPr>
        <w:t>רומנוב</w:t>
      </w:r>
      <w:proofErr w:type="spellEnd"/>
      <w:r>
        <w:rPr>
          <w:rtl/>
        </w:rPr>
        <w:t xml:space="preserve">, שמנתה </w:t>
      </w:r>
      <w:proofErr w:type="spellStart"/>
      <w:r>
        <w:rPr>
          <w:rtl/>
        </w:rPr>
        <w:t>שישה־עשר</w:t>
      </w:r>
      <w:proofErr w:type="spellEnd"/>
      <w:r>
        <w:rPr>
          <w:rtl/>
        </w:rPr>
        <w:t xml:space="preserve"> מלכים</w:t>
      </w:r>
      <w:bookmarkStart w:id="496" w:name="_fnr278"/>
      <w:r>
        <w:rPr>
          <w:rStyle w:val="a5"/>
        </w:rPr>
        <w:footnoteReference w:id="278" w:customMarkFollows="0"/>
      </w:r>
      <w:bookmarkEnd w:id="496"/>
      <w:r>
        <w:rPr>
          <w:rtl/>
        </w:rPr>
        <w:t>.</w:t>
      </w:r>
    </w:p>
    <w:bookmarkStart w:id="497" w:name="b1_note91"/>
    <w:p w14:paraId="0D92D2F2" w14:textId="77777777" w:rsidR="00AB3647" w:rsidRDefault="00000000" w:rsidP="007923E9">
      <w:pPr>
        <w:spacing w:before="120" w:after="100" w:line="276" w:lineRule="auto"/>
        <w:jc w:val="both"/>
      </w:pPr>
      <w:r>
        <w:fldChar w:fldCharType="begin" w:dirty="true"/>
      </w:r>
      <w:r>
        <w:instrText>HYPERLINK \l "b1_ref91"</w:instrText>
      </w:r>
      <w:r>
        <w:fldChar w:fldCharType="separate"/>
      </w:r>
      <w:r>
        <w:rPr>
          <w:b/>
          <w:bCs/>
          <w:rtl/>
        </w:rPr>
        <w:t>91</w:t>
      </w:r>
      <w:r>
        <w:rPr>
          <w:b/>
          <w:bCs/>
        </w:rPr>
        <w:fldChar w:fldCharType="end"/>
      </w:r>
      <w:bookmarkEnd w:id="497"/>
      <w:r>
        <w:rPr>
          <w:rtl/>
        </w:rPr>
        <w:t xml:space="preserve"> לא ברור מתי הוצרכו להעביר את החווה על שמו של </w:t>
      </w:r>
      <w:proofErr w:type="spellStart"/>
      <w:r>
        <w:rPr>
          <w:rtl/>
        </w:rPr>
        <w:t>הנכרי</w:t>
      </w:r>
      <w:proofErr w:type="spellEnd"/>
      <w:r>
        <w:rPr>
          <w:rtl/>
        </w:rPr>
        <w:t>. ייתכן שהיה זה כבר בשנת תר״ד, כשיצא צו מטעם ממשלת הצאר ניקולאי הראשון שכל היהודים חייבים לעזוב את הכפרים ולגור בערים בלבד. לפי “</w:t>
      </w:r>
      <w:proofErr w:type="spellStart"/>
      <w:r>
        <w:rPr>
          <w:rtl/>
        </w:rPr>
        <w:t>זכרון</w:t>
      </w:r>
      <w:proofErr w:type="spellEnd"/>
      <w:r>
        <w:rPr>
          <w:rtl/>
        </w:rPr>
        <w:t xml:space="preserve"> יעקב”</w:t>
      </w:r>
      <w:bookmarkStart w:id="498" w:name="_fnr279"/>
      <w:r>
        <w:rPr>
          <w:rStyle w:val="a5"/>
        </w:rPr>
        <w:footnoteReference w:id="279" w:customMarkFollows="0"/>
      </w:r>
      <w:bookmarkEnd w:id="498"/>
      <w:r>
        <w:rPr>
          <w:rtl/>
        </w:rPr>
        <w:t xml:space="preserve">, עד אותו זמן גרו בכפרים כעשרים אחוזים מכל יהודי רוסיה. ביצוע הצו הוטל על השלטונות המקומיים, ולכן אפשר לשער שבאזור </w:t>
      </w:r>
      <w:proofErr w:type="spellStart"/>
      <w:r>
        <w:rPr>
          <w:rtl/>
        </w:rPr>
        <w:t>דולהינוב</w:t>
      </w:r>
      <w:proofErr w:type="spellEnd"/>
      <w:r>
        <w:rPr>
          <w:rtl/>
        </w:rPr>
        <w:t xml:space="preserve"> מילאה העברת הבעלות על אדמות החקלאות לנכרים את דרישת החוק, והיא נעשתה בשלב כלשהו בשנות </w:t>
      </w:r>
      <w:proofErr w:type="spellStart"/>
      <w:r>
        <w:rPr>
          <w:rtl/>
        </w:rPr>
        <w:t xml:space="preserve">התר״כ</w:t>
      </w:r>
      <w:proofErr w:type="spellEnd"/>
      <w:r>
        <w:rPr>
          <w:rtl/>
        </w:rPr>
        <w:t xml:space="preserve">, כשהאחוזה הייתה בידי ר׳ </w:t>
      </w:r>
      <w:proofErr w:type="spellStart"/>
      <w:r>
        <w:rPr>
          <w:rtl/>
        </w:rPr>
        <w:t>שמואל־הירש</w:t>
      </w:r>
      <w:proofErr w:type="spellEnd"/>
      <w:r>
        <w:rPr>
          <w:rtl/>
        </w:rPr>
        <w:t>.</w:t>
      </w:r>
    </w:p>
    <w:bookmarkStart w:id="499" w:name="b1_note92"/>
    <w:p w14:paraId="54B3594A" w14:textId="77777777" w:rsidR="00AB3647" w:rsidRDefault="00000000" w:rsidP="007923E9">
      <w:pPr>
        <w:spacing w:before="120" w:after="100" w:line="276" w:lineRule="auto"/>
        <w:jc w:val="both"/>
      </w:pPr>
      <w:r>
        <w:fldChar w:fldCharType="begin" w:dirty="true"/>
      </w:r>
      <w:r>
        <w:instrText>HYPERLINK \l "b1_ref92"</w:instrText>
      </w:r>
      <w:r>
        <w:fldChar w:fldCharType="separate"/>
      </w:r>
      <w:r>
        <w:rPr>
          <w:b/>
          <w:bCs/>
          <w:rtl/>
        </w:rPr>
        <w:t>92</w:t>
      </w:r>
      <w:r>
        <w:rPr>
          <w:b/>
          <w:bCs/>
        </w:rPr>
        <w:fldChar w:fldCharType="end"/>
      </w:r>
      <w:bookmarkEnd w:id="499"/>
      <w:r>
        <w:rPr>
          <w:rtl/>
        </w:rPr>
        <w:t xml:space="preserve"> ר׳ </w:t>
      </w:r>
      <w:proofErr w:type="spellStart"/>
      <w:r>
        <w:rPr>
          <w:rtl/>
        </w:rPr>
        <w:t>שמואל־הירש</w:t>
      </w:r>
      <w:proofErr w:type="spellEnd"/>
      <w:r>
        <w:rPr>
          <w:rtl/>
        </w:rPr>
        <w:t xml:space="preserve"> – או </w:t>
      </w:r>
      <w:proofErr w:type="spellStart"/>
      <w:r>
        <w:rPr>
          <w:rtl/>
        </w:rPr>
        <w:t>שמידט</w:t>
      </w:r>
      <w:proofErr w:type="spellEnd"/>
      <w:r>
        <w:rPr>
          <w:rtl/>
        </w:rPr>
        <w:t xml:space="preserve"> – הורשה להשאיר בידו חלק קטן מן האחוזה, ובכלל זה את הטחנה, וקיבל משרה ממשלתית בתחום התמחותו, תעשיית העצים. אבי הכריז: “משפחתי ירדה מנכסיה בין לילה; אבל בזכות זה נשלחתי לישיבה במקום לחווה”</w:t>
      </w:r>
      <w:bookmarkStart w:id="500" w:name="_fnr280"/>
      <w:r>
        <w:rPr>
          <w:rStyle w:val="a5"/>
        </w:rPr>
        <w:footnoteReference w:id="280" w:customMarkFollows="0"/>
      </w:r>
      <w:bookmarkEnd w:id="500"/>
      <w:r>
        <w:rPr>
          <w:rtl/>
        </w:rPr>
        <w:t>. הביטוי “ירדה מנכסיה” היה יחסי, שכן אחי ר׳ אברהם</w:t>
      </w:r>
      <w:bookmarkStart w:id="501" w:name="_fnr281"/>
      <w:r>
        <w:rPr>
          <w:rStyle w:val="a5"/>
        </w:rPr>
        <w:footnoteReference w:id="281" w:customMarkFollows="0"/>
      </w:r>
      <w:bookmarkEnd w:id="501"/>
      <w:r>
        <w:rPr>
          <w:rtl/>
        </w:rPr>
        <w:t xml:space="preserve"> סיפר בשם אבינו: “ר׳ </w:t>
      </w:r>
      <w:proofErr w:type="spellStart"/>
      <w:r>
        <w:rPr>
          <w:rtl/>
        </w:rPr>
        <w:t>שמואל־הירש</w:t>
      </w:r>
      <w:proofErr w:type="spellEnd"/>
      <w:r>
        <w:rPr>
          <w:rtl/>
        </w:rPr>
        <w:t xml:space="preserve"> היה עשיר גדול – עד אחרי המהפכה הבולשביקית של 1917, כשהכול הוחרם. אז מת </w:t>
      </w:r>
      <w:proofErr w:type="spellStart"/>
      <w:r>
        <w:rPr>
          <w:rtl/>
        </w:rPr>
        <w:t>מעגמת</w:t>
      </w:r>
      <w:proofErr w:type="spellEnd"/>
      <w:r>
        <w:rPr>
          <w:rtl/>
        </w:rPr>
        <w:t xml:space="preserve"> נפש”</w:t>
      </w:r>
      <w:bookmarkStart w:id="502" w:name="_fnr282"/>
      <w:bookmarkStart w:id="503" w:name="pr_f_215"/>
      <w:r>
        <w:rPr>
          <w:rStyle w:val="a5"/>
        </w:rPr>
        <w:footnoteReference w:id="282" w:customMarkFollows="0"/>
      </w:r>
      <w:bookmarkEnd w:id="502"/>
      <w:bookmarkEnd w:id="503"/>
      <w:r>
        <w:rPr>
          <w:rtl/>
        </w:rPr>
        <w:t xml:space="preserve">. ר׳ </w:t>
      </w:r>
      <w:proofErr w:type="spellStart"/>
      <w:r>
        <w:rPr>
          <w:rtl/>
        </w:rPr>
        <w:t>שמואל־הירש</w:t>
      </w:r>
      <w:proofErr w:type="spellEnd"/>
      <w:r>
        <w:rPr>
          <w:rtl/>
        </w:rPr>
        <w:t xml:space="preserve"> עבר למינסק בתחילת תרס״ד, וכעבור ארבעה חודשים חגג אבי את בר המצווה שלו בבית סבו באותה עיר</w:t>
      </w:r>
      <w:bookmarkStart w:id="504" w:name="_fnr283"/>
      <w:r>
        <w:rPr>
          <w:rStyle w:val="a5"/>
        </w:rPr>
        <w:footnoteReference w:id="283" w:customMarkFollows="0"/>
      </w:r>
      <w:bookmarkEnd w:id="504"/>
      <w:r>
        <w:rPr>
          <w:rtl/>
        </w:rPr>
        <w:t>.</w:t>
      </w:r>
    </w:p>
    <w:p w14:paraId="7F7561B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עם תפנית זו באו לקצם בשנת תרס״ב ימי השפע של ר׳ בנימין </w:t>
      </w:r>
      <w:proofErr w:type="spellStart"/>
      <w:r>
        <w:rPr>
          <w:rtl/>
        </w:rPr>
        <w:t>ועטיל</w:t>
      </w:r>
      <w:proofErr w:type="spellEnd"/>
      <w:r>
        <w:rPr>
          <w:rtl/>
        </w:rPr>
        <w:t xml:space="preserve">, שהשתייכו עד אז למעמד </w:t>
      </w:r>
      <w:proofErr w:type="spellStart"/>
      <w:r>
        <w:rPr>
          <w:rtl/>
        </w:rPr>
        <w:t>הבינוני־הגבוה</w:t>
      </w:r>
      <w:proofErr w:type="spellEnd"/>
      <w:r>
        <w:rPr>
          <w:rtl/>
        </w:rPr>
        <w:t xml:space="preserve">. ההכנסה הקטנה שהצליח ר׳ בנימין להשיג </w:t>
      </w:r>
      <w:proofErr w:type="spellStart"/>
      <w:r>
        <w:rPr>
          <w:rtl/>
        </w:rPr>
        <w:t>בדולהינוב</w:t>
      </w:r>
      <w:proofErr w:type="spellEnd"/>
      <w:r>
        <w:rPr>
          <w:rtl/>
        </w:rPr>
        <w:t xml:space="preserve"> בכוחות עצמו לא הספיקה לפרנס את משפחתו, </w:t>
      </w:r>
      <w:proofErr w:type="spellStart"/>
      <w:r>
        <w:rPr>
          <w:rtl/>
        </w:rPr>
        <w:t>ועטיל</w:t>
      </w:r>
      <w:proofErr w:type="spellEnd"/>
      <w:r>
        <w:rPr>
          <w:rtl/>
        </w:rPr>
        <w:t xml:space="preserve">, “אשת חיל”, החלה לשאת יותר ויותר בעול הפרנסה. היא עבדה כמבשלת אצל משפחות אמידות יותר, ואילו בעלה בילה את זמנו בלימוד </w:t>
      </w:r>
      <w:proofErr w:type="spellStart"/>
      <w:r>
        <w:rPr>
          <w:rtl/>
        </w:rPr>
        <w:t>בקלויז</w:t>
      </w:r>
      <w:proofErr w:type="spellEnd"/>
      <w:r>
        <w:rPr>
          <w:rtl/>
        </w:rPr>
        <w:t xml:space="preserve"> ובעיסוק בצרכי ציבור בהתנדבות. הילדים גדלו, ועד מהרה לא היה די מזון להעלות על השולחן.</w:t>
      </w:r>
    </w:p>
    <w:p w14:paraId="5533AB83" w14:textId="08C9D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בנימין </w:t>
      </w:r>
      <w:proofErr w:type="spellStart"/>
      <w:r>
        <w:rPr>
          <w:rtl/>
        </w:rPr>
        <w:t>ועטיל</w:t>
      </w:r>
      <w:proofErr w:type="spellEnd"/>
      <w:r>
        <w:rPr>
          <w:rtl/>
        </w:rPr>
        <w:t xml:space="preserve"> נאלצו להכריע בעניין בנם השני, עכשיו שהאפשרות ללכת בעקבות סבו ולהיות איכר כבר לא הייתה קיימת. האם לשלוח את יעקב שלהם לחפש עבודה בשנה הבאה, </w:t>
      </w:r>
      <w:r>
        <w:rPr>
          <w:rtl/>
        </w:rPr>
        <w:lastRenderedPageBreak/>
        <w:t xml:space="preserve">כשיגיע לגיל </w:t>
      </w:r>
      <w:proofErr w:type="spellStart"/>
      <w:r>
        <w:rPr>
          <w:rtl/>
        </w:rPr>
        <w:t>שתים־עשרה</w:t>
      </w:r>
      <w:proofErr w:type="spellEnd"/>
      <w:r>
        <w:rPr>
          <w:rtl/>
        </w:rPr>
        <w:t xml:space="preserve"> – הגיל שבו יצאו נערים ממשפחות הפועלים </w:t>
      </w:r>
      <w:proofErr w:type="spellStart"/>
      <w:r>
        <w:rPr>
          <w:rtl/>
        </w:rPr>
        <w:t>בדולהינוב</w:t>
      </w:r>
      <w:proofErr w:type="spellEnd"/>
      <w:r>
        <w:rPr>
          <w:rtl/>
        </w:rPr>
        <w:t xml:space="preserve"> אל העולם להתפרנס</w:t>
      </w:r>
      <w:bookmarkStart w:id="505" w:name="b1_ref93"/>
      <w:bookmarkEnd w:id="505"/>
      <w:r>
        <w:rPr>
          <w:vertAlign w:val="superscript"/>
          <w:rtl/>
        </w:rPr>
        <w:fldChar w:fldCharType="begin" w:dirty="true"/>
      </w:r>
      <w:r>
        <w:rPr>
          <w:vertAlign w:val="superscript"/>
          <w:rtl/>
        </w:rPr>
        <w:instrText xml:space="preserve"> REF b1_note93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 או שמא יש לו דרך טובה יותר? הוא ודאי הצטיין בלימודיו, ושקד על לימוד התורה בהתמדה כזו, שנראה היה כחטא לנתקו ממנו</w:t>
      </w:r>
      <w:bookmarkStart w:id="506" w:name="b1_ref94"/>
      <w:bookmarkEnd w:id="506"/>
      <w:r>
        <w:rPr>
          <w:vertAlign w:val="superscript"/>
          <w:rtl/>
        </w:rPr>
        <w:fldChar w:fldCharType="begin" w:dirty="true"/>
      </w:r>
      <w:r>
        <w:rPr>
          <w:vertAlign w:val="superscript"/>
          <w:rtl/>
        </w:rPr>
        <w:instrText xml:space="preserve"> REF b1_note94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אם ימשיך בלימוד התורה, אפשר שיגדל ויהיה לתלמיד חכם מפורסם, ואחר כך יישא אישה ממשפחה עשירה שתכניס אותו לעסקים.</w:t>
      </w:r>
    </w:p>
    <w:bookmarkStart w:id="507" w:name="b1_note93"/>
    <w:p w14:paraId="3A47933D" w14:textId="77777777" w:rsidR="00AB3647" w:rsidRDefault="00000000" w:rsidP="007923E9">
      <w:pPr>
        <w:spacing w:before="120" w:after="100" w:line="276" w:lineRule="auto"/>
        <w:jc w:val="both"/>
      </w:pPr>
      <w:r>
        <w:fldChar w:fldCharType="begin" w:dirty="true"/>
      </w:r>
      <w:r>
        <w:instrText>HYPERLINK \l "b1_ref93"</w:instrText>
      </w:r>
      <w:r>
        <w:fldChar w:fldCharType="separate"/>
      </w:r>
      <w:r>
        <w:rPr>
          <w:b/>
          <w:bCs/>
          <w:rtl/>
        </w:rPr>
        <w:t>93</w:t>
      </w:r>
      <w:r>
        <w:rPr>
          <w:b/>
          <w:bCs/>
        </w:rPr>
        <w:fldChar w:fldCharType="end"/>
      </w:r>
      <w:bookmarkEnd w:id="507"/>
      <w:r>
        <w:rPr>
          <w:rtl/>
        </w:rPr>
        <w:t xml:space="preserve"> מלבד אבי ולאה, הצעירה, יצאו כל האחים והאחיות לעבוד בגיל </w:t>
      </w:r>
      <w:proofErr w:type="spellStart"/>
      <w:r>
        <w:rPr>
          <w:rtl/>
        </w:rPr>
        <w:t>שתים־עשרה</w:t>
      </w:r>
      <w:proofErr w:type="spellEnd"/>
      <w:r>
        <w:rPr>
          <w:rtl/>
        </w:rPr>
        <w:t>. לאה הייתה תמיד ילדה חלשה – היא נשארה חשוכת ילדים עד פטירתה בשנת תשל״א – ולכן נשלחה במקום זאת לבית הספר (!), וסיימה תיכון ואוניברסיטה</w:t>
      </w:r>
      <w:bookmarkStart w:id="508" w:name="_fnr284"/>
      <w:r>
        <w:rPr>
          <w:rStyle w:val="a5"/>
        </w:rPr>
        <w:footnoteReference w:id="284" w:customMarkFollows="0"/>
      </w:r>
      <w:bookmarkEnd w:id="508"/>
      <w:r>
        <w:rPr>
          <w:rtl/>
        </w:rPr>
        <w:t>.</w:t>
      </w:r>
    </w:p>
    <w:bookmarkStart w:id="509" w:name="b1_note94"/>
    <w:p w14:paraId="66E84C0C" w14:textId="77777777" w:rsidR="00AB3647" w:rsidRDefault="00000000" w:rsidP="007923E9">
      <w:pPr>
        <w:spacing w:before="120" w:after="100" w:line="276" w:lineRule="auto"/>
        <w:jc w:val="both"/>
      </w:pPr>
      <w:r>
        <w:fldChar w:fldCharType="begin" w:dirty="true"/>
      </w:r>
      <w:r>
        <w:instrText>HYPERLINK \l "b1_ref94"</w:instrText>
      </w:r>
      <w:r>
        <w:fldChar w:fldCharType="separate"/>
      </w:r>
      <w:r>
        <w:rPr>
          <w:b/>
          <w:bCs/>
          <w:rtl/>
        </w:rPr>
        <w:t>94</w:t>
      </w:r>
      <w:r>
        <w:rPr>
          <w:b/>
          <w:bCs/>
        </w:rPr>
        <w:fldChar w:fldCharType="end"/>
      </w:r>
      <w:bookmarkEnd w:id="509"/>
      <w:r>
        <w:rPr>
          <w:rtl/>
        </w:rPr>
        <w:t xml:space="preserve"> ר׳ </w:t>
      </w:r>
      <w:proofErr w:type="spellStart"/>
      <w:r>
        <w:rPr>
          <w:rtl/>
        </w:rPr>
        <w:t>יהודה־לייב</w:t>
      </w:r>
      <w:proofErr w:type="spellEnd"/>
      <w:r>
        <w:rPr>
          <w:rtl/>
        </w:rPr>
        <w:t xml:space="preserve"> </w:t>
      </w:r>
      <w:proofErr w:type="spellStart"/>
      <w:r>
        <w:rPr>
          <w:rtl/>
        </w:rPr>
        <w:t>רודרמן</w:t>
      </w:r>
      <w:bookmarkStart w:id="510" w:name="_fnr285"/>
      <w:proofErr w:type="spellEnd"/>
      <w:r>
        <w:rPr>
          <w:rStyle w:val="a5"/>
        </w:rPr>
        <w:footnoteReference w:id="285" w:customMarkFollows="0"/>
      </w:r>
      <w:bookmarkEnd w:id="510"/>
      <w:r>
        <w:rPr>
          <w:rtl/>
        </w:rPr>
        <w:t xml:space="preserve"> העמיד את שקידתו של אבי למופת לפני בנו. פעם בט״ו בשבט תפס את בנו בן השבע אוסף גלעיני </w:t>
      </w:r>
      <w:proofErr w:type="spellStart"/>
      <w:r>
        <w:rPr>
          <w:rtl/>
        </w:rPr>
        <w:t>בוקסער</w:t>
      </w:r>
      <w:proofErr w:type="spellEnd"/>
      <w:r>
        <w:rPr>
          <w:rtl/>
        </w:rPr>
        <w:t xml:space="preserve">. הילד הסביר שהציעו לו </w:t>
      </w:r>
      <w:proofErr w:type="spellStart"/>
      <w:r>
        <w:rPr>
          <w:rtl/>
        </w:rPr>
        <w:t>קופיקה</w:t>
      </w:r>
      <w:proofErr w:type="spellEnd"/>
      <w:r>
        <w:rPr>
          <w:rtl/>
        </w:rPr>
        <w:t xml:space="preserve"> אם יאסוף אלף גלעינים. אמר ר׳ </w:t>
      </w:r>
      <w:proofErr w:type="spellStart"/>
      <w:r>
        <w:rPr>
          <w:rtl/>
        </w:rPr>
        <w:t>יהודה־לייב</w:t>
      </w:r>
      <w:proofErr w:type="spellEnd"/>
      <w:r>
        <w:rPr>
          <w:rtl/>
        </w:rPr>
        <w:t xml:space="preserve">: “אתן לך </w:t>
      </w:r>
      <w:r>
        <w:rPr>
          <w:b/>
          <w:bCs/>
          <w:rtl/>
        </w:rPr>
        <w:t>שתי</w:t>
      </w:r>
      <w:r>
        <w:rPr>
          <w:rtl/>
        </w:rPr>
        <w:t xml:space="preserve"> </w:t>
      </w:r>
      <w:proofErr w:type="spellStart"/>
      <w:r>
        <w:rPr>
          <w:rtl/>
        </w:rPr>
        <w:t>קופיקות</w:t>
      </w:r>
      <w:proofErr w:type="spellEnd"/>
      <w:r>
        <w:rPr>
          <w:rtl/>
        </w:rPr>
        <w:t xml:space="preserve"> אם תלך ללמוד בבית המדרש, כמו שעשה בן דודך כשהיה </w:t>
      </w:r>
      <w:proofErr w:type="spellStart"/>
      <w:r>
        <w:rPr>
          <w:rtl/>
        </w:rPr>
        <w:t>בדולהינוב</w:t>
      </w:r>
      <w:proofErr w:type="spellEnd"/>
      <w:r>
        <w:rPr>
          <w:rtl/>
        </w:rPr>
        <w:t>”</w:t>
      </w:r>
      <w:bookmarkStart w:id="511" w:name="_fnr286"/>
      <w:r>
        <w:rPr>
          <w:rStyle w:val="a5"/>
        </w:rPr>
        <w:footnoteReference w:id="286" w:customMarkFollows="0"/>
      </w:r>
      <w:bookmarkEnd w:id="511"/>
      <w:r>
        <w:rPr>
          <w:rtl/>
        </w:rPr>
        <w:t>.</w:t>
      </w:r>
    </w:p>
    <w:p w14:paraId="78BA4DBC" w14:textId="77777777" w:rsidR="00AB3647" w:rsidRDefault="00000000" w:rsidP="007923E9">
      <w:pPr>
        <w:spacing w:before="120" w:after="100" w:line="276" w:lineRule="auto"/>
        <w:jc w:val="both"/>
      </w:pPr>
      <w:r>
        <w:rPr>
          <w:rtl/>
        </w:rPr>
        <w:t xml:space="preserve">בשנת תשי״ג שקל ר׳ אהרן קוטלר לפרסם גינוי של ישיבת נר ישראל על שהתירה לתלמידיה תוכנית הקשורה לאוניברסיטת </w:t>
      </w:r>
      <w:proofErr w:type="spellStart"/>
      <w:r>
        <w:rPr>
          <w:rtl/>
        </w:rPr>
        <w:t>לויולה</w:t>
      </w:r>
      <w:proofErr w:type="spellEnd"/>
      <w:r>
        <w:rPr>
          <w:rtl/>
        </w:rPr>
        <w:t xml:space="preserve">. ראש הישיבה, ר׳ </w:t>
      </w:r>
      <w:proofErr w:type="spellStart"/>
      <w:r>
        <w:rPr>
          <w:rtl/>
        </w:rPr>
        <w:t>יעקב־יצחק</w:t>
      </w:r>
      <w:proofErr w:type="spellEnd"/>
      <w:r>
        <w:rPr>
          <w:rtl/>
        </w:rPr>
        <w:t xml:space="preserve"> </w:t>
      </w:r>
      <w:proofErr w:type="spellStart"/>
      <w:r>
        <w:rPr>
          <w:rtl/>
        </w:rPr>
        <w:t>רודרמן</w:t>
      </w:r>
      <w:bookmarkStart w:id="512" w:name="_fnr287"/>
      <w:proofErr w:type="spellEnd"/>
      <w:r>
        <w:rPr>
          <w:rStyle w:val="a5"/>
        </w:rPr>
        <w:footnoteReference w:id="287" w:customMarkFollows="0"/>
      </w:r>
      <w:bookmarkEnd w:id="512"/>
      <w:r>
        <w:rPr>
          <w:rtl/>
        </w:rPr>
        <w:t xml:space="preserve">, הניח בטעות שאבי עומד מאחורי הרב קוטלר בעניין זה. הוא אמר לגיסי ר׳ ישראל </w:t>
      </w:r>
      <w:proofErr w:type="spellStart"/>
      <w:r>
        <w:rPr>
          <w:rtl/>
        </w:rPr>
        <w:t>שורין</w:t>
      </w:r>
      <w:proofErr w:type="spellEnd"/>
      <w:r>
        <w:rPr>
          <w:rtl/>
        </w:rPr>
        <w:t xml:space="preserve"> שבעיותיו עם אבי ראשיתן בילדותו המוקדמת, כשאביו היה מטיח בו: “מדוע אינך שקדן ומנומס כמו בן דודך?”</w:t>
      </w:r>
      <w:bookmarkStart w:id="513" w:name="_fnr288"/>
      <w:bookmarkStart w:id="514" w:name="pr_f_221"/>
      <w:r>
        <w:rPr>
          <w:rStyle w:val="a5"/>
        </w:rPr>
        <w:footnoteReference w:id="288" w:customMarkFollows="0"/>
      </w:r>
      <w:bookmarkEnd w:id="513"/>
      <w:bookmarkEnd w:id="514"/>
    </w:p>
    <w:p w14:paraId="1E451C49" w14:textId="77777777" w:rsidR="00AB3647" w:rsidRDefault="00000000" w:rsidP="007923E9">
      <w:pPr>
        <w:spacing w:after="100" w:line="276" w:lineRule="auto"/>
        <w:ind w:firstLine="340"/>
        <w:jc w:val="both"/>
      </w:pPr>
      <w:r>
        <w:rPr>
          <w:rtl/>
        </w:rPr>
        <w:t xml:space="preserve">שקידתו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בנעוריו הייתה מופלגת. כשהיה בן </w:t>
      </w:r>
      <w:proofErr w:type="spellStart"/>
      <w:r>
        <w:rPr>
          <w:rtl/>
        </w:rPr>
        <w:t>ארבע־עשרה</w:t>
      </w:r>
      <w:proofErr w:type="spellEnd"/>
      <w:r>
        <w:rPr>
          <w:rtl/>
        </w:rPr>
        <w:t xml:space="preserve"> ולמד בישיבת </w:t>
      </w:r>
      <w:proofErr w:type="spellStart"/>
      <w:r>
        <w:rPr>
          <w:rtl/>
        </w:rPr>
        <w:t>סלבודקה</w:t>
      </w:r>
      <w:proofErr w:type="spellEnd"/>
      <w:r>
        <w:rPr>
          <w:rtl/>
        </w:rPr>
        <w:t>, שגלתה אז למינסק, הגיעה שקידתו לממדים יוצאי דופן. שבוע אחרי סוכות הגיעה לישיבה הידיעה שאביו של הבחור נפטר</w:t>
      </w:r>
      <w:bookmarkStart w:id="515" w:name="_fnr289"/>
      <w:r>
        <w:rPr>
          <w:rStyle w:val="a5"/>
        </w:rPr>
        <w:footnoteReference w:id="289" w:customMarkFollows="0"/>
      </w:r>
      <w:bookmarkEnd w:id="515"/>
      <w:r>
        <w:rPr>
          <w:rtl/>
        </w:rPr>
        <w:t xml:space="preserve">, ור׳ </w:t>
      </w:r>
      <w:proofErr w:type="spellStart"/>
      <w:r>
        <w:rPr>
          <w:rtl/>
        </w:rPr>
        <w:t>נתן־צבי</w:t>
      </w:r>
      <w:proofErr w:type="spellEnd"/>
      <w:r>
        <w:rPr>
          <w:rtl/>
        </w:rPr>
        <w:t xml:space="preserve"> </w:t>
      </w:r>
      <w:proofErr w:type="spellStart"/>
      <w:r>
        <w:rPr>
          <w:rtl/>
        </w:rPr>
        <w:t>פינקל</w:t>
      </w:r>
      <w:proofErr w:type="spellEnd"/>
      <w:r>
        <w:rPr>
          <w:rtl/>
        </w:rPr>
        <w:t xml:space="preserve">, “הסבא </w:t>
      </w:r>
      <w:proofErr w:type="spellStart"/>
      <w:r>
        <w:rPr>
          <w:rtl/>
        </w:rPr>
        <w:t>מסלבודקה</w:t>
      </w:r>
      <w:proofErr w:type="spellEnd"/>
      <w:r>
        <w:rPr>
          <w:rtl/>
        </w:rPr>
        <w:t xml:space="preserve">”, החליט להעלים ממנו את הידיעה עד פסח. הסבא חשש שמא תתרופף שקידתו של ר׳ </w:t>
      </w:r>
      <w:proofErr w:type="spellStart"/>
      <w:r>
        <w:rPr>
          <w:rtl/>
        </w:rPr>
        <w:t>יעקב־יצחק</w:t>
      </w:r>
      <w:proofErr w:type="spellEnd"/>
      <w:r>
        <w:rPr>
          <w:rtl/>
        </w:rPr>
        <w:t>, ולא יקיים את החלטתו מראש השנה לסיים את הש״ס באותו חורף. הוא פסק שלימוד התורה של היתום הוא קידוש ה׳ גדול יותר מאמירת הקדיש שהוא מפסיד</w:t>
      </w:r>
      <w:bookmarkStart w:id="516" w:name="_fnr290"/>
      <w:r>
        <w:rPr>
          <w:rStyle w:val="a5"/>
        </w:rPr>
        <w:footnoteReference w:id="290" w:customMarkFollows="0"/>
      </w:r>
      <w:bookmarkEnd w:id="516"/>
      <w:r>
        <w:rPr>
          <w:rtl/>
        </w:rPr>
        <w:t>.</w:t>
      </w:r>
    </w:p>
    <w:p w14:paraId="5C5AE114" w14:textId="77777777" w:rsidR="00AB3647" w:rsidRDefault="00000000" w:rsidP="007923E9">
      <w:pPr>
        <w:spacing w:after="100" w:line="276" w:lineRule="auto"/>
        <w:ind w:firstLine="340"/>
        <w:jc w:val="both"/>
      </w:pPr>
      <w:r>
        <w:rPr>
          <w:rtl/>
        </w:rPr>
        <w:lastRenderedPageBreak/>
        <w:t>גם ר׳ זבולון גרז סיפר מעשה זה</w:t>
      </w:r>
      <w:bookmarkStart w:id="517" w:name="_fnr291"/>
      <w:r>
        <w:rPr>
          <w:rStyle w:val="a5"/>
        </w:rPr>
        <w:footnoteReference w:id="291" w:customMarkFollows="0"/>
      </w:r>
      <w:bookmarkEnd w:id="517"/>
      <w:r>
        <w:rPr>
          <w:rtl/>
        </w:rPr>
        <w:t xml:space="preserve">, אלא שלדבריו סדר נזיקין הוא שסיים ר׳ </w:t>
      </w:r>
      <w:proofErr w:type="spellStart"/>
      <w:r>
        <w:rPr>
          <w:rtl/>
        </w:rPr>
        <w:t>יעקב־יצחק</w:t>
      </w:r>
      <w:proofErr w:type="spellEnd"/>
      <w:r>
        <w:rPr>
          <w:rtl/>
        </w:rPr>
        <w:t xml:space="preserve"> באותו חורף. המעשה מסופר גם במאמר הספד </w:t>
      </w:r>
      <w:proofErr w:type="spellStart"/>
      <w:r>
        <w:rPr>
          <w:rtl/>
        </w:rPr>
        <w:t>ב“בשתי</w:t>
      </w:r>
      <w:proofErr w:type="spellEnd"/>
      <w:r>
        <w:rPr>
          <w:rtl/>
        </w:rPr>
        <w:t xml:space="preserve"> עיניים” מאת הרב משה שרר</w:t>
      </w:r>
      <w:bookmarkStart w:id="518" w:name="_fnr292"/>
      <w:r>
        <w:rPr>
          <w:rStyle w:val="a5"/>
        </w:rPr>
        <w:footnoteReference w:id="292" w:customMarkFollows="0"/>
      </w:r>
      <w:bookmarkEnd w:id="518"/>
      <w:r>
        <w:rPr>
          <w:rtl/>
        </w:rPr>
        <w:t>, ולפי נוסח זה היה זה סדר קדשים שהיה עסוק בהשלמתו, ובשמחת תורה קיבל על עצמו את המשימה.</w:t>
      </w:r>
    </w:p>
    <w:p w14:paraId="25799DD3" w14:textId="77777777" w:rsidR="00AB3647" w:rsidRDefault="00000000" w:rsidP="007923E9">
      <w:pPr>
        <w:spacing w:after="100" w:line="276" w:lineRule="auto"/>
        <w:ind w:firstLine="340"/>
        <w:jc w:val="both"/>
      </w:pPr>
      <w:r>
        <w:rPr>
          <w:rtl/>
        </w:rPr>
        <w:t xml:space="preserve">ר׳ יצחק </w:t>
      </w:r>
      <w:proofErr w:type="spellStart"/>
      <w:r>
        <w:rPr>
          <w:rtl/>
        </w:rPr>
        <w:t>שורין</w:t>
      </w:r>
      <w:proofErr w:type="spellEnd"/>
      <w:r>
        <w:rPr>
          <w:rtl/>
        </w:rPr>
        <w:t xml:space="preserve"> סיפר</w:t>
      </w:r>
      <w:bookmarkStart w:id="519" w:name="_fnr293"/>
      <w:r>
        <w:rPr>
          <w:rStyle w:val="a5"/>
        </w:rPr>
        <w:footnoteReference w:id="293" w:customMarkFollows="0"/>
      </w:r>
      <w:bookmarkEnd w:id="519"/>
      <w:r>
        <w:rPr>
          <w:rtl/>
        </w:rPr>
        <w:t xml:space="preserve"> שבהספד על ר׳ מנדל זקס סיפר רבנו מעשה דומה על ר׳ ראובן </w:t>
      </w:r>
      <w:proofErr w:type="spellStart"/>
      <w:r>
        <w:rPr>
          <w:rtl/>
        </w:rPr>
        <w:t>גרוזובסקי</w:t>
      </w:r>
      <w:proofErr w:type="spellEnd"/>
      <w:r>
        <w:rPr>
          <w:rtl/>
        </w:rPr>
        <w:t xml:space="preserve">, והדגיש את חשיבותו כשהוסיף: “אני רוצה שהמעשה הזה יישאר לדורות”. במכתב בלי תאריך שנשלח לי בחורף תשנ״ד סיפר ר׳ חיים </w:t>
      </w:r>
      <w:proofErr w:type="spellStart"/>
      <w:r>
        <w:rPr>
          <w:rtl/>
        </w:rPr>
        <w:t>גרוזובסקי</w:t>
      </w:r>
      <w:proofErr w:type="spellEnd"/>
      <w:r>
        <w:rPr>
          <w:rtl/>
        </w:rPr>
        <w:t>, בנו הצעיר של ר׳ ראובן, בנפרד, שרבנו סיפר לו מעשה זה על אביו. לדבריו אמר הסבא: “למה נודיע [</w:t>
      </w:r>
      <w:proofErr w:type="spellStart"/>
      <w:r>
        <w:rPr>
          <w:rtl/>
        </w:rPr>
        <w:t>לר</w:t>
      </w:r>
      <w:proofErr w:type="spellEnd"/>
      <w:r>
        <w:rPr>
          <w:rtl/>
        </w:rPr>
        <w:t>׳ ראובן שאביו נפטר]? כדי שיאמר קדיש? הרי הוא אומר ‘יתגדל ויתקדש שמה רבא’</w:t>
      </w:r>
      <w:bookmarkStart w:id="520" w:name="_fnr294"/>
      <w:r>
        <w:rPr>
          <w:rStyle w:val="a5"/>
        </w:rPr>
        <w:footnoteReference w:id="294" w:customMarkFollows="0"/>
      </w:r>
      <w:bookmarkEnd w:id="520"/>
      <w:r>
        <w:rPr>
          <w:rtl/>
        </w:rPr>
        <w:t xml:space="preserve"> עשרים וארבע שעות ביממה!” מעשה זה על ר׳ ראובן מובא גם </w:t>
      </w:r>
      <w:proofErr w:type="spellStart"/>
      <w:r>
        <w:rPr>
          <w:rtl/>
        </w:rPr>
        <w:t>ב“סיפורו</w:t>
      </w:r>
      <w:proofErr w:type="spellEnd"/>
      <w:r>
        <w:rPr>
          <w:rtl/>
        </w:rPr>
        <w:t xml:space="preserve"> של ר׳ </w:t>
      </w:r>
      <w:proofErr w:type="spellStart"/>
      <w:r>
        <w:rPr>
          <w:rtl/>
        </w:rPr>
        <w:t>ברוך־בער</w:t>
      </w:r>
      <w:proofErr w:type="spellEnd"/>
      <w:r>
        <w:rPr>
          <w:rtl/>
        </w:rPr>
        <w:t>”</w:t>
      </w:r>
      <w:bookmarkStart w:id="521" w:name="_fnr295"/>
      <w:r>
        <w:rPr>
          <w:rStyle w:val="a5"/>
        </w:rPr>
        <w:footnoteReference w:id="295" w:customMarkFollows="0"/>
      </w:r>
      <w:bookmarkEnd w:id="521"/>
      <w:r>
        <w:rPr>
          <w:rtl/>
        </w:rPr>
        <w:t xml:space="preserve">, בתוספת שהדבר אירע </w:t>
      </w:r>
      <w:proofErr w:type="spellStart"/>
      <w:r>
        <w:rPr>
          <w:rtl/>
        </w:rPr>
        <w:t>בקרמנצ׳וג</w:t>
      </w:r>
      <w:proofErr w:type="spellEnd"/>
      <w:r>
        <w:rPr>
          <w:rtl/>
        </w:rPr>
        <w:t xml:space="preserve"> כמה ימים לפני חתונתו של ר׳ ראובן. עוד נאמר שם שתחליף הקדיש שאליו התכוון הסבא היה שקיעתו בלימוד התורה.</w:t>
      </w:r>
    </w:p>
    <w:p w14:paraId="45A86E29" w14:textId="77777777" w:rsidR="00AB3647" w:rsidRDefault="00000000" w:rsidP="007923E9">
      <w:pPr>
        <w:spacing w:after="100" w:line="276" w:lineRule="auto"/>
        <w:ind w:firstLine="340"/>
        <w:jc w:val="both"/>
      </w:pPr>
      <w:r>
        <w:rPr>
          <w:rtl/>
        </w:rPr>
        <w:t xml:space="preserve">ר׳ בצלאל </w:t>
      </w:r>
      <w:proofErr w:type="spellStart"/>
      <w:r>
        <w:rPr>
          <w:rtl/>
        </w:rPr>
        <w:t>אלפר</w:t>
      </w:r>
      <w:proofErr w:type="spellEnd"/>
      <w:r>
        <w:rPr>
          <w:rtl/>
        </w:rPr>
        <w:t xml:space="preserve"> סיפר</w:t>
      </w:r>
      <w:bookmarkStart w:id="522" w:name="_fnr296"/>
      <w:r>
        <w:rPr>
          <w:rStyle w:val="a5"/>
        </w:rPr>
        <w:footnoteReference w:id="296" w:customMarkFollows="0"/>
      </w:r>
      <w:bookmarkEnd w:id="522"/>
      <w:r>
        <w:rPr>
          <w:rtl/>
        </w:rPr>
        <w:t xml:space="preserve"> שאביו, ר׳ ישראל, היה תושב </w:t>
      </w:r>
      <w:proofErr w:type="spellStart"/>
      <w:r>
        <w:rPr>
          <w:rtl/>
        </w:rPr>
        <w:t>דוקשיץ</w:t>
      </w:r>
      <w:proofErr w:type="spellEnd"/>
      <w:r>
        <w:rPr>
          <w:rtl/>
        </w:rPr>
        <w:t xml:space="preserve">, עיירה סמוכה </w:t>
      </w:r>
      <w:proofErr w:type="spellStart"/>
      <w:r>
        <w:rPr>
          <w:rtl/>
        </w:rPr>
        <w:t>לדולהינוב</w:t>
      </w:r>
      <w:proofErr w:type="spellEnd"/>
      <w:r>
        <w:rPr>
          <w:rtl/>
        </w:rPr>
        <w:t xml:space="preserve">, והכיר היטב את משפחת </w:t>
      </w:r>
      <w:proofErr w:type="spellStart"/>
      <w:r>
        <w:rPr>
          <w:rtl/>
        </w:rPr>
        <w:t>רודרמן</w:t>
      </w:r>
      <w:proofErr w:type="spellEnd"/>
      <w:r>
        <w:rPr>
          <w:rtl/>
        </w:rPr>
        <w:t xml:space="preserve">. הוא זכר שמיד אחרי בר המצווה של ר׳ </w:t>
      </w:r>
      <w:proofErr w:type="spellStart"/>
      <w:r>
        <w:rPr>
          <w:rtl/>
        </w:rPr>
        <w:t>יעקב־יצחק</w:t>
      </w:r>
      <w:proofErr w:type="spellEnd"/>
      <w:r>
        <w:rPr>
          <w:rtl/>
        </w:rPr>
        <w:t xml:space="preserve"> </w:t>
      </w:r>
      <w:proofErr w:type="spellStart"/>
      <w:r>
        <w:rPr>
          <w:rtl/>
        </w:rPr>
        <w:t>רודרמן</w:t>
      </w:r>
      <w:proofErr w:type="spellEnd"/>
      <w:r>
        <w:rPr>
          <w:rtl/>
        </w:rPr>
        <w:t xml:space="preserve"> נעשה הנער לפתע שקדן מופלג, עד שהיה לפלא בכל הסביבה. מכאן שרק בשנים שלפני בר המצווה שלו הוצרך אביו להעמיד לפניו את התנהגותו של רבנו למופת.</w:t>
      </w:r>
    </w:p>
    <w:p w14:paraId="6996F1CF" w14:textId="0517ED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“בנות עשירים המעוניינות להינשא לתלמידי חכמים מועטות כיום משהיו לפני עשרים שנה, אבל עדיין מרובות הן, ברוך השם”, שקלו ביניהם. “בננו יכול לצאת כמו בעלה של דבורה, ר׳ גרשון </w:t>
      </w:r>
      <w:proofErr w:type="spellStart"/>
      <w:r>
        <w:rPr>
          <w:rtl/>
        </w:rPr>
        <w:t>במדס</w:t>
      </w:r>
      <w:proofErr w:type="spellEnd"/>
      <w:r>
        <w:rPr>
          <w:rtl/>
        </w:rPr>
        <w:t>”, נימקו, “שהוא בקי כל כך בתורה</w:t>
      </w:r>
      <w:bookmarkStart w:id="523" w:name="b1_ref95"/>
      <w:bookmarkEnd w:id="523"/>
      <w:r>
        <w:rPr>
          <w:vertAlign w:val="superscript"/>
          <w:rtl/>
        </w:rPr>
        <w:fldChar w:fldCharType="begin" w:dirty="true"/>
      </w:r>
      <w:r>
        <w:rPr>
          <w:vertAlign w:val="superscript"/>
          <w:rtl/>
        </w:rPr>
        <w:instrText xml:space="preserve"> REF b1_note95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עד שרבה של מינסק</w:t>
      </w:r>
      <w:bookmarkStart w:id="524" w:name="b1_ref96"/>
      <w:bookmarkEnd w:id="524"/>
      <w:r>
        <w:rPr>
          <w:vertAlign w:val="superscript"/>
          <w:rtl/>
        </w:rPr>
        <w:fldChar w:fldCharType="begin" w:dirty="true"/>
      </w:r>
      <w:r>
        <w:rPr>
          <w:vertAlign w:val="superscript"/>
          <w:rtl/>
        </w:rPr>
        <w:instrText xml:space="preserve"> REF b1_note96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מזמין אותו לפעמים לשבת כדיין בדיני תורה קשים, והוא גם איש עסקים עשיר. להשאיר את בננו בישיבה שלנו כאן </w:t>
      </w:r>
      <w:proofErr w:type="spellStart"/>
      <w:r>
        <w:rPr>
          <w:rtl/>
        </w:rPr>
        <w:t>בדולהינוב</w:t>
      </w:r>
      <w:proofErr w:type="spellEnd"/>
      <w:r>
        <w:rPr>
          <w:rtl/>
        </w:rPr>
        <w:t xml:space="preserve"> יהיה מעשה שאינו נבון, משתי סיבות ברורות. ראשית, תלמידים רבים כל כך עוזבים לישיבות אחרות, עד שהישיבה המקומית תיסגר ככל הנראה בעתיד הלא רחוק</w:t>
      </w:r>
      <w:bookmarkStart w:id="525" w:name="b1_ref97"/>
      <w:bookmarkEnd w:id="525"/>
      <w:r>
        <w:rPr>
          <w:vertAlign w:val="superscript"/>
          <w:rtl/>
        </w:rPr>
        <w:fldChar w:fldCharType="begin" w:dirty="true"/>
      </w:r>
      <w:r>
        <w:rPr>
          <w:vertAlign w:val="superscript"/>
          <w:rtl/>
        </w:rPr>
        <w:instrText xml:space="preserve"> REF b1_note97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ועוד, בעיר גדולה רבים יותר הסיכויים שתקוותינו לעתידו של בננו יתגשמו”.</w:t>
      </w:r>
    </w:p>
    <w:bookmarkStart w:id="526" w:name="b1_note95"/>
    <w:p w14:paraId="5EC78703" w14:textId="77777777" w:rsidR="00AB3647" w:rsidRDefault="00000000" w:rsidP="007923E9">
      <w:pPr>
        <w:spacing w:before="120" w:after="100" w:line="276" w:lineRule="auto"/>
        <w:jc w:val="both"/>
      </w:pPr>
      <w:r>
        <w:fldChar w:fldCharType="begin" w:dirty="true"/>
      </w:r>
      <w:r>
        <w:instrText>HYPERLINK \l "b1_ref95"</w:instrText>
      </w:r>
      <w:r>
        <w:fldChar w:fldCharType="separate"/>
      </w:r>
      <w:r>
        <w:rPr>
          <w:b/>
          <w:bCs/>
          <w:rtl/>
        </w:rPr>
        <w:t>95</w:t>
      </w:r>
      <w:r>
        <w:rPr>
          <w:b/>
          <w:bCs/>
        </w:rPr>
        <w:fldChar w:fldCharType="end"/>
      </w:r>
      <w:bookmarkEnd w:id="526"/>
      <w:r>
        <w:rPr>
          <w:rtl/>
        </w:rPr>
        <w:t xml:space="preserve"> פירושו לפסוק במקרא רשום בכתבי היד של אבי</w:t>
      </w:r>
      <w:bookmarkStart w:id="527" w:name="_fnr297"/>
      <w:r>
        <w:rPr>
          <w:rStyle w:val="a5"/>
        </w:rPr>
        <w:footnoteReference w:id="297" w:customMarkFollows="0"/>
      </w:r>
      <w:bookmarkEnd w:id="527"/>
      <w:r>
        <w:rPr>
          <w:rtl/>
        </w:rPr>
        <w:t xml:space="preserve">, ואבי מוסיף אחריו את המחמאה </w:t>
      </w:r>
      <w:proofErr w:type="spellStart"/>
      <w:r>
        <w:rPr>
          <w:rtl/>
        </w:rPr>
        <w:t>דפח״ח</w:t>
      </w:r>
      <w:bookmarkStart w:id="528" w:name="_fnr298"/>
      <w:proofErr w:type="spellEnd"/>
      <w:r>
        <w:rPr>
          <w:rStyle w:val="a5"/>
        </w:rPr>
        <w:footnoteReference w:id="298" w:customMarkFollows="0"/>
      </w:r>
      <w:bookmarkEnd w:id="528"/>
      <w:r>
        <w:rPr>
          <w:rtl/>
        </w:rPr>
        <w:t xml:space="preserve">. במשפחת </w:t>
      </w:r>
      <w:proofErr w:type="spellStart"/>
      <w:r>
        <w:rPr>
          <w:rtl/>
        </w:rPr>
        <w:t>קמינצקי</w:t>
      </w:r>
      <w:proofErr w:type="spellEnd"/>
      <w:r>
        <w:rPr>
          <w:rtl/>
        </w:rPr>
        <w:t xml:space="preserve"> היה פתגם על המנהג הרווח להביא מתנת כסף לרב הקהילה בחול המועד: מוטב </w:t>
      </w:r>
      <w:r>
        <w:rPr>
          <w:b/>
          <w:bCs/>
          <w:rtl/>
        </w:rPr>
        <w:t>לתת</w:t>
      </w:r>
      <w:r>
        <w:rPr>
          <w:rtl/>
        </w:rPr>
        <w:t xml:space="preserve"> דמי חג מאשר </w:t>
      </w:r>
      <w:r>
        <w:rPr>
          <w:b/>
          <w:bCs/>
          <w:rtl/>
        </w:rPr>
        <w:t>לקבל</w:t>
      </w:r>
      <w:r>
        <w:rPr>
          <w:rtl/>
        </w:rPr>
        <w:t xml:space="preserve"> אותם. אפילו </w:t>
      </w:r>
      <w:proofErr w:type="spellStart"/>
      <w:r>
        <w:rPr>
          <w:rtl/>
        </w:rPr>
        <w:t>עטיל</w:t>
      </w:r>
      <w:proofErr w:type="spellEnd"/>
      <w:r>
        <w:rPr>
          <w:rtl/>
        </w:rPr>
        <w:t xml:space="preserve"> </w:t>
      </w:r>
      <w:proofErr w:type="spellStart"/>
      <w:r>
        <w:rPr>
          <w:rtl/>
        </w:rPr>
        <w:t>דנציג־קמינצקי</w:t>
      </w:r>
      <w:proofErr w:type="spellEnd"/>
      <w:r>
        <w:rPr>
          <w:rtl/>
        </w:rPr>
        <w:t xml:space="preserve">, </w:t>
      </w:r>
      <w:proofErr w:type="spellStart"/>
      <w:r>
        <w:rPr>
          <w:rtl/>
        </w:rPr>
        <w:lastRenderedPageBreak/>
        <w:t>שב“משפחתה</w:t>
      </w:r>
      <w:proofErr w:type="spellEnd"/>
      <w:r>
        <w:rPr>
          <w:rtl/>
        </w:rPr>
        <w:t xml:space="preserve"> (היו) יותר רבנים”</w:t>
      </w:r>
      <w:bookmarkStart w:id="529" w:name="_fnr299"/>
      <w:r>
        <w:rPr>
          <w:rStyle w:val="a5"/>
        </w:rPr>
        <w:footnoteReference w:id="299" w:customMarkFollows="0"/>
      </w:r>
      <w:bookmarkEnd w:id="529"/>
      <w:r>
        <w:rPr>
          <w:rtl/>
        </w:rPr>
        <w:t xml:space="preserve">, ראתה בעיני רוחה את בנה המחונן הולך בעקבות קרובה המפורסם, בעל </w:t>
      </w:r>
      <w:proofErr w:type="spellStart"/>
      <w:r>
        <w:rPr>
          <w:rtl/>
        </w:rPr>
        <w:t>ה“חיי</w:t>
      </w:r>
      <w:proofErr w:type="spellEnd"/>
      <w:r>
        <w:rPr>
          <w:rtl/>
        </w:rPr>
        <w:t xml:space="preserve"> אדם”, שהיה גם הוא סוחר ותלמיד חכם</w:t>
      </w:r>
      <w:bookmarkStart w:id="530" w:name="_fnr300"/>
      <w:r>
        <w:rPr>
          <w:rStyle w:val="a5"/>
        </w:rPr>
        <w:footnoteReference w:id="300" w:customMarkFollows="0"/>
      </w:r>
      <w:bookmarkEnd w:id="530"/>
      <w:r>
        <w:rPr>
          <w:rtl/>
        </w:rPr>
        <w:t xml:space="preserve">. מובן אם כן שדודו ר׳ גרשון </w:t>
      </w:r>
      <w:proofErr w:type="spellStart"/>
      <w:r>
        <w:rPr>
          <w:rtl/>
        </w:rPr>
        <w:t>במדס</w:t>
      </w:r>
      <w:proofErr w:type="spellEnd"/>
      <w:r>
        <w:rPr>
          <w:rtl/>
        </w:rPr>
        <w:t xml:space="preserve"> היה מושא הערצתו של אבי, עד שהחליט לפנות לרבנות כמעט שני עשורים אחר כך</w:t>
      </w:r>
      <w:bookmarkStart w:id="531" w:name="_fnr301"/>
      <w:r>
        <w:rPr>
          <w:rStyle w:val="a5"/>
        </w:rPr>
        <w:footnoteReference w:id="301" w:customMarkFollows="0"/>
      </w:r>
      <w:bookmarkEnd w:id="531"/>
      <w:r>
        <w:rPr>
          <w:rtl/>
        </w:rPr>
        <w:t>.</w:t>
      </w:r>
    </w:p>
    <w:p w14:paraId="27935EC0" w14:textId="77777777" w:rsidR="00AB3647" w:rsidRDefault="00000000" w:rsidP="007923E9">
      <w:pPr>
        <w:spacing w:after="100" w:line="276" w:lineRule="auto"/>
        <w:ind w:firstLine="340"/>
        <w:jc w:val="both"/>
      </w:pPr>
      <w:r>
        <w:rPr>
          <w:rtl/>
        </w:rPr>
        <w:t xml:space="preserve">אבי העיר שאין לראשי תיבות תנועות משלהם, ולכן הם נהגים בתנועות פתח </w:t>
      </w:r>
      <w:proofErr w:type="spellStart"/>
      <w:r>
        <w:rPr>
          <w:rtl/>
        </w:rPr>
        <w:t>ושוא</w:t>
      </w:r>
      <w:proofErr w:type="spellEnd"/>
      <w:r>
        <w:rPr>
          <w:rtl/>
        </w:rPr>
        <w:t xml:space="preserve"> – כמו דצ״ך עד״ש באח״ב שבהגדה של פסח, ושמות הראשונים כגון רמב״ם </w:t>
      </w:r>
      <w:proofErr w:type="spellStart"/>
      <w:r>
        <w:rPr>
          <w:rtl/>
        </w:rPr>
        <w:t>ורשב״ם</w:t>
      </w:r>
      <w:proofErr w:type="spellEnd"/>
      <w:r>
        <w:rPr>
          <w:rtl/>
        </w:rPr>
        <w:t xml:space="preserve"> וכדומה – משום שאלו התנועות הנהגות בקיצור הרב ביותר. לפיכך כל שם משפחה שאין בו אלא פתחים, מסתבר שהוא ראשי תיבות. הוא פענח את שם המשפחה </w:t>
      </w:r>
      <w:proofErr w:type="spellStart"/>
      <w:r>
        <w:rPr>
          <w:rtl/>
        </w:rPr>
        <w:t>במדס</w:t>
      </w:r>
      <w:proofErr w:type="spellEnd"/>
      <w:r>
        <w:rPr>
          <w:rtl/>
        </w:rPr>
        <w:t xml:space="preserve"> כראשי תיבות של </w:t>
      </w:r>
      <w:r>
        <w:rPr>
          <w:b/>
          <w:bCs/>
          <w:rtl/>
        </w:rPr>
        <w:t>ב</w:t>
      </w:r>
      <w:r>
        <w:rPr>
          <w:rtl/>
        </w:rPr>
        <w:t xml:space="preserve">רבי </w:t>
      </w:r>
      <w:r>
        <w:rPr>
          <w:b/>
          <w:bCs/>
          <w:rtl/>
        </w:rPr>
        <w:t>מ</w:t>
      </w:r>
      <w:r>
        <w:rPr>
          <w:rtl/>
        </w:rPr>
        <w:t xml:space="preserve">שה </w:t>
      </w:r>
      <w:proofErr w:type="spellStart"/>
      <w:r>
        <w:rPr>
          <w:b/>
          <w:bCs/>
          <w:rtl/>
        </w:rPr>
        <w:t>ד</w:t>
      </w:r>
      <w:r>
        <w:rPr>
          <w:rtl/>
        </w:rPr>
        <w:t>יינא</w:t>
      </w:r>
      <w:proofErr w:type="spellEnd"/>
      <w:r>
        <w:rPr>
          <w:rtl/>
        </w:rPr>
        <w:t xml:space="preserve"> </w:t>
      </w:r>
      <w:r>
        <w:rPr>
          <w:b/>
          <w:bCs/>
          <w:rtl/>
        </w:rPr>
        <w:t>ס</w:t>
      </w:r>
      <w:r>
        <w:rPr>
          <w:rtl/>
        </w:rPr>
        <w:t>פרא.</w:t>
      </w:r>
    </w:p>
    <w:p w14:paraId="5BA6AB5D" w14:textId="77777777" w:rsidR="00AB3647" w:rsidRDefault="00000000" w:rsidP="007923E9">
      <w:pPr>
        <w:spacing w:after="100" w:line="276" w:lineRule="auto"/>
        <w:ind w:firstLine="340"/>
        <w:jc w:val="both"/>
      </w:pPr>
      <w:r>
        <w:rPr>
          <w:rtl/>
        </w:rPr>
        <w:t xml:space="preserve">אחד מבני משפחת </w:t>
      </w:r>
      <w:proofErr w:type="spellStart"/>
      <w:r>
        <w:rPr>
          <w:rtl/>
        </w:rPr>
        <w:t>במדס</w:t>
      </w:r>
      <w:proofErr w:type="spellEnd"/>
      <w:r>
        <w:rPr>
          <w:rtl/>
        </w:rPr>
        <w:t xml:space="preserve"> העשירה, תושב </w:t>
      </w:r>
      <w:proofErr w:type="spellStart"/>
      <w:r>
        <w:rPr>
          <w:rtl/>
        </w:rPr>
        <w:t>קרמנצ׳וג</w:t>
      </w:r>
      <w:proofErr w:type="spellEnd"/>
      <w:r>
        <w:rPr>
          <w:rtl/>
        </w:rPr>
        <w:t xml:space="preserve">, היה חותנו של ר׳ יעקב שפירא, בנו וממלא מקומו של ר׳ רפאל שפירא </w:t>
      </w:r>
      <w:proofErr w:type="spellStart"/>
      <w:r>
        <w:rPr>
          <w:rtl/>
        </w:rPr>
        <w:t>בוולוז׳ין</w:t>
      </w:r>
      <w:proofErr w:type="spellEnd"/>
      <w:r>
        <w:rPr>
          <w:rtl/>
        </w:rPr>
        <w:t>.</w:t>
      </w:r>
    </w:p>
    <w:bookmarkStart w:id="532" w:name="b1_note96"/>
    <w:p w14:paraId="2408F0CB" w14:textId="01ED850F" w:rsidR="00AB3647" w:rsidRDefault="00000000" w:rsidP="007923E9">
      <w:pPr>
        <w:spacing w:before="120" w:after="100" w:line="276" w:lineRule="auto"/>
        <w:jc w:val="both"/>
      </w:pPr>
      <w:r>
        <w:fldChar w:fldCharType="begin" w:dirty="true"/>
      </w:r>
      <w:r>
        <w:instrText>HYPERLINK \l "b1_ref96"</w:instrText>
      </w:r>
      <w:r>
        <w:fldChar w:fldCharType="separate"/>
      </w:r>
      <w:r>
        <w:rPr>
          <w:b/>
          <w:bCs/>
          <w:rtl/>
        </w:rPr>
        <w:t>96</w:t>
      </w:r>
      <w:r>
        <w:rPr>
          <w:b/>
          <w:bCs/>
        </w:rPr>
        <w:fldChar w:fldCharType="end"/>
      </w:r>
      <w:bookmarkEnd w:id="532"/>
      <w:r>
        <w:rPr>
          <w:rtl/>
        </w:rPr>
        <w:t xml:space="preserve"> ראה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060A65B4" w14:textId="77777777" w:rsidR="00AB3647" w:rsidRDefault="00AB3647" w:rsidP="007923E9">
      <w:pPr>
        <w:spacing w:line="276" w:lineRule="auto"/>
      </w:pPr>
    </w:p>
    <w:bookmarkStart w:id="533" w:name="b1_note97"/>
    <w:p w14:paraId="57EC6894" w14:textId="77777777" w:rsidR="00AB3647" w:rsidRDefault="00000000" w:rsidP="007923E9">
      <w:pPr>
        <w:spacing w:before="120" w:after="100" w:line="276" w:lineRule="auto"/>
        <w:jc w:val="both"/>
      </w:pPr>
      <w:r>
        <w:fldChar w:fldCharType="begin" w:dirty="true"/>
      </w:r>
      <w:r>
        <w:instrText>HYPERLINK \l "b1_ref97"</w:instrText>
      </w:r>
      <w:r>
        <w:fldChar w:fldCharType="separate"/>
      </w:r>
      <w:r>
        <w:rPr>
          <w:b/>
          <w:bCs/>
          <w:rtl/>
        </w:rPr>
        <w:t>97</w:t>
      </w:r>
      <w:r>
        <w:rPr>
          <w:b/>
          <w:bCs/>
        </w:rPr>
        <w:fldChar w:fldCharType="end"/>
      </w:r>
      <w:bookmarkEnd w:id="533"/>
      <w:r>
        <w:rPr>
          <w:rtl/>
        </w:rPr>
        <w:t xml:space="preserve"> היא נסגרה בערך בשנת תרס״ה</w:t>
      </w:r>
      <w:bookmarkStart w:id="534" w:name="_fnr302"/>
      <w:r>
        <w:rPr>
          <w:rStyle w:val="a5"/>
        </w:rPr>
        <w:footnoteReference w:id="302" w:customMarkFollows="0"/>
      </w:r>
      <w:bookmarkEnd w:id="534"/>
      <w:r>
        <w:rPr>
          <w:rtl/>
        </w:rPr>
        <w:t>.</w:t>
      </w:r>
    </w:p>
    <w:p w14:paraId="2374ECD4" w14:textId="18E7C9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נוסף על כך, מלמדי בנם רמזו להם שרמתו של הנער המחונן כבר עלתה על רמת לימוד התורה שעיירתם הקטנה יכולה להציע. “רק עיר גדולה יכולה לתת לבנכם את ההזדמנות לממש את מלוא כוחותיו”, אמרו. </w:t>
      </w:r>
      <w:proofErr w:type="spellStart"/>
      <w:r>
        <w:rPr>
          <w:rtl/>
        </w:rPr>
        <w:t>עטיל</w:t>
      </w:r>
      <w:proofErr w:type="spellEnd"/>
      <w:r>
        <w:rPr>
          <w:rtl/>
        </w:rPr>
        <w:t xml:space="preserve"> חזרה על הדימוי החביב עליה לבנה זה</w:t>
      </w:r>
      <w:bookmarkStart w:id="535" w:name="b1_ref98"/>
      <w:bookmarkEnd w:id="535"/>
      <w:r>
        <w:rPr>
          <w:vertAlign w:val="superscript"/>
          <w:rtl/>
        </w:rPr>
        <w:fldChar w:fldCharType="begin" w:dirty="true"/>
      </w:r>
      <w:r>
        <w:rPr>
          <w:vertAlign w:val="superscript"/>
          <w:rtl/>
        </w:rPr>
        <w:instrText xml:space="preserve"> REF b1_note98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ואמרה: “</w:t>
      </w:r>
      <w:proofErr w:type="spellStart"/>
      <w:r>
        <w:rPr>
          <w:rtl/>
        </w:rPr>
        <w:t>בדולהינוב</w:t>
      </w:r>
      <w:proofErr w:type="spellEnd"/>
      <w:r>
        <w:rPr>
          <w:rtl/>
        </w:rPr>
        <w:t xml:space="preserve"> לא יבהיק התכשיט שלי”, וההחלטה נפלה: הבן יישלח למינסק, לאחת מישיבותיה הרבות. אם לא יהיה לו נוח לגור אצל קרובי משפחה מבני דורם של הוריו, יאכל ימים</w:t>
      </w:r>
      <w:bookmarkStart w:id="536" w:name="b1_ref99"/>
      <w:bookmarkEnd w:id="536"/>
      <w:r>
        <w:rPr>
          <w:vertAlign w:val="superscript"/>
          <w:rtl/>
        </w:rPr>
        <w:fldChar w:fldCharType="begin" w:dirty="true"/>
      </w:r>
      <w:r>
        <w:rPr>
          <w:vertAlign w:val="superscript"/>
          <w:rtl/>
        </w:rPr>
        <w:instrText xml:space="preserve"> REF b1_note99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xml:space="preserve"> ויישן בבית מדרש, כשאר בחורי הישיבה. גם על אחיו הגדול, </w:t>
      </w:r>
      <w:proofErr w:type="spellStart"/>
      <w:r>
        <w:rPr>
          <w:rtl/>
        </w:rPr>
        <w:t>חיים־זרח</w:t>
      </w:r>
      <w:proofErr w:type="spellEnd"/>
      <w:r>
        <w:rPr>
          <w:rtl/>
        </w:rPr>
        <w:t xml:space="preserve"> – נשמה טובה</w:t>
      </w:r>
      <w:bookmarkStart w:id="537" w:name="b1_ref100"/>
      <w:bookmarkEnd w:id="537"/>
      <w:r>
        <w:rPr>
          <w:vertAlign w:val="superscript"/>
          <w:rtl/>
        </w:rPr>
        <w:fldChar w:fldCharType="begin" w:dirty="true"/>
      </w:r>
      <w:r>
        <w:rPr>
          <w:vertAlign w:val="superscript"/>
          <w:rtl/>
        </w:rPr>
        <w:instrText xml:space="preserve"> REF b1_note100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 אפשר היה לסמוך שיעזור לפי הצורך.</w:t>
      </w:r>
    </w:p>
    <w:bookmarkStart w:id="538" w:name="b1_note98"/>
    <w:p w14:paraId="57AE4C8B" w14:textId="77777777" w:rsidR="00AB3647" w:rsidRDefault="00000000" w:rsidP="007923E9">
      <w:pPr>
        <w:spacing w:before="120" w:after="100" w:line="276" w:lineRule="auto"/>
        <w:jc w:val="both"/>
      </w:pPr>
      <w:r>
        <w:fldChar w:fldCharType="begin" w:dirty="true"/>
      </w:r>
      <w:r>
        <w:instrText>HYPERLINK \l "b1_ref98"</w:instrText>
      </w:r>
      <w:r>
        <w:fldChar w:fldCharType="separate"/>
      </w:r>
      <w:r>
        <w:rPr>
          <w:b/>
          <w:bCs/>
          <w:rtl/>
        </w:rPr>
        <w:t>98</w:t>
      </w:r>
      <w:r>
        <w:rPr>
          <w:b/>
          <w:bCs/>
        </w:rPr>
        <w:fldChar w:fldCharType="end"/>
      </w:r>
      <w:bookmarkEnd w:id="538"/>
      <w:r>
        <w:rPr>
          <w:rtl/>
        </w:rPr>
        <w:t xml:space="preserve"> הדודה דבורה בפגישתנו במינסק</w:t>
      </w:r>
      <w:bookmarkStart w:id="539" w:name="_fnr303"/>
      <w:r>
        <w:rPr>
          <w:rStyle w:val="a5"/>
        </w:rPr>
        <w:footnoteReference w:id="303" w:customMarkFollows="0"/>
      </w:r>
      <w:bookmarkEnd w:id="539"/>
      <w:r>
        <w:rPr>
          <w:rtl/>
        </w:rPr>
        <w:t>.</w:t>
      </w:r>
    </w:p>
    <w:bookmarkStart w:id="540" w:name="b1_note99"/>
    <w:p w14:paraId="54BB4DEE" w14:textId="77777777" w:rsidR="00AB3647" w:rsidRDefault="00000000" w:rsidP="007923E9">
      <w:pPr>
        <w:spacing w:before="120" w:after="100" w:line="276" w:lineRule="auto"/>
        <w:jc w:val="both"/>
      </w:pPr>
      <w:r>
        <w:fldChar w:fldCharType="begin" w:dirty="true"/>
      </w:r>
      <w:r>
        <w:instrText>HYPERLINK \l "b1_ref99"</w:instrText>
      </w:r>
      <w:r>
        <w:fldChar w:fldCharType="separate"/>
      </w:r>
      <w:r>
        <w:rPr>
          <w:b/>
          <w:bCs/>
          <w:rtl/>
        </w:rPr>
        <w:t>99</w:t>
      </w:r>
      <w:r>
        <w:rPr>
          <w:b/>
          <w:bCs/>
        </w:rPr>
        <w:fldChar w:fldCharType="end"/>
      </w:r>
      <w:bookmarkEnd w:id="540"/>
      <w:r>
        <w:rPr>
          <w:rtl/>
        </w:rPr>
        <w:t xml:space="preserve"> שיטה שבה התארח כל בחור ישיבה שבא מחוץ לעיר אצל משפחה מקומית לסעודה העיקרית ביום קבוע (“</w:t>
      </w:r>
      <w:proofErr w:type="spellStart"/>
      <w:r>
        <w:rPr>
          <w:rtl/>
        </w:rPr>
        <w:t>טאג</w:t>
      </w:r>
      <w:proofErr w:type="spellEnd"/>
      <w:r>
        <w:rPr>
          <w:rtl/>
        </w:rPr>
        <w:t>”, ברבים “</w:t>
      </w:r>
      <w:proofErr w:type="spellStart"/>
      <w:r>
        <w:rPr>
          <w:rtl/>
        </w:rPr>
        <w:t>טעג</w:t>
      </w:r>
      <w:proofErr w:type="spellEnd"/>
      <w:r>
        <w:rPr>
          <w:rtl/>
        </w:rPr>
        <w:t>”, ביידיש), שבוע אחר שבוע. פתיחת הבית לאורח קבוע כזה הייתה מעשה צדקה, וגם ביטוי של אהבת תורה</w:t>
      </w:r>
      <w:bookmarkStart w:id="541" w:name="_fnr304"/>
      <w:r>
        <w:rPr>
          <w:rStyle w:val="a5"/>
        </w:rPr>
        <w:footnoteReference w:id="304" w:customMarkFollows="0"/>
      </w:r>
      <w:bookmarkEnd w:id="541"/>
      <w:r>
        <w:rPr>
          <w:rtl/>
        </w:rPr>
        <w:t xml:space="preserve">. חלוקת </w:t>
      </w:r>
      <w:proofErr w:type="spellStart"/>
      <w:r>
        <w:rPr>
          <w:rtl/>
        </w:rPr>
        <w:t>ה“טעג</w:t>
      </w:r>
      <w:proofErr w:type="spellEnd"/>
      <w:r>
        <w:rPr>
          <w:rtl/>
        </w:rPr>
        <w:t>” הייתה מתפקידי הנהלת הישיבה.</w:t>
      </w:r>
    </w:p>
    <w:p w14:paraId="30A990B5" w14:textId="77777777" w:rsidR="00AB3647" w:rsidRDefault="00000000" w:rsidP="007923E9">
      <w:pPr>
        <w:spacing w:before="120" w:after="100" w:line="276" w:lineRule="auto"/>
        <w:jc w:val="both"/>
      </w:pPr>
      <w:r>
        <w:rPr>
          <w:rtl/>
        </w:rPr>
        <w:t>מזל טוב היה לבחור כשנפל בחלקו “</w:t>
      </w:r>
      <w:proofErr w:type="spellStart"/>
      <w:r>
        <w:rPr>
          <w:rtl/>
        </w:rPr>
        <w:t>טאג</w:t>
      </w:r>
      <w:proofErr w:type="spellEnd"/>
      <w:r>
        <w:rPr>
          <w:rtl/>
        </w:rPr>
        <w:t xml:space="preserve">” אצל משפחה אמידה יותר, שבה קמו מן השולחן שבעים גם המארחים וגם אורחם. מאידך גיסא, אם לא היו די מארחים מתנדבים, היה בחור </w:t>
      </w:r>
      <w:r>
        <w:rPr>
          <w:rtl/>
        </w:rPr>
        <w:lastRenderedPageBreak/>
        <w:t>נשאר בלי “</w:t>
      </w:r>
      <w:proofErr w:type="spellStart"/>
      <w:r>
        <w:rPr>
          <w:rtl/>
        </w:rPr>
        <w:t>טאג</w:t>
      </w:r>
      <w:proofErr w:type="spellEnd"/>
      <w:r>
        <w:rPr>
          <w:rtl/>
        </w:rPr>
        <w:t xml:space="preserve">”, וכנראה רעב יום אחד בשבוע. לפעמים העדיפה בעלת הבית לתת לבחור כמה </w:t>
      </w:r>
      <w:proofErr w:type="spellStart"/>
      <w:r>
        <w:rPr>
          <w:rtl/>
        </w:rPr>
        <w:t>קופיקות</w:t>
      </w:r>
      <w:proofErr w:type="spellEnd"/>
      <w:r>
        <w:rPr>
          <w:rtl/>
        </w:rPr>
        <w:t xml:space="preserve"> במקום הסעודה – “יום כסף” – והבחור היה קונה ככר לחם ודג מלוח, הבשר של העני, ואוכל את “סעודתו” בבדידות מפוארת.</w:t>
      </w:r>
    </w:p>
    <w:bookmarkStart w:id="542" w:name="b1_note100"/>
    <w:p w14:paraId="74214325" w14:textId="77777777" w:rsidR="00AB3647" w:rsidRDefault="00000000" w:rsidP="007923E9">
      <w:pPr>
        <w:spacing w:before="120" w:after="100" w:line="276" w:lineRule="auto"/>
        <w:jc w:val="both"/>
      </w:pPr>
      <w:r>
        <w:fldChar w:fldCharType="begin" w:dirty="true"/>
      </w:r>
      <w:r>
        <w:instrText>HYPERLINK \l "b1_ref100"</w:instrText>
      </w:r>
      <w:r>
        <w:fldChar w:fldCharType="separate"/>
      </w:r>
      <w:r>
        <w:rPr>
          <w:b/>
          <w:bCs/>
          <w:rtl/>
        </w:rPr>
        <w:t>100</w:t>
      </w:r>
      <w:r>
        <w:rPr>
          <w:b/>
          <w:bCs/>
        </w:rPr>
        <w:fldChar w:fldCharType="end"/>
      </w:r>
      <w:bookmarkEnd w:id="542"/>
      <w:r>
        <w:rPr>
          <w:rtl/>
        </w:rPr>
        <w:t xml:space="preserve"> במכתב מרוסיה</w:t>
      </w:r>
      <w:bookmarkStart w:id="543" w:name="_fnr305"/>
      <w:r>
        <w:rPr>
          <w:rStyle w:val="a5"/>
        </w:rPr>
        <w:footnoteReference w:id="305" w:customMarkFollows="0"/>
      </w:r>
      <w:bookmarkEnd w:id="543"/>
      <w:r>
        <w:rPr>
          <w:rtl/>
        </w:rPr>
        <w:t xml:space="preserve"> כתבה דודתי דבורה: “</w:t>
      </w:r>
      <w:proofErr w:type="spellStart"/>
      <w:r>
        <w:rPr>
          <w:rtl/>
        </w:rPr>
        <w:t>חיים־זרח</w:t>
      </w:r>
      <w:proofErr w:type="spellEnd"/>
      <w:r>
        <w:rPr>
          <w:rtl/>
        </w:rPr>
        <w:t xml:space="preserve"> היה אהוב המשפחה ומנהיגה. הוא נהג כאב לכולנו אף שהיה ילד בעצמו. גם אחרי שנולדו לו ילדים משלו, נשא גם בעול ביתנו. כשגדלתי, דאג שילמדו אותי רקמה, וכשגדלו אהרן ויודל, השיג להם עבודה בבית החרושת הגדול של </w:t>
      </w:r>
      <w:proofErr w:type="spellStart"/>
      <w:r>
        <w:rPr>
          <w:rtl/>
        </w:rPr>
        <w:t>זלקינד</w:t>
      </w:r>
      <w:proofErr w:type="spellEnd"/>
      <w:r>
        <w:rPr>
          <w:rtl/>
        </w:rPr>
        <w:t>. הוא שסיפק עצים לחורף. גם חיתן אותי. הוא היה מסור מאוד לכל המשפחה”.</w:t>
      </w:r>
    </w:p>
    <w:p w14:paraId="3B19E903" w14:textId="77777777" w:rsidR="00AB3647" w:rsidRDefault="00000000" w:rsidP="007923E9">
      <w:pPr>
        <w:spacing w:after="100" w:line="276" w:lineRule="auto"/>
        <w:ind w:firstLine="340"/>
        <w:jc w:val="both"/>
      </w:pPr>
      <w:r>
        <w:rPr>
          <w:rtl/>
        </w:rPr>
        <w:t xml:space="preserve">כשנאסרה כותבת המכתב עם בעלה בטיהורי סטלין בשנת תרצ״ז, “סיכן” </w:t>
      </w:r>
      <w:proofErr w:type="spellStart"/>
      <w:r>
        <w:rPr>
          <w:rtl/>
        </w:rPr>
        <w:t>חיים־זרח</w:t>
      </w:r>
      <w:proofErr w:type="spellEnd"/>
      <w:r>
        <w:rPr>
          <w:rtl/>
        </w:rPr>
        <w:t xml:space="preserve"> “את חייו כשהביא את בנה [שלה] בן השלוש, </w:t>
      </w:r>
      <w:proofErr w:type="spellStart"/>
      <w:r>
        <w:rPr>
          <w:rtl/>
        </w:rPr>
        <w:t>ליובה</w:t>
      </w:r>
      <w:proofErr w:type="spellEnd"/>
      <w:r>
        <w:rPr>
          <w:rtl/>
        </w:rPr>
        <w:t>, לראות [אותה] מבעד לסורגי הכלא – דבר שלא נעשה באותם ימים. אשתו ניסתה לעצור בעדו, אבל הוא אמר: ‘</w:t>
      </w:r>
      <w:proofErr w:type="spellStart"/>
      <w:r>
        <w:rPr>
          <w:rtl/>
        </w:rPr>
        <w:t>פערל</w:t>
      </w:r>
      <w:proofErr w:type="spellEnd"/>
      <w:r>
        <w:rPr>
          <w:rtl/>
        </w:rPr>
        <w:t>, תמיד אני שומע בקולך, אבל לא הפעם. אני מוכרח לראות את דבורה בפעם האחרונה’”.</w:t>
      </w:r>
    </w:p>
    <w:p w14:paraId="6C0CFA9E" w14:textId="77777777" w:rsidR="00AB3647" w:rsidRDefault="00000000" w:rsidP="007923E9">
      <w:pPr>
        <w:spacing w:after="100" w:line="276" w:lineRule="auto"/>
        <w:ind w:firstLine="340"/>
        <w:jc w:val="both"/>
      </w:pPr>
      <w:proofErr w:type="spellStart"/>
      <w:r>
        <w:rPr>
          <w:rtl/>
        </w:rPr>
        <w:t>חיים־זרח</w:t>
      </w:r>
      <w:proofErr w:type="spellEnd"/>
      <w:r>
        <w:rPr>
          <w:rtl/>
        </w:rPr>
        <w:t xml:space="preserve"> צדק: הוא לא ראה עוד את דבורה, אבל מסיבה שלא יכול היה לשער אז. בעלה של דבורה הוצא להורג, והיא ישבה </w:t>
      </w:r>
      <w:proofErr w:type="spellStart"/>
      <w:r>
        <w:rPr>
          <w:rtl/>
        </w:rPr>
        <w:t>שש־עשרה</w:t>
      </w:r>
      <w:proofErr w:type="spellEnd"/>
      <w:r>
        <w:rPr>
          <w:rtl/>
        </w:rPr>
        <w:t xml:space="preserve"> שנה בגלות ברוסיה האסייתית. אחר כך הותר לה לשוב למינסק, ושם גילתה </w:t>
      </w:r>
      <w:proofErr w:type="spellStart"/>
      <w:r>
        <w:rPr>
          <w:rtl/>
        </w:rPr>
        <w:t>שחיים־זרח</w:t>
      </w:r>
      <w:proofErr w:type="spellEnd"/>
      <w:r>
        <w:rPr>
          <w:rtl/>
        </w:rPr>
        <w:t xml:space="preserve">, אשתו ובתם, </w:t>
      </w:r>
      <w:proofErr w:type="spellStart"/>
      <w:r>
        <w:rPr>
          <w:rtl/>
        </w:rPr>
        <w:t>סאריל</w:t>
      </w:r>
      <w:proofErr w:type="spellEnd"/>
      <w:r>
        <w:rPr>
          <w:rtl/>
        </w:rPr>
        <w:t>, נהרגו בגטו בשנת תש״ב.</w:t>
      </w:r>
    </w:p>
    <w:p w14:paraId="48F77A21" w14:textId="77777777" w:rsidR="00AB3647" w:rsidRDefault="00000000" w:rsidP="007923E9">
      <w:pPr>
        <w:spacing w:after="100" w:line="276" w:lineRule="auto"/>
        <w:ind w:firstLine="340"/>
        <w:jc w:val="both"/>
      </w:pPr>
      <w:r>
        <w:rPr>
          <w:rtl/>
        </w:rPr>
        <w:t xml:space="preserve">שמו של </w:t>
      </w:r>
      <w:proofErr w:type="spellStart"/>
      <w:r>
        <w:rPr>
          <w:rtl/>
        </w:rPr>
        <w:t>חיים־זרח</w:t>
      </w:r>
      <w:proofErr w:type="spellEnd"/>
      <w:r>
        <w:rPr>
          <w:rtl/>
        </w:rPr>
        <w:t xml:space="preserve"> היה נערץ בקרב היהודים הנרדפים בגטו מינסק, משום שבתפקידו כספק תרופות לבית החולים לחיילים גרמנים פצועים שבעיר, היה מבריח תרופות לאחיו המעונים</w:t>
      </w:r>
      <w:bookmarkStart w:id="544" w:name="_fnr306"/>
      <w:r>
        <w:rPr>
          <w:rStyle w:val="a5"/>
        </w:rPr>
        <w:footnoteReference w:id="306" w:customMarkFollows="0"/>
      </w:r>
      <w:bookmarkEnd w:id="544"/>
      <w:r>
        <w:rPr>
          <w:rtl/>
        </w:rPr>
        <w:t>.</w:t>
      </w:r>
    </w:p>
    <w:p w14:paraId="59153235"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הפור נפל. נשלח מכתב </w:t>
      </w:r>
      <w:proofErr w:type="spellStart"/>
      <w:r>
        <w:rPr>
          <w:rtl/>
        </w:rPr>
        <w:t>לחיים־זרח</w:t>
      </w:r>
      <w:proofErr w:type="spellEnd"/>
      <w:r>
        <w:rPr>
          <w:rtl/>
        </w:rPr>
        <w:t xml:space="preserve"> שימתין לאחיו בתחנת הרכבת של מינסק כעבור שבועיים, שלושה ימים אחרי פסח. הוריו של אבי ארזו לו כמה פריטי לבוש, מעט כלי מיטה, זוג תפילין לכשיצטרך להתחיל להניחן לקראת בר המצווה שלו, וקצת מזון, ושלחו אותו בעגלה רתומה לסוס אל התחנה הקרובה של הרכבת המקומית הקטנה, </w:t>
      </w:r>
      <w:proofErr w:type="spellStart"/>
      <w:r>
        <w:rPr>
          <w:rtl/>
        </w:rPr>
        <w:t>בבודסלב</w:t>
      </w:r>
      <w:proofErr w:type="spellEnd"/>
      <w:r>
        <w:rPr>
          <w:rtl/>
        </w:rPr>
        <w:t xml:space="preserve">, במרחק כ־18 קילומטרים </w:t>
      </w:r>
      <w:proofErr w:type="spellStart"/>
      <w:r>
        <w:rPr>
          <w:rtl/>
        </w:rPr>
        <w:t>מדולהינוב</w:t>
      </w:r>
      <w:proofErr w:type="spellEnd"/>
      <w:r>
        <w:rPr>
          <w:rtl/>
        </w:rPr>
        <w:t>.</w:t>
      </w:r>
    </w:p>
    <w:p w14:paraId="1D33FC83" w14:textId="5E80DA9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מבודסלב</w:t>
      </w:r>
      <w:proofErr w:type="spellEnd"/>
      <w:r>
        <w:rPr>
          <w:rtl/>
        </w:rPr>
        <w:t xml:space="preserve"> עלה אבי על רכבת לילה איטית לנסיעה של כ־48 קילומטרים </w:t>
      </w:r>
      <w:proofErr w:type="spellStart"/>
      <w:r>
        <w:rPr>
          <w:rtl/>
        </w:rPr>
        <w:t>למולודצ׳נו</w:t>
      </w:r>
      <w:proofErr w:type="spellEnd"/>
      <w:r>
        <w:rPr>
          <w:rtl/>
        </w:rPr>
        <w:t>, ושם עלה על רכבת בקו ריגה–וילנה–מינסק–</w:t>
      </w:r>
      <w:proofErr w:type="spellStart"/>
      <w:r>
        <w:rPr>
          <w:rtl/>
        </w:rPr>
        <w:t>קרמנצ׳וג</w:t>
      </w:r>
      <w:proofErr w:type="spellEnd"/>
      <w:r>
        <w:rPr>
          <w:rtl/>
        </w:rPr>
        <w:t xml:space="preserve">–אודסה, לעוד כ־80 קילומטרים עד מחוז חפצו. בגלל ההמתנות הארוכות בכל אחת מנקודות המעבר, היה בן </w:t>
      </w:r>
      <w:proofErr w:type="spellStart"/>
      <w:r>
        <w:rPr>
          <w:rtl/>
        </w:rPr>
        <w:t>האחת־עשרה</w:t>
      </w:r>
      <w:proofErr w:type="spellEnd"/>
      <w:r>
        <w:rPr>
          <w:rtl/>
        </w:rPr>
        <w:t xml:space="preserve"> מן העיירה הקטנה עייף מאוד כשהגיע למחרת אל המרשימה מבין שתי התחנות ששירתו את מינסק. בעיניים פקוחות לרווחה ראה שהמבנה הגדול, עשוי הלבנים, שהמה יהודים דוברי יידיש</w:t>
      </w:r>
      <w:bookmarkStart w:id="545" w:name="b1_ref101"/>
      <w:bookmarkEnd w:id="545"/>
      <w:r>
        <w:rPr>
          <w:vertAlign w:val="superscript"/>
          <w:rtl/>
        </w:rPr>
        <w:fldChar w:fldCharType="begin" w:dirty="true"/>
      </w:r>
      <w:r>
        <w:rPr>
          <w:vertAlign w:val="superscript"/>
          <w:rtl/>
        </w:rPr>
        <w:instrText xml:space="preserve"> REF b1_note101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מואר בדבר שלא ראה מעולם – חשמל</w:t>
      </w:r>
      <w:bookmarkStart w:id="546" w:name="b1_ref102"/>
      <w:bookmarkEnd w:id="546"/>
      <w:r>
        <w:rPr>
          <w:vertAlign w:val="superscript"/>
          <w:rtl/>
        </w:rPr>
        <w:fldChar w:fldCharType="begin" w:dirty="true"/>
      </w:r>
      <w:r>
        <w:rPr>
          <w:vertAlign w:val="superscript"/>
          <w:rtl/>
        </w:rPr>
        <w:instrText xml:space="preserve"> REF b1_note102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w:t>
      </w:r>
      <w:proofErr w:type="spellStart"/>
      <w:r>
        <w:rPr>
          <w:rtl/>
        </w:rPr>
        <w:t>חיים־זרח</w:t>
      </w:r>
      <w:proofErr w:type="spellEnd"/>
      <w:r>
        <w:rPr>
          <w:rtl/>
        </w:rPr>
        <w:t xml:space="preserve"> שלה את הילד מתוך המון הנוסעים המגיעים, קיבל אותו בחיבוק ולקח אותו עם צרורותיו אל הרחוב הסואן, ושם עלו על הקונקה</w:t>
      </w:r>
      <w:bookmarkStart w:id="547" w:name="b1_ref103"/>
      <w:bookmarkEnd w:id="547"/>
      <w:r>
        <w:rPr>
          <w:vertAlign w:val="superscript"/>
          <w:rtl/>
        </w:rPr>
        <w:fldChar w:fldCharType="begin" w:dirty="true"/>
      </w:r>
      <w:r>
        <w:rPr>
          <w:vertAlign w:val="superscript"/>
          <w:rtl/>
        </w:rPr>
        <w:instrText xml:space="preserve"> REF b1_note103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לנסיעה ברחובות העיר הגדולה אל חדרו של האח הגדול.</w:t>
      </w:r>
    </w:p>
    <w:bookmarkStart w:id="548" w:name="b1_note101"/>
    <w:p w14:paraId="6E6AFE96" w14:textId="77777777" w:rsidR="00AB3647" w:rsidRDefault="00000000" w:rsidP="007923E9">
      <w:pPr>
        <w:spacing w:before="120" w:after="100" w:line="276" w:lineRule="auto"/>
        <w:jc w:val="both"/>
      </w:pPr>
      <w:r>
        <w:lastRenderedPageBreak/>
        <w:fldChar w:fldCharType="begin" w:dirty="true"/>
      </w:r>
      <w:r>
        <w:instrText>HYPERLINK \l "b1_ref101"</w:instrText>
      </w:r>
      <w:r>
        <w:fldChar w:fldCharType="separate"/>
      </w:r>
      <w:r>
        <w:rPr>
          <w:b/>
          <w:bCs/>
          <w:rtl/>
        </w:rPr>
        <w:t>101</w:t>
      </w:r>
      <w:r>
        <w:rPr>
          <w:b/>
          <w:bCs/>
        </w:rPr>
        <w:fldChar w:fldCharType="end"/>
      </w:r>
      <w:bookmarkEnd w:id="548"/>
      <w:r>
        <w:rPr>
          <w:rtl/>
        </w:rPr>
        <w:t xml:space="preserve"> לפי “מינסק עיר ואם א”</w:t>
      </w:r>
      <w:bookmarkStart w:id="549" w:name="_fnr307"/>
      <w:r>
        <w:rPr>
          <w:rStyle w:val="a5"/>
        </w:rPr>
        <w:footnoteReference w:id="307" w:customMarkFollows="0"/>
      </w:r>
      <w:bookmarkEnd w:id="549"/>
      <w:r>
        <w:rPr>
          <w:rtl/>
        </w:rPr>
        <w:t>, 98% מיהודי מינסק ציינו במפקד 1897 את היידיש, ולא את הרוסית, כשפתם העיקרית. שיעור זה היה גבוה בהרבה משל כל עיר גדולה אחרת ברוסיה.</w:t>
      </w:r>
    </w:p>
    <w:bookmarkStart w:id="550" w:name="b1_note102"/>
    <w:p w14:paraId="19B5A7E5" w14:textId="77777777" w:rsidR="00AB3647" w:rsidRDefault="00000000" w:rsidP="007923E9">
      <w:pPr>
        <w:spacing w:before="120" w:after="100" w:line="276" w:lineRule="auto"/>
        <w:jc w:val="both"/>
      </w:pPr>
      <w:r>
        <w:fldChar w:fldCharType="begin" w:dirty="true"/>
      </w:r>
      <w:r>
        <w:instrText>HYPERLINK \l "b1_ref102"</w:instrText>
      </w:r>
      <w:r>
        <w:fldChar w:fldCharType="separate"/>
      </w:r>
      <w:r>
        <w:rPr>
          <w:b/>
          <w:bCs/>
          <w:rtl/>
        </w:rPr>
        <w:t>102</w:t>
      </w:r>
      <w:r>
        <w:rPr>
          <w:b/>
          <w:bCs/>
        </w:rPr>
        <w:fldChar w:fldCharType="end"/>
      </w:r>
      <w:bookmarkEnd w:id="550"/>
      <w:r>
        <w:rPr>
          <w:rtl/>
        </w:rPr>
        <w:t xml:space="preserve"> התחנה האחרת, תחנת </w:t>
      </w:r>
      <w:proofErr w:type="spellStart"/>
      <w:r>
        <w:rPr>
          <w:rtl/>
        </w:rPr>
        <w:t>בריסק</w:t>
      </w:r>
      <w:proofErr w:type="spellEnd"/>
      <w:r>
        <w:rPr>
          <w:rtl/>
        </w:rPr>
        <w:t>, ששירתה את קו הרכבת מוסקבה–מינסק–</w:t>
      </w:r>
      <w:proofErr w:type="spellStart"/>
      <w:r>
        <w:rPr>
          <w:rtl/>
        </w:rPr>
        <w:t>בריסק</w:t>
      </w:r>
      <w:proofErr w:type="spellEnd"/>
      <w:r>
        <w:rPr>
          <w:rtl/>
        </w:rPr>
        <w:t xml:space="preserve"> (</w:t>
      </w:r>
      <w:proofErr w:type="spellStart"/>
      <w:r>
        <w:rPr>
          <w:rtl/>
        </w:rPr>
        <w:t>ברסט־ליטובסק</w:t>
      </w:r>
      <w:proofErr w:type="spellEnd"/>
      <w:r>
        <w:rPr>
          <w:rtl/>
        </w:rPr>
        <w:t>)–ורשה, הייתה מבנה עץ שהואר במנורות גז</w:t>
      </w:r>
      <w:bookmarkStart w:id="551" w:name="_fnr308"/>
      <w:r>
        <w:rPr>
          <w:rStyle w:val="a5"/>
        </w:rPr>
        <w:footnoteReference w:id="308" w:customMarkFollows="0"/>
      </w:r>
      <w:bookmarkEnd w:id="551"/>
      <w:r>
        <w:rPr>
          <w:rtl/>
        </w:rPr>
        <w:t>. תחום המושב, שהשתרע מן הים הבלטי ועד הים השחור, נמתח מצפון לדרום, ולכן נסעו בקו ריגה–אודסה, שנמתח גם הוא מצפון לדרום, נוסעים יהודים רבים בהרבה מאשר בקו מוסקבה–ורשה, שנמתח ממזרח למערב. הגבול המזרחי של תחום המושב היה כ־250 קילומטרים ממינסק.</w:t>
      </w:r>
    </w:p>
    <w:bookmarkStart w:id="552" w:name="b1_note103"/>
    <w:p w14:paraId="68F6C924" w14:textId="77777777" w:rsidR="00AB3647" w:rsidRDefault="00000000" w:rsidP="007923E9">
      <w:pPr>
        <w:spacing w:before="120" w:after="100" w:line="276" w:lineRule="auto"/>
        <w:jc w:val="both"/>
      </w:pPr>
      <w:r>
        <w:fldChar w:fldCharType="begin" w:dirty="true"/>
      </w:r>
      <w:r>
        <w:instrText>HYPERLINK \l "b1_ref103"</w:instrText>
      </w:r>
      <w:r>
        <w:fldChar w:fldCharType="separate"/>
      </w:r>
      <w:r>
        <w:rPr>
          <w:b/>
          <w:bCs/>
          <w:rtl/>
        </w:rPr>
        <w:t>103</w:t>
      </w:r>
      <w:r>
        <w:rPr>
          <w:b/>
          <w:bCs/>
        </w:rPr>
        <w:fldChar w:fldCharType="end"/>
      </w:r>
      <w:bookmarkEnd w:id="552"/>
      <w:r>
        <w:rPr>
          <w:rtl/>
        </w:rPr>
        <w:t xml:space="preserve"> כלי תחבורה ציבורית זה היה רכב בן עשרים מושבים, שנמשך על פסים בידי שני סוסים. בתחתית כל גבעה תלולה המתין כרטיסן </w:t>
      </w:r>
      <w:bookmarkStart w:id="553" w:name="_Hlk243579768"/>
      <w:proofErr w:type="spellStart"/>
      <w:r>
        <w:rPr>
          <w:rtl/>
        </w:rPr>
        <w:t xml:space="preserve">ורתם סוס</w:t>
      </w:r>
      <w:proofErr w:type="spellEnd"/>
      <w:r>
        <w:rPr>
          <w:rtl/>
        </w:rPr>
        <w:t xml:space="preserve"> שלישי לעלייה</w:t>
      </w:r>
      <w:bookmarkEnd w:id="553"/>
      <w:r>
        <w:rPr>
          <w:rtl/>
        </w:rPr>
        <w:t xml:space="preserve">. בשעת העלייה הצטרף הכרטיסן לנוסעים, ובראש המעלה התיר את הסוס הנוסף ורכב עליו במורד, כדי לחזור על הפעולה כשתבוא </w:t>
      </w:r>
      <w:proofErr w:type="spellStart"/>
      <w:r>
        <w:rPr>
          <w:rtl/>
        </w:rPr>
        <w:t>הקונקה</w:t>
      </w:r>
      <w:proofErr w:type="spellEnd"/>
      <w:r>
        <w:rPr>
          <w:rtl/>
        </w:rPr>
        <w:t xml:space="preserve"> הבאה</w:t>
      </w:r>
      <w:bookmarkStart w:id="554" w:name="_fnr309"/>
      <w:r>
        <w:rPr>
          <w:rStyle w:val="a5"/>
        </w:rPr>
        <w:footnoteReference w:id="309" w:customMarkFollows="0"/>
      </w:r>
      <w:bookmarkEnd w:id="554"/>
      <w:r>
        <w:rPr>
          <w:rtl/>
        </w:rPr>
        <w:t>.</w:t>
      </w:r>
    </w:p>
    <w:p w14:paraId="5E8F58D2" w14:textId="77777777" w:rsidR="00AB3647" w:rsidRDefault="00000000" w:rsidP="007923E9">
      <w:pPr>
        <w:pStyle w:val="2"/>
        <w:pageBreakBefore/>
        <w:spacing w:line="276" w:lineRule="auto"/>
      </w:pPr>
      <w:bookmarkStart w:id="555" w:name="b1_excursuses"/>
      <w:r>
        <w:lastRenderedPageBreak/>
        <w:t>נספחים</w:t>
      </w:r>
      <w:bookmarkEnd w:id="555"/>
    </w:p>
    <w:bookmarkStart w:id="556" w:name="b1_excA"/>
    <w:p w14:paraId="3C4F5BF6" w14:textId="77777777" w:rsidR="00AB3647" w:rsidRDefault="00000000" w:rsidP="007923E9">
      <w:pPr>
        <w:pStyle w:val="3"/>
        <w:pageBreakBefore w:val="0"/>
        <w:spacing w:line="276" w:lineRule="auto"/>
      </w:pPr>
      <w:r>
        <w:fldChar w:fldCharType="begin" w:dirty="true"/>
      </w:r>
      <w:r>
        <w:rPr>
          <w:rtl w:val="0"/>
        </w:rPr>
        <w:instrText>HYPERLINK \l "b1_note26</w:instrText>
      </w:r>
      <w:r>
        <w:instrText>"</w:instrText>
      </w:r>
      <w:r>
        <w:fldChar w:fldCharType="separate"/>
      </w:r>
      <w:r>
        <w:t>נספח א</w:t>
      </w:r>
      <w:r>
        <w:fldChar w:fldCharType="end"/>
      </w:r>
      <w:bookmarkEnd w:id="556"/>
    </w:p>
    <w:p w14:paraId="4B87C6E1" w14:textId="77777777" w:rsidR="00AB3647" w:rsidRDefault="00000000" w:rsidP="007923E9">
      <w:pPr>
        <w:pStyle w:val="af"/>
        <w:spacing w:line="276" w:lineRule="auto"/>
      </w:pPr>
      <w:r>
        <w:t>על הפרעות שאחרי רצח הצאר אלכסנדר השני ועל הערכתם המשובשת של המשכילים</w:t>
      </w:r>
    </w:p>
    <w:p w14:paraId="32E58FC3" w14:textId="77777777" w:rsidR="00AB3647" w:rsidRDefault="00000000" w:rsidP="007923E9">
      <w:pPr>
        <w:pStyle w:val="5"/>
        <w:spacing w:line="276" w:lineRule="auto"/>
      </w:pPr>
      <w:r>
        <w:t xml:space="preserve">שונאי ישראל מציתים שריפות בעיירות היהודיות – </w:t>
      </w:r>
      <w:proofErr w:type="spellStart"/>
      <w:r>
        <w:t>יל״ג</w:t>
      </w:r>
      <w:proofErr w:type="spellEnd"/>
      <w:r>
        <w:t xml:space="preserve"> רואה את קץ האנטישמיות – נוער יהודי נגוע בהשכלה מתחיל להאמין שעלילת הדם שבדו הגויים אמת היא</w:t>
      </w:r>
    </w:p>
    <w:p w14:paraId="2BC90681" w14:textId="77777777" w:rsidR="00AB3647" w:rsidRDefault="00000000" w:rsidP="007923E9">
      <w:pPr>
        <w:spacing w:after="120" w:line="276" w:lineRule="auto"/>
        <w:ind w:firstLine="283"/>
        <w:jc w:val="both"/>
      </w:pPr>
      <w:r>
        <w:rPr>
          <w:rtl/>
        </w:rPr>
        <w:t>הפרעות התחילו אחרי רצח הצאר אלכסנדר השני</w:t>
      </w:r>
      <w:bookmarkStart w:id="557" w:name="_fnr310"/>
      <w:r>
        <w:rPr>
          <w:rStyle w:val="a5"/>
        </w:rPr>
        <w:footnoteReference w:id="310" w:customMarkFollows="0"/>
      </w:r>
      <w:bookmarkEnd w:id="557"/>
      <w:r>
        <w:rPr>
          <w:rtl/>
        </w:rPr>
        <w:t>. אמרו שבכל מקום ששונאי ישראל הרגישו שאין בכוחם לערוך פרעות בגלוי, הציתו בסתר שריפות ברובעים היהודיים</w:t>
      </w:r>
      <w:bookmarkStart w:id="558" w:name="_fnr311"/>
      <w:bookmarkStart w:id="559" w:name="pr_f_244"/>
      <w:r>
        <w:rPr>
          <w:rStyle w:val="a5"/>
        </w:rPr>
        <w:footnoteReference w:id="311" w:customMarkFollows="0"/>
      </w:r>
      <w:bookmarkEnd w:id="558"/>
      <w:bookmarkEnd w:id="559"/>
      <w:r>
        <w:rPr>
          <w:rtl/>
        </w:rPr>
        <w:t xml:space="preserve">. משום כך היו השריפות שכיחות מאוד בעיירות היהודיות ברוסיה בשנות </w:t>
      </w:r>
      <w:proofErr w:type="spellStart"/>
      <w:r>
        <w:rPr>
          <w:rtl/>
        </w:rPr>
        <w:t xml:space="preserve">התר״נ</w:t>
      </w:r>
      <w:proofErr w:type="spellEnd"/>
      <w:r>
        <w:rPr>
          <w:rtl/>
        </w:rPr>
        <w:t xml:space="preserve">.</w:t>
      </w:r>
    </w:p>
    <w:p w14:paraId="5A0B5475"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60" w:name="_fnr312"/>
      <w:r>
        <w:rPr>
          <w:rStyle w:val="a5"/>
        </w:rPr>
        <w:footnoteReference w:id="312" w:customMarkFollows="0"/>
      </w:r>
      <w:bookmarkEnd w:id="560"/>
      <w:r>
        <w:rPr>
          <w:rtl/>
        </w:rPr>
        <w:t xml:space="preserve">: עורכי הפרעות לא הבחינו בין יהודים מתקדמים ליהודים שומרי מסורת – אפילו “יהודים שהציגו איקונין בחלונותיהם” לא ניצלו – והמשכילים הודו </w:t>
      </w:r>
      <w:proofErr w:type="spellStart"/>
      <w:r>
        <w:rPr>
          <w:rtl/>
        </w:rPr>
        <w:t>בספרותם</w:t>
      </w:r>
      <w:proofErr w:type="spellEnd"/>
      <w:r>
        <w:rPr>
          <w:rtl/>
        </w:rPr>
        <w:t xml:space="preserve"> שטעו בחושבם </w:t>
      </w:r>
      <w:proofErr w:type="spellStart"/>
      <w:r>
        <w:rPr>
          <w:rtl/>
        </w:rPr>
        <w:t>שה“השכלה</w:t>
      </w:r>
      <w:proofErr w:type="spellEnd"/>
      <w:r>
        <w:rPr>
          <w:rtl/>
        </w:rPr>
        <w:t>” תבלום את האנטישמיות. והשווה גם שם</w:t>
      </w:r>
      <w:bookmarkStart w:id="561" w:name="_fnr313"/>
      <w:r>
        <w:rPr>
          <w:rStyle w:val="a5"/>
        </w:rPr>
        <w:footnoteReference w:id="313" w:customMarkFollows="0"/>
      </w:r>
      <w:bookmarkEnd w:id="561"/>
      <w:r>
        <w:rPr>
          <w:rtl/>
        </w:rPr>
        <w:t xml:space="preserve">, שבעקבות זאת נהרו צעירים “נאורים” בחזרה לבית המדרש.</w:t>
      </w:r>
    </w:p>
    <w:p w14:paraId="7FB40549" w14:textId="77777777" w:rsidR="00AB3647" w:rsidRDefault="00000000" w:rsidP="007923E9">
      <w:pPr>
        <w:spacing w:after="120" w:line="276" w:lineRule="auto"/>
        <w:ind w:firstLine="283"/>
        <w:jc w:val="both"/>
      </w:pPr>
      <w:r>
        <w:rPr>
          <w:rtl/>
        </w:rPr>
        <w:t>אחד ממקורות “</w:t>
      </w:r>
      <w:proofErr w:type="spellStart"/>
      <w:r>
        <w:rPr>
          <w:rtl/>
        </w:rPr>
        <w:t>זכרון</w:t>
      </w:r>
      <w:proofErr w:type="spellEnd"/>
      <w:r>
        <w:rPr>
          <w:rtl/>
        </w:rPr>
        <w:t xml:space="preserve"> יעקב” שהובאו לעיל</w:t>
      </w:r>
      <w:bookmarkStart w:id="562" w:name="_fnr314"/>
      <w:r>
        <w:rPr>
          <w:rStyle w:val="a5"/>
        </w:rPr>
        <w:footnoteReference w:id="314" w:customMarkFollows="0"/>
      </w:r>
      <w:bookmarkEnd w:id="562"/>
      <w:r>
        <w:rPr>
          <w:rtl/>
        </w:rPr>
        <w:t xml:space="preserve"> טוען: “היו סופרים בין המשכילים שהשתכנעו שההשכלה פשטה את הרגל. בערמה השתמשו בתחבולות של שינוי השם, והחליפו את שם </w:t>
      </w:r>
      <w:proofErr w:type="spellStart"/>
      <w:r>
        <w:rPr>
          <w:rtl/>
        </w:rPr>
        <w:t>ה‘פירמה</w:t>
      </w:r>
      <w:proofErr w:type="spellEnd"/>
      <w:r>
        <w:rPr>
          <w:rtl/>
        </w:rPr>
        <w:t xml:space="preserve">’ </w:t>
      </w:r>
      <w:proofErr w:type="spellStart"/>
      <w:r>
        <w:rPr>
          <w:rtl/>
        </w:rPr>
        <w:t>וה‘שלט</w:t>
      </w:r>
      <w:proofErr w:type="spellEnd"/>
      <w:r>
        <w:rPr>
          <w:rtl/>
        </w:rPr>
        <w:t xml:space="preserve">׳ של ההשכלה </w:t>
      </w:r>
      <w:proofErr w:type="spellStart"/>
      <w:r>
        <w:rPr>
          <w:rtl/>
        </w:rPr>
        <w:t>ב‘חובבי</w:t>
      </w:r>
      <w:proofErr w:type="spellEnd"/>
      <w:r>
        <w:rPr>
          <w:rtl/>
        </w:rPr>
        <w:t xml:space="preserve"> ציון’, כדי ללכוד בכך את העם. הם הופיעו במאמרים ובווידויים – מקצתם בתום לב ומקצתם לשם המטרה הציונית – והשמיצו את ספרות ההשכלה הקודמת, שטעתה בשני דברים. טעות אחת הייתה המחשבה שעל ידי ההשכלה תשיג האומה היהודית שוויון זכויות. </w:t>
      </w:r>
      <w:r>
        <w:rPr>
          <w:b/>
          <w:bCs/>
          <w:rtl/>
        </w:rPr>
        <w:t>הטעות השנייה</w:t>
      </w:r>
      <w:r>
        <w:rPr>
          <w:rtl/>
        </w:rPr>
        <w:t xml:space="preserve"> (ההדגשה שלי) הייתה ש[דרישות ה]’תיקוני הדת’ שלהם החלישו את כוחה של היהדות. הם כינו ספרות זו ‘ספרות שנות השישים והשבעים’, ותיארו אותה כספרות סכלה ומזיקה הן בגשמיות הן ברוחניות. היא נעשתה כמטבע שפסלה מלכות</w:t>
      </w:r>
      <w:bookmarkStart w:id="563" w:name="_fnr315"/>
      <w:r>
        <w:rPr>
          <w:rStyle w:val="a5"/>
        </w:rPr>
        <w:footnoteReference w:id="315" w:customMarkFollows="0"/>
      </w:r>
      <w:bookmarkEnd w:id="563"/>
      <w:r>
        <w:rPr>
          <w:rtl/>
        </w:rPr>
        <w:t>”.</w:t>
      </w:r>
    </w:p>
    <w:p w14:paraId="383BBA3B" w14:textId="77777777" w:rsidR="00AB3647" w:rsidRDefault="00000000" w:rsidP="007923E9">
      <w:pPr>
        <w:spacing w:after="120" w:line="276" w:lineRule="auto"/>
        <w:ind w:firstLine="283"/>
        <w:jc w:val="both"/>
      </w:pPr>
      <w:r>
        <w:rPr>
          <w:rtl/>
        </w:rPr>
        <w:t xml:space="preserve">ראה גם שם את הציטוטים מן הכרך הראשון של “אגרות יהודה ליב </w:t>
      </w:r>
      <w:proofErr w:type="spellStart"/>
      <w:r>
        <w:rPr>
          <w:rtl/>
        </w:rPr>
        <w:t>גארדאן</w:t>
      </w:r>
      <w:proofErr w:type="spellEnd"/>
      <w:r>
        <w:rPr>
          <w:rtl/>
        </w:rPr>
        <w:t>”</w:t>
      </w:r>
      <w:bookmarkStart w:id="564" w:name="_fnr316"/>
      <w:r>
        <w:rPr>
          <w:rStyle w:val="a5"/>
        </w:rPr>
        <w:footnoteReference w:id="316" w:customMarkFollows="0"/>
      </w:r>
      <w:bookmarkEnd w:id="564"/>
      <w:r>
        <w:rPr>
          <w:rtl/>
        </w:rPr>
        <w:t xml:space="preserve">, שבהם קורא המשכיל המר, שונא אנשי הדת, </w:t>
      </w:r>
      <w:proofErr w:type="spellStart"/>
      <w:r>
        <w:rPr>
          <w:rtl/>
        </w:rPr>
        <w:t>יהודה־לייב</w:t>
      </w:r>
      <w:proofErr w:type="spellEnd"/>
      <w:r>
        <w:rPr>
          <w:rtl/>
        </w:rPr>
        <w:t xml:space="preserve"> גורדון (</w:t>
      </w:r>
      <w:proofErr w:type="spellStart"/>
      <w:r>
        <w:rPr>
          <w:rtl/>
        </w:rPr>
        <w:t>יל״ג</w:t>
      </w:r>
      <w:proofErr w:type="spellEnd"/>
      <w:r>
        <w:rPr>
          <w:rtl/>
        </w:rPr>
        <w:t xml:space="preserve">), לתקן את השולחן ערוך, “שנתחבר בשעה שסבלו היהודים צרות ורדיפות, וגויים </w:t>
      </w:r>
      <w:proofErr w:type="spellStart"/>
      <w:r>
        <w:rPr>
          <w:rtl/>
        </w:rPr>
        <w:t>ערלי</w:t>
      </w:r>
      <w:proofErr w:type="spellEnd"/>
      <w:r>
        <w:rPr>
          <w:rtl/>
        </w:rPr>
        <w:t xml:space="preserve"> לב קמו באמת למחות את שם ישראל מן הארץ – להעבירנו על תורתנו ולהדיחנו מדת אבותינו. אבל עתה, שאין </w:t>
      </w:r>
      <w:r>
        <w:rPr>
          <w:b/>
          <w:bCs/>
          <w:rtl/>
        </w:rPr>
        <w:t>שום אפשרות כלל</w:t>
      </w:r>
      <w:r>
        <w:rPr>
          <w:rtl/>
        </w:rPr>
        <w:t xml:space="preserve"> שישובו העמים לסכלותם הקדומה, </w:t>
      </w:r>
      <w:r>
        <w:rPr>
          <w:b/>
          <w:bCs/>
          <w:rtl/>
        </w:rPr>
        <w:t>כשם שאין השמש יכולה לשוב אחורנית</w:t>
      </w:r>
      <w:r>
        <w:rPr>
          <w:rtl/>
        </w:rPr>
        <w:t xml:space="preserve"> (ההדגשה </w:t>
      </w:r>
      <w:r>
        <w:rPr>
          <w:rtl/>
        </w:rPr>
        <w:lastRenderedPageBreak/>
        <w:t xml:space="preserve">שלי), הלא עת היא להסיר את </w:t>
      </w:r>
      <w:proofErr w:type="spellStart"/>
      <w:r>
        <w:rPr>
          <w:rtl/>
        </w:rPr>
        <w:t>הגדרים</w:t>
      </w:r>
      <w:proofErr w:type="spellEnd"/>
      <w:r>
        <w:rPr>
          <w:rtl/>
        </w:rPr>
        <w:t xml:space="preserve"> היתרים ולקצץ את הקוצים המסובכים...?</w:t>
      </w:r>
      <w:bookmarkStart w:id="565" w:name="_fnr317"/>
      <w:r>
        <w:rPr>
          <w:rStyle w:val="a5"/>
        </w:rPr>
        <w:footnoteReference w:id="317" w:customMarkFollows="0"/>
      </w:r>
      <w:bookmarkEnd w:id="565"/>
      <w:r>
        <w:rPr>
          <w:rtl/>
        </w:rPr>
        <w:t>”. כשהוא מביא מכתב זה מילה במילה, מכניס בעל “</w:t>
      </w:r>
      <w:proofErr w:type="spellStart"/>
      <w:r>
        <w:rPr>
          <w:rtl/>
        </w:rPr>
        <w:t>זכרון</w:t>
      </w:r>
      <w:proofErr w:type="spellEnd"/>
      <w:r>
        <w:rPr>
          <w:rtl/>
        </w:rPr>
        <w:t xml:space="preserve"> יעקב” הערה אחרי המילים המודגשות לעיל: “מה תאמרו, קוראים נכבדים, על קצר הראות הזה? מי ראה את העתיד טוב יותר, הוא [גורדון, ראש המשכילים ברוסיה בזמנו] וחבריו, או הרבנים ויראי ה׳ [חרדים]?”</w:t>
      </w:r>
    </w:p>
    <w:p w14:paraId="666434E2" w14:textId="77777777" w:rsidR="00AB3647" w:rsidRDefault="00000000" w:rsidP="007923E9">
      <w:pPr>
        <w:spacing w:after="120" w:line="276" w:lineRule="auto"/>
        <w:ind w:firstLine="283"/>
        <w:jc w:val="both"/>
      </w:pPr>
      <w:proofErr w:type="spellStart"/>
      <w:r>
        <w:rPr>
          <w:rtl/>
        </w:rPr>
        <w:t>יל״ג</w:t>
      </w:r>
      <w:proofErr w:type="spellEnd"/>
      <w:r>
        <w:rPr>
          <w:rtl/>
        </w:rPr>
        <w:t xml:space="preserve"> היה בטוח בפזיזותו שהנוצרים לא ינסו עוד להעביר את היהודים על דתם. “</w:t>
      </w:r>
      <w:proofErr w:type="spellStart"/>
      <w:r>
        <w:rPr>
          <w:rtl/>
        </w:rPr>
        <w:t>זכרון</w:t>
      </w:r>
      <w:proofErr w:type="spellEnd"/>
      <w:r>
        <w:rPr>
          <w:rtl/>
        </w:rPr>
        <w:t xml:space="preserve"> יעקב” אינו מביא את המשפט הבא במכתב, המלמד </w:t>
      </w:r>
      <w:proofErr w:type="spellStart"/>
      <w:r>
        <w:rPr>
          <w:rtl/>
        </w:rPr>
        <w:t>שיל״ג</w:t>
      </w:r>
      <w:proofErr w:type="spellEnd"/>
      <w:r>
        <w:rPr>
          <w:rtl/>
        </w:rPr>
        <w:t xml:space="preserve"> סבר שהגויים חדלו לגמרי לשנוא את היהודים, וזו לשונו: “למה נשב במצור מוקפים חומה וסוללה” – של דינים דתיים המבדילים בינינו ובין הגויים – “כאשר </w:t>
      </w:r>
      <w:r>
        <w:rPr>
          <w:b/>
          <w:bCs/>
          <w:rtl/>
        </w:rPr>
        <w:t>אין אויב לנו</w:t>
      </w:r>
      <w:r>
        <w:rPr>
          <w:rtl/>
        </w:rPr>
        <w:t xml:space="preserve"> (ההדגשה שלי)?”</w:t>
      </w:r>
      <w:bookmarkStart w:id="566" w:name="_fnr318"/>
      <w:r>
        <w:rPr>
          <w:rStyle w:val="a5"/>
        </w:rPr>
        <w:footnoteReference w:id="318" w:customMarkFollows="0"/>
      </w:r>
      <w:bookmarkEnd w:id="566"/>
      <w:r>
        <w:rPr>
          <w:rtl/>
        </w:rPr>
        <w:t xml:space="preserve"> אבל אנו, שעברנו את השואה, יודעים כמה נוראה הייתה טעותו של </w:t>
      </w:r>
      <w:proofErr w:type="spellStart"/>
      <w:r>
        <w:rPr>
          <w:rtl/>
        </w:rPr>
        <w:t>יל״ג</w:t>
      </w:r>
      <w:proofErr w:type="spellEnd"/>
      <w:r>
        <w:rPr>
          <w:rtl/>
        </w:rPr>
        <w:t xml:space="preserve"> גם בזה. ואכן גורדון (תק״צ–תרנ״ב) עצמו נתקף ספקות בשנותיו האחרונות – אחרי פרוץ הפרעות</w:t>
      </w:r>
      <w:bookmarkStart w:id="567" w:name="_fnr319"/>
      <w:r>
        <w:rPr>
          <w:rStyle w:val="a5"/>
        </w:rPr>
        <w:footnoteReference w:id="319" w:customMarkFollows="0"/>
      </w:r>
      <w:bookmarkEnd w:id="567"/>
      <w:r>
        <w:rPr>
          <w:rtl/>
        </w:rPr>
        <w:t>.</w:t>
      </w:r>
    </w:p>
    <w:p w14:paraId="2D4DBEEF" w14:textId="77777777" w:rsidR="00AB3647" w:rsidRDefault="00000000" w:rsidP="007923E9">
      <w:pPr>
        <w:spacing w:after="120" w:line="276" w:lineRule="auto"/>
        <w:ind w:firstLine="283"/>
        <w:jc w:val="both"/>
      </w:pPr>
      <w:r>
        <w:rPr>
          <w:rtl/>
        </w:rPr>
        <w:t>בעניין “הטעות השנייה” שהוזכרה לעיל, מבליט “</w:t>
      </w:r>
      <w:proofErr w:type="spellStart"/>
      <w:r>
        <w:rPr>
          <w:rtl/>
        </w:rPr>
        <w:t>זכרון</w:t>
      </w:r>
      <w:proofErr w:type="spellEnd"/>
      <w:r>
        <w:rPr>
          <w:rtl/>
        </w:rPr>
        <w:t xml:space="preserve"> יעקב”</w:t>
      </w:r>
      <w:bookmarkStart w:id="568" w:name="_fnr320"/>
      <w:r>
        <w:rPr>
          <w:rStyle w:val="a5"/>
        </w:rPr>
        <w:footnoteReference w:id="320" w:customMarkFollows="0"/>
      </w:r>
      <w:bookmarkEnd w:id="568"/>
      <w:r>
        <w:rPr>
          <w:rtl/>
        </w:rPr>
        <w:t xml:space="preserve"> כיצד הורעל הנוער היהודי בהתקפות ההשכלה על היהדות, עד שאיבד את גאוותו על מורשתו והתחיל להאמין שהיהודים הם באמת עם שפל. הדברים הגיעו עד כדי כך </w:t>
      </w:r>
      <w:proofErr w:type="spellStart"/>
      <w:r>
        <w:rPr>
          <w:rtl/>
        </w:rPr>
        <w:t>ש“כמה</w:t>
      </w:r>
      <w:proofErr w:type="spellEnd"/>
      <w:r>
        <w:rPr>
          <w:rtl/>
        </w:rPr>
        <w:t xml:space="preserve"> </w:t>
      </w:r>
      <w:r>
        <w:rPr>
          <w:b/>
          <w:bCs/>
          <w:rtl/>
        </w:rPr>
        <w:t>סופרים צלולי דעת והגיוניים</w:t>
      </w:r>
      <w:r>
        <w:rPr>
          <w:rtl/>
        </w:rPr>
        <w:t xml:space="preserve"> (ההדגשה שלי) הביעו חשש שהנוער של הדורות הבאים, מתוך שהורגל לקבל מן היהודים עצמם את הצדקת הדין על היהדות ומנהיגיה, יתחיל להאמין בתום לב” אפילו בעלילה “שמשתמשים בדם נוצרי לחג המצות</w:t>
      </w:r>
      <w:bookmarkStart w:id="569" w:name="_fnr321"/>
      <w:r>
        <w:rPr>
          <w:rStyle w:val="a5"/>
        </w:rPr>
        <w:footnoteReference w:id="321" w:customMarkFollows="0"/>
      </w:r>
      <w:bookmarkEnd w:id="569"/>
      <w:r>
        <w:rPr>
          <w:rtl/>
        </w:rPr>
        <w:t>”. הוא מביא גם</w:t>
      </w:r>
      <w:bookmarkStart w:id="570" w:name="_fnr322"/>
      <w:r>
        <w:rPr>
          <w:rStyle w:val="a5"/>
        </w:rPr>
        <w:footnoteReference w:id="322" w:customMarkFollows="0"/>
      </w:r>
      <w:bookmarkEnd w:id="570"/>
      <w:r>
        <w:rPr>
          <w:rtl/>
        </w:rPr>
        <w:t xml:space="preserve"> את דברי הסופר אחד העם</w:t>
      </w:r>
      <w:bookmarkStart w:id="571" w:name="_fnr323"/>
      <w:r>
        <w:rPr>
          <w:rStyle w:val="a5"/>
        </w:rPr>
        <w:footnoteReference w:id="323" w:customMarkFollows="0"/>
      </w:r>
      <w:bookmarkEnd w:id="571"/>
      <w:r>
        <w:rPr>
          <w:rtl/>
        </w:rPr>
        <w:t xml:space="preserve">, </w:t>
      </w:r>
      <w:proofErr w:type="spellStart"/>
      <w:r>
        <w:rPr>
          <w:rtl/>
        </w:rPr>
        <w:t>ש“עלילה</w:t>
      </w:r>
      <w:proofErr w:type="spellEnd"/>
      <w:r>
        <w:rPr>
          <w:rtl/>
        </w:rPr>
        <w:t xml:space="preserve"> מאוסה זו היא חצי נחמה לנו, שאנו, אף שאנו מיעוט, יכולים לנצח את הרוב ולהפריכה” – כלומר יש בכך הוכחה שלא כל מה </w:t>
      </w:r>
      <w:proofErr w:type="spellStart"/>
      <w:r>
        <w:rPr>
          <w:rtl/>
        </w:rPr>
        <w:t>שה“רוב</w:t>
      </w:r>
      <w:proofErr w:type="spellEnd"/>
      <w:r>
        <w:rPr>
          <w:rtl/>
        </w:rPr>
        <w:t xml:space="preserve">” אומר עלינו אמת הוא. אחד העם, שלא </w:t>
      </w:r>
      <w:proofErr w:type="spellStart"/>
      <w:r>
        <w:rPr>
          <w:rtl/>
        </w:rPr>
        <w:t>כ“סופרים</w:t>
      </w:r>
      <w:proofErr w:type="spellEnd"/>
      <w:r>
        <w:rPr>
          <w:rtl/>
        </w:rPr>
        <w:t xml:space="preserve"> צלולי הדעת וההגיוניים”, לא העלה על דעתו שיהודים יחזרו כתוכי אחרי דברי שונאי ישראל ויבואו להאמין גם בעלילת שווא זו.</w:t>
      </w:r>
    </w:p>
    <w:p w14:paraId="1AA2A1D4" w14:textId="77777777" w:rsidR="00AB3647" w:rsidRDefault="00000000" w:rsidP="007923E9">
      <w:pPr>
        <w:spacing w:after="120" w:line="276" w:lineRule="auto"/>
        <w:ind w:firstLine="283"/>
        <w:jc w:val="both"/>
      </w:pPr>
      <w:r>
        <w:rPr>
          <w:rtl/>
        </w:rPr>
        <w:t xml:space="preserve">אבל לפי סיפור שסיפר אבי על ר׳ לייזר גורדון, רבה וראש ישיבתה של </w:t>
      </w:r>
      <w:proofErr w:type="spellStart"/>
      <w:r>
        <w:rPr>
          <w:rtl/>
        </w:rPr>
        <w:t>טלז</w:t>
      </w:r>
      <w:bookmarkStart w:id="572" w:name="_fnr324"/>
      <w:proofErr w:type="spellEnd"/>
      <w:r>
        <w:rPr>
          <w:rStyle w:val="a5"/>
        </w:rPr>
        <w:footnoteReference w:id="324" w:customMarkFollows="0"/>
      </w:r>
      <w:bookmarkEnd w:id="572"/>
      <w:r>
        <w:rPr>
          <w:rtl/>
        </w:rPr>
        <w:t xml:space="preserve">, צדקו הסופרים וטעה אחד העם. יהודי אחד אמר </w:t>
      </w:r>
      <w:proofErr w:type="spellStart"/>
      <w:r>
        <w:rPr>
          <w:rtl/>
        </w:rPr>
        <w:t>לר</w:t>
      </w:r>
      <w:proofErr w:type="spellEnd"/>
      <w:r>
        <w:rPr>
          <w:rtl/>
        </w:rPr>
        <w:t>׳ לייזר לפני פסח שבאותה שנה עשה את כל ההכנות ליום טוב ולמצוותיו בדקדוק, בכל הידוריהם, ולכן הוא מבקש מרבו שיגלה לו את ההידור הנסתר המיוחד. כשתמה ר׳ לייזר למה הוא מתכוון, אמר האיש בגלוי: “אתה יודע: הדם הנוצרי שמשתמשים בו המהדרין”.</w:t>
      </w:r>
    </w:p>
    <w:p w14:paraId="6C271509" w14:textId="77777777" w:rsidR="00AB3647" w:rsidRDefault="00000000" w:rsidP="007923E9">
      <w:pPr>
        <w:spacing w:after="120" w:line="276" w:lineRule="auto"/>
        <w:ind w:firstLine="283"/>
        <w:jc w:val="both"/>
      </w:pPr>
      <w:r>
        <w:rPr>
          <w:rtl/>
        </w:rPr>
        <w:t xml:space="preserve">לקח ר׳ לייזר את היהודי בידו, הוליכו לבית הכנסת ופתח את ארון הקודש. היהודי היה בטוח עתה שרבו עומד לגלות לו היכן מוסתר בקבוק הדם הנודע, ונדהם לראות את ר׳ לייזר </w:t>
      </w:r>
      <w:r>
        <w:rPr>
          <w:rtl/>
        </w:rPr>
        <w:lastRenderedPageBreak/>
        <w:t>מוציא ספר תורה, מגביהו ומכריז: “אני נשבע בספר הזה ובכל דבר שבקדושה, שמעולם, בכל אלפי שנות תולדותיהם, לא השתמשו יהודים בדם אדם לשום טקס שהוא”.</w:t>
      </w:r>
    </w:p>
    <w:bookmarkStart w:id="573" w:name="b1_excB"/>
    <w:p w14:paraId="325EDE00" w14:textId="77777777" w:rsidR="00AB3647" w:rsidRDefault="00000000" w:rsidP="007923E9">
      <w:pPr>
        <w:pStyle w:val="3"/>
        <w:spacing w:line="276" w:lineRule="auto"/>
      </w:pPr>
      <w:r>
        <w:lastRenderedPageBreak/>
        <w:fldChar w:fldCharType="begin" w:dirty="true"/>
      </w:r>
      <w:r>
        <w:rPr>
          <w:rtl w:val="0"/>
        </w:rPr>
        <w:instrText>HYPERLINK \l "b1_note27</w:instrText>
      </w:r>
      <w:r>
        <w:instrText>"</w:instrText>
      </w:r>
      <w:r>
        <w:fldChar w:fldCharType="separate"/>
      </w:r>
      <w:r>
        <w:t>נספח ב</w:t>
      </w:r>
      <w:r>
        <w:fldChar w:fldCharType="end"/>
      </w:r>
      <w:bookmarkEnd w:id="573"/>
    </w:p>
    <w:p w14:paraId="7C7776D8" w14:textId="77777777" w:rsidR="00AB3647" w:rsidRDefault="00000000" w:rsidP="007923E9">
      <w:pPr>
        <w:pStyle w:val="af"/>
        <w:spacing w:line="276" w:lineRule="auto"/>
      </w:pPr>
      <w:r>
        <w:t>על ר׳ אליהו שיק ועל משפחת שיק</w:t>
      </w:r>
    </w:p>
    <w:p w14:paraId="0E173C4D" w14:textId="77777777" w:rsidR="00AB3647" w:rsidRDefault="00000000" w:rsidP="007923E9">
      <w:pPr>
        <w:pStyle w:val="4"/>
        <w:spacing w:line="276" w:lineRule="auto"/>
      </w:pPr>
      <w:r>
        <w:t>· הפסקה הראשונה ·</w:t>
      </w:r>
    </w:p>
    <w:p w14:paraId="2C7104F4" w14:textId="77777777" w:rsidR="00AB3647" w:rsidRDefault="00000000" w:rsidP="007923E9">
      <w:pPr>
        <w:pStyle w:val="5"/>
        <w:spacing w:line="276" w:lineRule="auto"/>
      </w:pPr>
      <w:r>
        <w:t xml:space="preserve">ר׳ אליהו – גאון מפורסם ולוחם לעשוקים – קרבתו </w:t>
      </w:r>
      <w:proofErr w:type="spellStart"/>
      <w:r>
        <w:t>לר</w:t>
      </w:r>
      <w:proofErr w:type="spellEnd"/>
      <w:r>
        <w:t xml:space="preserve">׳ </w:t>
      </w:r>
      <w:proofErr w:type="spellStart"/>
      <w:r>
        <w:t>לייבל׳ה</w:t>
      </w:r>
      <w:proofErr w:type="spellEnd"/>
      <w:r>
        <w:t xml:space="preserve"> שפירא</w:t>
      </w:r>
    </w:p>
    <w:p w14:paraId="06D7DA36" w14:textId="77777777" w:rsidR="00AB3647" w:rsidRDefault="00000000" w:rsidP="007923E9">
      <w:pPr>
        <w:spacing w:after="120" w:line="276" w:lineRule="auto"/>
        <w:ind w:firstLine="283"/>
        <w:jc w:val="both"/>
      </w:pPr>
      <w:r>
        <w:rPr>
          <w:rtl/>
        </w:rPr>
        <w:t xml:space="preserve">אביה של חיה, אשת ר׳ </w:t>
      </w:r>
      <w:proofErr w:type="spellStart"/>
      <w:r>
        <w:rPr>
          <w:rtl/>
        </w:rPr>
        <w:t>שמואל־הירש</w:t>
      </w:r>
      <w:proofErr w:type="spellEnd"/>
      <w:r>
        <w:rPr>
          <w:rtl/>
        </w:rPr>
        <w:t xml:space="preserve"> </w:t>
      </w:r>
      <w:proofErr w:type="spellStart"/>
      <w:r>
        <w:rPr>
          <w:rtl/>
        </w:rPr>
        <w:t>קמינצקי</w:t>
      </w:r>
      <w:proofErr w:type="spellEnd"/>
      <w:r>
        <w:rPr>
          <w:rtl/>
        </w:rPr>
        <w:t xml:space="preserve">, היה ממשפחת </w:t>
      </w:r>
      <w:proofErr w:type="spellStart"/>
      <w:r>
        <w:rPr>
          <w:rtl/>
        </w:rPr>
        <w:t>שרשבסקי</w:t>
      </w:r>
      <w:proofErr w:type="spellEnd"/>
      <w:r>
        <w:rPr>
          <w:rtl/>
        </w:rPr>
        <w:t xml:space="preserve"> מסלונים, ואם אמה הייתה אחותו של ר׳ אליהו שיק, רב לידה ובעל “עין אליהו” </w:t>
      </w:r>
      <w:proofErr w:type="spellStart"/>
      <w:r>
        <w:rPr>
          <w:rtl/>
        </w:rPr>
        <w:t>ו“עיון</w:t>
      </w:r>
      <w:proofErr w:type="spellEnd"/>
      <w:r>
        <w:rPr>
          <w:rtl/>
        </w:rPr>
        <w:t xml:space="preserve"> יעקב”. אגב, בספר “שמש מרפא”</w:t>
      </w:r>
      <w:bookmarkStart w:id="574" w:name="_fnr325"/>
      <w:r>
        <w:rPr>
          <w:rStyle w:val="a5"/>
        </w:rPr>
        <w:footnoteReference w:id="325" w:customMarkFollows="0"/>
      </w:r>
      <w:bookmarkEnd w:id="574"/>
      <w:r>
        <w:rPr>
          <w:rtl/>
        </w:rPr>
        <w:t xml:space="preserve"> יש מכתב משנת תרכ״א אל ר׳ שמשון רפאל הירש בשם קהילת וילנה, שהחותם הראשון עליו הוא ר׳ </w:t>
      </w:r>
      <w:proofErr w:type="spellStart"/>
      <w:r>
        <w:rPr>
          <w:rtl/>
        </w:rPr>
        <w:t xml:space="preserve">וועלוול׳ה</w:t>
      </w:r>
      <w:proofErr w:type="spellEnd"/>
      <w:r>
        <w:rPr>
          <w:rtl/>
        </w:rPr>
        <w:t xml:space="preserve">, המגיד של אותה עיר. ר׳ אליהו חותם אחרי ר׳ </w:t>
      </w:r>
      <w:proofErr w:type="spellStart"/>
      <w:r>
        <w:rPr>
          <w:rtl/>
        </w:rPr>
        <w:t>יוסל׳ה</w:t>
      </w:r>
      <w:proofErr w:type="spellEnd"/>
      <w:r>
        <w:rPr>
          <w:rtl/>
        </w:rPr>
        <w:t xml:space="preserve"> </w:t>
      </w:r>
      <w:proofErr w:type="spellStart"/>
      <w:r>
        <w:rPr>
          <w:rtl/>
        </w:rPr>
        <w:t>מסלוצק</w:t>
      </w:r>
      <w:proofErr w:type="spellEnd"/>
      <w:r>
        <w:rPr>
          <w:rtl/>
        </w:rPr>
        <w:t xml:space="preserve"> והרב </w:t>
      </w:r>
      <w:proofErr w:type="spellStart"/>
      <w:r>
        <w:rPr>
          <w:rtl/>
        </w:rPr>
        <w:t>אייזל</w:t>
      </w:r>
      <w:proofErr w:type="spellEnd"/>
      <w:r>
        <w:rPr>
          <w:rtl/>
        </w:rPr>
        <w:t xml:space="preserve"> מסלונים, ולפני ר׳ </w:t>
      </w:r>
      <w:proofErr w:type="spellStart"/>
      <w:r>
        <w:rPr>
          <w:rtl/>
        </w:rPr>
        <w:t>יצחק־אלחנן</w:t>
      </w:r>
      <w:proofErr w:type="spellEnd"/>
      <w:r>
        <w:rPr>
          <w:rtl/>
        </w:rPr>
        <w:t xml:space="preserve">, אז רבה של </w:t>
      </w:r>
      <w:proofErr w:type="spellStart"/>
      <w:r>
        <w:rPr>
          <w:rtl/>
        </w:rPr>
        <w:t>נובהרדוק</w:t>
      </w:r>
      <w:proofErr w:type="spellEnd"/>
      <w:r>
        <w:rPr>
          <w:rtl/>
        </w:rPr>
        <w:t xml:space="preserve"> ואחר כך של קובנה. לפי “רבותינו שבגולה”</w:t>
      </w:r>
      <w:bookmarkStart w:id="575" w:name="_fnr326"/>
      <w:r>
        <w:rPr>
          <w:rStyle w:val="a5"/>
        </w:rPr>
        <w:footnoteReference w:id="326" w:customMarkFollows="0"/>
      </w:r>
      <w:bookmarkEnd w:id="575"/>
      <w:r>
        <w:rPr>
          <w:rtl/>
        </w:rPr>
        <w:t xml:space="preserve">, ר׳ אליהו היה מורו של ר׳ </w:t>
      </w:r>
      <w:proofErr w:type="spellStart"/>
      <w:r>
        <w:rPr>
          <w:rtl/>
        </w:rPr>
        <w:t>יצחק־אלחנן</w:t>
      </w:r>
      <w:proofErr w:type="spellEnd"/>
      <w:r>
        <w:rPr>
          <w:rtl/>
        </w:rPr>
        <w:t xml:space="preserve"> בשעה שזה “אכל </w:t>
      </w:r>
      <w:proofErr w:type="spellStart"/>
      <w:r>
        <w:rPr>
          <w:rtl/>
        </w:rPr>
        <w:t>קעסט</w:t>
      </w:r>
      <w:proofErr w:type="spellEnd"/>
      <w:r>
        <w:rPr>
          <w:rtl/>
        </w:rPr>
        <w:t xml:space="preserve">” </w:t>
      </w:r>
      <w:proofErr w:type="spellStart"/>
      <w:r>
        <w:rPr>
          <w:rtl/>
        </w:rPr>
        <w:t>בוולקוביסק</w:t>
      </w:r>
      <w:bookmarkStart w:id="576" w:name="_fnr327"/>
      <w:proofErr w:type="spellEnd"/>
      <w:r>
        <w:rPr>
          <w:rStyle w:val="a5"/>
        </w:rPr>
        <w:t/>
      </w:r>
      <w:bookmarkStart w:id="6990" w:name="_TranslatorNote_327"/>
      <w:r>
        <w:rPr>
          <w:rStyle w:val="a5"/>
          <w:vertAlign w:val="superscript"/>
          <w:rtl/>
        </w:rPr>
        <w:footnoteReference w:id="327" w:customMarkFollows="1"/>
        <w:t>*</w:t>
      </w:r>
      <w:bookmarkEnd w:id="6990"/>
      <w:bookmarkEnd w:id="576"/>
      <w:r>
        <w:rPr>
          <w:rtl/>
        </w:rPr>
        <w:t xml:space="preserve">. ר׳ אליהו גם גילה את היתום </w:t>
      </w:r>
      <w:proofErr w:type="spellStart"/>
      <w:r>
        <w:rPr>
          <w:rtl/>
        </w:rPr>
        <w:t>חיים־לייב</w:t>
      </w:r>
      <w:proofErr w:type="spellEnd"/>
      <w:r>
        <w:rPr>
          <w:rtl/>
        </w:rPr>
        <w:t xml:space="preserve"> </w:t>
      </w:r>
      <w:proofErr w:type="spellStart"/>
      <w:r>
        <w:rPr>
          <w:rtl/>
        </w:rPr>
        <w:t>טיקטינסקי</w:t>
      </w:r>
      <w:bookmarkStart w:id="577" w:name="_fnr328"/>
      <w:proofErr w:type="spellEnd"/>
      <w:r>
        <w:rPr>
          <w:rStyle w:val="a5"/>
        </w:rPr>
        <w:footnoteReference w:id="328" w:customMarkFollows="0"/>
      </w:r>
      <w:bookmarkEnd w:id="577"/>
      <w:r>
        <w:rPr>
          <w:rtl/>
        </w:rPr>
        <w:t xml:space="preserve"> ופרסם את שמו כשהיה רב </w:t>
      </w:r>
      <w:proofErr w:type="spellStart"/>
      <w:r>
        <w:rPr>
          <w:rtl/>
        </w:rPr>
        <w:t>בדרעטשין</w:t>
      </w:r>
      <w:proofErr w:type="spellEnd"/>
      <w:r>
        <w:rPr>
          <w:rtl/>
        </w:rPr>
        <w:t>, לפני שנתמנה בלידה.</w:t>
      </w:r>
    </w:p>
    <w:p w14:paraId="21DB0DBB"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מתאר את ר׳ אליהו </w:t>
      </w:r>
      <w:proofErr w:type="spellStart"/>
      <w:r>
        <w:rPr>
          <w:rtl/>
        </w:rPr>
        <w:t>כ“ידיד</w:t>
      </w:r>
      <w:proofErr w:type="spellEnd"/>
      <w:r>
        <w:rPr>
          <w:rtl/>
        </w:rPr>
        <w:t>” של אביו</w:t>
      </w:r>
      <w:bookmarkStart w:id="578" w:name="_fnr329"/>
      <w:bookmarkStart w:id="579" w:name="pr_f_261"/>
      <w:r>
        <w:rPr>
          <w:rStyle w:val="a5"/>
        </w:rPr>
        <w:footnoteReference w:id="329" w:customMarkFollows="0"/>
      </w:r>
      <w:bookmarkEnd w:id="578"/>
      <w:bookmarkEnd w:id="579"/>
      <w:r>
        <w:rPr>
          <w:rtl/>
        </w:rPr>
        <w:t>. בספר “מקור ברוך”</w:t>
      </w:r>
      <w:bookmarkStart w:id="580" w:name="_fnr330"/>
      <w:r>
        <w:rPr>
          <w:rStyle w:val="a5"/>
        </w:rPr>
        <w:footnoteReference w:id="330" w:customMarkFollows="0"/>
      </w:r>
      <w:bookmarkEnd w:id="580"/>
      <w:r>
        <w:rPr>
          <w:rtl/>
        </w:rPr>
        <w:t xml:space="preserve"> מסופר הוויכוח המעניין בין המגיד מווילנה, ר׳ </w:t>
      </w:r>
      <w:proofErr w:type="spellStart"/>
      <w:r>
        <w:rPr>
          <w:rtl/>
        </w:rPr>
        <w:t xml:space="preserve">וועלוול׳ה</w:t>
      </w:r>
      <w:proofErr w:type="spellEnd"/>
      <w:r>
        <w:rPr>
          <w:rtl/>
        </w:rPr>
        <w:t xml:space="preserve">, ובין ר׳ אליהו, כשנשא ר׳ אליהו את בתו של ר׳ </w:t>
      </w:r>
      <w:proofErr w:type="spellStart"/>
      <w:r>
        <w:rPr>
          <w:rtl/>
        </w:rPr>
        <w:t xml:space="preserve">וועלוול׳ה</w:t>
      </w:r>
      <w:proofErr w:type="spellEnd"/>
      <w:r>
        <w:rPr>
          <w:rtl/>
        </w:rPr>
        <w:t xml:space="preserve"> לאישה בנישואיו השניים.</w:t>
      </w:r>
    </w:p>
    <w:p w14:paraId="6BAA76AE" w14:textId="77777777" w:rsidR="00AB3647" w:rsidRDefault="00000000" w:rsidP="007923E9">
      <w:pPr>
        <w:spacing w:after="120" w:line="276" w:lineRule="auto"/>
        <w:ind w:firstLine="283"/>
        <w:jc w:val="both"/>
      </w:pPr>
      <w:r>
        <w:rPr>
          <w:rtl/>
        </w:rPr>
        <w:t xml:space="preserve">בספר “אידישע </w:t>
      </w:r>
      <w:proofErr w:type="spellStart"/>
      <w:r>
        <w:rPr>
          <w:rtl/>
        </w:rPr>
        <w:t>שטעט</w:t>
      </w:r>
      <w:proofErr w:type="spellEnd"/>
      <w:r>
        <w:rPr>
          <w:rtl/>
        </w:rPr>
        <w:t xml:space="preserve">, </w:t>
      </w:r>
      <w:proofErr w:type="spellStart"/>
      <w:r>
        <w:rPr>
          <w:rtl/>
        </w:rPr>
        <w:t>שטעטלאך</w:t>
      </w:r>
      <w:proofErr w:type="spellEnd"/>
      <w:r>
        <w:rPr>
          <w:rtl/>
        </w:rPr>
        <w:t xml:space="preserve"> און </w:t>
      </w:r>
      <w:proofErr w:type="spellStart"/>
      <w:r>
        <w:rPr>
          <w:rtl/>
        </w:rPr>
        <w:t>דארפישע</w:t>
      </w:r>
      <w:proofErr w:type="spellEnd"/>
      <w:r>
        <w:rPr>
          <w:rtl/>
        </w:rPr>
        <w:t xml:space="preserve"> יישובים אין </w:t>
      </w:r>
      <w:proofErr w:type="spellStart"/>
      <w:r>
        <w:rPr>
          <w:rtl/>
        </w:rPr>
        <w:t>ליטע</w:t>
      </w:r>
      <w:proofErr w:type="spellEnd"/>
      <w:r>
        <w:rPr>
          <w:rtl/>
        </w:rPr>
        <w:t xml:space="preserve">” [ערים, עיירות ויישובים כפריים יהודיים בליטא] מאת בערל </w:t>
      </w:r>
      <w:proofErr w:type="spellStart"/>
      <w:r>
        <w:rPr>
          <w:rtl/>
        </w:rPr>
        <w:t>קגן</w:t>
      </w:r>
      <w:bookmarkStart w:id="581" w:name="_fnr331"/>
      <w:proofErr w:type="spellEnd"/>
      <w:r>
        <w:rPr>
          <w:rStyle w:val="a5"/>
        </w:rPr>
        <w:footnoteReference w:id="331" w:customMarkFollows="0"/>
      </w:r>
      <w:bookmarkEnd w:id="581"/>
      <w:r>
        <w:rPr>
          <w:rtl/>
        </w:rPr>
        <w:t xml:space="preserve"> יש מידע מעניין על </w:t>
      </w:r>
      <w:proofErr w:type="spellStart"/>
      <w:r>
        <w:rPr>
          <w:rtl/>
        </w:rPr>
        <w:t>רבנותו</w:t>
      </w:r>
      <w:proofErr w:type="spellEnd"/>
      <w:r>
        <w:rPr>
          <w:rtl/>
        </w:rPr>
        <w:t xml:space="preserve"> של ר׳ אליהו </w:t>
      </w:r>
      <w:proofErr w:type="spellStart"/>
      <w:r>
        <w:rPr>
          <w:rtl/>
        </w:rPr>
        <w:t>בזאגר</w:t>
      </w:r>
      <w:proofErr w:type="spellEnd"/>
      <w:r>
        <w:rPr>
          <w:rtl/>
        </w:rPr>
        <w:t xml:space="preserve">, בזמן שהצאר ניקולאי הראשון ציווה על כל קהילה יהודית לספק מספר קצוב של מגויסים צעירים לצבא הרוסי. ילדים אלה נקראו </w:t>
      </w:r>
      <w:proofErr w:type="spellStart"/>
      <w:r>
        <w:rPr>
          <w:rtl/>
        </w:rPr>
        <w:t>קנטוניסטים</w:t>
      </w:r>
      <w:proofErr w:type="spellEnd"/>
      <w:r>
        <w:rPr>
          <w:rtl/>
        </w:rPr>
        <w:t>, על שם המחנות (“</w:t>
      </w:r>
      <w:proofErr w:type="spellStart"/>
      <w:r>
        <w:rPr>
          <w:rtl/>
        </w:rPr>
        <w:t>קנטונים</w:t>
      </w:r>
      <w:proofErr w:type="spellEnd"/>
      <w:r>
        <w:rPr>
          <w:rtl/>
        </w:rPr>
        <w:t>”) שבהם גודלו ילדי החיילים, שנחשבו רכוש הצבא</w:t>
      </w:r>
      <w:bookmarkStart w:id="582" w:name="_fnr332"/>
      <w:r>
        <w:rPr>
          <w:rStyle w:val="a5"/>
        </w:rPr>
        <w:footnoteReference w:id="332" w:customMarkFollows="0"/>
      </w:r>
      <w:bookmarkEnd w:id="582"/>
      <w:r>
        <w:rPr>
          <w:rtl/>
        </w:rPr>
        <w:t xml:space="preserve">. </w:t>
      </w:r>
      <w:proofErr w:type="spellStart"/>
      <w:r>
        <w:rPr>
          <w:rtl/>
        </w:rPr>
        <w:t>בזאגר</w:t>
      </w:r>
      <w:proofErr w:type="spellEnd"/>
      <w:r>
        <w:rPr>
          <w:rtl/>
        </w:rPr>
        <w:t xml:space="preserve"> אירע מעשה של חטיפת ילדים, ור׳ אליהו, “שהיה בדרך כלל לוחם נלהב וחם בעד היהודים העניים והמדוכאים – שהיו הקורבנות העיקריים של חטיפות הילדים בידי ראשי הקהל הרשעים – נטל גרזן בידו, אסף המון של יהודים עניים שהסתערו על המקום שבו הוחזקו הילדים, ושבר את הדלתות לשחררם. הוא גם היה מסתיר בביתו ילדים שהיו בסכנת חטיפה”.</w:t>
      </w:r>
    </w:p>
    <w:p w14:paraId="0597D073" w14:textId="2D674E98" w:rsidR="00AB3647" w:rsidRDefault="00000000" w:rsidP="007923E9">
      <w:pPr>
        <w:spacing w:after="120" w:line="276" w:lineRule="auto"/>
        <w:ind w:firstLine="283"/>
        <w:jc w:val="both"/>
      </w:pPr>
      <w:r>
        <w:rPr>
          <w:rtl/>
        </w:rPr>
        <w:lastRenderedPageBreak/>
        <w:t xml:space="preserve">ר׳ אליהו שיק ואחותו היו בני דודים ראשונים של אשתו השנייה של ר׳ </w:t>
      </w:r>
      <w:proofErr w:type="spellStart"/>
      <w:r>
        <w:rPr>
          <w:rtl/>
        </w:rPr>
        <w:t>לייבל׳ה</w:t>
      </w:r>
      <w:proofErr w:type="spellEnd"/>
      <w:r>
        <w:rPr>
          <w:rtl/>
        </w:rPr>
        <w:t xml:space="preserve"> שפירא (תקמ״ז–תרי״ג), רבה המפורסם של קובנה</w:t>
      </w:r>
      <w:bookmarkStart w:id="583" w:name="_fnr333"/>
      <w:r>
        <w:rPr>
          <w:rStyle w:val="a5"/>
        </w:rPr>
        <w:footnoteReference w:id="333" w:customMarkFollows="0"/>
      </w:r>
      <w:bookmarkEnd w:id="583"/>
      <w:r>
        <w:rPr>
          <w:rtl/>
        </w:rPr>
        <w:t xml:space="preserve">, תלמיד ר׳ חיים </w:t>
      </w:r>
      <w:proofErr w:type="spellStart"/>
      <w:r>
        <w:rPr>
          <w:rtl/>
        </w:rPr>
        <w:t>מוולוז׳ין</w:t>
      </w:r>
      <w:proofErr w:type="spellEnd"/>
      <w:r>
        <w:rPr>
          <w:rtl/>
        </w:rPr>
        <w:t xml:space="preserve"> ואביו של ר׳ רפאל שפירא. בשנת תרנ״ט ירש ר׳ רפאל את מקום חותנו,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כרב </w:t>
      </w:r>
      <w:proofErr w:type="spellStart"/>
      <w:r>
        <w:rPr>
          <w:rtl/>
        </w:rPr>
        <w:t>וולוז׳ין</w:t>
      </w:r>
      <w:proofErr w:type="spellEnd"/>
      <w:r>
        <w:rPr>
          <w:rtl/>
        </w:rPr>
        <w:t xml:space="preserve"> וכראש ישיבת </w:t>
      </w:r>
      <w:proofErr w:type="spellStart"/>
      <w:r>
        <w:rPr>
          <w:rtl/>
        </w:rPr>
        <w:t>וולוז׳ין</w:t>
      </w:r>
      <w:proofErr w:type="spellEnd"/>
      <w:r>
        <w:rPr>
          <w:rtl/>
        </w:rPr>
        <w:t xml:space="preserve"> שחודשה (שנסגרה שבע שנים קודם לכן). </w:t>
      </w:r>
      <w:proofErr w:type="spellStart"/>
      <w:r>
        <w:rPr>
          <w:rtl/>
        </w:rPr>
        <w:t>הנצי״ב</w:t>
      </w:r>
      <w:proofErr w:type="spellEnd"/>
      <w:r>
        <w:rPr>
          <w:rtl/>
        </w:rPr>
        <w:t xml:space="preserve"> (תקע״ז–תרנ״ג) ירש את מקום חותנו, ר׳ </w:t>
      </w:r>
      <w:proofErr w:type="spellStart"/>
      <w:r>
        <w:rPr>
          <w:rtl/>
        </w:rPr>
        <w:t>איצל׳ה</w:t>
      </w:r>
      <w:bookmarkStart w:id="584" w:name="_fnr334"/>
      <w:bookmarkEnd w:id="584"/>
      <w:proofErr w:type="spellEnd"/>
      <w:r>
        <w:rPr>
          <w:rStyle w:val="a5"/>
        </w:rPr>
        <w:t/>
      </w:r>
      <w:bookmarkStart w:id="6991" w:name="_TranslatorNote_5368"/>
      <w:r>
        <w:rPr>
          <w:rStyle w:val="a5"/>
          <w:vertAlign w:val="superscript"/>
          <w:rtl/>
        </w:rPr>
        <w:footnoteReference w:id="334" w:customMarkFollows="1"/>
        <w:t>*</w:t>
      </w:r>
      <w:bookmarkEnd w:id="6991"/>
      <w:r>
        <w:rPr>
          <w:rtl/>
        </w:rPr>
        <w:t xml:space="preserve">, שירש את מקום אביו, מייסד ישיבת </w:t>
      </w:r>
      <w:proofErr w:type="spellStart"/>
      <w:r>
        <w:rPr>
          <w:rtl/>
        </w:rPr>
        <w:t>וולוז׳ין</w:t>
      </w:r>
      <w:proofErr w:type="spellEnd"/>
      <w:r>
        <w:rPr>
          <w:rtl/>
        </w:rPr>
        <w:t xml:space="preserve">, </w:t>
      </w:r>
      <w:bookmarkStart w:id="585" w:name="_Hlk243579977"/>
      <w:r>
        <w:rPr>
          <w:rtl/>
        </w:rPr>
        <w:t xml:space="preserve">ר׳ חיים </w:t>
      </w:r>
      <w:proofErr w:type="spellStart"/>
      <w:r w:rsidR="00AB485B">
        <w:rPr>
          <w:rtl/>
        </w:rPr>
        <w:t>איצקוביץ</w:t>
      </w:r>
      <w:proofErr w:type="spellEnd"/>
      <w:r w:rsidR="00AB485B">
        <w:rPr>
          <w:rtl/>
        </w:rPr>
        <w:t>'</w:t>
      </w:r>
      <w:bookmarkEnd w:id="585"/>
      <w:r>
        <w:rPr>
          <w:rtl/>
        </w:rPr>
        <w:t xml:space="preserve">. מכאן שבני </w:t>
      </w:r>
      <w:proofErr w:type="spellStart"/>
      <w:r>
        <w:rPr>
          <w:rtl/>
        </w:rPr>
        <w:t>קמינצקי</w:t>
      </w:r>
      <w:proofErr w:type="spellEnd"/>
      <w:r>
        <w:rPr>
          <w:rtl/>
        </w:rPr>
        <w:t xml:space="preserve"> קשורים בקשר רחוק למשפחתו של ר׳ חיים </w:t>
      </w:r>
      <w:proofErr w:type="spellStart"/>
      <w:r>
        <w:rPr>
          <w:rtl/>
        </w:rPr>
        <w:t>מוולוז׳ין</w:t>
      </w:r>
      <w:bookmarkStart w:id="586" w:name="_fnr335"/>
      <w:proofErr w:type="spellEnd"/>
      <w:r>
        <w:rPr>
          <w:rStyle w:val="a5"/>
        </w:rPr>
        <w:footnoteReference w:id="335" w:customMarkFollows="0"/>
      </w:r>
      <w:bookmarkEnd w:id="586"/>
      <w:r>
        <w:rPr>
          <w:rtl/>
        </w:rPr>
        <w:t>.</w:t>
      </w:r>
    </w:p>
    <w:p w14:paraId="2C247A29" w14:textId="77777777" w:rsidR="00AB3647" w:rsidRDefault="00000000" w:rsidP="007923E9">
      <w:pPr>
        <w:pStyle w:val="4"/>
        <w:spacing w:line="276" w:lineRule="auto"/>
      </w:pPr>
      <w:r>
        <w:t>· הפסקה השנייה ·</w:t>
      </w:r>
    </w:p>
    <w:p w14:paraId="0E6F3B15" w14:textId="77777777" w:rsidR="00AB3647" w:rsidRDefault="00000000" w:rsidP="007923E9">
      <w:pPr>
        <w:pStyle w:val="5"/>
        <w:spacing w:line="276" w:lineRule="auto"/>
      </w:pPr>
      <w:r>
        <w:t xml:space="preserve">ר׳ אליהו מבקר אצל ר׳ </w:t>
      </w:r>
      <w:proofErr w:type="spellStart"/>
      <w:r>
        <w:t>לייבל׳ה</w:t>
      </w:r>
      <w:proofErr w:type="spellEnd"/>
      <w:r>
        <w:t xml:space="preserve"> – ר׳ אליהו ידוע כמתנגד – ר׳ </w:t>
      </w:r>
      <w:proofErr w:type="spellStart"/>
      <w:r>
        <w:t>לייבל׳ה</w:t>
      </w:r>
      <w:proofErr w:type="spellEnd"/>
      <w:r>
        <w:t xml:space="preserve"> מתחמק מר׳ אליהו כמה פעמים – האחרון מספר מדוע – ר׳ </w:t>
      </w:r>
      <w:proofErr w:type="spellStart"/>
      <w:r>
        <w:t>לייבל׳ה</w:t>
      </w:r>
      <w:proofErr w:type="spellEnd"/>
      <w:r>
        <w:t xml:space="preserve"> הוא מופת האמת</w:t>
      </w:r>
    </w:p>
    <w:p w14:paraId="5C3A5358" w14:textId="77777777" w:rsidR="00AB3647" w:rsidRDefault="00000000" w:rsidP="007923E9">
      <w:pPr>
        <w:spacing w:after="120" w:line="276" w:lineRule="auto"/>
        <w:ind w:firstLine="283"/>
        <w:jc w:val="both"/>
      </w:pPr>
      <w:r>
        <w:rPr>
          <w:rtl/>
        </w:rPr>
        <w:t xml:space="preserve">בעל נכדתו של אבי, ר׳ נתן שטרן, רשם רשימות מתוארכות של דברים מעניינים ששמע מפי רבנו בעיר מגוריהם המשותפת, </w:t>
      </w:r>
      <w:proofErr w:type="spellStart"/>
      <w:r>
        <w:rPr>
          <w:rtl/>
        </w:rPr>
        <w:t>מונסי</w:t>
      </w:r>
      <w:proofErr w:type="spellEnd"/>
      <w:r>
        <w:rPr>
          <w:rtl/>
        </w:rPr>
        <w:t xml:space="preserve">. בסתיו </w:t>
      </w:r>
      <w:proofErr w:type="spellStart"/>
      <w:r>
        <w:rPr>
          <w:rtl/>
        </w:rPr>
        <w:t>תש״ם</w:t>
      </w:r>
      <w:proofErr w:type="spellEnd"/>
      <w:r>
        <w:rPr>
          <w:rtl/>
        </w:rPr>
        <w:t xml:space="preserve"> סיפר אבי את המעשה הבא על ר׳ אליהו שיק, כפי שר׳ אליהו עצמו סיפרו.</w:t>
      </w:r>
    </w:p>
    <w:p w14:paraId="449C3215" w14:textId="77777777" w:rsidR="00AB3647" w:rsidRDefault="00000000" w:rsidP="007923E9">
      <w:pPr>
        <w:spacing w:after="120" w:line="276" w:lineRule="auto"/>
        <w:ind w:firstLine="283"/>
        <w:jc w:val="both"/>
      </w:pPr>
      <w:r>
        <w:rPr>
          <w:rtl/>
        </w:rPr>
        <w:t xml:space="preserve">בזמן המעשה היה ר׳ אליהו רב </w:t>
      </w:r>
      <w:proofErr w:type="spellStart"/>
      <w:r>
        <w:rPr>
          <w:rtl/>
        </w:rPr>
        <w:t>בדרעטשין</w:t>
      </w:r>
      <w:proofErr w:type="spellEnd"/>
      <w:r>
        <w:rPr>
          <w:rtl/>
        </w:rPr>
        <w:t xml:space="preserve">, ובא </w:t>
      </w:r>
      <w:proofErr w:type="spellStart"/>
      <w:r>
        <w:rPr>
          <w:rtl/>
        </w:rPr>
        <w:t>לסמורגון</w:t>
      </w:r>
      <w:proofErr w:type="spellEnd"/>
      <w:r>
        <w:rPr>
          <w:rtl/>
        </w:rPr>
        <w:t xml:space="preserve">, שבה כיהן כרב קרובו מצד הנישואין ר׳ </w:t>
      </w:r>
      <w:proofErr w:type="spellStart"/>
      <w:r>
        <w:rPr>
          <w:rtl/>
        </w:rPr>
        <w:t>לייבל׳ה</w:t>
      </w:r>
      <w:proofErr w:type="spellEnd"/>
      <w:r>
        <w:rPr>
          <w:rtl/>
        </w:rPr>
        <w:t xml:space="preserve"> שפירא, כדי לאסוף תרומות לקהילת </w:t>
      </w:r>
      <w:proofErr w:type="spellStart"/>
      <w:r>
        <w:rPr>
          <w:rtl/>
        </w:rPr>
        <w:t>דרעטשין</w:t>
      </w:r>
      <w:proofErr w:type="spellEnd"/>
      <w:r>
        <w:rPr>
          <w:rtl/>
        </w:rPr>
        <w:t xml:space="preserve">, שנפגעה בשריפה הרסנית. ר׳ </w:t>
      </w:r>
      <w:proofErr w:type="spellStart"/>
      <w:r>
        <w:rPr>
          <w:rtl/>
        </w:rPr>
        <w:t>לייבל׳ה</w:t>
      </w:r>
      <w:proofErr w:type="spellEnd"/>
      <w:r>
        <w:rPr>
          <w:rtl/>
        </w:rPr>
        <w:t xml:space="preserve"> ליווה אותו בסיוריו. כשהגיעו לפני ביתו של חסיד חב״ד עשיר, אמר לו ר׳ </w:t>
      </w:r>
      <w:proofErr w:type="spellStart"/>
      <w:r>
        <w:rPr>
          <w:rtl/>
        </w:rPr>
        <w:t>לייבל׳ה</w:t>
      </w:r>
      <w:proofErr w:type="spellEnd"/>
      <w:r>
        <w:rPr>
          <w:rtl/>
        </w:rPr>
        <w:t xml:space="preserve"> שאין טעם להיכנס לבית זה, משום שבעליו לא יתרום לשום דבר </w:t>
      </w:r>
      <w:proofErr w:type="spellStart"/>
      <w:r>
        <w:rPr>
          <w:rtl/>
        </w:rPr>
        <w:t>בדרעטשין</w:t>
      </w:r>
      <w:proofErr w:type="spellEnd"/>
      <w:r>
        <w:rPr>
          <w:rtl/>
        </w:rPr>
        <w:t>, עיירה הידועה כמרכז של מתנגדים מאז המחלוקת עם החסידים לפני יותר מחמישים שנה.</w:t>
      </w:r>
    </w:p>
    <w:p w14:paraId="373A24AC" w14:textId="77777777" w:rsidR="00AB3647" w:rsidRDefault="00000000" w:rsidP="007923E9">
      <w:pPr>
        <w:spacing w:after="120" w:line="276" w:lineRule="auto"/>
        <w:ind w:firstLine="283"/>
        <w:jc w:val="both"/>
      </w:pPr>
      <w:r>
        <w:rPr>
          <w:rtl/>
        </w:rPr>
        <w:t xml:space="preserve">אבי גילה בנקודה זו שגם ר׳ אליהו עצמו נחשב למתנגד נלהב, עד שחסידים האשימוהו שפסק הלכה בכוונה כדי לצערם. החסידים, שנמנעים מלאכול </w:t>
      </w:r>
      <w:proofErr w:type="spellStart"/>
      <w:r>
        <w:rPr>
          <w:rtl/>
        </w:rPr>
        <w:t>געבראקטס</w:t>
      </w:r>
      <w:proofErr w:type="spellEnd"/>
      <w:r>
        <w:rPr>
          <w:rtl/>
        </w:rPr>
        <w:t xml:space="preserve"> בפסח, נהגו להתענג על </w:t>
      </w:r>
      <w:proofErr w:type="spellStart"/>
      <w:r>
        <w:rPr>
          <w:rtl/>
        </w:rPr>
        <w:t>קניידלעך</w:t>
      </w:r>
      <w:proofErr w:type="spellEnd"/>
      <w:r>
        <w:rPr>
          <w:rtl/>
        </w:rPr>
        <w:t xml:space="preserve"> של מצה ביום הנוסף של החג, אחרון של פסח.</w:t>
      </w:r>
    </w:p>
    <w:p w14:paraId="4C9DBA8B" w14:textId="77777777" w:rsidR="00AB3647" w:rsidRDefault="00000000" w:rsidP="007923E9">
      <w:pPr>
        <w:spacing w:after="120" w:line="276" w:lineRule="auto"/>
        <w:ind w:firstLine="283"/>
        <w:jc w:val="both"/>
      </w:pPr>
      <w:r>
        <w:rPr>
          <w:rtl/>
        </w:rPr>
        <w:t xml:space="preserve">בשנת תרל״ג, כשחל פסח בשבת, אסר ר׳ אליהו להכין </w:t>
      </w:r>
      <w:proofErr w:type="spellStart"/>
      <w:r>
        <w:rPr>
          <w:rtl/>
        </w:rPr>
        <w:t>קניידלעך</w:t>
      </w:r>
      <w:proofErr w:type="spellEnd"/>
      <w:r>
        <w:rPr>
          <w:rtl/>
        </w:rPr>
        <w:t xml:space="preserve"> ביום שישי ליום האחרון של פסח, משום שסבר שמותר לבשל ביום טוב לצורך שבת רק מאכל שמותר לאכלו ביום טוב עצמו</w:t>
      </w:r>
      <w:bookmarkStart w:id="587" w:name="_fnr336"/>
      <w:r>
        <w:rPr>
          <w:rStyle w:val="a5"/>
        </w:rPr>
        <w:footnoteReference w:id="336" w:customMarkFollows="0"/>
      </w:r>
      <w:bookmarkEnd w:id="587"/>
      <w:r>
        <w:rPr>
          <w:rtl/>
        </w:rPr>
        <w:t xml:space="preserve">. כשנפטר ר׳ אליהו כעבור שנה וחצי, באלול תרל״ד, טענו החסידים שנענש מן השמים, משום שפסקו מנע מהם ליהנות </w:t>
      </w:r>
      <w:proofErr w:type="spellStart"/>
      <w:r>
        <w:rPr>
          <w:rtl/>
        </w:rPr>
        <w:t>מקניידלעך</w:t>
      </w:r>
      <w:proofErr w:type="spellEnd"/>
      <w:r>
        <w:rPr>
          <w:rtl/>
        </w:rPr>
        <w:t xml:space="preserve"> ביום היחיד בכל החג שבו הותר להם, לחסידים, לאכלם</w:t>
      </w:r>
      <w:bookmarkStart w:id="588" w:name="_fnr337"/>
      <w:r>
        <w:rPr>
          <w:rStyle w:val="a5"/>
        </w:rPr>
        <w:footnoteReference w:id="337" w:customMarkFollows="0"/>
      </w:r>
      <w:bookmarkEnd w:id="588"/>
      <w:r>
        <w:rPr>
          <w:rtl/>
        </w:rPr>
        <w:t>. ראה גם “רבותינו שבגולה”</w:t>
      </w:r>
      <w:bookmarkStart w:id="589" w:name="_fnr338"/>
      <w:r>
        <w:rPr>
          <w:rStyle w:val="a5"/>
        </w:rPr>
        <w:footnoteReference w:id="338" w:customMarkFollows="0"/>
      </w:r>
      <w:bookmarkEnd w:id="589"/>
      <w:r>
        <w:rPr>
          <w:rtl/>
        </w:rPr>
        <w:t xml:space="preserve">, שם נאמר </w:t>
      </w:r>
      <w:proofErr w:type="spellStart"/>
      <w:r>
        <w:rPr>
          <w:rtl/>
        </w:rPr>
        <w:t>ש“יש</w:t>
      </w:r>
      <w:proofErr w:type="spellEnd"/>
      <w:r>
        <w:rPr>
          <w:rtl/>
        </w:rPr>
        <w:t xml:space="preserve"> אומרים” שעזב את </w:t>
      </w:r>
      <w:r>
        <w:rPr>
          <w:rtl/>
        </w:rPr>
        <w:lastRenderedPageBreak/>
        <w:t xml:space="preserve">רבנות העיר הגדולה לידה בשנת תרכ״ד ועבר לעיירה הקטנה </w:t>
      </w:r>
      <w:proofErr w:type="spellStart"/>
      <w:r>
        <w:rPr>
          <w:rtl/>
        </w:rPr>
        <w:t>זאגר</w:t>
      </w:r>
      <w:proofErr w:type="spellEnd"/>
      <w:r>
        <w:rPr>
          <w:rtl/>
        </w:rPr>
        <w:t xml:space="preserve"> משום שהיה מעורב במחלוקת בין חסידים למתנגדים בלידה.</w:t>
      </w:r>
    </w:p>
    <w:p w14:paraId="5A0A3B17" w14:textId="77777777" w:rsidR="00AB3647" w:rsidRDefault="00000000" w:rsidP="007923E9">
      <w:pPr>
        <w:spacing w:after="120" w:line="276" w:lineRule="auto"/>
        <w:ind w:firstLine="283"/>
        <w:jc w:val="both"/>
      </w:pPr>
      <w:r>
        <w:rPr>
          <w:rtl/>
        </w:rPr>
        <w:t xml:space="preserve">מחוץ לביתו של החסיד </w:t>
      </w:r>
      <w:proofErr w:type="spellStart"/>
      <w:r>
        <w:rPr>
          <w:rtl/>
        </w:rPr>
        <w:t>החב״די</w:t>
      </w:r>
      <w:proofErr w:type="spellEnd"/>
      <w:r>
        <w:rPr>
          <w:rtl/>
        </w:rPr>
        <w:t xml:space="preserve"> טען ר׳ אליהו בתוקף באוזני ר׳ </w:t>
      </w:r>
      <w:proofErr w:type="spellStart"/>
      <w:r>
        <w:rPr>
          <w:rtl/>
        </w:rPr>
        <w:t>לייבל׳ה</w:t>
      </w:r>
      <w:proofErr w:type="spellEnd"/>
      <w:r>
        <w:rPr>
          <w:rtl/>
        </w:rPr>
        <w:t xml:space="preserve"> שהוא יוציא תרומה מבעל הבית, ואף התערב עמו על “רובל לישיבת </w:t>
      </w:r>
      <w:proofErr w:type="spellStart"/>
      <w:r>
        <w:rPr>
          <w:rtl/>
        </w:rPr>
        <w:t>וולוז׳ין</w:t>
      </w:r>
      <w:proofErr w:type="spellEnd"/>
      <w:r>
        <w:rPr>
          <w:rtl/>
        </w:rPr>
        <w:t xml:space="preserve">” שיצליח בדבר. ר׳ אליהו נכנס לבית החסיד לבדו ויצא עם תרומה של שלושה רובל. שאל אותו ר׳ </w:t>
      </w:r>
      <w:proofErr w:type="spellStart"/>
      <w:r>
        <w:rPr>
          <w:rtl/>
        </w:rPr>
        <w:t>לייבל׳ה</w:t>
      </w:r>
      <w:proofErr w:type="spellEnd"/>
      <w:r>
        <w:rPr>
          <w:rtl/>
        </w:rPr>
        <w:t xml:space="preserve">, המבוגר ממנו בעשרים ושתיים שנה, כיצד עשה זאת, והוא השיב: “סיפרתי לו מעשה על </w:t>
      </w:r>
      <w:proofErr w:type="spellStart"/>
      <w:r>
        <w:rPr>
          <w:rtl/>
        </w:rPr>
        <w:t>האלטער</w:t>
      </w:r>
      <w:proofErr w:type="spellEnd"/>
      <w:r>
        <w:rPr>
          <w:rtl/>
        </w:rPr>
        <w:t xml:space="preserve"> רבי”. אמר לו ר׳ </w:t>
      </w:r>
      <w:proofErr w:type="spellStart"/>
      <w:r>
        <w:rPr>
          <w:rtl/>
        </w:rPr>
        <w:t>לייבל׳ה</w:t>
      </w:r>
      <w:proofErr w:type="spellEnd"/>
      <w:r>
        <w:rPr>
          <w:rtl/>
        </w:rPr>
        <w:t xml:space="preserve">: “זכית [זוכה </w:t>
      </w:r>
      <w:proofErr w:type="spellStart"/>
      <w:r>
        <w:rPr>
          <w:rtl/>
        </w:rPr>
        <w:t>געווען</w:t>
      </w:r>
      <w:proofErr w:type="spellEnd"/>
      <w:r>
        <w:rPr>
          <w:rtl/>
        </w:rPr>
        <w:t xml:space="preserve">] בשלושה רובל, והרי לך הרובל שלי </w:t>
      </w:r>
      <w:proofErr w:type="spellStart"/>
      <w:r>
        <w:rPr>
          <w:rtl/>
        </w:rPr>
        <w:t>לוולוז׳ין</w:t>
      </w:r>
      <w:proofErr w:type="spellEnd"/>
      <w:r>
        <w:rPr>
          <w:rtl/>
        </w:rPr>
        <w:t>, אבל איני יכול ללוות אותך עוד, משום [שהתורה מצווה] ‘מדבר שקר תרחק’</w:t>
      </w:r>
      <w:bookmarkStart w:id="590" w:name="_fnr339"/>
      <w:r>
        <w:rPr>
          <w:rStyle w:val="a5"/>
        </w:rPr>
        <w:footnoteReference w:id="339" w:customMarkFollows="0"/>
      </w:r>
      <w:bookmarkEnd w:id="590"/>
      <w:r>
        <w:rPr>
          <w:rtl/>
        </w:rPr>
        <w:t>”.</w:t>
      </w:r>
    </w:p>
    <w:p w14:paraId="5589BDF7" w14:textId="77777777" w:rsidR="00AB3647" w:rsidRDefault="00000000" w:rsidP="007923E9">
      <w:pPr>
        <w:spacing w:after="120" w:line="276" w:lineRule="auto"/>
        <w:ind w:firstLine="283"/>
        <w:jc w:val="both"/>
      </w:pPr>
      <w:r>
        <w:rPr>
          <w:rtl/>
        </w:rPr>
        <w:t xml:space="preserve">כעבור זמן בא ר׳ אליהו לבקר את ר׳ </w:t>
      </w:r>
      <w:proofErr w:type="spellStart"/>
      <w:r>
        <w:rPr>
          <w:rtl/>
        </w:rPr>
        <w:t>לייבל׳ה</w:t>
      </w:r>
      <w:proofErr w:type="spellEnd"/>
      <w:r>
        <w:rPr>
          <w:rtl/>
        </w:rPr>
        <w:t xml:space="preserve">, שהיה כבר אז רב קובנה, ומיד כשנכנס ר׳ אליהו בדלת אחת, יצא ר׳ </w:t>
      </w:r>
      <w:proofErr w:type="spellStart"/>
      <w:r>
        <w:rPr>
          <w:rtl/>
        </w:rPr>
        <w:t>לייבל׳ה</w:t>
      </w:r>
      <w:proofErr w:type="spellEnd"/>
      <w:r>
        <w:rPr>
          <w:rtl/>
        </w:rPr>
        <w:t xml:space="preserve"> בדלת האחרת. פעם אחרת התאכסן ר׳ </w:t>
      </w:r>
      <w:proofErr w:type="spellStart"/>
      <w:r>
        <w:rPr>
          <w:rtl/>
        </w:rPr>
        <w:t>לייבל׳ה</w:t>
      </w:r>
      <w:proofErr w:type="spellEnd"/>
      <w:r>
        <w:rPr>
          <w:rtl/>
        </w:rPr>
        <w:t xml:space="preserve"> בפונדק כשהגיע ר׳ אליהו, ור׳ </w:t>
      </w:r>
      <w:proofErr w:type="spellStart"/>
      <w:r>
        <w:rPr>
          <w:rtl/>
        </w:rPr>
        <w:t>לייבל׳ה</w:t>
      </w:r>
      <w:proofErr w:type="spellEnd"/>
      <w:r>
        <w:rPr>
          <w:rtl/>
        </w:rPr>
        <w:t xml:space="preserve"> עזב מיד את הפונדק. אבי סיים את הסיפור בלי לבאר: “נראה שאחר כך עשו שלום”.</w:t>
      </w:r>
    </w:p>
    <w:p w14:paraId="20499A0E" w14:textId="77777777" w:rsidR="00AB3647" w:rsidRDefault="00000000" w:rsidP="007923E9">
      <w:pPr>
        <w:spacing w:after="120" w:line="276" w:lineRule="auto"/>
        <w:ind w:firstLine="283"/>
        <w:jc w:val="both"/>
      </w:pPr>
      <w:r>
        <w:rPr>
          <w:rtl/>
        </w:rPr>
        <w:t xml:space="preserve">רבנו סיפר גם באילו נסיבות סיפר ר׳ אליהו את המעשה הנזכר: “כשנעשה ר׳ אליהו רב </w:t>
      </w:r>
      <w:proofErr w:type="spellStart"/>
      <w:r>
        <w:rPr>
          <w:rtl/>
        </w:rPr>
        <w:t>בקוברין</w:t>
      </w:r>
      <w:bookmarkStart w:id="591" w:name="_fnr340"/>
      <w:proofErr w:type="spellEnd"/>
      <w:r>
        <w:rPr>
          <w:rStyle w:val="a5"/>
        </w:rPr>
        <w:footnoteReference w:id="340" w:customMarkFollows="0"/>
      </w:r>
      <w:bookmarkEnd w:id="591"/>
      <w:r>
        <w:rPr>
          <w:rtl/>
        </w:rPr>
        <w:t xml:space="preserve"> ובא אצלו רבי חסידי לבקרו</w:t>
      </w:r>
      <w:bookmarkStart w:id="592" w:name="_fnr341"/>
      <w:r>
        <w:rPr>
          <w:rStyle w:val="a5"/>
        </w:rPr>
        <w:footnoteReference w:id="341" w:customMarkFollows="0"/>
      </w:r>
      <w:bookmarkEnd w:id="592"/>
      <w:r>
        <w:rPr>
          <w:rtl/>
        </w:rPr>
        <w:t xml:space="preserve">, חייב היה מצד הנימוס להחזיר לו ביקור. בשעה שהמתין להיכנס לחדרו של הרבי, סיפר למלווהו על התקרית שאירעה לו עם ר׳ </w:t>
      </w:r>
      <w:proofErr w:type="spellStart"/>
      <w:r>
        <w:rPr>
          <w:rtl/>
        </w:rPr>
        <w:t>לייבל׳ה</w:t>
      </w:r>
      <w:proofErr w:type="spellEnd"/>
      <w:r>
        <w:rPr>
          <w:rtl/>
        </w:rPr>
        <w:t xml:space="preserve"> שפירא, והוסיף: ‘וואו </w:t>
      </w:r>
      <w:proofErr w:type="spellStart"/>
      <w:r>
        <w:rPr>
          <w:rtl/>
        </w:rPr>
        <w:t>נעמט</w:t>
      </w:r>
      <w:proofErr w:type="spellEnd"/>
      <w:r>
        <w:rPr>
          <w:rtl/>
        </w:rPr>
        <w:t xml:space="preserve"> מען </w:t>
      </w:r>
      <w:proofErr w:type="spellStart"/>
      <w:r>
        <w:rPr>
          <w:rtl/>
        </w:rPr>
        <w:t>דאס</w:t>
      </w:r>
      <w:proofErr w:type="spellEnd"/>
      <w:r>
        <w:rPr>
          <w:rtl/>
        </w:rPr>
        <w:t xml:space="preserve"> </w:t>
      </w:r>
      <w:proofErr w:type="spellStart"/>
      <w:r>
        <w:rPr>
          <w:rtl/>
        </w:rPr>
        <w:t>דעם</w:t>
      </w:r>
      <w:proofErr w:type="spellEnd"/>
      <w:r>
        <w:rPr>
          <w:rtl/>
        </w:rPr>
        <w:t xml:space="preserve"> </w:t>
      </w:r>
      <w:proofErr w:type="spellStart"/>
      <w:r>
        <w:rPr>
          <w:rtl/>
        </w:rPr>
        <w:t>אמאליגען</w:t>
      </w:r>
      <w:proofErr w:type="spellEnd"/>
      <w:r>
        <w:rPr>
          <w:rtl/>
        </w:rPr>
        <w:t xml:space="preserve"> אמת [היכן משיגים את האמת של פעם]?! לא הרבי מחזיק ממני, ולא אני מחזיק ממנו – ובכל זאת אנו מבקרים זה את זה’</w:t>
      </w:r>
      <w:bookmarkStart w:id="593" w:name="_fnr342"/>
      <w:r>
        <w:rPr>
          <w:rStyle w:val="a5"/>
        </w:rPr>
        <w:footnoteReference w:id="342" w:customMarkFollows="0"/>
      </w:r>
      <w:bookmarkEnd w:id="593"/>
      <w:r>
        <w:rPr>
          <w:rtl/>
        </w:rPr>
        <w:t>”.</w:t>
      </w:r>
    </w:p>
    <w:p w14:paraId="42A7BF16" w14:textId="77777777" w:rsidR="00AB3647" w:rsidRDefault="00000000" w:rsidP="007923E9">
      <w:pPr>
        <w:spacing w:after="120" w:line="276" w:lineRule="auto"/>
        <w:ind w:firstLine="283"/>
        <w:jc w:val="both"/>
      </w:pPr>
      <w:r>
        <w:rPr>
          <w:rtl/>
        </w:rPr>
        <w:t xml:space="preserve">בעניין מידת האמת של ר׳ </w:t>
      </w:r>
      <w:proofErr w:type="spellStart"/>
      <w:r>
        <w:rPr>
          <w:rtl/>
        </w:rPr>
        <w:t>לייבל׳ה</w:t>
      </w:r>
      <w:proofErr w:type="spellEnd"/>
      <w:r>
        <w:rPr>
          <w:rtl/>
        </w:rPr>
        <w:t xml:space="preserve"> שפירא, סיפר נכד נכדו ר׳ אלחנן שפירא</w:t>
      </w:r>
      <w:bookmarkStart w:id="594" w:name="_fnr343"/>
      <w:r>
        <w:rPr>
          <w:rStyle w:val="a5"/>
        </w:rPr>
        <w:footnoteReference w:id="343" w:customMarkFollows="0"/>
      </w:r>
      <w:bookmarkEnd w:id="594"/>
      <w:r>
        <w:rPr>
          <w:rtl/>
        </w:rPr>
        <w:t xml:space="preserve"> בשם בן נכדתו של ר׳ </w:t>
      </w:r>
      <w:proofErr w:type="spellStart"/>
      <w:r>
        <w:rPr>
          <w:rtl/>
        </w:rPr>
        <w:t>לייבל׳ה</w:t>
      </w:r>
      <w:proofErr w:type="spellEnd"/>
      <w:r>
        <w:rPr>
          <w:rtl/>
        </w:rPr>
        <w:t xml:space="preserve">, ר׳ ישראל ריף, שר׳ ישראל </w:t>
      </w:r>
      <w:proofErr w:type="spellStart"/>
      <w:r>
        <w:rPr>
          <w:rtl/>
        </w:rPr>
        <w:t>סלנטר</w:t>
      </w:r>
      <w:proofErr w:type="spellEnd"/>
      <w:r>
        <w:rPr>
          <w:rtl/>
        </w:rPr>
        <w:t xml:space="preserve"> הספיד את ר׳ </w:t>
      </w:r>
      <w:proofErr w:type="spellStart"/>
      <w:r>
        <w:rPr>
          <w:rtl/>
        </w:rPr>
        <w:t>לייבל׳ה</w:t>
      </w:r>
      <w:proofErr w:type="spellEnd"/>
      <w:r>
        <w:rPr>
          <w:rtl/>
        </w:rPr>
        <w:t xml:space="preserve"> במילים: “הפסוק בספר דניאל</w:t>
      </w:r>
      <w:bookmarkStart w:id="595" w:name="_fnr344"/>
      <w:r>
        <w:rPr>
          <w:rStyle w:val="a5"/>
        </w:rPr>
        <w:footnoteReference w:id="344" w:customMarkFollows="0"/>
      </w:r>
      <w:bookmarkEnd w:id="595"/>
      <w:r>
        <w:rPr>
          <w:rtl/>
        </w:rPr>
        <w:t xml:space="preserve"> מתאר ‘ותשלך אמת ארצה’. ומה שאנו עושים עתה הוא לקבור את ‘האמת’ באדמה”.</w:t>
      </w:r>
    </w:p>
    <w:p w14:paraId="385A8B14" w14:textId="77777777" w:rsidR="00AB3647" w:rsidRDefault="00000000" w:rsidP="007923E9">
      <w:pPr>
        <w:spacing w:after="120" w:line="276" w:lineRule="auto"/>
        <w:ind w:firstLine="283"/>
        <w:jc w:val="both"/>
      </w:pPr>
      <w:r>
        <w:rPr>
          <w:rtl/>
        </w:rPr>
        <w:t xml:space="preserve">עוד אמר ר׳ אלחנן שבמשפחת </w:t>
      </w:r>
      <w:proofErr w:type="spellStart"/>
      <w:r>
        <w:rPr>
          <w:rtl/>
        </w:rPr>
        <w:t>סולובייצ׳יק</w:t>
      </w:r>
      <w:proofErr w:type="spellEnd"/>
      <w:r>
        <w:rPr>
          <w:rtl/>
        </w:rPr>
        <w:t xml:space="preserve"> יש מסורת שר׳ </w:t>
      </w:r>
      <w:proofErr w:type="spellStart"/>
      <w:r>
        <w:rPr>
          <w:rtl/>
        </w:rPr>
        <w:t>לייבל׳ה</w:t>
      </w:r>
      <w:proofErr w:type="spellEnd"/>
      <w:r>
        <w:rPr>
          <w:rtl/>
        </w:rPr>
        <w:t xml:space="preserve"> סירב להניח </w:t>
      </w:r>
      <w:proofErr w:type="spellStart"/>
      <w:r>
        <w:rPr>
          <w:rtl/>
        </w:rPr>
        <w:t>לר</w:t>
      </w:r>
      <w:proofErr w:type="spellEnd"/>
      <w:r>
        <w:rPr>
          <w:rtl/>
        </w:rPr>
        <w:t xml:space="preserve">׳ ישראל לבקרו על ערש דווי, משום שהתנגד לתנועת המוסר של ר׳ ישראל. כששאלוהו: “עד כדי כך אתה מתנגד למוסר, שאינך מניח למנהיג התנועה לבקרך?” – השיב בחיוב. ר׳ אלחנן העיר שאביו, ר׳ </w:t>
      </w:r>
      <w:proofErr w:type="spellStart"/>
      <w:r>
        <w:rPr>
          <w:rtl/>
        </w:rPr>
        <w:t>אליהו־חיים</w:t>
      </w:r>
      <w:proofErr w:type="spellEnd"/>
      <w:r>
        <w:rPr>
          <w:rtl/>
        </w:rPr>
        <w:t xml:space="preserve"> שפירא, לא האמין שסיפור זה אמת. גם אני פקפקתי בו, משום שאילו זו הייתה עמדתו של ר׳ </w:t>
      </w:r>
      <w:proofErr w:type="spellStart"/>
      <w:r>
        <w:rPr>
          <w:rtl/>
        </w:rPr>
        <w:t>לייבל׳ה</w:t>
      </w:r>
      <w:proofErr w:type="spellEnd"/>
      <w:r>
        <w:rPr>
          <w:rtl/>
        </w:rPr>
        <w:t xml:space="preserve"> ברגעיו האחרונים, לא הייתה המשפחה מתירה </w:t>
      </w:r>
      <w:proofErr w:type="spellStart"/>
      <w:r>
        <w:rPr>
          <w:rtl/>
        </w:rPr>
        <w:t>לר</w:t>
      </w:r>
      <w:proofErr w:type="spellEnd"/>
      <w:r>
        <w:rPr>
          <w:rtl/>
        </w:rPr>
        <w:t xml:space="preserve">׳ ישראל להספידו. אבל השווה גם פרק 5, סוף הפסקה השנייה של נספח ב, שהתנגדותו של ר׳ </w:t>
      </w:r>
      <w:proofErr w:type="spellStart"/>
      <w:r>
        <w:rPr>
          <w:rtl/>
        </w:rPr>
        <w:t>לייבל׳ה</w:t>
      </w:r>
      <w:proofErr w:type="spellEnd"/>
      <w:r>
        <w:rPr>
          <w:rtl/>
        </w:rPr>
        <w:t xml:space="preserve"> שפירא למוסר לא מנעה ממנו לנהוג כבוד רב בר׳ ישראל </w:t>
      </w:r>
      <w:proofErr w:type="spellStart"/>
      <w:r>
        <w:rPr>
          <w:rtl/>
        </w:rPr>
        <w:t>סלנטר</w:t>
      </w:r>
      <w:proofErr w:type="spellEnd"/>
      <w:r>
        <w:rPr>
          <w:rtl/>
        </w:rPr>
        <w:t>.</w:t>
      </w:r>
    </w:p>
    <w:p w14:paraId="0496612D" w14:textId="77777777" w:rsidR="00AB3647" w:rsidRDefault="00000000" w:rsidP="007923E9">
      <w:pPr>
        <w:spacing w:after="120" w:line="276" w:lineRule="auto"/>
        <w:ind w:firstLine="283"/>
        <w:jc w:val="both"/>
      </w:pPr>
      <w:r>
        <w:rPr>
          <w:rtl/>
        </w:rPr>
        <w:lastRenderedPageBreak/>
        <w:t xml:space="preserve">מעשה זה שסיפר ר׳ אלחנן נרשם גם בספר “עובדות והנהגות לבית </w:t>
      </w:r>
      <w:proofErr w:type="spellStart"/>
      <w:r>
        <w:rPr>
          <w:rtl/>
        </w:rPr>
        <w:t>בריסק</w:t>
      </w:r>
      <w:proofErr w:type="spellEnd"/>
      <w:r>
        <w:rPr>
          <w:rtl/>
        </w:rPr>
        <w:t xml:space="preserve">” מאת שמעון יוסף מילר</w:t>
      </w:r>
      <w:bookmarkStart w:id="596" w:name="_fnr345"/>
      <w:r>
        <w:rPr>
          <w:rStyle w:val="a5"/>
        </w:rPr>
        <w:footnoteReference w:id="345" w:customMarkFollows="0"/>
      </w:r>
      <w:bookmarkEnd w:id="596"/>
      <w:r>
        <w:rPr>
          <w:rtl/>
        </w:rPr>
        <w:t xml:space="preserve">, כמו שסיפרו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בשם אביו. חילופי הדברים המדויקים עם ר׳ </w:t>
      </w:r>
      <w:proofErr w:type="spellStart"/>
      <w:r>
        <w:rPr>
          <w:rtl/>
        </w:rPr>
        <w:t>לייבל׳ה</w:t>
      </w:r>
      <w:proofErr w:type="spellEnd"/>
      <w:r>
        <w:rPr>
          <w:rtl/>
        </w:rPr>
        <w:t xml:space="preserve"> הגוסס היו כך: “וכי זו העת לנהל מחלוקת?”, והוא השיב: “אם לא עכשיו, אימתי? הלא בעוד זמן קצר אלך לעולם האמת?!” נמצא שהסיפור מבוסס היטב.</w:t>
      </w:r>
    </w:p>
    <w:p w14:paraId="181AA5D6" w14:textId="77777777" w:rsidR="00AB3647" w:rsidRDefault="00000000" w:rsidP="007923E9">
      <w:pPr>
        <w:spacing w:after="120" w:line="276" w:lineRule="auto"/>
        <w:ind w:firstLine="283"/>
        <w:jc w:val="both"/>
      </w:pPr>
      <w:r>
        <w:rPr>
          <w:rtl/>
        </w:rPr>
        <w:t xml:space="preserve">כשאמר ר׳ ישראל בהספדו שר׳ </w:t>
      </w:r>
      <w:proofErr w:type="spellStart"/>
      <w:r>
        <w:rPr>
          <w:rtl/>
        </w:rPr>
        <w:t>לייבל׳ה</w:t>
      </w:r>
      <w:proofErr w:type="spellEnd"/>
      <w:r>
        <w:rPr>
          <w:rtl/>
        </w:rPr>
        <w:t xml:space="preserve"> שפירא היה התגלמות האמת, ודאי התכוון גם לעקביותו של ר׳ </w:t>
      </w:r>
      <w:proofErr w:type="spellStart"/>
      <w:r>
        <w:rPr>
          <w:rtl/>
        </w:rPr>
        <w:t>לייבל׳ה</w:t>
      </w:r>
      <w:proofErr w:type="spellEnd"/>
      <w:r>
        <w:rPr>
          <w:rtl/>
        </w:rPr>
        <w:t xml:space="preserve"> בהתנגדותו לשיטתו של ר׳ ישראל עצמו. ר׳ ישראל ראה ביריבו איש אמת – אף שהוא טועה – משום שהוא </w:t>
      </w:r>
      <w:r>
        <w:rPr>
          <w:b/>
          <w:bCs/>
          <w:rtl/>
        </w:rPr>
        <w:t>עקבי</w:t>
      </w:r>
      <w:r>
        <w:rPr>
          <w:rtl/>
        </w:rPr>
        <w:t xml:space="preserve"> בהשקפתו (המשובשת). יכולת זו מלמדת שר׳ ישראל עצמו היה דבק באמת בלי פשרות, עד כדי כך שהעריך את מי שהיה איש אמת יותר ממי שהסכים לדרך המוסר שלו. ואומנם ר׳ ישראל נחשב למי שהעריך במיוחד את מידת האמת, ועל כך מעידה השורה שעל מצבתו: “למותו תקונן האמת כי נעדרה”</w:t>
      </w:r>
      <w:bookmarkStart w:id="597" w:name="_fnr346"/>
      <w:bookmarkStart w:id="598" w:name="pr_f_277"/>
      <w:r>
        <w:rPr>
          <w:rStyle w:val="a5"/>
        </w:rPr>
        <w:footnoteReference w:id="346" w:customMarkFollows="0"/>
      </w:r>
      <w:bookmarkEnd w:id="597"/>
      <w:bookmarkEnd w:id="598"/>
      <w:r>
        <w:rPr>
          <w:rtl/>
        </w:rPr>
        <w:t>.</w:t>
      </w:r>
    </w:p>
    <w:p w14:paraId="5158B5D8" w14:textId="77777777" w:rsidR="00AB3647" w:rsidRDefault="00000000" w:rsidP="007923E9">
      <w:pPr>
        <w:pStyle w:val="4"/>
        <w:spacing w:line="276" w:lineRule="auto"/>
      </w:pPr>
      <w:r>
        <w:t>· הפסקה השלישית ·</w:t>
      </w:r>
    </w:p>
    <w:p w14:paraId="5344F4A9" w14:textId="77777777" w:rsidR="00AB3647" w:rsidRDefault="00000000" w:rsidP="007923E9">
      <w:pPr>
        <w:pStyle w:val="5"/>
        <w:spacing w:line="276" w:lineRule="auto"/>
      </w:pPr>
      <w:r>
        <w:t>ייחוס משפחת שיק – רב הונגרי נוהג במנהגי ליטא</w:t>
      </w:r>
    </w:p>
    <w:p w14:paraId="176AE564" w14:textId="77777777" w:rsidR="00AB3647" w:rsidRDefault="00000000" w:rsidP="007923E9">
      <w:pPr>
        <w:spacing w:after="120" w:line="276" w:lineRule="auto"/>
        <w:ind w:firstLine="283"/>
        <w:jc w:val="both"/>
      </w:pPr>
      <w:proofErr w:type="spellStart"/>
      <w:r>
        <w:rPr>
          <w:rtl/>
        </w:rPr>
        <w:t>המהר״ם</w:t>
      </w:r>
      <w:proofErr w:type="spellEnd"/>
      <w:r>
        <w:rPr>
          <w:rtl/>
        </w:rPr>
        <w:t xml:space="preserve"> שיק, רב </w:t>
      </w:r>
      <w:proofErr w:type="spellStart"/>
      <w:r>
        <w:rPr>
          <w:rtl/>
        </w:rPr>
        <w:t>חוסט</w:t>
      </w:r>
      <w:proofErr w:type="spellEnd"/>
      <w:r>
        <w:rPr>
          <w:rtl/>
        </w:rPr>
        <w:t xml:space="preserve">, מגדולי תלמידיו של </w:t>
      </w:r>
      <w:proofErr w:type="spellStart"/>
      <w:r>
        <w:rPr>
          <w:rtl/>
        </w:rPr>
        <w:t>החתם־סופר</w:t>
      </w:r>
      <w:proofErr w:type="spellEnd"/>
      <w:r>
        <w:rPr>
          <w:rtl/>
        </w:rPr>
        <w:t xml:space="preserve">, היה בן דודו של ר׳ אליהו בדרגה השלישית. אביהם הקדמון המשותף היה ר׳ </w:t>
      </w:r>
      <w:proofErr w:type="spellStart"/>
      <w:r>
        <w:rPr>
          <w:rtl/>
        </w:rPr>
        <w:t>חנוך־העניך</w:t>
      </w:r>
      <w:proofErr w:type="spellEnd"/>
      <w:r>
        <w:rPr>
          <w:rtl/>
        </w:rPr>
        <w:t xml:space="preserve"> שיק, רב העיר הבלארוסית שקלוב. המשפחה ייחסה את עצמה </w:t>
      </w:r>
      <w:proofErr w:type="spellStart"/>
      <w:r>
        <w:rPr>
          <w:rtl/>
        </w:rPr>
        <w:t>לר</w:t>
      </w:r>
      <w:proofErr w:type="spellEnd"/>
      <w:r>
        <w:rPr>
          <w:rtl/>
        </w:rPr>
        <w:t xml:space="preserve">׳ </w:t>
      </w:r>
      <w:proofErr w:type="spellStart"/>
      <w:r>
        <w:rPr>
          <w:rtl/>
        </w:rPr>
        <w:t>יום־טוב־ליפמן</w:t>
      </w:r>
      <w:proofErr w:type="spellEnd"/>
      <w:r>
        <w:rPr>
          <w:rtl/>
        </w:rPr>
        <w:t xml:space="preserve"> </w:t>
      </w:r>
      <w:proofErr w:type="spellStart"/>
      <w:r>
        <w:rPr>
          <w:rtl/>
        </w:rPr>
        <w:t xml:space="preserve">וולרשטיין־הלר</w:t>
      </w:r>
      <w:proofErr w:type="spellEnd"/>
      <w:r>
        <w:rPr>
          <w:rtl/>
        </w:rPr>
        <w:t>, בעל “תוספות יום טוב”</w:t>
      </w:r>
      <w:bookmarkStart w:id="599" w:name="_fnr347"/>
      <w:r>
        <w:rPr>
          <w:rStyle w:val="a5"/>
        </w:rPr>
        <w:footnoteReference w:id="347" w:customMarkFollows="0"/>
      </w:r>
      <w:bookmarkEnd w:id="599"/>
      <w:r>
        <w:rPr>
          <w:rtl/>
        </w:rPr>
        <w:t xml:space="preserve">, </w:t>
      </w:r>
      <w:proofErr w:type="spellStart"/>
      <w:r>
        <w:rPr>
          <w:rtl/>
        </w:rPr>
        <w:t>לר</w:t>
      </w:r>
      <w:proofErr w:type="spellEnd"/>
      <w:r>
        <w:rPr>
          <w:rtl/>
        </w:rPr>
        <w:t xml:space="preserve">׳ שאול </w:t>
      </w:r>
      <w:proofErr w:type="spellStart"/>
      <w:r>
        <w:rPr>
          <w:rtl/>
        </w:rPr>
        <w:t>וואהל</w:t>
      </w:r>
      <w:proofErr w:type="spellEnd"/>
      <w:r>
        <w:rPr>
          <w:rtl/>
        </w:rPr>
        <w:t xml:space="preserve"> ולרש״י. משפחת שיק קרויה על שם ראשי התיבות של אבי המשפחה, ר׳ </w:t>
      </w:r>
      <w:proofErr w:type="spellStart"/>
      <w:r>
        <w:rPr>
          <w:rtl/>
        </w:rPr>
        <w:t>שמואל־יהודה</w:t>
      </w:r>
      <w:proofErr w:type="spellEnd"/>
      <w:r>
        <w:rPr>
          <w:rtl/>
        </w:rPr>
        <w:t xml:space="preserve"> </w:t>
      </w:r>
      <w:proofErr w:type="spellStart"/>
      <w:r>
        <w:rPr>
          <w:rtl/>
        </w:rPr>
        <w:t>קצנלנבוגן</w:t>
      </w:r>
      <w:proofErr w:type="spellEnd"/>
      <w:r>
        <w:rPr>
          <w:rtl/>
        </w:rPr>
        <w:t xml:space="preserve">, חתנו של נכד </w:t>
      </w:r>
      <w:proofErr w:type="spellStart"/>
      <w:r>
        <w:rPr>
          <w:rtl/>
        </w:rPr>
        <w:t>ה“תוספות</w:t>
      </w:r>
      <w:proofErr w:type="spellEnd"/>
      <w:r>
        <w:rPr>
          <w:rtl/>
        </w:rPr>
        <w:t xml:space="preserve"> יום טוב”, שהיה גם נכדו של ר׳ שאול </w:t>
      </w:r>
      <w:proofErr w:type="spellStart"/>
      <w:r>
        <w:rPr>
          <w:rtl/>
        </w:rPr>
        <w:t>וואהל</w:t>
      </w:r>
      <w:bookmarkStart w:id="600" w:name="_fnr348"/>
      <w:proofErr w:type="spellEnd"/>
      <w:r>
        <w:rPr>
          <w:rStyle w:val="a5"/>
        </w:rPr>
        <w:footnoteReference w:id="348" w:customMarkFollows="0"/>
      </w:r>
      <w:bookmarkEnd w:id="600"/>
      <w:r>
        <w:rPr>
          <w:rtl/>
        </w:rPr>
        <w:t xml:space="preserve">. </w:t>
      </w:r>
      <w:proofErr w:type="spellStart"/>
      <w:r>
        <w:rPr>
          <w:rtl/>
        </w:rPr>
        <w:t>אמם</w:t>
      </w:r>
      <w:proofErr w:type="spellEnd"/>
      <w:r>
        <w:rPr>
          <w:rtl/>
        </w:rPr>
        <w:t xml:space="preserve"> של ר׳ אליהו שיק ושל אחותו (שהייתה סבתה של סבתו של רבנו) הייתה מצאצאי </w:t>
      </w:r>
      <w:proofErr w:type="spellStart"/>
      <w:r>
        <w:rPr>
          <w:rtl/>
        </w:rPr>
        <w:t>המהרש״א</w:t>
      </w:r>
      <w:proofErr w:type="spellEnd"/>
      <w:r>
        <w:rPr>
          <w:rtl/>
        </w:rPr>
        <w:t xml:space="preserve"> וחתנו, בעל “</w:t>
      </w:r>
      <w:proofErr w:type="spellStart"/>
      <w:r>
        <w:rPr>
          <w:rtl/>
        </w:rPr>
        <w:t>מהדורא</w:t>
      </w:r>
      <w:proofErr w:type="spellEnd"/>
      <w:r>
        <w:rPr>
          <w:rtl/>
        </w:rPr>
        <w:t xml:space="preserve"> </w:t>
      </w:r>
      <w:proofErr w:type="spellStart"/>
      <w:r>
        <w:rPr>
          <w:rtl/>
        </w:rPr>
        <w:t>בתרא</w:t>
      </w:r>
      <w:proofErr w:type="spellEnd"/>
      <w:r>
        <w:rPr>
          <w:rtl/>
        </w:rPr>
        <w:t>”</w:t>
      </w:r>
      <w:bookmarkStart w:id="601" w:name="_fnr349"/>
      <w:r>
        <w:rPr>
          <w:rStyle w:val="a5"/>
        </w:rPr>
        <w:footnoteReference w:id="349" w:customMarkFollows="0"/>
      </w:r>
      <w:bookmarkEnd w:id="601"/>
      <w:r>
        <w:rPr>
          <w:rtl/>
        </w:rPr>
        <w:t>.</w:t>
      </w:r>
    </w:p>
    <w:p w14:paraId="7AEEF9AD" w14:textId="77777777" w:rsidR="00AB3647" w:rsidRDefault="00000000" w:rsidP="007923E9">
      <w:pPr>
        <w:spacing w:after="120" w:line="276" w:lineRule="auto"/>
        <w:ind w:firstLine="283"/>
        <w:jc w:val="both"/>
      </w:pPr>
      <w:r>
        <w:rPr>
          <w:rtl/>
        </w:rPr>
        <w:t xml:space="preserve">אבי אמר פעם שיהודי העיר ההונגרית </w:t>
      </w:r>
      <w:proofErr w:type="spellStart"/>
      <w:r>
        <w:rPr>
          <w:rtl/>
        </w:rPr>
        <w:t>חוסט</w:t>
      </w:r>
      <w:proofErr w:type="spellEnd"/>
      <w:r>
        <w:rPr>
          <w:rtl/>
        </w:rPr>
        <w:t xml:space="preserve"> תמהו על כמה ממנהגיו של </w:t>
      </w:r>
      <w:proofErr w:type="spellStart"/>
      <w:r>
        <w:rPr>
          <w:rtl/>
        </w:rPr>
        <w:t>המהר״ם</w:t>
      </w:r>
      <w:proofErr w:type="spellEnd"/>
      <w:r>
        <w:rPr>
          <w:rtl/>
        </w:rPr>
        <w:t xml:space="preserve"> שיק</w:t>
      </w:r>
      <w:bookmarkStart w:id="602" w:name="_fnr350"/>
      <w:r>
        <w:rPr>
          <w:rStyle w:val="a5"/>
        </w:rPr>
        <w:footnoteReference w:id="350" w:customMarkFollows="0"/>
      </w:r>
      <w:bookmarkEnd w:id="602"/>
      <w:r>
        <w:rPr>
          <w:rtl/>
        </w:rPr>
        <w:t>. הם לא ידעו שהמנהגים הגיעו לרבם מאבי סבו, שמוצאו היה בארץ שבה רווחו מנהגים אלה – ליטא.</w:t>
      </w:r>
    </w:p>
    <w:bookmarkStart w:id="603" w:name="b1_excC"/>
    <w:p w14:paraId="3CED6592" w14:textId="77777777" w:rsidR="00AB3647" w:rsidRDefault="00000000" w:rsidP="007923E9">
      <w:pPr>
        <w:pStyle w:val="3"/>
        <w:spacing w:line="276" w:lineRule="auto"/>
      </w:pPr>
      <w:r>
        <w:lastRenderedPageBreak/>
        <w:fldChar w:fldCharType="begin" w:dirty="true"/>
      </w:r>
      <w:r>
        <w:rPr>
          <w:rtl w:val="0"/>
        </w:rPr>
        <w:instrText>HYPERLINK \l "b1_note53</w:instrText>
      </w:r>
      <w:r>
        <w:instrText>"</w:instrText>
      </w:r>
      <w:r>
        <w:fldChar w:fldCharType="separate"/>
      </w:r>
      <w:r>
        <w:t>נספח ג</w:t>
      </w:r>
      <w:r>
        <w:fldChar w:fldCharType="end"/>
      </w:r>
      <w:bookmarkEnd w:id="603"/>
    </w:p>
    <w:p w14:paraId="7A5E7876" w14:textId="77777777" w:rsidR="00AB3647" w:rsidRDefault="00000000" w:rsidP="007923E9">
      <w:pPr>
        <w:pStyle w:val="af"/>
        <w:spacing w:line="276" w:lineRule="auto"/>
      </w:pPr>
      <w:r>
        <w:t>על הליכה לבתי המדרש בערי ליטא בלילות שבת ובהשכמת בוקר השבת</w:t>
      </w:r>
    </w:p>
    <w:p w14:paraId="154052B0" w14:textId="77777777" w:rsidR="00AB3647" w:rsidRDefault="00000000" w:rsidP="007923E9">
      <w:pPr>
        <w:pStyle w:val="4"/>
        <w:spacing w:line="276" w:lineRule="auto"/>
      </w:pPr>
      <w:r>
        <w:t>· הפסקה הראשונה ·</w:t>
      </w:r>
    </w:p>
    <w:p w14:paraId="5FB0DB50" w14:textId="77777777" w:rsidR="00AB3647" w:rsidRDefault="00000000" w:rsidP="007923E9">
      <w:pPr>
        <w:pStyle w:val="5"/>
        <w:spacing w:line="276" w:lineRule="auto"/>
      </w:pPr>
      <w:r>
        <w:t>הטעם לתפילה המאוחרת בבוקר שבת – הגאונים מתארים את צימאונם של גולי בבל לתורה – רבנו מנסה להביא את יהודי טורונטו לבית המדרש ללמוד תורה בשבת</w:t>
      </w:r>
    </w:p>
    <w:p w14:paraId="1EDA80CE"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w:t>
      </w:r>
      <w:bookmarkStart w:id="604" w:name="_fnr351"/>
      <w:r>
        <w:rPr>
          <w:rStyle w:val="a5"/>
        </w:rPr>
        <w:footnoteReference w:id="351" w:customMarkFollows="0"/>
      </w:r>
      <w:bookmarkEnd w:id="604"/>
      <w:r>
        <w:rPr>
          <w:rtl/>
        </w:rPr>
        <w:t xml:space="preserve"> כותב שזה היה המנהג הרווח בעיירות ליטא בימי נעוריו של אותו מחבר, ארבעים שנה לפני ימי נעוריו של אבי. כשתיאר אבי את לילות השבת </w:t>
      </w:r>
      <w:proofErr w:type="spellStart"/>
      <w:r>
        <w:rPr>
          <w:rtl/>
        </w:rPr>
        <w:t>בדולהינוב</w:t>
      </w:r>
      <w:proofErr w:type="spellEnd"/>
      <w:r>
        <w:rPr>
          <w:rtl/>
        </w:rPr>
        <w:t xml:space="preserve">, אמר שרב </w:t>
      </w:r>
      <w:proofErr w:type="spellStart"/>
      <w:r>
        <w:rPr>
          <w:rtl/>
        </w:rPr>
        <w:t>נטרונאי</w:t>
      </w:r>
      <w:proofErr w:type="spellEnd"/>
      <w:r>
        <w:rPr>
          <w:rtl/>
        </w:rPr>
        <w:t xml:space="preserve"> גאון כותב שכאשר גלו ישראל לבבל, התאוננו שיש להם פחות זמן ללמוד תורה מאשר בארץ ישראל, והנביאים שביניהם תיקנו שילמדו בלילות שבת מחצות ואילך. רב </w:t>
      </w:r>
      <w:proofErr w:type="spellStart"/>
      <w:r>
        <w:rPr>
          <w:rtl/>
        </w:rPr>
        <w:t>נטרונאי</w:t>
      </w:r>
      <w:proofErr w:type="spellEnd"/>
      <w:r>
        <w:rPr>
          <w:rtl/>
        </w:rPr>
        <w:t xml:space="preserve"> הביא תקנה עתיקה זו כטעם למנהג להתחיל את התפילה בבוקר שבת מאוחר יותר מבימות החול: האנשים היו שקועים כל כך בלימודם, שלא עברו לתפילה עד שנאלצו לכך מפני קרבת סוף זמן קריאת שמע</w:t>
      </w:r>
      <w:bookmarkStart w:id="605" w:name="_fnr352"/>
      <w:r>
        <w:rPr>
          <w:rStyle w:val="a5"/>
        </w:rPr>
        <w:footnoteReference w:id="352" w:customMarkFollows="0"/>
      </w:r>
      <w:bookmarkEnd w:id="605"/>
      <w:r>
        <w:rPr>
          <w:rtl/>
        </w:rPr>
        <w:t>.</w:t>
      </w:r>
    </w:p>
    <w:p w14:paraId="3F8C122A" w14:textId="77777777" w:rsidR="00AB3647" w:rsidRDefault="00000000" w:rsidP="007923E9">
      <w:pPr>
        <w:spacing w:after="120" w:line="276" w:lineRule="auto"/>
        <w:ind w:firstLine="283"/>
        <w:jc w:val="both"/>
      </w:pPr>
      <w:r>
        <w:rPr>
          <w:rtl/>
        </w:rPr>
        <w:t xml:space="preserve">טעם זה לתפילה המאוחרת בשבת שונה מזה שמביא </w:t>
      </w:r>
      <w:proofErr w:type="spellStart"/>
      <w:r>
        <w:rPr>
          <w:rtl/>
        </w:rPr>
        <w:t>הרמ״א</w:t>
      </w:r>
      <w:proofErr w:type="spellEnd"/>
      <w:r>
        <w:rPr>
          <w:rtl/>
        </w:rPr>
        <w:t xml:space="preserve"> </w:t>
      </w:r>
      <w:proofErr w:type="spellStart"/>
      <w:r>
        <w:rPr>
          <w:rtl/>
        </w:rPr>
        <w:t>בשו״ע</w:t>
      </w:r>
      <w:proofErr w:type="spellEnd"/>
      <w:r>
        <w:rPr>
          <w:rtl/>
        </w:rPr>
        <w:t xml:space="preserve"> </w:t>
      </w:r>
      <w:proofErr w:type="spellStart"/>
      <w:r>
        <w:rPr>
          <w:rtl/>
        </w:rPr>
        <w:t>או״ח</w:t>
      </w:r>
      <w:proofErr w:type="spellEnd"/>
      <w:r>
        <w:rPr>
          <w:rtl/>
        </w:rPr>
        <w:t xml:space="preserve"> סי׳ רפ״א, שאף הוא מתקופת הגאונים. מקור דבריו של אבי הוא בקובץ תשובות הגאונים, הוצאת ליק</w:t>
      </w:r>
      <w:bookmarkStart w:id="606" w:name="_fnr353"/>
      <w:r>
        <w:rPr>
          <w:rStyle w:val="a5"/>
        </w:rPr>
        <w:footnoteReference w:id="353" w:customMarkFollows="0"/>
      </w:r>
      <w:bookmarkEnd w:id="606"/>
      <w:r>
        <w:rPr>
          <w:rtl/>
        </w:rPr>
        <w:t xml:space="preserve">, מדברי רב </w:t>
      </w:r>
      <w:proofErr w:type="spellStart"/>
      <w:r>
        <w:rPr>
          <w:rtl/>
        </w:rPr>
        <w:t>נטרונאי</w:t>
      </w:r>
      <w:proofErr w:type="spellEnd"/>
      <w:r>
        <w:rPr>
          <w:rtl/>
        </w:rPr>
        <w:t xml:space="preserve"> לרב שמואל הנגיד</w:t>
      </w:r>
      <w:bookmarkStart w:id="607" w:name="_fnr354"/>
      <w:bookmarkEnd w:id="607"/>
      <w:r>
        <w:rPr>
          <w:rStyle w:val="a5"/>
        </w:rPr>
        <w:t/>
      </w:r>
      <w:bookmarkStart w:id="6992" w:name="_TranslatorNote_354"/>
      <w:r>
        <w:rPr>
          <w:rStyle w:val="a5"/>
          <w:vertAlign w:val="superscript"/>
          <w:rtl/>
        </w:rPr>
        <w:footnoteReference w:id="354" w:customMarkFollows="1"/>
        <w:t>*</w:t>
      </w:r>
      <w:bookmarkEnd w:id="6992"/>
      <w:r>
        <w:rPr>
          <w:rtl/>
        </w:rPr>
        <w:t xml:space="preserve">: וששאלתם שיש בתי כנסיות שמתקבצים הצבור ואומרים פרשיות שבספר תהלים בשבת ויו״ט, ובר״ה ויוה״כ </w:t>
      </w:r>
      <w:proofErr w:type="spellStart"/>
      <w:r>
        <w:rPr>
          <w:rtl/>
        </w:rPr>
        <w:t>מוסיפין</w:t>
      </w:r>
      <w:proofErr w:type="spellEnd"/>
      <w:r>
        <w:rPr>
          <w:rtl/>
        </w:rPr>
        <w:t xml:space="preserve"> פרשיות, ועד שהציבור </w:t>
      </w:r>
      <w:proofErr w:type="spellStart"/>
      <w:r>
        <w:rPr>
          <w:rtl/>
        </w:rPr>
        <w:t>מזמרין</w:t>
      </w:r>
      <w:proofErr w:type="spellEnd"/>
      <w:r>
        <w:rPr>
          <w:rtl/>
        </w:rPr>
        <w:t xml:space="preserve"> </w:t>
      </w:r>
      <w:proofErr w:type="spellStart"/>
      <w:r>
        <w:rPr>
          <w:rtl/>
        </w:rPr>
        <w:t>מתחילין</w:t>
      </w:r>
      <w:proofErr w:type="spellEnd"/>
      <w:r>
        <w:rPr>
          <w:rtl/>
        </w:rPr>
        <w:t xml:space="preserve"> תלמידים </w:t>
      </w:r>
      <w:proofErr w:type="spellStart"/>
      <w:r>
        <w:rPr>
          <w:rtl/>
        </w:rPr>
        <w:t>ועוסקין</w:t>
      </w:r>
      <w:proofErr w:type="spellEnd"/>
      <w:r>
        <w:rPr>
          <w:rtl/>
        </w:rPr>
        <w:t xml:space="preserve"> בתורה עד קרוב לב׳ שעות ואח״כ </w:t>
      </w:r>
      <w:proofErr w:type="spellStart"/>
      <w:r>
        <w:rPr>
          <w:rtl/>
        </w:rPr>
        <w:t>מתפללין</w:t>
      </w:r>
      <w:proofErr w:type="spellEnd"/>
      <w:r>
        <w:rPr>
          <w:rtl/>
        </w:rPr>
        <w:t xml:space="preserve">, מהו לעשות כן מאחר שהגיע זמן ק״ש, מותר להתחיל ולשנות קודם שקבל עליו מלכות שמים, או לא. [תשובה:] כך הראונו מן השמים, שישראל </w:t>
      </w:r>
      <w:proofErr w:type="spellStart"/>
      <w:r>
        <w:rPr>
          <w:rtl/>
        </w:rPr>
        <w:t>שמשכימין</w:t>
      </w:r>
      <w:proofErr w:type="spellEnd"/>
      <w:r>
        <w:rPr>
          <w:rtl/>
        </w:rPr>
        <w:t xml:space="preserve"> ובאין בבית הכנסת בשבתות ביו״ט ולומדים, מדה יפה הן </w:t>
      </w:r>
      <w:proofErr w:type="spellStart"/>
      <w:r>
        <w:rPr>
          <w:rtl/>
        </w:rPr>
        <w:t>עושין</w:t>
      </w:r>
      <w:proofErr w:type="spellEnd"/>
      <w:r>
        <w:rPr>
          <w:rtl/>
        </w:rPr>
        <w:t xml:space="preserve">, וכך מנהג בבבל </w:t>
      </w:r>
      <w:proofErr w:type="spellStart"/>
      <w:r>
        <w:rPr>
          <w:rtl/>
        </w:rPr>
        <w:t>מתחלת</w:t>
      </w:r>
      <w:proofErr w:type="spellEnd"/>
      <w:r>
        <w:rPr>
          <w:rtl/>
        </w:rPr>
        <w:t xml:space="preserve"> גלות ראשונה, שכיון שגלו לבבל ונמעט התלמוד ובטלו המלמדים מצער גלות, </w:t>
      </w:r>
      <w:proofErr w:type="spellStart"/>
      <w:r>
        <w:rPr>
          <w:rtl/>
        </w:rPr>
        <w:t>נתקבצו</w:t>
      </w:r>
      <w:proofErr w:type="spellEnd"/>
      <w:r>
        <w:rPr>
          <w:rtl/>
        </w:rPr>
        <w:t xml:space="preserve"> בני ישראל אצל נביאים ובעלי תורה, אמרו להם אנו אין בידינו לא משנה ולא תלמוד ללמוד בלילה, ויש עלינו טורח מחיה ופרנסה, בשבתות ויו״ט </w:t>
      </w:r>
      <w:proofErr w:type="spellStart"/>
      <w:r>
        <w:rPr>
          <w:rtl/>
        </w:rPr>
        <w:t>מיהא</w:t>
      </w:r>
      <w:proofErr w:type="spellEnd"/>
      <w:r>
        <w:rPr>
          <w:rtl/>
        </w:rPr>
        <w:t xml:space="preserve"> שיש לנו פנאי נשב בטלים ונישן כל הלילה? תקנו להשכים לבית הכנסת ולומדים עד שחרית, והסמיכו על מנהג דוד המלך ע״ה, שאמר [</w:t>
      </w:r>
      <w:proofErr w:type="spellStart"/>
      <w:r>
        <w:rPr>
          <w:rtl/>
        </w:rPr>
        <w:t>בתמניא</w:t>
      </w:r>
      <w:proofErr w:type="spellEnd"/>
      <w:r>
        <w:rPr>
          <w:rtl/>
        </w:rPr>
        <w:t xml:space="preserve"> אפי] חצות לילה אקום להודות לך.</w:t>
      </w:r>
    </w:p>
    <w:p w14:paraId="7BA198FD"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08" w:name="_fnr355"/>
      <w:proofErr w:type="spellEnd"/>
      <w:r>
        <w:rPr>
          <w:rStyle w:val="a5"/>
        </w:rPr>
        <w:footnoteReference w:id="355" w:customMarkFollows="0"/>
      </w:r>
      <w:bookmarkEnd w:id="608"/>
      <w:r>
        <w:rPr>
          <w:rtl/>
        </w:rPr>
        <w:t xml:space="preserve"> זכר נאום רועם שנשא רבנו בטורונטו בשביעי של פסח. רבנו נהג לדרוש באריכות בסוף כל יום טוב ראשון, כדי שהנשים לא יתחילו לבשל את סעודת בעליהן לפני צאת הכוכבים, בשעה שהדבר אסור על פי ההלכה.</w:t>
      </w:r>
    </w:p>
    <w:p w14:paraId="017729E9" w14:textId="77777777" w:rsidR="00AB3647" w:rsidRDefault="00000000" w:rsidP="007923E9">
      <w:pPr>
        <w:spacing w:after="120" w:line="276" w:lineRule="auto"/>
        <w:ind w:firstLine="283"/>
        <w:jc w:val="both"/>
      </w:pPr>
      <w:r>
        <w:rPr>
          <w:rtl/>
        </w:rPr>
        <w:lastRenderedPageBreak/>
        <w:t xml:space="preserve">הוא אמר: “מדוע יש מחללי שבת ברחוב </w:t>
      </w:r>
      <w:proofErr w:type="spellStart"/>
      <w:r>
        <w:rPr>
          <w:rtl/>
        </w:rPr>
        <w:t>קנזינגטון</w:t>
      </w:r>
      <w:proofErr w:type="spellEnd"/>
      <w:r>
        <w:rPr>
          <w:rtl/>
        </w:rPr>
        <w:t xml:space="preserve">” – זה היה אזור עגלות הרוכלים במרכז טורונטו – “ואין מחללי יום כיפור? ביום כיפור פשוט אינם יכולים להשאיר את חנויותיהם פתוחות כשבמרחק כמה רחובות עומדים יהודים בתפילה כל היום. אילו הייתה השבת בעינינו כיום כיפור, לא היו מחללים גם את השבת. אני ‘מתיר’ לכם לעשות קידוש כשאתם באים הביתה מבית הכנסת, על יין, ולא על יי״ש” – שהיה מנהגם החסידי של יהודי טורונטו – “כדי שלא תהיו כל כך ישנוניים. אחרי האוכל אפשר לנוח מעט, אבל לא כל היום. אחרי חורבן בית ראשון אמרו היהודים לנביאים שבארץ ישראל היה להם זמן ללמוד, ובבבל אין; הם אמרו: ‘נישן כל הלילה בשבתות?!’ הם ביקשו, וקיבלו, רשות לקום אחרי חצות וללמוד תורה, ולהתחיל להתפלל מעט מאוחר יותר בבוקר. אנו הגענו למצב שעלינו לשאול את עצמנו: נישן כל </w:t>
      </w:r>
      <w:r>
        <w:rPr>
          <w:b/>
          <w:bCs/>
          <w:rtl/>
        </w:rPr>
        <w:t>היום</w:t>
      </w:r>
      <w:r>
        <w:rPr>
          <w:rtl/>
        </w:rPr>
        <w:t xml:space="preserve">?! מי שיכול – יפתח גמרא, ומי שאינו יכול – יאמר תהלים. תראו כיצד תדלג הקדושה </w:t>
      </w:r>
      <w:proofErr w:type="spellStart"/>
      <w:r>
        <w:rPr>
          <w:rtl/>
        </w:rPr>
        <w:t>לקנזינגטון</w:t>
      </w:r>
      <w:proofErr w:type="spellEnd"/>
      <w:r>
        <w:rPr>
          <w:rtl/>
        </w:rPr>
        <w:t>”.</w:t>
      </w:r>
    </w:p>
    <w:p w14:paraId="538F76D5"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609" w:name="_fnr356"/>
      <w:r>
        <w:rPr>
          <w:rStyle w:val="a5"/>
        </w:rPr>
        <w:footnoteReference w:id="356" w:customMarkFollows="0"/>
      </w:r>
      <w:bookmarkEnd w:id="609"/>
      <w:r>
        <w:rPr>
          <w:rtl/>
        </w:rPr>
        <w:t xml:space="preserve">, </w:t>
      </w:r>
      <w:proofErr w:type="spellStart"/>
      <w:r>
        <w:rPr>
          <w:rtl/>
        </w:rPr>
        <w:t>שבתארו</w:t>
      </w:r>
      <w:proofErr w:type="spellEnd"/>
      <w:r>
        <w:rPr>
          <w:rtl/>
        </w:rPr>
        <w:t xml:space="preserve"> את השבת בעיירה הוא כותב: “הולכים הביתה ומקדשים על היין – אך אינם מחללים את קדושת היום בשכרות. שמחים במטעמים הרבים שהוכנו בערב שבת – הם, נשיהם וילדיהם, </w:t>
      </w:r>
      <w:proofErr w:type="spellStart"/>
      <w:r>
        <w:rPr>
          <w:rtl/>
        </w:rPr>
        <w:t>וה‘אורים־בחור</w:t>
      </w:r>
      <w:proofErr w:type="spellEnd"/>
      <w:r>
        <w:rPr>
          <w:rtl/>
        </w:rPr>
        <w:t>’</w:t>
      </w:r>
      <w:bookmarkStart w:id="610" w:name="_fnr357"/>
      <w:bookmarkStart w:id="611" w:name="pr_f_287"/>
      <w:r>
        <w:rPr>
          <w:rStyle w:val="a5"/>
        </w:rPr>
        <w:footnoteReference w:id="357" w:customMarkFollows="0"/>
      </w:r>
      <w:bookmarkEnd w:id="610"/>
      <w:bookmarkEnd w:id="611"/>
      <w:r>
        <w:rPr>
          <w:rtl/>
        </w:rPr>
        <w:t xml:space="preserve"> או העובר והשב. ונחים על מיטותיהם מעט בשנת </w:t>
      </w:r>
      <w:proofErr w:type="spellStart"/>
      <w:r>
        <w:rPr>
          <w:rtl/>
        </w:rPr>
        <w:t>צהריים</w:t>
      </w:r>
      <w:proofErr w:type="spellEnd"/>
      <w:r>
        <w:rPr>
          <w:rtl/>
        </w:rPr>
        <w:t>, שגם היא נחשבת מעונג שבת, וחוזרים לבית המדרש ללמוד תורה”.</w:t>
      </w:r>
    </w:p>
    <w:p w14:paraId="41CEA325" w14:textId="77777777" w:rsidR="00AB3647" w:rsidRDefault="00000000" w:rsidP="007923E9">
      <w:pPr>
        <w:pStyle w:val="4"/>
        <w:spacing w:line="276" w:lineRule="auto"/>
      </w:pPr>
      <w:r>
        <w:t>· הפסקה השנייה ·</w:t>
      </w:r>
    </w:p>
    <w:p w14:paraId="2F55989C" w14:textId="77777777" w:rsidR="00AB3647" w:rsidRDefault="00000000" w:rsidP="007923E9">
      <w:pPr>
        <w:pStyle w:val="5"/>
        <w:spacing w:line="276" w:lineRule="auto"/>
      </w:pPr>
      <w:r>
        <w:t xml:space="preserve">לילות שבת בעיר הולדתו של ר׳ </w:t>
      </w:r>
      <w:proofErr w:type="spellStart"/>
      <w:r>
        <w:t>אלעזר־מנחם־מן</w:t>
      </w:r>
      <w:proofErr w:type="spellEnd"/>
      <w:r>
        <w:t xml:space="preserve"> שך, </w:t>
      </w:r>
      <w:proofErr w:type="spellStart"/>
      <w:r>
        <w:t>וואבולניק</w:t>
      </w:r>
      <w:proofErr w:type="spellEnd"/>
      <w:r>
        <w:t xml:space="preserve"> – לילות שבת בעיר הולדתו של ר׳ </w:t>
      </w:r>
      <w:proofErr w:type="spellStart"/>
      <w:r>
        <w:t>אליהו־אליעזר</w:t>
      </w:r>
      <w:proofErr w:type="spellEnd"/>
      <w:r>
        <w:t xml:space="preserve"> </w:t>
      </w:r>
      <w:proofErr w:type="spellStart"/>
      <w:r>
        <w:t>דסלר</w:t>
      </w:r>
      <w:proofErr w:type="spellEnd"/>
      <w:r>
        <w:t xml:space="preserve">, </w:t>
      </w:r>
      <w:proofErr w:type="spellStart"/>
      <w:r>
        <w:t>הומל</w:t>
      </w:r>
      <w:proofErr w:type="spellEnd"/>
    </w:p>
    <w:p w14:paraId="01CC6E2B" w14:textId="77777777" w:rsidR="00AB3647" w:rsidRDefault="00000000" w:rsidP="007923E9">
      <w:pPr>
        <w:spacing w:after="120" w:line="276" w:lineRule="auto"/>
        <w:ind w:firstLine="283"/>
        <w:jc w:val="both"/>
      </w:pPr>
      <w:r>
        <w:rPr>
          <w:rtl/>
        </w:rPr>
        <w:t xml:space="preserve">כמו </w:t>
      </w:r>
      <w:proofErr w:type="spellStart"/>
      <w:r>
        <w:rPr>
          <w:rtl/>
        </w:rPr>
        <w:t>בדולהינוב</w:t>
      </w:r>
      <w:proofErr w:type="spellEnd"/>
      <w:r>
        <w:rPr>
          <w:rtl/>
        </w:rPr>
        <w:t xml:space="preserve"> של ימי ילדותו של אבי, רווח מנהג הלימוד בלילות שבת בכל קהילות ליטא באותה תקופה, כמו שמראות שתי הדוגמאות הבאות.</w:t>
      </w:r>
    </w:p>
    <w:p w14:paraId="1AAB24C4"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w:t>
      </w:r>
      <w:bookmarkStart w:id="612" w:name="_fnr358"/>
      <w:r>
        <w:rPr>
          <w:rStyle w:val="a5"/>
        </w:rPr>
        <w:footnoteReference w:id="358" w:customMarkFollows="0"/>
      </w:r>
      <w:bookmarkEnd w:id="612"/>
      <w:r>
        <w:rPr>
          <w:rtl/>
        </w:rPr>
        <w:t xml:space="preserve"> סיפר כמה מבני המקום למדו בישיבות בתחילת שנות </w:t>
      </w:r>
      <w:proofErr w:type="spellStart"/>
      <w:r>
        <w:rPr>
          <w:rtl/>
        </w:rPr>
        <w:t xml:space="preserve">התר״ע</w:t>
      </w:r>
      <w:proofErr w:type="spellEnd"/>
      <w:r>
        <w:rPr>
          <w:rtl/>
        </w:rPr>
        <w:t xml:space="preserve">, ותיאר את לילות השבת של החורף בעיר הולדתו </w:t>
      </w:r>
      <w:proofErr w:type="spellStart"/>
      <w:r>
        <w:rPr>
          <w:rtl/>
        </w:rPr>
        <w:t>וואבולניק</w:t>
      </w:r>
      <w:proofErr w:type="spellEnd"/>
      <w:r>
        <w:rPr>
          <w:rtl/>
        </w:rPr>
        <w:t xml:space="preserve">, </w:t>
      </w:r>
      <w:r>
        <w:rPr>
          <w:b/>
          <w:bCs/>
          <w:rtl/>
        </w:rPr>
        <w:t xml:space="preserve">280 קילומטרים </w:t>
      </w:r>
      <w:proofErr w:type="spellStart"/>
      <w:r>
        <w:rPr>
          <w:b/>
          <w:bCs/>
          <w:rtl/>
        </w:rPr>
        <w:t>צפונית־מערבית</w:t>
      </w:r>
      <w:proofErr w:type="spellEnd"/>
      <w:r>
        <w:rPr>
          <w:b/>
          <w:bCs/>
          <w:rtl/>
        </w:rPr>
        <w:t xml:space="preserve"> </w:t>
      </w:r>
      <w:proofErr w:type="spellStart"/>
      <w:r>
        <w:rPr>
          <w:b/>
          <w:bCs/>
          <w:rtl/>
        </w:rPr>
        <w:t>לדולהינוב</w:t>
      </w:r>
      <w:proofErr w:type="spellEnd"/>
      <w:r>
        <w:rPr>
          <w:rtl/>
        </w:rPr>
        <w:t xml:space="preserve">. הוא אמר: “היו לנו שבעה בחורים שלמדו </w:t>
      </w:r>
      <w:proofErr w:type="spellStart"/>
      <w:r>
        <w:rPr>
          <w:rtl/>
        </w:rPr>
        <w:t>בסלבודקה</w:t>
      </w:r>
      <w:proofErr w:type="spellEnd"/>
      <w:r>
        <w:rPr>
          <w:rtl/>
        </w:rPr>
        <w:t xml:space="preserve">, שבעה </w:t>
      </w:r>
      <w:proofErr w:type="spellStart"/>
      <w:r>
        <w:rPr>
          <w:rtl/>
        </w:rPr>
        <w:t>בטלז</w:t>
      </w:r>
      <w:proofErr w:type="spellEnd"/>
      <w:r>
        <w:rPr>
          <w:rtl/>
        </w:rPr>
        <w:t xml:space="preserve"> וארבעה בלידה. כיצד הגיעו ללידה?” – שבה כללה תוכנית הלימודים של הישיבה לימודי חול, והאווירה הייתה ציונית (כמו רבה, ר׳ </w:t>
      </w:r>
      <w:proofErr w:type="spellStart"/>
      <w:r>
        <w:rPr>
          <w:rtl/>
        </w:rPr>
        <w:t>יצחק־יעקב</w:t>
      </w:r>
      <w:proofErr w:type="spellEnd"/>
      <w:r>
        <w:rPr>
          <w:rtl/>
        </w:rPr>
        <w:t xml:space="preserve"> ריינס, ממייסדי המזרחי</w:t>
      </w:r>
      <w:bookmarkStart w:id="613" w:name="_fnr359"/>
      <w:r>
        <w:rPr>
          <w:rStyle w:val="a5"/>
        </w:rPr>
        <w:footnoteReference w:id="359" w:customMarkFollows="0"/>
      </w:r>
      <w:bookmarkEnd w:id="613"/>
      <w:r>
        <w:rPr>
          <w:rtl/>
        </w:rPr>
        <w:t>). “עורך העיתון ‘</w:t>
      </w:r>
      <w:proofErr w:type="spellStart"/>
      <w:r>
        <w:rPr>
          <w:rtl/>
        </w:rPr>
        <w:t>היינט</w:t>
      </w:r>
      <w:proofErr w:type="spellEnd"/>
      <w:r>
        <w:rPr>
          <w:rtl/>
        </w:rPr>
        <w:t xml:space="preserve">’ היה </w:t>
      </w:r>
      <w:proofErr w:type="spellStart"/>
      <w:r>
        <w:rPr>
          <w:rtl/>
        </w:rPr>
        <w:t>מוואבולניק</w:t>
      </w:r>
      <w:proofErr w:type="spellEnd"/>
      <w:r>
        <w:rPr>
          <w:rtl/>
        </w:rPr>
        <w:t xml:space="preserve">, והוא תרם פנס גבוה לאמצע השוק, שהיה חשוך לגמרי בלילות כמו שאר העיירה. אני זוכר שבלילות שבת גמרו כולם את סעודת השבת עד 5:30. אחר כך הלכו לישון וקמו ב־2:00 לפנות בוקר ללכת ללמוד בבית המדרש. בית המדרש היה מלא אנשים, </w:t>
      </w:r>
      <w:r>
        <w:rPr>
          <w:rtl/>
        </w:rPr>
        <w:lastRenderedPageBreak/>
        <w:t>כולם יושבים ולומדים בחבורות שונות; כל הצעירים כמוני היו שם גם כן. כשעברנו בשוק החשוך היינו נתקלים בפרות ובחזירים ובכל מיני בהמות – עד שהוצב אותו פנס. בדרך זו קנה לו עורך ‘</w:t>
      </w:r>
      <w:proofErr w:type="spellStart"/>
      <w:r>
        <w:rPr>
          <w:rtl/>
        </w:rPr>
        <w:t>היינט</w:t>
      </w:r>
      <w:proofErr w:type="spellEnd"/>
      <w:r>
        <w:rPr>
          <w:rtl/>
        </w:rPr>
        <w:t>’ יוקרה בעיירתנו, ועודד נערים ללכת ל[ישיבה המודרנית של] לידה”.</w:t>
      </w:r>
    </w:p>
    <w:p w14:paraId="32AE2F13" w14:textId="77777777" w:rsidR="00AB3647" w:rsidRDefault="00000000" w:rsidP="007923E9">
      <w:pPr>
        <w:spacing w:after="120" w:line="276" w:lineRule="auto"/>
        <w:ind w:firstLine="283"/>
        <w:jc w:val="both"/>
      </w:pPr>
      <w:r>
        <w:rPr>
          <w:rtl/>
        </w:rPr>
        <w:t xml:space="preserve">השווה גם “מכתב מאליהו”, ח״א, מאת מרן אליהו אליעזר </w:t>
      </w:r>
      <w:proofErr w:type="spellStart"/>
      <w:r>
        <w:rPr>
          <w:rtl/>
        </w:rPr>
        <w:t>דסלר</w:t>
      </w:r>
      <w:bookmarkStart w:id="614" w:name="_fnr360"/>
      <w:proofErr w:type="spellEnd"/>
      <w:r>
        <w:rPr>
          <w:rStyle w:val="a5"/>
        </w:rPr>
        <w:footnoteReference w:id="360" w:customMarkFollows="0"/>
      </w:r>
      <w:bookmarkEnd w:id="614"/>
      <w:r>
        <w:rPr>
          <w:rtl/>
        </w:rPr>
        <w:t xml:space="preserve">, שבו מתאר ר׳ </w:t>
      </w:r>
      <w:proofErr w:type="spellStart"/>
      <w:r>
        <w:rPr>
          <w:rtl/>
        </w:rPr>
        <w:t>אליהו־אליעזר</w:t>
      </w:r>
      <w:proofErr w:type="spellEnd"/>
      <w:r>
        <w:rPr>
          <w:rtl/>
        </w:rPr>
        <w:t xml:space="preserve"> </w:t>
      </w:r>
      <w:proofErr w:type="spellStart"/>
      <w:r>
        <w:rPr>
          <w:rtl/>
        </w:rPr>
        <w:t>דסלר</w:t>
      </w:r>
      <w:proofErr w:type="spellEnd"/>
      <w:r>
        <w:rPr>
          <w:rtl/>
        </w:rPr>
        <w:t xml:space="preserve"> את לילות השבת שלו בעיר </w:t>
      </w:r>
      <w:proofErr w:type="spellStart"/>
      <w:r>
        <w:rPr>
          <w:rtl/>
        </w:rPr>
        <w:t>הומל</w:t>
      </w:r>
      <w:proofErr w:type="spellEnd"/>
      <w:r>
        <w:rPr>
          <w:rtl/>
        </w:rPr>
        <w:t xml:space="preserve">, </w:t>
      </w:r>
      <w:r>
        <w:rPr>
          <w:b/>
          <w:bCs/>
          <w:rtl/>
        </w:rPr>
        <w:t xml:space="preserve">320 קילומטרים </w:t>
      </w:r>
      <w:proofErr w:type="spellStart"/>
      <w:r>
        <w:rPr>
          <w:b/>
          <w:bCs/>
          <w:rtl/>
        </w:rPr>
        <w:t>דרומית־מזרחית</w:t>
      </w:r>
      <w:proofErr w:type="spellEnd"/>
      <w:r>
        <w:rPr>
          <w:b/>
          <w:bCs/>
          <w:rtl/>
        </w:rPr>
        <w:t xml:space="preserve"> </w:t>
      </w:r>
      <w:proofErr w:type="spellStart"/>
      <w:r>
        <w:rPr>
          <w:b/>
          <w:bCs/>
          <w:rtl/>
        </w:rPr>
        <w:t>לדולהינוב</w:t>
      </w:r>
      <w:proofErr w:type="spellEnd"/>
      <w:r>
        <w:rPr>
          <w:rtl/>
        </w:rPr>
        <w:t xml:space="preserve">, כך: “אני זוכר מגיל תשע שאבי [ר׳ </w:t>
      </w:r>
      <w:proofErr w:type="spellStart"/>
      <w:r>
        <w:rPr>
          <w:rtl/>
        </w:rPr>
        <w:t>ראובן־בער</w:t>
      </w:r>
      <w:proofErr w:type="spellEnd"/>
      <w:r>
        <w:rPr>
          <w:rtl/>
        </w:rPr>
        <w:t xml:space="preserve">] ודודי [ר׳ גדליה] [שניהם תלמידי </w:t>
      </w:r>
      <w:proofErr w:type="spellStart"/>
      <w:r>
        <w:rPr>
          <w:rtl/>
        </w:rPr>
        <w:t>גרובין</w:t>
      </w:r>
      <w:proofErr w:type="spellEnd"/>
      <w:r>
        <w:rPr>
          <w:rtl/>
        </w:rPr>
        <w:t xml:space="preserve"> וקלם</w:t>
      </w:r>
      <w:bookmarkStart w:id="615" w:name="_fnr361"/>
      <w:r>
        <w:rPr>
          <w:rStyle w:val="a5"/>
        </w:rPr>
        <w:footnoteReference w:id="361" w:customMarkFollows="0"/>
      </w:r>
      <w:bookmarkEnd w:id="615"/>
      <w:r>
        <w:rPr>
          <w:rtl/>
        </w:rPr>
        <w:t>] היו קמים בלילות שבת בחצות ולומדים יחד עד תפילת שחרית, כתשע שעות. גם אני הייתי קם ללמוד עם מלמדי כמה שעות. אמי</w:t>
      </w:r>
      <w:bookmarkStart w:id="616" w:name="_fnr362"/>
      <w:r>
        <w:rPr>
          <w:rStyle w:val="a5"/>
        </w:rPr>
        <w:footnoteReference w:id="362" w:customMarkFollows="0"/>
      </w:r>
      <w:bookmarkEnd w:id="616"/>
      <w:r>
        <w:rPr>
          <w:rtl/>
        </w:rPr>
        <w:t xml:space="preserve"> הצדקת הייתה קמה גם היא ולומדת מדרש, רמב״ן </w:t>
      </w:r>
      <w:proofErr w:type="spellStart"/>
      <w:r>
        <w:rPr>
          <w:rtl/>
        </w:rPr>
        <w:t>ומלבי״ם</w:t>
      </w:r>
      <w:proofErr w:type="spellEnd"/>
      <w:r>
        <w:rPr>
          <w:rtl/>
        </w:rPr>
        <w:t xml:space="preserve"> על פרשת השבוע. וכשהייתה קמה, היה הדבר בעיניי כיום טוב, משום שהגישה לפנינו קפה חם ולביבות אפויות בתנור, שהיו נפלאות מאוד בטעמן”.</w:t>
      </w:r>
    </w:p>
    <w:p w14:paraId="5F50BB66" w14:textId="77777777" w:rsidR="00AB3647" w:rsidRDefault="00000000" w:rsidP="007923E9">
      <w:pPr>
        <w:pStyle w:val="4"/>
        <w:spacing w:line="276" w:lineRule="auto"/>
      </w:pPr>
      <w:r>
        <w:t>· הפסקה השלישית ·</w:t>
      </w:r>
    </w:p>
    <w:p w14:paraId="37322D8B" w14:textId="77777777" w:rsidR="00AB3647" w:rsidRDefault="00000000" w:rsidP="007923E9">
      <w:pPr>
        <w:pStyle w:val="5"/>
        <w:spacing w:line="276" w:lineRule="auto"/>
      </w:pPr>
      <w:r>
        <w:t xml:space="preserve">לא הכול מושלם </w:t>
      </w:r>
      <w:proofErr w:type="spellStart"/>
      <w:r>
        <w:t>בדולהינוב</w:t>
      </w:r>
      <w:proofErr w:type="spellEnd"/>
    </w:p>
    <w:p w14:paraId="1B0A0025" w14:textId="77777777" w:rsidR="00AB3647" w:rsidRDefault="00000000" w:rsidP="007923E9">
      <w:pPr>
        <w:spacing w:after="120" w:line="276" w:lineRule="auto"/>
        <w:ind w:firstLine="283"/>
        <w:jc w:val="both"/>
      </w:pPr>
      <w:r>
        <w:rPr>
          <w:rtl/>
        </w:rPr>
        <w:t xml:space="preserve">כדי שלא יטעה הקורא לחשוב </w:t>
      </w:r>
      <w:proofErr w:type="spellStart"/>
      <w:r>
        <w:rPr>
          <w:rtl/>
        </w:rPr>
        <w:t>שדולהינוב</w:t>
      </w:r>
      <w:proofErr w:type="spellEnd"/>
      <w:r>
        <w:rPr>
          <w:rtl/>
        </w:rPr>
        <w:t xml:space="preserve"> הייתה עיר של קדושים, אחזור על סיפור שסיפר ר׳ יששכר </w:t>
      </w:r>
      <w:proofErr w:type="spellStart"/>
      <w:r>
        <w:rPr>
          <w:rtl/>
        </w:rPr>
        <w:t>פרנד</w:t>
      </w:r>
      <w:bookmarkStart w:id="617" w:name="_fnr363"/>
      <w:bookmarkStart w:id="618" w:name="pr_f_293"/>
      <w:proofErr w:type="spellEnd"/>
      <w:r>
        <w:rPr>
          <w:rStyle w:val="a5"/>
        </w:rPr>
        <w:footnoteReference w:id="363" w:customMarkFollows="0"/>
      </w:r>
      <w:bookmarkEnd w:id="617"/>
      <w:bookmarkEnd w:id="618"/>
      <w:r>
        <w:rPr>
          <w:rtl/>
        </w:rPr>
        <w:t xml:space="preserve">: “רבי, ר׳ </w:t>
      </w:r>
      <w:proofErr w:type="spellStart"/>
      <w:r>
        <w:rPr>
          <w:rtl/>
        </w:rPr>
        <w:t>יעקב־יצחק</w:t>
      </w:r>
      <w:proofErr w:type="spellEnd"/>
      <w:r>
        <w:rPr>
          <w:rtl/>
        </w:rPr>
        <w:t xml:space="preserve"> </w:t>
      </w:r>
      <w:proofErr w:type="spellStart"/>
      <w:r>
        <w:rPr>
          <w:rtl/>
        </w:rPr>
        <w:t>רודרמן</w:t>
      </w:r>
      <w:proofErr w:type="spellEnd"/>
      <w:r>
        <w:rPr>
          <w:rtl/>
        </w:rPr>
        <w:t>, קרא לישיבה שייסד ‘נר ישראל’</w:t>
      </w:r>
      <w:bookmarkStart w:id="619" w:name="_fnr364"/>
      <w:r>
        <w:rPr>
          <w:rStyle w:val="a5"/>
        </w:rPr>
        <w:footnoteReference w:id="364" w:customMarkFollows="0"/>
      </w:r>
      <w:bookmarkEnd w:id="619"/>
      <w:r>
        <w:rPr>
          <w:rtl/>
        </w:rPr>
        <w:t xml:space="preserve"> על שם בעל המוסר הגדול ר׳ ישראל </w:t>
      </w:r>
      <w:proofErr w:type="spellStart"/>
      <w:r>
        <w:rPr>
          <w:rtl/>
        </w:rPr>
        <w:t>סלנטר</w:t>
      </w:r>
      <w:proofErr w:type="spellEnd"/>
      <w:r>
        <w:rPr>
          <w:rtl/>
        </w:rPr>
        <w:t xml:space="preserve">. ר׳ </w:t>
      </w:r>
      <w:proofErr w:type="spellStart"/>
      <w:r>
        <w:rPr>
          <w:rtl/>
        </w:rPr>
        <w:t>יעקב־יצחק</w:t>
      </w:r>
      <w:proofErr w:type="spellEnd"/>
      <w:r>
        <w:rPr>
          <w:rtl/>
        </w:rPr>
        <w:t xml:space="preserve"> סיפר שכשהיה בן תשע שכח השמש </w:t>
      </w:r>
      <w:proofErr w:type="spellStart"/>
      <w:r>
        <w:rPr>
          <w:rtl/>
        </w:rPr>
        <w:t>בדולהינוב</w:t>
      </w:r>
      <w:proofErr w:type="spellEnd"/>
      <w:r>
        <w:rPr>
          <w:rtl/>
        </w:rPr>
        <w:t xml:space="preserve"> להכין לחזן את </w:t>
      </w:r>
      <w:proofErr w:type="spellStart"/>
      <w:r>
        <w:rPr>
          <w:rtl/>
        </w:rPr>
        <w:t>הקיטל</w:t>
      </w:r>
      <w:proofErr w:type="spellEnd"/>
      <w:r>
        <w:rPr>
          <w:rtl/>
        </w:rPr>
        <w:t xml:space="preserve"> ללבוש בהושענא רבה. הוא ראה כיצד אחד מנכבדי העיירה נזף בשמש בפומבי וביישו ביזיון נורא, והעד הצעיר התחיל לתהות אם גם ר׳ ישראל היה מבייש יהודי ברבים, כשכל מה שעשה היה להתעלם ממנהג שאפילו אינו נוהג בכל מקום</w:t>
      </w:r>
      <w:bookmarkStart w:id="620" w:name="_fnr365"/>
      <w:r>
        <w:rPr>
          <w:rStyle w:val="a5"/>
        </w:rPr>
        <w:footnoteReference w:id="365" w:customMarkFollows="0"/>
      </w:r>
      <w:bookmarkEnd w:id="620"/>
      <w:r>
        <w:rPr>
          <w:rtl/>
        </w:rPr>
        <w:t>”.</w:t>
      </w:r>
    </w:p>
    <w:bookmarkStart w:id="621" w:name="b1_excD"/>
    <w:p w14:paraId="69B44C54" w14:textId="77777777" w:rsidR="00AB3647" w:rsidRDefault="00000000" w:rsidP="007923E9">
      <w:pPr>
        <w:pStyle w:val="3"/>
        <w:spacing w:line="276" w:lineRule="auto"/>
      </w:pPr>
      <w:r>
        <w:lastRenderedPageBreak/>
        <w:fldChar w:fldCharType="begin" w:dirty="true"/>
      </w:r>
      <w:r>
        <w:rPr>
          <w:rtl w:val="0"/>
        </w:rPr>
        <w:instrText>HYPERLINK \l "b1_note54</w:instrText>
      </w:r>
      <w:r>
        <w:instrText>"</w:instrText>
      </w:r>
      <w:r>
        <w:fldChar w:fldCharType="separate"/>
      </w:r>
      <w:r>
        <w:t>נספח ד</w:t>
      </w:r>
      <w:r>
        <w:fldChar w:fldCharType="end"/>
      </w:r>
      <w:bookmarkEnd w:id="621"/>
    </w:p>
    <w:p w14:paraId="44E117E5" w14:textId="77777777" w:rsidR="00AB3647" w:rsidRDefault="00000000" w:rsidP="007923E9">
      <w:pPr>
        <w:pStyle w:val="af"/>
        <w:spacing w:line="276" w:lineRule="auto"/>
      </w:pPr>
      <w:r>
        <w:t>על הקפדתו של רבנו על המנהגים</w:t>
      </w:r>
    </w:p>
    <w:p w14:paraId="0A5E7CD1" w14:textId="77777777" w:rsidR="00AB3647" w:rsidRDefault="00000000" w:rsidP="007923E9">
      <w:pPr>
        <w:pStyle w:val="4"/>
        <w:spacing w:line="276" w:lineRule="auto"/>
      </w:pPr>
      <w:r>
        <w:t>· הפסקה הראשונה ·</w:t>
      </w:r>
    </w:p>
    <w:p w14:paraId="65E7227C" w14:textId="77777777" w:rsidR="00AB3647" w:rsidRDefault="00000000" w:rsidP="007923E9">
      <w:pPr>
        <w:pStyle w:val="5"/>
        <w:spacing w:line="276" w:lineRule="auto"/>
      </w:pPr>
      <w:r>
        <w:t>רבנו מוקיר את מנהגי המשפחה – הוא אינו אוכל גבינה בערבי שבתות – הוא מעריך את טרחת אשתו בהכנת מאכלים מיוחדים – התחשבותו באשתו השנייה – בעלת הבית זוכה לשבחיו</w:t>
      </w:r>
    </w:p>
    <w:p w14:paraId="6F22D09A" w14:textId="77777777" w:rsidR="00AB3647" w:rsidRDefault="00000000" w:rsidP="007923E9">
      <w:pPr>
        <w:spacing w:after="120" w:line="276" w:lineRule="auto"/>
        <w:ind w:firstLine="283"/>
        <w:jc w:val="both"/>
      </w:pPr>
      <w:r>
        <w:rPr>
          <w:rtl/>
        </w:rPr>
        <w:t xml:space="preserve">אבי כיבד מאוד את המנהגים שראה בבית הוריו. ר׳ אלחנן </w:t>
      </w:r>
      <w:proofErr w:type="spellStart"/>
      <w:r>
        <w:rPr>
          <w:rtl/>
        </w:rPr>
        <w:t>שיינרמן</w:t>
      </w:r>
      <w:proofErr w:type="spellEnd"/>
      <w:r>
        <w:rPr>
          <w:rtl/>
        </w:rPr>
        <w:t xml:space="preserve">, ששמע את אבי מלמד משנה ברורה </w:t>
      </w:r>
      <w:proofErr w:type="spellStart"/>
      <w:r>
        <w:rPr>
          <w:rtl/>
        </w:rPr>
        <w:t>ב“מנין</w:t>
      </w:r>
      <w:proofErr w:type="spellEnd"/>
      <w:r>
        <w:rPr>
          <w:rtl/>
        </w:rPr>
        <w:t xml:space="preserve"> </w:t>
      </w:r>
      <w:proofErr w:type="spellStart"/>
      <w:r>
        <w:rPr>
          <w:rtl/>
        </w:rPr>
        <w:t>מיר</w:t>
      </w:r>
      <w:proofErr w:type="spellEnd"/>
      <w:r>
        <w:rPr>
          <w:rtl/>
        </w:rPr>
        <w:t xml:space="preserve">” </w:t>
      </w:r>
      <w:proofErr w:type="spellStart"/>
      <w:r>
        <w:rPr>
          <w:rtl/>
        </w:rPr>
        <w:t>שבוויליאמסבורג</w:t>
      </w:r>
      <w:proofErr w:type="spellEnd"/>
      <w:r>
        <w:rPr>
          <w:rtl/>
        </w:rPr>
        <w:t xml:space="preserve"> בשבתות, סיפר</w:t>
      </w:r>
      <w:bookmarkStart w:id="622" w:name="_fnr366"/>
      <w:r>
        <w:rPr>
          <w:rStyle w:val="a5"/>
        </w:rPr>
        <w:footnoteReference w:id="366" w:customMarkFollows="0"/>
      </w:r>
      <w:bookmarkEnd w:id="622"/>
      <w:r>
        <w:rPr>
          <w:rtl/>
        </w:rPr>
        <w:t xml:space="preserve"> שלפעמים היה אבי אומר: “פסק </w:t>
      </w:r>
      <w:proofErr w:type="spellStart"/>
      <w:r>
        <w:rPr>
          <w:rtl/>
        </w:rPr>
        <w:t>החפץ־חיים</w:t>
      </w:r>
      <w:proofErr w:type="spellEnd"/>
      <w:r>
        <w:rPr>
          <w:rtl/>
        </w:rPr>
        <w:t xml:space="preserve"> בעניין זה אינו מקובל”. כשנשאל על סמך מה הוא חולק על המשנה ברורה, היה אומר שיש לו מקור חזק למחלוקת, ומביא את המנהג שראה בבית אביו</w:t>
      </w:r>
      <w:bookmarkStart w:id="623" w:name="_fnr367"/>
      <w:bookmarkStart w:id="624" w:name="pr_f_297"/>
      <w:r>
        <w:rPr>
          <w:rStyle w:val="a5"/>
        </w:rPr>
        <w:footnoteReference w:id="367" w:customMarkFollows="0"/>
      </w:r>
      <w:bookmarkEnd w:id="623"/>
      <w:bookmarkEnd w:id="624"/>
      <w:r>
        <w:rPr>
          <w:rtl/>
        </w:rPr>
        <w:t>.</w:t>
      </w:r>
    </w:p>
    <w:p w14:paraId="25A990D1" w14:textId="77777777" w:rsidR="00AB3647" w:rsidRDefault="00000000" w:rsidP="007923E9">
      <w:pPr>
        <w:spacing w:after="120" w:line="276" w:lineRule="auto"/>
        <w:ind w:firstLine="283"/>
        <w:jc w:val="both"/>
      </w:pPr>
      <w:r>
        <w:rPr>
          <w:rtl/>
        </w:rPr>
        <w:t xml:space="preserve">עוד סיפר ר׳ אלחנן שבשעה </w:t>
      </w:r>
      <w:proofErr w:type="spellStart"/>
      <w:r>
        <w:rPr>
          <w:rtl/>
        </w:rPr>
        <w:t>שאמו</w:t>
      </w:r>
      <w:proofErr w:type="spellEnd"/>
      <w:r>
        <w:rPr>
          <w:rtl/>
        </w:rPr>
        <w:t xml:space="preserve"> ואחיו ואחיותיו גרו </w:t>
      </w:r>
      <w:proofErr w:type="spellStart"/>
      <w:r>
        <w:rPr>
          <w:rtl/>
        </w:rPr>
        <w:t>בוויליאמסבורג</w:t>
      </w:r>
      <w:proofErr w:type="spellEnd"/>
      <w:r>
        <w:rPr>
          <w:rtl/>
        </w:rPr>
        <w:t xml:space="preserve">, היה עסקו של אביו בוושינגטון הבירה. אביו היה יוצא מניו יורק בהשכמת בוקר יום ראשון וחוזר ביום שישי שלאחריו, וכך לא ראה ר׳ אלחנן מעולם את אביו בימות החול ובחול המועד. כשנסע לאירופה ללמוד בישיבת </w:t>
      </w:r>
      <w:proofErr w:type="spellStart"/>
      <w:r>
        <w:rPr>
          <w:rtl/>
        </w:rPr>
        <w:t>מיר</w:t>
      </w:r>
      <w:proofErr w:type="spellEnd"/>
      <w:r>
        <w:rPr>
          <w:rtl/>
        </w:rPr>
        <w:t xml:space="preserve"> בשנת תרצ״ה, לא ידע מה מנהג אביו בהנחת תפילין בחול המועד, והניחן כמו התלמידים (הליטאים) של ישיבת </w:t>
      </w:r>
      <w:proofErr w:type="spellStart"/>
      <w:r>
        <w:rPr>
          <w:rtl/>
        </w:rPr>
        <w:t>מיר</w:t>
      </w:r>
      <w:proofErr w:type="spellEnd"/>
      <w:r>
        <w:rPr>
          <w:rtl/>
        </w:rPr>
        <w:t xml:space="preserve">. כשחזר לארצות הברית עם פרוץ מלחמת העולם השנייה, נודע לו שאביו </w:t>
      </w:r>
      <w:r>
        <w:rPr>
          <w:b/>
          <w:bCs/>
          <w:rtl/>
        </w:rPr>
        <w:t>אינו</w:t>
      </w:r>
      <w:r>
        <w:rPr>
          <w:rtl/>
        </w:rPr>
        <w:t xml:space="preserve"> מניח תפילין בחול המועד. הוא שאל את ר׳ משה </w:t>
      </w:r>
      <w:proofErr w:type="spellStart"/>
      <w:r>
        <w:rPr>
          <w:rtl/>
        </w:rPr>
        <w:t>פיינשטיין</w:t>
      </w:r>
      <w:proofErr w:type="spellEnd"/>
      <w:r>
        <w:rPr>
          <w:rtl/>
        </w:rPr>
        <w:t xml:space="preserve"> מה לעשות מעתה, ונאמר לו להמשיך להניחן בחול המועד כפי שעשה בישיבת </w:t>
      </w:r>
      <w:proofErr w:type="spellStart"/>
      <w:r>
        <w:rPr>
          <w:rtl/>
        </w:rPr>
        <w:t>מיר</w:t>
      </w:r>
      <w:proofErr w:type="spellEnd"/>
      <w:r>
        <w:rPr>
          <w:rtl/>
        </w:rPr>
        <w:t>.</w:t>
      </w:r>
    </w:p>
    <w:p w14:paraId="752578EA" w14:textId="77777777" w:rsidR="00AB3647" w:rsidRDefault="00000000" w:rsidP="007923E9">
      <w:pPr>
        <w:spacing w:after="120" w:line="276" w:lineRule="auto"/>
        <w:ind w:firstLine="283"/>
        <w:jc w:val="both"/>
      </w:pPr>
      <w:r>
        <w:rPr>
          <w:rtl/>
        </w:rPr>
        <w:t>כשהגיע בנו של ר׳ אלחנן לגיל בר מצווה, סיפר ר׳ אלחנן לרבנו מה נהג עד כה ושאל מה יעשה הבן. השיב אבי: “לגבי עצמך – ‘כבר הורה זקן’</w:t>
      </w:r>
      <w:bookmarkStart w:id="625" w:name="_fnr368"/>
      <w:r>
        <w:rPr>
          <w:rStyle w:val="a5"/>
        </w:rPr>
        <w:footnoteReference w:id="368" w:customMarkFollows="0"/>
      </w:r>
      <w:bookmarkEnd w:id="625"/>
      <w:r>
        <w:rPr>
          <w:rtl/>
        </w:rPr>
        <w:t xml:space="preserve">, אבל בנך ראוי לו שישוב למנהג המשפחה המקורי שלכם”. מדבריו עלה שאילו שאל ר׳ אלחנן את רבנו על </w:t>
      </w:r>
      <w:r>
        <w:rPr>
          <w:b/>
          <w:bCs/>
          <w:rtl/>
        </w:rPr>
        <w:t>עצמו</w:t>
      </w:r>
      <w:r>
        <w:rPr>
          <w:rtl/>
        </w:rPr>
        <w:t xml:space="preserve">, היה פוסק גם לו שישוב למנהג אביו; אלא שלא רצה לחלוק על פסק שכבר יצא מלפני הרב </w:t>
      </w:r>
      <w:proofErr w:type="spellStart"/>
      <w:r>
        <w:rPr>
          <w:rtl/>
        </w:rPr>
        <w:t>פיינשטיין</w:t>
      </w:r>
      <w:proofErr w:type="spellEnd"/>
      <w:r>
        <w:rPr>
          <w:rtl/>
        </w:rPr>
        <w:t>.</w:t>
      </w:r>
    </w:p>
    <w:p w14:paraId="399CA4CA" w14:textId="77777777" w:rsidR="00AB3647" w:rsidRDefault="00000000" w:rsidP="007923E9">
      <w:pPr>
        <w:spacing w:after="120" w:line="276" w:lineRule="auto"/>
        <w:ind w:firstLine="283"/>
        <w:jc w:val="both"/>
      </w:pPr>
      <w:r>
        <w:rPr>
          <w:rtl/>
        </w:rPr>
        <w:t>הדברים הבאים ימחישו עד כמה הקפיד אבי לשמור את מנהגי המשפחה. הוריו לא אכלו מאכלי חלב בערבי שבתות, ואף שלא ידע טעם למנהג זה (ראה להלן), נהג בו כל ימי חייו.</w:t>
      </w:r>
    </w:p>
    <w:p w14:paraId="496AB5EB" w14:textId="77777777" w:rsidR="00AB3647" w:rsidRDefault="00000000" w:rsidP="007923E9">
      <w:pPr>
        <w:spacing w:after="120" w:line="276" w:lineRule="auto"/>
        <w:ind w:firstLine="283"/>
        <w:jc w:val="both"/>
      </w:pPr>
      <w:r>
        <w:rPr>
          <w:rtl/>
        </w:rPr>
        <w:t xml:space="preserve">אבי נשא אישה שנייה בראש חודש כסלו תשי״ט, וחג השבועות הראשון אחרי נישואיו השניים חל ביום שישי. כשחזר הביתה מתפילת </w:t>
      </w:r>
      <w:proofErr w:type="spellStart"/>
      <w:r>
        <w:rPr>
          <w:rtl/>
        </w:rPr>
        <w:t>הוותיקין</w:t>
      </w:r>
      <w:proofErr w:type="spellEnd"/>
      <w:r>
        <w:rPr>
          <w:rtl/>
        </w:rPr>
        <w:t xml:space="preserve"> במתיבתא תורה ודעת בלוויית שלושה תלמידים, הגישה הרבנית עוגת גבינה לקידוש. אבי העיר שאף על פי שהיום שבועות, עדיין יום שישי הוא, והיא חזרה למטבח ואכזבה ניכרת על פניה. בטרם הספיקה לחזור עם עוגה מסוג אחר לבעלה, הביא אבי את פסק המגן אברהם </w:t>
      </w:r>
      <w:proofErr w:type="spellStart"/>
      <w:r>
        <w:rPr>
          <w:rtl/>
        </w:rPr>
        <w:t>בשו״ע</w:t>
      </w:r>
      <w:proofErr w:type="spellEnd"/>
      <w:r>
        <w:rPr>
          <w:rtl/>
        </w:rPr>
        <w:t xml:space="preserve"> </w:t>
      </w:r>
      <w:proofErr w:type="spellStart"/>
      <w:r>
        <w:rPr>
          <w:rtl/>
        </w:rPr>
        <w:t>או״ח</w:t>
      </w:r>
      <w:proofErr w:type="spellEnd"/>
      <w:r>
        <w:rPr>
          <w:rtl/>
        </w:rPr>
        <w:t xml:space="preserve"> סי׳ שמ״א בעניין התרת נדרים בשבת, קם וביקש מן התלמידים “להתיר לו את נדרו” שלא לאכול גבינה בערבי שבתות. </w:t>
      </w:r>
      <w:r>
        <w:rPr>
          <w:rtl/>
        </w:rPr>
        <w:lastRenderedPageBreak/>
        <w:t>כשטעם פרוסה מעוגת הגבינה העיר: “כשם שקשה לי שידחו שיעור שהכנתי היטב, כך קשה לה שידחו עוגת גבינה שאפתה היטב”</w:t>
      </w:r>
      <w:bookmarkStart w:id="626" w:name="_fnr369"/>
      <w:r>
        <w:rPr>
          <w:rStyle w:val="a5"/>
        </w:rPr>
        <w:footnoteReference w:id="369" w:customMarkFollows="0"/>
      </w:r>
      <w:bookmarkEnd w:id="626"/>
      <w:r>
        <w:rPr>
          <w:rtl/>
        </w:rPr>
        <w:t>.</w:t>
      </w:r>
    </w:p>
    <w:p w14:paraId="1DD1DEBA" w14:textId="77777777" w:rsidR="00AB3647" w:rsidRDefault="00000000" w:rsidP="007923E9">
      <w:pPr>
        <w:spacing w:after="120" w:line="276" w:lineRule="auto"/>
        <w:ind w:firstLine="283"/>
        <w:jc w:val="both"/>
      </w:pPr>
      <w:r>
        <w:rPr>
          <w:rtl/>
        </w:rPr>
        <w:t xml:space="preserve">כמה מן המרואיינים ציינו את התחשבותו בטרחת אשתו בהכנת האוכל ואת הערכתו אותה. ר׳ שלמה </w:t>
      </w:r>
      <w:proofErr w:type="spellStart"/>
      <w:r>
        <w:rPr>
          <w:rtl/>
        </w:rPr>
        <w:t>גיסינגר</w:t>
      </w:r>
      <w:bookmarkStart w:id="627" w:name="_fnr370"/>
      <w:proofErr w:type="spellEnd"/>
      <w:r>
        <w:rPr>
          <w:rStyle w:val="a5"/>
        </w:rPr>
        <w:footnoteReference w:id="370" w:customMarkFollows="0"/>
      </w:r>
      <w:bookmarkEnd w:id="627"/>
      <w:r>
        <w:rPr>
          <w:rtl/>
        </w:rPr>
        <w:t xml:space="preserve"> סיפר שביקר את אבי בשבת יחד עם שני חברים, והרבנית הגישה תה. אחד האורחים, שלא אהב תה, אמר בנימוס: “לא, תודה”. כשיצאה הרבנית מן החדר, פנה אליו אבי ואמר: “תאר לעצמך שהכנת חבורה למסור, ונכנסת לחדר שבו ישבו החברים, ומישהו קם ואמר בנימוס רב: ‘לא, תודה’. איך היית מרגיש? מכיוון שהרבנית נכנסה עם התה מוכן, היה עליך לקבלו. אילו באה </w:t>
      </w:r>
      <w:r>
        <w:rPr>
          <w:b/>
          <w:bCs/>
          <w:rtl/>
        </w:rPr>
        <w:t>קודם</w:t>
      </w:r>
      <w:r>
        <w:rPr>
          <w:rtl/>
        </w:rPr>
        <w:t xml:space="preserve"> ושאלה אם תרצה תה – הרי זה עניין אחר. עליך להבין שהתה הוא </w:t>
      </w:r>
      <w:proofErr w:type="spellStart"/>
      <w:r>
        <w:rPr>
          <w:rtl/>
        </w:rPr>
        <w:t>ה‘שטיקעל</w:t>
      </w:r>
      <w:proofErr w:type="spellEnd"/>
      <w:r>
        <w:rPr>
          <w:rtl/>
        </w:rPr>
        <w:t xml:space="preserve"> תורה’ שלה”</w:t>
      </w:r>
      <w:bookmarkStart w:id="628" w:name="_fnr371"/>
      <w:r>
        <w:rPr>
          <w:rStyle w:val="a5"/>
        </w:rPr>
        <w:footnoteReference w:id="371" w:customMarkFollows="0"/>
      </w:r>
      <w:bookmarkEnd w:id="628"/>
      <w:r>
        <w:rPr>
          <w:rtl/>
        </w:rPr>
        <w:t>, הסביר.</w:t>
      </w:r>
    </w:p>
    <w:p w14:paraId="175A3DB2" w14:textId="77777777" w:rsidR="00AB3647" w:rsidRDefault="00000000" w:rsidP="007923E9">
      <w:pPr>
        <w:spacing w:after="120" w:line="276" w:lineRule="auto"/>
        <w:ind w:firstLine="283"/>
        <w:jc w:val="both"/>
      </w:pPr>
      <w:r>
        <w:rPr>
          <w:rtl/>
        </w:rPr>
        <w:t>גם ר׳ אפרים גרינבאום סיפר</w:t>
      </w:r>
      <w:bookmarkStart w:id="629" w:name="_fnr372"/>
      <w:r>
        <w:rPr>
          <w:rStyle w:val="a5"/>
        </w:rPr>
        <w:footnoteReference w:id="372" w:customMarkFollows="0"/>
      </w:r>
      <w:bookmarkEnd w:id="629"/>
      <w:r>
        <w:rPr>
          <w:rtl/>
        </w:rPr>
        <w:t xml:space="preserve"> שפעם נסע </w:t>
      </w:r>
      <w:proofErr w:type="spellStart"/>
      <w:r>
        <w:rPr>
          <w:rtl/>
        </w:rPr>
        <w:t>למונסי</w:t>
      </w:r>
      <w:proofErr w:type="spellEnd"/>
      <w:r>
        <w:rPr>
          <w:rtl/>
        </w:rPr>
        <w:t xml:space="preserve"> לבקש עצה מאבי. כשהביאה הרבנית פירות לשולחן, נמנע מלברך בפני ראש הישיבה, ואבי אמר לו שמאחר שטרחה הרבנית להביא לו את הפירות, עליו להראות את הערכתו בכך שיטעם מהם.</w:t>
      </w:r>
    </w:p>
    <w:p w14:paraId="7BFD8B02" w14:textId="77777777" w:rsidR="00AB3647" w:rsidRDefault="00000000" w:rsidP="007923E9">
      <w:pPr>
        <w:spacing w:after="120" w:line="276" w:lineRule="auto"/>
        <w:ind w:firstLine="283"/>
        <w:jc w:val="both"/>
      </w:pPr>
      <w:r>
        <w:rPr>
          <w:rtl/>
        </w:rPr>
        <w:t xml:space="preserve">אבי אף ויתר על דקדוקי הלכה מתוך התחשבות באשתו. אחייני ר׳ פסח </w:t>
      </w:r>
      <w:proofErr w:type="spellStart"/>
      <w:r>
        <w:rPr>
          <w:rtl/>
        </w:rPr>
        <w:t>דיסקינד</w:t>
      </w:r>
      <w:proofErr w:type="spellEnd"/>
      <w:r>
        <w:rPr>
          <w:rtl/>
        </w:rPr>
        <w:t xml:space="preserve"> סיפר</w:t>
      </w:r>
      <w:bookmarkStart w:id="630" w:name="_fnr373"/>
      <w:r>
        <w:rPr>
          <w:rStyle w:val="a5"/>
        </w:rPr>
        <w:footnoteReference w:id="373" w:customMarkFollows="0"/>
      </w:r>
      <w:bookmarkEnd w:id="630"/>
      <w:r>
        <w:rPr>
          <w:rtl/>
        </w:rPr>
        <w:t xml:space="preserve"> שבביקור </w:t>
      </w:r>
      <w:proofErr w:type="spellStart"/>
      <w:r>
        <w:rPr>
          <w:rtl/>
        </w:rPr>
        <w:t>במונסי</w:t>
      </w:r>
      <w:proofErr w:type="spellEnd"/>
      <w:r>
        <w:rPr>
          <w:rtl/>
        </w:rPr>
        <w:t xml:space="preserve"> ראה שבמקום מנהגו הקודם של סבו</w:t>
      </w:r>
      <w:bookmarkStart w:id="631" w:name="_fnr374"/>
      <w:r>
        <w:rPr>
          <w:rStyle w:val="a5"/>
        </w:rPr>
        <w:footnoteReference w:id="374" w:customMarkFollows="0"/>
      </w:r>
      <w:bookmarkEnd w:id="631"/>
      <w:r>
        <w:rPr>
          <w:rtl/>
        </w:rPr>
        <w:t xml:space="preserve"> ליטול ידיים על לחם משנה מיד אחרי הקידוש בבוקר שבת, הוא אוכל עוגה. כשבירר את הדבר, הוסבר לו שסבו עושה כן למען הרבנית: הוא לא רצה למנוע ממנה “במה למסור את שיעורה”.</w:t>
      </w:r>
    </w:p>
    <w:p w14:paraId="48CAD884"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32" w:name="_fnr375"/>
      <w:proofErr w:type="spellEnd"/>
      <w:r>
        <w:rPr>
          <w:rStyle w:val="a5"/>
        </w:rPr>
        <w:footnoteReference w:id="375" w:customMarkFollows="0"/>
      </w:r>
      <w:bookmarkEnd w:id="632"/>
      <w:r>
        <w:rPr>
          <w:rtl/>
        </w:rPr>
        <w:t>, שהיה עם אבי בכמה לילות סדר של פסח, ציין שמארחו האריך באמירת ההגדה כדי לצאת ידי חובת המצווה, אבל את דברי התורה הנוספים השאיר לאמצע הסעודה. רבנו נימק זאת: “וכי למה תהיה התורה שלי חשובה משלה?”</w:t>
      </w:r>
      <w:bookmarkStart w:id="633" w:name="_fnr376"/>
      <w:r>
        <w:rPr>
          <w:rStyle w:val="a5"/>
        </w:rPr>
        <w:footnoteReference w:id="376" w:customMarkFollows="0"/>
      </w:r>
      <w:bookmarkEnd w:id="633"/>
    </w:p>
    <w:p w14:paraId="28E1257C" w14:textId="77777777" w:rsidR="00AB3647" w:rsidRDefault="00000000" w:rsidP="007923E9">
      <w:pPr>
        <w:spacing w:after="120" w:line="276" w:lineRule="auto"/>
        <w:ind w:firstLine="283"/>
        <w:jc w:val="both"/>
      </w:pPr>
      <w:r>
        <w:rPr>
          <w:rtl/>
        </w:rPr>
        <w:t>מעשה נוסף בעניין זה סיפר ר׳ זאב לב</w:t>
      </w:r>
      <w:bookmarkStart w:id="634" w:name="_fnr377"/>
      <w:r>
        <w:rPr>
          <w:rStyle w:val="a5"/>
        </w:rPr>
        <w:footnoteReference w:id="377" w:customMarkFollows="0"/>
      </w:r>
      <w:bookmarkEnd w:id="634"/>
      <w:r>
        <w:rPr>
          <w:rtl/>
        </w:rPr>
        <w:t>. כשאכל אצלנו בטורונטו, הניחה אמי לפניו מנת חמין גדולה מדי. כשיצאה מן החדר, אמר לו אבי שמוטב שיגמור את כל הצלחת, שמא תיפגע בעלת הבית, והוסיף שזה שנים רבות הוא “סובל את אותם הייסורים” של גמירת כל האוכל שבצלחתו.</w:t>
      </w:r>
    </w:p>
    <w:p w14:paraId="6067BE3E" w14:textId="77777777" w:rsidR="00AB3647" w:rsidRDefault="00000000" w:rsidP="007923E9">
      <w:pPr>
        <w:spacing w:after="120" w:line="276" w:lineRule="auto"/>
        <w:ind w:firstLine="283"/>
        <w:jc w:val="both"/>
      </w:pPr>
      <w:bookmarkStart w:id="635" w:name="_Hlk243581576"/>
      <w:r>
        <w:rPr>
          <w:rtl/>
        </w:rPr>
        <w:lastRenderedPageBreak/>
        <w:t>אדם שלא נזכר בשמו סיפר</w:t>
      </w:r>
      <w:bookmarkStart w:id="636" w:name="_fnr378"/>
      <w:bookmarkEnd w:id="635"/>
      <w:r>
        <w:rPr>
          <w:rStyle w:val="a5"/>
        </w:rPr>
        <w:footnoteReference w:id="378" w:customMarkFollows="0"/>
      </w:r>
      <w:bookmarkEnd w:id="636"/>
      <w:r>
        <w:rPr>
          <w:rtl/>
        </w:rPr>
        <w:t xml:space="preserve"> שאבי היה נואם אורח במסיבת חנוכה בביתו של ר׳ </w:t>
      </w:r>
      <w:proofErr w:type="spellStart"/>
      <w:r>
        <w:rPr>
          <w:rtl/>
        </w:rPr>
        <w:t>משה־מענדל</w:t>
      </w:r>
      <w:proofErr w:type="spellEnd"/>
      <w:r>
        <w:rPr>
          <w:rtl/>
        </w:rPr>
        <w:t xml:space="preserve"> סימון. כשנסתיימה המסיבה, נכנס אבי למטבח לשבח את בעלת הבית על המאפים שהגישה, ואמר: “איני יודע עד כמה היה נאומי טוב, אבל הלביבות שלך היו מצוינות ללא ספק”.</w:t>
      </w:r>
    </w:p>
    <w:p w14:paraId="06FA3335" w14:textId="77777777" w:rsidR="00AB3647" w:rsidRDefault="00000000" w:rsidP="007923E9">
      <w:pPr>
        <w:pStyle w:val="4"/>
        <w:spacing w:line="276" w:lineRule="auto"/>
      </w:pPr>
      <w:r>
        <w:t>· הפסקה השנייה ·</w:t>
      </w:r>
    </w:p>
    <w:p w14:paraId="478B3432" w14:textId="77777777" w:rsidR="00AB3647" w:rsidRDefault="00000000" w:rsidP="007923E9">
      <w:pPr>
        <w:pStyle w:val="5"/>
        <w:spacing w:line="276" w:lineRule="auto"/>
      </w:pPr>
      <w:r>
        <w:t xml:space="preserve">אבי אינו בטוח מדוע אינו אוכל גבינה בערבי שבתות – מקור המנהג – </w:t>
      </w:r>
      <w:proofErr w:type="spellStart"/>
      <w:r>
        <w:t>החזון־איש</w:t>
      </w:r>
      <w:proofErr w:type="spellEnd"/>
      <w:r>
        <w:t xml:space="preserve"> מקיים מנהג משפחתי – ביטול מנהג נתקל בהתנגדות חריפה</w:t>
      </w:r>
    </w:p>
    <w:p w14:paraId="425E47FE" w14:textId="77777777" w:rsidR="00AB3647" w:rsidRDefault="00000000" w:rsidP="007923E9">
      <w:pPr>
        <w:spacing w:after="120" w:line="276" w:lineRule="auto"/>
        <w:ind w:firstLine="283"/>
        <w:jc w:val="both"/>
      </w:pPr>
      <w:r>
        <w:rPr>
          <w:rtl/>
        </w:rPr>
        <w:t xml:space="preserve">אבי אמר שאף שלא ידע מקור מוסמך למנהג הוריו, שיער שאפשר שהוא קשור לדברי מר </w:t>
      </w:r>
      <w:proofErr w:type="spellStart"/>
      <w:r>
        <w:rPr>
          <w:rtl/>
        </w:rPr>
        <w:t>עוקבא</w:t>
      </w:r>
      <w:proofErr w:type="spellEnd"/>
      <w:r>
        <w:rPr>
          <w:rtl/>
        </w:rPr>
        <w:t xml:space="preserve"> במסכת חולין</w:t>
      </w:r>
      <w:bookmarkStart w:id="637" w:name="_fnr379"/>
      <w:r>
        <w:rPr>
          <w:rStyle w:val="a5"/>
        </w:rPr>
        <w:footnoteReference w:id="379" w:customMarkFollows="0"/>
      </w:r>
      <w:bookmarkEnd w:id="637"/>
      <w:r>
        <w:rPr>
          <w:rtl/>
        </w:rPr>
        <w:t xml:space="preserve">: אביו של האמורא הקפיד כל כך בהפרדת בשר וחלב, שהמתין עשרים וארבע שעות אחרי אכילת בשר קודם שאכל גבינה. אם נניח שאביו של מר </w:t>
      </w:r>
      <w:proofErr w:type="spellStart"/>
      <w:r>
        <w:rPr>
          <w:rtl/>
        </w:rPr>
        <w:t>עוקבא</w:t>
      </w:r>
      <w:proofErr w:type="spellEnd"/>
      <w:r>
        <w:rPr>
          <w:rtl/>
        </w:rPr>
        <w:t xml:space="preserve"> נהג אותה הרחקה גם אחרי אכילת </w:t>
      </w:r>
      <w:r>
        <w:rPr>
          <w:b/>
          <w:bCs/>
          <w:rtl/>
        </w:rPr>
        <w:t>גבינה</w:t>
      </w:r>
      <w:r>
        <w:rPr>
          <w:rtl/>
        </w:rPr>
        <w:t xml:space="preserve"> קודם אכילת </w:t>
      </w:r>
      <w:r>
        <w:rPr>
          <w:b/>
          <w:bCs/>
          <w:rtl/>
        </w:rPr>
        <w:t>בשר</w:t>
      </w:r>
      <w:r>
        <w:rPr>
          <w:rtl/>
        </w:rPr>
        <w:t>, ייתכן שהיו אנשים שהחליטו להימנע מגבינה בערבי שבתות, כדי שאם יחליטו לפתע לנהוג באותן חומרות של החכם הקדמון, לא יימנעו מלכבד את השבת בסעודת בשר</w:t>
      </w:r>
      <w:bookmarkStart w:id="638" w:name="_fnr380"/>
      <w:r>
        <w:rPr>
          <w:rStyle w:val="a5"/>
        </w:rPr>
        <w:footnoteReference w:id="380" w:customMarkFollows="0"/>
      </w:r>
      <w:bookmarkEnd w:id="638"/>
      <w:r>
        <w:rPr>
          <w:rtl/>
        </w:rPr>
        <w:t>.</w:t>
      </w:r>
    </w:p>
    <w:p w14:paraId="35FCAF58" w14:textId="77777777" w:rsidR="00AB3647" w:rsidRDefault="00000000" w:rsidP="007923E9">
      <w:pPr>
        <w:spacing w:after="120" w:line="276" w:lineRule="auto"/>
        <w:ind w:firstLine="283"/>
        <w:jc w:val="both"/>
      </w:pPr>
      <w:r>
        <w:rPr>
          <w:rtl/>
        </w:rPr>
        <w:t xml:space="preserve">כעבור כמה שנים מצאתי אזכור של המנהג, בקשר פשוט יותר לסעודת הבשר של ליל שבת, </w:t>
      </w:r>
      <w:proofErr w:type="spellStart"/>
      <w:r>
        <w:rPr>
          <w:rtl/>
        </w:rPr>
        <w:t>ב“ספר</w:t>
      </w:r>
      <w:proofErr w:type="spellEnd"/>
      <w:r>
        <w:rPr>
          <w:rtl/>
        </w:rPr>
        <w:t xml:space="preserve"> מטעמים” מקורות טובים על מנהגי ישראל קדושים, מאת יצחק </w:t>
      </w:r>
      <w:proofErr w:type="spellStart"/>
      <w:r>
        <w:rPr>
          <w:rtl/>
        </w:rPr>
        <w:t>ליפיעץ</w:t>
      </w:r>
      <w:proofErr w:type="spellEnd"/>
      <w:r>
        <w:rPr>
          <w:rtl/>
        </w:rPr>
        <w:t xml:space="preserve"> מעיר </w:t>
      </w:r>
      <w:proofErr w:type="spellStart"/>
      <w:r>
        <w:rPr>
          <w:rtl/>
        </w:rPr>
        <w:t>שעדליץ</w:t>
      </w:r>
      <w:bookmarkStart w:id="639" w:name="_fnr381"/>
      <w:proofErr w:type="spellEnd"/>
      <w:r>
        <w:rPr>
          <w:rStyle w:val="a5"/>
        </w:rPr>
        <w:footnoteReference w:id="381" w:customMarkFollows="0"/>
      </w:r>
      <w:bookmarkEnd w:id="639"/>
      <w:r>
        <w:rPr>
          <w:rtl/>
        </w:rPr>
        <w:t xml:space="preserve">: טעם למנהג שאין </w:t>
      </w:r>
      <w:proofErr w:type="spellStart"/>
      <w:r>
        <w:rPr>
          <w:rtl/>
        </w:rPr>
        <w:t>אוכלין</w:t>
      </w:r>
      <w:proofErr w:type="spellEnd"/>
      <w:r>
        <w:rPr>
          <w:rtl/>
        </w:rPr>
        <w:t xml:space="preserve"> בערב שבת גבינה משום שבלילה ודאי יאכל בשר לכבוד שבת וגזרו משום ימים הקצרים בחורף שלא יוכל להמתין אחריו שש שעות באם יאכל גבינה ישנה וימנע עצמו מסעודת שבת, או ישכח ויאכל, ועל כן עשו הרחקה שלא יאכלו בשום ערב שבת אפי׳ בקיץ</w:t>
      </w:r>
      <w:bookmarkStart w:id="640" w:name="_fnr382"/>
      <w:r>
        <w:rPr>
          <w:rStyle w:val="a5"/>
        </w:rPr>
        <w:footnoteReference w:id="382" w:customMarkFollows="0"/>
      </w:r>
      <w:bookmarkEnd w:id="640"/>
      <w:r>
        <w:rPr>
          <w:rtl/>
        </w:rPr>
        <w:t>.</w:t>
      </w:r>
    </w:p>
    <w:p w14:paraId="39DF952A" w14:textId="77777777" w:rsidR="00AB3647" w:rsidRDefault="00000000" w:rsidP="007923E9">
      <w:pPr>
        <w:spacing w:after="120" w:line="276" w:lineRule="auto"/>
        <w:ind w:firstLine="283"/>
        <w:jc w:val="both"/>
      </w:pPr>
      <w:r>
        <w:rPr>
          <w:rtl/>
        </w:rPr>
        <w:t>רבנו אמר עוד שכעבור זמן מצא בספר חסידים שאין ללעוג למנהג “אפילו אם הוא סתום כמו שלא לאכול מאכלי חלב בערבי שבתות”</w:t>
      </w:r>
      <w:bookmarkStart w:id="641" w:name="_fnr383"/>
      <w:r>
        <w:rPr>
          <w:rStyle w:val="a5"/>
        </w:rPr>
        <w:footnoteReference w:id="383" w:customMarkFollows="0"/>
      </w:r>
      <w:bookmarkEnd w:id="641"/>
      <w:r>
        <w:rPr>
          <w:rtl/>
        </w:rPr>
        <w:t>.</w:t>
      </w:r>
    </w:p>
    <w:p w14:paraId="516A5010" w14:textId="77777777" w:rsidR="00AB3647" w:rsidRDefault="00000000" w:rsidP="007923E9">
      <w:pPr>
        <w:spacing w:after="120" w:line="276" w:lineRule="auto"/>
        <w:ind w:firstLine="283"/>
        <w:jc w:val="both"/>
      </w:pPr>
      <w:r>
        <w:rPr>
          <w:rtl/>
        </w:rPr>
        <w:t xml:space="preserve">ר׳ </w:t>
      </w:r>
      <w:proofErr w:type="spellStart"/>
      <w:r>
        <w:rPr>
          <w:rtl/>
        </w:rPr>
        <w:t>אברהם־ישראל</w:t>
      </w:r>
      <w:proofErr w:type="spellEnd"/>
      <w:r>
        <w:rPr>
          <w:rtl/>
        </w:rPr>
        <w:t xml:space="preserve"> </w:t>
      </w:r>
      <w:proofErr w:type="spellStart"/>
      <w:r>
        <w:rPr>
          <w:rtl/>
        </w:rPr>
        <w:t>געליס</w:t>
      </w:r>
      <w:proofErr w:type="spellEnd"/>
      <w:r>
        <w:rPr>
          <w:rtl/>
        </w:rPr>
        <w:t xml:space="preserve"> סיפר</w:t>
      </w:r>
      <w:bookmarkStart w:id="642" w:name="_fnr384"/>
      <w:r>
        <w:rPr>
          <w:rStyle w:val="a5"/>
        </w:rPr>
        <w:footnoteReference w:id="384" w:customMarkFollows="0"/>
      </w:r>
      <w:bookmarkEnd w:id="642"/>
      <w:r>
        <w:rPr>
          <w:rtl/>
        </w:rPr>
        <w:t xml:space="preserve"> מעשה </w:t>
      </w:r>
      <w:proofErr w:type="spellStart"/>
      <w:r>
        <w:rPr>
          <w:rtl/>
        </w:rPr>
        <w:t>בחזון־איש</w:t>
      </w:r>
      <w:proofErr w:type="spellEnd"/>
      <w:r>
        <w:rPr>
          <w:rtl/>
        </w:rPr>
        <w:t xml:space="preserve">, המלמד עד כמה הרחיק לכת בשמירת מנהגי משפחתו. בביתו של </w:t>
      </w:r>
      <w:proofErr w:type="spellStart"/>
      <w:r>
        <w:rPr>
          <w:rtl/>
        </w:rPr>
        <w:t>החזון־איש</w:t>
      </w:r>
      <w:proofErr w:type="spellEnd"/>
      <w:r>
        <w:rPr>
          <w:rtl/>
        </w:rPr>
        <w:t xml:space="preserve"> היה מנין, ובו קרא בתורה ר׳ אפרים </w:t>
      </w:r>
      <w:proofErr w:type="spellStart"/>
      <w:r>
        <w:rPr>
          <w:rtl/>
        </w:rPr>
        <w:t>געליס</w:t>
      </w:r>
      <w:proofErr w:type="spellEnd"/>
      <w:r>
        <w:rPr>
          <w:rtl/>
        </w:rPr>
        <w:t>, בן דודו של המרואיין. “</w:t>
      </w:r>
      <w:proofErr w:type="spellStart"/>
      <w:r>
        <w:rPr>
          <w:rtl/>
        </w:rPr>
        <w:t>החזון־איש</w:t>
      </w:r>
      <w:proofErr w:type="spellEnd"/>
      <w:r>
        <w:rPr>
          <w:rtl/>
        </w:rPr>
        <w:t xml:space="preserve"> נהנה מן ההגייה המדויקת על פי הדקדוק של אותו ירושלמי בכל מילה </w:t>
      </w:r>
      <w:r>
        <w:rPr>
          <w:rtl/>
        </w:rPr>
        <w:lastRenderedPageBreak/>
        <w:t xml:space="preserve">ומילה ובכל טעם וטעם”, אמר המרואיין. באחד מימי קריאת התורה הבחין ר׳ אפרים </w:t>
      </w:r>
      <w:proofErr w:type="spellStart"/>
      <w:r>
        <w:rPr>
          <w:rtl/>
        </w:rPr>
        <w:t>שהחזון־איש</w:t>
      </w:r>
      <w:proofErr w:type="spellEnd"/>
      <w:r>
        <w:rPr>
          <w:rtl/>
        </w:rPr>
        <w:t xml:space="preserve"> לבוש חולצה וחלוק נאים יותר מאשר בימות החול הרגילים, והרהיב עוז לשאול מה הטעם. </w:t>
      </w:r>
      <w:proofErr w:type="spellStart"/>
      <w:r>
        <w:rPr>
          <w:rtl/>
        </w:rPr>
        <w:t>החזון־איש</w:t>
      </w:r>
      <w:proofErr w:type="spellEnd"/>
      <w:r>
        <w:rPr>
          <w:rtl/>
        </w:rPr>
        <w:t xml:space="preserve"> השיב תשובה מדהימה: באותו תאריך הטיל הגאון מווילנה את החרם על החסידים, ובמשפחתו היה מנהג לציין את היום מדי שנה.</w:t>
      </w:r>
    </w:p>
    <w:p w14:paraId="768E4D8D" w14:textId="77777777" w:rsidR="00AB3647" w:rsidRDefault="00000000" w:rsidP="007923E9">
      <w:pPr>
        <w:spacing w:after="120" w:line="276" w:lineRule="auto"/>
        <w:ind w:firstLine="283"/>
        <w:jc w:val="both"/>
      </w:pPr>
      <w:r>
        <w:rPr>
          <w:rtl/>
        </w:rPr>
        <w:t xml:space="preserve">על חגיגה </w:t>
      </w:r>
      <w:proofErr w:type="spellStart"/>
      <w:r>
        <w:rPr>
          <w:rtl/>
        </w:rPr>
        <w:t>מתנגדית</w:t>
      </w:r>
      <w:proofErr w:type="spellEnd"/>
      <w:r>
        <w:rPr>
          <w:rtl/>
        </w:rPr>
        <w:t xml:space="preserve"> קנאית כביכול כזו, השווה “פנקס </w:t>
      </w:r>
      <w:proofErr w:type="spellStart"/>
      <w:r>
        <w:rPr>
          <w:rtl/>
        </w:rPr>
        <w:t>סלוצק</w:t>
      </w:r>
      <w:proofErr w:type="spellEnd"/>
      <w:r>
        <w:rPr>
          <w:rtl/>
        </w:rPr>
        <w:t xml:space="preserve"> ובנותיה”</w:t>
      </w:r>
      <w:bookmarkStart w:id="643" w:name="_fnr385"/>
      <w:r>
        <w:rPr>
          <w:rStyle w:val="a5"/>
        </w:rPr>
        <w:footnoteReference w:id="385" w:customMarkFollows="0"/>
      </w:r>
      <w:bookmarkEnd w:id="643"/>
      <w:r>
        <w:rPr>
          <w:rtl/>
        </w:rPr>
        <w:t xml:space="preserve">: </w:t>
      </w:r>
      <w:proofErr w:type="spellStart"/>
      <w:r>
        <w:rPr>
          <w:rtl/>
        </w:rPr>
        <w:t>קוסובה</w:t>
      </w:r>
      <w:proofErr w:type="spellEnd"/>
      <w:r>
        <w:rPr>
          <w:rtl/>
        </w:rPr>
        <w:t xml:space="preserve">, עיר הולדתו של </w:t>
      </w:r>
      <w:proofErr w:type="spellStart"/>
      <w:r>
        <w:rPr>
          <w:rtl/>
        </w:rPr>
        <w:t>החזון־איש</w:t>
      </w:r>
      <w:proofErr w:type="spellEnd"/>
      <w:r>
        <w:rPr>
          <w:rtl/>
        </w:rPr>
        <w:t>, הייתה אחת מארבע הערים – הידועות בראשי התיבות “כרפס”</w:t>
      </w:r>
      <w:bookmarkStart w:id="644" w:name="_fnr386"/>
      <w:r>
        <w:rPr>
          <w:rStyle w:val="a5"/>
        </w:rPr>
        <w:footnoteReference w:id="386" w:customMarkFollows="0"/>
      </w:r>
      <w:bookmarkEnd w:id="644"/>
      <w:r>
        <w:rPr>
          <w:rtl/>
        </w:rPr>
        <w:t xml:space="preserve"> – שבהן מעולם לא הצליחו החסידים להיאחז. הן </w:t>
      </w:r>
      <w:proofErr w:type="spellStart"/>
      <w:r>
        <w:rPr>
          <w:b/>
          <w:bCs/>
          <w:rtl/>
        </w:rPr>
        <w:t>ק</w:t>
      </w:r>
      <w:r>
        <w:rPr>
          <w:rtl/>
        </w:rPr>
        <w:t>וסובה</w:t>
      </w:r>
      <w:proofErr w:type="spellEnd"/>
      <w:r>
        <w:rPr>
          <w:rtl/>
        </w:rPr>
        <w:t xml:space="preserve">, </w:t>
      </w:r>
      <w:proofErr w:type="spellStart"/>
      <w:r>
        <w:rPr>
          <w:b/>
          <w:bCs/>
          <w:rtl/>
        </w:rPr>
        <w:t>ר</w:t>
      </w:r>
      <w:r>
        <w:rPr>
          <w:rtl/>
        </w:rPr>
        <w:t>וז׳ינאי</w:t>
      </w:r>
      <w:proofErr w:type="spellEnd"/>
      <w:r>
        <w:rPr>
          <w:rtl/>
        </w:rPr>
        <w:t xml:space="preserve"> (שבה כיהן ר׳ </w:t>
      </w:r>
      <w:proofErr w:type="spellStart"/>
      <w:r>
        <w:rPr>
          <w:rtl/>
        </w:rPr>
        <w:t>מרדכי־גימפל</w:t>
      </w:r>
      <w:proofErr w:type="spellEnd"/>
      <w:r>
        <w:rPr>
          <w:rtl/>
        </w:rPr>
        <w:t xml:space="preserve"> יפה כרב), </w:t>
      </w:r>
      <w:proofErr w:type="spellStart"/>
      <w:r>
        <w:rPr>
          <w:b/>
          <w:bCs/>
          <w:rtl/>
        </w:rPr>
        <w:t>פ</w:t>
      </w:r>
      <w:r>
        <w:rPr>
          <w:rtl/>
        </w:rPr>
        <w:t>רוז׳ני</w:t>
      </w:r>
      <w:proofErr w:type="spellEnd"/>
      <w:r>
        <w:rPr>
          <w:rtl/>
        </w:rPr>
        <w:t xml:space="preserve"> (שבה כיהן כרב ר׳ אליהו </w:t>
      </w:r>
      <w:proofErr w:type="spellStart"/>
      <w:r>
        <w:rPr>
          <w:rtl/>
        </w:rPr>
        <w:t>פיינשטיין</w:t>
      </w:r>
      <w:proofErr w:type="spellEnd"/>
      <w:r>
        <w:rPr>
          <w:rtl/>
        </w:rPr>
        <w:t xml:space="preserve">, חותנו של ר׳ משה </w:t>
      </w:r>
      <w:proofErr w:type="spellStart"/>
      <w:r>
        <w:rPr>
          <w:rtl/>
        </w:rPr>
        <w:t>סולובייצ׳יק</w:t>
      </w:r>
      <w:proofErr w:type="spellEnd"/>
      <w:r>
        <w:rPr>
          <w:rtl/>
        </w:rPr>
        <w:t xml:space="preserve">) </w:t>
      </w:r>
      <w:proofErr w:type="spellStart"/>
      <w:r>
        <w:rPr>
          <w:rtl/>
        </w:rPr>
        <w:t>ו</w:t>
      </w:r>
      <w:r>
        <w:rPr>
          <w:b/>
          <w:bCs/>
          <w:rtl/>
        </w:rPr>
        <w:t>ס</w:t>
      </w:r>
      <w:r>
        <w:rPr>
          <w:rtl/>
        </w:rPr>
        <w:t>לוצק</w:t>
      </w:r>
      <w:proofErr w:type="spellEnd"/>
      <w:r>
        <w:rPr>
          <w:rtl/>
        </w:rPr>
        <w:t>.</w:t>
      </w:r>
    </w:p>
    <w:p w14:paraId="4C420EF6"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 xml:space="preserve">” מביא “אגדה חסידית” הנוגעת </w:t>
      </w:r>
      <w:proofErr w:type="spellStart"/>
      <w:r>
        <w:rPr>
          <w:rtl/>
        </w:rPr>
        <w:t>לסלוצק</w:t>
      </w:r>
      <w:proofErr w:type="spellEnd"/>
      <w:r>
        <w:rPr>
          <w:rtl/>
        </w:rPr>
        <w:t xml:space="preserve">. כשקיבל עליו </w:t>
      </w:r>
      <w:proofErr w:type="spellStart"/>
      <w:r>
        <w:rPr>
          <w:rtl/>
        </w:rPr>
        <w:t>הבעש״ט</w:t>
      </w:r>
      <w:proofErr w:type="spellEnd"/>
      <w:r>
        <w:rPr>
          <w:rtl/>
        </w:rPr>
        <w:t xml:space="preserve"> תשובת “גלות” ונדד ממקום למקום, הגיע </w:t>
      </w:r>
      <w:proofErr w:type="spellStart"/>
      <w:r>
        <w:rPr>
          <w:rtl/>
        </w:rPr>
        <w:t>לסלוצק</w:t>
      </w:r>
      <w:proofErr w:type="spellEnd"/>
      <w:r>
        <w:rPr>
          <w:rtl/>
        </w:rPr>
        <w:t xml:space="preserve">, ותושביה לא קיבלוהו יפה. מפני שהתפלל בנוסח החסידים, הלקו אותו על אבן גדולה מחוץ לבית הכנסת, וכעבור מאה וחמישים שנה עדיין זיהו את האבן שלפני בית הכנסת </w:t>
      </w:r>
      <w:proofErr w:type="spellStart"/>
      <w:r>
        <w:rPr>
          <w:rtl/>
        </w:rPr>
        <w:t>ה“קר</w:t>
      </w:r>
      <w:proofErr w:type="spellEnd"/>
      <w:r>
        <w:rPr>
          <w:rtl/>
        </w:rPr>
        <w:t>”</w:t>
      </w:r>
      <w:bookmarkStart w:id="645" w:name="_fnr387"/>
      <w:r>
        <w:rPr>
          <w:rStyle w:val="a5"/>
        </w:rPr>
        <w:footnoteReference w:id="387" w:customMarkFollows="0"/>
      </w:r>
      <w:bookmarkEnd w:id="645"/>
      <w:r>
        <w:rPr>
          <w:rtl/>
        </w:rPr>
        <w:t xml:space="preserve"> עם מעשה זה. אז “קילל” </w:t>
      </w:r>
      <w:proofErr w:type="spellStart"/>
      <w:r>
        <w:rPr>
          <w:rtl/>
        </w:rPr>
        <w:t>הבעש״ט</w:t>
      </w:r>
      <w:proofErr w:type="spellEnd"/>
      <w:r>
        <w:rPr>
          <w:rtl/>
        </w:rPr>
        <w:t xml:space="preserve"> את העיר שלא ישבו בה חסידים לעולם. שלוש הערים האחרות נשארו כנראה בלי חסידים מסיבה דומה: החסידים היו שם בלתי רצויים, כשם שהיה מייסד תנועתם </w:t>
      </w:r>
      <w:proofErr w:type="spellStart"/>
      <w:r>
        <w:rPr>
          <w:rtl/>
        </w:rPr>
        <w:t>בסלוצק</w:t>
      </w:r>
      <w:proofErr w:type="spellEnd"/>
      <w:r>
        <w:rPr>
          <w:rtl/>
        </w:rPr>
        <w:t>.</w:t>
      </w:r>
    </w:p>
    <w:p w14:paraId="1D44CD35" w14:textId="77777777" w:rsidR="00AB3647" w:rsidRDefault="00000000" w:rsidP="007923E9">
      <w:pPr>
        <w:spacing w:after="120" w:line="276" w:lineRule="auto"/>
        <w:ind w:firstLine="283"/>
        <w:jc w:val="both"/>
      </w:pPr>
      <w:r>
        <w:rPr>
          <w:rtl/>
        </w:rPr>
        <w:t xml:space="preserve">ועיין </w:t>
      </w:r>
      <w:proofErr w:type="spellStart"/>
      <w:r>
        <w:rPr>
          <w:rtl/>
        </w:rPr>
        <w:t>בשו״ע</w:t>
      </w:r>
      <w:proofErr w:type="spellEnd"/>
      <w:r>
        <w:rPr>
          <w:rtl/>
        </w:rPr>
        <w:t xml:space="preserve"> </w:t>
      </w:r>
      <w:proofErr w:type="spellStart"/>
      <w:r>
        <w:rPr>
          <w:rtl/>
        </w:rPr>
        <w:t>או״ח</w:t>
      </w:r>
      <w:proofErr w:type="spellEnd"/>
      <w:r>
        <w:rPr>
          <w:rtl/>
        </w:rPr>
        <w:t xml:space="preserve"> סי׳ תר״צ </w:t>
      </w:r>
      <w:proofErr w:type="spellStart"/>
      <w:r>
        <w:rPr>
          <w:rtl/>
        </w:rPr>
        <w:t>סי״ז</w:t>
      </w:r>
      <w:proofErr w:type="spellEnd"/>
      <w:r>
        <w:rPr>
          <w:rtl/>
        </w:rPr>
        <w:t xml:space="preserve"> בהגה “ואין לבטל שום מנהג או ללעוג עליו כי לא לחנם </w:t>
      </w:r>
      <w:proofErr w:type="spellStart"/>
      <w:r>
        <w:rPr>
          <w:rtl/>
        </w:rPr>
        <w:t>הוקבע</w:t>
      </w:r>
      <w:proofErr w:type="spellEnd"/>
      <w:r>
        <w:rPr>
          <w:rtl/>
        </w:rPr>
        <w:t xml:space="preserve">” </w:t>
      </w:r>
      <w:proofErr w:type="spellStart"/>
      <w:r>
        <w:rPr>
          <w:rtl/>
        </w:rPr>
        <w:t>ובמג״א</w:t>
      </w:r>
      <w:proofErr w:type="spellEnd"/>
      <w:r>
        <w:rPr>
          <w:rtl/>
        </w:rPr>
        <w:t>.</w:t>
      </w:r>
    </w:p>
    <w:p w14:paraId="73813BEC" w14:textId="77777777" w:rsidR="00AB3647" w:rsidRDefault="00000000" w:rsidP="007923E9">
      <w:pPr>
        <w:spacing w:after="120" w:line="276" w:lineRule="auto"/>
        <w:ind w:firstLine="283"/>
        <w:jc w:val="both"/>
      </w:pPr>
      <w:r>
        <w:rPr>
          <w:rtl/>
        </w:rPr>
        <w:t>וראה בספר “הצדיק רבי שלמה”</w:t>
      </w:r>
      <w:bookmarkStart w:id="646" w:name="_fnr388"/>
      <w:r>
        <w:rPr>
          <w:rStyle w:val="a5"/>
        </w:rPr>
        <w:footnoteReference w:id="388" w:customMarkFollows="0"/>
      </w:r>
      <w:bookmarkEnd w:id="646"/>
      <w:r>
        <w:rPr>
          <w:rtl/>
        </w:rPr>
        <w:t xml:space="preserve"> דבר נורא: החפץ חיים שח פעם </w:t>
      </w:r>
      <w:proofErr w:type="spellStart"/>
      <w:r>
        <w:rPr>
          <w:rtl/>
        </w:rPr>
        <w:t>לר</w:t>
      </w:r>
      <w:proofErr w:type="spellEnd"/>
      <w:r>
        <w:rPr>
          <w:rtl/>
        </w:rPr>
        <w:t xml:space="preserve">׳ אלחנן, למה ירקדו הבחורים כ״כ בשמחת תורה כי הרי בני עניים הם והנעליים משתפשפות, וכשענה ר׳ אלחנן שהרי מצווה היא, הראה לו במשנה ברורה שאסור לרקוד ביו״ט, ומעיקרא </w:t>
      </w:r>
      <w:proofErr w:type="spellStart"/>
      <w:r>
        <w:rPr>
          <w:rtl/>
        </w:rPr>
        <w:t>דדינא</w:t>
      </w:r>
      <w:proofErr w:type="spellEnd"/>
      <w:r>
        <w:rPr>
          <w:rtl/>
        </w:rPr>
        <w:t xml:space="preserve"> גם </w:t>
      </w:r>
      <w:proofErr w:type="spellStart"/>
      <w:r>
        <w:rPr>
          <w:rtl/>
        </w:rPr>
        <w:t>בש״ת</w:t>
      </w:r>
      <w:proofErr w:type="spellEnd"/>
      <w:r>
        <w:rPr>
          <w:rtl/>
        </w:rPr>
        <w:t xml:space="preserve"> אסור, אך לבטל מנהג ישראל ג״כ אסור </w:t>
      </w:r>
      <w:proofErr w:type="spellStart"/>
      <w:r>
        <w:rPr>
          <w:rtl/>
        </w:rPr>
        <w:t>דמנהגי</w:t>
      </w:r>
      <w:proofErr w:type="spellEnd"/>
      <w:r>
        <w:rPr>
          <w:rtl/>
        </w:rPr>
        <w:t xml:space="preserve"> ישראל קדושים הם, ורק משום טעם זה פסק בסימן תרס״ט </w:t>
      </w:r>
      <w:proofErr w:type="spellStart"/>
      <w:r>
        <w:rPr>
          <w:rtl/>
        </w:rPr>
        <w:t>סק״ה</w:t>
      </w:r>
      <w:proofErr w:type="spellEnd"/>
      <w:r>
        <w:rPr>
          <w:rtl/>
        </w:rPr>
        <w:t xml:space="preserve"> שלכבוד התורה מותר לרקוד ביו״ט.</w:t>
      </w:r>
    </w:p>
    <w:p w14:paraId="3FE4CC7D" w14:textId="77777777" w:rsidR="00AB3647" w:rsidRDefault="00000000" w:rsidP="007923E9">
      <w:pPr>
        <w:spacing w:after="120" w:line="276" w:lineRule="auto"/>
        <w:ind w:firstLine="283"/>
        <w:jc w:val="both"/>
      </w:pPr>
      <w:r>
        <w:rPr>
          <w:rtl/>
        </w:rPr>
        <w:t xml:space="preserve">ועיין במוסף ערב שבת של “יתד נאמן” (פרשת אמור תשנ״ז, עמ׳ ז), שהחתם סופר יצא לנופש בעיירה יערגן שע״י עירו </w:t>
      </w:r>
      <w:proofErr w:type="spellStart"/>
      <w:r>
        <w:rPr>
          <w:rtl/>
        </w:rPr>
        <w:t>פרשבורג</w:t>
      </w:r>
      <w:proofErr w:type="spellEnd"/>
      <w:r>
        <w:rPr>
          <w:rtl/>
        </w:rPr>
        <w:t xml:space="preserve"> ושכר שם דירה אצל יהודי </w:t>
      </w:r>
      <w:proofErr w:type="spellStart"/>
      <w:r>
        <w:rPr>
          <w:rtl/>
        </w:rPr>
        <w:t>עם־הארץ</w:t>
      </w:r>
      <w:proofErr w:type="spellEnd"/>
      <w:r>
        <w:rPr>
          <w:rtl/>
        </w:rPr>
        <w:t xml:space="preserve"> והלה הוציא עליו קול שאינו מדקדק במצוות משום שלא עשה קידוש על היין לפני סעודת יום השבת – בלי שידע שמותר לעשות קידוש על פת הבא </w:t>
      </w:r>
      <w:proofErr w:type="spellStart"/>
      <w:r>
        <w:rPr>
          <w:rtl/>
        </w:rPr>
        <w:t>בכיסנין</w:t>
      </w:r>
      <w:proofErr w:type="spellEnd"/>
      <w:r>
        <w:rPr>
          <w:rtl/>
        </w:rPr>
        <w:t xml:space="preserve"> בבקר ולאכול הסעודה אח״כ בלי </w:t>
      </w:r>
      <w:proofErr w:type="spellStart"/>
      <w:r>
        <w:rPr>
          <w:rtl/>
        </w:rPr>
        <w:t>קידושא</w:t>
      </w:r>
      <w:proofErr w:type="spellEnd"/>
      <w:r>
        <w:rPr>
          <w:rtl/>
        </w:rPr>
        <w:t xml:space="preserve"> רבא. כשנודע הדבר </w:t>
      </w:r>
      <w:proofErr w:type="spellStart"/>
      <w:r>
        <w:rPr>
          <w:rtl/>
        </w:rPr>
        <w:t>לחת״ס</w:t>
      </w:r>
      <w:proofErr w:type="spellEnd"/>
      <w:r>
        <w:rPr>
          <w:rtl/>
        </w:rPr>
        <w:t xml:space="preserve"> הי׳ נסער ממה שנשכח ממנו האיסור לדור בשכנות של עם הארץ חסיד</w:t>
      </w:r>
      <w:bookmarkStart w:id="647" w:name="_fnr389"/>
      <w:r>
        <w:rPr>
          <w:rStyle w:val="a5"/>
        </w:rPr>
        <w:footnoteReference w:id="389" w:customMarkFollows="0"/>
      </w:r>
      <w:bookmarkEnd w:id="647"/>
      <w:r>
        <w:rPr>
          <w:rtl/>
        </w:rPr>
        <w:t xml:space="preserve">, ואחר זמן רב הגיע למסקנה שנכשל בזה כדי ללמוד מוסר השכל שעיקר קיום אמונת </w:t>
      </w:r>
      <w:r>
        <w:rPr>
          <w:rtl/>
        </w:rPr>
        <w:lastRenderedPageBreak/>
        <w:t>בית ישראל הוא ע״י מסורת אבות “שיאמינו לאבותיהם יותר מאשר לרבניהם”, וזה חסד מן השמים שלא ימשך כלל ישראל אחר המחדשים למיניהם</w:t>
      </w:r>
      <w:bookmarkStart w:id="648" w:name="_fnr390"/>
      <w:r>
        <w:rPr>
          <w:rStyle w:val="a5"/>
        </w:rPr>
        <w:footnoteReference w:id="390" w:customMarkFollows="0"/>
      </w:r>
      <w:bookmarkEnd w:id="648"/>
      <w:r>
        <w:rPr>
          <w:rtl/>
        </w:rPr>
        <w:t>.</w:t>
      </w:r>
    </w:p>
    <w:p w14:paraId="4785A5B6" w14:textId="77777777" w:rsidR="00AB3647" w:rsidRDefault="00000000" w:rsidP="007923E9">
      <w:pPr>
        <w:pStyle w:val="4"/>
        <w:spacing w:line="276" w:lineRule="auto"/>
      </w:pPr>
      <w:r>
        <w:t>· הפסקה השלישית ·</w:t>
      </w:r>
    </w:p>
    <w:p w14:paraId="6D3309D6" w14:textId="77777777" w:rsidR="00AB3647" w:rsidRDefault="00000000" w:rsidP="007923E9">
      <w:pPr>
        <w:pStyle w:val="5"/>
        <w:spacing w:line="276" w:lineRule="auto"/>
      </w:pPr>
      <w:r>
        <w:t xml:space="preserve">ר׳ ישראל </w:t>
      </w:r>
      <w:proofErr w:type="spellStart"/>
      <w:r>
        <w:t>סלנטר</w:t>
      </w:r>
      <w:proofErr w:type="spellEnd"/>
      <w:r>
        <w:t xml:space="preserve"> מקיים מנהג קל – הוא מניח למנהג הרווח לגבור על ההלכה – ר׳ </w:t>
      </w:r>
      <w:proofErr w:type="spellStart"/>
      <w:r>
        <w:t>שלמה־זלמן</w:t>
      </w:r>
      <w:proofErr w:type="spellEnd"/>
      <w:r>
        <w:t xml:space="preserve"> </w:t>
      </w:r>
      <w:proofErr w:type="spellStart"/>
      <w:r>
        <w:t xml:space="preserve">אוירבך</w:t>
      </w:r>
      <w:proofErr w:type="spellEnd"/>
      <w:r>
        <w:t xml:space="preserve"> אומר לילד לנהוג כמנהג שהרב סבור שהוא שגוי על פי ההלכה – יש המקיימים מנהגים בחומרה יתרה משל דינים ממש</w:t>
      </w:r>
    </w:p>
    <w:p w14:paraId="5A0D44F6" w14:textId="104FB38C" w:rsidR="00AB3647" w:rsidRDefault="00000000" w:rsidP="007923E9">
      <w:pPr>
        <w:spacing w:after="120" w:line="276" w:lineRule="auto"/>
        <w:ind w:firstLine="283"/>
        <w:jc w:val="both"/>
      </w:pPr>
      <w:bookmarkStart w:id="649" w:name="pr_b_349"/>
      <w:bookmarkEnd w:id="649"/>
      <w:r>
        <w:rPr>
          <w:rtl/>
        </w:rPr>
        <w:t xml:space="preserve">השקפה על מנהגים, הדומה לזו של רבנו, מצויה </w:t>
      </w:r>
      <w:proofErr w:type="spellStart"/>
      <w:r>
        <w:rPr>
          <w:rtl/>
        </w:rPr>
        <w:t>ב“כתבי</w:t>
      </w:r>
      <w:proofErr w:type="spellEnd"/>
      <w:r>
        <w:rPr>
          <w:rtl/>
        </w:rPr>
        <w:t xml:space="preserve"> הסבא ותלמידיו מקלם”</w:t>
      </w:r>
      <w:bookmarkStart w:id="650" w:name="_fnr391"/>
      <w:r>
        <w:rPr>
          <w:rStyle w:val="a5"/>
        </w:rPr>
        <w:footnoteReference w:id="391" w:customMarkFollows="0"/>
      </w:r>
      <w:bookmarkEnd w:id="650"/>
      <w:r>
        <w:rPr>
          <w:rtl/>
        </w:rPr>
        <w:t xml:space="preserve">, המביא את המעשה הבא בשם ר׳ גרשון </w:t>
      </w:r>
      <w:proofErr w:type="spellStart"/>
      <w:r>
        <w:rPr>
          <w:rtl/>
        </w:rPr>
        <w:t>מיאדניק</w:t>
      </w:r>
      <w:bookmarkStart w:id="651" w:name="_fnr392"/>
      <w:proofErr w:type="spellEnd"/>
      <w:r>
        <w:rPr>
          <w:rStyle w:val="a5"/>
        </w:rPr>
        <w:footnoteReference w:id="392" w:customMarkFollows="0"/>
      </w:r>
      <w:bookmarkEnd w:id="651"/>
      <w:r>
        <w:rPr>
          <w:rtl/>
        </w:rPr>
        <w:t xml:space="preserve">. תלמידי ר׳ ישראל </w:t>
      </w:r>
      <w:proofErr w:type="spellStart"/>
      <w:r>
        <w:rPr>
          <w:rtl/>
        </w:rPr>
        <w:t>סלנטר</w:t>
      </w:r>
      <w:proofErr w:type="spellEnd"/>
      <w:r>
        <w:rPr>
          <w:rtl/>
        </w:rPr>
        <w:t xml:space="preserve"> התפללו עם רבם בשמיני עצרת ושלחו מישהו להביא </w:t>
      </w:r>
      <w:proofErr w:type="spellStart"/>
      <w:r>
        <w:rPr>
          <w:rtl/>
        </w:rPr>
        <w:t>קיטל</w:t>
      </w:r>
      <w:proofErr w:type="spellEnd"/>
      <w:r>
        <w:rPr>
          <w:rtl/>
        </w:rPr>
        <w:t xml:space="preserve"> לחזן לאמירת תפילת הגשם, כמנהג. כשהשליח התמהמה, שאל אחד מן החבורה את ר׳ ישראל אם צריך להמתין זמן רב כל כך </w:t>
      </w:r>
      <w:proofErr w:type="spellStart"/>
      <w:r>
        <w:rPr>
          <w:rtl/>
        </w:rPr>
        <w:t>לקיטל</w:t>
      </w:r>
      <w:proofErr w:type="spellEnd"/>
      <w:r>
        <w:rPr>
          <w:rtl/>
        </w:rPr>
        <w:t xml:space="preserve">, והשיב: “מה נשאר לנו מלבד </w:t>
      </w:r>
      <w:proofErr w:type="spellStart"/>
      <w:r>
        <w:rPr>
          <w:rtl/>
        </w:rPr>
        <w:t>הקיטל</w:t>
      </w:r>
      <w:proofErr w:type="spellEnd"/>
      <w:r>
        <w:rPr>
          <w:rtl/>
        </w:rPr>
        <w:t xml:space="preserve">?!” כוונתו הייתה ששמירת מנהגי ישראל היא הכרחית כדי שנשמור על היהדות. והשווה גם פרק 4, סוף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בשם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p>
    <w:p w14:paraId="4A1B72B3" w14:textId="77777777" w:rsidR="00AB3647" w:rsidRDefault="00000000" w:rsidP="007923E9">
      <w:pPr>
        <w:spacing w:after="120" w:line="276" w:lineRule="auto"/>
        <w:ind w:firstLine="283"/>
        <w:jc w:val="both"/>
      </w:pPr>
      <w:r>
        <w:rPr>
          <w:rtl/>
        </w:rPr>
        <w:t xml:space="preserve">דומה לגישתו של ר׳ ישראל בעניין </w:t>
      </w:r>
      <w:proofErr w:type="spellStart"/>
      <w:r>
        <w:rPr>
          <w:rtl/>
        </w:rPr>
        <w:t>הקיטל</w:t>
      </w:r>
      <w:proofErr w:type="spellEnd"/>
      <w:r>
        <w:rPr>
          <w:rtl/>
        </w:rPr>
        <w:t xml:space="preserve"> מעשה המובא בספרו של כץ, “תנועת המוסר”, כרך א</w:t>
      </w:r>
      <w:bookmarkStart w:id="652" w:name="_fnr393"/>
      <w:r>
        <w:rPr>
          <w:rStyle w:val="a5"/>
        </w:rPr>
        <w:footnoteReference w:id="393" w:customMarkFollows="0"/>
      </w:r>
      <w:bookmarkEnd w:id="652"/>
      <w:r>
        <w:rPr>
          <w:rtl/>
        </w:rPr>
        <w:t xml:space="preserve">, וזה עניינו: ר׳ ישראל </w:t>
      </w:r>
      <w:proofErr w:type="spellStart"/>
      <w:r>
        <w:rPr>
          <w:rtl/>
        </w:rPr>
        <w:t>סלנטר</w:t>
      </w:r>
      <w:proofErr w:type="spellEnd"/>
      <w:r>
        <w:rPr>
          <w:rtl/>
        </w:rPr>
        <w:t xml:space="preserve"> כינס אספה בווילנה בעניין מצב שאיים על יהדות רוסיה, ונכחו בה “כמה מגאוני הדור, ובהם ר׳ אליהו שיק</w:t>
      </w:r>
      <w:bookmarkStart w:id="653" w:name="_fnr394"/>
      <w:r>
        <w:rPr>
          <w:rStyle w:val="a5"/>
        </w:rPr>
        <w:footnoteReference w:id="394" w:customMarkFollows="0"/>
      </w:r>
      <w:bookmarkEnd w:id="653"/>
      <w:r>
        <w:rPr>
          <w:rtl/>
        </w:rPr>
        <w:t xml:space="preserve">”. כשהגיע זמן מנחה קם ר׳ ישראל להתפלל, אבל ר׳ אליהו טען שלא זו בלבד שהם פטורים מן התפילה, אלא אף </w:t>
      </w:r>
      <w:r>
        <w:rPr>
          <w:b/>
          <w:bCs/>
          <w:rtl/>
        </w:rPr>
        <w:t>אסור</w:t>
      </w:r>
      <w:r>
        <w:rPr>
          <w:rtl/>
        </w:rPr>
        <w:t xml:space="preserve"> להם להפסיק אספה מעין זו לשם תפילה. השיב ר׳ ישראל שאף שמן הדין צדק ר׳ אליהו, צרות רבות כל כך פוקדות את ישראל שוב ושוב, שאילו נהגו בהלכה זו בזמן הזה היינו נשארים “בלי תורה ובלי תפילה” – והתפלל ביחידות. אחר כך אמר “בחיוך” ששניהם, הוא ור׳ אליהו, עשו כהלכה: “יחד נהגנו לפי הכלל אלו ואלו דברי </w:t>
      </w:r>
      <w:proofErr w:type="spellStart"/>
      <w:r>
        <w:rPr>
          <w:rtl/>
        </w:rPr>
        <w:t>א־להים</w:t>
      </w:r>
      <w:proofErr w:type="spellEnd"/>
      <w:r>
        <w:rPr>
          <w:rtl/>
        </w:rPr>
        <w:t xml:space="preserve"> חיים</w:t>
      </w:r>
      <w:bookmarkStart w:id="654" w:name="_fnr395"/>
      <w:r>
        <w:rPr>
          <w:rStyle w:val="a5"/>
        </w:rPr>
        <w:footnoteReference w:id="395" w:customMarkFollows="0"/>
      </w:r>
      <w:bookmarkEnd w:id="654"/>
      <w:r>
        <w:rPr>
          <w:rtl/>
        </w:rPr>
        <w:t>: ר׳ אליהו היה צריך להורות שפיקוח נפשות</w:t>
      </w:r>
      <w:bookmarkStart w:id="655" w:name="_fnr396"/>
      <w:r>
        <w:rPr>
          <w:rStyle w:val="a5"/>
        </w:rPr>
        <w:footnoteReference w:id="396" w:customMarkFollows="0"/>
      </w:r>
      <w:bookmarkEnd w:id="655"/>
      <w:r>
        <w:rPr>
          <w:rtl/>
        </w:rPr>
        <w:t xml:space="preserve"> דוחה הכול, ואני הייתי צריך להראות שאין לעשות זאת דבר קבוע – כדי שלא תתבטל לגמרי התפילה בזמנה”.</w:t>
      </w:r>
    </w:p>
    <w:p w14:paraId="1A0C14FF" w14:textId="77777777" w:rsidR="00AB3647" w:rsidRDefault="00000000" w:rsidP="007923E9">
      <w:pPr>
        <w:spacing w:after="120" w:line="276" w:lineRule="auto"/>
        <w:ind w:firstLine="283"/>
        <w:jc w:val="both"/>
      </w:pPr>
      <w:r>
        <w:rPr>
          <w:rtl/>
        </w:rPr>
        <w:t xml:space="preserve">במקרה זה הרחיק ר׳ ישראל לכת יותר מן התביעה הפשוטה לשמור על מנהג, כפי שעשה במעשה </w:t>
      </w:r>
      <w:proofErr w:type="spellStart"/>
      <w:r>
        <w:rPr>
          <w:rtl/>
        </w:rPr>
        <w:t>הקיטל</w:t>
      </w:r>
      <w:proofErr w:type="spellEnd"/>
      <w:r>
        <w:rPr>
          <w:rtl/>
        </w:rPr>
        <w:t xml:space="preserve">. הוא הניח למנהג הרווח של תפילת מנחה לגבור על הדין ככתבו, שבמצב מיוחד זה היה </w:t>
      </w:r>
      <w:r>
        <w:rPr>
          <w:b/>
          <w:bCs/>
          <w:rtl/>
        </w:rPr>
        <w:t>שלא</w:t>
      </w:r>
      <w:r>
        <w:rPr>
          <w:rtl/>
        </w:rPr>
        <w:t xml:space="preserve"> להתפלל.</w:t>
      </w:r>
    </w:p>
    <w:p w14:paraId="5C8E378D" w14:textId="77777777" w:rsidR="00AB3647" w:rsidRDefault="00000000" w:rsidP="007923E9">
      <w:pPr>
        <w:spacing w:after="120" w:line="276" w:lineRule="auto"/>
        <w:ind w:firstLine="283"/>
        <w:jc w:val="both"/>
      </w:pPr>
      <w:r>
        <w:rPr>
          <w:rtl/>
        </w:rPr>
        <w:lastRenderedPageBreak/>
        <w:t xml:space="preserve">מעניין לציין גם את מעמדם המכריע של המנהגים בעיני ר׳ </w:t>
      </w:r>
      <w:proofErr w:type="spellStart"/>
      <w:r>
        <w:rPr>
          <w:rtl/>
        </w:rPr>
        <w:t>שלמה־זלמן</w:t>
      </w:r>
      <w:proofErr w:type="spellEnd"/>
      <w:r>
        <w:rPr>
          <w:rtl/>
        </w:rPr>
        <w:t xml:space="preserve"> </w:t>
      </w:r>
      <w:proofErr w:type="spellStart"/>
      <w:r>
        <w:rPr>
          <w:rtl/>
        </w:rPr>
        <w:t xml:space="preserve">אוירבך</w:t>
      </w:r>
      <w:proofErr w:type="spellEnd"/>
      <w:r>
        <w:rPr>
          <w:rtl/>
        </w:rPr>
        <w:t>. אחיו ר׳ בערל סיפר</w:t>
      </w:r>
      <w:bookmarkStart w:id="656" w:name="_fnr397"/>
      <w:r>
        <w:rPr>
          <w:rStyle w:val="a5"/>
        </w:rPr>
        <w:footnoteReference w:id="397" w:customMarkFollows="0"/>
      </w:r>
      <w:bookmarkEnd w:id="656"/>
      <w:r>
        <w:rPr>
          <w:rtl/>
        </w:rPr>
        <w:t xml:space="preserve"> שר׳ </w:t>
      </w:r>
      <w:proofErr w:type="spellStart"/>
      <w:r>
        <w:rPr>
          <w:rtl/>
        </w:rPr>
        <w:t>שלמה־זלמן</w:t>
      </w:r>
      <w:proofErr w:type="spellEnd"/>
      <w:r>
        <w:rPr>
          <w:rtl/>
        </w:rPr>
        <w:t xml:space="preserve"> נהג לפי פסקו שבכתב, שעל שוקולד מברכים בורא פרי העץ: “זו הייתה הברכה שבירך הוא עצמו כשאכל שוקולד”. [המרואיין הוסיף בדרך אגב: “אחי היה חלש בגופו מן הייסורים והרעב שסבל בצעירותו, והיה צריך לצבור כוח באכילת דבר מתוק קודם שמסר שיעור”.] “ואולם כשנכד שאל אותו איזו ברכה לברך על שוקולד שנתן לו בביקור במוצאי שבת, השיב: ‘שאל את סבתך’. כשחזר הילד תמה ואמר לסבו שהיא אמרה ‘ברך את הברכה הרגילה על ממתקים, </w:t>
      </w:r>
      <w:proofErr w:type="spellStart"/>
      <w:r>
        <w:rPr>
          <w:rtl/>
        </w:rPr>
        <w:t>שהכל</w:t>
      </w:r>
      <w:proofErr w:type="spellEnd"/>
      <w:r>
        <w:rPr>
          <w:rtl/>
        </w:rPr>
        <w:t xml:space="preserve"> נהיה בדברו’, השיב ר׳ </w:t>
      </w:r>
      <w:proofErr w:type="spellStart"/>
      <w:r>
        <w:rPr>
          <w:rtl/>
        </w:rPr>
        <w:t>שלמה־זלמן</w:t>
      </w:r>
      <w:proofErr w:type="spellEnd"/>
      <w:r>
        <w:rPr>
          <w:rtl/>
        </w:rPr>
        <w:t xml:space="preserve">: ‘אם כן, למה אתה חוזר אלי שוב?’” נראה שר׳ </w:t>
      </w:r>
      <w:proofErr w:type="spellStart"/>
      <w:r>
        <w:rPr>
          <w:rtl/>
        </w:rPr>
        <w:t>שלמה־זלמן</w:t>
      </w:r>
      <w:proofErr w:type="spellEnd"/>
      <w:r>
        <w:rPr>
          <w:rtl/>
        </w:rPr>
        <w:t xml:space="preserve"> סבר ש</w:t>
      </w:r>
      <w:r>
        <w:rPr>
          <w:b/>
          <w:bCs/>
          <w:rtl/>
        </w:rPr>
        <w:t>אפילו בהלכה</w:t>
      </w:r>
      <w:r>
        <w:rPr>
          <w:rtl/>
        </w:rPr>
        <w:t xml:space="preserve"> המנהג הוא הקובע, עד שאדם משתכנע </w:t>
      </w:r>
      <w:r>
        <w:rPr>
          <w:b/>
          <w:bCs/>
          <w:rtl/>
        </w:rPr>
        <w:t>בעצמו</w:t>
      </w:r>
      <w:r>
        <w:rPr>
          <w:rtl/>
        </w:rPr>
        <w:t xml:space="preserve"> שהמנהג הרווח משובש</w:t>
      </w:r>
      <w:bookmarkStart w:id="657" w:name="_fnr398"/>
      <w:r>
        <w:rPr>
          <w:rStyle w:val="a5"/>
        </w:rPr>
        <w:footnoteReference w:id="398" w:customMarkFollows="0"/>
      </w:r>
      <w:bookmarkEnd w:id="657"/>
      <w:r>
        <w:rPr>
          <w:rtl/>
        </w:rPr>
        <w:t>.</w:t>
      </w:r>
    </w:p>
    <w:p w14:paraId="56F60FE9" w14:textId="77777777" w:rsidR="00AB3647" w:rsidRDefault="00000000" w:rsidP="007923E9">
      <w:pPr>
        <w:spacing w:after="120" w:line="276" w:lineRule="auto"/>
        <w:ind w:firstLine="283"/>
        <w:jc w:val="both"/>
      </w:pPr>
      <w:r>
        <w:rPr>
          <w:rtl/>
        </w:rPr>
        <w:t xml:space="preserve">ובעניין רבנו: גיליתי לאחרונה שהיה מברך רק על תפילין של יד [ולא על תפילין של ראש], כפסק הגאון מווילנה. אבל כשלימד אותי לפני בר המצווה שלי כיצד מניחים תפילין, הורה לי לברך שתי ברכות, כמנהג הרווח. בזה הרחיק לכת יותר מר׳ </w:t>
      </w:r>
      <w:proofErr w:type="spellStart"/>
      <w:r>
        <w:rPr>
          <w:rtl/>
        </w:rPr>
        <w:t>שלמה־זלמן</w:t>
      </w:r>
      <w:proofErr w:type="spellEnd"/>
      <w:r>
        <w:rPr>
          <w:rtl/>
        </w:rPr>
        <w:t xml:space="preserve">, שהרי בברכה על שוקולד ודאי יצא ידי חובת ברכה באמירת </w:t>
      </w:r>
      <w:proofErr w:type="spellStart"/>
      <w:r>
        <w:rPr>
          <w:rtl/>
        </w:rPr>
        <w:t>שהכל</w:t>
      </w:r>
      <w:proofErr w:type="spellEnd"/>
      <w:r>
        <w:rPr>
          <w:rtl/>
        </w:rPr>
        <w:t xml:space="preserve"> נהיה בדברו על פרי, ואילו בתפילין, אם הברכה השנייה מיותרת, הרי היא ברכה לבטלה, ויש בה עבירה. ואף על פי כן הדריך אותי אבי לברך מה שנחשב בעיניו ברכה לבטלה, כדי לנהוג כמנהג הכללי</w:t>
      </w:r>
      <w:bookmarkStart w:id="658" w:name="_fnr399"/>
      <w:r>
        <w:rPr>
          <w:rStyle w:val="a5"/>
        </w:rPr>
        <w:footnoteReference w:id="399" w:customMarkFollows="0"/>
      </w:r>
      <w:bookmarkEnd w:id="658"/>
      <w:r>
        <w:rPr>
          <w:rtl/>
        </w:rPr>
        <w:t>!</w:t>
      </w:r>
    </w:p>
    <w:p w14:paraId="38CD48DE" w14:textId="77777777" w:rsidR="00AB3647" w:rsidRDefault="00000000" w:rsidP="007923E9">
      <w:pPr>
        <w:spacing w:after="120" w:line="276" w:lineRule="auto"/>
        <w:ind w:firstLine="283"/>
        <w:jc w:val="both"/>
      </w:pPr>
      <w:r>
        <w:rPr>
          <w:rtl/>
        </w:rPr>
        <w:t xml:space="preserve">והשווה גם תשובה משנת תל״ד </w:t>
      </w:r>
      <w:proofErr w:type="spellStart"/>
      <w:r>
        <w:rPr>
          <w:rtl/>
        </w:rPr>
        <w:t>בשו״ת</w:t>
      </w:r>
      <w:proofErr w:type="spellEnd"/>
      <w:r>
        <w:rPr>
          <w:rtl/>
        </w:rPr>
        <w:t xml:space="preserve"> “נחלת שבעה” (תש׳ עז), המעירה שאפשר להפריז בשמירת המנהגים. וזו לשונה: “ראשי הקהל כמעט מוסרים </w:t>
      </w:r>
      <w:proofErr w:type="spellStart"/>
      <w:r>
        <w:rPr>
          <w:rtl/>
        </w:rPr>
        <w:t>נפשותם</w:t>
      </w:r>
      <w:proofErr w:type="spellEnd"/>
      <w:r>
        <w:rPr>
          <w:rtl/>
        </w:rPr>
        <w:t xml:space="preserve"> שלא לעבור על מנהג – אפילו מנהג שאין לו שחר ויסוד כל עיקר – יותר משהם עושים על גופי תורה”.</w:t>
      </w:r>
    </w:p>
    <w:bookmarkStart w:id="659" w:name="b1_excE"/>
    <w:p w14:paraId="367143B7" w14:textId="77777777" w:rsidR="00AB3647" w:rsidRDefault="00000000" w:rsidP="007923E9">
      <w:pPr>
        <w:pStyle w:val="3"/>
        <w:spacing w:line="276" w:lineRule="auto"/>
      </w:pPr>
      <w:r>
        <w:lastRenderedPageBreak/>
        <w:fldChar w:fldCharType="begin" w:dirty="true"/>
      </w:r>
      <w:r>
        <w:rPr>
          <w:rtl w:val="0"/>
        </w:rPr>
        <w:instrText>HYPERLINK \l "b1_note65</w:instrText>
      </w:r>
      <w:r>
        <w:instrText>"</w:instrText>
      </w:r>
      <w:r>
        <w:fldChar w:fldCharType="separate"/>
      </w:r>
      <w:r>
        <w:t>נספח ה</w:t>
      </w:r>
      <w:r>
        <w:fldChar w:fldCharType="end"/>
      </w:r>
      <w:bookmarkEnd w:id="659"/>
    </w:p>
    <w:p w14:paraId="323F9FDE" w14:textId="77777777" w:rsidR="00AB3647" w:rsidRDefault="00000000" w:rsidP="007923E9">
      <w:pPr>
        <w:pStyle w:val="af"/>
        <w:spacing w:line="276" w:lineRule="auto"/>
      </w:pPr>
      <w:r>
        <w:t>על טעויות של תלמידים צעירים שמקורן במלמדיהם, ועל הרעיונות הדמיוניים של הילדים להצדקת טעויות מלמדיהם – ועל היעשותם מחנכים טובים יותר מתוך כך</w:t>
      </w:r>
    </w:p>
    <w:p w14:paraId="4DE4E010" w14:textId="77777777" w:rsidR="00AB3647" w:rsidRDefault="00000000" w:rsidP="007923E9">
      <w:pPr>
        <w:pStyle w:val="4"/>
        <w:spacing w:line="276" w:lineRule="auto"/>
      </w:pPr>
      <w:r>
        <w:t>· הפסקה הראשונה ·</w:t>
      </w:r>
    </w:p>
    <w:p w14:paraId="6074AC8A" w14:textId="77777777" w:rsidR="00AB3647" w:rsidRDefault="00000000" w:rsidP="007923E9">
      <w:pPr>
        <w:pStyle w:val="5"/>
        <w:spacing w:line="276" w:lineRule="auto"/>
      </w:pPr>
      <w:r>
        <w:t xml:space="preserve">ילד מן החווה אינו מבין את קריאת המלמד במשנה – רבנו נזכר </w:t>
      </w:r>
      <w:proofErr w:type="spellStart"/>
      <w:r>
        <w:t>באמו</w:t>
      </w:r>
      <w:proofErr w:type="spellEnd"/>
      <w:r>
        <w:t xml:space="preserve"> הקוראת </w:t>
      </w:r>
      <w:proofErr w:type="spellStart"/>
      <w:r>
        <w:t>ב“צאינה</w:t>
      </w:r>
      <w:proofErr w:type="spellEnd"/>
      <w:r>
        <w:t xml:space="preserve"> וראינה” – לתלמידים בזמננו גישה אחרת ללימודם מאשר בזמנים קודמים</w:t>
      </w:r>
    </w:p>
    <w:p w14:paraId="770C0518" w14:textId="77777777" w:rsidR="00AB3647" w:rsidRDefault="00000000" w:rsidP="007923E9">
      <w:pPr>
        <w:spacing w:after="120" w:line="276" w:lineRule="auto"/>
        <w:ind w:firstLine="283"/>
        <w:jc w:val="both"/>
      </w:pPr>
      <w:r>
        <w:rPr>
          <w:rtl/>
        </w:rPr>
        <w:t>בגיל עשר היה לאבי מלמד גמרא, שלימד את תלמידיו את החלק השני של המשנה הראשונה בפרק החמישי של מסכת בבא קמא. המשנה מתארת דין נזיקין: התובע תובע חצי נזק שהזיקה לשורו פרתו הנוגחת של הנתבע, שהיא תם. תשלום חצי נזק מוגבל לשוויה של הבהמה הנוגחת (“מגופו”), והפרה שווה פחות מסכום חצי הנזק – ולכן נחלקים הנתבע והתובע מתי אירעה הנגיחה. התובע טוען שהפרה המליטה אחרי המעשה, ושהעגל היה אף הוא חלק מן הבהמה הנוגחת, ואילו הנתבע טוען שהנגיחה אירעה אחרי הלידה, ושהעגל לא היה מעורב בתגרה.</w:t>
      </w:r>
    </w:p>
    <w:p w14:paraId="232C5731" w14:textId="77777777" w:rsidR="00AB3647" w:rsidRDefault="00000000" w:rsidP="007923E9">
      <w:pPr>
        <w:spacing w:after="120" w:line="276" w:lineRule="auto"/>
        <w:ind w:firstLine="283"/>
        <w:jc w:val="both"/>
      </w:pPr>
      <w:r>
        <w:rPr>
          <w:rtl/>
        </w:rPr>
        <w:t xml:space="preserve">המלמד סירס את המשנה וקרא את הוויכוח בין שני בעלי הדין להפך: התובע טוען שהעגל נולד </w:t>
      </w:r>
      <w:r>
        <w:rPr>
          <w:b/>
          <w:bCs/>
          <w:rtl/>
        </w:rPr>
        <w:t>קודם</w:t>
      </w:r>
      <w:r>
        <w:rPr>
          <w:rtl/>
        </w:rPr>
        <w:t xml:space="preserve"> והשתתף במעשה בפני עצמו, בלא תלות </w:t>
      </w:r>
      <w:proofErr w:type="spellStart"/>
      <w:r>
        <w:rPr>
          <w:rtl/>
        </w:rPr>
        <w:t>באמו</w:t>
      </w:r>
      <w:proofErr w:type="spellEnd"/>
      <w:r>
        <w:rPr>
          <w:rtl/>
        </w:rPr>
        <w:t xml:space="preserve"> הנוגחת, ולפיכך חייב גם הוא, והנתבע טוען שהעגל נולד </w:t>
      </w:r>
      <w:r>
        <w:rPr>
          <w:b/>
          <w:bCs/>
          <w:rtl/>
        </w:rPr>
        <w:t>אחר כך</w:t>
      </w:r>
      <w:r>
        <w:rPr>
          <w:rtl/>
        </w:rPr>
        <w:t xml:space="preserve"> ולא השתתף במעשה (כבריה בפני עצמה). אבי גר פעם באחוזת סבו וביקר בה פעמים רבות, ולכן ידע שעגל שזה עתה נולד בקושי עומד על רגליו, ואינו יכול בשום אופן לנגוח בהמה אחרת. לפיכך לא הבין את טענת התובע.</w:t>
      </w:r>
    </w:p>
    <w:p w14:paraId="7719B4CF" w14:textId="77777777" w:rsidR="00AB3647" w:rsidRDefault="00000000" w:rsidP="007923E9">
      <w:pPr>
        <w:spacing w:after="120" w:line="276" w:lineRule="auto"/>
        <w:ind w:firstLine="283"/>
        <w:jc w:val="both"/>
      </w:pPr>
      <w:bookmarkStart w:id="660" w:name="pr_b_359"/>
      <w:bookmarkEnd w:id="660"/>
      <w:r>
        <w:rPr>
          <w:rtl/>
        </w:rPr>
        <w:t xml:space="preserve">אבי לא חשב שקריאת מלמדו שגויה, אלא הסיק שהמשנה הדמיונית ודאי עוסקת באיזה דין ודברים מן התקופה שלפני המבול</w:t>
      </w:r>
      <w:bookmarkStart w:id="661" w:name="_fnr400"/>
      <w:r>
        <w:rPr>
          <w:rStyle w:val="a5"/>
        </w:rPr>
        <w:footnoteReference w:id="400" w:customMarkFollows="0"/>
      </w:r>
      <w:bookmarkEnd w:id="661"/>
      <w:r>
        <w:rPr>
          <w:rtl/>
        </w:rPr>
        <w:t xml:space="preserve">. באותה תקופה, לפי מה שציטטה </w:t>
      </w:r>
      <w:proofErr w:type="spellStart"/>
      <w:r>
        <w:rPr>
          <w:rtl/>
        </w:rPr>
        <w:t>אמו</w:t>
      </w:r>
      <w:proofErr w:type="spellEnd"/>
      <w:r>
        <w:rPr>
          <w:rtl/>
        </w:rPr>
        <w:t xml:space="preserve"> בקריאתה </w:t>
      </w:r>
      <w:proofErr w:type="spellStart"/>
      <w:r>
        <w:rPr>
          <w:rtl/>
        </w:rPr>
        <w:t>ב“צאינה</w:t>
      </w:r>
      <w:proofErr w:type="spellEnd"/>
      <w:r>
        <w:rPr>
          <w:rtl/>
        </w:rPr>
        <w:t xml:space="preserve"> וראינה”, היו הנולדים חזקים מבריות בוגרות של ימינו, ויכלו להתגבר אפילו על שדים. אבי סיפר על השערת ילדות זו, וכינה אותה בבדיחות הדעת “חידוש התורה” הראשון שלו, כדי להראות כיצד למדו פעם תורה כמקצוע קדוש, וכל המאורעות המתוארים בה, אפילו </w:t>
      </w:r>
      <w:proofErr w:type="spellStart"/>
      <w:r>
        <w:rPr>
          <w:rtl/>
        </w:rPr>
        <w:t>בנזיקין</w:t>
      </w:r>
      <w:proofErr w:type="spellEnd"/>
      <w:r>
        <w:rPr>
          <w:rtl/>
        </w:rPr>
        <w:t>, נחשבו נשגבים.</w:t>
      </w:r>
    </w:p>
    <w:p w14:paraId="303A6A60" w14:textId="77777777" w:rsidR="00AB3647" w:rsidRDefault="00000000" w:rsidP="007923E9">
      <w:pPr>
        <w:spacing w:after="120" w:line="276" w:lineRule="auto"/>
        <w:ind w:firstLine="283"/>
        <w:jc w:val="both"/>
      </w:pPr>
      <w:r>
        <w:rPr>
          <w:rtl/>
        </w:rPr>
        <w:t xml:space="preserve">ר׳ פרץ </w:t>
      </w:r>
      <w:proofErr w:type="spellStart"/>
      <w:r>
        <w:rPr>
          <w:rtl/>
        </w:rPr>
        <w:t>פוזן</w:t>
      </w:r>
      <w:bookmarkStart w:id="662" w:name="_fnr401"/>
      <w:proofErr w:type="spellEnd"/>
      <w:r>
        <w:rPr>
          <w:rStyle w:val="a5"/>
        </w:rPr>
        <w:footnoteReference w:id="401" w:customMarkFollows="0"/>
      </w:r>
      <w:bookmarkEnd w:id="662"/>
      <w:r>
        <w:rPr>
          <w:rtl/>
        </w:rPr>
        <w:t xml:space="preserve"> מסר שרבנו סיפר שעוד לפני שהגיע לביאורו מן התקופה שלפני המבול, שאל את מלמדו כיצד ייתכן שעגל שזה עתה נולד </w:t>
      </w:r>
      <w:proofErr w:type="spellStart"/>
      <w:r>
        <w:rPr>
          <w:rtl/>
        </w:rPr>
        <w:t>ינגח</w:t>
      </w:r>
      <w:proofErr w:type="spellEnd"/>
      <w:r>
        <w:rPr>
          <w:rtl/>
        </w:rPr>
        <w:t>. המלמד צעק עליו והשתיקו: “איך אתה מעז להתווכח עם משנה כמו אפיקורוס? משאלות כאלה, אני בטוח שיום אחד תצא לתרבות רעה”.</w:t>
      </w:r>
    </w:p>
    <w:p w14:paraId="4C0FC468" w14:textId="77777777" w:rsidR="00AB3647" w:rsidRDefault="00000000" w:rsidP="007923E9">
      <w:pPr>
        <w:spacing w:after="120" w:line="276" w:lineRule="auto"/>
        <w:ind w:firstLine="283"/>
        <w:jc w:val="both"/>
      </w:pPr>
      <w:r>
        <w:rPr>
          <w:rtl/>
        </w:rPr>
        <w:t xml:space="preserve">אבי העמיד את יחסו שלו בימים ההם מול גישתם של התלמידים בזמן הזה, הבוחנים בעין ביקורתית כל מאמר שבתלמוד. לדברי ר׳ </w:t>
      </w:r>
      <w:proofErr w:type="spellStart"/>
      <w:r>
        <w:rPr>
          <w:rtl/>
        </w:rPr>
        <w:t>מיכאל־יוסף</w:t>
      </w:r>
      <w:proofErr w:type="spellEnd"/>
      <w:r>
        <w:rPr>
          <w:rtl/>
        </w:rPr>
        <w:t xml:space="preserve"> </w:t>
      </w:r>
      <w:proofErr w:type="spellStart"/>
      <w:r>
        <w:rPr>
          <w:rtl/>
        </w:rPr>
        <w:t>וולפין</w:t>
      </w:r>
      <w:bookmarkStart w:id="663" w:name="_fnr402"/>
      <w:proofErr w:type="spellEnd"/>
      <w:r>
        <w:rPr>
          <w:rStyle w:val="a5"/>
        </w:rPr>
        <w:footnoteReference w:id="402" w:customMarkFollows="0"/>
      </w:r>
      <w:bookmarkEnd w:id="663"/>
      <w:r>
        <w:rPr>
          <w:rtl/>
        </w:rPr>
        <w:t xml:space="preserve">, להבדל זה התכוון רבנו </w:t>
      </w:r>
      <w:r>
        <w:rPr>
          <w:rtl/>
        </w:rPr>
        <w:lastRenderedPageBreak/>
        <w:t xml:space="preserve">כשאחד מאנשי הסגל במתיבתא תורה ודעת התנגד להכניס את מסכת סוכה למחזור הלימודים של הישיבה, בטענה שבאירופה למדו בישיבות רק מסכתות מסדרי נשים </w:t>
      </w:r>
      <w:proofErr w:type="spellStart"/>
      <w:r>
        <w:rPr>
          <w:rtl/>
        </w:rPr>
        <w:t>ונזיקין</w:t>
      </w:r>
      <w:proofErr w:type="spellEnd"/>
      <w:r>
        <w:rPr>
          <w:rtl/>
        </w:rPr>
        <w:t xml:space="preserve"> שבש״ס. השיב לו אבי שלהבדיל ממה שרווח באירופה, בגישה לתורה בזמן הזה יש צורך באמצעים מלאכותיים כדי לעורר בתלמידים יראת שמים, וסדר מועד יספק זאת ביתר קלות.</w:t>
      </w:r>
    </w:p>
    <w:p w14:paraId="13EEBA54" w14:textId="77777777" w:rsidR="00AB3647" w:rsidRDefault="00000000" w:rsidP="007923E9">
      <w:pPr>
        <w:spacing w:after="120" w:line="276" w:lineRule="auto"/>
        <w:ind w:firstLine="283"/>
        <w:jc w:val="both"/>
      </w:pPr>
      <w:r>
        <w:rPr>
          <w:rtl/>
        </w:rPr>
        <w:t xml:space="preserve">לדברי ר׳ יהושע </w:t>
      </w:r>
      <w:bookmarkStart w:id="664" w:name="_Hlk243582017"/>
      <w:proofErr w:type="spellStart"/>
      <w:r>
        <w:rPr>
          <w:rtl/>
        </w:rPr>
        <w:t xml:space="preserve">גלדצהלר</w:t>
      </w:r>
      <w:bookmarkStart w:id="665" w:name="_fnr403"/>
      <w:bookmarkEnd w:id="664"/>
      <w:proofErr w:type="spellEnd"/>
      <w:r>
        <w:rPr>
          <w:rStyle w:val="a5"/>
        </w:rPr>
        <w:footnoteReference w:id="403" w:customMarkFollows="0"/>
      </w:r>
      <w:bookmarkEnd w:id="665"/>
      <w:r>
        <w:rPr>
          <w:rtl/>
        </w:rPr>
        <w:t>, מאותו טעם סבר אבי שבזמן הזה ראוי להתחיל ללמד תלמידים צעירים גמרא בסדר מועד, ולא בפרק אלו מציאות, הפרק השני של מסכת בבא מציעא, כמסורת.</w:t>
      </w:r>
    </w:p>
    <w:p w14:paraId="486ED53F" w14:textId="77777777" w:rsidR="00AB3647" w:rsidRDefault="00000000" w:rsidP="007923E9">
      <w:pPr>
        <w:pStyle w:val="4"/>
        <w:spacing w:line="276" w:lineRule="auto"/>
      </w:pPr>
      <w:r>
        <w:t>· הפסקה השנייה ·</w:t>
      </w:r>
    </w:p>
    <w:p w14:paraId="5EF7BC95" w14:textId="77777777" w:rsidR="00AB3647" w:rsidRDefault="00000000" w:rsidP="007923E9">
      <w:pPr>
        <w:pStyle w:val="5"/>
        <w:spacing w:line="276" w:lineRule="auto"/>
      </w:pPr>
      <w:r>
        <w:t xml:space="preserve">המדרש מספר מעשה מסתורי – המעשה נמחק ממהדורת </w:t>
      </w:r>
      <w:proofErr w:type="spellStart"/>
      <w:r>
        <w:t>ה“צאינה</w:t>
      </w:r>
      <w:proofErr w:type="spellEnd"/>
      <w:r>
        <w:t xml:space="preserve"> וראינה” שבידינו – הסבא מביא את המדרש</w:t>
      </w:r>
    </w:p>
    <w:p w14:paraId="610A9324" w14:textId="77777777" w:rsidR="00AB3647" w:rsidRDefault="00000000" w:rsidP="007923E9">
      <w:pPr>
        <w:spacing w:after="120" w:line="276" w:lineRule="auto"/>
        <w:ind w:firstLine="283"/>
        <w:jc w:val="both"/>
      </w:pPr>
      <w:r>
        <w:rPr>
          <w:rtl/>
        </w:rPr>
        <w:t xml:space="preserve">בעזרת ר׳ משה־מנחם קוזק מירושלים, המבאר והמתרגם לעברית של </w:t>
      </w:r>
      <w:proofErr w:type="spellStart"/>
      <w:r>
        <w:rPr>
          <w:rtl/>
        </w:rPr>
        <w:t>ה“צאינה</w:t>
      </w:r>
      <w:proofErr w:type="spellEnd"/>
      <w:r>
        <w:rPr>
          <w:rtl/>
        </w:rPr>
        <w:t xml:space="preserve"> וראינה”</w:t>
      </w:r>
      <w:bookmarkStart w:id="666" w:name="_fnr404"/>
      <w:r>
        <w:rPr>
          <w:rStyle w:val="a5"/>
        </w:rPr>
        <w:footnoteReference w:id="404" w:customMarkFollows="0"/>
      </w:r>
      <w:bookmarkEnd w:id="666"/>
      <w:r>
        <w:rPr>
          <w:rtl/>
        </w:rPr>
        <w:t xml:space="preserve">, מצאתי את הקטע </w:t>
      </w:r>
      <w:proofErr w:type="spellStart"/>
      <w:r>
        <w:rPr>
          <w:rtl/>
        </w:rPr>
        <w:t>שב“צאינה</w:t>
      </w:r>
      <w:proofErr w:type="spellEnd"/>
      <w:r>
        <w:rPr>
          <w:rtl/>
        </w:rPr>
        <w:t xml:space="preserve"> וראינה” שאליו התכוון רבנו. הוא נמצא בפרשת נח, בחלק העוסק בדור הפלגה</w:t>
      </w:r>
      <w:bookmarkStart w:id="667" w:name="_fnr405"/>
      <w:r>
        <w:rPr>
          <w:rStyle w:val="a5"/>
        </w:rPr>
        <w:footnoteReference w:id="405" w:customMarkFollows="0"/>
      </w:r>
      <w:bookmarkEnd w:id="667"/>
      <w:r>
        <w:rPr>
          <w:rtl/>
        </w:rPr>
        <w:t xml:space="preserve">. המקור </w:t>
      </w:r>
      <w:r>
        <w:rPr>
          <w:b/>
          <w:bCs/>
          <w:rtl/>
        </w:rPr>
        <w:t>שבדברי חז״ל</w:t>
      </w:r>
      <w:r>
        <w:rPr>
          <w:rtl/>
        </w:rPr>
        <w:t xml:space="preserve"> למעשה על מפגש בין תינוק שזה עתה נולד ובין שד הוא מדרש רבה</w:t>
      </w:r>
      <w:bookmarkStart w:id="668" w:name="_fnr406"/>
      <w:r>
        <w:rPr>
          <w:rStyle w:val="a5"/>
        </w:rPr>
        <w:footnoteReference w:id="406" w:customMarkFollows="0"/>
      </w:r>
      <w:bookmarkEnd w:id="668"/>
      <w:r>
        <w:rPr>
          <w:rtl/>
        </w:rPr>
        <w:t xml:space="preserve">. מסופר שם שבימי דור המבול שלחה אם את בנה שזה עתה נולד להביא נר, כדי שתוכל לחתוך את טבורו. בדרך פגע בו שר השדים. בעודם מתעסקים זה עם זה קרא התרנגול, ואמר השד לתינוק: “אזיל </w:t>
      </w:r>
      <w:proofErr w:type="spellStart"/>
      <w:r>
        <w:rPr>
          <w:rtl/>
        </w:rPr>
        <w:t>גלוג</w:t>
      </w:r>
      <w:proofErr w:type="spellEnd"/>
      <w:r>
        <w:rPr>
          <w:rtl/>
        </w:rPr>
        <w:t xml:space="preserve"> </w:t>
      </w:r>
      <w:proofErr w:type="spellStart"/>
      <w:r>
        <w:rPr>
          <w:rtl/>
        </w:rPr>
        <w:t>לאמך</w:t>
      </w:r>
      <w:proofErr w:type="spellEnd"/>
      <w:r>
        <w:rPr>
          <w:rtl/>
        </w:rPr>
        <w:t xml:space="preserve"> ואמר לה </w:t>
      </w:r>
      <w:proofErr w:type="spellStart"/>
      <w:r>
        <w:rPr>
          <w:rtl/>
        </w:rPr>
        <w:t>אלולי</w:t>
      </w:r>
      <w:proofErr w:type="spellEnd"/>
      <w:r>
        <w:rPr>
          <w:rtl/>
        </w:rPr>
        <w:t xml:space="preserve"> </w:t>
      </w:r>
      <w:proofErr w:type="spellStart"/>
      <w:r>
        <w:rPr>
          <w:rtl/>
        </w:rPr>
        <w:t>דקרא</w:t>
      </w:r>
      <w:proofErr w:type="spellEnd"/>
      <w:r>
        <w:rPr>
          <w:rtl/>
        </w:rPr>
        <w:t xml:space="preserve"> </w:t>
      </w:r>
      <w:proofErr w:type="spellStart"/>
      <w:r>
        <w:rPr>
          <w:rtl/>
        </w:rPr>
        <w:t>תרנגולא</w:t>
      </w:r>
      <w:proofErr w:type="spellEnd"/>
      <w:r>
        <w:rPr>
          <w:rtl/>
        </w:rPr>
        <w:t xml:space="preserve"> </w:t>
      </w:r>
      <w:proofErr w:type="spellStart"/>
      <w:r>
        <w:rPr>
          <w:rtl/>
        </w:rPr>
        <w:t>הוינא</w:t>
      </w:r>
      <w:proofErr w:type="spellEnd"/>
      <w:r>
        <w:rPr>
          <w:rtl/>
        </w:rPr>
        <w:t xml:space="preserve"> </w:t>
      </w:r>
      <w:proofErr w:type="spellStart"/>
      <w:r>
        <w:rPr>
          <w:rtl/>
        </w:rPr>
        <w:t>קטיל</w:t>
      </w:r>
      <w:proofErr w:type="spellEnd"/>
      <w:r>
        <w:rPr>
          <w:rtl/>
        </w:rPr>
        <w:t xml:space="preserve"> בך”. השיב לו הילד: “אזיל </w:t>
      </w:r>
      <w:proofErr w:type="spellStart"/>
      <w:r>
        <w:rPr>
          <w:rtl/>
        </w:rPr>
        <w:t>גלוג</w:t>
      </w:r>
      <w:proofErr w:type="spellEnd"/>
      <w:r>
        <w:rPr>
          <w:rtl/>
        </w:rPr>
        <w:t xml:space="preserve"> לאמא </w:t>
      </w:r>
      <w:proofErr w:type="spellStart"/>
      <w:r>
        <w:rPr>
          <w:rtl/>
        </w:rPr>
        <w:t>דאמך</w:t>
      </w:r>
      <w:proofErr w:type="spellEnd"/>
      <w:r>
        <w:rPr>
          <w:rtl/>
        </w:rPr>
        <w:t xml:space="preserve"> דלא קטעת אמי שורי, דאי קטעת אמי שורי </w:t>
      </w:r>
      <w:proofErr w:type="spellStart"/>
      <w:r>
        <w:rPr>
          <w:rtl/>
        </w:rPr>
        <w:t>הוינא</w:t>
      </w:r>
      <w:proofErr w:type="spellEnd"/>
      <w:r>
        <w:rPr>
          <w:rtl/>
        </w:rPr>
        <w:t xml:space="preserve"> </w:t>
      </w:r>
      <w:proofErr w:type="spellStart"/>
      <w:r>
        <w:rPr>
          <w:rtl/>
        </w:rPr>
        <w:t>קטיל</w:t>
      </w:r>
      <w:proofErr w:type="spellEnd"/>
      <w:r>
        <w:rPr>
          <w:rtl/>
        </w:rPr>
        <w:t xml:space="preserve"> </w:t>
      </w:r>
      <w:r>
        <w:rPr>
          <w:b/>
          <w:bCs/>
          <w:rtl/>
        </w:rPr>
        <w:t>לך</w:t>
      </w:r>
      <w:r>
        <w:rPr>
          <w:rtl/>
        </w:rPr>
        <w:t>”.</w:t>
      </w:r>
    </w:p>
    <w:p w14:paraId="6DBBC54F" w14:textId="77777777" w:rsidR="00AB3647" w:rsidRDefault="00000000" w:rsidP="007923E9">
      <w:pPr>
        <w:spacing w:after="120" w:line="276" w:lineRule="auto"/>
        <w:ind w:firstLine="283"/>
        <w:jc w:val="both"/>
      </w:pPr>
      <w:r>
        <w:rPr>
          <w:rtl/>
        </w:rPr>
        <w:t xml:space="preserve">מסיבה שאינה ידועה העביר </w:t>
      </w:r>
      <w:proofErr w:type="spellStart"/>
      <w:r>
        <w:rPr>
          <w:rtl/>
        </w:rPr>
        <w:t>ה“צאינה</w:t>
      </w:r>
      <w:proofErr w:type="spellEnd"/>
      <w:r>
        <w:rPr>
          <w:rtl/>
        </w:rPr>
        <w:t xml:space="preserve"> וראינה” את המעשה מדור המבול שבמדרש לדור הפלגה. אבי ודאי שמע אותו מאמו בנוסח </w:t>
      </w:r>
      <w:proofErr w:type="spellStart"/>
      <w:r>
        <w:rPr>
          <w:rtl/>
        </w:rPr>
        <w:t>ה“צאינה</w:t>
      </w:r>
      <w:proofErr w:type="spellEnd"/>
      <w:r>
        <w:rPr>
          <w:rtl/>
        </w:rPr>
        <w:t xml:space="preserve"> וראינה”, וכשגדל וקרא בעצמו את מקור המעשה, החזירו למסגרת הזמן הנכונה, דור המבול, וכך היה מספרו.</w:t>
      </w:r>
    </w:p>
    <w:p w14:paraId="578D63DB" w14:textId="77777777" w:rsidR="00AB3647" w:rsidRDefault="00000000" w:rsidP="007923E9">
      <w:pPr>
        <w:spacing w:after="120" w:line="276" w:lineRule="auto"/>
        <w:ind w:firstLine="283"/>
        <w:jc w:val="both"/>
      </w:pPr>
      <w:proofErr w:type="spellStart"/>
      <w:r>
        <w:rPr>
          <w:rtl/>
        </w:rPr>
        <w:t>ה“צאינה</w:t>
      </w:r>
      <w:proofErr w:type="spellEnd"/>
      <w:r>
        <w:rPr>
          <w:rtl/>
        </w:rPr>
        <w:t xml:space="preserve"> וראינה” מקדים למעשה זה את הדברים הבאים: “דור הפלגה נעשו רעים מפני שהיו עשירים מדי ושטופי הנאות”. אחר כך הוא מביא את המדרש, וזה לשונו: “רבי לוי אמר שאשה ילדה ילד לשלושה ימים. ורבנן אומרים שילדה ליום אחד, והילד הלך באותו יום והייתה בו דעת ללכת למקום שנשלח אליו”. אחרי מעשה התינוק והשד מסיים </w:t>
      </w:r>
      <w:proofErr w:type="spellStart"/>
      <w:r>
        <w:rPr>
          <w:rtl/>
        </w:rPr>
        <w:t>ה“צאינה</w:t>
      </w:r>
      <w:proofErr w:type="spellEnd"/>
      <w:r>
        <w:rPr>
          <w:rtl/>
        </w:rPr>
        <w:t xml:space="preserve"> וראינה” בדרך מוסר: “ממעשה זה יש ללמוד שאין לשוטט בלילה עד שקראו התרנגולים, שכן מיד כשהם קוראים אין עוד כוח לשדים. ועוד יש ללמוד מן המעשה שקודם שנחתך טבורו של הנולד, הילד בסכנה”.</w:t>
      </w:r>
    </w:p>
    <w:p w14:paraId="663CA1A5" w14:textId="77777777" w:rsidR="00AB3647" w:rsidRDefault="00000000" w:rsidP="007923E9">
      <w:pPr>
        <w:spacing w:after="120" w:line="276" w:lineRule="auto"/>
        <w:ind w:firstLine="283"/>
        <w:jc w:val="both"/>
      </w:pPr>
      <w:r>
        <w:rPr>
          <w:rtl/>
        </w:rPr>
        <w:t xml:space="preserve">בדקתי עשרים ושש מהדורות של </w:t>
      </w:r>
      <w:proofErr w:type="spellStart"/>
      <w:r>
        <w:rPr>
          <w:rtl/>
        </w:rPr>
        <w:t>ה“צאינה</w:t>
      </w:r>
      <w:proofErr w:type="spellEnd"/>
      <w:r>
        <w:rPr>
          <w:rtl/>
        </w:rPr>
        <w:t xml:space="preserve"> וראינה” בבית הספרים הלאומי בירושלים (לדברי הרב קוזק היו יותר משישים מהדורות בין שנת שע״ה לשנת ת״ש). מצאתי שכמה </w:t>
      </w:r>
      <w:r>
        <w:rPr>
          <w:rtl/>
        </w:rPr>
        <w:lastRenderedPageBreak/>
        <w:t xml:space="preserve">מהדורות משנות </w:t>
      </w:r>
      <w:proofErr w:type="spellStart"/>
      <w:r>
        <w:rPr>
          <w:rtl/>
        </w:rPr>
        <w:t xml:space="preserve">התר״ל</w:t>
      </w:r>
      <w:proofErr w:type="spellEnd"/>
      <w:r>
        <w:rPr>
          <w:rtl/>
        </w:rPr>
        <w:t xml:space="preserve"> השמיטו לגמרי את המעשה יחד עם ההקדמה לו, ובאחרות מאותה תקופה הוא מצוי. במהדורות של העשור שאחריו, שנות </w:t>
      </w:r>
      <w:proofErr w:type="spellStart"/>
      <w:r>
        <w:rPr>
          <w:rtl/>
        </w:rPr>
        <w:t xml:space="preserve">התר״מ</w:t>
      </w:r>
      <w:proofErr w:type="spellEnd"/>
      <w:r>
        <w:rPr>
          <w:rtl/>
        </w:rPr>
        <w:t xml:space="preserve">, נעלם החלק כולו. במהדורה משנת תרפ״ה נשארה ההקדמה המנמקת את נפילתו של דור הפלגה, אבל מעשה ההתמודדות עם השד נמחק. נראה שהספר כוון לציבור קוראים מודרני יותר, שלא האמין בסיפורי שדים</w:t>
      </w:r>
      <w:bookmarkStart w:id="669" w:name="_fnr407"/>
      <w:r>
        <w:rPr>
          <w:rStyle w:val="a5"/>
        </w:rPr>
        <w:footnoteReference w:id="407" w:customMarkFollows="0"/>
      </w:r>
      <w:bookmarkEnd w:id="669"/>
      <w:r>
        <w:rPr>
          <w:rtl/>
        </w:rPr>
        <w:t>.</w:t>
      </w:r>
    </w:p>
    <w:p w14:paraId="3F123605" w14:textId="77777777" w:rsidR="00AB3647" w:rsidRDefault="00000000" w:rsidP="007923E9">
      <w:pPr>
        <w:spacing w:after="120" w:line="276" w:lineRule="auto"/>
        <w:ind w:firstLine="283"/>
        <w:jc w:val="both"/>
      </w:pPr>
      <w:r>
        <w:rPr>
          <w:rtl/>
        </w:rPr>
        <w:t xml:space="preserve">מעניין שאחד </w:t>
      </w:r>
      <w:proofErr w:type="spellStart"/>
      <w:r>
        <w:rPr>
          <w:rtl/>
        </w:rPr>
        <w:t>מ“שני</w:t>
      </w:r>
      <w:proofErr w:type="spellEnd"/>
      <w:r>
        <w:rPr>
          <w:rtl/>
        </w:rPr>
        <w:t xml:space="preserve"> המכתבים היחידים שנמצאו” של הסבא </w:t>
      </w:r>
      <w:proofErr w:type="spellStart"/>
      <w:r>
        <w:rPr>
          <w:rtl/>
        </w:rPr>
        <w:t>מסלבודקה</w:t>
      </w:r>
      <w:bookmarkStart w:id="670" w:name="_fnr408"/>
      <w:proofErr w:type="spellEnd"/>
      <w:r>
        <w:rPr>
          <w:rStyle w:val="a5"/>
        </w:rPr>
        <w:footnoteReference w:id="408" w:customMarkFollows="0"/>
      </w:r>
      <w:bookmarkEnd w:id="670"/>
      <w:r>
        <w:rPr>
          <w:rtl/>
        </w:rPr>
        <w:t xml:space="preserve">, שנכתב לבנו ר׳ </w:t>
      </w:r>
      <w:proofErr w:type="spellStart"/>
      <w:r>
        <w:rPr>
          <w:rtl/>
        </w:rPr>
        <w:t>לייזר־יודל</w:t>
      </w:r>
      <w:proofErr w:type="spellEnd"/>
      <w:r>
        <w:rPr>
          <w:rtl/>
        </w:rPr>
        <w:t xml:space="preserve"> </w:t>
      </w:r>
      <w:proofErr w:type="spellStart"/>
      <w:r>
        <w:rPr>
          <w:rtl/>
        </w:rPr>
        <w:t>פינקל</w:t>
      </w:r>
      <w:proofErr w:type="spellEnd"/>
      <w:r>
        <w:rPr>
          <w:rtl/>
        </w:rPr>
        <w:t>, מביא את המדרש הנ״ל כדי ללמד דבר מוסר, וזו לשונו: “צריך הבנה עמוקה ודקה כדי לראות את מדת היום בתוך חשכת הלילה, כשם ש[מנקודת המבט של] מעלה, מה שנראה כשחור הלילה וכחושך נחשב יום מחצות ואילך, כשהתרנגול קורא, ואין עוד שליטה לשדים [לפי המדרש הנ״ל]. אנו רואים את מעשיהם של הרשעים וחושבים שהם תכלית החטא ומשולים ללילה, כדרשת הפסוק</w:t>
      </w:r>
      <w:bookmarkStart w:id="671" w:name="_fnr409"/>
      <w:r>
        <w:rPr>
          <w:rStyle w:val="a5"/>
        </w:rPr>
        <w:footnoteReference w:id="409" w:customMarkFollows="0"/>
      </w:r>
      <w:bookmarkEnd w:id="671"/>
      <w:r>
        <w:rPr>
          <w:rtl/>
        </w:rPr>
        <w:t xml:space="preserve"> ולחשך קרא לילה, אלו מעשיהם של רשעים</w:t>
      </w:r>
      <w:bookmarkStart w:id="672" w:name="_fnr410"/>
      <w:r>
        <w:rPr>
          <w:rStyle w:val="a5"/>
        </w:rPr>
        <w:footnoteReference w:id="410" w:customMarkFollows="0"/>
      </w:r>
      <w:bookmarkEnd w:id="672"/>
      <w:r>
        <w:rPr>
          <w:rtl/>
        </w:rPr>
        <w:t>; ואולם למעלה ייתכן שייחשבו המעשים טובים [משום שהם הולכים לקראת ‘יום’</w:t>
      </w:r>
      <w:bookmarkStart w:id="673" w:name="_fnr411"/>
      <w:r>
        <w:rPr>
          <w:rStyle w:val="a5"/>
        </w:rPr>
        <w:footnoteReference w:id="411" w:customMarkFollows="0"/>
      </w:r>
      <w:bookmarkEnd w:id="673"/>
      <w:r>
        <w:rPr>
          <w:rtl/>
        </w:rPr>
        <w:t>]”.</w:t>
      </w:r>
    </w:p>
    <w:p w14:paraId="38AF3A0E" w14:textId="77777777" w:rsidR="00AB3647" w:rsidRDefault="00000000" w:rsidP="007923E9">
      <w:pPr>
        <w:pStyle w:val="4"/>
        <w:spacing w:line="276" w:lineRule="auto"/>
      </w:pPr>
      <w:r>
        <w:t>· הפסקה השלישית ·</w:t>
      </w:r>
    </w:p>
    <w:p w14:paraId="3552F591" w14:textId="77777777" w:rsidR="00AB3647" w:rsidRDefault="00000000" w:rsidP="007923E9">
      <w:pPr>
        <w:pStyle w:val="5"/>
        <w:spacing w:line="276" w:lineRule="auto"/>
      </w:pPr>
      <w:r>
        <w:t>הזוכר את חוויות ילדותו נעשה מחנך טוב יותר</w:t>
      </w:r>
    </w:p>
    <w:p w14:paraId="4AA38448" w14:textId="77777777" w:rsidR="00AB3647" w:rsidRDefault="00000000" w:rsidP="007923E9">
      <w:pPr>
        <w:spacing w:after="120" w:line="276" w:lineRule="auto"/>
        <w:ind w:firstLine="283"/>
        <w:jc w:val="both"/>
      </w:pPr>
      <w:r>
        <w:rPr>
          <w:rtl/>
        </w:rPr>
        <w:t xml:space="preserve">ראוי לציין כיצד זכרו מחנכים כמו אבי ור׳ </w:t>
      </w:r>
      <w:proofErr w:type="spellStart"/>
      <w:r>
        <w:rPr>
          <w:rtl/>
        </w:rPr>
        <w:t>אברהם־אליהו</w:t>
      </w:r>
      <w:proofErr w:type="spellEnd"/>
      <w:r>
        <w:rPr>
          <w:rtl/>
        </w:rPr>
        <w:t xml:space="preserve"> קפלן מאורעות מחינוכם בראשית ילדותם. אפשר לומר שזיכרונותיהם מחוויות הלימוד הם </w:t>
      </w:r>
      <w:r>
        <w:rPr>
          <w:b/>
          <w:bCs/>
          <w:rtl/>
        </w:rPr>
        <w:t>שעשו אותם</w:t>
      </w:r>
      <w:r>
        <w:rPr>
          <w:rtl/>
        </w:rPr>
        <w:t xml:space="preserve"> למחנכים המעולים שהיו. השווה בספר “בעקבות היראה” (מהדורה מורחבת)</w:t>
      </w:r>
      <w:bookmarkStart w:id="674" w:name="_fnr412"/>
      <w:r>
        <w:rPr>
          <w:rStyle w:val="a5"/>
        </w:rPr>
        <w:footnoteReference w:id="412" w:customMarkFollows="0"/>
      </w:r>
      <w:bookmarkEnd w:id="674"/>
      <w:r>
        <w:rPr>
          <w:rtl/>
        </w:rPr>
        <w:t xml:space="preserve"> כיצד ליווה את הרב קפלן “שנים רבות של ילדות(ו)” פשט שקלט בילדותו במשנה הראשונה במסכת בבא מציעא. המשנה דנה בטלית ששני אנשים אוחזים בה וכל אחד טוען שהיא שלו, וההלכה פוסקת שיחלוקו בה אחרי שכל אחד מהם נשבע שאין לו בה פחות מחציה.</w:t>
      </w:r>
    </w:p>
    <w:p w14:paraId="7E16985E" w14:textId="77777777" w:rsidR="00AB3647" w:rsidRDefault="00000000" w:rsidP="007923E9">
      <w:pPr>
        <w:spacing w:after="120" w:line="276" w:lineRule="auto"/>
        <w:ind w:firstLine="283"/>
        <w:jc w:val="both"/>
      </w:pPr>
      <w:r>
        <w:rPr>
          <w:rtl/>
        </w:rPr>
        <w:t xml:space="preserve">המחבר לא שמע מעולם את המילה “טלית” משמשת לבגד של חול, ומלמדו לא הסביר לו שהמילה משמשת גם לבגד של חול, ולכן הניח שהמשנה מדברת בטלית שלובשים בבית הכנסת. לפיכך הניח גם שבעלי הדין “צריכים להתעטף בה” </w:t>
      </w:r>
      <w:r>
        <w:rPr>
          <w:b/>
          <w:bCs/>
          <w:rtl/>
        </w:rPr>
        <w:t>בשעת השבועה</w:t>
      </w:r>
      <w:r>
        <w:rPr>
          <w:rtl/>
        </w:rPr>
        <w:t>. הרב קפלן לא האשים את מלמדו במפורש בפירוש המשובש שנשא עמו שנים רבות כל כך. כשם שהמלמד אהב אותו, כך העריץ הוא את האיש חשוך הילדים, ואף נהג לציין את יום פטירתו של מלמדו.</w:t>
      </w:r>
    </w:p>
    <w:p w14:paraId="43E042A9" w14:textId="77777777" w:rsidR="00AB3647" w:rsidRDefault="00000000" w:rsidP="007923E9">
      <w:pPr>
        <w:spacing w:after="120" w:line="276" w:lineRule="auto"/>
        <w:ind w:firstLine="283"/>
        <w:jc w:val="both"/>
      </w:pPr>
      <w:r>
        <w:rPr>
          <w:rtl/>
        </w:rPr>
        <w:lastRenderedPageBreak/>
        <w:t>הרב קפלן כותב בפשטות: “מורי לא הרגיש כלל שאני טועה, וחשב שהבנתי את המשנה כראוי”. המחבר ראה במאורע זה דבר חשוב דיו לרושמו ברשימותיו האוטוביוגרפיות (שלא הושלמו), ומכאן שהמאורע השפיע עליו לאורך ימים. אפשר לומר שהרב קפלן הבין שהדבר עשה אותו למחנך טוב יותר.</w:t>
      </w:r>
    </w:p>
    <w:bookmarkStart w:id="675" w:name="b1_excF"/>
    <w:p w14:paraId="0D6A389F" w14:textId="77777777" w:rsidR="00AB3647" w:rsidRDefault="00000000" w:rsidP="007923E9">
      <w:pPr>
        <w:pStyle w:val="3"/>
        <w:spacing w:line="276" w:lineRule="auto"/>
      </w:pPr>
      <w:r>
        <w:lastRenderedPageBreak/>
        <w:fldChar w:fldCharType="begin" w:dirty="true"/>
      </w:r>
      <w:r>
        <w:rPr>
          <w:rtl w:val="0"/>
        </w:rPr>
        <w:instrText>HYPERLINK \l "b1_note96</w:instrText>
      </w:r>
      <w:r>
        <w:instrText>"</w:instrText>
      </w:r>
      <w:r>
        <w:fldChar w:fldCharType="separate"/>
      </w:r>
      <w:r>
        <w:t>נספח ו</w:t>
      </w:r>
      <w:r>
        <w:fldChar w:fldCharType="end"/>
      </w:r>
      <w:bookmarkEnd w:id="675"/>
    </w:p>
    <w:p w14:paraId="3F0ADC77" w14:textId="77777777" w:rsidR="00AB3647" w:rsidRDefault="00000000" w:rsidP="007923E9">
      <w:pPr>
        <w:pStyle w:val="af"/>
        <w:spacing w:line="276" w:lineRule="auto"/>
      </w:pPr>
      <w:r>
        <w:t>על התואר יוצא הדופן של רבני מינסק, ועל כמה כינויים משונים לבני העיירות</w:t>
      </w:r>
    </w:p>
    <w:p w14:paraId="1EB89D9F" w14:textId="77777777" w:rsidR="00AB3647" w:rsidRDefault="00000000" w:rsidP="007923E9">
      <w:pPr>
        <w:pStyle w:val="4"/>
        <w:spacing w:line="276" w:lineRule="auto"/>
      </w:pPr>
      <w:r>
        <w:t>· הפסקה הראשונה ·</w:t>
      </w:r>
    </w:p>
    <w:p w14:paraId="2B838ED1" w14:textId="77777777" w:rsidR="00AB3647" w:rsidRDefault="00000000" w:rsidP="007923E9">
      <w:pPr>
        <w:pStyle w:val="5"/>
        <w:spacing w:line="276" w:lineRule="auto"/>
      </w:pPr>
      <w:r>
        <w:t xml:space="preserve">רבה של מינסק, ר׳ </w:t>
      </w:r>
      <w:proofErr w:type="spellStart"/>
      <w:r>
        <w:t>ירוחם־יהודה־לייב</w:t>
      </w:r>
      <w:proofErr w:type="spellEnd"/>
      <w:r>
        <w:t xml:space="preserve"> פרלמן, מכונה “גדול” – אחד ממבקריו הראשונים בעיר מתרשם ממנו מאוד</w:t>
      </w:r>
    </w:p>
    <w:p w14:paraId="710AA849" w14:textId="77777777" w:rsidR="00AB3647" w:rsidRDefault="00000000" w:rsidP="007923E9">
      <w:pPr>
        <w:spacing w:after="120" w:line="276" w:lineRule="auto"/>
        <w:ind w:firstLine="283"/>
        <w:jc w:val="both"/>
      </w:pPr>
      <w:r>
        <w:rPr>
          <w:rtl/>
        </w:rPr>
        <w:t xml:space="preserve">רבה של מינסק באותו זמן היה ר׳ לייזר </w:t>
      </w:r>
      <w:proofErr w:type="spellStart"/>
      <w:r>
        <w:rPr>
          <w:rtl/>
        </w:rPr>
        <w:t>רבינוביץ</w:t>
      </w:r>
      <w:proofErr w:type="spellEnd"/>
      <w:r>
        <w:rPr>
          <w:rtl/>
        </w:rPr>
        <w:t xml:space="preserve"> (תרי״ט–תרפ״ד). בשנת תרנ״ז בא במקום חותנו, ר׳ </w:t>
      </w:r>
      <w:proofErr w:type="spellStart"/>
      <w:r>
        <w:rPr>
          <w:rtl/>
        </w:rPr>
        <w:t>ירוחם־יהודה־לייב</w:t>
      </w:r>
      <w:proofErr w:type="spellEnd"/>
      <w:r>
        <w:rPr>
          <w:rtl/>
        </w:rPr>
        <w:t xml:space="preserve"> פרלמן, הידוע בכינוי “הגדול ממינסק”</w:t>
      </w:r>
      <w:bookmarkStart w:id="676" w:name="_fnr413"/>
      <w:r>
        <w:rPr>
          <w:rStyle w:val="a5"/>
        </w:rPr>
        <w:footnoteReference w:id="413" w:customMarkFollows="0"/>
      </w:r>
      <w:bookmarkEnd w:id="676"/>
      <w:r>
        <w:rPr>
          <w:rtl/>
        </w:rPr>
        <w:t xml:space="preserve">. יש הסברים שונים לכך שהרב פרלמן נקרא “הגדול”. לפי “סדר אליהו”</w:t>
      </w:r>
      <w:bookmarkStart w:id="677" w:name="_fnr414"/>
      <w:r>
        <w:rPr>
          <w:rStyle w:val="a5"/>
        </w:rPr>
        <w:footnoteReference w:id="414" w:customMarkFollows="0"/>
      </w:r>
      <w:bookmarkEnd w:id="677"/>
      <w:r>
        <w:rPr>
          <w:rtl/>
        </w:rPr>
        <w:t>, הייתה מחלוקת בעיר איזה רב לקבל – אדם בעל השכלה כללית (משכיל) או גדול בתורה – וכשהוחלט על האחרון, כונה “הרב, הגדול”.</w:t>
      </w:r>
    </w:p>
    <w:p w14:paraId="40E6F9D9" w14:textId="77777777" w:rsidR="00AB3647" w:rsidRDefault="00000000" w:rsidP="007923E9">
      <w:pPr>
        <w:spacing w:after="120" w:line="276" w:lineRule="auto"/>
        <w:ind w:firstLine="283"/>
        <w:jc w:val="both"/>
      </w:pPr>
      <w:r>
        <w:rPr>
          <w:rtl/>
        </w:rPr>
        <w:t xml:space="preserve">דעה אחרת המובאת שם היא שהרב פרלמן לא אהב שיקראו לו בשם הסתמי “המרא דאתרא של מינסק”, כפי שנקראו הרבנים שלפניו, ולכן </w:t>
      </w:r>
      <w:r>
        <w:rPr>
          <w:b/>
          <w:bCs/>
          <w:rtl/>
        </w:rPr>
        <w:t>בחר</w:t>
      </w:r>
      <w:r>
        <w:rPr>
          <w:rtl/>
        </w:rPr>
        <w:t xml:space="preserve"> שיקראו לו “הגדול של מינסק”. התואר “רב של מינסק” בוטל זמן רב קודם לכן, כפי שיבואר בפסקה הבאה. שתי האפשרויות שהזכיר בעל היומן נרשמו שנתיים לפני מותו של “הגדול”.</w:t>
      </w:r>
    </w:p>
    <w:p w14:paraId="780BC116" w14:textId="77777777" w:rsidR="00AB3647" w:rsidRDefault="00000000" w:rsidP="007923E9">
      <w:pPr>
        <w:spacing w:after="120" w:line="276" w:lineRule="auto"/>
        <w:ind w:firstLine="283"/>
        <w:jc w:val="both"/>
      </w:pPr>
      <w:r>
        <w:rPr>
          <w:rtl/>
        </w:rPr>
        <w:t xml:space="preserve">בביוגרפיה הקלסית של “הגדול”, שכתב איש סודו מאיר </w:t>
      </w:r>
      <w:proofErr w:type="spellStart"/>
      <w:r>
        <w:rPr>
          <w:rtl/>
        </w:rPr>
        <w:t>היילפרין</w:t>
      </w:r>
      <w:proofErr w:type="spellEnd"/>
      <w:r>
        <w:rPr>
          <w:rtl/>
        </w:rPr>
        <w:t xml:space="preserve"> </w:t>
      </w:r>
      <w:proofErr w:type="spellStart"/>
      <w:r>
        <w:rPr>
          <w:rtl/>
        </w:rPr>
        <w:t>חמש־עשרה</w:t>
      </w:r>
      <w:proofErr w:type="spellEnd"/>
      <w:r>
        <w:rPr>
          <w:rtl/>
        </w:rPr>
        <w:t xml:space="preserve"> שנה אחרי פטירתו, יש הסבר הצריך עיון. הספר</w:t>
      </w:r>
      <w:bookmarkStart w:id="678" w:name="_fnr415"/>
      <w:r>
        <w:rPr>
          <w:rStyle w:val="a5"/>
        </w:rPr>
        <w:footnoteReference w:id="415" w:customMarkFollows="0"/>
      </w:r>
      <w:bookmarkEnd w:id="678"/>
      <w:r>
        <w:rPr>
          <w:rtl/>
        </w:rPr>
        <w:t>, “הגדול ממינסק”</w:t>
      </w:r>
      <w:bookmarkStart w:id="679" w:name="_fnr416"/>
      <w:r>
        <w:rPr>
          <w:rStyle w:val="a5"/>
        </w:rPr>
        <w:footnoteReference w:id="416" w:customMarkFollows="0"/>
      </w:r>
      <w:bookmarkEnd w:id="679"/>
      <w:r>
        <w:rPr>
          <w:rtl/>
        </w:rPr>
        <w:t>, טוען שאחד מחשובי מינסק ביקר אצל הרב החדש בימים הראשונים אחרי עלותו על כס הרבנות, וכשיצא מן הבית העיר: “אה, זהו אדם גדול!” – והכינוי דבק בו. אומנם מוזר שתיאור פשוט מפי מבקר ייעשה תוארו של הרב החדש.</w:t>
      </w:r>
    </w:p>
    <w:p w14:paraId="75FB5F3A" w14:textId="77777777" w:rsidR="00AB3647" w:rsidRDefault="00000000" w:rsidP="007923E9">
      <w:pPr>
        <w:spacing w:after="120" w:line="276" w:lineRule="auto"/>
        <w:ind w:firstLine="283"/>
        <w:jc w:val="both"/>
      </w:pPr>
      <w:r>
        <w:rPr>
          <w:rtl/>
        </w:rPr>
        <w:t>אבל בני ר׳ יוסף מסר</w:t>
      </w:r>
      <w:bookmarkStart w:id="680" w:name="_fnr417"/>
      <w:r>
        <w:rPr>
          <w:rStyle w:val="a5"/>
        </w:rPr>
        <w:footnoteReference w:id="417" w:customMarkFollows="0"/>
      </w:r>
      <w:bookmarkEnd w:id="680"/>
      <w:r>
        <w:rPr>
          <w:rtl/>
        </w:rPr>
        <w:t xml:space="preserve"> שרבנו אמר שהרב פרלמן קיבל את התואר “גדול” משום שקודמו היה גדול ממנו הרבה, והתואר נועד לנחם את העיר. קודמו זה היה ר׳ </w:t>
      </w:r>
      <w:proofErr w:type="spellStart"/>
      <w:r>
        <w:rPr>
          <w:rtl/>
        </w:rPr>
        <w:t>דוד־טעביל</w:t>
      </w:r>
      <w:proofErr w:type="spellEnd"/>
      <w:r>
        <w:rPr>
          <w:rtl/>
        </w:rPr>
        <w:t xml:space="preserve">, תלמידו של ר׳ חיים </w:t>
      </w:r>
      <w:proofErr w:type="spellStart"/>
      <w:r>
        <w:rPr>
          <w:rtl/>
        </w:rPr>
        <w:t>מוולוז׳ין</w:t>
      </w:r>
      <w:proofErr w:type="spellEnd"/>
      <w:r>
        <w:rPr>
          <w:rtl/>
        </w:rPr>
        <w:t xml:space="preserve"> ומחבר “נחלת דוד”. לאור גילוי זה אפשר לשער שהאיש החשוב שביקר את הרב החדש התכוון לומר שהעיר צריכה להיות מרוצה במי שמינתה, שכן אף שאינו שווה </w:t>
      </w:r>
      <w:proofErr w:type="spellStart"/>
      <w:r>
        <w:rPr>
          <w:rtl/>
        </w:rPr>
        <w:t>לר</w:t>
      </w:r>
      <w:proofErr w:type="spellEnd"/>
      <w:r>
        <w:rPr>
          <w:rtl/>
        </w:rPr>
        <w:t xml:space="preserve">׳ </w:t>
      </w:r>
      <w:proofErr w:type="spellStart"/>
      <w:r>
        <w:rPr>
          <w:rtl/>
        </w:rPr>
        <w:t>דוד־טעביל</w:t>
      </w:r>
      <w:proofErr w:type="spellEnd"/>
      <w:r>
        <w:rPr>
          <w:rtl/>
        </w:rPr>
        <w:t>, מכל מקום “אדם גדול” הוא. מחבר “הגדול ממינסק” היה קרוב במיוחד לרב פרלמן ואהב אותו, ולכן לא רצה לכתוב במפורש שהעיר הייתה צריכה תנחומים על מינוי רבה.</w:t>
      </w:r>
    </w:p>
    <w:p w14:paraId="47812630" w14:textId="77777777" w:rsidR="00AB3647" w:rsidRDefault="00000000" w:rsidP="007923E9">
      <w:pPr>
        <w:pStyle w:val="4"/>
        <w:spacing w:line="276" w:lineRule="auto"/>
      </w:pPr>
      <w:r>
        <w:lastRenderedPageBreak/>
        <w:t>· הפסקה השנייה ·</w:t>
      </w:r>
    </w:p>
    <w:p w14:paraId="40A2CB7D" w14:textId="77777777" w:rsidR="00AB3647" w:rsidRDefault="00000000" w:rsidP="007923E9">
      <w:pPr>
        <w:pStyle w:val="5"/>
        <w:spacing w:line="276" w:lineRule="auto"/>
      </w:pPr>
      <w:r>
        <w:t>התואר הרשמי לרבה של מינסק הוא “מרא דאתרא” הנדיר – העיר מתכחשת לחובה – תושבי מינסק זוכים לכינוי גס</w:t>
      </w:r>
    </w:p>
    <w:p w14:paraId="40656243" w14:textId="77777777" w:rsidR="00AB3647" w:rsidRDefault="00000000" w:rsidP="007923E9">
      <w:pPr>
        <w:spacing w:after="120" w:line="276" w:lineRule="auto"/>
        <w:ind w:firstLine="283"/>
        <w:jc w:val="both"/>
      </w:pPr>
      <w:r>
        <w:rPr>
          <w:rtl/>
        </w:rPr>
        <w:t xml:space="preserve">בשנת תקע״ג נפטר רבה של מינסק, ר׳ ישראל </w:t>
      </w:r>
      <w:proofErr w:type="spellStart"/>
      <w:r>
        <w:rPr>
          <w:rtl/>
        </w:rPr>
        <w:t>מירקיס</w:t>
      </w:r>
      <w:proofErr w:type="spellEnd"/>
      <w:r>
        <w:rPr>
          <w:rtl/>
        </w:rPr>
        <w:t xml:space="preserve">, עמיתו הנערץ של ר׳ חיים </w:t>
      </w:r>
      <w:proofErr w:type="spellStart"/>
      <w:r>
        <w:rPr>
          <w:rtl/>
        </w:rPr>
        <w:t>מוולוז׳ין</w:t>
      </w:r>
      <w:proofErr w:type="spellEnd"/>
      <w:r>
        <w:rPr>
          <w:rtl/>
        </w:rPr>
        <w:t xml:space="preserve">, ואחרי פטירתו הוחלף התואר הרשמי של רבני מינסק </w:t>
      </w:r>
      <w:proofErr w:type="spellStart"/>
      <w:r>
        <w:rPr>
          <w:rtl/>
        </w:rPr>
        <w:t>מ“רב</w:t>
      </w:r>
      <w:proofErr w:type="spellEnd"/>
      <w:r>
        <w:rPr>
          <w:rtl/>
        </w:rPr>
        <w:t xml:space="preserve">” </w:t>
      </w:r>
      <w:proofErr w:type="spellStart"/>
      <w:r>
        <w:rPr>
          <w:rtl/>
        </w:rPr>
        <w:t>ל“מרא</w:t>
      </w:r>
      <w:proofErr w:type="spellEnd"/>
      <w:r>
        <w:rPr>
          <w:rtl/>
        </w:rPr>
        <w:t xml:space="preserve"> דאתרא”. ר׳ חיים שפירא מבולטימור סיפר</w:t>
      </w:r>
      <w:bookmarkStart w:id="681" w:name="_fnr418"/>
      <w:r>
        <w:rPr>
          <w:rStyle w:val="a5"/>
        </w:rPr>
        <w:footnoteReference w:id="418" w:customMarkFollows="0"/>
      </w:r>
      <w:bookmarkEnd w:id="681"/>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הסביר לו את הטעם לכך, “ו(רבנו) הביע את הסכמתו”. השלטון המקומי הטיל מס על מינוי רב, וכדי להימנע מתשלום המס השרירותי החליטה הקהילה לבטל את התואר כשקיבלה את ר׳ שמואל סגל לממלא מקומו של הרב </w:t>
      </w:r>
      <w:proofErr w:type="spellStart"/>
      <w:r>
        <w:rPr>
          <w:rtl/>
        </w:rPr>
        <w:t>מירקיס</w:t>
      </w:r>
      <w:proofErr w:type="spellEnd"/>
      <w:r>
        <w:rPr>
          <w:rtl/>
        </w:rPr>
        <w:t>.</w:t>
      </w:r>
    </w:p>
    <w:p w14:paraId="0C7774BE" w14:textId="77777777" w:rsidR="00AB3647" w:rsidRDefault="00000000" w:rsidP="007923E9">
      <w:pPr>
        <w:spacing w:after="120" w:line="276" w:lineRule="auto"/>
        <w:ind w:firstLine="283"/>
        <w:jc w:val="both"/>
      </w:pPr>
      <w:r>
        <w:rPr>
          <w:rtl/>
        </w:rPr>
        <w:t>גזירת המס בוטלה כעבור זמן קצר, והרב סגל נפטר אחרי שש שנים בכהונתו, ובכל זאת אי אפשר היה להחזיר את התואר “רב”, שמא ייראה הדבר כאילו חולק לממלא מקומו של הרב סגל כבוד גדול משלו. כך בוטל התואר “רב של מינסק” לעולמים.</w:t>
      </w:r>
    </w:p>
    <w:p w14:paraId="5DC64CAD" w14:textId="77777777" w:rsidR="00AB3647" w:rsidRDefault="00000000" w:rsidP="007923E9">
      <w:pPr>
        <w:spacing w:after="120" w:line="276" w:lineRule="auto"/>
        <w:ind w:firstLine="283"/>
        <w:jc w:val="both"/>
      </w:pPr>
      <w:r>
        <w:rPr>
          <w:rtl/>
        </w:rPr>
        <w:t xml:space="preserve">אבל </w:t>
      </w:r>
      <w:proofErr w:type="spellStart"/>
      <w:r>
        <w:rPr>
          <w:rtl/>
        </w:rPr>
        <w:t>ב“מינסק</w:t>
      </w:r>
      <w:proofErr w:type="spellEnd"/>
      <w:r>
        <w:rPr>
          <w:rtl/>
        </w:rPr>
        <w:t xml:space="preserve"> עיר ואם א”</w:t>
      </w:r>
      <w:bookmarkStart w:id="682" w:name="_fnr419"/>
      <w:r>
        <w:rPr>
          <w:rStyle w:val="a5"/>
        </w:rPr>
        <w:footnoteReference w:id="419" w:customMarkFollows="0"/>
      </w:r>
      <w:bookmarkEnd w:id="682"/>
      <w:r>
        <w:rPr>
          <w:rtl/>
        </w:rPr>
        <w:t xml:space="preserve"> יש הסבר אחר. הרב </w:t>
      </w:r>
      <w:proofErr w:type="spellStart"/>
      <w:r>
        <w:rPr>
          <w:rtl/>
        </w:rPr>
        <w:t>מירקיס</w:t>
      </w:r>
      <w:proofErr w:type="spellEnd"/>
      <w:r>
        <w:rPr>
          <w:rtl/>
        </w:rPr>
        <w:t xml:space="preserve"> היה בעל הון משלו, ובעשרים שנות כהונתו ברבנות הלווה סכומי כסף עצומים לצורכי הקהילה (השווה “אבי הישיבות”</w:t>
      </w:r>
      <w:bookmarkStart w:id="683" w:name="_fnr420"/>
      <w:r>
        <w:rPr>
          <w:rStyle w:val="a5"/>
        </w:rPr>
        <w:footnoteReference w:id="420" w:customMarkFollows="0"/>
      </w:r>
      <w:bookmarkEnd w:id="683"/>
      <w:r>
        <w:rPr>
          <w:rtl/>
        </w:rPr>
        <w:t xml:space="preserve"> על דין התורה שניהל הרב בניסיונו לגבות את החוב). על ערש דווי הוציא מזקני מינסק הבטחה שלא יקבלו רב אחר לעירם עד שייפרע החוב, וכך קיווה להבטיח את התשלום ליורשיו. מינסק עקפה את התחייבותה בכך שהחליפה את התואר של הרבנים שבאו אחרי הרב </w:t>
      </w:r>
      <w:proofErr w:type="spellStart"/>
      <w:r>
        <w:rPr>
          <w:rtl/>
        </w:rPr>
        <w:t>מירקיס</w:t>
      </w:r>
      <w:proofErr w:type="spellEnd"/>
      <w:r>
        <w:rPr>
          <w:rtl/>
        </w:rPr>
        <w:t>. לפי דיווח זה, לא ממס ממשלתי ביקשו להתחמק בביטול התואר, אלא מפירעון חוב!</w:t>
      </w:r>
    </w:p>
    <w:p w14:paraId="1B7876C5"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84" w:name="_fnr421"/>
      <w:proofErr w:type="spellEnd"/>
      <w:r>
        <w:rPr>
          <w:rStyle w:val="a5"/>
        </w:rPr>
        <w:footnoteReference w:id="421" w:customMarkFollows="0"/>
      </w:r>
      <w:bookmarkEnd w:id="684"/>
      <w:r>
        <w:rPr>
          <w:rtl/>
        </w:rPr>
        <w:t xml:space="preserve"> ציין שאבי הסכים לנוסח זה – ולא לנוסחו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כפי שהבין ר׳ חיים שפירא. אגב, לערובה מסוג זה נזקקה גם משפחת </w:t>
      </w:r>
      <w:proofErr w:type="spellStart"/>
      <w:r>
        <w:rPr>
          <w:rtl/>
        </w:rPr>
        <w:t>סולובייצ׳יק</w:t>
      </w:r>
      <w:proofErr w:type="spellEnd"/>
      <w:r>
        <w:rPr>
          <w:rtl/>
        </w:rPr>
        <w:t xml:space="preserve"> כשניסתה לגבות חוב מעיר קובנה </w:t>
      </w:r>
      <w:r>
        <w:rPr>
          <w:b/>
          <w:bCs/>
          <w:rtl/>
        </w:rPr>
        <w:t>באותה תקופה</w:t>
      </w:r>
      <w:bookmarkStart w:id="685" w:name="_fnr422"/>
      <w:bookmarkStart w:id="686" w:name="pr_f_352"/>
      <w:r>
        <w:rPr>
          <w:rStyle w:val="a5"/>
        </w:rPr>
        <w:footnoteReference w:id="422" w:customMarkFollows="0"/>
      </w:r>
      <w:bookmarkEnd w:id="685"/>
      <w:bookmarkEnd w:id="686"/>
      <w:r>
        <w:rPr>
          <w:rtl/>
        </w:rPr>
        <w:t>.</w:t>
      </w:r>
    </w:p>
    <w:p w14:paraId="777128F2" w14:textId="77777777" w:rsidR="00AB3647" w:rsidRDefault="00000000" w:rsidP="007923E9">
      <w:pPr>
        <w:spacing w:after="120" w:line="276" w:lineRule="auto"/>
        <w:ind w:firstLine="283"/>
        <w:jc w:val="both"/>
      </w:pPr>
      <w:r>
        <w:rPr>
          <w:rtl/>
        </w:rPr>
        <w:t xml:space="preserve">בני העיירות במזרח אירופה כונו בכינויים בפי שכניהם מן העיירות הסמוכות. בני </w:t>
      </w:r>
      <w:proofErr w:type="spellStart"/>
      <w:r>
        <w:rPr>
          <w:rtl/>
        </w:rPr>
        <w:t>דולהינוב</w:t>
      </w:r>
      <w:proofErr w:type="spellEnd"/>
      <w:r>
        <w:rPr>
          <w:rtl/>
        </w:rPr>
        <w:t>, למשל, נקראו “</w:t>
      </w:r>
      <w:proofErr w:type="spellStart"/>
      <w:r>
        <w:rPr>
          <w:rtl/>
        </w:rPr>
        <w:t>דאלהינאווער</w:t>
      </w:r>
      <w:proofErr w:type="spellEnd"/>
      <w:r>
        <w:rPr>
          <w:rtl/>
        </w:rPr>
        <w:t xml:space="preserve"> </w:t>
      </w:r>
      <w:proofErr w:type="spellStart"/>
      <w:r>
        <w:rPr>
          <w:rtl/>
        </w:rPr>
        <w:t>פלעצלעך</w:t>
      </w:r>
      <w:proofErr w:type="spellEnd"/>
      <w:r>
        <w:rPr>
          <w:rtl/>
        </w:rPr>
        <w:t xml:space="preserve"> [רקיקים]”, מסיבה שאינה ידועה. בני </w:t>
      </w:r>
      <w:proofErr w:type="spellStart"/>
      <w:r>
        <w:rPr>
          <w:rtl/>
        </w:rPr>
        <w:t>סלנט</w:t>
      </w:r>
      <w:proofErr w:type="spellEnd"/>
      <w:r>
        <w:rPr>
          <w:rtl/>
        </w:rPr>
        <w:t xml:space="preserve"> נקראו, בפשטות יותר, “</w:t>
      </w:r>
      <w:proofErr w:type="spellStart"/>
      <w:r>
        <w:rPr>
          <w:rtl/>
        </w:rPr>
        <w:t>סאלאנטער</w:t>
      </w:r>
      <w:proofErr w:type="spellEnd"/>
      <w:r>
        <w:rPr>
          <w:rtl/>
        </w:rPr>
        <w:t xml:space="preserve"> בעלי גאוה”</w:t>
      </w:r>
      <w:bookmarkStart w:id="687" w:name="_fnr423"/>
      <w:r>
        <w:rPr>
          <w:rStyle w:val="a5"/>
        </w:rPr>
        <w:footnoteReference w:id="423" w:customMarkFollows="0"/>
      </w:r>
      <w:bookmarkEnd w:id="687"/>
      <w:r>
        <w:rPr>
          <w:rtl/>
        </w:rPr>
        <w:t xml:space="preserve">. בני </w:t>
      </w:r>
      <w:proofErr w:type="spellStart"/>
      <w:r>
        <w:rPr>
          <w:rtl/>
        </w:rPr>
        <w:t>רוביז׳ביץ</w:t>
      </w:r>
      <w:proofErr w:type="spellEnd"/>
      <w:r>
        <w:rPr>
          <w:rtl/>
        </w:rPr>
        <w:t>׳ נקראו “</w:t>
      </w:r>
      <w:proofErr w:type="spellStart"/>
      <w:r>
        <w:rPr>
          <w:rtl/>
        </w:rPr>
        <w:t>רוביזשעוויצער</w:t>
      </w:r>
      <w:proofErr w:type="spellEnd"/>
      <w:r>
        <w:rPr>
          <w:rtl/>
        </w:rPr>
        <w:t xml:space="preserve"> </w:t>
      </w:r>
      <w:proofErr w:type="spellStart"/>
      <w:r>
        <w:rPr>
          <w:rtl/>
        </w:rPr>
        <w:t>פעלצלעך</w:t>
      </w:r>
      <w:proofErr w:type="spellEnd"/>
      <w:r>
        <w:rPr>
          <w:rtl/>
        </w:rPr>
        <w:t xml:space="preserve"> [קליפות]”, משום שלפי “ספר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688" w:name="_fnr424"/>
      <w:r>
        <w:rPr>
          <w:rStyle w:val="a5"/>
        </w:rPr>
        <w:footnoteReference w:id="424" w:customMarkFollows="0"/>
      </w:r>
      <w:bookmarkEnd w:id="688"/>
      <w:r>
        <w:rPr>
          <w:rtl/>
        </w:rPr>
        <w:t xml:space="preserve"> “היו עניים ולא בררנים </w:t>
      </w:r>
      <w:r>
        <w:rPr>
          <w:rtl/>
        </w:rPr>
        <w:lastRenderedPageBreak/>
        <w:t>במאכלם, ולעתים קרובות אכלו את תפוחי האדמה המבושלים שלהם בלי לקלפם, בקליפתם”. לבני מינסק דבק, משום מה, הכינוי הגס במיוחד “</w:t>
      </w:r>
      <w:proofErr w:type="spellStart"/>
      <w:r>
        <w:rPr>
          <w:rtl/>
        </w:rPr>
        <w:t>מינסקער</w:t>
      </w:r>
      <w:proofErr w:type="spellEnd"/>
      <w:r>
        <w:rPr>
          <w:rtl/>
        </w:rPr>
        <w:t xml:space="preserve"> חזירים”</w:t>
      </w:r>
      <w:bookmarkStart w:id="689" w:name="_fnr425"/>
      <w:r>
        <w:rPr>
          <w:rStyle w:val="a5"/>
        </w:rPr>
        <w:footnoteReference w:id="425" w:customMarkFollows="0"/>
      </w:r>
      <w:bookmarkEnd w:id="689"/>
      <w:r>
        <w:rPr>
          <w:rtl/>
        </w:rPr>
        <w:t>.</w:t>
      </w:r>
    </w:p>
    <w:p w14:paraId="4B3CD3C2" w14:textId="77777777" w:rsidR="00AB3647" w:rsidRDefault="00000000" w:rsidP="007923E9">
      <w:pPr>
        <w:spacing w:after="120" w:line="276" w:lineRule="auto"/>
        <w:ind w:firstLine="283"/>
        <w:jc w:val="both"/>
      </w:pPr>
      <w:r>
        <w:rPr>
          <w:rtl/>
        </w:rPr>
        <w:t xml:space="preserve">יש מי שמציע שמעשה החוב של הרב </w:t>
      </w:r>
      <w:proofErr w:type="spellStart"/>
      <w:r>
        <w:rPr>
          <w:rtl/>
        </w:rPr>
        <w:t>מירקיס</w:t>
      </w:r>
      <w:proofErr w:type="spellEnd"/>
      <w:r>
        <w:rPr>
          <w:rtl/>
        </w:rPr>
        <w:t xml:space="preserve"> הוא שורש הכינוי שאינו מחמיא, שכן אדם מכובד בדרך כלל שמתחמק בתחבולה מהתחייבות כספית נקשר – ועדיין נקשר – בלשון הדיבור בבהמה הטמאה. הקשר בין טיפוס כזה לחזיר נובע כנראה מדברי רש״י בבראשית </w:t>
      </w:r>
      <w:proofErr w:type="spellStart"/>
      <w:r>
        <w:rPr>
          <w:rtl/>
        </w:rPr>
        <w:t>כו:לד</w:t>
      </w:r>
      <w:proofErr w:type="spellEnd"/>
      <w:r>
        <w:rPr>
          <w:rtl/>
        </w:rPr>
        <w:t xml:space="preserve">: החזיר פושט את </w:t>
      </w:r>
      <w:proofErr w:type="spellStart"/>
      <w:r>
        <w:rPr>
          <w:rtl/>
        </w:rPr>
        <w:t>טלפיו</w:t>
      </w:r>
      <w:proofErr w:type="spellEnd"/>
      <w:r>
        <w:rPr>
          <w:rtl/>
        </w:rPr>
        <w:t xml:space="preserve"> להראות את סימן הטהרה היחיד שלו, פרסות סדוקות, כטענת שקר שהוא בהמה טהורה. גם הביטוי היידי להראות “חזיר </w:t>
      </w:r>
      <w:proofErr w:type="spellStart"/>
      <w:r>
        <w:rPr>
          <w:rtl/>
        </w:rPr>
        <w:t>פיסעל</w:t>
      </w:r>
      <w:proofErr w:type="spellEnd"/>
      <w:r>
        <w:rPr>
          <w:rtl/>
        </w:rPr>
        <w:t>” [רגל חזיר] מיוסד על מקור זה. כך, על מי ש</w:t>
      </w:r>
      <w:r>
        <w:rPr>
          <w:b/>
          <w:bCs/>
          <w:rtl/>
        </w:rPr>
        <w:t>מעמיד פנים</w:t>
      </w:r>
      <w:r>
        <w:rPr>
          <w:rtl/>
        </w:rPr>
        <w:t xml:space="preserve"> שהוא ישר ובאמת הוא עקום – כפי שעשתה קהילת מינסק במינוי “מרא דאתרא”, “רב” בשם אחר – אומרים שהוא “מראה רגל חזיר”.</w:t>
      </w:r>
    </w:p>
    <w:p w14:paraId="77949F73" w14:textId="77777777" w:rsidR="00AB3647" w:rsidRDefault="00000000" w:rsidP="007923E9">
      <w:pPr>
        <w:pStyle w:val="4"/>
        <w:spacing w:line="276" w:lineRule="auto"/>
      </w:pPr>
      <w:r>
        <w:t>· הפסקה השלישית ·</w:t>
      </w:r>
    </w:p>
    <w:p w14:paraId="1BB60726" w14:textId="77777777" w:rsidR="00AB3647" w:rsidRDefault="00000000" w:rsidP="007923E9">
      <w:pPr>
        <w:pStyle w:val="5"/>
        <w:spacing w:line="276" w:lineRule="auto"/>
      </w:pPr>
      <w:r>
        <w:t xml:space="preserve">עגלון </w:t>
      </w:r>
      <w:proofErr w:type="spellStart"/>
      <w:r>
        <w:t>נכרי</w:t>
      </w:r>
      <w:proofErr w:type="spellEnd"/>
      <w:r>
        <w:t xml:space="preserve"> מגיע באיחור </w:t>
      </w:r>
      <w:proofErr w:type="spellStart"/>
      <w:r>
        <w:t>לקלם</w:t>
      </w:r>
      <w:proofErr w:type="spellEnd"/>
      <w:r>
        <w:t xml:space="preserve"> – קולות לילה מפחידים מבית המדרש של קלם</w:t>
      </w:r>
    </w:p>
    <w:p w14:paraId="313D06C3" w14:textId="77777777" w:rsidR="00AB3647" w:rsidRDefault="00000000" w:rsidP="007923E9">
      <w:pPr>
        <w:spacing w:after="120" w:line="276" w:lineRule="auto"/>
        <w:ind w:firstLine="283"/>
        <w:jc w:val="both"/>
      </w:pPr>
      <w:r>
        <w:rPr>
          <w:rtl/>
        </w:rPr>
        <w:t>הקורא ימצא עניין בסיפור שמאחורי הכינוי שהודבק לתושבי קלם, עיירה שתופסת מקום מיוחד בתולדות תנועת המוסר</w:t>
      </w:r>
      <w:bookmarkStart w:id="690" w:name="_fnr426"/>
      <w:r>
        <w:rPr>
          <w:rStyle w:val="a5"/>
        </w:rPr>
        <w:footnoteReference w:id="426" w:customMarkFollows="0"/>
      </w:r>
      <w:bookmarkEnd w:id="690"/>
      <w:r>
        <w:rPr>
          <w:rtl/>
        </w:rPr>
        <w:t>: הם נקראו “</w:t>
      </w:r>
      <w:proofErr w:type="spellStart"/>
      <w:r>
        <w:rPr>
          <w:rtl/>
        </w:rPr>
        <w:t>קעלמער</w:t>
      </w:r>
      <w:proofErr w:type="spellEnd"/>
      <w:r>
        <w:rPr>
          <w:rtl/>
        </w:rPr>
        <w:t xml:space="preserve"> </w:t>
      </w:r>
      <w:proofErr w:type="spellStart"/>
      <w:r>
        <w:rPr>
          <w:rtl/>
        </w:rPr>
        <w:t>שלאפער</w:t>
      </w:r>
      <w:proofErr w:type="spellEnd"/>
      <w:r>
        <w:rPr>
          <w:rtl/>
        </w:rPr>
        <w:t xml:space="preserve"> [ישנוני קלם]”. לפי מאמר מאת הרב חיים </w:t>
      </w:r>
      <w:proofErr w:type="spellStart"/>
      <w:r>
        <w:rPr>
          <w:rtl/>
        </w:rPr>
        <w:t xml:space="preserve">קרלינסקי</w:t>
      </w:r>
      <w:proofErr w:type="spellEnd"/>
      <w:r>
        <w:rPr>
          <w:rtl/>
        </w:rPr>
        <w:t xml:space="preserve"> </w:t>
      </w:r>
      <w:proofErr w:type="spellStart"/>
      <w:r>
        <w:rPr>
          <w:rtl/>
        </w:rPr>
        <w:t>ב“ליטע</w:t>
      </w:r>
      <w:proofErr w:type="spellEnd"/>
      <w:r>
        <w:rPr>
          <w:rtl/>
        </w:rPr>
        <w:t>”</w:t>
      </w:r>
      <w:bookmarkStart w:id="691" w:name="_fnr427"/>
      <w:r>
        <w:rPr>
          <w:rStyle w:val="a5"/>
        </w:rPr>
        <w:footnoteReference w:id="427" w:customMarkFollows="0"/>
      </w:r>
      <w:bookmarkEnd w:id="691"/>
      <w:r>
        <w:rPr>
          <w:rtl/>
        </w:rPr>
        <w:t>, יש שתי אגדות מאחורי הכינוי.</w:t>
      </w:r>
    </w:p>
    <w:p w14:paraId="0D392509" w14:textId="77777777" w:rsidR="00AB3647" w:rsidRDefault="00000000" w:rsidP="007923E9">
      <w:pPr>
        <w:spacing w:after="120" w:line="276" w:lineRule="auto"/>
        <w:ind w:firstLine="283"/>
        <w:jc w:val="both"/>
      </w:pPr>
      <w:r>
        <w:rPr>
          <w:rtl/>
        </w:rPr>
        <w:t xml:space="preserve">לפי האחת, בחג סוכות אחד לא יכלה העיירה להרשות לעצמה אתרוג משלה, ושילמה לקהילה הגדולה של </w:t>
      </w:r>
      <w:proofErr w:type="spellStart"/>
      <w:r>
        <w:rPr>
          <w:rtl/>
        </w:rPr>
        <w:t>ראסיין</w:t>
      </w:r>
      <w:proofErr w:type="spellEnd"/>
      <w:r>
        <w:rPr>
          <w:rtl/>
        </w:rPr>
        <w:t xml:space="preserve"> כדי להיות שותפה באתרוג שלה. בחול המועד היו מתפללים מוקדם </w:t>
      </w:r>
      <w:proofErr w:type="spellStart"/>
      <w:r>
        <w:rPr>
          <w:rtl/>
        </w:rPr>
        <w:t>בראסיין</w:t>
      </w:r>
      <w:proofErr w:type="spellEnd"/>
      <w:r>
        <w:rPr>
          <w:rtl/>
        </w:rPr>
        <w:t xml:space="preserve"> ושולחים את האתרוג עם עגלון </w:t>
      </w:r>
      <w:proofErr w:type="spellStart"/>
      <w:r>
        <w:rPr>
          <w:rtl/>
        </w:rPr>
        <w:t>נכרי</w:t>
      </w:r>
      <w:proofErr w:type="spellEnd"/>
      <w:r>
        <w:rPr>
          <w:rtl/>
        </w:rPr>
        <w:t xml:space="preserve"> </w:t>
      </w:r>
      <w:proofErr w:type="spellStart"/>
      <w:r>
        <w:rPr>
          <w:rtl/>
        </w:rPr>
        <w:t>לקלם</w:t>
      </w:r>
      <w:proofErr w:type="spellEnd"/>
      <w:r>
        <w:rPr>
          <w:rtl/>
        </w:rPr>
        <w:t>, המרוחקת שלושים וחמישה קילומטרים.</w:t>
      </w:r>
    </w:p>
    <w:p w14:paraId="644E749A" w14:textId="77777777" w:rsidR="00AB3647" w:rsidRDefault="00000000" w:rsidP="007923E9">
      <w:pPr>
        <w:spacing w:after="120" w:line="276" w:lineRule="auto"/>
        <w:ind w:firstLine="283"/>
        <w:jc w:val="both"/>
      </w:pPr>
      <w:r>
        <w:rPr>
          <w:rtl/>
        </w:rPr>
        <w:t xml:space="preserve">באחד מימי חול המועד החליט הגוי לעצור בדרך לשתות משקה חריף. הוא שתה כוסית אחת, שנייה ושלישית, ונרדם. עד שהגיע בעגלתו </w:t>
      </w:r>
      <w:proofErr w:type="spellStart"/>
      <w:r>
        <w:rPr>
          <w:rtl/>
        </w:rPr>
        <w:t>לקלם</w:t>
      </w:r>
      <w:proofErr w:type="spellEnd"/>
      <w:r>
        <w:rPr>
          <w:rtl/>
        </w:rPr>
        <w:t xml:space="preserve">, כבר ירד הלילה מזמן. הוא ראה שהיהודים שהיה עליו למסור להם את האתרוג כבר הלכו לישון, סובב את עגלתו ויצא בחזרה </w:t>
      </w:r>
      <w:proofErr w:type="spellStart"/>
      <w:r>
        <w:rPr>
          <w:rtl/>
        </w:rPr>
        <w:t>לראסיין</w:t>
      </w:r>
      <w:proofErr w:type="spellEnd"/>
      <w:r>
        <w:rPr>
          <w:rtl/>
        </w:rPr>
        <w:t xml:space="preserve">, ואמר לשולחיו שלא עלה בידו למלא את שליחותו משום </w:t>
      </w:r>
      <w:proofErr w:type="spellStart"/>
      <w:r>
        <w:rPr>
          <w:rtl/>
        </w:rPr>
        <w:t>ש“בקלם</w:t>
      </w:r>
      <w:proofErr w:type="spellEnd"/>
      <w:r>
        <w:rPr>
          <w:rtl/>
        </w:rPr>
        <w:t xml:space="preserve"> ישנים”. וכך נולד “</w:t>
      </w:r>
      <w:proofErr w:type="spellStart"/>
      <w:r>
        <w:rPr>
          <w:rtl/>
        </w:rPr>
        <w:t>קעלמער</w:t>
      </w:r>
      <w:proofErr w:type="spellEnd"/>
      <w:r>
        <w:rPr>
          <w:rtl/>
        </w:rPr>
        <w:t xml:space="preserve"> </w:t>
      </w:r>
      <w:proofErr w:type="spellStart"/>
      <w:r>
        <w:rPr>
          <w:rtl/>
        </w:rPr>
        <w:t>שלאפער</w:t>
      </w:r>
      <w:proofErr w:type="spellEnd"/>
      <w:r>
        <w:rPr>
          <w:rtl/>
        </w:rPr>
        <w:t>”.</w:t>
      </w:r>
    </w:p>
    <w:p w14:paraId="30DC29D6" w14:textId="77777777" w:rsidR="00AB3647" w:rsidRDefault="00000000" w:rsidP="007923E9">
      <w:pPr>
        <w:spacing w:after="120" w:line="276" w:lineRule="auto"/>
        <w:ind w:firstLine="283"/>
        <w:jc w:val="both"/>
      </w:pPr>
      <w:r>
        <w:rPr>
          <w:rtl/>
        </w:rPr>
        <w:t xml:space="preserve">האגדה האחרת קשורה ברבה של קלם, ר׳ אליעזר גוטמן (שנכדתו נישאה לימים לסבא </w:t>
      </w:r>
      <w:proofErr w:type="spellStart"/>
      <w:r>
        <w:rPr>
          <w:rtl/>
        </w:rPr>
        <w:t>מסלבודקה</w:t>
      </w:r>
      <w:proofErr w:type="spellEnd"/>
      <w:r>
        <w:rPr>
          <w:rtl/>
        </w:rPr>
        <w:t xml:space="preserve">). באחת משנות כהונתו, </w:t>
      </w:r>
      <w:proofErr w:type="spellStart"/>
      <w:r>
        <w:rPr>
          <w:rtl/>
        </w:rPr>
        <w:t>מתק״ע</w:t>
      </w:r>
      <w:proofErr w:type="spellEnd"/>
      <w:r>
        <w:rPr>
          <w:rtl/>
        </w:rPr>
        <w:t xml:space="preserve"> עד תקצ״א, שמעו בני העיירה לילה אחד יללות מרות עולות מבית המדרש המואר. בטוחים שהמתים חזרו להתפלל</w:t>
      </w:r>
      <w:bookmarkStart w:id="692" w:name="_fnr428"/>
      <w:r>
        <w:rPr>
          <w:rStyle w:val="a5"/>
        </w:rPr>
        <w:footnoteReference w:id="428" w:customMarkFollows="0"/>
      </w:r>
      <w:bookmarkEnd w:id="692"/>
      <w:r>
        <w:rPr>
          <w:rtl/>
        </w:rPr>
        <w:t xml:space="preserve">, קמו כולם, קטן וגדול, ורצו באימה אל בית הרב. </w:t>
      </w:r>
      <w:proofErr w:type="spellStart"/>
      <w:r>
        <w:rPr>
          <w:rtl/>
        </w:rPr>
        <w:t>כשלא</w:t>
      </w:r>
      <w:proofErr w:type="spellEnd"/>
      <w:r>
        <w:rPr>
          <w:rtl/>
        </w:rPr>
        <w:t xml:space="preserve"> הצליח הרב לשכנע את ההמון שיש לדבר הסבר המתקבל יותר על הדעת, אמר לראש החברה קדישא של העיירה ללכת לבית המדרש ולצוות על המתים לשוב לקבריהם.</w:t>
      </w:r>
    </w:p>
    <w:p w14:paraId="093DD42E" w14:textId="77777777" w:rsidR="00AB3647" w:rsidRDefault="00000000" w:rsidP="007923E9">
      <w:pPr>
        <w:spacing w:after="120" w:line="276" w:lineRule="auto"/>
        <w:ind w:firstLine="283"/>
        <w:jc w:val="both"/>
      </w:pPr>
      <w:r>
        <w:rPr>
          <w:rtl/>
        </w:rPr>
        <w:lastRenderedPageBreak/>
        <w:t>הגבאי נכנס לבית הכנסת רועד, על קצות אצבעותיו, ובפיו פסוקי התהלים</w:t>
      </w:r>
      <w:bookmarkStart w:id="693" w:name="_fnr429"/>
      <w:r>
        <w:rPr>
          <w:rStyle w:val="a5"/>
        </w:rPr>
        <w:footnoteReference w:id="429" w:customMarkFollows="0"/>
      </w:r>
      <w:bookmarkEnd w:id="693"/>
      <w:r>
        <w:rPr>
          <w:rtl/>
        </w:rPr>
        <w:t xml:space="preserve"> המתאימים, וראה דמות עטופה תכריכים עומדת על הדוכן וראשה בתוך ארון הקודש הפתוח. הוא התגנב, תפס בחגורת התכריכים וצעק את הלחש המסורתי: “גיי צו דיין </w:t>
      </w:r>
      <w:proofErr w:type="spellStart"/>
      <w:r>
        <w:rPr>
          <w:rtl/>
        </w:rPr>
        <w:t>רוה</w:t>
      </w:r>
      <w:proofErr w:type="spellEnd"/>
      <w:r>
        <w:rPr>
          <w:rtl/>
        </w:rPr>
        <w:t xml:space="preserve"> [לך למנוחתך]!” הדמות שלפה את ראשה מבין ספרי התורה, והנה לא הייתה זו אלא המשוגעת של העיירה. היא התחבאה בין הספסלים האחוריים כשיצאו כולם מתפילת ערבית, המתינה עד חצות, הדליקה את האורות בבית הכנסת ולבשה את תכריכיה, כדי להתחנן לפני הבורא שייקח אותה אליו, או שיגרום לבני העיירה לחדול מלקרוא לה משוגעת.</w:t>
      </w:r>
    </w:p>
    <w:p w14:paraId="2401AF98" w14:textId="77777777" w:rsidR="00AB3647" w:rsidRDefault="00000000" w:rsidP="007923E9">
      <w:pPr>
        <w:spacing w:after="120" w:line="276" w:lineRule="auto"/>
        <w:ind w:firstLine="283"/>
        <w:jc w:val="both"/>
      </w:pPr>
      <w:r>
        <w:rPr>
          <w:rtl/>
        </w:rPr>
        <w:t xml:space="preserve">בשבת שלאחר מכן נשא ר׳ אליעזר דרשה ואמר: “בעיירות אחרות יש אנשים הנשארים בבית המדרש ללמוד תורה אחרי ערבית, ואחרים משכימים בבוקר ללמוד תורה לפני </w:t>
      </w:r>
      <w:proofErr w:type="spellStart"/>
      <w:r>
        <w:rPr>
          <w:rtl/>
        </w:rPr>
        <w:t>המנין</w:t>
      </w:r>
      <w:proofErr w:type="spellEnd"/>
      <w:r>
        <w:rPr>
          <w:rtl/>
        </w:rPr>
        <w:t xml:space="preserve"> הראשון</w:t>
      </w:r>
      <w:bookmarkStart w:id="694" w:name="_fnr430"/>
      <w:r>
        <w:rPr>
          <w:rStyle w:val="a5"/>
        </w:rPr>
        <w:footnoteReference w:id="430" w:customMarkFollows="0"/>
      </w:r>
      <w:bookmarkEnd w:id="694"/>
      <w:r>
        <w:rPr>
          <w:rtl/>
        </w:rPr>
        <w:t xml:space="preserve">. בעיירות ההן נשארים המתים בקבריהם. אבל </w:t>
      </w:r>
      <w:proofErr w:type="spellStart"/>
      <w:r>
        <w:rPr>
          <w:rtl/>
        </w:rPr>
        <w:t>בקלם</w:t>
      </w:r>
      <w:proofErr w:type="spellEnd"/>
      <w:r>
        <w:rPr>
          <w:rtl/>
        </w:rPr>
        <w:t xml:space="preserve"> החיים ישנים; ולכן באים במקומם </w:t>
      </w:r>
      <w:proofErr w:type="spellStart"/>
      <w:r>
        <w:rPr>
          <w:rtl/>
        </w:rPr>
        <w:t>ה‘מתים</w:t>
      </w:r>
      <w:proofErr w:type="spellEnd"/>
      <w:r>
        <w:rPr>
          <w:rtl/>
        </w:rPr>
        <w:t>’ לבית המדרש”. וכך, על פי הודאת רבם עצמו, נודעו בשם “</w:t>
      </w:r>
      <w:proofErr w:type="spellStart"/>
      <w:r>
        <w:rPr>
          <w:rtl/>
        </w:rPr>
        <w:t>קעלמער</w:t>
      </w:r>
      <w:proofErr w:type="spellEnd"/>
      <w:r>
        <w:rPr>
          <w:rtl/>
        </w:rPr>
        <w:t xml:space="preserve"> </w:t>
      </w:r>
      <w:proofErr w:type="spellStart"/>
      <w:r>
        <w:rPr>
          <w:rtl/>
        </w:rPr>
        <w:t>שלאפער</w:t>
      </w:r>
      <w:proofErr w:type="spellEnd"/>
      <w:r>
        <w:rPr>
          <w:rtl/>
        </w:rPr>
        <w:t>”.</w:t>
      </w:r>
    </w:p>
    <w:p w14:paraId="6FBA2D9D" w14:textId="77777777" w:rsidR="00AB3647" w:rsidRDefault="00000000" w:rsidP="007923E9">
      <w:pPr>
        <w:pStyle w:val="4"/>
        <w:spacing w:line="276" w:lineRule="auto"/>
      </w:pPr>
      <w:r>
        <w:t>· הפסקה הרביעית ·</w:t>
      </w:r>
    </w:p>
    <w:p w14:paraId="5474C03E" w14:textId="77777777" w:rsidR="00AB3647" w:rsidRDefault="00000000" w:rsidP="007923E9">
      <w:pPr>
        <w:pStyle w:val="5"/>
        <w:spacing w:line="276" w:lineRule="auto"/>
      </w:pPr>
      <w:r>
        <w:t xml:space="preserve">הכינוי לתושבי </w:t>
      </w:r>
      <w:proofErr w:type="spellStart"/>
      <w:r>
        <w:t>סאלאק</w:t>
      </w:r>
      <w:proofErr w:type="spellEnd"/>
      <w:r>
        <w:t xml:space="preserve"> – רב ליטאי מגלה עולם מחוץ לעיירתו</w:t>
      </w:r>
    </w:p>
    <w:p w14:paraId="1DFFED0E" w14:textId="77777777" w:rsidR="00AB3647" w:rsidRDefault="00000000" w:rsidP="007923E9">
      <w:pPr>
        <w:spacing w:after="120" w:line="276" w:lineRule="auto"/>
        <w:ind w:firstLine="283"/>
        <w:jc w:val="both"/>
      </w:pPr>
      <w:r>
        <w:rPr>
          <w:rtl/>
        </w:rPr>
        <w:t xml:space="preserve">ר׳ אביגדור </w:t>
      </w:r>
      <w:proofErr w:type="spellStart"/>
      <w:r>
        <w:rPr>
          <w:rtl/>
        </w:rPr>
        <w:t>אפען</w:t>
      </w:r>
      <w:proofErr w:type="spellEnd"/>
      <w:r>
        <w:rPr>
          <w:rtl/>
        </w:rPr>
        <w:t xml:space="preserve"> סיפר</w:t>
      </w:r>
      <w:bookmarkStart w:id="695" w:name="_fnr431"/>
      <w:r>
        <w:rPr>
          <w:rStyle w:val="a5"/>
        </w:rPr>
        <w:footnoteReference w:id="431" w:customMarkFollows="0"/>
      </w:r>
      <w:bookmarkEnd w:id="695"/>
      <w:r>
        <w:rPr>
          <w:rtl/>
        </w:rPr>
        <w:t xml:space="preserve"> שהיה בליטא הכבושה בידי הרוסים בשנים ת״ש–תש״א, כשישיבת </w:t>
      </w:r>
      <w:proofErr w:type="spellStart"/>
      <w:r>
        <w:rPr>
          <w:rtl/>
        </w:rPr>
        <w:t>קלצק</w:t>
      </w:r>
      <w:proofErr w:type="spellEnd"/>
      <w:r>
        <w:rPr>
          <w:rtl/>
        </w:rPr>
        <w:t xml:space="preserve">, שגלתה לשם מפני הפלישה הגרמנית לפולין, נחלקה לשלוש קבוצות כדי להימלט מעיניהם הפקוחות של הקומוניסטים, שעלו אז לשלטון. התלמידים המבוגרים למדו בפני עצמם, כקבוצה עצמאית, </w:t>
      </w:r>
      <w:proofErr w:type="spellStart"/>
      <w:r>
        <w:rPr>
          <w:rtl/>
        </w:rPr>
        <w:t>בדוקשט</w:t>
      </w:r>
      <w:proofErr w:type="spellEnd"/>
      <w:r>
        <w:rPr>
          <w:rtl/>
        </w:rPr>
        <w:t xml:space="preserve">. המשגיח, ר׳ </w:t>
      </w:r>
      <w:proofErr w:type="spellStart"/>
      <w:r>
        <w:rPr>
          <w:rtl/>
        </w:rPr>
        <w:t>יוסף־לייב</w:t>
      </w:r>
      <w:proofErr w:type="spellEnd"/>
      <w:r>
        <w:rPr>
          <w:rtl/>
        </w:rPr>
        <w:t xml:space="preserve"> </w:t>
      </w:r>
      <w:proofErr w:type="spellStart"/>
      <w:r>
        <w:rPr>
          <w:rtl/>
        </w:rPr>
        <w:t>ננדניק</w:t>
      </w:r>
      <w:proofErr w:type="spellEnd"/>
      <w:r>
        <w:rPr>
          <w:rtl/>
        </w:rPr>
        <w:t xml:space="preserve">, היה עם קבוצה אחרת </w:t>
      </w:r>
      <w:proofErr w:type="spellStart"/>
      <w:r>
        <w:rPr>
          <w:rtl/>
        </w:rPr>
        <w:t>בדושאט</w:t>
      </w:r>
      <w:proofErr w:type="spellEnd"/>
      <w:r>
        <w:rPr>
          <w:rtl/>
        </w:rPr>
        <w:t xml:space="preserve">, ור׳ אהרן קוטלר, ראש הישיבה, היה עם קבוצה שלישית </w:t>
      </w:r>
      <w:proofErr w:type="spellStart"/>
      <w:r>
        <w:rPr>
          <w:rtl/>
        </w:rPr>
        <w:t>בסאלאק</w:t>
      </w:r>
      <w:proofErr w:type="spellEnd"/>
      <w:r>
        <w:rPr>
          <w:rtl/>
        </w:rPr>
        <w:t>, ובה המרואיין.</w:t>
      </w:r>
    </w:p>
    <w:p w14:paraId="7E360674" w14:textId="77777777" w:rsidR="00AB3647" w:rsidRDefault="00000000" w:rsidP="007923E9">
      <w:pPr>
        <w:spacing w:after="120" w:line="276" w:lineRule="auto"/>
        <w:ind w:firstLine="283"/>
        <w:jc w:val="both"/>
      </w:pPr>
      <w:r>
        <w:rPr>
          <w:rtl/>
        </w:rPr>
        <w:t xml:space="preserve">תושבי העיירה שבה שהתה קבוצתו כונו “ירחי </w:t>
      </w:r>
      <w:proofErr w:type="spellStart"/>
      <w:r>
        <w:rPr>
          <w:rtl/>
        </w:rPr>
        <w:t>סאלאק</w:t>
      </w:r>
      <w:proofErr w:type="spellEnd"/>
      <w:r>
        <w:rPr>
          <w:rtl/>
        </w:rPr>
        <w:t xml:space="preserve">”. אומרים שהשם נולד כשאישה צעירה, שמעולם לא יצאה מעיירתה, נלקחה פעם לעיר </w:t>
      </w:r>
      <w:proofErr w:type="spellStart"/>
      <w:r>
        <w:rPr>
          <w:rtl/>
        </w:rPr>
        <w:t>דווינסק</w:t>
      </w:r>
      <w:proofErr w:type="spellEnd"/>
      <w:r>
        <w:rPr>
          <w:rtl/>
        </w:rPr>
        <w:t xml:space="preserve">, המרוחקת ארבעים קילומטרים, וכשראתה שהלבנה זורחת שם כמו בעיירתה, קראה: “ראו, הרי זו הלבנה של </w:t>
      </w:r>
      <w:proofErr w:type="spellStart"/>
      <w:r>
        <w:rPr>
          <w:rtl/>
        </w:rPr>
        <w:t>סאלאק</w:t>
      </w:r>
      <w:proofErr w:type="spellEnd"/>
      <w:r>
        <w:rPr>
          <w:rtl/>
        </w:rPr>
        <w:t>!”</w:t>
      </w:r>
    </w:p>
    <w:p w14:paraId="79A27E35" w14:textId="77777777" w:rsidR="00AB3647" w:rsidRDefault="00000000" w:rsidP="007923E9">
      <w:pPr>
        <w:spacing w:after="120" w:line="276" w:lineRule="auto"/>
        <w:ind w:firstLine="283"/>
        <w:jc w:val="both"/>
      </w:pPr>
      <w:r>
        <w:rPr>
          <w:rtl/>
        </w:rPr>
        <w:t>דבר זה מזכיר את מה שסיפר ר׳ שמעון הירש</w:t>
      </w:r>
      <w:bookmarkStart w:id="696" w:name="_fnr432"/>
      <w:r>
        <w:rPr>
          <w:rStyle w:val="a5"/>
        </w:rPr>
        <w:footnoteReference w:id="432" w:customMarkFollows="0"/>
      </w:r>
      <w:bookmarkEnd w:id="696"/>
      <w:r>
        <w:rPr>
          <w:rtl/>
        </w:rPr>
        <w:t xml:space="preserve"> על נסיעה של אבי עם ר׳ שמחה </w:t>
      </w:r>
      <w:proofErr w:type="spellStart"/>
      <w:r>
        <w:rPr>
          <w:rtl/>
        </w:rPr>
        <w:t>שוסטל</w:t>
      </w:r>
      <w:proofErr w:type="spellEnd"/>
      <w:r>
        <w:rPr>
          <w:rtl/>
        </w:rPr>
        <w:t xml:space="preserve"> בשדרת פארק בניו יורק. ר׳ שמעון שמע את ר׳ שמחה ממעט בשיחתו עם רבנו בערכו של הרחוב, המפורסם בעולם כולו. רבנו, שלא היה מן השוללים את העולם הרחב</w:t>
      </w:r>
      <w:bookmarkStart w:id="697" w:name="_fnr433"/>
      <w:r>
        <w:rPr>
          <w:rStyle w:val="a5"/>
        </w:rPr>
        <w:footnoteReference w:id="433" w:customMarkFollows="0"/>
      </w:r>
      <w:bookmarkEnd w:id="697"/>
      <w:r>
        <w:rPr>
          <w:rtl/>
        </w:rPr>
        <w:t>, השיב בסיפור על רב “תמים”, שכיהן בעיירה ליטאית שישים שנה ומעולם לא יצא ממנה כל אותו זמן. בני העיירה החליטו לכבד אותו בנסיעה בעגלה אל מחוץ לעיירה, וכשנסעו כמה קילומטרים בדרך, העיר: “פלא! יש עולם גם כאן בחוץ”.</w:t>
      </w:r>
    </w:p>
    <w:p w14:paraId="69D0B103" w14:textId="77777777" w:rsidR="00AB3647" w:rsidRDefault="00000000" w:rsidP="007923E9">
      <w:pPr>
        <w:spacing w:after="120" w:line="276" w:lineRule="auto"/>
        <w:ind w:firstLine="283"/>
        <w:jc w:val="both"/>
      </w:pPr>
      <w:r>
        <w:rPr>
          <w:rtl/>
        </w:rPr>
        <w:lastRenderedPageBreak/>
        <w:t xml:space="preserve">יחס דומה הביע רבו של אבי, הסבא </w:t>
      </w:r>
      <w:proofErr w:type="spellStart"/>
      <w:r>
        <w:rPr>
          <w:rtl/>
        </w:rPr>
        <w:t>מסלבודקה</w:t>
      </w:r>
      <w:proofErr w:type="spellEnd"/>
      <w:r>
        <w:rPr>
          <w:rtl/>
        </w:rPr>
        <w:t>, כשתלמיד העיר לו פעם: “מה זה איינשטיין? כלום!” השיב לו הסבא בחריפות: “שוטה אתה!”</w:t>
      </w:r>
      <w:bookmarkStart w:id="698" w:name="_fnr434"/>
      <w:bookmarkStart w:id="699" w:name="pr_f_365"/>
      <w:r>
        <w:rPr>
          <w:rStyle w:val="a5"/>
        </w:rPr>
        <w:footnoteReference w:id="434" w:customMarkFollows="0"/>
      </w:r>
      <w:bookmarkStart w:id="700" w:name="_fnr435"/>
      <w:bookmarkStart w:id="701" w:name="pr_f_366"/>
      <w:bookmarkEnd w:id="698"/>
      <w:bookmarkEnd w:id="699"/>
      <w:r>
        <w:rPr>
          <w:rStyle w:val="a5"/>
        </w:rPr>
        <w:footnoteReference w:id="435" w:customMarkFollows="0"/>
      </w:r>
      <w:bookmarkEnd w:id="700"/>
      <w:bookmarkEnd w:id="701"/>
    </w:p>
    <w:p w14:paraId="0623A060" w14:textId="77777777" w:rsidR="00AB3647" w:rsidRDefault="00AB3647" w:rsidP="007923E9">
      <w:pPr>
        <w:spacing w:line="276" w:lineRule="auto"/>
        <w:sectPr w:rsidR="00AB3647">
          <w:footerReference w:type="default" r:id="rId12"/>
          <w:footnotePr>
            <w:pos w:val="pageBottom"/>
            <w:numRestart w:val="eachSect"/>
          </w:footnotePr>
          <w:pgSz w:w="9638" w:h="13606"/>
          <w:pgMar w:top="1134" w:right="1077" w:bottom="1134" w:left="1077" w:header="567" w:footer="567" w:gutter="0"/>
          <w:cols w:space="720"/>
          <w:bidi/>
          <w:docGrid w:linePitch="360"/>
        </w:sectPr>
      </w:pPr>
    </w:p>
    <w:p w14:paraId="1FCC4603" w14:textId="77777777" w:rsidR="00AB3647" w:rsidRDefault="00000000" w:rsidP="007923E9">
      <w:pPr>
        <w:pStyle w:val="ae"/>
        <w:spacing w:line="276" w:lineRule="auto"/>
      </w:pPr>
      <w:bookmarkStart w:id="702" w:name="b2_chapter"/>
      <w:r>
        <w:lastRenderedPageBreak/>
        <w:t>פרק שני</w:t>
      </w:r>
      <w:bookmarkEnd w:id="702"/>
    </w:p>
    <w:p w14:paraId="7AA6B156" w14:textId="77777777" w:rsidR="00AB3647" w:rsidRDefault="00000000" w:rsidP="007923E9">
      <w:pPr>
        <w:pStyle w:val="1"/>
        <w:spacing w:line="276" w:lineRule="auto"/>
      </w:pPr>
      <w:r>
        <w:t>העשור השני – א: מינסק</w:t>
      </w:r>
    </w:p>
    <w:p w14:paraId="67EE1EAF" w14:textId="77777777" w:rsidR="00AB3647" w:rsidRDefault="00000000" w:rsidP="007923E9">
      <w:pPr>
        <w:pStyle w:val="2"/>
        <w:spacing w:line="276" w:lineRule="auto"/>
      </w:pPr>
      <w:bookmarkStart w:id="703" w:name="b2_notes"/>
      <w:r>
        <w:t>הסיפור וההערות</w:t>
      </w:r>
      <w:bookmarkEnd w:id="703"/>
    </w:p>
    <w:p w14:paraId="351C15E3" w14:textId="77777777" w:rsidR="00AB3647" w:rsidRDefault="00000000" w:rsidP="007923E9">
      <w:pPr>
        <w:pStyle w:val="2"/>
        <w:spacing w:line="276" w:lineRule="auto"/>
      </w:pPr>
      <w:bookmarkStart w:id="704" w:name="b2_sec1"/>
      <w:r>
        <w:t>1.</w:t>
      </w:r>
      <w:bookmarkEnd w:id="704"/>
    </w:p>
    <w:p w14:paraId="1180780A" w14:textId="28CA97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שוכנת על כמה גבעות משני עברי נהר </w:t>
      </w:r>
      <w:proofErr w:type="spellStart"/>
      <w:r>
        <w:rPr>
          <w:rtl/>
        </w:rPr>
        <w:t>סביסלוץ</w:t>
      </w:r>
      <w:proofErr w:type="spellEnd"/>
      <w:r>
        <w:rPr>
          <w:rtl/>
        </w:rPr>
        <w:t xml:space="preserve">׳ המתפתל. לפי התעודות ההיסטוריות נוסדה העיר בסביבות שנת </w:t>
      </w:r>
      <w:proofErr w:type="spellStart"/>
      <w:r>
        <w:rPr>
          <w:rtl/>
        </w:rPr>
        <w:t>ה׳י</w:t>
      </w:r>
      <w:proofErr w:type="spellEnd"/>
      <w:r>
        <w:rPr>
          <w:rtl/>
        </w:rPr>
        <w:t>׳</w:t>
      </w:r>
      <w:bookmarkStart w:id="705" w:name="_fnr436"/>
      <w:bookmarkEnd w:id="705"/>
      <w:r>
        <w:rPr>
          <w:rStyle w:val="a5"/>
        </w:rPr>
        <w:t/>
      </w:r>
      <w:bookmarkStart w:id="6993" w:name="_TranslatorNote_436"/>
      <w:r>
        <w:rPr>
          <w:rStyle w:val="a5"/>
          <w:vertAlign w:val="superscript"/>
          <w:rtl/>
        </w:rPr>
        <w:footnoteReference w:id="436" w:customMarkFollows="1"/>
        <w:t>*</w:t>
      </w:r>
      <w:bookmarkEnd w:id="6993"/>
      <w:r>
        <w:rPr>
          <w:rtl/>
        </w:rPr>
        <w:t>. יהודים ישבו בה מימי גירוש ספרד, כשהייתה בתחומי ממלכת ליטא. גם ממינסק לא נחסכו שריפות,</w:t>
      </w:r>
      <w:bookmarkStart w:id="706" w:name="b2_ref1"/>
      <w:bookmarkEnd w:id="706"/>
      <w:r>
        <w:rPr>
          <w:vertAlign w:val="superscript"/>
          <w:rtl/>
        </w:rPr>
        <w:fldChar w:fldCharType="begin" w:dirty="true"/>
      </w:r>
      <w:r>
        <w:rPr>
          <w:vertAlign w:val="superscript"/>
          <w:rtl/>
        </w:rPr>
        <w:instrText xml:space="preserve"> REF b2_note1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והמוני </w:t>
      </w:r>
      <w:proofErr w:type="spellStart"/>
      <w:r>
        <w:rPr>
          <w:rtl/>
        </w:rPr>
        <w:t>הטטרים</w:t>
      </w:r>
      <w:proofErr w:type="spellEnd"/>
      <w:r>
        <w:rPr>
          <w:rtl/>
        </w:rPr>
        <w:t xml:space="preserve"> החריבוה בשנות </w:t>
      </w:r>
      <w:proofErr w:type="spellStart"/>
      <w:r>
        <w:rPr>
          <w:rtl/>
        </w:rPr>
        <w:t>ה׳ש</w:t>
      </w:r>
      <w:proofErr w:type="spellEnd"/>
      <w:r>
        <w:rPr>
          <w:rtl/>
        </w:rPr>
        <w:t>׳. בשנת שכ״ט, כשהתאחדו ממלכות ליטא ופולין, גברה התרבות הפולנית בעיר ובסביבותיה.</w:t>
      </w:r>
      <w:bookmarkStart w:id="707" w:name="b2_ref2"/>
      <w:bookmarkEnd w:id="707"/>
      <w:r>
        <w:rPr>
          <w:vertAlign w:val="superscript"/>
          <w:rtl/>
        </w:rPr>
        <w:fldChar w:fldCharType="begin" w:dirty="true"/>
      </w:r>
      <w:r>
        <w:rPr>
          <w:vertAlign w:val="superscript"/>
          <w:rtl/>
        </w:rPr>
        <w:instrText xml:space="preserve"> REF b2_note2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p>
    <w:bookmarkStart w:id="708" w:name="b2_note1"/>
    <w:p w14:paraId="0889D18E" w14:textId="77777777" w:rsidR="00AB3647" w:rsidRDefault="00000000" w:rsidP="007923E9">
      <w:pPr>
        <w:spacing w:before="120" w:after="100" w:line="276" w:lineRule="auto"/>
        <w:jc w:val="both"/>
      </w:pPr>
      <w:r>
        <w:fldChar w:fldCharType="begin" w:dirty="true"/>
      </w:r>
      <w:r>
        <w:instrText>HYPERLINK \l "b2_ref1"</w:instrText>
      </w:r>
      <w:r>
        <w:fldChar w:fldCharType="separate"/>
      </w:r>
      <w:r>
        <w:rPr>
          <w:b/>
          <w:bCs/>
          <w:rtl/>
        </w:rPr>
        <w:t>1</w:t>
      </w:r>
      <w:r>
        <w:rPr>
          <w:b/>
          <w:bCs/>
        </w:rPr>
        <w:fldChar w:fldCharType="end"/>
      </w:r>
      <w:bookmarkEnd w:id="708"/>
      <w:r>
        <w:rPr>
          <w:rtl/>
        </w:rPr>
        <w:t xml:space="preserve"> יהודי מינסק תלו את השריפות שפרצו בעיר מתחילת שנות </w:t>
      </w:r>
      <w:proofErr w:type="spellStart"/>
      <w:r>
        <w:rPr>
          <w:rtl/>
        </w:rPr>
        <w:t>הת״ק</w:t>
      </w:r>
      <w:proofErr w:type="spellEnd"/>
      <w:r>
        <w:rPr>
          <w:rtl/>
        </w:rPr>
        <w:t xml:space="preserve"> ואילך בקללה שקילל אותה השאגת אריה כשגורש ממנה בעגלה רתומה לשוורים. מלבד עלבון הגירוש מן העיר, ספג גם את החרפה שבדרך נסיעה זו, במקום העגלה המכובדת יותר הרתומה לסוסים. מסופר שכשהגיע לגבול העיר הפנה את ראשו, הביט במינסק ואמר: “מה, מינסק עדיין אינה בוערת?”, ומאז לא עברה שנה בלי שריפה בעיר.</w:t>
      </w:r>
      <w:bookmarkStart w:id="709" w:name="_fnr438"/>
      <w:r>
        <w:rPr>
          <w:rStyle w:val="a5"/>
        </w:rPr>
        <w:footnoteReference w:id="437" w:customMarkFollows="0"/>
      </w:r>
      <w:bookmarkEnd w:id="709"/>
      <w:r>
        <w:rPr>
          <w:rtl/>
        </w:rPr>
        <w:t xml:space="preserve"> ויש לשער שהמנהג, הקיים עד היום, שנער בר מצווה דורש את דרשתו אך ורק בעניין </w:t>
      </w:r>
      <w:proofErr w:type="spellStart"/>
      <w:r>
        <w:rPr>
          <w:rtl/>
        </w:rPr>
        <w:t>משו״ת</w:t>
      </w:r>
      <w:proofErr w:type="spellEnd"/>
      <w:r>
        <w:rPr>
          <w:rtl/>
        </w:rPr>
        <w:t xml:space="preserve"> שאגת אריה,</w:t>
      </w:r>
      <w:bookmarkStart w:id="710" w:name="_fnr439"/>
      <w:r>
        <w:rPr>
          <w:rStyle w:val="a5"/>
        </w:rPr>
        <w:footnoteReference w:id="438" w:customMarkFollows="0"/>
      </w:r>
      <w:bookmarkEnd w:id="710"/>
      <w:r>
        <w:rPr>
          <w:rtl/>
        </w:rPr>
        <w:t xml:space="preserve"> הוא דרך לבקש מחילה מן הגאון על העוול שנעשה לו.</w:t>
      </w:r>
    </w:p>
    <w:p w14:paraId="2A38F7B9" w14:textId="77777777" w:rsidR="00AB3647" w:rsidRDefault="00000000" w:rsidP="007923E9">
      <w:pPr>
        <w:spacing w:before="120" w:after="100" w:line="276" w:lineRule="auto"/>
        <w:jc w:val="both"/>
      </w:pPr>
      <w:r>
        <w:rPr>
          <w:rtl/>
        </w:rPr>
        <w:lastRenderedPageBreak/>
        <w:t xml:space="preserve">ר׳ ישראל </w:t>
      </w:r>
      <w:proofErr w:type="spellStart"/>
      <w:r>
        <w:rPr>
          <w:rtl/>
        </w:rPr>
        <w:t>שורין</w:t>
      </w:r>
      <w:proofErr w:type="spellEnd"/>
      <w:r>
        <w:rPr>
          <w:rtl/>
        </w:rPr>
        <w:t xml:space="preserve"> סיפר גם</w:t>
      </w:r>
      <w:bookmarkStart w:id="711" w:name="_fnr440"/>
      <w:r>
        <w:rPr>
          <w:rStyle w:val="a5"/>
        </w:rPr>
        <w:footnoteReference w:id="439" w:customMarkFollows="0"/>
      </w:r>
      <w:bookmarkEnd w:id="711"/>
      <w:r>
        <w:rPr>
          <w:rtl/>
        </w:rPr>
        <w:t xml:space="preserve"> ששמע מפי מקור נאמן שנער בר מצווה דרש פעם חידוש של ר׳ חיים </w:t>
      </w:r>
      <w:proofErr w:type="spellStart"/>
      <w:r>
        <w:rPr>
          <w:rtl/>
        </w:rPr>
        <w:t>סולובייצ׳יק</w:t>
      </w:r>
      <w:proofErr w:type="spellEnd"/>
      <w:r>
        <w:rPr>
          <w:rtl/>
        </w:rPr>
        <w:t xml:space="preserve"> במקום ביאור בשאגת אריה, ור׳ </w:t>
      </w:r>
      <w:proofErr w:type="spellStart"/>
      <w:r>
        <w:rPr>
          <w:rtl/>
        </w:rPr>
        <w:t>ברוך־בער</w:t>
      </w:r>
      <w:proofErr w:type="spellEnd"/>
      <w:r>
        <w:rPr>
          <w:rtl/>
        </w:rPr>
        <w:t xml:space="preserve"> </w:t>
      </w:r>
      <w:proofErr w:type="spellStart"/>
      <w:r>
        <w:rPr>
          <w:rtl/>
        </w:rPr>
        <w:t>ליבוביץ</w:t>
      </w:r>
      <w:proofErr w:type="spellEnd"/>
      <w:r>
        <w:rPr>
          <w:rtl/>
        </w:rPr>
        <w:t xml:space="preserve"> הקפיד עליו מאוד. לנוכח דבקותו יוצאת הדופן של ר׳ </w:t>
      </w:r>
      <w:proofErr w:type="spellStart"/>
      <w:r>
        <w:rPr>
          <w:rtl/>
        </w:rPr>
        <w:t>ברוך־בער</w:t>
      </w:r>
      <w:proofErr w:type="spellEnd"/>
      <w:r>
        <w:rPr>
          <w:rtl/>
        </w:rPr>
        <w:t xml:space="preserve"> בר׳ חיים,</w:t>
      </w:r>
      <w:bookmarkStart w:id="712" w:name="_fnr441"/>
      <w:r>
        <w:rPr>
          <w:rStyle w:val="a5"/>
        </w:rPr>
        <w:footnoteReference w:id="440" w:customMarkFollows="0"/>
      </w:r>
      <w:bookmarkEnd w:id="712"/>
      <w:r>
        <w:rPr>
          <w:rtl/>
        </w:rPr>
        <w:t xml:space="preserve"> אנו רואים כמה איתן היה מנהג בר המצווה הזה בעיניו. נין של ר׳ </w:t>
      </w:r>
      <w:proofErr w:type="spellStart"/>
      <w:r>
        <w:rPr>
          <w:rtl/>
        </w:rPr>
        <w:t>ברוך־בער</w:t>
      </w:r>
      <w:proofErr w:type="spellEnd"/>
      <w:r>
        <w:rPr>
          <w:rtl/>
        </w:rPr>
        <w:t xml:space="preserve"> אישר שבמשפחה ידוע על הקפדת אבי אבותיהם שנער בר מצווה ידרוש רק דבר מן השאגת אריה.</w:t>
      </w:r>
    </w:p>
    <w:p w14:paraId="66844474" w14:textId="1C2574E0" w:rsidR="00AB3647" w:rsidRDefault="00000000" w:rsidP="007923E9">
      <w:pPr>
        <w:spacing w:after="100" w:line="276" w:lineRule="auto"/>
        <w:ind w:firstLine="340"/>
        <w:jc w:val="both"/>
      </w:pPr>
      <w:r>
        <w:rPr>
          <w:rtl/>
        </w:rPr>
        <w:t xml:space="preserve">אבל “עובדות והנהגות לבית </w:t>
      </w:r>
      <w:proofErr w:type="spellStart"/>
      <w:r>
        <w:rPr>
          <w:rtl/>
        </w:rPr>
        <w:t>בריסק</w:t>
      </w:r>
      <w:proofErr w:type="spellEnd"/>
      <w:r>
        <w:rPr>
          <w:rtl/>
        </w:rPr>
        <w:t>”</w:t>
      </w:r>
      <w:bookmarkStart w:id="713" w:name="_fnr442"/>
      <w:r>
        <w:rPr>
          <w:rStyle w:val="a5"/>
        </w:rPr>
        <w:footnoteReference w:id="441" w:customMarkFollows="0"/>
      </w:r>
      <w:bookmarkEnd w:id="713"/>
      <w:r>
        <w:rPr>
          <w:rtl/>
        </w:rPr>
        <w:t xml:space="preserve"> מספר שכאשר חזר 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לפני ר׳ חיים </w:t>
      </w:r>
      <w:proofErr w:type="spellStart"/>
      <w:r>
        <w:rPr>
          <w:rtl/>
        </w:rPr>
        <w:t>סולובייצ׳יק</w:t>
      </w:r>
      <w:proofErr w:type="spellEnd"/>
      <w:r>
        <w:rPr>
          <w:rtl/>
        </w:rPr>
        <w:t xml:space="preserve"> על הדרשה שהכין לבר המצווה שלו – מן השאגת אריה, כמובן – אמר לו ר׳ חיים טעם לכבוד שחולקים לשאגת אריה, שונה מן הטעם שהוצע לעיל: “משום </w:t>
      </w:r>
      <w:proofErr w:type="spellStart"/>
      <w:r>
        <w:rPr>
          <w:rtl/>
        </w:rPr>
        <w:t>שהשאגת</w:t>
      </w:r>
      <w:proofErr w:type="spellEnd"/>
      <w:r>
        <w:rPr>
          <w:rtl/>
        </w:rPr>
        <w:t xml:space="preserve"> אריה פתח דרך חדשה בלימוד שהתקבלה”. אך נראה שאילו סבר ר׳ </w:t>
      </w:r>
      <w:proofErr w:type="spellStart"/>
      <w:r>
        <w:rPr>
          <w:rtl/>
        </w:rPr>
        <w:t>ברוך־בער</w:t>
      </w:r>
      <w:proofErr w:type="spellEnd"/>
      <w:r>
        <w:rPr>
          <w:rtl/>
        </w:rPr>
        <w:t xml:space="preserve"> שזהו הטעם האמיתי, ודאי לא היה מתנגד לאמירת חידוש של רבו, שהרי גם ר׳ חיים </w:t>
      </w:r>
      <w:proofErr w:type="spellStart"/>
      <w:r>
        <w:rPr>
          <w:rtl/>
        </w:rPr>
        <w:t>סולובייצ׳יק</w:t>
      </w:r>
      <w:proofErr w:type="spellEnd"/>
      <w:r>
        <w:rPr>
          <w:rtl/>
        </w:rPr>
        <w:t xml:space="preserve"> “פתח דרך חדשה בלימוד שהתקבלה”.</w:t>
      </w:r>
      <w:bookmarkStart w:id="714" w:name="_fnr443"/>
      <w:r>
        <w:rPr>
          <w:rStyle w:val="a5"/>
        </w:rPr>
        <w:footnoteReference w:id="442" w:customMarkFollows="0"/>
      </w:r>
      <w:bookmarkEnd w:id="714"/>
    </w:p>
    <w:bookmarkStart w:id="715" w:name="b2_note2"/>
    <w:p w14:paraId="7B430495" w14:textId="77777777" w:rsidR="00AB3647" w:rsidRDefault="00000000" w:rsidP="007923E9">
      <w:pPr>
        <w:spacing w:before="120" w:after="100" w:line="276" w:lineRule="auto"/>
        <w:jc w:val="both"/>
      </w:pPr>
      <w:r>
        <w:fldChar w:fldCharType="begin" w:dirty="true"/>
      </w:r>
      <w:r>
        <w:instrText>HYPERLINK \l "b2_ref2"</w:instrText>
      </w:r>
      <w:r>
        <w:fldChar w:fldCharType="separate"/>
      </w:r>
      <w:r>
        <w:rPr>
          <w:b/>
          <w:bCs/>
          <w:rtl/>
        </w:rPr>
        <w:t>2</w:t>
      </w:r>
      <w:r>
        <w:rPr>
          <w:b/>
          <w:bCs/>
        </w:rPr>
        <w:fldChar w:fldCharType="end"/>
      </w:r>
      <w:bookmarkEnd w:id="715"/>
      <w:r>
        <w:rPr>
          <w:rtl/>
        </w:rPr>
        <w:t xml:space="preserve"> בכל ליטא, עד השואה, היה הביטוי היידי לדבר עתיק שהוא קיים “פון </w:t>
      </w:r>
      <w:proofErr w:type="spellStart"/>
      <w:r>
        <w:rPr>
          <w:rtl/>
        </w:rPr>
        <w:t>יאן</w:t>
      </w:r>
      <w:proofErr w:type="spellEnd"/>
      <w:r>
        <w:rPr>
          <w:rtl/>
        </w:rPr>
        <w:t xml:space="preserve"> </w:t>
      </w:r>
      <w:proofErr w:type="spellStart"/>
      <w:r>
        <w:rPr>
          <w:rtl/>
        </w:rPr>
        <w:t>סאביעצקי׳ס</w:t>
      </w:r>
      <w:proofErr w:type="spellEnd"/>
      <w:r>
        <w:rPr>
          <w:rtl/>
        </w:rPr>
        <w:t xml:space="preserve"> </w:t>
      </w:r>
      <w:proofErr w:type="spellStart"/>
      <w:r>
        <w:rPr>
          <w:rtl/>
        </w:rPr>
        <w:t>יאהרען</w:t>
      </w:r>
      <w:proofErr w:type="spellEnd"/>
      <w:r>
        <w:rPr>
          <w:rtl/>
        </w:rPr>
        <w:t xml:space="preserve">” [מימי </w:t>
      </w:r>
      <w:proofErr w:type="spellStart"/>
      <w:r>
        <w:rPr>
          <w:rtl/>
        </w:rPr>
        <w:t>יאן</w:t>
      </w:r>
      <w:proofErr w:type="spellEnd"/>
      <w:r>
        <w:rPr>
          <w:rtl/>
        </w:rPr>
        <w:t xml:space="preserve"> </w:t>
      </w:r>
      <w:proofErr w:type="spellStart"/>
      <w:r>
        <w:rPr>
          <w:rtl/>
        </w:rPr>
        <w:t>סובייסקי</w:t>
      </w:r>
      <w:proofErr w:type="spellEnd"/>
      <w:r>
        <w:rPr>
          <w:rtl/>
        </w:rPr>
        <w:t xml:space="preserve">]. הביטוי נטבע כדי להנציח את זכרו של המלך הפולני </w:t>
      </w:r>
      <w:proofErr w:type="spellStart"/>
      <w:r>
        <w:rPr>
          <w:rtl/>
        </w:rPr>
        <w:t xml:space="preserve">יאן סובייסקי (שמלך בשנים תל״ד–תנ״ו)</w:t>
      </w:r>
      <w:proofErr w:type="spellEnd"/>
      <w:r>
        <w:rPr>
          <w:rtl/>
        </w:rPr>
        <w:t xml:space="preserve"/>
      </w:r>
      <w:proofErr w:type="spellStart"/>
      <w:r>
        <w:rPr>
          <w:rtl/>
        </w:rPr>
        <w:t xml:space="preserve"/>
      </w:r>
      <w:proofErr w:type="spellEnd"/>
      <w:r>
        <w:rPr>
          <w:rtl/>
        </w:rPr>
        <w:t xml:space="preserve">, שהיטיב עם היהודים: הוא אישר את זכויות היהודים במינסק בשנת תל״ט, ודיכא פוגרום </w:t>
      </w:r>
      <w:proofErr w:type="spellStart"/>
      <w:r>
        <w:rPr>
          <w:rtl/>
        </w:rPr>
        <w:t>בבריסק</w:t>
      </w:r>
      <w:proofErr w:type="spellEnd"/>
      <w:r>
        <w:rPr>
          <w:rtl/>
        </w:rPr>
        <w:t xml:space="preserve"> ארבע שנים לאחר מכן. הוא גם הורה לסיים, הפרלמנט הפולני, לערער על עלילות הדם, שהועלו תדיר, ולהיאבק בהן באופן פעיל.</w:t>
      </w:r>
    </w:p>
    <w:p w14:paraId="5513BE4A" w14:textId="58A8835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חלוקת פולין בין פרוסיה, אוסטריה ורוסיה בשנת תקנ״ג</w:t>
      </w:r>
      <w:bookmarkStart w:id="716" w:name="_fnr437"/>
      <w:bookmarkEnd w:id="716"/>
      <w:r>
        <w:rPr>
          <w:rStyle w:val="a5"/>
        </w:rPr>
        <w:t/>
      </w:r>
      <w:bookmarkStart w:id="6994" w:name="_TranslatorNote_443"/>
      <w:r>
        <w:rPr>
          <w:rStyle w:val="a5"/>
          <w:vertAlign w:val="superscript"/>
          <w:rtl/>
        </w:rPr>
        <w:footnoteReference w:id="443" w:customMarkFollows="1"/>
        <w:t>*</w:t>
      </w:r>
      <w:bookmarkEnd w:id="6994"/>
      <w:r>
        <w:rPr>
          <w:rtl/>
        </w:rPr>
        <w:t xml:space="preserve"> נפלה מינסק, יחד עם כל בלארוס, תחת שלטון הצאר, והוכרזה עיר בירה של פלך. מפקד שנערך כעבור מאה שנה הראה ש־300,000 מתוך כמעט חמישה מיליון היהודים שבגבולות רוסיה ישבו באותו פלך.</w:t>
      </w:r>
      <w:bookmarkStart w:id="717" w:name="b2_ref3"/>
      <w:bookmarkEnd w:id="717"/>
      <w:r>
        <w:rPr>
          <w:vertAlign w:val="superscript"/>
          <w:rtl/>
        </w:rPr>
        <w:fldChar w:fldCharType="begin" w:dirty="true"/>
      </w:r>
      <w:r>
        <w:rPr>
          <w:vertAlign w:val="superscript"/>
          <w:rtl/>
        </w:rPr>
        <w:instrText xml:space="preserve"> REF b2_note3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אוכלוסיית העיר זינקה בשנות </w:t>
      </w:r>
      <w:proofErr w:type="spellStart"/>
      <w:r>
        <w:rPr>
          <w:rtl/>
        </w:rPr>
        <w:t xml:space="preserve">התר״ל</w:t>
      </w:r>
      <w:proofErr w:type="spellEnd"/>
      <w:r>
        <w:rPr>
          <w:rtl/>
        </w:rPr>
        <w:t xml:space="preserve">, כשהופעת מסילת הברזל הפכה את מינסק למרכז תעשייה ולצומת של מסחר ארצי ובינלאומי. בשעה שהגיע לשם רבנו, מנתה האוכלוסייה היהודית</w:t>
      </w:r>
      <w:bookmarkStart w:id="718" w:name="b2_ref4"/>
      <w:bookmarkEnd w:id="718"/>
      <w:r>
        <w:rPr>
          <w:vertAlign w:val="superscript"/>
          <w:rtl/>
        </w:rPr>
        <w:fldChar w:fldCharType="begin" w:dirty="true"/>
      </w:r>
      <w:r>
        <w:rPr>
          <w:vertAlign w:val="superscript"/>
          <w:rtl/>
        </w:rPr>
        <w:instrText xml:space="preserve"> REF b2_note4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של העיר</w:t>
      </w:r>
      <w:bookmarkStart w:id="719" w:name="b2_ref5"/>
      <w:bookmarkEnd w:id="719"/>
      <w:r>
        <w:rPr>
          <w:vertAlign w:val="superscript"/>
          <w:rtl/>
        </w:rPr>
        <w:fldChar w:fldCharType="begin" w:dirty="true"/>
      </w:r>
      <w:r>
        <w:rPr>
          <w:vertAlign w:val="superscript"/>
          <w:rtl/>
        </w:rPr>
        <w:instrText xml:space="preserve"> REF b2_note5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יותר ממחצית 102,000 תושביה.</w:t>
      </w:r>
      <w:bookmarkStart w:id="720" w:name="b2_ref6"/>
      <w:bookmarkEnd w:id="720"/>
      <w:r>
        <w:rPr>
          <w:vertAlign w:val="superscript"/>
          <w:rtl/>
        </w:rPr>
        <w:fldChar w:fldCharType="begin" w:dirty="true"/>
      </w:r>
      <w:r>
        <w:rPr>
          <w:vertAlign w:val="superscript"/>
          <w:rtl/>
        </w:rPr>
        <w:instrText xml:space="preserve"> REF b2_note6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721" w:name="b2_note3"/>
    <w:p w14:paraId="717807F4" w14:textId="77777777" w:rsidR="00AB3647" w:rsidRDefault="00000000" w:rsidP="007923E9">
      <w:pPr>
        <w:spacing w:before="120" w:after="100" w:line="276" w:lineRule="auto"/>
        <w:jc w:val="both"/>
      </w:pPr>
      <w:r>
        <w:fldChar w:fldCharType="begin" w:dirty="true"/>
      </w:r>
      <w:r>
        <w:instrText>HYPERLINK \l "b2_ref3"</w:instrText>
      </w:r>
      <w:r>
        <w:fldChar w:fldCharType="separate"/>
      </w:r>
      <w:r>
        <w:rPr>
          <w:b/>
          <w:bCs/>
          <w:rtl/>
        </w:rPr>
        <w:t>3</w:t>
      </w:r>
      <w:r>
        <w:rPr>
          <w:b/>
          <w:bCs/>
        </w:rPr>
        <w:fldChar w:fldCharType="end"/>
      </w:r>
      <w:bookmarkEnd w:id="721"/>
      <w:r>
        <w:rPr>
          <w:rtl/>
        </w:rPr>
        <w:t xml:space="preserve"> האוכלוסייה התחלקה מבחינה אתנית כך: 60% </w:t>
      </w:r>
      <w:proofErr w:type="spellStart"/>
      <w:r>
        <w:rPr>
          <w:rtl/>
        </w:rPr>
        <w:t>בלארוסים</w:t>
      </w:r>
      <w:proofErr w:type="spellEnd"/>
      <w:r>
        <w:rPr>
          <w:rtl/>
        </w:rPr>
        <w:t xml:space="preserve">, 20% פולנים, 18% יהודים, 2% אחרים, ובהם </w:t>
      </w:r>
      <w:proofErr w:type="spellStart"/>
      <w:r>
        <w:rPr>
          <w:rtl/>
        </w:rPr>
        <w:t>הטטרים</w:t>
      </w:r>
      <w:proofErr w:type="spellEnd"/>
      <w:r>
        <w:rPr>
          <w:rtl/>
        </w:rPr>
        <w:t xml:space="preserve"> המוסלמים.</w:t>
      </w:r>
      <w:bookmarkStart w:id="722" w:name="_fnr444"/>
      <w:r>
        <w:rPr>
          <w:rStyle w:val="a5"/>
        </w:rPr>
        <w:footnoteReference w:id="444" w:customMarkFollows="0"/>
      </w:r>
      <w:bookmarkEnd w:id="722"/>
    </w:p>
    <w:bookmarkStart w:id="723" w:name="b2_note4"/>
    <w:p w14:paraId="24D60B23" w14:textId="77777777" w:rsidR="00AB3647" w:rsidRDefault="00000000" w:rsidP="007923E9">
      <w:pPr>
        <w:spacing w:before="120" w:after="100" w:line="276" w:lineRule="auto"/>
        <w:jc w:val="both"/>
      </w:pPr>
      <w:r>
        <w:fldChar w:fldCharType="begin" w:dirty="true"/>
      </w:r>
      <w:r>
        <w:instrText>HYPERLINK \l "b2_ref4"</w:instrText>
      </w:r>
      <w:r>
        <w:fldChar w:fldCharType="separate"/>
      </w:r>
      <w:r>
        <w:rPr>
          <w:b/>
          <w:bCs/>
          <w:rtl/>
        </w:rPr>
        <w:t>4</w:t>
      </w:r>
      <w:r>
        <w:rPr>
          <w:b/>
          <w:bCs/>
        </w:rPr>
        <w:fldChar w:fldCharType="end"/>
      </w:r>
      <w:bookmarkEnd w:id="723"/>
      <w:r>
        <w:rPr>
          <w:rtl/>
        </w:rPr>
        <w:t xml:space="preserve"> בניית רשת מסילות הברזל סביב מינסק החריבה את </w:t>
      </w:r>
      <w:proofErr w:type="spellStart"/>
      <w:r>
        <w:rPr>
          <w:rtl/>
        </w:rPr>
        <w:t>פרנסותיהם</w:t>
      </w:r>
      <w:proofErr w:type="spellEnd"/>
      <w:r>
        <w:rPr>
          <w:rtl/>
        </w:rPr>
        <w:t xml:space="preserve"> המסורתיות של היהודים, החזקת אכסניות ועגלונות. אבל יהודים אמידים השקיעו הון רב בהנחת המסילות וגרפו רווחים עצומים. הבדחן המפורסם והמשורר העממי </w:t>
      </w:r>
      <w:proofErr w:type="spellStart"/>
      <w:r>
        <w:rPr>
          <w:rtl/>
        </w:rPr>
        <w:t>אליקום</w:t>
      </w:r>
      <w:proofErr w:type="spellEnd"/>
      <w:r>
        <w:rPr>
          <w:rtl/>
        </w:rPr>
        <w:t xml:space="preserve"> </w:t>
      </w:r>
      <w:proofErr w:type="spellStart"/>
      <w:r>
        <w:rPr>
          <w:rtl/>
        </w:rPr>
        <w:t>צונזער</w:t>
      </w:r>
      <w:proofErr w:type="spellEnd"/>
      <w:r>
        <w:rPr>
          <w:rtl/>
        </w:rPr>
        <w:t xml:space="preserve"> (נולד תקצ״ו) חיבר שיר המברך </w:t>
      </w:r>
      <w:r>
        <w:rPr>
          <w:rtl/>
        </w:rPr>
        <w:lastRenderedPageBreak/>
        <w:t>על מזלם הטוב של העשירים החדשים, אילי מסילות הברזל, שהסתירו את כספם מעיני הציבור – ומצרכיו – עד שנקרתה להם הזדמנות ההשקעה במסילה. וכך כתב:</w:t>
      </w:r>
      <w:bookmarkStart w:id="724" w:name="_fnr445"/>
      <w:r>
        <w:rPr>
          <w:rStyle w:val="a5"/>
        </w:rPr>
        <w:footnoteReference w:id="445" w:customMarkFollows="0"/>
      </w:r>
      <w:bookmarkEnd w:id="724"/>
    </w:p>
    <w:p w14:paraId="4275FBFB" w14:textId="77777777" w:rsidR="00AB3647" w:rsidRDefault="00000000" w:rsidP="007923E9">
      <w:pPr>
        <w:pStyle w:val="af1"/>
        <w:spacing w:line="276" w:lineRule="auto"/>
      </w:pPr>
      <w:r>
        <w:t>נרדמה הבירה שינה ארוכה וקשה –</w:t>
      </w:r>
    </w:p>
    <w:p w14:paraId="4350A3DA" w14:textId="77777777" w:rsidR="00AB3647" w:rsidRDefault="00000000" w:rsidP="007923E9">
      <w:pPr>
        <w:pStyle w:val="af1"/>
        <w:spacing w:line="276" w:lineRule="auto"/>
      </w:pPr>
      <w:r>
        <w:t>איש על תריסיה לא נקש;</w:t>
      </w:r>
    </w:p>
    <w:p w14:paraId="07AAA99B" w14:textId="77777777" w:rsidR="00AB3647" w:rsidRDefault="00000000" w:rsidP="007923E9">
      <w:pPr>
        <w:pStyle w:val="af1"/>
        <w:spacing w:line="276" w:lineRule="auto"/>
      </w:pPr>
      <w:r>
        <w:t>ומשריקת הקטר הרועשת</w:t>
      </w:r>
    </w:p>
    <w:p w14:paraId="393956C2" w14:textId="77777777" w:rsidR="00AB3647" w:rsidRDefault="00000000" w:rsidP="007923E9">
      <w:pPr>
        <w:pStyle w:val="af1"/>
        <w:spacing w:line="276" w:lineRule="auto"/>
      </w:pPr>
      <w:r>
        <w:t>התעוררה מינסק לפתע בבהלה.</w:t>
      </w:r>
    </w:p>
    <w:p w14:paraId="67C213D6" w14:textId="77777777" w:rsidR="00AB3647" w:rsidRDefault="00000000" w:rsidP="007923E9">
      <w:pPr>
        <w:spacing w:after="100" w:line="276" w:lineRule="auto"/>
        <w:ind w:firstLine="340"/>
        <w:jc w:val="both"/>
      </w:pPr>
      <w:r>
        <w:rPr>
          <w:rtl/>
        </w:rPr>
        <w:t xml:space="preserve">יעניין אולי את הקורא שבאוטוביוגרפיה שלו, הכלולה </w:t>
      </w:r>
      <w:proofErr w:type="spellStart"/>
      <w:r>
        <w:rPr>
          <w:rtl/>
        </w:rPr>
        <w:t>ב“אליקום</w:t>
      </w:r>
      <w:proofErr w:type="spellEnd"/>
      <w:r>
        <w:rPr>
          <w:rtl/>
        </w:rPr>
        <w:t xml:space="preserve"> </w:t>
      </w:r>
      <w:proofErr w:type="spellStart"/>
      <w:r>
        <w:rPr>
          <w:rtl/>
        </w:rPr>
        <w:t>צונזערס</w:t>
      </w:r>
      <w:proofErr w:type="spellEnd"/>
      <w:r>
        <w:rPr>
          <w:rtl/>
        </w:rPr>
        <w:t xml:space="preserve"> </w:t>
      </w:r>
      <w:proofErr w:type="spellStart"/>
      <w:r>
        <w:rPr>
          <w:rtl/>
        </w:rPr>
        <w:t>ווערק</w:t>
      </w:r>
      <w:proofErr w:type="spellEnd"/>
      <w:r>
        <w:rPr>
          <w:rtl/>
        </w:rPr>
        <w:t xml:space="preserve">, </w:t>
      </w:r>
      <w:proofErr w:type="spellStart"/>
      <w:r>
        <w:rPr>
          <w:rtl/>
        </w:rPr>
        <w:t>באנד</w:t>
      </w:r>
      <w:proofErr w:type="spellEnd"/>
      <w:r>
        <w:rPr>
          <w:rtl/>
        </w:rPr>
        <w:t xml:space="preserve"> צווי”,</w:t>
      </w:r>
      <w:bookmarkStart w:id="725" w:name="_fnr446"/>
      <w:r>
        <w:rPr>
          <w:rStyle w:val="a5"/>
        </w:rPr>
        <w:footnoteReference w:id="446" w:customMarkFollows="0"/>
      </w:r>
      <w:bookmarkEnd w:id="725"/>
      <w:r>
        <w:rPr>
          <w:rtl/>
        </w:rPr>
        <w:t xml:space="preserve"> מספר </w:t>
      </w:r>
      <w:proofErr w:type="spellStart"/>
      <w:r>
        <w:rPr>
          <w:rtl/>
        </w:rPr>
        <w:t>צונזער</w:t>
      </w:r>
      <w:proofErr w:type="spellEnd"/>
      <w:r>
        <w:rPr>
          <w:rtl/>
        </w:rPr>
        <w:t xml:space="preserve"> שכאשר מתו שלושת ילדיו הרכים בווילנה במגפת הכולרה של תרל״א, ציווה עליו ר׳ ישראל </w:t>
      </w:r>
      <w:proofErr w:type="spellStart"/>
      <w:r>
        <w:rPr>
          <w:rtl/>
        </w:rPr>
        <w:t>סלנטר</w:t>
      </w:r>
      <w:proofErr w:type="spellEnd"/>
      <w:r>
        <w:rPr>
          <w:rtl/>
        </w:rPr>
        <w:t xml:space="preserve"> לעזוב את העיר מיד.</w:t>
      </w:r>
      <w:bookmarkStart w:id="726" w:name="_fnr447"/>
      <w:r>
        <w:rPr>
          <w:rStyle w:val="a5"/>
        </w:rPr>
        <w:footnoteReference w:id="447" w:customMarkFollows="0"/>
      </w:r>
      <w:bookmarkEnd w:id="726"/>
      <w:r>
        <w:rPr>
          <w:rtl/>
        </w:rPr>
        <w:t xml:space="preserve"> אז עבר למינסק, והיה לאחת מדמויותיה של העיר. אחרי שהפסיד את כספו בעסק, היגר לאמריקה </w:t>
      </w:r>
      <w:proofErr w:type="spellStart"/>
      <w:r>
        <w:rPr>
          <w:rtl/>
        </w:rPr>
        <w:t>בתרנ״ט</w:t>
      </w:r>
      <w:bookmarkStart w:id="727" w:name="_fnr448"/>
      <w:bookmarkEnd w:id="727"/>
      <w:proofErr w:type="spellEnd"/>
      <w:r>
        <w:rPr>
          <w:rStyle w:val="a5"/>
        </w:rPr>
        <w:t/>
      </w:r>
      <w:bookmarkStart w:id="6995" w:name="_TranslatorNote_448"/>
      <w:r>
        <w:rPr>
          <w:rStyle w:val="a5"/>
          <w:vertAlign w:val="superscript"/>
          <w:rtl/>
        </w:rPr>
        <w:footnoteReference w:id="448" w:customMarkFollows="1"/>
        <w:t>*</w:t>
      </w:r>
      <w:bookmarkEnd w:id="6995"/>
      <w:r>
        <w:rPr>
          <w:rtl/>
        </w:rPr>
        <w:t xml:space="preserve"> ומת שם </w:t>
      </w:r>
      <w:proofErr w:type="spellStart"/>
      <w:r>
        <w:rPr>
          <w:rtl/>
        </w:rPr>
        <w:t>בתרע״ג</w:t>
      </w:r>
      <w:proofErr w:type="spellEnd"/>
      <w:r>
        <w:rPr>
          <w:rtl/>
        </w:rPr>
        <w:t>.</w:t>
      </w:r>
    </w:p>
    <w:p w14:paraId="1B7FDDE6" w14:textId="77777777" w:rsidR="00AB3647" w:rsidRDefault="00000000" w:rsidP="007923E9">
      <w:pPr>
        <w:spacing w:after="100" w:line="276" w:lineRule="auto"/>
        <w:ind w:firstLine="340"/>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w:t>
      </w:r>
      <w:proofErr w:type="spellStart"/>
      <w:r>
        <w:rPr>
          <w:rtl/>
        </w:rPr>
        <w:t>מוואלוז׳ין</w:t>
      </w:r>
      <w:proofErr w:type="spellEnd"/>
      <w:r>
        <w:rPr>
          <w:rtl/>
        </w:rPr>
        <w:t xml:space="preserve"> עד ירושלים]</w:t>
      </w:r>
      <w:bookmarkStart w:id="728" w:name="_fnr449"/>
      <w:r>
        <w:rPr>
          <w:rStyle w:val="a5"/>
        </w:rPr>
        <w:footnoteReference w:id="449" w:customMarkFollows="0"/>
      </w:r>
      <w:bookmarkEnd w:id="728"/>
      <w:r>
        <w:rPr>
          <w:rtl/>
        </w:rPr>
        <w:t xml:space="preserve"> מספר שבשנים הראשונות של חדירת מסילת הברזל לחברה היהודית השלווה, היה סבו של מחבר הספר, ר׳ </w:t>
      </w:r>
      <w:proofErr w:type="spellStart"/>
      <w:r>
        <w:rPr>
          <w:rtl/>
        </w:rPr>
        <w:t>יחיאל־מיכל</w:t>
      </w:r>
      <w:proofErr w:type="spellEnd"/>
      <w:r>
        <w:rPr>
          <w:rtl/>
        </w:rPr>
        <w:t xml:space="preserve"> אפשטיין, בעל “ערוך השולחן”, אומר כשראה את הקטר מתקרב: “הנה בא האפיקורס”. הוא הבין שהניידות שמעניקה הנסיעה ברכבת תערער את אורח החיים והמנהגים בני מאות השנים של העיירות היהודיות. מן הסתם אמר זאת בשנים תרכ״ה–תרל״ד, כשכיהן כרב בעיר הגדולה </w:t>
      </w:r>
      <w:proofErr w:type="spellStart"/>
      <w:r>
        <w:rPr>
          <w:rtl/>
        </w:rPr>
        <w:t>נובוזיבקוב</w:t>
      </w:r>
      <w:proofErr w:type="spellEnd"/>
      <w:r>
        <w:rPr>
          <w:rtl/>
        </w:rPr>
        <w:t>, שדרכה עברה מסילת מוסקבה–מינסק–ורשה</w:t>
      </w:r>
      <w:bookmarkStart w:id="729" w:name="_fnr450"/>
      <w:bookmarkEnd w:id="729"/>
      <w:r>
        <w:rPr>
          <w:rStyle w:val="a5"/>
        </w:rPr>
        <w:t/>
      </w:r>
      <w:bookmarkStart w:id="6996" w:name="_TranslatorNote_5369"/>
      <w:r>
        <w:rPr>
          <w:rStyle w:val="a5"/>
          <w:vertAlign w:val="superscript"/>
          <w:rtl/>
        </w:rPr>
        <w:footnoteReference w:id="450" w:customMarkFollows="1"/>
        <w:t>*</w:t>
      </w:r>
      <w:bookmarkEnd w:id="6996"/>
      <w:r>
        <w:rPr>
          <w:rtl/>
        </w:rPr>
        <w:t xml:space="preserve">. </w:t>
      </w:r>
      <w:proofErr w:type="spellStart"/>
      <w:r>
        <w:rPr>
          <w:rtl/>
        </w:rPr>
        <w:t>בנובהרדוק</w:t>
      </w:r>
      <w:proofErr w:type="spellEnd"/>
      <w:r>
        <w:rPr>
          <w:rtl/>
        </w:rPr>
        <w:t xml:space="preserve">, שבה כיהן שלושים וארבע השנים הבאות ושעמה נקשר שמו – בהיסטוריה הוא ידוע </w:t>
      </w:r>
      <w:proofErr w:type="spellStart"/>
      <w:r>
        <w:rPr>
          <w:rtl/>
        </w:rPr>
        <w:t>כ“רב</w:t>
      </w:r>
      <w:proofErr w:type="spellEnd"/>
      <w:r>
        <w:rPr>
          <w:rtl/>
        </w:rPr>
        <w:t xml:space="preserve"> </w:t>
      </w:r>
      <w:proofErr w:type="spellStart"/>
      <w:r>
        <w:rPr>
          <w:rtl/>
        </w:rPr>
        <w:t>מנובהרדוק</w:t>
      </w:r>
      <w:proofErr w:type="spellEnd"/>
      <w:r>
        <w:rPr>
          <w:rtl/>
        </w:rPr>
        <w:t>” – לא הייתה תחנת רכבת.</w:t>
      </w:r>
      <w:bookmarkStart w:id="730" w:name="_fnr451"/>
      <w:r>
        <w:rPr>
          <w:rStyle w:val="a5"/>
        </w:rPr>
        <w:footnoteReference w:id="451" w:customMarkFollows="0"/>
      </w:r>
      <w:bookmarkEnd w:id="730"/>
    </w:p>
    <w:p w14:paraId="13707C47" w14:textId="77777777" w:rsidR="00AB3647" w:rsidRDefault="00000000" w:rsidP="007923E9">
      <w:pPr>
        <w:spacing w:after="100" w:line="276" w:lineRule="auto"/>
        <w:ind w:firstLine="340"/>
        <w:jc w:val="both"/>
      </w:pPr>
      <w:r>
        <w:rPr>
          <w:rtl/>
        </w:rPr>
        <w:t>לפי “</w:t>
      </w:r>
      <w:proofErr w:type="spellStart"/>
      <w:r>
        <w:rPr>
          <w:rtl/>
        </w:rPr>
        <w:t>זכרון</w:t>
      </w:r>
      <w:proofErr w:type="spellEnd"/>
      <w:r>
        <w:rPr>
          <w:rtl/>
        </w:rPr>
        <w:t xml:space="preserve"> יעקב”,</w:t>
      </w:r>
      <w:bookmarkStart w:id="731" w:name="_fnr452"/>
      <w:r>
        <w:rPr>
          <w:rStyle w:val="a5"/>
        </w:rPr>
        <w:footnoteReference w:id="452" w:customMarkFollows="0"/>
      </w:r>
      <w:bookmarkEnd w:id="731"/>
      <w:r>
        <w:rPr>
          <w:rtl/>
        </w:rPr>
        <w:t xml:space="preserve"> הכביש הראשון לכרכרות ולעגלות, </w:t>
      </w:r>
      <w:proofErr w:type="spellStart"/>
      <w:r>
        <w:rPr>
          <w:rtl/>
        </w:rPr>
        <w:t>מסנקט</w:t>
      </w:r>
      <w:proofErr w:type="spellEnd"/>
      <w:r>
        <w:rPr>
          <w:rtl/>
        </w:rPr>
        <w:t xml:space="preserve"> פטרבורג לוורשה, נסלל בימי הצאר ניקולאי הראשון, בשנת ת״ר; הוא עבר דרך </w:t>
      </w:r>
      <w:proofErr w:type="spellStart"/>
      <w:r>
        <w:rPr>
          <w:rtl/>
        </w:rPr>
        <w:t>וילקומיר</w:t>
      </w:r>
      <w:proofErr w:type="spellEnd"/>
      <w:r>
        <w:rPr>
          <w:rtl/>
        </w:rPr>
        <w:t xml:space="preserve"> וקובנה, ולא דרך וילנה. אבל מסילת הברזל הראשונה – אף היא </w:t>
      </w:r>
      <w:proofErr w:type="spellStart"/>
      <w:r>
        <w:rPr>
          <w:rtl/>
        </w:rPr>
        <w:t>מסנקט</w:t>
      </w:r>
      <w:proofErr w:type="spellEnd"/>
      <w:r>
        <w:rPr>
          <w:rtl/>
        </w:rPr>
        <w:t xml:space="preserve"> פטרבורג לוורשה – לא נבנתה עד שנת תר״כ. “</w:t>
      </w:r>
      <w:proofErr w:type="spellStart"/>
      <w:r>
        <w:rPr>
          <w:rtl/>
        </w:rPr>
        <w:t>זכרון</w:t>
      </w:r>
      <w:proofErr w:type="spellEnd"/>
      <w:r>
        <w:rPr>
          <w:rtl/>
        </w:rPr>
        <w:t xml:space="preserve"> יעקב”</w:t>
      </w:r>
      <w:bookmarkStart w:id="732" w:name="_fnr453"/>
      <w:r>
        <w:rPr>
          <w:rStyle w:val="a5"/>
        </w:rPr>
        <w:footnoteReference w:id="453" w:customMarkFollows="0"/>
      </w:r>
      <w:bookmarkEnd w:id="732"/>
      <w:r>
        <w:rPr>
          <w:rtl/>
        </w:rPr>
        <w:t xml:space="preserve"> מציין גם שפיתוחה המלא של המדינה “במסילות ברזל, בטלגרף ובחשמל” נעשה אחרי תרנ״ד, בימי הצאר ניקולאי השני, אבל “עם כל זה, כל הסופרים מתארים פה אחד את כל האוכלוסייה הרוסית כאסירים הכלואים בבית סוהר גדול, אפל ואכזרי”.</w:t>
      </w:r>
    </w:p>
    <w:p w14:paraId="5D5C5A5A" w14:textId="77777777" w:rsidR="00AB3647" w:rsidRDefault="00000000" w:rsidP="007923E9">
      <w:pPr>
        <w:spacing w:after="100" w:line="276" w:lineRule="auto"/>
        <w:ind w:firstLine="340"/>
        <w:jc w:val="both"/>
      </w:pPr>
      <w:r>
        <w:rPr>
          <w:rtl/>
        </w:rPr>
        <w:t xml:space="preserve">ועוד הוא מוסיף: “קל להבין עד כמה נורא היה בית הסוהר הכללי הזה פי מאה בימי ניקולאי הראשון, ואז פי מאות רבות לעם אומלל, אומת ישראל. ברוסיה ידעו להשתמש </w:t>
      </w:r>
      <w:r>
        <w:rPr>
          <w:rtl/>
        </w:rPr>
        <w:lastRenderedPageBreak/>
        <w:t>בהמצאות האירופיות החדשות רק למטרות עריצות, לחזק את כוח המאסר הכללי בכוחם של הטלגרף, הטלפון, החשמל וכיוצא בהם.” דוגמה לתנאי בית הסוהר מביא שם:</w:t>
      </w:r>
      <w:bookmarkStart w:id="733" w:name="_fnr454"/>
      <w:r>
        <w:rPr>
          <w:rStyle w:val="a5"/>
        </w:rPr>
        <w:footnoteReference w:id="454" w:customMarkFollows="0"/>
      </w:r>
      <w:bookmarkEnd w:id="733"/>
      <w:r>
        <w:rPr>
          <w:rtl/>
        </w:rPr>
        <w:t xml:space="preserve"> עשרה אנשים לא יכלו לשלוח עצומה אחת לבירה, משום שהדבר היה מעיד שהתכנסו יחד, והתקהלות כזו הייתה אסורה בלי היתר מיוחד מראש.</w:t>
      </w:r>
    </w:p>
    <w:bookmarkStart w:id="734" w:name="b2_note5"/>
    <w:p w14:paraId="3B030F21" w14:textId="77777777" w:rsidR="00AB3647" w:rsidRDefault="00000000" w:rsidP="007923E9">
      <w:pPr>
        <w:spacing w:before="120" w:after="100" w:line="276" w:lineRule="auto"/>
        <w:jc w:val="both"/>
      </w:pPr>
      <w:r>
        <w:fldChar w:fldCharType="begin" w:dirty="true"/>
      </w:r>
      <w:r>
        <w:instrText>HYPERLINK \l "b2_ref5"</w:instrText>
      </w:r>
      <w:r>
        <w:fldChar w:fldCharType="separate"/>
      </w:r>
      <w:r>
        <w:rPr>
          <w:b/>
          <w:bCs/>
          <w:rtl/>
        </w:rPr>
        <w:t>5</w:t>
      </w:r>
      <w:r>
        <w:rPr>
          <w:b/>
          <w:bCs/>
        </w:rPr>
        <w:fldChar w:fldCharType="end"/>
      </w:r>
      <w:bookmarkEnd w:id="734"/>
      <w:r>
        <w:rPr>
          <w:rtl/>
        </w:rPr>
        <w:t xml:space="preserve"> אף שבמינסק היו רק 53,000 יהודים ובווילנה 70,000, הייתה וילנה עיר יהודית </w:t>
      </w:r>
      <w:r>
        <w:rPr>
          <w:b/>
          <w:bCs/>
          <w:rtl/>
        </w:rPr>
        <w:t>פחות</w:t>
      </w:r>
      <w:r>
        <w:rPr>
          <w:rtl/>
        </w:rPr>
        <w:t xml:space="preserve"> ממינסק מבחינת הרכב אוכלוסייתה, שכן רוב אוכלוסיית מינסק היה יהודי, ואילו יהודי וילנה היו מיעוט, קצת יותר מ־40% מאוכלוסייתה.</w:t>
      </w:r>
      <w:bookmarkStart w:id="735" w:name="_fnr455"/>
      <w:r>
        <w:rPr>
          <w:rStyle w:val="a5"/>
        </w:rPr>
        <w:footnoteReference w:id="455" w:customMarkFollows="0"/>
      </w:r>
      <w:bookmarkEnd w:id="735"/>
      <w:r>
        <w:rPr>
          <w:rtl/>
        </w:rPr>
        <w:t xml:space="preserve"> אנציקלופדיה יודאיקה</w:t>
      </w:r>
      <w:bookmarkStart w:id="736" w:name="_fnr456"/>
      <w:r>
        <w:rPr>
          <w:rStyle w:val="a5"/>
        </w:rPr>
        <w:footnoteReference w:id="456" w:customMarkFollows="0"/>
      </w:r>
      <w:bookmarkEnd w:id="736"/>
      <w:r>
        <w:rPr>
          <w:rtl/>
        </w:rPr>
        <w:t xml:space="preserve"> מונה את מינסק כקהילה היהודית השישית בגודלה בעולם בשנת 1897 (תרנ״ז) – אחרי ורשה, אודסה, </w:t>
      </w:r>
      <w:proofErr w:type="spellStart"/>
      <w:r>
        <w:rPr>
          <w:rtl/>
        </w:rPr>
        <w:t>לודז</w:t>
      </w:r>
      <w:proofErr w:type="spellEnd"/>
      <w:r>
        <w:rPr>
          <w:rtl/>
        </w:rPr>
        <w:t>׳, וילנה וקישינב. מחצית יהודי העולם ישבו אז ברוסיה.</w:t>
      </w:r>
    </w:p>
    <w:bookmarkStart w:id="737" w:name="b2_note6"/>
    <w:p w14:paraId="7F68360F" w14:textId="77777777" w:rsidR="00AB3647" w:rsidRDefault="00000000" w:rsidP="007923E9">
      <w:pPr>
        <w:spacing w:before="120" w:after="100" w:line="276" w:lineRule="auto"/>
        <w:jc w:val="both"/>
      </w:pPr>
      <w:r>
        <w:fldChar w:fldCharType="begin" w:dirty="true"/>
      </w:r>
      <w:r>
        <w:instrText>HYPERLINK \l "b2_ref6"</w:instrText>
      </w:r>
      <w:r>
        <w:fldChar w:fldCharType="separate"/>
      </w:r>
      <w:r>
        <w:rPr>
          <w:b/>
          <w:bCs/>
          <w:rtl/>
        </w:rPr>
        <w:t>6</w:t>
      </w:r>
      <w:r>
        <w:rPr>
          <w:b/>
          <w:bCs/>
        </w:rPr>
        <w:fldChar w:fldCharType="end"/>
      </w:r>
      <w:bookmarkEnd w:id="737"/>
      <w:r>
        <w:rPr>
          <w:rtl/>
        </w:rPr>
        <w:t xml:space="preserve"> המהפכה הכושלת של 1905, שהיו מעורבים בה יהודים רבים, גרמה לרבים מן המשתתפים ומן האוהדים לברוח מן העיר או להגר לגמרי. עד מלחמת העולם הראשונה ירדה האוכלוסייה היהודית של מינסק ל־45,000 מתוך 105,000 תושבים בסך הכול.</w:t>
      </w:r>
      <w:bookmarkStart w:id="738" w:name="_fnr457"/>
      <w:r>
        <w:rPr>
          <w:rStyle w:val="a5"/>
        </w:rPr>
        <w:footnoteReference w:id="457" w:customMarkFollows="0"/>
      </w:r>
      <w:bookmarkEnd w:id="738"/>
    </w:p>
    <w:p w14:paraId="5BEECBD1" w14:textId="0566D35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מינסק נודעה כעיר של תורה וגמילות חסדים. בשנות </w:t>
      </w:r>
      <w:proofErr w:type="spellStart"/>
      <w:r>
        <w:rPr>
          <w:rtl/>
        </w:rPr>
        <w:t>הת״ס</w:t>
      </w:r>
      <w:proofErr w:type="spellEnd"/>
      <w:r>
        <w:rPr>
          <w:rtl/>
        </w:rPr>
        <w:t xml:space="preserve"> היה רבה ר׳ לייב בעל התוספות, שכונה כך בשל בקיאותו המופלגת בכל התוספות שבש״ס. אחריו בא ר׳ יחיאל </w:t>
      </w:r>
      <w:proofErr w:type="spellStart"/>
      <w:r>
        <w:rPr>
          <w:rtl/>
        </w:rPr>
        <w:t>היילפרין</w:t>
      </w:r>
      <w:proofErr w:type="spellEnd"/>
      <w:r>
        <w:rPr>
          <w:rtl/>
        </w:rPr>
        <w:t xml:space="preserve"> הנערץ,</w:t>
      </w:r>
      <w:bookmarkStart w:id="739" w:name="b2_ref7"/>
      <w:bookmarkEnd w:id="739"/>
      <w:r>
        <w:rPr>
          <w:vertAlign w:val="superscript"/>
          <w:rtl/>
        </w:rPr>
        <w:fldChar w:fldCharType="begin" w:dirty="true"/>
      </w:r>
      <w:r>
        <w:rPr>
          <w:vertAlign w:val="superscript"/>
          <w:rtl/>
        </w:rPr>
        <w:instrText xml:space="preserve"> REF b2_note7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מחבר החיבור ההיסטורי האנציקלופדי “סדר הדורות”,</w:t>
      </w:r>
      <w:bookmarkStart w:id="740" w:name="b2_ref8"/>
      <w:bookmarkEnd w:id="740"/>
      <w:r>
        <w:rPr>
          <w:vertAlign w:val="superscript"/>
          <w:rtl/>
        </w:rPr>
        <w:fldChar w:fldCharType="begin" w:dirty="true"/>
      </w:r>
      <w:r>
        <w:rPr>
          <w:vertAlign w:val="superscript"/>
          <w:rtl/>
        </w:rPr>
        <w:instrText xml:space="preserve"> REF b2_note8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שכיהן ברבנות שלושים וחמש שנה.</w:t>
      </w:r>
    </w:p>
    <w:bookmarkStart w:id="741" w:name="b2_note7"/>
    <w:p w14:paraId="730E0031" w14:textId="77777777" w:rsidR="00AB3647" w:rsidRDefault="00000000" w:rsidP="007923E9">
      <w:pPr>
        <w:spacing w:before="120" w:after="100" w:line="276" w:lineRule="auto"/>
        <w:jc w:val="both"/>
      </w:pPr>
      <w:r>
        <w:fldChar w:fldCharType="begin" w:dirty="true"/>
      </w:r>
      <w:r>
        <w:instrText>HYPERLINK \l "b2_ref7"</w:instrText>
      </w:r>
      <w:r>
        <w:fldChar w:fldCharType="separate"/>
      </w:r>
      <w:r>
        <w:rPr>
          <w:b/>
          <w:bCs/>
          <w:rtl/>
        </w:rPr>
        <w:t>7</w:t>
      </w:r>
      <w:r>
        <w:rPr>
          <w:b/>
          <w:bCs/>
        </w:rPr>
        <w:fldChar w:fldCharType="end"/>
      </w:r>
      <w:bookmarkEnd w:id="741"/>
      <w:r>
        <w:rPr>
          <w:rtl/>
        </w:rPr>
        <w:t xml:space="preserve"> הכבוד שרחשו לאיש גדול זה האריך ימים אחריו מאתיים שנה: בכל שנה, ביום היארצייט שלו, יצאה משלחת להתפלל באוהל שעל קברו בבית הקברות הישן.</w:t>
      </w:r>
      <w:bookmarkStart w:id="742" w:name="_fnr458"/>
      <w:r>
        <w:rPr>
          <w:rStyle w:val="a5"/>
        </w:rPr>
        <w:footnoteReference w:id="458" w:customMarkFollows="0"/>
      </w:r>
      <w:bookmarkEnd w:id="742"/>
      <w:r>
        <w:rPr>
          <w:rtl/>
        </w:rPr>
        <w:t xml:space="preserve"> והמופלא מכול: כשהשלטון הסובייטי הכופר החריב את בית הקברות העתיק ובנה במקומו קריה אוניברסיטאית, נשאר האוהל עומד על מקומו, מגודר מסביב.</w:t>
      </w:r>
      <w:bookmarkStart w:id="743" w:name="_fnr459"/>
      <w:r>
        <w:rPr>
          <w:rStyle w:val="a5"/>
        </w:rPr>
        <w:footnoteReference w:id="459" w:customMarkFollows="0"/>
      </w:r>
      <w:bookmarkEnd w:id="743"/>
      <w:r>
        <w:rPr>
          <w:rtl/>
        </w:rPr>
        <w:t xml:space="preserve"> רחל חדש נזכרה</w:t>
      </w:r>
      <w:bookmarkStart w:id="744" w:name="_fnr460"/>
      <w:r>
        <w:rPr>
          <w:rStyle w:val="a5"/>
        </w:rPr>
        <w:footnoteReference w:id="460" w:customMarkFollows="0"/>
      </w:r>
      <w:bookmarkEnd w:id="744"/>
      <w:r>
        <w:rPr>
          <w:rtl/>
        </w:rPr>
        <w:t xml:space="preserve"> שכאשר חולל בית הקברות הישן ושרידי אדם הושלכו בו לכל עבר, השתתפה עם כל הנשים הדתיות הצעירות שבעיר בתפירת שקיקי בד, שבהם נאספו העצמות לקבורה מחדש בבית הקברות החדש.</w:t>
      </w:r>
    </w:p>
    <w:bookmarkStart w:id="745" w:name="b2_note8"/>
    <w:p w14:paraId="7B2A4DE2" w14:textId="77777777" w:rsidR="00AB3647" w:rsidRDefault="00000000" w:rsidP="007923E9">
      <w:pPr>
        <w:spacing w:before="120" w:after="100" w:line="276" w:lineRule="auto"/>
        <w:jc w:val="both"/>
      </w:pPr>
      <w:r>
        <w:fldChar w:fldCharType="begin" w:dirty="true"/>
      </w:r>
      <w:r>
        <w:instrText>HYPERLINK \l "b2_ref8"</w:instrText>
      </w:r>
      <w:r>
        <w:fldChar w:fldCharType="separate"/>
      </w:r>
      <w:r>
        <w:rPr>
          <w:b/>
          <w:bCs/>
          <w:rtl/>
        </w:rPr>
        <w:t>8</w:t>
      </w:r>
      <w:r>
        <w:rPr>
          <w:b/>
          <w:bCs/>
        </w:rPr>
        <w:fldChar w:fldCharType="end"/>
      </w:r>
      <w:bookmarkEnd w:id="745"/>
      <w:r>
        <w:rPr>
          <w:rtl/>
        </w:rPr>
        <w:t xml:space="preserve"> ספר זה הוא תולדות העולם בקיצור מאז הבריאה, ובו פרקים מיוחדים על התנאים והאמוראים, המונים כל חכם הנזכר בש״ס ובמדרשים. הגאון הגדול, הפוסק ומחבר יותר מחמישים ספרים, ר׳ </w:t>
      </w:r>
      <w:proofErr w:type="spellStart"/>
      <w:r>
        <w:rPr>
          <w:rtl/>
        </w:rPr>
        <w:t>חיים־יוסף־דוד</w:t>
      </w:r>
      <w:proofErr w:type="spellEnd"/>
      <w:r>
        <w:rPr>
          <w:rtl/>
        </w:rPr>
        <w:t xml:space="preserve"> אזולאי (</w:t>
      </w:r>
      <w:proofErr w:type="spellStart"/>
      <w:r>
        <w:rPr>
          <w:rtl/>
        </w:rPr>
        <w:t>החיד״א</w:t>
      </w:r>
      <w:proofErr w:type="spellEnd"/>
      <w:r>
        <w:rPr>
          <w:rtl/>
        </w:rPr>
        <w:t xml:space="preserve">; נולד תפ״ד, נפטר תקס״ו), כותב על חיבור זה בחיבורו הביבליוגרפי “שם הגדולים” שהוא “מבהיל את הרעיון”. ר׳ חיים </w:t>
      </w:r>
      <w:proofErr w:type="spellStart"/>
      <w:r>
        <w:rPr>
          <w:rtl/>
        </w:rPr>
        <w:t>ליבשאי</w:t>
      </w:r>
      <w:proofErr w:type="spellEnd"/>
      <w:r>
        <w:rPr>
          <w:rtl/>
        </w:rPr>
        <w:t xml:space="preserve">, </w:t>
      </w:r>
      <w:r>
        <w:rPr>
          <w:rtl/>
        </w:rPr>
        <w:lastRenderedPageBreak/>
        <w:t>יליד מינסק היושב בבני ברק, סיפר</w:t>
      </w:r>
      <w:bookmarkStart w:id="746" w:name="_fnr461"/>
      <w:r>
        <w:rPr>
          <w:rStyle w:val="a5"/>
        </w:rPr>
        <w:footnoteReference w:id="461" w:customMarkFollows="0"/>
      </w:r>
      <w:bookmarkEnd w:id="746"/>
      <w:r>
        <w:rPr>
          <w:rtl/>
        </w:rPr>
        <w:t xml:space="preserve"> שהתירוץ של הקומוניסטים להימנע מהריסת קברו של הרב </w:t>
      </w:r>
      <w:proofErr w:type="spellStart"/>
      <w:r>
        <w:rPr>
          <w:rtl/>
        </w:rPr>
        <w:t>היילפרין</w:t>
      </w:r>
      <w:bookmarkStart w:id="747" w:name="_fnr462"/>
      <w:proofErr w:type="spellEnd"/>
      <w:r>
        <w:rPr>
          <w:rStyle w:val="a5"/>
        </w:rPr>
        <w:footnoteReference w:id="462" w:customMarkFollows="0"/>
      </w:r>
      <w:bookmarkEnd w:id="747"/>
      <w:r>
        <w:rPr>
          <w:rtl/>
        </w:rPr>
        <w:t xml:space="preserve"> היה שהוא היה היסטוריון. הרב </w:t>
      </w:r>
      <w:proofErr w:type="spellStart"/>
      <w:r>
        <w:rPr>
          <w:rtl/>
        </w:rPr>
        <w:t>היילפרין</w:t>
      </w:r>
      <w:proofErr w:type="spellEnd"/>
      <w:r>
        <w:rPr>
          <w:rtl/>
        </w:rPr>
        <w:t xml:space="preserve"> נפטר בשנת תק״ז בן תשעים.</w:t>
      </w:r>
    </w:p>
    <w:p w14:paraId="20FAE17F" w14:textId="3BE99B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כשנתמנה נכדו הצעיר של ר׳ לייב בעל התוספות, הקרוי על שמו, לעמוד בראש ישיבה בעיר,</w:t>
      </w:r>
      <w:bookmarkStart w:id="748" w:name="b2_ref9"/>
      <w:bookmarkEnd w:id="748"/>
      <w:r>
        <w:rPr>
          <w:vertAlign w:val="superscript"/>
          <w:rtl/>
        </w:rPr>
        <w:fldChar w:fldCharType="begin" w:dirty="true"/>
      </w:r>
      <w:r>
        <w:rPr>
          <w:vertAlign w:val="superscript"/>
          <w:rtl/>
        </w:rPr>
        <w:instrText xml:space="preserve"> REF b2_note9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הפכו בקיאותו יוצאת הדופן ושיטתו המיוחדת</w:t>
      </w:r>
      <w:bookmarkStart w:id="749" w:name="b2_ref10"/>
      <w:bookmarkEnd w:id="749"/>
      <w:r>
        <w:rPr>
          <w:vertAlign w:val="superscript"/>
          <w:rtl/>
        </w:rPr>
        <w:fldChar w:fldCharType="begin" w:dirty="true"/>
      </w:r>
      <w:r>
        <w:rPr>
          <w:vertAlign w:val="superscript"/>
          <w:rtl/>
        </w:rPr>
        <w:instrText xml:space="preserve"> REF b2_note10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xml:space="preserve"> את מינסק למוקד של לימוד תורה בכל ליטא. העילוי הצעיר, ר׳ לייב </w:t>
      </w:r>
      <w:proofErr w:type="spellStart"/>
      <w:r>
        <w:rPr>
          <w:rtl/>
        </w:rPr>
        <w:t>גינצבורג</w:t>
      </w:r>
      <w:proofErr w:type="spellEnd"/>
      <w:r>
        <w:rPr>
          <w:rtl/>
        </w:rPr>
        <w:t>, לא יצא מעולם מארבע אמותיה של תורה, וזכה לכינוי “ר׳ לייב ראש ישיבה”. אבל מפני שחלק על רבות מהוראותיו של הרב, ר׳ יחיאל, נפער קרע שאין לאחותו בין הגאון הזקן לראש הישיבה הצעיר, והאחרון גורש מן העיר.</w:t>
      </w:r>
      <w:bookmarkStart w:id="750" w:name="b2_ref11"/>
      <w:bookmarkEnd w:id="750"/>
      <w:r>
        <w:rPr>
          <w:vertAlign w:val="superscript"/>
          <w:rtl/>
        </w:rPr>
        <w:fldChar w:fldCharType="begin" w:dirty="true"/>
      </w:r>
      <w:r>
        <w:rPr>
          <w:vertAlign w:val="superscript"/>
          <w:rtl/>
        </w:rPr>
        <w:instrText xml:space="preserve"> REF b2_note11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אף על פי כן נתמנה במקומו תלמיד מובהק שלו, ר׳ רפאל רפפורט,</w:t>
      </w:r>
      <w:bookmarkStart w:id="751" w:name="b2_ref12"/>
      <w:bookmarkEnd w:id="751"/>
      <w:r>
        <w:rPr>
          <w:vertAlign w:val="superscript"/>
          <w:rtl/>
        </w:rPr>
        <w:fldChar w:fldCharType="begin" w:dirty="true"/>
      </w:r>
      <w:r>
        <w:rPr>
          <w:vertAlign w:val="superscript"/>
          <w:rtl/>
        </w:rPr>
        <w:instrText xml:space="preserve"> REF b2_note12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ובכך הובטח מעמדה של מינסק כמרכז תורה מן המעלה הראשונה.</w:t>
      </w:r>
    </w:p>
    <w:bookmarkStart w:id="752" w:name="b2_note9"/>
    <w:p w14:paraId="53A98B7E" w14:textId="77777777" w:rsidR="00AB3647" w:rsidRDefault="00000000" w:rsidP="007923E9">
      <w:pPr>
        <w:spacing w:before="120" w:after="100" w:line="276" w:lineRule="auto"/>
        <w:jc w:val="both"/>
      </w:pPr>
      <w:r>
        <w:fldChar w:fldCharType="begin" w:dirty="true"/>
      </w:r>
      <w:r>
        <w:instrText>HYPERLINK \l "b2_ref9"</w:instrText>
      </w:r>
      <w:r>
        <w:fldChar w:fldCharType="separate"/>
      </w:r>
      <w:r>
        <w:rPr>
          <w:b/>
          <w:bCs/>
          <w:rtl/>
        </w:rPr>
        <w:t>9</w:t>
      </w:r>
      <w:r>
        <w:rPr>
          <w:b/>
          <w:bCs/>
        </w:rPr>
        <w:fldChar w:fldCharType="end"/>
      </w:r>
      <w:bookmarkEnd w:id="752"/>
      <w:r>
        <w:rPr>
          <w:rtl/>
        </w:rPr>
        <w:t xml:space="preserve"> הוא נולד בשנת תנ״ה ונתמנה בשנת תפ״ג.</w:t>
      </w:r>
      <w:bookmarkStart w:id="753" w:name="_fnr463"/>
      <w:r>
        <w:rPr>
          <w:rStyle w:val="a5"/>
        </w:rPr>
        <w:footnoteReference w:id="463" w:customMarkFollows="0"/>
      </w:r>
      <w:bookmarkEnd w:id="753"/>
    </w:p>
    <w:bookmarkStart w:id="754" w:name="b2_note10"/>
    <w:p w14:paraId="2A59501E" w14:textId="77777777" w:rsidR="00AB3647" w:rsidRDefault="00000000" w:rsidP="007923E9">
      <w:pPr>
        <w:spacing w:before="120" w:after="100" w:line="276" w:lineRule="auto"/>
        <w:jc w:val="both"/>
      </w:pPr>
      <w:r>
        <w:fldChar w:fldCharType="begin" w:dirty="true"/>
      </w:r>
      <w:r>
        <w:instrText>HYPERLINK \l "b2_ref10"</w:instrText>
      </w:r>
      <w:r>
        <w:fldChar w:fldCharType="separate"/>
      </w:r>
      <w:r>
        <w:rPr>
          <w:b/>
          <w:bCs/>
          <w:rtl/>
        </w:rPr>
        <w:t>10</w:t>
      </w:r>
      <w:r>
        <w:rPr>
          <w:b/>
          <w:bCs/>
        </w:rPr>
        <w:fldChar w:fldCharType="end"/>
      </w:r>
      <w:bookmarkEnd w:id="754"/>
      <w:r>
        <w:rPr>
          <w:rtl/>
        </w:rPr>
        <w:t xml:space="preserve"> </w:t>
      </w:r>
      <w:proofErr w:type="spellStart"/>
      <w:r>
        <w:rPr>
          <w:rtl/>
        </w:rPr>
        <w:t>ב“שאגת</w:t>
      </w:r>
      <w:proofErr w:type="spellEnd"/>
      <w:r>
        <w:rPr>
          <w:rtl/>
        </w:rPr>
        <w:t xml:space="preserve"> אריה המפורש”</w:t>
      </w:r>
      <w:bookmarkStart w:id="755" w:name="_fnr464"/>
      <w:r>
        <w:rPr>
          <w:rStyle w:val="a5"/>
        </w:rPr>
        <w:footnoteReference w:id="464" w:customMarkFollows="0"/>
      </w:r>
      <w:bookmarkEnd w:id="755"/>
      <w:r>
        <w:rPr>
          <w:rtl/>
        </w:rPr>
        <w:t xml:space="preserve"> מובא מתוך “עליות אליהו” שהגאון מווילנה אמר עליו שכל התלמוד עם ראשונים ואחרונים היה שגור בפיו, ושהיה יכול לעיין בכל הש״ס בשעה אחת. עוד מובא </w:t>
      </w:r>
      <w:proofErr w:type="spellStart"/>
      <w:r>
        <w:rPr>
          <w:rtl/>
        </w:rPr>
        <w:t>ב“שאגת</w:t>
      </w:r>
      <w:proofErr w:type="spellEnd"/>
      <w:r>
        <w:rPr>
          <w:rtl/>
        </w:rPr>
        <w:t xml:space="preserve"> אריה המפורש”</w:t>
      </w:r>
      <w:bookmarkStart w:id="756" w:name="_fnr465"/>
      <w:r>
        <w:rPr>
          <w:rStyle w:val="a5"/>
        </w:rPr>
        <w:footnoteReference w:id="465" w:customMarkFollows="0"/>
      </w:r>
      <w:bookmarkEnd w:id="756"/>
      <w:r>
        <w:rPr>
          <w:rtl/>
        </w:rPr>
        <w:t xml:space="preserve"> שר׳ אלתר </w:t>
      </w:r>
      <w:proofErr w:type="spellStart"/>
      <w:r>
        <w:rPr>
          <w:rtl/>
        </w:rPr>
        <w:t>רבינוביץ־תאומים</w:t>
      </w:r>
      <w:proofErr w:type="spellEnd"/>
      <w:r>
        <w:rPr>
          <w:rtl/>
        </w:rPr>
        <w:t xml:space="preserve"> אמר שר׳ יצחק־זאב </w:t>
      </w:r>
      <w:proofErr w:type="spellStart"/>
      <w:r>
        <w:rPr>
          <w:rtl/>
        </w:rPr>
        <w:t>סולובייצ׳יק</w:t>
      </w:r>
      <w:proofErr w:type="spellEnd"/>
      <w:r>
        <w:rPr>
          <w:rtl/>
        </w:rPr>
        <w:t xml:space="preserve"> אמר משמו של אביו, ר׳ חיים, שהוא “עדיין אינו יכול להכריע מי היה גדול יותר, הגאון מווילנה או השאגת אריה”. את דבריו של אותו מחבר אישש ר׳ </w:t>
      </w:r>
      <w:proofErr w:type="spellStart"/>
      <w:r>
        <w:rPr>
          <w:rtl/>
        </w:rPr>
        <w:t>דב־צבי</w:t>
      </w:r>
      <w:proofErr w:type="spellEnd"/>
      <w:r>
        <w:rPr>
          <w:rtl/>
        </w:rPr>
        <w:t xml:space="preserve"> </w:t>
      </w:r>
      <w:proofErr w:type="spellStart"/>
      <w:r>
        <w:rPr>
          <w:rtl/>
        </w:rPr>
        <w:t>רוטשטיין</w:t>
      </w:r>
      <w:proofErr w:type="spellEnd"/>
      <w:r>
        <w:rPr>
          <w:rtl/>
        </w:rPr>
        <w:t>,</w:t>
      </w:r>
      <w:bookmarkStart w:id="757" w:name="_fnr466"/>
      <w:r>
        <w:rPr>
          <w:rStyle w:val="a5"/>
        </w:rPr>
        <w:footnoteReference w:id="466" w:customMarkFollows="0"/>
      </w:r>
      <w:bookmarkEnd w:id="757"/>
      <w:r>
        <w:rPr>
          <w:rtl/>
        </w:rPr>
        <w:t xml:space="preserve"> שאמר שבכל פעם שהזכיר ר׳ יצחק־זאב את השאגת אריה “זלגו עיניו דמעות”. המרואיין סבור שהתרגש עד כדי כך משום שחש שהעולם אינו מעריך כראוי את גדולתו של השאגת אריה.</w:t>
      </w:r>
    </w:p>
    <w:p w14:paraId="3F636597" w14:textId="77777777" w:rsidR="00AB3647" w:rsidRDefault="00000000" w:rsidP="007923E9">
      <w:pPr>
        <w:spacing w:before="120" w:after="100" w:line="276" w:lineRule="auto"/>
        <w:jc w:val="both"/>
      </w:pPr>
      <w:r>
        <w:rPr>
          <w:rtl/>
        </w:rPr>
        <w:t>והשווה גם “אבי הישיבות”</w:t>
      </w:r>
      <w:bookmarkStart w:id="758" w:name="_fnr467"/>
      <w:r>
        <w:rPr>
          <w:rStyle w:val="a5"/>
        </w:rPr>
        <w:footnoteReference w:id="467" w:customMarkFollows="0"/>
      </w:r>
      <w:bookmarkEnd w:id="758"/>
      <w:r>
        <w:rPr>
          <w:rtl/>
        </w:rPr>
        <w:t xml:space="preserve"> בעניין מקורות שנתגלו לאחרונה ומעידים על בקיאותו הן בהלכה הן בקבלה. והשווה גם “שמושה של תורה”,</w:t>
      </w:r>
      <w:bookmarkStart w:id="759" w:name="_fnr468"/>
      <w:r>
        <w:rPr>
          <w:rStyle w:val="a5"/>
        </w:rPr>
        <w:footnoteReference w:id="468" w:customMarkFollows="0"/>
      </w:r>
      <w:bookmarkEnd w:id="759"/>
      <w:r>
        <w:rPr>
          <w:rtl/>
        </w:rPr>
        <w:t xml:space="preserve"> שם מובא שר׳ </w:t>
      </w:r>
      <w:proofErr w:type="spellStart"/>
      <w:r>
        <w:rPr>
          <w:rtl/>
        </w:rPr>
        <w:t>ברוך־בער</w:t>
      </w:r>
      <w:proofErr w:type="spellEnd"/>
      <w:r>
        <w:rPr>
          <w:rtl/>
        </w:rPr>
        <w:t xml:space="preserve"> </w:t>
      </w:r>
      <w:proofErr w:type="spellStart"/>
      <w:r>
        <w:rPr>
          <w:rtl/>
        </w:rPr>
        <w:t>ליבוביץ</w:t>
      </w:r>
      <w:proofErr w:type="spellEnd"/>
      <w:r>
        <w:rPr>
          <w:rtl/>
        </w:rPr>
        <w:t xml:space="preserve"> אמר: “אומרים שהגאון מווילנה אמר: בנגלה – הוא ואני, בנסתר – אני והוא.” והשווה גם “החסידות”,</w:t>
      </w:r>
      <w:bookmarkStart w:id="760" w:name="_fnr469"/>
      <w:r>
        <w:rPr>
          <w:rStyle w:val="a5"/>
        </w:rPr>
        <w:footnoteReference w:id="469" w:customMarkFollows="0"/>
      </w:r>
      <w:bookmarkEnd w:id="760"/>
      <w:r>
        <w:rPr>
          <w:rtl/>
        </w:rPr>
        <w:t xml:space="preserve"> שלפיו ראו החסידים בשאגת אריה “התלמיד חכם בה״א הידיעה של הדור”; ויש להם אגדה </w:t>
      </w:r>
      <w:proofErr w:type="spellStart"/>
      <w:r>
        <w:rPr>
          <w:rtl/>
        </w:rPr>
        <w:t>שהבעש״ט</w:t>
      </w:r>
      <w:proofErr w:type="spellEnd"/>
      <w:r>
        <w:rPr>
          <w:rtl/>
        </w:rPr>
        <w:t xml:space="preserve"> חיפש אותו </w:t>
      </w:r>
      <w:proofErr w:type="spellStart"/>
      <w:r>
        <w:rPr>
          <w:rtl/>
        </w:rPr>
        <w:t>ו“שימש</w:t>
      </w:r>
      <w:proofErr w:type="spellEnd"/>
      <w:r>
        <w:rPr>
          <w:rtl/>
        </w:rPr>
        <w:t xml:space="preserve"> אותו בנעילת נעליו”.</w:t>
      </w:r>
    </w:p>
    <w:bookmarkStart w:id="761" w:name="b2_note11"/>
    <w:p w14:paraId="633D31C3" w14:textId="4C4B5452" w:rsidR="00AB3647" w:rsidRDefault="00000000" w:rsidP="007923E9">
      <w:pPr>
        <w:spacing w:before="120" w:after="100" w:line="276" w:lineRule="auto"/>
        <w:jc w:val="both"/>
      </w:pPr>
      <w:r>
        <w:lastRenderedPageBreak/>
        <w:fldChar w:fldCharType="begin" w:dirty="true"/>
      </w:r>
      <w:r>
        <w:instrText>HYPERLINK \l "b2_ref11"</w:instrText>
      </w:r>
      <w:r>
        <w:fldChar w:fldCharType="separate"/>
      </w:r>
      <w:r>
        <w:rPr>
          <w:b/>
          <w:bCs/>
          <w:rtl/>
        </w:rPr>
        <w:t>11</w:t>
      </w:r>
      <w:r>
        <w:rPr>
          <w:b/>
          <w:bCs/>
        </w:rPr>
        <w:fldChar w:fldCharType="end"/>
      </w:r>
      <w:bookmarkEnd w:id="761"/>
      <w:r>
        <w:rPr>
          <w:rtl/>
        </w:rPr>
        <w:t xml:space="preserve"> השווה הערה </w:t>
      </w:r>
      <w:r>
        <w:rPr>
          <w:rtl/>
        </w:rPr>
        <w:fldChar w:fldCharType="begin" w:dirty="true"/>
      </w:r>
      <w:r>
        <w:rPr>
          <w:rtl/>
        </w:rPr>
        <w:instrText xml:space="preserve"> REF b2_note1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לעיל, והערה </w:t>
      </w:r>
      <w:r>
        <w:rPr>
          <w:rtl/>
        </w:rPr>
        <w:fldChar w:fldCharType="begin" w:dirty="true"/>
      </w:r>
      <w:r>
        <w:rPr>
          <w:rtl/>
        </w:rPr>
        <w:instrText xml:space="preserve"> REF b2_note33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33</w:t>
      </w:r>
      <w:r>
        <w:rPr>
          <w:rtl/>
        </w:rPr>
        <w:fldChar w:fldCharType="end"/>
      </w:r>
      <w:r>
        <w:rPr>
          <w:rtl/>
        </w:rPr>
        <w:t xml:space="preserve"> להלן. אחרי כמה שנות נדודים כיהן כרב </w:t>
      </w:r>
      <w:proofErr w:type="spellStart"/>
      <w:r>
        <w:rPr>
          <w:rtl/>
        </w:rPr>
        <w:t>וולוז׳ין</w:t>
      </w:r>
      <w:proofErr w:type="spellEnd"/>
      <w:r>
        <w:rPr>
          <w:rtl/>
        </w:rPr>
        <w:t xml:space="preserve"> משנת תק״י עד תקט״ז. אז הוציא לאור את החיבור שעל שמו הוא נקרא בדרך כלל, שו״ת שאגת אריה. בסביבות תק״כ שב למינסק לכהן כרב שותף עם ר׳ משה </w:t>
      </w:r>
      <w:proofErr w:type="spellStart"/>
      <w:r>
        <w:rPr>
          <w:rtl/>
        </w:rPr>
        <w:t>היילפרין</w:t>
      </w:r>
      <w:proofErr w:type="spellEnd"/>
      <w:r>
        <w:rPr>
          <w:rtl/>
        </w:rPr>
        <w:t xml:space="preserve">, בנו וממלא מקומו של יריבו לשעבר של ר׳ לייב. שוב פרצה מחלוקת בינו ובין חברו, ולמרות תמיכתם של כמה עשירים, ובהם המטרונה </w:t>
      </w:r>
      <w:proofErr w:type="spellStart"/>
      <w:r>
        <w:rPr>
          <w:rtl/>
        </w:rPr>
        <w:t>המינסקאית</w:t>
      </w:r>
      <w:proofErr w:type="spellEnd"/>
      <w:r>
        <w:rPr>
          <w:rtl/>
        </w:rPr>
        <w:t xml:space="preserve"> </w:t>
      </w:r>
      <w:proofErr w:type="spellStart"/>
      <w:r>
        <w:rPr>
          <w:rtl/>
        </w:rPr>
        <w:t>בלומקה</w:t>
      </w:r>
      <w:proofErr w:type="spellEnd"/>
      <w:r>
        <w:rPr>
          <w:rtl/>
        </w:rPr>
        <w:t xml:space="preserve"> </w:t>
      </w:r>
      <w:proofErr w:type="spellStart"/>
      <w:r>
        <w:rPr>
          <w:rtl/>
        </w:rPr>
        <w:t>וילנקין</w:t>
      </w:r>
      <w:proofErr w:type="spellEnd"/>
      <w:r>
        <w:rPr>
          <w:rtl/>
        </w:rPr>
        <w:t>,</w:t>
      </w:r>
      <w:bookmarkStart w:id="762" w:name="_fnr470"/>
      <w:r>
        <w:rPr>
          <w:rStyle w:val="a5"/>
        </w:rPr>
        <w:footnoteReference w:id="470" w:customMarkFollows="0"/>
      </w:r>
      <w:bookmarkEnd w:id="762"/>
      <w:r>
        <w:rPr>
          <w:rtl/>
        </w:rPr>
        <w:t xml:space="preserve"> נאלץ לעזוב שוב את העיר. בסביבות תקכ״ג שב </w:t>
      </w:r>
      <w:proofErr w:type="spellStart"/>
      <w:r>
        <w:rPr>
          <w:rtl/>
        </w:rPr>
        <w:t>לוולוז׳ין</w:t>
      </w:r>
      <w:proofErr w:type="spellEnd"/>
      <w:r>
        <w:rPr>
          <w:rtl/>
        </w:rPr>
        <w:t>.</w:t>
      </w:r>
    </w:p>
    <w:p w14:paraId="3DAAF2DC" w14:textId="591AFFDA" w:rsidR="00AB3647" w:rsidRDefault="00000000" w:rsidP="007923E9">
      <w:pPr>
        <w:spacing w:before="120" w:after="100" w:line="276" w:lineRule="auto"/>
        <w:jc w:val="both"/>
      </w:pPr>
      <w:r>
        <w:rPr>
          <w:rtl/>
        </w:rPr>
        <w:t xml:space="preserve">אגב, באותו זמן למד אצל השאגת אריה נער מקומי שנולד בשנת תק״ט, ר׳ חיים </w:t>
      </w:r>
      <w:proofErr w:type="spellStart"/>
      <w:r w:rsidR="00AB485B">
        <w:rPr>
          <w:rtl/>
        </w:rPr>
        <w:t xml:space="preserve">איצקוביץ׳,</w:t>
      </w:r>
      <w:proofErr w:type="spellEnd"/>
      <w:r w:rsidR="00AB485B">
        <w:rPr>
          <w:rtl/>
        </w:rPr>
        <w:t xml:space="preserve"/>
      </w:r>
      <w:r>
        <w:rPr>
          <w:rtl/>
        </w:rPr>
        <w:t xml:space="preserve"> שהיה לימים תלמידו המובהק של הגאון מווילנה. בשנת תקל״ו נעשה ר׳ חיים רבה של </w:t>
      </w:r>
      <w:proofErr w:type="spellStart"/>
      <w:r>
        <w:rPr>
          <w:rtl/>
        </w:rPr>
        <w:t>וולוז׳ין</w:t>
      </w:r>
      <w:proofErr w:type="spellEnd"/>
      <w:r>
        <w:rPr>
          <w:rtl/>
        </w:rPr>
        <w:t xml:space="preserve">, ובתחילת שנת תקס״ג ייסד שם את אם הישיבות של זמננו, ישיבת עץ חיים. ר׳ חיים </w:t>
      </w:r>
      <w:proofErr w:type="spellStart"/>
      <w:r>
        <w:rPr>
          <w:rtl/>
        </w:rPr>
        <w:t>מוולוז׳ין</w:t>
      </w:r>
      <w:proofErr w:type="spellEnd"/>
      <w:r>
        <w:rPr>
          <w:rtl/>
        </w:rPr>
        <w:t xml:space="preserve"> החזיק בעיירה בהוראת היתר יוצאת דופן שהורה השאגת אריה בעניין כשרות [</w:t>
      </w:r>
      <w:proofErr w:type="spellStart"/>
      <w:r>
        <w:rPr>
          <w:rtl/>
        </w:rPr>
        <w:t>סירכא</w:t>
      </w:r>
      <w:proofErr w:type="spellEnd"/>
      <w:r>
        <w:rPr>
          <w:rtl/>
        </w:rPr>
        <w:t xml:space="preserve"> עם מכה בדופן]. אבל בנו, ר׳ </w:t>
      </w:r>
      <w:proofErr w:type="spellStart"/>
      <w:r>
        <w:rPr>
          <w:rtl/>
        </w:rPr>
        <w:t>איצל׳ה</w:t>
      </w:r>
      <w:proofErr w:type="spellEnd"/>
      <w:r>
        <w:rPr>
          <w:rtl/>
        </w:rPr>
        <w:t>, שמילא את מקומו בשנת תקפ״א, סירב להורות לא כמנהג ההיתר המקומי ולא נגדו, ונאלצו להעביר את השאלה ההלכתית להכרעת רבני וילנה.</w:t>
      </w:r>
      <w:bookmarkStart w:id="763" w:name="_fnr471"/>
      <w:r>
        <w:rPr>
          <w:rStyle w:val="a5"/>
        </w:rPr>
        <w:footnoteReference w:id="471" w:customMarkFollows="0"/>
      </w:r>
      <w:bookmarkEnd w:id="763"/>
    </w:p>
    <w:p w14:paraId="6233C6C6" w14:textId="77777777" w:rsidR="00AB3647" w:rsidRDefault="00000000" w:rsidP="007923E9">
      <w:pPr>
        <w:spacing w:before="120" w:after="100" w:line="276" w:lineRule="auto"/>
        <w:jc w:val="both"/>
      </w:pPr>
      <w:r>
        <w:rPr>
          <w:rtl/>
        </w:rPr>
        <w:t xml:space="preserve">מכל מקום, לפי “עובדות והנהגות לבית </w:t>
      </w:r>
      <w:proofErr w:type="spellStart"/>
      <w:r>
        <w:rPr>
          <w:rtl/>
        </w:rPr>
        <w:t>בריסק</w:t>
      </w:r>
      <w:proofErr w:type="spellEnd"/>
      <w:r>
        <w:rPr>
          <w:rtl/>
        </w:rPr>
        <w:t>”,</w:t>
      </w:r>
      <w:bookmarkStart w:id="764" w:name="_fnr472"/>
      <w:r>
        <w:rPr>
          <w:rStyle w:val="a5"/>
        </w:rPr>
        <w:footnoteReference w:id="472" w:customMarkFollows="0"/>
      </w:r>
      <w:bookmarkEnd w:id="764"/>
      <w:r>
        <w:rPr>
          <w:rtl/>
        </w:rPr>
        <w:t xml:space="preserve"> סיפר ר׳ </w:t>
      </w:r>
      <w:proofErr w:type="spellStart"/>
      <w:r>
        <w:rPr>
          <w:rtl/>
        </w:rPr>
        <w:t>זלמן־סנדר</w:t>
      </w:r>
      <w:proofErr w:type="spellEnd"/>
      <w:r>
        <w:rPr>
          <w:rtl/>
        </w:rPr>
        <w:t xml:space="preserve"> </w:t>
      </w:r>
      <w:proofErr w:type="spellStart"/>
      <w:r>
        <w:rPr>
          <w:rtl/>
        </w:rPr>
        <w:t>כהנא־שפירא</w:t>
      </w:r>
      <w:proofErr w:type="spellEnd"/>
      <w:r>
        <w:rPr>
          <w:rtl/>
        </w:rPr>
        <w:t xml:space="preserve"> בשנים המעטות שחי בירושלים בסוף ימיו</w:t>
      </w:r>
      <w:bookmarkStart w:id="765" w:name="_fnr473"/>
      <w:r>
        <w:rPr>
          <w:rStyle w:val="a5"/>
        </w:rPr>
        <w:footnoteReference w:id="473" w:customMarkFollows="0"/>
      </w:r>
      <w:bookmarkEnd w:id="765"/>
      <w:r>
        <w:rPr>
          <w:rtl/>
        </w:rPr>
        <w:t xml:space="preserve"> </w:t>
      </w:r>
      <w:proofErr w:type="spellStart"/>
      <w:r>
        <w:rPr>
          <w:rtl/>
        </w:rPr>
        <w:t>שהשאגת</w:t>
      </w:r>
      <w:proofErr w:type="spellEnd"/>
      <w:r>
        <w:rPr>
          <w:rtl/>
        </w:rPr>
        <w:t xml:space="preserve"> אריה עזב את </w:t>
      </w:r>
      <w:proofErr w:type="spellStart"/>
      <w:r>
        <w:rPr>
          <w:rtl/>
        </w:rPr>
        <w:t>וולוז׳ין</w:t>
      </w:r>
      <w:proofErr w:type="spellEnd"/>
      <w:r>
        <w:rPr>
          <w:rtl/>
        </w:rPr>
        <w:t xml:space="preserve"> בנסיבות קשות, בעקבות פסק שפסק בדין ממון שהיה מעורב בו הפריץ המקומי. הוא יצא לדרך נדודים שהביאה אותו בפעם השלישית למינסק – ר׳ משה </w:t>
      </w:r>
      <w:proofErr w:type="spellStart"/>
      <w:r>
        <w:rPr>
          <w:rtl/>
        </w:rPr>
        <w:t>היילפרין</w:t>
      </w:r>
      <w:proofErr w:type="spellEnd"/>
      <w:r>
        <w:rPr>
          <w:rtl/>
        </w:rPr>
        <w:t xml:space="preserve"> נפטר בינתיים – ומשם למקומות אחרים. תחנתו האחרונה הייתה העיר מץ שבצרפת, ושם כיהן כרב בשני העשורים האחרונים לחייו, שהסתיימו בשנת תקמ״ה בגיל תשעים. קהילות מערב אירופה עוד לא נחרבו אז בידי ההשכלה ותנועות הרפורמה, וגאון ליטאי לא היה זר בצרפת.</w:t>
      </w:r>
      <w:bookmarkStart w:id="766" w:name="_fnr474"/>
      <w:bookmarkStart w:id="767" w:name="pr_f_401"/>
      <w:r>
        <w:rPr>
          <w:rStyle w:val="a5"/>
        </w:rPr>
        <w:footnoteReference w:id="474" w:customMarkFollows="0"/>
      </w:r>
      <w:bookmarkEnd w:id="766"/>
      <w:bookmarkEnd w:id="767"/>
    </w:p>
    <w:bookmarkStart w:id="768" w:name="b2_note12"/>
    <w:p w14:paraId="775D867F" w14:textId="77777777" w:rsidR="00AB3647" w:rsidRDefault="00000000" w:rsidP="007923E9">
      <w:pPr>
        <w:spacing w:before="120" w:after="100" w:line="276" w:lineRule="auto"/>
        <w:jc w:val="both"/>
      </w:pPr>
      <w:r>
        <w:fldChar w:fldCharType="begin" w:dirty="true"/>
      </w:r>
      <w:r>
        <w:instrText>HYPERLINK \l "b2_ref12"</w:instrText>
      </w:r>
      <w:r>
        <w:fldChar w:fldCharType="separate"/>
      </w:r>
      <w:r>
        <w:rPr>
          <w:b/>
          <w:bCs/>
          <w:rtl/>
        </w:rPr>
        <w:t>12</w:t>
      </w:r>
      <w:r>
        <w:rPr>
          <w:b/>
          <w:bCs/>
        </w:rPr>
        <w:fldChar w:fldCharType="end"/>
      </w:r>
      <w:bookmarkEnd w:id="768"/>
      <w:r>
        <w:rPr>
          <w:rtl/>
        </w:rPr>
        <w:t xml:space="preserve"> לאחר מכן כיהן כרב </w:t>
      </w:r>
      <w:proofErr w:type="spellStart"/>
      <w:r>
        <w:rPr>
          <w:rtl/>
        </w:rPr>
        <w:t>בראקוב</w:t>
      </w:r>
      <w:proofErr w:type="spellEnd"/>
      <w:r>
        <w:rPr>
          <w:rtl/>
        </w:rPr>
        <w:t xml:space="preserve"> </w:t>
      </w:r>
      <w:proofErr w:type="spellStart"/>
      <w:r>
        <w:rPr>
          <w:rtl/>
        </w:rPr>
        <w:t>ובווילקומיר</w:t>
      </w:r>
      <w:proofErr w:type="spellEnd"/>
      <w:r>
        <w:rPr>
          <w:rtl/>
        </w:rPr>
        <w:t xml:space="preserve"> שבליטא, אחר כך כרב הגליל של סביבת מינסק, אחר כך כרב </w:t>
      </w:r>
      <w:proofErr w:type="spellStart"/>
      <w:r>
        <w:rPr>
          <w:rtl/>
        </w:rPr>
        <w:t>בפינסק</w:t>
      </w:r>
      <w:proofErr w:type="spellEnd"/>
      <w:r>
        <w:rPr>
          <w:rtl/>
        </w:rPr>
        <w:t xml:space="preserve"> </w:t>
      </w:r>
      <w:proofErr w:type="spellStart"/>
      <w:r>
        <w:rPr>
          <w:rtl/>
        </w:rPr>
        <w:t>ובפוזנא</w:t>
      </w:r>
      <w:proofErr w:type="spellEnd"/>
      <w:r>
        <w:rPr>
          <w:rtl/>
        </w:rPr>
        <w:t xml:space="preserve">, ולבסוף, משנת תקל״ו, </w:t>
      </w:r>
      <w:proofErr w:type="spellStart"/>
      <w:r>
        <w:rPr>
          <w:rtl/>
        </w:rPr>
        <w:t>בהמבורג</w:t>
      </w:r>
      <w:proofErr w:type="spellEnd"/>
      <w:r>
        <w:rPr>
          <w:rtl/>
        </w:rPr>
        <w:t>.</w:t>
      </w:r>
      <w:bookmarkStart w:id="769" w:name="_fnr475"/>
      <w:r>
        <w:rPr>
          <w:rStyle w:val="a5"/>
        </w:rPr>
        <w:footnoteReference w:id="475" w:customMarkFollows="0"/>
      </w:r>
      <w:bookmarkEnd w:id="769"/>
      <w:r>
        <w:rPr>
          <w:rtl/>
        </w:rPr>
        <w:t xml:space="preserve"> ר׳ רפאל חיבר שני ספרי שו״ת, “תורת יקותיאל” </w:t>
      </w:r>
      <w:proofErr w:type="spellStart"/>
      <w:r>
        <w:rPr>
          <w:rtl/>
        </w:rPr>
        <w:t>ו“ושב</w:t>
      </w:r>
      <w:proofErr w:type="spellEnd"/>
      <w:r>
        <w:rPr>
          <w:rtl/>
        </w:rPr>
        <w:t xml:space="preserve"> הכהן”. הוא היה לוחם סמכותי ורב השפעה נגד ההשכלה, שהחלה להרים ראש בגרמניה בימיו, ולכן שכרו המשכילים את ר׳ שאול לוין, בנו המלומד מאוד של רב ברלין, הגאון ר׳ הירש לוין, שיכתוב בעילום שם השגה על כמה מפסקיו ההלכתיים של ר׳ רפאל, בשם “מצפה </w:t>
      </w:r>
      <w:proofErr w:type="spellStart"/>
      <w:r>
        <w:rPr>
          <w:rtl/>
        </w:rPr>
        <w:t>יקתאל</w:t>
      </w:r>
      <w:proofErr w:type="spellEnd"/>
      <w:r>
        <w:rPr>
          <w:rtl/>
        </w:rPr>
        <w:t>”.</w:t>
      </w:r>
      <w:bookmarkStart w:id="770" w:name="_fnr476"/>
      <w:r>
        <w:rPr>
          <w:rStyle w:val="a5"/>
        </w:rPr>
        <w:footnoteReference w:id="476" w:customMarkFollows="0"/>
      </w:r>
      <w:bookmarkEnd w:id="770"/>
    </w:p>
    <w:p w14:paraId="59FDBDE8" w14:textId="77777777" w:rsidR="00AB3647" w:rsidRDefault="00000000" w:rsidP="007923E9">
      <w:pPr>
        <w:spacing w:before="120" w:after="100" w:line="276" w:lineRule="auto"/>
        <w:jc w:val="both"/>
      </w:pPr>
      <w:r>
        <w:rPr>
          <w:rtl/>
        </w:rPr>
        <w:t xml:space="preserve">אותו מחבר הראה את פרצופו האמיתי מאוחר יותר, כשהוציא לאור ספר של “תשובות רבנו אשר שנתגלו מחדש”, בשם “בשמים ראש”. הספר היה זיוף שנעשה במומחיות, ועליו אמר </w:t>
      </w:r>
      <w:r>
        <w:rPr>
          <w:rtl/>
        </w:rPr>
        <w:lastRenderedPageBreak/>
        <w:t xml:space="preserve">אבי פעם: “אתה חושב שרק </w:t>
      </w:r>
      <w:r>
        <w:rPr>
          <w:b/>
          <w:bCs/>
          <w:rtl/>
        </w:rPr>
        <w:t>אנחנו</w:t>
      </w:r>
      <w:r>
        <w:rPr>
          <w:rtl/>
        </w:rPr>
        <w:t>” – כוונתו לאנשים בשיעור קומתו – “טעינו? אפילו ר׳ עקיבא איגר טעה!”</w:t>
      </w:r>
      <w:bookmarkStart w:id="771" w:name="_fnr477"/>
      <w:r>
        <w:rPr>
          <w:rStyle w:val="a5"/>
        </w:rPr>
        <w:footnoteReference w:id="477" w:customMarkFollows="0"/>
      </w:r>
      <w:bookmarkEnd w:id="771"/>
      <w:r>
        <w:rPr>
          <w:rtl/>
        </w:rPr>
        <w:t xml:space="preserve"> ר׳ רפאל עשה מעשה נדיר ביותר לרב: בשנת תקנ״ט, בהיותו בן שבעים ושש, פרש מן המשרה הציבורית כדי לבלות את שנותיו האחרונות כאדם פרטי בעיר שבה כיהן, המבורג. הוא נפטר כעבור חמש שנים.</w:t>
      </w:r>
    </w:p>
    <w:p w14:paraId="766B4C36" w14:textId="610021D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למרות השינויים שחלו בחברה היהודית ברוסיה במאה וחצי שאחר כך, בשעה שהגיע אליה אבי עדיין היו בעיר המוני תלמידים הוגים בתורה</w:t>
      </w:r>
      <w:bookmarkStart w:id="772" w:name="b2_ref13"/>
      <w:bookmarkEnd w:id="772"/>
      <w:r>
        <w:rPr>
          <w:vertAlign w:val="superscript"/>
          <w:rtl/>
        </w:rPr>
        <w:fldChar w:fldCharType="begin" w:dirty="true"/>
      </w:r>
      <w:r>
        <w:rPr>
          <w:vertAlign w:val="superscript"/>
          <w:rtl/>
        </w:rPr>
        <w:instrText xml:space="preserve"> REF b2_note13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xml:space="preserve"> ברבים מבתי המדרש שלה</w:t>
      </w:r>
      <w:bookmarkStart w:id="773" w:name="b2_ref14"/>
      <w:bookmarkEnd w:id="773"/>
      <w:r>
        <w:rPr>
          <w:vertAlign w:val="superscript"/>
          <w:rtl/>
        </w:rPr>
        <w:fldChar w:fldCharType="begin" w:dirty="true"/>
      </w:r>
      <w:r>
        <w:rPr>
          <w:vertAlign w:val="superscript"/>
          <w:rtl/>
        </w:rPr>
        <w:instrText xml:space="preserve"> REF b2_note14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נוסף על בני מינסק הרבים, אירחה העיר מספר גדול עוד יותר של צעירים מכל רחבי הפלך ומחוצה לו, שביקשו מקום נוח ללימוד תורה. גם </w:t>
      </w:r>
      <w:proofErr w:type="spellStart"/>
      <w:r>
        <w:rPr>
          <w:rtl/>
        </w:rPr>
        <w:t>הדולהינובר</w:t>
      </w:r>
      <w:proofErr w:type="spellEnd"/>
      <w:r>
        <w:rPr>
          <w:rtl/>
        </w:rPr>
        <w:t xml:space="preserve"> הצטרף לשורותיהם.</w:t>
      </w:r>
    </w:p>
    <w:bookmarkStart w:id="774" w:name="b2_note13"/>
    <w:p w14:paraId="0D57B925" w14:textId="77777777" w:rsidR="00AB3647" w:rsidRDefault="00000000" w:rsidP="007923E9">
      <w:pPr>
        <w:spacing w:before="120" w:after="100" w:line="276" w:lineRule="auto"/>
        <w:jc w:val="both"/>
      </w:pPr>
      <w:r>
        <w:fldChar w:fldCharType="begin" w:dirty="true"/>
      </w:r>
      <w:r>
        <w:instrText>HYPERLINK \l "b2_ref13"</w:instrText>
      </w:r>
      <w:r>
        <w:fldChar w:fldCharType="separate"/>
      </w:r>
      <w:r>
        <w:rPr>
          <w:b/>
          <w:bCs/>
          <w:rtl/>
        </w:rPr>
        <w:t>13</w:t>
      </w:r>
      <w:r>
        <w:rPr>
          <w:b/>
          <w:bCs/>
        </w:rPr>
        <w:fldChar w:fldCharType="end"/>
      </w:r>
      <w:bookmarkEnd w:id="774"/>
      <w:r>
        <w:rPr>
          <w:rtl/>
        </w:rPr>
        <w:t xml:space="preserve"> הרב אלכסנדר </w:t>
      </w:r>
      <w:proofErr w:type="spellStart"/>
      <w:r>
        <w:rPr>
          <w:rtl/>
        </w:rPr>
        <w:t>זיסקינד</w:t>
      </w:r>
      <w:proofErr w:type="spellEnd"/>
      <w:r>
        <w:rPr>
          <w:rtl/>
        </w:rPr>
        <w:t xml:space="preserve"> הורוביץ, שוחט בסן אנטוניו שבטקסס, מקדיש בספרו “</w:t>
      </w:r>
      <w:proofErr w:type="spellStart"/>
      <w:r>
        <w:rPr>
          <w:rtl/>
        </w:rPr>
        <w:t>זכרונות</w:t>
      </w:r>
      <w:proofErr w:type="spellEnd"/>
      <w:r>
        <w:rPr>
          <w:rtl/>
        </w:rPr>
        <w:t xml:space="preserve"> פון צווי דורות” (</w:t>
      </w:r>
      <w:proofErr w:type="spellStart"/>
      <w:r>
        <w:rPr>
          <w:rtl/>
        </w:rPr>
        <w:t>זכרונות</w:t>
      </w:r>
      <w:proofErr w:type="spellEnd"/>
      <w:r>
        <w:rPr>
          <w:rtl/>
        </w:rPr>
        <w:t xml:space="preserve"> של שני דורות)</w:t>
      </w:r>
      <w:bookmarkStart w:id="775" w:name="_fnr478"/>
      <w:r>
        <w:rPr>
          <w:rStyle w:val="a5"/>
        </w:rPr>
        <w:footnoteReference w:id="478" w:customMarkFollows="0"/>
      </w:r>
      <w:bookmarkEnd w:id="775"/>
      <w:r>
        <w:rPr>
          <w:rtl/>
        </w:rPr>
        <w:t xml:space="preserve"> פרק לשהותו במינסק משנת תרל״ד ואילך. </w:t>
      </w:r>
      <w:proofErr w:type="spellStart"/>
      <w:r>
        <w:rPr>
          <w:rtl/>
        </w:rPr>
        <w:t>ב“מינסק</w:t>
      </w:r>
      <w:proofErr w:type="spellEnd"/>
      <w:r>
        <w:rPr>
          <w:rtl/>
        </w:rPr>
        <w:t xml:space="preserve"> עיר ואם א”</w:t>
      </w:r>
      <w:bookmarkStart w:id="776" w:name="_fnr479"/>
      <w:r>
        <w:rPr>
          <w:rStyle w:val="a5"/>
        </w:rPr>
        <w:footnoteReference w:id="479" w:customMarkFollows="0"/>
      </w:r>
      <w:bookmarkEnd w:id="776"/>
      <w:r>
        <w:rPr>
          <w:rtl/>
        </w:rPr>
        <w:t xml:space="preserve"> מובא ממנו (בתרגום עברי) </w:t>
      </w:r>
      <w:proofErr w:type="spellStart"/>
      <w:r>
        <w:rPr>
          <w:rtl/>
        </w:rPr>
        <w:t>ש“אלפי</w:t>
      </w:r>
      <w:proofErr w:type="spellEnd"/>
      <w:r>
        <w:rPr>
          <w:rtl/>
        </w:rPr>
        <w:t xml:space="preserve"> תלמידי ישיבה היו מתפרנסים על חשבון העיר”.</w:t>
      </w:r>
    </w:p>
    <w:p w14:paraId="796667ED" w14:textId="77777777" w:rsidR="00AB3647" w:rsidRDefault="00000000" w:rsidP="007923E9">
      <w:pPr>
        <w:spacing w:before="120" w:after="100" w:line="276" w:lineRule="auto"/>
        <w:jc w:val="both"/>
      </w:pPr>
      <w:r>
        <w:rPr>
          <w:rtl/>
        </w:rPr>
        <w:t>אבל בעשור שבו הגיע אבי למינסק ירד מאוד מספר לומדי התורה שם. את ההידרדרות מתאר בדברים נוגעים ללב בהקדמה לספר “עולת שלמה”</w:t>
      </w:r>
      <w:bookmarkStart w:id="777" w:name="_fnr480"/>
      <w:r>
        <w:rPr>
          <w:rStyle w:val="a5"/>
        </w:rPr>
        <w:footnoteReference w:id="480" w:customMarkFollows="0"/>
      </w:r>
      <w:bookmarkEnd w:id="777"/>
      <w:r>
        <w:rPr>
          <w:rtl/>
        </w:rPr>
        <w:t xml:space="preserve"> מחברו, איש העסקים </w:t>
      </w:r>
      <w:proofErr w:type="spellStart"/>
      <w:r>
        <w:rPr>
          <w:rtl/>
        </w:rPr>
        <w:t>מגרודנא</w:t>
      </w:r>
      <w:proofErr w:type="spellEnd"/>
      <w:r>
        <w:rPr>
          <w:rtl/>
        </w:rPr>
        <w:t xml:space="preserve"> ר׳ </w:t>
      </w:r>
      <w:proofErr w:type="spellStart"/>
      <w:r>
        <w:rPr>
          <w:rtl/>
        </w:rPr>
        <w:t>שלמה־זלמן</w:t>
      </w:r>
      <w:proofErr w:type="spellEnd"/>
      <w:r>
        <w:rPr>
          <w:rtl/>
        </w:rPr>
        <w:t xml:space="preserve"> (בר׳ צבי הירש) ליפשיץ, בזו הלשון: “למי אני עמל? שאלה זו מנקרת במוחי ומפצחת את גולגלתי כשאני ניגש למלאכת הדפסת ספרי, בראותי שלומדי התורה מתמעטים מיום ליום. שערי בתי המדרש היו פעם פתוחים לרווחה לכול. בכל שעה ביום נכנסנו אליהם ומצאנו צעירים וזקנים שקועים בשקידה נפלאה בעיון עמוק בתורת ה׳. ועוד יותר היה הלימוד בערבים, כשכל שכבות העם נהרו לבית המדרש, אלה לשמוע את ‘דבר ה׳’ – זו הלכה</w:t>
      </w:r>
      <w:bookmarkStart w:id="778" w:name="_fnr481"/>
      <w:r>
        <w:rPr>
          <w:rStyle w:val="a5"/>
        </w:rPr>
        <w:footnoteReference w:id="481" w:customMarkFollows="0"/>
      </w:r>
      <w:bookmarkEnd w:id="778"/>
      <w:r>
        <w:rPr>
          <w:rtl/>
        </w:rPr>
        <w:t xml:space="preserve"> – מפי רבם ומורם, ואלה לשמוע דברי אגדה, עד שבית המדרש היה מלא מפה לפה ביושבים צפופים ודחוקים. עתה שערים אלה, המצוינים בהלכה, שוממים ונעולים. הספרים מונחים במקומם בשלום; אין מזיז אותם לעיין בהם, אין מפריע את מנוחתם. ספרי ראשונים ואחרונים, שבימי קדם לא משו מקרבתנו, שדבריהם שתינו בצמא ולחמם </w:t>
      </w:r>
      <w:proofErr w:type="spellStart"/>
      <w:r>
        <w:rPr>
          <w:rtl/>
        </w:rPr>
        <w:t>השמימי</w:t>
      </w:r>
      <w:proofErr w:type="spellEnd"/>
      <w:r>
        <w:rPr>
          <w:rtl/>
        </w:rPr>
        <w:t xml:space="preserve"> אכלנו, הולכים ונשכחים לאט </w:t>
      </w:r>
      <w:proofErr w:type="spellStart"/>
      <w:r>
        <w:rPr>
          <w:rtl/>
        </w:rPr>
        <w:t>לאט</w:t>
      </w:r>
      <w:proofErr w:type="spellEnd"/>
      <w:r>
        <w:rPr>
          <w:rtl/>
        </w:rPr>
        <w:t xml:space="preserve"> מן האומה. ועתה אני בא עם ספרי על קדשים, סדר שאף בעיני הבקיאים הוא ‘ספר החתום’!</w:t>
      </w:r>
      <w:bookmarkStart w:id="779" w:name="_fnr482"/>
      <w:r>
        <w:rPr>
          <w:rStyle w:val="a5"/>
        </w:rPr>
        <w:footnoteReference w:id="482" w:customMarkFollows="0"/>
      </w:r>
      <w:bookmarkEnd w:id="779"/>
      <w:r>
        <w:rPr>
          <w:rtl/>
        </w:rPr>
        <w:t xml:space="preserve"> מי ישים לב אליו, מי יפתחנו להתבונן בו? על כן אני משתומם על עצמי מה דוחפני להדפיסו. מה תועלת תצמח מהוצאת סכום עצום שאין לו תחליף?”</w:t>
      </w:r>
      <w:bookmarkStart w:id="780" w:name="_fnr483"/>
      <w:r>
        <w:rPr>
          <w:rStyle w:val="a5"/>
        </w:rPr>
        <w:footnoteReference w:id="483" w:customMarkFollows="0"/>
      </w:r>
      <w:bookmarkEnd w:id="780"/>
    </w:p>
    <w:p w14:paraId="68ADE4BC" w14:textId="77777777" w:rsidR="00AB3647" w:rsidRDefault="00000000" w:rsidP="007923E9">
      <w:pPr>
        <w:spacing w:before="120" w:after="100" w:line="276" w:lineRule="auto"/>
        <w:jc w:val="both"/>
      </w:pPr>
      <w:r>
        <w:rPr>
          <w:rtl/>
        </w:rPr>
        <w:lastRenderedPageBreak/>
        <w:t xml:space="preserve">סיפור מעניין מסופר </w:t>
      </w:r>
      <w:proofErr w:type="spellStart"/>
      <w:r>
        <w:rPr>
          <w:rtl/>
        </w:rPr>
        <w:t>בשאשקעס</w:t>
      </w:r>
      <w:bookmarkStart w:id="781" w:name="_fnr484"/>
      <w:proofErr w:type="spellEnd"/>
      <w:r>
        <w:rPr>
          <w:rStyle w:val="a5"/>
        </w:rPr>
        <w:footnoteReference w:id="484" w:customMarkFollows="0"/>
      </w:r>
      <w:bookmarkEnd w:id="781"/>
      <w:r>
        <w:rPr>
          <w:rtl/>
        </w:rPr>
        <w:t xml:space="preserve"> על “</w:t>
      </w:r>
      <w:proofErr w:type="spellStart"/>
      <w:r>
        <w:rPr>
          <w:rtl/>
        </w:rPr>
        <w:t>הלומדישער</w:t>
      </w:r>
      <w:proofErr w:type="spellEnd"/>
      <w:r>
        <w:rPr>
          <w:rtl/>
        </w:rPr>
        <w:t xml:space="preserve"> </w:t>
      </w:r>
      <w:proofErr w:type="spellStart"/>
      <w:r>
        <w:rPr>
          <w:rtl/>
        </w:rPr>
        <w:t>באלעבאס</w:t>
      </w:r>
      <w:proofErr w:type="spellEnd"/>
      <w:r>
        <w:rPr>
          <w:rtl/>
        </w:rPr>
        <w:t xml:space="preserve"> [בעל הבית הלמדן] שרבנים היו מפנים אליו שאלות הלכה, ר׳ </w:t>
      </w:r>
      <w:proofErr w:type="spellStart"/>
      <w:r>
        <w:rPr>
          <w:rtl/>
        </w:rPr>
        <w:t>לייב־זלמן</w:t>
      </w:r>
      <w:proofErr w:type="spellEnd"/>
      <w:r>
        <w:rPr>
          <w:rtl/>
        </w:rPr>
        <w:t xml:space="preserve"> ליפשיץ”. לפי התיאור סבור אני שאינו אלא ר׳ </w:t>
      </w:r>
      <w:proofErr w:type="spellStart"/>
      <w:r>
        <w:rPr>
          <w:rtl/>
        </w:rPr>
        <w:t>שלמה־זלמן</w:t>
      </w:r>
      <w:proofErr w:type="spellEnd"/>
      <w:r>
        <w:rPr>
          <w:rtl/>
        </w:rPr>
        <w:t xml:space="preserve"> בעל “עולת שלמה”, אף על פי שהשם שונה, כפי שיבואר להלן. מסופר שם: “כשאיש העסקים העשיר ר׳ </w:t>
      </w:r>
      <w:proofErr w:type="spellStart"/>
      <w:r>
        <w:rPr>
          <w:rtl/>
        </w:rPr>
        <w:t>חצקל</w:t>
      </w:r>
      <w:proofErr w:type="spellEnd"/>
      <w:r>
        <w:rPr>
          <w:rtl/>
        </w:rPr>
        <w:t xml:space="preserve"> </w:t>
      </w:r>
      <w:proofErr w:type="spellStart"/>
      <w:r>
        <w:rPr>
          <w:rtl/>
        </w:rPr>
        <w:t>ראטנער</w:t>
      </w:r>
      <w:proofErr w:type="spellEnd"/>
      <w:r>
        <w:rPr>
          <w:rtl/>
        </w:rPr>
        <w:t xml:space="preserve"> נטל על עצמו לבנות בעיר </w:t>
      </w:r>
      <w:proofErr w:type="spellStart"/>
      <w:r>
        <w:rPr>
          <w:rtl/>
        </w:rPr>
        <w:t>כאר־שול</w:t>
      </w:r>
      <w:proofErr w:type="spellEnd"/>
      <w:r>
        <w:rPr>
          <w:rtl/>
        </w:rPr>
        <w:t xml:space="preserve"> [בית כנסת מודרני עם מקהלה] והחלו לחפור את היסודות... בא ליפשיץ בריצה, גמרא בידו, וצעק אל ההמון שהתקבץ: ‘לעיני כולכם אשרוף את </w:t>
      </w:r>
      <w:proofErr w:type="spellStart"/>
      <w:r>
        <w:rPr>
          <w:rtl/>
        </w:rPr>
        <w:t>אביי</w:t>
      </w:r>
      <w:proofErr w:type="spellEnd"/>
      <w:r>
        <w:rPr>
          <w:rtl/>
        </w:rPr>
        <w:t xml:space="preserve"> ורבא</w:t>
      </w:r>
      <w:bookmarkStart w:id="782" w:name="_fnr485"/>
      <w:r>
        <w:rPr>
          <w:rStyle w:val="a5"/>
        </w:rPr>
        <w:footnoteReference w:id="485" w:customMarkFollows="0"/>
      </w:r>
      <w:bookmarkEnd w:id="782"/>
      <w:r>
        <w:rPr>
          <w:rtl/>
        </w:rPr>
        <w:t xml:space="preserve"> אם תמשיכו לחפור את היסוד לבית כנסת של חטא!’” כוונתו כנראה שבית הכנסת המתוכנן הוא חילול של כל הכתוב בספרים הקדושים. “ואכן הפסיקו לחפור”, ממשיך </w:t>
      </w:r>
      <w:proofErr w:type="spellStart"/>
      <w:r>
        <w:rPr>
          <w:rtl/>
        </w:rPr>
        <w:t>שאשקעס</w:t>
      </w:r>
      <w:proofErr w:type="spellEnd"/>
      <w:r>
        <w:rPr>
          <w:rtl/>
        </w:rPr>
        <w:t>. “</w:t>
      </w:r>
      <w:proofErr w:type="spellStart"/>
      <w:r>
        <w:rPr>
          <w:rtl/>
        </w:rPr>
        <w:t>בגרודנא</w:t>
      </w:r>
      <w:proofErr w:type="spellEnd"/>
      <w:r>
        <w:rPr>
          <w:rtl/>
        </w:rPr>
        <w:t xml:space="preserve"> [בשונה מערים גדולות אחרות] לא היה מעולם בית כנסת עם מקהלה [מאז]”.</w:t>
      </w:r>
    </w:p>
    <w:p w14:paraId="722CE107" w14:textId="77777777" w:rsidR="00AB3647" w:rsidRDefault="00000000" w:rsidP="007923E9">
      <w:pPr>
        <w:spacing w:before="120" w:after="100" w:line="276" w:lineRule="auto"/>
        <w:jc w:val="both"/>
      </w:pPr>
      <w:proofErr w:type="spellStart"/>
      <w:r>
        <w:rPr>
          <w:rtl/>
        </w:rPr>
        <w:t>אי־הדיוק</w:t>
      </w:r>
      <w:proofErr w:type="spellEnd"/>
      <w:r>
        <w:rPr>
          <w:rtl/>
        </w:rPr>
        <w:t xml:space="preserve"> של </w:t>
      </w:r>
      <w:proofErr w:type="spellStart"/>
      <w:r>
        <w:rPr>
          <w:rtl/>
        </w:rPr>
        <w:t>שאשקעס</w:t>
      </w:r>
      <w:proofErr w:type="spellEnd"/>
      <w:r>
        <w:rPr>
          <w:rtl/>
        </w:rPr>
        <w:t xml:space="preserve"> בשמו של ר׳ </w:t>
      </w:r>
      <w:proofErr w:type="spellStart"/>
      <w:r>
        <w:rPr>
          <w:rtl/>
        </w:rPr>
        <w:t>שלמה־זלמן</w:t>
      </w:r>
      <w:proofErr w:type="spellEnd"/>
      <w:r>
        <w:rPr>
          <w:rtl/>
        </w:rPr>
        <w:t xml:space="preserve"> מוסבר בכך שקראו לו – על שם סב או חותן – “זלמן [אריה־]</w:t>
      </w:r>
      <w:proofErr w:type="spellStart"/>
      <w:r>
        <w:rPr>
          <w:rtl/>
        </w:rPr>
        <w:t>לייב׳ס</w:t>
      </w:r>
      <w:proofErr w:type="spellEnd"/>
      <w:r>
        <w:rPr>
          <w:rtl/>
        </w:rPr>
        <w:t xml:space="preserve">”, ומחבר </w:t>
      </w:r>
      <w:proofErr w:type="spellStart"/>
      <w:r>
        <w:rPr>
          <w:rtl/>
        </w:rPr>
        <w:t>שאשקעס</w:t>
      </w:r>
      <w:proofErr w:type="spellEnd"/>
      <w:r>
        <w:rPr>
          <w:rtl/>
        </w:rPr>
        <w:t xml:space="preserve"> טעה וחשב שהוא </w:t>
      </w:r>
      <w:proofErr w:type="spellStart"/>
      <w:r>
        <w:rPr>
          <w:b/>
          <w:bCs/>
          <w:rtl/>
        </w:rPr>
        <w:t>לייב</w:t>
      </w:r>
      <w:r>
        <w:rPr>
          <w:rtl/>
        </w:rPr>
        <w:t>־זלמן</w:t>
      </w:r>
      <w:proofErr w:type="spellEnd"/>
      <w:r>
        <w:rPr>
          <w:rtl/>
        </w:rPr>
        <w:t xml:space="preserve">. יסוד השערתי הוא שר׳ </w:t>
      </w:r>
      <w:proofErr w:type="spellStart"/>
      <w:r>
        <w:rPr>
          <w:rtl/>
        </w:rPr>
        <w:t>שלמה־זלמן</w:t>
      </w:r>
      <w:proofErr w:type="spellEnd"/>
      <w:r>
        <w:rPr>
          <w:rtl/>
        </w:rPr>
        <w:t xml:space="preserve"> קרא לבנו הבכור, אביו של חותני, </w:t>
      </w:r>
      <w:proofErr w:type="spellStart"/>
      <w:r>
        <w:rPr>
          <w:rtl/>
        </w:rPr>
        <w:t>יעקב־</w:t>
      </w:r>
      <w:r>
        <w:rPr>
          <w:b/>
          <w:bCs/>
          <w:rtl/>
        </w:rPr>
        <w:t>אריה</w:t>
      </w:r>
      <w:proofErr w:type="spellEnd"/>
      <w:r>
        <w:rPr>
          <w:rtl/>
        </w:rPr>
        <w:t>.</w:t>
      </w:r>
    </w:p>
    <w:p w14:paraId="3EC1B67D" w14:textId="77777777" w:rsidR="00AB3647" w:rsidRDefault="00000000" w:rsidP="007923E9">
      <w:pPr>
        <w:spacing w:after="100" w:line="276" w:lineRule="auto"/>
        <w:ind w:firstLine="340"/>
        <w:jc w:val="both"/>
      </w:pPr>
      <w:r>
        <w:rPr>
          <w:rtl/>
        </w:rPr>
        <w:t xml:space="preserve">עוד תיאור חי של הירידה בלימוד התורה באותו עשור נמצא </w:t>
      </w:r>
      <w:proofErr w:type="spellStart"/>
      <w:r>
        <w:rPr>
          <w:rtl/>
        </w:rPr>
        <w:t>ב“זכרונות</w:t>
      </w:r>
      <w:proofErr w:type="spellEnd"/>
      <w:r>
        <w:rPr>
          <w:rtl/>
        </w:rPr>
        <w:t xml:space="preserve"> מחנך עברי, ח״א”.</w:t>
      </w:r>
      <w:bookmarkStart w:id="783" w:name="_fnr486"/>
      <w:r>
        <w:rPr>
          <w:rStyle w:val="a5"/>
        </w:rPr>
        <w:footnoteReference w:id="486" w:customMarkFollows="0"/>
      </w:r>
      <w:bookmarkEnd w:id="783"/>
      <w:r>
        <w:rPr>
          <w:rtl/>
        </w:rPr>
        <w:t xml:space="preserve"> מחברו, אריה ליב </w:t>
      </w:r>
      <w:proofErr w:type="spellStart"/>
      <w:r>
        <w:rPr>
          <w:rtl/>
        </w:rPr>
        <w:t>הורוויץ</w:t>
      </w:r>
      <w:proofErr w:type="spellEnd"/>
      <w:r>
        <w:rPr>
          <w:rtl/>
        </w:rPr>
        <w:t xml:space="preserve">, נזכר שם בביקורו האחרון בבית המדרש </w:t>
      </w:r>
      <w:proofErr w:type="spellStart"/>
      <w:r>
        <w:rPr>
          <w:rtl/>
        </w:rPr>
        <w:t>בסמורגון</w:t>
      </w:r>
      <w:proofErr w:type="spellEnd"/>
      <w:r>
        <w:rPr>
          <w:rtl/>
        </w:rPr>
        <w:t xml:space="preserve">, שהיה בו פעם “קיבוץ של שישים או שבעים לומדים”, וכך הוא כותב: “בית המדרש היה פתוח יומם ולילה, ומעולם לא ראיתיו ריק מלומדי תורה. בקיץ 1903 [תרס״ג], כשעמדתי לצאת לאמריקה, באתי מווילנה, מקום מגורי החדש, להיפרד מבני משפחתי [</w:t>
      </w:r>
      <w:proofErr w:type="spellStart"/>
      <w:r>
        <w:rPr>
          <w:rtl/>
        </w:rPr>
        <w:t>בסמורגון</w:t>
      </w:r>
      <w:proofErr w:type="spellEnd"/>
      <w:r>
        <w:rPr>
          <w:rtl/>
        </w:rPr>
        <w:t xml:space="preserve">]. אחר הצהריים באתי להיפרד מבית המדרש שנחרת במעמקי נפשי בשנות נעוריי. מצאתי את דלתו נעולה במנעול. התנועה הסוציאליסטית סחפה לשורותיה את אחרוני לומדי בית המדרש. בדמעות נפרדתי </w:t>
      </w:r>
      <w:proofErr w:type="spellStart"/>
      <w:r>
        <w:rPr>
          <w:rtl/>
        </w:rPr>
        <w:t>מסִפּו</w:t>
      </w:r>
      <w:proofErr w:type="spellEnd"/>
      <w:r>
        <w:rPr>
          <w:rtl/>
        </w:rPr>
        <w:t>ֹ.”</w:t>
      </w:r>
    </w:p>
    <w:p w14:paraId="2882B772" w14:textId="77777777" w:rsidR="00AB3647" w:rsidRDefault="00000000" w:rsidP="007923E9">
      <w:pPr>
        <w:spacing w:after="100" w:line="276" w:lineRule="auto"/>
        <w:ind w:firstLine="340"/>
        <w:jc w:val="both"/>
      </w:pPr>
      <w:r>
        <w:rPr>
          <w:rtl/>
        </w:rPr>
        <w:t>כבר בשנת תרל״ט</w:t>
      </w:r>
      <w:bookmarkStart w:id="784" w:name="_fnr487"/>
      <w:bookmarkEnd w:id="784"/>
      <w:r>
        <w:rPr>
          <w:rStyle w:val="a5"/>
        </w:rPr>
        <w:t/>
      </w:r>
      <w:bookmarkStart w:id="6997" w:name="_TranslatorNote_5370"/>
      <w:r>
        <w:rPr>
          <w:rStyle w:val="a5"/>
          <w:vertAlign w:val="superscript"/>
          <w:rtl/>
        </w:rPr>
        <w:footnoteReference w:id="487" w:customMarkFollows="1"/>
        <w:t>*</w:t>
      </w:r>
      <w:bookmarkEnd w:id="6997"/>
      <w:r>
        <w:rPr>
          <w:rtl/>
        </w:rPr>
        <w:t xml:space="preserve"> מקונן הכרוז הפותח את “עץ פרי”:</w:t>
      </w:r>
      <w:bookmarkStart w:id="785" w:name="_fnr488"/>
      <w:r>
        <w:rPr>
          <w:rStyle w:val="a5"/>
        </w:rPr>
        <w:footnoteReference w:id="488" w:customMarkFollows="0"/>
      </w:r>
      <w:bookmarkEnd w:id="785"/>
      <w:r>
        <w:rPr>
          <w:rtl/>
        </w:rPr>
        <w:t xml:space="preserve"> “בפנותנו אל בתי הכנסיות ובתי המדרשות, נראה את... הפרט והעוללות שהשאירה לנו המגפה... הנקראת... ‘הרוח החדשה’ או ‘הרוח החופשית’: שניים שלושה גרגרים בראש אמיר.” ואכן, “נחלת חיים”</w:t>
      </w:r>
      <w:bookmarkStart w:id="786" w:name="_fnr489"/>
      <w:r>
        <w:rPr>
          <w:rStyle w:val="a5"/>
        </w:rPr>
        <w:footnoteReference w:id="489" w:customMarkFollows="0"/>
      </w:r>
      <w:bookmarkEnd w:id="786"/>
      <w:r>
        <w:rPr>
          <w:rtl/>
        </w:rPr>
        <w:t xml:space="preserve"> מקדים את הבעיה לשנות </w:t>
      </w:r>
      <w:proofErr w:type="spellStart"/>
      <w:r>
        <w:rPr>
          <w:rtl/>
        </w:rPr>
        <w:t>התר״ל</w:t>
      </w:r>
      <w:proofErr w:type="spellEnd"/>
      <w:r>
        <w:rPr>
          <w:rtl/>
        </w:rPr>
        <w:t xml:space="preserve">, כשהוא אומר בדרשת שבת הגדול משנת תר״ס המובאת שם: “זה כשלושים שנה שכמעט כל בני הדור החדש מבני העשירים עזבו את התורה... ובכן במשך שלושים השנים האלה ירד כבוד התורה פלאים ונפלה עטרתה לארץ, ולולא קמו מעוררים בעלי רוח לחזק את צרכי הישיבות </w:t>
      </w:r>
      <w:proofErr w:type="spellStart"/>
      <w:r>
        <w:rPr>
          <w:rtl/>
        </w:rPr>
        <w:t>בטלז</w:t>
      </w:r>
      <w:proofErr w:type="spellEnd"/>
      <w:r>
        <w:rPr>
          <w:rtl/>
        </w:rPr>
        <w:t xml:space="preserve"> ובקובנה, מי יודע אם לא הייתה התורה, חלילה, נשכחת גם מבני העניים.”</w:t>
      </w:r>
    </w:p>
    <w:bookmarkStart w:id="787" w:name="b2_note14"/>
    <w:p w14:paraId="39C468AE" w14:textId="77777777" w:rsidR="00AB3647" w:rsidRDefault="00000000" w:rsidP="007923E9">
      <w:pPr>
        <w:spacing w:before="120" w:after="100" w:line="276" w:lineRule="auto"/>
        <w:jc w:val="both"/>
      </w:pPr>
      <w:r>
        <w:lastRenderedPageBreak/>
        <w:fldChar w:fldCharType="begin" w:dirty="true"/>
      </w:r>
      <w:r>
        <w:instrText>HYPERLINK \l "b2_ref14"</w:instrText>
      </w:r>
      <w:r>
        <w:fldChar w:fldCharType="separate"/>
      </w:r>
      <w:r>
        <w:rPr>
          <w:b/>
          <w:bCs/>
          <w:rtl/>
        </w:rPr>
        <w:t>14</w:t>
      </w:r>
      <w:r>
        <w:rPr>
          <w:b/>
          <w:bCs/>
        </w:rPr>
        <w:fldChar w:fldCharType="end"/>
      </w:r>
      <w:bookmarkEnd w:id="787"/>
      <w:r>
        <w:rPr>
          <w:rtl/>
        </w:rPr>
        <w:t xml:space="preserve"> במינסק היו שמונים ושלושה בתי כנסת, והם נמנים </w:t>
      </w:r>
      <w:proofErr w:type="spellStart"/>
      <w:r>
        <w:rPr>
          <w:rtl/>
        </w:rPr>
        <w:t>ב“מינסק</w:t>
      </w:r>
      <w:proofErr w:type="spellEnd"/>
      <w:r>
        <w:rPr>
          <w:rtl/>
        </w:rPr>
        <w:t xml:space="preserve"> עיר ואם א”.</w:t>
      </w:r>
      <w:bookmarkStart w:id="788" w:name="_fnr490"/>
      <w:r>
        <w:rPr>
          <w:rStyle w:val="a5"/>
        </w:rPr>
        <w:footnoteReference w:id="490" w:customMarkFollows="0"/>
      </w:r>
      <w:bookmarkEnd w:id="788"/>
      <w:r>
        <w:rPr>
          <w:rtl/>
        </w:rPr>
        <w:t xml:space="preserve"> מחבר “</w:t>
      </w:r>
      <w:proofErr w:type="spellStart"/>
      <w:r>
        <w:rPr>
          <w:rtl/>
        </w:rPr>
        <w:t>זכרונות</w:t>
      </w:r>
      <w:proofErr w:type="spellEnd"/>
      <w:r>
        <w:rPr>
          <w:rtl/>
        </w:rPr>
        <w:t xml:space="preserve"> פון צווי דורות” טוען </w:t>
      </w:r>
      <w:proofErr w:type="spellStart"/>
      <w:r>
        <w:rPr>
          <w:rtl/>
        </w:rPr>
        <w:t>ש“כמעט</w:t>
      </w:r>
      <w:proofErr w:type="spellEnd"/>
      <w:r>
        <w:rPr>
          <w:rtl/>
        </w:rPr>
        <w:t xml:space="preserve"> בכל בית כנסת לומדים בחורי ישיבה”. הוא מונה בשמותיהם בתי כנסת כאלה, ומוסיף “עוד בתי כנסת רבים”. ברשימתו שמונה בתי כנסת: </w:t>
      </w:r>
      <w:proofErr w:type="spellStart"/>
      <w:r>
        <w:rPr>
          <w:rtl/>
        </w:rPr>
        <w:t>הקלויז</w:t>
      </w:r>
      <w:proofErr w:type="spellEnd"/>
      <w:r>
        <w:rPr>
          <w:rtl/>
        </w:rPr>
        <w:t xml:space="preserve"> של </w:t>
      </w:r>
      <w:proofErr w:type="spellStart"/>
      <w:r>
        <w:rPr>
          <w:rtl/>
        </w:rPr>
        <w:t>בלומקה</w:t>
      </w:r>
      <w:proofErr w:type="spellEnd"/>
      <w:r>
        <w:rPr>
          <w:rtl/>
        </w:rPr>
        <w:t>, בית המדרש הקטן, בית הכנסת של שואבי המים, בית הכנסת של השחיטה הכשרה (</w:t>
      </w:r>
      <w:proofErr w:type="spellStart"/>
      <w:r>
        <w:rPr>
          <w:rtl/>
        </w:rPr>
        <w:t>הקצבים</w:t>
      </w:r>
      <w:proofErr w:type="spellEnd"/>
      <w:r>
        <w:rPr>
          <w:rtl/>
        </w:rPr>
        <w:t xml:space="preserve">), בית הכנסת של </w:t>
      </w:r>
      <w:proofErr w:type="spellStart"/>
      <w:r>
        <w:rPr>
          <w:rtl/>
        </w:rPr>
        <w:t>חטאייביץ׳־עטינגר</w:t>
      </w:r>
      <w:proofErr w:type="spellEnd"/>
      <w:r>
        <w:rPr>
          <w:rtl/>
        </w:rPr>
        <w:t>, בית הכנסת של השוליות, בית הכנסת של החייטים ובית הכנסת של הסנדלרים.</w:t>
      </w:r>
    </w:p>
    <w:p w14:paraId="3EF0B400" w14:textId="77777777" w:rsidR="00AB3647" w:rsidRDefault="00000000" w:rsidP="007923E9">
      <w:pPr>
        <w:spacing w:before="120" w:after="100" w:line="276" w:lineRule="auto"/>
        <w:jc w:val="both"/>
      </w:pPr>
      <w:r>
        <w:rPr>
          <w:rtl/>
        </w:rPr>
        <w:t xml:space="preserve">מצאתי עוד שלושה בתי כנסת מסוימים שהיו בהם ישיבות: בית הכנסת של הכובענים, בית הכנסת משכיל לאיתן ובית הכנסת של </w:t>
      </w:r>
      <w:proofErr w:type="spellStart"/>
      <w:r>
        <w:rPr>
          <w:rtl/>
        </w:rPr>
        <w:t>קומרובקה</w:t>
      </w:r>
      <w:proofErr w:type="spellEnd"/>
      <w:r>
        <w:rPr>
          <w:rtl/>
        </w:rPr>
        <w:t xml:space="preserve">. אבל טענתו של הורוביץ שהיו ישיבות כמעט בכל בית כנסת נראית מוגזמת – אלא אם כן לא כלל בחשבונו רבים מן המניינים הקטנים שבין השמונים ושלושה שנמנו </w:t>
      </w:r>
      <w:proofErr w:type="spellStart"/>
      <w:r>
        <w:rPr>
          <w:rtl/>
        </w:rPr>
        <w:t>ב“מינסק</w:t>
      </w:r>
      <w:proofErr w:type="spellEnd"/>
      <w:r>
        <w:rPr>
          <w:rtl/>
        </w:rPr>
        <w:t xml:space="preserve"> עיר ואם”.</w:t>
      </w:r>
      <w:bookmarkStart w:id="789" w:name="_fnr491"/>
      <w:r>
        <w:rPr>
          <w:rStyle w:val="a5"/>
        </w:rPr>
        <w:footnoteReference w:id="491" w:customMarkFollows="0"/>
      </w:r>
      <w:bookmarkEnd w:id="789"/>
    </w:p>
    <w:p w14:paraId="33364735" w14:textId="77777777" w:rsidR="00AB3647" w:rsidRDefault="00000000" w:rsidP="007923E9">
      <w:pPr>
        <w:spacing w:after="100" w:line="276" w:lineRule="auto"/>
        <w:ind w:firstLine="340"/>
        <w:jc w:val="both"/>
      </w:pPr>
      <w:r>
        <w:rPr>
          <w:rtl/>
        </w:rPr>
        <w:t>מרא דאתרא</w:t>
      </w:r>
      <w:bookmarkStart w:id="790" w:name="_fnr492"/>
      <w:r>
        <w:rPr>
          <w:rStyle w:val="a5"/>
        </w:rPr>
        <w:footnoteReference w:id="492" w:customMarkFollows="0"/>
      </w:r>
      <w:bookmarkEnd w:id="790"/>
      <w:r>
        <w:rPr>
          <w:rtl/>
        </w:rPr>
        <w:t xml:space="preserve"> של מינסק, ר׳ לייזר </w:t>
      </w:r>
      <w:proofErr w:type="spellStart"/>
      <w:r>
        <w:rPr>
          <w:rtl/>
        </w:rPr>
        <w:t>רבינוביץ</w:t>
      </w:r>
      <w:proofErr w:type="spellEnd"/>
      <w:r>
        <w:rPr>
          <w:rtl/>
        </w:rPr>
        <w:t>, התפלל בבית הכנסת הראשי, ששלט על חצר בתי הכנסת. הבניין היה בן שלוש מאות שנה, וכינוהו “בית הכנסת הגדול”, “בית הכנסת של העיר”, או “בית הכנסת הקר” – מפני שלא היה בו תנור לחמם את חללו העצום.</w:t>
      </w:r>
      <w:bookmarkStart w:id="791" w:name="_fnr493"/>
      <w:r>
        <w:rPr>
          <w:rStyle w:val="a5"/>
        </w:rPr>
        <w:footnoteReference w:id="493" w:customMarkFollows="0"/>
      </w:r>
      <w:bookmarkEnd w:id="791"/>
      <w:r>
        <w:rPr>
          <w:rtl/>
        </w:rPr>
        <w:t xml:space="preserve"> כדי לקיים את חובתה ההלכתית של העיר שיהיה בה בית כנסת פעיל,</w:t>
      </w:r>
      <w:bookmarkStart w:id="792" w:name="_fnr494"/>
      <w:r>
        <w:rPr>
          <w:rStyle w:val="a5"/>
        </w:rPr>
        <w:footnoteReference w:id="494" w:customMarkFollows="0"/>
      </w:r>
      <w:bookmarkEnd w:id="792"/>
      <w:r>
        <w:rPr>
          <w:rtl/>
        </w:rPr>
        <w:t xml:space="preserve"> שילם הציבור למניין יהודים שיסבלו את קור החורף ויתפללו בבית הכנסת הגדול.</w:t>
      </w:r>
      <w:bookmarkStart w:id="793" w:name="_fnr495"/>
      <w:r>
        <w:rPr>
          <w:rStyle w:val="a5"/>
        </w:rPr>
        <w:footnoteReference w:id="495" w:customMarkFollows="0"/>
      </w:r>
      <w:bookmarkEnd w:id="793"/>
      <w:r>
        <w:rPr>
          <w:rtl/>
        </w:rPr>
        <w:t xml:space="preserve"> כדין, לא הייתה מזוזה על פתחיו.</w:t>
      </w:r>
      <w:bookmarkStart w:id="794" w:name="_fnr496"/>
      <w:r>
        <w:rPr>
          <w:rStyle w:val="a5"/>
        </w:rPr>
        <w:footnoteReference w:id="496" w:customMarkFollows="0"/>
      </w:r>
      <w:bookmarkEnd w:id="794"/>
      <w:r>
        <w:rPr>
          <w:rtl/>
        </w:rPr>
        <w:t xml:space="preserve"> בשנות </w:t>
      </w:r>
      <w:proofErr w:type="spellStart"/>
      <w:r>
        <w:rPr>
          <w:rtl/>
        </w:rPr>
        <w:t xml:space="preserve">התר״צ</w:t>
      </w:r>
      <w:proofErr w:type="spellEnd"/>
      <w:r>
        <w:rPr>
          <w:rtl/>
        </w:rPr>
        <w:t xml:space="preserve"> הרס השלטון הקומוניסטי את כל </w:t>
      </w:r>
      <w:proofErr w:type="spellStart"/>
      <w:r>
        <w:rPr>
          <w:rtl/>
        </w:rPr>
        <w:t>השולהויף</w:t>
      </w:r>
      <w:proofErr w:type="spellEnd"/>
      <w:r>
        <w:rPr>
          <w:rtl/>
        </w:rPr>
        <w:t xml:space="preserve"> מלבד בית הכנסת הגדול, באמתלה של הרחבת רחובות העיר.</w:t>
      </w:r>
    </w:p>
    <w:p w14:paraId="4456829D"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בדרך כלל שימש רב בית הכנסת שבו שכנה ישיבה גם ראש הישיבה של החבורה שלמדה בו. כמה ישיבות שכרו גם משגיח מיוחד, שישהה עם התלמידים כל היום. הקהילה דאגה בנדיבות לפרנסתם של בני התורה הצעירים: פתחה לפניהם את מטבחיה וחדרי האוכל שלה, וגם שילמה את משכורותיהם (הדלות) של מוריהם.</w:t>
      </w:r>
    </w:p>
    <w:p w14:paraId="45DD8A04" w14:textId="5D204E3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בזמן הזה פנו חלקים רבים מיהדות מינסק עורף לשמירת המצוות, והמירו את נאמנותם ליהדות בנאמנות לסוציאליזם או לציונות, ולכן הכביד הנטל הכספי עוד יותר על הנאמנים שנותרו. אבל מפני שרבים מעשירי מינסק נשארו מסורים לתורה</w:t>
      </w:r>
      <w:bookmarkStart w:id="795" w:name="b2_ref15"/>
      <w:bookmarkEnd w:id="795"/>
      <w:r>
        <w:rPr>
          <w:vertAlign w:val="superscript"/>
          <w:rtl/>
        </w:rPr>
        <w:fldChar w:fldCharType="begin" w:dirty="true"/>
      </w:r>
      <w:r>
        <w:rPr>
          <w:vertAlign w:val="superscript"/>
          <w:rtl/>
        </w:rPr>
        <w:instrText xml:space="preserve"> REF b2_note15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ולערכיה, לא נפגע מעמדה של העיר כמרכז ללימוד תורה.</w:t>
      </w:r>
    </w:p>
    <w:bookmarkStart w:id="796" w:name="b2_note15"/>
    <w:p w14:paraId="5F049225" w14:textId="3B656FFE" w:rsidR="00AB3647" w:rsidRDefault="00000000" w:rsidP="007923E9">
      <w:pPr>
        <w:spacing w:before="120" w:after="100" w:line="276" w:lineRule="auto"/>
        <w:jc w:val="both"/>
      </w:pPr>
      <w:r>
        <w:fldChar w:fldCharType="begin" w:dirty="true"/>
      </w:r>
      <w:r>
        <w:instrText>HYPERLINK \l "b2_ref15"</w:instrText>
      </w:r>
      <w:r>
        <w:fldChar w:fldCharType="separate"/>
      </w:r>
      <w:r>
        <w:rPr>
          <w:b/>
          <w:bCs/>
          <w:rtl/>
        </w:rPr>
        <w:t>15</w:t>
      </w:r>
      <w:r>
        <w:rPr>
          <w:b/>
          <w:bCs/>
        </w:rPr>
        <w:fldChar w:fldCharType="end"/>
      </w:r>
      <w:bookmarkEnd w:id="796"/>
      <w:r>
        <w:rPr>
          <w:rtl/>
        </w:rPr>
        <w:t xml:space="preserve"> ראה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D677559" w14:textId="3D863F3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ההערכה שרחשו בעלי הבתים הדתיים לתורה לא הצטמצמה לתמיכה בלימודה: תושבי מינסק היהודית עסקו בעצמם בלימוד תורה. מלבד האנשים הרבים שנשותיהם פרנסו אותם בשעה שלמדו בבית המדרש כל היום, היה מקובל בכל בלארוס שאנשי עסקים ובעלי מלאכה שומרי מצוות יקדישו שעות רבות ללימוד תורה בבית המדרש בתום יום העבודה</w:t>
      </w:r>
      <w:bookmarkStart w:id="797" w:name="b2_ref16"/>
      <w:bookmarkEnd w:id="797"/>
      <w:r>
        <w:rPr>
          <w:vertAlign w:val="superscript"/>
          <w:rtl/>
        </w:rPr>
        <w:fldChar w:fldCharType="begin" w:dirty="true"/>
      </w:r>
      <w:r>
        <w:rPr>
          <w:vertAlign w:val="superscript"/>
          <w:rtl/>
        </w:rPr>
        <w:instrText xml:space="preserve"> REF b2_note16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w:t>
      </w:r>
    </w:p>
    <w:bookmarkStart w:id="798" w:name="b2_note16"/>
    <w:p w14:paraId="150DC45B" w14:textId="77777777" w:rsidR="00AB3647" w:rsidRDefault="00000000" w:rsidP="007923E9">
      <w:pPr>
        <w:spacing w:before="120" w:after="100" w:line="276" w:lineRule="auto"/>
        <w:jc w:val="both"/>
      </w:pPr>
      <w:r>
        <w:fldChar w:fldCharType="begin" w:dirty="true"/>
      </w:r>
      <w:r>
        <w:instrText>HYPERLINK \l "b2_ref16"</w:instrText>
      </w:r>
      <w:r>
        <w:fldChar w:fldCharType="separate"/>
      </w:r>
      <w:r>
        <w:rPr>
          <w:b/>
          <w:bCs/>
          <w:rtl/>
        </w:rPr>
        <w:t>16</w:t>
      </w:r>
      <w:r>
        <w:rPr>
          <w:b/>
          <w:bCs/>
        </w:rPr>
        <w:fldChar w:fldCharType="end"/>
      </w:r>
      <w:bookmarkEnd w:id="798"/>
      <w:r>
        <w:rPr>
          <w:rtl/>
        </w:rPr>
        <w:t xml:space="preserve"> מעניין התיאור הבא, מפי </w:t>
      </w:r>
      <w:r>
        <w:rPr>
          <w:b/>
          <w:bCs/>
          <w:rtl/>
        </w:rPr>
        <w:t>אדם מן החוץ</w:t>
      </w:r>
      <w:r>
        <w:rPr>
          <w:rtl/>
        </w:rPr>
        <w:t>: ד״ר אלכסנדר גולדשטיין היה פובליציסט בכמה לשונות, ולפי עדותו מעולם לא למד בחדר ולא נכנס לישיבה. הוא היה בוגר הפקולטה למשפטים באוניברסיטת פטרבורג</w:t>
      </w:r>
      <w:bookmarkStart w:id="799" w:name="_fnr497"/>
      <w:r>
        <w:rPr>
          <w:rStyle w:val="a5"/>
        </w:rPr>
        <w:footnoteReference w:id="497" w:customMarkFollows="0"/>
      </w:r>
      <w:bookmarkEnd w:id="799"/>
      <w:r>
        <w:rPr>
          <w:rtl/>
        </w:rPr>
        <w:t>.</w:t>
      </w:r>
    </w:p>
    <w:p w14:paraId="4C32958C" w14:textId="77777777" w:rsidR="00AB3647" w:rsidRDefault="00000000" w:rsidP="007923E9">
      <w:pPr>
        <w:spacing w:before="120" w:after="100" w:line="276" w:lineRule="auto"/>
        <w:jc w:val="both"/>
      </w:pPr>
      <w:r>
        <w:rPr>
          <w:rtl/>
        </w:rPr>
        <w:t>בזיכרונותיו</w:t>
      </w:r>
      <w:bookmarkStart w:id="800" w:name="_fnr498"/>
      <w:r>
        <w:rPr>
          <w:rStyle w:val="a5"/>
        </w:rPr>
        <w:footnoteReference w:id="498" w:customMarkFollows="0"/>
      </w:r>
      <w:bookmarkEnd w:id="800"/>
      <w:r>
        <w:rPr>
          <w:rtl/>
        </w:rPr>
        <w:t xml:space="preserve"> הוא כותב: “כמעט בכל רחוב היה בית כנסת, אבל בתי הכנסת העיקריים היו מרוכזים </w:t>
      </w:r>
      <w:proofErr w:type="spellStart"/>
      <w:r>
        <w:rPr>
          <w:rtl/>
        </w:rPr>
        <w:t>בשולהויף</w:t>
      </w:r>
      <w:proofErr w:type="spellEnd"/>
      <w:r>
        <w:rPr>
          <w:rtl/>
        </w:rPr>
        <w:t xml:space="preserve">. רובם היו לא רק בתי תפילה אלא גם בתי מדרש. יומם ולילה ישבו צעירים וזקנים ליד כרכים עבים וכבדים, שקועים בלימוד הגמרא. בכל פעם שיכולתי, השתדלתי לעבור דרך </w:t>
      </w:r>
      <w:proofErr w:type="spellStart"/>
      <w:r>
        <w:rPr>
          <w:rtl/>
        </w:rPr>
        <w:t>השולהויף</w:t>
      </w:r>
      <w:proofErr w:type="spellEnd"/>
      <w:r>
        <w:rPr>
          <w:rtl/>
        </w:rPr>
        <w:t xml:space="preserve">. ביום לא היה </w:t>
      </w:r>
      <w:proofErr w:type="spellStart"/>
      <w:r>
        <w:rPr>
          <w:rtl/>
        </w:rPr>
        <w:t>השולהויף</w:t>
      </w:r>
      <w:proofErr w:type="spellEnd"/>
      <w:r>
        <w:rPr>
          <w:rtl/>
        </w:rPr>
        <w:t xml:space="preserve"> ריק לעולם; לפני התפילה ואחריה שימש כמין מועדון – תמיד עמדו שם חבורות של יהודים ושוחחו על פוליטיקה או על הצרות שלא פסקו. אבל בערב אחרי ערבית, אחרי שהלכו לבתיהם אחרוני ‘חברי המועדון’, נעשתה החצר שקטה וריקה, ורק מתוך האפלולית של בתי הכנסת המוארים בנרות בקעו קולות דמויי שיר מלאי התלהבות ללימוד הגמרא. בעומק לבי השתוקקתי להשתתף בהתלהבותם, להכיר את עולמם המוזר שאשו משכה אותי אל קדושתו ואל מסתוריו – אבל מעולם לא מצאתי עוז להיכנס.”</w:t>
      </w:r>
    </w:p>
    <w:p w14:paraId="4BA0086E" w14:textId="6233CF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מוסד לימודי אחד, הידוע בשם “החדר של ר׳ איסר”, היה מיוחד למינסק. ר׳ יהושע </w:t>
      </w:r>
      <w:proofErr w:type="spellStart"/>
      <w:r>
        <w:rPr>
          <w:rtl/>
        </w:rPr>
        <w:t xml:space="preserve">הלר</w:t>
      </w:r>
      <w:proofErr w:type="spellEnd"/>
      <w:r>
        <w:rPr>
          <w:rtl/>
        </w:rPr>
        <w:t xml:space="preserve"> ייסד אותו בשנת תרי״ח</w:t>
      </w:r>
      <w:bookmarkStart w:id="801" w:name="b2_ref17"/>
      <w:bookmarkEnd w:id="801"/>
      <w:r>
        <w:rPr>
          <w:vertAlign w:val="superscript"/>
          <w:rtl/>
        </w:rPr>
        <w:fldChar w:fldCharType="begin" w:dirty="true"/>
      </w:r>
      <w:r>
        <w:rPr>
          <w:vertAlign w:val="superscript"/>
          <w:rtl/>
        </w:rPr>
        <w:instrText xml:space="preserve"> REF b2_note17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xml:space="preserve"> כדי להרבות ידיעת תורה בקרב פועלים חסרי השכלה תורנית. הוא נוסד </w:t>
      </w:r>
      <w:proofErr w:type="spellStart"/>
      <w:r>
        <w:rPr>
          <w:rtl/>
        </w:rPr>
        <w:t>ב“שול</w:t>
      </w:r>
      <w:proofErr w:type="spellEnd"/>
      <w:r>
        <w:rPr>
          <w:rtl/>
        </w:rPr>
        <w:t xml:space="preserve"> הבוץ”, בשכונה הענייה ביותר בעיר. השול עמד בחלק נמוך וביצתי של העיר, שרחובותיו היו שקועים בבוץ וכמעט בלתי עבירים בימי הגשמים – ומכאן שמו. שם מסר הרב, ר׳ איסר </w:t>
      </w:r>
      <w:proofErr w:type="spellStart"/>
      <w:r>
        <w:rPr>
          <w:rtl/>
        </w:rPr>
        <w:t>חכלוביץ</w:t>
      </w:r>
      <w:proofErr w:type="spellEnd"/>
      <w:r>
        <w:rPr>
          <w:rtl/>
        </w:rPr>
        <w:t>, שיעורים למאות פועלים, עד חצות הלילה בקיץ ולפני עלות השחר בחורף. בניגוד למשתתפים בחבורות הלימוד הרגילות של בעלי הבתים, נדרשו תלמידיו של ר׳ איסר להכין את חומר השיעור ולהיבחן עליו אחר כך.</w:t>
      </w:r>
    </w:p>
    <w:bookmarkStart w:id="802" w:name="b2_note17"/>
    <w:p w14:paraId="5570455E" w14:textId="77777777" w:rsidR="00AB3647" w:rsidRDefault="00000000" w:rsidP="007923E9">
      <w:pPr>
        <w:spacing w:before="120" w:after="100" w:line="276" w:lineRule="auto"/>
        <w:jc w:val="both"/>
      </w:pPr>
      <w:r>
        <w:fldChar w:fldCharType="begin" w:dirty="true"/>
      </w:r>
      <w:r>
        <w:instrText>HYPERLINK \l "b2_ref17"</w:instrText>
      </w:r>
      <w:r>
        <w:fldChar w:fldCharType="separate"/>
      </w:r>
      <w:r>
        <w:rPr>
          <w:b/>
          <w:bCs/>
          <w:rtl/>
        </w:rPr>
        <w:t>17</w:t>
      </w:r>
      <w:r>
        <w:rPr>
          <w:b/>
          <w:bCs/>
        </w:rPr>
        <w:fldChar w:fldCharType="end"/>
      </w:r>
      <w:bookmarkEnd w:id="802"/>
      <w:r>
        <w:rPr>
          <w:rtl/>
        </w:rPr>
        <w:t xml:space="preserve"> נולד בשנת תקע״ד, והיה אחד מארבעה אחים שהיו גדולי תורה</w:t>
      </w:r>
      <w:bookmarkStart w:id="803" w:name="_fnr499"/>
      <w:r>
        <w:rPr>
          <w:rStyle w:val="a5"/>
        </w:rPr>
        <w:footnoteReference w:id="499" w:customMarkFollows="0"/>
      </w:r>
      <w:bookmarkEnd w:id="803"/>
      <w:r>
        <w:rPr>
          <w:rtl/>
        </w:rPr>
        <w:t xml:space="preserve">. הוא בא למינסק </w:t>
      </w:r>
      <w:proofErr w:type="spellStart"/>
      <w:r>
        <w:rPr>
          <w:rtl/>
        </w:rPr>
        <w:t>מגרודנא</w:t>
      </w:r>
      <w:proofErr w:type="spellEnd"/>
      <w:r>
        <w:rPr>
          <w:rtl/>
        </w:rPr>
        <w:t xml:space="preserve"> כדי לקבל מכתב המלצה מרבו, ר׳ </w:t>
      </w:r>
      <w:proofErr w:type="spellStart"/>
      <w:r>
        <w:rPr>
          <w:rtl/>
        </w:rPr>
        <w:t>דוד־טעביל</w:t>
      </w:r>
      <w:bookmarkStart w:id="804" w:name="_fnr500"/>
      <w:proofErr w:type="spellEnd"/>
      <w:r>
        <w:rPr>
          <w:rStyle w:val="a5"/>
        </w:rPr>
        <w:footnoteReference w:id="500" w:customMarkFollows="0"/>
      </w:r>
      <w:bookmarkEnd w:id="804"/>
      <w:r>
        <w:rPr>
          <w:rtl/>
        </w:rPr>
        <w:t>, על אחד מספרי המוסר שחיבר</w:t>
      </w:r>
      <w:bookmarkStart w:id="805" w:name="_fnr501"/>
      <w:r>
        <w:rPr>
          <w:rStyle w:val="a5"/>
        </w:rPr>
        <w:footnoteReference w:id="501" w:customMarkFollows="0"/>
      </w:r>
      <w:bookmarkEnd w:id="805"/>
      <w:r>
        <w:rPr>
          <w:rtl/>
        </w:rPr>
        <w:t>.</w:t>
      </w:r>
    </w:p>
    <w:p w14:paraId="4F220615" w14:textId="77777777" w:rsidR="00AB3647" w:rsidRDefault="00000000" w:rsidP="007923E9">
      <w:pPr>
        <w:spacing w:before="120" w:after="100" w:line="276" w:lineRule="auto"/>
        <w:jc w:val="both"/>
      </w:pPr>
      <w:r>
        <w:rPr>
          <w:rtl/>
        </w:rPr>
        <w:lastRenderedPageBreak/>
        <w:t xml:space="preserve">לרב </w:t>
      </w:r>
      <w:proofErr w:type="spellStart"/>
      <w:r>
        <w:rPr>
          <w:rtl/>
        </w:rPr>
        <w:t xml:space="preserve">הלר</w:t>
      </w:r>
      <w:proofErr w:type="spellEnd"/>
      <w:r>
        <w:rPr>
          <w:rtl/>
        </w:rPr>
        <w:t xml:space="preserve"> מוקדש הפרק השלושים של “תנועת המוסר”, </w:t>
      </w:r>
      <w:proofErr w:type="spellStart"/>
      <w:r>
        <w:rPr>
          <w:rtl/>
        </w:rPr>
        <w:t>ח״ב</w:t>
      </w:r>
      <w:proofErr w:type="spellEnd"/>
      <w:r>
        <w:rPr>
          <w:rtl/>
        </w:rPr>
        <w:t>, מאת הרב דב כץ</w:t>
      </w:r>
      <w:bookmarkStart w:id="806" w:name="_fnr502"/>
      <w:r>
        <w:rPr>
          <w:rStyle w:val="a5"/>
        </w:rPr>
        <w:footnoteReference w:id="502" w:customMarkFollows="0"/>
      </w:r>
      <w:bookmarkEnd w:id="806"/>
      <w:r>
        <w:rPr>
          <w:rtl/>
        </w:rPr>
        <w:t xml:space="preserve">. בעיירה הליטאית </w:t>
      </w:r>
      <w:proofErr w:type="spellStart"/>
      <w:r>
        <w:rPr>
          <w:rtl/>
        </w:rPr>
        <w:t>פאלאנגן</w:t>
      </w:r>
      <w:proofErr w:type="spellEnd"/>
      <w:r>
        <w:rPr>
          <w:rtl/>
        </w:rPr>
        <w:t xml:space="preserve"> שעל חוף הים הבלטי, שבה כיהן כרב משנת תרכ״ד עד תרל״ד</w:t>
      </w:r>
      <w:bookmarkStart w:id="807" w:name="_fnr503"/>
      <w:r>
        <w:rPr>
          <w:rStyle w:val="a5"/>
        </w:rPr>
        <w:footnoteReference w:id="503" w:customMarkFollows="0"/>
      </w:r>
      <w:bookmarkEnd w:id="807"/>
      <w:r>
        <w:rPr>
          <w:rtl/>
        </w:rPr>
        <w:t xml:space="preserve">, ארגן הרב </w:t>
      </w:r>
      <w:proofErr w:type="spellStart"/>
      <w:r>
        <w:rPr>
          <w:rtl/>
        </w:rPr>
        <w:t xml:space="preserve">הלר</w:t>
      </w:r>
      <w:proofErr w:type="spellEnd"/>
      <w:r>
        <w:rPr>
          <w:rtl/>
        </w:rPr>
        <w:t xml:space="preserve">, מתוך דאגתו לחינוך העובדים, שיעורים לפועלים, וציווה על בעלי בתי החרושת היהודים לשחרר את עובדיהם לשעה ביום לשיעורי תורה. בשנת תרל״ד נעשה רב </w:t>
      </w:r>
      <w:proofErr w:type="spellStart"/>
      <w:r>
        <w:rPr>
          <w:rtl/>
        </w:rPr>
        <w:t>טלז</w:t>
      </w:r>
      <w:proofErr w:type="spellEnd"/>
      <w:r>
        <w:rPr>
          <w:rtl/>
        </w:rPr>
        <w:t xml:space="preserve">, ובשנת </w:t>
      </w:r>
      <w:proofErr w:type="spellStart"/>
      <w:r>
        <w:rPr>
          <w:rtl/>
        </w:rPr>
        <w:t>תר״ם</w:t>
      </w:r>
      <w:proofErr w:type="spellEnd"/>
      <w:r>
        <w:rPr>
          <w:rtl/>
        </w:rPr>
        <w:t xml:space="preserve"> קיבל לבסוף את משרת המגיד העירוני בווילנה. אבל מעולם לא כיהן במשרה זו, שכן כשבא </w:t>
      </w:r>
      <w:proofErr w:type="spellStart"/>
      <w:r>
        <w:rPr>
          <w:rtl/>
        </w:rPr>
        <w:t>לטלז</w:t>
      </w:r>
      <w:proofErr w:type="spellEnd"/>
      <w:r>
        <w:rPr>
          <w:rtl/>
        </w:rPr>
        <w:t xml:space="preserve"> לקחת עמו את אשתו לווילנה, נפטר.</w:t>
      </w:r>
    </w:p>
    <w:p w14:paraId="675032C9" w14:textId="013A6CB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איסר ישב על כיסא גבוה על הבימה שבאמצע בית הכנסת, ואנשים מכל הגילים ישבו צפופים סביב סביב, ספרים בידיהם. שקט מוחלט שרר כשר׳ איסר קרא בקול רם וברור את הקטע שלימד. הוא היכה בידו על הסטנדר לאות לקהל לחזור במקהלה על המשנה, הגמרא או הסעיף בשולחן ערוך, ורק אז המשיך לקטע הבא</w:t>
      </w:r>
      <w:bookmarkStart w:id="808" w:name="b2_ref18"/>
      <w:bookmarkEnd w:id="808"/>
      <w:r>
        <w:rPr>
          <w:vertAlign w:val="superscript"/>
          <w:rtl/>
        </w:rPr>
        <w:fldChar w:fldCharType="begin" w:dirty="true"/>
      </w:r>
      <w:r>
        <w:rPr>
          <w:vertAlign w:val="superscript"/>
          <w:rtl/>
        </w:rPr>
        <w:instrText xml:space="preserve"> REF b2_note18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סיום נערך שנה אחר שנה, ורבים מתלמידי “החדר” נעשו לימים תלמידי חכמים מופלגים</w:t>
      </w:r>
      <w:bookmarkStart w:id="809" w:name="b2_ref19"/>
      <w:bookmarkEnd w:id="809"/>
      <w:r>
        <w:rPr>
          <w:vertAlign w:val="superscript"/>
          <w:rtl/>
        </w:rPr>
        <w:fldChar w:fldCharType="begin" w:dirty="true"/>
      </w:r>
      <w:r>
        <w:rPr>
          <w:vertAlign w:val="superscript"/>
          <w:rtl/>
        </w:rPr>
        <w:instrText xml:space="preserve"> REF b2_note19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נוכחותם של המוני בחורי הישיבות במינסק היא שהפכה את העיר כולה למרכז תורה תוסס</w:t>
      </w:r>
      <w:bookmarkStart w:id="810" w:name="b2_ref20"/>
      <w:bookmarkEnd w:id="810"/>
      <w:r>
        <w:rPr>
          <w:vertAlign w:val="superscript"/>
          <w:rtl/>
        </w:rPr>
        <w:fldChar w:fldCharType="begin" w:dirty="true"/>
      </w:r>
      <w:r>
        <w:rPr>
          <w:vertAlign w:val="superscript"/>
          <w:rtl/>
        </w:rPr>
        <w:instrText xml:space="preserve"> REF b2_note20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w:t>
      </w:r>
    </w:p>
    <w:bookmarkStart w:id="811" w:name="b2_note18"/>
    <w:p w14:paraId="0AB93D16" w14:textId="77777777" w:rsidR="00AB3647" w:rsidRDefault="00000000" w:rsidP="007923E9">
      <w:pPr>
        <w:spacing w:before="120" w:after="100" w:line="276" w:lineRule="auto"/>
        <w:jc w:val="both"/>
      </w:pPr>
      <w:r>
        <w:fldChar w:fldCharType="begin" w:dirty="true"/>
      </w:r>
      <w:r>
        <w:instrText>HYPERLINK \l "b2_ref18"</w:instrText>
      </w:r>
      <w:r>
        <w:fldChar w:fldCharType="separate"/>
      </w:r>
      <w:r>
        <w:rPr>
          <w:b/>
          <w:bCs/>
          <w:rtl/>
        </w:rPr>
        <w:t>18</w:t>
      </w:r>
      <w:r>
        <w:rPr>
          <w:b/>
          <w:bCs/>
        </w:rPr>
        <w:fldChar w:fldCharType="end"/>
      </w:r>
      <w:bookmarkEnd w:id="811"/>
      <w:r>
        <w:rPr>
          <w:rtl/>
        </w:rPr>
        <w:t xml:space="preserve"> את שיטת הלימוד המיוחדת </w:t>
      </w:r>
      <w:proofErr w:type="spellStart"/>
      <w:r>
        <w:rPr>
          <w:rtl/>
        </w:rPr>
        <w:t>ב“חדר</w:t>
      </w:r>
      <w:proofErr w:type="spellEnd"/>
      <w:r>
        <w:rPr>
          <w:rtl/>
        </w:rPr>
        <w:t xml:space="preserve">” הנהיג המלמד הרב </w:t>
      </w:r>
      <w:proofErr w:type="spellStart"/>
      <w:r>
        <w:rPr>
          <w:rtl/>
        </w:rPr>
        <w:t>חכלוביץ</w:t>
      </w:r>
      <w:proofErr w:type="spellEnd"/>
      <w:r>
        <w:rPr>
          <w:rtl/>
        </w:rPr>
        <w:t xml:space="preserve"> ממינסק, ולא הרב </w:t>
      </w:r>
      <w:proofErr w:type="spellStart"/>
      <w:r>
        <w:rPr>
          <w:rtl/>
        </w:rPr>
        <w:t xml:space="preserve">הלר</w:t>
      </w:r>
      <w:proofErr w:type="spellEnd"/>
      <w:r>
        <w:rPr>
          <w:rtl/>
        </w:rPr>
        <w:t xml:space="preserve">, המייסד, שבא לביקור </w:t>
      </w:r>
      <w:proofErr w:type="spellStart"/>
      <w:r>
        <w:rPr>
          <w:rtl/>
        </w:rPr>
        <w:t>מגרודנא</w:t>
      </w:r>
      <w:proofErr w:type="spellEnd"/>
      <w:r>
        <w:rPr>
          <w:rtl/>
        </w:rPr>
        <w:t>. הקהל קרא לשול הבוץ “החדר של ר׳ איסר”, מפני שתפקד כבית ספר שאחרי שעות העבודה ולא כבית מדרש פשוט; ויש שקראו לו “שול החדר”.</w:t>
      </w:r>
    </w:p>
    <w:p w14:paraId="7F693653" w14:textId="77777777" w:rsidR="00AB3647" w:rsidRDefault="00000000" w:rsidP="007923E9">
      <w:pPr>
        <w:spacing w:after="100" w:line="276" w:lineRule="auto"/>
        <w:ind w:firstLine="340"/>
        <w:jc w:val="both"/>
      </w:pPr>
      <w:r>
        <w:rPr>
          <w:rtl/>
        </w:rPr>
        <w:t xml:space="preserve">סביר שאבי ראה את שיטת ההוראה של הרב </w:t>
      </w:r>
      <w:proofErr w:type="spellStart"/>
      <w:r>
        <w:rPr>
          <w:rtl/>
        </w:rPr>
        <w:t>חכלוביץ</w:t>
      </w:r>
      <w:proofErr w:type="spellEnd"/>
      <w:r>
        <w:rPr>
          <w:rtl/>
        </w:rPr>
        <w:t xml:space="preserve"> בזמן שהותו במינסק, שהרי השתמש באותן שיטות עצמן כשלימד בטורונטו בשנות מלחמת העולם השנייה, בישיבה שעמד בראשה – ישיבת </w:t>
      </w:r>
      <w:proofErr w:type="spellStart"/>
      <w:r>
        <w:rPr>
          <w:rtl/>
        </w:rPr>
        <w:t>מהרי״ל</w:t>
      </w:r>
      <w:proofErr w:type="spellEnd"/>
      <w:r>
        <w:rPr>
          <w:rtl/>
        </w:rPr>
        <w:t xml:space="preserve"> </w:t>
      </w:r>
      <w:proofErr w:type="spellStart"/>
      <w:r>
        <w:rPr>
          <w:rtl/>
        </w:rPr>
        <w:t>גראובארט</w:t>
      </w:r>
      <w:bookmarkStart w:id="812" w:name="_fnr504"/>
      <w:proofErr w:type="spellEnd"/>
      <w:r>
        <w:rPr>
          <w:rStyle w:val="a5"/>
        </w:rPr>
        <w:footnoteReference w:id="504" w:customMarkFollows="0"/>
      </w:r>
      <w:bookmarkEnd w:id="812"/>
      <w:r>
        <w:rPr>
          <w:rtl/>
        </w:rPr>
        <w:t xml:space="preserve">. ציבור תלמידיה היה מקביל לזה של “החדר של ר׳ איסר” בחלוקת זמן הלימוד היומי, אם כי לא בגיל, שכן התלמידים באו ללמוד בישיבה אחרי יום שלם בבתי הספר התיכוניים הציבוריים של טורונטו. בשני המקומות, בישיבת </w:t>
      </w:r>
      <w:proofErr w:type="spellStart"/>
      <w:r>
        <w:rPr>
          <w:rtl/>
        </w:rPr>
        <w:t>מהרי״ל</w:t>
      </w:r>
      <w:proofErr w:type="spellEnd"/>
      <w:r>
        <w:rPr>
          <w:rtl/>
        </w:rPr>
        <w:t xml:space="preserve"> </w:t>
      </w:r>
      <w:proofErr w:type="spellStart"/>
      <w:r>
        <w:rPr>
          <w:rtl/>
        </w:rPr>
        <w:t>גראובארט</w:t>
      </w:r>
      <w:proofErr w:type="spellEnd"/>
      <w:r>
        <w:rPr>
          <w:rtl/>
        </w:rPr>
        <w:t xml:space="preserve"> </w:t>
      </w:r>
      <w:proofErr w:type="spellStart"/>
      <w:r>
        <w:rPr>
          <w:rtl/>
        </w:rPr>
        <w:t>וב“חדר</w:t>
      </w:r>
      <w:proofErr w:type="spellEnd"/>
      <w:r>
        <w:rPr>
          <w:rtl/>
        </w:rPr>
        <w:t xml:space="preserve"> של ר׳ איסר”, למדו שלוש שעות ביום.</w:t>
      </w:r>
    </w:p>
    <w:p w14:paraId="02561D58" w14:textId="77777777" w:rsidR="00AB3647" w:rsidRDefault="00000000" w:rsidP="007923E9">
      <w:pPr>
        <w:spacing w:after="100" w:line="276" w:lineRule="auto"/>
        <w:ind w:firstLine="340"/>
        <w:jc w:val="both"/>
      </w:pPr>
      <w:r>
        <w:rPr>
          <w:rtl/>
        </w:rPr>
        <w:t xml:space="preserve">ר׳ איסר נפטר בשנת תרע״ב, אבל חתנו, ר׳ </w:t>
      </w:r>
      <w:proofErr w:type="spellStart"/>
      <w:r>
        <w:rPr>
          <w:rtl/>
        </w:rPr>
        <w:t>אריה־לייב</w:t>
      </w:r>
      <w:proofErr w:type="spellEnd"/>
      <w:r>
        <w:rPr>
          <w:rtl/>
        </w:rPr>
        <w:t xml:space="preserve"> דרדק, המשיך את מפעלו ואת דרכו החינוכית. “החדר של ר׳ איסר” פעל עד שנת תרפ״ח, עשור לאחר תחילת התקופה הבולשביקית.</w:t>
      </w:r>
    </w:p>
    <w:bookmarkStart w:id="813" w:name="b2_note19"/>
    <w:p w14:paraId="3CB070F1" w14:textId="77777777" w:rsidR="00AB3647" w:rsidRDefault="00000000" w:rsidP="007923E9">
      <w:pPr>
        <w:spacing w:before="120" w:after="100" w:line="276" w:lineRule="auto"/>
        <w:jc w:val="both"/>
      </w:pPr>
      <w:r>
        <w:fldChar w:fldCharType="begin" w:dirty="true"/>
      </w:r>
      <w:r>
        <w:instrText>HYPERLINK \l "b2_ref19"</w:instrText>
      </w:r>
      <w:r>
        <w:fldChar w:fldCharType="separate"/>
      </w:r>
      <w:r>
        <w:rPr>
          <w:b/>
          <w:bCs/>
          <w:rtl/>
        </w:rPr>
        <w:t>19</w:t>
      </w:r>
      <w:r>
        <w:rPr>
          <w:b/>
          <w:bCs/>
        </w:rPr>
        <w:fldChar w:fldCharType="end"/>
      </w:r>
      <w:bookmarkEnd w:id="813"/>
      <w:r>
        <w:rPr>
          <w:rtl/>
        </w:rPr>
        <w:t xml:space="preserve"> “מינסק עיר ואם א”</w:t>
      </w:r>
      <w:bookmarkStart w:id="814" w:name="_fnr505"/>
      <w:r>
        <w:rPr>
          <w:rStyle w:val="a5"/>
        </w:rPr>
        <w:footnoteReference w:id="505" w:customMarkFollows="0"/>
      </w:r>
      <w:bookmarkEnd w:id="814"/>
      <w:r>
        <w:rPr>
          <w:rtl/>
        </w:rPr>
        <w:t xml:space="preserve"> </w:t>
      </w:r>
      <w:proofErr w:type="spellStart"/>
      <w:r>
        <w:rPr>
          <w:rtl/>
        </w:rPr>
        <w:t>ו“מינסק</w:t>
      </w:r>
      <w:proofErr w:type="spellEnd"/>
      <w:r>
        <w:rPr>
          <w:rtl/>
        </w:rPr>
        <w:t xml:space="preserve"> עיר ואם ב”</w:t>
      </w:r>
      <w:bookmarkStart w:id="815" w:name="_fnr506"/>
      <w:r>
        <w:rPr>
          <w:rStyle w:val="a5"/>
        </w:rPr>
        <w:footnoteReference w:id="506" w:customMarkFollows="0"/>
      </w:r>
      <w:bookmarkEnd w:id="815"/>
      <w:r>
        <w:rPr>
          <w:rtl/>
        </w:rPr>
        <w:t>.</w:t>
      </w:r>
    </w:p>
    <w:bookmarkStart w:id="816" w:name="b2_note20"/>
    <w:p w14:paraId="57E99B54" w14:textId="77777777" w:rsidR="00AB3647" w:rsidRDefault="00000000" w:rsidP="007923E9">
      <w:pPr>
        <w:spacing w:before="120" w:after="100" w:line="276" w:lineRule="auto"/>
        <w:jc w:val="both"/>
      </w:pPr>
      <w:r>
        <w:fldChar w:fldCharType="begin" w:dirty="true"/>
      </w:r>
      <w:r>
        <w:instrText>HYPERLINK \l "b2_ref20"</w:instrText>
      </w:r>
      <w:r>
        <w:fldChar w:fldCharType="separate"/>
      </w:r>
      <w:r>
        <w:rPr>
          <w:b/>
          <w:bCs/>
          <w:rtl/>
        </w:rPr>
        <w:t>20</w:t>
      </w:r>
      <w:r>
        <w:rPr>
          <w:b/>
          <w:bCs/>
        </w:rPr>
        <w:fldChar w:fldCharType="end"/>
      </w:r>
      <w:bookmarkEnd w:id="816"/>
      <w:r>
        <w:rPr>
          <w:rtl/>
        </w:rPr>
        <w:t xml:space="preserve"> מופלא הדבר שמינסק נשארה מרכז תורה מחתרתי בעשור וחצי הראשונים של המשטר הקומוניסטי. השווה סעיף ח במאמרו של הרב משה </w:t>
      </w:r>
      <w:proofErr w:type="spellStart"/>
      <w:r>
        <w:rPr>
          <w:rtl/>
        </w:rPr>
        <w:t>גורדין</w:t>
      </w:r>
      <w:proofErr w:type="spellEnd"/>
      <w:r>
        <w:rPr>
          <w:rtl/>
        </w:rPr>
        <w:t xml:space="preserve"> בכתב העת “תבונה”</w:t>
      </w:r>
      <w:bookmarkStart w:id="817" w:name="_fnr507"/>
      <w:r>
        <w:rPr>
          <w:rStyle w:val="a5"/>
        </w:rPr>
        <w:footnoteReference w:id="507" w:customMarkFollows="0"/>
      </w:r>
      <w:bookmarkEnd w:id="817"/>
      <w:r>
        <w:rPr>
          <w:rtl/>
        </w:rPr>
        <w:t xml:space="preserve">. הוא מגלה </w:t>
      </w:r>
      <w:r>
        <w:rPr>
          <w:rtl/>
        </w:rPr>
        <w:lastRenderedPageBreak/>
        <w:t>שעל אף רדיפת ההורים ששלחו את ילדיהם ללמוד תורה (והשכר שניתן למלשינים עליהם), נרשמו בסתר לשיעורים בבתי כנסת יותר מ־400 ילדים “ועוד בחורי ישיבה רבים”.</w:t>
      </w:r>
    </w:p>
    <w:p w14:paraId="37F8C4D3" w14:textId="3969263C" w:rsidR="00AB3647" w:rsidRDefault="00000000" w:rsidP="007923E9">
      <w:pPr>
        <w:spacing w:before="120" w:after="100" w:line="276" w:lineRule="auto"/>
        <w:jc w:val="both"/>
      </w:pPr>
      <w:r>
        <w:rPr>
          <w:rtl/>
        </w:rPr>
        <w:t xml:space="preserve">הרב </w:t>
      </w:r>
      <w:proofErr w:type="spellStart"/>
      <w:r>
        <w:rPr>
          <w:rtl/>
        </w:rPr>
        <w:t>גורדין</w:t>
      </w:r>
      <w:proofErr w:type="spellEnd"/>
      <w:r>
        <w:rPr>
          <w:rtl/>
        </w:rPr>
        <w:t xml:space="preserve"> מציין </w:t>
      </w:r>
      <w:proofErr w:type="spellStart"/>
      <w:r>
        <w:rPr>
          <w:rtl/>
        </w:rPr>
        <w:t>ש“מלבד</w:t>
      </w:r>
      <w:proofErr w:type="spellEnd"/>
      <w:r>
        <w:rPr>
          <w:rtl/>
        </w:rPr>
        <w:t xml:space="preserve"> הנס הגדול שבניהול הלימודים – כיצד אפשר ללמד ילדים בסתר בלי שהילדים עצמם יגלו את הסוד? – היה כרוך בדבר נס נוסף. תושבי העיר לא יכלו לשלם למלמדים ולראשי הישיבות די מחייתם באופן קבוע, והיה צורך לשאת דרשות ונאומים בבתי הכנסת ולקרוא לכל אחד לתרום מהכנסתו הדלה. ובכל זאת נשאר הדבר נסתר מן הרשעים.” השווה גם מאמרים של הרב אשר </w:t>
      </w:r>
      <w:proofErr w:type="spellStart"/>
      <w:r>
        <w:rPr>
          <w:rtl/>
        </w:rPr>
        <w:t>קרשטיין</w:t>
      </w:r>
      <w:proofErr w:type="spellEnd"/>
      <w:r>
        <w:rPr>
          <w:rtl/>
        </w:rPr>
        <w:t xml:space="preserve"> ושל הרב משה צבי נריה </w:t>
      </w:r>
      <w:proofErr w:type="spellStart"/>
      <w:r>
        <w:rPr>
          <w:rtl/>
        </w:rPr>
        <w:t>ב“מינסק</w:t>
      </w:r>
      <w:proofErr w:type="spellEnd"/>
      <w:r>
        <w:rPr>
          <w:rtl/>
        </w:rPr>
        <w:t xml:space="preserve"> עיר ואם ב”</w:t>
      </w:r>
      <w:bookmarkStart w:id="818" w:name="_fnr508"/>
      <w:r>
        <w:rPr>
          <w:rStyle w:val="a5"/>
        </w:rPr>
        <w:footnoteReference w:id="508" w:customMarkFollows="0"/>
      </w:r>
      <w:bookmarkEnd w:id="818"/>
      <w:r>
        <w:rPr>
          <w:rtl/>
        </w:rPr>
        <w:t xml:space="preserve">, וכן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5DA3AE4A" w14:textId="77777777" w:rsidR="00AB3647" w:rsidRDefault="00000000" w:rsidP="007923E9">
      <w:pPr>
        <w:pStyle w:val="2"/>
        <w:spacing w:line="276" w:lineRule="auto"/>
      </w:pPr>
      <w:bookmarkStart w:id="819" w:name="b2_sec2"/>
      <w:r>
        <w:t>2.</w:t>
      </w:r>
      <w:bookmarkEnd w:id="819"/>
    </w:p>
    <w:p w14:paraId="6B622C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הראה לאחיו את החדר שבו התאכסן, והבחור שזה עתה הגיע הבין מיד שאינו גדול דיו לשני אנשים. לישון באחד מבתי המדרש היה פתרון אחרון, ולכן החליטו האחים לבקש מאחד מדודיהם מקום לינה לבחור הישיבה שזה עתה הגיע. אחרי מה שעבר על </w:t>
      </w:r>
      <w:proofErr w:type="spellStart"/>
      <w:r>
        <w:rPr>
          <w:rtl/>
        </w:rPr>
        <w:t>חיים־זרח</w:t>
      </w:r>
      <w:proofErr w:type="spellEnd"/>
      <w:r>
        <w:rPr>
          <w:rtl/>
        </w:rPr>
        <w:t xml:space="preserve">, ביתה של הדודה דבורה </w:t>
      </w:r>
      <w:proofErr w:type="spellStart"/>
      <w:r>
        <w:rPr>
          <w:rtl/>
        </w:rPr>
        <w:t>במדס</w:t>
      </w:r>
      <w:proofErr w:type="spellEnd"/>
      <w:r>
        <w:rPr>
          <w:rtl/>
        </w:rPr>
        <w:t xml:space="preserve"> לא בא בחשבון, ופנו אל הדוד </w:t>
      </w:r>
      <w:proofErr w:type="spellStart"/>
      <w:r>
        <w:rPr>
          <w:rtl/>
        </w:rPr>
        <w:t>אברהם־משה</w:t>
      </w:r>
      <w:proofErr w:type="spellEnd"/>
      <w:r>
        <w:rPr>
          <w:rtl/>
        </w:rPr>
        <w:t xml:space="preserve">. הוא ואשתו </w:t>
      </w:r>
      <w:proofErr w:type="spellStart"/>
      <w:r>
        <w:rPr>
          <w:rtl/>
        </w:rPr>
        <w:t>עטיל</w:t>
      </w:r>
      <w:proofErr w:type="spellEnd"/>
      <w:r>
        <w:rPr>
          <w:rtl/>
        </w:rPr>
        <w:t xml:space="preserve"> – שני בניהם, לייזר ואהרן, היו בערך בגילו של רבנו – שמחו לתת לאחיינם מקום שינה בגומחה שליד פרוזדור בביתם.</w:t>
      </w:r>
    </w:p>
    <w:p w14:paraId="304BEF2E" w14:textId="11EC9F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משהוסדר עניין זה, הלך הבא החדש, שהשתוקק להתחיל בלימודיו, אל שול הכובענים</w:t>
      </w:r>
      <w:bookmarkStart w:id="820" w:name="b2_ref21"/>
      <w:bookmarkEnd w:id="820"/>
      <w:r>
        <w:rPr>
          <w:vertAlign w:val="superscript"/>
          <w:rtl/>
        </w:rPr>
        <w:fldChar w:fldCharType="begin" w:dirty="true"/>
      </w:r>
      <w:r>
        <w:rPr>
          <w:vertAlign w:val="superscript"/>
          <w:rtl/>
        </w:rPr>
        <w:instrText xml:space="preserve"> REF b2_note21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שברחוב </w:t>
      </w:r>
      <w:proofErr w:type="spellStart"/>
      <w:r>
        <w:rPr>
          <w:rtl/>
        </w:rPr>
        <w:t>יטקובר</w:t>
      </w:r>
      <w:proofErr w:type="spellEnd"/>
      <w:r>
        <w:rPr>
          <w:rtl/>
        </w:rPr>
        <w:t xml:space="preserve">, ששכנה בו ישיבה לנערים בני גילו, כדי להיבחן בבחינת הקבלה אצל רב השול וראש הישיבה שבו, ר׳ ראובן </w:t>
      </w:r>
      <w:proofErr w:type="spellStart"/>
      <w:r>
        <w:rPr>
          <w:rtl/>
        </w:rPr>
        <w:t>יודקובסקי</w:t>
      </w:r>
      <w:proofErr w:type="spellEnd"/>
      <w:r>
        <w:rPr>
          <w:rtl/>
        </w:rPr>
        <w:t>.</w:t>
      </w:r>
    </w:p>
    <w:bookmarkStart w:id="821" w:name="b2_note21"/>
    <w:p w14:paraId="6C238F00" w14:textId="77777777" w:rsidR="00AB3647" w:rsidRDefault="00000000" w:rsidP="007923E9">
      <w:pPr>
        <w:spacing w:before="120" w:after="100" w:line="276" w:lineRule="auto"/>
        <w:jc w:val="both"/>
      </w:pPr>
      <w:r>
        <w:fldChar w:fldCharType="begin" w:dirty="true"/>
      </w:r>
      <w:r>
        <w:instrText>HYPERLINK \l "b2_ref21"</w:instrText>
      </w:r>
      <w:r>
        <w:fldChar w:fldCharType="separate"/>
      </w:r>
      <w:r>
        <w:rPr>
          <w:b/>
          <w:bCs/>
          <w:rtl/>
        </w:rPr>
        <w:t>21</w:t>
      </w:r>
      <w:r>
        <w:rPr>
          <w:b/>
          <w:bCs/>
        </w:rPr>
        <w:fldChar w:fldCharType="end"/>
      </w:r>
      <w:bookmarkEnd w:id="821"/>
      <w:r>
        <w:rPr>
          <w:rtl/>
        </w:rPr>
        <w:t xml:space="preserve"> כל אגודת בעלי מלאכה בנתה לעצמה שול משלה, ובסך הכול היו </w:t>
      </w:r>
      <w:proofErr w:type="spellStart"/>
      <w:r>
        <w:rPr>
          <w:rtl/>
        </w:rPr>
        <w:t>שמונה־עשר</w:t>
      </w:r>
      <w:proofErr w:type="spellEnd"/>
      <w:r>
        <w:rPr>
          <w:rtl/>
        </w:rPr>
        <w:t xml:space="preserve"> כאלה. שני שולן נקראו שול הכובענים: אחד של עושי כובעי בד והאחר של עושי כובעי פרווה. ר׳ ראובן </w:t>
      </w:r>
      <w:proofErr w:type="spellStart"/>
      <w:r>
        <w:rPr>
          <w:rtl/>
        </w:rPr>
        <w:t>יודקובסקי</w:t>
      </w:r>
      <w:proofErr w:type="spellEnd"/>
      <w:r>
        <w:rPr>
          <w:rtl/>
        </w:rPr>
        <w:t xml:space="preserve"> היה רבם של עושי כובעי הבד. בשבת שביליתי במינסק, שבת פרשת וישב תשנ״א,</w:t>
      </w:r>
      <w:bookmarkStart w:id="822" w:name="_fnr509"/>
      <w:r>
        <w:rPr>
          <w:rStyle w:val="a5"/>
        </w:rPr>
        <w:footnoteReference w:id="509" w:customMarkFollows="0"/>
      </w:r>
      <w:bookmarkEnd w:id="822"/>
      <w:r>
        <w:rPr>
          <w:rtl/>
        </w:rPr>
        <w:t xml:space="preserve"> התפללתי בבית הכנסת היחיד שנותר בעיר, שול הבנאים שברחוב </w:t>
      </w:r>
      <w:proofErr w:type="spellStart"/>
      <w:r>
        <w:rPr>
          <w:rtl/>
        </w:rPr>
        <w:t>קרופוטקינה</w:t>
      </w:r>
      <w:proofErr w:type="spellEnd"/>
      <w:r>
        <w:rPr>
          <w:rtl/>
        </w:rPr>
        <w:t xml:space="preserve">. אבי לא הזכיר באוזני מראיינו, הרב א״ב </w:t>
      </w:r>
      <w:proofErr w:type="spellStart"/>
      <w:r>
        <w:rPr>
          <w:rtl/>
        </w:rPr>
        <w:t>שורין</w:t>
      </w:r>
      <w:proofErr w:type="spellEnd"/>
      <w:r>
        <w:rPr>
          <w:rtl/>
        </w:rPr>
        <w:t>,</w:t>
      </w:r>
      <w:bookmarkStart w:id="823" w:name="_fnr510"/>
      <w:r>
        <w:rPr>
          <w:rStyle w:val="a5"/>
        </w:rPr>
        <w:footnoteReference w:id="510" w:customMarkFollows="0"/>
      </w:r>
      <w:bookmarkEnd w:id="823"/>
      <w:r>
        <w:rPr>
          <w:rtl/>
        </w:rPr>
        <w:t xml:space="preserve"> את ישיבת שול הכובענים בין המקומות שלמד בהם, משום ששהה שם הרבה פחות מזמן אחד.</w:t>
      </w:r>
    </w:p>
    <w:p w14:paraId="2B31E44B" w14:textId="6B0D43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 ראובן הושיב לפניו את המבקשים להתקבל לזמן הקיץ. הוא שאל כל אחד איזו מסכת למד בחורף, ואחר כך הציג לכל צעיר בתורו שאלה במסכת שלמד זה עתה. כשאחד המבקשים לא הצליח להוכיח מן המסכת שלמד, מסכת קידושין, מי מבין אב ורב קודם בכבוד, אמר אבי שהוא יכול להוכיח זאת ממסכת שלמד הוא, בבא מציעא.</w:t>
      </w:r>
      <w:bookmarkStart w:id="824" w:name="b2_ref22"/>
      <w:bookmarkEnd w:id="824"/>
      <w:r>
        <w:rPr>
          <w:vertAlign w:val="superscript"/>
          <w:rtl/>
        </w:rPr>
        <w:fldChar w:fldCharType="begin" w:dirty="true"/>
      </w:r>
      <w:r>
        <w:rPr>
          <w:vertAlign w:val="superscript"/>
          <w:rtl/>
        </w:rPr>
        <w:instrText xml:space="preserve"> REF b2_note22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די היה בכך לשכנע את הרב שהנער </w:t>
      </w:r>
      <w:proofErr w:type="spellStart"/>
      <w:r>
        <w:rPr>
          <w:rtl/>
        </w:rPr>
        <w:lastRenderedPageBreak/>
        <w:t>הדולהינובר</w:t>
      </w:r>
      <w:proofErr w:type="spellEnd"/>
      <w:r>
        <w:rPr>
          <w:rtl/>
        </w:rPr>
        <w:t xml:space="preserve"> ראוי להתקבל לישיבתו.</w:t>
      </w:r>
      <w:bookmarkStart w:id="825" w:name="b2_ref23"/>
      <w:bookmarkEnd w:id="825"/>
      <w:r>
        <w:rPr>
          <w:vertAlign w:val="superscript"/>
          <w:rtl/>
        </w:rPr>
        <w:fldChar w:fldCharType="begin" w:dirty="true"/>
      </w:r>
      <w:r>
        <w:rPr>
          <w:vertAlign w:val="superscript"/>
          <w:rtl/>
        </w:rPr>
        <w:instrText xml:space="preserve"> REF b2_note23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אבי הצטרף לשאר הנערים הצעירים בישיבת שול הכובענים והחל ללמוד בשקידתו הרגילה, ולא עשה דבר כדי להתהדר בכישרונותיו המעולים.</w:t>
      </w:r>
    </w:p>
    <w:bookmarkStart w:id="826" w:name="b2_note22"/>
    <w:p w14:paraId="340FDD4D" w14:textId="77777777" w:rsidR="00AB3647" w:rsidRDefault="00000000" w:rsidP="007923E9">
      <w:pPr>
        <w:spacing w:before="120" w:after="100" w:line="276" w:lineRule="auto"/>
        <w:jc w:val="both"/>
      </w:pPr>
      <w:r>
        <w:fldChar w:fldCharType="begin" w:dirty="true"/>
      </w:r>
      <w:r>
        <w:instrText>HYPERLINK \l "b2_ref22"</w:instrText>
      </w:r>
      <w:r>
        <w:fldChar w:fldCharType="separate"/>
      </w:r>
      <w:r>
        <w:rPr>
          <w:b/>
          <w:bCs/>
          <w:rtl/>
        </w:rPr>
        <w:t>22</w:t>
      </w:r>
      <w:r>
        <w:rPr>
          <w:b/>
          <w:bCs/>
        </w:rPr>
        <w:fldChar w:fldCharType="end"/>
      </w:r>
      <w:bookmarkEnd w:id="826"/>
      <w:r>
        <w:rPr>
          <w:rtl/>
        </w:rPr>
        <w:t xml:space="preserve"> הראיה הייתה מן המשנה בדף ל״ג ע״א. ר׳ ראובן </w:t>
      </w:r>
      <w:proofErr w:type="spellStart"/>
      <w:r>
        <w:rPr>
          <w:rtl/>
        </w:rPr>
        <w:t>יודקובסקי</w:t>
      </w:r>
      <w:proofErr w:type="spellEnd"/>
      <w:r>
        <w:rPr>
          <w:rtl/>
        </w:rPr>
        <w:t xml:space="preserve"> קבע שאין ראיה משם, אבל אבי, כשסיפר את המעשה, אמר שמעולם לא הבין מדוע אין הראיה מכרעת.</w:t>
      </w:r>
      <w:bookmarkStart w:id="827" w:name="_fnr511"/>
      <w:r>
        <w:rPr>
          <w:rStyle w:val="a5"/>
        </w:rPr>
        <w:footnoteReference w:id="511" w:customMarkFollows="0"/>
      </w:r>
      <w:bookmarkEnd w:id="827"/>
      <w:r>
        <w:rPr>
          <w:rtl/>
        </w:rPr>
        <w:t xml:space="preserve"> אני חושד שאבי עצמו הוא שנשאל להביא את הראיה ממסכת קידושין, שהרי זו המסכת שלמד בזמן הקודם.</w:t>
      </w:r>
      <w:bookmarkStart w:id="828" w:name="_fnr512"/>
      <w:r>
        <w:rPr>
          <w:rStyle w:val="a5"/>
        </w:rPr>
        <w:footnoteReference w:id="512" w:customMarkFollows="0"/>
      </w:r>
      <w:bookmarkEnd w:id="828"/>
      <w:r>
        <w:rPr>
          <w:rtl/>
        </w:rPr>
        <w:t xml:space="preserve"> ייתכן ששינה את הסיפור כדי שלא יצטרך להוסיף שלא מצא ראיה במסכת קידושין אלא רק במסכת בבא מציעא – גילוי שהיה מחריף את הבעיה שבבקיאותו של ר׳ ראובן.</w:t>
      </w:r>
    </w:p>
    <w:bookmarkStart w:id="829" w:name="b2_note23"/>
    <w:p w14:paraId="5FA99475" w14:textId="77777777" w:rsidR="00AB3647" w:rsidRDefault="00000000" w:rsidP="007923E9">
      <w:pPr>
        <w:spacing w:before="120" w:after="100" w:line="276" w:lineRule="auto"/>
        <w:jc w:val="both"/>
      </w:pPr>
      <w:r>
        <w:fldChar w:fldCharType="begin" w:dirty="true"/>
      </w:r>
      <w:r>
        <w:instrText>HYPERLINK \l "b2_ref23"</w:instrText>
      </w:r>
      <w:r>
        <w:fldChar w:fldCharType="separate"/>
      </w:r>
      <w:r>
        <w:rPr>
          <w:b/>
          <w:bCs/>
          <w:rtl/>
        </w:rPr>
        <w:t>23</w:t>
      </w:r>
      <w:r>
        <w:rPr>
          <w:b/>
          <w:bCs/>
        </w:rPr>
        <w:fldChar w:fldCharType="end"/>
      </w:r>
      <w:bookmarkEnd w:id="829"/>
      <w:r>
        <w:rPr>
          <w:rtl/>
        </w:rPr>
        <w:t xml:space="preserve"> אבי, שחוש הכרת הטובה שלו היה חד כל ימי חייו, זכה לגמול לאותו מיטיב כעבור ארבעה עשורים, בטורונטו: הוא עזר לבנו, ר׳ משה, שהיה אז מהגר שזה עתה בא מארץ ישראל. מלבד שמינה את ר׳ משה </w:t>
      </w:r>
      <w:proofErr w:type="spellStart"/>
      <w:r>
        <w:rPr>
          <w:rtl/>
        </w:rPr>
        <w:t>יודקובסקי</w:t>
      </w:r>
      <w:proofErr w:type="spellEnd"/>
      <w:r>
        <w:rPr>
          <w:rtl/>
        </w:rPr>
        <w:t xml:space="preserve"> למשרת הוראה בישיבת </w:t>
      </w:r>
      <w:proofErr w:type="spellStart"/>
      <w:r>
        <w:rPr>
          <w:rtl/>
        </w:rPr>
        <w:t>מהרי״ל</w:t>
      </w:r>
      <w:proofErr w:type="spellEnd"/>
      <w:r>
        <w:rPr>
          <w:rtl/>
        </w:rPr>
        <w:t xml:space="preserve"> </w:t>
      </w:r>
      <w:proofErr w:type="spellStart"/>
      <w:r>
        <w:rPr>
          <w:rtl/>
        </w:rPr>
        <w:t>גראובארט</w:t>
      </w:r>
      <w:proofErr w:type="spellEnd"/>
      <w:r>
        <w:rPr>
          <w:rtl/>
        </w:rPr>
        <w:t>, דחק – אם כי בלי הצלחה – בגבאי “</w:t>
      </w:r>
      <w:proofErr w:type="spellStart"/>
      <w:r>
        <w:rPr>
          <w:rtl/>
        </w:rPr>
        <w:t>המינסקער</w:t>
      </w:r>
      <w:proofErr w:type="spellEnd"/>
      <w:r>
        <w:rPr>
          <w:rtl/>
        </w:rPr>
        <w:t xml:space="preserve"> שול” בטורונטו לקבל את בן עירם שימסור להם שיעורים.</w:t>
      </w:r>
      <w:bookmarkStart w:id="830" w:name="_fnr513"/>
      <w:r>
        <w:rPr>
          <w:rStyle w:val="a5"/>
        </w:rPr>
        <w:footnoteReference w:id="513" w:customMarkFollows="0"/>
      </w:r>
      <w:bookmarkEnd w:id="830"/>
    </w:p>
    <w:p w14:paraId="07B14345" w14:textId="191DBBF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בתקופה זו קיבל את מזונותיו מקרוביו, מלבד </w:t>
      </w:r>
      <w:proofErr w:type="spellStart"/>
      <w:r>
        <w:rPr>
          <w:rtl/>
        </w:rPr>
        <w:t>ה“טעג</w:t>
      </w:r>
      <w:proofErr w:type="spellEnd"/>
      <w:r>
        <w:rPr>
          <w:rtl/>
        </w:rPr>
        <w:t xml:space="preserve">” שקבע לו הרב בבתי יהודים יראי שמים. כפי שציפו הוריו, השלים </w:t>
      </w:r>
      <w:proofErr w:type="spellStart"/>
      <w:r>
        <w:rPr>
          <w:rtl/>
        </w:rPr>
        <w:t>חיים־זרח</w:t>
      </w:r>
      <w:proofErr w:type="spellEnd"/>
      <w:r>
        <w:rPr>
          <w:rtl/>
        </w:rPr>
        <w:t xml:space="preserve"> את צורכי אחיו במתנות של כסף קטן. אבל סידורי הלינה של אבי, אף שהיו נסבלים, לא היו משביעי רצון. בני דודו, שבינתיים עזבו את הישיבה כדי ללמוד בבית ספר חילוני,</w:t>
      </w:r>
      <w:bookmarkStart w:id="831" w:name="b2_ref24"/>
      <w:bookmarkEnd w:id="831"/>
      <w:r>
        <w:rPr>
          <w:vertAlign w:val="superscript"/>
          <w:rtl/>
        </w:rPr>
        <w:fldChar w:fldCharType="begin" w:dirty="true"/>
      </w:r>
      <w:r>
        <w:rPr>
          <w:vertAlign w:val="superscript"/>
          <w:rtl/>
        </w:rPr>
        <w:instrText xml:space="preserve"> REF b2_note24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הפריעו לו כשנאלצו לעבור בפרוזדור, שהיה פינת השינה שלו, כדי להגיע לחדרם. אבי, שהיה אורח בביתם, לא יכול היה למחות, אבל עשה עמם “עסקה”: לייזר ואהרן יפצו אותו בכך שירשו לו לקרוא בספריהם הרוסיים בשעות הפנאי שלו.</w:t>
      </w:r>
      <w:bookmarkStart w:id="832" w:name="b2_ref25"/>
      <w:bookmarkEnd w:id="832"/>
      <w:r>
        <w:rPr>
          <w:vertAlign w:val="superscript"/>
          <w:rtl/>
        </w:rPr>
        <w:fldChar w:fldCharType="begin" w:dirty="true"/>
      </w:r>
      <w:r>
        <w:rPr>
          <w:vertAlign w:val="superscript"/>
          <w:rtl/>
        </w:rPr>
        <w:instrText xml:space="preserve"> REF b2_note25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833" w:name="b2_note24"/>
    <w:p w14:paraId="366E5DB9" w14:textId="77777777" w:rsidR="00AB3647" w:rsidRDefault="00000000" w:rsidP="007923E9">
      <w:pPr>
        <w:spacing w:before="120" w:after="100" w:line="276" w:lineRule="auto"/>
        <w:jc w:val="both"/>
      </w:pPr>
      <w:r>
        <w:fldChar w:fldCharType="begin" w:dirty="true"/>
      </w:r>
      <w:r>
        <w:instrText>HYPERLINK \l "b2_ref24"</w:instrText>
      </w:r>
      <w:r>
        <w:fldChar w:fldCharType="separate"/>
      </w:r>
      <w:r>
        <w:rPr>
          <w:b/>
          <w:bCs/>
          <w:rtl/>
        </w:rPr>
        <w:t>24</w:t>
      </w:r>
      <w:r>
        <w:rPr>
          <w:b/>
          <w:bCs/>
        </w:rPr>
        <w:fldChar w:fldCharType="end"/>
      </w:r>
      <w:bookmarkEnd w:id="833"/>
      <w:r>
        <w:rPr>
          <w:rtl/>
        </w:rPr>
        <w:t xml:space="preserve"> בגלל </w:t>
      </w:r>
      <w:proofErr w:type="spellStart"/>
      <w:r>
        <w:rPr>
          <w:rtl/>
        </w:rPr>
        <w:t>ה“נומרוס</w:t>
      </w:r>
      <w:proofErr w:type="spellEnd"/>
      <w:r>
        <w:rPr>
          <w:rtl/>
        </w:rPr>
        <w:t xml:space="preserve"> </w:t>
      </w:r>
      <w:proofErr w:type="spellStart"/>
      <w:r>
        <w:rPr>
          <w:rtl/>
        </w:rPr>
        <w:t>קלאוזוס</w:t>
      </w:r>
      <w:proofErr w:type="spellEnd"/>
      <w:r>
        <w:rPr>
          <w:rtl/>
        </w:rPr>
        <w:t>” (מכסת הקבלה) שהוטל על תלמידים יהודים לא רק באוניברסיטאות אלא גם בבתי הספר התיכוניים, הקימה הקהילה היהודית במינסק כמה בתי ספר תיכוניים שעמדו בפיקוח הממשלה.</w:t>
      </w:r>
      <w:bookmarkStart w:id="834" w:name="_fnr514"/>
      <w:r>
        <w:rPr>
          <w:rStyle w:val="a5"/>
        </w:rPr>
        <w:footnoteReference w:id="514" w:customMarkFollows="0"/>
      </w:r>
      <w:bookmarkStart w:id="835" w:name="_fnr515"/>
      <w:bookmarkStart w:id="836" w:name="pr_f_441"/>
      <w:bookmarkEnd w:id="834"/>
      <w:r>
        <w:rPr>
          <w:rStyle w:val="a5"/>
        </w:rPr>
        <w:footnoteReference w:id="515" w:customMarkFollows="0"/>
      </w:r>
      <w:bookmarkEnd w:id="835"/>
      <w:bookmarkEnd w:id="836"/>
    </w:p>
    <w:bookmarkStart w:id="838" w:name="b2_note25"/>
    <w:p w14:paraId="430E49C4" w14:textId="24C107EA" w:rsidR="00AB3647" w:rsidRDefault="00000000" w:rsidP="007923E9">
      <w:pPr>
        <w:spacing w:before="120" w:after="100" w:line="276" w:lineRule="auto"/>
        <w:jc w:val="both"/>
      </w:pPr>
      <w:r>
        <w:lastRenderedPageBreak/>
        <w:fldChar w:fldCharType="begin" w:dirty="true"/>
      </w:r>
      <w:r>
        <w:instrText>HYPERLINK \l "b2_ref25"</w:instrText>
      </w:r>
      <w:r>
        <w:fldChar w:fldCharType="separate"/>
      </w:r>
      <w:r>
        <w:rPr>
          <w:b/>
          <w:bCs/>
          <w:rtl/>
        </w:rPr>
        <w:t>25</w:t>
      </w:r>
      <w:r>
        <w:rPr>
          <w:b/>
          <w:bCs/>
        </w:rPr>
        <w:fldChar w:fldCharType="end"/>
      </w:r>
      <w:bookmarkEnd w:id="838"/>
      <w:r>
        <w:rPr>
          <w:rtl/>
        </w:rPr>
        <w:t xml:space="preserve"> ראה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1630A997" w14:textId="2D028E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חיים־זרח</w:t>
      </w:r>
      <w:proofErr w:type="spellEnd"/>
      <w:r>
        <w:rPr>
          <w:rtl/>
        </w:rPr>
        <w:t xml:space="preserve"> לקח את אחיו הצעיר לסיור בכמה ממוסדות הצדקה השונים שבעיר, ובהם שניים שמעסיקיו היו מעורבים בהם במידה רבה.</w:t>
      </w:r>
      <w:bookmarkStart w:id="839" w:name="b2_ref26"/>
      <w:bookmarkEnd w:id="839"/>
      <w:r>
        <w:rPr>
          <w:vertAlign w:val="superscript"/>
          <w:rtl/>
        </w:rPr>
        <w:fldChar w:fldCharType="begin" w:dirty="true"/>
      </w:r>
      <w:r>
        <w:rPr>
          <w:vertAlign w:val="superscript"/>
          <w:rtl/>
        </w:rPr>
        <w:instrText xml:space="preserve"> REF b2_note26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הוא הראה לו את בית החולים היהודי בן 250 המיטות, שהחברה שבה עבד סיפקה לו תרופות תמורת תשלום סמלי, וסיפר לו כיצד החברה שבה עבד מקצה תכשירי רפואה חינם לחולים העניים.</w:t>
      </w:r>
      <w:bookmarkStart w:id="840" w:name="b2_ref27"/>
      <w:bookmarkEnd w:id="840"/>
      <w:r>
        <w:rPr>
          <w:vertAlign w:val="superscript"/>
          <w:rtl/>
        </w:rPr>
        <w:fldChar w:fldCharType="begin" w:dirty="true"/>
      </w:r>
      <w:r>
        <w:rPr>
          <w:vertAlign w:val="superscript"/>
          <w:rtl/>
        </w:rPr>
        <w:instrText xml:space="preserve"> REF b2_note27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p>
    <w:bookmarkStart w:id="841" w:name="b2_note26"/>
    <w:p w14:paraId="63E6C0F9" w14:textId="77777777" w:rsidR="00AB3647" w:rsidRDefault="00000000" w:rsidP="007923E9">
      <w:pPr>
        <w:spacing w:before="120" w:after="100" w:line="276" w:lineRule="auto"/>
        <w:jc w:val="both"/>
      </w:pPr>
      <w:r>
        <w:fldChar w:fldCharType="begin" w:dirty="true"/>
      </w:r>
      <w:r>
        <w:instrText>HYPERLINK \l "b2_ref26"</w:instrText>
      </w:r>
      <w:r>
        <w:fldChar w:fldCharType="separate"/>
      </w:r>
      <w:r>
        <w:rPr>
          <w:b/>
          <w:bCs/>
          <w:rtl/>
        </w:rPr>
        <w:t>26</w:t>
      </w:r>
      <w:r>
        <w:rPr>
          <w:b/>
          <w:bCs/>
        </w:rPr>
        <w:fldChar w:fldCharType="end"/>
      </w:r>
      <w:bookmarkEnd w:id="841"/>
      <w:r>
        <w:rPr>
          <w:rtl/>
        </w:rPr>
        <w:t xml:space="preserve"> בתקופה שבה הייתה הקהילה היהודית אוטונומית, הוטל על כל אחד מבני הקהילה, לפי הכנסתו, חלקו </w:t>
      </w:r>
      <w:proofErr w:type="spellStart"/>
      <w:r>
        <w:rPr>
          <w:rtl/>
        </w:rPr>
        <w:t>במסים</w:t>
      </w:r>
      <w:proofErr w:type="spellEnd"/>
      <w:r>
        <w:rPr>
          <w:rtl/>
        </w:rPr>
        <w:t xml:space="preserve"> </w:t>
      </w:r>
      <w:proofErr w:type="spellStart"/>
      <w:r>
        <w:rPr>
          <w:rtl/>
        </w:rPr>
        <w:t>ל“שבע</w:t>
      </w:r>
      <w:proofErr w:type="spellEnd"/>
      <w:r>
        <w:rPr>
          <w:rtl/>
        </w:rPr>
        <w:t xml:space="preserve"> הצדקות” (ז׳ צדקות, ובראשי תיבות: </w:t>
      </w:r>
      <w:proofErr w:type="spellStart"/>
      <w:r>
        <w:rPr>
          <w:rtl/>
        </w:rPr>
        <w:t>ז״ץ</w:t>
      </w:r>
      <w:proofErr w:type="spellEnd"/>
      <w:r>
        <w:rPr>
          <w:rtl/>
        </w:rPr>
        <w:t>): תומכי עניים, ביקור חולים, גמילות חסדים, פדיון שבויים,</w:t>
      </w:r>
      <w:bookmarkStart w:id="842" w:name="_fnr516"/>
      <w:r>
        <w:rPr>
          <w:rStyle w:val="a5"/>
        </w:rPr>
        <w:footnoteReference w:id="516" w:customMarkFollows="0"/>
      </w:r>
      <w:bookmarkEnd w:id="842"/>
      <w:r>
        <w:rPr>
          <w:rtl/>
        </w:rPr>
        <w:t xml:space="preserve"> הכנסת כלה, תלמוד תורה ומעות חיטים.</w:t>
      </w:r>
      <w:bookmarkStart w:id="843" w:name="_fnr517"/>
      <w:r>
        <w:rPr>
          <w:rStyle w:val="a5"/>
        </w:rPr>
        <w:footnoteReference w:id="517" w:customMarkFollows="0"/>
      </w:r>
      <w:bookmarkEnd w:id="843"/>
      <w:r>
        <w:rPr>
          <w:rtl/>
        </w:rPr>
        <w:t xml:space="preserve"> באותה תקופה, כשהתורמים והגבאים כאחד היו מתנדבים, שונו שמותיהן של כמה מן הצדקות, ולרוב התורמים העשירים היו צדקות חביבות עליהם במיוחד.</w:t>
      </w:r>
    </w:p>
    <w:p w14:paraId="2685F65D" w14:textId="77777777" w:rsidR="00AB3647" w:rsidRDefault="00000000" w:rsidP="007923E9">
      <w:pPr>
        <w:spacing w:before="120" w:after="100" w:line="276" w:lineRule="auto"/>
        <w:jc w:val="both"/>
      </w:pPr>
      <w:r>
        <w:rPr>
          <w:rtl/>
        </w:rPr>
        <w:t xml:space="preserve">עם חילופי </w:t>
      </w:r>
      <w:proofErr w:type="spellStart"/>
      <w:r>
        <w:rPr>
          <w:rtl/>
        </w:rPr>
        <w:t>העתים</w:t>
      </w:r>
      <w:proofErr w:type="spellEnd"/>
      <w:r>
        <w:rPr>
          <w:rtl/>
        </w:rPr>
        <w:t xml:space="preserve"> נעשתה חלוקת הסעד ממוסדת בחלקה. למשל, במקום עזרת ביקור חולים בבתיהם של החולים נבנה בית חולים יהודי בן 250 מיטות; ובמקום קרן תלמוד תורה, שמשלמת את שכר המלמדים של ילדים מבתים עניים, נוסד בית ספר מיוחד לילדים נזקקים, ומלבד החינוך קיבלו בו ארוחות חמות, ובגדים ונעליים לחורף. בית הספר נוסד בשנה שבה הגיע אבי לעיר, ונקרא “התלמוד תורה”. התלמוד תורה זכה לתמיכת הקהילה כולה, ובכלל זה של האורתודוקסים ביותר, אף שהכניס לתוכנית הלימודים לימודי חול.</w:t>
      </w:r>
      <w:bookmarkStart w:id="844" w:name="_fnr518"/>
      <w:r>
        <w:rPr>
          <w:rStyle w:val="a5"/>
        </w:rPr>
        <w:footnoteReference w:id="518" w:customMarkFollows="0"/>
      </w:r>
      <w:bookmarkEnd w:id="844"/>
      <w:r>
        <w:rPr>
          <w:rtl/>
        </w:rPr>
        <w:t xml:space="preserve"> ענף של קרן פדיון שבויים לשעבר היה קרן “</w:t>
      </w:r>
      <w:proofErr w:type="spellStart"/>
      <w:r>
        <w:rPr>
          <w:rtl/>
        </w:rPr>
        <w:t>כשר־קעסעל</w:t>
      </w:r>
      <w:proofErr w:type="spellEnd"/>
      <w:r>
        <w:rPr>
          <w:rtl/>
        </w:rPr>
        <w:t>” [הדוד הכשר], שסיפקה לחיילים יהודים מזון כשר.</w:t>
      </w:r>
      <w:bookmarkStart w:id="845" w:name="_fnr519"/>
      <w:r>
        <w:rPr>
          <w:rStyle w:val="a5"/>
        </w:rPr>
        <w:footnoteReference w:id="519" w:customMarkFollows="0"/>
      </w:r>
      <w:bookmarkEnd w:id="845"/>
    </w:p>
    <w:bookmarkStart w:id="846" w:name="b2_note27"/>
    <w:p w14:paraId="7C490275" w14:textId="77777777" w:rsidR="00AB3647" w:rsidRDefault="00000000" w:rsidP="007923E9">
      <w:pPr>
        <w:spacing w:before="120" w:after="100" w:line="276" w:lineRule="auto"/>
        <w:jc w:val="both"/>
      </w:pPr>
      <w:r>
        <w:fldChar w:fldCharType="begin" w:dirty="true"/>
      </w:r>
      <w:r>
        <w:instrText>HYPERLINK \l "b2_ref27"</w:instrText>
      </w:r>
      <w:r>
        <w:fldChar w:fldCharType="separate"/>
      </w:r>
      <w:r>
        <w:rPr>
          <w:b/>
          <w:bCs/>
          <w:rtl/>
        </w:rPr>
        <w:t>27</w:t>
      </w:r>
      <w:r>
        <w:rPr>
          <w:b/>
          <w:bCs/>
        </w:rPr>
        <w:fldChar w:fldCharType="end"/>
      </w:r>
      <w:bookmarkEnd w:id="846"/>
      <w:r>
        <w:rPr>
          <w:rtl/>
        </w:rPr>
        <w:t xml:space="preserve"> שאלתי בכתב את דודתי דבורה</w:t>
      </w:r>
      <w:bookmarkStart w:id="847" w:name="_fnr520"/>
      <w:r>
        <w:rPr>
          <w:rStyle w:val="a5"/>
        </w:rPr>
        <w:footnoteReference w:id="520" w:customMarkFollows="0"/>
      </w:r>
      <w:bookmarkEnd w:id="847"/>
      <w:r>
        <w:rPr>
          <w:rtl/>
        </w:rPr>
        <w:t xml:space="preserve"> אם </w:t>
      </w:r>
      <w:proofErr w:type="spellStart"/>
      <w:r>
        <w:rPr>
          <w:rtl/>
        </w:rPr>
        <w:t>חיים־זרח</w:t>
      </w:r>
      <w:proofErr w:type="spellEnd"/>
      <w:r>
        <w:rPr>
          <w:rtl/>
        </w:rPr>
        <w:t xml:space="preserve"> היה דתי, והיא השיבה במכתב מ־26 במרץ 1989: “אף יהודי [בחוגינו] לא עבד בשבת בשנים ההן, ובוודאי לא במשפחתנו. </w:t>
      </w:r>
      <w:proofErr w:type="spellStart"/>
      <w:r>
        <w:rPr>
          <w:rtl/>
        </w:rPr>
        <w:t>חיים־זרח</w:t>
      </w:r>
      <w:proofErr w:type="spellEnd"/>
      <w:r>
        <w:rPr>
          <w:rtl/>
        </w:rPr>
        <w:t xml:space="preserve"> לא הלך לשול בשבת בקביעות כלל, ותחת זאת ניצל את הזמן לארוז תרופות לעניים בשביל אגודת ‘לינת הצדק’,</w:t>
      </w:r>
      <w:bookmarkStart w:id="848" w:name="_fnr521"/>
      <w:r>
        <w:rPr>
          <w:rStyle w:val="a5"/>
        </w:rPr>
        <w:footnoteReference w:id="521" w:customMarkFollows="0"/>
      </w:r>
      <w:bookmarkEnd w:id="848"/>
      <w:r>
        <w:rPr>
          <w:rtl/>
        </w:rPr>
        <w:t xml:space="preserve"> שהיה חבר בה. אבינו אמר שכל עוד הוא עושה זאת לשם מצוה ולא לשם רווח או שכר, מותר לו.”</w:t>
      </w:r>
    </w:p>
    <w:p w14:paraId="17F036F2" w14:textId="77777777" w:rsidR="00AB3647" w:rsidRDefault="00000000" w:rsidP="007923E9">
      <w:pPr>
        <w:spacing w:before="120" w:after="100" w:line="276" w:lineRule="auto"/>
        <w:jc w:val="both"/>
      </w:pPr>
      <w:r>
        <w:rPr>
          <w:rtl/>
        </w:rPr>
        <w:t xml:space="preserve">כנראה לא הבינה המשיבה כראוי את דברי הנחמה שאמר אביה לעצמו: שחילול השבת של בנו מוקל במקצת משום שנעשה מתוך מסירות לזולת. לא מתקבל על הדעת שאכן סבר שפיקוח </w:t>
      </w:r>
      <w:r>
        <w:rPr>
          <w:rtl/>
        </w:rPr>
        <w:lastRenderedPageBreak/>
        <w:t>הנפש שבדבר דוחה את חובות השבת של בנו עד כדי כך, ובוודאי לא היה פוסק בעניין חמור כל כך בלי הסכמת רב, כפי שמשתמע מדברי המשיבה. אבי אמר יותר מפעם אחת שמבין אחיו ואחיותיו רק הוא נשאר שומר מצוות.</w:t>
      </w:r>
      <w:bookmarkStart w:id="849" w:name="_fnr522"/>
      <w:r>
        <w:rPr>
          <w:rStyle w:val="a5"/>
        </w:rPr>
        <w:footnoteReference w:id="522" w:customMarkFollows="0"/>
      </w:r>
      <w:bookmarkEnd w:id="849"/>
    </w:p>
    <w:p w14:paraId="75789FE0"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בבוקר שבת אחד לקח את אבי אל “המטבח הזול” שברחוב </w:t>
      </w:r>
      <w:proofErr w:type="spellStart"/>
      <w:r>
        <w:rPr>
          <w:rtl/>
        </w:rPr>
        <w:t>רקובסקאיה</w:t>
      </w:r>
      <w:proofErr w:type="spellEnd"/>
      <w:r>
        <w:rPr>
          <w:rtl/>
        </w:rPr>
        <w:t xml:space="preserve">. שם קיבלו מרודים בימות החול פרוסת לחם שחור וצלחת מרק תמורת שתי </w:t>
      </w:r>
      <w:proofErr w:type="spellStart"/>
      <w:r>
        <w:rPr>
          <w:rtl/>
        </w:rPr>
        <w:t>קופיקות</w:t>
      </w:r>
      <w:proofErr w:type="spellEnd"/>
      <w:r>
        <w:rPr>
          <w:rtl/>
        </w:rPr>
        <w:t xml:space="preserve">, וחתיכת בשר במרק תמורת </w:t>
      </w:r>
      <w:proofErr w:type="spellStart"/>
      <w:r>
        <w:rPr>
          <w:rtl/>
        </w:rPr>
        <w:t>קופיקה</w:t>
      </w:r>
      <w:proofErr w:type="spellEnd"/>
      <w:r>
        <w:rPr>
          <w:rtl/>
        </w:rPr>
        <w:t xml:space="preserve"> נוספת, ובשבת קיבלו מאכלי שבת מיוחדים. מעסיקו של </w:t>
      </w:r>
      <w:proofErr w:type="spellStart"/>
      <w:r>
        <w:rPr>
          <w:rtl/>
        </w:rPr>
        <w:t>חיים־זרח</w:t>
      </w:r>
      <w:proofErr w:type="spellEnd"/>
      <w:r>
        <w:rPr>
          <w:rtl/>
        </w:rPr>
        <w:t xml:space="preserve">, </w:t>
      </w:r>
      <w:proofErr w:type="spellStart"/>
      <w:r>
        <w:rPr>
          <w:rtl/>
        </w:rPr>
        <w:t>דב־בער</w:t>
      </w:r>
      <w:proofErr w:type="spellEnd"/>
      <w:r>
        <w:rPr>
          <w:rtl/>
        </w:rPr>
        <w:t xml:space="preserve"> גולדברג, היה מן התורמים העיקריים למוסד צדקה זה. אחרי גמר התפילה בבית הכנסת הגדול היה סר לשם עם אשתו עטורת התכשיטים, בדרכם הביתה. הגבירה הייתה ניגשת עם תרווד אל דוד הטשולנט לטעום טעימה עדינה, ועגיליה המשתלשלים נצצו כשהנהנה בראשה לאות הסכמה – להראות לבעלה שהיא מרוצה מכך שהמזון שמקבלים האומללים מזין וטעים.</w:t>
      </w:r>
    </w:p>
    <w:p w14:paraId="2F9A5CE5" w14:textId="56316B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מהרה הבין אבי שהוא מקדים את חבריו בישיבת שול הכובענים, והחליט לעבור לישיבה אחרת, בשול </w:t>
      </w:r>
      <w:proofErr w:type="spellStart"/>
      <w:r>
        <w:rPr>
          <w:rtl/>
        </w:rPr>
        <w:t>טטרשה</w:t>
      </w:r>
      <w:proofErr w:type="spellEnd"/>
      <w:r>
        <w:rPr>
          <w:rtl/>
        </w:rPr>
        <w:t xml:space="preserve"> שברחוב טטרשה.</w:t>
      </w:r>
      <w:bookmarkStart w:id="850" w:name="b2_ref28"/>
      <w:bookmarkEnd w:id="850"/>
      <w:r>
        <w:rPr>
          <w:vertAlign w:val="superscript"/>
          <w:rtl/>
        </w:rPr>
        <w:fldChar w:fldCharType="begin" w:dirty="true"/>
      </w:r>
      <w:r>
        <w:rPr>
          <w:vertAlign w:val="superscript"/>
          <w:rtl/>
        </w:rPr>
        <w:instrText xml:space="preserve"> REF b2_note28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בישיבה החדשה שבחר איש לא עקב אחר התקדמותו בלימודים ואיש לא הדריך אותו בהתפתחותו, אבל הוא אהב את עצמאותו, ונשאר שם זמן רב יותר מאשר בישיבה הקודמת ובשתי הישיבות שאחריה.</w:t>
      </w:r>
    </w:p>
    <w:bookmarkStart w:id="851" w:name="b2_note28"/>
    <w:p w14:paraId="4FEA953B" w14:textId="77777777" w:rsidR="00AB3647" w:rsidRDefault="00000000" w:rsidP="007923E9">
      <w:pPr>
        <w:spacing w:before="120" w:after="100" w:line="276" w:lineRule="auto"/>
        <w:jc w:val="both"/>
      </w:pPr>
      <w:r>
        <w:fldChar w:fldCharType="begin" w:dirty="true"/>
      </w:r>
      <w:r>
        <w:instrText>HYPERLINK \l "b2_ref28"</w:instrText>
      </w:r>
      <w:r>
        <w:fldChar w:fldCharType="separate"/>
      </w:r>
      <w:r>
        <w:rPr>
          <w:b/>
          <w:bCs/>
          <w:rtl/>
        </w:rPr>
        <w:t>28</w:t>
      </w:r>
      <w:r>
        <w:rPr>
          <w:b/>
          <w:bCs/>
        </w:rPr>
        <w:fldChar w:fldCharType="end"/>
      </w:r>
      <w:bookmarkEnd w:id="851"/>
      <w:r>
        <w:rPr>
          <w:rtl/>
        </w:rPr>
        <w:t xml:space="preserve"> “הוא היה ברחוב הראשי של השכונה שבה גרו </w:t>
      </w:r>
      <w:proofErr w:type="spellStart"/>
      <w:r>
        <w:rPr>
          <w:rtl/>
        </w:rPr>
        <w:t>הטטרים</w:t>
      </w:r>
      <w:proofErr w:type="spellEnd"/>
      <w:r>
        <w:rPr>
          <w:rtl/>
        </w:rPr>
        <w:t>. רבים מהם היו עשירים, והיו להם בתים פרטיים עם גינות ירק ומטעים. הם היו מספקים לעיר את הפירות והירקות המובחרים. רבים מבניהם היו קצינים בצבא ופקידי ממשלה בכירים. היה להם מסגד מפואר.”</w:t>
      </w:r>
      <w:bookmarkStart w:id="852" w:name="_fnr523"/>
      <w:r>
        <w:rPr>
          <w:rStyle w:val="a5"/>
        </w:rPr>
        <w:footnoteReference w:id="523" w:customMarkFollows="0"/>
      </w:r>
      <w:bookmarkEnd w:id="852"/>
    </w:p>
    <w:p w14:paraId="756BE2AE" w14:textId="40E45C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דודו </w:t>
      </w:r>
      <w:proofErr w:type="spellStart"/>
      <w:r>
        <w:rPr>
          <w:rtl/>
        </w:rPr>
        <w:t>אברהם־משה</w:t>
      </w:r>
      <w:proofErr w:type="spellEnd"/>
      <w:r>
        <w:rPr>
          <w:rtl/>
        </w:rPr>
        <w:t xml:space="preserve"> ניסה לשכנעו שבגיל </w:t>
      </w:r>
      <w:proofErr w:type="spellStart"/>
      <w:r>
        <w:rPr>
          <w:rtl/>
        </w:rPr>
        <w:t>שתים־עשרה</w:t>
      </w:r>
      <w:proofErr w:type="spellEnd"/>
      <w:r>
        <w:rPr>
          <w:rtl/>
        </w:rPr>
        <w:t xml:space="preserve"> הגיעה העת שיפסיק ללמוד תורה ויפנה לדבר מעשי יותר, כפי שעשו בניו. כשרמז לו הדוד שלא יהיה עוד רצוי בביתו אם לא ישמע לעצת המארח, עזב אבי את הבית והחל לישון על רצפת שול </w:t>
      </w:r>
      <w:proofErr w:type="spellStart"/>
      <w:r>
        <w:rPr>
          <w:rtl/>
        </w:rPr>
        <w:t>טטרשה</w:t>
      </w:r>
      <w:proofErr w:type="spellEnd"/>
      <w:r>
        <w:rPr>
          <w:rtl/>
        </w:rPr>
        <w:t xml:space="preserve">. </w:t>
      </w:r>
      <w:proofErr w:type="spellStart"/>
      <w:r>
        <w:rPr>
          <w:rtl/>
        </w:rPr>
        <w:t>אברהם־משה</w:t>
      </w:r>
      <w:proofErr w:type="spellEnd"/>
      <w:r>
        <w:rPr>
          <w:rtl/>
        </w:rPr>
        <w:t xml:space="preserve"> השתכנע עתה שאחיינו החליט בתוקף להישאר בישיבה, והפציר בו שישוב לביתו,</w:t>
      </w:r>
      <w:bookmarkStart w:id="853" w:name="b2_ref29"/>
      <w:bookmarkEnd w:id="853"/>
      <w:r>
        <w:rPr>
          <w:vertAlign w:val="superscript"/>
          <w:rtl/>
        </w:rPr>
        <w:fldChar w:fldCharType="begin" w:dirty="true"/>
      </w:r>
      <w:r>
        <w:rPr>
          <w:vertAlign w:val="superscript"/>
          <w:rtl/>
        </w:rPr>
        <w:instrText xml:space="preserve"> REF b2_note29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והנער שב.</w:t>
      </w:r>
    </w:p>
    <w:bookmarkStart w:id="854" w:name="b2_note29"/>
    <w:p w14:paraId="46E41CC7" w14:textId="77777777" w:rsidR="00AB3647" w:rsidRDefault="00000000" w:rsidP="007923E9">
      <w:pPr>
        <w:spacing w:before="120" w:after="100" w:line="276" w:lineRule="auto"/>
        <w:jc w:val="both"/>
      </w:pPr>
      <w:r>
        <w:fldChar w:fldCharType="begin" w:dirty="true"/>
      </w:r>
      <w:r>
        <w:instrText>HYPERLINK \l "b2_ref29"</w:instrText>
      </w:r>
      <w:r>
        <w:fldChar w:fldCharType="separate"/>
      </w:r>
      <w:r>
        <w:rPr>
          <w:b/>
          <w:bCs/>
          <w:rtl/>
        </w:rPr>
        <w:t>29</w:t>
      </w:r>
      <w:r>
        <w:rPr>
          <w:b/>
          <w:bCs/>
        </w:rPr>
        <w:fldChar w:fldCharType="end"/>
      </w:r>
      <w:bookmarkEnd w:id="854"/>
      <w:r>
        <w:rPr>
          <w:rtl/>
        </w:rPr>
        <w:t xml:space="preserve"> כך סיפר אבי לבחור השבת הוותיק שלו, ר׳ </w:t>
      </w:r>
      <w:proofErr w:type="spellStart"/>
      <w:r>
        <w:rPr>
          <w:rtl/>
        </w:rPr>
        <w:t>לייבל</w:t>
      </w:r>
      <w:proofErr w:type="spellEnd"/>
      <w:r>
        <w:rPr>
          <w:rtl/>
        </w:rPr>
        <w:t xml:space="preserve"> </w:t>
      </w:r>
      <w:proofErr w:type="spellStart"/>
      <w:r>
        <w:rPr>
          <w:rtl/>
        </w:rPr>
        <w:t>פרלשטיין</w:t>
      </w:r>
      <w:proofErr w:type="spellEnd"/>
      <w:r>
        <w:rPr>
          <w:rtl/>
        </w:rPr>
        <w:t>,</w:t>
      </w:r>
      <w:bookmarkStart w:id="855" w:name="_fnr524"/>
      <w:r>
        <w:rPr>
          <w:rStyle w:val="a5"/>
        </w:rPr>
        <w:footnoteReference w:id="524" w:customMarkFollows="0"/>
      </w:r>
      <w:bookmarkEnd w:id="855"/>
      <w:r>
        <w:rPr>
          <w:rtl/>
        </w:rPr>
        <w:t xml:space="preserve"> כפי שמסר אחייני ר׳ מרדכי </w:t>
      </w:r>
      <w:proofErr w:type="spellStart"/>
      <w:r>
        <w:rPr>
          <w:rtl/>
        </w:rPr>
        <w:t>קמינצקי</w:t>
      </w:r>
      <w:proofErr w:type="spellEnd"/>
      <w:r>
        <w:rPr>
          <w:rtl/>
        </w:rPr>
        <w:t>.</w:t>
      </w:r>
      <w:bookmarkStart w:id="856" w:name="_fnr525"/>
      <w:r>
        <w:rPr>
          <w:rStyle w:val="a5"/>
        </w:rPr>
        <w:footnoteReference w:id="525" w:customMarkFollows="0"/>
      </w:r>
      <w:bookmarkEnd w:id="856"/>
    </w:p>
    <w:p w14:paraId="3830E9F7" w14:textId="4060FE7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אחרי כמעט שנה שלמה בשול </w:t>
      </w:r>
      <w:proofErr w:type="spellStart"/>
      <w:r>
        <w:rPr>
          <w:rtl/>
        </w:rPr>
        <w:t>טטרשה</w:t>
      </w:r>
      <w:proofErr w:type="spellEnd"/>
      <w:r>
        <w:rPr>
          <w:rtl/>
        </w:rPr>
        <w:t xml:space="preserve"> עבר הנער הצעיר לישיבה נוספת, בשול “משכיל לאיתן”.</w:t>
      </w:r>
      <w:bookmarkStart w:id="857" w:name="b2_ref30"/>
      <w:bookmarkEnd w:id="857"/>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הוא למד שם אצל ר׳ שלמה גולובנצ׳יץ,</w:t>
      </w:r>
      <w:bookmarkStart w:id="858" w:name="b2_ref31"/>
      <w:bookmarkEnd w:id="858"/>
      <w:r>
        <w:rPr>
          <w:vertAlign w:val="superscript"/>
          <w:rtl/>
        </w:rPr>
        <w:fldChar w:fldCharType="begin" w:dirty="true"/>
      </w:r>
      <w:r>
        <w:rPr>
          <w:vertAlign w:val="superscript"/>
          <w:rtl/>
        </w:rPr>
        <w:instrText xml:space="preserve"> REF b2_note31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גיסו של רבו הראשון במינסק, ר׳ ראובן </w:t>
      </w:r>
      <w:proofErr w:type="spellStart"/>
      <w:r>
        <w:rPr>
          <w:rtl/>
        </w:rPr>
        <w:lastRenderedPageBreak/>
        <w:t>יודקובסקי</w:t>
      </w:r>
      <w:proofErr w:type="spellEnd"/>
      <w:r>
        <w:rPr>
          <w:rtl/>
        </w:rPr>
        <w:t>, וכשעברה הישיבה יחד עם רבה לבית המדרש הקטן שבחצר בית הכנסת, עבר עמה.</w:t>
      </w:r>
      <w:r>
        <w:rPr>
          <w:vertAlign w:val="superscript"/>
          <w:rtl/>
        </w:rPr>
        <w:fldChar w:fldCharType="begin" w:dirty="true"/>
      </w:r>
      <w:r>
        <w:rPr>
          <w:vertAlign w:val="superscript"/>
          <w:rtl/>
        </w:rPr>
        <w:instrText xml:space="preserve"> REF b2_note30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p>
    <w:bookmarkStart w:id="859" w:name="b2_note30"/>
    <w:p w14:paraId="478C833E" w14:textId="77777777" w:rsidR="00AB3647" w:rsidRDefault="00000000" w:rsidP="007923E9">
      <w:pPr>
        <w:spacing w:before="120" w:after="100" w:line="276" w:lineRule="auto"/>
        <w:jc w:val="both"/>
      </w:pPr>
      <w:r>
        <w:fldChar w:fldCharType="begin" w:dirty="true"/>
      </w:r>
      <w:r>
        <w:instrText>HYPERLINK \l "b2_ref30"</w:instrText>
      </w:r>
      <w:r>
        <w:fldChar w:fldCharType="separate"/>
      </w:r>
      <w:r>
        <w:rPr>
          <w:b/>
          <w:bCs/>
          <w:rtl/>
        </w:rPr>
        <w:t>30</w:t>
      </w:r>
      <w:r>
        <w:rPr>
          <w:b/>
          <w:bCs/>
        </w:rPr>
        <w:fldChar w:fldCharType="end"/>
      </w:r>
      <w:bookmarkEnd w:id="859"/>
      <w:r>
        <w:rPr>
          <w:rtl/>
        </w:rPr>
        <w:t xml:space="preserve"> יש סתירה לכאורה בין שני מקורות </w:t>
      </w:r>
      <w:proofErr w:type="spellStart"/>
      <w:r>
        <w:rPr>
          <w:rtl/>
        </w:rPr>
        <w:t>ב“מינסק</w:t>
      </w:r>
      <w:proofErr w:type="spellEnd"/>
      <w:r>
        <w:rPr>
          <w:rtl/>
        </w:rPr>
        <w:t xml:space="preserve"> עיר ואם א” בשאלה היכן שכנה ישיבתו של ר׳ שלמה </w:t>
      </w:r>
      <w:proofErr w:type="spellStart"/>
      <w:r>
        <w:rPr>
          <w:rtl/>
        </w:rPr>
        <w:t>גולובנצ׳יץ</w:t>
      </w:r>
      <w:proofErr w:type="spellEnd"/>
      <w:r>
        <w:rPr>
          <w:rtl/>
        </w:rPr>
        <w:t xml:space="preserve">. בעמ׳ 99 – במאמר בן </w:t>
      </w:r>
      <w:proofErr w:type="spellStart"/>
      <w:r>
        <w:rPr>
          <w:rtl/>
        </w:rPr>
        <w:t>שישה־עשר</w:t>
      </w:r>
      <w:proofErr w:type="spellEnd"/>
      <w:r>
        <w:rPr>
          <w:rtl/>
        </w:rPr>
        <w:t xml:space="preserve"> עמודים, “היהדות הדתית, מוסדותיה ואישיה”, שליקט </w:t>
      </w:r>
      <w:proofErr w:type="spellStart"/>
      <w:r>
        <w:rPr>
          <w:rtl/>
        </w:rPr>
        <w:t>בן־ציון</w:t>
      </w:r>
      <w:proofErr w:type="spellEnd"/>
      <w:r>
        <w:rPr>
          <w:rtl/>
        </w:rPr>
        <w:t xml:space="preserve"> גרשוני ממקורות רבים – היא ממוקמת בבית המדרש הקטן </w:t>
      </w:r>
      <w:proofErr w:type="spellStart"/>
      <w:r>
        <w:rPr>
          <w:rtl/>
        </w:rPr>
        <w:t>שבשולהויף</w:t>
      </w:r>
      <w:proofErr w:type="spellEnd"/>
      <w:r>
        <w:rPr>
          <w:rtl/>
        </w:rPr>
        <w:t xml:space="preserve">. גרשוני היה “אסיר תודה במיוחד </w:t>
      </w:r>
      <w:proofErr w:type="spellStart"/>
      <w:r>
        <w:rPr>
          <w:rtl/>
        </w:rPr>
        <w:t>לר</w:t>
      </w:r>
      <w:proofErr w:type="spellEnd"/>
      <w:r>
        <w:rPr>
          <w:rtl/>
        </w:rPr>
        <w:t xml:space="preserve">׳ מרדכי </w:t>
      </w:r>
      <w:proofErr w:type="spellStart"/>
      <w:r>
        <w:rPr>
          <w:rtl/>
        </w:rPr>
        <w:t>סנדר</w:t>
      </w:r>
      <w:proofErr w:type="spellEnd"/>
      <w:r>
        <w:rPr>
          <w:rtl/>
        </w:rPr>
        <w:t xml:space="preserve"> </w:t>
      </w:r>
      <w:proofErr w:type="spellStart"/>
      <w:r>
        <w:rPr>
          <w:rtl/>
        </w:rPr>
        <w:t>צימבליסט</w:t>
      </w:r>
      <w:proofErr w:type="spellEnd"/>
      <w:r>
        <w:rPr>
          <w:rtl/>
        </w:rPr>
        <w:t xml:space="preserve"> על עזרתו בהזכרת הדברים שנשתכחו”. הוא נולד בשנת תר״ע וגדל במינסק בישיבות המחתרת שפעלו תחת השלטון הקומוניסטי, עד שנמלט לארץ ישראל בגיל עשרים ושתיים.</w:t>
      </w:r>
    </w:p>
    <w:p w14:paraId="7493CB8B" w14:textId="77777777" w:rsidR="00AB3647" w:rsidRDefault="00000000" w:rsidP="007923E9">
      <w:pPr>
        <w:spacing w:before="120" w:after="100" w:line="276" w:lineRule="auto"/>
        <w:jc w:val="both"/>
      </w:pPr>
      <w:r>
        <w:rPr>
          <w:rtl/>
        </w:rPr>
        <w:t xml:space="preserve">אבל בעמ׳ 635 היא ממוקמת בשול “משכיל לאיתן”, בדברי צבי גורדון, הטוען שלמד שם “בשנים 1902–1903” – בזמן שרבנו היה שם! – יחד עם הסופרים (שלימים לא היו דתיים) ב. </w:t>
      </w:r>
      <w:proofErr w:type="spellStart"/>
      <w:r>
        <w:rPr>
          <w:rtl/>
        </w:rPr>
        <w:t>ולאדק</w:t>
      </w:r>
      <w:proofErr w:type="spellEnd"/>
      <w:r>
        <w:rPr>
          <w:rtl/>
        </w:rPr>
        <w:t xml:space="preserve"> מניו יורק ודוד זכאי מארץ ישראל. גורדון מספר שבשעת ביקורו של </w:t>
      </w:r>
      <w:proofErr w:type="spellStart"/>
      <w:r>
        <w:rPr>
          <w:rtl/>
        </w:rPr>
        <w:t>ולאדק</w:t>
      </w:r>
      <w:proofErr w:type="spellEnd"/>
      <w:r>
        <w:rPr>
          <w:rtl/>
        </w:rPr>
        <w:t xml:space="preserve"> בארץ ישראל בשנת תש״ד ביקרו זכאי </w:t>
      </w:r>
      <w:proofErr w:type="spellStart"/>
      <w:r>
        <w:rPr>
          <w:rtl/>
        </w:rPr>
        <w:t>וולאדק</w:t>
      </w:r>
      <w:proofErr w:type="spellEnd"/>
      <w:r>
        <w:rPr>
          <w:rtl/>
        </w:rPr>
        <w:t xml:space="preserve"> אצל ראש ישיבתם לשעבר במינסק, ר׳ שלמה </w:t>
      </w:r>
      <w:proofErr w:type="spellStart"/>
      <w:r>
        <w:rPr>
          <w:rtl/>
        </w:rPr>
        <w:t>גולובנצ׳יץ</w:t>
      </w:r>
      <w:proofErr w:type="spellEnd"/>
      <w:r>
        <w:rPr>
          <w:rtl/>
        </w:rPr>
        <w:t xml:space="preserve">. אחר כך שאל גורדון את הרב </w:t>
      </w:r>
      <w:proofErr w:type="spellStart"/>
      <w:r>
        <w:rPr>
          <w:rtl/>
        </w:rPr>
        <w:t>גולובנצ׳יץ</w:t>
      </w:r>
      <w:proofErr w:type="spellEnd"/>
      <w:r>
        <w:rPr>
          <w:rtl/>
        </w:rPr>
        <w:t xml:space="preserve"> איזה רושם עשו עליו שני תלמידיו </w:t>
      </w:r>
      <w:proofErr w:type="spellStart"/>
      <w:r>
        <w:rPr>
          <w:rtl/>
        </w:rPr>
        <w:t>שנתפרסמו</w:t>
      </w:r>
      <w:proofErr w:type="spellEnd"/>
      <w:r>
        <w:rPr>
          <w:rtl/>
        </w:rPr>
        <w:t>, והוא השיב במילים שבהן פותחת תוכחתו של ישעיהו הנביא: “בנים גידלתי ורוממתי והם פשעו בי.”</w:t>
      </w:r>
    </w:p>
    <w:p w14:paraId="64F49485" w14:textId="640F8C1F" w:rsidR="00AB3647" w:rsidRDefault="00000000" w:rsidP="007923E9">
      <w:pPr>
        <w:spacing w:before="120" w:after="100" w:line="276" w:lineRule="auto"/>
        <w:jc w:val="both"/>
      </w:pPr>
      <w:r>
        <w:rPr>
          <w:rtl/>
        </w:rPr>
        <w:t>אין לפסול את המקור השני בעניין מקומה של הישיבה, שכן גורדון למד שם בעצמו ולא הסתמך על שמועה, כמו גרשוני – זאת אף שטעה גורדון ב</w:t>
      </w:r>
      <w:r>
        <w:rPr>
          <w:b/>
          <w:bCs/>
          <w:rtl/>
        </w:rPr>
        <w:t>תאריך</w:t>
      </w:r>
      <w:r>
        <w:rPr>
          <w:rtl/>
        </w:rPr>
        <w:t xml:space="preserve"> הביקור: ר׳ שלמה נפטר חמש שנים קודם לכן, </w:t>
      </w:r>
      <w:proofErr w:type="spellStart"/>
      <w:r>
        <w:rPr>
          <w:rtl/>
        </w:rPr>
        <w:t>וולאדק</w:t>
      </w:r>
      <w:proofErr w:type="spellEnd"/>
      <w:r>
        <w:rPr>
          <w:rtl/>
        </w:rPr>
        <w:t xml:space="preserve"> שש שנים קודם לכן. לפי 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860" w:name="_fnr526"/>
      <w:r>
        <w:rPr>
          <w:rStyle w:val="a5"/>
        </w:rPr>
        <w:footnoteReference w:id="526" w:customMarkFollows="0"/>
      </w:r>
      <w:bookmarkEnd w:id="860"/>
      <w:r>
        <w:rPr>
          <w:rtl/>
        </w:rPr>
        <w:t xml:space="preserve"> למד אבי בבית המדרש הקטן אחרי שעזב את שול </w:t>
      </w:r>
      <w:proofErr w:type="spellStart"/>
      <w:r>
        <w:rPr>
          <w:rtl/>
        </w:rPr>
        <w:t>טטרשה</w:t>
      </w:r>
      <w:proofErr w:type="spellEnd"/>
      <w:r>
        <w:rPr>
          <w:rtl/>
        </w:rPr>
        <w:t xml:space="preserve">. לכן סבור אני שר׳ שלמה העביר את ישיבתו ממקום למקום, משול “משכיל לאיתן” לבית המדרש הקטן, בזמן שאבי היה תלמיד בה “בשנים 1902–1903”. והשווה גם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להלן, עוד על הרב </w:t>
      </w:r>
      <w:proofErr w:type="spellStart"/>
      <w:r>
        <w:rPr>
          <w:rtl/>
        </w:rPr>
        <w:t>גולובנצ׳יץ</w:t>
      </w:r>
      <w:proofErr w:type="spellEnd"/>
      <w:r>
        <w:rPr>
          <w:rtl/>
        </w:rPr>
        <w:t>.</w:t>
      </w:r>
    </w:p>
    <w:bookmarkStart w:id="861" w:name="b2_note31"/>
    <w:p w14:paraId="15F2AA6E" w14:textId="77777777" w:rsidR="00AB3647" w:rsidRDefault="00000000" w:rsidP="007923E9">
      <w:pPr>
        <w:spacing w:before="120" w:after="100" w:line="276" w:lineRule="auto"/>
        <w:jc w:val="both"/>
      </w:pPr>
      <w:r>
        <w:fldChar w:fldCharType="begin" w:dirty="true"/>
      </w:r>
      <w:r>
        <w:instrText>HYPERLINK \l "b2_ref31"</w:instrText>
      </w:r>
      <w:r>
        <w:fldChar w:fldCharType="separate"/>
      </w:r>
      <w:r>
        <w:rPr>
          <w:b/>
          <w:bCs/>
          <w:rtl/>
        </w:rPr>
        <w:t>31</w:t>
      </w:r>
      <w:r>
        <w:rPr>
          <w:b/>
          <w:bCs/>
        </w:rPr>
        <w:fldChar w:fldCharType="end"/>
      </w:r>
      <w:bookmarkEnd w:id="861"/>
      <w:r>
        <w:rPr>
          <w:rtl/>
        </w:rPr>
        <w:t xml:space="preserve"> נכדיו, ר׳ אהרן ור׳ אריה </w:t>
      </w:r>
      <w:proofErr w:type="spellStart"/>
      <w:r>
        <w:rPr>
          <w:rtl/>
        </w:rPr>
        <w:t>גולובנצ׳יץ</w:t>
      </w:r>
      <w:proofErr w:type="spellEnd"/>
      <w:r>
        <w:rPr>
          <w:rtl/>
        </w:rPr>
        <w:t>, סיפרו</w:t>
      </w:r>
      <w:bookmarkStart w:id="862" w:name="_fnr527"/>
      <w:r>
        <w:rPr>
          <w:rStyle w:val="a5"/>
        </w:rPr>
        <w:footnoteReference w:id="527" w:customMarkFollows="0"/>
      </w:r>
      <w:bookmarkEnd w:id="862"/>
      <w:r>
        <w:rPr>
          <w:rtl/>
        </w:rPr>
        <w:t xml:space="preserve"> שאבי פגש בהם, כל אחד בתורו, בשני לילות רצופים בשעת ביקורו בירושלים בשנת תשמ״א. בלילה הראשון חזר על השאלה המדויקת שבה בחן אותו סבם לקבלתו לישיבה ועל תשובתו, ובלילה השני – על השאלה המדויקת ששאל סבם פעם את חברו אהרן פינס</w:t>
      </w:r>
      <w:bookmarkStart w:id="863" w:name="_fnr528"/>
      <w:r>
        <w:rPr>
          <w:rStyle w:val="a5"/>
        </w:rPr>
        <w:footnoteReference w:id="528" w:customMarkFollows="0"/>
      </w:r>
      <w:bookmarkEnd w:id="863"/>
      <w:r>
        <w:rPr>
          <w:rtl/>
        </w:rPr>
        <w:t>, ושנשארה בלי תשובה.</w:t>
      </w:r>
    </w:p>
    <w:p w14:paraId="1980F7F5" w14:textId="77777777" w:rsidR="00AB3647" w:rsidRDefault="00000000" w:rsidP="007923E9">
      <w:pPr>
        <w:spacing w:after="100" w:line="276" w:lineRule="auto"/>
        <w:ind w:firstLine="340"/>
        <w:jc w:val="both"/>
      </w:pPr>
      <w:r>
        <w:rPr>
          <w:rtl/>
        </w:rPr>
        <w:t xml:space="preserve">אחרי כהונתו במינסק נעשה ר׳ שלמה רבה של העיירה הקטנה </w:t>
      </w:r>
      <w:proofErr w:type="spellStart"/>
      <w:r>
        <w:rPr>
          <w:rtl/>
        </w:rPr>
        <w:t>מהילנה</w:t>
      </w:r>
      <w:proofErr w:type="spellEnd"/>
      <w:r>
        <w:rPr>
          <w:rtl/>
        </w:rPr>
        <w:t xml:space="preserve">, ואחר כך של העיר </w:t>
      </w:r>
      <w:proofErr w:type="spellStart"/>
      <w:r>
        <w:rPr>
          <w:rtl/>
        </w:rPr>
        <w:t>מוהילוב</w:t>
      </w:r>
      <w:proofErr w:type="spellEnd"/>
      <w:r>
        <w:rPr>
          <w:rtl/>
        </w:rPr>
        <w:t xml:space="preserve">, ונודע בכינוי “הרב החכם”. בתו, </w:t>
      </w:r>
      <w:proofErr w:type="spellStart"/>
      <w:r>
        <w:rPr>
          <w:rtl/>
        </w:rPr>
        <w:t>פייע</w:t>
      </w:r>
      <w:proofErr w:type="spellEnd"/>
      <w:r>
        <w:rPr>
          <w:rtl/>
        </w:rPr>
        <w:t xml:space="preserve"> פינס, גילתה</w:t>
      </w:r>
      <w:bookmarkStart w:id="864" w:name="_fnr529"/>
      <w:r>
        <w:rPr>
          <w:rStyle w:val="a5"/>
        </w:rPr>
        <w:footnoteReference w:id="529" w:customMarkFollows="0"/>
      </w:r>
      <w:bookmarkEnd w:id="864"/>
      <w:r>
        <w:rPr>
          <w:rtl/>
        </w:rPr>
        <w:t xml:space="preserve"> שחדל ממלאכת ההוראה משום שהרופאים אמרו שהוא “מאמץ את לבו” במסירת השיעורים. בעל נכדתו, ר׳ זאב </w:t>
      </w:r>
      <w:proofErr w:type="spellStart"/>
      <w:r>
        <w:rPr>
          <w:rtl/>
        </w:rPr>
        <w:t>גצל</w:t>
      </w:r>
      <w:proofErr w:type="spellEnd"/>
      <w:r>
        <w:rPr>
          <w:rtl/>
        </w:rPr>
        <w:t>, סיפר</w:t>
      </w:r>
      <w:bookmarkStart w:id="865" w:name="_fnr530"/>
      <w:r>
        <w:rPr>
          <w:rStyle w:val="a5"/>
        </w:rPr>
        <w:footnoteReference w:id="530" w:customMarkFollows="0"/>
      </w:r>
      <w:bookmarkEnd w:id="865"/>
      <w:r>
        <w:rPr>
          <w:rtl/>
        </w:rPr>
        <w:t xml:space="preserve"> שהרב </w:t>
      </w:r>
      <w:proofErr w:type="spellStart"/>
      <w:r>
        <w:rPr>
          <w:rtl/>
        </w:rPr>
        <w:t>גולובנצ׳יץ</w:t>
      </w:r>
      <w:proofErr w:type="spellEnd"/>
      <w:r>
        <w:rPr>
          <w:rtl/>
        </w:rPr>
        <w:t xml:space="preserve"> נשאר מורה נלהב גם אחרי שבא לירושלים. הוא מסר שיעורים לתלמידי </w:t>
      </w:r>
      <w:r>
        <w:rPr>
          <w:rtl/>
        </w:rPr>
        <w:lastRenderedPageBreak/>
        <w:t xml:space="preserve">ישיבה קטנה בישיבת מאה שערים בהתלהבות כזו, שאיש מן התלמידים הצעירים לא רצה להשאיל לו את הגמרא שלו לקרוא בה: בסערת רוחו היה מכה בידיו על הסטנדר, והספר היה בסכנת קריעה. הרב </w:t>
      </w:r>
      <w:proofErr w:type="spellStart"/>
      <w:r>
        <w:rPr>
          <w:rtl/>
        </w:rPr>
        <w:t>גולובנצ׳יץ</w:t>
      </w:r>
      <w:proofErr w:type="spellEnd"/>
      <w:r>
        <w:rPr>
          <w:rtl/>
        </w:rPr>
        <w:t xml:space="preserve"> נפטר בירושלים בשנת תרצ״ט.</w:t>
      </w:r>
    </w:p>
    <w:p w14:paraId="03B53C1D" w14:textId="437F80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סקרנותו הטבעית עבר על כל הספרים שבספריית שול “משכיל לאיתן” לפני שעזב, ונתקל בכרך של דרשות לבר מצווה. הוא חשב שיזדקק לדרשה לבר המצווה שלו, שחלה בעוד שבעה חודשים, ולכן שינן בעל פה אחת מן הדרשות הנדפסות. הוא למד אצל ר׳ שלמה בזמן הקיץ, לפני שהחליט לעבור לישיבה נוספת </w:t>
      </w:r>
      <w:proofErr w:type="spellStart"/>
      <w:r>
        <w:rPr>
          <w:rtl/>
        </w:rPr>
        <w:t>בשולהויף</w:t>
      </w:r>
      <w:proofErr w:type="spellEnd"/>
      <w:r>
        <w:rPr>
          <w:rtl/>
        </w:rPr>
        <w:t xml:space="preserve">, </w:t>
      </w:r>
      <w:proofErr w:type="spellStart"/>
      <w:r>
        <w:rPr>
          <w:rtl/>
        </w:rPr>
        <w:t>הקלויז</w:t>
      </w:r>
      <w:proofErr w:type="spellEnd"/>
      <w:r>
        <w:rPr>
          <w:rtl/>
        </w:rPr>
        <w:t xml:space="preserve"> של </w:t>
      </w:r>
      <w:proofErr w:type="spellStart"/>
      <w:r>
        <w:rPr>
          <w:rtl/>
        </w:rPr>
        <w:t>בלומקה</w:t>
      </w:r>
      <w:proofErr w:type="spellEnd"/>
      <w:r>
        <w:rPr>
          <w:rtl/>
        </w:rPr>
        <w:t xml:space="preserve"> הנודע.</w:t>
      </w:r>
      <w:bookmarkStart w:id="866" w:name="b2_ref32"/>
      <w:bookmarkEnd w:id="866"/>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p>
    <w:bookmarkStart w:id="867" w:name="b2_note32"/>
    <w:p w14:paraId="5ACFCA4C" w14:textId="77777777" w:rsidR="00AB3647" w:rsidRDefault="00000000" w:rsidP="007923E9">
      <w:pPr>
        <w:spacing w:before="120" w:after="100" w:line="276" w:lineRule="auto"/>
        <w:jc w:val="both"/>
      </w:pPr>
      <w:r>
        <w:fldChar w:fldCharType="begin" w:dirty="true"/>
      </w:r>
      <w:r>
        <w:instrText>HYPERLINK \l "b2_ref32"</w:instrText>
      </w:r>
      <w:r>
        <w:fldChar w:fldCharType="separate"/>
      </w:r>
      <w:r>
        <w:rPr>
          <w:b/>
          <w:bCs/>
          <w:rtl/>
        </w:rPr>
        <w:t>32</w:t>
      </w:r>
      <w:r>
        <w:rPr>
          <w:b/>
          <w:bCs/>
        </w:rPr>
        <w:fldChar w:fldCharType="end"/>
      </w:r>
      <w:bookmarkEnd w:id="867"/>
      <w:r>
        <w:rPr>
          <w:rtl/>
        </w:rPr>
        <w:t xml:space="preserve"> כך סיפר אבי לבני ר׳ יוסף, בשעת ביקור בארץ ישראל, בסעודת שבת בכ״ג בטבת </w:t>
      </w:r>
      <w:proofErr w:type="spellStart"/>
      <w:r>
        <w:rPr>
          <w:rtl/>
        </w:rPr>
        <w:t>תש״ם</w:t>
      </w:r>
      <w:proofErr w:type="spellEnd"/>
      <w:r>
        <w:rPr>
          <w:rtl/>
        </w:rPr>
        <w:t>.</w:t>
      </w:r>
      <w:bookmarkStart w:id="868" w:name="_fnr531"/>
      <w:r>
        <w:rPr>
          <w:rStyle w:val="a5"/>
        </w:rPr>
        <w:footnoteReference w:id="531" w:customMarkFollows="0"/>
      </w:r>
      <w:bookmarkEnd w:id="868"/>
    </w:p>
    <w:p w14:paraId="7090B46D" w14:textId="0D7125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בלומקה</w:t>
      </w:r>
      <w:proofErr w:type="spellEnd"/>
      <w:r>
        <w:rPr>
          <w:rtl/>
        </w:rPr>
        <w:t xml:space="preserve"> </w:t>
      </w:r>
      <w:proofErr w:type="spellStart"/>
      <w:r>
        <w:rPr>
          <w:rtl/>
        </w:rPr>
        <w:t>וילנקין</w:t>
      </w:r>
      <w:proofErr w:type="spellEnd"/>
      <w:r>
        <w:rPr>
          <w:rtl/>
        </w:rPr>
        <w:t>, תושבת מינסק עשירה, תמכה בר׳ לייב ראש ישיבה</w:t>
      </w:r>
      <w:bookmarkStart w:id="869" w:name="b2_ref33"/>
      <w:bookmarkEnd w:id="869"/>
      <w:r>
        <w:rPr>
          <w:vertAlign w:val="superscript"/>
          <w:rtl/>
        </w:rPr>
        <w:fldChar w:fldCharType="begin" w:dirty="true"/>
      </w:r>
      <w:r>
        <w:rPr>
          <w:vertAlign w:val="superscript"/>
          <w:rtl/>
        </w:rPr>
        <w:instrText xml:space="preserve"> REF b2_note33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אחרי שהקהילה הפסיקה את משכורתו בגלל מחלוקתו עם הרב. לפני שעזב החכם את העיר לצמיתות, בירך את </w:t>
      </w:r>
      <w:proofErr w:type="spellStart"/>
      <w:r>
        <w:rPr>
          <w:rtl/>
        </w:rPr>
        <w:t>בלומקה</w:t>
      </w:r>
      <w:proofErr w:type="spellEnd"/>
      <w:r>
        <w:rPr>
          <w:rtl/>
        </w:rPr>
        <w:t xml:space="preserve"> שתזכה לשתי טובות: שעירה מינסק תזכה לרב הגון, ושתשב בארץ ישראל יום אחד.</w:t>
      </w:r>
    </w:p>
    <w:bookmarkStart w:id="870" w:name="b2_note33"/>
    <w:p w14:paraId="7A66AC3C" w14:textId="77777777" w:rsidR="00AB3647" w:rsidRDefault="00000000" w:rsidP="007923E9">
      <w:pPr>
        <w:spacing w:before="120" w:after="100" w:line="276" w:lineRule="auto"/>
        <w:jc w:val="both"/>
      </w:pPr>
      <w:r>
        <w:fldChar w:fldCharType="begin" w:dirty="true"/>
      </w:r>
      <w:r>
        <w:instrText>HYPERLINK \l "b2_ref33"</w:instrText>
      </w:r>
      <w:r>
        <w:fldChar w:fldCharType="separate"/>
      </w:r>
      <w:r>
        <w:rPr>
          <w:b/>
          <w:bCs/>
          <w:rtl/>
        </w:rPr>
        <w:t>33</w:t>
      </w:r>
      <w:r>
        <w:rPr>
          <w:b/>
          <w:bCs/>
        </w:rPr>
        <w:fldChar w:fldCharType="end"/>
      </w:r>
      <w:bookmarkEnd w:id="870"/>
      <w:r>
        <w:rPr>
          <w:rtl/>
        </w:rPr>
        <w:t xml:space="preserve"> מן ההכרח שהדבר אירע בשהותו השנייה של השאגת אריה במינסק, ושהרב שהיה אז במחלוקת עמו היה ר׳ משה,</w:t>
      </w:r>
      <w:bookmarkStart w:id="871" w:name="_fnr532"/>
      <w:r>
        <w:rPr>
          <w:rStyle w:val="a5"/>
        </w:rPr>
        <w:footnoteReference w:id="532" w:customMarkFollows="0"/>
      </w:r>
      <w:bookmarkEnd w:id="871"/>
      <w:r>
        <w:rPr>
          <w:rtl/>
        </w:rPr>
        <w:t xml:space="preserve"> שהרי בשהותו הראשונה הייתה </w:t>
      </w:r>
      <w:proofErr w:type="spellStart"/>
      <w:r>
        <w:rPr>
          <w:rtl/>
        </w:rPr>
        <w:t>בלומקה</w:t>
      </w:r>
      <w:proofErr w:type="spellEnd"/>
      <w:r>
        <w:rPr>
          <w:rtl/>
        </w:rPr>
        <w:t>, כך מסופר, אישה ענייה שמכרה חלות ונרות לשבת. מסופר שכאשר הועלה השאגת אריה על עגלה וגורש מן העיר ביום שישי אחר הצהריים</w:t>
      </w:r>
      <w:bookmarkStart w:id="872" w:name="_fnr533"/>
      <w:r>
        <w:rPr>
          <w:rStyle w:val="a5"/>
        </w:rPr>
        <w:footnoteReference w:id="533" w:customMarkFollows="0"/>
      </w:r>
      <w:bookmarkEnd w:id="872"/>
      <w:r>
        <w:rPr>
          <w:rtl/>
        </w:rPr>
        <w:t xml:space="preserve"> בתום שהותו הראשונה במינסק, בסביבות תק״ב, רצה אליו והגישה לו את מרכולתה, ואז בירך אותה שתתעשר. עד ששב למינסק בפעם השנייה, הקצרה יותר, כבר נשאה ברכתו פרי.</w:t>
      </w:r>
    </w:p>
    <w:p w14:paraId="4FEA76B4" w14:textId="48BBADBB" w:rsidR="00AB3647" w:rsidRDefault="00000000" w:rsidP="007923E9">
      <w:pPr>
        <w:spacing w:before="120" w:after="100" w:line="276" w:lineRule="auto"/>
        <w:jc w:val="both"/>
      </w:pPr>
      <w:r>
        <w:rPr>
          <w:rtl/>
        </w:rPr>
        <w:t xml:space="preserve">במשפחת </w:t>
      </w:r>
      <w:proofErr w:type="spellStart"/>
      <w:r>
        <w:rPr>
          <w:rtl/>
        </w:rPr>
        <w:t>וילנקין</w:t>
      </w:r>
      <w:proofErr w:type="spellEnd"/>
      <w:r>
        <w:rPr>
          <w:rtl/>
        </w:rPr>
        <w:t xml:space="preserve"> הייתה מסורת שכאשר נתנה לו את החלות והנרות, בירך אותה הגאון אסיר התודה בברכה היידית המקובלת “</w:t>
      </w:r>
      <w:proofErr w:type="spellStart"/>
      <w:r>
        <w:rPr>
          <w:rtl/>
        </w:rPr>
        <w:t>לאנג</w:t>
      </w:r>
      <w:proofErr w:type="spellEnd"/>
      <w:r>
        <w:rPr>
          <w:rtl/>
        </w:rPr>
        <w:t xml:space="preserve"> </w:t>
      </w:r>
      <w:proofErr w:type="spellStart"/>
      <w:r>
        <w:rPr>
          <w:rtl/>
        </w:rPr>
        <w:t>לעבען</w:t>
      </w:r>
      <w:proofErr w:type="spellEnd"/>
      <w:r>
        <w:rPr>
          <w:rtl/>
        </w:rPr>
        <w:t xml:space="preserve"> </w:t>
      </w:r>
      <w:proofErr w:type="spellStart"/>
      <w:r>
        <w:rPr>
          <w:rtl/>
        </w:rPr>
        <w:t>זאלט</w:t>
      </w:r>
      <w:proofErr w:type="spellEnd"/>
      <w:r>
        <w:rPr>
          <w:rtl/>
        </w:rPr>
        <w:t xml:space="preserve"> איר” [שתאריכי ימים]. בשל כך האריכו כולן ימים מעבר למאה שנה – היא, בתה ונכדתה, שנפטרה בתל אביב. והשווה גם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להלן.</w:t>
      </w:r>
    </w:p>
    <w:p w14:paraId="70D8A96F" w14:textId="333C9A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שנים רבות אחר כך, כששקלה הגבירה לעלות לארץ ישראל, אמר לה מי שהיה רב העיר באותה עת שתוכל לזכות </w:t>
      </w:r>
      <w:proofErr w:type="spellStart"/>
      <w:r>
        <w:rPr>
          <w:rtl/>
        </w:rPr>
        <w:t>ב“ארץ</w:t>
      </w:r>
      <w:proofErr w:type="spellEnd"/>
      <w:r>
        <w:rPr>
          <w:rtl/>
        </w:rPr>
        <w:t xml:space="preserve"> ישראל” </w:t>
      </w:r>
      <w:r>
        <w:rPr>
          <w:b/>
          <w:bCs/>
          <w:rtl/>
        </w:rPr>
        <w:t>בתוך</w:t>
      </w:r>
      <w:r>
        <w:rPr>
          <w:rtl/>
        </w:rPr>
        <w:t xml:space="preserve"> מינסק</w:t>
      </w:r>
      <w:bookmarkStart w:id="873" w:name="b2_ref34"/>
      <w:bookmarkEnd w:id="873"/>
      <w:r>
        <w:rPr>
          <w:vertAlign w:val="superscript"/>
          <w:rtl/>
        </w:rPr>
        <w:fldChar w:fldCharType="begin" w:dirty="true"/>
      </w:r>
      <w:r>
        <w:rPr>
          <w:vertAlign w:val="superscript"/>
          <w:rtl/>
        </w:rPr>
        <w:instrText xml:space="preserve"> REF b2_note34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אם תבנה שם שול.</w:t>
      </w:r>
      <w:bookmarkStart w:id="874" w:name="b2_ref35"/>
      <w:bookmarkEnd w:id="874"/>
      <w:r>
        <w:rPr>
          <w:vertAlign w:val="superscript"/>
          <w:rtl/>
        </w:rPr>
        <w:fldChar w:fldCharType="begin" w:dirty="true"/>
      </w:r>
      <w:r>
        <w:rPr>
          <w:vertAlign w:val="superscript"/>
          <w:rtl/>
        </w:rPr>
        <w:instrText xml:space="preserve"> REF b2_note35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היא קיבלה את הצעתו ובנתה את הקלויז,</w:t>
      </w:r>
      <w:bookmarkStart w:id="875" w:name="b2_ref36"/>
      <w:bookmarkEnd w:id="875"/>
      <w:r>
        <w:rPr>
          <w:vertAlign w:val="superscript"/>
          <w:rtl/>
        </w:rPr>
        <w:fldChar w:fldCharType="begin" w:dirty="true"/>
      </w:r>
      <w:r>
        <w:rPr>
          <w:vertAlign w:val="superscript"/>
          <w:rtl/>
        </w:rPr>
        <w:instrText xml:space="preserve"> REF b2_note36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שנעשה לימים לשם דבר בעולם התורה, ויצאו ממנו מאות בני תורה ועשרות תלמידי חכמים גדולים. בימי זוהרה של ישיבת </w:t>
      </w:r>
      <w:proofErr w:type="spellStart"/>
      <w:r>
        <w:rPr>
          <w:rtl/>
        </w:rPr>
        <w:t>וולוז׳ין</w:t>
      </w:r>
      <w:proofErr w:type="spellEnd"/>
      <w:r>
        <w:rPr>
          <w:rtl/>
        </w:rPr>
        <w:t xml:space="preserve"> הגדולה, “עץ חיים”, שימש </w:t>
      </w:r>
      <w:proofErr w:type="spellStart"/>
      <w:r>
        <w:rPr>
          <w:rtl/>
        </w:rPr>
        <w:t>הקלויז</w:t>
      </w:r>
      <w:proofErr w:type="spellEnd"/>
      <w:r>
        <w:rPr>
          <w:rtl/>
        </w:rPr>
        <w:t xml:space="preserve"> של </w:t>
      </w:r>
      <w:proofErr w:type="spellStart"/>
      <w:r>
        <w:rPr>
          <w:rtl/>
        </w:rPr>
        <w:t>בלומקה</w:t>
      </w:r>
      <w:proofErr w:type="spellEnd"/>
      <w:r>
        <w:rPr>
          <w:rtl/>
        </w:rPr>
        <w:t xml:space="preserve"> מכינה לקראתה.</w:t>
      </w:r>
      <w:bookmarkStart w:id="876" w:name="b2_ref37"/>
      <w:bookmarkEnd w:id="876"/>
      <w:r>
        <w:rPr>
          <w:vertAlign w:val="superscript"/>
          <w:rtl/>
        </w:rPr>
        <w:fldChar w:fldCharType="begin" w:dirty="true"/>
      </w:r>
      <w:r>
        <w:rPr>
          <w:vertAlign w:val="superscript"/>
          <w:rtl/>
        </w:rPr>
        <w:instrText xml:space="preserve"> REF b2_note37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שמה של הישיבה כראשונה במעלה הוא שמשך את אבי כשביקש שוב להחליף את מקום לימודו.</w:t>
      </w:r>
    </w:p>
    <w:bookmarkStart w:id="877" w:name="b2_note34"/>
    <w:p w14:paraId="42E9038E" w14:textId="77777777" w:rsidR="00AB3647" w:rsidRDefault="00000000" w:rsidP="007923E9">
      <w:pPr>
        <w:spacing w:before="120" w:after="100" w:line="276" w:lineRule="auto"/>
        <w:jc w:val="both"/>
      </w:pPr>
      <w:r>
        <w:lastRenderedPageBreak/>
        <w:fldChar w:fldCharType="begin" w:dirty="true"/>
      </w:r>
      <w:r>
        <w:instrText>HYPERLINK \l "b2_ref34"</w:instrText>
      </w:r>
      <w:r>
        <w:fldChar w:fldCharType="separate"/>
      </w:r>
      <w:r>
        <w:rPr>
          <w:b/>
          <w:bCs/>
          <w:rtl/>
        </w:rPr>
        <w:t>34</w:t>
      </w:r>
      <w:r>
        <w:rPr>
          <w:b/>
          <w:bCs/>
        </w:rPr>
        <w:fldChar w:fldCharType="end"/>
      </w:r>
      <w:bookmarkEnd w:id="877"/>
      <w:r>
        <w:rPr>
          <w:rtl/>
        </w:rPr>
        <w:t xml:space="preserve"> ע׳ </w:t>
      </w:r>
      <w:proofErr w:type="spellStart"/>
      <w:r>
        <w:rPr>
          <w:rtl/>
        </w:rPr>
        <w:t>מהרש״א</w:t>
      </w:r>
      <w:proofErr w:type="spellEnd"/>
      <w:r>
        <w:rPr>
          <w:rtl/>
        </w:rPr>
        <w:t xml:space="preserve"> ברכות ח׳ ע״א ד״ה הנוגעים בנחלה.</w:t>
      </w:r>
    </w:p>
    <w:bookmarkStart w:id="878" w:name="b2_note35"/>
    <w:p w14:paraId="003A3EB9" w14:textId="77777777" w:rsidR="00AB3647" w:rsidRDefault="00000000" w:rsidP="007923E9">
      <w:pPr>
        <w:spacing w:before="120" w:after="100" w:line="276" w:lineRule="auto"/>
        <w:jc w:val="both"/>
      </w:pPr>
      <w:r>
        <w:fldChar w:fldCharType="begin" w:dirty="true"/>
      </w:r>
      <w:r>
        <w:instrText>HYPERLINK \l "b2_ref35"</w:instrText>
      </w:r>
      <w:r>
        <w:fldChar w:fldCharType="separate"/>
      </w:r>
      <w:r>
        <w:rPr>
          <w:b/>
          <w:bCs/>
          <w:rtl/>
        </w:rPr>
        <w:t>35</w:t>
      </w:r>
      <w:r>
        <w:rPr>
          <w:b/>
          <w:bCs/>
        </w:rPr>
        <w:fldChar w:fldCharType="end"/>
      </w:r>
      <w:bookmarkEnd w:id="878"/>
      <w:r>
        <w:rPr>
          <w:rtl/>
        </w:rPr>
        <w:t xml:space="preserve"> רב אחד אמר לה גם שאין לה צורך למהר לעזוב את מינסק, שהרי ברכת השאגת אריה תתקיים בוודאי, ובימי חייה תגיע לארץ ישראל. לפי ר׳ שלום </w:t>
      </w:r>
      <w:proofErr w:type="spellStart"/>
      <w:r>
        <w:rPr>
          <w:rtl/>
        </w:rPr>
        <w:t>שבדרון</w:t>
      </w:r>
      <w:proofErr w:type="spellEnd"/>
      <w:r>
        <w:rPr>
          <w:rtl/>
        </w:rPr>
        <w:t xml:space="preserve"> היה זה ר׳ חיים </w:t>
      </w:r>
      <w:proofErr w:type="spellStart"/>
      <w:r>
        <w:rPr>
          <w:rtl/>
        </w:rPr>
        <w:t>מוולוז׳ין</w:t>
      </w:r>
      <w:proofErr w:type="spellEnd"/>
      <w:r>
        <w:rPr>
          <w:rtl/>
        </w:rPr>
        <w:t>,</w:t>
      </w:r>
      <w:bookmarkStart w:id="879" w:name="_fnr534"/>
      <w:r>
        <w:rPr>
          <w:rStyle w:val="a5"/>
        </w:rPr>
        <w:footnoteReference w:id="534" w:customMarkFollows="0"/>
      </w:r>
      <w:bookmarkEnd w:id="879"/>
      <w:r>
        <w:rPr>
          <w:rtl/>
        </w:rPr>
        <w:t xml:space="preserve"> אבל לפי “החוזה מליטא”</w:t>
      </w:r>
      <w:bookmarkStart w:id="880" w:name="_fnr535"/>
      <w:r>
        <w:rPr>
          <w:rStyle w:val="a5"/>
        </w:rPr>
        <w:footnoteReference w:id="535" w:customMarkFollows="0"/>
      </w:r>
      <w:bookmarkEnd w:id="880"/>
      <w:r>
        <w:rPr>
          <w:rtl/>
        </w:rPr>
        <w:t xml:space="preserve"> נתן עצה זו “רב מינסק”.</w:t>
      </w:r>
      <w:bookmarkStart w:id="881" w:name="_fnr536"/>
      <w:r>
        <w:rPr>
          <w:rStyle w:val="a5"/>
        </w:rPr>
        <w:footnoteReference w:id="536" w:customMarkFollows="0"/>
      </w:r>
      <w:bookmarkEnd w:id="881"/>
      <w:r>
        <w:rPr>
          <w:rtl/>
        </w:rPr>
        <w:t xml:space="preserve"> לבסוף עלתה </w:t>
      </w:r>
      <w:proofErr w:type="spellStart"/>
      <w:r>
        <w:rPr>
          <w:rtl/>
        </w:rPr>
        <w:t>בלומקה</w:t>
      </w:r>
      <w:proofErr w:type="spellEnd"/>
      <w:r>
        <w:rPr>
          <w:rtl/>
        </w:rPr>
        <w:t xml:space="preserve"> לארץ ישראל, אחרי שהעמידה מקור הכנסה קבוע לישיבת </w:t>
      </w:r>
      <w:proofErr w:type="spellStart"/>
      <w:r>
        <w:rPr>
          <w:rtl/>
        </w:rPr>
        <w:t>הקלויז</w:t>
      </w:r>
      <w:proofErr w:type="spellEnd"/>
      <w:r>
        <w:rPr>
          <w:rtl/>
        </w:rPr>
        <w:t xml:space="preserve"> של </w:t>
      </w:r>
      <w:proofErr w:type="spellStart"/>
      <w:r>
        <w:rPr>
          <w:rtl/>
        </w:rPr>
        <w:t>בלומקה</w:t>
      </w:r>
      <w:proofErr w:type="spellEnd"/>
      <w:r>
        <w:rPr>
          <w:rtl/>
        </w:rPr>
        <w:t xml:space="preserve"> במינסק,</w:t>
      </w:r>
      <w:bookmarkStart w:id="882" w:name="_fnr537"/>
      <w:r>
        <w:rPr>
          <w:rStyle w:val="a5"/>
        </w:rPr>
        <w:footnoteReference w:id="537" w:customMarkFollows="0"/>
      </w:r>
      <w:bookmarkEnd w:id="882"/>
      <w:r>
        <w:rPr>
          <w:rtl/>
        </w:rPr>
        <w:t xml:space="preserve"> ואחר כך בנתה גם בית כנסת בירושלים.</w:t>
      </w:r>
    </w:p>
    <w:p w14:paraId="5584F468" w14:textId="77777777" w:rsidR="00AB3647" w:rsidRDefault="00000000" w:rsidP="007923E9">
      <w:pPr>
        <w:spacing w:after="100" w:line="276" w:lineRule="auto"/>
        <w:ind w:firstLine="340"/>
        <w:jc w:val="both"/>
      </w:pPr>
      <w:r>
        <w:rPr>
          <w:rtl/>
        </w:rPr>
        <w:t xml:space="preserve">אחת מצאצאיה של </w:t>
      </w:r>
      <w:proofErr w:type="spellStart"/>
      <w:r>
        <w:rPr>
          <w:rtl/>
        </w:rPr>
        <w:t>בלומקה</w:t>
      </w:r>
      <w:proofErr w:type="spellEnd"/>
      <w:r>
        <w:rPr>
          <w:rtl/>
        </w:rPr>
        <w:t xml:space="preserve"> נישאה </w:t>
      </w:r>
      <w:proofErr w:type="spellStart"/>
      <w:r>
        <w:rPr>
          <w:rtl/>
        </w:rPr>
        <w:t>לר</w:t>
      </w:r>
      <w:proofErr w:type="spellEnd"/>
      <w:r>
        <w:rPr>
          <w:rtl/>
        </w:rPr>
        <w:t>׳ שמואל, בנו של ר׳ עקיבא איגר.</w:t>
      </w:r>
      <w:bookmarkStart w:id="883" w:name="_fnr538"/>
      <w:r>
        <w:rPr>
          <w:rStyle w:val="a5"/>
        </w:rPr>
        <w:footnoteReference w:id="538" w:customMarkFollows="0"/>
      </w:r>
      <w:bookmarkEnd w:id="883"/>
      <w:r>
        <w:rPr>
          <w:rtl/>
        </w:rPr>
        <w:t xml:space="preserve"> נראה שהחתונה נערכה במינסק בסביבות תקע״ד, כשש שנים לאחר ייסוד </w:t>
      </w:r>
      <w:proofErr w:type="spellStart"/>
      <w:r>
        <w:rPr>
          <w:rtl/>
        </w:rPr>
        <w:t>הקלויז</w:t>
      </w:r>
      <w:proofErr w:type="spellEnd"/>
      <w:r>
        <w:rPr>
          <w:rtl/>
        </w:rPr>
        <w:t xml:space="preserve">. בערך באותו זמן כתב ר׳ עקיבא איגר מכתב לאחיו, כדי להסביר מדוע אינו רואה תועלת בקבלת משרת הרבנות </w:t>
      </w:r>
      <w:proofErr w:type="spellStart"/>
      <w:r>
        <w:rPr>
          <w:rtl/>
        </w:rPr>
        <w:t>בפוזנא</w:t>
      </w:r>
      <w:proofErr w:type="spellEnd"/>
      <w:r>
        <w:rPr>
          <w:rtl/>
        </w:rPr>
        <w:t xml:space="preserve">, וגילה בו את גאוותו על שידוך זה: “ואם [סבור אתה] שלעניין שידוכים מוטב שייקראו בני רב </w:t>
      </w:r>
      <w:proofErr w:type="spellStart"/>
      <w:r>
        <w:rPr>
          <w:rtl/>
        </w:rPr>
        <w:t>פוזנא</w:t>
      </w:r>
      <w:proofErr w:type="spellEnd"/>
      <w:r>
        <w:rPr>
          <w:rtl/>
        </w:rPr>
        <w:t xml:space="preserve">, אני משבח את ה׳ שגם במשרתי הנוכחית בפרידלנד מתכבדים בני אדם להשתדך עמי. בשבוע שעבר קיבלתי מכתבים עם הצעות מווילנה </w:t>
      </w:r>
      <w:r>
        <w:rPr>
          <w:b/>
          <w:bCs/>
          <w:rtl/>
        </w:rPr>
        <w:t>וממינסק</w:t>
      </w:r>
      <w:r>
        <w:rPr>
          <w:rtl/>
        </w:rPr>
        <w:t>.”</w:t>
      </w:r>
      <w:bookmarkStart w:id="884" w:name="_fnr539"/>
      <w:r>
        <w:rPr>
          <w:rStyle w:val="a5"/>
        </w:rPr>
        <w:footnoteReference w:id="539" w:customMarkFollows="0"/>
      </w:r>
      <w:bookmarkEnd w:id="884"/>
    </w:p>
    <w:p w14:paraId="68A11245" w14:textId="77777777" w:rsidR="00AB3647" w:rsidRDefault="00000000" w:rsidP="007923E9">
      <w:pPr>
        <w:spacing w:after="100" w:line="276" w:lineRule="auto"/>
        <w:ind w:firstLine="340"/>
        <w:jc w:val="both"/>
      </w:pPr>
      <w:r>
        <w:rPr>
          <w:rtl/>
        </w:rPr>
        <w:t xml:space="preserve">עוד נראה שהכלה הייתה נכדתה או נינתה של </w:t>
      </w:r>
      <w:proofErr w:type="spellStart"/>
      <w:r>
        <w:rPr>
          <w:rtl/>
        </w:rPr>
        <w:t>בלומקה</w:t>
      </w:r>
      <w:proofErr w:type="spellEnd"/>
      <w:r>
        <w:rPr>
          <w:rtl/>
        </w:rPr>
        <w:t xml:space="preserve"> – ובוודאי לא בתה, שהרי </w:t>
      </w:r>
      <w:proofErr w:type="spellStart"/>
      <w:r>
        <w:rPr>
          <w:rtl/>
        </w:rPr>
        <w:t>בלומקה</w:t>
      </w:r>
      <w:proofErr w:type="spellEnd"/>
      <w:r>
        <w:rPr>
          <w:rtl/>
        </w:rPr>
        <w:t xml:space="preserve"> כבר הייתה רוכלת ברחוב בשנת תק״ב,</w:t>
      </w:r>
      <w:bookmarkStart w:id="885" w:name="_fnr540"/>
      <w:r>
        <w:rPr>
          <w:rStyle w:val="a5"/>
        </w:rPr>
        <w:footnoteReference w:id="540" w:customMarkFollows="0"/>
      </w:r>
      <w:bookmarkEnd w:id="885"/>
      <w:r>
        <w:rPr>
          <w:rtl/>
        </w:rPr>
        <w:t xml:space="preserve"> ולא ייתכן שהייתה לה בת שנישאה בשנת תקע״ד. במכתב מאת ר׳ שמואל איגר</w:t>
      </w:r>
      <w:bookmarkStart w:id="886" w:name="_fnr541"/>
      <w:r>
        <w:rPr>
          <w:rStyle w:val="a5"/>
        </w:rPr>
        <w:footnoteReference w:id="541" w:customMarkFollows="0"/>
      </w:r>
      <w:bookmarkEnd w:id="886"/>
      <w:r>
        <w:rPr>
          <w:rtl/>
        </w:rPr>
        <w:t xml:space="preserve"> הוא מכנה את “הגביר... יצחק </w:t>
      </w:r>
      <w:proofErr w:type="spellStart"/>
      <w:r>
        <w:rPr>
          <w:rtl/>
        </w:rPr>
        <w:t>וילנקין</w:t>
      </w:r>
      <w:proofErr w:type="spellEnd"/>
      <w:r>
        <w:rPr>
          <w:rtl/>
        </w:rPr>
        <w:t xml:space="preserve">” בשם </w:t>
      </w:r>
      <w:proofErr w:type="spellStart"/>
      <w:r>
        <w:rPr>
          <w:rtl/>
        </w:rPr>
        <w:t>ד״ז</w:t>
      </w:r>
      <w:proofErr w:type="spellEnd"/>
      <w:r>
        <w:rPr>
          <w:rtl/>
        </w:rPr>
        <w:t xml:space="preserve"> [דודי זקני]. לפי כל העדויות </w:t>
      </w:r>
      <w:proofErr w:type="spellStart"/>
      <w:r>
        <w:rPr>
          <w:rtl/>
        </w:rPr>
        <w:t>בלומקה</w:t>
      </w:r>
      <w:proofErr w:type="spellEnd"/>
      <w:r>
        <w:rPr>
          <w:rtl/>
        </w:rPr>
        <w:t xml:space="preserve"> היא שייסדה את הון משפחת </w:t>
      </w:r>
      <w:proofErr w:type="spellStart"/>
      <w:r>
        <w:rPr>
          <w:rtl/>
        </w:rPr>
        <w:t>וילנקין</w:t>
      </w:r>
      <w:proofErr w:type="spellEnd"/>
      <w:r>
        <w:rPr>
          <w:rtl/>
        </w:rPr>
        <w:t>, ולא היה כל טעם לכנות את אחי חמיה גביר</w:t>
      </w:r>
      <w:bookmarkStart w:id="887" w:name="_fnr542"/>
      <w:bookmarkEnd w:id="887"/>
      <w:r>
        <w:rPr>
          <w:rStyle w:val="a5"/>
        </w:rPr>
        <w:t/>
      </w:r>
      <w:bookmarkStart w:id="6998" w:name="_TranslatorNote_542"/>
      <w:r>
        <w:rPr>
          <w:rStyle w:val="a5"/>
          <w:vertAlign w:val="superscript"/>
          <w:rtl/>
        </w:rPr>
        <w:footnoteReference w:id="542" w:customMarkFollows="1"/>
        <w:t>*</w:t>
      </w:r>
      <w:bookmarkEnd w:id="6998"/>
      <w:r>
        <w:rPr>
          <w:rtl/>
        </w:rPr>
        <w:t xml:space="preserve">. מן ההכרח אם כן </w:t>
      </w:r>
      <w:proofErr w:type="spellStart"/>
      <w:r>
        <w:rPr>
          <w:rtl/>
        </w:rPr>
        <w:t>שבלומקה</w:t>
      </w:r>
      <w:proofErr w:type="spellEnd"/>
      <w:r>
        <w:rPr>
          <w:rtl/>
        </w:rPr>
        <w:t xml:space="preserve"> הכניסה לעסקיה בן מבני דורה, כלומר את אחי בעלה, ור׳ שמואל איגר נשא את נכדת אחיו, נכדתה של </w:t>
      </w:r>
      <w:proofErr w:type="spellStart"/>
      <w:r>
        <w:rPr>
          <w:rtl/>
        </w:rPr>
        <w:t>בלומקה</w:t>
      </w:r>
      <w:proofErr w:type="spellEnd"/>
      <w:r>
        <w:rPr>
          <w:rtl/>
        </w:rPr>
        <w:t xml:space="preserve">. וסביר עוד יותר שר׳ שמואל נשא את </w:t>
      </w:r>
      <w:r>
        <w:rPr>
          <w:b/>
          <w:bCs/>
          <w:rtl/>
        </w:rPr>
        <w:t>נינתה</w:t>
      </w:r>
      <w:r>
        <w:rPr>
          <w:rtl/>
        </w:rPr>
        <w:t xml:space="preserve"> של </w:t>
      </w:r>
      <w:proofErr w:type="spellStart"/>
      <w:r>
        <w:rPr>
          <w:rtl/>
        </w:rPr>
        <w:t>בלומקה</w:t>
      </w:r>
      <w:proofErr w:type="spellEnd"/>
      <w:r>
        <w:rPr>
          <w:rtl/>
        </w:rPr>
        <w:t xml:space="preserve">, </w:t>
      </w:r>
      <w:proofErr w:type="spellStart"/>
      <w:r>
        <w:rPr>
          <w:rtl/>
        </w:rPr>
        <w:t>ו“הגביר</w:t>
      </w:r>
      <w:proofErr w:type="spellEnd"/>
      <w:r>
        <w:rPr>
          <w:rtl/>
        </w:rPr>
        <w:t xml:space="preserve">” ר׳ יצחק </w:t>
      </w:r>
      <w:proofErr w:type="spellStart"/>
      <w:r>
        <w:rPr>
          <w:rtl/>
        </w:rPr>
        <w:t>וילנקין</w:t>
      </w:r>
      <w:proofErr w:type="spellEnd"/>
      <w:r>
        <w:rPr>
          <w:rtl/>
        </w:rPr>
        <w:t xml:space="preserve"> היה אחד מילדיה של </w:t>
      </w:r>
      <w:proofErr w:type="spellStart"/>
      <w:r>
        <w:rPr>
          <w:rtl/>
        </w:rPr>
        <w:t>בלומקה</w:t>
      </w:r>
      <w:proofErr w:type="spellEnd"/>
      <w:r>
        <w:rPr>
          <w:rtl/>
        </w:rPr>
        <w:t>.</w:t>
      </w:r>
    </w:p>
    <w:p w14:paraId="0646DD27" w14:textId="77777777" w:rsidR="00AB3647" w:rsidRDefault="00000000" w:rsidP="007923E9">
      <w:pPr>
        <w:spacing w:after="100" w:line="276" w:lineRule="auto"/>
        <w:ind w:firstLine="340"/>
        <w:jc w:val="both"/>
      </w:pPr>
      <w:r>
        <w:rPr>
          <w:rtl/>
        </w:rPr>
        <w:t xml:space="preserve">אפשר גם לשער </w:t>
      </w:r>
      <w:proofErr w:type="spellStart"/>
      <w:r>
        <w:rPr>
          <w:rtl/>
        </w:rPr>
        <w:t>ש“האלמנה</w:t>
      </w:r>
      <w:proofErr w:type="spellEnd"/>
      <w:r>
        <w:rPr>
          <w:rtl/>
        </w:rPr>
        <w:t xml:space="preserve"> העשירה והמיוחסת ממינסק” הנזכרת </w:t>
      </w:r>
      <w:proofErr w:type="spellStart"/>
      <w:r>
        <w:rPr>
          <w:rtl/>
        </w:rPr>
        <w:t>ב“זכרון</w:t>
      </w:r>
      <w:proofErr w:type="spellEnd"/>
      <w:r>
        <w:rPr>
          <w:rtl/>
        </w:rPr>
        <w:t xml:space="preserve"> יעקב”</w:t>
      </w:r>
      <w:bookmarkStart w:id="888" w:name="_fnr543"/>
      <w:r>
        <w:rPr>
          <w:rStyle w:val="a5"/>
        </w:rPr>
        <w:footnoteReference w:id="543" w:customMarkFollows="0"/>
      </w:r>
      <w:bookmarkEnd w:id="888"/>
      <w:r>
        <w:rPr>
          <w:rtl/>
        </w:rPr>
        <w:t xml:space="preserve"> – שחיזר אחריה “בסביבות תק״ע” בעל מופת, ר׳ בערך מגליציה, שר׳ חיים </w:t>
      </w:r>
      <w:proofErr w:type="spellStart"/>
      <w:r>
        <w:rPr>
          <w:rtl/>
        </w:rPr>
        <w:t>מוולוז׳ין</w:t>
      </w:r>
      <w:proofErr w:type="spellEnd"/>
      <w:r>
        <w:rPr>
          <w:rtl/>
        </w:rPr>
        <w:t xml:space="preserve"> חשף אותו כנוכל – אינה אלא </w:t>
      </w:r>
      <w:proofErr w:type="spellStart"/>
      <w:r>
        <w:rPr>
          <w:rtl/>
        </w:rPr>
        <w:t>בלומקה</w:t>
      </w:r>
      <w:proofErr w:type="spellEnd"/>
      <w:r>
        <w:rPr>
          <w:rtl/>
        </w:rPr>
        <w:t xml:space="preserve"> </w:t>
      </w:r>
      <w:proofErr w:type="spellStart"/>
      <w:r>
        <w:rPr>
          <w:rtl/>
        </w:rPr>
        <w:t>וילנקין</w:t>
      </w:r>
      <w:proofErr w:type="spellEnd"/>
      <w:r>
        <w:rPr>
          <w:rtl/>
        </w:rPr>
        <w:t xml:space="preserve">, שכבר הייתה אז בת שמונים. מעשהו של ר׳ בערך מסופר </w:t>
      </w:r>
      <w:r>
        <w:rPr>
          <w:rtl/>
        </w:rPr>
        <w:lastRenderedPageBreak/>
        <w:t>באריכות באחד מפרקי “אבי הישיבות”,</w:t>
      </w:r>
      <w:bookmarkStart w:id="889" w:name="_fnr544"/>
      <w:r>
        <w:rPr>
          <w:rStyle w:val="a5"/>
        </w:rPr>
        <w:footnoteReference w:id="544" w:customMarkFollows="0"/>
      </w:r>
      <w:bookmarkEnd w:id="889"/>
      <w:r>
        <w:rPr>
          <w:rtl/>
        </w:rPr>
        <w:t xml:space="preserve"> עם הערת פתיחה: “פרק זה הוא הפרסום המלא הראשון של המעשה.” הספר מונה את המקורות שמהם דלה מחברו את חומריו לשחזור המעשה, אבל אינו מנסה לזהות את האלמנה </w:t>
      </w:r>
      <w:proofErr w:type="spellStart"/>
      <w:r>
        <w:rPr>
          <w:rtl/>
        </w:rPr>
        <w:t>המינסקאית</w:t>
      </w:r>
      <w:proofErr w:type="spellEnd"/>
      <w:r>
        <w:rPr>
          <w:rtl/>
        </w:rPr>
        <w:t xml:space="preserve"> שלא נזכרה בשמה.</w:t>
      </w:r>
    </w:p>
    <w:bookmarkStart w:id="890" w:name="b2_note36"/>
    <w:p w14:paraId="679ECCD9" w14:textId="77777777" w:rsidR="00AB3647" w:rsidRDefault="00000000" w:rsidP="007923E9">
      <w:pPr>
        <w:spacing w:before="120" w:after="100" w:line="276" w:lineRule="auto"/>
        <w:jc w:val="both"/>
      </w:pPr>
      <w:r>
        <w:fldChar w:fldCharType="begin" w:dirty="true"/>
      </w:r>
      <w:r>
        <w:instrText>HYPERLINK \l "b2_ref36"</w:instrText>
      </w:r>
      <w:r>
        <w:fldChar w:fldCharType="separate"/>
      </w:r>
      <w:r>
        <w:rPr>
          <w:b/>
          <w:bCs/>
          <w:rtl/>
        </w:rPr>
        <w:t>36</w:t>
      </w:r>
      <w:r>
        <w:rPr>
          <w:b/>
          <w:bCs/>
        </w:rPr>
        <w:fldChar w:fldCharType="end"/>
      </w:r>
      <w:bookmarkEnd w:id="890"/>
      <w:r>
        <w:rPr>
          <w:rtl/>
        </w:rPr>
        <w:t xml:space="preserve"> מאמר מאת ילידת מינסק, רחל חדש.</w:t>
      </w:r>
      <w:bookmarkStart w:id="891" w:name="_fnr545"/>
      <w:r>
        <w:rPr>
          <w:rStyle w:val="a5"/>
        </w:rPr>
        <w:footnoteReference w:id="545" w:customMarkFollows="0"/>
      </w:r>
      <w:bookmarkEnd w:id="891"/>
      <w:r>
        <w:rPr>
          <w:rtl/>
        </w:rPr>
        <w:t xml:space="preserve"> סיפור אחר על המאורעות שהביאו לייסוד </w:t>
      </w:r>
      <w:proofErr w:type="spellStart"/>
      <w:r>
        <w:rPr>
          <w:rtl/>
        </w:rPr>
        <w:t>הקלויז</w:t>
      </w:r>
      <w:proofErr w:type="spellEnd"/>
      <w:r>
        <w:rPr>
          <w:rtl/>
        </w:rPr>
        <w:t xml:space="preserve"> של </w:t>
      </w:r>
      <w:proofErr w:type="spellStart"/>
      <w:r>
        <w:rPr>
          <w:rtl/>
        </w:rPr>
        <w:t>בלומקה</w:t>
      </w:r>
      <w:proofErr w:type="spellEnd"/>
      <w:r>
        <w:rPr>
          <w:rtl/>
        </w:rPr>
        <w:t xml:space="preserve"> רשום </w:t>
      </w:r>
      <w:proofErr w:type="spellStart"/>
      <w:r>
        <w:rPr>
          <w:rtl/>
        </w:rPr>
        <w:t>ב“תולדות</w:t>
      </w:r>
      <w:proofErr w:type="spellEnd"/>
      <w:r>
        <w:rPr>
          <w:rtl/>
        </w:rPr>
        <w:t xml:space="preserve"> רבי חיים </w:t>
      </w:r>
      <w:proofErr w:type="spellStart"/>
      <w:r>
        <w:rPr>
          <w:rtl/>
        </w:rPr>
        <w:t>מולוזין</w:t>
      </w:r>
      <w:proofErr w:type="spellEnd"/>
      <w:r>
        <w:rPr>
          <w:rtl/>
        </w:rPr>
        <w:t>”.</w:t>
      </w:r>
      <w:bookmarkStart w:id="892" w:name="_fnr546"/>
      <w:r>
        <w:rPr>
          <w:rStyle w:val="a5"/>
        </w:rPr>
        <w:footnoteReference w:id="546" w:customMarkFollows="0"/>
      </w:r>
      <w:bookmarkEnd w:id="892"/>
      <w:r>
        <w:rPr>
          <w:rtl/>
        </w:rPr>
        <w:t xml:space="preserve"> הספר מביא מכתב שכתב רב </w:t>
      </w:r>
      <w:proofErr w:type="spellStart"/>
      <w:r>
        <w:rPr>
          <w:rtl/>
        </w:rPr>
        <w:t>קרינק</w:t>
      </w:r>
      <w:proofErr w:type="spellEnd"/>
      <w:r>
        <w:rPr>
          <w:rtl/>
        </w:rPr>
        <w:t xml:space="preserve"> בשנת תרכ״ה, ובו ביקש תרומות לבנייתה מחדש של הישיבה שבה למד, ישיבת </w:t>
      </w:r>
      <w:proofErr w:type="spellStart"/>
      <w:r>
        <w:rPr>
          <w:rtl/>
        </w:rPr>
        <w:t>וולוז׳ין</w:t>
      </w:r>
      <w:proofErr w:type="spellEnd"/>
      <w:r>
        <w:rPr>
          <w:rtl/>
        </w:rPr>
        <w:t xml:space="preserve">, שחרבה בשריפה שאחזה בעיירה. בין השאר מספר המכתב על ר׳ מרדכי ממינסק, תלמיד ישיבת </w:t>
      </w:r>
      <w:proofErr w:type="spellStart"/>
      <w:r>
        <w:rPr>
          <w:rtl/>
        </w:rPr>
        <w:t>וולוז׳ין</w:t>
      </w:r>
      <w:proofErr w:type="spellEnd"/>
      <w:r>
        <w:rPr>
          <w:rtl/>
        </w:rPr>
        <w:t xml:space="preserve"> ששב לעיר הולדתו: בשעה שלמד עם שני בניה של </w:t>
      </w:r>
      <w:proofErr w:type="spellStart"/>
      <w:r>
        <w:rPr>
          <w:rtl/>
        </w:rPr>
        <w:t>בלומקה</w:t>
      </w:r>
      <w:proofErr w:type="spellEnd"/>
      <w:r>
        <w:rPr>
          <w:rtl/>
        </w:rPr>
        <w:t xml:space="preserve">, הציע להם שיבקשו </w:t>
      </w:r>
      <w:proofErr w:type="spellStart"/>
      <w:r>
        <w:rPr>
          <w:rtl/>
        </w:rPr>
        <w:t>מאמם</w:t>
      </w:r>
      <w:proofErr w:type="spellEnd"/>
      <w:r>
        <w:rPr>
          <w:rtl/>
        </w:rPr>
        <w:t xml:space="preserve"> לייסד </w:t>
      </w:r>
      <w:proofErr w:type="spellStart"/>
      <w:r>
        <w:rPr>
          <w:rtl/>
        </w:rPr>
        <w:t>קלויז</w:t>
      </w:r>
      <w:proofErr w:type="spellEnd"/>
      <w:r>
        <w:rPr>
          <w:rtl/>
        </w:rPr>
        <w:t>.</w:t>
      </w:r>
    </w:p>
    <w:p w14:paraId="52259D10" w14:textId="77777777" w:rsidR="00AB3647" w:rsidRDefault="00000000" w:rsidP="007923E9">
      <w:pPr>
        <w:spacing w:before="120" w:after="100" w:line="276" w:lineRule="auto"/>
        <w:jc w:val="both"/>
      </w:pPr>
      <w:r>
        <w:rPr>
          <w:rtl/>
        </w:rPr>
        <w:t xml:space="preserve">סיפור זה אינו סותר את המסורת שמסרה רחל חדש. ייתכן בהחלט </w:t>
      </w:r>
      <w:proofErr w:type="spellStart"/>
      <w:r>
        <w:rPr>
          <w:rtl/>
        </w:rPr>
        <w:t>שבלומקה</w:t>
      </w:r>
      <w:proofErr w:type="spellEnd"/>
      <w:r>
        <w:rPr>
          <w:rtl/>
        </w:rPr>
        <w:t xml:space="preserve"> דנה עם הרב בהוצאת התוכנית שהציעו בניה אל הפועל, ואמרה לו שדעתה נתונה להשתקע בארץ ישראל, ואז השיב לה שתוכל לזכות </w:t>
      </w:r>
      <w:proofErr w:type="spellStart"/>
      <w:r>
        <w:rPr>
          <w:rtl/>
        </w:rPr>
        <w:t>ב“ארץ</w:t>
      </w:r>
      <w:proofErr w:type="spellEnd"/>
      <w:r>
        <w:rPr>
          <w:rtl/>
        </w:rPr>
        <w:t xml:space="preserve"> ישראל בתוך מינסק”.</w:t>
      </w:r>
    </w:p>
    <w:p w14:paraId="08074ECD" w14:textId="370DBD2B" w:rsidR="00AB3647" w:rsidRDefault="00000000" w:rsidP="007923E9">
      <w:pPr>
        <w:spacing w:before="120" w:after="100" w:line="276" w:lineRule="auto"/>
        <w:jc w:val="both"/>
      </w:pPr>
      <w:r>
        <w:rPr>
          <w:rtl/>
        </w:rPr>
        <w:t xml:space="preserve">במכתב אנו מוצאים את התאריך המשוער של ייסוד </w:t>
      </w:r>
      <w:proofErr w:type="spellStart"/>
      <w:r>
        <w:rPr>
          <w:rtl/>
        </w:rPr>
        <w:t>הקלויז</w:t>
      </w:r>
      <w:proofErr w:type="spellEnd"/>
      <w:r>
        <w:rPr>
          <w:rtl/>
        </w:rPr>
        <w:t xml:space="preserve"> – “שנים אחדות אחרי ייסוד ישיבת </w:t>
      </w:r>
      <w:proofErr w:type="spellStart"/>
      <w:r>
        <w:rPr>
          <w:rtl/>
        </w:rPr>
        <w:t>וולוז׳ין</w:t>
      </w:r>
      <w:proofErr w:type="spellEnd"/>
      <w:r>
        <w:rPr>
          <w:rtl/>
        </w:rPr>
        <w:t xml:space="preserve">” – בסביבות תקס״ז. תאריך זה מפריך את הנחתו של </w:t>
      </w:r>
      <w:proofErr w:type="spellStart"/>
      <w:r>
        <w:rPr>
          <w:rtl/>
        </w:rPr>
        <w:t>בן־ציון</w:t>
      </w:r>
      <w:proofErr w:type="spellEnd"/>
      <w:r>
        <w:rPr>
          <w:rtl/>
        </w:rPr>
        <w:t xml:space="preserve"> גרשוני </w:t>
      </w:r>
      <w:proofErr w:type="spellStart"/>
      <w:r>
        <w:rPr>
          <w:rtl/>
        </w:rPr>
        <w:t>ב“מינסק</w:t>
      </w:r>
      <w:proofErr w:type="spellEnd"/>
      <w:r>
        <w:rPr>
          <w:rtl/>
        </w:rPr>
        <w:t xml:space="preserve"> עיר ואם א”</w:t>
      </w:r>
      <w:bookmarkStart w:id="893" w:name="_fnr547"/>
      <w:r>
        <w:rPr>
          <w:rStyle w:val="a5"/>
        </w:rPr>
        <w:footnoteReference w:id="547" w:customMarkFollows="0"/>
      </w:r>
      <w:bookmarkEnd w:id="893"/>
      <w:r>
        <w:rPr>
          <w:rtl/>
        </w:rPr>
        <w:t xml:space="preserve"> </w:t>
      </w:r>
      <w:proofErr w:type="spellStart"/>
      <w:r>
        <w:rPr>
          <w:rtl/>
        </w:rPr>
        <w:t>שבלומקה</w:t>
      </w:r>
      <w:proofErr w:type="spellEnd"/>
      <w:r>
        <w:rPr>
          <w:rtl/>
        </w:rPr>
        <w:t xml:space="preserve"> בנתה את </w:t>
      </w:r>
      <w:proofErr w:type="spellStart"/>
      <w:r>
        <w:rPr>
          <w:rtl/>
        </w:rPr>
        <w:t>הקלויז</w:t>
      </w:r>
      <w:proofErr w:type="spellEnd"/>
      <w:r>
        <w:rPr>
          <w:rtl/>
        </w:rPr>
        <w:t xml:space="preserve"> כדי לשכן בו את ישיבת השאגת אריה. </w:t>
      </w:r>
      <w:bookmarkStart w:id="894" w:name="_Hlk243586690"/>
      <w:r>
        <w:rPr>
          <w:rtl/>
        </w:rPr>
        <w:t xml:space="preserve">השאגת אריה היה נעדר מן הזירה כמה עשורים קודם לכן</w:t>
      </w:r>
      <w:bookmarkEnd w:id="894"/>
      <w:r>
        <w:rPr>
          <w:rtl/>
        </w:rPr>
        <w:t xml:space="preserve">: הוא עזב את מינסק סופית בין תקכ״ג </w:t>
      </w:r>
      <w:proofErr w:type="spellStart"/>
      <w:r>
        <w:rPr>
          <w:rtl/>
        </w:rPr>
        <w:t>לתקכ״ה</w:t>
      </w:r>
      <w:proofErr w:type="spellEnd"/>
      <w:r>
        <w:rPr>
          <w:rtl/>
        </w:rPr>
        <w:t xml:space="preserve">, ונפטר במץ בשנת תקמ״ה. אם הייתה </w:t>
      </w:r>
      <w:proofErr w:type="spellStart"/>
      <w:r>
        <w:rPr>
          <w:rtl/>
        </w:rPr>
        <w:t>בלומקה</w:t>
      </w:r>
      <w:proofErr w:type="spellEnd"/>
      <w:r>
        <w:rPr>
          <w:rtl/>
        </w:rPr>
        <w:t xml:space="preserve"> רק בת </w:t>
      </w:r>
      <w:proofErr w:type="spellStart"/>
      <w:r>
        <w:rPr>
          <w:rtl/>
        </w:rPr>
        <w:t>שתים־עשרה</w:t>
      </w:r>
      <w:proofErr w:type="spellEnd"/>
      <w:r>
        <w:rPr>
          <w:rtl/>
        </w:rPr>
        <w:t xml:space="preserve"> כשמכרה את חלותיה ונרותיה, כבר הייתה בת שבעים ושבע כשייסדה את </w:t>
      </w:r>
      <w:proofErr w:type="spellStart"/>
      <w:r>
        <w:rPr>
          <w:rtl/>
        </w:rPr>
        <w:t>הקלויז</w:t>
      </w:r>
      <w:proofErr w:type="spellEnd"/>
      <w:r>
        <w:rPr>
          <w:rtl/>
        </w:rPr>
        <w:t xml:space="preserve"> – גיל מופלג מכדי לעלות לארץ ישראל, אלמלא ההבטחה (מלפני כן) המובאת בתחילת הערה </w:t>
      </w:r>
      <w:r>
        <w:rPr>
          <w:rtl/>
        </w:rPr>
        <w:fldChar w:fldCharType="begin" w:dirty="true"/>
      </w:r>
      <w:r>
        <w:rPr>
          <w:rtl/>
        </w:rPr>
        <w:instrText xml:space="preserve"> REF b2_note35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35</w:t>
      </w:r>
      <w:r>
        <w:rPr>
          <w:rtl/>
        </w:rPr>
        <w:fldChar w:fldCharType="end"/>
      </w:r>
      <w:r>
        <w:rPr>
          <w:rtl/>
        </w:rPr>
        <w:t xml:space="preserve"> לעיל, שאין לה צורך למהר לעזוב את העיר. לפי שער “מסכת שקלים מן התלמוד הירושלמי” שנדפסה במינסק בשנת תקע״ב, כפי שהוא מובא </w:t>
      </w:r>
      <w:proofErr w:type="spellStart"/>
      <w:r>
        <w:rPr>
          <w:rtl/>
        </w:rPr>
        <w:t>ב“מינסק</w:t>
      </w:r>
      <w:proofErr w:type="spellEnd"/>
      <w:r>
        <w:rPr>
          <w:rtl/>
        </w:rPr>
        <w:t xml:space="preserve"> עיר ואם א”,</w:t>
      </w:r>
      <w:bookmarkStart w:id="895" w:name="_fnr548"/>
      <w:r>
        <w:rPr>
          <w:rStyle w:val="a5"/>
        </w:rPr>
        <w:footnoteReference w:id="548" w:customMarkFollows="0"/>
      </w:r>
      <w:bookmarkEnd w:id="895"/>
      <w:r>
        <w:rPr>
          <w:rtl/>
        </w:rPr>
        <w:t xml:space="preserve"> הלוו </w:t>
      </w:r>
      <w:proofErr w:type="spellStart"/>
      <w:r>
        <w:rPr>
          <w:rtl/>
        </w:rPr>
        <w:t>בלומקה</w:t>
      </w:r>
      <w:proofErr w:type="spellEnd"/>
      <w:r>
        <w:rPr>
          <w:rtl/>
        </w:rPr>
        <w:t xml:space="preserve"> ושני בניה, </w:t>
      </w:r>
      <w:proofErr w:type="spellStart"/>
      <w:r>
        <w:rPr>
          <w:rtl/>
        </w:rPr>
        <w:t>זאב־וולף</w:t>
      </w:r>
      <w:proofErr w:type="spellEnd"/>
      <w:r>
        <w:rPr>
          <w:rtl/>
        </w:rPr>
        <w:t xml:space="preserve"> ואלעזר, כסף להדפסת הספר. מכאן שנסיעתה לארץ ישראל נדחתה לגיל מאוחר עוד יותר, שמונים ושתיים ומעלה!</w:t>
      </w:r>
      <w:bookmarkStart w:id="896" w:name="_fnr549"/>
      <w:r>
        <w:rPr>
          <w:rStyle w:val="a5"/>
        </w:rPr>
        <w:footnoteReference w:id="549" w:customMarkFollows="0"/>
      </w:r>
      <w:bookmarkEnd w:id="896"/>
    </w:p>
    <w:p w14:paraId="1B66B5BD" w14:textId="289828CA" w:rsidR="00AB3647" w:rsidRDefault="00000000" w:rsidP="007923E9">
      <w:pPr>
        <w:spacing w:after="100" w:line="276" w:lineRule="auto"/>
        <w:ind w:firstLine="340"/>
        <w:jc w:val="both"/>
      </w:pPr>
      <w:r>
        <w:rPr>
          <w:rtl/>
        </w:rPr>
        <w:t xml:space="preserve">במכתבו </w:t>
      </w:r>
      <w:r w:rsidR="00EE1289">
        <w:rPr>
          <w:rFonts w:hint="cs"/>
          <w:rtl/>
        </w:rPr>
        <w:t xml:space="preserve">גם </w:t>
      </w:r>
      <w:r>
        <w:rPr>
          <w:rtl/>
        </w:rPr>
        <w:t xml:space="preserve">כותב רב </w:t>
      </w:r>
      <w:proofErr w:type="spellStart"/>
      <w:r>
        <w:rPr>
          <w:rtl/>
        </w:rPr>
        <w:t>קרינק</w:t>
      </w:r>
      <w:proofErr w:type="spellEnd"/>
      <w:r>
        <w:rPr>
          <w:rtl/>
        </w:rPr>
        <w:t xml:space="preserve"> שרבו, ר׳ חיים </w:t>
      </w:r>
      <w:proofErr w:type="spellStart"/>
      <w:r>
        <w:rPr>
          <w:rtl/>
        </w:rPr>
        <w:t>מוולוז׳ין</w:t>
      </w:r>
      <w:proofErr w:type="spellEnd"/>
      <w:r>
        <w:rPr>
          <w:rtl/>
        </w:rPr>
        <w:t xml:space="preserve">, ייחס לעצמו את מלוא הזכות לייסוד הישיבות במינסק – הראשונה שבהן </w:t>
      </w:r>
      <w:proofErr w:type="spellStart"/>
      <w:r>
        <w:rPr>
          <w:rtl/>
        </w:rPr>
        <w:t>הקלויז</w:t>
      </w:r>
      <w:proofErr w:type="spellEnd"/>
      <w:r>
        <w:rPr>
          <w:rtl/>
        </w:rPr>
        <w:t xml:space="preserve"> של </w:t>
      </w:r>
      <w:proofErr w:type="spellStart"/>
      <w:r>
        <w:rPr>
          <w:rtl/>
        </w:rPr>
        <w:t>בלומקה</w:t>
      </w:r>
      <w:proofErr w:type="spellEnd"/>
      <w:r>
        <w:rPr>
          <w:rtl/>
        </w:rPr>
        <w:t xml:space="preserve"> – באמרו: “יש לי נחת רוח מן הישיבות שבמינסק יותר מישיבתי, שכן זו האחרונה מטרידה את זמני בצרכיה הפרטיים, ואילו </w:t>
      </w:r>
      <w:r>
        <w:rPr>
          <w:rtl/>
        </w:rPr>
        <w:lastRenderedPageBreak/>
        <w:t>אלו אינן מטריחות אותי כלל – אף על פי ש</w:t>
      </w:r>
      <w:r>
        <w:rPr>
          <w:b/>
          <w:bCs/>
          <w:rtl/>
        </w:rPr>
        <w:t>כולן שלי</w:t>
      </w:r>
      <w:r>
        <w:rPr>
          <w:rtl/>
        </w:rPr>
        <w:t xml:space="preserve"> (ההדגשה שלי).” לפי “אישים וקהילות” מאת הרב משה </w:t>
      </w:r>
      <w:proofErr w:type="spellStart"/>
      <w:r>
        <w:rPr>
          <w:rtl/>
        </w:rPr>
        <w:t>צינוביץ</w:t>
      </w:r>
      <w:proofErr w:type="spellEnd"/>
      <w:r>
        <w:rPr>
          <w:rtl/>
        </w:rPr>
        <w:t>,</w:t>
      </w:r>
      <w:bookmarkStart w:id="897" w:name="_fnr550"/>
      <w:r>
        <w:rPr>
          <w:rStyle w:val="a5"/>
        </w:rPr>
        <w:footnoteReference w:id="550" w:customMarkFollows="0"/>
      </w:r>
      <w:bookmarkEnd w:id="897"/>
      <w:r>
        <w:rPr>
          <w:rtl/>
        </w:rPr>
        <w:t xml:space="preserve"> שלח ר׳ חיים </w:t>
      </w:r>
      <w:proofErr w:type="spellStart"/>
      <w:r>
        <w:rPr>
          <w:rtl/>
        </w:rPr>
        <w:t>מוולוז׳ין</w:t>
      </w:r>
      <w:proofErr w:type="spellEnd"/>
      <w:r>
        <w:rPr>
          <w:rtl/>
        </w:rPr>
        <w:t xml:space="preserve"> עשרה מטובי תלמידיו לעזור בייסוד ישיבת </w:t>
      </w:r>
      <w:proofErr w:type="spellStart"/>
      <w:r>
        <w:rPr>
          <w:rtl/>
        </w:rPr>
        <w:t>הקלויז</w:t>
      </w:r>
      <w:proofErr w:type="spellEnd"/>
      <w:r>
        <w:rPr>
          <w:rtl/>
        </w:rPr>
        <w:t xml:space="preserve"> של </w:t>
      </w:r>
      <w:proofErr w:type="spellStart"/>
      <w:r>
        <w:rPr>
          <w:rtl/>
        </w:rPr>
        <w:t>בלומקה</w:t>
      </w:r>
      <w:proofErr w:type="spellEnd"/>
      <w:r>
        <w:rPr>
          <w:rtl/>
        </w:rPr>
        <w:t>.</w:t>
      </w:r>
    </w:p>
    <w:p w14:paraId="4E56CE07" w14:textId="251EECE5" w:rsidR="00AB3647" w:rsidRDefault="00000000" w:rsidP="007923E9">
      <w:pPr>
        <w:spacing w:after="100" w:line="276" w:lineRule="auto"/>
        <w:ind w:firstLine="340"/>
        <w:jc w:val="both"/>
      </w:pPr>
      <w:r>
        <w:rPr>
          <w:rtl/>
        </w:rPr>
        <w:t xml:space="preserve">יש לשער שרב </w:t>
      </w:r>
      <w:proofErr w:type="spellStart"/>
      <w:r>
        <w:rPr>
          <w:rtl/>
        </w:rPr>
        <w:t>קרינק</w:t>
      </w:r>
      <w:proofErr w:type="spellEnd"/>
      <w:r>
        <w:rPr>
          <w:rtl/>
        </w:rPr>
        <w:t xml:space="preserve"> הדגיש את התפקיד המכריע שמילאה ישיבת </w:t>
      </w:r>
      <w:proofErr w:type="spellStart"/>
      <w:r>
        <w:rPr>
          <w:rtl/>
        </w:rPr>
        <w:t>וולוז׳ין</w:t>
      </w:r>
      <w:proofErr w:type="spellEnd"/>
      <w:r>
        <w:rPr>
          <w:rtl/>
        </w:rPr>
        <w:t xml:space="preserve"> בהרבצת התורה במינסק מפני שרצה שקהילת עשירי מינסק</w:t>
      </w:r>
      <w:bookmarkStart w:id="898" w:name="_fnr551"/>
      <w:r>
        <w:rPr>
          <w:rStyle w:val="a5"/>
        </w:rPr>
        <w:footnoteReference w:id="551" w:customMarkFollows="0"/>
      </w:r>
      <w:bookmarkEnd w:id="898"/>
      <w:r>
        <w:rPr>
          <w:rtl/>
        </w:rPr>
        <w:t xml:space="preserve"> תיטול על עצמה חלק גדול מהוצאות הבנייה מחדש, מתוך הכרת טובה על מה שעשתה הישיבה להגדלת לימוד התורה בעירם. והשווה גם פרק 4, תחילת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תמכו עשירי מינסק בישיבת </w:t>
      </w:r>
      <w:proofErr w:type="spellStart"/>
      <w:r>
        <w:rPr>
          <w:rtl/>
        </w:rPr>
        <w:t>וולוז׳ין</w:t>
      </w:r>
      <w:proofErr w:type="spellEnd"/>
      <w:r>
        <w:rPr>
          <w:rtl/>
        </w:rPr>
        <w:t xml:space="preserve"> בתקופה מאוחרת יותר.</w:t>
      </w:r>
    </w:p>
    <w:bookmarkStart w:id="899" w:name="b2_note37"/>
    <w:p w14:paraId="732ACF7C" w14:textId="77777777" w:rsidR="00AB3647" w:rsidRDefault="00000000" w:rsidP="007923E9">
      <w:pPr>
        <w:spacing w:before="120" w:after="100" w:line="276" w:lineRule="auto"/>
        <w:jc w:val="both"/>
      </w:pPr>
      <w:r>
        <w:fldChar w:fldCharType="begin" w:dirty="true"/>
      </w:r>
      <w:r>
        <w:instrText>HYPERLINK \l "b2_ref37"</w:instrText>
      </w:r>
      <w:r>
        <w:fldChar w:fldCharType="separate"/>
      </w:r>
      <w:r>
        <w:rPr>
          <w:b/>
          <w:bCs/>
          <w:rtl/>
        </w:rPr>
        <w:t>37</w:t>
      </w:r>
      <w:r>
        <w:rPr>
          <w:b/>
          <w:bCs/>
        </w:rPr>
        <w:fldChar w:fldCharType="end"/>
      </w:r>
      <w:bookmarkEnd w:id="899"/>
      <w:r>
        <w:rPr>
          <w:rtl/>
        </w:rPr>
        <w:t xml:space="preserve"> “הראשון לשושלת </w:t>
      </w:r>
      <w:proofErr w:type="spellStart"/>
      <w:r>
        <w:rPr>
          <w:rtl/>
        </w:rPr>
        <w:t>בריסק</w:t>
      </w:r>
      <w:proofErr w:type="spellEnd"/>
      <w:r>
        <w:rPr>
          <w:rtl/>
        </w:rPr>
        <w:t>”.</w:t>
      </w:r>
      <w:bookmarkStart w:id="900" w:name="_fnr552"/>
      <w:r>
        <w:rPr>
          <w:rStyle w:val="a5"/>
        </w:rPr>
        <w:footnoteReference w:id="552" w:customMarkFollows="0"/>
      </w:r>
      <w:bookmarkEnd w:id="900"/>
    </w:p>
    <w:p w14:paraId="4C66CC4B" w14:textId="05DFD49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את בחינת הקבלה </w:t>
      </w:r>
      <w:proofErr w:type="spellStart"/>
      <w:r>
        <w:rPr>
          <w:rtl/>
        </w:rPr>
        <w:t>לקלויז</w:t>
      </w:r>
      <w:proofErr w:type="spellEnd"/>
      <w:r>
        <w:rPr>
          <w:rtl/>
        </w:rPr>
        <w:t xml:space="preserve"> של </w:t>
      </w:r>
      <w:proofErr w:type="spellStart"/>
      <w:r>
        <w:rPr>
          <w:rtl/>
        </w:rPr>
        <w:t>בלומקה</w:t>
      </w:r>
      <w:proofErr w:type="spellEnd"/>
      <w:r>
        <w:rPr>
          <w:rtl/>
        </w:rPr>
        <w:t xml:space="preserve"> עבר בקיץ תרס״ג. הוא השיב בהצטיינות על כל השאלות שהציג לו ראש הישיבה, ר׳ בנימין שימונוביץ,</w:t>
      </w:r>
      <w:bookmarkStart w:id="901" w:name="b2_ref38"/>
      <w:bookmarkEnd w:id="901"/>
      <w:r>
        <w:rPr>
          <w:vertAlign w:val="superscript"/>
          <w:rtl/>
        </w:rPr>
        <w:fldChar w:fldCharType="begin" w:dirty="true"/>
      </w:r>
      <w:r>
        <w:rPr>
          <w:vertAlign w:val="superscript"/>
          <w:rtl/>
        </w:rPr>
        <w:instrText xml:space="preserve"> REF b2_note38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אבל לפתע הטרידה את ראש הישיבה קומתו הנמוכה של אבי, והוא שאל לגילו. כשענה הנער: “קרוב </w:t>
      </w:r>
      <w:proofErr w:type="spellStart"/>
      <w:r>
        <w:rPr>
          <w:rtl/>
        </w:rPr>
        <w:t>לשלוש־עשרה</w:t>
      </w:r>
      <w:proofErr w:type="spellEnd"/>
      <w:r>
        <w:rPr>
          <w:rtl/>
        </w:rPr>
        <w:t xml:space="preserve">”, השיב ראש הישיבה: “הצלחת יפה מאוד בבחינה, אבל אתה פחות מבר מצווה”. רצונו העז להתעלות בתורה דחף את אבי להשיב בעזות שלא הייתה מדרכו: “אינני נחוץ כאן להשלים מניין; למה </w:t>
      </w:r>
      <w:bookmarkStart w:id="902" w:name="_Hlk243587066"/>
      <w:r>
        <w:rPr>
          <w:rtl/>
        </w:rPr>
        <w:t>אם כן עלי להיות בר מצווה?!”</w:t>
      </w:r>
      <w:bookmarkEnd w:id="902"/>
      <w:r>
        <w:rPr>
          <w:vertAlign w:val="superscript"/>
          <w:rtl/>
        </w:rPr>
        <w:fldChar w:fldCharType="begin" w:dirty="true"/>
      </w:r>
      <w:r>
        <w:rPr>
          <w:vertAlign w:val="superscript"/>
          <w:rtl/>
        </w:rPr>
        <w:instrText xml:space="preserve"> REF b2_note32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ראש הישיבה אהב את התשובה הנחרצת, והצעיר נתקבל.</w:t>
      </w:r>
    </w:p>
    <w:bookmarkStart w:id="903" w:name="b2_note38"/>
    <w:p w14:paraId="1EB84A04" w14:textId="77777777" w:rsidR="00AB3647" w:rsidRDefault="00000000" w:rsidP="007923E9">
      <w:pPr>
        <w:spacing w:before="120" w:after="100" w:line="276" w:lineRule="auto"/>
        <w:jc w:val="both"/>
      </w:pPr>
      <w:r>
        <w:fldChar w:fldCharType="begin" w:dirty="true"/>
      </w:r>
      <w:r>
        <w:instrText>HYPERLINK \l "b2_ref38"</w:instrText>
      </w:r>
      <w:r>
        <w:fldChar w:fldCharType="separate"/>
      </w:r>
      <w:r>
        <w:rPr>
          <w:b/>
          <w:bCs/>
          <w:rtl/>
        </w:rPr>
        <w:t>38</w:t>
      </w:r>
      <w:r>
        <w:rPr>
          <w:b/>
          <w:bCs/>
        </w:rPr>
        <w:fldChar w:fldCharType="end"/>
      </w:r>
      <w:bookmarkEnd w:id="903"/>
      <w:r>
        <w:rPr>
          <w:rtl/>
        </w:rPr>
        <w:t xml:space="preserve"> נולד בשנת תרכ״א, נפטר בשנת תרפ״א.</w:t>
      </w:r>
    </w:p>
    <w:p w14:paraId="1EFC3D18" w14:textId="046688D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הקלויז</w:t>
      </w:r>
      <w:proofErr w:type="spellEnd"/>
      <w:r>
        <w:rPr>
          <w:rtl/>
        </w:rPr>
        <w:t xml:space="preserve"> היה בניין לבנים קטן בן שתי קומות, ותריסר מדרגות עלו אל פתחו. במרתף התפלל מניין של מגלגלי סיגריות,</w:t>
      </w:r>
      <w:bookmarkStart w:id="904" w:name="b2_ref39"/>
      <w:bookmarkEnd w:id="904"/>
      <w:r>
        <w:rPr>
          <w:vertAlign w:val="superscript"/>
          <w:rtl/>
        </w:rPr>
        <w:fldChar w:fldCharType="begin" w:dirty="true"/>
      </w:r>
      <w:r>
        <w:rPr>
          <w:vertAlign w:val="superscript"/>
          <w:rtl/>
        </w:rPr>
        <w:instrText xml:space="preserve"> REF b2_note39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ובקומה העליונה הייתה עזרת נשים. הבימה לא הייתה מוגבהת. זה היה היכל לימוד טיפוסי של ישיבה, אף שבעלי בתים רבים, רובם למדנים, היו באים להתפלל שם, ואחר כך עומדים סביב הבימה ומשוחחים על ענייני העולם.</w:t>
      </w:r>
      <w:bookmarkStart w:id="905" w:name="b2_ref40"/>
      <w:bookmarkEnd w:id="905"/>
      <w:r>
        <w:rPr>
          <w:vertAlign w:val="superscript"/>
          <w:rtl/>
        </w:rPr>
        <w:fldChar w:fldCharType="begin" w:dirty="true"/>
      </w:r>
      <w:r>
        <w:rPr>
          <w:vertAlign w:val="superscript"/>
          <w:rtl/>
        </w:rPr>
        <w:instrText xml:space="preserve"> REF b2_note40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בלילה הפך בית המדרש לפנימייה לרבים מן התלמידים: הם היו מקרבים ספסלים זה לזה ומכסים אותם במזרני קש, וככל שהתלמיד היה מבוגר יותר, כן היה מקומו באולם מובחר יותר.</w:t>
      </w:r>
      <w:bookmarkStart w:id="906" w:name="b2_ref41"/>
      <w:bookmarkEnd w:id="906"/>
      <w:r>
        <w:rPr>
          <w:vertAlign w:val="superscript"/>
          <w:rtl/>
        </w:rPr>
        <w:fldChar w:fldCharType="begin" w:dirty="true"/>
      </w:r>
      <w:r>
        <w:rPr>
          <w:vertAlign w:val="superscript"/>
          <w:rtl/>
        </w:rPr>
        <w:instrText xml:space="preserve"> REF b2_note41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p>
    <w:bookmarkStart w:id="907" w:name="b2_note39"/>
    <w:p w14:paraId="4DC079B1" w14:textId="77777777" w:rsidR="00AB3647" w:rsidRDefault="00000000" w:rsidP="007923E9">
      <w:pPr>
        <w:spacing w:before="120" w:after="100" w:line="276" w:lineRule="auto"/>
        <w:jc w:val="both"/>
      </w:pPr>
      <w:r>
        <w:fldChar w:fldCharType="begin" w:dirty="true"/>
      </w:r>
      <w:r>
        <w:instrText>HYPERLINK \l "b2_ref39"</w:instrText>
      </w:r>
      <w:r>
        <w:fldChar w:fldCharType="separate"/>
      </w:r>
      <w:r>
        <w:rPr>
          <w:b/>
          <w:bCs/>
          <w:rtl/>
        </w:rPr>
        <w:t>39</w:t>
      </w:r>
      <w:r>
        <w:rPr>
          <w:b/>
          <w:bCs/>
        </w:rPr>
        <w:fldChar w:fldCharType="end"/>
      </w:r>
      <w:bookmarkEnd w:id="907"/>
      <w:r>
        <w:rPr>
          <w:rtl/>
        </w:rPr>
        <w:t xml:space="preserve"> תיאור זה לקוח </w:t>
      </w:r>
      <w:proofErr w:type="spellStart"/>
      <w:r>
        <w:rPr>
          <w:rtl/>
        </w:rPr>
        <w:t>מ“זכרונות</w:t>
      </w:r>
      <w:proofErr w:type="spellEnd"/>
      <w:r>
        <w:rPr>
          <w:rtl/>
        </w:rPr>
        <w:t xml:space="preserve"> פון צווי דורות”, המובא </w:t>
      </w:r>
      <w:proofErr w:type="spellStart"/>
      <w:r>
        <w:rPr>
          <w:rtl/>
        </w:rPr>
        <w:t>ב“מינסק</w:t>
      </w:r>
      <w:proofErr w:type="spellEnd"/>
      <w:r>
        <w:rPr>
          <w:rtl/>
        </w:rPr>
        <w:t xml:space="preserve"> עיר ואם א”,</w:t>
      </w:r>
      <w:bookmarkStart w:id="908" w:name="_fnr553"/>
      <w:r>
        <w:rPr>
          <w:rStyle w:val="a5"/>
        </w:rPr>
        <w:footnoteReference w:id="553" w:customMarkFollows="0"/>
      </w:r>
      <w:bookmarkEnd w:id="908"/>
      <w:r>
        <w:rPr>
          <w:rtl/>
        </w:rPr>
        <w:t xml:space="preserve"> עם ההבהרה הבאה של רחל חדש:</w:t>
      </w:r>
      <w:bookmarkStart w:id="909" w:name="_fnr554"/>
      <w:r>
        <w:rPr>
          <w:rStyle w:val="a5"/>
        </w:rPr>
        <w:footnoteReference w:id="554" w:customMarkFollows="0"/>
      </w:r>
      <w:bookmarkEnd w:id="909"/>
      <w:r>
        <w:rPr>
          <w:rtl/>
        </w:rPr>
        <w:t xml:space="preserve"> בעלי בתי החרושת היו מספקים לפועליהם מכונות קטנות המופעלות ביד למילוי טבק בנייר סיגריות בבתיהם. ר׳ אשר </w:t>
      </w:r>
      <w:proofErr w:type="spellStart"/>
      <w:r>
        <w:rPr>
          <w:rtl/>
        </w:rPr>
        <w:t>קרשטיין</w:t>
      </w:r>
      <w:bookmarkStart w:id="910" w:name="_fnr555"/>
      <w:proofErr w:type="spellEnd"/>
      <w:r>
        <w:rPr>
          <w:rStyle w:val="a5"/>
        </w:rPr>
        <w:footnoteReference w:id="555" w:customMarkFollows="0"/>
      </w:r>
      <w:bookmarkEnd w:id="910"/>
      <w:r>
        <w:rPr>
          <w:rtl/>
        </w:rPr>
        <w:t xml:space="preserve"> נזכר שבקומת המרתף פעל תלמוד תורה לילדים קטנים.</w:t>
      </w:r>
    </w:p>
    <w:bookmarkStart w:id="911" w:name="b2_note40"/>
    <w:p w14:paraId="6C094913" w14:textId="77777777" w:rsidR="00AB3647" w:rsidRDefault="00000000" w:rsidP="007923E9">
      <w:pPr>
        <w:spacing w:before="120" w:after="100" w:line="276" w:lineRule="auto"/>
        <w:jc w:val="both"/>
      </w:pPr>
      <w:r>
        <w:lastRenderedPageBreak/>
        <w:fldChar w:fldCharType="begin" w:dirty="true"/>
      </w:r>
      <w:r>
        <w:instrText>HYPERLINK \l "b2_ref40"</w:instrText>
      </w:r>
      <w:r>
        <w:fldChar w:fldCharType="separate"/>
      </w:r>
      <w:r>
        <w:rPr>
          <w:b/>
          <w:bCs/>
          <w:rtl/>
        </w:rPr>
        <w:t>40</w:t>
      </w:r>
      <w:r>
        <w:rPr>
          <w:b/>
          <w:bCs/>
        </w:rPr>
        <w:fldChar w:fldCharType="end"/>
      </w:r>
      <w:bookmarkEnd w:id="911"/>
      <w:r>
        <w:rPr>
          <w:rtl/>
        </w:rPr>
        <w:t xml:space="preserve"> “מינסק עיר ואם א”.</w:t>
      </w:r>
      <w:bookmarkStart w:id="912" w:name="_fnr556"/>
      <w:r>
        <w:rPr>
          <w:rStyle w:val="a5"/>
        </w:rPr>
        <w:footnoteReference w:id="556" w:customMarkFollows="0"/>
      </w:r>
      <w:bookmarkEnd w:id="912"/>
      <w:r>
        <w:rPr>
          <w:rtl/>
        </w:rPr>
        <w:t xml:space="preserve"> בבית הכנסת היה בעל קורא מצוין, ר׳ אברהם ליפשיץ, שאף שהיה שומר מצוות, נשמע עליו שהוא אוהד את המשכילים. בשל כך ניסה קנאי אחד, ר׳ שמואל לוריא, להביא לפיטוריו זמן קצר לפני פורים. הוא נכשל, משום שבקיאותו של ליפשיץ בדקדוק העברי הוערכה מאוד </w:t>
      </w:r>
      <w:proofErr w:type="spellStart"/>
      <w:r>
        <w:rPr>
          <w:rtl/>
        </w:rPr>
        <w:t>בקלויז</w:t>
      </w:r>
      <w:proofErr w:type="spellEnd"/>
      <w:r>
        <w:rPr>
          <w:rtl/>
        </w:rPr>
        <w:t>. כשהמריבה עוד הייתה טרייה בזיכרון הקהל, הגביר הבעל קורא את שמחת הפורים שלהם: כשהשמיע את דברי המגילה (ז, ה) “מי הוא זה ואיזה הוא אשר מלאו לבו לעשות כן”, הצביע על יריבו. העובדה שהכתוב מדבר בהמן הבהירה היטב לשומעים כמה נפגע ליפשיץ מן הניסיון להדיחו.</w:t>
      </w:r>
      <w:bookmarkStart w:id="913" w:name="_fnr557"/>
      <w:r>
        <w:rPr>
          <w:rStyle w:val="a5"/>
        </w:rPr>
        <w:footnoteReference w:id="557" w:customMarkFollows="0"/>
      </w:r>
      <w:bookmarkEnd w:id="913"/>
    </w:p>
    <w:bookmarkStart w:id="914" w:name="b2_note41"/>
    <w:p w14:paraId="3B454C92" w14:textId="77777777" w:rsidR="00AB3647" w:rsidRDefault="00000000" w:rsidP="007923E9">
      <w:pPr>
        <w:spacing w:before="120" w:after="100" w:line="276" w:lineRule="auto"/>
        <w:jc w:val="both"/>
      </w:pPr>
      <w:r>
        <w:fldChar w:fldCharType="begin" w:dirty="true"/>
      </w:r>
      <w:r>
        <w:instrText>HYPERLINK \l "b2_ref41"</w:instrText>
      </w:r>
      <w:r>
        <w:fldChar w:fldCharType="separate"/>
      </w:r>
      <w:r>
        <w:rPr>
          <w:b/>
          <w:bCs/>
          <w:rtl/>
        </w:rPr>
        <w:t>41</w:t>
      </w:r>
      <w:r>
        <w:rPr>
          <w:b/>
          <w:bCs/>
        </w:rPr>
        <w:fldChar w:fldCharType="end"/>
      </w:r>
      <w:bookmarkEnd w:id="914"/>
      <w:r>
        <w:rPr>
          <w:rtl/>
        </w:rPr>
        <w:t xml:space="preserve"> </w:t>
      </w:r>
      <w:proofErr w:type="spellStart"/>
      <w:r>
        <w:rPr>
          <w:rtl/>
        </w:rPr>
        <w:t>ה“זכות</w:t>
      </w:r>
      <w:proofErr w:type="spellEnd"/>
      <w:r>
        <w:rPr>
          <w:rtl/>
        </w:rPr>
        <w:t>” על מקום מסוים ללימוד או לשינה נקראה במונח התלמודי “חזקה”.</w:t>
      </w:r>
      <w:bookmarkStart w:id="915" w:name="_fnr558"/>
      <w:r>
        <w:rPr>
          <w:rStyle w:val="a5"/>
        </w:rPr>
        <w:footnoteReference w:id="558" w:customMarkFollows="0"/>
      </w:r>
      <w:bookmarkEnd w:id="915"/>
      <w:r>
        <w:rPr>
          <w:rtl/>
        </w:rPr>
        <w:t xml:space="preserve"> לא רק שהתלמידים האחרים לא היו פוגעים בחזקת חבריהם; גם בעלי הבתים המתפללים כיבדו את זכויותיהם.</w:t>
      </w:r>
      <w:bookmarkStart w:id="916" w:name="_fnr559"/>
      <w:r>
        <w:rPr>
          <w:rStyle w:val="a5"/>
        </w:rPr>
        <w:footnoteReference w:id="559" w:customMarkFollows="0"/>
      </w:r>
      <w:bookmarkEnd w:id="916"/>
      <w:r>
        <w:rPr>
          <w:rtl/>
        </w:rPr>
        <w:t xml:space="preserve"> במקומות אחדים חילקו ביניהן קבוצות שונות, הן של בעלי בתים הן של תלמידים, את שעות הלימוד, כך שבבית המדרש למדו תורה מסביב לשעון. זה היה גם המנהג שהנהיג ר׳ חיים בישיבת </w:t>
      </w:r>
      <w:proofErr w:type="spellStart"/>
      <w:r>
        <w:rPr>
          <w:rtl/>
        </w:rPr>
        <w:t>וולוז׳ין</w:t>
      </w:r>
      <w:proofErr w:type="spellEnd"/>
      <w:r>
        <w:rPr>
          <w:rtl/>
        </w:rPr>
        <w:t>.</w:t>
      </w:r>
      <w:bookmarkStart w:id="917" w:name="_fnr560"/>
      <w:r>
        <w:rPr>
          <w:rStyle w:val="a5"/>
        </w:rPr>
        <w:footnoteReference w:id="560" w:customMarkFollows="0"/>
      </w:r>
      <w:bookmarkEnd w:id="917"/>
      <w:r>
        <w:rPr>
          <w:rtl/>
        </w:rPr>
        <w:t xml:space="preserve"> אבל “אפילו בעלי בתים עשירים, </w:t>
      </w:r>
      <w:proofErr w:type="spellStart"/>
      <w:r>
        <w:rPr>
          <w:rtl/>
        </w:rPr>
        <w:t>בידעם</w:t>
      </w:r>
      <w:proofErr w:type="spellEnd"/>
      <w:r>
        <w:rPr>
          <w:rtl/>
        </w:rPr>
        <w:t xml:space="preserve"> שבני הישיבה לומדים עד חצות – ובין התלמידים היו מתמידים שלמדו אף מאוחר יותר – לא העזו להעיר בחור ישיבה כדי לפנות מקום לעצמם. הם הסכימו להניח לבחור הישיבה ולא להפריע את מנוחתו.”</w:t>
      </w:r>
      <w:bookmarkStart w:id="918" w:name="_fnr561"/>
      <w:r>
        <w:rPr>
          <w:rStyle w:val="a5"/>
        </w:rPr>
        <w:footnoteReference w:id="561" w:customMarkFollows="0"/>
      </w:r>
      <w:bookmarkEnd w:id="918"/>
    </w:p>
    <w:p w14:paraId="6C9761D1" w14:textId="6C9CB7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מאבי נחסך הסבל שהיה בדרך כלל מנת חלקו של תלמיד חדש – ובפרט של תלמיד חדש שלא הגיע לגיל מצוות – משום שהחזיק </w:t>
      </w:r>
      <w:proofErr w:type="spellStart"/>
      <w:r>
        <w:rPr>
          <w:rtl/>
        </w:rPr>
        <w:t>ב“חדרו</w:t>
      </w:r>
      <w:proofErr w:type="spellEnd"/>
      <w:r>
        <w:rPr>
          <w:rtl/>
        </w:rPr>
        <w:t xml:space="preserve">” שבבית דודו. הוא היה צעיר מדי וחסר ניסיון מכדי לתפוס שהחשיפה המתמשכת לבני דודו ולספריהם עלולה לסכן את עתידו. הוא נשאר </w:t>
      </w:r>
      <w:proofErr w:type="spellStart"/>
      <w:r>
        <w:rPr>
          <w:rtl/>
        </w:rPr>
        <w:t>בקלויז</w:t>
      </w:r>
      <w:proofErr w:type="spellEnd"/>
      <w:r>
        <w:rPr>
          <w:rtl/>
        </w:rPr>
        <w:t xml:space="preserve"> של </w:t>
      </w:r>
      <w:proofErr w:type="spellStart"/>
      <w:r>
        <w:rPr>
          <w:rtl/>
        </w:rPr>
        <w:t>בלומקה</w:t>
      </w:r>
      <w:proofErr w:type="spellEnd"/>
      <w:r>
        <w:rPr>
          <w:rtl/>
        </w:rPr>
        <w:t xml:space="preserve"> והמשיך בסידור זה חצי שנה, עד פסח תרס״ד. שלושה שבועות קודם לכן נעשה בר מצווה, שלא בנוכחות הוריו: ביום חמישי בבוקר עלה לתורה, ואחר כך אמר, בפני הקרובים המעטים שהיו לו בעיר ושהתאספו בבית סבו, את הדרשה שמצא בשעה שלמד בשול “משכיל לאיתן”.</w:t>
      </w:r>
      <w:bookmarkStart w:id="919" w:name="b2_ref42"/>
      <w:bookmarkEnd w:id="919"/>
      <w:r>
        <w:rPr>
          <w:vertAlign w:val="superscript"/>
          <w:rtl/>
        </w:rPr>
        <w:fldChar w:fldCharType="begin" w:dirty="true"/>
      </w:r>
      <w:r>
        <w:rPr>
          <w:vertAlign w:val="superscript"/>
          <w:rtl/>
        </w:rPr>
        <w:instrText xml:space="preserve"> REF b2_note42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p>
    <w:bookmarkStart w:id="920" w:name="b2_note42"/>
    <w:p w14:paraId="06907488" w14:textId="77777777" w:rsidR="00AB3647" w:rsidRDefault="00000000" w:rsidP="007923E9">
      <w:pPr>
        <w:spacing w:before="120" w:after="100" w:line="276" w:lineRule="auto"/>
        <w:jc w:val="both"/>
      </w:pPr>
      <w:r>
        <w:fldChar w:fldCharType="begin" w:dirty="true"/>
      </w:r>
      <w:r>
        <w:instrText>HYPERLINK \l "b2_ref42"</w:instrText>
      </w:r>
      <w:r>
        <w:fldChar w:fldCharType="separate"/>
      </w:r>
      <w:r>
        <w:rPr>
          <w:b/>
          <w:bCs/>
          <w:rtl/>
        </w:rPr>
        <w:t>42</w:t>
      </w:r>
      <w:r>
        <w:rPr>
          <w:b/>
          <w:bCs/>
        </w:rPr>
        <w:fldChar w:fldCharType="end"/>
      </w:r>
      <w:bookmarkEnd w:id="920"/>
      <w:r>
        <w:rPr>
          <w:rtl/>
        </w:rPr>
        <w:t xml:space="preserve"> עם בר המצווה שלו החל בהרגל שנמשך כל ימי חייו: לסיים בכל שנה (בלי מפרשים) את עשרים וארבעה ספרי התנ״ך.</w:t>
      </w:r>
      <w:bookmarkStart w:id="921" w:name="_fnr562"/>
      <w:r>
        <w:rPr>
          <w:rStyle w:val="a5"/>
        </w:rPr>
        <w:footnoteReference w:id="562" w:customMarkFollows="0"/>
      </w:r>
      <w:bookmarkEnd w:id="921"/>
    </w:p>
    <w:p w14:paraId="6ED34491" w14:textId="3680A4E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אבי היה מהיר תפיסה, ומוחו פעל בלי הפסק בשנות התעצבותו אלה; הוא לא בזבז אף רגע לבטלה. כוח זיכרונו היה יוצא מן הכלל, אבל לא החשיב את עצמו לגאון.</w:t>
      </w:r>
      <w:bookmarkStart w:id="922" w:name="b2_ref43"/>
      <w:bookmarkEnd w:id="922"/>
      <w:r>
        <w:rPr>
          <w:vertAlign w:val="superscript"/>
          <w:rtl/>
        </w:rPr>
        <w:fldChar w:fldCharType="begin" w:dirty="true"/>
      </w:r>
      <w:r>
        <w:rPr>
          <w:vertAlign w:val="superscript"/>
          <w:rtl/>
        </w:rPr>
        <w:instrText xml:space="preserve"> REF b2_note43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הוא פשוט תמה על כך שחבריו שוכחים לפעמים דבר שלמדו או נתקלו בו – תופעה שהייתה זרה לו </w:t>
      </w:r>
      <w:r>
        <w:rPr>
          <w:rtl/>
        </w:rPr>
        <w:lastRenderedPageBreak/>
        <w:t>לגמרי.</w:t>
      </w:r>
      <w:bookmarkStart w:id="923" w:name="b2_ref44"/>
      <w:bookmarkEnd w:id="923"/>
      <w:r>
        <w:rPr>
          <w:vertAlign w:val="superscript"/>
          <w:rtl/>
        </w:rPr>
        <w:fldChar w:fldCharType="begin" w:dirty="true"/>
      </w:r>
      <w:r>
        <w:rPr>
          <w:vertAlign w:val="superscript"/>
          <w:rtl/>
        </w:rPr>
        <w:instrText xml:space="preserve"> REF b2_note44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שכלו הער קלט גם קטעים </w:t>
      </w:r>
      <w:proofErr w:type="spellStart"/>
      <w:r>
        <w:rPr>
          <w:rtl/>
        </w:rPr>
        <w:t>מ“מושבי</w:t>
      </w:r>
      <w:proofErr w:type="spellEnd"/>
      <w:r>
        <w:rPr>
          <w:rtl/>
        </w:rPr>
        <w:t>” החדשות שהתקיימו סביב הבימה אחרי התפילה, והרחיב את תחומי התעניינותו.</w:t>
      </w:r>
      <w:bookmarkStart w:id="924" w:name="b2_ref45"/>
      <w:bookmarkEnd w:id="924"/>
      <w:r>
        <w:rPr>
          <w:vertAlign w:val="superscript"/>
          <w:rtl/>
        </w:rPr>
        <w:fldChar w:fldCharType="begin" w:dirty="true"/>
      </w:r>
      <w:r>
        <w:rPr>
          <w:vertAlign w:val="superscript"/>
          <w:rtl/>
        </w:rPr>
        <w:instrText xml:space="preserve"> REF b2_note45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p>
    <w:bookmarkStart w:id="925" w:name="b2_note43"/>
    <w:p w14:paraId="39FA7399" w14:textId="77777777" w:rsidR="00AB3647" w:rsidRDefault="00000000" w:rsidP="007923E9">
      <w:pPr>
        <w:spacing w:before="120" w:after="100" w:line="276" w:lineRule="auto"/>
        <w:jc w:val="both"/>
      </w:pPr>
      <w:r>
        <w:fldChar w:fldCharType="begin" w:dirty="true"/>
      </w:r>
      <w:r>
        <w:instrText>HYPERLINK \l "b2_ref43"</w:instrText>
      </w:r>
      <w:r>
        <w:fldChar w:fldCharType="separate"/>
      </w:r>
      <w:r>
        <w:rPr>
          <w:b/>
          <w:bCs/>
          <w:rtl/>
        </w:rPr>
        <w:t>43</w:t>
      </w:r>
      <w:r>
        <w:rPr>
          <w:b/>
          <w:bCs/>
        </w:rPr>
        <w:fldChar w:fldCharType="end"/>
      </w:r>
      <w:bookmarkEnd w:id="925"/>
      <w:r>
        <w:rPr>
          <w:rtl/>
        </w:rPr>
        <w:t xml:space="preserve"> הדבר הפתיע אותו לגמרי כעבור כמה שנים, כשאחיו אהרן, שלמד אז זמן קצר בישיבת </w:t>
      </w:r>
      <w:proofErr w:type="spellStart"/>
      <w:r>
        <w:rPr>
          <w:rtl/>
        </w:rPr>
        <w:t>סלבודקה</w:t>
      </w:r>
      <w:proofErr w:type="spellEnd"/>
      <w:r>
        <w:rPr>
          <w:rtl/>
        </w:rPr>
        <w:t xml:space="preserve">, גילה לו שבישיבה מכנים אותו “העילוי </w:t>
      </w:r>
      <w:proofErr w:type="spellStart"/>
      <w:r>
        <w:rPr>
          <w:rtl/>
        </w:rPr>
        <w:t>הדולהינובר</w:t>
      </w:r>
      <w:proofErr w:type="spellEnd"/>
      <w:r>
        <w:rPr>
          <w:rtl/>
        </w:rPr>
        <w:t>”. אהרן הביא אז את הבשורה הטובה להוריהם.</w:t>
      </w:r>
    </w:p>
    <w:bookmarkStart w:id="926" w:name="b2_note44"/>
    <w:p w14:paraId="58319769" w14:textId="77777777" w:rsidR="00AB3647" w:rsidRDefault="00000000" w:rsidP="007923E9">
      <w:pPr>
        <w:spacing w:before="120" w:after="100" w:line="276" w:lineRule="auto"/>
        <w:jc w:val="both"/>
      </w:pPr>
      <w:r>
        <w:fldChar w:fldCharType="begin" w:dirty="true"/>
      </w:r>
      <w:r>
        <w:instrText>HYPERLINK \l "b2_ref44"</w:instrText>
      </w:r>
      <w:r>
        <w:fldChar w:fldCharType="separate"/>
      </w:r>
      <w:r>
        <w:rPr>
          <w:b/>
          <w:bCs/>
          <w:rtl/>
        </w:rPr>
        <w:t>44</w:t>
      </w:r>
      <w:r>
        <w:rPr>
          <w:b/>
          <w:bCs/>
        </w:rPr>
        <w:fldChar w:fldCharType="end"/>
      </w:r>
      <w:bookmarkEnd w:id="926"/>
      <w:r>
        <w:rPr>
          <w:rtl/>
        </w:rPr>
        <w:t xml:space="preserve"> “עד אמצע ימיי היה מושג השכחה בלתי מובן לי כמו צבע לסומא,” אמר אבי. בשנותיו הראשונות לא הבין מדוע חבריו שואלים אותו לפעמים היכן נמצא קטע גמרא שלמדו כמוהו. גם לא הבין את המציאות שבה עוסק פסק השולחן ערוך</w:t>
      </w:r>
      <w:bookmarkStart w:id="927" w:name="_fnr563"/>
      <w:r>
        <w:rPr>
          <w:rStyle w:val="a5"/>
        </w:rPr>
        <w:footnoteReference w:id="563" w:customMarkFollows="0"/>
      </w:r>
      <w:bookmarkEnd w:id="927"/>
      <w:r>
        <w:rPr>
          <w:rtl/>
        </w:rPr>
        <w:t xml:space="preserve"> – מי שמסופק אם אמר בתפילת העמידה את הנוסח הנכון לפי עונת השנה: כיצד יכול אדם להסתפק במה שאמר הוא עצמו? הוא סיפר גם כמה היה מתרגז כששאלו אותו איך מאייתים מילה רוסית, כשידע שהשואל ראה אותה פעם כמוהו </w:t>
      </w:r>
      <w:r>
        <w:rPr>
          <w:b/>
          <w:bCs/>
          <w:rtl/>
        </w:rPr>
        <w:t>בעצמו</w:t>
      </w:r>
      <w:r>
        <w:rPr>
          <w:rtl/>
        </w:rPr>
        <w:t>. “וכי אני הגוי, שיש להחשיב אותי כבקי במילה יותר ממך?” מחה עוד.</w:t>
      </w:r>
    </w:p>
    <w:p w14:paraId="018A8764" w14:textId="77777777" w:rsidR="00AB3647" w:rsidRDefault="00000000" w:rsidP="007923E9">
      <w:pPr>
        <w:spacing w:before="120" w:after="100" w:line="276" w:lineRule="auto"/>
        <w:jc w:val="both"/>
      </w:pPr>
      <w:r>
        <w:rPr>
          <w:rtl/>
        </w:rPr>
        <w:t xml:space="preserve">ביום טוב אחד </w:t>
      </w:r>
      <w:proofErr w:type="spellStart"/>
      <w:r>
        <w:rPr>
          <w:rtl/>
        </w:rPr>
        <w:t>במונסי</w:t>
      </w:r>
      <w:proofErr w:type="spellEnd"/>
      <w:r>
        <w:rPr>
          <w:rtl/>
        </w:rPr>
        <w:t xml:space="preserve"> נזכר אבי שתלמיד אחר </w:t>
      </w:r>
      <w:proofErr w:type="spellStart"/>
      <w:r>
        <w:rPr>
          <w:rtl/>
        </w:rPr>
        <w:t>בסלבודקה</w:t>
      </w:r>
      <w:proofErr w:type="spellEnd"/>
      <w:r>
        <w:rPr>
          <w:rtl/>
        </w:rPr>
        <w:t>, שגר בכפר נידח, קיבל הוראות כיצד לנסוע הביתה לפסח – היכן להחליף את כלי הרכב הרבים כדי להגיע לעיר הולדתו. בשנה שלאחר מכן, כשביקש שוב הוראות, הוכיח אותו אבי: “הרי נסעת הביתה בשנה שעברה! מדוע אתה שואל?”</w:t>
      </w:r>
      <w:bookmarkStart w:id="928" w:name="_fnr564"/>
      <w:r>
        <w:rPr>
          <w:rStyle w:val="a5"/>
        </w:rPr>
        <w:footnoteReference w:id="564" w:customMarkFollows="0"/>
      </w:r>
      <w:bookmarkEnd w:id="928"/>
    </w:p>
    <w:p w14:paraId="3A78BE8D" w14:textId="1A5E9327" w:rsidR="00AB3647" w:rsidRDefault="00000000" w:rsidP="007923E9">
      <w:pPr>
        <w:spacing w:before="120" w:after="100" w:line="276" w:lineRule="auto"/>
        <w:jc w:val="both"/>
      </w:pPr>
      <w:r>
        <w:rPr>
          <w:rtl/>
        </w:rPr>
        <w:t xml:space="preserve">אני זוכר כיצד </w:t>
      </w:r>
      <w:r w:rsidR="00EE1289">
        <w:rPr>
          <w:rFonts w:hint="cs"/>
          <w:rtl/>
        </w:rPr>
        <w:t>אבי</w:t>
      </w:r>
      <w:r>
        <w:rPr>
          <w:rtl/>
        </w:rPr>
        <w:t xml:space="preserve">, כבר באמצע שנות החמישים לחייו, היה משעשע אורח בודד שהרבה לבוא לביתו בברוקלין, ר׳ פרץ </w:t>
      </w:r>
      <w:proofErr w:type="spellStart"/>
      <w:r>
        <w:rPr>
          <w:rtl/>
        </w:rPr>
        <w:t>יוגל</w:t>
      </w:r>
      <w:proofErr w:type="spellEnd"/>
      <w:r>
        <w:rPr>
          <w:rtl/>
        </w:rPr>
        <w:t>: הם התחרו בציון המקום המדויק בש״ס של מאמרים תלמודיים נדירים, או באמירת דפי גמרא בעל פה לפי בחירת האורח.</w:t>
      </w:r>
    </w:p>
    <w:bookmarkStart w:id="929" w:name="b2_note45"/>
    <w:p w14:paraId="4532FC0B" w14:textId="77777777" w:rsidR="00AB3647" w:rsidRDefault="00000000" w:rsidP="007923E9">
      <w:pPr>
        <w:spacing w:before="120" w:after="100" w:line="276" w:lineRule="auto"/>
        <w:jc w:val="both"/>
      </w:pPr>
      <w:r>
        <w:fldChar w:fldCharType="begin" w:dirty="true"/>
      </w:r>
      <w:r>
        <w:instrText>HYPERLINK \l "b2_ref45"</w:instrText>
      </w:r>
      <w:r>
        <w:fldChar w:fldCharType="separate"/>
      </w:r>
      <w:r>
        <w:rPr>
          <w:b/>
          <w:bCs/>
          <w:rtl/>
        </w:rPr>
        <w:t>45</w:t>
      </w:r>
      <w:r>
        <w:rPr>
          <w:b/>
          <w:bCs/>
        </w:rPr>
        <w:fldChar w:fldCharType="end"/>
      </w:r>
      <w:bookmarkEnd w:id="929"/>
      <w:r>
        <w:rPr>
          <w:rtl/>
        </w:rPr>
        <w:t xml:space="preserve"> בית המדרש היה בדרך כלל המקום “שאליו היו פונים לשמוע חדשות בעלות חשיבות היסטורית ומאורעות השעה הנוגעים לאומה היהודית”.</w:t>
      </w:r>
      <w:bookmarkStart w:id="930" w:name="_fnr565"/>
      <w:r>
        <w:rPr>
          <w:rStyle w:val="a5"/>
        </w:rPr>
        <w:footnoteReference w:id="565" w:customMarkFollows="0"/>
      </w:r>
      <w:bookmarkEnd w:id="930"/>
    </w:p>
    <w:p w14:paraId="4FFC089D" w14:textId="00426353" w:rsidR="00AB3647" w:rsidRDefault="00000000" w:rsidP="007923E9">
      <w:pPr>
        <w:spacing w:after="100" w:line="276" w:lineRule="auto"/>
        <w:ind w:firstLine="340"/>
        <w:jc w:val="both"/>
      </w:pPr>
      <w:r>
        <w:rPr>
          <w:rtl/>
        </w:rPr>
        <w:t xml:space="preserve">בשעות שמחוץ לסדרים עבר רבנו מספרות קלה (השווה </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לספרים רציניים. הוא עיין בספרי המתמטיקה והפיזיקה של בני דודו וקיבל מושג במקצועות אלה. ר׳ </w:t>
      </w:r>
      <w:proofErr w:type="spellStart"/>
      <w:r>
        <w:rPr>
          <w:rtl/>
        </w:rPr>
        <w:t>לייבל</w:t>
      </w:r>
      <w:proofErr w:type="spellEnd"/>
      <w:r>
        <w:rPr>
          <w:rtl/>
        </w:rPr>
        <w:t xml:space="preserve"> </w:t>
      </w:r>
      <w:proofErr w:type="spellStart"/>
      <w:r>
        <w:rPr>
          <w:rtl/>
        </w:rPr>
        <w:t>פרלשטיין</w:t>
      </w:r>
      <w:bookmarkStart w:id="931" w:name="_fnr566"/>
      <w:proofErr w:type="spellEnd"/>
      <w:r>
        <w:rPr>
          <w:rStyle w:val="a5"/>
        </w:rPr>
        <w:footnoteReference w:id="566" w:customMarkFollows="0"/>
      </w:r>
      <w:bookmarkEnd w:id="931"/>
      <w:r>
        <w:rPr>
          <w:rtl/>
        </w:rPr>
        <w:t xml:space="preserve"> סיפר שאחד מבני הדודים למד הנדסה, ואבי קרא גם את ספריו הטכניים בתחום זה. המרואיין סיפר </w:t>
      </w:r>
      <w:proofErr w:type="spellStart"/>
      <w:r>
        <w:rPr>
          <w:rtl/>
        </w:rPr>
        <w:t>שבהיותו</w:t>
      </w:r>
      <w:proofErr w:type="spellEnd"/>
      <w:r>
        <w:rPr>
          <w:rtl/>
        </w:rPr>
        <w:t xml:space="preserve"> תלמיד צעיר </w:t>
      </w:r>
      <w:proofErr w:type="spellStart"/>
      <w:r>
        <w:rPr>
          <w:rtl/>
        </w:rPr>
        <w:t>בסלבודקה</w:t>
      </w:r>
      <w:proofErr w:type="spellEnd"/>
      <w:r>
        <w:rPr>
          <w:rtl/>
        </w:rPr>
        <w:t xml:space="preserve"> לא האמין אבי שר׳ </w:t>
      </w:r>
      <w:proofErr w:type="spellStart"/>
      <w:r>
        <w:rPr>
          <w:rtl/>
        </w:rPr>
        <w:t>אברהם־אליהו</w:t>
      </w:r>
      <w:proofErr w:type="spellEnd"/>
      <w:r>
        <w:rPr>
          <w:rtl/>
        </w:rPr>
        <w:t xml:space="preserve"> קפלן</w:t>
      </w:r>
      <w:bookmarkStart w:id="932" w:name="_fnr567"/>
      <w:r>
        <w:rPr>
          <w:rStyle w:val="a5"/>
        </w:rPr>
        <w:footnoteReference w:id="567" w:customMarkFollows="0"/>
      </w:r>
      <w:bookmarkEnd w:id="932"/>
      <w:r>
        <w:rPr>
          <w:rtl/>
        </w:rPr>
        <w:t xml:space="preserve"> יגדל להיות גאון, משום שהיה חלש במתמטיקה! “אבל,” סיים, “התבדיתי.” רבנו הניח שההיגיון שאדם זקוק לו למתמטיקה הוא אותו כוח עצמו הנדרש לפתרון בעיות תלמודיות.</w:t>
      </w:r>
    </w:p>
    <w:p w14:paraId="12E347FA" w14:textId="77777777" w:rsidR="00AB3647" w:rsidRDefault="00000000" w:rsidP="007923E9">
      <w:pPr>
        <w:spacing w:after="100" w:line="276" w:lineRule="auto"/>
        <w:ind w:firstLine="340"/>
        <w:jc w:val="both"/>
      </w:pPr>
      <w:r>
        <w:rPr>
          <w:rtl/>
        </w:rPr>
        <w:lastRenderedPageBreak/>
        <w:t xml:space="preserve">שמא יתפלא הקורא על כך שאבי קשר את לימוד התורה למקצועות עזר ולמקצועות חול, אספר מעשה </w:t>
      </w:r>
      <w:proofErr w:type="spellStart"/>
      <w:r>
        <w:rPr>
          <w:rtl/>
        </w:rPr>
        <w:t>בחזון־איש</w:t>
      </w:r>
      <w:proofErr w:type="spellEnd"/>
      <w:r>
        <w:rPr>
          <w:rtl/>
        </w:rPr>
        <w:t xml:space="preserve"> המדגים את אותה גישה. ר׳ </w:t>
      </w:r>
      <w:proofErr w:type="spellStart"/>
      <w:r>
        <w:rPr>
          <w:rtl/>
        </w:rPr>
        <w:t>צבי־הירש</w:t>
      </w:r>
      <w:proofErr w:type="spellEnd"/>
      <w:r>
        <w:rPr>
          <w:rtl/>
        </w:rPr>
        <w:t xml:space="preserve"> </w:t>
      </w:r>
      <w:proofErr w:type="spellStart"/>
      <w:r>
        <w:rPr>
          <w:rtl/>
        </w:rPr>
        <w:t>אפלבוים</w:t>
      </w:r>
      <w:proofErr w:type="spellEnd"/>
      <w:r>
        <w:rPr>
          <w:rtl/>
        </w:rPr>
        <w:t xml:space="preserve">, תלמיד חכם וסוחר אריגים </w:t>
      </w:r>
      <w:proofErr w:type="spellStart"/>
      <w:r>
        <w:rPr>
          <w:rtl/>
        </w:rPr>
        <w:t>מבריסק</w:t>
      </w:r>
      <w:proofErr w:type="spellEnd"/>
      <w:r>
        <w:rPr>
          <w:rtl/>
        </w:rPr>
        <w:t xml:space="preserve">, הוגלה </w:t>
      </w:r>
      <w:proofErr w:type="spellStart"/>
      <w:r>
        <w:rPr>
          <w:rtl/>
        </w:rPr>
        <w:t>לסטויבץ</w:t>
      </w:r>
      <w:proofErr w:type="spellEnd"/>
      <w:r>
        <w:rPr>
          <w:rtl/>
        </w:rPr>
        <w:t xml:space="preserve"> במלחמת העולם הראשונה, כמו </w:t>
      </w:r>
      <w:proofErr w:type="spellStart"/>
      <w:r>
        <w:rPr>
          <w:rtl/>
        </w:rPr>
        <w:t>החזון־איש</w:t>
      </w:r>
      <w:proofErr w:type="spellEnd"/>
      <w:r>
        <w:rPr>
          <w:rtl/>
        </w:rPr>
        <w:t xml:space="preserve">. הוא עזר לרבנית של </w:t>
      </w:r>
      <w:proofErr w:type="spellStart"/>
      <w:r>
        <w:rPr>
          <w:rtl/>
        </w:rPr>
        <w:t>החזון־איש</w:t>
      </w:r>
      <w:proofErr w:type="spellEnd"/>
      <w:r>
        <w:rPr>
          <w:rtl/>
        </w:rPr>
        <w:t xml:space="preserve">, בתיה, בקניית סחורה לחנותה, ואף קיבל רשות מן </w:t>
      </w:r>
      <w:proofErr w:type="spellStart"/>
      <w:r>
        <w:rPr>
          <w:rtl/>
        </w:rPr>
        <w:t>החזון־איש</w:t>
      </w:r>
      <w:proofErr w:type="spellEnd"/>
      <w:r>
        <w:rPr>
          <w:rtl/>
        </w:rPr>
        <w:t xml:space="preserve"> לפתוח עסק אריגים מתחרה, ונעשה </w:t>
      </w:r>
      <w:proofErr w:type="spellStart"/>
      <w:r>
        <w:rPr>
          <w:rtl/>
        </w:rPr>
        <w:t>תלמיד־חבר</w:t>
      </w:r>
      <w:proofErr w:type="spellEnd"/>
      <w:r>
        <w:rPr>
          <w:rtl/>
        </w:rPr>
        <w:t xml:space="preserve"> שלו. בליל קיץ אחד הזמין </w:t>
      </w:r>
      <w:proofErr w:type="spellStart"/>
      <w:r>
        <w:rPr>
          <w:rtl/>
        </w:rPr>
        <w:t>החזון־איש</w:t>
      </w:r>
      <w:proofErr w:type="spellEnd"/>
      <w:r>
        <w:rPr>
          <w:rtl/>
        </w:rPr>
        <w:t xml:space="preserve"> את ר׳ </w:t>
      </w:r>
      <w:proofErr w:type="spellStart"/>
      <w:r>
        <w:rPr>
          <w:rtl/>
        </w:rPr>
        <w:t>צבי־הירש</w:t>
      </w:r>
      <w:proofErr w:type="spellEnd"/>
      <w:r>
        <w:rPr>
          <w:rtl/>
        </w:rPr>
        <w:t xml:space="preserve"> להצטרף אליו לשחייה בנהר </w:t>
      </w:r>
      <w:proofErr w:type="spellStart"/>
      <w:r>
        <w:rPr>
          <w:rtl/>
        </w:rPr>
        <w:t>הנמן</w:t>
      </w:r>
      <w:proofErr w:type="spellEnd"/>
      <w:r>
        <w:rPr>
          <w:rtl/>
        </w:rPr>
        <w:t xml:space="preserve"> למחרת בארבע לפנות בוקר.</w:t>
      </w:r>
      <w:bookmarkStart w:id="933" w:name="_fnr568"/>
      <w:r>
        <w:rPr>
          <w:rStyle w:val="a5"/>
        </w:rPr>
        <w:footnoteReference w:id="568" w:customMarkFollows="0"/>
      </w:r>
      <w:bookmarkEnd w:id="933"/>
      <w:r>
        <w:rPr>
          <w:rtl/>
        </w:rPr>
        <w:t xml:space="preserve"> כשהיו במים החל </w:t>
      </w:r>
      <w:proofErr w:type="spellStart"/>
      <w:r>
        <w:rPr>
          <w:rtl/>
        </w:rPr>
        <w:t>החזון־איש</w:t>
      </w:r>
      <w:proofErr w:type="spellEnd"/>
      <w:r>
        <w:rPr>
          <w:rtl/>
        </w:rPr>
        <w:t xml:space="preserve"> להתיז מים על חברו בשובבות, ור׳ </w:t>
      </w:r>
      <w:proofErr w:type="spellStart"/>
      <w:r>
        <w:rPr>
          <w:rtl/>
        </w:rPr>
        <w:t>צבי־הירש</w:t>
      </w:r>
      <w:proofErr w:type="spellEnd"/>
      <w:r>
        <w:rPr>
          <w:rtl/>
        </w:rPr>
        <w:t xml:space="preserve"> שאל אותו: “רבי, מה קורה כאן?” השיב הרב: “אויב מען </w:t>
      </w:r>
      <w:proofErr w:type="spellStart"/>
      <w:r>
        <w:rPr>
          <w:rtl/>
        </w:rPr>
        <w:t>קען</w:t>
      </w:r>
      <w:proofErr w:type="spellEnd"/>
      <w:r>
        <w:rPr>
          <w:rtl/>
        </w:rPr>
        <w:t xml:space="preserve"> </w:t>
      </w:r>
      <w:proofErr w:type="spellStart"/>
      <w:r>
        <w:rPr>
          <w:rtl/>
        </w:rPr>
        <w:t>שטיפען</w:t>
      </w:r>
      <w:proofErr w:type="spellEnd"/>
      <w:r>
        <w:rPr>
          <w:rtl/>
        </w:rPr>
        <w:t xml:space="preserve">, </w:t>
      </w:r>
      <w:proofErr w:type="spellStart"/>
      <w:r>
        <w:rPr>
          <w:rtl/>
        </w:rPr>
        <w:t>קען</w:t>
      </w:r>
      <w:proofErr w:type="spellEnd"/>
      <w:r>
        <w:rPr>
          <w:rtl/>
        </w:rPr>
        <w:t xml:space="preserve"> מען מחדש זיין [אם אפשר להשתובב, אפשר לחדש – חידושי תורה].”</w:t>
      </w:r>
      <w:bookmarkStart w:id="934" w:name="_fnr569"/>
      <w:r>
        <w:rPr>
          <w:rStyle w:val="a5"/>
        </w:rPr>
        <w:footnoteReference w:id="569" w:customMarkFollows="0"/>
      </w:r>
      <w:bookmarkEnd w:id="934"/>
    </w:p>
    <w:p w14:paraId="344D0C9A" w14:textId="77777777" w:rsidR="00AB3647" w:rsidRDefault="00000000" w:rsidP="007923E9">
      <w:pPr>
        <w:spacing w:after="100" w:line="276" w:lineRule="auto"/>
        <w:ind w:firstLine="340"/>
        <w:jc w:val="both"/>
      </w:pPr>
      <w:r>
        <w:rPr>
          <w:rtl/>
        </w:rPr>
        <w:t xml:space="preserve">מעשה שובבות אחר </w:t>
      </w:r>
      <w:proofErr w:type="spellStart"/>
      <w:r>
        <w:rPr>
          <w:rtl/>
        </w:rPr>
        <w:t>בחזון־איש</w:t>
      </w:r>
      <w:proofErr w:type="spellEnd"/>
      <w:r>
        <w:rPr>
          <w:rtl/>
        </w:rPr>
        <w:t xml:space="preserve"> קשור </w:t>
      </w:r>
      <w:bookmarkStart w:id="935" w:name="_Hlk243587554"/>
      <w:r>
        <w:rPr>
          <w:rtl/>
        </w:rPr>
        <w:t xml:space="preserve">בר׳ </w:t>
      </w:r>
      <w:proofErr w:type="spellStart"/>
      <w:r>
        <w:rPr>
          <w:rtl/>
        </w:rPr>
        <w:t>יענקל</w:t>
      </w:r>
      <w:proofErr w:type="spellEnd"/>
      <w:r>
        <w:rPr>
          <w:rtl/>
        </w:rPr>
        <w:t xml:space="preserve"> </w:t>
      </w:r>
      <w:proofErr w:type="spellStart"/>
      <w:r>
        <w:rPr>
          <w:rtl/>
        </w:rPr>
        <w:t>ראדישקוביצער</w:t>
      </w:r>
      <w:proofErr w:type="spellEnd"/>
      <w:r>
        <w:rPr>
          <w:rtl/>
        </w:rPr>
        <w:t xml:space="preserve">, בחור ישיבה מבוגר ורווק, אהוב על הבריות, בארץ ישראל בשנות </w:t>
      </w:r>
      <w:proofErr w:type="spellStart"/>
      <w:r>
        <w:rPr>
          <w:rtl/>
        </w:rPr>
        <w:t>הת״ש־י</w:t>
      </w:r>
      <w:proofErr w:type="spellEnd"/>
      <w:r>
        <w:rPr>
          <w:rtl/>
        </w:rPr>
        <w:t>׳, שאהב “לדבר בלימוד” עם החכם הגדול</w:t>
      </w:r>
      <w:bookmarkEnd w:id="935"/>
      <w:r>
        <w:rPr>
          <w:rtl/>
        </w:rPr>
        <w:t xml:space="preserve">. </w:t>
      </w:r>
      <w:bookmarkStart w:id="936" w:name="_Hlk243587530"/>
      <w:r>
        <w:rPr>
          <w:rtl/>
        </w:rPr>
        <w:t xml:space="preserve">פעם אמר </w:t>
      </w:r>
      <w:proofErr w:type="spellStart"/>
      <w:r>
        <w:rPr>
          <w:rtl/>
        </w:rPr>
        <w:t>הראדישקוביצער</w:t>
      </w:r>
      <w:proofErr w:type="spellEnd"/>
      <w:r>
        <w:rPr>
          <w:rtl/>
        </w:rPr>
        <w:t xml:space="preserve"> </w:t>
      </w:r>
      <w:proofErr w:type="spellStart"/>
      <w:r>
        <w:rPr>
          <w:rtl/>
        </w:rPr>
        <w:t>לחזון־איש</w:t>
      </w:r>
      <w:proofErr w:type="spellEnd"/>
      <w:r>
        <w:rPr>
          <w:rtl/>
        </w:rPr>
        <w:t xml:space="preserve">: “אילו הייתם בריא וחזק יותר, הייתי בא לדבר עמכם לעתים קרובות יותר.” השיב לו </w:t>
      </w:r>
      <w:proofErr w:type="spellStart"/>
      <w:r>
        <w:rPr>
          <w:rtl/>
        </w:rPr>
        <w:t>החזון־איש</w:t>
      </w:r>
      <w:proofErr w:type="spellEnd"/>
      <w:r>
        <w:rPr>
          <w:rtl/>
        </w:rPr>
        <w:t>: “אילו הייתי בריא וחזק יותר, הייתי יכול לתפוס אותך בעורפך ולזרוק אותך החוצה לגמרי</w:t>
      </w:r>
      <w:bookmarkEnd w:id="936"/>
      <w:r>
        <w:rPr>
          <w:rtl/>
        </w:rPr>
        <w:t>!”</w:t>
      </w:r>
      <w:bookmarkStart w:id="937" w:name="_fnr570"/>
      <w:r>
        <w:rPr>
          <w:rStyle w:val="a5"/>
        </w:rPr>
        <w:footnoteReference w:id="570" w:customMarkFollows="0"/>
      </w:r>
      <w:bookmarkEnd w:id="937"/>
    </w:p>
    <w:p w14:paraId="0AE92E10" w14:textId="0DE905E0" w:rsidR="00AB3647" w:rsidRDefault="00000000" w:rsidP="007923E9">
      <w:pPr>
        <w:spacing w:after="100" w:line="276" w:lineRule="auto"/>
        <w:ind w:firstLine="340"/>
        <w:jc w:val="both"/>
      </w:pPr>
      <w:r>
        <w:rPr>
          <w:rtl/>
        </w:rPr>
        <w:t xml:space="preserve">אבי עיין גם ברומנים הרוסיים של בני דודו, מאת סופרים כגון פושקין, </w:t>
      </w:r>
      <w:proofErr w:type="spellStart"/>
      <w:r>
        <w:rPr>
          <w:rtl/>
        </w:rPr>
        <w:t>לרמונטוב</w:t>
      </w:r>
      <w:proofErr w:type="spellEnd"/>
      <w:r>
        <w:rPr>
          <w:rtl/>
        </w:rPr>
        <w:t xml:space="preserve">, </w:t>
      </w:r>
      <w:proofErr w:type="spellStart"/>
      <w:r>
        <w:rPr>
          <w:rtl/>
        </w:rPr>
        <w:t>דוסטויבסקי</w:t>
      </w:r>
      <w:proofErr w:type="spellEnd"/>
      <w:r>
        <w:rPr>
          <w:rtl/>
        </w:rPr>
        <w:t xml:space="preserve"> </w:t>
      </w:r>
      <w:proofErr w:type="spellStart"/>
      <w:r>
        <w:rPr>
          <w:rtl/>
        </w:rPr>
        <w:t>וטולסטוי</w:t>
      </w:r>
      <w:proofErr w:type="spellEnd"/>
      <w:r>
        <w:rPr>
          <w:rtl/>
        </w:rPr>
        <w:t xml:space="preserve"> בן הזמן. אבל הבנת חומר כבד כזה דורשת לימוד וריכוז מתמשכים, ולכן הייתה ידיעתו בספרות הרוסית שטחית לכל היותר.</w:t>
      </w:r>
      <w:bookmarkStart w:id="938" w:name="_fnr571"/>
      <w:r>
        <w:rPr>
          <w:rStyle w:val="a5"/>
        </w:rPr>
        <w:footnoteReference w:id="571" w:customMarkFollows="0"/>
      </w:r>
      <w:bookmarkEnd w:id="938"/>
      <w:r>
        <w:rPr>
          <w:rtl/>
        </w:rPr>
        <w:t xml:space="preserve"> במתיבתא תורה ודעת, שבה כיהן אבי כראש ישיבה,</w:t>
      </w:r>
      <w:bookmarkStart w:id="939" w:name="_fnr572"/>
      <w:r>
        <w:rPr>
          <w:rStyle w:val="a5"/>
        </w:rPr>
        <w:footnoteReference w:id="572" w:customMarkFollows="0"/>
      </w:r>
      <w:bookmarkEnd w:id="939"/>
      <w:r>
        <w:rPr>
          <w:rtl/>
        </w:rPr>
        <w:t xml:space="preserve"> מספרים שפעם הזכיר את הספר “אנה </w:t>
      </w:r>
      <w:proofErr w:type="spellStart"/>
      <w:r>
        <w:rPr>
          <w:rtl/>
        </w:rPr>
        <w:t>קרנינה</w:t>
      </w:r>
      <w:proofErr w:type="spellEnd"/>
      <w:r>
        <w:rPr>
          <w:rtl/>
        </w:rPr>
        <w:t>” בשיחה עם קבוצת תלמידים, ונתקל במבטים ריקים. אמר להם: “מה, גם את זה אינכם יודעים [</w:t>
      </w:r>
      <w:proofErr w:type="spellStart"/>
      <w:r>
        <w:rPr>
          <w:rtl/>
        </w:rPr>
        <w:t>דאס</w:t>
      </w:r>
      <w:proofErr w:type="spellEnd"/>
      <w:r>
        <w:rPr>
          <w:rtl/>
        </w:rPr>
        <w:t xml:space="preserve"> </w:t>
      </w:r>
      <w:proofErr w:type="spellStart"/>
      <w:r>
        <w:rPr>
          <w:rtl/>
        </w:rPr>
        <w:t>אויך</w:t>
      </w:r>
      <w:proofErr w:type="spellEnd"/>
      <w:r>
        <w:rPr>
          <w:rtl/>
        </w:rPr>
        <w:t xml:space="preserve"> ניט]?!” – כלומר, ציפה שפיסת ידיעה כזו תהיה בגדר ידע בסיסי. והשווה גם את הפסקה השנייה ב</w:t>
      </w:r>
      <w:r>
        <w:rPr>
          <w:rtl/>
        </w:rPr>
        <w:fldChar w:fldCharType="begin" w:dirty="true"/>
      </w:r>
      <w:r>
        <w:rPr>
          <w:rtl/>
        </w:rPr>
        <w:instrText xml:space="preserve"> REF b2_excB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 שקרא את שייקספיר ואת ורן בתרגום רוסי, ושקרא חלק מספרות זו יותר מפעם אחת.</w:t>
      </w:r>
    </w:p>
    <w:p w14:paraId="2E98E58B" w14:textId="77777777" w:rsidR="00AB3647" w:rsidRDefault="00000000" w:rsidP="007923E9">
      <w:pPr>
        <w:spacing w:after="100" w:line="276" w:lineRule="auto"/>
        <w:ind w:firstLine="340"/>
        <w:jc w:val="both"/>
      </w:pPr>
      <w:r>
        <w:rPr>
          <w:rtl/>
        </w:rPr>
        <w:t xml:space="preserve">לפי ר׳ </w:t>
      </w:r>
      <w:proofErr w:type="spellStart"/>
      <w:r>
        <w:rPr>
          <w:rtl/>
        </w:rPr>
        <w:t>לייבל</w:t>
      </w:r>
      <w:proofErr w:type="spellEnd"/>
      <w:r>
        <w:rPr>
          <w:rtl/>
        </w:rPr>
        <w:t xml:space="preserve"> </w:t>
      </w:r>
      <w:proofErr w:type="spellStart"/>
      <w:r>
        <w:rPr>
          <w:rtl/>
        </w:rPr>
        <w:t>פרלשטיין</w:t>
      </w:r>
      <w:proofErr w:type="spellEnd"/>
      <w:r>
        <w:rPr>
          <w:rtl/>
        </w:rPr>
        <w:t>, בשלב כלשהו בחייו קרא אבי גם את כתביהם הפילוסופיים של אריסטו, אפלטון וקאנט.</w:t>
      </w:r>
      <w:bookmarkStart w:id="940" w:name="_fnr573"/>
      <w:r>
        <w:rPr>
          <w:rStyle w:val="a5"/>
        </w:rPr>
        <w:footnoteReference w:id="573" w:customMarkFollows="0"/>
      </w:r>
      <w:bookmarkEnd w:id="940"/>
      <w:r>
        <w:rPr>
          <w:rtl/>
        </w:rPr>
        <w:t xml:space="preserve"> ר׳ </w:t>
      </w:r>
      <w:proofErr w:type="spellStart"/>
      <w:r>
        <w:rPr>
          <w:rtl/>
        </w:rPr>
        <w:t>לייבל</w:t>
      </w:r>
      <w:proofErr w:type="spellEnd"/>
      <w:r>
        <w:rPr>
          <w:rtl/>
        </w:rPr>
        <w:t xml:space="preserve"> הוסיף שפעם הזכיר את הפילוסופים האנגלים הובס ולוק, ואבי לא הכיר את שמותיהם. זמן קצר לאחר מכן, כשתכנן ר׳ </w:t>
      </w:r>
      <w:proofErr w:type="spellStart"/>
      <w:r>
        <w:rPr>
          <w:rtl/>
        </w:rPr>
        <w:t>לייבל</w:t>
      </w:r>
      <w:proofErr w:type="spellEnd"/>
      <w:r>
        <w:rPr>
          <w:rtl/>
        </w:rPr>
        <w:t xml:space="preserve"> לבלות חופשה של שבועיים כאורח בביתו של אבי </w:t>
      </w:r>
      <w:proofErr w:type="spellStart"/>
      <w:r>
        <w:rPr>
          <w:rtl/>
        </w:rPr>
        <w:t>במונסי</w:t>
      </w:r>
      <w:proofErr w:type="spellEnd"/>
      <w:r>
        <w:rPr>
          <w:rtl/>
        </w:rPr>
        <w:t xml:space="preserve">, התבקש להביא עמו ספרים המבארים את רעיונותיהם של השניים. ליד שולחן בחצר האחורית קרא ר׳ </w:t>
      </w:r>
      <w:proofErr w:type="spellStart"/>
      <w:r>
        <w:rPr>
          <w:rtl/>
        </w:rPr>
        <w:t>לייבל</w:t>
      </w:r>
      <w:proofErr w:type="spellEnd"/>
      <w:r>
        <w:rPr>
          <w:rtl/>
        </w:rPr>
        <w:t xml:space="preserve"> באוזני רבנו מן הספרים, וקיבל ממנו הערות שוטפות: “בזה הוא צודק,” </w:t>
      </w:r>
      <w:proofErr w:type="spellStart"/>
      <w:r>
        <w:rPr>
          <w:rtl/>
        </w:rPr>
        <w:t>ו“בזה</w:t>
      </w:r>
      <w:proofErr w:type="spellEnd"/>
      <w:r>
        <w:rPr>
          <w:rtl/>
        </w:rPr>
        <w:t xml:space="preserve"> הוא טועה.”</w:t>
      </w:r>
    </w:p>
    <w:p w14:paraId="3AAAD525" w14:textId="27CFE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בתקופת לימודים אחת בלבד שהה בקלויז</w:t>
      </w:r>
      <w:proofErr w:type="spellStart"/>
      <w:r>
        <w:rPr>
          <w:rtl/>
        </w:rPr>
        <w:t xml:space="preserve"/>
      </w:r>
      <w:proofErr w:type="spellEnd"/>
      <w:r>
        <w:rPr>
          <w:rtl/>
        </w:rPr>
        <w:t>, כשלמדה הכיתה מסכת כתובות, שאל אבי קושיה שהמלמד לא ידע להשיב עליה, והרבי אמר כנביא: “זה הקטן גדול יהיה.”</w:t>
      </w:r>
      <w:bookmarkStart w:id="941" w:name="b2_ref46"/>
      <w:bookmarkEnd w:id="941"/>
      <w:r>
        <w:rPr>
          <w:vertAlign w:val="superscript"/>
          <w:rtl/>
        </w:rPr>
        <w:fldChar w:fldCharType="begin" w:dirty="true"/>
      </w:r>
      <w:r>
        <w:rPr>
          <w:vertAlign w:val="superscript"/>
          <w:rtl/>
        </w:rPr>
        <w:instrText xml:space="preserve"> REF b2_note46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בתקופה זו גם שמע לראשונה דרשה מפי אחד מגדולי תנועת המוסר: תלמידו של ר׳ ישראל </w:t>
      </w:r>
      <w:proofErr w:type="spellStart"/>
      <w:r>
        <w:rPr>
          <w:rtl/>
        </w:rPr>
        <w:t>סלנטר</w:t>
      </w:r>
      <w:proofErr w:type="spellEnd"/>
      <w:r>
        <w:rPr>
          <w:rtl/>
        </w:rPr>
        <w:t xml:space="preserve"> (ליפקין), הדרשן הנודע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w:t>
      </w:r>
      <w:bookmarkStart w:id="942" w:name="b2_ref47"/>
      <w:bookmarkEnd w:id="942"/>
      <w:r>
        <w:rPr>
          <w:vertAlign w:val="superscript"/>
          <w:rtl/>
        </w:rPr>
        <w:fldChar w:fldCharType="begin" w:dirty="true"/>
      </w:r>
      <w:r>
        <w:rPr>
          <w:vertAlign w:val="superscript"/>
          <w:rtl/>
        </w:rPr>
        <w:instrText xml:space="preserve"> REF b2_note47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 xml:space="preserve"> נשא דרשה מלהיבה במינסק כשעבר בעיר בדרכו לארץ ישראל.</w:t>
      </w:r>
      <w:bookmarkStart w:id="943" w:name="b2_ref48"/>
      <w:bookmarkEnd w:id="943"/>
      <w:r>
        <w:rPr>
          <w:vertAlign w:val="superscript"/>
          <w:rtl/>
        </w:rPr>
        <w:fldChar w:fldCharType="begin" w:dirty="true"/>
      </w:r>
      <w:r>
        <w:rPr>
          <w:vertAlign w:val="superscript"/>
          <w:rtl/>
        </w:rPr>
        <w:instrText xml:space="preserve"> REF b2_note48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p>
    <w:bookmarkStart w:id="944" w:name="b2_note46"/>
    <w:p w14:paraId="46BFC981" w14:textId="77777777" w:rsidR="00AB3647" w:rsidRDefault="00000000" w:rsidP="007923E9">
      <w:pPr>
        <w:spacing w:before="120" w:after="100" w:line="276" w:lineRule="auto"/>
        <w:jc w:val="both"/>
      </w:pPr>
      <w:r>
        <w:fldChar w:fldCharType="begin" w:dirty="true"/>
      </w:r>
      <w:r>
        <w:instrText>HYPERLINK \l "b2_ref46"</w:instrText>
      </w:r>
      <w:r>
        <w:fldChar w:fldCharType="separate"/>
      </w:r>
      <w:r>
        <w:rPr>
          <w:b/>
          <w:bCs/>
          <w:rtl/>
        </w:rPr>
        <w:t>46</w:t>
      </w:r>
      <w:r>
        <w:rPr>
          <w:b/>
          <w:bCs/>
        </w:rPr>
        <w:fldChar w:fldCharType="end"/>
      </w:r>
      <w:bookmarkEnd w:id="944"/>
      <w:r>
        <w:rPr>
          <w:rtl/>
        </w:rPr>
        <w:t xml:space="preserve"> כשסיפר זאת אבי לנכדו ר׳ יצחק </w:t>
      </w:r>
      <w:proofErr w:type="spellStart"/>
      <w:r>
        <w:rPr>
          <w:rtl/>
        </w:rPr>
        <w:t>שורין</w:t>
      </w:r>
      <w:bookmarkStart w:id="945" w:name="_fnr574"/>
      <w:proofErr w:type="spellEnd"/>
      <w:r>
        <w:rPr>
          <w:rStyle w:val="a5"/>
        </w:rPr>
        <w:footnoteReference w:id="574" w:customMarkFollows="0"/>
      </w:r>
      <w:bookmarkEnd w:id="945"/>
      <w:r>
        <w:rPr>
          <w:rtl/>
        </w:rPr>
        <w:t xml:space="preserve"> בשנת תשל״ג, הוסיף </w:t>
      </w:r>
      <w:proofErr w:type="spellStart"/>
      <w:r>
        <w:rPr>
          <w:rtl/>
        </w:rPr>
        <w:t>ש“עד</w:t>
      </w:r>
      <w:proofErr w:type="spellEnd"/>
      <w:r>
        <w:rPr>
          <w:rtl/>
        </w:rPr>
        <w:t xml:space="preserve"> לא מכבר עוד זכר מה הייתה קושייתו”.</w:t>
      </w:r>
    </w:p>
    <w:p w14:paraId="46A22444" w14:textId="77777777" w:rsidR="00AB3647" w:rsidRDefault="00000000" w:rsidP="007923E9">
      <w:pPr>
        <w:spacing w:after="100" w:line="276" w:lineRule="auto"/>
        <w:ind w:firstLine="340"/>
        <w:jc w:val="both"/>
      </w:pPr>
      <w:r>
        <w:rPr>
          <w:rtl/>
        </w:rPr>
        <w:t xml:space="preserve">הנוסח “זה הקטן </w:t>
      </w:r>
      <w:proofErr w:type="spellStart"/>
      <w:r>
        <w:rPr>
          <w:rtl/>
        </w:rPr>
        <w:t>וכו</w:t>
      </w:r>
      <w:proofErr w:type="spellEnd"/>
      <w:r>
        <w:rPr>
          <w:rtl/>
        </w:rPr>
        <w:t>׳” נאמר בסיום טקס הברית כברכה לתינוק הנימול. כשחזר אבי על המעשה, פירש את המילה “קטן”, שבה תיאר אותו רבו, כמוסבת על קומתו הנמוכה, ולא על היותו קטין בגילו. בשעת ביקורי במינסק בתחילת תשנ״א</w:t>
      </w:r>
      <w:bookmarkStart w:id="946" w:name="_fnr575"/>
      <w:r>
        <w:rPr>
          <w:rStyle w:val="a5"/>
        </w:rPr>
        <w:footnoteReference w:id="575" w:customMarkFollows="0"/>
      </w:r>
      <w:bookmarkEnd w:id="946"/>
      <w:r>
        <w:rPr>
          <w:rtl/>
        </w:rPr>
        <w:t xml:space="preserve"> סיפרה לי דודתי ששלושת הילדים הבכורים במשפחת </w:t>
      </w:r>
      <w:proofErr w:type="spellStart"/>
      <w:r>
        <w:rPr>
          <w:rtl/>
        </w:rPr>
        <w:t>קמינצקי</w:t>
      </w:r>
      <w:proofErr w:type="spellEnd"/>
      <w:r>
        <w:rPr>
          <w:rtl/>
        </w:rPr>
        <w:t xml:space="preserve"> היו נמוכי קומה </w:t>
      </w:r>
      <w:proofErr w:type="spellStart"/>
      <w:r>
        <w:rPr>
          <w:rtl/>
        </w:rPr>
        <w:t>כאמם</w:t>
      </w:r>
      <w:proofErr w:type="spellEnd"/>
      <w:r>
        <w:rPr>
          <w:rtl/>
        </w:rPr>
        <w:t>, ושלושת הצעירים – גבוהים כאביהם.</w:t>
      </w:r>
    </w:p>
    <w:bookmarkStart w:id="947" w:name="b2_note47"/>
    <w:p w14:paraId="55562CB4" w14:textId="6F2F526D" w:rsidR="00AB3647" w:rsidRDefault="00000000" w:rsidP="007923E9">
      <w:pPr>
        <w:spacing w:before="120" w:after="100" w:line="276" w:lineRule="auto"/>
        <w:jc w:val="both"/>
      </w:pPr>
      <w:r>
        <w:fldChar w:fldCharType="begin" w:dirty="true"/>
      </w:r>
      <w:r>
        <w:instrText>HYPERLINK \l "b2_ref47"</w:instrText>
      </w:r>
      <w:r>
        <w:fldChar w:fldCharType="separate"/>
      </w:r>
      <w:r>
        <w:rPr>
          <w:b/>
          <w:bCs/>
          <w:rtl/>
        </w:rPr>
        <w:t>47</w:t>
      </w:r>
      <w:r>
        <w:rPr>
          <w:b/>
          <w:bCs/>
        </w:rPr>
        <w:fldChar w:fldCharType="end"/>
      </w:r>
      <w:bookmarkEnd w:id="947"/>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948" w:name="b2_note48"/>
    <w:p w14:paraId="65FDD3B9" w14:textId="77777777" w:rsidR="00AB3647" w:rsidRDefault="00000000" w:rsidP="007923E9">
      <w:pPr>
        <w:spacing w:before="120" w:after="100" w:line="276" w:lineRule="auto"/>
        <w:jc w:val="both"/>
      </w:pPr>
      <w:r>
        <w:fldChar w:fldCharType="begin" w:dirty="true"/>
      </w:r>
      <w:r>
        <w:instrText>HYPERLINK \l "b2_ref48"</w:instrText>
      </w:r>
      <w:r>
        <w:fldChar w:fldCharType="separate"/>
      </w:r>
      <w:r>
        <w:rPr>
          <w:b/>
          <w:bCs/>
          <w:rtl/>
        </w:rPr>
        <w:t>48</w:t>
      </w:r>
      <w:r>
        <w:rPr>
          <w:b/>
          <w:bCs/>
        </w:rPr>
        <w:fldChar w:fldCharType="end"/>
      </w:r>
      <w:bookmarkEnd w:id="948"/>
      <w:r>
        <w:rPr>
          <w:rtl/>
        </w:rPr>
        <w:t xml:space="preserve"> מתוך דרשה בבית הכנסת בית ישראל במיאמי </w:t>
      </w:r>
      <w:proofErr w:type="spellStart"/>
      <w:r>
        <w:rPr>
          <w:rtl/>
        </w:rPr>
        <w:t>ביץ</w:t>
      </w:r>
      <w:proofErr w:type="spellEnd"/>
      <w:r>
        <w:rPr>
          <w:rtl/>
        </w:rPr>
        <w:t xml:space="preserve">׳, שהוקלטה בקלטת שמסר לי רב בית הכנסת, ר׳ מרדכי שפירא. בכך ששמע את ר׳ </w:t>
      </w:r>
      <w:proofErr w:type="spellStart"/>
      <w:r>
        <w:rPr>
          <w:rtl/>
        </w:rPr>
        <w:t>איצל׳ה</w:t>
      </w:r>
      <w:proofErr w:type="spellEnd"/>
      <w:r>
        <w:rPr>
          <w:rtl/>
        </w:rPr>
        <w:t xml:space="preserve"> </w:t>
      </w:r>
      <w:proofErr w:type="spellStart"/>
      <w:r>
        <w:rPr>
          <w:rtl/>
        </w:rPr>
        <w:t>בלאזר</w:t>
      </w:r>
      <w:proofErr w:type="spellEnd"/>
      <w:r>
        <w:rPr>
          <w:rtl/>
        </w:rPr>
        <w:t xml:space="preserve"> בפעם אחת ויחידה זו, זכה אבי לראות בימי חייו שניים משלושת תלמידיו הגדולים של ר׳ ישראל. השני שראה היה ר׳ נפתלי אמסטרדם – ראה פרק 4.2.</w:t>
      </w:r>
    </w:p>
    <w:p w14:paraId="55B05458" w14:textId="77777777" w:rsidR="00AB3647" w:rsidRDefault="00000000" w:rsidP="007923E9">
      <w:pPr>
        <w:pStyle w:val="2"/>
        <w:spacing w:line="276" w:lineRule="auto"/>
      </w:pPr>
      <w:bookmarkStart w:id="949" w:name="b2_sec3"/>
      <w:r>
        <w:t>3.</w:t>
      </w:r>
      <w:bookmarkEnd w:id="949"/>
    </w:p>
    <w:p w14:paraId="68A0A2A3" w14:textId="057A205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בר המצווה שלו כבר עלה אבי על חבריו </w:t>
      </w:r>
      <w:proofErr w:type="spellStart"/>
      <w:r>
        <w:rPr>
          <w:rtl/>
        </w:rPr>
        <w:t>בקלויז</w:t>
      </w:r>
      <w:proofErr w:type="spellEnd"/>
      <w:r>
        <w:rPr>
          <w:rtl/>
        </w:rPr>
        <w:t xml:space="preserve">, שהיו מבוגרים ממנו בשנה או שנתיים, והיה מוכן להתקדם לישיבה ברמה גבוהה יותר, הנקראת “קיבוץ”, שבה היו התלמידים עצמאיים יותר. אחרי פסח תרס״ד הצטרף לקיבוץ שבשול “זבחי צדק”, או שול </w:t>
      </w:r>
      <w:proofErr w:type="spellStart"/>
      <w:r>
        <w:rPr>
          <w:rtl/>
        </w:rPr>
        <w:t>הקצבים</w:t>
      </w:r>
      <w:proofErr w:type="spellEnd"/>
      <w:r>
        <w:rPr>
          <w:rtl/>
        </w:rPr>
        <w:t>, ולמד שם שנתיים. רבני מינסק היו מתנדבים למסור שיעורים בישיבה נחשבת זו, וכן רבנים חשובים שביקרו בעיר.</w:t>
      </w:r>
      <w:bookmarkStart w:id="950" w:name="b2_ref49"/>
      <w:bookmarkEnd w:id="950"/>
      <w:r>
        <w:rPr>
          <w:vertAlign w:val="superscript"/>
          <w:rtl/>
        </w:rPr>
        <w:fldChar w:fldCharType="begin" w:dirty="true"/>
      </w:r>
      <w:r>
        <w:rPr>
          <w:vertAlign w:val="superscript"/>
          <w:rtl/>
        </w:rPr>
        <w:instrText xml:space="preserve"> REF b2_note49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p>
    <w:bookmarkStart w:id="951" w:name="b2_note49"/>
    <w:p w14:paraId="758C2BEA" w14:textId="77777777" w:rsidR="00AB3647" w:rsidRDefault="00000000" w:rsidP="007923E9">
      <w:pPr>
        <w:spacing w:before="120" w:after="100" w:line="276" w:lineRule="auto"/>
        <w:jc w:val="both"/>
      </w:pPr>
      <w:r>
        <w:fldChar w:fldCharType="begin" w:dirty="true"/>
      </w:r>
      <w:r>
        <w:instrText>HYPERLINK \l "b2_ref49"</w:instrText>
      </w:r>
      <w:r>
        <w:fldChar w:fldCharType="separate"/>
      </w:r>
      <w:r>
        <w:rPr>
          <w:b/>
          <w:bCs/>
          <w:rtl/>
        </w:rPr>
        <w:t>49</w:t>
      </w:r>
      <w:r>
        <w:rPr>
          <w:b/>
          <w:bCs/>
        </w:rPr>
        <w:fldChar w:fldCharType="end"/>
      </w:r>
      <w:bookmarkEnd w:id="951"/>
      <w:r>
        <w:rPr>
          <w:rtl/>
        </w:rPr>
        <w:t xml:space="preserve"> מאמר מאת רחל חדש </w:t>
      </w:r>
      <w:proofErr w:type="spellStart"/>
      <w:r>
        <w:rPr>
          <w:rtl/>
        </w:rPr>
        <w:t>ב“מינסק</w:t>
      </w:r>
      <w:proofErr w:type="spellEnd"/>
      <w:r>
        <w:rPr>
          <w:rtl/>
        </w:rPr>
        <w:t xml:space="preserve"> עיר ואם א”.</w:t>
      </w:r>
      <w:bookmarkStart w:id="952" w:name="_fnr576"/>
      <w:r>
        <w:rPr>
          <w:rStyle w:val="a5"/>
        </w:rPr>
        <w:footnoteReference w:id="576" w:customMarkFollows="0"/>
      </w:r>
      <w:bookmarkEnd w:id="952"/>
      <w:r>
        <w:rPr>
          <w:rtl/>
        </w:rPr>
        <w:t xml:space="preserve"> היא כותבת: “כל תלמיד בישיבת שול </w:t>
      </w:r>
      <w:proofErr w:type="spellStart"/>
      <w:r>
        <w:rPr>
          <w:rtl/>
        </w:rPr>
        <w:t>הקצבים</w:t>
      </w:r>
      <w:proofErr w:type="spellEnd"/>
      <w:r>
        <w:rPr>
          <w:rtl/>
        </w:rPr>
        <w:t xml:space="preserve"> היה בחזקת מי שעתיד להיות גדול בתורה. הלימוד בישיבה זו היה סימן טוב לזכות בשידוך מן המעלה הראשונה. רבים מבוגריה נשאו בנות משפחות עשירות, ונכנסו לעסקי חותניהם, נעשו רבנים או המשיכו ללמוד תורה לשמה כשחותניהם מפרנסים אותם.”</w:t>
      </w:r>
    </w:p>
    <w:p w14:paraId="1D7DB502" w14:textId="3BDC46F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w:t>
      </w:r>
      <w:proofErr w:type="spellStart"/>
      <w:r>
        <w:rPr>
          <w:rtl/>
        </w:rPr>
        <w:t>יעקב־נח</w:t>
      </w:r>
      <w:proofErr w:type="spellEnd"/>
      <w:r>
        <w:rPr>
          <w:rtl/>
        </w:rPr>
        <w:t xml:space="preserve"> </w:t>
      </w:r>
      <w:proofErr w:type="spellStart"/>
      <w:r>
        <w:rPr>
          <w:rtl/>
        </w:rPr>
        <w:t>אוקסנקרוג</w:t>
      </w:r>
      <w:proofErr w:type="spellEnd"/>
      <w:r>
        <w:rPr>
          <w:rtl/>
        </w:rPr>
        <w:t>, קצב עשיר ובעל בתים, היה ממונה על השגת התקציב לישיבה,</w:t>
      </w:r>
      <w:bookmarkStart w:id="953" w:name="b2_ref50"/>
      <w:bookmarkEnd w:id="953"/>
      <w:r>
        <w:rPr>
          <w:vertAlign w:val="superscript"/>
          <w:rtl/>
        </w:rPr>
        <w:fldChar w:fldCharType="begin" w:dirty="true"/>
      </w:r>
      <w:r>
        <w:rPr>
          <w:vertAlign w:val="superscript"/>
          <w:rtl/>
        </w:rPr>
        <w:instrText xml:space="preserve"> REF b2_note50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שלמדו בה מאתיים תלמידים. בעל הצדקה, שכונה בחיבה “ר׳ </w:t>
      </w:r>
      <w:proofErr w:type="spellStart"/>
      <w:r>
        <w:rPr>
          <w:rtl/>
        </w:rPr>
        <w:t>יענקל</w:t>
      </w:r>
      <w:proofErr w:type="spellEnd"/>
      <w:r>
        <w:rPr>
          <w:rtl/>
        </w:rPr>
        <w:t xml:space="preserve"> הקצב”,</w:t>
      </w:r>
      <w:bookmarkStart w:id="954" w:name="b2_ref51"/>
      <w:bookmarkEnd w:id="954"/>
      <w:r>
        <w:rPr>
          <w:vertAlign w:val="superscript"/>
          <w:rtl/>
        </w:rPr>
        <w:fldChar w:fldCharType="begin" w:dirty="true"/>
      </w:r>
      <w:r>
        <w:rPr>
          <w:vertAlign w:val="superscript"/>
          <w:rtl/>
        </w:rPr>
        <w:instrText xml:space="preserve"> REF b2_note51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הקדיש לטובת הישיבה את כל דמי השכירות שגבה מבתיו. אבל כדי לספק לכל תלמיד את הקצבה החודשית המזערית של שני רובל,</w:t>
      </w:r>
      <w:bookmarkStart w:id="955" w:name="b2_ref52"/>
      <w:bookmarkEnd w:id="955"/>
      <w:r>
        <w:rPr>
          <w:vertAlign w:val="superscript"/>
          <w:rtl/>
        </w:rPr>
        <w:fldChar w:fldCharType="begin" w:dirty="true"/>
      </w:r>
      <w:r>
        <w:rPr>
          <w:vertAlign w:val="superscript"/>
          <w:rtl/>
        </w:rPr>
        <w:instrText xml:space="preserve"> REF b2_note52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נזקק גם לתרומות מן הציבור הרחב. הוא גייס את חבריו למקצוע ללכת בדרכו ולתרום </w:t>
      </w:r>
      <w:proofErr w:type="spellStart"/>
      <w:r>
        <w:rPr>
          <w:rtl/>
        </w:rPr>
        <w:t>קופיקה</w:t>
      </w:r>
      <w:proofErr w:type="spellEnd"/>
      <w:r>
        <w:rPr>
          <w:rtl/>
        </w:rPr>
        <w:t xml:space="preserve"> מכל ליטרת בשר שמכרו.</w:t>
      </w:r>
      <w:bookmarkStart w:id="956" w:name="b2_ref53"/>
      <w:bookmarkEnd w:id="956"/>
      <w:r>
        <w:rPr>
          <w:vertAlign w:val="superscript"/>
          <w:rtl/>
        </w:rPr>
        <w:fldChar w:fldCharType="begin" w:dirty="true"/>
      </w:r>
      <w:r>
        <w:rPr>
          <w:vertAlign w:val="superscript"/>
          <w:rtl/>
        </w:rPr>
        <w:instrText xml:space="preserve"> REF b2_note53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xml:space="preserve"> גזבר ישיבת שול </w:t>
      </w:r>
      <w:proofErr w:type="spellStart"/>
      <w:r>
        <w:rPr>
          <w:rtl/>
        </w:rPr>
        <w:t>הקצבים</w:t>
      </w:r>
      <w:proofErr w:type="spellEnd"/>
      <w:r>
        <w:rPr>
          <w:rtl/>
        </w:rPr>
        <w:t xml:space="preserve"> היה ר׳ יהושע </w:t>
      </w:r>
      <w:proofErr w:type="spellStart"/>
      <w:r>
        <w:rPr>
          <w:rtl/>
        </w:rPr>
        <w:t>צימבליסט</w:t>
      </w:r>
      <w:proofErr w:type="spellEnd"/>
      <w:r>
        <w:rPr>
          <w:rtl/>
        </w:rPr>
        <w:t xml:space="preserve">, הידוע יותר בשם ר׳ </w:t>
      </w:r>
      <w:proofErr w:type="spellStart"/>
      <w:r>
        <w:rPr>
          <w:rtl/>
        </w:rPr>
        <w:t>יהושע׳לה</w:t>
      </w:r>
      <w:proofErr w:type="spellEnd"/>
      <w:r>
        <w:rPr>
          <w:rtl/>
        </w:rPr>
        <w:t xml:space="preserve"> הורודנער,</w:t>
      </w:r>
      <w:bookmarkStart w:id="957" w:name="b2_ref54"/>
      <w:bookmarkEnd w:id="957"/>
      <w:r>
        <w:rPr>
          <w:vertAlign w:val="superscript"/>
          <w:rtl/>
        </w:rPr>
        <w:fldChar w:fldCharType="begin" w:dirty="true"/>
      </w:r>
      <w:r>
        <w:rPr>
          <w:vertAlign w:val="superscript"/>
          <w:rtl/>
        </w:rPr>
        <w:instrText xml:space="preserve"> REF b2_note54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שהייתה לו ישיבה משלו בשול “שואבי מים”;</w:t>
      </w:r>
      <w:bookmarkStart w:id="958" w:name="b2_ref55"/>
      <w:bookmarkEnd w:id="958"/>
      <w:r>
        <w:rPr>
          <w:vertAlign w:val="superscript"/>
          <w:rtl/>
        </w:rPr>
        <w:fldChar w:fldCharType="begin" w:dirty="true"/>
      </w:r>
      <w:r>
        <w:rPr>
          <w:vertAlign w:val="superscript"/>
          <w:rtl/>
        </w:rPr>
        <w:instrText xml:space="preserve"> REF b2_note55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 xml:space="preserve"> הוא גם עזר באיסוף כספים לישיבת שול </w:t>
      </w:r>
      <w:proofErr w:type="spellStart"/>
      <w:r>
        <w:rPr>
          <w:rtl/>
        </w:rPr>
        <w:t>הקצבים</w:t>
      </w:r>
      <w:proofErr w:type="spellEnd"/>
      <w:r>
        <w:rPr>
          <w:rtl/>
        </w:rPr>
        <w:t xml:space="preserve"> בעת הצורך.</w:t>
      </w:r>
      <w:bookmarkStart w:id="959" w:name="b2_ref56"/>
      <w:bookmarkEnd w:id="959"/>
      <w:r>
        <w:rPr>
          <w:vertAlign w:val="superscript"/>
          <w:rtl/>
        </w:rPr>
        <w:fldChar w:fldCharType="begin" w:dirty="true"/>
      </w:r>
      <w:r>
        <w:rPr>
          <w:vertAlign w:val="superscript"/>
          <w:rtl/>
        </w:rPr>
        <w:instrText xml:space="preserve"> REF b2_note56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p>
    <w:bookmarkStart w:id="960" w:name="b2_note50"/>
    <w:p w14:paraId="7A95D115" w14:textId="77777777" w:rsidR="00AB3647" w:rsidRDefault="00000000" w:rsidP="007923E9">
      <w:pPr>
        <w:spacing w:before="120" w:after="100" w:line="276" w:lineRule="auto"/>
        <w:jc w:val="both"/>
      </w:pPr>
      <w:r>
        <w:fldChar w:fldCharType="begin" w:dirty="true"/>
      </w:r>
      <w:r>
        <w:instrText>HYPERLINK \l "b2_ref50"</w:instrText>
      </w:r>
      <w:r>
        <w:fldChar w:fldCharType="separate"/>
      </w:r>
      <w:r>
        <w:rPr>
          <w:b/>
          <w:bCs/>
          <w:rtl/>
        </w:rPr>
        <w:t>50</w:t>
      </w:r>
      <w:r>
        <w:rPr>
          <w:b/>
          <w:bCs/>
        </w:rPr>
        <w:fldChar w:fldCharType="end"/>
      </w:r>
      <w:bookmarkEnd w:id="960"/>
      <w:r>
        <w:rPr>
          <w:rtl/>
        </w:rPr>
        <w:t xml:space="preserve"> נכדו הירושלמי, ר׳ </w:t>
      </w:r>
      <w:proofErr w:type="spellStart"/>
      <w:r>
        <w:rPr>
          <w:rtl/>
        </w:rPr>
        <w:t>משה־דב</w:t>
      </w:r>
      <w:proofErr w:type="spellEnd"/>
      <w:r>
        <w:rPr>
          <w:rtl/>
        </w:rPr>
        <w:t xml:space="preserve"> </w:t>
      </w:r>
      <w:proofErr w:type="spellStart"/>
      <w:r>
        <w:rPr>
          <w:rtl/>
        </w:rPr>
        <w:t>אוקסנקרוג</w:t>
      </w:r>
      <w:proofErr w:type="spellEnd"/>
      <w:r>
        <w:rPr>
          <w:rtl/>
        </w:rPr>
        <w:t xml:space="preserve"> (בנו של ר׳ יהודה, שהיה העשירי מבין </w:t>
      </w:r>
      <w:proofErr w:type="spellStart"/>
      <w:r>
        <w:rPr>
          <w:rtl/>
        </w:rPr>
        <w:t>אחד־עשר</w:t>
      </w:r>
      <w:proofErr w:type="spellEnd"/>
      <w:r>
        <w:rPr>
          <w:rtl/>
        </w:rPr>
        <w:t xml:space="preserve"> אחים ואחיות).</w:t>
      </w:r>
      <w:bookmarkStart w:id="961" w:name="_fnr577"/>
      <w:r>
        <w:rPr>
          <w:rStyle w:val="a5"/>
        </w:rPr>
        <w:footnoteReference w:id="577" w:customMarkFollows="0"/>
      </w:r>
      <w:bookmarkEnd w:id="961"/>
      <w:r>
        <w:rPr>
          <w:rtl/>
        </w:rPr>
        <w:t xml:space="preserve"> חנה, אשתו של ר׳ </w:t>
      </w:r>
      <w:proofErr w:type="spellStart"/>
      <w:r>
        <w:rPr>
          <w:rtl/>
        </w:rPr>
        <w:t>משה־דב</w:t>
      </w:r>
      <w:proofErr w:type="spellEnd"/>
      <w:r>
        <w:rPr>
          <w:rtl/>
        </w:rPr>
        <w:t xml:space="preserve">, סיפרה גם שסבתו של בעלה סיפרה לה שבכל סעודה בשרית היו יושבים ליד שולחנם כמה אורחים עניים, משום שר׳ </w:t>
      </w:r>
      <w:proofErr w:type="spellStart"/>
      <w:r>
        <w:rPr>
          <w:rtl/>
        </w:rPr>
        <w:t>יעקב־נח</w:t>
      </w:r>
      <w:proofErr w:type="spellEnd"/>
      <w:r>
        <w:rPr>
          <w:rtl/>
        </w:rPr>
        <w:t xml:space="preserve"> אמר שהוא ומשפחתו הגדולה אינם יכולים לבלוע את נתחי הבשר המובחרים ששמר לעצמו בשעה שעני אוכל רק לחם שחור ודג מלוח.</w:t>
      </w:r>
    </w:p>
    <w:p w14:paraId="60831E25" w14:textId="77777777" w:rsidR="00AB3647" w:rsidRDefault="00000000" w:rsidP="007923E9">
      <w:pPr>
        <w:spacing w:before="120" w:after="100" w:line="276" w:lineRule="auto"/>
        <w:jc w:val="both"/>
      </w:pPr>
      <w:r>
        <w:rPr>
          <w:rtl/>
        </w:rPr>
        <w:t>במלחמת העולם הראשונה, כשהוצפה מינסק פליטים,</w:t>
      </w:r>
      <w:bookmarkStart w:id="962" w:name="_fnr578"/>
      <w:r>
        <w:rPr>
          <w:rStyle w:val="a5"/>
        </w:rPr>
        <w:footnoteReference w:id="578" w:customMarkFollows="0"/>
      </w:r>
      <w:bookmarkEnd w:id="962"/>
      <w:r>
        <w:rPr>
          <w:rtl/>
        </w:rPr>
        <w:t xml:space="preserve"> אכסן ר׳ </w:t>
      </w:r>
      <w:proofErr w:type="spellStart"/>
      <w:r>
        <w:rPr>
          <w:rtl/>
        </w:rPr>
        <w:t>יעקב־נח</w:t>
      </w:r>
      <w:proofErr w:type="spellEnd"/>
      <w:r>
        <w:rPr>
          <w:rtl/>
        </w:rPr>
        <w:t xml:space="preserve"> בביתו את משפחותיהם של ר׳ רפאל שפירא ובנו ר׳ יעקב.</w:t>
      </w:r>
      <w:bookmarkStart w:id="963" w:name="_fnr579"/>
      <w:r>
        <w:rPr>
          <w:rStyle w:val="a5"/>
        </w:rPr>
        <w:footnoteReference w:id="579" w:customMarkFollows="0"/>
      </w:r>
      <w:bookmarkEnd w:id="963"/>
      <w:r>
        <w:rPr>
          <w:rtl/>
        </w:rPr>
        <w:t xml:space="preserve"> </w:t>
      </w:r>
      <w:proofErr w:type="spellStart"/>
      <w:r>
        <w:rPr>
          <w:rtl/>
        </w:rPr>
        <w:t>שבע־עשרה</w:t>
      </w:r>
      <w:proofErr w:type="spellEnd"/>
      <w:r>
        <w:rPr>
          <w:rtl/>
        </w:rPr>
        <w:t xml:space="preserve"> שנה עמד ר׳ </w:t>
      </w:r>
      <w:proofErr w:type="spellStart"/>
      <w:r>
        <w:rPr>
          <w:rtl/>
        </w:rPr>
        <w:t>יעקב־נח</w:t>
      </w:r>
      <w:proofErr w:type="spellEnd"/>
      <w:r>
        <w:rPr>
          <w:rtl/>
        </w:rPr>
        <w:t xml:space="preserve"> בראש הנהלתה החומרית של הישיבה, עד שסגרו אותה הבולשביקים זמן קצר אחרי המהפכה הקומוניסטית. בשנת תרצ״ג יצא מרוסיה והשתקע בתל אביב, ושם נפטר בשנת תשכ״א, בגיל תשעים ושש.</w:t>
      </w:r>
    </w:p>
    <w:p w14:paraId="212853AD" w14:textId="77777777" w:rsidR="00AB3647" w:rsidRDefault="00000000" w:rsidP="007923E9">
      <w:pPr>
        <w:spacing w:after="100" w:line="276" w:lineRule="auto"/>
        <w:ind w:firstLine="340"/>
        <w:jc w:val="both"/>
      </w:pPr>
      <w:r>
        <w:rPr>
          <w:rtl/>
        </w:rPr>
        <w:t xml:space="preserve">ר׳ מרדכי שפירא ממיאמי פגש באקראי את ר׳ </w:t>
      </w:r>
      <w:proofErr w:type="spellStart"/>
      <w:r>
        <w:rPr>
          <w:rtl/>
        </w:rPr>
        <w:t>יעקב־נח</w:t>
      </w:r>
      <w:proofErr w:type="spellEnd"/>
      <w:r>
        <w:rPr>
          <w:rtl/>
        </w:rPr>
        <w:t xml:space="preserve"> בתל אביב בשנת תשי״ב, ואת הפגישה ראוי לתאר בלשונו של ר׳ מרדכי שפירא,</w:t>
      </w:r>
      <w:bookmarkStart w:id="964" w:name="_fnr580"/>
      <w:r>
        <w:rPr>
          <w:rStyle w:val="a5"/>
        </w:rPr>
        <w:footnoteReference w:id="580" w:customMarkFollows="0"/>
      </w:r>
      <w:bookmarkEnd w:id="964"/>
      <w:r>
        <w:rPr>
          <w:rtl/>
        </w:rPr>
        <w:t xml:space="preserve"> כדי להשלים את תמונתנו של הקצב </w:t>
      </w:r>
      <w:proofErr w:type="spellStart"/>
      <w:r>
        <w:rPr>
          <w:rtl/>
        </w:rPr>
        <w:t>המינסקאי</w:t>
      </w:r>
      <w:proofErr w:type="spellEnd"/>
      <w:r>
        <w:rPr>
          <w:rtl/>
        </w:rPr>
        <w:t xml:space="preserve"> הזה: “ביום שישי אחד בצהריים הלכתי ברחוב אלנבי בתל אביב, וראיתי מעבר לרחוב קיוסק זעיר, ובו יהודי זקן בעל זקן לבנבן יושב מאחורי דוכן, ראשו מורכן, והוא מתנועע הלוך ושוב על ספר. כשקנו אנשים דבר מה, היה נותן להם עודף בלי להסיר את עיניו מן הספר. עברתי את הרחוב כדי להתבונן מקרוב, ובאותה שעה ניגש מישהו לקיוסק וביקש לקנות סיגריות. השיב הזקן: ‘אמור לי מה השעה,’ וכששמע: ‘</w:t>
      </w:r>
      <w:proofErr w:type="spellStart"/>
      <w:r>
        <w:rPr>
          <w:rtl/>
        </w:rPr>
        <w:t>שתים־עשרה</w:t>
      </w:r>
      <w:proofErr w:type="spellEnd"/>
      <w:r>
        <w:rPr>
          <w:rtl/>
        </w:rPr>
        <w:t xml:space="preserve"> ועשר דקות,’ אמר: ‘אינני מוכר סיגריות אחרי חצות היום בערב שבת.’ כשניגשתי לדוכן ראיתי שהאיש לומד משניות מעשר שני. הצגתי את עצמי לפני האיש יוצא הדופן הזה כאמריקני מן הישיבה </w:t>
      </w:r>
      <w:proofErr w:type="spellStart"/>
      <w:r>
        <w:rPr>
          <w:rtl/>
        </w:rPr>
        <w:t>בלייקווד</w:t>
      </w:r>
      <w:proofErr w:type="spellEnd"/>
      <w:r>
        <w:rPr>
          <w:rtl/>
        </w:rPr>
        <w:t xml:space="preserve">, והוא שאל מי ראש ישיבתי. כשעניתי: ‘ר׳ אהרן קוטלר,’ אמר הזקן שהוא גרם לכך שר׳ אהרן ונער נוסף נסעו יחד </w:t>
      </w:r>
      <w:proofErr w:type="spellStart"/>
      <w:r>
        <w:rPr>
          <w:rtl/>
        </w:rPr>
        <w:t>לסלבודקה</w:t>
      </w:r>
      <w:proofErr w:type="spellEnd"/>
      <w:r>
        <w:rPr>
          <w:rtl/>
        </w:rPr>
        <w:t>.”</w:t>
      </w:r>
      <w:bookmarkStart w:id="965" w:name="_fnr581"/>
      <w:r>
        <w:rPr>
          <w:rStyle w:val="a5"/>
        </w:rPr>
        <w:footnoteReference w:id="581" w:customMarkFollows="0"/>
      </w:r>
      <w:bookmarkEnd w:id="965"/>
    </w:p>
    <w:p w14:paraId="231ECC58" w14:textId="77777777" w:rsidR="00AB3647" w:rsidRDefault="00000000" w:rsidP="007923E9">
      <w:pPr>
        <w:spacing w:after="100" w:line="276" w:lineRule="auto"/>
        <w:ind w:firstLine="340"/>
        <w:jc w:val="both"/>
      </w:pPr>
      <w:r>
        <w:rPr>
          <w:rtl/>
        </w:rPr>
        <w:lastRenderedPageBreak/>
        <w:t xml:space="preserve">ר׳ </w:t>
      </w:r>
      <w:proofErr w:type="spellStart"/>
      <w:r>
        <w:rPr>
          <w:rtl/>
        </w:rPr>
        <w:t>יעקב־יהודה</w:t>
      </w:r>
      <w:proofErr w:type="spellEnd"/>
      <w:r>
        <w:rPr>
          <w:rtl/>
        </w:rPr>
        <w:t xml:space="preserve"> פולק, שגר בתל אביב עד נישואיו בשנת תשי״ג, זכר</w:t>
      </w:r>
      <w:bookmarkStart w:id="966" w:name="_fnr582"/>
      <w:r>
        <w:rPr>
          <w:rStyle w:val="a5"/>
        </w:rPr>
        <w:footnoteReference w:id="582" w:customMarkFollows="0"/>
      </w:r>
      <w:bookmarkEnd w:id="966"/>
      <w:r>
        <w:rPr>
          <w:rtl/>
        </w:rPr>
        <w:t xml:space="preserve"> את ר׳ </w:t>
      </w:r>
      <w:proofErr w:type="spellStart"/>
      <w:r>
        <w:rPr>
          <w:rtl/>
        </w:rPr>
        <w:t>יעקב־נח</w:t>
      </w:r>
      <w:proofErr w:type="spellEnd"/>
      <w:r>
        <w:rPr>
          <w:rtl/>
        </w:rPr>
        <w:t xml:space="preserve"> מן השנים תש״ב–תש״ד, לפני שעזב המרואיין את בית הוריו כדי לגור בפנימיית ישיבה. “הוא התפלל בשול </w:t>
      </w:r>
      <w:proofErr w:type="spellStart"/>
      <w:r>
        <w:rPr>
          <w:rtl/>
        </w:rPr>
        <w:t>הגר״א</w:t>
      </w:r>
      <w:proofErr w:type="spellEnd"/>
      <w:r>
        <w:rPr>
          <w:rtl/>
        </w:rPr>
        <w:t xml:space="preserve"> שליד נהר הירקון, והיה </w:t>
      </w:r>
      <w:proofErr w:type="spellStart"/>
      <w:r>
        <w:rPr>
          <w:rtl/>
        </w:rPr>
        <w:t>ש״ס־איד</w:t>
      </w:r>
      <w:proofErr w:type="spellEnd"/>
      <w:r>
        <w:rPr>
          <w:rtl/>
        </w:rPr>
        <w:t xml:space="preserve"> – תמיד ישב ליד גמרא פתוחה,” אמר הרב פולק. ר׳ </w:t>
      </w:r>
      <w:proofErr w:type="spellStart"/>
      <w:r>
        <w:rPr>
          <w:rtl/>
        </w:rPr>
        <w:t>משה־דב</w:t>
      </w:r>
      <w:proofErr w:type="spellEnd"/>
      <w:r>
        <w:rPr>
          <w:rtl/>
        </w:rPr>
        <w:t xml:space="preserve"> גילה</w:t>
      </w:r>
      <w:bookmarkStart w:id="967" w:name="_fnr583"/>
      <w:r>
        <w:rPr>
          <w:rStyle w:val="a5"/>
        </w:rPr>
        <w:footnoteReference w:id="583" w:customMarkFollows="0"/>
      </w:r>
      <w:bookmarkEnd w:id="967"/>
      <w:r>
        <w:rPr>
          <w:rtl/>
        </w:rPr>
        <w:t xml:space="preserve"> דוגמה לאהבתו של סבו ללימוד התורה: “כשסבי היה מבקר בבית אבי ורואה מישהו קורא עיתון, היה מעיר: ‘מה עניינך לדעת מה קורה באמריקה?’ – בעיניו זה היה הדבר המעניין היחיד שיכול להיות בעיתון – ‘מוטב שתפתח ספר!’” באותו ריאיון גילה ר׳ </w:t>
      </w:r>
      <w:proofErr w:type="spellStart"/>
      <w:r>
        <w:rPr>
          <w:rtl/>
        </w:rPr>
        <w:t>משה־דב</w:t>
      </w:r>
      <w:proofErr w:type="spellEnd"/>
      <w:r>
        <w:rPr>
          <w:rtl/>
        </w:rPr>
        <w:t xml:space="preserve"> גם שסבו הוכיח אותו על שגילח את זקנו.</w:t>
      </w:r>
      <w:bookmarkStart w:id="968" w:name="_fnr584"/>
      <w:r>
        <w:rPr>
          <w:rStyle w:val="a5"/>
        </w:rPr>
        <w:footnoteReference w:id="584" w:customMarkFollows="0"/>
      </w:r>
      <w:bookmarkEnd w:id="968"/>
    </w:p>
    <w:bookmarkStart w:id="969" w:name="b2_note51"/>
    <w:p w14:paraId="6F922428" w14:textId="77777777" w:rsidR="00AB3647" w:rsidRDefault="00000000" w:rsidP="007923E9">
      <w:pPr>
        <w:spacing w:before="120" w:after="100" w:line="276" w:lineRule="auto"/>
        <w:jc w:val="both"/>
      </w:pPr>
      <w:r>
        <w:fldChar w:fldCharType="begin" w:dirty="true"/>
      </w:r>
      <w:r>
        <w:instrText>HYPERLINK \l "b2_ref51"</w:instrText>
      </w:r>
      <w:r>
        <w:fldChar w:fldCharType="separate"/>
      </w:r>
      <w:r>
        <w:rPr>
          <w:b/>
          <w:bCs/>
          <w:rtl/>
        </w:rPr>
        <w:t>51</w:t>
      </w:r>
      <w:r>
        <w:rPr>
          <w:b/>
          <w:bCs/>
        </w:rPr>
        <w:fldChar w:fldCharType="end"/>
      </w:r>
      <w:bookmarkEnd w:id="969"/>
      <w:r>
        <w:rPr>
          <w:rtl/>
        </w:rPr>
        <w:t xml:space="preserve"> בפעם הראשונה סיפר ר׳ מרדכי שפירא לאבי את סיפור פגישתו המקרית עם </w:t>
      </w:r>
      <w:proofErr w:type="spellStart"/>
      <w:r>
        <w:rPr>
          <w:rtl/>
        </w:rPr>
        <w:t>אוקסנקרוג</w:t>
      </w:r>
      <w:proofErr w:type="spellEnd"/>
      <w:r>
        <w:rPr>
          <w:rtl/>
        </w:rPr>
        <w:t xml:space="preserve"> הזקן עם שובו מארץ ישראל בשנת תשי״ג</w:t>
      </w:r>
      <w:bookmarkStart w:id="970" w:name="_fnr585"/>
      <w:r>
        <w:rPr>
          <w:rStyle w:val="a5"/>
        </w:rPr>
        <w:footnoteReference w:id="585" w:customMarkFollows="0"/>
      </w:r>
      <w:bookmarkEnd w:id="970"/>
      <w:r>
        <w:rPr>
          <w:rtl/>
        </w:rPr>
        <w:t xml:space="preserve">, וכעבור שלושה עשורים, בחורף תשמ״ג, חזר עליו לפניו. אביו הזקן של ר׳ מרדכי, שביקר אז בפלורידה, נכח במעמד, והדבר עורר את רבנו להעלות זיכרונות ולדבר באריכות על הקצב </w:t>
      </w:r>
      <w:proofErr w:type="spellStart"/>
      <w:r>
        <w:rPr>
          <w:rtl/>
        </w:rPr>
        <w:t>המינסקאי</w:t>
      </w:r>
      <w:proofErr w:type="spellEnd"/>
      <w:r>
        <w:rPr>
          <w:rtl/>
        </w:rPr>
        <w:t xml:space="preserve"> ועל עניינים הקשורים בו.</w:t>
      </w:r>
      <w:bookmarkStart w:id="971" w:name="_fnr586"/>
      <w:r>
        <w:rPr>
          <w:rStyle w:val="a5"/>
        </w:rPr>
        <w:footnoteReference w:id="586" w:customMarkFollows="0"/>
      </w:r>
      <w:bookmarkEnd w:id="971"/>
      <w:r>
        <w:rPr>
          <w:rtl/>
        </w:rPr>
        <w:t xml:space="preserve"> באותה שעה כינה אבי את ר׳ </w:t>
      </w:r>
      <w:proofErr w:type="spellStart"/>
      <w:r>
        <w:rPr>
          <w:rtl/>
        </w:rPr>
        <w:t>יעקב־נח</w:t>
      </w:r>
      <w:proofErr w:type="spellEnd"/>
      <w:r>
        <w:rPr>
          <w:rtl/>
        </w:rPr>
        <w:t xml:space="preserve">: ר׳ </w:t>
      </w:r>
      <w:proofErr w:type="spellStart"/>
      <w:r>
        <w:rPr>
          <w:rtl/>
        </w:rPr>
        <w:t>יענקל</w:t>
      </w:r>
      <w:proofErr w:type="spellEnd"/>
      <w:r>
        <w:rPr>
          <w:rtl/>
        </w:rPr>
        <w:t xml:space="preserve"> הקצב.</w:t>
      </w:r>
    </w:p>
    <w:bookmarkStart w:id="972" w:name="b2_note52"/>
    <w:p w14:paraId="54820AB7" w14:textId="65ECF6B2" w:rsidR="00AB3647" w:rsidRDefault="00000000" w:rsidP="007923E9">
      <w:pPr>
        <w:spacing w:before="120" w:after="100" w:line="276" w:lineRule="auto"/>
        <w:jc w:val="both"/>
      </w:pPr>
      <w:r>
        <w:fldChar w:fldCharType="begin" w:dirty="true"/>
      </w:r>
      <w:r>
        <w:instrText>HYPERLINK \l "b2_ref52"</w:instrText>
      </w:r>
      <w:r>
        <w:fldChar w:fldCharType="separate"/>
      </w:r>
      <w:r>
        <w:rPr>
          <w:b/>
          <w:bCs/>
          <w:rtl/>
        </w:rPr>
        <w:t>52</w:t>
      </w:r>
      <w:r>
        <w:rPr>
          <w:b/>
          <w:bCs/>
        </w:rPr>
        <w:fldChar w:fldCharType="end"/>
      </w:r>
      <w:bookmarkEnd w:id="972"/>
      <w:r>
        <w:rPr>
          <w:rtl/>
        </w:rPr>
        <w:t xml:space="preserve"> השווה תחילת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נראה שבשול </w:t>
      </w:r>
      <w:proofErr w:type="spellStart"/>
      <w:r>
        <w:rPr>
          <w:rtl/>
        </w:rPr>
        <w:t>הקצבים</w:t>
      </w:r>
      <w:proofErr w:type="spellEnd"/>
      <w:r>
        <w:rPr>
          <w:rtl/>
        </w:rPr>
        <w:t xml:space="preserve"> פגש אבי את ר׳ </w:t>
      </w:r>
      <w:proofErr w:type="spellStart"/>
      <w:r>
        <w:rPr>
          <w:rtl/>
        </w:rPr>
        <w:t>יצחק־יחיאל</w:t>
      </w:r>
      <w:proofErr w:type="spellEnd"/>
      <w:r>
        <w:rPr>
          <w:rtl/>
        </w:rPr>
        <w:t xml:space="preserve"> </w:t>
      </w:r>
      <w:proofErr w:type="spellStart"/>
      <w:r>
        <w:rPr>
          <w:rtl/>
        </w:rPr>
        <w:t>זוננזון</w:t>
      </w:r>
      <w:proofErr w:type="spellEnd"/>
      <w:r>
        <w:rPr>
          <w:rtl/>
        </w:rPr>
        <w:t xml:space="preserve">: באוזני נכדו של הרב </w:t>
      </w:r>
      <w:proofErr w:type="spellStart"/>
      <w:r>
        <w:rPr>
          <w:rtl/>
        </w:rPr>
        <w:t>זוננזון</w:t>
      </w:r>
      <w:proofErr w:type="spellEnd"/>
      <w:r>
        <w:rPr>
          <w:rtl/>
        </w:rPr>
        <w:t xml:space="preserve"> הזכיר אבי שהלה היה משגיח באחת הישיבות שלמד בהן במינסק. לפי </w:t>
      </w:r>
      <w:proofErr w:type="spellStart"/>
      <w:r>
        <w:rPr>
          <w:rtl/>
        </w:rPr>
        <w:t>נינו</w:t>
      </w:r>
      <w:proofErr w:type="spellEnd"/>
      <w:r>
        <w:rPr>
          <w:rtl/>
        </w:rPr>
        <w:t xml:space="preserve">, ר׳ משה </w:t>
      </w:r>
      <w:proofErr w:type="spellStart"/>
      <w:r>
        <w:rPr>
          <w:rtl/>
        </w:rPr>
        <w:t>זוננזון</w:t>
      </w:r>
      <w:proofErr w:type="spellEnd"/>
      <w:r>
        <w:rPr>
          <w:rtl/>
        </w:rPr>
        <w:t xml:space="preserve">, הביא ר׳ </w:t>
      </w:r>
      <w:proofErr w:type="spellStart"/>
      <w:r>
        <w:rPr>
          <w:rtl/>
        </w:rPr>
        <w:t>יצחק־יחיאל</w:t>
      </w:r>
      <w:proofErr w:type="spellEnd"/>
      <w:r>
        <w:rPr>
          <w:rtl/>
        </w:rPr>
        <w:t xml:space="preserve"> את סבו ממיר למינסק בגיל שנתיים, בשנת תרס״ד – הוא הזמן שבו למד רבנו בשול </w:t>
      </w:r>
      <w:proofErr w:type="spellStart"/>
      <w:r>
        <w:rPr>
          <w:rtl/>
        </w:rPr>
        <w:t>הקצבים</w:t>
      </w:r>
      <w:proofErr w:type="spellEnd"/>
      <w:r>
        <w:rPr>
          <w:rtl/>
        </w:rPr>
        <w:t>. על תפקידיו של “משגיח” בישיבות שאינן ישיבות מוסר השווה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לפי זה, תפקידו של ר׳ </w:t>
      </w:r>
      <w:proofErr w:type="spellStart"/>
      <w:r>
        <w:rPr>
          <w:rtl/>
        </w:rPr>
        <w:t>יצחק־יחיאל</w:t>
      </w:r>
      <w:proofErr w:type="spellEnd"/>
      <w:r>
        <w:rPr>
          <w:rtl/>
        </w:rPr>
        <w:t xml:space="preserve"> היה לדווח </w:t>
      </w:r>
      <w:proofErr w:type="spellStart"/>
      <w:r>
        <w:rPr>
          <w:rtl/>
        </w:rPr>
        <w:t>לר</w:t>
      </w:r>
      <w:proofErr w:type="spellEnd"/>
      <w:r>
        <w:rPr>
          <w:rtl/>
        </w:rPr>
        <w:t xml:space="preserve">׳ </w:t>
      </w:r>
      <w:proofErr w:type="spellStart"/>
      <w:r>
        <w:rPr>
          <w:rtl/>
        </w:rPr>
        <w:t>יעקב־נח</w:t>
      </w:r>
      <w:proofErr w:type="spellEnd"/>
      <w:r>
        <w:rPr>
          <w:rtl/>
        </w:rPr>
        <w:t xml:space="preserve"> </w:t>
      </w:r>
      <w:proofErr w:type="spellStart"/>
      <w:r>
        <w:rPr>
          <w:rtl/>
        </w:rPr>
        <w:t>אוקסנקרוג</w:t>
      </w:r>
      <w:proofErr w:type="spellEnd"/>
      <w:r>
        <w:rPr>
          <w:rtl/>
        </w:rPr>
        <w:t xml:space="preserve"> אם התלמידים המקבלים קצבה נוכחים ולומדים בשקידה.</w:t>
      </w:r>
    </w:p>
    <w:p w14:paraId="1BE1F5CF" w14:textId="77777777" w:rsidR="00AB3647" w:rsidRDefault="00000000" w:rsidP="007923E9">
      <w:pPr>
        <w:spacing w:after="100" w:line="276" w:lineRule="auto"/>
        <w:ind w:firstLine="340"/>
        <w:jc w:val="both"/>
      </w:pPr>
      <w:r>
        <w:rPr>
          <w:rtl/>
        </w:rPr>
        <w:t xml:space="preserve">אבי סיפר לאביו של ר׳ משה את המעשה המופלא כיצד נפגשו ונישאו סבו וסבתו של זה. סבתו, רווקה בת עשרים ושש שלא הייתה נאה למראה, עבדה כספרנית בעיירה </w:t>
      </w:r>
      <w:proofErr w:type="spellStart"/>
      <w:r>
        <w:rPr>
          <w:rtl/>
        </w:rPr>
        <w:t>מיר</w:t>
      </w:r>
      <w:proofErr w:type="spellEnd"/>
      <w:r>
        <w:rPr>
          <w:rtl/>
        </w:rPr>
        <w:t xml:space="preserve">. כשראתה שבן זוגה המיועד מן השמים אינו מופיע, כתבה מכתב לה׳ והודיעה שרצונה להינשא לבחור “יושב ולומד”, וחתמה: “בתך </w:t>
      </w:r>
      <w:proofErr w:type="spellStart"/>
      <w:r>
        <w:rPr>
          <w:rtl/>
        </w:rPr>
        <w:t>חיענה־מרים</w:t>
      </w:r>
      <w:proofErr w:type="spellEnd"/>
      <w:r>
        <w:rPr>
          <w:rtl/>
        </w:rPr>
        <w:t>.” את המכתב הכניסה למעטפה, כתבה עליה “לאבינו שבשמים”, והשליכה אותה אל הרוח שנשבה מחוץ לחלון הספרייה.</w:t>
      </w:r>
    </w:p>
    <w:p w14:paraId="469FCC2F" w14:textId="77777777" w:rsidR="00AB3647" w:rsidRDefault="00000000" w:rsidP="007923E9">
      <w:pPr>
        <w:spacing w:after="100" w:line="276" w:lineRule="auto"/>
        <w:ind w:firstLine="340"/>
        <w:jc w:val="both"/>
      </w:pPr>
      <w:r>
        <w:rPr>
          <w:rtl/>
        </w:rPr>
        <w:t xml:space="preserve">ר׳ </w:t>
      </w:r>
      <w:proofErr w:type="spellStart"/>
      <w:r>
        <w:rPr>
          <w:rtl/>
        </w:rPr>
        <w:t>יצחק־יחיאל</w:t>
      </w:r>
      <w:proofErr w:type="spellEnd"/>
      <w:r>
        <w:rPr>
          <w:rtl/>
        </w:rPr>
        <w:t xml:space="preserve"> </w:t>
      </w:r>
      <w:proofErr w:type="spellStart"/>
      <w:r>
        <w:rPr>
          <w:rtl/>
        </w:rPr>
        <w:t>זוננזון</w:t>
      </w:r>
      <w:proofErr w:type="spellEnd"/>
      <w:r>
        <w:rPr>
          <w:rtl/>
        </w:rPr>
        <w:t xml:space="preserve">, שהיה אז רק בן עשרים ולמד בישיבת </w:t>
      </w:r>
      <w:proofErr w:type="spellStart"/>
      <w:r>
        <w:rPr>
          <w:rtl/>
        </w:rPr>
        <w:t>מיר</w:t>
      </w:r>
      <w:proofErr w:type="spellEnd"/>
      <w:r>
        <w:rPr>
          <w:rtl/>
        </w:rPr>
        <w:t xml:space="preserve">, טייל בגן העירוני, מצא בעשב את המעטפה בעלת הכתובת המשונה, והחליט לפתוח אותה. הוא ראה שהוא עונה על דרישותיה של הנערה מבן זוגה לעתיד, ולכן בירר מי היא החותמת, </w:t>
      </w:r>
      <w:proofErr w:type="spellStart"/>
      <w:r>
        <w:rPr>
          <w:rtl/>
        </w:rPr>
        <w:t>חיענה־מרים</w:t>
      </w:r>
      <w:proofErr w:type="spellEnd"/>
      <w:r>
        <w:rPr>
          <w:rtl/>
        </w:rPr>
        <w:t xml:space="preserve">, והחליט </w:t>
      </w:r>
      <w:r>
        <w:rPr>
          <w:rtl/>
        </w:rPr>
        <w:lastRenderedPageBreak/>
        <w:t xml:space="preserve">שהוא רוצה לשאת אותה. הוא דן בדבר עם ר׳ </w:t>
      </w:r>
      <w:proofErr w:type="spellStart"/>
      <w:r>
        <w:rPr>
          <w:rtl/>
        </w:rPr>
        <w:t>חיים־לייב</w:t>
      </w:r>
      <w:proofErr w:type="spellEnd"/>
      <w:r>
        <w:rPr>
          <w:rtl/>
        </w:rPr>
        <w:t xml:space="preserve"> </w:t>
      </w:r>
      <w:proofErr w:type="spellStart"/>
      <w:r>
        <w:rPr>
          <w:rtl/>
        </w:rPr>
        <w:t>טיקטינסקי</w:t>
      </w:r>
      <w:proofErr w:type="spellEnd"/>
      <w:r>
        <w:rPr>
          <w:rtl/>
        </w:rPr>
        <w:t>, ראש הישיבה, וזה אמר לו להמשיך בשידוך שנעשה בשמים.</w:t>
      </w:r>
      <w:bookmarkStart w:id="973" w:name="_fnr587"/>
      <w:r>
        <w:rPr>
          <w:rStyle w:val="a5"/>
        </w:rPr>
        <w:footnoteReference w:id="587" w:customMarkFollows="0"/>
      </w:r>
      <w:bookmarkEnd w:id="973"/>
    </w:p>
    <w:bookmarkStart w:id="974" w:name="b2_note53"/>
    <w:p w14:paraId="7B68F393" w14:textId="77777777" w:rsidR="00AB3647" w:rsidRDefault="00000000" w:rsidP="007923E9">
      <w:pPr>
        <w:spacing w:before="120" w:after="100" w:line="276" w:lineRule="auto"/>
        <w:jc w:val="both"/>
      </w:pPr>
      <w:r>
        <w:fldChar w:fldCharType="begin" w:dirty="true"/>
      </w:r>
      <w:r>
        <w:instrText>HYPERLINK \l "b2_ref53"</w:instrText>
      </w:r>
      <w:r>
        <w:fldChar w:fldCharType="separate"/>
      </w:r>
      <w:r>
        <w:rPr>
          <w:b/>
          <w:bCs/>
          <w:rtl/>
        </w:rPr>
        <w:t>53</w:t>
      </w:r>
      <w:r>
        <w:rPr>
          <w:b/>
          <w:bCs/>
        </w:rPr>
        <w:fldChar w:fldCharType="end"/>
      </w:r>
      <w:bookmarkEnd w:id="974"/>
      <w:r>
        <w:rPr>
          <w:rtl/>
        </w:rPr>
        <w:t xml:space="preserve"> מתוך השיחה המוקלטת עם ר׳ מרדכי שפירא. על כך </w:t>
      </w:r>
      <w:proofErr w:type="spellStart"/>
      <w:r>
        <w:rPr>
          <w:rtl/>
        </w:rPr>
        <w:t>שהקצבים</w:t>
      </w:r>
      <w:proofErr w:type="spellEnd"/>
      <w:r>
        <w:rPr>
          <w:rtl/>
        </w:rPr>
        <w:t xml:space="preserve"> הפרישו לישיבתם 5% ויותר מהכנסתם אפשר ללמוד משיחה אחרת של אבי, שהוקלטה בסביבות אלול תשל״ג. אבי מסר אז שיעור בתנ״ך על מלכים ב </w:t>
      </w:r>
      <w:proofErr w:type="spellStart"/>
      <w:r>
        <w:rPr>
          <w:rtl/>
        </w:rPr>
        <w:t>יב</w:t>
      </w:r>
      <w:proofErr w:type="spellEnd"/>
      <w:r>
        <w:rPr>
          <w:rtl/>
        </w:rPr>
        <w:t xml:space="preserve">, </w:t>
      </w:r>
      <w:proofErr w:type="spellStart"/>
      <w:r>
        <w:rPr>
          <w:rtl/>
        </w:rPr>
        <w:t>יב</w:t>
      </w:r>
      <w:proofErr w:type="spellEnd"/>
      <w:r>
        <w:rPr>
          <w:rtl/>
        </w:rPr>
        <w:t>–</w:t>
      </w:r>
      <w:proofErr w:type="spellStart"/>
      <w:r>
        <w:rPr>
          <w:rtl/>
        </w:rPr>
        <w:t>יג</w:t>
      </w:r>
      <w:proofErr w:type="spellEnd"/>
      <w:r>
        <w:rPr>
          <w:rtl/>
        </w:rPr>
        <w:t xml:space="preserve">, המספר שהכסף שנאסף במקדש שימש לקניית חומרים ולתשלום לפועלים “לחזק את בדק בית ה׳”. באותה שעה דיבר גם על “אוצר בית ה׳” (הנזכר ביהושע ו, כד ובדברי הימים א </w:t>
      </w:r>
      <w:proofErr w:type="spellStart"/>
      <w:r>
        <w:rPr>
          <w:rtl/>
        </w:rPr>
        <w:t>כט</w:t>
      </w:r>
      <w:proofErr w:type="spellEnd"/>
      <w:r>
        <w:rPr>
          <w:rtl/>
        </w:rPr>
        <w:t>, ח), ועל שתי לשכות שהיו במקדש:</w:t>
      </w:r>
      <w:bookmarkStart w:id="975" w:name="_fnr588"/>
      <w:r>
        <w:rPr>
          <w:rStyle w:val="a5"/>
        </w:rPr>
        <w:footnoteReference w:id="588" w:customMarkFollows="0"/>
      </w:r>
      <w:bookmarkEnd w:id="975"/>
      <w:r>
        <w:rPr>
          <w:rtl/>
        </w:rPr>
        <w:t xml:space="preserve"> לשכת השקלים, שבה הופקדו כספים לקניית </w:t>
      </w:r>
      <w:proofErr w:type="spellStart"/>
      <w:r>
        <w:rPr>
          <w:rtl/>
        </w:rPr>
        <w:t>קרבנות</w:t>
      </w:r>
      <w:proofErr w:type="spellEnd"/>
      <w:r>
        <w:rPr>
          <w:rtl/>
        </w:rPr>
        <w:t xml:space="preserve"> הציבור, ומותר הלשכה שימש לצרכי הקהל הרבים; ולשכה מיוחדת, “לשכת חשאים”, </w:t>
      </w:r>
      <w:proofErr w:type="spellStart"/>
      <w:r>
        <w:rPr>
          <w:rtl/>
        </w:rPr>
        <w:t>ש“יראי</w:t>
      </w:r>
      <w:proofErr w:type="spellEnd"/>
      <w:r>
        <w:rPr>
          <w:rtl/>
        </w:rPr>
        <w:t xml:space="preserve"> חטא נותנים לתוכה </w:t>
      </w:r>
      <w:r>
        <w:rPr>
          <w:b/>
          <w:bCs/>
          <w:rtl/>
        </w:rPr>
        <w:t>בחשאי</w:t>
      </w:r>
      <w:r>
        <w:rPr>
          <w:rtl/>
        </w:rPr>
        <w:t xml:space="preserve">, ועניים בני טובים מתפרנסים מתוכה </w:t>
      </w:r>
      <w:r>
        <w:rPr>
          <w:b/>
          <w:bCs/>
          <w:rtl/>
        </w:rPr>
        <w:t>בחשאי</w:t>
      </w:r>
      <w:r>
        <w:rPr>
          <w:rtl/>
        </w:rPr>
        <w:t>” – הצדקה מן המין המעולה – וכספיה שימשו רק לעזרת העניים.</w:t>
      </w:r>
    </w:p>
    <w:p w14:paraId="045539B4" w14:textId="77777777" w:rsidR="00AB3647" w:rsidRDefault="00000000" w:rsidP="007923E9">
      <w:pPr>
        <w:spacing w:before="120" w:after="100" w:line="276" w:lineRule="auto"/>
        <w:jc w:val="both"/>
      </w:pPr>
      <w:r>
        <w:rPr>
          <w:rtl/>
        </w:rPr>
        <w:t xml:space="preserve">אחר כך סיפר: “בליטא היה מס של </w:t>
      </w:r>
      <w:proofErr w:type="spellStart"/>
      <w:r>
        <w:rPr>
          <w:rtl/>
        </w:rPr>
        <w:t>קופיקה</w:t>
      </w:r>
      <w:proofErr w:type="spellEnd"/>
      <w:r>
        <w:rPr>
          <w:rtl/>
        </w:rPr>
        <w:t xml:space="preserve"> על כל ליטרת בשר, שנקרא </w:t>
      </w:r>
      <w:proofErr w:type="spellStart"/>
      <w:r>
        <w:rPr>
          <w:rtl/>
        </w:rPr>
        <w:t>קאראפקע</w:t>
      </w:r>
      <w:proofErr w:type="spellEnd"/>
      <w:r>
        <w:rPr>
          <w:rtl/>
        </w:rPr>
        <w:t>,</w:t>
      </w:r>
      <w:bookmarkStart w:id="976" w:name="_fnr589"/>
      <w:r>
        <w:rPr>
          <w:rStyle w:val="a5"/>
        </w:rPr>
        <w:footnoteReference w:id="589" w:customMarkFollows="0"/>
      </w:r>
      <w:bookmarkEnd w:id="976"/>
      <w:r>
        <w:rPr>
          <w:rtl/>
        </w:rPr>
        <w:t xml:space="preserve"> וכשהוציאו את </w:t>
      </w:r>
      <w:proofErr w:type="spellStart"/>
      <w:r>
        <w:rPr>
          <w:rtl/>
        </w:rPr>
        <w:t>הקופיקה</w:t>
      </w:r>
      <w:proofErr w:type="spellEnd"/>
      <w:r>
        <w:rPr>
          <w:rtl/>
        </w:rPr>
        <w:t xml:space="preserve"> היו אומרים: ‘</w:t>
      </w:r>
      <w:proofErr w:type="spellStart"/>
      <w:r>
        <w:rPr>
          <w:rtl/>
        </w:rPr>
        <w:t>עס</w:t>
      </w:r>
      <w:proofErr w:type="spellEnd"/>
      <w:r>
        <w:rPr>
          <w:rtl/>
        </w:rPr>
        <w:t xml:space="preserve"> </w:t>
      </w:r>
      <w:proofErr w:type="spellStart"/>
      <w:r>
        <w:rPr>
          <w:rtl/>
        </w:rPr>
        <w:t>געהט</w:t>
      </w:r>
      <w:proofErr w:type="spellEnd"/>
      <w:r>
        <w:rPr>
          <w:rtl/>
        </w:rPr>
        <w:t xml:space="preserve"> אין </w:t>
      </w:r>
      <w:proofErr w:type="spellStart"/>
      <w:r>
        <w:rPr>
          <w:rtl/>
        </w:rPr>
        <w:t>קאראפקע</w:t>
      </w:r>
      <w:proofErr w:type="spellEnd"/>
      <w:r>
        <w:rPr>
          <w:rtl/>
        </w:rPr>
        <w:t xml:space="preserve">’ [זה הולך לקופה]. הקהילה, שלא ידעה מה אמצעיה של כל משפחה, </w:t>
      </w:r>
      <w:proofErr w:type="spellStart"/>
      <w:r>
        <w:rPr>
          <w:rtl/>
        </w:rPr>
        <w:t>אמדה</w:t>
      </w:r>
      <w:proofErr w:type="spellEnd"/>
      <w:r>
        <w:rPr>
          <w:rtl/>
        </w:rPr>
        <w:t xml:space="preserve"> שכל מי שיש לו די כסף לקנות ליטרת בשר יכול להרשות לעצמו </w:t>
      </w:r>
      <w:proofErr w:type="spellStart"/>
      <w:r>
        <w:rPr>
          <w:rtl/>
        </w:rPr>
        <w:t>קופיקה</w:t>
      </w:r>
      <w:proofErr w:type="spellEnd"/>
      <w:r>
        <w:rPr>
          <w:rtl/>
        </w:rPr>
        <w:t xml:space="preserve"> לצדקה. </w:t>
      </w:r>
      <w:proofErr w:type="spellStart"/>
      <w:r>
        <w:rPr>
          <w:rtl/>
        </w:rPr>
        <w:t>הקופיקה</w:t>
      </w:r>
      <w:proofErr w:type="spellEnd"/>
      <w:r>
        <w:rPr>
          <w:rtl/>
        </w:rPr>
        <w:t xml:space="preserve"> הזאת הלכה לכל צרכי העיר, ובכלל זה לתמיכה בעניים. </w:t>
      </w:r>
      <w:proofErr w:type="spellStart"/>
      <w:r>
        <w:rPr>
          <w:rtl/>
        </w:rPr>
        <w:t>קופיקה</w:t>
      </w:r>
      <w:proofErr w:type="spellEnd"/>
      <w:r>
        <w:rPr>
          <w:rtl/>
        </w:rPr>
        <w:t xml:space="preserve"> הייתה חצי סנט, וליטרת בשר עלתה בערך </w:t>
      </w:r>
      <w:proofErr w:type="spellStart"/>
      <w:r>
        <w:rPr>
          <w:rtl/>
        </w:rPr>
        <w:t>שמונה־עשרה</w:t>
      </w:r>
      <w:proofErr w:type="spellEnd"/>
      <w:r>
        <w:rPr>
          <w:rtl/>
        </w:rPr>
        <w:t xml:space="preserve"> עד עשרים </w:t>
      </w:r>
      <w:proofErr w:type="spellStart"/>
      <w:r>
        <w:rPr>
          <w:rtl/>
        </w:rPr>
        <w:t>קופיקות</w:t>
      </w:r>
      <w:proofErr w:type="spellEnd"/>
      <w:r>
        <w:rPr>
          <w:rtl/>
        </w:rPr>
        <w:t>,” אמר אבי.</w:t>
      </w:r>
      <w:bookmarkStart w:id="977" w:name="_fnr590"/>
      <w:r>
        <w:rPr>
          <w:rStyle w:val="a5"/>
        </w:rPr>
        <w:footnoteReference w:id="590" w:customMarkFollows="0"/>
      </w:r>
      <w:bookmarkEnd w:id="977"/>
    </w:p>
    <w:bookmarkStart w:id="978" w:name="b2_note54"/>
    <w:p w14:paraId="54936610" w14:textId="4EC0F4E9" w:rsidR="00AB3647" w:rsidRDefault="00000000" w:rsidP="007923E9">
      <w:pPr>
        <w:spacing w:before="120" w:after="100" w:line="276" w:lineRule="auto"/>
        <w:jc w:val="both"/>
      </w:pPr>
      <w:r>
        <w:fldChar w:fldCharType="begin" w:dirty="true"/>
      </w:r>
      <w:r>
        <w:instrText>HYPERLINK \l "b2_ref54"</w:instrText>
      </w:r>
      <w:r>
        <w:fldChar w:fldCharType="separate"/>
      </w:r>
      <w:r>
        <w:rPr>
          <w:b/>
          <w:bCs/>
          <w:rtl/>
        </w:rPr>
        <w:t>54</w:t>
      </w:r>
      <w:r>
        <w:rPr>
          <w:b/>
          <w:bCs/>
        </w:rPr>
        <w:fldChar w:fldCharType="end"/>
      </w:r>
      <w:bookmarkEnd w:id="978"/>
      <w:r>
        <w:rPr>
          <w:rtl/>
        </w:rPr>
        <w:t xml:space="preserve"> ראה </w:t>
      </w:r>
      <w:r>
        <w:rPr>
          <w:rtl/>
        </w:rPr>
        <w:fldChar w:fldCharType="begin" w:dirty="true"/>
      </w:r>
      <w:r>
        <w:rPr>
          <w:rtl/>
        </w:rPr>
        <w:instrText xml:space="preserve"> REF b2_excC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979" w:name="b2_note55"/>
    <w:p w14:paraId="35BF4C14" w14:textId="77777777" w:rsidR="00AB3647" w:rsidRDefault="00000000" w:rsidP="007923E9">
      <w:pPr>
        <w:spacing w:before="120" w:after="100" w:line="276" w:lineRule="auto"/>
        <w:jc w:val="both"/>
      </w:pPr>
      <w:r>
        <w:fldChar w:fldCharType="begin" w:dirty="true"/>
      </w:r>
      <w:r>
        <w:instrText>HYPERLINK \l "b2_ref55"</w:instrText>
      </w:r>
      <w:r>
        <w:fldChar w:fldCharType="separate"/>
      </w:r>
      <w:r>
        <w:rPr>
          <w:b/>
          <w:bCs/>
          <w:rtl/>
        </w:rPr>
        <w:t>55</w:t>
      </w:r>
      <w:r>
        <w:rPr>
          <w:b/>
          <w:bCs/>
        </w:rPr>
        <w:fldChar w:fldCharType="end"/>
      </w:r>
      <w:bookmarkEnd w:id="979"/>
      <w:r>
        <w:rPr>
          <w:rtl/>
        </w:rPr>
        <w:t xml:space="preserve"> העם קרא לבית הכנסת “</w:t>
      </w:r>
      <w:proofErr w:type="spellStart"/>
      <w:r>
        <w:rPr>
          <w:rtl/>
        </w:rPr>
        <w:t>שעוועמאיים</w:t>
      </w:r>
      <w:proofErr w:type="spellEnd"/>
      <w:r>
        <w:rPr>
          <w:rtl/>
        </w:rPr>
        <w:t xml:space="preserve"> שול”, בבליעת שמו הרשמי, או בשיבוש, “שמיים שול”.</w:t>
      </w:r>
      <w:bookmarkStart w:id="980" w:name="_fnr591"/>
      <w:r>
        <w:rPr>
          <w:rStyle w:val="a5"/>
        </w:rPr>
        <w:footnoteReference w:id="591" w:customMarkFollows="0"/>
      </w:r>
      <w:bookmarkEnd w:id="980"/>
      <w:r>
        <w:rPr>
          <w:rtl/>
        </w:rPr>
        <w:t xml:space="preserve"> הוא שכן ברחוב </w:t>
      </w:r>
      <w:proofErr w:type="spellStart"/>
      <w:r>
        <w:rPr>
          <w:rtl/>
        </w:rPr>
        <w:t>זאמקאווע</w:t>
      </w:r>
      <w:proofErr w:type="spellEnd"/>
      <w:r>
        <w:rPr>
          <w:rtl/>
        </w:rPr>
        <w:t xml:space="preserve"> והתקיים משנת תקצ״ד. שואבי המים, שעסקו במשלח היד הנמוך ביותר בסולם הכלכלי, ייסדו חברה פרטית חמש שנים קודם לכן. בתחילה התפללו בבית שכור, וגבו מן החברים דמי חבר שבועיים לבניית שול משלהם. את תוכניתם הצליחו להגשים רק כשהצטרפה אליהם “חברת חיי אדם”, קבוצה שעסקה בלימוד “חיי אדם”.</w:t>
      </w:r>
      <w:bookmarkStart w:id="981" w:name="_fnr592"/>
      <w:r>
        <w:rPr>
          <w:rStyle w:val="a5"/>
        </w:rPr>
        <w:footnoteReference w:id="592" w:customMarkFollows="0"/>
      </w:r>
      <w:bookmarkEnd w:id="981"/>
    </w:p>
    <w:p w14:paraId="06D6740F" w14:textId="77777777" w:rsidR="00AB3647" w:rsidRDefault="00000000" w:rsidP="007923E9">
      <w:pPr>
        <w:spacing w:before="120" w:after="100" w:line="276" w:lineRule="auto"/>
        <w:jc w:val="both"/>
      </w:pPr>
      <w:r>
        <w:rPr>
          <w:rtl/>
        </w:rPr>
        <w:t>תחילה בנו בידיהם צריף עץ, ואחר כך בניין לבנים.</w:t>
      </w:r>
      <w:bookmarkStart w:id="982" w:name="_fnr593"/>
      <w:r>
        <w:rPr>
          <w:rStyle w:val="a5"/>
        </w:rPr>
        <w:footnoteReference w:id="593" w:customMarkFollows="0"/>
      </w:r>
      <w:bookmarkEnd w:id="982"/>
      <w:r>
        <w:rPr>
          <w:rtl/>
        </w:rPr>
        <w:t xml:space="preserve"> את ההיתר הנדרש לבנות את בית הכנסת שלהם מלבנים קיבלו מראשי הקהילה, בתנאי שלא ישנו את מטרתה הדתית של חברתם ולא יהפכוה לאיגוד שמטרתו עשויה להיות העלאת מחיר אספקת המים.</w:t>
      </w:r>
      <w:bookmarkStart w:id="983" w:name="_fnr594"/>
      <w:r>
        <w:rPr>
          <w:rStyle w:val="a5"/>
        </w:rPr>
        <w:footnoteReference w:id="594" w:customMarkFollows="0"/>
      </w:r>
      <w:bookmarkEnd w:id="983"/>
      <w:r>
        <w:rPr>
          <w:rtl/>
        </w:rPr>
        <w:t xml:space="preserve"> במינסק הייתה מסורת </w:t>
      </w:r>
      <w:r>
        <w:rPr>
          <w:rtl/>
        </w:rPr>
        <w:lastRenderedPageBreak/>
        <w:t xml:space="preserve">שכאשר נוסדה החברה לראשונה ונרקמו התוכניות לבניית שול, התירו הרבנים לשואבים לכסות את ההוצאה בגביית חצי </w:t>
      </w:r>
      <w:proofErr w:type="spellStart"/>
      <w:r>
        <w:rPr>
          <w:rtl/>
        </w:rPr>
        <w:t>קופיקה</w:t>
      </w:r>
      <w:proofErr w:type="spellEnd"/>
      <w:r>
        <w:rPr>
          <w:rtl/>
        </w:rPr>
        <w:t xml:space="preserve"> נוספת על שני הדליים שנשאו בכל משלוח.</w:t>
      </w:r>
      <w:bookmarkStart w:id="984" w:name="_fnr595"/>
      <w:r>
        <w:rPr>
          <w:rStyle w:val="a5"/>
        </w:rPr>
        <w:footnoteReference w:id="595" w:customMarkFollows="0"/>
      </w:r>
      <w:bookmarkEnd w:id="984"/>
    </w:p>
    <w:p w14:paraId="6C2F204A" w14:textId="77777777" w:rsidR="00AB3647" w:rsidRDefault="00000000" w:rsidP="007923E9">
      <w:pPr>
        <w:spacing w:after="100" w:line="276" w:lineRule="auto"/>
        <w:ind w:firstLine="340"/>
        <w:jc w:val="both"/>
      </w:pPr>
      <w:r>
        <w:rPr>
          <w:rtl/>
        </w:rPr>
        <w:t>החברה ניהלה רישום מצוין של שלושים ושמונה שנות פעולתה הראשונות, ופנקסה שמור כיום בספרייה הלאומית בירושלים.</w:t>
      </w:r>
      <w:bookmarkStart w:id="985" w:name="_fnr596"/>
      <w:r>
        <w:rPr>
          <w:rStyle w:val="a5"/>
        </w:rPr>
        <w:footnoteReference w:id="596" w:customMarkFollows="0"/>
      </w:r>
      <w:bookmarkEnd w:id="985"/>
      <w:r>
        <w:rPr>
          <w:rtl/>
        </w:rPr>
        <w:t xml:space="preserve"> בפנקס רשומות התקנות המקוריות, שקבעו בין השאר קנסות לחברים שלא באו לתפילה בציבור, וכן נוסח ההיתר הנזכר. בהיתר משבחים זקני העיר את מטרותיה הנעלות של החברה, ובהצדקת היתרם לעניים לבנות בית כנסת ראוי מלבנים מסיימים הראשים במאמר חז״ל</w:t>
      </w:r>
      <w:bookmarkStart w:id="986" w:name="_fnr597"/>
      <w:r>
        <w:rPr>
          <w:rStyle w:val="a5"/>
        </w:rPr>
        <w:footnoteReference w:id="597" w:customMarkFollows="0"/>
      </w:r>
      <w:bookmarkEnd w:id="986"/>
      <w:r>
        <w:rPr>
          <w:rtl/>
        </w:rPr>
        <w:t xml:space="preserve"> “הזהרו בבני עניים שמהם תצא תורה”.</w:t>
      </w:r>
    </w:p>
    <w:p w14:paraId="66F6A39A" w14:textId="77777777" w:rsidR="00AB3647" w:rsidRDefault="00000000" w:rsidP="007923E9">
      <w:pPr>
        <w:spacing w:after="100" w:line="276" w:lineRule="auto"/>
        <w:ind w:firstLine="340"/>
        <w:jc w:val="both"/>
      </w:pPr>
      <w:r>
        <w:rPr>
          <w:rtl/>
        </w:rPr>
        <w:t xml:space="preserve">השואבים הכניסו ישיבה לשול שלהם, והתגאו בבוגריה הרבים שנעשו תלמידי חכמים גדולים, ובהם רב עירם, ר׳ לייזר </w:t>
      </w:r>
      <w:proofErr w:type="spellStart"/>
      <w:r>
        <w:rPr>
          <w:rtl/>
        </w:rPr>
        <w:t>רבינוביץ</w:t>
      </w:r>
      <w:proofErr w:type="spellEnd"/>
      <w:r>
        <w:rPr>
          <w:rtl/>
        </w:rPr>
        <w:t>.</w:t>
      </w:r>
      <w:bookmarkStart w:id="987" w:name="_fnr598"/>
      <w:r>
        <w:rPr>
          <w:rStyle w:val="a5"/>
        </w:rPr>
        <w:footnoteReference w:id="598" w:customMarkFollows="0"/>
      </w:r>
      <w:bookmarkEnd w:id="987"/>
    </w:p>
    <w:bookmarkStart w:id="988" w:name="b2_note56"/>
    <w:p w14:paraId="1EEF3A5E" w14:textId="77777777" w:rsidR="00AB3647" w:rsidRDefault="00000000" w:rsidP="007923E9">
      <w:pPr>
        <w:spacing w:before="120" w:after="100" w:line="276" w:lineRule="auto"/>
        <w:jc w:val="both"/>
      </w:pPr>
      <w:r>
        <w:fldChar w:fldCharType="begin" w:dirty="true"/>
      </w:r>
      <w:r>
        <w:instrText>HYPERLINK \l "b2_ref56"</w:instrText>
      </w:r>
      <w:r>
        <w:fldChar w:fldCharType="separate"/>
      </w:r>
      <w:r>
        <w:rPr>
          <w:b/>
          <w:bCs/>
          <w:rtl/>
        </w:rPr>
        <w:t>56</w:t>
      </w:r>
      <w:r>
        <w:rPr>
          <w:b/>
          <w:bCs/>
        </w:rPr>
        <w:fldChar w:fldCharType="end"/>
      </w:r>
      <w:bookmarkEnd w:id="988"/>
      <w:r>
        <w:rPr>
          <w:rtl/>
        </w:rPr>
        <w:t xml:space="preserve"> “מינסק עיר ואם א”.</w:t>
      </w:r>
      <w:bookmarkStart w:id="989" w:name="_fnr599"/>
      <w:r>
        <w:rPr>
          <w:rStyle w:val="a5"/>
        </w:rPr>
        <w:footnoteReference w:id="599" w:customMarkFollows="0"/>
      </w:r>
      <w:bookmarkEnd w:id="989"/>
      <w:r>
        <w:rPr>
          <w:rtl/>
        </w:rPr>
        <w:t xml:space="preserve"> עובדה זו אינה נזכרת במפורש </w:t>
      </w:r>
      <w:proofErr w:type="spellStart"/>
      <w:r>
        <w:rPr>
          <w:rtl/>
        </w:rPr>
        <w:t>ב“קובץ</w:t>
      </w:r>
      <w:proofErr w:type="spellEnd"/>
      <w:r>
        <w:rPr>
          <w:rtl/>
        </w:rPr>
        <w:t xml:space="preserve"> </w:t>
      </w:r>
      <w:proofErr w:type="spellStart"/>
      <w:r>
        <w:rPr>
          <w:rtl/>
        </w:rPr>
        <w:t>לרי״ה</w:t>
      </w:r>
      <w:proofErr w:type="spellEnd"/>
      <w:r>
        <w:rPr>
          <w:rtl/>
        </w:rPr>
        <w:t>”, והמחברים כללו אותה כנראה בהצהרתם הכללית שהוא “היה גבאי ונאמן בכמה מוסדות חסד”.</w:t>
      </w:r>
      <w:bookmarkStart w:id="990" w:name="_fnr600"/>
      <w:r>
        <w:rPr>
          <w:rStyle w:val="a5"/>
        </w:rPr>
        <w:footnoteReference w:id="600" w:customMarkFollows="0"/>
      </w:r>
      <w:bookmarkEnd w:id="990"/>
      <w:r>
        <w:rPr>
          <w:rtl/>
        </w:rPr>
        <w:t xml:space="preserve"> כפי שסיפר אחד המעורבים,</w:t>
      </w:r>
      <w:bookmarkStart w:id="991" w:name="_fnr601"/>
      <w:r>
        <w:rPr>
          <w:rStyle w:val="a5"/>
        </w:rPr>
        <w:footnoteReference w:id="601" w:customMarkFollows="0"/>
      </w:r>
      <w:bookmarkEnd w:id="991"/>
      <w:r>
        <w:rPr>
          <w:rtl/>
        </w:rPr>
        <w:t xml:space="preserve"> בסוף ביקור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בירושלים בשנת תשט״ז נשאר אבי כמה דקות נוספות, והסביר: “עכשיו אני מבקר אצל הרבנית שלך, משום שלמדתי אצל סבה ר׳ </w:t>
      </w:r>
      <w:proofErr w:type="spellStart"/>
      <w:r>
        <w:rPr>
          <w:rtl/>
        </w:rPr>
        <w:t>יהושע׳לה</w:t>
      </w:r>
      <w:proofErr w:type="spellEnd"/>
      <w:r>
        <w:rPr>
          <w:rtl/>
        </w:rPr>
        <w:t xml:space="preserve"> במינסק.” מאחר שאבי מעולם לא למד בשול “שואבי מים”, ודאי הביע בכך הכרת טובה </w:t>
      </w:r>
      <w:proofErr w:type="spellStart"/>
      <w:r>
        <w:rPr>
          <w:rtl/>
        </w:rPr>
        <w:t>לר</w:t>
      </w:r>
      <w:proofErr w:type="spellEnd"/>
      <w:r>
        <w:rPr>
          <w:rtl/>
        </w:rPr>
        <w:t xml:space="preserve">׳ </w:t>
      </w:r>
      <w:proofErr w:type="spellStart"/>
      <w:r>
        <w:rPr>
          <w:rtl/>
        </w:rPr>
        <w:t>יהושע׳לה</w:t>
      </w:r>
      <w:proofErr w:type="spellEnd"/>
      <w:r>
        <w:rPr>
          <w:rtl/>
        </w:rPr>
        <w:t xml:space="preserve"> על העזרה שהגיש לישיבה שבשול </w:t>
      </w:r>
      <w:proofErr w:type="spellStart"/>
      <w:r>
        <w:rPr>
          <w:rtl/>
        </w:rPr>
        <w:t>הקצבים</w:t>
      </w:r>
      <w:proofErr w:type="spellEnd"/>
      <w:r>
        <w:rPr>
          <w:rtl/>
        </w:rPr>
        <w:t>.</w:t>
      </w:r>
    </w:p>
    <w:p w14:paraId="5A9EDF72" w14:textId="6DEA58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מלבד המשך לימוד התורה בשקידה בסביבתו החדשה, מצא אבי זמן לקרוא מעט מן הספרות העברית החדשה שעברה בחשאי מיד ליד בין תלמידי הישיבה המבוגרים, כגון “אהבת ציון” </w:t>
      </w:r>
      <w:proofErr w:type="spellStart"/>
      <w:r>
        <w:rPr>
          <w:rtl/>
        </w:rPr>
        <w:t xml:space="preserve">ו“אשמת שומרון” של אברהם מאפו</w:t>
      </w:r>
      <w:proofErr w:type="spellEnd"/>
      <w:r>
        <w:rPr>
          <w:rtl/>
        </w:rPr>
        <w:t xml:space="preserve">.</w:t>
      </w:r>
      <w:bookmarkStart w:id="992" w:name="b2_ref57"/>
      <w:bookmarkEnd w:id="992"/>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הוא גם המשיך לקרוא בספרי הגאומטריה והטריגונומטריה של בני דודו,</w:t>
      </w:r>
      <w:r>
        <w:rPr>
          <w:vertAlign w:val="superscript"/>
          <w:rtl/>
        </w:rPr>
        <w:fldChar w:fldCharType="begin" w:dirty="true"/>
      </w:r>
      <w:r>
        <w:rPr>
          <w:vertAlign w:val="superscript"/>
          <w:rtl/>
        </w:rPr>
        <w:instrText xml:space="preserve"> REF b2_note57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ועמל על ספר דקדוק עברי מסובך ביותר של </w:t>
      </w:r>
      <w:proofErr w:type="spellStart"/>
      <w:r>
        <w:rPr>
          <w:rtl/>
        </w:rPr>
        <w:t>חיים־צבי</w:t>
      </w:r>
      <w:proofErr w:type="spellEnd"/>
      <w:r>
        <w:rPr>
          <w:rtl/>
        </w:rPr>
        <w:t xml:space="preserve"> לרנר (</w:t>
      </w:r>
      <w:proofErr w:type="spellStart"/>
      <w:r>
        <w:rPr>
          <w:rtl/>
        </w:rPr>
        <w:t>חצ״ל</w:t>
      </w:r>
      <w:proofErr w:type="spellEnd"/>
      <w:r>
        <w:rPr>
          <w:rtl/>
        </w:rPr>
        <w:t>),</w:t>
      </w:r>
      <w:bookmarkStart w:id="993" w:name="b2_ref58"/>
      <w:bookmarkEnd w:id="993"/>
      <w:r>
        <w:rPr>
          <w:vertAlign w:val="superscript"/>
          <w:rtl/>
        </w:rPr>
        <w:fldChar w:fldCharType="begin" w:dirty="true"/>
      </w:r>
      <w:r>
        <w:rPr>
          <w:vertAlign w:val="superscript"/>
          <w:rtl/>
        </w:rPr>
        <w:instrText xml:space="preserve"> REF b2_note58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וכן על ספרו הקשה של אותו מחבר על טעמי המקרא.</w:t>
      </w:r>
      <w:bookmarkStart w:id="994" w:name="b2_ref59"/>
      <w:bookmarkEnd w:id="994"/>
      <w:r>
        <w:rPr>
          <w:vertAlign w:val="superscript"/>
          <w:rtl/>
        </w:rPr>
        <w:fldChar w:fldCharType="begin" w:dirty="true"/>
      </w:r>
      <w:r>
        <w:rPr>
          <w:vertAlign w:val="superscript"/>
          <w:rtl/>
        </w:rPr>
        <w:instrText xml:space="preserve"> REF b2_note59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אבל ככל שהתבגר </w:t>
      </w:r>
      <w:proofErr w:type="spellStart"/>
      <w:r>
        <w:rPr>
          <w:rtl/>
        </w:rPr>
        <w:t>הדולהינובר</w:t>
      </w:r>
      <w:proofErr w:type="spellEnd"/>
      <w:r>
        <w:rPr>
          <w:rtl/>
        </w:rPr>
        <w:t>, הבין שחברת בני דודו, ולו רק בלילות, טומנת בחובה סכנה רוחנית, והחליט לעזוב את הגומחה שבבית דודו</w:t>
      </w:r>
      <w:bookmarkStart w:id="995" w:name="b2_ref60"/>
      <w:bookmarkEnd w:id="995"/>
      <w:r>
        <w:rPr>
          <w:vertAlign w:val="superscript"/>
          <w:rtl/>
        </w:rPr>
        <w:fldChar w:fldCharType="begin" w:dirty="true"/>
      </w:r>
      <w:r>
        <w:rPr>
          <w:vertAlign w:val="superscript"/>
          <w:rtl/>
        </w:rPr>
        <w:instrText xml:space="preserve"> REF b2_note60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ולעבור לשול </w:t>
      </w:r>
      <w:proofErr w:type="spellStart"/>
      <w:r>
        <w:rPr>
          <w:rtl/>
        </w:rPr>
        <w:t>הקצבים</w:t>
      </w:r>
      <w:proofErr w:type="spellEnd"/>
      <w:r>
        <w:rPr>
          <w:rtl/>
        </w:rPr>
        <w:t>.</w:t>
      </w:r>
    </w:p>
    <w:bookmarkStart w:id="996" w:name="b2_note57"/>
    <w:p w14:paraId="1BEEF434" w14:textId="77777777" w:rsidR="00AB3647" w:rsidRDefault="00000000" w:rsidP="007923E9">
      <w:pPr>
        <w:spacing w:before="120" w:after="100" w:line="276" w:lineRule="auto"/>
        <w:jc w:val="both"/>
      </w:pPr>
      <w:r>
        <w:fldChar w:fldCharType="begin" w:dirty="true"/>
      </w:r>
      <w:r>
        <w:instrText>HYPERLINK \l "b2_ref57"</w:instrText>
      </w:r>
      <w:r>
        <w:fldChar w:fldCharType="separate"/>
      </w:r>
      <w:r>
        <w:rPr>
          <w:b/>
          <w:bCs/>
          <w:rtl/>
        </w:rPr>
        <w:t>57</w:t>
      </w:r>
      <w:r>
        <w:rPr>
          <w:b/>
          <w:bCs/>
        </w:rPr>
        <w:fldChar w:fldCharType="end"/>
      </w:r>
      <w:bookmarkEnd w:id="996"/>
      <w:r>
        <w:rPr>
          <w:rtl/>
        </w:rPr>
        <w:t xml:space="preserve"> ר׳ אשר </w:t>
      </w:r>
      <w:proofErr w:type="spellStart"/>
      <w:r>
        <w:rPr>
          <w:rtl/>
        </w:rPr>
        <w:t>קצמן</w:t>
      </w:r>
      <w:proofErr w:type="spellEnd"/>
      <w:r>
        <w:rPr>
          <w:rtl/>
        </w:rPr>
        <w:t>.</w:t>
      </w:r>
      <w:bookmarkStart w:id="997" w:name="_fnr602"/>
      <w:r>
        <w:rPr>
          <w:rStyle w:val="a5"/>
        </w:rPr>
        <w:footnoteReference w:id="602" w:customMarkFollows="0"/>
      </w:r>
      <w:bookmarkEnd w:id="997"/>
      <w:r>
        <w:rPr>
          <w:rtl/>
        </w:rPr>
        <w:t xml:space="preserve"> ר׳ ישראל </w:t>
      </w:r>
      <w:proofErr w:type="spellStart"/>
      <w:r>
        <w:rPr>
          <w:rtl/>
        </w:rPr>
        <w:t>שורין</w:t>
      </w:r>
      <w:proofErr w:type="spellEnd"/>
      <w:r>
        <w:rPr>
          <w:rtl/>
        </w:rPr>
        <w:t xml:space="preserve"> סיפר</w:t>
      </w:r>
      <w:bookmarkStart w:id="998" w:name="_fnr603"/>
      <w:r>
        <w:rPr>
          <w:rStyle w:val="a5"/>
        </w:rPr>
        <w:footnoteReference w:id="603" w:customMarkFollows="0"/>
      </w:r>
      <w:bookmarkEnd w:id="998"/>
      <w:r>
        <w:rPr>
          <w:rtl/>
        </w:rPr>
        <w:t xml:space="preserve"> דבר שאם הוא אמת, יישאר בלתי ייאמן בעיני מי שהכירו את רבנו בשנות בגרותו בכלל – ובפרט בעיני מי שיודעים את הכבוד שנהג בספרי קודש: הוא לא היה סומך אפילו את מרפקו על ספר! ר׳ </w:t>
      </w:r>
      <w:proofErr w:type="spellStart"/>
      <w:r>
        <w:rPr>
          <w:rtl/>
        </w:rPr>
        <w:t>אברהם־שמעון</w:t>
      </w:r>
      <w:proofErr w:type="spellEnd"/>
      <w:r>
        <w:rPr>
          <w:rtl/>
        </w:rPr>
        <w:t xml:space="preserve"> גפן (“עילוי עצום, בנו </w:t>
      </w:r>
      <w:r>
        <w:rPr>
          <w:rtl/>
        </w:rPr>
        <w:lastRenderedPageBreak/>
        <w:t xml:space="preserve">של רב </w:t>
      </w:r>
      <w:proofErr w:type="spellStart"/>
      <w:r>
        <w:rPr>
          <w:rtl/>
        </w:rPr>
        <w:t>ריטובה</w:t>
      </w:r>
      <w:proofErr w:type="spellEnd"/>
      <w:r>
        <w:rPr>
          <w:rtl/>
        </w:rPr>
        <w:t xml:space="preserve"> [עיר הולדתו של ר׳ ישראל </w:t>
      </w:r>
      <w:proofErr w:type="spellStart"/>
      <w:r>
        <w:rPr>
          <w:rtl/>
        </w:rPr>
        <w:t>שורין</w:t>
      </w:r>
      <w:proofErr w:type="spellEnd"/>
      <w:r>
        <w:rPr>
          <w:rtl/>
        </w:rPr>
        <w:t xml:space="preserve">] ותלמיד </w:t>
      </w:r>
      <w:proofErr w:type="spellStart"/>
      <w:r>
        <w:rPr>
          <w:rtl/>
        </w:rPr>
        <w:t>טלז</w:t>
      </w:r>
      <w:proofErr w:type="spellEnd"/>
      <w:r>
        <w:rPr>
          <w:rtl/>
        </w:rPr>
        <w:t xml:space="preserve"> אצל ר׳ לייזר גורדון”) סיפר שבישיבת </w:t>
      </w:r>
      <w:proofErr w:type="spellStart"/>
      <w:r>
        <w:rPr>
          <w:rtl/>
        </w:rPr>
        <w:t>סלבודקה</w:t>
      </w:r>
      <w:proofErr w:type="spellEnd"/>
      <w:r>
        <w:rPr>
          <w:rtl/>
        </w:rPr>
        <w:t xml:space="preserve"> אמרו שרבנו היה רושם “</w:t>
      </w:r>
      <w:proofErr w:type="spellStart"/>
      <w:r>
        <w:rPr>
          <w:rtl/>
        </w:rPr>
        <w:t>זאדאטשעס</w:t>
      </w:r>
      <w:proofErr w:type="spellEnd"/>
      <w:r>
        <w:rPr>
          <w:rtl/>
        </w:rPr>
        <w:t>” (תרגילים) אלגבריים בשולי הגמרא שלו.</w:t>
      </w:r>
    </w:p>
    <w:p w14:paraId="391B35EC" w14:textId="77777777" w:rsidR="00AB3647" w:rsidRDefault="00000000" w:rsidP="007923E9">
      <w:pPr>
        <w:spacing w:before="120" w:after="100" w:line="276" w:lineRule="auto"/>
        <w:jc w:val="both"/>
      </w:pPr>
      <w:r>
        <w:rPr>
          <w:rtl/>
        </w:rPr>
        <w:t xml:space="preserve">וכך תיאר ר׳ ישראל </w:t>
      </w:r>
      <w:proofErr w:type="spellStart"/>
      <w:r>
        <w:rPr>
          <w:rtl/>
        </w:rPr>
        <w:t>שורין</w:t>
      </w:r>
      <w:proofErr w:type="spellEnd"/>
      <w:r>
        <w:rPr>
          <w:rtl/>
        </w:rPr>
        <w:t xml:space="preserve"> את ר׳ </w:t>
      </w:r>
      <w:proofErr w:type="spellStart"/>
      <w:r>
        <w:rPr>
          <w:rtl/>
        </w:rPr>
        <w:t>אברהם־שמעון</w:t>
      </w:r>
      <w:proofErr w:type="spellEnd"/>
      <w:r>
        <w:rPr>
          <w:rtl/>
        </w:rPr>
        <w:t xml:space="preserve">: “ר׳ </w:t>
      </w:r>
      <w:proofErr w:type="spellStart"/>
      <w:r>
        <w:rPr>
          <w:rtl/>
        </w:rPr>
        <w:t>אברהם־שמעון</w:t>
      </w:r>
      <w:proofErr w:type="spellEnd"/>
      <w:r>
        <w:rPr>
          <w:rtl/>
        </w:rPr>
        <w:t xml:space="preserve"> היה מודרני במקצת ולא גידל זקן. אחרי שנכשל בעסקי הפשתן באירופה, נעשה משולח של ישיבת </w:t>
      </w:r>
      <w:proofErr w:type="spellStart"/>
      <w:r>
        <w:rPr>
          <w:rtl/>
        </w:rPr>
        <w:t>סלבודקה</w:t>
      </w:r>
      <w:proofErr w:type="spellEnd"/>
      <w:r>
        <w:rPr>
          <w:rtl/>
        </w:rPr>
        <w:t xml:space="preserve"> באמריקה. לפי בנו, ר׳ שלום גפן, נולד בשנת תרמ״ב, ואחרי </w:t>
      </w:r>
      <w:proofErr w:type="spellStart"/>
      <w:r>
        <w:rPr>
          <w:rtl/>
        </w:rPr>
        <w:t>טלז</w:t>
      </w:r>
      <w:proofErr w:type="spellEnd"/>
      <w:r>
        <w:rPr>
          <w:rtl/>
        </w:rPr>
        <w:t xml:space="preserve"> למד </w:t>
      </w:r>
      <w:proofErr w:type="spellStart"/>
      <w:r>
        <w:rPr>
          <w:rtl/>
        </w:rPr>
        <w:t>בסלבודקה</w:t>
      </w:r>
      <w:proofErr w:type="spellEnd"/>
      <w:r>
        <w:rPr>
          <w:rtl/>
        </w:rPr>
        <w:t xml:space="preserve"> ‘שנים רבות החל משנת תרס״א׳.”</w:t>
      </w:r>
    </w:p>
    <w:bookmarkStart w:id="999" w:name="b2_note58"/>
    <w:p w14:paraId="63F08010" w14:textId="77777777" w:rsidR="00AB3647" w:rsidRDefault="00000000" w:rsidP="007923E9">
      <w:pPr>
        <w:spacing w:before="120" w:after="100" w:line="276" w:lineRule="auto"/>
        <w:jc w:val="both"/>
      </w:pPr>
      <w:r>
        <w:fldChar w:fldCharType="begin" w:dirty="true"/>
      </w:r>
      <w:r>
        <w:instrText>HYPERLINK \l "b2_ref58"</w:instrText>
      </w:r>
      <w:r>
        <w:fldChar w:fldCharType="separate"/>
      </w:r>
      <w:r>
        <w:rPr>
          <w:b/>
          <w:bCs/>
          <w:rtl/>
        </w:rPr>
        <w:t>58</w:t>
      </w:r>
      <w:r>
        <w:rPr>
          <w:b/>
          <w:bCs/>
        </w:rPr>
        <w:fldChar w:fldCharType="end"/>
      </w:r>
      <w:bookmarkEnd w:id="999"/>
      <w:r>
        <w:rPr>
          <w:rtl/>
        </w:rPr>
        <w:t xml:space="preserve"> ר׳ ישראל </w:t>
      </w:r>
      <w:proofErr w:type="spellStart"/>
      <w:r>
        <w:rPr>
          <w:rtl/>
        </w:rPr>
        <w:t>שורין</w:t>
      </w:r>
      <w:proofErr w:type="spellEnd"/>
      <w:r>
        <w:rPr>
          <w:rtl/>
        </w:rPr>
        <w:t>.</w:t>
      </w:r>
      <w:bookmarkStart w:id="1000" w:name="_fnr604"/>
      <w:r>
        <w:rPr>
          <w:rStyle w:val="a5"/>
        </w:rPr>
        <w:footnoteReference w:id="604" w:customMarkFollows="0"/>
      </w:r>
      <w:bookmarkEnd w:id="1000"/>
      <w:r>
        <w:rPr>
          <w:rtl/>
        </w:rPr>
        <w:t xml:space="preserve"> בספרייתו של ר׳ ישראל </w:t>
      </w:r>
      <w:proofErr w:type="spellStart"/>
      <w:r>
        <w:rPr>
          <w:rtl/>
        </w:rPr>
        <w:t>שורין</w:t>
      </w:r>
      <w:proofErr w:type="spellEnd"/>
      <w:r>
        <w:rPr>
          <w:rtl/>
        </w:rPr>
        <w:t xml:space="preserve"> היה הספר “מורה הלשון: נתיב חדש בדקדוק לשון עבר”. כשהבחין אבי בכרך על המדף, נטל אותו מתוך סקרנות לראות מה דעתו עליו שישים שנה אחרי שלמד אותו ביסודיות. הוא הביע השתוממות על הסבלנות שגייס בנעוריו כדי לפלס את דרכו בפרטיו המסובכים.</w:t>
      </w:r>
    </w:p>
    <w:p w14:paraId="1C6DE425" w14:textId="77777777" w:rsidR="00AB3647" w:rsidRDefault="00000000" w:rsidP="007923E9">
      <w:pPr>
        <w:spacing w:after="100" w:line="276" w:lineRule="auto"/>
        <w:ind w:firstLine="340"/>
        <w:jc w:val="both"/>
      </w:pPr>
      <w:r>
        <w:rPr>
          <w:rtl/>
        </w:rPr>
        <w:t xml:space="preserve">רבנו, שהתעניינותו בדקדוק ניכרת בכל כתביו, אמר פעם לנכדו ר׳ יצחק </w:t>
      </w:r>
      <w:proofErr w:type="spellStart"/>
      <w:r>
        <w:rPr>
          <w:rtl/>
        </w:rPr>
        <w:t>שורין</w:t>
      </w:r>
      <w:bookmarkStart w:id="1001" w:name="_fnr605"/>
      <w:proofErr w:type="spellEnd"/>
      <w:r>
        <w:rPr>
          <w:rStyle w:val="a5"/>
        </w:rPr>
        <w:footnoteReference w:id="605" w:customMarkFollows="0"/>
      </w:r>
      <w:bookmarkEnd w:id="1001"/>
      <w:r>
        <w:rPr>
          <w:rtl/>
        </w:rPr>
        <w:t xml:space="preserve"> שהדקדוק העברי אינו מקצוע חילוני, משום שאי אפשר להגיע להבנה ברורה של כתבי הקודש בלי ידיעת כלליו. השווה גם את הסכמותיי לשני ספרים שחיבר יצחק פרנק, “דקדוק לגמרא”</w:t>
      </w:r>
      <w:bookmarkStart w:id="1002" w:name="_fnr606"/>
      <w:r>
        <w:rPr>
          <w:rStyle w:val="a5"/>
        </w:rPr>
        <w:footnoteReference w:id="606" w:customMarkFollows="0"/>
      </w:r>
      <w:bookmarkEnd w:id="1002"/>
      <w:r>
        <w:rPr>
          <w:rtl/>
        </w:rPr>
        <w:t xml:space="preserve"> </w:t>
      </w:r>
      <w:proofErr w:type="spellStart"/>
      <w:r>
        <w:rPr>
          <w:rtl/>
        </w:rPr>
        <w:t>ו“דיקא</w:t>
      </w:r>
      <w:proofErr w:type="spellEnd"/>
      <w:r>
        <w:rPr>
          <w:rtl/>
        </w:rPr>
        <w:t xml:space="preserve"> נמי”,</w:t>
      </w:r>
      <w:bookmarkStart w:id="1003" w:name="_fnr607"/>
      <w:r>
        <w:rPr>
          <w:rStyle w:val="a5"/>
        </w:rPr>
        <w:footnoteReference w:id="607" w:customMarkFollows="0"/>
      </w:r>
      <w:bookmarkEnd w:id="1003"/>
      <w:r>
        <w:rPr>
          <w:rtl/>
        </w:rPr>
        <w:t xml:space="preserve"> המביאים את דברי רבנו שהדקדוק נכלל במצוות תלמוד תורה “משום שידיעתו חיונית להגעה למסקנות הלכתיות נכונות”. אבי הביא דוגמה כיצד טעות דקדוקית הביאה אדם לפסק מוטעה בדבר חמור.</w:t>
      </w:r>
    </w:p>
    <w:bookmarkStart w:id="1004" w:name="b2_note59"/>
    <w:p w14:paraId="3ED61C5C" w14:textId="77777777" w:rsidR="00AB3647" w:rsidRDefault="00000000" w:rsidP="007923E9">
      <w:pPr>
        <w:spacing w:before="120" w:after="100" w:line="276" w:lineRule="auto"/>
        <w:jc w:val="both"/>
      </w:pPr>
      <w:r>
        <w:fldChar w:fldCharType="begin" w:dirty="true"/>
      </w:r>
      <w:r>
        <w:instrText>HYPERLINK \l "b2_ref59"</w:instrText>
      </w:r>
      <w:r>
        <w:fldChar w:fldCharType="separate"/>
      </w:r>
      <w:r>
        <w:rPr>
          <w:b/>
          <w:bCs/>
          <w:rtl/>
        </w:rPr>
        <w:t>59</w:t>
      </w:r>
      <w:r>
        <w:rPr>
          <w:b/>
          <w:bCs/>
        </w:rPr>
        <w:fldChar w:fldCharType="end"/>
      </w:r>
      <w:bookmarkEnd w:id="1004"/>
      <w:r>
        <w:rPr>
          <w:rtl/>
        </w:rPr>
        <w:t xml:space="preserve"> לפי ר׳ אשר </w:t>
      </w:r>
      <w:proofErr w:type="spellStart"/>
      <w:r>
        <w:rPr>
          <w:rtl/>
        </w:rPr>
        <w:t>קצמן</w:t>
      </w:r>
      <w:proofErr w:type="spellEnd"/>
      <w:r>
        <w:rPr>
          <w:rtl/>
        </w:rPr>
        <w:t xml:space="preserve"> אמר אבי: “אפילו פרופסורים יתקשו בספר הזה.” ר׳ יצחק </w:t>
      </w:r>
      <w:proofErr w:type="spellStart"/>
      <w:r>
        <w:rPr>
          <w:rtl/>
        </w:rPr>
        <w:t>שורין</w:t>
      </w:r>
      <w:proofErr w:type="spellEnd"/>
      <w:r>
        <w:rPr>
          <w:rtl/>
        </w:rPr>
        <w:t xml:space="preserve"> סיפר שסבו, רבנו, אמר: “כיום ודאי יש ספרים טובים יותר בנושא זה.” ר׳ יצחק שאל בתמימות אם המחבר היה שומר מצוות, ואבי צחק ואמר: “כנראה לא; הוא היה מן המשכילים.”</w:t>
      </w:r>
    </w:p>
    <w:p w14:paraId="370AC2C0" w14:textId="77777777" w:rsidR="00AB3647" w:rsidRDefault="00000000" w:rsidP="007923E9">
      <w:pPr>
        <w:spacing w:before="120" w:after="100" w:line="276" w:lineRule="auto"/>
        <w:jc w:val="both"/>
      </w:pPr>
      <w:r>
        <w:rPr>
          <w:rtl/>
        </w:rPr>
        <w:t xml:space="preserve">המידע הבא על </w:t>
      </w:r>
      <w:proofErr w:type="spellStart"/>
      <w:r>
        <w:rPr>
          <w:rtl/>
        </w:rPr>
        <w:t>חיים־צבי</w:t>
      </w:r>
      <w:proofErr w:type="spellEnd"/>
      <w:r>
        <w:rPr>
          <w:rtl/>
        </w:rPr>
        <w:t xml:space="preserve"> לרנר נמצא באנציקלופדיה יודאיקה </w:t>
      </w:r>
      <w:proofErr w:type="spellStart"/>
      <w:r>
        <w:rPr>
          <w:rtl/>
        </w:rPr>
        <w:t>וב־ג׳ואיש</w:t>
      </w:r>
      <w:proofErr w:type="spellEnd"/>
      <w:r>
        <w:rPr>
          <w:rtl/>
        </w:rPr>
        <w:t xml:space="preserve"> אנציקלופדיה. מדקדק ומחנך עברי זה נולד בשנת 1815 בדובנו ונפטר בשנת 1889. את חינוכו במקרא ובתלמוד קיבל מאביו, ונישא בגיל </w:t>
      </w:r>
      <w:proofErr w:type="spellStart"/>
      <w:r>
        <w:rPr>
          <w:rtl/>
        </w:rPr>
        <w:t>שלוש־עשרה</w:t>
      </w:r>
      <w:proofErr w:type="spellEnd"/>
      <w:r>
        <w:rPr>
          <w:rtl/>
        </w:rPr>
        <w:t xml:space="preserve">. בשנת 1833 בא המלומד הנודע </w:t>
      </w:r>
      <w:proofErr w:type="spellStart"/>
      <w:r>
        <w:rPr>
          <w:rtl/>
        </w:rPr>
        <w:t>זאב־וולף</w:t>
      </w:r>
      <w:proofErr w:type="spellEnd"/>
      <w:r>
        <w:rPr>
          <w:rtl/>
        </w:rPr>
        <w:t xml:space="preserve"> </w:t>
      </w:r>
      <w:proofErr w:type="spellStart"/>
      <w:r>
        <w:rPr>
          <w:rtl/>
        </w:rPr>
        <w:t>אדלזון</w:t>
      </w:r>
      <w:proofErr w:type="spellEnd"/>
      <w:r>
        <w:rPr>
          <w:rtl/>
        </w:rPr>
        <w:t xml:space="preserve"> לדובנו וקיבץ סביבו חוג משכילים שלימד אותם דקדוק עברי ופילוסופיה; לרנר נעשה לתלמידו, ולמד אצלו לימודי עברית ולימודי חול. לרנר עבד כמורה פרטי לעברית, ובשנת 1849 נעשה מורה בבית הספר הממשלתי היהודי </w:t>
      </w:r>
      <w:proofErr w:type="spellStart"/>
      <w:r>
        <w:rPr>
          <w:rtl/>
        </w:rPr>
        <w:t>בברדיצ׳ב</w:t>
      </w:r>
      <w:proofErr w:type="spellEnd"/>
      <w:r>
        <w:rPr>
          <w:rtl/>
        </w:rPr>
        <w:t xml:space="preserve">. כעבור שנתיים נעשה מורה ללשון העברית ולדקדוקה בבית המדרש לרבנים </w:t>
      </w:r>
      <w:proofErr w:type="spellStart"/>
      <w:r>
        <w:rPr>
          <w:rtl/>
        </w:rPr>
        <w:t>בז׳יטומיר</w:t>
      </w:r>
      <w:proofErr w:type="spellEnd"/>
      <w:r>
        <w:rPr>
          <w:rtl/>
        </w:rPr>
        <w:t>, עד שנסגר המוסד בגזירת הממשלה בשנת 1873. את שארית ימיו עשה בעוני, נתמך בידי תלמידיו לשעבר.</w:t>
      </w:r>
    </w:p>
    <w:p w14:paraId="32DE049C" w14:textId="77777777" w:rsidR="00AB3647" w:rsidRDefault="00000000" w:rsidP="007923E9">
      <w:pPr>
        <w:spacing w:before="120" w:after="100" w:line="276" w:lineRule="auto"/>
        <w:jc w:val="both"/>
      </w:pPr>
      <w:r>
        <w:rPr>
          <w:rtl/>
        </w:rPr>
        <w:t xml:space="preserve">חיבורו החשוב ביותר היה “מורה הלשון”, המיוסד על עקרונות שקבע מורו ש. </w:t>
      </w:r>
      <w:proofErr w:type="spellStart"/>
      <w:r>
        <w:rPr>
          <w:rtl/>
        </w:rPr>
        <w:t>פינסקר</w:t>
      </w:r>
      <w:proofErr w:type="spellEnd"/>
      <w:r>
        <w:rPr>
          <w:rtl/>
        </w:rPr>
        <w:t xml:space="preserve">. הספר יצא לאור לראשונה בשנת 1859 ונדפס בשבע מהדורות בחייו; מן המהדורה הרביעית ואילך הוסיף לו הערות. מהדורה שמינית נדפסה אחרי מותו, בשנת 1893, עם נספח, “ילקוט חז״ל”, </w:t>
      </w:r>
      <w:r>
        <w:rPr>
          <w:rtl/>
        </w:rPr>
        <w:lastRenderedPageBreak/>
        <w:t xml:space="preserve">ובו ביאורים לפסוקים קשים במקרא ופירושים עליהם. בסך הכול יצאו לאור </w:t>
      </w:r>
      <w:proofErr w:type="spellStart"/>
      <w:r>
        <w:rPr>
          <w:rtl/>
        </w:rPr>
        <w:t>שלוש־עשרה</w:t>
      </w:r>
      <w:proofErr w:type="spellEnd"/>
      <w:r>
        <w:rPr>
          <w:rtl/>
        </w:rPr>
        <w:t xml:space="preserve"> מהדורות, האחרונה בשנת 1909. לרנר כתב גם ספר על ברייתא </w:t>
      </w:r>
      <w:proofErr w:type="spellStart"/>
      <w:r>
        <w:rPr>
          <w:rtl/>
        </w:rPr>
        <w:t>דל״ב</w:t>
      </w:r>
      <w:proofErr w:type="spellEnd"/>
      <w:r>
        <w:rPr>
          <w:rtl/>
        </w:rPr>
        <w:t xml:space="preserve"> מידות.</w:t>
      </w:r>
      <w:bookmarkStart w:id="1005" w:name="_fnr608"/>
      <w:r>
        <w:rPr>
          <w:rStyle w:val="a5"/>
        </w:rPr>
        <w:footnoteReference w:id="608" w:customMarkFollows="0"/>
      </w:r>
      <w:bookmarkEnd w:id="1005"/>
      <w:r>
        <w:rPr>
          <w:rtl/>
        </w:rPr>
        <w:t xml:space="preserve"> אבי השתמש כנראה במהדורה שלאחר מותו, האחרונה שהייתה בזמנו, מהדורת תרנ״ג.</w:t>
      </w:r>
    </w:p>
    <w:p w14:paraId="0A63ABBE" w14:textId="77777777" w:rsidR="00AB3647" w:rsidRDefault="00000000" w:rsidP="007923E9">
      <w:pPr>
        <w:spacing w:after="100" w:line="276" w:lineRule="auto"/>
        <w:ind w:firstLine="340"/>
        <w:jc w:val="both"/>
      </w:pPr>
      <w:r>
        <w:rPr>
          <w:rtl/>
        </w:rPr>
        <w:t xml:space="preserve">אבי קרא גם את התנ״ך של משה מנדלסון עם </w:t>
      </w:r>
      <w:proofErr w:type="spellStart"/>
      <w:r>
        <w:rPr>
          <w:rtl/>
        </w:rPr>
        <w:t>ה“ביאור</w:t>
      </w:r>
      <w:proofErr w:type="spellEnd"/>
      <w:r>
        <w:rPr>
          <w:rtl/>
        </w:rPr>
        <w:t xml:space="preserve">” – כך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proofErr w:type="spellEnd"/>
      <w:r>
        <w:rPr>
          <w:rtl/>
        </w:rPr>
        <w:t>.</w:t>
      </w:r>
      <w:bookmarkStart w:id="1006" w:name="_fnr609"/>
      <w:r>
        <w:rPr>
          <w:rStyle w:val="a5"/>
        </w:rPr>
        <w:footnoteReference w:id="609" w:customMarkFollows="0"/>
      </w:r>
      <w:bookmarkEnd w:id="1006"/>
      <w:r>
        <w:rPr>
          <w:rtl/>
        </w:rPr>
        <w:t xml:space="preserve"> אבל סבורים שהיה זה בזמן מאוחר יותר, כנראה בתקופת כהונתו כרב </w:t>
      </w:r>
      <w:proofErr w:type="spellStart"/>
      <w:r>
        <w:rPr>
          <w:rtl/>
        </w:rPr>
        <w:t>ציטוביאן</w:t>
      </w:r>
      <w:proofErr w:type="spellEnd"/>
      <w:r>
        <w:rPr>
          <w:rtl/>
        </w:rPr>
        <w:t>.</w:t>
      </w:r>
    </w:p>
    <w:bookmarkStart w:id="1007" w:name="b2_note60"/>
    <w:p w14:paraId="2CC04E0C" w14:textId="77777777" w:rsidR="00AB3647" w:rsidRDefault="00000000" w:rsidP="007923E9">
      <w:pPr>
        <w:spacing w:before="120" w:after="100" w:line="276" w:lineRule="auto"/>
        <w:jc w:val="both"/>
      </w:pPr>
      <w:r>
        <w:fldChar w:fldCharType="begin" w:dirty="true"/>
      </w:r>
      <w:r>
        <w:instrText>HYPERLINK \l "b2_ref60"</w:instrText>
      </w:r>
      <w:r>
        <w:fldChar w:fldCharType="separate"/>
      </w:r>
      <w:r>
        <w:rPr>
          <w:b/>
          <w:bCs/>
          <w:rtl/>
        </w:rPr>
        <w:t>60</w:t>
      </w:r>
      <w:r>
        <w:rPr>
          <w:b/>
          <w:bCs/>
        </w:rPr>
        <w:fldChar w:fldCharType="end"/>
      </w:r>
      <w:bookmarkEnd w:id="1007"/>
      <w:r>
        <w:rPr>
          <w:rtl/>
        </w:rPr>
        <w:t xml:space="preserve"> המשיבה במכתב, הדודה דבורה.</w:t>
      </w:r>
      <w:bookmarkStart w:id="1008" w:name="_fnr610"/>
      <w:r>
        <w:rPr>
          <w:rStyle w:val="a5"/>
        </w:rPr>
        <w:footnoteReference w:id="610" w:customMarkFollows="0"/>
      </w:r>
      <w:bookmarkEnd w:id="1008"/>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אבי עוד המשיך לבקר מפעם לפעם בבית בני דודו, עד שסיים את ספרייתם.</w:t>
      </w:r>
    </w:p>
    <w:p w14:paraId="687EFAC6" w14:textId="77777777" w:rsidR="00AB3647" w:rsidRDefault="00000000" w:rsidP="007923E9">
      <w:pPr>
        <w:spacing w:after="100" w:line="276" w:lineRule="auto"/>
        <w:ind w:firstLine="340"/>
        <w:jc w:val="both"/>
      </w:pPr>
      <w:r>
        <w:rPr>
          <w:rtl/>
        </w:rPr>
        <w:t xml:space="preserve">הדודה דבורה לא ידעה מתי בדיוק נפלה החלטתו לעבור לשול </w:t>
      </w:r>
      <w:proofErr w:type="spellStart"/>
      <w:r>
        <w:rPr>
          <w:rtl/>
        </w:rPr>
        <w:t>הקצבים</w:t>
      </w:r>
      <w:proofErr w:type="spellEnd"/>
      <w:r>
        <w:rPr>
          <w:rtl/>
        </w:rPr>
        <w:t xml:space="preserve">. אם היה זה אחרי שבא אהרן פינס לביקור בשול </w:t>
      </w:r>
      <w:proofErr w:type="spellStart"/>
      <w:r>
        <w:rPr>
          <w:rtl/>
        </w:rPr>
        <w:t>הקצבים</w:t>
      </w:r>
      <w:proofErr w:type="spellEnd"/>
      <w:r>
        <w:rPr>
          <w:rtl/>
        </w:rPr>
        <w:t xml:space="preserve">, כמסופר בסעיף 3 בפרק זה, בפסקה הפותחת “בשול </w:t>
      </w:r>
      <w:proofErr w:type="spellStart"/>
      <w:r>
        <w:rPr>
          <w:rtl/>
        </w:rPr>
        <w:t>הקצבים</w:t>
      </w:r>
      <w:proofErr w:type="spellEnd"/>
      <w:r>
        <w:rPr>
          <w:rtl/>
        </w:rPr>
        <w:t xml:space="preserve"> התיידד אבי”, נוכל לשער בבטחה שפגישתו של אבי עם ר׳ אהרן הייתה גורם בהחלטתו. ייתכן שהנער סיפר לו כיצד לקחו אותו קרוביו </w:t>
      </w:r>
      <w:proofErr w:type="spellStart"/>
      <w:r>
        <w:rPr>
          <w:rtl/>
        </w:rPr>
        <w:t>לקרינק</w:t>
      </w:r>
      <w:proofErr w:type="spellEnd"/>
      <w:r>
        <w:rPr>
          <w:rtl/>
        </w:rPr>
        <w:t xml:space="preserve"> אחרי שנפטר אביו, הרחק מאחיו ואחיותיו שאינם דתיים (ראה שם, בהמשך), ורבנו החליט שגם הוא חייב להתרחק מקרוביו שסרו מן הדרך.</w:t>
      </w:r>
    </w:p>
    <w:p w14:paraId="6A6764A7" w14:textId="241C9E8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סוף זמן הקיץ של תרס״ד כבר קנה לו אבי די כבוד בישיבת שול </w:t>
      </w:r>
      <w:proofErr w:type="spellStart"/>
      <w:r>
        <w:rPr>
          <w:rtl/>
        </w:rPr>
        <w:t>הקצבים</w:t>
      </w:r>
      <w:proofErr w:type="spellEnd"/>
      <w:r>
        <w:rPr>
          <w:rtl/>
        </w:rPr>
        <w:t xml:space="preserve"> כדי לזכות ב“חזקה”</w:t>
      </w:r>
      <w:bookmarkStart w:id="1009" w:name="b2_ref61"/>
      <w:bookmarkEnd w:id="1009"/>
      <w:r>
        <w:rPr>
          <w:vertAlign w:val="superscript"/>
          <w:rtl/>
        </w:rPr>
        <w:fldChar w:fldCharType="begin" w:dirty="true"/>
      </w:r>
      <w:r>
        <w:rPr>
          <w:vertAlign w:val="superscript"/>
          <w:rtl/>
        </w:rPr>
        <w:instrText xml:space="preserve"> REF b2_note61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xml:space="preserve"> מן המעלה הראשונה על המדף שליד התנור – מקום מבוקש בסתיו </w:t>
      </w:r>
      <w:proofErr w:type="spellStart"/>
      <w:r>
        <w:rPr>
          <w:rtl/>
        </w:rPr>
        <w:t>הבלארוסי</w:t>
      </w:r>
      <w:proofErr w:type="spellEnd"/>
      <w:r>
        <w:rPr>
          <w:rtl/>
        </w:rPr>
        <w:t xml:space="preserve"> הקר. בלילה צונן אחד, כשהוסק התנור, נדלקו כלי מיטתו, אך למרבה המזל יצא בלי פגע. במקום הסדין והשמיכה שנשרפו השיג כמה שקים משומשים.</w:t>
      </w:r>
      <w:bookmarkStart w:id="1010" w:name="b2_ref62"/>
      <w:bookmarkEnd w:id="1010"/>
      <w:r>
        <w:rPr>
          <w:vertAlign w:val="superscript"/>
          <w:rtl/>
        </w:rPr>
        <w:fldChar w:fldCharType="begin" w:dirty="true"/>
      </w:r>
      <w:r>
        <w:rPr>
          <w:vertAlign w:val="superscript"/>
          <w:rtl/>
        </w:rPr>
        <w:instrText xml:space="preserve"> REF b2_note62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xml:space="preserve"> בחורף של השנה המעוברת שבאה אחר כך למדה הישיבה את כל מסכת יבמות.</w:t>
      </w:r>
      <w:bookmarkStart w:id="1011" w:name="b2_ref63"/>
      <w:bookmarkEnd w:id="1011"/>
      <w:r>
        <w:rPr>
          <w:vertAlign w:val="superscript"/>
          <w:rtl/>
        </w:rPr>
        <w:fldChar w:fldCharType="begin" w:dirty="true"/>
      </w:r>
      <w:r>
        <w:rPr>
          <w:vertAlign w:val="superscript"/>
          <w:rtl/>
        </w:rPr>
        <w:instrText xml:space="preserve"> REF b2_note63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p>
    <w:bookmarkStart w:id="1012" w:name="b2_note61"/>
    <w:p w14:paraId="1B8D5BFF" w14:textId="78FA1893" w:rsidR="00AB3647" w:rsidRDefault="00000000" w:rsidP="007923E9">
      <w:pPr>
        <w:spacing w:before="120" w:after="100" w:line="276" w:lineRule="auto"/>
        <w:jc w:val="both"/>
      </w:pPr>
      <w:r>
        <w:fldChar w:fldCharType="begin" w:dirty="true"/>
      </w:r>
      <w:r>
        <w:instrText>HYPERLINK \l "b2_ref61"</w:instrText>
      </w:r>
      <w:r>
        <w:fldChar w:fldCharType="separate"/>
      </w:r>
      <w:r>
        <w:rPr>
          <w:b/>
          <w:bCs/>
          <w:rtl/>
        </w:rPr>
        <w:t>61</w:t>
      </w:r>
      <w:r>
        <w:rPr>
          <w:b/>
          <w:bCs/>
        </w:rPr>
        <w:fldChar w:fldCharType="end"/>
      </w:r>
      <w:bookmarkEnd w:id="1012"/>
      <w:r>
        <w:rPr>
          <w:rtl/>
        </w:rPr>
        <w:t xml:space="preserve"> השווה הערה </w:t>
      </w:r>
      <w:r>
        <w:rPr>
          <w:rtl/>
        </w:rPr>
        <w:fldChar w:fldCharType="begin" w:dirty="true"/>
      </w:r>
      <w:r>
        <w:rPr>
          <w:rtl/>
        </w:rPr>
        <w:instrText xml:space="preserve"> REF b2_note41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41</w:t>
      </w:r>
      <w:r>
        <w:rPr>
          <w:rtl/>
        </w:rPr>
        <w:fldChar w:fldCharType="end"/>
      </w:r>
      <w:r>
        <w:rPr>
          <w:rtl/>
        </w:rPr>
        <w:t xml:space="preserve"> לעיל.</w:t>
      </w:r>
    </w:p>
    <w:bookmarkStart w:id="1013" w:name="b2_note62"/>
    <w:p w14:paraId="190F0CBF" w14:textId="77777777" w:rsidR="00AB3647" w:rsidRDefault="00000000" w:rsidP="007923E9">
      <w:pPr>
        <w:spacing w:before="120" w:after="100" w:line="276" w:lineRule="auto"/>
        <w:jc w:val="both"/>
      </w:pPr>
      <w:r>
        <w:fldChar w:fldCharType="begin" w:dirty="true"/>
      </w:r>
      <w:r>
        <w:instrText>HYPERLINK \l "b2_ref62"</w:instrText>
      </w:r>
      <w:r>
        <w:fldChar w:fldCharType="separate"/>
      </w:r>
      <w:r>
        <w:rPr>
          <w:b/>
          <w:bCs/>
          <w:rtl/>
        </w:rPr>
        <w:t>62</w:t>
      </w:r>
      <w:r>
        <w:rPr>
          <w:b/>
          <w:bCs/>
        </w:rPr>
        <w:fldChar w:fldCharType="end"/>
      </w:r>
      <w:bookmarkEnd w:id="1013"/>
      <w:r>
        <w:rPr>
          <w:rtl/>
        </w:rPr>
        <w:t xml:space="preserve"> כך לפי הדודה דבורה. אני משער שלתקופה זו בחייו התכוון אבי כשהעיר פעם: “אנו מפונקים, ישנים בפיג׳מות. פעם היו אנשים פשוט חולצים את נעליהם וישנים בבגדיהם.”</w:t>
      </w:r>
      <w:bookmarkStart w:id="1014" w:name="_fnr611"/>
      <w:r>
        <w:rPr>
          <w:rStyle w:val="a5"/>
        </w:rPr>
        <w:footnoteReference w:id="611" w:customMarkFollows="0"/>
      </w:r>
      <w:bookmarkEnd w:id="1014"/>
    </w:p>
    <w:bookmarkStart w:id="1015" w:name="b2_note63"/>
    <w:p w14:paraId="7168BD52" w14:textId="77777777" w:rsidR="00AB3647" w:rsidRDefault="00000000" w:rsidP="007923E9">
      <w:pPr>
        <w:spacing w:before="120" w:after="100" w:line="276" w:lineRule="auto"/>
        <w:jc w:val="both"/>
      </w:pPr>
      <w:r>
        <w:fldChar w:fldCharType="begin" w:dirty="true"/>
      </w:r>
      <w:r>
        <w:instrText>HYPERLINK \l "b2_ref63"</w:instrText>
      </w:r>
      <w:r>
        <w:fldChar w:fldCharType="separate"/>
      </w:r>
      <w:r>
        <w:rPr>
          <w:b/>
          <w:bCs/>
          <w:rtl/>
        </w:rPr>
        <w:t>63</w:t>
      </w:r>
      <w:r>
        <w:rPr>
          <w:b/>
          <w:bCs/>
        </w:rPr>
        <w:fldChar w:fldCharType="end"/>
      </w:r>
      <w:bookmarkEnd w:id="1015"/>
      <w:r>
        <w:rPr>
          <w:rtl/>
        </w:rPr>
        <w:t xml:space="preserve"> בני ר׳ יוסף.</w:t>
      </w:r>
      <w:bookmarkStart w:id="1016" w:name="_fnr612"/>
      <w:r>
        <w:rPr>
          <w:rStyle w:val="a5"/>
        </w:rPr>
        <w:footnoteReference w:id="612" w:customMarkFollows="0"/>
      </w:r>
      <w:bookmarkEnd w:id="1016"/>
      <w:r>
        <w:rPr>
          <w:rtl/>
        </w:rPr>
        <w:t xml:space="preserve"> כשסיפר לו אבי זאת השתומם בני, ושאל: “האם עם כל התוספות?” רבנו צחק ואמר: “ודאי שלא. בגיל </w:t>
      </w:r>
      <w:proofErr w:type="spellStart"/>
      <w:r>
        <w:rPr>
          <w:rtl/>
        </w:rPr>
        <w:t>ארבע־עשרה</w:t>
      </w:r>
      <w:proofErr w:type="spellEnd"/>
      <w:r>
        <w:rPr>
          <w:rtl/>
        </w:rPr>
        <w:t xml:space="preserve"> למדנו רק תוספות אחד פה ואחד שם.”</w:t>
      </w:r>
    </w:p>
    <w:p w14:paraId="5A33ECF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בתחילת החורף אירעה התפתחות חשובה בחיי אבי. </w:t>
      </w:r>
      <w:proofErr w:type="spellStart"/>
      <w:r>
        <w:rPr>
          <w:rtl/>
        </w:rPr>
        <w:t>אחד־עשר</w:t>
      </w:r>
      <w:proofErr w:type="spellEnd"/>
      <w:r>
        <w:rPr>
          <w:rtl/>
        </w:rPr>
        <w:t xml:space="preserve"> חודשים אחרי שעבר ר׳ </w:t>
      </w:r>
      <w:proofErr w:type="spellStart"/>
      <w:r>
        <w:rPr>
          <w:rtl/>
        </w:rPr>
        <w:t>שמואל־הירש</w:t>
      </w:r>
      <w:proofErr w:type="spellEnd"/>
      <w:r>
        <w:rPr>
          <w:rtl/>
        </w:rPr>
        <w:t xml:space="preserve"> למינסק, החליטו ר׳ בנימין </w:t>
      </w:r>
      <w:proofErr w:type="spellStart"/>
      <w:r>
        <w:rPr>
          <w:rtl/>
        </w:rPr>
        <w:t>ועטיל</w:t>
      </w:r>
      <w:proofErr w:type="spellEnd"/>
      <w:r>
        <w:rPr>
          <w:rtl/>
        </w:rPr>
        <w:t xml:space="preserve"> לעבור גם הם לשם. לא הייתה להם עוד פרנסה שתחזיק אותם </w:t>
      </w:r>
      <w:proofErr w:type="spellStart"/>
      <w:r>
        <w:rPr>
          <w:rtl/>
        </w:rPr>
        <w:t>בדולהינוב</w:t>
      </w:r>
      <w:proofErr w:type="spellEnd"/>
      <w:r>
        <w:rPr>
          <w:rtl/>
        </w:rPr>
        <w:t xml:space="preserve">, והם הבינו שסופם להיאלץ לשלוח את כל ילדיהם לעיר הגדולה. הם הודיעו </w:t>
      </w:r>
      <w:proofErr w:type="spellStart"/>
      <w:r>
        <w:rPr>
          <w:rtl/>
        </w:rPr>
        <w:t>לחיים־זרח</w:t>
      </w:r>
      <w:proofErr w:type="spellEnd"/>
      <w:r>
        <w:rPr>
          <w:rtl/>
        </w:rPr>
        <w:t xml:space="preserve"> על החלטתם, והוא מצא בשבילם בית לשכור ברחוב </w:t>
      </w:r>
      <w:proofErr w:type="spellStart"/>
      <w:r>
        <w:rPr>
          <w:rtl/>
        </w:rPr>
        <w:t>בוגדלניה</w:t>
      </w:r>
      <w:proofErr w:type="spellEnd"/>
      <w:r>
        <w:rPr>
          <w:rtl/>
        </w:rPr>
        <w:t>.</w:t>
      </w:r>
    </w:p>
    <w:p w14:paraId="1517D65F"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במשך כמעט שנתיים וחצי ששהה אבי בעיר הגדולה לא ראו אותו הוריו, כי לא יכלו לעמוד בהוצאות הנסיעה בין מינסק </w:t>
      </w:r>
      <w:proofErr w:type="spellStart"/>
      <w:r>
        <w:rPr>
          <w:rtl/>
        </w:rPr>
        <w:t>לדולהינוב</w:t>
      </w:r>
      <w:proofErr w:type="spellEnd"/>
      <w:r>
        <w:rPr>
          <w:rtl/>
        </w:rPr>
        <w:t xml:space="preserve"> כדי להביאו הביתה לביקור. הם שמחו לראות כיצד צמח מילד לנער מתבגר. הוא העביר את מעט חפציו מן </w:t>
      </w:r>
      <w:proofErr w:type="spellStart"/>
      <w:r>
        <w:rPr>
          <w:rtl/>
        </w:rPr>
        <w:t>ה“חזקה</w:t>
      </w:r>
      <w:proofErr w:type="spellEnd"/>
      <w:r>
        <w:rPr>
          <w:rtl/>
        </w:rPr>
        <w:t xml:space="preserve">” שלו בשול </w:t>
      </w:r>
      <w:proofErr w:type="spellStart"/>
      <w:r>
        <w:rPr>
          <w:rtl/>
        </w:rPr>
        <w:t>הקצבים</w:t>
      </w:r>
      <w:proofErr w:type="spellEnd"/>
      <w:r>
        <w:rPr>
          <w:rtl/>
        </w:rPr>
        <w:t xml:space="preserve"> לבית הוריו, והשאלה הראשונה ששאלה </w:t>
      </w:r>
      <w:proofErr w:type="spellStart"/>
      <w:r>
        <w:rPr>
          <w:rtl/>
        </w:rPr>
        <w:t>אמו</w:t>
      </w:r>
      <w:proofErr w:type="spellEnd"/>
      <w:r>
        <w:rPr>
          <w:rtl/>
        </w:rPr>
        <w:t xml:space="preserve"> הייתה היכן כלי מיטתו. כשגילה לה שנשרפו באש, פרצה בבכי ויבבה במרירות: “הלא יכולת להיפגע!”</w:t>
      </w:r>
    </w:p>
    <w:p w14:paraId="4E87A4EC" w14:textId="2D8DAB7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כדי להשתכר כמה רובלים החלה </w:t>
      </w:r>
      <w:proofErr w:type="spellStart"/>
      <w:r>
        <w:rPr>
          <w:rtl/>
        </w:rPr>
        <w:t>עטיל</w:t>
      </w:r>
      <w:proofErr w:type="spellEnd"/>
      <w:r>
        <w:rPr>
          <w:rtl/>
        </w:rPr>
        <w:t xml:space="preserve"> לבשל ארוחות לבני הקהל הגדול של הסטודנטים החילונים שבעיר. מעולם לא דחתה סטודנט, גם אם יכול היה לשלם בעד האוכל רק בכך שנתן שיעור חינם לאחד מילדיה הצעירים. גם </w:t>
      </w:r>
      <w:proofErr w:type="spellStart"/>
      <w:r>
        <w:rPr>
          <w:rtl/>
        </w:rPr>
        <w:t>חיים־זרח</w:t>
      </w:r>
      <w:proofErr w:type="spellEnd"/>
      <w:r>
        <w:rPr>
          <w:rtl/>
        </w:rPr>
        <w:t xml:space="preserve"> חזר לגור בבית ותרם את כל שכרו לקופת המשפחה, וכך גם הבוגרת שבבנות, דבורה, שהתחילה באותו זמן לעבוד כרוקמת.</w:t>
      </w:r>
      <w:bookmarkStart w:id="1017" w:name="b2_ref64"/>
      <w:bookmarkEnd w:id="1017"/>
      <w:r>
        <w:rPr>
          <w:vertAlign w:val="superscript"/>
          <w:rtl/>
        </w:rPr>
        <w:fldChar w:fldCharType="begin" w:dirty="true"/>
      </w:r>
      <w:r>
        <w:rPr>
          <w:vertAlign w:val="superscript"/>
          <w:rtl/>
        </w:rPr>
        <w:instrText xml:space="preserve"> REF b2_note64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p>
    <w:bookmarkStart w:id="1018" w:name="b2_note64"/>
    <w:p w14:paraId="44CEC43B" w14:textId="77777777" w:rsidR="00AB3647" w:rsidRDefault="00000000" w:rsidP="007923E9">
      <w:pPr>
        <w:spacing w:before="120" w:after="100" w:line="276" w:lineRule="auto"/>
        <w:jc w:val="both"/>
      </w:pPr>
      <w:r>
        <w:fldChar w:fldCharType="begin" w:dirty="true"/>
      </w:r>
      <w:r>
        <w:instrText>HYPERLINK \l "b2_ref64"</w:instrText>
      </w:r>
      <w:r>
        <w:fldChar w:fldCharType="separate"/>
      </w:r>
      <w:r>
        <w:rPr>
          <w:b/>
          <w:bCs/>
          <w:rtl/>
        </w:rPr>
        <w:t>64</w:t>
      </w:r>
      <w:r>
        <w:rPr>
          <w:b/>
          <w:bCs/>
        </w:rPr>
        <w:fldChar w:fldCharType="end"/>
      </w:r>
      <w:bookmarkEnd w:id="1018"/>
      <w:r>
        <w:rPr>
          <w:rtl/>
        </w:rPr>
        <w:t xml:space="preserve"> הדודה דבורה.</w:t>
      </w:r>
      <w:bookmarkStart w:id="1019" w:name="_fnr613"/>
      <w:r>
        <w:rPr>
          <w:rStyle w:val="a5"/>
        </w:rPr>
        <w:footnoteReference w:id="613" w:customMarkFollows="0"/>
      </w:r>
      <w:bookmarkEnd w:id="1019"/>
    </w:p>
    <w:p w14:paraId="4B4AE4BF" w14:textId="2EF731E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אפילו ילדיה הצעירים של משפחת </w:t>
      </w:r>
      <w:proofErr w:type="spellStart"/>
      <w:r>
        <w:rPr>
          <w:rtl/>
        </w:rPr>
        <w:t>קמינצקי</w:t>
      </w:r>
      <w:proofErr w:type="spellEnd"/>
      <w:r>
        <w:rPr>
          <w:rtl/>
        </w:rPr>
        <w:t xml:space="preserve"> ידעו מעצמם שהם עניים בהרבה מקרוביהם שבמינסק, ושמביטים עליהם מלמעלה משום שקיבלו על עצמם עבודות פשוטות.</w:t>
      </w:r>
      <w:bookmarkStart w:id="1020" w:name="b2_ref65"/>
      <w:bookmarkEnd w:id="1020"/>
      <w:r>
        <w:rPr>
          <w:vertAlign w:val="superscript"/>
          <w:rtl/>
        </w:rPr>
        <w:fldChar w:fldCharType="begin" w:dirty="true"/>
      </w:r>
      <w:r>
        <w:rPr>
          <w:vertAlign w:val="superscript"/>
          <w:rtl/>
        </w:rPr>
        <w:instrText xml:space="preserve"> REF b2_note65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ואף על פי כן קינאו הקרובים האמידים בהרבה באווירה ששררה בבית </w:t>
      </w:r>
      <w:r>
        <w:rPr>
          <w:b/>
          <w:bCs/>
          <w:rtl/>
        </w:rPr>
        <w:t xml:space="preserve">משפחת </w:t>
      </w:r>
      <w:proofErr w:type="spellStart"/>
      <w:r>
        <w:rPr>
          <w:b/>
          <w:bCs/>
          <w:rtl/>
        </w:rPr>
        <w:t>קמינצקי</w:t>
      </w:r>
      <w:proofErr w:type="spellEnd"/>
      <w:r>
        <w:rPr>
          <w:rtl/>
        </w:rPr>
        <w:t xml:space="preserve">: </w:t>
      </w:r>
      <w:proofErr w:type="spellStart"/>
      <w:r>
        <w:rPr>
          <w:rtl/>
        </w:rPr>
        <w:t>אי־ציות</w:t>
      </w:r>
      <w:proofErr w:type="spellEnd"/>
      <w:r>
        <w:rPr>
          <w:rtl/>
        </w:rPr>
        <w:t xml:space="preserve"> להורים לא עלה על הדעת, ואפילו מריבות בין הילדים היו נדירות ביותר. אבי ישב בשול </w:t>
      </w:r>
      <w:proofErr w:type="spellStart"/>
      <w:r>
        <w:rPr>
          <w:rtl/>
        </w:rPr>
        <w:t>הקצבים</w:t>
      </w:r>
      <w:proofErr w:type="spellEnd"/>
      <w:r>
        <w:rPr>
          <w:rtl/>
        </w:rPr>
        <w:t xml:space="preserve"> עד שעה מאוחרת בלילה, וחזר הביתה מאוחר מדי לארוחת הערב; </w:t>
      </w:r>
      <w:proofErr w:type="spellStart"/>
      <w:r>
        <w:rPr>
          <w:rtl/>
        </w:rPr>
        <w:t>אמו</w:t>
      </w:r>
      <w:proofErr w:type="spellEnd"/>
      <w:r>
        <w:rPr>
          <w:rtl/>
        </w:rPr>
        <w:t xml:space="preserve"> הייתה מניחה לו קערת תפוחים, או ענבים ותפוזים, שהיו דבר נדיר, כדי שייהנה מהם – והילדים העובדים לא התלוננו. הם לא נגעו בפירות היקרים, אף שעמלם הוא שסיפק את רוב הכנסת הבית. בין אבי ובין אחיו ואחיותיו ניכר קשר חם, למרות הפער שהלך וגדל בין השקפותיהם.</w:t>
      </w:r>
    </w:p>
    <w:bookmarkStart w:id="1021" w:name="b2_note65"/>
    <w:p w14:paraId="13366103" w14:textId="77777777" w:rsidR="00AB3647" w:rsidRDefault="00000000" w:rsidP="007923E9">
      <w:pPr>
        <w:spacing w:before="120" w:after="100" w:line="276" w:lineRule="auto"/>
        <w:jc w:val="both"/>
      </w:pPr>
      <w:r>
        <w:fldChar w:fldCharType="begin" w:dirty="true"/>
      </w:r>
      <w:r>
        <w:instrText>HYPERLINK \l "b2_ref65"</w:instrText>
      </w:r>
      <w:r>
        <w:fldChar w:fldCharType="separate"/>
      </w:r>
      <w:r>
        <w:rPr>
          <w:b/>
          <w:bCs/>
          <w:rtl/>
        </w:rPr>
        <w:t>65</w:t>
      </w:r>
      <w:r>
        <w:rPr>
          <w:b/>
          <w:bCs/>
        </w:rPr>
        <w:fldChar w:fldCharType="end"/>
      </w:r>
      <w:bookmarkEnd w:id="1021"/>
      <w:r>
        <w:rPr>
          <w:rtl/>
        </w:rPr>
        <w:t xml:space="preserve"> הדודה דבורה כתבה:</w:t>
      </w:r>
      <w:bookmarkStart w:id="1022" w:name="_fnr614"/>
      <w:r>
        <w:rPr>
          <w:rStyle w:val="a5"/>
        </w:rPr>
        <w:footnoteReference w:id="614" w:customMarkFollows="0"/>
      </w:r>
      <w:bookmarkEnd w:id="1022"/>
      <w:r>
        <w:rPr>
          <w:rtl/>
        </w:rPr>
        <w:t xml:space="preserve"> “כשהייתי מבקרת אצל דודתנו העשירה, דבורה [</w:t>
      </w:r>
      <w:proofErr w:type="spellStart"/>
      <w:r>
        <w:rPr>
          <w:rtl/>
        </w:rPr>
        <w:t>במדס</w:t>
      </w:r>
      <w:proofErr w:type="spellEnd"/>
      <w:r>
        <w:rPr>
          <w:rtl/>
        </w:rPr>
        <w:t xml:space="preserve">], באותו זמן שביקרה שם בת דודי שהייתה בת גילי, היו מכבדים את האורחת האחרת הרבה יותר ממני; לכן חדלתי לבקר שם.” לא הפתיע אותה לגמרי שאחיה הצעיר, יודל, נעשה קומוניסט נלהב בגיל </w:t>
      </w:r>
      <w:proofErr w:type="spellStart"/>
      <w:r>
        <w:rPr>
          <w:rtl/>
        </w:rPr>
        <w:t>שמונה־עשרה</w:t>
      </w:r>
      <w:proofErr w:type="spellEnd"/>
      <w:r>
        <w:rPr>
          <w:rtl/>
        </w:rPr>
        <w:t>, והאמין בתמימות שהוא נלחם לבנות עולם צודק על חורבות הסדר הישן. בפגישתי עם הדודה דבורה סיפרה לי שהיא, “הנאמנה לכל שלטון שהיה באותה עת”,</w:t>
      </w:r>
      <w:bookmarkStart w:id="1023" w:name="_fnr615"/>
      <w:r>
        <w:rPr>
          <w:rStyle w:val="a5"/>
        </w:rPr>
        <w:footnoteReference w:id="615" w:customMarkFollows="0"/>
      </w:r>
      <w:bookmarkEnd w:id="1023"/>
      <w:r>
        <w:rPr>
          <w:rtl/>
        </w:rPr>
        <w:t xml:space="preserve"> הזהירה את יודל לפני הפלת המלוכה: “יום אחד עוד נמצא את עצמנו נלחמים משני צדי המתרסים.”</w:t>
      </w:r>
    </w:p>
    <w:p w14:paraId="2834599A" w14:textId="0C3FEF2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בשול </w:t>
      </w:r>
      <w:proofErr w:type="spellStart"/>
      <w:r>
        <w:rPr>
          <w:rtl/>
        </w:rPr>
        <w:t>הקצבים</w:t>
      </w:r>
      <w:proofErr w:type="spellEnd"/>
      <w:r>
        <w:rPr>
          <w:rtl/>
        </w:rPr>
        <w:t xml:space="preserve"> התיידד אבי עם נער מבריק מאוד שבא לשם לתקופת ביקור בתחילת שנת תרס״ה. היה זה היתום אהרן פינס,</w:t>
      </w:r>
      <w:bookmarkStart w:id="1024" w:name="b2_ref66"/>
      <w:bookmarkEnd w:id="1024"/>
      <w:r>
        <w:rPr>
          <w:vertAlign w:val="superscript"/>
          <w:rtl/>
        </w:rPr>
        <w:fldChar w:fldCharType="begin" w:dirty="true"/>
      </w:r>
      <w:r>
        <w:rPr>
          <w:vertAlign w:val="superscript"/>
          <w:rtl/>
        </w:rPr>
        <w:instrText xml:space="preserve"> REF b2_note66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הצעיר ממנו בעשרה חודשים,</w:t>
      </w:r>
      <w:bookmarkStart w:id="1025" w:name="b2_ref67"/>
      <w:bookmarkEnd w:id="1025"/>
      <w:r>
        <w:rPr>
          <w:vertAlign w:val="superscript"/>
          <w:rtl/>
        </w:rPr>
        <w:fldChar w:fldCharType="begin" w:dirty="true"/>
      </w:r>
      <w:r>
        <w:rPr>
          <w:vertAlign w:val="superscript"/>
          <w:rtl/>
        </w:rPr>
        <w:instrText xml:space="preserve"> REF b2_note67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ורבנו היה מביא אותו לביתו לארוחה קבועה ולפעמים למשחק שחמט.</w:t>
      </w:r>
      <w:bookmarkStart w:id="1026" w:name="b2_ref68"/>
      <w:bookmarkEnd w:id="1026"/>
      <w:r>
        <w:rPr>
          <w:vertAlign w:val="superscript"/>
          <w:rtl/>
        </w:rPr>
        <w:fldChar w:fldCharType="begin" w:dirty="true"/>
      </w:r>
      <w:r>
        <w:rPr>
          <w:vertAlign w:val="superscript"/>
          <w:rtl/>
        </w:rPr>
        <w:instrText xml:space="preserve"> REF b2_note68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אהרן היה יתום מאביו ומאמו:</w:t>
      </w:r>
      <w:bookmarkStart w:id="1027" w:name="b2_ref69"/>
      <w:bookmarkEnd w:id="1027"/>
      <w:r>
        <w:rPr>
          <w:vertAlign w:val="superscript"/>
          <w:rtl/>
        </w:rPr>
        <w:fldChar w:fldCharType="begin" w:dirty="true"/>
      </w:r>
      <w:r>
        <w:rPr>
          <w:vertAlign w:val="superscript"/>
          <w:rtl/>
        </w:rPr>
        <w:instrText xml:space="preserve"> REF b2_note69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אמו</w:t>
      </w:r>
      <w:proofErr w:type="spellEnd"/>
      <w:r>
        <w:rPr>
          <w:rtl/>
        </w:rPr>
        <w:t xml:space="preserve"> </w:t>
      </w:r>
      <w:r>
        <w:rPr>
          <w:rtl/>
        </w:rPr>
        <w:lastRenderedPageBreak/>
        <w:t xml:space="preserve">נפטרה כשהיה בן שלוש, ואביו, ר׳ </w:t>
      </w:r>
      <w:proofErr w:type="spellStart"/>
      <w:r>
        <w:rPr>
          <w:rtl/>
        </w:rPr>
        <w:t>שניאור־זלמן</w:t>
      </w:r>
      <w:proofErr w:type="spellEnd"/>
      <w:r>
        <w:rPr>
          <w:rtl/>
        </w:rPr>
        <w:t xml:space="preserve"> פינס, רב סיסלוביץ׳,</w:t>
      </w:r>
      <w:bookmarkStart w:id="1028" w:name="b2_ref70"/>
      <w:bookmarkEnd w:id="1028"/>
      <w:r>
        <w:rPr>
          <w:vertAlign w:val="superscript"/>
          <w:rtl/>
        </w:rPr>
        <w:fldChar w:fldCharType="begin" w:dirty="true"/>
      </w:r>
      <w:r>
        <w:rPr>
          <w:vertAlign w:val="superscript"/>
          <w:rtl/>
        </w:rPr>
        <w:instrText xml:space="preserve"> REF b2_note70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כשהיה בן אחת־עשרה.</w:t>
      </w:r>
      <w:bookmarkStart w:id="1029" w:name="b2_ref71"/>
      <w:bookmarkEnd w:id="1029"/>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מיד כשהתייתם החליטו קרובי אביו לשלוח אותו מן הבית, כדי לגונן עליו מפני השפעתם המשחיתה של שני אחיו ואחותו הבוגרים ממנו שעזבו את הדת. כמו בבתים יהודיים רבים, ואפילו בבתי רבנים, גבתה ההשכלה את </w:t>
      </w:r>
      <w:proofErr w:type="spellStart"/>
      <w:r>
        <w:rPr>
          <w:rtl/>
        </w:rPr>
        <w:t>קרבנותיה</w:t>
      </w:r>
      <w:proofErr w:type="spellEnd"/>
      <w:r>
        <w:rPr>
          <w:rtl/>
        </w:rPr>
        <w:t xml:space="preserve"> גם בבית פינס.</w:t>
      </w:r>
      <w:bookmarkStart w:id="1030" w:name="b2_ref72"/>
      <w:bookmarkEnd w:id="1030"/>
      <w:r>
        <w:rPr>
          <w:vertAlign w:val="superscript"/>
          <w:rtl/>
        </w:rPr>
        <w:fldChar w:fldCharType="begin" w:dirty="true"/>
      </w:r>
      <w:r>
        <w:rPr>
          <w:vertAlign w:val="superscript"/>
          <w:rtl/>
        </w:rPr>
        <w:instrText xml:space="preserve"> REF b2_note72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p>
    <w:bookmarkStart w:id="1031" w:name="b2_note66"/>
    <w:p w14:paraId="7B5E348B" w14:textId="77777777" w:rsidR="00AB3647" w:rsidRDefault="00000000" w:rsidP="007923E9">
      <w:pPr>
        <w:spacing w:before="120" w:after="100" w:line="276" w:lineRule="auto"/>
        <w:jc w:val="both"/>
      </w:pPr>
      <w:r>
        <w:fldChar w:fldCharType="begin" w:dirty="true"/>
      </w:r>
      <w:r>
        <w:instrText>HYPERLINK \l "b2_ref66"</w:instrText>
      </w:r>
      <w:r>
        <w:fldChar w:fldCharType="separate"/>
      </w:r>
      <w:r>
        <w:rPr>
          <w:b/>
          <w:bCs/>
          <w:rtl/>
        </w:rPr>
        <w:t>66</w:t>
      </w:r>
      <w:r>
        <w:rPr>
          <w:b/>
          <w:bCs/>
        </w:rPr>
        <w:fldChar w:fldCharType="end"/>
      </w:r>
      <w:bookmarkEnd w:id="1031"/>
      <w:r>
        <w:rPr>
          <w:rtl/>
        </w:rPr>
        <w:t xml:space="preserve"> זהו ר׳ אהרן קוטלר המפורסם. שם משפחתו שונה מאוחר יותר בהשתדלות חותנו לעתיד, ר׳ </w:t>
      </w:r>
      <w:proofErr w:type="spellStart"/>
      <w:r>
        <w:rPr>
          <w:rtl/>
        </w:rPr>
        <w:t>איסר־זלמן</w:t>
      </w:r>
      <w:proofErr w:type="spellEnd"/>
      <w:r>
        <w:rPr>
          <w:rtl/>
        </w:rPr>
        <w:t xml:space="preserve"> מלצר,</w:t>
      </w:r>
      <w:bookmarkStart w:id="1032" w:name="_fnr616"/>
      <w:r>
        <w:rPr>
          <w:rStyle w:val="a5"/>
        </w:rPr>
        <w:footnoteReference w:id="616" w:customMarkFollows="0"/>
      </w:r>
      <w:bookmarkEnd w:id="1032"/>
      <w:r>
        <w:rPr>
          <w:rtl/>
        </w:rPr>
        <w:t xml:space="preserve"> כדי להשתמט מגיוס לצבא הצאר.</w:t>
      </w:r>
    </w:p>
    <w:p w14:paraId="6812C343" w14:textId="77777777" w:rsidR="00AB3647" w:rsidRDefault="00000000" w:rsidP="007923E9">
      <w:pPr>
        <w:spacing w:after="100" w:line="276" w:lineRule="auto"/>
        <w:ind w:firstLine="340"/>
        <w:jc w:val="both"/>
      </w:pPr>
      <w:r>
        <w:rPr>
          <w:rtl/>
        </w:rPr>
        <w:t xml:space="preserve">החלפת זהות – קבלת שמו ודרכונו של אדם הפטור מגיוס – הייתה תחבולה מקובלת להשתמטות מן הצבא בתקופה שלפני מלחמת העולם הראשונה. בהערת אגב בשיעור הדף היומי שלמד אבי עם כמה תלמידים, שהוקלטה בז׳ בשבט תשל״ו, הזכיר אבי ששר רוסי שאל פעם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1033" w:name="_fnr617"/>
      <w:r>
        <w:rPr>
          <w:rStyle w:val="a5"/>
        </w:rPr>
        <w:footnoteReference w:id="617" w:customMarkFollows="0"/>
      </w:r>
      <w:bookmarkEnd w:id="1033"/>
      <w:r>
        <w:rPr>
          <w:rtl/>
        </w:rPr>
        <w:t xml:space="preserve"> מדוע אינו נקרא </w:t>
      </w:r>
      <w:proofErr w:type="spellStart"/>
      <w:r>
        <w:rPr>
          <w:rtl/>
        </w:rPr>
        <w:t>ספקטור</w:t>
      </w:r>
      <w:proofErr w:type="spellEnd"/>
      <w:r>
        <w:rPr>
          <w:rtl/>
        </w:rPr>
        <w:t xml:space="preserve"> כאביו. “מאחר שלא יכול היה לומר, כפי האמת, שהסיבה היא הגיוס,” אמר אבי, “השיב שמאחר שאביו היה גדול הרבנים שבדור, הוא נקרא </w:t>
      </w:r>
      <w:proofErr w:type="spellStart"/>
      <w:r>
        <w:rPr>
          <w:rtl/>
        </w:rPr>
        <w:t>רבינוביץ</w:t>
      </w:r>
      <w:proofErr w:type="spellEnd"/>
      <w:r>
        <w:rPr>
          <w:rtl/>
        </w:rPr>
        <w:t>, ‘בן [ה]רב’ ברוסית.”</w:t>
      </w:r>
    </w:p>
    <w:bookmarkStart w:id="1034" w:name="b2_note67"/>
    <w:p w14:paraId="32D9CA77" w14:textId="77777777" w:rsidR="00AB3647" w:rsidRDefault="00000000" w:rsidP="007923E9">
      <w:pPr>
        <w:spacing w:before="120" w:after="100" w:line="276" w:lineRule="auto"/>
        <w:jc w:val="both"/>
      </w:pPr>
      <w:r>
        <w:fldChar w:fldCharType="begin" w:dirty="true"/>
      </w:r>
      <w:r>
        <w:instrText>HYPERLINK \l "b2_ref67"</w:instrText>
      </w:r>
      <w:r>
        <w:fldChar w:fldCharType="separate"/>
      </w:r>
      <w:r>
        <w:rPr>
          <w:b/>
          <w:bCs/>
          <w:rtl/>
        </w:rPr>
        <w:t>67</w:t>
      </w:r>
      <w:r>
        <w:rPr>
          <w:b/>
          <w:bCs/>
        </w:rPr>
        <w:fldChar w:fldCharType="end"/>
      </w:r>
      <w:bookmarkEnd w:id="1034"/>
      <w:r>
        <w:rPr>
          <w:rtl/>
        </w:rPr>
        <w:t xml:space="preserve"> את הפרש הגילים המדויק הזה הזכיר אבי פעמים רבות.</w:t>
      </w:r>
    </w:p>
    <w:bookmarkStart w:id="1035" w:name="b2_note68"/>
    <w:p w14:paraId="68390B00" w14:textId="77777777" w:rsidR="00AB3647" w:rsidRDefault="00000000" w:rsidP="007923E9">
      <w:pPr>
        <w:spacing w:before="120" w:after="100" w:line="276" w:lineRule="auto"/>
        <w:jc w:val="both"/>
      </w:pPr>
      <w:r>
        <w:fldChar w:fldCharType="begin" w:dirty="true"/>
      </w:r>
      <w:r>
        <w:instrText>HYPERLINK \l "b2_ref68"</w:instrText>
      </w:r>
      <w:r>
        <w:fldChar w:fldCharType="separate"/>
      </w:r>
      <w:r>
        <w:rPr>
          <w:b/>
          <w:bCs/>
          <w:rtl/>
        </w:rPr>
        <w:t>68</w:t>
      </w:r>
      <w:r>
        <w:rPr>
          <w:b/>
          <w:bCs/>
        </w:rPr>
        <w:fldChar w:fldCharType="end"/>
      </w:r>
      <w:bookmarkEnd w:id="1035"/>
      <w:r>
        <w:rPr>
          <w:rtl/>
        </w:rPr>
        <w:t xml:space="preserve"> ר׳ ישראל ברגר</w:t>
      </w:r>
      <w:bookmarkStart w:id="1036" w:name="_fnr618"/>
      <w:r>
        <w:rPr>
          <w:rStyle w:val="a5"/>
        </w:rPr>
        <w:footnoteReference w:id="618" w:customMarkFollows="0"/>
      </w:r>
      <w:bookmarkEnd w:id="1036"/>
      <w:r>
        <w:rPr>
          <w:rtl/>
        </w:rPr>
        <w:t xml:space="preserve"> סיפר שאחרי פטירתו של ר׳ אהרן העיר אבי: “שיחקנו יחד כשהיינו ילדים.” תלמיד אחר, ר׳ צבי </w:t>
      </w:r>
      <w:proofErr w:type="spellStart"/>
      <w:r>
        <w:rPr>
          <w:rtl/>
        </w:rPr>
        <w:t>טרס</w:t>
      </w:r>
      <w:proofErr w:type="spellEnd"/>
      <w:r>
        <w:rPr>
          <w:rtl/>
        </w:rPr>
        <w:t>, סיפר</w:t>
      </w:r>
      <w:bookmarkStart w:id="1037" w:name="_fnr619"/>
      <w:r>
        <w:rPr>
          <w:rStyle w:val="a5"/>
        </w:rPr>
        <w:footnoteReference w:id="619" w:customMarkFollows="0"/>
      </w:r>
      <w:bookmarkEnd w:id="1037"/>
      <w:r>
        <w:rPr>
          <w:rtl/>
        </w:rPr>
        <w:t xml:space="preserve"> ששאל את רבנו אם למד בילדותו בחברותא עם ר׳ אהרן קוטלר, והוא השיב: “לא, רק שיחקתי </w:t>
      </w:r>
      <w:proofErr w:type="spellStart"/>
      <w:r>
        <w:rPr>
          <w:rtl/>
        </w:rPr>
        <w:t>איתו</w:t>
      </w:r>
      <w:proofErr w:type="spellEnd"/>
      <w:r>
        <w:rPr>
          <w:rtl/>
        </w:rPr>
        <w:t xml:space="preserve"> שחמט.” אבי התכוון רק לתקופת מינסק, כשעוד היו “ילדים”.</w:t>
      </w:r>
      <w:bookmarkStart w:id="1038" w:name="_fnr620"/>
      <w:r>
        <w:rPr>
          <w:rStyle w:val="a5"/>
        </w:rPr>
        <w:footnoteReference w:id="620" w:customMarkFollows="0"/>
      </w:r>
      <w:bookmarkEnd w:id="1038"/>
    </w:p>
    <w:p w14:paraId="6F67DBAF" w14:textId="77777777" w:rsidR="00AB3647" w:rsidRDefault="00000000" w:rsidP="007923E9">
      <w:pPr>
        <w:spacing w:after="100" w:line="276" w:lineRule="auto"/>
        <w:ind w:firstLine="340"/>
        <w:jc w:val="both"/>
      </w:pPr>
      <w:r>
        <w:rPr>
          <w:rtl/>
        </w:rPr>
        <w:t xml:space="preserve">בהספדו על ר׳ אהרן סיפר אבי על הפעם הראשונה שראתה </w:t>
      </w:r>
      <w:proofErr w:type="spellStart"/>
      <w:r>
        <w:rPr>
          <w:rtl/>
        </w:rPr>
        <w:t>אמו</w:t>
      </w:r>
      <w:proofErr w:type="spellEnd"/>
      <w:r>
        <w:rPr>
          <w:rtl/>
        </w:rPr>
        <w:t xml:space="preserve"> את הנער בביתה, כשעוד לא הגיע לגיל בר מצווה. היא התפעלה כל כך ממראהו של חבר בנה, שלקחה את אבי הצדה ושאלה: “בני, מי הוא הילד הקטן הזה? די שכינה רוהט </w:t>
      </w:r>
      <w:proofErr w:type="spellStart"/>
      <w:r>
        <w:rPr>
          <w:rtl/>
        </w:rPr>
        <w:t>אויף</w:t>
      </w:r>
      <w:proofErr w:type="spellEnd"/>
      <w:r>
        <w:rPr>
          <w:rtl/>
        </w:rPr>
        <w:t xml:space="preserve"> </w:t>
      </w:r>
      <w:proofErr w:type="spellStart"/>
      <w:r>
        <w:rPr>
          <w:rtl/>
        </w:rPr>
        <w:t>אים</w:t>
      </w:r>
      <w:proofErr w:type="spellEnd"/>
      <w:r>
        <w:rPr>
          <w:rtl/>
        </w:rPr>
        <w:t xml:space="preserve"> [השכינה שורה עליו]!” ר׳ </w:t>
      </w:r>
      <w:proofErr w:type="spellStart"/>
      <w:r>
        <w:rPr>
          <w:rtl/>
        </w:rPr>
        <w:t>ליפא</w:t>
      </w:r>
      <w:proofErr w:type="spellEnd"/>
      <w:r>
        <w:rPr>
          <w:rtl/>
        </w:rPr>
        <w:t xml:space="preserve"> </w:t>
      </w:r>
      <w:proofErr w:type="spellStart"/>
      <w:r>
        <w:rPr>
          <w:rtl/>
        </w:rPr>
        <w:t>גלדוורט</w:t>
      </w:r>
      <w:proofErr w:type="spellEnd"/>
      <w:r>
        <w:rPr>
          <w:rtl/>
        </w:rPr>
        <w:t xml:space="preserve"> מסר</w:t>
      </w:r>
      <w:bookmarkStart w:id="1039" w:name="_fnr621"/>
      <w:r>
        <w:rPr>
          <w:rStyle w:val="a5"/>
        </w:rPr>
        <w:footnoteReference w:id="621" w:customMarkFollows="0"/>
      </w:r>
      <w:bookmarkEnd w:id="1039"/>
      <w:r>
        <w:rPr>
          <w:rtl/>
        </w:rPr>
        <w:t xml:space="preserve"> שאבי ציין במדויק מתי אירע הדבר: “כשאני כבר הייתי בר מצווה, ור׳ אהרן עוד לא.” היה זה זמן קצר אחרי שעברו הורי אבי למינסק, בתקופת שהותו הקצרה של ר׳ אהרן במינסק לפני שנסע </w:t>
      </w:r>
      <w:proofErr w:type="spellStart"/>
      <w:r>
        <w:rPr>
          <w:rtl/>
        </w:rPr>
        <w:t>לסלבודקה</w:t>
      </w:r>
      <w:proofErr w:type="spellEnd"/>
      <w:r>
        <w:rPr>
          <w:rtl/>
        </w:rPr>
        <w:t>, כמסופר להלן בנספח ד.</w:t>
      </w:r>
    </w:p>
    <w:p w14:paraId="7E63BCDC" w14:textId="77777777" w:rsidR="00AB3647" w:rsidRDefault="00000000" w:rsidP="007923E9">
      <w:pPr>
        <w:spacing w:after="100" w:line="276" w:lineRule="auto"/>
        <w:ind w:firstLine="340"/>
        <w:jc w:val="both"/>
      </w:pPr>
      <w:r>
        <w:rPr>
          <w:rtl/>
        </w:rPr>
        <w:t>אחרי שלא ראו זה את זה יותר מעשרים ושמונה שנים, נפגשו אבי ור׳ אהרן בשנת תש״א במעלית שעלתה למשרדי “עזרת תורה” ברחוב נסאו בניו יורק, ואבי הכיר את ר׳ אהרן לפני שזה הכיר אותו. לימים אמר אבי שמראהו המיוחד של ר׳ אהרן הסגיר אותו.</w:t>
      </w:r>
      <w:bookmarkStart w:id="1040" w:name="_fnr622"/>
      <w:r>
        <w:rPr>
          <w:rStyle w:val="a5"/>
        </w:rPr>
        <w:footnoteReference w:id="622" w:customMarkFollows="0"/>
      </w:r>
      <w:bookmarkEnd w:id="1040"/>
    </w:p>
    <w:bookmarkStart w:id="1041" w:name="b2_note69"/>
    <w:p w14:paraId="53514087" w14:textId="77777777" w:rsidR="00AB3647" w:rsidRDefault="00000000" w:rsidP="007923E9">
      <w:pPr>
        <w:spacing w:before="120" w:after="100" w:line="276" w:lineRule="auto"/>
        <w:jc w:val="both"/>
      </w:pPr>
      <w:r>
        <w:lastRenderedPageBreak/>
        <w:fldChar w:fldCharType="begin" w:dirty="true"/>
      </w:r>
      <w:r>
        <w:instrText>HYPERLINK \l "b2_ref69"</w:instrText>
      </w:r>
      <w:r>
        <w:fldChar w:fldCharType="separate"/>
      </w:r>
      <w:r>
        <w:rPr>
          <w:b/>
          <w:bCs/>
          <w:rtl/>
        </w:rPr>
        <w:t>69</w:t>
      </w:r>
      <w:r>
        <w:rPr>
          <w:b/>
          <w:bCs/>
        </w:rPr>
        <w:fldChar w:fldCharType="end"/>
      </w:r>
      <w:bookmarkEnd w:id="1041"/>
      <w:r>
        <w:rPr>
          <w:rtl/>
        </w:rPr>
        <w:t xml:space="preserve"> התייתמות משני ההורים הייתה שכיחה דיה ברוסיה היהודית לפני מאה שנה כדי שתזכה לביטוי משלה: ילד אומלל כזה לא נקרא “יתום שלם” אלא “א </w:t>
      </w:r>
      <w:proofErr w:type="spellStart"/>
      <w:r>
        <w:rPr>
          <w:rtl/>
        </w:rPr>
        <w:t>קיילעכדיגער</w:t>
      </w:r>
      <w:proofErr w:type="spellEnd"/>
      <w:r>
        <w:rPr>
          <w:rtl/>
        </w:rPr>
        <w:t xml:space="preserve"> יתום” [יתום </w:t>
      </w:r>
      <w:r>
        <w:rPr>
          <w:b/>
          <w:bCs/>
          <w:rtl/>
        </w:rPr>
        <w:t>עגול</w:t>
      </w:r>
      <w:r>
        <w:rPr>
          <w:rtl/>
        </w:rPr>
        <w:t>] – וכך כינה אבי את אהרן פינס הצעיר.</w:t>
      </w:r>
    </w:p>
    <w:bookmarkStart w:id="1042" w:name="b2_note70"/>
    <w:p w14:paraId="6F255794" w14:textId="77777777" w:rsidR="00AB3647" w:rsidRDefault="00000000" w:rsidP="007923E9">
      <w:pPr>
        <w:spacing w:before="120" w:after="100" w:line="276" w:lineRule="auto"/>
        <w:jc w:val="both"/>
      </w:pPr>
      <w:r>
        <w:fldChar w:fldCharType="begin" w:dirty="true"/>
      </w:r>
      <w:r>
        <w:instrText>HYPERLINK \l "b2_ref70"</w:instrText>
      </w:r>
      <w:r>
        <w:fldChar w:fldCharType="separate"/>
      </w:r>
      <w:r>
        <w:rPr>
          <w:b/>
          <w:bCs/>
          <w:rtl/>
        </w:rPr>
        <w:t>70</w:t>
      </w:r>
      <w:r>
        <w:rPr>
          <w:b/>
          <w:bCs/>
        </w:rPr>
        <w:fldChar w:fldCharType="end"/>
      </w:r>
      <w:bookmarkEnd w:id="1042"/>
      <w:r>
        <w:rPr>
          <w:rtl/>
        </w:rPr>
        <w:t xml:space="preserve"> שמה הרשמי של העיר היה </w:t>
      </w:r>
      <w:proofErr w:type="spellStart"/>
      <w:r>
        <w:rPr>
          <w:rtl/>
        </w:rPr>
        <w:t>סביסלוץ</w:t>
      </w:r>
      <w:proofErr w:type="spellEnd"/>
      <w:r>
        <w:rPr>
          <w:rtl/>
        </w:rPr>
        <w:t xml:space="preserve">׳, אבל היהודים קראו לה </w:t>
      </w:r>
      <w:proofErr w:type="spellStart"/>
      <w:r>
        <w:rPr>
          <w:rtl/>
        </w:rPr>
        <w:t>סיסלוביץ</w:t>
      </w:r>
      <w:proofErr w:type="spellEnd"/>
      <w:r>
        <w:rPr>
          <w:rtl/>
        </w:rPr>
        <w:t xml:space="preserve">׳ – שמה ביידיש היה בעצם </w:t>
      </w:r>
      <w:proofErr w:type="spellStart"/>
      <w:r>
        <w:rPr>
          <w:rtl/>
        </w:rPr>
        <w:t>שטשיסלוביץ</w:t>
      </w:r>
      <w:proofErr w:type="spellEnd"/>
      <w:r>
        <w:rPr>
          <w:rtl/>
        </w:rPr>
        <w:t xml:space="preserve">׳, לפי </w:t>
      </w:r>
      <w:proofErr w:type="spellStart"/>
      <w:r>
        <w:rPr>
          <w:rtl/>
        </w:rPr>
        <w:t>שאשקעס</w:t>
      </w:r>
      <w:proofErr w:type="spellEnd"/>
      <w:r>
        <w:rPr>
          <w:rtl/>
        </w:rPr>
        <w:t>,</w:t>
      </w:r>
      <w:bookmarkStart w:id="1043" w:name="_fnr623"/>
      <w:r>
        <w:rPr>
          <w:rStyle w:val="a5"/>
        </w:rPr>
        <w:footnoteReference w:id="623" w:customMarkFollows="0"/>
      </w:r>
      <w:bookmarkEnd w:id="1043"/>
      <w:r>
        <w:rPr>
          <w:rtl/>
        </w:rPr>
        <w:t xml:space="preserve"> אלא שביידיש הליטאית הומר הצליל “ש” ב“ס”, ועל ידי כך נעשה השם </w:t>
      </w:r>
      <w:proofErr w:type="spellStart"/>
      <w:r>
        <w:rPr>
          <w:rtl/>
        </w:rPr>
        <w:t>סטסיסלוביץ</w:t>
      </w:r>
      <w:proofErr w:type="spellEnd"/>
      <w:r>
        <w:rPr>
          <w:rtl/>
        </w:rPr>
        <w:t xml:space="preserve">׳, ומשם </w:t>
      </w:r>
      <w:proofErr w:type="spellStart"/>
      <w:r>
        <w:rPr>
          <w:rtl/>
        </w:rPr>
        <w:t>סיסלוביץ</w:t>
      </w:r>
      <w:proofErr w:type="spellEnd"/>
      <w:r>
        <w:rPr>
          <w:rtl/>
        </w:rPr>
        <w:t>׳.</w:t>
      </w:r>
    </w:p>
    <w:bookmarkStart w:id="1044" w:name="b2_note71"/>
    <w:p w14:paraId="069DAF1F" w14:textId="0BC5DB13" w:rsidR="00AB3647" w:rsidRDefault="00000000" w:rsidP="007923E9">
      <w:pPr>
        <w:spacing w:before="120" w:after="100" w:line="276" w:lineRule="auto"/>
        <w:jc w:val="both"/>
      </w:pPr>
      <w:r>
        <w:fldChar w:fldCharType="begin" w:dirty="true"/>
      </w:r>
      <w:r>
        <w:instrText>HYPERLINK \l "b2_ref71"</w:instrText>
      </w:r>
      <w:r>
        <w:fldChar w:fldCharType="separate"/>
      </w:r>
      <w:r>
        <w:rPr>
          <w:b/>
          <w:bCs/>
          <w:rtl/>
        </w:rPr>
        <w:t>71</w:t>
      </w:r>
      <w:r>
        <w:rPr>
          <w:b/>
          <w:bCs/>
        </w:rPr>
        <w:fldChar w:fldCharType="end"/>
      </w:r>
      <w:bookmarkEnd w:id="1044"/>
      <w:r>
        <w:rPr>
          <w:rtl/>
        </w:rPr>
        <w:t xml:space="preserve"> ראה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045" w:name="b2_note72"/>
    <w:p w14:paraId="6A53F088" w14:textId="77777777" w:rsidR="00AB3647" w:rsidRDefault="00000000" w:rsidP="007923E9">
      <w:pPr>
        <w:spacing w:before="120" w:after="100" w:line="276" w:lineRule="auto"/>
        <w:jc w:val="both"/>
      </w:pPr>
      <w:r>
        <w:fldChar w:fldCharType="begin" w:dirty="true"/>
      </w:r>
      <w:r>
        <w:instrText>HYPERLINK \l "b2_ref72"</w:instrText>
      </w:r>
      <w:r>
        <w:fldChar w:fldCharType="separate"/>
      </w:r>
      <w:r>
        <w:rPr>
          <w:b/>
          <w:bCs/>
          <w:rtl/>
        </w:rPr>
        <w:t>72</w:t>
      </w:r>
      <w:r>
        <w:rPr>
          <w:b/>
          <w:bCs/>
        </w:rPr>
        <w:fldChar w:fldCharType="end"/>
      </w:r>
      <w:bookmarkEnd w:id="1045"/>
      <w:r>
        <w:rPr>
          <w:rtl/>
        </w:rPr>
        <w:t xml:space="preserve"> השווה את צוואתו המוסרית של ר׳ </w:t>
      </w:r>
      <w:proofErr w:type="spellStart"/>
      <w:r>
        <w:rPr>
          <w:rtl/>
        </w:rPr>
        <w:t>יצחק־אייזיק</w:t>
      </w:r>
      <w:proofErr w:type="spellEnd"/>
      <w:r>
        <w:rPr>
          <w:rtl/>
        </w:rPr>
        <w:t xml:space="preserve"> </w:t>
      </w:r>
      <w:proofErr w:type="spellStart"/>
      <w:r>
        <w:rPr>
          <w:rtl/>
        </w:rPr>
        <w:t>הירשוביץ</w:t>
      </w:r>
      <w:proofErr w:type="spellEnd"/>
      <w:r>
        <w:rPr>
          <w:rtl/>
        </w:rPr>
        <w:t>,</w:t>
      </w:r>
      <w:bookmarkStart w:id="1046" w:name="_fnr624"/>
      <w:r>
        <w:rPr>
          <w:rStyle w:val="a5"/>
        </w:rPr>
        <w:footnoteReference w:id="624" w:customMarkFollows="0"/>
      </w:r>
      <w:bookmarkEnd w:id="1046"/>
      <w:r>
        <w:rPr>
          <w:rtl/>
        </w:rPr>
        <w:t xml:space="preserve"> שבה הוא מתאר את נעוריו </w:t>
      </w:r>
      <w:proofErr w:type="spellStart"/>
      <w:r>
        <w:rPr>
          <w:rtl/>
        </w:rPr>
        <w:t>בליבאו</w:t>
      </w:r>
      <w:proofErr w:type="spellEnd"/>
      <w:r>
        <w:rPr>
          <w:rtl/>
        </w:rPr>
        <w:t xml:space="preserve"> בדברים נוקבים אלה: “גם אני, ככל חברי ובני גילי, עמדתי בילדותי ובנעורי על שפת פי הבור, ופעמים רבות נפרשה רשת לרגלי וכמעט נטיתי לרע. אבל בכל פעם הצילני ה׳ ברחמיו ובחסדו הגדול בנפלאות רבות מלהילכד בפח ומלהימשך אחר המינות לצורותיה השונות ומלהתפתות בדמיונותיה הרבים. אבי מורי ורבי ז״ל, אשר אחרי שכל אחי </w:t>
      </w:r>
      <w:proofErr w:type="spellStart"/>
      <w:r>
        <w:rPr>
          <w:rtl/>
        </w:rPr>
        <w:t>ואחיותי</w:t>
      </w:r>
      <w:proofErr w:type="spellEnd"/>
      <w:r>
        <w:rPr>
          <w:rtl/>
        </w:rPr>
        <w:t xml:space="preserve"> כבר נסחפו בזרם הימים ההם – ואני, הצעיר שבבית הורי, קרוב הייתי להימשך אחריהם – הבין כיצד לעמוד מול הרעה, ויגע וטרח בחכמה רבה ובתחבולות להטותני מדרכי המינות וההפקרות אל דרך התורה”.</w:t>
      </w:r>
    </w:p>
    <w:p w14:paraId="313F7B0E" w14:textId="647B472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תחילה נשלח אהרן ללמוד </w:t>
      </w:r>
      <w:proofErr w:type="spellStart"/>
      <w:r>
        <w:rPr>
          <w:rtl/>
        </w:rPr>
        <w:t>בקרינק</w:t>
      </w:r>
      <w:proofErr w:type="spellEnd"/>
      <w:r>
        <w:rPr>
          <w:rtl/>
        </w:rPr>
        <w:t xml:space="preserve">, בישיבה שייסד חצי שנה קודם לכן רבה החדש של העיירה, ר׳ </w:t>
      </w:r>
      <w:proofErr w:type="spellStart"/>
      <w:r>
        <w:rPr>
          <w:rtl/>
        </w:rPr>
        <w:t>זלמן־סנדר</w:t>
      </w:r>
      <w:proofErr w:type="spellEnd"/>
      <w:r>
        <w:rPr>
          <w:rtl/>
        </w:rPr>
        <w:t xml:space="preserve"> </w:t>
      </w:r>
      <w:proofErr w:type="spellStart"/>
      <w:r>
        <w:rPr>
          <w:rtl/>
        </w:rPr>
        <w:t>כהנא־שפירא</w:t>
      </w:r>
      <w:proofErr w:type="spellEnd"/>
      <w:r>
        <w:rPr>
          <w:rtl/>
        </w:rPr>
        <w:t xml:space="preserve">, חברו של ר׳ חיים </w:t>
      </w:r>
      <w:proofErr w:type="spellStart"/>
      <w:r>
        <w:rPr>
          <w:rtl/>
        </w:rPr>
        <w:t>סולובייצ׳יק</w:t>
      </w:r>
      <w:proofErr w:type="spellEnd"/>
      <w:r>
        <w:rPr>
          <w:rtl/>
        </w:rPr>
        <w:t xml:space="preserve"> מבריסק.</w:t>
      </w:r>
      <w:bookmarkStart w:id="1047" w:name="b2_ref73"/>
      <w:bookmarkEnd w:id="1047"/>
      <w:r>
        <w:rPr>
          <w:vertAlign w:val="superscript"/>
          <w:rtl/>
        </w:rPr>
        <w:fldChar w:fldCharType="begin" w:dirty="true"/>
      </w:r>
      <w:r>
        <w:rPr>
          <w:vertAlign w:val="superscript"/>
          <w:rtl/>
        </w:rPr>
        <w:instrText xml:space="preserve"> REF b2_note73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אחרי שנה שם</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בא למינסק, שבה ישבו אז כמה מקרוביו, ופגש את רבנו ואת הוריו. אבל שוב נשלח אהרן מן העיר, הפעם לסלבודקה,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פרבר של העיר הגדולה קובנה, לישיבת כנסת בית יצחק,</w:t>
      </w:r>
      <w:bookmarkStart w:id="1048" w:name="b2_ref74"/>
      <w:bookmarkEnd w:id="1048"/>
      <w:r>
        <w:rPr>
          <w:vertAlign w:val="superscript"/>
          <w:rtl/>
        </w:rPr>
        <w:fldChar w:fldCharType="begin" w:dirty="true"/>
      </w:r>
      <w:r>
        <w:rPr>
          <w:vertAlign w:val="superscript"/>
          <w:rtl/>
        </w:rPr>
        <w:instrText xml:space="preserve"> REF b2_note74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שבראשה נתמנה זה עתה תלמידו המסור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איש שחסידותו יצאה לה מוניטין.</w:t>
      </w:r>
      <w:bookmarkStart w:id="1049" w:name="b2_ref75"/>
      <w:bookmarkEnd w:id="1049"/>
      <w:r>
        <w:rPr>
          <w:vertAlign w:val="superscript"/>
          <w:rtl/>
        </w:rPr>
        <w:fldChar w:fldCharType="begin" w:dirty="true"/>
      </w:r>
      <w:r>
        <w:rPr>
          <w:vertAlign w:val="superscript"/>
          <w:rtl/>
        </w:rPr>
        <w:instrText xml:space="preserve"> REF b2_note75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 xml:space="preserve"> שם נעשה אהרן בר מצווה, ושמעו כעילוי יצא בכל העיר, וגם בישיבה האחרת </w:t>
      </w:r>
      <w:proofErr w:type="spellStart"/>
      <w:r>
        <w:rPr>
          <w:rtl/>
        </w:rPr>
        <w:t>שבסלבודקה</w:t>
      </w:r>
      <w:proofErr w:type="spellEnd"/>
      <w:r>
        <w:rPr>
          <w:rtl/>
        </w:rPr>
        <w:t>, כנסת ישראל.</w:t>
      </w:r>
      <w:bookmarkStart w:id="1050" w:name="b2_ref76"/>
      <w:bookmarkEnd w:id="1050"/>
      <w:r>
        <w:rPr>
          <w:vertAlign w:val="superscript"/>
          <w:rtl/>
        </w:rPr>
        <w:fldChar w:fldCharType="begin" w:dirty="true"/>
      </w:r>
      <w:r>
        <w:rPr>
          <w:vertAlign w:val="superscript"/>
          <w:rtl/>
        </w:rPr>
        <w:instrText xml:space="preserve"> REF b2_note76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p>
    <w:bookmarkStart w:id="1051" w:name="b2_note73"/>
    <w:p w14:paraId="6B60A645" w14:textId="77777777" w:rsidR="00AB3647" w:rsidRDefault="00000000" w:rsidP="007923E9">
      <w:pPr>
        <w:spacing w:before="120" w:after="100" w:line="276" w:lineRule="auto"/>
        <w:jc w:val="both"/>
      </w:pPr>
      <w:r>
        <w:fldChar w:fldCharType="begin" w:dirty="true"/>
      </w:r>
      <w:r>
        <w:instrText>HYPERLINK \l "b2_ref73"</w:instrText>
      </w:r>
      <w:r>
        <w:fldChar w:fldCharType="separate"/>
      </w:r>
      <w:r>
        <w:rPr>
          <w:b/>
          <w:bCs/>
          <w:rtl/>
        </w:rPr>
        <w:t>73</w:t>
      </w:r>
      <w:r>
        <w:rPr>
          <w:b/>
          <w:bCs/>
        </w:rPr>
        <w:fldChar w:fldCharType="end"/>
      </w:r>
      <w:bookmarkEnd w:id="1051"/>
      <w:r>
        <w:rPr>
          <w:rtl/>
        </w:rPr>
        <w:t xml:space="preserve"> השווה פרק 5, הערות 22, 23 ו־24.</w:t>
      </w:r>
    </w:p>
    <w:bookmarkStart w:id="1052" w:name="b2_note74"/>
    <w:p w14:paraId="75D78B44" w14:textId="77777777" w:rsidR="00AB3647" w:rsidRDefault="00000000" w:rsidP="007923E9">
      <w:pPr>
        <w:spacing w:before="120" w:after="100" w:line="276" w:lineRule="auto"/>
        <w:jc w:val="both"/>
      </w:pPr>
      <w:r>
        <w:fldChar w:fldCharType="begin" w:dirty="true"/>
      </w:r>
      <w:r>
        <w:instrText>HYPERLINK \l "b2_ref74"</w:instrText>
      </w:r>
      <w:r>
        <w:fldChar w:fldCharType="separate"/>
      </w:r>
      <w:r>
        <w:rPr>
          <w:b/>
          <w:bCs/>
          <w:rtl/>
        </w:rPr>
        <w:t>74</w:t>
      </w:r>
      <w:r>
        <w:rPr>
          <w:b/>
          <w:bCs/>
        </w:rPr>
        <w:fldChar w:fldCharType="end"/>
      </w:r>
      <w:bookmarkEnd w:id="1052"/>
      <w:r>
        <w:rPr>
          <w:rtl/>
        </w:rPr>
        <w:t xml:space="preserve"> ראה פרק 3.1, הפסקאות השלישית והרביעית מהסוף, על סיפור ייסודה ועל ראשי הישיבה שלה.</w:t>
      </w:r>
    </w:p>
    <w:bookmarkStart w:id="1053" w:name="b2_note75"/>
    <w:p w14:paraId="6906A69D" w14:textId="6864B6F8" w:rsidR="00AB3647" w:rsidRDefault="00000000" w:rsidP="007923E9">
      <w:pPr>
        <w:spacing w:before="120" w:after="100" w:line="276" w:lineRule="auto"/>
        <w:jc w:val="both"/>
      </w:pPr>
      <w:r>
        <w:fldChar w:fldCharType="begin" w:dirty="true"/>
      </w:r>
      <w:r>
        <w:instrText>HYPERLINK \l "b2_ref75"</w:instrText>
      </w:r>
      <w:r>
        <w:fldChar w:fldCharType="separate"/>
      </w:r>
      <w:r>
        <w:rPr>
          <w:b/>
          <w:bCs/>
          <w:rtl/>
        </w:rPr>
        <w:t>75</w:t>
      </w:r>
      <w:r>
        <w:rPr>
          <w:b/>
          <w:bCs/>
        </w:rPr>
        <w:fldChar w:fldCharType="end"/>
      </w:r>
      <w:bookmarkEnd w:id="1053"/>
      <w:r>
        <w:rPr>
          <w:rtl/>
        </w:rPr>
        <w:t xml:space="preserve"> השווה 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054" w:name="b2_note76"/>
    <w:p w14:paraId="3F32B911" w14:textId="77777777" w:rsidR="00AB3647" w:rsidRDefault="00000000" w:rsidP="007923E9">
      <w:pPr>
        <w:spacing w:before="120" w:after="100" w:line="276" w:lineRule="auto"/>
        <w:jc w:val="both"/>
      </w:pPr>
      <w:r>
        <w:fldChar w:fldCharType="begin" w:dirty="true"/>
      </w:r>
      <w:r>
        <w:instrText>HYPERLINK \l "b2_ref76"</w:instrText>
      </w:r>
      <w:r>
        <w:fldChar w:fldCharType="separate"/>
      </w:r>
      <w:r>
        <w:rPr>
          <w:b/>
          <w:bCs/>
          <w:rtl/>
        </w:rPr>
        <w:t>76</w:t>
      </w:r>
      <w:r>
        <w:rPr>
          <w:b/>
          <w:bCs/>
        </w:rPr>
        <w:fldChar w:fldCharType="end"/>
      </w:r>
      <w:bookmarkEnd w:id="1054"/>
      <w:r>
        <w:rPr>
          <w:rtl/>
        </w:rPr>
        <w:t xml:space="preserve"> על הסיפור כיצד באו שתי ישיבות להתקיים זו בצד זו באותה עיר, השווה את הפסקה השישית בפרק 3.1.</w:t>
      </w:r>
    </w:p>
    <w:p w14:paraId="17F28776" w14:textId="694239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אחרי פחות מחצי שנה בסלבודקה</w:t>
      </w:r>
      <w:r>
        <w:rPr>
          <w:vertAlign w:val="superscript"/>
          <w:rtl/>
        </w:rPr>
        <w:fldChar w:fldCharType="begin" w:dirty="true"/>
      </w:r>
      <w:r>
        <w:rPr>
          <w:vertAlign w:val="superscript"/>
          <w:rtl/>
        </w:rPr>
        <w:instrText xml:space="preserve"> REF b2_note71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הוחזר אהרן הצעיר למינסק, העיר שבה כיהן פעם סבו של סבו כרב נכבד,</w:t>
      </w:r>
      <w:bookmarkStart w:id="1055" w:name="b2_ref77"/>
      <w:bookmarkEnd w:id="1055"/>
      <w:r>
        <w:rPr>
          <w:vertAlign w:val="superscript"/>
          <w:rtl/>
        </w:rPr>
        <w:fldChar w:fldCharType="begin" w:dirty="true"/>
      </w:r>
      <w:r>
        <w:rPr>
          <w:vertAlign w:val="superscript"/>
          <w:rtl/>
        </w:rPr>
        <w:instrText xml:space="preserve"> REF b2_note77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כדי שיירשם אחרי פסח תרס״ה בקיבוץ שבשול הקצבים.</w:t>
      </w:r>
      <w:bookmarkStart w:id="1056" w:name="b2_ref78"/>
      <w:bookmarkEnd w:id="1056"/>
      <w:r>
        <w:rPr>
          <w:vertAlign w:val="superscript"/>
          <w:rtl/>
        </w:rPr>
        <w:fldChar w:fldCharType="begin" w:dirty="true"/>
      </w:r>
      <w:r>
        <w:rPr>
          <w:vertAlign w:val="superscript"/>
          <w:rtl/>
        </w:rPr>
        <w:instrText xml:space="preserve"> REF b2_note78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התלמיד החדש והמבריק</w:t>
      </w:r>
      <w:bookmarkStart w:id="1057" w:name="b2_ref79"/>
      <w:bookmarkEnd w:id="1057"/>
      <w:r>
        <w:rPr>
          <w:vertAlign w:val="superscript"/>
          <w:rtl/>
        </w:rPr>
        <w:fldChar w:fldCharType="begin" w:dirty="true"/>
      </w:r>
      <w:r>
        <w:rPr>
          <w:vertAlign w:val="superscript"/>
          <w:rtl/>
        </w:rPr>
        <w:instrText xml:space="preserve"> REF b2_note79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התאים היטב בלימודו לחברו הוותיק, ונקשרה ביניהם ידידות אמיצה.</w:t>
      </w:r>
      <w:bookmarkStart w:id="1058" w:name="b2_ref80"/>
      <w:bookmarkEnd w:id="1058"/>
      <w:r>
        <w:rPr>
          <w:vertAlign w:val="superscript"/>
          <w:rtl/>
        </w:rPr>
        <w:fldChar w:fldCharType="begin" w:dirty="true"/>
      </w:r>
      <w:r>
        <w:rPr>
          <w:vertAlign w:val="superscript"/>
          <w:rtl/>
        </w:rPr>
        <w:instrText xml:space="preserve"> REF b2_note80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בני משפחת </w:t>
      </w:r>
      <w:proofErr w:type="spellStart"/>
      <w:r>
        <w:rPr>
          <w:rtl/>
        </w:rPr>
        <w:t>קמינצקי</w:t>
      </w:r>
      <w:proofErr w:type="spellEnd"/>
      <w:r>
        <w:rPr>
          <w:rtl/>
        </w:rPr>
        <w:t xml:space="preserve"> הביטו על שניהם בכבוד, בשל רדיפתם הבלתי פוסקת אחרי החכמה.</w:t>
      </w:r>
    </w:p>
    <w:bookmarkStart w:id="1059" w:name="b2_note77"/>
    <w:p w14:paraId="4E437BE1" w14:textId="77777777" w:rsidR="00AB3647" w:rsidRDefault="00000000" w:rsidP="007923E9">
      <w:pPr>
        <w:spacing w:before="120" w:after="100" w:line="276" w:lineRule="auto"/>
        <w:jc w:val="both"/>
      </w:pPr>
      <w:r>
        <w:fldChar w:fldCharType="begin" w:dirty="true"/>
      </w:r>
      <w:r>
        <w:instrText>HYPERLINK \l "b2_ref77"</w:instrText>
      </w:r>
      <w:r>
        <w:fldChar w:fldCharType="separate"/>
      </w:r>
      <w:r>
        <w:rPr>
          <w:b/>
          <w:bCs/>
          <w:rtl/>
        </w:rPr>
        <w:t>77</w:t>
      </w:r>
      <w:r>
        <w:rPr>
          <w:b/>
          <w:bCs/>
        </w:rPr>
        <w:fldChar w:fldCharType="end"/>
      </w:r>
      <w:bookmarkEnd w:id="1059"/>
      <w:r>
        <w:rPr>
          <w:rtl/>
        </w:rPr>
        <w:t xml:space="preserve"> לפי כתב היוחסין שכתב אביו של ר׳ אהרן, כפי שנרשם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60" w:name="_fnr625"/>
      <w:r>
        <w:rPr>
          <w:rStyle w:val="a5"/>
        </w:rPr>
        <w:footnoteReference w:id="625" w:customMarkFollows="0"/>
      </w:r>
      <w:bookmarkEnd w:id="1060"/>
      <w:r>
        <w:rPr>
          <w:rtl/>
        </w:rPr>
        <w:t xml:space="preserve"> סבו של ר׳ אהרן היה ר׳ משה פינס, ואבי אבותיו ר׳ יצחק פינס היה “רב אב בית דין </w:t>
      </w:r>
      <w:proofErr w:type="spellStart"/>
      <w:r>
        <w:rPr>
          <w:rtl/>
        </w:rPr>
        <w:t>ראב״ד</w:t>
      </w:r>
      <w:proofErr w:type="spellEnd"/>
      <w:r>
        <w:rPr>
          <w:rtl/>
        </w:rPr>
        <w:t xml:space="preserve">” של מינסק </w:t>
      </w:r>
      <w:proofErr w:type="spellStart"/>
      <w:r>
        <w:rPr>
          <w:rtl/>
        </w:rPr>
        <w:t>שבע־עשרה</w:t>
      </w:r>
      <w:proofErr w:type="spellEnd"/>
      <w:r>
        <w:rPr>
          <w:rtl/>
        </w:rPr>
        <w:t xml:space="preserve"> שנה, </w:t>
      </w:r>
      <w:proofErr w:type="spellStart"/>
      <w:r>
        <w:rPr>
          <w:rtl/>
        </w:rPr>
        <w:t>מתקע״ט</w:t>
      </w:r>
      <w:proofErr w:type="spellEnd"/>
      <w:r>
        <w:rPr>
          <w:rtl/>
        </w:rPr>
        <w:t xml:space="preserve"> עד תקצ״ו. אבל טענה זו, הנראית מהימנה, נסתרת </w:t>
      </w:r>
      <w:proofErr w:type="spellStart"/>
      <w:r>
        <w:rPr>
          <w:rtl/>
        </w:rPr>
        <w:t>ב“מינסק</w:t>
      </w:r>
      <w:proofErr w:type="spellEnd"/>
      <w:r>
        <w:rPr>
          <w:rtl/>
        </w:rPr>
        <w:t xml:space="preserve"> עיר ואם א”,</w:t>
      </w:r>
      <w:bookmarkStart w:id="1061" w:name="_fnr626"/>
      <w:r>
        <w:rPr>
          <w:rStyle w:val="a5"/>
        </w:rPr>
        <w:footnoteReference w:id="626" w:customMarkFollows="0"/>
      </w:r>
      <w:bookmarkEnd w:id="1061"/>
      <w:r>
        <w:rPr>
          <w:rtl/>
        </w:rPr>
        <w:t xml:space="preserve"> האומר שהרב האחרון של מינסק היה ר׳ ישראל </w:t>
      </w:r>
      <w:proofErr w:type="spellStart"/>
      <w:r>
        <w:rPr>
          <w:rtl/>
        </w:rPr>
        <w:t>מירקיס</w:t>
      </w:r>
      <w:proofErr w:type="spellEnd"/>
      <w:r>
        <w:rPr>
          <w:rtl/>
        </w:rPr>
        <w:t xml:space="preserve">, שנפטר בשנת תקע״ג, ושאחריו נקרא ראשה הרוחני של העיר בתואר הנמוך יותר “מרא דאתרא”. יתר על כן, הספר מביא את ר׳ ישראל </w:t>
      </w:r>
      <w:proofErr w:type="spellStart"/>
      <w:r>
        <w:rPr>
          <w:rtl/>
        </w:rPr>
        <w:t>היילפרין</w:t>
      </w:r>
      <w:proofErr w:type="spellEnd"/>
      <w:r>
        <w:rPr>
          <w:rtl/>
        </w:rPr>
        <w:t xml:space="preserve"> </w:t>
      </w:r>
      <w:proofErr w:type="spellStart"/>
      <w:r>
        <w:rPr>
          <w:rtl/>
        </w:rPr>
        <w:t>כמרא</w:t>
      </w:r>
      <w:proofErr w:type="spellEnd"/>
      <w:r>
        <w:rPr>
          <w:rtl/>
        </w:rPr>
        <w:t xml:space="preserve"> דאתרא של העיר בשנים תקע״ט עד תקצ״ו.</w:t>
      </w:r>
      <w:bookmarkStart w:id="1062" w:name="_fnr627"/>
      <w:r>
        <w:rPr>
          <w:rStyle w:val="a5"/>
        </w:rPr>
        <w:footnoteReference w:id="627" w:customMarkFollows="0"/>
      </w:r>
      <w:bookmarkEnd w:id="1062"/>
    </w:p>
    <w:p w14:paraId="0DF4418E" w14:textId="77777777" w:rsidR="00AB3647" w:rsidRDefault="00000000" w:rsidP="007923E9">
      <w:pPr>
        <w:spacing w:before="120" w:after="100" w:line="276" w:lineRule="auto"/>
        <w:jc w:val="both"/>
      </w:pPr>
      <w:r>
        <w:rPr>
          <w:rtl/>
        </w:rPr>
        <w:t>“מינסק עיר ואם א”</w:t>
      </w:r>
      <w:bookmarkStart w:id="1063" w:name="_fnr628"/>
      <w:r>
        <w:rPr>
          <w:rStyle w:val="a5"/>
        </w:rPr>
        <w:footnoteReference w:id="628" w:customMarkFollows="0"/>
      </w:r>
      <w:bookmarkEnd w:id="1063"/>
      <w:r>
        <w:rPr>
          <w:rtl/>
        </w:rPr>
        <w:t xml:space="preserve"> מזכיר את שמו של ר׳ יצחק פינס רק ברשימה של שבעים רבנים שכיהנו בעיר בתקופות שונות בתולדותיה, שאינן מפורטות – “</w:t>
      </w:r>
      <w:r>
        <w:rPr>
          <w:b/>
          <w:bCs/>
          <w:rtl/>
        </w:rPr>
        <w:t>לא</w:t>
      </w:r>
      <w:r>
        <w:rPr>
          <w:rtl/>
        </w:rPr>
        <w:t xml:space="preserve"> כרבנים נבחרים או כמרי דאתרא”, אלא רק כרבנים שכיהנו בעיר.</w:t>
      </w:r>
    </w:p>
    <w:bookmarkStart w:id="1064" w:name="b2_note78"/>
    <w:p w14:paraId="6E839DC1" w14:textId="77777777" w:rsidR="00AB3647" w:rsidRDefault="00000000" w:rsidP="007923E9">
      <w:pPr>
        <w:spacing w:before="120" w:after="100" w:line="276" w:lineRule="auto"/>
        <w:jc w:val="both"/>
      </w:pPr>
      <w:r>
        <w:fldChar w:fldCharType="begin" w:dirty="true"/>
      </w:r>
      <w:r>
        <w:instrText>HYPERLINK \l "b2_ref78"</w:instrText>
      </w:r>
      <w:r>
        <w:fldChar w:fldCharType="separate"/>
      </w:r>
      <w:r>
        <w:rPr>
          <w:b/>
          <w:bCs/>
          <w:rtl/>
        </w:rPr>
        <w:t>78</w:t>
      </w:r>
      <w:r>
        <w:rPr>
          <w:b/>
          <w:bCs/>
        </w:rPr>
        <w:fldChar w:fldCharType="end"/>
      </w:r>
      <w:bookmarkEnd w:id="1064"/>
      <w:r>
        <w:rPr>
          <w:rtl/>
        </w:rPr>
        <w:t xml:space="preserve"> ר׳ חיים </w:t>
      </w:r>
      <w:proofErr w:type="spellStart"/>
      <w:r>
        <w:rPr>
          <w:rtl/>
        </w:rPr>
        <w:t>גרוזובסקי</w:t>
      </w:r>
      <w:bookmarkStart w:id="1065" w:name="_fnr629"/>
      <w:proofErr w:type="spellEnd"/>
      <w:r>
        <w:rPr>
          <w:rStyle w:val="a5"/>
        </w:rPr>
        <w:footnoteReference w:id="629" w:customMarkFollows="0"/>
      </w:r>
      <w:bookmarkEnd w:id="1065"/>
      <w:r>
        <w:rPr>
          <w:rtl/>
        </w:rPr>
        <w:t xml:space="preserve"> סבר ששניהם נעשו ידידים </w:t>
      </w:r>
      <w:proofErr w:type="spellStart"/>
      <w:r>
        <w:rPr>
          <w:rtl/>
        </w:rPr>
        <w:t>בקלויז</w:t>
      </w:r>
      <w:proofErr w:type="spellEnd"/>
      <w:r>
        <w:rPr>
          <w:rtl/>
        </w:rPr>
        <w:t xml:space="preserve"> של </w:t>
      </w:r>
      <w:proofErr w:type="spellStart"/>
      <w:r>
        <w:rPr>
          <w:rtl/>
        </w:rPr>
        <w:t>בלומקה</w:t>
      </w:r>
      <w:proofErr w:type="spellEnd"/>
      <w:r>
        <w:rPr>
          <w:rtl/>
        </w:rPr>
        <w:t>, שבו למד אבי קודם לכן. דעתו נדחית, משום שאבי אמר במפורש</w:t>
      </w:r>
      <w:bookmarkStart w:id="1066" w:name="_fnr630"/>
      <w:r>
        <w:rPr>
          <w:rStyle w:val="a5"/>
        </w:rPr>
        <w:footnoteReference w:id="630" w:customMarkFollows="0"/>
      </w:r>
      <w:bookmarkEnd w:id="1066"/>
      <w:r>
        <w:rPr>
          <w:rtl/>
        </w:rPr>
        <w:t xml:space="preserve"> שהדבר היה בשול </w:t>
      </w:r>
      <w:proofErr w:type="spellStart"/>
      <w:r>
        <w:rPr>
          <w:rtl/>
        </w:rPr>
        <w:t>הקצבים</w:t>
      </w:r>
      <w:proofErr w:type="spellEnd"/>
      <w:r>
        <w:rPr>
          <w:rtl/>
        </w:rPr>
        <w:t>.</w:t>
      </w:r>
    </w:p>
    <w:bookmarkStart w:id="1067" w:name="b2_note79"/>
    <w:p w14:paraId="4A47E5A8" w14:textId="2CB4A59E" w:rsidR="00AB3647" w:rsidRDefault="00000000" w:rsidP="007923E9">
      <w:pPr>
        <w:spacing w:before="120" w:after="100" w:line="276" w:lineRule="auto"/>
        <w:jc w:val="both"/>
      </w:pPr>
      <w:r>
        <w:fldChar w:fldCharType="begin" w:dirty="true"/>
      </w:r>
      <w:r>
        <w:instrText>HYPERLINK \l "b2_ref79"</w:instrText>
      </w:r>
      <w:r>
        <w:fldChar w:fldCharType="separate"/>
      </w:r>
      <w:r>
        <w:rPr>
          <w:b/>
          <w:bCs/>
          <w:rtl/>
        </w:rPr>
        <w:t>79</w:t>
      </w:r>
      <w:r>
        <w:rPr>
          <w:b/>
          <w:bCs/>
        </w:rPr>
        <w:fldChar w:fldCharType="end"/>
      </w:r>
      <w:bookmarkEnd w:id="1067"/>
      <w:r>
        <w:rPr>
          <w:rtl/>
        </w:rPr>
        <w:t xml:space="preserve"> ראה </w:t>
      </w:r>
      <w:r>
        <w:rPr>
          <w:rtl/>
        </w:rPr>
        <w:fldChar w:fldCharType="begin" w:dirty="true"/>
      </w:r>
      <w:r>
        <w:rPr>
          <w:rtl/>
        </w:rPr>
        <w:instrText xml:space="preserve"> REF b2_excE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1068" w:name="b2_note80"/>
    <w:p w14:paraId="43423147" w14:textId="77777777" w:rsidR="00AB3647" w:rsidRDefault="00000000" w:rsidP="007923E9">
      <w:pPr>
        <w:spacing w:before="120" w:after="100" w:line="276" w:lineRule="auto"/>
        <w:jc w:val="both"/>
      </w:pPr>
      <w:r>
        <w:fldChar w:fldCharType="begin" w:dirty="true"/>
      </w:r>
      <w:r>
        <w:instrText>HYPERLINK \l "b2_ref80"</w:instrText>
      </w:r>
      <w:r>
        <w:fldChar w:fldCharType="separate"/>
      </w:r>
      <w:r>
        <w:rPr>
          <w:b/>
          <w:bCs/>
          <w:rtl/>
        </w:rPr>
        <w:t>80</w:t>
      </w:r>
      <w:r>
        <w:rPr>
          <w:b/>
          <w:bCs/>
        </w:rPr>
        <w:fldChar w:fldCharType="end"/>
      </w:r>
      <w:bookmarkEnd w:id="1068"/>
      <w:r>
        <w:rPr>
          <w:rtl/>
        </w:rPr>
        <w:t xml:space="preserve"> הידידות בין שני בוגרי שול </w:t>
      </w:r>
      <w:proofErr w:type="spellStart"/>
      <w:r>
        <w:rPr>
          <w:rtl/>
        </w:rPr>
        <w:t>הקצבים</w:t>
      </w:r>
      <w:proofErr w:type="spellEnd"/>
      <w:r>
        <w:rPr>
          <w:rtl/>
        </w:rPr>
        <w:t xml:space="preserve"> שבמינסק עתידה הייתה להימשך בלי הפסק עד תרע״ב, כשעזב ר׳ אהרן קוטלר את </w:t>
      </w:r>
      <w:proofErr w:type="spellStart"/>
      <w:r>
        <w:rPr>
          <w:rtl/>
        </w:rPr>
        <w:t>סלבודקה</w:t>
      </w:r>
      <w:proofErr w:type="spellEnd"/>
      <w:r>
        <w:rPr>
          <w:rtl/>
        </w:rPr>
        <w:t xml:space="preserve"> </w:t>
      </w:r>
      <w:proofErr w:type="spellStart"/>
      <w:r>
        <w:rPr>
          <w:rtl/>
        </w:rPr>
        <w:t>לסלוצק</w:t>
      </w:r>
      <w:proofErr w:type="spellEnd"/>
      <w:r>
        <w:rPr>
          <w:rtl/>
        </w:rPr>
        <w:t xml:space="preserve">, ושם נשא אישה והשתקע. היא חודשה בארצות הברית כעבור שלושים שנה, ונמשכה עד פטירת ר׳ אהרן בתחילת תשכ״ג. לפי ר׳ ניסן </w:t>
      </w:r>
      <w:proofErr w:type="spellStart"/>
      <w:r>
        <w:rPr>
          <w:rtl/>
        </w:rPr>
        <w:t>וולפין</w:t>
      </w:r>
      <w:proofErr w:type="spellEnd"/>
      <w:r>
        <w:rPr>
          <w:rtl/>
        </w:rPr>
        <w:t>,</w:t>
      </w:r>
      <w:bookmarkStart w:id="1069" w:name="_fnr631"/>
      <w:r>
        <w:rPr>
          <w:rStyle w:val="a5"/>
        </w:rPr>
        <w:footnoteReference w:id="631" w:customMarkFollows="0"/>
      </w:r>
      <w:bookmarkEnd w:id="1069"/>
      <w:r>
        <w:rPr>
          <w:rtl/>
        </w:rPr>
        <w:t xml:space="preserve"> הגדיר אבי את רגשותיו כלפי ר׳ אהרן כשדיבר לפני התלמידים במתיבתא תורה ודעת באמצע שנות </w:t>
      </w:r>
      <w:proofErr w:type="spellStart"/>
      <w:r>
        <w:rPr>
          <w:rtl/>
        </w:rPr>
        <w:t>הת״ש־י</w:t>
      </w:r>
      <w:proofErr w:type="spellEnd"/>
      <w:r>
        <w:rPr>
          <w:rtl/>
        </w:rPr>
        <w:t xml:space="preserve">׳, ובדבריו ביקר את ההתקפות האישיות שליוו את המחלוקות האידאולוגיות שסערו אז בין </w:t>
      </w:r>
      <w:proofErr w:type="spellStart"/>
      <w:r>
        <w:rPr>
          <w:rtl/>
        </w:rPr>
        <w:t>סאטמר</w:t>
      </w:r>
      <w:proofErr w:type="spellEnd"/>
      <w:r>
        <w:rPr>
          <w:rtl/>
        </w:rPr>
        <w:t xml:space="preserve">, בעלז </w:t>
      </w:r>
      <w:proofErr w:type="spellStart"/>
      <w:r>
        <w:rPr>
          <w:rtl/>
        </w:rPr>
        <w:t>וליובאוויטש</w:t>
      </w:r>
      <w:proofErr w:type="spellEnd"/>
      <w:r>
        <w:rPr>
          <w:rtl/>
        </w:rPr>
        <w:t xml:space="preserve">. הוא הזכיר את חילוקי הדעות שלו עצמו עם ר׳ אהרן בעניין “חינוך עצמאי”, שבו “עמדו (זה מול זה) </w:t>
      </w:r>
      <w:proofErr w:type="spellStart"/>
      <w:r>
        <w:rPr>
          <w:rtl/>
        </w:rPr>
        <w:t>אויף</w:t>
      </w:r>
      <w:proofErr w:type="spellEnd"/>
      <w:r>
        <w:rPr>
          <w:rtl/>
        </w:rPr>
        <w:t xml:space="preserve"> </w:t>
      </w:r>
      <w:proofErr w:type="spellStart"/>
      <w:r>
        <w:rPr>
          <w:rtl/>
        </w:rPr>
        <w:t>מעסערס</w:t>
      </w:r>
      <w:proofErr w:type="spellEnd"/>
      <w:r>
        <w:rPr>
          <w:rtl/>
        </w:rPr>
        <w:t xml:space="preserve"> [בסכינים]” – אבל רק בשאלות של מדיניות, ואילו ביחסיהם האישיים “אהבו זה את זה כאחים”.</w:t>
      </w:r>
    </w:p>
    <w:p w14:paraId="5D694310" w14:textId="77777777" w:rsidR="00AB3647" w:rsidRDefault="00000000" w:rsidP="007923E9">
      <w:pPr>
        <w:spacing w:before="120" w:after="100" w:line="276" w:lineRule="auto"/>
        <w:jc w:val="both"/>
      </w:pPr>
      <w:r>
        <w:rPr>
          <w:rtl/>
        </w:rPr>
        <w:t xml:space="preserve">האהבה שרחש אבי </w:t>
      </w:r>
      <w:proofErr w:type="spellStart"/>
      <w:r>
        <w:rPr>
          <w:rtl/>
        </w:rPr>
        <w:t>לר</w:t>
      </w:r>
      <w:proofErr w:type="spellEnd"/>
      <w:r>
        <w:rPr>
          <w:rtl/>
        </w:rPr>
        <w:t xml:space="preserve">׳ אהרן בעשרות שנות האחווה ההן עברה גם לבניו ולנכדיו. בשנת תשל״ט, בהספד על נכדו של ר׳ אהרן, ר׳ מאיר קוטלר, הכריז רבנו בלב שבור שמעולם לא </w:t>
      </w:r>
      <w:r>
        <w:rPr>
          <w:rtl/>
        </w:rPr>
        <w:lastRenderedPageBreak/>
        <w:t xml:space="preserve">העלה על דעתו שיחיה ויסבול את הצער להספיד ארבעה דורות זה אחר זה: ר׳ </w:t>
      </w:r>
      <w:proofErr w:type="spellStart"/>
      <w:r>
        <w:rPr>
          <w:rtl/>
        </w:rPr>
        <w:t>איסר־זלמן</w:t>
      </w:r>
      <w:proofErr w:type="spellEnd"/>
      <w:r>
        <w:rPr>
          <w:rtl/>
        </w:rPr>
        <w:t xml:space="preserve"> מלצר (חותנו של ר׳ אהרן), ר׳ אהרן, ר׳ שניאור ור׳ מאיר.</w:t>
      </w:r>
      <w:bookmarkStart w:id="1070" w:name="_fnr632"/>
      <w:bookmarkEnd w:id="1070"/>
      <w:r>
        <w:rPr>
          <w:rStyle w:val="a5"/>
        </w:rPr>
        <w:t/>
      </w:r>
      <w:bookmarkStart w:id="6999" w:name="_TranslatorNote_632"/>
      <w:r>
        <w:rPr>
          <w:rStyle w:val="a5"/>
          <w:vertAlign w:val="superscript"/>
          <w:rtl/>
        </w:rPr>
        <w:footnoteReference w:id="632" w:customMarkFollows="1"/>
        <w:t>*</w:t>
      </w:r>
      <w:bookmarkEnd w:id="6999"/>
    </w:p>
    <w:p w14:paraId="2A3EA796" w14:textId="29426F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עם מעבר הוריו למינסק זכה אבי לנוחות גופנית, אבל היא לא שקלה כנגד צער הנפש שנגרם לו כשהוריו, בדאגתם לעתידו של בנם בעולם המשתנה במהירות, נתנו בשתיקה את הסכמתם למאמציה של אחות ר׳ בנימין, ראשה, “לחנך” את אחיינה. ראשה, אוהבת ההנאות,</w:t>
      </w:r>
      <w:bookmarkStart w:id="1071" w:name="b2_ref81"/>
      <w:bookmarkEnd w:id="1071"/>
      <w:r>
        <w:rPr>
          <w:vertAlign w:val="superscript"/>
          <w:rtl/>
        </w:rPr>
        <w:fldChar w:fldCharType="begin" w:dirty="true"/>
      </w:r>
      <w:r>
        <w:rPr>
          <w:vertAlign w:val="superscript"/>
          <w:rtl/>
        </w:rPr>
        <w:instrText xml:space="preserve"> REF b2_note81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שכרה מורה בשם אשכנזי שייתן לרבנו שיעורים פרטיים.</w:t>
      </w:r>
    </w:p>
    <w:bookmarkStart w:id="1072" w:name="b2_note81"/>
    <w:p w14:paraId="40AFF91D" w14:textId="77777777" w:rsidR="00AB3647" w:rsidRDefault="00000000" w:rsidP="007923E9">
      <w:pPr>
        <w:spacing w:before="120" w:after="100" w:line="276" w:lineRule="auto"/>
        <w:jc w:val="both"/>
      </w:pPr>
      <w:r>
        <w:fldChar w:fldCharType="begin" w:dirty="true"/>
      </w:r>
      <w:r>
        <w:instrText>HYPERLINK \l "b2_ref81"</w:instrText>
      </w:r>
      <w:r>
        <w:fldChar w:fldCharType="separate"/>
      </w:r>
      <w:r>
        <w:rPr>
          <w:b/>
          <w:bCs/>
          <w:rtl/>
        </w:rPr>
        <w:t>81</w:t>
      </w:r>
      <w:r>
        <w:rPr>
          <w:b/>
          <w:bCs/>
        </w:rPr>
        <w:fldChar w:fldCharType="end"/>
      </w:r>
      <w:bookmarkEnd w:id="1072"/>
      <w:r>
        <w:rPr>
          <w:rtl/>
        </w:rPr>
        <w:t xml:space="preserve"> השווה פרק 1.4, הפסקה השלישית.</w:t>
      </w:r>
    </w:p>
    <w:p w14:paraId="39F49C49" w14:textId="6B3A4C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אשכנזי השתומם על שכלו המעולה של תלמידו, ומסר לראשה שבעוד חצי שנה יהיה הנער מוכן לבחינות לתעודת בגרות. הוא אמר עוד שמעולם לא נתקל בשכל חריף כזה, ושעתיד מזהיר מצפה לנער כאיש אקדמיה באוניברסיטה רוסית – אילו רק נטש את אמונתו הדתית. השיעורים נמשכו כמה חודשים, והמורה התלהב מן ההזדמנות להכשיר את מי שראה בו פרופסור לעתיד.</w:t>
      </w:r>
      <w:bookmarkStart w:id="1073" w:name="b2_ref82"/>
      <w:bookmarkEnd w:id="1073"/>
      <w:r>
        <w:rPr>
          <w:vertAlign w:val="superscript"/>
          <w:rtl/>
        </w:rPr>
        <w:fldChar w:fldCharType="begin" w:dirty="true"/>
      </w:r>
      <w:r>
        <w:rPr>
          <w:vertAlign w:val="superscript"/>
          <w:rtl/>
        </w:rPr>
        <w:instrText xml:space="preserve"> REF b2_note82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xml:space="preserve"> כשהחלה הדודה ראשה לפתות את אבי לעזוב את לימוד התורה לגמרי, והוא הבין שאשכנזי מוליך אותו לאותו כיוון, סירב להמשיך</w:t>
      </w:r>
      <w:bookmarkStart w:id="1074" w:name="b2_ref83"/>
      <w:bookmarkEnd w:id="1074"/>
      <w:r>
        <w:rPr>
          <w:vertAlign w:val="superscript"/>
          <w:rtl/>
        </w:rPr>
        <w:fldChar w:fldCharType="begin" w:dirty="true"/>
      </w:r>
      <w:r>
        <w:rPr>
          <w:vertAlign w:val="superscript"/>
          <w:rtl/>
        </w:rPr>
        <w:instrText xml:space="preserve"> REF b2_note83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בשיעורים.</w:t>
      </w:r>
      <w:bookmarkStart w:id="1075" w:name="b2_ref84"/>
      <w:bookmarkEnd w:id="1075"/>
      <w:r>
        <w:rPr>
          <w:vertAlign w:val="superscript"/>
          <w:rtl/>
        </w:rPr>
        <w:fldChar w:fldCharType="begin" w:dirty="true"/>
      </w:r>
      <w:r>
        <w:rPr>
          <w:vertAlign w:val="superscript"/>
          <w:rtl/>
        </w:rPr>
        <w:instrText xml:space="preserve"> REF b2_note84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באותו זמן התקוטט אהרן </w:t>
      </w:r>
      <w:proofErr w:type="spellStart"/>
      <w:r>
        <w:rPr>
          <w:rtl/>
        </w:rPr>
        <w:t>מסיסלוביץ</w:t>
      </w:r>
      <w:proofErr w:type="spellEnd"/>
      <w:r>
        <w:rPr>
          <w:rtl/>
        </w:rPr>
        <w:t>׳ עם אחותו הבוגרת, מלכה, שאהדה את הקומוניסטים ואף היא החלה ללחוץ על אחיה המבריק לעזוב את הקיבוץ לטובת תוכנית של לימודי חול.</w:t>
      </w:r>
      <w:bookmarkStart w:id="1076" w:name="b2_ref85"/>
      <w:bookmarkEnd w:id="1076"/>
      <w:r>
        <w:rPr>
          <w:vertAlign w:val="superscript"/>
          <w:rtl/>
        </w:rPr>
        <w:fldChar w:fldCharType="begin" w:dirty="true"/>
      </w:r>
      <w:r>
        <w:rPr>
          <w:vertAlign w:val="superscript"/>
          <w:rtl/>
        </w:rPr>
        <w:instrText xml:space="preserve"> REF b2_note85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p>
    <w:bookmarkStart w:id="1077" w:name="b2_note82"/>
    <w:p w14:paraId="781C72AF" w14:textId="77777777" w:rsidR="00AB3647" w:rsidRDefault="00000000" w:rsidP="007923E9">
      <w:pPr>
        <w:spacing w:before="120" w:after="100" w:line="276" w:lineRule="auto"/>
        <w:jc w:val="both"/>
      </w:pPr>
      <w:r>
        <w:fldChar w:fldCharType="begin" w:dirty="true"/>
      </w:r>
      <w:r>
        <w:instrText>HYPERLINK \l "b2_ref82"</w:instrText>
      </w:r>
      <w:r>
        <w:fldChar w:fldCharType="separate"/>
      </w:r>
      <w:r>
        <w:rPr>
          <w:b/>
          <w:bCs/>
          <w:rtl/>
        </w:rPr>
        <w:t>82</w:t>
      </w:r>
      <w:r>
        <w:rPr>
          <w:b/>
          <w:bCs/>
        </w:rPr>
        <w:fldChar w:fldCharType="end"/>
      </w:r>
      <w:bookmarkEnd w:id="1077"/>
      <w:r>
        <w:rPr>
          <w:rtl/>
        </w:rPr>
        <w:t xml:space="preserve"> הדודה דבורה.</w:t>
      </w:r>
      <w:bookmarkStart w:id="1078" w:name="_fnr633"/>
      <w:r>
        <w:rPr>
          <w:rStyle w:val="a5"/>
        </w:rPr>
        <w:footnoteReference w:id="633" w:customMarkFollows="0"/>
      </w:r>
      <w:bookmarkEnd w:id="1078"/>
      <w:r>
        <w:rPr>
          <w:rtl/>
        </w:rPr>
        <w:t xml:space="preserve"> דודתי לא זכרה את שמו הפרטי של המורה, אשכנזי. אבי לא סיפר מעולם לילדיו על השיעורים הפרטיים האלה, אבל אין סיבה לפקפק באמיתות הדיווחים שלרבנו היו שיעורים סדירים </w:t>
      </w:r>
      <w:proofErr w:type="spellStart"/>
      <w:r>
        <w:rPr>
          <w:rtl/>
        </w:rPr>
        <w:t>ב“</w:t>
      </w:r>
      <w:r>
        <w:rPr>
          <w:b/>
          <w:bCs/>
          <w:rtl/>
        </w:rPr>
        <w:t>לימודי</w:t>
      </w:r>
      <w:proofErr w:type="spellEnd"/>
      <w:r>
        <w:rPr>
          <w:rtl/>
        </w:rPr>
        <w:t xml:space="preserve"> חול”.</w:t>
      </w:r>
      <w:bookmarkStart w:id="1079" w:name="_fnr634"/>
      <w:r>
        <w:rPr>
          <w:rStyle w:val="a5"/>
        </w:rPr>
        <w:footnoteReference w:id="634" w:customMarkFollows="0"/>
      </w:r>
      <w:bookmarkEnd w:id="1079"/>
      <w:r>
        <w:rPr>
          <w:rtl/>
        </w:rPr>
        <w:t xml:space="preserve"> ר׳ </w:t>
      </w:r>
      <w:proofErr w:type="spellStart"/>
      <w:r>
        <w:rPr>
          <w:rtl/>
        </w:rPr>
        <w:t>לייבל</w:t>
      </w:r>
      <w:proofErr w:type="spellEnd"/>
      <w:r>
        <w:rPr>
          <w:rtl/>
        </w:rPr>
        <w:t xml:space="preserve"> </w:t>
      </w:r>
      <w:proofErr w:type="spellStart"/>
      <w:r>
        <w:rPr>
          <w:rtl/>
        </w:rPr>
        <w:t>פרלשטיין</w:t>
      </w:r>
      <w:bookmarkStart w:id="1080" w:name="_fnr635"/>
      <w:proofErr w:type="spellEnd"/>
      <w:r>
        <w:rPr>
          <w:rStyle w:val="a5"/>
        </w:rPr>
        <w:footnoteReference w:id="635" w:customMarkFollows="0"/>
      </w:r>
      <w:bookmarkEnd w:id="1080"/>
      <w:r>
        <w:rPr>
          <w:rtl/>
        </w:rPr>
        <w:t xml:space="preserve"> אישר עובדה זו כשסיפר</w:t>
      </w:r>
      <w:bookmarkStart w:id="1081" w:name="_fnr636"/>
      <w:bookmarkStart w:id="1082" w:name="pr_f_561"/>
      <w:r>
        <w:rPr>
          <w:rStyle w:val="a5"/>
        </w:rPr>
        <w:footnoteReference w:id="636" w:customMarkFollows="0"/>
      </w:r>
      <w:bookmarkEnd w:id="1081"/>
      <w:bookmarkEnd w:id="1082"/>
      <w:r>
        <w:rPr>
          <w:rtl/>
        </w:rPr>
        <w:t xml:space="preserve"> שרבנו אמר לו שבנעוריו היו לו שיעורים פרטיים בלימודי חול.</w:t>
      </w:r>
      <w:bookmarkStart w:id="1083" w:name="_fnr637"/>
      <w:r>
        <w:rPr>
          <w:rStyle w:val="a5"/>
        </w:rPr>
        <w:footnoteReference w:id="637" w:customMarkFollows="0"/>
      </w:r>
      <w:bookmarkEnd w:id="1083"/>
    </w:p>
    <w:bookmarkStart w:id="1084" w:name="b2_note83"/>
    <w:p w14:paraId="76689F6D" w14:textId="77777777" w:rsidR="00AB3647" w:rsidRDefault="00000000" w:rsidP="007923E9">
      <w:pPr>
        <w:spacing w:before="120" w:after="100" w:line="276" w:lineRule="auto"/>
        <w:jc w:val="both"/>
      </w:pPr>
      <w:r>
        <w:fldChar w:fldCharType="begin" w:dirty="true"/>
      </w:r>
      <w:r>
        <w:instrText>HYPERLINK \l "b2_ref83"</w:instrText>
      </w:r>
      <w:r>
        <w:fldChar w:fldCharType="separate"/>
      </w:r>
      <w:r>
        <w:rPr>
          <w:b/>
          <w:bCs/>
          <w:rtl/>
        </w:rPr>
        <w:t>83</w:t>
      </w:r>
      <w:r>
        <w:rPr>
          <w:b/>
          <w:bCs/>
        </w:rPr>
        <w:fldChar w:fldCharType="end"/>
      </w:r>
      <w:bookmarkEnd w:id="1084"/>
      <w:r>
        <w:rPr>
          <w:rtl/>
        </w:rPr>
        <w:t xml:space="preserve"> הטעם שבגללו פיטר את מורו נרשם כאן לפי גרסתו של ר׳ </w:t>
      </w:r>
      <w:proofErr w:type="spellStart"/>
      <w:r>
        <w:rPr>
          <w:rtl/>
        </w:rPr>
        <w:t>לייבל</w:t>
      </w:r>
      <w:proofErr w:type="spellEnd"/>
      <w:r>
        <w:rPr>
          <w:rtl/>
        </w:rPr>
        <w:t xml:space="preserve"> </w:t>
      </w:r>
      <w:proofErr w:type="spellStart"/>
      <w:r>
        <w:rPr>
          <w:rtl/>
        </w:rPr>
        <w:t>פרלשטיין</w:t>
      </w:r>
      <w:proofErr w:type="spellEnd"/>
      <w:r>
        <w:rPr>
          <w:rtl/>
        </w:rPr>
        <w:t>.</w:t>
      </w:r>
      <w:bookmarkStart w:id="1085" w:name="_fnr638"/>
      <w:r>
        <w:rPr>
          <w:rStyle w:val="a5"/>
        </w:rPr>
        <w:footnoteReference w:id="638" w:customMarkFollows="0"/>
      </w:r>
      <w:bookmarkEnd w:id="1085"/>
      <w:r>
        <w:rPr>
          <w:rtl/>
        </w:rPr>
        <w:t xml:space="preserve"> בפגישתנו האישית סיפרה הדודה דבורה שכאשר אחיה “ראה שמורו מנסה בסתר להרחיקו מן הדת”, עזב אותו.</w:t>
      </w:r>
    </w:p>
    <w:bookmarkStart w:id="1086" w:name="b2_note84"/>
    <w:p w14:paraId="26B9228B" w14:textId="36982A39" w:rsidR="00AB3647" w:rsidRDefault="00000000" w:rsidP="007923E9">
      <w:pPr>
        <w:spacing w:before="120" w:after="100" w:line="276" w:lineRule="auto"/>
        <w:jc w:val="both"/>
      </w:pPr>
      <w:r>
        <w:lastRenderedPageBreak/>
        <w:fldChar w:fldCharType="begin" w:dirty="true"/>
      </w:r>
      <w:r>
        <w:instrText>HYPERLINK \l "b2_ref84"</w:instrText>
      </w:r>
      <w:r>
        <w:fldChar w:fldCharType="separate"/>
      </w:r>
      <w:r>
        <w:rPr>
          <w:b/>
          <w:bCs/>
          <w:rtl/>
        </w:rPr>
        <w:t>84</w:t>
      </w:r>
      <w:r>
        <w:rPr>
          <w:b/>
          <w:bCs/>
        </w:rPr>
        <w:fldChar w:fldCharType="end"/>
      </w:r>
      <w:bookmarkEnd w:id="1086"/>
      <w:r>
        <w:rPr>
          <w:rtl/>
        </w:rPr>
        <w:t xml:space="preserve"> בפגישה עם הדודה דבורה סיפרה שאחרי שנפרד אבי מאשכנזי המשיך ללמוד בכוחות עצמו, ניגש לבחינות חיצוניות וקיבל תעודת בגרות רוסית. היא השתוממה כשסיפרתי לה שאבי מעולם לא אמר לילדיו שקיבל תעודה. אם צדקה הדודה דבורה, יש ללמוד הרבה מן הסודיות המכוונת של אבי בעניין זה. השווה פרק 4,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שם מובאים דברי רבנו על מישהו שהשיג תעודת בגרות, שזה “דבר </w:t>
      </w:r>
      <w:proofErr w:type="spellStart"/>
      <w:r>
        <w:rPr>
          <w:rtl/>
        </w:rPr>
        <w:t>שסלבודקה</w:t>
      </w:r>
      <w:proofErr w:type="spellEnd"/>
      <w:r>
        <w:rPr>
          <w:rtl/>
        </w:rPr>
        <w:t xml:space="preserve"> לא ראתה בעין יפה”. אולי הסתייגות זו מחקה את מעשהו שלו, אם לא מתודעתו, לפחות מלשונו.</w:t>
      </w:r>
    </w:p>
    <w:p w14:paraId="276EF169" w14:textId="77777777" w:rsidR="00AB3647" w:rsidRDefault="00000000" w:rsidP="007923E9">
      <w:pPr>
        <w:spacing w:after="100" w:line="276" w:lineRule="auto"/>
        <w:ind w:firstLine="340"/>
        <w:jc w:val="both"/>
      </w:pPr>
      <w:r>
        <w:rPr>
          <w:rtl/>
        </w:rPr>
        <w:t>בתשובה לשאלה מאוחרת יותר כתבה הדודה דבורה</w:t>
      </w:r>
      <w:bookmarkStart w:id="1087" w:name="_fnr639"/>
      <w:r>
        <w:rPr>
          <w:rStyle w:val="a5"/>
        </w:rPr>
        <w:footnoteReference w:id="639" w:customMarkFollows="0"/>
      </w:r>
      <w:bookmarkEnd w:id="1087"/>
      <w:r>
        <w:rPr>
          <w:rtl/>
        </w:rPr>
        <w:t xml:space="preserve"> שהוריה כיבדו את החלטת בנם לעזוב את אשכנזי ולא ניסו להניאו ממנה. עוד כתבה שלדעתה עזרו לבנם להשיג את הספרים שנזקק להם כדי להתכונן לבחינות הבגרות. דבריה אינם סותרים את מה שאמר ר׳ </w:t>
      </w:r>
      <w:proofErr w:type="spellStart"/>
      <w:r>
        <w:rPr>
          <w:rtl/>
        </w:rPr>
        <w:t>לייבל</w:t>
      </w:r>
      <w:proofErr w:type="spellEnd"/>
      <w:r>
        <w:rPr>
          <w:rtl/>
        </w:rPr>
        <w:t xml:space="preserve"> </w:t>
      </w:r>
      <w:proofErr w:type="spellStart"/>
      <w:r>
        <w:rPr>
          <w:rtl/>
        </w:rPr>
        <w:t>פרלשטיין</w:t>
      </w:r>
      <w:bookmarkStart w:id="1088" w:name="_fnr640"/>
      <w:proofErr w:type="spellEnd"/>
      <w:r>
        <w:rPr>
          <w:rStyle w:val="a5"/>
        </w:rPr>
        <w:footnoteReference w:id="640" w:customMarkFollows="0"/>
      </w:r>
      <w:bookmarkEnd w:id="1088"/>
      <w:r>
        <w:rPr>
          <w:rtl/>
        </w:rPr>
        <w:t xml:space="preserve"> ששמע מפי רבנו עצמו: מורו, אשכנזי, אמר לו שיוכל לרשום אותו בעצמו לאוניברסיטה, ואף כתב מסמך המופנה אליה ומעיד על הישגיו הלימודיים של תלמידו. מבחינת ידיעותיו אפשר שהיה מוכן להיכנס לאוניברסיטה לפני שסיים בפועל את בחינות הבגרות, ואשכנזי היה מוכן לרשום אותו כבר בזמן המוקדם יותר.</w:t>
      </w:r>
    </w:p>
    <w:p w14:paraId="6630047C" w14:textId="77777777" w:rsidR="00AB3647" w:rsidRDefault="00000000" w:rsidP="007923E9">
      <w:pPr>
        <w:spacing w:after="100" w:line="276" w:lineRule="auto"/>
        <w:ind w:firstLine="340"/>
        <w:jc w:val="both"/>
      </w:pPr>
      <w:r>
        <w:rPr>
          <w:rtl/>
        </w:rPr>
        <w:t xml:space="preserve">בשעת ביקורי אצל הדודה דבורה העירה כמה יפה היה כתב ידו הרוסי של אבי במכתבים שהחליפו אחרי שמצאו זה את זה בראשית שנות </w:t>
      </w:r>
      <w:proofErr w:type="spellStart"/>
      <w:r>
        <w:rPr>
          <w:rtl/>
        </w:rPr>
        <w:t>הת״ש־כ</w:t>
      </w:r>
      <w:proofErr w:type="spellEnd"/>
      <w:r>
        <w:rPr>
          <w:rtl/>
        </w:rPr>
        <w:t>׳. היא אמרה שאף על פי שלא השתמש בשפה עשרות שנים, שגיאותיו הדקדוקיות היו מעטות וקלות. גם כתב ידו העברי של רבנו ניחן בחן ויופי</w:t>
      </w:r>
      <w:bookmarkStart w:id="1089" w:name="_fnr641"/>
      <w:r>
        <w:rPr>
          <w:rStyle w:val="a5"/>
        </w:rPr>
        <w:footnoteReference w:id="641" w:customMarkFollows="0"/>
      </w:r>
      <w:bookmarkEnd w:id="1089"/>
      <w:r>
        <w:rPr>
          <w:rtl/>
        </w:rPr>
        <w:t>, ודקדוקו היה ללא דופי, כמובן.</w:t>
      </w:r>
    </w:p>
    <w:p w14:paraId="5B2903DA" w14:textId="77777777" w:rsidR="00AB3647" w:rsidRDefault="00000000" w:rsidP="007923E9">
      <w:pPr>
        <w:spacing w:after="100" w:line="276" w:lineRule="auto"/>
        <w:ind w:firstLine="340"/>
        <w:jc w:val="both"/>
      </w:pPr>
      <w:r>
        <w:rPr>
          <w:rtl/>
        </w:rPr>
        <w:t xml:space="preserve">אחרי ביקור אצל רבנו בשנת תשל״ב סיפר ר׳ מיכל זילבר שאבי ראה בהשכלה תיכונית דבר הכרחי ליהודים היושבים באמריקה בימיו. אבי סיפר לו שכאשר שאל אותו משגיח ידוע אם לשלוח את בנו לבית הספר, השיב בחיוב, והוסיף הערכה </w:t>
      </w:r>
      <w:proofErr w:type="spellStart"/>
      <w:r>
        <w:rPr>
          <w:rtl/>
        </w:rPr>
        <w:t>ש“כל</w:t>
      </w:r>
      <w:proofErr w:type="spellEnd"/>
      <w:r>
        <w:rPr>
          <w:rtl/>
        </w:rPr>
        <w:t xml:space="preserve"> אלה שלא הלכו לבית הספר לא היו מצליחים גם בלימוד (התורה)”.</w:t>
      </w:r>
      <w:bookmarkStart w:id="1090" w:name="_fnr642"/>
      <w:r>
        <w:rPr>
          <w:rStyle w:val="a5"/>
        </w:rPr>
        <w:footnoteReference w:id="642" w:customMarkFollows="0"/>
      </w:r>
      <w:bookmarkEnd w:id="1090"/>
      <w:r>
        <w:rPr>
          <w:rtl/>
        </w:rPr>
        <w:t xml:space="preserve"> אבל ליהודים היושבים בארץ ישראל ראה בהשכלה חילונית דבר פסול, וסיכם לרב זילבר: “באמריקה – חייבים, ובארץ ישראל – </w:t>
      </w:r>
      <w:r>
        <w:rPr>
          <w:b/>
          <w:bCs/>
          <w:rtl/>
        </w:rPr>
        <w:t>אסור</w:t>
      </w:r>
      <w:r>
        <w:rPr>
          <w:rtl/>
        </w:rPr>
        <w:t>”.</w:t>
      </w:r>
    </w:p>
    <w:bookmarkStart w:id="1091" w:name="b2_note85"/>
    <w:p w14:paraId="4F85B73C" w14:textId="77777777" w:rsidR="00AB3647" w:rsidRDefault="00000000" w:rsidP="007923E9">
      <w:pPr>
        <w:spacing w:before="120" w:after="100" w:line="276" w:lineRule="auto"/>
        <w:jc w:val="both"/>
      </w:pPr>
      <w:r>
        <w:fldChar w:fldCharType="begin" w:dirty="true"/>
      </w:r>
      <w:r>
        <w:instrText>HYPERLINK \l "b2_ref85"</w:instrText>
      </w:r>
      <w:r>
        <w:fldChar w:fldCharType="separate"/>
      </w:r>
      <w:r>
        <w:rPr>
          <w:b/>
          <w:bCs/>
          <w:rtl/>
        </w:rPr>
        <w:t>85</w:t>
      </w:r>
      <w:r>
        <w:rPr>
          <w:b/>
          <w:bCs/>
        </w:rPr>
        <w:fldChar w:fldCharType="end"/>
      </w:r>
      <w:bookmarkEnd w:id="1091"/>
      <w:r>
        <w:rPr>
          <w:rtl/>
        </w:rPr>
        <w:t xml:space="preserve"> ר׳ </w:t>
      </w:r>
      <w:proofErr w:type="spellStart"/>
      <w:r>
        <w:rPr>
          <w:rtl/>
        </w:rPr>
        <w:t>יעקב־אליעזר</w:t>
      </w:r>
      <w:proofErr w:type="spellEnd"/>
      <w:r>
        <w:rPr>
          <w:rtl/>
        </w:rPr>
        <w:t xml:space="preserve"> שוורצמן, נכדו של ר׳ אהרן, גילה</w:t>
      </w:r>
      <w:bookmarkStart w:id="1092" w:name="_fnr643"/>
      <w:r>
        <w:rPr>
          <w:rStyle w:val="a5"/>
        </w:rPr>
        <w:footnoteReference w:id="643" w:customMarkFollows="0"/>
      </w:r>
      <w:bookmarkEnd w:id="1092"/>
      <w:r>
        <w:rPr>
          <w:rtl/>
        </w:rPr>
        <w:t xml:space="preserve"> שבמשפחת קוטלר יש מסורת ש</w:t>
      </w:r>
      <w:r>
        <w:rPr>
          <w:b/>
          <w:bCs/>
          <w:rtl/>
        </w:rPr>
        <w:t>אחרי</w:t>
      </w:r>
      <w:r>
        <w:rPr>
          <w:rtl/>
        </w:rPr>
        <w:t xml:space="preserve"> שהיה סבו </w:t>
      </w:r>
      <w:proofErr w:type="spellStart"/>
      <w:r>
        <w:rPr>
          <w:rtl/>
        </w:rPr>
        <w:t>בסלבודקה</w:t>
      </w:r>
      <w:proofErr w:type="spellEnd"/>
      <w:r>
        <w:rPr>
          <w:rtl/>
        </w:rPr>
        <w:t xml:space="preserve"> חזר למינסק לבקשת אחותו הגדולה שישבה שם, ושר׳ </w:t>
      </w:r>
      <w:proofErr w:type="spellStart"/>
      <w:r>
        <w:rPr>
          <w:rtl/>
        </w:rPr>
        <w:t>נתן־צבי</w:t>
      </w:r>
      <w:proofErr w:type="spellEnd"/>
      <w:r>
        <w:rPr>
          <w:rtl/>
        </w:rPr>
        <w:t xml:space="preserve"> </w:t>
      </w:r>
      <w:proofErr w:type="spellStart"/>
      <w:r>
        <w:rPr>
          <w:rtl/>
        </w:rPr>
        <w:t>פינקל</w:t>
      </w:r>
      <w:proofErr w:type="spellEnd"/>
      <w:r>
        <w:rPr>
          <w:rtl/>
        </w:rPr>
        <w:t xml:space="preserve">, הסבא, שלח את ר׳ ראובן </w:t>
      </w:r>
      <w:proofErr w:type="spellStart"/>
      <w:r>
        <w:rPr>
          <w:rtl/>
        </w:rPr>
        <w:t>גרוזובסקי</w:t>
      </w:r>
      <w:proofErr w:type="spellEnd"/>
      <w:r>
        <w:rPr>
          <w:rtl/>
        </w:rPr>
        <w:t xml:space="preserve"> להחזירו. בהתאם למה שנדפס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093" w:name="_fnr644"/>
      <w:r>
        <w:rPr>
          <w:rStyle w:val="a5"/>
        </w:rPr>
        <w:footnoteReference w:id="644" w:customMarkFollows="0"/>
      </w:r>
      <w:bookmarkEnd w:id="1093"/>
      <w:r>
        <w:rPr>
          <w:rtl/>
        </w:rPr>
        <w:t xml:space="preserve"> שיער ר׳ </w:t>
      </w:r>
      <w:proofErr w:type="spellStart"/>
      <w:r>
        <w:rPr>
          <w:rtl/>
        </w:rPr>
        <w:t>יעקב־אליעזר</w:t>
      </w:r>
      <w:proofErr w:type="spellEnd"/>
      <w:r>
        <w:rPr>
          <w:rtl/>
        </w:rPr>
        <w:t xml:space="preserve"> שהדבר אירע כשר׳ אהרן היה צעיר יותר משהיה באמת, ושמישיבת כנסת ישראל של הסבא חזר למינסק – שכן המרואיין היה סבור בטעות שהישיבה היחידה </w:t>
      </w:r>
      <w:proofErr w:type="spellStart"/>
      <w:r>
        <w:rPr>
          <w:rtl/>
        </w:rPr>
        <w:t>בסלבודקה</w:t>
      </w:r>
      <w:proofErr w:type="spellEnd"/>
      <w:r>
        <w:rPr>
          <w:rtl/>
        </w:rPr>
        <w:t xml:space="preserve"> שבה למד סבו הייתה כנסת ישראל.</w:t>
      </w:r>
    </w:p>
    <w:p w14:paraId="57D347FF" w14:textId="06989491" w:rsidR="00AB3647" w:rsidRDefault="00000000" w:rsidP="007923E9">
      <w:pPr>
        <w:spacing w:before="120" w:after="100" w:line="276" w:lineRule="auto"/>
        <w:jc w:val="both"/>
      </w:pPr>
      <w:r>
        <w:rPr>
          <w:rtl/>
        </w:rPr>
        <w:lastRenderedPageBreak/>
        <w:t xml:space="preserve">הישיבה </w:t>
      </w:r>
      <w:proofErr w:type="spellStart"/>
      <w:r>
        <w:rPr>
          <w:rtl/>
        </w:rPr>
        <w:t>הסלבודקאית</w:t>
      </w:r>
      <w:proofErr w:type="spellEnd"/>
      <w:r>
        <w:rPr>
          <w:rtl/>
        </w:rPr>
        <w:t xml:space="preserve"> שעזב באמת הייתה כנסת בית יצחק, אחרי שלמד בה פחות מחצי שנה – כמבואר ב</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 ואף על פי כן שלח הסבא </w:t>
      </w:r>
      <w:proofErr w:type="spellStart"/>
      <w:r>
        <w:rPr>
          <w:rtl/>
        </w:rPr>
        <w:t>מסלבודקה</w:t>
      </w:r>
      <w:proofErr w:type="spellEnd"/>
      <w:r>
        <w:rPr>
          <w:rtl/>
        </w:rPr>
        <w:t xml:space="preserve">, המשגיח של הישיבה האחרת </w:t>
      </w:r>
      <w:proofErr w:type="spellStart"/>
      <w:r>
        <w:rPr>
          <w:rtl/>
        </w:rPr>
        <w:t>שבסלבודקה</w:t>
      </w:r>
      <w:proofErr w:type="spellEnd"/>
      <w:r>
        <w:rPr>
          <w:rtl/>
        </w:rPr>
        <w:t>, את ר׳ ראובן אחריו, כדלהלן בהערה 94.</w:t>
      </w:r>
    </w:p>
    <w:p w14:paraId="5F7DDB40" w14:textId="26883992" w:rsidR="00AB3647" w:rsidRDefault="00000000" w:rsidP="007923E9">
      <w:pPr>
        <w:spacing w:after="100" w:line="276" w:lineRule="auto"/>
        <w:ind w:firstLine="340"/>
        <w:jc w:val="both"/>
      </w:pPr>
      <w:r>
        <w:rPr>
          <w:rtl/>
        </w:rPr>
        <w:t xml:space="preserve">ר׳ זרח </w:t>
      </w:r>
      <w:proofErr w:type="spellStart"/>
      <w:r>
        <w:rPr>
          <w:rtl/>
        </w:rPr>
        <w:t>ורהפטיג</w:t>
      </w:r>
      <w:bookmarkStart w:id="1094" w:name="_fnr645"/>
      <w:proofErr w:type="spellEnd"/>
      <w:r>
        <w:rPr>
          <w:rStyle w:val="a5"/>
        </w:rPr>
        <w:footnoteReference w:id="645" w:customMarkFollows="0"/>
      </w:r>
      <w:bookmarkEnd w:id="1094"/>
      <w:r>
        <w:rPr>
          <w:rtl/>
        </w:rPr>
        <w:t xml:space="preserve"> אמר</w:t>
      </w:r>
      <w:bookmarkStart w:id="1095" w:name="_fnr646"/>
      <w:r>
        <w:rPr>
          <w:rStyle w:val="a5"/>
        </w:rPr>
        <w:footnoteReference w:id="646" w:customMarkFollows="0"/>
      </w:r>
      <w:bookmarkEnd w:id="1095"/>
      <w:r>
        <w:rPr>
          <w:rtl/>
        </w:rPr>
        <w:t xml:space="preserve"> שעל מלחמותיו החריפות של ר׳ אהרן</w:t>
      </w:r>
      <w:bookmarkStart w:id="1096" w:name="_fnr647"/>
      <w:r>
        <w:rPr>
          <w:rStyle w:val="a5"/>
        </w:rPr>
        <w:footnoteReference w:id="647" w:customMarkFollows="0"/>
      </w:r>
      <w:bookmarkEnd w:id="1096"/>
      <w:r>
        <w:rPr>
          <w:rtl/>
        </w:rPr>
        <w:t xml:space="preserve"> נגד החוגים שאינם דתיים בפולין שלפני המלחמה אמרו אז שמניען היה “שבנעוריו היה במידת מה </w:t>
      </w:r>
      <w:proofErr w:type="spellStart"/>
      <w:r>
        <w:rPr>
          <w:rtl/>
        </w:rPr>
        <w:t>געכאפט</w:t>
      </w:r>
      <w:proofErr w:type="spellEnd"/>
      <w:r>
        <w:rPr>
          <w:rtl/>
        </w:rPr>
        <w:t xml:space="preserve"> </w:t>
      </w:r>
      <w:proofErr w:type="spellStart"/>
      <w:r>
        <w:rPr>
          <w:rtl/>
        </w:rPr>
        <w:t>אויף</w:t>
      </w:r>
      <w:proofErr w:type="spellEnd"/>
      <w:r>
        <w:rPr>
          <w:rtl/>
        </w:rPr>
        <w:t xml:space="preserve"> [נתפס ל]השכלה, ולכן היה מודע יותר לסכנותיה”. את היסוד לשמועות אלה סביר לייחס להשפעה שהייתה לאחותו עליו בזמן ההוא ואחר כך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 אבל לומר </w:t>
      </w:r>
      <w:proofErr w:type="spellStart"/>
      <w:r>
        <w:rPr>
          <w:rtl/>
        </w:rPr>
        <w:t>ש“</w:t>
      </w:r>
      <w:r>
        <w:rPr>
          <w:b/>
          <w:bCs/>
          <w:rtl/>
        </w:rPr>
        <w:t>נתפס</w:t>
      </w:r>
      <w:proofErr w:type="spellEnd"/>
      <w:r>
        <w:rPr>
          <w:b/>
          <w:bCs/>
          <w:rtl/>
        </w:rPr>
        <w:t xml:space="preserve"> להשכלה</w:t>
      </w:r>
      <w:r>
        <w:rPr>
          <w:rtl/>
        </w:rPr>
        <w:t>” נראה מוגזם.</w:t>
      </w:r>
    </w:p>
    <w:p w14:paraId="7A510960" w14:textId="77777777" w:rsidR="00AB3647" w:rsidRDefault="00000000" w:rsidP="007923E9">
      <w:pPr>
        <w:spacing w:after="100" w:line="276" w:lineRule="auto"/>
        <w:ind w:firstLine="340"/>
        <w:jc w:val="both"/>
      </w:pPr>
      <w:r>
        <w:rPr>
          <w:rtl/>
        </w:rPr>
        <w:t xml:space="preserve">ר׳ חיים </w:t>
      </w:r>
      <w:proofErr w:type="spellStart"/>
      <w:r>
        <w:rPr>
          <w:rtl/>
        </w:rPr>
        <w:t>גרוזובסקי</w:t>
      </w:r>
      <w:proofErr w:type="spellEnd"/>
      <w:r>
        <w:rPr>
          <w:rtl/>
        </w:rPr>
        <w:t xml:space="preserve"> סיפר</w:t>
      </w:r>
      <w:bookmarkStart w:id="1097" w:name="_fnr648"/>
      <w:r>
        <w:rPr>
          <w:rStyle w:val="a5"/>
        </w:rPr>
        <w:footnoteReference w:id="648" w:customMarkFollows="0"/>
      </w:r>
      <w:bookmarkEnd w:id="1097"/>
      <w:r>
        <w:rPr>
          <w:rtl/>
        </w:rPr>
        <w:t xml:space="preserve"> על רחמי הקודש שגילה ר׳ אהרן כלפי אחותו, למרות המכשולים שהציבה בדרכו הרוחנית בשנותיו הראשונות. היא שרדה את מלחמת העולם השנייה בפריז, ושם הייתה פרופסור למתמטיקה. אחר כך הביאה ר׳ אהרן לארצות הברית, ושם הייתה חברת סגל באוניברסיטת קולומביה בניו יורק. לימים סידר שתתקבל לבית אבות – היא לא נישאה מעולם – ושם חיה בבדידות. הוא ציווה על בנו, ר׳ שניאור, לבקרה. לפי הרב </w:t>
      </w:r>
      <w:proofErr w:type="spellStart"/>
      <w:r>
        <w:rPr>
          <w:rtl/>
        </w:rPr>
        <w:t>גרוזובסקי</w:t>
      </w:r>
      <w:proofErr w:type="spellEnd"/>
      <w:r>
        <w:rPr>
          <w:rtl/>
        </w:rPr>
        <w:t xml:space="preserve">, היא לא ידעה מה מעמדו של אחיה בעולם היהודי כשאמרה לרב בית האבות שיש לה אח בעל שכל מעולה בהרבה משלה, שהיה נעשה מגדולי המתמטיקאים בעולם “אלמלא מישהו בשם </w:t>
      </w:r>
      <w:proofErr w:type="spellStart"/>
      <w:r>
        <w:rPr>
          <w:rtl/>
        </w:rPr>
        <w:t>גרוזובסקי</w:t>
      </w:r>
      <w:proofErr w:type="spellEnd"/>
      <w:r>
        <w:rPr>
          <w:rtl/>
        </w:rPr>
        <w:t xml:space="preserve"> שגייס אותו לענייני דת”.</w:t>
      </w:r>
    </w:p>
    <w:p w14:paraId="11E1B3FE" w14:textId="77777777" w:rsidR="00AB3647" w:rsidRDefault="00000000" w:rsidP="007923E9">
      <w:pPr>
        <w:spacing w:after="100" w:line="276" w:lineRule="auto"/>
        <w:ind w:firstLine="340"/>
        <w:jc w:val="both"/>
      </w:pPr>
      <w:r>
        <w:rPr>
          <w:rtl/>
        </w:rPr>
        <w:t xml:space="preserve">אבל מחקר נוסף העלה שהאישה הנבונה מאוד ידעה שר׳ אהרן היה מנהיג גדול בישראל, ואף על פי כן הצטערה שלא נעשה מדען. כפי שסיפר ר׳ </w:t>
      </w:r>
      <w:proofErr w:type="spellStart"/>
      <w:r>
        <w:rPr>
          <w:rtl/>
        </w:rPr>
        <w:t>פביאן</w:t>
      </w:r>
      <w:proofErr w:type="spellEnd"/>
      <w:r>
        <w:rPr>
          <w:rtl/>
        </w:rPr>
        <w:t xml:space="preserve"> </w:t>
      </w:r>
      <w:proofErr w:type="spellStart"/>
      <w:r>
        <w:rPr>
          <w:rtl/>
        </w:rPr>
        <w:t>שנפלד</w:t>
      </w:r>
      <w:proofErr w:type="spellEnd"/>
      <w:r>
        <w:rPr>
          <w:rtl/>
        </w:rPr>
        <w:t>,</w:t>
      </w:r>
      <w:bookmarkStart w:id="1098" w:name="_fnr649"/>
      <w:r>
        <w:rPr>
          <w:rStyle w:val="a5"/>
        </w:rPr>
        <w:footnoteReference w:id="649" w:customMarkFollows="0"/>
      </w:r>
      <w:bookmarkEnd w:id="1098"/>
      <w:r>
        <w:rPr>
          <w:rtl/>
        </w:rPr>
        <w:t xml:space="preserve"> שביקר תדיר בבית האבות, כשביקר אותה פעם עם ידיד צעיר שאלה את הצעיר באיזה מקצוע הוא מתכוון לעסוק, וכשהשיב “ברבנות”, אמרה שאחיה “האט </w:t>
      </w:r>
      <w:proofErr w:type="spellStart"/>
      <w:r>
        <w:rPr>
          <w:rtl/>
        </w:rPr>
        <w:t>זיך</w:t>
      </w:r>
      <w:proofErr w:type="spellEnd"/>
      <w:r>
        <w:rPr>
          <w:rtl/>
        </w:rPr>
        <w:t xml:space="preserve"> </w:t>
      </w:r>
      <w:proofErr w:type="spellStart"/>
      <w:r>
        <w:rPr>
          <w:rtl/>
        </w:rPr>
        <w:t>באנארישט</w:t>
      </w:r>
      <w:proofErr w:type="spellEnd"/>
      <w:r>
        <w:rPr>
          <w:rtl/>
        </w:rPr>
        <w:t xml:space="preserve"> [עשה שטות]” כשנעשה רב ולא מתמטיקאי.</w:t>
      </w:r>
    </w:p>
    <w:p w14:paraId="1AC2E487" w14:textId="77777777" w:rsidR="00AB3647" w:rsidRDefault="00000000" w:rsidP="007923E9">
      <w:pPr>
        <w:spacing w:after="100" w:line="276" w:lineRule="auto"/>
        <w:ind w:firstLine="340"/>
        <w:jc w:val="both"/>
      </w:pPr>
      <w:r>
        <w:rPr>
          <w:rtl/>
        </w:rPr>
        <w:t xml:space="preserve">ר׳ שלום שפירא, הרב של בית החולים </w:t>
      </w:r>
      <w:proofErr w:type="spellStart"/>
      <w:r>
        <w:rPr>
          <w:rtl/>
        </w:rPr>
        <w:t>קינגס</w:t>
      </w:r>
      <w:proofErr w:type="spellEnd"/>
      <w:r>
        <w:rPr>
          <w:rtl/>
        </w:rPr>
        <w:t xml:space="preserve"> </w:t>
      </w:r>
      <w:proofErr w:type="spellStart"/>
      <w:r>
        <w:rPr>
          <w:rtl/>
        </w:rPr>
        <w:t>קאונטי</w:t>
      </w:r>
      <w:proofErr w:type="spellEnd"/>
      <w:r>
        <w:rPr>
          <w:rtl/>
        </w:rPr>
        <w:t xml:space="preserve"> בברוקלין, שר׳ אהרן התקשר אליו להודיע שאחותו אושפזה שם, הוסיף</w:t>
      </w:r>
      <w:bookmarkStart w:id="1099" w:name="_fnr650"/>
      <w:r>
        <w:rPr>
          <w:rStyle w:val="a5"/>
        </w:rPr>
        <w:footnoteReference w:id="650" w:customMarkFollows="0"/>
      </w:r>
      <w:bookmarkEnd w:id="1099"/>
      <w:r>
        <w:rPr>
          <w:rtl/>
        </w:rPr>
        <w:t xml:space="preserve"> על דברי ר׳ חיים </w:t>
      </w:r>
      <w:proofErr w:type="spellStart"/>
      <w:r>
        <w:rPr>
          <w:rtl/>
        </w:rPr>
        <w:t>גרוזובסקי</w:t>
      </w:r>
      <w:proofErr w:type="spellEnd"/>
      <w:r>
        <w:rPr>
          <w:rtl/>
        </w:rPr>
        <w:t xml:space="preserve"> שהיא הזכירה גם ידיד בשם “יעקב” – רבנו, כמובן – שהשפיע על אחיה שלא ילך בדרך החיים של לימודי חול. עוד סיפר ר׳ שלום: “ר׳ אהרן וגם הרבנית שלו היו באים להאכיל את הזקנה. בעדינות היה מדבר אליה ואומר: ‘</w:t>
      </w:r>
      <w:proofErr w:type="spellStart"/>
      <w:r>
        <w:rPr>
          <w:rtl/>
        </w:rPr>
        <w:t>מלכה׳לה</w:t>
      </w:r>
      <w:proofErr w:type="spellEnd"/>
      <w:r>
        <w:rPr>
          <w:rtl/>
        </w:rPr>
        <w:t>, את צריכה לאכול’. הוא נהג בה כבוד רב ביותר, ואמר: ‘הלא היא אחותי הגדולה’”.</w:t>
      </w:r>
    </w:p>
    <w:p w14:paraId="41C5CCEF" w14:textId="77777777" w:rsidR="00AB3647" w:rsidRDefault="00000000" w:rsidP="007923E9">
      <w:pPr>
        <w:spacing w:after="100" w:line="276" w:lineRule="auto"/>
        <w:ind w:firstLine="340"/>
        <w:jc w:val="both"/>
      </w:pPr>
      <w:r>
        <w:rPr>
          <w:rtl/>
        </w:rPr>
        <w:t xml:space="preserve">ר׳ שלום זכר שביום שבו פורסמה פטירתו של ר׳ אהרן לא הביא לה את </w:t>
      </w:r>
      <w:proofErr w:type="spellStart"/>
      <w:r>
        <w:rPr>
          <w:rtl/>
        </w:rPr>
        <w:t>ה“ניו</w:t>
      </w:r>
      <w:proofErr w:type="spellEnd"/>
      <w:r>
        <w:rPr>
          <w:rtl/>
        </w:rPr>
        <w:t xml:space="preserve"> יורק טיימס” היומי שלה, כדי שלא תראה את מודעת האבל. אבל היא חשה שמשהו אינו כשורה, וכשביקר </w:t>
      </w:r>
      <w:r>
        <w:rPr>
          <w:rtl/>
        </w:rPr>
        <w:lastRenderedPageBreak/>
        <w:t xml:space="preserve">אותה למחרת החלה לבכות ואמרה: “אהרן איננו עוד! מתי זה קרה?” לפי מה שסיפרה </w:t>
      </w:r>
      <w:proofErr w:type="spellStart"/>
      <w:r>
        <w:rPr>
          <w:rtl/>
        </w:rPr>
        <w:t>לר</w:t>
      </w:r>
      <w:proofErr w:type="spellEnd"/>
      <w:r>
        <w:rPr>
          <w:rtl/>
        </w:rPr>
        <w:t>׳ שלום שפירא, עבודתה באירופה הייתה הדרכת דוקטורנטים בכתיבת עבודותיהם, תחילה באוניברסיטת ברלין ואחר כך בסורבון שבפריז.</w:t>
      </w:r>
    </w:p>
    <w:p w14:paraId="5C53C803" w14:textId="0B57C6C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בחורף שלאחר מכן, בשנת תרס״ו, התרחשה פגישה גורלית נוספת: אבי וידידו החדש הוצגו לפני ראובן, בנו של ר׳ שמשון </w:t>
      </w:r>
      <w:proofErr w:type="spellStart"/>
      <w:r>
        <w:rPr>
          <w:rtl/>
        </w:rPr>
        <w:t>גרוזובסקי</w:t>
      </w:r>
      <w:proofErr w:type="spellEnd"/>
      <w:r>
        <w:rPr>
          <w:rtl/>
        </w:rPr>
        <w:t>, רב שכונת תחנת הרכבת של וילנה במינסק.</w:t>
      </w:r>
      <w:bookmarkStart w:id="1100" w:name="b2_ref86"/>
      <w:bookmarkEnd w:id="1100"/>
      <w:r>
        <w:rPr>
          <w:vertAlign w:val="superscript"/>
          <w:rtl/>
        </w:rPr>
        <w:fldChar w:fldCharType="begin" w:dirty="true"/>
      </w:r>
      <w:r>
        <w:rPr>
          <w:vertAlign w:val="superscript"/>
          <w:rtl/>
        </w:rPr>
        <w:instrText xml:space="preserve"> REF b2_note86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xml:space="preserve"> את ראובן, בן </w:t>
      </w:r>
      <w:proofErr w:type="spellStart"/>
      <w:r>
        <w:rPr>
          <w:rtl/>
        </w:rPr>
        <w:t>שמונה־עשרה</w:t>
      </w:r>
      <w:proofErr w:type="spellEnd"/>
      <w:r>
        <w:rPr>
          <w:rtl/>
        </w:rPr>
        <w:t>, אפפה הילה של קדושה. שלא כשאר תלמידי הישיבות בימים ההם, לא גילח את זקנו,</w:t>
      </w:r>
      <w:bookmarkStart w:id="1101" w:name="b2_ref87"/>
      <w:bookmarkEnd w:id="1101"/>
      <w:r>
        <w:rPr>
          <w:vertAlign w:val="superscript"/>
          <w:rtl/>
        </w:rPr>
        <w:fldChar w:fldCharType="begin" w:dirty="true"/>
      </w:r>
      <w:r>
        <w:rPr>
          <w:vertAlign w:val="superscript"/>
          <w:rtl/>
        </w:rPr>
        <w:instrText xml:space="preserve"> REF b2_note87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ולא עסק בשום עניין של חול אפילו כלאחר יד.</w:t>
      </w:r>
      <w:bookmarkStart w:id="1102" w:name="b2_ref88"/>
      <w:bookmarkEnd w:id="1102"/>
      <w:r>
        <w:rPr>
          <w:vertAlign w:val="superscript"/>
          <w:rtl/>
        </w:rPr>
        <w:fldChar w:fldCharType="begin" w:dirty="true"/>
      </w:r>
      <w:r>
        <w:rPr>
          <w:vertAlign w:val="superscript"/>
          <w:rtl/>
        </w:rPr>
        <w:instrText xml:space="preserve"> REF b2_note88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xml:space="preserve"> להיטותו יוצאת הדופן לתורה הקנתה לו שם במינסק. כמו אביו,</w:t>
      </w:r>
      <w:bookmarkStart w:id="1103" w:name="b2_ref89"/>
      <w:bookmarkEnd w:id="1103"/>
      <w:r>
        <w:rPr>
          <w:vertAlign w:val="superscript"/>
          <w:rtl/>
        </w:rPr>
        <w:fldChar w:fldCharType="begin" w:dirty="true"/>
      </w:r>
      <w:r>
        <w:rPr>
          <w:vertAlign w:val="superscript"/>
          <w:rtl/>
        </w:rPr>
        <w:instrText xml:space="preserve"> REF b2_note89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 xml:space="preserve"> נלחם בהתפשטות הציונות המדינית, וניסה להטות את מרצם של צעירי העיר ממנה אל לימוד התורה.</w:t>
      </w:r>
      <w:bookmarkStart w:id="1104" w:name="b2_ref90"/>
      <w:bookmarkEnd w:id="1104"/>
      <w:r>
        <w:rPr>
          <w:vertAlign w:val="superscript"/>
          <w:rtl/>
        </w:rPr>
        <w:fldChar w:fldCharType="begin" w:dirty="true"/>
      </w:r>
      <w:r>
        <w:rPr>
          <w:vertAlign w:val="superscript"/>
          <w:rtl/>
        </w:rPr>
        <w:instrText xml:space="preserve"> REF b2_note90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p>
    <w:bookmarkStart w:id="1105" w:name="b2_note86"/>
    <w:p w14:paraId="152CF71B" w14:textId="77777777" w:rsidR="00AB3647" w:rsidRDefault="00000000" w:rsidP="007923E9">
      <w:pPr>
        <w:spacing w:before="120" w:after="100" w:line="276" w:lineRule="auto"/>
        <w:jc w:val="both"/>
      </w:pPr>
      <w:r>
        <w:fldChar w:fldCharType="begin" w:dirty="true"/>
      </w:r>
      <w:r>
        <w:instrText>HYPERLINK \l "b2_ref86"</w:instrText>
      </w:r>
      <w:r>
        <w:fldChar w:fldCharType="separate"/>
      </w:r>
      <w:r>
        <w:rPr>
          <w:b/>
          <w:bCs/>
          <w:rtl/>
        </w:rPr>
        <w:t>86</w:t>
      </w:r>
      <w:r>
        <w:rPr>
          <w:b/>
          <w:bCs/>
        </w:rPr>
        <w:fldChar w:fldCharType="end"/>
      </w:r>
      <w:bookmarkEnd w:id="1105"/>
      <w:r>
        <w:rPr>
          <w:rtl/>
        </w:rPr>
        <w:t xml:space="preserve"> השווה “סיפור ר׳ </w:t>
      </w:r>
      <w:proofErr w:type="spellStart"/>
      <w:r>
        <w:rPr>
          <w:rtl/>
        </w:rPr>
        <w:t>ברוך־בער</w:t>
      </w:r>
      <w:proofErr w:type="spellEnd"/>
      <w:r>
        <w:rPr>
          <w:rtl/>
        </w:rPr>
        <w:t>”</w:t>
      </w:r>
      <w:bookmarkStart w:id="1106" w:name="_fnr651"/>
      <w:r>
        <w:rPr>
          <w:rStyle w:val="a5"/>
        </w:rPr>
        <w:footnoteReference w:id="651" w:customMarkFollows="0"/>
      </w:r>
      <w:bookmarkEnd w:id="1106"/>
      <w:r>
        <w:rPr>
          <w:rtl/>
        </w:rPr>
        <w:t>, שלפיו ר׳ שמשון “ייחס את שורשיו, דרך דורות של תלמידי חכמים ומנהיגים רבניים, עד רש״י”. דבורה אפשטיין, נכדתו, סיפרה</w:t>
      </w:r>
      <w:bookmarkStart w:id="1107" w:name="_fnr652"/>
      <w:r>
        <w:rPr>
          <w:rStyle w:val="a5"/>
        </w:rPr>
        <w:footnoteReference w:id="652" w:customMarkFollows="0"/>
      </w:r>
      <w:bookmarkEnd w:id="1107"/>
      <w:r>
        <w:rPr>
          <w:rtl/>
        </w:rPr>
        <w:t xml:space="preserve"> על ייחוסה, והראתה לי העתק מרשימותיו של דודה ר׳ ראובן, המגלות שאביו היה דור עשרים ושניים של רבנים. אמה הייתה בתו הבכורה, </w:t>
      </w:r>
      <w:proofErr w:type="spellStart"/>
      <w:r>
        <w:rPr>
          <w:rtl/>
        </w:rPr>
        <w:t>ביילה־צירל</w:t>
      </w:r>
      <w:proofErr w:type="spellEnd"/>
      <w:r>
        <w:rPr>
          <w:rtl/>
        </w:rPr>
        <w:t xml:space="preserve">, שנישאה </w:t>
      </w:r>
      <w:proofErr w:type="spellStart"/>
      <w:r>
        <w:rPr>
          <w:rtl/>
        </w:rPr>
        <w:t>לר</w:t>
      </w:r>
      <w:proofErr w:type="spellEnd"/>
      <w:r>
        <w:rPr>
          <w:rtl/>
        </w:rPr>
        <w:t xml:space="preserve">׳ אליהו הלפרין, “רב, דרשן, דיין ומגיד שיעור בישיבת </w:t>
      </w:r>
      <w:proofErr w:type="spellStart"/>
      <w:r>
        <w:rPr>
          <w:rtl/>
        </w:rPr>
        <w:t>רמיילעס</w:t>
      </w:r>
      <w:proofErr w:type="spellEnd"/>
      <w:r>
        <w:rPr>
          <w:rtl/>
        </w:rPr>
        <w:t xml:space="preserve"> בווילנה”. ר׳ ראובן היה השביעי מבין שמונה ילדים, והבן השני. כמו ברוב משפחות הרבנים בימים ההם, לא כל ילדי </w:t>
      </w:r>
      <w:proofErr w:type="spellStart"/>
      <w:r>
        <w:rPr>
          <w:rtl/>
        </w:rPr>
        <w:t>גרוזובסקי</w:t>
      </w:r>
      <w:proofErr w:type="spellEnd"/>
      <w:r>
        <w:rPr>
          <w:rtl/>
        </w:rPr>
        <w:t xml:space="preserve"> הלכו בדרך אבותיהם: לפי נכדה זו, אפילו במשפחה מפוארת זו לא היה הבן הבכור, </w:t>
      </w:r>
      <w:proofErr w:type="spellStart"/>
      <w:r>
        <w:rPr>
          <w:rtl/>
        </w:rPr>
        <w:t>שמואל־אברהם</w:t>
      </w:r>
      <w:proofErr w:type="spellEnd"/>
      <w:r>
        <w:rPr>
          <w:rtl/>
        </w:rPr>
        <w:t>, “זהיר במצוות”.</w:t>
      </w:r>
    </w:p>
    <w:bookmarkStart w:id="1108" w:name="b2_note87"/>
    <w:p w14:paraId="79107C61" w14:textId="4172372F" w:rsidR="00AB3647" w:rsidRDefault="00000000" w:rsidP="007923E9">
      <w:pPr>
        <w:spacing w:before="120" w:after="100" w:line="276" w:lineRule="auto"/>
        <w:jc w:val="both"/>
      </w:pPr>
      <w:r>
        <w:fldChar w:fldCharType="begin" w:dirty="true"/>
      </w:r>
      <w:r>
        <w:instrText>HYPERLINK \l "b2_ref87"</w:instrText>
      </w:r>
      <w:r>
        <w:fldChar w:fldCharType="separate"/>
      </w:r>
      <w:r>
        <w:rPr>
          <w:b/>
          <w:bCs/>
          <w:rtl/>
        </w:rPr>
        <w:t>87</w:t>
      </w:r>
      <w:r>
        <w:rPr>
          <w:b/>
          <w:bCs/>
        </w:rPr>
        <w:fldChar w:fldCharType="end"/>
      </w:r>
      <w:bookmarkEnd w:id="1108"/>
      <w:r>
        <w:rPr>
          <w:rtl/>
        </w:rPr>
        <w:t xml:space="preserve"> השווה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109" w:name="b2_note88"/>
    <w:p w14:paraId="08809093" w14:textId="77777777" w:rsidR="00AB3647" w:rsidRDefault="00000000" w:rsidP="007923E9">
      <w:pPr>
        <w:spacing w:before="120" w:after="100" w:line="276" w:lineRule="auto"/>
        <w:jc w:val="both"/>
      </w:pPr>
      <w:r>
        <w:fldChar w:fldCharType="begin" w:dirty="true"/>
      </w:r>
      <w:r>
        <w:instrText>HYPERLINK \l "b2_ref88"</w:instrText>
      </w:r>
      <w:r>
        <w:fldChar w:fldCharType="separate"/>
      </w:r>
      <w:r>
        <w:rPr>
          <w:b/>
          <w:bCs/>
          <w:rtl/>
        </w:rPr>
        <w:t>88</w:t>
      </w:r>
      <w:r>
        <w:rPr>
          <w:b/>
          <w:bCs/>
        </w:rPr>
        <w:fldChar w:fldCharType="end"/>
      </w:r>
      <w:bookmarkEnd w:id="1109"/>
      <w:r>
        <w:rPr>
          <w:rtl/>
        </w:rPr>
        <w:t xml:space="preserve"> בהספדו על ר׳ ראובן </w:t>
      </w:r>
      <w:proofErr w:type="spellStart"/>
      <w:r>
        <w:rPr>
          <w:rtl/>
        </w:rPr>
        <w:t>גרוזובסקי</w:t>
      </w:r>
      <w:proofErr w:type="spellEnd"/>
      <w:r>
        <w:rPr>
          <w:rtl/>
        </w:rPr>
        <w:t>, בשנת תשי״ח, העמיד אבי את רצינותו התמידית של המנוח מול קלות הדעת של נעוריו שלו ושל ר׳ אהרן קוטלר. ר׳ מלכיאל קוטלר סיפר</w:t>
      </w:r>
      <w:bookmarkStart w:id="1110" w:name="_fnr653"/>
      <w:r>
        <w:rPr>
          <w:rStyle w:val="a5"/>
        </w:rPr>
        <w:footnoteReference w:id="653" w:customMarkFollows="0"/>
      </w:r>
      <w:bookmarkEnd w:id="1110"/>
      <w:r>
        <w:rPr>
          <w:rtl/>
        </w:rPr>
        <w:t xml:space="preserve"> שסבו, ר׳ אהרן, לא יכול היה להשתתף בהלווייתו של ר׳ ראובן מחמת חוליו, וביקש מרבנו לומר בשמו: “ר׳ ראובן היה גדול מאתנו”.</w:t>
      </w:r>
    </w:p>
    <w:bookmarkStart w:id="1111" w:name="b2_note89"/>
    <w:p w14:paraId="47370A47" w14:textId="77777777" w:rsidR="00AB3647" w:rsidRDefault="00000000" w:rsidP="007923E9">
      <w:pPr>
        <w:spacing w:before="120" w:after="100" w:line="276" w:lineRule="auto"/>
        <w:jc w:val="both"/>
      </w:pPr>
      <w:r>
        <w:fldChar w:fldCharType="begin" w:dirty="true"/>
      </w:r>
      <w:r>
        <w:instrText>HYPERLINK \l "b2_ref89"</w:instrText>
      </w:r>
      <w:r>
        <w:fldChar w:fldCharType="separate"/>
      </w:r>
      <w:r>
        <w:rPr>
          <w:b/>
          <w:bCs/>
          <w:rtl/>
        </w:rPr>
        <w:t>89</w:t>
      </w:r>
      <w:r>
        <w:rPr>
          <w:b/>
          <w:bCs/>
        </w:rPr>
        <w:fldChar w:fldCharType="end"/>
      </w:r>
      <w:bookmarkEnd w:id="1111"/>
      <w:r>
        <w:rPr>
          <w:rtl/>
        </w:rPr>
        <w:t xml:space="preserve"> השווה “סיפור ר׳ </w:t>
      </w:r>
      <w:proofErr w:type="spellStart"/>
      <w:r>
        <w:rPr>
          <w:rtl/>
        </w:rPr>
        <w:t>ברוך־בער</w:t>
      </w:r>
      <w:proofErr w:type="spellEnd"/>
      <w:r>
        <w:rPr>
          <w:rtl/>
        </w:rPr>
        <w:t>”,</w:t>
      </w:r>
      <w:bookmarkStart w:id="1112" w:name="_fnr654"/>
      <w:r>
        <w:rPr>
          <w:rStyle w:val="a5"/>
        </w:rPr>
        <w:footnoteReference w:id="654" w:customMarkFollows="0"/>
      </w:r>
      <w:bookmarkEnd w:id="1112"/>
      <w:r>
        <w:rPr>
          <w:rtl/>
        </w:rPr>
        <w:t xml:space="preserve"> המביא כמה סיפורים המדגימים הן את מנהיגותו הנועזת של ר׳ שמשון והן את בקיאותו הרחבה.</w:t>
      </w:r>
    </w:p>
    <w:bookmarkStart w:id="1113" w:name="b2_note90"/>
    <w:p w14:paraId="25922C72" w14:textId="77777777" w:rsidR="00AB3647" w:rsidRDefault="00000000" w:rsidP="007923E9">
      <w:pPr>
        <w:spacing w:before="120" w:after="100" w:line="276" w:lineRule="auto"/>
        <w:jc w:val="both"/>
      </w:pPr>
      <w:r>
        <w:fldChar w:fldCharType="begin" w:dirty="true"/>
      </w:r>
      <w:r>
        <w:instrText>HYPERLINK \l "b2_ref90"</w:instrText>
      </w:r>
      <w:r>
        <w:fldChar w:fldCharType="separate"/>
      </w:r>
      <w:r>
        <w:rPr>
          <w:b/>
          <w:bCs/>
          <w:rtl/>
        </w:rPr>
        <w:t>90</w:t>
      </w:r>
      <w:r>
        <w:rPr>
          <w:b/>
          <w:bCs/>
        </w:rPr>
        <w:fldChar w:fldCharType="end"/>
      </w:r>
      <w:bookmarkEnd w:id="1113"/>
      <w:r>
        <w:rPr>
          <w:rtl/>
        </w:rPr>
        <w:t xml:space="preserve"> ריאיון עם בנו ר׳ חיים.</w:t>
      </w:r>
      <w:bookmarkStart w:id="1114" w:name="_fnr655"/>
      <w:r>
        <w:rPr>
          <w:rStyle w:val="a5"/>
        </w:rPr>
        <w:footnoteReference w:id="655" w:customMarkFollows="0"/>
      </w:r>
      <w:bookmarkEnd w:id="1114"/>
      <w:r>
        <w:rPr>
          <w:rtl/>
        </w:rPr>
        <w:t xml:space="preserve"> הוא סיפר שאביו, אף שהיה צעיר לימים, הזמין פעם נואם ציוני לוויכוח פומבי, ועמד בכבוד על השקפת הדת.</w:t>
      </w:r>
    </w:p>
    <w:p w14:paraId="73BFE568" w14:textId="77777777" w:rsidR="00AB3647" w:rsidRDefault="00000000" w:rsidP="007923E9">
      <w:pPr>
        <w:spacing w:after="100" w:line="276" w:lineRule="auto"/>
        <w:ind w:firstLine="340"/>
        <w:jc w:val="both"/>
      </w:pPr>
      <w:r>
        <w:rPr>
          <w:rtl/>
        </w:rPr>
        <w:t xml:space="preserve">במכתב בלתי מתוארך מחורף תשנ״ד סיפר מרואיין זה שבן מינסק ובן גילו של רבנו, אליעזר קפלן, לימים שר האוצר הראשון של מדינת ישראל הצעירה, “ניסה לארגן את נוער מינסק במועדוני נוער ציוניים. כשגילה שר׳ ראובן מנסה לשכנע את הצעירים להקים במקום </w:t>
      </w:r>
      <w:r>
        <w:rPr>
          <w:rtl/>
        </w:rPr>
        <w:lastRenderedPageBreak/>
        <w:t xml:space="preserve">זאת חבורות ללימוד תורה, סטר לו קפלן על שהפריע לעבודתו”. ר׳ חיים לא ידע מתי אירע הדבר. אני נוטה לחשוב שאירע מאוחר יותר מן הזמן המתואר כאן – לא בזמן שאבי ור׳ אהרן למדו </w:t>
      </w:r>
      <w:proofErr w:type="spellStart"/>
      <w:r>
        <w:rPr>
          <w:rtl/>
        </w:rPr>
        <w:t>בקלויז</w:t>
      </w:r>
      <w:proofErr w:type="spellEnd"/>
      <w:r>
        <w:rPr>
          <w:rtl/>
        </w:rPr>
        <w:t xml:space="preserve"> </w:t>
      </w:r>
      <w:proofErr w:type="spellStart"/>
      <w:r>
        <w:rPr>
          <w:rtl/>
        </w:rPr>
        <w:t>הקצבים</w:t>
      </w:r>
      <w:proofErr w:type="spellEnd"/>
      <w:r>
        <w:rPr>
          <w:rtl/>
        </w:rPr>
        <w:t xml:space="preserve">, אלא בערך בשנת תרס״ח, כשהשניים כבר היו </w:t>
      </w:r>
      <w:proofErr w:type="spellStart"/>
      <w:r>
        <w:rPr>
          <w:rtl/>
        </w:rPr>
        <w:t>בסלבודקה</w:t>
      </w:r>
      <w:proofErr w:type="spellEnd"/>
      <w:r>
        <w:rPr>
          <w:rtl/>
        </w:rPr>
        <w:t>.</w:t>
      </w:r>
    </w:p>
    <w:p w14:paraId="23D0B860" w14:textId="77777777" w:rsidR="00AB3647" w:rsidRDefault="00000000" w:rsidP="007923E9">
      <w:pPr>
        <w:spacing w:after="100" w:line="276" w:lineRule="auto"/>
        <w:ind w:firstLine="340"/>
        <w:jc w:val="both"/>
      </w:pPr>
      <w:r>
        <w:rPr>
          <w:rtl/>
        </w:rPr>
        <w:t>באותו זמן, לפי “מינסק עיר ואם א”,</w:t>
      </w:r>
      <w:bookmarkStart w:id="1115" w:name="_fnr656"/>
      <w:r>
        <w:rPr>
          <w:rStyle w:val="a5"/>
        </w:rPr>
        <w:footnoteReference w:id="656" w:customMarkFollows="0"/>
      </w:r>
      <w:bookmarkEnd w:id="1115"/>
      <w:r>
        <w:rPr>
          <w:rtl/>
        </w:rPr>
        <w:t xml:space="preserve"> ארגן קפלן את “‘צעירי ציון’ על חורבות ההסתדרות הציונית שהתפרקה, ‘התחיה’”. ההסתדרות האחרונה, “שכינתה את עצמה אגודה עממית, הייתה מורכבת ממורים, סטודנטים, פקידים, מנהלי חשבונות, פועלים מקצועיים ובלתי מקצועיים, וסתם נוער – ‘עמך’”. קבוצה עממית שהורכבה מצעירים כאלה הייתה כוללת מן הסתם חברים רבים שאפשר היה לשכנעם להפנות את מרצם ללימוד תורה במקום זאת. ר׳ ראובן כבר היה אז בן עשרים ואחת, ומבוגר מאליעזר קפלן.</w:t>
      </w:r>
    </w:p>
    <w:p w14:paraId="193DFC71" w14:textId="42B604C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בחורף הקודם, כשאהרן פינס היה שם, למד ראובן בסלבודקה</w:t>
      </w:r>
      <w:bookmarkStart w:id="1116" w:name="b2_ref91"/>
      <w:bookmarkEnd w:id="1116"/>
      <w:r>
        <w:rPr>
          <w:vertAlign w:val="superscript"/>
          <w:rtl/>
        </w:rPr>
        <w:fldChar w:fldCharType="begin" w:dirty="true"/>
      </w:r>
      <w:r>
        <w:rPr>
          <w:vertAlign w:val="superscript"/>
          <w:rtl/>
        </w:rPr>
        <w:instrText xml:space="preserve"> REF b2_note91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xml:space="preserve"> – אבל לא בישיבתו של ר׳ </w:t>
      </w:r>
      <w:proofErr w:type="spellStart"/>
      <w:r>
        <w:rPr>
          <w:rtl/>
        </w:rPr>
        <w:t>ברוך־בער</w:t>
      </w:r>
      <w:proofErr w:type="spellEnd"/>
      <w:r>
        <w:rPr>
          <w:rtl/>
        </w:rPr>
        <w:t xml:space="preserve">, שבה נרשם הנער </w:t>
      </w:r>
      <w:proofErr w:type="spellStart"/>
      <w:r>
        <w:rPr>
          <w:rtl/>
        </w:rPr>
        <w:t>הסיסלוביצ׳ר</w:t>
      </w:r>
      <w:proofErr w:type="spellEnd"/>
      <w:r>
        <w:rPr>
          <w:rtl/>
        </w:rPr>
        <w:t>, אלא בישיבה המתחרה, כנסת ישראל,</w:t>
      </w:r>
      <w:bookmarkStart w:id="1117" w:name="b2_ref92"/>
      <w:bookmarkEnd w:id="1117"/>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שבראשה עמד ר׳ </w:t>
      </w:r>
      <w:proofErr w:type="spellStart"/>
      <w:r>
        <w:rPr>
          <w:rtl/>
        </w:rPr>
        <w:t>משה־מרדכי</w:t>
      </w:r>
      <w:proofErr w:type="spellEnd"/>
      <w:r>
        <w:rPr>
          <w:rtl/>
        </w:rPr>
        <w:t xml:space="preserve"> אפשטיין.</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כשיצא ראובן לביתו, הורה לו המשגיח הוותיק</w:t>
      </w:r>
      <w:bookmarkStart w:id="1118" w:name="b2_ref93"/>
      <w:bookmarkEnd w:id="1118"/>
      <w:r>
        <w:rPr>
          <w:vertAlign w:val="superscript"/>
          <w:rtl/>
        </w:rPr>
        <w:fldChar w:fldCharType="begin" w:dirty="true"/>
      </w:r>
      <w:r>
        <w:rPr>
          <w:vertAlign w:val="superscript"/>
          <w:rtl/>
        </w:rPr>
        <w:instrText xml:space="preserve"> REF b2_note93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של כנסת ישראל, ר׳ </w:t>
      </w:r>
      <w:proofErr w:type="spellStart"/>
      <w:r>
        <w:rPr>
          <w:rtl/>
        </w:rPr>
        <w:t>נתן־צבי</w:t>
      </w:r>
      <w:proofErr w:type="spellEnd"/>
      <w:r>
        <w:rPr>
          <w:rtl/>
        </w:rPr>
        <w:t xml:space="preserve"> פינקל,</w:t>
      </w:r>
      <w:r>
        <w:rPr>
          <w:vertAlign w:val="superscript"/>
          <w:rtl/>
        </w:rPr>
        <w:fldChar w:fldCharType="begin" w:dirty="true"/>
      </w:r>
      <w:r>
        <w:rPr>
          <w:vertAlign w:val="superscript"/>
          <w:rtl/>
        </w:rPr>
        <w:instrText xml:space="preserve"> REF b2_note92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xml:space="preserve"> לשים עין על אהרן פינס הצעיר בשעה שישהה ראובן בעיר הולדתו, ולנסות להביאו לישיבתו שבסלבודקה.</w:t>
      </w:r>
      <w:bookmarkStart w:id="1119" w:name="b2_ref94"/>
      <w:bookmarkEnd w:id="1119"/>
      <w:r>
        <w:rPr>
          <w:vertAlign w:val="superscript"/>
          <w:rtl/>
        </w:rPr>
        <w:fldChar w:fldCharType="begin" w:dirty="true"/>
      </w:r>
      <w:r>
        <w:rPr>
          <w:vertAlign w:val="superscript"/>
          <w:rtl/>
        </w:rPr>
        <w:instrText xml:space="preserve"> REF b2_note94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עם שובו למינסק נקשר ראובן בידידות קרובה עם </w:t>
      </w:r>
      <w:proofErr w:type="spellStart"/>
      <w:r>
        <w:rPr>
          <w:rtl/>
        </w:rPr>
        <w:t>הסיסלוביצ׳ר</w:t>
      </w:r>
      <w:proofErr w:type="spellEnd"/>
      <w:r>
        <w:rPr>
          <w:rtl/>
        </w:rPr>
        <w:t xml:space="preserve"> ועם ידידו </w:t>
      </w:r>
      <w:proofErr w:type="spellStart"/>
      <w:r>
        <w:rPr>
          <w:rtl/>
        </w:rPr>
        <w:t>הדולהינובר</w:t>
      </w:r>
      <w:proofErr w:type="spellEnd"/>
      <w:r>
        <w:rPr>
          <w:rtl/>
        </w:rPr>
        <w:t>.</w:t>
      </w:r>
    </w:p>
    <w:bookmarkStart w:id="1120" w:name="b2_note91"/>
    <w:p w14:paraId="7A0A2C0D" w14:textId="5BE35B2B" w:rsidR="00AB3647" w:rsidRDefault="00000000" w:rsidP="007923E9">
      <w:pPr>
        <w:spacing w:before="120" w:after="100" w:line="276" w:lineRule="auto"/>
        <w:jc w:val="both"/>
      </w:pPr>
      <w:r>
        <w:fldChar w:fldCharType="begin" w:dirty="true"/>
      </w:r>
      <w:r>
        <w:instrText>HYPERLINK \l "b2_ref91"</w:instrText>
      </w:r>
      <w:r>
        <w:fldChar w:fldCharType="separate"/>
      </w:r>
      <w:r>
        <w:rPr>
          <w:b/>
          <w:bCs/>
          <w:rtl/>
        </w:rPr>
        <w:t>91</w:t>
      </w:r>
      <w:r>
        <w:rPr>
          <w:b/>
          <w:bCs/>
        </w:rPr>
        <w:fldChar w:fldCharType="end"/>
      </w:r>
      <w:bookmarkEnd w:id="1120"/>
      <w:r>
        <w:rPr>
          <w:rtl/>
        </w:rPr>
        <w:t xml:space="preserve"> ר׳ מרדכי שיין</w:t>
      </w:r>
      <w:bookmarkStart w:id="1121" w:name="_fnr657"/>
      <w:r>
        <w:rPr>
          <w:rStyle w:val="a5"/>
        </w:rPr>
        <w:footnoteReference w:id="657" w:customMarkFollows="0"/>
      </w:r>
      <w:bookmarkEnd w:id="1121"/>
      <w:r>
        <w:rPr>
          <w:rtl/>
        </w:rPr>
        <w:t xml:space="preserve"> אמר בשם רבנו שר׳ ראובן בא </w:t>
      </w:r>
      <w:proofErr w:type="spellStart"/>
      <w:r>
        <w:rPr>
          <w:rtl/>
        </w:rPr>
        <w:t>לסלבודקה</w:t>
      </w:r>
      <w:proofErr w:type="spellEnd"/>
      <w:r>
        <w:rPr>
          <w:rtl/>
        </w:rPr>
        <w:t xml:space="preserve"> </w:t>
      </w:r>
      <w:r>
        <w:rPr>
          <w:b/>
          <w:bCs/>
          <w:rtl/>
        </w:rPr>
        <w:t>אחרי</w:t>
      </w:r>
      <w:r>
        <w:rPr>
          <w:rtl/>
        </w:rPr>
        <w:t xml:space="preserve"> שהוא ור׳ אהרן הגיעו לשם, באביב תרס״ו. כדי ליישב זאת עם המקורות המהימנים לחלוטין המעידים שר׳ ראובן היה </w:t>
      </w:r>
      <w:proofErr w:type="spellStart"/>
      <w:r>
        <w:rPr>
          <w:rtl/>
        </w:rPr>
        <w:t>בסלבודקה</w:t>
      </w:r>
      <w:proofErr w:type="spellEnd"/>
      <w:r>
        <w:rPr>
          <w:rtl/>
        </w:rPr>
        <w:t xml:space="preserve"> בזמן מוקדם יותר,</w:t>
      </w:r>
      <w:bookmarkStart w:id="1122" w:name="_fnr658"/>
      <w:r>
        <w:rPr>
          <w:rStyle w:val="a5"/>
        </w:rPr>
        <w:footnoteReference w:id="658" w:customMarkFollows="0"/>
      </w:r>
      <w:bookmarkEnd w:id="1122"/>
      <w:r>
        <w:rPr>
          <w:rtl/>
        </w:rPr>
        <w:t xml:space="preserve"> עלינו לומר שר׳ ראובן למד </w:t>
      </w:r>
      <w:proofErr w:type="spellStart"/>
      <w:r>
        <w:rPr>
          <w:rtl/>
        </w:rPr>
        <w:t>בסלבודקה</w:t>
      </w:r>
      <w:proofErr w:type="spellEnd"/>
      <w:r>
        <w:rPr>
          <w:rtl/>
        </w:rPr>
        <w:t xml:space="preserve"> בחורף תרס״ה, כשהיה בן </w:t>
      </w:r>
      <w:proofErr w:type="spellStart"/>
      <w:r>
        <w:rPr>
          <w:rtl/>
        </w:rPr>
        <w:t>שמונה־עשרה</w:t>
      </w:r>
      <w:proofErr w:type="spellEnd"/>
      <w:r>
        <w:rPr>
          <w:rtl/>
        </w:rPr>
        <w:t xml:space="preserve">, ואולי גם בקיץ שאחריו, ואחר כך חזר למינסק מסיבות שאינן ידועות. לאחר מכן </w:t>
      </w:r>
      <w:r>
        <w:rPr>
          <w:b/>
          <w:bCs/>
          <w:rtl/>
        </w:rPr>
        <w:t>חזר</w:t>
      </w:r>
      <w:r>
        <w:rPr>
          <w:rtl/>
        </w:rPr>
        <w:t xml:space="preserve"> </w:t>
      </w:r>
      <w:proofErr w:type="spellStart"/>
      <w:r>
        <w:rPr>
          <w:rtl/>
        </w:rPr>
        <w:t>לסלבודקה</w:t>
      </w:r>
      <w:proofErr w:type="spellEnd"/>
      <w:r>
        <w:rPr>
          <w:rtl/>
        </w:rPr>
        <w:t xml:space="preserve"> </w:t>
      </w:r>
      <w:r>
        <w:rPr>
          <w:b/>
          <w:bCs/>
          <w:rtl/>
        </w:rPr>
        <w:t>אחרי</w:t>
      </w:r>
      <w:r>
        <w:rPr>
          <w:rtl/>
        </w:rPr>
        <w:t xml:space="preserve"> ששני ידידיו הצעירים כבר הגיעו לשם – מן הסתם זמן לא רב אחרי בואם (השווה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xml:space="preserve"> להלן).</w:t>
      </w:r>
    </w:p>
    <w:p w14:paraId="7348E6FB" w14:textId="3C2D5A3C" w:rsidR="00AB3647" w:rsidRDefault="00000000" w:rsidP="007923E9">
      <w:pPr>
        <w:spacing w:before="120" w:after="100" w:line="276" w:lineRule="auto"/>
        <w:jc w:val="both"/>
      </w:pPr>
      <w:r>
        <w:rPr>
          <w:rtl/>
        </w:rPr>
        <w:t>בהתחשב בדרכיו הנעלמות של הסבא,</w:t>
      </w:r>
      <w:bookmarkStart w:id="1123" w:name="_fnr659"/>
      <w:r>
        <w:rPr>
          <w:rStyle w:val="a5"/>
        </w:rPr>
        <w:footnoteReference w:id="659" w:customMarkFollows="0"/>
      </w:r>
      <w:bookmarkEnd w:id="1123"/>
      <w:r>
        <w:rPr>
          <w:rtl/>
        </w:rPr>
        <w:t xml:space="preserve"> אפשר שחזרתו של ר׳ ראובן למינסק תוכננה במיוחד לשם החזרת ר׳ אהרן </w:t>
      </w:r>
      <w:proofErr w:type="spellStart"/>
      <w:r>
        <w:rPr>
          <w:rtl/>
        </w:rPr>
        <w:t>לסלבודקה</w:t>
      </w:r>
      <w:proofErr w:type="spellEnd"/>
      <w:r>
        <w:rPr>
          <w:rtl/>
        </w:rPr>
        <w:t xml:space="preserve">, כאמור בהערה </w:t>
      </w:r>
      <w:r>
        <w:rPr>
          <w:rtl/>
        </w:rPr>
        <w:fldChar w:fldCharType="begin" w:dirty="true"/>
      </w:r>
      <w:r>
        <w:rPr>
          <w:rtl/>
        </w:rPr>
        <w:instrText xml:space="preserve"> REF b2_note94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94</w:t>
      </w:r>
      <w:r>
        <w:rPr>
          <w:rtl/>
        </w:rPr>
        <w:fldChar w:fldCharType="end"/>
      </w:r>
      <w:r>
        <w:rPr>
          <w:rtl/>
        </w:rPr>
        <w:t xml:space="preserve"> להלן. ולפי זה, משנתמלאה השליחות, החזיר הסבא את תלמידו הנאמן, ראובן, </w:t>
      </w:r>
      <w:proofErr w:type="spellStart"/>
      <w:r>
        <w:rPr>
          <w:rtl/>
        </w:rPr>
        <w:t>לסלבודקה</w:t>
      </w:r>
      <w:proofErr w:type="spellEnd"/>
      <w:r>
        <w:rPr>
          <w:rtl/>
        </w:rPr>
        <w:t>.</w:t>
      </w:r>
    </w:p>
    <w:bookmarkStart w:id="1124" w:name="b2_note92"/>
    <w:p w14:paraId="4ED2198D" w14:textId="77777777" w:rsidR="00AB3647" w:rsidRDefault="00000000" w:rsidP="007923E9">
      <w:pPr>
        <w:spacing w:before="120" w:after="100" w:line="276" w:lineRule="auto"/>
        <w:jc w:val="both"/>
      </w:pPr>
      <w:r>
        <w:fldChar w:fldCharType="begin" w:dirty="true"/>
      </w:r>
      <w:r>
        <w:instrText>HYPERLINK \l "b2_ref92"</w:instrText>
      </w:r>
      <w:r>
        <w:fldChar w:fldCharType="separate"/>
      </w:r>
      <w:r>
        <w:rPr>
          <w:b/>
          <w:bCs/>
          <w:rtl/>
        </w:rPr>
        <w:t>92</w:t>
      </w:r>
      <w:r>
        <w:rPr>
          <w:b/>
          <w:bCs/>
        </w:rPr>
        <w:fldChar w:fldCharType="end"/>
      </w:r>
      <w:bookmarkEnd w:id="1124"/>
      <w:r>
        <w:rPr>
          <w:rtl/>
        </w:rPr>
        <w:t xml:space="preserve"> ראה פרק 3.1.</w:t>
      </w:r>
    </w:p>
    <w:bookmarkStart w:id="1125" w:name="b2_note93"/>
    <w:p w14:paraId="6D2B257D" w14:textId="77777777" w:rsidR="00AB3647" w:rsidRDefault="00000000" w:rsidP="007923E9">
      <w:pPr>
        <w:spacing w:before="120" w:after="100" w:line="276" w:lineRule="auto"/>
        <w:jc w:val="both"/>
      </w:pPr>
      <w:r>
        <w:fldChar w:fldCharType="begin" w:dirty="true"/>
      </w:r>
      <w:r>
        <w:instrText>HYPERLINK \l "b2_ref93"</w:instrText>
      </w:r>
      <w:r>
        <w:fldChar w:fldCharType="separate"/>
      </w:r>
      <w:r>
        <w:rPr>
          <w:b/>
          <w:bCs/>
          <w:rtl/>
        </w:rPr>
        <w:t>93</w:t>
      </w:r>
      <w:r>
        <w:rPr>
          <w:b/>
          <w:bCs/>
        </w:rPr>
        <w:fldChar w:fldCharType="end"/>
      </w:r>
      <w:bookmarkEnd w:id="1125"/>
      <w:r>
        <w:rPr>
          <w:rtl/>
        </w:rPr>
        <w:t xml:space="preserve"> אבי אמר</w:t>
      </w:r>
      <w:bookmarkStart w:id="1126" w:name="_fnr660"/>
      <w:r>
        <w:rPr>
          <w:rStyle w:val="a5"/>
        </w:rPr>
        <w:footnoteReference w:id="660" w:customMarkFollows="0"/>
      </w:r>
      <w:bookmarkEnd w:id="1126"/>
      <w:r>
        <w:rPr>
          <w:rtl/>
        </w:rPr>
        <w:t xml:space="preserve"> שכשהגיע </w:t>
      </w:r>
      <w:proofErr w:type="spellStart"/>
      <w:r>
        <w:rPr>
          <w:rtl/>
        </w:rPr>
        <w:t>לסלבודקה</w:t>
      </w:r>
      <w:proofErr w:type="spellEnd"/>
      <w:r>
        <w:rPr>
          <w:rtl/>
        </w:rPr>
        <w:t xml:space="preserve"> כבר נקרא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דער</w:t>
      </w:r>
      <w:proofErr w:type="spellEnd"/>
      <w:r>
        <w:rPr>
          <w:rtl/>
        </w:rPr>
        <w:t xml:space="preserve"> </w:t>
      </w:r>
      <w:proofErr w:type="spellStart"/>
      <w:r>
        <w:rPr>
          <w:rtl/>
        </w:rPr>
        <w:t>אלטער</w:t>
      </w:r>
      <w:proofErr w:type="spellEnd"/>
      <w:r>
        <w:rPr>
          <w:rtl/>
        </w:rPr>
        <w:t xml:space="preserve">” (הזקן; הסבא), והכינוי הובן בבירור במובן “המשגיח הזקן”. התואר בא להבחין בינו לבין המשגיח הצעיר,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שבתו, </w:t>
      </w:r>
      <w:proofErr w:type="spellStart"/>
      <w:r>
        <w:rPr>
          <w:rtl/>
        </w:rPr>
        <w:t>עטיל</w:t>
      </w:r>
      <w:proofErr w:type="spellEnd"/>
      <w:r>
        <w:rPr>
          <w:rtl/>
        </w:rPr>
        <w:t xml:space="preserve">, נישאה לימים לאבי, והיא אמי הצדקת. ר׳ מאיר </w:t>
      </w:r>
      <w:r>
        <w:rPr>
          <w:rtl/>
        </w:rPr>
        <w:lastRenderedPageBreak/>
        <w:t>ליברמן סיפר</w:t>
      </w:r>
      <w:bookmarkStart w:id="1127" w:name="_fnr661"/>
      <w:r>
        <w:rPr>
          <w:rStyle w:val="a5"/>
        </w:rPr>
        <w:footnoteReference w:id="661" w:customMarkFollows="0"/>
      </w:r>
      <w:bookmarkEnd w:id="1127"/>
      <w:r>
        <w:rPr>
          <w:rtl/>
        </w:rPr>
        <w:t xml:space="preserve"> שאחיו, תלמיד </w:t>
      </w:r>
      <w:proofErr w:type="spellStart"/>
      <w:r>
        <w:rPr>
          <w:rtl/>
        </w:rPr>
        <w:t>סלבודקה</w:t>
      </w:r>
      <w:proofErr w:type="spellEnd"/>
      <w:r>
        <w:rPr>
          <w:rtl/>
        </w:rPr>
        <w:t xml:space="preserve"> ר׳ שאול,</w:t>
      </w:r>
      <w:bookmarkStart w:id="1128" w:name="_fnr662"/>
      <w:r>
        <w:rPr>
          <w:rStyle w:val="a5"/>
        </w:rPr>
        <w:footnoteReference w:id="662" w:customMarkFollows="0"/>
      </w:r>
      <w:bookmarkEnd w:id="1128"/>
      <w:r>
        <w:rPr>
          <w:rtl/>
        </w:rPr>
        <w:t xml:space="preserve"> אמר לו שההבחנה הייתה נחוצה משום ששני המשגיחים נקראו “הירש”: ר׳ </w:t>
      </w:r>
      <w:proofErr w:type="spellStart"/>
      <w:r>
        <w:rPr>
          <w:rtl/>
        </w:rPr>
        <w:t>נטע־</w:t>
      </w:r>
      <w:r>
        <w:rPr>
          <w:b/>
          <w:bCs/>
          <w:rtl/>
        </w:rPr>
        <w:t>הירש</w:t>
      </w:r>
      <w:proofErr w:type="spellEnd"/>
      <w:r>
        <w:rPr>
          <w:rtl/>
        </w:rPr>
        <w:t xml:space="preserve"> ור׳ </w:t>
      </w:r>
      <w:proofErr w:type="spellStart"/>
      <w:r>
        <w:rPr>
          <w:rtl/>
        </w:rPr>
        <w:t xml:space="preserve">בער־</w:t>
      </w:r>
      <w:r>
        <w:rPr>
          <w:b/>
          <w:bCs/>
          <w:rtl/>
        </w:rPr>
        <w:t>הירש</w:t>
      </w:r>
      <w:proofErr w:type="spellEnd"/>
      <w:r>
        <w:rPr>
          <w:rtl/>
        </w:rPr>
        <w:t>.</w:t>
      </w:r>
    </w:p>
    <w:p w14:paraId="2B4A2280" w14:textId="77777777" w:rsidR="00AB3647" w:rsidRDefault="00000000" w:rsidP="007923E9">
      <w:pPr>
        <w:spacing w:before="120" w:after="100" w:line="276" w:lineRule="auto"/>
        <w:jc w:val="both"/>
      </w:pPr>
      <w:r>
        <w:rPr>
          <w:rtl/>
        </w:rPr>
        <w:t xml:space="preserve">העיתונאי הירש ליב גורדון, המתנגד לתנועת המוסר, פרסם בהמשכים בכמה גיליונות של “הדואר” (תשכ״ה) מאמר בשם “על גדות </w:t>
      </w:r>
      <w:proofErr w:type="spellStart"/>
      <w:r>
        <w:rPr>
          <w:rtl/>
        </w:rPr>
        <w:t>הויליה</w:t>
      </w:r>
      <w:proofErr w:type="spellEnd"/>
      <w:r>
        <w:rPr>
          <w:rtl/>
        </w:rPr>
        <w:t xml:space="preserve"> </w:t>
      </w:r>
      <w:proofErr w:type="spellStart"/>
      <w:r>
        <w:rPr>
          <w:rtl/>
        </w:rPr>
        <w:t>והנימן</w:t>
      </w:r>
      <w:proofErr w:type="spellEnd"/>
      <w:r>
        <w:rPr>
          <w:rtl/>
        </w:rPr>
        <w:t>”, ושם הוא אומר:</w:t>
      </w:r>
      <w:bookmarkStart w:id="1129" w:name="_fnr663"/>
      <w:r>
        <w:rPr>
          <w:rStyle w:val="a5"/>
        </w:rPr>
        <w:footnoteReference w:id="663" w:customMarkFollows="0"/>
      </w:r>
      <w:bookmarkEnd w:id="1129"/>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שבזמני עדיין לא כינוהו ‘הסבא’, היה מטייל בישיבה בענווה חיצונית, אבל הכול ידעו כי העוז והממשלה</w:t>
      </w:r>
      <w:bookmarkStart w:id="1130" w:name="_fnr664"/>
      <w:r>
        <w:rPr>
          <w:rStyle w:val="a5"/>
        </w:rPr>
        <w:footnoteReference w:id="664" w:customMarkFollows="0"/>
      </w:r>
      <w:bookmarkEnd w:id="1130"/>
      <w:r>
        <w:rPr>
          <w:rtl/>
        </w:rPr>
        <w:t xml:space="preserve"> שלו הם”. גורדון הגיע </w:t>
      </w:r>
      <w:proofErr w:type="spellStart"/>
      <w:r>
        <w:rPr>
          <w:rtl/>
        </w:rPr>
        <w:t>לסלבודקה</w:t>
      </w:r>
      <w:proofErr w:type="spellEnd"/>
      <w:r>
        <w:rPr>
          <w:rtl/>
        </w:rPr>
        <w:t xml:space="preserve"> </w:t>
      </w:r>
      <w:proofErr w:type="spellStart"/>
      <w:r>
        <w:rPr>
          <w:rtl/>
        </w:rPr>
        <w:t>בתרס״ה</w:t>
      </w:r>
      <w:proofErr w:type="spellEnd"/>
      <w:r>
        <w:rPr>
          <w:rtl/>
        </w:rPr>
        <w:t xml:space="preserve"> ו</w:t>
      </w:r>
      <w:r>
        <w:rPr>
          <w:b/>
          <w:bCs/>
          <w:rtl/>
        </w:rPr>
        <w:t>סיים</w:t>
      </w:r>
      <w:r>
        <w:rPr>
          <w:rtl/>
        </w:rPr>
        <w:t xml:space="preserve"> את שהותו שם </w:t>
      </w:r>
      <w:proofErr w:type="spellStart"/>
      <w:r>
        <w:rPr>
          <w:rtl/>
        </w:rPr>
        <w:t>בתרס״ז</w:t>
      </w:r>
      <w:proofErr w:type="spellEnd"/>
      <w:r>
        <w:rPr>
          <w:rtl/>
        </w:rPr>
        <w:t xml:space="preserve">, שנה אחרי בואו של רבנו. אף על פי כן ודאי לא ידע על כינויו של הסבא </w:t>
      </w:r>
      <w:proofErr w:type="spellStart"/>
      <w:r>
        <w:rPr>
          <w:rtl/>
        </w:rPr>
        <w:t>מסלבודקה</w:t>
      </w:r>
      <w:proofErr w:type="spellEnd"/>
      <w:r>
        <w:rPr>
          <w:rtl/>
        </w:rPr>
        <w:t xml:space="preserve">, משום שלמד לא בישיבת הסבא אלא בישיבתו של ר׳ </w:t>
      </w:r>
      <w:proofErr w:type="spellStart"/>
      <w:r>
        <w:rPr>
          <w:rtl/>
        </w:rPr>
        <w:t>ברוך־בער</w:t>
      </w:r>
      <w:proofErr w:type="spellEnd"/>
      <w:r>
        <w:rPr>
          <w:rtl/>
        </w:rPr>
        <w:t xml:space="preserve">. תלמיד אחר של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שבא </w:t>
      </w:r>
      <w:proofErr w:type="spellStart"/>
      <w:r>
        <w:rPr>
          <w:rtl/>
        </w:rPr>
        <w:t>לסלבודקה</w:t>
      </w:r>
      <w:proofErr w:type="spellEnd"/>
      <w:r>
        <w:rPr>
          <w:rtl/>
        </w:rPr>
        <w:t xml:space="preserve"> בדיוק באותו זמן שבא גורדון,</w:t>
      </w:r>
      <w:bookmarkStart w:id="1131" w:name="_fnr665"/>
      <w:r>
        <w:rPr>
          <w:rStyle w:val="a5"/>
        </w:rPr>
        <w:footnoteReference w:id="665" w:customMarkFollows="0"/>
      </w:r>
      <w:bookmarkEnd w:id="1131"/>
      <w:r>
        <w:rPr>
          <w:rtl/>
        </w:rPr>
        <w:t xml:space="preserve"> אכן זכר את הכינוי “</w:t>
      </w:r>
      <w:proofErr w:type="spellStart"/>
      <w:r>
        <w:rPr>
          <w:rtl/>
        </w:rPr>
        <w:t>אלטער</w:t>
      </w:r>
      <w:proofErr w:type="spellEnd"/>
      <w:r>
        <w:rPr>
          <w:rtl/>
        </w:rPr>
        <w:t xml:space="preserve">” (יחד עם כינוי נוסף) מזמן בואו, שנה לפני אבי. ולמעשה, ר׳ קופל שמע לראשונה שהסבא </w:t>
      </w:r>
      <w:proofErr w:type="spellStart"/>
      <w:r>
        <w:rPr>
          <w:rtl/>
        </w:rPr>
        <w:t>מסלבודקה</w:t>
      </w:r>
      <w:proofErr w:type="spellEnd"/>
      <w:r>
        <w:rPr>
          <w:rtl/>
        </w:rPr>
        <w:t xml:space="preserve"> נקרא “הסבא” </w:t>
      </w:r>
      <w:r>
        <w:rPr>
          <w:b/>
          <w:bCs/>
          <w:rtl/>
        </w:rPr>
        <w:t>בביקור בישיבת הסבא</w:t>
      </w:r>
      <w:r>
        <w:rPr>
          <w:rtl/>
        </w:rPr>
        <w:t>.</w:t>
      </w:r>
      <w:bookmarkStart w:id="1132" w:name="_fnr666"/>
      <w:r>
        <w:rPr>
          <w:rStyle w:val="a5"/>
        </w:rPr>
        <w:footnoteReference w:id="666" w:customMarkFollows="0"/>
      </w:r>
      <w:bookmarkEnd w:id="1132"/>
    </w:p>
    <w:p w14:paraId="561A462A" w14:textId="127073DA" w:rsidR="00AB3647" w:rsidRDefault="00000000" w:rsidP="007923E9">
      <w:pPr>
        <w:spacing w:before="120" w:after="100" w:line="276" w:lineRule="auto"/>
        <w:jc w:val="both"/>
      </w:pPr>
      <w:r>
        <w:rPr>
          <w:rtl/>
        </w:rPr>
        <w:t xml:space="preserve">בגיליון זיכרון לרגל היארצייט הראשון של ר׳ </w:t>
      </w:r>
      <w:proofErr w:type="spellStart"/>
      <w:r>
        <w:rPr>
          <w:rtl/>
        </w:rPr>
        <w:t>נתן־צבי</w:t>
      </w:r>
      <w:proofErr w:type="spellEnd"/>
      <w:r>
        <w:rPr>
          <w:rtl/>
        </w:rPr>
        <w:t xml:space="preserve"> </w:t>
      </w:r>
      <w:proofErr w:type="spellStart"/>
      <w:r>
        <w:rPr>
          <w:rtl/>
        </w:rPr>
        <w:t>פינקל</w:t>
      </w:r>
      <w:bookmarkStart w:id="1133" w:name="_fnr667"/>
      <w:proofErr w:type="spellEnd"/>
      <w:r>
        <w:rPr>
          <w:rStyle w:val="a5"/>
        </w:rPr>
        <w:footnoteReference w:id="667" w:customMarkFollows="0"/>
      </w:r>
      <w:bookmarkEnd w:id="1133"/>
      <w:r>
        <w:rPr>
          <w:rtl/>
        </w:rPr>
        <w:t xml:space="preserve"> כותב העורך, ר׳ </w:t>
      </w:r>
      <w:proofErr w:type="spellStart"/>
      <w:r>
        <w:rPr>
          <w:rtl/>
        </w:rPr>
        <w:t>ישראל־זיסל</w:t>
      </w:r>
      <w:proofErr w:type="spellEnd"/>
      <w:r>
        <w:rPr>
          <w:rtl/>
        </w:rPr>
        <w:t xml:space="preserve"> </w:t>
      </w:r>
      <w:proofErr w:type="spellStart"/>
      <w:r>
        <w:rPr>
          <w:rtl/>
        </w:rPr>
        <w:t>דבורץ</w:t>
      </w:r>
      <w:proofErr w:type="spellEnd"/>
      <w:r>
        <w:rPr>
          <w:rtl/>
        </w:rPr>
        <w:t>, במאמר ביוגרפי,</w:t>
      </w:r>
      <w:bookmarkStart w:id="1134" w:name="_fnr668"/>
      <w:r>
        <w:rPr>
          <w:rStyle w:val="a5"/>
        </w:rPr>
        <w:footnoteReference w:id="668" w:customMarkFollows="0"/>
      </w:r>
      <w:bookmarkEnd w:id="1134"/>
      <w:r>
        <w:rPr>
          <w:rtl/>
        </w:rPr>
        <w:t xml:space="preserve"> </w:t>
      </w:r>
      <w:proofErr w:type="spellStart"/>
      <w:r>
        <w:rPr>
          <w:rtl/>
        </w:rPr>
        <w:t>ש“בתקופות</w:t>
      </w:r>
      <w:proofErr w:type="spellEnd"/>
      <w:r>
        <w:rPr>
          <w:rtl/>
        </w:rPr>
        <w:t xml:space="preserve"> שונות” נודע </w:t>
      </w:r>
      <w:proofErr w:type="spellStart"/>
      <w:r>
        <w:rPr>
          <w:rtl/>
        </w:rPr>
        <w:t>פינקל</w:t>
      </w:r>
      <w:proofErr w:type="spellEnd"/>
      <w:r>
        <w:rPr>
          <w:rtl/>
        </w:rPr>
        <w:t xml:space="preserve"> בתארים שונים – משגיח, משגיח עליון, מנהל. ר׳ </w:t>
      </w:r>
      <w:proofErr w:type="spellStart"/>
      <w:r>
        <w:rPr>
          <w:rtl/>
        </w:rPr>
        <w:t>ישראל־זיסל</w:t>
      </w:r>
      <w:proofErr w:type="spellEnd"/>
      <w:r>
        <w:rPr>
          <w:rtl/>
        </w:rPr>
        <w:t xml:space="preserve">, שהיה מזכיר הישיבה בזמן בואו של אבי, ודאי מתכוון </w:t>
      </w:r>
      <w:proofErr w:type="spellStart"/>
      <w:r>
        <w:rPr>
          <w:rtl/>
        </w:rPr>
        <w:t>ל“תקופות</w:t>
      </w:r>
      <w:proofErr w:type="spellEnd"/>
      <w:r>
        <w:rPr>
          <w:rtl/>
        </w:rPr>
        <w:t xml:space="preserve"> שונות” מוקדמות מזו שתיאר רבנו. התואר “משגיח עליון”, המורה על כך שהיה בישיבה משגיח אחר, “תחתון”, קדם כנראה לתואר “הסבא”, שנקלט. יש להציע שהסבא עצמו, בהתאם לאופיו</w:t>
      </w:r>
      <w:bookmarkStart w:id="1135" w:name="_fnr669"/>
      <w:r>
        <w:rPr>
          <w:rStyle w:val="a5"/>
        </w:rPr>
        <w:footnoteReference w:id="669" w:customMarkFollows="0"/>
      </w:r>
      <w:bookmarkEnd w:id="1135"/>
      <w:r>
        <w:rPr>
          <w:rtl/>
        </w:rPr>
        <w:t>, גרם לתלמידים להחליף את התואר ההיררכי “עליון” בתואר המקרי “</w:t>
      </w:r>
      <w:proofErr w:type="spellStart"/>
      <w:r>
        <w:rPr>
          <w:rtl/>
        </w:rPr>
        <w:t>אלטער</w:t>
      </w:r>
      <w:proofErr w:type="spellEnd"/>
      <w:r>
        <w:rPr>
          <w:rtl/>
        </w:rPr>
        <w:t xml:space="preserve">” (זקן), וכך לרמוז על הבדל בגיל בין משגיח אחד למשנהו, ולא על הבדל במעמד. השווה גם פרק 3, הערה </w:t>
      </w:r>
      <w:r>
        <w:rPr>
          <w:rtl/>
        </w:rPr>
        <w:fldChar w:fldCharType="begin" w:dirty="true"/>
      </w:r>
      <w:r>
        <w:rPr>
          <w:rtl/>
        </w:rPr>
        <w:instrText xml:space="preserve"> REF b3_note102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102</w:t>
      </w:r>
      <w:r>
        <w:rPr>
          <w:rtl/>
        </w:rPr>
        <w:fldChar w:fldCharType="end"/>
      </w:r>
      <w:r>
        <w:rPr>
          <w:rtl/>
        </w:rPr>
        <w:t xml:space="preserve">. על תואר נוסף לסבא, שבו השתמש אדם מבחוץ, השווה הפסקה הראשונה בפרק 3,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p w14:paraId="4902A5E7" w14:textId="77777777" w:rsidR="00AB3647" w:rsidRDefault="00000000" w:rsidP="007923E9">
      <w:pPr>
        <w:spacing w:after="100" w:line="276" w:lineRule="auto"/>
        <w:ind w:firstLine="340"/>
        <w:jc w:val="both"/>
      </w:pPr>
      <w:r>
        <w:rPr>
          <w:rtl/>
        </w:rPr>
        <w:t>בעניין התואר “</w:t>
      </w:r>
      <w:proofErr w:type="spellStart"/>
      <w:r>
        <w:rPr>
          <w:rtl/>
        </w:rPr>
        <w:t>אלטער</w:t>
      </w:r>
      <w:proofErr w:type="spellEnd"/>
      <w:r>
        <w:rPr>
          <w:rtl/>
        </w:rPr>
        <w:t xml:space="preserve">” שניתן </w:t>
      </w:r>
      <w:proofErr w:type="spellStart"/>
      <w:r>
        <w:rPr>
          <w:rtl/>
        </w:rPr>
        <w:t>לר</w:t>
      </w:r>
      <w:proofErr w:type="spellEnd"/>
      <w:r>
        <w:rPr>
          <w:rtl/>
        </w:rPr>
        <w:t xml:space="preserve">׳ </w:t>
      </w:r>
      <w:proofErr w:type="spellStart"/>
      <w:r>
        <w:rPr>
          <w:rtl/>
        </w:rPr>
        <w:t>שמחה־זיסל</w:t>
      </w:r>
      <w:proofErr w:type="spellEnd"/>
      <w:r>
        <w:rPr>
          <w:rtl/>
        </w:rPr>
        <w:t xml:space="preserve"> זיו מקלם, טוען דיווח </w:t>
      </w:r>
      <w:proofErr w:type="spellStart"/>
      <w:r>
        <w:rPr>
          <w:rtl/>
        </w:rPr>
        <w:t>ב“תודעה</w:t>
      </w:r>
      <w:proofErr w:type="spellEnd"/>
      <w:r>
        <w:rPr>
          <w:rtl/>
        </w:rPr>
        <w:t>”</w:t>
      </w:r>
      <w:bookmarkStart w:id="1136" w:name="_fnr670"/>
      <w:r>
        <w:rPr>
          <w:rStyle w:val="a5"/>
        </w:rPr>
        <w:footnoteReference w:id="670" w:customMarkFollows="0"/>
      </w:r>
      <w:bookmarkEnd w:id="1136"/>
      <w:r>
        <w:rPr>
          <w:rtl/>
        </w:rPr>
        <w:t xml:space="preserve"> שתלמידיו השתמשו בכינוי זה משום שחשו שאינם ספוגים די הצורך בתורתו כדי לקרוא לו פשוט “רבי” (שלהם) ולראות את עצמם תלמידיו – כשם שרבם עצמו נמנע מלקרוא לעצמו תלמידו של ר׳ ישראל </w:t>
      </w:r>
      <w:proofErr w:type="spellStart"/>
      <w:r>
        <w:rPr>
          <w:rtl/>
        </w:rPr>
        <w:t>סלנטר</w:t>
      </w:r>
      <w:proofErr w:type="spellEnd"/>
      <w:r>
        <w:rPr>
          <w:rtl/>
        </w:rPr>
        <w:t>.</w:t>
      </w:r>
      <w:bookmarkStart w:id="1137" w:name="_fnr671"/>
      <w:r>
        <w:rPr>
          <w:rStyle w:val="a5"/>
        </w:rPr>
        <w:footnoteReference w:id="671" w:customMarkFollows="0"/>
      </w:r>
      <w:bookmarkEnd w:id="1137"/>
    </w:p>
    <w:bookmarkStart w:id="1138" w:name="b2_note94"/>
    <w:p w14:paraId="05A3774C" w14:textId="069E1CEE" w:rsidR="00AB3647" w:rsidRDefault="00000000" w:rsidP="007923E9">
      <w:pPr>
        <w:spacing w:before="120" w:after="100" w:line="276" w:lineRule="auto"/>
        <w:jc w:val="both"/>
      </w:pPr>
      <w:r>
        <w:lastRenderedPageBreak/>
        <w:fldChar w:fldCharType="begin" w:dirty="true"/>
      </w:r>
      <w:r>
        <w:instrText>HYPERLINK \l "b2_ref94"</w:instrText>
      </w:r>
      <w:r>
        <w:fldChar w:fldCharType="separate"/>
      </w:r>
      <w:r>
        <w:rPr>
          <w:b/>
          <w:bCs/>
          <w:rtl/>
        </w:rPr>
        <w:t>94</w:t>
      </w:r>
      <w:r>
        <w:rPr>
          <w:b/>
          <w:bCs/>
        </w:rPr>
        <w:fldChar w:fldCharType="end"/>
      </w:r>
      <w:bookmarkEnd w:id="1138"/>
      <w:r>
        <w:rPr>
          <w:rtl/>
        </w:rPr>
        <w:t xml:space="preserve"> השווה ראש הערה </w:t>
      </w:r>
      <w:r>
        <w:rPr>
          <w:rtl/>
        </w:rPr>
        <w:fldChar w:fldCharType="begin" w:dirty="true"/>
      </w:r>
      <w:r>
        <w:rPr>
          <w:rtl/>
        </w:rPr>
        <w:instrText xml:space="preserve"> REF b2_note85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85</w:t>
      </w:r>
      <w:r>
        <w:rPr>
          <w:rtl/>
        </w:rPr>
        <w:fldChar w:fldCharType="end"/>
      </w:r>
      <w:r>
        <w:rPr>
          <w:rtl/>
        </w:rPr>
        <w:t xml:space="preserve"> לעיל. ר׳ </w:t>
      </w:r>
      <w:proofErr w:type="spellStart"/>
      <w:r>
        <w:rPr>
          <w:rtl/>
        </w:rPr>
        <w:t>אלעזר־מנחם־מן</w:t>
      </w:r>
      <w:proofErr w:type="spellEnd"/>
      <w:r>
        <w:rPr>
          <w:rtl/>
        </w:rPr>
        <w:t xml:space="preserve"> שך סיפר</w:t>
      </w:r>
      <w:bookmarkStart w:id="1139" w:name="_fnr672"/>
      <w:r>
        <w:rPr>
          <w:rStyle w:val="a5"/>
        </w:rPr>
        <w:footnoteReference w:id="672" w:customMarkFollows="0"/>
      </w:r>
      <w:bookmarkEnd w:id="1139"/>
      <w:r>
        <w:rPr>
          <w:rtl/>
        </w:rPr>
        <w:t xml:space="preserve"> </w:t>
      </w:r>
      <w:proofErr w:type="spellStart"/>
      <w:r>
        <w:rPr>
          <w:rtl/>
        </w:rPr>
        <w:t>ש“הסבא</w:t>
      </w:r>
      <w:proofErr w:type="spellEnd"/>
      <w:r>
        <w:rPr>
          <w:rtl/>
        </w:rPr>
        <w:t xml:space="preserve"> </w:t>
      </w:r>
      <w:proofErr w:type="spellStart"/>
      <w:r>
        <w:rPr>
          <w:rtl/>
        </w:rPr>
        <w:t>מסלבודקה</w:t>
      </w:r>
      <w:proofErr w:type="spellEnd"/>
      <w:r>
        <w:rPr>
          <w:rtl/>
        </w:rPr>
        <w:t xml:space="preserve"> שמע </w:t>
      </w:r>
      <w:r>
        <w:rPr>
          <w:b/>
          <w:bCs/>
          <w:rtl/>
        </w:rPr>
        <w:t>שיש נער טוב מבית פינס במינסק</w:t>
      </w:r>
      <w:r>
        <w:rPr>
          <w:rtl/>
        </w:rPr>
        <w:t xml:space="preserve">, ושלח שליחים </w:t>
      </w:r>
      <w:r>
        <w:rPr>
          <w:b/>
          <w:bCs/>
          <w:rtl/>
        </w:rPr>
        <w:t xml:space="preserve">להביאו </w:t>
      </w:r>
      <w:proofErr w:type="spellStart"/>
      <w:r>
        <w:rPr>
          <w:b/>
          <w:bCs/>
          <w:rtl/>
        </w:rPr>
        <w:t>לסלבודקה</w:t>
      </w:r>
      <w:proofErr w:type="spellEnd"/>
      <w:r>
        <w:rPr>
          <w:rtl/>
        </w:rPr>
        <w:t xml:space="preserve"> (ההדגשה שלי)”. קרוב לוודאי ששמעו של ר׳ אהרן כעילוי צעיר הגיע לאוזני הסבא </w:t>
      </w:r>
      <w:r>
        <w:rPr>
          <w:b/>
          <w:bCs/>
          <w:rtl/>
        </w:rPr>
        <w:t>בזמן</w:t>
      </w:r>
      <w:r>
        <w:rPr>
          <w:rtl/>
        </w:rPr>
        <w:t xml:space="preserve"> שלמד בכנסת בית יצחק, ובפרט שר׳ אהרן היה בא לישיבת הסבא, כנסת ישראל, לדבר בלימוד (לפחות עם ר׳ </w:t>
      </w:r>
      <w:proofErr w:type="spellStart"/>
      <w:r>
        <w:rPr>
          <w:rtl/>
        </w:rPr>
        <w:t>יחיאל־יעקב</w:t>
      </w:r>
      <w:proofErr w:type="spellEnd"/>
      <w:r>
        <w:rPr>
          <w:rtl/>
        </w:rPr>
        <w:t xml:space="preserve"> ויינברג, כאמור בסוף נספח ד בפרק זה). מעברו למינסק רק </w:t>
      </w:r>
      <w:proofErr w:type="spellStart"/>
      <w:r>
        <w:rPr>
          <w:rtl/>
        </w:rPr>
        <w:t>איפשר</w:t>
      </w:r>
      <w:proofErr w:type="spellEnd"/>
      <w:r>
        <w:rPr>
          <w:rtl/>
        </w:rPr>
        <w:t xml:space="preserve"> לסבא לרדוף אחריו לטובת ישיבתו שלו, כמבואר בפרק 3,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אם כן, ניסוח מדויק יותר של ציוויו של הסבא </w:t>
      </w:r>
      <w:proofErr w:type="spellStart"/>
      <w:r>
        <w:rPr>
          <w:rtl/>
        </w:rPr>
        <w:t>ל“שליחיו</w:t>
      </w:r>
      <w:proofErr w:type="spellEnd"/>
      <w:r>
        <w:rPr>
          <w:rtl/>
        </w:rPr>
        <w:t xml:space="preserve">” (במקום הצירופים המודגשים במשפט המצוטט לעיל) יהיה: “הנער הטוב מבית פינס נמצא במינסק”, </w:t>
      </w:r>
      <w:proofErr w:type="spellStart"/>
      <w:r>
        <w:rPr>
          <w:rtl/>
        </w:rPr>
        <w:t>ו“</w:t>
      </w:r>
      <w:r>
        <w:rPr>
          <w:b/>
          <w:bCs/>
          <w:rtl/>
        </w:rPr>
        <w:t>להחזירו</w:t>
      </w:r>
      <w:proofErr w:type="spellEnd"/>
      <w:r>
        <w:rPr>
          <w:rtl/>
        </w:rPr>
        <w:t xml:space="preserve"> </w:t>
      </w:r>
      <w:proofErr w:type="spellStart"/>
      <w:r>
        <w:rPr>
          <w:rtl/>
        </w:rPr>
        <w:t>לסלבודקה</w:t>
      </w:r>
      <w:proofErr w:type="spellEnd"/>
      <w:r>
        <w:rPr>
          <w:rtl/>
        </w:rPr>
        <w:t>”.</w:t>
      </w:r>
      <w:bookmarkStart w:id="1140" w:name="_fnr673"/>
      <w:r>
        <w:rPr>
          <w:rStyle w:val="a5"/>
        </w:rPr>
        <w:footnoteReference w:id="673" w:customMarkFollows="0"/>
      </w:r>
      <w:bookmarkEnd w:id="1140"/>
    </w:p>
    <w:p w14:paraId="6B24530F" w14:textId="77777777" w:rsidR="00AB3647" w:rsidRDefault="00000000" w:rsidP="007923E9">
      <w:pPr>
        <w:spacing w:before="120" w:after="100" w:line="276" w:lineRule="auto"/>
        <w:jc w:val="both"/>
      </w:pPr>
      <w:r>
        <w:rPr>
          <w:rtl/>
        </w:rPr>
        <w:t xml:space="preserve">ר׳ </w:t>
      </w:r>
      <w:proofErr w:type="spellStart"/>
      <w:r>
        <w:rPr>
          <w:rtl/>
        </w:rPr>
        <w:t>אלעזר־מנחם־מן</w:t>
      </w:r>
      <w:proofErr w:type="spellEnd"/>
      <w:r>
        <w:rPr>
          <w:rtl/>
        </w:rPr>
        <w:t xml:space="preserve"> שך סיפר לי שחגג את בר המצווה שלו בשנת תרע״א, כשעדיין למד בישיבה הקטנה </w:t>
      </w:r>
      <w:proofErr w:type="spellStart"/>
      <w:r>
        <w:rPr>
          <w:rtl/>
        </w:rPr>
        <w:t>שבפוניבז</w:t>
      </w:r>
      <w:proofErr w:type="spellEnd"/>
      <w:r>
        <w:rPr>
          <w:rtl/>
        </w:rPr>
        <w:t xml:space="preserve">׳, כלומר </w:t>
      </w:r>
      <w:r>
        <w:rPr>
          <w:b/>
          <w:bCs/>
          <w:rtl/>
        </w:rPr>
        <w:t>לפני</w:t>
      </w:r>
      <w:r>
        <w:rPr>
          <w:rtl/>
        </w:rPr>
        <w:t xml:space="preserve"> שבא </w:t>
      </w:r>
      <w:proofErr w:type="spellStart"/>
      <w:r>
        <w:rPr>
          <w:rtl/>
        </w:rPr>
        <w:t>לסלבודקה</w:t>
      </w:r>
      <w:bookmarkStart w:id="1141" w:name="_fnr674"/>
      <w:proofErr w:type="spellEnd"/>
      <w:r>
        <w:rPr>
          <w:rStyle w:val="a5"/>
        </w:rPr>
        <w:footnoteReference w:id="674" w:customMarkFollows="0"/>
      </w:r>
      <w:bookmarkEnd w:id="1141"/>
      <w:r>
        <w:rPr>
          <w:rtl/>
        </w:rPr>
        <w:t xml:space="preserve">. מכאן ששמע את סיפור בואו של “הנער מבית פינס” לישיבת כנסת ישראל </w:t>
      </w:r>
      <w:proofErr w:type="spellStart"/>
      <w:r>
        <w:rPr>
          <w:rtl/>
        </w:rPr>
        <w:t>שבסלבודקה</w:t>
      </w:r>
      <w:proofErr w:type="spellEnd"/>
      <w:r>
        <w:rPr>
          <w:rtl/>
        </w:rPr>
        <w:t xml:space="preserve"> חמש שנים לפחות אחרי שאירע, והניסוח שקלט לא היה מדויק. ר׳ </w:t>
      </w:r>
      <w:proofErr w:type="spellStart"/>
      <w:r>
        <w:rPr>
          <w:rtl/>
        </w:rPr>
        <w:t>אלעזר־מנחם־מן</w:t>
      </w:r>
      <w:proofErr w:type="spellEnd"/>
      <w:r>
        <w:rPr>
          <w:rtl/>
        </w:rPr>
        <w:t xml:space="preserve"> לא נקב בשמות שליחיו של הסבא, אבל אחד מהם היה ודאי העסקן ר׳ ראובן </w:t>
      </w:r>
      <w:proofErr w:type="spellStart"/>
      <w:r>
        <w:rPr>
          <w:rtl/>
        </w:rPr>
        <w:t>גרוזובסקי</w:t>
      </w:r>
      <w:proofErr w:type="spellEnd"/>
      <w:r>
        <w:rPr>
          <w:rtl/>
        </w:rPr>
        <w:t>,</w:t>
      </w:r>
      <w:bookmarkStart w:id="1142" w:name="_fnr675"/>
      <w:r>
        <w:rPr>
          <w:rStyle w:val="a5"/>
        </w:rPr>
        <w:footnoteReference w:id="675" w:customMarkFollows="0"/>
      </w:r>
      <w:bookmarkEnd w:id="1142"/>
      <w:r>
        <w:rPr>
          <w:rtl/>
        </w:rPr>
        <w:t xml:space="preserve"> והשני ר׳ אשר </w:t>
      </w:r>
      <w:proofErr w:type="spellStart"/>
      <w:r>
        <w:rPr>
          <w:rtl/>
        </w:rPr>
        <w:t>קרשטיין</w:t>
      </w:r>
      <w:proofErr w:type="spellEnd"/>
      <w:r>
        <w:rPr>
          <w:rtl/>
        </w:rPr>
        <w:t>, כדלהלן.</w:t>
      </w:r>
    </w:p>
    <w:p w14:paraId="6B9345FB" w14:textId="7ED9470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דאגתו של ראובן לאהרן ניכרה כבר בעת ההיא. ר׳ שמחה </w:t>
      </w:r>
      <w:proofErr w:type="spellStart"/>
      <w:r>
        <w:rPr>
          <w:rtl/>
        </w:rPr>
        <w:t>סולובייצ׳יק</w:t>
      </w:r>
      <w:proofErr w:type="spellEnd"/>
      <w:r>
        <w:rPr>
          <w:rtl/>
        </w:rPr>
        <w:t xml:space="preserve">, בנו הצעיר של רב </w:t>
      </w:r>
      <w:proofErr w:type="spellStart"/>
      <w:r>
        <w:rPr>
          <w:rtl/>
        </w:rPr>
        <w:t>בריסק</w:t>
      </w:r>
      <w:proofErr w:type="spellEnd"/>
      <w:r>
        <w:rPr>
          <w:rtl/>
        </w:rPr>
        <w:t xml:space="preserve"> המנוח, ר׳ יוסף־דב,</w:t>
      </w:r>
      <w:bookmarkStart w:id="1143" w:name="b2_ref95"/>
      <w:bookmarkEnd w:id="1143"/>
      <w:r>
        <w:rPr>
          <w:vertAlign w:val="superscript"/>
          <w:rtl/>
        </w:rPr>
        <w:fldChar w:fldCharType="begin" w:dirty="true"/>
      </w:r>
      <w:r>
        <w:rPr>
          <w:vertAlign w:val="superscript"/>
          <w:rtl/>
        </w:rPr>
        <w:instrText xml:space="preserve"> REF b2_note95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נשא זה לא מכבר את בתו של ר׳ יצחק ליפשיץ, תלמיד חכם עשיר </w:t>
      </w:r>
      <w:proofErr w:type="spellStart"/>
      <w:r>
        <w:rPr>
          <w:rtl/>
        </w:rPr>
        <w:t>בקרוצ׳ה</w:t>
      </w:r>
      <w:proofErr w:type="spellEnd"/>
      <w:r>
        <w:rPr>
          <w:rtl/>
        </w:rPr>
        <w:t xml:space="preserve"> הסמוכה למינסק. בימי בין הזמנים קבע לו ר׳ שמחה סדר לימוד עם ראובן </w:t>
      </w:r>
      <w:proofErr w:type="spellStart"/>
      <w:r>
        <w:rPr>
          <w:rtl/>
        </w:rPr>
        <w:t>גרוזובסקי</w:t>
      </w:r>
      <w:proofErr w:type="spellEnd"/>
      <w:r>
        <w:rPr>
          <w:rtl/>
        </w:rPr>
        <w:t xml:space="preserve">, הצעיר ממנו בשמונה שנים. כשהחליט ראובן שאינו רוצה עוד לשהות בכפר הבודד, ביקש ממנו ר׳ שמחה לסדר לו במקומו כחברותא את אהרן </w:t>
      </w:r>
      <w:proofErr w:type="spellStart"/>
      <w:r>
        <w:rPr>
          <w:rtl/>
        </w:rPr>
        <w:t>הסיסלוביצ׳ר</w:t>
      </w:r>
      <w:proofErr w:type="spellEnd"/>
      <w:r>
        <w:rPr>
          <w:rtl/>
        </w:rPr>
        <w:t xml:space="preserve"> הצעיר. הנער אך זה מלאו לו </w:t>
      </w:r>
      <w:proofErr w:type="spellStart"/>
      <w:r>
        <w:rPr>
          <w:rtl/>
        </w:rPr>
        <w:t>ארבע־עשרה</w:t>
      </w:r>
      <w:proofErr w:type="spellEnd"/>
      <w:r>
        <w:rPr>
          <w:rtl/>
        </w:rPr>
        <w:t>, אבל שמעו כעילוי כבר יצא בכל חוגי התורה של מינסק.</w:t>
      </w:r>
      <w:bookmarkStart w:id="1144" w:name="b2_ref96"/>
      <w:bookmarkEnd w:id="1144"/>
      <w:r>
        <w:rPr>
          <w:vertAlign w:val="superscript"/>
          <w:rtl/>
        </w:rPr>
        <w:fldChar w:fldCharType="begin" w:dirty="true"/>
      </w:r>
      <w:r>
        <w:rPr>
          <w:vertAlign w:val="superscript"/>
          <w:rtl/>
        </w:rPr>
        <w:instrText xml:space="preserve"> REF b2_note96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ראובן דחה בנועם את הבקשה. הוא הסביר שהוא עצמו יכול לעמוד על שלו בוויכוחים עם אחיה ואחיותיה של הכלה הצעירה, שנטו לסוציאליזם, אבל אינו בטוח שאהרן הצעיר לא יימשך</w:t>
      </w:r>
      <w:bookmarkStart w:id="1145" w:name="b2_ref97"/>
      <w:bookmarkEnd w:id="1145"/>
      <w:r>
        <w:rPr>
          <w:vertAlign w:val="superscript"/>
          <w:rtl/>
        </w:rPr>
        <w:fldChar w:fldCharType="begin" w:dirty="true"/>
      </w:r>
      <w:r>
        <w:rPr>
          <w:vertAlign w:val="superscript"/>
          <w:rtl/>
        </w:rPr>
        <w:instrText xml:space="preserve"> REF b2_note97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 xml:space="preserve"> אל </w:t>
      </w:r>
      <w:proofErr w:type="spellStart"/>
      <w:r>
        <w:rPr>
          <w:rtl/>
        </w:rPr>
        <w:t>צדם</w:t>
      </w:r>
      <w:proofErr w:type="spellEnd"/>
      <w:r>
        <w:rPr>
          <w:rtl/>
        </w:rPr>
        <w:t>, צד שונאי התורה.</w:t>
      </w:r>
      <w:bookmarkStart w:id="1146" w:name="b2_ref98"/>
      <w:bookmarkEnd w:id="1146"/>
      <w:r>
        <w:rPr>
          <w:vertAlign w:val="superscript"/>
          <w:rtl/>
        </w:rPr>
        <w:fldChar w:fldCharType="begin" w:dirty="true"/>
      </w:r>
      <w:r>
        <w:rPr>
          <w:vertAlign w:val="superscript"/>
          <w:rtl/>
        </w:rPr>
        <w:instrText xml:space="preserve"> REF b2_note98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p>
    <w:bookmarkStart w:id="1147" w:name="b2_note95"/>
    <w:p w14:paraId="0BF09ECE" w14:textId="77777777" w:rsidR="00AB3647" w:rsidRDefault="00000000" w:rsidP="007923E9">
      <w:pPr>
        <w:spacing w:before="120" w:after="100" w:line="276" w:lineRule="auto"/>
        <w:jc w:val="both"/>
      </w:pPr>
      <w:r>
        <w:fldChar w:fldCharType="begin" w:dirty="true"/>
      </w:r>
      <w:r>
        <w:instrText>HYPERLINK \l "b2_ref95"</w:instrText>
      </w:r>
      <w:r>
        <w:fldChar w:fldCharType="separate"/>
      </w:r>
      <w:r>
        <w:rPr>
          <w:b/>
          <w:bCs/>
          <w:rtl/>
        </w:rPr>
        <w:t>95</w:t>
      </w:r>
      <w:r>
        <w:rPr>
          <w:b/>
          <w:bCs/>
        </w:rPr>
        <w:fldChar w:fldCharType="end"/>
      </w:r>
      <w:bookmarkEnd w:id="1147"/>
      <w:r>
        <w:rPr>
          <w:rtl/>
        </w:rPr>
        <w:t xml:space="preserve"> ר׳ שמחה </w:t>
      </w:r>
      <w:proofErr w:type="spellStart"/>
      <w:r>
        <w:rPr>
          <w:rtl/>
        </w:rPr>
        <w:t>סולובייצ׳יק</w:t>
      </w:r>
      <w:proofErr w:type="spellEnd"/>
      <w:r>
        <w:rPr>
          <w:rtl/>
        </w:rPr>
        <w:t xml:space="preserve"> נולד בשנת תר״מ (כשהיה אביו בן חמישים ותשע), והיה מבוגר מר׳ ראובן בשבע שנים</w:t>
      </w:r>
      <w:bookmarkStart w:id="1148" w:name="_fnr676"/>
      <w:bookmarkEnd w:id="1148"/>
      <w:r>
        <w:rPr>
          <w:rStyle w:val="a5"/>
        </w:rPr>
        <w:t/>
      </w:r>
      <w:bookmarkStart w:id="7000" w:name="_TranslatorNote_5371"/>
      <w:r>
        <w:rPr>
          <w:rStyle w:val="a5"/>
          <w:vertAlign w:val="superscript"/>
          <w:rtl/>
        </w:rPr>
        <w:footnoteReference w:id="676" w:customMarkFollows="1"/>
        <w:t>*</w:t>
      </w:r>
      <w:bookmarkEnd w:id="7000"/>
      <w:r>
        <w:rPr>
          <w:rtl/>
        </w:rPr>
        <w:t xml:space="preserve">. ר׳ שמחה נתמנה לרב </w:t>
      </w:r>
      <w:proofErr w:type="spellStart"/>
      <w:r>
        <w:rPr>
          <w:rtl/>
        </w:rPr>
        <w:t>במוהילוב</w:t>
      </w:r>
      <w:proofErr w:type="spellEnd"/>
      <w:r>
        <w:rPr>
          <w:rtl/>
        </w:rPr>
        <w:t xml:space="preserve"> בשנת תרע״א, היגר לארצות הברית בשנת </w:t>
      </w:r>
      <w:r>
        <w:rPr>
          <w:rtl/>
        </w:rPr>
        <w:lastRenderedPageBreak/>
        <w:t xml:space="preserve">תרפ״ג כדי לכהן כרב </w:t>
      </w:r>
      <w:proofErr w:type="spellStart"/>
      <w:r>
        <w:rPr>
          <w:rtl/>
        </w:rPr>
        <w:t>בבריסקער</w:t>
      </w:r>
      <w:proofErr w:type="spellEnd"/>
      <w:r>
        <w:rPr>
          <w:rtl/>
        </w:rPr>
        <w:t xml:space="preserve"> שול בברוקלין, ונפטר בשנת תש״ב.</w:t>
      </w:r>
      <w:bookmarkStart w:id="1149" w:name="_fnr677"/>
      <w:r>
        <w:rPr>
          <w:rStyle w:val="a5"/>
        </w:rPr>
        <w:footnoteReference w:id="677" w:customMarkFollows="0"/>
      </w:r>
      <w:bookmarkEnd w:id="1149"/>
      <w:r>
        <w:rPr>
          <w:rtl/>
        </w:rPr>
        <w:t xml:space="preserve"> רבנו קבור בבית הקברות </w:t>
      </w:r>
      <w:proofErr w:type="spellStart"/>
      <w:r>
        <w:rPr>
          <w:rtl/>
        </w:rPr>
        <w:t>מאונט</w:t>
      </w:r>
      <w:proofErr w:type="spellEnd"/>
      <w:r>
        <w:rPr>
          <w:rtl/>
        </w:rPr>
        <w:t xml:space="preserve"> </w:t>
      </w:r>
      <w:proofErr w:type="spellStart"/>
      <w:r>
        <w:rPr>
          <w:rtl/>
        </w:rPr>
        <w:t>ג׳ודה</w:t>
      </w:r>
      <w:proofErr w:type="spellEnd"/>
      <w:r>
        <w:rPr>
          <w:rtl/>
        </w:rPr>
        <w:t xml:space="preserve"> בברוקלין, בסמוך </w:t>
      </w:r>
      <w:proofErr w:type="spellStart"/>
      <w:r>
        <w:rPr>
          <w:rtl/>
        </w:rPr>
        <w:t>לר</w:t>
      </w:r>
      <w:proofErr w:type="spellEnd"/>
      <w:r>
        <w:rPr>
          <w:rtl/>
        </w:rPr>
        <w:t>׳ שמחה.</w:t>
      </w:r>
    </w:p>
    <w:bookmarkStart w:id="1150" w:name="b2_note96"/>
    <w:p w14:paraId="2908F89D" w14:textId="77777777" w:rsidR="00AB3647" w:rsidRDefault="00000000" w:rsidP="007923E9">
      <w:pPr>
        <w:spacing w:before="120" w:after="100" w:line="276" w:lineRule="auto"/>
        <w:jc w:val="both"/>
      </w:pPr>
      <w:r>
        <w:fldChar w:fldCharType="begin" w:dirty="true"/>
      </w:r>
      <w:r>
        <w:instrText>HYPERLINK \l "b2_ref96"</w:instrText>
      </w:r>
      <w:r>
        <w:fldChar w:fldCharType="separate"/>
      </w:r>
      <w:r>
        <w:rPr>
          <w:b/>
          <w:bCs/>
          <w:rtl/>
        </w:rPr>
        <w:t>96</w:t>
      </w:r>
      <w:r>
        <w:rPr>
          <w:b/>
          <w:bCs/>
        </w:rPr>
        <w:fldChar w:fldCharType="end"/>
      </w:r>
      <w:bookmarkEnd w:id="1150"/>
      <w:r>
        <w:rPr>
          <w:rtl/>
        </w:rPr>
        <w:t xml:space="preserve"> אבי סיפר לנכדו ר׳ יצחק </w:t>
      </w:r>
      <w:proofErr w:type="spellStart"/>
      <w:r>
        <w:rPr>
          <w:rtl/>
        </w:rPr>
        <w:t>שורין</w:t>
      </w:r>
      <w:bookmarkStart w:id="1151" w:name="_fnr678"/>
      <w:proofErr w:type="spellEnd"/>
      <w:r>
        <w:rPr>
          <w:rStyle w:val="a5"/>
        </w:rPr>
        <w:footnoteReference w:id="678" w:customMarkFollows="0"/>
      </w:r>
      <w:bookmarkEnd w:id="1151"/>
      <w:r>
        <w:rPr>
          <w:rtl/>
        </w:rPr>
        <w:t xml:space="preserve"> שהוא זוכר מלימודו עם ר׳ אהרן קוטלר במינסק שהיה </w:t>
      </w:r>
      <w:proofErr w:type="spellStart"/>
      <w:r>
        <w:rPr>
          <w:rtl/>
        </w:rPr>
        <w:t>לר</w:t>
      </w:r>
      <w:proofErr w:type="spellEnd"/>
      <w:r>
        <w:rPr>
          <w:rtl/>
        </w:rPr>
        <w:t>׳ אהרן “זיכרון של ברזל”. כששאל אותו ר׳ יצחק אם כוונתו לזיכרון צילומי, השיב: “לא, סתם זיכרון של ברזל. הזיכרון של ר׳ דוד רפפורט היה צילומי</w:t>
      </w:r>
      <w:bookmarkStart w:id="1152" w:name="_fnr679"/>
      <w:r>
        <w:rPr>
          <w:rStyle w:val="a5"/>
        </w:rPr>
        <w:footnoteReference w:id="679" w:customMarkFollows="0"/>
      </w:r>
      <w:bookmarkEnd w:id="1152"/>
      <w:r>
        <w:rPr>
          <w:rtl/>
        </w:rPr>
        <w:t>”.</w:t>
      </w:r>
    </w:p>
    <w:bookmarkStart w:id="1153" w:name="b2_note97"/>
    <w:p w14:paraId="58366637" w14:textId="7087DE84" w:rsidR="00AB3647" w:rsidRDefault="00000000" w:rsidP="007923E9">
      <w:pPr>
        <w:spacing w:before="120" w:after="100" w:line="276" w:lineRule="auto"/>
        <w:jc w:val="both"/>
      </w:pPr>
      <w:r>
        <w:fldChar w:fldCharType="begin" w:dirty="true"/>
      </w:r>
      <w:r>
        <w:instrText>HYPERLINK \l "b2_ref97"</w:instrText>
      </w:r>
      <w:r>
        <w:fldChar w:fldCharType="separate"/>
      </w:r>
      <w:r>
        <w:rPr>
          <w:b/>
          <w:bCs/>
          <w:rtl/>
        </w:rPr>
        <w:t>97</w:t>
      </w:r>
      <w:r>
        <w:rPr>
          <w:b/>
          <w:bCs/>
        </w:rPr>
        <w:fldChar w:fldCharType="end"/>
      </w:r>
      <w:bookmarkEnd w:id="1153"/>
      <w:r>
        <w:rPr>
          <w:rtl/>
        </w:rPr>
        <w:t xml:space="preserve"> השווה פרק 4,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והערה 106 להלן.</w:t>
      </w:r>
    </w:p>
    <w:bookmarkStart w:id="1154" w:name="b2_note98"/>
    <w:p w14:paraId="39FC3B40" w14:textId="77777777" w:rsidR="00AB3647" w:rsidRDefault="00000000" w:rsidP="007923E9">
      <w:pPr>
        <w:spacing w:before="120" w:after="100" w:line="276" w:lineRule="auto"/>
        <w:jc w:val="both"/>
      </w:pPr>
      <w:r>
        <w:fldChar w:fldCharType="begin" w:dirty="true"/>
      </w:r>
      <w:r>
        <w:instrText>HYPERLINK \l "b2_ref98"</w:instrText>
      </w:r>
      <w:r>
        <w:fldChar w:fldCharType="separate"/>
      </w:r>
      <w:r>
        <w:rPr>
          <w:b/>
          <w:bCs/>
          <w:rtl/>
        </w:rPr>
        <w:t>98</w:t>
      </w:r>
      <w:r>
        <w:rPr>
          <w:b/>
          <w:bCs/>
        </w:rPr>
        <w:fldChar w:fldCharType="end"/>
      </w:r>
      <w:bookmarkEnd w:id="1154"/>
      <w:r>
        <w:rPr>
          <w:rtl/>
        </w:rPr>
        <w:t xml:space="preserve"> ריאיון עם ר׳ חיים </w:t>
      </w:r>
      <w:proofErr w:type="spellStart"/>
      <w:r>
        <w:rPr>
          <w:rtl/>
        </w:rPr>
        <w:t>גרוזובסקי</w:t>
      </w:r>
      <w:proofErr w:type="spellEnd"/>
      <w:r>
        <w:rPr>
          <w:rtl/>
        </w:rPr>
        <w:t>.</w:t>
      </w:r>
      <w:bookmarkStart w:id="1155" w:name="_fnr680"/>
      <w:r>
        <w:rPr>
          <w:rStyle w:val="a5"/>
        </w:rPr>
        <w:footnoteReference w:id="680" w:customMarkFollows="0"/>
      </w:r>
      <w:bookmarkEnd w:id="1155"/>
      <w:r>
        <w:rPr>
          <w:rtl/>
        </w:rPr>
        <w:t xml:space="preserve"> בשנת 1905 שרצו ברחובות היהודיים מסיתים סוציאליסטים. ב־18 באוקטובר, חצי שנה אחרי המאורעות המתוארים, ערכו צבא הצאר והז׳נדרמריה טבח בהמון שיצא מאספה ציבורית שקיבלה היתר רשמי: מאות נפצעו, ונהרגו 42 יהודים ו־15 </w:t>
      </w:r>
      <w:proofErr w:type="spellStart"/>
      <w:r>
        <w:rPr>
          <w:rtl/>
        </w:rPr>
        <w:t>לא־יהודים</w:t>
      </w:r>
      <w:proofErr w:type="spellEnd"/>
      <w:r>
        <w:rPr>
          <w:rtl/>
        </w:rPr>
        <w:t>, “מקצתם ודגלים אדומים בידיהם”.</w:t>
      </w:r>
      <w:bookmarkStart w:id="1156" w:name="_fnr681"/>
      <w:r>
        <w:rPr>
          <w:rStyle w:val="a5"/>
        </w:rPr>
        <w:footnoteReference w:id="681" w:customMarkFollows="0"/>
      </w:r>
      <w:bookmarkEnd w:id="1156"/>
    </w:p>
    <w:p w14:paraId="1C79D5FA" w14:textId="77777777" w:rsidR="00AB3647" w:rsidRDefault="00000000" w:rsidP="007923E9">
      <w:pPr>
        <w:spacing w:after="100" w:line="276" w:lineRule="auto"/>
        <w:ind w:firstLine="340"/>
        <w:jc w:val="both"/>
      </w:pPr>
      <w:r>
        <w:rPr>
          <w:rtl/>
        </w:rPr>
        <w:t xml:space="preserve">בהספד ביום השנה הראשון לפטירת ר׳ ראובן </w:t>
      </w:r>
      <w:proofErr w:type="spellStart"/>
      <w:r>
        <w:rPr>
          <w:rtl/>
        </w:rPr>
        <w:t>גרוזובסקי</w:t>
      </w:r>
      <w:proofErr w:type="spellEnd"/>
      <w:r>
        <w:rPr>
          <w:rtl/>
        </w:rPr>
        <w:t xml:space="preserve"> כינה אבי את מינסק “עיר מהפכנית, לא דתית”: הוא הכריז שמינסק, למרות האווירה ששררה בה, התהדרה בקבוצת התלמידים הגדולה ביותר </w:t>
      </w:r>
      <w:proofErr w:type="spellStart"/>
      <w:r>
        <w:rPr>
          <w:rtl/>
        </w:rPr>
        <w:t>בסלבודקה</w:t>
      </w:r>
      <w:proofErr w:type="spellEnd"/>
      <w:r>
        <w:rPr>
          <w:rtl/>
        </w:rPr>
        <w:t xml:space="preserve"> מכל עיר אחרת “משום שר׳ ראובן </w:t>
      </w:r>
      <w:proofErr w:type="spellStart"/>
      <w:r>
        <w:rPr>
          <w:rtl/>
        </w:rPr>
        <w:t>גרוזובסקי</w:t>
      </w:r>
      <w:proofErr w:type="spellEnd"/>
      <w:r>
        <w:rPr>
          <w:rtl/>
        </w:rPr>
        <w:t xml:space="preserve"> </w:t>
      </w:r>
      <w:r>
        <w:rPr>
          <w:b/>
          <w:bCs/>
          <w:rtl/>
        </w:rPr>
        <w:t>עמל</w:t>
      </w:r>
      <w:r>
        <w:rPr>
          <w:rtl/>
        </w:rPr>
        <w:t xml:space="preserve"> להביא בחורים לישיבה</w:t>
      </w:r>
      <w:bookmarkStart w:id="1157" w:name="_fnr682"/>
      <w:r>
        <w:rPr>
          <w:rStyle w:val="a5"/>
        </w:rPr>
        <w:footnoteReference w:id="682" w:customMarkFollows="0"/>
      </w:r>
      <w:bookmarkEnd w:id="1157"/>
      <w:r>
        <w:rPr>
          <w:rtl/>
        </w:rPr>
        <w:t>”.</w:t>
      </w:r>
    </w:p>
    <w:p w14:paraId="0912957D" w14:textId="277066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ראובן ראה את הסכנות האורבות לאהרן פינס ולרבנו, וידע שהקרבה למשפחותיהם רק מחריפה את הסכנה. לכן החליט להתקדם בשליחותו של ר׳ </w:t>
      </w:r>
      <w:proofErr w:type="spellStart"/>
      <w:r>
        <w:rPr>
          <w:rtl/>
        </w:rPr>
        <w:t>נתן־צבי</w:t>
      </w:r>
      <w:proofErr w:type="spellEnd"/>
      <w:r>
        <w:rPr>
          <w:rtl/>
        </w:rPr>
        <w:t xml:space="preserve"> </w:t>
      </w:r>
      <w:proofErr w:type="spellStart"/>
      <w:r>
        <w:rPr>
          <w:rtl/>
        </w:rPr>
        <w:t>פינקל</w:t>
      </w:r>
      <w:proofErr w:type="spellEnd"/>
      <w:r>
        <w:rPr>
          <w:rtl/>
        </w:rPr>
        <w:t xml:space="preserve"> ולהביא את אהרן, יחד עם ידידו, לעזוב את מינסק אל מקום בטוח יותר מבחינה רוחנית. כדי לשכנעם בנימוקים שכליים, הצביע לפניהם על האפשרויות להתעלות בתורה שהיו פתוחות לפניהם </w:t>
      </w:r>
      <w:proofErr w:type="spellStart"/>
      <w:r>
        <w:rPr>
          <w:rtl/>
        </w:rPr>
        <w:t>בסלבודקה</w:t>
      </w:r>
      <w:proofErr w:type="spellEnd"/>
      <w:r>
        <w:rPr>
          <w:rtl/>
        </w:rPr>
        <w:t xml:space="preserve">, וחזר באוזניהם על </w:t>
      </w:r>
      <w:proofErr w:type="spellStart"/>
      <w:r>
        <w:rPr>
          <w:rtl/>
        </w:rPr>
        <w:t>סברא</w:t>
      </w:r>
      <w:proofErr w:type="spellEnd"/>
      <w:r>
        <w:rPr>
          <w:rtl/>
        </w:rPr>
        <w:t xml:space="preserve"> חריפה ששמע שם.</w:t>
      </w:r>
      <w:bookmarkStart w:id="1158" w:name="b2_ref99"/>
      <w:bookmarkEnd w:id="1158"/>
      <w:r>
        <w:rPr>
          <w:vertAlign w:val="superscript"/>
          <w:rtl/>
        </w:rPr>
        <w:fldChar w:fldCharType="begin" w:dirty="true"/>
      </w:r>
      <w:r>
        <w:rPr>
          <w:vertAlign w:val="superscript"/>
          <w:rtl/>
        </w:rPr>
        <w:instrText xml:space="preserve"> REF b2_note99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p>
    <w:bookmarkStart w:id="1159" w:name="b2_note99"/>
    <w:p w14:paraId="28FDA2B2" w14:textId="1E1F5337" w:rsidR="00AB3647" w:rsidRDefault="00000000" w:rsidP="007923E9">
      <w:pPr>
        <w:spacing w:before="120" w:after="100" w:line="276" w:lineRule="auto"/>
        <w:jc w:val="both"/>
      </w:pPr>
      <w:r>
        <w:fldChar w:fldCharType="begin" w:dirty="true"/>
      </w:r>
      <w:r>
        <w:instrText>HYPERLINK \l "b2_ref99"</w:instrText>
      </w:r>
      <w:r>
        <w:fldChar w:fldCharType="separate"/>
      </w:r>
      <w:r>
        <w:rPr>
          <w:b/>
          <w:bCs/>
          <w:rtl/>
        </w:rPr>
        <w:t>99</w:t>
      </w:r>
      <w:r>
        <w:rPr>
          <w:b/>
          <w:bCs/>
        </w:rPr>
        <w:fldChar w:fldCharType="end"/>
      </w:r>
      <w:bookmarkEnd w:id="1159"/>
      <w:r>
        <w:rPr>
          <w:rtl/>
        </w:rPr>
        <w:t xml:space="preserve"> ראה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55748AE" w14:textId="77777777" w:rsidR="00AB3647" w:rsidRDefault="00AB3647" w:rsidP="007923E9">
      <w:pPr>
        <w:spacing w:line="276" w:lineRule="auto"/>
      </w:pPr>
    </w:p>
    <w:p w14:paraId="208BEFAA" w14:textId="40DDB7F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בעל ברית במערכה זו מצא ראובן בבן מינסק המבוגר ממנו בשנה, אשר קרשטיין,</w:t>
      </w:r>
      <w:bookmarkStart w:id="1160" w:name="b2_ref100"/>
      <w:bookmarkEnd w:id="1160"/>
      <w:r>
        <w:rPr>
          <w:vertAlign w:val="superscript"/>
          <w:rtl/>
        </w:rPr>
        <w:fldChar w:fldCharType="begin" w:dirty="true"/>
      </w:r>
      <w:r>
        <w:rPr>
          <w:vertAlign w:val="superscript"/>
          <w:rtl/>
        </w:rPr>
        <w:instrText xml:space="preserve"> REF b2_note100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שלמד אז כבר שנתיים באותה ישיבה שבה למד גם הוא, כנסת ישראל, ובא למינסק לביקור קצר. אשר </w:t>
      </w:r>
      <w:r>
        <w:rPr>
          <w:rtl/>
        </w:rPr>
        <w:lastRenderedPageBreak/>
        <w:t xml:space="preserve">התנדב לעזור לנערים הצעירים כשיחליטו להצטרף אליו </w:t>
      </w:r>
      <w:proofErr w:type="spellStart"/>
      <w:r>
        <w:rPr>
          <w:rtl/>
        </w:rPr>
        <w:t>בסלבודקה</w:t>
      </w:r>
      <w:proofErr w:type="spellEnd"/>
      <w:r>
        <w:rPr>
          <w:rtl/>
        </w:rPr>
        <w:t xml:space="preserve">. גם בחור </w:t>
      </w:r>
      <w:proofErr w:type="spellStart"/>
      <w:r>
        <w:rPr>
          <w:rtl/>
        </w:rPr>
        <w:t>מינסקאי</w:t>
      </w:r>
      <w:proofErr w:type="spellEnd"/>
      <w:r>
        <w:rPr>
          <w:rtl/>
        </w:rPr>
        <w:t xml:space="preserve"> נוסף, מבוגר אף מראובן ומאשר, </w:t>
      </w:r>
      <w:proofErr w:type="spellStart"/>
      <w:r>
        <w:rPr>
          <w:rtl/>
        </w:rPr>
        <w:t>זלמן־יוסף</w:t>
      </w:r>
      <w:proofErr w:type="spellEnd"/>
      <w:r>
        <w:rPr>
          <w:rtl/>
        </w:rPr>
        <w:t xml:space="preserve"> </w:t>
      </w:r>
      <w:proofErr w:type="spellStart"/>
      <w:r>
        <w:rPr>
          <w:rtl/>
        </w:rPr>
        <w:t>בייניסון</w:t>
      </w:r>
      <w:proofErr w:type="spellEnd"/>
      <w:r>
        <w:rPr>
          <w:rtl/>
        </w:rPr>
        <w:t>, נטל חלק בשכנוע הנערים המחוננים לעזוב את מינסק.</w:t>
      </w:r>
      <w:bookmarkStart w:id="1161" w:name="b2_ref101"/>
      <w:bookmarkEnd w:id="1161"/>
      <w:r>
        <w:rPr>
          <w:vertAlign w:val="superscript"/>
          <w:rtl/>
        </w:rPr>
        <w:fldChar w:fldCharType="begin" w:dirty="true"/>
      </w:r>
      <w:r>
        <w:rPr>
          <w:vertAlign w:val="superscript"/>
          <w:rtl/>
        </w:rPr>
        <w:instrText xml:space="preserve"> REF b2_note101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p>
    <w:bookmarkStart w:id="1162" w:name="b2_note100"/>
    <w:p w14:paraId="337605EE" w14:textId="77777777" w:rsidR="00AB3647" w:rsidRDefault="00000000" w:rsidP="007923E9">
      <w:pPr>
        <w:spacing w:before="120" w:after="100" w:line="276" w:lineRule="auto"/>
        <w:jc w:val="both"/>
      </w:pPr>
      <w:r>
        <w:fldChar w:fldCharType="begin" w:dirty="true"/>
      </w:r>
      <w:r>
        <w:instrText>HYPERLINK \l "b2_ref100"</w:instrText>
      </w:r>
      <w:r>
        <w:fldChar w:fldCharType="separate"/>
      </w:r>
      <w:r>
        <w:rPr>
          <w:b/>
          <w:bCs/>
          <w:rtl/>
        </w:rPr>
        <w:t>100</w:t>
      </w:r>
      <w:r>
        <w:rPr>
          <w:b/>
          <w:bCs/>
        </w:rPr>
        <w:fldChar w:fldCharType="end"/>
      </w:r>
      <w:bookmarkEnd w:id="1162"/>
      <w:r>
        <w:rPr>
          <w:rtl/>
        </w:rPr>
        <w:t xml:space="preserve"> לפי </w:t>
      </w:r>
      <w:proofErr w:type="spellStart"/>
      <w:r>
        <w:rPr>
          <w:rtl/>
        </w:rPr>
        <w:t>חיה־מרים</w:t>
      </w:r>
      <w:proofErr w:type="spellEnd"/>
      <w:r>
        <w:rPr>
          <w:rtl/>
        </w:rPr>
        <w:t xml:space="preserve"> </w:t>
      </w:r>
      <w:proofErr w:type="spellStart"/>
      <w:r>
        <w:rPr>
          <w:rtl/>
        </w:rPr>
        <w:t>שולמן</w:t>
      </w:r>
      <w:proofErr w:type="spellEnd"/>
      <w:r>
        <w:rPr>
          <w:rtl/>
        </w:rPr>
        <w:t>.</w:t>
      </w:r>
      <w:bookmarkStart w:id="1163" w:name="_fnr683"/>
      <w:r>
        <w:rPr>
          <w:rStyle w:val="a5"/>
        </w:rPr>
        <w:footnoteReference w:id="683" w:customMarkFollows="0"/>
      </w:r>
      <w:bookmarkEnd w:id="1163"/>
    </w:p>
    <w:bookmarkStart w:id="1164" w:name="b2_note101"/>
    <w:p w14:paraId="51CE45A4" w14:textId="77777777" w:rsidR="00AB3647" w:rsidRDefault="00000000" w:rsidP="007923E9">
      <w:pPr>
        <w:spacing w:before="120" w:after="100" w:line="276" w:lineRule="auto"/>
        <w:jc w:val="both"/>
      </w:pPr>
      <w:r>
        <w:fldChar w:fldCharType="begin" w:dirty="true"/>
      </w:r>
      <w:r>
        <w:instrText>HYPERLINK \l "b2_ref101"</w:instrText>
      </w:r>
      <w:r>
        <w:fldChar w:fldCharType="separate"/>
      </w:r>
      <w:r>
        <w:rPr>
          <w:b/>
          <w:bCs/>
          <w:rtl/>
        </w:rPr>
        <w:t>101</w:t>
      </w:r>
      <w:r>
        <w:rPr>
          <w:b/>
          <w:bCs/>
        </w:rPr>
        <w:fldChar w:fldCharType="end"/>
      </w:r>
      <w:bookmarkEnd w:id="1164"/>
      <w:r>
        <w:rPr>
          <w:rtl/>
        </w:rPr>
        <w:t xml:space="preserve"> מתוך השיחה המוקלטת עם ר׳ מרדכי שפירא.</w:t>
      </w:r>
      <w:bookmarkStart w:id="1165" w:name="_fnr684"/>
      <w:r>
        <w:rPr>
          <w:rStyle w:val="a5"/>
        </w:rPr>
        <w:footnoteReference w:id="684" w:customMarkFollows="0"/>
      </w:r>
      <w:bookmarkEnd w:id="1165"/>
      <w:r>
        <w:rPr>
          <w:rtl/>
        </w:rPr>
        <w:t xml:space="preserve"> משפחת </w:t>
      </w:r>
      <w:proofErr w:type="spellStart"/>
      <w:r>
        <w:rPr>
          <w:rtl/>
        </w:rPr>
        <w:t>בייניסון</w:t>
      </w:r>
      <w:proofErr w:type="spellEnd"/>
      <w:r>
        <w:rPr>
          <w:rtl/>
        </w:rPr>
        <w:t xml:space="preserve"> נזכרת </w:t>
      </w:r>
      <w:proofErr w:type="spellStart"/>
      <w:r>
        <w:rPr>
          <w:rtl/>
        </w:rPr>
        <w:t>ב“מינסק</w:t>
      </w:r>
      <w:proofErr w:type="spellEnd"/>
      <w:r>
        <w:rPr>
          <w:rtl/>
        </w:rPr>
        <w:t xml:space="preserve"> עיר ואם” כמשפחה שישבה במינסק. עוד אני סבור </w:t>
      </w:r>
      <w:proofErr w:type="spellStart"/>
      <w:r>
        <w:rPr>
          <w:rtl/>
        </w:rPr>
        <w:t>שזלמן־יוסף</w:t>
      </w:r>
      <w:proofErr w:type="spellEnd"/>
      <w:r>
        <w:rPr>
          <w:rtl/>
        </w:rPr>
        <w:t xml:space="preserve"> היה אחיו של המנהיג הציוני הנודע יהושע </w:t>
      </w:r>
      <w:proofErr w:type="spellStart"/>
      <w:r>
        <w:rPr>
          <w:rtl/>
        </w:rPr>
        <w:t>בייניסון</w:t>
      </w:r>
      <w:proofErr w:type="spellEnd"/>
      <w:r>
        <w:rPr>
          <w:rtl/>
        </w:rPr>
        <w:t xml:space="preserve">, תלמיד </w:t>
      </w:r>
      <w:proofErr w:type="spellStart"/>
      <w:r>
        <w:rPr>
          <w:rtl/>
        </w:rPr>
        <w:t>וולוז׳ין</w:t>
      </w:r>
      <w:proofErr w:type="spellEnd"/>
      <w:r>
        <w:rPr>
          <w:rtl/>
        </w:rPr>
        <w:t xml:space="preserve">, שנזכר כמה פעמים </w:t>
      </w:r>
      <w:proofErr w:type="spellStart"/>
      <w:r>
        <w:rPr>
          <w:rtl/>
        </w:rPr>
        <w:t>ב“מינסק</w:t>
      </w:r>
      <w:proofErr w:type="spellEnd"/>
      <w:r>
        <w:rPr>
          <w:rtl/>
        </w:rPr>
        <w:t xml:space="preserve"> עיר ואם א” בשל פעילותו </w:t>
      </w:r>
      <w:proofErr w:type="spellStart"/>
      <w:r>
        <w:rPr>
          <w:rtl/>
        </w:rPr>
        <w:t>ב“חיבת</w:t>
      </w:r>
      <w:proofErr w:type="spellEnd"/>
      <w:r>
        <w:rPr>
          <w:rtl/>
        </w:rPr>
        <w:t xml:space="preserve"> ציון”. יהושע </w:t>
      </w:r>
      <w:proofErr w:type="spellStart"/>
      <w:r>
        <w:rPr>
          <w:rtl/>
        </w:rPr>
        <w:t>בייניסון</w:t>
      </w:r>
      <w:proofErr w:type="spellEnd"/>
      <w:r>
        <w:rPr>
          <w:rtl/>
        </w:rPr>
        <w:t xml:space="preserve"> היה חתנו הסורר במקצת של ר׳ מוניה לוין, ראש הישיבה </w:t>
      </w:r>
      <w:proofErr w:type="spellStart"/>
      <w:r>
        <w:rPr>
          <w:rtl/>
        </w:rPr>
        <w:t>בקלויז</w:t>
      </w:r>
      <w:proofErr w:type="spellEnd"/>
      <w:r>
        <w:rPr>
          <w:rtl/>
        </w:rPr>
        <w:t xml:space="preserve"> של </w:t>
      </w:r>
      <w:proofErr w:type="spellStart"/>
      <w:r>
        <w:rPr>
          <w:rtl/>
        </w:rPr>
        <w:t>בלומקה</w:t>
      </w:r>
      <w:proofErr w:type="spellEnd"/>
      <w:r>
        <w:rPr>
          <w:rtl/>
        </w:rPr>
        <w:t xml:space="preserve">. הוא עלה לארץ ישראל ונעשה שם מזכיר היקב בראשון לציון, באותה שנה שבה יצא רבנו </w:t>
      </w:r>
      <w:proofErr w:type="spellStart"/>
      <w:r>
        <w:rPr>
          <w:rtl/>
        </w:rPr>
        <w:t>לסלבודקה</w:t>
      </w:r>
      <w:proofErr w:type="spellEnd"/>
      <w:r>
        <w:rPr>
          <w:rtl/>
        </w:rPr>
        <w:t>.</w:t>
      </w:r>
    </w:p>
    <w:p w14:paraId="715277AC" w14:textId="77777777" w:rsidR="00AB3647" w:rsidRDefault="00000000" w:rsidP="007923E9">
      <w:pPr>
        <w:spacing w:before="120" w:after="100" w:line="276" w:lineRule="auto"/>
        <w:jc w:val="both"/>
      </w:pPr>
      <w:proofErr w:type="spellStart"/>
      <w:r>
        <w:rPr>
          <w:rtl/>
        </w:rPr>
        <w:t>מ“מינסק</w:t>
      </w:r>
      <w:proofErr w:type="spellEnd"/>
      <w:r>
        <w:rPr>
          <w:rtl/>
        </w:rPr>
        <w:t xml:space="preserve"> עיר ואם א”</w:t>
      </w:r>
      <w:bookmarkStart w:id="1166" w:name="_fnr685"/>
      <w:r>
        <w:rPr>
          <w:rStyle w:val="a5"/>
        </w:rPr>
        <w:footnoteReference w:id="685" w:customMarkFollows="0"/>
      </w:r>
      <w:bookmarkEnd w:id="1166"/>
      <w:r>
        <w:rPr>
          <w:rtl/>
        </w:rPr>
        <w:t xml:space="preserve"> עולה שהיו ליהושע אחים: שם מסופר </w:t>
      </w:r>
      <w:proofErr w:type="spellStart"/>
      <w:r>
        <w:rPr>
          <w:rtl/>
        </w:rPr>
        <w:t>ש“אחרי</w:t>
      </w:r>
      <w:proofErr w:type="spellEnd"/>
      <w:r>
        <w:rPr>
          <w:rtl/>
        </w:rPr>
        <w:t xml:space="preserve"> מות הוריו במגפת טיפוס בעיר הולדתם </w:t>
      </w:r>
      <w:proofErr w:type="spellStart"/>
      <w:r>
        <w:rPr>
          <w:rtl/>
        </w:rPr>
        <w:t>בוריסוב</w:t>
      </w:r>
      <w:proofErr w:type="spellEnd"/>
      <w:r>
        <w:rPr>
          <w:rtl/>
        </w:rPr>
        <w:t xml:space="preserve">, עבר יהושע למינסק עם משפחתו ועם </w:t>
      </w:r>
      <w:r>
        <w:rPr>
          <w:b/>
          <w:bCs/>
          <w:rtl/>
        </w:rPr>
        <w:t>שני אחיו</w:t>
      </w:r>
      <w:r>
        <w:rPr>
          <w:rtl/>
        </w:rPr>
        <w:t xml:space="preserve"> ואחותו חסיה”. באותה שיחה אמר אבי: “איני יודע מה עלה לבסוף בגורלו של ר׳ </w:t>
      </w:r>
      <w:proofErr w:type="spellStart"/>
      <w:r>
        <w:rPr>
          <w:rtl/>
        </w:rPr>
        <w:t>זלמן־יוסף</w:t>
      </w:r>
      <w:proofErr w:type="spellEnd"/>
      <w:r>
        <w:rPr>
          <w:rtl/>
        </w:rPr>
        <w:t xml:space="preserve"> תחת הבולשביקים. קראתי </w:t>
      </w:r>
      <w:proofErr w:type="spellStart"/>
      <w:r>
        <w:rPr>
          <w:rtl/>
        </w:rPr>
        <w:t>ב‘פארווערטס</w:t>
      </w:r>
      <w:proofErr w:type="spellEnd"/>
      <w:r>
        <w:rPr>
          <w:rtl/>
        </w:rPr>
        <w:t xml:space="preserve">’ או </w:t>
      </w:r>
      <w:proofErr w:type="spellStart"/>
      <w:r>
        <w:rPr>
          <w:rtl/>
        </w:rPr>
        <w:t>ב‘מארגן</w:t>
      </w:r>
      <w:proofErr w:type="spellEnd"/>
      <w:r>
        <w:rPr>
          <w:rtl/>
        </w:rPr>
        <w:t xml:space="preserve"> </w:t>
      </w:r>
      <w:proofErr w:type="spellStart"/>
      <w:r>
        <w:rPr>
          <w:rtl/>
        </w:rPr>
        <w:t>זשורנאל</w:t>
      </w:r>
      <w:proofErr w:type="spellEnd"/>
      <w:r>
        <w:rPr>
          <w:rtl/>
        </w:rPr>
        <w:t>’</w:t>
      </w:r>
      <w:bookmarkStart w:id="1167" w:name="_fnr686"/>
      <w:r>
        <w:rPr>
          <w:rStyle w:val="a5"/>
        </w:rPr>
        <w:footnoteReference w:id="686" w:customMarkFollows="0"/>
      </w:r>
      <w:bookmarkEnd w:id="1167"/>
      <w:r>
        <w:rPr>
          <w:rtl/>
        </w:rPr>
        <w:t xml:space="preserve"> על רב באוקראינה שחשדתי שהוא הוא. באותה כתבה הוא נקרא בשם משפחה אחר, אבל ברוסיה אין בכך כדי לשלול שהיה זה באמת </w:t>
      </w:r>
      <w:proofErr w:type="spellStart"/>
      <w:r>
        <w:rPr>
          <w:rtl/>
        </w:rPr>
        <w:t>בייניסון</w:t>
      </w:r>
      <w:proofErr w:type="spellEnd"/>
      <w:r>
        <w:rPr>
          <w:rtl/>
        </w:rPr>
        <w:t xml:space="preserve">”. לפי ההשערה האמורה, ייתכן שהחליף את שם המשפחה </w:t>
      </w:r>
      <w:proofErr w:type="spellStart"/>
      <w:r>
        <w:rPr>
          <w:rtl/>
        </w:rPr>
        <w:t>בייניסון</w:t>
      </w:r>
      <w:proofErr w:type="spellEnd"/>
      <w:r>
        <w:rPr>
          <w:rtl/>
        </w:rPr>
        <w:t xml:space="preserve"> מפחד הבולשביקים, שעלולים היו לקשור אותו </w:t>
      </w:r>
      <w:proofErr w:type="spellStart"/>
      <w:r>
        <w:rPr>
          <w:rtl/>
        </w:rPr>
        <w:t>ל“פשע</w:t>
      </w:r>
      <w:proofErr w:type="spellEnd"/>
      <w:r>
        <w:rPr>
          <w:rtl/>
        </w:rPr>
        <w:t>” הציוני של אחיו המהגר.</w:t>
      </w:r>
    </w:p>
    <w:p w14:paraId="03C5EC30" w14:textId="09A4E4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בלהיטות האופיינית לו לא השאיר ראובן </w:t>
      </w:r>
      <w:proofErr w:type="spellStart"/>
      <w:r>
        <w:rPr>
          <w:rtl/>
        </w:rPr>
        <w:t>גרוזובסקי</w:t>
      </w:r>
      <w:proofErr w:type="spellEnd"/>
      <w:r>
        <w:rPr>
          <w:rtl/>
        </w:rPr>
        <w:t xml:space="preserve"> דבר ליד המקרה. לא זו בלבד שדיבר ישירות עם הנוגעים בדבר, אלא אף תיאר את הבעיות הנובעות מהמשך שהותם במינסק לפני אחד מראשי הישיבה הקודמים של אבי – ושל אשר</w:t>
      </w:r>
      <w:bookmarkStart w:id="1168" w:name="b2_ref102"/>
      <w:bookmarkEnd w:id="1168"/>
      <w:r>
        <w:rPr>
          <w:vertAlign w:val="superscript"/>
          <w:rtl/>
        </w:rPr>
        <w:fldChar w:fldCharType="begin" w:dirty="true"/>
      </w:r>
      <w:r>
        <w:rPr>
          <w:vertAlign w:val="superscript"/>
          <w:rtl/>
        </w:rPr>
        <w:instrText xml:space="preserve"> REF b2_note102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xml:space="preserve"> – ר׳ שלמה גולובנצ׳יץ.</w:t>
      </w:r>
      <w:bookmarkStart w:id="1169" w:name="b2_ref103"/>
      <w:bookmarkEnd w:id="1169"/>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ר׳ שלמה, מצדו, סידר שאוהב התורה ר׳ </w:t>
      </w:r>
      <w:proofErr w:type="spellStart"/>
      <w:r>
        <w:rPr>
          <w:rtl/>
        </w:rPr>
        <w:t>יעקב־נח</w:t>
      </w:r>
      <w:proofErr w:type="spellEnd"/>
      <w:r>
        <w:rPr>
          <w:rtl/>
        </w:rPr>
        <w:t xml:space="preserve"> אוקסנקרוג</w:t>
      </w:r>
      <w:bookmarkStart w:id="1170" w:name="b2_ref104"/>
      <w:bookmarkEnd w:id="1170"/>
      <w:r>
        <w:rPr>
          <w:vertAlign w:val="superscript"/>
          <w:rtl/>
        </w:rPr>
        <w:fldChar w:fldCharType="begin" w:dirty="true"/>
      </w:r>
      <w:r>
        <w:rPr>
          <w:vertAlign w:val="superscript"/>
          <w:rtl/>
        </w:rPr>
        <w:instrText xml:space="preserve"> REF b2_note104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יממן את דמי הנסיעה ברכבת ואת ההוצאות הראשונות</w:t>
      </w:r>
      <w:bookmarkStart w:id="1171" w:name="b2_ref105"/>
      <w:bookmarkEnd w:id="1171"/>
      <w:r>
        <w:rPr>
          <w:vertAlign w:val="superscript"/>
          <w:rtl/>
        </w:rPr>
        <w:fldChar w:fldCharType="begin" w:dirty="true"/>
      </w:r>
      <w:r>
        <w:rPr>
          <w:vertAlign w:val="superscript"/>
          <w:rtl/>
        </w:rPr>
        <w:instrText xml:space="preserve"> REF b2_note105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של שני</w:t>
      </w:r>
      <w:r>
        <w:rPr>
          <w:vertAlign w:val="superscript"/>
          <w:rtl/>
        </w:rPr>
        <w:fldChar w:fldCharType="begin" w:dirty="true"/>
      </w:r>
      <w:r>
        <w:rPr>
          <w:vertAlign w:val="superscript"/>
          <w:rtl/>
        </w:rPr>
        <w:instrText xml:space="preserve"> REF b2_note103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תלמידי החכמים הצעירים המבטיחים, אם יסכימו לעזוב את מינסק. משהוסר מכשול זה, שב ראובן להסתערות חזיתית, ודחק בשני הנערים שלא ידחו עוד את יציאתם ממינסק.</w:t>
      </w:r>
      <w:bookmarkStart w:id="1172" w:name="b2_ref106"/>
      <w:bookmarkEnd w:id="1172"/>
      <w:r>
        <w:rPr>
          <w:vertAlign w:val="superscript"/>
          <w:rtl/>
        </w:rPr>
        <w:fldChar w:fldCharType="begin" w:dirty="true"/>
      </w:r>
      <w:r>
        <w:rPr>
          <w:vertAlign w:val="superscript"/>
          <w:rtl/>
        </w:rPr>
        <w:instrText xml:space="preserve"> REF b2_note106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p>
    <w:bookmarkStart w:id="1173" w:name="b2_note102"/>
    <w:p w14:paraId="5B0293B9" w14:textId="77777777" w:rsidR="00AB3647" w:rsidRDefault="00000000" w:rsidP="007923E9">
      <w:pPr>
        <w:spacing w:before="120" w:after="100" w:line="276" w:lineRule="auto"/>
        <w:jc w:val="both"/>
      </w:pPr>
      <w:r>
        <w:fldChar w:fldCharType="begin" w:dirty="true"/>
      </w:r>
      <w:r>
        <w:instrText>HYPERLINK \l "b2_ref102"</w:instrText>
      </w:r>
      <w:r>
        <w:fldChar w:fldCharType="separate"/>
      </w:r>
      <w:r>
        <w:rPr>
          <w:b/>
          <w:bCs/>
          <w:rtl/>
        </w:rPr>
        <w:t>102</w:t>
      </w:r>
      <w:r>
        <w:rPr>
          <w:b/>
          <w:bCs/>
        </w:rPr>
        <w:fldChar w:fldCharType="end"/>
      </w:r>
      <w:bookmarkEnd w:id="1173"/>
      <w:r>
        <w:rPr>
          <w:rtl/>
        </w:rPr>
        <w:t xml:space="preserve"> מאמר אוטוביוגרפי </w:t>
      </w:r>
      <w:proofErr w:type="spellStart"/>
      <w:r>
        <w:rPr>
          <w:rtl/>
        </w:rPr>
        <w:t>ב“מינסק</w:t>
      </w:r>
      <w:proofErr w:type="spellEnd"/>
      <w:r>
        <w:rPr>
          <w:rtl/>
        </w:rPr>
        <w:t xml:space="preserve"> עיר ואם ב”.</w:t>
      </w:r>
      <w:bookmarkStart w:id="1174" w:name="_fnr687"/>
      <w:r>
        <w:rPr>
          <w:rStyle w:val="a5"/>
        </w:rPr>
        <w:footnoteReference w:id="687" w:customMarkFollows="0"/>
      </w:r>
      <w:bookmarkEnd w:id="1174"/>
      <w:r>
        <w:rPr>
          <w:rtl/>
        </w:rPr>
        <w:t xml:space="preserve"> שם הוא מספר שלפני שבא </w:t>
      </w:r>
      <w:proofErr w:type="spellStart"/>
      <w:r>
        <w:rPr>
          <w:rtl/>
        </w:rPr>
        <w:t>לסלבודקה</w:t>
      </w:r>
      <w:proofErr w:type="spellEnd"/>
      <w:r>
        <w:rPr>
          <w:rtl/>
        </w:rPr>
        <w:t xml:space="preserve"> – שנה לפני אבי – למד שנתיים </w:t>
      </w:r>
      <w:proofErr w:type="spellStart"/>
      <w:r>
        <w:rPr>
          <w:rtl/>
        </w:rPr>
        <w:t>בראדין</w:t>
      </w:r>
      <w:proofErr w:type="spellEnd"/>
      <w:r>
        <w:rPr>
          <w:rtl/>
        </w:rPr>
        <w:t xml:space="preserve">, ומגיל </w:t>
      </w:r>
      <w:proofErr w:type="spellStart"/>
      <w:r>
        <w:rPr>
          <w:rtl/>
        </w:rPr>
        <w:t>שבע־עשרה</w:t>
      </w:r>
      <w:proofErr w:type="spellEnd"/>
      <w:r>
        <w:rPr>
          <w:rtl/>
        </w:rPr>
        <w:t xml:space="preserve"> היה שם “סופר החידושים של </w:t>
      </w:r>
      <w:proofErr w:type="spellStart"/>
      <w:r>
        <w:rPr>
          <w:rtl/>
        </w:rPr>
        <w:t>החפץ־חיים</w:t>
      </w:r>
      <w:proofErr w:type="spellEnd"/>
      <w:r>
        <w:rPr>
          <w:rtl/>
        </w:rPr>
        <w:t xml:space="preserve"> (ר׳ </w:t>
      </w:r>
      <w:proofErr w:type="spellStart"/>
      <w:r>
        <w:rPr>
          <w:rtl/>
        </w:rPr>
        <w:t>ישראל־מאיר</w:t>
      </w:r>
      <w:proofErr w:type="spellEnd"/>
      <w:r>
        <w:rPr>
          <w:rtl/>
        </w:rPr>
        <w:t xml:space="preserve"> כגן), שנכתבו לימים </w:t>
      </w:r>
      <w:proofErr w:type="spellStart"/>
      <w:r>
        <w:rPr>
          <w:rtl/>
        </w:rPr>
        <w:t>ב‘משנה</w:t>
      </w:r>
      <w:proofErr w:type="spellEnd"/>
      <w:r>
        <w:rPr>
          <w:rtl/>
        </w:rPr>
        <w:t xml:space="preserve"> ברורה’”.</w:t>
      </w:r>
    </w:p>
    <w:bookmarkStart w:id="1175" w:name="b2_note103"/>
    <w:p w14:paraId="0CEA1972" w14:textId="15DD791B" w:rsidR="00AB3647" w:rsidRDefault="00000000" w:rsidP="007923E9">
      <w:pPr>
        <w:spacing w:before="120" w:after="100" w:line="276" w:lineRule="auto"/>
        <w:jc w:val="both"/>
      </w:pPr>
      <w:r>
        <w:lastRenderedPageBreak/>
        <w:fldChar w:fldCharType="begin" w:dirty="true"/>
      </w:r>
      <w:r>
        <w:instrText>HYPERLINK \l "b2_ref103"</w:instrText>
      </w:r>
      <w:r>
        <w:fldChar w:fldCharType="separate"/>
      </w:r>
      <w:r>
        <w:rPr>
          <w:b/>
          <w:bCs/>
          <w:rtl/>
        </w:rPr>
        <w:t>103</w:t>
      </w:r>
      <w:r>
        <w:rPr>
          <w:b/>
          <w:bCs/>
        </w:rPr>
        <w:fldChar w:fldCharType="end"/>
      </w:r>
      <w:bookmarkEnd w:id="1175"/>
      <w:r>
        <w:rPr>
          <w:rtl/>
        </w:rPr>
        <w:t xml:space="preserve"> כשהספיד אבי את ר׳ ראובן </w:t>
      </w:r>
      <w:proofErr w:type="spellStart"/>
      <w:r>
        <w:rPr>
          <w:rtl/>
        </w:rPr>
        <w:t>גרוזובסקי</w:t>
      </w:r>
      <w:proofErr w:type="spellEnd"/>
      <w:r>
        <w:rPr>
          <w:rtl/>
        </w:rPr>
        <w:t xml:space="preserve"> על שהציל אותו ואת ר׳ אהרן קוטלר מציפורני ההשכלה בכך ששכנע אותם ללכת </w:t>
      </w:r>
      <w:proofErr w:type="spellStart"/>
      <w:r>
        <w:rPr>
          <w:rtl/>
        </w:rPr>
        <w:t>לסלבודקה</w:t>
      </w:r>
      <w:proofErr w:type="spellEnd"/>
      <w:r>
        <w:rPr>
          <w:rtl/>
        </w:rPr>
        <w:t xml:space="preserve">, הזכיר גם את ר׳ שלמה </w:t>
      </w:r>
      <w:proofErr w:type="spellStart"/>
      <w:r>
        <w:rPr>
          <w:rtl/>
        </w:rPr>
        <w:t>גולובנצ׳יץ</w:t>
      </w:r>
      <w:proofErr w:type="spellEnd"/>
      <w:r>
        <w:rPr>
          <w:rtl/>
        </w:rPr>
        <w:t xml:space="preserve"> כמי ששלח </w:t>
      </w:r>
      <w:r>
        <w:rPr>
          <w:b/>
          <w:bCs/>
          <w:rtl/>
        </w:rPr>
        <w:t>אותם</w:t>
      </w:r>
      <w:r>
        <w:rPr>
          <w:rtl/>
        </w:rPr>
        <w:t xml:space="preserve"> (ההדגשה שלי, לצורך הדיון להלן) לשם. הוא הביע הכרת טובה </w:t>
      </w:r>
      <w:proofErr w:type="spellStart"/>
      <w:r>
        <w:rPr>
          <w:rtl/>
        </w:rPr>
        <w:t>לר</w:t>
      </w:r>
      <w:proofErr w:type="spellEnd"/>
      <w:r>
        <w:rPr>
          <w:rtl/>
        </w:rPr>
        <w:t xml:space="preserve">׳ שלמה גם כשהוצג לפני נכדו, ר׳ אהרן </w:t>
      </w:r>
      <w:proofErr w:type="spellStart"/>
      <w:r>
        <w:rPr>
          <w:rtl/>
        </w:rPr>
        <w:t>גולובנצ׳יץ</w:t>
      </w:r>
      <w:proofErr w:type="spellEnd"/>
      <w:r>
        <w:rPr>
          <w:rtl/>
        </w:rPr>
        <w:t>, בביקור בבויז טאון בירושלים בחורף תשמ״א.</w:t>
      </w:r>
      <w:bookmarkStart w:id="1176" w:name="_fnr688"/>
      <w:r>
        <w:rPr>
          <w:rStyle w:val="a5"/>
        </w:rPr>
        <w:footnoteReference w:id="688" w:customMarkFollows="0"/>
      </w:r>
      <w:bookmarkEnd w:id="1176"/>
      <w:r>
        <w:rPr>
          <w:rtl/>
        </w:rPr>
        <w:t xml:space="preserve"> השווה גם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שאחיינו היתום של ר׳ שלמה, </w:t>
      </w:r>
      <w:proofErr w:type="spellStart"/>
      <w:r>
        <w:rPr>
          <w:rtl/>
        </w:rPr>
        <w:t>נחום־מאיר</w:t>
      </w:r>
      <w:proofErr w:type="spellEnd"/>
      <w:r>
        <w:rPr>
          <w:rtl/>
        </w:rPr>
        <w:t xml:space="preserve">, שלמד אצלו וגר עמו, נשלח גם הוא </w:t>
      </w:r>
      <w:proofErr w:type="spellStart"/>
      <w:r>
        <w:rPr>
          <w:rtl/>
        </w:rPr>
        <w:t>לסלבודקה</w:t>
      </w:r>
      <w:proofErr w:type="spellEnd"/>
      <w:r>
        <w:rPr>
          <w:rtl/>
        </w:rPr>
        <w:t xml:space="preserve"> באותו זמן. ר׳ </w:t>
      </w:r>
      <w:proofErr w:type="spellStart"/>
      <w:r>
        <w:rPr>
          <w:rtl/>
        </w:rPr>
        <w:t>אברהם־ישעיה</w:t>
      </w:r>
      <w:proofErr w:type="spellEnd"/>
      <w:r>
        <w:rPr>
          <w:rtl/>
        </w:rPr>
        <w:t xml:space="preserve"> </w:t>
      </w:r>
      <w:proofErr w:type="spellStart"/>
      <w:r>
        <w:rPr>
          <w:rtl/>
        </w:rPr>
        <w:t>קרליץ</w:t>
      </w:r>
      <w:proofErr w:type="spellEnd"/>
      <w:r>
        <w:rPr>
          <w:rtl/>
        </w:rPr>
        <w:t xml:space="preserve">, נכדו של ר׳ </w:t>
      </w:r>
      <w:proofErr w:type="spellStart"/>
      <w:r>
        <w:rPr>
          <w:rtl/>
        </w:rPr>
        <w:t>נחום־מאיר</w:t>
      </w:r>
      <w:proofErr w:type="spellEnd"/>
      <w:r>
        <w:rPr>
          <w:rtl/>
        </w:rPr>
        <w:t>,</w:t>
      </w:r>
      <w:bookmarkStart w:id="1177" w:name="_fnr689"/>
      <w:r>
        <w:rPr>
          <w:rStyle w:val="a5"/>
        </w:rPr>
        <w:footnoteReference w:id="689" w:customMarkFollows="0"/>
      </w:r>
      <w:bookmarkEnd w:id="1177"/>
      <w:r>
        <w:rPr>
          <w:rtl/>
        </w:rPr>
        <w:t xml:space="preserve"> סיפר שסבו נסע יחד עם אבי, ורק ברכבת פגשו את ר׳ אהרן קוטלר.</w:t>
      </w:r>
    </w:p>
    <w:p w14:paraId="0BDED9D9" w14:textId="6C7BCC69" w:rsidR="00AB3647" w:rsidRDefault="00000000" w:rsidP="007923E9">
      <w:pPr>
        <w:spacing w:before="120" w:after="100" w:line="276" w:lineRule="auto"/>
        <w:jc w:val="both"/>
      </w:pPr>
      <w:r>
        <w:rPr>
          <w:rtl/>
        </w:rPr>
        <w:t xml:space="preserve">נראה אם כן שר׳ שלמה </w:t>
      </w:r>
      <w:proofErr w:type="spellStart"/>
      <w:r>
        <w:rPr>
          <w:rtl/>
        </w:rPr>
        <w:t>גולובנצ׳יץ</w:t>
      </w:r>
      <w:proofErr w:type="spellEnd"/>
      <w:r>
        <w:rPr>
          <w:rtl/>
        </w:rPr>
        <w:t xml:space="preserve"> השיג מר׳ </w:t>
      </w:r>
      <w:proofErr w:type="spellStart"/>
      <w:r>
        <w:rPr>
          <w:rtl/>
        </w:rPr>
        <w:t>יעקב־נח</w:t>
      </w:r>
      <w:proofErr w:type="spellEnd"/>
      <w:r>
        <w:rPr>
          <w:rtl/>
        </w:rPr>
        <w:t xml:space="preserve"> </w:t>
      </w:r>
      <w:proofErr w:type="spellStart"/>
      <w:r>
        <w:rPr>
          <w:rtl/>
        </w:rPr>
        <w:t>אוקסנקרוג</w:t>
      </w:r>
      <w:proofErr w:type="spellEnd"/>
      <w:r>
        <w:rPr>
          <w:rtl/>
        </w:rPr>
        <w:t xml:space="preserve"> את המימון לאבי (ואולי גם לאחיינו שלו ולאחרים – ראה הערה </w:t>
      </w:r>
      <w:r>
        <w:rPr>
          <w:rtl/>
        </w:rPr>
        <w:fldChar w:fldCharType="begin" w:dirty="true"/>
      </w:r>
      <w:r>
        <w:rPr>
          <w:rtl/>
        </w:rPr>
        <w:instrText xml:space="preserve"> REF b2_note105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105</w:t>
      </w:r>
      <w:r>
        <w:rPr>
          <w:rtl/>
        </w:rPr>
        <w:fldChar w:fldCharType="end"/>
      </w:r>
      <w:r>
        <w:rPr>
          <w:rtl/>
        </w:rPr>
        <w:t xml:space="preserve"> להלן) ושלח אותו בעצמו, ואילו את הסידורים לאהרן פינס עשה ר׳ </w:t>
      </w:r>
      <w:proofErr w:type="spellStart"/>
      <w:r>
        <w:rPr>
          <w:rtl/>
        </w:rPr>
        <w:t>יעקב־נח</w:t>
      </w:r>
      <w:proofErr w:type="spellEnd"/>
      <w:r>
        <w:rPr>
          <w:rtl/>
        </w:rPr>
        <w:t xml:space="preserve"> לבדו. רק בדרך נוכחו שתי קבוצות הנוסעים שהן נוסעות באותה רכבת. זאת ועוד: אהרן פינס לא למד אצל ר׳ שלמה מעולם, ולכן מסתבר שר׳ שלמה לא הכירו כלל, או הכירו רק בשטחיות,</w:t>
      </w:r>
      <w:bookmarkStart w:id="1178" w:name="_fnr690"/>
      <w:r>
        <w:rPr>
          <w:rStyle w:val="a5"/>
        </w:rPr>
        <w:footnoteReference w:id="690" w:customMarkFollows="0"/>
      </w:r>
      <w:bookmarkEnd w:id="1178"/>
      <w:r>
        <w:rPr>
          <w:rtl/>
        </w:rPr>
        <w:t xml:space="preserve"> </w:t>
      </w:r>
      <w:proofErr w:type="spellStart"/>
      <w:r>
        <w:rPr>
          <w:rtl/>
        </w:rPr>
        <w:t>ושאוקסנקרוג</w:t>
      </w:r>
      <w:proofErr w:type="spellEnd"/>
      <w:r>
        <w:rPr>
          <w:rtl/>
        </w:rPr>
        <w:t xml:space="preserve"> הוא שהחליט מדעת עצמו לשלוח את ר׳ אהרן.</w:t>
      </w:r>
    </w:p>
    <w:p w14:paraId="7F580C7B" w14:textId="77777777" w:rsidR="00AB3647" w:rsidRDefault="00000000" w:rsidP="007923E9">
      <w:pPr>
        <w:spacing w:before="120" w:after="100" w:line="276" w:lineRule="auto"/>
        <w:jc w:val="both"/>
      </w:pPr>
      <w:r>
        <w:rPr>
          <w:rtl/>
        </w:rPr>
        <w:t xml:space="preserve">אפשר שר׳ </w:t>
      </w:r>
      <w:proofErr w:type="spellStart"/>
      <w:r>
        <w:rPr>
          <w:rtl/>
        </w:rPr>
        <w:t>יעקב־נח</w:t>
      </w:r>
      <w:proofErr w:type="spellEnd"/>
      <w:r>
        <w:rPr>
          <w:rtl/>
        </w:rPr>
        <w:t xml:space="preserve"> העלה רעיון זה אחרי שפנה אליו ר׳ שלמה וביקש ממנו לממן את נסיעתו של תלמיד אחר משול </w:t>
      </w:r>
      <w:proofErr w:type="spellStart"/>
      <w:r>
        <w:rPr>
          <w:rtl/>
        </w:rPr>
        <w:t>הקצבים</w:t>
      </w:r>
      <w:proofErr w:type="spellEnd"/>
      <w:r>
        <w:rPr>
          <w:rtl/>
        </w:rPr>
        <w:t xml:space="preserve"> של הקצב </w:t>
      </w:r>
      <w:proofErr w:type="spellStart"/>
      <w:r>
        <w:rPr>
          <w:rtl/>
        </w:rPr>
        <w:t>אוקסנקרוג</w:t>
      </w:r>
      <w:proofErr w:type="spellEnd"/>
      <w:r>
        <w:rPr>
          <w:rtl/>
        </w:rPr>
        <w:t xml:space="preserve"> – ידידו של פינס, אבי. גם לפי תרחיש משוער זה באה פעולתו של ר׳ </w:t>
      </w:r>
      <w:proofErr w:type="spellStart"/>
      <w:r>
        <w:rPr>
          <w:rtl/>
        </w:rPr>
        <w:t>יעקב־נח</w:t>
      </w:r>
      <w:proofErr w:type="spellEnd"/>
      <w:r>
        <w:rPr>
          <w:rtl/>
        </w:rPr>
        <w:t xml:space="preserve"> בעקבות צעד של הרב </w:t>
      </w:r>
      <w:proofErr w:type="spellStart"/>
      <w:r>
        <w:rPr>
          <w:rtl/>
        </w:rPr>
        <w:t>גולובנצ׳יץ</w:t>
      </w:r>
      <w:proofErr w:type="spellEnd"/>
      <w:r>
        <w:rPr>
          <w:rtl/>
        </w:rPr>
        <w:t xml:space="preserve">, ולכן יש לזקוף לזכות האחרון גם את מעברו של ר׳ אהרן </w:t>
      </w:r>
      <w:proofErr w:type="spellStart"/>
      <w:r>
        <w:rPr>
          <w:rtl/>
        </w:rPr>
        <w:t>לסלבודקה</w:t>
      </w:r>
      <w:proofErr w:type="spellEnd"/>
      <w:r>
        <w:rPr>
          <w:rtl/>
        </w:rPr>
        <w:t xml:space="preserve"> – כפי שאכן זקף לו רבנו, כמודגש בראש הערה זו. ר׳ </w:t>
      </w:r>
      <w:proofErr w:type="spellStart"/>
      <w:r>
        <w:rPr>
          <w:rtl/>
        </w:rPr>
        <w:t>יעקב־נח</w:t>
      </w:r>
      <w:proofErr w:type="spellEnd"/>
      <w:r>
        <w:rPr>
          <w:rtl/>
        </w:rPr>
        <w:t xml:space="preserve"> בירר אז אצל ר׳ שלמה באיזו רכבת ייסע אבי (ואחיינו של ר׳ שלמה), והעלה עליה גם את אהרן פינס. הסידורים לנסיעה נעשו בבין הזמנים של פסח, ולכן לא היו ר׳ אהרן ואבי בקשר זה עם זה, ולא ידעו זה על תוכניות הנסיעה המדויקות של זה עד שנפגשו ברכבת. משנפגשו, דבקו שני הידידים זה בזה לאורך כל הנסיעה, ועברו יחד הרפתקה בווילנה בדרכם לקובנה, כמוזכר בראש פרק 3.</w:t>
      </w:r>
    </w:p>
    <w:p w14:paraId="6FE3C2CB" w14:textId="77777777" w:rsidR="00AB3647" w:rsidRDefault="00000000" w:rsidP="007923E9">
      <w:pPr>
        <w:spacing w:after="100" w:line="276" w:lineRule="auto"/>
        <w:ind w:firstLine="340"/>
        <w:jc w:val="both"/>
      </w:pPr>
      <w:r>
        <w:rPr>
          <w:rtl/>
        </w:rPr>
        <w:t xml:space="preserve">הרב </w:t>
      </w:r>
      <w:proofErr w:type="spellStart"/>
      <w:r>
        <w:rPr>
          <w:rtl/>
        </w:rPr>
        <w:t>גולובנצ׳יץ</w:t>
      </w:r>
      <w:proofErr w:type="spellEnd"/>
      <w:r>
        <w:rPr>
          <w:rtl/>
        </w:rPr>
        <w:t xml:space="preserve"> הבין את חשיבות היציאה מן הבית לישיבה בעיר אחרת מניסיונו שלו בנעוריו. לפי חתנו, ר׳ מאיר פינס,</w:t>
      </w:r>
      <w:bookmarkStart w:id="1179" w:name="_fnr691"/>
      <w:r>
        <w:rPr>
          <w:rStyle w:val="a5"/>
        </w:rPr>
        <w:footnoteReference w:id="691" w:customMarkFollows="0"/>
      </w:r>
      <w:bookmarkEnd w:id="1179"/>
      <w:r>
        <w:rPr>
          <w:rtl/>
        </w:rPr>
        <w:t xml:space="preserve"> אביו של ר׳ שלמה, תלמיד חכם, רצה שיישאר בבית וילמד אצלו, אבל בגיל </w:t>
      </w:r>
      <w:proofErr w:type="spellStart"/>
      <w:r>
        <w:rPr>
          <w:rtl/>
        </w:rPr>
        <w:t>שתים־עשרה</w:t>
      </w:r>
      <w:proofErr w:type="spellEnd"/>
      <w:r>
        <w:rPr>
          <w:rtl/>
        </w:rPr>
        <w:t xml:space="preserve"> ברח שלמה לישיבת </w:t>
      </w:r>
      <w:proofErr w:type="spellStart"/>
      <w:r>
        <w:rPr>
          <w:rtl/>
        </w:rPr>
        <w:t>וולוז׳ין</w:t>
      </w:r>
      <w:proofErr w:type="spellEnd"/>
      <w:r>
        <w:rPr>
          <w:rtl/>
        </w:rPr>
        <w:t xml:space="preserve">. היה זה מעשה נועז במיוחד, משום שהיה גיבן – כך סיפר בן מינסק ר׳ לייזר </w:t>
      </w:r>
      <w:proofErr w:type="spellStart"/>
      <w:r>
        <w:rPr>
          <w:rtl/>
        </w:rPr>
        <w:t>ברזין</w:t>
      </w:r>
      <w:proofErr w:type="spellEnd"/>
      <w:r>
        <w:rPr>
          <w:rtl/>
        </w:rPr>
        <w:t>,</w:t>
      </w:r>
      <w:bookmarkStart w:id="1180" w:name="_fnr692"/>
      <w:r>
        <w:rPr>
          <w:rStyle w:val="a5"/>
        </w:rPr>
        <w:footnoteReference w:id="692" w:customMarkFollows="0"/>
      </w:r>
      <w:bookmarkEnd w:id="1180"/>
      <w:r>
        <w:rPr>
          <w:rtl/>
        </w:rPr>
        <w:t xml:space="preserve"> שהרב </w:t>
      </w:r>
      <w:proofErr w:type="spellStart"/>
      <w:r>
        <w:rPr>
          <w:rtl/>
        </w:rPr>
        <w:t>גולובנצ׳יץ</w:t>
      </w:r>
      <w:proofErr w:type="spellEnd"/>
      <w:r>
        <w:rPr>
          <w:rtl/>
        </w:rPr>
        <w:t xml:space="preserve"> סידר את קידושיו בארץ ישראל זמן קצר לפני פטירתו.</w:t>
      </w:r>
      <w:bookmarkStart w:id="1181" w:name="_fnr693"/>
      <w:r>
        <w:rPr>
          <w:rStyle w:val="a5"/>
        </w:rPr>
        <w:footnoteReference w:id="693" w:customMarkFollows="0"/>
      </w:r>
      <w:bookmarkEnd w:id="1181"/>
      <w:r>
        <w:rPr>
          <w:rtl/>
        </w:rPr>
        <w:t xml:space="preserve"> נכד אחר של ר׳ שלמה, ר׳ אריה </w:t>
      </w:r>
      <w:proofErr w:type="spellStart"/>
      <w:r>
        <w:rPr>
          <w:rtl/>
        </w:rPr>
        <w:t>גולובנצ׳יץ</w:t>
      </w:r>
      <w:proofErr w:type="spellEnd"/>
      <w:r>
        <w:rPr>
          <w:rtl/>
        </w:rPr>
        <w:t>, סיפר</w:t>
      </w:r>
      <w:bookmarkStart w:id="1182" w:name="_fnr694"/>
      <w:r>
        <w:rPr>
          <w:rStyle w:val="a5"/>
        </w:rPr>
        <w:footnoteReference w:id="694" w:customMarkFollows="0"/>
      </w:r>
      <w:bookmarkEnd w:id="1182"/>
      <w:r>
        <w:rPr>
          <w:rtl/>
        </w:rPr>
        <w:t xml:space="preserve"> שתלמיד מובהק של </w:t>
      </w:r>
      <w:proofErr w:type="spellStart"/>
      <w:r>
        <w:rPr>
          <w:rtl/>
        </w:rPr>
        <w:t>סלבודקה</w:t>
      </w:r>
      <w:proofErr w:type="spellEnd"/>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אמר בסעודת שבע ברכות משפחתית שישיבתו של ר׳ שלמה הייתה מכינה לישיבת </w:t>
      </w:r>
      <w:proofErr w:type="spellStart"/>
      <w:r>
        <w:rPr>
          <w:rtl/>
        </w:rPr>
        <w:t>סלבודקה</w:t>
      </w:r>
      <w:proofErr w:type="spellEnd"/>
      <w:r>
        <w:rPr>
          <w:rtl/>
        </w:rPr>
        <w:t>, ושבוגריה הצטיינו שם.</w:t>
      </w:r>
    </w:p>
    <w:bookmarkStart w:id="1183" w:name="b2_note104"/>
    <w:p w14:paraId="0FB4C62F" w14:textId="77777777" w:rsidR="00AB3647" w:rsidRDefault="00000000" w:rsidP="007923E9">
      <w:pPr>
        <w:spacing w:before="120" w:after="100" w:line="276" w:lineRule="auto"/>
        <w:jc w:val="both"/>
      </w:pPr>
      <w:r>
        <w:lastRenderedPageBreak/>
        <w:fldChar w:fldCharType="begin" w:dirty="true"/>
      </w:r>
      <w:r>
        <w:instrText>HYPERLINK \l "b2_ref104"</w:instrText>
      </w:r>
      <w:r>
        <w:fldChar w:fldCharType="separate"/>
      </w:r>
      <w:r>
        <w:rPr>
          <w:b/>
          <w:bCs/>
          <w:rtl/>
        </w:rPr>
        <w:t>104</w:t>
      </w:r>
      <w:r>
        <w:rPr>
          <w:b/>
          <w:bCs/>
        </w:rPr>
        <w:fldChar w:fldCharType="end"/>
      </w:r>
      <w:bookmarkEnd w:id="1183"/>
      <w:r>
        <w:rPr>
          <w:rtl/>
        </w:rPr>
        <w:t xml:space="preserve"> אבי סיפר:</w:t>
      </w:r>
      <w:bookmarkStart w:id="1184" w:name="_fnr695"/>
      <w:r>
        <w:rPr>
          <w:rStyle w:val="a5"/>
        </w:rPr>
        <w:footnoteReference w:id="695" w:customMarkFollows="0"/>
      </w:r>
      <w:bookmarkEnd w:id="1184"/>
      <w:r>
        <w:rPr>
          <w:rtl/>
        </w:rPr>
        <w:t xml:space="preserve"> “</w:t>
      </w:r>
      <w:proofErr w:type="spellStart"/>
      <w:r>
        <w:rPr>
          <w:rtl/>
        </w:rPr>
        <w:t>ליענקל</w:t>
      </w:r>
      <w:proofErr w:type="spellEnd"/>
      <w:r>
        <w:rPr>
          <w:rtl/>
        </w:rPr>
        <w:t xml:space="preserve"> הקצב היה רבי בשול </w:t>
      </w:r>
      <w:proofErr w:type="spellStart"/>
      <w:r>
        <w:rPr>
          <w:rtl/>
        </w:rPr>
        <w:t>הקצבים</w:t>
      </w:r>
      <w:proofErr w:type="spellEnd"/>
      <w:r>
        <w:rPr>
          <w:rtl/>
        </w:rPr>
        <w:t>, והוא היה מטריד את הרבנים האורחים שיסבירו לו את הסברות שבגמרא. לא היה זה כדי לקנטר; הוא רק רצה ‘</w:t>
      </w:r>
      <w:proofErr w:type="spellStart"/>
      <w:r>
        <w:rPr>
          <w:rtl/>
        </w:rPr>
        <w:t>אנטאפען</w:t>
      </w:r>
      <w:proofErr w:type="spellEnd"/>
      <w:r>
        <w:rPr>
          <w:rtl/>
        </w:rPr>
        <w:t xml:space="preserve">’ א </w:t>
      </w:r>
      <w:proofErr w:type="spellStart"/>
      <w:r>
        <w:rPr>
          <w:rtl/>
        </w:rPr>
        <w:t>סברא</w:t>
      </w:r>
      <w:proofErr w:type="spellEnd"/>
      <w:r>
        <w:rPr>
          <w:rtl/>
        </w:rPr>
        <w:t xml:space="preserve"> [למשש – לבדוק ולנתח – </w:t>
      </w:r>
      <w:proofErr w:type="spellStart"/>
      <w:r>
        <w:rPr>
          <w:rtl/>
        </w:rPr>
        <w:t>סברא</w:t>
      </w:r>
      <w:proofErr w:type="spellEnd"/>
      <w:r>
        <w:rPr>
          <w:rtl/>
        </w:rPr>
        <w:t xml:space="preserve">]. את אחד הרבנים – איני זוכר מי היה – הטריד כל כך שיסביר את הפלוגתא בין </w:t>
      </w:r>
      <w:proofErr w:type="spellStart"/>
      <w:r>
        <w:rPr>
          <w:rtl/>
        </w:rPr>
        <w:t>אביי</w:t>
      </w:r>
      <w:proofErr w:type="spellEnd"/>
      <w:r>
        <w:rPr>
          <w:rtl/>
        </w:rPr>
        <w:t xml:space="preserve"> </w:t>
      </w:r>
      <w:proofErr w:type="spellStart"/>
      <w:r>
        <w:rPr>
          <w:rtl/>
        </w:rPr>
        <w:t>לרבא</w:t>
      </w:r>
      <w:proofErr w:type="spellEnd"/>
      <w:r>
        <w:rPr>
          <w:rtl/>
        </w:rPr>
        <w:t xml:space="preserve"> בעניין ‘מיפוך והזמה’</w:t>
      </w:r>
      <w:bookmarkStart w:id="1185" w:name="_fnr696"/>
      <w:r>
        <w:rPr>
          <w:rStyle w:val="a5"/>
        </w:rPr>
        <w:footnoteReference w:id="696" w:customMarkFollows="0"/>
      </w:r>
      <w:bookmarkEnd w:id="1185"/>
      <w:r>
        <w:rPr>
          <w:rtl/>
        </w:rPr>
        <w:t>, עד שקרא הרב בכעס: ‘וכי אם איני יודע את סוגיית “מיפוך והזמה” איני יכול להיות רב?!’</w:t>
      </w:r>
      <w:bookmarkStart w:id="1186" w:name="_fnr697"/>
      <w:r>
        <w:rPr>
          <w:rStyle w:val="a5"/>
        </w:rPr>
        <w:footnoteReference w:id="697" w:customMarkFollows="0"/>
      </w:r>
      <w:bookmarkEnd w:id="1186"/>
      <w:r>
        <w:rPr>
          <w:rtl/>
        </w:rPr>
        <w:t xml:space="preserve">”. דברי אבי מתיישבים עם מה שאמר נכדו של ר׳ </w:t>
      </w:r>
      <w:proofErr w:type="spellStart"/>
      <w:r>
        <w:rPr>
          <w:rtl/>
        </w:rPr>
        <w:t>יעקב־נח</w:t>
      </w:r>
      <w:proofErr w:type="spellEnd"/>
      <w:r>
        <w:rPr>
          <w:rtl/>
        </w:rPr>
        <w:t xml:space="preserve"> בריאיון עמו</w:t>
      </w:r>
      <w:bookmarkStart w:id="1187" w:name="_fnr698"/>
      <w:r>
        <w:rPr>
          <w:rStyle w:val="a5"/>
        </w:rPr>
        <w:footnoteReference w:id="698" w:customMarkFollows="0"/>
      </w:r>
      <w:bookmarkEnd w:id="1187"/>
      <w:r>
        <w:rPr>
          <w:rtl/>
        </w:rPr>
        <w:t>: אם לא הבין סבו דבר מה בגמרא, לא היה עובר לסוגיה אחרת ימים רבים.</w:t>
      </w:r>
    </w:p>
    <w:bookmarkStart w:id="1188" w:name="b2_note105"/>
    <w:p w14:paraId="2523A3DC" w14:textId="4398AA51" w:rsidR="00AB3647" w:rsidRDefault="00000000" w:rsidP="007923E9">
      <w:pPr>
        <w:spacing w:before="120" w:after="100" w:line="276" w:lineRule="auto"/>
        <w:jc w:val="both"/>
      </w:pPr>
      <w:r>
        <w:fldChar w:fldCharType="begin" w:dirty="true"/>
      </w:r>
      <w:r>
        <w:instrText>HYPERLINK \l "b2_ref105"</w:instrText>
      </w:r>
      <w:r>
        <w:fldChar w:fldCharType="separate"/>
      </w:r>
      <w:r>
        <w:rPr>
          <w:b/>
          <w:bCs/>
          <w:rtl/>
        </w:rPr>
        <w:t>105</w:t>
      </w:r>
      <w:r>
        <w:rPr>
          <w:b/>
          <w:bCs/>
        </w:rPr>
        <w:fldChar w:fldCharType="end"/>
      </w:r>
      <w:bookmarkEnd w:id="1188"/>
      <w:r>
        <w:rPr>
          <w:rtl/>
        </w:rPr>
        <w:t xml:space="preserve"> ראה הערה </w:t>
      </w:r>
      <w:r>
        <w:rPr>
          <w:rtl/>
        </w:rPr>
        <w:fldChar w:fldCharType="begin" w:dirty="true"/>
      </w:r>
      <w:r>
        <w:rPr>
          <w:rtl/>
        </w:rPr>
        <w:instrText xml:space="preserve"> REF b2_note50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כשחזר ר׳ מרדכי שפירא מביקורו בארץ ישראל, חזר לפני אבי על הסיפור ששמע מפי ר׳ </w:t>
      </w:r>
      <w:proofErr w:type="spellStart"/>
      <w:r>
        <w:rPr>
          <w:rtl/>
        </w:rPr>
        <w:t>יעקב־נח</w:t>
      </w:r>
      <w:proofErr w:type="spellEnd"/>
      <w:r>
        <w:rPr>
          <w:rtl/>
        </w:rPr>
        <w:t xml:space="preserve"> </w:t>
      </w:r>
      <w:proofErr w:type="spellStart"/>
      <w:r>
        <w:rPr>
          <w:rtl/>
        </w:rPr>
        <w:t>אוקסנקרוג</w:t>
      </w:r>
      <w:proofErr w:type="spellEnd"/>
      <w:r>
        <w:rPr>
          <w:rtl/>
        </w:rPr>
        <w:t xml:space="preserve">. אבי אישר לא רק שר׳ </w:t>
      </w:r>
      <w:proofErr w:type="spellStart"/>
      <w:r>
        <w:rPr>
          <w:rtl/>
        </w:rPr>
        <w:t>יעקב־נח</w:t>
      </w:r>
      <w:proofErr w:type="spellEnd"/>
      <w:r>
        <w:rPr>
          <w:rtl/>
        </w:rPr>
        <w:t xml:space="preserve"> הוא שהביא את ר׳ אהרן </w:t>
      </w:r>
      <w:proofErr w:type="spellStart"/>
      <w:r>
        <w:rPr>
          <w:rtl/>
        </w:rPr>
        <w:t>לסלבודקה</w:t>
      </w:r>
      <w:proofErr w:type="spellEnd"/>
      <w:r>
        <w:rPr>
          <w:rtl/>
        </w:rPr>
        <w:t xml:space="preserve">, אלא גם </w:t>
      </w:r>
      <w:proofErr w:type="spellStart"/>
      <w:r>
        <w:rPr>
          <w:rtl/>
        </w:rPr>
        <w:t>שה“נער</w:t>
      </w:r>
      <w:proofErr w:type="spellEnd"/>
      <w:r>
        <w:rPr>
          <w:rtl/>
        </w:rPr>
        <w:t xml:space="preserve"> האחר”, שאת שמו לא זכר </w:t>
      </w:r>
      <w:proofErr w:type="spellStart"/>
      <w:r>
        <w:rPr>
          <w:rtl/>
        </w:rPr>
        <w:t>אוקסנקרוג</w:t>
      </w:r>
      <w:proofErr w:type="spellEnd"/>
      <w:r>
        <w:rPr>
          <w:rtl/>
        </w:rPr>
        <w:t xml:space="preserve">, לא היה אלא הוא עצמו. ראה פרק 3, הערה </w:t>
      </w:r>
      <w:r>
        <w:rPr>
          <w:rtl/>
        </w:rPr>
        <w:fldChar w:fldCharType="begin" w:dirty="true"/>
      </w:r>
      <w:r>
        <w:rPr>
          <w:rtl/>
        </w:rPr>
        <w:instrText xml:space="preserve"> REF b3_note1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w:t>
      </w:r>
      <w:r>
        <w:rPr>
          <w:rtl/>
        </w:rPr>
        <w:fldChar w:fldCharType="end"/>
      </w:r>
      <w:r>
        <w:rPr>
          <w:rtl/>
        </w:rPr>
        <w:t xml:space="preserve"> (והערה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 שהיו עוד נוסעים </w:t>
      </w:r>
      <w:proofErr w:type="spellStart"/>
      <w:r>
        <w:rPr>
          <w:rtl/>
        </w:rPr>
        <w:t>לסלבודקה</w:t>
      </w:r>
      <w:proofErr w:type="spellEnd"/>
      <w:r>
        <w:rPr>
          <w:rtl/>
        </w:rPr>
        <w:t xml:space="preserve">; אבל הם לא היו תלמידים בשול </w:t>
      </w:r>
      <w:proofErr w:type="spellStart"/>
      <w:r>
        <w:rPr>
          <w:rtl/>
        </w:rPr>
        <w:t>הקצבים</w:t>
      </w:r>
      <w:proofErr w:type="spellEnd"/>
      <w:r>
        <w:rPr>
          <w:rtl/>
        </w:rPr>
        <w:t xml:space="preserve"> שלו, ולכן לא זכר </w:t>
      </w:r>
      <w:proofErr w:type="spellStart"/>
      <w:r>
        <w:rPr>
          <w:rtl/>
        </w:rPr>
        <w:t>אוקסנקרוג</w:t>
      </w:r>
      <w:proofErr w:type="spellEnd"/>
      <w:r>
        <w:rPr>
          <w:rtl/>
        </w:rPr>
        <w:t xml:space="preserve"> </w:t>
      </w:r>
      <w:proofErr w:type="spellStart"/>
      <w:r>
        <w:rPr>
          <w:rtl/>
        </w:rPr>
        <w:t>ש“שלח</w:t>
      </w:r>
      <w:proofErr w:type="spellEnd"/>
      <w:r>
        <w:rPr>
          <w:rtl/>
        </w:rPr>
        <w:t xml:space="preserve">” יותר </w:t>
      </w:r>
      <w:proofErr w:type="spellStart"/>
      <w:r>
        <w:rPr>
          <w:rtl/>
        </w:rPr>
        <w:t>מ“נער</w:t>
      </w:r>
      <w:proofErr w:type="spellEnd"/>
      <w:r>
        <w:rPr>
          <w:rtl/>
        </w:rPr>
        <w:t xml:space="preserve"> אחר” אחד. בהתחשב באהבתו של ר׳ </w:t>
      </w:r>
      <w:proofErr w:type="spellStart"/>
      <w:r>
        <w:rPr>
          <w:rtl/>
        </w:rPr>
        <w:t>יעקב־נח</w:t>
      </w:r>
      <w:proofErr w:type="spellEnd"/>
      <w:r>
        <w:rPr>
          <w:rtl/>
        </w:rPr>
        <w:t xml:space="preserve"> לתורה ובנדיבותו, ייתכן מאוד שמימן גם את האחרים, לפי המלצתו של ר׳ שלמה </w:t>
      </w:r>
      <w:proofErr w:type="spellStart"/>
      <w:r>
        <w:rPr>
          <w:rtl/>
        </w:rPr>
        <w:t>גולובנצ׳יץ</w:t>
      </w:r>
      <w:proofErr w:type="spellEnd"/>
      <w:r>
        <w:rPr>
          <w:rtl/>
        </w:rPr>
        <w:t>.</w:t>
      </w:r>
    </w:p>
    <w:bookmarkStart w:id="1189" w:name="b2_note106"/>
    <w:p w14:paraId="6351FDE5" w14:textId="77777777" w:rsidR="00AB3647" w:rsidRDefault="00000000" w:rsidP="007923E9">
      <w:pPr>
        <w:spacing w:before="120" w:after="100" w:line="276" w:lineRule="auto"/>
        <w:jc w:val="both"/>
      </w:pPr>
      <w:r>
        <w:fldChar w:fldCharType="begin" w:dirty="true"/>
      </w:r>
      <w:r>
        <w:instrText>HYPERLINK \l "b2_ref106"</w:instrText>
      </w:r>
      <w:r>
        <w:fldChar w:fldCharType="separate"/>
      </w:r>
      <w:r>
        <w:rPr>
          <w:b/>
          <w:bCs/>
          <w:rtl/>
        </w:rPr>
        <w:t>106</w:t>
      </w:r>
      <w:r>
        <w:rPr>
          <w:b/>
          <w:bCs/>
        </w:rPr>
        <w:fldChar w:fldCharType="end"/>
      </w:r>
      <w:bookmarkEnd w:id="1189"/>
      <w:r>
        <w:rPr>
          <w:rtl/>
        </w:rPr>
        <w:t xml:space="preserve"> ר׳ ישראל </w:t>
      </w:r>
      <w:proofErr w:type="spellStart"/>
      <w:r>
        <w:rPr>
          <w:rtl/>
        </w:rPr>
        <w:t>בלסקי</w:t>
      </w:r>
      <w:bookmarkStart w:id="1190" w:name="_fnr699"/>
      <w:proofErr w:type="spellEnd"/>
      <w:r>
        <w:rPr>
          <w:rStyle w:val="a5"/>
        </w:rPr>
        <w:footnoteReference w:id="699" w:customMarkFollows="0"/>
      </w:r>
      <w:bookmarkEnd w:id="1190"/>
      <w:r>
        <w:rPr>
          <w:rtl/>
        </w:rPr>
        <w:t xml:space="preserve"> סיפר שר׳ אהרן קוטלר קם להספיד את ר׳ ראובן בעצרת זיכרון, אבל נחנק כל כך מדמעות עד שלא יכול היה להוציא מילה מפיו. הוא רק עמד שם ובכה עשר דקות, וישב. אז עלה אבי ופתח את הספדו במילים: “אסביר מדוע ראש ישיבת </w:t>
      </w:r>
      <w:proofErr w:type="spellStart"/>
      <w:r>
        <w:rPr>
          <w:rtl/>
        </w:rPr>
        <w:t>קלצק</w:t>
      </w:r>
      <w:proofErr w:type="spellEnd"/>
      <w:r>
        <w:rPr>
          <w:rtl/>
        </w:rPr>
        <w:t xml:space="preserve"> מרגיש כך”, וסיפר על חלקו המכריע של ר׳ ראובן בהבאת שניהם ממינסק </w:t>
      </w:r>
      <w:proofErr w:type="spellStart"/>
      <w:r>
        <w:rPr>
          <w:rtl/>
        </w:rPr>
        <w:t>לסלבודקה</w:t>
      </w:r>
      <w:proofErr w:type="spellEnd"/>
      <w:r>
        <w:rPr>
          <w:rtl/>
        </w:rPr>
        <w:t>, ולעולם התורה.</w:t>
      </w:r>
    </w:p>
    <w:p w14:paraId="5B862543" w14:textId="77777777" w:rsidR="00AB3647" w:rsidRDefault="00000000" w:rsidP="007923E9">
      <w:pPr>
        <w:spacing w:after="100" w:line="276" w:lineRule="auto"/>
        <w:ind w:firstLine="340"/>
        <w:jc w:val="both"/>
      </w:pPr>
      <w:bookmarkStart w:id="1191" w:name="pr_b_565"/>
      <w:bookmarkEnd w:id="1191"/>
      <w:r>
        <w:rPr>
          <w:rtl/>
        </w:rPr>
        <w:t>ר׳ שלום שפירא</w:t>
      </w:r>
      <w:bookmarkStart w:id="1192" w:name="_fnr700"/>
      <w:r>
        <w:rPr>
          <w:rStyle w:val="a5"/>
        </w:rPr>
        <w:footnoteReference w:id="700" w:customMarkFollows="0"/>
      </w:r>
      <w:bookmarkEnd w:id="1192"/>
      <w:r>
        <w:rPr>
          <w:rtl/>
        </w:rPr>
        <w:t xml:space="preserve"> סיפר גם שר׳ אהרן אמר פעם: “ר׳ ראובן הוציא אותי מהרבה </w:t>
      </w:r>
      <w:proofErr w:type="spellStart"/>
      <w:r>
        <w:rPr>
          <w:rtl/>
        </w:rPr>
        <w:t>בלאטעס</w:t>
      </w:r>
      <w:proofErr w:type="spellEnd"/>
      <w:r>
        <w:rPr>
          <w:rtl/>
        </w:rPr>
        <w:t xml:space="preserve"> [ביצות]”. סבורים שר׳ אהרן התכוון להצלחתו של הרב </w:t>
      </w:r>
      <w:proofErr w:type="spellStart"/>
      <w:r>
        <w:rPr>
          <w:rtl/>
        </w:rPr>
        <w:t>גרוזובסקי</w:t>
      </w:r>
      <w:proofErr w:type="spellEnd"/>
      <w:r>
        <w:rPr>
          <w:rtl/>
        </w:rPr>
        <w:t xml:space="preserve"> לעמוד מול ההשפעות הרעות שארבו לו בנעוריו, הן במינסק והן לאחר מכן </w:t>
      </w:r>
      <w:proofErr w:type="spellStart"/>
      <w:r>
        <w:rPr>
          <w:rtl/>
        </w:rPr>
        <w:t>בסלבודקה</w:t>
      </w:r>
      <w:proofErr w:type="spellEnd"/>
      <w:r>
        <w:rPr>
          <w:rtl/>
        </w:rPr>
        <w:t>.</w:t>
      </w:r>
    </w:p>
    <w:p w14:paraId="44506AD5" w14:textId="77777777" w:rsidR="00AB3647" w:rsidRDefault="00000000" w:rsidP="007923E9">
      <w:pPr>
        <w:spacing w:after="100" w:line="276" w:lineRule="auto"/>
        <w:ind w:firstLine="340"/>
        <w:jc w:val="both"/>
      </w:pPr>
      <w:r>
        <w:rPr>
          <w:rtl/>
        </w:rPr>
        <w:t xml:space="preserve">לפי ר׳ חיים </w:t>
      </w:r>
      <w:proofErr w:type="spellStart"/>
      <w:r>
        <w:rPr>
          <w:rtl/>
        </w:rPr>
        <w:t>גרוזובסקי</w:t>
      </w:r>
      <w:proofErr w:type="spellEnd"/>
      <w:r>
        <w:rPr>
          <w:rtl/>
        </w:rPr>
        <w:t>,</w:t>
      </w:r>
      <w:bookmarkStart w:id="1193" w:name="_fnr701"/>
      <w:r>
        <w:rPr>
          <w:rStyle w:val="a5"/>
        </w:rPr>
        <w:footnoteReference w:id="701" w:customMarkFollows="0"/>
      </w:r>
      <w:bookmarkEnd w:id="1193"/>
      <w:r>
        <w:rPr>
          <w:rtl/>
        </w:rPr>
        <w:t xml:space="preserve"> התחיל אביו, ר׳ ראובן, לצנזר את הדואר של אהרן פינס הצעיר</w:t>
      </w:r>
      <w:bookmarkStart w:id="1194" w:name="_fnr702"/>
      <w:r>
        <w:rPr>
          <w:rStyle w:val="a5"/>
        </w:rPr>
        <w:footnoteReference w:id="702" w:customMarkFollows="0"/>
      </w:r>
      <w:bookmarkEnd w:id="1194"/>
      <w:r>
        <w:rPr>
          <w:rtl/>
        </w:rPr>
        <w:t xml:space="preserve"> בפקודת הסבא, מיד כששב ממינסק </w:t>
      </w:r>
      <w:proofErr w:type="spellStart"/>
      <w:r>
        <w:rPr>
          <w:rtl/>
        </w:rPr>
        <w:t>לסלבודקה</w:t>
      </w:r>
      <w:proofErr w:type="spellEnd"/>
      <w:r>
        <w:rPr>
          <w:rtl/>
        </w:rPr>
        <w:t xml:space="preserve"> (כנראה לא אחרי אלול תרס״ו</w:t>
      </w:r>
      <w:bookmarkStart w:id="1195" w:name="_fnr703"/>
      <w:r>
        <w:rPr>
          <w:rStyle w:val="a5"/>
        </w:rPr>
        <w:footnoteReference w:id="703" w:customMarkFollows="0"/>
      </w:r>
      <w:bookmarkEnd w:id="1195"/>
      <w:r>
        <w:rPr>
          <w:rtl/>
        </w:rPr>
        <w:t xml:space="preserve">). הסבא סידר זאת כדי למנוע חתירה נוספת מצד אחותו של ר׳ אהרן (ראה בסעיף זה, סוף הפסקה הפותחת “אשכנזי השתומם”). את נוהג צנזור הדואר אימץ הסבא אולי משנותיו </w:t>
      </w:r>
      <w:proofErr w:type="spellStart"/>
      <w:r>
        <w:rPr>
          <w:rtl/>
        </w:rPr>
        <w:t>בגרובין</w:t>
      </w:r>
      <w:proofErr w:type="spellEnd"/>
      <w:r>
        <w:rPr>
          <w:rtl/>
        </w:rPr>
        <w:t>,</w:t>
      </w:r>
      <w:bookmarkStart w:id="1196" w:name="_fnr704"/>
      <w:r>
        <w:rPr>
          <w:rStyle w:val="a5"/>
        </w:rPr>
        <w:footnoteReference w:id="704" w:customMarkFollows="0"/>
      </w:r>
      <w:bookmarkEnd w:id="1196"/>
      <w:r>
        <w:rPr>
          <w:rtl/>
        </w:rPr>
        <w:t xml:space="preserve"> אף שבית ספר זה עסק בתלמידים צעירים בהרבה. </w:t>
      </w:r>
      <w:proofErr w:type="spellStart"/>
      <w:r>
        <w:rPr>
          <w:rtl/>
        </w:rPr>
        <w:t>בגרובין</w:t>
      </w:r>
      <w:proofErr w:type="spellEnd"/>
      <w:r>
        <w:rPr>
          <w:rtl/>
        </w:rPr>
        <w:t xml:space="preserve">, לפי זיכרונותיו של ישראל </w:t>
      </w:r>
      <w:r>
        <w:rPr>
          <w:rtl/>
        </w:rPr>
        <w:lastRenderedPageBreak/>
        <w:t>אלישיב,</w:t>
      </w:r>
      <w:bookmarkStart w:id="1197" w:name="_fnr705"/>
      <w:r>
        <w:rPr>
          <w:rStyle w:val="a5"/>
        </w:rPr>
        <w:footnoteReference w:id="705" w:customMarkFollows="0"/>
      </w:r>
      <w:bookmarkEnd w:id="1197"/>
      <w:r>
        <w:rPr>
          <w:rtl/>
        </w:rPr>
        <w:t xml:space="preserve"> “המכתבים שקיבלו הילדים מבתי הוריהם, </w:t>
      </w:r>
      <w:r>
        <w:rPr>
          <w:b/>
          <w:bCs/>
          <w:rtl/>
        </w:rPr>
        <w:t>ובפרט אלה שכתבו אחיהם או אחיותיהם</w:t>
      </w:r>
      <w:r>
        <w:rPr>
          <w:rtl/>
        </w:rPr>
        <w:t xml:space="preserve"> [ההדגשה שלי], נקראו תחילה בידי המשגיחים, ואותם מכתבים שנראו להם מזיקים לא נמסרו לילדים כלל. במקום זאת היה אבי הילד מקבל מיד מכתב </w:t>
      </w:r>
      <w:proofErr w:type="spellStart"/>
      <w:r>
        <w:rPr>
          <w:rtl/>
        </w:rPr>
        <w:t>מגרובין</w:t>
      </w:r>
      <w:proofErr w:type="spellEnd"/>
      <w:r>
        <w:rPr>
          <w:rtl/>
        </w:rPr>
        <w:t>, ובו הציעו לו להקפיד שילדיו שבבית לא יבלבלו את מוח אחיהם בדברי הבל</w:t>
      </w:r>
      <w:bookmarkStart w:id="1198" w:name="_fnr706"/>
      <w:r>
        <w:rPr>
          <w:rStyle w:val="a5"/>
        </w:rPr>
        <w:footnoteReference w:id="706" w:customMarkFollows="0"/>
      </w:r>
      <w:bookmarkEnd w:id="1198"/>
      <w:r>
        <w:rPr>
          <w:rtl/>
        </w:rPr>
        <w:t>”.</w:t>
      </w:r>
    </w:p>
    <w:p w14:paraId="5C1F5202" w14:textId="77777777" w:rsidR="00AB3647" w:rsidRDefault="00000000" w:rsidP="007923E9">
      <w:pPr>
        <w:spacing w:after="100" w:line="276" w:lineRule="auto"/>
        <w:ind w:firstLine="340"/>
        <w:jc w:val="both"/>
      </w:pPr>
      <w:r>
        <w:rPr>
          <w:rtl/>
        </w:rPr>
        <w:t xml:space="preserve">אחרי סוכות תרס״ז, חודשיים אחרי שובו המשוער </w:t>
      </w:r>
      <w:proofErr w:type="spellStart"/>
      <w:r>
        <w:rPr>
          <w:rtl/>
        </w:rPr>
        <w:t>לסלבודקה</w:t>
      </w:r>
      <w:proofErr w:type="spellEnd"/>
      <w:r>
        <w:rPr>
          <w:rtl/>
        </w:rPr>
        <w:t xml:space="preserve">, נשלח ר׳ ראובן לישיבת </w:t>
      </w:r>
      <w:proofErr w:type="spellStart"/>
      <w:r>
        <w:rPr>
          <w:rtl/>
        </w:rPr>
        <w:t>מיר</w:t>
      </w:r>
      <w:proofErr w:type="spellEnd"/>
      <w:r>
        <w:rPr>
          <w:rtl/>
        </w:rPr>
        <w:t xml:space="preserve"> בקבוצה שבראשה עמד ר׳ זלמן </w:t>
      </w:r>
      <w:proofErr w:type="spellStart"/>
      <w:r>
        <w:rPr>
          <w:rtl/>
        </w:rPr>
        <w:t>דולינסקי</w:t>
      </w:r>
      <w:proofErr w:type="spellEnd"/>
      <w:r>
        <w:rPr>
          <w:rtl/>
        </w:rPr>
        <w:t>,</w:t>
      </w:r>
      <w:bookmarkStart w:id="1199" w:name="_fnr707"/>
      <w:r>
        <w:rPr>
          <w:rStyle w:val="a5"/>
        </w:rPr>
        <w:footnoteReference w:id="707" w:customMarkFollows="0"/>
      </w:r>
      <w:bookmarkEnd w:id="1199"/>
      <w:r>
        <w:rPr>
          <w:rtl/>
        </w:rPr>
        <w:t xml:space="preserve"> כדי לחזק את לימוד המוסר באותה ישיבה, שמאז ומתמיד התנגדה לו.</w:t>
      </w:r>
      <w:bookmarkStart w:id="1200" w:name="_fnr708"/>
      <w:r>
        <w:rPr>
          <w:rStyle w:val="a5"/>
        </w:rPr>
        <w:footnoteReference w:id="708" w:customMarkFollows="0"/>
      </w:r>
      <w:bookmarkEnd w:id="1200"/>
      <w:r>
        <w:rPr>
          <w:rtl/>
        </w:rPr>
        <w:t xml:space="preserve"> בשיחה עם אברכי הכולל של ישיבת רבנו ישראל מאיר הכהן בסתיו 1980 אמר רבנו (בעניין מעורבותו של הסבא בישיבות שאינן </w:t>
      </w:r>
      <w:proofErr w:type="spellStart"/>
      <w:r>
        <w:rPr>
          <w:rtl/>
        </w:rPr>
        <w:t>סלבודקה</w:t>
      </w:r>
      <w:proofErr w:type="spellEnd"/>
      <w:r>
        <w:rPr>
          <w:rtl/>
        </w:rPr>
        <w:t xml:space="preserve">): “בישיבת </w:t>
      </w:r>
      <w:proofErr w:type="spellStart"/>
      <w:r>
        <w:rPr>
          <w:rtl/>
        </w:rPr>
        <w:t>מיר</w:t>
      </w:r>
      <w:proofErr w:type="spellEnd"/>
      <w:r>
        <w:rPr>
          <w:rtl/>
        </w:rPr>
        <w:t xml:space="preserve"> היו ‘</w:t>
      </w:r>
      <w:proofErr w:type="spellStart"/>
      <w:r>
        <w:rPr>
          <w:rtl/>
        </w:rPr>
        <w:t>האפקעס</w:t>
      </w:r>
      <w:proofErr w:type="spellEnd"/>
      <w:r>
        <w:rPr>
          <w:rtl/>
        </w:rPr>
        <w:t>’ [ריקודי קפיצה, מרידות] גדולים, עם שבירת חלונות וכדומה, ו</w:t>
      </w:r>
      <w:r>
        <w:rPr>
          <w:b/>
          <w:bCs/>
          <w:rtl/>
        </w:rPr>
        <w:t>בזמני</w:t>
      </w:r>
      <w:r>
        <w:rPr>
          <w:rtl/>
        </w:rPr>
        <w:t xml:space="preserve"> שלח הסבא לשם </w:t>
      </w:r>
      <w:r>
        <w:rPr>
          <w:b/>
          <w:bCs/>
          <w:rtl/>
        </w:rPr>
        <w:t>בחורים טובים</w:t>
      </w:r>
      <w:r>
        <w:rPr>
          <w:rtl/>
        </w:rPr>
        <w:t xml:space="preserve"> (ההדגשה שלי)”. נוכל לשער שרבנו רמז, בין השאר, </w:t>
      </w:r>
      <w:proofErr w:type="spellStart"/>
      <w:r>
        <w:rPr>
          <w:rtl/>
        </w:rPr>
        <w:t>לר</w:t>
      </w:r>
      <w:proofErr w:type="spellEnd"/>
      <w:r>
        <w:rPr>
          <w:rtl/>
        </w:rPr>
        <w:t xml:space="preserve">׳ ראובן </w:t>
      </w:r>
      <w:proofErr w:type="spellStart"/>
      <w:r>
        <w:rPr>
          <w:rtl/>
        </w:rPr>
        <w:t>גרוזובסקי</w:t>
      </w:r>
      <w:proofErr w:type="spellEnd"/>
      <w:r>
        <w:rPr>
          <w:rtl/>
        </w:rPr>
        <w:t xml:space="preserve">, מן הנשלחים </w:t>
      </w:r>
      <w:proofErr w:type="spellStart"/>
      <w:r>
        <w:rPr>
          <w:rtl/>
        </w:rPr>
        <w:t>למיר</w:t>
      </w:r>
      <w:proofErr w:type="spellEnd"/>
      <w:r>
        <w:rPr>
          <w:rtl/>
        </w:rPr>
        <w:t xml:space="preserve">. בזמן היעדרו של ר׳ ראובן </w:t>
      </w:r>
      <w:proofErr w:type="spellStart"/>
      <w:r>
        <w:rPr>
          <w:rtl/>
        </w:rPr>
        <w:t>מסלבודקה</w:t>
      </w:r>
      <w:proofErr w:type="spellEnd"/>
      <w:r>
        <w:rPr>
          <w:rtl/>
        </w:rPr>
        <w:t xml:space="preserve"> הוטל על תלמיד נאמן אחר ליירט את הדואר של ר׳ אהרן. כעבור שנה, בתחילת תרס״ח,</w:t>
      </w:r>
      <w:bookmarkStart w:id="1201" w:name="_fnr709"/>
      <w:bookmarkStart w:id="1202" w:name="pr_f_635"/>
      <w:r>
        <w:rPr>
          <w:rStyle w:val="a5"/>
        </w:rPr>
        <w:footnoteReference w:id="709" w:customMarkFollows="0"/>
      </w:r>
      <w:bookmarkEnd w:id="1201"/>
      <w:bookmarkEnd w:id="1202"/>
      <w:r>
        <w:rPr>
          <w:rtl/>
        </w:rPr>
        <w:t xml:space="preserve"> שב ר׳ ראובן </w:t>
      </w:r>
      <w:proofErr w:type="spellStart"/>
      <w:r>
        <w:rPr>
          <w:rtl/>
        </w:rPr>
        <w:t>לסלבודקה</w:t>
      </w:r>
      <w:proofErr w:type="spellEnd"/>
      <w:r>
        <w:rPr>
          <w:rtl/>
        </w:rPr>
        <w:t xml:space="preserve"> (וכן הרב </w:t>
      </w:r>
      <w:proofErr w:type="spellStart"/>
      <w:r>
        <w:rPr>
          <w:rtl/>
        </w:rPr>
        <w:t>דולינסקי</w:t>
      </w:r>
      <w:bookmarkStart w:id="1203" w:name="_fnr710"/>
      <w:proofErr w:type="spellEnd"/>
      <w:r>
        <w:rPr>
          <w:rStyle w:val="a5"/>
        </w:rPr>
        <w:footnoteReference w:id="710" w:customMarkFollows="0"/>
      </w:r>
      <w:bookmarkEnd w:id="1203"/>
      <w:r>
        <w:rPr>
          <w:rtl/>
        </w:rPr>
        <w:t xml:space="preserve">) וחידש את צנזור הדואר לחצי שנה נוספת. בסופה כבר קרב ר׳ אהרן לגיל </w:t>
      </w:r>
      <w:proofErr w:type="spellStart"/>
      <w:r>
        <w:rPr>
          <w:rtl/>
        </w:rPr>
        <w:t>שבע־עשרה</w:t>
      </w:r>
      <w:proofErr w:type="spellEnd"/>
      <w:r>
        <w:rPr>
          <w:rtl/>
        </w:rPr>
        <w:t xml:space="preserve">, ולפי הערכת הסבא כבר עבר את הסכנה. משך הצנזור כולו היה אם כן שנתיים – המספר שהזכיר ר׳ חיים </w:t>
      </w:r>
      <w:proofErr w:type="spellStart"/>
      <w:r>
        <w:rPr>
          <w:rtl/>
        </w:rPr>
        <w:t>גרוזובסקי</w:t>
      </w:r>
      <w:proofErr w:type="spellEnd"/>
      <w:r>
        <w:rPr>
          <w:rtl/>
        </w:rPr>
        <w:t xml:space="preserve"> כשגילה הן את המשימה שהוטלה על אביו בעניין הדואר והן את שנת לימודו </w:t>
      </w:r>
      <w:proofErr w:type="spellStart"/>
      <w:r>
        <w:rPr>
          <w:rtl/>
        </w:rPr>
        <w:t>במיר</w:t>
      </w:r>
      <w:proofErr w:type="spellEnd"/>
      <w:r>
        <w:rPr>
          <w:rtl/>
        </w:rPr>
        <w:t>.</w:t>
      </w:r>
    </w:p>
    <w:p w14:paraId="3899EE65" w14:textId="77777777" w:rsidR="00AB3647" w:rsidRDefault="00000000" w:rsidP="007923E9">
      <w:pPr>
        <w:spacing w:after="100" w:line="276" w:lineRule="auto"/>
        <w:ind w:firstLine="340"/>
        <w:jc w:val="both"/>
      </w:pPr>
      <w:r>
        <w:rPr>
          <w:rtl/>
        </w:rPr>
        <w:t xml:space="preserve">מלבד הסכנה שמכתביה המזיקים של אחותו ירחיקו את ר׳ אהרן מן התורה, היה גם חשש שיגלה שהדואר שלו מצונזר, דבר שוודאי לא היה מקבל ברצון. לפי דיווח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1204" w:name="_fnr711"/>
      <w:r>
        <w:rPr>
          <w:rStyle w:val="a5"/>
        </w:rPr>
        <w:footnoteReference w:id="711" w:customMarkFollows="0"/>
      </w:r>
      <w:bookmarkEnd w:id="1204"/>
      <w:r>
        <w:rPr>
          <w:rtl/>
        </w:rPr>
        <w:t xml:space="preserve"> אכן גילה ר׳ אהרן מה נעשה בדואר שלו, ושכמה ממכתביו הושמדו. הוא התרגז וארז את חפציו כדי לעזוב את </w:t>
      </w:r>
      <w:proofErr w:type="spellStart"/>
      <w:r>
        <w:rPr>
          <w:rtl/>
        </w:rPr>
        <w:t>סלבודקה</w:t>
      </w:r>
      <w:proofErr w:type="spellEnd"/>
      <w:r>
        <w:rPr>
          <w:rtl/>
        </w:rPr>
        <w:t xml:space="preserve">. הבחורים שידעו מה אירע התייאשו מלשנות את דעתו, אבל הסבא רץ לתחנת הרכבת בקובנה ומצא את תלמידו יושב ברכבת שעמדה לצאת. ר׳ </w:t>
      </w:r>
      <w:proofErr w:type="spellStart"/>
      <w:r>
        <w:rPr>
          <w:rtl/>
        </w:rPr>
        <w:t>נתן־צבי</w:t>
      </w:r>
      <w:proofErr w:type="spellEnd"/>
      <w:r>
        <w:rPr>
          <w:rtl/>
        </w:rPr>
        <w:t xml:space="preserve"> דיבר אליו “בדברי ריצוי” ושכנע אותו לחזור לישיבה.</w:t>
      </w:r>
      <w:bookmarkStart w:id="1205" w:name="_fnr712"/>
      <w:r>
        <w:rPr>
          <w:rStyle w:val="a5"/>
        </w:rPr>
        <w:footnoteReference w:id="712" w:customMarkFollows="0"/>
      </w:r>
      <w:bookmarkEnd w:id="1205"/>
    </w:p>
    <w:p w14:paraId="045B601A" w14:textId="77777777" w:rsidR="00AB3647" w:rsidRDefault="00000000" w:rsidP="007923E9">
      <w:pPr>
        <w:spacing w:after="100" w:line="276" w:lineRule="auto"/>
        <w:ind w:firstLine="340"/>
        <w:jc w:val="both"/>
      </w:pPr>
      <w:r>
        <w:rPr>
          <w:rtl/>
        </w:rPr>
        <w:t>ר׳ מיכאל בודנהיימר מסר</w:t>
      </w:r>
      <w:bookmarkStart w:id="1206" w:name="_fnr713"/>
      <w:r>
        <w:rPr>
          <w:rStyle w:val="a5"/>
        </w:rPr>
        <w:footnoteReference w:id="713" w:customMarkFollows="0"/>
      </w:r>
      <w:bookmarkEnd w:id="1206"/>
      <w:r>
        <w:rPr>
          <w:rtl/>
        </w:rPr>
        <w:t xml:space="preserve"> שתלמיד </w:t>
      </w:r>
      <w:proofErr w:type="spellStart"/>
      <w:r>
        <w:rPr>
          <w:rtl/>
        </w:rPr>
        <w:t>סלבודקה</w:t>
      </w:r>
      <w:proofErr w:type="spellEnd"/>
      <w:r>
        <w:rPr>
          <w:rtl/>
        </w:rPr>
        <w:t xml:space="preserve"> אחר, אייזיק </w:t>
      </w:r>
      <w:proofErr w:type="spellStart"/>
      <w:r>
        <w:rPr>
          <w:rtl/>
        </w:rPr>
        <w:t>רבינוביץ</w:t>
      </w:r>
      <w:proofErr w:type="spellEnd"/>
      <w:r>
        <w:rPr>
          <w:rtl/>
        </w:rPr>
        <w:t xml:space="preserve">, היה מעורב בכך שר׳ אהרן נשאר </w:t>
      </w:r>
      <w:proofErr w:type="spellStart"/>
      <w:r>
        <w:rPr>
          <w:rtl/>
        </w:rPr>
        <w:t>בסלבודקה</w:t>
      </w:r>
      <w:proofErr w:type="spellEnd"/>
      <w:r>
        <w:rPr>
          <w:rtl/>
        </w:rPr>
        <w:t xml:space="preserve"> אחרי שגילה שהתערבו בדואר שלו. אולי אייזיק </w:t>
      </w:r>
      <w:proofErr w:type="spellStart"/>
      <w:r>
        <w:rPr>
          <w:rtl/>
        </w:rPr>
        <w:t>רבינוביץ</w:t>
      </w:r>
      <w:proofErr w:type="spellEnd"/>
      <w:r>
        <w:rPr>
          <w:rtl/>
        </w:rPr>
        <w:t xml:space="preserve"> הוא שהודיע לסבא ברגע האחרון שר׳ אהרן ארז את חפציו ויצא. ר׳ אייזיק השתקע לימים בארץ ישראל, ובשנים מאוחרות יותר, בכל פעם שביקר ר׳ אהרן קוטלר בארץ, היה ר׳ אייזיק הראשון שאליו בא. אגב, ר׳ יצחק־זאב </w:t>
      </w:r>
      <w:proofErr w:type="spellStart"/>
      <w:r>
        <w:rPr>
          <w:rtl/>
        </w:rPr>
        <w:t>סולובייצ׳יק</w:t>
      </w:r>
      <w:proofErr w:type="spellEnd"/>
      <w:r>
        <w:rPr>
          <w:rtl/>
        </w:rPr>
        <w:t xml:space="preserve"> היה שולח את ילדיו להתברך מפי ר׳ אייזיק בכל </w:t>
      </w:r>
      <w:r>
        <w:rPr>
          <w:rtl/>
        </w:rPr>
        <w:lastRenderedPageBreak/>
        <w:t>ערב יום הכיפורים, אבל כנראה לא בשל חלקו בהצלת ר׳ אהרן לעם ישראל, אלא בשל מעשה קדוש אחר או מעשים אחרים.</w:t>
      </w:r>
    </w:p>
    <w:p w14:paraId="40827CE4" w14:textId="77777777" w:rsidR="00AB3647" w:rsidRDefault="00000000" w:rsidP="007923E9">
      <w:pPr>
        <w:spacing w:after="100" w:line="276" w:lineRule="auto"/>
        <w:ind w:firstLine="340"/>
        <w:jc w:val="both"/>
      </w:pPr>
      <w:r>
        <w:rPr>
          <w:rtl/>
        </w:rPr>
        <w:t xml:space="preserve">יש להוסיף שלמרות חלקו של ר׳ ראובן </w:t>
      </w:r>
      <w:proofErr w:type="spellStart"/>
      <w:r>
        <w:rPr>
          <w:rtl/>
        </w:rPr>
        <w:t>ב“הוצאת</w:t>
      </w:r>
      <w:proofErr w:type="spellEnd"/>
      <w:r>
        <w:rPr>
          <w:rtl/>
        </w:rPr>
        <w:t xml:space="preserve"> ר׳ אהרן מהרבה ביצות”, סיפר תלמיד קרוב מאוד</w:t>
      </w:r>
      <w:bookmarkStart w:id="1207" w:name="_fnr714"/>
      <w:r>
        <w:rPr>
          <w:rStyle w:val="a5"/>
        </w:rPr>
        <w:footnoteReference w:id="714" w:customMarkFollows="0"/>
      </w:r>
      <w:bookmarkEnd w:id="1207"/>
      <w:r>
        <w:rPr>
          <w:rtl/>
        </w:rPr>
        <w:t xml:space="preserve"> שהוא “כיבד את ר׳ אהרן בלי גבול; היה פשוט מדהים לראות עד כמה כיבד אותו ר׳ ראובן”.</w:t>
      </w:r>
    </w:p>
    <w:p w14:paraId="68FE208D" w14:textId="48F678E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תיאור הישיבה הרחוקה מפי הבחורים המבוגרים והמכובדים עורר את </w:t>
      </w:r>
      <w:proofErr w:type="spellStart"/>
      <w:r>
        <w:rPr>
          <w:rtl/>
        </w:rPr>
        <w:t>תיאבונם</w:t>
      </w:r>
      <w:proofErr w:type="spellEnd"/>
      <w:r>
        <w:rPr>
          <w:rtl/>
        </w:rPr>
        <w:t xml:space="preserve">, והנערים הודיעו שהם מוכנים לעבור </w:t>
      </w:r>
      <w:proofErr w:type="spellStart"/>
      <w:r>
        <w:rPr>
          <w:rtl/>
        </w:rPr>
        <w:t>לסלבודקה</w:t>
      </w:r>
      <w:proofErr w:type="spellEnd"/>
      <w:r>
        <w:rPr>
          <w:rtl/>
        </w:rPr>
        <w:t xml:space="preserve">. אבי ביקש מאביו של ראובן, ר׳ שמשון </w:t>
      </w:r>
      <w:proofErr w:type="spellStart"/>
      <w:r>
        <w:rPr>
          <w:rtl/>
        </w:rPr>
        <w:t>גרוזובסקי</w:t>
      </w:r>
      <w:proofErr w:type="spellEnd"/>
      <w:r>
        <w:rPr>
          <w:rtl/>
        </w:rPr>
        <w:t xml:space="preserve"> הנכבד, שיעזור לו להציג את תוכניותיו החדשות לפני הוריו,</w:t>
      </w:r>
      <w:bookmarkStart w:id="1208" w:name="b2_ref107"/>
      <w:bookmarkEnd w:id="1208"/>
      <w:r>
        <w:rPr>
          <w:vertAlign w:val="superscript"/>
          <w:rtl/>
        </w:rPr>
        <w:fldChar w:fldCharType="begin" w:dirty="true"/>
      </w:r>
      <w:r>
        <w:rPr>
          <w:vertAlign w:val="superscript"/>
          <w:rtl/>
        </w:rPr>
        <w:instrText xml:space="preserve"> REF b2_note107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xml:space="preserve"> ור׳ בנימין </w:t>
      </w:r>
      <w:proofErr w:type="spellStart"/>
      <w:r>
        <w:rPr>
          <w:rtl/>
        </w:rPr>
        <w:t>קמינצקי</w:t>
      </w:r>
      <w:proofErr w:type="spellEnd"/>
      <w:r>
        <w:rPr>
          <w:rtl/>
        </w:rPr>
        <w:t xml:space="preserve"> נועץ באביו, ר׳ שמואל־הירש,</w:t>
      </w:r>
      <w:bookmarkStart w:id="1209" w:name="b2_ref108"/>
      <w:bookmarkEnd w:id="1209"/>
      <w:r>
        <w:rPr>
          <w:vertAlign w:val="superscript"/>
          <w:rtl/>
        </w:rPr>
        <w:fldChar w:fldCharType="begin" w:dirty="true"/>
      </w:r>
      <w:r>
        <w:rPr>
          <w:vertAlign w:val="superscript"/>
          <w:rtl/>
        </w:rPr>
        <w:instrText xml:space="preserve"> REF b2_note108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מה לעשות. ר׳ </w:t>
      </w:r>
      <w:proofErr w:type="spellStart"/>
      <w:r>
        <w:rPr>
          <w:rtl/>
        </w:rPr>
        <w:t>שמואל־הירש</w:t>
      </w:r>
      <w:proofErr w:type="spellEnd"/>
      <w:r>
        <w:rPr>
          <w:rtl/>
        </w:rPr>
        <w:t xml:space="preserve"> תמך בלב שלם</w:t>
      </w:r>
      <w:bookmarkStart w:id="1210" w:name="b2_ref109"/>
      <w:bookmarkEnd w:id="1210"/>
      <w:r>
        <w:rPr>
          <w:vertAlign w:val="superscript"/>
          <w:rtl/>
        </w:rPr>
        <w:fldChar w:fldCharType="begin" w:dirty="true"/>
      </w:r>
      <w:r>
        <w:rPr>
          <w:vertAlign w:val="superscript"/>
          <w:rtl/>
        </w:rPr>
        <w:instrText xml:space="preserve"> REF b2_note109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בכך שיניחו לנכדו הנלהב ללכת לישיבה שבסביבות קובנה, ואף נתן לו מכתב המלצה להביא עמו אל ר׳ </w:t>
      </w:r>
      <w:proofErr w:type="spellStart"/>
      <w:r>
        <w:rPr>
          <w:rtl/>
        </w:rPr>
        <w:t>ברוך־בער</w:t>
      </w:r>
      <w:proofErr w:type="spellEnd"/>
      <w:r>
        <w:rPr>
          <w:rtl/>
        </w:rPr>
        <w:t xml:space="preserve"> </w:t>
      </w:r>
      <w:proofErr w:type="spellStart"/>
      <w:r>
        <w:rPr>
          <w:rtl/>
        </w:rPr>
        <w:t>ליבוביץ</w:t>
      </w:r>
      <w:proofErr w:type="spellEnd"/>
      <w:r>
        <w:rPr>
          <w:rtl/>
        </w:rPr>
        <w:t>, שהיה קרובו הרחוק. ההחלטה נפלה: אבי ייצא לקובנה מיד אחרי פסח.</w:t>
      </w:r>
    </w:p>
    <w:bookmarkStart w:id="1211" w:name="b2_note107"/>
    <w:p w14:paraId="7833A65F" w14:textId="77777777" w:rsidR="00AB3647" w:rsidRDefault="00000000" w:rsidP="007923E9">
      <w:pPr>
        <w:spacing w:before="120" w:after="100" w:line="276" w:lineRule="auto"/>
        <w:jc w:val="both"/>
      </w:pPr>
      <w:r>
        <w:fldChar w:fldCharType="begin" w:dirty="true"/>
      </w:r>
      <w:r>
        <w:instrText>HYPERLINK \l "b2_ref107"</w:instrText>
      </w:r>
      <w:r>
        <w:fldChar w:fldCharType="separate"/>
      </w:r>
      <w:r>
        <w:rPr>
          <w:b/>
          <w:bCs/>
          <w:rtl/>
        </w:rPr>
        <w:t>107</w:t>
      </w:r>
      <w:r>
        <w:rPr>
          <w:b/>
          <w:bCs/>
        </w:rPr>
        <w:fldChar w:fldCharType="end"/>
      </w:r>
      <w:bookmarkEnd w:id="1211"/>
      <w:r>
        <w:rPr>
          <w:rtl/>
        </w:rPr>
        <w:t xml:space="preserve"> בבר המצווה של נכדו של ר׳ ראובן, שמשון </w:t>
      </w:r>
      <w:proofErr w:type="spellStart"/>
      <w:r>
        <w:rPr>
          <w:rtl/>
        </w:rPr>
        <w:t>אונגרישער</w:t>
      </w:r>
      <w:proofErr w:type="spellEnd"/>
      <w:r>
        <w:rPr>
          <w:rtl/>
        </w:rPr>
        <w:t xml:space="preserve">, באדר תשכ״ז, הכריז אבי שהתודה על הליכתו </w:t>
      </w:r>
      <w:proofErr w:type="spellStart"/>
      <w:r>
        <w:rPr>
          <w:rtl/>
        </w:rPr>
        <w:t>לסלבודקה</w:t>
      </w:r>
      <w:proofErr w:type="spellEnd"/>
      <w:r>
        <w:rPr>
          <w:rtl/>
        </w:rPr>
        <w:t xml:space="preserve"> מגיעה </w:t>
      </w:r>
      <w:proofErr w:type="spellStart"/>
      <w:r>
        <w:rPr>
          <w:rtl/>
        </w:rPr>
        <w:t>לר</w:t>
      </w:r>
      <w:proofErr w:type="spellEnd"/>
      <w:r>
        <w:rPr>
          <w:rtl/>
        </w:rPr>
        <w:t xml:space="preserve">׳ שמשון </w:t>
      </w:r>
      <w:proofErr w:type="spellStart"/>
      <w:r>
        <w:rPr>
          <w:rtl/>
        </w:rPr>
        <w:t>גרוזובסקי</w:t>
      </w:r>
      <w:proofErr w:type="spellEnd"/>
      <w:r>
        <w:rPr>
          <w:rtl/>
        </w:rPr>
        <w:t>, אביו של ר׳ ראובן, שעל שמו נקרא חתן בר המצווה.</w:t>
      </w:r>
      <w:bookmarkStart w:id="1212" w:name="_fnr715"/>
      <w:r>
        <w:rPr>
          <w:rStyle w:val="a5"/>
        </w:rPr>
        <w:footnoteReference w:id="715" w:customMarkFollows="0"/>
      </w:r>
      <w:bookmarkEnd w:id="1212"/>
      <w:r>
        <w:rPr>
          <w:rtl/>
        </w:rPr>
        <w:t xml:space="preserve"> אני משער שר׳ ראובן חש שהוא, נער בלבד, אולי לא יצליח לשכנע את הורי אבי להניח לבנם לצאת לדרך שידעו שעלולה להביאו לוותר על חיי החולין, ולכן גייס את עזרת אביו, הרב ועסקן הציבור הנכבד מאוד, כדי להשלים את המשימה.</w:t>
      </w:r>
    </w:p>
    <w:bookmarkStart w:id="1213" w:name="b2_note108"/>
    <w:p w14:paraId="708292F4" w14:textId="3288A00A" w:rsidR="00AB3647" w:rsidRDefault="00000000" w:rsidP="007923E9">
      <w:pPr>
        <w:spacing w:before="120" w:after="100" w:line="276" w:lineRule="auto"/>
        <w:jc w:val="both"/>
      </w:pPr>
      <w:r>
        <w:fldChar w:fldCharType="begin" w:dirty="true"/>
      </w:r>
      <w:r>
        <w:instrText>HYPERLINK \l "b2_ref108"</w:instrText>
      </w:r>
      <w:r>
        <w:fldChar w:fldCharType="separate"/>
      </w:r>
      <w:r>
        <w:rPr>
          <w:b/>
          <w:bCs/>
          <w:rtl/>
        </w:rPr>
        <w:t>108</w:t>
      </w:r>
      <w:r>
        <w:rPr>
          <w:b/>
          <w:bCs/>
        </w:rPr>
        <w:fldChar w:fldCharType="end"/>
      </w:r>
      <w:bookmarkEnd w:id="1213"/>
      <w:r>
        <w:rPr>
          <w:rtl/>
        </w:rPr>
        <w:t xml:space="preserve"> השווה פרק 1, הערה </w:t>
      </w:r>
      <w:r>
        <w:rPr>
          <w:rtl/>
        </w:rPr>
        <w:fldChar w:fldCharType="begin" w:dirty="true"/>
      </w:r>
      <w:r>
        <w:rPr>
          <w:rtl/>
        </w:rPr>
        <w:instrText xml:space="preserve"> REF b1_note92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92</w:t>
      </w:r>
      <w:r>
        <w:rPr>
          <w:rtl/>
        </w:rPr>
        <w:fldChar w:fldCharType="end"/>
      </w:r>
      <w:r>
        <w:rPr>
          <w:rtl/>
        </w:rPr>
        <w:t>.</w:t>
      </w:r>
    </w:p>
    <w:bookmarkStart w:id="1214" w:name="pr_b_569"/>
    <w:bookmarkStart w:id="1215" w:name="b2_note109"/>
    <w:bookmarkEnd w:id="1214"/>
    <w:p w14:paraId="5C4C9200" w14:textId="77777777" w:rsidR="00AB3647" w:rsidRDefault="00000000" w:rsidP="007923E9">
      <w:pPr>
        <w:spacing w:before="120" w:after="100" w:line="276" w:lineRule="auto"/>
        <w:jc w:val="both"/>
      </w:pPr>
      <w:r>
        <w:fldChar w:fldCharType="begin" w:dirty="true"/>
      </w:r>
      <w:r>
        <w:instrText>HYPERLINK \l "b2_ref109"</w:instrText>
      </w:r>
      <w:r>
        <w:fldChar w:fldCharType="separate"/>
      </w:r>
      <w:r>
        <w:rPr>
          <w:b/>
          <w:bCs/>
          <w:rtl/>
        </w:rPr>
        <w:t>109</w:t>
      </w:r>
      <w:r>
        <w:rPr>
          <w:b/>
          <w:bCs/>
        </w:rPr>
        <w:fldChar w:fldCharType="end"/>
      </w:r>
      <w:bookmarkEnd w:id="1215"/>
      <w:r>
        <w:rPr>
          <w:rtl/>
        </w:rPr>
        <w:t xml:space="preserve"> השווה ראש פרק 1.2.</w:t>
      </w:r>
    </w:p>
    <w:p w14:paraId="0089F17B" w14:textId="77777777" w:rsidR="00AB3647" w:rsidRDefault="00000000" w:rsidP="007923E9">
      <w:pPr>
        <w:pStyle w:val="2"/>
        <w:pageBreakBefore/>
        <w:spacing w:line="276" w:lineRule="auto"/>
      </w:pPr>
      <w:bookmarkStart w:id="1216" w:name="b2_excursuses"/>
      <w:r>
        <w:lastRenderedPageBreak/>
        <w:t>נספחים</w:t>
      </w:r>
      <w:bookmarkEnd w:id="1216"/>
    </w:p>
    <w:bookmarkStart w:id="1217" w:name="b2_excA"/>
    <w:p w14:paraId="4701A93D" w14:textId="77777777" w:rsidR="00AB3647" w:rsidRDefault="00000000" w:rsidP="007923E9">
      <w:pPr>
        <w:pStyle w:val="3"/>
        <w:pageBreakBefore w:val="0"/>
        <w:spacing w:line="276" w:lineRule="auto"/>
      </w:pPr>
      <w:r>
        <w:fldChar w:fldCharType="begin" w:dirty="true"/>
      </w:r>
      <w:r>
        <w:rPr>
          <w:rtl w:val="0"/>
        </w:rPr>
        <w:instrText>HYPERLINK \l "b2_note15</w:instrText>
      </w:r>
      <w:r>
        <w:instrText>"</w:instrText>
      </w:r>
      <w:r>
        <w:fldChar w:fldCharType="separate"/>
      </w:r>
      <w:r>
        <w:t>נספח א</w:t>
      </w:r>
      <w:r>
        <w:fldChar w:fldCharType="end"/>
      </w:r>
      <w:bookmarkEnd w:id="1217"/>
    </w:p>
    <w:p w14:paraId="25C673C9" w14:textId="77777777" w:rsidR="00AB3647" w:rsidRDefault="00000000" w:rsidP="007923E9">
      <w:pPr>
        <w:pStyle w:val="af"/>
        <w:spacing w:line="276" w:lineRule="auto"/>
      </w:pPr>
      <w:r>
        <w:t xml:space="preserve">על מינסק כעיר המוקירה את לימוד התורה, ועל ר׳ </w:t>
      </w:r>
      <w:proofErr w:type="spellStart"/>
      <w:r>
        <w:t>דוד־טעביל</w:t>
      </w:r>
      <w:proofErr w:type="spellEnd"/>
      <w:r>
        <w:t xml:space="preserve"> המוקיר את מינסק, ועל פעולתו של ד״ר מקס </w:t>
      </w:r>
      <w:proofErr w:type="spellStart"/>
      <w:r>
        <w:t>ליליינטל</w:t>
      </w:r>
      <w:proofErr w:type="spellEnd"/>
      <w:r>
        <w:t xml:space="preserve"> בשליחות משרד ההשכלה הרוסי, ביקורו </w:t>
      </w:r>
      <w:proofErr w:type="spellStart"/>
      <w:r>
        <w:t>בוולוז׳ין</w:t>
      </w:r>
      <w:proofErr w:type="spellEnd"/>
      <w:r>
        <w:t xml:space="preserve"> ובריחתו הבלתי צפויה לאמריקה לאחר מכן</w:t>
      </w:r>
    </w:p>
    <w:p w14:paraId="4954B72B" w14:textId="77777777" w:rsidR="00AB3647" w:rsidRDefault="00000000" w:rsidP="007923E9">
      <w:pPr>
        <w:pStyle w:val="4"/>
        <w:spacing w:line="276" w:lineRule="auto"/>
      </w:pPr>
      <w:r>
        <w:t>· הפסקה הראשונה ·</w:t>
      </w:r>
    </w:p>
    <w:p w14:paraId="5203BB98" w14:textId="77777777" w:rsidR="00AB3647" w:rsidRDefault="00000000" w:rsidP="007923E9">
      <w:pPr>
        <w:pStyle w:val="5"/>
        <w:spacing w:line="276" w:lineRule="auto"/>
      </w:pPr>
      <w:r>
        <w:t xml:space="preserve">מינסק מוציאה יותר תלמידי ישיבה מווילנה</w:t>
      </w:r>
    </w:p>
    <w:p w14:paraId="7440A14A" w14:textId="77777777" w:rsidR="00AB3647" w:rsidRDefault="00000000" w:rsidP="007923E9">
      <w:pPr>
        <w:spacing w:after="120" w:line="276" w:lineRule="auto"/>
        <w:ind w:firstLine="283"/>
        <w:jc w:val="both"/>
      </w:pPr>
      <w:r>
        <w:rPr>
          <w:rtl/>
        </w:rPr>
        <w:t xml:space="preserve">אבי ציין שבזמן שלמד בישיבת </w:t>
      </w:r>
      <w:proofErr w:type="spellStart"/>
      <w:r>
        <w:rPr>
          <w:rtl/>
        </w:rPr>
        <w:t>סלבודקה</w:t>
      </w:r>
      <w:proofErr w:type="spellEnd"/>
      <w:r>
        <w:rPr>
          <w:rtl/>
        </w:rPr>
        <w:t xml:space="preserve"> היו בה שלושים ושלושה תלמידים ממינסק, המרוחקת שמונה שעות נסיעה, ורק </w:t>
      </w:r>
      <w:proofErr w:type="spellStart"/>
      <w:r>
        <w:rPr>
          <w:rtl/>
        </w:rPr>
        <w:t>אחד־עשר</w:t>
      </w:r>
      <w:proofErr w:type="spellEnd"/>
      <w:r>
        <w:rPr>
          <w:rtl/>
        </w:rPr>
        <w:t xml:space="preserve"> מווילנה, המרוחקת שלוש שעות בלבד. הוא תלה זאת בעיקר בהבדל בשמירת המצוות בין השכבות העליונות של שתי הקהילות. במינסק נתנו המשפחות העשירות ביותר לילדיהן חינוך ישיבתי, ואילו עשירי וילנה היו ברובם המכריע רחוקים מן הדת; ובשתי הערים הלך פשוט העם אחר הנהגת בעלי הבתים החשובים.</w:t>
      </w:r>
      <w:bookmarkStart w:id="1218" w:name="_fnr716"/>
      <w:r>
        <w:rPr>
          <w:rStyle w:val="a5"/>
        </w:rPr>
        <w:footnoteReference w:id="716" w:customMarkFollows="0"/>
      </w:r>
      <w:bookmarkEnd w:id="1218"/>
    </w:p>
    <w:p w14:paraId="6E788360" w14:textId="77777777" w:rsidR="00AB3647" w:rsidRDefault="00000000" w:rsidP="007923E9">
      <w:pPr>
        <w:pStyle w:val="4"/>
        <w:spacing w:line="276" w:lineRule="auto"/>
      </w:pPr>
      <w:r>
        <w:t>· הפסקה השנייה ·</w:t>
      </w:r>
    </w:p>
    <w:p w14:paraId="2054DE82" w14:textId="77777777" w:rsidR="00AB3647" w:rsidRDefault="00000000" w:rsidP="007923E9">
      <w:pPr>
        <w:pStyle w:val="5"/>
        <w:spacing w:line="276" w:lineRule="auto"/>
      </w:pPr>
      <w:r>
        <w:t xml:space="preserve">ר׳ </w:t>
      </w:r>
      <w:proofErr w:type="spellStart"/>
      <w:r>
        <w:t>דוד־טעביל</w:t>
      </w:r>
      <w:proofErr w:type="spellEnd"/>
      <w:r>
        <w:t xml:space="preserve"> מעריך את אנשי מינסק – ר׳ חיים </w:t>
      </w:r>
      <w:proofErr w:type="spellStart"/>
      <w:r>
        <w:t>מוולוז׳ין</w:t>
      </w:r>
      <w:proofErr w:type="spellEnd"/>
      <w:r>
        <w:t xml:space="preserve"> צופה שהתורה תעבור לאמריקה – </w:t>
      </w:r>
      <w:proofErr w:type="spellStart"/>
      <w:r>
        <w:t>הנצי״ב</w:t>
      </w:r>
      <w:proofErr w:type="spellEnd"/>
      <w:r>
        <w:t xml:space="preserve"> מתכנן את פרישתו הצפויה לארץ ישראל – ר׳ חיים </w:t>
      </w:r>
      <w:proofErr w:type="spellStart"/>
      <w:r>
        <w:t>מוולוז׳ין</w:t>
      </w:r>
      <w:proofErr w:type="spellEnd"/>
      <w:r>
        <w:t xml:space="preserve"> משער שעיר גדולה תעריך רב למרות גמגומו</w:t>
      </w:r>
    </w:p>
    <w:p w14:paraId="72E8D29A" w14:textId="77777777" w:rsidR="00AB3647" w:rsidRDefault="00000000" w:rsidP="007923E9">
      <w:pPr>
        <w:spacing w:after="120" w:line="276" w:lineRule="auto"/>
        <w:ind w:firstLine="283"/>
        <w:jc w:val="both"/>
      </w:pPr>
      <w:r>
        <w:rPr>
          <w:rtl/>
        </w:rPr>
        <w:t xml:space="preserve">עשירי מינסק היו מאז ומעולם מוקירי תורה. בהקדמה </w:t>
      </w:r>
      <w:proofErr w:type="spellStart"/>
      <w:r>
        <w:rPr>
          <w:rtl/>
        </w:rPr>
        <w:t>ל“בית</w:t>
      </w:r>
      <w:proofErr w:type="spellEnd"/>
      <w:r>
        <w:rPr>
          <w:rtl/>
        </w:rPr>
        <w:t xml:space="preserve"> דוד”,</w:t>
      </w:r>
      <w:bookmarkStart w:id="1219" w:name="_fnr717"/>
      <w:r>
        <w:rPr>
          <w:rStyle w:val="a5"/>
        </w:rPr>
        <w:footnoteReference w:id="717" w:customMarkFollows="0"/>
      </w:r>
      <w:bookmarkEnd w:id="1219"/>
      <w:r>
        <w:rPr>
          <w:rtl/>
        </w:rPr>
        <w:t xml:space="preserve"> ספר דרשות עיוניות מאת ר׳ </w:t>
      </w:r>
      <w:proofErr w:type="spellStart"/>
      <w:r>
        <w:rPr>
          <w:rtl/>
        </w:rPr>
        <w:t>דוד־טעביל</w:t>
      </w:r>
      <w:proofErr w:type="spellEnd"/>
      <w:r>
        <w:rPr>
          <w:rtl/>
        </w:rPr>
        <w:t>,</w:t>
      </w:r>
      <w:bookmarkStart w:id="1220" w:name="_fnr718"/>
      <w:r>
        <w:rPr>
          <w:rStyle w:val="a5"/>
        </w:rPr>
        <w:footnoteReference w:id="718" w:customMarkFollows="0"/>
      </w:r>
      <w:bookmarkEnd w:id="1220"/>
      <w:r>
        <w:rPr>
          <w:rtl/>
        </w:rPr>
        <w:t xml:space="preserve"> תלמיד מובהק של ישיבת </w:t>
      </w:r>
      <w:proofErr w:type="spellStart"/>
      <w:r>
        <w:rPr>
          <w:rtl/>
        </w:rPr>
        <w:t>וולוז׳ין</w:t>
      </w:r>
      <w:proofErr w:type="spellEnd"/>
      <w:r>
        <w:rPr>
          <w:rtl/>
        </w:rPr>
        <w:t xml:space="preserve"> </w:t>
      </w:r>
      <w:proofErr w:type="spellStart"/>
      <w:r>
        <w:rPr>
          <w:rtl/>
        </w:rPr>
        <w:t>ומרא</w:t>
      </w:r>
      <w:proofErr w:type="spellEnd"/>
      <w:r>
        <w:rPr>
          <w:rtl/>
        </w:rPr>
        <w:t xml:space="preserve"> דאתרא של מינסק (תר״ט–תרכ״א), כותב המחבר: “חפצתי להדפיס את החידושים בהלכה ובאגדה שחנני ה׳, אך לא היה לאל ידי אפילו להתחיל במקצת, כי ישבתי </w:t>
      </w:r>
      <w:proofErr w:type="spellStart"/>
      <w:r>
        <w:rPr>
          <w:rtl/>
        </w:rPr>
        <w:t>בסטויבץ</w:t>
      </w:r>
      <w:proofErr w:type="spellEnd"/>
      <w:r>
        <w:rPr>
          <w:rtl/>
        </w:rPr>
        <w:t xml:space="preserve">, ושם לא יכלו לסייע בזה. ויהי כאשר ארכו לי שם </w:t>
      </w:r>
      <w:proofErr w:type="spellStart"/>
      <w:r>
        <w:rPr>
          <w:rtl/>
        </w:rPr>
        <w:t>בסטויבץ</w:t>
      </w:r>
      <w:proofErr w:type="spellEnd"/>
      <w:r>
        <w:rPr>
          <w:rtl/>
        </w:rPr>
        <w:t xml:space="preserve"> כשלושים ושתיים שנה, הרים ה׳ את קרני. לא בזכותי, כי אם בזכות </w:t>
      </w:r>
      <w:proofErr w:type="spellStart"/>
      <w:r>
        <w:rPr>
          <w:rtl/>
        </w:rPr>
        <w:t>אבותי</w:t>
      </w:r>
      <w:proofErr w:type="spellEnd"/>
      <w:r>
        <w:rPr>
          <w:rtl/>
        </w:rPr>
        <w:t xml:space="preserve"> ו</w:t>
      </w:r>
      <w:r>
        <w:rPr>
          <w:b/>
          <w:bCs/>
          <w:rtl/>
        </w:rPr>
        <w:t xml:space="preserve">זכות מורי ורבי ר׳ חיים </w:t>
      </w:r>
      <w:proofErr w:type="spellStart"/>
      <w:r>
        <w:rPr>
          <w:b/>
          <w:bCs/>
          <w:rtl/>
        </w:rPr>
        <w:t>מוולוז׳ין</w:t>
      </w:r>
      <w:proofErr w:type="spellEnd"/>
      <w:r>
        <w:rPr>
          <w:rtl/>
        </w:rPr>
        <w:t xml:space="preserve"> [ההדגשה שלי, לצורך הדיון להלן], נשאני והושיבני על </w:t>
      </w:r>
      <w:proofErr w:type="spellStart"/>
      <w:r>
        <w:rPr>
          <w:rtl/>
        </w:rPr>
        <w:t>כסא</w:t>
      </w:r>
      <w:proofErr w:type="spellEnd"/>
      <w:r>
        <w:rPr>
          <w:rtl/>
        </w:rPr>
        <w:t xml:space="preserve"> ההוראה לשרת בקודש, להיות </w:t>
      </w:r>
      <w:proofErr w:type="spellStart"/>
      <w:r>
        <w:rPr>
          <w:rtl/>
        </w:rPr>
        <w:t>מ״ץ</w:t>
      </w:r>
      <w:proofErr w:type="spellEnd"/>
      <w:r>
        <w:rPr>
          <w:rtl/>
        </w:rPr>
        <w:t xml:space="preserve"> </w:t>
      </w:r>
      <w:proofErr w:type="spellStart"/>
      <w:r>
        <w:rPr>
          <w:rtl/>
        </w:rPr>
        <w:t>ומרא</w:t>
      </w:r>
      <w:proofErr w:type="spellEnd"/>
      <w:r>
        <w:rPr>
          <w:rtl/>
        </w:rPr>
        <w:t xml:space="preserve"> דאתרא בקהילת מינסק, השמחה והמפוארת בעדי תורה ועושר, שגביריה גדולים ואדירים בתורה וביראת ה׳, וחכמיה ורבניה מאירים כל חדרי תורה. אמרתי אז </w:t>
      </w:r>
      <w:proofErr w:type="spellStart"/>
      <w:r>
        <w:rPr>
          <w:rtl/>
        </w:rPr>
        <w:t>בלבי</w:t>
      </w:r>
      <w:proofErr w:type="spellEnd"/>
      <w:r>
        <w:rPr>
          <w:rtl/>
        </w:rPr>
        <w:t xml:space="preserve"> כי מאת ה׳ </w:t>
      </w:r>
      <w:proofErr w:type="spellStart"/>
      <w:r>
        <w:rPr>
          <w:rtl/>
        </w:rPr>
        <w:t>היתה</w:t>
      </w:r>
      <w:proofErr w:type="spellEnd"/>
      <w:r>
        <w:rPr>
          <w:rtl/>
        </w:rPr>
        <w:t xml:space="preserve"> זאת, שעתה אוכל להוציא את מחשבותיי אל הפועל.”</w:t>
      </w:r>
    </w:p>
    <w:p w14:paraId="68E452AE" w14:textId="3E7077F9" w:rsidR="00AB3647" w:rsidRDefault="00000000" w:rsidP="007923E9">
      <w:pPr>
        <w:spacing w:after="120" w:line="276" w:lineRule="auto"/>
        <w:ind w:firstLine="283"/>
        <w:jc w:val="both"/>
      </w:pPr>
      <w:r>
        <w:rPr>
          <w:rtl/>
        </w:rPr>
        <w:t xml:space="preserve">את גאוותו של ר׳ </w:t>
      </w:r>
      <w:proofErr w:type="spellStart"/>
      <w:r>
        <w:rPr>
          <w:rtl/>
        </w:rPr>
        <w:t>דוד־טעביל</w:t>
      </w:r>
      <w:proofErr w:type="spellEnd"/>
      <w:r>
        <w:rPr>
          <w:rtl/>
        </w:rPr>
        <w:t xml:space="preserve"> בבני מינסק מדגים הסיפור הבא:</w:t>
      </w:r>
      <w:bookmarkStart w:id="1221" w:name="_fnr719"/>
      <w:r>
        <w:rPr>
          <w:rStyle w:val="a5"/>
        </w:rPr>
        <w:footnoteReference w:id="719" w:customMarkFollows="0"/>
      </w:r>
      <w:bookmarkEnd w:id="1221"/>
      <w:r>
        <w:rPr>
          <w:rtl/>
        </w:rPr>
        <w:t xml:space="preserve"> ר׳ </w:t>
      </w:r>
      <w:proofErr w:type="spellStart"/>
      <w:r>
        <w:rPr>
          <w:rtl/>
        </w:rPr>
        <w:t>דוד־טעביל</w:t>
      </w:r>
      <w:proofErr w:type="spellEnd"/>
      <w:r>
        <w:rPr>
          <w:rtl/>
        </w:rPr>
        <w:t xml:space="preserve">, שהיה מגמגם, אמר לקהל במינסק זמן קצר אחרי שנתקבל לרבנות: “במה תוכלו להתגאות ברב </w:t>
      </w:r>
      <w:r>
        <w:rPr>
          <w:rtl/>
        </w:rPr>
        <w:lastRenderedPageBreak/>
        <w:t xml:space="preserve">שקיבלתם? שהוא למדן? יש עוד רבנים למדנים. שהוא נואם? אתם רואים שאינני. אבל מה אני? אני מוצלח! יהודי מינסק יכולים להתגאות שיש להם עתה רב מוצלח!” לדוגמאות לחיבה ההדדית בין הקהילה </w:t>
      </w:r>
      <w:proofErr w:type="spellStart"/>
      <w:r>
        <w:rPr>
          <w:rtl/>
        </w:rPr>
        <w:t>לר</w:t>
      </w:r>
      <w:proofErr w:type="spellEnd"/>
      <w:r>
        <w:rPr>
          <w:rtl/>
        </w:rPr>
        <w:t xml:space="preserve">׳ </w:t>
      </w:r>
      <w:proofErr w:type="spellStart"/>
      <w:r>
        <w:rPr>
          <w:rtl/>
        </w:rPr>
        <w:t>דוד־טעביל</w:t>
      </w:r>
      <w:proofErr w:type="spellEnd"/>
      <w:r>
        <w:rPr>
          <w:rtl/>
        </w:rPr>
        <w:t xml:space="preserve"> השווה פרק 5, סוף הפסקה החמישית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A44DD6A" w14:textId="77777777" w:rsidR="00AB3647" w:rsidRDefault="00000000" w:rsidP="007923E9">
      <w:pPr>
        <w:spacing w:after="120" w:line="276" w:lineRule="auto"/>
        <w:ind w:firstLine="283"/>
        <w:jc w:val="both"/>
      </w:pPr>
      <w:r>
        <w:rPr>
          <w:rtl/>
        </w:rPr>
        <w:t xml:space="preserve">את המסורת הידועה שר׳ חיים </w:t>
      </w:r>
      <w:proofErr w:type="spellStart"/>
      <w:r>
        <w:rPr>
          <w:rtl/>
        </w:rPr>
        <w:t>מוולוז׳ין</w:t>
      </w:r>
      <w:proofErr w:type="spellEnd"/>
      <w:r>
        <w:rPr>
          <w:rtl/>
        </w:rPr>
        <w:t xml:space="preserve"> חזה שמרכז לימוד התורה יהיה יום אחד באמריקה סיפר גיסי, ר׳ ישראל </w:t>
      </w:r>
      <w:proofErr w:type="spellStart"/>
      <w:r>
        <w:rPr>
          <w:rtl/>
        </w:rPr>
        <w:t>שורין</w:t>
      </w:r>
      <w:proofErr w:type="spellEnd"/>
      <w:r>
        <w:rPr>
          <w:rtl/>
        </w:rPr>
        <w:t xml:space="preserve">, כפי ששמע אותה מגיסו, ר׳ אהרן </w:t>
      </w:r>
      <w:proofErr w:type="spellStart"/>
      <w:r>
        <w:rPr>
          <w:rtl/>
        </w:rPr>
        <w:t>סולובייצ׳יק</w:t>
      </w:r>
      <w:proofErr w:type="spellEnd"/>
      <w:r>
        <w:rPr>
          <w:rtl/>
        </w:rPr>
        <w:t xml:space="preserve">. בסיפורו הזכיר ר׳ אהרן אגב אורחא שר׳ </w:t>
      </w:r>
      <w:proofErr w:type="spellStart"/>
      <w:r>
        <w:rPr>
          <w:rtl/>
        </w:rPr>
        <w:t>דוד־טעביל</w:t>
      </w:r>
      <w:proofErr w:type="spellEnd"/>
      <w:r>
        <w:rPr>
          <w:rtl/>
        </w:rPr>
        <w:t xml:space="preserve"> סבל מליקוי הדיבור הנזכר. וזה הסיפור: “בבר </w:t>
      </w:r>
      <w:proofErr w:type="spellStart"/>
      <w:r>
        <w:rPr>
          <w:rtl/>
        </w:rPr>
        <w:t>המצוה</w:t>
      </w:r>
      <w:proofErr w:type="spellEnd"/>
      <w:r>
        <w:rPr>
          <w:rtl/>
        </w:rPr>
        <w:t xml:space="preserve"> של אבי [ר׳ משה </w:t>
      </w:r>
      <w:proofErr w:type="spellStart"/>
      <w:r>
        <w:rPr>
          <w:rtl/>
        </w:rPr>
        <w:t>סולובייצ׳יק</w:t>
      </w:r>
      <w:proofErr w:type="spellEnd"/>
      <w:r>
        <w:rPr>
          <w:rtl/>
        </w:rPr>
        <w:t xml:space="preserve">] אמר זקני ר׳ </w:t>
      </w:r>
      <w:proofErr w:type="spellStart"/>
      <w:r>
        <w:rPr>
          <w:rtl/>
        </w:rPr>
        <w:t>נפתלי־צבי־יהודה</w:t>
      </w:r>
      <w:proofErr w:type="spellEnd"/>
      <w:r>
        <w:rPr>
          <w:rtl/>
        </w:rPr>
        <w:t xml:space="preserve"> ברלין [</w:t>
      </w:r>
      <w:proofErr w:type="spellStart"/>
      <w:r>
        <w:rPr>
          <w:rtl/>
        </w:rPr>
        <w:t>הנצי״ב</w:t>
      </w:r>
      <w:proofErr w:type="spellEnd"/>
      <w:r>
        <w:rPr>
          <w:rtl/>
        </w:rPr>
        <w:t>]</w:t>
      </w:r>
      <w:bookmarkStart w:id="1222" w:name="_fnr720"/>
      <w:r>
        <w:rPr>
          <w:rStyle w:val="a5"/>
        </w:rPr>
        <w:footnoteReference w:id="720" w:customMarkFollows="0"/>
      </w:r>
      <w:bookmarkEnd w:id="1222"/>
      <w:r>
        <w:rPr>
          <w:rtl/>
        </w:rPr>
        <w:t xml:space="preserve"> שסבה של אשתו, ר׳ חיים </w:t>
      </w:r>
      <w:proofErr w:type="spellStart"/>
      <w:r>
        <w:rPr>
          <w:rtl/>
        </w:rPr>
        <w:t>מוולוז׳ין</w:t>
      </w:r>
      <w:proofErr w:type="spellEnd"/>
      <w:r>
        <w:rPr>
          <w:rtl/>
        </w:rPr>
        <w:t>, דיבר פעם לפני תלמידיו בסעודה שלישית ואמר להם שעד ביאת המשיח צריכה התורה לעבור עשרה מסעות.</w:t>
      </w:r>
      <w:bookmarkStart w:id="1223" w:name="_fnr721"/>
      <w:r>
        <w:rPr>
          <w:rStyle w:val="a5"/>
        </w:rPr>
        <w:footnoteReference w:id="721" w:customMarkFollows="0"/>
      </w:r>
      <w:bookmarkEnd w:id="1223"/>
      <w:r>
        <w:rPr>
          <w:rtl/>
        </w:rPr>
        <w:t xml:space="preserve"> אחד התלמידים, ר׳ אהרן </w:t>
      </w:r>
      <w:proofErr w:type="spellStart"/>
      <w:r>
        <w:rPr>
          <w:rtl/>
        </w:rPr>
        <w:t>סמולנסקר</w:t>
      </w:r>
      <w:proofErr w:type="spellEnd"/>
      <w:r>
        <w:rPr>
          <w:rtl/>
        </w:rPr>
        <w:t xml:space="preserve">, שאל את רבו היכן תהיה התחנה האחרונה, והשיב: ‘אמריקה’ – והרב פרץ בבכי. לאחר מכן התאזר ר׳ </w:t>
      </w:r>
      <w:proofErr w:type="spellStart"/>
      <w:r>
        <w:rPr>
          <w:rtl/>
        </w:rPr>
        <w:t>דוד־טעביל</w:t>
      </w:r>
      <w:proofErr w:type="spellEnd"/>
      <w:r>
        <w:rPr>
          <w:rtl/>
        </w:rPr>
        <w:t xml:space="preserve">, </w:t>
      </w:r>
      <w:r>
        <w:rPr>
          <w:b/>
          <w:bCs/>
          <w:rtl/>
        </w:rPr>
        <w:t>שהיה מגמגם מעט [ההדגשה שלי],</w:t>
      </w:r>
      <w:r>
        <w:rPr>
          <w:rtl/>
        </w:rPr>
        <w:t xml:space="preserve"> אומץ ושאל את רבו מדוע בכה. ר׳ חיים השיב שהוא צופה את הקשיים שיעמדו לפני אלה שיהיה עליהם לנטוע את התורה שם – ושוב בכה.”</w:t>
      </w:r>
    </w:p>
    <w:p w14:paraId="5EEEFD2E" w14:textId="77777777" w:rsidR="00AB3647" w:rsidRDefault="00000000" w:rsidP="007923E9">
      <w:pPr>
        <w:spacing w:after="120" w:line="276" w:lineRule="auto"/>
        <w:ind w:firstLine="283"/>
        <w:jc w:val="both"/>
      </w:pPr>
      <w:r>
        <w:rPr>
          <w:rtl/>
        </w:rPr>
        <w:t>והשווה גם “אבי הישיבות”,</w:t>
      </w:r>
      <w:bookmarkStart w:id="1224" w:name="_fnr722"/>
      <w:r>
        <w:rPr>
          <w:rStyle w:val="a5"/>
        </w:rPr>
        <w:footnoteReference w:id="722" w:customMarkFollows="0"/>
      </w:r>
      <w:bookmarkEnd w:id="1224"/>
      <w:r>
        <w:rPr>
          <w:rtl/>
        </w:rPr>
        <w:t xml:space="preserve"> המביא את עיקר הסיפור, כפי שהוא נוגע </w:t>
      </w:r>
      <w:proofErr w:type="spellStart"/>
      <w:r>
        <w:rPr>
          <w:rtl/>
        </w:rPr>
        <w:t>לר</w:t>
      </w:r>
      <w:proofErr w:type="spellEnd"/>
      <w:r>
        <w:rPr>
          <w:rtl/>
        </w:rPr>
        <w:t xml:space="preserve">׳ חיים </w:t>
      </w:r>
      <w:proofErr w:type="spellStart"/>
      <w:r>
        <w:rPr>
          <w:rtl/>
        </w:rPr>
        <w:t>מוולוז׳ין</w:t>
      </w:r>
      <w:proofErr w:type="spellEnd"/>
      <w:r>
        <w:rPr>
          <w:rtl/>
        </w:rPr>
        <w:t xml:space="preserve"> </w:t>
      </w:r>
      <w:proofErr w:type="spellStart"/>
      <w:r>
        <w:rPr>
          <w:rtl/>
        </w:rPr>
        <w:t>ולר</w:t>
      </w:r>
      <w:proofErr w:type="spellEnd"/>
      <w:r>
        <w:rPr>
          <w:rtl/>
        </w:rPr>
        <w:t xml:space="preserve">׳ </w:t>
      </w:r>
      <w:proofErr w:type="spellStart"/>
      <w:r>
        <w:rPr>
          <w:rtl/>
        </w:rPr>
        <w:t>דוד־טעביל</w:t>
      </w:r>
      <w:proofErr w:type="spellEnd"/>
      <w:r>
        <w:rPr>
          <w:rtl/>
        </w:rPr>
        <w:t xml:space="preserve">, ממקורות אחרים. בין המקורות האלה חותני, ר׳ דוד ליפשיץ, ששמעו בחוגו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בווילנה, שאליה ברח </w:t>
      </w:r>
      <w:proofErr w:type="spellStart"/>
      <w:r>
        <w:rPr>
          <w:rtl/>
        </w:rPr>
        <w:t>מסובאלק</w:t>
      </w:r>
      <w:proofErr w:type="spellEnd"/>
      <w:r>
        <w:rPr>
          <w:rtl/>
        </w:rPr>
        <w:t xml:space="preserve"> אחרי פרוץ מלחמת העולם השנייה. “אבי הישיבות” קושר את החלטתם של כמה ממנהיגי התורה באירופה לפנות לאמריקה, כשהמצב באירופה נעשה קריטי, להכרזתו של ר׳ חיים </w:t>
      </w:r>
      <w:proofErr w:type="spellStart"/>
      <w:r>
        <w:rPr>
          <w:rtl/>
        </w:rPr>
        <w:t>מוולוז׳ין</w:t>
      </w:r>
      <w:proofErr w:type="spellEnd"/>
      <w:r>
        <w:rPr>
          <w:rtl/>
        </w:rPr>
        <w:t xml:space="preserve"> – וכך הנבואה הגשימה את עצמה.</w:t>
      </w:r>
    </w:p>
    <w:p w14:paraId="1173A71B" w14:textId="7BB76B36" w:rsidR="00AB3647" w:rsidRDefault="00000000" w:rsidP="007923E9">
      <w:pPr>
        <w:spacing w:after="120" w:line="276" w:lineRule="auto"/>
        <w:ind w:firstLine="283"/>
        <w:jc w:val="both"/>
      </w:pPr>
      <w:r>
        <w:rPr>
          <w:rtl/>
        </w:rPr>
        <w:t xml:space="preserve">והשווה גם “נימוקי </w:t>
      </w:r>
      <w:proofErr w:type="spellStart"/>
      <w:r>
        <w:rPr>
          <w:rtl/>
        </w:rPr>
        <w:t>הרידב״ז</w:t>
      </w:r>
      <w:proofErr w:type="spellEnd"/>
      <w:r>
        <w:rPr>
          <w:rtl/>
        </w:rPr>
        <w:t xml:space="preserve"> על התורה”,</w:t>
      </w:r>
      <w:bookmarkStart w:id="1225" w:name="_fnr723"/>
      <w:bookmarkStart w:id="1226" w:name="pr_f_649"/>
      <w:r>
        <w:rPr>
          <w:rStyle w:val="a5"/>
        </w:rPr>
        <w:footnoteReference w:id="723" w:customMarkFollows="0"/>
      </w:r>
      <w:bookmarkEnd w:id="1225"/>
      <w:bookmarkEnd w:id="1226"/>
      <w:r>
        <w:rPr>
          <w:rtl/>
        </w:rPr>
        <w:t xml:space="preserve"> שיצא לאור לראשונה בשנת תרס״ד באמריקה. שם כותב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xml:space="preserve">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אז בשיקגו: “מי יודע אם לא ברבות הימים יתאכסן התורה ברצון יודע תעלומות בזאת המדינה?!” ייתכן שר׳ </w:t>
      </w:r>
      <w:proofErr w:type="spellStart"/>
      <w:r>
        <w:rPr>
          <w:rtl/>
        </w:rPr>
        <w:t>יענקל־דוד</w:t>
      </w:r>
      <w:proofErr w:type="spellEnd"/>
      <w:r>
        <w:rPr>
          <w:rtl/>
        </w:rPr>
        <w:t xml:space="preserve"> ידע על המסורת של </w:t>
      </w:r>
      <w:proofErr w:type="spellStart"/>
      <w:r>
        <w:rPr>
          <w:rtl/>
        </w:rPr>
        <w:t>וולוז׳ין</w:t>
      </w:r>
      <w:proofErr w:type="spellEnd"/>
      <w:r>
        <w:rPr>
          <w:rtl/>
        </w:rPr>
        <w:t>, אף שכיסוד להשערתו הזכיר רק את התקדים ההיסטורי: נטיעת התורה בפולין שנים רבות אחרי שארץ זו נודעה לגנאי כמקום שבו היו היהודים רפויים במסירותם ליידישקייט.</w:t>
      </w:r>
      <w:bookmarkStart w:id="1227" w:name="_fnr724"/>
      <w:r>
        <w:rPr>
          <w:rStyle w:val="a5"/>
        </w:rPr>
        <w:footnoteReference w:id="724" w:customMarkFollows="0"/>
      </w:r>
      <w:bookmarkEnd w:id="1227"/>
    </w:p>
    <w:p w14:paraId="1CDE5EAC"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לא ידע באיזה הקשר חזר </w:t>
      </w:r>
      <w:proofErr w:type="spellStart"/>
      <w:r>
        <w:rPr>
          <w:rtl/>
        </w:rPr>
        <w:t>הנצי״ב</w:t>
      </w:r>
      <w:proofErr w:type="spellEnd"/>
      <w:r>
        <w:rPr>
          <w:rtl/>
        </w:rPr>
        <w:t xml:space="preserve"> על נבואתו של ר׳ חיים </w:t>
      </w:r>
      <w:proofErr w:type="spellStart"/>
      <w:r>
        <w:rPr>
          <w:rtl/>
        </w:rPr>
        <w:t>מוולוז׳ין</w:t>
      </w:r>
      <w:proofErr w:type="spellEnd"/>
      <w:r>
        <w:rPr>
          <w:rtl/>
        </w:rPr>
        <w:t xml:space="preserve">. בר המצווה של ר׳ משה </w:t>
      </w:r>
      <w:proofErr w:type="spellStart"/>
      <w:r>
        <w:rPr>
          <w:rtl/>
        </w:rPr>
        <w:t>סולובייצ׳יק</w:t>
      </w:r>
      <w:proofErr w:type="spellEnd"/>
      <w:r>
        <w:rPr>
          <w:rtl/>
        </w:rPr>
        <w:t xml:space="preserve"> נערכה בתמוז תרנ״א, כחצי שנה לפני סגירת ישיבת </w:t>
      </w:r>
      <w:proofErr w:type="spellStart"/>
      <w:r>
        <w:rPr>
          <w:rtl/>
        </w:rPr>
        <w:t>וולוז׳ין</w:t>
      </w:r>
      <w:proofErr w:type="spellEnd"/>
      <w:r>
        <w:rPr>
          <w:rtl/>
        </w:rPr>
        <w:t>,</w:t>
      </w:r>
      <w:bookmarkStart w:id="1228" w:name="_fnr725"/>
      <w:r>
        <w:rPr>
          <w:rStyle w:val="a5"/>
        </w:rPr>
        <w:footnoteReference w:id="725" w:customMarkFollows="0"/>
      </w:r>
      <w:bookmarkEnd w:id="1228"/>
      <w:r>
        <w:rPr>
          <w:rtl/>
        </w:rPr>
        <w:t xml:space="preserve"> ולכן יש לשער </w:t>
      </w:r>
      <w:proofErr w:type="spellStart"/>
      <w:r>
        <w:rPr>
          <w:rtl/>
        </w:rPr>
        <w:t>שהנצי״ב</w:t>
      </w:r>
      <w:proofErr w:type="spellEnd"/>
      <w:r>
        <w:rPr>
          <w:rtl/>
        </w:rPr>
        <w:t xml:space="preserve"> מסר את נבואת מייסד הישיבה משום שראה את האסון הזה באופק. ייתכן גם </w:t>
      </w:r>
      <w:proofErr w:type="spellStart"/>
      <w:r>
        <w:rPr>
          <w:rtl/>
        </w:rPr>
        <w:t>שהנצי״ב</w:t>
      </w:r>
      <w:proofErr w:type="spellEnd"/>
      <w:r>
        <w:rPr>
          <w:rtl/>
        </w:rPr>
        <w:t xml:space="preserve"> רמז בכך למחלוקת העזה שהתנהלה אז בין תלמידי הישיבה </w:t>
      </w:r>
      <w:r>
        <w:rPr>
          <w:rtl/>
        </w:rPr>
        <w:lastRenderedPageBreak/>
        <w:t xml:space="preserve">בשאלה מי יבוא במקומו של </w:t>
      </w:r>
      <w:proofErr w:type="spellStart"/>
      <w:r>
        <w:rPr>
          <w:rtl/>
        </w:rPr>
        <w:t>הנצי״ב</w:t>
      </w:r>
      <w:proofErr w:type="spellEnd"/>
      <w:r>
        <w:rPr>
          <w:rtl/>
        </w:rPr>
        <w:t xml:space="preserve">, שתכנן לפרוש ולעלות לארץ ישראל. רוב התלמידים רצו שר׳ חיים </w:t>
      </w:r>
      <w:proofErr w:type="spellStart"/>
      <w:r>
        <w:rPr>
          <w:rtl/>
        </w:rPr>
        <w:t>סולובייצ׳יק</w:t>
      </w:r>
      <w:proofErr w:type="spellEnd"/>
      <w:r>
        <w:rPr>
          <w:rtl/>
        </w:rPr>
        <w:t xml:space="preserve"> יחליף את ראש הישיבה הפורש, ולא כרצון </w:t>
      </w:r>
      <w:proofErr w:type="spellStart"/>
      <w:r>
        <w:rPr>
          <w:rtl/>
        </w:rPr>
        <w:t>הנצי״ב</w:t>
      </w:r>
      <w:proofErr w:type="spellEnd"/>
      <w:r>
        <w:rPr>
          <w:rtl/>
        </w:rPr>
        <w:t xml:space="preserve"> שבנו, ר׳ חיים ברלין, יבוא במקומו.</w:t>
      </w:r>
    </w:p>
    <w:p w14:paraId="19E2B83D" w14:textId="760ADEFB"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כיוון את דבריו לאחד משני </w:t>
      </w:r>
      <w:proofErr w:type="spellStart"/>
      <w:r>
        <w:rPr>
          <w:rtl/>
        </w:rPr>
        <w:t>החיימים</w:t>
      </w:r>
      <w:proofErr w:type="spellEnd"/>
      <w:r>
        <w:rPr>
          <w:rtl/>
        </w:rPr>
        <w:t xml:space="preserve"> – שניהם קרויים על שם מייסד ישיבת </w:t>
      </w:r>
      <w:proofErr w:type="spellStart"/>
      <w:r>
        <w:rPr>
          <w:rtl/>
        </w:rPr>
        <w:t>וולוז׳ין</w:t>
      </w:r>
      <w:proofErr w:type="spellEnd"/>
      <w:r>
        <w:rPr>
          <w:rtl/>
        </w:rPr>
        <w:t xml:space="preserve"> – </w:t>
      </w:r>
      <w:proofErr w:type="spellStart"/>
      <w:r>
        <w:rPr>
          <w:rtl/>
        </w:rPr>
        <w:t>לר</w:t>
      </w:r>
      <w:proofErr w:type="spellEnd"/>
      <w:r>
        <w:rPr>
          <w:rtl/>
        </w:rPr>
        <w:t xml:space="preserve">׳ חיים </w:t>
      </w:r>
      <w:proofErr w:type="spellStart"/>
      <w:r>
        <w:rPr>
          <w:rtl/>
        </w:rPr>
        <w:t>סולובייצ׳יק</w:t>
      </w:r>
      <w:proofErr w:type="spellEnd"/>
      <w:r>
        <w:rPr>
          <w:rtl/>
        </w:rPr>
        <w:t xml:space="preserve">, אביו של בחור בר המצווה, או לבנו שלו, שישקול לעבור לאמריקה. לא סביר שכיוון לבנו: לא רק משום שרצה שיישאר </w:t>
      </w:r>
      <w:proofErr w:type="spellStart"/>
      <w:r>
        <w:rPr>
          <w:rtl/>
        </w:rPr>
        <w:t>בוולוז׳ין</w:t>
      </w:r>
      <w:proofErr w:type="spellEnd"/>
      <w:r>
        <w:rPr>
          <w:rtl/>
        </w:rPr>
        <w:t>, אלא גם משום שר׳ חיים ברלין כבר דחה ארבע שנים קודם לכן הצעה להיות הרב הראשי של ניו יורק,</w:t>
      </w:r>
      <w:bookmarkStart w:id="1229" w:name="_fnr726"/>
      <w:r>
        <w:rPr>
          <w:rStyle w:val="a5"/>
        </w:rPr>
        <w:footnoteReference w:id="726" w:customMarkFollows="0"/>
      </w:r>
      <w:bookmarkEnd w:id="1229"/>
      <w:r>
        <w:rPr>
          <w:rtl/>
        </w:rPr>
        <w:t xml:space="preserve"> </w:t>
      </w:r>
      <w:r>
        <w:rPr>
          <w:b/>
          <w:bCs/>
          <w:rtl/>
        </w:rPr>
        <w:t>אחרי שנועץ בעניין באביו</w:t>
      </w:r>
      <w:r>
        <w:rPr>
          <w:rtl/>
        </w:rPr>
        <w:t>!</w:t>
      </w:r>
      <w:bookmarkStart w:id="1230" w:name="_fnr727"/>
      <w:r>
        <w:rPr>
          <w:rStyle w:val="a5"/>
        </w:rPr>
        <w:footnoteReference w:id="727" w:customMarkFollows="0"/>
      </w:r>
      <w:bookmarkEnd w:id="1230"/>
      <w:r>
        <w:rPr>
          <w:rtl/>
        </w:rPr>
        <w:t xml:space="preserve"> נמצא </w:t>
      </w:r>
      <w:proofErr w:type="spellStart"/>
      <w:r>
        <w:rPr>
          <w:rtl/>
        </w:rPr>
        <w:t>שלר</w:t>
      </w:r>
      <w:proofErr w:type="spellEnd"/>
      <w:r>
        <w:rPr>
          <w:rtl/>
        </w:rPr>
        <w:t xml:space="preserve">׳ חיים </w:t>
      </w:r>
      <w:proofErr w:type="spellStart"/>
      <w:r>
        <w:rPr>
          <w:rtl/>
        </w:rPr>
        <w:t>סולובייצ׳יק</w:t>
      </w:r>
      <w:proofErr w:type="spellEnd"/>
      <w:r>
        <w:rPr>
          <w:rtl/>
        </w:rPr>
        <w:t xml:space="preserve"> הראה </w:t>
      </w:r>
      <w:proofErr w:type="spellStart"/>
      <w:r>
        <w:rPr>
          <w:rtl/>
        </w:rPr>
        <w:t>הנצי״ב</w:t>
      </w:r>
      <w:proofErr w:type="spellEnd"/>
      <w:r>
        <w:rPr>
          <w:rtl/>
        </w:rPr>
        <w:t xml:space="preserve"> </w:t>
      </w:r>
      <w:proofErr w:type="spellStart"/>
      <w:r>
        <w:rPr>
          <w:rtl/>
        </w:rPr>
        <w:t>שוולוז׳ין</w:t>
      </w:r>
      <w:proofErr w:type="spellEnd"/>
      <w:r>
        <w:rPr>
          <w:rtl/>
        </w:rPr>
        <w:t xml:space="preserve"> לא תהיה הישיבה הגדולה האחרונה לפני ביאת המשיח. ייתכן שרצה שר׳ חיים </w:t>
      </w:r>
      <w:proofErr w:type="spellStart"/>
      <w:r>
        <w:rPr>
          <w:rtl/>
        </w:rPr>
        <w:t>סולובייצ׳יק</w:t>
      </w:r>
      <w:proofErr w:type="spellEnd"/>
      <w:r>
        <w:rPr>
          <w:rtl/>
        </w:rPr>
        <w:t xml:space="preserve"> ישקול חלופה למשרה שחלק גדול מתלמידי </w:t>
      </w:r>
      <w:proofErr w:type="spellStart"/>
      <w:r>
        <w:rPr>
          <w:rtl/>
        </w:rPr>
        <w:t>וולוז׳ין</w:t>
      </w:r>
      <w:proofErr w:type="spellEnd"/>
      <w:r>
        <w:rPr>
          <w:rtl/>
        </w:rPr>
        <w:t xml:space="preserve"> פעלו להושיבו בה. השווה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ושם דעתי על מחלוקת זו ועל הקשר בינה לבין סגירת הישיבה. והשווה גם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שר׳ חיים </w:t>
      </w:r>
      <w:proofErr w:type="spellStart"/>
      <w:r>
        <w:rPr>
          <w:rtl/>
        </w:rPr>
        <w:t>סולובייצ׳יק</w:t>
      </w:r>
      <w:proofErr w:type="spellEnd"/>
      <w:r>
        <w:rPr>
          <w:rtl/>
        </w:rPr>
        <w:t xml:space="preserve"> אכן סבר, אם כי עשרים ואחת שנה לאחר מכן, שתלמידי חכמים בעלי יכולת צריכים לעבור לאמריקה, שכבר הוצפה אז במהגרים יהודים.</w:t>
      </w:r>
    </w:p>
    <w:p w14:paraId="29C2C824" w14:textId="77777777" w:rsidR="00AB3647" w:rsidRDefault="00000000" w:rsidP="007923E9">
      <w:pPr>
        <w:spacing w:after="120" w:line="276" w:lineRule="auto"/>
        <w:ind w:firstLine="283"/>
        <w:jc w:val="both"/>
      </w:pPr>
      <w:r>
        <w:rPr>
          <w:rtl/>
        </w:rPr>
        <w:t xml:space="preserve">ייתכן גם </w:t>
      </w:r>
      <w:proofErr w:type="spellStart"/>
      <w:r>
        <w:rPr>
          <w:rtl/>
        </w:rPr>
        <w:t>שהנצי״ב</w:t>
      </w:r>
      <w:proofErr w:type="spellEnd"/>
      <w:r>
        <w:rPr>
          <w:rtl/>
        </w:rPr>
        <w:t xml:space="preserve"> הזכיר את נבואתו של ר׳ חיים </w:t>
      </w:r>
      <w:proofErr w:type="spellStart"/>
      <w:r>
        <w:rPr>
          <w:rtl/>
        </w:rPr>
        <w:t>מוולוז׳ין</w:t>
      </w:r>
      <w:proofErr w:type="spellEnd"/>
      <w:r>
        <w:rPr>
          <w:rtl/>
        </w:rPr>
        <w:t xml:space="preserve"> בהקשר של מוסר השכל לנער בר המצווה על חשיבות לימוד התורה בלי הפסק. ראה “אבי הישיבות”,</w:t>
      </w:r>
      <w:bookmarkStart w:id="1231" w:name="_fnr728"/>
      <w:r>
        <w:rPr>
          <w:rStyle w:val="a5"/>
        </w:rPr>
        <w:footnoteReference w:id="728" w:customMarkFollows="0"/>
      </w:r>
      <w:bookmarkEnd w:id="1231"/>
      <w:r>
        <w:rPr>
          <w:rtl/>
        </w:rPr>
        <w:t xml:space="preserve"> הקושר את “גילוי אמריקה ו</w:t>
      </w:r>
      <w:r>
        <w:rPr>
          <w:b/>
          <w:bCs/>
          <w:rtl/>
        </w:rPr>
        <w:t>מעבר התורה לעולם החדש</w:t>
      </w:r>
      <w:r>
        <w:rPr>
          <w:rtl/>
        </w:rPr>
        <w:t xml:space="preserve">” לכך שעצם קיומו של העולם תלוי בלימוד התורה בכל רגע ביום ובלילה, במקום כלשהו על פני הכדור. ר׳ חיים </w:t>
      </w:r>
      <w:proofErr w:type="spellStart"/>
      <w:r>
        <w:rPr>
          <w:rtl/>
        </w:rPr>
        <w:t>מוולוז׳ין</w:t>
      </w:r>
      <w:proofErr w:type="spellEnd"/>
      <w:r>
        <w:rPr>
          <w:rtl/>
        </w:rPr>
        <w:t xml:space="preserve"> הפיץ רעיון זה בספרו “נפש החיים”.</w:t>
      </w:r>
      <w:bookmarkStart w:id="1232" w:name="_fnr729"/>
      <w:r>
        <w:rPr>
          <w:rStyle w:val="a5"/>
        </w:rPr>
        <w:footnoteReference w:id="729" w:customMarkFollows="0"/>
      </w:r>
      <w:bookmarkEnd w:id="1232"/>
    </w:p>
    <w:p w14:paraId="3084C799" w14:textId="1A1935FA" w:rsidR="00AB3647" w:rsidRDefault="00000000" w:rsidP="007923E9">
      <w:pPr>
        <w:spacing w:after="120" w:line="276" w:lineRule="auto"/>
        <w:ind w:firstLine="283"/>
        <w:jc w:val="both"/>
      </w:pPr>
      <w:r>
        <w:rPr>
          <w:rtl/>
        </w:rPr>
        <w:t>והשווה גם פרק 4, אמצע הפסקה הראשונה ב</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בעניין ברכתו של ר׳ חיים </w:t>
      </w:r>
      <w:proofErr w:type="spellStart"/>
      <w:r>
        <w:rPr>
          <w:rtl/>
        </w:rPr>
        <w:t>מוולוז׳ין</w:t>
      </w:r>
      <w:proofErr w:type="spellEnd"/>
      <w:r>
        <w:rPr>
          <w:rtl/>
        </w:rPr>
        <w:t xml:space="preserve"> </w:t>
      </w:r>
      <w:proofErr w:type="spellStart"/>
      <w:r>
        <w:rPr>
          <w:rtl/>
        </w:rPr>
        <w:t>לר</w:t>
      </w:r>
      <w:proofErr w:type="spellEnd"/>
      <w:r>
        <w:rPr>
          <w:rtl/>
        </w:rPr>
        <w:t xml:space="preserve">׳ </w:t>
      </w:r>
      <w:proofErr w:type="spellStart"/>
      <w:r>
        <w:rPr>
          <w:rtl/>
        </w:rPr>
        <w:t>דוד־טעביל</w:t>
      </w:r>
      <w:proofErr w:type="spellEnd"/>
      <w:r>
        <w:rPr>
          <w:rtl/>
        </w:rPr>
        <w:t xml:space="preserve"> שיהיה ברבות הימים רב בעיר בירה של פלך. ייתכן מאוד </w:t>
      </w:r>
      <w:proofErr w:type="spellStart"/>
      <w:r>
        <w:rPr>
          <w:rtl/>
        </w:rPr>
        <w:t>שחכמתו</w:t>
      </w:r>
      <w:proofErr w:type="spellEnd"/>
      <w:r>
        <w:rPr>
          <w:rtl/>
        </w:rPr>
        <w:t xml:space="preserve"> של ר׳ חיים אמרה לו שרק עיר במעמד של בירת פלך תגלה די ביטחון עצמי לוותר על הזוהר החיצוני שבהעמדת נואם מזהיר כרבה, לטובת גדול התורה המובהק שהיה ר׳ </w:t>
      </w:r>
      <w:proofErr w:type="spellStart"/>
      <w:r>
        <w:rPr>
          <w:rtl/>
        </w:rPr>
        <w:t>דוד־טעביל</w:t>
      </w:r>
      <w:proofErr w:type="spellEnd"/>
      <w:r>
        <w:rPr>
          <w:rtl/>
        </w:rPr>
        <w:t>.</w:t>
      </w:r>
      <w:bookmarkStart w:id="1233" w:name="_fnr730"/>
      <w:r>
        <w:rPr>
          <w:rStyle w:val="a5"/>
        </w:rPr>
        <w:footnoteReference w:id="730" w:customMarkFollows="0"/>
      </w:r>
      <w:bookmarkEnd w:id="1233"/>
    </w:p>
    <w:p w14:paraId="70EA0D19" w14:textId="77777777" w:rsidR="00AB3647" w:rsidRDefault="00000000" w:rsidP="007923E9">
      <w:pPr>
        <w:pStyle w:val="4"/>
        <w:spacing w:line="276" w:lineRule="auto"/>
      </w:pPr>
      <w:r>
        <w:t>· הפסקה השלישית ·</w:t>
      </w:r>
    </w:p>
    <w:p w14:paraId="5E057416" w14:textId="77777777" w:rsidR="00AB3647" w:rsidRDefault="00000000" w:rsidP="007923E9">
      <w:pPr>
        <w:pStyle w:val="5"/>
        <w:spacing w:line="276" w:lineRule="auto"/>
      </w:pPr>
      <w:r>
        <w:t>וילנה פתוחה להשכלה יותר ממינסק</w:t>
      </w:r>
    </w:p>
    <w:p w14:paraId="12436183" w14:textId="77777777" w:rsidR="00AB3647" w:rsidRDefault="00000000" w:rsidP="007923E9">
      <w:pPr>
        <w:spacing w:after="120" w:line="276" w:lineRule="auto"/>
        <w:ind w:firstLine="283"/>
        <w:jc w:val="both"/>
      </w:pPr>
      <w:r>
        <w:rPr>
          <w:rtl/>
        </w:rPr>
        <w:t xml:space="preserve">באופן כללי, וילנה הייתה עיר של עילית, ובה אנשי רוח רבים, ואילו מינסק הייתה עיר של המונים. ההשכלה, ועמה ההתבוללות שבאה בעקבותיה, חדרה לווילנה הרבה יותר מאשר למינסק.</w:t>
      </w:r>
    </w:p>
    <w:p w14:paraId="3E00992F" w14:textId="77777777" w:rsidR="00AB3647" w:rsidRDefault="00000000" w:rsidP="007923E9">
      <w:pPr>
        <w:spacing w:after="120" w:line="276" w:lineRule="auto"/>
        <w:ind w:firstLine="283"/>
        <w:jc w:val="both"/>
      </w:pPr>
      <w:r>
        <w:rPr>
          <w:rtl/>
        </w:rPr>
        <w:lastRenderedPageBreak/>
        <w:t xml:space="preserve">“מקס </w:t>
      </w:r>
      <w:proofErr w:type="spellStart"/>
      <w:r>
        <w:rPr>
          <w:rtl/>
        </w:rPr>
        <w:t>ליליינטל</w:t>
      </w:r>
      <w:proofErr w:type="spellEnd"/>
      <w:r>
        <w:rPr>
          <w:rtl/>
        </w:rPr>
        <w:t xml:space="preserve">: רב אמריקאי”, מאת דוד </w:t>
      </w:r>
      <w:proofErr w:type="spellStart"/>
      <w:r>
        <w:rPr>
          <w:rtl/>
        </w:rPr>
        <w:t>פיליפסון</w:t>
      </w:r>
      <w:proofErr w:type="spellEnd"/>
      <w:r>
        <w:rPr>
          <w:rtl/>
        </w:rPr>
        <w:t>,</w:t>
      </w:r>
      <w:bookmarkStart w:id="1234" w:name="_fnr731"/>
      <w:r>
        <w:rPr>
          <w:rStyle w:val="a5"/>
        </w:rPr>
        <w:footnoteReference w:id="731" w:customMarkFollows="0"/>
      </w:r>
      <w:bookmarkEnd w:id="1234"/>
      <w:r>
        <w:rPr>
          <w:rtl/>
        </w:rPr>
        <w:t xml:space="preserve"> המצטט את יומנו של </w:t>
      </w:r>
      <w:proofErr w:type="spellStart"/>
      <w:r>
        <w:rPr>
          <w:rtl/>
        </w:rPr>
        <w:t>ליליינטל</w:t>
      </w:r>
      <w:proofErr w:type="spellEnd"/>
      <w:r>
        <w:rPr>
          <w:rtl/>
        </w:rPr>
        <w:t>,</w:t>
      </w:r>
      <w:bookmarkStart w:id="1235" w:name="_fnr732"/>
      <w:r>
        <w:rPr>
          <w:rStyle w:val="a5"/>
        </w:rPr>
        <w:footnoteReference w:id="732" w:customMarkFollows="0"/>
      </w:r>
      <w:bookmarkEnd w:id="1235"/>
      <w:r>
        <w:rPr>
          <w:rtl/>
        </w:rPr>
        <w:t xml:space="preserve"> מספר שבשנת תר״א הטיל עליו הרוזן סרגיי </w:t>
      </w:r>
      <w:proofErr w:type="spellStart"/>
      <w:r>
        <w:rPr>
          <w:rtl/>
        </w:rPr>
        <w:t>אוברוב</w:t>
      </w:r>
      <w:proofErr w:type="spellEnd"/>
      <w:r>
        <w:rPr>
          <w:rtl/>
        </w:rPr>
        <w:t xml:space="preserve">, שר ההשכלה בממשלת רוסיה, לשכנע את היהודים “לשפץ” את מערכת החינוך שלהם. ד״ר </w:t>
      </w:r>
      <w:proofErr w:type="spellStart"/>
      <w:r>
        <w:rPr>
          <w:rtl/>
        </w:rPr>
        <w:t>ליליינטל</w:t>
      </w:r>
      <w:proofErr w:type="spellEnd"/>
      <w:r>
        <w:rPr>
          <w:rtl/>
        </w:rPr>
        <w:t xml:space="preserve"> כיהן כדרשן וכמנהל בית ספר יהודי בריגה מאז ת״ר, ומינויו הממשלתי הביא אותו משם לבקר הן בווילנה הן במינסק. יליד מינכן זה</w:t>
      </w:r>
      <w:bookmarkStart w:id="1236" w:name="_fnr733"/>
      <w:r>
        <w:rPr>
          <w:rStyle w:val="a5"/>
        </w:rPr>
        <w:footnoteReference w:id="733" w:customMarkFollows="0"/>
      </w:r>
      <w:bookmarkEnd w:id="1236"/>
      <w:r>
        <w:rPr>
          <w:rtl/>
        </w:rPr>
        <w:t xml:space="preserve"> תיאר את ההבדל בין שתי הערים כך:</w:t>
      </w:r>
      <w:bookmarkStart w:id="1237" w:name="_fnr734"/>
      <w:r>
        <w:rPr>
          <w:rStyle w:val="a5"/>
        </w:rPr>
        <w:footnoteReference w:id="734" w:customMarkFollows="0"/>
      </w:r>
      <w:bookmarkEnd w:id="1237"/>
      <w:r>
        <w:rPr>
          <w:rtl/>
        </w:rPr>
        <w:t xml:space="preserve"> “מינסק הייתה אחד ממבצרי </w:t>
      </w:r>
      <w:proofErr w:type="spellStart"/>
      <w:r>
        <w:rPr>
          <w:rtl/>
        </w:rPr>
        <w:t>הרבניזם</w:t>
      </w:r>
      <w:proofErr w:type="spellEnd"/>
      <w:r>
        <w:rPr>
          <w:rtl/>
        </w:rPr>
        <w:t xml:space="preserve"> ברוסיה. קרני הציוויליזציה[!] הראשונות עוד לא החלו להפציע על קהילה זו. בשעה שבווילנה היו מאות צעירים בקיאים בספרות החדשה ותומכים בתיקון שיטות החינוך, במינסק לא נמצאו אפילו עשרה הנוטים לקדם את העניין שאני עמל למענו.”</w:t>
      </w:r>
    </w:p>
    <w:p w14:paraId="38017B90" w14:textId="77777777" w:rsidR="00AB3647" w:rsidRDefault="00000000" w:rsidP="007923E9">
      <w:pPr>
        <w:pStyle w:val="4"/>
        <w:spacing w:line="276" w:lineRule="auto"/>
      </w:pPr>
      <w:r>
        <w:t>· הפסקה הרביעית ·</w:t>
      </w:r>
    </w:p>
    <w:p w14:paraId="2BEE14D6" w14:textId="77777777" w:rsidR="00AB3647" w:rsidRDefault="00000000" w:rsidP="007923E9">
      <w:pPr>
        <w:pStyle w:val="5"/>
        <w:spacing w:line="276" w:lineRule="auto"/>
      </w:pPr>
      <w:r>
        <w:t xml:space="preserve">רבנו מדבר על מקס </w:t>
      </w:r>
      <w:proofErr w:type="spellStart"/>
      <w:r>
        <w:t>ליליינטל</w:t>
      </w:r>
      <w:proofErr w:type="spellEnd"/>
      <w:r>
        <w:t xml:space="preserve"> – כיצד השיג </w:t>
      </w:r>
      <w:proofErr w:type="spellStart"/>
      <w:r>
        <w:t>ליליינטל</w:t>
      </w:r>
      <w:proofErr w:type="spellEnd"/>
      <w:r>
        <w:t xml:space="preserve"> את המינוי בריגה – משרד ההשכלה הרוסי מטיל עליו שליחות</w:t>
      </w:r>
    </w:p>
    <w:p w14:paraId="67A22131" w14:textId="77777777" w:rsidR="00AB3647" w:rsidRDefault="00000000" w:rsidP="007923E9">
      <w:pPr>
        <w:spacing w:after="120" w:line="276" w:lineRule="auto"/>
        <w:ind w:firstLine="283"/>
        <w:jc w:val="both"/>
      </w:pPr>
      <w:r>
        <w:rPr>
          <w:rtl/>
        </w:rPr>
        <w:t xml:space="preserve">בפלורידה, בשנת תשכ״ו, ביקר אבי עם ר׳ אשר </w:t>
      </w:r>
      <w:proofErr w:type="spellStart"/>
      <w:r>
        <w:rPr>
          <w:rtl/>
        </w:rPr>
        <w:t>קצמן</w:t>
      </w:r>
      <w:bookmarkStart w:id="1238" w:name="_fnr735"/>
      <w:proofErr w:type="spellEnd"/>
      <w:r>
        <w:rPr>
          <w:rStyle w:val="a5"/>
        </w:rPr>
        <w:footnoteReference w:id="735" w:customMarkFollows="0"/>
      </w:r>
      <w:bookmarkEnd w:id="1238"/>
      <w:r>
        <w:rPr>
          <w:rtl/>
        </w:rPr>
        <w:t xml:space="preserve"> אצל האדמו״ר </w:t>
      </w:r>
      <w:proofErr w:type="spellStart"/>
      <w:r>
        <w:rPr>
          <w:rtl/>
        </w:rPr>
        <w:t>מבויאן</w:t>
      </w:r>
      <w:proofErr w:type="spellEnd"/>
      <w:r>
        <w:rPr>
          <w:rtl/>
        </w:rPr>
        <w:t xml:space="preserve">, ר׳ </w:t>
      </w:r>
      <w:proofErr w:type="spellStart"/>
      <w:r>
        <w:rPr>
          <w:rtl/>
        </w:rPr>
        <w:t>מרדכי־שלמה</w:t>
      </w:r>
      <w:proofErr w:type="spellEnd"/>
      <w:r>
        <w:rPr>
          <w:rtl/>
        </w:rPr>
        <w:t xml:space="preserve"> פרידמן, וגילה שם דבר חדש על ד״ר מקס </w:t>
      </w:r>
      <w:proofErr w:type="spellStart"/>
      <w:r>
        <w:rPr>
          <w:rtl/>
        </w:rPr>
        <w:t>ליליינטל</w:t>
      </w:r>
      <w:proofErr w:type="spellEnd"/>
      <w:r>
        <w:rPr>
          <w:rtl/>
        </w:rPr>
        <w:t>.</w:t>
      </w:r>
      <w:bookmarkStart w:id="1239" w:name="_fnr736"/>
      <w:r>
        <w:rPr>
          <w:rStyle w:val="a5"/>
        </w:rPr>
        <w:footnoteReference w:id="736" w:customMarkFollows="0"/>
      </w:r>
      <w:bookmarkEnd w:id="1239"/>
      <w:r>
        <w:rPr>
          <w:rtl/>
        </w:rPr>
        <w:t xml:space="preserve"> וכך אמר: “כאשר ד״ר מקס </w:t>
      </w:r>
      <w:proofErr w:type="spellStart"/>
      <w:r>
        <w:rPr>
          <w:rtl/>
        </w:rPr>
        <w:t>ליליינטל</w:t>
      </w:r>
      <w:proofErr w:type="spellEnd"/>
      <w:r>
        <w:rPr>
          <w:rtl/>
        </w:rPr>
        <w:t xml:space="preserve">, מקורב למלכות, הציע שהישיבות יוסיפו לתוכניתן שעתיים של לימודי חול, קם רב זקן” – אבי לא נקב בשמו – “ואמר: ‘אלף שנה לא היה לנו דבר כזה, ואין לנו צורך </w:t>
      </w:r>
      <w:proofErr w:type="spellStart"/>
      <w:r>
        <w:rPr>
          <w:rtl/>
        </w:rPr>
        <w:t>בנייע</w:t>
      </w:r>
      <w:proofErr w:type="spellEnd"/>
      <w:r>
        <w:rPr>
          <w:rtl/>
        </w:rPr>
        <w:t xml:space="preserve"> מנהגים [מנהגים חדשים]’.” ייתכן שהרב הזקן לא היה אלא מרא דאתרא של מינסק בשעת פלישתו של </w:t>
      </w:r>
      <w:proofErr w:type="spellStart"/>
      <w:r>
        <w:rPr>
          <w:rtl/>
        </w:rPr>
        <w:t>ליליינטל</w:t>
      </w:r>
      <w:proofErr w:type="spellEnd"/>
      <w:r>
        <w:rPr>
          <w:rtl/>
        </w:rPr>
        <w:t xml:space="preserve">, ר׳ לייב </w:t>
      </w:r>
      <w:proofErr w:type="spellStart"/>
      <w:r>
        <w:rPr>
          <w:rtl/>
        </w:rPr>
        <w:t>דבוטין</w:t>
      </w:r>
      <w:proofErr w:type="spellEnd"/>
      <w:r>
        <w:rPr>
          <w:rtl/>
        </w:rPr>
        <w:t xml:space="preserve">, שכיהן </w:t>
      </w:r>
      <w:proofErr w:type="spellStart"/>
      <w:r>
        <w:rPr>
          <w:rtl/>
        </w:rPr>
        <w:t>מתקצ״ו</w:t>
      </w:r>
      <w:proofErr w:type="spellEnd"/>
      <w:r>
        <w:rPr>
          <w:rtl/>
        </w:rPr>
        <w:t xml:space="preserve">. בשנת תר״ט, מחמת זקנה, מסר את כס הרבנות לממלא מקומו, ר׳ </w:t>
      </w:r>
      <w:proofErr w:type="spellStart"/>
      <w:r>
        <w:rPr>
          <w:rtl/>
        </w:rPr>
        <w:t>דוד־טעביל</w:t>
      </w:r>
      <w:proofErr w:type="spellEnd"/>
      <w:r>
        <w:rPr>
          <w:rtl/>
        </w:rPr>
        <w:t>.</w:t>
      </w:r>
      <w:bookmarkStart w:id="1240" w:name="_fnr737"/>
      <w:r>
        <w:rPr>
          <w:rStyle w:val="a5"/>
        </w:rPr>
        <w:footnoteReference w:id="737" w:customMarkFollows="0"/>
      </w:r>
      <w:bookmarkEnd w:id="1240"/>
    </w:p>
    <w:p w14:paraId="51E051A1" w14:textId="77777777" w:rsidR="00AB3647" w:rsidRDefault="00000000" w:rsidP="007923E9">
      <w:pPr>
        <w:spacing w:after="120" w:line="276" w:lineRule="auto"/>
        <w:ind w:firstLine="283"/>
        <w:jc w:val="both"/>
      </w:pPr>
      <w:r>
        <w:rPr>
          <w:rtl/>
        </w:rPr>
        <w:t xml:space="preserve">את ראשית פרשת </w:t>
      </w:r>
      <w:proofErr w:type="spellStart"/>
      <w:r>
        <w:rPr>
          <w:rtl/>
        </w:rPr>
        <w:t>ליליינטל</w:t>
      </w:r>
      <w:proofErr w:type="spellEnd"/>
      <w:r>
        <w:rPr>
          <w:rtl/>
        </w:rPr>
        <w:t xml:space="preserve"> אפשר למצוא </w:t>
      </w:r>
      <w:proofErr w:type="spellStart"/>
      <w:r>
        <w:rPr>
          <w:rtl/>
        </w:rPr>
        <w:t>ב“מקור</w:t>
      </w:r>
      <w:proofErr w:type="spellEnd"/>
      <w:r>
        <w:rPr>
          <w:rtl/>
        </w:rPr>
        <w:t xml:space="preserve"> ברוך”</w:t>
      </w:r>
      <w:bookmarkStart w:id="1241" w:name="_fnr738"/>
      <w:r>
        <w:rPr>
          <w:rStyle w:val="a5"/>
        </w:rPr>
        <w:footnoteReference w:id="738" w:customMarkFollows="0"/>
      </w:r>
      <w:bookmarkEnd w:id="1241"/>
      <w:r>
        <w:rPr>
          <w:rtl/>
        </w:rPr>
        <w:t xml:space="preserve"> מאת ברוך הלוי אפשטיין. הוא מספר</w:t>
      </w:r>
      <w:bookmarkStart w:id="1242" w:name="_fnr739"/>
      <w:r>
        <w:rPr>
          <w:rStyle w:val="a5"/>
        </w:rPr>
        <w:footnoteReference w:id="739" w:customMarkFollows="0"/>
      </w:r>
      <w:bookmarkEnd w:id="1242"/>
      <w:r>
        <w:rPr>
          <w:rtl/>
        </w:rPr>
        <w:t xml:space="preserve"> שמקס </w:t>
      </w:r>
      <w:proofErr w:type="spellStart"/>
      <w:r>
        <w:rPr>
          <w:rtl/>
        </w:rPr>
        <w:t>ליליינטל</w:t>
      </w:r>
      <w:proofErr w:type="spellEnd"/>
      <w:r>
        <w:rPr>
          <w:rtl/>
        </w:rPr>
        <w:t xml:space="preserve"> הכיר בני משפחת המלוכה הרוסית שלמדו במינכן, והם ביקשו מחתן הצאר, </w:t>
      </w:r>
      <w:proofErr w:type="spellStart"/>
      <w:r>
        <w:rPr>
          <w:rtl/>
        </w:rPr>
        <w:t>מקסימיליאן</w:t>
      </w:r>
      <w:proofErr w:type="spellEnd"/>
      <w:r>
        <w:rPr>
          <w:rtl/>
        </w:rPr>
        <w:t xml:space="preserve">, דוכס </w:t>
      </w:r>
      <w:proofErr w:type="spellStart"/>
      <w:r>
        <w:rPr>
          <w:rtl/>
        </w:rPr>
        <w:t>לויכטנברג</w:t>
      </w:r>
      <w:proofErr w:type="spellEnd"/>
      <w:r>
        <w:rPr>
          <w:rtl/>
        </w:rPr>
        <w:t xml:space="preserve"> מבוואריה, לכתוב מכתב המלצה על ליליינטל</w:t>
      </w:r>
      <w:proofErr w:type="spellStart"/>
      <w:r>
        <w:rPr>
          <w:rtl/>
        </w:rPr>
        <w:t xml:space="preserve"/>
      </w:r>
      <w:proofErr w:type="spellEnd"/>
      <w:r>
        <w:rPr>
          <w:rtl/>
        </w:rPr>
        <w:t xml:space="preserve"> אל פקידים בבירת רוסיה, </w:t>
      </w:r>
      <w:proofErr w:type="spellStart"/>
      <w:r>
        <w:rPr>
          <w:rtl/>
        </w:rPr>
        <w:t>סנקט</w:t>
      </w:r>
      <w:proofErr w:type="spellEnd"/>
      <w:r>
        <w:rPr>
          <w:rtl/>
        </w:rPr>
        <w:t xml:space="preserve"> פטרבורג. ברוסיה הצארית הרודנית סלל מכתב כזה את הדרך למינוי כשתיקרה ההזדמנות.</w:t>
      </w:r>
    </w:p>
    <w:p w14:paraId="25A87EDB" w14:textId="77777777" w:rsidR="00AB3647" w:rsidRDefault="00000000" w:rsidP="007923E9">
      <w:pPr>
        <w:spacing w:after="120" w:line="276" w:lineRule="auto"/>
        <w:ind w:firstLine="283"/>
        <w:jc w:val="both"/>
      </w:pPr>
      <w:r>
        <w:rPr>
          <w:rtl/>
        </w:rPr>
        <w:t>“הצאר ניקולאי הראשון והיהודים”, מאת מיכאל סטניסלבסקי,</w:t>
      </w:r>
      <w:bookmarkStart w:id="1243" w:name="_fnr740"/>
      <w:r>
        <w:rPr>
          <w:rStyle w:val="a5"/>
        </w:rPr>
        <w:footnoteReference w:id="740" w:customMarkFollows="0"/>
      </w:r>
      <w:bookmarkEnd w:id="1243"/>
      <w:r>
        <w:rPr>
          <w:rtl/>
        </w:rPr>
        <w:t xml:space="preserve"> מגלה </w:t>
      </w:r>
      <w:proofErr w:type="spellStart"/>
      <w:r>
        <w:rPr>
          <w:rtl/>
        </w:rPr>
        <w:t>שליליינטל</w:t>
      </w:r>
      <w:proofErr w:type="spellEnd"/>
      <w:r>
        <w:rPr>
          <w:rtl/>
        </w:rPr>
        <w:t xml:space="preserve"> “ביקש להתמנות לרב בכמה קהילות אך נדחה בגלל אהדתו הידועה לזרם הרפורמה, (שהיה) אז שנוא </w:t>
      </w:r>
      <w:r>
        <w:rPr>
          <w:rtl/>
        </w:rPr>
        <w:lastRenderedPageBreak/>
        <w:t>על השלטונות בבוואריה”,</w:t>
      </w:r>
      <w:bookmarkStart w:id="1244" w:name="_fnr741"/>
      <w:r>
        <w:rPr>
          <w:rStyle w:val="a5"/>
        </w:rPr>
        <w:footnoteReference w:id="741" w:customMarkFollows="0"/>
      </w:r>
      <w:bookmarkEnd w:id="1244"/>
      <w:r>
        <w:rPr>
          <w:rtl/>
        </w:rPr>
        <w:t xml:space="preserve"> ובבוא העת נעשה מנהל בית ספר יהודי בריגה, שהייתה אז חלק מרוסיה, בשנת תקצ״ח</w:t>
      </w:r>
      <w:bookmarkStart w:id="1245" w:name="_fnr742"/>
      <w:bookmarkEnd w:id="1245"/>
      <w:r>
        <w:rPr>
          <w:rStyle w:val="a5"/>
        </w:rPr>
        <w:t/>
      </w:r>
      <w:bookmarkStart w:id="7001" w:name="_TranslatorNote_5372"/>
      <w:r>
        <w:rPr>
          <w:rStyle w:val="a5"/>
          <w:vertAlign w:val="superscript"/>
          <w:rtl/>
        </w:rPr>
        <w:footnoteReference w:id="742" w:customMarkFollows="1"/>
        <w:t>*</w:t>
      </w:r>
      <w:bookmarkEnd w:id="7001"/>
      <w:r>
        <w:rPr>
          <w:rtl/>
        </w:rPr>
        <w:t>.</w:t>
      </w:r>
      <w:bookmarkStart w:id="1246" w:name="_fnr743"/>
      <w:r>
        <w:rPr>
          <w:rStyle w:val="a5"/>
        </w:rPr>
        <w:footnoteReference w:id="743" w:customMarkFollows="0"/>
      </w:r>
      <w:bookmarkEnd w:id="1246"/>
      <w:r>
        <w:rPr>
          <w:rtl/>
        </w:rPr>
        <w:t xml:space="preserve"> לפי אנציקלופדיה יודאיקה</w:t>
      </w:r>
      <w:bookmarkStart w:id="1247" w:name="_fnr744"/>
      <w:r>
        <w:rPr>
          <w:rStyle w:val="a5"/>
        </w:rPr>
        <w:footnoteReference w:id="744" w:customMarkFollows="0"/>
      </w:r>
      <w:bookmarkEnd w:id="1247"/>
      <w:r>
        <w:rPr>
          <w:rtl/>
        </w:rPr>
        <w:t xml:space="preserve"> דרש גם בגרמנית בבית הכנסת של ריגה. למשרה המליץ עליו לודוויג </w:t>
      </w:r>
      <w:proofErr w:type="spellStart"/>
      <w:r>
        <w:rPr>
          <w:rtl/>
        </w:rPr>
        <w:t>פיליפסון</w:t>
      </w:r>
      <w:proofErr w:type="spellEnd"/>
      <w:r>
        <w:rPr>
          <w:rtl/>
        </w:rPr>
        <w:t xml:space="preserve"> (תקע״א–תרמ״ט), מייסדו ועורכו של </w:t>
      </w:r>
      <w:proofErr w:type="spellStart"/>
      <w:r>
        <w:rPr>
          <w:rtl/>
        </w:rPr>
        <w:t>האלגמיינע</w:t>
      </w:r>
      <w:proofErr w:type="spellEnd"/>
      <w:r>
        <w:rPr>
          <w:rtl/>
        </w:rPr>
        <w:t xml:space="preserve"> </w:t>
      </w:r>
      <w:proofErr w:type="spellStart"/>
      <w:r>
        <w:rPr>
          <w:rtl/>
        </w:rPr>
        <w:t>צייטונג</w:t>
      </w:r>
      <w:proofErr w:type="spellEnd"/>
      <w:r>
        <w:rPr>
          <w:rtl/>
        </w:rPr>
        <w:t xml:space="preserve"> </w:t>
      </w:r>
      <w:proofErr w:type="spellStart"/>
      <w:r>
        <w:rPr>
          <w:rtl/>
        </w:rPr>
        <w:t>דעס</w:t>
      </w:r>
      <w:proofErr w:type="spellEnd"/>
      <w:r>
        <w:rPr>
          <w:rtl/>
        </w:rPr>
        <w:t xml:space="preserve"> </w:t>
      </w:r>
      <w:proofErr w:type="spellStart"/>
      <w:r>
        <w:rPr>
          <w:rtl/>
        </w:rPr>
        <w:t>יודנטומס</w:t>
      </w:r>
      <w:proofErr w:type="spellEnd"/>
      <w:r>
        <w:rPr>
          <w:rtl/>
        </w:rPr>
        <w:t>.</w:t>
      </w:r>
      <w:bookmarkStart w:id="1248" w:name="_fnr745"/>
      <w:r>
        <w:rPr>
          <w:rStyle w:val="a5"/>
        </w:rPr>
        <w:footnoteReference w:id="745" w:customMarkFollows="0"/>
      </w:r>
      <w:bookmarkEnd w:id="1248"/>
      <w:bookmarkStart w:id="7002" w:name="_TranslatorNote_5373"/>
      <w:r>
        <w:rPr>
          <w:rStyle w:val="a5"/>
          <w:vertAlign w:val="superscript"/>
          <w:rtl/>
        </w:rPr>
        <w:footnoteReference w:id="746" w:customMarkFollows="1"/>
        <w:t>*</w:t>
      </w:r>
      <w:bookmarkEnd w:id="7002"/>
    </w:p>
    <w:p w14:paraId="4C176A94" w14:textId="77777777" w:rsidR="00AB3647" w:rsidRDefault="00000000" w:rsidP="007923E9">
      <w:pPr>
        <w:spacing w:after="120" w:line="276" w:lineRule="auto"/>
        <w:ind w:firstLine="283"/>
        <w:jc w:val="both"/>
      </w:pPr>
      <w:r>
        <w:rPr>
          <w:rtl/>
        </w:rPr>
        <w:t xml:space="preserve">בשנת תר״א הטיל השר </w:t>
      </w:r>
      <w:proofErr w:type="spellStart"/>
      <w:r>
        <w:rPr>
          <w:rtl/>
        </w:rPr>
        <w:t>אוברוב</w:t>
      </w:r>
      <w:proofErr w:type="spellEnd"/>
      <w:r>
        <w:rPr>
          <w:rtl/>
        </w:rPr>
        <w:t>, שלמד במערב אירופה ונחשב לאיש תרבות,</w:t>
      </w:r>
      <w:bookmarkStart w:id="1249" w:name="_fnr746"/>
      <w:r>
        <w:rPr>
          <w:rStyle w:val="a5"/>
        </w:rPr>
        <w:footnoteReference w:id="747" w:customMarkFollows="0"/>
      </w:r>
      <w:bookmarkEnd w:id="1249"/>
      <w:r>
        <w:rPr>
          <w:rtl/>
        </w:rPr>
        <w:t xml:space="preserve"> על </w:t>
      </w:r>
      <w:proofErr w:type="spellStart"/>
      <w:r>
        <w:rPr>
          <w:rtl/>
        </w:rPr>
        <w:t>ליליינטל</w:t>
      </w:r>
      <w:proofErr w:type="spellEnd"/>
      <w:r>
        <w:rPr>
          <w:rtl/>
        </w:rPr>
        <w:t xml:space="preserve"> לשכנע את הקהילות היהודיות להקים בתי ספר מודרניים. חוק שעמד בתוקף כמעט ארבעים שנה התיר לילדים יהודים ללמוד בבתי ספר לא יהודיים, אבל מעטים מאוד מן היהודים ניצלו אותו. השאלה שעמדה אז על הפרק הייתה אם אפשר לשנות את בתי הספר היהודיים מבפנים כך שיכללו לימודי חול.</w:t>
      </w:r>
    </w:p>
    <w:p w14:paraId="3960937F" w14:textId="77777777" w:rsidR="00AB3647" w:rsidRDefault="00000000" w:rsidP="007923E9">
      <w:pPr>
        <w:spacing w:after="120" w:line="276" w:lineRule="auto"/>
        <w:ind w:firstLine="283"/>
        <w:jc w:val="both"/>
      </w:pPr>
      <w:r>
        <w:rPr>
          <w:rtl/>
        </w:rPr>
        <w:t xml:space="preserve">ארבע שנים קודם לכן נצטוו הפקידים הרוסים הראשיים בפלכים שבהם ישבו יהודים – תחום המושב – להקים ועדות (של לא יהודים) שיגישו דוחות על מצב החינוך היהודי, וכך נעשתה הממשלה מעורבת בחיים היהודיים הפנימיים. תזכיר לצאר מאת הוועדה הממשלתית לענייני יהודים טען שלימוד התלמוד מזיק להיטמעות היהודים באוכלוסייה הרוסית, משום שהוא מעודד אותם לראות את עצמם תושבים ארעיים בגולה. </w:t>
      </w:r>
      <w:proofErr w:type="spellStart"/>
      <w:r>
        <w:rPr>
          <w:rtl/>
        </w:rPr>
        <w:t>אוברוב</w:t>
      </w:r>
      <w:proofErr w:type="spellEnd"/>
      <w:r>
        <w:rPr>
          <w:rtl/>
        </w:rPr>
        <w:t xml:space="preserve"> נשא נאום סודי לפני הוועדה, ובו אמר שמפתח הפתרון לשאלה היהודית טמון בחינוך “הנכון” של הנוער היהודי, שיסיט את תשומת לבו מן התלמוד אל המקרא והלשון יחד עם מקצועות החול.</w:t>
      </w:r>
      <w:bookmarkStart w:id="1250" w:name="_fnr747"/>
      <w:r>
        <w:rPr>
          <w:rStyle w:val="a5"/>
        </w:rPr>
        <w:footnoteReference w:id="748" w:customMarkFollows="0"/>
      </w:r>
      <w:bookmarkEnd w:id="1250"/>
      <w:r>
        <w:rPr>
          <w:rtl/>
        </w:rPr>
        <w:t xml:space="preserve"> </w:t>
      </w:r>
      <w:proofErr w:type="spellStart"/>
      <w:r>
        <w:rPr>
          <w:rtl/>
        </w:rPr>
        <w:t>ליליינטל</w:t>
      </w:r>
      <w:proofErr w:type="spellEnd"/>
      <w:r>
        <w:rPr>
          <w:rtl/>
        </w:rPr>
        <w:t xml:space="preserve"> הוא שהחדיר </w:t>
      </w:r>
      <w:proofErr w:type="spellStart"/>
      <w:r>
        <w:rPr>
          <w:rtl/>
        </w:rPr>
        <w:t>באוברוב</w:t>
      </w:r>
      <w:proofErr w:type="spellEnd"/>
      <w:r>
        <w:rPr>
          <w:rtl/>
        </w:rPr>
        <w:t xml:space="preserve"> את הרעיון שיש לבטל את “הבלעדיות” של התלמוד בחינוך היהודי.</w:t>
      </w:r>
      <w:bookmarkStart w:id="1251" w:name="_fnr748"/>
      <w:r>
        <w:rPr>
          <w:rStyle w:val="a5"/>
        </w:rPr>
        <w:footnoteReference w:id="749" w:customMarkFollows="0"/>
      </w:r>
      <w:bookmarkEnd w:id="1251"/>
    </w:p>
    <w:p w14:paraId="49073FE9" w14:textId="77777777" w:rsidR="00AB3647" w:rsidRDefault="00000000" w:rsidP="007923E9">
      <w:pPr>
        <w:spacing w:after="120" w:line="276" w:lineRule="auto"/>
        <w:ind w:firstLine="283"/>
        <w:jc w:val="both"/>
      </w:pPr>
      <w:r>
        <w:rPr>
          <w:rtl/>
        </w:rPr>
        <w:t xml:space="preserve">ברור שהפקידים הרוסים חזרו על מה ששמעו על התלמוד מפי המשכילים. ואכן, תזכיר המובא </w:t>
      </w:r>
      <w:proofErr w:type="spellStart"/>
      <w:r>
        <w:rPr>
          <w:rtl/>
        </w:rPr>
        <w:t>ב“זכרון</w:t>
      </w:r>
      <w:proofErr w:type="spellEnd"/>
      <w:r>
        <w:rPr>
          <w:rtl/>
        </w:rPr>
        <w:t xml:space="preserve"> יעקב”, כרך 2,</w:t>
      </w:r>
      <w:bookmarkStart w:id="1252" w:name="_fnr749"/>
      <w:r>
        <w:rPr>
          <w:rStyle w:val="a5"/>
        </w:rPr>
        <w:footnoteReference w:id="750" w:customMarkFollows="0"/>
      </w:r>
      <w:bookmarkEnd w:id="1252"/>
      <w:r>
        <w:rPr>
          <w:rtl/>
        </w:rPr>
        <w:t xml:space="preserve"> ששלחו מהגרים יהודים מרוסיה לאנגליה עשרות שנים </w:t>
      </w:r>
      <w:r>
        <w:rPr>
          <w:rtl/>
        </w:rPr>
        <w:lastRenderedPageBreak/>
        <w:t xml:space="preserve">לאחר מכן, בשנת תרמ״ב, אל </w:t>
      </w:r>
      <w:proofErr w:type="spellStart"/>
      <w:r>
        <w:rPr>
          <w:rtl/>
        </w:rPr>
        <w:t>הפרוקורור</w:t>
      </w:r>
      <w:proofErr w:type="spellEnd"/>
      <w:r>
        <w:rPr>
          <w:rtl/>
        </w:rPr>
        <w:t xml:space="preserve"> של </w:t>
      </w:r>
      <w:proofErr w:type="spellStart"/>
      <w:r>
        <w:rPr>
          <w:rtl/>
        </w:rPr>
        <w:t>הסינוד</w:t>
      </w:r>
      <w:proofErr w:type="spellEnd"/>
      <w:r>
        <w:rPr>
          <w:rtl/>
        </w:rPr>
        <w:t xml:space="preserve"> הקדוש של רוסיה, ק״פ </w:t>
      </w:r>
      <w:proofErr w:type="spellStart"/>
      <w:r>
        <w:rPr>
          <w:rtl/>
        </w:rPr>
        <w:t>פובדונוסצב</w:t>
      </w:r>
      <w:proofErr w:type="spellEnd"/>
      <w:r>
        <w:rPr>
          <w:rtl/>
        </w:rPr>
        <w:t xml:space="preserve">, מאשים בגלוי את “המשכילים הגרמנים” שהרעילו ארבעים שנה קודם לכן את דעתו של השר </w:t>
      </w:r>
      <w:proofErr w:type="spellStart"/>
      <w:r>
        <w:rPr>
          <w:rtl/>
        </w:rPr>
        <w:t>אוברוב</w:t>
      </w:r>
      <w:proofErr w:type="spellEnd"/>
      <w:r>
        <w:rPr>
          <w:rtl/>
        </w:rPr>
        <w:t xml:space="preserve"> נגד התלמוד, “שבלעדיו אי אפשר לקיומה של האמונה העברית”. לפי התזכיר גרמו המשכילים בהרעלה זו לצמיחתו של דור צעיר “המצטיין בכפירה”, שהיה תועבה גם בעיני הכנסייה הרוסית.</w:t>
      </w:r>
    </w:p>
    <w:p w14:paraId="362BA024" w14:textId="77777777" w:rsidR="00AB3647" w:rsidRDefault="00000000" w:rsidP="007923E9">
      <w:pPr>
        <w:pStyle w:val="4"/>
        <w:spacing w:line="276" w:lineRule="auto"/>
      </w:pPr>
      <w:r>
        <w:t>· הפסקה החמישית ·</w:t>
      </w:r>
    </w:p>
    <w:p w14:paraId="42AB5E65" w14:textId="77777777" w:rsidR="00AB3647" w:rsidRDefault="00000000" w:rsidP="007923E9">
      <w:pPr>
        <w:pStyle w:val="5"/>
        <w:spacing w:line="276" w:lineRule="auto"/>
      </w:pPr>
      <w:proofErr w:type="spellStart"/>
      <w:r>
        <w:t>ליליינטל</w:t>
      </w:r>
      <w:proofErr w:type="spellEnd"/>
      <w:r>
        <w:t xml:space="preserve"> זר בווילנה – הוא מעמיד פנים שאינו אלא משיא עצות טובות – מבקרים אותו על שהוא מנסה לחולל שינוי בחברה שאינו מכיר</w:t>
      </w:r>
    </w:p>
    <w:p w14:paraId="43510FF3" w14:textId="77777777" w:rsidR="00AB3647" w:rsidRDefault="00000000" w:rsidP="007923E9">
      <w:pPr>
        <w:spacing w:after="120" w:line="276" w:lineRule="auto"/>
        <w:ind w:firstLine="283"/>
        <w:jc w:val="both"/>
      </w:pPr>
      <w:r>
        <w:rPr>
          <w:rtl/>
        </w:rPr>
        <w:t xml:space="preserve">ד״ר </w:t>
      </w:r>
      <w:proofErr w:type="spellStart"/>
      <w:r>
        <w:rPr>
          <w:rtl/>
        </w:rPr>
        <w:t>ליליינטל</w:t>
      </w:r>
      <w:proofErr w:type="spellEnd"/>
      <w:r>
        <w:rPr>
          <w:rtl/>
        </w:rPr>
        <w:t xml:space="preserve"> נסע תחילה לווילנה, ואחר כך לערים אחרות שבהן אוכלוסייה יהודית ניכרת, כדי להיפגש עם ראשי הקהילות ולשכנע אותם לתמוך בשינוי תוכנית הלימודים בבתי הספר היהודיים. בפגישותיו עם ראשי יהודי וילנה הבטיח להם שהקמת בתי ספר מודרניים לא תפגע כלל בדת היהודית, ושמטרתם היחידה היא לתת לילדי ישראל השכלה רחבה יותר, כדי שיצליחו יותר כשיגדלו. אבל לא האמינו לו.</w:t>
      </w:r>
    </w:p>
    <w:p w14:paraId="17DDAD27" w14:textId="77777777" w:rsidR="00AB3647" w:rsidRDefault="00000000" w:rsidP="007923E9">
      <w:pPr>
        <w:spacing w:after="120" w:line="276" w:lineRule="auto"/>
        <w:ind w:firstLine="283"/>
        <w:jc w:val="both"/>
      </w:pPr>
      <w:r>
        <w:rPr>
          <w:rtl/>
        </w:rPr>
        <w:t>סטניסלבסקי אומר:</w:t>
      </w:r>
      <w:bookmarkStart w:id="1253" w:name="_fnr750"/>
      <w:r>
        <w:rPr>
          <w:rStyle w:val="a5"/>
        </w:rPr>
        <w:footnoteReference w:id="751" w:customMarkFollows="0"/>
      </w:r>
      <w:bookmarkEnd w:id="1253"/>
      <w:r>
        <w:rPr>
          <w:rtl/>
        </w:rPr>
        <w:t xml:space="preserve"> “כהד לדברי נפוליאון כשנכנס לווילנה ביום שישי אחר הצהריים בשנת 1812, ‘רבותיי, נדמה לי שאנו בירושלים’, כתב </w:t>
      </w:r>
      <w:proofErr w:type="spellStart"/>
      <w:r>
        <w:rPr>
          <w:rtl/>
        </w:rPr>
        <w:t>ליליינטל</w:t>
      </w:r>
      <w:proofErr w:type="spellEnd"/>
      <w:r>
        <w:rPr>
          <w:rtl/>
        </w:rPr>
        <w:t xml:space="preserve"> [ביומנו]: ‘מעולם לא ראיתי מספר כה גדול של יהודים, כמעט בלי שום נוצרים. לאן שהבטתי, מכל פינה, מכל בית, יצאו יהודים, מהם חוזרים מבית המדרש עם טלית ותפילין, ומהם ממהרים לעסקיהם... בבואי מגרמניה, שבה היהודים מיעוט בכל הערים הגדולות... לא ידעתי מה לחשוב על כוורת היהודים השוקקת הזאת. גם אני חשבתי שאני בארץ ישראל ולא ברוסיה...’”</w:t>
      </w:r>
    </w:p>
    <w:p w14:paraId="2E487CC6" w14:textId="77777777" w:rsidR="00AB3647" w:rsidRDefault="00000000" w:rsidP="007923E9">
      <w:pPr>
        <w:spacing w:after="120" w:line="276" w:lineRule="auto"/>
        <w:ind w:firstLine="283"/>
        <w:jc w:val="both"/>
      </w:pPr>
      <w:r>
        <w:rPr>
          <w:rtl/>
        </w:rPr>
        <w:t xml:space="preserve">ביקורו הראשון בווילנה היה כשנסע לשם בהוראת </w:t>
      </w:r>
      <w:proofErr w:type="spellStart"/>
      <w:r>
        <w:rPr>
          <w:rtl/>
        </w:rPr>
        <w:t>אוברוב</w:t>
      </w:r>
      <w:proofErr w:type="spellEnd"/>
      <w:r>
        <w:rPr>
          <w:rtl/>
        </w:rPr>
        <w:t xml:space="preserve"> לסייע למשכיל הוילנאי ניסן רוזנטל, שביקש אישור ממשלתי להקים שם בית ספר מודרני. רוזנטל נטל את היוזמה אחרי שהוועדה המקומית (הלא יהודית) עודדה אותו לכך. רק לאחר מכן קיבל </w:t>
      </w:r>
      <w:proofErr w:type="spellStart"/>
      <w:r>
        <w:rPr>
          <w:rtl/>
        </w:rPr>
        <w:t>ליליינטל</w:t>
      </w:r>
      <w:proofErr w:type="spellEnd"/>
      <w:r>
        <w:rPr>
          <w:rtl/>
        </w:rPr>
        <w:t xml:space="preserve"> על עצמו משימה שאפתנית יותר: לשכנע ראשי ציבור אחרים, בווילנה ובערים אחרות, שלא הביעו עניין כזה, לנהוג כמותו. לפני ראשי וילנה הציג את עצמו כמי שרק מייעץ להם ליצור תוכנית מודרניזציה משלהם, שאם לא כן יעוררו את חמת הממשלה, והיא תפתח בתוכניות משלה, רפורמיות יותר, לבתי הספר היהודיים.</w:t>
      </w:r>
    </w:p>
    <w:p w14:paraId="2DE775F9" w14:textId="77777777" w:rsidR="00AB3647" w:rsidRDefault="00000000" w:rsidP="007923E9">
      <w:pPr>
        <w:spacing w:after="120" w:line="276" w:lineRule="auto"/>
        <w:ind w:firstLine="283"/>
        <w:jc w:val="both"/>
      </w:pPr>
      <w:r>
        <w:rPr>
          <w:rtl/>
        </w:rPr>
        <w:t>סטניסלבסקי קובע:</w:t>
      </w:r>
      <w:bookmarkStart w:id="1254" w:name="_fnr751"/>
      <w:r>
        <w:rPr>
          <w:rStyle w:val="a5"/>
        </w:rPr>
        <w:footnoteReference w:id="752" w:customMarkFollows="0"/>
      </w:r>
      <w:bookmarkEnd w:id="1254"/>
      <w:r>
        <w:rPr>
          <w:rtl/>
        </w:rPr>
        <w:t xml:space="preserve"> “</w:t>
      </w:r>
      <w:proofErr w:type="spellStart"/>
      <w:r>
        <w:rPr>
          <w:rtl/>
        </w:rPr>
        <w:t>אי־היכרותו</w:t>
      </w:r>
      <w:proofErr w:type="spellEnd"/>
      <w:r>
        <w:rPr>
          <w:rtl/>
        </w:rPr>
        <w:t xml:space="preserve"> עם [יהדות] רוסיה לא מנעה </w:t>
      </w:r>
      <w:proofErr w:type="spellStart"/>
      <w:r>
        <w:rPr>
          <w:rtl/>
        </w:rPr>
        <w:t>מליליינטל</w:t>
      </w:r>
      <w:proofErr w:type="spellEnd"/>
      <w:r>
        <w:rPr>
          <w:rtl/>
        </w:rPr>
        <w:t xml:space="preserve"> להורות [לה] כיצד לתקן את חייה. זקני [וילנה]... ניסו לשכנע אותו שכזר אינו מבין... את המניעים האמיתיים – כלומר, המיסיונריים – של המשטר.” עוד אומר סטניסלבסקי</w:t>
      </w:r>
      <w:bookmarkStart w:id="1255" w:name="_fnr752"/>
      <w:r>
        <w:rPr>
          <w:rStyle w:val="a5"/>
        </w:rPr>
        <w:footnoteReference w:id="753" w:customMarkFollows="0"/>
      </w:r>
      <w:bookmarkEnd w:id="1255"/>
      <w:r>
        <w:rPr>
          <w:rtl/>
        </w:rPr>
        <w:t xml:space="preserve"> שאפילו המשכילים “שתמכו לגמרי במדיניות הממשלה של ‘השכלה מלמעלה’ (קרי: ‘השכלה’ בכפייה)” רטנו על כך </w:t>
      </w:r>
      <w:proofErr w:type="spellStart"/>
      <w:r>
        <w:rPr>
          <w:rtl/>
        </w:rPr>
        <w:t>שליליינטל</w:t>
      </w:r>
      <w:proofErr w:type="spellEnd"/>
      <w:r>
        <w:rPr>
          <w:rtl/>
        </w:rPr>
        <w:t xml:space="preserve"> עשוי מחומר אחר.</w:t>
      </w:r>
    </w:p>
    <w:p w14:paraId="23A59438" w14:textId="77777777" w:rsidR="00AB3647" w:rsidRDefault="00000000" w:rsidP="007923E9">
      <w:pPr>
        <w:spacing w:after="120" w:line="276" w:lineRule="auto"/>
        <w:ind w:firstLine="283"/>
        <w:jc w:val="both"/>
      </w:pPr>
      <w:proofErr w:type="spellStart"/>
      <w:r>
        <w:rPr>
          <w:rtl/>
        </w:rPr>
        <w:lastRenderedPageBreak/>
        <w:t>מרדכי־אהרן</w:t>
      </w:r>
      <w:proofErr w:type="spellEnd"/>
      <w:r>
        <w:rPr>
          <w:rtl/>
        </w:rPr>
        <w:t xml:space="preserve"> </w:t>
      </w:r>
      <w:proofErr w:type="spellStart"/>
      <w:r>
        <w:rPr>
          <w:rtl/>
        </w:rPr>
        <w:t>גינצבורג</w:t>
      </w:r>
      <w:proofErr w:type="spellEnd"/>
      <w:r>
        <w:rPr>
          <w:rtl/>
        </w:rPr>
        <w:t xml:space="preserve"> מווילנה כתב בשנת תר״ג בחוברת בשם “מגיד אמת”</w:t>
      </w:r>
      <w:bookmarkStart w:id="1256" w:name="_fnr753"/>
      <w:r>
        <w:rPr>
          <w:rStyle w:val="a5"/>
        </w:rPr>
        <w:footnoteReference w:id="754" w:customMarkFollows="0"/>
      </w:r>
      <w:bookmarkEnd w:id="1256"/>
      <w:r>
        <w:rPr>
          <w:rtl/>
        </w:rPr>
        <w:t xml:space="preserve">: “ה׳ ברחמיו יסלח לאחינו הגרמנים, כי רבניהם עברו על חוקי התורה כשם שעברו יושבי פולין [רוסיה] על חוקי החכמה בגלל רבניהם הזקנים. לא זה האיש שאנו צריכים לו; הוא יודע תורה פחות מתלמידים צעירים, ואף ידיעתו הפילוסופית אינה רבה.” בשל חריפות התקפתה על </w:t>
      </w:r>
      <w:proofErr w:type="spellStart"/>
      <w:r>
        <w:rPr>
          <w:rtl/>
        </w:rPr>
        <w:t>ליליינטל</w:t>
      </w:r>
      <w:proofErr w:type="spellEnd"/>
      <w:r>
        <w:rPr>
          <w:rtl/>
        </w:rPr>
        <w:t>, שליח הממשלה, לא יכלה החוברת לעבור את הצנזורה, ונאלצה לצאת לאור בשם בדוי בלייפציג שבגרמניה.</w:t>
      </w:r>
    </w:p>
    <w:p w14:paraId="2233FC1E" w14:textId="77777777" w:rsidR="00AB3647" w:rsidRDefault="00000000" w:rsidP="007923E9">
      <w:pPr>
        <w:spacing w:after="120" w:line="276" w:lineRule="auto"/>
        <w:ind w:firstLine="283"/>
        <w:jc w:val="both"/>
      </w:pPr>
      <w:r>
        <w:rPr>
          <w:rtl/>
        </w:rPr>
        <w:t xml:space="preserve">השווה גם מאמרו של דוד כהנא </w:t>
      </w:r>
      <w:proofErr w:type="spellStart"/>
      <w:r>
        <w:rPr>
          <w:rtl/>
        </w:rPr>
        <w:t>ב“השלח</w:t>
      </w:r>
      <w:proofErr w:type="spellEnd"/>
      <w:r>
        <w:rPr>
          <w:rtl/>
        </w:rPr>
        <w:t xml:space="preserve"> – ירחון לספרות למדע </w:t>
      </w:r>
      <w:proofErr w:type="spellStart"/>
      <w:r>
        <w:rPr>
          <w:rtl/>
        </w:rPr>
        <w:t>ולעניני</w:t>
      </w:r>
      <w:proofErr w:type="spellEnd"/>
      <w:r>
        <w:rPr>
          <w:rtl/>
        </w:rPr>
        <w:t xml:space="preserve"> החיים”,</w:t>
      </w:r>
      <w:bookmarkStart w:id="1257" w:name="_fnr754"/>
      <w:r>
        <w:rPr>
          <w:rStyle w:val="a5"/>
        </w:rPr>
        <w:footnoteReference w:id="755" w:customMarkFollows="0"/>
      </w:r>
      <w:bookmarkEnd w:id="1257"/>
      <w:r>
        <w:rPr>
          <w:rtl/>
        </w:rPr>
        <w:t xml:space="preserve"> ולפיו אמרו </w:t>
      </w:r>
      <w:proofErr w:type="spellStart"/>
      <w:r>
        <w:rPr>
          <w:rtl/>
        </w:rPr>
        <w:t>לליליינטל</w:t>
      </w:r>
      <w:proofErr w:type="spellEnd"/>
      <w:r>
        <w:rPr>
          <w:rtl/>
        </w:rPr>
        <w:t xml:space="preserve"> במסעו לאודסה אחרי </w:t>
      </w:r>
      <w:proofErr w:type="spellStart"/>
      <w:r>
        <w:rPr>
          <w:rtl/>
        </w:rPr>
        <w:t>וולוז׳ין</w:t>
      </w:r>
      <w:proofErr w:type="spellEnd"/>
      <w:r>
        <w:rPr>
          <w:rtl/>
        </w:rPr>
        <w:t xml:space="preserve"> (ראה הפסקה </w:t>
      </w:r>
      <w:proofErr w:type="spellStart"/>
      <w:r>
        <w:rPr>
          <w:rtl/>
        </w:rPr>
        <w:t>השתים־עשרה</w:t>
      </w:r>
      <w:proofErr w:type="spellEnd"/>
      <w:r>
        <w:rPr>
          <w:rtl/>
        </w:rPr>
        <w:t xml:space="preserve"> להלן): “אף אם יביאו רופא מומחה מחוץ לארץ וינסה לרפא את החולים כדרכו [בארצו], לא יצליח כל זמן שאינו מכיר את אקלים ארצנו.” והשווה גם “</w:t>
      </w:r>
      <w:proofErr w:type="spellStart"/>
      <w:r>
        <w:rPr>
          <w:rtl/>
        </w:rPr>
        <w:t>זכרון</w:t>
      </w:r>
      <w:proofErr w:type="spellEnd"/>
      <w:r>
        <w:rPr>
          <w:rtl/>
        </w:rPr>
        <w:t xml:space="preserve"> יעקב”,</w:t>
      </w:r>
      <w:bookmarkStart w:id="1258" w:name="_fnr755"/>
      <w:r>
        <w:rPr>
          <w:rStyle w:val="a5"/>
        </w:rPr>
        <w:footnoteReference w:id="756" w:customMarkFollows="0"/>
      </w:r>
      <w:bookmarkEnd w:id="1258"/>
      <w:r>
        <w:rPr>
          <w:rtl/>
        </w:rPr>
        <w:t xml:space="preserve"> ושם סיפר ר׳ חיים ברלין שבאחת משיחותיהם אמר ר׳ </w:t>
      </w:r>
      <w:proofErr w:type="spellStart"/>
      <w:r>
        <w:rPr>
          <w:rtl/>
        </w:rPr>
        <w:t>איצל׳ה</w:t>
      </w:r>
      <w:proofErr w:type="spellEnd"/>
      <w:r>
        <w:rPr>
          <w:rtl/>
        </w:rPr>
        <w:t xml:space="preserve"> </w:t>
      </w:r>
      <w:proofErr w:type="spellStart"/>
      <w:r>
        <w:rPr>
          <w:rtl/>
        </w:rPr>
        <w:t>מוולוז׳ין</w:t>
      </w:r>
      <w:proofErr w:type="spellEnd"/>
      <w:r>
        <w:rPr>
          <w:rtl/>
        </w:rPr>
        <w:t xml:space="preserve"> </w:t>
      </w:r>
      <w:proofErr w:type="spellStart"/>
      <w:r>
        <w:rPr>
          <w:rtl/>
        </w:rPr>
        <w:t>לליליינטל</w:t>
      </w:r>
      <w:proofErr w:type="spellEnd"/>
      <w:r>
        <w:rPr>
          <w:rtl/>
        </w:rPr>
        <w:t xml:space="preserve"> שאכן מוזר שהממשלה בחרה בזר, ביהודי, באלמוני, ובאדם צעיר (בן עשרים ושבע) ורווק (קרי: חסר שורשים) כדי לבצע רפורמה במערכת החינוך היהודית. “המוזרות הזאת לבדה די בה כדי לחשוד בממשלה שהיא משתמשת בו ככלי לביצוע מזימות זדוניות”, אמר ר׳ </w:t>
      </w:r>
      <w:proofErr w:type="spellStart"/>
      <w:r>
        <w:rPr>
          <w:rtl/>
        </w:rPr>
        <w:t>איצל׳ה</w:t>
      </w:r>
      <w:proofErr w:type="spellEnd"/>
      <w:r>
        <w:rPr>
          <w:rtl/>
        </w:rPr>
        <w:t>.</w:t>
      </w:r>
      <w:bookmarkStart w:id="1259" w:name="_fnr756"/>
      <w:r>
        <w:rPr>
          <w:rStyle w:val="a5"/>
        </w:rPr>
        <w:footnoteReference w:id="757" w:customMarkFollows="0"/>
      </w:r>
      <w:bookmarkEnd w:id="1259"/>
    </w:p>
    <w:p w14:paraId="3F5BC139" w14:textId="77777777" w:rsidR="00AB3647" w:rsidRDefault="00000000" w:rsidP="007923E9">
      <w:pPr>
        <w:pStyle w:val="4"/>
        <w:spacing w:line="276" w:lineRule="auto"/>
      </w:pPr>
      <w:r>
        <w:t>· הפסקה השישית ·</w:t>
      </w:r>
    </w:p>
    <w:p w14:paraId="3E1075A2" w14:textId="77777777" w:rsidR="00AB3647" w:rsidRDefault="00000000" w:rsidP="007923E9">
      <w:pPr>
        <w:pStyle w:val="5"/>
        <w:spacing w:line="276" w:lineRule="auto"/>
      </w:pPr>
      <w:proofErr w:type="spellStart"/>
      <w:r>
        <w:t>ליליינטל</w:t>
      </w:r>
      <w:proofErr w:type="spellEnd"/>
      <w:r>
        <w:t xml:space="preserve"> נשאל שאלות קשות בווילנה – המשכילים כופים את השקפותיהם על הרוב היהודי בעזרת קשריהם בממשלה – יהירותם מביאה אותם להלעיז על עמם – </w:t>
      </w:r>
      <w:proofErr w:type="spellStart"/>
      <w:r>
        <w:t>ליליינטל</w:t>
      </w:r>
      <w:proofErr w:type="spellEnd"/>
      <w:r>
        <w:t xml:space="preserve"> נאלץ לברוח ממינסק – הנאמנים מתלכדים בווילנה – הוא נתפס כמסוכן</w:t>
      </w:r>
    </w:p>
    <w:p w14:paraId="187D9E19"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בקהילות היהודיות, בחורף תר״ב, נתקל בהתנגדות עזה בכמה מן הערים שביקר בהן. “מקור ברוך”</w:t>
      </w:r>
      <w:bookmarkStart w:id="1260" w:name="_fnr757"/>
      <w:r>
        <w:rPr>
          <w:rStyle w:val="a5"/>
        </w:rPr>
        <w:footnoteReference w:id="758" w:customMarkFollows="0"/>
      </w:r>
      <w:bookmarkEnd w:id="1260"/>
      <w:r>
        <w:rPr>
          <w:rtl/>
        </w:rPr>
        <w:t xml:space="preserve"> מסכם כך את קבלת הפנים שזכה לה: “הוא ראה והרגיש... דחייה נחרצת ועקיצות חריפות הן מצד ראשי העם וזקניו הן מצד פשוטי העם.”</w:t>
      </w:r>
    </w:p>
    <w:p w14:paraId="2626DB2F" w14:textId="77777777" w:rsidR="00AB3647" w:rsidRDefault="00000000" w:rsidP="007923E9">
      <w:pPr>
        <w:spacing w:after="120" w:line="276" w:lineRule="auto"/>
        <w:ind w:firstLine="283"/>
        <w:jc w:val="both"/>
      </w:pPr>
      <w:r>
        <w:rPr>
          <w:rtl/>
        </w:rPr>
        <w:lastRenderedPageBreak/>
        <w:t xml:space="preserve">בווילנה</w:t>
      </w:r>
      <w:bookmarkStart w:id="1261" w:name="_fnr758"/>
      <w:r>
        <w:rPr>
          <w:rStyle w:val="a5"/>
        </w:rPr>
        <w:footnoteReference w:id="759" w:customMarkFollows="0"/>
      </w:r>
      <w:bookmarkEnd w:id="1261"/>
      <w:r>
        <w:rPr>
          <w:rtl/>
        </w:rPr>
        <w:t xml:space="preserve"> תמה ר׳ </w:t>
      </w:r>
      <w:proofErr w:type="spellStart"/>
      <w:r>
        <w:rPr>
          <w:rtl/>
        </w:rPr>
        <w:t>חיים־נחמן</w:t>
      </w:r>
      <w:proofErr w:type="spellEnd"/>
      <w:r>
        <w:rPr>
          <w:rtl/>
        </w:rPr>
        <w:t xml:space="preserve"> פרנס, מזקני הקהילה,</w:t>
      </w:r>
      <w:bookmarkStart w:id="1262" w:name="_fnr759"/>
      <w:r>
        <w:rPr>
          <w:rStyle w:val="a5"/>
        </w:rPr>
        <w:footnoteReference w:id="760" w:customMarkFollows="0"/>
      </w:r>
      <w:bookmarkEnd w:id="1262"/>
      <w:r>
        <w:rPr>
          <w:rtl/>
        </w:rPr>
        <w:t xml:space="preserve"> מדוע הממשלה מוטרדת מחינוך היהודים יותר מחינוך הגויים, בשעה שרוב התושבים הנוצרים ברוסיה אינם יודעים קרוא וכתוב, וכמעט כל היהודים יודעים. זקן אחר אמר שהיהודים עצמם יודעים שמערכת החינוך שלהם צריכה תיקון, אך טען שכשיקבלו חירות אזרחית רחבה יותר, יוכלו לעשות את התיקונים בלי עזרה מבחוץ. על הטענה השנייה השיב </w:t>
      </w:r>
      <w:proofErr w:type="spellStart"/>
      <w:r>
        <w:rPr>
          <w:rtl/>
        </w:rPr>
        <w:t>ליליינטל</w:t>
      </w:r>
      <w:proofErr w:type="spellEnd"/>
      <w:r>
        <w:rPr>
          <w:rtl/>
        </w:rPr>
        <w:t xml:space="preserve"> </w:t>
      </w:r>
      <w:proofErr w:type="spellStart"/>
      <w:r>
        <w:rPr>
          <w:rtl/>
        </w:rPr>
        <w:t>שאוברוב</w:t>
      </w:r>
      <w:proofErr w:type="spellEnd"/>
      <w:r>
        <w:rPr>
          <w:rtl/>
        </w:rPr>
        <w:t xml:space="preserve"> הבטיח: מיד כשיעשו היהודים את הצעד הראשון בהקמת בתי הספר בחסות הממשלה, תעשה הממשלה את הצעד הבא ותקל את העול הכבד מעל האזרחים היהודים, ובכך ייטב מצבם.</w:t>
      </w:r>
    </w:p>
    <w:p w14:paraId="3BB3531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חזר ואמר שאינו אלא מזהיר את הקהילה: אם יסרבו היהודים לעשות את תיקוניהם בעצמם, יעוררו את חמת הממשלה, ומצבם ילך ויחמיר. אנציקלופדיה יודאיקה כותבת: “פגישותיו של </w:t>
      </w:r>
      <w:proofErr w:type="spellStart"/>
      <w:r>
        <w:rPr>
          <w:rtl/>
        </w:rPr>
        <w:t>ליליינטל</w:t>
      </w:r>
      <w:proofErr w:type="spellEnd"/>
      <w:r>
        <w:rPr>
          <w:rtl/>
        </w:rPr>
        <w:t xml:space="preserve"> עם נציגי יהודי וילנה הסתיימו בכישלון. ניסיונותיו להשמיע איומים בשם הממשלה – אין זה ברור אם הוסמך לכך – עוררו סלידה.”</w:t>
      </w:r>
    </w:p>
    <w:p w14:paraId="6987A252" w14:textId="77777777" w:rsidR="00AB3647" w:rsidRDefault="00000000" w:rsidP="007923E9">
      <w:pPr>
        <w:spacing w:after="120" w:line="276" w:lineRule="auto"/>
        <w:ind w:firstLine="283"/>
        <w:jc w:val="both"/>
      </w:pPr>
      <w:r>
        <w:rPr>
          <w:rtl/>
        </w:rPr>
        <w:t xml:space="preserve">למעשה חשדו בקהילה </w:t>
      </w:r>
      <w:proofErr w:type="spellStart"/>
      <w:r>
        <w:rPr>
          <w:rtl/>
        </w:rPr>
        <w:t>שליליינטל</w:t>
      </w:r>
      <w:proofErr w:type="spellEnd"/>
      <w:r>
        <w:rPr>
          <w:rtl/>
        </w:rPr>
        <w:t xml:space="preserve"> לא נשלח לווילנה בידי הממשלה הרוסית כלל, אלא בא ביוזמת המשכילים. הם לא היו אלא מיעוט קטן מאוד, שניסה לכפות על יהדות רוסיה – שרובה המכריע נאמן ושומר מסורת – ללכת בעקבות הרפורמה הגרמנית.</w:t>
      </w:r>
    </w:p>
    <w:p w14:paraId="136B257E" w14:textId="77777777" w:rsidR="00AB3647" w:rsidRDefault="00000000" w:rsidP="007923E9">
      <w:pPr>
        <w:spacing w:after="120" w:line="276" w:lineRule="auto"/>
        <w:ind w:firstLine="283"/>
        <w:jc w:val="both"/>
      </w:pPr>
      <w:r>
        <w:rPr>
          <w:rtl/>
        </w:rPr>
        <w:t xml:space="preserve">היו משכילים מובילים שלא ניסו להסתיר שהם מבקשים לרתום את כוחו של השלטון כדי לכפות את השקפתם על הרוב הגדול של אחיהם לאמונה. כזה היה </w:t>
      </w:r>
      <w:proofErr w:type="spellStart"/>
      <w:r>
        <w:rPr>
          <w:rtl/>
        </w:rPr>
        <w:t>יצחק־בער</w:t>
      </w:r>
      <w:proofErr w:type="spellEnd"/>
      <w:r>
        <w:rPr>
          <w:rtl/>
        </w:rPr>
        <w:t xml:space="preserve"> </w:t>
      </w:r>
      <w:proofErr w:type="spellStart"/>
      <w:r>
        <w:rPr>
          <w:rtl/>
        </w:rPr>
        <w:t>לוינזון</w:t>
      </w:r>
      <w:proofErr w:type="spellEnd"/>
      <w:r>
        <w:rPr>
          <w:rtl/>
        </w:rPr>
        <w:t xml:space="preserve"> </w:t>
      </w:r>
      <w:proofErr w:type="spellStart"/>
      <w:r>
        <w:rPr>
          <w:rtl/>
        </w:rPr>
        <w:t>מווהלין</w:t>
      </w:r>
      <w:proofErr w:type="spellEnd"/>
      <w:r>
        <w:rPr>
          <w:rtl/>
        </w:rPr>
        <w:t>, שהציף את הממשלה במכתבים שהשמיצו את היהודים כנחשלים ומושחתים, וטען שהיהודים משפיעים על האוכלוסייה הנוכרית שלא תהיה נאמנה לכתר. הצאר ניקולאי, שונא היהודים, שמח מאוד להאמין להאשמות כאלה.</w:t>
      </w:r>
    </w:p>
    <w:p w14:paraId="108A165D" w14:textId="77777777" w:rsidR="00AB3647" w:rsidRDefault="00000000" w:rsidP="007923E9">
      <w:pPr>
        <w:spacing w:after="120" w:line="276" w:lineRule="auto"/>
        <w:ind w:firstLine="283"/>
        <w:jc w:val="both"/>
      </w:pPr>
      <w:r>
        <w:rPr>
          <w:rtl/>
        </w:rPr>
        <w:t xml:space="preserve">אין לומר שמשכילים אלה לא </w:t>
      </w:r>
      <w:proofErr w:type="spellStart"/>
      <w:r>
        <w:rPr>
          <w:rtl/>
        </w:rPr>
        <w:t>נתכוונו</w:t>
      </w:r>
      <w:proofErr w:type="spellEnd"/>
      <w:r>
        <w:rPr>
          <w:rtl/>
        </w:rPr>
        <w:t xml:space="preserve"> אלא להתחנף, ושלא היה להם עניין אמיתי בשיפור מצבם של אחיהם היהודים. ביהירותם הם פשוט האמינו שדרכם היא הדרך הנכונה היחידה שעם ישראל צריך ללכת בה.</w:t>
      </w:r>
      <w:bookmarkStart w:id="1263" w:name="_fnr760"/>
      <w:bookmarkStart w:id="1264" w:name="pr_f_685"/>
      <w:r>
        <w:rPr>
          <w:rStyle w:val="a5"/>
        </w:rPr>
        <w:footnoteReference w:id="761" w:customMarkFollows="0"/>
      </w:r>
      <w:bookmarkEnd w:id="1263"/>
      <w:bookmarkEnd w:id="1264"/>
      <w:r>
        <w:rPr>
          <w:rtl/>
        </w:rPr>
        <w:t xml:space="preserve"> ואם נדון את המשכילים הראשונים לכף זכות כאנשים כנים, הרי שאת השאלה כיצד יכלו לראות את עמם באור שלילי כל כך, בלי בסיס עובדתי, יש לברר בתחום הפסיכולוגיה.</w:t>
      </w:r>
    </w:p>
    <w:p w14:paraId="1C889B1F" w14:textId="77777777" w:rsidR="00AB3647" w:rsidRDefault="00000000" w:rsidP="007923E9">
      <w:pPr>
        <w:spacing w:after="120" w:line="276" w:lineRule="auto"/>
        <w:ind w:firstLine="283"/>
        <w:jc w:val="both"/>
      </w:pPr>
      <w:r>
        <w:rPr>
          <w:rtl/>
        </w:rPr>
        <w:lastRenderedPageBreak/>
        <w:t>והשווה גם “</w:t>
      </w:r>
      <w:proofErr w:type="spellStart"/>
      <w:r>
        <w:rPr>
          <w:rtl/>
        </w:rPr>
        <w:t>זכרון</w:t>
      </w:r>
      <w:proofErr w:type="spellEnd"/>
      <w:r>
        <w:rPr>
          <w:rtl/>
        </w:rPr>
        <w:t xml:space="preserve"> יעקב”</w:t>
      </w:r>
      <w:bookmarkStart w:id="1265" w:name="_fnr761"/>
      <w:r>
        <w:rPr>
          <w:rStyle w:val="a5"/>
        </w:rPr>
        <w:footnoteReference w:id="762" w:customMarkFollows="0"/>
      </w:r>
      <w:bookmarkEnd w:id="1265"/>
      <w:r>
        <w:rPr>
          <w:rtl/>
        </w:rPr>
        <w:t xml:space="preserve">: הדור הראשון של המשכילים ברוסיה, שמצא באחיו פגמים, אמיתיים או מדומים, האשים את דיכוי השלטון בכך שדחף את היהודים למצב המוסרי העלוב – המדומה. ואילו הדור השני, אחרי תר״כ, “החליט </w:t>
      </w:r>
      <w:proofErr w:type="spellStart"/>
      <w:r>
        <w:rPr>
          <w:rtl/>
        </w:rPr>
        <w:t>שמצוה</w:t>
      </w:r>
      <w:proofErr w:type="spellEnd"/>
      <w:r>
        <w:rPr>
          <w:rtl/>
        </w:rPr>
        <w:t xml:space="preserve"> וחובה לחפור ולחשוף בכוח הספרות את המומים והפגמים שבעמנו, עד שנעשה הדבר לכלל ספרותי: כל המרבה לגלות את חרפת אומתנו ולהוקיע את מגרעותיה בספרות – הרי זה אוהב את עמו ביותר, כי כל זה מקרב את זכויות היהודים! וכך התירו לעצמם סופרים רבים – המטרה מקדשת את האמצעים – לבדות שקרים וכזבים מגונים ולפרסמם אפילו בספרות הנוכרית, והכול לשם קידום זכויותינו.” כך הידרדרו המשכילים היהירים בחשיבתם המעוותת, בעודם כופים את השקפת המיעוט שלהם על הרוב הנאמן העצום – והכול בשם השאיפה להיטיב עם עמם.</w:t>
      </w:r>
    </w:p>
    <w:p w14:paraId="3FB3A39E" w14:textId="77777777" w:rsidR="00AB3647" w:rsidRDefault="00000000" w:rsidP="007923E9">
      <w:pPr>
        <w:spacing w:after="120" w:line="276" w:lineRule="auto"/>
        <w:ind w:firstLine="283"/>
        <w:jc w:val="both"/>
      </w:pPr>
      <w:r>
        <w:rPr>
          <w:rtl/>
        </w:rPr>
        <w:t xml:space="preserve">בזיכרונות אישיים שנדפסו מחדש </w:t>
      </w:r>
      <w:proofErr w:type="spellStart"/>
      <w:r>
        <w:rPr>
          <w:rtl/>
        </w:rPr>
        <w:t>ב“מינסק</w:t>
      </w:r>
      <w:proofErr w:type="spellEnd"/>
      <w:r>
        <w:rPr>
          <w:rtl/>
        </w:rPr>
        <w:t xml:space="preserve"> עיר ואם א”</w:t>
      </w:r>
      <w:bookmarkStart w:id="1266" w:name="_fnr762"/>
      <w:r>
        <w:rPr>
          <w:rStyle w:val="a5"/>
        </w:rPr>
        <w:footnoteReference w:id="763" w:customMarkFollows="0"/>
      </w:r>
      <w:bookmarkEnd w:id="1266"/>
      <w:r>
        <w:rPr>
          <w:rtl/>
        </w:rPr>
        <w:t xml:space="preserve"> נזכר הסופר </w:t>
      </w:r>
      <w:proofErr w:type="spellStart"/>
      <w:r>
        <w:rPr>
          <w:rtl/>
        </w:rPr>
        <w:t>הרוסי־יידי</w:t>
      </w:r>
      <w:proofErr w:type="spellEnd"/>
      <w:r>
        <w:rPr>
          <w:rtl/>
        </w:rPr>
        <w:t xml:space="preserve"> לייב </w:t>
      </w:r>
      <w:proofErr w:type="spellStart"/>
      <w:r>
        <w:rPr>
          <w:rtl/>
        </w:rPr>
        <w:t>לבנדה</w:t>
      </w:r>
      <w:proofErr w:type="spellEnd"/>
      <w:r>
        <w:rPr>
          <w:rtl/>
        </w:rPr>
        <w:t xml:space="preserve"> שבשעת סיורו של </w:t>
      </w:r>
      <w:proofErr w:type="spellStart"/>
      <w:r>
        <w:rPr>
          <w:rtl/>
        </w:rPr>
        <w:t>ליליינטל</w:t>
      </w:r>
      <w:proofErr w:type="spellEnd"/>
      <w:r>
        <w:rPr>
          <w:rtl/>
        </w:rPr>
        <w:t xml:space="preserve"> במינסק, שאליה נסע אחרי וילנה, היה הוא עצמו בין ילדי החדר שרצו אחרי מזחלתו של </w:t>
      </w:r>
      <w:proofErr w:type="spellStart"/>
      <w:r>
        <w:rPr>
          <w:rtl/>
        </w:rPr>
        <w:t>ליליינטל</w:t>
      </w:r>
      <w:proofErr w:type="spellEnd"/>
      <w:r>
        <w:rPr>
          <w:rtl/>
        </w:rPr>
        <w:t xml:space="preserve"> ורגמו אותה בכדורי שלג. </w:t>
      </w:r>
      <w:proofErr w:type="spellStart"/>
      <w:r>
        <w:rPr>
          <w:rtl/>
        </w:rPr>
        <w:t>צינוביץ</w:t>
      </w:r>
      <w:proofErr w:type="spellEnd"/>
      <w:r>
        <w:rPr>
          <w:rtl/>
        </w:rPr>
        <w:t>, “עץ חיים”</w:t>
      </w:r>
      <w:bookmarkStart w:id="1267" w:name="_fnr763"/>
      <w:r>
        <w:rPr>
          <w:rStyle w:val="a5"/>
        </w:rPr>
        <w:footnoteReference w:id="764" w:customMarkFollows="0"/>
      </w:r>
      <w:bookmarkEnd w:id="1267"/>
      <w:r>
        <w:rPr>
          <w:rtl/>
        </w:rPr>
        <w:t xml:space="preserve">, מתאר את פגישתו של </w:t>
      </w:r>
      <w:proofErr w:type="spellStart"/>
      <w:r>
        <w:rPr>
          <w:rtl/>
        </w:rPr>
        <w:t>ליליינטל</w:t>
      </w:r>
      <w:proofErr w:type="spellEnd"/>
      <w:r>
        <w:rPr>
          <w:rtl/>
        </w:rPr>
        <w:t xml:space="preserve"> עם זקני מינסק בחריפות רבה יותר: “</w:t>
      </w:r>
      <w:proofErr w:type="spellStart"/>
      <w:r>
        <w:rPr>
          <w:rtl/>
        </w:rPr>
        <w:t>ליליינטל</w:t>
      </w:r>
      <w:proofErr w:type="spellEnd"/>
      <w:r>
        <w:rPr>
          <w:rtl/>
        </w:rPr>
        <w:t xml:space="preserve"> שמע דברים קשים ומרים מפי הנאספים. לא נהגו בו כבוד כלל, ונשמעו קריאות ‘בוגד!’ מתוסכל יצא בחיפזון מאולם האספה, ונתקל בהמון גדול של פשוטי עם שחיכו לו בחוץ להטיח בו קללות ועלבונות. הם צעקו קריאת גנאי שנעשתה לסיסמה [בשפה הרוסית]: ‘זה לא מעניין אותנו; איננו רוצים בתי ספר!’ כמה מן הפרחחים הרימו אבנים בכוונה לתקוף אותו, ורק בעזרת שוטרים הצליח להימלט. הוא עזב את העיר באותו לילה.”</w:t>
      </w:r>
    </w:p>
    <w:p w14:paraId="6998B671" w14:textId="77777777" w:rsidR="00AB3647" w:rsidRDefault="00000000" w:rsidP="007923E9">
      <w:pPr>
        <w:spacing w:after="120" w:line="276" w:lineRule="auto"/>
        <w:ind w:firstLine="283"/>
        <w:jc w:val="both"/>
      </w:pPr>
      <w:r>
        <w:rPr>
          <w:rtl/>
        </w:rPr>
        <w:t xml:space="preserve">מינסק, בשונה מווילנה, בחרה להתעלם לגמרי </w:t>
      </w:r>
      <w:proofErr w:type="spellStart"/>
      <w:r>
        <w:rPr>
          <w:rtl/>
        </w:rPr>
        <w:t>מ“עצתו</w:t>
      </w:r>
      <w:proofErr w:type="spellEnd"/>
      <w:r>
        <w:rPr>
          <w:rtl/>
        </w:rPr>
        <w:t xml:space="preserve">” של </w:t>
      </w:r>
      <w:proofErr w:type="spellStart"/>
      <w:r>
        <w:rPr>
          <w:rtl/>
        </w:rPr>
        <w:t>ליליינטל</w:t>
      </w:r>
      <w:proofErr w:type="spellEnd"/>
      <w:r>
        <w:rPr>
          <w:rtl/>
        </w:rPr>
        <w:t xml:space="preserve">, ואמרה בפירוש שתעדיף להסתכן ברפורמות שהממשלה עלולה לכפות עליה ולא לערוך תיקונים משלה. גם במינסק פקפקו האנשים בכך </w:t>
      </w:r>
      <w:proofErr w:type="spellStart"/>
      <w:r>
        <w:rPr>
          <w:rtl/>
        </w:rPr>
        <w:t>שליליינטל</w:t>
      </w:r>
      <w:proofErr w:type="spellEnd"/>
      <w:r>
        <w:rPr>
          <w:rtl/>
        </w:rPr>
        <w:t xml:space="preserve"> הוא שליח הממשלה, וכמה מן המנהיגים אף אמרו לו זאת בפניו.</w:t>
      </w:r>
    </w:p>
    <w:p w14:paraId="229C0949" w14:textId="77777777" w:rsidR="00AB3647" w:rsidRDefault="00000000" w:rsidP="007923E9">
      <w:pPr>
        <w:spacing w:after="120" w:line="276" w:lineRule="auto"/>
        <w:ind w:firstLine="283"/>
        <w:jc w:val="both"/>
      </w:pPr>
      <w:r>
        <w:rPr>
          <w:rtl/>
        </w:rPr>
        <w:t xml:space="preserve">תגובת מינסק עודדה את אנשי וילנה לנקוט עמדה לוחמנית יותר נגד תומכי </w:t>
      </w:r>
      <w:proofErr w:type="spellStart"/>
      <w:r>
        <w:rPr>
          <w:rtl/>
        </w:rPr>
        <w:t>ליליינטל</w:t>
      </w:r>
      <w:proofErr w:type="spellEnd"/>
      <w:r>
        <w:rPr>
          <w:rtl/>
        </w:rPr>
        <w:t xml:space="preserve"> מקרב המשכילים. אספת עם, שבה היו אמורים להצביע על תוכניתו של </w:t>
      </w:r>
      <w:proofErr w:type="spellStart"/>
      <w:r>
        <w:rPr>
          <w:rtl/>
        </w:rPr>
        <w:t>ליליינטל</w:t>
      </w:r>
      <w:proofErr w:type="spellEnd"/>
      <w:r>
        <w:rPr>
          <w:rtl/>
        </w:rPr>
        <w:t xml:space="preserve">, נקבעה ליום הראשון של חול המועד פסח תר״ב. המשכילים קיוו להבריח את המתנגדים בכך שקבעו שכל אחד יצביע </w:t>
      </w:r>
      <w:r>
        <w:rPr>
          <w:b/>
          <w:bCs/>
          <w:rtl/>
        </w:rPr>
        <w:t>בכתב</w:t>
      </w:r>
      <w:r>
        <w:rPr>
          <w:rtl/>
        </w:rPr>
        <w:t>. אבל אלפי אנשים באו להביע את התנגדותם, וההמון יצא משליטה. אפילו נוכחותו של מפקד המשטרה לא מנעה מן הקהל לקרוא בקצב: “לא חפצנו! לא חפצנו!”, ולבסוף נאלץ המפקד להפעיל צינורות מים כדי לפזר את העצרת.</w:t>
      </w:r>
      <w:bookmarkStart w:id="1268" w:name="_fnr764"/>
      <w:r>
        <w:rPr>
          <w:rStyle w:val="a5"/>
        </w:rPr>
        <w:footnoteReference w:id="765" w:customMarkFollows="0"/>
      </w:r>
      <w:bookmarkEnd w:id="1268"/>
    </w:p>
    <w:p w14:paraId="571CEF23" w14:textId="77777777" w:rsidR="00AB3647" w:rsidRDefault="00000000" w:rsidP="007923E9">
      <w:pPr>
        <w:spacing w:after="120" w:line="276" w:lineRule="auto"/>
        <w:ind w:firstLine="283"/>
        <w:jc w:val="both"/>
      </w:pPr>
      <w:r>
        <w:rPr>
          <w:rtl/>
        </w:rPr>
        <w:lastRenderedPageBreak/>
        <w:t>יעקב מארק</w:t>
      </w:r>
      <w:bookmarkStart w:id="1269" w:name="_fnr765"/>
      <w:r>
        <w:rPr>
          <w:rStyle w:val="a5"/>
        </w:rPr>
        <w:footnoteReference w:id="766" w:customMarkFollows="0"/>
      </w:r>
      <w:bookmarkEnd w:id="1269"/>
      <w:r>
        <w:rPr>
          <w:rtl/>
        </w:rPr>
        <w:t xml:space="preserve"> טוען שבתחילת שליחותו של </w:t>
      </w:r>
      <w:proofErr w:type="spellStart"/>
      <w:r>
        <w:rPr>
          <w:rtl/>
        </w:rPr>
        <w:t>ליליינטל</w:t>
      </w:r>
      <w:proofErr w:type="spellEnd"/>
      <w:r>
        <w:rPr>
          <w:rtl/>
        </w:rPr>
        <w:t xml:space="preserve">, “מיד </w:t>
      </w:r>
      <w:proofErr w:type="spellStart"/>
      <w:r>
        <w:rPr>
          <w:rtl/>
        </w:rPr>
        <w:t>כש</w:t>
      </w:r>
      <w:proofErr w:type="spellEnd"/>
      <w:r>
        <w:rPr>
          <w:rtl/>
        </w:rPr>
        <w:t xml:space="preserve">(הוא) בא לרוסיה... האדמו״ר </w:t>
      </w:r>
      <w:proofErr w:type="spellStart"/>
      <w:r>
        <w:rPr>
          <w:rtl/>
        </w:rPr>
        <w:t>מליובאוויטש</w:t>
      </w:r>
      <w:proofErr w:type="spellEnd"/>
      <w:r>
        <w:rPr>
          <w:rtl/>
        </w:rPr>
        <w:t xml:space="preserve"> ור׳ </w:t>
      </w:r>
      <w:proofErr w:type="spellStart"/>
      <w:r>
        <w:rPr>
          <w:rtl/>
        </w:rPr>
        <w:t>איצל׳ה</w:t>
      </w:r>
      <w:proofErr w:type="spellEnd"/>
      <w:r>
        <w:rPr>
          <w:rtl/>
        </w:rPr>
        <w:t>, שכמובן לא יכלו לעשות זאת בגלוי, שלחו שליחים חשאיים אל המשכילים” – מן הסתם, אל המעטים שהייתה להם השפעה עליהם – “</w:t>
      </w:r>
      <w:proofErr w:type="spellStart"/>
      <w:r>
        <w:rPr>
          <w:rtl/>
        </w:rPr>
        <w:t>שליליינטל</w:t>
      </w:r>
      <w:proofErr w:type="spellEnd"/>
      <w:r>
        <w:rPr>
          <w:rtl/>
        </w:rPr>
        <w:t xml:space="preserve"> בחר בהם להיות עוזריו, ופקחו את עיניהם” לסכנה שהוא מביא.</w:t>
      </w:r>
    </w:p>
    <w:p w14:paraId="0C0F05B5" w14:textId="77777777" w:rsidR="00AB3647" w:rsidRDefault="00000000" w:rsidP="007923E9">
      <w:pPr>
        <w:pStyle w:val="4"/>
        <w:spacing w:line="276" w:lineRule="auto"/>
      </w:pPr>
      <w:r>
        <w:t>· הפסקה השביעית ·</w:t>
      </w:r>
    </w:p>
    <w:p w14:paraId="375AAB20" w14:textId="77777777" w:rsidR="00AB3647" w:rsidRDefault="00000000" w:rsidP="007923E9">
      <w:pPr>
        <w:pStyle w:val="5"/>
        <w:spacing w:line="276" w:lineRule="auto"/>
      </w:pPr>
      <w:r>
        <w:t>המודרניזציה המוצעת נתפסת כדרך להמרת דתם של יהודים – הממשלה מקימה ועדה רבנית מייעצת</w:t>
      </w:r>
    </w:p>
    <w:p w14:paraId="2C63B135" w14:textId="77777777" w:rsidR="00AB3647" w:rsidRDefault="00000000" w:rsidP="007923E9">
      <w:pPr>
        <w:spacing w:after="120" w:line="276" w:lineRule="auto"/>
        <w:ind w:firstLine="283"/>
        <w:jc w:val="both"/>
      </w:pPr>
      <w:r>
        <w:rPr>
          <w:rtl/>
        </w:rPr>
        <w:t xml:space="preserve">מסעו הראשון של </w:t>
      </w:r>
      <w:proofErr w:type="spellStart"/>
      <w:r>
        <w:rPr>
          <w:rtl/>
        </w:rPr>
        <w:t>ליליינטל</w:t>
      </w:r>
      <w:proofErr w:type="spellEnd"/>
      <w:r>
        <w:rPr>
          <w:rtl/>
        </w:rPr>
        <w:t xml:space="preserve"> לא הועיל, משום שענן החשד שריחף מעל ראשו היה כבד מנשוא. המאמר </w:t>
      </w:r>
      <w:proofErr w:type="spellStart"/>
      <w:r>
        <w:rPr>
          <w:rtl/>
        </w:rPr>
        <w:t>ב“השלח</w:t>
      </w:r>
      <w:proofErr w:type="spellEnd"/>
      <w:r>
        <w:rPr>
          <w:rtl/>
        </w:rPr>
        <w:t>” משנת 1912</w:t>
      </w:r>
      <w:bookmarkStart w:id="1270" w:name="_fnr766"/>
      <w:r>
        <w:rPr>
          <w:rStyle w:val="a5"/>
        </w:rPr>
        <w:footnoteReference w:id="767" w:customMarkFollows="0"/>
      </w:r>
      <w:bookmarkEnd w:id="1270"/>
      <w:r>
        <w:rPr>
          <w:rtl/>
        </w:rPr>
        <w:t xml:space="preserve"> מספר על ויכוח אופייני בין כמה משכילים באודסה ובין דיין אחד שם, בשאלה מדוע בתי הספר הממשלתיים אינם רצויים בעיני החסידים, אף שהילדים לומדים בהם “בראשית ברא </w:t>
      </w:r>
      <w:proofErr w:type="spellStart"/>
      <w:r>
        <w:rPr>
          <w:rtl/>
        </w:rPr>
        <w:t>א־להים</w:t>
      </w:r>
      <w:proofErr w:type="spellEnd"/>
      <w:r>
        <w:rPr>
          <w:rtl/>
        </w:rPr>
        <w:t xml:space="preserve"> את”, </w:t>
      </w:r>
      <w:proofErr w:type="spellStart"/>
      <w:r>
        <w:rPr>
          <w:rtl/>
        </w:rPr>
        <w:t>וכו</w:t>
      </w:r>
      <w:proofErr w:type="spellEnd"/>
      <w:r>
        <w:rPr>
          <w:rtl/>
        </w:rPr>
        <w:t>׳, כמו בכל החדרים. השיב הדיין: “אינכם רואים את כוונת הממשלה? ‘בראשית’ – המר את דתך [לנצרות]; ‘ברא’ – המר את דתך; ‘</w:t>
      </w:r>
      <w:proofErr w:type="spellStart"/>
      <w:r>
        <w:rPr>
          <w:rtl/>
        </w:rPr>
        <w:t>א־להים</w:t>
      </w:r>
      <w:proofErr w:type="spellEnd"/>
      <w:r>
        <w:rPr>
          <w:rtl/>
        </w:rPr>
        <w:t>’ – המר את דתך; וגם ‘את’ – המר את דתך!”</w:t>
      </w:r>
    </w:p>
    <w:p w14:paraId="07921C25" w14:textId="77777777" w:rsidR="00AB3647" w:rsidRDefault="00000000" w:rsidP="007923E9">
      <w:pPr>
        <w:spacing w:after="120" w:line="276" w:lineRule="auto"/>
        <w:ind w:firstLine="283"/>
        <w:jc w:val="both"/>
      </w:pPr>
      <w:r>
        <w:rPr>
          <w:rtl/>
        </w:rPr>
        <w:t xml:space="preserve">אנציקלופדיה יודאיקה ממשיכה: “תגובתו [של </w:t>
      </w:r>
      <w:proofErr w:type="spellStart"/>
      <w:r>
        <w:rPr>
          <w:rtl/>
        </w:rPr>
        <w:t>ליליינטל</w:t>
      </w:r>
      <w:proofErr w:type="spellEnd"/>
      <w:r>
        <w:rPr>
          <w:rtl/>
        </w:rPr>
        <w:t xml:space="preserve"> על כישלונו] בשנת 1842 הייתה פנייה </w:t>
      </w:r>
      <w:proofErr w:type="spellStart"/>
      <w:r>
        <w:rPr>
          <w:rtl/>
        </w:rPr>
        <w:t>לאוברוב</w:t>
      </w:r>
      <w:proofErr w:type="spellEnd"/>
      <w:r>
        <w:rPr>
          <w:rtl/>
        </w:rPr>
        <w:t xml:space="preserve"> שיכפה ‘רפורמה חינוכית’ על היהודים בסדרת חוקים. שר ההשכלה סירב לעשות זאת, אבל באמצעות צו [</w:t>
      </w:r>
      <w:proofErr w:type="spellStart"/>
      <w:r>
        <w:rPr>
          <w:rtl/>
        </w:rPr>
        <w:t>האוקאז</w:t>
      </w:r>
      <w:proofErr w:type="spellEnd"/>
      <w:r>
        <w:rPr>
          <w:rtl/>
        </w:rPr>
        <w:t xml:space="preserve"> מ־22 ביוני 1842] רמז ליהודים שהצאר עצמו מצדד ברפורמה.”</w:t>
      </w:r>
    </w:p>
    <w:p w14:paraId="0B4E5B69" w14:textId="77777777" w:rsidR="00AB3647" w:rsidRDefault="00000000" w:rsidP="007923E9">
      <w:pPr>
        <w:spacing w:after="120" w:line="276" w:lineRule="auto"/>
        <w:ind w:firstLine="283"/>
        <w:jc w:val="both"/>
      </w:pPr>
      <w:r>
        <w:rPr>
          <w:rtl/>
        </w:rPr>
        <w:t xml:space="preserve">אז, בקיץ תר״ב, הוקמה ועדה רבנית רשמית. היו בה שני רבנים, שייצגו את הציבור שומר המצוות הכללי ואת החסידים – ר׳ </w:t>
      </w:r>
      <w:proofErr w:type="spellStart"/>
      <w:r>
        <w:rPr>
          <w:rtl/>
        </w:rPr>
        <w:t>איצל׳ה</w:t>
      </w:r>
      <w:proofErr w:type="spellEnd"/>
      <w:r>
        <w:rPr>
          <w:rtl/>
        </w:rPr>
        <w:t xml:space="preserve">, ראש ישיבת </w:t>
      </w:r>
      <w:proofErr w:type="spellStart"/>
      <w:r>
        <w:rPr>
          <w:rtl/>
        </w:rPr>
        <w:t>וולוז׳ין</w:t>
      </w:r>
      <w:proofErr w:type="spellEnd"/>
      <w:r>
        <w:rPr>
          <w:rtl/>
        </w:rPr>
        <w:t xml:space="preserve"> ובנו של מייסדה, ור׳ </w:t>
      </w:r>
      <w:proofErr w:type="spellStart"/>
      <w:r>
        <w:rPr>
          <w:rtl/>
        </w:rPr>
        <w:t>מנחם־מנדל</w:t>
      </w:r>
      <w:proofErr w:type="spellEnd"/>
      <w:r>
        <w:rPr>
          <w:rtl/>
        </w:rPr>
        <w:t xml:space="preserve"> שניאורסון, האדמו״ר </w:t>
      </w:r>
      <w:proofErr w:type="spellStart"/>
      <w:r>
        <w:rPr>
          <w:rtl/>
        </w:rPr>
        <w:t>מליובאוויטש</w:t>
      </w:r>
      <w:proofErr w:type="spellEnd"/>
      <w:r>
        <w:rPr>
          <w:rtl/>
        </w:rPr>
        <w:t xml:space="preserve">, הנודע על שם ספרו </w:t>
      </w:r>
      <w:proofErr w:type="spellStart"/>
      <w:r>
        <w:rPr>
          <w:rtl/>
        </w:rPr>
        <w:t>כ“צמח</w:t>
      </w:r>
      <w:proofErr w:type="spellEnd"/>
      <w:r>
        <w:rPr>
          <w:rtl/>
        </w:rPr>
        <w:t xml:space="preserve"> צדק”</w:t>
      </w:r>
      <w:bookmarkStart w:id="1271" w:name="_fnr767"/>
      <w:r>
        <w:rPr>
          <w:rStyle w:val="a5"/>
        </w:rPr>
        <w:footnoteReference w:id="768" w:customMarkFollows="0"/>
      </w:r>
      <w:bookmarkEnd w:id="1271"/>
      <w:r>
        <w:rPr>
          <w:rtl/>
        </w:rPr>
        <w:t xml:space="preserve"> – ועמם שני מנהיגים מודרניים יותר. הוועדה נועדה להתכנס </w:t>
      </w:r>
      <w:proofErr w:type="spellStart"/>
      <w:r>
        <w:rPr>
          <w:rtl/>
        </w:rPr>
        <w:t>בסנקט</w:t>
      </w:r>
      <w:proofErr w:type="spellEnd"/>
      <w:r>
        <w:rPr>
          <w:rtl/>
        </w:rPr>
        <w:t xml:space="preserve"> פטרבורג ולייעץ לשר </w:t>
      </w:r>
      <w:proofErr w:type="spellStart"/>
      <w:r>
        <w:rPr>
          <w:rtl/>
        </w:rPr>
        <w:t>אוברוב</w:t>
      </w:r>
      <w:proofErr w:type="spellEnd"/>
      <w:r>
        <w:rPr>
          <w:rtl/>
        </w:rPr>
        <w:t xml:space="preserve"> בתוכנית הרפורמה בבתי הספר היהודיים.</w:t>
      </w:r>
      <w:bookmarkStart w:id="1272" w:name="_fnr768"/>
      <w:r>
        <w:rPr>
          <w:rStyle w:val="a5"/>
        </w:rPr>
        <w:footnoteReference w:id="769" w:customMarkFollows="0"/>
      </w:r>
      <w:bookmarkEnd w:id="1272"/>
    </w:p>
    <w:p w14:paraId="581585D0" w14:textId="77777777" w:rsidR="00AB3647" w:rsidRDefault="00000000" w:rsidP="007923E9">
      <w:pPr>
        <w:pStyle w:val="4"/>
        <w:spacing w:line="276" w:lineRule="auto"/>
      </w:pPr>
      <w:r>
        <w:lastRenderedPageBreak/>
        <w:t>· הפסקה השמינית ·</w:t>
      </w:r>
    </w:p>
    <w:p w14:paraId="4CBB5F05" w14:textId="77777777" w:rsidR="00AB3647" w:rsidRDefault="00000000" w:rsidP="007923E9">
      <w:pPr>
        <w:pStyle w:val="5"/>
        <w:spacing w:line="276" w:lineRule="auto"/>
      </w:pPr>
      <w:r>
        <w:t xml:space="preserve">מזלו של </w:t>
      </w:r>
      <w:proofErr w:type="spellStart"/>
      <w:r>
        <w:t>ליליינטל</w:t>
      </w:r>
      <w:proofErr w:type="spellEnd"/>
      <w:r>
        <w:t xml:space="preserve"> מתהפך – הוא מבקר אצל ר׳ </w:t>
      </w:r>
      <w:proofErr w:type="spellStart"/>
      <w:r>
        <w:t>איצל׳ה</w:t>
      </w:r>
      <w:proofErr w:type="spellEnd"/>
      <w:r>
        <w:t xml:space="preserve">, ראש ישיבת </w:t>
      </w:r>
      <w:proofErr w:type="spellStart"/>
      <w:r>
        <w:t>וולוז׳ין</w:t>
      </w:r>
      <w:proofErr w:type="spellEnd"/>
      <w:r>
        <w:t xml:space="preserve"> – יש שתי גרסאות על הזמן המדויק שבו נפגשו</w:t>
      </w:r>
    </w:p>
    <w:p w14:paraId="4B391038"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יצא למסע שני בתחום המושב בסתיו תר״ב–תר״ג, חצי שנה אחרי מסעו הראשון. “מקור ברוך”</w:t>
      </w:r>
      <w:bookmarkStart w:id="1273" w:name="_fnr769"/>
      <w:r>
        <w:rPr>
          <w:rStyle w:val="a5"/>
        </w:rPr>
        <w:footnoteReference w:id="770" w:customMarkFollows="0"/>
      </w:r>
      <w:bookmarkEnd w:id="1273"/>
      <w:r>
        <w:rPr>
          <w:rtl/>
        </w:rPr>
        <w:t xml:space="preserve"> מפליג בלשון פיוטית בתארו עד כמה שונה הייתה קבלת הפנים שזכה לה </w:t>
      </w:r>
      <w:proofErr w:type="spellStart"/>
      <w:r>
        <w:rPr>
          <w:rtl/>
        </w:rPr>
        <w:t>ליליינטל</w:t>
      </w:r>
      <w:proofErr w:type="spellEnd"/>
      <w:r>
        <w:rPr>
          <w:rtl/>
        </w:rPr>
        <w:t xml:space="preserve"> במסע השני מזו שבמסע הראשון: “שונה כקרח מאש, כאור מחושך, כאבל משמחה, כמעט שאין להאמין.” המאמר </w:t>
      </w:r>
      <w:proofErr w:type="spellStart"/>
      <w:r>
        <w:rPr>
          <w:rtl/>
        </w:rPr>
        <w:t>ב“השלח</w:t>
      </w:r>
      <w:proofErr w:type="spellEnd"/>
      <w:r>
        <w:rPr>
          <w:rtl/>
        </w:rPr>
        <w:t>” משנת 1912</w:t>
      </w:r>
      <w:bookmarkStart w:id="1274" w:name="_fnr770"/>
      <w:r>
        <w:rPr>
          <w:rStyle w:val="a5"/>
        </w:rPr>
        <w:footnoteReference w:id="771" w:customMarkFollows="0"/>
      </w:r>
      <w:bookmarkEnd w:id="1274"/>
      <w:r>
        <w:rPr>
          <w:rtl/>
        </w:rPr>
        <w:t xml:space="preserve"> תולה את השינוי בשלושה גורמים: </w:t>
      </w:r>
      <w:proofErr w:type="spellStart"/>
      <w:r>
        <w:rPr>
          <w:rtl/>
        </w:rPr>
        <w:t>ליליינטל</w:t>
      </w:r>
      <w:proofErr w:type="spellEnd"/>
      <w:r>
        <w:rPr>
          <w:rtl/>
        </w:rPr>
        <w:t xml:space="preserve"> היה עתה שליח קיסרי רשמי, ובידו מכתב מן הצאר הממנה אותו למשימה, ודבר זה עורר אימת מלכות; החוברת “מגיד ישועה” שחיבר </w:t>
      </w:r>
      <w:proofErr w:type="spellStart"/>
      <w:r>
        <w:rPr>
          <w:rtl/>
        </w:rPr>
        <w:t>ליליינטל</w:t>
      </w:r>
      <w:bookmarkStart w:id="1275" w:name="_fnr771"/>
      <w:proofErr w:type="spellEnd"/>
      <w:r>
        <w:rPr>
          <w:rStyle w:val="a5"/>
        </w:rPr>
        <w:footnoteReference w:id="772" w:customMarkFollows="0"/>
      </w:r>
      <w:bookmarkEnd w:id="1275"/>
      <w:r>
        <w:rPr>
          <w:rtl/>
        </w:rPr>
        <w:t xml:space="preserve"> הפיגה את ספקות היהודים; ומינוי הוועדה הרבנית להנחות את הקמת התוכנית הרגיע את חששותיהם.</w:t>
      </w:r>
    </w:p>
    <w:p w14:paraId="6730002B" w14:textId="77777777" w:rsidR="00AB3647" w:rsidRDefault="00000000" w:rsidP="007923E9">
      <w:pPr>
        <w:spacing w:after="120" w:line="276" w:lineRule="auto"/>
        <w:ind w:firstLine="283"/>
        <w:jc w:val="both"/>
      </w:pPr>
      <w:r>
        <w:rPr>
          <w:rtl/>
        </w:rPr>
        <w:t>אבל לפי “מקור ברוך”</w:t>
      </w:r>
      <w:bookmarkStart w:id="1276" w:name="_fnr772"/>
      <w:r>
        <w:rPr>
          <w:rStyle w:val="a5"/>
        </w:rPr>
        <w:footnoteReference w:id="773" w:customMarkFollows="0"/>
      </w:r>
      <w:bookmarkEnd w:id="1276"/>
      <w:r>
        <w:rPr>
          <w:rtl/>
        </w:rPr>
        <w:t xml:space="preserve"> נבע השינוי מפגישתו של </w:t>
      </w:r>
      <w:proofErr w:type="spellStart"/>
      <w:r>
        <w:rPr>
          <w:rtl/>
        </w:rPr>
        <w:t>ליליינטל</w:t>
      </w:r>
      <w:proofErr w:type="spellEnd"/>
      <w:r>
        <w:rPr>
          <w:rtl/>
        </w:rPr>
        <w:t xml:space="preserve"> עם ר׳ </w:t>
      </w:r>
      <w:proofErr w:type="spellStart"/>
      <w:r>
        <w:rPr>
          <w:rtl/>
        </w:rPr>
        <w:t>איצל׳ה</w:t>
      </w:r>
      <w:proofErr w:type="spellEnd"/>
      <w:r>
        <w:rPr>
          <w:rtl/>
        </w:rPr>
        <w:t xml:space="preserve"> </w:t>
      </w:r>
      <w:proofErr w:type="spellStart"/>
      <w:r>
        <w:rPr>
          <w:rtl/>
        </w:rPr>
        <w:t>בוולוז׳ין</w:t>
      </w:r>
      <w:proofErr w:type="spellEnd"/>
      <w:r>
        <w:rPr>
          <w:rtl/>
        </w:rPr>
        <w:t xml:space="preserve">, בשבוע של יום הכיפורים תר״ג, שבה שכנע את ר׳ </w:t>
      </w:r>
      <w:proofErr w:type="spellStart"/>
      <w:r>
        <w:rPr>
          <w:rtl/>
        </w:rPr>
        <w:t>איצל׳ה</w:t>
      </w:r>
      <w:proofErr w:type="spellEnd"/>
      <w:r>
        <w:rPr>
          <w:rtl/>
        </w:rPr>
        <w:t xml:space="preserve"> בתום כוונותיו. גרסת “מקור ברוך” נתמכת במכתבו של </w:t>
      </w:r>
      <w:proofErr w:type="spellStart"/>
      <w:r>
        <w:rPr>
          <w:rtl/>
        </w:rPr>
        <w:t>ליליינטל</w:t>
      </w:r>
      <w:proofErr w:type="spellEnd"/>
      <w:r>
        <w:rPr>
          <w:rtl/>
        </w:rPr>
        <w:t xml:space="preserve"> לרוזנטל, המובא להלן. שם הוא מזכיר </w:t>
      </w:r>
      <w:proofErr w:type="spellStart"/>
      <w:r>
        <w:rPr>
          <w:rtl/>
        </w:rPr>
        <w:t>ש“השליחים</w:t>
      </w:r>
      <w:proofErr w:type="spellEnd"/>
      <w:r>
        <w:rPr>
          <w:rtl/>
        </w:rPr>
        <w:t xml:space="preserve"> מווילנה וממינסק” – שמן הסתם ליוו אותו </w:t>
      </w:r>
      <w:proofErr w:type="spellStart"/>
      <w:r>
        <w:rPr>
          <w:rtl/>
        </w:rPr>
        <w:t>לוולוז׳ין</w:t>
      </w:r>
      <w:proofErr w:type="spellEnd"/>
      <w:r>
        <w:rPr>
          <w:rtl/>
        </w:rPr>
        <w:t xml:space="preserve"> כדי לעמוד על יחסו של ר׳ </w:t>
      </w:r>
      <w:proofErr w:type="spellStart"/>
      <w:r>
        <w:rPr>
          <w:rtl/>
        </w:rPr>
        <w:t>איצל׳ה</w:t>
      </w:r>
      <w:proofErr w:type="spellEnd"/>
      <w:r>
        <w:rPr>
          <w:rtl/>
        </w:rPr>
        <w:t xml:space="preserve"> אליו – “התקרבו (אליו) גם הם”, והם הפיצו בקהילות היהודיות הגדולות את הידיעה ששליחותו קיבלה את אישורו של מנהיג ישראל הגדול ר׳ </w:t>
      </w:r>
      <w:proofErr w:type="spellStart"/>
      <w:r>
        <w:rPr>
          <w:rtl/>
        </w:rPr>
        <w:t>איצל׳ה</w:t>
      </w:r>
      <w:proofErr w:type="spellEnd"/>
      <w:r>
        <w:rPr>
          <w:rtl/>
        </w:rPr>
        <w:t>.</w:t>
      </w:r>
    </w:p>
    <w:p w14:paraId="37836AEE" w14:textId="77777777" w:rsidR="00AB3647" w:rsidRDefault="00000000" w:rsidP="007923E9">
      <w:pPr>
        <w:spacing w:after="120" w:line="276" w:lineRule="auto"/>
        <w:ind w:firstLine="283"/>
        <w:jc w:val="both"/>
      </w:pPr>
      <w:r>
        <w:rPr>
          <w:rtl/>
        </w:rPr>
        <w:t xml:space="preserve">ראיה נוספת לשיטת “מקור ברוך”: בערב יום הכיפורים, בעוד </w:t>
      </w:r>
      <w:proofErr w:type="spellStart"/>
      <w:r>
        <w:rPr>
          <w:rtl/>
        </w:rPr>
        <w:t>ליליינטל</w:t>
      </w:r>
      <w:proofErr w:type="spellEnd"/>
      <w:r>
        <w:rPr>
          <w:rtl/>
        </w:rPr>
        <w:t xml:space="preserve"> </w:t>
      </w:r>
      <w:proofErr w:type="spellStart"/>
      <w:r>
        <w:rPr>
          <w:rtl/>
        </w:rPr>
        <w:t>בוולוז׳ין</w:t>
      </w:r>
      <w:proofErr w:type="spellEnd"/>
      <w:r>
        <w:rPr>
          <w:rtl/>
        </w:rPr>
        <w:t xml:space="preserve">, הייתה ההתנגדות לו עדיין חריפה כל כך – למרות חלוף חצי השנה ושלושת הגורמים המיטיבים שמנה המאמר </w:t>
      </w:r>
      <w:proofErr w:type="spellStart"/>
      <w:r>
        <w:rPr>
          <w:rtl/>
        </w:rPr>
        <w:t>ב“השלח</w:t>
      </w:r>
      <w:proofErr w:type="spellEnd"/>
      <w:r>
        <w:rPr>
          <w:rtl/>
        </w:rPr>
        <w:t xml:space="preserve">” – עד שאספה של עשרה מחשובי יהודי מינסק, ובהם בנו של ר׳ עקיבא איגר, הטילה חרם על ד״ר </w:t>
      </w:r>
      <w:proofErr w:type="spellStart"/>
      <w:r>
        <w:rPr>
          <w:rtl/>
        </w:rPr>
        <w:t>ליליינטל</w:t>
      </w:r>
      <w:proofErr w:type="spellEnd"/>
      <w:r>
        <w:rPr>
          <w:rtl/>
        </w:rPr>
        <w:t xml:space="preserve"> ושלחה מכתבים לערים אחרות להזהיר מפניו. ואף על פי כן, כעבור ימים אחדים התקבל </w:t>
      </w:r>
      <w:proofErr w:type="spellStart"/>
      <w:r>
        <w:rPr>
          <w:rtl/>
        </w:rPr>
        <w:t>ליליינטל</w:t>
      </w:r>
      <w:proofErr w:type="spellEnd"/>
      <w:r>
        <w:rPr>
          <w:rtl/>
        </w:rPr>
        <w:t xml:space="preserve"> במינסק בכבוד. המאורע היחיד בעל המשמעות שאירע באותם ימים מעטים היה שיחתו בארבע עיניים עם ר׳ </w:t>
      </w:r>
      <w:proofErr w:type="spellStart"/>
      <w:r>
        <w:rPr>
          <w:rtl/>
        </w:rPr>
        <w:t>איצל׳ה</w:t>
      </w:r>
      <w:proofErr w:type="spellEnd"/>
      <w:r>
        <w:rPr>
          <w:rtl/>
        </w:rPr>
        <w:t>.</w:t>
      </w:r>
      <w:bookmarkStart w:id="1277" w:name="_fnr773"/>
      <w:r>
        <w:rPr>
          <w:rStyle w:val="a5"/>
        </w:rPr>
        <w:footnoteReference w:id="774" w:customMarkFollows="0"/>
      </w:r>
      <w:bookmarkEnd w:id="1277"/>
    </w:p>
    <w:p w14:paraId="47AA0939" w14:textId="77777777" w:rsidR="00AB3647" w:rsidRDefault="00000000" w:rsidP="007923E9">
      <w:pPr>
        <w:spacing w:after="120" w:line="276" w:lineRule="auto"/>
        <w:ind w:firstLine="283"/>
        <w:jc w:val="both"/>
      </w:pPr>
      <w:r>
        <w:rPr>
          <w:rtl/>
        </w:rPr>
        <w:lastRenderedPageBreak/>
        <w:t xml:space="preserve">הערת שוליים </w:t>
      </w:r>
      <w:proofErr w:type="spellStart"/>
      <w:r>
        <w:rPr>
          <w:rtl/>
        </w:rPr>
        <w:t>ב“מקור</w:t>
      </w:r>
      <w:proofErr w:type="spellEnd"/>
      <w:r>
        <w:rPr>
          <w:rtl/>
        </w:rPr>
        <w:t xml:space="preserve"> ברוך”</w:t>
      </w:r>
      <w:bookmarkStart w:id="1278" w:name="_fnr774"/>
      <w:r>
        <w:rPr>
          <w:rStyle w:val="a5"/>
        </w:rPr>
        <w:footnoteReference w:id="775" w:customMarkFollows="0"/>
      </w:r>
      <w:bookmarkEnd w:id="1278"/>
      <w:r>
        <w:rPr>
          <w:rtl/>
        </w:rPr>
        <w:t xml:space="preserve"> מספרת שאביו של המחבר, ר׳ </w:t>
      </w:r>
      <w:proofErr w:type="spellStart"/>
      <w:r>
        <w:rPr>
          <w:rtl/>
        </w:rPr>
        <w:t>יחיאל־מיכל</w:t>
      </w:r>
      <w:proofErr w:type="spellEnd"/>
      <w:r>
        <w:rPr>
          <w:rtl/>
        </w:rPr>
        <w:t xml:space="preserve"> אפשטיין, בעל ערוך השולחן,</w:t>
      </w:r>
      <w:bookmarkStart w:id="1279" w:name="_fnr775"/>
      <w:r>
        <w:rPr>
          <w:rStyle w:val="a5"/>
        </w:rPr>
        <w:footnoteReference w:id="776" w:customMarkFollows="0"/>
      </w:r>
      <w:bookmarkEnd w:id="1279"/>
      <w:r>
        <w:rPr>
          <w:rtl/>
        </w:rPr>
        <w:t xml:space="preserve"> היה תלמיד בישיבת </w:t>
      </w:r>
      <w:proofErr w:type="spellStart"/>
      <w:r>
        <w:rPr>
          <w:rtl/>
        </w:rPr>
        <w:t>וולוז׳ין</w:t>
      </w:r>
      <w:proofErr w:type="spellEnd"/>
      <w:r>
        <w:rPr>
          <w:rtl/>
        </w:rPr>
        <w:t xml:space="preserve"> בשעת ביקורו של </w:t>
      </w:r>
      <w:proofErr w:type="spellStart"/>
      <w:r>
        <w:rPr>
          <w:rtl/>
        </w:rPr>
        <w:t>ליליינטל</w:t>
      </w:r>
      <w:proofErr w:type="spellEnd"/>
      <w:r>
        <w:rPr>
          <w:rtl/>
        </w:rPr>
        <w:t>. הוא סיפר לבנו: “</w:t>
      </w:r>
      <w:r>
        <w:rPr>
          <w:b/>
          <w:bCs/>
          <w:rtl/>
        </w:rPr>
        <w:t xml:space="preserve">למחרת יום בואו של </w:t>
      </w:r>
      <w:proofErr w:type="spellStart"/>
      <w:r>
        <w:rPr>
          <w:b/>
          <w:bCs/>
          <w:rtl/>
        </w:rPr>
        <w:t>ליליענטהאל</w:t>
      </w:r>
      <w:proofErr w:type="spellEnd"/>
      <w:r>
        <w:rPr>
          <w:rtl/>
        </w:rPr>
        <w:t xml:space="preserve"> שהי׳ יום הקריאה (יום ב׳ או יום ה׳)” – ודאי היה זה יום שני, שכן יום הכיפורים באותה שנה, תר״ג, חל ביום רביעי – “לאחר תפלת </w:t>
      </w:r>
      <w:proofErr w:type="spellStart"/>
      <w:r>
        <w:rPr>
          <w:rtl/>
        </w:rPr>
        <w:t>שמונה־עשרה</w:t>
      </w:r>
      <w:proofErr w:type="spellEnd"/>
      <w:r>
        <w:rPr>
          <w:rtl/>
        </w:rPr>
        <w:t xml:space="preserve"> של שחרית שלחו מביהמ״ד שני אנשים נכבדים אליו </w:t>
      </w:r>
      <w:proofErr w:type="spellStart"/>
      <w:r>
        <w:rPr>
          <w:b/>
          <w:bCs/>
          <w:rtl/>
        </w:rPr>
        <w:t>לאכסניא</w:t>
      </w:r>
      <w:proofErr w:type="spellEnd"/>
      <w:r>
        <w:rPr>
          <w:b/>
          <w:bCs/>
          <w:rtl/>
        </w:rPr>
        <w:t xml:space="preserve"> שלו</w:t>
      </w:r>
      <w:r>
        <w:rPr>
          <w:rtl/>
        </w:rPr>
        <w:t xml:space="preserve"> להגיד לו, כי מחכים עליו ‘לקריאת התורה’; ויתרגש מאוד לרגשי כבוד מצוין כזה, ויודה להם על הכבוד הזה ויתנצל על כי לא יוכל להשתמש בכבוד נעלה זה, מפני </w:t>
      </w:r>
      <w:proofErr w:type="spellStart"/>
      <w:r>
        <w:rPr>
          <w:rtl/>
        </w:rPr>
        <w:t>עיפותו</w:t>
      </w:r>
      <w:proofErr w:type="spellEnd"/>
      <w:r>
        <w:rPr>
          <w:rtl/>
        </w:rPr>
        <w:t xml:space="preserve"> מדרכו, וביקש להודות לכל המתפללים” (ההדגשות שלי).</w:t>
      </w:r>
    </w:p>
    <w:p w14:paraId="6130A499" w14:textId="77777777" w:rsidR="00AB3647" w:rsidRDefault="00000000" w:rsidP="007923E9">
      <w:pPr>
        <w:spacing w:after="120" w:line="276" w:lineRule="auto"/>
        <w:ind w:firstLine="283"/>
        <w:jc w:val="both"/>
      </w:pPr>
      <w:r>
        <w:rPr>
          <w:rtl/>
        </w:rPr>
        <w:t xml:space="preserve">בעניין זה טעה </w:t>
      </w:r>
      <w:proofErr w:type="spellStart"/>
      <w:r>
        <w:rPr>
          <w:rtl/>
        </w:rPr>
        <w:t>אברהם־יעקב</w:t>
      </w:r>
      <w:proofErr w:type="spellEnd"/>
      <w:r>
        <w:rPr>
          <w:rtl/>
        </w:rPr>
        <w:t xml:space="preserve"> </w:t>
      </w:r>
      <w:proofErr w:type="spellStart"/>
      <w:r>
        <w:rPr>
          <w:rtl/>
        </w:rPr>
        <w:t>פפירנא</w:t>
      </w:r>
      <w:bookmarkStart w:id="1280" w:name="_fnr776"/>
      <w:proofErr w:type="spellEnd"/>
      <w:r>
        <w:rPr>
          <w:rStyle w:val="a5"/>
        </w:rPr>
        <w:footnoteReference w:id="777" w:customMarkFollows="0"/>
      </w:r>
      <w:bookmarkEnd w:id="1280"/>
      <w:r>
        <w:rPr>
          <w:rtl/>
        </w:rPr>
        <w:t xml:space="preserve">, שכתב, כמובא בספרו של </w:t>
      </w:r>
      <w:proofErr w:type="spellStart"/>
      <w:r>
        <w:rPr>
          <w:rtl/>
        </w:rPr>
        <w:t>צינוביץ</w:t>
      </w:r>
      <w:proofErr w:type="spellEnd"/>
      <w:r>
        <w:rPr>
          <w:rtl/>
        </w:rPr>
        <w:t>, “עץ חיים”</w:t>
      </w:r>
      <w:bookmarkStart w:id="1281" w:name="_fnr777"/>
      <w:r>
        <w:rPr>
          <w:rStyle w:val="a5"/>
        </w:rPr>
        <w:footnoteReference w:id="778" w:customMarkFollows="0"/>
      </w:r>
      <w:bookmarkEnd w:id="1281"/>
      <w:r>
        <w:rPr>
          <w:rtl/>
        </w:rPr>
        <w:t>, בניגוד לשני הפרטים המודגשים לעיל: “[</w:t>
      </w:r>
      <w:proofErr w:type="spellStart"/>
      <w:r>
        <w:rPr>
          <w:rtl/>
        </w:rPr>
        <w:t>ליליינטל</w:t>
      </w:r>
      <w:proofErr w:type="spellEnd"/>
      <w:r>
        <w:rPr>
          <w:rtl/>
        </w:rPr>
        <w:t xml:space="preserve">] היה </w:t>
      </w:r>
      <w:r>
        <w:rPr>
          <w:b/>
          <w:bCs/>
          <w:rtl/>
        </w:rPr>
        <w:t>אורח בביתו</w:t>
      </w:r>
      <w:r>
        <w:rPr>
          <w:rtl/>
        </w:rPr>
        <w:t xml:space="preserve"> של ר׳ </w:t>
      </w:r>
      <w:proofErr w:type="spellStart"/>
      <w:r>
        <w:rPr>
          <w:rtl/>
        </w:rPr>
        <w:t>איצל׳ה</w:t>
      </w:r>
      <w:proofErr w:type="spellEnd"/>
      <w:r>
        <w:rPr>
          <w:rtl/>
        </w:rPr>
        <w:t xml:space="preserve">. </w:t>
      </w:r>
      <w:r>
        <w:rPr>
          <w:b/>
          <w:bCs/>
          <w:rtl/>
        </w:rPr>
        <w:t>שלושה ימים ושלושה לילות לפני יום הכיפורים</w:t>
      </w:r>
      <w:r>
        <w:rPr>
          <w:rtl/>
        </w:rPr>
        <w:t xml:space="preserve"> דנו שני האנשים הגדולים [ר׳ </w:t>
      </w:r>
      <w:proofErr w:type="spellStart"/>
      <w:r>
        <w:rPr>
          <w:rtl/>
        </w:rPr>
        <w:t>איצל׳ה</w:t>
      </w:r>
      <w:proofErr w:type="spellEnd"/>
      <w:r>
        <w:rPr>
          <w:rtl/>
        </w:rPr>
        <w:t xml:space="preserve"> </w:t>
      </w:r>
      <w:proofErr w:type="spellStart"/>
      <w:r>
        <w:rPr>
          <w:rtl/>
        </w:rPr>
        <w:t>וליליינטל</w:t>
      </w:r>
      <w:proofErr w:type="spellEnd"/>
      <w:r>
        <w:rPr>
          <w:rtl/>
        </w:rPr>
        <w:t>] בהצעת הממשלה.” מחבר “מקור ברוך” מספר</w:t>
      </w:r>
      <w:bookmarkStart w:id="1282" w:name="_fnr778"/>
      <w:r>
        <w:rPr>
          <w:rStyle w:val="a5"/>
        </w:rPr>
        <w:footnoteReference w:id="779" w:customMarkFollows="0"/>
      </w:r>
      <w:bookmarkEnd w:id="1282"/>
      <w:r>
        <w:rPr>
          <w:rtl/>
        </w:rPr>
        <w:t xml:space="preserve"> </w:t>
      </w:r>
      <w:proofErr w:type="spellStart"/>
      <w:r>
        <w:rPr>
          <w:rtl/>
        </w:rPr>
        <w:t>שליליינטל</w:t>
      </w:r>
      <w:proofErr w:type="spellEnd"/>
      <w:r>
        <w:rPr>
          <w:rtl/>
        </w:rPr>
        <w:t xml:space="preserve"> ערך </w:t>
      </w:r>
      <w:proofErr w:type="spellStart"/>
      <w:r>
        <w:rPr>
          <w:rtl/>
        </w:rPr>
        <w:t>לר</w:t>
      </w:r>
      <w:proofErr w:type="spellEnd"/>
      <w:r>
        <w:rPr>
          <w:rtl/>
        </w:rPr>
        <w:t xml:space="preserve">׳ </w:t>
      </w:r>
      <w:proofErr w:type="spellStart"/>
      <w:r>
        <w:rPr>
          <w:rtl/>
        </w:rPr>
        <w:t>איצל׳ה</w:t>
      </w:r>
      <w:proofErr w:type="spellEnd"/>
      <w:r>
        <w:rPr>
          <w:rtl/>
        </w:rPr>
        <w:t xml:space="preserve"> רק ביקור נימוסין לפני יום הכיפורים, ושיחותיהם של ממש התקיימו רק </w:t>
      </w:r>
      <w:r>
        <w:rPr>
          <w:b/>
          <w:bCs/>
          <w:rtl/>
        </w:rPr>
        <w:t>אחרי</w:t>
      </w:r>
      <w:r>
        <w:rPr>
          <w:rtl/>
        </w:rPr>
        <w:t xml:space="preserve"> החג.</w:t>
      </w:r>
      <w:bookmarkStart w:id="1283" w:name="_fnr779"/>
      <w:r>
        <w:rPr>
          <w:rStyle w:val="a5"/>
        </w:rPr>
        <w:footnoteReference w:id="780" w:customMarkFollows="0"/>
      </w:r>
      <w:bookmarkEnd w:id="1283"/>
      <w:r>
        <w:rPr>
          <w:rtl/>
        </w:rPr>
        <w:t xml:space="preserve"> הוא טוען שאת כל סיפור שהותו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שמע שנים רבות לאחר מכן מפי 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חתנו של ר׳ </w:t>
      </w:r>
      <w:proofErr w:type="spellStart"/>
      <w:r>
        <w:rPr>
          <w:rtl/>
        </w:rPr>
        <w:t>איצל׳ה</w:t>
      </w:r>
      <w:proofErr w:type="spellEnd"/>
      <w:r>
        <w:rPr>
          <w:rtl/>
        </w:rPr>
        <w:t xml:space="preserve">, שנכח בשיחות. </w:t>
      </w:r>
      <w:proofErr w:type="spellStart"/>
      <w:r>
        <w:rPr>
          <w:rtl/>
        </w:rPr>
        <w:t>הנצי״ב</w:t>
      </w:r>
      <w:proofErr w:type="spellEnd"/>
      <w:r>
        <w:rPr>
          <w:rtl/>
        </w:rPr>
        <w:t xml:space="preserve"> היה צעיר בשנתיים </w:t>
      </w:r>
      <w:proofErr w:type="spellStart"/>
      <w:r>
        <w:rPr>
          <w:rtl/>
        </w:rPr>
        <w:t>מליליינטל</w:t>
      </w:r>
      <w:proofErr w:type="spellEnd"/>
      <w:r>
        <w:rPr>
          <w:rtl/>
        </w:rPr>
        <w:t>, שהיה אז בן עשרים ושמונה</w:t>
      </w:r>
      <w:bookmarkStart w:id="1284" w:name="_fnr780"/>
      <w:bookmarkEnd w:id="1284"/>
      <w:r>
        <w:rPr>
          <w:rStyle w:val="a5"/>
        </w:rPr>
        <w:t/>
      </w:r>
      <w:bookmarkStart w:id="7003" w:name="_TranslatorNote_780"/>
      <w:r>
        <w:rPr>
          <w:rStyle w:val="a5"/>
          <w:vertAlign w:val="superscript"/>
          <w:rtl/>
        </w:rPr>
        <w:footnoteReference w:id="781" w:customMarkFollows="1"/>
        <w:t>*</w:t>
      </w:r>
      <w:bookmarkEnd w:id="7003"/>
      <w:r>
        <w:rPr>
          <w:rtl/>
        </w:rPr>
        <w:t>.</w:t>
      </w:r>
    </w:p>
    <w:p w14:paraId="22277A12" w14:textId="77777777" w:rsidR="00AB3647" w:rsidRDefault="00000000" w:rsidP="007923E9">
      <w:pPr>
        <w:spacing w:after="120" w:line="276" w:lineRule="auto"/>
        <w:ind w:firstLine="283"/>
        <w:jc w:val="both"/>
      </w:pPr>
      <w:r>
        <w:rPr>
          <w:rtl/>
        </w:rPr>
        <w:t xml:space="preserve">אין חשיבות רבה לשאלה אם הגיע ד״ר </w:t>
      </w:r>
      <w:proofErr w:type="spellStart"/>
      <w:r>
        <w:rPr>
          <w:rtl/>
        </w:rPr>
        <w:t>ליליינטל</w:t>
      </w:r>
      <w:proofErr w:type="spellEnd"/>
      <w:r>
        <w:rPr>
          <w:rtl/>
        </w:rPr>
        <w:t xml:space="preserve"> </w:t>
      </w:r>
      <w:proofErr w:type="spellStart"/>
      <w:r>
        <w:rPr>
          <w:rtl/>
        </w:rPr>
        <w:t>לוולוז׳ין</w:t>
      </w:r>
      <w:proofErr w:type="spellEnd"/>
      <w:r>
        <w:rPr>
          <w:rtl/>
        </w:rPr>
        <w:t xml:space="preserve"> יום אחד, יומיים או שלושה ימים לפני יום הכיפורים. אבל יש הבדל מכריע בשאלה אם </w:t>
      </w:r>
      <w:r>
        <w:rPr>
          <w:b/>
          <w:bCs/>
          <w:rtl/>
        </w:rPr>
        <w:t>השיחות</w:t>
      </w:r>
      <w:r>
        <w:rPr>
          <w:rtl/>
        </w:rPr>
        <w:t xml:space="preserve"> בין ר׳ </w:t>
      </w:r>
      <w:proofErr w:type="spellStart"/>
      <w:r>
        <w:rPr>
          <w:rtl/>
        </w:rPr>
        <w:t>איצל׳ה</w:t>
      </w:r>
      <w:proofErr w:type="spellEnd"/>
      <w:r>
        <w:rPr>
          <w:rtl/>
        </w:rPr>
        <w:t xml:space="preserve"> לד״ר </w:t>
      </w:r>
      <w:proofErr w:type="spellStart"/>
      <w:r>
        <w:rPr>
          <w:rtl/>
        </w:rPr>
        <w:t>ליליינטל</w:t>
      </w:r>
      <w:proofErr w:type="spellEnd"/>
      <w:r>
        <w:rPr>
          <w:rtl/>
        </w:rPr>
        <w:t xml:space="preserve"> התקיימו </w:t>
      </w:r>
      <w:r>
        <w:rPr>
          <w:b/>
          <w:bCs/>
          <w:rtl/>
        </w:rPr>
        <w:t>לפני</w:t>
      </w:r>
      <w:r>
        <w:rPr>
          <w:rtl/>
        </w:rPr>
        <w:t xml:space="preserve"> יום הכיפורים, כדברי </w:t>
      </w:r>
      <w:proofErr w:type="spellStart"/>
      <w:r>
        <w:rPr>
          <w:rtl/>
        </w:rPr>
        <w:t>צינוביץ</w:t>
      </w:r>
      <w:proofErr w:type="spellEnd"/>
      <w:r>
        <w:rPr>
          <w:rtl/>
        </w:rPr>
        <w:t xml:space="preserve"> בשם </w:t>
      </w:r>
      <w:proofErr w:type="spellStart"/>
      <w:r>
        <w:rPr>
          <w:rtl/>
        </w:rPr>
        <w:t>פפירנא</w:t>
      </w:r>
      <w:proofErr w:type="spellEnd"/>
      <w:r>
        <w:rPr>
          <w:rtl/>
        </w:rPr>
        <w:t xml:space="preserve">, או אחריו, כמו שמספר “מקור ברוך” בשם </w:t>
      </w:r>
      <w:proofErr w:type="spellStart"/>
      <w:r>
        <w:rPr>
          <w:rtl/>
        </w:rPr>
        <w:t>הנצי״ב</w:t>
      </w:r>
      <w:proofErr w:type="spellEnd"/>
      <w:r>
        <w:rPr>
          <w:rtl/>
        </w:rPr>
        <w:t xml:space="preserve">. שהרי ודאי הוא שבדרשתו בליל כל נדרי הבהיר ר׳ </w:t>
      </w:r>
      <w:proofErr w:type="spellStart"/>
      <w:r>
        <w:rPr>
          <w:rtl/>
        </w:rPr>
        <w:t>איצל׳ה</w:t>
      </w:r>
      <w:proofErr w:type="spellEnd"/>
      <w:r>
        <w:rPr>
          <w:rtl/>
        </w:rPr>
        <w:t xml:space="preserve"> שאין לתת אמון </w:t>
      </w:r>
      <w:proofErr w:type="spellStart"/>
      <w:r>
        <w:rPr>
          <w:rtl/>
        </w:rPr>
        <w:t>בליליינטל</w:t>
      </w:r>
      <w:proofErr w:type="spellEnd"/>
      <w:r>
        <w:rPr>
          <w:rtl/>
        </w:rPr>
        <w:t xml:space="preserve">. לפי </w:t>
      </w:r>
      <w:proofErr w:type="spellStart"/>
      <w:r>
        <w:rPr>
          <w:rtl/>
        </w:rPr>
        <w:t>צינוביץ</w:t>
      </w:r>
      <w:proofErr w:type="spellEnd"/>
      <w:r>
        <w:rPr>
          <w:rtl/>
        </w:rPr>
        <w:t xml:space="preserve">, שיחותיהם הארוכות, כביכול, לפני יום הכיפורים </w:t>
      </w:r>
      <w:r>
        <w:rPr>
          <w:b/>
          <w:bCs/>
          <w:rtl/>
        </w:rPr>
        <w:t>לא</w:t>
      </w:r>
      <w:r>
        <w:rPr>
          <w:rtl/>
        </w:rPr>
        <w:t xml:space="preserve"> הפיגו את החשדות </w:t>
      </w:r>
      <w:proofErr w:type="spellStart"/>
      <w:r>
        <w:rPr>
          <w:rtl/>
        </w:rPr>
        <w:t>בליליינטל</w:t>
      </w:r>
      <w:proofErr w:type="spellEnd"/>
      <w:r>
        <w:rPr>
          <w:rtl/>
        </w:rPr>
        <w:t xml:space="preserve">; ואילו לפי “מקור ברוך” יש מקום לאפשרות ששיחותיהם </w:t>
      </w:r>
      <w:r>
        <w:rPr>
          <w:b/>
          <w:bCs/>
          <w:rtl/>
        </w:rPr>
        <w:t>שאחרי</w:t>
      </w:r>
      <w:r>
        <w:rPr>
          <w:rtl/>
        </w:rPr>
        <w:t xml:space="preserve"> יום הכיפורים טיהרו את </w:t>
      </w:r>
      <w:proofErr w:type="spellStart"/>
      <w:r>
        <w:rPr>
          <w:rtl/>
        </w:rPr>
        <w:t>ליליינטל</w:t>
      </w:r>
      <w:proofErr w:type="spellEnd"/>
      <w:r>
        <w:rPr>
          <w:rtl/>
        </w:rPr>
        <w:t xml:space="preserve"> מכל חשד.</w:t>
      </w:r>
    </w:p>
    <w:p w14:paraId="5F82BB03" w14:textId="77777777" w:rsidR="00AB3647" w:rsidRDefault="00000000" w:rsidP="007923E9">
      <w:pPr>
        <w:spacing w:after="120" w:line="276" w:lineRule="auto"/>
        <w:ind w:firstLine="283"/>
        <w:jc w:val="both"/>
      </w:pPr>
      <w:r>
        <w:rPr>
          <w:rtl/>
        </w:rPr>
        <w:t xml:space="preserve">מכל מקום, בכל זמן שהתקיימו השיחות, יש לדחות את טענתו של </w:t>
      </w:r>
      <w:proofErr w:type="spellStart"/>
      <w:r>
        <w:rPr>
          <w:rtl/>
        </w:rPr>
        <w:t>ליליינטל</w:t>
      </w:r>
      <w:proofErr w:type="spellEnd"/>
      <w:r>
        <w:rPr>
          <w:rtl/>
        </w:rPr>
        <w:t xml:space="preserve"> בזיכרונותיו </w:t>
      </w:r>
      <w:proofErr w:type="spellStart"/>
      <w:r>
        <w:rPr>
          <w:rtl/>
        </w:rPr>
        <w:t>ש“ר</w:t>
      </w:r>
      <w:proofErr w:type="spellEnd"/>
      <w:r>
        <w:rPr>
          <w:rtl/>
        </w:rPr>
        <w:t xml:space="preserve">׳ </w:t>
      </w:r>
      <w:proofErr w:type="spellStart"/>
      <w:r>
        <w:rPr>
          <w:rtl/>
        </w:rPr>
        <w:t>איצל׳ה</w:t>
      </w:r>
      <w:proofErr w:type="spellEnd"/>
      <w:r>
        <w:rPr>
          <w:rtl/>
        </w:rPr>
        <w:t xml:space="preserve"> העדיף לקיים את השיחה בשעה (שהם) מטיילים מחוץ לעיר, הרחק מאוזני אדם, (</w:t>
      </w:r>
      <w:proofErr w:type="spellStart"/>
      <w:r>
        <w:rPr>
          <w:rtl/>
        </w:rPr>
        <w:t>כש</w:t>
      </w:r>
      <w:proofErr w:type="spellEnd"/>
      <w:r>
        <w:rPr>
          <w:rtl/>
        </w:rPr>
        <w:t xml:space="preserve">)רק חתנו, ר׳ </w:t>
      </w:r>
      <w:proofErr w:type="spellStart"/>
      <w:r>
        <w:rPr>
          <w:rtl/>
        </w:rPr>
        <w:t>לייבל</w:t>
      </w:r>
      <w:proofErr w:type="spellEnd"/>
      <w:r>
        <w:rPr>
          <w:rtl/>
        </w:rPr>
        <w:t xml:space="preserve"> (</w:t>
      </w:r>
      <w:proofErr w:type="spellStart"/>
      <w:r>
        <w:rPr>
          <w:rtl/>
        </w:rPr>
        <w:t>הנצי״ב</w:t>
      </w:r>
      <w:proofErr w:type="spellEnd"/>
      <w:r>
        <w:rPr>
          <w:rtl/>
        </w:rPr>
        <w:t xml:space="preserve">), נוכח”. טענה זו אינה מתיישבת עם דיווחו של </w:t>
      </w:r>
      <w:proofErr w:type="spellStart"/>
      <w:r>
        <w:rPr>
          <w:rtl/>
        </w:rPr>
        <w:t>פפירנא</w:t>
      </w:r>
      <w:proofErr w:type="spellEnd"/>
      <w:r>
        <w:rPr>
          <w:rtl/>
        </w:rPr>
        <w:t xml:space="preserve"> על “שלושה ימים ושלושה לילות” של שיחות אינטנסיביות, וגם </w:t>
      </w:r>
      <w:proofErr w:type="spellStart"/>
      <w:r>
        <w:rPr>
          <w:rtl/>
        </w:rPr>
        <w:t>הנצי״ב</w:t>
      </w:r>
      <w:proofErr w:type="spellEnd"/>
      <w:r>
        <w:rPr>
          <w:rtl/>
        </w:rPr>
        <w:t xml:space="preserve"> לא הזכיר דבר כזה למחבר “מקור ברוך”. (ראה להלן על חוסר האמינות של דיווחי </w:t>
      </w:r>
      <w:proofErr w:type="spellStart"/>
      <w:r>
        <w:rPr>
          <w:rtl/>
        </w:rPr>
        <w:t>ליליינטל</w:t>
      </w:r>
      <w:proofErr w:type="spellEnd"/>
      <w:r>
        <w:rPr>
          <w:rtl/>
        </w:rPr>
        <w:t>.)</w:t>
      </w:r>
    </w:p>
    <w:p w14:paraId="354D3DF4" w14:textId="77777777" w:rsidR="00AB3647" w:rsidRDefault="00000000" w:rsidP="007923E9">
      <w:pPr>
        <w:pStyle w:val="4"/>
        <w:spacing w:line="276" w:lineRule="auto"/>
      </w:pPr>
      <w:r>
        <w:lastRenderedPageBreak/>
        <w:t>· הפסקה התשיעית ·</w:t>
      </w:r>
    </w:p>
    <w:p w14:paraId="6F4E87A3" w14:textId="77777777" w:rsidR="00AB3647" w:rsidRDefault="00000000" w:rsidP="007923E9">
      <w:pPr>
        <w:pStyle w:val="5"/>
        <w:spacing w:line="276" w:lineRule="auto"/>
      </w:pPr>
      <w:r>
        <w:t xml:space="preserve">ר׳ </w:t>
      </w:r>
      <w:proofErr w:type="spellStart"/>
      <w:r>
        <w:t>איצל׳ה</w:t>
      </w:r>
      <w:proofErr w:type="spellEnd"/>
      <w:r>
        <w:t xml:space="preserve"> מכוון את דרשת כל נדרי שלו אל האורח </w:t>
      </w:r>
      <w:proofErr w:type="spellStart"/>
      <w:r>
        <w:t>ליליינטל</w:t>
      </w:r>
      <w:proofErr w:type="spellEnd"/>
      <w:r>
        <w:t xml:space="preserve"> – ר׳ </w:t>
      </w:r>
      <w:proofErr w:type="spellStart"/>
      <w:r>
        <w:t>איצל׳ה</w:t>
      </w:r>
      <w:proofErr w:type="spellEnd"/>
      <w:r>
        <w:t xml:space="preserve"> שוקל בצעירותו קריירה ברפואה ולומד לשונות – </w:t>
      </w:r>
      <w:proofErr w:type="spellStart"/>
      <w:r>
        <w:t>ליליינטל</w:t>
      </w:r>
      <w:proofErr w:type="spellEnd"/>
      <w:r>
        <w:t xml:space="preserve"> מצהיר כביכול על נאמנותו ליהדות – שבועת האמונים שלו בווילנה</w:t>
      </w:r>
    </w:p>
    <w:p w14:paraId="32B67BCA" w14:textId="77777777" w:rsidR="00AB3647" w:rsidRDefault="00000000" w:rsidP="007923E9">
      <w:pPr>
        <w:spacing w:after="120" w:line="276" w:lineRule="auto"/>
        <w:ind w:firstLine="283"/>
        <w:jc w:val="both"/>
      </w:pPr>
      <w:proofErr w:type="spellStart"/>
      <w:r>
        <w:rPr>
          <w:rtl/>
        </w:rPr>
        <w:t>צינוביץ</w:t>
      </w:r>
      <w:proofErr w:type="spellEnd"/>
      <w:r>
        <w:rPr>
          <w:rtl/>
        </w:rPr>
        <w:t xml:space="preserve">, “עץ חיים”, שם, מתאר כיצד נכנס ר׳ </w:t>
      </w:r>
      <w:proofErr w:type="spellStart"/>
      <w:r>
        <w:rPr>
          <w:rtl/>
        </w:rPr>
        <w:t>איצל׳ה</w:t>
      </w:r>
      <w:proofErr w:type="spellEnd"/>
      <w:r>
        <w:rPr>
          <w:rtl/>
        </w:rPr>
        <w:t xml:space="preserve"> לבית הכנסת לכל נדרי מלווה באורחו “מגולח הזקן”. לפי </w:t>
      </w:r>
      <w:proofErr w:type="spellStart"/>
      <w:r>
        <w:rPr>
          <w:rtl/>
        </w:rPr>
        <w:t>צינוביץ</w:t>
      </w:r>
      <w:proofErr w:type="spellEnd"/>
      <w:r>
        <w:rPr>
          <w:rtl/>
        </w:rPr>
        <w:t xml:space="preserve"> ולפי “מקור ברוך” גם יחד, נשא אז ר׳ </w:t>
      </w:r>
      <w:proofErr w:type="spellStart"/>
      <w:r>
        <w:rPr>
          <w:rtl/>
        </w:rPr>
        <w:t>איצל׳ה</w:t>
      </w:r>
      <w:proofErr w:type="spellEnd"/>
      <w:r>
        <w:rPr>
          <w:rtl/>
        </w:rPr>
        <w:t xml:space="preserve"> דרשה שכוונה אל </w:t>
      </w:r>
      <w:proofErr w:type="spellStart"/>
      <w:r>
        <w:rPr>
          <w:rtl/>
        </w:rPr>
        <w:t>ליליינטל</w:t>
      </w:r>
      <w:proofErr w:type="spellEnd"/>
      <w:r>
        <w:rPr>
          <w:rtl/>
        </w:rPr>
        <w:t xml:space="preserve"> ואל שליחותו. הדרשה נסמכה על המשנה במסכת יומא</w:t>
      </w:r>
      <w:bookmarkStart w:id="1285" w:name="_fnr781"/>
      <w:r>
        <w:rPr>
          <w:rStyle w:val="a5"/>
        </w:rPr>
        <w:footnoteReference w:id="782" w:customMarkFollows="0"/>
      </w:r>
      <w:bookmarkEnd w:id="1285"/>
      <w:r>
        <w:rPr>
          <w:rtl/>
        </w:rPr>
        <w:t xml:space="preserve"> המתארת כיצד השביעו זקני הכהונה את הכהן הגדול שלא ישנה מסדר העבודה המקובל כשהוא לבדו בקודש הקדשים ביום הכיפורים – ואז פרש הכהן הגדול ובכה, משום שחשדוהו שהוא (רפורמי־)צדוקי.</w:t>
      </w:r>
    </w:p>
    <w:p w14:paraId="1DB7CCBA" w14:textId="77777777" w:rsidR="00AB3647" w:rsidRDefault="00000000" w:rsidP="007923E9">
      <w:pPr>
        <w:spacing w:after="120" w:line="276" w:lineRule="auto"/>
        <w:ind w:firstLine="283"/>
        <w:jc w:val="both"/>
      </w:pPr>
      <w:r>
        <w:rPr>
          <w:rtl/>
        </w:rPr>
        <w:t>אבל “מקור ברוך”</w:t>
      </w:r>
      <w:bookmarkStart w:id="1286" w:name="_fnr782"/>
      <w:r>
        <w:rPr>
          <w:rStyle w:val="a5"/>
        </w:rPr>
        <w:footnoteReference w:id="783" w:customMarkFollows="0"/>
      </w:r>
      <w:bookmarkEnd w:id="1286"/>
      <w:r>
        <w:rPr>
          <w:rtl/>
        </w:rPr>
        <w:t xml:space="preserve"> </w:t>
      </w:r>
      <w:proofErr w:type="spellStart"/>
      <w:r>
        <w:rPr>
          <w:rtl/>
        </w:rPr>
        <w:t>וצינוביץ</w:t>
      </w:r>
      <w:bookmarkStart w:id="1287" w:name="_fnr783"/>
      <w:proofErr w:type="spellEnd"/>
      <w:r>
        <w:rPr>
          <w:rStyle w:val="a5"/>
        </w:rPr>
        <w:footnoteReference w:id="784" w:customMarkFollows="0"/>
      </w:r>
      <w:bookmarkEnd w:id="1287"/>
      <w:r>
        <w:rPr>
          <w:rtl/>
        </w:rPr>
        <w:t xml:space="preserve"> חלוקים במה שאמר ר׳ </w:t>
      </w:r>
      <w:proofErr w:type="spellStart"/>
      <w:r>
        <w:rPr>
          <w:rtl/>
        </w:rPr>
        <w:t>איצל׳ה</w:t>
      </w:r>
      <w:proofErr w:type="spellEnd"/>
      <w:r>
        <w:rPr>
          <w:rtl/>
        </w:rPr>
        <w:t xml:space="preserve"> על המשנה הזאת. מאחר שאין סתירה גלויה בין שתי הגרסאות, ייתכן מאוד שר׳ </w:t>
      </w:r>
      <w:proofErr w:type="spellStart"/>
      <w:r>
        <w:rPr>
          <w:rtl/>
        </w:rPr>
        <w:t>איצל׳ה</w:t>
      </w:r>
      <w:proofErr w:type="spellEnd"/>
      <w:r>
        <w:rPr>
          <w:rtl/>
        </w:rPr>
        <w:t xml:space="preserve"> אמר את </w:t>
      </w:r>
      <w:r>
        <w:rPr>
          <w:b/>
          <w:bCs/>
          <w:rtl/>
        </w:rPr>
        <w:t>שני</w:t>
      </w:r>
      <w:r>
        <w:rPr>
          <w:rtl/>
        </w:rPr>
        <w:t xml:space="preserve"> הדברים, בסדר שלהלן. לפי “מקור ברוך” שאל ר׳ </w:t>
      </w:r>
      <w:proofErr w:type="spellStart"/>
      <w:r>
        <w:rPr>
          <w:rtl/>
        </w:rPr>
        <w:t>איצל׳ה</w:t>
      </w:r>
      <w:proofErr w:type="spellEnd"/>
      <w:r>
        <w:rPr>
          <w:rtl/>
        </w:rPr>
        <w:t xml:space="preserve"> מדוע בכה הכהן הגדול כשחשדו בו הזקנים, שהרי ידע שהוא נקי. ר׳ </w:t>
      </w:r>
      <w:proofErr w:type="spellStart"/>
      <w:r>
        <w:rPr>
          <w:rtl/>
        </w:rPr>
        <w:t>איצל׳ה</w:t>
      </w:r>
      <w:proofErr w:type="spellEnd"/>
      <w:r>
        <w:rPr>
          <w:rtl/>
        </w:rPr>
        <w:t xml:space="preserve"> השיב, על פי הגמרא במסכת מועד קטן,</w:t>
      </w:r>
      <w:bookmarkStart w:id="1288" w:name="_fnr784"/>
      <w:r>
        <w:rPr>
          <w:rStyle w:val="a5"/>
        </w:rPr>
        <w:footnoteReference w:id="785" w:customMarkFollows="0"/>
      </w:r>
      <w:bookmarkEnd w:id="1288"/>
      <w:r>
        <w:rPr>
          <w:rtl/>
        </w:rPr>
        <w:t xml:space="preserve"> שכל מי שחושדים בו בדבר עבירה – או שעשה אותה, או שהרהר לעשותה, או שראה אחרים עושים אותה ושמח. בכך רמז ר׳ </w:t>
      </w:r>
      <w:proofErr w:type="spellStart"/>
      <w:r>
        <w:rPr>
          <w:rtl/>
        </w:rPr>
        <w:t>איצל׳ה</w:t>
      </w:r>
      <w:proofErr w:type="spellEnd"/>
      <w:r>
        <w:rPr>
          <w:rtl/>
        </w:rPr>
        <w:t xml:space="preserve"> שמאחר שבכל תחום המושב חשדו </w:t>
      </w:r>
      <w:proofErr w:type="spellStart"/>
      <w:r>
        <w:rPr>
          <w:rtl/>
        </w:rPr>
        <w:t>בליליינטל</w:t>
      </w:r>
      <w:proofErr w:type="spellEnd"/>
      <w:r>
        <w:rPr>
          <w:rtl/>
        </w:rPr>
        <w:t xml:space="preserve"> שהוא מבקש לערער את האמונה היהודית באמצעות בתי הספר </w:t>
      </w:r>
      <w:proofErr w:type="spellStart"/>
      <w:r>
        <w:rPr>
          <w:rtl/>
        </w:rPr>
        <w:t>ה“נאורים</w:t>
      </w:r>
      <w:proofErr w:type="spellEnd"/>
      <w:r>
        <w:rPr>
          <w:rtl/>
        </w:rPr>
        <w:t>” שקידם, ודאי היה יסוד כלשהו לחשד.</w:t>
      </w:r>
    </w:p>
    <w:p w14:paraId="2F35B4F7"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xml:space="preserve">, “עץ חיים”, לא תקף ר׳ </w:t>
      </w:r>
      <w:proofErr w:type="spellStart"/>
      <w:r>
        <w:rPr>
          <w:rtl/>
        </w:rPr>
        <w:t>איצל׳ה</w:t>
      </w:r>
      <w:proofErr w:type="spellEnd"/>
      <w:r>
        <w:rPr>
          <w:rtl/>
        </w:rPr>
        <w:t xml:space="preserve"> את </w:t>
      </w:r>
      <w:proofErr w:type="spellStart"/>
      <w:r>
        <w:rPr>
          <w:rtl/>
        </w:rPr>
        <w:t>ליליינטל</w:t>
      </w:r>
      <w:proofErr w:type="spellEnd"/>
      <w:r>
        <w:rPr>
          <w:rtl/>
        </w:rPr>
        <w:t>, אלא דיבר בלשון מתנצלת. הוא שאל מדוע חשדו הזקנים בכהן הגדול, בניגוד לכלל שיש לדון כל אדם לכף זכות,</w:t>
      </w:r>
      <w:bookmarkStart w:id="1289" w:name="_fnr785"/>
      <w:r>
        <w:rPr>
          <w:rStyle w:val="a5"/>
        </w:rPr>
        <w:footnoteReference w:id="786" w:customMarkFollows="0"/>
      </w:r>
      <w:bookmarkEnd w:id="1289"/>
      <w:r>
        <w:rPr>
          <w:rtl/>
        </w:rPr>
        <w:t xml:space="preserve"> והשיב: רק אדם העוסק בענייניו הפרטיים יש להחזיקו כשר עד שיתגלה יסוד לחשד; אבל מי שנוטל על עצמו לפעול בשם הציבור כולו – לא זו בלבד שמותר לחשוד בו, אלא יש לבודקו היטב, כדי לברר אם כוונותיו לשם שמים ואם מעשיו עלולים באמת להביא תקלה לכלל ישראל.</w:t>
      </w:r>
    </w:p>
    <w:p w14:paraId="3A6C46D1"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צאצא של ר׳ </w:t>
      </w:r>
      <w:proofErr w:type="spellStart"/>
      <w:r>
        <w:rPr>
          <w:rtl/>
        </w:rPr>
        <w:t>איצל׳ה</w:t>
      </w:r>
      <w:proofErr w:type="spellEnd"/>
      <w:r>
        <w:rPr>
          <w:rtl/>
        </w:rPr>
        <w:t xml:space="preserve"> בדור החמישי, נימק</w:t>
      </w:r>
      <w:bookmarkStart w:id="1290" w:name="_fnr786"/>
      <w:bookmarkStart w:id="1291" w:name="pr_f_710"/>
      <w:r>
        <w:rPr>
          <w:rStyle w:val="a5"/>
        </w:rPr>
        <w:footnoteReference w:id="787" w:customMarkFollows="0"/>
      </w:r>
      <w:bookmarkEnd w:id="1290"/>
      <w:bookmarkEnd w:id="1291"/>
      <w:r>
        <w:rPr>
          <w:rtl/>
        </w:rPr>
        <w:t xml:space="preserve"> את הצורך בבדיקה ובחשדנות יסודיות כאלה. הוא אמר: “עניינים הנוגעים לכלל ישראל דומים לענייני פיקוח נפש. זקני ר׳ חיים </w:t>
      </w:r>
      <w:proofErr w:type="spellStart"/>
      <w:r>
        <w:rPr>
          <w:rtl/>
        </w:rPr>
        <w:t>סולובייצ׳יק</w:t>
      </w:r>
      <w:proofErr w:type="spellEnd"/>
      <w:r>
        <w:rPr>
          <w:rtl/>
        </w:rPr>
        <w:t xml:space="preserve"> אמר לגבי חייו של יחיד שמחללים את השבת אפילו אם יש רק סיכוי אחד למיליון שהחיים יאבדו [ספק פיקוח נפשות]. וכך גם אפילו סיכוי אחד למיליון שטובת כלל ישראל תיפגע, יש להביאו בחשבון.”</w:t>
      </w:r>
    </w:p>
    <w:p w14:paraId="66E586A8" w14:textId="77777777" w:rsidR="00AB3647" w:rsidRDefault="00000000" w:rsidP="007923E9">
      <w:pPr>
        <w:spacing w:after="120" w:line="276" w:lineRule="auto"/>
        <w:ind w:firstLine="283"/>
        <w:jc w:val="both"/>
      </w:pPr>
      <w:r>
        <w:rPr>
          <w:rtl/>
        </w:rPr>
        <w:t xml:space="preserve">השווה גם “תורת חיים, חידושים וביאורים עובדות והנהגות וכו׳ ממרן רבנו חיים הלוי </w:t>
      </w:r>
      <w:proofErr w:type="spellStart"/>
      <w:r>
        <w:rPr>
          <w:rtl/>
        </w:rPr>
        <w:t>סאלאווייציק</w:t>
      </w:r>
      <w:proofErr w:type="spellEnd"/>
      <w:r>
        <w:rPr>
          <w:rtl/>
        </w:rPr>
        <w:t>”</w:t>
      </w:r>
      <w:bookmarkStart w:id="1292" w:name="_fnr787"/>
      <w:r>
        <w:rPr>
          <w:rStyle w:val="a5"/>
        </w:rPr>
        <w:footnoteReference w:id="788" w:customMarkFollows="0"/>
      </w:r>
      <w:bookmarkEnd w:id="1292"/>
      <w:r>
        <w:rPr>
          <w:rtl/>
        </w:rPr>
        <w:t xml:space="preserve">, שמביא את דברי ר׳ חיים: “כשהעניין נוגע להצלת נפשות, אין להסתפק </w:t>
      </w:r>
      <w:r>
        <w:rPr>
          <w:rtl/>
        </w:rPr>
        <w:lastRenderedPageBreak/>
        <w:t>בשכל הישר, אלא יש לעשות כל מה שאפשר, אפילו את מה שאינו הגיוני.” “תורת חיים” ממשיך ומביא סיפור בן שישה עמודים על האופן שבו פעל ר׳ חיים לפי עיקרון זה.</w:t>
      </w:r>
    </w:p>
    <w:p w14:paraId="0E6BC6DB" w14:textId="77777777" w:rsidR="00AB3647" w:rsidRDefault="00000000" w:rsidP="007923E9">
      <w:pPr>
        <w:spacing w:after="120" w:line="276" w:lineRule="auto"/>
        <w:ind w:firstLine="283"/>
        <w:jc w:val="both"/>
      </w:pPr>
      <w:r>
        <w:rPr>
          <w:rtl/>
        </w:rPr>
        <w:t>והשווה גם “</w:t>
      </w:r>
      <w:proofErr w:type="spellStart"/>
      <w:r>
        <w:rPr>
          <w:rtl/>
        </w:rPr>
        <w:t>ארחות</w:t>
      </w:r>
      <w:proofErr w:type="spellEnd"/>
      <w:r>
        <w:rPr>
          <w:rtl/>
        </w:rPr>
        <w:t xml:space="preserve"> חסידיך”,</w:t>
      </w:r>
      <w:bookmarkStart w:id="1293" w:name="_fnr788"/>
      <w:r>
        <w:rPr>
          <w:rStyle w:val="a5"/>
        </w:rPr>
        <w:footnoteReference w:id="789" w:customMarkFollows="0"/>
      </w:r>
      <w:bookmarkEnd w:id="1293"/>
      <w:r>
        <w:rPr>
          <w:rtl/>
        </w:rPr>
        <w:t xml:space="preserve"> המביא את הבנתו של ר׳ יצחק־זאב </w:t>
      </w:r>
      <w:proofErr w:type="spellStart"/>
      <w:r>
        <w:rPr>
          <w:rtl/>
        </w:rPr>
        <w:t>סולובייצ׳יק</w:t>
      </w:r>
      <w:proofErr w:type="spellEnd"/>
      <w:r>
        <w:rPr>
          <w:rtl/>
        </w:rPr>
        <w:t xml:space="preserve"> במאמר חז״ל</w:t>
      </w:r>
      <w:bookmarkStart w:id="1294" w:name="_fnr789"/>
      <w:r>
        <w:rPr>
          <w:rStyle w:val="a5"/>
        </w:rPr>
        <w:footnoteReference w:id="790" w:customMarkFollows="0"/>
      </w:r>
      <w:bookmarkEnd w:id="1294"/>
      <w:r>
        <w:rPr>
          <w:rtl/>
        </w:rPr>
        <w:t xml:space="preserve"> “אפילו חרב חדה מונחת על </w:t>
      </w:r>
      <w:proofErr w:type="spellStart"/>
      <w:r>
        <w:rPr>
          <w:rtl/>
        </w:rPr>
        <w:t>צוארו</w:t>
      </w:r>
      <w:proofErr w:type="spellEnd"/>
      <w:r>
        <w:rPr>
          <w:rtl/>
        </w:rPr>
        <w:t xml:space="preserve"> של אדם אל ימנע עצמו מן הרחמים”: אפילו אם הצלת חייו היא </w:t>
      </w:r>
      <w:r>
        <w:rPr>
          <w:b/>
          <w:bCs/>
          <w:rtl/>
        </w:rPr>
        <w:t>נגד כל היגיון</w:t>
      </w:r>
      <w:r>
        <w:rPr>
          <w:rtl/>
        </w:rPr>
        <w:t xml:space="preserve">, אל לו להתייאש. לשיטתו של ר׳ אהרן </w:t>
      </w:r>
      <w:proofErr w:type="spellStart"/>
      <w:r>
        <w:rPr>
          <w:rtl/>
        </w:rPr>
        <w:t>סולובייצ׳יק</w:t>
      </w:r>
      <w:proofErr w:type="spellEnd"/>
      <w:r>
        <w:rPr>
          <w:rtl/>
        </w:rPr>
        <w:t xml:space="preserve">, אם כן, בעניינים </w:t>
      </w:r>
      <w:r>
        <w:rPr>
          <w:b/>
          <w:bCs/>
          <w:rtl/>
        </w:rPr>
        <w:t>הנוגעים לכלל ישראל</w:t>
      </w:r>
      <w:r>
        <w:rPr>
          <w:rtl/>
        </w:rPr>
        <w:t xml:space="preserve"> יש להביא בחשבון אפילו תוצאות שנראות בלתי הגיוניות, כמו בענייני פיקוח נפש. “עובדות והנהגות לבית </w:t>
      </w:r>
      <w:proofErr w:type="spellStart"/>
      <w:r>
        <w:rPr>
          <w:rtl/>
        </w:rPr>
        <w:t>בריסק</w:t>
      </w:r>
      <w:proofErr w:type="spellEnd"/>
      <w:r>
        <w:rPr>
          <w:rtl/>
        </w:rPr>
        <w:t>”</w:t>
      </w:r>
      <w:bookmarkStart w:id="1295" w:name="_fnr790"/>
      <w:r>
        <w:rPr>
          <w:rStyle w:val="a5"/>
        </w:rPr>
        <w:footnoteReference w:id="791" w:customMarkFollows="0"/>
      </w:r>
      <w:bookmarkEnd w:id="1295"/>
      <w:r>
        <w:rPr>
          <w:rtl/>
        </w:rPr>
        <w:t xml:space="preserve"> מביא בשם ר׳ יצחק־זאב שגם הוא סבר שבענייני ציבור אין “לעשות חשבונות” מה יצליח ומה לא, ויש “לצאת מגדר </w:t>
      </w:r>
      <w:proofErr w:type="spellStart"/>
      <w:r>
        <w:rPr>
          <w:rtl/>
        </w:rPr>
        <w:t>ההגיון</w:t>
      </w:r>
      <w:proofErr w:type="spellEnd"/>
      <w:r>
        <w:rPr>
          <w:rtl/>
        </w:rPr>
        <w:t xml:space="preserve"> והטבע”.</w:t>
      </w:r>
      <w:bookmarkStart w:id="1296" w:name="_fnr791"/>
      <w:r>
        <w:rPr>
          <w:rStyle w:val="a5"/>
        </w:rPr>
        <w:footnoteReference w:id="792" w:customMarkFollows="0"/>
      </w:r>
      <w:bookmarkEnd w:id="1296"/>
    </w:p>
    <w:p w14:paraId="57B881A5"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העיר עוד: “ר׳ </w:t>
      </w:r>
      <w:proofErr w:type="spellStart"/>
      <w:r>
        <w:rPr>
          <w:rtl/>
        </w:rPr>
        <w:t>איצל׳ה</w:t>
      </w:r>
      <w:proofErr w:type="spellEnd"/>
      <w:r>
        <w:rPr>
          <w:rtl/>
        </w:rPr>
        <w:t xml:space="preserve"> לא היה בטלן. בצעירותו רצה ללמוד רפואה כדי לרפא את חולי ישראל. מאחר שבתי הספר לרפואה היו באיטליה, למד ושלט באיטלקית ובלטינית מתוך תרגומי התנ״ך. כשנודע לאביו על מחשבתו הנלוזה של הנער, סיפר זאת לגאון מווילנה” – ר׳ </w:t>
      </w:r>
      <w:proofErr w:type="spellStart"/>
      <w:r>
        <w:rPr>
          <w:rtl/>
        </w:rPr>
        <w:t>איצל׳ה</w:t>
      </w:r>
      <w:proofErr w:type="spellEnd"/>
      <w:r>
        <w:rPr>
          <w:rtl/>
        </w:rPr>
        <w:t xml:space="preserve"> היה בן </w:t>
      </w:r>
      <w:proofErr w:type="spellStart"/>
      <w:r>
        <w:rPr>
          <w:rtl/>
        </w:rPr>
        <w:t>שבע־עשרה</w:t>
      </w:r>
      <w:proofErr w:type="spellEnd"/>
      <w:r>
        <w:rPr>
          <w:rtl/>
        </w:rPr>
        <w:t xml:space="preserve"> כשנפטר הגאון – “שיעץ </w:t>
      </w:r>
      <w:proofErr w:type="spellStart"/>
      <w:r>
        <w:rPr>
          <w:rtl/>
        </w:rPr>
        <w:t>לר</w:t>
      </w:r>
      <w:proofErr w:type="spellEnd"/>
      <w:r>
        <w:rPr>
          <w:rtl/>
        </w:rPr>
        <w:t>׳ חיים להקים ישיבה. לימים היה ר׳ חיים אומר: ‘</w:t>
      </w:r>
      <w:proofErr w:type="spellStart"/>
      <w:r>
        <w:rPr>
          <w:rtl/>
        </w:rPr>
        <w:t>איינגעמויערט</w:t>
      </w:r>
      <w:proofErr w:type="spellEnd"/>
      <w:r>
        <w:rPr>
          <w:rtl/>
        </w:rPr>
        <w:t xml:space="preserve"> [ביצרתי בחומה] את </w:t>
      </w:r>
      <w:proofErr w:type="spellStart"/>
      <w:r>
        <w:rPr>
          <w:rtl/>
        </w:rPr>
        <w:t>איצל׳ה</w:t>
      </w:r>
      <w:proofErr w:type="spellEnd"/>
      <w:r>
        <w:rPr>
          <w:rtl/>
        </w:rPr>
        <w:t xml:space="preserve"> שלי בישיבה’.”</w:t>
      </w:r>
    </w:p>
    <w:p w14:paraId="5C5278B9" w14:textId="77777777" w:rsidR="00AB3647" w:rsidRDefault="00000000" w:rsidP="007923E9">
      <w:pPr>
        <w:spacing w:after="120" w:line="276" w:lineRule="auto"/>
        <w:ind w:firstLine="283"/>
        <w:jc w:val="both"/>
      </w:pPr>
      <w:r>
        <w:rPr>
          <w:rtl/>
        </w:rPr>
        <w:t xml:space="preserve">הביוגרפיה העדכנית והמוסמכת ביותר של ר׳ חיים </w:t>
      </w:r>
      <w:proofErr w:type="spellStart"/>
      <w:r>
        <w:rPr>
          <w:rtl/>
        </w:rPr>
        <w:t>מוולוז׳ין</w:t>
      </w:r>
      <w:proofErr w:type="spellEnd"/>
      <w:r>
        <w:rPr>
          <w:rtl/>
        </w:rPr>
        <w:t>, “אבי הישיבות”, טוענת</w:t>
      </w:r>
      <w:bookmarkStart w:id="1297" w:name="_fnr792"/>
      <w:r>
        <w:rPr>
          <w:rStyle w:val="a5"/>
        </w:rPr>
        <w:footnoteReference w:id="793" w:customMarkFollows="0"/>
      </w:r>
      <w:bookmarkEnd w:id="1297"/>
      <w:r>
        <w:rPr>
          <w:rtl/>
        </w:rPr>
        <w:t xml:space="preserve"> שר׳ חיים </w:t>
      </w:r>
      <w:proofErr w:type="spellStart"/>
      <w:r>
        <w:rPr>
          <w:rtl/>
        </w:rPr>
        <w:t>מוולוז׳ין</w:t>
      </w:r>
      <w:proofErr w:type="spellEnd"/>
      <w:r>
        <w:rPr>
          <w:rtl/>
        </w:rPr>
        <w:t xml:space="preserve"> הוא שהגה את רעיון הקמת הישיבה, ולא הגאון, ואין בה כל זכר לשאיפותיו של ר׳ </w:t>
      </w:r>
      <w:proofErr w:type="spellStart"/>
      <w:r>
        <w:rPr>
          <w:rtl/>
        </w:rPr>
        <w:t>איצל׳ה</w:t>
      </w:r>
      <w:proofErr w:type="spellEnd"/>
      <w:r>
        <w:rPr>
          <w:rtl/>
        </w:rPr>
        <w:t xml:space="preserve"> בצעירותו כרקע לרעיון. שם</w:t>
      </w:r>
      <w:bookmarkStart w:id="1298" w:name="_fnr793"/>
      <w:r>
        <w:rPr>
          <w:rStyle w:val="a5"/>
        </w:rPr>
        <w:footnoteReference w:id="794" w:customMarkFollows="0"/>
      </w:r>
      <w:bookmarkEnd w:id="1298"/>
      <w:r>
        <w:rPr>
          <w:rtl/>
        </w:rPr>
        <w:t xml:space="preserve"> מובאים גם דברי ר׳ </w:t>
      </w:r>
      <w:proofErr w:type="spellStart"/>
      <w:r>
        <w:rPr>
          <w:rtl/>
        </w:rPr>
        <w:t>אלעזר־מנחם־מן</w:t>
      </w:r>
      <w:proofErr w:type="spellEnd"/>
      <w:r>
        <w:rPr>
          <w:rtl/>
        </w:rPr>
        <w:t xml:space="preserve"> שך, שמן הזמן ש</w:t>
      </w:r>
      <w:r>
        <w:rPr>
          <w:b/>
          <w:bCs/>
          <w:rtl/>
        </w:rPr>
        <w:t>הציע</w:t>
      </w:r>
      <w:r>
        <w:rPr>
          <w:rtl/>
        </w:rPr>
        <w:t xml:space="preserve"> ר׳ חיים את רעיון הקמת הישיבה ועד שהסכים הגאון עברו שלוש שנים. אילו התבסס המפעל על תוכניותיו של ר׳ </w:t>
      </w:r>
      <w:proofErr w:type="spellStart"/>
      <w:r>
        <w:rPr>
          <w:rtl/>
        </w:rPr>
        <w:t>איצל׳ה</w:t>
      </w:r>
      <w:proofErr w:type="spellEnd"/>
      <w:r>
        <w:rPr>
          <w:rtl/>
        </w:rPr>
        <w:t xml:space="preserve"> ללמוד רפואה, היה ר׳ </w:t>
      </w:r>
      <w:proofErr w:type="spellStart"/>
      <w:r>
        <w:rPr>
          <w:rtl/>
        </w:rPr>
        <w:t>איצל׳ה</w:t>
      </w:r>
      <w:proofErr w:type="spellEnd"/>
      <w:r>
        <w:rPr>
          <w:rtl/>
        </w:rPr>
        <w:t xml:space="preserve"> לכל היותר בן </w:t>
      </w:r>
      <w:proofErr w:type="spellStart"/>
      <w:r>
        <w:rPr>
          <w:rtl/>
        </w:rPr>
        <w:t>ארבע־עשרה</w:t>
      </w:r>
      <w:proofErr w:type="spellEnd"/>
      <w:r>
        <w:rPr>
          <w:rtl/>
        </w:rPr>
        <w:t xml:space="preserve"> כשהעלה אביו את הבעיה לפני הגאון מווילנה!</w:t>
      </w:r>
    </w:p>
    <w:p w14:paraId="62EE2C9E" w14:textId="77777777" w:rsidR="00AB3647" w:rsidRDefault="00000000" w:rsidP="007923E9">
      <w:pPr>
        <w:spacing w:after="120" w:line="276" w:lineRule="auto"/>
        <w:ind w:firstLine="283"/>
        <w:jc w:val="both"/>
      </w:pPr>
      <w:r>
        <w:rPr>
          <w:rtl/>
        </w:rPr>
        <w:t xml:space="preserve">לפי </w:t>
      </w:r>
      <w:proofErr w:type="spellStart"/>
      <w:r>
        <w:rPr>
          <w:rtl/>
        </w:rPr>
        <w:t>פיליפסון</w:t>
      </w:r>
      <w:bookmarkStart w:id="1299" w:name="_fnr794"/>
      <w:proofErr w:type="spellEnd"/>
      <w:r>
        <w:rPr>
          <w:rStyle w:val="a5"/>
        </w:rPr>
        <w:footnoteReference w:id="795" w:customMarkFollows="0"/>
      </w:r>
      <w:bookmarkEnd w:id="1299"/>
      <w:r>
        <w:rPr>
          <w:rtl/>
        </w:rPr>
        <w:t xml:space="preserve"> טען </w:t>
      </w:r>
      <w:proofErr w:type="spellStart"/>
      <w:r>
        <w:rPr>
          <w:rtl/>
        </w:rPr>
        <w:t>ליליינטל</w:t>
      </w:r>
      <w:proofErr w:type="spellEnd"/>
      <w:r>
        <w:rPr>
          <w:rtl/>
        </w:rPr>
        <w:t xml:space="preserve"> שר׳ </w:t>
      </w:r>
      <w:proofErr w:type="spellStart"/>
      <w:r>
        <w:rPr>
          <w:rtl/>
        </w:rPr>
        <w:t>איצל׳ה</w:t>
      </w:r>
      <w:proofErr w:type="spellEnd"/>
      <w:r>
        <w:rPr>
          <w:rtl/>
        </w:rPr>
        <w:t xml:space="preserve"> “דיבר גרמנית, רוסית ופולנית על </w:t>
      </w:r>
      <w:proofErr w:type="spellStart"/>
      <w:r>
        <w:rPr>
          <w:rtl/>
        </w:rPr>
        <w:t>בוריין</w:t>
      </w:r>
      <w:proofErr w:type="spellEnd"/>
      <w:r>
        <w:rPr>
          <w:rtl/>
        </w:rPr>
        <w:t xml:space="preserve">”. כפי שנראה להלן, </w:t>
      </w:r>
      <w:proofErr w:type="spellStart"/>
      <w:r>
        <w:rPr>
          <w:rtl/>
        </w:rPr>
        <w:t>ליליינטל</w:t>
      </w:r>
      <w:proofErr w:type="spellEnd"/>
      <w:r>
        <w:rPr>
          <w:rtl/>
        </w:rPr>
        <w:t xml:space="preserve"> אינו מהימן – וספק אם </w:t>
      </w:r>
      <w:proofErr w:type="spellStart"/>
      <w:r>
        <w:rPr>
          <w:rtl/>
        </w:rPr>
        <w:t>ליליינטל</w:t>
      </w:r>
      <w:proofErr w:type="spellEnd"/>
      <w:r>
        <w:rPr>
          <w:rtl/>
        </w:rPr>
        <w:t xml:space="preserve"> עצמו ידע פולנית. לפי יעקב מארק</w:t>
      </w:r>
      <w:bookmarkStart w:id="1300" w:name="_fnr795"/>
      <w:r>
        <w:rPr>
          <w:rStyle w:val="a5"/>
        </w:rPr>
        <w:footnoteReference w:id="796" w:customMarkFollows="0"/>
      </w:r>
      <w:bookmarkEnd w:id="1300"/>
      <w:r>
        <w:rPr>
          <w:rtl/>
        </w:rPr>
        <w:t xml:space="preserve"> אף הוא “לא הבין מילה אחת ברוסית”, ומן הסתם שוחח עם </w:t>
      </w:r>
      <w:proofErr w:type="spellStart"/>
      <w:r>
        <w:rPr>
          <w:rtl/>
        </w:rPr>
        <w:t>אוברוב</w:t>
      </w:r>
      <w:proofErr w:type="spellEnd"/>
      <w:r>
        <w:rPr>
          <w:rtl/>
        </w:rPr>
        <w:t xml:space="preserve"> בגרמנית – ראה הפסקה הרביעית לעיל, </w:t>
      </w:r>
      <w:proofErr w:type="spellStart"/>
      <w:r>
        <w:rPr>
          <w:rtl/>
        </w:rPr>
        <w:t>שאוברוב</w:t>
      </w:r>
      <w:proofErr w:type="spellEnd"/>
      <w:r>
        <w:rPr>
          <w:rtl/>
        </w:rPr>
        <w:t xml:space="preserve"> התחנך במערב אירופה. אבל לכך שר׳ </w:t>
      </w:r>
      <w:proofErr w:type="spellStart"/>
      <w:r>
        <w:rPr>
          <w:rtl/>
        </w:rPr>
        <w:t>איצל׳ה</w:t>
      </w:r>
      <w:proofErr w:type="spellEnd"/>
      <w:r>
        <w:rPr>
          <w:rtl/>
        </w:rPr>
        <w:t xml:space="preserve"> דיבר פולנית יש סימוכין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01" w:name="_fnr796"/>
      <w:r>
        <w:rPr>
          <w:rStyle w:val="a5"/>
        </w:rPr>
        <w:footnoteReference w:id="797" w:customMarkFollows="0"/>
      </w:r>
      <w:bookmarkEnd w:id="1301"/>
      <w:r>
        <w:rPr>
          <w:rtl/>
        </w:rPr>
        <w:t xml:space="preserve"> האומר: “</w:t>
      </w:r>
      <w:proofErr w:type="spellStart"/>
      <w:r>
        <w:rPr>
          <w:rtl/>
        </w:rPr>
        <w:t>בוולוז׳ין</w:t>
      </w:r>
      <w:proofErr w:type="spellEnd"/>
      <w:r>
        <w:rPr>
          <w:rtl/>
        </w:rPr>
        <w:t xml:space="preserve"> אמרו שר׳ </w:t>
      </w:r>
      <w:proofErr w:type="spellStart"/>
      <w:r>
        <w:rPr>
          <w:rtl/>
        </w:rPr>
        <w:t>איצל׳ה</w:t>
      </w:r>
      <w:proofErr w:type="spellEnd"/>
      <w:r>
        <w:rPr>
          <w:rtl/>
        </w:rPr>
        <w:t xml:space="preserve"> ידע היטב את השפה הפולנית; שפה זו דוברה בימיו ובשנים שלאחר מכן בפלך וילנה [שבו שכנה </w:t>
      </w:r>
      <w:proofErr w:type="spellStart"/>
      <w:r>
        <w:rPr>
          <w:rtl/>
        </w:rPr>
        <w:t>וולוז׳ין</w:t>
      </w:r>
      <w:proofErr w:type="spellEnd"/>
      <w:r>
        <w:rPr>
          <w:rtl/>
        </w:rPr>
        <w:t>]. עוד אמרו שנמצאו ספרים פולניים [בספרייתו] כשנפטר.” והשווה גם “</w:t>
      </w:r>
      <w:proofErr w:type="spellStart"/>
      <w:r>
        <w:rPr>
          <w:rtl/>
        </w:rPr>
        <w:t>זכרון</w:t>
      </w:r>
      <w:proofErr w:type="spellEnd"/>
      <w:r>
        <w:rPr>
          <w:rtl/>
        </w:rPr>
        <w:t xml:space="preserve"> יעקב”</w:t>
      </w:r>
      <w:bookmarkStart w:id="1302" w:name="_fnr797"/>
      <w:r>
        <w:rPr>
          <w:rStyle w:val="a5"/>
        </w:rPr>
        <w:footnoteReference w:id="798" w:customMarkFollows="0"/>
      </w:r>
      <w:bookmarkEnd w:id="1302"/>
      <w:r>
        <w:rPr>
          <w:rtl/>
        </w:rPr>
        <w:t xml:space="preserve">: בדרך </w:t>
      </w:r>
      <w:r>
        <w:rPr>
          <w:rtl/>
        </w:rPr>
        <w:lastRenderedPageBreak/>
        <w:t xml:space="preserve">כלל היו פקידי הדרג הנמוך בכל בלארוס פולנים, שהשתמשו בלשונם במגעם עם ההמונים. לכן </w:t>
      </w:r>
      <w:r>
        <w:rPr>
          <w:b/>
          <w:bCs/>
          <w:rtl/>
        </w:rPr>
        <w:t>רוב</w:t>
      </w:r>
      <w:r>
        <w:rPr>
          <w:rtl/>
        </w:rPr>
        <w:t xml:space="preserve"> היהודים ידעו לדבר מעט פולנית, וודאי טוב יותר מרוסית.</w:t>
      </w:r>
    </w:p>
    <w:p w14:paraId="66329A50" w14:textId="77777777" w:rsidR="00AB3647" w:rsidRDefault="00000000" w:rsidP="007923E9">
      <w:pPr>
        <w:spacing w:after="120" w:line="276" w:lineRule="auto"/>
        <w:ind w:firstLine="283"/>
        <w:jc w:val="both"/>
      </w:pPr>
      <w:r>
        <w:rPr>
          <w:rtl/>
        </w:rPr>
        <w:t xml:space="preserve">יש להניח ששמו של ר׳ </w:t>
      </w:r>
      <w:proofErr w:type="spellStart"/>
      <w:r>
        <w:rPr>
          <w:rtl/>
        </w:rPr>
        <w:t>איצל׳ה</w:t>
      </w:r>
      <w:proofErr w:type="spellEnd"/>
      <w:r>
        <w:rPr>
          <w:rtl/>
        </w:rPr>
        <w:t xml:space="preserve"> כמי שאינו “בטלן” הוא שהביא את </w:t>
      </w:r>
      <w:proofErr w:type="spellStart"/>
      <w:r>
        <w:rPr>
          <w:rtl/>
        </w:rPr>
        <w:t>ליליינטל</w:t>
      </w:r>
      <w:proofErr w:type="spellEnd"/>
      <w:r>
        <w:rPr>
          <w:rtl/>
        </w:rPr>
        <w:t xml:space="preserve"> </w:t>
      </w:r>
      <w:proofErr w:type="spellStart"/>
      <w:r>
        <w:rPr>
          <w:rtl/>
        </w:rPr>
        <w:t>לוולוז׳ין</w:t>
      </w:r>
      <w:proofErr w:type="spellEnd"/>
      <w:r>
        <w:rPr>
          <w:rtl/>
        </w:rPr>
        <w:t xml:space="preserve"> מלכתחילה. והוא שגרם, שלושה חודשים קודם לכן, שר׳ </w:t>
      </w:r>
      <w:proofErr w:type="spellStart"/>
      <w:r>
        <w:rPr>
          <w:rtl/>
        </w:rPr>
        <w:t>איצל׳ה</w:t>
      </w:r>
      <w:proofErr w:type="spellEnd"/>
      <w:r>
        <w:rPr>
          <w:rtl/>
        </w:rPr>
        <w:t xml:space="preserve"> ייבחר מבין עשרות רבני המתנגדים הגדולים לייצג את הציבור האורתודוקסי (יחד עם האדמו״ר </w:t>
      </w:r>
      <w:proofErr w:type="spellStart"/>
      <w:r>
        <w:rPr>
          <w:rtl/>
        </w:rPr>
        <w:t>מליובאוויטש</w:t>
      </w:r>
      <w:proofErr w:type="spellEnd"/>
      <w:r>
        <w:rPr>
          <w:rtl/>
        </w:rPr>
        <w:t>), כאמור לעיל בסוף הפסקה השביעית.</w:t>
      </w:r>
    </w:p>
    <w:p w14:paraId="3E56E500" w14:textId="77777777" w:rsidR="00AB3647" w:rsidRDefault="00000000" w:rsidP="007923E9">
      <w:pPr>
        <w:spacing w:after="120" w:line="276" w:lineRule="auto"/>
        <w:ind w:firstLine="283"/>
        <w:jc w:val="both"/>
      </w:pPr>
      <w:bookmarkStart w:id="1303" w:name="pr_b_617"/>
      <w:bookmarkEnd w:id="1303"/>
      <w:r>
        <w:rPr>
          <w:rtl/>
        </w:rPr>
        <w:t>לפי “מקור ברוך”,</w:t>
      </w:r>
      <w:bookmarkStart w:id="1304" w:name="_fnr798"/>
      <w:r>
        <w:rPr>
          <w:rStyle w:val="a5"/>
        </w:rPr>
        <w:footnoteReference w:id="799" w:customMarkFollows="0"/>
      </w:r>
      <w:bookmarkEnd w:id="1304"/>
      <w:r>
        <w:rPr>
          <w:rtl/>
        </w:rPr>
        <w:t xml:space="preserve"> דרשתו של ר׳ </w:t>
      </w:r>
      <w:proofErr w:type="spellStart"/>
      <w:r>
        <w:rPr>
          <w:rtl/>
        </w:rPr>
        <w:t>איצל׳ה</w:t>
      </w:r>
      <w:proofErr w:type="spellEnd"/>
      <w:r>
        <w:rPr>
          <w:rtl/>
        </w:rPr>
        <w:t xml:space="preserve"> פגעה בד״ר </w:t>
      </w:r>
      <w:proofErr w:type="spellStart"/>
      <w:r>
        <w:rPr>
          <w:rtl/>
        </w:rPr>
        <w:t>ליליינטל</w:t>
      </w:r>
      <w:proofErr w:type="spellEnd"/>
      <w:r>
        <w:rPr>
          <w:rtl/>
        </w:rPr>
        <w:t xml:space="preserve">, </w:t>
      </w:r>
      <w:proofErr w:type="spellStart"/>
      <w:r>
        <w:rPr>
          <w:rtl/>
        </w:rPr>
        <w:t>ו“האנשים</w:t>
      </w:r>
      <w:proofErr w:type="spellEnd"/>
      <w:r>
        <w:rPr>
          <w:rtl/>
        </w:rPr>
        <w:t xml:space="preserve"> שליד הפינה של </w:t>
      </w:r>
      <w:proofErr w:type="spellStart"/>
      <w:r>
        <w:rPr>
          <w:rtl/>
        </w:rPr>
        <w:t>ליליינטל</w:t>
      </w:r>
      <w:proofErr w:type="spellEnd"/>
      <w:r>
        <w:rPr>
          <w:rtl/>
        </w:rPr>
        <w:t>, שבה ישב כשטליתו על ראשו, שמעו אותו בוכה חרש”, משום שהותקף שלא בצדק.</w:t>
      </w:r>
    </w:p>
    <w:p w14:paraId="269C0718" w14:textId="77777777"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w:t>
      </w:r>
      <w:bookmarkStart w:id="1305" w:name="_fnr799"/>
      <w:r>
        <w:rPr>
          <w:rStyle w:val="a5"/>
        </w:rPr>
        <w:footnoteReference w:id="800" w:customMarkFollows="0"/>
      </w:r>
      <w:bookmarkEnd w:id="1305"/>
      <w:r>
        <w:rPr>
          <w:rtl/>
        </w:rPr>
        <w:t xml:space="preserve"> המספר, כאמור לעיל, שהדרשה לא תקפה את </w:t>
      </w:r>
      <w:proofErr w:type="spellStart"/>
      <w:r>
        <w:rPr>
          <w:rtl/>
        </w:rPr>
        <w:t>ליליינטל</w:t>
      </w:r>
      <w:proofErr w:type="spellEnd"/>
      <w:r>
        <w:rPr>
          <w:rtl/>
        </w:rPr>
        <w:t xml:space="preserve"> במישרין – אף שייתכן מאוד שזה היה רק </w:t>
      </w:r>
      <w:r>
        <w:rPr>
          <w:b/>
          <w:bCs/>
          <w:rtl/>
        </w:rPr>
        <w:t>חלק</w:t>
      </w:r>
      <w:r>
        <w:rPr>
          <w:rtl/>
        </w:rPr>
        <w:t xml:space="preserve"> מדרשתו של ר׳ </w:t>
      </w:r>
      <w:proofErr w:type="spellStart"/>
      <w:r>
        <w:rPr>
          <w:rtl/>
        </w:rPr>
        <w:t>איצל׳ה</w:t>
      </w:r>
      <w:proofErr w:type="spellEnd"/>
      <w:r>
        <w:rPr>
          <w:rtl/>
        </w:rPr>
        <w:t>, כפי שהוצע לעיל – “[</w:t>
      </w:r>
      <w:proofErr w:type="spellStart"/>
      <w:r>
        <w:rPr>
          <w:rtl/>
        </w:rPr>
        <w:t>ליליינטל</w:t>
      </w:r>
      <w:proofErr w:type="spellEnd"/>
      <w:r>
        <w:rPr>
          <w:rtl/>
        </w:rPr>
        <w:t>] עלה על הבימה ואמר בין השאר: ‘אתם רשאים לחשוד ברעיונותיי ובמעשיי. אולם אני נשבע’ – והוציא ספר תורה – ‘</w:t>
      </w:r>
      <w:proofErr w:type="spellStart"/>
      <w:r>
        <w:rPr>
          <w:rtl/>
        </w:rPr>
        <w:t>באלקים</w:t>
      </w:r>
      <w:proofErr w:type="spellEnd"/>
      <w:r>
        <w:rPr>
          <w:rtl/>
        </w:rPr>
        <w:t xml:space="preserve"> ובספר הזה שכוונותיי לשם שמים ולטובת עם ישראל, ואני מאמין שמטרת הממשלה בתיקונים שהיא מכינה... אינה אלא לטובת עמנו, בלי כוונות זרות. עוד אני נשבע שאם אשתכנע שטעיתי ואראה במעשי השר פגיעה כלשהי בדתנו הקדושה, אסתלק מן העניין כולו.’”</w:t>
      </w:r>
    </w:p>
    <w:p w14:paraId="4AC8F23E" w14:textId="77777777" w:rsidR="00AB3647" w:rsidRDefault="00000000" w:rsidP="007923E9">
      <w:pPr>
        <w:spacing w:after="120" w:line="276" w:lineRule="auto"/>
        <w:ind w:firstLine="283"/>
        <w:jc w:val="both"/>
      </w:pPr>
      <w:r>
        <w:rPr>
          <w:rtl/>
        </w:rPr>
        <w:t>“מקור ברוך”,</w:t>
      </w:r>
      <w:bookmarkStart w:id="1306" w:name="_fnr800"/>
      <w:r>
        <w:rPr>
          <w:rStyle w:val="a5"/>
        </w:rPr>
        <w:footnoteReference w:id="801" w:customMarkFollows="0"/>
      </w:r>
      <w:bookmarkEnd w:id="1306"/>
      <w:r>
        <w:rPr>
          <w:rtl/>
        </w:rPr>
        <w:t xml:space="preserve"> המובא להלן, מזכיר גם הוא </w:t>
      </w:r>
      <w:proofErr w:type="spellStart"/>
      <w:r>
        <w:rPr>
          <w:rtl/>
        </w:rPr>
        <w:t>שהנצי״ב</w:t>
      </w:r>
      <w:proofErr w:type="spellEnd"/>
      <w:r>
        <w:rPr>
          <w:rtl/>
        </w:rPr>
        <w:t xml:space="preserve"> סיפר </w:t>
      </w:r>
      <w:proofErr w:type="spellStart"/>
      <w:r>
        <w:rPr>
          <w:rtl/>
        </w:rPr>
        <w:t>שליליינטל</w:t>
      </w:r>
      <w:proofErr w:type="spellEnd"/>
      <w:r>
        <w:rPr>
          <w:rtl/>
        </w:rPr>
        <w:t xml:space="preserve"> נשבע שבועה כזו, </w:t>
      </w:r>
      <w:r>
        <w:rPr>
          <w:b/>
          <w:bCs/>
          <w:rtl/>
        </w:rPr>
        <w:t xml:space="preserve">אלא שלא </w:t>
      </w:r>
      <w:proofErr w:type="spellStart"/>
      <w:r>
        <w:rPr>
          <w:b/>
          <w:bCs/>
          <w:rtl/>
        </w:rPr>
        <w:t>בוולוז׳ין</w:t>
      </w:r>
      <w:proofErr w:type="spellEnd"/>
      <w:r>
        <w:rPr>
          <w:rtl/>
        </w:rPr>
        <w:t>, כי אם “</w:t>
      </w:r>
      <w:proofErr w:type="spellStart"/>
      <w:r>
        <w:rPr>
          <w:rtl/>
        </w:rPr>
        <w:t>בווילנא</w:t>
      </w:r>
      <w:proofErr w:type="spellEnd"/>
      <w:r>
        <w:rPr>
          <w:rtl/>
        </w:rPr>
        <w:t xml:space="preserve"> בפני גדולי העם”. אם אכן נשבעה השבועה הנטענת בווילנה, ודאי נשבעה </w:t>
      </w:r>
      <w:r>
        <w:rPr>
          <w:b/>
          <w:bCs/>
          <w:rtl/>
        </w:rPr>
        <w:t>לפני</w:t>
      </w:r>
      <w:r>
        <w:rPr>
          <w:rtl/>
        </w:rPr>
        <w:t xml:space="preserve"> שבא </w:t>
      </w:r>
      <w:proofErr w:type="spellStart"/>
      <w:r>
        <w:rPr>
          <w:rtl/>
        </w:rPr>
        <w:t>ליליינטל</w:t>
      </w:r>
      <w:proofErr w:type="spellEnd"/>
      <w:r>
        <w:rPr>
          <w:rtl/>
        </w:rPr>
        <w:t xml:space="preserve"> </w:t>
      </w:r>
      <w:proofErr w:type="spellStart"/>
      <w:r>
        <w:rPr>
          <w:rtl/>
        </w:rPr>
        <w:t>לוולוז׳ין</w:t>
      </w:r>
      <w:proofErr w:type="spellEnd"/>
      <w:r>
        <w:rPr>
          <w:rtl/>
        </w:rPr>
        <w:t xml:space="preserve">. שהרי בביקורו בווילנה אחרי </w:t>
      </w:r>
      <w:proofErr w:type="spellStart"/>
      <w:r>
        <w:rPr>
          <w:rtl/>
        </w:rPr>
        <w:t>וולוז׳ין</w:t>
      </w:r>
      <w:proofErr w:type="spellEnd"/>
      <w:r>
        <w:rPr>
          <w:rtl/>
        </w:rPr>
        <w:t xml:space="preserve"> לא היה לו צורך להישבע, משום שכבר הוכשר בידי ר׳ </w:t>
      </w:r>
      <w:proofErr w:type="spellStart"/>
      <w:r>
        <w:rPr>
          <w:rtl/>
        </w:rPr>
        <w:t>איצל׳ה</w:t>
      </w:r>
      <w:proofErr w:type="spellEnd"/>
      <w:r>
        <w:rPr>
          <w:rtl/>
        </w:rPr>
        <w:t>, כפי שיתברר בהמשך. מכאן ש</w:t>
      </w:r>
      <w:r>
        <w:rPr>
          <w:b/>
          <w:bCs/>
          <w:rtl/>
        </w:rPr>
        <w:t>לדעת “מקור ברוך”</w:t>
      </w:r>
      <w:r>
        <w:rPr>
          <w:rtl/>
        </w:rPr>
        <w:t xml:space="preserve"> לא הספיקה שבועתו הקודמת של </w:t>
      </w:r>
      <w:proofErr w:type="spellStart"/>
      <w:r>
        <w:rPr>
          <w:rtl/>
        </w:rPr>
        <w:t>ליליינטל</w:t>
      </w:r>
      <w:proofErr w:type="spellEnd"/>
      <w:r>
        <w:rPr>
          <w:rtl/>
        </w:rPr>
        <w:t xml:space="preserve"> כדי לפזר את ענן החשד שהיה נתון בו בשעה </w:t>
      </w:r>
      <w:r>
        <w:rPr>
          <w:b/>
          <w:bCs/>
          <w:rtl/>
        </w:rPr>
        <w:t>שהגיע</w:t>
      </w:r>
      <w:r>
        <w:rPr>
          <w:rtl/>
        </w:rPr>
        <w:t xml:space="preserve"> </w:t>
      </w:r>
      <w:proofErr w:type="spellStart"/>
      <w:r>
        <w:rPr>
          <w:rtl/>
        </w:rPr>
        <w:t>לוולוז׳ין</w:t>
      </w:r>
      <w:proofErr w:type="spellEnd"/>
      <w:r>
        <w:rPr>
          <w:rtl/>
        </w:rPr>
        <w:t>.</w:t>
      </w:r>
    </w:p>
    <w:p w14:paraId="1A021C27" w14:textId="77777777" w:rsidR="00AB3647" w:rsidRDefault="00000000" w:rsidP="007923E9">
      <w:pPr>
        <w:spacing w:after="120" w:line="276" w:lineRule="auto"/>
        <w:ind w:firstLine="283"/>
        <w:jc w:val="both"/>
      </w:pPr>
      <w:r>
        <w:rPr>
          <w:rtl/>
        </w:rPr>
        <w:t xml:space="preserve">השמועות על שבועה בווילנה קשורות ודאי בדיווח של ש.ל. </w:t>
      </w:r>
      <w:proofErr w:type="spellStart"/>
      <w:r>
        <w:rPr>
          <w:rtl/>
        </w:rPr>
        <w:t>ציטראן</w:t>
      </w:r>
      <w:proofErr w:type="spellEnd"/>
      <w:r>
        <w:rPr>
          <w:rtl/>
        </w:rPr>
        <w:t xml:space="preserve">, המובא </w:t>
      </w:r>
      <w:proofErr w:type="spellStart"/>
      <w:r>
        <w:rPr>
          <w:rtl/>
        </w:rPr>
        <w:t>ב“זכרון</w:t>
      </w:r>
      <w:proofErr w:type="spellEnd"/>
      <w:r>
        <w:rPr>
          <w:rtl/>
        </w:rPr>
        <w:t xml:space="preserve"> יעקב”,</w:t>
      </w:r>
      <w:bookmarkStart w:id="1307" w:name="_fnr801"/>
      <w:r>
        <w:rPr>
          <w:rStyle w:val="a5"/>
        </w:rPr>
        <w:footnoteReference w:id="802" w:customMarkFollows="0"/>
      </w:r>
      <w:bookmarkEnd w:id="1307"/>
      <w:r>
        <w:rPr>
          <w:rtl/>
        </w:rPr>
        <w:t xml:space="preserve"> שכאשר הציג </w:t>
      </w:r>
      <w:proofErr w:type="spellStart"/>
      <w:r>
        <w:rPr>
          <w:rtl/>
        </w:rPr>
        <w:t>ליליינטל</w:t>
      </w:r>
      <w:proofErr w:type="spellEnd"/>
      <w:r>
        <w:rPr>
          <w:rtl/>
        </w:rPr>
        <w:t xml:space="preserve"> את תוכניתו של </w:t>
      </w:r>
      <w:proofErr w:type="spellStart"/>
      <w:r>
        <w:rPr>
          <w:rtl/>
        </w:rPr>
        <w:t>אוברוב</w:t>
      </w:r>
      <w:proofErr w:type="spellEnd"/>
      <w:r>
        <w:rPr>
          <w:rtl/>
        </w:rPr>
        <w:t xml:space="preserve"> בווילנה, “</w:t>
      </w:r>
      <w:r>
        <w:rPr>
          <w:b/>
          <w:bCs/>
          <w:rtl/>
        </w:rPr>
        <w:t>באחרונה</w:t>
      </w:r>
      <w:r>
        <w:rPr>
          <w:rtl/>
        </w:rPr>
        <w:t xml:space="preserve"> (ההדגשה שלי) קם ראש המדברים ממקומו, וישאל את ה׳ </w:t>
      </w:r>
      <w:proofErr w:type="spellStart"/>
      <w:r>
        <w:rPr>
          <w:rtl/>
        </w:rPr>
        <w:t>לילענטהאל</w:t>
      </w:r>
      <w:proofErr w:type="spellEnd"/>
      <w:r>
        <w:rPr>
          <w:rtl/>
        </w:rPr>
        <w:t xml:space="preserve"> בשם כל הנאספים כבאי </w:t>
      </w:r>
      <w:proofErr w:type="spellStart"/>
      <w:r>
        <w:rPr>
          <w:rtl/>
        </w:rPr>
        <w:t>כח</w:t>
      </w:r>
      <w:proofErr w:type="spellEnd"/>
      <w:r>
        <w:rPr>
          <w:rtl/>
        </w:rPr>
        <w:t xml:space="preserve"> העם, אם החדשה שהממשלה אומרת לברוא בקרב היהודים, איננה במחשבה תחלה לעשותה ברבות הימים לרועץ ולמקל חובלים,</w:t>
      </w:r>
      <w:bookmarkStart w:id="1308" w:name="_fnr802"/>
      <w:r>
        <w:rPr>
          <w:rStyle w:val="a5"/>
        </w:rPr>
        <w:footnoteReference w:id="803" w:customMarkFollows="0"/>
      </w:r>
      <w:bookmarkEnd w:id="1308"/>
      <w:r>
        <w:rPr>
          <w:rtl/>
        </w:rPr>
        <w:t xml:space="preserve"> להכות בה לרסיסים אמוני מוורשה קהלת יעקב, כאשר כן ינבא להם קול סתר בעמקי בתי נפשם”. לפי המסופר השיב </w:t>
      </w:r>
      <w:proofErr w:type="spellStart"/>
      <w:r>
        <w:rPr>
          <w:rtl/>
        </w:rPr>
        <w:t>ליליינטל</w:t>
      </w:r>
      <w:proofErr w:type="spellEnd"/>
      <w:r>
        <w:rPr>
          <w:rtl/>
        </w:rPr>
        <w:t xml:space="preserve">: “אתם כילידי </w:t>
      </w:r>
      <w:proofErr w:type="spellStart"/>
      <w:r>
        <w:rPr>
          <w:rtl/>
        </w:rPr>
        <w:t>רוסיא</w:t>
      </w:r>
      <w:proofErr w:type="spellEnd"/>
      <w:r>
        <w:rPr>
          <w:rtl/>
        </w:rPr>
        <w:t xml:space="preserve"> אל נכון תטיבו לדעת ממני, כי אין ביכולתי להשיג לכם ערובה על איזה ענין שיהיה, כי לב מלכים ושרים ביד ה׳</w:t>
      </w:r>
      <w:bookmarkStart w:id="1309" w:name="_fnr803"/>
      <w:r>
        <w:rPr>
          <w:rStyle w:val="a5"/>
        </w:rPr>
        <w:footnoteReference w:id="804" w:customMarkFollows="0"/>
      </w:r>
      <w:bookmarkEnd w:id="1309"/>
      <w:r>
        <w:rPr>
          <w:rtl/>
        </w:rPr>
        <w:t xml:space="preserve"> – ואיככה אוכל אני, גר אומלל יליד ארץ </w:t>
      </w:r>
      <w:proofErr w:type="spellStart"/>
      <w:r>
        <w:rPr>
          <w:rtl/>
        </w:rPr>
        <w:t>נכריה</w:t>
      </w:r>
      <w:proofErr w:type="spellEnd"/>
      <w:r>
        <w:rPr>
          <w:rtl/>
        </w:rPr>
        <w:t xml:space="preserve">, ונתתי לכם ערובה”. אחרי </w:t>
      </w:r>
      <w:r>
        <w:rPr>
          <w:rtl/>
        </w:rPr>
        <w:lastRenderedPageBreak/>
        <w:t xml:space="preserve">התנצלות כזו ודאי הייתה שבועה במקומה, ואז נשבע </w:t>
      </w:r>
      <w:proofErr w:type="spellStart"/>
      <w:r>
        <w:rPr>
          <w:rtl/>
        </w:rPr>
        <w:t>ליליינטל</w:t>
      </w:r>
      <w:proofErr w:type="spellEnd"/>
      <w:r>
        <w:rPr>
          <w:rtl/>
        </w:rPr>
        <w:t xml:space="preserve"> לנתק את קשריו עם הממשלה אם “יראה במעשי השר פגיעה כלשהי בדתנו הקדושה”.</w:t>
      </w:r>
    </w:p>
    <w:p w14:paraId="5DFEBFA9" w14:textId="77777777" w:rsidR="00AB3647" w:rsidRDefault="00000000" w:rsidP="007923E9">
      <w:pPr>
        <w:pStyle w:val="4"/>
        <w:spacing w:line="276" w:lineRule="auto"/>
      </w:pPr>
      <w:r>
        <w:t>· הפסקה העשירית ·</w:t>
      </w:r>
    </w:p>
    <w:p w14:paraId="110B98C7" w14:textId="77777777" w:rsidR="00AB3647" w:rsidRDefault="00000000" w:rsidP="007923E9">
      <w:pPr>
        <w:pStyle w:val="5"/>
        <w:spacing w:line="276" w:lineRule="auto"/>
      </w:pPr>
      <w:proofErr w:type="spellStart"/>
      <w:r>
        <w:t>ליליינטל</w:t>
      </w:r>
      <w:proofErr w:type="spellEnd"/>
      <w:r>
        <w:t xml:space="preserve"> מוציא פרוטוקול סודי בפגישתו </w:t>
      </w:r>
      <w:proofErr w:type="spellStart"/>
      <w:r>
        <w:t>בוולוז׳ין</w:t>
      </w:r>
      <w:proofErr w:type="spellEnd"/>
    </w:p>
    <w:p w14:paraId="04F0D0BB" w14:textId="77777777" w:rsidR="00AB3647" w:rsidRDefault="00000000" w:rsidP="007923E9">
      <w:pPr>
        <w:spacing w:after="120" w:line="276" w:lineRule="auto"/>
        <w:ind w:firstLine="283"/>
        <w:jc w:val="both"/>
      </w:pPr>
      <w:r>
        <w:rPr>
          <w:rtl/>
        </w:rPr>
        <w:t>לפי “מקור ברוך”,</w:t>
      </w:r>
      <w:bookmarkStart w:id="1310" w:name="_fnr804"/>
      <w:r>
        <w:rPr>
          <w:rStyle w:val="a5"/>
        </w:rPr>
        <w:footnoteReference w:id="805" w:customMarkFollows="0"/>
      </w:r>
      <w:bookmarkEnd w:id="1310"/>
      <w:r>
        <w:rPr>
          <w:rtl/>
        </w:rPr>
        <w:t xml:space="preserve"> גילה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במהלך שיחותיהם את תוכנה של ישיבה סודית שקיימו השרים עם הצאר. הוא הציג “העתק מאושר” של פרוטוקול הישיבה, ובו נאמר: “היהודים מסרבים להשתלב בחיים האזרחיים של המדינה, אינם רוצים לדעת את לשונה ולהתחבר עמה, ונרתעים מכל תנועה לקראת ההשכלה וההתאזרחות. הצאר ורוב השרים סבורים שיש להכריז על כל היהודים ‘מגויסים’ ולשלחם </w:t>
      </w:r>
      <w:proofErr w:type="spellStart"/>
      <w:r>
        <w:rPr>
          <w:rtl/>
        </w:rPr>
        <w:t>כ‘גולי</w:t>
      </w:r>
      <w:proofErr w:type="spellEnd"/>
      <w:r>
        <w:rPr>
          <w:rtl/>
        </w:rPr>
        <w:t xml:space="preserve"> צבא’ אל קצווי הארץ הרחוקים. רק הרוזן </w:t>
      </w:r>
      <w:proofErr w:type="spellStart"/>
      <w:r>
        <w:rPr>
          <w:rtl/>
        </w:rPr>
        <w:t>אוברוב</w:t>
      </w:r>
      <w:proofErr w:type="spellEnd"/>
      <w:r>
        <w:rPr>
          <w:rtl/>
        </w:rPr>
        <w:t xml:space="preserve"> ושר אחד נוסף [ששמו נזכר] סבורים שזהו צעד קשה מדי למדינה נאורה, וכדי לפייס את הצאר קיבלו שני השרים על עצמם את המשא להטות את לב היהודים להשכלה ולאזרחות הגונה. ולזה הסכים הצאר.”</w:t>
      </w:r>
    </w:p>
    <w:p w14:paraId="25843F85"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הודיע שנשלח לבצע בשם </w:t>
      </w:r>
      <w:proofErr w:type="spellStart"/>
      <w:r>
        <w:rPr>
          <w:rtl/>
        </w:rPr>
        <w:t>אוברוב</w:t>
      </w:r>
      <w:proofErr w:type="spellEnd"/>
      <w:r>
        <w:rPr>
          <w:rtl/>
        </w:rPr>
        <w:t xml:space="preserve"> את מה שהשר התחייב לפני הצאר, ושאם יידחה הוא עצמו בעניין הקמת בתי הספר המודרניים, ייאלץ </w:t>
      </w:r>
      <w:proofErr w:type="spellStart"/>
      <w:r>
        <w:rPr>
          <w:rtl/>
        </w:rPr>
        <w:t>אוברוב</w:t>
      </w:r>
      <w:proofErr w:type="spellEnd"/>
      <w:r>
        <w:rPr>
          <w:rtl/>
        </w:rPr>
        <w:t xml:space="preserve"> להיכנע לנטיות הצאר ורוב השרים, וגורל היהודים יהיה נורא. האורח הוסיף שלא פרסם את </w:t>
      </w:r>
      <w:proofErr w:type="spellStart"/>
      <w:r>
        <w:rPr>
          <w:rtl/>
        </w:rPr>
        <w:t>ה“העתק</w:t>
      </w:r>
      <w:proofErr w:type="spellEnd"/>
      <w:r>
        <w:rPr>
          <w:rtl/>
        </w:rPr>
        <w:t xml:space="preserve">” הזה בערים שביקר בהן קודם לכן, משום שחשש שהיהודים ייפלו לייאוש גמור. מוזר הוא שבמקום אחר </w:t>
      </w:r>
      <w:proofErr w:type="spellStart"/>
      <w:r>
        <w:rPr>
          <w:rtl/>
        </w:rPr>
        <w:t>ב“מקור</w:t>
      </w:r>
      <w:proofErr w:type="spellEnd"/>
      <w:r>
        <w:rPr>
          <w:rtl/>
        </w:rPr>
        <w:t xml:space="preserve"> ברוך”</w:t>
      </w:r>
      <w:bookmarkStart w:id="1311" w:name="_fnr805"/>
      <w:r>
        <w:rPr>
          <w:rStyle w:val="a5"/>
        </w:rPr>
        <w:footnoteReference w:id="806" w:customMarkFollows="0"/>
      </w:r>
      <w:bookmarkEnd w:id="1311"/>
      <w:r>
        <w:rPr>
          <w:rtl/>
        </w:rPr>
        <w:t xml:space="preserve"> הטעם לכך </w:t>
      </w:r>
      <w:proofErr w:type="spellStart"/>
      <w:r>
        <w:rPr>
          <w:rtl/>
        </w:rPr>
        <w:t>שליליינטל</w:t>
      </w:r>
      <w:proofErr w:type="spellEnd"/>
      <w:r>
        <w:rPr>
          <w:rtl/>
        </w:rPr>
        <w:t xml:space="preserve"> לא פרסם את </w:t>
      </w:r>
      <w:proofErr w:type="spellStart"/>
      <w:r>
        <w:rPr>
          <w:rtl/>
        </w:rPr>
        <w:t>ה“העתק</w:t>
      </w:r>
      <w:proofErr w:type="spellEnd"/>
      <w:r>
        <w:rPr>
          <w:rtl/>
        </w:rPr>
        <w:t xml:space="preserve">” משתנה: שם מגלה המחבר בלשון סתומה </w:t>
      </w:r>
      <w:proofErr w:type="spellStart"/>
      <w:r>
        <w:rPr>
          <w:rtl/>
        </w:rPr>
        <w:t>שלליליינטל</w:t>
      </w:r>
      <w:proofErr w:type="spellEnd"/>
      <w:r>
        <w:rPr>
          <w:rtl/>
        </w:rPr>
        <w:t xml:space="preserve"> היה “טעם אישי, נסתר” שלא לגלות לאיש את דבר קיומו של פרוטוקול זה לפני פגישתו עם ר׳ </w:t>
      </w:r>
      <w:proofErr w:type="spellStart"/>
      <w:r>
        <w:rPr>
          <w:rtl/>
        </w:rPr>
        <w:t>איצל׳ה</w:t>
      </w:r>
      <w:proofErr w:type="spellEnd"/>
      <w:r>
        <w:rPr>
          <w:rtl/>
        </w:rPr>
        <w:t>.</w:t>
      </w:r>
    </w:p>
    <w:p w14:paraId="5D85A3E3"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6AED1BBF" w14:textId="77777777" w:rsidR="00AB3647" w:rsidRDefault="00000000" w:rsidP="007923E9">
      <w:pPr>
        <w:pStyle w:val="5"/>
        <w:spacing w:line="276" w:lineRule="auto"/>
      </w:pPr>
      <w:r>
        <w:t xml:space="preserve">ר׳ </w:t>
      </w:r>
      <w:proofErr w:type="spellStart"/>
      <w:r>
        <w:t>איצל׳ה</w:t>
      </w:r>
      <w:proofErr w:type="spellEnd"/>
      <w:r>
        <w:t xml:space="preserve"> מתחיל לשתף פעולה עם </w:t>
      </w:r>
      <w:proofErr w:type="spellStart"/>
      <w:r>
        <w:t>ליליינטל</w:t>
      </w:r>
      <w:proofErr w:type="spellEnd"/>
    </w:p>
    <w:p w14:paraId="254E57E3" w14:textId="77777777" w:rsidR="00AB3647" w:rsidRDefault="00000000" w:rsidP="007923E9">
      <w:pPr>
        <w:spacing w:after="120" w:line="276" w:lineRule="auto"/>
        <w:ind w:firstLine="283"/>
        <w:jc w:val="both"/>
      </w:pPr>
      <w:r>
        <w:rPr>
          <w:rtl/>
        </w:rPr>
        <w:t>“מקור ברוך” אומר</w:t>
      </w:r>
      <w:bookmarkStart w:id="1312" w:name="_fnr806"/>
      <w:r>
        <w:rPr>
          <w:rStyle w:val="a5"/>
        </w:rPr>
        <w:footnoteReference w:id="807" w:customMarkFollows="0"/>
      </w:r>
      <w:bookmarkEnd w:id="1312"/>
      <w:r>
        <w:rPr>
          <w:rtl/>
        </w:rPr>
        <w:t xml:space="preserve"> </w:t>
      </w:r>
      <w:proofErr w:type="spellStart"/>
      <w:r>
        <w:rPr>
          <w:rtl/>
        </w:rPr>
        <w:t>ש“כאשר</w:t>
      </w:r>
      <w:proofErr w:type="spellEnd"/>
      <w:r>
        <w:rPr>
          <w:rtl/>
        </w:rPr>
        <w:t xml:space="preserve"> הוכחה </w:t>
      </w:r>
      <w:proofErr w:type="spellStart"/>
      <w:r>
        <w:rPr>
          <w:rtl/>
        </w:rPr>
        <w:t>לר</w:t>
      </w:r>
      <w:proofErr w:type="spellEnd"/>
      <w:r>
        <w:rPr>
          <w:rtl/>
        </w:rPr>
        <w:t xml:space="preserve">׳ </w:t>
      </w:r>
      <w:proofErr w:type="spellStart"/>
      <w:r>
        <w:rPr>
          <w:rtl/>
        </w:rPr>
        <w:t>איצל׳ה</w:t>
      </w:r>
      <w:proofErr w:type="spellEnd"/>
      <w:r>
        <w:rPr>
          <w:rtl/>
        </w:rPr>
        <w:t xml:space="preserve"> האמת על הסכנה הנשקפת ליהודי רוסיה, שלח שליחים (להורות ל)ערים שבדרכו של </w:t>
      </w:r>
      <w:proofErr w:type="spellStart"/>
      <w:r>
        <w:rPr>
          <w:rtl/>
        </w:rPr>
        <w:t>ליליינטל</w:t>
      </w:r>
      <w:proofErr w:type="spellEnd"/>
      <w:r>
        <w:rPr>
          <w:rtl/>
        </w:rPr>
        <w:t xml:space="preserve"> לקבל אותו בסבר פנים יפות” – וכך אכן התקבל מאז והלאה, במסעו השני.</w:t>
      </w:r>
    </w:p>
    <w:p w14:paraId="498E6FB6" w14:textId="77777777" w:rsidR="00AB3647" w:rsidRDefault="00000000" w:rsidP="007923E9">
      <w:pPr>
        <w:spacing w:after="120" w:line="276" w:lineRule="auto"/>
        <w:ind w:firstLine="283"/>
        <w:jc w:val="both"/>
      </w:pPr>
      <w:r>
        <w:rPr>
          <w:rtl/>
        </w:rPr>
        <w:t xml:space="preserve">לפי דיווחו של </w:t>
      </w:r>
      <w:proofErr w:type="spellStart"/>
      <w:r>
        <w:rPr>
          <w:rtl/>
        </w:rPr>
        <w:t>פפירנא</w:t>
      </w:r>
      <w:proofErr w:type="spellEnd"/>
      <w:r>
        <w:rPr>
          <w:rtl/>
        </w:rPr>
        <w:t xml:space="preserve"> נשאר </w:t>
      </w:r>
      <w:proofErr w:type="spellStart"/>
      <w:r>
        <w:rPr>
          <w:rtl/>
        </w:rPr>
        <w:t>ליליינטל</w:t>
      </w:r>
      <w:proofErr w:type="spellEnd"/>
      <w:r>
        <w:rPr>
          <w:rtl/>
        </w:rPr>
        <w:t xml:space="preserve"> חשוד גם </w:t>
      </w:r>
      <w:r>
        <w:rPr>
          <w:b/>
          <w:bCs/>
          <w:rtl/>
        </w:rPr>
        <w:t>אחרי</w:t>
      </w:r>
      <w:r>
        <w:rPr>
          <w:rtl/>
        </w:rPr>
        <w:t xml:space="preserve"> השיחה המרתונית שנמשכה “שלושה ימים ושלושה לילות” </w:t>
      </w:r>
      <w:r>
        <w:rPr>
          <w:b/>
          <w:bCs/>
          <w:rtl/>
        </w:rPr>
        <w:t>לפני</w:t>
      </w:r>
      <w:r>
        <w:rPr>
          <w:rtl/>
        </w:rPr>
        <w:t xml:space="preserve"> יום הכיפורים, כאמור לעיל, ואין הוא מזכיר כלל גילוי של “העתק” ממשלתי כלשהו. </w:t>
      </w:r>
      <w:r>
        <w:rPr>
          <w:b/>
          <w:bCs/>
          <w:rtl/>
        </w:rPr>
        <w:t xml:space="preserve">לדעת </w:t>
      </w:r>
      <w:proofErr w:type="spellStart"/>
      <w:r>
        <w:rPr>
          <w:b/>
          <w:bCs/>
          <w:rtl/>
        </w:rPr>
        <w:t>פפירנא</w:t>
      </w:r>
      <w:proofErr w:type="spellEnd"/>
      <w:r>
        <w:rPr>
          <w:rtl/>
        </w:rPr>
        <w:t xml:space="preserve">, השינוי </w:t>
      </w:r>
      <w:proofErr w:type="spellStart"/>
      <w:r>
        <w:rPr>
          <w:rtl/>
        </w:rPr>
        <w:t>בלבו</w:t>
      </w:r>
      <w:proofErr w:type="spellEnd"/>
      <w:r>
        <w:rPr>
          <w:rtl/>
        </w:rPr>
        <w:t xml:space="preserve"> של ר׳ </w:t>
      </w:r>
      <w:proofErr w:type="spellStart"/>
      <w:r>
        <w:rPr>
          <w:rtl/>
        </w:rPr>
        <w:t>איצל׳ה</w:t>
      </w:r>
      <w:proofErr w:type="spellEnd"/>
      <w:r>
        <w:rPr>
          <w:rtl/>
        </w:rPr>
        <w:t xml:space="preserve"> כלפי אורחו בא ודאי בעקבות שבועתו הדרמטית של </w:t>
      </w:r>
      <w:proofErr w:type="spellStart"/>
      <w:r>
        <w:rPr>
          <w:rtl/>
        </w:rPr>
        <w:t>ליליינטל</w:t>
      </w:r>
      <w:proofErr w:type="spellEnd"/>
      <w:r>
        <w:rPr>
          <w:rtl/>
        </w:rPr>
        <w:t xml:space="preserve"> בליל כל נדרי. אך כפי שהוכח לעיל, “מקור ברוך” </w:t>
      </w:r>
      <w:r>
        <w:rPr>
          <w:rtl/>
        </w:rPr>
        <w:lastRenderedPageBreak/>
        <w:t xml:space="preserve">לא ראה בשבועתו של </w:t>
      </w:r>
      <w:proofErr w:type="spellStart"/>
      <w:r>
        <w:rPr>
          <w:rtl/>
        </w:rPr>
        <w:t>ליליינטל</w:t>
      </w:r>
      <w:proofErr w:type="spellEnd"/>
      <w:r>
        <w:rPr>
          <w:rtl/>
        </w:rPr>
        <w:t xml:space="preserve"> – שלדעתו נשבעה בווילנה – דבר משכנע די הצורך להסיר ממנו את החשד.</w:t>
      </w:r>
    </w:p>
    <w:p w14:paraId="7860878F" w14:textId="77777777" w:rsidR="00AB3647" w:rsidRDefault="00000000" w:rsidP="007923E9">
      <w:pPr>
        <w:pStyle w:val="4"/>
        <w:spacing w:line="276" w:lineRule="auto"/>
      </w:pPr>
      <w:r>
        <w:t xml:space="preserve">· הפסקה </w:t>
      </w:r>
      <w:proofErr w:type="spellStart"/>
      <w:r>
        <w:t>השתים־עשרה</w:t>
      </w:r>
      <w:proofErr w:type="spellEnd"/>
      <w:r>
        <w:t xml:space="preserve"> ·</w:t>
      </w:r>
    </w:p>
    <w:p w14:paraId="2A3D6F1D" w14:textId="77777777" w:rsidR="00AB3647" w:rsidRDefault="00000000" w:rsidP="007923E9">
      <w:pPr>
        <w:pStyle w:val="5"/>
        <w:spacing w:line="276" w:lineRule="auto"/>
      </w:pPr>
      <w:proofErr w:type="spellStart"/>
      <w:r>
        <w:t>ליליינטל</w:t>
      </w:r>
      <w:proofErr w:type="spellEnd"/>
      <w:r>
        <w:t xml:space="preserve"> נוסע בקהילות היהודיות ברוסיה – הוא מתאר את ביקורו המוצלח אצל ר׳ </w:t>
      </w:r>
      <w:proofErr w:type="spellStart"/>
      <w:r>
        <w:t>איצל׳ה</w:t>
      </w:r>
      <w:proofErr w:type="spellEnd"/>
      <w:r>
        <w:t xml:space="preserve"> לפני חברו המשכיל ניסן רוזנטל – זה מעורר גזירה ממשלתית נגד הלבוש היהודי – המשכילים אינם סובלים את מגיני האמונה</w:t>
      </w:r>
    </w:p>
    <w:p w14:paraId="11DC703F" w14:textId="77777777" w:rsidR="00AB3647" w:rsidRDefault="00000000" w:rsidP="007923E9">
      <w:pPr>
        <w:spacing w:after="120" w:line="276" w:lineRule="auto"/>
        <w:ind w:firstLine="283"/>
        <w:jc w:val="both"/>
      </w:pPr>
      <w:r>
        <w:rPr>
          <w:rtl/>
        </w:rPr>
        <w:t xml:space="preserve">אחרי שהותו </w:t>
      </w:r>
      <w:proofErr w:type="spellStart"/>
      <w:r>
        <w:rPr>
          <w:rtl/>
        </w:rPr>
        <w:t>בוולוז׳ין</w:t>
      </w:r>
      <w:proofErr w:type="spellEnd"/>
      <w:r>
        <w:rPr>
          <w:rtl/>
        </w:rPr>
        <w:t xml:space="preserve"> פתח </w:t>
      </w:r>
      <w:proofErr w:type="spellStart"/>
      <w:r>
        <w:rPr>
          <w:rtl/>
        </w:rPr>
        <w:t>ליליינטל</w:t>
      </w:r>
      <w:proofErr w:type="spellEnd"/>
      <w:r>
        <w:rPr>
          <w:rtl/>
        </w:rPr>
        <w:t xml:space="preserve"> בסדרת מסעות במימון הממשלה ברחבי תחום המושב: מריגה, קובנה, וילנה, מינסק, </w:t>
      </w:r>
      <w:proofErr w:type="spellStart"/>
      <w:r>
        <w:rPr>
          <w:rtl/>
        </w:rPr>
        <w:t>גרודנא</w:t>
      </w:r>
      <w:proofErr w:type="spellEnd"/>
      <w:r>
        <w:rPr>
          <w:rtl/>
        </w:rPr>
        <w:t xml:space="preserve">, </w:t>
      </w:r>
      <w:proofErr w:type="spellStart"/>
      <w:r>
        <w:rPr>
          <w:rtl/>
        </w:rPr>
        <w:t>ביאליסטוק</w:t>
      </w:r>
      <w:proofErr w:type="spellEnd"/>
      <w:r>
        <w:rPr>
          <w:rtl/>
        </w:rPr>
        <w:t xml:space="preserve"> </w:t>
      </w:r>
      <w:proofErr w:type="spellStart"/>
      <w:r>
        <w:rPr>
          <w:rtl/>
        </w:rPr>
        <w:t>ומוהילוב</w:t>
      </w:r>
      <w:proofErr w:type="spellEnd"/>
      <w:r>
        <w:rPr>
          <w:rtl/>
        </w:rPr>
        <w:t xml:space="preserve"> בצפון, עד </w:t>
      </w:r>
      <w:proofErr w:type="spellStart"/>
      <w:r>
        <w:rPr>
          <w:rtl/>
        </w:rPr>
        <w:t>ז׳יטומיר</w:t>
      </w:r>
      <w:proofErr w:type="spellEnd"/>
      <w:r>
        <w:rPr>
          <w:rtl/>
        </w:rPr>
        <w:t xml:space="preserve">, </w:t>
      </w:r>
      <w:proofErr w:type="spellStart"/>
      <w:r>
        <w:rPr>
          <w:rtl/>
        </w:rPr>
        <w:t>ברדיצ׳ב</w:t>
      </w:r>
      <w:proofErr w:type="spellEnd"/>
      <w:r>
        <w:rPr>
          <w:rtl/>
        </w:rPr>
        <w:t xml:space="preserve">, </w:t>
      </w:r>
      <w:proofErr w:type="spellStart"/>
      <w:r>
        <w:rPr>
          <w:rtl/>
        </w:rPr>
        <w:t>קמניץ־פודולסק</w:t>
      </w:r>
      <w:proofErr w:type="spellEnd"/>
      <w:r>
        <w:rPr>
          <w:rtl/>
        </w:rPr>
        <w:t xml:space="preserve">, קייב, אומן, </w:t>
      </w:r>
      <w:proofErr w:type="spellStart"/>
      <w:r>
        <w:rPr>
          <w:rtl/>
        </w:rPr>
        <w:t>צ׳רניגוב</w:t>
      </w:r>
      <w:proofErr w:type="spellEnd"/>
      <w:r>
        <w:rPr>
          <w:rtl/>
        </w:rPr>
        <w:t xml:space="preserve">, קישינב, </w:t>
      </w:r>
      <w:proofErr w:type="spellStart"/>
      <w:r>
        <w:rPr>
          <w:rtl/>
        </w:rPr>
        <w:t>חרסון</w:t>
      </w:r>
      <w:proofErr w:type="spellEnd"/>
      <w:r>
        <w:rPr>
          <w:rtl/>
        </w:rPr>
        <w:t xml:space="preserve"> ואודסה בדרום. תחילה נסע למינסק, 50 קילומטר </w:t>
      </w:r>
      <w:proofErr w:type="spellStart"/>
      <w:r>
        <w:rPr>
          <w:rtl/>
        </w:rPr>
        <w:t>מוולוז׳ין</w:t>
      </w:r>
      <w:bookmarkStart w:id="1313" w:name="_fnr807"/>
      <w:bookmarkEnd w:id="1313"/>
      <w:proofErr w:type="spellEnd"/>
      <w:r>
        <w:rPr>
          <w:rStyle w:val="a5"/>
        </w:rPr>
        <w:t/>
      </w:r>
      <w:bookmarkStart w:id="7004" w:name="_TranslatorNote_5374"/>
      <w:r>
        <w:rPr>
          <w:rStyle w:val="a5"/>
          <w:vertAlign w:val="superscript"/>
          <w:rtl/>
        </w:rPr>
        <w:footnoteReference w:id="808" w:customMarkFollows="1"/>
        <w:t>*</w:t>
      </w:r>
      <w:bookmarkEnd w:id="7004"/>
      <w:r>
        <w:rPr>
          <w:rtl/>
        </w:rPr>
        <w:t>. שם התקבל עתה בכבוד, ואף ביקשו ממנו מחילה על האופן שבו קיבלו אותו בביקורו הקודם.</w:t>
      </w:r>
      <w:bookmarkStart w:id="1314" w:name="_fnr808"/>
      <w:r>
        <w:rPr>
          <w:rStyle w:val="a5"/>
        </w:rPr>
        <w:footnoteReference w:id="809" w:customMarkFollows="0"/>
      </w:r>
      <w:bookmarkEnd w:id="1314"/>
      <w:r>
        <w:rPr>
          <w:rtl/>
        </w:rPr>
        <w:t xml:space="preserve"> משם רכב 270 קילומטר </w:t>
      </w:r>
      <w:proofErr w:type="spellStart"/>
      <w:r>
        <w:rPr>
          <w:rtl/>
        </w:rPr>
        <w:t>לגרודנא</w:t>
      </w:r>
      <w:proofErr w:type="spellEnd"/>
      <w:r>
        <w:rPr>
          <w:rtl/>
        </w:rPr>
        <w:t xml:space="preserve">, ועבר בדרכו דרך </w:t>
      </w:r>
      <w:proofErr w:type="spellStart"/>
      <w:r>
        <w:rPr>
          <w:rtl/>
        </w:rPr>
        <w:t>מיר</w:t>
      </w:r>
      <w:proofErr w:type="spellEnd"/>
      <w:r>
        <w:rPr>
          <w:rtl/>
        </w:rPr>
        <w:t xml:space="preserve"> </w:t>
      </w:r>
      <w:proofErr w:type="spellStart"/>
      <w:r>
        <w:rPr>
          <w:rtl/>
        </w:rPr>
        <w:t>ונובהרדוק</w:t>
      </w:r>
      <w:proofErr w:type="spellEnd"/>
      <w:r>
        <w:rPr>
          <w:rtl/>
        </w:rPr>
        <w:t>.</w:t>
      </w:r>
    </w:p>
    <w:p w14:paraId="50CAEA04" w14:textId="77777777" w:rsidR="00AB3647" w:rsidRDefault="00000000" w:rsidP="007923E9">
      <w:pPr>
        <w:spacing w:after="120" w:line="276" w:lineRule="auto"/>
        <w:ind w:firstLine="283"/>
        <w:jc w:val="both"/>
      </w:pPr>
      <w:r>
        <w:rPr>
          <w:rtl/>
        </w:rPr>
        <w:t xml:space="preserve">את רשמיו מן הפגישה עם ר׳ </w:t>
      </w:r>
      <w:proofErr w:type="spellStart"/>
      <w:r>
        <w:rPr>
          <w:rtl/>
        </w:rPr>
        <w:t>איצל׳ה</w:t>
      </w:r>
      <w:proofErr w:type="spellEnd"/>
      <w:r>
        <w:rPr>
          <w:rtl/>
        </w:rPr>
        <w:t xml:space="preserve"> ומן המאורעות שאחריה מסר </w:t>
      </w:r>
      <w:proofErr w:type="spellStart"/>
      <w:r>
        <w:rPr>
          <w:rtl/>
        </w:rPr>
        <w:t>ליליינטל</w:t>
      </w:r>
      <w:proofErr w:type="spellEnd"/>
      <w:r>
        <w:rPr>
          <w:rtl/>
        </w:rPr>
        <w:t xml:space="preserve"> במכתב ששלח </w:t>
      </w:r>
      <w:proofErr w:type="spellStart"/>
      <w:r>
        <w:rPr>
          <w:rtl/>
        </w:rPr>
        <w:t>מגרודנא</w:t>
      </w:r>
      <w:proofErr w:type="spellEnd"/>
      <w:r>
        <w:rPr>
          <w:rtl/>
        </w:rPr>
        <w:t xml:space="preserve"> לניסן רוזנטל, המשכיל הוילנאי. רוזנטל סייע לו מאוד בביקורו הראשון בווילנה, אך התאכזב ממנו לאחר מכן, משום </w:t>
      </w:r>
      <w:proofErr w:type="spellStart"/>
      <w:r>
        <w:rPr>
          <w:rtl/>
        </w:rPr>
        <w:t>שליליינטל</w:t>
      </w:r>
      <w:proofErr w:type="spellEnd"/>
      <w:r>
        <w:rPr>
          <w:rtl/>
        </w:rPr>
        <w:t xml:space="preserve"> כתב חוברת בשם “מגיד ישועה” בלי לייחס לרוזנטל שום “זכות” שהיא, ואף בלי להזכיר את שמו.</w:t>
      </w:r>
      <w:bookmarkStart w:id="1315" w:name="_fnr809"/>
      <w:r>
        <w:rPr>
          <w:rStyle w:val="a5"/>
        </w:rPr>
        <w:footnoteReference w:id="810" w:customMarkFollows="0"/>
      </w:r>
      <w:bookmarkEnd w:id="1315"/>
      <w:r>
        <w:rPr>
          <w:rtl/>
        </w:rPr>
        <w:t xml:space="preserve"> החוברת, שיצאה לאור סמוך לפני ביקורו </w:t>
      </w:r>
      <w:proofErr w:type="spellStart"/>
      <w:r>
        <w:rPr>
          <w:rtl/>
        </w:rPr>
        <w:t>בוולוז׳ין</w:t>
      </w:r>
      <w:proofErr w:type="spellEnd"/>
      <w:r>
        <w:rPr>
          <w:rtl/>
        </w:rPr>
        <w:t xml:space="preserve">, מתארת את פעולתו ותוכניותיו, ומשבחת את הצאר ניקולאי על שהואיל </w:t>
      </w:r>
      <w:proofErr w:type="spellStart"/>
      <w:r>
        <w:rPr>
          <w:rtl/>
        </w:rPr>
        <w:t>ב“טוב</w:t>
      </w:r>
      <w:proofErr w:type="spellEnd"/>
      <w:r>
        <w:rPr>
          <w:rtl/>
        </w:rPr>
        <w:t xml:space="preserve"> לבו” להתיר את רפורמת בתי הספר היהודיים ולתמוך בה.</w:t>
      </w:r>
    </w:p>
    <w:p w14:paraId="13808016" w14:textId="77777777" w:rsidR="00AB3647" w:rsidRDefault="00000000" w:rsidP="007923E9">
      <w:pPr>
        <w:spacing w:after="120" w:line="276" w:lineRule="auto"/>
        <w:ind w:firstLine="283"/>
        <w:jc w:val="both"/>
      </w:pPr>
      <w:r>
        <w:rPr>
          <w:rtl/>
        </w:rPr>
        <w:t xml:space="preserve">להלן קטעים ממכתבו של </w:t>
      </w:r>
      <w:proofErr w:type="spellStart"/>
      <w:r>
        <w:rPr>
          <w:rtl/>
        </w:rPr>
        <w:t>ליליינטל</w:t>
      </w:r>
      <w:proofErr w:type="spellEnd"/>
      <w:r>
        <w:rPr>
          <w:rtl/>
        </w:rPr>
        <w:t xml:space="preserve"> לרוזנטל, כפי שנרשם מילה במילה </w:t>
      </w:r>
      <w:proofErr w:type="spellStart"/>
      <w:r>
        <w:rPr>
          <w:rtl/>
        </w:rPr>
        <w:t>ב“מקור</w:t>
      </w:r>
      <w:proofErr w:type="spellEnd"/>
      <w:r>
        <w:rPr>
          <w:rtl/>
        </w:rPr>
        <w:t xml:space="preserve"> ברוך”</w:t>
      </w:r>
      <w:bookmarkStart w:id="1316" w:name="_fnr810"/>
      <w:r>
        <w:rPr>
          <w:rStyle w:val="a5"/>
        </w:rPr>
        <w:footnoteReference w:id="811" w:customMarkFollows="0"/>
      </w:r>
      <w:bookmarkEnd w:id="1316"/>
      <w:r>
        <w:rPr>
          <w:rtl/>
        </w:rPr>
        <w:t>, ועמם פירוש שוטף בסוגריים על חלק מתוכנו. המכתב מתוארך 13 בספטמבר</w:t>
      </w:r>
      <w:bookmarkStart w:id="1317" w:name="_fnr811"/>
      <w:r>
        <w:rPr>
          <w:rStyle w:val="a5"/>
        </w:rPr>
        <w:footnoteReference w:id="812" w:customMarkFollows="0"/>
      </w:r>
      <w:bookmarkEnd w:id="1317"/>
      <w:r>
        <w:rPr>
          <w:rtl/>
        </w:rPr>
        <w:t xml:space="preserve"> 1842, וזו לשונו: “ששתי כעל כל הון להיות מקובל ממנו [מר׳ </w:t>
      </w:r>
      <w:proofErr w:type="spellStart"/>
      <w:r>
        <w:rPr>
          <w:rtl/>
        </w:rPr>
        <w:t>איצל׳ה</w:t>
      </w:r>
      <w:proofErr w:type="spellEnd"/>
      <w:r>
        <w:rPr>
          <w:rtl/>
        </w:rPr>
        <w:t xml:space="preserve">] כבן אהוב ונחמד, כי קראתיו ‘אבי </w:t>
      </w:r>
      <w:proofErr w:type="spellStart"/>
      <w:r>
        <w:rPr>
          <w:rtl/>
        </w:rPr>
        <w:t>אבי</w:t>
      </w:r>
      <w:proofErr w:type="spellEnd"/>
      <w:r>
        <w:rPr>
          <w:rtl/>
        </w:rPr>
        <w:t xml:space="preserve"> רכב ישראל ופרשיו’ (דברי הנביא אלישע</w:t>
      </w:r>
      <w:bookmarkStart w:id="1318" w:name="_fnr812"/>
      <w:r>
        <w:rPr>
          <w:rStyle w:val="a5"/>
        </w:rPr>
        <w:footnoteReference w:id="813" w:customMarkFollows="0"/>
      </w:r>
      <w:bookmarkEnd w:id="1318"/>
      <w:r>
        <w:rPr>
          <w:rtl/>
        </w:rPr>
        <w:t>).”</w:t>
      </w:r>
    </w:p>
    <w:p w14:paraId="43BE7D4C" w14:textId="77777777" w:rsidR="00AB3647" w:rsidRDefault="00000000" w:rsidP="007923E9">
      <w:pPr>
        <w:spacing w:after="120" w:line="276" w:lineRule="auto"/>
        <w:ind w:firstLine="283"/>
        <w:jc w:val="both"/>
      </w:pPr>
      <w:r>
        <w:rPr>
          <w:rtl/>
        </w:rPr>
        <w:t xml:space="preserve">(ר׳ </w:t>
      </w:r>
      <w:proofErr w:type="spellStart"/>
      <w:r>
        <w:rPr>
          <w:rtl/>
        </w:rPr>
        <w:t>נפתלי־צבי־יהודה</w:t>
      </w:r>
      <w:proofErr w:type="spellEnd"/>
      <w:r>
        <w:rPr>
          <w:rtl/>
        </w:rPr>
        <w:t xml:space="preserve"> ברלין, </w:t>
      </w:r>
      <w:proofErr w:type="spellStart"/>
      <w:r>
        <w:rPr>
          <w:rtl/>
        </w:rPr>
        <w:t>הנצי״ב</w:t>
      </w:r>
      <w:proofErr w:type="spellEnd"/>
      <w:r>
        <w:rPr>
          <w:rtl/>
        </w:rPr>
        <w:t xml:space="preserve">, הבין </w:t>
      </w:r>
      <w:proofErr w:type="spellStart"/>
      <w:r>
        <w:rPr>
          <w:rtl/>
        </w:rPr>
        <w:t>שליליינטל</w:t>
      </w:r>
      <w:proofErr w:type="spellEnd"/>
      <w:r>
        <w:rPr>
          <w:rtl/>
        </w:rPr>
        <w:t xml:space="preserve"> התכוון לומר שהעריץ את ר׳ </w:t>
      </w:r>
      <w:proofErr w:type="spellStart"/>
      <w:r>
        <w:rPr>
          <w:rtl/>
        </w:rPr>
        <w:t>איצל׳ה</w:t>
      </w:r>
      <w:proofErr w:type="spellEnd"/>
      <w:r>
        <w:rPr>
          <w:rtl/>
        </w:rPr>
        <w:t xml:space="preserve"> כמנהיג נעלה, כאב – כמו שאלישע המקראי העריץ את רבו, אליהו הנביא. אבל אפשר באותה מידה לפרש את המשפט כך: </w:t>
      </w:r>
      <w:proofErr w:type="spellStart"/>
      <w:r>
        <w:rPr>
          <w:rtl/>
        </w:rPr>
        <w:t>ליליינטל</w:t>
      </w:r>
      <w:proofErr w:type="spellEnd"/>
      <w:r>
        <w:rPr>
          <w:rtl/>
        </w:rPr>
        <w:t xml:space="preserve"> סיפר לחברו המשכיל כיצד, לדעתו, הצליח לגרום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ה“בלתי</w:t>
      </w:r>
      <w:proofErr w:type="spellEnd"/>
      <w:r>
        <w:rPr>
          <w:rtl/>
        </w:rPr>
        <w:t xml:space="preserve"> נאור” לנהוג בו </w:t>
      </w:r>
      <w:proofErr w:type="spellStart"/>
      <w:r>
        <w:rPr>
          <w:rtl/>
        </w:rPr>
        <w:t>כ“בן</w:t>
      </w:r>
      <w:proofErr w:type="spellEnd"/>
      <w:r>
        <w:rPr>
          <w:rtl/>
        </w:rPr>
        <w:t xml:space="preserve"> אהוב ונחמד” </w:t>
      </w:r>
      <w:r>
        <w:rPr>
          <w:b/>
          <w:bCs/>
          <w:rtl/>
        </w:rPr>
        <w:t>בכך שהרעיף עליו הערצה כוזבת</w:t>
      </w:r>
      <w:r>
        <w:rPr>
          <w:rtl/>
        </w:rPr>
        <w:t xml:space="preserve">. אגב, </w:t>
      </w:r>
      <w:proofErr w:type="spellStart"/>
      <w:r>
        <w:rPr>
          <w:rtl/>
        </w:rPr>
        <w:t>ליליינטל</w:t>
      </w:r>
      <w:proofErr w:type="spellEnd"/>
      <w:r>
        <w:rPr>
          <w:rtl/>
        </w:rPr>
        <w:t xml:space="preserve"> אכן העריץ בחנופה </w:t>
      </w:r>
      <w:r>
        <w:rPr>
          <w:b/>
          <w:bCs/>
          <w:rtl/>
        </w:rPr>
        <w:t xml:space="preserve">את השר סרגיי </w:t>
      </w:r>
      <w:proofErr w:type="spellStart"/>
      <w:r>
        <w:rPr>
          <w:b/>
          <w:bCs/>
          <w:rtl/>
        </w:rPr>
        <w:t>אוברוב</w:t>
      </w:r>
      <w:proofErr w:type="spellEnd"/>
      <w:r>
        <w:rPr>
          <w:rtl/>
        </w:rPr>
        <w:t xml:space="preserve"> כדמות אב, כפי שתיאר את היחסים </w:t>
      </w:r>
      <w:r>
        <w:rPr>
          <w:rtl/>
        </w:rPr>
        <w:lastRenderedPageBreak/>
        <w:t xml:space="preserve">במכתב הפרטי לאביו, שחלקו מובא בפסקה </w:t>
      </w:r>
      <w:proofErr w:type="spellStart"/>
      <w:r>
        <w:rPr>
          <w:rtl/>
        </w:rPr>
        <w:t>הארבע־עשרה</w:t>
      </w:r>
      <w:proofErr w:type="spellEnd"/>
      <w:r>
        <w:rPr>
          <w:rtl/>
        </w:rPr>
        <w:t xml:space="preserve"> וחלקו בפסקה העשרים ואחת להלן.) “וכאשר ראו משולחי </w:t>
      </w:r>
      <w:proofErr w:type="spellStart"/>
      <w:r>
        <w:rPr>
          <w:rtl/>
        </w:rPr>
        <w:t>ווילנא</w:t>
      </w:r>
      <w:proofErr w:type="spellEnd"/>
      <w:r>
        <w:rPr>
          <w:rtl/>
        </w:rPr>
        <w:t xml:space="preserve"> ומינסק” – נראה שבאו גם הם </w:t>
      </w:r>
      <w:proofErr w:type="spellStart"/>
      <w:r>
        <w:rPr>
          <w:rtl/>
        </w:rPr>
        <w:t>לוולוז׳ין</w:t>
      </w:r>
      <w:proofErr w:type="spellEnd"/>
      <w:r>
        <w:rPr>
          <w:rtl/>
        </w:rPr>
        <w:t xml:space="preserve"> כדי לראות כיצד יגיב ר׳ </w:t>
      </w:r>
      <w:proofErr w:type="spellStart"/>
      <w:r>
        <w:rPr>
          <w:rtl/>
        </w:rPr>
        <w:t>איצל׳ה</w:t>
      </w:r>
      <w:proofErr w:type="spellEnd"/>
      <w:r>
        <w:rPr>
          <w:rtl/>
        </w:rPr>
        <w:t xml:space="preserve"> על אורחו, כאמור לעיל בפסקה השמינית – “כי הוא, הגדול בישראל, שם פניו אלי ולא הסיר ממני אהבתו, כאותם הצבועים אשר רוממות אל בגרונם ובידם חרב פיפיות –</w:t>
      </w:r>
      <w:bookmarkStart w:id="1319" w:name="_fnr813"/>
      <w:r>
        <w:rPr>
          <w:rStyle w:val="a5"/>
        </w:rPr>
        <w:footnoteReference w:id="814" w:customMarkFollows="0"/>
      </w:r>
      <w:bookmarkEnd w:id="1319"/>
      <w:r>
        <w:rPr>
          <w:rtl/>
        </w:rPr>
        <w:t xml:space="preserve"> התקרבו גם הם [המשולחים] אלי, כרתו עמי ברית אהבה, ו</w:t>
      </w:r>
      <w:r>
        <w:rPr>
          <w:b/>
          <w:bCs/>
          <w:rtl/>
        </w:rPr>
        <w:t>שנינו נשבענו</w:t>
      </w:r>
      <w:r>
        <w:rPr>
          <w:rtl/>
        </w:rPr>
        <w:t xml:space="preserve"> בשם ה׳ </w:t>
      </w:r>
      <w:proofErr w:type="spellStart"/>
      <w:r>
        <w:rPr>
          <w:rtl/>
        </w:rPr>
        <w:t>אלהי</w:t>
      </w:r>
      <w:proofErr w:type="spellEnd"/>
      <w:r>
        <w:rPr>
          <w:rtl/>
        </w:rPr>
        <w:t xml:space="preserve"> אבותינו להיות לנצח אוהבים נאמנים, </w:t>
      </w:r>
      <w:r>
        <w:rPr>
          <w:b/>
          <w:bCs/>
          <w:rtl/>
        </w:rPr>
        <w:t>ולבלתי נבגוד איש באחיו</w:t>
      </w:r>
      <w:r>
        <w:rPr>
          <w:rtl/>
        </w:rPr>
        <w:t xml:space="preserve"> (ההדגשות שלי) לחלל ברית האהבה, </w:t>
      </w:r>
      <w:proofErr w:type="spellStart"/>
      <w:r>
        <w:rPr>
          <w:rtl/>
        </w:rPr>
        <w:t>האחוה</w:t>
      </w:r>
      <w:proofErr w:type="spellEnd"/>
      <w:r>
        <w:rPr>
          <w:rtl/>
        </w:rPr>
        <w:t xml:space="preserve"> ומרעות.”</w:t>
      </w:r>
    </w:p>
    <w:p w14:paraId="7DD99403" w14:textId="77777777" w:rsidR="00AB3647" w:rsidRDefault="00000000" w:rsidP="007923E9">
      <w:pPr>
        <w:spacing w:after="120" w:line="276" w:lineRule="auto"/>
        <w:ind w:firstLine="283"/>
        <w:jc w:val="both"/>
      </w:pPr>
      <w:r>
        <w:rPr>
          <w:rtl/>
        </w:rPr>
        <w:t xml:space="preserve">(מחמת השוויון שייחס </w:t>
      </w:r>
      <w:proofErr w:type="spellStart"/>
      <w:r>
        <w:rPr>
          <w:rtl/>
        </w:rPr>
        <w:t>ליליינטל</w:t>
      </w:r>
      <w:proofErr w:type="spellEnd"/>
      <w:r>
        <w:rPr>
          <w:rtl/>
        </w:rPr>
        <w:t xml:space="preserve"> לשני הצדדים בשבועה, כמודגש, יש להניח שהוא מתאר בדיווחו את הקרבה שנוצרה בינו לבין “המשולחים”. אבל “מקור ברוך”,</w:t>
      </w:r>
      <w:bookmarkStart w:id="1320" w:name="_fnr814"/>
      <w:r>
        <w:rPr>
          <w:rStyle w:val="a5"/>
        </w:rPr>
        <w:footnoteReference w:id="815" w:customMarkFollows="0"/>
      </w:r>
      <w:bookmarkEnd w:id="1320"/>
      <w:r>
        <w:rPr>
          <w:rtl/>
        </w:rPr>
        <w:t xml:space="preserve"> כמובא להלן, מבין כנראה </w:t>
      </w:r>
      <w:proofErr w:type="spellStart"/>
      <w:r>
        <w:rPr>
          <w:rtl/>
        </w:rPr>
        <w:t>שליליינטל</w:t>
      </w:r>
      <w:proofErr w:type="spellEnd"/>
      <w:r>
        <w:rPr>
          <w:rtl/>
        </w:rPr>
        <w:t xml:space="preserve"> התכוון לשבועה שנכרתה בינו </w:t>
      </w:r>
      <w:r>
        <w:rPr>
          <w:b/>
          <w:bCs/>
          <w:rtl/>
        </w:rPr>
        <w:t xml:space="preserve">לבין ר׳ </w:t>
      </w:r>
      <w:proofErr w:type="spellStart"/>
      <w:r>
        <w:rPr>
          <w:b/>
          <w:bCs/>
          <w:rtl/>
        </w:rPr>
        <w:t>איצל׳ה</w:t>
      </w:r>
      <w:proofErr w:type="spellEnd"/>
      <w:r>
        <w:rPr>
          <w:rtl/>
        </w:rPr>
        <w:t xml:space="preserve">. אם כן, טענת </w:t>
      </w:r>
      <w:proofErr w:type="spellStart"/>
      <w:r>
        <w:rPr>
          <w:rtl/>
        </w:rPr>
        <w:t>ליליינטל</w:t>
      </w:r>
      <w:proofErr w:type="spellEnd"/>
      <w:r>
        <w:rPr>
          <w:rtl/>
        </w:rPr>
        <w:t xml:space="preserve"> שר׳ </w:t>
      </w:r>
      <w:proofErr w:type="spellStart"/>
      <w:r>
        <w:rPr>
          <w:rtl/>
        </w:rPr>
        <w:t>איצל׳ה</w:t>
      </w:r>
      <w:proofErr w:type="spellEnd"/>
      <w:r>
        <w:rPr>
          <w:rtl/>
        </w:rPr>
        <w:t xml:space="preserve"> “נשבע בשם ה׳ </w:t>
      </w:r>
      <w:proofErr w:type="spellStart"/>
      <w:r>
        <w:rPr>
          <w:rtl/>
        </w:rPr>
        <w:t>אלהי</w:t>
      </w:r>
      <w:proofErr w:type="spellEnd"/>
      <w:r>
        <w:rPr>
          <w:rtl/>
        </w:rPr>
        <w:t xml:space="preserve"> אבותינו” על דבר כלשהו שקרית בעליל, שהרי ראש הישיבה ורב </w:t>
      </w:r>
      <w:proofErr w:type="spellStart"/>
      <w:r>
        <w:rPr>
          <w:rtl/>
        </w:rPr>
        <w:t>וולוז׳ין</w:t>
      </w:r>
      <w:proofErr w:type="spellEnd"/>
      <w:r>
        <w:rPr>
          <w:rtl/>
        </w:rPr>
        <w:t xml:space="preserve"> לא היה “נושא את שם ה׳ </w:t>
      </w:r>
      <w:proofErr w:type="spellStart"/>
      <w:r>
        <w:rPr>
          <w:rtl/>
        </w:rPr>
        <w:t>לשוא</w:t>
      </w:r>
      <w:proofErr w:type="spellEnd"/>
      <w:r>
        <w:rPr>
          <w:rtl/>
        </w:rPr>
        <w:t xml:space="preserve">”. ואם השבועה שהוא מביא אינה אלא מליצה, הרי </w:t>
      </w:r>
      <w:proofErr w:type="spellStart"/>
      <w:r>
        <w:rPr>
          <w:rtl/>
        </w:rPr>
        <w:t>שליליינטל</w:t>
      </w:r>
      <w:proofErr w:type="spellEnd"/>
      <w:r>
        <w:rPr>
          <w:rtl/>
        </w:rPr>
        <w:t xml:space="preserve"> מגלה את קלות ראשו בענייני שבועות! איזו “בגידה” מנע </w:t>
      </w:r>
      <w:proofErr w:type="spellStart"/>
      <w:r>
        <w:rPr>
          <w:rtl/>
        </w:rPr>
        <w:t>ליליינטל</w:t>
      </w:r>
      <w:proofErr w:type="spellEnd"/>
      <w:r>
        <w:rPr>
          <w:rtl/>
        </w:rPr>
        <w:t xml:space="preserve"> </w:t>
      </w:r>
      <w:proofErr w:type="spellStart"/>
      <w:r>
        <w:rPr>
          <w:rtl/>
        </w:rPr>
        <w:t>ב“ברית</w:t>
      </w:r>
      <w:proofErr w:type="spellEnd"/>
      <w:r>
        <w:rPr>
          <w:rtl/>
        </w:rPr>
        <w:t xml:space="preserve"> האהבה” הנזכרת בסוף המשפט – אין הוא מגלה, אבל יש להניח שהנמען, ניסן רוזנטל, הבין את המסר שניסה להעביר. ייתכן מאוד שכל ההמחזה הזאת הייתה דרכו של </w:t>
      </w:r>
      <w:proofErr w:type="spellStart"/>
      <w:r>
        <w:rPr>
          <w:rtl/>
        </w:rPr>
        <w:t>ליליינטל</w:t>
      </w:r>
      <w:proofErr w:type="spellEnd"/>
      <w:r>
        <w:rPr>
          <w:rtl/>
        </w:rPr>
        <w:t xml:space="preserve"> להחדיר ב</w:t>
      </w:r>
      <w:r>
        <w:rPr>
          <w:b/>
          <w:bCs/>
          <w:rtl/>
        </w:rPr>
        <w:t>נמען</w:t>
      </w:r>
      <w:r>
        <w:rPr>
          <w:rtl/>
        </w:rPr>
        <w:t xml:space="preserve"> את ההכרה שאל לו להעלות על דעתו לבגוד בו – לא כלפי הציבור הדתי בשל כפירתו, ולא כלפי הממשלה בשל כישלונותיו – כשם שהוא, </w:t>
      </w:r>
      <w:proofErr w:type="spellStart"/>
      <w:r>
        <w:rPr>
          <w:rtl/>
        </w:rPr>
        <w:t>ליליינטל</w:t>
      </w:r>
      <w:proofErr w:type="spellEnd"/>
      <w:r>
        <w:rPr>
          <w:rtl/>
        </w:rPr>
        <w:t>, בגד למעשה ברוזנטל בחוברת “מגיד ישועה”, כאמור לעיל.)</w:t>
      </w:r>
    </w:p>
    <w:p w14:paraId="1F103B44" w14:textId="77777777" w:rsidR="00AB3647" w:rsidRDefault="00000000" w:rsidP="007923E9">
      <w:pPr>
        <w:spacing w:after="120" w:line="276" w:lineRule="auto"/>
        <w:ind w:firstLine="283"/>
        <w:jc w:val="both"/>
      </w:pPr>
      <w:r>
        <w:rPr>
          <w:rtl/>
        </w:rPr>
        <w:t xml:space="preserve">עוד מספר </w:t>
      </w:r>
      <w:proofErr w:type="spellStart"/>
      <w:r>
        <w:rPr>
          <w:rtl/>
        </w:rPr>
        <w:t>ליליינטל</w:t>
      </w:r>
      <w:proofErr w:type="spellEnd"/>
      <w:r>
        <w:rPr>
          <w:rtl/>
        </w:rPr>
        <w:t xml:space="preserve"> במכתב שאחרי יום הכיפורים שלו </w:t>
      </w:r>
      <w:proofErr w:type="spellStart"/>
      <w:r>
        <w:rPr>
          <w:rtl/>
        </w:rPr>
        <w:t>בוולוז׳ין</w:t>
      </w:r>
      <w:proofErr w:type="spellEnd"/>
      <w:r>
        <w:rPr>
          <w:rtl/>
        </w:rPr>
        <w:t xml:space="preserve"> עשה את יום טוב ואת חול המועד במינסק, ובכל מקום שהתפלל העלו אותו לתורה בעליות המכובדות ביותר. וזו לשונו: “ושלישים על כלו”</w:t>
      </w:r>
      <w:bookmarkStart w:id="1321" w:name="_fnr815"/>
      <w:r>
        <w:rPr>
          <w:rStyle w:val="a5"/>
        </w:rPr>
        <w:footnoteReference w:id="816" w:customMarkFollows="0"/>
      </w:r>
      <w:bookmarkEnd w:id="1321"/>
      <w:r>
        <w:rPr>
          <w:rtl/>
        </w:rPr>
        <w:t xml:space="preserve"> [בכל מקום – השלישי, החשוב מכולם].</w:t>
      </w:r>
    </w:p>
    <w:p w14:paraId="4CBE6310" w14:textId="77777777" w:rsidR="00AB3647" w:rsidRDefault="00000000" w:rsidP="007923E9">
      <w:pPr>
        <w:spacing w:after="120" w:line="276" w:lineRule="auto"/>
        <w:ind w:firstLine="283"/>
        <w:jc w:val="both"/>
      </w:pPr>
      <w:r>
        <w:rPr>
          <w:rtl/>
        </w:rPr>
        <w:t xml:space="preserve">לפני שנמשיך לנתח את חליפת המכתבים, נעמוד על כמה מתכונותיו של מקבל מכתבו של </w:t>
      </w:r>
      <w:proofErr w:type="spellStart"/>
      <w:r>
        <w:rPr>
          <w:rtl/>
        </w:rPr>
        <w:t>ליליינטל</w:t>
      </w:r>
      <w:proofErr w:type="spellEnd"/>
      <w:r>
        <w:rPr>
          <w:rtl/>
        </w:rPr>
        <w:t xml:space="preserve">, שיסבירו מדוע יש לחשוד בו שקשר קשר עם </w:t>
      </w:r>
      <w:proofErr w:type="spellStart"/>
      <w:r>
        <w:rPr>
          <w:rtl/>
        </w:rPr>
        <w:t>ליליינטל</w:t>
      </w:r>
      <w:proofErr w:type="spellEnd"/>
      <w:r>
        <w:rPr>
          <w:rtl/>
        </w:rPr>
        <w:t xml:space="preserve"> להוליך שולל את ר׳ </w:t>
      </w:r>
      <w:proofErr w:type="spellStart"/>
      <w:r>
        <w:rPr>
          <w:rtl/>
        </w:rPr>
        <w:t>איצל׳ה</w:t>
      </w:r>
      <w:proofErr w:type="spellEnd"/>
      <w:r>
        <w:rPr>
          <w:rtl/>
        </w:rPr>
        <w:t>, כפי שהוצע. “</w:t>
      </w:r>
      <w:proofErr w:type="spellStart"/>
      <w:r>
        <w:rPr>
          <w:rtl/>
        </w:rPr>
        <w:t>זכרון</w:t>
      </w:r>
      <w:proofErr w:type="spellEnd"/>
      <w:r>
        <w:rPr>
          <w:rtl/>
        </w:rPr>
        <w:t xml:space="preserve"> יעקב”</w:t>
      </w:r>
      <w:bookmarkStart w:id="1322" w:name="_fnr816"/>
      <w:r>
        <w:rPr>
          <w:rStyle w:val="a5"/>
        </w:rPr>
        <w:footnoteReference w:id="817" w:customMarkFollows="0"/>
      </w:r>
      <w:bookmarkEnd w:id="1322"/>
      <w:r>
        <w:rPr>
          <w:rtl/>
        </w:rPr>
        <w:t xml:space="preserve"> מספר כיצד נפגשו ניסן רוזנטל ושני משכילים אחרים עם </w:t>
      </w:r>
      <w:proofErr w:type="spellStart"/>
      <w:r>
        <w:rPr>
          <w:rtl/>
        </w:rPr>
        <w:t>אוברוב</w:t>
      </w:r>
      <w:proofErr w:type="spellEnd"/>
      <w:r>
        <w:rPr>
          <w:rtl/>
        </w:rPr>
        <w:t xml:space="preserve">, כשביקר בווילנה זמן מה אחרי פרשת </w:t>
      </w:r>
      <w:proofErr w:type="spellStart"/>
      <w:r>
        <w:rPr>
          <w:rtl/>
        </w:rPr>
        <w:t>ליליינטל</w:t>
      </w:r>
      <w:proofErr w:type="spellEnd"/>
      <w:r>
        <w:rPr>
          <w:rtl/>
        </w:rPr>
        <w:t xml:space="preserve">, וניסו לשכנעו שאם יכפו על היהודים לשנות את דרך לבושם ולסדר את שערם כגויים, יהיו נוחים יותר </w:t>
      </w:r>
      <w:proofErr w:type="spellStart"/>
      <w:r>
        <w:rPr>
          <w:rtl/>
        </w:rPr>
        <w:t>ל“השכלה</w:t>
      </w:r>
      <w:proofErr w:type="spellEnd"/>
      <w:r>
        <w:rPr>
          <w:rtl/>
        </w:rPr>
        <w:t xml:space="preserve">”. כשסירב </w:t>
      </w:r>
      <w:proofErr w:type="spellStart"/>
      <w:r>
        <w:rPr>
          <w:rtl/>
        </w:rPr>
        <w:t>אוברוב</w:t>
      </w:r>
      <w:proofErr w:type="spellEnd"/>
      <w:r>
        <w:rPr>
          <w:rtl/>
        </w:rPr>
        <w:t xml:space="preserve"> להוציא צו כזה, נסעו בסתר </w:t>
      </w:r>
      <w:proofErr w:type="spellStart"/>
      <w:r>
        <w:rPr>
          <w:rtl/>
        </w:rPr>
        <w:t>לסנקט</w:t>
      </w:r>
      <w:proofErr w:type="spellEnd"/>
      <w:r>
        <w:rPr>
          <w:rtl/>
        </w:rPr>
        <w:t xml:space="preserve"> פטרבורג כדי ללחוץ עליו עוד בעניין זה. הם הטילו על היהודים חשד של חוסר נאמנות לכתר, וטענו שבשל השוני בלבושם היהודים הם אומה נפרדת בתוך הרוסים. השר אמר להם לעתור בעניין זה למשרד הפנים, ולא למשרד ההשכלה.</w:t>
      </w:r>
    </w:p>
    <w:p w14:paraId="3EEB41F7" w14:textId="77777777" w:rsidR="00AB3647" w:rsidRDefault="00000000" w:rsidP="007923E9">
      <w:pPr>
        <w:spacing w:after="120" w:line="276" w:lineRule="auto"/>
        <w:ind w:firstLine="283"/>
        <w:jc w:val="both"/>
      </w:pPr>
      <w:r>
        <w:rPr>
          <w:rtl/>
        </w:rPr>
        <w:t xml:space="preserve">הם שבו לווילנה וארגנו מסע מכתבים בקרב חבריהם לדעה ובקרב יהודים אחרים, פשוטים, שלא ידעו לקרוא רוסית והוטעו באשר לתוכנם של מכתבי העצומה שרוזנטל ושותפיו ביקשו מהם לחתום עליהם. נשלחו יותר מאלף מכתבים, “וכך יצאה בשנת תר״ד הפקודה לפעול בכל </w:t>
      </w:r>
      <w:r>
        <w:rPr>
          <w:rtl/>
        </w:rPr>
        <w:lastRenderedPageBreak/>
        <w:t>החומרה והתוקף של גזרות הממשלה, (ו)נמסרה לידי הפקידים ואנשי המשטרה, ‘החיות הטורפות’, לבצעה בכל הכוח שבידם”.</w:t>
      </w:r>
      <w:bookmarkStart w:id="1323" w:name="_fnr817"/>
      <w:r>
        <w:rPr>
          <w:rStyle w:val="a5"/>
        </w:rPr>
        <w:footnoteReference w:id="818" w:customMarkFollows="0"/>
      </w:r>
      <w:bookmarkEnd w:id="1323"/>
    </w:p>
    <w:p w14:paraId="624E82CF"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מתאר</w:t>
      </w:r>
      <w:bookmarkStart w:id="1324" w:name="_fnr818"/>
      <w:r>
        <w:rPr>
          <w:rStyle w:val="a5"/>
        </w:rPr>
        <w:footnoteReference w:id="819" w:customMarkFollows="0"/>
      </w:r>
      <w:bookmarkEnd w:id="1324"/>
      <w:r>
        <w:rPr>
          <w:rtl/>
        </w:rPr>
        <w:t xml:space="preserve"> התנפלות על מלמד יהודי עני </w:t>
      </w:r>
      <w:proofErr w:type="spellStart"/>
      <w:r>
        <w:rPr>
          <w:rtl/>
        </w:rPr>
        <w:t>בווילקומיר</w:t>
      </w:r>
      <w:proofErr w:type="spellEnd"/>
      <w:r>
        <w:rPr>
          <w:rtl/>
        </w:rPr>
        <w:t xml:space="preserve">, עיר הולדתו של מחברו – </w:t>
      </w:r>
      <w:proofErr w:type="spellStart"/>
      <w:r>
        <w:rPr>
          <w:rtl/>
        </w:rPr>
        <w:t>לייבל׳ה</w:t>
      </w:r>
      <w:proofErr w:type="spellEnd"/>
      <w:r>
        <w:rPr>
          <w:rtl/>
        </w:rPr>
        <w:t xml:space="preserve"> </w:t>
      </w:r>
      <w:proofErr w:type="spellStart"/>
      <w:r>
        <w:rPr>
          <w:rtl/>
        </w:rPr>
        <w:t>מאלאטער</w:t>
      </w:r>
      <w:proofErr w:type="spellEnd"/>
      <w:r>
        <w:rPr>
          <w:rtl/>
        </w:rPr>
        <w:t xml:space="preserve">, “שהיה מן הסוג שעליו אמרו שנולד </w:t>
      </w:r>
      <w:proofErr w:type="spellStart"/>
      <w:r>
        <w:rPr>
          <w:rtl/>
        </w:rPr>
        <w:t>בשולהויף</w:t>
      </w:r>
      <w:proofErr w:type="spellEnd"/>
      <w:r>
        <w:rPr>
          <w:rtl/>
        </w:rPr>
        <w:t xml:space="preserve">, חי </w:t>
      </w:r>
      <w:proofErr w:type="spellStart"/>
      <w:r>
        <w:rPr>
          <w:rtl/>
        </w:rPr>
        <w:t>בשולהויף</w:t>
      </w:r>
      <w:proofErr w:type="spellEnd"/>
      <w:r>
        <w:rPr>
          <w:rtl/>
        </w:rPr>
        <w:t xml:space="preserve"> ומת </w:t>
      </w:r>
      <w:proofErr w:type="spellStart"/>
      <w:r>
        <w:rPr>
          <w:rtl/>
        </w:rPr>
        <w:t>בשולהויף</w:t>
      </w:r>
      <w:proofErr w:type="spellEnd"/>
      <w:r>
        <w:rPr>
          <w:rtl/>
        </w:rPr>
        <w:t>”. השכיבוהו על גדם עץ וקצצו את פאותיו בגרזן – יחד עם חתיכה מאוזנו.</w:t>
      </w:r>
    </w:p>
    <w:p w14:paraId="78FD367B"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מסכם</w:t>
      </w:r>
      <w:bookmarkStart w:id="1325" w:name="_fnr819"/>
      <w:r>
        <w:rPr>
          <w:rStyle w:val="a5"/>
        </w:rPr>
        <w:footnoteReference w:id="820" w:customMarkFollows="0"/>
      </w:r>
      <w:bookmarkEnd w:id="1325"/>
      <w:r>
        <w:rPr>
          <w:rtl/>
        </w:rPr>
        <w:t xml:space="preserve"> כך את מעשי האכזריות שנעשו ליהודים במקומות רבים ברוסיה, שבהם לא יכלו היהודים לפדות את עצמם מיד השוטרים המקומיים: “מעשי אכזריות אלה ורעים מהם נעשו בכל תחום המושב לעם ממושך ומורט</w:t>
      </w:r>
      <w:bookmarkStart w:id="1326" w:name="_fnr820"/>
      <w:r>
        <w:rPr>
          <w:rStyle w:val="a5"/>
        </w:rPr>
        <w:footnoteReference w:id="821" w:customMarkFollows="0"/>
      </w:r>
      <w:bookmarkEnd w:id="1326"/>
      <w:r>
        <w:rPr>
          <w:rtl/>
        </w:rPr>
        <w:t xml:space="preserve"> בלי שעשה כל רע – לא מתוך שנאת אויבים מבחוץ, אלא מתוך אהבת השקר של ידידינו מבפנים, שנעשו ‘</w:t>
      </w:r>
      <w:proofErr w:type="spellStart"/>
      <w:r>
        <w:rPr>
          <w:rtl/>
        </w:rPr>
        <w:t>מיטיבינו</w:t>
      </w:r>
      <w:proofErr w:type="spellEnd"/>
      <w:r>
        <w:rPr>
          <w:rtl/>
        </w:rPr>
        <w:t xml:space="preserve">’ בעל כורחנו. וסופרי המשכילים ותלמידיהם במשך </w:t>
      </w:r>
      <w:r>
        <w:rPr>
          <w:b/>
          <w:bCs/>
          <w:rtl/>
        </w:rPr>
        <w:t>שבעים שנה</w:t>
      </w:r>
      <w:r>
        <w:rPr>
          <w:rtl/>
        </w:rPr>
        <w:t xml:space="preserve"> (ההדגשה שלי) שפכו את עלבונם </w:t>
      </w:r>
      <w:proofErr w:type="spellStart"/>
      <w:r>
        <w:rPr>
          <w:rtl/>
        </w:rPr>
        <w:t>ובוזם</w:t>
      </w:r>
      <w:proofErr w:type="spellEnd"/>
      <w:r>
        <w:rPr>
          <w:rtl/>
        </w:rPr>
        <w:t xml:space="preserve"> על הרבנים, ואת שקריהם וכזביהם על המלמדים והחדרים ועל כל מפיצי התורה, במאמריהם הביקורתיים החריפים, בסיפורי לעג ובליצנות נאה</w:t>
      </w:r>
      <w:bookmarkStart w:id="1327" w:name="_fnr821"/>
      <w:r>
        <w:rPr>
          <w:rStyle w:val="a5"/>
        </w:rPr>
        <w:footnoteReference w:id="822" w:customMarkFollows="0"/>
      </w:r>
      <w:bookmarkEnd w:id="1327"/>
      <w:r>
        <w:rPr>
          <w:rtl/>
        </w:rPr>
        <w:t xml:space="preserve"> על כל קדשי בני ישראל – והכול לטובת ישראל... אבל עצמו עיניהם </w:t>
      </w:r>
      <w:proofErr w:type="spellStart"/>
      <w:r>
        <w:rPr>
          <w:rtl/>
        </w:rPr>
        <w:t>בספרותם</w:t>
      </w:r>
      <w:proofErr w:type="spellEnd"/>
      <w:r>
        <w:rPr>
          <w:rtl/>
        </w:rPr>
        <w:t xml:space="preserve"> מכל מעשי האכזריות שהביאו עלינו משכילינו, ‘</w:t>
      </w:r>
      <w:proofErr w:type="spellStart"/>
      <w:r>
        <w:rPr>
          <w:rtl/>
        </w:rPr>
        <w:t>מיטיבינו</w:t>
      </w:r>
      <w:proofErr w:type="spellEnd"/>
      <w:r>
        <w:rPr>
          <w:rtl/>
        </w:rPr>
        <w:t>’ שנדחקו עלינו!” שבעים שנות הטיוח שמזכיר ר׳ יעקב הלוי ליפשיץ מביאות אותנו כמעט עד זמן צאת ספרו “</w:t>
      </w:r>
      <w:proofErr w:type="spellStart"/>
      <w:r>
        <w:rPr>
          <w:rtl/>
        </w:rPr>
        <w:t>זכרון</w:t>
      </w:r>
      <w:proofErr w:type="spellEnd"/>
      <w:r>
        <w:rPr>
          <w:rtl/>
        </w:rPr>
        <w:t xml:space="preserve"> יעקב”.</w:t>
      </w:r>
    </w:p>
    <w:p w14:paraId="2520137B" w14:textId="77777777" w:rsidR="00AB3647" w:rsidRDefault="00000000" w:rsidP="007923E9">
      <w:pPr>
        <w:spacing w:after="120" w:line="276" w:lineRule="auto"/>
        <w:ind w:firstLine="283"/>
        <w:jc w:val="both"/>
      </w:pPr>
      <w:r>
        <w:rPr>
          <w:rtl/>
        </w:rPr>
        <w:t>המחבר מתאר גם</w:t>
      </w:r>
      <w:bookmarkStart w:id="1328" w:name="_fnr822"/>
      <w:r>
        <w:rPr>
          <w:rStyle w:val="a5"/>
        </w:rPr>
        <w:footnoteReference w:id="823" w:customMarkFollows="0"/>
      </w:r>
      <w:bookmarkEnd w:id="1328"/>
      <w:r>
        <w:rPr>
          <w:rtl/>
        </w:rPr>
        <w:t xml:space="preserve"> את חוסר הסובלנות שהפגינו המשכילים כלפי מבקריהם. על שנות </w:t>
      </w:r>
      <w:proofErr w:type="spellStart"/>
      <w:r>
        <w:rPr>
          <w:rtl/>
        </w:rPr>
        <w:t xml:space="preserve">התר״כ</w:t>
      </w:r>
      <w:proofErr w:type="spellEnd"/>
      <w:r>
        <w:rPr>
          <w:rtl/>
        </w:rPr>
        <w:t xml:space="preserve"> הוא כותב: “שיא </w:t>
      </w:r>
      <w:proofErr w:type="spellStart"/>
      <w:r>
        <w:rPr>
          <w:rtl/>
        </w:rPr>
        <w:t>ה‘סובלנות</w:t>
      </w:r>
      <w:proofErr w:type="spellEnd"/>
      <w:r>
        <w:rPr>
          <w:rtl/>
        </w:rPr>
        <w:t>’ שבה התפארו המשכילים נתגלה כשהתלוננו וזעקו חמס על החרדים – שאין בהם סובלנות והם ‘ישועים’</w:t>
      </w:r>
      <w:bookmarkStart w:id="1329" w:name="_fnr823"/>
      <w:r>
        <w:rPr>
          <w:rStyle w:val="a5"/>
        </w:rPr>
        <w:footnoteReference w:id="824" w:customMarkFollows="0"/>
      </w:r>
      <w:bookmarkEnd w:id="1329"/>
      <w:r>
        <w:rPr>
          <w:rtl/>
        </w:rPr>
        <w:t xml:space="preserve"> הרוצים לכפות את רעיונותיהם ומחשבותיהם בכוח על רעיהם ועל אלה [המשכילים] העומדים כביכול תחת דגל הסובלנות וחופש המחשבה. אבל מיד כשראו שהחרדים חוגרים עוז להגן על רעיונותיהם ולהטביעם בעם, לא בכוח האגרוף חלילה, אלא בכוח הספרות וההיגיון, שכחו את מידת הסובלנות. פנו עורף לחופש המחשבה והדיבור ואחזו בחרב המלשינות.”</w:t>
      </w:r>
    </w:p>
    <w:p w14:paraId="5A9826D4" w14:textId="77777777" w:rsidR="00AB3647" w:rsidRDefault="00000000" w:rsidP="007923E9">
      <w:pPr>
        <w:spacing w:after="120" w:line="276" w:lineRule="auto"/>
        <w:ind w:firstLine="283"/>
        <w:jc w:val="both"/>
      </w:pPr>
      <w:r>
        <w:rPr>
          <w:rtl/>
        </w:rPr>
        <w:t xml:space="preserve">ר׳ יעקב הלוי ליפשיץ התפלמס עם </w:t>
      </w:r>
      <w:proofErr w:type="spellStart"/>
      <w:r>
        <w:rPr>
          <w:rtl/>
        </w:rPr>
        <w:t>יל״ג</w:t>
      </w:r>
      <w:bookmarkStart w:id="1330" w:name="_fnr824"/>
      <w:proofErr w:type="spellEnd"/>
      <w:r>
        <w:rPr>
          <w:rStyle w:val="a5"/>
        </w:rPr>
        <w:footnoteReference w:id="825" w:customMarkFollows="0"/>
      </w:r>
      <w:bookmarkEnd w:id="1330"/>
      <w:r>
        <w:rPr>
          <w:rtl/>
        </w:rPr>
        <w:t xml:space="preserve"> על שדחף לשינויים בשולחן ערוך. </w:t>
      </w:r>
      <w:proofErr w:type="spellStart"/>
      <w:r>
        <w:rPr>
          <w:rtl/>
        </w:rPr>
        <w:t>יל״ג</w:t>
      </w:r>
      <w:proofErr w:type="spellEnd"/>
      <w:r>
        <w:rPr>
          <w:rtl/>
        </w:rPr>
        <w:t xml:space="preserve"> תקף את הרבנים בשם בדוי בעיתון “המליץ”, וליפשיץ, במקום להרכין את ראשו האורתודוקסי, השיב לו במאמר בשם בדוי </w:t>
      </w:r>
      <w:proofErr w:type="spellStart"/>
      <w:r>
        <w:rPr>
          <w:rtl/>
        </w:rPr>
        <w:t>ב“הלבנון</w:t>
      </w:r>
      <w:proofErr w:type="spellEnd"/>
      <w:r>
        <w:rPr>
          <w:rtl/>
        </w:rPr>
        <w:t>” היוצא בפריז.</w:t>
      </w:r>
      <w:bookmarkStart w:id="1331" w:name="_fnr825"/>
      <w:r>
        <w:rPr>
          <w:rStyle w:val="a5"/>
        </w:rPr>
        <w:footnoteReference w:id="826" w:customMarkFollows="0"/>
      </w:r>
      <w:bookmarkEnd w:id="1331"/>
      <w:r>
        <w:rPr>
          <w:rtl/>
        </w:rPr>
        <w:t xml:space="preserve"> </w:t>
      </w:r>
      <w:proofErr w:type="spellStart"/>
      <w:r>
        <w:rPr>
          <w:rtl/>
        </w:rPr>
        <w:t>יל״ג</w:t>
      </w:r>
      <w:proofErr w:type="spellEnd"/>
      <w:r>
        <w:rPr>
          <w:rtl/>
        </w:rPr>
        <w:t xml:space="preserve"> הוא שגירה מתחילה את הרבנים להשיב, כשהטיח בהם את ההאשמה “כל המדבר אל הרבנים כמדבר אל העצים ואל האבנים”; </w:t>
      </w:r>
      <w:r>
        <w:rPr>
          <w:rtl/>
        </w:rPr>
        <w:lastRenderedPageBreak/>
        <w:t xml:space="preserve">ועל תשובתו של ליפשיץ השיב באיום להביא את הממשלה הרוסית לאסור את ייבוא כתב העת הזר. המשכילים </w:t>
      </w:r>
      <w:proofErr w:type="spellStart"/>
      <w:r>
        <w:rPr>
          <w:rtl/>
        </w:rPr>
        <w:t>ה“סובלניים</w:t>
      </w:r>
      <w:proofErr w:type="spellEnd"/>
      <w:r>
        <w:rPr>
          <w:rtl/>
        </w:rPr>
        <w:t>” לא יכלו לשאת את “הטלאים הדוממים החוגרים עוז אריות”.</w:t>
      </w:r>
      <w:bookmarkStart w:id="1332" w:name="_fnr826"/>
      <w:r>
        <w:rPr>
          <w:rStyle w:val="a5"/>
        </w:rPr>
        <w:footnoteReference w:id="827" w:customMarkFollows="0"/>
      </w:r>
      <w:bookmarkEnd w:id="1332"/>
    </w:p>
    <w:p w14:paraId="1A16885B" w14:textId="77777777" w:rsidR="00AB3647" w:rsidRDefault="00000000" w:rsidP="007923E9">
      <w:pPr>
        <w:pStyle w:val="4"/>
        <w:spacing w:line="276" w:lineRule="auto"/>
      </w:pPr>
      <w:r>
        <w:t xml:space="preserve">· הפסקה </w:t>
      </w:r>
      <w:proofErr w:type="spellStart"/>
      <w:r>
        <w:t>השלוש־עשרה</w:t>
      </w:r>
      <w:proofErr w:type="spellEnd"/>
      <w:r>
        <w:t xml:space="preserve"> ·</w:t>
      </w:r>
    </w:p>
    <w:p w14:paraId="6D79CFC4" w14:textId="77777777" w:rsidR="00AB3647" w:rsidRDefault="00000000" w:rsidP="007923E9">
      <w:pPr>
        <w:pStyle w:val="5"/>
        <w:spacing w:line="276" w:lineRule="auto"/>
      </w:pPr>
      <w:r>
        <w:t xml:space="preserve">קושי בכותרת מכתבו של </w:t>
      </w:r>
      <w:proofErr w:type="spellStart"/>
      <w:r>
        <w:t>ליליינטל</w:t>
      </w:r>
      <w:proofErr w:type="spellEnd"/>
      <w:r>
        <w:t xml:space="preserve"> – מוצע פתרון משוער – יש קשיים בפתרון זה</w:t>
      </w:r>
    </w:p>
    <w:p w14:paraId="752481B2" w14:textId="77777777" w:rsidR="00AB3647" w:rsidRDefault="00000000" w:rsidP="007923E9">
      <w:pPr>
        <w:spacing w:after="120" w:line="276" w:lineRule="auto"/>
        <w:ind w:firstLine="283"/>
        <w:jc w:val="both"/>
      </w:pPr>
      <w:r>
        <w:rPr>
          <w:rtl/>
        </w:rPr>
        <w:t xml:space="preserve">בשלוש הפסקאות הבאות ננתח מתי והיכן נכתב מכתבו של </w:t>
      </w:r>
      <w:proofErr w:type="spellStart"/>
      <w:r>
        <w:rPr>
          <w:rtl/>
        </w:rPr>
        <w:t>ליליינטל</w:t>
      </w:r>
      <w:proofErr w:type="spellEnd"/>
      <w:r>
        <w:rPr>
          <w:rtl/>
        </w:rPr>
        <w:t xml:space="preserve"> לרוזנטל. לשם כך דרוש תקציר, פסקה אחר פסקה, של תוכן המכתב הנוגע לעניין. הניתוח יוכיח עד כמה דו־פרצופי היה ד״ר </w:t>
      </w:r>
      <w:proofErr w:type="spellStart"/>
      <w:r>
        <w:rPr>
          <w:rtl/>
        </w:rPr>
        <w:t>ליליינטל</w:t>
      </w:r>
      <w:proofErr w:type="spellEnd"/>
      <w:r>
        <w:rPr>
          <w:rtl/>
        </w:rPr>
        <w:t>.</w:t>
      </w:r>
    </w:p>
    <w:p w14:paraId="14906E4C" w14:textId="77777777" w:rsidR="00AB3647" w:rsidRDefault="00000000" w:rsidP="007923E9">
      <w:pPr>
        <w:spacing w:after="120" w:line="276" w:lineRule="auto"/>
        <w:ind w:firstLine="283"/>
        <w:jc w:val="both"/>
      </w:pPr>
      <w:r>
        <w:rPr>
          <w:rtl/>
        </w:rPr>
        <w:t xml:space="preserve">פסקה 1: מתי יצא </w:t>
      </w:r>
      <w:proofErr w:type="spellStart"/>
      <w:r>
        <w:rPr>
          <w:rtl/>
        </w:rPr>
        <w:t>לוולוז׳ין</w:t>
      </w:r>
      <w:proofErr w:type="spellEnd"/>
    </w:p>
    <w:p w14:paraId="03E40AFE" w14:textId="77777777" w:rsidR="00AB3647" w:rsidRDefault="00000000" w:rsidP="007923E9">
      <w:pPr>
        <w:spacing w:after="120" w:line="276" w:lineRule="auto"/>
        <w:ind w:firstLine="283"/>
        <w:jc w:val="both"/>
      </w:pPr>
      <w:r>
        <w:rPr>
          <w:rtl/>
        </w:rPr>
        <w:t xml:space="preserve">פסקה 2: רושמו מר׳ </w:t>
      </w:r>
      <w:proofErr w:type="spellStart"/>
      <w:r>
        <w:rPr>
          <w:rtl/>
        </w:rPr>
        <w:t>איצל׳ה</w:t>
      </w:r>
      <w:proofErr w:type="spellEnd"/>
      <w:r>
        <w:rPr>
          <w:rtl/>
        </w:rPr>
        <w:t xml:space="preserve">, והרושם שעשה כביכול על ר׳ </w:t>
      </w:r>
      <w:proofErr w:type="spellStart"/>
      <w:r>
        <w:rPr>
          <w:rtl/>
        </w:rPr>
        <w:t>איצל׳ה</w:t>
      </w:r>
      <w:proofErr w:type="spellEnd"/>
    </w:p>
    <w:p w14:paraId="5E865A49" w14:textId="77777777" w:rsidR="00AB3647" w:rsidRDefault="00000000" w:rsidP="007923E9">
      <w:pPr>
        <w:spacing w:after="120" w:line="276" w:lineRule="auto"/>
        <w:ind w:firstLine="283"/>
        <w:jc w:val="both"/>
      </w:pPr>
      <w:r>
        <w:rPr>
          <w:rtl/>
        </w:rPr>
        <w:t xml:space="preserve">פסקה 3: יחסם של “השליחים” מווילנה וממינסק, </w:t>
      </w:r>
      <w:proofErr w:type="spellStart"/>
      <w:r>
        <w:rPr>
          <w:rtl/>
        </w:rPr>
        <w:t>ו“ברית</w:t>
      </w:r>
      <w:proofErr w:type="spellEnd"/>
      <w:r>
        <w:rPr>
          <w:rtl/>
        </w:rPr>
        <w:t xml:space="preserve"> האהבה”</w:t>
      </w:r>
    </w:p>
    <w:p w14:paraId="63427C35" w14:textId="77777777" w:rsidR="00AB3647" w:rsidRDefault="00000000" w:rsidP="007923E9">
      <w:pPr>
        <w:spacing w:after="120" w:line="276" w:lineRule="auto"/>
        <w:ind w:firstLine="283"/>
        <w:jc w:val="both"/>
      </w:pPr>
      <w:r>
        <w:rPr>
          <w:rtl/>
        </w:rPr>
        <w:t>פסקה 4: נסיעתו למינסק, וכיצד התקבל בבואו לשם</w:t>
      </w:r>
    </w:p>
    <w:p w14:paraId="08A3E75B" w14:textId="77777777" w:rsidR="00AB3647" w:rsidRDefault="00000000" w:rsidP="007923E9">
      <w:pPr>
        <w:spacing w:after="120" w:line="276" w:lineRule="auto"/>
        <w:ind w:firstLine="283"/>
        <w:jc w:val="both"/>
      </w:pPr>
      <w:r>
        <w:rPr>
          <w:rtl/>
        </w:rPr>
        <w:t xml:space="preserve">פסקה 5: א. יחסו הסלחני ליהודי מינסק בבואו; ב. היכן במינסק עשה את שני הימים הראשונים של חג הסוכות ואת כל חול המועד; ג. כיצד עשה את שמחת תורה </w:t>
      </w:r>
      <w:proofErr w:type="spellStart"/>
      <w:r>
        <w:rPr>
          <w:rtl/>
        </w:rPr>
        <w:t>בקלויז</w:t>
      </w:r>
      <w:proofErr w:type="spellEnd"/>
      <w:r>
        <w:rPr>
          <w:rtl/>
        </w:rPr>
        <w:t xml:space="preserve"> של חב״ד במינסק</w:t>
      </w:r>
      <w:bookmarkStart w:id="1333" w:name="_fnr827"/>
      <w:r>
        <w:rPr>
          <w:rStyle w:val="a5"/>
        </w:rPr>
        <w:footnoteReference w:id="828" w:customMarkFollows="0"/>
      </w:r>
      <w:bookmarkEnd w:id="1333"/>
    </w:p>
    <w:p w14:paraId="12EF4954" w14:textId="77777777" w:rsidR="00AB3647" w:rsidRDefault="00000000" w:rsidP="007923E9">
      <w:pPr>
        <w:spacing w:after="120" w:line="276" w:lineRule="auto"/>
        <w:ind w:firstLine="283"/>
        <w:jc w:val="both"/>
      </w:pPr>
      <w:r>
        <w:rPr>
          <w:rtl/>
        </w:rPr>
        <w:t>פסקה 6: תיאור האספה במינסק ביום הראשון של חול המועד, ומחלת הקיבה שלו ששינתה את תוכניות נסיעתו</w:t>
      </w:r>
    </w:p>
    <w:p w14:paraId="00DCE8FF" w14:textId="77777777" w:rsidR="00AB3647" w:rsidRDefault="00000000" w:rsidP="007923E9">
      <w:pPr>
        <w:spacing w:after="120" w:line="276" w:lineRule="auto"/>
        <w:ind w:firstLine="283"/>
        <w:jc w:val="both"/>
      </w:pPr>
      <w:r>
        <w:rPr>
          <w:rtl/>
        </w:rPr>
        <w:t xml:space="preserve">פסקה 7: מתי יצא ממינסק </w:t>
      </w:r>
      <w:proofErr w:type="spellStart"/>
      <w:r>
        <w:rPr>
          <w:rtl/>
        </w:rPr>
        <w:t>לגרודנא</w:t>
      </w:r>
      <w:proofErr w:type="spellEnd"/>
      <w:r>
        <w:rPr>
          <w:rtl/>
        </w:rPr>
        <w:t>, נסיעתו וקבלת הפנים שם</w:t>
      </w:r>
    </w:p>
    <w:p w14:paraId="35E32B12" w14:textId="77777777" w:rsidR="00AB3647" w:rsidRDefault="00000000" w:rsidP="007923E9">
      <w:pPr>
        <w:spacing w:after="120" w:line="276" w:lineRule="auto"/>
        <w:ind w:firstLine="283"/>
        <w:jc w:val="both"/>
      </w:pPr>
      <w:r>
        <w:rPr>
          <w:rtl/>
        </w:rPr>
        <w:t xml:space="preserve">פסקה 8: תוכניתו לנסוע </w:t>
      </w:r>
      <w:proofErr w:type="spellStart"/>
      <w:r>
        <w:rPr>
          <w:rtl/>
        </w:rPr>
        <w:t>לביאליסטוק</w:t>
      </w:r>
      <w:proofErr w:type="spellEnd"/>
    </w:p>
    <w:p w14:paraId="66F8205D" w14:textId="77777777" w:rsidR="00AB3647" w:rsidRDefault="00000000" w:rsidP="007923E9">
      <w:pPr>
        <w:spacing w:after="120" w:line="276" w:lineRule="auto"/>
        <w:ind w:firstLine="283"/>
        <w:jc w:val="both"/>
      </w:pPr>
      <w:r>
        <w:rPr>
          <w:rtl/>
        </w:rPr>
        <w:lastRenderedPageBreak/>
        <w:t>לפי התאריך והמקום שבראש המכתב, “</w:t>
      </w:r>
      <w:proofErr w:type="spellStart"/>
      <w:r>
        <w:rPr>
          <w:rtl/>
        </w:rPr>
        <w:t>גרודנא</w:t>
      </w:r>
      <w:proofErr w:type="spellEnd"/>
      <w:r>
        <w:rPr>
          <w:rtl/>
        </w:rPr>
        <w:t xml:space="preserve"> d. [</w:t>
      </w:r>
      <w:proofErr w:type="spellStart"/>
      <w:r>
        <w:rPr>
          <w:rtl/>
        </w:rPr>
        <w:t>datus</w:t>
      </w:r>
      <w:proofErr w:type="spellEnd"/>
      <w:r>
        <w:rPr>
          <w:rtl/>
        </w:rPr>
        <w:t xml:space="preserve">] 13.9.42”, הוא נכתב ביום ראשון, הושענא רבה, כ״א בתשרי תר״ג. הדבר מתיישב עם ראשית המכתב (פסקה 1): “הנה זה </w:t>
      </w:r>
      <w:proofErr w:type="spellStart"/>
      <w:r>
        <w:rPr>
          <w:rtl/>
        </w:rPr>
        <w:t>שבועים</w:t>
      </w:r>
      <w:proofErr w:type="spellEnd"/>
      <w:r>
        <w:rPr>
          <w:rtl/>
        </w:rPr>
        <w:t xml:space="preserve"> ששמתי פעמי לק׳ (לקהילת) </w:t>
      </w:r>
      <w:proofErr w:type="spellStart"/>
      <w:r>
        <w:rPr>
          <w:rtl/>
        </w:rPr>
        <w:t>וולוזין</w:t>
      </w:r>
      <w:proofErr w:type="spellEnd"/>
      <w:r>
        <w:rPr>
          <w:rtl/>
        </w:rPr>
        <w:t xml:space="preserve">”. זה מחזיר אותנו ליום ראשון, ז׳ בתשרי: </w:t>
      </w:r>
      <w:proofErr w:type="spellStart"/>
      <w:r>
        <w:rPr>
          <w:rtl/>
        </w:rPr>
        <w:t>ליליינטל</w:t>
      </w:r>
      <w:proofErr w:type="spellEnd"/>
      <w:r>
        <w:rPr>
          <w:rtl/>
        </w:rPr>
        <w:t xml:space="preserve"> יצא לדרך של 160 קילומטר מווילנה </w:t>
      </w:r>
      <w:proofErr w:type="spellStart"/>
      <w:r>
        <w:rPr>
          <w:rtl/>
        </w:rPr>
        <w:t>לוולוז׳ין</w:t>
      </w:r>
      <w:proofErr w:type="spellEnd"/>
      <w:r>
        <w:rPr>
          <w:rtl/>
        </w:rPr>
        <w:t xml:space="preserve"> ביום ראשון בבוקר (או במוצאי שבת), שבועיים בדיוק לפני הושענא רבה, והגיע ביום ראשון בלילה. למחרת בבוקר, ביום שני, סירב לבוא לבית הכנסת לעלות לתורה בשעת קריאת התורה, כפי שזכר ר׳ </w:t>
      </w:r>
      <w:proofErr w:type="spellStart"/>
      <w:r>
        <w:rPr>
          <w:rtl/>
        </w:rPr>
        <w:t>יחיאל־מיכל</w:t>
      </w:r>
      <w:proofErr w:type="spellEnd"/>
      <w:r>
        <w:rPr>
          <w:rtl/>
        </w:rPr>
        <w:t xml:space="preserve"> אפשטיין, בעל ערוך השולחן, וכאמור לעיל בפסקה השמינית.</w:t>
      </w:r>
    </w:p>
    <w:p w14:paraId="57FE7862" w14:textId="77777777" w:rsidR="00AB3647" w:rsidRDefault="00000000" w:rsidP="007923E9">
      <w:pPr>
        <w:spacing w:after="120" w:line="276" w:lineRule="auto"/>
        <w:ind w:firstLine="283"/>
        <w:jc w:val="both"/>
      </w:pPr>
      <w:r>
        <w:rPr>
          <w:rtl/>
        </w:rPr>
        <w:t xml:space="preserve">המכתב ממשיך ומספר (פסקה 4) </w:t>
      </w:r>
      <w:proofErr w:type="spellStart"/>
      <w:r>
        <w:rPr>
          <w:rtl/>
        </w:rPr>
        <w:t>ש“מהעיר</w:t>
      </w:r>
      <w:proofErr w:type="spellEnd"/>
      <w:r>
        <w:rPr>
          <w:rtl/>
        </w:rPr>
        <w:t xml:space="preserve"> הזאת הלכתי בערב יו״ט למינסק” (ביום ראשון), ושם, לפי פסקה 6, השתתף ביום הראשון של חול המועד (יום רביעי) בערב באספה שלשמה בא. אחרי האספה חלה כל כך במחלת קיבה עד </w:t>
      </w:r>
      <w:proofErr w:type="spellStart"/>
      <w:r>
        <w:rPr>
          <w:rtl/>
        </w:rPr>
        <w:t>ש“נצרכתי</w:t>
      </w:r>
      <w:proofErr w:type="spellEnd"/>
      <w:r>
        <w:rPr>
          <w:rtl/>
        </w:rPr>
        <w:t xml:space="preserve"> לרופאים ולרפואות”, ומצבו נשאר כך ארבעה ימים, “עוד היום”, כלומר עד הושענא רבה. אבל ב</w:t>
      </w:r>
      <w:r>
        <w:rPr>
          <w:b/>
          <w:bCs/>
          <w:rtl/>
        </w:rPr>
        <w:t>פסקה מוקדמת יותר</w:t>
      </w:r>
      <w:r>
        <w:rPr>
          <w:rtl/>
        </w:rPr>
        <w:t xml:space="preserve"> (פסקה 5) מספר המכתב גם את מאורעות </w:t>
      </w:r>
      <w:r>
        <w:rPr>
          <w:b/>
          <w:bCs/>
          <w:rtl/>
        </w:rPr>
        <w:t>ימי חול המועד ושמחת תורה בעודו במינסק</w:t>
      </w:r>
      <w:r>
        <w:rPr>
          <w:rtl/>
        </w:rPr>
        <w:t>. כבר מכאן אנו רואים שהמכתב לא נכתב בהושענא רבה, 13 בספטמבר, כתאריכו, אלא לכל המוקדם אחרי שמחת תורה, 15 בספטמבר!</w:t>
      </w:r>
    </w:p>
    <w:p w14:paraId="585D3752" w14:textId="77777777" w:rsidR="00AB3647" w:rsidRDefault="00000000" w:rsidP="007923E9">
      <w:pPr>
        <w:spacing w:after="120" w:line="276" w:lineRule="auto"/>
        <w:ind w:firstLine="283"/>
        <w:jc w:val="both"/>
      </w:pPr>
      <w:r>
        <w:rPr>
          <w:rtl/>
        </w:rPr>
        <w:t>ב</w:t>
      </w:r>
      <w:r>
        <w:rPr>
          <w:b/>
          <w:bCs/>
          <w:rtl/>
        </w:rPr>
        <w:t>פסקה מאוחרת יותר</w:t>
      </w:r>
      <w:r>
        <w:rPr>
          <w:rtl/>
        </w:rPr>
        <w:t xml:space="preserve"> (פסקה 7) מספר המכתב שממינסק “במוצאי יום טוב </w:t>
      </w:r>
      <w:proofErr w:type="spellStart"/>
      <w:r>
        <w:rPr>
          <w:rtl/>
        </w:rPr>
        <w:t>מהרתי</w:t>
      </w:r>
      <w:proofErr w:type="spellEnd"/>
      <w:r>
        <w:rPr>
          <w:rtl/>
        </w:rPr>
        <w:t xml:space="preserve"> לבוא </w:t>
      </w:r>
      <w:proofErr w:type="spellStart"/>
      <w:r>
        <w:rPr>
          <w:rtl/>
        </w:rPr>
        <w:t>לגראדנא</w:t>
      </w:r>
      <w:proofErr w:type="spellEnd"/>
      <w:r>
        <w:rPr>
          <w:rtl/>
        </w:rPr>
        <w:t xml:space="preserve">”, כלומר ביום שלישי בלילה, </w:t>
      </w:r>
      <w:proofErr w:type="spellStart"/>
      <w:r>
        <w:rPr>
          <w:rtl/>
        </w:rPr>
        <w:t>ו“באתי</w:t>
      </w:r>
      <w:proofErr w:type="spellEnd"/>
      <w:r>
        <w:rPr>
          <w:rtl/>
        </w:rPr>
        <w:t xml:space="preserve"> לשם יום ו׳ בערב”. זמנו המדויק של בואו יידון בפסקה הבאה, אבל ודאי היה זה בסוף השבוע. נמצא שהמכתב נכתב לפחות יומיים נוספים </w:t>
      </w:r>
      <w:r>
        <w:rPr>
          <w:b/>
          <w:bCs/>
          <w:rtl/>
        </w:rPr>
        <w:t>אחרי</w:t>
      </w:r>
      <w:r>
        <w:rPr>
          <w:rtl/>
        </w:rPr>
        <w:t xml:space="preserve"> שמחת תורה, כלומר לא לפני 17 בספטמבר, ארבעה ימים אחרי הושענא רבה! מדוע, אם כן, מתנוסס בראש המכתב התאריך 13 בספטמבר?</w:t>
      </w:r>
    </w:p>
    <w:p w14:paraId="0B2017F7" w14:textId="77777777" w:rsidR="00AB3647" w:rsidRDefault="00000000" w:rsidP="007923E9">
      <w:pPr>
        <w:spacing w:after="120" w:line="276" w:lineRule="auto"/>
        <w:ind w:firstLine="283"/>
        <w:jc w:val="both"/>
      </w:pPr>
      <w:r>
        <w:rPr>
          <w:rtl/>
        </w:rPr>
        <w:t xml:space="preserve">יש שתי דרכים אפשריות לפתור קושיה זו. האחת: לשער </w:t>
      </w:r>
      <w:proofErr w:type="spellStart"/>
      <w:r>
        <w:rPr>
          <w:rtl/>
        </w:rPr>
        <w:t>שליליינטל</w:t>
      </w:r>
      <w:proofErr w:type="spellEnd"/>
      <w:r>
        <w:rPr>
          <w:rtl/>
        </w:rPr>
        <w:t xml:space="preserve"> החל את מכתבו ב־13 בספטמבר, הושענא רבה, </w:t>
      </w:r>
      <w:r>
        <w:rPr>
          <w:b/>
          <w:bCs/>
          <w:rtl/>
        </w:rPr>
        <w:t>במינסק</w:t>
      </w:r>
      <w:r>
        <w:rPr>
          <w:rtl/>
        </w:rPr>
        <w:t xml:space="preserve">, וכתב את פסקאות 1, 2, 3, 4, את חלקים א </w:t>
      </w:r>
      <w:proofErr w:type="spellStart"/>
      <w:r>
        <w:rPr>
          <w:rtl/>
        </w:rPr>
        <w:t>ו־ב</w:t>
      </w:r>
      <w:proofErr w:type="spellEnd"/>
      <w:r>
        <w:rPr>
          <w:rtl/>
        </w:rPr>
        <w:t xml:space="preserve"> של פסקה 5 ואת פסקה 6 במלואה. פסקאות אלו כיסו את כל המאורעות עד יום הכתיבה, כלומר הושענא רבה, ובראש המכתב רשם </w:t>
      </w:r>
      <w:r>
        <w:rPr>
          <w:b/>
          <w:bCs/>
          <w:rtl/>
        </w:rPr>
        <w:t>תאריך בלבד</w:t>
      </w:r>
      <w:r>
        <w:rPr>
          <w:rtl/>
        </w:rPr>
        <w:t>.</w:t>
      </w:r>
    </w:p>
    <w:p w14:paraId="694403AB" w14:textId="77777777" w:rsidR="00AB3647" w:rsidRDefault="00000000" w:rsidP="007923E9">
      <w:pPr>
        <w:spacing w:after="120" w:line="276" w:lineRule="auto"/>
        <w:ind w:firstLine="283"/>
        <w:jc w:val="both"/>
      </w:pPr>
      <w:r>
        <w:rPr>
          <w:rtl/>
        </w:rPr>
        <w:t xml:space="preserve">אחר כך, בסוף השבוע, </w:t>
      </w:r>
      <w:r>
        <w:rPr>
          <w:b/>
          <w:bCs/>
          <w:rtl/>
        </w:rPr>
        <w:t xml:space="preserve">כבר </w:t>
      </w:r>
      <w:proofErr w:type="spellStart"/>
      <w:r>
        <w:rPr>
          <w:b/>
          <w:bCs/>
          <w:rtl/>
        </w:rPr>
        <w:t>בגרודנא</w:t>
      </w:r>
      <w:proofErr w:type="spellEnd"/>
      <w:r>
        <w:rPr>
          <w:rtl/>
        </w:rPr>
        <w:t xml:space="preserve">, הוסיף לפסקה 5 את חלק ג. בו פירט מה אירע </w:t>
      </w:r>
      <w:r>
        <w:rPr>
          <w:b/>
          <w:bCs/>
          <w:rtl/>
        </w:rPr>
        <w:t>אחרי הושענא רבה</w:t>
      </w:r>
      <w:r>
        <w:rPr>
          <w:rtl/>
        </w:rPr>
        <w:t xml:space="preserve">, בשמחת תורה (שעד אז הוטב מצב קיבתו), ושיכול היה להשלים את הזמן שהפסיד בגלל המחלה </w:t>
      </w:r>
      <w:proofErr w:type="spellStart"/>
      <w:r>
        <w:rPr>
          <w:rtl/>
        </w:rPr>
        <w:t>ב“מהירות</w:t>
      </w:r>
      <w:proofErr w:type="spellEnd"/>
      <w:r>
        <w:rPr>
          <w:rtl/>
        </w:rPr>
        <w:t xml:space="preserve">” נסיעתו </w:t>
      </w:r>
      <w:proofErr w:type="spellStart"/>
      <w:r>
        <w:rPr>
          <w:rtl/>
        </w:rPr>
        <w:t>לגרודנא</w:t>
      </w:r>
      <w:proofErr w:type="spellEnd"/>
      <w:r>
        <w:rPr>
          <w:rtl/>
        </w:rPr>
        <w:t xml:space="preserve"> במוצאי יום טוב (יום שלישי בלילה). כמו כן הוסיף </w:t>
      </w:r>
      <w:r>
        <w:rPr>
          <w:b/>
          <w:bCs/>
          <w:rtl/>
        </w:rPr>
        <w:t>שתי פסקאות חדשות</w:t>
      </w:r>
      <w:r>
        <w:rPr>
          <w:rtl/>
        </w:rPr>
        <w:t xml:space="preserve">, 7 ו־8, על הנסיעה </w:t>
      </w:r>
      <w:proofErr w:type="spellStart"/>
      <w:r>
        <w:rPr>
          <w:rtl/>
        </w:rPr>
        <w:t>לגרודנא</w:t>
      </w:r>
      <w:proofErr w:type="spellEnd"/>
      <w:r>
        <w:rPr>
          <w:rtl/>
        </w:rPr>
        <w:t xml:space="preserve"> ועל תוכניותיו הבאות. אז, בסוף השבוע, הוסיף בראש הדף, לתאריך המקורי שבו </w:t>
      </w:r>
      <w:r>
        <w:rPr>
          <w:b/>
          <w:bCs/>
          <w:rtl/>
        </w:rPr>
        <w:t>פתח</w:t>
      </w:r>
      <w:r>
        <w:rPr>
          <w:rtl/>
        </w:rPr>
        <w:t xml:space="preserve"> את המכתב, את המילה “</w:t>
      </w:r>
      <w:proofErr w:type="spellStart"/>
      <w:r>
        <w:rPr>
          <w:rtl/>
        </w:rPr>
        <w:t>גרודנא</w:t>
      </w:r>
      <w:proofErr w:type="spellEnd"/>
      <w:r>
        <w:rPr>
          <w:rtl/>
        </w:rPr>
        <w:t xml:space="preserve">”, כמקום שבו </w:t>
      </w:r>
      <w:r>
        <w:rPr>
          <w:b/>
          <w:bCs/>
          <w:rtl/>
        </w:rPr>
        <w:t>סיים</w:t>
      </w:r>
      <w:r>
        <w:rPr>
          <w:rtl/>
        </w:rPr>
        <w:t xml:space="preserve"> אותו. לפי זה, כותרת המכתב, “</w:t>
      </w:r>
      <w:proofErr w:type="spellStart"/>
      <w:r>
        <w:rPr>
          <w:rtl/>
        </w:rPr>
        <w:t>גרודנא</w:t>
      </w:r>
      <w:proofErr w:type="spellEnd"/>
      <w:r>
        <w:rPr>
          <w:rtl/>
        </w:rPr>
        <w:t xml:space="preserve"> d. 13.9.42”, מלמדת על </w:t>
      </w:r>
      <w:r>
        <w:rPr>
          <w:b/>
          <w:bCs/>
          <w:rtl/>
        </w:rPr>
        <w:t>שני פרטים</w:t>
      </w:r>
      <w:r>
        <w:rPr>
          <w:rtl/>
        </w:rPr>
        <w:t>: האחד, מתי התחיל (13 בספטמבר); השני, ה</w:t>
      </w:r>
      <w:r>
        <w:rPr>
          <w:b/>
          <w:bCs/>
          <w:rtl/>
        </w:rPr>
        <w:t>מקום</w:t>
      </w:r>
      <w:r>
        <w:rPr>
          <w:rtl/>
        </w:rPr>
        <w:t xml:space="preserve"> שבו הושלם, </w:t>
      </w:r>
      <w:proofErr w:type="spellStart"/>
      <w:r>
        <w:rPr>
          <w:rtl/>
        </w:rPr>
        <w:t>בגרודנא</w:t>
      </w:r>
      <w:proofErr w:type="spellEnd"/>
      <w:r>
        <w:rPr>
          <w:rtl/>
        </w:rPr>
        <w:t xml:space="preserve"> (17–18 בספטמבר).</w:t>
      </w:r>
    </w:p>
    <w:p w14:paraId="714DA603" w14:textId="77777777" w:rsidR="00AB3647" w:rsidRDefault="00000000" w:rsidP="007923E9">
      <w:pPr>
        <w:spacing w:after="120" w:line="276" w:lineRule="auto"/>
        <w:ind w:firstLine="283"/>
        <w:jc w:val="both"/>
      </w:pPr>
      <w:r>
        <w:rPr>
          <w:rtl/>
        </w:rPr>
        <w:t xml:space="preserve">קושי אחד בפתרון זה הוא, כמובן, המוזרות שבכתיבת כותרת למכתב מלכתחילה עם תאריך בלי מקום. קושי אחר: יש להניח </w:t>
      </w:r>
      <w:proofErr w:type="spellStart"/>
      <w:r>
        <w:rPr>
          <w:rtl/>
        </w:rPr>
        <w:t>שליליינטל</w:t>
      </w:r>
      <w:proofErr w:type="spellEnd"/>
      <w:r>
        <w:rPr>
          <w:rtl/>
        </w:rPr>
        <w:t xml:space="preserve"> השאיר מקום ריק בסוף פסקה 5, כדי שיוכל להוסיף לה את חלק ג </w:t>
      </w:r>
      <w:r>
        <w:rPr>
          <w:b/>
          <w:bCs/>
          <w:rtl/>
        </w:rPr>
        <w:t>אחרי</w:t>
      </w:r>
      <w:r>
        <w:rPr>
          <w:rtl/>
        </w:rPr>
        <w:t xml:space="preserve"> שכבר כתב את פסקה 6. קושי שלישי: פתרון זה אינו מיישב מדוע פסקה 6 אינה במקומה הנכון, שכן מבחינה כרונולוגית מקומה אחרי חלק א של פסקה 5.</w:t>
      </w:r>
    </w:p>
    <w:p w14:paraId="4AE6BAB3" w14:textId="77777777" w:rsidR="00AB3647" w:rsidRDefault="00000000" w:rsidP="007923E9">
      <w:pPr>
        <w:pStyle w:val="4"/>
        <w:spacing w:line="276" w:lineRule="auto"/>
      </w:pPr>
      <w:r>
        <w:lastRenderedPageBreak/>
        <w:t xml:space="preserve">· הפסקה </w:t>
      </w:r>
      <w:proofErr w:type="spellStart"/>
      <w:r>
        <w:t>הארבע־עשרה</w:t>
      </w:r>
      <w:proofErr w:type="spellEnd"/>
      <w:r>
        <w:t xml:space="preserve"> ·</w:t>
      </w:r>
    </w:p>
    <w:p w14:paraId="10953760" w14:textId="77777777" w:rsidR="00AB3647" w:rsidRDefault="00000000" w:rsidP="007923E9">
      <w:pPr>
        <w:pStyle w:val="5"/>
        <w:spacing w:line="276" w:lineRule="auto"/>
      </w:pPr>
      <w:r>
        <w:t xml:space="preserve">פתרון אחר לבעיה שבמכתב </w:t>
      </w:r>
      <w:proofErr w:type="spellStart"/>
      <w:r>
        <w:t>ליליינטל</w:t>
      </w:r>
      <w:proofErr w:type="spellEnd"/>
      <w:r>
        <w:t xml:space="preserve"> – </w:t>
      </w:r>
      <w:proofErr w:type="spellStart"/>
      <w:r>
        <w:t>ליליינטל</w:t>
      </w:r>
      <w:proofErr w:type="spellEnd"/>
      <w:r>
        <w:t xml:space="preserve"> מבקש להאדיר את עצמו – המשכילים מאשימים אותו ברדיפת כבוד</w:t>
      </w:r>
    </w:p>
    <w:p w14:paraId="477A2941" w14:textId="77777777" w:rsidR="00AB3647" w:rsidRDefault="00000000" w:rsidP="007923E9">
      <w:pPr>
        <w:spacing w:after="120" w:line="276" w:lineRule="auto"/>
        <w:ind w:firstLine="283"/>
        <w:jc w:val="both"/>
      </w:pPr>
      <w:r>
        <w:rPr>
          <w:rtl/>
        </w:rPr>
        <w:t xml:space="preserve">פתרון אחר לבעיית הכותרת: </w:t>
      </w:r>
      <w:proofErr w:type="spellStart"/>
      <w:r>
        <w:rPr>
          <w:rtl/>
        </w:rPr>
        <w:t>ליליינטל</w:t>
      </w:r>
      <w:proofErr w:type="spellEnd"/>
      <w:r>
        <w:rPr>
          <w:rtl/>
        </w:rPr>
        <w:t xml:space="preserve"> כתב את </w:t>
      </w:r>
      <w:r>
        <w:rPr>
          <w:b/>
          <w:bCs/>
          <w:rtl/>
        </w:rPr>
        <w:t>הכותרת כולה</w:t>
      </w:r>
      <w:r>
        <w:rPr>
          <w:rtl/>
        </w:rPr>
        <w:t xml:space="preserve"> במינסק ביום רביעי, היום הראשון של חול המועד – לפני האספה הפומבית שלו שם באותו ערב – יחד עם פסקאות 1, 2, 3 ו־4, שכיסו את המאורעות </w:t>
      </w:r>
      <w:proofErr w:type="spellStart"/>
      <w:r>
        <w:rPr>
          <w:rtl/>
        </w:rPr>
        <w:t>בוולוז׳ין</w:t>
      </w:r>
      <w:proofErr w:type="spellEnd"/>
      <w:r>
        <w:rPr>
          <w:rtl/>
        </w:rPr>
        <w:t xml:space="preserve"> ואת נסיעתו למינסק. הוא ציפה לצאת ממינסק בבוקר שלאחר האספה, כלומר ביום חמישי בבוקר, היום השני של חול המועד, ולנסוע באותו יום </w:t>
      </w:r>
      <w:proofErr w:type="spellStart"/>
      <w:r>
        <w:rPr>
          <w:rtl/>
        </w:rPr>
        <w:t>ולמחרתו</w:t>
      </w:r>
      <w:proofErr w:type="spellEnd"/>
      <w:r>
        <w:rPr>
          <w:rtl/>
        </w:rPr>
        <w:t xml:space="preserve">: להגיע ביום שישי אחר הצהריים, ולעשות את שבת חול המועד ואת יום ראשון, הושענא רבה, כבר </w:t>
      </w:r>
      <w:proofErr w:type="spellStart"/>
      <w:r>
        <w:rPr>
          <w:rtl/>
        </w:rPr>
        <w:t>בגרודנא</w:t>
      </w:r>
      <w:proofErr w:type="spellEnd"/>
      <w:r>
        <w:rPr>
          <w:rtl/>
        </w:rPr>
        <w:t xml:space="preserve">. לכן קבע למכתב תאריך ומקום מאוחרים – הזמן והמקום שבהם </w:t>
      </w:r>
      <w:r>
        <w:rPr>
          <w:b/>
          <w:bCs/>
          <w:rtl/>
        </w:rPr>
        <w:t>ציפה לסיימו</w:t>
      </w:r>
      <w:r>
        <w:rPr>
          <w:rtl/>
        </w:rPr>
        <w:t>.</w:t>
      </w:r>
    </w:p>
    <w:p w14:paraId="348D721D" w14:textId="77777777" w:rsidR="00AB3647" w:rsidRDefault="00000000" w:rsidP="007923E9">
      <w:pPr>
        <w:spacing w:after="120" w:line="276" w:lineRule="auto"/>
        <w:ind w:firstLine="283"/>
        <w:jc w:val="both"/>
      </w:pPr>
      <w:r>
        <w:rPr>
          <w:rtl/>
        </w:rPr>
        <w:t>כשמחלת הקיבה שתקפה אותו אחרי האספה של יום רביעי</w:t>
      </w:r>
      <w:bookmarkStart w:id="1334" w:name="_fnr828"/>
      <w:r>
        <w:rPr>
          <w:rStyle w:val="a5"/>
        </w:rPr>
        <w:footnoteReference w:id="829" w:customMarkFollows="0"/>
      </w:r>
      <w:bookmarkEnd w:id="1334"/>
      <w:r>
        <w:rPr>
          <w:rtl/>
        </w:rPr>
        <w:t xml:space="preserve"> אילצה אותו להישאר במינסק עד אחרי שמחת תורה, השאיר את הכותרת כמות שהיא. בפועל השלים את המכתב, על פסקאות 5, 6, 7 ו־8 כולן, אומנם </w:t>
      </w:r>
      <w:proofErr w:type="spellStart"/>
      <w:r>
        <w:rPr>
          <w:rtl/>
        </w:rPr>
        <w:t>בגרודנא</w:t>
      </w:r>
      <w:proofErr w:type="spellEnd"/>
      <w:r>
        <w:rPr>
          <w:rtl/>
        </w:rPr>
        <w:t xml:space="preserve">, אבל רק </w:t>
      </w:r>
      <w:r>
        <w:rPr>
          <w:b/>
          <w:bCs/>
          <w:rtl/>
        </w:rPr>
        <w:t>בסוף השבוע שהתחיל בהושענא רבה</w:t>
      </w:r>
      <w:r>
        <w:rPr>
          <w:rtl/>
        </w:rPr>
        <w:t xml:space="preserve">. לפי הסבר זה, בריאותו לא הוטבה במינסק, ועדיין לא החלים לגמרי כשהשלים את המכתב (“עוד היום”) </w:t>
      </w:r>
      <w:proofErr w:type="spellStart"/>
      <w:r>
        <w:rPr>
          <w:b/>
          <w:bCs/>
          <w:rtl/>
        </w:rPr>
        <w:t>בגרודנא</w:t>
      </w:r>
      <w:proofErr w:type="spellEnd"/>
      <w:r>
        <w:rPr>
          <w:rtl/>
        </w:rPr>
        <w:t xml:space="preserve">. מחלתו, שנמשכה עשרה ימים, גרמה לו להגיע </w:t>
      </w:r>
      <w:proofErr w:type="spellStart"/>
      <w:r>
        <w:rPr>
          <w:rtl/>
        </w:rPr>
        <w:t>לגרודנא</w:t>
      </w:r>
      <w:proofErr w:type="spellEnd"/>
      <w:r>
        <w:rPr>
          <w:rtl/>
        </w:rPr>
        <w:t xml:space="preserve"> לא </w:t>
      </w:r>
      <w:r>
        <w:rPr>
          <w:b/>
          <w:bCs/>
          <w:rtl/>
        </w:rPr>
        <w:t>לפני שבת חול המועד</w:t>
      </w:r>
      <w:r>
        <w:rPr>
          <w:rtl/>
        </w:rPr>
        <w:t xml:space="preserve">, כפי שקיווה כשהתחיל את המכתב, אלא שבוע שלם אחר כך. נמצא שהמכתב מלמד על </w:t>
      </w:r>
      <w:r>
        <w:rPr>
          <w:b/>
          <w:bCs/>
          <w:rtl/>
        </w:rPr>
        <w:t>שלושה מועדים</w:t>
      </w:r>
      <w:r>
        <w:rPr>
          <w:rtl/>
        </w:rPr>
        <w:t>: האחד, מתי התחיל את המכתב (9 בספטמבר); השני, מתי ציפה לסיימו (13 בספטמבר); השלישי, מתי סיים אותו בפועל (17–18 בספטמבר</w:t>
      </w:r>
      <w:bookmarkStart w:id="1335" w:name="_fnr829"/>
      <w:r>
        <w:rPr>
          <w:rStyle w:val="a5"/>
        </w:rPr>
        <w:footnoteReference w:id="830" w:customMarkFollows="0"/>
      </w:r>
      <w:bookmarkEnd w:id="1335"/>
      <w:r>
        <w:rPr>
          <w:rtl/>
        </w:rPr>
        <w:t>).</w:t>
      </w:r>
    </w:p>
    <w:p w14:paraId="315F91A9" w14:textId="77777777" w:rsidR="00AB3647" w:rsidRDefault="00000000" w:rsidP="007923E9">
      <w:pPr>
        <w:spacing w:after="120" w:line="276" w:lineRule="auto"/>
        <w:ind w:firstLine="283"/>
        <w:jc w:val="both"/>
      </w:pPr>
      <w:r>
        <w:rPr>
          <w:rtl/>
        </w:rPr>
        <w:t xml:space="preserve">הסבר זה מיישב את חוסר הסדר הכרונולוגי שהוזכר לעיל. המחצית השנייה של המכתב, מפסקה 5 ואילך, היא סיכום של כל מה שאירע מעשרה ימים לפני שנכתב חלק זה ועד שעת הכתיבה, כלומר מן היום הראשון של חול המועד במינסק ועד סוף השבוע שלאחריו </w:t>
      </w:r>
      <w:proofErr w:type="spellStart"/>
      <w:r>
        <w:rPr>
          <w:rtl/>
        </w:rPr>
        <w:t>בגרודנא</w:t>
      </w:r>
      <w:proofErr w:type="spellEnd"/>
      <w:r>
        <w:rPr>
          <w:rtl/>
        </w:rPr>
        <w:t xml:space="preserve">. לכן פתח </w:t>
      </w:r>
      <w:proofErr w:type="spellStart"/>
      <w:r>
        <w:rPr>
          <w:rtl/>
        </w:rPr>
        <w:t>ליליינטל</w:t>
      </w:r>
      <w:proofErr w:type="spellEnd"/>
      <w:r>
        <w:rPr>
          <w:rtl/>
        </w:rPr>
        <w:t xml:space="preserve"> חלק זה של מכתבו במאורעות מינסק שבלטו בזיכרונו (ושאולי היו החשובים ביותר למסור לנמענו), כלומר </w:t>
      </w:r>
      <w:r>
        <w:rPr>
          <w:b/>
          <w:bCs/>
          <w:rtl/>
        </w:rPr>
        <w:t>הכבוד שהורעף עליו</w:t>
      </w:r>
      <w:r>
        <w:rPr>
          <w:rtl/>
        </w:rPr>
        <w:t xml:space="preserve"> שם (פסקה 5), ואחר כך חזר אל העניינים שסידר שם (פסקה 6).</w:t>
      </w:r>
    </w:p>
    <w:p w14:paraId="3A63D30B" w14:textId="77777777" w:rsidR="00AB3647" w:rsidRDefault="00000000" w:rsidP="007923E9">
      <w:pPr>
        <w:spacing w:after="120" w:line="276" w:lineRule="auto"/>
        <w:ind w:firstLine="283"/>
        <w:jc w:val="both"/>
      </w:pPr>
      <w:r>
        <w:rPr>
          <w:rtl/>
        </w:rPr>
        <w:t>סטניסלבסקי</w:t>
      </w:r>
      <w:bookmarkStart w:id="1336" w:name="_fnr830"/>
      <w:r>
        <w:rPr>
          <w:rStyle w:val="a5"/>
        </w:rPr>
        <w:footnoteReference w:id="831" w:customMarkFollows="0"/>
      </w:r>
      <w:bookmarkEnd w:id="1336"/>
      <w:r>
        <w:rPr>
          <w:rtl/>
        </w:rPr>
        <w:t xml:space="preserve"> כבר מציין שמשכילים רוסים האשימו את </w:t>
      </w:r>
      <w:proofErr w:type="spellStart"/>
      <w:r>
        <w:rPr>
          <w:rtl/>
        </w:rPr>
        <w:t>ליליינטל</w:t>
      </w:r>
      <w:proofErr w:type="spellEnd"/>
      <w:r>
        <w:rPr>
          <w:rtl/>
        </w:rPr>
        <w:t xml:space="preserve"> שהוא “מכוון רק להאדרת שמו בעיני השרים”. הוא גם מראה</w:t>
      </w:r>
      <w:bookmarkStart w:id="1337" w:name="_fnr831"/>
      <w:r>
        <w:rPr>
          <w:rStyle w:val="a5"/>
        </w:rPr>
        <w:footnoteReference w:id="832" w:customMarkFollows="0"/>
      </w:r>
      <w:bookmarkEnd w:id="1337"/>
      <w:r>
        <w:rPr>
          <w:rtl/>
        </w:rPr>
        <w:t xml:space="preserve"> </w:t>
      </w:r>
      <w:proofErr w:type="spellStart"/>
      <w:r>
        <w:rPr>
          <w:rtl/>
        </w:rPr>
        <w:t>שליליינטל</w:t>
      </w:r>
      <w:proofErr w:type="spellEnd"/>
      <w:r>
        <w:rPr>
          <w:rtl/>
        </w:rPr>
        <w:t xml:space="preserve"> דאג לכבודו יותר מן האמת, ומזהיר: “זיכרונותיו של </w:t>
      </w:r>
      <w:proofErr w:type="spellStart"/>
      <w:r>
        <w:rPr>
          <w:rtl/>
        </w:rPr>
        <w:t>ליליינטל</w:t>
      </w:r>
      <w:proofErr w:type="spellEnd"/>
      <w:r>
        <w:rPr>
          <w:rtl/>
        </w:rPr>
        <w:t xml:space="preserve"> בכללם מלאים קישוטים שנועדו להצדיק את עצמו ורישומי שיחות מפוקפקים ביותר, ולכן אין להשתמש בהם אלא בזהירות.”</w:t>
      </w:r>
    </w:p>
    <w:p w14:paraId="22A40DE3" w14:textId="77777777" w:rsidR="00AB3647" w:rsidRDefault="00000000" w:rsidP="007923E9">
      <w:pPr>
        <w:spacing w:after="120" w:line="276" w:lineRule="auto"/>
        <w:ind w:firstLine="283"/>
        <w:jc w:val="both"/>
      </w:pPr>
      <w:r>
        <w:rPr>
          <w:rtl/>
        </w:rPr>
        <w:t>סטניסלבסקי מביא גם</w:t>
      </w:r>
      <w:bookmarkStart w:id="1338" w:name="_fnr832"/>
      <w:r>
        <w:rPr>
          <w:rStyle w:val="a5"/>
        </w:rPr>
        <w:footnoteReference w:id="833" w:customMarkFollows="0"/>
      </w:r>
      <w:bookmarkEnd w:id="1338"/>
      <w:r>
        <w:rPr>
          <w:rtl/>
        </w:rPr>
        <w:t xml:space="preserve"> מכתב </w:t>
      </w:r>
      <w:proofErr w:type="spellStart"/>
      <w:r>
        <w:rPr>
          <w:rtl/>
        </w:rPr>
        <w:t>מליליינטל</w:t>
      </w:r>
      <w:proofErr w:type="spellEnd"/>
      <w:r>
        <w:rPr>
          <w:rtl/>
        </w:rPr>
        <w:t xml:space="preserve"> לאביו, שמראה עד כמה היה </w:t>
      </w:r>
      <w:proofErr w:type="spellStart"/>
      <w:r>
        <w:rPr>
          <w:rtl/>
        </w:rPr>
        <w:t>ליליינטל</w:t>
      </w:r>
      <w:proofErr w:type="spellEnd"/>
      <w:r>
        <w:rPr>
          <w:rtl/>
        </w:rPr>
        <w:t xml:space="preserve"> החנפן רעב לכבוד. וזו לשונו: “כשאני חושב על יחסיי עם השלטונות, על החסד שהשר מראה לי ועל </w:t>
      </w:r>
      <w:r>
        <w:rPr>
          <w:b/>
          <w:bCs/>
          <w:rtl/>
        </w:rPr>
        <w:lastRenderedPageBreak/>
        <w:t>החסד האבהי</w:t>
      </w:r>
      <w:r>
        <w:rPr>
          <w:rtl/>
        </w:rPr>
        <w:t xml:space="preserve"> של ממש שהוא נוהג בי (ההדגשה שלי); כשאני נזכר באיזו התחשבות אדיבה שופטים אותי, אותי היהודי, ובאיזה מאמץ משתדלים לעודדני; כשאני מהרהר במה שעשוי העתיד לצפון לי – לא הייתי מחליף אז את מצבי במצבו של אף אחד מבני ארצי בגרמניה, ואני חש שאני עשיר מהם בכבוד ובשם טוב.”</w:t>
      </w:r>
      <w:bookmarkStart w:id="1339" w:name="_fnr833"/>
      <w:r>
        <w:rPr>
          <w:rStyle w:val="a5"/>
        </w:rPr>
        <w:footnoteReference w:id="834" w:customMarkFollows="0"/>
      </w:r>
      <w:bookmarkEnd w:id="1339"/>
      <w:bookmarkStart w:id="7005" w:name="_TranslatorNote_5375"/>
      <w:r>
        <w:rPr>
          <w:rStyle w:val="a5"/>
          <w:vertAlign w:val="superscript"/>
          <w:rtl/>
        </w:rPr>
        <w:footnoteReference w:id="835" w:customMarkFollows="1"/>
        <w:t>*</w:t>
      </w:r>
      <w:bookmarkEnd w:id="7005"/>
    </w:p>
    <w:p w14:paraId="0AB57C7C" w14:textId="77777777" w:rsidR="00AB3647" w:rsidRDefault="00000000" w:rsidP="007923E9">
      <w:pPr>
        <w:pStyle w:val="4"/>
        <w:spacing w:line="276" w:lineRule="auto"/>
      </w:pPr>
      <w:r>
        <w:t xml:space="preserve">· הפסקה </w:t>
      </w:r>
      <w:proofErr w:type="spellStart"/>
      <w:r>
        <w:t>החמש־עשרה</w:t>
      </w:r>
      <w:proofErr w:type="spellEnd"/>
      <w:r>
        <w:t xml:space="preserve"> ·</w:t>
      </w:r>
    </w:p>
    <w:p w14:paraId="6F754B4E" w14:textId="77777777" w:rsidR="00AB3647" w:rsidRDefault="00000000" w:rsidP="007923E9">
      <w:pPr>
        <w:pStyle w:val="5"/>
        <w:spacing w:line="276" w:lineRule="auto"/>
      </w:pPr>
      <w:proofErr w:type="spellStart"/>
      <w:r>
        <w:t>ליליינטל</w:t>
      </w:r>
      <w:proofErr w:type="spellEnd"/>
      <w:r>
        <w:t xml:space="preserve"> מחלל את השבת בהסתר בחדרו שבמלון – קיום המצוות הצבוע שלו כשהוא בין יהודים דתיים</w:t>
      </w:r>
    </w:p>
    <w:p w14:paraId="01D6DA43" w14:textId="77777777" w:rsidR="00AB3647" w:rsidRDefault="00000000" w:rsidP="007923E9">
      <w:pPr>
        <w:spacing w:after="120" w:line="276" w:lineRule="auto"/>
        <w:ind w:firstLine="283"/>
        <w:jc w:val="both"/>
      </w:pPr>
      <w:r>
        <w:rPr>
          <w:rtl/>
        </w:rPr>
        <w:t xml:space="preserve">שאלה נוספת מתעוררת: כמה זמן לפני מוצאי שבת סיים </w:t>
      </w:r>
      <w:proofErr w:type="spellStart"/>
      <w:r>
        <w:rPr>
          <w:rtl/>
        </w:rPr>
        <w:t>ליליינטל</w:t>
      </w:r>
      <w:proofErr w:type="spellEnd"/>
      <w:r>
        <w:rPr>
          <w:rtl/>
        </w:rPr>
        <w:t xml:space="preserve"> את המכתב </w:t>
      </w:r>
      <w:proofErr w:type="spellStart"/>
      <w:r>
        <w:rPr>
          <w:rtl/>
        </w:rPr>
        <w:t>בגרודנא</w:t>
      </w:r>
      <w:proofErr w:type="spellEnd"/>
      <w:r>
        <w:rPr>
          <w:rtl/>
        </w:rPr>
        <w:t xml:space="preserve">? ודאי היה זה </w:t>
      </w:r>
      <w:r>
        <w:rPr>
          <w:b/>
          <w:bCs/>
          <w:rtl/>
        </w:rPr>
        <w:t>לפני מוצאי שבת</w:t>
      </w:r>
      <w:r>
        <w:rPr>
          <w:rtl/>
        </w:rPr>
        <w:t xml:space="preserve">, שהרי בפסקה 8 הזכיר את מוצאי שבת כזמן עתידי שבו תכנן לצאת </w:t>
      </w:r>
      <w:proofErr w:type="spellStart"/>
      <w:r>
        <w:rPr>
          <w:rtl/>
        </w:rPr>
        <w:t>לביאליסטוק</w:t>
      </w:r>
      <w:proofErr w:type="spellEnd"/>
      <w:r>
        <w:rPr>
          <w:rtl/>
        </w:rPr>
        <w:t xml:space="preserve"> (“והנה במוצאי שבת אלך </w:t>
      </w:r>
      <w:proofErr w:type="spellStart"/>
      <w:r>
        <w:rPr>
          <w:rtl/>
        </w:rPr>
        <w:t>לביאלוסטאק</w:t>
      </w:r>
      <w:proofErr w:type="spellEnd"/>
      <w:r>
        <w:rPr>
          <w:rtl/>
        </w:rPr>
        <w:t>”)</w:t>
      </w:r>
      <w:bookmarkStart w:id="1340" w:name="_fnr834"/>
      <w:r>
        <w:rPr>
          <w:rStyle w:val="a5"/>
        </w:rPr>
        <w:footnoteReference w:id="836" w:customMarkFollows="0"/>
      </w:r>
      <w:bookmarkEnd w:id="1340"/>
      <w:r>
        <w:rPr>
          <w:rtl/>
        </w:rPr>
        <w:t xml:space="preserve">. אם כן, המכתב נגמר בזמן כלשהו בין בואו </w:t>
      </w:r>
      <w:proofErr w:type="spellStart"/>
      <w:r>
        <w:rPr>
          <w:rtl/>
        </w:rPr>
        <w:t>לגרודנא</w:t>
      </w:r>
      <w:proofErr w:type="spellEnd"/>
      <w:r>
        <w:rPr>
          <w:rtl/>
        </w:rPr>
        <w:t xml:space="preserve"> (17–18 בספטמבר) למוצאי שבת (19 בספטמבר). מכאן אנו באים לשאלה אחרת: מתי בדיוק הגיע </w:t>
      </w:r>
      <w:proofErr w:type="spellStart"/>
      <w:r>
        <w:rPr>
          <w:rtl/>
        </w:rPr>
        <w:t>ליליינטל</w:t>
      </w:r>
      <w:proofErr w:type="spellEnd"/>
      <w:r>
        <w:rPr>
          <w:rtl/>
        </w:rPr>
        <w:t xml:space="preserve"> </w:t>
      </w:r>
      <w:proofErr w:type="spellStart"/>
      <w:r>
        <w:rPr>
          <w:rtl/>
        </w:rPr>
        <w:t>לגרודנא</w:t>
      </w:r>
      <w:proofErr w:type="spellEnd"/>
      <w:r>
        <w:rPr>
          <w:rtl/>
        </w:rPr>
        <w:t>?</w:t>
      </w:r>
    </w:p>
    <w:p w14:paraId="2A7FF79C" w14:textId="77777777" w:rsidR="00AB3647" w:rsidRDefault="00000000" w:rsidP="007923E9">
      <w:pPr>
        <w:spacing w:after="120" w:line="276" w:lineRule="auto"/>
        <w:ind w:firstLine="283"/>
        <w:jc w:val="both"/>
      </w:pPr>
      <w:r>
        <w:rPr>
          <w:rtl/>
        </w:rPr>
        <w:t xml:space="preserve">בפסקה שלפני האחרונה במכתב נאמר במפורש: “באתי </w:t>
      </w:r>
      <w:proofErr w:type="spellStart"/>
      <w:r>
        <w:rPr>
          <w:rtl/>
        </w:rPr>
        <w:t>לגרודנא</w:t>
      </w:r>
      <w:proofErr w:type="spellEnd"/>
      <w:r>
        <w:rPr>
          <w:rtl/>
        </w:rPr>
        <w:t xml:space="preserve"> יום ו׳ בערב... ובשעה הראשונה לבואי נאספו אליי ראשי העיר </w:t>
      </w:r>
      <w:proofErr w:type="spellStart"/>
      <w:r>
        <w:rPr>
          <w:rtl/>
        </w:rPr>
        <w:t>ונכבדיה</w:t>
      </w:r>
      <w:proofErr w:type="spellEnd"/>
      <w:r>
        <w:rPr>
          <w:rtl/>
        </w:rPr>
        <w:t xml:space="preserve">, ושתי שעות דיברתי על לבם.” לפי פירושו של המאמר </w:t>
      </w:r>
      <w:proofErr w:type="spellStart"/>
      <w:r>
        <w:rPr>
          <w:rtl/>
        </w:rPr>
        <w:t>ב“השלח</w:t>
      </w:r>
      <w:proofErr w:type="spellEnd"/>
      <w:r>
        <w:rPr>
          <w:rtl/>
        </w:rPr>
        <w:t>” משנת 1912</w:t>
      </w:r>
      <w:bookmarkStart w:id="1341" w:name="_fnr835"/>
      <w:r>
        <w:rPr>
          <w:rStyle w:val="a5"/>
        </w:rPr>
        <w:footnoteReference w:id="837" w:customMarkFollows="0"/>
      </w:r>
      <w:bookmarkEnd w:id="1341"/>
      <w:r>
        <w:rPr>
          <w:rtl/>
        </w:rPr>
        <w:t xml:space="preserve"> </w:t>
      </w:r>
      <w:proofErr w:type="spellStart"/>
      <w:r>
        <w:rPr>
          <w:rtl/>
        </w:rPr>
        <w:t>ל“יום</w:t>
      </w:r>
      <w:proofErr w:type="spellEnd"/>
      <w:r>
        <w:rPr>
          <w:rtl/>
        </w:rPr>
        <w:t xml:space="preserve"> ו׳ בערב” – “ערב שבת בין השמשות” – מוכח בבירור שד״ר </w:t>
      </w:r>
      <w:proofErr w:type="spellStart"/>
      <w:r>
        <w:rPr>
          <w:rtl/>
        </w:rPr>
        <w:t>ליליינטל</w:t>
      </w:r>
      <w:proofErr w:type="spellEnd"/>
      <w:r>
        <w:rPr>
          <w:rtl/>
        </w:rPr>
        <w:t xml:space="preserve"> כתב את המכתב בשבת, בזמן כלשהו אחרי האספה של ליל שבת ולפני בוא “מוצאי שבת”! אבל באמת אבסורד לדמיין שהגיע </w:t>
      </w:r>
      <w:proofErr w:type="spellStart"/>
      <w:r>
        <w:rPr>
          <w:rtl/>
        </w:rPr>
        <w:t>לגרודנא</w:t>
      </w:r>
      <w:proofErr w:type="spellEnd"/>
      <w:r>
        <w:rPr>
          <w:rtl/>
        </w:rPr>
        <w:t xml:space="preserve"> “ערב שבת בין השמשות” ואחר כך נועד שעות עם מנהיגיה.</w:t>
      </w:r>
    </w:p>
    <w:p w14:paraId="0A4AE927" w14:textId="77777777" w:rsidR="00AB3647" w:rsidRDefault="00000000" w:rsidP="007923E9">
      <w:pPr>
        <w:spacing w:after="120" w:line="276" w:lineRule="auto"/>
        <w:ind w:firstLine="283"/>
        <w:jc w:val="both"/>
      </w:pPr>
      <w:r>
        <w:rPr>
          <w:rtl/>
        </w:rPr>
        <w:t xml:space="preserve">עלינו לפרש את הביטוי “יום ו׳ בערב”, אף שהלשון אינה רגילה, כיום </w:t>
      </w:r>
      <w:r>
        <w:rPr>
          <w:b/>
          <w:bCs/>
          <w:rtl/>
        </w:rPr>
        <w:t>חמישי</w:t>
      </w:r>
      <w:r>
        <w:rPr>
          <w:rtl/>
        </w:rPr>
        <w:t xml:space="preserve"> בלילה. זה זמן הגעה סביר למי שיצא ממינסק ביום שלישי בלילה, אחרי שמחת תורה (15 בספטמבר), בכרכרה, ונסע 270 קילומטר, כולל עצירות קצרות בדרך, </w:t>
      </w:r>
      <w:proofErr w:type="spellStart"/>
      <w:r>
        <w:rPr>
          <w:rtl/>
        </w:rPr>
        <w:t>במיר</w:t>
      </w:r>
      <w:proofErr w:type="spellEnd"/>
      <w:r>
        <w:rPr>
          <w:rtl/>
        </w:rPr>
        <w:t xml:space="preserve"> </w:t>
      </w:r>
      <w:proofErr w:type="spellStart"/>
      <w:r>
        <w:rPr>
          <w:rtl/>
        </w:rPr>
        <w:t>ובנובהרדוק</w:t>
      </w:r>
      <w:proofErr w:type="spellEnd"/>
      <w:r>
        <w:rPr>
          <w:rtl/>
        </w:rPr>
        <w:t>, שעליהן הוא מספר בפסקה זו של מכתבו</w:t>
      </w:r>
      <w:bookmarkStart w:id="1342" w:name="_fnr836"/>
      <w:r>
        <w:rPr>
          <w:rStyle w:val="a5"/>
        </w:rPr>
        <w:footnoteReference w:id="838" w:customMarkFollows="0"/>
      </w:r>
      <w:bookmarkEnd w:id="1342"/>
      <w:bookmarkStart w:id="7006" w:name="_TranslatorNote_5376"/>
      <w:r>
        <w:rPr>
          <w:rStyle w:val="a5"/>
          <w:vertAlign w:val="superscript"/>
          <w:rtl/>
        </w:rPr>
        <w:footnoteReference w:id="839" w:customMarkFollows="1"/>
        <w:t>*</w:t>
      </w:r>
      <w:bookmarkEnd w:id="7006"/>
      <w:r>
        <w:rPr>
          <w:rtl/>
        </w:rPr>
        <w:t xml:space="preserve">. לכאורה, אם כן, ייתכן שסיים את המכתב ביום שישי. אבל מי </w:t>
      </w:r>
      <w:r>
        <w:rPr>
          <w:rtl/>
        </w:rPr>
        <w:lastRenderedPageBreak/>
        <w:t xml:space="preserve">שכותב ביום שישי </w:t>
      </w:r>
      <w:r>
        <w:rPr>
          <w:b/>
          <w:bCs/>
          <w:rtl/>
        </w:rPr>
        <w:t>ביום</w:t>
      </w:r>
      <w:r>
        <w:rPr>
          <w:rtl/>
        </w:rPr>
        <w:t xml:space="preserve"> (“יום ו׳”) על מאורע שאירע בלילה הקודם לא היה אומר שאירע “יום ו׳ בערב”, אלא “אמש” או “אתמול בערב”. נמצא שעדיין אפשר להוכיח </w:t>
      </w:r>
      <w:proofErr w:type="spellStart"/>
      <w:r>
        <w:rPr>
          <w:rtl/>
        </w:rPr>
        <w:t>שליליינטל</w:t>
      </w:r>
      <w:proofErr w:type="spellEnd"/>
      <w:r>
        <w:rPr>
          <w:rtl/>
        </w:rPr>
        <w:t xml:space="preserve"> סיים את המכתב בשבת קודש, ולכן קרא ליום חמישי בלילה “יום ו׳ בערב”.</w:t>
      </w:r>
    </w:p>
    <w:p w14:paraId="76DF409A" w14:textId="77777777" w:rsidR="00AB3647" w:rsidRDefault="00000000" w:rsidP="007923E9">
      <w:pPr>
        <w:spacing w:after="120" w:line="276" w:lineRule="auto"/>
        <w:ind w:firstLine="283"/>
        <w:jc w:val="both"/>
      </w:pPr>
      <w:r>
        <w:rPr>
          <w:rtl/>
        </w:rPr>
        <w:t xml:space="preserve">מאחר </w:t>
      </w:r>
      <w:proofErr w:type="spellStart"/>
      <w:r>
        <w:rPr>
          <w:rtl/>
        </w:rPr>
        <w:t>שליליינטל</w:t>
      </w:r>
      <w:proofErr w:type="spellEnd"/>
      <w:r>
        <w:rPr>
          <w:rtl/>
        </w:rPr>
        <w:t xml:space="preserve"> חילל את השבת בהסתר בחדרו שבמלון, הלעג שהורעף עליו בחוברת “מגיד אמת”</w:t>
      </w:r>
      <w:bookmarkStart w:id="1343" w:name="_fnr837"/>
      <w:r>
        <w:rPr>
          <w:rStyle w:val="a5"/>
        </w:rPr>
        <w:footnoteReference w:id="840" w:customMarkFollows="0"/>
      </w:r>
      <w:bookmarkEnd w:id="1343"/>
      <w:r>
        <w:rPr>
          <w:rtl/>
        </w:rPr>
        <w:t xml:space="preserve">, כפי שמסר המאמר </w:t>
      </w:r>
      <w:proofErr w:type="spellStart"/>
      <w:r>
        <w:rPr>
          <w:rtl/>
        </w:rPr>
        <w:t>ב“השלח</w:t>
      </w:r>
      <w:proofErr w:type="spellEnd"/>
      <w:r>
        <w:rPr>
          <w:rtl/>
        </w:rPr>
        <w:t>” משנת 1912</w:t>
      </w:r>
      <w:bookmarkStart w:id="1344" w:name="_fnr838"/>
      <w:r>
        <w:rPr>
          <w:rStyle w:val="a5"/>
        </w:rPr>
        <w:footnoteReference w:id="841" w:customMarkFollows="0"/>
      </w:r>
      <w:bookmarkEnd w:id="1344"/>
      <w:r>
        <w:rPr>
          <w:rtl/>
        </w:rPr>
        <w:t xml:space="preserve">, מקבל עוקץ חריף עוד יותר. “מגיד אמת” מתאר עד היכן הגיע </w:t>
      </w:r>
      <w:proofErr w:type="spellStart"/>
      <w:r>
        <w:rPr>
          <w:rtl/>
        </w:rPr>
        <w:t>ליליינטל</w:t>
      </w:r>
      <w:proofErr w:type="spellEnd"/>
      <w:r>
        <w:rPr>
          <w:rtl/>
        </w:rPr>
        <w:t xml:space="preserve"> כדי להרשים את הציבור החרדי, שאת “קרבתו רצה בכל מאודו ובכל כוחו”. וזו לשונו: “[בהיותו בווילנה בדרכו </w:t>
      </w:r>
      <w:proofErr w:type="spellStart"/>
      <w:r>
        <w:rPr>
          <w:rtl/>
        </w:rPr>
        <w:t>לוולוז׳ין</w:t>
      </w:r>
      <w:proofErr w:type="spellEnd"/>
      <w:r>
        <w:rPr>
          <w:rtl/>
        </w:rPr>
        <w:t>] אמר סליחות בכל בוקר לפני עלות השחר בבית הכנסת הגדול. לא החסיר קוצו של יו״ד מכל המנהגים הרבים שאף המדקדקים בזים להם בקרב לבם, כי קיים גם את ‘מצוות’ התשליך וסיבובי הכפרות ומלקות ערב יום הכיפורים כמדקדק שבמדקדקים.”</w:t>
      </w:r>
      <w:bookmarkStart w:id="1345" w:name="_fnr839"/>
      <w:r>
        <w:rPr>
          <w:rStyle w:val="a5"/>
        </w:rPr>
        <w:footnoteReference w:id="842" w:customMarkFollows="0"/>
      </w:r>
      <w:bookmarkEnd w:id="1345"/>
      <w:r>
        <w:rPr>
          <w:rtl/>
        </w:rPr>
        <w:t xml:space="preserve"> ועכשיו הוא נוטל עט בידו וכותב מכתב בשבת!</w:t>
      </w:r>
    </w:p>
    <w:p w14:paraId="6DBE4010" w14:textId="77777777" w:rsidR="00AB3647" w:rsidRDefault="00000000" w:rsidP="007923E9">
      <w:pPr>
        <w:spacing w:after="120" w:line="276" w:lineRule="auto"/>
        <w:ind w:firstLine="283"/>
        <w:jc w:val="both"/>
      </w:pPr>
      <w:r>
        <w:rPr>
          <w:rtl/>
        </w:rPr>
        <w:t xml:space="preserve">על חסידותו האישית של </w:t>
      </w:r>
      <w:proofErr w:type="spellStart"/>
      <w:r>
        <w:rPr>
          <w:rtl/>
        </w:rPr>
        <w:t>ליליינטל</w:t>
      </w:r>
      <w:proofErr w:type="spellEnd"/>
      <w:r>
        <w:rPr>
          <w:rtl/>
        </w:rPr>
        <w:t xml:space="preserve"> סיפר ר׳ אהרן </w:t>
      </w:r>
      <w:proofErr w:type="spellStart"/>
      <w:r>
        <w:rPr>
          <w:rtl/>
        </w:rPr>
        <w:t>סולובייצ׳יק</w:t>
      </w:r>
      <w:proofErr w:type="spellEnd"/>
      <w:r>
        <w:rPr>
          <w:rtl/>
        </w:rPr>
        <w:t xml:space="preserve"> שקרא </w:t>
      </w:r>
      <w:proofErr w:type="spellStart"/>
      <w:r>
        <w:rPr>
          <w:rtl/>
        </w:rPr>
        <w:t>ש“יהודי</w:t>
      </w:r>
      <w:proofErr w:type="spellEnd"/>
      <w:r>
        <w:rPr>
          <w:rtl/>
        </w:rPr>
        <w:t xml:space="preserve"> בטמפל שבו כיהן </w:t>
      </w:r>
      <w:proofErr w:type="spellStart"/>
      <w:r>
        <w:rPr>
          <w:rtl/>
        </w:rPr>
        <w:t>ליליינטל</w:t>
      </w:r>
      <w:proofErr w:type="spellEnd"/>
      <w:r>
        <w:rPr>
          <w:rtl/>
        </w:rPr>
        <w:t xml:space="preserve"> היה לו יארצייט ביום חול, כשהיו נוכחים רק תשעה יהודים, אבל </w:t>
      </w:r>
      <w:proofErr w:type="spellStart"/>
      <w:r>
        <w:rPr>
          <w:rtl/>
        </w:rPr>
        <w:t>ה‘רב</w:t>
      </w:r>
      <w:proofErr w:type="spellEnd"/>
      <w:r>
        <w:rPr>
          <w:rtl/>
        </w:rPr>
        <w:t>’ עצמו סירב לבוא ולהשלים את המניין”</w:t>
      </w:r>
      <w:bookmarkStart w:id="1346" w:name="_fnr840"/>
      <w:r>
        <w:rPr>
          <w:rStyle w:val="a5"/>
        </w:rPr>
        <w:footnoteReference w:id="843" w:customMarkFollows="0"/>
      </w:r>
      <w:bookmarkEnd w:id="1346"/>
      <w:r>
        <w:rPr>
          <w:rtl/>
        </w:rPr>
        <w:t>.</w:t>
      </w:r>
    </w:p>
    <w:p w14:paraId="36ACAA36" w14:textId="77777777" w:rsidR="00AB3647" w:rsidRDefault="00000000" w:rsidP="007923E9">
      <w:pPr>
        <w:pStyle w:val="4"/>
        <w:spacing w:line="276" w:lineRule="auto"/>
      </w:pPr>
      <w:r>
        <w:t xml:space="preserve">· הפסקה </w:t>
      </w:r>
      <w:proofErr w:type="spellStart"/>
      <w:r>
        <w:t>השש־עשרה</w:t>
      </w:r>
      <w:proofErr w:type="spellEnd"/>
      <w:r>
        <w:t xml:space="preserve"> ·</w:t>
      </w:r>
    </w:p>
    <w:p w14:paraId="190AB1F6" w14:textId="77777777" w:rsidR="00AB3647" w:rsidRDefault="00000000" w:rsidP="007923E9">
      <w:pPr>
        <w:pStyle w:val="5"/>
        <w:spacing w:line="276" w:lineRule="auto"/>
      </w:pPr>
      <w:proofErr w:type="spellStart"/>
      <w:r>
        <w:t>הנצי״ב</w:t>
      </w:r>
      <w:proofErr w:type="spellEnd"/>
      <w:r>
        <w:t xml:space="preserve"> הצעיר נותן אמון </w:t>
      </w:r>
      <w:proofErr w:type="spellStart"/>
      <w:r>
        <w:t>בליליינטל</w:t>
      </w:r>
      <w:proofErr w:type="spellEnd"/>
      <w:r>
        <w:t xml:space="preserve"> – ביקורת על בעל “מקור ברוך” – </w:t>
      </w:r>
      <w:proofErr w:type="spellStart"/>
      <w:r>
        <w:t>ליליינטל</w:t>
      </w:r>
      <w:proofErr w:type="spellEnd"/>
      <w:r>
        <w:t xml:space="preserve"> נעשה רב רפורמי באמריקה – יחד עם ידיד נפשו </w:t>
      </w:r>
      <w:proofErr w:type="spellStart"/>
      <w:r>
        <w:t>יצחק־מאיר</w:t>
      </w:r>
      <w:proofErr w:type="spellEnd"/>
      <w:r>
        <w:t xml:space="preserve"> </w:t>
      </w:r>
      <w:proofErr w:type="spellStart"/>
      <w:r>
        <w:t>וייז</w:t>
      </w:r>
      <w:proofErr w:type="spellEnd"/>
      <w:r>
        <w:t xml:space="preserve"> הוא מקים את התנועה הרפורמית האמריקנית בראשיתה ומשרת אותה – </w:t>
      </w:r>
      <w:proofErr w:type="spellStart"/>
      <w:r>
        <w:t>הנצי״ב</w:t>
      </w:r>
      <w:proofErr w:type="spellEnd"/>
      <w:r>
        <w:t xml:space="preserve"> מסביר מדוע נעלם </w:t>
      </w:r>
      <w:proofErr w:type="spellStart"/>
      <w:r>
        <w:t>ליליינטל</w:t>
      </w:r>
      <w:proofErr w:type="spellEnd"/>
      <w:r>
        <w:t xml:space="preserve"> פתאום מן הזירה הרוסית – יש המשערים </w:t>
      </w:r>
      <w:proofErr w:type="spellStart"/>
      <w:r>
        <w:t>שליליינטל</w:t>
      </w:r>
      <w:proofErr w:type="spellEnd"/>
      <w:r>
        <w:t xml:space="preserve"> גילה את סודו </w:t>
      </w:r>
      <w:proofErr w:type="spellStart"/>
      <w:r>
        <w:t>לר</w:t>
      </w:r>
      <w:proofErr w:type="spellEnd"/>
      <w:r>
        <w:t xml:space="preserve">׳ </w:t>
      </w:r>
      <w:proofErr w:type="spellStart"/>
      <w:r>
        <w:t>איצל׳ה</w:t>
      </w:r>
      <w:proofErr w:type="spellEnd"/>
      <w:r>
        <w:t xml:space="preserve"> – האם הועילה דרשת כל נדרי של ר׳ </w:t>
      </w:r>
      <w:proofErr w:type="spellStart"/>
      <w:r>
        <w:t>איצל׳ה</w:t>
      </w:r>
      <w:proofErr w:type="spellEnd"/>
      <w:r>
        <w:t>?</w:t>
      </w:r>
    </w:p>
    <w:p w14:paraId="4A59E3C3" w14:textId="77777777" w:rsidR="00AB3647" w:rsidRDefault="00000000" w:rsidP="007923E9">
      <w:pPr>
        <w:spacing w:after="120" w:line="276" w:lineRule="auto"/>
        <w:ind w:firstLine="283"/>
        <w:jc w:val="both"/>
      </w:pPr>
      <w:r>
        <w:rPr>
          <w:rtl/>
        </w:rPr>
        <w:t>לדברי בעל “מקור ברוך”</w:t>
      </w:r>
      <w:bookmarkStart w:id="1347" w:name="_fnr841"/>
      <w:r>
        <w:rPr>
          <w:rStyle w:val="a5"/>
        </w:rPr>
        <w:footnoteReference w:id="844" w:customMarkFollows="0"/>
      </w:r>
      <w:bookmarkEnd w:id="1347"/>
      <w:r>
        <w:rPr>
          <w:rtl/>
        </w:rPr>
        <w:t xml:space="preserve">, ועל סמך דעת </w:t>
      </w:r>
      <w:proofErr w:type="spellStart"/>
      <w:r>
        <w:rPr>
          <w:rtl/>
        </w:rPr>
        <w:t>הנצי״ב</w:t>
      </w:r>
      <w:proofErr w:type="spellEnd"/>
      <w:r>
        <w:rPr>
          <w:rtl/>
        </w:rPr>
        <w:t xml:space="preserve">, היה ר׳ </w:t>
      </w:r>
      <w:proofErr w:type="spellStart"/>
      <w:r>
        <w:rPr>
          <w:rtl/>
        </w:rPr>
        <w:t>איצל׳ה</w:t>
      </w:r>
      <w:proofErr w:type="spellEnd"/>
      <w:r>
        <w:rPr>
          <w:rtl/>
        </w:rPr>
        <w:t xml:space="preserve"> בטוח, כבר בתום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שהלה דובר אמת בעניין שליחותו. דרשתו של ר׳ </w:t>
      </w:r>
      <w:proofErr w:type="spellStart"/>
      <w:r>
        <w:rPr>
          <w:rtl/>
        </w:rPr>
        <w:t>איצל׳ה</w:t>
      </w:r>
      <w:proofErr w:type="spellEnd"/>
      <w:r>
        <w:rPr>
          <w:rtl/>
        </w:rPr>
        <w:t xml:space="preserve"> בליל כל נדרי, שבה הטיל דופי </w:t>
      </w:r>
      <w:proofErr w:type="spellStart"/>
      <w:r>
        <w:rPr>
          <w:rtl/>
        </w:rPr>
        <w:t>בליליינטל</w:t>
      </w:r>
      <w:proofErr w:type="spellEnd"/>
      <w:r>
        <w:rPr>
          <w:rtl/>
        </w:rPr>
        <w:t xml:space="preserve"> כמי שעומד בחשד, נאמרה לפני שהספיק לדבר עמו ולהשתכנע בטוהר כוונותיו של אורחו. המחבר מוסר עוד</w:t>
      </w:r>
      <w:bookmarkStart w:id="1348" w:name="_fnr842"/>
      <w:r>
        <w:rPr>
          <w:rStyle w:val="a5"/>
        </w:rPr>
        <w:footnoteReference w:id="845" w:customMarkFollows="0"/>
      </w:r>
      <w:bookmarkEnd w:id="1348"/>
      <w:r>
        <w:rPr>
          <w:rtl/>
        </w:rPr>
        <w:t>: “</w:t>
      </w:r>
      <w:proofErr w:type="spellStart"/>
      <w:r>
        <w:rPr>
          <w:rtl/>
        </w:rPr>
        <w:t>הנצי״ב</w:t>
      </w:r>
      <w:proofErr w:type="spellEnd"/>
      <w:r>
        <w:rPr>
          <w:rtl/>
        </w:rPr>
        <w:t xml:space="preserve"> אמר שהצטער מאוד </w:t>
      </w:r>
      <w:r>
        <w:rPr>
          <w:b/>
          <w:bCs/>
          <w:rtl/>
        </w:rPr>
        <w:t>באותה שעה</w:t>
      </w:r>
      <w:r>
        <w:rPr>
          <w:rtl/>
        </w:rPr>
        <w:t xml:space="preserve"> [של ליל כל נדרי] (ההדגשה שלי) על שחותנו פגע, אף כי ברמז דק בלבד, בכבוד </w:t>
      </w:r>
      <w:r>
        <w:rPr>
          <w:rtl/>
        </w:rPr>
        <w:lastRenderedPageBreak/>
        <w:t xml:space="preserve">– או נכון יותר, בנאמנות – לבו של </w:t>
      </w:r>
      <w:proofErr w:type="spellStart"/>
      <w:r>
        <w:rPr>
          <w:rtl/>
        </w:rPr>
        <w:t>ליליינטל</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ודאי לא היו מלכתחילה שום ספקות בצדקתו של </w:t>
      </w:r>
      <w:proofErr w:type="spellStart"/>
      <w:r>
        <w:rPr>
          <w:rtl/>
        </w:rPr>
        <w:t>ליליינטל</w:t>
      </w:r>
      <w:proofErr w:type="spellEnd"/>
      <w:r>
        <w:rPr>
          <w:rtl/>
        </w:rPr>
        <w:t>!</w:t>
      </w:r>
    </w:p>
    <w:p w14:paraId="75838EEC" w14:textId="77777777" w:rsidR="00AB3647" w:rsidRDefault="00000000" w:rsidP="007923E9">
      <w:pPr>
        <w:spacing w:after="120" w:line="276" w:lineRule="auto"/>
        <w:ind w:firstLine="283"/>
        <w:jc w:val="both"/>
      </w:pPr>
      <w:r>
        <w:rPr>
          <w:rtl/>
        </w:rPr>
        <w:t>המחבר רושם עוד</w:t>
      </w:r>
      <w:bookmarkStart w:id="1349" w:name="_fnr843"/>
      <w:r>
        <w:rPr>
          <w:rStyle w:val="a5"/>
        </w:rPr>
        <w:footnoteReference w:id="846" w:customMarkFollows="0"/>
      </w:r>
      <w:bookmarkEnd w:id="1349"/>
      <w:r>
        <w:rPr>
          <w:rtl/>
        </w:rPr>
        <w:t xml:space="preserve"> </w:t>
      </w:r>
      <w:proofErr w:type="spellStart"/>
      <w:r>
        <w:rPr>
          <w:rtl/>
        </w:rPr>
        <w:t>שהנצי״ב</w:t>
      </w:r>
      <w:proofErr w:type="spellEnd"/>
      <w:r>
        <w:rPr>
          <w:rtl/>
        </w:rPr>
        <w:t xml:space="preserve"> אמר כי אחרי שנפגש עם </w:t>
      </w:r>
      <w:proofErr w:type="spellStart"/>
      <w:r>
        <w:rPr>
          <w:rtl/>
        </w:rPr>
        <w:t>ליליינטל</w:t>
      </w:r>
      <w:proofErr w:type="spellEnd"/>
      <w:r>
        <w:rPr>
          <w:rtl/>
        </w:rPr>
        <w:t xml:space="preserve"> עמד היטב על נטיותיו, “הכיר היטב את ל״ט ולמד </w:t>
      </w:r>
      <w:proofErr w:type="spellStart"/>
      <w:r>
        <w:rPr>
          <w:rtl/>
        </w:rPr>
        <w:t>לדיעותיו</w:t>
      </w:r>
      <w:proofErr w:type="spellEnd"/>
      <w:r>
        <w:rPr>
          <w:rtl/>
        </w:rPr>
        <w:t xml:space="preserve"> וירד לסוף דעתו באמונה ודת”, </w:t>
      </w:r>
      <w:proofErr w:type="spellStart"/>
      <w:r>
        <w:rPr>
          <w:rtl/>
        </w:rPr>
        <w:t>ו“בטוח</w:t>
      </w:r>
      <w:proofErr w:type="spellEnd"/>
      <w:r>
        <w:rPr>
          <w:rtl/>
        </w:rPr>
        <w:t xml:space="preserve"> הוא כי באמת ובתמים הי׳ נקי מכל חשד זה” – החשד שהתכוון לסייע לממשלה הרוסית להמיר יהודים לנצרות. </w:t>
      </w:r>
      <w:proofErr w:type="spellStart"/>
      <w:r>
        <w:rPr>
          <w:rtl/>
        </w:rPr>
        <w:t>הנצי״ב</w:t>
      </w:r>
      <w:proofErr w:type="spellEnd"/>
      <w:r>
        <w:rPr>
          <w:rtl/>
        </w:rPr>
        <w:t xml:space="preserve"> האמין </w:t>
      </w:r>
      <w:proofErr w:type="spellStart"/>
      <w:r>
        <w:rPr>
          <w:rtl/>
        </w:rPr>
        <w:t>ש“לא</w:t>
      </w:r>
      <w:proofErr w:type="spellEnd"/>
      <w:r>
        <w:rPr>
          <w:rtl/>
        </w:rPr>
        <w:t xml:space="preserve"> הי׳ </w:t>
      </w:r>
      <w:proofErr w:type="spellStart"/>
      <w:r>
        <w:rPr>
          <w:rtl/>
        </w:rPr>
        <w:t>בלבו</w:t>
      </w:r>
      <w:proofErr w:type="spellEnd"/>
      <w:r>
        <w:rPr>
          <w:rtl/>
        </w:rPr>
        <w:t xml:space="preserve"> כל מחשבת פיגול מאשר חשדוהו ומאשר הלשינו עליו”.</w:t>
      </w:r>
      <w:bookmarkStart w:id="1350" w:name="_fnr844"/>
      <w:r>
        <w:rPr>
          <w:rStyle w:val="a5"/>
        </w:rPr>
        <w:footnoteReference w:id="847" w:customMarkFollows="0"/>
      </w:r>
      <w:bookmarkEnd w:id="1350"/>
    </w:p>
    <w:p w14:paraId="530EE0D4" w14:textId="77777777" w:rsidR="00AB3647" w:rsidRDefault="00000000" w:rsidP="007923E9">
      <w:pPr>
        <w:spacing w:after="120" w:line="276" w:lineRule="auto"/>
        <w:ind w:firstLine="283"/>
        <w:jc w:val="both"/>
      </w:pPr>
      <w:r>
        <w:rPr>
          <w:rtl/>
        </w:rPr>
        <w:t>“מקור ברוך”</w:t>
      </w:r>
      <w:bookmarkStart w:id="1351" w:name="_fnr845"/>
      <w:r>
        <w:rPr>
          <w:rStyle w:val="a5"/>
        </w:rPr>
        <w:footnoteReference w:id="848" w:customMarkFollows="0"/>
      </w:r>
      <w:bookmarkEnd w:id="1351"/>
      <w:r>
        <w:rPr>
          <w:rtl/>
        </w:rPr>
        <w:t xml:space="preserve"> מספר </w:t>
      </w:r>
      <w:proofErr w:type="spellStart"/>
      <w:r>
        <w:rPr>
          <w:rtl/>
        </w:rPr>
        <w:t>שהנצי״ב</w:t>
      </w:r>
      <w:proofErr w:type="spellEnd"/>
      <w:r>
        <w:rPr>
          <w:rtl/>
        </w:rPr>
        <w:t xml:space="preserve"> הוסיף: “מה שעשה [</w:t>
      </w:r>
      <w:proofErr w:type="spellStart"/>
      <w:r>
        <w:rPr>
          <w:rtl/>
        </w:rPr>
        <w:t>ליליינטל</w:t>
      </w:r>
      <w:proofErr w:type="spellEnd"/>
      <w:r>
        <w:rPr>
          <w:rtl/>
        </w:rPr>
        <w:t>] באחרונה מראה על תמימות נפשו ואימון רוחו לה׳ ולעמו. כי בתוך הפעולה שקיבל על עצמו מטעם הממשלה בשליחות זו, נשמט פתאום מרוסיה – או נכון יותר, נס ונמלט על נפשו – וברח לשבת מחוץ למדינה. ואחרי שהלך לגור באמריקה, לא נודעו עקבותיו שנים רבות.”</w:t>
      </w:r>
    </w:p>
    <w:p w14:paraId="7CD410D6" w14:textId="77777777" w:rsidR="00AB3647" w:rsidRDefault="00000000" w:rsidP="007923E9">
      <w:pPr>
        <w:spacing w:after="120" w:line="276" w:lineRule="auto"/>
        <w:ind w:firstLine="283"/>
        <w:jc w:val="both"/>
      </w:pPr>
      <w:r>
        <w:rPr>
          <w:rtl/>
        </w:rPr>
        <w:t xml:space="preserve">בעל “מקור ברוך”, ר׳ ברוך אפשטיין, למד </w:t>
      </w:r>
      <w:proofErr w:type="spellStart"/>
      <w:r>
        <w:rPr>
          <w:rtl/>
        </w:rPr>
        <w:t>בוולוז׳ין</w:t>
      </w:r>
      <w:proofErr w:type="spellEnd"/>
      <w:r>
        <w:rPr>
          <w:rtl/>
        </w:rPr>
        <w:t xml:space="preserve"> משנת תרל״ג עד תרל״ח, ויש להניח שבאותן שנים שמע מפי </w:t>
      </w:r>
      <w:proofErr w:type="spellStart"/>
      <w:r>
        <w:rPr>
          <w:rtl/>
        </w:rPr>
        <w:t>הנצי״ב</w:t>
      </w:r>
      <w:proofErr w:type="spellEnd"/>
      <w:r>
        <w:rPr>
          <w:rtl/>
        </w:rPr>
        <w:t xml:space="preserve">, דודו וראש ישיבתו, את סיפור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כשסיפר לו </w:t>
      </w:r>
      <w:proofErr w:type="spellStart"/>
      <w:r>
        <w:rPr>
          <w:rtl/>
        </w:rPr>
        <w:t>הנצי״ב</w:t>
      </w:r>
      <w:proofErr w:type="spellEnd"/>
      <w:r>
        <w:rPr>
          <w:rtl/>
        </w:rPr>
        <w:t xml:space="preserve"> על מאורעות העשור הראשון של שנות </w:t>
      </w:r>
      <w:proofErr w:type="spellStart"/>
      <w:r>
        <w:rPr>
          <w:rtl/>
        </w:rPr>
        <w:t>הת״ר</w:t>
      </w:r>
      <w:proofErr w:type="spellEnd"/>
      <w:r>
        <w:rPr>
          <w:rtl/>
        </w:rPr>
        <w:t xml:space="preserve">, כינה את מנהיגי החרדים שחשדו אז בכוונות הממשלה “אבותינו”, כפי שהודגש בציטוט שלהלן. מכאן שהסיפור סופר </w:t>
      </w:r>
      <w:r>
        <w:rPr>
          <w:rtl/>
        </w:rPr>
        <w:lastRenderedPageBreak/>
        <w:t xml:space="preserve">כשלושים שנה אחרי שאירע. מפליא ששלושים שנה אחרי היעלמו של </w:t>
      </w:r>
      <w:proofErr w:type="spellStart"/>
      <w:r>
        <w:rPr>
          <w:rtl/>
        </w:rPr>
        <w:t>ליליינטל</w:t>
      </w:r>
      <w:proofErr w:type="spellEnd"/>
      <w:r>
        <w:rPr>
          <w:rtl/>
        </w:rPr>
        <w:t xml:space="preserve"> לא ידע הרב ברלין לאן הובילו “עקבותיו”, כלומר שנעשה רב רפורמי חשוב בארצות הברית.</w:t>
      </w:r>
    </w:p>
    <w:p w14:paraId="6E96CA31" w14:textId="77777777" w:rsidR="00AB3647" w:rsidRDefault="00000000" w:rsidP="007923E9">
      <w:pPr>
        <w:spacing w:after="120" w:line="276" w:lineRule="auto"/>
        <w:ind w:firstLine="283"/>
        <w:jc w:val="both"/>
      </w:pPr>
      <w:r>
        <w:rPr>
          <w:rtl/>
        </w:rPr>
        <w:t xml:space="preserve">הערת שוליים </w:t>
      </w:r>
      <w:proofErr w:type="spellStart"/>
      <w:r>
        <w:rPr>
          <w:rtl/>
        </w:rPr>
        <w:t>ב“מקור</w:t>
      </w:r>
      <w:proofErr w:type="spellEnd"/>
      <w:r>
        <w:rPr>
          <w:rtl/>
        </w:rPr>
        <w:t xml:space="preserve"> ברוך”</w:t>
      </w:r>
      <w:bookmarkStart w:id="1352" w:name="_fnr846"/>
      <w:r>
        <w:rPr>
          <w:rStyle w:val="a5"/>
        </w:rPr>
        <w:footnoteReference w:id="849" w:customMarkFollows="0"/>
      </w:r>
      <w:bookmarkEnd w:id="1352"/>
      <w:r>
        <w:rPr>
          <w:rtl/>
        </w:rPr>
        <w:t xml:space="preserve"> מגלה “תגלית”: “ואחרי </w:t>
      </w:r>
      <w:r>
        <w:rPr>
          <w:b/>
          <w:bCs/>
          <w:rtl/>
        </w:rPr>
        <w:t>שנים רבות, רבות</w:t>
      </w:r>
      <w:r>
        <w:rPr>
          <w:rtl/>
        </w:rPr>
        <w:t xml:space="preserve"> (ההדגשה שלי) נודע כי </w:t>
      </w:r>
      <w:proofErr w:type="spellStart"/>
      <w:r>
        <w:rPr>
          <w:rtl/>
        </w:rPr>
        <w:t>ליליינטל</w:t>
      </w:r>
      <w:proofErr w:type="spellEnd"/>
      <w:r>
        <w:rPr>
          <w:rtl/>
        </w:rPr>
        <w:t xml:space="preserve"> השתקע </w:t>
      </w:r>
      <w:proofErr w:type="spellStart"/>
      <w:r>
        <w:rPr>
          <w:rtl/>
        </w:rPr>
        <w:t>בסינסינטי</w:t>
      </w:r>
      <w:proofErr w:type="spellEnd"/>
      <w:r>
        <w:rPr>
          <w:rtl/>
        </w:rPr>
        <w:t xml:space="preserve"> ושימש שם ברבנות (כך במקור) עשרים ושבע שנים, ומת בשנת תרמ״ב.” ההערה נכתבה זמן מה אחרי תרע״ו, לפי ההקדמה </w:t>
      </w:r>
      <w:proofErr w:type="spellStart"/>
      <w:r>
        <w:rPr>
          <w:rtl/>
        </w:rPr>
        <w:t>ל“מקור</w:t>
      </w:r>
      <w:proofErr w:type="spellEnd"/>
      <w:r>
        <w:rPr>
          <w:rtl/>
        </w:rPr>
        <w:t xml:space="preserve"> ברוך”, והקורא בה אינו יודע ממנה מתי נודע למחבר לאן הובילו “עקבותיו הבלתי נודעים” של </w:t>
      </w:r>
      <w:proofErr w:type="spellStart"/>
      <w:r>
        <w:rPr>
          <w:rtl/>
        </w:rPr>
        <w:t>ליליינטל</w:t>
      </w:r>
      <w:proofErr w:type="spellEnd"/>
      <w:r>
        <w:rPr>
          <w:rtl/>
        </w:rPr>
        <w:t xml:space="preserve">. אבל המחבר ודאי ידע בשעת כתיבתה באיזה סוג של “רבנות” כיהן </w:t>
      </w:r>
      <w:proofErr w:type="spellStart"/>
      <w:r>
        <w:rPr>
          <w:rtl/>
        </w:rPr>
        <w:t>ליליינטל</w:t>
      </w:r>
      <w:proofErr w:type="spellEnd"/>
      <w:r>
        <w:rPr>
          <w:rtl/>
        </w:rPr>
        <w:t xml:space="preserve">, שהרי שלוש שנים קודם לכן כתב המאמר </w:t>
      </w:r>
      <w:proofErr w:type="spellStart"/>
      <w:r>
        <w:rPr>
          <w:rtl/>
        </w:rPr>
        <w:t>ב“השלח</w:t>
      </w:r>
      <w:proofErr w:type="spellEnd"/>
      <w:r>
        <w:rPr>
          <w:rtl/>
        </w:rPr>
        <w:t>” משנת 1912</w:t>
      </w:r>
      <w:bookmarkStart w:id="1353" w:name="_fnr847"/>
      <w:r>
        <w:rPr>
          <w:rStyle w:val="a5"/>
        </w:rPr>
        <w:footnoteReference w:id="850" w:customMarkFollows="0"/>
      </w:r>
      <w:bookmarkEnd w:id="1353"/>
      <w:r>
        <w:rPr>
          <w:rtl/>
        </w:rPr>
        <w:t xml:space="preserve"> </w:t>
      </w:r>
      <w:proofErr w:type="spellStart"/>
      <w:r>
        <w:rPr>
          <w:rtl/>
        </w:rPr>
        <w:t>שליליינטל</w:t>
      </w:r>
      <w:proofErr w:type="spellEnd"/>
      <w:r>
        <w:rPr>
          <w:rtl/>
        </w:rPr>
        <w:t xml:space="preserve"> “היה הרב הראשון בקהילה הרפורמית עדת בני ישראל בניו יורק, ובשנת 1850 עזב ויסד בית ספר לילדים </w:t>
      </w:r>
      <w:proofErr w:type="spellStart"/>
      <w:r>
        <w:rPr>
          <w:rtl/>
        </w:rPr>
        <w:t>בסינסינטי</w:t>
      </w:r>
      <w:proofErr w:type="spellEnd"/>
      <w:r>
        <w:rPr>
          <w:rtl/>
        </w:rPr>
        <w:t>, ושם הוציא עיתון בשפה הגרמנית, ‘דבורה’”. השווה גם “גשמי ברכה”, ספרו של ר׳ ברוך אפשטיין על המגילות</w:t>
      </w:r>
      <w:bookmarkStart w:id="1354" w:name="_fnr848"/>
      <w:r>
        <w:rPr>
          <w:rStyle w:val="a5"/>
        </w:rPr>
        <w:footnoteReference w:id="851" w:customMarkFollows="0"/>
      </w:r>
      <w:bookmarkEnd w:id="1354"/>
      <w:r>
        <w:rPr>
          <w:rtl/>
        </w:rPr>
        <w:t>: הוא מביא החלטה של אספת הרבנים הרפורמים בפילדלפיה בשנת 1879</w:t>
      </w:r>
      <w:bookmarkStart w:id="1355" w:name="_fnr849"/>
      <w:bookmarkEnd w:id="1355"/>
      <w:r>
        <w:rPr>
          <w:rStyle w:val="a5"/>
        </w:rPr>
        <w:t/>
      </w:r>
      <w:bookmarkStart w:id="7007" w:name="_TranslatorNote_849"/>
      <w:r>
        <w:rPr>
          <w:rStyle w:val="a5"/>
          <w:vertAlign w:val="superscript"/>
          <w:rtl/>
        </w:rPr>
        <w:footnoteReference w:id="852" w:customMarkFollows="1"/>
        <w:t>*</w:t>
      </w:r>
      <w:bookmarkEnd w:id="7007"/>
      <w:r>
        <w:rPr>
          <w:rtl/>
        </w:rPr>
        <w:t xml:space="preserve">, “כפי שמסרו העיתונים באותה עת”, </w:t>
      </w:r>
      <w:proofErr w:type="spellStart"/>
      <w:r>
        <w:rPr>
          <w:rtl/>
        </w:rPr>
        <w:t>ש“אין</w:t>
      </w:r>
      <w:proofErr w:type="spellEnd"/>
      <w:r>
        <w:rPr>
          <w:rtl/>
        </w:rPr>
        <w:t xml:space="preserve"> תקווה לקיבוץ גלויות, כי פיזורם של ישראל בכל העולם מכוון מאת ההשגחה למנותם למורים ולמדריכים לכל אומות הארץ”, ומעיר על כך: “אמונה וכפירה כאחת”. ברור </w:t>
      </w:r>
      <w:proofErr w:type="spellStart"/>
      <w:r>
        <w:rPr>
          <w:rtl/>
        </w:rPr>
        <w:t>ש“מקור</w:t>
      </w:r>
      <w:proofErr w:type="spellEnd"/>
      <w:r>
        <w:rPr>
          <w:rtl/>
        </w:rPr>
        <w:t xml:space="preserve"> ברוך” ניסה בכל כוחו להסתיר את האמת המאכזבת על מי שדודו נתן בו את אמונו.</w:t>
      </w:r>
    </w:p>
    <w:p w14:paraId="29D79BBC" w14:textId="77777777" w:rsidR="00AB3647" w:rsidRDefault="00000000" w:rsidP="007923E9">
      <w:pPr>
        <w:spacing w:after="120" w:line="276" w:lineRule="auto"/>
        <w:ind w:firstLine="283"/>
        <w:jc w:val="both"/>
      </w:pPr>
      <w:r>
        <w:rPr>
          <w:rtl/>
        </w:rPr>
        <w:t xml:space="preserve">אנציקלופדיה יודאיקה מדויקת ומפורטת יותר מן המאמר </w:t>
      </w:r>
      <w:proofErr w:type="spellStart"/>
      <w:r>
        <w:rPr>
          <w:rtl/>
        </w:rPr>
        <w:t>ב“השלח</w:t>
      </w:r>
      <w:proofErr w:type="spellEnd"/>
      <w:r>
        <w:rPr>
          <w:rtl/>
        </w:rPr>
        <w:t xml:space="preserve">” משנת 1912 בתיאור דרכו של </w:t>
      </w:r>
      <w:proofErr w:type="spellStart"/>
      <w:r>
        <w:rPr>
          <w:rtl/>
        </w:rPr>
        <w:t>ליליינטל</w:t>
      </w:r>
      <w:proofErr w:type="spellEnd"/>
      <w:r>
        <w:rPr>
          <w:rtl/>
        </w:rPr>
        <w:t xml:space="preserve"> באמריקה: “משהשתקע בעיר ניו יורק ניהל במשך שנים אחדות פנימייה פרטית. בשנת 1849 נעשה רבו של איחוד קצר ימים של הקהילות הגרמניות שבעיר וניהל את בתי הספר היומיים שלהן [כלומר, תלמודי התורה שלהן שאחרי שעות בית הספר]. משנת 1855 ועד מותו היה רבה של קהילת בני ישראל </w:t>
      </w:r>
      <w:proofErr w:type="spellStart"/>
      <w:r>
        <w:rPr>
          <w:rtl/>
        </w:rPr>
        <w:t>בסינסינטי</w:t>
      </w:r>
      <w:proofErr w:type="spellEnd"/>
      <w:r>
        <w:rPr>
          <w:rtl/>
        </w:rPr>
        <w:t xml:space="preserve">, והוביל אותה לכיוון של רפורמה מתונה. הוא פעל במרץ יחד עם בן עירו </w:t>
      </w:r>
      <w:proofErr w:type="spellStart"/>
      <w:r>
        <w:rPr>
          <w:rtl/>
        </w:rPr>
        <w:t>יצחק־מאיר</w:t>
      </w:r>
      <w:proofErr w:type="spellEnd"/>
      <w:r>
        <w:rPr>
          <w:rtl/>
        </w:rPr>
        <w:t xml:space="preserve"> </w:t>
      </w:r>
      <w:proofErr w:type="spellStart"/>
      <w:r>
        <w:rPr>
          <w:rtl/>
        </w:rPr>
        <w:t>וייז</w:t>
      </w:r>
      <w:proofErr w:type="spellEnd"/>
      <w:r>
        <w:rPr>
          <w:rtl/>
        </w:rPr>
        <w:t xml:space="preserve"> לקידום היהדות הרפורמית בכל רחבי המערב, ולימד </w:t>
      </w:r>
      <w:proofErr w:type="spellStart"/>
      <w:r>
        <w:rPr>
          <w:rtl/>
        </w:rPr>
        <w:t>בהיברו</w:t>
      </w:r>
      <w:proofErr w:type="spellEnd"/>
      <w:r>
        <w:rPr>
          <w:rtl/>
        </w:rPr>
        <w:t xml:space="preserve"> יוניון קולג׳ מפתיחתו בשנת 1875.” </w:t>
      </w:r>
      <w:proofErr w:type="spellStart"/>
      <w:r>
        <w:rPr>
          <w:rtl/>
        </w:rPr>
        <w:t>ליליינטל</w:t>
      </w:r>
      <w:proofErr w:type="spellEnd"/>
      <w:r>
        <w:rPr>
          <w:rtl/>
        </w:rPr>
        <w:t xml:space="preserve"> מת שנה לפני טקס הסיום הראשון של </w:t>
      </w:r>
      <w:proofErr w:type="spellStart"/>
      <w:r>
        <w:rPr>
          <w:rtl/>
        </w:rPr>
        <w:t>הקולג</w:t>
      </w:r>
      <w:proofErr w:type="spellEnd"/>
      <w:r>
        <w:rPr>
          <w:rtl/>
        </w:rPr>
        <w:t>׳, שבו הוגשה סעודה של צדפות, שרימפס, רגלי צפרדעים, בשר בקר וגלידה</w:t>
      </w:r>
      <w:bookmarkStart w:id="1356" w:name="_fnr850"/>
      <w:r>
        <w:rPr>
          <w:rStyle w:val="a5"/>
        </w:rPr>
        <w:footnoteReference w:id="853" w:customMarkFollows="0"/>
      </w:r>
      <w:bookmarkEnd w:id="1356"/>
      <w:r>
        <w:rPr>
          <w:rtl/>
        </w:rPr>
        <w:t>.</w:t>
      </w:r>
    </w:p>
    <w:p w14:paraId="4F7E3E5B" w14:textId="77777777" w:rsidR="00AB3647" w:rsidRDefault="00000000" w:rsidP="007923E9">
      <w:pPr>
        <w:spacing w:after="120" w:line="276" w:lineRule="auto"/>
        <w:ind w:firstLine="283"/>
        <w:jc w:val="both"/>
      </w:pPr>
      <w:r>
        <w:rPr>
          <w:rtl/>
        </w:rPr>
        <w:t>אנציקלופדיה יודאיקה</w:t>
      </w:r>
      <w:bookmarkStart w:id="1357" w:name="_fnr851"/>
      <w:r>
        <w:rPr>
          <w:rStyle w:val="a5"/>
        </w:rPr>
        <w:footnoteReference w:id="854" w:customMarkFollows="0"/>
      </w:r>
      <w:bookmarkEnd w:id="1357"/>
      <w:r>
        <w:rPr>
          <w:rtl/>
        </w:rPr>
        <w:t xml:space="preserve"> מוסיפה ממד נוסף לפעילותו של </w:t>
      </w:r>
      <w:proofErr w:type="spellStart"/>
      <w:r>
        <w:rPr>
          <w:rtl/>
        </w:rPr>
        <w:t>ליליינטל</w:t>
      </w:r>
      <w:proofErr w:type="spellEnd"/>
      <w:r>
        <w:rPr>
          <w:rtl/>
        </w:rPr>
        <w:t xml:space="preserve"> בניו יורק: </w:t>
      </w:r>
      <w:proofErr w:type="spellStart"/>
      <w:r>
        <w:rPr>
          <w:rtl/>
        </w:rPr>
        <w:t>וייז</w:t>
      </w:r>
      <w:proofErr w:type="spellEnd"/>
      <w:r>
        <w:rPr>
          <w:rtl/>
        </w:rPr>
        <w:t xml:space="preserve">, הצעיר ממנו בארבע שנים, הגיע לניו יורק ממשרת </w:t>
      </w:r>
      <w:proofErr w:type="spellStart"/>
      <w:r>
        <w:rPr>
          <w:rtl/>
        </w:rPr>
        <w:t>רבנותו</w:t>
      </w:r>
      <w:proofErr w:type="spellEnd"/>
      <w:r>
        <w:rPr>
          <w:rtl/>
        </w:rPr>
        <w:t xml:space="preserve"> בבוהמיה </w:t>
      </w:r>
      <w:r>
        <w:rPr>
          <w:b/>
          <w:bCs/>
          <w:rtl/>
        </w:rPr>
        <w:t xml:space="preserve">שנה אחרי </w:t>
      </w:r>
      <w:proofErr w:type="spellStart"/>
      <w:r>
        <w:rPr>
          <w:b/>
          <w:bCs/>
          <w:rtl/>
        </w:rPr>
        <w:t>ליליינטל</w:t>
      </w:r>
      <w:proofErr w:type="spellEnd"/>
      <w:r>
        <w:rPr>
          <w:rtl/>
        </w:rPr>
        <w:t xml:space="preserve">, </w:t>
      </w:r>
      <w:proofErr w:type="spellStart"/>
      <w:r>
        <w:rPr>
          <w:rtl/>
        </w:rPr>
        <w:t>ו“הצטרף</w:t>
      </w:r>
      <w:proofErr w:type="spellEnd"/>
      <w:r>
        <w:rPr>
          <w:rtl/>
        </w:rPr>
        <w:t xml:space="preserve"> </w:t>
      </w:r>
      <w:proofErr w:type="spellStart"/>
      <w:r>
        <w:rPr>
          <w:rtl/>
        </w:rPr>
        <w:t>ל‘בית</w:t>
      </w:r>
      <w:proofErr w:type="spellEnd"/>
      <w:r>
        <w:rPr>
          <w:rtl/>
        </w:rPr>
        <w:t xml:space="preserve"> דין’ שבראשו עמד (</w:t>
      </w:r>
      <w:proofErr w:type="spellStart"/>
      <w:r>
        <w:rPr>
          <w:rtl/>
        </w:rPr>
        <w:t>ליליינטל</w:t>
      </w:r>
      <w:proofErr w:type="spellEnd"/>
      <w:r>
        <w:rPr>
          <w:rtl/>
        </w:rPr>
        <w:t>)”. לפי אנציקלופדיה יודאיקה, “</w:t>
      </w:r>
      <w:proofErr w:type="spellStart"/>
      <w:r>
        <w:rPr>
          <w:rtl/>
        </w:rPr>
        <w:t>וייז</w:t>
      </w:r>
      <w:proofErr w:type="spellEnd"/>
      <w:r>
        <w:rPr>
          <w:rtl/>
        </w:rPr>
        <w:t xml:space="preserve"> הלך </w:t>
      </w:r>
      <w:proofErr w:type="spellStart"/>
      <w:r>
        <w:rPr>
          <w:rtl/>
        </w:rPr>
        <w:t>לסינסינטי</w:t>
      </w:r>
      <w:proofErr w:type="spellEnd"/>
      <w:r>
        <w:rPr>
          <w:rtl/>
        </w:rPr>
        <w:t xml:space="preserve"> כרב קהילת בני ישורון בשנת 1854, ונשאר שם עד סוף ימיו”. בתוך חודשים אחדים מבואו התחיל להוציא את דה </w:t>
      </w:r>
      <w:proofErr w:type="spellStart"/>
      <w:r>
        <w:rPr>
          <w:rtl/>
        </w:rPr>
        <w:t>ישראלייט</w:t>
      </w:r>
      <w:proofErr w:type="spellEnd"/>
      <w:r>
        <w:rPr>
          <w:rtl/>
        </w:rPr>
        <w:t xml:space="preserve">, שבו נדפס יומנו של </w:t>
      </w:r>
      <w:proofErr w:type="spellStart"/>
      <w:r>
        <w:rPr>
          <w:rtl/>
        </w:rPr>
        <w:t>ליליינטל</w:t>
      </w:r>
      <w:proofErr w:type="spellEnd"/>
      <w:r>
        <w:rPr>
          <w:rtl/>
        </w:rPr>
        <w:t xml:space="preserve">; העיתון נודע לימים בשם דה אמריקן </w:t>
      </w:r>
      <w:proofErr w:type="spellStart"/>
      <w:r>
        <w:rPr>
          <w:rtl/>
        </w:rPr>
        <w:t>ישראלייט</w:t>
      </w:r>
      <w:proofErr w:type="spellEnd"/>
      <w:r>
        <w:rPr>
          <w:rtl/>
        </w:rPr>
        <w:t xml:space="preserve">, עם מוסף בשפה הגרמנית, </w:t>
      </w:r>
      <w:proofErr w:type="spellStart"/>
      <w:r>
        <w:rPr>
          <w:rtl/>
        </w:rPr>
        <w:t>דיא</w:t>
      </w:r>
      <w:proofErr w:type="spellEnd"/>
      <w:r>
        <w:rPr>
          <w:rtl/>
        </w:rPr>
        <w:t xml:space="preserve"> דבורה. נראה </w:t>
      </w:r>
      <w:proofErr w:type="spellStart"/>
      <w:r>
        <w:rPr>
          <w:rtl/>
        </w:rPr>
        <w:t>שליליינטל</w:t>
      </w:r>
      <w:proofErr w:type="spellEnd"/>
      <w:r>
        <w:rPr>
          <w:rtl/>
        </w:rPr>
        <w:t xml:space="preserve"> הביא את </w:t>
      </w:r>
      <w:proofErr w:type="spellStart"/>
      <w:r>
        <w:rPr>
          <w:rtl/>
        </w:rPr>
        <w:t>וייז</w:t>
      </w:r>
      <w:proofErr w:type="spellEnd"/>
      <w:r>
        <w:rPr>
          <w:rtl/>
        </w:rPr>
        <w:t xml:space="preserve">, “ידיד לכל החיים”, לניו יורק, </w:t>
      </w:r>
      <w:proofErr w:type="spellStart"/>
      <w:r>
        <w:rPr>
          <w:rtl/>
        </w:rPr>
        <w:t>ווייז</w:t>
      </w:r>
      <w:proofErr w:type="spellEnd"/>
      <w:r>
        <w:rPr>
          <w:rtl/>
        </w:rPr>
        <w:t xml:space="preserve"> גמל לו כשהביא את </w:t>
      </w:r>
      <w:proofErr w:type="spellStart"/>
      <w:r>
        <w:rPr>
          <w:rtl/>
        </w:rPr>
        <w:t>ליליינטל</w:t>
      </w:r>
      <w:proofErr w:type="spellEnd"/>
      <w:r>
        <w:rPr>
          <w:rtl/>
        </w:rPr>
        <w:t xml:space="preserve"> </w:t>
      </w:r>
      <w:proofErr w:type="spellStart"/>
      <w:r>
        <w:rPr>
          <w:rtl/>
        </w:rPr>
        <w:t>לסינסינטי</w:t>
      </w:r>
      <w:proofErr w:type="spellEnd"/>
      <w:r>
        <w:rPr>
          <w:rtl/>
        </w:rPr>
        <w:t xml:space="preserve"> כעבור שמונה שנים.</w:t>
      </w:r>
    </w:p>
    <w:p w14:paraId="392B18B4" w14:textId="77777777" w:rsidR="00AB3647" w:rsidRDefault="00000000" w:rsidP="007923E9">
      <w:pPr>
        <w:spacing w:after="120" w:line="276" w:lineRule="auto"/>
        <w:ind w:firstLine="283"/>
        <w:jc w:val="both"/>
      </w:pPr>
      <w:r>
        <w:rPr>
          <w:rtl/>
        </w:rPr>
        <w:lastRenderedPageBreak/>
        <w:t xml:space="preserve">עוד על ידידו של </w:t>
      </w:r>
      <w:proofErr w:type="spellStart"/>
      <w:r>
        <w:rPr>
          <w:rtl/>
        </w:rPr>
        <w:t>ליליינטל</w:t>
      </w:r>
      <w:proofErr w:type="spellEnd"/>
      <w:r>
        <w:rPr>
          <w:rtl/>
        </w:rPr>
        <w:t>, מתוך אנציקלופדיה יודאיקה: “</w:t>
      </w:r>
      <w:proofErr w:type="spellStart"/>
      <w:r>
        <w:rPr>
          <w:rtl/>
        </w:rPr>
        <w:t>וייז</w:t>
      </w:r>
      <w:proofErr w:type="spellEnd"/>
      <w:r>
        <w:rPr>
          <w:rtl/>
        </w:rPr>
        <w:t xml:space="preserve">, הידוע </w:t>
      </w:r>
      <w:proofErr w:type="spellStart"/>
      <w:r>
        <w:rPr>
          <w:rtl/>
        </w:rPr>
        <w:t>כ‘האב</w:t>
      </w:r>
      <w:proofErr w:type="spellEnd"/>
      <w:r>
        <w:rPr>
          <w:rtl/>
        </w:rPr>
        <w:t xml:space="preserve"> המייסד’ של התנועה הרפורמית באמריקה, הצליח לארגן ועידת רבנים </w:t>
      </w:r>
      <w:proofErr w:type="spellStart"/>
      <w:r>
        <w:rPr>
          <w:rtl/>
        </w:rPr>
        <w:t>בקליבלנד</w:t>
      </w:r>
      <w:proofErr w:type="spellEnd"/>
      <w:r>
        <w:rPr>
          <w:rtl/>
        </w:rPr>
        <w:t xml:space="preserve">, שהסכימה לכנס </w:t>
      </w:r>
      <w:proofErr w:type="spellStart"/>
      <w:r>
        <w:rPr>
          <w:rtl/>
        </w:rPr>
        <w:t>סינוד</w:t>
      </w:r>
      <w:proofErr w:type="spellEnd"/>
      <w:r>
        <w:rPr>
          <w:rtl/>
        </w:rPr>
        <w:t xml:space="preserve"> ואימצה מצע שהכיר בתנ״ך כאלוהי והכריז שיש ‘לפרשו ולקיימו על פי פירושי התלמוד’. האורתודוקסים, </w:t>
      </w:r>
      <w:proofErr w:type="spellStart"/>
      <w:r>
        <w:rPr>
          <w:rtl/>
        </w:rPr>
        <w:t>שאייזק</w:t>
      </w:r>
      <w:proofErr w:type="spellEnd"/>
      <w:r>
        <w:rPr>
          <w:rtl/>
        </w:rPr>
        <w:t xml:space="preserve"> </w:t>
      </w:r>
      <w:proofErr w:type="spellStart"/>
      <w:r>
        <w:rPr>
          <w:rtl/>
        </w:rPr>
        <w:t>ליסר</w:t>
      </w:r>
      <w:proofErr w:type="spellEnd"/>
      <w:r>
        <w:rPr>
          <w:rtl/>
        </w:rPr>
        <w:t xml:space="preserve"> ייצג אותם, היו מרוצים בתחילה, אבל עד מהרה התחילו לחשוד בכוונותיו של </w:t>
      </w:r>
      <w:proofErr w:type="spellStart"/>
      <w:r>
        <w:rPr>
          <w:rtl/>
        </w:rPr>
        <w:t>וייז</w:t>
      </w:r>
      <w:proofErr w:type="spellEnd"/>
      <w:r>
        <w:rPr>
          <w:rtl/>
        </w:rPr>
        <w:t xml:space="preserve">. גרוע מזה, דוד </w:t>
      </w:r>
      <w:proofErr w:type="spellStart"/>
      <w:r>
        <w:rPr>
          <w:rtl/>
        </w:rPr>
        <w:t>איינהורן</w:t>
      </w:r>
      <w:proofErr w:type="spellEnd"/>
      <w:r>
        <w:rPr>
          <w:rtl/>
        </w:rPr>
        <w:t xml:space="preserve">, הרדיקל הגרמני שנעשה זה עתה רב בבולטימור, תקף בחריפות את מצע </w:t>
      </w:r>
      <w:proofErr w:type="spellStart"/>
      <w:r>
        <w:rPr>
          <w:rtl/>
        </w:rPr>
        <w:t>קליבלנד</w:t>
      </w:r>
      <w:proofErr w:type="spellEnd"/>
      <w:r>
        <w:rPr>
          <w:rtl/>
        </w:rPr>
        <w:t xml:space="preserve"> וכינה אותו בגידה בעניין הרפורמה.” </w:t>
      </w:r>
      <w:proofErr w:type="spellStart"/>
      <w:r>
        <w:rPr>
          <w:rtl/>
        </w:rPr>
        <w:t>אייזק</w:t>
      </w:r>
      <w:proofErr w:type="spellEnd"/>
      <w:r>
        <w:rPr>
          <w:rtl/>
        </w:rPr>
        <w:t xml:space="preserve"> </w:t>
      </w:r>
      <w:proofErr w:type="spellStart"/>
      <w:r>
        <w:rPr>
          <w:rtl/>
        </w:rPr>
        <w:t>ליסר</w:t>
      </w:r>
      <w:proofErr w:type="spellEnd"/>
      <w:r>
        <w:rPr>
          <w:rtl/>
        </w:rPr>
        <w:t xml:space="preserve"> היה עורך הירחון דה </w:t>
      </w:r>
      <w:proofErr w:type="spellStart"/>
      <w:r>
        <w:rPr>
          <w:rtl/>
        </w:rPr>
        <w:t>אוקסידנט</w:t>
      </w:r>
      <w:proofErr w:type="spellEnd"/>
      <w:r>
        <w:rPr>
          <w:rtl/>
        </w:rPr>
        <w:t xml:space="preserve"> אנד אמריקן </w:t>
      </w:r>
      <w:proofErr w:type="spellStart"/>
      <w:r>
        <w:rPr>
          <w:rtl/>
        </w:rPr>
        <w:t>ג׳ואיש</w:t>
      </w:r>
      <w:proofErr w:type="spellEnd"/>
      <w:r>
        <w:rPr>
          <w:rtl/>
        </w:rPr>
        <w:t xml:space="preserve"> </w:t>
      </w:r>
      <w:proofErr w:type="spellStart"/>
      <w:r>
        <w:rPr>
          <w:rtl/>
        </w:rPr>
        <w:t>אדבוקייט</w:t>
      </w:r>
      <w:proofErr w:type="spellEnd"/>
      <w:r>
        <w:rPr>
          <w:rtl/>
        </w:rPr>
        <w:t xml:space="preserve">. את הוועידה מתאר גם אחד המשתתפים בה, ר׳ </w:t>
      </w:r>
      <w:proofErr w:type="spellStart"/>
      <w:r>
        <w:rPr>
          <w:rtl/>
        </w:rPr>
        <w:t>יששכר־דוב</w:t>
      </w:r>
      <w:proofErr w:type="spellEnd"/>
      <w:r>
        <w:rPr>
          <w:rtl/>
        </w:rPr>
        <w:t xml:space="preserve"> </w:t>
      </w:r>
      <w:proofErr w:type="spellStart"/>
      <w:r>
        <w:rPr>
          <w:rtl/>
        </w:rPr>
        <w:t>אילווי</w:t>
      </w:r>
      <w:proofErr w:type="spellEnd"/>
      <w:r>
        <w:rPr>
          <w:rtl/>
        </w:rPr>
        <w:t xml:space="preserve">, בספרו “שו״ת מלחמות </w:t>
      </w:r>
      <w:proofErr w:type="spellStart"/>
      <w:r>
        <w:rPr>
          <w:rtl/>
        </w:rPr>
        <w:t>א־להים</w:t>
      </w:r>
      <w:proofErr w:type="spellEnd"/>
      <w:r>
        <w:rPr>
          <w:rtl/>
        </w:rPr>
        <w:t>” – ברלין, 1914</w:t>
      </w:r>
      <w:bookmarkStart w:id="1358" w:name="_fnr852"/>
      <w:r>
        <w:rPr>
          <w:rStyle w:val="a5"/>
        </w:rPr>
        <w:t/>
      </w:r>
      <w:bookmarkStart w:id="7008" w:name="_TranslatorNote_852"/>
      <w:r>
        <w:rPr>
          <w:rStyle w:val="a5"/>
          <w:vertAlign w:val="superscript"/>
          <w:rtl/>
        </w:rPr>
        <w:footnoteReference w:id="855" w:customMarkFollows="1"/>
        <w:t>*</w:t>
      </w:r>
      <w:bookmarkEnd w:id="7008"/>
      <w:bookmarkEnd w:id="1358"/>
      <w:r>
        <w:rPr>
          <w:rtl/>
        </w:rPr>
        <w:t xml:space="preserve">. הרב </w:t>
      </w:r>
      <w:proofErr w:type="spellStart"/>
      <w:r>
        <w:rPr>
          <w:rtl/>
        </w:rPr>
        <w:t>אילווי</w:t>
      </w:r>
      <w:proofErr w:type="spellEnd"/>
      <w:r>
        <w:rPr>
          <w:rtl/>
        </w:rPr>
        <w:t xml:space="preserve"> היה תלמידו של רבה הגדול של </w:t>
      </w:r>
      <w:proofErr w:type="spellStart"/>
      <w:r>
        <w:rPr>
          <w:rtl/>
        </w:rPr>
        <w:t>פרשבורג</w:t>
      </w:r>
      <w:proofErr w:type="spellEnd"/>
      <w:r>
        <w:rPr>
          <w:rtl/>
        </w:rPr>
        <w:t xml:space="preserve"> והלוחם העז ברפורמה, ר׳ משה סופר, ושימש ברבנות האורתודוקסית בארצות הברית.</w:t>
      </w:r>
    </w:p>
    <w:p w14:paraId="455F7D98" w14:textId="77777777" w:rsidR="00AB3647" w:rsidRDefault="00000000" w:rsidP="007923E9">
      <w:pPr>
        <w:spacing w:after="120" w:line="276" w:lineRule="auto"/>
        <w:ind w:firstLine="283"/>
        <w:jc w:val="both"/>
      </w:pPr>
      <w:r>
        <w:rPr>
          <w:rtl/>
        </w:rPr>
        <w:t xml:space="preserve">“מקור ברוך” ממשיך: “איש לא ידע את הסיבה לבריחתו הפתאומית של </w:t>
      </w:r>
      <w:proofErr w:type="spellStart"/>
      <w:r>
        <w:rPr>
          <w:rtl/>
        </w:rPr>
        <w:t>ליליינטל</w:t>
      </w:r>
      <w:proofErr w:type="spellEnd"/>
      <w:r>
        <w:rPr>
          <w:rtl/>
        </w:rPr>
        <w:t xml:space="preserve">, שנודעה כמו בהיסח הדעת, ונראה לי – הביע </w:t>
      </w:r>
      <w:proofErr w:type="spellStart"/>
      <w:r>
        <w:rPr>
          <w:rtl/>
        </w:rPr>
        <w:t>הנצי״ב</w:t>
      </w:r>
      <w:proofErr w:type="spellEnd"/>
      <w:r>
        <w:rPr>
          <w:rtl/>
        </w:rPr>
        <w:t xml:space="preserve"> את </w:t>
      </w:r>
      <w:r>
        <w:rPr>
          <w:b/>
          <w:bCs/>
          <w:rtl/>
        </w:rPr>
        <w:t>השערתו</w:t>
      </w:r>
      <w:r>
        <w:rPr>
          <w:rtl/>
        </w:rPr>
        <w:t xml:space="preserve"> – שגם עד היום אין רבים יודעים אותה. בזמנו ואחריו השמיעו הבריות השערות, חקירות ורעיונות רבים כדי להסביר מאורע מוזר זה. חקרו ודרשו וְחָדוּ חידות ולא מצאו דבר הגון כסיבה, והעניין נעבר כטמון במצולות ים. אבל אני – המשיך </w:t>
      </w:r>
      <w:proofErr w:type="spellStart"/>
      <w:r>
        <w:rPr>
          <w:rtl/>
        </w:rPr>
        <w:t>הנצי״ב</w:t>
      </w:r>
      <w:proofErr w:type="spellEnd"/>
      <w:r>
        <w:rPr>
          <w:rtl/>
        </w:rPr>
        <w:t xml:space="preserve"> וסיפר – יודע אני בבירור ובבטחה</w:t>
      </w:r>
      <w:bookmarkStart w:id="1359" w:name="_fnr853"/>
      <w:r>
        <w:rPr>
          <w:rStyle w:val="a5"/>
        </w:rPr>
        <w:footnoteReference w:id="856" w:customMarkFollows="0"/>
      </w:r>
      <w:bookmarkEnd w:id="1359"/>
      <w:r>
        <w:rPr>
          <w:rtl/>
        </w:rPr>
        <w:t xml:space="preserve"> את שורש הסיבה, והיא מדברת כולה בשבחו של </w:t>
      </w:r>
      <w:proofErr w:type="spellStart"/>
      <w:r>
        <w:rPr>
          <w:rtl/>
        </w:rPr>
        <w:t>ליליינטל</w:t>
      </w:r>
      <w:proofErr w:type="spellEnd"/>
      <w:r>
        <w:rPr>
          <w:rtl/>
        </w:rPr>
        <w:t xml:space="preserve"> ומעידה על תום נפשו ויושר דרכיו לאמונה ודת. וזה הדבר: במשך הזמן התקרב </w:t>
      </w:r>
      <w:proofErr w:type="spellStart"/>
      <w:r>
        <w:rPr>
          <w:rtl/>
        </w:rPr>
        <w:t>ליליינטל</w:t>
      </w:r>
      <w:proofErr w:type="spellEnd"/>
      <w:r>
        <w:rPr>
          <w:rtl/>
        </w:rPr>
        <w:t xml:space="preserve"> יותר ויותר אל מפקדו ושולחו השר </w:t>
      </w:r>
      <w:proofErr w:type="spellStart"/>
      <w:r>
        <w:rPr>
          <w:rtl/>
        </w:rPr>
        <w:t>אוברוב</w:t>
      </w:r>
      <w:proofErr w:type="spellEnd"/>
      <w:r>
        <w:rPr>
          <w:rtl/>
        </w:rPr>
        <w:t xml:space="preserve"> ואל השרים האחרים ומקורביהם, ועמד על טיבם האמיתי, על דעתם והשקפתם בענייני היהודים ועל תוכניותיהם, רעיונותיהם וחזונותיהם בדבר עתידם של היהודים. אז ראה ונוכח שאכן יש בלב הממשלה מחשבות ורעיונות נחרצים לפגוע – באמצעות </w:t>
      </w:r>
      <w:proofErr w:type="spellStart"/>
      <w:r>
        <w:rPr>
          <w:rtl/>
        </w:rPr>
        <w:t>ה‘השכלה</w:t>
      </w:r>
      <w:proofErr w:type="spellEnd"/>
      <w:r>
        <w:rPr>
          <w:rtl/>
        </w:rPr>
        <w:t>’ שרצתה לטעת בהם – בעיקרי הדת היהודית וביסודות אמונתם, ולהדפם מעט מעט עד שייפלו וייעקרו לעולם. וראה [</w:t>
      </w:r>
      <w:proofErr w:type="spellStart"/>
      <w:r>
        <w:rPr>
          <w:rtl/>
        </w:rPr>
        <w:t>ליליינטל</w:t>
      </w:r>
      <w:proofErr w:type="spellEnd"/>
      <w:r>
        <w:rPr>
          <w:rtl/>
        </w:rPr>
        <w:t>] ש</w:t>
      </w:r>
      <w:r>
        <w:rPr>
          <w:b/>
          <w:bCs/>
          <w:rtl/>
        </w:rPr>
        <w:t>אבותינו</w:t>
      </w:r>
      <w:bookmarkStart w:id="1360" w:name="_fnr854"/>
      <w:r>
        <w:rPr>
          <w:rStyle w:val="a5"/>
        </w:rPr>
        <w:footnoteReference w:id="857" w:customMarkFollows="0"/>
      </w:r>
      <w:bookmarkEnd w:id="1360"/>
      <w:r>
        <w:rPr>
          <w:rtl/>
        </w:rPr>
        <w:t xml:space="preserve"> צדקו באמת בפחדם הנורא מפני האמצעי של תוכנית מבעיתה זו, ההשכלה, ושלא לשווא, לא בלי יסוד ולא שלא בצדק תלו בו ‘מחשבות פיגול’ של חשד נתעב. הוא נזכר בשבועה שנשבע בווילנה לפני ראשי העם, לאמור: ‘אם רק אגלה שמץ מחשבת פיגול מצד הממשלה, שתוכניתה באמת לפרוש רשת על עיקרי יסודות האמונה היהודית, ארחץ בניקיון כפיי מכל רעיון השליחות.’ וכשראה ונזכר בכל זה נבהל ונרתע מאוד, ואמר </w:t>
      </w:r>
      <w:proofErr w:type="spellStart"/>
      <w:r>
        <w:rPr>
          <w:rtl/>
        </w:rPr>
        <w:t>בלבו</w:t>
      </w:r>
      <w:proofErr w:type="spellEnd"/>
      <w:r>
        <w:rPr>
          <w:rtl/>
        </w:rPr>
        <w:t xml:space="preserve">: ‘אל תהי ידי בכל העניין הזה, בכל עניין </w:t>
      </w:r>
      <w:proofErr w:type="spellStart"/>
      <w:r>
        <w:rPr>
          <w:rtl/>
        </w:rPr>
        <w:t>ה“השכלה</w:t>
      </w:r>
      <w:proofErr w:type="spellEnd"/>
      <w:r>
        <w:rPr>
          <w:rtl/>
        </w:rPr>
        <w:t>” החיצונית שהממשלה רוצה להנהיג על ידי. כי ההשכלה משכלת</w:t>
      </w:r>
      <w:bookmarkStart w:id="1361" w:name="_fnr855"/>
      <w:r>
        <w:rPr>
          <w:rStyle w:val="a5"/>
        </w:rPr>
        <w:footnoteReference w:id="858" w:customMarkFollows="0"/>
      </w:r>
      <w:bookmarkEnd w:id="1361"/>
      <w:r>
        <w:rPr>
          <w:rtl/>
        </w:rPr>
        <w:t xml:space="preserve">, ומי יודע מה תהיה אחריתה?’ ומשידע שאם יישאר במדינה לא יינצל מלהמשיך בעבודתו בעניין זה, החליט לעזוב את המדינה כולה </w:t>
      </w:r>
      <w:r>
        <w:rPr>
          <w:b/>
          <w:bCs/>
          <w:rtl/>
        </w:rPr>
        <w:t>ולא לשוב אליה עוד</w:t>
      </w:r>
      <w:r>
        <w:rPr>
          <w:rtl/>
        </w:rPr>
        <w:t xml:space="preserve">. </w:t>
      </w:r>
      <w:proofErr w:type="spellStart"/>
      <w:r>
        <w:rPr>
          <w:rtl/>
        </w:rPr>
        <w:t>ליליינטל</w:t>
      </w:r>
      <w:proofErr w:type="spellEnd"/>
      <w:r>
        <w:rPr>
          <w:rtl/>
        </w:rPr>
        <w:t xml:space="preserve"> לא רצה לדבר על בריחתו עם מכריו וידידיו ולא להודיעם עליה, כי חשש שמא </w:t>
      </w:r>
      <w:r>
        <w:rPr>
          <w:rtl/>
        </w:rPr>
        <w:lastRenderedPageBreak/>
        <w:t>ישדלוהו לחזור בו</w:t>
      </w:r>
      <w:bookmarkStart w:id="1362" w:name="_fnr856"/>
      <w:r>
        <w:rPr>
          <w:rStyle w:val="a5"/>
        </w:rPr>
        <w:footnoteReference w:id="859" w:customMarkFollows="0"/>
      </w:r>
      <w:bookmarkEnd w:id="1362"/>
      <w:r>
        <w:rPr>
          <w:rtl/>
        </w:rPr>
        <w:t xml:space="preserve">. וכך ברח פתאום ונמלט מרוסיה </w:t>
      </w:r>
      <w:r>
        <w:rPr>
          <w:b/>
          <w:bCs/>
          <w:rtl/>
        </w:rPr>
        <w:t>ולא שב אליה עוד</w:t>
      </w:r>
      <w:bookmarkStart w:id="1363" w:name="_fnr857"/>
      <w:r>
        <w:rPr>
          <w:rStyle w:val="a5"/>
        </w:rPr>
        <w:footnoteReference w:id="860" w:customMarkFollows="0"/>
      </w:r>
      <w:bookmarkEnd w:id="1363"/>
      <w:r>
        <w:rPr>
          <w:rtl/>
        </w:rPr>
        <w:t xml:space="preserve">. ובמנוסה זו </w:t>
      </w:r>
      <w:r>
        <w:rPr>
          <w:b/>
          <w:bCs/>
          <w:rtl/>
        </w:rPr>
        <w:t>הודיע בגלוי</w:t>
      </w:r>
      <w:r>
        <w:rPr>
          <w:rtl/>
        </w:rPr>
        <w:t xml:space="preserve"> לכל [היהודים] ברוסיה את תוכנית הממשלה לגביהם, </w:t>
      </w:r>
      <w:r>
        <w:rPr>
          <w:b/>
          <w:bCs/>
          <w:rtl/>
        </w:rPr>
        <w:t>והתכוון לפרסם</w:t>
      </w:r>
      <w:r>
        <w:rPr>
          <w:rtl/>
        </w:rPr>
        <w:t xml:space="preserve"> (ההדגשות שלי) זאת לידיעתם כדי שידעו למה עליהם לצפות...</w:t>
      </w:r>
      <w:bookmarkStart w:id="1364" w:name="_fnr858"/>
      <w:r>
        <w:rPr>
          <w:rStyle w:val="a5"/>
        </w:rPr>
        <w:footnoteReference w:id="861" w:customMarkFollows="0"/>
      </w:r>
      <w:bookmarkEnd w:id="1364"/>
      <w:r>
        <w:rPr>
          <w:rtl/>
        </w:rPr>
        <w:t>”</w:t>
      </w:r>
    </w:p>
    <w:p w14:paraId="7B61FFA4" w14:textId="77777777" w:rsidR="00AB3647" w:rsidRDefault="00000000" w:rsidP="007923E9">
      <w:pPr>
        <w:spacing w:after="120" w:line="276" w:lineRule="auto"/>
        <w:ind w:firstLine="283"/>
        <w:jc w:val="both"/>
      </w:pPr>
      <w:r>
        <w:rPr>
          <w:rtl/>
        </w:rPr>
        <w:t>“מקור ברוך” ממשיך: “</w:t>
      </w:r>
      <w:proofErr w:type="spellStart"/>
      <w:r>
        <w:rPr>
          <w:rtl/>
        </w:rPr>
        <w:t>הנצי״ב</w:t>
      </w:r>
      <w:proofErr w:type="spellEnd"/>
      <w:r>
        <w:rPr>
          <w:rtl/>
        </w:rPr>
        <w:t xml:space="preserve"> לא סיפר כיצד ידע את הסוד הכמוס הזה כשסיפר את כל זה, והשומעים לא מצאו בהם עוז לשאול אותו [כיצד ידע]. היו שמשערים שמאחר שהיחסים בין </w:t>
      </w:r>
      <w:proofErr w:type="spellStart"/>
      <w:r>
        <w:rPr>
          <w:rtl/>
        </w:rPr>
        <w:t>ליליינטל</w:t>
      </w:r>
      <w:proofErr w:type="spellEnd"/>
      <w:r>
        <w:rPr>
          <w:rtl/>
        </w:rPr>
        <w:t xml:space="preserve"> ובין ר׳ </w:t>
      </w:r>
      <w:proofErr w:type="spellStart"/>
      <w:r>
        <w:rPr>
          <w:rtl/>
        </w:rPr>
        <w:t>איצל׳ה</w:t>
      </w:r>
      <w:proofErr w:type="spellEnd"/>
      <w:r>
        <w:rPr>
          <w:rtl/>
        </w:rPr>
        <w:t xml:space="preserve"> היו טובים וקרובים מאוד, והוא היה מסור לו</w:t>
      </w:r>
      <w:bookmarkStart w:id="1365" w:name="_fnr859"/>
      <w:r>
        <w:rPr>
          <w:rStyle w:val="a5"/>
        </w:rPr>
        <w:footnoteReference w:id="862" w:customMarkFollows="0"/>
      </w:r>
      <w:bookmarkEnd w:id="1365"/>
      <w:r>
        <w:rPr>
          <w:rtl/>
        </w:rPr>
        <w:t xml:space="preserve"> בכל לבו ובכל נפשו, כפי שנראה במפורש מן המכתב הנ״ל</w:t>
      </w:r>
      <w:bookmarkStart w:id="1366" w:name="_fnr860"/>
      <w:r>
        <w:rPr>
          <w:rStyle w:val="a5"/>
        </w:rPr>
        <w:footnoteReference w:id="863" w:customMarkFollows="0"/>
      </w:r>
      <w:bookmarkEnd w:id="1366"/>
      <w:r>
        <w:rPr>
          <w:rtl/>
        </w:rPr>
        <w:t>, הודיע [</w:t>
      </w:r>
      <w:proofErr w:type="spellStart"/>
      <w:r>
        <w:rPr>
          <w:rtl/>
        </w:rPr>
        <w:t>ליליינטל</w:t>
      </w:r>
      <w:proofErr w:type="spellEnd"/>
      <w:r>
        <w:rPr>
          <w:rtl/>
        </w:rPr>
        <w:t xml:space="preserve">] על כך </w:t>
      </w:r>
      <w:proofErr w:type="spellStart"/>
      <w:r>
        <w:rPr>
          <w:rtl/>
        </w:rPr>
        <w:t>לר</w:t>
      </w:r>
      <w:proofErr w:type="spellEnd"/>
      <w:r>
        <w:rPr>
          <w:rtl/>
        </w:rPr>
        <w:t xml:space="preserve">׳ </w:t>
      </w:r>
      <w:proofErr w:type="spellStart"/>
      <w:r>
        <w:rPr>
          <w:rtl/>
        </w:rPr>
        <w:t>איצל׳ה</w:t>
      </w:r>
      <w:proofErr w:type="spellEnd"/>
      <w:r>
        <w:rPr>
          <w:rtl/>
        </w:rPr>
        <w:t xml:space="preserve"> בשעת בריחתו או אחריה, וחתנו של ר׳ </w:t>
      </w:r>
      <w:proofErr w:type="spellStart"/>
      <w:r>
        <w:rPr>
          <w:rtl/>
        </w:rPr>
        <w:t>איצל׳ה</w:t>
      </w:r>
      <w:proofErr w:type="spellEnd"/>
      <w:r>
        <w:rPr>
          <w:rtl/>
        </w:rPr>
        <w:t xml:space="preserve">, </w:t>
      </w:r>
      <w:proofErr w:type="spellStart"/>
      <w:r>
        <w:rPr>
          <w:rtl/>
        </w:rPr>
        <w:t>הנצי״ב</w:t>
      </w:r>
      <w:proofErr w:type="spellEnd"/>
      <w:r>
        <w:rPr>
          <w:rtl/>
        </w:rPr>
        <w:t>, שמע זאת ממנו. אבל קשה לאשש השערה זו.”</w:t>
      </w:r>
    </w:p>
    <w:p w14:paraId="79992518" w14:textId="77777777" w:rsidR="00AB3647" w:rsidRDefault="00000000" w:rsidP="007923E9">
      <w:pPr>
        <w:spacing w:after="120" w:line="276" w:lineRule="auto"/>
        <w:ind w:firstLine="283"/>
        <w:jc w:val="both"/>
      </w:pPr>
      <w:r>
        <w:rPr>
          <w:rtl/>
        </w:rPr>
        <w:t xml:space="preserve">“מקור ברוך” מעלה אחר כך רעיון חדש: דרשתו של ר׳ </w:t>
      </w:r>
      <w:proofErr w:type="spellStart"/>
      <w:r>
        <w:rPr>
          <w:rtl/>
        </w:rPr>
        <w:t>איצל׳ה</w:t>
      </w:r>
      <w:proofErr w:type="spellEnd"/>
      <w:r>
        <w:rPr>
          <w:rtl/>
        </w:rPr>
        <w:t xml:space="preserve"> בליל כל נדרי היא שהניעה את </w:t>
      </w:r>
      <w:proofErr w:type="spellStart"/>
      <w:r>
        <w:rPr>
          <w:rtl/>
        </w:rPr>
        <w:t>ליליינטל</w:t>
      </w:r>
      <w:proofErr w:type="spellEnd"/>
      <w:r>
        <w:rPr>
          <w:rtl/>
        </w:rPr>
        <w:t xml:space="preserve"> לבדוק את החשדות שהפנה הציבור היהודי כלפי השר </w:t>
      </w:r>
      <w:proofErr w:type="spellStart"/>
      <w:r>
        <w:rPr>
          <w:rtl/>
        </w:rPr>
        <w:t>אוברוב</w:t>
      </w:r>
      <w:proofErr w:type="spellEnd"/>
      <w:r>
        <w:rPr>
          <w:rtl/>
        </w:rPr>
        <w:t>. וזו לשונו</w:t>
      </w:r>
      <w:bookmarkStart w:id="1367" w:name="_fnr861"/>
      <w:r>
        <w:rPr>
          <w:rStyle w:val="a5"/>
        </w:rPr>
        <w:footnoteReference w:id="864" w:customMarkFollows="0"/>
      </w:r>
      <w:bookmarkEnd w:id="1367"/>
      <w:r>
        <w:rPr>
          <w:rtl/>
        </w:rPr>
        <w:t xml:space="preserve">: “ומי יודע אם ההתראה או האזהרה הזאת” – שהשמיע ר׳ </w:t>
      </w:r>
      <w:proofErr w:type="spellStart"/>
      <w:r>
        <w:rPr>
          <w:rtl/>
        </w:rPr>
        <w:t>איצל׳ה</w:t>
      </w:r>
      <w:proofErr w:type="spellEnd"/>
      <w:r>
        <w:rPr>
          <w:rtl/>
        </w:rPr>
        <w:t xml:space="preserve"> כשהביא את הגמרא במסכת מועד קטן שהובאה לעיל, שכל חשד יש לו יסוד – “לא עוררה את </w:t>
      </w:r>
      <w:proofErr w:type="spellStart"/>
      <w:r>
        <w:rPr>
          <w:rtl/>
        </w:rPr>
        <w:t>ליליינטל</w:t>
      </w:r>
      <w:proofErr w:type="spellEnd"/>
      <w:r>
        <w:rPr>
          <w:rtl/>
        </w:rPr>
        <w:t xml:space="preserve"> להכיר את טיב שליחותו ואת יחסם וכוונתם של שולחיו בעניין זה? והתחיל לחקור, והוסיף לחקור עד שמצא את הנקודה השחורה שהייתה מתחת לשורש שליחותו, ובא לידי ראייה והכרה שדרכו עקלקלה, מלאה פחתים, מכשולים ואבני נגף. אז עשה חשבון הנפש ועשה מה שעשה לעזוב את עסקיו, את מקום מושבו ואת המדינה כולה.”</w:t>
      </w:r>
    </w:p>
    <w:p w14:paraId="033106EE" w14:textId="77777777" w:rsidR="00AB3647" w:rsidRDefault="00000000" w:rsidP="007923E9">
      <w:pPr>
        <w:spacing w:after="120" w:line="276" w:lineRule="auto"/>
        <w:ind w:firstLine="283"/>
        <w:jc w:val="both"/>
      </w:pPr>
      <w:r>
        <w:rPr>
          <w:rtl/>
        </w:rPr>
        <w:t xml:space="preserve">“מקור ברוך” אינו מציין </w:t>
      </w:r>
      <w:proofErr w:type="spellStart"/>
      <w:r>
        <w:rPr>
          <w:rtl/>
        </w:rPr>
        <w:t>שליליינטל</w:t>
      </w:r>
      <w:proofErr w:type="spellEnd"/>
      <w:r>
        <w:rPr>
          <w:rtl/>
        </w:rPr>
        <w:t xml:space="preserve"> שירת במסירות את עניינו של </w:t>
      </w:r>
      <w:proofErr w:type="spellStart"/>
      <w:r>
        <w:rPr>
          <w:rtl/>
        </w:rPr>
        <w:t>אוברוב</w:t>
      </w:r>
      <w:proofErr w:type="spellEnd"/>
      <w:r>
        <w:rPr>
          <w:rtl/>
        </w:rPr>
        <w:t xml:space="preserve"> כמעט שלוש שנים </w:t>
      </w:r>
      <w:r>
        <w:rPr>
          <w:b/>
          <w:bCs/>
          <w:rtl/>
        </w:rPr>
        <w:t>אחרי</w:t>
      </w:r>
      <w:r>
        <w:rPr>
          <w:rtl/>
        </w:rPr>
        <w:t xml:space="preserve"> ביקורו </w:t>
      </w:r>
      <w:proofErr w:type="spellStart"/>
      <w:r>
        <w:rPr>
          <w:rtl/>
        </w:rPr>
        <w:t>בוולוז׳ין</w:t>
      </w:r>
      <w:proofErr w:type="spellEnd"/>
      <w:r>
        <w:rPr>
          <w:rtl/>
        </w:rPr>
        <w:t xml:space="preserve">, לפני </w:t>
      </w:r>
      <w:proofErr w:type="spellStart"/>
      <w:r>
        <w:rPr>
          <w:rtl/>
        </w:rPr>
        <w:t>ש“מצא</w:t>
      </w:r>
      <w:proofErr w:type="spellEnd"/>
      <w:r>
        <w:rPr>
          <w:rtl/>
        </w:rPr>
        <w:t xml:space="preserve"> את הנקודה השחורה” ונעלם מן התמונה בנסיעתו לאמריקה.</w:t>
      </w:r>
    </w:p>
    <w:p w14:paraId="0AE379A8" w14:textId="77777777" w:rsidR="00AB3647" w:rsidRDefault="00000000" w:rsidP="007923E9">
      <w:pPr>
        <w:pStyle w:val="4"/>
        <w:spacing w:line="276" w:lineRule="auto"/>
      </w:pPr>
      <w:r>
        <w:t xml:space="preserve">· הפסקה </w:t>
      </w:r>
      <w:proofErr w:type="spellStart"/>
      <w:r>
        <w:t>השבע־עשרה</w:t>
      </w:r>
      <w:proofErr w:type="spellEnd"/>
      <w:r>
        <w:t xml:space="preserve"> ·</w:t>
      </w:r>
    </w:p>
    <w:p w14:paraId="53BEE76B" w14:textId="77777777" w:rsidR="00AB3647" w:rsidRDefault="00000000" w:rsidP="007923E9">
      <w:pPr>
        <w:pStyle w:val="5"/>
        <w:spacing w:line="276" w:lineRule="auto"/>
      </w:pPr>
      <w:proofErr w:type="spellStart"/>
      <w:r>
        <w:t>ליליינטל</w:t>
      </w:r>
      <w:proofErr w:type="spellEnd"/>
      <w:r>
        <w:t xml:space="preserve"> מביא את מה שאמר לו כביכול ר׳ </w:t>
      </w:r>
      <w:proofErr w:type="spellStart"/>
      <w:r>
        <w:t>איצל׳ה</w:t>
      </w:r>
      <w:proofErr w:type="spellEnd"/>
    </w:p>
    <w:p w14:paraId="5DC0C5FB" w14:textId="77777777" w:rsidR="00AB3647" w:rsidRDefault="00000000" w:rsidP="007923E9">
      <w:pPr>
        <w:spacing w:after="120" w:line="276" w:lineRule="auto"/>
        <w:ind w:firstLine="283"/>
        <w:jc w:val="both"/>
      </w:pPr>
      <w:r>
        <w:rPr>
          <w:rtl/>
        </w:rPr>
        <w:t>ביומנו</w:t>
      </w:r>
      <w:bookmarkStart w:id="1368" w:name="_fnr862"/>
      <w:r>
        <w:rPr>
          <w:rStyle w:val="a5"/>
        </w:rPr>
        <w:footnoteReference w:id="865" w:customMarkFollows="0"/>
      </w:r>
      <w:bookmarkEnd w:id="1368"/>
      <w:r>
        <w:rPr>
          <w:rtl/>
        </w:rPr>
        <w:t xml:space="preserve">, שנדפס </w:t>
      </w:r>
      <w:proofErr w:type="spellStart"/>
      <w:r>
        <w:rPr>
          <w:rtl/>
        </w:rPr>
        <w:t>חמש־עשרה</w:t>
      </w:r>
      <w:proofErr w:type="spellEnd"/>
      <w:r>
        <w:rPr>
          <w:rtl/>
        </w:rPr>
        <w:t xml:space="preserve"> שנה אחרי המאורעות ומסתיים – למרבה הנוחות – כשהוא נוסע למינסק בפעם השנייה, לסוכות תר״ג, מתאר </w:t>
      </w:r>
      <w:proofErr w:type="spellStart"/>
      <w:r>
        <w:rPr>
          <w:rtl/>
        </w:rPr>
        <w:t>ליליינטל</w:t>
      </w:r>
      <w:proofErr w:type="spellEnd"/>
      <w:r>
        <w:rPr>
          <w:rtl/>
        </w:rPr>
        <w:t xml:space="preserve"> את רגשותיו של ר׳ </w:t>
      </w:r>
      <w:proofErr w:type="spellStart"/>
      <w:r>
        <w:rPr>
          <w:rtl/>
        </w:rPr>
        <w:t>איצל׳ה</w:t>
      </w:r>
      <w:proofErr w:type="spellEnd"/>
      <w:r>
        <w:rPr>
          <w:rtl/>
        </w:rPr>
        <w:t xml:space="preserve"> כלפיו </w:t>
      </w:r>
      <w:r>
        <w:rPr>
          <w:rtl/>
        </w:rPr>
        <w:lastRenderedPageBreak/>
        <w:t xml:space="preserve">בלשון מאופקת הרבה יותר מאשר במכתבו לניסן רוזנטל. הוא מוסר שר׳ </w:t>
      </w:r>
      <w:proofErr w:type="spellStart"/>
      <w:r>
        <w:rPr>
          <w:rtl/>
        </w:rPr>
        <w:t>איצל׳ה</w:t>
      </w:r>
      <w:proofErr w:type="spellEnd"/>
      <w:r>
        <w:rPr>
          <w:rtl/>
        </w:rPr>
        <w:t xml:space="preserve"> אמר לו: “אני רואה בך </w:t>
      </w:r>
      <w:r>
        <w:rPr>
          <w:b/>
          <w:bCs/>
          <w:rtl/>
        </w:rPr>
        <w:t>יהודי טוב באמת</w:t>
      </w:r>
      <w:r>
        <w:rPr>
          <w:rtl/>
        </w:rPr>
        <w:t xml:space="preserve"> (ההדגשה שלי), שטובת עמו על לבו והעושה כל מאמץ לקדם את שגשוגו.” רב המרחק בין “בן אהוב ויקר (</w:t>
      </w:r>
      <w:proofErr w:type="spellStart"/>
      <w:r>
        <w:rPr>
          <w:rtl/>
        </w:rPr>
        <w:t>לר</w:t>
      </w:r>
      <w:proofErr w:type="spellEnd"/>
      <w:r>
        <w:rPr>
          <w:rtl/>
        </w:rPr>
        <w:t xml:space="preserve">׳ </w:t>
      </w:r>
      <w:proofErr w:type="spellStart"/>
      <w:r>
        <w:rPr>
          <w:rtl/>
        </w:rPr>
        <w:t>איצל׳ה</w:t>
      </w:r>
      <w:proofErr w:type="spellEnd"/>
      <w:r>
        <w:rPr>
          <w:rtl/>
        </w:rPr>
        <w:t>)” ובין “יהודי טוב באמת” גרידא.</w:t>
      </w:r>
    </w:p>
    <w:p w14:paraId="47782219" w14:textId="77777777" w:rsidR="00AB3647" w:rsidRDefault="00000000" w:rsidP="007923E9">
      <w:pPr>
        <w:spacing w:after="120" w:line="276" w:lineRule="auto"/>
        <w:ind w:firstLine="283"/>
        <w:jc w:val="both"/>
      </w:pPr>
      <w:r>
        <w:rPr>
          <w:rtl/>
        </w:rPr>
        <w:t xml:space="preserve">אבל בדרך כלל </w:t>
      </w:r>
      <w:proofErr w:type="spellStart"/>
      <w:r>
        <w:rPr>
          <w:rtl/>
        </w:rPr>
        <w:t>ליליינטל</w:t>
      </w:r>
      <w:proofErr w:type="spellEnd"/>
      <w:r>
        <w:rPr>
          <w:rtl/>
        </w:rPr>
        <w:t xml:space="preserve"> מציג ביומנו את תוצאות פגישתם באופן העולה בקנה אחד עם המכתב שכתב ארבעה או שמונה ימים</w:t>
      </w:r>
      <w:bookmarkStart w:id="1369" w:name="_fnr863"/>
      <w:r>
        <w:rPr>
          <w:rStyle w:val="a5"/>
        </w:rPr>
        <w:footnoteReference w:id="866" w:customMarkFollows="0"/>
      </w:r>
      <w:bookmarkEnd w:id="1369"/>
      <w:r>
        <w:rPr>
          <w:rtl/>
        </w:rPr>
        <w:t xml:space="preserve"> אחרי שנפרד מר׳ </w:t>
      </w:r>
      <w:proofErr w:type="spellStart"/>
      <w:r>
        <w:rPr>
          <w:rtl/>
        </w:rPr>
        <w:t>איצל׳ה</w:t>
      </w:r>
      <w:proofErr w:type="spellEnd"/>
      <w:r>
        <w:rPr>
          <w:rtl/>
        </w:rPr>
        <w:t xml:space="preserve">. וכך הוא כותב: “ר׳ </w:t>
      </w:r>
      <w:proofErr w:type="spellStart"/>
      <w:r>
        <w:rPr>
          <w:rtl/>
        </w:rPr>
        <w:t>איצל׳ה</w:t>
      </w:r>
      <w:proofErr w:type="spellEnd"/>
      <w:r>
        <w:rPr>
          <w:rtl/>
        </w:rPr>
        <w:t xml:space="preserve"> הבין היטב שאי אפשר עוד לדחות את תיקון בתי הספר, ואף שחש </w:t>
      </w:r>
      <w:proofErr w:type="spellStart"/>
      <w:r>
        <w:rPr>
          <w:rtl/>
        </w:rPr>
        <w:t>אי־נוחות</w:t>
      </w:r>
      <w:proofErr w:type="spellEnd"/>
      <w:r>
        <w:rPr>
          <w:rtl/>
        </w:rPr>
        <w:t xml:space="preserve"> מסוימת בדבר הגורל העלול לפקוד את ישיבתו כשיבוצעו תיקונים אלה, לא היסס מעולם להמליץ על שינוי שיטת החינוך.”</w:t>
      </w:r>
    </w:p>
    <w:p w14:paraId="66C0F2D8" w14:textId="77777777" w:rsidR="00AB3647" w:rsidRDefault="00000000" w:rsidP="007923E9">
      <w:pPr>
        <w:spacing w:after="120" w:line="276" w:lineRule="auto"/>
        <w:ind w:firstLine="283"/>
        <w:jc w:val="both"/>
      </w:pPr>
      <w:r>
        <w:rPr>
          <w:rtl/>
        </w:rPr>
        <w:t xml:space="preserve">לא ברור ממה נבעה הסכנה לכאורה לישיבת </w:t>
      </w:r>
      <w:proofErr w:type="spellStart"/>
      <w:r>
        <w:rPr>
          <w:rtl/>
        </w:rPr>
        <w:t>וולוז׳ין</w:t>
      </w:r>
      <w:proofErr w:type="spellEnd"/>
      <w:r>
        <w:rPr>
          <w:rtl/>
        </w:rPr>
        <w:t xml:space="preserve">. ייתכן שנבעה מן התיקון האחר שתכננה הממשלה, הקמת בתי מדרש לרבנים, </w:t>
      </w:r>
      <w:proofErr w:type="spellStart"/>
      <w:r>
        <w:rPr>
          <w:rtl/>
        </w:rPr>
        <w:t>שליליינטל</w:t>
      </w:r>
      <w:proofErr w:type="spellEnd"/>
      <w:r>
        <w:rPr>
          <w:rtl/>
        </w:rPr>
        <w:t xml:space="preserve"> ראה בהם מתחרים שימשכו אליהם את מי שעתידים היו ללמוד </w:t>
      </w:r>
      <w:proofErr w:type="spellStart"/>
      <w:r>
        <w:rPr>
          <w:rtl/>
        </w:rPr>
        <w:t>בוולוז׳ין</w:t>
      </w:r>
      <w:proofErr w:type="spellEnd"/>
      <w:r>
        <w:rPr>
          <w:rtl/>
        </w:rPr>
        <w:t xml:space="preserve">. לפי הבנתו של </w:t>
      </w:r>
      <w:proofErr w:type="spellStart"/>
      <w:r>
        <w:rPr>
          <w:rtl/>
        </w:rPr>
        <w:t>ליליינטל</w:t>
      </w:r>
      <w:proofErr w:type="spellEnd"/>
      <w:r>
        <w:rPr>
          <w:rtl/>
        </w:rPr>
        <w:t xml:space="preserve"> את תפקידה של ישיבה, ישיבת </w:t>
      </w:r>
      <w:proofErr w:type="spellStart"/>
      <w:r>
        <w:rPr>
          <w:rtl/>
        </w:rPr>
        <w:t>וולוז׳ין</w:t>
      </w:r>
      <w:proofErr w:type="spellEnd"/>
      <w:r>
        <w:rPr>
          <w:rtl/>
        </w:rPr>
        <w:t xml:space="preserve"> לא הייתה אלא עוד בית מדרש לרבנים בעל תוכנית לימודים מיושנת. ואפשר שנבעה מן התוכנית להפוך את החדרים לבתי ספר, שהייתה סוגרת למעשה את “מוסדות ההזנה” של </w:t>
      </w:r>
      <w:proofErr w:type="spellStart"/>
      <w:r>
        <w:rPr>
          <w:rtl/>
        </w:rPr>
        <w:t>וולוז׳ין</w:t>
      </w:r>
      <w:proofErr w:type="spellEnd"/>
      <w:r>
        <w:rPr>
          <w:rtl/>
        </w:rPr>
        <w:t xml:space="preserve">. אבל לא יעלה על הדעת </w:t>
      </w:r>
      <w:proofErr w:type="spellStart"/>
      <w:r>
        <w:rPr>
          <w:rtl/>
        </w:rPr>
        <w:t>שליליינטל</w:t>
      </w:r>
      <w:proofErr w:type="spellEnd"/>
      <w:r>
        <w:rPr>
          <w:rtl/>
        </w:rPr>
        <w:t xml:space="preserve"> יראה את ר׳ </w:t>
      </w:r>
      <w:proofErr w:type="spellStart"/>
      <w:r>
        <w:rPr>
          <w:rtl/>
        </w:rPr>
        <w:t>איצל׳ה</w:t>
      </w:r>
      <w:proofErr w:type="spellEnd"/>
      <w:r>
        <w:rPr>
          <w:rtl/>
        </w:rPr>
        <w:t xml:space="preserve"> רק “חש </w:t>
      </w:r>
      <w:proofErr w:type="spellStart"/>
      <w:r>
        <w:rPr>
          <w:rtl/>
        </w:rPr>
        <w:t>אי־נוחות</w:t>
      </w:r>
      <w:proofErr w:type="spellEnd"/>
      <w:r>
        <w:rPr>
          <w:rtl/>
        </w:rPr>
        <w:t xml:space="preserve"> מסוימת”, ולא “מודאג מאוד”, מפני הסכנה. יש לנו כאן עוד דוגמה </w:t>
      </w:r>
      <w:proofErr w:type="spellStart"/>
      <w:r>
        <w:rPr>
          <w:rtl/>
        </w:rPr>
        <w:t>ל“רישומי</w:t>
      </w:r>
      <w:proofErr w:type="spellEnd"/>
      <w:r>
        <w:rPr>
          <w:rtl/>
        </w:rPr>
        <w:t xml:space="preserve"> שיחות מפוקפקים ביותר” שבזיכרונותיו של </w:t>
      </w:r>
      <w:proofErr w:type="spellStart"/>
      <w:r>
        <w:rPr>
          <w:rtl/>
        </w:rPr>
        <w:t>ליליינטל</w:t>
      </w:r>
      <w:proofErr w:type="spellEnd"/>
      <w:r>
        <w:rPr>
          <w:rtl/>
        </w:rPr>
        <w:t>, שמפניהם מזהיר אותנו סטניסלבסקי</w:t>
      </w:r>
      <w:bookmarkStart w:id="1370" w:name="_fnr864"/>
      <w:r>
        <w:rPr>
          <w:rStyle w:val="a5"/>
        </w:rPr>
        <w:footnoteReference w:id="867" w:customMarkFollows="0"/>
      </w:r>
      <w:bookmarkEnd w:id="1370"/>
      <w:r>
        <w:rPr>
          <w:rtl/>
        </w:rPr>
        <w:t>.</w:t>
      </w:r>
    </w:p>
    <w:p w14:paraId="1331398A" w14:textId="77777777" w:rsidR="00AB3647" w:rsidRDefault="00000000" w:rsidP="007923E9">
      <w:pPr>
        <w:pStyle w:val="4"/>
        <w:spacing w:line="276" w:lineRule="auto"/>
      </w:pPr>
      <w:r>
        <w:t xml:space="preserve">· הפסקה </w:t>
      </w:r>
      <w:proofErr w:type="spellStart"/>
      <w:r>
        <w:t>השמונה־עשרה</w:t>
      </w:r>
      <w:proofErr w:type="spellEnd"/>
      <w:r>
        <w:t xml:space="preserve"> ·</w:t>
      </w:r>
    </w:p>
    <w:p w14:paraId="62791A47" w14:textId="77777777" w:rsidR="00AB3647" w:rsidRDefault="00000000" w:rsidP="007923E9">
      <w:pPr>
        <w:pStyle w:val="5"/>
        <w:spacing w:line="276" w:lineRule="auto"/>
      </w:pPr>
      <w:r>
        <w:t xml:space="preserve">שתי הגרסאות בדבר הסיבה שבגללה נתן ר׳ </w:t>
      </w:r>
      <w:proofErr w:type="spellStart"/>
      <w:r>
        <w:t>איצל׳ה</w:t>
      </w:r>
      <w:proofErr w:type="spellEnd"/>
      <w:r>
        <w:t xml:space="preserve"> את הסכמתו </w:t>
      </w:r>
      <w:proofErr w:type="spellStart"/>
      <w:r>
        <w:t>לליליינטל</w:t>
      </w:r>
      <w:proofErr w:type="spellEnd"/>
      <w:r>
        <w:t xml:space="preserve"> אחרי ביקורו </w:t>
      </w:r>
      <w:proofErr w:type="spellStart"/>
      <w:r>
        <w:t>בוולוז׳ין</w:t>
      </w:r>
      <w:proofErr w:type="spellEnd"/>
      <w:r>
        <w:t xml:space="preserve"> – </w:t>
      </w:r>
      <w:proofErr w:type="spellStart"/>
      <w:r>
        <w:t>ליליינטל</w:t>
      </w:r>
      <w:proofErr w:type="spellEnd"/>
      <w:r>
        <w:t xml:space="preserve"> מאיים – ר׳ </w:t>
      </w:r>
      <w:proofErr w:type="spellStart"/>
      <w:r>
        <w:t>איצל׳ה</w:t>
      </w:r>
      <w:proofErr w:type="spellEnd"/>
      <w:r>
        <w:t xml:space="preserve"> חושש ממה </w:t>
      </w:r>
      <w:proofErr w:type="spellStart"/>
      <w:r>
        <w:t>שליליינטל</w:t>
      </w:r>
      <w:proofErr w:type="spellEnd"/>
      <w:r>
        <w:t xml:space="preserve"> עלול לעשות – הרוזן </w:t>
      </w:r>
      <w:proofErr w:type="spellStart"/>
      <w:r>
        <w:t>אוברוב</w:t>
      </w:r>
      <w:proofErr w:type="spellEnd"/>
      <w:r>
        <w:t xml:space="preserve"> נבוך מול סוגיה תלמודית – לביקורו של ר׳ </w:t>
      </w:r>
      <w:proofErr w:type="spellStart"/>
      <w:r>
        <w:t>איצל׳ה</w:t>
      </w:r>
      <w:proofErr w:type="spellEnd"/>
      <w:r>
        <w:t xml:space="preserve"> בפטרבורג נודעת חשיבות רבה – הוא דואג לעתידה של יהדות רוסיה</w:t>
      </w:r>
    </w:p>
    <w:p w14:paraId="5AF20A01" w14:textId="77777777" w:rsidR="00AB3647" w:rsidRDefault="00000000" w:rsidP="007923E9">
      <w:pPr>
        <w:spacing w:after="120" w:line="276" w:lineRule="auto"/>
        <w:ind w:firstLine="283"/>
        <w:jc w:val="both"/>
      </w:pPr>
      <w:r>
        <w:rPr>
          <w:rtl/>
        </w:rPr>
        <w:t xml:space="preserve">לפני שנעסוק בבריחתו הבלתי צפויה של </w:t>
      </w:r>
      <w:proofErr w:type="spellStart"/>
      <w:r>
        <w:rPr>
          <w:rtl/>
        </w:rPr>
        <w:t>ליליינטל</w:t>
      </w:r>
      <w:proofErr w:type="spellEnd"/>
      <w:r>
        <w:rPr>
          <w:rtl/>
        </w:rPr>
        <w:t xml:space="preserve">, יש לנתח במלואו את סיפור מעשיו </w:t>
      </w:r>
      <w:proofErr w:type="spellStart"/>
      <w:r>
        <w:rPr>
          <w:rtl/>
        </w:rPr>
        <w:t>בוולוז׳ין</w:t>
      </w:r>
      <w:proofErr w:type="spellEnd"/>
      <w:r>
        <w:rPr>
          <w:rtl/>
        </w:rPr>
        <w:t xml:space="preserve">, כדי להבין מה אירע שם באמת. כפי שהובא לעיל, הוא תואר בשתי דרכים שונות: זו של </w:t>
      </w:r>
      <w:proofErr w:type="spellStart"/>
      <w:r>
        <w:rPr>
          <w:rtl/>
        </w:rPr>
        <w:t>צינוביץ</w:t>
      </w:r>
      <w:proofErr w:type="spellEnd"/>
      <w:r>
        <w:rPr>
          <w:rtl/>
        </w:rPr>
        <w:t xml:space="preserve">, “עץ חיים” (כפי שכתב אותה </w:t>
      </w:r>
      <w:proofErr w:type="spellStart"/>
      <w:r>
        <w:rPr>
          <w:rtl/>
        </w:rPr>
        <w:t>אברהם־יעקב</w:t>
      </w:r>
      <w:proofErr w:type="spellEnd"/>
      <w:r>
        <w:rPr>
          <w:rtl/>
        </w:rPr>
        <w:t xml:space="preserve"> </w:t>
      </w:r>
      <w:proofErr w:type="spellStart"/>
      <w:r>
        <w:rPr>
          <w:rtl/>
        </w:rPr>
        <w:t>פפירנא</w:t>
      </w:r>
      <w:proofErr w:type="spellEnd"/>
      <w:r>
        <w:rPr>
          <w:rtl/>
        </w:rPr>
        <w:t xml:space="preserve">), שנכנה אותה “גרסת השמועה”, וזו של “מקור ברוך” (כפי שנשמעה, לדבריו, מפי </w:t>
      </w:r>
      <w:proofErr w:type="spellStart"/>
      <w:r>
        <w:rPr>
          <w:rtl/>
        </w:rPr>
        <w:t>הנצי״ב</w:t>
      </w:r>
      <w:proofErr w:type="spellEnd"/>
      <w:r>
        <w:rPr>
          <w:rtl/>
        </w:rPr>
        <w:t xml:space="preserve">), שנכנה אותה “גרסת עד הראייה”. שתי הגרסאות ניסו להשיב על שאלה יסודית: מה גרם </w:t>
      </w:r>
      <w:proofErr w:type="spellStart"/>
      <w:r>
        <w:rPr>
          <w:rtl/>
        </w:rPr>
        <w:t>לר</w:t>
      </w:r>
      <w:proofErr w:type="spellEnd"/>
      <w:r>
        <w:rPr>
          <w:rtl/>
        </w:rPr>
        <w:t xml:space="preserve">׳ </w:t>
      </w:r>
      <w:proofErr w:type="spellStart"/>
      <w:r>
        <w:rPr>
          <w:rtl/>
        </w:rPr>
        <w:t>איצל׳ה</w:t>
      </w:r>
      <w:proofErr w:type="spellEnd"/>
      <w:r>
        <w:rPr>
          <w:rtl/>
        </w:rPr>
        <w:t xml:space="preserve"> להודיע לקהילות שאליהן פנה </w:t>
      </w:r>
      <w:proofErr w:type="spellStart"/>
      <w:r>
        <w:rPr>
          <w:rtl/>
        </w:rPr>
        <w:t>ליליינטל</w:t>
      </w:r>
      <w:proofErr w:type="spellEnd"/>
      <w:r>
        <w:rPr>
          <w:rtl/>
        </w:rPr>
        <w:t xml:space="preserve"> אחרי ביקורו </w:t>
      </w:r>
      <w:proofErr w:type="spellStart"/>
      <w:r>
        <w:rPr>
          <w:rtl/>
        </w:rPr>
        <w:t>בוולוז׳ין</w:t>
      </w:r>
      <w:proofErr w:type="spellEnd"/>
      <w:r>
        <w:rPr>
          <w:rtl/>
        </w:rPr>
        <w:t xml:space="preserve"> שיקבלו את האויב </w:t>
      </w:r>
      <w:proofErr w:type="spellStart"/>
      <w:r>
        <w:rPr>
          <w:rtl/>
        </w:rPr>
        <w:t>ה“נדחה</w:t>
      </w:r>
      <w:proofErr w:type="spellEnd"/>
      <w:r>
        <w:rPr>
          <w:rtl/>
        </w:rPr>
        <w:t xml:space="preserve"> בתוקף” בידידות “שאין להאמין בה כלל”?</w:t>
      </w:r>
    </w:p>
    <w:p w14:paraId="1276BE01" w14:textId="77777777" w:rsidR="00AB3647" w:rsidRDefault="00000000" w:rsidP="007923E9">
      <w:pPr>
        <w:spacing w:after="120" w:line="276" w:lineRule="auto"/>
        <w:ind w:firstLine="283"/>
        <w:jc w:val="both"/>
      </w:pPr>
      <w:r>
        <w:rPr>
          <w:rtl/>
        </w:rPr>
        <w:t xml:space="preserve">נוסחו שתי תשובות, וכל אחת מהן נדחתה בידי מחזיקי האחרת. גרסת השמועה טענה </w:t>
      </w:r>
      <w:proofErr w:type="spellStart"/>
      <w:r>
        <w:rPr>
          <w:rtl/>
        </w:rPr>
        <w:t>שליליינטל</w:t>
      </w:r>
      <w:proofErr w:type="spellEnd"/>
      <w:r>
        <w:rPr>
          <w:rtl/>
        </w:rPr>
        <w:t xml:space="preserve"> הוכיח בכוח שבועתו שמעלילים עליו. לגרסה זו נוסף צבע כשתיארו אותו עומד לפני ארון הקודש הפתוח וספר תורה בידו – סיפור </w:t>
      </w:r>
      <w:proofErr w:type="spellStart"/>
      <w:r>
        <w:rPr>
          <w:rtl/>
        </w:rPr>
        <w:t>שהנצי״ב</w:t>
      </w:r>
      <w:proofErr w:type="spellEnd"/>
      <w:r>
        <w:rPr>
          <w:rtl/>
        </w:rPr>
        <w:t xml:space="preserve"> הכחישו למעשה בכך שהשמיטו מעדותו כעד ראייה. גרסת עד הראייה טענה </w:t>
      </w:r>
      <w:proofErr w:type="spellStart"/>
      <w:r>
        <w:rPr>
          <w:rtl/>
        </w:rPr>
        <w:t>שליליינטל</w:t>
      </w:r>
      <w:proofErr w:type="spellEnd"/>
      <w:r>
        <w:rPr>
          <w:rtl/>
        </w:rPr>
        <w:t xml:space="preserve"> שכנע את ר׳ </w:t>
      </w:r>
      <w:proofErr w:type="spellStart"/>
      <w:r>
        <w:rPr>
          <w:rtl/>
        </w:rPr>
        <w:t>איצל׳ה</w:t>
      </w:r>
      <w:proofErr w:type="spellEnd"/>
      <w:r>
        <w:rPr>
          <w:rtl/>
        </w:rPr>
        <w:t xml:space="preserve"> ביושרו במהלך </w:t>
      </w:r>
      <w:r>
        <w:rPr>
          <w:rtl/>
        </w:rPr>
        <w:lastRenderedPageBreak/>
        <w:t xml:space="preserve">שיחותיהם. מחזיקי גרסת השמועה סברו שהשיחות לא הזיזו את ר׳ </w:t>
      </w:r>
      <w:proofErr w:type="spellStart"/>
      <w:r>
        <w:rPr>
          <w:rtl/>
        </w:rPr>
        <w:t>איצל׳ה</w:t>
      </w:r>
      <w:proofErr w:type="spellEnd"/>
      <w:r>
        <w:rPr>
          <w:rtl/>
        </w:rPr>
        <w:t xml:space="preserve">, שכן לא יכלו לדמיין מה יכול היה </w:t>
      </w:r>
      <w:proofErr w:type="spellStart"/>
      <w:r>
        <w:rPr>
          <w:rtl/>
        </w:rPr>
        <w:t>ליליינטל</w:t>
      </w:r>
      <w:proofErr w:type="spellEnd"/>
      <w:r>
        <w:rPr>
          <w:rtl/>
        </w:rPr>
        <w:t xml:space="preserve"> לומר לו שיוכיח לו משהו; ומחזיקי גרסת עד הראייה הבינו ששבועתו של </w:t>
      </w:r>
      <w:proofErr w:type="spellStart"/>
      <w:r>
        <w:rPr>
          <w:rtl/>
        </w:rPr>
        <w:t>ליליינטל</w:t>
      </w:r>
      <w:proofErr w:type="spellEnd"/>
      <w:r>
        <w:rPr>
          <w:rtl/>
        </w:rPr>
        <w:t xml:space="preserve"> לא הייתה משכנעת. לכן סביר לטעון שמבחינה זו אין אף אחת מן הגרסאות שוגה: לא טיעוניו של </w:t>
      </w:r>
      <w:proofErr w:type="spellStart"/>
      <w:r>
        <w:rPr>
          <w:rtl/>
        </w:rPr>
        <w:t>ליליינטל</w:t>
      </w:r>
      <w:proofErr w:type="spellEnd"/>
      <w:r>
        <w:rPr>
          <w:rtl/>
        </w:rPr>
        <w:t xml:space="preserve"> ולא שבועתו גרמו </w:t>
      </w:r>
      <w:proofErr w:type="spellStart"/>
      <w:r>
        <w:rPr>
          <w:rtl/>
        </w:rPr>
        <w:t>לר</w:t>
      </w:r>
      <w:proofErr w:type="spellEnd"/>
      <w:r>
        <w:rPr>
          <w:rtl/>
        </w:rPr>
        <w:t xml:space="preserve">׳ </w:t>
      </w:r>
      <w:proofErr w:type="spellStart"/>
      <w:r>
        <w:rPr>
          <w:rtl/>
        </w:rPr>
        <w:t>איצל׳ה</w:t>
      </w:r>
      <w:proofErr w:type="spellEnd"/>
      <w:r>
        <w:rPr>
          <w:rtl/>
        </w:rPr>
        <w:t xml:space="preserve"> לשנות את דעתו השלילית על שליחותו.</w:t>
      </w:r>
    </w:p>
    <w:p w14:paraId="7063E694" w14:textId="77777777" w:rsidR="00AB3647" w:rsidRDefault="00000000" w:rsidP="007923E9">
      <w:pPr>
        <w:spacing w:after="120" w:line="276" w:lineRule="auto"/>
        <w:ind w:firstLine="283"/>
        <w:jc w:val="both"/>
      </w:pPr>
      <w:r>
        <w:rPr>
          <w:rtl/>
        </w:rPr>
        <w:t xml:space="preserve">ומכאן, התשובות שהציעה כל אחת מן הגרסאות לשאלה, ושנדחו בידי האחרת, שתיהן שגויות: ר׳ </w:t>
      </w:r>
      <w:proofErr w:type="spellStart"/>
      <w:r>
        <w:rPr>
          <w:rtl/>
        </w:rPr>
        <w:t>איצל׳ה</w:t>
      </w:r>
      <w:proofErr w:type="spellEnd"/>
      <w:r>
        <w:rPr>
          <w:rtl/>
        </w:rPr>
        <w:t xml:space="preserve"> לא השתכנע מכל מה שאמר </w:t>
      </w:r>
      <w:proofErr w:type="spellStart"/>
      <w:r>
        <w:rPr>
          <w:rtl/>
        </w:rPr>
        <w:t>ליליינטל</w:t>
      </w:r>
      <w:proofErr w:type="spellEnd"/>
      <w:r>
        <w:rPr>
          <w:rtl/>
        </w:rPr>
        <w:t xml:space="preserve"> </w:t>
      </w:r>
      <w:proofErr w:type="spellStart"/>
      <w:r>
        <w:rPr>
          <w:rtl/>
        </w:rPr>
        <w:t>בוולוז׳ין</w:t>
      </w:r>
      <w:proofErr w:type="spellEnd"/>
      <w:r>
        <w:rPr>
          <w:rtl/>
        </w:rPr>
        <w:t xml:space="preserve"> שמניעיו ותוכניותיו ראויים להתקבל. סימן לכך שר׳ </w:t>
      </w:r>
      <w:proofErr w:type="spellStart"/>
      <w:r>
        <w:rPr>
          <w:rtl/>
        </w:rPr>
        <w:t>איצל׳ה</w:t>
      </w:r>
      <w:proofErr w:type="spellEnd"/>
      <w:r>
        <w:rPr>
          <w:rtl/>
        </w:rPr>
        <w:t xml:space="preserve"> לא שינה את השקפתו על </w:t>
      </w:r>
      <w:proofErr w:type="spellStart"/>
      <w:r>
        <w:rPr>
          <w:rtl/>
        </w:rPr>
        <w:t>ליליינטל</w:t>
      </w:r>
      <w:proofErr w:type="spellEnd"/>
      <w:r>
        <w:rPr>
          <w:rtl/>
        </w:rPr>
        <w:t xml:space="preserve"> הוא טענתו של יעקב מארק, שהובאה לעיל בפסקה השישית, שר׳ </w:t>
      </w:r>
      <w:proofErr w:type="spellStart"/>
      <w:r>
        <w:rPr>
          <w:rtl/>
        </w:rPr>
        <w:t>איצל׳ה</w:t>
      </w:r>
      <w:proofErr w:type="spellEnd"/>
      <w:r>
        <w:rPr>
          <w:rtl/>
        </w:rPr>
        <w:t xml:space="preserve"> שלח שליחים, זמן רב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להזהיר מפניו. גדול בישראל אינו מעמיד את אמינותו בסכנה בדרך כזו אלא אם כן הוא בטוח לגמרי בדעתו, ולא היה משנה את דעתו מן הקצה אל הקצה בגלל מה שאמר </w:t>
      </w:r>
      <w:proofErr w:type="spellStart"/>
      <w:r>
        <w:rPr>
          <w:rtl/>
        </w:rPr>
        <w:t>ליליינטל</w:t>
      </w:r>
      <w:proofErr w:type="spellEnd"/>
      <w:r>
        <w:rPr>
          <w:rtl/>
        </w:rPr>
        <w:t xml:space="preserve"> בביקורו.</w:t>
      </w:r>
    </w:p>
    <w:p w14:paraId="4391C123" w14:textId="77777777" w:rsidR="00AB3647" w:rsidRDefault="00000000" w:rsidP="007923E9">
      <w:pPr>
        <w:spacing w:after="120" w:line="276" w:lineRule="auto"/>
        <w:ind w:firstLine="283"/>
        <w:jc w:val="both"/>
      </w:pPr>
      <w:r>
        <w:rPr>
          <w:rtl/>
        </w:rPr>
        <w:t xml:space="preserve">דעתי היא </w:t>
      </w:r>
      <w:proofErr w:type="spellStart"/>
      <w:r>
        <w:rPr>
          <w:rtl/>
        </w:rPr>
        <w:t>ש“ההעתק</w:t>
      </w:r>
      <w:proofErr w:type="spellEnd"/>
      <w:r>
        <w:rPr>
          <w:rtl/>
        </w:rPr>
        <w:t xml:space="preserve">” של הפרוטוקול הממשלתי, </w:t>
      </w:r>
      <w:proofErr w:type="spellStart"/>
      <w:r>
        <w:rPr>
          <w:rtl/>
        </w:rPr>
        <w:t>שליליינטל</w:t>
      </w:r>
      <w:proofErr w:type="spellEnd"/>
      <w:r>
        <w:rPr>
          <w:rtl/>
        </w:rPr>
        <w:t xml:space="preserve"> שמר בסוד עד פגישתו עם ר׳ </w:t>
      </w:r>
      <w:proofErr w:type="spellStart"/>
      <w:r>
        <w:rPr>
          <w:rtl/>
        </w:rPr>
        <w:t>איצל׳ה</w:t>
      </w:r>
      <w:proofErr w:type="spellEnd"/>
      <w:r>
        <w:rPr>
          <w:rtl/>
        </w:rPr>
        <w:t xml:space="preserve">, הוא ששכנע את ר׳ </w:t>
      </w:r>
      <w:proofErr w:type="spellStart"/>
      <w:r>
        <w:rPr>
          <w:rtl/>
        </w:rPr>
        <w:t>איצל׳ה</w:t>
      </w:r>
      <w:proofErr w:type="spellEnd"/>
      <w:r>
        <w:rPr>
          <w:rtl/>
        </w:rPr>
        <w:t xml:space="preserve"> שעל הציבור היהודי לשתף פעולה עם </w:t>
      </w:r>
      <w:proofErr w:type="spellStart"/>
      <w:r>
        <w:rPr>
          <w:rtl/>
        </w:rPr>
        <w:t>ליליינטל</w:t>
      </w:r>
      <w:proofErr w:type="spellEnd"/>
      <w:r>
        <w:rPr>
          <w:rtl/>
        </w:rPr>
        <w:t xml:space="preserve">. אין זאת אומרת שר׳ </w:t>
      </w:r>
      <w:proofErr w:type="spellStart"/>
      <w:r>
        <w:rPr>
          <w:rtl/>
        </w:rPr>
        <w:t>איצל׳ה</w:t>
      </w:r>
      <w:proofErr w:type="spellEnd"/>
      <w:r>
        <w:rPr>
          <w:rtl/>
        </w:rPr>
        <w:t xml:space="preserve"> האמין </w:t>
      </w:r>
      <w:proofErr w:type="spellStart"/>
      <w:r>
        <w:rPr>
          <w:rtl/>
        </w:rPr>
        <w:t>שה“העתק</w:t>
      </w:r>
      <w:proofErr w:type="spellEnd"/>
      <w:r>
        <w:rPr>
          <w:rtl/>
        </w:rPr>
        <w:t xml:space="preserve">” אמיתי, או שקיבל את הסברו הרופס של </w:t>
      </w:r>
      <w:proofErr w:type="spellStart"/>
      <w:r>
        <w:rPr>
          <w:rtl/>
        </w:rPr>
        <w:t>ליליינטל</w:t>
      </w:r>
      <w:proofErr w:type="spellEnd"/>
      <w:r>
        <w:rPr>
          <w:rtl/>
        </w:rPr>
        <w:t xml:space="preserve"> – או העדר הסברו – מדוע לא גילה קודם לכן את קיומו של פרוטוקול כזה. ר׳ </w:t>
      </w:r>
      <w:proofErr w:type="spellStart"/>
      <w:r>
        <w:rPr>
          <w:rtl/>
        </w:rPr>
        <w:t>איצל׳ה</w:t>
      </w:r>
      <w:proofErr w:type="spellEnd"/>
      <w:r>
        <w:rPr>
          <w:rtl/>
        </w:rPr>
        <w:t xml:space="preserve">, שנודע </w:t>
      </w:r>
      <w:proofErr w:type="spellStart"/>
      <w:r>
        <w:rPr>
          <w:rtl/>
        </w:rPr>
        <w:t>כ“חכימא</w:t>
      </w:r>
      <w:proofErr w:type="spellEnd"/>
      <w:r>
        <w:rPr>
          <w:rtl/>
        </w:rPr>
        <w:t xml:space="preserve"> </w:t>
      </w:r>
      <w:proofErr w:type="spellStart"/>
      <w:r>
        <w:rPr>
          <w:rtl/>
        </w:rPr>
        <w:t>דיהודאי</w:t>
      </w:r>
      <w:proofErr w:type="spellEnd"/>
      <w:r>
        <w:rPr>
          <w:rtl/>
        </w:rPr>
        <w:t>”</w:t>
      </w:r>
      <w:bookmarkStart w:id="1371" w:name="_fnr865"/>
      <w:r>
        <w:rPr>
          <w:rStyle w:val="a5"/>
        </w:rPr>
        <w:footnoteReference w:id="868" w:customMarkFollows="0"/>
      </w:r>
      <w:bookmarkEnd w:id="1371"/>
      <w:r>
        <w:rPr>
          <w:rtl/>
        </w:rPr>
        <w:t xml:space="preserve">, ראה בפרוטוקול על גיוס היהודים והגלייתם, שבדה בן שיחו, איום מוסווה מצד </w:t>
      </w:r>
      <w:proofErr w:type="spellStart"/>
      <w:r>
        <w:rPr>
          <w:rtl/>
        </w:rPr>
        <w:t>ליליינטל</w:t>
      </w:r>
      <w:proofErr w:type="spellEnd"/>
      <w:r>
        <w:rPr>
          <w:rtl/>
        </w:rPr>
        <w:t xml:space="preserve"> ש</w:t>
      </w:r>
      <w:r>
        <w:rPr>
          <w:b/>
          <w:bCs/>
          <w:rtl/>
        </w:rPr>
        <w:t>הוא</w:t>
      </w:r>
      <w:r>
        <w:rPr>
          <w:rtl/>
        </w:rPr>
        <w:t xml:space="preserve"> יביא על יהדות רוסיה את החורבן המנוסח </w:t>
      </w:r>
      <w:proofErr w:type="spellStart"/>
      <w:r>
        <w:rPr>
          <w:rtl/>
        </w:rPr>
        <w:t>ב“העתק</w:t>
      </w:r>
      <w:proofErr w:type="spellEnd"/>
      <w:r>
        <w:rPr>
          <w:rtl/>
        </w:rPr>
        <w:t>” הממשלתי כביכול, אם ימשיכו לנהוג בו כפי שנהגו עד אז!</w:t>
      </w:r>
    </w:p>
    <w:p w14:paraId="49AB41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ראה </w:t>
      </w:r>
      <w:proofErr w:type="spellStart"/>
      <w:r>
        <w:rPr>
          <w:rtl/>
        </w:rPr>
        <w:t>שליליינטל</w:t>
      </w:r>
      <w:proofErr w:type="spellEnd"/>
      <w:r>
        <w:rPr>
          <w:rtl/>
        </w:rPr>
        <w:t xml:space="preserve"> הולך בנאמנות בדרך שהתווה בביקורו הראשון בווילנה, שבו – כאמור בפסקה השישית של נספח זה – “השמיע איומים”, ושעכשיו, באופן שיטתי יותר, הוא מציג “הוכחה” לאסון העומד לפני יהדות רוסיה. משראה זאת, נאלץ לסלול דרך לקבלות פנים “ידידותיות” בכל מקום </w:t>
      </w:r>
      <w:proofErr w:type="spellStart"/>
      <w:r>
        <w:rPr>
          <w:rtl/>
        </w:rPr>
        <w:t>שליליינטל</w:t>
      </w:r>
      <w:proofErr w:type="spellEnd"/>
      <w:r>
        <w:rPr>
          <w:rtl/>
        </w:rPr>
        <w:t xml:space="preserve"> עתיד היה לבוא אליו. </w:t>
      </w:r>
      <w:proofErr w:type="spellStart"/>
      <w:r>
        <w:rPr>
          <w:rtl/>
        </w:rPr>
        <w:t>ליליינטל</w:t>
      </w:r>
      <w:proofErr w:type="spellEnd"/>
      <w:r>
        <w:rPr>
          <w:rtl/>
        </w:rPr>
        <w:t xml:space="preserve"> עצמו ידע באמת, או לפחות חשד, שבן שיחו רואה בו “מוסר”, אבל נאלץ להעמיד פנים במכתבו לרוזנטל שר׳ </w:t>
      </w:r>
      <w:proofErr w:type="spellStart"/>
      <w:r>
        <w:rPr>
          <w:rtl/>
        </w:rPr>
        <w:t>איצל׳ה</w:t>
      </w:r>
      <w:proofErr w:type="spellEnd"/>
      <w:r>
        <w:rPr>
          <w:rtl/>
        </w:rPr>
        <w:t xml:space="preserve"> מאוהב בו – אפילו משכיל מווילנה לא היה סובל איום של מסירה נגד הציבור היהודי מצד איש דת רפורמי גרמני. כדי לכסות על איומו נקט </w:t>
      </w:r>
      <w:proofErr w:type="spellStart"/>
      <w:r>
        <w:rPr>
          <w:rtl/>
        </w:rPr>
        <w:t>ליליינטל</w:t>
      </w:r>
      <w:proofErr w:type="spellEnd"/>
      <w:r>
        <w:rPr>
          <w:rtl/>
        </w:rPr>
        <w:t xml:space="preserve"> את שיטת “השקר הגדול”: הוא בדה ופרסם אהבה גדולה בין ר׳ </w:t>
      </w:r>
      <w:proofErr w:type="spellStart"/>
      <w:r>
        <w:rPr>
          <w:rtl/>
        </w:rPr>
        <w:t>איצל׳ה</w:t>
      </w:r>
      <w:proofErr w:type="spellEnd"/>
      <w:r>
        <w:rPr>
          <w:rtl/>
        </w:rPr>
        <w:t xml:space="preserve"> ובינו!</w:t>
      </w:r>
    </w:p>
    <w:p w14:paraId="4A09C50C" w14:textId="77777777" w:rsidR="00AB3647" w:rsidRDefault="00000000" w:rsidP="007923E9">
      <w:pPr>
        <w:spacing w:after="120" w:line="276" w:lineRule="auto"/>
        <w:ind w:firstLine="283"/>
        <w:jc w:val="both"/>
      </w:pPr>
      <w:r>
        <w:rPr>
          <w:rtl/>
        </w:rPr>
        <w:t xml:space="preserve">יתר על כן, אני סבור שר׳ </w:t>
      </w:r>
      <w:proofErr w:type="spellStart"/>
      <w:r>
        <w:rPr>
          <w:rtl/>
        </w:rPr>
        <w:t>איצל׳ה</w:t>
      </w:r>
      <w:proofErr w:type="spellEnd"/>
      <w:r>
        <w:rPr>
          <w:rtl/>
        </w:rPr>
        <w:t xml:space="preserve"> שיער </w:t>
      </w:r>
      <w:proofErr w:type="spellStart"/>
      <w:r>
        <w:rPr>
          <w:rtl/>
        </w:rPr>
        <w:t>שליליינטל</w:t>
      </w:r>
      <w:proofErr w:type="spellEnd"/>
      <w:r>
        <w:rPr>
          <w:rtl/>
        </w:rPr>
        <w:t xml:space="preserve"> יודע היטב שהוא (</w:t>
      </w:r>
      <w:proofErr w:type="spellStart"/>
      <w:r>
        <w:rPr>
          <w:rtl/>
        </w:rPr>
        <w:t>ליליינטל</w:t>
      </w:r>
      <w:proofErr w:type="spellEnd"/>
      <w:r>
        <w:rPr>
          <w:rtl/>
        </w:rPr>
        <w:t>) עדיין אינו זוכה לאמון, כמקודם ויותר מזה! סמך לסברה זו נמצא בדיווח של “</w:t>
      </w:r>
      <w:proofErr w:type="spellStart"/>
      <w:r>
        <w:rPr>
          <w:rtl/>
        </w:rPr>
        <w:t>זכרון</w:t>
      </w:r>
      <w:proofErr w:type="spellEnd"/>
      <w:r>
        <w:rPr>
          <w:rtl/>
        </w:rPr>
        <w:t xml:space="preserve"> יעקב”</w:t>
      </w:r>
      <w:bookmarkStart w:id="1372" w:name="_fnr866"/>
      <w:r>
        <w:rPr>
          <w:rStyle w:val="a5"/>
        </w:rPr>
        <w:footnoteReference w:id="869" w:customMarkFollows="0"/>
      </w:r>
      <w:bookmarkEnd w:id="1372"/>
      <w:r>
        <w:rPr>
          <w:rtl/>
        </w:rPr>
        <w:t xml:space="preserve">: “המקורבים </w:t>
      </w:r>
      <w:proofErr w:type="spellStart"/>
      <w:r>
        <w:rPr>
          <w:rtl/>
        </w:rPr>
        <w:t>לר</w:t>
      </w:r>
      <w:proofErr w:type="spellEnd"/>
      <w:r>
        <w:rPr>
          <w:rtl/>
        </w:rPr>
        <w:t xml:space="preserve">׳ </w:t>
      </w:r>
      <w:proofErr w:type="spellStart"/>
      <w:r>
        <w:rPr>
          <w:rtl/>
        </w:rPr>
        <w:t>איצל׳ה</w:t>
      </w:r>
      <w:proofErr w:type="spellEnd"/>
      <w:r>
        <w:rPr>
          <w:rtl/>
        </w:rPr>
        <w:t xml:space="preserve">” סיפרו שהוא “ביקש להכניס פרוות כבשים בין צרור החפצים” שלקח עמו לאספת הוועדה הרבנית בפטרבורג, </w:t>
      </w:r>
      <w:r>
        <w:rPr>
          <w:b/>
          <w:bCs/>
          <w:rtl/>
        </w:rPr>
        <w:t>שכונסה לקיץ הבא</w:t>
      </w:r>
      <w:r>
        <w:rPr>
          <w:rtl/>
        </w:rPr>
        <w:t xml:space="preserve"> </w:t>
      </w:r>
      <w:proofErr w:type="spellStart"/>
      <w:r>
        <w:rPr>
          <w:rtl/>
        </w:rPr>
        <w:t>ושליליינטל</w:t>
      </w:r>
      <w:proofErr w:type="spellEnd"/>
      <w:r>
        <w:rPr>
          <w:rtl/>
        </w:rPr>
        <w:t xml:space="preserve"> השתתף בה, “שמא יוגלה לסיביר הקפואה”.</w:t>
      </w:r>
    </w:p>
    <w:p w14:paraId="73D9456F" w14:textId="77777777" w:rsidR="00AB3647" w:rsidRDefault="00000000" w:rsidP="007923E9">
      <w:pPr>
        <w:spacing w:after="120" w:line="276" w:lineRule="auto"/>
        <w:ind w:firstLine="283"/>
        <w:jc w:val="both"/>
      </w:pPr>
      <w:r>
        <w:rPr>
          <w:rtl/>
        </w:rPr>
        <w:lastRenderedPageBreak/>
        <w:t xml:space="preserve">הוועדה הוקמה רשמית בקיץ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כאמור לעיל, </w:t>
      </w:r>
      <w:proofErr w:type="spellStart"/>
      <w:r>
        <w:rPr>
          <w:rtl/>
        </w:rPr>
        <w:t>וליליינטל</w:t>
      </w:r>
      <w:proofErr w:type="spellEnd"/>
      <w:r>
        <w:rPr>
          <w:rtl/>
        </w:rPr>
        <w:t xml:space="preserve"> ודאי דיבר עליה עם ר׳ </w:t>
      </w:r>
      <w:proofErr w:type="spellStart"/>
      <w:r>
        <w:rPr>
          <w:rtl/>
        </w:rPr>
        <w:t>איצל׳ה</w:t>
      </w:r>
      <w:proofErr w:type="spellEnd"/>
      <w:r>
        <w:rPr>
          <w:rtl/>
        </w:rPr>
        <w:t xml:space="preserve"> כשנפגשו </w:t>
      </w:r>
      <w:proofErr w:type="spellStart"/>
      <w:r>
        <w:rPr>
          <w:rtl/>
        </w:rPr>
        <w:t>בוולוז׳ין</w:t>
      </w:r>
      <w:proofErr w:type="spellEnd"/>
      <w:r>
        <w:rPr>
          <w:rtl/>
        </w:rPr>
        <w:t xml:space="preserve">. אילו ציפה ר׳ </w:t>
      </w:r>
      <w:proofErr w:type="spellStart"/>
      <w:r>
        <w:rPr>
          <w:rtl/>
        </w:rPr>
        <w:t>איצל׳ה</w:t>
      </w:r>
      <w:proofErr w:type="spellEnd"/>
      <w:r>
        <w:rPr>
          <w:rtl/>
        </w:rPr>
        <w:t xml:space="preserve"> </w:t>
      </w:r>
      <w:proofErr w:type="spellStart"/>
      <w:r>
        <w:rPr>
          <w:rtl/>
        </w:rPr>
        <w:t>שליליינטל</w:t>
      </w:r>
      <w:proofErr w:type="spellEnd"/>
      <w:r>
        <w:rPr>
          <w:rtl/>
        </w:rPr>
        <w:t xml:space="preserve"> ימסור </w:t>
      </w:r>
      <w:proofErr w:type="spellStart"/>
      <w:r>
        <w:rPr>
          <w:rtl/>
        </w:rPr>
        <w:t>לאוברוב</w:t>
      </w:r>
      <w:proofErr w:type="spellEnd"/>
      <w:r>
        <w:rPr>
          <w:rtl/>
        </w:rPr>
        <w:t xml:space="preserve"> דיווח אוהד עליו, כמו שכתב </w:t>
      </w:r>
      <w:proofErr w:type="spellStart"/>
      <w:r>
        <w:rPr>
          <w:rtl/>
        </w:rPr>
        <w:t>ליליינטל</w:t>
      </w:r>
      <w:proofErr w:type="spellEnd"/>
      <w:r>
        <w:rPr>
          <w:rtl/>
        </w:rPr>
        <w:t xml:space="preserve"> לרוזנטל, לא היה טעם שיראה בנסיעתו לפטרבורג כנציג רבני סכנה לו עצמו. ר׳ </w:t>
      </w:r>
      <w:proofErr w:type="spellStart"/>
      <w:r>
        <w:rPr>
          <w:rtl/>
        </w:rPr>
        <w:t>איצל׳ה</w:t>
      </w:r>
      <w:proofErr w:type="spellEnd"/>
      <w:r>
        <w:rPr>
          <w:rtl/>
        </w:rPr>
        <w:t xml:space="preserve"> ודאי חשש </w:t>
      </w:r>
      <w:proofErr w:type="spellStart"/>
      <w:r>
        <w:rPr>
          <w:rtl/>
        </w:rPr>
        <w:t>שליליינטל</w:t>
      </w:r>
      <w:proofErr w:type="spellEnd"/>
      <w:r>
        <w:rPr>
          <w:rtl/>
        </w:rPr>
        <w:t xml:space="preserve"> סיפר </w:t>
      </w:r>
      <w:proofErr w:type="spellStart"/>
      <w:r>
        <w:rPr>
          <w:rtl/>
        </w:rPr>
        <w:t>לאוברוב</w:t>
      </w:r>
      <w:proofErr w:type="spellEnd"/>
      <w:r>
        <w:rPr>
          <w:rtl/>
        </w:rPr>
        <w:t xml:space="preserve"> שהרב משתף פעולה רק מפני שהוא ירא מן הממשלה, ושיש לאסור אותו ולשלחו לסיביר!</w:t>
      </w:r>
    </w:p>
    <w:p w14:paraId="714998A0" w14:textId="77777777" w:rsidR="00AB3647" w:rsidRDefault="00000000" w:rsidP="007923E9">
      <w:pPr>
        <w:spacing w:after="120" w:line="276" w:lineRule="auto"/>
        <w:ind w:firstLine="283"/>
        <w:jc w:val="both"/>
      </w:pP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73" w:name="_fnr867"/>
      <w:r>
        <w:rPr>
          <w:rStyle w:val="a5"/>
        </w:rPr>
        <w:footnoteReference w:id="870" w:customMarkFollows="0"/>
      </w:r>
      <w:bookmarkEnd w:id="1373"/>
      <w:r>
        <w:rPr>
          <w:rtl/>
        </w:rPr>
        <w:t xml:space="preserve"> יש סיפור מעניין על פריט לבוש אחר שלקח עמו ר׳ </w:t>
      </w:r>
      <w:proofErr w:type="spellStart"/>
      <w:r>
        <w:rPr>
          <w:rtl/>
        </w:rPr>
        <w:t>איצל׳ה</w:t>
      </w:r>
      <w:proofErr w:type="spellEnd"/>
      <w:r>
        <w:rPr>
          <w:rtl/>
        </w:rPr>
        <w:t xml:space="preserve"> לפטרבורג. וזו לשונו: “לפני כמה עשרות שנים עוד אפשר היה לראות בבית נכדיו של ר׳ </w:t>
      </w:r>
      <w:proofErr w:type="spellStart"/>
      <w:r>
        <w:rPr>
          <w:rtl/>
        </w:rPr>
        <w:t>איצל׳ה</w:t>
      </w:r>
      <w:proofErr w:type="spellEnd"/>
      <w:r>
        <w:rPr>
          <w:rtl/>
        </w:rPr>
        <w:t xml:space="preserve">, ר׳ </w:t>
      </w:r>
      <w:proofErr w:type="spellStart"/>
      <w:r>
        <w:rPr>
          <w:rtl/>
        </w:rPr>
        <w:t>חיים־הלל</w:t>
      </w:r>
      <w:proofErr w:type="spellEnd"/>
      <w:r>
        <w:rPr>
          <w:rtl/>
        </w:rPr>
        <w:t xml:space="preserve"> פריד ורעייתו המפורסמת, הרבנית ביילה, את הבגד שלבש ר׳ </w:t>
      </w:r>
      <w:proofErr w:type="spellStart"/>
      <w:r>
        <w:rPr>
          <w:rtl/>
        </w:rPr>
        <w:t>איצל׳ה</w:t>
      </w:r>
      <w:proofErr w:type="spellEnd"/>
      <w:r>
        <w:rPr>
          <w:rtl/>
        </w:rPr>
        <w:t xml:space="preserve"> כשהיה אצל הצאר ניקולאי הראשון. הוא היה עשוי משי נאה, בצבע צהבהב, ובחלקו הקדמי חתיכה גדולה מעוטרת בכסף. הוא היה ארוך ובעל ארבע כנפות, וציציות הוטלו ב[</w:t>
      </w:r>
      <w:proofErr w:type="spellStart"/>
      <w:r>
        <w:rPr>
          <w:rtl/>
        </w:rPr>
        <w:t>כנפותיו</w:t>
      </w:r>
      <w:proofErr w:type="spellEnd"/>
      <w:r>
        <w:rPr>
          <w:rtl/>
        </w:rPr>
        <w:t xml:space="preserve">]. מסופר שהשר </w:t>
      </w:r>
      <w:proofErr w:type="spellStart"/>
      <w:r>
        <w:rPr>
          <w:rtl/>
        </w:rPr>
        <w:t>אוברוב</w:t>
      </w:r>
      <w:proofErr w:type="spellEnd"/>
      <w:r>
        <w:rPr>
          <w:rtl/>
        </w:rPr>
        <w:t xml:space="preserve"> דאז, שאמרו עליו שהיה ‘יודע ספר’” – ודאי הגזמה – “כשראה את ר׳ </w:t>
      </w:r>
      <w:proofErr w:type="spellStart"/>
      <w:r>
        <w:rPr>
          <w:rtl/>
        </w:rPr>
        <w:t>איצל׳ה</w:t>
      </w:r>
      <w:proofErr w:type="spellEnd"/>
      <w:r>
        <w:rPr>
          <w:rtl/>
        </w:rPr>
        <w:t xml:space="preserve"> מקושט כך, שאל כיצד הוא עובר על הפסוק ‘אל תתהדר לפני מלך׳</w:t>
      </w:r>
      <w:bookmarkStart w:id="1374" w:name="_fnr868"/>
      <w:r>
        <w:rPr>
          <w:rStyle w:val="a5"/>
        </w:rPr>
        <w:footnoteReference w:id="871" w:customMarkFollows="0"/>
      </w:r>
      <w:bookmarkEnd w:id="1374"/>
      <w:r>
        <w:rPr>
          <w:rtl/>
        </w:rPr>
        <w:t xml:space="preserve">, וגם על מאמר חז״ל ‘יאה </w:t>
      </w:r>
      <w:proofErr w:type="spellStart"/>
      <w:r>
        <w:rPr>
          <w:rtl/>
        </w:rPr>
        <w:t>עניותא</w:t>
      </w:r>
      <w:proofErr w:type="spellEnd"/>
      <w:r>
        <w:rPr>
          <w:rtl/>
        </w:rPr>
        <w:t xml:space="preserve"> </w:t>
      </w:r>
      <w:proofErr w:type="spellStart"/>
      <w:r>
        <w:rPr>
          <w:rtl/>
        </w:rPr>
        <w:t>ליהודאי</w:t>
      </w:r>
      <w:proofErr w:type="spellEnd"/>
      <w:r>
        <w:rPr>
          <w:rtl/>
        </w:rPr>
        <w:t>’</w:t>
      </w:r>
      <w:bookmarkStart w:id="1375" w:name="_fnr869"/>
      <w:r>
        <w:rPr>
          <w:rStyle w:val="a5"/>
        </w:rPr>
        <w:footnoteReference w:id="872" w:customMarkFollows="0"/>
      </w:r>
      <w:bookmarkEnd w:id="1375"/>
      <w:r>
        <w:rPr>
          <w:rtl/>
        </w:rPr>
        <w:t xml:space="preserve">. ר׳ </w:t>
      </w:r>
      <w:proofErr w:type="spellStart"/>
      <w:r>
        <w:rPr>
          <w:rtl/>
        </w:rPr>
        <w:t>איצל׳ה</w:t>
      </w:r>
      <w:proofErr w:type="spellEnd"/>
      <w:r>
        <w:rPr>
          <w:rtl/>
        </w:rPr>
        <w:t xml:space="preserve"> השיב לו, כביכול: ‘משום כך בדיוק אני לובש בגד נאה: מאחר </w:t>
      </w:r>
      <w:proofErr w:type="spellStart"/>
      <w:r>
        <w:rPr>
          <w:rtl/>
        </w:rPr>
        <w:t>ש“יאה</w:t>
      </w:r>
      <w:proofErr w:type="spellEnd"/>
      <w:r>
        <w:rPr>
          <w:rtl/>
        </w:rPr>
        <w:t xml:space="preserve"> </w:t>
      </w:r>
      <w:proofErr w:type="spellStart"/>
      <w:r>
        <w:rPr>
          <w:rtl/>
        </w:rPr>
        <w:t>עניותא</w:t>
      </w:r>
      <w:proofErr w:type="spellEnd"/>
      <w:r>
        <w:rPr>
          <w:rtl/>
        </w:rPr>
        <w:t xml:space="preserve"> </w:t>
      </w:r>
      <w:proofErr w:type="spellStart"/>
      <w:r>
        <w:rPr>
          <w:rtl/>
        </w:rPr>
        <w:t>ליהודאי</w:t>
      </w:r>
      <w:proofErr w:type="spellEnd"/>
      <w:r>
        <w:rPr>
          <w:rtl/>
        </w:rPr>
        <w:t>”, ומאחר שנצטווינו “אל תתהדר לפני מלך”, לא הותר לי להתהדר ביופיי היהודי, שהוא העוני.’”</w:t>
      </w:r>
    </w:p>
    <w:p w14:paraId="2F712225" w14:textId="77777777" w:rsidR="00AB3647" w:rsidRDefault="00000000" w:rsidP="007923E9">
      <w:pPr>
        <w:spacing w:after="120" w:line="276" w:lineRule="auto"/>
        <w:ind w:firstLine="283"/>
        <w:jc w:val="both"/>
      </w:pPr>
      <w:r>
        <w:rPr>
          <w:rtl/>
        </w:rPr>
        <w:t xml:space="preserve">מה הייתה הסיבה האמיתית לבחירת הלבוש המוזרה של ר׳ </w:t>
      </w:r>
      <w:proofErr w:type="spellStart"/>
      <w:r>
        <w:rPr>
          <w:rtl/>
        </w:rPr>
        <w:t>איצל׳ה</w:t>
      </w:r>
      <w:proofErr w:type="spellEnd"/>
      <w:r>
        <w:rPr>
          <w:rtl/>
        </w:rPr>
        <w:t xml:space="preserve"> – אפשר רק לשער. אני משער שרצה להיראות מלכותי במיוחד, בדיוק כפי שחשב </w:t>
      </w:r>
      <w:proofErr w:type="spellStart"/>
      <w:r>
        <w:rPr>
          <w:rtl/>
        </w:rPr>
        <w:t>אוברוב</w:t>
      </w:r>
      <w:proofErr w:type="spellEnd"/>
      <w:r>
        <w:rPr>
          <w:rtl/>
        </w:rPr>
        <w:t xml:space="preserve"> שנראה בבגד זה. הוא רצה להיראות שונה מרבנים אחרים שפקידי פטרבורג, ואולי הצאר עצמו, ראו מסיבה זו או אחרת, כדי שיראו בו מעין רב </w:t>
      </w:r>
      <w:r>
        <w:rPr>
          <w:b/>
          <w:bCs/>
          <w:rtl/>
        </w:rPr>
        <w:t>ראשי</w:t>
      </w:r>
      <w:r>
        <w:rPr>
          <w:rtl/>
        </w:rPr>
        <w:t xml:space="preserve"> במדים. אפשר שחש שיהיה בטוח יותר אם ייתפס כמנהיג כריזמטי, שמעצרו עלול לעורר תסיסה בכל האוכלוסייה היהודית ברוסיה.</w:t>
      </w:r>
    </w:p>
    <w:p w14:paraId="2237AE33" w14:textId="77777777" w:rsidR="00AB3647" w:rsidRDefault="00000000" w:rsidP="007923E9">
      <w:pPr>
        <w:spacing w:after="120" w:line="276" w:lineRule="auto"/>
        <w:ind w:firstLine="283"/>
        <w:jc w:val="both"/>
      </w:pPr>
      <w:r>
        <w:rPr>
          <w:rtl/>
        </w:rPr>
        <w:t xml:space="preserve">כנראה על הבגד החיצון בעל הציציות של ר׳ </w:t>
      </w:r>
      <w:proofErr w:type="spellStart"/>
      <w:r>
        <w:rPr>
          <w:rtl/>
        </w:rPr>
        <w:t>איצל׳ה</w:t>
      </w:r>
      <w:proofErr w:type="spellEnd"/>
      <w:r>
        <w:rPr>
          <w:rtl/>
        </w:rPr>
        <w:t xml:space="preserve"> מסופר</w:t>
      </w:r>
      <w:bookmarkStart w:id="1376" w:name="_fnr870"/>
      <w:r>
        <w:rPr>
          <w:rStyle w:val="a5"/>
        </w:rPr>
        <w:footnoteReference w:id="873" w:customMarkFollows="0"/>
      </w:r>
      <w:bookmarkEnd w:id="1376"/>
      <w:r>
        <w:rPr>
          <w:rtl/>
        </w:rPr>
        <w:t xml:space="preserve"> שבאספה בפטרבורג שאל </w:t>
      </w:r>
      <w:proofErr w:type="spellStart"/>
      <w:r>
        <w:rPr>
          <w:rtl/>
        </w:rPr>
        <w:t>אוברוב</w:t>
      </w:r>
      <w:proofErr w:type="spellEnd"/>
      <w:r>
        <w:rPr>
          <w:rtl/>
        </w:rPr>
        <w:t xml:space="preserve"> את ר׳ </w:t>
      </w:r>
      <w:proofErr w:type="spellStart"/>
      <w:r>
        <w:rPr>
          <w:rtl/>
        </w:rPr>
        <w:t>איצל׳ה</w:t>
      </w:r>
      <w:proofErr w:type="spellEnd"/>
      <w:r>
        <w:rPr>
          <w:rtl/>
        </w:rPr>
        <w:t xml:space="preserve"> מדוע ציציותיו מגיעות עד הארץ, ואילו ציציותיו של </w:t>
      </w:r>
      <w:proofErr w:type="spellStart"/>
      <w:r>
        <w:rPr>
          <w:rtl/>
        </w:rPr>
        <w:t>ליליינטל</w:t>
      </w:r>
      <w:proofErr w:type="spellEnd"/>
      <w:r>
        <w:rPr>
          <w:rtl/>
        </w:rPr>
        <w:t xml:space="preserve">, “שגם הוא רב, ובוודאי לובש אותן, אינן נראות מבחוץ כלל”. ר׳ </w:t>
      </w:r>
      <w:proofErr w:type="spellStart"/>
      <w:r>
        <w:rPr>
          <w:rtl/>
        </w:rPr>
        <w:t>איצל׳ה</w:t>
      </w:r>
      <w:proofErr w:type="spellEnd"/>
      <w:r>
        <w:rPr>
          <w:rtl/>
        </w:rPr>
        <w:t xml:space="preserve"> השיב: “תכלית הציצית היא להזכיר לנו את מצוות ה׳. איש צעיר וחריף כמו ד״ר </w:t>
      </w:r>
      <w:proofErr w:type="spellStart"/>
      <w:r>
        <w:rPr>
          <w:rtl/>
        </w:rPr>
        <w:t>ליליינטל</w:t>
      </w:r>
      <w:proofErr w:type="spellEnd"/>
      <w:r>
        <w:rPr>
          <w:rtl/>
        </w:rPr>
        <w:t xml:space="preserve"> זוכר דברים בקלות, אבל אני כבר זקן וזיכרוני חלש, ולכן אני צריך ציציות ארוכות כדי להיזכר.” סיפור אגדי נוסף רשום בספרו של </w:t>
      </w:r>
      <w:proofErr w:type="spellStart"/>
      <w:r>
        <w:rPr>
          <w:rtl/>
        </w:rPr>
        <w:t>צינוביץ</w:t>
      </w:r>
      <w:proofErr w:type="spellEnd"/>
      <w:r>
        <w:rPr>
          <w:rtl/>
        </w:rPr>
        <w:t>, “עץ חיים”</w:t>
      </w:r>
      <w:bookmarkStart w:id="1377" w:name="_fnr871"/>
      <w:r>
        <w:rPr>
          <w:rStyle w:val="a5"/>
        </w:rPr>
        <w:footnoteReference w:id="874" w:customMarkFollows="0"/>
      </w:r>
      <w:bookmarkEnd w:id="1377"/>
      <w:r>
        <w:rPr>
          <w:rtl/>
        </w:rPr>
        <w:t xml:space="preserve">, וזו לשונו: “מספרים שהשר התפעל כל כך משכלו </w:t>
      </w:r>
      <w:proofErr w:type="spellStart"/>
      <w:r>
        <w:rPr>
          <w:rtl/>
        </w:rPr>
        <w:t>ומחכמתו</w:t>
      </w:r>
      <w:proofErr w:type="spellEnd"/>
      <w:r>
        <w:rPr>
          <w:rtl/>
        </w:rPr>
        <w:t xml:space="preserve"> של ר׳ </w:t>
      </w:r>
      <w:proofErr w:type="spellStart"/>
      <w:r>
        <w:rPr>
          <w:rtl/>
        </w:rPr>
        <w:t>איצל׳ה</w:t>
      </w:r>
      <w:proofErr w:type="spellEnd"/>
      <w:r>
        <w:rPr>
          <w:rtl/>
        </w:rPr>
        <w:t xml:space="preserve"> עד שאמר </w:t>
      </w:r>
      <w:proofErr w:type="spellStart"/>
      <w:r>
        <w:rPr>
          <w:rtl/>
        </w:rPr>
        <w:t>לר</w:t>
      </w:r>
      <w:proofErr w:type="spellEnd"/>
      <w:r>
        <w:rPr>
          <w:rtl/>
        </w:rPr>
        <w:t xml:space="preserve">׳ </w:t>
      </w:r>
      <w:proofErr w:type="spellStart"/>
      <w:r>
        <w:rPr>
          <w:rtl/>
        </w:rPr>
        <w:t>איצל׳ה</w:t>
      </w:r>
      <w:proofErr w:type="spellEnd"/>
      <w:r>
        <w:rPr>
          <w:rtl/>
        </w:rPr>
        <w:t xml:space="preserve">: ‘אילו לא היית רב, יכולת להגיע למשרת שר׳, והשיב ר׳ </w:t>
      </w:r>
      <w:proofErr w:type="spellStart"/>
      <w:r>
        <w:rPr>
          <w:rtl/>
        </w:rPr>
        <w:t>איצל׳ה</w:t>
      </w:r>
      <w:proofErr w:type="spellEnd"/>
      <w:r>
        <w:rPr>
          <w:rtl/>
        </w:rPr>
        <w:t>: ‘אדוני הרוזן, אילו לא היית שר, ודאי יכולת להיות רב.’”</w:t>
      </w:r>
      <w:bookmarkStart w:id="1378" w:name="_fnr872"/>
      <w:bookmarkStart w:id="1379" w:name="pr_f_793"/>
      <w:r>
        <w:rPr>
          <w:rStyle w:val="a5"/>
        </w:rPr>
        <w:footnoteReference w:id="875" w:customMarkFollows="0"/>
      </w:r>
      <w:bookmarkEnd w:id="1378"/>
      <w:bookmarkEnd w:id="1379"/>
    </w:p>
    <w:p w14:paraId="4D229C50" w14:textId="77777777" w:rsidR="00AB3647" w:rsidRDefault="00000000" w:rsidP="007923E9">
      <w:pPr>
        <w:spacing w:after="120" w:line="276" w:lineRule="auto"/>
        <w:ind w:firstLine="283"/>
        <w:jc w:val="both"/>
      </w:pPr>
      <w:r>
        <w:rPr>
          <w:rtl/>
        </w:rPr>
        <w:lastRenderedPageBreak/>
        <w:t xml:space="preserve">על התעניינותו של </w:t>
      </w:r>
      <w:proofErr w:type="spellStart"/>
      <w:r>
        <w:rPr>
          <w:rtl/>
        </w:rPr>
        <w:t>אוברוב</w:t>
      </w:r>
      <w:proofErr w:type="spellEnd"/>
      <w:r>
        <w:rPr>
          <w:rtl/>
        </w:rPr>
        <w:t xml:space="preserve"> בספרות היהודית</w:t>
      </w:r>
      <w:bookmarkStart w:id="1380" w:name="_fnr873"/>
      <w:r>
        <w:rPr>
          <w:rStyle w:val="a5"/>
        </w:rPr>
        <w:footnoteReference w:id="876" w:customMarkFollows="0"/>
      </w:r>
      <w:bookmarkEnd w:id="1380"/>
      <w:r>
        <w:rPr>
          <w:rtl/>
        </w:rPr>
        <w:t xml:space="preserve"> השווה “מקור ברוך”</w:t>
      </w:r>
      <w:bookmarkStart w:id="1381" w:name="_fnr874"/>
      <w:r>
        <w:rPr>
          <w:rStyle w:val="a5"/>
        </w:rPr>
        <w:footnoteReference w:id="877" w:customMarkFollows="0"/>
      </w:r>
      <w:bookmarkEnd w:id="1381"/>
      <w:r>
        <w:rPr>
          <w:rtl/>
        </w:rPr>
        <w:t xml:space="preserve">, ובו סיפור מרגש שסיפר </w:t>
      </w:r>
      <w:proofErr w:type="spellStart"/>
      <w:r>
        <w:rPr>
          <w:rtl/>
        </w:rPr>
        <w:t>הנצי״ב</w:t>
      </w:r>
      <w:proofErr w:type="spellEnd"/>
      <w:r>
        <w:rPr>
          <w:rtl/>
        </w:rPr>
        <w:t xml:space="preserve"> משמו של </w:t>
      </w:r>
      <w:proofErr w:type="spellStart"/>
      <w:r>
        <w:rPr>
          <w:rtl/>
        </w:rPr>
        <w:t>ליליינטל</w:t>
      </w:r>
      <w:proofErr w:type="spellEnd"/>
      <w:r>
        <w:rPr>
          <w:rtl/>
        </w:rPr>
        <w:t xml:space="preserve">. </w:t>
      </w:r>
      <w:proofErr w:type="spellStart"/>
      <w:r>
        <w:rPr>
          <w:rtl/>
        </w:rPr>
        <w:t>אוברוב</w:t>
      </w:r>
      <w:proofErr w:type="spellEnd"/>
      <w:r>
        <w:rPr>
          <w:rtl/>
        </w:rPr>
        <w:t xml:space="preserve"> ביקש ללמוד סוגיה “עמוקה וחריפה” בתלמוד, </w:t>
      </w:r>
      <w:proofErr w:type="spellStart"/>
      <w:r>
        <w:rPr>
          <w:rtl/>
        </w:rPr>
        <w:t>וליליינטל</w:t>
      </w:r>
      <w:proofErr w:type="spellEnd"/>
      <w:r>
        <w:rPr>
          <w:rtl/>
        </w:rPr>
        <w:t xml:space="preserve"> התכונן זמן רב, בעזרת שני תלמידי חכמים שישבו בפטרבורג, ללמד את הגוי את סוגיית “תגרי לוד”</w:t>
      </w:r>
      <w:bookmarkStart w:id="1382" w:name="_fnr875"/>
      <w:r>
        <w:rPr>
          <w:rStyle w:val="a5"/>
        </w:rPr>
        <w:footnoteReference w:id="878" w:customMarkFollows="0"/>
      </w:r>
      <w:bookmarkEnd w:id="1382"/>
      <w:r>
        <w:rPr>
          <w:rtl/>
        </w:rPr>
        <w:t xml:space="preserve">. גם השר ניגש ללימוד </w:t>
      </w:r>
      <w:proofErr w:type="spellStart"/>
      <w:r>
        <w:rPr>
          <w:rtl/>
        </w:rPr>
        <w:t>הסוגיה</w:t>
      </w:r>
      <w:proofErr w:type="spellEnd"/>
      <w:r>
        <w:rPr>
          <w:rtl/>
        </w:rPr>
        <w:t xml:space="preserve"> רק אחרי שהקדיש ימים אחדים לסיום ענייני ממשלה דחופים, כדי שיוכל להתרכז בה לגמרי.</w:t>
      </w:r>
    </w:p>
    <w:p w14:paraId="43D39555" w14:textId="77777777" w:rsidR="00AB3647" w:rsidRDefault="00000000" w:rsidP="007923E9">
      <w:pPr>
        <w:spacing w:after="120" w:line="276" w:lineRule="auto"/>
        <w:ind w:firstLine="283"/>
        <w:jc w:val="both"/>
      </w:pPr>
      <w:r>
        <w:rPr>
          <w:rtl/>
        </w:rPr>
        <w:t xml:space="preserve">אבל אחרי שניסה לרדת לסוף </w:t>
      </w:r>
      <w:proofErr w:type="spellStart"/>
      <w:r>
        <w:rPr>
          <w:rtl/>
        </w:rPr>
        <w:t>הסוגיה</w:t>
      </w:r>
      <w:proofErr w:type="spellEnd"/>
      <w:r>
        <w:rPr>
          <w:rtl/>
        </w:rPr>
        <w:t xml:space="preserve"> פעם ופעמיים, “קם [</w:t>
      </w:r>
      <w:proofErr w:type="spellStart"/>
      <w:r>
        <w:rPr>
          <w:rtl/>
        </w:rPr>
        <w:t>אוברוב</w:t>
      </w:r>
      <w:proofErr w:type="spellEnd"/>
      <w:r>
        <w:rPr>
          <w:rtl/>
        </w:rPr>
        <w:t xml:space="preserve">] ממקומו... שפשף את כפות ידיו זו בזו בחוזקה וברגש כן, כאדם השטוף ייסורים ומבוכה, שנפשו נפגעה מאסון מר, וברוח נכאה ובתדהמה עמוקה, כמי שנואש מדבר שקיווה להשיגו, השמיע לעצמו את המילים הנוראות: ‘אינני מבין.’ </w:t>
      </w:r>
      <w:proofErr w:type="spellStart"/>
      <w:r>
        <w:rPr>
          <w:rtl/>
        </w:rPr>
        <w:t>ליליינטל</w:t>
      </w:r>
      <w:proofErr w:type="spellEnd"/>
      <w:r>
        <w:rPr>
          <w:rtl/>
        </w:rPr>
        <w:t xml:space="preserve"> סיפר שלא היה קץ לצערו של </w:t>
      </w:r>
      <w:proofErr w:type="spellStart"/>
      <w:r>
        <w:rPr>
          <w:rtl/>
        </w:rPr>
        <w:t>אוברוב</w:t>
      </w:r>
      <w:proofErr w:type="spellEnd"/>
      <w:r>
        <w:rPr>
          <w:rtl/>
        </w:rPr>
        <w:t xml:space="preserve"> על כך, בפרט מפני שקודם לכן שמע </w:t>
      </w:r>
      <w:proofErr w:type="spellStart"/>
      <w:r>
        <w:rPr>
          <w:rtl/>
        </w:rPr>
        <w:t>מליליינטל</w:t>
      </w:r>
      <w:proofErr w:type="spellEnd"/>
      <w:r>
        <w:rPr>
          <w:rtl/>
        </w:rPr>
        <w:t xml:space="preserve">, דרך אגב, שכל בחור ישיבה בעל כישרון מסוגל להקיף את הפלפול כולו ולהבינו כראוי. מכאן הסיק </w:t>
      </w:r>
      <w:proofErr w:type="spellStart"/>
      <w:r>
        <w:rPr>
          <w:rtl/>
        </w:rPr>
        <w:t>אוברוב</w:t>
      </w:r>
      <w:proofErr w:type="spellEnd"/>
      <w:r>
        <w:rPr>
          <w:rtl/>
        </w:rPr>
        <w:t xml:space="preserve"> שהוא, שר ההשכלה המצוין בין החכמים, אף אחרי שהקדיש את כל כוח כשרונו ואת כל כוח מחשבתו... לא הגיע למדרגתו של אחד מבחורי הישיבה. גם </w:t>
      </w:r>
      <w:proofErr w:type="spellStart"/>
      <w:r>
        <w:rPr>
          <w:rtl/>
        </w:rPr>
        <w:t>ליליינטל</w:t>
      </w:r>
      <w:proofErr w:type="spellEnd"/>
      <w:r>
        <w:rPr>
          <w:rtl/>
        </w:rPr>
        <w:t xml:space="preserve"> היה ממורמר מאוד, ובמשך ימים אחדים אחר כך לא יכלו להיפגש זה עם זה בלי צער, [ואף ש]לא אמרו דבר על העניין, הרגישו ‘נזופים ונכלמים’.”</w:t>
      </w:r>
    </w:p>
    <w:p w14:paraId="2714C9C7" w14:textId="77777777" w:rsidR="00AB3647" w:rsidRDefault="00000000" w:rsidP="007923E9">
      <w:pPr>
        <w:spacing w:after="120" w:line="276" w:lineRule="auto"/>
        <w:ind w:firstLine="283"/>
        <w:jc w:val="both"/>
      </w:pPr>
      <w:r>
        <w:rPr>
          <w:rtl/>
        </w:rPr>
        <w:t xml:space="preserve">לביקורו של ר׳ </w:t>
      </w:r>
      <w:proofErr w:type="spellStart"/>
      <w:r>
        <w:rPr>
          <w:rtl/>
        </w:rPr>
        <w:t>איצל׳ה</w:t>
      </w:r>
      <w:proofErr w:type="spellEnd"/>
      <w:r>
        <w:rPr>
          <w:rtl/>
        </w:rPr>
        <w:t xml:space="preserve"> בפטרבורג נודעה בעיני היהודים חשיבות כה רבה, שיותר משש שנים אחר כך תואר באריכות על מצבתו. הכתובת נפתחת בשיר אקרוסטיכון בן </w:t>
      </w:r>
      <w:proofErr w:type="spellStart"/>
      <w:r>
        <w:rPr>
          <w:rtl/>
        </w:rPr>
        <w:t>חמש־עשרה</w:t>
      </w:r>
      <w:proofErr w:type="spellEnd"/>
      <w:r>
        <w:rPr>
          <w:rtl/>
        </w:rPr>
        <w:t xml:space="preserve"> שורות (מלא רמזים מקראיים). אחריו באה שורה אחת על תפקידו של הנפטר, שעדיין לא נזכר בשמו, כראש ישיבה, ואחריה ארבע שורות שמוקדשות לביקור בפטרבורג. וזו לשון חמש השורות:</w:t>
      </w:r>
    </w:p>
    <w:p w14:paraId="638DA059" w14:textId="77777777" w:rsidR="00AB3647" w:rsidRDefault="00000000" w:rsidP="007923E9">
      <w:pPr>
        <w:pStyle w:val="af1"/>
        <w:spacing w:line="276" w:lineRule="auto"/>
      </w:pPr>
      <w:r>
        <w:t>נהרו רבים לישיבתו בעירו/ ומידו להם קרנים</w:t>
      </w:r>
      <w:bookmarkStart w:id="1383" w:name="_fnr876"/>
      <w:r>
        <w:rPr>
          <w:rStyle w:val="a5"/>
        </w:rPr>
        <w:footnoteReference w:id="879" w:customMarkFollows="0"/>
      </w:r>
      <w:bookmarkEnd w:id="1383"/>
    </w:p>
    <w:p w14:paraId="4B4D53FE" w14:textId="77777777" w:rsidR="00AB3647" w:rsidRDefault="00000000" w:rsidP="007923E9">
      <w:pPr>
        <w:pStyle w:val="af1"/>
        <w:spacing w:line="276" w:lineRule="auto"/>
      </w:pPr>
      <w:r>
        <w:t xml:space="preserve">ונקרא למושל ארצו </w:t>
      </w:r>
      <w:proofErr w:type="spellStart"/>
      <w:r>
        <w:t>בחירו</w:t>
      </w:r>
      <w:proofErr w:type="spellEnd"/>
      <w:r>
        <w:t>/ להיות איש הבינים</w:t>
      </w:r>
      <w:bookmarkStart w:id="1384" w:name="_fnr877"/>
      <w:r>
        <w:rPr>
          <w:rStyle w:val="a5"/>
        </w:rPr>
        <w:footnoteReference w:id="880" w:customMarkFollows="0"/>
      </w:r>
      <w:bookmarkEnd w:id="1384"/>
    </w:p>
    <w:p w14:paraId="709C130F" w14:textId="77777777" w:rsidR="00AB3647" w:rsidRDefault="00000000" w:rsidP="007923E9">
      <w:pPr>
        <w:pStyle w:val="af1"/>
        <w:spacing w:line="276" w:lineRule="auto"/>
      </w:pPr>
      <w:proofErr w:type="spellStart"/>
      <w:r>
        <w:t>חכמתו</w:t>
      </w:r>
      <w:proofErr w:type="spellEnd"/>
      <w:r>
        <w:t xml:space="preserve"> וצדקתו היו בעזרו/ ויכבדו במלא חפנים</w:t>
      </w:r>
    </w:p>
    <w:p w14:paraId="2E9413D9" w14:textId="77777777" w:rsidR="00AB3647" w:rsidRDefault="00000000" w:rsidP="007923E9">
      <w:pPr>
        <w:pStyle w:val="af1"/>
        <w:spacing w:line="276" w:lineRule="auto"/>
      </w:pPr>
      <w:r>
        <w:t>יגע בעד עמו להאדירו/ ולהסיר לזות שפתים</w:t>
      </w:r>
    </w:p>
    <w:p w14:paraId="01CA26CE" w14:textId="77777777" w:rsidR="00AB3647" w:rsidRDefault="00000000" w:rsidP="007923E9">
      <w:pPr>
        <w:pStyle w:val="af1"/>
        <w:spacing w:line="276" w:lineRule="auto"/>
      </w:pPr>
      <w:r>
        <w:t xml:space="preserve">ידע לבקש די מחסורו/ ולפתוח לעמו </w:t>
      </w:r>
      <w:proofErr w:type="spellStart"/>
      <w:r>
        <w:t>דלתים</w:t>
      </w:r>
      <w:proofErr w:type="spellEnd"/>
    </w:p>
    <w:p w14:paraId="433F5E70" w14:textId="77777777" w:rsidR="00AB3647" w:rsidRDefault="00000000" w:rsidP="007923E9">
      <w:pPr>
        <w:spacing w:after="120" w:line="276" w:lineRule="auto"/>
        <w:ind w:firstLine="283"/>
        <w:jc w:val="both"/>
      </w:pPr>
      <w:r>
        <w:rPr>
          <w:rtl/>
        </w:rPr>
        <w:t xml:space="preserve">נראה שהביקור נחשב לאירוע מכונן בחייו של ר׳ </w:t>
      </w:r>
      <w:proofErr w:type="spellStart"/>
      <w:r>
        <w:rPr>
          <w:rtl/>
        </w:rPr>
        <w:t>איצל׳ה</w:t>
      </w:r>
      <w:proofErr w:type="spellEnd"/>
      <w:r>
        <w:rPr>
          <w:rtl/>
        </w:rPr>
        <w:t xml:space="preserve">, שהגדיר את אישיותו, עד שנרמז גם בשורות החותמות של הכתובת, המזכירות את שם הנפטר ואת תאריו. וזו לשונן: “ה״ה הרב הגאון צדיק ועניו החכם הכולל </w:t>
      </w:r>
      <w:r>
        <w:rPr>
          <w:b/>
          <w:bCs/>
          <w:rtl/>
        </w:rPr>
        <w:t>לפני שרי</w:t>
      </w:r>
      <w:bookmarkStart w:id="1385" w:name="_fnr878"/>
      <w:bookmarkStart w:id="1386" w:name="pr_f_799"/>
      <w:r>
        <w:rPr>
          <w:rStyle w:val="a5"/>
        </w:rPr>
        <w:footnoteReference w:id="881" w:customMarkFollows="0"/>
      </w:r>
      <w:bookmarkEnd w:id="1385"/>
      <w:bookmarkEnd w:id="1386"/>
      <w:r>
        <w:rPr>
          <w:b/>
          <w:bCs/>
          <w:rtl/>
        </w:rPr>
        <w:t xml:space="preserve"> מלוכה </w:t>
      </w:r>
      <w:proofErr w:type="spellStart"/>
      <w:r>
        <w:rPr>
          <w:b/>
          <w:bCs/>
          <w:rtl/>
        </w:rPr>
        <w:t>התיצב</w:t>
      </w:r>
      <w:proofErr w:type="spellEnd"/>
      <w:r>
        <w:rPr>
          <w:b/>
          <w:bCs/>
          <w:rtl/>
        </w:rPr>
        <w:t xml:space="preserve"> לטובת עמו</w:t>
      </w:r>
      <w:r>
        <w:rPr>
          <w:rtl/>
        </w:rPr>
        <w:t xml:space="preserve"> (ההדגשה שלי) </w:t>
      </w:r>
      <w:r>
        <w:rPr>
          <w:rtl/>
        </w:rPr>
        <w:lastRenderedPageBreak/>
        <w:t xml:space="preserve">חכם הרזים מרן יצחק זצ״ל בן הגאון החסיד מאור הגולה רבנו חיים זצ״ל </w:t>
      </w:r>
      <w:proofErr w:type="spellStart"/>
      <w:r>
        <w:rPr>
          <w:rtl/>
        </w:rPr>
        <w:t>האב״ד</w:t>
      </w:r>
      <w:proofErr w:type="spellEnd"/>
      <w:r>
        <w:rPr>
          <w:rtl/>
        </w:rPr>
        <w:t xml:space="preserve"> ור״מ </w:t>
      </w:r>
      <w:proofErr w:type="spellStart"/>
      <w:r>
        <w:rPr>
          <w:rtl/>
        </w:rPr>
        <w:t>דק״ק</w:t>
      </w:r>
      <w:proofErr w:type="spellEnd"/>
      <w:r>
        <w:rPr>
          <w:rtl/>
        </w:rPr>
        <w:t xml:space="preserve"> </w:t>
      </w:r>
      <w:proofErr w:type="spellStart"/>
      <w:r>
        <w:rPr>
          <w:rtl/>
        </w:rPr>
        <w:t>וואלאזין</w:t>
      </w:r>
      <w:proofErr w:type="spellEnd"/>
      <w:r>
        <w:rPr>
          <w:rtl/>
        </w:rPr>
        <w:t xml:space="preserve"> עלה למרום ביום הששי כ״ו אייר שנת תר״ט”.</w:t>
      </w:r>
      <w:bookmarkStart w:id="1387" w:name="_fnr879"/>
      <w:r>
        <w:rPr>
          <w:rStyle w:val="a5"/>
        </w:rPr>
        <w:footnoteReference w:id="882" w:customMarkFollows="0"/>
      </w:r>
      <w:bookmarkEnd w:id="1387"/>
    </w:p>
    <w:p w14:paraId="7116D1F8" w14:textId="77777777" w:rsidR="00AB3647" w:rsidRDefault="00000000" w:rsidP="007923E9">
      <w:pPr>
        <w:spacing w:after="120" w:line="276" w:lineRule="auto"/>
        <w:ind w:firstLine="283"/>
        <w:jc w:val="both"/>
      </w:pPr>
      <w:r>
        <w:rPr>
          <w:rtl/>
        </w:rPr>
        <w:t>עוד מספר “</w:t>
      </w:r>
      <w:proofErr w:type="spellStart"/>
      <w:r>
        <w:rPr>
          <w:rtl/>
        </w:rPr>
        <w:t>זכרון</w:t>
      </w:r>
      <w:proofErr w:type="spellEnd"/>
      <w:r>
        <w:rPr>
          <w:rtl/>
        </w:rPr>
        <w:t xml:space="preserve"> יעקב”</w:t>
      </w:r>
      <w:bookmarkStart w:id="1388" w:name="_fnr880"/>
      <w:r>
        <w:rPr>
          <w:rStyle w:val="a5"/>
        </w:rPr>
        <w:footnoteReference w:id="883" w:customMarkFollows="0"/>
      </w:r>
      <w:bookmarkEnd w:id="1388"/>
      <w:r>
        <w:rPr>
          <w:rtl/>
        </w:rPr>
        <w:t xml:space="preserve"> שבדרכו חזרה מפטרבורג שבת ר׳ </w:t>
      </w:r>
      <w:proofErr w:type="spellStart"/>
      <w:r>
        <w:rPr>
          <w:rtl/>
        </w:rPr>
        <w:t>איצל׳ה</w:t>
      </w:r>
      <w:proofErr w:type="spellEnd"/>
      <w:r>
        <w:rPr>
          <w:rtl/>
        </w:rPr>
        <w:t xml:space="preserve"> </w:t>
      </w:r>
      <w:proofErr w:type="spellStart"/>
      <w:r>
        <w:rPr>
          <w:rtl/>
        </w:rPr>
        <w:t>בווילקומיר</w:t>
      </w:r>
      <w:bookmarkStart w:id="1389" w:name="_fnr881"/>
      <w:proofErr w:type="spellEnd"/>
      <w:r>
        <w:rPr>
          <w:rStyle w:val="a5"/>
        </w:rPr>
        <w:footnoteReference w:id="884" w:customMarkFollows="0"/>
      </w:r>
      <w:bookmarkEnd w:id="1389"/>
      <w:r>
        <w:rPr>
          <w:rtl/>
        </w:rPr>
        <w:t>. כשנשאל מה יש לו לספר על הפגישה בבירת רוסיה, הוציא את כל האנשים מן החדר, “ואמר לזקנים הנכבדים המעטים שנשארו: ‘רוח קטב נושבת על עמנו. צריכים אנו לתפילה ולרחמים מן השמים’”.</w:t>
      </w:r>
    </w:p>
    <w:p w14:paraId="1381FB6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ודאי היה מודע היטב לסכנה שריחפה עליו עצמו ולסכנה שנשקפה לכל הציבור שייצג, והתייחס לאיומו של ליליינטל בכובד ראש רב</w:t>
      </w:r>
      <w:proofErr w:type="spellStart"/>
      <w:r>
        <w:rPr>
          <w:rtl/>
        </w:rPr>
        <w:t xml:space="preserve"/>
      </w:r>
      <w:proofErr w:type="spellEnd"/>
      <w:r>
        <w:rPr>
          <w:rtl/>
        </w:rPr>
        <w:t xml:space="preserve">. הוא הסכים </w:t>
      </w:r>
      <w:proofErr w:type="spellStart"/>
      <w:r>
        <w:rPr>
          <w:rtl/>
        </w:rPr>
        <w:t>לדכא</w:t>
      </w:r>
      <w:proofErr w:type="spellEnd"/>
      <w:r>
        <w:rPr>
          <w:rtl/>
        </w:rPr>
        <w:t xml:space="preserve"> את האיבה שרחש הציבור הדתי </w:t>
      </w:r>
      <w:proofErr w:type="spellStart"/>
      <w:r>
        <w:rPr>
          <w:rtl/>
        </w:rPr>
        <w:t>לליליינטל</w:t>
      </w:r>
      <w:proofErr w:type="spellEnd"/>
      <w:r>
        <w:rPr>
          <w:rtl/>
        </w:rPr>
        <w:t xml:space="preserve"> לא משום </w:t>
      </w:r>
      <w:proofErr w:type="spellStart"/>
      <w:r>
        <w:rPr>
          <w:rtl/>
        </w:rPr>
        <w:t>ש“ר</w:t>
      </w:r>
      <w:proofErr w:type="spellEnd"/>
      <w:r>
        <w:rPr>
          <w:rtl/>
        </w:rPr>
        <w:t xml:space="preserve">׳ </w:t>
      </w:r>
      <w:proofErr w:type="spellStart"/>
      <w:r>
        <w:rPr>
          <w:rtl/>
        </w:rPr>
        <w:t>איצל׳ה</w:t>
      </w:r>
      <w:proofErr w:type="spellEnd"/>
      <w:r>
        <w:rPr>
          <w:rtl/>
        </w:rPr>
        <w:t xml:space="preserve"> הבין היטב שאי אפשר עוד לדחות את תיקון בתי הספר”, כפי שהלה רוצה שנאמין</w:t>
      </w:r>
      <w:bookmarkStart w:id="1390" w:name="_fnr882"/>
      <w:r>
        <w:rPr>
          <w:rStyle w:val="a5"/>
        </w:rPr>
        <w:footnoteReference w:id="885" w:customMarkFollows="0"/>
      </w:r>
      <w:bookmarkEnd w:id="1390"/>
      <w:r>
        <w:rPr>
          <w:rtl/>
        </w:rPr>
        <w:t>, אלא משום שהרגיש שאין לו ברירה.</w:t>
      </w:r>
    </w:p>
    <w:p w14:paraId="7C974076" w14:textId="77777777" w:rsidR="00AB3647" w:rsidRDefault="00000000" w:rsidP="007923E9">
      <w:pPr>
        <w:pStyle w:val="4"/>
        <w:spacing w:line="276" w:lineRule="auto"/>
      </w:pPr>
      <w:r>
        <w:t xml:space="preserve">· הפסקה </w:t>
      </w:r>
      <w:proofErr w:type="spellStart"/>
      <w:r>
        <w:t>התשע־עשרה</w:t>
      </w:r>
      <w:proofErr w:type="spellEnd"/>
      <w:r>
        <w:t xml:space="preserve"> ·</w:t>
      </w:r>
    </w:p>
    <w:p w14:paraId="5190F417" w14:textId="77777777" w:rsidR="00AB3647" w:rsidRDefault="00000000" w:rsidP="007923E9">
      <w:pPr>
        <w:pStyle w:val="5"/>
        <w:spacing w:line="276" w:lineRule="auto"/>
      </w:pPr>
      <w:proofErr w:type="spellStart"/>
      <w:r>
        <w:t>הנצי״ב</w:t>
      </w:r>
      <w:proofErr w:type="spellEnd"/>
      <w:r>
        <w:t xml:space="preserve"> מתפתה בתמימותו אחר </w:t>
      </w:r>
      <w:proofErr w:type="spellStart"/>
      <w:r>
        <w:t>ליליינטל</w:t>
      </w:r>
      <w:proofErr w:type="spellEnd"/>
      <w:r>
        <w:t xml:space="preserve"> – </w:t>
      </w:r>
      <w:proofErr w:type="spellStart"/>
      <w:r>
        <w:t>הנצי״ב</w:t>
      </w:r>
      <w:proofErr w:type="spellEnd"/>
      <w:r>
        <w:t xml:space="preserve"> נרדף בבית חותנו – ר׳ דוד לוריא מעודד את ר׳ </w:t>
      </w:r>
      <w:proofErr w:type="spellStart"/>
      <w:r>
        <w:t>נפתלי־צבי־יהודה</w:t>
      </w:r>
      <w:proofErr w:type="spellEnd"/>
      <w:r>
        <w:t xml:space="preserve"> ברלין להמשיך בלימודו – ר׳ </w:t>
      </w:r>
      <w:proofErr w:type="spellStart"/>
      <w:r>
        <w:t>נפתלי־צבי־יהודה</w:t>
      </w:r>
      <w:proofErr w:type="spellEnd"/>
      <w:r>
        <w:t xml:space="preserve"> מחמיץ את ההזדמנות לעמוד על מחשבותיו של ר׳ </w:t>
      </w:r>
      <w:proofErr w:type="spellStart"/>
      <w:r>
        <w:t>איצל׳ה</w:t>
      </w:r>
      <w:proofErr w:type="spellEnd"/>
    </w:p>
    <w:p w14:paraId="40F0EEB2"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הניח, כמו כל היהודים, שהסכמתו של ר׳ </w:t>
      </w:r>
      <w:proofErr w:type="spellStart"/>
      <w:r>
        <w:rPr>
          <w:rtl/>
        </w:rPr>
        <w:t>איצל׳ה</w:t>
      </w:r>
      <w:proofErr w:type="spellEnd"/>
      <w:r>
        <w:rPr>
          <w:rtl/>
        </w:rPr>
        <w:t xml:space="preserve"> </w:t>
      </w:r>
      <w:proofErr w:type="spellStart"/>
      <w:r>
        <w:rPr>
          <w:rtl/>
        </w:rPr>
        <w:t>לליליינטל</w:t>
      </w:r>
      <w:proofErr w:type="spellEnd"/>
      <w:r>
        <w:rPr>
          <w:rtl/>
        </w:rPr>
        <w:t xml:space="preserve"> הייתה כנה. בתמימותו הטבעית</w:t>
      </w:r>
      <w:bookmarkStart w:id="1391" w:name="_fnr883"/>
      <w:r>
        <w:rPr>
          <w:rStyle w:val="a5"/>
        </w:rPr>
        <w:footnoteReference w:id="886" w:customMarkFollows="0"/>
      </w:r>
      <w:bookmarkEnd w:id="1391"/>
      <w:r>
        <w:rPr>
          <w:rtl/>
        </w:rPr>
        <w:t xml:space="preserve"> הלך בתום לב צעד אחד הלאה, והצטער “באותה שעה על שחותנו פגע... בנאמנות לבו של </w:t>
      </w:r>
      <w:proofErr w:type="spellStart"/>
      <w:r>
        <w:rPr>
          <w:rtl/>
        </w:rPr>
        <w:t>ליליינטל</w:t>
      </w:r>
      <w:proofErr w:type="spellEnd"/>
      <w:r>
        <w:rPr>
          <w:rtl/>
        </w:rPr>
        <w:t>”. הוא חשב שהכיר את הרב הרפורמי הגרמני די הצורך כדי “לרדת לסוף דעתו באמונה ודת”, ומצא אותו “באמת ובתמים נקי מכל... חשד”.</w:t>
      </w:r>
    </w:p>
    <w:p w14:paraId="7602026B" w14:textId="77777777" w:rsidR="00AB3647" w:rsidRDefault="00000000" w:rsidP="007923E9">
      <w:pPr>
        <w:spacing w:after="120" w:line="276" w:lineRule="auto"/>
        <w:ind w:firstLine="283"/>
        <w:jc w:val="both"/>
      </w:pPr>
      <w:r>
        <w:rPr>
          <w:rtl/>
        </w:rPr>
        <w:t xml:space="preserve">אבל נראה </w:t>
      </w:r>
      <w:proofErr w:type="spellStart"/>
      <w:r>
        <w:rPr>
          <w:rtl/>
        </w:rPr>
        <w:t>שהנצי״ב</w:t>
      </w:r>
      <w:proofErr w:type="spellEnd"/>
      <w:r>
        <w:rPr>
          <w:rtl/>
        </w:rPr>
        <w:t xml:space="preserve"> הרבה לדון כל אדם לכף זכות יותר מן הראוי.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1392" w:name="_fnr884"/>
      <w:r>
        <w:rPr>
          <w:rStyle w:val="a5"/>
        </w:rPr>
        <w:footnoteReference w:id="887" w:customMarkFollows="0"/>
      </w:r>
      <w:bookmarkEnd w:id="1392"/>
      <w:r>
        <w:rPr>
          <w:rtl/>
        </w:rPr>
        <w:t xml:space="preserve">, המספר: “אף על פי שהיה עליו... לשאת רגעים לא נעימים רבים מ[ימי שהותו ב]בית חותנו ועד </w:t>
      </w:r>
      <w:proofErr w:type="spellStart"/>
      <w:r>
        <w:rPr>
          <w:rtl/>
        </w:rPr>
        <w:t>ה‘מלחמות</w:t>
      </w:r>
      <w:proofErr w:type="spellEnd"/>
      <w:r>
        <w:rPr>
          <w:rtl/>
        </w:rPr>
        <w:t>’ השונות שנלחמו בו כראש ישיבה</w:t>
      </w:r>
      <w:bookmarkStart w:id="1393" w:name="_fnr885"/>
      <w:r>
        <w:rPr>
          <w:rStyle w:val="a5"/>
        </w:rPr>
        <w:footnoteReference w:id="888" w:customMarkFollows="0"/>
      </w:r>
      <w:bookmarkEnd w:id="1393"/>
      <w:r>
        <w:rPr>
          <w:rtl/>
        </w:rPr>
        <w:t xml:space="preserve">, </w:t>
      </w:r>
      <w:proofErr w:type="spellStart"/>
      <w:r>
        <w:rPr>
          <w:rtl/>
        </w:rPr>
        <w:t>הנצי״ב</w:t>
      </w:r>
      <w:proofErr w:type="spellEnd"/>
      <w:r>
        <w:rPr>
          <w:rtl/>
        </w:rPr>
        <w:t xml:space="preserve"> דן את כל האדם לכף זכות.”</w:t>
      </w:r>
    </w:p>
    <w:p w14:paraId="4623C851" w14:textId="77777777" w:rsidR="00AB3647" w:rsidRDefault="00000000" w:rsidP="007923E9">
      <w:pPr>
        <w:spacing w:after="120" w:line="276" w:lineRule="auto"/>
        <w:ind w:firstLine="283"/>
        <w:jc w:val="both"/>
      </w:pPr>
      <w:r>
        <w:rPr>
          <w:rtl/>
        </w:rPr>
        <w:t xml:space="preserve">מדוע לא גילה ר׳ </w:t>
      </w:r>
      <w:proofErr w:type="spellStart"/>
      <w:r>
        <w:rPr>
          <w:rtl/>
        </w:rPr>
        <w:t>איצל׳ה</w:t>
      </w:r>
      <w:proofErr w:type="spellEnd"/>
      <w:r>
        <w:rPr>
          <w:rtl/>
        </w:rPr>
        <w:t xml:space="preserve"> </w:t>
      </w:r>
      <w:proofErr w:type="spellStart"/>
      <w:r>
        <w:rPr>
          <w:rtl/>
        </w:rPr>
        <w:t>לר</w:t>
      </w:r>
      <w:proofErr w:type="spellEnd"/>
      <w:r>
        <w:rPr>
          <w:rtl/>
        </w:rPr>
        <w:t xml:space="preserve">׳ </w:t>
      </w:r>
      <w:proofErr w:type="spellStart"/>
      <w:r>
        <w:rPr>
          <w:rtl/>
        </w:rPr>
        <w:t>נפתלי־צבי־יהודה</w:t>
      </w:r>
      <w:proofErr w:type="spellEnd"/>
      <w:r>
        <w:rPr>
          <w:rtl/>
        </w:rPr>
        <w:t xml:space="preserve"> את חשדותיו בעניין </w:t>
      </w:r>
      <w:proofErr w:type="spellStart"/>
      <w:r>
        <w:rPr>
          <w:rtl/>
        </w:rPr>
        <w:t>ליליינטל</w:t>
      </w:r>
      <w:proofErr w:type="spellEnd"/>
      <w:r>
        <w:rPr>
          <w:rtl/>
        </w:rPr>
        <w:t xml:space="preserve">? אפשר להבין זאת לאור היחסים המורכבים שבין החותן לחתנו. בנו של </w:t>
      </w:r>
      <w:proofErr w:type="spellStart"/>
      <w:r>
        <w:rPr>
          <w:rtl/>
        </w:rPr>
        <w:t>הנצי״ב</w:t>
      </w:r>
      <w:proofErr w:type="spellEnd"/>
      <w:r>
        <w:rPr>
          <w:rtl/>
        </w:rPr>
        <w:t xml:space="preserve">, מחבר “פון </w:t>
      </w:r>
      <w:proofErr w:type="spellStart"/>
      <w:r>
        <w:rPr>
          <w:rtl/>
        </w:rPr>
        <w:t>וואלאזין</w:t>
      </w:r>
      <w:proofErr w:type="spellEnd"/>
      <w:r>
        <w:rPr>
          <w:rtl/>
        </w:rPr>
        <w:t xml:space="preserve"> </w:t>
      </w:r>
      <w:proofErr w:type="spellStart"/>
      <w:r>
        <w:rPr>
          <w:rtl/>
        </w:rPr>
        <w:t>ביז</w:t>
      </w:r>
      <w:proofErr w:type="spellEnd"/>
      <w:r>
        <w:rPr>
          <w:rtl/>
        </w:rPr>
        <w:t xml:space="preserve"> </w:t>
      </w:r>
      <w:r>
        <w:rPr>
          <w:rtl/>
        </w:rPr>
        <w:lastRenderedPageBreak/>
        <w:t>ירושלים”, מספר</w:t>
      </w:r>
      <w:bookmarkStart w:id="1394" w:name="_fnr886"/>
      <w:r>
        <w:rPr>
          <w:rStyle w:val="a5"/>
        </w:rPr>
        <w:footnoteReference w:id="889" w:customMarkFollows="0"/>
      </w:r>
      <w:bookmarkEnd w:id="1394"/>
      <w:r>
        <w:rPr>
          <w:rtl/>
        </w:rPr>
        <w:t xml:space="preserve"> כיצד אביו, שהיה בן לסוחר עשיר ונשא אישה בגיל </w:t>
      </w:r>
      <w:proofErr w:type="spellStart"/>
      <w:r>
        <w:rPr>
          <w:rtl/>
        </w:rPr>
        <w:t>שלוש־עשרה</w:t>
      </w:r>
      <w:proofErr w:type="spellEnd"/>
      <w:r>
        <w:rPr>
          <w:rtl/>
        </w:rPr>
        <w:t xml:space="preserve"> וחצי, “לא הרגיש בבית בסביבתו החדשה... בבית שבו לבנות, לחתנים, לבנים ולנכדים... [היו] עניינים שונים </w:t>
      </w:r>
      <w:proofErr w:type="spellStart"/>
      <w:r>
        <w:rPr>
          <w:rtl/>
        </w:rPr>
        <w:t>ו‘עסקי</w:t>
      </w:r>
      <w:proofErr w:type="spellEnd"/>
      <w:r>
        <w:rPr>
          <w:rtl/>
        </w:rPr>
        <w:t xml:space="preserve"> משפחה’. היו שנים שהקרע [בין ר׳ </w:t>
      </w:r>
      <w:proofErr w:type="spellStart"/>
      <w:r>
        <w:rPr>
          <w:rtl/>
        </w:rPr>
        <w:t>איצל׳ה</w:t>
      </w:r>
      <w:proofErr w:type="spellEnd"/>
      <w:r>
        <w:rPr>
          <w:rtl/>
        </w:rPr>
        <w:t xml:space="preserve"> לחתנו] היה גדול, [אף ש]התבטא כולו בשתיקה, ואף שידע שאנשים מסוימים מבקשים לרכל ולהרחיק בין ר׳ </w:t>
      </w:r>
      <w:proofErr w:type="spellStart"/>
      <w:r>
        <w:rPr>
          <w:rtl/>
        </w:rPr>
        <w:t>איצל׳ה</w:t>
      </w:r>
      <w:proofErr w:type="spellEnd"/>
      <w:r>
        <w:rPr>
          <w:rtl/>
        </w:rPr>
        <w:t xml:space="preserve"> ובינו, </w:t>
      </w:r>
      <w:proofErr w:type="spellStart"/>
      <w:r>
        <w:rPr>
          <w:rtl/>
        </w:rPr>
        <w:t>הנצי״ב</w:t>
      </w:r>
      <w:proofErr w:type="spellEnd"/>
      <w:r>
        <w:rPr>
          <w:rtl/>
        </w:rPr>
        <w:t xml:space="preserve"> לא [השיב מלחמה] מעולם.”</w:t>
      </w:r>
    </w:p>
    <w:p w14:paraId="65C8B898" w14:textId="77777777" w:rsidR="00AB3647" w:rsidRDefault="00000000" w:rsidP="007923E9">
      <w:pPr>
        <w:spacing w:after="120" w:line="276" w:lineRule="auto"/>
        <w:ind w:firstLine="283"/>
        <w:jc w:val="both"/>
      </w:pPr>
      <w:r>
        <w:rPr>
          <w:rtl/>
        </w:rPr>
        <w:t xml:space="preserve">השווה “הראשון לשושלת </w:t>
      </w:r>
      <w:proofErr w:type="spellStart"/>
      <w:r>
        <w:rPr>
          <w:rtl/>
        </w:rPr>
        <w:t>בריסק</w:t>
      </w:r>
      <w:proofErr w:type="spellEnd"/>
      <w:r>
        <w:rPr>
          <w:rtl/>
        </w:rPr>
        <w:t>”</w:t>
      </w:r>
      <w:bookmarkStart w:id="1395" w:name="_fnr887"/>
      <w:r>
        <w:rPr>
          <w:rStyle w:val="a5"/>
        </w:rPr>
        <w:footnoteReference w:id="890" w:customMarkFollows="0"/>
      </w:r>
      <w:bookmarkEnd w:id="1395"/>
      <w:r>
        <w:rPr>
          <w:rtl/>
        </w:rPr>
        <w:t xml:space="preserve">, האומר: “מסתבר שבעלי מחלוקת ניסו למשוך את ר׳ </w:t>
      </w:r>
      <w:proofErr w:type="spellStart"/>
      <w:r>
        <w:rPr>
          <w:rtl/>
        </w:rPr>
        <w:t xml:space="preserve">יושע־בער</w:t>
      </w:r>
      <w:proofErr w:type="spellEnd"/>
      <w:r>
        <w:rPr>
          <w:rtl/>
        </w:rPr>
        <w:t xml:space="preserve"> </w:t>
      </w:r>
      <w:proofErr w:type="spellStart"/>
      <w:r>
        <w:rPr>
          <w:rtl/>
        </w:rPr>
        <w:t>סולובייצ׳יק</w:t>
      </w:r>
      <w:proofErr w:type="spellEnd"/>
      <w:r>
        <w:rPr>
          <w:rtl/>
        </w:rPr>
        <w:t xml:space="preserve"> [שהיה אז תלמיד בישיבה, ש]היה חביב ומקובל על ראשי הישיבה ר׳ </w:t>
      </w:r>
      <w:proofErr w:type="spellStart"/>
      <w:r>
        <w:rPr>
          <w:rtl/>
        </w:rPr>
        <w:t>איצל׳ה</w:t>
      </w:r>
      <w:proofErr w:type="spellEnd"/>
      <w:r>
        <w:rPr>
          <w:rtl/>
        </w:rPr>
        <w:t xml:space="preserve"> ועוזרו [החתן הבכור] ר׳ </w:t>
      </w:r>
      <w:proofErr w:type="spellStart"/>
      <w:r>
        <w:rPr>
          <w:rtl/>
        </w:rPr>
        <w:t>אליעזר־יצחק</w:t>
      </w:r>
      <w:proofErr w:type="spellEnd"/>
      <w:r>
        <w:rPr>
          <w:rtl/>
        </w:rPr>
        <w:t xml:space="preserve"> [פריד], לתוך רשת קשריהם נגד ר׳ </w:t>
      </w:r>
      <w:proofErr w:type="spellStart"/>
      <w:r>
        <w:rPr>
          <w:rtl/>
        </w:rPr>
        <w:t>נפתלי־צבי־יהודה</w:t>
      </w:r>
      <w:proofErr w:type="spellEnd"/>
      <w:r>
        <w:rPr>
          <w:rtl/>
        </w:rPr>
        <w:t xml:space="preserve"> ברלין. אבל מפני שסירב לצדד בהם במחלוקת, התחילו לרדוף גם אותו ולבקש עליו עלילות.”</w:t>
      </w:r>
    </w:p>
    <w:p w14:paraId="605E9202"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ממשיך: “</w:t>
      </w:r>
      <w:proofErr w:type="spellStart"/>
      <w:r>
        <w:rPr>
          <w:rtl/>
        </w:rPr>
        <w:t>הנצי״ב</w:t>
      </w:r>
      <w:proofErr w:type="spellEnd"/>
      <w:r>
        <w:rPr>
          <w:rtl/>
        </w:rPr>
        <w:t xml:space="preserve"> החליט אז שלא להתערב בשום דבר ולהישאר סגור </w:t>
      </w:r>
      <w:proofErr w:type="spellStart"/>
      <w:r>
        <w:rPr>
          <w:rtl/>
        </w:rPr>
        <w:t>ב‘אהלה</w:t>
      </w:r>
      <w:proofErr w:type="spellEnd"/>
      <w:r>
        <w:rPr>
          <w:rtl/>
        </w:rPr>
        <w:t xml:space="preserve"> של תורה’ שלו בלי להתחשב במי שיבקר אותו (ההדגשה שלי) – ואפילו גיסים מבוגרים ממנו ואפילו חותנו עצמו. התבדלותו מכל סביבתו הביאה לידי חילוקי דעות בינו ובין ר׳ </w:t>
      </w:r>
      <w:proofErr w:type="spellStart"/>
      <w:r>
        <w:rPr>
          <w:rtl/>
        </w:rPr>
        <w:t>איצל׳ה</w:t>
      </w:r>
      <w:proofErr w:type="spellEnd"/>
      <w:r>
        <w:rPr>
          <w:rtl/>
        </w:rPr>
        <w:t xml:space="preserve">... הדבר נראה כשני עולמות: העולם האחד, שכלל את חותנו, גדול, הומה, מסועף, עם בני משפחה אחת רבים בעלי עניינים רבים... בענייני הציבור היהודי; ומן הצד השני, איש צעיר השקוע כולו </w:t>
      </w:r>
      <w:proofErr w:type="spellStart"/>
      <w:r>
        <w:rPr>
          <w:rtl/>
        </w:rPr>
        <w:t>ב‘ארבע</w:t>
      </w:r>
      <w:proofErr w:type="spellEnd"/>
      <w:r>
        <w:rPr>
          <w:rtl/>
        </w:rPr>
        <w:t xml:space="preserve"> אמות של הלכה’. אף שדרו בבית אחד וחיו יחד, לא ידע ר׳ </w:t>
      </w:r>
      <w:proofErr w:type="spellStart"/>
      <w:r>
        <w:rPr>
          <w:rtl/>
        </w:rPr>
        <w:t>איצל׳ה</w:t>
      </w:r>
      <w:proofErr w:type="spellEnd"/>
      <w:r>
        <w:rPr>
          <w:rtl/>
        </w:rPr>
        <w:t xml:space="preserve"> את גדולתו של אבא עד ש... התחיל שמו להישמע למרחוק בזכות התכתבותו עם הגאון הזקן והמפורסם, איש העולם, ר׳ דוד לוריא. הקרבה הרוחנית [של הרב לוריא </w:t>
      </w:r>
      <w:proofErr w:type="spellStart"/>
      <w:r>
        <w:rPr>
          <w:rtl/>
        </w:rPr>
        <w:t>והנצי״ב</w:t>
      </w:r>
      <w:proofErr w:type="spellEnd"/>
      <w:r>
        <w:rPr>
          <w:rtl/>
        </w:rPr>
        <w:t xml:space="preserve">, בשיטת חקר כתבי היד העתיקים] הביאה [לידי התופעה המוזרה] שבשעה שר׳ </w:t>
      </w:r>
      <w:proofErr w:type="spellStart"/>
      <w:r>
        <w:rPr>
          <w:rtl/>
        </w:rPr>
        <w:t>איצל׳ה</w:t>
      </w:r>
      <w:proofErr w:type="spellEnd"/>
      <w:r>
        <w:rPr>
          <w:rtl/>
        </w:rPr>
        <w:t xml:space="preserve">, חותנו של אבא, לא הכיר את חתנו, כתב </w:t>
      </w:r>
      <w:proofErr w:type="spellStart"/>
      <w:r>
        <w:rPr>
          <w:rtl/>
        </w:rPr>
        <w:t>הרד״ל</w:t>
      </w:r>
      <w:proofErr w:type="spellEnd"/>
      <w:r>
        <w:rPr>
          <w:rtl/>
        </w:rPr>
        <w:t xml:space="preserve"> לאבא מכתבים נלהבים מרחוק. רק ממכתביו של הרב לוריא, שנודעו </w:t>
      </w:r>
      <w:proofErr w:type="spellStart"/>
      <w:r>
        <w:rPr>
          <w:rtl/>
        </w:rPr>
        <w:t>לר</w:t>
      </w:r>
      <w:proofErr w:type="spellEnd"/>
      <w:r>
        <w:rPr>
          <w:rtl/>
        </w:rPr>
        <w:t xml:space="preserve">׳ </w:t>
      </w:r>
      <w:proofErr w:type="spellStart"/>
      <w:r>
        <w:rPr>
          <w:rtl/>
        </w:rPr>
        <w:t>איצל׳ה</w:t>
      </w:r>
      <w:proofErr w:type="spellEnd"/>
      <w:r>
        <w:rPr>
          <w:rtl/>
        </w:rPr>
        <w:t xml:space="preserve"> במקרה, התחיל להבין מי הוא חתנו ומה אפשר לצפות ממנו. גם אז לא התאימו אופיו של החותן ואופיו של החתן זה לזה, אבל בוז[!] החותן לחתנו פג.”</w:t>
      </w:r>
    </w:p>
    <w:p w14:paraId="27143B0F" w14:textId="77777777" w:rsidR="00AB3647" w:rsidRDefault="00000000" w:rsidP="007923E9">
      <w:pPr>
        <w:spacing w:after="120" w:line="276" w:lineRule="auto"/>
        <w:ind w:firstLine="283"/>
        <w:jc w:val="both"/>
      </w:pPr>
      <w:r>
        <w:rPr>
          <w:rtl/>
        </w:rPr>
        <w:t>השווה גם “מקור ברוך”</w:t>
      </w:r>
      <w:bookmarkStart w:id="1396" w:name="_fnr888"/>
      <w:r>
        <w:rPr>
          <w:rStyle w:val="a5"/>
        </w:rPr>
        <w:footnoteReference w:id="891" w:customMarkFollows="0"/>
      </w:r>
      <w:bookmarkEnd w:id="1396"/>
      <w:r>
        <w:rPr>
          <w:rtl/>
        </w:rPr>
        <w:t>, האומר: “</w:t>
      </w:r>
      <w:proofErr w:type="spellStart"/>
      <w:r>
        <w:rPr>
          <w:rtl/>
        </w:rPr>
        <w:t>הנצי״ב</w:t>
      </w:r>
      <w:proofErr w:type="spellEnd"/>
      <w:r>
        <w:rPr>
          <w:rtl/>
        </w:rPr>
        <w:t xml:space="preserve"> סבל ונשא לא מעט מן הבוז שבו נהגו בו גדולי החכמים שסביבו” – לשון נקייה לבני המשפחה, ובכללם חותנו עצמו – “שהביטו עליו מלמעלה למטה והתייחסו אליו כאל מי שעומד רחוק מתחומם ומשיעור קומתם.”</w:t>
      </w:r>
    </w:p>
    <w:p w14:paraId="4E2A6A3E" w14:textId="77777777" w:rsidR="00AB3647" w:rsidRDefault="00000000" w:rsidP="007923E9">
      <w:pPr>
        <w:spacing w:after="120" w:line="276" w:lineRule="auto"/>
        <w:ind w:firstLine="283"/>
        <w:jc w:val="both"/>
      </w:pPr>
      <w:r>
        <w:rPr>
          <w:rtl/>
        </w:rPr>
        <w:t xml:space="preserve">שלא </w:t>
      </w:r>
      <w:proofErr w:type="spellStart"/>
      <w:r>
        <w:rPr>
          <w:rtl/>
        </w:rPr>
        <w:t>כ“פון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טוען “מקור ברוך”</w:t>
      </w:r>
      <w:bookmarkStart w:id="1397" w:name="_fnr889"/>
      <w:r>
        <w:rPr>
          <w:rStyle w:val="a5"/>
        </w:rPr>
        <w:footnoteReference w:id="892" w:customMarkFollows="0"/>
      </w:r>
      <w:bookmarkEnd w:id="1397"/>
      <w:r>
        <w:rPr>
          <w:rtl/>
        </w:rPr>
        <w:t xml:space="preserve"> שר׳ </w:t>
      </w:r>
      <w:proofErr w:type="spellStart"/>
      <w:r>
        <w:rPr>
          <w:rtl/>
        </w:rPr>
        <w:t>איצל׳ה</w:t>
      </w:r>
      <w:proofErr w:type="spellEnd"/>
      <w:r>
        <w:rPr>
          <w:rtl/>
        </w:rPr>
        <w:t xml:space="preserve"> עמד על כך שחתנו תלמיד חכם גדול כשנזדמן לידו פירושו של </w:t>
      </w:r>
      <w:proofErr w:type="spellStart"/>
      <w:r>
        <w:rPr>
          <w:rtl/>
        </w:rPr>
        <w:t>הנצי״ב</w:t>
      </w:r>
      <w:proofErr w:type="spellEnd"/>
      <w:r>
        <w:rPr>
          <w:rtl/>
        </w:rPr>
        <w:t xml:space="preserve"> על הספרי: “בהתרגשות וברגשי שמחה עמוקה החיל אז על חתנו את הפסוק ‘אבן </w:t>
      </w:r>
      <w:r>
        <w:rPr>
          <w:b/>
          <w:bCs/>
          <w:rtl/>
        </w:rPr>
        <w:t>מאסו</w:t>
      </w:r>
      <w:r>
        <w:rPr>
          <w:rtl/>
        </w:rPr>
        <w:t xml:space="preserve"> (ההדגשה שלי) הבונים </w:t>
      </w:r>
      <w:proofErr w:type="spellStart"/>
      <w:r>
        <w:rPr>
          <w:rtl/>
        </w:rPr>
        <w:t>היתה</w:t>
      </w:r>
      <w:proofErr w:type="spellEnd"/>
      <w:r>
        <w:rPr>
          <w:rtl/>
        </w:rPr>
        <w:t xml:space="preserve"> לראש פנה’</w:t>
      </w:r>
      <w:bookmarkStart w:id="1398" w:name="_fnr890"/>
      <w:r>
        <w:rPr>
          <w:rStyle w:val="a5"/>
        </w:rPr>
        <w:footnoteReference w:id="893" w:customMarkFollows="0"/>
      </w:r>
      <w:bookmarkEnd w:id="1398"/>
      <w:r>
        <w:rPr>
          <w:rtl/>
        </w:rPr>
        <w:t>.”</w:t>
      </w:r>
    </w:p>
    <w:p w14:paraId="4C3AA46A" w14:textId="77777777" w:rsidR="00AB3647" w:rsidRDefault="00000000" w:rsidP="007923E9">
      <w:pPr>
        <w:spacing w:after="120" w:line="276" w:lineRule="auto"/>
        <w:ind w:firstLine="283"/>
        <w:jc w:val="both"/>
      </w:pPr>
      <w:r>
        <w:rPr>
          <w:rtl/>
        </w:rPr>
        <w:lastRenderedPageBreak/>
        <w:t>לפי “מקור ברוך”</w:t>
      </w:r>
      <w:bookmarkStart w:id="1399" w:name="_fnr891"/>
      <w:r>
        <w:rPr>
          <w:rStyle w:val="a5"/>
        </w:rPr>
        <w:footnoteReference w:id="894" w:customMarkFollows="0"/>
      </w:r>
      <w:bookmarkEnd w:id="1399"/>
      <w:r>
        <w:rPr>
          <w:rtl/>
        </w:rPr>
        <w:t xml:space="preserve">, תפקידו של ר׳ דוד לוריא נתגלה כשסיפר </w:t>
      </w:r>
      <w:proofErr w:type="spellStart"/>
      <w:r>
        <w:rPr>
          <w:rtl/>
        </w:rPr>
        <w:t>הנצי״ב</w:t>
      </w:r>
      <w:proofErr w:type="spellEnd"/>
      <w:r>
        <w:rPr>
          <w:rtl/>
        </w:rPr>
        <w:t xml:space="preserve"> למחבר הספר שבגלל הבוז שנהגו בו גדולי התורה שקל “לצאת ממחנה הלומדים” לגמרי, אבל ניצל בזכות עידודו של הרב לוריא, “מלאכו הגואל”. </w:t>
      </w:r>
      <w:proofErr w:type="spellStart"/>
      <w:r>
        <w:rPr>
          <w:rtl/>
        </w:rPr>
        <w:t>הרד״ל</w:t>
      </w:r>
      <w:proofErr w:type="spellEnd"/>
      <w:r>
        <w:rPr>
          <w:rtl/>
        </w:rPr>
        <w:t xml:space="preserve"> שכנע אותו </w:t>
      </w:r>
      <w:proofErr w:type="spellStart"/>
      <w:r>
        <w:rPr>
          <w:rtl/>
        </w:rPr>
        <w:t>ש“הסיבה</w:t>
      </w:r>
      <w:proofErr w:type="spellEnd"/>
      <w:r>
        <w:rPr>
          <w:rtl/>
        </w:rPr>
        <w:t xml:space="preserve"> שחבריו הציקו לו היא שקינאו בשקידתו העצומה, שהבטיחה לו עתיד מזהיר ואדיר”</w:t>
      </w:r>
      <w:bookmarkStart w:id="1400" w:name="_fnr892"/>
      <w:r>
        <w:rPr>
          <w:rStyle w:val="a5"/>
        </w:rPr>
        <w:footnoteReference w:id="895" w:customMarkFollows="0"/>
      </w:r>
      <w:bookmarkEnd w:id="1400"/>
      <w:r>
        <w:rPr>
          <w:rtl/>
        </w:rPr>
        <w:t>.</w:t>
      </w:r>
    </w:p>
    <w:p w14:paraId="00C252D3" w14:textId="77777777" w:rsidR="00AB3647" w:rsidRDefault="00000000" w:rsidP="007923E9">
      <w:pPr>
        <w:spacing w:after="120" w:line="276" w:lineRule="auto"/>
        <w:ind w:firstLine="283"/>
        <w:jc w:val="both"/>
      </w:pPr>
      <w:r>
        <w:rPr>
          <w:rtl/>
        </w:rPr>
        <w:t xml:space="preserve">על אף כל “הביקורת” </w:t>
      </w:r>
      <w:proofErr w:type="spellStart"/>
      <w:r>
        <w:rPr>
          <w:rtl/>
        </w:rPr>
        <w:t>וה“בוז</w:t>
      </w:r>
      <w:proofErr w:type="spellEnd"/>
      <w:r>
        <w:rPr>
          <w:rtl/>
        </w:rPr>
        <w:t xml:space="preserve">” של ר׳ </w:t>
      </w:r>
      <w:proofErr w:type="spellStart"/>
      <w:r>
        <w:rPr>
          <w:rtl/>
        </w:rPr>
        <w:t>איצל׳ה</w:t>
      </w:r>
      <w:proofErr w:type="spellEnd"/>
      <w:r>
        <w:rPr>
          <w:rtl/>
        </w:rPr>
        <w:t xml:space="preserve"> כלפי חתנו </w:t>
      </w:r>
      <w:proofErr w:type="spellStart"/>
      <w:r>
        <w:rPr>
          <w:rtl/>
        </w:rPr>
        <w:t>ה“מתבודד</w:t>
      </w:r>
      <w:proofErr w:type="spellEnd"/>
      <w:r>
        <w:rPr>
          <w:rtl/>
        </w:rPr>
        <w:t xml:space="preserve">” </w:t>
      </w:r>
      <w:proofErr w:type="spellStart"/>
      <w:r>
        <w:rPr>
          <w:rtl/>
        </w:rPr>
        <w:t>וה“נמאס</w:t>
      </w:r>
      <w:proofErr w:type="spellEnd"/>
      <w:r>
        <w:rPr>
          <w:rtl/>
        </w:rPr>
        <w:t xml:space="preserve">”, מפתיע לגמרי שהזמין את </w:t>
      </w:r>
      <w:proofErr w:type="spellStart"/>
      <w:r>
        <w:rPr>
          <w:rtl/>
        </w:rPr>
        <w:t>הנצי״ב</w:t>
      </w:r>
      <w:proofErr w:type="spellEnd"/>
      <w:r>
        <w:rPr>
          <w:rtl/>
        </w:rPr>
        <w:t xml:space="preserve"> להשתתף בשיחותיו עם </w:t>
      </w:r>
      <w:proofErr w:type="spellStart"/>
      <w:r>
        <w:rPr>
          <w:rtl/>
        </w:rPr>
        <w:t>ליליינטל</w:t>
      </w:r>
      <w:proofErr w:type="spellEnd"/>
      <w:r>
        <w:rPr>
          <w:rtl/>
        </w:rPr>
        <w:t xml:space="preserve"> – וכך להיות עד להצגת “ההעתק” של פרוטוקול השרים בידי </w:t>
      </w:r>
      <w:proofErr w:type="spellStart"/>
      <w:r>
        <w:rPr>
          <w:rtl/>
        </w:rPr>
        <w:t>ליליינטל</w:t>
      </w:r>
      <w:proofErr w:type="spellEnd"/>
      <w:r>
        <w:rPr>
          <w:rtl/>
        </w:rPr>
        <w:t xml:space="preserve">! מאחר שאין ביכולתנו לקבוע מתי יורטה חליפת המכתבים בין ר׳ דוד לוריא </w:t>
      </w:r>
      <w:proofErr w:type="spellStart"/>
      <w:r>
        <w:rPr>
          <w:rtl/>
        </w:rPr>
        <w:t>לר</w:t>
      </w:r>
      <w:proofErr w:type="spellEnd"/>
      <w:r>
        <w:rPr>
          <w:rtl/>
        </w:rPr>
        <w:t xml:space="preserve">׳ </w:t>
      </w:r>
      <w:proofErr w:type="spellStart"/>
      <w:r>
        <w:rPr>
          <w:rtl/>
        </w:rPr>
        <w:t>נפתלי־צבי־יהודה</w:t>
      </w:r>
      <w:proofErr w:type="spellEnd"/>
      <w:r>
        <w:rPr>
          <w:rtl/>
        </w:rPr>
        <w:t xml:space="preserve"> ברלין (או, לחלופין, מתי ראה חותנו של </w:t>
      </w:r>
      <w:proofErr w:type="spellStart"/>
      <w:r>
        <w:rPr>
          <w:rtl/>
        </w:rPr>
        <w:t>הנצי״ב</w:t>
      </w:r>
      <w:proofErr w:type="spellEnd"/>
      <w:r>
        <w:rPr>
          <w:rtl/>
        </w:rPr>
        <w:t xml:space="preserve"> את כתב ידו על הספרי), נוכל להציע שהדבר אירע 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ושהוא ששם קץ ל “בוזו” של ר׳ </w:t>
      </w:r>
      <w:proofErr w:type="spellStart"/>
      <w:r>
        <w:rPr>
          <w:rtl/>
        </w:rPr>
        <w:t>איצל׳ה</w:t>
      </w:r>
      <w:proofErr w:type="spellEnd"/>
      <w:r>
        <w:rPr>
          <w:rtl/>
        </w:rPr>
        <w:t xml:space="preserve"> </w:t>
      </w:r>
      <w:proofErr w:type="spellStart"/>
      <w:r>
        <w:rPr>
          <w:rtl/>
        </w:rPr>
        <w:t>לנצי״ב</w:t>
      </w:r>
      <w:bookmarkStart w:id="1401" w:name="_fnr893"/>
      <w:proofErr w:type="spellEnd"/>
      <w:r>
        <w:rPr>
          <w:rStyle w:val="a5"/>
        </w:rPr>
        <w:footnoteReference w:id="896" w:customMarkFollows="0"/>
      </w:r>
      <w:bookmarkEnd w:id="1401"/>
      <w:r>
        <w:rPr>
          <w:rtl/>
        </w:rPr>
        <w:t xml:space="preserve">. משום כך נתן לחתנו את ההזדמנות להיכנס </w:t>
      </w:r>
      <w:proofErr w:type="spellStart"/>
      <w:r>
        <w:rPr>
          <w:rtl/>
        </w:rPr>
        <w:t>ל“עולם</w:t>
      </w:r>
      <w:proofErr w:type="spellEnd"/>
      <w:r>
        <w:rPr>
          <w:rtl/>
        </w:rPr>
        <w:t xml:space="preserve"> ענייני הציבור היהודי”, והרשה לו להשתתף בשיחות עם </w:t>
      </w:r>
      <w:proofErr w:type="spellStart"/>
      <w:r>
        <w:rPr>
          <w:rtl/>
        </w:rPr>
        <w:t>ליליינטל</w:t>
      </w:r>
      <w:proofErr w:type="spellEnd"/>
      <w:r>
        <w:rPr>
          <w:rtl/>
        </w:rPr>
        <w:t>.</w:t>
      </w:r>
    </w:p>
    <w:p w14:paraId="39F013BD" w14:textId="77777777" w:rsidR="00AB3647" w:rsidRDefault="00000000" w:rsidP="007923E9">
      <w:pPr>
        <w:spacing w:after="120" w:line="276" w:lineRule="auto"/>
        <w:ind w:firstLine="283"/>
        <w:jc w:val="both"/>
      </w:pPr>
      <w:r>
        <w:rPr>
          <w:rtl/>
        </w:rPr>
        <w:t xml:space="preserve">אבל כשראה ר׳ </w:t>
      </w:r>
      <w:proofErr w:type="spellStart"/>
      <w:r>
        <w:rPr>
          <w:rtl/>
        </w:rPr>
        <w:t>איצל׳ה</w:t>
      </w:r>
      <w:proofErr w:type="spellEnd"/>
      <w:r>
        <w:rPr>
          <w:rtl/>
        </w:rPr>
        <w:t xml:space="preserve"> שחתנו בולע בתמימות את דבריו של </w:t>
      </w:r>
      <w:proofErr w:type="spellStart"/>
      <w:r>
        <w:rPr>
          <w:rtl/>
        </w:rPr>
        <w:t>ליליינטל</w:t>
      </w:r>
      <w:proofErr w:type="spellEnd"/>
      <w:r>
        <w:rPr>
          <w:rtl/>
        </w:rPr>
        <w:t xml:space="preserve">, הבין שר׳ </w:t>
      </w:r>
      <w:proofErr w:type="spellStart"/>
      <w:r>
        <w:rPr>
          <w:rtl/>
        </w:rPr>
        <w:t>נפתלי־צבי־יהודה</w:t>
      </w:r>
      <w:proofErr w:type="spellEnd"/>
      <w:r>
        <w:rPr>
          <w:rtl/>
        </w:rPr>
        <w:t xml:space="preserve"> עדיין אינו מוכן לקבל עליו את תפקיד ההנהגה של כלל ישראל, והחליט שלא לגלות לו את דעתו על כוונות אורחו ואת חששותיו שלו. מותו של ר׳ </w:t>
      </w:r>
      <w:proofErr w:type="spellStart"/>
      <w:r>
        <w:rPr>
          <w:rtl/>
        </w:rPr>
        <w:t>איצל׳ה</w:t>
      </w:r>
      <w:proofErr w:type="spellEnd"/>
      <w:r>
        <w:rPr>
          <w:rtl/>
        </w:rPr>
        <w:t xml:space="preserve"> כעבור שבע שנים הותיר את </w:t>
      </w:r>
      <w:proofErr w:type="spellStart"/>
      <w:r>
        <w:rPr>
          <w:rtl/>
        </w:rPr>
        <w:t>הנצי״ב</w:t>
      </w:r>
      <w:proofErr w:type="spellEnd"/>
      <w:r>
        <w:rPr>
          <w:rtl/>
        </w:rPr>
        <w:t xml:space="preserve"> בלי שידע על כך לעולם.</w:t>
      </w:r>
    </w:p>
    <w:p w14:paraId="4A31FE25" w14:textId="77777777" w:rsidR="00AB3647" w:rsidRDefault="00000000" w:rsidP="007923E9">
      <w:pPr>
        <w:pStyle w:val="4"/>
        <w:spacing w:line="276" w:lineRule="auto"/>
      </w:pPr>
      <w:r>
        <w:t>· הפסקה העשרים ·</w:t>
      </w:r>
    </w:p>
    <w:p w14:paraId="7AEFB77E" w14:textId="77777777" w:rsidR="00AB3647" w:rsidRDefault="00000000" w:rsidP="007923E9">
      <w:pPr>
        <w:pStyle w:val="5"/>
        <w:spacing w:line="276" w:lineRule="auto"/>
      </w:pPr>
      <w:r>
        <w:t xml:space="preserve">השערות שונות מוצעות לסיבת בריחתו של </w:t>
      </w:r>
      <w:proofErr w:type="spellStart"/>
      <w:r>
        <w:t>ליליינטל</w:t>
      </w:r>
      <w:proofErr w:type="spellEnd"/>
      <w:r>
        <w:t xml:space="preserve"> – הן מופרכות</w:t>
      </w:r>
    </w:p>
    <w:p w14:paraId="595F45BF" w14:textId="77777777" w:rsidR="00AB3647" w:rsidRDefault="00000000" w:rsidP="007923E9">
      <w:pPr>
        <w:spacing w:after="120" w:line="276" w:lineRule="auto"/>
        <w:ind w:firstLine="283"/>
        <w:jc w:val="both"/>
      </w:pPr>
      <w:r>
        <w:rPr>
          <w:rtl/>
        </w:rPr>
        <w:t xml:space="preserve">לפי דברי </w:t>
      </w:r>
      <w:proofErr w:type="spellStart"/>
      <w:r>
        <w:rPr>
          <w:rtl/>
        </w:rPr>
        <w:t>הנצי״ב</w:t>
      </w:r>
      <w:proofErr w:type="spellEnd"/>
      <w:r>
        <w:rPr>
          <w:rtl/>
        </w:rPr>
        <w:t xml:space="preserve"> שהובאו לעיל, הסיבה לבריחתו של </w:t>
      </w:r>
      <w:proofErr w:type="spellStart"/>
      <w:r>
        <w:rPr>
          <w:rtl/>
        </w:rPr>
        <w:t>ליליינטל</w:t>
      </w:r>
      <w:proofErr w:type="spellEnd"/>
      <w:r>
        <w:rPr>
          <w:rtl/>
        </w:rPr>
        <w:t xml:space="preserve"> מתפקידו לא הייתה ידועה בשעה שאירעה, ונשארה בלתי ידועה גם כשדיבר </w:t>
      </w:r>
      <w:proofErr w:type="spellStart"/>
      <w:r>
        <w:rPr>
          <w:rtl/>
        </w:rPr>
        <w:t>הנצי״ב</w:t>
      </w:r>
      <w:proofErr w:type="spellEnd"/>
      <w:r>
        <w:rPr>
          <w:rtl/>
        </w:rPr>
        <w:t xml:space="preserve"> על העניין עם בן אחותו, כשלושים שנה אחר כך. לדברי ר׳ </w:t>
      </w:r>
      <w:proofErr w:type="spellStart"/>
      <w:r>
        <w:rPr>
          <w:rtl/>
        </w:rPr>
        <w:t>נפתלי־צבי־יהודה</w:t>
      </w:r>
      <w:proofErr w:type="spellEnd"/>
      <w:r>
        <w:rPr>
          <w:rtl/>
        </w:rPr>
        <w:t xml:space="preserve"> ברלין, במשך שלושת העשורים האלה הועלו “השערות, חקירות ורעיונות” רבים בלי להגיע לאמת, והעניין “נעבר כטמון במצולות ים” – עד שהציע </w:t>
      </w:r>
      <w:proofErr w:type="spellStart"/>
      <w:r>
        <w:rPr>
          <w:rtl/>
        </w:rPr>
        <w:t>הנצי״ב</w:t>
      </w:r>
      <w:proofErr w:type="spellEnd"/>
      <w:r>
        <w:rPr>
          <w:rtl/>
        </w:rPr>
        <w:t xml:space="preserve"> עצמו את הסברו, שבריחתו של </w:t>
      </w:r>
      <w:proofErr w:type="spellStart"/>
      <w:r>
        <w:rPr>
          <w:rtl/>
        </w:rPr>
        <w:t>ליליינטל</w:t>
      </w:r>
      <w:proofErr w:type="spellEnd"/>
      <w:r>
        <w:rPr>
          <w:rtl/>
        </w:rPr>
        <w:t xml:space="preserve"> לא הייתה אלא ביטוי לנאמנותו לאמונתו.</w:t>
      </w:r>
    </w:p>
    <w:p w14:paraId="37039CA9" w14:textId="77777777" w:rsidR="00AB3647" w:rsidRDefault="00000000" w:rsidP="007923E9">
      <w:pPr>
        <w:spacing w:after="120" w:line="276" w:lineRule="auto"/>
        <w:ind w:firstLine="283"/>
        <w:jc w:val="both"/>
      </w:pPr>
      <w:r>
        <w:rPr>
          <w:rtl/>
        </w:rPr>
        <w:t xml:space="preserve">בחיפוש אחר הסיבה לבריחתו של </w:t>
      </w:r>
      <w:proofErr w:type="spellStart"/>
      <w:r>
        <w:rPr>
          <w:rtl/>
        </w:rPr>
        <w:t>ליליינטל</w:t>
      </w:r>
      <w:proofErr w:type="spellEnd"/>
      <w:r>
        <w:rPr>
          <w:rtl/>
        </w:rPr>
        <w:t xml:space="preserve"> מציע המאמר </w:t>
      </w:r>
      <w:proofErr w:type="spellStart"/>
      <w:r>
        <w:rPr>
          <w:rtl/>
        </w:rPr>
        <w:t>ב“השלח</w:t>
      </w:r>
      <w:proofErr w:type="spellEnd"/>
      <w:r>
        <w:rPr>
          <w:rtl/>
        </w:rPr>
        <w:t>” משנת 1912</w:t>
      </w:r>
      <w:bookmarkStart w:id="1402" w:name="_fnr894"/>
      <w:r>
        <w:rPr>
          <w:rStyle w:val="a5"/>
        </w:rPr>
        <w:footnoteReference w:id="897" w:customMarkFollows="0"/>
      </w:r>
      <w:bookmarkEnd w:id="1402"/>
      <w:r>
        <w:rPr>
          <w:rtl/>
        </w:rPr>
        <w:t xml:space="preserve"> שלוש סיבות להחלטתו: “שחזה צרות רבות וקשות שיבואו על יהודי רוסיה, וחשש שהיהודים ישפכו עליו את חמתם על שהטעה אותם בשקרים; שממשלת רוסיה לא נענתה לדרישתו התקיפה להביא לבתי הספר מורים שהוכשרו בגרמניה; ושערכו ירד בעיני רבים בעקבות פרסום </w:t>
      </w:r>
      <w:r>
        <w:rPr>
          <w:rtl/>
        </w:rPr>
        <w:lastRenderedPageBreak/>
        <w:t xml:space="preserve">החוברת ‘מגיד אמת’.” המאמר מודה שכל סיבה לעצמה אינה מכרעת, אבל מציע </w:t>
      </w:r>
      <w:proofErr w:type="spellStart"/>
      <w:r>
        <w:rPr>
          <w:rtl/>
        </w:rPr>
        <w:t>ש“כולן</w:t>
      </w:r>
      <w:proofErr w:type="spellEnd"/>
      <w:r>
        <w:rPr>
          <w:rtl/>
        </w:rPr>
        <w:t xml:space="preserve"> (יחד)” הביאו את </w:t>
      </w:r>
      <w:proofErr w:type="spellStart"/>
      <w:r>
        <w:rPr>
          <w:rtl/>
        </w:rPr>
        <w:t>ליליינטל</w:t>
      </w:r>
      <w:proofErr w:type="spellEnd"/>
      <w:r>
        <w:rPr>
          <w:rtl/>
        </w:rPr>
        <w:t xml:space="preserve"> לעזוב “בסתר ובחיפזון”.</w:t>
      </w:r>
    </w:p>
    <w:p w14:paraId="209DC4EE" w14:textId="77777777" w:rsidR="00AB3647" w:rsidRDefault="00000000" w:rsidP="007923E9">
      <w:pPr>
        <w:spacing w:after="120" w:line="276" w:lineRule="auto"/>
        <w:ind w:firstLine="283"/>
        <w:jc w:val="both"/>
      </w:pPr>
      <w:r>
        <w:rPr>
          <w:rtl/>
        </w:rPr>
        <w:t>סטניסלבסקי</w:t>
      </w:r>
      <w:bookmarkStart w:id="1403" w:name="_fnr895"/>
      <w:r>
        <w:rPr>
          <w:rStyle w:val="a5"/>
        </w:rPr>
        <w:footnoteReference w:id="898" w:customMarkFollows="0"/>
      </w:r>
      <w:bookmarkEnd w:id="1403"/>
      <w:r>
        <w:rPr>
          <w:rtl/>
        </w:rPr>
        <w:t xml:space="preserve"> מספר </w:t>
      </w:r>
      <w:proofErr w:type="spellStart"/>
      <w:r>
        <w:rPr>
          <w:rtl/>
        </w:rPr>
        <w:t>ש“מקס</w:t>
      </w:r>
      <w:proofErr w:type="spellEnd"/>
      <w:r>
        <w:rPr>
          <w:rtl/>
        </w:rPr>
        <w:t xml:space="preserve"> </w:t>
      </w:r>
      <w:proofErr w:type="spellStart"/>
      <w:r>
        <w:rPr>
          <w:rtl/>
        </w:rPr>
        <w:t>ליליינטל</w:t>
      </w:r>
      <w:proofErr w:type="spellEnd"/>
      <w:r>
        <w:rPr>
          <w:rtl/>
        </w:rPr>
        <w:t xml:space="preserve"> עזב את רוסיה ב(קיץ 1845), שהה זמן קצר בגרמניה ויצא לארצות הברית, שם נעשה למנהיג חשוב של התנועה הרפורמית”, וקובע: “מאז [ואילך]” – כלומר, יותר ממאה שנה אחרי שהכריז </w:t>
      </w:r>
      <w:proofErr w:type="spellStart"/>
      <w:r>
        <w:rPr>
          <w:rtl/>
        </w:rPr>
        <w:t>הנצי״ב</w:t>
      </w:r>
      <w:proofErr w:type="spellEnd"/>
      <w:r>
        <w:rPr>
          <w:rtl/>
        </w:rPr>
        <w:t xml:space="preserve"> שבריחתו של </w:t>
      </w:r>
      <w:proofErr w:type="spellStart"/>
      <w:r>
        <w:rPr>
          <w:rtl/>
        </w:rPr>
        <w:t>ליליינטל</w:t>
      </w:r>
      <w:proofErr w:type="spellEnd"/>
      <w:r>
        <w:rPr>
          <w:rtl/>
        </w:rPr>
        <w:t xml:space="preserve"> היא תעלומה – “הרהרו היסטוריונים ופרשנים במעשיו של </w:t>
      </w:r>
      <w:proofErr w:type="spellStart"/>
      <w:r>
        <w:rPr>
          <w:rtl/>
        </w:rPr>
        <w:t>ליליינטל</w:t>
      </w:r>
      <w:proofErr w:type="spellEnd"/>
      <w:r>
        <w:rPr>
          <w:rtl/>
        </w:rPr>
        <w:t xml:space="preserve"> והעלו עשר השערות שונות כדי להסבירם.” הוא ממשיך ומונה את ההשערות השונות, דוחה רבות מהן על הסף, ומוכיח שגם האחרות אינן נכונות.</w:t>
      </w:r>
    </w:p>
    <w:p w14:paraId="5F98A784" w14:textId="77777777" w:rsidR="00AB3647" w:rsidRDefault="00000000" w:rsidP="007923E9">
      <w:pPr>
        <w:spacing w:after="120" w:line="276" w:lineRule="auto"/>
        <w:ind w:firstLine="283"/>
        <w:jc w:val="both"/>
      </w:pPr>
      <w:r>
        <w:rPr>
          <w:rtl/>
        </w:rPr>
        <w:t>סטניסלבסקי דוחה בצדק</w:t>
      </w:r>
      <w:bookmarkStart w:id="1404" w:name="_fnr896"/>
      <w:r>
        <w:rPr>
          <w:rStyle w:val="a5"/>
        </w:rPr>
        <w:footnoteReference w:id="899" w:customMarkFollows="0"/>
      </w:r>
      <w:bookmarkEnd w:id="1404"/>
      <w:r>
        <w:rPr>
          <w:rtl/>
        </w:rPr>
        <w:t xml:space="preserve"> את ההשערות (א) </w:t>
      </w:r>
      <w:proofErr w:type="spellStart"/>
      <w:r>
        <w:rPr>
          <w:rtl/>
        </w:rPr>
        <w:t>שליליינטל</w:t>
      </w:r>
      <w:proofErr w:type="spellEnd"/>
      <w:r>
        <w:rPr>
          <w:rtl/>
        </w:rPr>
        <w:t xml:space="preserve"> חשש מזעם ההמונים היהודיים (כפי שהציע המאמר </w:t>
      </w:r>
      <w:proofErr w:type="spellStart"/>
      <w:r>
        <w:rPr>
          <w:rtl/>
        </w:rPr>
        <w:t>ב“השלח</w:t>
      </w:r>
      <w:proofErr w:type="spellEnd"/>
      <w:r>
        <w:rPr>
          <w:rtl/>
        </w:rPr>
        <w:t xml:space="preserve">” משנת 1912 הנ״ל), (ב) שלא היה שבע רצון מתוכנית הלימודים נטולת התלמוד שקבע </w:t>
      </w:r>
      <w:proofErr w:type="spellStart"/>
      <w:r>
        <w:rPr>
          <w:rtl/>
        </w:rPr>
        <w:t>האוקאז</w:t>
      </w:r>
      <w:proofErr w:type="spellEnd"/>
      <w:r>
        <w:rPr>
          <w:rtl/>
        </w:rPr>
        <w:t xml:space="preserve">, (ג) שהמורים הגרמנים שהמליץ עליהם נדחו (שוב, כפי שהציע המאמר </w:t>
      </w:r>
      <w:proofErr w:type="spellStart"/>
      <w:r>
        <w:rPr>
          <w:rtl/>
        </w:rPr>
        <w:t>ב“השלח</w:t>
      </w:r>
      <w:proofErr w:type="spellEnd"/>
      <w:r>
        <w:rPr>
          <w:rtl/>
        </w:rPr>
        <w:t>”), ו־(ד) שנפגע מפני שהרוסים ניסו להמיר אותו לנצרות – מהלך שהיה פוגע במאמציהם לשפר את החינוך היהודי.</w:t>
      </w:r>
    </w:p>
    <w:p w14:paraId="7E5F509C" w14:textId="77777777" w:rsidR="00AB3647" w:rsidRDefault="00000000" w:rsidP="007923E9">
      <w:pPr>
        <w:spacing w:after="120" w:line="276" w:lineRule="auto"/>
        <w:ind w:firstLine="283"/>
        <w:jc w:val="both"/>
      </w:pPr>
      <w:r>
        <w:rPr>
          <w:rtl/>
        </w:rPr>
        <w:t>סטניסלבסקי</w:t>
      </w:r>
      <w:bookmarkStart w:id="1405" w:name="_fnr897"/>
      <w:r>
        <w:rPr>
          <w:rStyle w:val="a5"/>
        </w:rPr>
        <w:footnoteReference w:id="900" w:customMarkFollows="0"/>
      </w:r>
      <w:bookmarkEnd w:id="1405"/>
      <w:r>
        <w:rPr>
          <w:rtl/>
        </w:rPr>
        <w:t xml:space="preserve"> שולל גם את “התזה הנפוצה ביותר”, </w:t>
      </w:r>
      <w:proofErr w:type="spellStart"/>
      <w:r>
        <w:rPr>
          <w:rtl/>
        </w:rPr>
        <w:t>שהנצי״ב</w:t>
      </w:r>
      <w:proofErr w:type="spellEnd"/>
      <w:r>
        <w:rPr>
          <w:rtl/>
        </w:rPr>
        <w:t xml:space="preserve">, ביסודו של דבר, החזיק בה: </w:t>
      </w:r>
      <w:proofErr w:type="spellStart"/>
      <w:r>
        <w:rPr>
          <w:rtl/>
        </w:rPr>
        <w:t>ש“ליליינטל</w:t>
      </w:r>
      <w:proofErr w:type="spellEnd"/>
      <w:r>
        <w:rPr>
          <w:rtl/>
        </w:rPr>
        <w:t xml:space="preserve"> התפכח ממטרות הממשלה והבין שהולך שולל בידי משטר צבוע שחתר להחליש את הדת היהודית, ולא להיטיב עם היהודים</w:t>
      </w:r>
      <w:bookmarkStart w:id="1406" w:name="_fnr898"/>
      <w:r>
        <w:rPr>
          <w:rStyle w:val="a5"/>
        </w:rPr>
        <w:footnoteReference w:id="901" w:customMarkFollows="0"/>
      </w:r>
      <w:bookmarkEnd w:id="1406"/>
      <w:r>
        <w:rPr>
          <w:rtl/>
        </w:rPr>
        <w:t xml:space="preserve">”; או, בגרסה חריפה יותר של אותה תזה, “שנשתכנע שמטרת בתי הספר היא להמיר את היהודים לנצרות”; או “שנודע לו על התזכיר הסודי כביכול (שפורסם לבסוף בשנת 1866 [יחד עם מסמכים אחרים של המשרד מן השנים 1814–1864]), שבו גילה </w:t>
      </w:r>
      <w:proofErr w:type="spellStart"/>
      <w:r>
        <w:rPr>
          <w:rtl/>
        </w:rPr>
        <w:t>אוברוב</w:t>
      </w:r>
      <w:proofErr w:type="spellEnd"/>
      <w:r>
        <w:rPr>
          <w:rtl/>
        </w:rPr>
        <w:t>, שר הדתות וההשכלה, את מניעיו המיסיונריים האמיתיים, וחשף ש(הוא) דיבר עם הצאר על החשיבות שבהקמת בתי המדרש לרבנים ‘כדי שעל ידי בוגריהם יתחילו היהודים לבוז לתלמוד, שהוא המכשול בדרך המרתם לנצרות’</w:t>
      </w:r>
      <w:bookmarkStart w:id="1407" w:name="_fnr899"/>
      <w:r>
        <w:rPr>
          <w:rStyle w:val="a5"/>
        </w:rPr>
        <w:footnoteReference w:id="902" w:customMarkFollows="0"/>
      </w:r>
      <w:bookmarkEnd w:id="1407"/>
      <w:r>
        <w:rPr>
          <w:rtl/>
        </w:rPr>
        <w:t>”.</w:t>
      </w:r>
    </w:p>
    <w:p w14:paraId="29A472D3" w14:textId="77777777" w:rsidR="00AB3647" w:rsidRDefault="00000000" w:rsidP="007923E9">
      <w:pPr>
        <w:spacing w:after="120" w:line="276" w:lineRule="auto"/>
        <w:ind w:firstLine="283"/>
        <w:jc w:val="both"/>
      </w:pPr>
      <w:r>
        <w:rPr>
          <w:rtl/>
        </w:rPr>
        <w:t>סטניסלבסקי</w:t>
      </w:r>
      <w:bookmarkStart w:id="1408" w:name="_fnr900"/>
      <w:r>
        <w:rPr>
          <w:rStyle w:val="a5"/>
        </w:rPr>
        <w:footnoteReference w:id="903" w:customMarkFollows="0"/>
      </w:r>
      <w:bookmarkEnd w:id="1408"/>
      <w:r>
        <w:rPr>
          <w:rtl/>
        </w:rPr>
        <w:t xml:space="preserve"> מוכיח שהתזה </w:t>
      </w:r>
      <w:proofErr w:type="spellStart"/>
      <w:r>
        <w:rPr>
          <w:rtl/>
        </w:rPr>
        <w:t>שליליינטל</w:t>
      </w:r>
      <w:proofErr w:type="spellEnd"/>
      <w:r>
        <w:rPr>
          <w:rtl/>
        </w:rPr>
        <w:t xml:space="preserve"> עזב את רוסיה מפני שנודע לו על התזכיר הסודי מופרכת, שכן “מלבד העובדה שלא הזכיר מסמך זה אפילו פעם אחת, לא היה בתזכיר דבר שהיה מפתיע אותו כלל. אדרבה, </w:t>
      </w:r>
      <w:proofErr w:type="spellStart"/>
      <w:r>
        <w:rPr>
          <w:rtl/>
        </w:rPr>
        <w:t>ליליינטל</w:t>
      </w:r>
      <w:proofErr w:type="spellEnd"/>
      <w:r>
        <w:rPr>
          <w:rtl/>
        </w:rPr>
        <w:t xml:space="preserve"> היה שותף במידה רבה לנטייתו האידאולוגית והאינטלקטואלית של </w:t>
      </w:r>
      <w:proofErr w:type="spellStart"/>
      <w:r>
        <w:rPr>
          <w:rtl/>
        </w:rPr>
        <w:t>אוברוב</w:t>
      </w:r>
      <w:bookmarkStart w:id="1409" w:name="_fnr901"/>
      <w:proofErr w:type="spellEnd"/>
      <w:r>
        <w:rPr>
          <w:rStyle w:val="a5"/>
        </w:rPr>
        <w:footnoteReference w:id="904" w:customMarkFollows="0"/>
      </w:r>
      <w:bookmarkEnd w:id="1409"/>
      <w:r>
        <w:rPr>
          <w:rtl/>
        </w:rPr>
        <w:t xml:space="preserve">. עד שעזב את רוסיה לא הביע מעולם דבר מלבד אמון גמור ומוחלט במטרות הממשלה ובמדיניותה. רק כמה שנים אחרי שבא לאמריקה הביע לראשונה רגשות שליליים, ואף מלאי ארס, כלפי ניקולאי ומשטרו. בסדרת מאמרים סקר את כל תולדות היהודים ברוסיה כרצף של רדיפות וסבל בלי הפוגה, והסיק שאין שום תקווה ליהודי רוסיה. אולם מעולם לא קשר את ההכרה המאוחרת הזאת לנטישת שליחותו הרוסית, ולא הייתה לו </w:t>
      </w:r>
      <w:r>
        <w:rPr>
          <w:rtl/>
        </w:rPr>
        <w:lastRenderedPageBreak/>
        <w:t>שום סיבה לשתוק בעניין זה. למעשה קשר את חוסר התקווה שבמצב יהודי רוסיה לשינוי במדיניות הקיסרית, שלדבריו המפורשים אירע ב־13 בנובמבר 1845 – חמישה חודשים אחרי שכבר עזב את המדינה.</w:t>
      </w:r>
      <w:bookmarkStart w:id="1410" w:name="_fnr902"/>
      <w:r>
        <w:rPr>
          <w:rStyle w:val="a5"/>
        </w:rPr>
        <w:footnoteReference w:id="905" w:customMarkFollows="0"/>
      </w:r>
      <w:bookmarkEnd w:id="1410"/>
      <w:r>
        <w:rPr>
          <w:rtl/>
        </w:rPr>
        <w:t>”</w:t>
      </w:r>
    </w:p>
    <w:p w14:paraId="24D5CFC3" w14:textId="77777777" w:rsidR="00AB3647" w:rsidRDefault="00000000" w:rsidP="007923E9">
      <w:pPr>
        <w:pStyle w:val="4"/>
        <w:spacing w:line="276" w:lineRule="auto"/>
      </w:pPr>
      <w:r>
        <w:t>· הפסקה העשרים ואחת ·</w:t>
      </w:r>
    </w:p>
    <w:p w14:paraId="39902DC7" w14:textId="77777777" w:rsidR="00AB3647" w:rsidRDefault="00000000" w:rsidP="007923E9">
      <w:pPr>
        <w:pStyle w:val="5"/>
        <w:spacing w:line="276" w:lineRule="auto"/>
      </w:pPr>
      <w:proofErr w:type="spellStart"/>
      <w:r>
        <w:t>ליליינטל</w:t>
      </w:r>
      <w:proofErr w:type="spellEnd"/>
      <w:r>
        <w:t xml:space="preserve"> מפרסם סיבה כוזבת לעזיבתו את רוסיה</w:t>
      </w:r>
    </w:p>
    <w:p w14:paraId="6B38FF23"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עצמו פרסם מאמר</w:t>
      </w:r>
      <w:bookmarkStart w:id="1411" w:name="_fnr903"/>
      <w:r>
        <w:rPr>
          <w:rStyle w:val="a5"/>
        </w:rPr>
        <w:footnoteReference w:id="906" w:customMarkFollows="0"/>
      </w:r>
      <w:bookmarkEnd w:id="1411"/>
      <w:r>
        <w:rPr>
          <w:rtl/>
        </w:rPr>
        <w:t xml:space="preserve"> עשרים וחמש שנה אחרי שעזב את רוסיה, ובו טען שכשהוציא הצאר ניקולאי את הגזרה מ־20 באפריל 1843, האוסרת על יהודים לגור בתחום 50 </w:t>
      </w:r>
      <w:proofErr w:type="spellStart"/>
      <w:r>
        <w:rPr>
          <w:rtl/>
        </w:rPr>
        <w:t>ורסטאות</w:t>
      </w:r>
      <w:proofErr w:type="spellEnd"/>
      <w:r>
        <w:rPr>
          <w:rtl/>
        </w:rPr>
        <w:t xml:space="preserve"> מגבולות פרוסיה ואוסטריה, “החליט (</w:t>
      </w:r>
      <w:proofErr w:type="spellStart"/>
      <w:r>
        <w:rPr>
          <w:rtl/>
        </w:rPr>
        <w:t>בלבו</w:t>
      </w:r>
      <w:proofErr w:type="spellEnd"/>
      <w:r>
        <w:rPr>
          <w:rtl/>
        </w:rPr>
        <w:t xml:space="preserve">) לעזוב את השירות הקיסרי, וביולי 1845 (כעבור שנתיים, הוא) יצא מפטרבורג אל חופי ארץ זכויות האדם והחירות (ארצות הברית)”. סטניסלבסקי מוכיח </w:t>
      </w:r>
      <w:proofErr w:type="spellStart"/>
      <w:r>
        <w:rPr>
          <w:rtl/>
        </w:rPr>
        <w:t>שליליינטל</w:t>
      </w:r>
      <w:proofErr w:type="spellEnd"/>
      <w:r>
        <w:rPr>
          <w:rtl/>
        </w:rPr>
        <w:t xml:space="preserve"> שיקר, שהרי אפילו </w:t>
      </w:r>
      <w:proofErr w:type="spellStart"/>
      <w:r>
        <w:rPr>
          <w:rtl/>
        </w:rPr>
        <w:t>חמישה־עשר</w:t>
      </w:r>
      <w:proofErr w:type="spellEnd"/>
      <w:r>
        <w:rPr>
          <w:rtl/>
        </w:rPr>
        <w:t xml:space="preserve"> חודשים אחרי שפורסמה הגזרה, ושישה חודשים אחרי שנדחה ערעור </w:t>
      </w:r>
      <w:r>
        <w:rPr>
          <w:b/>
          <w:bCs/>
          <w:rtl/>
        </w:rPr>
        <w:t>נגד</w:t>
      </w:r>
      <w:r>
        <w:rPr>
          <w:rtl/>
        </w:rPr>
        <w:t xml:space="preserve"> הגזרה (ב־10 בינואר 1844), כתב </w:t>
      </w:r>
      <w:proofErr w:type="spellStart"/>
      <w:r>
        <w:rPr>
          <w:rtl/>
        </w:rPr>
        <w:t>ליליינטל</w:t>
      </w:r>
      <w:proofErr w:type="spellEnd"/>
      <w:r>
        <w:rPr>
          <w:rtl/>
        </w:rPr>
        <w:t xml:space="preserve"> לאבי ארוסתו מכתב (מיום 6 ביולי 1844), ובו “ניבא עתיד מזהיר (לעצמו) ברוסיה”.</w:t>
      </w:r>
    </w:p>
    <w:p w14:paraId="04A0C560" w14:textId="77777777" w:rsidR="00AB3647" w:rsidRDefault="00000000" w:rsidP="007923E9">
      <w:pPr>
        <w:spacing w:after="120" w:line="276" w:lineRule="auto"/>
        <w:ind w:firstLine="283"/>
        <w:jc w:val="both"/>
      </w:pPr>
      <w:r>
        <w:rPr>
          <w:rtl/>
        </w:rPr>
        <w:t xml:space="preserve">אחרי שהזכיר את אכזבתו מגזרת 50 </w:t>
      </w:r>
      <w:proofErr w:type="spellStart"/>
      <w:r>
        <w:rPr>
          <w:rtl/>
        </w:rPr>
        <w:t>הוורסטאות</w:t>
      </w:r>
      <w:bookmarkStart w:id="1412" w:name="_fnr904"/>
      <w:proofErr w:type="spellEnd"/>
      <w:r>
        <w:rPr>
          <w:rStyle w:val="a5"/>
        </w:rPr>
        <w:footnoteReference w:id="907" w:customMarkFollows="0"/>
      </w:r>
      <w:bookmarkEnd w:id="1412"/>
      <w:r>
        <w:rPr>
          <w:rtl/>
        </w:rPr>
        <w:t>, כתב</w:t>
      </w:r>
      <w:bookmarkStart w:id="1413" w:name="_fnr905"/>
      <w:r>
        <w:rPr>
          <w:rStyle w:val="a5"/>
        </w:rPr>
        <w:footnoteReference w:id="908" w:customMarkFollows="0"/>
      </w:r>
      <w:bookmarkEnd w:id="1413"/>
      <w:r>
        <w:rPr>
          <w:rtl/>
        </w:rPr>
        <w:t xml:space="preserve">: “נראה ודאי שהחקיקה היהודית החדשה [בעניין בתי הספר] תושלם עד סוף השנה... לכן אני יכול לחזור ולומר לך כאן מה שהודעתי לך קודם לכן, דהיינו שמובטחת לי משרה שמשכורתה 1,000 רובל.” חמישה חודשים אחר כך, בדצמבר 1844, ושוב כעבור שלושה חודשים, ב־19 בפברואר 1845, כתב לארוסתו שכשיבוא למינכן במאי ישהה שם שלושה שבועות בלבד, מפני שעליו למהר ולחזור למשרתו בפטרבורג, ושבינתיים עליה להכין את נדונייתה. ברור אם כן שעשרים ושניים חודשים אחרי </w:t>
      </w:r>
      <w:proofErr w:type="spellStart"/>
      <w:r>
        <w:rPr>
          <w:rtl/>
        </w:rPr>
        <w:t>שליליינטל</w:t>
      </w:r>
      <w:proofErr w:type="spellEnd"/>
      <w:r>
        <w:rPr>
          <w:rtl/>
        </w:rPr>
        <w:t xml:space="preserve"> טען שהחליט “לעזוב את השירות הקיסרי” עדיין תכנן להישאר במשרתו.</w:t>
      </w:r>
    </w:p>
    <w:p w14:paraId="26C09778" w14:textId="77777777" w:rsidR="00AB3647" w:rsidRDefault="00000000" w:rsidP="007923E9">
      <w:pPr>
        <w:pStyle w:val="4"/>
        <w:spacing w:line="276" w:lineRule="auto"/>
      </w:pPr>
      <w:r>
        <w:t>· הפסקה העשרים ושתיים ·</w:t>
      </w:r>
    </w:p>
    <w:p w14:paraId="457F94C9" w14:textId="77777777" w:rsidR="00AB3647" w:rsidRDefault="00000000" w:rsidP="007923E9">
      <w:pPr>
        <w:pStyle w:val="5"/>
        <w:spacing w:line="276" w:lineRule="auto"/>
      </w:pPr>
      <w:r>
        <w:t xml:space="preserve">השאלה מדוע עזב </w:t>
      </w:r>
      <w:proofErr w:type="spellStart"/>
      <w:r>
        <w:t>ליליינטל</w:t>
      </w:r>
      <w:proofErr w:type="spellEnd"/>
      <w:r>
        <w:t xml:space="preserve"> את רוסיה נשארת פתוחה – הוא נוטה להגזמה דרמטית – הסיבה שהוא בודה אינה קשורה לעבודתו בשביל </w:t>
      </w:r>
      <w:proofErr w:type="spellStart"/>
      <w:r>
        <w:t>אוברוב</w:t>
      </w:r>
      <w:proofErr w:type="spellEnd"/>
    </w:p>
    <w:p w14:paraId="4A7BB3B8" w14:textId="77777777" w:rsidR="00AB3647" w:rsidRDefault="00000000" w:rsidP="007923E9">
      <w:pPr>
        <w:spacing w:after="120" w:line="276" w:lineRule="auto"/>
        <w:ind w:firstLine="283"/>
        <w:jc w:val="both"/>
      </w:pPr>
      <w:r>
        <w:rPr>
          <w:rtl/>
        </w:rPr>
        <w:t>סטניסלבסקי</w:t>
      </w:r>
      <w:bookmarkStart w:id="1414" w:name="_fnr906"/>
      <w:r>
        <w:rPr>
          <w:rStyle w:val="a5"/>
        </w:rPr>
        <w:footnoteReference w:id="909" w:customMarkFollows="0"/>
      </w:r>
      <w:bookmarkEnd w:id="1414"/>
      <w:r>
        <w:rPr>
          <w:rtl/>
        </w:rPr>
        <w:t xml:space="preserve"> נשאר עם השאלות: “מדוע לא [נשאר </w:t>
      </w:r>
      <w:proofErr w:type="spellStart"/>
      <w:r>
        <w:rPr>
          <w:rtl/>
        </w:rPr>
        <w:t>ליליינטל</w:t>
      </w:r>
      <w:proofErr w:type="spellEnd"/>
      <w:r>
        <w:rPr>
          <w:rtl/>
        </w:rPr>
        <w:t xml:space="preserve"> ברוסיה], ומדוע לא גילה מעולם מדוע?” נעמיק אם כן בעניין זה.</w:t>
      </w:r>
    </w:p>
    <w:p w14:paraId="06AA6560" w14:textId="77777777" w:rsidR="00AB3647" w:rsidRDefault="00000000" w:rsidP="007923E9">
      <w:pPr>
        <w:spacing w:after="120" w:line="276" w:lineRule="auto"/>
        <w:ind w:firstLine="283"/>
        <w:jc w:val="both"/>
      </w:pPr>
      <w:r>
        <w:rPr>
          <w:rtl/>
        </w:rPr>
        <w:lastRenderedPageBreak/>
        <w:t xml:space="preserve">כפי שעולה ממכתביו, </w:t>
      </w:r>
      <w:proofErr w:type="spellStart"/>
      <w:r>
        <w:rPr>
          <w:rtl/>
        </w:rPr>
        <w:t>ליליינטל</w:t>
      </w:r>
      <w:proofErr w:type="spellEnd"/>
      <w:r>
        <w:rPr>
          <w:rtl/>
        </w:rPr>
        <w:t xml:space="preserve"> היה חנפן ואופורטוניסט. כך, למשל, כתב לאחיו שמואל</w:t>
      </w:r>
      <w:bookmarkStart w:id="1415" w:name="_fnr907"/>
      <w:r>
        <w:rPr>
          <w:rStyle w:val="a5"/>
        </w:rPr>
        <w:footnoteReference w:id="910" w:customMarkFollows="0"/>
      </w:r>
      <w:bookmarkEnd w:id="1415"/>
      <w:r>
        <w:rPr>
          <w:rtl/>
        </w:rPr>
        <w:t xml:space="preserve"> כיצד התוודע </w:t>
      </w:r>
      <w:proofErr w:type="spellStart"/>
      <w:r>
        <w:rPr>
          <w:rtl/>
        </w:rPr>
        <w:t>לאוברוב</w:t>
      </w:r>
      <w:proofErr w:type="spellEnd"/>
      <w:r>
        <w:rPr>
          <w:rtl/>
        </w:rPr>
        <w:t xml:space="preserve">: “הצגתי את עצמי לפני השר [בהגשת תוכנית להקמת </w:t>
      </w:r>
      <w:proofErr w:type="spellStart"/>
      <w:r>
        <w:rPr>
          <w:rtl/>
        </w:rPr>
        <w:t>קונסיסטוריות</w:t>
      </w:r>
      <w:proofErr w:type="spellEnd"/>
      <w:r>
        <w:rPr>
          <w:rtl/>
        </w:rPr>
        <w:t xml:space="preserve">] – לעולם אין להניח לשעה </w:t>
      </w:r>
      <w:proofErr w:type="spellStart"/>
      <w:r>
        <w:rPr>
          <w:rtl/>
        </w:rPr>
        <w:t>הכושרת</w:t>
      </w:r>
      <w:proofErr w:type="spellEnd"/>
      <w:r>
        <w:rPr>
          <w:rtl/>
        </w:rPr>
        <w:t xml:space="preserve"> לחלוף בלי לנצלה.” מוזר, אבל הוא היה גם מאמין וגם רמאי.</w:t>
      </w:r>
    </w:p>
    <w:p w14:paraId="51FFCAF2" w14:textId="77777777" w:rsidR="00AB3647" w:rsidRDefault="00000000" w:rsidP="007923E9">
      <w:pPr>
        <w:spacing w:after="120" w:line="276" w:lineRule="auto"/>
        <w:ind w:firstLine="283"/>
        <w:jc w:val="both"/>
      </w:pPr>
      <w:r>
        <w:rPr>
          <w:rtl/>
        </w:rPr>
        <w:t>כשלחץ עליו אביו לוותר על משרתו בריגה אחרי חצי שנה בה, כתב לו</w:t>
      </w:r>
      <w:bookmarkStart w:id="1416" w:name="_fnr908"/>
      <w:r>
        <w:rPr>
          <w:rStyle w:val="a5"/>
        </w:rPr>
        <w:footnoteReference w:id="911" w:customMarkFollows="0"/>
      </w:r>
      <w:bookmarkEnd w:id="1416"/>
      <w:r>
        <w:rPr>
          <w:rtl/>
        </w:rPr>
        <w:t>: “היכן הן המשרות הפנויות הרבות? היכן המקומות שבהם אפשר למצוא תעסוקה מיד? ועוד, האם אוותר על הקריירה שבחרתי בה כל כך מהר? האם אאמין שה׳ במצב רוח של קפריזה גרידא נטל אותי, בובה עיוורת בידי הגורל, והשליך אותי לרוסיה כדי להשליכני ממנה שוב כשיבוא עליו מצב רוח אחר?”</w:t>
      </w:r>
    </w:p>
    <w:p w14:paraId="5D199328" w14:textId="77777777" w:rsidR="00AB3647" w:rsidRDefault="00000000" w:rsidP="007923E9">
      <w:pPr>
        <w:spacing w:after="120" w:line="276" w:lineRule="auto"/>
        <w:ind w:firstLine="283"/>
        <w:jc w:val="both"/>
      </w:pPr>
      <w:r>
        <w:rPr>
          <w:rtl/>
        </w:rPr>
        <w:t xml:space="preserve">ללודוויג </w:t>
      </w:r>
      <w:proofErr w:type="spellStart"/>
      <w:r>
        <w:rPr>
          <w:rtl/>
        </w:rPr>
        <w:t>פיליפסון</w:t>
      </w:r>
      <w:proofErr w:type="spellEnd"/>
      <w:r>
        <w:rPr>
          <w:rtl/>
        </w:rPr>
        <w:t xml:space="preserve"> כתב זמן קצר אחרי בואו לאמריקה: “ה׳, שלו הקרבתי את משרתי ברוסיה, שלמען שמו הקדוש ויתרתי על פרנסה, על כבוד ועל משרה לכל ימי חיי, הוא, אבי הכול, שבידו הפקדתי את גורלי, ושאינו עוזב את כל הבוטחים בו, עזר לי ברחמיו ונתן לי תחום פעולה שני.” סטניסלבסקי</w:t>
      </w:r>
      <w:bookmarkStart w:id="1417" w:name="_fnr909"/>
      <w:r>
        <w:rPr>
          <w:rStyle w:val="a5"/>
        </w:rPr>
        <w:footnoteReference w:id="912" w:customMarkFollows="0"/>
      </w:r>
      <w:bookmarkEnd w:id="1417"/>
      <w:r>
        <w:rPr>
          <w:rtl/>
        </w:rPr>
        <w:t xml:space="preserve"> מתאר מכתב אחרון זה כך: “הצהרה זו דרמטית ביותר – </w:t>
      </w:r>
      <w:proofErr w:type="spellStart"/>
      <w:r>
        <w:rPr>
          <w:rtl/>
        </w:rPr>
        <w:t>ודו־משמעית</w:t>
      </w:r>
      <w:proofErr w:type="spellEnd"/>
      <w:r>
        <w:rPr>
          <w:rtl/>
        </w:rPr>
        <w:t xml:space="preserve"> ביותר. ויתור על משרה או הקרבת משרה לה׳ יכולים להתפרש בדרכים שונות, במיוחד מפי רב רפורמי גרמני הנוטה להפרזות גסות.”</w:t>
      </w:r>
    </w:p>
    <w:p w14:paraId="392F5F4A" w14:textId="77777777" w:rsidR="00AB3647" w:rsidRDefault="00000000" w:rsidP="007923E9">
      <w:pPr>
        <w:spacing w:after="120" w:line="276" w:lineRule="auto"/>
        <w:ind w:firstLine="283"/>
        <w:jc w:val="both"/>
      </w:pPr>
      <w:r>
        <w:rPr>
          <w:rtl/>
        </w:rPr>
        <w:t xml:space="preserve">בעיקרו של דבר אומר המכתב </w:t>
      </w:r>
      <w:proofErr w:type="spellStart"/>
      <w:r>
        <w:rPr>
          <w:rtl/>
        </w:rPr>
        <w:t>שליליינטל</w:t>
      </w:r>
      <w:proofErr w:type="spellEnd"/>
      <w:r>
        <w:rPr>
          <w:rtl/>
        </w:rPr>
        <w:t xml:space="preserve"> עזב את רוסיה לשם שמים, אבל למעשה אין הוא אלא מתהדר לקראת משרתו החדשה בתנועה הרפורמית, שבאותה עת עדיין האמינה באלוהות. הוא מנסה לשכנע את מנהיגי התנועה שוויתר על משרתו ברוסיה כדי לשרת </w:t>
      </w:r>
      <w:proofErr w:type="spellStart"/>
      <w:r>
        <w:rPr>
          <w:rtl/>
        </w:rPr>
        <w:t>ב“שליחות</w:t>
      </w:r>
      <w:proofErr w:type="spellEnd"/>
      <w:r>
        <w:rPr>
          <w:rtl/>
        </w:rPr>
        <w:t xml:space="preserve"> הנעלה” של רב רפורמי.</w:t>
      </w:r>
    </w:p>
    <w:p w14:paraId="69677A17" w14:textId="77777777" w:rsidR="00AB3647" w:rsidRDefault="00000000" w:rsidP="007923E9">
      <w:pPr>
        <w:spacing w:after="120" w:line="276" w:lineRule="auto"/>
        <w:ind w:firstLine="283"/>
        <w:jc w:val="both"/>
      </w:pPr>
      <w:r>
        <w:rPr>
          <w:rtl/>
        </w:rPr>
        <w:t xml:space="preserve">במאמרו </w:t>
      </w:r>
      <w:proofErr w:type="spellStart"/>
      <w:r>
        <w:rPr>
          <w:rtl/>
        </w:rPr>
        <w:t>בג׳ואיש</w:t>
      </w:r>
      <w:proofErr w:type="spellEnd"/>
      <w:r>
        <w:rPr>
          <w:rtl/>
        </w:rPr>
        <w:t xml:space="preserve"> טיימס, עשרים וחמש שנה אחר כך, הרב הרפורמי אינו רק מפריז: הוא משקר בגלוי, כשהוא מציג בכזב את סיפור גזרת 50 </w:t>
      </w:r>
      <w:proofErr w:type="spellStart"/>
      <w:r>
        <w:rPr>
          <w:rtl/>
        </w:rPr>
        <w:t>הוורסטאות</w:t>
      </w:r>
      <w:proofErr w:type="spellEnd"/>
      <w:r>
        <w:rPr>
          <w:rtl/>
        </w:rPr>
        <w:t xml:space="preserve"> כסיבת עזיבתו. האם רק ניסה להיראות כמי שדואג ליחס שזוכים לו אחיו היהודים? הרי היה מצטייר באור טוב באותה מידה אילו טען את התזה הנפוצה ביותר בעניין בריחתו לאמריקה (כמובא לעיל בפסקה העשרים), כלומר “התפכחות ממטרות הממשלה ו[הכרה שה]משטר הצבוע [חתר] להחליש את הדת היהודית, ולא להיטיב עם היהודים”; או “שנשתכנע שמטרת בתי הספר היא להמיר את היהודים לנצרות”; או “שנודע לו על התזכיר הסודי כביכול שבו גילה </w:t>
      </w:r>
      <w:proofErr w:type="spellStart"/>
      <w:r>
        <w:rPr>
          <w:rtl/>
        </w:rPr>
        <w:t>אוברוב</w:t>
      </w:r>
      <w:proofErr w:type="spellEnd"/>
      <w:r>
        <w:rPr>
          <w:rtl/>
        </w:rPr>
        <w:t>... את מניעיו המיסיונריים האמיתיים”.</w:t>
      </w:r>
    </w:p>
    <w:p w14:paraId="41C3A6E3" w14:textId="77777777" w:rsidR="00AB3647" w:rsidRDefault="00000000" w:rsidP="007923E9">
      <w:pPr>
        <w:spacing w:after="120" w:line="276" w:lineRule="auto"/>
        <w:ind w:firstLine="283"/>
        <w:jc w:val="both"/>
      </w:pPr>
      <w:r>
        <w:rPr>
          <w:rtl/>
        </w:rPr>
        <w:t xml:space="preserve">אין זה סביר שנמנע מלהשתמש בהסברים אלה מפני שחשב שאיש לא יאמין להם לנוכח הזדהותו הגמורה בפועל עם “נטייתו האידאולוגית והאינטלקטואלית של </w:t>
      </w:r>
      <w:proofErr w:type="spellStart"/>
      <w:r>
        <w:rPr>
          <w:rtl/>
        </w:rPr>
        <w:t>אוברוב</w:t>
      </w:r>
      <w:proofErr w:type="spellEnd"/>
      <w:r>
        <w:rPr>
          <w:rtl/>
        </w:rPr>
        <w:t xml:space="preserve">”. כבר קם דור חדש, שהיה עשוי לקבל סיבות אלה כתקפות לא פחות מבדותו על “התפכחותו” בגלל גזרת 50 </w:t>
      </w:r>
      <w:proofErr w:type="spellStart"/>
      <w:r>
        <w:rPr>
          <w:rtl/>
        </w:rPr>
        <w:t>הוורסטאות</w:t>
      </w:r>
      <w:proofErr w:type="spellEnd"/>
      <w:r>
        <w:rPr>
          <w:rtl/>
        </w:rPr>
        <w:t>.</w:t>
      </w:r>
    </w:p>
    <w:p w14:paraId="09E626D6" w14:textId="77777777" w:rsidR="00AB3647" w:rsidRDefault="00000000" w:rsidP="007923E9">
      <w:pPr>
        <w:spacing w:after="120" w:line="276" w:lineRule="auto"/>
        <w:ind w:firstLine="283"/>
        <w:jc w:val="both"/>
      </w:pPr>
      <w:r>
        <w:rPr>
          <w:rtl/>
        </w:rPr>
        <w:lastRenderedPageBreak/>
        <w:t xml:space="preserve">נשארנו אם כן לא רק עם שאלותיו של סטניסלבסקי – מדוע עזב את רוסיה ומדוע לא אמר מעולם מדוע? – אלא גם עם השאלה: מדוע, כשפרסם לבסוף סיבה, בדה </w:t>
      </w:r>
      <w:proofErr w:type="spellStart"/>
      <w:r>
        <w:rPr>
          <w:rtl/>
        </w:rPr>
        <w:t>ליליינטל</w:t>
      </w:r>
      <w:proofErr w:type="spellEnd"/>
      <w:r>
        <w:rPr>
          <w:rtl/>
        </w:rPr>
        <w:t xml:space="preserve"> סיבה שאין לה שום קשר לתפקידי משרתו? אם לא רצה להציג את עצמו כמי שטעה בתחילת כהונתו בהערכת המשטר הרוסי, ודאי יכול היה לטעון שגילה את התזכיר הסודי, שאכן פורסם בשנת תרכ״ו, </w:t>
      </w:r>
      <w:r>
        <w:rPr>
          <w:b/>
          <w:bCs/>
          <w:rtl/>
        </w:rPr>
        <w:t>ארבע שנים לפני שכתב את מאמרו</w:t>
      </w:r>
      <w:r>
        <w:rPr>
          <w:rtl/>
        </w:rPr>
        <w:t>!</w:t>
      </w:r>
    </w:p>
    <w:p w14:paraId="5D6CA772" w14:textId="77777777" w:rsidR="00AB3647" w:rsidRDefault="00000000" w:rsidP="007923E9">
      <w:pPr>
        <w:pStyle w:val="4"/>
        <w:spacing w:line="276" w:lineRule="auto"/>
      </w:pPr>
      <w:r>
        <w:t>· הפסקה העשרים ושלוש ·</w:t>
      </w:r>
    </w:p>
    <w:p w14:paraId="2C60BA19" w14:textId="77777777" w:rsidR="00AB3647" w:rsidRDefault="00000000" w:rsidP="007923E9">
      <w:pPr>
        <w:pStyle w:val="5"/>
        <w:spacing w:line="276" w:lineRule="auto"/>
      </w:pPr>
      <w:r>
        <w:t xml:space="preserve">נראה </w:t>
      </w:r>
      <w:proofErr w:type="spellStart"/>
      <w:r>
        <w:t>שליליינטל</w:t>
      </w:r>
      <w:proofErr w:type="spellEnd"/>
      <w:r>
        <w:t xml:space="preserve"> לא עזב את רוסיה בסתר – מחבר אחד מציע השערה שסיבות אישיות עמדו מאחורי החלטתו – יש פרצות בהשערה</w:t>
      </w:r>
    </w:p>
    <w:p w14:paraId="15D02A53" w14:textId="77777777" w:rsidR="00AB3647" w:rsidRDefault="00000000" w:rsidP="007923E9">
      <w:pPr>
        <w:spacing w:after="120" w:line="276" w:lineRule="auto"/>
        <w:ind w:firstLine="283"/>
        <w:jc w:val="both"/>
      </w:pPr>
      <w:r>
        <w:rPr>
          <w:rtl/>
        </w:rPr>
        <w:t xml:space="preserve">בעניין פרטי עזיבתו של </w:t>
      </w:r>
      <w:proofErr w:type="spellStart"/>
      <w:r>
        <w:rPr>
          <w:rtl/>
        </w:rPr>
        <w:t>ליליינטל</w:t>
      </w:r>
      <w:proofErr w:type="spellEnd"/>
      <w:r>
        <w:rPr>
          <w:rtl/>
        </w:rPr>
        <w:t xml:space="preserve"> מביא סטניסלבסקי</w:t>
      </w:r>
      <w:bookmarkStart w:id="1418" w:name="_fnr910"/>
      <w:r>
        <w:rPr>
          <w:rStyle w:val="a5"/>
        </w:rPr>
        <w:footnoteReference w:id="913" w:customMarkFollows="0"/>
      </w:r>
      <w:bookmarkEnd w:id="1418"/>
      <w:r>
        <w:rPr>
          <w:rtl/>
        </w:rPr>
        <w:t xml:space="preserve"> מאמר של ההיסטוריון יולי </w:t>
      </w:r>
      <w:proofErr w:type="spellStart"/>
      <w:r>
        <w:rPr>
          <w:rtl/>
        </w:rPr>
        <w:t>גסן</w:t>
      </w:r>
      <w:proofErr w:type="spellEnd"/>
      <w:r>
        <w:rPr>
          <w:rtl/>
        </w:rPr>
        <w:t xml:space="preserve"> </w:t>
      </w:r>
      <w:proofErr w:type="spellStart"/>
      <w:r>
        <w:rPr>
          <w:rtl/>
        </w:rPr>
        <w:t>בווסחוד</w:t>
      </w:r>
      <w:proofErr w:type="spellEnd"/>
      <w:r>
        <w:rPr>
          <w:rtl/>
        </w:rPr>
        <w:t xml:space="preserve"> 25 (1905), האומר שעזב את רוסיה “בסתר” – כפי שכתב המאמר </w:t>
      </w:r>
      <w:proofErr w:type="spellStart"/>
      <w:r>
        <w:rPr>
          <w:rtl/>
        </w:rPr>
        <w:t>ב“השלח</w:t>
      </w:r>
      <w:proofErr w:type="spellEnd"/>
      <w:r>
        <w:rPr>
          <w:rtl/>
        </w:rPr>
        <w:t xml:space="preserve">” משנת 1912 וכפי שהרחיב “מקור ברוך” בשם </w:t>
      </w:r>
      <w:proofErr w:type="spellStart"/>
      <w:r>
        <w:rPr>
          <w:rtl/>
        </w:rPr>
        <w:t>הנצי״ב</w:t>
      </w:r>
      <w:proofErr w:type="spellEnd"/>
      <w:r>
        <w:rPr>
          <w:rtl/>
        </w:rPr>
        <w:t>. אבל סטניסלבסקי</w:t>
      </w:r>
      <w:bookmarkStart w:id="1419" w:name="_fnr911"/>
      <w:r>
        <w:rPr>
          <w:rStyle w:val="a5"/>
        </w:rPr>
        <w:footnoteReference w:id="914" w:customMarkFollows="0"/>
      </w:r>
      <w:bookmarkEnd w:id="1419"/>
      <w:r>
        <w:rPr>
          <w:rtl/>
        </w:rPr>
        <w:t xml:space="preserve"> מראה שלמעשה קיבל </w:t>
      </w:r>
      <w:proofErr w:type="spellStart"/>
      <w:r>
        <w:rPr>
          <w:rtl/>
        </w:rPr>
        <w:t>ליליינטל</w:t>
      </w:r>
      <w:proofErr w:type="spellEnd"/>
      <w:r>
        <w:rPr>
          <w:rtl/>
        </w:rPr>
        <w:t xml:space="preserve"> בדצמבר 1844 רשות מן הממשלה הרוסית לצאת לחופשה של שלושה שבועות בגרמניה.</w:t>
      </w:r>
    </w:p>
    <w:p w14:paraId="6DF47270" w14:textId="77777777" w:rsidR="00AB3647" w:rsidRDefault="00000000" w:rsidP="007923E9">
      <w:pPr>
        <w:spacing w:after="120" w:line="276" w:lineRule="auto"/>
        <w:ind w:firstLine="283"/>
        <w:jc w:val="both"/>
      </w:pPr>
      <w:r>
        <w:rPr>
          <w:rtl/>
        </w:rPr>
        <w:t xml:space="preserve">בתחילה תכנן </w:t>
      </w:r>
      <w:proofErr w:type="spellStart"/>
      <w:r>
        <w:rPr>
          <w:rtl/>
        </w:rPr>
        <w:t>ליליינטל</w:t>
      </w:r>
      <w:proofErr w:type="spellEnd"/>
      <w:r>
        <w:rPr>
          <w:rtl/>
        </w:rPr>
        <w:t xml:space="preserve"> לצאת לחופשתו במאי, אבל אחר כך דחה אותה עד יולי 1845. אחרי שהגיע לגרמניה כתב אביו </w:t>
      </w:r>
      <w:proofErr w:type="spellStart"/>
      <w:r>
        <w:rPr>
          <w:rtl/>
        </w:rPr>
        <w:t>לאוברוב</w:t>
      </w:r>
      <w:proofErr w:type="spellEnd"/>
      <w:r>
        <w:rPr>
          <w:rtl/>
        </w:rPr>
        <w:t xml:space="preserve"> וביקש להאריך את חופשת בנו מפני מצב בריאותו הרעוע. אחר כך נשא </w:t>
      </w:r>
      <w:proofErr w:type="spellStart"/>
      <w:r>
        <w:rPr>
          <w:rtl/>
        </w:rPr>
        <w:t>ליליינטל</w:t>
      </w:r>
      <w:proofErr w:type="spellEnd"/>
      <w:r>
        <w:rPr>
          <w:rtl/>
        </w:rPr>
        <w:t xml:space="preserve"> אישה במינכן ב־27 באוגוסט, וכעבור חודשיים, ב־25 באוקטובר, שלח </w:t>
      </w:r>
      <w:proofErr w:type="spellStart"/>
      <w:r>
        <w:rPr>
          <w:rtl/>
        </w:rPr>
        <w:t>לאוברוב</w:t>
      </w:r>
      <w:proofErr w:type="spellEnd"/>
      <w:r>
        <w:rPr>
          <w:rtl/>
        </w:rPr>
        <w:t xml:space="preserve"> את מכתב התפטרותו ויצא מיד לאמריקה.</w:t>
      </w:r>
    </w:p>
    <w:p w14:paraId="55D72D0B" w14:textId="77777777" w:rsidR="00AB3647" w:rsidRDefault="00000000" w:rsidP="007923E9">
      <w:pPr>
        <w:spacing w:after="120" w:line="276" w:lineRule="auto"/>
        <w:ind w:firstLine="283"/>
        <w:jc w:val="both"/>
      </w:pPr>
      <w:r>
        <w:rPr>
          <w:rtl/>
        </w:rPr>
        <w:t xml:space="preserve">סטניסלבסקי משער שמשפחתו של </w:t>
      </w:r>
      <w:proofErr w:type="spellStart"/>
      <w:r>
        <w:rPr>
          <w:rtl/>
        </w:rPr>
        <w:t>ליליינטל</w:t>
      </w:r>
      <w:proofErr w:type="spellEnd"/>
      <w:r>
        <w:rPr>
          <w:rtl/>
        </w:rPr>
        <w:t xml:space="preserve"> לא רצתה שיישאר במשרה, מאחר שמשכורתו ברוסיה לא הועלתה מאז מינויו. וכך הוא כותב</w:t>
      </w:r>
      <w:bookmarkStart w:id="1420" w:name="_fnr912"/>
      <w:r>
        <w:rPr>
          <w:rStyle w:val="a5"/>
        </w:rPr>
        <w:footnoteReference w:id="915" w:customMarkFollows="0"/>
      </w:r>
      <w:bookmarkEnd w:id="1420"/>
      <w:r>
        <w:rPr>
          <w:rtl/>
        </w:rPr>
        <w:t>: “אף שמשכורתו הייתה מכובדת למדי – שקולה בערך לזו של פועל מקצועי במפעל בפטרבורג באותה עת – היא לא הועלתה מעולם מזמן שהצטרף לשירות ועד שעזב, ולא הלמה כלל את שאיפותיו וציפיותיו או את חיי החברה בבירה שאליהם שאף.</w:t>
      </w:r>
      <w:bookmarkStart w:id="1421" w:name="_fnr913"/>
      <w:r>
        <w:rPr>
          <w:rStyle w:val="a5"/>
        </w:rPr>
        <w:footnoteReference w:id="916" w:customMarkFollows="0"/>
      </w:r>
      <w:bookmarkEnd w:id="1421"/>
      <w:r>
        <w:rPr>
          <w:rtl/>
        </w:rPr>
        <w:t>”</w:t>
      </w:r>
    </w:p>
    <w:p w14:paraId="3AE7F0AA" w14:textId="77777777" w:rsidR="00AB3647" w:rsidRDefault="00000000" w:rsidP="007923E9">
      <w:pPr>
        <w:spacing w:after="120" w:line="276" w:lineRule="auto"/>
        <w:ind w:firstLine="283"/>
        <w:jc w:val="both"/>
      </w:pPr>
      <w:r>
        <w:rPr>
          <w:rtl/>
        </w:rPr>
        <w:t xml:space="preserve">גם אם נניח שהמחבר יודע איזו משכורת קיבל </w:t>
      </w:r>
      <w:proofErr w:type="spellStart"/>
      <w:r>
        <w:rPr>
          <w:rtl/>
        </w:rPr>
        <w:t>ליליינטל</w:t>
      </w:r>
      <w:proofErr w:type="spellEnd"/>
      <w:r>
        <w:rPr>
          <w:rtl/>
        </w:rPr>
        <w:t xml:space="preserve">, אין הוא מביא מקור לכך שפועל מקצועי השתכר משכורת גבוהה כזו. ועוד, קשה אומנם להשוות משכורות של פועלים מקצועיים לאלה של רבנים, אבל נוכל להשוות משכורות של פקידים, כמו </w:t>
      </w:r>
      <w:proofErr w:type="spellStart"/>
      <w:r>
        <w:rPr>
          <w:rtl/>
        </w:rPr>
        <w:t>ליליינטל</w:t>
      </w:r>
      <w:proofErr w:type="spellEnd"/>
      <w:r>
        <w:rPr>
          <w:rtl/>
        </w:rPr>
        <w:t xml:space="preserve">, לאלה של רבנים באותה עת. ונמצא שרב כמו ר׳ </w:t>
      </w:r>
      <w:proofErr w:type="spellStart"/>
      <w:r>
        <w:rPr>
          <w:rtl/>
        </w:rPr>
        <w:t>לייבל׳ה</w:t>
      </w:r>
      <w:proofErr w:type="spellEnd"/>
      <w:r>
        <w:rPr>
          <w:rtl/>
        </w:rPr>
        <w:t xml:space="preserve"> שפירא</w:t>
      </w:r>
      <w:bookmarkStart w:id="1422" w:name="_fnr914"/>
      <w:r>
        <w:rPr>
          <w:rStyle w:val="a5"/>
        </w:rPr>
        <w:footnoteReference w:id="917" w:customMarkFollows="0"/>
      </w:r>
      <w:bookmarkEnd w:id="1422"/>
      <w:r>
        <w:rPr>
          <w:rtl/>
        </w:rPr>
        <w:t xml:space="preserve"> קיבל 75 רובל [!] לשנה </w:t>
      </w:r>
      <w:proofErr w:type="spellStart"/>
      <w:r>
        <w:rPr>
          <w:rtl/>
        </w:rPr>
        <w:t>בקלווריה</w:t>
      </w:r>
      <w:proofErr w:type="spellEnd"/>
      <w:r>
        <w:rPr>
          <w:rtl/>
        </w:rPr>
        <w:t xml:space="preserve"> בסוף כהונתו שם בת שש השנים, שנסתיימה בשנת תר״ט, לפי בערל </w:t>
      </w:r>
      <w:proofErr w:type="spellStart"/>
      <w:r>
        <w:rPr>
          <w:rtl/>
        </w:rPr>
        <w:t>קגן</w:t>
      </w:r>
      <w:bookmarkStart w:id="1423" w:name="_fnr915"/>
      <w:proofErr w:type="spellEnd"/>
      <w:r>
        <w:rPr>
          <w:rStyle w:val="a5"/>
        </w:rPr>
        <w:footnoteReference w:id="918" w:customMarkFollows="0"/>
      </w:r>
      <w:bookmarkEnd w:id="1423"/>
      <w:r>
        <w:rPr>
          <w:rtl/>
        </w:rPr>
        <w:t xml:space="preserve">. ולמעשה, במכתב </w:t>
      </w:r>
      <w:r>
        <w:rPr>
          <w:rtl/>
        </w:rPr>
        <w:lastRenderedPageBreak/>
        <w:t xml:space="preserve">שכתב לאבי ארוסתו בדיוק שנה לפני ששב לגרמניה – שהובא לעיל בפסקה העשרים ואחת – הביע </w:t>
      </w:r>
      <w:proofErr w:type="spellStart"/>
      <w:r>
        <w:rPr>
          <w:rtl/>
        </w:rPr>
        <w:t>ליליינטל</w:t>
      </w:r>
      <w:proofErr w:type="spellEnd"/>
      <w:r>
        <w:rPr>
          <w:rtl/>
        </w:rPr>
        <w:t xml:space="preserve"> גאווה במשכורת שקיבל!</w:t>
      </w:r>
    </w:p>
    <w:p w14:paraId="6F087249" w14:textId="77777777" w:rsidR="00AB3647" w:rsidRDefault="00000000" w:rsidP="007923E9">
      <w:pPr>
        <w:spacing w:after="120" w:line="276" w:lineRule="auto"/>
        <w:ind w:firstLine="283"/>
        <w:jc w:val="both"/>
      </w:pPr>
      <w:r>
        <w:rPr>
          <w:rtl/>
        </w:rPr>
        <w:t>סטניסלבסקי מסכם</w:t>
      </w:r>
      <w:bookmarkStart w:id="1424" w:name="_fnr916"/>
      <w:r>
        <w:rPr>
          <w:rStyle w:val="a5"/>
        </w:rPr>
        <w:footnoteReference w:id="919" w:customMarkFollows="0"/>
      </w:r>
      <w:bookmarkEnd w:id="1424"/>
      <w:r>
        <w:rPr>
          <w:rtl/>
        </w:rPr>
        <w:t xml:space="preserve">: “מה אירע באמת בזמן שהותו בגרמניה – אין יודעים. אי אפשר לברר מה הייתה המחלה שלדברי אביו </w:t>
      </w:r>
      <w:proofErr w:type="spellStart"/>
      <w:r>
        <w:rPr>
          <w:rtl/>
        </w:rPr>
        <w:t>לאוברוב</w:t>
      </w:r>
      <w:proofErr w:type="spellEnd"/>
      <w:r>
        <w:rPr>
          <w:rtl/>
        </w:rPr>
        <w:t xml:space="preserve"> חייבה חופשה נוספת בבית, או אם הארכה זו – או אפילו נטישת השליחות הרוסית – הייתה תנאי מוקדם לנישואי </w:t>
      </w:r>
      <w:proofErr w:type="spellStart"/>
      <w:r>
        <w:rPr>
          <w:rtl/>
        </w:rPr>
        <w:t>ליליינטל</w:t>
      </w:r>
      <w:proofErr w:type="spellEnd"/>
      <w:r>
        <w:rPr>
          <w:rtl/>
        </w:rPr>
        <w:t xml:space="preserve"> </w:t>
      </w:r>
      <w:proofErr w:type="spellStart"/>
      <w:r>
        <w:rPr>
          <w:rtl/>
        </w:rPr>
        <w:t>ופפי</w:t>
      </w:r>
      <w:proofErr w:type="spellEnd"/>
      <w:r>
        <w:rPr>
          <w:rtl/>
        </w:rPr>
        <w:t xml:space="preserve"> נטרה. אין יודעים אפילו אם </w:t>
      </w:r>
      <w:proofErr w:type="spellStart"/>
      <w:r>
        <w:rPr>
          <w:rtl/>
        </w:rPr>
        <w:t>ליליינטל</w:t>
      </w:r>
      <w:proofErr w:type="spellEnd"/>
      <w:r>
        <w:rPr>
          <w:rtl/>
        </w:rPr>
        <w:t xml:space="preserve"> עצמו החליט שמוטב לו שלא לשוב לרוסיה, או שההחלטה נכפתה עליו בלחץ המשפחה. מה שנשאר, אם כן, הוא השערה פשוטה, אף שאי אפשר להוכיחה: משהכיר בכישלונו ליצור לעצמו ברוסיה את העתיד שחזה, נכנע לדרישות היסוד של חייו האישיים והמשפחתיים, ונטש את השליחות הרוסית – בדלת האחורית. מובן ש</w:t>
      </w:r>
      <w:r>
        <w:rPr>
          <w:b/>
          <w:bCs/>
          <w:rtl/>
        </w:rPr>
        <w:t>אפילו אם השערה זו נכונה</w:t>
      </w:r>
      <w:r>
        <w:rPr>
          <w:rtl/>
        </w:rPr>
        <w:t xml:space="preserve"> (ההדגשה שלי), אי אפשר היה לצפות </w:t>
      </w:r>
      <w:proofErr w:type="spellStart"/>
      <w:r>
        <w:rPr>
          <w:rtl/>
        </w:rPr>
        <w:t>שליליינטל</w:t>
      </w:r>
      <w:proofErr w:type="spellEnd"/>
      <w:r>
        <w:rPr>
          <w:rtl/>
        </w:rPr>
        <w:t xml:space="preserve"> יביא סיבות כאלה להחלטתו. לפיכך ניסה לקשור את צעדו בחוק 50 </w:t>
      </w:r>
      <w:proofErr w:type="spellStart"/>
      <w:r>
        <w:rPr>
          <w:rtl/>
        </w:rPr>
        <w:t>הוורסטאות</w:t>
      </w:r>
      <w:proofErr w:type="spellEnd"/>
      <w:r>
        <w:rPr>
          <w:rtl/>
        </w:rPr>
        <w:t xml:space="preserve">. אי אפשר היה לצפות </w:t>
      </w:r>
      <w:proofErr w:type="spellStart"/>
      <w:r>
        <w:rPr>
          <w:rtl/>
        </w:rPr>
        <w:t>שליליינטל</w:t>
      </w:r>
      <w:proofErr w:type="spellEnd"/>
      <w:r>
        <w:rPr>
          <w:rtl/>
        </w:rPr>
        <w:t xml:space="preserve"> יביא סיבות [אישיות] כאלה להחלטתו.</w:t>
      </w:r>
      <w:bookmarkStart w:id="1425" w:name="_fnr917"/>
      <w:r>
        <w:rPr>
          <w:rStyle w:val="a5"/>
        </w:rPr>
        <w:footnoteReference w:id="920" w:customMarkFollows="0"/>
      </w:r>
      <w:bookmarkEnd w:id="1425"/>
      <w:r>
        <w:rPr>
          <w:rtl/>
        </w:rPr>
        <w:t>”</w:t>
      </w:r>
    </w:p>
    <w:p w14:paraId="32155421" w14:textId="77777777" w:rsidR="00AB3647" w:rsidRDefault="00000000" w:rsidP="007923E9">
      <w:pPr>
        <w:spacing w:after="120" w:line="276" w:lineRule="auto"/>
        <w:ind w:firstLine="283"/>
        <w:jc w:val="both"/>
      </w:pPr>
      <w:r>
        <w:rPr>
          <w:rtl/>
        </w:rPr>
        <w:t xml:space="preserve">בהעדר כל הסבר מתקבל על הדעת מדוע יצא </w:t>
      </w:r>
      <w:proofErr w:type="spellStart"/>
      <w:r>
        <w:rPr>
          <w:rtl/>
        </w:rPr>
        <w:t>ליליינטל</w:t>
      </w:r>
      <w:proofErr w:type="spellEnd"/>
      <w:r>
        <w:rPr>
          <w:rtl/>
        </w:rPr>
        <w:t xml:space="preserve"> מן התמונה הרוסית, אין לאותו מחבר ברירה אלא להניח שבזמן שהותו בגרמניה צץ בינו ובין משפחתו משהו “שאי אפשר להוכיחו” </w:t>
      </w:r>
      <w:proofErr w:type="spellStart"/>
      <w:r>
        <w:rPr>
          <w:rtl/>
        </w:rPr>
        <w:t>ו“שאי</w:t>
      </w:r>
      <w:proofErr w:type="spellEnd"/>
      <w:r>
        <w:rPr>
          <w:rtl/>
        </w:rPr>
        <w:t xml:space="preserve"> אפשר להביאו”, הקשור לכישלון מקצועי משוער אך בלתי מבוסס. סטניסלבסקי עצמו אינו בטוח שהשערתו נכונה (כפי שהודגש לעיל). הוא גם לא חקר מה הייתה הסיבה לדחיית נסיעתו </w:t>
      </w:r>
      <w:r>
        <w:rPr>
          <w:b/>
          <w:bCs/>
          <w:rtl/>
        </w:rPr>
        <w:t>אל</w:t>
      </w:r>
      <w:r>
        <w:rPr>
          <w:rtl/>
        </w:rPr>
        <w:t xml:space="preserve"> גרמניה בחודשיים – ממאי, כפי שתוכנן בתחילה, ליולי – ולא התמודד עם הבעיה שהעליתי בעניין השקר שבחר בו </w:t>
      </w:r>
      <w:proofErr w:type="spellStart"/>
      <w:r>
        <w:rPr>
          <w:rtl/>
        </w:rPr>
        <w:t>ליליינטל</w:t>
      </w:r>
      <w:proofErr w:type="spellEnd"/>
      <w:r>
        <w:rPr>
          <w:rtl/>
        </w:rPr>
        <w:t xml:space="preserve"> במאמרו משנת 1870.</w:t>
      </w:r>
    </w:p>
    <w:p w14:paraId="77494855" w14:textId="77777777" w:rsidR="00AB3647" w:rsidRDefault="00000000" w:rsidP="007923E9">
      <w:pPr>
        <w:spacing w:after="120" w:line="276" w:lineRule="auto"/>
        <w:ind w:firstLine="283"/>
        <w:jc w:val="both"/>
      </w:pPr>
      <w:r>
        <w:rPr>
          <w:rtl/>
        </w:rPr>
        <w:t xml:space="preserve">ועוד, קשה מעיקרה לקבל את השערתו של סטניסלבסקי. מדוע תרצה משפחתו של </w:t>
      </w:r>
      <w:proofErr w:type="spellStart"/>
      <w:r>
        <w:rPr>
          <w:rtl/>
        </w:rPr>
        <w:t>ליליינטל</w:t>
      </w:r>
      <w:proofErr w:type="spellEnd"/>
      <w:r>
        <w:rPr>
          <w:rtl/>
        </w:rPr>
        <w:t xml:space="preserve"> </w:t>
      </w:r>
      <w:proofErr w:type="spellStart"/>
      <w:r>
        <w:rPr>
          <w:rtl/>
        </w:rPr>
        <w:t>שינטוש</w:t>
      </w:r>
      <w:proofErr w:type="spellEnd"/>
      <w:r>
        <w:rPr>
          <w:rtl/>
        </w:rPr>
        <w:t xml:space="preserve"> משרה קיימת ברוסיה הקרובה יחסית – משרה שהיה לה ודאי עתיד, גם אם לא “העתיד המזהיר” שחזה רק שנה קודם לכן – לטובת משרה בלתי נודעת באמריקה שמעבר לים? במבט לאחור, שליחותו של </w:t>
      </w:r>
      <w:proofErr w:type="spellStart"/>
      <w:r>
        <w:rPr>
          <w:rtl/>
        </w:rPr>
        <w:t>ליליינטל</w:t>
      </w:r>
      <w:proofErr w:type="spellEnd"/>
      <w:r>
        <w:rPr>
          <w:rtl/>
        </w:rPr>
        <w:t xml:space="preserve"> ברוסיה הצליחה הצלחה עצומה: שני בתי מדרש לרבנים נוסדו כמעט מיד, ובתוך עשור נוסדו </w:t>
      </w:r>
      <w:r>
        <w:rPr>
          <w:b/>
          <w:bCs/>
          <w:rtl/>
        </w:rPr>
        <w:t>קרוב למאה בתי ספר</w:t>
      </w:r>
      <w:r>
        <w:rPr>
          <w:rtl/>
        </w:rPr>
        <w:t xml:space="preserve"> מן הסוג שהוא יזם. האם יכלו </w:t>
      </w:r>
      <w:proofErr w:type="spellStart"/>
      <w:r>
        <w:rPr>
          <w:rtl/>
        </w:rPr>
        <w:t>ליליינטל</w:t>
      </w:r>
      <w:proofErr w:type="spellEnd"/>
      <w:r>
        <w:rPr>
          <w:rtl/>
        </w:rPr>
        <w:t xml:space="preserve"> ו/או משפחתו לראות באותה עת במשרתו ברוסיה אכזבה כזאת, כפי שסטניסלבסקי רוצה שנאמין?</w:t>
      </w:r>
    </w:p>
    <w:p w14:paraId="5168D69F" w14:textId="77777777" w:rsidR="00AB3647" w:rsidRDefault="00000000" w:rsidP="007923E9">
      <w:pPr>
        <w:pStyle w:val="4"/>
        <w:spacing w:line="276" w:lineRule="auto"/>
      </w:pPr>
      <w:r>
        <w:lastRenderedPageBreak/>
        <w:t>· הפסקה העשרים וארבע ·</w:t>
      </w:r>
    </w:p>
    <w:p w14:paraId="3DFE6169" w14:textId="77777777" w:rsidR="00AB3647" w:rsidRDefault="00000000" w:rsidP="007923E9">
      <w:pPr>
        <w:pStyle w:val="5"/>
        <w:spacing w:line="276" w:lineRule="auto"/>
      </w:pPr>
      <w:r>
        <w:t xml:space="preserve">בפלורידה רבנו מבקר אצל האדמו״ר </w:t>
      </w:r>
      <w:proofErr w:type="spellStart"/>
      <w:r>
        <w:t>מבויאן</w:t>
      </w:r>
      <w:proofErr w:type="spellEnd"/>
      <w:r>
        <w:t xml:space="preserve"> – אבי מגלה את הסיבה להיעלמו של </w:t>
      </w:r>
      <w:proofErr w:type="spellStart"/>
      <w:r>
        <w:t>ליליינטל</w:t>
      </w:r>
      <w:proofErr w:type="spellEnd"/>
      <w:r>
        <w:t xml:space="preserve"> מרוסיה – יש מקור לטענה – לכל צד בסוד יש מניע משלו להסתירו – </w:t>
      </w:r>
      <w:proofErr w:type="spellStart"/>
      <w:r>
        <w:t>ליליינטל</w:t>
      </w:r>
      <w:proofErr w:type="spellEnd"/>
      <w:r>
        <w:t xml:space="preserve"> מלקה נער על גניבה – הוא מרשים את המבקר אצלו – הוא בשל למפלתו – מוטל בספק אם הביע אי פעם דאגה ליהדות רוסיה לפני ממוניו</w:t>
      </w:r>
    </w:p>
    <w:p w14:paraId="62EBD634" w14:textId="77777777" w:rsidR="00AB3647" w:rsidRDefault="00000000" w:rsidP="007923E9">
      <w:pPr>
        <w:spacing w:after="120" w:line="276" w:lineRule="auto"/>
        <w:ind w:firstLine="283"/>
        <w:jc w:val="both"/>
      </w:pPr>
      <w:r>
        <w:rPr>
          <w:rtl/>
        </w:rPr>
        <w:t xml:space="preserve">לאבי הייתה גרסה אחרת לסיבה שבגללה ברח </w:t>
      </w:r>
      <w:proofErr w:type="spellStart"/>
      <w:r>
        <w:rPr>
          <w:rtl/>
        </w:rPr>
        <w:t>ליליינטל</w:t>
      </w:r>
      <w:proofErr w:type="spellEnd"/>
      <w:r>
        <w:rPr>
          <w:rtl/>
        </w:rPr>
        <w:t xml:space="preserve"> מרוסיה – ואכן ברח – והוא גילה אותה בזמן הביקור</w:t>
      </w:r>
      <w:bookmarkStart w:id="1426" w:name="_fnr918"/>
      <w:r>
        <w:rPr>
          <w:rStyle w:val="a5"/>
        </w:rPr>
        <w:footnoteReference w:id="921" w:customMarkFollows="0"/>
      </w:r>
      <w:bookmarkEnd w:id="1426"/>
      <w:r>
        <w:rPr>
          <w:rtl/>
        </w:rPr>
        <w:t xml:space="preserve"> אצל ר׳ </w:t>
      </w:r>
      <w:proofErr w:type="spellStart"/>
      <w:r>
        <w:rPr>
          <w:rtl/>
        </w:rPr>
        <w:t>מרדכי־שלמה</w:t>
      </w:r>
      <w:proofErr w:type="spellEnd"/>
      <w:r>
        <w:rPr>
          <w:rtl/>
        </w:rPr>
        <w:t xml:space="preserve"> פרידמן, האדמו״ר </w:t>
      </w:r>
      <w:proofErr w:type="spellStart"/>
      <w:r>
        <w:rPr>
          <w:rtl/>
        </w:rPr>
        <w:t>מבויאן</w:t>
      </w:r>
      <w:proofErr w:type="spellEnd"/>
      <w:r>
        <w:rPr>
          <w:rtl/>
        </w:rPr>
        <w:t>. הנסיבות שבהן גילה אבי את הדבר יעניינו את הקורא.</w:t>
      </w:r>
    </w:p>
    <w:p w14:paraId="0C8579A9" w14:textId="77777777" w:rsidR="00AB3647" w:rsidRDefault="00000000" w:rsidP="007923E9">
      <w:pPr>
        <w:spacing w:after="120" w:line="276" w:lineRule="auto"/>
        <w:ind w:firstLine="283"/>
        <w:jc w:val="both"/>
      </w:pPr>
      <w:r>
        <w:rPr>
          <w:rtl/>
        </w:rPr>
        <w:t xml:space="preserve">רשימותיו של ר׳ אשר </w:t>
      </w:r>
      <w:proofErr w:type="spellStart"/>
      <w:r>
        <w:rPr>
          <w:rtl/>
        </w:rPr>
        <w:t>קצמן</w:t>
      </w:r>
      <w:proofErr w:type="spellEnd"/>
      <w:r>
        <w:rPr>
          <w:rtl/>
        </w:rPr>
        <w:t xml:space="preserve"> משיחותיו עם אבי בפלורידה</w:t>
      </w:r>
      <w:bookmarkStart w:id="1427" w:name="_fnr919"/>
      <w:r>
        <w:rPr>
          <w:rStyle w:val="a5"/>
        </w:rPr>
        <w:footnoteReference w:id="922" w:customMarkFollows="0"/>
      </w:r>
      <w:bookmarkEnd w:id="1427"/>
      <w:r>
        <w:rPr>
          <w:rtl/>
        </w:rPr>
        <w:t xml:space="preserve"> מתעדות את הדברים הבאים: “בי״ז אדר [פרשת כי </w:t>
      </w:r>
      <w:proofErr w:type="spellStart"/>
      <w:r>
        <w:rPr>
          <w:rtl/>
        </w:rPr>
        <w:t>תשא</w:t>
      </w:r>
      <w:proofErr w:type="spellEnd"/>
      <w:r>
        <w:rPr>
          <w:rtl/>
        </w:rPr>
        <w:t>]</w:t>
      </w:r>
      <w:bookmarkStart w:id="1428" w:name="_fnr920"/>
      <w:r>
        <w:rPr>
          <w:rStyle w:val="a5"/>
        </w:rPr>
        <w:footnoteReference w:id="923" w:customMarkFollows="0"/>
      </w:r>
      <w:bookmarkEnd w:id="1428"/>
      <w:r>
        <w:rPr>
          <w:rtl/>
        </w:rPr>
        <w:t xml:space="preserve"> התפללנו יחד עם האדמו״ר </w:t>
      </w:r>
      <w:proofErr w:type="spellStart"/>
      <w:r>
        <w:rPr>
          <w:rtl/>
        </w:rPr>
        <w:t>מבויאן</w:t>
      </w:r>
      <w:proofErr w:type="spellEnd"/>
      <w:r>
        <w:rPr>
          <w:rtl/>
        </w:rPr>
        <w:t xml:space="preserve">, שהיה לו יארצייט על אביו באותו יום, ואחר כך עלינו, ראש הישיבה [רבנו] ואני, לבקרו. אמר לנו האדמו״ר: ‘כשבאו חסידים לשאול את אבי אם להצטרף למהפכה הסוציאליסטית, היה אומר: “חס ושלום! מהפכה פירושה שפיכות דמים; חיי אדם הפקר. אל תעלו זאת אפילו על דעתכם.” ואכן, המהפכה לא פרצה עד תרע״ח [סוף 1917], אחרי שנפטר.’ סיפר האדמו״ר </w:t>
      </w:r>
      <w:proofErr w:type="spellStart"/>
      <w:r>
        <w:rPr>
          <w:rtl/>
        </w:rPr>
        <w:t>שהרידב״ז</w:t>
      </w:r>
      <w:bookmarkStart w:id="1429" w:name="_fnr921"/>
      <w:proofErr w:type="spellEnd"/>
      <w:r>
        <w:rPr>
          <w:rStyle w:val="a5"/>
        </w:rPr>
        <w:footnoteReference w:id="924" w:customMarkFollows="0"/>
      </w:r>
      <w:bookmarkEnd w:id="1429"/>
      <w:r>
        <w:rPr>
          <w:rtl/>
        </w:rPr>
        <w:t xml:space="preserve"> שלח את חתנו, ר׳ יוסף </w:t>
      </w:r>
      <w:proofErr w:type="spellStart"/>
      <w:r>
        <w:rPr>
          <w:rtl/>
        </w:rPr>
        <w:t>קונוויץ</w:t>
      </w:r>
      <w:proofErr w:type="spellEnd"/>
      <w:r>
        <w:rPr>
          <w:rtl/>
        </w:rPr>
        <w:t xml:space="preserve">, לימים נשיא אגודת הרבנים של ארצות הברית וקנדה, לאסוף כסף אצל החסידים העשירים </w:t>
      </w:r>
      <w:proofErr w:type="spellStart"/>
      <w:r>
        <w:rPr>
          <w:rtl/>
        </w:rPr>
        <w:t>בבויאן</w:t>
      </w:r>
      <w:proofErr w:type="spellEnd"/>
      <w:r>
        <w:rPr>
          <w:rtl/>
        </w:rPr>
        <w:t xml:space="preserve"> להדפסת ספרו על התלמוד הירושלמי</w:t>
      </w:r>
      <w:bookmarkStart w:id="1430" w:name="_fnr922"/>
      <w:r>
        <w:rPr>
          <w:rStyle w:val="a5"/>
        </w:rPr>
        <w:footnoteReference w:id="925" w:customMarkFollows="0"/>
      </w:r>
      <w:bookmarkEnd w:id="1430"/>
      <w:r>
        <w:rPr>
          <w:rtl/>
        </w:rPr>
        <w:t xml:space="preserve">. ‘הוא ראה שם׳, המשיך האדמו״ר, ‘ר׳ דוד אחד, עשיר גדול ולמדן, יושב בין כל </w:t>
      </w:r>
      <w:proofErr w:type="spellStart"/>
      <w:r>
        <w:rPr>
          <w:rtl/>
        </w:rPr>
        <w:t>ה“יושבים</w:t>
      </w:r>
      <w:proofErr w:type="spellEnd"/>
      <w:r>
        <w:rPr>
          <w:rtl/>
        </w:rPr>
        <w:t xml:space="preserve">” העניים בחצר האדמו״ר. ר׳ יוסף </w:t>
      </w:r>
      <w:proofErr w:type="spellStart"/>
      <w:r>
        <w:rPr>
          <w:rtl/>
        </w:rPr>
        <w:t>קונוויץ</w:t>
      </w:r>
      <w:proofErr w:type="spellEnd"/>
      <w:r>
        <w:rPr>
          <w:rtl/>
        </w:rPr>
        <w:t xml:space="preserve"> סיפר לי שאז למד מהי חסידות: להיות כאחד, העשיר והעני, הלמדן והיהודי הפשוט.’ ראש הישיבה העיר שזו בדיוק הייתה מטרתה של אותה תנועה.</w:t>
      </w:r>
    </w:p>
    <w:p w14:paraId="77990A07" w14:textId="77777777" w:rsidR="00AB3647" w:rsidRDefault="00000000" w:rsidP="007923E9">
      <w:pPr>
        <w:spacing w:after="120" w:line="276" w:lineRule="auto"/>
        <w:ind w:firstLine="283"/>
        <w:jc w:val="both"/>
      </w:pPr>
      <w:r>
        <w:rPr>
          <w:rtl/>
        </w:rPr>
        <w:t xml:space="preserve">“לפני מנחה ביקרנו שוב אצל האדמו״ר – שנינו התאכסנו באותו מלון דירות במיאמי – והוא העלה את עניין המשכילים, ושאל אם רבנו יודע משהו על </w:t>
      </w:r>
      <w:proofErr w:type="spellStart"/>
      <w:r>
        <w:rPr>
          <w:rtl/>
        </w:rPr>
        <w:t>יל״ג</w:t>
      </w:r>
      <w:bookmarkStart w:id="1431" w:name="_fnr923"/>
      <w:proofErr w:type="spellEnd"/>
      <w:r>
        <w:rPr>
          <w:rStyle w:val="a5"/>
        </w:rPr>
        <w:footnoteReference w:id="926" w:customMarkFollows="0"/>
      </w:r>
      <w:bookmarkEnd w:id="1431"/>
      <w:r>
        <w:rPr>
          <w:rtl/>
        </w:rPr>
        <w:t xml:space="preserve"> ועל מאפו</w:t>
      </w:r>
      <w:bookmarkStart w:id="1432" w:name="_fnr924"/>
      <w:r>
        <w:rPr>
          <w:rStyle w:val="a5"/>
        </w:rPr>
        <w:footnoteReference w:id="927" w:customMarkFollows="0"/>
      </w:r>
      <w:bookmarkEnd w:id="1432"/>
      <w:r>
        <w:rPr>
          <w:rtl/>
        </w:rPr>
        <w:t xml:space="preserve">, וראש הישיבה אמר שבילדותו קרא את הרומן של מאפו ‘אהבת ציון’. אז סיפר מה שידע על </w:t>
      </w:r>
      <w:proofErr w:type="spellStart"/>
      <w:r>
        <w:rPr>
          <w:rtl/>
        </w:rPr>
        <w:t>ליליינטל</w:t>
      </w:r>
      <w:proofErr w:type="spellEnd"/>
      <w:r>
        <w:rPr>
          <w:rtl/>
        </w:rPr>
        <w:t xml:space="preserve">, וסיים: ‘איך </w:t>
      </w:r>
      <w:r>
        <w:rPr>
          <w:b/>
          <w:bCs/>
          <w:rtl/>
        </w:rPr>
        <w:t>נפטרנו</w:t>
      </w:r>
      <w:r>
        <w:rPr>
          <w:rtl/>
        </w:rPr>
        <w:t xml:space="preserve"> (ההדגשה שלי</w:t>
      </w:r>
      <w:bookmarkStart w:id="1433" w:name="_fnr925"/>
      <w:r>
        <w:rPr>
          <w:rStyle w:val="a5"/>
        </w:rPr>
        <w:footnoteReference w:id="928" w:customMarkFollows="0"/>
      </w:r>
      <w:bookmarkEnd w:id="1433"/>
      <w:r>
        <w:rPr>
          <w:rtl/>
        </w:rPr>
        <w:t xml:space="preserve">) </w:t>
      </w:r>
      <w:proofErr w:type="spellStart"/>
      <w:r>
        <w:rPr>
          <w:rtl/>
        </w:rPr>
        <w:t>מליליינטל</w:t>
      </w:r>
      <w:proofErr w:type="spellEnd"/>
      <w:r>
        <w:rPr>
          <w:rtl/>
        </w:rPr>
        <w:t xml:space="preserve">? הוטל עליו מטעם הממשלה להדפיס חומשים עם תרגום רוסי. הוא הדפיס בשוליים רחבים וברווחים גדולים במיוחד, וטען שהוא צריך הרבה נייר. בעקבות השערורייה שפרצה’” – בשל ניפוח ההוצאות – “‘נאלץ לעזוב את רוסיה. הוא ברח לאמריקה, ושם עזר לייסד את בית המדרש לרבנים הרפורמי </w:t>
      </w:r>
      <w:proofErr w:type="spellStart"/>
      <w:r>
        <w:rPr>
          <w:rtl/>
        </w:rPr>
        <w:t>בסינסינטי</w:t>
      </w:r>
      <w:proofErr w:type="spellEnd"/>
      <w:r>
        <w:rPr>
          <w:rtl/>
        </w:rPr>
        <w:t>.’”</w:t>
      </w:r>
    </w:p>
    <w:p w14:paraId="4522B33E" w14:textId="77777777" w:rsidR="00AB3647" w:rsidRDefault="00000000" w:rsidP="007923E9">
      <w:pPr>
        <w:spacing w:after="120" w:line="276" w:lineRule="auto"/>
        <w:ind w:firstLine="283"/>
        <w:jc w:val="both"/>
      </w:pPr>
      <w:r>
        <w:rPr>
          <w:rtl/>
        </w:rPr>
        <w:lastRenderedPageBreak/>
        <w:t xml:space="preserve">הסבר דומה מפי רבנו מסר ר׳ דוד </w:t>
      </w:r>
      <w:proofErr w:type="spellStart"/>
      <w:r>
        <w:rPr>
          <w:rtl/>
        </w:rPr>
        <w:t>צימט</w:t>
      </w:r>
      <w:bookmarkStart w:id="1434" w:name="_fnr926"/>
      <w:proofErr w:type="spellEnd"/>
      <w:r>
        <w:rPr>
          <w:rStyle w:val="a5"/>
        </w:rPr>
        <w:footnoteReference w:id="929" w:customMarkFollows="0"/>
      </w:r>
      <w:bookmarkEnd w:id="1434"/>
      <w:r>
        <w:rPr>
          <w:rtl/>
        </w:rPr>
        <w:t xml:space="preserve">. הוא זכר שאבי הזכיר פעם את מקס </w:t>
      </w:r>
      <w:proofErr w:type="spellStart"/>
      <w:r>
        <w:rPr>
          <w:rtl/>
        </w:rPr>
        <w:t>ליליינטל</w:t>
      </w:r>
      <w:proofErr w:type="spellEnd"/>
      <w:r>
        <w:rPr>
          <w:rtl/>
        </w:rPr>
        <w:t xml:space="preserve"> בשולחן השבת, ואחרי שאמר שמינויו בא מפני שהצאר ראה בגרמניה דגם לשינויים בחינוך ברוסיה, סיים: “יום בהיר אחד קם </w:t>
      </w:r>
      <w:proofErr w:type="spellStart"/>
      <w:r>
        <w:rPr>
          <w:rtl/>
        </w:rPr>
        <w:t>ליליינטל</w:t>
      </w:r>
      <w:proofErr w:type="spellEnd"/>
      <w:r>
        <w:rPr>
          <w:rtl/>
        </w:rPr>
        <w:t xml:space="preserve"> ונסע פתאום לאמריקה, ושם הצטרף לחוגים הרפורמיים והיה מקורב ל[</w:t>
      </w:r>
      <w:proofErr w:type="spellStart"/>
      <w:r>
        <w:rPr>
          <w:rtl/>
        </w:rPr>
        <w:t>יצחק־מאיר</w:t>
      </w:r>
      <w:proofErr w:type="spellEnd"/>
      <w:r>
        <w:rPr>
          <w:rtl/>
        </w:rPr>
        <w:t xml:space="preserve">] </w:t>
      </w:r>
      <w:proofErr w:type="spellStart"/>
      <w:r>
        <w:rPr>
          <w:rtl/>
        </w:rPr>
        <w:t>וייז</w:t>
      </w:r>
      <w:proofErr w:type="spellEnd"/>
      <w:r>
        <w:rPr>
          <w:rtl/>
        </w:rPr>
        <w:t xml:space="preserve"> </w:t>
      </w:r>
      <w:proofErr w:type="spellStart"/>
      <w:r>
        <w:rPr>
          <w:rtl/>
        </w:rPr>
        <w:t>מסינסינטי</w:t>
      </w:r>
      <w:proofErr w:type="spellEnd"/>
      <w:r>
        <w:rPr>
          <w:rtl/>
        </w:rPr>
        <w:t>. הוא נאלץ לברוח מרוסיה מפני שהיה ממונה על הדפסת ספרי הלימוד לילדים, והיו הוראות בכמה נייר יש להשתמש ומה יהיה גודל השוליים. הוא הקטין את השוליים כדי לרמות בנייר. הוא היה בסכנת מעצר על גניבה מן הממשלה.”</w:t>
      </w:r>
    </w:p>
    <w:p w14:paraId="5F431F5F" w14:textId="77777777" w:rsidR="00AB3647" w:rsidRDefault="00000000" w:rsidP="007923E9">
      <w:pPr>
        <w:spacing w:after="120" w:line="276" w:lineRule="auto"/>
        <w:ind w:firstLine="283"/>
        <w:jc w:val="both"/>
      </w:pPr>
      <w:r>
        <w:rPr>
          <w:rtl/>
        </w:rPr>
        <w:t xml:space="preserve">אף שנראה שגרסת </w:t>
      </w:r>
      <w:proofErr w:type="spellStart"/>
      <w:r>
        <w:rPr>
          <w:rtl/>
        </w:rPr>
        <w:t>קצמן</w:t>
      </w:r>
      <w:proofErr w:type="spellEnd"/>
      <w:r>
        <w:rPr>
          <w:rtl/>
        </w:rPr>
        <w:t xml:space="preserve"> וגרסת </w:t>
      </w:r>
      <w:proofErr w:type="spellStart"/>
      <w:r>
        <w:rPr>
          <w:rtl/>
        </w:rPr>
        <w:t>צימט</w:t>
      </w:r>
      <w:proofErr w:type="spellEnd"/>
      <w:r>
        <w:rPr>
          <w:rtl/>
        </w:rPr>
        <w:t xml:space="preserve"> שונות בשני פרטים – כיצד הרוויח מן הנייר (בהזמנת נייר רב מן הדרוש או בשימוש בפחות נייר ממה שהוקצב לו, בהתאמה), ומה הודפס מטעם הממשלה (חומשים בלשון רוסית או ספרי לימוד לילדים, בהתאמה) – הסיבה להיעלמו זהה: נתגלה שהוא מרמה את הממשלה הרוסית.</w:t>
      </w:r>
    </w:p>
    <w:p w14:paraId="2D177527" w14:textId="77777777" w:rsidR="00AB3647" w:rsidRDefault="00000000" w:rsidP="007923E9">
      <w:pPr>
        <w:spacing w:after="120" w:line="276" w:lineRule="auto"/>
        <w:ind w:firstLine="283"/>
        <w:jc w:val="both"/>
      </w:pPr>
      <w:r>
        <w:rPr>
          <w:rtl/>
        </w:rPr>
        <w:t xml:space="preserve">אבי לא גילה את מקורו, אבל הוא נמצא </w:t>
      </w:r>
      <w:proofErr w:type="spellStart"/>
      <w:r>
        <w:rPr>
          <w:rtl/>
        </w:rPr>
        <w:t>ב“זכרון</w:t>
      </w:r>
      <w:proofErr w:type="spellEnd"/>
      <w:r>
        <w:rPr>
          <w:rtl/>
        </w:rPr>
        <w:t xml:space="preserve"> יעקב”</w:t>
      </w:r>
      <w:bookmarkStart w:id="1435" w:name="_fnr927"/>
      <w:r>
        <w:rPr>
          <w:rStyle w:val="a5"/>
        </w:rPr>
        <w:footnoteReference w:id="930" w:customMarkFollows="0"/>
      </w:r>
      <w:bookmarkEnd w:id="1435"/>
      <w:r>
        <w:rPr>
          <w:rtl/>
        </w:rPr>
        <w:t xml:space="preserve"> – אף </w:t>
      </w:r>
      <w:proofErr w:type="spellStart"/>
      <w:r>
        <w:rPr>
          <w:rtl/>
        </w:rPr>
        <w:t>ש“זכרון</w:t>
      </w:r>
      <w:proofErr w:type="spellEnd"/>
      <w:r>
        <w:rPr>
          <w:rtl/>
        </w:rPr>
        <w:t xml:space="preserve"> יעקב”, שלא כרבנו, נוטה לסבור</w:t>
      </w:r>
      <w:bookmarkStart w:id="1436" w:name="_fnr928"/>
      <w:r>
        <w:rPr>
          <w:rStyle w:val="a5"/>
        </w:rPr>
        <w:footnoteReference w:id="931" w:customMarkFollows="0"/>
      </w:r>
      <w:bookmarkEnd w:id="1436"/>
      <w:r>
        <w:rPr>
          <w:rtl/>
        </w:rPr>
        <w:t xml:space="preserve"> שסיבה זו </w:t>
      </w:r>
      <w:proofErr w:type="spellStart"/>
      <w:r>
        <w:rPr>
          <w:rtl/>
        </w:rPr>
        <w:t>נצטרפה</w:t>
      </w:r>
      <w:proofErr w:type="spellEnd"/>
      <w:r>
        <w:rPr>
          <w:rtl/>
        </w:rPr>
        <w:t xml:space="preserve"> לסיבות שונות אחרות (שהוזכרו לעיל בנספח זה). הוא מונה את הספרים שבאמצעותם נעשתה התרמית: תנ״ך ופרקים נבחרים מן הרמב״ם – ולדבריו תרגמו אותם המשכילים לגרמנית, ולא לרוסית, “מפני שהממשלה עצמה הכירה שהגרמנית תהיה מקובלת יותר על היהודים” – וכן “ספרי דקדוק (עברי), ספרי תרגילים וספרים ללימוד השפה הרוסית”. את התרמית הוא מתאר כך: לא חיוב על נייר נוסף, אלא שימוש בשוליים רחבים במיוחד (ובאותיות גדולות) כדי ליצור עודף גיליונות – שכן המתרגמים קיבלו שכר לפי גיליון – וממילא שכר גבוה יותר למתרגמים שהעסיק. </w:t>
      </w:r>
      <w:proofErr w:type="spellStart"/>
      <w:r>
        <w:rPr>
          <w:rtl/>
        </w:rPr>
        <w:t>ליליינטל</w:t>
      </w:r>
      <w:proofErr w:type="spellEnd"/>
      <w:r>
        <w:rPr>
          <w:rtl/>
        </w:rPr>
        <w:t xml:space="preserve"> דאג מן הסתם לקבל מהם חלק בשלל.</w:t>
      </w:r>
    </w:p>
    <w:p w14:paraId="77F61362" w14:textId="77777777" w:rsidR="00AB3647" w:rsidRDefault="00000000" w:rsidP="007923E9">
      <w:pPr>
        <w:spacing w:after="120" w:line="276" w:lineRule="auto"/>
        <w:ind w:firstLine="283"/>
        <w:jc w:val="both"/>
      </w:pPr>
      <w:r>
        <w:rPr>
          <w:rtl/>
        </w:rPr>
        <w:t xml:space="preserve">על כל פנים, אם תרמית היא שגרמה להיעלמו של </w:t>
      </w:r>
      <w:proofErr w:type="spellStart"/>
      <w:r>
        <w:rPr>
          <w:rtl/>
        </w:rPr>
        <w:t>ליליינטל</w:t>
      </w:r>
      <w:proofErr w:type="spellEnd"/>
      <w:r>
        <w:rPr>
          <w:rtl/>
        </w:rPr>
        <w:t xml:space="preserve"> מן הזירה הרוסית, מובן מדוע לא גילה את הסיבה בשעת עזיבתו – ומדוע, כשפרסם לבסוף סיבה כלשהי לעזיבת רוסיה, בחר בדבר שקרי לגמרי ושאין לו כל קשר לעבודתו ברוסיה. הוא לא רצה שהקוראים יעמיקו לחקור במה עסק ברוסיה בשעה שהחליט לעזוב, פן תתגלה גניבתו.</w:t>
      </w:r>
    </w:p>
    <w:p w14:paraId="36529BFA" w14:textId="77777777" w:rsidR="00AB3647" w:rsidRDefault="00000000" w:rsidP="007923E9">
      <w:pPr>
        <w:spacing w:after="120" w:line="276" w:lineRule="auto"/>
        <w:ind w:firstLine="283"/>
        <w:jc w:val="both"/>
      </w:pPr>
      <w:r>
        <w:rPr>
          <w:rtl/>
        </w:rPr>
        <w:t xml:space="preserve">אלה מן הציבור היהודי שידעו את הסיבה האמיתית להסתלקותו של </w:t>
      </w:r>
      <w:proofErr w:type="spellStart"/>
      <w:r>
        <w:rPr>
          <w:rtl/>
        </w:rPr>
        <w:t>ליליינטל</w:t>
      </w:r>
      <w:proofErr w:type="spellEnd"/>
      <w:r>
        <w:rPr>
          <w:rtl/>
        </w:rPr>
        <w:t xml:space="preserve"> שמרו את הדבר בסוד, מפני שפרסומו היה מוציא שם רע על </w:t>
      </w:r>
      <w:r>
        <w:rPr>
          <w:b/>
          <w:bCs/>
          <w:rtl/>
        </w:rPr>
        <w:t>כל</w:t>
      </w:r>
      <w:r>
        <w:rPr>
          <w:rtl/>
        </w:rPr>
        <w:t xml:space="preserve"> היהודים: אין ספק שחוגים אנטישמיים ברוסיה היו משתמשים במעשה מעין זה כראיה לכך שכל היהודים גנבים. וכן היה משרדו של השר </w:t>
      </w:r>
      <w:proofErr w:type="spellStart"/>
      <w:r>
        <w:rPr>
          <w:rtl/>
        </w:rPr>
        <w:t>אוברוב</w:t>
      </w:r>
      <w:proofErr w:type="spellEnd"/>
      <w:r>
        <w:rPr>
          <w:rtl/>
        </w:rPr>
        <w:t xml:space="preserve"> משתיק את העניין, מפני שגילויו היה מעיד על שיקול דעת לקוי של השר, שבחר ברמאי לעבודה רגישה.</w:t>
      </w:r>
    </w:p>
    <w:p w14:paraId="1A368596" w14:textId="77777777" w:rsidR="00AB3647" w:rsidRDefault="00000000" w:rsidP="007923E9">
      <w:pPr>
        <w:spacing w:after="120" w:line="276" w:lineRule="auto"/>
        <w:ind w:firstLine="283"/>
        <w:jc w:val="both"/>
      </w:pPr>
      <w:r>
        <w:rPr>
          <w:rtl/>
        </w:rPr>
        <w:t xml:space="preserve">אפשר אפילו לשער שחופשתו של </w:t>
      </w:r>
      <w:proofErr w:type="spellStart"/>
      <w:r>
        <w:rPr>
          <w:rtl/>
        </w:rPr>
        <w:t>ליליינטל</w:t>
      </w:r>
      <w:proofErr w:type="spellEnd"/>
      <w:r>
        <w:rPr>
          <w:rtl/>
        </w:rPr>
        <w:t xml:space="preserve"> בגרמניה נדחתה, כאמור בפסקה הקודמת, אם מפני הסיבוכים שבהשלמת הגניבה, ואם – וזה מסתבר יותר – מפני שהממשלה כבר גילתה את תחבולותיו. נדרש זמן עד שהגיע </w:t>
      </w:r>
      <w:proofErr w:type="spellStart"/>
      <w:r>
        <w:rPr>
          <w:rtl/>
        </w:rPr>
        <w:t>ליליינטל</w:t>
      </w:r>
      <w:proofErr w:type="spellEnd"/>
      <w:r>
        <w:rPr>
          <w:rtl/>
        </w:rPr>
        <w:t xml:space="preserve"> להסדר עם הממונה עליו: הממונה ישתיק את </w:t>
      </w:r>
      <w:r>
        <w:rPr>
          <w:rtl/>
        </w:rPr>
        <w:lastRenderedPageBreak/>
        <w:t xml:space="preserve">העניין ויאפשר לו לחזור לגרמניה, ושם יעמיד </w:t>
      </w:r>
      <w:proofErr w:type="spellStart"/>
      <w:r>
        <w:rPr>
          <w:rtl/>
        </w:rPr>
        <w:t>ליליינטל</w:t>
      </w:r>
      <w:proofErr w:type="spellEnd"/>
      <w:r>
        <w:rPr>
          <w:rtl/>
        </w:rPr>
        <w:t xml:space="preserve"> פנים כמבקש להאריך את שהותו, ואחר כך יתפטר רשמית. אם הסתיר את מעלליו גם ממשפחתו, ובפרט ממשפחת ארוסתו, כמסתבר, נתנה לו ההפוגה במינכן הזדמנות לבדות סיבה כלשהי כדי “להוכיח” להם שבסופו של דבר לא כדאי להחזיק במשרה בפטרבורג, שעליה דיבר בהתלהבות כה רבה.</w:t>
      </w:r>
      <w:bookmarkStart w:id="1437" w:name="_fnr929"/>
      <w:r>
        <w:rPr>
          <w:rStyle w:val="a5"/>
        </w:rPr>
        <w:footnoteReference w:id="932" w:customMarkFollows="0"/>
      </w:r>
      <w:bookmarkEnd w:id="1437"/>
    </w:p>
    <w:p w14:paraId="38AF9513" w14:textId="77777777" w:rsidR="00AB3647" w:rsidRDefault="00000000" w:rsidP="007923E9">
      <w:pPr>
        <w:spacing w:after="120" w:line="276" w:lineRule="auto"/>
        <w:ind w:firstLine="283"/>
        <w:jc w:val="both"/>
      </w:pPr>
      <w:r>
        <w:rPr>
          <w:rtl/>
        </w:rPr>
        <w:t xml:space="preserve">יש אירוניה בכך </w:t>
      </w:r>
      <w:proofErr w:type="spellStart"/>
      <w:r>
        <w:rPr>
          <w:rtl/>
        </w:rPr>
        <w:t>שליליינטל</w:t>
      </w:r>
      <w:proofErr w:type="spellEnd"/>
      <w:r>
        <w:rPr>
          <w:rtl/>
        </w:rPr>
        <w:t xml:space="preserve"> נפל לאותה מלכודת שמפניה הזהיר את חניכיו הצעירים בהיותו בריגה. לדברי ר׳ יהונתן </w:t>
      </w:r>
      <w:proofErr w:type="spellStart"/>
      <w:r>
        <w:rPr>
          <w:rtl/>
        </w:rPr>
        <w:t xml:space="preserve">אליאשברג</w:t>
      </w:r>
      <w:proofErr w:type="spellEnd"/>
      <w:r>
        <w:rPr>
          <w:rtl/>
        </w:rPr>
        <w:t xml:space="preserve"> בהקדמה הביוגרפית לספר אביו “שביל הזהב”</w:t>
      </w:r>
      <w:bookmarkStart w:id="1438" w:name="_fnr930"/>
      <w:r>
        <w:rPr>
          <w:rStyle w:val="a5"/>
        </w:rPr>
        <w:footnoteReference w:id="933" w:customMarkFollows="0"/>
      </w:r>
      <w:bookmarkEnd w:id="1438"/>
      <w:r>
        <w:rPr>
          <w:rtl/>
        </w:rPr>
        <w:t xml:space="preserve">, אביו, ר׳ מרדכי </w:t>
      </w:r>
      <w:proofErr w:type="spellStart"/>
      <w:r>
        <w:rPr>
          <w:rtl/>
        </w:rPr>
        <w:t>מבויסק</w:t>
      </w:r>
      <w:proofErr w:type="spellEnd"/>
      <w:r>
        <w:rPr>
          <w:rtl/>
        </w:rPr>
        <w:t xml:space="preserve">, היה בריגה בעניין מסחרי כלשהו וביקר בבית ספרו של ד״ר </w:t>
      </w:r>
      <w:proofErr w:type="spellStart"/>
      <w:r>
        <w:rPr>
          <w:rtl/>
        </w:rPr>
        <w:t>ליליינטל</w:t>
      </w:r>
      <w:proofErr w:type="spellEnd"/>
      <w:r>
        <w:rPr>
          <w:rtl/>
        </w:rPr>
        <w:t>, ומצא אותו מלקה נער שגנב כסף מחברו לספסל הלימודים.</w:t>
      </w:r>
    </w:p>
    <w:p w14:paraId="42F6BB9D" w14:textId="77777777" w:rsidR="00AB3647" w:rsidRDefault="00000000" w:rsidP="007923E9">
      <w:pPr>
        <w:spacing w:after="120" w:line="276" w:lineRule="auto"/>
        <w:ind w:firstLine="283"/>
        <w:jc w:val="both"/>
      </w:pPr>
      <w:r>
        <w:rPr>
          <w:rtl/>
        </w:rPr>
        <w:t>“שמעתי את תוכחתו והכרתי את אהבתו לעמו”, סיפר ר׳ מרדכי. “וכך אמר לנער: ‘כשתגדל ותהיה גנב, יאמרו [הגויים] שכל היהודים גנבים. נמצא שאתה מטיל כתם שחור על שמי ישראל, ומסכן את כל עם ישראל במעשיך.’” הצבוע</w:t>
      </w:r>
      <w:bookmarkStart w:id="1439" w:name="_fnr931"/>
      <w:r>
        <w:rPr>
          <w:rStyle w:val="a5"/>
        </w:rPr>
        <w:footnoteReference w:id="934" w:customMarkFollows="0"/>
      </w:r>
      <w:bookmarkEnd w:id="1439"/>
      <w:r>
        <w:rPr>
          <w:rtl/>
        </w:rPr>
        <w:t xml:space="preserve"> הניח בצד שיקולים אלה כשחשב </w:t>
      </w:r>
      <w:proofErr w:type="spellStart"/>
      <w:r>
        <w:rPr>
          <w:rtl/>
        </w:rPr>
        <w:t>שנזדמנה</w:t>
      </w:r>
      <w:proofErr w:type="spellEnd"/>
      <w:r>
        <w:rPr>
          <w:rtl/>
        </w:rPr>
        <w:t xml:space="preserve"> לו הזדמנות לעשוק את אדוניו הרוסים – אבל לזכותו ייאמר שעזב את המדינה כדי לבלום את הנזק שמעשהו עלול היה לגרום.</w:t>
      </w:r>
    </w:p>
    <w:p w14:paraId="0E885B57" w14:textId="77777777" w:rsidR="00AB3647" w:rsidRDefault="00000000" w:rsidP="007923E9">
      <w:pPr>
        <w:spacing w:after="120" w:line="276" w:lineRule="auto"/>
        <w:ind w:firstLine="283"/>
        <w:jc w:val="both"/>
      </w:pPr>
      <w:r>
        <w:rPr>
          <w:rtl/>
        </w:rPr>
        <w:t xml:space="preserve">אבל </w:t>
      </w:r>
      <w:proofErr w:type="spellStart"/>
      <w:r>
        <w:rPr>
          <w:rtl/>
        </w:rPr>
        <w:t>ליליינטל</w:t>
      </w:r>
      <w:proofErr w:type="spellEnd"/>
      <w:r>
        <w:rPr>
          <w:rtl/>
        </w:rPr>
        <w:t xml:space="preserve"> הצליח לעשות רושם חיובי על הרב </w:t>
      </w:r>
      <w:proofErr w:type="spellStart"/>
      <w:r>
        <w:rPr>
          <w:rtl/>
        </w:rPr>
        <w:t xml:space="preserve">אליאשברג</w:t>
      </w:r>
      <w:proofErr w:type="spellEnd"/>
      <w:r>
        <w:rPr>
          <w:rtl/>
        </w:rPr>
        <w:t xml:space="preserve">, כמו שעשה על </w:t>
      </w:r>
      <w:proofErr w:type="spellStart"/>
      <w:r>
        <w:rPr>
          <w:rtl/>
        </w:rPr>
        <w:t>הנצי״ב</w:t>
      </w:r>
      <w:bookmarkStart w:id="1440" w:name="_fnr932"/>
      <w:bookmarkStart w:id="1441" w:name="pr_f_853"/>
      <w:proofErr w:type="spellEnd"/>
      <w:r>
        <w:rPr>
          <w:rStyle w:val="a5"/>
        </w:rPr>
        <w:footnoteReference w:id="935" w:customMarkFollows="0"/>
      </w:r>
      <w:bookmarkEnd w:id="1440"/>
      <w:bookmarkEnd w:id="1441"/>
      <w:r>
        <w:rPr>
          <w:rtl/>
        </w:rPr>
        <w:t xml:space="preserve">. כפי שסיפר ר׳ מרדכי: “אחרי [שגמר </w:t>
      </w:r>
      <w:proofErr w:type="spellStart"/>
      <w:r>
        <w:rPr>
          <w:rtl/>
        </w:rPr>
        <w:t>ליליינטל</w:t>
      </w:r>
      <w:proofErr w:type="spellEnd"/>
      <w:r>
        <w:rPr>
          <w:rtl/>
        </w:rPr>
        <w:t xml:space="preserve"> להוכיח ולהעניש את הנער] ראני נתן לי שלום ויבקש ממני להמתין עד יגמור שעות </w:t>
      </w:r>
      <w:proofErr w:type="spellStart"/>
      <w:r>
        <w:rPr>
          <w:rtl/>
        </w:rPr>
        <w:t>למודו</w:t>
      </w:r>
      <w:proofErr w:type="spellEnd"/>
      <w:r>
        <w:rPr>
          <w:rtl/>
        </w:rPr>
        <w:t xml:space="preserve"> אשר ימשך עוד מחצית שעה, המתנתי והלכנו אחרי כן לחדרו, וכאשר שאלתי מה שלום מצב אחינו הכלל, </w:t>
      </w:r>
      <w:proofErr w:type="spellStart"/>
      <w:r>
        <w:rPr>
          <w:rtl/>
        </w:rPr>
        <w:t>ויגד</w:t>
      </w:r>
      <w:proofErr w:type="spellEnd"/>
      <w:r>
        <w:rPr>
          <w:rtl/>
        </w:rPr>
        <w:t xml:space="preserve"> לי את כל אשר חשב השר </w:t>
      </w:r>
      <w:proofErr w:type="spellStart"/>
      <w:r>
        <w:rPr>
          <w:rtl/>
        </w:rPr>
        <w:t>אובאראוו</w:t>
      </w:r>
      <w:proofErr w:type="spellEnd"/>
      <w:r>
        <w:rPr>
          <w:rtl/>
        </w:rPr>
        <w:t xml:space="preserve"> לעשות למען ההשכלה”. הרב </w:t>
      </w:r>
      <w:proofErr w:type="spellStart"/>
      <w:r>
        <w:rPr>
          <w:rtl/>
        </w:rPr>
        <w:t xml:space="preserve">אליאשברג</w:t>
      </w:r>
      <w:proofErr w:type="spellEnd"/>
      <w:r>
        <w:rPr>
          <w:rtl/>
        </w:rPr>
        <w:t xml:space="preserve"> העיר אז שההשכלה עשויה להיות פתרון </w:t>
      </w:r>
      <w:proofErr w:type="spellStart"/>
      <w:r>
        <w:rPr>
          <w:rtl/>
        </w:rPr>
        <w:t>ל“ענף</w:t>
      </w:r>
      <w:proofErr w:type="spellEnd"/>
      <w:r>
        <w:rPr>
          <w:rtl/>
        </w:rPr>
        <w:t xml:space="preserve"> מענפי החיים”, אבל הבעיה החמורה היא שהממשלה כולאת את היהודים, ובכך אינה מניחה להם להתפרנס.</w:t>
      </w:r>
    </w:p>
    <w:p w14:paraId="2024E243" w14:textId="77777777" w:rsidR="00AB3647" w:rsidRDefault="00000000" w:rsidP="007923E9">
      <w:pPr>
        <w:spacing w:after="120" w:line="276" w:lineRule="auto"/>
        <w:ind w:firstLine="283"/>
        <w:jc w:val="both"/>
      </w:pPr>
      <w:r>
        <w:rPr>
          <w:rtl/>
        </w:rPr>
        <w:t>“</w:t>
      </w:r>
      <w:proofErr w:type="spellStart"/>
      <w:r>
        <w:rPr>
          <w:rtl/>
        </w:rPr>
        <w:t>ליליענטהאל</w:t>
      </w:r>
      <w:proofErr w:type="spellEnd"/>
      <w:r>
        <w:rPr>
          <w:rtl/>
        </w:rPr>
        <w:t xml:space="preserve"> שמע בקר רוח את דברי (הרב) ועיניו זלגו דמעות”. הוא הסביר שזה בדיוק מה שאמר </w:t>
      </w:r>
      <w:proofErr w:type="spellStart"/>
      <w:r>
        <w:rPr>
          <w:rtl/>
        </w:rPr>
        <w:t>לאוברוב</w:t>
      </w:r>
      <w:proofErr w:type="spellEnd"/>
      <w:r>
        <w:rPr>
          <w:rtl/>
        </w:rPr>
        <w:t>, והמשיל את היהודים ברוסיה לשוורים בשדה סגור: כשאינם מוצאים עוד עשב, הם כועסים ומתחילים לנגח זה את זה. “</w:t>
      </w:r>
      <w:proofErr w:type="spellStart"/>
      <w:r>
        <w:rPr>
          <w:rtl/>
        </w:rPr>
        <w:t>לוא</w:t>
      </w:r>
      <w:proofErr w:type="spellEnd"/>
      <w:r>
        <w:rPr>
          <w:rtl/>
        </w:rPr>
        <w:t xml:space="preserve"> יתנו להם </w:t>
      </w:r>
      <w:proofErr w:type="spellStart"/>
      <w:r>
        <w:rPr>
          <w:rtl/>
        </w:rPr>
        <w:t>ריוח</w:t>
      </w:r>
      <w:proofErr w:type="spellEnd"/>
      <w:r>
        <w:rPr>
          <w:rtl/>
        </w:rPr>
        <w:t xml:space="preserve"> ללכת כאשר יחפצו ממרעה למרעה אז תשוב האדמה </w:t>
      </w:r>
      <w:proofErr w:type="spellStart"/>
      <w:r>
        <w:rPr>
          <w:rtl/>
        </w:rPr>
        <w:t>להכסות</w:t>
      </w:r>
      <w:proofErr w:type="spellEnd"/>
      <w:r>
        <w:rPr>
          <w:rtl/>
        </w:rPr>
        <w:t xml:space="preserve"> בנאות דשא והם לא יסבו בלכתן להרע זה לזה או לשום שמות בהאדמה אשר תחת רגליהם”, טען </w:t>
      </w:r>
      <w:proofErr w:type="spellStart"/>
      <w:r>
        <w:rPr>
          <w:rtl/>
        </w:rPr>
        <w:t>ליליינטל</w:t>
      </w:r>
      <w:proofErr w:type="spellEnd"/>
      <w:r>
        <w:rPr>
          <w:rtl/>
        </w:rPr>
        <w:t xml:space="preserve"> שאמר </w:t>
      </w:r>
      <w:proofErr w:type="spellStart"/>
      <w:r>
        <w:rPr>
          <w:rtl/>
        </w:rPr>
        <w:t>לאוברוב</w:t>
      </w:r>
      <w:proofErr w:type="spellEnd"/>
      <w:r>
        <w:rPr>
          <w:rtl/>
        </w:rPr>
        <w:t>.</w:t>
      </w:r>
    </w:p>
    <w:p w14:paraId="4208ED05" w14:textId="77777777" w:rsidR="00AB3647" w:rsidRDefault="00000000" w:rsidP="007923E9">
      <w:pPr>
        <w:spacing w:after="120" w:line="276" w:lineRule="auto"/>
        <w:ind w:firstLine="283"/>
        <w:jc w:val="both"/>
      </w:pPr>
      <w:r>
        <w:rPr>
          <w:rtl/>
        </w:rPr>
        <w:lastRenderedPageBreak/>
        <w:t xml:space="preserve">הרב </w:t>
      </w:r>
      <w:proofErr w:type="spellStart"/>
      <w:r>
        <w:rPr>
          <w:rtl/>
        </w:rPr>
        <w:t xml:space="preserve">אליאשברג</w:t>
      </w:r>
      <w:proofErr w:type="spellEnd"/>
      <w:r>
        <w:rPr>
          <w:rtl/>
        </w:rPr>
        <w:t xml:space="preserve"> המשיך ומסר מה שסיפר לו </w:t>
      </w:r>
      <w:proofErr w:type="spellStart"/>
      <w:r>
        <w:rPr>
          <w:rtl/>
        </w:rPr>
        <w:t>ליליינטל</w:t>
      </w:r>
      <w:proofErr w:type="spellEnd"/>
      <w:r>
        <w:rPr>
          <w:rtl/>
        </w:rPr>
        <w:t xml:space="preserve"> אז: “התשובה המחוכמת מצא חן בעיני </w:t>
      </w:r>
      <w:proofErr w:type="spellStart"/>
      <w:r>
        <w:rPr>
          <w:rtl/>
        </w:rPr>
        <w:t>המיניסטער</w:t>
      </w:r>
      <w:proofErr w:type="spellEnd"/>
      <w:r>
        <w:rPr>
          <w:rtl/>
        </w:rPr>
        <w:t xml:space="preserve"> ויעמוד לפני הקיסר האדיר </w:t>
      </w:r>
      <w:proofErr w:type="spellStart"/>
      <w:r>
        <w:rPr>
          <w:rtl/>
        </w:rPr>
        <w:t>ניקאלי</w:t>
      </w:r>
      <w:proofErr w:type="spellEnd"/>
      <w:r>
        <w:rPr>
          <w:rtl/>
        </w:rPr>
        <w:t xml:space="preserve">, ויאמר: כי עצת </w:t>
      </w:r>
      <w:proofErr w:type="spellStart"/>
      <w:r>
        <w:rPr>
          <w:rtl/>
        </w:rPr>
        <w:t>ליליענטהאל</w:t>
      </w:r>
      <w:proofErr w:type="spellEnd"/>
      <w:r>
        <w:rPr>
          <w:rtl/>
        </w:rPr>
        <w:t xml:space="preserve"> לפתוח את מרחבי </w:t>
      </w:r>
      <w:proofErr w:type="spellStart"/>
      <w:r>
        <w:rPr>
          <w:rtl/>
        </w:rPr>
        <w:t>רוסיא</w:t>
      </w:r>
      <w:proofErr w:type="spellEnd"/>
      <w:r>
        <w:rPr>
          <w:rtl/>
        </w:rPr>
        <w:t xml:space="preserve"> לפני בני ישראל ובזה </w:t>
      </w:r>
      <w:proofErr w:type="spellStart"/>
      <w:r>
        <w:rPr>
          <w:rtl/>
        </w:rPr>
        <w:t>ירוח</w:t>
      </w:r>
      <w:proofErr w:type="spellEnd"/>
      <w:r>
        <w:rPr>
          <w:rtl/>
        </w:rPr>
        <w:t xml:space="preserve"> להם ויסורו כל רוע </w:t>
      </w:r>
      <w:proofErr w:type="spellStart"/>
      <w:r>
        <w:rPr>
          <w:rtl/>
        </w:rPr>
        <w:t>מדותיהם</w:t>
      </w:r>
      <w:proofErr w:type="spellEnd"/>
      <w:r>
        <w:rPr>
          <w:rtl/>
        </w:rPr>
        <w:t xml:space="preserve">. תשובת הקיסר </w:t>
      </w:r>
      <w:proofErr w:type="spellStart"/>
      <w:r>
        <w:rPr>
          <w:rtl/>
        </w:rPr>
        <w:t>היתה</w:t>
      </w:r>
      <w:proofErr w:type="spellEnd"/>
      <w:r>
        <w:rPr>
          <w:rtl/>
        </w:rPr>
        <w:t xml:space="preserve">: כי שאלת היהודים נמסרה לו בתור שר ההשכלה לפותרה על דרך ההשכלה ואין לו להציע הצעות השייכות לשר הפנים”. ר׳ יהונתן מסיים: “עוד החליף [אבי] עם </w:t>
      </w:r>
      <w:proofErr w:type="spellStart"/>
      <w:r>
        <w:rPr>
          <w:rtl/>
        </w:rPr>
        <w:t>ליליענטאל</w:t>
      </w:r>
      <w:proofErr w:type="spellEnd"/>
      <w:r>
        <w:rPr>
          <w:rtl/>
        </w:rPr>
        <w:t xml:space="preserve"> שאלות ותשובות שונות וכן התמו”.</w:t>
      </w:r>
    </w:p>
    <w:p w14:paraId="6B79B9FF" w14:textId="77777777" w:rsidR="00AB3647" w:rsidRDefault="00000000" w:rsidP="007923E9">
      <w:pPr>
        <w:spacing w:after="120" w:line="276" w:lineRule="auto"/>
        <w:ind w:firstLine="283"/>
        <w:jc w:val="both"/>
      </w:pPr>
      <w:proofErr w:type="spellStart"/>
      <w:r>
        <w:rPr>
          <w:rtl/>
        </w:rPr>
        <w:t>מ“שביל</w:t>
      </w:r>
      <w:proofErr w:type="spellEnd"/>
      <w:r>
        <w:rPr>
          <w:rtl/>
        </w:rPr>
        <w:t xml:space="preserve"> הזהב” לא ברור מתי בדיוק נפגשו ר׳ מרדכי </w:t>
      </w:r>
      <w:proofErr w:type="spellStart"/>
      <w:r>
        <w:rPr>
          <w:rtl/>
        </w:rPr>
        <w:t xml:space="preserve">אליאשברג</w:t>
      </w:r>
      <w:proofErr w:type="spellEnd"/>
      <w:r>
        <w:rPr>
          <w:rtl/>
        </w:rPr>
        <w:t xml:space="preserve"> </w:t>
      </w:r>
      <w:proofErr w:type="spellStart"/>
      <w:r>
        <w:rPr>
          <w:rtl/>
        </w:rPr>
        <w:t>וליליינטל</w:t>
      </w:r>
      <w:proofErr w:type="spellEnd"/>
      <w:r>
        <w:rPr>
          <w:rtl/>
        </w:rPr>
        <w:t xml:space="preserve">, ועלינו לנסות לברר היכן משתלב ביקור זה בכרונולוגיה של שהות </w:t>
      </w:r>
      <w:proofErr w:type="spellStart"/>
      <w:r>
        <w:rPr>
          <w:rtl/>
        </w:rPr>
        <w:t>ליליינטל</w:t>
      </w:r>
      <w:proofErr w:type="spellEnd"/>
      <w:r>
        <w:rPr>
          <w:rtl/>
        </w:rPr>
        <w:t xml:space="preserve"> ברוסיה. לא ייתכן שהביקור אירע לפני שליחותו הראשונה של </w:t>
      </w:r>
      <w:proofErr w:type="spellStart"/>
      <w:r>
        <w:rPr>
          <w:rtl/>
        </w:rPr>
        <w:t>ליליינטל</w:t>
      </w:r>
      <w:proofErr w:type="spellEnd"/>
      <w:r>
        <w:rPr>
          <w:rtl/>
        </w:rPr>
        <w:t xml:space="preserve"> בווילנה, פשוט משום שאילו כן, היה </w:t>
      </w:r>
      <w:proofErr w:type="spellStart"/>
      <w:r>
        <w:rPr>
          <w:rtl/>
        </w:rPr>
        <w:t>ליליינטל</w:t>
      </w:r>
      <w:proofErr w:type="spellEnd"/>
      <w:r>
        <w:rPr>
          <w:rtl/>
        </w:rPr>
        <w:t xml:space="preserve"> משיב לטענתו של מנהיג יהודי וילנה, שהובאה לעיל בפסקה השישית – שקודם כול צריכים היהודים לקבל חירות אזרחית רבה יותר – באותו סיפור שאין עליו תשובה שהציג לפני הרב </w:t>
      </w:r>
      <w:proofErr w:type="spellStart"/>
      <w:r>
        <w:rPr>
          <w:rtl/>
        </w:rPr>
        <w:t xml:space="preserve">אליאשברג</w:t>
      </w:r>
      <w:proofErr w:type="spellEnd"/>
      <w:r>
        <w:rPr>
          <w:rtl/>
        </w:rPr>
        <w:t xml:space="preserve">. כלומר, היה אומר שגם הוא וגם השר סבורים בדיוק כאותו מנהיג וילנאי, אבל מה יעשו אם הצאר דוחה זאת?</w:t>
      </w:r>
    </w:p>
    <w:p w14:paraId="37E15C08" w14:textId="77777777" w:rsidR="00AB3647" w:rsidRDefault="00000000" w:rsidP="007923E9">
      <w:pPr>
        <w:spacing w:after="120" w:line="276" w:lineRule="auto"/>
        <w:ind w:firstLine="283"/>
        <w:jc w:val="both"/>
      </w:pPr>
      <w:r>
        <w:rPr>
          <w:rtl/>
        </w:rPr>
        <w:t xml:space="preserve">הביקור בריגה ודאי אירע </w:t>
      </w:r>
      <w:r>
        <w:rPr>
          <w:b/>
          <w:bCs/>
          <w:rtl/>
        </w:rPr>
        <w:t>אחרי</w:t>
      </w:r>
      <w:r>
        <w:rPr>
          <w:rtl/>
        </w:rPr>
        <w:t xml:space="preserve"> </w:t>
      </w:r>
      <w:proofErr w:type="spellStart"/>
      <w:r>
        <w:rPr>
          <w:rtl/>
        </w:rPr>
        <w:t>שליליינטל</w:t>
      </w:r>
      <w:proofErr w:type="spellEnd"/>
      <w:r>
        <w:rPr>
          <w:rtl/>
        </w:rPr>
        <w:t xml:space="preserve"> נתקל בהתנגדות בווילנה. הייתה לו אז הזדמנות להרהר בטענתו של המנהיג הוילנאי ולהחליט שהיא חזקה כל כך שראוי לו לאמצה כשלו, ואף להעמיד את </w:t>
      </w:r>
      <w:proofErr w:type="spellStart"/>
      <w:r>
        <w:rPr>
          <w:rtl/>
        </w:rPr>
        <w:t>אוברוב</w:t>
      </w:r>
      <w:proofErr w:type="spellEnd"/>
      <w:r>
        <w:rPr>
          <w:rtl/>
        </w:rPr>
        <w:t xml:space="preserve"> כמצדד בה! הוא גם הבין שתשובתו בווילנה (בשם </w:t>
      </w:r>
      <w:proofErr w:type="spellStart"/>
      <w:r>
        <w:rPr>
          <w:rtl/>
        </w:rPr>
        <w:t>אוברוב</w:t>
      </w:r>
      <w:proofErr w:type="spellEnd"/>
      <w:r>
        <w:rPr>
          <w:rtl/>
        </w:rPr>
        <w:t>) הייתה חלשה למדי – כפי שזוכר הקורא מן הפסקה השישית לעיל – ושעליו למצוא סיבה טובה יותר לדחיית הטענה, כלומר לגלגל את האשמה על הצאר, שאין לרדת לסוף דעתו.</w:t>
      </w:r>
    </w:p>
    <w:p w14:paraId="5B946410" w14:textId="77777777" w:rsidR="00AB3647" w:rsidRDefault="00000000" w:rsidP="007923E9">
      <w:pPr>
        <w:spacing w:after="120" w:line="276" w:lineRule="auto"/>
        <w:ind w:firstLine="283"/>
        <w:jc w:val="both"/>
      </w:pPr>
      <w:r>
        <w:rPr>
          <w:rtl/>
        </w:rPr>
        <w:t xml:space="preserve">ועוד, יש להניח שלפני ביקורו של </w:t>
      </w:r>
      <w:proofErr w:type="spellStart"/>
      <w:r>
        <w:rPr>
          <w:rtl/>
        </w:rPr>
        <w:t>ליליינטל</w:t>
      </w:r>
      <w:proofErr w:type="spellEnd"/>
      <w:r>
        <w:rPr>
          <w:rtl/>
        </w:rPr>
        <w:t xml:space="preserve"> </w:t>
      </w:r>
      <w:proofErr w:type="spellStart"/>
      <w:r>
        <w:rPr>
          <w:rtl/>
        </w:rPr>
        <w:t>בוולוז׳ין</w:t>
      </w:r>
      <w:proofErr w:type="spellEnd"/>
      <w:r>
        <w:rPr>
          <w:rtl/>
        </w:rPr>
        <w:t xml:space="preserve"> ולפני מסעו </w:t>
      </w:r>
      <w:r>
        <w:rPr>
          <w:b/>
          <w:bCs/>
          <w:rtl/>
        </w:rPr>
        <w:t>השני</w:t>
      </w:r>
      <w:r>
        <w:rPr>
          <w:rtl/>
        </w:rPr>
        <w:t xml:space="preserve"> במרכזי היהודים לא היה מפורסם די צורכו, וגם לא “כשר” די צורכו, כדי שאישיות רבנית כמו הרב </w:t>
      </w:r>
      <w:proofErr w:type="spellStart"/>
      <w:r>
        <w:rPr>
          <w:rtl/>
        </w:rPr>
        <w:t xml:space="preserve">אליאשברג</w:t>
      </w:r>
      <w:proofErr w:type="spellEnd"/>
      <w:r>
        <w:rPr>
          <w:rtl/>
        </w:rPr>
        <w:t xml:space="preserve"> תרצה לבקרו. מסתבר, אם כן, שהפגישה עם הרב </w:t>
      </w:r>
      <w:proofErr w:type="spellStart"/>
      <w:r>
        <w:rPr>
          <w:rtl/>
        </w:rPr>
        <w:t xml:space="preserve">אליאשברג</w:t>
      </w:r>
      <w:proofErr w:type="spellEnd"/>
      <w:r>
        <w:rPr>
          <w:rtl/>
        </w:rPr>
        <w:t xml:space="preserve"> אירעה עוד מאוחר יותר: אחרי שהתכנסה הוועדה הרבנית בפטרבורג בקיץ תר״ג, כלומר בזמן כלשהו בשנת תר״ד.</w:t>
      </w:r>
    </w:p>
    <w:p w14:paraId="66CFACC0" w14:textId="77777777" w:rsidR="00AB3647" w:rsidRDefault="00000000" w:rsidP="007923E9">
      <w:pPr>
        <w:spacing w:after="120" w:line="276" w:lineRule="auto"/>
        <w:ind w:firstLine="283"/>
        <w:jc w:val="both"/>
      </w:pPr>
      <w:r>
        <w:rPr>
          <w:rtl/>
        </w:rPr>
        <w:t xml:space="preserve">באותה עת פנה ניסן רוזנטל לממונה על </w:t>
      </w:r>
      <w:proofErr w:type="spellStart"/>
      <w:r>
        <w:rPr>
          <w:rtl/>
        </w:rPr>
        <w:t>ליליינטל</w:t>
      </w:r>
      <w:proofErr w:type="spellEnd"/>
      <w:r>
        <w:rPr>
          <w:rtl/>
        </w:rPr>
        <w:t xml:space="preserve">, </w:t>
      </w:r>
      <w:proofErr w:type="spellStart"/>
      <w:r>
        <w:rPr>
          <w:rtl/>
        </w:rPr>
        <w:t>אוברוב</w:t>
      </w:r>
      <w:proofErr w:type="spellEnd"/>
      <w:r>
        <w:rPr>
          <w:rtl/>
        </w:rPr>
        <w:t xml:space="preserve">, וביקש שיאסור את הלבוש היהודי, כמסופר לעיל בפסקה </w:t>
      </w:r>
      <w:proofErr w:type="spellStart"/>
      <w:r>
        <w:rPr>
          <w:rtl/>
        </w:rPr>
        <w:t>השתים־עשרה</w:t>
      </w:r>
      <w:proofErr w:type="spellEnd"/>
      <w:r>
        <w:rPr>
          <w:rtl/>
        </w:rPr>
        <w:t xml:space="preserve">. שר ההשכלה השיב לו שעליו להפנות את מאמציו לשר הפנים – בדיוק מה שטען </w:t>
      </w:r>
      <w:proofErr w:type="spellStart"/>
      <w:r>
        <w:rPr>
          <w:rtl/>
        </w:rPr>
        <w:t>ליליינטל</w:t>
      </w:r>
      <w:proofErr w:type="spellEnd"/>
      <w:r>
        <w:rPr>
          <w:rtl/>
        </w:rPr>
        <w:t xml:space="preserve"> שאמר הצאר </w:t>
      </w:r>
      <w:proofErr w:type="spellStart"/>
      <w:r>
        <w:rPr>
          <w:rtl/>
        </w:rPr>
        <w:t>לאוברוב</w:t>
      </w:r>
      <w:proofErr w:type="spellEnd"/>
      <w:r>
        <w:rPr>
          <w:rtl/>
        </w:rPr>
        <w:t xml:space="preserve">. את הרעיון לשים טענה זו בפי הצאר קיבל </w:t>
      </w:r>
      <w:proofErr w:type="spellStart"/>
      <w:r>
        <w:rPr>
          <w:rtl/>
        </w:rPr>
        <w:t>ליליינטל</w:t>
      </w:r>
      <w:proofErr w:type="spellEnd"/>
      <w:r>
        <w:rPr>
          <w:rtl/>
        </w:rPr>
        <w:t xml:space="preserve"> ממאורע שאירע באמת באותה עת. בשלב זה הגיעו פרסומו והצלחתו של </w:t>
      </w:r>
      <w:proofErr w:type="spellStart"/>
      <w:r>
        <w:rPr>
          <w:rtl/>
        </w:rPr>
        <w:t>ליליינטל</w:t>
      </w:r>
      <w:proofErr w:type="spellEnd"/>
      <w:r>
        <w:rPr>
          <w:rtl/>
        </w:rPr>
        <w:t xml:space="preserve"> לשיאם, ותוכנית הנייר שלו עדיין לא נרקמה. הוא היה אז כמעט בשל להתחיל בירידתו ובמפלתו, שהובילו לבריחתו מרוסיה. כלשון החכם מכל אדם: “לפני שבר גאון ולפני כשלון גבה רוח”</w:t>
      </w:r>
      <w:bookmarkStart w:id="1442" w:name="_fnr933"/>
      <w:r>
        <w:rPr>
          <w:rStyle w:val="a5"/>
        </w:rPr>
        <w:footnoteReference w:id="936" w:customMarkFollows="0"/>
      </w:r>
      <w:bookmarkEnd w:id="1442"/>
      <w:r>
        <w:rPr>
          <w:rtl/>
        </w:rPr>
        <w:t>.</w:t>
      </w:r>
    </w:p>
    <w:p w14:paraId="48233404" w14:textId="77777777" w:rsidR="00AB3647" w:rsidRDefault="00000000" w:rsidP="007923E9">
      <w:pPr>
        <w:spacing w:after="120" w:line="276" w:lineRule="auto"/>
        <w:ind w:firstLine="283"/>
        <w:jc w:val="both"/>
      </w:pPr>
      <w:r>
        <w:rPr>
          <w:rtl/>
        </w:rPr>
        <w:t xml:space="preserve">לעולם לא נדע אם ניסה </w:t>
      </w:r>
      <w:proofErr w:type="spellStart"/>
      <w:r>
        <w:rPr>
          <w:rtl/>
        </w:rPr>
        <w:t>ליליינטל</w:t>
      </w:r>
      <w:proofErr w:type="spellEnd"/>
      <w:r>
        <w:rPr>
          <w:rtl/>
        </w:rPr>
        <w:t xml:space="preserve"> באמת להפנות את מאמציו של </w:t>
      </w:r>
      <w:proofErr w:type="spellStart"/>
      <w:r>
        <w:rPr>
          <w:rtl/>
        </w:rPr>
        <w:t>אוברוב</w:t>
      </w:r>
      <w:proofErr w:type="spellEnd"/>
      <w:r>
        <w:rPr>
          <w:rtl/>
        </w:rPr>
        <w:t xml:space="preserve"> לשיפור מצבם הכללי של היהודים, שהרי אין לכך שום ראיה מלבד הסיפור שסיפר לרב </w:t>
      </w:r>
      <w:proofErr w:type="spellStart"/>
      <w:r>
        <w:rPr>
          <w:rtl/>
        </w:rPr>
        <w:t xml:space="preserve">אליאשברג</w:t>
      </w:r>
      <w:proofErr w:type="spellEnd"/>
      <w:r>
        <w:rPr>
          <w:rtl/>
        </w:rPr>
        <w:t>, ומלבד יומנו שלו, שאינו מהימן</w:t>
      </w:r>
      <w:bookmarkStart w:id="1443" w:name="_fnr934"/>
      <w:r>
        <w:rPr>
          <w:rStyle w:val="a5"/>
        </w:rPr>
        <w:footnoteReference w:id="937" w:customMarkFollows="0"/>
      </w:r>
      <w:bookmarkEnd w:id="1443"/>
      <w:r>
        <w:rPr>
          <w:rtl/>
        </w:rPr>
        <w:t xml:space="preserve"> – שם הוא טוען</w:t>
      </w:r>
      <w:bookmarkStart w:id="1444" w:name="_fnr935"/>
      <w:r>
        <w:rPr>
          <w:rStyle w:val="a5"/>
        </w:rPr>
        <w:footnoteReference w:id="938" w:customMarkFollows="0"/>
      </w:r>
      <w:bookmarkEnd w:id="1444"/>
      <w:r>
        <w:rPr>
          <w:rtl/>
        </w:rPr>
        <w:t xml:space="preserve"> שהציע </w:t>
      </w:r>
      <w:proofErr w:type="spellStart"/>
      <w:r>
        <w:rPr>
          <w:rtl/>
        </w:rPr>
        <w:t>לאוברוב</w:t>
      </w:r>
      <w:proofErr w:type="spellEnd"/>
      <w:r>
        <w:rPr>
          <w:rtl/>
        </w:rPr>
        <w:t xml:space="preserve"> להעניק ליהודים שוויון זכויות. </w:t>
      </w:r>
      <w:r>
        <w:rPr>
          <w:rtl/>
        </w:rPr>
        <w:lastRenderedPageBreak/>
        <w:t xml:space="preserve">מסתבר יותר שהיה משרת נאמן </w:t>
      </w:r>
      <w:proofErr w:type="spellStart"/>
      <w:r>
        <w:rPr>
          <w:rtl/>
        </w:rPr>
        <w:t>לאוברוב</w:t>
      </w:r>
      <w:proofErr w:type="spellEnd"/>
      <w:r>
        <w:rPr>
          <w:rtl/>
        </w:rPr>
        <w:t xml:space="preserve"> בעניינים שבתחום סמכותו של משרד ההשכלה, ומעולם לא התערב בענייני משרד הפנים – חלוקת תפקידים </w:t>
      </w:r>
      <w:proofErr w:type="spellStart"/>
      <w:r>
        <w:rPr>
          <w:rtl/>
        </w:rPr>
        <w:t>שאוברוב</w:t>
      </w:r>
      <w:proofErr w:type="spellEnd"/>
      <w:r>
        <w:rPr>
          <w:rtl/>
        </w:rPr>
        <w:t xml:space="preserve"> עצמו שרטט לפני רוזנטל, </w:t>
      </w:r>
      <w:proofErr w:type="spellStart"/>
      <w:r>
        <w:rPr>
          <w:rtl/>
        </w:rPr>
        <w:t>וליליינטל</w:t>
      </w:r>
      <w:proofErr w:type="spellEnd"/>
      <w:r>
        <w:rPr>
          <w:rtl/>
        </w:rPr>
        <w:t xml:space="preserve"> שם בפי הצאר.</w:t>
      </w:r>
    </w:p>
    <w:p w14:paraId="098F575F" w14:textId="77777777" w:rsidR="00AB3647" w:rsidRDefault="00000000" w:rsidP="007923E9">
      <w:pPr>
        <w:spacing w:after="120" w:line="276" w:lineRule="auto"/>
        <w:ind w:firstLine="283"/>
        <w:jc w:val="both"/>
      </w:pPr>
      <w:proofErr w:type="spellStart"/>
      <w:r>
        <w:rPr>
          <w:rtl/>
        </w:rPr>
        <w:t>ליליינטל</w:t>
      </w:r>
      <w:proofErr w:type="spellEnd"/>
      <w:r>
        <w:rPr>
          <w:rtl/>
        </w:rPr>
        <w:t xml:space="preserve"> בדה שיחה בינו ובין </w:t>
      </w:r>
      <w:proofErr w:type="spellStart"/>
      <w:r>
        <w:rPr>
          <w:rtl/>
        </w:rPr>
        <w:t>אוברוב</w:t>
      </w:r>
      <w:proofErr w:type="spellEnd"/>
      <w:r>
        <w:rPr>
          <w:rtl/>
        </w:rPr>
        <w:t xml:space="preserve"> על מצבם הכללי של יהודי רוסיה כדי לעשות רושם טוב על ר׳ מרדכי </w:t>
      </w:r>
      <w:proofErr w:type="spellStart"/>
      <w:r>
        <w:rPr>
          <w:rtl/>
        </w:rPr>
        <w:t xml:space="preserve">אליאשברג</w:t>
      </w:r>
      <w:proofErr w:type="spellEnd"/>
      <w:r>
        <w:rPr>
          <w:rtl/>
        </w:rPr>
        <w:t xml:space="preserve">, ולימים על קוראי יומנו – כשם שבדה את הסיפור שגזרת 50 </w:t>
      </w:r>
      <w:proofErr w:type="spellStart"/>
      <w:r>
        <w:rPr>
          <w:rtl/>
        </w:rPr>
        <w:t>הוורסטאות</w:t>
      </w:r>
      <w:proofErr w:type="spellEnd"/>
      <w:r>
        <w:rPr>
          <w:rtl/>
        </w:rPr>
        <w:t xml:space="preserve"> הממה אותו לגמרי, כאמור לעיל בפסקה העשרים ואחת.</w:t>
      </w:r>
    </w:p>
    <w:p w14:paraId="5B1789CA" w14:textId="77777777" w:rsidR="00AB3647" w:rsidRDefault="00000000" w:rsidP="007923E9">
      <w:pPr>
        <w:pStyle w:val="4"/>
        <w:spacing w:line="276" w:lineRule="auto"/>
      </w:pPr>
      <w:r>
        <w:t>· הפסקה העשרים וחמש ·</w:t>
      </w:r>
    </w:p>
    <w:p w14:paraId="310DDFA7" w14:textId="77777777" w:rsidR="00AB3647" w:rsidRDefault="00000000" w:rsidP="007923E9">
      <w:pPr>
        <w:pStyle w:val="5"/>
        <w:spacing w:line="276" w:lineRule="auto"/>
      </w:pPr>
      <w:r>
        <w:t xml:space="preserve">הוועדה הרבנית דוחה את ההצעה ללמד בבתי הספר היסודיים חומש עם ביאורו של משה מנדלסון – ביאורו של מנדלסון אינו נמאס </w:t>
      </w:r>
      <w:proofErr w:type="spellStart"/>
      <w:r>
        <w:t>בוולוז׳ין</w:t>
      </w:r>
      <w:proofErr w:type="spellEnd"/>
      <w:r>
        <w:t xml:space="preserve"> – הממשלה הרוסית מדפיסה חומשים עם תרגומו הגרמני של מנדלסון</w:t>
      </w:r>
    </w:p>
    <w:p w14:paraId="7C49D844" w14:textId="77777777" w:rsidR="00AB3647" w:rsidRDefault="00000000" w:rsidP="007923E9">
      <w:pPr>
        <w:spacing w:after="120" w:line="276" w:lineRule="auto"/>
        <w:ind w:firstLine="283"/>
        <w:jc w:val="both"/>
      </w:pPr>
      <w:r>
        <w:rPr>
          <w:rtl/>
        </w:rPr>
        <w:t>ראויה לתשומת לב ידיעה של יעקב מארק</w:t>
      </w:r>
      <w:bookmarkStart w:id="1445" w:name="_fnr936"/>
      <w:r>
        <w:rPr>
          <w:rStyle w:val="a5"/>
        </w:rPr>
        <w:footnoteReference w:id="939" w:customMarkFollows="0"/>
      </w:r>
      <w:bookmarkEnd w:id="1445"/>
      <w:r>
        <w:rPr>
          <w:rtl/>
        </w:rPr>
        <w:t xml:space="preserve"> בעניין החומשים המתורגמים לרוסית. וזו לשונה: “</w:t>
      </w:r>
      <w:proofErr w:type="spellStart"/>
      <w:r>
        <w:rPr>
          <w:rtl/>
        </w:rPr>
        <w:t>ליליינטל</w:t>
      </w:r>
      <w:proofErr w:type="spellEnd"/>
      <w:r>
        <w:rPr>
          <w:rtl/>
        </w:rPr>
        <w:t xml:space="preserve"> דרש בוועדה הרבנית, שבה השתתפו ר׳ </w:t>
      </w:r>
      <w:proofErr w:type="spellStart"/>
      <w:r>
        <w:rPr>
          <w:rtl/>
        </w:rPr>
        <w:t>איצל׳ה</w:t>
      </w:r>
      <w:proofErr w:type="spellEnd"/>
      <w:r>
        <w:rPr>
          <w:rtl/>
        </w:rPr>
        <w:t xml:space="preserve"> ור׳ </w:t>
      </w:r>
      <w:proofErr w:type="spellStart"/>
      <w:r>
        <w:rPr>
          <w:rtl/>
        </w:rPr>
        <w:t>מנחם־מנדל</w:t>
      </w:r>
      <w:proofErr w:type="spellEnd"/>
      <w:r>
        <w:rPr>
          <w:rtl/>
        </w:rPr>
        <w:t xml:space="preserve"> [שניאורסון], שהממשלה תחייב את מלמדי החדרים ללמד חומש עם </w:t>
      </w:r>
      <w:proofErr w:type="spellStart"/>
      <w:r>
        <w:rPr>
          <w:rtl/>
        </w:rPr>
        <w:t>ה‘ביאור</w:t>
      </w:r>
      <w:proofErr w:type="spellEnd"/>
      <w:r>
        <w:rPr>
          <w:rtl/>
        </w:rPr>
        <w:t>’</w:t>
      </w:r>
      <w:bookmarkStart w:id="1446" w:name="_fnr937"/>
      <w:r>
        <w:rPr>
          <w:rStyle w:val="a5"/>
        </w:rPr>
        <w:footnoteReference w:id="940" w:customMarkFollows="0"/>
      </w:r>
      <w:bookmarkEnd w:id="1446"/>
      <w:r>
        <w:rPr>
          <w:rtl/>
        </w:rPr>
        <w:t xml:space="preserve"> ותרגומו הגרמני של משה מנדלסון. השר הסכים כמובן עם </w:t>
      </w:r>
      <w:proofErr w:type="spellStart"/>
      <w:r>
        <w:rPr>
          <w:rtl/>
        </w:rPr>
        <w:t>ליליינטל</w:t>
      </w:r>
      <w:proofErr w:type="spellEnd"/>
      <w:r>
        <w:rPr>
          <w:rtl/>
        </w:rPr>
        <w:t xml:space="preserve">, אבל </w:t>
      </w:r>
      <w:r>
        <w:rPr>
          <w:b/>
          <w:bCs/>
          <w:rtl/>
        </w:rPr>
        <w:t xml:space="preserve">האדמו״ר </w:t>
      </w:r>
      <w:proofErr w:type="spellStart"/>
      <w:r>
        <w:rPr>
          <w:b/>
          <w:bCs/>
          <w:rtl/>
        </w:rPr>
        <w:t>מליובאוויטש</w:t>
      </w:r>
      <w:proofErr w:type="spellEnd"/>
      <w:r>
        <w:rPr>
          <w:rtl/>
        </w:rPr>
        <w:t xml:space="preserve"> מצא המצאה, והציע לשר: ‘אם יש ללמד חומש בלשון זרה ליהודים, מוטב – במקום ללמדו בלשון שאינה ידועה לא למלמדים ולא לילדים – ללמדו בלשון המדינה, רוסית. אבל השר מבין שהדבר אינו אפשרי, שהרי הדור הנוכחי של היהודים אינו יודע רוסית די הצורך כדי ללמוד בה תנ״ך. אין ברירה, אם כן, אלא לחכות לדור הבא. בינתיים, כמובן, ימשיכו ללמוד תנ״ך ביידיש, שפת האם של יהודי רוסיה זה כמה מאות שנים.’ לאישור אמיתות </w:t>
      </w:r>
      <w:r>
        <w:rPr>
          <w:b/>
          <w:bCs/>
          <w:rtl/>
        </w:rPr>
        <w:t>דבריהם</w:t>
      </w:r>
      <w:r>
        <w:rPr>
          <w:rtl/>
        </w:rPr>
        <w:t xml:space="preserve"> הביאו </w:t>
      </w:r>
      <w:r>
        <w:rPr>
          <w:b/>
          <w:bCs/>
          <w:rtl/>
        </w:rPr>
        <w:t>הם</w:t>
      </w:r>
      <w:r>
        <w:rPr>
          <w:rtl/>
        </w:rPr>
        <w:t xml:space="preserve"> את ספר הכוזרי” – </w:t>
      </w:r>
      <w:proofErr w:type="spellStart"/>
      <w:r>
        <w:rPr>
          <w:rtl/>
        </w:rPr>
        <w:t>שאוברוב</w:t>
      </w:r>
      <w:proofErr w:type="spellEnd"/>
      <w:r>
        <w:rPr>
          <w:rtl/>
        </w:rPr>
        <w:t>, שהיה בקי במקצת בספרות היהודית, אולי ידע עליו – “האומר</w:t>
      </w:r>
      <w:bookmarkStart w:id="1447" w:name="_fnr938"/>
      <w:r>
        <w:rPr>
          <w:rStyle w:val="a5"/>
        </w:rPr>
        <w:footnoteReference w:id="941" w:customMarkFollows="0"/>
      </w:r>
      <w:bookmarkEnd w:id="1447"/>
      <w:r>
        <w:rPr>
          <w:rtl/>
        </w:rPr>
        <w:t xml:space="preserve"> שאין דבר מאוס יותר מאומה שחדלה לדבר בלשון שדיברה בה דורות. השר הסכים </w:t>
      </w:r>
      <w:r>
        <w:rPr>
          <w:b/>
          <w:bCs/>
          <w:rtl/>
        </w:rPr>
        <w:t>עמהם</w:t>
      </w:r>
      <w:r>
        <w:rPr>
          <w:rtl/>
        </w:rPr>
        <w:t xml:space="preserve"> (ההדגשות שלי) והגזרה הונחה בארכיון.”</w:t>
      </w:r>
    </w:p>
    <w:p w14:paraId="37FA974C" w14:textId="77777777" w:rsidR="00AB3647" w:rsidRDefault="00000000" w:rsidP="007923E9">
      <w:pPr>
        <w:spacing w:after="120" w:line="276" w:lineRule="auto"/>
        <w:ind w:firstLine="283"/>
        <w:jc w:val="both"/>
      </w:pPr>
      <w:r>
        <w:rPr>
          <w:rtl/>
        </w:rPr>
        <w:t xml:space="preserve">ההדגשות מראות שיעקב מארק עובר מהצעה של האדמו״ר </w:t>
      </w:r>
      <w:proofErr w:type="spellStart"/>
      <w:r>
        <w:rPr>
          <w:rtl/>
        </w:rPr>
        <w:t>מליובאוויטש</w:t>
      </w:r>
      <w:proofErr w:type="spellEnd"/>
      <w:r>
        <w:rPr>
          <w:rtl/>
        </w:rPr>
        <w:t xml:space="preserve"> לבדו, שבה פתח את הסיפור, לדעה ברבים: של ר׳ </w:t>
      </w:r>
      <w:proofErr w:type="spellStart"/>
      <w:r>
        <w:rPr>
          <w:rtl/>
        </w:rPr>
        <w:t>מנחם־מנדל</w:t>
      </w:r>
      <w:proofErr w:type="spellEnd"/>
      <w:r>
        <w:rPr>
          <w:rtl/>
        </w:rPr>
        <w:t xml:space="preserve"> שניאורסון </w:t>
      </w:r>
      <w:r>
        <w:rPr>
          <w:b/>
          <w:bCs/>
          <w:rtl/>
        </w:rPr>
        <w:t>ושל</w:t>
      </w:r>
      <w:r>
        <w:rPr>
          <w:rtl/>
        </w:rPr>
        <w:t xml:space="preserve"> ר׳ </w:t>
      </w:r>
      <w:proofErr w:type="spellStart"/>
      <w:r>
        <w:rPr>
          <w:rtl/>
        </w:rPr>
        <w:t>איצל׳ה</w:t>
      </w:r>
      <w:proofErr w:type="spellEnd"/>
      <w:r>
        <w:rPr>
          <w:rtl/>
        </w:rPr>
        <w:t xml:space="preserve">. ייתכן שהאדמו״ר הגה את הנימוק לדחייה, ור׳ </w:t>
      </w:r>
      <w:proofErr w:type="spellStart"/>
      <w:r>
        <w:rPr>
          <w:rtl/>
        </w:rPr>
        <w:t>איצל׳ה</w:t>
      </w:r>
      <w:proofErr w:type="spellEnd"/>
      <w:r>
        <w:rPr>
          <w:rtl/>
        </w:rPr>
        <w:t xml:space="preserve"> הוסיף את המקור הלמדני מספר הכוזרי. ועוד, ייתכן שר׳ </w:t>
      </w:r>
      <w:proofErr w:type="spellStart"/>
      <w:r>
        <w:rPr>
          <w:rtl/>
        </w:rPr>
        <w:t>מנחם־מנדל</w:t>
      </w:r>
      <w:proofErr w:type="spellEnd"/>
      <w:r>
        <w:rPr>
          <w:rtl/>
        </w:rPr>
        <w:t xml:space="preserve"> היה מלכתחילה תקיף יותר מר׳ </w:t>
      </w:r>
      <w:proofErr w:type="spellStart"/>
      <w:r>
        <w:rPr>
          <w:rtl/>
        </w:rPr>
        <w:t>איצל׳ה</w:t>
      </w:r>
      <w:proofErr w:type="spellEnd"/>
      <w:r>
        <w:rPr>
          <w:rtl/>
        </w:rPr>
        <w:t xml:space="preserve"> בדחיית לימוד החומש עם </w:t>
      </w:r>
      <w:proofErr w:type="spellStart"/>
      <w:r>
        <w:rPr>
          <w:rtl/>
        </w:rPr>
        <w:t>ה“ביאור</w:t>
      </w:r>
      <w:proofErr w:type="spellEnd"/>
      <w:r>
        <w:rPr>
          <w:rtl/>
        </w:rPr>
        <w:t>”.</w:t>
      </w:r>
    </w:p>
    <w:p w14:paraId="238B1C59" w14:textId="77777777" w:rsidR="00AB3647" w:rsidRDefault="00000000" w:rsidP="007923E9">
      <w:pPr>
        <w:spacing w:after="120" w:line="276" w:lineRule="auto"/>
        <w:ind w:firstLine="283"/>
        <w:jc w:val="both"/>
      </w:pPr>
      <w:r>
        <w:rPr>
          <w:rtl/>
        </w:rPr>
        <w:t xml:space="preserve">הצעה זו מבוססת על הידיעה </w:t>
      </w:r>
      <w:proofErr w:type="spellStart"/>
      <w:r>
        <w:rPr>
          <w:rtl/>
        </w:rPr>
        <w:t>בפיליפסון</w:t>
      </w:r>
      <w:bookmarkStart w:id="1448" w:name="_fnr939"/>
      <w:proofErr w:type="spellEnd"/>
      <w:r>
        <w:rPr>
          <w:rStyle w:val="a5"/>
        </w:rPr>
        <w:footnoteReference w:id="942" w:customMarkFollows="0"/>
      </w:r>
      <w:bookmarkEnd w:id="1448"/>
      <w:r>
        <w:rPr>
          <w:rtl/>
        </w:rPr>
        <w:t xml:space="preserve"> שר׳ </w:t>
      </w:r>
      <w:proofErr w:type="spellStart"/>
      <w:r>
        <w:rPr>
          <w:rtl/>
        </w:rPr>
        <w:t>איצל׳ה</w:t>
      </w:r>
      <w:proofErr w:type="spellEnd"/>
      <w:r>
        <w:rPr>
          <w:rtl/>
        </w:rPr>
        <w:t xml:space="preserve"> אמר </w:t>
      </w:r>
      <w:proofErr w:type="spellStart"/>
      <w:r>
        <w:rPr>
          <w:rtl/>
        </w:rPr>
        <w:t>לליליינטל</w:t>
      </w:r>
      <w:proofErr w:type="spellEnd"/>
      <w:r>
        <w:rPr>
          <w:rtl/>
        </w:rPr>
        <w:t xml:space="preserve"> בביקורו </w:t>
      </w:r>
      <w:proofErr w:type="spellStart"/>
      <w:r>
        <w:rPr>
          <w:rtl/>
        </w:rPr>
        <w:t>בוולוז׳ין</w:t>
      </w:r>
      <w:proofErr w:type="spellEnd"/>
      <w:r>
        <w:rPr>
          <w:rtl/>
        </w:rPr>
        <w:t xml:space="preserve">: “אחרי תפילת שחרית אני מלמד חלקים מן הפרשה עם רש״י ומוסיף כמה ביאורים חופשיים משלי, ובתוכם אני משלב כמה הערות מביאורו של משה מנדלסון.” יומנו של </w:t>
      </w:r>
      <w:proofErr w:type="spellStart"/>
      <w:r>
        <w:rPr>
          <w:rtl/>
        </w:rPr>
        <w:t>ליליינטל</w:t>
      </w:r>
      <w:proofErr w:type="spellEnd"/>
      <w:r>
        <w:rPr>
          <w:rtl/>
        </w:rPr>
        <w:t xml:space="preserve"> אומנם </w:t>
      </w:r>
      <w:r>
        <w:rPr>
          <w:rtl/>
        </w:rPr>
        <w:lastRenderedPageBreak/>
        <w:t>אינו מהימן</w:t>
      </w:r>
      <w:bookmarkStart w:id="1449" w:name="_fnr940"/>
      <w:r>
        <w:rPr>
          <w:rStyle w:val="a5"/>
        </w:rPr>
        <w:footnoteReference w:id="943" w:customMarkFollows="0"/>
      </w:r>
      <w:bookmarkEnd w:id="1449"/>
      <w:r>
        <w:rPr>
          <w:rtl/>
        </w:rPr>
        <w:t>, אבל גם “</w:t>
      </w:r>
      <w:proofErr w:type="spellStart"/>
      <w:r>
        <w:rPr>
          <w:rtl/>
        </w:rPr>
        <w:t>וולוזין</w:t>
      </w:r>
      <w:proofErr w:type="spellEnd"/>
      <w:r>
        <w:rPr>
          <w:rtl/>
        </w:rPr>
        <w:t xml:space="preserve"> – ספרה של העיר ושל ישיבת ‘עץ חיים’”</w:t>
      </w:r>
      <w:bookmarkStart w:id="1450" w:name="_fnr941"/>
      <w:r>
        <w:rPr>
          <w:rStyle w:val="a5"/>
        </w:rPr>
        <w:footnoteReference w:id="944" w:customMarkFollows="0"/>
      </w:r>
      <w:bookmarkEnd w:id="1450"/>
      <w:r>
        <w:rPr>
          <w:rtl/>
        </w:rPr>
        <w:t xml:space="preserve"> מספר</w:t>
      </w:r>
      <w:bookmarkStart w:id="1451" w:name="_fnr942"/>
      <w:r>
        <w:rPr>
          <w:rStyle w:val="a5"/>
        </w:rPr>
        <w:footnoteReference w:id="945" w:customMarkFollows="0"/>
      </w:r>
      <w:bookmarkEnd w:id="1451"/>
      <w:r>
        <w:rPr>
          <w:rtl/>
        </w:rPr>
        <w:t xml:space="preserve">: “כדי למשוך אליו תלמידים” – במאבקו עם </w:t>
      </w:r>
      <w:proofErr w:type="spellStart"/>
      <w:r>
        <w:rPr>
          <w:rtl/>
        </w:rPr>
        <w:t>הנצי״ב</w:t>
      </w:r>
      <w:proofErr w:type="spellEnd"/>
      <w:r>
        <w:rPr>
          <w:rtl/>
        </w:rPr>
        <w:t xml:space="preserve"> בשנת תר״י – “התחיל ר׳ </w:t>
      </w:r>
      <w:proofErr w:type="spellStart"/>
      <w:r>
        <w:rPr>
          <w:rtl/>
        </w:rPr>
        <w:t xml:space="preserve">יהושע־העשיל</w:t>
      </w:r>
      <w:proofErr w:type="spellEnd"/>
      <w:r>
        <w:rPr>
          <w:rtl/>
        </w:rPr>
        <w:t xml:space="preserve"> לוין ללמד בביתו בכל יום... בין מנחה לערבית פרק בתנ״ך עם </w:t>
      </w:r>
      <w:proofErr w:type="spellStart"/>
      <w:r>
        <w:rPr>
          <w:rtl/>
        </w:rPr>
        <w:t>ה‘ביאור</w:t>
      </w:r>
      <w:proofErr w:type="spellEnd"/>
      <w:r>
        <w:rPr>
          <w:rtl/>
        </w:rPr>
        <w:t>’ של מנדלסון.” לימוד אותו פירוש ודאי לא נאסר בחוגים הליטאיים באותם ימים</w:t>
      </w:r>
      <w:bookmarkStart w:id="1452" w:name="_fnr943"/>
      <w:r>
        <w:rPr>
          <w:rStyle w:val="a5"/>
        </w:rPr>
        <w:footnoteReference w:id="946" w:customMarkFollows="0"/>
      </w:r>
      <w:bookmarkEnd w:id="1452"/>
      <w:r>
        <w:rPr>
          <w:rtl/>
        </w:rPr>
        <w:t>.</w:t>
      </w:r>
    </w:p>
    <w:p w14:paraId="2ACB3EB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1453" w:name="_fnr944"/>
      <w:r>
        <w:rPr>
          <w:rStyle w:val="a5"/>
        </w:rPr>
        <w:footnoteReference w:id="947" w:customMarkFollows="0"/>
      </w:r>
      <w:bookmarkEnd w:id="1453"/>
      <w:r>
        <w:rPr>
          <w:rtl/>
        </w:rPr>
        <w:t xml:space="preserve">: בימי יורשו של </w:t>
      </w:r>
      <w:proofErr w:type="spellStart"/>
      <w:r>
        <w:rPr>
          <w:rtl/>
        </w:rPr>
        <w:t>אוברוב</w:t>
      </w:r>
      <w:proofErr w:type="spellEnd"/>
      <w:r>
        <w:rPr>
          <w:rtl/>
        </w:rPr>
        <w:t xml:space="preserve"> מימנה הממשלה את הדפסת התנ״ך עם </w:t>
      </w:r>
      <w:proofErr w:type="spellStart"/>
      <w:r>
        <w:rPr>
          <w:rtl/>
        </w:rPr>
        <w:t>ה“ביאור</w:t>
      </w:r>
      <w:proofErr w:type="spellEnd"/>
      <w:r>
        <w:rPr>
          <w:rtl/>
        </w:rPr>
        <w:t xml:space="preserve">” של מנדלסון, אבל המשכיל הממונה, לאון </w:t>
      </w:r>
      <w:proofErr w:type="spellStart"/>
      <w:r>
        <w:rPr>
          <w:rtl/>
        </w:rPr>
        <w:t>מנדלשטם</w:t>
      </w:r>
      <w:proofErr w:type="spellEnd"/>
      <w:r>
        <w:rPr>
          <w:rtl/>
        </w:rPr>
        <w:t>, “הוסיף על הנוסח המקורי את ספקנותו הכופרת בהתגלות ואת כפירתו הגלויה בנסים ובנבואות הנביאים. המשרד עצמו, כשראה זאת” – כסותר את האמונה הנוצרית שלו – “ציווה עליו להסיר דברים אלה ורבים כמותם מן ההוצאה, ושרף את דבריו המושחתים. הם הכריחוהו להמיר את הוספותיו בנושאים מקובלים יותר.”</w:t>
      </w:r>
    </w:p>
    <w:p w14:paraId="5232287B" w14:textId="77777777" w:rsidR="00AB3647" w:rsidRDefault="00000000" w:rsidP="007923E9">
      <w:pPr>
        <w:spacing w:after="120" w:line="276" w:lineRule="auto"/>
        <w:ind w:firstLine="283"/>
        <w:jc w:val="both"/>
      </w:pPr>
      <w:r>
        <w:rPr>
          <w:rtl/>
        </w:rPr>
        <w:t xml:space="preserve">יעקב מארק אינו מדייק לגמרי כשהוא מוסר שתוכנית הממשלה לצוות על לימוד החומש בלשון זרה “הונחה בארכיון” בעקבות טענתם של האדמו״ר </w:t>
      </w:r>
      <w:proofErr w:type="spellStart"/>
      <w:r>
        <w:rPr>
          <w:rtl/>
        </w:rPr>
        <w:t>מליובאוויטש</w:t>
      </w:r>
      <w:proofErr w:type="spellEnd"/>
      <w:r>
        <w:rPr>
          <w:rtl/>
        </w:rPr>
        <w:t xml:space="preserve"> ור׳ </w:t>
      </w:r>
      <w:proofErr w:type="spellStart"/>
      <w:r>
        <w:rPr>
          <w:rtl/>
        </w:rPr>
        <w:t>איצל׳ה</w:t>
      </w:r>
      <w:proofErr w:type="spellEnd"/>
      <w:r>
        <w:rPr>
          <w:rtl/>
        </w:rPr>
        <w:t xml:space="preserve"> בוועדה הרבנית, שהתכנסה בקיץ תר״ג. מאחר שלפי דברי אבי פרשת הנייר של </w:t>
      </w:r>
      <w:proofErr w:type="spellStart"/>
      <w:r>
        <w:rPr>
          <w:rtl/>
        </w:rPr>
        <w:t>ליליינטל</w:t>
      </w:r>
      <w:proofErr w:type="spellEnd"/>
      <w:r>
        <w:rPr>
          <w:rtl/>
        </w:rPr>
        <w:t xml:space="preserve">, שאירעה בשנת תר״ה, נגעה להדפסת חומשים מתורגמים לרוסית, ודאי התחיל </w:t>
      </w:r>
      <w:proofErr w:type="spellStart"/>
      <w:r>
        <w:rPr>
          <w:rtl/>
        </w:rPr>
        <w:t>ליליינטל</w:t>
      </w:r>
      <w:proofErr w:type="spellEnd"/>
      <w:r>
        <w:rPr>
          <w:rtl/>
        </w:rPr>
        <w:t xml:space="preserve"> לעבוד על תוכנית החומשים בלשון זרה זמן קצר דיו אחרי הוועדה הרבנית, כך שכעבור שנה וחצי כבר הגיעה התוכנית לשלב שבו היה צריך להזמין נייר להדפסה.</w:t>
      </w:r>
    </w:p>
    <w:p w14:paraId="6947D863" w14:textId="77777777" w:rsidR="00AB3647" w:rsidRDefault="00000000" w:rsidP="007923E9">
      <w:pPr>
        <w:spacing w:after="120" w:line="276" w:lineRule="auto"/>
        <w:ind w:firstLine="283"/>
        <w:jc w:val="both"/>
      </w:pPr>
      <w:r>
        <w:rPr>
          <w:rtl/>
        </w:rPr>
        <w:t xml:space="preserve">ייתכן שטענת הרבנים נגד הצעת </w:t>
      </w:r>
      <w:proofErr w:type="spellStart"/>
      <w:r>
        <w:rPr>
          <w:rtl/>
        </w:rPr>
        <w:t>ליליינטל</w:t>
      </w:r>
      <w:proofErr w:type="spellEnd"/>
      <w:r>
        <w:rPr>
          <w:rtl/>
        </w:rPr>
        <w:t xml:space="preserve"> </w:t>
      </w:r>
      <w:proofErr w:type="spellStart"/>
      <w:r>
        <w:rPr>
          <w:rtl/>
        </w:rPr>
        <w:t>ואוברוב</w:t>
      </w:r>
      <w:proofErr w:type="spellEnd"/>
      <w:r>
        <w:rPr>
          <w:rtl/>
        </w:rPr>
        <w:t xml:space="preserve"> היא אגדה גמורה, שנבדתה כדי לחפות על הסיבה האמיתית לביטול התוכנית: תחבולותיו של </w:t>
      </w:r>
      <w:proofErr w:type="spellStart"/>
      <w:r>
        <w:rPr>
          <w:rtl/>
        </w:rPr>
        <w:t>ליליינטל</w:t>
      </w:r>
      <w:proofErr w:type="spellEnd"/>
      <w:r>
        <w:rPr>
          <w:rtl/>
        </w:rPr>
        <w:t xml:space="preserve">, שהכול רצו להשתיק, כאמור לעיל בפסקה הקודמת. ועוד, הטענה שמוסר יעקב מארק בשם האדמו״ר </w:t>
      </w:r>
      <w:proofErr w:type="spellStart"/>
      <w:r>
        <w:rPr>
          <w:rtl/>
        </w:rPr>
        <w:t>מליובאוויטש</w:t>
      </w:r>
      <w:proofErr w:type="spellEnd"/>
      <w:r>
        <w:rPr>
          <w:rtl/>
        </w:rPr>
        <w:t xml:space="preserve"> נגד התרגום ה</w:t>
      </w:r>
      <w:r>
        <w:rPr>
          <w:b/>
          <w:bCs/>
          <w:rtl/>
        </w:rPr>
        <w:t>גרמני</w:t>
      </w:r>
      <w:r>
        <w:rPr>
          <w:rtl/>
        </w:rPr>
        <w:t xml:space="preserve">, אם אכן נאמרה, אולי גם לא נתקבלה לגמרי על דעת </w:t>
      </w:r>
      <w:proofErr w:type="spellStart"/>
      <w:r>
        <w:rPr>
          <w:rtl/>
        </w:rPr>
        <w:t>אוברוב</w:t>
      </w:r>
      <w:proofErr w:type="spellEnd"/>
      <w:r>
        <w:rPr>
          <w:rtl/>
        </w:rPr>
        <w:t xml:space="preserve">. שהרי הממשלה הרוסית מימנה את הדפסת החומש עם התרגום הגרמני </w:t>
      </w:r>
      <w:proofErr w:type="spellStart"/>
      <w:r>
        <w:rPr>
          <w:rtl/>
        </w:rPr>
        <w:t>וה“ביאור</w:t>
      </w:r>
      <w:proofErr w:type="spellEnd"/>
      <w:r>
        <w:rPr>
          <w:rtl/>
        </w:rPr>
        <w:t xml:space="preserve">” בשנת תרי״ב, בפיקוחו של יורשו של </w:t>
      </w:r>
      <w:proofErr w:type="spellStart"/>
      <w:r>
        <w:rPr>
          <w:rtl/>
        </w:rPr>
        <w:t>ליליינטל</w:t>
      </w:r>
      <w:proofErr w:type="spellEnd"/>
      <w:r>
        <w:rPr>
          <w:rtl/>
        </w:rPr>
        <w:t xml:space="preserve"> בפטרבורג, לאון </w:t>
      </w:r>
      <w:proofErr w:type="spellStart"/>
      <w:r>
        <w:rPr>
          <w:rtl/>
        </w:rPr>
        <w:t>מנדלשטם</w:t>
      </w:r>
      <w:proofErr w:type="spellEnd"/>
      <w:r>
        <w:rPr>
          <w:rtl/>
        </w:rPr>
        <w:t xml:space="preserve"> – אם כי הדבר היה אחרי שהסתיימה כהונתו של </w:t>
      </w:r>
      <w:proofErr w:type="spellStart"/>
      <w:r>
        <w:rPr>
          <w:rtl/>
        </w:rPr>
        <w:t>אוברוב</w:t>
      </w:r>
      <w:proofErr w:type="spellEnd"/>
      <w:r>
        <w:rPr>
          <w:rtl/>
        </w:rPr>
        <w:t xml:space="preserve"> בשנת תר״ט.</w:t>
      </w:r>
    </w:p>
    <w:p w14:paraId="044548C7" w14:textId="77777777" w:rsidR="00AB3647" w:rsidRDefault="00000000" w:rsidP="007923E9">
      <w:pPr>
        <w:pStyle w:val="4"/>
        <w:spacing w:line="276" w:lineRule="auto"/>
      </w:pPr>
      <w:r>
        <w:t>· הפסקה העשרים ושש ·</w:t>
      </w:r>
    </w:p>
    <w:p w14:paraId="7105A29A" w14:textId="77777777" w:rsidR="00AB3647" w:rsidRDefault="00000000" w:rsidP="007923E9">
      <w:pPr>
        <w:pStyle w:val="5"/>
        <w:spacing w:line="276" w:lineRule="auto"/>
      </w:pPr>
      <w:proofErr w:type="spellStart"/>
      <w:r>
        <w:t>ליליינטל</w:t>
      </w:r>
      <w:proofErr w:type="spellEnd"/>
      <w:r>
        <w:t xml:space="preserve"> מצליח להכניס לימודי חול לבתי הספר היהודיים – ר׳ ישראל </w:t>
      </w:r>
      <w:proofErr w:type="spellStart"/>
      <w:r>
        <w:t>סלנטר</w:t>
      </w:r>
      <w:proofErr w:type="spellEnd"/>
      <w:r>
        <w:t xml:space="preserve"> מזהיר את ר׳ </w:t>
      </w:r>
      <w:proofErr w:type="spellStart"/>
      <w:r>
        <w:t>איצל׳ה</w:t>
      </w:r>
      <w:proofErr w:type="spellEnd"/>
      <w:r>
        <w:t xml:space="preserve"> מפני חומרת גזרת הממשלה – </w:t>
      </w:r>
      <w:proofErr w:type="spellStart"/>
      <w:r>
        <w:t>אוברוב</w:t>
      </w:r>
      <w:proofErr w:type="spellEnd"/>
      <w:r>
        <w:t xml:space="preserve"> מפתה את ר׳ ישראל בעושר</w:t>
      </w:r>
    </w:p>
    <w:p w14:paraId="003BE383" w14:textId="77777777" w:rsidR="00AB3647" w:rsidRDefault="00000000" w:rsidP="007923E9">
      <w:pPr>
        <w:spacing w:after="120" w:line="276" w:lineRule="auto"/>
        <w:ind w:firstLine="283"/>
        <w:jc w:val="both"/>
      </w:pPr>
      <w:r>
        <w:rPr>
          <w:rtl/>
        </w:rPr>
        <w:t>יש אירוניה בכך שלפי “מינסק עיר ואם א”</w:t>
      </w:r>
      <w:bookmarkStart w:id="1454" w:name="_fnr945"/>
      <w:r>
        <w:rPr>
          <w:rStyle w:val="a5"/>
        </w:rPr>
        <w:footnoteReference w:id="948" w:customMarkFollows="0"/>
      </w:r>
      <w:bookmarkEnd w:id="1454"/>
      <w:r>
        <w:rPr>
          <w:rtl/>
        </w:rPr>
        <w:t xml:space="preserve">, בית הספר היהודי הממשלתי הראשון בכל רוסיה נפתח בידי משרד הדתות וההשכלה במינסק, העיר שגילתה בתחילה את ההתנגדות החריפה ביותר </w:t>
      </w:r>
      <w:proofErr w:type="spellStart"/>
      <w:r>
        <w:rPr>
          <w:rtl/>
        </w:rPr>
        <w:t>לליליינטל</w:t>
      </w:r>
      <w:proofErr w:type="spellEnd"/>
      <w:r>
        <w:rPr>
          <w:rtl/>
        </w:rPr>
        <w:t xml:space="preserve">. על אף התנגדותם של רוב בני הקהילה, שיתפה ההנהגה פעולה עם </w:t>
      </w:r>
      <w:r>
        <w:rPr>
          <w:rtl/>
        </w:rPr>
        <w:lastRenderedPageBreak/>
        <w:t xml:space="preserve">השלטונות בפתיחת בית ספר ממלכתי, ובו לימודי חול ולימודי קודש, בבית יתומים יהודי בשנת תר״ו. ראשי הקהילה סברו שהם ממלאים את חובתם האזרחית כשהם מקריבים כמה עשרות ילדים יתומים </w:t>
      </w:r>
      <w:proofErr w:type="spellStart"/>
      <w:r>
        <w:rPr>
          <w:rtl/>
        </w:rPr>
        <w:t>ל“שטן</w:t>
      </w:r>
      <w:proofErr w:type="spellEnd"/>
      <w:r>
        <w:rPr>
          <w:rtl/>
        </w:rPr>
        <w:t>” – כך נתפסה גזרת “בתי הספר”.</w:t>
      </w:r>
    </w:p>
    <w:p w14:paraId="1493CBEB" w14:textId="77777777" w:rsidR="00AB3647" w:rsidRDefault="00000000" w:rsidP="007923E9">
      <w:pPr>
        <w:spacing w:after="120" w:line="276" w:lineRule="auto"/>
        <w:ind w:firstLine="283"/>
        <w:jc w:val="both"/>
      </w:pPr>
      <w:r>
        <w:rPr>
          <w:rtl/>
        </w:rPr>
        <w:t>אבל עד שנת תר״ז כבר השלימו יהודי מינסק עם מתן לימודי חול לילדים בכלל, ועד שנת תרכ״ה היו כל כך הרבה בוגרי בתי ספר תיכוניים יהודים, שהממשלה המוטה נאלצה להגביל את מספר הבוגרים האלה שהתקבלו לאוניברסיטאות</w:t>
      </w:r>
      <w:bookmarkStart w:id="1455" w:name="_fnr946"/>
      <w:bookmarkEnd w:id="1455"/>
      <w:r>
        <w:rPr>
          <w:rStyle w:val="a5"/>
        </w:rPr>
        <w:t/>
      </w:r>
      <w:bookmarkStart w:id="7009" w:name="_TranslatorNote_5377"/>
      <w:r>
        <w:rPr>
          <w:rStyle w:val="a5"/>
          <w:vertAlign w:val="superscript"/>
          <w:rtl/>
        </w:rPr>
        <w:footnoteReference w:id="949" w:customMarkFollows="1"/>
        <w:t>*</w:t>
      </w:r>
      <w:bookmarkEnd w:id="7009"/>
      <w:r>
        <w:rPr>
          <w:rtl/>
        </w:rPr>
        <w:t xml:space="preserve">. “אכן, בתוך דור אחד בלבד מזמן ביקורו של </w:t>
      </w:r>
      <w:proofErr w:type="spellStart"/>
      <w:r>
        <w:rPr>
          <w:rtl/>
        </w:rPr>
        <w:t>ליליינטל</w:t>
      </w:r>
      <w:proofErr w:type="spellEnd"/>
      <w:r>
        <w:rPr>
          <w:rtl/>
        </w:rPr>
        <w:t xml:space="preserve"> במינסק </w:t>
      </w:r>
      <w:proofErr w:type="spellStart"/>
      <w:r>
        <w:rPr>
          <w:rtl/>
        </w:rPr>
        <w:t>נשתנו</w:t>
      </w:r>
      <w:proofErr w:type="spellEnd"/>
      <w:r>
        <w:rPr>
          <w:rtl/>
        </w:rPr>
        <w:t xml:space="preserve"> הדעות על החינוך מן הקצה אל הקצה, עד שרק התערבות הממשלה יכלה לעצור את גל הנוער היהודי הצמא לדעת ולחינוך מודרני.</w:t>
      </w:r>
      <w:bookmarkStart w:id="1456" w:name="_fnr947"/>
      <w:r>
        <w:rPr>
          <w:rStyle w:val="a5"/>
        </w:rPr>
        <w:footnoteReference w:id="950" w:customMarkFollows="0"/>
      </w:r>
      <w:bookmarkEnd w:id="1456"/>
      <w:r>
        <w:rPr>
          <w:rtl/>
        </w:rPr>
        <w:t xml:space="preserve">” נראה שהרעל שהשקה ד״ר </w:t>
      </w:r>
      <w:proofErr w:type="spellStart"/>
      <w:r>
        <w:rPr>
          <w:rtl/>
        </w:rPr>
        <w:t>ליליינטל</w:t>
      </w:r>
      <w:proofErr w:type="spellEnd"/>
      <w:r>
        <w:rPr>
          <w:rtl/>
        </w:rPr>
        <w:t xml:space="preserve"> פעל את מלוא פעולתו בפחות מרבע מאה. גם בתי המדרש לרבנים שתמך בהם הוקמו בווילנה </w:t>
      </w:r>
      <w:proofErr w:type="spellStart"/>
      <w:r>
        <w:rPr>
          <w:rtl/>
        </w:rPr>
        <w:t>ובז׳יטומיר</w:t>
      </w:r>
      <w:proofErr w:type="spellEnd"/>
      <w:r>
        <w:rPr>
          <w:rtl/>
        </w:rPr>
        <w:t>, אבל לא האריכו ימים</w:t>
      </w:r>
      <w:bookmarkStart w:id="1457" w:name="_fnr948"/>
      <w:r>
        <w:rPr>
          <w:rStyle w:val="a5"/>
        </w:rPr>
        <w:footnoteReference w:id="951" w:customMarkFollows="0"/>
      </w:r>
      <w:bookmarkEnd w:id="1457"/>
      <w:r>
        <w:rPr>
          <w:rtl/>
        </w:rPr>
        <w:t>.</w:t>
      </w:r>
    </w:p>
    <w:p w14:paraId="0502BA1D" w14:textId="77777777" w:rsidR="00AB3647" w:rsidRDefault="00000000" w:rsidP="007923E9">
      <w:pPr>
        <w:spacing w:after="120" w:line="276" w:lineRule="auto"/>
        <w:ind w:firstLine="283"/>
        <w:jc w:val="both"/>
      </w:pPr>
      <w:r>
        <w:rPr>
          <w:rtl/>
        </w:rPr>
        <w:t xml:space="preserve">תיאורו של אבי, שהנאמנים “נפטרו” </w:t>
      </w:r>
      <w:proofErr w:type="spellStart"/>
      <w:r>
        <w:rPr>
          <w:rtl/>
        </w:rPr>
        <w:t>מליליינטל</w:t>
      </w:r>
      <w:proofErr w:type="spellEnd"/>
      <w:r>
        <w:rPr>
          <w:rtl/>
        </w:rPr>
        <w:t xml:space="preserve"> בהיעלמו מרוסיה, טעון הסתייגות, שכן אף </w:t>
      </w:r>
      <w:proofErr w:type="spellStart"/>
      <w:r>
        <w:rPr>
          <w:rtl/>
        </w:rPr>
        <w:t>שליליינטל</w:t>
      </w:r>
      <w:proofErr w:type="spellEnd"/>
      <w:r>
        <w:rPr>
          <w:rtl/>
        </w:rPr>
        <w:t xml:space="preserve"> עצמו הלך, הנזק שגרם – במישרין, ובעקיפין בפתיחת שערי הממשלה הרוסית לפני המשכילים, כמתואר לעיל בפסקה השישית לפי מאמרו של </w:t>
      </w:r>
      <w:proofErr w:type="spellStart"/>
      <w:r>
        <w:rPr>
          <w:rtl/>
        </w:rPr>
        <w:t>אטקס</w:t>
      </w:r>
      <w:proofErr w:type="spellEnd"/>
      <w:r>
        <w:rPr>
          <w:rtl/>
        </w:rPr>
        <w:t xml:space="preserve"> על “ההשכלה מטעם” </w:t>
      </w:r>
      <w:proofErr w:type="spellStart"/>
      <w:r>
        <w:rPr>
          <w:rtl/>
        </w:rPr>
        <w:t>ב“ציון</w:t>
      </w:r>
      <w:proofErr w:type="spellEnd"/>
      <w:r>
        <w:rPr>
          <w:rtl/>
        </w:rPr>
        <w:t>” – האריך ימים, למרבה הצער.</w:t>
      </w:r>
    </w:p>
    <w:p w14:paraId="54AA8DCF" w14:textId="77777777" w:rsidR="00AB3647" w:rsidRDefault="00000000" w:rsidP="007923E9">
      <w:pPr>
        <w:spacing w:after="120" w:line="276" w:lineRule="auto"/>
        <w:ind w:firstLine="283"/>
        <w:jc w:val="both"/>
      </w:pPr>
      <w:r>
        <w:rPr>
          <w:rtl/>
        </w:rPr>
        <w:t xml:space="preserve">אפשר שר׳ ישראל </w:t>
      </w:r>
      <w:proofErr w:type="spellStart"/>
      <w:r>
        <w:rPr>
          <w:rtl/>
        </w:rPr>
        <w:t>סלנטר</w:t>
      </w:r>
      <w:proofErr w:type="spellEnd"/>
      <w:r>
        <w:rPr>
          <w:rtl/>
        </w:rPr>
        <w:t xml:space="preserve"> חזה את תוצאות מסע הממשלה, שהרי </w:t>
      </w:r>
      <w:proofErr w:type="spellStart"/>
      <w:r>
        <w:rPr>
          <w:rtl/>
        </w:rPr>
        <w:t>צינוביץ</w:t>
      </w:r>
      <w:proofErr w:type="spellEnd"/>
      <w:r>
        <w:rPr>
          <w:rtl/>
        </w:rPr>
        <w:t>, “עץ חיים”</w:t>
      </w:r>
      <w:bookmarkStart w:id="1458" w:name="_fnr949"/>
      <w:r>
        <w:rPr>
          <w:rStyle w:val="a5"/>
        </w:rPr>
        <w:footnoteReference w:id="952" w:customMarkFollows="0"/>
      </w:r>
      <w:bookmarkEnd w:id="1458"/>
      <w:r>
        <w:rPr>
          <w:rtl/>
        </w:rPr>
        <w:t xml:space="preserve">, מוסר מפי עד ראייה שכששב ר׳ </w:t>
      </w:r>
      <w:proofErr w:type="spellStart"/>
      <w:r>
        <w:rPr>
          <w:rtl/>
        </w:rPr>
        <w:t>איצל׳ה</w:t>
      </w:r>
      <w:proofErr w:type="spellEnd"/>
      <w:r>
        <w:rPr>
          <w:rtl/>
        </w:rPr>
        <w:t xml:space="preserve"> מן הוועדה הרבנית בפטרבורג בשנת תר״ג, סר לווילנה (אחרי ששבת </w:t>
      </w:r>
      <w:proofErr w:type="spellStart"/>
      <w:r>
        <w:rPr>
          <w:rtl/>
        </w:rPr>
        <w:t>בווילקומיר</w:t>
      </w:r>
      <w:proofErr w:type="spellEnd"/>
      <w:r>
        <w:rPr>
          <w:rtl/>
        </w:rPr>
        <w:t xml:space="preserve">, כאמור לעיל בסוף הפסקה </w:t>
      </w:r>
      <w:proofErr w:type="spellStart"/>
      <w:r>
        <w:rPr>
          <w:rtl/>
        </w:rPr>
        <w:t>השמונה־עשרה</w:t>
      </w:r>
      <w:proofErr w:type="spellEnd"/>
      <w:r>
        <w:rPr>
          <w:rtl/>
        </w:rPr>
        <w:t xml:space="preserve">) ונפגש עם ר׳ ישראל, הצעיר ממנו בשלושים שנה, שלימד אז בפרבר </w:t>
      </w:r>
      <w:proofErr w:type="spellStart"/>
      <w:r>
        <w:rPr>
          <w:rtl/>
        </w:rPr>
        <w:t>זארעטשע</w:t>
      </w:r>
      <w:proofErr w:type="spellEnd"/>
      <w:r>
        <w:rPr>
          <w:rtl/>
        </w:rPr>
        <w:t xml:space="preserve">: “ר׳ </w:t>
      </w:r>
      <w:proofErr w:type="spellStart"/>
      <w:r>
        <w:rPr>
          <w:rtl/>
        </w:rPr>
        <w:t>איצל׳ה</w:t>
      </w:r>
      <w:proofErr w:type="spellEnd"/>
      <w:r>
        <w:rPr>
          <w:rtl/>
        </w:rPr>
        <w:t xml:space="preserve"> עמד על רגליו מפני הכבוד עד שגמר ר׳ ישראל לומר את שיעורו, וכולנו [התלמידים] עמדנו. אחר כך נתנו זה לזה ‘שלום עליכם’ ונכנסו לחדר מיוחד וסגרו את הדלת אחריהם. נפשי הומה וכלתה לשמוע את דברי החכמים, אבל הם דיברו בלחש ולא יכולתי לקלוט דבר ממה שאמר ר׳ ישראל מלבד המילים הבאות, שאמר בקול רם ובכעס: ‘ר׳ יצחק, אל תלך בדרך הזאת. שעת שמד היא, וצריכים אנו </w:t>
      </w:r>
      <w:proofErr w:type="spellStart"/>
      <w:r>
        <w:rPr>
          <w:rtl/>
        </w:rPr>
        <w:t>ליהרג</w:t>
      </w:r>
      <w:proofErr w:type="spellEnd"/>
      <w:r>
        <w:rPr>
          <w:rtl/>
        </w:rPr>
        <w:t xml:space="preserve"> ולא לעבור, בין על דבר קטן ובין על דבר גדול. כוונת הממשלה הקיסרית היא לערב את הדור החדש שלנו בין [הרוסים]...’”</w:t>
      </w:r>
    </w:p>
    <w:p w14:paraId="2E0F0EBB" w14:textId="543875C9" w:rsidR="00AB3647" w:rsidRDefault="00000000" w:rsidP="007923E9">
      <w:pPr>
        <w:spacing w:after="120" w:line="276" w:lineRule="auto"/>
        <w:ind w:firstLine="283"/>
        <w:jc w:val="both"/>
      </w:pPr>
      <w:r>
        <w:rPr>
          <w:rtl/>
        </w:rPr>
        <w:t xml:space="preserve">אבל ייתכן שהשיחה בין שני גדולי התורה לא הייתה קשורה לפגיעת הממשלה בבתי הספר היהודיים בכלל, אלא לבית המדרש לרבנים שתוכנן בווילנה בפרט</w:t>
      </w:r>
      <w:bookmarkStart w:id="1459" w:name="_fnr950"/>
      <w:r>
        <w:rPr>
          <w:rStyle w:val="a5"/>
        </w:rPr>
        <w:footnoteReference w:id="953" w:customMarkFollows="0"/>
      </w:r>
      <w:bookmarkEnd w:id="1459"/>
      <w:r>
        <w:rPr>
          <w:rtl/>
        </w:rPr>
        <w:t>. לפי כץ, “תנועת המוסר”, כרך א</w:t>
      </w:r>
      <w:bookmarkStart w:id="1460" w:name="_fnr951"/>
      <w:r>
        <w:rPr>
          <w:rStyle w:val="a5"/>
        </w:rPr>
        <w:footnoteReference w:id="954" w:customMarkFollows="0"/>
      </w:r>
      <w:bookmarkEnd w:id="1460"/>
      <w:r>
        <w:rPr>
          <w:rtl/>
        </w:rPr>
        <w:t xml:space="preserve">, ביקר השר </w:t>
      </w:r>
      <w:proofErr w:type="spellStart"/>
      <w:r>
        <w:rPr>
          <w:rtl/>
        </w:rPr>
        <w:t>אוברוב</w:t>
      </w:r>
      <w:proofErr w:type="spellEnd"/>
      <w:r>
        <w:rPr>
          <w:rtl/>
        </w:rPr>
        <w:t xml:space="preserve"> בעצמו אצל ר׳ ישראל </w:t>
      </w:r>
      <w:proofErr w:type="spellStart"/>
      <w:r>
        <w:rPr>
          <w:rtl/>
        </w:rPr>
        <w:t>בקלויז</w:t>
      </w:r>
      <w:proofErr w:type="spellEnd"/>
      <w:r>
        <w:rPr>
          <w:rtl/>
        </w:rPr>
        <w:t xml:space="preserve"> של </w:t>
      </w:r>
      <w:proofErr w:type="spellStart"/>
      <w:r>
        <w:rPr>
          <w:rtl/>
        </w:rPr>
        <w:t>זארעטשע</w:t>
      </w:r>
      <w:proofErr w:type="spellEnd"/>
      <w:r>
        <w:rPr>
          <w:rtl/>
        </w:rPr>
        <w:t xml:space="preserve"> (יחד עם </w:t>
      </w:r>
      <w:proofErr w:type="spellStart"/>
      <w:r>
        <w:rPr>
          <w:rtl/>
        </w:rPr>
        <w:t>צבי־הירש</w:t>
      </w:r>
      <w:proofErr w:type="spellEnd"/>
      <w:r>
        <w:rPr>
          <w:rtl/>
        </w:rPr>
        <w:t xml:space="preserve"> </w:t>
      </w:r>
      <w:proofErr w:type="spellStart"/>
      <w:r>
        <w:rPr>
          <w:rtl/>
        </w:rPr>
        <w:t>קצנלנבוגן</w:t>
      </w:r>
      <w:proofErr w:type="spellEnd"/>
      <w:r>
        <w:rPr>
          <w:rtl/>
        </w:rPr>
        <w:t xml:space="preserve">) והציע לו את משרת מנהל בית המדרש לרבנים, ובשבילה “(יתמכהו) </w:t>
      </w:r>
      <w:r>
        <w:rPr>
          <w:rtl/>
        </w:rPr>
        <w:lastRenderedPageBreak/>
        <w:t xml:space="preserve">בעושר” (השווה פרק 4, הערה </w:t>
      </w:r>
      <w:r>
        <w:rPr>
          <w:rtl/>
        </w:rPr>
        <w:fldChar w:fldCharType="begin" w:dirty="true"/>
      </w:r>
      <w:r>
        <w:rPr>
          <w:rtl/>
        </w:rPr>
        <w:instrText xml:space="preserve"> REF b4_note75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75</w:t>
      </w:r>
      <w:r>
        <w:rPr>
          <w:rtl/>
        </w:rPr>
        <w:fldChar w:fldCharType="end"/>
      </w:r>
      <w:r>
        <w:rPr>
          <w:rtl/>
        </w:rPr>
        <w:t>: מה הייתה משמעותה של הצעת עושר בסולם הערכים של ר׳ ישראל</w:t>
      </w:r>
      <w:bookmarkStart w:id="1461" w:name="_fnr952"/>
      <w:r>
        <w:rPr>
          <w:rStyle w:val="a5"/>
        </w:rPr>
        <w:footnoteReference w:id="955" w:customMarkFollows="0"/>
      </w:r>
      <w:bookmarkEnd w:id="1461"/>
      <w:r>
        <w:rPr>
          <w:rtl/>
        </w:rPr>
        <w:t>). ר׳ ישראל “נמנע מלהשיב לו, ולא דיבר עמו מטוב עד רע”</w:t>
      </w:r>
      <w:bookmarkStart w:id="1462" w:name="_fnr953"/>
      <w:r>
        <w:rPr>
          <w:rStyle w:val="a5"/>
        </w:rPr>
        <w:footnoteReference w:id="956" w:customMarkFollows="0"/>
      </w:r>
      <w:bookmarkEnd w:id="1462"/>
      <w:r>
        <w:rPr>
          <w:rtl/>
        </w:rPr>
        <w:t>.</w:t>
      </w:r>
    </w:p>
    <w:p w14:paraId="12B4E165" w14:textId="77777777" w:rsidR="00AB3647" w:rsidRDefault="00000000" w:rsidP="007923E9">
      <w:pPr>
        <w:spacing w:after="120" w:line="276" w:lineRule="auto"/>
        <w:ind w:firstLine="283"/>
        <w:jc w:val="both"/>
      </w:pPr>
      <w:r>
        <w:rPr>
          <w:rtl/>
        </w:rPr>
        <w:t xml:space="preserve">כץ אינו מציין את תאריך ביקורו של </w:t>
      </w:r>
      <w:proofErr w:type="spellStart"/>
      <w:r>
        <w:rPr>
          <w:rtl/>
        </w:rPr>
        <w:t>אוברוב</w:t>
      </w:r>
      <w:proofErr w:type="spellEnd"/>
      <w:r>
        <w:rPr>
          <w:rtl/>
        </w:rPr>
        <w:t xml:space="preserve">, אבל מוסר שאחר כך ביקש השר מר׳ </w:t>
      </w:r>
      <w:proofErr w:type="spellStart"/>
      <w:r>
        <w:rPr>
          <w:rtl/>
        </w:rPr>
        <w:t>איצל׳ה</w:t>
      </w:r>
      <w:proofErr w:type="spellEnd"/>
      <w:r>
        <w:rPr>
          <w:rtl/>
        </w:rPr>
        <w:t xml:space="preserve"> להשפיע על ר׳ ישראל שיקבל את המינוי. אין בידינו שום עדות על פגישה של </w:t>
      </w:r>
      <w:proofErr w:type="spellStart"/>
      <w:r>
        <w:rPr>
          <w:rtl/>
        </w:rPr>
        <w:t>אוברוב</w:t>
      </w:r>
      <w:proofErr w:type="spellEnd"/>
      <w:r>
        <w:rPr>
          <w:rtl/>
        </w:rPr>
        <w:t xml:space="preserve"> עם ר׳ </w:t>
      </w:r>
      <w:proofErr w:type="spellStart"/>
      <w:r>
        <w:rPr>
          <w:rtl/>
        </w:rPr>
        <w:t>איצל׳ה</w:t>
      </w:r>
      <w:proofErr w:type="spellEnd"/>
      <w:r>
        <w:rPr>
          <w:rtl/>
        </w:rPr>
        <w:t xml:space="preserve"> בזמן כלשהו </w:t>
      </w:r>
      <w:r>
        <w:rPr>
          <w:b/>
          <w:bCs/>
          <w:rtl/>
        </w:rPr>
        <w:t>אחרי</w:t>
      </w:r>
      <w:r>
        <w:rPr>
          <w:rtl/>
        </w:rPr>
        <w:t xml:space="preserve"> ביקורו של ר׳ </w:t>
      </w:r>
      <w:proofErr w:type="spellStart"/>
      <w:r>
        <w:rPr>
          <w:rtl/>
        </w:rPr>
        <w:t>איצל׳ה</w:t>
      </w:r>
      <w:proofErr w:type="spellEnd"/>
      <w:r>
        <w:rPr>
          <w:rtl/>
        </w:rPr>
        <w:t xml:space="preserve"> בפטרבורג כחבר הוועדה הרבנית. לכן יש להניח שכבר באותה עת חיפשו השר </w:t>
      </w:r>
      <w:proofErr w:type="spellStart"/>
      <w:r>
        <w:rPr>
          <w:rtl/>
        </w:rPr>
        <w:t>וליליינטל</w:t>
      </w:r>
      <w:proofErr w:type="spellEnd"/>
      <w:r>
        <w:rPr>
          <w:rtl/>
        </w:rPr>
        <w:t xml:space="preserve"> את האיש המתאים לעמוד בראש בית המדרש לרבנים, ושמו של ר׳ ישראל הועלה – אף שבית המדרש היה אז רק בשלב התכנון, ונפתח רק כעבור שלוש שנים וחצי</w:t>
      </w:r>
      <w:bookmarkStart w:id="1463" w:name="_fnr954"/>
      <w:r>
        <w:rPr>
          <w:rStyle w:val="a5"/>
        </w:rPr>
        <w:footnoteReference w:id="957" w:customMarkFollows="0"/>
      </w:r>
      <w:bookmarkEnd w:id="1463"/>
      <w:r>
        <w:rPr>
          <w:rtl/>
        </w:rPr>
        <w:t>.</w:t>
      </w:r>
    </w:p>
    <w:p w14:paraId="4037A1C7" w14:textId="77777777" w:rsidR="00AB3647" w:rsidRDefault="00000000" w:rsidP="007923E9">
      <w:pPr>
        <w:spacing w:after="120" w:line="276" w:lineRule="auto"/>
        <w:ind w:firstLine="283"/>
        <w:jc w:val="both"/>
      </w:pPr>
      <w:r>
        <w:rPr>
          <w:rtl/>
        </w:rPr>
        <w:t xml:space="preserve">ייתכן מאוד שבדרכו חזרה מפטרבורג ניסה ר׳ </w:t>
      </w:r>
      <w:proofErr w:type="spellStart"/>
      <w:r>
        <w:rPr>
          <w:rtl/>
        </w:rPr>
        <w:t>איצל׳ה</w:t>
      </w:r>
      <w:proofErr w:type="spellEnd"/>
      <w:r>
        <w:rPr>
          <w:rtl/>
        </w:rPr>
        <w:t xml:space="preserve"> לשכנע את ר׳ ישראל לקבל את המשרה, ור׳ ישראל השיב לו בכעס, כאמור לעיל. המלווה של </w:t>
      </w:r>
      <w:proofErr w:type="spellStart"/>
      <w:r>
        <w:rPr>
          <w:rtl/>
        </w:rPr>
        <w:t>אוברוב</w:t>
      </w:r>
      <w:proofErr w:type="spellEnd"/>
      <w:r>
        <w:rPr>
          <w:rtl/>
        </w:rPr>
        <w:t xml:space="preserve">, </w:t>
      </w:r>
      <w:proofErr w:type="spellStart"/>
      <w:r>
        <w:rPr>
          <w:rtl/>
        </w:rPr>
        <w:t>קצנלנבוגן</w:t>
      </w:r>
      <w:proofErr w:type="spellEnd"/>
      <w:r>
        <w:rPr>
          <w:rtl/>
        </w:rPr>
        <w:t xml:space="preserve">, קיבל את המשרה בעצמו כשעזב ר׳ ישראל את וילנה לקובנה, </w:t>
      </w:r>
      <w:proofErr w:type="spellStart"/>
      <w:r>
        <w:rPr>
          <w:rtl/>
        </w:rPr>
        <w:t>שלושה־עשר</w:t>
      </w:r>
      <w:proofErr w:type="spellEnd"/>
      <w:r>
        <w:rPr>
          <w:rtl/>
        </w:rPr>
        <w:t xml:space="preserve"> חודשים אחרי שנפתח בית המדרש לרבנים.</w:t>
      </w:r>
    </w:p>
    <w:p w14:paraId="31463113" w14:textId="150B822E" w:rsidR="00AB3647" w:rsidRDefault="00000000" w:rsidP="007923E9">
      <w:pPr>
        <w:spacing w:after="120" w:line="276" w:lineRule="auto"/>
        <w:ind w:firstLine="283"/>
        <w:jc w:val="both"/>
      </w:pPr>
      <w:r>
        <w:rPr>
          <w:rtl/>
        </w:rPr>
        <w:t>לסיום נספח זה ראוי להביא את דברי “</w:t>
      </w:r>
      <w:proofErr w:type="spellStart"/>
      <w:r>
        <w:rPr>
          <w:rtl/>
        </w:rPr>
        <w:t>זכרון</w:t>
      </w:r>
      <w:proofErr w:type="spellEnd"/>
      <w:r>
        <w:rPr>
          <w:rtl/>
        </w:rPr>
        <w:t xml:space="preserve"> יעקב”</w:t>
      </w:r>
      <w:bookmarkStart w:id="1464" w:name="_fnr955"/>
      <w:r>
        <w:rPr>
          <w:rStyle w:val="a5"/>
        </w:rPr>
        <w:footnoteReference w:id="958" w:customMarkFollows="0"/>
      </w:r>
      <w:bookmarkEnd w:id="1464"/>
      <w:r>
        <w:rPr>
          <w:rtl/>
        </w:rPr>
        <w:t xml:space="preserve"> על ר׳ </w:t>
      </w:r>
      <w:proofErr w:type="spellStart"/>
      <w:r>
        <w:rPr>
          <w:rtl/>
        </w:rPr>
        <w:t>איצל׳ה</w:t>
      </w:r>
      <w:proofErr w:type="spellEnd"/>
      <w:r>
        <w:rPr>
          <w:rtl/>
        </w:rPr>
        <w:t xml:space="preserve">: “בדור שאחרי ר׳ חיים </w:t>
      </w:r>
      <w:proofErr w:type="spellStart"/>
      <w:r>
        <w:rPr>
          <w:rtl/>
        </w:rPr>
        <w:t>מוולוז׳ין</w:t>
      </w:r>
      <w:proofErr w:type="spellEnd"/>
      <w:r>
        <w:rPr>
          <w:rtl/>
        </w:rPr>
        <w:t xml:space="preserve"> היה </w:t>
      </w:r>
      <w:proofErr w:type="spellStart"/>
      <w:r>
        <w:rPr>
          <w:rtl/>
        </w:rPr>
        <w:t>מדברנא</w:t>
      </w:r>
      <w:proofErr w:type="spellEnd"/>
      <w:r>
        <w:rPr>
          <w:rtl/>
        </w:rPr>
        <w:t xml:space="preserve"> </w:t>
      </w:r>
      <w:proofErr w:type="spellStart"/>
      <w:r>
        <w:rPr>
          <w:rtl/>
        </w:rPr>
        <w:t>דאומתא</w:t>
      </w:r>
      <w:proofErr w:type="spellEnd"/>
      <w:r>
        <w:rPr>
          <w:rtl/>
        </w:rPr>
        <w:t xml:space="preserve"> בנו, הגאון הצדיק החכם הכולל ר׳ </w:t>
      </w:r>
      <w:proofErr w:type="spellStart"/>
      <w:r>
        <w:rPr>
          <w:rtl/>
        </w:rPr>
        <w:t>איצל׳ה</w:t>
      </w:r>
      <w:proofErr w:type="spellEnd"/>
      <w:r>
        <w:rPr>
          <w:rtl/>
        </w:rPr>
        <w:t xml:space="preserve">, שהיה כמין דמות </w:t>
      </w:r>
      <w:proofErr w:type="spellStart"/>
      <w:r>
        <w:rPr>
          <w:rtl/>
        </w:rPr>
        <w:t>דיוקנא</w:t>
      </w:r>
      <w:proofErr w:type="spellEnd"/>
      <w:r>
        <w:rPr>
          <w:rtl/>
        </w:rPr>
        <w:t xml:space="preserve"> קטנה של אביו הגאון ר׳ חיים. גם הוא נקרא בכל פלך וילנה פשוט ‘הרב’</w:t>
      </w:r>
      <w:bookmarkStart w:id="1465" w:name="_fnr956"/>
      <w:r>
        <w:rPr>
          <w:rStyle w:val="a5"/>
        </w:rPr>
        <w:footnoteReference w:id="959" w:customMarkFollows="0"/>
      </w:r>
      <w:bookmarkEnd w:id="1465"/>
      <w:r>
        <w:rPr>
          <w:rtl/>
        </w:rPr>
        <w:t xml:space="preserve">. כל מחשבותיו והגיגיו היו תמיד רק לטובת הכלל.” השווה גם פרק 4,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כיצד שיבחוהו אחרים, ושאף בין תלמידי אביו לא היה ר׳ </w:t>
      </w:r>
      <w:proofErr w:type="spellStart"/>
      <w:r>
        <w:rPr>
          <w:rtl/>
        </w:rPr>
        <w:t>איצל׳ה</w:t>
      </w:r>
      <w:proofErr w:type="spellEnd"/>
      <w:r>
        <w:rPr>
          <w:rtl/>
        </w:rPr>
        <w:t xml:space="preserve"> מקובל על הכול.</w:t>
      </w:r>
    </w:p>
    <w:bookmarkStart w:id="1466" w:name="b2_excB"/>
    <w:p w14:paraId="6CD58150" w14:textId="77777777" w:rsidR="00AB3647" w:rsidRDefault="00000000" w:rsidP="007923E9">
      <w:pPr>
        <w:pStyle w:val="3"/>
        <w:spacing w:line="276" w:lineRule="auto"/>
      </w:pPr>
      <w:r>
        <w:lastRenderedPageBreak/>
        <w:fldChar w:fldCharType="begin" w:dirty="true"/>
      </w:r>
      <w:r>
        <w:rPr>
          <w:rtl w:val="0"/>
        </w:rPr>
        <w:instrText>HYPERLINK \l "b2_note25</w:instrText>
      </w:r>
      <w:r>
        <w:instrText>"</w:instrText>
      </w:r>
      <w:r>
        <w:fldChar w:fldCharType="separate"/>
      </w:r>
      <w:r>
        <w:t>נספח ב</w:t>
      </w:r>
      <w:r>
        <w:fldChar w:fldCharType="end"/>
      </w:r>
      <w:bookmarkEnd w:id="1466"/>
    </w:p>
    <w:p w14:paraId="55CECAFA" w14:textId="77777777" w:rsidR="00AB3647" w:rsidRDefault="00000000" w:rsidP="007923E9">
      <w:pPr>
        <w:pStyle w:val="af"/>
        <w:spacing w:line="276" w:lineRule="auto"/>
      </w:pPr>
      <w:r>
        <w:t>על קריאת ספרות חול ועל הסכנה שאיימה על צעירים מחוננים לפני מאה שנה ויותר</w:t>
      </w:r>
    </w:p>
    <w:p w14:paraId="794DCED4" w14:textId="77777777" w:rsidR="00AB3647" w:rsidRDefault="00000000" w:rsidP="007923E9">
      <w:pPr>
        <w:pStyle w:val="4"/>
        <w:spacing w:line="276" w:lineRule="auto"/>
      </w:pPr>
      <w:r>
        <w:t>· הפסקה הראשונה ·</w:t>
      </w:r>
    </w:p>
    <w:p w14:paraId="39049E71" w14:textId="77777777" w:rsidR="00AB3647" w:rsidRDefault="00000000" w:rsidP="007923E9">
      <w:pPr>
        <w:pStyle w:val="5"/>
        <w:spacing w:line="276" w:lineRule="auto"/>
      </w:pPr>
      <w:r>
        <w:t>השערה מה היה עולה בגורלו של רבנו – הסכנות הרוחניות שאיימו על בחור ישיבה צעיר במינסק</w:t>
      </w:r>
    </w:p>
    <w:p w14:paraId="013F1F9C" w14:textId="77777777" w:rsidR="00AB3647" w:rsidRDefault="00000000" w:rsidP="007923E9">
      <w:pPr>
        <w:spacing w:after="120" w:line="276" w:lineRule="auto"/>
        <w:ind w:firstLine="283"/>
        <w:jc w:val="both"/>
      </w:pPr>
      <w:r>
        <w:rPr>
          <w:rtl/>
        </w:rPr>
        <w:t>אילו זכה אבי להדרכה אישית, במקום שיושלך לבדו אל עולם הישיבות של מינסק, אפשר שהיה נמנע מלקרוא את הספרים החילוניים שקראו בני דודו, שהרי ראשי הישיבות אסרו על תלמידיהם לשוטט, אפילו דרך אגב, בתחום המסוכן של לימודי החול. מאידך גיסא, בהתחשב בסקרנותו האינטלקטואלית של אבי, יש מקום לשער שאילו נאלץ לעצום את עיניו מן הספרים החילוניים המעניינים שקראו בני דודו, היה עלול למרוד</w:t>
      </w:r>
      <w:bookmarkStart w:id="1467" w:name="_fnr957"/>
      <w:r>
        <w:rPr>
          <w:rStyle w:val="a5"/>
        </w:rPr>
        <w:footnoteReference w:id="960" w:customMarkFollows="0"/>
      </w:r>
      <w:bookmarkEnd w:id="1467"/>
      <w:r>
        <w:rPr>
          <w:rtl/>
        </w:rPr>
        <w:t xml:space="preserve"> ולמאוס בחינוך התורני, חס ושלום. ואכן, הוא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468" w:name="_fnr958"/>
      <w:proofErr w:type="spellEnd"/>
      <w:r>
        <w:rPr>
          <w:rStyle w:val="a5"/>
        </w:rPr>
        <w:footnoteReference w:id="961" w:customMarkFollows="0"/>
      </w:r>
      <w:bookmarkEnd w:id="1468"/>
      <w:r>
        <w:rPr>
          <w:rtl/>
        </w:rPr>
        <w:t xml:space="preserve"> שמאז נעוריו הייתה בו תשוקה עצומה לדעת כל דבר חכמה שנקרה בדרכו.</w:t>
      </w:r>
    </w:p>
    <w:p w14:paraId="6DAC4CE1" w14:textId="77777777" w:rsidR="00AB3647" w:rsidRDefault="00000000" w:rsidP="007923E9">
      <w:pPr>
        <w:spacing w:after="120" w:line="276" w:lineRule="auto"/>
        <w:ind w:firstLine="283"/>
        <w:jc w:val="both"/>
      </w:pPr>
      <w:r>
        <w:rPr>
          <w:rtl/>
        </w:rPr>
        <w:t>לתלמידו ר׳ ישראל ברגר אמר: “קשה לתאר כיום את עוצמת דליקת ההשכלה בסביבה שבה גדלתי. לא ייאמן כיצד שאבה אליה אנשים. אני הייתי היחיד מבין אחיי ואחיותיי שנשאר שומר מצוות (פרום).”</w:t>
      </w:r>
      <w:bookmarkStart w:id="1469" w:name="_fnr959"/>
      <w:r>
        <w:rPr>
          <w:rStyle w:val="a5"/>
        </w:rPr>
        <w:footnoteReference w:id="962" w:customMarkFollows="0"/>
      </w:r>
      <w:bookmarkEnd w:id="1469"/>
    </w:p>
    <w:p w14:paraId="060E5033" w14:textId="77777777" w:rsidR="00AB3647" w:rsidRDefault="00000000" w:rsidP="007923E9">
      <w:pPr>
        <w:spacing w:after="120" w:line="276" w:lineRule="auto"/>
        <w:ind w:firstLine="283"/>
        <w:jc w:val="both"/>
      </w:pPr>
      <w:r>
        <w:rPr>
          <w:rtl/>
        </w:rPr>
        <w:t>והשווה גם מה שאמר מנשה המלך (</w:t>
      </w:r>
      <w:proofErr w:type="spellStart"/>
      <w:r>
        <w:rPr>
          <w:rtl/>
        </w:rPr>
        <w:t>ג׳רט״ז</w:t>
      </w:r>
      <w:proofErr w:type="spellEnd"/>
      <w:r>
        <w:rPr>
          <w:rtl/>
        </w:rPr>
        <w:t>–</w:t>
      </w:r>
      <w:proofErr w:type="spellStart"/>
      <w:r>
        <w:rPr>
          <w:rtl/>
        </w:rPr>
        <w:t>ג׳רפ״ג</w:t>
      </w:r>
      <w:proofErr w:type="spellEnd"/>
      <w:r>
        <w:rPr>
          <w:rtl/>
        </w:rPr>
        <w:t>, 544–477 לפני הספירה) לרב אשי (</w:t>
      </w:r>
      <w:proofErr w:type="spellStart"/>
      <w:r>
        <w:rPr>
          <w:rtl/>
        </w:rPr>
        <w:t>ד׳צ״ח</w:t>
      </w:r>
      <w:proofErr w:type="spellEnd"/>
      <w:r>
        <w:rPr>
          <w:rtl/>
        </w:rPr>
        <w:t>–</w:t>
      </w:r>
      <w:proofErr w:type="spellStart"/>
      <w:r>
        <w:rPr>
          <w:rtl/>
        </w:rPr>
        <w:t>ד׳קפ״ז</w:t>
      </w:r>
      <w:bookmarkStart w:id="1470" w:name="_fnr960"/>
      <w:bookmarkStart w:id="1471" w:name="pr_f_880"/>
      <w:proofErr w:type="spellEnd"/>
      <w:r>
        <w:rPr>
          <w:rStyle w:val="a5"/>
        </w:rPr>
        <w:footnoteReference w:id="963" w:customMarkFollows="0"/>
      </w:r>
      <w:bookmarkEnd w:id="1470"/>
      <w:bookmarkEnd w:id="1471"/>
      <w:r>
        <w:rPr>
          <w:rtl/>
        </w:rPr>
        <w:t xml:space="preserve">, 338–427) בחלום, כשרב אשי לא הבין כיצד יכול היה המלך המלומד לעבוד עבודה זרה: “אי </w:t>
      </w:r>
      <w:proofErr w:type="spellStart"/>
      <w:r>
        <w:rPr>
          <w:rtl/>
        </w:rPr>
        <w:t>הות</w:t>
      </w:r>
      <w:proofErr w:type="spellEnd"/>
      <w:r>
        <w:rPr>
          <w:rtl/>
        </w:rPr>
        <w:t xml:space="preserve"> התם [בדורנו], </w:t>
      </w:r>
      <w:proofErr w:type="spellStart"/>
      <w:r>
        <w:rPr>
          <w:rtl/>
        </w:rPr>
        <w:t>הות</w:t>
      </w:r>
      <w:proofErr w:type="spellEnd"/>
      <w:r>
        <w:rPr>
          <w:rtl/>
        </w:rPr>
        <w:t xml:space="preserve"> נקיטת בשיפולי </w:t>
      </w:r>
      <w:proofErr w:type="spellStart"/>
      <w:r>
        <w:rPr>
          <w:rtl/>
        </w:rPr>
        <w:t>גלימא</w:t>
      </w:r>
      <w:proofErr w:type="spellEnd"/>
      <w:r>
        <w:rPr>
          <w:rtl/>
        </w:rPr>
        <w:t xml:space="preserve"> </w:t>
      </w:r>
      <w:proofErr w:type="spellStart"/>
      <w:r>
        <w:rPr>
          <w:rtl/>
        </w:rPr>
        <w:t>ורהטת</w:t>
      </w:r>
      <w:proofErr w:type="spellEnd"/>
      <w:r>
        <w:rPr>
          <w:rtl/>
        </w:rPr>
        <w:t xml:space="preserve"> </w:t>
      </w:r>
      <w:proofErr w:type="spellStart"/>
      <w:r>
        <w:rPr>
          <w:rtl/>
        </w:rPr>
        <w:t>אבתראי</w:t>
      </w:r>
      <w:proofErr w:type="spellEnd"/>
      <w:r>
        <w:rPr>
          <w:rtl/>
        </w:rPr>
        <w:t>.”</w:t>
      </w:r>
      <w:bookmarkStart w:id="1472" w:name="_fnr961"/>
      <w:r>
        <w:rPr>
          <w:rStyle w:val="a5"/>
        </w:rPr>
        <w:footnoteReference w:id="964" w:customMarkFollows="0"/>
      </w:r>
      <w:bookmarkEnd w:id="1472"/>
      <w:r>
        <w:rPr>
          <w:rtl/>
        </w:rPr>
        <w:t xml:space="preserve"> מאמר חז״ל זה הביא ר׳ דוד </w:t>
      </w:r>
      <w:proofErr w:type="spellStart"/>
      <w:r>
        <w:rPr>
          <w:rtl/>
        </w:rPr>
        <w:t>פוברסקי</w:t>
      </w:r>
      <w:proofErr w:type="spellEnd"/>
      <w:r>
        <w:rPr>
          <w:rtl/>
        </w:rPr>
        <w:t xml:space="preserve">, ראש ישיבה בישיבת </w:t>
      </w:r>
      <w:proofErr w:type="spellStart"/>
      <w:r>
        <w:rPr>
          <w:rtl/>
        </w:rPr>
        <w:t>פוניבז</w:t>
      </w:r>
      <w:proofErr w:type="spellEnd"/>
      <w:r>
        <w:rPr>
          <w:rtl/>
        </w:rPr>
        <w:t>׳ שבבני ברק, כשאמר לכמה תלמידים: “אי אפשר לתאר כיום איזו תחושת הישג הייתה לבחור באותם ימים [שלפני מלחמת העולם הראשונה] אם היה מסוגל לכתוב משפט בלשון העברית.”</w:t>
      </w:r>
      <w:bookmarkStart w:id="1473" w:name="_fnr962"/>
      <w:r>
        <w:rPr>
          <w:rStyle w:val="a5"/>
        </w:rPr>
        <w:footnoteReference w:id="965" w:customMarkFollows="0"/>
      </w:r>
      <w:bookmarkEnd w:id="1473"/>
    </w:p>
    <w:p w14:paraId="6E27684D" w14:textId="77777777" w:rsidR="00AB3647" w:rsidRDefault="00000000" w:rsidP="007923E9">
      <w:pPr>
        <w:pStyle w:val="4"/>
        <w:spacing w:line="276" w:lineRule="auto"/>
      </w:pPr>
      <w:r>
        <w:t>· הפסקה השנייה ·</w:t>
      </w:r>
    </w:p>
    <w:p w14:paraId="78D93F84" w14:textId="77777777" w:rsidR="00AB3647" w:rsidRDefault="00000000" w:rsidP="007923E9">
      <w:pPr>
        <w:pStyle w:val="5"/>
        <w:spacing w:line="276" w:lineRule="auto"/>
      </w:pPr>
      <w:r>
        <w:t xml:space="preserve">רבנו מתיר קריאת ספרות חול – לדעתו הקריאה מפתחת את שכלו של הילד – המשכילים מנסים ללכוד אותו ברשתם – הם יוצאים ללכוד את </w:t>
      </w:r>
      <w:proofErr w:type="spellStart"/>
      <w:r>
        <w:t>החפץ־חיים</w:t>
      </w:r>
      <w:proofErr w:type="spellEnd"/>
      <w:r>
        <w:t xml:space="preserve"> בנעוריו</w:t>
      </w:r>
    </w:p>
    <w:p w14:paraId="41669A5F" w14:textId="77777777" w:rsidR="00AB3647" w:rsidRDefault="00000000" w:rsidP="007923E9">
      <w:pPr>
        <w:spacing w:after="120" w:line="276" w:lineRule="auto"/>
        <w:ind w:firstLine="283"/>
        <w:jc w:val="both"/>
      </w:pPr>
      <w:r>
        <w:rPr>
          <w:rtl/>
        </w:rPr>
        <w:t xml:space="preserve">כשנשאל אבי, בהיותו בן שמונים ומעלה, אם מותר להרשות לתלמידים צעירים בישיבה </w:t>
      </w:r>
      <w:proofErr w:type="spellStart"/>
      <w:r>
        <w:rPr>
          <w:rtl/>
        </w:rPr>
        <w:t>במונסי</w:t>
      </w:r>
      <w:proofErr w:type="spellEnd"/>
      <w:r>
        <w:rPr>
          <w:rtl/>
        </w:rPr>
        <w:t xml:space="preserve"> לקרוא ספרות קלה באנגלית (שתעבור את צנזורת הסגל), הסתמך על ניסיונו שלו כדי להוכיח שקריאה כזו אינה מזיקה – בהסתייגות שבשל פסק זה “ייחשב לשמאלני”. הוא הזכיר </w:t>
      </w:r>
      <w:r>
        <w:rPr>
          <w:rtl/>
        </w:rPr>
        <w:lastRenderedPageBreak/>
        <w:t xml:space="preserve">שקרא תרגומים רוסיים של יצירות קלאסיות, כגון סיפורי המדע הבדיוני של </w:t>
      </w:r>
      <w:proofErr w:type="spellStart"/>
      <w:r>
        <w:rPr>
          <w:rtl/>
        </w:rPr>
        <w:t>ז׳ול</w:t>
      </w:r>
      <w:proofErr w:type="spellEnd"/>
      <w:r>
        <w:rPr>
          <w:rtl/>
        </w:rPr>
        <w:t xml:space="preserve"> ורן וסיפורי שרלוק הולמס של סר ארתור קונן </w:t>
      </w:r>
      <w:proofErr w:type="spellStart"/>
      <w:r>
        <w:rPr>
          <w:rtl/>
        </w:rPr>
        <w:t>דויל</w:t>
      </w:r>
      <w:proofErr w:type="spellEnd"/>
      <w:r>
        <w:rPr>
          <w:rtl/>
        </w:rPr>
        <w:t>.</w:t>
      </w:r>
      <w:bookmarkStart w:id="1474" w:name="_fnr963"/>
      <w:r>
        <w:rPr>
          <w:rStyle w:val="a5"/>
        </w:rPr>
        <w:footnoteReference w:id="966" w:customMarkFollows="0"/>
      </w:r>
      <w:bookmarkEnd w:id="1474"/>
      <w:r>
        <w:rPr>
          <w:rtl/>
        </w:rPr>
        <w:t xml:space="preserve"> ועוד הוסיף שהפריצות של החברה והספרות בימינו מחייבת לבדוק בקפידה ספרי חול בני זמננו לפני שמכניסים אותם לרשימת הקריאה המותרת.</w:t>
      </w:r>
    </w:p>
    <w:p w14:paraId="183D0C40" w14:textId="77777777" w:rsidR="00AB3647" w:rsidRDefault="00000000" w:rsidP="007923E9">
      <w:pPr>
        <w:spacing w:after="120" w:line="276" w:lineRule="auto"/>
        <w:ind w:firstLine="283"/>
        <w:jc w:val="both"/>
      </w:pPr>
      <w:r>
        <w:rPr>
          <w:rtl/>
        </w:rPr>
        <w:t xml:space="preserve">מנהל המחלקה הכללית במתיבתא תורה ודעת, ר׳ משה </w:t>
      </w:r>
      <w:proofErr w:type="spellStart"/>
      <w:r>
        <w:rPr>
          <w:rtl/>
        </w:rPr>
        <w:t>לונר</w:t>
      </w:r>
      <w:proofErr w:type="spellEnd"/>
      <w:r>
        <w:rPr>
          <w:rtl/>
        </w:rPr>
        <w:t>, סיפר</w:t>
      </w:r>
      <w:bookmarkStart w:id="1475" w:name="_fnr964"/>
      <w:r>
        <w:rPr>
          <w:rStyle w:val="a5"/>
        </w:rPr>
        <w:footnoteReference w:id="967" w:customMarkFollows="0"/>
      </w:r>
      <w:bookmarkEnd w:id="1475"/>
      <w:r>
        <w:rPr>
          <w:rtl/>
        </w:rPr>
        <w:t xml:space="preserve"> שאבי הציע שהתלמידים ילמדו כמה ממחזותיו של שייקספיר, “משום שבימים קדומים היו פחות התייחסויות לנושאים שאין לחשוף אליהם בחורי ישיבה”, והזכיר שהוא עצמו קרא יצירות קלאסיות אלה ברוסית. אז הוסיף שאל לנו לחשוב שבני התקופה </w:t>
      </w:r>
      <w:proofErr w:type="spellStart"/>
      <w:r>
        <w:rPr>
          <w:rtl/>
        </w:rPr>
        <w:t>האליזבתנית</w:t>
      </w:r>
      <w:proofErr w:type="spellEnd"/>
      <w:r>
        <w:rPr>
          <w:rtl/>
        </w:rPr>
        <w:t xml:space="preserve"> והוויקטוריאנית היו טובים מבני הדורות המאוחרים – “פשוט הייתה אז יותר בושה”.</w:t>
      </w:r>
    </w:p>
    <w:p w14:paraId="790BAFA4" w14:textId="77777777" w:rsidR="00AB3647" w:rsidRDefault="00000000" w:rsidP="007923E9">
      <w:pPr>
        <w:spacing w:after="120" w:line="276" w:lineRule="auto"/>
        <w:ind w:firstLine="283"/>
        <w:jc w:val="both"/>
      </w:pPr>
      <w:r>
        <w:rPr>
          <w:rtl/>
        </w:rPr>
        <w:t>מרואיין אחר, ר׳ אברהם פישמן,</w:t>
      </w:r>
      <w:bookmarkStart w:id="1476" w:name="_fnr965"/>
      <w:r>
        <w:rPr>
          <w:rStyle w:val="a5"/>
        </w:rPr>
        <w:footnoteReference w:id="968" w:customMarkFollows="0"/>
      </w:r>
      <w:bookmarkEnd w:id="1476"/>
      <w:r>
        <w:rPr>
          <w:rtl/>
        </w:rPr>
        <w:t xml:space="preserve"> סיפר ששאל את אבי כיצד להתייחס לילד שהוא קורא נלהב. אבי השיב שבדרך כלל הוא רואה בקריאה בספרים חיצוניים, תחת פיקוח, דבר בריא “מסיבות רבות”, ומנה אותן: משעה שילד נמשך לקריאה, אפשר לנתב אותו לנושאים “כשרים, בפרט בימינו [שיש הרבה חומר קריאה דתי]” – ובלי שקידה בקריאה, גם הספרים הקדושים, להבדיל, היו מוזנחים; הקריאה מרחיבה את אופקיו של הילד; והיא מפתחת את שכלו – “מה רע באגתה כריסטי?” שאל, בשאלה רטורית. הוא הזכיר את מה שקרא בנעוריו, אבל הוסיף: “קראתי הרבה מאוד – ואינני יודע אם מותר.”</w:t>
      </w:r>
    </w:p>
    <w:p w14:paraId="505E0FDA" w14:textId="77777777" w:rsidR="00AB3647" w:rsidRDefault="00000000" w:rsidP="007923E9">
      <w:pPr>
        <w:spacing w:after="120" w:line="276" w:lineRule="auto"/>
        <w:ind w:firstLine="283"/>
        <w:jc w:val="both"/>
      </w:pPr>
      <w:r>
        <w:rPr>
          <w:rtl/>
        </w:rPr>
        <w:t xml:space="preserve">על קריאתו אמר פעם </w:t>
      </w:r>
      <w:proofErr w:type="spellStart"/>
      <w:r>
        <w:rPr>
          <w:rtl/>
        </w:rPr>
        <w:t>לר</w:t>
      </w:r>
      <w:proofErr w:type="spellEnd"/>
      <w:r>
        <w:rPr>
          <w:rtl/>
        </w:rPr>
        <w:t xml:space="preserve">׳ מרדכי שיין </w:t>
      </w:r>
      <w:proofErr w:type="spellStart"/>
      <w:r>
        <w:rPr>
          <w:rtl/>
        </w:rPr>
        <w:t>במונסי</w:t>
      </w:r>
      <w:proofErr w:type="spellEnd"/>
      <w:r>
        <w:rPr>
          <w:rtl/>
        </w:rPr>
        <w:t>:</w:t>
      </w:r>
      <w:bookmarkStart w:id="1477" w:name="_fnr966"/>
      <w:r>
        <w:rPr>
          <w:rStyle w:val="a5"/>
        </w:rPr>
        <w:footnoteReference w:id="969" w:customMarkFollows="0"/>
      </w:r>
      <w:bookmarkEnd w:id="1477"/>
      <w:r>
        <w:rPr>
          <w:rtl/>
        </w:rPr>
        <w:t xml:space="preserve"> “המשכילים </w:t>
      </w:r>
      <w:r>
        <w:rPr>
          <w:b/>
          <w:bCs/>
          <w:rtl/>
        </w:rPr>
        <w:t>רדפו</w:t>
      </w:r>
      <w:r>
        <w:rPr>
          <w:rtl/>
        </w:rPr>
        <w:t xml:space="preserve"> אחריי במינסק. את חטאי אני מזכיר היום:</w:t>
      </w:r>
      <w:bookmarkStart w:id="1478" w:name="_fnr967"/>
      <w:r>
        <w:rPr>
          <w:rStyle w:val="a5"/>
        </w:rPr>
        <w:footnoteReference w:id="970" w:customMarkFollows="0"/>
      </w:r>
      <w:bookmarkEnd w:id="1478"/>
      <w:r>
        <w:rPr>
          <w:rtl/>
        </w:rPr>
        <w:t xml:space="preserve"> אחרי שקראתי את החומר פעם אחת, קראתי אותו פעם שנייה – אז יודעים מי הוא מי ומתענגים עליו, ואז הוא נשאר בראש.”</w:t>
      </w:r>
      <w:bookmarkStart w:id="1479" w:name="_fnr968"/>
      <w:r>
        <w:rPr>
          <w:rStyle w:val="a5"/>
        </w:rPr>
        <w:footnoteReference w:id="971" w:customMarkFollows="0"/>
      </w:r>
      <w:bookmarkEnd w:id="1479"/>
      <w:r>
        <w:rPr>
          <w:rtl/>
        </w:rPr>
        <w:t xml:space="preserve"> אני סבור </w:t>
      </w:r>
      <w:proofErr w:type="spellStart"/>
      <w:r>
        <w:rPr>
          <w:rtl/>
        </w:rPr>
        <w:t>ש“המשכילים</w:t>
      </w:r>
      <w:proofErr w:type="spellEnd"/>
      <w:r>
        <w:rPr>
          <w:rtl/>
        </w:rPr>
        <w:t xml:space="preserve">” </w:t>
      </w:r>
      <w:proofErr w:type="spellStart"/>
      <w:r>
        <w:rPr>
          <w:rtl/>
        </w:rPr>
        <w:t>ש“רדפו</w:t>
      </w:r>
      <w:proofErr w:type="spellEnd"/>
      <w:r>
        <w:rPr>
          <w:rtl/>
        </w:rPr>
        <w:t>” אחריו לא היו זרים, אלא קרוביו: דודו ובני דודו, שבביתם התאכסן באותו זמן, וגם דודתו ראשה (ראה סעיף 3 בפרק זה).</w:t>
      </w:r>
      <w:bookmarkStart w:id="1480" w:name="_fnr969"/>
      <w:r>
        <w:rPr>
          <w:rStyle w:val="a5"/>
        </w:rPr>
        <w:footnoteReference w:id="972" w:customMarkFollows="0"/>
      </w:r>
      <w:bookmarkEnd w:id="1480"/>
    </w:p>
    <w:p w14:paraId="4392FFFA" w14:textId="77777777" w:rsidR="00AB3647" w:rsidRDefault="00000000" w:rsidP="007923E9">
      <w:pPr>
        <w:spacing w:after="120" w:line="276" w:lineRule="auto"/>
        <w:ind w:firstLine="283"/>
        <w:jc w:val="both"/>
      </w:pPr>
      <w:r>
        <w:rPr>
          <w:rtl/>
        </w:rPr>
        <w:t xml:space="preserve">הקורא ימצא עניין בדיווחו של ר׳ אשר </w:t>
      </w:r>
      <w:proofErr w:type="spellStart"/>
      <w:r>
        <w:rPr>
          <w:rtl/>
        </w:rPr>
        <w:t>רבינסקי</w:t>
      </w:r>
      <w:proofErr w:type="spellEnd"/>
      <w:r>
        <w:rPr>
          <w:rtl/>
        </w:rPr>
        <w:t xml:space="preserve">, תלמיד </w:t>
      </w:r>
      <w:proofErr w:type="spellStart"/>
      <w:r>
        <w:rPr>
          <w:rtl/>
        </w:rPr>
        <w:t>בראדין</w:t>
      </w:r>
      <w:proofErr w:type="spellEnd"/>
      <w:r>
        <w:rPr>
          <w:rtl/>
        </w:rPr>
        <w:t xml:space="preserve"> באמצע שנות </w:t>
      </w:r>
      <w:proofErr w:type="spellStart"/>
      <w:r>
        <w:rPr>
          <w:rtl/>
        </w:rPr>
        <w:t xml:space="preserve">התר״פ</w:t>
      </w:r>
      <w:proofErr w:type="spellEnd"/>
      <w:r>
        <w:rPr>
          <w:rtl/>
        </w:rPr>
        <w:t xml:space="preserve">, בספר “מאיר עיני ישראל”</w:t>
      </w:r>
      <w:bookmarkStart w:id="1481" w:name="_fnr970"/>
      <w:r>
        <w:rPr>
          <w:rStyle w:val="a5"/>
        </w:rPr>
        <w:footnoteReference w:id="973" w:customMarkFollows="0"/>
      </w:r>
      <w:bookmarkEnd w:id="1481"/>
      <w:r>
        <w:rPr>
          <w:rtl/>
        </w:rPr>
        <w:t xml:space="preserve">, על הסכנה המשכילית שעמד מולה </w:t>
      </w:r>
      <w:proofErr w:type="spellStart"/>
      <w:r>
        <w:rPr>
          <w:rtl/>
        </w:rPr>
        <w:t>החפץ־חיים</w:t>
      </w:r>
      <w:proofErr w:type="spellEnd"/>
      <w:r>
        <w:rPr>
          <w:rtl/>
        </w:rPr>
        <w:t xml:space="preserve"> חצי מאה קודם לכן! </w:t>
      </w:r>
      <w:proofErr w:type="spellStart"/>
      <w:r>
        <w:rPr>
          <w:rtl/>
        </w:rPr>
        <w:t>רבינסקי</w:t>
      </w:r>
      <w:proofErr w:type="spellEnd"/>
      <w:r>
        <w:rPr>
          <w:rtl/>
        </w:rPr>
        <w:t xml:space="preserve"> מספר שאחרי שלמד אצל ר׳ </w:t>
      </w:r>
      <w:proofErr w:type="spellStart"/>
      <w:r>
        <w:rPr>
          <w:rtl/>
        </w:rPr>
        <w:t>ברוך־בער</w:t>
      </w:r>
      <w:proofErr w:type="spellEnd"/>
      <w:r>
        <w:rPr>
          <w:rtl/>
        </w:rPr>
        <w:t xml:space="preserve"> </w:t>
      </w:r>
      <w:proofErr w:type="spellStart"/>
      <w:r>
        <w:rPr>
          <w:rtl/>
        </w:rPr>
        <w:t>ליבוביץ</w:t>
      </w:r>
      <w:proofErr w:type="spellEnd"/>
      <w:r>
        <w:rPr>
          <w:rtl/>
        </w:rPr>
        <w:t xml:space="preserve"> בווילנה אחרי מלחמת העולם הראשונה, הגיע </w:t>
      </w:r>
      <w:proofErr w:type="spellStart"/>
      <w:r>
        <w:rPr>
          <w:rtl/>
        </w:rPr>
        <w:t>לראדין</w:t>
      </w:r>
      <w:proofErr w:type="spellEnd"/>
      <w:r>
        <w:rPr>
          <w:rtl/>
        </w:rPr>
        <w:t xml:space="preserve"> לחודש אלול ושמע שיחה של </w:t>
      </w:r>
      <w:proofErr w:type="spellStart"/>
      <w:r>
        <w:rPr>
          <w:rtl/>
        </w:rPr>
        <w:t>החפץ־חיים</w:t>
      </w:r>
      <w:proofErr w:type="spellEnd"/>
      <w:r>
        <w:rPr>
          <w:rtl/>
        </w:rPr>
        <w:t xml:space="preserve">. בשיחה הזכיר </w:t>
      </w:r>
      <w:proofErr w:type="spellStart"/>
      <w:r>
        <w:rPr>
          <w:rtl/>
        </w:rPr>
        <w:t>החפץ־חיים</w:t>
      </w:r>
      <w:proofErr w:type="spellEnd"/>
      <w:r>
        <w:rPr>
          <w:rtl/>
        </w:rPr>
        <w:t xml:space="preserve"> אדם בשם “</w:t>
      </w:r>
      <w:proofErr w:type="spellStart"/>
      <w:r>
        <w:rPr>
          <w:rtl/>
        </w:rPr>
        <w:t>בערקע</w:t>
      </w:r>
      <w:proofErr w:type="spellEnd"/>
      <w:r>
        <w:rPr>
          <w:rtl/>
        </w:rPr>
        <w:t xml:space="preserve"> </w:t>
      </w:r>
      <w:proofErr w:type="spellStart"/>
      <w:r>
        <w:rPr>
          <w:rtl/>
        </w:rPr>
        <w:t>מיכאלישקער</w:t>
      </w:r>
      <w:proofErr w:type="spellEnd"/>
      <w:r>
        <w:rPr>
          <w:rtl/>
        </w:rPr>
        <w:t>” והוסיף את הקללה “</w:t>
      </w:r>
      <w:proofErr w:type="spellStart"/>
      <w:r>
        <w:rPr>
          <w:rtl/>
        </w:rPr>
        <w:t>ימח</w:t>
      </w:r>
      <w:proofErr w:type="spellEnd"/>
      <w:r>
        <w:rPr>
          <w:rtl/>
        </w:rPr>
        <w:t xml:space="preserve"> שמו וזכרו”. </w:t>
      </w:r>
      <w:proofErr w:type="spellStart"/>
      <w:r>
        <w:rPr>
          <w:rtl/>
        </w:rPr>
        <w:t>רבינסקי</w:t>
      </w:r>
      <w:proofErr w:type="spellEnd"/>
      <w:r>
        <w:rPr>
          <w:rtl/>
        </w:rPr>
        <w:t xml:space="preserve"> תמה על כך </w:t>
      </w:r>
      <w:proofErr w:type="spellStart"/>
      <w:r>
        <w:rPr>
          <w:rtl/>
        </w:rPr>
        <w:t>שהחפץ־חיים</w:t>
      </w:r>
      <w:proofErr w:type="spellEnd"/>
      <w:r>
        <w:rPr>
          <w:rtl/>
        </w:rPr>
        <w:t xml:space="preserve"> מדבר כך על יהודי, הביט בשאר התלמידים וראה שאיש מהם לא הזדעזע כמותו.</w:t>
      </w:r>
    </w:p>
    <w:p w14:paraId="7972F53B" w14:textId="77777777" w:rsidR="00AB3647" w:rsidRDefault="00000000" w:rsidP="007923E9">
      <w:pPr>
        <w:spacing w:after="120" w:line="276" w:lineRule="auto"/>
        <w:ind w:firstLine="283"/>
        <w:jc w:val="both"/>
      </w:pPr>
      <w:r>
        <w:rPr>
          <w:rtl/>
        </w:rPr>
        <w:lastRenderedPageBreak/>
        <w:t xml:space="preserve">אחרי שנסתיימה השיחה ניגש לאחד האברכים ושאל מי הוא אותו ארור שהוזכר, וקיבל תשובה: “אינך יודע? זה הסופר המשכיל </w:t>
      </w:r>
      <w:proofErr w:type="spellStart"/>
      <w:r>
        <w:rPr>
          <w:rtl/>
        </w:rPr>
        <w:t>אד״ם</w:t>
      </w:r>
      <w:proofErr w:type="spellEnd"/>
      <w:r>
        <w:rPr>
          <w:rtl/>
        </w:rPr>
        <w:t xml:space="preserve"> הכהן [</w:t>
      </w:r>
      <w:proofErr w:type="spellStart"/>
      <w:r>
        <w:rPr>
          <w:rtl/>
        </w:rPr>
        <w:t>אברהם־דובער</w:t>
      </w:r>
      <w:proofErr w:type="spellEnd"/>
      <w:r>
        <w:rPr>
          <w:rtl/>
        </w:rPr>
        <w:t xml:space="preserve"> (</w:t>
      </w:r>
      <w:proofErr w:type="spellStart"/>
      <w:r>
        <w:rPr>
          <w:rtl/>
        </w:rPr>
        <w:t>לבנזון</w:t>
      </w:r>
      <w:proofErr w:type="spellEnd"/>
      <w:r>
        <w:rPr>
          <w:rtl/>
        </w:rPr>
        <w:t xml:space="preserve">) </w:t>
      </w:r>
      <w:proofErr w:type="spellStart"/>
      <w:r>
        <w:rPr>
          <w:rtl/>
        </w:rPr>
        <w:t>ממיכאלישוק</w:t>
      </w:r>
      <w:proofErr w:type="spellEnd"/>
      <w:r>
        <w:rPr>
          <w:rtl/>
        </w:rPr>
        <w:t xml:space="preserve">], </w:t>
      </w:r>
      <w:proofErr w:type="spellStart"/>
      <w:r>
        <w:rPr>
          <w:rtl/>
        </w:rPr>
        <w:t>והחפץ־חיים</w:t>
      </w:r>
      <w:proofErr w:type="spellEnd"/>
      <w:r>
        <w:rPr>
          <w:rtl/>
        </w:rPr>
        <w:t xml:space="preserve"> מקללו מחדש בכל שנה בזמן הזה.”</w:t>
      </w:r>
    </w:p>
    <w:p w14:paraId="4A36C95A" w14:textId="77777777" w:rsidR="00AB3647" w:rsidRDefault="00000000" w:rsidP="007923E9">
      <w:pPr>
        <w:spacing w:after="120" w:line="276" w:lineRule="auto"/>
        <w:ind w:firstLine="283"/>
        <w:jc w:val="both"/>
      </w:pPr>
      <w:r>
        <w:rPr>
          <w:rtl/>
        </w:rPr>
        <w:t xml:space="preserve">הטעם להנהגה זו היה </w:t>
      </w:r>
      <w:proofErr w:type="spellStart"/>
      <w:r>
        <w:rPr>
          <w:rtl/>
        </w:rPr>
        <w:t>שלבנזון</w:t>
      </w:r>
      <w:proofErr w:type="spellEnd"/>
      <w:r>
        <w:rPr>
          <w:rtl/>
        </w:rPr>
        <w:t xml:space="preserve"> הכיר את </w:t>
      </w:r>
      <w:proofErr w:type="spellStart"/>
      <w:r>
        <w:rPr>
          <w:rtl/>
        </w:rPr>
        <w:t>החפץ־חיים</w:t>
      </w:r>
      <w:proofErr w:type="spellEnd"/>
      <w:r>
        <w:rPr>
          <w:rtl/>
        </w:rPr>
        <w:t xml:space="preserve"> כשזה, יתום צעיר ומבריק, למד לבדו </w:t>
      </w:r>
      <w:proofErr w:type="spellStart"/>
      <w:r>
        <w:rPr>
          <w:rtl/>
        </w:rPr>
        <w:t>בקלויז</w:t>
      </w:r>
      <w:proofErr w:type="spellEnd"/>
      <w:r>
        <w:rPr>
          <w:rtl/>
        </w:rPr>
        <w:t xml:space="preserve"> בווילנה. </w:t>
      </w:r>
      <w:proofErr w:type="spellStart"/>
      <w:r>
        <w:rPr>
          <w:rtl/>
        </w:rPr>
        <w:t>לבנזון</w:t>
      </w:r>
      <w:proofErr w:type="spellEnd"/>
      <w:r>
        <w:rPr>
          <w:rtl/>
        </w:rPr>
        <w:t xml:space="preserve"> בילה שעות בשיחה עמו בניסיון להביא את </w:t>
      </w:r>
      <w:proofErr w:type="spellStart"/>
      <w:r>
        <w:rPr>
          <w:rtl/>
        </w:rPr>
        <w:t>ישראל־מאיר</w:t>
      </w:r>
      <w:proofErr w:type="spellEnd"/>
      <w:r>
        <w:rPr>
          <w:rtl/>
        </w:rPr>
        <w:t xml:space="preserve"> הצעיר להצטרף לבית המדרש לרבנים המשכילי בווילנה,</w:t>
      </w:r>
      <w:bookmarkStart w:id="1482" w:name="_fnr971"/>
      <w:r>
        <w:rPr>
          <w:rStyle w:val="a5"/>
        </w:rPr>
        <w:footnoteReference w:id="974" w:customMarkFollows="0"/>
      </w:r>
      <w:bookmarkEnd w:id="1482"/>
      <w:r>
        <w:rPr>
          <w:rtl/>
        </w:rPr>
        <w:t xml:space="preserve"> </w:t>
      </w:r>
      <w:proofErr w:type="spellStart"/>
      <w:r>
        <w:rPr>
          <w:rtl/>
        </w:rPr>
        <w:t>שלבנזון</w:t>
      </w:r>
      <w:proofErr w:type="spellEnd"/>
      <w:r>
        <w:rPr>
          <w:rtl/>
        </w:rPr>
        <w:t xml:space="preserve"> היה מנהלו</w:t>
      </w:r>
      <w:bookmarkStart w:id="1483" w:name="_fnr972"/>
      <w:bookmarkEnd w:id="1483"/>
      <w:r>
        <w:rPr>
          <w:rStyle w:val="a5"/>
        </w:rPr>
        <w:t/>
      </w:r>
      <w:bookmarkStart w:id="7010" w:name="_TranslatorNote_5378"/>
      <w:r>
        <w:rPr>
          <w:rStyle w:val="a5"/>
          <w:vertAlign w:val="superscript"/>
          <w:rtl/>
        </w:rPr>
        <w:footnoteReference w:id="975" w:customMarkFollows="1"/>
        <w:t>*</w:t>
      </w:r>
      <w:bookmarkEnd w:id="7010"/>
      <w:r>
        <w:rPr>
          <w:rtl/>
        </w:rPr>
        <w:t xml:space="preserve">. אלמלא הזהירו שואב מים שבן שיחו איש רשע ושאין לו לבוא עמו בדברים, אפשר שהנער היה נלכד ברשת. בעקבות הסכנה שניצל ממנה בקושי בווילנה, ברח </w:t>
      </w:r>
      <w:proofErr w:type="spellStart"/>
      <w:r>
        <w:rPr>
          <w:rtl/>
        </w:rPr>
        <w:t>החפץ־חיים</w:t>
      </w:r>
      <w:proofErr w:type="spellEnd"/>
      <w:r>
        <w:rPr>
          <w:rtl/>
        </w:rPr>
        <w:t xml:space="preserve"> מן העיר כליל.</w:t>
      </w:r>
      <w:bookmarkStart w:id="1484" w:name="_fnr973"/>
      <w:r>
        <w:rPr>
          <w:rStyle w:val="a5"/>
        </w:rPr>
        <w:footnoteReference w:id="976" w:customMarkFollows="0"/>
      </w:r>
      <w:bookmarkEnd w:id="1484"/>
    </w:p>
    <w:bookmarkStart w:id="1485" w:name="b2_excC"/>
    <w:p w14:paraId="32D75158" w14:textId="77777777" w:rsidR="00AB3647" w:rsidRDefault="00000000" w:rsidP="007923E9">
      <w:pPr>
        <w:pStyle w:val="3"/>
        <w:spacing w:line="276" w:lineRule="auto"/>
      </w:pPr>
      <w:r>
        <w:lastRenderedPageBreak/>
        <w:fldChar w:fldCharType="begin" w:dirty="true"/>
      </w:r>
      <w:r>
        <w:rPr>
          <w:rtl w:val="0"/>
        </w:rPr>
        <w:instrText>HYPERLINK \l "b2_note54</w:instrText>
      </w:r>
      <w:r>
        <w:instrText>"</w:instrText>
      </w:r>
      <w:r>
        <w:fldChar w:fldCharType="separate"/>
      </w:r>
      <w:r>
        <w:t>נספח ג</w:t>
      </w:r>
      <w:r>
        <w:fldChar w:fldCharType="end"/>
      </w:r>
      <w:bookmarkEnd w:id="1485"/>
    </w:p>
    <w:p w14:paraId="09587A09" w14:textId="77777777" w:rsidR="00AB3647" w:rsidRDefault="00000000" w:rsidP="007923E9">
      <w:pPr>
        <w:pStyle w:val="af"/>
        <w:spacing w:line="276" w:lineRule="auto"/>
      </w:pPr>
      <w:r>
        <w:t xml:space="preserve">על פעולותיו של ר׳ </w:t>
      </w:r>
      <w:proofErr w:type="spellStart"/>
      <w:r>
        <w:t>יהושע׳לה</w:t>
      </w:r>
      <w:proofErr w:type="spellEnd"/>
      <w:r>
        <w:t xml:space="preserve"> </w:t>
      </w:r>
      <w:proofErr w:type="spellStart"/>
      <w:r>
        <w:t>הורודנער</w:t>
      </w:r>
      <w:proofErr w:type="spellEnd"/>
    </w:p>
    <w:p w14:paraId="224E4F50" w14:textId="77777777" w:rsidR="00AB3647" w:rsidRDefault="00000000" w:rsidP="007923E9">
      <w:pPr>
        <w:pStyle w:val="5"/>
        <w:spacing w:line="276" w:lineRule="auto"/>
      </w:pPr>
      <w:r>
        <w:t xml:space="preserve">ר׳ </w:t>
      </w:r>
      <w:proofErr w:type="spellStart"/>
      <w:r>
        <w:t>יהושע׳לה</w:t>
      </w:r>
      <w:proofErr w:type="spellEnd"/>
      <w:r>
        <w:t xml:space="preserve"> מקיים את ישיבתו תחת השלטון הקומוניסטי – הוא ניצל משום שעזר פעם </w:t>
      </w:r>
      <w:proofErr w:type="spellStart"/>
      <w:r>
        <w:t>לאמו</w:t>
      </w:r>
      <w:proofErr w:type="spellEnd"/>
      <w:r>
        <w:t xml:space="preserve"> של ראש המשטרה – הוא מרביץ תורה בעיר – מינסק אינה עוד מרכז תורה</w:t>
      </w:r>
    </w:p>
    <w:p w14:paraId="314571B3" w14:textId="77777777" w:rsidR="00AB3647" w:rsidRDefault="00000000" w:rsidP="007923E9">
      <w:pPr>
        <w:spacing w:after="120" w:line="276" w:lineRule="auto"/>
        <w:ind w:firstLine="283"/>
        <w:jc w:val="both"/>
      </w:pPr>
      <w:r>
        <w:rPr>
          <w:rtl/>
        </w:rPr>
        <w:t xml:space="preserve">ר׳ </w:t>
      </w:r>
      <w:proofErr w:type="spellStart"/>
      <w:r>
        <w:rPr>
          <w:rtl/>
        </w:rPr>
        <w:t>יהושע׳לה</w:t>
      </w:r>
      <w:proofErr w:type="spellEnd"/>
      <w:r>
        <w:rPr>
          <w:rtl/>
        </w:rPr>
        <w:t xml:space="preserve"> </w:t>
      </w:r>
      <w:proofErr w:type="spellStart"/>
      <w:r>
        <w:rPr>
          <w:rtl/>
        </w:rPr>
        <w:t>צימבליסט</w:t>
      </w:r>
      <w:proofErr w:type="spellEnd"/>
      <w:r>
        <w:rPr>
          <w:rtl/>
        </w:rPr>
        <w:t xml:space="preserve"> נולד </w:t>
      </w:r>
      <w:proofErr w:type="spellStart"/>
      <w:r>
        <w:rPr>
          <w:rtl/>
        </w:rPr>
        <w:t>בגרודנא</w:t>
      </w:r>
      <w:proofErr w:type="spellEnd"/>
      <w:r>
        <w:rPr>
          <w:rtl/>
        </w:rPr>
        <w:t xml:space="preserve"> (</w:t>
      </w:r>
      <w:proofErr w:type="spellStart"/>
      <w:r>
        <w:rPr>
          <w:rtl/>
        </w:rPr>
        <w:t>הורודנא</w:t>
      </w:r>
      <w:proofErr w:type="spellEnd"/>
      <w:r>
        <w:rPr>
          <w:rtl/>
        </w:rPr>
        <w:t xml:space="preserve">) – בשנת תרל״ד לפי ר׳ </w:t>
      </w:r>
      <w:proofErr w:type="spellStart"/>
      <w:r>
        <w:rPr>
          <w:rtl/>
        </w:rPr>
        <w:t>חצקל</w:t>
      </w:r>
      <w:proofErr w:type="spellEnd"/>
      <w:r>
        <w:rPr>
          <w:rtl/>
        </w:rPr>
        <w:t xml:space="preserve"> </w:t>
      </w:r>
      <w:proofErr w:type="spellStart"/>
      <w:r>
        <w:rPr>
          <w:rtl/>
        </w:rPr>
        <w:t>סרנא</w:t>
      </w:r>
      <w:proofErr w:type="spellEnd"/>
      <w:r>
        <w:rPr>
          <w:rtl/>
        </w:rPr>
        <w:t>, קרוב רחוק, או בשנת תרל״ז לפי בנו, ר׳ שלמה</w:t>
      </w:r>
      <w:bookmarkStart w:id="1486" w:name="_fnr974"/>
      <w:r>
        <w:rPr>
          <w:rStyle w:val="a5"/>
        </w:rPr>
        <w:footnoteReference w:id="977" w:customMarkFollows="0"/>
      </w:r>
      <w:bookmarkEnd w:id="1486"/>
      <w:r>
        <w:rPr>
          <w:rtl/>
        </w:rPr>
        <w:t xml:space="preserve"> – והיה פעיל בכל מוסדות התורה של מינסק. הוא נשאר ברוסיה תחת הקומוניסטים, והפעיל במחתרת את הישיבה בשול “שואבי מים”. בסוף שנות </w:t>
      </w:r>
      <w:proofErr w:type="spellStart"/>
      <w:r>
        <w:rPr>
          <w:rtl/>
        </w:rPr>
        <w:t xml:space="preserve">התר״פ</w:t>
      </w:r>
      <w:proofErr w:type="spellEnd"/>
      <w:r>
        <w:rPr>
          <w:rtl/>
        </w:rPr>
        <w:t xml:space="preserve">, כשעוד למדו בישיבה מאה תלמידים והשיעורים נערכו למעלה, בעזרת הנשים, הוצבו למטה שומרים כדי להזהיר את התלמידים להסתיר את ספריהם אם עמדה לבוא פשיטה של המשטרה.</w:t>
      </w:r>
      <w:bookmarkStart w:id="1487" w:name="_fnr975"/>
      <w:r>
        <w:rPr>
          <w:rStyle w:val="a5"/>
        </w:rPr>
        <w:footnoteReference w:id="978" w:customMarkFollows="0"/>
      </w:r>
      <w:bookmarkEnd w:id="1487"/>
    </w:p>
    <w:p w14:paraId="5027BE5D" w14:textId="77777777" w:rsidR="00AB3647" w:rsidRDefault="00000000" w:rsidP="007923E9">
      <w:pPr>
        <w:spacing w:after="120" w:line="276" w:lineRule="auto"/>
        <w:ind w:firstLine="283"/>
        <w:jc w:val="both"/>
      </w:pPr>
      <w:r>
        <w:rPr>
          <w:rtl/>
        </w:rPr>
        <w:t xml:space="preserve">כשהתנאים ללימוד תורה, שהיו קשים, נעשו בלתי אפשריים, נעשה הרב </w:t>
      </w:r>
      <w:proofErr w:type="spellStart"/>
      <w:r>
        <w:rPr>
          <w:rtl/>
        </w:rPr>
        <w:t>צימבליסט</w:t>
      </w:r>
      <w:proofErr w:type="spellEnd"/>
      <w:r>
        <w:rPr>
          <w:rtl/>
        </w:rPr>
        <w:t xml:space="preserve"> לפעיל העיקרי בהברחת בחורי ישיבה אל מעבר לגבול הסמוך, לפולין.</w:t>
      </w:r>
      <w:bookmarkStart w:id="1488" w:name="_fnr976"/>
      <w:r>
        <w:rPr>
          <w:rStyle w:val="a5"/>
        </w:rPr>
        <w:footnoteReference w:id="979" w:customMarkFollows="0"/>
      </w:r>
      <w:bookmarkEnd w:id="1488"/>
      <w:r>
        <w:rPr>
          <w:rtl/>
        </w:rPr>
        <w:t xml:space="preserve"> </w:t>
      </w:r>
      <w:proofErr w:type="spellStart"/>
      <w:r>
        <w:rPr>
          <w:rtl/>
        </w:rPr>
        <w:t>החפץ־חיים</w:t>
      </w:r>
      <w:proofErr w:type="spellEnd"/>
      <w:r>
        <w:rPr>
          <w:rtl/>
        </w:rPr>
        <w:t xml:space="preserve"> פגש את ר׳ </w:t>
      </w:r>
      <w:proofErr w:type="spellStart"/>
      <w:r>
        <w:rPr>
          <w:rtl/>
        </w:rPr>
        <w:t>יהושע׳לה</w:t>
      </w:r>
      <w:proofErr w:type="spellEnd"/>
      <w:r>
        <w:rPr>
          <w:rtl/>
        </w:rPr>
        <w:t xml:space="preserve"> במלחמת העולם הראשונה, כששהה זמן מה במינסק, ובשיחות המוסר שאמר לאחר מכן כינה אותו “עבד ה׳”. </w:t>
      </w:r>
      <w:proofErr w:type="spellStart"/>
      <w:r>
        <w:rPr>
          <w:rtl/>
        </w:rPr>
        <w:t>החפץ־חיים</w:t>
      </w:r>
      <w:proofErr w:type="spellEnd"/>
      <w:r>
        <w:rPr>
          <w:rtl/>
        </w:rPr>
        <w:t xml:space="preserve"> אסר על הרב </w:t>
      </w:r>
      <w:proofErr w:type="spellStart"/>
      <w:r>
        <w:rPr>
          <w:rtl/>
        </w:rPr>
        <w:t>צימבליסט</w:t>
      </w:r>
      <w:proofErr w:type="spellEnd"/>
      <w:r>
        <w:rPr>
          <w:rtl/>
        </w:rPr>
        <w:t xml:space="preserve"> לעזוב את רוסיה עד שתכבה שם אבוקת התורה כליל.</w:t>
      </w:r>
      <w:bookmarkStart w:id="1489" w:name="_fnr977"/>
      <w:r>
        <w:rPr>
          <w:rStyle w:val="a5"/>
        </w:rPr>
        <w:footnoteReference w:id="980" w:customMarkFollows="0"/>
      </w:r>
      <w:bookmarkEnd w:id="1489"/>
    </w:p>
    <w:p w14:paraId="1FBEC390" w14:textId="77777777" w:rsidR="00AB3647" w:rsidRDefault="00000000" w:rsidP="007923E9">
      <w:pPr>
        <w:spacing w:after="120" w:line="276" w:lineRule="auto"/>
        <w:ind w:firstLine="283"/>
        <w:jc w:val="both"/>
      </w:pPr>
      <w:r>
        <w:rPr>
          <w:rtl/>
        </w:rPr>
        <w:t xml:space="preserve">אבי פתח את הסיפור שעמד לספר במילים “אתם, החיים בארצות הברית, אינכם יכולים לתאר לעצמכם מה פירוש ללמד תורה תחת השלטון הקומוניסטי”, ואחר כך סיפר: “התלמידים למדו בסתר, ור׳ </w:t>
      </w:r>
      <w:proofErr w:type="spellStart"/>
      <w:r>
        <w:rPr>
          <w:rtl/>
        </w:rPr>
        <w:t>יהושע׳לה</w:t>
      </w:r>
      <w:proofErr w:type="spellEnd"/>
      <w:r>
        <w:rPr>
          <w:rtl/>
        </w:rPr>
        <w:t xml:space="preserve"> עמד בחוץ, רוחץ את החלונות או מטאטא ומזמר ניגון. אם התקרב מי שנחשד כאיש המשטרה החשאית הסובייטית, היה שינוי הניגון של ר׳ </w:t>
      </w:r>
      <w:proofErr w:type="spellStart"/>
      <w:r>
        <w:rPr>
          <w:rtl/>
        </w:rPr>
        <w:t>יהושע׳לה</w:t>
      </w:r>
      <w:proofErr w:type="spellEnd"/>
      <w:r>
        <w:rPr>
          <w:rtl/>
        </w:rPr>
        <w:t xml:space="preserve"> מאותת לתלמידים לברוח דרך החלונות האחוריים ולהתפזר.” (ר׳ </w:t>
      </w:r>
      <w:proofErr w:type="spellStart"/>
      <w:r>
        <w:rPr>
          <w:rtl/>
        </w:rPr>
        <w:t>כתריאל־דוד</w:t>
      </w:r>
      <w:proofErr w:type="spellEnd"/>
      <w:r>
        <w:rPr>
          <w:rtl/>
        </w:rPr>
        <w:t xml:space="preserve"> קפלין סיפר</w:t>
      </w:r>
      <w:bookmarkStart w:id="1490" w:name="_fnr978"/>
      <w:r>
        <w:rPr>
          <w:rStyle w:val="a5"/>
        </w:rPr>
        <w:footnoteReference w:id="981" w:customMarkFollows="0"/>
      </w:r>
      <w:bookmarkEnd w:id="1490"/>
      <w:r>
        <w:rPr>
          <w:rtl/>
        </w:rPr>
        <w:t xml:space="preserve"> ששמע שהרב </w:t>
      </w:r>
      <w:proofErr w:type="spellStart"/>
      <w:r>
        <w:rPr>
          <w:rtl/>
        </w:rPr>
        <w:t>צימבליסט</w:t>
      </w:r>
      <w:proofErr w:type="spellEnd"/>
      <w:r>
        <w:rPr>
          <w:rtl/>
        </w:rPr>
        <w:t xml:space="preserve"> למד את “דמשק אליעזר”, ספר המרחיב במקורות “ביאור </w:t>
      </w:r>
      <w:proofErr w:type="spellStart"/>
      <w:r>
        <w:rPr>
          <w:rtl/>
        </w:rPr>
        <w:t>הגר״א</w:t>
      </w:r>
      <w:proofErr w:type="spellEnd"/>
      <w:r>
        <w:rPr>
          <w:rtl/>
        </w:rPr>
        <w:t>”, בשעה שעמד על המשמר מחוץ לישיבה.)</w:t>
      </w:r>
    </w:p>
    <w:p w14:paraId="7461339E" w14:textId="77777777" w:rsidR="00AB3647" w:rsidRDefault="00000000" w:rsidP="007923E9">
      <w:pPr>
        <w:spacing w:after="120" w:line="276" w:lineRule="auto"/>
        <w:ind w:firstLine="283"/>
        <w:jc w:val="both"/>
      </w:pPr>
      <w:r>
        <w:rPr>
          <w:rtl/>
        </w:rPr>
        <w:t xml:space="preserve">אבי המשיך: “יום אחד בשנת תרצ״ג קיבל הרב </w:t>
      </w:r>
      <w:proofErr w:type="spellStart"/>
      <w:r>
        <w:rPr>
          <w:rtl/>
        </w:rPr>
        <w:t>צימבליסט</w:t>
      </w:r>
      <w:proofErr w:type="spellEnd"/>
      <w:r>
        <w:rPr>
          <w:rtl/>
        </w:rPr>
        <w:t xml:space="preserve"> פקודה להתייצב במשרדים הראשיים של </w:t>
      </w:r>
      <w:proofErr w:type="spellStart"/>
      <w:r>
        <w:rPr>
          <w:rtl/>
        </w:rPr>
        <w:t>הנ.ק.וו.ד</w:t>
      </w:r>
      <w:proofErr w:type="spellEnd"/>
      <w:r>
        <w:rPr>
          <w:rtl/>
        </w:rPr>
        <w:t xml:space="preserve">. במוסקבה. דבר כזה בישר בדרך כלל ‘דרכון לסיביר’, אם לא גזר דין מוות. כשהגיע לשם ר׳ </w:t>
      </w:r>
      <w:proofErr w:type="spellStart"/>
      <w:r>
        <w:rPr>
          <w:rtl/>
        </w:rPr>
        <w:t>יהושע׳לה</w:t>
      </w:r>
      <w:proofErr w:type="spellEnd"/>
      <w:r>
        <w:rPr>
          <w:rtl/>
        </w:rPr>
        <w:t xml:space="preserve">, נאמר לו להמתין בחדר המתנה כמה שעות – היה זה נוהג קבוע להניח לחשוד להזיע ולהגביר את אימתו – עד שהקצין הראשי קרא לו ואמר: ‘אני יהודי. אני יודע על פעולותיך זמן רב, ויש לנו תיק עליך בגודל כזה.’ הוא פרש את ידיו לרווחה והוציא תיק תפוח כדי להוכיח זאת. ‘האם אתה זוכר את </w:t>
      </w:r>
      <w:proofErr w:type="spellStart"/>
      <w:r>
        <w:rPr>
          <w:rtl/>
        </w:rPr>
        <w:t>חייקה</w:t>
      </w:r>
      <w:proofErr w:type="spellEnd"/>
      <w:r>
        <w:rPr>
          <w:rtl/>
        </w:rPr>
        <w:t xml:space="preserve"> האלמנה מאזור תחנת הרכבת של </w:t>
      </w:r>
      <w:proofErr w:type="spellStart"/>
      <w:r>
        <w:rPr>
          <w:rtl/>
        </w:rPr>
        <w:lastRenderedPageBreak/>
        <w:t>בריסק</w:t>
      </w:r>
      <w:proofErr w:type="spellEnd"/>
      <w:r>
        <w:rPr>
          <w:rtl/>
        </w:rPr>
        <w:t xml:space="preserve">?’ ר׳ </w:t>
      </w:r>
      <w:proofErr w:type="spellStart"/>
      <w:r>
        <w:rPr>
          <w:rtl/>
        </w:rPr>
        <w:t>יהושע׳לה</w:t>
      </w:r>
      <w:proofErr w:type="spellEnd"/>
      <w:r>
        <w:rPr>
          <w:rtl/>
        </w:rPr>
        <w:t xml:space="preserve"> אמר בכנות שאינו זוכר; הוא עשה טובות לאנשים רבים כל כך, שהיה קשה לו לזכור את שמותיהם. ‘אין בכך כלום,’ אמר הקצין, ‘אבל אני בנה. היית מביא לנו בגדים, נעליים ומזון מזמן לזמן. אני זוכר שערב פסח אחד לא היה לנו די אוכל, והיא באה לביתך אחרי שכבר חילקת את כל מה שאספת לעניים. הוצאת מארונך כלי של כסף טהור ונתת לה למכור אותו כדי לקנות צורכי חג. מתוך כבוד והכרת טובה אשמיד את התיק הזה,</w:t>
      </w:r>
      <w:bookmarkStart w:id="1491" w:name="_fnr979"/>
      <w:r>
        <w:rPr>
          <w:rStyle w:val="a5"/>
        </w:rPr>
        <w:footnoteReference w:id="982" w:customMarkFollows="0"/>
      </w:r>
      <w:bookmarkEnd w:id="1491"/>
      <w:r>
        <w:rPr>
          <w:rtl/>
        </w:rPr>
        <w:t xml:space="preserve"> אבל עליך להפסיק את פעולותיך להפצת הדת, כי בעוד חצי שנה אקודם, ולא אוכל להגן עליך מפני מחליפי. העצה הטובה ביותר שאני יכול לתת לך היא שתנסה לצאת מן הארץ לפני שאעזוב את משרתי.’ בתוך שישה חודשים כבר היה הרב </w:t>
      </w:r>
      <w:proofErr w:type="spellStart"/>
      <w:r>
        <w:rPr>
          <w:rtl/>
        </w:rPr>
        <w:t>צימבליסט</w:t>
      </w:r>
      <w:proofErr w:type="spellEnd"/>
      <w:r>
        <w:rPr>
          <w:rtl/>
        </w:rPr>
        <w:t xml:space="preserve"> בארץ ישראל, לאחר שהשיג את אישורי היציאה שלו בעזרת קצין אחר, שאת משפחתו הנזקקת פרנס לפני המהפכה.”</w:t>
      </w:r>
      <w:bookmarkStart w:id="1492" w:name="_fnr980"/>
      <w:bookmarkStart w:id="1493" w:name="pr_f_899"/>
      <w:r>
        <w:rPr>
          <w:rStyle w:val="a5"/>
        </w:rPr>
        <w:footnoteReference w:id="983" w:customMarkFollows="0"/>
      </w:r>
      <w:bookmarkEnd w:id="1492"/>
      <w:bookmarkEnd w:id="1493"/>
    </w:p>
    <w:p w14:paraId="5006191A" w14:textId="77777777" w:rsidR="00AB3647" w:rsidRDefault="00000000" w:rsidP="007923E9">
      <w:pPr>
        <w:spacing w:after="120" w:line="276" w:lineRule="auto"/>
        <w:ind w:firstLine="283"/>
        <w:jc w:val="both"/>
      </w:pPr>
      <w:r>
        <w:rPr>
          <w:rtl/>
        </w:rPr>
        <w:t>לפי “ענבי פתחיה”, מאת משה צבי נריה,</w:t>
      </w:r>
      <w:bookmarkStart w:id="1494" w:name="_fnr981"/>
      <w:r>
        <w:rPr>
          <w:rStyle w:val="a5"/>
        </w:rPr>
        <w:footnoteReference w:id="984" w:customMarkFollows="0"/>
      </w:r>
      <w:bookmarkEnd w:id="1494"/>
      <w:r>
        <w:rPr>
          <w:rtl/>
        </w:rPr>
        <w:t xml:space="preserve"> קצין </w:t>
      </w:r>
      <w:proofErr w:type="spellStart"/>
      <w:r>
        <w:rPr>
          <w:rtl/>
        </w:rPr>
        <w:t>הנ.ק.וו.ד</w:t>
      </w:r>
      <w:proofErr w:type="spellEnd"/>
      <w:r>
        <w:rPr>
          <w:rtl/>
        </w:rPr>
        <w:t xml:space="preserve">. היה מפקד המשטרה קרול ממינסק (לא ממוסקבה). הספר מגלה גם שאחד </w:t>
      </w:r>
      <w:proofErr w:type="spellStart"/>
      <w:r>
        <w:rPr>
          <w:rtl/>
        </w:rPr>
        <w:t>הר״מים</w:t>
      </w:r>
      <w:proofErr w:type="spellEnd"/>
      <w:r>
        <w:rPr>
          <w:rtl/>
        </w:rPr>
        <w:t xml:space="preserve"> העוזרים בשול “שואבי מים” היה ר׳ </w:t>
      </w:r>
      <w:proofErr w:type="spellStart"/>
      <w:r>
        <w:rPr>
          <w:rtl/>
        </w:rPr>
        <w:t>ישראל־יהושע</w:t>
      </w:r>
      <w:proofErr w:type="spellEnd"/>
      <w:r>
        <w:rPr>
          <w:rtl/>
        </w:rPr>
        <w:t xml:space="preserve"> הכהן </w:t>
      </w:r>
      <w:proofErr w:type="spellStart"/>
      <w:r>
        <w:rPr>
          <w:rtl/>
        </w:rPr>
        <w:t>ליבוביץ</w:t>
      </w:r>
      <w:proofErr w:type="spellEnd"/>
      <w:r>
        <w:rPr>
          <w:rtl/>
        </w:rPr>
        <w:t xml:space="preserve">, מגדולי תלמידי </w:t>
      </w:r>
      <w:proofErr w:type="spellStart"/>
      <w:r>
        <w:rPr>
          <w:rtl/>
        </w:rPr>
        <w:t>סלבודקה</w:t>
      </w:r>
      <w:proofErr w:type="spellEnd"/>
      <w:r>
        <w:rPr>
          <w:rtl/>
        </w:rPr>
        <w:t xml:space="preserve">, פליט </w:t>
      </w:r>
      <w:proofErr w:type="spellStart"/>
      <w:r>
        <w:rPr>
          <w:rtl/>
        </w:rPr>
        <w:t>מראגאלע</w:t>
      </w:r>
      <w:proofErr w:type="spellEnd"/>
      <w:r>
        <w:rPr>
          <w:rtl/>
        </w:rPr>
        <w:t xml:space="preserve"> שבליטא, שנשאר במינסק אחרי מלחמת העולם הראשונה. לבסוף הוגלה לסיביר, “ושם אבדו עקבותיו”.</w:t>
      </w:r>
    </w:p>
    <w:p w14:paraId="14FDD915" w14:textId="77777777" w:rsidR="00AB3647" w:rsidRDefault="00000000" w:rsidP="007923E9">
      <w:pPr>
        <w:spacing w:after="120" w:line="276" w:lineRule="auto"/>
        <w:ind w:firstLine="283"/>
        <w:jc w:val="both"/>
      </w:pPr>
      <w:r>
        <w:rPr>
          <w:rtl/>
        </w:rPr>
        <w:t>נריה כותב גם:</w:t>
      </w:r>
      <w:bookmarkStart w:id="1495" w:name="_fnr982"/>
      <w:r>
        <w:rPr>
          <w:rStyle w:val="a5"/>
        </w:rPr>
        <w:footnoteReference w:id="985" w:customMarkFollows="0"/>
      </w:r>
      <w:bookmarkEnd w:id="1495"/>
      <w:r>
        <w:rPr>
          <w:rtl/>
        </w:rPr>
        <w:t xml:space="preserve"> “ר׳ </w:t>
      </w:r>
      <w:proofErr w:type="spellStart"/>
      <w:r>
        <w:rPr>
          <w:rtl/>
        </w:rPr>
        <w:t>יהושע׳לה</w:t>
      </w:r>
      <w:proofErr w:type="spellEnd"/>
      <w:r>
        <w:rPr>
          <w:rtl/>
        </w:rPr>
        <w:t xml:space="preserve"> חשש מאוד שמא תיסגר ישיבתו. יכולתי לחוש בדאגתו בכל בוקר, כשעמדתי סמוך לו בתפילת שחרית; כשאמר את הפסוק ‘אל תגעו </w:t>
      </w:r>
      <w:r>
        <w:rPr>
          <w:b/>
          <w:bCs/>
          <w:rtl/>
        </w:rPr>
        <w:t>במשיחי</w:t>
      </w:r>
      <w:r>
        <w:rPr>
          <w:rtl/>
        </w:rPr>
        <w:t xml:space="preserve"> </w:t>
      </w:r>
      <w:r>
        <w:rPr>
          <w:b/>
          <w:bCs/>
          <w:rtl/>
        </w:rPr>
        <w:t>ובנביאי</w:t>
      </w:r>
      <w:r>
        <w:rPr>
          <w:rtl/>
        </w:rPr>
        <w:t xml:space="preserve"> אל תרעו’</w:t>
      </w:r>
      <w:bookmarkStart w:id="1496" w:name="_fnr983"/>
      <w:r>
        <w:rPr>
          <w:rStyle w:val="a5"/>
        </w:rPr>
        <w:footnoteReference w:id="986" w:customMarkFollows="0"/>
      </w:r>
      <w:bookmarkEnd w:id="1496"/>
      <w:r>
        <w:rPr>
          <w:rtl/>
        </w:rPr>
        <w:t xml:space="preserve"> היה מוסיף ברטט את פירוש חז״ל למילים המודגשות,</w:t>
      </w:r>
      <w:bookmarkStart w:id="1497" w:name="_fnr984"/>
      <w:r>
        <w:rPr>
          <w:rStyle w:val="a5"/>
        </w:rPr>
        <w:footnoteReference w:id="987" w:customMarkFollows="0"/>
      </w:r>
      <w:bookmarkEnd w:id="1497"/>
      <w:r>
        <w:rPr>
          <w:rtl/>
        </w:rPr>
        <w:t xml:space="preserve"> לאמור: </w:t>
      </w:r>
      <w:r>
        <w:rPr>
          <w:b/>
          <w:bCs/>
          <w:rtl/>
        </w:rPr>
        <w:t>משיחי</w:t>
      </w:r>
      <w:r>
        <w:rPr>
          <w:rtl/>
        </w:rPr>
        <w:t xml:space="preserve"> אלו תינוקות של בית רבן, ו</w:t>
      </w:r>
      <w:r>
        <w:rPr>
          <w:b/>
          <w:bCs/>
          <w:rtl/>
        </w:rPr>
        <w:t>נביאי</w:t>
      </w:r>
      <w:r>
        <w:rPr>
          <w:rtl/>
        </w:rPr>
        <w:t xml:space="preserve"> אלו תלמידי חכמים.”</w:t>
      </w:r>
    </w:p>
    <w:p w14:paraId="697DBDEA" w14:textId="77777777" w:rsidR="00AB3647" w:rsidRDefault="00000000" w:rsidP="007923E9">
      <w:pPr>
        <w:spacing w:after="120" w:line="276" w:lineRule="auto"/>
        <w:ind w:firstLine="283"/>
        <w:jc w:val="both"/>
      </w:pPr>
      <w:r>
        <w:rPr>
          <w:rtl/>
        </w:rPr>
        <w:t xml:space="preserve">“ענבי פתחיה” רושם: “העובדה שלא פגעו בישיבה נטעה בר׳ </w:t>
      </w:r>
      <w:proofErr w:type="spellStart"/>
      <w:r>
        <w:rPr>
          <w:rtl/>
        </w:rPr>
        <w:t>יהושע׳לה</w:t>
      </w:r>
      <w:proofErr w:type="spellEnd"/>
      <w:r>
        <w:rPr>
          <w:rtl/>
        </w:rPr>
        <w:t xml:space="preserve"> אומץ להקים סניף לשלושים עד ארבעים תלמידים בני </w:t>
      </w:r>
      <w:proofErr w:type="spellStart"/>
      <w:r>
        <w:rPr>
          <w:rtl/>
        </w:rPr>
        <w:t>ארבע־עשרה</w:t>
      </w:r>
      <w:proofErr w:type="spellEnd"/>
      <w:r>
        <w:rPr>
          <w:rtl/>
        </w:rPr>
        <w:t xml:space="preserve"> </w:t>
      </w:r>
      <w:proofErr w:type="spellStart"/>
      <w:r>
        <w:rPr>
          <w:rtl/>
        </w:rPr>
        <w:t>וחמש־עשרה</w:t>
      </w:r>
      <w:proofErr w:type="spellEnd"/>
      <w:r>
        <w:rPr>
          <w:rtl/>
        </w:rPr>
        <w:t xml:space="preserve"> בעזרת הנשים של שול אחר, ‘החדר של ר׳ איסר’,</w:t>
      </w:r>
      <w:bookmarkStart w:id="1498" w:name="_fnr985"/>
      <w:r>
        <w:rPr>
          <w:rStyle w:val="a5"/>
        </w:rPr>
        <w:footnoteReference w:id="988" w:customMarkFollows="0"/>
      </w:r>
      <w:bookmarkEnd w:id="1498"/>
      <w:r>
        <w:rPr>
          <w:rtl/>
        </w:rPr>
        <w:t xml:space="preserve"> ובשנים תרפ״ח–תר״צ העז להפעיל קיבוץ מצוין של בחורים בני </w:t>
      </w:r>
      <w:proofErr w:type="spellStart"/>
      <w:r>
        <w:rPr>
          <w:rtl/>
        </w:rPr>
        <w:t>שבע־עשרה</w:t>
      </w:r>
      <w:proofErr w:type="spellEnd"/>
      <w:r>
        <w:rPr>
          <w:rtl/>
        </w:rPr>
        <w:t xml:space="preserve"> עד עשרים בשול ‘משכיל לאיתן’,</w:t>
      </w:r>
      <w:bookmarkStart w:id="1499" w:name="_fnr986"/>
      <w:r>
        <w:rPr>
          <w:rStyle w:val="a5"/>
        </w:rPr>
        <w:footnoteReference w:id="989" w:customMarkFollows="0"/>
      </w:r>
      <w:bookmarkEnd w:id="1499"/>
      <w:r>
        <w:rPr>
          <w:rtl/>
        </w:rPr>
        <w:t xml:space="preserve"> ואמרו להם שיעורים כלליים הלמדנים המצוינים ר׳ שמעון ירחי ור׳ </w:t>
      </w:r>
      <w:proofErr w:type="spellStart"/>
      <w:r>
        <w:rPr>
          <w:rtl/>
        </w:rPr>
        <w:t>אברהם־אליהו</w:t>
      </w:r>
      <w:proofErr w:type="spellEnd"/>
      <w:r>
        <w:rPr>
          <w:rtl/>
        </w:rPr>
        <w:t xml:space="preserve"> </w:t>
      </w:r>
      <w:proofErr w:type="spellStart"/>
      <w:r>
        <w:rPr>
          <w:rtl/>
        </w:rPr>
        <w:t>מייזעס</w:t>
      </w:r>
      <w:proofErr w:type="spellEnd"/>
      <w:r>
        <w:rPr>
          <w:rtl/>
        </w:rPr>
        <w:t>.” מחבר “ענבי פתחיה” היה אחד התלמידים שם, והוא עלה לארץ ישראל בשנת תר״צ.</w:t>
      </w:r>
    </w:p>
    <w:p w14:paraId="17EB9832" w14:textId="77777777" w:rsidR="00AB3647" w:rsidRDefault="00000000" w:rsidP="007923E9">
      <w:pPr>
        <w:spacing w:after="120" w:line="276" w:lineRule="auto"/>
        <w:ind w:firstLine="283"/>
        <w:jc w:val="both"/>
      </w:pPr>
      <w:r>
        <w:rPr>
          <w:rtl/>
        </w:rPr>
        <w:lastRenderedPageBreak/>
        <w:t>“אבל הצרות גברו,” סיים אבי את סיפורו, “וקם הכורת,</w:t>
      </w:r>
      <w:bookmarkStart w:id="1500" w:name="_fnr987"/>
      <w:r>
        <w:rPr>
          <w:rStyle w:val="a5"/>
        </w:rPr>
        <w:footnoteReference w:id="990" w:customMarkFollows="0"/>
      </w:r>
      <w:bookmarkEnd w:id="1500"/>
      <w:r>
        <w:rPr>
          <w:rtl/>
        </w:rPr>
        <w:t xml:space="preserve"> שהיה המשטר הקומוניסטי, על כל מקומות התורה האלה. ונדם קול התורה במינסק רבתי, הקהילה הקדושה </w:t>
      </w:r>
      <w:proofErr w:type="spellStart"/>
      <w:r>
        <w:rPr>
          <w:rtl/>
        </w:rPr>
        <w:t>ש‘מימיהן</w:t>
      </w:r>
      <w:proofErr w:type="spellEnd"/>
      <w:r>
        <w:rPr>
          <w:rtl/>
        </w:rPr>
        <w:t xml:space="preserve"> של אבותינו לא פרשה ישיבה מהן׳.”</w:t>
      </w:r>
      <w:bookmarkStart w:id="1501" w:name="_fnr988"/>
      <w:r>
        <w:rPr>
          <w:rStyle w:val="a5"/>
        </w:rPr>
        <w:footnoteReference w:id="991" w:customMarkFollows="0"/>
      </w:r>
      <w:bookmarkEnd w:id="1501"/>
      <w:r>
        <w:rPr>
          <w:rtl/>
        </w:rPr>
        <w:t xml:space="preserve"> ר׳ </w:t>
      </w:r>
      <w:proofErr w:type="spellStart"/>
      <w:r>
        <w:rPr>
          <w:rtl/>
        </w:rPr>
        <w:t>יהושע׳לה</w:t>
      </w:r>
      <w:proofErr w:type="spellEnd"/>
      <w:r>
        <w:rPr>
          <w:rtl/>
        </w:rPr>
        <w:t xml:space="preserve"> נפטר בירושלים בתחילת שנת תש״ח.</w:t>
      </w:r>
    </w:p>
    <w:bookmarkStart w:id="1502" w:name="b2_excD"/>
    <w:p w14:paraId="443A7601" w14:textId="77777777" w:rsidR="00AB3647" w:rsidRDefault="00000000" w:rsidP="007923E9">
      <w:pPr>
        <w:pStyle w:val="3"/>
        <w:spacing w:line="276" w:lineRule="auto"/>
      </w:pPr>
      <w:r>
        <w:lastRenderedPageBreak/>
        <w:fldChar w:fldCharType="begin" w:dirty="true"/>
      </w:r>
      <w:r>
        <w:rPr>
          <w:rtl w:val="0"/>
        </w:rPr>
        <w:instrText>HYPERLINK \l "b2_note71</w:instrText>
      </w:r>
      <w:r>
        <w:instrText>"</w:instrText>
      </w:r>
      <w:r>
        <w:fldChar w:fldCharType="separate"/>
      </w:r>
      <w:r>
        <w:t>נספח ד</w:t>
      </w:r>
      <w:r>
        <w:fldChar w:fldCharType="end"/>
      </w:r>
      <w:bookmarkEnd w:id="1502"/>
    </w:p>
    <w:p w14:paraId="11CDD4EA" w14:textId="77777777" w:rsidR="00AB3647" w:rsidRDefault="00000000" w:rsidP="007923E9">
      <w:pPr>
        <w:pStyle w:val="af"/>
        <w:spacing w:line="276" w:lineRule="auto"/>
      </w:pPr>
      <w:r>
        <w:t>על הישיבות שבהן למד ר׳ אהרן קוטלר בילדותו</w:t>
      </w:r>
    </w:p>
    <w:p w14:paraId="206DD29A" w14:textId="77777777" w:rsidR="00AB3647" w:rsidRDefault="00000000" w:rsidP="007923E9">
      <w:pPr>
        <w:pStyle w:val="5"/>
        <w:spacing w:line="276" w:lineRule="auto"/>
      </w:pPr>
      <w:r>
        <w:t xml:space="preserve">תולדות ילדותו של ר׳ אהרן כפי שנדפסו אינן מדויקות – הוא לומד אצל ר׳ </w:t>
      </w:r>
      <w:proofErr w:type="spellStart"/>
      <w:r>
        <w:t>ברוך־בער</w:t>
      </w:r>
      <w:proofErr w:type="spellEnd"/>
      <w:r>
        <w:t xml:space="preserve"> </w:t>
      </w:r>
      <w:proofErr w:type="spellStart"/>
      <w:r>
        <w:t>בסלבודקה</w:t>
      </w:r>
      <w:proofErr w:type="spellEnd"/>
      <w:r>
        <w:t xml:space="preserve"> – הוא שוהה זמן מה במינסק לפני שהוא חוזר </w:t>
      </w:r>
      <w:proofErr w:type="spellStart"/>
      <w:r>
        <w:t>לסלבודקה</w:t>
      </w:r>
      <w:proofErr w:type="spellEnd"/>
      <w:r>
        <w:t xml:space="preserve"> – המקומות המדויקים שבהם למד – קשריו עם ר׳ </w:t>
      </w:r>
      <w:proofErr w:type="spellStart"/>
      <w:r>
        <w:t>יחיאל־יעקב</w:t>
      </w:r>
      <w:proofErr w:type="spellEnd"/>
      <w:r>
        <w:t xml:space="preserve"> ויינברג</w:t>
      </w:r>
    </w:p>
    <w:p w14:paraId="30351D43" w14:textId="77777777" w:rsidR="00AB3647" w:rsidRDefault="00000000" w:rsidP="007923E9">
      <w:pPr>
        <w:spacing w:after="120" w:line="276" w:lineRule="auto"/>
        <w:ind w:firstLine="283"/>
        <w:jc w:val="both"/>
      </w:pPr>
      <w:r>
        <w:rPr>
          <w:rtl/>
        </w:rPr>
        <w:t xml:space="preserve">הפרטים על הזמן שבו התייתם ר׳ אהרן קוטלר ועל המקומות שבהם למד בשנותיו הראשונות, כפי שאישרו אותם נכדיו, נרשמו </w:t>
      </w:r>
      <w:proofErr w:type="spellStart"/>
      <w:r>
        <w:rPr>
          <w:rtl/>
        </w:rPr>
        <w:t>ב“אוסף</w:t>
      </w:r>
      <w:proofErr w:type="spellEnd"/>
      <w:r>
        <w:rPr>
          <w:rtl/>
        </w:rPr>
        <w:t xml:space="preserve"> חידושי תורה ממרן </w:t>
      </w:r>
      <w:proofErr w:type="spellStart"/>
      <w:r>
        <w:rPr>
          <w:rtl/>
        </w:rPr>
        <w:t>הגר״א</w:t>
      </w:r>
      <w:proofErr w:type="spellEnd"/>
      <w:r>
        <w:rPr>
          <w:rtl/>
        </w:rPr>
        <w:t xml:space="preserve"> קוטלר”.</w:t>
      </w:r>
      <w:bookmarkStart w:id="1503" w:name="_fnr989"/>
      <w:r>
        <w:rPr>
          <w:rStyle w:val="a5"/>
        </w:rPr>
        <w:footnoteReference w:id="992" w:customMarkFollows="0"/>
      </w:r>
      <w:bookmarkEnd w:id="1503"/>
      <w:r>
        <w:rPr>
          <w:rtl/>
        </w:rPr>
        <w:t xml:space="preserve"> אבל כמה מן הפרטים שם אינם נכונים, כלומר: (1) שהיה בן תשע כשהתייתם מאביו; (2) שלמד אצל ר׳ </w:t>
      </w:r>
      <w:proofErr w:type="spellStart"/>
      <w:r>
        <w:rPr>
          <w:rtl/>
        </w:rPr>
        <w:t>זלמן־סנדר</w:t>
      </w:r>
      <w:proofErr w:type="spellEnd"/>
      <w:r>
        <w:rPr>
          <w:rtl/>
        </w:rPr>
        <w:t xml:space="preserve"> </w:t>
      </w:r>
      <w:proofErr w:type="spellStart"/>
      <w:r>
        <w:rPr>
          <w:rtl/>
        </w:rPr>
        <w:t>כהנא־שפירא</w:t>
      </w:r>
      <w:proofErr w:type="spellEnd"/>
      <w:r>
        <w:rPr>
          <w:rtl/>
        </w:rPr>
        <w:t xml:space="preserve"> </w:t>
      </w:r>
      <w:proofErr w:type="spellStart"/>
      <w:r>
        <w:rPr>
          <w:rtl/>
        </w:rPr>
        <w:t>בקרינק</w:t>
      </w:r>
      <w:proofErr w:type="spellEnd"/>
      <w:r>
        <w:rPr>
          <w:rtl/>
        </w:rPr>
        <w:t xml:space="preserve"> “בערך מגיל עשר, אחרי שהתייתם, כשנתיים ימים”; (3) </w:t>
      </w:r>
      <w:proofErr w:type="spellStart"/>
      <w:r>
        <w:rPr>
          <w:rtl/>
        </w:rPr>
        <w:t>ש“נכנס</w:t>
      </w:r>
      <w:proofErr w:type="spellEnd"/>
      <w:r>
        <w:rPr>
          <w:rtl/>
        </w:rPr>
        <w:t xml:space="preserve"> ל</w:t>
      </w:r>
      <w:r>
        <w:rPr>
          <w:b/>
          <w:bCs/>
          <w:rtl/>
        </w:rPr>
        <w:t>ישיבת כנסת ישראל</w:t>
      </w:r>
      <w:r>
        <w:rPr>
          <w:rtl/>
        </w:rPr>
        <w:t xml:space="preserve"> </w:t>
      </w:r>
      <w:proofErr w:type="spellStart"/>
      <w:r>
        <w:rPr>
          <w:rtl/>
        </w:rPr>
        <w:t>בסלבודקה</w:t>
      </w:r>
      <w:proofErr w:type="spellEnd"/>
      <w:r>
        <w:rPr>
          <w:rtl/>
        </w:rPr>
        <w:t xml:space="preserve"> [ההדגשה שלי] כשהיה רק כבן </w:t>
      </w:r>
      <w:proofErr w:type="spellStart"/>
      <w:r>
        <w:rPr>
          <w:rtl/>
        </w:rPr>
        <w:t>שתים־עשרה</w:t>
      </w:r>
      <w:proofErr w:type="spellEnd"/>
      <w:r>
        <w:rPr>
          <w:rtl/>
        </w:rPr>
        <w:t>!”.</w:t>
      </w:r>
      <w:bookmarkStart w:id="1504" w:name="_fnr990"/>
      <w:r>
        <w:rPr>
          <w:rStyle w:val="a5"/>
        </w:rPr>
        <w:footnoteReference w:id="993" w:customMarkFollows="0"/>
      </w:r>
      <w:bookmarkEnd w:id="1504"/>
    </w:p>
    <w:p w14:paraId="00B0597A" w14:textId="77777777" w:rsidR="00AB3647" w:rsidRDefault="00000000" w:rsidP="007923E9">
      <w:pPr>
        <w:spacing w:after="120" w:line="276" w:lineRule="auto"/>
        <w:ind w:firstLine="283"/>
        <w:jc w:val="both"/>
      </w:pPr>
      <w:r>
        <w:rPr>
          <w:rtl/>
        </w:rPr>
        <w:t>(1) ר׳ אהרן ודאי היה צעיר מאבי בעשרה חודשים בלבד, כפי שהעיד אבי פעמים רבות, ויום פטירתו של אביו של ר׳ אהרן היה כ״ד באב תרס״ג</w:t>
      </w:r>
      <w:bookmarkStart w:id="1505" w:name="_fnr991"/>
      <w:r>
        <w:rPr>
          <w:rStyle w:val="a5"/>
        </w:rPr>
        <w:footnoteReference w:id="994" w:customMarkFollows="0"/>
      </w:r>
      <w:bookmarkEnd w:id="1505"/>
      <w:r>
        <w:rPr>
          <w:rtl/>
        </w:rPr>
        <w:t xml:space="preserve">; אם כן, היה בן יותר </w:t>
      </w:r>
      <w:proofErr w:type="spellStart"/>
      <w:r>
        <w:rPr>
          <w:rtl/>
        </w:rPr>
        <w:t>מאחת־עשרה</w:t>
      </w:r>
      <w:proofErr w:type="spellEnd"/>
      <w:r>
        <w:rPr>
          <w:rtl/>
        </w:rPr>
        <w:t xml:space="preserve"> וחצי כשהתייתם. (2) לא ייתכן שהיה רק בן עשר כשנשלח ללמוד </w:t>
      </w:r>
      <w:proofErr w:type="spellStart"/>
      <w:r>
        <w:rPr>
          <w:rtl/>
        </w:rPr>
        <w:t>בקרינק</w:t>
      </w:r>
      <w:proofErr w:type="spellEnd"/>
      <w:r>
        <w:rPr>
          <w:rtl/>
        </w:rPr>
        <w:t xml:space="preserve">, שכן לא זו בלבד שאביו עדיין היה בחיים כשהגיע לגיל זה, אלא שר׳ </w:t>
      </w:r>
      <w:proofErr w:type="spellStart"/>
      <w:r>
        <w:rPr>
          <w:rtl/>
        </w:rPr>
        <w:t>זלמן־סנדר</w:t>
      </w:r>
      <w:proofErr w:type="spellEnd"/>
      <w:r>
        <w:rPr>
          <w:rtl/>
        </w:rPr>
        <w:t xml:space="preserve"> בא </w:t>
      </w:r>
      <w:proofErr w:type="spellStart"/>
      <w:r>
        <w:rPr>
          <w:rtl/>
        </w:rPr>
        <w:t>לקרינק</w:t>
      </w:r>
      <w:proofErr w:type="spellEnd"/>
      <w:r>
        <w:rPr>
          <w:rtl/>
        </w:rPr>
        <w:t xml:space="preserve"> (</w:t>
      </w:r>
      <w:proofErr w:type="spellStart"/>
      <w:r>
        <w:rPr>
          <w:rtl/>
        </w:rPr>
        <w:t>ממאלטש</w:t>
      </w:r>
      <w:proofErr w:type="spellEnd"/>
      <w:r>
        <w:rPr>
          <w:rtl/>
        </w:rPr>
        <w:t>) רק בסוף חורף תרס״ג,</w:t>
      </w:r>
      <w:bookmarkStart w:id="1506" w:name="_fnr992"/>
      <w:r>
        <w:rPr>
          <w:rStyle w:val="a5"/>
        </w:rPr>
        <w:footnoteReference w:id="995" w:customMarkFollows="0"/>
      </w:r>
      <w:bookmarkEnd w:id="1506"/>
      <w:r>
        <w:rPr>
          <w:rtl/>
        </w:rPr>
        <w:t xml:space="preserve"> אחרי שכבר מלאו לנער </w:t>
      </w:r>
      <w:proofErr w:type="spellStart"/>
      <w:r>
        <w:rPr>
          <w:rtl/>
        </w:rPr>
        <w:t>אחת־עשרה</w:t>
      </w:r>
      <w:proofErr w:type="spellEnd"/>
      <w:r>
        <w:rPr>
          <w:rtl/>
        </w:rPr>
        <w:t xml:space="preserve">. (3) לכנסת ישראל </w:t>
      </w:r>
      <w:proofErr w:type="spellStart"/>
      <w:r>
        <w:rPr>
          <w:rtl/>
        </w:rPr>
        <w:t>שבסלבודקה</w:t>
      </w:r>
      <w:proofErr w:type="spellEnd"/>
      <w:r>
        <w:rPr>
          <w:rtl/>
        </w:rPr>
        <w:t xml:space="preserve"> הצטרף לראשונה רק כשהיה כבר בן </w:t>
      </w:r>
      <w:proofErr w:type="spellStart"/>
      <w:r>
        <w:rPr>
          <w:rtl/>
        </w:rPr>
        <w:t>ארבע־עשרה</w:t>
      </w:r>
      <w:proofErr w:type="spellEnd"/>
      <w:r>
        <w:rPr>
          <w:rtl/>
        </w:rPr>
        <w:t>, ונסע לשם באותה רכבת עם אבי.</w:t>
      </w:r>
      <w:bookmarkStart w:id="1507" w:name="_fnr993"/>
      <w:r>
        <w:rPr>
          <w:rStyle w:val="a5"/>
        </w:rPr>
        <w:footnoteReference w:id="996" w:customMarkFollows="0"/>
      </w:r>
      <w:bookmarkEnd w:id="1507"/>
      <w:r>
        <w:rPr>
          <w:rtl/>
        </w:rPr>
        <w:t xml:space="preserve"> טעות נוספת בפרטי תולדותיו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היא השמטת שהותו של ר׳ אהרן בשול </w:t>
      </w:r>
      <w:proofErr w:type="spellStart"/>
      <w:r>
        <w:rPr>
          <w:rtl/>
        </w:rPr>
        <w:t>הקצבים</w:t>
      </w:r>
      <w:proofErr w:type="spellEnd"/>
      <w:r>
        <w:rPr>
          <w:rtl/>
        </w:rPr>
        <w:t xml:space="preserve"> במינסק (יחד עם רבנו).</w:t>
      </w:r>
    </w:p>
    <w:p w14:paraId="08655166" w14:textId="77777777" w:rsidR="00AB3647" w:rsidRDefault="00000000" w:rsidP="007923E9">
      <w:pPr>
        <w:spacing w:after="120" w:line="276" w:lineRule="auto"/>
        <w:ind w:firstLine="283"/>
        <w:jc w:val="both"/>
      </w:pPr>
      <w:r>
        <w:rPr>
          <w:rtl/>
        </w:rPr>
        <w:t xml:space="preserve">אף על פי כן, הגיל הצעיר שבו עזב את </w:t>
      </w:r>
      <w:proofErr w:type="spellStart"/>
      <w:r>
        <w:rPr>
          <w:rtl/>
        </w:rPr>
        <w:t>קרינק</w:t>
      </w:r>
      <w:proofErr w:type="spellEnd"/>
      <w:r>
        <w:rPr>
          <w:rtl/>
        </w:rPr>
        <w:t xml:space="preserve"> ועבר ללמוד במקום אחר משקף מסורת משפחתית נכונה, אלא שלא לכנסת ישראל </w:t>
      </w:r>
      <w:proofErr w:type="spellStart"/>
      <w:r>
        <w:rPr>
          <w:rtl/>
        </w:rPr>
        <w:t>שבסלבודקה</w:t>
      </w:r>
      <w:proofErr w:type="spellEnd"/>
      <w:r>
        <w:rPr>
          <w:rtl/>
        </w:rPr>
        <w:t xml:space="preserve"> עבר, כי אם ל</w:t>
      </w:r>
      <w:r>
        <w:rPr>
          <w:b/>
          <w:bCs/>
          <w:rtl/>
        </w:rPr>
        <w:t>כנסת בית יצחק</w:t>
      </w:r>
      <w:r>
        <w:rPr>
          <w:rtl/>
        </w:rPr>
        <w:t>.</w:t>
      </w:r>
      <w:bookmarkStart w:id="1508" w:name="_fnr994"/>
      <w:r>
        <w:rPr>
          <w:rStyle w:val="a5"/>
        </w:rPr>
        <w:footnoteReference w:id="997" w:customMarkFollows="0"/>
      </w:r>
      <w:bookmarkEnd w:id="1508"/>
      <w:r>
        <w:rPr>
          <w:rtl/>
        </w:rPr>
        <w:t xml:space="preserve"> כשתיאר אבי את נסיעתו </w:t>
      </w:r>
      <w:proofErr w:type="spellStart"/>
      <w:r>
        <w:rPr>
          <w:rtl/>
        </w:rPr>
        <w:t>לסלבודקה</w:t>
      </w:r>
      <w:proofErr w:type="spellEnd"/>
      <w:r>
        <w:rPr>
          <w:rtl/>
        </w:rPr>
        <w:t xml:space="preserve"> יחד עם ר׳ אהרן,</w:t>
      </w:r>
      <w:bookmarkStart w:id="1509" w:name="_fnr995"/>
      <w:r>
        <w:rPr>
          <w:rStyle w:val="a5"/>
        </w:rPr>
        <w:footnoteReference w:id="998" w:customMarkFollows="0"/>
      </w:r>
      <w:bookmarkEnd w:id="1509"/>
      <w:r>
        <w:rPr>
          <w:rtl/>
        </w:rPr>
        <w:t xml:space="preserve"> אמר: “לפני השנה שעשה עמי במינסק למד ר׳ אהרן </w:t>
      </w:r>
      <w:proofErr w:type="spellStart"/>
      <w:r>
        <w:rPr>
          <w:rtl/>
        </w:rPr>
        <w:t>בסלבודקה</w:t>
      </w:r>
      <w:proofErr w:type="spellEnd"/>
      <w:r>
        <w:rPr>
          <w:rtl/>
        </w:rPr>
        <w:t xml:space="preserve"> – לא בישיבת הסבא, שאליה נסענו עתה, אלא בישיבה האחרת, אצל ר׳ </w:t>
      </w:r>
      <w:proofErr w:type="spellStart"/>
      <w:r>
        <w:rPr>
          <w:rtl/>
        </w:rPr>
        <w:t>ברוך־בער</w:t>
      </w:r>
      <w:proofErr w:type="spellEnd"/>
      <w:r>
        <w:rPr>
          <w:rtl/>
        </w:rPr>
        <w:t xml:space="preserve">. שם נעשה בר מצווה לפני </w:t>
      </w:r>
      <w:r>
        <w:rPr>
          <w:b/>
          <w:bCs/>
          <w:rtl/>
        </w:rPr>
        <w:t>שבא למינסק</w:t>
      </w:r>
      <w:r>
        <w:rPr>
          <w:rtl/>
        </w:rPr>
        <w:t>”.</w:t>
      </w:r>
    </w:p>
    <w:p w14:paraId="31F072C0" w14:textId="758DD03C" w:rsidR="00AB3647" w:rsidRDefault="00000000" w:rsidP="007923E9">
      <w:pPr>
        <w:spacing w:after="120" w:line="276" w:lineRule="auto"/>
        <w:ind w:firstLine="283"/>
        <w:jc w:val="both"/>
      </w:pPr>
      <w:r>
        <w:rPr>
          <w:rtl/>
        </w:rPr>
        <w:lastRenderedPageBreak/>
        <w:t xml:space="preserve">אבי התכוון לבואו של ר׳ אהרן לעיר כתלמיד מן המניין שם. ר׳ אהרן היה במינסק גם קודם לכן, לפני בר המצווה שלו, ואף פגש את אבי ואת סבתי, כפי שמובא מדברי רבנו בהערה </w:t>
      </w:r>
      <w:r>
        <w:rPr>
          <w:rtl/>
        </w:rPr>
        <w:fldChar w:fldCharType="begin" w:dirty="true"/>
      </w:r>
      <w:r>
        <w:rPr>
          <w:rtl/>
        </w:rPr>
        <w:instrText xml:space="preserve"> REF b2_note68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 xml:space="preserve"> לעיל.</w:t>
      </w:r>
    </w:p>
    <w:p w14:paraId="706EF3AB" w14:textId="77777777" w:rsidR="00AB3647" w:rsidRDefault="00000000" w:rsidP="007923E9">
      <w:pPr>
        <w:spacing w:after="120" w:line="276" w:lineRule="auto"/>
        <w:ind w:firstLine="283"/>
        <w:jc w:val="both"/>
      </w:pPr>
      <w:r>
        <w:rPr>
          <w:rtl/>
        </w:rPr>
        <w:t xml:space="preserve">שהותו של ר׳ אהרן במינסק לפני בר המצווה הייתה קצרה. יש לשער שקרוביו הביאוהו לעיר מתוך כוונה להשאירו שם ולסדר שילמד באחת מן הישיבות הרבות שבה. אבל כששמעו שר׳ </w:t>
      </w:r>
      <w:proofErr w:type="spellStart"/>
      <w:r>
        <w:rPr>
          <w:rtl/>
        </w:rPr>
        <w:t>ברוך־בער</w:t>
      </w:r>
      <w:proofErr w:type="spellEnd"/>
      <w:r>
        <w:rPr>
          <w:rtl/>
        </w:rPr>
        <w:t xml:space="preserve"> </w:t>
      </w:r>
      <w:proofErr w:type="spellStart"/>
      <w:r>
        <w:rPr>
          <w:rtl/>
        </w:rPr>
        <w:t>מהלוסק</w:t>
      </w:r>
      <w:proofErr w:type="spellEnd"/>
      <w:r>
        <w:rPr>
          <w:rtl/>
        </w:rPr>
        <w:t xml:space="preserve"> נתקבל בישיבת כנסת בית יצחק, החליטו לשלוח את הנער </w:t>
      </w:r>
      <w:proofErr w:type="spellStart"/>
      <w:r>
        <w:rPr>
          <w:rtl/>
        </w:rPr>
        <w:t>לסלבודקה</w:t>
      </w:r>
      <w:proofErr w:type="spellEnd"/>
      <w:r>
        <w:rPr>
          <w:rtl/>
        </w:rPr>
        <w:t xml:space="preserve"> במקום זאת, כדי להעמידו תחת השפעת יראת השמים של אותו צדיק.</w:t>
      </w:r>
      <w:bookmarkStart w:id="1510" w:name="_fnr996"/>
      <w:r>
        <w:rPr>
          <w:rStyle w:val="a5"/>
        </w:rPr>
        <w:footnoteReference w:id="999" w:customMarkFollows="0"/>
      </w:r>
      <w:bookmarkEnd w:id="1510"/>
    </w:p>
    <w:p w14:paraId="6B86ED5A" w14:textId="77777777" w:rsidR="00AB3647" w:rsidRDefault="00000000" w:rsidP="007923E9">
      <w:pPr>
        <w:spacing w:after="120" w:line="276" w:lineRule="auto"/>
        <w:ind w:firstLine="283"/>
        <w:jc w:val="both"/>
      </w:pPr>
      <w:r>
        <w:rPr>
          <w:rtl/>
        </w:rPr>
        <w:t xml:space="preserve">אבל לפי הדיווח </w:t>
      </w:r>
      <w:proofErr w:type="spellStart"/>
      <w:r>
        <w:rPr>
          <w:rtl/>
        </w:rPr>
        <w:t>ב“ארחות</w:t>
      </w:r>
      <w:proofErr w:type="spellEnd"/>
      <w:r>
        <w:rPr>
          <w:rtl/>
        </w:rPr>
        <w:t xml:space="preserve"> חסידיך” שיוזכר להלן, נראה שלא נשלח ישר אל ר׳ </w:t>
      </w:r>
      <w:proofErr w:type="spellStart"/>
      <w:r>
        <w:rPr>
          <w:rtl/>
        </w:rPr>
        <w:t>ברוך־בער</w:t>
      </w:r>
      <w:proofErr w:type="spellEnd"/>
      <w:r>
        <w:rPr>
          <w:rtl/>
        </w:rPr>
        <w:t xml:space="preserve"> אלא לישיבה קטנה </w:t>
      </w:r>
      <w:proofErr w:type="spellStart"/>
      <w:r>
        <w:rPr>
          <w:rtl/>
        </w:rPr>
        <w:t>בסלבודקה</w:t>
      </w:r>
      <w:proofErr w:type="spellEnd"/>
      <w:r>
        <w:rPr>
          <w:rtl/>
        </w:rPr>
        <w:t xml:space="preserve">. ואולי באמת נשלח ר׳ אהרן לכנסת בית יצחק ללמוד אצל ר׳ </w:t>
      </w:r>
      <w:proofErr w:type="spellStart"/>
      <w:r>
        <w:rPr>
          <w:rtl/>
        </w:rPr>
        <w:t>ברוך־בער</w:t>
      </w:r>
      <w:proofErr w:type="spellEnd"/>
      <w:r>
        <w:rPr>
          <w:rtl/>
        </w:rPr>
        <w:t xml:space="preserve">, אבל כשהגיע לשם ראתה ההנהלה שעדיין אינו בר מצווה. כנראה היה זה ר׳ משה </w:t>
      </w:r>
      <w:proofErr w:type="spellStart"/>
      <w:r>
        <w:rPr>
          <w:rtl/>
        </w:rPr>
        <w:t>פקרוביץ</w:t>
      </w:r>
      <w:proofErr w:type="spellEnd"/>
      <w:r>
        <w:rPr>
          <w:rtl/>
        </w:rPr>
        <w:t>׳, המשגיח, שבחן את ר׳ אהרן בבואו</w:t>
      </w:r>
      <w:bookmarkStart w:id="1511" w:name="_fnr997"/>
      <w:r>
        <w:rPr>
          <w:rStyle w:val="a5"/>
        </w:rPr>
        <w:footnoteReference w:id="1000" w:customMarkFollows="0"/>
      </w:r>
      <w:bookmarkEnd w:id="1511"/>
      <w:r>
        <w:rPr>
          <w:rtl/>
        </w:rPr>
        <w:t>. לפי השערה זו, הישיבה לא רצתה לקבלו</w:t>
      </w:r>
      <w:bookmarkStart w:id="1512" w:name="_fnr998"/>
      <w:r>
        <w:rPr>
          <w:rStyle w:val="a5"/>
        </w:rPr>
        <w:footnoteReference w:id="1001" w:customMarkFollows="0"/>
      </w:r>
      <w:bookmarkEnd w:id="1512"/>
      <w:r>
        <w:rPr>
          <w:rtl/>
        </w:rPr>
        <w:t xml:space="preserve"> והפנתה אותו לישיבה קטנה </w:t>
      </w:r>
      <w:proofErr w:type="spellStart"/>
      <w:r>
        <w:rPr>
          <w:rtl/>
        </w:rPr>
        <w:t>בסלבודקה</w:t>
      </w:r>
      <w:proofErr w:type="spellEnd"/>
      <w:r>
        <w:rPr>
          <w:rtl/>
        </w:rPr>
        <w:t xml:space="preserve">, ועד מהרה, כשהבינו אנשי הישיבה הקטנה שהוא עילוי, </w:t>
      </w:r>
      <w:r>
        <w:rPr>
          <w:b/>
          <w:bCs/>
          <w:rtl/>
        </w:rPr>
        <w:t>הוחזר</w:t>
      </w:r>
      <w:r>
        <w:rPr>
          <w:rtl/>
        </w:rPr>
        <w:t xml:space="preserve"> לכנסת בית יצחק.</w:t>
      </w:r>
      <w:bookmarkStart w:id="1513" w:name="_fnr999"/>
      <w:r>
        <w:rPr>
          <w:rStyle w:val="a5"/>
        </w:rPr>
        <w:footnoteReference w:id="1002" w:customMarkFollows="0"/>
      </w:r>
      <w:bookmarkEnd w:id="1513"/>
    </w:p>
    <w:p w14:paraId="324C9274" w14:textId="5C7A9078" w:rsidR="00AB3647" w:rsidRDefault="00000000" w:rsidP="007923E9">
      <w:pPr>
        <w:spacing w:after="120" w:line="276" w:lineRule="auto"/>
        <w:ind w:firstLine="283"/>
        <w:jc w:val="both"/>
      </w:pPr>
      <w:r>
        <w:rPr>
          <w:rtl/>
        </w:rPr>
        <w:t>מאחר שהייתה תוכנית שאהרן פינס יישאר במינסק, שהותו שם לא הייתה רק לימי בין הזמנים הקצרים שבין סוף זמן הקיץ (</w:t>
      </w:r>
      <w:proofErr w:type="spellStart"/>
      <w:r>
        <w:rPr>
          <w:rtl/>
        </w:rPr>
        <w:t>בקרינק</w:t>
      </w:r>
      <w:proofErr w:type="spellEnd"/>
      <w:r>
        <w:rPr>
          <w:rtl/>
        </w:rPr>
        <w:t>) לזמן החורף (</w:t>
      </w:r>
      <w:proofErr w:type="spellStart"/>
      <w:r>
        <w:rPr>
          <w:rtl/>
        </w:rPr>
        <w:t>בסלבודקה</w:t>
      </w:r>
      <w:proofErr w:type="spellEnd"/>
      <w:r>
        <w:rPr>
          <w:rtl/>
        </w:rPr>
        <w:t xml:space="preserve">). היא נמשכה זמן ארוך דיו כדי להקיף שלושה מאורעות חשובים בחיי </w:t>
      </w:r>
      <w:r>
        <w:rPr>
          <w:b/>
          <w:bCs/>
          <w:rtl/>
        </w:rPr>
        <w:t>אבי</w:t>
      </w:r>
      <w:r>
        <w:rPr>
          <w:rtl/>
        </w:rPr>
        <w:t xml:space="preserve">: א) מעברו מבית דודו לחזקה בשול </w:t>
      </w:r>
      <w:proofErr w:type="spellStart"/>
      <w:r>
        <w:rPr>
          <w:rtl/>
        </w:rPr>
        <w:t>הקצבים</w:t>
      </w:r>
      <w:bookmarkStart w:id="1514" w:name="_fnr1000"/>
      <w:proofErr w:type="spellEnd"/>
      <w:r>
        <w:rPr>
          <w:rStyle w:val="a5"/>
        </w:rPr>
        <w:footnoteReference w:id="1003" w:customMarkFollows="0"/>
      </w:r>
      <w:bookmarkEnd w:id="1514"/>
      <w:r>
        <w:rPr>
          <w:rtl/>
        </w:rPr>
        <w:t xml:space="preserve"> – מן הסתם בגלל מה שסיפר לו ר׳ אהרן על מצבו שלו, כמשוער בהערה </w:t>
      </w:r>
      <w:r>
        <w:rPr>
          <w:rtl/>
        </w:rPr>
        <w:fldChar w:fldCharType="begin" w:dirty="true"/>
      </w:r>
      <w:r>
        <w:rPr>
          <w:rtl/>
        </w:rPr>
        <w:instrText xml:space="preserve"> REF b2_note60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60</w:t>
      </w:r>
      <w:r>
        <w:rPr>
          <w:rtl/>
        </w:rPr>
        <w:fldChar w:fldCharType="end"/>
      </w:r>
      <w:r>
        <w:rPr>
          <w:rtl/>
        </w:rPr>
        <w:t xml:space="preserve"> לעיל; ב) הינצלותו כחוט השערה מן השריפה שכילתה את כלי מיטתו אחרי שעבר לשול </w:t>
      </w:r>
      <w:proofErr w:type="spellStart"/>
      <w:r>
        <w:rPr>
          <w:rtl/>
        </w:rPr>
        <w:t>הקצבים</w:t>
      </w:r>
      <w:proofErr w:type="spellEnd"/>
      <w:r>
        <w:rPr>
          <w:rtl/>
        </w:rPr>
        <w:t xml:space="preserve">; ג) מעבר הוריו </w:t>
      </w:r>
      <w:proofErr w:type="spellStart"/>
      <w:r>
        <w:rPr>
          <w:rtl/>
        </w:rPr>
        <w:t>מדולהינוב</w:t>
      </w:r>
      <w:proofErr w:type="spellEnd"/>
      <w:r>
        <w:rPr>
          <w:rtl/>
        </w:rPr>
        <w:t xml:space="preserve"> למינסק. נמצא שאפשר ששהה ר׳ אהרן במינסק עד חודשיים, ואחר כך נסע </w:t>
      </w:r>
      <w:proofErr w:type="spellStart"/>
      <w:r>
        <w:rPr>
          <w:rtl/>
        </w:rPr>
        <w:t>לסלבודקה</w:t>
      </w:r>
      <w:proofErr w:type="spellEnd"/>
      <w:r>
        <w:rPr>
          <w:rtl/>
        </w:rPr>
        <w:t xml:space="preserve"> ללמוד אצל ר׳ </w:t>
      </w:r>
      <w:proofErr w:type="spellStart"/>
      <w:r>
        <w:rPr>
          <w:rtl/>
        </w:rPr>
        <w:t>ברוך־בער</w:t>
      </w:r>
      <w:proofErr w:type="spellEnd"/>
      <w:r>
        <w:rPr>
          <w:rtl/>
        </w:rPr>
        <w:t>.</w:t>
      </w:r>
    </w:p>
    <w:p w14:paraId="3E9B3040" w14:textId="77777777" w:rsidR="00AB3647" w:rsidRDefault="00000000" w:rsidP="007923E9">
      <w:pPr>
        <w:spacing w:after="120" w:line="276" w:lineRule="auto"/>
        <w:ind w:firstLine="283"/>
        <w:jc w:val="both"/>
      </w:pPr>
      <w:r>
        <w:rPr>
          <w:rtl/>
        </w:rPr>
        <w:t xml:space="preserve">לפי הגילוי האמור, את תקופת שלושים ושניים החודשים – מן הזמן שהתייתם ר׳ אהרן, בגיל </w:t>
      </w:r>
      <w:proofErr w:type="spellStart"/>
      <w:r>
        <w:rPr>
          <w:rtl/>
        </w:rPr>
        <w:t>אחת־עשרה</w:t>
      </w:r>
      <w:proofErr w:type="spellEnd"/>
      <w:r>
        <w:rPr>
          <w:rtl/>
        </w:rPr>
        <w:t xml:space="preserve"> ושמונה חודשים, עד שהצטרף לכנסת ישראל, בגיל </w:t>
      </w:r>
      <w:proofErr w:type="spellStart"/>
      <w:r>
        <w:rPr>
          <w:rtl/>
        </w:rPr>
        <w:t>ארבע־עשרה</w:t>
      </w:r>
      <w:proofErr w:type="spellEnd"/>
      <w:r>
        <w:rPr>
          <w:rtl/>
        </w:rPr>
        <w:t xml:space="preserve"> וארבעה חודשים – יש לחלק כך: בחודשיים הראשונים אחרי פטירת אביו בקיץ תרס״ג נשאר בבית, </w:t>
      </w:r>
      <w:proofErr w:type="spellStart"/>
      <w:r>
        <w:rPr>
          <w:rtl/>
        </w:rPr>
        <w:t>ולקרינק</w:t>
      </w:r>
      <w:proofErr w:type="spellEnd"/>
      <w:r>
        <w:rPr>
          <w:rtl/>
        </w:rPr>
        <w:t xml:space="preserve"> יצא אחרי החגים, בתחילת זמן החורף תרס״ד, כשישיבתו של ר׳ </w:t>
      </w:r>
      <w:proofErr w:type="spellStart"/>
      <w:r>
        <w:rPr>
          <w:rtl/>
        </w:rPr>
        <w:t>זלמן־סנדר</w:t>
      </w:r>
      <w:proofErr w:type="spellEnd"/>
      <w:r>
        <w:rPr>
          <w:rtl/>
        </w:rPr>
        <w:t xml:space="preserve"> כבר פעלה </w:t>
      </w:r>
      <w:proofErr w:type="spellStart"/>
      <w:r>
        <w:rPr>
          <w:rtl/>
        </w:rPr>
        <w:t>בקרינק</w:t>
      </w:r>
      <w:proofErr w:type="spellEnd"/>
      <w:r>
        <w:rPr>
          <w:rtl/>
        </w:rPr>
        <w:t xml:space="preserve"> זמן אחד. את </w:t>
      </w:r>
      <w:proofErr w:type="spellStart"/>
      <w:r>
        <w:rPr>
          <w:rtl/>
        </w:rPr>
        <w:t>שנים־עשר</w:t>
      </w:r>
      <w:proofErr w:type="spellEnd"/>
      <w:r>
        <w:rPr>
          <w:rtl/>
        </w:rPr>
        <w:t xml:space="preserve"> החודשים האחרונים (מתוך שלושים ושניים החודשים) עשה בשול </w:t>
      </w:r>
      <w:proofErr w:type="spellStart"/>
      <w:r>
        <w:rPr>
          <w:rtl/>
        </w:rPr>
        <w:t>הקצבים</w:t>
      </w:r>
      <w:proofErr w:type="spellEnd"/>
      <w:r>
        <w:rPr>
          <w:rtl/>
        </w:rPr>
        <w:t xml:space="preserve"> במינסק. </w:t>
      </w:r>
      <w:proofErr w:type="spellStart"/>
      <w:r>
        <w:rPr>
          <w:rtl/>
        </w:rPr>
        <w:t>ושמונה־עשר</w:t>
      </w:r>
      <w:proofErr w:type="spellEnd"/>
      <w:r>
        <w:rPr>
          <w:rtl/>
        </w:rPr>
        <w:t xml:space="preserve"> החודשים שביניהם, שהם שלושה זמני ישיבה, נחלקו בין </w:t>
      </w:r>
      <w:proofErr w:type="spellStart"/>
      <w:r>
        <w:rPr>
          <w:rtl/>
        </w:rPr>
        <w:t>קרינק</w:t>
      </w:r>
      <w:proofErr w:type="spellEnd"/>
      <w:r>
        <w:rPr>
          <w:rtl/>
        </w:rPr>
        <w:t xml:space="preserve"> לכנסת בית יצחק.</w:t>
      </w:r>
    </w:p>
    <w:p w14:paraId="6296E55C" w14:textId="77777777" w:rsidR="00AB3647" w:rsidRDefault="00000000" w:rsidP="007923E9">
      <w:pPr>
        <w:spacing w:after="120" w:line="276" w:lineRule="auto"/>
        <w:ind w:firstLine="283"/>
        <w:jc w:val="both"/>
      </w:pPr>
      <w:r>
        <w:rPr>
          <w:rtl/>
        </w:rPr>
        <w:t xml:space="preserve">המסורת המשפחתית </w:t>
      </w:r>
      <w:proofErr w:type="spellStart"/>
      <w:r>
        <w:rPr>
          <w:rtl/>
        </w:rPr>
        <w:t>שב“אוסף</w:t>
      </w:r>
      <w:proofErr w:type="spellEnd"/>
      <w:r>
        <w:rPr>
          <w:rtl/>
        </w:rPr>
        <w:t xml:space="preserve"> חידושי תורה ממרן </w:t>
      </w:r>
      <w:proofErr w:type="spellStart"/>
      <w:r>
        <w:rPr>
          <w:rtl/>
        </w:rPr>
        <w:t>הגר״א</w:t>
      </w:r>
      <w:proofErr w:type="spellEnd"/>
      <w:r>
        <w:rPr>
          <w:rtl/>
        </w:rPr>
        <w:t xml:space="preserve"> קוטלר” מייחסת לשהותו של ר׳ אהרן </w:t>
      </w:r>
      <w:proofErr w:type="spellStart"/>
      <w:r>
        <w:rPr>
          <w:rtl/>
        </w:rPr>
        <w:t>בקרינק</w:t>
      </w:r>
      <w:proofErr w:type="spellEnd"/>
      <w:r>
        <w:rPr>
          <w:rtl/>
        </w:rPr>
        <w:t xml:space="preserve"> “כשנתיים ימים” – וזו, כפי שהוכח, הגזמה. אבל מסתבר שר׳ אהרן עשה </w:t>
      </w:r>
      <w:proofErr w:type="spellStart"/>
      <w:r>
        <w:rPr>
          <w:rtl/>
        </w:rPr>
        <w:lastRenderedPageBreak/>
        <w:t>בקרינק</w:t>
      </w:r>
      <w:proofErr w:type="spellEnd"/>
      <w:r>
        <w:rPr>
          <w:rtl/>
        </w:rPr>
        <w:t xml:space="preserve"> את </w:t>
      </w:r>
      <w:r>
        <w:rPr>
          <w:b/>
          <w:bCs/>
          <w:rtl/>
        </w:rPr>
        <w:t>רוב</w:t>
      </w:r>
      <w:r>
        <w:rPr>
          <w:rtl/>
        </w:rPr>
        <w:t xml:space="preserve"> שלושת הזמנים, כלומר שני זמנים, ואת הזמן האחד הנותר אצל ר׳ </w:t>
      </w:r>
      <w:proofErr w:type="spellStart"/>
      <w:r>
        <w:rPr>
          <w:rtl/>
        </w:rPr>
        <w:t>ברוך־בער</w:t>
      </w:r>
      <w:proofErr w:type="spellEnd"/>
      <w:r>
        <w:rPr>
          <w:rtl/>
        </w:rPr>
        <w:t>.</w:t>
      </w:r>
      <w:bookmarkStart w:id="1515" w:name="_fnr1001"/>
      <w:r>
        <w:rPr>
          <w:rStyle w:val="a5"/>
        </w:rPr>
        <w:footnoteReference w:id="1004" w:customMarkFollows="0"/>
      </w:r>
      <w:bookmarkEnd w:id="1515"/>
      <w:r>
        <w:rPr>
          <w:rtl/>
        </w:rPr>
        <w:t xml:space="preserve"> הסיפור </w:t>
      </w:r>
      <w:proofErr w:type="spellStart"/>
      <w:r>
        <w:rPr>
          <w:rtl/>
        </w:rPr>
        <w:t>ב“ארחות</w:t>
      </w:r>
      <w:proofErr w:type="spellEnd"/>
      <w:r>
        <w:rPr>
          <w:rtl/>
        </w:rPr>
        <w:t xml:space="preserve"> חסידיך”,</w:t>
      </w:r>
      <w:bookmarkStart w:id="1516" w:name="_fnr1002"/>
      <w:r>
        <w:rPr>
          <w:rStyle w:val="a5"/>
        </w:rPr>
        <w:footnoteReference w:id="1005" w:customMarkFollows="0"/>
      </w:r>
      <w:bookmarkEnd w:id="1516"/>
      <w:r>
        <w:rPr>
          <w:rtl/>
        </w:rPr>
        <w:t xml:space="preserve"> שר׳ אהרן בא לישיבה קטנה </w:t>
      </w:r>
      <w:proofErr w:type="spellStart"/>
      <w:r>
        <w:rPr>
          <w:rtl/>
        </w:rPr>
        <w:t>בסלבודקה</w:t>
      </w:r>
      <w:proofErr w:type="spellEnd"/>
      <w:r>
        <w:rPr>
          <w:rtl/>
        </w:rPr>
        <w:t xml:space="preserve"> “בגיל בר מצווה”, ומהר מאוד הכירו בו שראוי הוא לישיבה גדולה והעלוהו, ודאי אינו נכון לגבי נסיעתו </w:t>
      </w:r>
      <w:proofErr w:type="spellStart"/>
      <w:r>
        <w:rPr>
          <w:rtl/>
        </w:rPr>
        <w:t>לסלבודקה</w:t>
      </w:r>
      <w:proofErr w:type="spellEnd"/>
      <w:r>
        <w:rPr>
          <w:rtl/>
        </w:rPr>
        <w:t xml:space="preserve"> יחד עם אבי, שהרי באותה שעה לא היה ספק שילך לישיבה גדולה. המעשה אירע בשהותו הראשונה בעיר </w:t>
      </w:r>
      <w:proofErr w:type="spellStart"/>
      <w:r>
        <w:rPr>
          <w:rtl/>
        </w:rPr>
        <w:t>סלבודקה</w:t>
      </w:r>
      <w:proofErr w:type="spellEnd"/>
      <w:r>
        <w:rPr>
          <w:rtl/>
        </w:rPr>
        <w:t xml:space="preserve">, לפני בר המצווה, </w:t>
      </w:r>
      <w:proofErr w:type="spellStart"/>
      <w:r>
        <w:rPr>
          <w:rtl/>
        </w:rPr>
        <w:t>וה“ישיבה</w:t>
      </w:r>
      <w:proofErr w:type="spellEnd"/>
      <w:r>
        <w:rPr>
          <w:rtl/>
        </w:rPr>
        <w:t xml:space="preserve"> הגדולה” שאליה הועלה לא הייתה אלא כנסת בית יצחק.</w:t>
      </w:r>
      <w:bookmarkStart w:id="1517" w:name="_fnr1003"/>
      <w:r>
        <w:rPr>
          <w:rStyle w:val="a5"/>
        </w:rPr>
        <w:footnoteReference w:id="1006" w:customMarkFollows="0"/>
      </w:r>
      <w:bookmarkEnd w:id="1517"/>
    </w:p>
    <w:p w14:paraId="51E9D9A8" w14:textId="65054367" w:rsidR="00AB3647" w:rsidRDefault="00000000" w:rsidP="007923E9">
      <w:pPr>
        <w:spacing w:after="120" w:line="276" w:lineRule="auto"/>
        <w:ind w:firstLine="283"/>
        <w:jc w:val="both"/>
      </w:pPr>
      <w:proofErr w:type="spellStart"/>
      <w:r>
        <w:rPr>
          <w:rtl/>
        </w:rPr>
        <w:t>משמונה־עשר</w:t>
      </w:r>
      <w:proofErr w:type="spellEnd"/>
      <w:r>
        <w:rPr>
          <w:rtl/>
        </w:rPr>
        <w:t xml:space="preserve"> החודשים שבאמצע יש לנכות את הזמן שעשה במינסק </w:t>
      </w:r>
      <w:r>
        <w:rPr>
          <w:b/>
          <w:bCs/>
          <w:rtl/>
        </w:rPr>
        <w:t xml:space="preserve">בין שהותו </w:t>
      </w:r>
      <w:proofErr w:type="spellStart"/>
      <w:r>
        <w:rPr>
          <w:b/>
          <w:bCs/>
          <w:rtl/>
        </w:rPr>
        <w:t>בקרינק</w:t>
      </w:r>
      <w:proofErr w:type="spellEnd"/>
      <w:r>
        <w:rPr>
          <w:b/>
          <w:bCs/>
          <w:rtl/>
        </w:rPr>
        <w:t xml:space="preserve"> לשהותו בכנסת בית יצחק</w:t>
      </w:r>
      <w:r>
        <w:rPr>
          <w:rtl/>
        </w:rPr>
        <w:t xml:space="preserve">, כאמור לעיל – כנראה כחודשיים. אין עדות ישירה מדוע חזר ר׳ אהרן למינסק מכנסת בית יצחק.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מוצע טעם, ואפשר לצרפו למה שמסר ר׳ </w:t>
      </w:r>
      <w:proofErr w:type="spellStart"/>
      <w:r>
        <w:rPr>
          <w:rtl/>
        </w:rPr>
        <w:t>יעקב־אליעזר</w:t>
      </w:r>
      <w:proofErr w:type="spellEnd"/>
      <w:r>
        <w:rPr>
          <w:rtl/>
        </w:rPr>
        <w:t xml:space="preserve"> שוורצמן ממסורת משפחתית, כמובא בהערה 85 בפרק זה.</w:t>
      </w:r>
      <w:bookmarkStart w:id="1518" w:name="_fnr1004"/>
      <w:r>
        <w:rPr>
          <w:rStyle w:val="a5"/>
        </w:rPr>
        <w:footnoteReference w:id="1007" w:customMarkFollows="0"/>
      </w:r>
      <w:bookmarkEnd w:id="1518"/>
    </w:p>
    <w:p w14:paraId="134FD6B4" w14:textId="77777777" w:rsidR="00AB3647" w:rsidRDefault="00000000" w:rsidP="007923E9">
      <w:pPr>
        <w:spacing w:after="120" w:line="276" w:lineRule="auto"/>
        <w:ind w:firstLine="283"/>
        <w:jc w:val="both"/>
      </w:pPr>
      <w:r>
        <w:rPr>
          <w:rtl/>
        </w:rPr>
        <w:t xml:space="preserve">שהותו של ר׳ אהרן בכנסת בית יצחק לא נמשכה זמן ארוך דיו כדי להשביע את רצונו של ר׳ </w:t>
      </w:r>
      <w:proofErr w:type="spellStart"/>
      <w:r>
        <w:rPr>
          <w:rtl/>
        </w:rPr>
        <w:t>ברוך־בער</w:t>
      </w:r>
      <w:proofErr w:type="spellEnd"/>
      <w:r>
        <w:rPr>
          <w:rtl/>
        </w:rPr>
        <w:t xml:space="preserve">. לפי ר׳ חיים </w:t>
      </w:r>
      <w:proofErr w:type="spellStart"/>
      <w:r>
        <w:rPr>
          <w:rtl/>
        </w:rPr>
        <w:t>צימבליסט</w:t>
      </w:r>
      <w:proofErr w:type="spellEnd"/>
      <w:r>
        <w:rPr>
          <w:rtl/>
        </w:rPr>
        <w:t>,</w:t>
      </w:r>
      <w:bookmarkStart w:id="1519" w:name="_fnr1005"/>
      <w:r>
        <w:rPr>
          <w:rStyle w:val="a5"/>
        </w:rPr>
        <w:footnoteReference w:id="1008" w:customMarkFollows="0"/>
      </w:r>
      <w:bookmarkEnd w:id="1519"/>
      <w:r>
        <w:rPr>
          <w:rtl/>
        </w:rPr>
        <w:t xml:space="preserve"> הסתייג ר׳ </w:t>
      </w:r>
      <w:proofErr w:type="spellStart"/>
      <w:r>
        <w:rPr>
          <w:rtl/>
        </w:rPr>
        <w:t>ברוך־בער</w:t>
      </w:r>
      <w:proofErr w:type="spellEnd"/>
      <w:r>
        <w:rPr>
          <w:rtl/>
        </w:rPr>
        <w:t xml:space="preserve"> במידת מה מדרך לימודו של ר׳ אהרן, ואמר: “מעט [</w:t>
      </w:r>
      <w:proofErr w:type="spellStart"/>
      <w:r>
        <w:rPr>
          <w:rtl/>
        </w:rPr>
        <w:t>ווינציג</w:t>
      </w:r>
      <w:proofErr w:type="spellEnd"/>
      <w:r>
        <w:rPr>
          <w:rtl/>
        </w:rPr>
        <w:t xml:space="preserve">] למד אצלי”. בזמן שלמד בכנסת בית יצחק הכיר ר׳ אהרן את תלמידו המפורסם של הסבא, הגאון הנודע ר׳ </w:t>
      </w:r>
      <w:proofErr w:type="spellStart"/>
      <w:r>
        <w:rPr>
          <w:rtl/>
        </w:rPr>
        <w:t>יחיאל־יעקב</w:t>
      </w:r>
      <w:proofErr w:type="spellEnd"/>
      <w:r>
        <w:rPr>
          <w:rtl/>
        </w:rPr>
        <w:t xml:space="preserve"> ויינברג,</w:t>
      </w:r>
      <w:bookmarkStart w:id="1520" w:name="_fnr1006"/>
      <w:r>
        <w:rPr>
          <w:rStyle w:val="a5"/>
        </w:rPr>
        <w:footnoteReference w:id="1009" w:customMarkFollows="0"/>
      </w:r>
      <w:bookmarkEnd w:id="1520"/>
      <w:r>
        <w:rPr>
          <w:rtl/>
        </w:rPr>
        <w:t xml:space="preserve"> שלמד בישיבה האחרת </w:t>
      </w:r>
      <w:proofErr w:type="spellStart"/>
      <w:r>
        <w:rPr>
          <w:rtl/>
        </w:rPr>
        <w:t>שבסלבודקה</w:t>
      </w:r>
      <w:proofErr w:type="spellEnd"/>
      <w:r>
        <w:rPr>
          <w:rtl/>
        </w:rPr>
        <w:t>, כנסת ישראל. אף שהיה צעיר לימים, כבר נדד אהרן פינס ממוסד תורה גדול אחד שבעיר לחברו בבקשת אתגרים בתורה – כדרכו בתקופה מאוחרת יותר בחייו, כשלמד בכנסת ישראל יחד עם רבנו.</w:t>
      </w:r>
    </w:p>
    <w:p w14:paraId="78EC749B" w14:textId="77777777" w:rsidR="00AB3647" w:rsidRDefault="00000000" w:rsidP="007923E9">
      <w:pPr>
        <w:spacing w:after="120" w:line="276" w:lineRule="auto"/>
        <w:ind w:firstLine="283"/>
        <w:jc w:val="both"/>
      </w:pPr>
      <w:r>
        <w:rPr>
          <w:rtl/>
        </w:rPr>
        <w:t xml:space="preserve">ר׳ אהרן ניצל, בלי שידע, את הזמן האחרון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לפני שנסע </w:t>
      </w:r>
      <w:proofErr w:type="spellStart"/>
      <w:r>
        <w:rPr>
          <w:rtl/>
        </w:rPr>
        <w:t>למיר</w:t>
      </w:r>
      <w:proofErr w:type="spellEnd"/>
      <w:r>
        <w:rPr>
          <w:rtl/>
        </w:rPr>
        <w:t>,</w:t>
      </w:r>
      <w:bookmarkStart w:id="1521" w:name="_fnr1007"/>
      <w:r>
        <w:rPr>
          <w:rStyle w:val="a5"/>
        </w:rPr>
        <w:footnoteReference w:id="1010" w:customMarkFollows="0"/>
      </w:r>
      <w:bookmarkEnd w:id="1521"/>
      <w:r>
        <w:rPr>
          <w:rtl/>
        </w:rPr>
        <w:t xml:space="preserve"> כדי לקשור עמו היכרות שנמשכה כל ימי חייו. היה זה בחורף תרס״ה, כשנעשה ר׳ אהרן בר מצווה. על פגישתו עם ר׳ אהרן, הצעיר ממנו בשבע שנים, ועל “דיבורו בלימוד” עמו בזמן ההוא, היה ר׳ </w:t>
      </w:r>
      <w:proofErr w:type="spellStart"/>
      <w:r>
        <w:rPr>
          <w:rtl/>
        </w:rPr>
        <w:t>יחיאל־יעקב</w:t>
      </w:r>
      <w:proofErr w:type="spellEnd"/>
      <w:r>
        <w:rPr>
          <w:rtl/>
        </w:rPr>
        <w:t xml:space="preserve"> נהנה לומר:</w:t>
      </w:r>
      <w:bookmarkStart w:id="1522" w:name="_fnr1008"/>
      <w:r>
        <w:rPr>
          <w:rStyle w:val="a5"/>
        </w:rPr>
        <w:footnoteReference w:id="1011" w:customMarkFollows="0"/>
      </w:r>
      <w:bookmarkEnd w:id="1522"/>
      <w:r>
        <w:rPr>
          <w:rtl/>
        </w:rPr>
        <w:t xml:space="preserve"> “ר׳ אהרן קוטלר היה אחד מבחורי”.</w:t>
      </w:r>
    </w:p>
    <w:p w14:paraId="22424783" w14:textId="77777777" w:rsidR="00AB3647" w:rsidRDefault="00000000" w:rsidP="007923E9">
      <w:pPr>
        <w:spacing w:after="120" w:line="276" w:lineRule="auto"/>
        <w:ind w:firstLine="283"/>
        <w:jc w:val="both"/>
      </w:pPr>
      <w:r>
        <w:rPr>
          <w:rtl/>
        </w:rPr>
        <w:lastRenderedPageBreak/>
        <w:t xml:space="preserve">ר׳ גרשון </w:t>
      </w:r>
      <w:proofErr w:type="spellStart"/>
      <w:r>
        <w:rPr>
          <w:rtl/>
        </w:rPr>
        <w:t>קרויזר</w:t>
      </w:r>
      <w:bookmarkStart w:id="1523" w:name="_fnr1009"/>
      <w:proofErr w:type="spellEnd"/>
      <w:r>
        <w:rPr>
          <w:rStyle w:val="a5"/>
        </w:rPr>
        <w:footnoteReference w:id="1012" w:customMarkFollows="0"/>
      </w:r>
      <w:bookmarkEnd w:id="1523"/>
      <w:r>
        <w:rPr>
          <w:rtl/>
        </w:rPr>
        <w:t xml:space="preserve"> למד אצל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שבשווייץ בין קיץ תשט״ו לקיץ תשי״ז. לדבריו, אחרי המלחמה – לאחר שניצל מגטו ורשה ומן השבי שאחריו במחנה ריכוז סמוך לנירנברג – נמצא רבו אבוד בגרמניה. מצא אותו הרב הצבאי של צבא ארצות הברית, ר׳ אלכסנדר רוזנברג (מנהל מחלקת הכשרות של ה-OU). הרב רוזנברג סיפר </w:t>
      </w:r>
      <w:proofErr w:type="spellStart"/>
      <w:r>
        <w:rPr>
          <w:rtl/>
        </w:rPr>
        <w:t>לר</w:t>
      </w:r>
      <w:proofErr w:type="spellEnd"/>
      <w:r>
        <w:rPr>
          <w:rtl/>
        </w:rPr>
        <w:t xml:space="preserve">׳ אהרן קוטלר את מי מצא, והרב קוטלר דאג שהתלמיד חכם החולה והבודד יקבל טיפול רפואי. שלוש שנים עברו עד שהבריא ר׳ </w:t>
      </w:r>
      <w:proofErr w:type="spellStart"/>
      <w:r>
        <w:rPr>
          <w:rtl/>
        </w:rPr>
        <w:t>יחיאל־יעקב</w:t>
      </w:r>
      <w:proofErr w:type="spellEnd"/>
      <w:r>
        <w:rPr>
          <w:rtl/>
        </w:rPr>
        <w:t xml:space="preserve">, ואחר כך השתקע בשווייץ </w:t>
      </w:r>
      <w:proofErr w:type="spellStart"/>
      <w:r>
        <w:rPr>
          <w:rtl/>
        </w:rPr>
        <w:t>לשמונה־עשרה</w:t>
      </w:r>
      <w:proofErr w:type="spellEnd"/>
      <w:r>
        <w:rPr>
          <w:rtl/>
        </w:rPr>
        <w:t xml:space="preserve"> שנותיו האחרונות.</w:t>
      </w:r>
    </w:p>
    <w:p w14:paraId="63BE20F6" w14:textId="77777777" w:rsidR="00AB3647" w:rsidRDefault="00000000" w:rsidP="007923E9">
      <w:pPr>
        <w:spacing w:after="120" w:line="276" w:lineRule="auto"/>
        <w:ind w:firstLine="283"/>
        <w:jc w:val="both"/>
      </w:pPr>
      <w:r>
        <w:rPr>
          <w:rtl/>
        </w:rPr>
        <w:t xml:space="preserve">תלמיד של ר׳ אהרן ששהה יומיים עם ר׳ </w:t>
      </w:r>
      <w:proofErr w:type="spellStart"/>
      <w:r>
        <w:rPr>
          <w:rtl/>
        </w:rPr>
        <w:t>יחיאל־יעקב</w:t>
      </w:r>
      <w:proofErr w:type="spellEnd"/>
      <w:r>
        <w:rPr>
          <w:rtl/>
        </w:rPr>
        <w:t xml:space="preserve"> ויינברג </w:t>
      </w:r>
      <w:proofErr w:type="spellStart"/>
      <w:r>
        <w:rPr>
          <w:rtl/>
        </w:rPr>
        <w:t>במונטרה</w:t>
      </w:r>
      <w:proofErr w:type="spellEnd"/>
      <w:r>
        <w:rPr>
          <w:rtl/>
        </w:rPr>
        <w:t xml:space="preserve"> סיפר שר׳ אהרן היה חייב חוב תודה מיוחד </w:t>
      </w:r>
      <w:proofErr w:type="spellStart"/>
      <w:r>
        <w:rPr>
          <w:rtl/>
        </w:rPr>
        <w:t>לר</w:t>
      </w:r>
      <w:proofErr w:type="spellEnd"/>
      <w:r>
        <w:rPr>
          <w:rtl/>
        </w:rPr>
        <w:t xml:space="preserve">׳ </w:t>
      </w:r>
      <w:proofErr w:type="spellStart"/>
      <w:r>
        <w:rPr>
          <w:rtl/>
        </w:rPr>
        <w:t>יחיאל־יעקב</w:t>
      </w:r>
      <w:proofErr w:type="spellEnd"/>
      <w:r>
        <w:rPr>
          <w:rtl/>
        </w:rPr>
        <w:t xml:space="preserve">, משום שהלה היה עוזר לו לגייס כספים לישיבתו </w:t>
      </w:r>
      <w:proofErr w:type="spellStart"/>
      <w:r>
        <w:rPr>
          <w:rtl/>
        </w:rPr>
        <w:t>בקלצק</w:t>
      </w:r>
      <w:proofErr w:type="spellEnd"/>
      <w:r>
        <w:rPr>
          <w:rtl/>
        </w:rPr>
        <w:t xml:space="preserve">, בברלין שלפני מלחמת העולם השנייה. ר׳ </w:t>
      </w:r>
      <w:proofErr w:type="spellStart"/>
      <w:r>
        <w:rPr>
          <w:rtl/>
        </w:rPr>
        <w:t>יחיאל־יעקב</w:t>
      </w:r>
      <w:proofErr w:type="spellEnd"/>
      <w:r>
        <w:rPr>
          <w:rtl/>
        </w:rPr>
        <w:t xml:space="preserve"> ויינברג ישב בברלין מאז פרוץ מלחמת העולם הראשונה, ובחורף תרפ״ה נתמנה למשרה בבית המדרש לרבנים שם.</w:t>
      </w:r>
    </w:p>
    <w:bookmarkStart w:id="1524" w:name="b2_excE"/>
    <w:p w14:paraId="10037C4D" w14:textId="77777777" w:rsidR="00AB3647" w:rsidRDefault="00000000" w:rsidP="007923E9">
      <w:pPr>
        <w:pStyle w:val="3"/>
        <w:spacing w:line="276" w:lineRule="auto"/>
      </w:pPr>
      <w:r>
        <w:lastRenderedPageBreak/>
        <w:fldChar w:fldCharType="begin" w:dirty="true"/>
      </w:r>
      <w:r>
        <w:rPr>
          <w:rtl w:val="0"/>
        </w:rPr>
        <w:instrText>HYPERLINK \l "b2_note79</w:instrText>
      </w:r>
      <w:r>
        <w:instrText>"</w:instrText>
      </w:r>
      <w:r>
        <w:fldChar w:fldCharType="separate"/>
      </w:r>
      <w:r>
        <w:t>נספח ה</w:t>
      </w:r>
      <w:r>
        <w:fldChar w:fldCharType="end"/>
      </w:r>
      <w:bookmarkEnd w:id="1524"/>
    </w:p>
    <w:p w14:paraId="70C43DE8" w14:textId="77777777" w:rsidR="00AB3647" w:rsidRDefault="00000000" w:rsidP="007923E9">
      <w:pPr>
        <w:pStyle w:val="af"/>
        <w:spacing w:line="276" w:lineRule="auto"/>
      </w:pPr>
      <w:r>
        <w:t>על הצימאון לידיעות כלליות שגילו תלמידי ישיבה צעירים</w:t>
      </w:r>
    </w:p>
    <w:p w14:paraId="3387E65E" w14:textId="77777777" w:rsidR="00AB3647" w:rsidRDefault="00000000" w:rsidP="007923E9">
      <w:pPr>
        <w:pStyle w:val="4"/>
        <w:spacing w:line="276" w:lineRule="auto"/>
      </w:pPr>
      <w:r>
        <w:t>· הפסקה הראשונה ·</w:t>
      </w:r>
    </w:p>
    <w:p w14:paraId="7F9D6C00" w14:textId="77777777" w:rsidR="00AB3647" w:rsidRDefault="00000000" w:rsidP="007923E9">
      <w:pPr>
        <w:pStyle w:val="5"/>
        <w:spacing w:line="276" w:lineRule="auto"/>
      </w:pPr>
      <w:r>
        <w:t>ר׳ אהרן מקבל קצבה</w:t>
      </w:r>
    </w:p>
    <w:p w14:paraId="5545439F" w14:textId="77777777" w:rsidR="00AB3647" w:rsidRDefault="00000000" w:rsidP="007923E9">
      <w:pPr>
        <w:spacing w:after="120" w:line="276" w:lineRule="auto"/>
        <w:ind w:firstLine="283"/>
        <w:jc w:val="both"/>
      </w:pPr>
      <w:r>
        <w:rPr>
          <w:rtl/>
        </w:rPr>
        <w:t xml:space="preserve">משנודע ר׳ אהרן כעילוי – וגם יתום – קיבל משול </w:t>
      </w:r>
      <w:proofErr w:type="spellStart"/>
      <w:r>
        <w:rPr>
          <w:rtl/>
        </w:rPr>
        <w:t>הקצבים</w:t>
      </w:r>
      <w:proofErr w:type="spellEnd"/>
      <w:r>
        <w:rPr>
          <w:rtl/>
        </w:rPr>
        <w:t xml:space="preserve"> קצבה חודשית של חמישה רובל, במקום שני הרובל המקובלים או השלושה שניתנו לבחורים מצטיינים.</w:t>
      </w:r>
      <w:bookmarkStart w:id="1525" w:name="_fnr1010"/>
      <w:r>
        <w:rPr>
          <w:rStyle w:val="a5"/>
        </w:rPr>
        <w:footnoteReference w:id="1013" w:customMarkFollows="0"/>
      </w:r>
      <w:bookmarkEnd w:id="1525"/>
      <w:r>
        <w:rPr>
          <w:rtl/>
        </w:rPr>
        <w:t xml:space="preserve"> “מגד גבעות עולם” </w:t>
      </w:r>
      <w:proofErr w:type="spellStart"/>
      <w:r>
        <w:rPr>
          <w:rtl/>
        </w:rPr>
        <w:t>להרב</w:t>
      </w:r>
      <w:proofErr w:type="spellEnd"/>
      <w:r>
        <w:rPr>
          <w:rtl/>
        </w:rPr>
        <w:t xml:space="preserve"> מיכל זלמן </w:t>
      </w:r>
      <w:proofErr w:type="spellStart"/>
      <w:r>
        <w:rPr>
          <w:rtl/>
        </w:rPr>
        <w:t>שורקין</w:t>
      </w:r>
      <w:bookmarkStart w:id="1526" w:name="_fnr1011"/>
      <w:proofErr w:type="spellEnd"/>
      <w:r>
        <w:rPr>
          <w:rStyle w:val="a5"/>
        </w:rPr>
        <w:footnoteReference w:id="1014" w:customMarkFollows="0"/>
      </w:r>
      <w:bookmarkEnd w:id="1526"/>
      <w:r>
        <w:rPr>
          <w:rtl/>
        </w:rPr>
        <w:t xml:space="preserve"> מביא בשם ר׳ שמואל וילנסקי (</w:t>
      </w:r>
      <w:proofErr w:type="spellStart"/>
      <w:r>
        <w:rPr>
          <w:rtl/>
        </w:rPr>
        <w:t>חרקובר</w:t>
      </w:r>
      <w:proofErr w:type="spellEnd"/>
      <w:r>
        <w:rPr>
          <w:rtl/>
        </w:rPr>
        <w:t xml:space="preserve">) שבגיל </w:t>
      </w:r>
      <w:proofErr w:type="spellStart"/>
      <w:r>
        <w:rPr>
          <w:rtl/>
        </w:rPr>
        <w:t>ארבע־עשרה</w:t>
      </w:r>
      <w:proofErr w:type="spellEnd"/>
      <w:r>
        <w:rPr>
          <w:rtl/>
        </w:rPr>
        <w:t xml:space="preserve"> חיבר ר׳ אהרן קונטרס על מסכת מקוואות, “שהרעיש את עולם התורה”. אם אין זו אגדה בעלמא, נכתב הקונטרס בזמן שלמדו ר׳ אהרן ואבי יחד בשול </w:t>
      </w:r>
      <w:proofErr w:type="spellStart"/>
      <w:r>
        <w:rPr>
          <w:rtl/>
        </w:rPr>
        <w:t>הקצבים</w:t>
      </w:r>
      <w:proofErr w:type="spellEnd"/>
      <w:r>
        <w:rPr>
          <w:rtl/>
        </w:rPr>
        <w:t>.</w:t>
      </w:r>
      <w:bookmarkStart w:id="1527" w:name="_fnr1012"/>
      <w:bookmarkStart w:id="1528" w:name="pr_f_931"/>
      <w:r>
        <w:rPr>
          <w:rStyle w:val="a5"/>
        </w:rPr>
        <w:footnoteReference w:id="1015" w:customMarkFollows="0"/>
      </w:r>
      <w:bookmarkEnd w:id="1527"/>
      <w:bookmarkEnd w:id="1528"/>
    </w:p>
    <w:p w14:paraId="5D3FFBE8" w14:textId="5A58584A" w:rsidR="00AB3647" w:rsidRDefault="00000000" w:rsidP="007923E9">
      <w:pPr>
        <w:spacing w:after="120" w:line="276" w:lineRule="auto"/>
        <w:ind w:firstLine="283"/>
        <w:jc w:val="both"/>
      </w:pPr>
      <w:r>
        <w:rPr>
          <w:rtl/>
        </w:rPr>
        <w:t xml:space="preserve">השווה גם פרק 5, ראש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אבי החשיב את שכלו שלו יותר משל ר׳ אהרן בשלב זה. אבל רבנו לא נודע ברבים כעילוי, משום שהיה מופנם יותר ולא הראה את </w:t>
      </w:r>
      <w:proofErr w:type="spellStart"/>
      <w:r>
        <w:rPr>
          <w:rtl/>
        </w:rPr>
        <w:t>כשרונותיו</w:t>
      </w:r>
      <w:proofErr w:type="spellEnd"/>
      <w:r>
        <w:rPr>
          <w:rtl/>
        </w:rPr>
        <w:t xml:space="preserve"> לראווה. ראה פרק 3, הפסקה השנייה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ר׳ אהרן עצמו אמר לאחד מבניו של רבנו שאביו “תמיד חשב שהוא יודע פחות ממה שידע באמת”.</w:t>
      </w:r>
    </w:p>
    <w:p w14:paraId="7AAFE89E" w14:textId="77777777" w:rsidR="00AB3647" w:rsidRDefault="00000000" w:rsidP="007923E9">
      <w:pPr>
        <w:pStyle w:val="4"/>
        <w:spacing w:line="276" w:lineRule="auto"/>
      </w:pPr>
      <w:r>
        <w:t>· הפסקה השנייה ·</w:t>
      </w:r>
    </w:p>
    <w:p w14:paraId="497BE079" w14:textId="77777777" w:rsidR="00AB3647" w:rsidRDefault="00000000" w:rsidP="007923E9">
      <w:pPr>
        <w:pStyle w:val="5"/>
        <w:spacing w:line="276" w:lineRule="auto"/>
      </w:pPr>
      <w:r>
        <w:t>שני עילויים לומדים נ״ך</w:t>
      </w:r>
    </w:p>
    <w:p w14:paraId="305F4B2A" w14:textId="77777777" w:rsidR="00AB3647" w:rsidRDefault="00000000" w:rsidP="007923E9">
      <w:pPr>
        <w:spacing w:after="120" w:line="276" w:lineRule="auto"/>
        <w:ind w:firstLine="283"/>
        <w:jc w:val="both"/>
      </w:pPr>
      <w:r>
        <w:rPr>
          <w:rtl/>
        </w:rPr>
        <w:t xml:space="preserve">כמו אבי, ידע ר׳ אהרן תנ״ך כבר בילדותו. </w:t>
      </w:r>
      <w:proofErr w:type="spellStart"/>
      <w:r>
        <w:rPr>
          <w:rtl/>
        </w:rPr>
        <w:t>ב“דאס</w:t>
      </w:r>
      <w:proofErr w:type="spellEnd"/>
      <w:r>
        <w:rPr>
          <w:rtl/>
        </w:rPr>
        <w:t xml:space="preserve"> אידישע </w:t>
      </w:r>
      <w:proofErr w:type="spellStart"/>
      <w:r>
        <w:rPr>
          <w:rtl/>
        </w:rPr>
        <w:t>ווארט</w:t>
      </w:r>
      <w:proofErr w:type="spellEnd"/>
      <w:r>
        <w:rPr>
          <w:rtl/>
        </w:rPr>
        <w:t>” [המילה היהודית]</w:t>
      </w:r>
      <w:bookmarkStart w:id="1529" w:name="_fnr1013"/>
      <w:r>
        <w:rPr>
          <w:rStyle w:val="a5"/>
        </w:rPr>
        <w:footnoteReference w:id="1016" w:customMarkFollows="0"/>
      </w:r>
      <w:bookmarkEnd w:id="1529"/>
      <w:r>
        <w:rPr>
          <w:rtl/>
        </w:rPr>
        <w:t xml:space="preserve"> מובאים זיכרונותיו של תושב </w:t>
      </w:r>
      <w:proofErr w:type="spellStart"/>
      <w:r>
        <w:rPr>
          <w:rtl/>
        </w:rPr>
        <w:t>סיסלוביץ</w:t>
      </w:r>
      <w:proofErr w:type="spellEnd"/>
      <w:r>
        <w:rPr>
          <w:rtl/>
        </w:rPr>
        <w:t>׳: “</w:t>
      </w:r>
      <w:proofErr w:type="spellStart"/>
      <w:r>
        <w:rPr>
          <w:rtl/>
        </w:rPr>
        <w:t>בסיסלוביץ</w:t>
      </w:r>
      <w:proofErr w:type="spellEnd"/>
      <w:r>
        <w:rPr>
          <w:rtl/>
        </w:rPr>
        <w:t xml:space="preserve">׳ היו מתפלאים על בנו הקטן של הרב, שזכר את כל התנ״ך בעל פה”. אבי סיפר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1530" w:name="_fnr1014"/>
      <w:proofErr w:type="spellEnd"/>
      <w:r>
        <w:rPr>
          <w:rStyle w:val="a5"/>
        </w:rPr>
        <w:footnoteReference w:id="1017" w:customMarkFollows="0"/>
      </w:r>
      <w:bookmarkEnd w:id="1530"/>
      <w:r>
        <w:rPr>
          <w:rtl/>
        </w:rPr>
        <w:t xml:space="preserve"> ש</w:t>
      </w:r>
      <w:r>
        <w:rPr>
          <w:b/>
          <w:bCs/>
          <w:rtl/>
        </w:rPr>
        <w:t>הוא</w:t>
      </w:r>
      <w:r>
        <w:rPr>
          <w:rtl/>
        </w:rPr>
        <w:t xml:space="preserve"> סיים את התנ״ך בגיל תשע,</w:t>
      </w:r>
      <w:bookmarkStart w:id="1531" w:name="_fnr1015"/>
      <w:r>
        <w:rPr>
          <w:rStyle w:val="a5"/>
        </w:rPr>
        <w:footnoteReference w:id="1018" w:customMarkFollows="0"/>
      </w:r>
      <w:bookmarkEnd w:id="1531"/>
      <w:r>
        <w:rPr>
          <w:rtl/>
        </w:rPr>
        <w:t xml:space="preserve"> והוסיף אז שר׳ אהרן היה צעיר ממנו עוד יותר כשסיים, רק בן שבע.</w:t>
      </w:r>
    </w:p>
    <w:p w14:paraId="52D34F7E" w14:textId="77777777" w:rsidR="00AB3647" w:rsidRDefault="00000000" w:rsidP="007923E9">
      <w:pPr>
        <w:pStyle w:val="4"/>
        <w:spacing w:line="276" w:lineRule="auto"/>
      </w:pPr>
      <w:r>
        <w:t>· הפסקה השלישית ·</w:t>
      </w:r>
    </w:p>
    <w:p w14:paraId="0F9D6852" w14:textId="77777777" w:rsidR="00AB3647" w:rsidRDefault="00000000" w:rsidP="007923E9">
      <w:pPr>
        <w:pStyle w:val="5"/>
        <w:spacing w:line="276" w:lineRule="auto"/>
      </w:pPr>
      <w:r>
        <w:t>אהרן פינס בקי בפושקין – ר׳ אהרן קוטלר משתמש בידיעותיו בהיסטוריה כדי להלהיב תלמידים</w:t>
      </w:r>
    </w:p>
    <w:p w14:paraId="24B7D993" w14:textId="77777777" w:rsidR="00AB3647" w:rsidRDefault="00000000" w:rsidP="007923E9">
      <w:pPr>
        <w:spacing w:after="120" w:line="276" w:lineRule="auto"/>
        <w:ind w:firstLine="283"/>
        <w:jc w:val="both"/>
      </w:pPr>
      <w:r>
        <w:rPr>
          <w:rtl/>
        </w:rPr>
        <w:t xml:space="preserve">גם ר׳ אהרן קוטלר, כמו אבי, נגע בזמן ההוא בלימודי חול. הספרות עניינה אותו יותר מן המדעים, שמשכו את לבו של אבי. אבי אמר לחתנו ר׳ ישראל </w:t>
      </w:r>
      <w:proofErr w:type="spellStart"/>
      <w:r>
        <w:rPr>
          <w:rtl/>
        </w:rPr>
        <w:t>שורין</w:t>
      </w:r>
      <w:proofErr w:type="spellEnd"/>
      <w:r>
        <w:rPr>
          <w:rtl/>
        </w:rPr>
        <w:t xml:space="preserve"> שר׳ אהרן היה בקי בכל </w:t>
      </w:r>
      <w:r>
        <w:rPr>
          <w:rtl/>
        </w:rPr>
        <w:lastRenderedPageBreak/>
        <w:t>הספרות הרוסית הקלאסית.</w:t>
      </w:r>
      <w:bookmarkStart w:id="1532" w:name="_fnr1016"/>
      <w:r>
        <w:rPr>
          <w:rStyle w:val="a5"/>
        </w:rPr>
        <w:footnoteReference w:id="1019" w:customMarkFollows="0"/>
      </w:r>
      <w:bookmarkEnd w:id="1532"/>
      <w:r>
        <w:rPr>
          <w:rtl/>
        </w:rPr>
        <w:t xml:space="preserve"> הדבר התאשר בביקור אצל בן חסותו של </w:t>
      </w:r>
      <w:proofErr w:type="spellStart"/>
      <w:r>
        <w:rPr>
          <w:rtl/>
        </w:rPr>
        <w:t>החזון־איש</w:t>
      </w:r>
      <w:proofErr w:type="spellEnd"/>
      <w:r>
        <w:rPr>
          <w:rtl/>
        </w:rPr>
        <w:t>, איש רוח צעיר שעמד בראש ישיבה ברמלה. נפלט אז מפיו של ר׳ אהרן: “זאת ביאר אלכסנדר פושקין” – כך סיפר לי ראש הישיבה.</w:t>
      </w:r>
      <w:bookmarkStart w:id="1533" w:name="_fnr1017"/>
      <w:r>
        <w:rPr>
          <w:rStyle w:val="a5"/>
        </w:rPr>
        <w:footnoteReference w:id="1020" w:customMarkFollows="0"/>
      </w:r>
      <w:bookmarkEnd w:id="1533"/>
    </w:p>
    <w:p w14:paraId="3C229054" w14:textId="77777777" w:rsidR="00AB3647" w:rsidRDefault="00000000" w:rsidP="007923E9">
      <w:pPr>
        <w:spacing w:after="120" w:line="276" w:lineRule="auto"/>
        <w:ind w:firstLine="283"/>
        <w:jc w:val="both"/>
      </w:pPr>
      <w:r>
        <w:rPr>
          <w:rtl/>
        </w:rPr>
        <w:t xml:space="preserve">ר׳ אהרן קוטלר, ר׳ שמואל </w:t>
      </w:r>
      <w:proofErr w:type="spellStart"/>
      <w:r>
        <w:rPr>
          <w:rtl/>
        </w:rPr>
        <w:t>גריינימן</w:t>
      </w:r>
      <w:proofErr w:type="spellEnd"/>
      <w:r>
        <w:rPr>
          <w:rtl/>
        </w:rPr>
        <w:t xml:space="preserve"> והאדמו״ר </w:t>
      </w:r>
      <w:proofErr w:type="spellStart"/>
      <w:r>
        <w:rPr>
          <w:rtl/>
        </w:rPr>
        <w:t>מקופיטשניץ</w:t>
      </w:r>
      <w:proofErr w:type="spellEnd"/>
      <w:r>
        <w:rPr>
          <w:rtl/>
        </w:rPr>
        <w:t xml:space="preserve">, ר׳ </w:t>
      </w:r>
      <w:proofErr w:type="spellStart"/>
      <w:r>
        <w:rPr>
          <w:rtl/>
        </w:rPr>
        <w:t>אברהם־יהושע</w:t>
      </w:r>
      <w:proofErr w:type="spellEnd"/>
      <w:r>
        <w:rPr>
          <w:rtl/>
        </w:rPr>
        <w:t xml:space="preserve"> </w:t>
      </w:r>
      <w:proofErr w:type="spellStart"/>
      <w:r>
        <w:rPr>
          <w:rtl/>
        </w:rPr>
        <w:t xml:space="preserve">העשיל</w:t>
      </w:r>
      <w:proofErr w:type="spellEnd"/>
      <w:r>
        <w:rPr>
          <w:rtl/>
        </w:rPr>
        <w:t xml:space="preserve">, ביקרו בישיבת רמלה בקיץ תשי״ד. באותה שעה נכנס לשם לכוס תה ולשיחה משה </w:t>
      </w:r>
      <w:proofErr w:type="spellStart"/>
      <w:r>
        <w:rPr>
          <w:rtl/>
        </w:rPr>
        <w:t>בר־סלע</w:t>
      </w:r>
      <w:proofErr w:type="spellEnd"/>
      <w:r>
        <w:rPr>
          <w:rtl/>
        </w:rPr>
        <w:t xml:space="preserve">, מנהל משרד העבודה והסעד וחובב פושקין – אנשים נהגו לעצור ברמלה בנסיעה מירושלים לתל אביב, שהייתה אז ארוכה. כשציטט </w:t>
      </w:r>
      <w:proofErr w:type="spellStart"/>
      <w:r>
        <w:rPr>
          <w:rtl/>
        </w:rPr>
        <w:t>בר־סלע</w:t>
      </w:r>
      <w:proofErr w:type="spellEnd"/>
      <w:r>
        <w:rPr>
          <w:rtl/>
        </w:rPr>
        <w:t xml:space="preserve"> שורה מן הפואמה “יבגני </w:t>
      </w:r>
      <w:proofErr w:type="spellStart"/>
      <w:r>
        <w:rPr>
          <w:rtl/>
        </w:rPr>
        <w:t>אונייגין</w:t>
      </w:r>
      <w:proofErr w:type="spellEnd"/>
      <w:r>
        <w:rPr>
          <w:rtl/>
        </w:rPr>
        <w:t>” בלי להזכיר את שם המחבר, הגיב ר׳ אהרן כמסופר.</w:t>
      </w:r>
    </w:p>
    <w:p w14:paraId="1507BBA3" w14:textId="77777777" w:rsidR="00AB3647" w:rsidRDefault="00000000" w:rsidP="007923E9">
      <w:pPr>
        <w:spacing w:after="120" w:line="276" w:lineRule="auto"/>
        <w:ind w:firstLine="283"/>
        <w:jc w:val="both"/>
      </w:pPr>
      <w:r>
        <w:rPr>
          <w:rtl/>
        </w:rPr>
        <w:t xml:space="preserve">פושקין היה סופר רוסי אהוד בחוגי האינטליגנציה היהודית. נתקלתי בריאיון שערך </w:t>
      </w:r>
      <w:proofErr w:type="spellStart"/>
      <w:r>
        <w:rPr>
          <w:rtl/>
        </w:rPr>
        <w:t>פרנסואה</w:t>
      </w:r>
      <w:proofErr w:type="spellEnd"/>
      <w:r>
        <w:rPr>
          <w:rtl/>
        </w:rPr>
        <w:t xml:space="preserve"> </w:t>
      </w:r>
      <w:proofErr w:type="spellStart"/>
      <w:r>
        <w:rPr>
          <w:rtl/>
        </w:rPr>
        <w:t>פואריה</w:t>
      </w:r>
      <w:proofErr w:type="spellEnd"/>
      <w:r>
        <w:rPr>
          <w:rtl/>
        </w:rPr>
        <w:t xml:space="preserve"> עם הפילוסוף היהודי הצרפתי עמנואל </w:t>
      </w:r>
      <w:proofErr w:type="spellStart"/>
      <w:r>
        <w:rPr>
          <w:rtl/>
        </w:rPr>
        <w:t>לוינס</w:t>
      </w:r>
      <w:proofErr w:type="spellEnd"/>
      <w:r>
        <w:rPr>
          <w:rtl/>
        </w:rPr>
        <w:t xml:space="preserve">, </w:t>
      </w:r>
      <w:proofErr w:type="spellStart"/>
      <w:r>
        <w:rPr>
          <w:rtl/>
        </w:rPr>
        <w:t>ב“עמנואל</w:t>
      </w:r>
      <w:proofErr w:type="spellEnd"/>
      <w:r>
        <w:rPr>
          <w:rtl/>
        </w:rPr>
        <w:t xml:space="preserve"> </w:t>
      </w:r>
      <w:proofErr w:type="spellStart"/>
      <w:r>
        <w:rPr>
          <w:rtl/>
        </w:rPr>
        <w:t>לוינס</w:t>
      </w:r>
      <w:proofErr w:type="spellEnd"/>
      <w:r>
        <w:rPr>
          <w:rtl/>
        </w:rPr>
        <w:t>, מי אתה?”,</w:t>
      </w:r>
      <w:bookmarkStart w:id="1534" w:name="_fnr1018"/>
      <w:r>
        <w:rPr>
          <w:rStyle w:val="a5"/>
        </w:rPr>
        <w:footnoteReference w:id="1021" w:customMarkFollows="0"/>
      </w:r>
      <w:bookmarkEnd w:id="1534"/>
      <w:r>
        <w:rPr>
          <w:rtl/>
        </w:rPr>
        <w:t xml:space="preserve"> ושם מספר ההוגה: “לפני כמה שנים ביקר אצלי ישראלי יליד מזרח אירופה. כשנכנס לביתי הבחין שעל מדפי הספרים עומדים כל כתבי פושקין. ‘מיד אפשר לראות’, אמר, ‘שזהו בית יהודי’”. השווה גם מסגרת במאמר “</w:t>
      </w:r>
      <w:proofErr w:type="spellStart"/>
      <w:r>
        <w:rPr>
          <w:rtl/>
        </w:rPr>
        <w:t>לפלגות</w:t>
      </w:r>
      <w:proofErr w:type="spellEnd"/>
      <w:r>
        <w:rPr>
          <w:rtl/>
        </w:rPr>
        <w:t xml:space="preserve"> ראובן” מאת ב. </w:t>
      </w:r>
      <w:proofErr w:type="spellStart"/>
      <w:r>
        <w:rPr>
          <w:rtl/>
        </w:rPr>
        <w:t>נהוראי</w:t>
      </w:r>
      <w:proofErr w:type="spellEnd"/>
      <w:r>
        <w:rPr>
          <w:rtl/>
        </w:rPr>
        <w:t xml:space="preserve"> </w:t>
      </w:r>
      <w:proofErr w:type="spellStart"/>
      <w:r>
        <w:rPr>
          <w:rtl/>
        </w:rPr>
        <w:t>ב“יתד</w:t>
      </w:r>
      <w:proofErr w:type="spellEnd"/>
      <w:r>
        <w:rPr>
          <w:rtl/>
        </w:rPr>
        <w:t xml:space="preserve"> נאמן”,</w:t>
      </w:r>
      <w:bookmarkStart w:id="1535" w:name="_fnr1019"/>
      <w:r>
        <w:rPr>
          <w:rStyle w:val="a5"/>
        </w:rPr>
        <w:footnoteReference w:id="1022" w:customMarkFollows="0"/>
      </w:r>
      <w:bookmarkEnd w:id="1535"/>
      <w:r>
        <w:rPr>
          <w:rtl/>
        </w:rPr>
        <w:t xml:space="preserve"> המספרת בשם ר׳ יוסף </w:t>
      </w:r>
      <w:proofErr w:type="spellStart"/>
      <w:r>
        <w:rPr>
          <w:rtl/>
        </w:rPr>
        <w:t>בוקסבוים</w:t>
      </w:r>
      <w:proofErr w:type="spellEnd"/>
      <w:r>
        <w:rPr>
          <w:rtl/>
        </w:rPr>
        <w:t xml:space="preserve"> מה שסיפר ר׳ ראובן </w:t>
      </w:r>
      <w:proofErr w:type="spellStart"/>
      <w:r>
        <w:rPr>
          <w:rtl/>
        </w:rPr>
        <w:t>בנגיס</w:t>
      </w:r>
      <w:proofErr w:type="spellEnd"/>
      <w:r>
        <w:rPr>
          <w:rtl/>
        </w:rPr>
        <w:t xml:space="preserve">: כשבא מפקח מטעם הממשלה הרוסית </w:t>
      </w:r>
      <w:proofErr w:type="spellStart"/>
      <w:r>
        <w:rPr>
          <w:rtl/>
        </w:rPr>
        <w:t>לוולוז׳ין</w:t>
      </w:r>
      <w:proofErr w:type="spellEnd"/>
      <w:r>
        <w:rPr>
          <w:rtl/>
        </w:rPr>
        <w:t xml:space="preserve"> לבדוק אם התלמידים יודעים לימודי חול, קרא </w:t>
      </w:r>
      <w:proofErr w:type="spellStart"/>
      <w:r>
        <w:rPr>
          <w:rtl/>
        </w:rPr>
        <w:t>הנצי״ב</w:t>
      </w:r>
      <w:proofErr w:type="spellEnd"/>
      <w:r>
        <w:rPr>
          <w:rtl/>
        </w:rPr>
        <w:t xml:space="preserve"> </w:t>
      </w:r>
      <w:proofErr w:type="spellStart"/>
      <w:r>
        <w:rPr>
          <w:rtl/>
        </w:rPr>
        <w:t>ל“תלמיד</w:t>
      </w:r>
      <w:proofErr w:type="spellEnd"/>
      <w:r>
        <w:rPr>
          <w:rtl/>
        </w:rPr>
        <w:t xml:space="preserve"> טיפוסי”, לראובן עצמו, לדקלם שיר של פושקין. [אבל הוא הגזים, כשהראה שלא בחכמה שהוא יכול לדקלם את השיר גם מן הסוף להתחלה, והמפקח הבין </w:t>
      </w:r>
      <w:proofErr w:type="spellStart"/>
      <w:r>
        <w:rPr>
          <w:rtl/>
        </w:rPr>
        <w:t>שבנגיס</w:t>
      </w:r>
      <w:proofErr w:type="spellEnd"/>
      <w:r>
        <w:rPr>
          <w:rtl/>
        </w:rPr>
        <w:t xml:space="preserve"> אינו תלמיד טיפוסי, כפי שהציגוהו.]</w:t>
      </w:r>
    </w:p>
    <w:p w14:paraId="64B61CE0" w14:textId="77777777" w:rsidR="00AB3647" w:rsidRDefault="00000000" w:rsidP="007923E9">
      <w:pPr>
        <w:spacing w:after="120" w:line="276" w:lineRule="auto"/>
        <w:ind w:firstLine="283"/>
        <w:jc w:val="both"/>
      </w:pPr>
      <w:r>
        <w:rPr>
          <w:rtl/>
        </w:rPr>
        <w:t xml:space="preserve">ר׳ בערל </w:t>
      </w:r>
      <w:proofErr w:type="spellStart"/>
      <w:r>
        <w:rPr>
          <w:rtl/>
        </w:rPr>
        <w:t>קרויזר</w:t>
      </w:r>
      <w:bookmarkStart w:id="1536" w:name="_fnr1020"/>
      <w:proofErr w:type="spellEnd"/>
      <w:r>
        <w:rPr>
          <w:rStyle w:val="a5"/>
        </w:rPr>
        <w:footnoteReference w:id="1023" w:customMarkFollows="0"/>
      </w:r>
      <w:bookmarkEnd w:id="1536"/>
      <w:r>
        <w:rPr>
          <w:rtl/>
        </w:rPr>
        <w:t xml:space="preserve"> סיפר שר׳ ראובן </w:t>
      </w:r>
      <w:proofErr w:type="spellStart"/>
      <w:r>
        <w:rPr>
          <w:rtl/>
        </w:rPr>
        <w:t>בנגיס</w:t>
      </w:r>
      <w:proofErr w:type="spellEnd"/>
      <w:r>
        <w:rPr>
          <w:rtl/>
        </w:rPr>
        <w:t>, שהיה מקורב אליו מאוד, סיפר לו בעצמו מה שנראה כהשלמה לסיפור זה. ר׳ ראובן לא ידע רוסית, ולקראת המבחן ביקש מתלמיד אחר שידע את השפה לקרוא לפניו עמוד מתוך ספר רוסי. הוא זכר את העמוד מילה במילה, וכשבחן אותו המפקח העמיד פנים שהוא קורא אותו מתוך הספר.</w:t>
      </w:r>
      <w:bookmarkStart w:id="1537" w:name="_fnr1021"/>
      <w:r>
        <w:rPr>
          <w:rStyle w:val="a5"/>
        </w:rPr>
        <w:footnoteReference w:id="1024" w:customMarkFollows="0"/>
      </w:r>
      <w:bookmarkEnd w:id="1537"/>
    </w:p>
    <w:p w14:paraId="397EB436" w14:textId="77777777" w:rsidR="00AB3647" w:rsidRDefault="00000000" w:rsidP="007923E9">
      <w:pPr>
        <w:spacing w:after="120" w:line="276" w:lineRule="auto"/>
        <w:ind w:firstLine="283"/>
        <w:jc w:val="both"/>
      </w:pPr>
      <w:r>
        <w:rPr>
          <w:rtl/>
        </w:rPr>
        <w:lastRenderedPageBreak/>
        <w:t xml:space="preserve">גם בתולדות ישראל היה ר׳ אהרן בקי מובהק. כך סיפר מי שעמד שנים רבות בראש “תורה ומסורה”, ד״ר יוסף </w:t>
      </w:r>
      <w:proofErr w:type="spellStart"/>
      <w:r>
        <w:rPr>
          <w:rtl/>
        </w:rPr>
        <w:t>קמינצקי</w:t>
      </w:r>
      <w:proofErr w:type="spellEnd"/>
      <w:r>
        <w:rPr>
          <w:rtl/>
        </w:rPr>
        <w:t>: הוא זכר</w:t>
      </w:r>
      <w:bookmarkStart w:id="1538" w:name="_fnr1022"/>
      <w:r>
        <w:rPr>
          <w:rStyle w:val="a5"/>
        </w:rPr>
        <w:footnoteReference w:id="1025" w:customMarkFollows="0"/>
      </w:r>
      <w:bookmarkEnd w:id="1538"/>
      <w:r>
        <w:rPr>
          <w:rtl/>
        </w:rPr>
        <w:t xml:space="preserve"> שפעמים רבות, כשליווה את הרב קוטלר, היו תולדות ישראל נושא שיחתם.</w:t>
      </w:r>
    </w:p>
    <w:p w14:paraId="4CD4589A" w14:textId="77777777" w:rsidR="00AB3647" w:rsidRDefault="00000000" w:rsidP="007923E9">
      <w:pPr>
        <w:spacing w:after="120" w:line="276" w:lineRule="auto"/>
        <w:ind w:firstLine="283"/>
        <w:jc w:val="both"/>
      </w:pPr>
      <w:r>
        <w:rPr>
          <w:rtl/>
        </w:rPr>
        <w:t xml:space="preserve">לפי ר׳ </w:t>
      </w:r>
      <w:proofErr w:type="spellStart"/>
      <w:r>
        <w:rPr>
          <w:rtl/>
        </w:rPr>
        <w:t>יענקל</w:t>
      </w:r>
      <w:proofErr w:type="spellEnd"/>
      <w:r>
        <w:rPr>
          <w:rtl/>
        </w:rPr>
        <w:t xml:space="preserve"> וייסברג,</w:t>
      </w:r>
      <w:bookmarkStart w:id="1539" w:name="_fnr1023"/>
      <w:r>
        <w:rPr>
          <w:rStyle w:val="a5"/>
        </w:rPr>
        <w:footnoteReference w:id="1026" w:customMarkFollows="0"/>
      </w:r>
      <w:bookmarkEnd w:id="1539"/>
      <w:r>
        <w:rPr>
          <w:rtl/>
        </w:rPr>
        <w:t xml:space="preserve"> השתמש ר׳ אהרן בידיעה זו </w:t>
      </w:r>
      <w:proofErr w:type="spellStart"/>
      <w:r>
        <w:rPr>
          <w:rtl/>
        </w:rPr>
        <w:t>ב“נאום</w:t>
      </w:r>
      <w:proofErr w:type="spellEnd"/>
      <w:r>
        <w:rPr>
          <w:rtl/>
        </w:rPr>
        <w:t xml:space="preserve"> סוער שנשא בכינוס של כל תלמידי התורה המבוגרים באמריקה, שמנו אז כמאה וחמישים, בשול ברחוב קלינטון בלואר </w:t>
      </w:r>
      <w:proofErr w:type="spellStart"/>
      <w:r>
        <w:rPr>
          <w:rtl/>
        </w:rPr>
        <w:t>איסט</w:t>
      </w:r>
      <w:proofErr w:type="spellEnd"/>
      <w:r>
        <w:rPr>
          <w:rtl/>
        </w:rPr>
        <w:t xml:space="preserve"> סייד שבניו יורק, בחורף תש״ג. ר׳ אהרן תיאר את שלשלת מסירת התורה מסיני עד אחרית הימים כמורכבת מחוליות שונות באיכותן, יש מחומר יקר ויש מחומר פשוט. הוא סקר את הסדר ההיסטורי של מוסרי התורה הגדולים, החל ברבן יוחנן בן זכאי, דרך הראשונים, ועד הדור האחרון באירופה. הוא סיים שהאחריות לחשל חוליה נוספת בשלשלת מוטלת עלינו לא פחות משהייתה מוטלת על קודמינו. הוא עורר כל אחד מן השומעים להקדיש עצמו ללימוד התורה. אותו נאום היה יריית הפתיחה להקמתו של בית מדרש גבוה </w:t>
      </w:r>
      <w:proofErr w:type="spellStart"/>
      <w:r>
        <w:rPr>
          <w:rtl/>
        </w:rPr>
        <w:t>בלייקווד</w:t>
      </w:r>
      <w:proofErr w:type="spellEnd"/>
      <w:r>
        <w:rPr>
          <w:rtl/>
        </w:rPr>
        <w:t>”.</w:t>
      </w:r>
    </w:p>
    <w:p w14:paraId="0957F5BF" w14:textId="77777777" w:rsidR="00AB3647" w:rsidRDefault="00000000" w:rsidP="007923E9">
      <w:pPr>
        <w:pStyle w:val="4"/>
        <w:spacing w:line="276" w:lineRule="auto"/>
      </w:pPr>
      <w:r>
        <w:t>· הפסקה הרביעית ·</w:t>
      </w:r>
    </w:p>
    <w:p w14:paraId="0E7B6626" w14:textId="77777777" w:rsidR="00AB3647" w:rsidRDefault="00000000" w:rsidP="007923E9">
      <w:pPr>
        <w:pStyle w:val="5"/>
        <w:spacing w:line="276" w:lineRule="auto"/>
      </w:pPr>
      <w:r>
        <w:t>קריאה בלימודי חול אפשר שלא תפריע להיעשות גדול בתורה</w:t>
      </w:r>
    </w:p>
    <w:p w14:paraId="2F0A7767" w14:textId="77777777" w:rsidR="00AB3647" w:rsidRDefault="00000000" w:rsidP="007923E9">
      <w:pPr>
        <w:spacing w:after="120" w:line="276" w:lineRule="auto"/>
        <w:ind w:firstLine="283"/>
        <w:jc w:val="both"/>
      </w:pPr>
      <w:r>
        <w:rPr>
          <w:rtl/>
        </w:rPr>
        <w:t xml:space="preserve">הדיון בעיסוקם של רבנו – ושל ר׳ אהרן – בלימודי חול אינו שלם אם אין הקורא יודע את דברי </w:t>
      </w:r>
      <w:proofErr w:type="spellStart"/>
      <w:r>
        <w:rPr>
          <w:rtl/>
        </w:rPr>
        <w:t>הנצי״ב</w:t>
      </w:r>
      <w:proofErr w:type="spellEnd"/>
      <w:r>
        <w:rPr>
          <w:rtl/>
        </w:rPr>
        <w:t xml:space="preserve"> </w:t>
      </w:r>
      <w:proofErr w:type="spellStart"/>
      <w:r>
        <w:rPr>
          <w:rtl/>
        </w:rPr>
        <w:t>בשו״ת</w:t>
      </w:r>
      <w:proofErr w:type="spellEnd"/>
      <w:r>
        <w:rPr>
          <w:rtl/>
        </w:rPr>
        <w:t xml:space="preserve"> “משיב דבר”, ח״א, סימן מ״ד. אחרי שקבע הנחיות ללימודי חול במקום שהשלטונות מחייבים אותם – “ואם יצטרכו </w:t>
      </w:r>
      <w:r>
        <w:rPr>
          <w:b/>
          <w:bCs/>
          <w:rtl/>
        </w:rPr>
        <w:t>עפ״י המלכות</w:t>
      </w:r>
      <w:r>
        <w:rPr>
          <w:rtl/>
        </w:rPr>
        <w:t xml:space="preserve"> (ההדגשה שלי) ללמוד לימודי חול, גם כן יהא בהשגחה מרב וראשי ישראל וכו׳ עפ״י המורה אשר יבחרו שלא יסורו מדרך התורה, וגם יהיו מפנים שעות מרווחים לעסק התורה, וזה </w:t>
      </w:r>
      <w:proofErr w:type="spellStart"/>
      <w:r>
        <w:rPr>
          <w:rtl/>
        </w:rPr>
        <w:t>וזה</w:t>
      </w:r>
      <w:proofErr w:type="spellEnd"/>
      <w:r>
        <w:rPr>
          <w:rtl/>
        </w:rPr>
        <w:t xml:space="preserve"> יתקיים בידם” – הוא מצרף הסתייגות זו: “האף שאין לקוות שיצא מלימודם בשעות כאלה להוראה וכו׳ וא״א להיות גדול בתורה בשעה שעוסק בדברים אחרים. וכל גדולי תורה שהמה גם חכמים בלימודי חול, אינו אלא </w:t>
      </w:r>
      <w:proofErr w:type="spellStart"/>
      <w:r>
        <w:rPr>
          <w:b/>
          <w:bCs/>
          <w:rtl/>
        </w:rPr>
        <w:t>שנתעסקו</w:t>
      </w:r>
      <w:proofErr w:type="spellEnd"/>
      <w:r>
        <w:rPr>
          <w:b/>
          <w:bCs/>
          <w:rtl/>
        </w:rPr>
        <w:t xml:space="preserve"> בלימודי חול קודם ששקעו ראשם בתורה</w:t>
      </w:r>
      <w:r>
        <w:rPr>
          <w:rtl/>
        </w:rPr>
        <w:t xml:space="preserve"> (ההדגשה שלי) או אחרי שכבר </w:t>
      </w:r>
      <w:proofErr w:type="spellStart"/>
      <w:r>
        <w:rPr>
          <w:rtl/>
        </w:rPr>
        <w:t>נתגדלו</w:t>
      </w:r>
      <w:proofErr w:type="spellEnd"/>
      <w:r>
        <w:rPr>
          <w:rtl/>
        </w:rPr>
        <w:t xml:space="preserve"> בתורה, אבל ביחד אי אפשר להגיע לתכלית הלימוד”.</w:t>
      </w:r>
    </w:p>
    <w:p w14:paraId="3F937BB7" w14:textId="77777777" w:rsidR="00AB3647" w:rsidRDefault="00000000" w:rsidP="007923E9">
      <w:pPr>
        <w:spacing w:after="120" w:line="276" w:lineRule="auto"/>
        <w:ind w:firstLine="283"/>
        <w:jc w:val="both"/>
      </w:pPr>
      <w:r>
        <w:rPr>
          <w:rtl/>
        </w:rPr>
        <w:t>אצל רבנו ור׳ אהרן, ההתעסקות בענייני חול הייתה שטחית בלבד – אי אפשר באמת לכנותה “</w:t>
      </w:r>
      <w:r>
        <w:rPr>
          <w:b/>
          <w:bCs/>
          <w:rtl/>
        </w:rPr>
        <w:t>לימודי</w:t>
      </w:r>
      <w:r>
        <w:rPr>
          <w:rtl/>
        </w:rPr>
        <w:t xml:space="preserve"> חול”. מלבד זאת, הם נהגו לפי הראשונה משתי הדרכים שבהוראת </w:t>
      </w:r>
      <w:proofErr w:type="spellStart"/>
      <w:r>
        <w:rPr>
          <w:rtl/>
        </w:rPr>
        <w:t>הנצי״ב</w:t>
      </w:r>
      <w:proofErr w:type="spellEnd"/>
      <w:r>
        <w:rPr>
          <w:rtl/>
        </w:rPr>
        <w:t xml:space="preserve"> (כמודגש במשפט המובא), והיא שאפשרה להם להיעשות “גדולי תורה” ולהגיע </w:t>
      </w:r>
      <w:proofErr w:type="spellStart"/>
      <w:r>
        <w:rPr>
          <w:rtl/>
        </w:rPr>
        <w:t>ל“תכלית</w:t>
      </w:r>
      <w:proofErr w:type="spellEnd"/>
      <w:r>
        <w:rPr>
          <w:rtl/>
        </w:rPr>
        <w:t xml:space="preserve"> הלימוד”.</w:t>
      </w:r>
    </w:p>
    <w:bookmarkStart w:id="1540" w:name="b2_excF"/>
    <w:p w14:paraId="17FDF865" w14:textId="77777777" w:rsidR="00AB3647" w:rsidRDefault="00000000" w:rsidP="007923E9">
      <w:pPr>
        <w:pStyle w:val="3"/>
        <w:spacing w:line="276" w:lineRule="auto"/>
      </w:pPr>
      <w:r>
        <w:lastRenderedPageBreak/>
        <w:fldChar w:fldCharType="begin" w:dirty="true"/>
      </w:r>
      <w:r>
        <w:rPr>
          <w:rtl w:val="0"/>
        </w:rPr>
        <w:instrText>HYPERLINK \l "b2_note99</w:instrText>
      </w:r>
      <w:r>
        <w:instrText>"</w:instrText>
      </w:r>
      <w:r>
        <w:fldChar w:fldCharType="separate"/>
      </w:r>
      <w:r>
        <w:t>נספח ו</w:t>
      </w:r>
      <w:r>
        <w:fldChar w:fldCharType="end"/>
      </w:r>
      <w:bookmarkEnd w:id="1540"/>
    </w:p>
    <w:p w14:paraId="052EF72A" w14:textId="77777777" w:rsidR="00AB3647" w:rsidRDefault="00000000" w:rsidP="007923E9">
      <w:pPr>
        <w:pStyle w:val="af"/>
        <w:spacing w:line="276" w:lineRule="auto"/>
      </w:pPr>
      <w:r>
        <w:t xml:space="preserve">על השתתפותם של תלמידי הישיבה האחרת </w:t>
      </w:r>
      <w:proofErr w:type="spellStart"/>
      <w:r>
        <w:t>בסלבודקה</w:t>
      </w:r>
      <w:proofErr w:type="spellEnd"/>
      <w:r>
        <w:t xml:space="preserve"> בשיעוריו של ר׳ </w:t>
      </w:r>
      <w:proofErr w:type="spellStart"/>
      <w:r>
        <w:t>ברוך־בער</w:t>
      </w:r>
      <w:proofErr w:type="spellEnd"/>
    </w:p>
    <w:p w14:paraId="75CCA9C5" w14:textId="77777777" w:rsidR="00AB3647" w:rsidRDefault="00000000" w:rsidP="007923E9">
      <w:pPr>
        <w:pStyle w:val="5"/>
        <w:spacing w:line="276" w:lineRule="auto"/>
      </w:pPr>
      <w:r>
        <w:t xml:space="preserve">ר׳ ראובן </w:t>
      </w:r>
      <w:proofErr w:type="spellStart"/>
      <w:r>
        <w:t>גרוזובסקי</w:t>
      </w:r>
      <w:proofErr w:type="spellEnd"/>
      <w:r>
        <w:t xml:space="preserve"> חוזר על שיעור של ר׳ </w:t>
      </w:r>
      <w:proofErr w:type="spellStart"/>
      <w:r>
        <w:t>ברוך־בער</w:t>
      </w:r>
      <w:proofErr w:type="spellEnd"/>
      <w:r>
        <w:t xml:space="preserve"> לפני המועמדים לישיבת </w:t>
      </w:r>
      <w:proofErr w:type="spellStart"/>
      <w:r>
        <w:t>סלבודקה</w:t>
      </w:r>
      <w:proofErr w:type="spellEnd"/>
      <w:r>
        <w:t xml:space="preserve"> – כנסת ישראל משנה את מדיניותה בעניין השתתפות בשיעורים בישיבה המתחרה – ר׳ ראובן דוחה הצעה לעבור מכנסת ישראל</w:t>
      </w:r>
    </w:p>
    <w:p w14:paraId="4799EE84"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proofErr w:type="spellEnd"/>
      <w:r>
        <w:rPr>
          <w:rtl/>
        </w:rPr>
        <w:t xml:space="preserve"> סיפר</w:t>
      </w:r>
      <w:bookmarkStart w:id="1541" w:name="_fnr1024"/>
      <w:r>
        <w:rPr>
          <w:rStyle w:val="a5"/>
        </w:rPr>
        <w:footnoteReference w:id="1027" w:customMarkFollows="0"/>
      </w:r>
      <w:bookmarkEnd w:id="1541"/>
      <w:r>
        <w:rPr>
          <w:rtl/>
        </w:rPr>
        <w:t xml:space="preserve"> בשם אביו שאחת הטענות שבהן השתמש כדי לשכנע את רבנו ואת ר׳ אהרן ללכת </w:t>
      </w:r>
      <w:proofErr w:type="spellStart"/>
      <w:r>
        <w:rPr>
          <w:rtl/>
        </w:rPr>
        <w:t>לסלבודקה</w:t>
      </w:r>
      <w:proofErr w:type="spellEnd"/>
      <w:r>
        <w:rPr>
          <w:rtl/>
        </w:rPr>
        <w:t xml:space="preserve"> הייתה שיוכלו ליהנות בה משתי ישיבותיה בבת אחת.</w:t>
      </w:r>
      <w:bookmarkStart w:id="1542" w:name="_fnr1025"/>
      <w:r>
        <w:rPr>
          <w:rStyle w:val="a5"/>
        </w:rPr>
        <w:footnoteReference w:id="1028" w:customMarkFollows="0"/>
      </w:r>
      <w:bookmarkEnd w:id="1542"/>
      <w:r>
        <w:rPr>
          <w:rtl/>
        </w:rPr>
        <w:t xml:space="preserve"> כדי להמחיש זאת חזר לפניהם על שיעור </w:t>
      </w:r>
      <w:proofErr w:type="spellStart"/>
      <w:r>
        <w:rPr>
          <w:rtl/>
        </w:rPr>
        <w:t>ב“עובר</w:t>
      </w:r>
      <w:proofErr w:type="spellEnd"/>
      <w:r>
        <w:rPr>
          <w:rtl/>
        </w:rPr>
        <w:t xml:space="preserve"> ירך </w:t>
      </w:r>
      <w:proofErr w:type="spellStart"/>
      <w:r>
        <w:rPr>
          <w:rtl/>
        </w:rPr>
        <w:t>אמו</w:t>
      </w:r>
      <w:proofErr w:type="spellEnd"/>
      <w:r>
        <w:rPr>
          <w:rtl/>
        </w:rPr>
        <w:t>” ששמע, בהיותו תלמיד ב</w:t>
      </w:r>
      <w:r>
        <w:rPr>
          <w:b/>
          <w:bCs/>
          <w:rtl/>
        </w:rPr>
        <w:t>כנסת ישראל</w:t>
      </w:r>
      <w:r>
        <w:rPr>
          <w:rtl/>
        </w:rPr>
        <w:t xml:space="preserve">, מפי ר׳ </w:t>
      </w:r>
      <w:proofErr w:type="spellStart"/>
      <w:r>
        <w:rPr>
          <w:rtl/>
        </w:rPr>
        <w:t>ברוך־בער</w:t>
      </w:r>
      <w:proofErr w:type="spellEnd"/>
      <w:r>
        <w:rPr>
          <w:rtl/>
        </w:rPr>
        <w:t xml:space="preserve"> ב</w:t>
      </w:r>
      <w:r>
        <w:rPr>
          <w:b/>
          <w:bCs/>
          <w:rtl/>
        </w:rPr>
        <w:t>כנסת בית יצחק</w:t>
      </w:r>
      <w:r>
        <w:rPr>
          <w:rtl/>
        </w:rPr>
        <w:t>.</w:t>
      </w:r>
    </w:p>
    <w:p w14:paraId="776012D8" w14:textId="77777777" w:rsidR="00AB3647" w:rsidRDefault="00000000" w:rsidP="007923E9">
      <w:pPr>
        <w:spacing w:after="120" w:line="276" w:lineRule="auto"/>
        <w:ind w:firstLine="283"/>
        <w:jc w:val="both"/>
      </w:pPr>
      <w:r>
        <w:rPr>
          <w:rtl/>
        </w:rPr>
        <w:t xml:space="preserve">ככל הנראה זהו השיעור בנושא זה שנדפס </w:t>
      </w:r>
      <w:proofErr w:type="spellStart"/>
      <w:r>
        <w:rPr>
          <w:rtl/>
        </w:rPr>
        <w:t>ב“ברכת</w:t>
      </w:r>
      <w:proofErr w:type="spellEnd"/>
      <w:r>
        <w:rPr>
          <w:rtl/>
        </w:rPr>
        <w:t xml:space="preserve"> שמואל, </w:t>
      </w:r>
      <w:proofErr w:type="spellStart"/>
      <w:r>
        <w:rPr>
          <w:rtl/>
        </w:rPr>
        <w:t>ח״ג</w:t>
      </w:r>
      <w:proofErr w:type="spellEnd"/>
      <w:r>
        <w:rPr>
          <w:rtl/>
        </w:rPr>
        <w:t xml:space="preserve">, על מסכתות גיטין ונדרים”. הספר הוכן לדפוס מכתבי היד של ר׳ </w:t>
      </w:r>
      <w:proofErr w:type="spellStart"/>
      <w:r>
        <w:rPr>
          <w:rtl/>
        </w:rPr>
        <w:t>ברוך־בער</w:t>
      </w:r>
      <w:proofErr w:type="spellEnd"/>
      <w:r>
        <w:rPr>
          <w:rtl/>
        </w:rPr>
        <w:t xml:space="preserve"> בשנת תשי״ז, לפי ההקדמה מאת אחיינו, ר׳ </w:t>
      </w:r>
      <w:proofErr w:type="spellStart"/>
      <w:r>
        <w:rPr>
          <w:rtl/>
        </w:rPr>
        <w:t>חיים־שלום</w:t>
      </w:r>
      <w:proofErr w:type="spellEnd"/>
      <w:r>
        <w:rPr>
          <w:rtl/>
        </w:rPr>
        <w:t xml:space="preserve"> </w:t>
      </w:r>
      <w:proofErr w:type="spellStart"/>
      <w:r>
        <w:rPr>
          <w:rtl/>
        </w:rPr>
        <w:t>ליבוביץ</w:t>
      </w:r>
      <w:proofErr w:type="spellEnd"/>
      <w:r>
        <w:rPr>
          <w:rtl/>
        </w:rPr>
        <w:t>. השיעור</w:t>
      </w:r>
      <w:bookmarkStart w:id="1543" w:name="_fnr1026"/>
      <w:r>
        <w:rPr>
          <w:rStyle w:val="a5"/>
        </w:rPr>
        <w:footnoteReference w:id="1029" w:customMarkFollows="0"/>
      </w:r>
      <w:bookmarkEnd w:id="1543"/>
      <w:r>
        <w:rPr>
          <w:rtl/>
        </w:rPr>
        <w:t xml:space="preserve"> הועלה על הכתב בידי מחברו אחרי תרע״ז, כמו שמעיד אזכורו של ר׳ </w:t>
      </w:r>
      <w:proofErr w:type="spellStart"/>
      <w:r>
        <w:rPr>
          <w:rtl/>
        </w:rPr>
        <w:t>אליהו־ברוך</w:t>
      </w:r>
      <w:proofErr w:type="spellEnd"/>
      <w:r>
        <w:rPr>
          <w:rtl/>
        </w:rPr>
        <w:t xml:space="preserve"> קמאי כמי שכבר נפטר; אבל הוא חובר הרבה קודם לכן, כמו שמעידות המילים “מימי חורפי” שבראש השיעור. כמה קודם </w:t>
      </w:r>
      <w:proofErr w:type="spellStart"/>
      <w:r>
        <w:rPr>
          <w:rtl/>
        </w:rPr>
        <w:t>לתרע״ז</w:t>
      </w:r>
      <w:proofErr w:type="spellEnd"/>
      <w:r>
        <w:rPr>
          <w:rtl/>
        </w:rPr>
        <w:t xml:space="preserve"> – הדבר ניכר מכך שהוא מביא קושיה </w:t>
      </w:r>
      <w:proofErr w:type="spellStart"/>
      <w:r>
        <w:rPr>
          <w:rtl/>
        </w:rPr>
        <w:t>ש“גאון</w:t>
      </w:r>
      <w:proofErr w:type="spellEnd"/>
      <w:r>
        <w:rPr>
          <w:rtl/>
        </w:rPr>
        <w:t xml:space="preserve"> אחד, יאריך ימים ושנים טובים, הקשה על יסודו” כשהיה מחברו, יליד תרכ״ו, “עול ימים”. מכאן שהשיעור חובר כשבא ר׳ </w:t>
      </w:r>
      <w:proofErr w:type="spellStart"/>
      <w:r>
        <w:rPr>
          <w:rtl/>
        </w:rPr>
        <w:t>ברוך־בער</w:t>
      </w:r>
      <w:proofErr w:type="spellEnd"/>
      <w:r>
        <w:rPr>
          <w:rtl/>
        </w:rPr>
        <w:t xml:space="preserve"> לראשונה ללמוד </w:t>
      </w:r>
      <w:proofErr w:type="spellStart"/>
      <w:r>
        <w:rPr>
          <w:rtl/>
        </w:rPr>
        <w:t>בוולוז׳ין</w:t>
      </w:r>
      <w:proofErr w:type="spellEnd"/>
      <w:r>
        <w:rPr>
          <w:rtl/>
        </w:rPr>
        <w:t>, או קודם לכן.</w:t>
      </w:r>
      <w:bookmarkStart w:id="1544" w:name="_fnr1027"/>
      <w:r>
        <w:rPr>
          <w:rStyle w:val="a5"/>
        </w:rPr>
        <w:footnoteReference w:id="1030" w:customMarkFollows="0"/>
      </w:r>
      <w:bookmarkEnd w:id="1544"/>
    </w:p>
    <w:p w14:paraId="3BBFE0F4" w14:textId="0A3FFFE1" w:rsidR="00AB3647" w:rsidRDefault="00000000" w:rsidP="007923E9">
      <w:pPr>
        <w:spacing w:after="120" w:line="276" w:lineRule="auto"/>
        <w:ind w:firstLine="283"/>
        <w:jc w:val="both"/>
      </w:pPr>
      <w:r>
        <w:rPr>
          <w:rtl/>
        </w:rPr>
        <w:t>מעניין שלפי “ר׳ ברוך בר”, מאת “הרב יצחק אדלשטיין”,</w:t>
      </w:r>
      <w:bookmarkStart w:id="1545" w:name="_fnr1028"/>
      <w:r>
        <w:rPr>
          <w:rStyle w:val="a5"/>
        </w:rPr>
        <w:footnoteReference w:id="1031" w:customMarkFollows="0"/>
      </w:r>
      <w:bookmarkEnd w:id="1545"/>
      <w:r>
        <w:rPr>
          <w:rtl/>
        </w:rPr>
        <w:t xml:space="preserve"> ר׳ </w:t>
      </w:r>
      <w:proofErr w:type="spellStart"/>
      <w:r>
        <w:rPr>
          <w:rtl/>
        </w:rPr>
        <w:t>ברוך־בער</w:t>
      </w:r>
      <w:proofErr w:type="spellEnd"/>
      <w:r>
        <w:rPr>
          <w:rtl/>
        </w:rPr>
        <w:t xml:space="preserve"> “תמיד אמר חידושי תורה בעניין עובר ירך </w:t>
      </w:r>
      <w:proofErr w:type="spellStart"/>
      <w:r>
        <w:rPr>
          <w:rtl/>
        </w:rPr>
        <w:t>אמו</w:t>
      </w:r>
      <w:proofErr w:type="spellEnd"/>
      <w:r>
        <w:rPr>
          <w:rtl/>
        </w:rPr>
        <w:t xml:space="preserve"> – [אבל] אחרי שנדפס ספרו של רבו ר׳ חיים </w:t>
      </w:r>
      <w:proofErr w:type="spellStart"/>
      <w:r>
        <w:rPr>
          <w:rtl/>
        </w:rPr>
        <w:t>סולובייצ׳יק</w:t>
      </w:r>
      <w:proofErr w:type="spellEnd"/>
      <w:r>
        <w:rPr>
          <w:rtl/>
        </w:rPr>
        <w:t>, ‘</w:t>
      </w:r>
      <w:proofErr w:type="spellStart"/>
      <w:r>
        <w:rPr>
          <w:rtl/>
        </w:rPr>
        <w:t>חדושי</w:t>
      </w:r>
      <w:proofErr w:type="spellEnd"/>
      <w:r>
        <w:rPr>
          <w:rtl/>
        </w:rPr>
        <w:t xml:space="preserve"> רבנו חיים הלוי’ [בשנת תרצ״ו], היה חוזר על מה שכתב ר׳ חיים בעניין זה שם,</w:t>
      </w:r>
      <w:bookmarkStart w:id="1546" w:name="_fnr1029"/>
      <w:r>
        <w:rPr>
          <w:rStyle w:val="a5"/>
        </w:rPr>
        <w:footnoteReference w:id="1032" w:customMarkFollows="0"/>
      </w:r>
      <w:bookmarkEnd w:id="1546"/>
      <w:r>
        <w:rPr>
          <w:rtl/>
        </w:rPr>
        <w:t xml:space="preserve"> ולא על חידושיו שלו”. השווה גם פרק 3, הפסקה השנייה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על הערצתו של ר׳ </w:t>
      </w:r>
      <w:proofErr w:type="spellStart"/>
      <w:r>
        <w:rPr>
          <w:rtl/>
        </w:rPr>
        <w:t>ברוך־בער</w:t>
      </w:r>
      <w:proofErr w:type="spellEnd"/>
      <w:r>
        <w:rPr>
          <w:rtl/>
        </w:rPr>
        <w:t xml:space="preserve"> לספר שחיבר ר׳ חיים. והשווה גם אדלשטיין,</w:t>
      </w:r>
      <w:bookmarkStart w:id="1547" w:name="_fnr1030"/>
      <w:r>
        <w:rPr>
          <w:rStyle w:val="a5"/>
        </w:rPr>
        <w:footnoteReference w:id="1033" w:customMarkFollows="0"/>
      </w:r>
      <w:bookmarkEnd w:id="1547"/>
      <w:r>
        <w:rPr>
          <w:rtl/>
        </w:rPr>
        <w:t xml:space="preserve"> שבמקרים הנדירים שבהם אמר ר׳ </w:t>
      </w:r>
      <w:proofErr w:type="spellStart"/>
      <w:r>
        <w:rPr>
          <w:rtl/>
        </w:rPr>
        <w:t>ברוך־בער</w:t>
      </w:r>
      <w:proofErr w:type="spellEnd"/>
      <w:r>
        <w:rPr>
          <w:rtl/>
        </w:rPr>
        <w:t xml:space="preserve"> פשט שונה משל רבו, היה אומר: “הרבי אמר כך, ואני סברתי אחרת; ואזרתי מתניי ואמרתי שלא כרבי”.</w:t>
      </w:r>
    </w:p>
    <w:p w14:paraId="4B25CD7A" w14:textId="54480AEB" w:rsidR="00AB3647" w:rsidRDefault="00000000" w:rsidP="007923E9">
      <w:pPr>
        <w:spacing w:after="120" w:line="276" w:lineRule="auto"/>
        <w:ind w:firstLine="283"/>
        <w:jc w:val="both"/>
      </w:pPr>
      <w:r>
        <w:rPr>
          <w:rtl/>
        </w:rPr>
        <w:t xml:space="preserve">ר׳ ראובן הוא שגילה לשני הנערים שיוכלו לשמוע את השיעורים בכנסת בית יצחק בעודם לומדים בכנסת ישראל. מכאן נראה שגם ר׳ אהרן, כמו אבי, לא ידע שתלמידי כנסת ישראל יושבים עמו בין השומעים. אבי לא היה </w:t>
      </w:r>
      <w:proofErr w:type="spellStart"/>
      <w:r>
        <w:rPr>
          <w:rtl/>
        </w:rPr>
        <w:t>בסלבודקה</w:t>
      </w:r>
      <w:proofErr w:type="spellEnd"/>
      <w:r>
        <w:rPr>
          <w:rtl/>
        </w:rPr>
        <w:t xml:space="preserve"> מעולם, ואילו ר׳ אהרן השתתף בשיעוריו </w:t>
      </w:r>
      <w:r>
        <w:rPr>
          <w:rtl/>
        </w:rPr>
        <w:lastRenderedPageBreak/>
        <w:t xml:space="preserve">של ר׳ </w:t>
      </w:r>
      <w:proofErr w:type="spellStart"/>
      <w:r>
        <w:rPr>
          <w:rtl/>
        </w:rPr>
        <w:t>ברוך־בער</w:t>
      </w:r>
      <w:proofErr w:type="spellEnd"/>
      <w:r>
        <w:rPr>
          <w:rtl/>
        </w:rPr>
        <w:t xml:space="preserve"> במשך חצי השנה שלמד בכנסת בית יצחק.</w:t>
      </w:r>
      <w:bookmarkStart w:id="1548" w:name="_fnr1031"/>
      <w:r>
        <w:rPr>
          <w:rStyle w:val="a5"/>
        </w:rPr>
        <w:footnoteReference w:id="1034" w:customMarkFollows="0"/>
      </w:r>
      <w:bookmarkEnd w:id="1548"/>
      <w:r>
        <w:rPr>
          <w:rtl/>
        </w:rPr>
        <w:t xml:space="preserve"> אבל אין זה מתקבל על הדעת שאהרן פינס לא היה מבחין בנוכחותם של תלמידי כנסת ישראל אילו באמת היו שם, ובפרט שהיה לו קשר עמם באותו זמן, כמוזכר בסוף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מוכרחים לומר שבזמן הראשון לכהונתו של ר׳ </w:t>
      </w:r>
      <w:proofErr w:type="spellStart"/>
      <w:r>
        <w:rPr>
          <w:rtl/>
        </w:rPr>
        <w:t>ברוך־בער</w:t>
      </w:r>
      <w:proofErr w:type="spellEnd"/>
      <w:r>
        <w:rPr>
          <w:rtl/>
        </w:rPr>
        <w:t xml:space="preserve"> בכנסת בית יצחק, הזמן שבו למד בה ר׳ אהרן, השתתפו בשיעוריו רק בחורים מעטים מכנסת ישראל.</w:t>
      </w:r>
    </w:p>
    <w:p w14:paraId="04489D30" w14:textId="6ED51DDE" w:rsidR="00AB3647" w:rsidRDefault="00000000" w:rsidP="007923E9">
      <w:pPr>
        <w:spacing w:after="120" w:line="276" w:lineRule="auto"/>
        <w:ind w:firstLine="283"/>
        <w:jc w:val="both"/>
      </w:pPr>
      <w:r>
        <w:rPr>
          <w:rtl/>
        </w:rPr>
        <w:t xml:space="preserve">לכאורה אפשר לתלות זאת בכך שר׳ </w:t>
      </w:r>
      <w:proofErr w:type="spellStart"/>
      <w:r>
        <w:rPr>
          <w:rtl/>
        </w:rPr>
        <w:t>ברוך־בער</w:t>
      </w:r>
      <w:proofErr w:type="spellEnd"/>
      <w:r>
        <w:rPr>
          <w:rtl/>
        </w:rPr>
        <w:t xml:space="preserve"> היה חדש במשרתו, ועדיין לא היה אהוד כמו כעבור שנה, כשהגיעו ר׳ אהרן ואבי </w:t>
      </w:r>
      <w:proofErr w:type="spellStart"/>
      <w:r>
        <w:rPr>
          <w:rtl/>
        </w:rPr>
        <w:t>לסלבודקה</w:t>
      </w:r>
      <w:proofErr w:type="spellEnd"/>
      <w:r>
        <w:rPr>
          <w:rtl/>
        </w:rPr>
        <w:t xml:space="preserve">. אבל אין זה נכון. כמה מתלמידיו של ר׳ </w:t>
      </w:r>
      <w:proofErr w:type="spellStart"/>
      <w:r>
        <w:rPr>
          <w:rtl/>
        </w:rPr>
        <w:t>ברוך־בער</w:t>
      </w:r>
      <w:proofErr w:type="spellEnd"/>
      <w:r>
        <w:rPr>
          <w:rtl/>
        </w:rPr>
        <w:t xml:space="preserve"> מתקופת כהונתו הקודמת, כרב העיירה </w:t>
      </w:r>
      <w:proofErr w:type="spellStart"/>
      <w:r>
        <w:rPr>
          <w:rtl/>
        </w:rPr>
        <w:t>הלוסק</w:t>
      </w:r>
      <w:proofErr w:type="spellEnd"/>
      <w:r>
        <w:rPr>
          <w:rtl/>
        </w:rPr>
        <w:t xml:space="preserve"> וכראש הישיבה של הקיבוץ שבה, כבר למדו בכנסת ישראל כשהגיע </w:t>
      </w:r>
      <w:proofErr w:type="spellStart"/>
      <w:r>
        <w:rPr>
          <w:rtl/>
        </w:rPr>
        <w:t>לסלבודקה</w:t>
      </w:r>
      <w:proofErr w:type="spellEnd"/>
      <w:r>
        <w:rPr>
          <w:rtl/>
        </w:rPr>
        <w:t xml:space="preserve">, ובוודאי הפיצו את שבח שיעורי רבם מיד בבואו לשם (אם לא קודם לכן, כמצוין בפרק 3, בראש הערה </w:t>
      </w:r>
      <w:r>
        <w:rPr>
          <w:rtl/>
        </w:rPr>
        <w:fldChar w:fldCharType="begin" w:dirty="true"/>
      </w:r>
      <w:r>
        <w:rPr>
          <w:rtl/>
        </w:rPr>
        <w:instrText xml:space="preserve"> REF b3_note134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134</w:t>
      </w:r>
      <w:r>
        <w:rPr>
          <w:rtl/>
        </w:rPr>
        <w:fldChar w:fldCharType="end"/>
      </w:r>
      <w:r>
        <w:rPr>
          <w:rtl/>
        </w:rPr>
        <w:t xml:space="preserve">). זאת ועוד: ישיבת </w:t>
      </w:r>
      <w:proofErr w:type="spellStart"/>
      <w:r>
        <w:rPr>
          <w:rtl/>
        </w:rPr>
        <w:t>טלז</w:t>
      </w:r>
      <w:proofErr w:type="spellEnd"/>
      <w:r>
        <w:rPr>
          <w:rtl/>
        </w:rPr>
        <w:t xml:space="preserve"> רצתה להעסיק את ר׳ </w:t>
      </w:r>
      <w:proofErr w:type="spellStart"/>
      <w:r>
        <w:rPr>
          <w:rtl/>
        </w:rPr>
        <w:t>ברוך־בער</w:t>
      </w:r>
      <w:proofErr w:type="spellEnd"/>
      <w:r>
        <w:rPr>
          <w:rtl/>
        </w:rPr>
        <w:t xml:space="preserve"> עוד לפני שהגיע </w:t>
      </w:r>
      <w:proofErr w:type="spellStart"/>
      <w:r>
        <w:rPr>
          <w:rtl/>
        </w:rPr>
        <w:t>לסלבודקה</w:t>
      </w:r>
      <w:proofErr w:type="spellEnd"/>
      <w:r>
        <w:rPr>
          <w:rtl/>
        </w:rPr>
        <w:t xml:space="preserve">, כדי למלא את החלל שהשאירה התפטרותו של ר׳ שמעון </w:t>
      </w:r>
      <w:proofErr w:type="spellStart"/>
      <w:r>
        <w:rPr>
          <w:rtl/>
        </w:rPr>
        <w:t>שקופ</w:t>
      </w:r>
      <w:proofErr w:type="spellEnd"/>
      <w:r>
        <w:rPr>
          <w:rtl/>
        </w:rPr>
        <w:t xml:space="preserve"> – ראה פרק 3,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ועובדה זו מעידה על האהדה הכללית שזכה לה כבר קודם לכן.</w:t>
      </w:r>
    </w:p>
    <w:p w14:paraId="70C2E212" w14:textId="00E7B1D5" w:rsidR="00AB3647" w:rsidRDefault="00000000" w:rsidP="007923E9">
      <w:pPr>
        <w:spacing w:after="120" w:line="276" w:lineRule="auto"/>
        <w:ind w:firstLine="283"/>
        <w:jc w:val="both"/>
      </w:pPr>
      <w:r>
        <w:rPr>
          <w:rtl/>
        </w:rPr>
        <w:t xml:space="preserve">מה שהרתיע באמת את תלמידי כנסת ישראל מלהשתתף בשיעוריו של ר׳ </w:t>
      </w:r>
      <w:proofErr w:type="spellStart"/>
      <w:r>
        <w:rPr>
          <w:rtl/>
        </w:rPr>
        <w:t>ברוך־בער</w:t>
      </w:r>
      <w:proofErr w:type="spellEnd"/>
      <w:r>
        <w:rPr>
          <w:rtl/>
        </w:rPr>
        <w:t xml:space="preserve"> נודע לי מפי בתו של ר׳ ראובן, אסתר </w:t>
      </w:r>
      <w:proofErr w:type="spellStart"/>
      <w:r>
        <w:rPr>
          <w:rtl/>
        </w:rPr>
        <w:t>אונגרישער</w:t>
      </w:r>
      <w:proofErr w:type="spellEnd"/>
      <w:r>
        <w:rPr>
          <w:rtl/>
        </w:rPr>
        <w:t>,</w:t>
      </w:r>
      <w:bookmarkStart w:id="1549" w:name="_fnr1032"/>
      <w:r>
        <w:rPr>
          <w:rStyle w:val="a5"/>
        </w:rPr>
        <w:footnoteReference w:id="1035" w:customMarkFollows="0"/>
      </w:r>
      <w:bookmarkEnd w:id="1549"/>
      <w:r>
        <w:rPr>
          <w:rtl/>
        </w:rPr>
        <w:t xml:space="preserve"> שדיברה על השתתפות אביה בשיעוריו של מי שעתיד היה להיות חותנו, וסבה שלה. היא אמרה שפעם אחת נאסרה על אביה הכניסה “בידי </w:t>
      </w:r>
      <w:r>
        <w:rPr>
          <w:b/>
          <w:bCs/>
          <w:rtl/>
        </w:rPr>
        <w:t>אנשי כנסת בית יצחק</w:t>
      </w:r>
      <w:r>
        <w:rPr>
          <w:rtl/>
        </w:rPr>
        <w:t>”,</w:t>
      </w:r>
      <w:bookmarkStart w:id="1550" w:name="_fnr1033"/>
      <w:r>
        <w:rPr>
          <w:rStyle w:val="a5"/>
        </w:rPr>
        <w:footnoteReference w:id="1036" w:customMarkFollows="0"/>
      </w:r>
      <w:bookmarkEnd w:id="1550"/>
      <w:r>
        <w:rPr>
          <w:rtl/>
        </w:rPr>
        <w:t xml:space="preserve"> והוסיפה </w:t>
      </w:r>
      <w:proofErr w:type="spellStart"/>
      <w:r>
        <w:rPr>
          <w:rtl/>
        </w:rPr>
        <w:t>ש“לא</w:t>
      </w:r>
      <w:proofErr w:type="spellEnd"/>
      <w:r>
        <w:rPr>
          <w:rtl/>
        </w:rPr>
        <w:t xml:space="preserve"> היה זה בריא” לו </w:t>
      </w:r>
      <w:r>
        <w:rPr>
          <w:b/>
          <w:bCs/>
          <w:rtl/>
        </w:rPr>
        <w:t>לחזור</w:t>
      </w:r>
      <w:r>
        <w:rPr>
          <w:rtl/>
        </w:rPr>
        <w:t xml:space="preserve"> לישיבת הסבא אחרי שהשתתף בשיעור בישיבה המתחרה. כוונתה הייתה שספג ביקורת חריפה ב</w:t>
      </w:r>
      <w:r>
        <w:rPr>
          <w:b/>
          <w:bCs/>
          <w:rtl/>
        </w:rPr>
        <w:t>ישיבתו שלו</w:t>
      </w:r>
      <w:r>
        <w:rPr>
          <w:rtl/>
        </w:rPr>
        <w:t xml:space="preserve"> על שהשתתף בשיעורו של ר׳ </w:t>
      </w:r>
      <w:proofErr w:type="spellStart"/>
      <w:r>
        <w:rPr>
          <w:rtl/>
        </w:rPr>
        <w:t>ברוך־בער</w:t>
      </w:r>
      <w:proofErr w:type="spellEnd"/>
      <w:r>
        <w:rPr>
          <w:rtl/>
        </w:rPr>
        <w:t xml:space="preserve"> בישיבה האחרת. היא לא ידעה בדיוק מתי אירע הדבר, אבל מן ההכרח שאירע בזמן מוקדם יותר. שהרי בזמן שהגיע אבי </w:t>
      </w:r>
      <w:proofErr w:type="spellStart"/>
      <w:r>
        <w:rPr>
          <w:rtl/>
        </w:rPr>
        <w:t>לסלבודקה</w:t>
      </w:r>
      <w:proofErr w:type="spellEnd"/>
      <w:r>
        <w:rPr>
          <w:rtl/>
        </w:rPr>
        <w:t xml:space="preserve">, שנה וחצי אחרי שנתקבל ר׳ </w:t>
      </w:r>
      <w:proofErr w:type="spellStart"/>
      <w:r>
        <w:rPr>
          <w:rtl/>
        </w:rPr>
        <w:t>ברוך־בער</w:t>
      </w:r>
      <w:proofErr w:type="spellEnd"/>
      <w:r>
        <w:rPr>
          <w:rtl/>
        </w:rPr>
        <w:t xml:space="preserve"> לכנסת בית יצחק, לא זו בלבד שהותר לבחורי כנסת ישראל להשתתף בשיעוריו, אלא שהסבא אף עודד אותם לכך (כמצוין בפרק 3,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w:t>
      </w:r>
    </w:p>
    <w:p w14:paraId="7F67D01C" w14:textId="77777777" w:rsidR="00AB3647" w:rsidRDefault="00000000" w:rsidP="007923E9">
      <w:pPr>
        <w:spacing w:after="120" w:line="276" w:lineRule="auto"/>
        <w:ind w:firstLine="283"/>
        <w:jc w:val="both"/>
      </w:pPr>
      <w:r>
        <w:rPr>
          <w:rtl/>
        </w:rPr>
        <w:t xml:space="preserve">ודאי היה זה בראשית כהונתו של ר׳ </w:t>
      </w:r>
      <w:proofErr w:type="spellStart"/>
      <w:r>
        <w:rPr>
          <w:rtl/>
        </w:rPr>
        <w:t>ברוך־בער</w:t>
      </w:r>
      <w:proofErr w:type="spellEnd"/>
      <w:r>
        <w:rPr>
          <w:rtl/>
        </w:rPr>
        <w:t xml:space="preserve"> שהסבא לא ראה בעין יפה את השתתפות תלמידיו בשיעוריו – וזאת אף על פי </w:t>
      </w:r>
      <w:proofErr w:type="spellStart"/>
      <w:r>
        <w:rPr>
          <w:rtl/>
        </w:rPr>
        <w:t>ש“לסבא</w:t>
      </w:r>
      <w:proofErr w:type="spellEnd"/>
      <w:r>
        <w:rPr>
          <w:rtl/>
        </w:rPr>
        <w:t xml:space="preserve"> (עצמו) הייתה יד נעלמה במינויו של ר׳ </w:t>
      </w:r>
      <w:proofErr w:type="spellStart"/>
      <w:r>
        <w:rPr>
          <w:rtl/>
        </w:rPr>
        <w:t>ברוך־בער</w:t>
      </w:r>
      <w:proofErr w:type="spellEnd"/>
      <w:r>
        <w:rPr>
          <w:rtl/>
        </w:rPr>
        <w:t>”.</w:t>
      </w:r>
      <w:bookmarkStart w:id="1551" w:name="_fnr1034"/>
      <w:r>
        <w:rPr>
          <w:rStyle w:val="a5"/>
        </w:rPr>
        <w:footnoteReference w:id="1037" w:customMarkFollows="0"/>
      </w:r>
      <w:bookmarkEnd w:id="1551"/>
      <w:r>
        <w:rPr>
          <w:rtl/>
        </w:rPr>
        <w:t xml:space="preserve"> לכן, בזמן שלמד ר׳ אהרן בכנסת בית יצחק לא היו למעשה בחורי כנסת ישראל בין השומעים בשיעורים בישיבה המתחרה, מלבד אנשים כר׳ ראובן. ר׳ ראובן, בלהיטותו האופיינית לתורה</w:t>
      </w:r>
      <w:bookmarkStart w:id="1552" w:name="_fnr1035"/>
      <w:r>
        <w:rPr>
          <w:rStyle w:val="a5"/>
        </w:rPr>
        <w:footnoteReference w:id="1038" w:customMarkFollows="0"/>
      </w:r>
      <w:bookmarkEnd w:id="1552"/>
      <w:r>
        <w:rPr>
          <w:rtl/>
        </w:rPr>
        <w:t xml:space="preserve">, היה מוכן לספוג צרות מהנהלות </w:t>
      </w:r>
      <w:r>
        <w:rPr>
          <w:b/>
          <w:bCs/>
          <w:rtl/>
        </w:rPr>
        <w:t>שתי</w:t>
      </w:r>
      <w:r>
        <w:rPr>
          <w:rtl/>
        </w:rPr>
        <w:t xml:space="preserve"> הישיבות כדי לשמוע את חידושי התורה של ר׳ </w:t>
      </w:r>
      <w:proofErr w:type="spellStart"/>
      <w:r>
        <w:rPr>
          <w:rtl/>
        </w:rPr>
        <w:t>ברוך־בער</w:t>
      </w:r>
      <w:proofErr w:type="spellEnd"/>
      <w:r>
        <w:rPr>
          <w:rtl/>
        </w:rPr>
        <w:t xml:space="preserve">. השינוי במדיניות הסבא, </w:t>
      </w:r>
      <w:proofErr w:type="spellStart"/>
      <w:r>
        <w:rPr>
          <w:rtl/>
        </w:rPr>
        <w:t>שאיפשר</w:t>
      </w:r>
      <w:proofErr w:type="spellEnd"/>
      <w:r>
        <w:rPr>
          <w:rtl/>
        </w:rPr>
        <w:t xml:space="preserve"> לאבי </w:t>
      </w:r>
      <w:proofErr w:type="spellStart"/>
      <w:r>
        <w:rPr>
          <w:rtl/>
        </w:rPr>
        <w:t>ולר</w:t>
      </w:r>
      <w:proofErr w:type="spellEnd"/>
      <w:r>
        <w:rPr>
          <w:rtl/>
        </w:rPr>
        <w:t xml:space="preserve">׳ אהרן ללכת ולשמוע את ר׳ </w:t>
      </w:r>
      <w:proofErr w:type="spellStart"/>
      <w:r>
        <w:rPr>
          <w:rtl/>
        </w:rPr>
        <w:t>ברוך־בער</w:t>
      </w:r>
      <w:proofErr w:type="spellEnd"/>
      <w:r>
        <w:rPr>
          <w:rtl/>
        </w:rPr>
        <w:t xml:space="preserve"> בלא הגבלה כעבור שנה, אירע ודאי בשנה שבה למד ר׳ אהרן עם אבי בקיבוץ </w:t>
      </w:r>
      <w:r>
        <w:rPr>
          <w:rtl/>
        </w:rPr>
        <w:lastRenderedPageBreak/>
        <w:t xml:space="preserve">שבשול </w:t>
      </w:r>
      <w:proofErr w:type="spellStart"/>
      <w:r>
        <w:rPr>
          <w:rtl/>
        </w:rPr>
        <w:t>הקצבים</w:t>
      </w:r>
      <w:proofErr w:type="spellEnd"/>
      <w:r>
        <w:rPr>
          <w:rtl/>
        </w:rPr>
        <w:t xml:space="preserve">. נמצא שכאשר אמר ר׳ ראובן לשני הנערים </w:t>
      </w:r>
      <w:proofErr w:type="spellStart"/>
      <w:r>
        <w:rPr>
          <w:rtl/>
        </w:rPr>
        <w:t>שבסלבודקה</w:t>
      </w:r>
      <w:proofErr w:type="spellEnd"/>
      <w:r>
        <w:rPr>
          <w:rtl/>
        </w:rPr>
        <w:t xml:space="preserve"> יוכלו “ליהנות משתי ישיבותיה בבת אחת”, היה הדבר חידוש גם </w:t>
      </w:r>
      <w:proofErr w:type="spellStart"/>
      <w:r>
        <w:rPr>
          <w:rtl/>
        </w:rPr>
        <w:t>לר</w:t>
      </w:r>
      <w:proofErr w:type="spellEnd"/>
      <w:r>
        <w:rPr>
          <w:rtl/>
        </w:rPr>
        <w:t>׳ אהרן.</w:t>
      </w:r>
    </w:p>
    <w:p w14:paraId="4CA7C0E0" w14:textId="6B994BCD" w:rsidR="00AB3647" w:rsidRDefault="00000000" w:rsidP="007923E9">
      <w:pPr>
        <w:spacing w:after="120" w:line="276" w:lineRule="auto"/>
        <w:ind w:firstLine="283"/>
        <w:jc w:val="both"/>
      </w:pPr>
      <w:r>
        <w:rPr>
          <w:rtl/>
        </w:rPr>
        <w:t xml:space="preserve">גם אחרי שהשתנתה מדיניות כנסת ישראל, עדיין לא הייתה כנסת בית יצחק שבעת רצון מבחורי כנסת ישראל שבאו לשמוע את ראש הישיבה שלה, כמובא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אבל ר׳ ראובן היה בטוח שהצעירים יוכלו להתגבר על בעיה זו – וכך אכן עשו, בדרכים המתוארות בפרק 3, 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w:t>
      </w:r>
    </w:p>
    <w:p w14:paraId="5A9F3135" w14:textId="77777777" w:rsidR="00AB3647" w:rsidRDefault="00000000" w:rsidP="007923E9">
      <w:pPr>
        <w:spacing w:after="120" w:line="276" w:lineRule="auto"/>
        <w:ind w:firstLine="283"/>
        <w:jc w:val="both"/>
      </w:pPr>
      <w:r>
        <w:rPr>
          <w:rtl/>
        </w:rPr>
        <w:t xml:space="preserve">ר׳ ראובן עצמו השתתף בכל שיעוריו של ר׳ </w:t>
      </w:r>
      <w:proofErr w:type="spellStart"/>
      <w:r>
        <w:rPr>
          <w:rtl/>
        </w:rPr>
        <w:t>ברוך־בער</w:t>
      </w:r>
      <w:proofErr w:type="spellEnd"/>
      <w:r>
        <w:rPr>
          <w:rtl/>
        </w:rPr>
        <w:t xml:space="preserve"> וגם בשיחותיו שאחרי סעודה שלישית,</w:t>
      </w:r>
      <w:bookmarkStart w:id="1553" w:name="_fnr1036"/>
      <w:r>
        <w:rPr>
          <w:rStyle w:val="a5"/>
        </w:rPr>
        <w:footnoteReference w:id="1039" w:customMarkFollows="0"/>
      </w:r>
      <w:bookmarkEnd w:id="1553"/>
      <w:r>
        <w:rPr>
          <w:rtl/>
        </w:rPr>
        <w:t xml:space="preserve"> למרות כל הקשיים שנאלץ להתגבר עליהם. ר׳ חיים </w:t>
      </w:r>
      <w:proofErr w:type="spellStart"/>
      <w:r>
        <w:rPr>
          <w:rtl/>
        </w:rPr>
        <w:t>סרנא</w:t>
      </w:r>
      <w:proofErr w:type="spellEnd"/>
      <w:r>
        <w:rPr>
          <w:rtl/>
        </w:rPr>
        <w:t xml:space="preserve">, נכדו של ר׳ </w:t>
      </w:r>
      <w:proofErr w:type="spellStart"/>
      <w:r>
        <w:rPr>
          <w:rtl/>
        </w:rPr>
        <w:t>משה־מרדכי</w:t>
      </w:r>
      <w:proofErr w:type="spellEnd"/>
      <w:r>
        <w:rPr>
          <w:rtl/>
        </w:rPr>
        <w:t xml:space="preserve"> אפשטיין, סיפר</w:t>
      </w:r>
      <w:bookmarkStart w:id="1554" w:name="_fnr1037"/>
      <w:r>
        <w:rPr>
          <w:rStyle w:val="a5"/>
        </w:rPr>
        <w:footnoteReference w:id="1040" w:customMarkFollows="0"/>
      </w:r>
      <w:bookmarkEnd w:id="1554"/>
      <w:r>
        <w:rPr>
          <w:rtl/>
        </w:rPr>
        <w:t xml:space="preserve"> שהציעו </w:t>
      </w:r>
      <w:proofErr w:type="spellStart"/>
      <w:r>
        <w:rPr>
          <w:rtl/>
        </w:rPr>
        <w:t>לר</w:t>
      </w:r>
      <w:proofErr w:type="spellEnd"/>
      <w:r>
        <w:rPr>
          <w:rtl/>
        </w:rPr>
        <w:t xml:space="preserve">׳ ראובן, מאחר שהוא משתתף בשיעורי ר׳ </w:t>
      </w:r>
      <w:proofErr w:type="spellStart"/>
      <w:r>
        <w:rPr>
          <w:rtl/>
        </w:rPr>
        <w:t>ברוך־בער</w:t>
      </w:r>
      <w:proofErr w:type="spellEnd"/>
      <w:r>
        <w:rPr>
          <w:rtl/>
        </w:rPr>
        <w:t xml:space="preserve"> בקביעות כזאת, לעבור לגמרי מכנסת ישראל לישיבה האחות, והוא השיב שלעולם לא יעזוב את הסבא.</w:t>
      </w:r>
    </w:p>
    <w:p w14:paraId="282FA44F"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לא אמר תחילה מי הציע זאת </w:t>
      </w:r>
      <w:proofErr w:type="spellStart"/>
      <w:r>
        <w:rPr>
          <w:rtl/>
        </w:rPr>
        <w:t>לר</w:t>
      </w:r>
      <w:proofErr w:type="spellEnd"/>
      <w:r>
        <w:rPr>
          <w:rtl/>
        </w:rPr>
        <w:t xml:space="preserve">׳ ראובן. ייתכן שההצעה באה מאנשי כנסת בית יצחק, שלא אהבו שאורחים מן המתחרים מנצלים את ראש הישיבה שלהם כדי “ליהנות (משתי) הישיבות בבת אחת”. לאור דברי אסתר </w:t>
      </w:r>
      <w:proofErr w:type="spellStart"/>
      <w:r>
        <w:rPr>
          <w:rtl/>
        </w:rPr>
        <w:t>אונגרישער</w:t>
      </w:r>
      <w:proofErr w:type="spellEnd"/>
      <w:r>
        <w:rPr>
          <w:rtl/>
        </w:rPr>
        <w:t xml:space="preserve"> נראה אפשרי גם שאנשי כנסת ישראל הם שהציעו זאת, בתקופה המוקדמת, </w:t>
      </w:r>
      <w:proofErr w:type="spellStart"/>
      <w:r>
        <w:rPr>
          <w:rtl/>
        </w:rPr>
        <w:t>כשלא</w:t>
      </w:r>
      <w:proofErr w:type="spellEnd"/>
      <w:r>
        <w:rPr>
          <w:rtl/>
        </w:rPr>
        <w:t xml:space="preserve"> ראה הסבא בעין יפה את השתתפות תלמידיו בשיעורים בישיבה האחרת. אם אכן באה ההצעה מאנשי כנסת ישראל, מן הסתם יצאה מן הסבא עצמו. שהרי הסבא השגיח על ישיבתו מקרוב כל כך, עד שאף תלמיד לא היה מעז מדעת עצמו להציע רעיון כזה לאחד מגדולי תלמידי הישיבה, כמו ר׳ ראובן </w:t>
      </w:r>
      <w:proofErr w:type="spellStart"/>
      <w:r>
        <w:rPr>
          <w:rtl/>
        </w:rPr>
        <w:t>גרוזובסקי</w:t>
      </w:r>
      <w:proofErr w:type="spellEnd"/>
      <w:r>
        <w:rPr>
          <w:rtl/>
        </w:rPr>
        <w:t>. לימים</w:t>
      </w:r>
      <w:bookmarkStart w:id="1555" w:name="_fnr1038"/>
      <w:r>
        <w:rPr>
          <w:rStyle w:val="a5"/>
        </w:rPr>
        <w:footnoteReference w:id="1041" w:customMarkFollows="0"/>
      </w:r>
      <w:bookmarkEnd w:id="1555"/>
      <w:r>
        <w:rPr>
          <w:rtl/>
        </w:rPr>
        <w:t xml:space="preserve"> אכן אישר ר׳ חיים </w:t>
      </w:r>
      <w:proofErr w:type="spellStart"/>
      <w:r>
        <w:rPr>
          <w:rtl/>
        </w:rPr>
        <w:t>סרנא</w:t>
      </w:r>
      <w:proofErr w:type="spellEnd"/>
      <w:r>
        <w:rPr>
          <w:rtl/>
        </w:rPr>
        <w:t xml:space="preserve"> שהדרישה מר׳ ראובן באה מתלמידי כנסת ישראל.</w:t>
      </w:r>
    </w:p>
    <w:p w14:paraId="46BF2D4F" w14:textId="77777777" w:rsidR="00AB3647" w:rsidRDefault="00000000" w:rsidP="007923E9">
      <w:pPr>
        <w:spacing w:after="120" w:line="276" w:lineRule="auto"/>
        <w:ind w:firstLine="283"/>
        <w:jc w:val="both"/>
      </w:pPr>
      <w:r>
        <w:rPr>
          <w:rtl/>
        </w:rPr>
        <w:t xml:space="preserve">לסיכום, נראה שבראשית כהונתו של ר׳ </w:t>
      </w:r>
      <w:proofErr w:type="spellStart"/>
      <w:r>
        <w:rPr>
          <w:rtl/>
        </w:rPr>
        <w:t>ברוך־בער</w:t>
      </w:r>
      <w:proofErr w:type="spellEnd"/>
      <w:r>
        <w:rPr>
          <w:rtl/>
        </w:rPr>
        <w:t xml:space="preserve"> </w:t>
      </w:r>
      <w:proofErr w:type="spellStart"/>
      <w:r>
        <w:rPr>
          <w:rtl/>
        </w:rPr>
        <w:t>בסלבודקה</w:t>
      </w:r>
      <w:proofErr w:type="spellEnd"/>
      <w:r>
        <w:rPr>
          <w:rtl/>
        </w:rPr>
        <w:t xml:space="preserve"> לא זו בלבד שהסבא לא עודד את תלמידיו ללכת לשמוע אותו (כפי שעשה לאחר מכן), ולא זו בלבד שמתח עליהם ביקורת אם הלכו לשמוע אותו, אלא שאף איים – באמצעות </w:t>
      </w:r>
      <w:proofErr w:type="spellStart"/>
      <w:r>
        <w:rPr>
          <w:rtl/>
        </w:rPr>
        <w:t>נאמניו</w:t>
      </w:r>
      <w:proofErr w:type="spellEnd"/>
      <w:r>
        <w:rPr>
          <w:rtl/>
        </w:rPr>
        <w:t xml:space="preserve"> – לגרש את מי שהלך!</w:t>
      </w:r>
    </w:p>
    <w:p w14:paraId="2F3A1BE6" w14:textId="77777777" w:rsidR="00AB3647" w:rsidRDefault="00AB3647" w:rsidP="007923E9">
      <w:pPr>
        <w:spacing w:line="276" w:lineRule="auto"/>
        <w:sectPr w:rsidR="00AB3647">
          <w:footerReference w:type="default" r:id="rId13"/>
          <w:footnotePr>
            <w:pos w:val="pageBottom"/>
            <w:numRestart w:val="eachSect"/>
          </w:footnotePr>
          <w:pgSz w:w="9638" w:h="13606"/>
          <w:pgMar w:top="1134" w:right="1077" w:bottom="1134" w:left="1077" w:header="567" w:footer="567" w:gutter="0"/>
          <w:cols w:space="720"/>
          <w:bidi/>
          <w:docGrid w:linePitch="360"/>
        </w:sectPr>
      </w:pPr>
    </w:p>
    <w:p w14:paraId="634D051E" w14:textId="77777777" w:rsidR="00AB3647" w:rsidRDefault="00000000" w:rsidP="007923E9">
      <w:pPr>
        <w:pStyle w:val="ae"/>
        <w:keepNext/>
        <w:spacing w:line="276" w:lineRule="auto"/>
      </w:pPr>
      <w:bookmarkStart w:id="1556" w:name="b3_chapter"/>
      <w:r>
        <w:lastRenderedPageBreak/>
        <w:t>פרק שלישי</w:t>
      </w:r>
      <w:bookmarkEnd w:id="1556"/>
    </w:p>
    <w:p w14:paraId="1CCA4371" w14:textId="77777777" w:rsidR="00AB3647" w:rsidRDefault="00000000" w:rsidP="007923E9">
      <w:pPr>
        <w:pStyle w:val="1"/>
        <w:spacing w:line="276" w:lineRule="auto"/>
      </w:pPr>
      <w:r>
        <w:t xml:space="preserve">העשור השני – ב: </w:t>
      </w:r>
      <w:proofErr w:type="spellStart"/>
      <w:r>
        <w:t>סלבודקה</w:t>
      </w:r>
      <w:proofErr w:type="spellEnd"/>
    </w:p>
    <w:p w14:paraId="1689FCFA" w14:textId="77777777" w:rsidR="00AB3647" w:rsidRDefault="00000000" w:rsidP="007923E9">
      <w:pPr>
        <w:pStyle w:val="2"/>
        <w:spacing w:line="276" w:lineRule="auto"/>
      </w:pPr>
      <w:bookmarkStart w:id="1557" w:name="b3_notes"/>
      <w:r>
        <w:t>הסיפור וההערות</w:t>
      </w:r>
      <w:bookmarkEnd w:id="1557"/>
    </w:p>
    <w:p w14:paraId="46BABBC4" w14:textId="77777777" w:rsidR="00AB3647" w:rsidRDefault="00000000" w:rsidP="007923E9">
      <w:pPr>
        <w:pStyle w:val="2"/>
        <w:spacing w:line="276" w:lineRule="auto"/>
      </w:pPr>
      <w:bookmarkStart w:id="1558" w:name="b3_sec1"/>
      <w:r>
        <w:t>1.</w:t>
      </w:r>
      <w:bookmarkEnd w:id="1558"/>
    </w:p>
    <w:p w14:paraId="04C229D8" w14:textId="0FAF8C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שני בחורי הישיבה, </w:t>
      </w:r>
      <w:proofErr w:type="spellStart"/>
      <w:r>
        <w:rPr>
          <w:rtl/>
        </w:rPr>
        <w:t>הדולהינובר</w:t>
      </w:r>
      <w:proofErr w:type="spellEnd"/>
      <w:r>
        <w:rPr>
          <w:rtl/>
        </w:rPr>
        <w:t xml:space="preserve"> </w:t>
      </w:r>
      <w:proofErr w:type="spellStart"/>
      <w:r>
        <w:rPr>
          <w:rtl/>
        </w:rPr>
        <w:t>והסיסלוביצ׳ר</w:t>
      </w:r>
      <w:proofErr w:type="spellEnd"/>
      <w:r>
        <w:rPr>
          <w:rtl/>
        </w:rPr>
        <w:t>, ועמם מועמד שלישי</w:t>
      </w:r>
      <w:bookmarkStart w:id="1559" w:name="b3_ref1"/>
      <w:bookmarkEnd w:id="1559"/>
      <w:r>
        <w:rPr>
          <w:vertAlign w:val="superscript"/>
          <w:rtl/>
        </w:rPr>
        <w:fldChar w:fldCharType="begin" w:dirty="true"/>
      </w:r>
      <w:r>
        <w:rPr>
          <w:vertAlign w:val="superscript"/>
          <w:rtl/>
        </w:rPr>
        <w:instrText xml:space="preserve"> REF b3_note1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xml:space="preserve"> לישיבת </w:t>
      </w:r>
      <w:proofErr w:type="spellStart"/>
      <w:r>
        <w:rPr>
          <w:rtl/>
        </w:rPr>
        <w:t>סלבודקה</w:t>
      </w:r>
      <w:proofErr w:type="spellEnd"/>
      <w:r>
        <w:rPr>
          <w:rtl/>
        </w:rPr>
        <w:t xml:space="preserve">, יצאו ממינסק באביב תרס״ו לנסיעה ברכבת בת 290 קילומטרים. מסלולם עבר </w:t>
      </w:r>
      <w:proofErr w:type="spellStart"/>
      <w:r>
        <w:rPr>
          <w:rtl/>
        </w:rPr>
        <w:t>צפונה־מערבה</w:t>
      </w:r>
      <w:proofErr w:type="spellEnd"/>
      <w:r>
        <w:rPr>
          <w:rtl/>
        </w:rPr>
        <w:t xml:space="preserve">, בכיוון הכללי של נהר </w:t>
      </w:r>
      <w:proofErr w:type="spellStart"/>
      <w:r>
        <w:rPr>
          <w:rtl/>
        </w:rPr>
        <w:t>הוויליה</w:t>
      </w:r>
      <w:proofErr w:type="spellEnd"/>
      <w:r>
        <w:rPr>
          <w:rtl/>
        </w:rPr>
        <w:t xml:space="preserve">, הנהר שהכיר אבי </w:t>
      </w:r>
      <w:proofErr w:type="spellStart"/>
      <w:r>
        <w:rPr>
          <w:rtl/>
        </w:rPr>
        <w:t>מקאליסקובקה</w:t>
      </w:r>
      <w:proofErr w:type="spellEnd"/>
      <w:r>
        <w:rPr>
          <w:rtl/>
        </w:rPr>
        <w:t xml:space="preserve"> מולדתו. בווילנה, לאחר שעברו שני שלישים מן הדרך אל מחוז חפצם, היו צריכים להחליף רכבת. </w:t>
      </w:r>
      <w:proofErr w:type="spellStart"/>
      <w:r>
        <w:rPr>
          <w:rtl/>
        </w:rPr>
        <w:t>הדולהינובר</w:t>
      </w:r>
      <w:proofErr w:type="spellEnd"/>
      <w:r>
        <w:rPr>
          <w:rtl/>
        </w:rPr>
        <w:t xml:space="preserve"> הסקרן וחברו הסיסלוביצ׳ר</w:t>
      </w:r>
      <w:bookmarkStart w:id="1560" w:name="b3_ref2"/>
      <w:bookmarkEnd w:id="1560"/>
      <w:r>
        <w:rPr>
          <w:vertAlign w:val="superscript"/>
          <w:rtl/>
        </w:rPr>
        <w:fldChar w:fldCharType="begin" w:dirty="true"/>
      </w:r>
      <w:r>
        <w:rPr>
          <w:vertAlign w:val="superscript"/>
          <w:rtl/>
        </w:rPr>
        <w:instrText xml:space="preserve"> REF b3_note2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xml:space="preserve"> החליטו לנצל את שעות הפנאי המעטות שהיו להם כדי להעיף מבט בעיר.</w:t>
      </w:r>
    </w:p>
    <w:bookmarkStart w:id="1561" w:name="b3_note1"/>
    <w:p w14:paraId="27CBFC91" w14:textId="77777777" w:rsidR="00AB3647" w:rsidRDefault="00000000" w:rsidP="007923E9">
      <w:pPr>
        <w:spacing w:before="120" w:after="100" w:line="276" w:lineRule="auto"/>
        <w:jc w:val="both"/>
      </w:pPr>
      <w:r>
        <w:fldChar w:fldCharType="begin" w:dirty="true"/>
      </w:r>
      <w:r>
        <w:instrText>HYPERLINK \l "b3_ref1"</w:instrText>
      </w:r>
      <w:r>
        <w:fldChar w:fldCharType="separate"/>
      </w:r>
      <w:r>
        <w:rPr>
          <w:b/>
          <w:bCs/>
          <w:rtl/>
        </w:rPr>
        <w:t>1</w:t>
      </w:r>
      <w:r>
        <w:rPr>
          <w:b/>
          <w:bCs/>
        </w:rPr>
        <w:fldChar w:fldCharType="end"/>
      </w:r>
      <w:bookmarkEnd w:id="1561"/>
      <w:r>
        <w:rPr>
          <w:rtl/>
        </w:rPr>
        <w:t xml:space="preserve"> כפי שסיפר אבי לנכדו ר׳ יוסף בביקורו האחרון בארץ ישראל, בחור הישיבה השלישי למד עד אז בכנסת בית יצחק </w:t>
      </w:r>
      <w:proofErr w:type="spellStart"/>
      <w:r>
        <w:rPr>
          <w:rtl/>
        </w:rPr>
        <w:t>שבסלבודקה</w:t>
      </w:r>
      <w:proofErr w:type="spellEnd"/>
      <w:r>
        <w:rPr>
          <w:rtl/>
        </w:rPr>
        <w:t xml:space="preserve"> ותכנן לעבור לכנסת ישראל. אבי זיהה את הנוסע השלישי רק בשמו הפרטי – גם הוא יעקב – ואמר עליו שהיה בחור פשוט. אבי ור׳ אהרן נזקקו לעזרה כשהגיעו למחוז חפצם</w:t>
      </w:r>
      <w:bookmarkStart w:id="1562" w:name="_fnr1039"/>
      <w:r>
        <w:rPr>
          <w:rStyle w:val="a5"/>
        </w:rPr>
        <w:footnoteReference w:id="1042" w:customMarkFollows="0"/>
      </w:r>
      <w:bookmarkEnd w:id="1562"/>
      <w:r>
        <w:rPr>
          <w:rtl/>
        </w:rPr>
        <w:t xml:space="preserve">, אבל הבחור השלישי יכול היה להסתדר בכוחות עצמו, שכן עשה את הסידורים הדרושים לפני שיצא </w:t>
      </w:r>
      <w:proofErr w:type="spellStart"/>
      <w:r>
        <w:rPr>
          <w:rtl/>
        </w:rPr>
        <w:t>מסלבודקה</w:t>
      </w:r>
      <w:proofErr w:type="spellEnd"/>
      <w:r>
        <w:rPr>
          <w:rtl/>
        </w:rPr>
        <w:t>.</w:t>
      </w:r>
    </w:p>
    <w:p w14:paraId="57A509E3" w14:textId="77777777" w:rsidR="00AB3647" w:rsidRDefault="00000000" w:rsidP="007923E9">
      <w:pPr>
        <w:spacing w:after="100" w:line="276" w:lineRule="auto"/>
        <w:ind w:firstLine="340"/>
        <w:jc w:val="both"/>
      </w:pPr>
      <w:r>
        <w:rPr>
          <w:rtl/>
        </w:rPr>
        <w:t>ראה “פאר הדור”, ח״א,</w:t>
      </w:r>
      <w:bookmarkStart w:id="1563" w:name="_fnr1040"/>
      <w:r>
        <w:rPr>
          <w:rStyle w:val="a5"/>
        </w:rPr>
        <w:footnoteReference w:id="1043" w:customMarkFollows="0"/>
      </w:r>
      <w:bookmarkEnd w:id="1563"/>
      <w:r>
        <w:rPr>
          <w:rtl/>
        </w:rPr>
        <w:t xml:space="preserve"> על תלמיד נוסף ממינסק, </w:t>
      </w:r>
      <w:proofErr w:type="spellStart"/>
      <w:r>
        <w:rPr>
          <w:rtl/>
        </w:rPr>
        <w:t>נחום־מאיר</w:t>
      </w:r>
      <w:proofErr w:type="spellEnd"/>
      <w:r>
        <w:rPr>
          <w:rtl/>
        </w:rPr>
        <w:t xml:space="preserve"> </w:t>
      </w:r>
      <w:proofErr w:type="spellStart"/>
      <w:r>
        <w:rPr>
          <w:rtl/>
        </w:rPr>
        <w:t>ציבולניק</w:t>
      </w:r>
      <w:proofErr w:type="spellEnd"/>
      <w:r>
        <w:rPr>
          <w:rtl/>
        </w:rPr>
        <w:t xml:space="preserve">, המבוגר מאבי בשנתיים, בן אחותו של ר׳ שלמה </w:t>
      </w:r>
      <w:proofErr w:type="spellStart"/>
      <w:r>
        <w:rPr>
          <w:rtl/>
        </w:rPr>
        <w:t>גולובנצ׳יץ</w:t>
      </w:r>
      <w:proofErr w:type="spellEnd"/>
      <w:r>
        <w:rPr>
          <w:rtl/>
        </w:rPr>
        <w:t xml:space="preserve">, שיצא </w:t>
      </w:r>
      <w:proofErr w:type="spellStart"/>
      <w:r>
        <w:rPr>
          <w:rtl/>
        </w:rPr>
        <w:t>לסלבודקה</w:t>
      </w:r>
      <w:proofErr w:type="spellEnd"/>
      <w:r>
        <w:rPr>
          <w:rtl/>
        </w:rPr>
        <w:t xml:space="preserve"> באותו זמן שיצא ר׳ אהרן קוטלר. הרב </w:t>
      </w:r>
      <w:proofErr w:type="spellStart"/>
      <w:r>
        <w:rPr>
          <w:rtl/>
        </w:rPr>
        <w:t>ציבולניק</w:t>
      </w:r>
      <w:proofErr w:type="spellEnd"/>
      <w:r>
        <w:rPr>
          <w:rtl/>
        </w:rPr>
        <w:t xml:space="preserve"> נשא לימים את אחותו של </w:t>
      </w:r>
      <w:proofErr w:type="spellStart"/>
      <w:r>
        <w:rPr>
          <w:rtl/>
        </w:rPr>
        <w:t>החזון־איש</w:t>
      </w:r>
      <w:proofErr w:type="spellEnd"/>
      <w:r>
        <w:rPr>
          <w:rtl/>
        </w:rPr>
        <w:t xml:space="preserve">, והוא אביו של הדיין מבני ברק, ר׳ ניסים </w:t>
      </w:r>
      <w:proofErr w:type="spellStart"/>
      <w:r>
        <w:rPr>
          <w:rtl/>
        </w:rPr>
        <w:t>קרליץ</w:t>
      </w:r>
      <w:proofErr w:type="spellEnd"/>
      <w:r>
        <w:rPr>
          <w:rtl/>
        </w:rPr>
        <w:t xml:space="preserve">. אביו של </w:t>
      </w:r>
      <w:proofErr w:type="spellStart"/>
      <w:r>
        <w:rPr>
          <w:rtl/>
        </w:rPr>
        <w:t>נחום־מאיר</w:t>
      </w:r>
      <w:proofErr w:type="spellEnd"/>
      <w:r>
        <w:rPr>
          <w:rtl/>
        </w:rPr>
        <w:t xml:space="preserve"> נפטר כשהיה “בן חודשים אחדים”, </w:t>
      </w:r>
      <w:proofErr w:type="spellStart"/>
      <w:r>
        <w:rPr>
          <w:rtl/>
        </w:rPr>
        <w:t>ואמו</w:t>
      </w:r>
      <w:proofErr w:type="spellEnd"/>
      <w:r>
        <w:rPr>
          <w:rtl/>
        </w:rPr>
        <w:t xml:space="preserve"> שלחה אותו לבסוף לישיבת אחיה. אבי לא הזכיר אותו, ולכן נראה לי בתחילה </w:t>
      </w:r>
      <w:proofErr w:type="spellStart"/>
      <w:r>
        <w:rPr>
          <w:rtl/>
        </w:rPr>
        <w:t>ש“פאר</w:t>
      </w:r>
      <w:proofErr w:type="spellEnd"/>
      <w:r>
        <w:rPr>
          <w:rtl/>
        </w:rPr>
        <w:t xml:space="preserve"> הדור” טעה – </w:t>
      </w:r>
      <w:proofErr w:type="spellStart"/>
      <w:r>
        <w:rPr>
          <w:rtl/>
        </w:rPr>
        <w:t>שציבולניק</w:t>
      </w:r>
      <w:proofErr w:type="spellEnd"/>
      <w:r>
        <w:rPr>
          <w:rtl/>
        </w:rPr>
        <w:t xml:space="preserve"> לא היה ברכבת. גם נראה הגיוני שלא תיאמו ביניהם את תוכניות הנסיעה, מאחר </w:t>
      </w:r>
      <w:r>
        <w:rPr>
          <w:rtl/>
        </w:rPr>
        <w:lastRenderedPageBreak/>
        <w:t xml:space="preserve">שאבי ואהרן פינס למדו בשול </w:t>
      </w:r>
      <w:proofErr w:type="spellStart"/>
      <w:r>
        <w:rPr>
          <w:rtl/>
        </w:rPr>
        <w:t>הקצבים</w:t>
      </w:r>
      <w:proofErr w:type="spellEnd"/>
      <w:r>
        <w:rPr>
          <w:rtl/>
        </w:rPr>
        <w:t xml:space="preserve"> (ואת נסיעתם מימן ר׳ </w:t>
      </w:r>
      <w:proofErr w:type="spellStart"/>
      <w:r>
        <w:rPr>
          <w:rtl/>
        </w:rPr>
        <w:t>יעקב־נח</w:t>
      </w:r>
      <w:proofErr w:type="spellEnd"/>
      <w:r>
        <w:rPr>
          <w:rtl/>
        </w:rPr>
        <w:t xml:space="preserve"> </w:t>
      </w:r>
      <w:proofErr w:type="spellStart"/>
      <w:r>
        <w:rPr>
          <w:rtl/>
        </w:rPr>
        <w:t>אוקסנקרוג</w:t>
      </w:r>
      <w:proofErr w:type="spellEnd"/>
      <w:r>
        <w:rPr>
          <w:rtl/>
        </w:rPr>
        <w:t xml:space="preserve"> אוהב הצדקה</w:t>
      </w:r>
      <w:bookmarkStart w:id="1564" w:name="_fnr1041"/>
      <w:r>
        <w:rPr>
          <w:rStyle w:val="a5"/>
        </w:rPr>
        <w:footnoteReference w:id="1044" w:customMarkFollows="0"/>
      </w:r>
      <w:bookmarkEnd w:id="1564"/>
      <w:r>
        <w:rPr>
          <w:rtl/>
        </w:rPr>
        <w:t xml:space="preserve">), ואילו </w:t>
      </w:r>
      <w:proofErr w:type="spellStart"/>
      <w:r>
        <w:rPr>
          <w:rtl/>
        </w:rPr>
        <w:t>נחום־מאיר</w:t>
      </w:r>
      <w:proofErr w:type="spellEnd"/>
      <w:r>
        <w:rPr>
          <w:rtl/>
        </w:rPr>
        <w:t xml:space="preserve"> למד בישיבת דודו.</w:t>
      </w:r>
    </w:p>
    <w:p w14:paraId="717920AE" w14:textId="5C9E0188" w:rsidR="00AB3647" w:rsidRDefault="00000000" w:rsidP="007923E9">
      <w:pPr>
        <w:spacing w:after="100" w:line="276" w:lineRule="auto"/>
        <w:ind w:firstLine="340"/>
        <w:jc w:val="both"/>
      </w:pPr>
      <w:r>
        <w:rPr>
          <w:rtl/>
        </w:rPr>
        <w:t xml:space="preserve">אבל ר׳ </w:t>
      </w:r>
      <w:proofErr w:type="spellStart"/>
      <w:r>
        <w:rPr>
          <w:rtl/>
        </w:rPr>
        <w:t>אברהם־ישעיה</w:t>
      </w:r>
      <w:proofErr w:type="spellEnd"/>
      <w:r>
        <w:rPr>
          <w:rtl/>
        </w:rPr>
        <w:t xml:space="preserve"> </w:t>
      </w:r>
      <w:proofErr w:type="spellStart"/>
      <w:r>
        <w:rPr>
          <w:rtl/>
        </w:rPr>
        <w:t>קרליץ</w:t>
      </w:r>
      <w:proofErr w:type="spellEnd"/>
      <w:r>
        <w:rPr>
          <w:rtl/>
        </w:rPr>
        <w:t xml:space="preserve"> הבטיח לי</w:t>
      </w:r>
      <w:bookmarkStart w:id="1565" w:name="_fnr1042"/>
      <w:r>
        <w:rPr>
          <w:rStyle w:val="a5"/>
        </w:rPr>
        <w:footnoteReference w:id="1045" w:customMarkFollows="0"/>
      </w:r>
      <w:bookmarkEnd w:id="1565"/>
      <w:r>
        <w:rPr>
          <w:rtl/>
        </w:rPr>
        <w:t xml:space="preserve"> שבמשפחה יש מסורת שסבו, ר׳ </w:t>
      </w:r>
      <w:proofErr w:type="spellStart"/>
      <w:r>
        <w:rPr>
          <w:rtl/>
        </w:rPr>
        <w:t>נחום־מאיר</w:t>
      </w:r>
      <w:proofErr w:type="spellEnd"/>
      <w:r>
        <w:rPr>
          <w:rtl/>
        </w:rPr>
        <w:t xml:space="preserve">, נסע יחד עם אבי, ורק </w:t>
      </w:r>
      <w:r>
        <w:rPr>
          <w:b/>
          <w:bCs/>
          <w:rtl/>
        </w:rPr>
        <w:t>ברכבת</w:t>
      </w:r>
      <w:r>
        <w:rPr>
          <w:rtl/>
        </w:rPr>
        <w:t xml:space="preserve"> פגשו את ר׳ אהרן קוטלר. אם כן, הדיווח של “פאר הדור” מדויק. בפרק 2, הערה </w:t>
      </w:r>
      <w:r>
        <w:rPr>
          <w:rtl/>
        </w:rPr>
        <w:fldChar w:fldCharType="begin" w:dirty="true"/>
      </w:r>
      <w:r>
        <w:rPr>
          <w:rtl/>
        </w:rPr>
        <w:instrText xml:space="preserve"> REF b2_note103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מוסבר איך יצא שסידורי הנסיעה היו כך.</w:t>
      </w:r>
    </w:p>
    <w:p w14:paraId="4EE79D89" w14:textId="77777777" w:rsidR="00AB3647" w:rsidRDefault="00000000" w:rsidP="007923E9">
      <w:pPr>
        <w:spacing w:after="100" w:line="276" w:lineRule="auto"/>
        <w:ind w:firstLine="340"/>
        <w:jc w:val="both"/>
      </w:pPr>
      <w:r>
        <w:rPr>
          <w:rtl/>
        </w:rPr>
        <w:t xml:space="preserve">את </w:t>
      </w:r>
      <w:proofErr w:type="spellStart"/>
      <w:r>
        <w:rPr>
          <w:rtl/>
        </w:rPr>
        <w:t>נחום־מאיר</w:t>
      </w:r>
      <w:proofErr w:type="spellEnd"/>
      <w:r>
        <w:rPr>
          <w:rtl/>
        </w:rPr>
        <w:t xml:space="preserve"> הכיר רבנו ממקומות לימוד קודמים אצל ר׳ שלמה </w:t>
      </w:r>
      <w:proofErr w:type="spellStart"/>
      <w:r>
        <w:rPr>
          <w:rtl/>
        </w:rPr>
        <w:t>גולובנצ׳יץ</w:t>
      </w:r>
      <w:proofErr w:type="spellEnd"/>
      <w:r>
        <w:rPr>
          <w:rtl/>
        </w:rPr>
        <w:t xml:space="preserve">, שול “משכיל לאיתן” ובית המדרש הקטן (כמסופר בפסקה השישית בפרק 2.2). אהרן פינס, לעומתו, היה ידידו החדש יותר – וכפי שהתברר, ידיד לכל ימי חייו. משום כך לא שם אבי לב לנוכחותו של </w:t>
      </w:r>
      <w:proofErr w:type="spellStart"/>
      <w:r>
        <w:rPr>
          <w:rtl/>
        </w:rPr>
        <w:t>ציבולניק</w:t>
      </w:r>
      <w:proofErr w:type="spellEnd"/>
      <w:r>
        <w:rPr>
          <w:rtl/>
        </w:rPr>
        <w:t>, ולא הזכיר אותו כמי שנסע יחד עם ר׳ אהרן ועמו. הנוסע הרביעי, יעקב הנזכר לעיל, ששם משפחתו אינו ידוע, היה ודאי מכר של ר׳ אהרן מחצי השנה שלמד בכנסת בית יצחק,</w:t>
      </w:r>
      <w:bookmarkStart w:id="1566" w:name="_fnr1043"/>
      <w:r>
        <w:rPr>
          <w:rStyle w:val="a5"/>
        </w:rPr>
        <w:footnoteReference w:id="1046" w:customMarkFollows="0"/>
      </w:r>
      <w:bookmarkEnd w:id="1566"/>
      <w:r>
        <w:rPr>
          <w:rtl/>
        </w:rPr>
        <w:t xml:space="preserve"> ואבי קשר אותו לחברו, וממילא גם לעצמו.</w:t>
      </w:r>
    </w:p>
    <w:bookmarkStart w:id="1567" w:name="b3_note2"/>
    <w:p w14:paraId="26936105" w14:textId="77777777" w:rsidR="00AB3647" w:rsidRDefault="00000000" w:rsidP="007923E9">
      <w:pPr>
        <w:spacing w:before="120" w:after="100" w:line="276" w:lineRule="auto"/>
        <w:jc w:val="both"/>
      </w:pPr>
      <w:r>
        <w:fldChar w:fldCharType="begin" w:dirty="true"/>
      </w:r>
      <w:r>
        <w:instrText>HYPERLINK \l "b3_ref2"</w:instrText>
      </w:r>
      <w:r>
        <w:fldChar w:fldCharType="separate"/>
      </w:r>
      <w:r>
        <w:rPr>
          <w:b/>
          <w:bCs/>
          <w:rtl/>
        </w:rPr>
        <w:t>2</w:t>
      </w:r>
      <w:r>
        <w:rPr>
          <w:b/>
          <w:bCs/>
        </w:rPr>
        <w:fldChar w:fldCharType="end"/>
      </w:r>
      <w:bookmarkEnd w:id="1567"/>
      <w:r>
        <w:rPr>
          <w:rtl/>
        </w:rPr>
        <w:t xml:space="preserve"> בן לוויתם </w:t>
      </w:r>
      <w:proofErr w:type="spellStart"/>
      <w:r>
        <w:rPr>
          <w:rtl/>
        </w:rPr>
        <w:t>ה“פשוט</w:t>
      </w:r>
      <w:proofErr w:type="spellEnd"/>
      <w:r>
        <w:rPr>
          <w:rtl/>
        </w:rPr>
        <w:t xml:space="preserve">”, יעקב, לא הצטרף אליהם. אולי כבר ראה את העיר באחת מנסיעותיו הקודמות לקובנה, או שלא היה קרוב די הצורך לשני האחרים כדי שיזמינו אותו להצטרף. גם </w:t>
      </w:r>
      <w:proofErr w:type="spellStart"/>
      <w:r>
        <w:rPr>
          <w:rtl/>
        </w:rPr>
        <w:t>נחום־מאיר</w:t>
      </w:r>
      <w:proofErr w:type="spellEnd"/>
      <w:r>
        <w:rPr>
          <w:rtl/>
        </w:rPr>
        <w:t xml:space="preserve"> </w:t>
      </w:r>
      <w:proofErr w:type="spellStart"/>
      <w:r>
        <w:rPr>
          <w:rtl/>
        </w:rPr>
        <w:t>ציבולניק</w:t>
      </w:r>
      <w:proofErr w:type="spellEnd"/>
      <w:r>
        <w:rPr>
          <w:rtl/>
        </w:rPr>
        <w:t xml:space="preserve"> (שלא הוזכר) לא נלקח עמם.</w:t>
      </w:r>
    </w:p>
    <w:p w14:paraId="7EFDC4E5" w14:textId="030F9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בטיולם תעו בדרך, כשנאלצו לעקוף דרך השכונה של רחוב </w:t>
      </w:r>
      <w:proofErr w:type="spellStart"/>
      <w:r>
        <w:rPr>
          <w:rtl/>
        </w:rPr>
        <w:t>אוסטרובראמה</w:t>
      </w:r>
      <w:proofErr w:type="spellEnd"/>
      <w:r>
        <w:rPr>
          <w:rtl/>
        </w:rPr>
        <w:t>. רחוב זה עבר בשער מקומר שבתוך כנסייה: הקתולים שנכנסו בשער כרעו והצטלבו, ואילו היהודים, להבדיל, נדרשו להסיר את כובעיהם.</w:t>
      </w:r>
      <w:bookmarkStart w:id="1568" w:name="b3_ref3"/>
      <w:bookmarkEnd w:id="1568"/>
      <w:r>
        <w:rPr>
          <w:vertAlign w:val="superscript"/>
          <w:rtl/>
        </w:rPr>
        <w:fldChar w:fldCharType="begin" w:dirty="true"/>
      </w:r>
      <w:r>
        <w:rPr>
          <w:vertAlign w:val="superscript"/>
          <w:rtl/>
        </w:rPr>
        <w:instrText xml:space="preserve"> REF b3_note3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יהודי וילנאי טוב לב, שראה את שני הנערים מעיינים בשלטי הרחובות, הבין שתעו והוליכם בחזרה אל התחנה.</w:t>
      </w:r>
      <w:bookmarkStart w:id="1569" w:name="b3_ref4"/>
      <w:bookmarkEnd w:id="1569"/>
      <w:r>
        <w:rPr>
          <w:vertAlign w:val="superscript"/>
          <w:rtl/>
        </w:rPr>
        <w:fldChar w:fldCharType="begin" w:dirty="true"/>
      </w:r>
      <w:r>
        <w:rPr>
          <w:vertAlign w:val="superscript"/>
          <w:rtl/>
        </w:rPr>
        <w:instrText xml:space="preserve"> REF b3_note4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p>
    <w:bookmarkStart w:id="1570" w:name="b3_note3"/>
    <w:p w14:paraId="68777B5A" w14:textId="77777777" w:rsidR="00AB3647" w:rsidRDefault="00000000" w:rsidP="007923E9">
      <w:pPr>
        <w:spacing w:before="120" w:after="100" w:line="276" w:lineRule="auto"/>
        <w:jc w:val="both"/>
      </w:pPr>
      <w:r>
        <w:fldChar w:fldCharType="begin" w:dirty="true"/>
      </w:r>
      <w:r>
        <w:instrText>HYPERLINK \l "b3_ref3"</w:instrText>
      </w:r>
      <w:r>
        <w:fldChar w:fldCharType="separate"/>
      </w:r>
      <w:r>
        <w:rPr>
          <w:b/>
          <w:bCs/>
          <w:rtl/>
        </w:rPr>
        <w:t>3</w:t>
      </w:r>
      <w:r>
        <w:rPr>
          <w:b/>
          <w:bCs/>
        </w:rPr>
        <w:fldChar w:fldCharType="end"/>
      </w:r>
      <w:bookmarkEnd w:id="1570"/>
      <w:r>
        <w:rPr>
          <w:rtl/>
        </w:rPr>
        <w:t xml:space="preserve"> בזיכרונותיו של ברוך צוקרמן</w:t>
      </w:r>
      <w:bookmarkStart w:id="1571" w:name="_fnr1044"/>
      <w:r>
        <w:rPr>
          <w:rStyle w:val="a5"/>
        </w:rPr>
        <w:footnoteReference w:id="1047" w:customMarkFollows="0"/>
      </w:r>
      <w:bookmarkEnd w:id="1571"/>
      <w:r>
        <w:rPr>
          <w:rtl/>
        </w:rPr>
        <w:t xml:space="preserve"> מעלה המחבר זיכרון ממאורע שאירע כשהיה בן </w:t>
      </w:r>
      <w:proofErr w:type="spellStart"/>
      <w:r>
        <w:rPr>
          <w:rtl/>
        </w:rPr>
        <w:t>ארבע־עשרה</w:t>
      </w:r>
      <w:proofErr w:type="spellEnd"/>
      <w:r>
        <w:rPr>
          <w:rtl/>
        </w:rPr>
        <w:t xml:space="preserve">. הוא ביקר אז את אביו, שעזב את ביתו לעבודה עונתית בקיץ (“אחרי שבועות עד לפני ראש השנה”) – שמירת פרדס בווילנה.</w:t>
      </w:r>
    </w:p>
    <w:p w14:paraId="4AC416C4" w14:textId="77777777" w:rsidR="00AB3647" w:rsidRDefault="00000000" w:rsidP="007923E9">
      <w:pPr>
        <w:spacing w:before="120" w:after="100" w:line="276" w:lineRule="auto"/>
        <w:jc w:val="both"/>
      </w:pPr>
      <w:r>
        <w:rPr>
          <w:rtl/>
        </w:rPr>
        <w:t xml:space="preserve">הוא מספר: “אבי היה הולך בכל שבת אחר הצהריים לשמוע את המגיד </w:t>
      </w:r>
      <w:proofErr w:type="spellStart"/>
      <w:r>
        <w:rPr>
          <w:rtl/>
        </w:rPr>
        <w:t>בקלויז</w:t>
      </w:r>
      <w:proofErr w:type="spellEnd"/>
      <w:r>
        <w:rPr>
          <w:rtl/>
        </w:rPr>
        <w:t xml:space="preserve"> שברחוב </w:t>
      </w:r>
      <w:proofErr w:type="spellStart"/>
      <w:r>
        <w:rPr>
          <w:rtl/>
        </w:rPr>
        <w:t>זוולנה</w:t>
      </w:r>
      <w:proofErr w:type="spellEnd"/>
      <w:r>
        <w:rPr>
          <w:rtl/>
        </w:rPr>
        <w:t xml:space="preserve">. הפרדס היה בקצה רחוב </w:t>
      </w:r>
      <w:proofErr w:type="spellStart"/>
      <w:r>
        <w:rPr>
          <w:rtl/>
        </w:rPr>
        <w:t>אוסטרובראמה</w:t>
      </w:r>
      <w:proofErr w:type="spellEnd"/>
      <w:r>
        <w:rPr>
          <w:rtl/>
        </w:rPr>
        <w:t xml:space="preserve">, וכדי ללכת לשמוע את המגיד היה צריך לעבור [בשער של] ‘כנסיית </w:t>
      </w:r>
      <w:proofErr w:type="spellStart"/>
      <w:r>
        <w:rPr>
          <w:rtl/>
        </w:rPr>
        <w:t>אוסטרובראמה</w:t>
      </w:r>
      <w:proofErr w:type="spellEnd"/>
      <w:r>
        <w:rPr>
          <w:rtl/>
        </w:rPr>
        <w:t xml:space="preserve">’, שהיו בה תשמישי ‘קדושה’ נוצריים מכל המינים. כל העובר שם היה חייב להסיר את כובעו. מאחר שהייתי בווילנה בפעם הראשונה, מובן שלא ידעתי על מנהג זה. באותה שבת לקח אותי אבי עמו לשמוע את המגיד. כשעבר בשער לא הסיר את כובעו – אם עשה כן משום שהיהודי שבו לא הניח לו, או שפשוט שכח, איני יודע. אני זוכר רק כיצד הלמו בראשו שני בחורים פולנים גדולים, עד שנפל כובעו ותפחה בליטה על מצחו. </w:t>
      </w:r>
      <w:r>
        <w:rPr>
          <w:rtl/>
        </w:rPr>
        <w:lastRenderedPageBreak/>
        <w:t xml:space="preserve">אבי אפילו לא הגיב על ההתנפלות. הוא רק הרים את כובעו, כיסה את הפצע במצחייה, אחז בידי והלך אל </w:t>
      </w:r>
      <w:proofErr w:type="spellStart"/>
      <w:r>
        <w:rPr>
          <w:rtl/>
        </w:rPr>
        <w:t>הקלויז</w:t>
      </w:r>
      <w:proofErr w:type="spellEnd"/>
      <w:r>
        <w:rPr>
          <w:rtl/>
        </w:rPr>
        <w:t xml:space="preserve"> לשמוע את המגיד – כאילו לא אירע דבר. איני יודע אם שמע את דרשת המגיד אם לאו, אבל אני יודע שאף מילה אחת לא נכנסה לראשי. חנקתי בקרבי את הכאב העמוק על שאבי הושפל כך. בדרך חזרה הוליך אותי אבי בסמטאות צדדיות שעקפו את שער </w:t>
      </w:r>
      <w:proofErr w:type="spellStart"/>
      <w:r>
        <w:rPr>
          <w:rtl/>
        </w:rPr>
        <w:t>אוסטרובראמה</w:t>
      </w:r>
      <w:proofErr w:type="spellEnd"/>
      <w:r>
        <w:rPr>
          <w:rtl/>
        </w:rPr>
        <w:t>.”</w:t>
      </w:r>
    </w:p>
    <w:bookmarkStart w:id="1572" w:name="b3_note4"/>
    <w:p w14:paraId="5FAA4CB2" w14:textId="77777777" w:rsidR="00AB3647" w:rsidRDefault="00000000" w:rsidP="007923E9">
      <w:pPr>
        <w:spacing w:before="120" w:after="100" w:line="276" w:lineRule="auto"/>
        <w:jc w:val="both"/>
      </w:pPr>
      <w:r>
        <w:fldChar w:fldCharType="begin" w:dirty="true"/>
      </w:r>
      <w:r>
        <w:instrText>HYPERLINK \l "b3_ref4"</w:instrText>
      </w:r>
      <w:r>
        <w:fldChar w:fldCharType="separate"/>
      </w:r>
      <w:r>
        <w:rPr>
          <w:b/>
          <w:bCs/>
          <w:rtl/>
        </w:rPr>
        <w:t>4</w:t>
      </w:r>
      <w:r>
        <w:rPr>
          <w:b/>
          <w:bCs/>
        </w:rPr>
        <w:fldChar w:fldCharType="end"/>
      </w:r>
      <w:bookmarkEnd w:id="1572"/>
      <w:r>
        <w:rPr>
          <w:rtl/>
        </w:rPr>
        <w:t xml:space="preserve"> הרפתקה זו סופרה בשיחה המוקלטת עם ר׳ מרדכי שפירא.</w:t>
      </w:r>
      <w:bookmarkStart w:id="1573" w:name="_fnr1045"/>
      <w:r>
        <w:rPr>
          <w:rStyle w:val="a5"/>
        </w:rPr>
        <w:footnoteReference w:id="1048" w:customMarkFollows="0"/>
      </w:r>
      <w:bookmarkEnd w:id="1573"/>
      <w:r>
        <w:rPr>
          <w:rtl/>
        </w:rPr>
        <w:t xml:space="preserve"> אבי סיפר שהם לא שאלו את היהודי איך מגיעים לתחנה; הוא הבין מהתנהגותם שתעו. בדרך לתחנה שאל אותם מאין הם, וכשענו לו: “אנו נוסעים ממינסק”, העיר: “האמנם כך הוא, שבמינסק, כששואלים אנשים לאן ללכת, אין הם מראים לך?!” בדרך עקיפין רמז היהודי הוילנאי שאילו באו מעיר שאנשיה עוזרים לזרים תועים, ודאי היו שואלים מישהו לדרך. אבי צחק כשסיפר את הערתו של היהודי הוילנאי. הוא ידע היטב עד כמה טובי לב ומכניסי אורחים היו יהודי מינסק: הנערים לא שאלו לדרך מתוך ביישנות גרידא.</w:t>
      </w:r>
    </w:p>
    <w:p w14:paraId="234D2D4B" w14:textId="52AD23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הנערים שמחו לשוב אל הרכבת, ולבסוף הגיעו לקובנה, עיר גדולה השוכנת בזווית שבמפגש </w:t>
      </w:r>
      <w:proofErr w:type="spellStart"/>
      <w:r>
        <w:rPr>
          <w:rtl/>
        </w:rPr>
        <w:t>הוויליה</w:t>
      </w:r>
      <w:proofErr w:type="spellEnd"/>
      <w:r>
        <w:rPr>
          <w:rtl/>
        </w:rPr>
        <w:t xml:space="preserve">, הפונה </w:t>
      </w:r>
      <w:proofErr w:type="spellStart"/>
      <w:r>
        <w:rPr>
          <w:rtl/>
        </w:rPr>
        <w:t>דרומה־מערבה</w:t>
      </w:r>
      <w:proofErr w:type="spellEnd"/>
      <w:r>
        <w:rPr>
          <w:rtl/>
        </w:rPr>
        <w:t xml:space="preserve">, עם נהר </w:t>
      </w:r>
      <w:proofErr w:type="spellStart"/>
      <w:r>
        <w:rPr>
          <w:rtl/>
        </w:rPr>
        <w:t>הנמן</w:t>
      </w:r>
      <w:proofErr w:type="spellEnd"/>
      <w:r>
        <w:rPr>
          <w:rtl/>
        </w:rPr>
        <w:t xml:space="preserve"> הרחב ממנו.</w:t>
      </w:r>
      <w:bookmarkStart w:id="1574" w:name="b3_ref5"/>
      <w:bookmarkEnd w:id="1574"/>
      <w:r>
        <w:rPr>
          <w:vertAlign w:val="superscript"/>
          <w:rtl/>
        </w:rPr>
        <w:fldChar w:fldCharType="begin" w:dirty="true"/>
      </w:r>
      <w:r>
        <w:rPr>
          <w:vertAlign w:val="superscript"/>
          <w:rtl/>
        </w:rPr>
        <w:instrText xml:space="preserve"> REF b3_note5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5 </w:t>
      </w:r>
      <w:r>
        <w:rPr>
          <w:vertAlign w:val="superscript"/>
          <w:rtl/>
        </w:rPr>
        <w:fldChar w:fldCharType="end"/>
      </w:r>
      <w:r>
        <w:rPr>
          <w:rtl/>
        </w:rPr>
        <w:t xml:space="preserve"> בכ״ט בניסן (24 באפריל) ראו הנוסעים את העיר, בת 75,000 תושבים, שיותר ממחציתם היו יהודים. קובנה הרשימה ביופי בנייניה ובהדר נופה, ואת שוליה תחמו גבעות, שעדיין היו חשופות כדרכן בעונה זו. רוב ימות השנה חיברו גשרים על </w:t>
      </w:r>
      <w:proofErr w:type="spellStart"/>
      <w:r>
        <w:rPr>
          <w:rtl/>
        </w:rPr>
        <w:t>הוויליה</w:t>
      </w:r>
      <w:proofErr w:type="spellEnd"/>
      <w:r>
        <w:rPr>
          <w:rtl/>
        </w:rPr>
        <w:t xml:space="preserve"> ועל </w:t>
      </w:r>
      <w:proofErr w:type="spellStart"/>
      <w:r>
        <w:rPr>
          <w:rtl/>
        </w:rPr>
        <w:t>הנמן</w:t>
      </w:r>
      <w:proofErr w:type="spellEnd"/>
      <w:r>
        <w:rPr>
          <w:rtl/>
        </w:rPr>
        <w:t xml:space="preserve"> את העיר אל הפרברים </w:t>
      </w:r>
      <w:proofErr w:type="spellStart"/>
      <w:r>
        <w:rPr>
          <w:rtl/>
        </w:rPr>
        <w:t>ויליאמפולה</w:t>
      </w:r>
      <w:proofErr w:type="spellEnd"/>
      <w:r>
        <w:rPr>
          <w:rtl/>
        </w:rPr>
        <w:t xml:space="preserve"> </w:t>
      </w:r>
      <w:proofErr w:type="spellStart"/>
      <w:r>
        <w:rPr>
          <w:rtl/>
        </w:rPr>
        <w:t>ואלקסוט</w:t>
      </w:r>
      <w:proofErr w:type="spellEnd"/>
      <w:r>
        <w:rPr>
          <w:rtl/>
        </w:rPr>
        <w:t>, בהתאמה.</w:t>
      </w:r>
      <w:bookmarkStart w:id="1575" w:name="b3_ref6"/>
      <w:bookmarkEnd w:id="1575"/>
      <w:r>
        <w:rPr>
          <w:vertAlign w:val="superscript"/>
          <w:rtl/>
        </w:rPr>
        <w:fldChar w:fldCharType="begin" w:dirty="true"/>
      </w:r>
      <w:r>
        <w:rPr>
          <w:vertAlign w:val="superscript"/>
          <w:rtl/>
        </w:rPr>
        <w:instrText xml:space="preserve"> REF b3_note6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p>
    <w:bookmarkStart w:id="1576" w:name="b3_note5"/>
    <w:p w14:paraId="62CF6DE9" w14:textId="77777777" w:rsidR="00AB3647" w:rsidRDefault="00000000" w:rsidP="007923E9">
      <w:pPr>
        <w:spacing w:before="120" w:after="100" w:line="276" w:lineRule="auto"/>
        <w:jc w:val="both"/>
      </w:pPr>
      <w:r>
        <w:fldChar w:fldCharType="begin" w:dirty="true"/>
      </w:r>
      <w:r>
        <w:instrText>HYPERLINK \l "b3_ref5"</w:instrText>
      </w:r>
      <w:r>
        <w:fldChar w:fldCharType="separate"/>
      </w:r>
      <w:r>
        <w:rPr>
          <w:b/>
          <w:bCs/>
          <w:rtl/>
        </w:rPr>
        <w:t xml:space="preserve">5 </w:t>
      </w:r>
      <w:r>
        <w:rPr>
          <w:b/>
          <w:bCs/>
        </w:rPr>
        <w:fldChar w:fldCharType="end"/>
      </w:r>
      <w:bookmarkEnd w:id="1576"/>
      <w:r>
        <w:rPr>
          <w:rtl/>
        </w:rPr>
        <w:t>כדרכם של יהודים, נהגו למצוא קשרים בין שמות למקורות יהודיים. למשל, בשנים הראשונות, כשאמריקה נחשבה “טריפה”,</w:t>
      </w:r>
      <w:bookmarkStart w:id="1577" w:name="_fnr1046"/>
      <w:r>
        <w:rPr>
          <w:rStyle w:val="a5"/>
        </w:rPr>
        <w:footnoteReference w:id="1049" w:customMarkFollows="0"/>
      </w:r>
      <w:bookmarkEnd w:id="1577"/>
      <w:r>
        <w:rPr>
          <w:rtl/>
        </w:rPr>
        <w:t xml:space="preserve"> כינו אותה “עמא ריקא”, שפירושו בארמית: עם ריק. </w:t>
      </w:r>
      <w:proofErr w:type="spellStart"/>
      <w:r>
        <w:rPr>
          <w:rtl/>
        </w:rPr>
        <w:t>בשאשקעס</w:t>
      </w:r>
      <w:bookmarkStart w:id="1578" w:name="_fnr1047"/>
      <w:proofErr w:type="spellEnd"/>
      <w:r>
        <w:rPr>
          <w:rStyle w:val="a5"/>
        </w:rPr>
        <w:footnoteReference w:id="1050" w:customMarkFollows="0"/>
      </w:r>
      <w:bookmarkEnd w:id="1578"/>
      <w:r>
        <w:rPr>
          <w:rtl/>
        </w:rPr>
        <w:t xml:space="preserve"> מספר המחבר שאחי סבו גר </w:t>
      </w:r>
      <w:proofErr w:type="spellStart"/>
      <w:r>
        <w:rPr>
          <w:rtl/>
        </w:rPr>
        <w:t>בגרודנא</w:t>
      </w:r>
      <w:proofErr w:type="spellEnd"/>
      <w:r>
        <w:rPr>
          <w:rtl/>
        </w:rPr>
        <w:t xml:space="preserve"> על גדת נהר </w:t>
      </w:r>
      <w:proofErr w:type="spellStart"/>
      <w:r>
        <w:rPr>
          <w:rtl/>
        </w:rPr>
        <w:t>הנמן</w:t>
      </w:r>
      <w:proofErr w:type="spellEnd"/>
      <w:r>
        <w:rPr>
          <w:rtl/>
        </w:rPr>
        <w:t>, ותיאר את ביתו בפסוק</w:t>
      </w:r>
      <w:bookmarkStart w:id="1579" w:name="_fnr1048"/>
      <w:r>
        <w:rPr>
          <w:rStyle w:val="a5"/>
        </w:rPr>
        <w:footnoteReference w:id="1051" w:customMarkFollows="0"/>
      </w:r>
      <w:bookmarkEnd w:id="1579"/>
      <w:r>
        <w:rPr>
          <w:rtl/>
        </w:rPr>
        <w:t xml:space="preserve"> “בכל ביתי נאמן הוא” – כלומר, במובן מסוים: “(הנהר) </w:t>
      </w:r>
      <w:proofErr w:type="spellStart"/>
      <w:r>
        <w:rPr>
          <w:rtl/>
        </w:rPr>
        <w:t>נמן</w:t>
      </w:r>
      <w:proofErr w:type="spellEnd"/>
      <w:r>
        <w:rPr>
          <w:rtl/>
        </w:rPr>
        <w:t xml:space="preserve"> (זורם) סביב כל ביתי”.</w:t>
      </w:r>
    </w:p>
    <w:bookmarkStart w:id="1580" w:name="b3_note6"/>
    <w:p w14:paraId="4AB8716A" w14:textId="77777777" w:rsidR="00AB3647" w:rsidRDefault="00000000" w:rsidP="007923E9">
      <w:pPr>
        <w:spacing w:before="120" w:after="100" w:line="276" w:lineRule="auto"/>
        <w:jc w:val="both"/>
      </w:pPr>
      <w:r>
        <w:fldChar w:fldCharType="begin" w:dirty="true"/>
      </w:r>
      <w:r>
        <w:instrText>HYPERLINK \l "b3_ref6"</w:instrText>
      </w:r>
      <w:r>
        <w:fldChar w:fldCharType="separate"/>
      </w:r>
      <w:r>
        <w:rPr>
          <w:b/>
          <w:bCs/>
          <w:rtl/>
        </w:rPr>
        <w:t>6</w:t>
      </w:r>
      <w:r>
        <w:rPr>
          <w:b/>
          <w:bCs/>
        </w:rPr>
        <w:fldChar w:fldCharType="end"/>
      </w:r>
      <w:bookmarkEnd w:id="1580"/>
      <w:r>
        <w:rPr>
          <w:rtl/>
        </w:rPr>
        <w:t xml:space="preserve"> בן קלם ומתנגד המוסר אליעזר אליהו פרידמן מתאר </w:t>
      </w:r>
      <w:proofErr w:type="spellStart"/>
      <w:r>
        <w:rPr>
          <w:rtl/>
        </w:rPr>
        <w:t>ב“ספר</w:t>
      </w:r>
      <w:proofErr w:type="spellEnd"/>
      <w:r>
        <w:rPr>
          <w:rtl/>
        </w:rPr>
        <w:t xml:space="preserve"> </w:t>
      </w:r>
      <w:proofErr w:type="spellStart"/>
      <w:r>
        <w:rPr>
          <w:rtl/>
        </w:rPr>
        <w:t>הזכרונות</w:t>
      </w:r>
      <w:proofErr w:type="spellEnd"/>
      <w:r>
        <w:rPr>
          <w:rtl/>
        </w:rPr>
        <w:t xml:space="preserve"> (תרי״ח–תרפ״ו)”</w:t>
      </w:r>
      <w:bookmarkStart w:id="1581" w:name="_fnr1049"/>
      <w:r>
        <w:rPr>
          <w:rStyle w:val="a5"/>
        </w:rPr>
        <w:footnoteReference w:id="1052" w:customMarkFollows="0"/>
      </w:r>
      <w:bookmarkEnd w:id="1581"/>
      <w:r>
        <w:rPr>
          <w:rtl/>
        </w:rPr>
        <w:t xml:space="preserve"> שחיבר את אופיין השונה של </w:t>
      </w:r>
      <w:proofErr w:type="spellStart"/>
      <w:r>
        <w:rPr>
          <w:rtl/>
        </w:rPr>
        <w:t>ויליאמפולה</w:t>
      </w:r>
      <w:proofErr w:type="spellEnd"/>
      <w:r>
        <w:rPr>
          <w:rtl/>
        </w:rPr>
        <w:t xml:space="preserve"> (</w:t>
      </w:r>
      <w:proofErr w:type="spellStart"/>
      <w:r>
        <w:rPr>
          <w:rtl/>
        </w:rPr>
        <w:t>סלבודקה</w:t>
      </w:r>
      <w:proofErr w:type="spellEnd"/>
      <w:r>
        <w:rPr>
          <w:rtl/>
        </w:rPr>
        <w:t xml:space="preserve">) ושל </w:t>
      </w:r>
      <w:proofErr w:type="spellStart"/>
      <w:r>
        <w:rPr>
          <w:rtl/>
        </w:rPr>
        <w:t>אלקסוט</w:t>
      </w:r>
      <w:proofErr w:type="spellEnd"/>
      <w:r>
        <w:rPr>
          <w:rtl/>
        </w:rPr>
        <w:t xml:space="preserve">. פרידמן כותב: “קובנה בנויה על דלתא בין </w:t>
      </w:r>
      <w:proofErr w:type="spellStart"/>
      <w:r>
        <w:rPr>
          <w:rtl/>
        </w:rPr>
        <w:t>הוויליה</w:t>
      </w:r>
      <w:proofErr w:type="spellEnd"/>
      <w:r>
        <w:rPr>
          <w:rtl/>
        </w:rPr>
        <w:t xml:space="preserve"> </w:t>
      </w:r>
      <w:proofErr w:type="spellStart"/>
      <w:r>
        <w:rPr>
          <w:rtl/>
        </w:rPr>
        <w:t>לנמן</w:t>
      </w:r>
      <w:proofErr w:type="spellEnd"/>
      <w:r>
        <w:rPr>
          <w:rtl/>
        </w:rPr>
        <w:t>, המתחברים יחד בצדה המערבי</w:t>
      </w:r>
      <w:bookmarkStart w:id="1582" w:name="_fnr1050"/>
      <w:r>
        <w:rPr>
          <w:rStyle w:val="a5"/>
        </w:rPr>
        <w:footnoteReference w:id="1053" w:customMarkFollows="0"/>
      </w:r>
      <w:bookmarkEnd w:id="1582"/>
      <w:r>
        <w:rPr>
          <w:rtl/>
        </w:rPr>
        <w:t xml:space="preserve"> של העיר. מעבר </w:t>
      </w:r>
      <w:proofErr w:type="spellStart"/>
      <w:r>
        <w:rPr>
          <w:rtl/>
        </w:rPr>
        <w:t>לוויליה</w:t>
      </w:r>
      <w:proofErr w:type="spellEnd"/>
      <w:r>
        <w:rPr>
          <w:rtl/>
        </w:rPr>
        <w:t xml:space="preserve"> עומדת </w:t>
      </w:r>
      <w:proofErr w:type="spellStart"/>
      <w:r>
        <w:rPr>
          <w:rtl/>
        </w:rPr>
        <w:t>סלבודקה</w:t>
      </w:r>
      <w:proofErr w:type="spellEnd"/>
      <w:r>
        <w:rPr>
          <w:rtl/>
        </w:rPr>
        <w:t xml:space="preserve"> הליטאית, שרוח ליטא, חשכתה ועניותה שפוכות עליה. </w:t>
      </w:r>
      <w:r>
        <w:rPr>
          <w:b/>
          <w:bCs/>
          <w:rtl/>
        </w:rPr>
        <w:t>הקן</w:t>
      </w:r>
      <w:r>
        <w:rPr>
          <w:rtl/>
        </w:rPr>
        <w:t xml:space="preserve"> (ההדגשה שלי) של החרדיות הקפואה, חרדיות המגיעה עד כדי קנאות, נמצא שם. מעבר </w:t>
      </w:r>
      <w:proofErr w:type="spellStart"/>
      <w:r>
        <w:rPr>
          <w:rtl/>
        </w:rPr>
        <w:t>לנמן</w:t>
      </w:r>
      <w:proofErr w:type="spellEnd"/>
      <w:r>
        <w:rPr>
          <w:rtl/>
        </w:rPr>
        <w:t xml:space="preserve"> נמצאת </w:t>
      </w:r>
      <w:proofErr w:type="spellStart"/>
      <w:r>
        <w:rPr>
          <w:rtl/>
        </w:rPr>
        <w:t>אלקסוט</w:t>
      </w:r>
      <w:proofErr w:type="spellEnd"/>
      <w:r>
        <w:rPr>
          <w:rtl/>
        </w:rPr>
        <w:t xml:space="preserve">, הנחשבת לפלך </w:t>
      </w:r>
      <w:proofErr w:type="spellStart"/>
      <w:r>
        <w:rPr>
          <w:rtl/>
        </w:rPr>
        <w:t>סובאלק</w:t>
      </w:r>
      <w:proofErr w:type="spellEnd"/>
      <w:r>
        <w:rPr>
          <w:rtl/>
        </w:rPr>
        <w:t>, ורוח אירופה נושבת בה.”</w:t>
      </w:r>
    </w:p>
    <w:p w14:paraId="20E3CD52" w14:textId="77777777" w:rsidR="00AB3647" w:rsidRDefault="00000000" w:rsidP="007923E9">
      <w:pPr>
        <w:spacing w:before="120" w:after="100" w:line="276" w:lineRule="auto"/>
        <w:jc w:val="both"/>
      </w:pPr>
      <w:r>
        <w:rPr>
          <w:rtl/>
        </w:rPr>
        <w:lastRenderedPageBreak/>
        <w:t xml:space="preserve">תיאור זה בא כשהמחבר מצדיק את בחירתו לגייס את “רב </w:t>
      </w:r>
      <w:proofErr w:type="spellStart"/>
      <w:r>
        <w:rPr>
          <w:rtl/>
        </w:rPr>
        <w:t>אלקסוט</w:t>
      </w:r>
      <w:proofErr w:type="spellEnd"/>
      <w:r>
        <w:rPr>
          <w:rtl/>
        </w:rPr>
        <w:t xml:space="preserve"> (הנאורה), ר׳ </w:t>
      </w:r>
      <w:proofErr w:type="spellStart"/>
      <w:r>
        <w:rPr>
          <w:rtl/>
        </w:rPr>
        <w:t>מיישל</w:t>
      </w:r>
      <w:proofErr w:type="spellEnd"/>
      <w:r>
        <w:rPr>
          <w:rtl/>
        </w:rPr>
        <w:t xml:space="preserve">” למלחמתו באנשי המוסר בשנת תרל״ט. יש להדגיש שהמחבר המשוחד התעלם מכך שבזמן שהוא מתאר היה קיים “קן” מובהק של דבקי המוסר </w:t>
      </w:r>
      <w:proofErr w:type="spellStart"/>
      <w:r>
        <w:rPr>
          <w:b/>
          <w:bCs/>
          <w:rtl/>
        </w:rPr>
        <w:t>באלקסוט</w:t>
      </w:r>
      <w:proofErr w:type="spellEnd"/>
      <w:r>
        <w:rPr>
          <w:rtl/>
        </w:rPr>
        <w:t xml:space="preserve">, בביתו של ר׳ </w:t>
      </w:r>
      <w:proofErr w:type="spellStart"/>
      <w:r>
        <w:rPr>
          <w:rtl/>
        </w:rPr>
        <w:t>שרגא־פייבל</w:t>
      </w:r>
      <w:proofErr w:type="spellEnd"/>
      <w:r>
        <w:rPr>
          <w:rtl/>
        </w:rPr>
        <w:t xml:space="preserve"> פרנק.</w:t>
      </w:r>
      <w:bookmarkStart w:id="1583" w:name="_fnr1051"/>
      <w:r>
        <w:rPr>
          <w:rStyle w:val="a5"/>
        </w:rPr>
        <w:footnoteReference w:id="1054" w:customMarkFollows="0"/>
      </w:r>
      <w:bookmarkEnd w:id="1583"/>
    </w:p>
    <w:p w14:paraId="5E488626" w14:textId="57291E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קובנה נוסדה בשנת </w:t>
      </w:r>
      <w:proofErr w:type="spellStart"/>
      <w:r>
        <w:rPr>
          <w:rtl/>
        </w:rPr>
        <w:t>ד׳תש״צ</w:t>
      </w:r>
      <w:proofErr w:type="spellEnd"/>
      <w:r>
        <w:rPr>
          <w:rtl/>
        </w:rPr>
        <w:t xml:space="preserve"> בידי ליטאים עובדי אלילים, כיישוב שאין בו ייחוד. במשך מאות שנים עברה העיירה מיד ליד: פעם כבשוה לוחמים </w:t>
      </w:r>
      <w:proofErr w:type="spellStart"/>
      <w:r>
        <w:rPr>
          <w:rtl/>
        </w:rPr>
        <w:t>טבטונים</w:t>
      </w:r>
      <w:proofErr w:type="spellEnd"/>
      <w:r>
        <w:rPr>
          <w:rtl/>
        </w:rPr>
        <w:t xml:space="preserve"> פולשים, ופעם כבשוה מחדש שבטי הליטאים. בשנת ה׳ק״ע (1410), לאחר שהגיבור הליטאי </w:t>
      </w:r>
      <w:proofErr w:type="spellStart"/>
      <w:r>
        <w:rPr>
          <w:rtl/>
        </w:rPr>
        <w:t>ויטאוטס</w:t>
      </w:r>
      <w:proofErr w:type="spellEnd"/>
      <w:r>
        <w:rPr>
          <w:rtl/>
        </w:rPr>
        <w:t xml:space="preserve"> הביס סוף סוף את האבירים הגרמנים בטננברג,</w:t>
      </w:r>
      <w:bookmarkStart w:id="1584" w:name="b3_ref7"/>
      <w:bookmarkEnd w:id="1584"/>
      <w:r>
        <w:rPr>
          <w:vertAlign w:val="superscript"/>
          <w:rtl/>
        </w:rPr>
        <w:fldChar w:fldCharType="begin" w:dirty="true"/>
      </w:r>
      <w:r>
        <w:rPr>
          <w:vertAlign w:val="superscript"/>
          <w:rtl/>
        </w:rPr>
        <w:instrText xml:space="preserve"> REF b3_note7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 xml:space="preserve"> יצאה העיר לדרך התפתחות איטית, ובשלב זה התקבלו יהודים בברכה לאזור קובנה.</w:t>
      </w:r>
    </w:p>
    <w:bookmarkStart w:id="1585" w:name="b3_note7"/>
    <w:p w14:paraId="1F4F44F6" w14:textId="77777777" w:rsidR="00AB3647" w:rsidRDefault="00000000" w:rsidP="007923E9">
      <w:pPr>
        <w:spacing w:before="120" w:after="100" w:line="276" w:lineRule="auto"/>
        <w:jc w:val="both"/>
      </w:pPr>
      <w:r>
        <w:fldChar w:fldCharType="begin" w:dirty="true"/>
      </w:r>
      <w:r>
        <w:instrText>HYPERLINK \l "b3_ref7"</w:instrText>
      </w:r>
      <w:r>
        <w:fldChar w:fldCharType="separate"/>
      </w:r>
      <w:r>
        <w:rPr>
          <w:b/>
          <w:bCs/>
          <w:rtl/>
        </w:rPr>
        <w:t>7</w:t>
      </w:r>
      <w:r>
        <w:rPr>
          <w:b/>
          <w:bCs/>
        </w:rPr>
        <w:fldChar w:fldCharType="end"/>
      </w:r>
      <w:bookmarkEnd w:id="1585"/>
      <w:r>
        <w:rPr>
          <w:rtl/>
        </w:rPr>
        <w:t xml:space="preserve"> המזג הגרמני האיום לא הניח לתבוסה זו להישכח. בקרב הפתיחה של מלחמת העולם הראשונה (ה׳–ח׳ באלול תרע״ד, 27–30 באוגוסט 1914) הביסו הגרמנים, להפתעת הכול, כוח רוסי גדול בהרבה בערך באותו אזור של פרוסיה המזרחית, וקראו לקרב “קרב </w:t>
      </w:r>
      <w:proofErr w:type="spellStart"/>
      <w:r>
        <w:rPr>
          <w:rtl/>
        </w:rPr>
        <w:t>טננברג</w:t>
      </w:r>
      <w:proofErr w:type="spellEnd"/>
      <w:r>
        <w:rPr>
          <w:rtl/>
        </w:rPr>
        <w:t>”. הגנרלים הגרמנים התחרו זה בזה על הזכות להיחשב כמי שמצא את השם, שגאל את גאוותם הצבאית ממפלתם שם חצי אלף שנים קודם לכן.</w:t>
      </w:r>
      <w:bookmarkStart w:id="1586" w:name="_fnr1052"/>
      <w:r>
        <w:rPr>
          <w:rStyle w:val="a5"/>
        </w:rPr>
        <w:footnoteReference w:id="1055" w:customMarkFollows="0"/>
      </w:r>
      <w:bookmarkEnd w:id="1586"/>
    </w:p>
    <w:p w14:paraId="3F154D16" w14:textId="064F48B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במשך 370 השנים שלאחר מכן השלימו הבורגנים הנוצרים של קובנה</w:t>
      </w:r>
      <w:bookmarkStart w:id="1587" w:name="b3_ref8"/>
      <w:bookmarkEnd w:id="1587"/>
      <w:r>
        <w:rPr>
          <w:vertAlign w:val="superscript"/>
          <w:rtl/>
        </w:rPr>
        <w:fldChar w:fldCharType="begin" w:dirty="true"/>
      </w:r>
      <w:r>
        <w:rPr>
          <w:vertAlign w:val="superscript"/>
          <w:rtl/>
        </w:rPr>
        <w:instrText xml:space="preserve"> REF b3_note8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xml:space="preserve"> רק עם נוכחותם של יהודים מעטים, גם בזמנים הטובים ביותר, ובתקופות מסוימות גורשו אפילו המעטים. אבל </w:t>
      </w:r>
      <w:proofErr w:type="spellStart"/>
      <w:r>
        <w:rPr>
          <w:rtl/>
        </w:rPr>
        <w:t>ויליאמפולה</w:t>
      </w:r>
      <w:proofErr w:type="spellEnd"/>
      <w:r>
        <w:rPr>
          <w:rtl/>
        </w:rPr>
        <w:t xml:space="preserve">, ממש מעבר </w:t>
      </w:r>
      <w:proofErr w:type="spellStart"/>
      <w:r>
        <w:rPr>
          <w:rtl/>
        </w:rPr>
        <w:t>לוויליה</w:t>
      </w:r>
      <w:proofErr w:type="spellEnd"/>
      <w:r>
        <w:rPr>
          <w:rtl/>
        </w:rPr>
        <w:t xml:space="preserve">, הייתה שייכת למשפחת האצילים הפולנית </w:t>
      </w:r>
      <w:proofErr w:type="spellStart"/>
      <w:r>
        <w:rPr>
          <w:rtl/>
        </w:rPr>
        <w:t>רדזיוויל</w:t>
      </w:r>
      <w:proofErr w:type="spellEnd"/>
      <w:r>
        <w:rPr>
          <w:rtl/>
        </w:rPr>
        <w:t xml:space="preserve">, ושם לא הוטלו הגבלות. </w:t>
      </w:r>
      <w:proofErr w:type="spellStart"/>
      <w:r>
        <w:rPr>
          <w:rtl/>
        </w:rPr>
        <w:t>ויליאמפולה</w:t>
      </w:r>
      <w:proofErr w:type="spellEnd"/>
      <w:r>
        <w:rPr>
          <w:rtl/>
        </w:rPr>
        <w:t xml:space="preserve"> נעשתה קהילה יהודית יציבה, ואליה היו יהודי קובנה בורחים בגלויותיהם החוזרות ונשנות.</w:t>
      </w:r>
      <w:bookmarkStart w:id="1588" w:name="b3_ref9"/>
      <w:bookmarkEnd w:id="1588"/>
      <w:r>
        <w:rPr>
          <w:vertAlign w:val="superscript"/>
          <w:rtl/>
        </w:rPr>
        <w:fldChar w:fldCharType="begin" w:dirty="true"/>
      </w:r>
      <w:r>
        <w:rPr>
          <w:vertAlign w:val="superscript"/>
          <w:rtl/>
        </w:rPr>
        <w:instrText xml:space="preserve"> REF b3_note9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xml:space="preserve"> משום שהתפתחותה של קובנה כקהילה יהודית נבלמה, הופקדו צרכיה הדתיים בידי </w:t>
      </w:r>
      <w:proofErr w:type="spellStart"/>
      <w:r>
        <w:rPr>
          <w:rtl/>
        </w:rPr>
        <w:t>מ״ץ</w:t>
      </w:r>
      <w:proofErr w:type="spellEnd"/>
      <w:r>
        <w:rPr>
          <w:rtl/>
        </w:rPr>
        <w:t xml:space="preserve"> בלבד, ואילו </w:t>
      </w:r>
      <w:proofErr w:type="spellStart"/>
      <w:r>
        <w:rPr>
          <w:rtl/>
        </w:rPr>
        <w:t>בוויליאמפולה</w:t>
      </w:r>
      <w:proofErr w:type="spellEnd"/>
      <w:r>
        <w:rPr>
          <w:rtl/>
        </w:rPr>
        <w:t xml:space="preserve"> כיהן רב של ממש.</w:t>
      </w:r>
      <w:bookmarkStart w:id="1589" w:name="b3_ref10"/>
      <w:bookmarkEnd w:id="1589"/>
      <w:r>
        <w:rPr>
          <w:vertAlign w:val="superscript"/>
          <w:rtl/>
        </w:rPr>
        <w:fldChar w:fldCharType="begin" w:dirty="true"/>
      </w:r>
      <w:r>
        <w:rPr>
          <w:vertAlign w:val="superscript"/>
          <w:rtl/>
        </w:rPr>
        <w:instrText xml:space="preserve"> REF b3_note10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p>
    <w:bookmarkStart w:id="1590" w:name="b3_note8"/>
    <w:p w14:paraId="2F3B15EB" w14:textId="77777777" w:rsidR="00AB3647" w:rsidRDefault="00000000" w:rsidP="007923E9">
      <w:pPr>
        <w:spacing w:before="120" w:after="100" w:line="276" w:lineRule="auto"/>
        <w:jc w:val="both"/>
      </w:pPr>
      <w:r>
        <w:fldChar w:fldCharType="begin" w:dirty="true"/>
      </w:r>
      <w:r>
        <w:instrText>HYPERLINK \l "b3_ref8"</w:instrText>
      </w:r>
      <w:r>
        <w:fldChar w:fldCharType="separate"/>
      </w:r>
      <w:r>
        <w:rPr>
          <w:b/>
          <w:bCs/>
          <w:rtl/>
        </w:rPr>
        <w:t>8</w:t>
      </w:r>
      <w:r>
        <w:rPr>
          <w:b/>
          <w:bCs/>
        </w:rPr>
        <w:fldChar w:fldCharType="end"/>
      </w:r>
      <w:bookmarkEnd w:id="1590"/>
      <w:r>
        <w:rPr>
          <w:rtl/>
        </w:rPr>
        <w:t xml:space="preserve"> הליטאים היו האחרונים מבין עמי אירופה שנטשו את עבודת האלילים לטובת הנצרות. הדבר אירע בשנת ה‘קמ״ו (1386).</w:t>
      </w:r>
      <w:bookmarkStart w:id="1591" w:name="_fnr1053"/>
      <w:r>
        <w:rPr>
          <w:rStyle w:val="a5"/>
        </w:rPr>
        <w:footnoteReference w:id="1056" w:customMarkFollows="0"/>
      </w:r>
      <w:bookmarkEnd w:id="1591"/>
    </w:p>
    <w:bookmarkStart w:id="1592" w:name="b3_note9"/>
    <w:p w14:paraId="08C49272" w14:textId="77777777" w:rsidR="00AB3647" w:rsidRDefault="00000000" w:rsidP="007923E9">
      <w:pPr>
        <w:spacing w:before="120" w:after="100" w:line="276" w:lineRule="auto"/>
        <w:jc w:val="both"/>
      </w:pPr>
      <w:r>
        <w:fldChar w:fldCharType="begin" w:dirty="true"/>
      </w:r>
      <w:r>
        <w:instrText>HYPERLINK \l "b3_ref9"</w:instrText>
      </w:r>
      <w:r>
        <w:fldChar w:fldCharType="separate"/>
      </w:r>
      <w:r>
        <w:rPr>
          <w:b/>
          <w:bCs/>
          <w:rtl/>
        </w:rPr>
        <w:t>9</w:t>
      </w:r>
      <w:r>
        <w:rPr>
          <w:b/>
          <w:bCs/>
        </w:rPr>
        <w:fldChar w:fldCharType="end"/>
      </w:r>
      <w:bookmarkEnd w:id="1592"/>
      <w:r>
        <w:rPr>
          <w:rtl/>
        </w:rPr>
        <w:t xml:space="preserve"> התקופה היחידה שבה הוסרו כל ההגבלות על מגורי יהודים בקובנה הייתה בחמישים השנים שהחלו בשנת ה‘שי״א, בימי מלכותו של המלך </w:t>
      </w:r>
      <w:proofErr w:type="spellStart"/>
      <w:r>
        <w:rPr>
          <w:rtl/>
        </w:rPr>
        <w:t>זיגמונט</w:t>
      </w:r>
      <w:proofErr w:type="spellEnd"/>
      <w:r>
        <w:rPr>
          <w:rtl/>
        </w:rPr>
        <w:t xml:space="preserve"> אוגוסט.</w:t>
      </w:r>
      <w:bookmarkStart w:id="1593" w:name="_fnr1054"/>
      <w:r>
        <w:rPr>
          <w:rStyle w:val="a5"/>
        </w:rPr>
        <w:footnoteReference w:id="1057" w:customMarkFollows="0"/>
      </w:r>
      <w:bookmarkEnd w:id="1593"/>
      <w:r>
        <w:rPr>
          <w:rtl/>
        </w:rPr>
        <w:t xml:space="preserve"> כמעט 400 שנה אחר כך, בשלוש השנים האחרונות לקיומה של הקהילה היהודית בקובנה, כשהליטאים והגרמנים השמידו את יהודי ליטא, נעשתה </w:t>
      </w:r>
      <w:proofErr w:type="spellStart"/>
      <w:r>
        <w:rPr>
          <w:rtl/>
        </w:rPr>
        <w:t>ויליאמפולה</w:t>
      </w:r>
      <w:proofErr w:type="spellEnd"/>
      <w:r>
        <w:rPr>
          <w:rtl/>
        </w:rPr>
        <w:t xml:space="preserve"> לגטו. ההיסטוריה חזרה על עצמה באירוניה מרה, אבל בזעם נורא לאין ערוך: כל יהודי קובנה גורשו שוב מעבר לגשר אל </w:t>
      </w:r>
      <w:proofErr w:type="spellStart"/>
      <w:r>
        <w:rPr>
          <w:rtl/>
        </w:rPr>
        <w:t>ויליאמפולה</w:t>
      </w:r>
      <w:proofErr w:type="spellEnd"/>
      <w:r>
        <w:rPr>
          <w:rtl/>
        </w:rPr>
        <w:t>. הגטו הוקם על רוב שטחו של הפרבר ונסגר בכ׳ בתמוז תש״א</w:t>
      </w:r>
      <w:bookmarkStart w:id="1594" w:name="_fnr1055"/>
      <w:bookmarkEnd w:id="1594"/>
      <w:r>
        <w:rPr>
          <w:rStyle w:val="a5"/>
        </w:rPr>
        <w:t/>
      </w:r>
      <w:bookmarkStart w:id="7011" w:name="_TranslatorNote_1055"/>
      <w:r>
        <w:rPr>
          <w:rStyle w:val="a5"/>
          <w:vertAlign w:val="superscript"/>
          <w:rtl/>
        </w:rPr>
        <w:footnoteReference w:id="1058" w:customMarkFollows="1"/>
        <w:t>*</w:t>
      </w:r>
      <w:bookmarkEnd w:id="7011"/>
      <w:r>
        <w:rPr>
          <w:rtl/>
        </w:rPr>
        <w:t xml:space="preserve">, ונדחסו בו 30,000 יהודים. </w:t>
      </w:r>
      <w:r>
        <w:rPr>
          <w:rtl/>
        </w:rPr>
        <w:lastRenderedPageBreak/>
        <w:t>אחרי ששטחו צומצם שוב ושוב ורבים מתושביו הושמדו, נהרס הגטו כעבור שלוש שנים בדיוק, בכ׳ בתמוז תש״ד.</w:t>
      </w:r>
    </w:p>
    <w:bookmarkStart w:id="1595" w:name="b3_note10"/>
    <w:p w14:paraId="7832CA1F" w14:textId="77777777" w:rsidR="00AB3647" w:rsidRDefault="00000000" w:rsidP="007923E9">
      <w:pPr>
        <w:spacing w:before="120" w:after="100" w:line="276" w:lineRule="auto"/>
        <w:jc w:val="both"/>
      </w:pPr>
      <w:r>
        <w:fldChar w:fldCharType="begin" w:dirty="true"/>
      </w:r>
      <w:r>
        <w:instrText>HYPERLINK \l "b3_ref10"</w:instrText>
      </w:r>
      <w:r>
        <w:fldChar w:fldCharType="separate"/>
      </w:r>
      <w:r>
        <w:rPr>
          <w:b/>
          <w:bCs/>
          <w:rtl/>
        </w:rPr>
        <w:t>10</w:t>
      </w:r>
      <w:r>
        <w:rPr>
          <w:b/>
          <w:bCs/>
        </w:rPr>
        <w:fldChar w:fldCharType="end"/>
      </w:r>
      <w:bookmarkEnd w:id="1595"/>
      <w:r>
        <w:rPr>
          <w:rtl/>
        </w:rPr>
        <w:t xml:space="preserve"> אחד המפורסמים שברבני </w:t>
      </w:r>
      <w:proofErr w:type="spellStart"/>
      <w:r>
        <w:rPr>
          <w:rtl/>
        </w:rPr>
        <w:t>ויליאמפולה</w:t>
      </w:r>
      <w:proofErr w:type="spellEnd"/>
      <w:r>
        <w:rPr>
          <w:rtl/>
        </w:rPr>
        <w:t xml:space="preserve"> (</w:t>
      </w:r>
      <w:proofErr w:type="spellStart"/>
      <w:r>
        <w:rPr>
          <w:rtl/>
        </w:rPr>
        <w:t>סלבודקה</w:t>
      </w:r>
      <w:proofErr w:type="spellEnd"/>
      <w:r>
        <w:rPr>
          <w:rtl/>
        </w:rPr>
        <w:t xml:space="preserve">) בשלהי שנות </w:t>
      </w:r>
      <w:proofErr w:type="spellStart"/>
      <w:r>
        <w:rPr>
          <w:rtl/>
        </w:rPr>
        <w:t>הת״ק</w:t>
      </w:r>
      <w:proofErr w:type="spellEnd"/>
      <w:r>
        <w:rPr>
          <w:rtl/>
        </w:rPr>
        <w:t xml:space="preserve"> היה ר׳ </w:t>
      </w:r>
      <w:proofErr w:type="spellStart"/>
      <w:r>
        <w:rPr>
          <w:rtl/>
        </w:rPr>
        <w:t xml:space="preserve">אלינקה רגולר</w:t>
      </w:r>
      <w:proofErr w:type="spellEnd"/>
      <w:r>
        <w:rPr>
          <w:rtl/>
        </w:rPr>
        <w:t xml:space="preserve"/>
      </w:r>
      <w:proofErr w:type="spellStart"/>
      <w:r>
        <w:rPr>
          <w:rtl/>
        </w:rPr>
        <w:t xml:space="preserve"/>
      </w:r>
      <w:proofErr w:type="spellEnd"/>
      <w:r>
        <w:rPr>
          <w:rtl/>
        </w:rPr>
        <w:t>, גאון קדוש שמסופר עליו שסיים את הש״ס ארבע מאות פעמים.</w:t>
      </w:r>
      <w:bookmarkStart w:id="1596" w:name="_fnr1056"/>
      <w:r>
        <w:rPr>
          <w:rStyle w:val="a5"/>
        </w:rPr>
        <w:footnoteReference w:id="1059" w:customMarkFollows="0"/>
      </w:r>
      <w:bookmarkEnd w:id="1596"/>
      <w:r>
        <w:rPr>
          <w:rtl/>
        </w:rPr>
        <w:t xml:space="preserve"> הוא כיהן שם </w:t>
      </w:r>
      <w:proofErr w:type="spellStart"/>
      <w:r>
        <w:rPr>
          <w:rtl/>
        </w:rPr>
        <w:t>שש־עשרה</w:t>
      </w:r>
      <w:proofErr w:type="spellEnd"/>
      <w:r>
        <w:rPr>
          <w:rtl/>
        </w:rPr>
        <w:t xml:space="preserve"> שנה (תקפ״ד–ת״ר), אחרי שהיה רב </w:t>
      </w:r>
      <w:proofErr w:type="spellStart"/>
      <w:r>
        <w:rPr>
          <w:rtl/>
        </w:rPr>
        <w:t>בשאט</w:t>
      </w:r>
      <w:proofErr w:type="spellEnd"/>
      <w:r>
        <w:rPr>
          <w:rtl/>
        </w:rPr>
        <w:t xml:space="preserve"> </w:t>
      </w:r>
      <w:proofErr w:type="spellStart"/>
      <w:r>
        <w:rPr>
          <w:rtl/>
        </w:rPr>
        <w:t>ובראגאלע</w:t>
      </w:r>
      <w:proofErr w:type="spellEnd"/>
      <w:r>
        <w:rPr>
          <w:rtl/>
        </w:rPr>
        <w:t xml:space="preserve">, ולפני שעבר לעיר </w:t>
      </w:r>
      <w:proofErr w:type="spellStart"/>
      <w:r>
        <w:rPr>
          <w:rtl/>
        </w:rPr>
        <w:t>קאליש</w:t>
      </w:r>
      <w:proofErr w:type="spellEnd"/>
      <w:r>
        <w:rPr>
          <w:rtl/>
        </w:rPr>
        <w:t xml:space="preserve">. </w:t>
      </w:r>
      <w:proofErr w:type="spellStart"/>
      <w:r>
        <w:rPr>
          <w:rtl/>
        </w:rPr>
        <w:t>בקאליש</w:t>
      </w:r>
      <w:proofErr w:type="spellEnd"/>
      <w:r>
        <w:rPr>
          <w:rtl/>
        </w:rPr>
        <w:t xml:space="preserve"> בא במקומו של ר׳ שלמה איגר, כשזה עבר </w:t>
      </w:r>
      <w:proofErr w:type="spellStart"/>
      <w:r>
        <w:rPr>
          <w:rtl/>
        </w:rPr>
        <w:t>לפוזנא</w:t>
      </w:r>
      <w:proofErr w:type="spellEnd"/>
      <w:r>
        <w:rPr>
          <w:rtl/>
        </w:rPr>
        <w:t xml:space="preserve"> לרשת את כס הרבנות של אביו, ר׳ עקיבא איגר. ר׳ </w:t>
      </w:r>
      <w:proofErr w:type="spellStart"/>
      <w:r>
        <w:rPr>
          <w:rtl/>
        </w:rPr>
        <w:t>אלינקה</w:t>
      </w:r>
      <w:proofErr w:type="spellEnd"/>
      <w:r>
        <w:rPr>
          <w:rtl/>
        </w:rPr>
        <w:t xml:space="preserve"> נפטר </w:t>
      </w:r>
      <w:proofErr w:type="spellStart"/>
      <w:r>
        <w:rPr>
          <w:rtl/>
        </w:rPr>
        <w:t>בקאליש</w:t>
      </w:r>
      <w:proofErr w:type="spellEnd"/>
      <w:r>
        <w:rPr>
          <w:rtl/>
        </w:rPr>
        <w:t xml:space="preserve"> בגיל חמישים ושש. בתקופת כהונתו </w:t>
      </w:r>
      <w:proofErr w:type="spellStart"/>
      <w:r>
        <w:rPr>
          <w:rtl/>
        </w:rPr>
        <w:t>בסלבודקה</w:t>
      </w:r>
      <w:proofErr w:type="spellEnd"/>
      <w:r>
        <w:rPr>
          <w:rtl/>
        </w:rPr>
        <w:t xml:space="preserve"> החזיק ישיבה – הישיבה הראשונה </w:t>
      </w:r>
      <w:proofErr w:type="spellStart"/>
      <w:r>
        <w:rPr>
          <w:rtl/>
        </w:rPr>
        <w:t>בסלבודקה</w:t>
      </w:r>
      <w:proofErr w:type="spellEnd"/>
      <w:r>
        <w:rPr>
          <w:rtl/>
        </w:rPr>
        <w:t xml:space="preserve"> – לתלמידים שנהרו ללמוד אצלו מעיירות רבות בליטא, ורבים מהם כיהנו לימים כרבנים חשובים בקהילות שונות. בין התלמידים היו ר׳ </w:t>
      </w:r>
      <w:proofErr w:type="spellStart"/>
      <w:r>
        <w:rPr>
          <w:rtl/>
        </w:rPr>
        <w:t>נחומק׳ה</w:t>
      </w:r>
      <w:proofErr w:type="spellEnd"/>
      <w:r>
        <w:rPr>
          <w:rtl/>
        </w:rPr>
        <w:t xml:space="preserve"> </w:t>
      </w:r>
      <w:proofErr w:type="spellStart"/>
      <w:r>
        <w:rPr>
          <w:rtl/>
        </w:rPr>
        <w:t>הורודנער</w:t>
      </w:r>
      <w:proofErr w:type="spellEnd"/>
      <w:r>
        <w:rPr>
          <w:rtl/>
        </w:rPr>
        <w:t xml:space="preserve"> (קפלן), מורו הקדוש של </w:t>
      </w:r>
      <w:proofErr w:type="spellStart"/>
      <w:r>
        <w:rPr>
          <w:rtl/>
        </w:rPr>
        <w:t>החפץ־חיים</w:t>
      </w:r>
      <w:proofErr w:type="spellEnd"/>
      <w:r>
        <w:rPr>
          <w:rtl/>
        </w:rPr>
        <w:t xml:space="preserve">, ור׳ </w:t>
      </w:r>
      <w:proofErr w:type="spellStart"/>
      <w:r>
        <w:rPr>
          <w:rtl/>
        </w:rPr>
        <w:t>אליהו־בער</w:t>
      </w:r>
      <w:proofErr w:type="spellEnd"/>
      <w:r>
        <w:rPr>
          <w:rtl/>
        </w:rPr>
        <w:t xml:space="preserve"> זרחי, הקדום ברבני </w:t>
      </w:r>
      <w:proofErr w:type="spellStart"/>
      <w:r>
        <w:rPr>
          <w:rtl/>
        </w:rPr>
        <w:t>ציטוביאן</w:t>
      </w:r>
      <w:proofErr w:type="spellEnd"/>
      <w:r>
        <w:rPr>
          <w:rtl/>
        </w:rPr>
        <w:t xml:space="preserve"> הידועים לנו – העיירה שבה כיהן אבי כרב כעבור מאה שנה.</w:t>
      </w:r>
      <w:bookmarkStart w:id="1597" w:name="_fnr1057"/>
      <w:r>
        <w:rPr>
          <w:rStyle w:val="a5"/>
        </w:rPr>
        <w:footnoteReference w:id="1060" w:customMarkFollows="0"/>
      </w:r>
      <w:bookmarkEnd w:id="1597"/>
    </w:p>
    <w:p w14:paraId="4F80F5A1" w14:textId="77777777" w:rsidR="00AB3647" w:rsidRDefault="00000000" w:rsidP="007923E9">
      <w:pPr>
        <w:spacing w:before="120" w:after="100" w:line="276" w:lineRule="auto"/>
        <w:jc w:val="both"/>
      </w:pPr>
      <w:r>
        <w:rPr>
          <w:rtl/>
        </w:rPr>
        <w:t>ליפמן</w:t>
      </w:r>
      <w:bookmarkStart w:id="1598" w:name="_fnr1058"/>
      <w:r>
        <w:rPr>
          <w:rStyle w:val="a5"/>
        </w:rPr>
        <w:footnoteReference w:id="1061" w:customMarkFollows="0"/>
      </w:r>
      <w:bookmarkEnd w:id="1598"/>
      <w:r>
        <w:rPr>
          <w:rtl/>
        </w:rPr>
        <w:t xml:space="preserve"> אומר: “מסופר שר׳ </w:t>
      </w:r>
      <w:proofErr w:type="spellStart"/>
      <w:r>
        <w:rPr>
          <w:rtl/>
        </w:rPr>
        <w:t>אלינקה</w:t>
      </w:r>
      <w:proofErr w:type="spellEnd"/>
      <w:r>
        <w:rPr>
          <w:rtl/>
        </w:rPr>
        <w:t xml:space="preserve"> הלך ברגל כל הדרך </w:t>
      </w:r>
      <w:proofErr w:type="spellStart"/>
      <w:r>
        <w:rPr>
          <w:rtl/>
        </w:rPr>
        <w:t>ללומז׳ה</w:t>
      </w:r>
      <w:proofErr w:type="spellEnd"/>
      <w:r>
        <w:rPr>
          <w:rtl/>
        </w:rPr>
        <w:t xml:space="preserve"> כדי לפגוש את ר׳ עקיבא איגר, שבתו נישאה שם. ר׳ עקיבא איגר התרשם מאוד מר׳ </w:t>
      </w:r>
      <w:proofErr w:type="spellStart"/>
      <w:r>
        <w:rPr>
          <w:rtl/>
        </w:rPr>
        <w:t>אלינקה</w:t>
      </w:r>
      <w:proofErr w:type="spellEnd"/>
      <w:r>
        <w:rPr>
          <w:rtl/>
        </w:rPr>
        <w:t xml:space="preserve">, ומאז היה שולח דרישות שלום באמצעות מבקרים מליטא שבאו </w:t>
      </w:r>
      <w:proofErr w:type="spellStart"/>
      <w:r>
        <w:rPr>
          <w:rtl/>
        </w:rPr>
        <w:t>לפוזנא</w:t>
      </w:r>
      <w:proofErr w:type="spellEnd"/>
      <w:r>
        <w:rPr>
          <w:rtl/>
        </w:rPr>
        <w:t xml:space="preserve"> ‘</w:t>
      </w:r>
      <w:proofErr w:type="spellStart"/>
      <w:r>
        <w:rPr>
          <w:rtl/>
        </w:rPr>
        <w:t>ליונגערמאן</w:t>
      </w:r>
      <w:proofErr w:type="spellEnd"/>
      <w:r>
        <w:rPr>
          <w:rtl/>
        </w:rPr>
        <w:t xml:space="preserve"> המצוין </w:t>
      </w:r>
      <w:proofErr w:type="spellStart"/>
      <w:r>
        <w:rPr>
          <w:rtl/>
        </w:rPr>
        <w:t>מסלבודקה</w:t>
      </w:r>
      <w:proofErr w:type="spellEnd"/>
      <w:r>
        <w:rPr>
          <w:rtl/>
        </w:rPr>
        <w:t xml:space="preserve">’.” יש טעות קלה בדיווח זה: הילד היחיד של ר׳ עקיבא איגר שנישא </w:t>
      </w:r>
      <w:proofErr w:type="spellStart"/>
      <w:r>
        <w:rPr>
          <w:rtl/>
        </w:rPr>
        <w:t>בלומז׳ה</w:t>
      </w:r>
      <w:proofErr w:type="spellEnd"/>
      <w:r>
        <w:rPr>
          <w:rtl/>
        </w:rPr>
        <w:t xml:space="preserve"> היה </w:t>
      </w:r>
      <w:r>
        <w:rPr>
          <w:b/>
          <w:bCs/>
          <w:rtl/>
        </w:rPr>
        <w:t>בנו</w:t>
      </w:r>
      <w:r>
        <w:rPr>
          <w:rtl/>
        </w:rPr>
        <w:t xml:space="preserve"> </w:t>
      </w:r>
      <w:proofErr w:type="spellStart"/>
      <w:r>
        <w:rPr>
          <w:rtl/>
        </w:rPr>
        <w:t>יצחק־לייב</w:t>
      </w:r>
      <w:proofErr w:type="spellEnd"/>
      <w:r>
        <w:rPr>
          <w:rtl/>
        </w:rPr>
        <w:t>, ולא בת.</w:t>
      </w:r>
      <w:bookmarkStart w:id="1599" w:name="_fnr1059"/>
      <w:r>
        <w:rPr>
          <w:rStyle w:val="a5"/>
        </w:rPr>
        <w:footnoteReference w:id="1062" w:customMarkFollows="0"/>
      </w:r>
      <w:bookmarkEnd w:id="1599"/>
      <w:r>
        <w:rPr>
          <w:rtl/>
        </w:rPr>
        <w:t xml:space="preserve"> החתונה התקיימה בשנת תקצ״ו, כשר׳ עקיבא איגר כבר היה בן שבעים וחמש. אין פלא שכינה את ר׳ </w:t>
      </w:r>
      <w:proofErr w:type="spellStart"/>
      <w:r>
        <w:rPr>
          <w:rtl/>
        </w:rPr>
        <w:t>אלינקה</w:t>
      </w:r>
      <w:proofErr w:type="spellEnd"/>
      <w:r>
        <w:rPr>
          <w:rtl/>
        </w:rPr>
        <w:t xml:space="preserve">, שהיה אז בן ארבעים ושתיים, </w:t>
      </w:r>
      <w:proofErr w:type="spellStart"/>
      <w:r>
        <w:rPr>
          <w:rtl/>
        </w:rPr>
        <w:t>יונגערמאן</w:t>
      </w:r>
      <w:proofErr w:type="spellEnd"/>
      <w:r>
        <w:rPr>
          <w:rtl/>
        </w:rPr>
        <w:t>.</w:t>
      </w:r>
    </w:p>
    <w:p w14:paraId="215C10C2" w14:textId="77777777" w:rsidR="00AB3647" w:rsidRDefault="00000000" w:rsidP="007923E9">
      <w:pPr>
        <w:spacing w:after="100" w:line="276" w:lineRule="auto"/>
        <w:ind w:firstLine="340"/>
        <w:jc w:val="both"/>
      </w:pPr>
      <w:r>
        <w:rPr>
          <w:rtl/>
        </w:rPr>
        <w:t xml:space="preserve">בערל </w:t>
      </w:r>
      <w:proofErr w:type="spellStart"/>
      <w:r>
        <w:rPr>
          <w:rtl/>
        </w:rPr>
        <w:t>קגן</w:t>
      </w:r>
      <w:bookmarkStart w:id="1600" w:name="_fnr1060"/>
      <w:proofErr w:type="spellEnd"/>
      <w:r>
        <w:rPr>
          <w:rStyle w:val="a5"/>
        </w:rPr>
        <w:footnoteReference w:id="1063" w:customMarkFollows="0"/>
      </w:r>
      <w:bookmarkEnd w:id="1600"/>
      <w:r>
        <w:rPr>
          <w:rtl/>
        </w:rPr>
        <w:t xml:space="preserve"> מספר שפעם גנב אורח בביתו של ר׳ </w:t>
      </w:r>
      <w:proofErr w:type="spellStart"/>
      <w:r>
        <w:rPr>
          <w:rtl/>
        </w:rPr>
        <w:t>אלינקה</w:t>
      </w:r>
      <w:proofErr w:type="spellEnd"/>
      <w:r>
        <w:rPr>
          <w:rtl/>
        </w:rPr>
        <w:t xml:space="preserve">, “גדול בעניות וגדול בהכנסת אורחים”, את “טבעת היהלום הקטנה” של הרבנית. היא רדפה אחרי הגנב והביאה לידי מעצרו. כשנודע הדבר </w:t>
      </w:r>
      <w:proofErr w:type="spellStart"/>
      <w:r>
        <w:rPr>
          <w:rtl/>
        </w:rPr>
        <w:t>לר</w:t>
      </w:r>
      <w:proofErr w:type="spellEnd"/>
      <w:r>
        <w:rPr>
          <w:rtl/>
        </w:rPr>
        <w:t xml:space="preserve">׳ </w:t>
      </w:r>
      <w:proofErr w:type="spellStart"/>
      <w:r>
        <w:rPr>
          <w:rtl/>
        </w:rPr>
        <w:t>אלינקה</w:t>
      </w:r>
      <w:proofErr w:type="spellEnd"/>
      <w:r>
        <w:rPr>
          <w:rtl/>
        </w:rPr>
        <w:t>, ביקש ממפקד המשטרה לשחרר את הנאשם. הוא הסביר שבכל לילה הוא מפקיר את כל מה שבביתו, כדי שלא להכשיל איש בעוון גניבה, והאיש ודאי שמע על מנהגו זה ונטל את הטבעת מן ההפקר. הוא גם אמר לרבנית לבקש מן היהודי מחילה על שחשדה בו שהוא גנב.</w:t>
      </w:r>
    </w:p>
    <w:p w14:paraId="63FBB233" w14:textId="77777777" w:rsidR="00AB3647" w:rsidRDefault="00000000" w:rsidP="007923E9">
      <w:pPr>
        <w:spacing w:after="100" w:line="276" w:lineRule="auto"/>
        <w:ind w:firstLine="340"/>
        <w:jc w:val="both"/>
      </w:pPr>
      <w:r>
        <w:rPr>
          <w:rtl/>
        </w:rPr>
        <w:t>השווה גם “רבותינו שבגולה”</w:t>
      </w:r>
      <w:bookmarkStart w:id="1601" w:name="_fnr1061"/>
      <w:r>
        <w:rPr>
          <w:rStyle w:val="a5"/>
        </w:rPr>
        <w:footnoteReference w:id="1064" w:customMarkFollows="0"/>
      </w:r>
      <w:bookmarkEnd w:id="1601"/>
      <w:r>
        <w:rPr>
          <w:rtl/>
        </w:rPr>
        <w:t xml:space="preserve"> על שקידתו המופלאה “למרות גופו החלש ומחלתו הקשה”. מסופר שם: “כל ימיו היה חובש את רקותיו בתחבושת של זבובים ספרדיים מפני כאבי ראש קשים, שעליהם אמר: ‘אילו סבלו קלי הדעת כאבים כאלה, היו מאבדים את עצמם לדעת.’” השווה גם שם</w:t>
      </w:r>
      <w:bookmarkStart w:id="1602" w:name="_fnr1062"/>
      <w:r>
        <w:rPr>
          <w:rStyle w:val="a5"/>
        </w:rPr>
        <w:footnoteReference w:id="1065" w:customMarkFollows="0"/>
      </w:r>
      <w:bookmarkEnd w:id="1602"/>
      <w:r>
        <w:rPr>
          <w:rtl/>
        </w:rPr>
        <w:t xml:space="preserve"> על שפסל ספר תורה שהיה נערץ </w:t>
      </w:r>
      <w:proofErr w:type="spellStart"/>
      <w:r>
        <w:rPr>
          <w:rtl/>
        </w:rPr>
        <w:t>בקאליש</w:t>
      </w:r>
      <w:proofErr w:type="spellEnd"/>
      <w:r>
        <w:rPr>
          <w:rtl/>
        </w:rPr>
        <w:t xml:space="preserve"> מימי בעל </w:t>
      </w:r>
      <w:proofErr w:type="spellStart"/>
      <w:r>
        <w:rPr>
          <w:rtl/>
        </w:rPr>
        <w:t>ה“מגן</w:t>
      </w:r>
      <w:proofErr w:type="spellEnd"/>
      <w:r>
        <w:rPr>
          <w:rtl/>
        </w:rPr>
        <w:t xml:space="preserve"> אברהם”, </w:t>
      </w:r>
      <w:r>
        <w:rPr>
          <w:rtl/>
        </w:rPr>
        <w:lastRenderedPageBreak/>
        <w:t>ועל כך</w:t>
      </w:r>
      <w:bookmarkStart w:id="1603" w:name="_fnr1063"/>
      <w:r>
        <w:rPr>
          <w:rStyle w:val="a5"/>
        </w:rPr>
        <w:footnoteReference w:id="1066" w:customMarkFollows="0"/>
      </w:r>
      <w:bookmarkEnd w:id="1603"/>
      <w:r>
        <w:rPr>
          <w:rtl/>
        </w:rPr>
        <w:t xml:space="preserve"> שאחד מרבני </w:t>
      </w:r>
      <w:proofErr w:type="spellStart"/>
      <w:r>
        <w:rPr>
          <w:rtl/>
        </w:rPr>
        <w:t>קאליש</w:t>
      </w:r>
      <w:proofErr w:type="spellEnd"/>
      <w:r>
        <w:rPr>
          <w:rtl/>
        </w:rPr>
        <w:t xml:space="preserve"> שבאו אחריו הפך את הפסק. כשנקרע הספר לגזרים בפוגרום זמן מה אחר כך, בשנת תרל״ח, ביקש אותו רב מחילה על קברו של ר׳ </w:t>
      </w:r>
      <w:proofErr w:type="spellStart"/>
      <w:r>
        <w:rPr>
          <w:rtl/>
        </w:rPr>
        <w:t>אלינקה</w:t>
      </w:r>
      <w:proofErr w:type="spellEnd"/>
      <w:r>
        <w:rPr>
          <w:rtl/>
        </w:rPr>
        <w:t>.</w:t>
      </w:r>
    </w:p>
    <w:p w14:paraId="49F0328E" w14:textId="3C53CF2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מצבה של הקהילה היהודית בקובנה התייצב כאשר רבה של </w:t>
      </w:r>
      <w:proofErr w:type="spellStart"/>
      <w:r>
        <w:rPr>
          <w:rtl/>
        </w:rPr>
        <w:t>ויליאמפולה</w:t>
      </w:r>
      <w:proofErr w:type="spellEnd"/>
      <w:r>
        <w:rPr>
          <w:rtl/>
        </w:rPr>
        <w:t>, ר׳ משה סולובייצ׳יק,</w:t>
      </w:r>
      <w:bookmarkStart w:id="1604" w:name="b3_ref11"/>
      <w:bookmarkEnd w:id="1604"/>
      <w:r>
        <w:rPr>
          <w:vertAlign w:val="superscript"/>
          <w:rtl/>
        </w:rPr>
        <w:fldChar w:fldCharType="begin" w:dirty="true"/>
      </w:r>
      <w:r>
        <w:rPr>
          <w:vertAlign w:val="superscript"/>
          <w:rtl/>
        </w:rPr>
        <w:instrText xml:space="preserve"> REF b3_note11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 xml:space="preserve"> שהיה עשיר מצד עצמו, ואחיו הגדול, איש העסקים ר׳ אברהם, פתחו בשנת תקכ״א בתביעה משפטית נגד ההגבלה השרירותית על מגורי יהודים. ההתדיינות נמשכה עשרים ואחת שנה ועלתה הון תועפות, אבל לבסוף זכו בדין.</w:t>
      </w:r>
      <w:bookmarkStart w:id="1605" w:name="b3_ref12"/>
      <w:bookmarkEnd w:id="1605"/>
      <w:r>
        <w:rPr>
          <w:vertAlign w:val="superscript"/>
          <w:rtl/>
        </w:rPr>
        <w:fldChar w:fldCharType="begin" w:dirty="true"/>
      </w:r>
      <w:r>
        <w:rPr>
          <w:vertAlign w:val="superscript"/>
          <w:rtl/>
        </w:rPr>
        <w:instrText xml:space="preserve"> REF b3_note12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כתוצאה מכך יכלו היהודים האמידים של </w:t>
      </w:r>
      <w:proofErr w:type="spellStart"/>
      <w:r>
        <w:rPr>
          <w:rtl/>
        </w:rPr>
        <w:t>ויליאמפולה</w:t>
      </w:r>
      <w:proofErr w:type="spellEnd"/>
      <w:r>
        <w:rPr>
          <w:rtl/>
        </w:rPr>
        <w:t xml:space="preserve"> לעבור – או לחזור – אל מעבר לגשר, לקובנה, ולעזור לה להתפתח למרכז עירוני. לבסוף האפילה קובנה על </w:t>
      </w:r>
      <w:proofErr w:type="spellStart"/>
      <w:r>
        <w:rPr>
          <w:rtl/>
        </w:rPr>
        <w:t>ויליאמפולה</w:t>
      </w:r>
      <w:proofErr w:type="spellEnd"/>
      <w:r>
        <w:rPr>
          <w:rtl/>
        </w:rPr>
        <w:t xml:space="preserve"> והפכה אותה לפרבר שלה. </w:t>
      </w:r>
      <w:proofErr w:type="spellStart"/>
      <w:r>
        <w:rPr>
          <w:rtl/>
        </w:rPr>
        <w:t>ויליאמפולה</w:t>
      </w:r>
      <w:proofErr w:type="spellEnd"/>
      <w:r>
        <w:rPr>
          <w:rtl/>
        </w:rPr>
        <w:t xml:space="preserve"> נודעה בשם </w:t>
      </w:r>
      <w:proofErr w:type="spellStart"/>
      <w:r>
        <w:rPr>
          <w:rtl/>
        </w:rPr>
        <w:t>סלבודקה</w:t>
      </w:r>
      <w:proofErr w:type="spellEnd"/>
      <w:r>
        <w:rPr>
          <w:rtl/>
        </w:rPr>
        <w:t>, “הפרבר” בלשון הסלאבית.</w:t>
      </w:r>
      <w:bookmarkStart w:id="1606" w:name="b3_ref13"/>
      <w:bookmarkEnd w:id="1606"/>
      <w:r>
        <w:rPr>
          <w:vertAlign w:val="superscript"/>
          <w:rtl/>
        </w:rPr>
        <w:fldChar w:fldCharType="begin" w:dirty="true"/>
      </w:r>
      <w:r>
        <w:rPr>
          <w:vertAlign w:val="superscript"/>
          <w:rtl/>
        </w:rPr>
        <w:instrText xml:space="preserve"> REF b3_note13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p>
    <w:bookmarkStart w:id="1607" w:name="b3_note11"/>
    <w:p w14:paraId="1ED05E3C" w14:textId="77777777" w:rsidR="00AB3647" w:rsidRDefault="00000000" w:rsidP="007923E9">
      <w:pPr>
        <w:spacing w:before="120" w:after="100" w:line="276" w:lineRule="auto"/>
        <w:jc w:val="both"/>
      </w:pPr>
      <w:r>
        <w:fldChar w:fldCharType="begin" w:dirty="true"/>
      </w:r>
      <w:r>
        <w:instrText>HYPERLINK \l "b3_ref11"</w:instrText>
      </w:r>
      <w:r>
        <w:fldChar w:fldCharType="separate"/>
      </w:r>
      <w:r>
        <w:rPr>
          <w:b/>
          <w:bCs/>
          <w:rtl/>
        </w:rPr>
        <w:t>11</w:t>
      </w:r>
      <w:r>
        <w:rPr>
          <w:b/>
          <w:bCs/>
        </w:rPr>
        <w:fldChar w:fldCharType="end"/>
      </w:r>
      <w:bookmarkEnd w:id="1607"/>
      <w:r>
        <w:rPr>
          <w:rtl/>
        </w:rPr>
        <w:t xml:space="preserve"> בנו של ר׳ משה, יוסף, נשא את </w:t>
      </w:r>
      <w:proofErr w:type="spellStart"/>
      <w:r>
        <w:rPr>
          <w:rtl/>
        </w:rPr>
        <w:t>רלקה</w:t>
      </w:r>
      <w:proofErr w:type="spellEnd"/>
      <w:r>
        <w:rPr>
          <w:rtl/>
        </w:rPr>
        <w:t xml:space="preserve">, בתו של ר׳ חיים </w:t>
      </w:r>
      <w:proofErr w:type="spellStart"/>
      <w:r>
        <w:rPr>
          <w:rtl/>
        </w:rPr>
        <w:t>מוולוז׳ין</w:t>
      </w:r>
      <w:proofErr w:type="spellEnd"/>
      <w:r>
        <w:rPr>
          <w:rtl/>
        </w:rPr>
        <w:t xml:space="preserve">, והוליד את ר׳ </w:t>
      </w:r>
      <w:proofErr w:type="spellStart"/>
      <w:r>
        <w:rPr>
          <w:rtl/>
        </w:rPr>
        <w:t>יצחק־זאב</w:t>
      </w:r>
      <w:proofErr w:type="spellEnd"/>
      <w:r>
        <w:rPr>
          <w:rtl/>
        </w:rPr>
        <w:t xml:space="preserve">, שהוליד את ר׳ יוסף־דב, רב </w:t>
      </w:r>
      <w:proofErr w:type="spellStart"/>
      <w:r>
        <w:rPr>
          <w:rtl/>
        </w:rPr>
        <w:t>בריסק</w:t>
      </w:r>
      <w:proofErr w:type="spellEnd"/>
      <w:r>
        <w:rPr>
          <w:rtl/>
        </w:rPr>
        <w:t xml:space="preserve"> ואביו של ר׳ חיים </w:t>
      </w:r>
      <w:proofErr w:type="spellStart"/>
      <w:r>
        <w:rPr>
          <w:rtl/>
        </w:rPr>
        <w:t>סולובייצ׳יק</w:t>
      </w:r>
      <w:proofErr w:type="spellEnd"/>
      <w:r>
        <w:rPr>
          <w:rtl/>
        </w:rPr>
        <w:t xml:space="preserve">. כך נמנית משפחת </w:t>
      </w:r>
      <w:proofErr w:type="spellStart"/>
      <w:r>
        <w:rPr>
          <w:rtl/>
        </w:rPr>
        <w:t>סולובייצ׳יק</w:t>
      </w:r>
      <w:proofErr w:type="spellEnd"/>
      <w:r>
        <w:rPr>
          <w:rtl/>
        </w:rPr>
        <w:t xml:space="preserve"> עם צאצאי “בית הרב”, תואר ייחוס לצאצאיו של ר׳ חיים </w:t>
      </w:r>
      <w:proofErr w:type="spellStart"/>
      <w:r>
        <w:rPr>
          <w:rtl/>
        </w:rPr>
        <w:t>מוולוז׳ין</w:t>
      </w:r>
      <w:proofErr w:type="spellEnd"/>
      <w:r>
        <w:rPr>
          <w:rtl/>
        </w:rPr>
        <w:t xml:space="preserve"> בחוגי התורה בליטא.</w:t>
      </w:r>
    </w:p>
    <w:bookmarkStart w:id="1608" w:name="b3_note12"/>
    <w:p w14:paraId="3ABBE5CF" w14:textId="77777777" w:rsidR="00AB3647" w:rsidRDefault="00000000" w:rsidP="007923E9">
      <w:pPr>
        <w:spacing w:before="120" w:after="100" w:line="276" w:lineRule="auto"/>
        <w:jc w:val="both"/>
      </w:pPr>
      <w:r>
        <w:fldChar w:fldCharType="begin" w:dirty="true"/>
      </w:r>
      <w:r>
        <w:instrText>HYPERLINK \l "b3_ref12"</w:instrText>
      </w:r>
      <w:r>
        <w:fldChar w:fldCharType="separate"/>
      </w:r>
      <w:r>
        <w:rPr>
          <w:b/>
          <w:bCs/>
          <w:rtl/>
        </w:rPr>
        <w:t>12</w:t>
      </w:r>
      <w:r>
        <w:rPr>
          <w:b/>
          <w:bCs/>
        </w:rPr>
        <w:fldChar w:fldCharType="end"/>
      </w:r>
      <w:bookmarkEnd w:id="1608"/>
      <w:r>
        <w:rPr>
          <w:rtl/>
        </w:rPr>
        <w:t xml:space="preserve"> השווה ליפמן</w:t>
      </w:r>
      <w:bookmarkStart w:id="1609" w:name="_fnr1064"/>
      <w:r>
        <w:rPr>
          <w:rStyle w:val="a5"/>
        </w:rPr>
        <w:footnoteReference w:id="1067" w:customMarkFollows="0"/>
      </w:r>
      <w:bookmarkEnd w:id="1609"/>
      <w:r>
        <w:rPr>
          <w:rtl/>
        </w:rPr>
        <w:t xml:space="preserve"> </w:t>
      </w:r>
      <w:proofErr w:type="spellStart"/>
      <w:r>
        <w:rPr>
          <w:rtl/>
        </w:rPr>
        <w:t>ו“הראשון</w:t>
      </w:r>
      <w:proofErr w:type="spellEnd"/>
      <w:r>
        <w:rPr>
          <w:rtl/>
        </w:rPr>
        <w:t xml:space="preserve"> לשושלת </w:t>
      </w:r>
      <w:proofErr w:type="spellStart"/>
      <w:r>
        <w:rPr>
          <w:rtl/>
        </w:rPr>
        <w:t>בריסק</w:t>
      </w:r>
      <w:proofErr w:type="spellEnd"/>
      <w:r>
        <w:rPr>
          <w:rtl/>
        </w:rPr>
        <w:t>”.</w:t>
      </w:r>
      <w:bookmarkStart w:id="1610" w:name="_fnr1065"/>
      <w:r>
        <w:rPr>
          <w:rStyle w:val="a5"/>
        </w:rPr>
        <w:footnoteReference w:id="1068" w:customMarkFollows="0"/>
      </w:r>
      <w:bookmarkEnd w:id="1610"/>
      <w:r>
        <w:rPr>
          <w:rtl/>
        </w:rPr>
        <w:t xml:space="preserve"> המקור האחרון מביא את “מגילת קובנה”, שחיבר סופר קהילת קובנה וכתב על קלף לזכר המאורע ולזכותם של שני האחים </w:t>
      </w:r>
      <w:proofErr w:type="spellStart"/>
      <w:r>
        <w:rPr>
          <w:rtl/>
        </w:rPr>
        <w:t>סולובייצ׳יק</w:t>
      </w:r>
      <w:proofErr w:type="spellEnd"/>
      <w:r>
        <w:rPr>
          <w:rtl/>
        </w:rPr>
        <w:t xml:space="preserve">, </w:t>
      </w:r>
      <w:proofErr w:type="spellStart"/>
      <w:r>
        <w:rPr>
          <w:rtl/>
        </w:rPr>
        <w:t>ש“כלוויים</w:t>
      </w:r>
      <w:proofErr w:type="spellEnd"/>
      <w:r>
        <w:rPr>
          <w:rtl/>
        </w:rPr>
        <w:t xml:space="preserve">, קיבלו עליהם לקיים את הכתוב ‘עבודת הקודש עליהם </w:t>
      </w:r>
      <w:r>
        <w:rPr>
          <w:b/>
          <w:bCs/>
          <w:rtl/>
        </w:rPr>
        <w:t>בכסף</w:t>
      </w:r>
      <w:r>
        <w:rPr>
          <w:rtl/>
        </w:rPr>
        <w:t xml:space="preserve"> </w:t>
      </w:r>
      <w:proofErr w:type="spellStart"/>
      <w:r>
        <w:rPr>
          <w:rtl/>
        </w:rPr>
        <w:t>ישאו</w:t>
      </w:r>
      <w:proofErr w:type="spellEnd"/>
      <w:r>
        <w:rPr>
          <w:rtl/>
        </w:rPr>
        <w:t xml:space="preserve">’” – משחק על לשון הכתוב “עבודת הקודש עליהם </w:t>
      </w:r>
      <w:r>
        <w:rPr>
          <w:b/>
          <w:bCs/>
          <w:rtl/>
        </w:rPr>
        <w:t>בכתף</w:t>
      </w:r>
      <w:r>
        <w:rPr>
          <w:rtl/>
        </w:rPr>
        <w:t xml:space="preserve"> </w:t>
      </w:r>
      <w:proofErr w:type="spellStart"/>
      <w:r>
        <w:rPr>
          <w:rtl/>
        </w:rPr>
        <w:t>ישאו</w:t>
      </w:r>
      <w:proofErr w:type="spellEnd"/>
      <w:r>
        <w:rPr>
          <w:rtl/>
        </w:rPr>
        <w:t>”</w:t>
      </w:r>
      <w:bookmarkStart w:id="1611" w:name="_fnr1066"/>
      <w:r>
        <w:rPr>
          <w:rStyle w:val="a5"/>
        </w:rPr>
        <w:footnoteReference w:id="1069" w:customMarkFollows="0"/>
      </w:r>
      <w:bookmarkEnd w:id="1611"/>
      <w:r>
        <w:rPr>
          <w:rtl/>
        </w:rPr>
        <w:t>. מגילה זו נקראה במשך שנים רבות בבית המדרש הישן של קובנה, בכל שנה בשושן פורים.</w:t>
      </w:r>
    </w:p>
    <w:bookmarkStart w:id="1612" w:name="b3_note13"/>
    <w:p w14:paraId="556C1103" w14:textId="77777777" w:rsidR="00AB3647" w:rsidRDefault="00000000" w:rsidP="007923E9">
      <w:pPr>
        <w:spacing w:before="120" w:after="100" w:line="276" w:lineRule="auto"/>
        <w:jc w:val="both"/>
      </w:pPr>
      <w:r>
        <w:fldChar w:fldCharType="begin" w:dirty="true"/>
      </w:r>
      <w:r>
        <w:instrText>HYPERLINK \l "b3_ref13"</w:instrText>
      </w:r>
      <w:r>
        <w:fldChar w:fldCharType="separate"/>
      </w:r>
      <w:r>
        <w:rPr>
          <w:b/>
          <w:bCs/>
          <w:rtl/>
        </w:rPr>
        <w:t>13</w:t>
      </w:r>
      <w:r>
        <w:rPr>
          <w:b/>
          <w:bCs/>
        </w:rPr>
        <w:fldChar w:fldCharType="end"/>
      </w:r>
      <w:bookmarkEnd w:id="1612"/>
      <w:r>
        <w:rPr>
          <w:rtl/>
        </w:rPr>
        <w:t xml:space="preserve"> ליפמן.</w:t>
      </w:r>
      <w:bookmarkStart w:id="1613" w:name="_fnr1067"/>
      <w:r>
        <w:rPr>
          <w:rStyle w:val="a5"/>
        </w:rPr>
        <w:footnoteReference w:id="1070" w:customMarkFollows="0"/>
      </w:r>
      <w:bookmarkEnd w:id="1613"/>
      <w:r>
        <w:rPr>
          <w:rtl/>
        </w:rPr>
        <w:t xml:space="preserve"> בליטאית שמר הפרבר על שמו המקורי, </w:t>
      </w:r>
      <w:proofErr w:type="spellStart"/>
      <w:r>
        <w:rPr>
          <w:rtl/>
        </w:rPr>
        <w:t>ויליאמפולה</w:t>
      </w:r>
      <w:proofErr w:type="spellEnd"/>
      <w:r>
        <w:rPr>
          <w:rtl/>
        </w:rPr>
        <w:t xml:space="preserve">, אבל כמו בערים רבות ברחבי הארץ, היה ליהודים שם משלהם לעיר. דוגמה לכך היא העיירה בליטא שבה כיהן אבי כרב: בליטאית נקראה </w:t>
      </w:r>
      <w:proofErr w:type="spellStart"/>
      <w:r>
        <w:rPr>
          <w:rtl/>
        </w:rPr>
        <w:t>טיטובנאי</w:t>
      </w:r>
      <w:proofErr w:type="spellEnd"/>
      <w:r>
        <w:rPr>
          <w:rtl/>
        </w:rPr>
        <w:t xml:space="preserve">, וביידיש – </w:t>
      </w:r>
      <w:proofErr w:type="spellStart"/>
      <w:r>
        <w:rPr>
          <w:rtl/>
        </w:rPr>
        <w:t>ציטוביאן</w:t>
      </w:r>
      <w:proofErr w:type="spellEnd"/>
      <w:r>
        <w:rPr>
          <w:rtl/>
        </w:rPr>
        <w:t>.</w:t>
      </w:r>
      <w:bookmarkStart w:id="1614" w:name="_fnr1068"/>
      <w:r>
        <w:rPr>
          <w:rStyle w:val="a5"/>
        </w:rPr>
        <w:footnoteReference w:id="1071" w:customMarkFollows="0"/>
      </w:r>
      <w:bookmarkEnd w:id="1614"/>
    </w:p>
    <w:p w14:paraId="2DD57FA0" w14:textId="763FCC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מאז ועד פרוץ מלחמת העולם הראשונה מלכה ידיעת התורה בכיפה בקהילה היהודית של </w:t>
      </w:r>
      <w:proofErr w:type="spellStart"/>
      <w:r>
        <w:rPr>
          <w:rtl/>
        </w:rPr>
        <w:t>קובנה־סלבודקה</w:t>
      </w:r>
      <w:proofErr w:type="spellEnd"/>
      <w:r>
        <w:rPr>
          <w:rtl/>
        </w:rPr>
        <w:t>. כולם למדו תורה, וכולם, אפילו אנשי עסקים ופועלים, היו בקיאים בה. נגרים, חייטים וסנדלרים, ואפילו בני המעמד הנמוך – נפחים ועגלונים – היו בקיאים בתלמוד ובפוסקים, ואין צריך לומר בתנ״ך ובמדרשים. קהילה גדולה כל כך של לומדים לא הייתה ידועה בכל ליטא</w:t>
      </w:r>
      <w:bookmarkStart w:id="1615" w:name="b3_ref14"/>
      <w:bookmarkEnd w:id="1615"/>
      <w:r>
        <w:rPr>
          <w:vertAlign w:val="superscript"/>
          <w:rtl/>
        </w:rPr>
        <w:fldChar w:fldCharType="begin" w:dirty="true"/>
      </w:r>
      <w:r>
        <w:rPr>
          <w:vertAlign w:val="superscript"/>
          <w:rtl/>
        </w:rPr>
        <w:instrText xml:space="preserve"> REF b3_note14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ופולין.</w:t>
      </w:r>
    </w:p>
    <w:bookmarkStart w:id="1616" w:name="b3_note14"/>
    <w:p w14:paraId="728DE74D" w14:textId="77777777" w:rsidR="00AB3647" w:rsidRDefault="00000000" w:rsidP="007923E9">
      <w:pPr>
        <w:spacing w:before="120" w:after="100" w:line="276" w:lineRule="auto"/>
        <w:jc w:val="both"/>
      </w:pPr>
      <w:r>
        <w:lastRenderedPageBreak/>
        <w:fldChar w:fldCharType="begin" w:dirty="true"/>
      </w:r>
      <w:r>
        <w:instrText>HYPERLINK \l "b3_ref14"</w:instrText>
      </w:r>
      <w:r>
        <w:fldChar w:fldCharType="separate"/>
      </w:r>
      <w:r>
        <w:rPr>
          <w:b/>
          <w:bCs/>
          <w:rtl/>
        </w:rPr>
        <w:t>14</w:t>
      </w:r>
      <w:r>
        <w:rPr>
          <w:b/>
          <w:bCs/>
        </w:rPr>
        <w:fldChar w:fldCharType="end"/>
      </w:r>
      <w:bookmarkEnd w:id="1616"/>
      <w:r>
        <w:rPr>
          <w:rtl/>
        </w:rPr>
        <w:t xml:space="preserve"> במידע שבשני המשפטים הקודמים הסתמכתי על מאמר, “</w:t>
      </w:r>
      <w:proofErr w:type="spellStart"/>
      <w:r>
        <w:rPr>
          <w:rtl/>
        </w:rPr>
        <w:t>לייענט</w:t>
      </w:r>
      <w:proofErr w:type="spellEnd"/>
      <w:r>
        <w:rPr>
          <w:rtl/>
        </w:rPr>
        <w:t xml:space="preserve">, </w:t>
      </w:r>
      <w:proofErr w:type="spellStart"/>
      <w:r>
        <w:rPr>
          <w:rtl/>
        </w:rPr>
        <w:t>עס</w:t>
      </w:r>
      <w:proofErr w:type="spellEnd"/>
      <w:r>
        <w:rPr>
          <w:rtl/>
        </w:rPr>
        <w:t xml:space="preserve"> </w:t>
      </w:r>
      <w:proofErr w:type="spellStart"/>
      <w:r>
        <w:rPr>
          <w:rtl/>
        </w:rPr>
        <w:t>וועט</w:t>
      </w:r>
      <w:proofErr w:type="spellEnd"/>
      <w:r>
        <w:rPr>
          <w:rtl/>
        </w:rPr>
        <w:t xml:space="preserve"> אייך </w:t>
      </w:r>
      <w:proofErr w:type="spellStart"/>
      <w:r>
        <w:rPr>
          <w:rtl/>
        </w:rPr>
        <w:t>פאראינטערעסירען</w:t>
      </w:r>
      <w:proofErr w:type="spellEnd"/>
      <w:r>
        <w:rPr>
          <w:rtl/>
        </w:rPr>
        <w:t xml:space="preserve">” [קראו, זה יעניין אתכם], מאת ש. </w:t>
      </w:r>
      <w:proofErr w:type="spellStart"/>
      <w:r>
        <w:rPr>
          <w:rtl/>
        </w:rPr>
        <w:t>דייווידסאן</w:t>
      </w:r>
      <w:proofErr w:type="spellEnd"/>
      <w:r>
        <w:rPr>
          <w:rtl/>
        </w:rPr>
        <w:t xml:space="preserve"> (שם העט של ר׳ שמואל </w:t>
      </w:r>
      <w:proofErr w:type="spellStart"/>
      <w:r>
        <w:rPr>
          <w:rtl/>
        </w:rPr>
        <w:t>חאניס</w:t>
      </w:r>
      <w:proofErr w:type="spellEnd"/>
      <w:r>
        <w:rPr>
          <w:rtl/>
        </w:rPr>
        <w:t>), בשבועון היידי “</w:t>
      </w:r>
      <w:proofErr w:type="spellStart"/>
      <w:r>
        <w:rPr>
          <w:rtl/>
        </w:rPr>
        <w:t>דער</w:t>
      </w:r>
      <w:proofErr w:type="spellEnd"/>
      <w:r>
        <w:rPr>
          <w:rtl/>
        </w:rPr>
        <w:t xml:space="preserve"> איד”.</w:t>
      </w:r>
      <w:bookmarkStart w:id="1617" w:name="_fnr1069"/>
      <w:r>
        <w:rPr>
          <w:rStyle w:val="a5"/>
        </w:rPr>
        <w:footnoteReference w:id="1072" w:customMarkFollows="0"/>
      </w:r>
      <w:bookmarkEnd w:id="1617"/>
      <w:r>
        <w:rPr>
          <w:rtl/>
        </w:rPr>
        <w:t xml:space="preserve"> נאמר בו שאף ששמה של וילנה יצא </w:t>
      </w:r>
      <w:proofErr w:type="spellStart"/>
      <w:r>
        <w:rPr>
          <w:rtl/>
        </w:rPr>
        <w:t>כ“ירושלים</w:t>
      </w:r>
      <w:proofErr w:type="spellEnd"/>
      <w:r>
        <w:rPr>
          <w:rtl/>
        </w:rPr>
        <w:t xml:space="preserve"> </w:t>
      </w:r>
      <w:proofErr w:type="spellStart"/>
      <w:r>
        <w:rPr>
          <w:rtl/>
        </w:rPr>
        <w:t>דליטא</w:t>
      </w:r>
      <w:proofErr w:type="spellEnd"/>
      <w:r>
        <w:rPr>
          <w:rtl/>
        </w:rPr>
        <w:t>”, היה בקובנה לימוד תורה רב יותר.</w:t>
      </w:r>
    </w:p>
    <w:p w14:paraId="48EF6E6E" w14:textId="77777777" w:rsidR="00AB3647" w:rsidRDefault="00000000" w:rsidP="007923E9">
      <w:pPr>
        <w:spacing w:before="120" w:after="100" w:line="276" w:lineRule="auto"/>
        <w:jc w:val="both"/>
      </w:pPr>
      <w:r>
        <w:rPr>
          <w:rtl/>
        </w:rPr>
        <w:t xml:space="preserve">במאמר מסופר סיפור קטן ומשעשע על נוסעים בחשמלית בקובנה, שהתפעלו מזריזותו של הכרטיסן הגוי בדברים הרבים שעבודתו חייבה אותו לעשות בבת אחת: למכור את הכרטיסים, לנהוג בקרון ולהודיע לנוסעים היכן תחנותיהם. אחד הנוסעים קרא: “הוא השטן, הוא יצר הרע, הוא מלאך </w:t>
      </w:r>
      <w:proofErr w:type="spellStart"/>
      <w:r>
        <w:rPr>
          <w:rtl/>
        </w:rPr>
        <w:t>המות</w:t>
      </w:r>
      <w:proofErr w:type="spellEnd"/>
      <w:r>
        <w:rPr>
          <w:rtl/>
        </w:rPr>
        <w:t>!”, וכל היהודים פרצו בצחוק, שכן כולם הכירו את המאמר הזה של חז״ל</w:t>
      </w:r>
      <w:bookmarkStart w:id="1618" w:name="_fnr1070"/>
      <w:r>
        <w:rPr>
          <w:rStyle w:val="a5"/>
        </w:rPr>
        <w:footnoteReference w:id="1073" w:customMarkFollows="0"/>
      </w:r>
      <w:bookmarkEnd w:id="1618"/>
      <w:r>
        <w:rPr>
          <w:rtl/>
        </w:rPr>
        <w:t xml:space="preserve"> והבינו את ההשוואה.</w:t>
      </w:r>
    </w:p>
    <w:p w14:paraId="246C5CBC" w14:textId="590405A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רבה הראשון של קובנה היה ר׳ </w:t>
      </w:r>
      <w:proofErr w:type="spellStart"/>
      <w:r>
        <w:rPr>
          <w:rtl/>
        </w:rPr>
        <w:t>לייבל׳ה</w:t>
      </w:r>
      <w:proofErr w:type="spellEnd"/>
      <w:r>
        <w:rPr>
          <w:rtl/>
        </w:rPr>
        <w:t xml:space="preserve"> שפירא. הוא כיהן חמש שנים משנת תר״ח,</w:t>
      </w:r>
      <w:bookmarkStart w:id="1619" w:name="b3_ref15"/>
      <w:bookmarkEnd w:id="1619"/>
      <w:r>
        <w:rPr>
          <w:vertAlign w:val="superscript"/>
          <w:rtl/>
        </w:rPr>
        <w:fldChar w:fldCharType="begin" w:dirty="true"/>
      </w:r>
      <w:r>
        <w:rPr>
          <w:vertAlign w:val="superscript"/>
          <w:rtl/>
        </w:rPr>
        <w:instrText xml:space="preserve"> REF b3_note15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xml:space="preserve"> יותר מחצי מאה לאחר שנעשתה ליטא פלך באימפריה הרוסית העצומה. אחרי פטירתו כיהן ר׳ </w:t>
      </w:r>
      <w:proofErr w:type="spellStart"/>
      <w:r>
        <w:rPr>
          <w:rtl/>
        </w:rPr>
        <w:t>משה־יצחק</w:t>
      </w:r>
      <w:proofErr w:type="spellEnd"/>
      <w:r>
        <w:rPr>
          <w:rtl/>
        </w:rPr>
        <w:t xml:space="preserve"> אביגדור ברבנות שבע שנים, ובא אחריו ר׳ </w:t>
      </w:r>
      <w:proofErr w:type="spellStart"/>
      <w:r>
        <w:rPr>
          <w:rtl/>
        </w:rPr>
        <w:t>יהושע־לייב</w:t>
      </w:r>
      <w:proofErr w:type="spellEnd"/>
      <w:r>
        <w:rPr>
          <w:rtl/>
        </w:rPr>
        <w:t xml:space="preserve"> דיסקין.</w:t>
      </w:r>
      <w:bookmarkStart w:id="1620" w:name="b3_ref16"/>
      <w:bookmarkEnd w:id="1620"/>
      <w:r>
        <w:rPr>
          <w:vertAlign w:val="superscript"/>
          <w:rtl/>
        </w:rPr>
        <w:fldChar w:fldCharType="begin" w:dirty="true"/>
      </w:r>
      <w:r>
        <w:rPr>
          <w:vertAlign w:val="superscript"/>
          <w:rtl/>
        </w:rPr>
        <w:instrText xml:space="preserve"> REF b3_note16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xml:space="preserve"> אחרי כהונתו הקצרה של ר׳ </w:t>
      </w:r>
      <w:proofErr w:type="spellStart"/>
      <w:r>
        <w:rPr>
          <w:rtl/>
        </w:rPr>
        <w:t>יהושע־לייב</w:t>
      </w:r>
      <w:proofErr w:type="spellEnd"/>
      <w:r>
        <w:rPr>
          <w:rtl/>
        </w:rPr>
        <w:t xml:space="preserve"> באה בשנת תרכ״ד כהונתו הארוכה של ר׳ </w:t>
      </w:r>
      <w:proofErr w:type="spellStart"/>
      <w:r>
        <w:rPr>
          <w:rtl/>
        </w:rPr>
        <w:t>יצחק־אלחנן</w:t>
      </w:r>
      <w:proofErr w:type="spellEnd"/>
      <w:r>
        <w:rPr>
          <w:rtl/>
        </w:rPr>
        <w:t xml:space="preserve"> </w:t>
      </w:r>
      <w:proofErr w:type="spellStart"/>
      <w:r>
        <w:rPr>
          <w:rtl/>
        </w:rPr>
        <w:t>ספקטור</w:t>
      </w:r>
      <w:proofErr w:type="spellEnd"/>
      <w:r>
        <w:rPr>
          <w:rtl/>
        </w:rPr>
        <w:t>, האהוב והנערץ על הכול.</w:t>
      </w:r>
      <w:bookmarkStart w:id="1621" w:name="b3_ref17"/>
      <w:bookmarkEnd w:id="1621"/>
      <w:r>
        <w:rPr>
          <w:vertAlign w:val="superscript"/>
          <w:rtl/>
        </w:rPr>
        <w:fldChar w:fldCharType="begin" w:dirty="true"/>
      </w:r>
      <w:r>
        <w:rPr>
          <w:vertAlign w:val="superscript"/>
          <w:rtl/>
        </w:rPr>
        <w:instrText xml:space="preserve"> REF b3_note17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p>
    <w:bookmarkStart w:id="1622" w:name="b3_note15"/>
    <w:p w14:paraId="6C2E6BEA" w14:textId="77777777" w:rsidR="00AB3647" w:rsidRDefault="00000000" w:rsidP="007923E9">
      <w:pPr>
        <w:spacing w:before="120" w:after="100" w:line="276" w:lineRule="auto"/>
        <w:jc w:val="both"/>
      </w:pPr>
      <w:r>
        <w:fldChar w:fldCharType="begin" w:dirty="true"/>
      </w:r>
      <w:r>
        <w:instrText>HYPERLINK \l "b3_ref15"</w:instrText>
      </w:r>
      <w:r>
        <w:fldChar w:fldCharType="separate"/>
      </w:r>
      <w:r>
        <w:rPr>
          <w:b/>
          <w:bCs/>
          <w:rtl/>
        </w:rPr>
        <w:t>15</w:t>
      </w:r>
      <w:r>
        <w:rPr>
          <w:b/>
          <w:bCs/>
        </w:rPr>
        <w:fldChar w:fldCharType="end"/>
      </w:r>
      <w:bookmarkEnd w:id="1622"/>
      <w:r>
        <w:rPr>
          <w:rtl/>
        </w:rPr>
        <w:t xml:space="preserve"> ר׳ </w:t>
      </w:r>
      <w:proofErr w:type="spellStart"/>
      <w:r>
        <w:rPr>
          <w:rtl/>
        </w:rPr>
        <w:t>לייבל׳ה</w:t>
      </w:r>
      <w:proofErr w:type="spellEnd"/>
      <w:r>
        <w:rPr>
          <w:rtl/>
        </w:rPr>
        <w:t xml:space="preserve"> נולד בשנת תקמ״ז, וכהונתו ברבנות קובנה נקטעה בפטירתו בשנת תרי״ג. הוא הוסמך בידי ר׳ חיים </w:t>
      </w:r>
      <w:proofErr w:type="spellStart"/>
      <w:r>
        <w:rPr>
          <w:rtl/>
        </w:rPr>
        <w:t>מוולוז׳ין</w:t>
      </w:r>
      <w:proofErr w:type="spellEnd"/>
      <w:r>
        <w:rPr>
          <w:rtl/>
        </w:rPr>
        <w:t>. “אבי הישיבות”</w:t>
      </w:r>
      <w:bookmarkStart w:id="1623" w:name="_fnr1071"/>
      <w:r>
        <w:rPr>
          <w:rStyle w:val="a5"/>
        </w:rPr>
        <w:footnoteReference w:id="1074" w:customMarkFollows="0"/>
      </w:r>
      <w:bookmarkEnd w:id="1623"/>
      <w:r>
        <w:rPr>
          <w:rtl/>
        </w:rPr>
        <w:t xml:space="preserve"> מביא שר׳ חיים </w:t>
      </w:r>
      <w:proofErr w:type="spellStart"/>
      <w:r>
        <w:rPr>
          <w:rtl/>
        </w:rPr>
        <w:t>סולובייצ׳יק</w:t>
      </w:r>
      <w:proofErr w:type="spellEnd"/>
      <w:r>
        <w:rPr>
          <w:rtl/>
        </w:rPr>
        <w:t xml:space="preserve"> סיפר שר׳ חיים </w:t>
      </w:r>
      <w:proofErr w:type="spellStart"/>
      <w:r>
        <w:rPr>
          <w:rtl/>
        </w:rPr>
        <w:t>מוולוז׳ין</w:t>
      </w:r>
      <w:proofErr w:type="spellEnd"/>
      <w:r>
        <w:rPr>
          <w:rtl/>
        </w:rPr>
        <w:t xml:space="preserve"> כתב בסמיכתו שר׳ </w:t>
      </w:r>
      <w:proofErr w:type="spellStart"/>
      <w:r>
        <w:rPr>
          <w:rtl/>
        </w:rPr>
        <w:t>לייבל׳ה</w:t>
      </w:r>
      <w:proofErr w:type="spellEnd"/>
      <w:r>
        <w:rPr>
          <w:rtl/>
        </w:rPr>
        <w:t xml:space="preserve"> “יכול לפסוק בכל הש״ס בלי לעיין בשולחן ערוך, ולכוון לאמיתה של הלכה”. לפני שנתקבל לרבה של קובנה כיהן כרב בארבע עיירות, ובהן </w:t>
      </w:r>
      <w:proofErr w:type="spellStart"/>
      <w:r>
        <w:rPr>
          <w:rtl/>
        </w:rPr>
        <w:t>שתים־עשרה</w:t>
      </w:r>
      <w:proofErr w:type="spellEnd"/>
      <w:r>
        <w:rPr>
          <w:rtl/>
        </w:rPr>
        <w:t xml:space="preserve"> שנה </w:t>
      </w:r>
      <w:proofErr w:type="spellStart"/>
      <w:r>
        <w:rPr>
          <w:rtl/>
        </w:rPr>
        <w:t>בסמורגון</w:t>
      </w:r>
      <w:proofErr w:type="spellEnd"/>
      <w:r>
        <w:rPr>
          <w:rtl/>
        </w:rPr>
        <w:t xml:space="preserve">. אף על פי כן הוא ידוע בשם “ר׳ </w:t>
      </w:r>
      <w:proofErr w:type="spellStart"/>
      <w:r>
        <w:rPr>
          <w:rtl/>
        </w:rPr>
        <w:t>לייבל׳ה</w:t>
      </w:r>
      <w:proofErr w:type="spellEnd"/>
      <w:r>
        <w:rPr>
          <w:rtl/>
        </w:rPr>
        <w:t xml:space="preserve"> </w:t>
      </w:r>
      <w:proofErr w:type="spellStart"/>
      <w:r>
        <w:rPr>
          <w:rtl/>
        </w:rPr>
        <w:t>קאוונער</w:t>
      </w:r>
      <w:proofErr w:type="spellEnd"/>
      <w:r>
        <w:rPr>
          <w:rtl/>
        </w:rPr>
        <w:t xml:space="preserve">”, משום שקובנה הייתה הגדולה בהרבה מכל הקהילות שבהן כיהן. בצעירותו, כשהיה יתום, עבד כחלבן, עד שר׳ מנשה מאיליה, מגדולי תלמידיו של הגאון מווילנה, הכיר בכישרונו יוצא הדופן של הנער ושכנע אותו להיעשות מלמד – מקצוע שהותיר לו שעות פנאי ללמוד אצל ר׳ מנשה.</w:t>
      </w:r>
      <w:bookmarkStart w:id="1624" w:name="_fnr1072"/>
      <w:r>
        <w:rPr>
          <w:rStyle w:val="a5"/>
        </w:rPr>
        <w:footnoteReference w:id="1075" w:customMarkFollows="0"/>
      </w:r>
      <w:bookmarkEnd w:id="1624"/>
    </w:p>
    <w:p w14:paraId="4BEEE51F" w14:textId="77777777" w:rsidR="00AB3647" w:rsidRDefault="00000000" w:rsidP="007923E9">
      <w:pPr>
        <w:spacing w:after="100" w:line="276" w:lineRule="auto"/>
        <w:ind w:firstLine="340"/>
        <w:jc w:val="both"/>
      </w:pPr>
      <w:r>
        <w:rPr>
          <w:rtl/>
        </w:rPr>
        <w:t xml:space="preserve">ר׳ חיים </w:t>
      </w:r>
      <w:proofErr w:type="spellStart"/>
      <w:r>
        <w:rPr>
          <w:rtl/>
        </w:rPr>
        <w:t>קרלינסקי</w:t>
      </w:r>
      <w:proofErr w:type="spellEnd"/>
      <w:r>
        <w:rPr>
          <w:rtl/>
        </w:rPr>
        <w:t xml:space="preserve"> מפתח בספרו “הראשון לשושלת </w:t>
      </w:r>
      <w:proofErr w:type="spellStart"/>
      <w:r>
        <w:rPr>
          <w:rtl/>
        </w:rPr>
        <w:t>בריסק</w:t>
      </w:r>
      <w:proofErr w:type="spellEnd"/>
      <w:r>
        <w:rPr>
          <w:rtl/>
        </w:rPr>
        <w:t>”</w:t>
      </w:r>
      <w:bookmarkStart w:id="1625" w:name="_fnr1073"/>
      <w:r>
        <w:rPr>
          <w:rStyle w:val="a5"/>
        </w:rPr>
        <w:footnoteReference w:id="1076" w:customMarkFollows="0"/>
      </w:r>
      <w:bookmarkEnd w:id="1625"/>
      <w:r>
        <w:rPr>
          <w:rtl/>
        </w:rPr>
        <w:t xml:space="preserve"> תאוריה מעניינת: מדוע לא מינתה קובנה רבנים באופן רשמי עד יותר משישים שנה אחרי שזכו היהודים ברשות לגור בה? לדבריו, בני משפחת </w:t>
      </w:r>
      <w:proofErr w:type="spellStart"/>
      <w:r>
        <w:rPr>
          <w:rtl/>
        </w:rPr>
        <w:t>סולובייצ׳יק</w:t>
      </w:r>
      <w:proofErr w:type="spellEnd"/>
      <w:r>
        <w:rPr>
          <w:rtl/>
        </w:rPr>
        <w:t xml:space="preserve"> עיכבו את זכותה של העיר למנות רב, כערובה לחוב הגדול שהעיר חבה להם על ההוצאות שהוציאו כדי לזכות במשפט על זכות המגורים החוקית של היהודים בעיר.</w:t>
      </w:r>
      <w:bookmarkStart w:id="1626" w:name="_fnr1074"/>
      <w:r>
        <w:rPr>
          <w:rStyle w:val="a5"/>
        </w:rPr>
        <w:footnoteReference w:id="1077" w:customMarkFollows="0"/>
      </w:r>
      <w:bookmarkEnd w:id="1626"/>
      <w:r>
        <w:rPr>
          <w:rtl/>
        </w:rPr>
        <w:t xml:space="preserve"> פתרון אחר ופשוט יותר לשאלה שהעלה הרב </w:t>
      </w:r>
      <w:proofErr w:type="spellStart"/>
      <w:r>
        <w:rPr>
          <w:rtl/>
        </w:rPr>
        <w:t>קרלינסקי</w:t>
      </w:r>
      <w:proofErr w:type="spellEnd"/>
      <w:r>
        <w:rPr>
          <w:rtl/>
        </w:rPr>
        <w:t xml:space="preserve"> אפשר למצוא בליפמן,</w:t>
      </w:r>
      <w:bookmarkStart w:id="1627" w:name="_fnr1075"/>
      <w:r>
        <w:rPr>
          <w:rStyle w:val="a5"/>
        </w:rPr>
        <w:footnoteReference w:id="1078" w:customMarkFollows="0"/>
      </w:r>
      <w:bookmarkEnd w:id="1627"/>
      <w:r>
        <w:rPr>
          <w:rtl/>
        </w:rPr>
        <w:t xml:space="preserve"> האומר (בלי לנמק): “רוב עשירי קובנה נשארו </w:t>
      </w:r>
      <w:proofErr w:type="spellStart"/>
      <w:r>
        <w:rPr>
          <w:rtl/>
        </w:rPr>
        <w:t>בוויליאמפולה</w:t>
      </w:r>
      <w:proofErr w:type="spellEnd"/>
      <w:r>
        <w:rPr>
          <w:rtl/>
        </w:rPr>
        <w:t xml:space="preserve"> עד שנת תר״ב בערך.” נמצא </w:t>
      </w:r>
      <w:r>
        <w:rPr>
          <w:rtl/>
        </w:rPr>
        <w:lastRenderedPageBreak/>
        <w:t>שתושבי קובנה העניים חסכו לעצמם את ההוצאה הכרוכה בהחזקת רב משלהם, כשהיה להם רב מעבר לגשר.</w:t>
      </w:r>
    </w:p>
    <w:bookmarkStart w:id="1628" w:name="b3_note16"/>
    <w:p w14:paraId="26D8AC82" w14:textId="77777777" w:rsidR="00AB3647" w:rsidRDefault="00000000" w:rsidP="007923E9">
      <w:pPr>
        <w:spacing w:before="120" w:after="100" w:line="276" w:lineRule="auto"/>
        <w:jc w:val="both"/>
      </w:pPr>
      <w:r>
        <w:fldChar w:fldCharType="begin" w:dirty="true"/>
      </w:r>
      <w:r>
        <w:instrText>HYPERLINK \l "b3_ref16"</w:instrText>
      </w:r>
      <w:r>
        <w:fldChar w:fldCharType="separate"/>
      </w:r>
      <w:r>
        <w:rPr>
          <w:b/>
          <w:bCs/>
          <w:rtl/>
        </w:rPr>
        <w:t>16</w:t>
      </w:r>
      <w:r>
        <w:rPr>
          <w:b/>
          <w:bCs/>
        </w:rPr>
        <w:fldChar w:fldCharType="end"/>
      </w:r>
      <w:bookmarkEnd w:id="1628"/>
      <w:r>
        <w:rPr>
          <w:rtl/>
        </w:rPr>
        <w:t xml:space="preserve"> נולד בשנת תקע״ז, נפטר בשנת תרנ״ח. הוא נאלץ לברוח מקובנה משום שהעז לעמוד מול משפחה רבת כוח שביקשה לשלוט בהכנסות הקהילה, וחזר לכהונתו כרב </w:t>
      </w:r>
      <w:proofErr w:type="spellStart"/>
      <w:r>
        <w:rPr>
          <w:rtl/>
        </w:rPr>
        <w:t>לומז׳ה</w:t>
      </w:r>
      <w:proofErr w:type="spellEnd"/>
      <w:r>
        <w:rPr>
          <w:rtl/>
        </w:rPr>
        <w:t>.</w:t>
      </w:r>
      <w:bookmarkStart w:id="1629" w:name="_fnr1076"/>
      <w:r>
        <w:rPr>
          <w:rStyle w:val="a5"/>
        </w:rPr>
        <w:footnoteReference w:id="1079" w:customMarkFollows="0"/>
      </w:r>
      <w:bookmarkEnd w:id="1629"/>
    </w:p>
    <w:bookmarkStart w:id="1630" w:name="b3_note17"/>
    <w:p w14:paraId="615EAD53" w14:textId="0A592BD7" w:rsidR="00AB3647" w:rsidRDefault="00000000" w:rsidP="007923E9">
      <w:pPr>
        <w:spacing w:before="120" w:after="100" w:line="276" w:lineRule="auto"/>
        <w:jc w:val="both"/>
      </w:pPr>
      <w:r>
        <w:fldChar w:fldCharType="begin" w:dirty="true"/>
      </w:r>
      <w:r>
        <w:instrText>HYPERLINK \l "b3_ref17"</w:instrText>
      </w:r>
      <w:r>
        <w:fldChar w:fldCharType="separate"/>
      </w:r>
      <w:r>
        <w:rPr>
          <w:b/>
          <w:bCs/>
          <w:rtl/>
        </w:rPr>
        <w:t>17</w:t>
      </w:r>
      <w:r>
        <w:rPr>
          <w:b/>
          <w:bCs/>
        </w:rPr>
        <w:fldChar w:fldCharType="end"/>
      </w:r>
      <w:bookmarkEnd w:id="1630"/>
      <w:r>
        <w:rPr>
          <w:rtl/>
        </w:rPr>
        <w:t xml:space="preserve"> נולד בשנת תקע״ז, והיה נערץ על המוני יהודי ליטא, שקראו לו בפשטות “הצדיק מקובנה”. אבי, שמלאו לו חמש שנים יום אחד לפני פטירתו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בכ״א באדר תרנ״ו, זכר איך התאבלו האנשים כשהגיעה הידיעה על מותו </w:t>
      </w:r>
      <w:proofErr w:type="spellStart"/>
      <w:r>
        <w:rPr>
          <w:rtl/>
        </w:rPr>
        <w:t>לדולהינוב</w:t>
      </w:r>
      <w:proofErr w:type="spellEnd"/>
      <w:r>
        <w:rPr>
          <w:rtl/>
        </w:rPr>
        <w:t xml:space="preserve"> הרחוקה.</w:t>
      </w:r>
      <w:bookmarkStart w:id="1631" w:name="_fnr1077"/>
      <w:r>
        <w:rPr>
          <w:rStyle w:val="a5"/>
        </w:rPr>
        <w:footnoteReference w:id="1080" w:customMarkFollows="0"/>
      </w:r>
      <w:bookmarkEnd w:id="1631"/>
      <w:r>
        <w:rPr>
          <w:rtl/>
        </w:rPr>
        <w:t xml:space="preserve"> ר׳ </w:t>
      </w:r>
      <w:proofErr w:type="spellStart"/>
      <w:r>
        <w:rPr>
          <w:rtl/>
        </w:rPr>
        <w:t>יצחק־אלחנן</w:t>
      </w:r>
      <w:proofErr w:type="spellEnd"/>
      <w:r>
        <w:rPr>
          <w:rtl/>
        </w:rPr>
        <w:t xml:space="preserve"> כיהן שלושים ושתיים שנה, והוא הרב שכיהן זמן רב מכולם בתולדותיה הרבניות של העיר, הקצרות יחסית – 94 שנים. הוא נודע בכינוי “אבי העגונות”, בזכות מומחיותו במציאת פתרונות הלכתיים להתרת נשים אומללות מכבלי בעליהן הנעדרים. לפי המאמר </w:t>
      </w:r>
      <w:proofErr w:type="spellStart"/>
      <w:r>
        <w:rPr>
          <w:rtl/>
        </w:rPr>
        <w:t>ב“דער</w:t>
      </w:r>
      <w:proofErr w:type="spellEnd"/>
      <w:r>
        <w:rPr>
          <w:rtl/>
        </w:rPr>
        <w:t xml:space="preserve"> איד”, הנזכר בהערה </w:t>
      </w:r>
      <w:r>
        <w:rPr>
          <w:rtl/>
        </w:rPr>
        <w:fldChar w:fldCharType="begin" w:dirty="true"/>
      </w:r>
      <w:r>
        <w:rPr>
          <w:rtl/>
        </w:rPr>
        <w:instrText xml:space="preserve"> REF b3_note14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w:t>
      </w:r>
      <w:r>
        <w:rPr>
          <w:rtl/>
        </w:rPr>
        <w:fldChar w:fldCharType="end"/>
      </w:r>
      <w:r>
        <w:rPr>
          <w:rtl/>
        </w:rPr>
        <w:t xml:space="preserve"> לעיל, מצא ר׳ </w:t>
      </w:r>
      <w:proofErr w:type="spellStart"/>
      <w:r>
        <w:rPr>
          <w:rtl/>
        </w:rPr>
        <w:t>יצחק־אלחנן</w:t>
      </w:r>
      <w:proofErr w:type="spellEnd"/>
      <w:r>
        <w:rPr>
          <w:rtl/>
        </w:rPr>
        <w:t xml:space="preserve"> פתרון לכל מקרי העגונות שהובאו לפניו לדין, מלבד 3 מתוך 158.</w:t>
      </w:r>
    </w:p>
    <w:p w14:paraId="082C288A" w14:textId="77777777" w:rsidR="00AB3647" w:rsidRDefault="00000000" w:rsidP="007923E9">
      <w:pPr>
        <w:spacing w:after="100" w:line="276" w:lineRule="auto"/>
        <w:ind w:firstLine="340"/>
        <w:jc w:val="both"/>
      </w:pPr>
      <w:r>
        <w:rPr>
          <w:rtl/>
        </w:rPr>
        <w:t xml:space="preserve">מעניין שהרב האחרון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ניסה ללכת בעקבות קודמו המפורסם – כך מדווח אברהם תורי, מזכיר היודנרט, ביומן הגטו שלו, “גיטו </w:t>
      </w:r>
      <w:proofErr w:type="spellStart"/>
      <w:r>
        <w:rPr>
          <w:rtl/>
        </w:rPr>
        <w:t>יום־יום</w:t>
      </w:r>
      <w:proofErr w:type="spellEnd"/>
      <w:r>
        <w:rPr>
          <w:rtl/>
        </w:rPr>
        <w:t>”.</w:t>
      </w:r>
      <w:bookmarkStart w:id="1632" w:name="_fnr1078"/>
      <w:r>
        <w:rPr>
          <w:rStyle w:val="a5"/>
        </w:rPr>
        <w:footnoteReference w:id="1081" w:customMarkFollows="0"/>
      </w:r>
      <w:bookmarkEnd w:id="1632"/>
      <w:r>
        <w:rPr>
          <w:rtl/>
        </w:rPr>
        <w:t xml:space="preserve"> ר׳ </w:t>
      </w:r>
      <w:proofErr w:type="spellStart"/>
      <w:r>
        <w:rPr>
          <w:rtl/>
        </w:rPr>
        <w:t>אברהם־דובער</w:t>
      </w:r>
      <w:proofErr w:type="spellEnd"/>
      <w:r>
        <w:rPr>
          <w:rtl/>
        </w:rPr>
        <w:t xml:space="preserve"> כיהן שלושים שנה, משנת תרע״ג עד פטירתו בגטו </w:t>
      </w:r>
      <w:proofErr w:type="spellStart"/>
      <w:r>
        <w:rPr>
          <w:rtl/>
        </w:rPr>
        <w:t>שבסלבודקה</w:t>
      </w:r>
      <w:proofErr w:type="spellEnd"/>
      <w:r>
        <w:rPr>
          <w:rtl/>
        </w:rPr>
        <w:t xml:space="preserve"> בכ״ב באדר א׳ תש״ג. תורי כותב: “באחד מביקוריי אצל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בדירתו שבגטו מצאתיו יושב במיטתו, עוטה כפפות צמר שאצבעותיהן סרוגות באופן שאפשר לו לכתוב. שאלתיו: ‘הרשאי אני לשאול את רבי מה הוא כותב?’ </w:t>
      </w:r>
      <w:r>
        <w:rPr>
          <w:b/>
          <w:bCs/>
          <w:rtl/>
        </w:rPr>
        <w:t>והרב ענה לי</w:t>
      </w:r>
      <w:r>
        <w:rPr>
          <w:rtl/>
        </w:rPr>
        <w:t xml:space="preserve"> (ההדגשה שלי, לדיון בהערת השוליים שבסוף הערה זו): ‘בני, אלפי נשים בגטו הן עגונות [כבר], ועוד אלפים יהיו עד שתסתיים המלחמה. לפי דיני העגונות הקיימים ייגזר על רבבות נשים לבלות את שארית ימיהן בעליבות, משום שמעולם לא הייתה בתולדותינו טרגדיה של השמדה נוראה כזו.’ הרב, אם כן, כתב ספר הלכה על התרת עגונות המלחמה הזאת, וכבר הצטברו בו 300 עמודים. לא אזרתי עוז לבקש רשות להעתיק את חיבורו רב ההיקף, וחבל חבל שלא נשאר ממנו זכר.</w:t>
      </w:r>
      <w:bookmarkStart w:id="1633" w:name="_fnr1079"/>
      <w:r>
        <w:rPr>
          <w:rStyle w:val="a5"/>
        </w:rPr>
        <w:footnoteReference w:id="1082" w:customMarkFollows="0"/>
      </w:r>
      <w:bookmarkEnd w:id="1633"/>
      <w:r>
        <w:rPr>
          <w:rtl/>
        </w:rPr>
        <w:t>”</w:t>
      </w:r>
    </w:p>
    <w:p w14:paraId="211BF261" w14:textId="77777777" w:rsidR="00AB3647" w:rsidRDefault="00000000" w:rsidP="007923E9">
      <w:pPr>
        <w:spacing w:after="100" w:line="276" w:lineRule="auto"/>
        <w:ind w:firstLine="340"/>
        <w:jc w:val="both"/>
      </w:pPr>
      <w:r>
        <w:rPr>
          <w:rtl/>
        </w:rPr>
        <w:t>אבל דיווחו של תורי עומד בסתירה לדברי ניצול הגטו ר׳ מרדכי צוקרמן, שסיפר:</w:t>
      </w:r>
      <w:bookmarkStart w:id="1634" w:name="_fnr1080"/>
      <w:r>
        <w:rPr>
          <w:rStyle w:val="a5"/>
        </w:rPr>
        <w:footnoteReference w:id="1083" w:customMarkFollows="0"/>
      </w:r>
      <w:bookmarkEnd w:id="1634"/>
      <w:r>
        <w:rPr>
          <w:rtl/>
        </w:rPr>
        <w:t xml:space="preserve"> “במשך השנה וחצי שהיה הרב מקובנה בגטו, היה עסוק בהכתבת ספר </w:t>
      </w:r>
      <w:proofErr w:type="spellStart"/>
      <w:r>
        <w:rPr>
          <w:rtl/>
        </w:rPr>
        <w:t>זכרונות</w:t>
      </w:r>
      <w:proofErr w:type="spellEnd"/>
      <w:r>
        <w:rPr>
          <w:rtl/>
        </w:rPr>
        <w:t>, ספר דרוש, והגהות על ספרו [של דברי תורה, שבו נתפרסם], ‘דבר אברהם’. אני זוכר שכתבתי את דברי הרב מפיו בחורף, כשהוא עטוף במעיל פרווה.”</w:t>
      </w:r>
      <w:bookmarkStart w:id="1635" w:name="_fnr1081"/>
      <w:r>
        <w:rPr>
          <w:rStyle w:val="a5"/>
        </w:rPr>
        <w:footnoteReference w:id="1084" w:customMarkFollows="0"/>
      </w:r>
      <w:bookmarkEnd w:id="1635"/>
      <w:r>
        <w:rPr>
          <w:rtl/>
        </w:rPr>
        <w:t xml:space="preserve"> אילו כתב ר׳ </w:t>
      </w:r>
      <w:proofErr w:type="spellStart"/>
      <w:r>
        <w:rPr>
          <w:rtl/>
        </w:rPr>
        <w:t>אברהם־דובער</w:t>
      </w:r>
      <w:proofErr w:type="spellEnd"/>
      <w:r>
        <w:rPr>
          <w:rtl/>
        </w:rPr>
        <w:t xml:space="preserve"> ספר על התרת עגונות, כפי שסבר תורי, ר׳ מרדכי – לא סופר בעלמא, אלא תלמיד חכם – ודאי היה יודע על כך.</w:t>
      </w:r>
    </w:p>
    <w:p w14:paraId="482E2836" w14:textId="77777777" w:rsidR="00AB3647" w:rsidRDefault="00000000" w:rsidP="007923E9">
      <w:pPr>
        <w:spacing w:after="100" w:line="276" w:lineRule="auto"/>
        <w:ind w:firstLine="340"/>
        <w:jc w:val="both"/>
      </w:pPr>
      <w:r>
        <w:rPr>
          <w:rtl/>
        </w:rPr>
        <w:lastRenderedPageBreak/>
        <w:t xml:space="preserve">אחד משלושת החיבורים שלפי ר׳ מרדכי צוקרמן עבד עליהם הרב מקובנה בגטו, ספר </w:t>
      </w:r>
      <w:proofErr w:type="spellStart"/>
      <w:r>
        <w:rPr>
          <w:rtl/>
        </w:rPr>
        <w:t>הזכרונות</w:t>
      </w:r>
      <w:proofErr w:type="spellEnd"/>
      <w:r>
        <w:rPr>
          <w:rtl/>
        </w:rPr>
        <w:t xml:space="preserve">, נזכר </w:t>
      </w:r>
      <w:proofErr w:type="spellStart"/>
      <w:r>
        <w:rPr>
          <w:rtl/>
        </w:rPr>
        <w:t>ב“גיטו</w:t>
      </w:r>
      <w:proofErr w:type="spellEnd"/>
      <w:r>
        <w:rPr>
          <w:rtl/>
        </w:rPr>
        <w:t xml:space="preserve"> </w:t>
      </w:r>
      <w:proofErr w:type="spellStart"/>
      <w:r>
        <w:rPr>
          <w:rtl/>
        </w:rPr>
        <w:t>יום־יום</w:t>
      </w:r>
      <w:proofErr w:type="spellEnd"/>
      <w:r>
        <w:rPr>
          <w:rtl/>
        </w:rPr>
        <w:t xml:space="preserve">” – אבל בהקשר של </w:t>
      </w:r>
      <w:r>
        <w:rPr>
          <w:b/>
          <w:bCs/>
          <w:rtl/>
        </w:rPr>
        <w:t>טרום המלחמה</w:t>
      </w:r>
      <w:r>
        <w:rPr>
          <w:rtl/>
        </w:rPr>
        <w:t xml:space="preserve">. נאמר שם: “הרב [כהנא־]שפירא היה חולה זה שנים רבות, ולא טיפל עוד בצורכי הקהילה – את זה הניח לאחרים. לפני המעבר לגטו היה עסוק בחדרו, במיטתו, ברישום </w:t>
      </w:r>
      <w:proofErr w:type="spellStart"/>
      <w:r>
        <w:rPr>
          <w:rtl/>
        </w:rPr>
        <w:t>זכרונות</w:t>
      </w:r>
      <w:proofErr w:type="spellEnd"/>
      <w:r>
        <w:rPr>
          <w:rtl/>
        </w:rPr>
        <w:t xml:space="preserve"> חייו העשירים.”</w:t>
      </w:r>
      <w:bookmarkStart w:id="1636" w:name="_fnr1082"/>
      <w:r>
        <w:rPr>
          <w:rStyle w:val="a5"/>
        </w:rPr>
        <w:footnoteReference w:id="1085" w:customMarkFollows="0"/>
      </w:r>
      <w:bookmarkEnd w:id="1636"/>
    </w:p>
    <w:p w14:paraId="2DC98991" w14:textId="19F3809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בימי חייו של ר׳ </w:t>
      </w:r>
      <w:proofErr w:type="spellStart"/>
      <w:r>
        <w:rPr>
          <w:rtl/>
        </w:rPr>
        <w:t>יצחק־אלחנן</w:t>
      </w:r>
      <w:proofErr w:type="spellEnd"/>
      <w:r>
        <w:rPr>
          <w:rtl/>
        </w:rPr>
        <w:t xml:space="preserve"> עלתה קובנה לגדולה ונעשתה כתובת לשאלות הלכה קשות ולבעיות ציבור, בכל מקום שצצו. תקופה זו באה לקצה עם פטירתו בשנת תרנ״ו – עשר שנים בדיוק לפני בואו של אבי – אבל העיר חזרה אל גדולתה כעבור שנה, כשנעשתה מקום מושבן של </w:t>
      </w:r>
      <w:r>
        <w:rPr>
          <w:b/>
          <w:bCs/>
          <w:rtl/>
        </w:rPr>
        <w:t>שתי</w:t>
      </w:r>
      <w:bookmarkStart w:id="1637" w:name="b3_ref18"/>
      <w:bookmarkEnd w:id="1637"/>
      <w:r>
        <w:rPr>
          <w:vertAlign w:val="superscript"/>
          <w:rtl/>
        </w:rPr>
        <w:fldChar w:fldCharType="begin" w:dirty="true"/>
      </w:r>
      <w:r>
        <w:rPr>
          <w:vertAlign w:val="superscript"/>
          <w:rtl/>
        </w:rPr>
        <w:instrText xml:space="preserve"> REF b3_note18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ישיבות נודעות בפרברה.</w:t>
      </w:r>
    </w:p>
    <w:bookmarkStart w:id="1638" w:name="b3_note18"/>
    <w:p w14:paraId="27AF535F" w14:textId="77777777" w:rsidR="00AB3647" w:rsidRDefault="00000000" w:rsidP="007923E9">
      <w:pPr>
        <w:spacing w:before="120" w:after="100" w:line="276" w:lineRule="auto"/>
        <w:jc w:val="both"/>
      </w:pPr>
      <w:r>
        <w:fldChar w:fldCharType="begin" w:dirty="true"/>
      </w:r>
      <w:r>
        <w:instrText>HYPERLINK \l "b3_ref18"</w:instrText>
      </w:r>
      <w:r>
        <w:fldChar w:fldCharType="separate"/>
      </w:r>
      <w:r>
        <w:rPr>
          <w:b/>
          <w:bCs/>
          <w:rtl/>
        </w:rPr>
        <w:t>18</w:t>
      </w:r>
      <w:r>
        <w:rPr>
          <w:b/>
          <w:bCs/>
        </w:rPr>
        <w:fldChar w:fldCharType="end"/>
      </w:r>
      <w:bookmarkEnd w:id="1638"/>
      <w:r>
        <w:rPr>
          <w:rtl/>
        </w:rPr>
        <w:t xml:space="preserve"> “ר׳ ברוך בר” (אדלשטיין)</w:t>
      </w:r>
      <w:bookmarkStart w:id="1639" w:name="_fnr1083"/>
      <w:r>
        <w:rPr>
          <w:rStyle w:val="a5"/>
        </w:rPr>
        <w:footnoteReference w:id="1086" w:customMarkFollows="0"/>
      </w:r>
      <w:bookmarkEnd w:id="1639"/>
      <w:r>
        <w:rPr>
          <w:rtl/>
        </w:rPr>
        <w:t xml:space="preserve"> מביא בשם ר׳ </w:t>
      </w:r>
      <w:proofErr w:type="spellStart"/>
      <w:r>
        <w:rPr>
          <w:rtl/>
        </w:rPr>
        <w:t>ברוך־בער</w:t>
      </w:r>
      <w:proofErr w:type="spellEnd"/>
      <w:r>
        <w:rPr>
          <w:rtl/>
        </w:rPr>
        <w:t xml:space="preserve"> </w:t>
      </w:r>
      <w:proofErr w:type="spellStart"/>
      <w:r>
        <w:rPr>
          <w:rtl/>
        </w:rPr>
        <w:t>ליבוביץ</w:t>
      </w:r>
      <w:proofErr w:type="spellEnd"/>
      <w:r>
        <w:rPr>
          <w:rtl/>
        </w:rPr>
        <w:t xml:space="preserve"> שאמר: “אומרים </w:t>
      </w:r>
      <w:proofErr w:type="spellStart"/>
      <w:r>
        <w:rPr>
          <w:rtl/>
        </w:rPr>
        <w:t>שסלבודקה</w:t>
      </w:r>
      <w:proofErr w:type="spellEnd"/>
      <w:r>
        <w:rPr>
          <w:rtl/>
        </w:rPr>
        <w:t xml:space="preserve"> זכתה לשתי ישיבות משום שהיא סמוכה לגרמניה, שבבירתה, ברלין, פרצה ההשכלה – וההשגחה דאגה להקים מבצר של תורה בעיר ‘גבול’.</w:t>
      </w:r>
      <w:bookmarkStart w:id="1640" w:name="_fnr1084"/>
      <w:r>
        <w:rPr>
          <w:rStyle w:val="a5"/>
        </w:rPr>
        <w:footnoteReference w:id="1087" w:customMarkFollows="0"/>
      </w:r>
      <w:bookmarkEnd w:id="1640"/>
      <w:r>
        <w:rPr>
          <w:rtl/>
        </w:rPr>
        <w:t xml:space="preserve"> אבל האמת היא </w:t>
      </w:r>
      <w:proofErr w:type="spellStart"/>
      <w:r>
        <w:rPr>
          <w:rtl/>
        </w:rPr>
        <w:t>שסלבודקה</w:t>
      </w:r>
      <w:proofErr w:type="spellEnd"/>
      <w:r>
        <w:rPr>
          <w:rtl/>
        </w:rPr>
        <w:t xml:space="preserve"> זכתה לשתי ישיבות משום שאין בה בנייני כנסיות.”</w:t>
      </w:r>
      <w:bookmarkStart w:id="1641" w:name="_fnr1085"/>
      <w:r>
        <w:rPr>
          <w:rStyle w:val="a5"/>
        </w:rPr>
        <w:footnoteReference w:id="1088" w:customMarkFollows="0"/>
      </w:r>
      <w:bookmarkEnd w:id="1641"/>
    </w:p>
    <w:p w14:paraId="0C1E393C" w14:textId="4B0C8F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תחילה היה בקובנה רק כולל. הוא נחנך בשנת תרל״ז, וכעבור ארבע שנים יצא לו שם עם פרסום “עץ פרי”, חוברת שהעלתה על נס את רעיון הכולל.</w:t>
      </w:r>
      <w:bookmarkStart w:id="1642" w:name="b3_ref19"/>
      <w:bookmarkEnd w:id="1642"/>
      <w:r>
        <w:rPr>
          <w:vertAlign w:val="superscript"/>
          <w:rtl/>
        </w:rPr>
        <w:fldChar w:fldCharType="begin" w:dirty="true"/>
      </w:r>
      <w:r>
        <w:rPr>
          <w:vertAlign w:val="superscript"/>
          <w:rtl/>
        </w:rPr>
        <w:instrText xml:space="preserve"> REF b3_note19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xml:space="preserve"> אחד ממנהליו הראשונים של כולל קובנה,</w:t>
      </w:r>
      <w:bookmarkStart w:id="1643" w:name="b3_ref20"/>
      <w:bookmarkEnd w:id="1643"/>
      <w:r>
        <w:rPr>
          <w:vertAlign w:val="superscript"/>
          <w:rtl/>
        </w:rPr>
        <w:fldChar w:fldCharType="begin" w:dirty="true"/>
      </w:r>
      <w:r>
        <w:rPr>
          <w:vertAlign w:val="superscript"/>
          <w:rtl/>
        </w:rPr>
        <w:instrText xml:space="preserve"> REF b3_note20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ר׳ </w:t>
      </w:r>
      <w:proofErr w:type="spellStart"/>
      <w:r>
        <w:rPr>
          <w:rtl/>
        </w:rPr>
        <w:t xml:space="preserve">אברמצ׳יק</w:t>
      </w:r>
      <w:proofErr w:type="spellEnd"/>
      <w:r>
        <w:rPr>
          <w:rtl/>
        </w:rPr>
        <w:t xml:space="preserve"> </w:t>
      </w:r>
      <w:proofErr w:type="spellStart"/>
      <w:r>
        <w:rPr>
          <w:rtl/>
        </w:rPr>
        <w:t>טנעס</w:t>
      </w:r>
      <w:proofErr w:type="spellEnd"/>
      <w:r>
        <w:rPr>
          <w:rtl/>
        </w:rPr>
        <w:t xml:space="preserve"> (שנקר),</w:t>
      </w:r>
      <w:bookmarkStart w:id="1644" w:name="b3_ref21"/>
      <w:bookmarkEnd w:id="1644"/>
      <w:r>
        <w:rPr>
          <w:vertAlign w:val="superscript"/>
          <w:rtl/>
        </w:rPr>
        <w:fldChar w:fldCharType="begin" w:dirty="true"/>
      </w:r>
      <w:r>
        <w:rPr>
          <w:vertAlign w:val="superscript"/>
          <w:rtl/>
        </w:rPr>
        <w:instrText xml:space="preserve"> REF b3_note21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והמנהל שבא אחריו ושימש שנים רבות,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w:t>
      </w:r>
      <w:bookmarkStart w:id="1645" w:name="b3_ref22"/>
      <w:bookmarkEnd w:id="1645"/>
      <w:r>
        <w:rPr>
          <w:vertAlign w:val="superscript"/>
          <w:rtl/>
        </w:rPr>
        <w:fldChar w:fldCharType="begin" w:dirty="true"/>
      </w:r>
      <w:r>
        <w:rPr>
          <w:vertAlign w:val="superscript"/>
          <w:rtl/>
        </w:rPr>
        <w:instrText xml:space="preserve"> REF b3_note22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הביאו</w:t>
      </w:r>
      <w:bookmarkStart w:id="1646" w:name="b3_ref23"/>
      <w:bookmarkEnd w:id="1646"/>
      <w:r>
        <w:rPr>
          <w:vertAlign w:val="superscript"/>
          <w:rtl/>
        </w:rPr>
        <w:fldChar w:fldCharType="begin" w:dirty="true"/>
      </w:r>
      <w:r>
        <w:rPr>
          <w:vertAlign w:val="superscript"/>
          <w:rtl/>
        </w:rPr>
        <w:instrText xml:space="preserve"> REF b3_note23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אל הנהלת הכולל חבר צעיר בתנועת המוסר, ר׳ </w:t>
      </w:r>
      <w:proofErr w:type="spellStart"/>
      <w:r>
        <w:rPr>
          <w:rtl/>
        </w:rPr>
        <w:t>נתן־צבי</w:t>
      </w:r>
      <w:proofErr w:type="spellEnd"/>
      <w:r>
        <w:rPr>
          <w:rtl/>
        </w:rPr>
        <w:t xml:space="preserve"> פינקל,</w:t>
      </w:r>
      <w:bookmarkStart w:id="1647" w:name="b3_ref24"/>
      <w:bookmarkEnd w:id="1647"/>
      <w:r>
        <w:rPr>
          <w:vertAlign w:val="superscript"/>
          <w:rtl/>
        </w:rPr>
        <w:fldChar w:fldCharType="begin" w:dirty="true"/>
      </w:r>
      <w:r>
        <w:rPr>
          <w:vertAlign w:val="superscript"/>
          <w:rtl/>
        </w:rPr>
        <w:instrText xml:space="preserve"> REF b3_note24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אף שלא באופן רשמי.</w:t>
      </w:r>
      <w:bookmarkStart w:id="1648" w:name="b3_ref25"/>
      <w:bookmarkEnd w:id="1648"/>
      <w:r>
        <w:rPr>
          <w:vertAlign w:val="superscript"/>
          <w:rtl/>
        </w:rPr>
        <w:fldChar w:fldCharType="begin" w:dirty="true"/>
      </w:r>
      <w:r>
        <w:rPr>
          <w:vertAlign w:val="superscript"/>
          <w:rtl/>
        </w:rPr>
        <w:instrText xml:space="preserve"> REF b3_note25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p>
    <w:bookmarkStart w:id="1649" w:name="b3_note19"/>
    <w:p w14:paraId="7E865E7A" w14:textId="3BF2AAE9" w:rsidR="00AB3647" w:rsidRDefault="00000000" w:rsidP="007923E9">
      <w:pPr>
        <w:spacing w:before="120" w:after="100" w:line="276" w:lineRule="auto"/>
        <w:jc w:val="both"/>
      </w:pPr>
      <w:r>
        <w:fldChar w:fldCharType="begin" w:dirty="true"/>
      </w:r>
      <w:r>
        <w:instrText>HYPERLINK \l "b3_ref19"</w:instrText>
      </w:r>
      <w:r>
        <w:fldChar w:fldCharType="separate"/>
      </w:r>
      <w:r>
        <w:rPr>
          <w:b/>
          <w:bCs/>
          <w:rtl/>
        </w:rPr>
        <w:t>19</w:t>
      </w:r>
      <w:r>
        <w:rPr>
          <w:b/>
          <w:bCs/>
        </w:rPr>
        <w:fldChar w:fldCharType="end"/>
      </w:r>
      <w:bookmarkEnd w:id="1649"/>
      <w:r>
        <w:rPr>
          <w:rtl/>
        </w:rPr>
        <w:t xml:space="preserve"> ראה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bookmarkStart w:id="1650" w:name="b3_note20"/>
    <w:p w14:paraId="03E36A8E" w14:textId="77777777" w:rsidR="00AB3647" w:rsidRDefault="00000000" w:rsidP="007923E9">
      <w:pPr>
        <w:spacing w:before="120" w:after="100" w:line="276" w:lineRule="auto"/>
        <w:jc w:val="both"/>
      </w:pPr>
      <w:r>
        <w:fldChar w:fldCharType="begin" w:dirty="true"/>
      </w:r>
      <w:r>
        <w:instrText>HYPERLINK \l "b3_ref20"</w:instrText>
      </w:r>
      <w:r>
        <w:fldChar w:fldCharType="separate"/>
      </w:r>
      <w:r>
        <w:rPr>
          <w:b/>
          <w:bCs/>
          <w:rtl/>
        </w:rPr>
        <w:t>20</w:t>
      </w:r>
      <w:r>
        <w:rPr>
          <w:b/>
          <w:bCs/>
        </w:rPr>
        <w:fldChar w:fldCharType="end"/>
      </w:r>
      <w:bookmarkEnd w:id="1650"/>
      <w:r>
        <w:rPr>
          <w:rtl/>
        </w:rPr>
        <w:t xml:space="preserve"> אבי תיאר את כולל קובנה בריאיון המוקלט על הסבא </w:t>
      </w:r>
      <w:proofErr w:type="spellStart"/>
      <w:r>
        <w:rPr>
          <w:rtl/>
        </w:rPr>
        <w:t>מסלבודקה</w:t>
      </w:r>
      <w:proofErr w:type="spellEnd"/>
      <w:r>
        <w:rPr>
          <w:rtl/>
        </w:rPr>
        <w:t xml:space="preserve"> ובשיחה המוקלטת בשיקגו במילים אלה (בתרגום מיידיש): “כולל קובנה היה שונה במבנהו מן הכוללים של ימינו. היו שלושה אברכים לומדים בבית מדרש אחד ועוד שלושה באחר, וכן הלאה – ולא רק </w:t>
      </w:r>
      <w:r>
        <w:rPr>
          <w:rtl/>
        </w:rPr>
        <w:lastRenderedPageBreak/>
        <w:t xml:space="preserve">בקובנה אלא גם בערים אחרות בליטא – סך הכול כ־80 אברכים. חברי כל שלישייה לא למדו בהכרח בחברותא; כל </w:t>
      </w:r>
      <w:proofErr w:type="spellStart"/>
      <w:r>
        <w:rPr>
          <w:rtl/>
        </w:rPr>
        <w:t>יונגערמאן</w:t>
      </w:r>
      <w:proofErr w:type="spellEnd"/>
      <w:r>
        <w:rPr>
          <w:rtl/>
        </w:rPr>
        <w:t xml:space="preserve"> עשה לעצמו תוכנית לימודים משלו. אחד רצה לחזור על חושן משפט ואחר על יורה דעה. האברכים גם עסקו בהוראת מבוגרים בבתי המדרש שבהם ישבו, ובכך לא רק השלימו את מלגת הכולל אלא גם רכשו ניסיון </w:t>
      </w:r>
      <w:proofErr w:type="spellStart"/>
      <w:r>
        <w:rPr>
          <w:rtl/>
        </w:rPr>
        <w:t>ב‘רבנות</w:t>
      </w:r>
      <w:proofErr w:type="spellEnd"/>
      <w:r>
        <w:rPr>
          <w:rtl/>
        </w:rPr>
        <w:t xml:space="preserve"> מעשית’.</w:t>
      </w:r>
      <w:bookmarkStart w:id="1651" w:name="_fnr1086"/>
      <w:r>
        <w:rPr>
          <w:rStyle w:val="a5"/>
        </w:rPr>
        <w:footnoteReference w:id="1089" w:customMarkFollows="0"/>
      </w:r>
      <w:bookmarkEnd w:id="1651"/>
      <w:r>
        <w:rPr>
          <w:rtl/>
        </w:rPr>
        <w:t xml:space="preserve"> הם שיכללו עוד את כישוריהם בצפייה באופן שבו הרבנים בקהילותיהם מטפלים בשאלות ובהליכים הלכתיים. נשות חברי הכולל נשארו בעיירותיהן, בבתי הוריהן, בעוד בעליהן עוסקים בתוכנית מתקדמת זו ומתכוננים לקריירה במקום אחר. חבר כולל היה מוגבל לשלוש שנות תמיכה, ובמשך הזמן הזה או מיד לאחריו היה עליו להשיג לעצמו כיסא רבנות.”</w:t>
      </w:r>
    </w:p>
    <w:bookmarkStart w:id="1652" w:name="b3_note21"/>
    <w:p w14:paraId="467B835B" w14:textId="77777777" w:rsidR="00AB3647" w:rsidRDefault="00000000" w:rsidP="007923E9">
      <w:pPr>
        <w:spacing w:before="120" w:after="100" w:line="276" w:lineRule="auto"/>
        <w:jc w:val="both"/>
      </w:pPr>
      <w:r>
        <w:fldChar w:fldCharType="begin" w:dirty="true"/>
      </w:r>
      <w:r>
        <w:instrText>HYPERLINK \l "b3_ref21"</w:instrText>
      </w:r>
      <w:r>
        <w:fldChar w:fldCharType="separate"/>
      </w:r>
      <w:r>
        <w:rPr>
          <w:b/>
          <w:bCs/>
          <w:rtl/>
        </w:rPr>
        <w:t>21</w:t>
      </w:r>
      <w:r>
        <w:rPr>
          <w:b/>
          <w:bCs/>
        </w:rPr>
        <w:fldChar w:fldCharType="end"/>
      </w:r>
      <w:bookmarkEnd w:id="1652"/>
      <w:r>
        <w:rPr>
          <w:rtl/>
        </w:rPr>
        <w:t xml:space="preserve"> נולד בשנת תר״ט, היה תלמידו של ר׳ ישראל </w:t>
      </w:r>
      <w:proofErr w:type="spellStart"/>
      <w:r>
        <w:rPr>
          <w:rtl/>
        </w:rPr>
        <w:t>סלנטר</w:t>
      </w:r>
      <w:proofErr w:type="spellEnd"/>
      <w:r>
        <w:rPr>
          <w:rtl/>
        </w:rPr>
        <w:t>. “יש הסבורים שהיה גדול כשלושת תלמידיו הראשיים של ר׳ ישראל</w:t>
      </w:r>
      <w:bookmarkStart w:id="1653" w:name="_fnr1087"/>
      <w:r>
        <w:rPr>
          <w:rStyle w:val="a5"/>
        </w:rPr>
        <w:footnoteReference w:id="1090" w:customMarkFollows="0"/>
      </w:r>
      <w:bookmarkEnd w:id="1653"/>
      <w:r>
        <w:rPr>
          <w:rtl/>
        </w:rPr>
        <w:t xml:space="preserve"> ואולי אף בעל שכל חד יותר מהם. אבל מאחר שנפטר צעיר, בן 42, לא יצא לו שם כשם שלהם.”</w:t>
      </w:r>
      <w:bookmarkStart w:id="1654" w:name="_fnr1088"/>
      <w:r>
        <w:rPr>
          <w:rStyle w:val="a5"/>
        </w:rPr>
        <w:footnoteReference w:id="1091" w:customMarkFollows="0"/>
      </w:r>
      <w:bookmarkEnd w:id="1654"/>
    </w:p>
    <w:bookmarkStart w:id="1655" w:name="b3_note22"/>
    <w:p w14:paraId="0B6B15A0" w14:textId="67938C67" w:rsidR="00AB3647" w:rsidRDefault="00000000" w:rsidP="007923E9">
      <w:pPr>
        <w:spacing w:before="120" w:after="100" w:line="276" w:lineRule="auto"/>
        <w:jc w:val="both"/>
      </w:pPr>
      <w:r>
        <w:fldChar w:fldCharType="begin" w:dirty="true"/>
      </w:r>
      <w:r>
        <w:instrText>HYPERLINK \l "b3_ref22"</w:instrText>
      </w:r>
      <w:r>
        <w:fldChar w:fldCharType="separate"/>
      </w:r>
      <w:r>
        <w:rPr>
          <w:b/>
          <w:bCs/>
          <w:rtl/>
        </w:rPr>
        <w:t>22</w:t>
      </w:r>
      <w:r>
        <w:rPr>
          <w:b/>
          <w:bCs/>
        </w:rPr>
        <w:fldChar w:fldCharType="end"/>
      </w:r>
      <w:bookmarkEnd w:id="1655"/>
      <w:r>
        <w:rPr>
          <w:rtl/>
        </w:rPr>
        <w:t xml:space="preserve"> ראה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1656" w:name="b3_note23"/>
    <w:p w14:paraId="26294D41" w14:textId="227E2A81" w:rsidR="00AB3647" w:rsidRDefault="00000000" w:rsidP="007923E9">
      <w:pPr>
        <w:spacing w:before="120" w:after="100" w:line="276" w:lineRule="auto"/>
        <w:jc w:val="both"/>
      </w:pPr>
      <w:r>
        <w:fldChar w:fldCharType="begin" w:dirty="true"/>
      </w:r>
      <w:r>
        <w:instrText>HYPERLINK \l "b3_ref23"</w:instrText>
      </w:r>
      <w:r>
        <w:fldChar w:fldCharType="separate"/>
      </w:r>
      <w:r>
        <w:rPr>
          <w:b/>
          <w:bCs/>
          <w:rtl/>
        </w:rPr>
        <w:t>23</w:t>
      </w:r>
      <w:r>
        <w:rPr>
          <w:b/>
          <w:bCs/>
        </w:rPr>
        <w:fldChar w:fldCharType="end"/>
      </w:r>
      <w:bookmarkEnd w:id="1656"/>
      <w:r>
        <w:rPr>
          <w:rtl/>
        </w:rPr>
        <w:t xml:space="preserve"> ראה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bookmarkStart w:id="1657" w:name="b3_note24"/>
    <w:p w14:paraId="19857DF3" w14:textId="5D315D98" w:rsidR="00AB3647" w:rsidRDefault="00000000" w:rsidP="007923E9">
      <w:pPr>
        <w:spacing w:before="120" w:after="100" w:line="276" w:lineRule="auto"/>
        <w:jc w:val="both"/>
      </w:pPr>
      <w:r>
        <w:fldChar w:fldCharType="begin" w:dirty="true"/>
      </w:r>
      <w:r>
        <w:instrText>HYPERLINK \l "b3_ref24"</w:instrText>
      </w:r>
      <w:r>
        <w:fldChar w:fldCharType="separate"/>
      </w:r>
      <w:r>
        <w:rPr>
          <w:b/>
          <w:bCs/>
          <w:rtl/>
        </w:rPr>
        <w:t>24</w:t>
      </w:r>
      <w:r>
        <w:rPr>
          <w:b/>
          <w:bCs/>
        </w:rPr>
        <w:fldChar w:fldCharType="end"/>
      </w:r>
      <w:bookmarkEnd w:id="1657"/>
      <w:r>
        <w:rPr>
          <w:rtl/>
        </w:rPr>
        <w:t xml:space="preserve"> ראה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658" w:name="b3_note25"/>
    <w:p w14:paraId="313D83C2" w14:textId="49E07C0A" w:rsidR="00AB3647" w:rsidRDefault="00000000" w:rsidP="007923E9">
      <w:pPr>
        <w:spacing w:before="120" w:after="100" w:line="276" w:lineRule="auto"/>
        <w:jc w:val="both"/>
      </w:pPr>
      <w:r>
        <w:fldChar w:fldCharType="begin" w:dirty="true"/>
      </w:r>
      <w:r>
        <w:instrText>HYPERLINK \l "b3_ref25"</w:instrText>
      </w:r>
      <w:r>
        <w:fldChar w:fldCharType="separate"/>
      </w:r>
      <w:r>
        <w:rPr>
          <w:b/>
          <w:bCs/>
          <w:rtl/>
        </w:rPr>
        <w:t>25</w:t>
      </w:r>
      <w:r>
        <w:rPr>
          <w:b/>
          <w:bCs/>
        </w:rPr>
        <w:fldChar w:fldCharType="end"/>
      </w:r>
      <w:bookmarkEnd w:id="1658"/>
      <w:r>
        <w:rPr>
          <w:rtl/>
        </w:rPr>
        <w:t xml:space="preserve"> ראה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1FF470F6" w14:textId="5053368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w:t>
      </w:r>
      <w:proofErr w:type="spellStart"/>
      <w:r>
        <w:rPr>
          <w:rtl/>
        </w:rPr>
        <w:t>נתן־צבי</w:t>
      </w:r>
      <w:proofErr w:type="spellEnd"/>
      <w:r>
        <w:rPr>
          <w:rtl/>
        </w:rPr>
        <w:t xml:space="preserve"> טען שבסכום הדרוש להחזקת אברך אחד אפשר להחזיק, ביתר תועלת, ארבעה בחורים. טענתו שכנעה את המנהלים הרשמיים, ובמשך זמן מה, בכל פעם שאברך סיים את תקופת לימודו, הוקצבה מלגתו לארבעה בחורים.</w:t>
      </w:r>
      <w:bookmarkStart w:id="1659" w:name="b3_ref26"/>
      <w:bookmarkEnd w:id="1659"/>
      <w:r>
        <w:rPr>
          <w:vertAlign w:val="superscript"/>
          <w:rtl/>
        </w:rPr>
        <w:fldChar w:fldCharType="begin" w:dirty="true"/>
      </w:r>
      <w:r>
        <w:rPr>
          <w:vertAlign w:val="superscript"/>
          <w:rtl/>
        </w:rPr>
        <w:instrText xml:space="preserve"> REF b3_note26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xml:space="preserve"> עד תרמ״ב כבר נכללה במסגרת כולל קובנה ישיבה שפעלה במלואה בבית המדרש הישן בסלבודקה.</w:t>
      </w:r>
      <w:bookmarkStart w:id="1660" w:name="b3_ref27"/>
      <w:bookmarkEnd w:id="1660"/>
      <w:r>
        <w:rPr>
          <w:vertAlign w:val="superscript"/>
          <w:rtl/>
        </w:rPr>
        <w:fldChar w:fldCharType="begin" w:dirty="true"/>
      </w:r>
      <w:r>
        <w:rPr>
          <w:vertAlign w:val="superscript"/>
          <w:rtl/>
        </w:rPr>
        <w:instrText xml:space="preserve"> REF b3_note27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 xml:space="preserve"> כדי לקדם את התפתחותם בתורה של האברכים ושל הבחורים כאחד, הטיל הסבא </w:t>
      </w:r>
      <w:proofErr w:type="spellStart"/>
      <w:r>
        <w:rPr>
          <w:rtl/>
        </w:rPr>
        <w:t>מסלבודקה</w:t>
      </w:r>
      <w:proofErr w:type="spellEnd"/>
      <w:r>
        <w:rPr>
          <w:rtl/>
        </w:rPr>
        <w:t xml:space="preserve"> על כמה מחברי הכולל הנשואים למסור שיעורים בתורם.</w:t>
      </w:r>
      <w:bookmarkStart w:id="1661" w:name="b3_ref28"/>
      <w:bookmarkEnd w:id="1661"/>
      <w:r>
        <w:rPr>
          <w:vertAlign w:val="superscript"/>
          <w:rtl/>
        </w:rPr>
        <w:fldChar w:fldCharType="begin" w:dirty="true"/>
      </w:r>
      <w:r>
        <w:rPr>
          <w:vertAlign w:val="superscript"/>
          <w:rtl/>
        </w:rPr>
        <w:instrText xml:space="preserve"> REF b3_note28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p>
    <w:bookmarkStart w:id="1662" w:name="b3_note26"/>
    <w:p w14:paraId="7F9E4BC7" w14:textId="5511E270" w:rsidR="00AB3647" w:rsidRDefault="00000000" w:rsidP="007923E9">
      <w:pPr>
        <w:spacing w:before="120" w:after="100" w:line="276" w:lineRule="auto"/>
        <w:jc w:val="both"/>
      </w:pPr>
      <w:r>
        <w:fldChar w:fldCharType="begin" w:dirty="true"/>
      </w:r>
      <w:r>
        <w:instrText>HYPERLINK \l "b3_ref26"</w:instrText>
      </w:r>
      <w:r>
        <w:fldChar w:fldCharType="separate"/>
      </w:r>
      <w:r>
        <w:rPr>
          <w:b/>
          <w:bCs/>
          <w:rtl/>
        </w:rPr>
        <w:t>26</w:t>
      </w:r>
      <w:r>
        <w:rPr>
          <w:b/>
          <w:bCs/>
        </w:rPr>
        <w:fldChar w:fldCharType="end"/>
      </w:r>
      <w:bookmarkEnd w:id="1662"/>
      <w:r>
        <w:rPr>
          <w:rtl/>
        </w:rPr>
        <w:t xml:space="preserve"> </w:t>
      </w:r>
      <w:bookmarkStart w:id="1663" w:name="_fnr1089"/>
      <w:r>
        <w:rPr>
          <w:rStyle w:val="a5"/>
        </w:rPr>
        <w:footnoteReference w:id="1092" w:customMarkFollows="0"/>
      </w:r>
      <w:bookmarkEnd w:id="1663"/>
      <w:r>
        <w:rPr>
          <w:rtl/>
        </w:rPr>
        <w:t>השווה גם פרק 4, סוף הפסקה השביעית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שלאחר שר׳ </w:t>
      </w:r>
      <w:proofErr w:type="spellStart"/>
      <w:r>
        <w:rPr>
          <w:rtl/>
        </w:rPr>
        <w:t>איצל׳ה</w:t>
      </w:r>
      <w:proofErr w:type="spellEnd"/>
      <w:r>
        <w:rPr>
          <w:rtl/>
        </w:rPr>
        <w:t xml:space="preserve"> לא הצליח להכניס את המוסר לישיבת </w:t>
      </w:r>
      <w:proofErr w:type="spellStart"/>
      <w:r>
        <w:rPr>
          <w:rtl/>
        </w:rPr>
        <w:t>וולוז׳ין</w:t>
      </w:r>
      <w:proofErr w:type="spellEnd"/>
      <w:r>
        <w:rPr>
          <w:rtl/>
        </w:rPr>
        <w:t xml:space="preserve">, ייתכן שחבר </w:t>
      </w:r>
      <w:proofErr w:type="spellStart"/>
      <w:r>
        <w:rPr>
          <w:rtl/>
        </w:rPr>
        <w:t>לר</w:t>
      </w:r>
      <w:proofErr w:type="spellEnd"/>
      <w:r>
        <w:rPr>
          <w:rtl/>
        </w:rPr>
        <w:t xml:space="preserve">׳ </w:t>
      </w:r>
      <w:proofErr w:type="spellStart"/>
      <w:r>
        <w:rPr>
          <w:rtl/>
        </w:rPr>
        <w:t>נתן־צבי</w:t>
      </w:r>
      <w:proofErr w:type="spellEnd"/>
      <w:r>
        <w:rPr>
          <w:rtl/>
        </w:rPr>
        <w:t xml:space="preserve"> כדי ליצור </w:t>
      </w:r>
      <w:proofErr w:type="spellStart"/>
      <w:r>
        <w:rPr>
          <w:rtl/>
        </w:rPr>
        <w:t>בסלבודקה</w:t>
      </w:r>
      <w:proofErr w:type="spellEnd"/>
      <w:r>
        <w:rPr>
          <w:rtl/>
        </w:rPr>
        <w:t xml:space="preserve"> ישיבת מוסר שתתחרה </w:t>
      </w:r>
      <w:proofErr w:type="spellStart"/>
      <w:r>
        <w:rPr>
          <w:rtl/>
        </w:rPr>
        <w:t>בוולוז׳ין</w:t>
      </w:r>
      <w:proofErr w:type="spellEnd"/>
      <w:r>
        <w:rPr>
          <w:rtl/>
        </w:rPr>
        <w:t xml:space="preserve">. בשיחה המוקלטת בבית הכנסת “בית ישראל” במיאמי </w:t>
      </w:r>
      <w:proofErr w:type="spellStart"/>
      <w:r>
        <w:rPr>
          <w:rtl/>
        </w:rPr>
        <w:t>ביץ</w:t>
      </w:r>
      <w:proofErr w:type="spellEnd"/>
      <w:r>
        <w:rPr>
          <w:rtl/>
        </w:rPr>
        <w:t>׳</w:t>
      </w:r>
      <w:bookmarkStart w:id="1664" w:name="_fnr1090"/>
      <w:r>
        <w:rPr>
          <w:rStyle w:val="a5"/>
        </w:rPr>
        <w:footnoteReference w:id="1093" w:customMarkFollows="0"/>
      </w:r>
      <w:bookmarkEnd w:id="1664"/>
      <w:r>
        <w:rPr>
          <w:rtl/>
        </w:rPr>
        <w:t xml:space="preserve"> הוסיף אבי: “היו כנראה 70 חברים בכולל קובנה כשטען הסבא </w:t>
      </w:r>
      <w:proofErr w:type="spellStart"/>
      <w:r>
        <w:rPr>
          <w:rtl/>
        </w:rPr>
        <w:t>מסלבודקה</w:t>
      </w:r>
      <w:proofErr w:type="spellEnd"/>
      <w:r>
        <w:rPr>
          <w:rtl/>
        </w:rPr>
        <w:t xml:space="preserve"> שכולל קובנה צריך להכשיר לא רק רבנים אלא גם ראשי ישיבה; ולשם כך הם צריכים ניסיון במסירת שיעורים לתלמידים. מיד כשעזבו שלושה אברכים ובמקומם באו 12 בחורים, התחילו שניים מחברי הכולל הנשואים </w:t>
      </w:r>
      <w:r>
        <w:rPr>
          <w:rtl/>
        </w:rPr>
        <w:lastRenderedPageBreak/>
        <w:t>לומר להם שיעורים”.</w:t>
      </w:r>
      <w:bookmarkStart w:id="1665" w:name="_fnr1091"/>
      <w:r>
        <w:rPr>
          <w:rStyle w:val="a5"/>
        </w:rPr>
        <w:footnoteReference w:id="1094" w:customMarkFollows="0"/>
      </w:r>
      <w:bookmarkEnd w:id="1665"/>
      <w:r>
        <w:rPr>
          <w:rtl/>
        </w:rPr>
        <w:t xml:space="preserve"> אבל השווה הערה </w:t>
      </w:r>
      <w:r>
        <w:rPr>
          <w:rtl/>
        </w:rPr>
        <w:fldChar w:fldCharType="begin" w:dirty="true"/>
      </w:r>
      <w:r>
        <w:rPr>
          <w:rtl/>
        </w:rPr>
        <w:instrText xml:space="preserve"> REF b3_note31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31</w:t>
      </w:r>
      <w:r>
        <w:rPr>
          <w:rtl/>
        </w:rPr>
        <w:fldChar w:fldCharType="end"/>
      </w:r>
      <w:r>
        <w:rPr>
          <w:rtl/>
        </w:rPr>
        <w:t xml:space="preserve"> להלן, שלפיה טענתו של הסבא </w:t>
      </w:r>
      <w:proofErr w:type="spellStart"/>
      <w:r>
        <w:rPr>
          <w:rtl/>
        </w:rPr>
        <w:t>מסלבודקה</w:t>
      </w:r>
      <w:proofErr w:type="spellEnd"/>
      <w:r>
        <w:rPr>
          <w:rtl/>
        </w:rPr>
        <w:t xml:space="preserve"> לא התקבלה במלואה, ונדרשה השתדלות אצל ר׳ </w:t>
      </w:r>
      <w:proofErr w:type="spellStart"/>
      <w:r>
        <w:rPr>
          <w:rtl/>
        </w:rPr>
        <w:t>יצחק־אלחנן</w:t>
      </w:r>
      <w:proofErr w:type="spellEnd"/>
      <w:r>
        <w:rPr>
          <w:rtl/>
        </w:rPr>
        <w:t xml:space="preserve"> כדי לאפשר תמיכה כספית בבחורים.</w:t>
      </w:r>
    </w:p>
    <w:p w14:paraId="76CE1D42" w14:textId="77777777" w:rsidR="00AB3647" w:rsidRDefault="00000000" w:rsidP="007923E9">
      <w:pPr>
        <w:spacing w:before="120" w:after="100" w:line="276" w:lineRule="auto"/>
        <w:jc w:val="both"/>
      </w:pPr>
      <w:r>
        <w:rPr>
          <w:rtl/>
        </w:rPr>
        <w:t>השווה גם “אכסניות”,</w:t>
      </w:r>
      <w:bookmarkStart w:id="1666" w:name="_fnr1092"/>
      <w:r>
        <w:rPr>
          <w:rStyle w:val="a5"/>
        </w:rPr>
        <w:footnoteReference w:id="1095" w:customMarkFollows="0"/>
      </w:r>
      <w:bookmarkEnd w:id="1666"/>
      <w:r>
        <w:rPr>
          <w:rtl/>
        </w:rPr>
        <w:t xml:space="preserve"> המכנה את ישיבת </w:t>
      </w:r>
      <w:proofErr w:type="spellStart"/>
      <w:r>
        <w:rPr>
          <w:rtl/>
        </w:rPr>
        <w:t>סלבודקה</w:t>
      </w:r>
      <w:proofErr w:type="spellEnd"/>
      <w:r>
        <w:rPr>
          <w:rtl/>
        </w:rPr>
        <w:t xml:space="preserve"> “ישיבת הפרושים </w:t>
      </w:r>
      <w:proofErr w:type="spellStart"/>
      <w:r>
        <w:rPr>
          <w:rtl/>
        </w:rPr>
        <w:t>בקאוונא</w:t>
      </w:r>
      <w:proofErr w:type="spellEnd"/>
      <w:r>
        <w:rPr>
          <w:rtl/>
        </w:rPr>
        <w:t xml:space="preserve">”. אחר כך, בביקורתו, הוא מעיר בצדק שהצירוף “ישיבה” </w:t>
      </w:r>
      <w:proofErr w:type="spellStart"/>
      <w:r>
        <w:rPr>
          <w:rtl/>
        </w:rPr>
        <w:t>ו“פרושים</w:t>
      </w:r>
      <w:proofErr w:type="spellEnd"/>
      <w:r>
        <w:rPr>
          <w:rtl/>
        </w:rPr>
        <w:t xml:space="preserve">” הוא תרתי דסתרי, ושמטרתו המקורית של הכולל סוכלה. הוא גם עקבי בכך שהוא מכנה את ר׳ </w:t>
      </w:r>
      <w:proofErr w:type="spellStart"/>
      <w:r>
        <w:rPr>
          <w:rtl/>
        </w:rPr>
        <w:t>איצל׳ה</w:t>
      </w:r>
      <w:proofErr w:type="spellEnd"/>
      <w:r>
        <w:rPr>
          <w:rtl/>
        </w:rPr>
        <w:t xml:space="preserve"> </w:t>
      </w:r>
      <w:proofErr w:type="spellStart"/>
      <w:r>
        <w:rPr>
          <w:rtl/>
        </w:rPr>
        <w:t>בלאזר</w:t>
      </w:r>
      <w:proofErr w:type="spellEnd"/>
      <w:r>
        <w:rPr>
          <w:rtl/>
        </w:rPr>
        <w:t xml:space="preserve"> ראש הישיבה של המוסד, ולא מנהל הכולל.</w:t>
      </w:r>
    </w:p>
    <w:bookmarkStart w:id="1667" w:name="b3_note27"/>
    <w:p w14:paraId="5C455281" w14:textId="2A28B8C8" w:rsidR="00AB3647" w:rsidRDefault="00000000" w:rsidP="007923E9">
      <w:pPr>
        <w:spacing w:before="120" w:after="100" w:line="276" w:lineRule="auto"/>
        <w:jc w:val="both"/>
      </w:pPr>
      <w:r>
        <w:fldChar w:fldCharType="begin" w:dirty="true"/>
      </w:r>
      <w:r>
        <w:instrText>HYPERLINK \l "b3_ref27"</w:instrText>
      </w:r>
      <w:r>
        <w:fldChar w:fldCharType="separate"/>
      </w:r>
      <w:r>
        <w:rPr>
          <w:b/>
          <w:bCs/>
          <w:rtl/>
        </w:rPr>
        <w:t>27</w:t>
      </w:r>
      <w:r>
        <w:rPr>
          <w:b/>
          <w:bCs/>
        </w:rPr>
        <w:fldChar w:fldCharType="end"/>
      </w:r>
      <w:bookmarkEnd w:id="1667"/>
      <w:r>
        <w:rPr>
          <w:rtl/>
        </w:rPr>
        <w:t xml:space="preserve"> ראה </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1668" w:name="b3_note28"/>
    <w:p w14:paraId="6A7AFD7F" w14:textId="77459F2E" w:rsidR="00AB3647" w:rsidRDefault="00000000" w:rsidP="007923E9">
      <w:pPr>
        <w:spacing w:before="120" w:after="100" w:line="276" w:lineRule="auto"/>
        <w:jc w:val="both"/>
      </w:pPr>
      <w:r>
        <w:fldChar w:fldCharType="begin" w:dirty="true"/>
      </w:r>
      <w:r>
        <w:instrText>HYPERLINK \l "b3_ref28"</w:instrText>
      </w:r>
      <w:r>
        <w:fldChar w:fldCharType="separate"/>
      </w:r>
      <w:r>
        <w:rPr>
          <w:b/>
          <w:bCs/>
          <w:rtl/>
        </w:rPr>
        <w:t>28</w:t>
      </w:r>
      <w:r>
        <w:rPr>
          <w:b/>
          <w:bCs/>
        </w:rPr>
        <w:fldChar w:fldCharType="end"/>
      </w:r>
      <w:bookmarkEnd w:id="1668"/>
      <w:r>
        <w:rPr>
          <w:rtl/>
        </w:rPr>
        <w:t xml:space="preserve"> ראה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B5BDACA" w14:textId="625CE9E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בשנת תרמ״ט</w:t>
      </w:r>
      <w:bookmarkStart w:id="1669" w:name="b3_ref29"/>
      <w:bookmarkEnd w:id="1669"/>
      <w:r>
        <w:rPr>
          <w:vertAlign w:val="superscript"/>
          <w:rtl/>
        </w:rPr>
        <w:fldChar w:fldCharType="begin" w:dirty="true"/>
      </w:r>
      <w:r>
        <w:rPr>
          <w:vertAlign w:val="superscript"/>
          <w:rtl/>
        </w:rPr>
        <w:instrText xml:space="preserve"> REF b3_note29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xml:space="preserve"> נתקבל</w:t>
      </w:r>
      <w:bookmarkStart w:id="1670" w:name="b3_ref30"/>
      <w:bookmarkEnd w:id="1670"/>
      <w:r>
        <w:rPr>
          <w:vertAlign w:val="superscript"/>
          <w:rtl/>
        </w:rPr>
        <w:fldChar w:fldCharType="begin" w:dirty="true"/>
      </w:r>
      <w:r>
        <w:rPr>
          <w:vertAlign w:val="superscript"/>
          <w:rtl/>
        </w:rPr>
        <w:instrText xml:space="preserve"> REF b3_note30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לראש הישיבה במשרה מלאה.</w:t>
      </w:r>
      <w:bookmarkStart w:id="1671" w:name="b3_ref31"/>
      <w:bookmarkEnd w:id="1671"/>
      <w:r>
        <w:rPr>
          <w:vertAlign w:val="superscript"/>
          <w:rtl/>
        </w:rPr>
        <w:fldChar w:fldCharType="begin" w:dirty="true"/>
      </w:r>
      <w:r>
        <w:rPr>
          <w:vertAlign w:val="superscript"/>
          <w:rtl/>
        </w:rPr>
        <w:instrText xml:space="preserve"> REF b3_note31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כשעזב בשנת תרנ״ד כדי לכהן כרב בעיירה ליטאית בינונית בגודלה,</w:t>
      </w:r>
      <w:bookmarkStart w:id="1672" w:name="b3_ref32"/>
      <w:bookmarkEnd w:id="1672"/>
      <w:r>
        <w:rPr>
          <w:vertAlign w:val="superscript"/>
          <w:rtl/>
        </w:rPr>
        <w:fldChar w:fldCharType="begin" w:dirty="true"/>
      </w:r>
      <w:r>
        <w:rPr>
          <w:vertAlign w:val="superscript"/>
          <w:rtl/>
        </w:rPr>
        <w:instrText xml:space="preserve"> REF b3_note32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הובאו במקומו כמגידי שיעור שני צעירים מן המצטיינים שבבוגרי ישיבת </w:t>
      </w:r>
      <w:proofErr w:type="spellStart"/>
      <w:r>
        <w:rPr>
          <w:rtl/>
        </w:rPr>
        <w:t>וולוז׳ין</w:t>
      </w:r>
      <w:proofErr w:type="spellEnd"/>
      <w:r>
        <w:rPr>
          <w:rtl/>
        </w:rPr>
        <w:t xml:space="preserve">, שנעשו בני קובנה בנישואיהם: ר׳ </w:t>
      </w:r>
      <w:proofErr w:type="spellStart"/>
      <w:r>
        <w:rPr>
          <w:rtl/>
        </w:rPr>
        <w:t>איסר־זלמן</w:t>
      </w:r>
      <w:proofErr w:type="spellEnd"/>
      <w:r>
        <w:rPr>
          <w:rtl/>
        </w:rPr>
        <w:t xml:space="preserve"> מלצר וגיסו המבוגר ממנו, ר׳ </w:t>
      </w:r>
      <w:proofErr w:type="spellStart"/>
      <w:r>
        <w:rPr>
          <w:rtl/>
        </w:rPr>
        <w:t>משה־מרדכי</w:t>
      </w:r>
      <w:proofErr w:type="spellEnd"/>
      <w:r>
        <w:rPr>
          <w:rtl/>
        </w:rPr>
        <w:t xml:space="preserve"> אפשטיין.</w:t>
      </w:r>
      <w:bookmarkStart w:id="1673" w:name="b3_ref33"/>
      <w:bookmarkEnd w:id="1673"/>
      <w:r>
        <w:rPr>
          <w:vertAlign w:val="superscript"/>
          <w:rtl/>
        </w:rPr>
        <w:fldChar w:fldCharType="begin" w:dirty="true"/>
      </w:r>
      <w:r>
        <w:rPr>
          <w:vertAlign w:val="superscript"/>
          <w:rtl/>
        </w:rPr>
        <w:instrText xml:space="preserve"> REF b3_note33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p>
    <w:bookmarkStart w:id="1674" w:name="b3_note29"/>
    <w:p w14:paraId="5DE52F34" w14:textId="77777777" w:rsidR="00AB3647" w:rsidRDefault="00000000" w:rsidP="007923E9">
      <w:pPr>
        <w:spacing w:before="120" w:after="100" w:line="276" w:lineRule="auto"/>
        <w:jc w:val="both"/>
      </w:pPr>
      <w:r>
        <w:fldChar w:fldCharType="begin" w:dirty="true"/>
      </w:r>
      <w:r>
        <w:instrText>HYPERLINK \l "b3_ref29"</w:instrText>
      </w:r>
      <w:r>
        <w:fldChar w:fldCharType="separate"/>
      </w:r>
      <w:r>
        <w:rPr>
          <w:b/>
          <w:bCs/>
          <w:rtl/>
        </w:rPr>
        <w:t>29</w:t>
      </w:r>
      <w:r>
        <w:rPr>
          <w:b/>
          <w:bCs/>
        </w:rPr>
        <w:fldChar w:fldCharType="end"/>
      </w:r>
      <w:bookmarkEnd w:id="1674"/>
      <w:r>
        <w:rPr>
          <w:rtl/>
        </w:rPr>
        <w:t xml:space="preserve"> המעבר ממסירת שיעורים לבחורים בידי חברי הכולל למינוי ראש ישיבה משלהם היה צעד מרכזי בהפיכת הישיבה לעצמאית מן הכולל. מעניין ששנתיים קודם לכן ביקש הסבא את עצת </w:t>
      </w:r>
      <w:proofErr w:type="spellStart"/>
      <w:r>
        <w:rPr>
          <w:rtl/>
        </w:rPr>
        <w:t>החפץ־חיים</w:t>
      </w:r>
      <w:proofErr w:type="spellEnd"/>
      <w:r>
        <w:rPr>
          <w:rtl/>
        </w:rPr>
        <w:t xml:space="preserve"> בעניין “ייסוד ישיבה”.</w:t>
      </w:r>
      <w:bookmarkStart w:id="1675" w:name="_fnr1093"/>
      <w:r>
        <w:rPr>
          <w:rStyle w:val="a5"/>
        </w:rPr>
        <w:footnoteReference w:id="1096" w:customMarkFollows="0"/>
      </w:r>
      <w:bookmarkEnd w:id="1675"/>
    </w:p>
    <w:p w14:paraId="3C50C418" w14:textId="77777777" w:rsidR="00AB3647" w:rsidRDefault="00000000" w:rsidP="007923E9">
      <w:pPr>
        <w:spacing w:before="120" w:after="100" w:line="276" w:lineRule="auto"/>
        <w:jc w:val="both"/>
      </w:pPr>
      <w:r>
        <w:rPr>
          <w:rtl/>
        </w:rPr>
        <w:t xml:space="preserve">בן </w:t>
      </w:r>
      <w:proofErr w:type="spellStart"/>
      <w:r>
        <w:rPr>
          <w:rtl/>
        </w:rPr>
        <w:t>החפץ־חיים</w:t>
      </w:r>
      <w:proofErr w:type="spellEnd"/>
      <w:r>
        <w:rPr>
          <w:rtl/>
        </w:rPr>
        <w:t xml:space="preserve"> מספר: “בראשית תרמ״ז באתי לבית אבי לחג הסוכות, ומצאתי בבית אבי אורח, אדם בגיל העמידה שחזותו חזות בן תורה וירא שמים, ואבי שוחח עמו בדברי תורה ויראת שמים. הוא חגג עמנו את כל החג. אבל התנהגותו הייתה לי חידה סתומה, שכן הבחנתי [בתחילת החג] שאינו מדבר. אף שאבי דיבר עמו בענייני מוסר ואהבת תורה, היה רק מנענע בראשו לאות הסכמה, ומפיו לא יצאה מילה. חשבתי שזה עניין מקרי – </w:t>
      </w:r>
      <w:proofErr w:type="spellStart"/>
      <w:r>
        <w:rPr>
          <w:rtl/>
        </w:rPr>
        <w:t>פומא</w:t>
      </w:r>
      <w:proofErr w:type="spellEnd"/>
      <w:r>
        <w:rPr>
          <w:rtl/>
        </w:rPr>
        <w:t xml:space="preserve"> הוא </w:t>
      </w:r>
      <w:proofErr w:type="spellStart"/>
      <w:r>
        <w:rPr>
          <w:rtl/>
        </w:rPr>
        <w:t>דכאיב</w:t>
      </w:r>
      <w:proofErr w:type="spellEnd"/>
      <w:r>
        <w:rPr>
          <w:rtl/>
        </w:rPr>
        <w:t xml:space="preserve"> ליה</w:t>
      </w:r>
      <w:bookmarkStart w:id="1676" w:name="_fnr1094"/>
      <w:r>
        <w:rPr>
          <w:rStyle w:val="a5"/>
        </w:rPr>
        <w:footnoteReference w:id="1097" w:customMarkFollows="0"/>
      </w:r>
      <w:bookmarkEnd w:id="1676"/>
      <w:r>
        <w:rPr>
          <w:rtl/>
        </w:rPr>
        <w:t xml:space="preserve"> – ואכן, למחרת דיבר עם אבי ודן עמו בכל דבר. אבל ביום השלישי חדל שוב מלדבר. כך התחלף הדבר במשך כל החג. מכיוון שהייתי עדיין צעיר, לעגתי לו אחר כך בפני אבי, וחשבתי אותו למשוגע. אבל אבי מחה והסביר את הדבר במשל.</w:t>
      </w:r>
      <w:bookmarkStart w:id="1677" w:name="_fnr1095"/>
      <w:r>
        <w:rPr>
          <w:rStyle w:val="a5"/>
        </w:rPr>
        <w:footnoteReference w:id="1098" w:customMarkFollows="0"/>
      </w:r>
      <w:bookmarkEnd w:id="1677"/>
      <w:r>
        <w:rPr>
          <w:rtl/>
        </w:rPr>
        <w:t xml:space="preserve"> כעבור שנים נודע לי שהאיש בא לבקש את עצת אבי </w:t>
      </w:r>
      <w:r>
        <w:rPr>
          <w:b/>
          <w:bCs/>
          <w:rtl/>
        </w:rPr>
        <w:t>על ישיבה שרצה לייסד</w:t>
      </w:r>
      <w:r>
        <w:rPr>
          <w:rtl/>
        </w:rPr>
        <w:t xml:space="preserve"> (ההדגשה שלי); ואורחנו אכן ייסד לאחר מכן ישיבה גדולה ומפורסמת, והיה מנהלה. האיש היה אדם מפורסם, ירא ה׳ ופיקח בהוויות העולם. יהי זכרו לברכה, כי נפטר לפני שנים אחדות בארץ הקודש”.</w:t>
      </w:r>
    </w:p>
    <w:p w14:paraId="017F9D45" w14:textId="77777777" w:rsidR="00AB3647" w:rsidRDefault="00000000" w:rsidP="007923E9">
      <w:pPr>
        <w:spacing w:before="120" w:after="100" w:line="276" w:lineRule="auto"/>
        <w:jc w:val="both"/>
      </w:pPr>
      <w:r>
        <w:rPr>
          <w:rtl/>
        </w:rPr>
        <w:lastRenderedPageBreak/>
        <w:t xml:space="preserve">אין ספק שבן </w:t>
      </w:r>
      <w:proofErr w:type="spellStart"/>
      <w:r>
        <w:rPr>
          <w:rtl/>
        </w:rPr>
        <w:t>החפץ־חיים</w:t>
      </w:r>
      <w:proofErr w:type="spellEnd"/>
      <w:r>
        <w:rPr>
          <w:rtl/>
        </w:rPr>
        <w:t xml:space="preserve">, הכותב בראשית שנות </w:t>
      </w:r>
      <w:proofErr w:type="spellStart"/>
      <w:r>
        <w:rPr>
          <w:rtl/>
        </w:rPr>
        <w:t xml:space="preserve">התר״צ</w:t>
      </w:r>
      <w:proofErr w:type="spellEnd"/>
      <w:r>
        <w:rPr>
          <w:rtl/>
        </w:rPr>
        <w:t xml:space="preserve">, מדבר על ר׳ </w:t>
      </w:r>
      <w:proofErr w:type="spellStart"/>
      <w:r>
        <w:rPr>
          <w:rtl/>
        </w:rPr>
        <w:t>נתן־צבי</w:t>
      </w:r>
      <w:proofErr w:type="spellEnd"/>
      <w:r>
        <w:rPr>
          <w:rtl/>
        </w:rPr>
        <w:t xml:space="preserve"> </w:t>
      </w:r>
      <w:proofErr w:type="spellStart"/>
      <w:r>
        <w:rPr>
          <w:rtl/>
        </w:rPr>
        <w:t>פינקל</w:t>
      </w:r>
      <w:proofErr w:type="spellEnd"/>
      <w:r>
        <w:rPr>
          <w:rtl/>
        </w:rPr>
        <w:t xml:space="preserve">. הזמן שבו אירע הדבר – כשהישיבה </w:t>
      </w:r>
      <w:proofErr w:type="spellStart"/>
      <w:r>
        <w:rPr>
          <w:rtl/>
        </w:rPr>
        <w:t>בסלבודקה</w:t>
      </w:r>
      <w:proofErr w:type="spellEnd"/>
      <w:r>
        <w:rPr>
          <w:rtl/>
        </w:rPr>
        <w:t xml:space="preserve"> כבר פעלה, אך עדיין לא היה לה ראש ישיבה משלה – מביא אותי לשער שהסבא </w:t>
      </w:r>
      <w:proofErr w:type="spellStart"/>
      <w:r>
        <w:rPr>
          <w:rtl/>
        </w:rPr>
        <w:t>מסלבודקה</w:t>
      </w:r>
      <w:proofErr w:type="spellEnd"/>
      <w:r>
        <w:rPr>
          <w:rtl/>
        </w:rPr>
        <w:t xml:space="preserve"> בא </w:t>
      </w:r>
      <w:proofErr w:type="spellStart"/>
      <w:r>
        <w:rPr>
          <w:rtl/>
        </w:rPr>
        <w:t>לראדין</w:t>
      </w:r>
      <w:proofErr w:type="spellEnd"/>
      <w:r>
        <w:rPr>
          <w:rtl/>
        </w:rPr>
        <w:t xml:space="preserve"> כדי לבקש את עצת </w:t>
      </w:r>
      <w:proofErr w:type="spellStart"/>
      <w:r>
        <w:rPr>
          <w:rtl/>
        </w:rPr>
        <w:t>החפץ־חיים</w:t>
      </w:r>
      <w:proofErr w:type="spellEnd"/>
      <w:r>
        <w:rPr>
          <w:rtl/>
        </w:rPr>
        <w:t xml:space="preserve">, אדם שהעריכו עד כדי כך שביקש ממנו לכתוב את ההקדמה </w:t>
      </w:r>
      <w:proofErr w:type="spellStart"/>
      <w:r>
        <w:rPr>
          <w:rtl/>
        </w:rPr>
        <w:t>ל“עץ</w:t>
      </w:r>
      <w:proofErr w:type="spellEnd"/>
      <w:r>
        <w:rPr>
          <w:rtl/>
        </w:rPr>
        <w:t xml:space="preserve"> פרי” שש שנים קודם לכן.</w:t>
      </w:r>
      <w:bookmarkStart w:id="1678" w:name="_fnr1096"/>
      <w:r>
        <w:rPr>
          <w:rStyle w:val="a5"/>
        </w:rPr>
        <w:footnoteReference w:id="1099" w:customMarkFollows="0"/>
      </w:r>
      <w:bookmarkEnd w:id="1678"/>
      <w:r>
        <w:rPr>
          <w:rtl/>
        </w:rPr>
        <w:t xml:space="preserve"> זאת אף </w:t>
      </w:r>
      <w:proofErr w:type="spellStart"/>
      <w:r>
        <w:rPr>
          <w:rtl/>
        </w:rPr>
        <w:t>שהחפץ־חיים</w:t>
      </w:r>
      <w:proofErr w:type="spellEnd"/>
      <w:r>
        <w:rPr>
          <w:rtl/>
        </w:rPr>
        <w:t xml:space="preserve"> לא היה קשור לכולל קובנה, כר׳ </w:t>
      </w:r>
      <w:proofErr w:type="spellStart"/>
      <w:r>
        <w:rPr>
          <w:rtl/>
        </w:rPr>
        <w:t>אלכסנדר־משה</w:t>
      </w:r>
      <w:proofErr w:type="spellEnd"/>
      <w:r>
        <w:rPr>
          <w:rtl/>
        </w:rPr>
        <w:t xml:space="preserve"> לפידות, שכתב את המאמר האחר שבחוברת. הסבא נזקק לעצה אם וכיצד להיפרד מכולל קובנה.</w:t>
      </w:r>
    </w:p>
    <w:p w14:paraId="17C11DA9" w14:textId="21865EB2" w:rsidR="00AB3647" w:rsidRDefault="00000000" w:rsidP="007923E9">
      <w:pPr>
        <w:spacing w:after="100" w:line="276" w:lineRule="auto"/>
        <w:ind w:firstLine="340"/>
        <w:jc w:val="both"/>
      </w:pPr>
      <w:r>
        <w:rPr>
          <w:rtl/>
        </w:rPr>
        <w:t xml:space="preserve">אין אנו יודעים בדיוק מה היו השיקולים בעד ונגד. אבל אפשר לשער שאחת הנקודות שעלו בשיחות הייתה שכל עוד נתמכה הישיבה מתקציב הכולל, היה צורך לשמור את התקציב בסוד – השווה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 והכולל עלול היה להיפגע מכך (ואכן כך נפגע בשנתיים שלאחר מכן, מן ההתקפות בעיתונות המשכילית שטענה שפנקסיו אינם מנוהלים כראוי); ולפיכך אולי כדאי להכין את הקרקע לעצמאותה הכלכלית של הישיבה בעתיד.</w:t>
      </w:r>
    </w:p>
    <w:p w14:paraId="669B9BB5" w14:textId="3AEB9E58" w:rsidR="00AB3647" w:rsidRDefault="00000000" w:rsidP="007923E9">
      <w:pPr>
        <w:spacing w:after="100" w:line="276" w:lineRule="auto"/>
        <w:ind w:firstLine="340"/>
        <w:jc w:val="both"/>
      </w:pPr>
      <w:r>
        <w:rPr>
          <w:rtl/>
        </w:rPr>
        <w:t xml:space="preserve">אין אנו יודעים גם מה יעץ </w:t>
      </w:r>
      <w:proofErr w:type="spellStart"/>
      <w:r>
        <w:rPr>
          <w:rtl/>
        </w:rPr>
        <w:t>החפץ־חיים</w:t>
      </w:r>
      <w:proofErr w:type="spellEnd"/>
      <w:r>
        <w:rPr>
          <w:rtl/>
        </w:rPr>
        <w:t xml:space="preserve"> לסבא </w:t>
      </w:r>
      <w:proofErr w:type="spellStart"/>
      <w:r>
        <w:rPr>
          <w:rtl/>
        </w:rPr>
        <w:t>מסלבודקה</w:t>
      </w:r>
      <w:proofErr w:type="spellEnd"/>
      <w:r>
        <w:rPr>
          <w:rtl/>
        </w:rPr>
        <w:t>, מלבד ההשערה המוצעת בתחילת נספח ח. כעבור עשר שנים נעשתה ישיבתו של הסבא לישיבת כנסת ישראל – לא רק עצמאית מבחינה ארגונית מהנהלת הכולל,</w:t>
      </w:r>
      <w:bookmarkStart w:id="1679" w:name="_fnr1097"/>
      <w:r>
        <w:rPr>
          <w:rStyle w:val="a5"/>
        </w:rPr>
        <w:footnoteReference w:id="1100" w:customMarkFollows="0"/>
      </w:r>
      <w:bookmarkEnd w:id="1679"/>
      <w:r>
        <w:rPr>
          <w:rtl/>
        </w:rPr>
        <w:t xml:space="preserve"> אלא אף מצויה בעימות עם עמדתה המתנגדת למוסר באותה עת. </w:t>
      </w:r>
      <w:proofErr w:type="spellStart"/>
      <w:r>
        <w:rPr>
          <w:rtl/>
        </w:rPr>
        <w:t>החפץ־חיים</w:t>
      </w:r>
      <w:proofErr w:type="spellEnd"/>
      <w:r>
        <w:rPr>
          <w:rtl/>
        </w:rPr>
        <w:t xml:space="preserve"> נתן לה אז תמיכה חומרית ראשונית יוצאת דופן, כמסופר בהערה </w:t>
      </w:r>
      <w:r>
        <w:rPr>
          <w:rtl/>
        </w:rPr>
        <w:fldChar w:fldCharType="begin" w:dirty="true"/>
      </w:r>
      <w:r>
        <w:rPr>
          <w:rtl/>
        </w:rPr>
        <w:instrText xml:space="preserve"> REF b3_note43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43</w:t>
      </w:r>
      <w:r>
        <w:rPr>
          <w:rtl/>
        </w:rPr>
        <w:fldChar w:fldCharType="end"/>
      </w:r>
      <w:r>
        <w:rPr>
          <w:rtl/>
        </w:rPr>
        <w:t xml:space="preserve"> להלן. אני מציע שעשה זאת מפני שחש שעצתו המכוננת, בחג הסוכות תרמ״ז, היא שהביאה לקושי שהסבא הסתבך בו. מאותו טעם, “במשך שנים רבות, במקומות שבהם היה (</w:t>
      </w:r>
      <w:proofErr w:type="spellStart"/>
      <w:r>
        <w:rPr>
          <w:rtl/>
        </w:rPr>
        <w:t>החפץ־חיים</w:t>
      </w:r>
      <w:proofErr w:type="spellEnd"/>
      <w:r>
        <w:rPr>
          <w:rtl/>
        </w:rPr>
        <w:t xml:space="preserve">) עורך מגבית למען ישיבתו שלו, היה אוסף עם סיום המגבית כספים גם למען ישיבת </w:t>
      </w:r>
      <w:proofErr w:type="spellStart"/>
      <w:r>
        <w:rPr>
          <w:rtl/>
        </w:rPr>
        <w:t>סלבודקה</w:t>
      </w:r>
      <w:proofErr w:type="spellEnd"/>
      <w:r>
        <w:rPr>
          <w:rtl/>
        </w:rPr>
        <w:t xml:space="preserve"> (של הסבא)”.</w:t>
      </w:r>
      <w:bookmarkStart w:id="1680" w:name="_fnr1098"/>
      <w:r>
        <w:rPr>
          <w:rStyle w:val="a5"/>
        </w:rPr>
        <w:footnoteReference w:id="1101" w:customMarkFollows="0"/>
      </w:r>
      <w:bookmarkEnd w:id="1680"/>
    </w:p>
    <w:p w14:paraId="7AB166C0" w14:textId="7C265AF9" w:rsidR="00AB3647" w:rsidRDefault="00000000" w:rsidP="007923E9">
      <w:pPr>
        <w:spacing w:after="100" w:line="276" w:lineRule="auto"/>
        <w:ind w:firstLine="340"/>
        <w:jc w:val="both"/>
      </w:pPr>
      <w:r>
        <w:rPr>
          <w:rtl/>
        </w:rPr>
        <w:t xml:space="preserve">תמיכת </w:t>
      </w:r>
      <w:proofErr w:type="spellStart"/>
      <w:r>
        <w:rPr>
          <w:rtl/>
        </w:rPr>
        <w:t>החפץ־חיים</w:t>
      </w:r>
      <w:proofErr w:type="spellEnd"/>
      <w:r>
        <w:rPr>
          <w:rtl/>
        </w:rPr>
        <w:t xml:space="preserve"> בישיבת המוסר החדשה ראויה לציון עוד יותר לנוכח הסתייגותו העקרונית מדרך המוסר, כפי שמוצע ב</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ודאי חש מחויב לסייע לסבא מתוך חוב אישי.</w:t>
      </w:r>
    </w:p>
    <w:p w14:paraId="02BFBCCE" w14:textId="77777777" w:rsidR="00AB3647" w:rsidRDefault="00000000" w:rsidP="007923E9">
      <w:pPr>
        <w:spacing w:after="100" w:line="276" w:lineRule="auto"/>
        <w:ind w:firstLine="340"/>
        <w:jc w:val="both"/>
      </w:pPr>
      <w:r>
        <w:rPr>
          <w:rtl/>
        </w:rPr>
        <w:t xml:space="preserve">גם התנהגות הסבא בביקורו </w:t>
      </w:r>
      <w:proofErr w:type="spellStart"/>
      <w:r>
        <w:rPr>
          <w:rtl/>
        </w:rPr>
        <w:t>בראדין</w:t>
      </w:r>
      <w:proofErr w:type="spellEnd"/>
      <w:r>
        <w:rPr>
          <w:rtl/>
        </w:rPr>
        <w:t xml:space="preserve"> בשנת תרמ״ז – לדבר יום אחד ולשתוק למחרת – אינה מתאימה לדמות שאנו מכירים כעבור </w:t>
      </w:r>
      <w:proofErr w:type="spellStart"/>
      <w:r>
        <w:rPr>
          <w:rtl/>
        </w:rPr>
        <w:t>חמש־עשרה</w:t>
      </w:r>
      <w:proofErr w:type="spellEnd"/>
      <w:r>
        <w:rPr>
          <w:rtl/>
        </w:rPr>
        <w:t xml:space="preserve"> שנה, ולדמותו ההיסטורית. אבל כמו שנאמר בפסקאות השנייה והשלישית מסוף סעיף זה, שיטת המוסר של הסבא השתנתה שינוי מרחיק לכת</w:t>
      </w:r>
      <w:bookmarkStart w:id="1681" w:name="_fnr1099"/>
      <w:r>
        <w:rPr>
          <w:rStyle w:val="a5"/>
        </w:rPr>
        <w:footnoteReference w:id="1102" w:customMarkFollows="0"/>
      </w:r>
      <w:bookmarkEnd w:id="1681"/>
      <w:r>
        <w:rPr>
          <w:rtl/>
        </w:rPr>
        <w:t xml:space="preserve"> במשך השנים. מאותו טעם ייתכן גם </w:t>
      </w:r>
      <w:proofErr w:type="spellStart"/>
      <w:r>
        <w:rPr>
          <w:rtl/>
        </w:rPr>
        <w:t>ש“הסתייגותו</w:t>
      </w:r>
      <w:proofErr w:type="spellEnd"/>
      <w:r>
        <w:rPr>
          <w:rtl/>
        </w:rPr>
        <w:t xml:space="preserve"> העקרונית מדרך המוסר” של </w:t>
      </w:r>
      <w:proofErr w:type="spellStart"/>
      <w:r>
        <w:rPr>
          <w:rtl/>
        </w:rPr>
        <w:t>החפץ־חיים</w:t>
      </w:r>
      <w:proofErr w:type="spellEnd"/>
      <w:r>
        <w:rPr>
          <w:rtl/>
        </w:rPr>
        <w:t>, שנזכרה לעיל, לא נגעה לדרך שבה נהגו במוסר בתקופה המוקדמת. ייתכן שתמך בישיבתו החדשה של הסבא גם מפני שהסכים למטרותיה בתחום המוסר, ואם כן, המניע לתמיכתו יוצאת הדופן בישיבה החדשה עשוי היה להיות רעיוני ולא אישי.</w:t>
      </w:r>
    </w:p>
    <w:p w14:paraId="10BAD16D" w14:textId="667D0DD2" w:rsidR="00AB3647" w:rsidRDefault="00000000" w:rsidP="007923E9">
      <w:pPr>
        <w:spacing w:after="100" w:line="276" w:lineRule="auto"/>
        <w:ind w:firstLine="340"/>
        <w:jc w:val="both"/>
      </w:pPr>
      <w:proofErr w:type="spellStart"/>
      <w:r>
        <w:rPr>
          <w:rtl/>
        </w:rPr>
        <w:t>כשסלבודקה</w:t>
      </w:r>
      <w:proofErr w:type="spellEnd"/>
      <w:r>
        <w:rPr>
          <w:rtl/>
        </w:rPr>
        <w:t xml:space="preserve"> כבר הייתה מבוססת היטב, </w:t>
      </w:r>
      <w:proofErr w:type="spellStart"/>
      <w:r>
        <w:rPr>
          <w:rtl/>
        </w:rPr>
        <w:t>נזדמנה</w:t>
      </w:r>
      <w:proofErr w:type="spellEnd"/>
      <w:r>
        <w:rPr>
          <w:rtl/>
        </w:rPr>
        <w:t xml:space="preserve"> לסבא אפשרות להשיב </w:t>
      </w:r>
      <w:proofErr w:type="spellStart"/>
      <w:r>
        <w:rPr>
          <w:rtl/>
        </w:rPr>
        <w:t>לחפץ־חיים</w:t>
      </w:r>
      <w:proofErr w:type="spellEnd"/>
      <w:r>
        <w:rPr>
          <w:rtl/>
        </w:rPr>
        <w:t xml:space="preserve"> על עזרתו. הוא הושיט לישיבתו </w:t>
      </w:r>
      <w:proofErr w:type="spellStart"/>
      <w:r>
        <w:rPr>
          <w:rtl/>
        </w:rPr>
        <w:t>בראדין</w:t>
      </w:r>
      <w:proofErr w:type="spellEnd"/>
      <w:r>
        <w:rPr>
          <w:rtl/>
        </w:rPr>
        <w:t xml:space="preserve"> עזרה רוחנית, ולא חומרית: השווה סוף </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 </w:t>
      </w:r>
      <w:r>
        <w:rPr>
          <w:rtl/>
        </w:rPr>
        <w:lastRenderedPageBreak/>
        <w:t xml:space="preserve">שהסבא שלח את אחד מגדולי מגידי השיעור שבדור, ר׳ נפתלי </w:t>
      </w:r>
      <w:proofErr w:type="spellStart"/>
      <w:r>
        <w:rPr>
          <w:rtl/>
        </w:rPr>
        <w:t>טרופ</w:t>
      </w:r>
      <w:proofErr w:type="spellEnd"/>
      <w:r>
        <w:rPr>
          <w:rtl/>
        </w:rPr>
        <w:t>, להיות ראש הישיבה שלה.</w:t>
      </w:r>
    </w:p>
    <w:bookmarkStart w:id="1682" w:name="b3_note30"/>
    <w:p w14:paraId="6A010AFA" w14:textId="66882BCB" w:rsidR="00AB3647" w:rsidRDefault="00000000" w:rsidP="007923E9">
      <w:pPr>
        <w:spacing w:before="120" w:after="100" w:line="276" w:lineRule="auto"/>
        <w:jc w:val="both"/>
      </w:pPr>
      <w:r>
        <w:fldChar w:fldCharType="begin" w:dirty="true"/>
      </w:r>
      <w:r>
        <w:instrText>HYPERLINK \l "b3_ref30"</w:instrText>
      </w:r>
      <w:r>
        <w:fldChar w:fldCharType="separate"/>
      </w:r>
      <w:r>
        <w:rPr>
          <w:b/>
          <w:bCs/>
          <w:rtl/>
        </w:rPr>
        <w:t>30</w:t>
      </w:r>
      <w:r>
        <w:rPr>
          <w:b/>
          <w:bCs/>
        </w:rPr>
        <w:fldChar w:fldCharType="end"/>
      </w:r>
      <w:bookmarkEnd w:id="1682"/>
      <w:r>
        <w:rPr>
          <w:rtl/>
        </w:rPr>
        <w:t xml:space="preserve"> ראה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1683" w:name="b3_note31"/>
    <w:p w14:paraId="450F1B7F" w14:textId="77777777" w:rsidR="00AB3647" w:rsidRDefault="00000000" w:rsidP="007923E9">
      <w:pPr>
        <w:spacing w:before="120" w:after="100" w:line="276" w:lineRule="auto"/>
        <w:jc w:val="both"/>
      </w:pPr>
      <w:r>
        <w:fldChar w:fldCharType="begin" w:dirty="true"/>
      </w:r>
      <w:r>
        <w:instrText>HYPERLINK \l "b3_ref31"</w:instrText>
      </w:r>
      <w:r>
        <w:fldChar w:fldCharType="separate"/>
      </w:r>
      <w:r>
        <w:rPr>
          <w:b/>
          <w:bCs/>
          <w:rtl/>
        </w:rPr>
        <w:t>31</w:t>
      </w:r>
      <w:r>
        <w:rPr>
          <w:b/>
          <w:bCs/>
        </w:rPr>
        <w:fldChar w:fldCharType="end"/>
      </w:r>
      <w:bookmarkEnd w:id="1683"/>
      <w:r>
        <w:rPr>
          <w:rtl/>
        </w:rPr>
        <w:t xml:space="preserve"> יומנו של </w:t>
      </w:r>
      <w:proofErr w:type="spellStart"/>
      <w:r>
        <w:rPr>
          <w:rtl/>
        </w:rPr>
        <w:t>האדר״ת</w:t>
      </w:r>
      <w:proofErr w:type="spellEnd"/>
      <w:r>
        <w:rPr>
          <w:rtl/>
        </w:rPr>
        <w:t>, “סדר אליהו”,</w:t>
      </w:r>
      <w:bookmarkStart w:id="1684" w:name="_fnr1100"/>
      <w:r>
        <w:rPr>
          <w:rStyle w:val="a5"/>
        </w:rPr>
        <w:footnoteReference w:id="1103" w:customMarkFollows="0"/>
      </w:r>
      <w:bookmarkEnd w:id="1684"/>
      <w:r>
        <w:rPr>
          <w:rtl/>
        </w:rPr>
        <w:t xml:space="preserve"> מספר שהרבנים שהשתתפו באספה בקובנה באביב תרנ״ג פנו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“לבקשת ר׳ </w:t>
      </w:r>
      <w:proofErr w:type="spellStart"/>
      <w:r>
        <w:rPr>
          <w:rtl/>
        </w:rPr>
        <w:t>איצל׳ה</w:t>
      </w:r>
      <w:proofErr w:type="spellEnd"/>
      <w:r>
        <w:rPr>
          <w:rtl/>
        </w:rPr>
        <w:t xml:space="preserve"> </w:t>
      </w:r>
      <w:proofErr w:type="spellStart"/>
      <w:r>
        <w:rPr>
          <w:rtl/>
        </w:rPr>
        <w:t>בלאזר</w:t>
      </w:r>
      <w:proofErr w:type="spellEnd"/>
      <w:r>
        <w:rPr>
          <w:rtl/>
        </w:rPr>
        <w:t xml:space="preserve"> ור׳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כדי לבקש </w:t>
      </w:r>
      <w:proofErr w:type="spellStart"/>
      <w:r>
        <w:rPr>
          <w:rtl/>
        </w:rPr>
        <w:t>ש“מן</w:t>
      </w:r>
      <w:proofErr w:type="spellEnd"/>
      <w:r>
        <w:rPr>
          <w:rtl/>
        </w:rPr>
        <w:t xml:space="preserve"> הסכום הגדול הנאסף לתמיכת האברכים בכולל קובנה, ייתן מעט גם לתמיכת הבחורים בישיבת </w:t>
      </w:r>
      <w:proofErr w:type="spellStart"/>
      <w:r>
        <w:rPr>
          <w:rtl/>
        </w:rPr>
        <w:t>סלבודקה</w:t>
      </w:r>
      <w:proofErr w:type="spellEnd"/>
      <w:r>
        <w:rPr>
          <w:rtl/>
        </w:rPr>
        <w:t>, שמספרם [היה] יותר מ־150”.</w:t>
      </w:r>
      <w:bookmarkStart w:id="1685" w:name="_fnr1101"/>
      <w:bookmarkStart w:id="1686" w:name="pr_f_1020"/>
      <w:r>
        <w:rPr>
          <w:rStyle w:val="a5"/>
        </w:rPr>
        <w:footnoteReference w:id="1104" w:customMarkFollows="0"/>
      </w:r>
      <w:bookmarkEnd w:id="1685"/>
      <w:bookmarkEnd w:id="1686"/>
    </w:p>
    <w:bookmarkStart w:id="1687" w:name="b3_note32"/>
    <w:p w14:paraId="6F9EA895" w14:textId="11050A47" w:rsidR="00AB3647" w:rsidRDefault="00000000" w:rsidP="007923E9">
      <w:pPr>
        <w:spacing w:before="120" w:after="100" w:line="276" w:lineRule="auto"/>
        <w:jc w:val="both"/>
      </w:pPr>
      <w:r>
        <w:fldChar w:fldCharType="begin" w:dirty="true"/>
      </w:r>
      <w:r>
        <w:instrText>HYPERLINK \l "b3_ref32"</w:instrText>
      </w:r>
      <w:r>
        <w:fldChar w:fldCharType="separate"/>
      </w:r>
      <w:r>
        <w:rPr>
          <w:b/>
          <w:bCs/>
          <w:rtl/>
        </w:rPr>
        <w:t>32</w:t>
      </w:r>
      <w:r>
        <w:rPr>
          <w:b/>
          <w:bCs/>
        </w:rPr>
        <w:fldChar w:fldCharType="end"/>
      </w:r>
      <w:bookmarkEnd w:id="1687"/>
      <w:r>
        <w:rPr>
          <w:rtl/>
        </w:rPr>
        <w:t xml:space="preserve"> ראה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1688" w:name="b3_note33"/>
    <w:p w14:paraId="34B646FA" w14:textId="0967FF1E" w:rsidR="00AB3647" w:rsidRDefault="00000000" w:rsidP="007923E9">
      <w:pPr>
        <w:spacing w:before="120" w:after="100" w:line="276" w:lineRule="auto"/>
        <w:jc w:val="both"/>
      </w:pPr>
      <w:r>
        <w:fldChar w:fldCharType="begin" w:dirty="true"/>
      </w:r>
      <w:r>
        <w:instrText>HYPERLINK \l "b3_ref33"</w:instrText>
      </w:r>
      <w:r>
        <w:fldChar w:fldCharType="separate"/>
      </w:r>
      <w:r>
        <w:rPr>
          <w:b/>
          <w:bCs/>
          <w:rtl/>
        </w:rPr>
        <w:t>33</w:t>
      </w:r>
      <w:r>
        <w:rPr>
          <w:b/>
          <w:bCs/>
        </w:rPr>
        <w:fldChar w:fldCharType="end"/>
      </w:r>
      <w:bookmarkEnd w:id="1688"/>
      <w:r>
        <w:rPr>
          <w:rtl/>
        </w:rPr>
        <w:t xml:space="preserve"> ראה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4FCDBF8F" w14:textId="75B2D3A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אבל שלוותה של הישיבה, שגדלה במהירות, הופרה בתגובה לקנאותם של ר׳ </w:t>
      </w:r>
      <w:proofErr w:type="spellStart"/>
      <w:r>
        <w:rPr>
          <w:rtl/>
        </w:rPr>
        <w:t>איצל׳ה</w:t>
      </w:r>
      <w:proofErr w:type="spellEnd"/>
      <w:r>
        <w:rPr>
          <w:rtl/>
        </w:rPr>
        <w:t xml:space="preserve"> </w:t>
      </w:r>
      <w:proofErr w:type="spellStart"/>
      <w:r>
        <w:rPr>
          <w:rtl/>
        </w:rPr>
        <w:t>בלאזר</w:t>
      </w:r>
      <w:proofErr w:type="spellEnd"/>
      <w:r>
        <w:rPr>
          <w:rtl/>
        </w:rPr>
        <w:t xml:space="preserve"> והסבא </w:t>
      </w:r>
      <w:proofErr w:type="spellStart"/>
      <w:r>
        <w:rPr>
          <w:rtl/>
        </w:rPr>
        <w:t>מסלבודקה</w:t>
      </w:r>
      <w:proofErr w:type="spellEnd"/>
      <w:r>
        <w:rPr>
          <w:rtl/>
        </w:rPr>
        <w:t xml:space="preserve"> לשמירת לימוד המוסר כמרכיב חשוב בתוכנית הלימודים של הישיבה. בתחילה נשארו הקשיים בתוך חוג התלמידים.</w:t>
      </w:r>
      <w:bookmarkStart w:id="1689" w:name="b3_ref34"/>
      <w:bookmarkEnd w:id="1689"/>
      <w:r>
        <w:rPr>
          <w:vertAlign w:val="superscript"/>
          <w:rtl/>
        </w:rPr>
        <w:fldChar w:fldCharType="begin" w:dirty="true"/>
      </w:r>
      <w:r>
        <w:rPr>
          <w:vertAlign w:val="superscript"/>
          <w:rtl/>
        </w:rPr>
        <w:instrText xml:space="preserve"> REF b3_note34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p>
    <w:bookmarkStart w:id="1690" w:name="b3_note34"/>
    <w:p w14:paraId="233AA984" w14:textId="686E7885" w:rsidR="00AB3647" w:rsidRDefault="00000000" w:rsidP="007923E9">
      <w:pPr>
        <w:spacing w:before="120" w:after="100" w:line="276" w:lineRule="auto"/>
        <w:jc w:val="both"/>
      </w:pPr>
      <w:r>
        <w:fldChar w:fldCharType="begin" w:dirty="true"/>
      </w:r>
      <w:r>
        <w:instrText>HYPERLINK \l "b3_ref34"</w:instrText>
      </w:r>
      <w:r>
        <w:fldChar w:fldCharType="separate"/>
      </w:r>
      <w:r>
        <w:rPr>
          <w:b/>
          <w:bCs/>
          <w:rtl/>
        </w:rPr>
        <w:t>34</w:t>
      </w:r>
      <w:r>
        <w:rPr>
          <w:b/>
          <w:bCs/>
        </w:rPr>
        <w:fldChar w:fldCharType="end"/>
      </w:r>
      <w:bookmarkEnd w:id="1690"/>
      <w:r>
        <w:rPr>
          <w:rtl/>
        </w:rPr>
        <w:t xml:space="preserve"> ראה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p w14:paraId="1C85FB41" w14:textId="4051124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לאחר מכן, בשנת תרנ״ז, עלה על פני השטח זרם ההתנגדות הסמוי לתנועת המוסר</w:t>
      </w:r>
      <w:bookmarkStart w:id="1691" w:name="b3_ref35"/>
      <w:bookmarkEnd w:id="1691"/>
      <w:r>
        <w:rPr>
          <w:vertAlign w:val="superscript"/>
          <w:rtl/>
        </w:rPr>
        <w:fldChar w:fldCharType="begin" w:dirty="true"/>
      </w:r>
      <w:r>
        <w:rPr>
          <w:vertAlign w:val="superscript"/>
          <w:rtl/>
        </w:rPr>
        <w:instrText xml:space="preserve"> REF b3_note35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בקרב רבני ליטא. אספה של רבנים ליטאיים מובילים</w:t>
      </w:r>
      <w:bookmarkStart w:id="1692" w:name="b3_ref36"/>
      <w:bookmarkEnd w:id="1692"/>
      <w:r>
        <w:rPr>
          <w:vertAlign w:val="superscript"/>
          <w:rtl/>
        </w:rPr>
        <w:fldChar w:fldCharType="begin" w:dirty="true"/>
      </w:r>
      <w:r>
        <w:rPr>
          <w:vertAlign w:val="superscript"/>
          <w:rtl/>
        </w:rPr>
        <w:instrText xml:space="preserve"> REF b3_note36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בראשות בנו של ר׳ </w:t>
      </w:r>
      <w:proofErr w:type="spellStart"/>
      <w:r>
        <w:rPr>
          <w:rtl/>
        </w:rPr>
        <w:t>יצחק־אלחנן</w:t>
      </w:r>
      <w:proofErr w:type="spellEnd"/>
      <w:r>
        <w:rPr>
          <w:rtl/>
        </w:rPr>
        <w:t xml:space="preserve"> וממלא מקומו, ר׳ </w:t>
      </w:r>
      <w:proofErr w:type="spellStart"/>
      <w:r>
        <w:rPr>
          <w:rtl/>
        </w:rPr>
        <w:t>צבי־הירש</w:t>
      </w:r>
      <w:proofErr w:type="spellEnd"/>
      <w:r>
        <w:rPr>
          <w:rtl/>
        </w:rPr>
        <w:t xml:space="preserve"> רבינוביץ</w:t>
      </w:r>
      <w:bookmarkStart w:id="1693" w:name="b3_ref37"/>
      <w:bookmarkEnd w:id="1693"/>
      <w:r>
        <w:rPr>
          <w:vertAlign w:val="superscript"/>
          <w:rtl/>
        </w:rPr>
        <w:fldChar w:fldCharType="begin" w:dirty="true"/>
      </w:r>
      <w:r>
        <w:rPr>
          <w:vertAlign w:val="superscript"/>
          <w:rtl/>
        </w:rPr>
        <w:instrText xml:space="preserve"> REF b3_note37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xml:space="preserve">, פסקה שר׳ </w:t>
      </w:r>
      <w:proofErr w:type="spellStart"/>
      <w:r>
        <w:rPr>
          <w:rtl/>
        </w:rPr>
        <w:t>נתן־צבי</w:t>
      </w:r>
      <w:proofErr w:type="spellEnd"/>
      <w:r>
        <w:rPr>
          <w:rtl/>
        </w:rPr>
        <w:t>, תומך המוסר, חייב להתנתק מכולל קובנה. מיד כשיצא פסק הרבנים</w:t>
      </w:r>
      <w:bookmarkStart w:id="1694" w:name="b3_ref38"/>
      <w:bookmarkEnd w:id="1694"/>
      <w:r>
        <w:rPr>
          <w:vertAlign w:val="superscript"/>
          <w:rtl/>
        </w:rPr>
        <w:fldChar w:fldCharType="begin" w:dirty="true"/>
      </w:r>
      <w:r>
        <w:rPr>
          <w:vertAlign w:val="superscript"/>
          <w:rtl/>
        </w:rPr>
        <w:instrText xml:space="preserve"> REF b3_note38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 xml:space="preserve"> נכנס הסבא </w:t>
      </w:r>
      <w:proofErr w:type="spellStart"/>
      <w:r>
        <w:rPr>
          <w:rtl/>
        </w:rPr>
        <w:t>מסלבודקה</w:t>
      </w:r>
      <w:proofErr w:type="spellEnd"/>
      <w:r>
        <w:rPr>
          <w:rtl/>
        </w:rPr>
        <w:t xml:space="preserve"> לבית המדרש הישן, והודיע ליותר ממאתיים התלמידים</w:t>
      </w:r>
      <w:bookmarkStart w:id="1695" w:name="b3_ref39"/>
      <w:bookmarkEnd w:id="1695"/>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שהוא נאלץ לפתוח ישיבה אחרת, שתקדם את לימוד המוסר מראשית דרכה, מאחר שהרבנים פסקו שעליו לעזוב את ישיבת </w:t>
      </w:r>
      <w:proofErr w:type="spellStart"/>
      <w:r>
        <w:rPr>
          <w:rtl/>
        </w:rPr>
        <w:t>סלבודקה</w:t>
      </w:r>
      <w:proofErr w:type="spellEnd"/>
      <w:r>
        <w:rPr>
          <w:rtl/>
        </w:rPr>
        <w:t xml:space="preserve"> הקיימת. הוא הזמין את כל מי שיחפוץ ללכת בעקבותיו לעבור </w:t>
      </w:r>
      <w:proofErr w:type="spellStart"/>
      <w:r>
        <w:rPr>
          <w:rtl/>
        </w:rPr>
        <w:t>לקלויז</w:t>
      </w:r>
      <w:proofErr w:type="spellEnd"/>
      <w:r>
        <w:rPr>
          <w:rtl/>
        </w:rPr>
        <w:t xml:space="preserve"> הקצבים</w:t>
      </w:r>
      <w:bookmarkStart w:id="1696" w:name="b3_ref40"/>
      <w:bookmarkEnd w:id="1696"/>
      <w:r>
        <w:rPr>
          <w:vertAlign w:val="superscript"/>
          <w:rtl/>
        </w:rPr>
        <w:fldChar w:fldCharType="begin" w:dirty="true"/>
      </w:r>
      <w:r>
        <w:rPr>
          <w:vertAlign w:val="superscript"/>
          <w:rtl/>
        </w:rPr>
        <w:instrText xml:space="preserve"> REF b3_note40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ולייסד את הישיבה החדשה.</w:t>
      </w:r>
    </w:p>
    <w:bookmarkStart w:id="1697" w:name="b3_note35"/>
    <w:p w14:paraId="5B04BF55" w14:textId="77777777" w:rsidR="00AB3647" w:rsidRDefault="00000000" w:rsidP="007923E9">
      <w:pPr>
        <w:spacing w:before="120" w:after="100" w:line="276" w:lineRule="auto"/>
        <w:jc w:val="both"/>
      </w:pPr>
      <w:r>
        <w:fldChar w:fldCharType="begin" w:dirty="true"/>
      </w:r>
      <w:r>
        <w:instrText>HYPERLINK \l "b3_ref35"</w:instrText>
      </w:r>
      <w:r>
        <w:fldChar w:fldCharType="separate"/>
      </w:r>
      <w:r>
        <w:rPr>
          <w:b/>
          <w:bCs/>
          <w:rtl/>
        </w:rPr>
        <w:t>35</w:t>
      </w:r>
      <w:r>
        <w:rPr>
          <w:b/>
          <w:bCs/>
        </w:rPr>
        <w:fldChar w:fldCharType="end"/>
      </w:r>
      <w:bookmarkEnd w:id="1697"/>
      <w:r>
        <w:rPr>
          <w:rtl/>
        </w:rPr>
        <w:t xml:space="preserve"> עיקר המחלוקת היה אם המוסר תורם לעולמו הדתי של בעל הבית בלבד, או שהוא חשוב גם לתלמיד החכם. השווה “פולמוס המוסר”,</w:t>
      </w:r>
      <w:bookmarkStart w:id="1698" w:name="_fnr1102"/>
      <w:r>
        <w:rPr>
          <w:rStyle w:val="a5"/>
        </w:rPr>
        <w:footnoteReference w:id="1105" w:customMarkFollows="0"/>
      </w:r>
      <w:bookmarkEnd w:id="1698"/>
      <w:r>
        <w:rPr>
          <w:rtl/>
        </w:rPr>
        <w:t xml:space="preserve"> ולפיו טען אחד מבני דורו של ר׳ ישראל </w:t>
      </w:r>
      <w:proofErr w:type="spellStart"/>
      <w:r>
        <w:rPr>
          <w:rtl/>
        </w:rPr>
        <w:t>סלנטר</w:t>
      </w:r>
      <w:proofErr w:type="spellEnd"/>
      <w:r>
        <w:rPr>
          <w:rtl/>
        </w:rPr>
        <w:t xml:space="preserve"> שהלה אמר לו במפורש שבתי המוסר – מקומות המיוחדים ללימוד מוסר בלבד, שהם יצירתו של ר׳ ישראל </w:t>
      </w:r>
      <w:proofErr w:type="spellStart"/>
      <w:r>
        <w:rPr>
          <w:rtl/>
        </w:rPr>
        <w:t>סלנטר</w:t>
      </w:r>
      <w:proofErr w:type="spellEnd"/>
      <w:r>
        <w:rPr>
          <w:rtl/>
        </w:rPr>
        <w:t xml:space="preserve"> – הוקמו אך ורק למען בעלי בתים. על ר׳ </w:t>
      </w:r>
      <w:proofErr w:type="spellStart"/>
      <w:r>
        <w:rPr>
          <w:rtl/>
        </w:rPr>
        <w:t>לייבל׳ה</w:t>
      </w:r>
      <w:proofErr w:type="spellEnd"/>
      <w:r>
        <w:rPr>
          <w:rtl/>
        </w:rPr>
        <w:t xml:space="preserve"> שפירא מקובנה, שהתנגד לחידושיו של ר׳ ישראל </w:t>
      </w:r>
      <w:proofErr w:type="spellStart"/>
      <w:r>
        <w:rPr>
          <w:rtl/>
        </w:rPr>
        <w:t>סלנטר</w:t>
      </w:r>
      <w:proofErr w:type="spellEnd"/>
      <w:r>
        <w:rPr>
          <w:rtl/>
        </w:rPr>
        <w:t xml:space="preserve"> בתחום המוסר,</w:t>
      </w:r>
      <w:bookmarkStart w:id="1699" w:name="_fnr1103"/>
      <w:r>
        <w:rPr>
          <w:rStyle w:val="a5"/>
        </w:rPr>
        <w:footnoteReference w:id="1106" w:customMarkFollows="0"/>
      </w:r>
      <w:bookmarkEnd w:id="1699"/>
      <w:r>
        <w:rPr>
          <w:rtl/>
        </w:rPr>
        <w:t xml:space="preserve"> מסופר שהעיר כי בתהלים </w:t>
      </w:r>
      <w:proofErr w:type="spellStart"/>
      <w:r>
        <w:rPr>
          <w:rtl/>
        </w:rPr>
        <w:t>קטו</w:t>
      </w:r>
      <w:proofErr w:type="spellEnd"/>
      <w:r>
        <w:rPr>
          <w:rtl/>
        </w:rPr>
        <w:t xml:space="preserve">, </w:t>
      </w:r>
      <w:proofErr w:type="spellStart"/>
      <w:r>
        <w:rPr>
          <w:rtl/>
        </w:rPr>
        <w:t>יב</w:t>
      </w:r>
      <w:proofErr w:type="spellEnd"/>
      <w:r>
        <w:rPr>
          <w:rtl/>
        </w:rPr>
        <w:t>–</w:t>
      </w:r>
      <w:proofErr w:type="spellStart"/>
      <w:r>
        <w:rPr>
          <w:rtl/>
        </w:rPr>
        <w:lastRenderedPageBreak/>
        <w:t>יג</w:t>
      </w:r>
      <w:proofErr w:type="spellEnd"/>
      <w:r>
        <w:rPr>
          <w:rtl/>
        </w:rPr>
        <w:t xml:space="preserve"> מייחס דוד המלך “בתים” </w:t>
      </w:r>
      <w:proofErr w:type="spellStart"/>
      <w:r>
        <w:rPr>
          <w:rtl/>
        </w:rPr>
        <w:t>ל“ישראל</w:t>
      </w:r>
      <w:proofErr w:type="spellEnd"/>
      <w:r>
        <w:rPr>
          <w:rtl/>
        </w:rPr>
        <w:t xml:space="preserve">” </w:t>
      </w:r>
      <w:proofErr w:type="spellStart"/>
      <w:r>
        <w:rPr>
          <w:rtl/>
        </w:rPr>
        <w:t>ול“אהרן</w:t>
      </w:r>
      <w:proofErr w:type="spellEnd"/>
      <w:r>
        <w:rPr>
          <w:rtl/>
        </w:rPr>
        <w:t>”, אך אינו עושה כן לקבוצה השלישית הנזכרת שם, “יראי ה׳”.</w:t>
      </w:r>
      <w:bookmarkStart w:id="1700" w:name="_fnr1104"/>
      <w:r>
        <w:rPr>
          <w:rStyle w:val="a5"/>
        </w:rPr>
        <w:footnoteReference w:id="1107" w:customMarkFollows="0"/>
      </w:r>
      <w:bookmarkEnd w:id="1700"/>
    </w:p>
    <w:bookmarkStart w:id="1701" w:name="b3_note36"/>
    <w:p w14:paraId="602D0E19" w14:textId="01360F8C" w:rsidR="00AB3647" w:rsidRDefault="00000000" w:rsidP="007923E9">
      <w:pPr>
        <w:spacing w:before="120" w:after="100" w:line="276" w:lineRule="auto"/>
        <w:jc w:val="both"/>
      </w:pPr>
      <w:r>
        <w:fldChar w:fldCharType="begin" w:dirty="true"/>
      </w:r>
      <w:r>
        <w:instrText>HYPERLINK \l "b3_ref36"</w:instrText>
      </w:r>
      <w:r>
        <w:fldChar w:fldCharType="separate"/>
      </w:r>
      <w:r>
        <w:rPr>
          <w:b/>
          <w:bCs/>
          <w:rtl/>
        </w:rPr>
        <w:t>36</w:t>
      </w:r>
      <w:r>
        <w:rPr>
          <w:b/>
          <w:bCs/>
        </w:rPr>
        <w:fldChar w:fldCharType="end"/>
      </w:r>
      <w:bookmarkEnd w:id="1701"/>
      <w:r>
        <w:rPr>
          <w:rtl/>
        </w:rPr>
        <w:t xml:space="preserve"> ראה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1702" w:name="b3_note37"/>
    <w:p w14:paraId="3B82B657" w14:textId="11FF2FB9" w:rsidR="00AB3647" w:rsidRDefault="00000000" w:rsidP="007923E9">
      <w:pPr>
        <w:spacing w:before="120" w:after="100" w:line="276" w:lineRule="auto"/>
        <w:jc w:val="both"/>
      </w:pPr>
      <w:r>
        <w:fldChar w:fldCharType="begin" w:dirty="true"/>
      </w:r>
      <w:r>
        <w:instrText>HYPERLINK \l "b3_ref37"</w:instrText>
      </w:r>
      <w:r>
        <w:fldChar w:fldCharType="separate"/>
      </w:r>
      <w:r>
        <w:rPr>
          <w:b/>
          <w:bCs/>
          <w:rtl/>
        </w:rPr>
        <w:t>37</w:t>
      </w:r>
      <w:r>
        <w:rPr>
          <w:b/>
          <w:bCs/>
        </w:rPr>
        <w:fldChar w:fldCharType="end"/>
      </w:r>
      <w:bookmarkEnd w:id="1702"/>
      <w:r>
        <w:rPr>
          <w:rtl/>
        </w:rPr>
        <w:t xml:space="preserve"> ראה </w:t>
      </w:r>
      <w:r>
        <w:rPr>
          <w:rtl/>
        </w:rPr>
        <w:fldChar w:fldCharType="begin" w:dirty="true"/>
      </w:r>
      <w:r>
        <w:rPr>
          <w:rtl/>
        </w:rPr>
        <w:instrText xml:space="preserve"> REF b3_excM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1703" w:name="b3_note38"/>
    <w:p w14:paraId="2099F89B" w14:textId="05D69917" w:rsidR="00AB3647" w:rsidRDefault="00000000" w:rsidP="007923E9">
      <w:pPr>
        <w:spacing w:before="120" w:after="100" w:line="276" w:lineRule="auto"/>
        <w:jc w:val="both"/>
      </w:pPr>
      <w:r>
        <w:fldChar w:fldCharType="begin" w:dirty="true"/>
      </w:r>
      <w:r>
        <w:instrText>HYPERLINK \l "b3_ref38"</w:instrText>
      </w:r>
      <w:r>
        <w:fldChar w:fldCharType="separate"/>
      </w:r>
      <w:r>
        <w:rPr>
          <w:b/>
          <w:bCs/>
          <w:rtl/>
        </w:rPr>
        <w:t>38</w:t>
      </w:r>
      <w:r>
        <w:rPr>
          <w:b/>
          <w:bCs/>
        </w:rPr>
        <w:fldChar w:fldCharType="end"/>
      </w:r>
      <w:bookmarkEnd w:id="1703"/>
      <w:r>
        <w:rPr>
          <w:rtl/>
        </w:rPr>
        <w:t xml:space="preserve"> ראה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1704" w:name="b3_note39"/>
    <w:p w14:paraId="4DE31359" w14:textId="77777777" w:rsidR="00AB3647" w:rsidRDefault="00000000" w:rsidP="007923E9">
      <w:pPr>
        <w:spacing w:before="120" w:after="100" w:line="276" w:lineRule="auto"/>
        <w:jc w:val="both"/>
      </w:pPr>
      <w:r>
        <w:fldChar w:fldCharType="begin" w:dirty="true"/>
      </w:r>
      <w:r>
        <w:instrText>HYPERLINK \l "b3_ref39"</w:instrText>
      </w:r>
      <w:r>
        <w:fldChar w:fldCharType="separate"/>
      </w:r>
      <w:r>
        <w:rPr>
          <w:b/>
          <w:bCs/>
          <w:rtl/>
        </w:rPr>
        <w:t>39</w:t>
      </w:r>
      <w:r>
        <w:rPr>
          <w:b/>
          <w:bCs/>
        </w:rPr>
        <w:fldChar w:fldCharType="end"/>
      </w:r>
      <w:bookmarkEnd w:id="1704"/>
      <w:r>
        <w:rPr>
          <w:rtl/>
        </w:rPr>
        <w:t xml:space="preserve"> זה המספר שניתן לכלל התלמידים בכרוז “למען דעת”, כפי שצוטט </w:t>
      </w:r>
      <w:proofErr w:type="spellStart"/>
      <w:r>
        <w:rPr>
          <w:rtl/>
        </w:rPr>
        <w:t>ב“פולמוס</w:t>
      </w:r>
      <w:proofErr w:type="spellEnd"/>
      <w:r>
        <w:rPr>
          <w:rtl/>
        </w:rPr>
        <w:t xml:space="preserve"> המוסר”.</w:t>
      </w:r>
      <w:bookmarkStart w:id="1705" w:name="_fnr1105"/>
      <w:r>
        <w:rPr>
          <w:rStyle w:val="a5"/>
        </w:rPr>
        <w:footnoteReference w:id="1108" w:customMarkFollows="0"/>
      </w:r>
      <w:bookmarkEnd w:id="1705"/>
      <w:r>
        <w:rPr>
          <w:rtl/>
        </w:rPr>
        <w:t xml:space="preserve"> לא ברור מדוע במקום אחר </w:t>
      </w:r>
      <w:proofErr w:type="spellStart"/>
      <w:r>
        <w:rPr>
          <w:rtl/>
        </w:rPr>
        <w:t>ב“פולמוס</w:t>
      </w:r>
      <w:proofErr w:type="spellEnd"/>
      <w:r>
        <w:rPr>
          <w:rtl/>
        </w:rPr>
        <w:t xml:space="preserve"> המוסר”</w:t>
      </w:r>
      <w:bookmarkStart w:id="1706" w:name="_fnr1106"/>
      <w:r>
        <w:rPr>
          <w:rStyle w:val="a5"/>
        </w:rPr>
        <w:footnoteReference w:id="1109" w:customMarkFollows="0"/>
      </w:r>
      <w:bookmarkEnd w:id="1706"/>
      <w:r>
        <w:rPr>
          <w:rtl/>
        </w:rPr>
        <w:t xml:space="preserve"> המספר עולה לשלוש מאות. מספר זה מקטין עוד יותר את חלקם של התלמידים שהלכו אחרי הסבא לישיבה החדשה – “כשישים” לפי כץ, “תנועת המוסר”, כרך ג,</w:t>
      </w:r>
      <w:bookmarkStart w:id="1707" w:name="_fnr1107"/>
      <w:r>
        <w:rPr>
          <w:rStyle w:val="a5"/>
        </w:rPr>
        <w:footnoteReference w:id="1110" w:customMarkFollows="0"/>
      </w:r>
      <w:bookmarkEnd w:id="1707"/>
      <w:r>
        <w:rPr>
          <w:rtl/>
        </w:rPr>
        <w:t xml:space="preserve"> וכך גם בריאיון המוקלט על הסבא </w:t>
      </w:r>
      <w:proofErr w:type="spellStart"/>
      <w:r>
        <w:rPr>
          <w:rtl/>
        </w:rPr>
        <w:t>מסלבודקה</w:t>
      </w:r>
      <w:proofErr w:type="spellEnd"/>
      <w:r>
        <w:rPr>
          <w:rtl/>
        </w:rPr>
        <w:t xml:space="preserve"> – מתוך כלל התלמידים. “ס. רוזנפלד”,</w:t>
      </w:r>
      <w:bookmarkStart w:id="1708" w:name="_fnr1108"/>
      <w:r>
        <w:rPr>
          <w:rStyle w:val="a5"/>
        </w:rPr>
        <w:footnoteReference w:id="1111" w:customMarkFollows="0"/>
      </w:r>
      <w:bookmarkEnd w:id="1708"/>
      <w:r>
        <w:rPr>
          <w:rtl/>
        </w:rPr>
        <w:t xml:space="preserve"> כתב מתנגד למוסר ביומון העברי “המליץ”,</w:t>
      </w:r>
      <w:bookmarkStart w:id="1709" w:name="_fnr1109"/>
      <w:r>
        <w:rPr>
          <w:rStyle w:val="a5"/>
        </w:rPr>
        <w:footnoteReference w:id="1112" w:customMarkFollows="0"/>
      </w:r>
      <w:bookmarkEnd w:id="1709"/>
      <w:r>
        <w:rPr>
          <w:rtl/>
        </w:rPr>
        <w:t xml:space="preserve"> מציין שמספר חסידיו של הסבא היה “כארבעים” – דבר המקטין את חלקם לכדי פחות מחמישית התלמידים – או אף פחות משביעית!</w:t>
      </w:r>
    </w:p>
    <w:p w14:paraId="1B6A0A49" w14:textId="14BBADE9" w:rsidR="00AB3647" w:rsidRDefault="00000000" w:rsidP="007923E9">
      <w:pPr>
        <w:spacing w:before="120" w:after="100" w:line="276" w:lineRule="auto"/>
        <w:jc w:val="both"/>
      </w:pPr>
      <w:r>
        <w:rPr>
          <w:rtl/>
        </w:rPr>
        <w:t xml:space="preserve">הסבא </w:t>
      </w:r>
      <w:proofErr w:type="spellStart"/>
      <w:r>
        <w:rPr>
          <w:rtl/>
        </w:rPr>
        <w:t>מסלבודקה</w:t>
      </w:r>
      <w:proofErr w:type="spellEnd"/>
      <w:r>
        <w:rPr>
          <w:rtl/>
        </w:rPr>
        <w:t xml:space="preserve"> כלל לא היה בטוח שמישהו מן התלמידים ילך אחריו. כך עולה מן הדיווח של כץ, שם,</w:t>
      </w:r>
      <w:bookmarkStart w:id="1710" w:name="_fnr1110"/>
      <w:r>
        <w:rPr>
          <w:rStyle w:val="a5"/>
        </w:rPr>
        <w:footnoteReference w:id="1113" w:customMarkFollows="0"/>
      </w:r>
      <w:bookmarkEnd w:id="1710"/>
      <w:r>
        <w:rPr>
          <w:rtl/>
        </w:rPr>
        <w:t xml:space="preserve"> שלפיו “במקום שיזדעזע מהחלטת הרבנים, כצפוי, הייתה תגובתו הראשונה של הסבא לומר: ‘די בזכות שהייתה לי לשמש משגיח </w:t>
      </w:r>
      <w:proofErr w:type="spellStart"/>
      <w:r>
        <w:rPr>
          <w:rtl/>
        </w:rPr>
        <w:t>שבע־עשרה</w:t>
      </w:r>
      <w:proofErr w:type="spellEnd"/>
      <w:r>
        <w:rPr>
          <w:rtl/>
        </w:rPr>
        <w:t xml:space="preserve"> שנים’”. הוא חשש כנראה שדרכו הגיעה לקצה – אף שיועצו המבוגר והמכובד, ר׳ </w:t>
      </w:r>
      <w:proofErr w:type="spellStart"/>
      <w:r>
        <w:rPr>
          <w:rtl/>
        </w:rPr>
        <w:t>איצל׳ה</w:t>
      </w:r>
      <w:proofErr w:type="spellEnd"/>
      <w:r>
        <w:rPr>
          <w:rtl/>
        </w:rPr>
        <w:t xml:space="preserve"> </w:t>
      </w:r>
      <w:proofErr w:type="spellStart"/>
      <w:r>
        <w:rPr>
          <w:rtl/>
        </w:rPr>
        <w:t>בלאזר</w:t>
      </w:r>
      <w:proofErr w:type="spellEnd"/>
      <w:r>
        <w:rPr>
          <w:rtl/>
        </w:rPr>
        <w:t>, היה אופטימי יותר בנוגע להקמת ישיבה חדשה, כפי שנראה בציטוט שהובא בתחילת הפסקה השנייה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1711" w:name="b3_note40"/>
    <w:p w14:paraId="4E195AE6" w14:textId="77777777" w:rsidR="00AB3647" w:rsidRDefault="00000000" w:rsidP="007923E9">
      <w:pPr>
        <w:spacing w:before="120" w:after="100" w:line="276" w:lineRule="auto"/>
        <w:jc w:val="both"/>
      </w:pPr>
      <w:r>
        <w:fldChar w:fldCharType="begin" w:dirty="true"/>
      </w:r>
      <w:r>
        <w:instrText>HYPERLINK \l "b3_ref40"</w:instrText>
      </w:r>
      <w:r>
        <w:fldChar w:fldCharType="separate"/>
      </w:r>
      <w:r>
        <w:rPr>
          <w:b/>
          <w:bCs/>
          <w:rtl/>
        </w:rPr>
        <w:t>40</w:t>
      </w:r>
      <w:r>
        <w:rPr>
          <w:b/>
          <w:bCs/>
        </w:rPr>
        <w:fldChar w:fldCharType="end"/>
      </w:r>
      <w:bookmarkEnd w:id="1711"/>
      <w:r>
        <w:rPr>
          <w:rtl/>
        </w:rPr>
        <w:t xml:space="preserve"> ר׳ מרדכי </w:t>
      </w:r>
      <w:proofErr w:type="spellStart"/>
      <w:r>
        <w:rPr>
          <w:rtl/>
        </w:rPr>
        <w:t>קרלינסקי</w:t>
      </w:r>
      <w:proofErr w:type="spellEnd"/>
      <w:r>
        <w:rPr>
          <w:rtl/>
        </w:rPr>
        <w:t xml:space="preserve"> סיפר:</w:t>
      </w:r>
      <w:bookmarkStart w:id="1712" w:name="_fnr1111"/>
      <w:r>
        <w:rPr>
          <w:rStyle w:val="a5"/>
        </w:rPr>
        <w:footnoteReference w:id="1114" w:customMarkFollows="0"/>
      </w:r>
      <w:bookmarkEnd w:id="1712"/>
      <w:r>
        <w:rPr>
          <w:rtl/>
        </w:rPr>
        <w:t xml:space="preserve"> “</w:t>
      </w:r>
      <w:proofErr w:type="spellStart"/>
      <w:r>
        <w:rPr>
          <w:rtl/>
        </w:rPr>
        <w:t>בסלבודקה</w:t>
      </w:r>
      <w:proofErr w:type="spellEnd"/>
      <w:r>
        <w:rPr>
          <w:rtl/>
        </w:rPr>
        <w:t xml:space="preserve"> היו בתי מטבחיים רבים, והם סיפקו בשר לכמעט כל ליטא. קצבים רבים גרו בעיירה, </w:t>
      </w:r>
      <w:proofErr w:type="spellStart"/>
      <w:r>
        <w:rPr>
          <w:rtl/>
        </w:rPr>
        <w:t>והקלויז</w:t>
      </w:r>
      <w:proofErr w:type="spellEnd"/>
      <w:r>
        <w:rPr>
          <w:rtl/>
        </w:rPr>
        <w:t xml:space="preserve"> שלהם היה גדול ומצויד היטב”.</w:t>
      </w:r>
    </w:p>
    <w:p w14:paraId="3DC1153A" w14:textId="256D5FF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כרבע מן התלמידים,</w:t>
      </w:r>
      <w:r>
        <w:rPr>
          <w:vertAlign w:val="superscript"/>
          <w:rtl/>
        </w:rPr>
        <w:fldChar w:fldCharType="begin" w:dirty="true"/>
      </w:r>
      <w:r>
        <w:rPr>
          <w:vertAlign w:val="superscript"/>
          <w:rtl/>
        </w:rPr>
        <w:instrText xml:space="preserve"> REF b3_note39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xml:space="preserve"> יחד עם מגיד השיעור הצעיר שלהם, ר׳ </w:t>
      </w:r>
      <w:proofErr w:type="spellStart"/>
      <w:r>
        <w:rPr>
          <w:rtl/>
        </w:rPr>
        <w:t>משה־מרדכי</w:t>
      </w:r>
      <w:proofErr w:type="spellEnd"/>
      <w:r>
        <w:rPr>
          <w:rtl/>
        </w:rPr>
        <w:t xml:space="preserve"> – את מגיד השיעור האחר, ר׳ </w:t>
      </w:r>
      <w:proofErr w:type="spellStart"/>
      <w:r>
        <w:rPr>
          <w:rtl/>
        </w:rPr>
        <w:t>איסר־זלמן</w:t>
      </w:r>
      <w:proofErr w:type="spellEnd"/>
      <w:r>
        <w:rPr>
          <w:rtl/>
        </w:rPr>
        <w:t xml:space="preserve">, שלח ר׳ </w:t>
      </w:r>
      <w:proofErr w:type="spellStart"/>
      <w:r>
        <w:rPr>
          <w:rtl/>
        </w:rPr>
        <w:t>נתן־צבי</w:t>
      </w:r>
      <w:proofErr w:type="spellEnd"/>
      <w:r>
        <w:rPr>
          <w:rtl/>
        </w:rPr>
        <w:t xml:space="preserve"> לפתוח ישיבה בעיר </w:t>
      </w:r>
      <w:proofErr w:type="spellStart"/>
      <w:r>
        <w:rPr>
          <w:rtl/>
        </w:rPr>
        <w:t>סלוצק</w:t>
      </w:r>
      <w:proofErr w:type="spellEnd"/>
      <w:r>
        <w:rPr>
          <w:rtl/>
        </w:rPr>
        <w:t xml:space="preserve"> חצי שנה קודם לכן</w:t>
      </w:r>
      <w:bookmarkStart w:id="1713" w:name="b3_ref41"/>
      <w:bookmarkEnd w:id="1713"/>
      <w:r>
        <w:rPr>
          <w:vertAlign w:val="superscript"/>
          <w:rtl/>
        </w:rPr>
        <w:fldChar w:fldCharType="begin" w:dirty="true"/>
      </w:r>
      <w:r>
        <w:rPr>
          <w:vertAlign w:val="superscript"/>
          <w:rtl/>
        </w:rPr>
        <w:instrText xml:space="preserve"> REF b3_note41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 קיבלו את ההזמנה</w:t>
      </w:r>
      <w:bookmarkStart w:id="1714" w:name="b3_ref42"/>
      <w:bookmarkEnd w:id="1714"/>
      <w:r>
        <w:rPr>
          <w:vertAlign w:val="superscript"/>
          <w:rtl/>
        </w:rPr>
        <w:fldChar w:fldCharType="begin" w:dirty="true"/>
      </w:r>
      <w:r>
        <w:rPr>
          <w:vertAlign w:val="superscript"/>
          <w:rtl/>
        </w:rPr>
        <w:instrText xml:space="preserve"> REF b3_note42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xml:space="preserve">. ישיבה חדשה בשם “כנסת ישראל”, על שם ר׳ ישראל </w:t>
      </w:r>
      <w:proofErr w:type="spellStart"/>
      <w:r>
        <w:rPr>
          <w:rtl/>
        </w:rPr>
        <w:t>סלנטר</w:t>
      </w:r>
      <w:proofErr w:type="spellEnd"/>
      <w:r>
        <w:rPr>
          <w:rtl/>
        </w:rPr>
        <w:t xml:space="preserve">, נפתחה </w:t>
      </w:r>
      <w:r>
        <w:rPr>
          <w:rtl/>
        </w:rPr>
        <w:lastRenderedPageBreak/>
        <w:t>בסלבודקה</w:t>
      </w:r>
      <w:bookmarkStart w:id="1715" w:name="b3_ref43"/>
      <w:bookmarkEnd w:id="1715"/>
      <w:r>
        <w:rPr>
          <w:vertAlign w:val="superscript"/>
          <w:rtl/>
        </w:rPr>
        <w:fldChar w:fldCharType="begin" w:dirty="true"/>
      </w:r>
      <w:r>
        <w:rPr>
          <w:vertAlign w:val="superscript"/>
          <w:rtl/>
        </w:rPr>
        <w:instrText xml:space="preserve"> REF b3_note43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xml:space="preserve">. ישיבת </w:t>
      </w:r>
      <w:proofErr w:type="spellStart"/>
      <w:r>
        <w:rPr>
          <w:rtl/>
        </w:rPr>
        <w:t>סלבודקה</w:t>
      </w:r>
      <w:proofErr w:type="spellEnd"/>
      <w:r>
        <w:rPr>
          <w:rtl/>
        </w:rPr>
        <w:t xml:space="preserve"> המקורית, שנשארה בבית המדרש הישן</w:t>
      </w:r>
      <w:bookmarkStart w:id="1716" w:name="b3_ref44"/>
      <w:bookmarkEnd w:id="1716"/>
      <w:r>
        <w:rPr>
          <w:vertAlign w:val="superscript"/>
          <w:rtl/>
        </w:rPr>
        <w:fldChar w:fldCharType="begin" w:dirty="true"/>
      </w:r>
      <w:r>
        <w:rPr>
          <w:vertAlign w:val="superscript"/>
          <w:rtl/>
        </w:rPr>
        <w:instrText xml:space="preserve"> REF b3_note44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xml:space="preserve">, קיבלה את השם “כנסת בית יצחק”, על שם ר׳ </w:t>
      </w:r>
      <w:proofErr w:type="spellStart"/>
      <w:r>
        <w:rPr>
          <w:rtl/>
        </w:rPr>
        <w:t>יצחק־אלחנן</w:t>
      </w:r>
      <w:proofErr w:type="spellEnd"/>
      <w:r>
        <w:rPr>
          <w:rtl/>
        </w:rPr>
        <w:t xml:space="preserve"> המנוח</w:t>
      </w:r>
      <w:bookmarkStart w:id="1717" w:name="b3_ref45"/>
      <w:bookmarkEnd w:id="1717"/>
      <w:r>
        <w:rPr>
          <w:vertAlign w:val="superscript"/>
          <w:rtl/>
        </w:rPr>
        <w:fldChar w:fldCharType="begin" w:dirty="true"/>
      </w:r>
      <w:r>
        <w:rPr>
          <w:vertAlign w:val="superscript"/>
          <w:rtl/>
        </w:rPr>
        <w:instrText xml:space="preserve"> REF b3_note45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xml:space="preserve">, ושתי הישיבות הוסיפו להתפתח זו לצד זו. התחרות ושיתוף הפעולה בין שני המוסדות המשגשגים ללימודי תורה גבוהים העניקו </w:t>
      </w:r>
      <w:proofErr w:type="spellStart"/>
      <w:r>
        <w:rPr>
          <w:rtl/>
        </w:rPr>
        <w:t>לסלבודקה</w:t>
      </w:r>
      <w:proofErr w:type="spellEnd"/>
      <w:r>
        <w:rPr>
          <w:rtl/>
        </w:rPr>
        <w:t xml:space="preserve"> מעמד ייחודי, כמעט עשור לפני בואם של אבי וחבריו למסע. לכך נוספה העובדה המופלאה שאדם אחד, ר׳ </w:t>
      </w:r>
      <w:proofErr w:type="spellStart"/>
      <w:r>
        <w:rPr>
          <w:rtl/>
        </w:rPr>
        <w:t>נתן־צבי</w:t>
      </w:r>
      <w:proofErr w:type="spellEnd"/>
      <w:r>
        <w:rPr>
          <w:rtl/>
        </w:rPr>
        <w:t xml:space="preserve"> </w:t>
      </w:r>
      <w:proofErr w:type="spellStart"/>
      <w:r>
        <w:rPr>
          <w:rtl/>
        </w:rPr>
        <w:t>פינקל</w:t>
      </w:r>
      <w:proofErr w:type="spellEnd"/>
      <w:r>
        <w:rPr>
          <w:rtl/>
        </w:rPr>
        <w:t xml:space="preserve"> – שנודע לימים </w:t>
      </w:r>
      <w:proofErr w:type="spellStart"/>
      <w:r>
        <w:rPr>
          <w:rtl/>
        </w:rPr>
        <w:t>כ“הסבא</w:t>
      </w:r>
      <w:proofErr w:type="spellEnd"/>
      <w:r>
        <w:rPr>
          <w:rtl/>
        </w:rPr>
        <w:t xml:space="preserve"> מסלבודקה”</w:t>
      </w:r>
      <w:bookmarkStart w:id="1718" w:name="b3_ref46"/>
      <w:bookmarkEnd w:id="1718"/>
      <w:r>
        <w:rPr>
          <w:vertAlign w:val="superscript"/>
          <w:rtl/>
        </w:rPr>
        <w:fldChar w:fldCharType="begin" w:dirty="true"/>
      </w:r>
      <w:r>
        <w:rPr>
          <w:vertAlign w:val="superscript"/>
          <w:rtl/>
        </w:rPr>
        <w:instrText xml:space="preserve"> REF b3_note46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xml:space="preserve"> – היה אחראי ליצירת </w:t>
      </w:r>
      <w:r>
        <w:rPr>
          <w:b/>
          <w:bCs/>
          <w:rtl/>
        </w:rPr>
        <w:t>שתיהן</w:t>
      </w:r>
      <w:r>
        <w:rPr>
          <w:rtl/>
        </w:rPr>
        <w:t>.</w:t>
      </w:r>
      <w:bookmarkStart w:id="1719" w:name="b3_ref47"/>
      <w:bookmarkEnd w:id="1719"/>
      <w:r>
        <w:rPr>
          <w:vertAlign w:val="superscript"/>
          <w:rtl/>
        </w:rPr>
        <w:fldChar w:fldCharType="begin" w:dirty="true"/>
      </w:r>
      <w:r>
        <w:rPr>
          <w:vertAlign w:val="superscript"/>
          <w:rtl/>
        </w:rPr>
        <w:instrText xml:space="preserve"> REF b3_note47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p>
    <w:bookmarkStart w:id="1720" w:name="b3_note41"/>
    <w:p w14:paraId="33582C96" w14:textId="700821CF" w:rsidR="00AB3647" w:rsidRDefault="00000000" w:rsidP="007923E9">
      <w:pPr>
        <w:spacing w:before="120" w:after="100" w:line="276" w:lineRule="auto"/>
        <w:jc w:val="both"/>
      </w:pPr>
      <w:r>
        <w:fldChar w:fldCharType="begin" w:dirty="true"/>
      </w:r>
      <w:r>
        <w:instrText>HYPERLINK \l "b3_ref41"</w:instrText>
      </w:r>
      <w:r>
        <w:fldChar w:fldCharType="separate"/>
      </w:r>
      <w:r>
        <w:rPr>
          <w:b/>
          <w:bCs/>
          <w:rtl/>
        </w:rPr>
        <w:t>41</w:t>
      </w:r>
      <w:r>
        <w:rPr>
          <w:b/>
          <w:bCs/>
        </w:rPr>
        <w:fldChar w:fldCharType="end"/>
      </w:r>
      <w:bookmarkEnd w:id="1720"/>
      <w:r>
        <w:rPr>
          <w:rtl/>
        </w:rPr>
        <w:t xml:space="preserve"> ראה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bookmarkStart w:id="1721" w:name="b3_note42"/>
    <w:p w14:paraId="58B33A27" w14:textId="0305E52F" w:rsidR="00AB3647" w:rsidRDefault="00000000" w:rsidP="007923E9">
      <w:pPr>
        <w:spacing w:before="120" w:after="100" w:line="276" w:lineRule="auto"/>
        <w:jc w:val="both"/>
      </w:pPr>
      <w:r>
        <w:fldChar w:fldCharType="begin" w:dirty="true"/>
      </w:r>
      <w:r>
        <w:instrText>HYPERLINK \l "b3_ref42"</w:instrText>
      </w:r>
      <w:r>
        <w:fldChar w:fldCharType="separate"/>
      </w:r>
      <w:r>
        <w:rPr>
          <w:b/>
          <w:bCs/>
          <w:rtl/>
        </w:rPr>
        <w:t>42</w:t>
      </w:r>
      <w:r>
        <w:rPr>
          <w:b/>
          <w:bCs/>
        </w:rPr>
        <w:fldChar w:fldCharType="end"/>
      </w:r>
      <w:bookmarkEnd w:id="1721"/>
      <w:r>
        <w:rPr>
          <w:rtl/>
        </w:rPr>
        <w:t xml:space="preserve"> השווה הערה </w:t>
      </w:r>
      <w:r>
        <w:rPr>
          <w:rtl/>
        </w:rPr>
        <w:fldChar w:fldCharType="begin" w:dirty="true"/>
      </w:r>
      <w:r>
        <w:rPr>
          <w:rtl/>
        </w:rPr>
        <w:instrText xml:space="preserve"> REF b3_note39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39</w:t>
      </w:r>
      <w:r>
        <w:rPr>
          <w:rtl/>
        </w:rPr>
        <w:fldChar w:fldCharType="end"/>
      </w:r>
      <w:r>
        <w:rPr>
          <w:rtl/>
        </w:rPr>
        <w:t xml:space="preserve"> לעיל. </w:t>
      </w:r>
      <w:proofErr w:type="spellStart"/>
      <w:r>
        <w:rPr>
          <w:rtl/>
        </w:rPr>
        <w:t>לר</w:t>
      </w:r>
      <w:proofErr w:type="spellEnd"/>
      <w:r>
        <w:rPr>
          <w:rtl/>
        </w:rPr>
        <w:t xml:space="preserve">׳ </w:t>
      </w:r>
      <w:proofErr w:type="spellStart"/>
      <w:r>
        <w:rPr>
          <w:rtl/>
        </w:rPr>
        <w:t>משה־מרדכי</w:t>
      </w:r>
      <w:proofErr w:type="spellEnd"/>
      <w:r>
        <w:rPr>
          <w:rtl/>
        </w:rPr>
        <w:t xml:space="preserve"> אפשטיין הוצע שכר גבוה מאוד, כדי לפתותו להישאר בישיבה הקיימת שבבית המדרש הישן, אך הוא דחה את ההצעה ואמר: “עלי ללכת אחר האמת; והאמת עם ר׳ </w:t>
      </w:r>
      <w:proofErr w:type="spellStart"/>
      <w:r>
        <w:rPr>
          <w:rtl/>
        </w:rPr>
        <w:t>נתן־צבי</w:t>
      </w:r>
      <w:proofErr w:type="spellEnd"/>
      <w:r>
        <w:rPr>
          <w:rtl/>
        </w:rPr>
        <w:t>.”</w:t>
      </w:r>
      <w:bookmarkStart w:id="1722" w:name="_fnr1112"/>
      <w:r>
        <w:rPr>
          <w:rStyle w:val="a5"/>
        </w:rPr>
        <w:footnoteReference w:id="1115" w:customMarkFollows="0"/>
      </w:r>
      <w:bookmarkEnd w:id="1722"/>
      <w:r>
        <w:rPr>
          <w:rtl/>
        </w:rPr>
        <w:t xml:space="preserve"> השווה גם הקדמת ר׳ </w:t>
      </w:r>
      <w:proofErr w:type="spellStart"/>
      <w:r>
        <w:rPr>
          <w:rtl/>
        </w:rPr>
        <w:t>משה־מרדכי</w:t>
      </w:r>
      <w:proofErr w:type="spellEnd"/>
      <w:r>
        <w:rPr>
          <w:rtl/>
        </w:rPr>
        <w:t xml:space="preserve"> אפשטיין </w:t>
      </w:r>
      <w:proofErr w:type="spellStart"/>
      <w:r>
        <w:rPr>
          <w:rtl/>
        </w:rPr>
        <w:t>ל“לבוש</w:t>
      </w:r>
      <w:proofErr w:type="spellEnd"/>
      <w:r>
        <w:rPr>
          <w:rtl/>
        </w:rPr>
        <w:t xml:space="preserve"> מרדכי” על מסכת בבא קמא</w:t>
      </w:r>
      <w:bookmarkStart w:id="1723" w:name="_fnr1113"/>
      <w:r>
        <w:rPr>
          <w:rStyle w:val="a5"/>
        </w:rPr>
        <w:footnoteReference w:id="1116" w:customMarkFollows="0"/>
      </w:r>
      <w:bookmarkEnd w:id="1723"/>
      <w:r>
        <w:rPr>
          <w:rtl/>
        </w:rPr>
        <w:t>, על החשיבות שייחס ללימוד המוסר</w:t>
      </w:r>
      <w:bookmarkStart w:id="1724" w:name="_fnr1114"/>
      <w:r>
        <w:rPr>
          <w:rStyle w:val="a5"/>
        </w:rPr>
        <w:footnoteReference w:id="1117" w:customMarkFollows="0"/>
      </w:r>
      <w:bookmarkEnd w:id="1724"/>
      <w:r>
        <w:rPr>
          <w:rtl/>
        </w:rPr>
        <w:t xml:space="preserve">. עם ייסוד כנסת ישראל הועלה ר׳ </w:t>
      </w:r>
      <w:proofErr w:type="spellStart"/>
      <w:r>
        <w:rPr>
          <w:rtl/>
        </w:rPr>
        <w:t>משה־מרדכי</w:t>
      </w:r>
      <w:proofErr w:type="spellEnd"/>
      <w:r>
        <w:rPr>
          <w:rtl/>
        </w:rPr>
        <w:t xml:space="preserve"> רשמית לדרגת ראש ישיבה</w:t>
      </w:r>
      <w:bookmarkStart w:id="1725" w:name="_fnr1115"/>
      <w:r>
        <w:rPr>
          <w:rStyle w:val="a5"/>
        </w:rPr>
        <w:footnoteReference w:id="1118" w:customMarkFollows="0"/>
      </w:r>
      <w:bookmarkEnd w:id="1725"/>
      <w:r>
        <w:rPr>
          <w:rtl/>
        </w:rPr>
        <w:t>.</w:t>
      </w:r>
    </w:p>
    <w:p w14:paraId="6ECAC4D4" w14:textId="77777777" w:rsidR="00AB3647" w:rsidRDefault="00000000" w:rsidP="007923E9">
      <w:pPr>
        <w:spacing w:after="100" w:line="276" w:lineRule="auto"/>
        <w:ind w:firstLine="340"/>
        <w:jc w:val="both"/>
      </w:pPr>
      <w:r>
        <w:rPr>
          <w:rtl/>
        </w:rPr>
        <w:t xml:space="preserve">החלטתו של הסבא </w:t>
      </w:r>
      <w:proofErr w:type="spellStart"/>
      <w:r>
        <w:rPr>
          <w:rtl/>
        </w:rPr>
        <w:t>מסלבודקה</w:t>
      </w:r>
      <w:proofErr w:type="spellEnd"/>
      <w:r>
        <w:rPr>
          <w:rtl/>
        </w:rPr>
        <w:t xml:space="preserve"> לפרוש מן הישיבה שייסד, בתקווה לבנות חדשה, הייתה מעשה מוסרי נעלה. מאחר ששיעור גבוה מתלמידי אותה ישיבה התנגד לו, היה צעדו בוודאי צעד נבון. ובכל זאת, נדרש כוח מוסרי רב כדי לוותר על המוסד הקיים שייסד ולהתחיל מחדש. אדם בעל שיעור קומה נמוך יותר היה אולי נשאר בפנים ונאבק במתנגדיו – ומעמיד את מעשה ידיו בסכנת הרס.</w:t>
      </w:r>
    </w:p>
    <w:bookmarkStart w:id="1726" w:name="b3_note43"/>
    <w:p w14:paraId="73EDF0F9" w14:textId="73E90942" w:rsidR="00AB3647" w:rsidRDefault="00000000" w:rsidP="007923E9">
      <w:pPr>
        <w:spacing w:before="120" w:after="100" w:line="276" w:lineRule="auto"/>
        <w:jc w:val="both"/>
      </w:pPr>
      <w:r>
        <w:fldChar w:fldCharType="begin" w:dirty="true"/>
      </w:r>
      <w:r>
        <w:instrText>HYPERLINK \l "b3_ref43"</w:instrText>
      </w:r>
      <w:r>
        <w:fldChar w:fldCharType="separate"/>
      </w:r>
      <w:r>
        <w:rPr>
          <w:b/>
          <w:bCs/>
          <w:rtl/>
        </w:rPr>
        <w:t>43</w:t>
      </w:r>
      <w:r>
        <w:rPr>
          <w:b/>
          <w:bCs/>
        </w:rPr>
        <w:fldChar w:fldCharType="end"/>
      </w:r>
      <w:bookmarkEnd w:id="1726"/>
      <w:r>
        <w:rPr>
          <w:rtl/>
        </w:rPr>
        <w:t xml:space="preserve"> אי הדיוק בספרו של כץ, “תנועת המוסר”, כרך ב</w:t>
      </w:r>
      <w:bookmarkStart w:id="1727" w:name="_fnr1116"/>
      <w:r>
        <w:rPr>
          <w:rStyle w:val="a5"/>
        </w:rPr>
        <w:footnoteReference w:id="1119" w:customMarkFollows="0"/>
      </w:r>
      <w:bookmarkEnd w:id="1727"/>
      <w:r>
        <w:rPr>
          <w:rtl/>
        </w:rPr>
        <w:t xml:space="preserve">, כאילו הישיבה נקראה “כנסת ישראל” עוד קודם לכן, תוקן </w:t>
      </w:r>
      <w:proofErr w:type="spellStart"/>
      <w:r>
        <w:rPr>
          <w:rtl/>
        </w:rPr>
        <w:t>ב“פולמוס</w:t>
      </w:r>
      <w:proofErr w:type="spellEnd"/>
      <w:r>
        <w:rPr>
          <w:rtl/>
        </w:rPr>
        <w:t xml:space="preserve"> המוסר”</w:t>
      </w:r>
      <w:bookmarkStart w:id="1728" w:name="_fnr1117"/>
      <w:r>
        <w:rPr>
          <w:rStyle w:val="a5"/>
        </w:rPr>
        <w:footnoteReference w:id="1120" w:customMarkFollows="0"/>
      </w:r>
      <w:bookmarkEnd w:id="1728"/>
      <w:r>
        <w:rPr>
          <w:rtl/>
        </w:rPr>
        <w:t xml:space="preserve"> של אותו מחבר. לישיבה החדשה לא היו מקורות הכנסה, והיא הייתה נסגרת זמן קצר לאחר פתיחתה, אלמלא תרומה </w:t>
      </w:r>
      <w:proofErr w:type="spellStart"/>
      <w:r>
        <w:rPr>
          <w:rtl/>
        </w:rPr>
        <w:t>עלומת</w:t>
      </w:r>
      <w:proofErr w:type="spellEnd"/>
      <w:r>
        <w:rPr>
          <w:rtl/>
        </w:rPr>
        <w:t xml:space="preserve"> שם של 300 רובל. התורם היה </w:t>
      </w:r>
      <w:proofErr w:type="spellStart"/>
      <w:r>
        <w:rPr>
          <w:rtl/>
        </w:rPr>
        <w:t>החפץ־חיים</w:t>
      </w:r>
      <w:bookmarkStart w:id="1729" w:name="_fnr1118"/>
      <w:proofErr w:type="spellEnd"/>
      <w:r>
        <w:rPr>
          <w:rStyle w:val="a5"/>
        </w:rPr>
        <w:footnoteReference w:id="1121" w:customMarkFollows="0"/>
      </w:r>
      <w:bookmarkEnd w:id="1729"/>
      <w:r>
        <w:rPr>
          <w:rtl/>
        </w:rPr>
        <w:t xml:space="preserve">. לנוכח יחסו השלילי לשיטת המוסר – ראה הפסקה השנייה של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 מפליא שתרם תרומה יוצאת דופן זו לישיבת </w:t>
      </w:r>
      <w:proofErr w:type="spellStart"/>
      <w:r>
        <w:rPr>
          <w:rtl/>
        </w:rPr>
        <w:t>סלבודקה</w:t>
      </w:r>
      <w:proofErr w:type="spellEnd"/>
      <w:r>
        <w:rPr>
          <w:rtl/>
        </w:rPr>
        <w:t xml:space="preserve"> הפורשת. אבל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המציעה הסבר לדבר.</w:t>
      </w:r>
    </w:p>
    <w:bookmarkStart w:id="1730" w:name="b3_note44"/>
    <w:p w14:paraId="0A427952" w14:textId="77777777" w:rsidR="00AB3647" w:rsidRDefault="00000000" w:rsidP="007923E9">
      <w:pPr>
        <w:spacing w:before="120" w:after="100" w:line="276" w:lineRule="auto"/>
        <w:jc w:val="both"/>
      </w:pPr>
      <w:r>
        <w:fldChar w:fldCharType="begin" w:dirty="true"/>
      </w:r>
      <w:r>
        <w:instrText>HYPERLINK \l "b3_ref44"</w:instrText>
      </w:r>
      <w:r>
        <w:fldChar w:fldCharType="separate"/>
      </w:r>
      <w:r>
        <w:rPr>
          <w:b/>
          <w:bCs/>
          <w:rtl/>
        </w:rPr>
        <w:t>44</w:t>
      </w:r>
      <w:r>
        <w:rPr>
          <w:b/>
          <w:bCs/>
        </w:rPr>
        <w:fldChar w:fldCharType="end"/>
      </w:r>
      <w:bookmarkEnd w:id="1730"/>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31" w:name="_fnr1119"/>
      <w:r>
        <w:rPr>
          <w:rStyle w:val="a5"/>
        </w:rPr>
        <w:footnoteReference w:id="1122" w:customMarkFollows="0"/>
      </w:r>
      <w:bookmarkEnd w:id="1731"/>
      <w:r>
        <w:rPr>
          <w:rtl/>
        </w:rPr>
        <w:t xml:space="preserve"> אומר: “בית המדרש הישן שימש את הישיבה רק בימות החול; בשבתות ובמועדים שימש מקום תפילה ולימוד </w:t>
      </w:r>
      <w:r>
        <w:rPr>
          <w:rtl/>
        </w:rPr>
        <w:lastRenderedPageBreak/>
        <w:t>לקהל בעלי בתים שלא היו קשורים לישיבה, ובימים אלה נאלצו הבחורים להתפזר בבתי כנסת שונים.”</w:t>
      </w:r>
    </w:p>
    <w:p w14:paraId="3334F1D1" w14:textId="77777777" w:rsidR="00AB3647" w:rsidRDefault="00000000" w:rsidP="007923E9">
      <w:pPr>
        <w:spacing w:before="120" w:after="100" w:line="276" w:lineRule="auto"/>
        <w:jc w:val="both"/>
      </w:pPr>
      <w:r>
        <w:rPr>
          <w:rtl/>
        </w:rPr>
        <w:t xml:space="preserve">גורדון למד בכנסת בית יצחק בשנים תרס״ז </w:t>
      </w:r>
      <w:proofErr w:type="spellStart"/>
      <w:r>
        <w:rPr>
          <w:rtl/>
        </w:rPr>
        <w:t>ותרס״ח</w:t>
      </w:r>
      <w:proofErr w:type="spellEnd"/>
      <w:r>
        <w:rPr>
          <w:rtl/>
        </w:rPr>
        <w:t>, ולכן יש להניח שהסדר המתואר התקיים מאז ייסוד הישיבה כעשר שנים קודם לכן</w:t>
      </w:r>
      <w:bookmarkStart w:id="1732" w:name="_fnr1120"/>
      <w:r>
        <w:rPr>
          <w:rStyle w:val="a5"/>
        </w:rPr>
        <w:footnoteReference w:id="1123" w:customMarkFollows="0"/>
      </w:r>
      <w:bookmarkEnd w:id="1732"/>
      <w:r>
        <w:rPr>
          <w:rtl/>
        </w:rPr>
        <w:t xml:space="preserve"> (או מאז נעשה בית המדרש הישן צפוף מדי מרוב בעלי בתים), וכנראה נמשך כך עד מלחמת העולם הראשונה. </w:t>
      </w:r>
      <w:proofErr w:type="spellStart"/>
      <w:r>
        <w:rPr>
          <w:rtl/>
        </w:rPr>
        <w:t>בקצאווישע</w:t>
      </w:r>
      <w:proofErr w:type="spellEnd"/>
      <w:r>
        <w:rPr>
          <w:rtl/>
        </w:rPr>
        <w:t xml:space="preserve"> </w:t>
      </w:r>
      <w:proofErr w:type="spellStart"/>
      <w:r>
        <w:rPr>
          <w:rtl/>
        </w:rPr>
        <w:t>קלויז</w:t>
      </w:r>
      <w:proofErr w:type="spellEnd"/>
      <w:r>
        <w:rPr>
          <w:rtl/>
        </w:rPr>
        <w:t xml:space="preserve"> היה מצבה של כנסת ישראל קשה עוד יותר: שלוש שנים לאחר שנכנסה הישיבה לבית תפילתם, החלו גבאי בית הכנסת לדחוק בה למצוא מקום אחר. ר׳ </w:t>
      </w:r>
      <w:proofErr w:type="spellStart"/>
      <w:r>
        <w:rPr>
          <w:rtl/>
        </w:rPr>
        <w:t>משה־מרדכי</w:t>
      </w:r>
      <w:proofErr w:type="spellEnd"/>
      <w:r>
        <w:rPr>
          <w:rtl/>
        </w:rPr>
        <w:t xml:space="preserve"> גייס את הכספים לבנות לישיבה בניין משלה בשנת תר״ס</w:t>
      </w:r>
      <w:bookmarkStart w:id="1733" w:name="_fnr1121"/>
      <w:r>
        <w:rPr>
          <w:rStyle w:val="a5"/>
        </w:rPr>
        <w:footnoteReference w:id="1124" w:customMarkFollows="0"/>
      </w:r>
      <w:bookmarkEnd w:id="1733"/>
      <w:r>
        <w:rPr>
          <w:rtl/>
        </w:rPr>
        <w:t>.</w:t>
      </w:r>
    </w:p>
    <w:bookmarkStart w:id="1734" w:name="b3_note45"/>
    <w:p w14:paraId="112DAD27" w14:textId="4E15116D" w:rsidR="00AB3647" w:rsidRDefault="00000000" w:rsidP="007923E9">
      <w:pPr>
        <w:spacing w:before="120" w:after="100" w:line="276" w:lineRule="auto"/>
        <w:jc w:val="both"/>
      </w:pPr>
      <w:r>
        <w:fldChar w:fldCharType="begin" w:dirty="true"/>
      </w:r>
      <w:r>
        <w:instrText>HYPERLINK \l "b3_ref45"</w:instrText>
      </w:r>
      <w:r>
        <w:fldChar w:fldCharType="separate"/>
      </w:r>
      <w:r>
        <w:rPr>
          <w:b/>
          <w:bCs/>
          <w:rtl/>
        </w:rPr>
        <w:t>45</w:t>
      </w:r>
      <w:r>
        <w:rPr>
          <w:b/>
          <w:bCs/>
        </w:rPr>
        <w:fldChar w:fldCharType="end"/>
      </w:r>
      <w:bookmarkEnd w:id="1734"/>
      <w:r>
        <w:rPr>
          <w:rtl/>
        </w:rPr>
        <w:t xml:space="preserve"> ראה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bookmarkStart w:id="1735" w:name="b3_note46"/>
    <w:p w14:paraId="20587CEC" w14:textId="194A6488" w:rsidR="00AB3647" w:rsidRDefault="00000000" w:rsidP="007923E9">
      <w:pPr>
        <w:spacing w:before="120" w:after="100" w:line="276" w:lineRule="auto"/>
        <w:jc w:val="both"/>
      </w:pPr>
      <w:r>
        <w:fldChar w:fldCharType="begin" w:dirty="true"/>
      </w:r>
      <w:r>
        <w:instrText>HYPERLINK \l "b3_ref46"</w:instrText>
      </w:r>
      <w:r>
        <w:fldChar w:fldCharType="separate"/>
      </w:r>
      <w:r>
        <w:rPr>
          <w:b/>
          <w:bCs/>
          <w:rtl/>
        </w:rPr>
        <w:t>46</w:t>
      </w:r>
      <w:r>
        <w:rPr>
          <w:b/>
          <w:bCs/>
        </w:rPr>
        <w:fldChar w:fldCharType="end"/>
      </w:r>
      <w:bookmarkEnd w:id="1735"/>
      <w:r>
        <w:rPr>
          <w:rtl/>
        </w:rPr>
        <w:t xml:space="preserve"> השווה פרק 2, הערה </w:t>
      </w:r>
      <w:r>
        <w:rPr>
          <w:rtl/>
        </w:rPr>
        <w:fldChar w:fldCharType="begin" w:dirty="true"/>
      </w:r>
      <w:r>
        <w:rPr>
          <w:rtl/>
        </w:rPr>
        <w:instrText xml:space="preserve"> REF b2_note93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w:t>
      </w:r>
    </w:p>
    <w:bookmarkStart w:id="1736" w:name="b3_note47"/>
    <w:p w14:paraId="7DBD35B5" w14:textId="55FF7864" w:rsidR="00AB3647" w:rsidRDefault="00000000" w:rsidP="007923E9">
      <w:pPr>
        <w:spacing w:before="120" w:after="100" w:line="276" w:lineRule="auto"/>
        <w:jc w:val="both"/>
      </w:pPr>
      <w:r>
        <w:fldChar w:fldCharType="begin" w:dirty="true"/>
      </w:r>
      <w:r>
        <w:instrText>HYPERLINK \l "b3_ref47"</w:instrText>
      </w:r>
      <w:r>
        <w:fldChar w:fldCharType="separate"/>
      </w:r>
      <w:r>
        <w:rPr>
          <w:b/>
          <w:bCs/>
          <w:rtl/>
        </w:rPr>
        <w:t>47</w:t>
      </w:r>
      <w:r>
        <w:rPr>
          <w:b/>
          <w:bCs/>
        </w:rPr>
        <w:fldChar w:fldCharType="end"/>
      </w:r>
      <w:bookmarkEnd w:id="1736"/>
      <w:r>
        <w:rPr>
          <w:rtl/>
        </w:rPr>
        <w:t xml:space="preserve">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5EC267FF" w14:textId="325A02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בעשור הראשון לקיומן עברו שתי הישיבות שינויים מכריעים. כנסת בית יצחק נעזרה בתחילה ברבה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כר״מ ראשי. אחר כך הזמינה את ר׳ חיים </w:t>
      </w:r>
      <w:proofErr w:type="spellStart"/>
      <w:r>
        <w:rPr>
          <w:rtl/>
        </w:rPr>
        <w:t>רבינוביץ</w:t>
      </w:r>
      <w:proofErr w:type="spellEnd"/>
      <w:r>
        <w:rPr>
          <w:rtl/>
        </w:rPr>
        <w:t>, רבה של מיאשאד,</w:t>
      </w:r>
      <w:bookmarkStart w:id="1737" w:name="b3_ref48"/>
      <w:bookmarkEnd w:id="1737"/>
      <w:r>
        <w:rPr>
          <w:vertAlign w:val="superscript"/>
          <w:rtl/>
        </w:rPr>
        <w:fldChar w:fldCharType="begin" w:dirty="true"/>
      </w:r>
      <w:r>
        <w:rPr>
          <w:vertAlign w:val="superscript"/>
          <w:rtl/>
        </w:rPr>
        <w:instrText xml:space="preserve"> REF b3_note48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לעמוד בראשה. לבסוף שכרה את שירותיו של תלמידו המובהק של ר׳ חיים </w:t>
      </w:r>
      <w:proofErr w:type="spellStart"/>
      <w:r>
        <w:rPr>
          <w:rtl/>
        </w:rPr>
        <w:t>סולובייצ׳יק</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הקדוש,</w:t>
      </w:r>
      <w:bookmarkStart w:id="1738" w:name="b3_ref49"/>
      <w:bookmarkEnd w:id="1738"/>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בתרס״ה.</w:t>
      </w:r>
      <w:bookmarkStart w:id="1739" w:name="b3_ref50"/>
      <w:bookmarkEnd w:id="1739"/>
      <w:r>
        <w:rPr>
          <w:vertAlign w:val="superscript"/>
          <w:rtl/>
        </w:rPr>
        <w:fldChar w:fldCharType="begin" w:dirty="true"/>
      </w:r>
      <w:r>
        <w:rPr>
          <w:vertAlign w:val="superscript"/>
          <w:rtl/>
        </w:rPr>
        <w:instrText xml:space="preserve"> REF b3_note50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בואו הביא לישיבה, לצד למדנות מעולה, גם מופת של יראת שמים</w:t>
      </w:r>
      <w:r>
        <w:rPr>
          <w:vertAlign w:val="superscript"/>
          <w:rtl/>
        </w:rPr>
        <w:fldChar w:fldCharType="begin" w:dirty="true"/>
      </w:r>
      <w:r>
        <w:rPr>
          <w:vertAlign w:val="superscript"/>
          <w:rtl/>
        </w:rPr>
        <w:instrText xml:space="preserve"> REF b3_note49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xml:space="preserve"> שהתלמידים יכלו לחקותו.</w:t>
      </w:r>
    </w:p>
    <w:bookmarkStart w:id="1740" w:name="b3_note48"/>
    <w:p w14:paraId="631C9C98" w14:textId="77777777" w:rsidR="00AB3647" w:rsidRDefault="00000000" w:rsidP="007923E9">
      <w:pPr>
        <w:spacing w:before="120" w:after="100" w:line="276" w:lineRule="auto"/>
        <w:jc w:val="both"/>
      </w:pPr>
      <w:r>
        <w:fldChar w:fldCharType="begin" w:dirty="true"/>
      </w:r>
      <w:r>
        <w:instrText>HYPERLINK \l "b3_ref48"</w:instrText>
      </w:r>
      <w:r>
        <w:fldChar w:fldCharType="separate"/>
      </w:r>
      <w:r>
        <w:rPr>
          <w:b/>
          <w:bCs/>
          <w:rtl/>
        </w:rPr>
        <w:t>48</w:t>
      </w:r>
      <w:r>
        <w:rPr>
          <w:b/>
          <w:bCs/>
        </w:rPr>
        <w:fldChar w:fldCharType="end"/>
      </w:r>
      <w:bookmarkEnd w:id="1740"/>
      <w:r>
        <w:rPr>
          <w:rtl/>
        </w:rPr>
        <w:t xml:space="preserve"> ר׳ חיים </w:t>
      </w:r>
      <w:proofErr w:type="spellStart"/>
      <w:r>
        <w:rPr>
          <w:rtl/>
        </w:rPr>
        <w:t>רבינוביץ</w:t>
      </w:r>
      <w:proofErr w:type="spellEnd"/>
      <w:r>
        <w:rPr>
          <w:rtl/>
        </w:rPr>
        <w:t xml:space="preserve"> נולד </w:t>
      </w:r>
      <w:proofErr w:type="spellStart"/>
      <w:r>
        <w:rPr>
          <w:rtl/>
        </w:rPr>
        <w:t>בתר״ך</w:t>
      </w:r>
      <w:proofErr w:type="spellEnd"/>
      <w:r>
        <w:rPr>
          <w:rtl/>
        </w:rPr>
        <w:t xml:space="preserve">, ונתמנה לאחד </w:t>
      </w:r>
      <w:proofErr w:type="spellStart"/>
      <w:r>
        <w:rPr>
          <w:rtl/>
        </w:rPr>
        <w:t>הר״מים</w:t>
      </w:r>
      <w:proofErr w:type="spellEnd"/>
      <w:r>
        <w:rPr>
          <w:rtl/>
        </w:rPr>
        <w:t xml:space="preserve"> הראשונים בישיבת </w:t>
      </w:r>
      <w:proofErr w:type="spellStart"/>
      <w:r>
        <w:rPr>
          <w:rtl/>
        </w:rPr>
        <w:t>סלבודקה</w:t>
      </w:r>
      <w:proofErr w:type="spellEnd"/>
      <w:r>
        <w:rPr>
          <w:rtl/>
        </w:rPr>
        <w:t xml:space="preserve"> המקורית בהיותו בן עשרים ושש,</w:t>
      </w:r>
      <w:bookmarkStart w:id="1741" w:name="_fnr1122"/>
      <w:r>
        <w:rPr>
          <w:rStyle w:val="a5"/>
        </w:rPr>
        <w:footnoteReference w:id="1125" w:customMarkFollows="0"/>
      </w:r>
      <w:bookmarkEnd w:id="1741"/>
      <w:r>
        <w:rPr>
          <w:rtl/>
        </w:rPr>
        <w:t xml:space="preserve"> לפני שעבר </w:t>
      </w:r>
      <w:proofErr w:type="spellStart"/>
      <w:r>
        <w:rPr>
          <w:rtl/>
        </w:rPr>
        <w:t>למיאשאד</w:t>
      </w:r>
      <w:proofErr w:type="spellEnd"/>
      <w:r>
        <w:rPr>
          <w:rtl/>
        </w:rPr>
        <w:t xml:space="preserve">. לאחר ששימש בכנסת בית יצחק נעשה ר״מ בכיר </w:t>
      </w:r>
      <w:proofErr w:type="spellStart"/>
      <w:r>
        <w:rPr>
          <w:rtl/>
        </w:rPr>
        <w:t>בטלז</w:t>
      </w:r>
      <w:proofErr w:type="spellEnd"/>
      <w:r>
        <w:rPr>
          <w:rtl/>
        </w:rPr>
        <w:t xml:space="preserve">, ושם נודע כר׳ חיים </w:t>
      </w:r>
      <w:proofErr w:type="spellStart"/>
      <w:r>
        <w:rPr>
          <w:rtl/>
        </w:rPr>
        <w:t>טלזר</w:t>
      </w:r>
      <w:proofErr w:type="spellEnd"/>
      <w:r>
        <w:rPr>
          <w:rtl/>
        </w:rPr>
        <w:t>. הוא נפטר בראשית תרצ״א.</w:t>
      </w:r>
    </w:p>
    <w:p w14:paraId="5BB04FD4" w14:textId="77777777" w:rsidR="00AB3647" w:rsidRDefault="00000000" w:rsidP="007923E9">
      <w:pPr>
        <w:spacing w:after="100" w:line="276" w:lineRule="auto"/>
        <w:ind w:firstLine="340"/>
        <w:jc w:val="both"/>
      </w:pPr>
      <w:r>
        <w:rPr>
          <w:rtl/>
        </w:rPr>
        <w:t>לפי “תורת חיים”,</w:t>
      </w:r>
      <w:bookmarkStart w:id="1742" w:name="_fnr1123"/>
      <w:r>
        <w:rPr>
          <w:rStyle w:val="a5"/>
        </w:rPr>
        <w:footnoteReference w:id="1126" w:customMarkFollows="0"/>
      </w:r>
      <w:bookmarkEnd w:id="1742"/>
      <w:r>
        <w:rPr>
          <w:rtl/>
        </w:rPr>
        <w:t xml:space="preserve"> נקרא ר׳ </w:t>
      </w:r>
      <w:proofErr w:type="spellStart"/>
      <w:r>
        <w:rPr>
          <w:rtl/>
        </w:rPr>
        <w:t>זלמן־סנדר</w:t>
      </w:r>
      <w:proofErr w:type="spellEnd"/>
      <w:r>
        <w:rPr>
          <w:rtl/>
        </w:rPr>
        <w:t xml:space="preserve"> </w:t>
      </w:r>
      <w:proofErr w:type="spellStart"/>
      <w:r>
        <w:rPr>
          <w:rtl/>
        </w:rPr>
        <w:t>כהנא־שפירא</w:t>
      </w:r>
      <w:bookmarkStart w:id="1743" w:name="_fnr1124"/>
      <w:proofErr w:type="spellEnd"/>
      <w:r>
        <w:rPr>
          <w:rStyle w:val="a5"/>
        </w:rPr>
        <w:footnoteReference w:id="1127" w:customMarkFollows="0"/>
      </w:r>
      <w:bookmarkEnd w:id="1743"/>
      <w:r>
        <w:rPr>
          <w:rtl/>
        </w:rPr>
        <w:t xml:space="preserve"> לעמוד בראש כנסת בית יצחק עוד לפני שהובא אליה ר׳ חיים </w:t>
      </w:r>
      <w:proofErr w:type="spellStart"/>
      <w:r>
        <w:rPr>
          <w:rtl/>
        </w:rPr>
        <w:t>רבינוביץ</w:t>
      </w:r>
      <w:proofErr w:type="spellEnd"/>
      <w:r>
        <w:rPr>
          <w:rtl/>
        </w:rPr>
        <w:t xml:space="preserve"> – וזאת לפני שפתח, בעצת קרובו ר׳ חיים </w:t>
      </w:r>
      <w:proofErr w:type="spellStart"/>
      <w:r>
        <w:rPr>
          <w:rtl/>
        </w:rPr>
        <w:t>סולובייצ׳יק</w:t>
      </w:r>
      <w:proofErr w:type="spellEnd"/>
      <w:r>
        <w:rPr>
          <w:rtl/>
        </w:rPr>
        <w:t xml:space="preserve">, ישיבה בעיר שבה שימש רב, </w:t>
      </w:r>
      <w:proofErr w:type="spellStart"/>
      <w:r>
        <w:rPr>
          <w:rtl/>
        </w:rPr>
        <w:t>מאלטש</w:t>
      </w:r>
      <w:proofErr w:type="spellEnd"/>
      <w:r>
        <w:rPr>
          <w:rtl/>
        </w:rPr>
        <w:t>.</w:t>
      </w:r>
      <w:bookmarkStart w:id="1744" w:name="_fnr1125"/>
      <w:r>
        <w:rPr>
          <w:rStyle w:val="a5"/>
        </w:rPr>
        <w:footnoteReference w:id="1128" w:customMarkFollows="0"/>
      </w:r>
      <w:bookmarkEnd w:id="1744"/>
      <w:r>
        <w:rPr>
          <w:rtl/>
        </w:rPr>
        <w:t xml:space="preserve"> אבל מועמדותו נמשכה שבת אחת בלבד, מסיבה שלא נתבארה </w:t>
      </w:r>
      <w:proofErr w:type="spellStart"/>
      <w:r>
        <w:rPr>
          <w:rtl/>
        </w:rPr>
        <w:t>ב“תורת</w:t>
      </w:r>
      <w:proofErr w:type="spellEnd"/>
      <w:r>
        <w:rPr>
          <w:rtl/>
        </w:rPr>
        <w:t xml:space="preserve"> חיים”. אפשר לשער שביקש להנהיג לימוד של כל הש״ס, כפי שנהגו בישיבת </w:t>
      </w:r>
      <w:proofErr w:type="spellStart"/>
      <w:r>
        <w:rPr>
          <w:rtl/>
        </w:rPr>
        <w:lastRenderedPageBreak/>
        <w:t>וולוז׳ין</w:t>
      </w:r>
      <w:proofErr w:type="spellEnd"/>
      <w:r>
        <w:rPr>
          <w:rtl/>
        </w:rPr>
        <w:t>, שכבר נסגרה, ולא רק של מסכתות “</w:t>
      </w:r>
      <w:proofErr w:type="spellStart"/>
      <w:r>
        <w:rPr>
          <w:rtl/>
        </w:rPr>
        <w:t>ישיבתיות</w:t>
      </w:r>
      <w:proofErr w:type="spellEnd"/>
      <w:r>
        <w:rPr>
          <w:rtl/>
        </w:rPr>
        <w:t>”,</w:t>
      </w:r>
      <w:bookmarkStart w:id="1745" w:name="_fnr1126"/>
      <w:r>
        <w:rPr>
          <w:rStyle w:val="a5"/>
        </w:rPr>
        <w:footnoteReference w:id="1129" w:customMarkFollows="0"/>
      </w:r>
      <w:bookmarkEnd w:id="1745"/>
      <w:r>
        <w:rPr>
          <w:rtl/>
        </w:rPr>
        <w:t xml:space="preserve"> כפי שהנהיג הסבא</w:t>
      </w:r>
      <w:bookmarkStart w:id="1746" w:name="_fnr1127"/>
      <w:r>
        <w:rPr>
          <w:rStyle w:val="a5"/>
        </w:rPr>
        <w:footnoteReference w:id="1130" w:customMarkFollows="0"/>
      </w:r>
      <w:bookmarkEnd w:id="1746"/>
      <w:r>
        <w:rPr>
          <w:rtl/>
        </w:rPr>
        <w:t xml:space="preserve"> בישיבת </w:t>
      </w:r>
      <w:proofErr w:type="spellStart"/>
      <w:r>
        <w:rPr>
          <w:rtl/>
        </w:rPr>
        <w:t>סלבודקה</w:t>
      </w:r>
      <w:proofErr w:type="spellEnd"/>
      <w:r>
        <w:rPr>
          <w:rtl/>
        </w:rPr>
        <w:t xml:space="preserve">, שממנה צמחה כנסת בית יצחק. השינוי לא היה מקובל על גבאי כנסת בית יצחק, שהמשיכו את תוכנית החינוך המוצלחת של הישיבה האחת שהייתה קודם לכן </w:t>
      </w:r>
      <w:proofErr w:type="spellStart"/>
      <w:r>
        <w:rPr>
          <w:rtl/>
        </w:rPr>
        <w:t>בסלבודקה</w:t>
      </w:r>
      <w:proofErr w:type="spellEnd"/>
      <w:r>
        <w:rPr>
          <w:rtl/>
        </w:rPr>
        <w:t xml:space="preserve">, פרט למוסר; ור׳ </w:t>
      </w:r>
      <w:proofErr w:type="spellStart"/>
      <w:r>
        <w:rPr>
          <w:rtl/>
        </w:rPr>
        <w:t>זלמן־סנדר</w:t>
      </w:r>
      <w:proofErr w:type="spellEnd"/>
      <w:r>
        <w:rPr>
          <w:rtl/>
        </w:rPr>
        <w:t xml:space="preserve"> עזב מיד.</w:t>
      </w:r>
    </w:p>
    <w:p w14:paraId="15F36557" w14:textId="77777777" w:rsidR="00AB3647" w:rsidRDefault="00000000" w:rsidP="007923E9">
      <w:pPr>
        <w:spacing w:after="100" w:line="276" w:lineRule="auto"/>
        <w:ind w:firstLine="340"/>
        <w:jc w:val="both"/>
      </w:pPr>
      <w:r>
        <w:rPr>
          <w:rtl/>
        </w:rPr>
        <w:t xml:space="preserve">יתר על כן, אפשר שהדחייה </w:t>
      </w:r>
      <w:proofErr w:type="spellStart"/>
      <w:r>
        <w:rPr>
          <w:rtl/>
        </w:rPr>
        <w:t>בסלבודקה</w:t>
      </w:r>
      <w:proofErr w:type="spellEnd"/>
      <w:r>
        <w:rPr>
          <w:rtl/>
        </w:rPr>
        <w:t xml:space="preserve"> היא שהביאה את ר׳ חיים להציע </w:t>
      </w:r>
      <w:proofErr w:type="spellStart"/>
      <w:r>
        <w:rPr>
          <w:rtl/>
        </w:rPr>
        <w:t>לר</w:t>
      </w:r>
      <w:proofErr w:type="spellEnd"/>
      <w:r>
        <w:rPr>
          <w:rtl/>
        </w:rPr>
        <w:t xml:space="preserve">׳ </w:t>
      </w:r>
      <w:proofErr w:type="spellStart"/>
      <w:r>
        <w:rPr>
          <w:rtl/>
        </w:rPr>
        <w:t>זלמן־סנדר</w:t>
      </w:r>
      <w:proofErr w:type="spellEnd"/>
      <w:r>
        <w:rPr>
          <w:rtl/>
        </w:rPr>
        <w:t xml:space="preserve">, זמן קצר אחר כך, לפתוח ישיבה משלו </w:t>
      </w:r>
      <w:proofErr w:type="spellStart"/>
      <w:r>
        <w:rPr>
          <w:rtl/>
        </w:rPr>
        <w:t>במאלטש</w:t>
      </w:r>
      <w:proofErr w:type="spellEnd"/>
      <w:r>
        <w:rPr>
          <w:rtl/>
        </w:rPr>
        <w:t xml:space="preserve">, שבה יוכל ליישם את דרכה של </w:t>
      </w:r>
      <w:proofErr w:type="spellStart"/>
      <w:r>
        <w:rPr>
          <w:rtl/>
        </w:rPr>
        <w:t>וולוז׳ין</w:t>
      </w:r>
      <w:proofErr w:type="spellEnd"/>
      <w:r>
        <w:rPr>
          <w:rtl/>
        </w:rPr>
        <w:t xml:space="preserve">. אני משער שר׳ חיים </w:t>
      </w:r>
      <w:proofErr w:type="spellStart"/>
      <w:r>
        <w:rPr>
          <w:rtl/>
        </w:rPr>
        <w:t>סולובייצ׳יק</w:t>
      </w:r>
      <w:proofErr w:type="spellEnd"/>
      <w:r>
        <w:rPr>
          <w:rtl/>
        </w:rPr>
        <w:t xml:space="preserve"> הוא שהמליץ מלכתחילה למנהיגי קובנה על ר׳ </w:t>
      </w:r>
      <w:proofErr w:type="spellStart"/>
      <w:r>
        <w:rPr>
          <w:rtl/>
        </w:rPr>
        <w:t>זלמן־סנדר</w:t>
      </w:r>
      <w:proofErr w:type="spellEnd"/>
      <w:r>
        <w:rPr>
          <w:rtl/>
        </w:rPr>
        <w:t xml:space="preserve"> למשרת ראש כנסת בית יצחק – כשם שהמליץ אחר כך על ר׳ </w:t>
      </w:r>
      <w:proofErr w:type="spellStart"/>
      <w:r>
        <w:rPr>
          <w:rtl/>
        </w:rPr>
        <w:t>ברוך־בער</w:t>
      </w:r>
      <w:proofErr w:type="spellEnd"/>
      <w:r>
        <w:rPr>
          <w:rtl/>
        </w:rPr>
        <w:t xml:space="preserve"> </w:t>
      </w:r>
      <w:proofErr w:type="spellStart"/>
      <w:r>
        <w:rPr>
          <w:rtl/>
        </w:rPr>
        <w:t>ליבוביץ</w:t>
      </w:r>
      <w:proofErr w:type="spellEnd"/>
      <w:r>
        <w:rPr>
          <w:rtl/>
        </w:rPr>
        <w:t xml:space="preserve"> למשרה זו.</w:t>
      </w:r>
      <w:bookmarkStart w:id="1747" w:name="_fnr1128"/>
      <w:r>
        <w:rPr>
          <w:rStyle w:val="a5"/>
        </w:rPr>
        <w:footnoteReference w:id="1131" w:customMarkFollows="0"/>
      </w:r>
      <w:bookmarkEnd w:id="1747"/>
    </w:p>
    <w:bookmarkStart w:id="1748" w:name="b3_note49"/>
    <w:p w14:paraId="35836E9B" w14:textId="42221FDD" w:rsidR="00AB3647" w:rsidRDefault="00000000" w:rsidP="007923E9">
      <w:pPr>
        <w:spacing w:before="120" w:after="100" w:line="276" w:lineRule="auto"/>
        <w:jc w:val="both"/>
      </w:pPr>
      <w:r>
        <w:fldChar w:fldCharType="begin" w:dirty="true"/>
      </w:r>
      <w:r>
        <w:instrText>HYPERLINK \l "b3_ref49"</w:instrText>
      </w:r>
      <w:r>
        <w:fldChar w:fldCharType="separate"/>
      </w:r>
      <w:r>
        <w:rPr>
          <w:b/>
          <w:bCs/>
          <w:rtl/>
        </w:rPr>
        <w:t>49</w:t>
      </w:r>
      <w:r>
        <w:rPr>
          <w:b/>
          <w:bCs/>
        </w:rPr>
        <w:fldChar w:fldCharType="end"/>
      </w:r>
      <w:bookmarkEnd w:id="1748"/>
      <w:r>
        <w:rPr>
          <w:rtl/>
        </w:rPr>
        <w:t xml:space="preserve"> ראה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1749" w:name="b3_note50"/>
    <w:p w14:paraId="0E370C66" w14:textId="322D464A" w:rsidR="00AB3647" w:rsidRDefault="00000000" w:rsidP="007923E9">
      <w:pPr>
        <w:spacing w:before="120" w:after="100" w:line="276" w:lineRule="auto"/>
        <w:jc w:val="both"/>
      </w:pPr>
      <w:r>
        <w:fldChar w:fldCharType="begin" w:dirty="true"/>
      </w:r>
      <w:r>
        <w:instrText>HYPERLINK \l "b3_ref50"</w:instrText>
      </w:r>
      <w:r>
        <w:fldChar w:fldCharType="separate"/>
      </w:r>
      <w:r>
        <w:rPr>
          <w:b/>
          <w:bCs/>
          <w:rtl/>
        </w:rPr>
        <w:t>50</w:t>
      </w:r>
      <w:r>
        <w:rPr>
          <w:b/>
          <w:bCs/>
        </w:rPr>
        <w:fldChar w:fldCharType="end"/>
      </w:r>
      <w:bookmarkEnd w:id="1749"/>
      <w:r>
        <w:rPr>
          <w:rtl/>
        </w:rPr>
        <w:t xml:space="preserve"> ר׳ דוד שווי סיפר</w:t>
      </w:r>
      <w:bookmarkStart w:id="1750" w:name="_fnr1129"/>
      <w:r>
        <w:rPr>
          <w:rStyle w:val="a5"/>
        </w:rPr>
        <w:footnoteReference w:id="1132" w:customMarkFollows="0"/>
      </w:r>
      <w:bookmarkEnd w:id="1750"/>
      <w:r>
        <w:rPr>
          <w:rtl/>
        </w:rPr>
        <w:t xml:space="preserve"> שאביו, ר׳ </w:t>
      </w:r>
      <w:proofErr w:type="spellStart"/>
      <w:r>
        <w:rPr>
          <w:rtl/>
        </w:rPr>
        <w:t>שמואל־לייב</w:t>
      </w:r>
      <w:proofErr w:type="spellEnd"/>
      <w:r>
        <w:rPr>
          <w:rtl/>
        </w:rPr>
        <w:t xml:space="preserve">, אמר לו שבא </w:t>
      </w:r>
      <w:proofErr w:type="spellStart"/>
      <w:r>
        <w:rPr>
          <w:rtl/>
        </w:rPr>
        <w:t>לסלבודקה</w:t>
      </w:r>
      <w:proofErr w:type="spellEnd"/>
      <w:r>
        <w:rPr>
          <w:rtl/>
        </w:rPr>
        <w:t xml:space="preserve"> בהיותו בן </w:t>
      </w:r>
      <w:proofErr w:type="spellStart"/>
      <w:r>
        <w:rPr>
          <w:rtl/>
        </w:rPr>
        <w:t>שתים־עשרה</w:t>
      </w:r>
      <w:proofErr w:type="spellEnd"/>
      <w:r>
        <w:rPr>
          <w:rtl/>
        </w:rPr>
        <w:t xml:space="preserve"> – כלומר, </w:t>
      </w:r>
      <w:proofErr w:type="spellStart"/>
      <w:r>
        <w:rPr>
          <w:rtl/>
        </w:rPr>
        <w:t>בתרס״ב</w:t>
      </w:r>
      <w:proofErr w:type="spellEnd"/>
      <w:r>
        <w:rPr>
          <w:rtl/>
        </w:rPr>
        <w:t xml:space="preserve"> – ללמוד אצל ר׳ </w:t>
      </w:r>
      <w:proofErr w:type="spellStart"/>
      <w:r>
        <w:rPr>
          <w:rtl/>
        </w:rPr>
        <w:t>ברוך־בער</w:t>
      </w:r>
      <w:proofErr w:type="spellEnd"/>
      <w:r>
        <w:rPr>
          <w:rtl/>
        </w:rPr>
        <w:t xml:space="preserve">. אבל זהו תאריך מוקדם מדי לבואו של ר׳ </w:t>
      </w:r>
      <w:proofErr w:type="spellStart"/>
      <w:r>
        <w:rPr>
          <w:rtl/>
        </w:rPr>
        <w:t>ברוך־בער</w:t>
      </w:r>
      <w:proofErr w:type="spellEnd"/>
      <w:r>
        <w:rPr>
          <w:rtl/>
        </w:rPr>
        <w:t xml:space="preserve"> </w:t>
      </w:r>
      <w:proofErr w:type="spellStart"/>
      <w:r>
        <w:rPr>
          <w:rtl/>
        </w:rPr>
        <w:t>לסלבודקה</w:t>
      </w:r>
      <w:proofErr w:type="spellEnd"/>
      <w:r>
        <w:rPr>
          <w:rtl/>
        </w:rPr>
        <w:t>, כפי שנאמר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לפי סיפור ר׳ </w:t>
      </w:r>
      <w:proofErr w:type="spellStart"/>
      <w:r>
        <w:rPr>
          <w:rtl/>
        </w:rPr>
        <w:t>ברוך־בער</w:t>
      </w:r>
      <w:bookmarkStart w:id="1751" w:name="_fnr1130"/>
      <w:proofErr w:type="spellEnd"/>
      <w:r>
        <w:rPr>
          <w:rStyle w:val="a5"/>
        </w:rPr>
        <w:footnoteReference w:id="1133" w:customMarkFollows="0"/>
      </w:r>
      <w:bookmarkEnd w:id="1751"/>
      <w:r>
        <w:rPr>
          <w:rtl/>
        </w:rPr>
        <w:t xml:space="preserve"> ומאמר זיכרון מאת הרב יצחק אדלשטיין,</w:t>
      </w:r>
      <w:bookmarkStart w:id="1752" w:name="_fnr1131"/>
      <w:r>
        <w:rPr>
          <w:rStyle w:val="a5"/>
        </w:rPr>
        <w:footnoteReference w:id="1134" w:customMarkFollows="0"/>
      </w:r>
      <w:bookmarkEnd w:id="1752"/>
      <w:r>
        <w:rPr>
          <w:rtl/>
        </w:rPr>
        <w:t xml:space="preserve"> הדבר אירע כפי שנאמר כאן.</w:t>
      </w:r>
      <w:bookmarkStart w:id="1753" w:name="_fnr1132"/>
      <w:r>
        <w:rPr>
          <w:rStyle w:val="a5"/>
        </w:rPr>
        <w:footnoteReference w:id="1135" w:customMarkFollows="0"/>
      </w:r>
      <w:bookmarkEnd w:id="1753"/>
    </w:p>
    <w:p w14:paraId="70E36198" w14:textId="0DEE5908" w:rsidR="00AB3647" w:rsidRDefault="00000000" w:rsidP="007923E9">
      <w:pPr>
        <w:spacing w:before="120" w:after="100" w:line="276" w:lineRule="auto"/>
        <w:jc w:val="both"/>
      </w:pPr>
      <w:r>
        <w:rPr>
          <w:rtl/>
        </w:rPr>
        <w:t xml:space="preserve">אפשר שר׳ </w:t>
      </w:r>
      <w:proofErr w:type="spellStart"/>
      <w:r>
        <w:rPr>
          <w:rtl/>
        </w:rPr>
        <w:t>שמואל־לייב</w:t>
      </w:r>
      <w:proofErr w:type="spellEnd"/>
      <w:r>
        <w:rPr>
          <w:rtl/>
        </w:rPr>
        <w:t xml:space="preserve"> בא ללמוד </w:t>
      </w:r>
      <w:proofErr w:type="spellStart"/>
      <w:r>
        <w:rPr>
          <w:rtl/>
        </w:rPr>
        <w:t>בסלבודקה</w:t>
      </w:r>
      <w:proofErr w:type="spellEnd"/>
      <w:r>
        <w:rPr>
          <w:rtl/>
        </w:rPr>
        <w:t xml:space="preserve"> בגיל </w:t>
      </w:r>
      <w:proofErr w:type="spellStart"/>
      <w:r>
        <w:rPr>
          <w:rtl/>
        </w:rPr>
        <w:t>שתים־עשרה</w:t>
      </w:r>
      <w:proofErr w:type="spellEnd"/>
      <w:r>
        <w:rPr>
          <w:rtl/>
        </w:rPr>
        <w:t xml:space="preserve">, ורק אחר כך הצטרף לישיבתו של ר׳ </w:t>
      </w:r>
      <w:proofErr w:type="spellStart"/>
      <w:r>
        <w:rPr>
          <w:rtl/>
        </w:rPr>
        <w:t>ברוך־בער</w:t>
      </w:r>
      <w:proofErr w:type="spellEnd"/>
      <w:r>
        <w:rPr>
          <w:rtl/>
        </w:rPr>
        <w:t xml:space="preserve">. בשנתיים שבינתיים למד במקום אחר בעיר – בישיבת ר׳ </w:t>
      </w:r>
      <w:proofErr w:type="spellStart"/>
      <w:r>
        <w:rPr>
          <w:rtl/>
        </w:rPr>
        <w:t>הירשל׳ה</w:t>
      </w:r>
      <w:proofErr w:type="spellEnd"/>
      <w:r>
        <w:rPr>
          <w:rtl/>
        </w:rPr>
        <w:t xml:space="preserve">, או, סביר יותר, אצל הסבא, ששם למדו שני אחיו הגדולים. כשסרו השניים מן הדרך, כפי שסופר בפסקה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העבירו הוריו את </w:t>
      </w:r>
      <w:proofErr w:type="spellStart"/>
      <w:r>
        <w:rPr>
          <w:rtl/>
        </w:rPr>
        <w:t>שמואל־לייב</w:t>
      </w:r>
      <w:proofErr w:type="spellEnd"/>
      <w:r>
        <w:rPr>
          <w:rtl/>
        </w:rPr>
        <w:t xml:space="preserve"> לישיבתו של ר׳ </w:t>
      </w:r>
      <w:proofErr w:type="spellStart"/>
      <w:r>
        <w:rPr>
          <w:rtl/>
        </w:rPr>
        <w:t>ברוך־בער</w:t>
      </w:r>
      <w:proofErr w:type="spellEnd"/>
      <w:r>
        <w:rPr>
          <w:rtl/>
        </w:rPr>
        <w:t>.</w:t>
      </w:r>
    </w:p>
    <w:p w14:paraId="5E23FB6E" w14:textId="19A8CD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בכנסת ישראל הייתה עתה ההכוונה החינוכית כולה ביד הסבא </w:t>
      </w:r>
      <w:proofErr w:type="spellStart"/>
      <w:r>
        <w:rPr>
          <w:rtl/>
        </w:rPr>
        <w:t>מסלבודקה</w:t>
      </w:r>
      <w:proofErr w:type="spellEnd"/>
      <w:r>
        <w:rPr>
          <w:rtl/>
        </w:rPr>
        <w:t xml:space="preserve">. דרך המוסר של ר׳ </w:t>
      </w:r>
      <w:proofErr w:type="spellStart"/>
      <w:r>
        <w:rPr>
          <w:rtl/>
        </w:rPr>
        <w:t>איצל׳ה</w:t>
      </w:r>
      <w:proofErr w:type="spellEnd"/>
      <w:r>
        <w:rPr>
          <w:rtl/>
        </w:rPr>
        <w:t xml:space="preserve"> </w:t>
      </w:r>
      <w:proofErr w:type="spellStart"/>
      <w:r>
        <w:rPr>
          <w:rtl/>
        </w:rPr>
        <w:t>בלאזר</w:t>
      </w:r>
      <w:proofErr w:type="spellEnd"/>
      <w:r>
        <w:rPr>
          <w:rtl/>
        </w:rPr>
        <w:t xml:space="preserve">, שעיקרה תוכחה עצמית ושלטה קודם לכן בקרב אנשי המוסר </w:t>
      </w:r>
      <w:proofErr w:type="spellStart"/>
      <w:r>
        <w:rPr>
          <w:rtl/>
        </w:rPr>
        <w:t>בסלבודקה</w:t>
      </w:r>
      <w:proofErr w:type="spellEnd"/>
      <w:r>
        <w:rPr>
          <w:rtl/>
        </w:rPr>
        <w:t>, השתנתה</w:t>
      </w:r>
      <w:bookmarkStart w:id="1754" w:name="b3_ref51"/>
      <w:bookmarkEnd w:id="1754"/>
      <w:r>
        <w:rPr>
          <w:vertAlign w:val="superscript"/>
          <w:rtl/>
        </w:rPr>
        <w:fldChar w:fldCharType="begin" w:dirty="true"/>
      </w:r>
      <w:r>
        <w:rPr>
          <w:vertAlign w:val="superscript"/>
          <w:rtl/>
        </w:rPr>
        <w:instrText xml:space="preserve"> REF b3_note51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 xml:space="preserve"> שם לדרך פילוסופית יותר.</w:t>
      </w:r>
      <w:bookmarkStart w:id="1755" w:name="b3_ref52"/>
      <w:bookmarkEnd w:id="1755"/>
      <w:r>
        <w:rPr>
          <w:vertAlign w:val="superscript"/>
          <w:rtl/>
        </w:rPr>
        <w:fldChar w:fldCharType="begin" w:dirty="true"/>
      </w:r>
      <w:r>
        <w:rPr>
          <w:vertAlign w:val="superscript"/>
          <w:rtl/>
        </w:rPr>
        <w:instrText xml:space="preserve"> REF b3_note52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בישיבה החל לצמוח בן תורה מעמיק במחשבתו. כנסת ישראל גדלה גם במספר תלמידיה, השתוותה לכנסת בית יצחק ולבסוף אף עלתה עליה.</w:t>
      </w:r>
      <w:bookmarkStart w:id="1756" w:name="b3_ref53"/>
      <w:bookmarkEnd w:id="1756"/>
      <w:r>
        <w:rPr>
          <w:vertAlign w:val="superscript"/>
          <w:rtl/>
        </w:rPr>
        <w:fldChar w:fldCharType="begin" w:dirty="true"/>
      </w:r>
      <w:r>
        <w:rPr>
          <w:vertAlign w:val="superscript"/>
          <w:rtl/>
        </w:rPr>
        <w:instrText xml:space="preserve"> REF b3_note53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p>
    <w:bookmarkStart w:id="1757" w:name="b3_note51"/>
    <w:p w14:paraId="25718481" w14:textId="77777777" w:rsidR="00AB3647" w:rsidRDefault="00000000" w:rsidP="007923E9">
      <w:pPr>
        <w:spacing w:before="120" w:after="100" w:line="276" w:lineRule="auto"/>
        <w:jc w:val="both"/>
      </w:pPr>
      <w:r>
        <w:fldChar w:fldCharType="begin" w:dirty="true"/>
      </w:r>
      <w:r>
        <w:instrText>HYPERLINK \l "b3_ref51"</w:instrText>
      </w:r>
      <w:r>
        <w:fldChar w:fldCharType="separate"/>
      </w:r>
      <w:r>
        <w:rPr>
          <w:b/>
          <w:bCs/>
          <w:rtl/>
        </w:rPr>
        <w:t>51</w:t>
      </w:r>
      <w:r>
        <w:rPr>
          <w:b/>
          <w:bCs/>
        </w:rPr>
        <w:fldChar w:fldCharType="end"/>
      </w:r>
      <w:bookmarkEnd w:id="1757"/>
      <w:r>
        <w:rPr>
          <w:rtl/>
        </w:rPr>
        <w:t xml:space="preserve"> אבי הגדיר את ההבדל באומרו שהסבא דחה את גישת ההתעוררות לטובת שיטה של לומדות. “שרידי אש” אומר:</w:t>
      </w:r>
      <w:bookmarkStart w:id="1758" w:name="_fnr1133"/>
      <w:r>
        <w:rPr>
          <w:rStyle w:val="a5"/>
        </w:rPr>
        <w:footnoteReference w:id="1136" w:customMarkFollows="0"/>
      </w:r>
      <w:bookmarkEnd w:id="1758"/>
      <w:r>
        <w:rPr>
          <w:rtl/>
        </w:rPr>
        <w:t xml:space="preserve"> “הסבא היה הראשון שמיזג לומדות ומוסר וקשר אותם יחד. </w:t>
      </w:r>
      <w:proofErr w:type="spellStart"/>
      <w:r>
        <w:rPr>
          <w:rtl/>
        </w:rPr>
        <w:lastRenderedPageBreak/>
        <w:t>ב‘שיחותיו</w:t>
      </w:r>
      <w:proofErr w:type="spellEnd"/>
      <w:r>
        <w:rPr>
          <w:rtl/>
        </w:rPr>
        <w:t>’ הנפלאות הרכיב מוסר בהלכה והלכה במוסר, והראה בראיות מאירות עיניים שלומדות ומוסר הן ‘שתים שהן אחת’, ולא זו בלבד שאינן מתחרות זו בזו, אלא שהן משלימות זו את זו. הסבא אמר:</w:t>
      </w:r>
      <w:bookmarkStart w:id="1759" w:name="_fnr1134"/>
      <w:bookmarkStart w:id="1760" w:name="pr_f_1053"/>
      <w:r>
        <w:rPr>
          <w:rStyle w:val="a5"/>
        </w:rPr>
        <w:footnoteReference w:id="1137" w:customMarkFollows="0"/>
      </w:r>
      <w:bookmarkEnd w:id="1759"/>
      <w:bookmarkEnd w:id="1760"/>
      <w:r>
        <w:rPr>
          <w:rtl/>
        </w:rPr>
        <w:t xml:space="preserve"> ‘המוסר אינו דבר של הפקר ואינו מסור לחופש הדמיון וההתלהטות הרגשית. עליו להיבנות על יסוד מוצק של ההיגיון הבריא והיציב של המחשבה ההלכתית. מוסר שאינו קשור </w:t>
      </w:r>
      <w:proofErr w:type="spellStart"/>
      <w:r>
        <w:rPr>
          <w:rtl/>
        </w:rPr>
        <w:t>בצינורותי</w:t>
      </w:r>
      <w:proofErr w:type="spellEnd"/>
      <w:r>
        <w:rPr>
          <w:rtl/>
        </w:rPr>
        <w:t>’ של ההלכה סופו להיות סוטה למדבר של ההזי’ הדמיונית.’”</w:t>
      </w:r>
    </w:p>
    <w:p w14:paraId="0EF4FEAA" w14:textId="77777777" w:rsidR="00AB3647" w:rsidRDefault="00000000" w:rsidP="007923E9">
      <w:pPr>
        <w:spacing w:before="120" w:after="100" w:line="276" w:lineRule="auto"/>
        <w:jc w:val="both"/>
      </w:pPr>
      <w:r>
        <w:rPr>
          <w:rtl/>
        </w:rPr>
        <w:t xml:space="preserve">אבי אמר בריאיון המוקלט על הסבא </w:t>
      </w:r>
      <w:proofErr w:type="spellStart"/>
      <w:r>
        <w:rPr>
          <w:rtl/>
        </w:rPr>
        <w:t>מסלבודקה</w:t>
      </w:r>
      <w:proofErr w:type="spellEnd"/>
      <w:r>
        <w:rPr>
          <w:rtl/>
        </w:rPr>
        <w:t xml:space="preserve"> שר׳ </w:t>
      </w:r>
      <w:proofErr w:type="spellStart"/>
      <w:r>
        <w:rPr>
          <w:rtl/>
        </w:rPr>
        <w:t>איצל׳ה</w:t>
      </w:r>
      <w:proofErr w:type="spellEnd"/>
      <w:r>
        <w:rPr>
          <w:rtl/>
        </w:rPr>
        <w:t xml:space="preserve"> </w:t>
      </w:r>
      <w:proofErr w:type="spellStart"/>
      <w:r>
        <w:rPr>
          <w:rtl/>
        </w:rPr>
        <w:t>בלאזר</w:t>
      </w:r>
      <w:proofErr w:type="spellEnd"/>
      <w:r>
        <w:rPr>
          <w:rtl/>
        </w:rPr>
        <w:t xml:space="preserve"> היה מפיץ רב השפעה של דרכו במוסר. הוא שהשפיע על ר׳ יוזל </w:t>
      </w:r>
      <w:proofErr w:type="spellStart"/>
      <w:r>
        <w:rPr>
          <w:rtl/>
        </w:rPr>
        <w:t>הורוויץ</w:t>
      </w:r>
      <w:proofErr w:type="spellEnd"/>
      <w:r>
        <w:rPr>
          <w:rtl/>
        </w:rPr>
        <w:t xml:space="preserve"> לעזוב את עסקיו – אף שהתנגד להתבודדות שגזר ר׳ יוזל על עצמו ונמשכה יותר מעשר שנים</w:t>
      </w:r>
      <w:bookmarkStart w:id="1761" w:name="_fnr1135"/>
      <w:r>
        <w:rPr>
          <w:rStyle w:val="a5"/>
        </w:rPr>
        <w:footnoteReference w:id="1138" w:customMarkFollows="0"/>
      </w:r>
      <w:bookmarkEnd w:id="1761"/>
      <w:r>
        <w:rPr>
          <w:rtl/>
        </w:rPr>
        <w:t xml:space="preserve"> – וליצור את דרך “מוסר </w:t>
      </w:r>
      <w:proofErr w:type="spellStart"/>
      <w:r>
        <w:rPr>
          <w:rtl/>
        </w:rPr>
        <w:t>נובהרדוק</w:t>
      </w:r>
      <w:proofErr w:type="spellEnd"/>
      <w:r>
        <w:rPr>
          <w:rtl/>
        </w:rPr>
        <w:t xml:space="preserve">”, </w:t>
      </w:r>
      <w:proofErr w:type="spellStart"/>
      <w:r>
        <w:rPr>
          <w:rtl/>
        </w:rPr>
        <w:t>שסלבודקה</w:t>
      </w:r>
      <w:proofErr w:type="spellEnd"/>
      <w:r>
        <w:rPr>
          <w:rtl/>
        </w:rPr>
        <w:t xml:space="preserve"> בזה לה. הסבא </w:t>
      </w:r>
      <w:proofErr w:type="spellStart"/>
      <w:r>
        <w:rPr>
          <w:rtl/>
        </w:rPr>
        <w:t>מסלבודקה</w:t>
      </w:r>
      <w:proofErr w:type="spellEnd"/>
      <w:r>
        <w:rPr>
          <w:rtl/>
        </w:rPr>
        <w:t xml:space="preserve"> השתמש בכינוי “</w:t>
      </w:r>
      <w:proofErr w:type="spellStart"/>
      <w:r>
        <w:rPr>
          <w:rtl/>
        </w:rPr>
        <w:t>נובהרדוקר</w:t>
      </w:r>
      <w:proofErr w:type="spellEnd"/>
      <w:r>
        <w:rPr>
          <w:rtl/>
        </w:rPr>
        <w:t>” כביטוי גנאי לנזיפה בתלמיד.</w:t>
      </w:r>
    </w:p>
    <w:p w14:paraId="67DA8344" w14:textId="77777777" w:rsidR="00AB3647" w:rsidRDefault="00000000" w:rsidP="007923E9">
      <w:pPr>
        <w:spacing w:before="120" w:after="100" w:line="276" w:lineRule="auto"/>
        <w:jc w:val="both"/>
      </w:pPr>
      <w:r>
        <w:rPr>
          <w:rtl/>
        </w:rPr>
        <w:t xml:space="preserve">גם יחסן של ישיבות </w:t>
      </w:r>
      <w:proofErr w:type="spellStart"/>
      <w:r>
        <w:rPr>
          <w:rtl/>
        </w:rPr>
        <w:t>נובהרדוק</w:t>
      </w:r>
      <w:proofErr w:type="spellEnd"/>
      <w:r>
        <w:rPr>
          <w:rtl/>
        </w:rPr>
        <w:t xml:space="preserve"> </w:t>
      </w:r>
      <w:proofErr w:type="spellStart"/>
      <w:r>
        <w:rPr>
          <w:rtl/>
        </w:rPr>
        <w:t>לסלבודקה</w:t>
      </w:r>
      <w:proofErr w:type="spellEnd"/>
      <w:r>
        <w:rPr>
          <w:rtl/>
        </w:rPr>
        <w:t xml:space="preserve"> היה שלילי. לא היה נדיר שתלמידים יעברו מישיבה לישיבה ברשות ראש ישיבתם, אפילו בין ישיבות מוסר </w:t>
      </w:r>
      <w:proofErr w:type="spellStart"/>
      <w:r>
        <w:rPr>
          <w:rtl/>
        </w:rPr>
        <w:t>שגישותיהן</w:t>
      </w:r>
      <w:proofErr w:type="spellEnd"/>
      <w:r>
        <w:rPr>
          <w:rtl/>
        </w:rPr>
        <w:t xml:space="preserve"> במוסר היו שונות זו מזו. ובכל זאת, שום תלמיד </w:t>
      </w:r>
      <w:proofErr w:type="spellStart"/>
      <w:r>
        <w:rPr>
          <w:rtl/>
        </w:rPr>
        <w:t>נובהרדוק</w:t>
      </w:r>
      <w:proofErr w:type="spellEnd"/>
      <w:r>
        <w:rPr>
          <w:rtl/>
        </w:rPr>
        <w:t xml:space="preserve"> לא היה מקבל מרבותיו רשות לעבור </w:t>
      </w:r>
      <w:proofErr w:type="spellStart"/>
      <w:r>
        <w:rPr>
          <w:rtl/>
        </w:rPr>
        <w:t>לסלבודקה</w:t>
      </w:r>
      <w:proofErr w:type="spellEnd"/>
      <w:r>
        <w:rPr>
          <w:rtl/>
        </w:rPr>
        <w:t>.</w:t>
      </w:r>
      <w:bookmarkStart w:id="1762" w:name="_fnr1136"/>
      <w:r>
        <w:rPr>
          <w:rStyle w:val="a5"/>
        </w:rPr>
        <w:footnoteReference w:id="1139" w:customMarkFollows="0"/>
      </w:r>
      <w:bookmarkEnd w:id="1762"/>
    </w:p>
    <w:p w14:paraId="44EABACB" w14:textId="77777777" w:rsidR="00AB3647" w:rsidRDefault="00000000" w:rsidP="007923E9">
      <w:pPr>
        <w:spacing w:after="100" w:line="276" w:lineRule="auto"/>
        <w:ind w:firstLine="340"/>
        <w:jc w:val="both"/>
      </w:pPr>
      <w:r>
        <w:rPr>
          <w:rtl/>
        </w:rPr>
        <w:t xml:space="preserve">רבנו הרחיק לכת עוד יותר ואמר שמאחר שר׳ </w:t>
      </w:r>
      <w:proofErr w:type="spellStart"/>
      <w:r>
        <w:rPr>
          <w:rtl/>
        </w:rPr>
        <w:t>איצל׳ה</w:t>
      </w:r>
      <w:proofErr w:type="spellEnd"/>
      <w:r>
        <w:rPr>
          <w:rtl/>
        </w:rPr>
        <w:t xml:space="preserve"> </w:t>
      </w:r>
      <w:proofErr w:type="spellStart"/>
      <w:r>
        <w:rPr>
          <w:rtl/>
        </w:rPr>
        <w:t>בלאזר</w:t>
      </w:r>
      <w:proofErr w:type="spellEnd"/>
      <w:r>
        <w:rPr>
          <w:rtl/>
        </w:rPr>
        <w:t xml:space="preserve"> היה גאון, ספרו “אור ישראל”</w:t>
      </w:r>
      <w:bookmarkStart w:id="1763" w:name="_fnr1137"/>
      <w:r>
        <w:rPr>
          <w:rStyle w:val="a5"/>
        </w:rPr>
        <w:footnoteReference w:id="1140" w:customMarkFollows="0"/>
      </w:r>
      <w:bookmarkEnd w:id="1763"/>
      <w:r>
        <w:rPr>
          <w:rtl/>
        </w:rPr>
        <w:t xml:space="preserve"> אינו מציג בהכרח את דרכו של ר׳ ישראל </w:t>
      </w:r>
      <w:proofErr w:type="spellStart"/>
      <w:r>
        <w:rPr>
          <w:rtl/>
        </w:rPr>
        <w:t>סלנטר</w:t>
      </w:r>
      <w:proofErr w:type="spellEnd"/>
      <w:r>
        <w:rPr>
          <w:rtl/>
        </w:rPr>
        <w:t xml:space="preserve"> במוסר, אלא רק את האופן שבו </w:t>
      </w:r>
      <w:r>
        <w:rPr>
          <w:b/>
          <w:bCs/>
          <w:rtl/>
        </w:rPr>
        <w:t xml:space="preserve">פירש אותה ר׳ </w:t>
      </w:r>
      <w:proofErr w:type="spellStart"/>
      <w:r>
        <w:rPr>
          <w:b/>
          <w:bCs/>
          <w:rtl/>
        </w:rPr>
        <w:t>איצל׳ה</w:t>
      </w:r>
      <w:proofErr w:type="spellEnd"/>
      <w:r>
        <w:rPr>
          <w:b/>
          <w:bCs/>
          <w:rtl/>
        </w:rPr>
        <w:t>.</w:t>
      </w:r>
      <w:r>
        <w:rPr>
          <w:rtl/>
        </w:rPr>
        <w:t xml:space="preserve"> במפגש ירוחם</w:t>
      </w:r>
      <w:bookmarkStart w:id="1764" w:name="_fnr1138"/>
      <w:r>
        <w:rPr>
          <w:rStyle w:val="a5"/>
        </w:rPr>
        <w:footnoteReference w:id="1141" w:customMarkFollows="0"/>
      </w:r>
      <w:bookmarkEnd w:id="1764"/>
      <w:r>
        <w:rPr>
          <w:rtl/>
        </w:rPr>
        <w:t xml:space="preserve"> הוסיף את המסקנה הנובעת מכך: “מה רצה ר׳ ישראל </w:t>
      </w:r>
      <w:proofErr w:type="spellStart"/>
      <w:r>
        <w:rPr>
          <w:rtl/>
        </w:rPr>
        <w:t>סלנטר</w:t>
      </w:r>
      <w:proofErr w:type="spellEnd"/>
      <w:r>
        <w:rPr>
          <w:rtl/>
        </w:rPr>
        <w:t xml:space="preserve"> עצמו באמת, אין אנו יכולים לדעת.” אבי השווה תופעה זו לחידושי התורה שביסס ר׳ </w:t>
      </w:r>
      <w:proofErr w:type="spellStart"/>
      <w:r>
        <w:rPr>
          <w:rtl/>
        </w:rPr>
        <w:t>ברוך־בער</w:t>
      </w:r>
      <w:proofErr w:type="spellEnd"/>
      <w:r>
        <w:rPr>
          <w:rtl/>
        </w:rPr>
        <w:t xml:space="preserve"> על דברי רבו ר׳ חיים </w:t>
      </w:r>
      <w:proofErr w:type="spellStart"/>
      <w:r>
        <w:rPr>
          <w:rtl/>
        </w:rPr>
        <w:t>סולובייצ׳יק</w:t>
      </w:r>
      <w:proofErr w:type="spellEnd"/>
      <w:r>
        <w:rPr>
          <w:rtl/>
        </w:rPr>
        <w:t xml:space="preserve">. תלמידים אחרים של ר׳ חיים, ובייחוד בני משפחתו, פירשו את הדברים בדרכים שונות לחלוטין מכפי שהבינם ר׳ </w:t>
      </w:r>
      <w:proofErr w:type="spellStart"/>
      <w:r>
        <w:rPr>
          <w:rtl/>
        </w:rPr>
        <w:t>ברוך־בער</w:t>
      </w:r>
      <w:proofErr w:type="spellEnd"/>
      <w:r>
        <w:rPr>
          <w:rtl/>
        </w:rPr>
        <w:t>.</w:t>
      </w:r>
    </w:p>
    <w:p w14:paraId="7C0CD795" w14:textId="77777777" w:rsidR="00AB3647" w:rsidRDefault="00000000" w:rsidP="007923E9">
      <w:pPr>
        <w:spacing w:after="100" w:line="276" w:lineRule="auto"/>
        <w:ind w:firstLine="340"/>
        <w:jc w:val="both"/>
      </w:pPr>
      <w:r>
        <w:rPr>
          <w:rtl/>
        </w:rPr>
        <w:t xml:space="preserve">ר׳ </w:t>
      </w:r>
      <w:proofErr w:type="spellStart"/>
      <w:r>
        <w:rPr>
          <w:rtl/>
        </w:rPr>
        <w:t>בערל־לייב</w:t>
      </w:r>
      <w:proofErr w:type="spellEnd"/>
      <w:r>
        <w:rPr>
          <w:rtl/>
        </w:rPr>
        <w:t xml:space="preserve"> ברזון סיפר</w:t>
      </w:r>
      <w:bookmarkStart w:id="1765" w:name="_fnr1139"/>
      <w:r>
        <w:rPr>
          <w:rStyle w:val="a5"/>
        </w:rPr>
        <w:footnoteReference w:id="1142" w:customMarkFollows="0"/>
      </w:r>
      <w:bookmarkEnd w:id="1765"/>
      <w:r>
        <w:rPr>
          <w:rtl/>
        </w:rPr>
        <w:t xml:space="preserve"> שבנו של ר׳ חיים, ר׳ משה, אמר שבני </w:t>
      </w:r>
      <w:proofErr w:type="spellStart"/>
      <w:r>
        <w:rPr>
          <w:rtl/>
        </w:rPr>
        <w:t>סולובייצ׳יק</w:t>
      </w:r>
      <w:proofErr w:type="spellEnd"/>
      <w:r>
        <w:rPr>
          <w:rtl/>
        </w:rPr>
        <w:t xml:space="preserve"> סבורים שר׳ </w:t>
      </w:r>
      <w:proofErr w:type="spellStart"/>
      <w:r>
        <w:rPr>
          <w:rtl/>
        </w:rPr>
        <w:t>ברוך־בער</w:t>
      </w:r>
      <w:proofErr w:type="spellEnd"/>
      <w:r>
        <w:rPr>
          <w:rtl/>
        </w:rPr>
        <w:t xml:space="preserve"> “גנב [מהם] את אביהם”. ועיין </w:t>
      </w:r>
      <w:proofErr w:type="spellStart"/>
      <w:r>
        <w:rPr>
          <w:rtl/>
        </w:rPr>
        <w:t>ב“אישים</w:t>
      </w:r>
      <w:proofErr w:type="spellEnd"/>
      <w:r>
        <w:rPr>
          <w:rtl/>
        </w:rPr>
        <w:t xml:space="preserve"> ושיטות” </w:t>
      </w:r>
      <w:proofErr w:type="spellStart"/>
      <w:r>
        <w:rPr>
          <w:rtl/>
        </w:rPr>
        <w:t>להרב</w:t>
      </w:r>
      <w:proofErr w:type="spellEnd"/>
      <w:r>
        <w:rPr>
          <w:rtl/>
        </w:rPr>
        <w:t xml:space="preserve"> שלמה יוסף </w:t>
      </w:r>
      <w:proofErr w:type="spellStart"/>
      <w:r>
        <w:rPr>
          <w:rtl/>
        </w:rPr>
        <w:t>זוין</w:t>
      </w:r>
      <w:proofErr w:type="spellEnd"/>
      <w:r>
        <w:rPr>
          <w:rtl/>
        </w:rPr>
        <w:t xml:space="preserve">, בסוף פרקו על ר׳ ברוך בר, שהביא את דברי הרב אברהם יצחק קוק ליישב את הסתירה בין הגמרא בסוכה דף כ״ח ע״א שרבי אליעזר העיד על עצמו שלא אמר דבר שלא שמע מפי רבו מעולם ובין המאמר באבות דרבי נתן פ״ו שרבי אליעזר ישב ודרש דברים שלא שמעתן אוזן מעולם, ופירש </w:t>
      </w:r>
      <w:proofErr w:type="spellStart"/>
      <w:r>
        <w:rPr>
          <w:rtl/>
        </w:rPr>
        <w:t>ראי״ק</w:t>
      </w:r>
      <w:proofErr w:type="spellEnd"/>
      <w:r>
        <w:rPr>
          <w:rtl/>
        </w:rPr>
        <w:t xml:space="preserve"> </w:t>
      </w:r>
      <w:proofErr w:type="spellStart"/>
      <w:r>
        <w:rPr>
          <w:rtl/>
        </w:rPr>
        <w:t>שר״א</w:t>
      </w:r>
      <w:proofErr w:type="spellEnd"/>
      <w:r>
        <w:rPr>
          <w:rtl/>
        </w:rPr>
        <w:t xml:space="preserve"> שמע [הבין] מפי רבו מה שלא שמעה אוזן של שום איש אחר הימנו.</w:t>
      </w:r>
    </w:p>
    <w:p w14:paraId="13B7672B" w14:textId="77777777" w:rsidR="00AB3647" w:rsidRDefault="00000000" w:rsidP="007923E9">
      <w:pPr>
        <w:spacing w:after="100" w:line="276" w:lineRule="auto"/>
        <w:ind w:firstLine="340"/>
        <w:jc w:val="both"/>
      </w:pPr>
      <w:r>
        <w:rPr>
          <w:rtl/>
        </w:rPr>
        <w:t>השווה גם כץ, “תנועת המוסר”, כרך ב,</w:t>
      </w:r>
      <w:bookmarkStart w:id="1766" w:name="_fnr1140"/>
      <w:r>
        <w:rPr>
          <w:rStyle w:val="a5"/>
        </w:rPr>
        <w:footnoteReference w:id="1143" w:customMarkFollows="0"/>
      </w:r>
      <w:bookmarkEnd w:id="1766"/>
      <w:r>
        <w:rPr>
          <w:rtl/>
        </w:rPr>
        <w:t xml:space="preserve"> האומר שתורת ר׳ ישראל קיבלה צורה שונה כשמסרה ר׳ </w:t>
      </w:r>
      <w:proofErr w:type="spellStart"/>
      <w:r>
        <w:rPr>
          <w:rtl/>
        </w:rPr>
        <w:t>שמחה־זיסל</w:t>
      </w:r>
      <w:proofErr w:type="spellEnd"/>
      <w:r>
        <w:rPr>
          <w:rtl/>
        </w:rPr>
        <w:t xml:space="preserve"> זיו מכפי שקיבלה כשמסרה ר׳ </w:t>
      </w:r>
      <w:proofErr w:type="spellStart"/>
      <w:r>
        <w:rPr>
          <w:rtl/>
        </w:rPr>
        <w:t>איצל׳ה</w:t>
      </w:r>
      <w:proofErr w:type="spellEnd"/>
      <w:r>
        <w:rPr>
          <w:rtl/>
        </w:rPr>
        <w:t xml:space="preserve"> </w:t>
      </w:r>
      <w:proofErr w:type="spellStart"/>
      <w:r>
        <w:rPr>
          <w:rtl/>
        </w:rPr>
        <w:t>בלאזר</w:t>
      </w:r>
      <w:proofErr w:type="spellEnd"/>
      <w:r>
        <w:rPr>
          <w:rtl/>
        </w:rPr>
        <w:t xml:space="preserve">: מן הראשון יצאה </w:t>
      </w:r>
      <w:r>
        <w:rPr>
          <w:rtl/>
        </w:rPr>
        <w:lastRenderedPageBreak/>
        <w:t xml:space="preserve">כהגות פילוסופית, ומן האחרון </w:t>
      </w:r>
      <w:proofErr w:type="spellStart"/>
      <w:r>
        <w:rPr>
          <w:rtl/>
        </w:rPr>
        <w:t>כ“התעוררויות</w:t>
      </w:r>
      <w:proofErr w:type="spellEnd"/>
      <w:r>
        <w:rPr>
          <w:rtl/>
        </w:rPr>
        <w:t xml:space="preserve"> מרגשות”. 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1767" w:name="_fnr1141"/>
      <w:r>
        <w:rPr>
          <w:rStyle w:val="a5"/>
        </w:rPr>
        <w:footnoteReference w:id="1144" w:customMarkFollows="0"/>
      </w:r>
      <w:bookmarkEnd w:id="1767"/>
      <w:r>
        <w:rPr>
          <w:rtl/>
        </w:rPr>
        <w:t xml:space="preserve"> המביא הודעה “יוצאת דופן” של ר׳ ישראל </w:t>
      </w:r>
      <w:proofErr w:type="spellStart"/>
      <w:r>
        <w:rPr>
          <w:rtl/>
        </w:rPr>
        <w:t>סלנטר</w:t>
      </w:r>
      <w:proofErr w:type="spellEnd"/>
      <w:r>
        <w:rPr>
          <w:rtl/>
        </w:rPr>
        <w:t xml:space="preserve"> </w:t>
      </w:r>
      <w:proofErr w:type="spellStart"/>
      <w:r>
        <w:rPr>
          <w:rtl/>
        </w:rPr>
        <w:t>ב“הלבנון</w:t>
      </w:r>
      <w:proofErr w:type="spellEnd"/>
      <w:r>
        <w:rPr>
          <w:rtl/>
        </w:rPr>
        <w:t xml:space="preserve">” </w:t>
      </w:r>
      <w:proofErr w:type="spellStart"/>
      <w:r>
        <w:rPr>
          <w:rtl/>
        </w:rPr>
        <w:t>מתרל״ט</w:t>
      </w:r>
      <w:proofErr w:type="spellEnd"/>
      <w:r>
        <w:rPr>
          <w:rtl/>
        </w:rPr>
        <w:t xml:space="preserve">, </w:t>
      </w:r>
      <w:r>
        <w:rPr>
          <w:b/>
          <w:bCs/>
          <w:rtl/>
        </w:rPr>
        <w:t>ארבע שנים לפני פטירתו</w:t>
      </w:r>
      <w:r>
        <w:rPr>
          <w:rtl/>
        </w:rPr>
        <w:t>. בהודעה הזמין את “תלמידיו ומכיריו, יבורכו, לסלוח לו ולכתוב לו את כתובותיהם בבירור, אולי יעלה בידו להסביר להם את דבריו ומטרתו”. השווה גם כץ, כרך א,</w:t>
      </w:r>
      <w:bookmarkStart w:id="1768" w:name="_fnr1142"/>
      <w:r>
        <w:rPr>
          <w:rStyle w:val="a5"/>
        </w:rPr>
        <w:footnoteReference w:id="1145" w:customMarkFollows="0"/>
      </w:r>
      <w:bookmarkEnd w:id="1768"/>
      <w:r>
        <w:rPr>
          <w:rtl/>
        </w:rPr>
        <w:t xml:space="preserve"> המצטט מכתב שבו מאריך ר׳ </w:t>
      </w:r>
      <w:proofErr w:type="spellStart"/>
      <w:r>
        <w:rPr>
          <w:rtl/>
        </w:rPr>
        <w:t>שמחה־זיסל</w:t>
      </w:r>
      <w:proofErr w:type="spellEnd"/>
      <w:r>
        <w:rPr>
          <w:rtl/>
        </w:rPr>
        <w:t xml:space="preserve"> לתאר כמה מעט הבינו את ר׳ ישראל,</w:t>
      </w:r>
      <w:bookmarkStart w:id="1769" w:name="_fnr1143"/>
      <w:r>
        <w:rPr>
          <w:rStyle w:val="a5"/>
        </w:rPr>
        <w:footnoteReference w:id="1146" w:customMarkFollows="0"/>
      </w:r>
      <w:bookmarkEnd w:id="1769"/>
      <w:r>
        <w:rPr>
          <w:rtl/>
        </w:rPr>
        <w:t xml:space="preserve"> אפילו תלמידיו – והסבא מקלם מנה את עצמו עמהם.</w:t>
      </w:r>
    </w:p>
    <w:p w14:paraId="7DFD8FCB"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סיפר</w:t>
      </w:r>
      <w:bookmarkStart w:id="1770" w:name="_fnr1144"/>
      <w:r>
        <w:rPr>
          <w:rStyle w:val="a5"/>
        </w:rPr>
        <w:footnoteReference w:id="1147" w:customMarkFollows="0"/>
      </w:r>
      <w:bookmarkEnd w:id="1770"/>
      <w:r>
        <w:rPr>
          <w:rtl/>
        </w:rPr>
        <w:t xml:space="preserve"> שאבי אמר לו: “ר׳ ישראל היה הוגה מקורי שעומק מחשבתו לא הובן בדורו; ואילו לא נדד” – הוא חי בשש ערים שונות במערב אירופה, ובשליש האחרון של חייו ביקר בליטא רק לפרקים – “היה גדל עוד הרבה יותר”. אני מציע שעזיבת ר׳ </w:t>
      </w:r>
      <w:proofErr w:type="spellStart"/>
      <w:r>
        <w:rPr>
          <w:rtl/>
        </w:rPr>
        <w:t>איצל׳ה</w:t>
      </w:r>
      <w:proofErr w:type="spellEnd"/>
      <w:r>
        <w:rPr>
          <w:rtl/>
        </w:rPr>
        <w:t xml:space="preserve"> את קובנה </w:t>
      </w:r>
      <w:proofErr w:type="spellStart"/>
      <w:r>
        <w:rPr>
          <w:rtl/>
        </w:rPr>
        <w:t>בתרס״ג</w:t>
      </w:r>
      <w:proofErr w:type="spellEnd"/>
      <w:r>
        <w:rPr>
          <w:rtl/>
        </w:rPr>
        <w:t xml:space="preserve"> ועלייתו לארץ ישראל שנה אחר כך הקלו על הסבא, שהיה בעבר בן חסותו, להינתק לגמרי מדרכו של </w:t>
      </w:r>
      <w:proofErr w:type="spellStart"/>
      <w:r>
        <w:rPr>
          <w:rtl/>
        </w:rPr>
        <w:t>בלאזר</w:t>
      </w:r>
      <w:proofErr w:type="spellEnd"/>
      <w:r>
        <w:rPr>
          <w:rtl/>
        </w:rPr>
        <w:t xml:space="preserve"> במוסר אחרי תרס״ה, כפי שנאמר בסוף סעיף 1 של פרק זה.</w:t>
      </w:r>
    </w:p>
    <w:bookmarkStart w:id="1771" w:name="b3_note52"/>
    <w:p w14:paraId="03826146" w14:textId="7BEC22B0" w:rsidR="00AB3647" w:rsidRDefault="00000000" w:rsidP="007923E9">
      <w:pPr>
        <w:spacing w:before="120" w:after="100" w:line="276" w:lineRule="auto"/>
        <w:jc w:val="both"/>
      </w:pPr>
      <w:r>
        <w:fldChar w:fldCharType="begin" w:dirty="true"/>
      </w:r>
      <w:r>
        <w:instrText>HYPERLINK \l "b3_ref52"</w:instrText>
      </w:r>
      <w:r>
        <w:fldChar w:fldCharType="separate"/>
      </w:r>
      <w:r>
        <w:rPr>
          <w:b/>
          <w:bCs/>
          <w:rtl/>
        </w:rPr>
        <w:t>52</w:t>
      </w:r>
      <w:r>
        <w:rPr>
          <w:b/>
          <w:bCs/>
        </w:rPr>
        <w:fldChar w:fldCharType="end"/>
      </w:r>
      <w:bookmarkEnd w:id="1771"/>
      <w:r>
        <w:rPr>
          <w:rtl/>
        </w:rPr>
        <w:t xml:space="preserve"> ראה סוף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w:t>
      </w:r>
    </w:p>
    <w:bookmarkStart w:id="1772" w:name="b3_note53"/>
    <w:p w14:paraId="3BDA7E17" w14:textId="77777777" w:rsidR="00AB3647" w:rsidRDefault="00000000" w:rsidP="007923E9">
      <w:pPr>
        <w:spacing w:before="120" w:after="100" w:line="276" w:lineRule="auto"/>
        <w:jc w:val="both"/>
      </w:pPr>
      <w:r>
        <w:fldChar w:fldCharType="begin" w:dirty="true"/>
      </w:r>
      <w:r>
        <w:instrText>HYPERLINK \l "b3_ref53"</w:instrText>
      </w:r>
      <w:r>
        <w:fldChar w:fldCharType="separate"/>
      </w:r>
      <w:r>
        <w:rPr>
          <w:b/>
          <w:bCs/>
          <w:rtl/>
        </w:rPr>
        <w:t>53</w:t>
      </w:r>
      <w:r>
        <w:rPr>
          <w:b/>
          <w:bCs/>
        </w:rPr>
        <w:fldChar w:fldCharType="end"/>
      </w:r>
      <w:bookmarkEnd w:id="1772"/>
      <w:r>
        <w:rPr>
          <w:rtl/>
        </w:rPr>
        <w:t xml:space="preserve"> בריאיון המוקלט על הסבא </w:t>
      </w:r>
      <w:proofErr w:type="spellStart"/>
      <w:r>
        <w:rPr>
          <w:rtl/>
        </w:rPr>
        <w:t>מסלבודקה</w:t>
      </w:r>
      <w:proofErr w:type="spellEnd"/>
      <w:r>
        <w:rPr>
          <w:rtl/>
        </w:rPr>
        <w:t xml:space="preserve"> השתמש אבי בביטוי: “הישיבה גדלה ור׳ </w:t>
      </w:r>
      <w:proofErr w:type="spellStart"/>
      <w:r>
        <w:rPr>
          <w:rtl/>
        </w:rPr>
        <w:t>משה־מרדכי</w:t>
      </w:r>
      <w:proofErr w:type="spellEnd"/>
      <w:r>
        <w:rPr>
          <w:rtl/>
        </w:rPr>
        <w:t xml:space="preserve"> גדל.”</w:t>
      </w:r>
      <w:bookmarkStart w:id="1773" w:name="_fnr1145"/>
      <w:r>
        <w:rPr>
          <w:rStyle w:val="a5"/>
        </w:rPr>
        <w:footnoteReference w:id="1148" w:customMarkFollows="0"/>
      </w:r>
      <w:bookmarkEnd w:id="1773"/>
    </w:p>
    <w:p w14:paraId="48241305" w14:textId="4D048C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שינויים אלה באו בעקבות הסערה שהשתוללה בקרב תלמידי שתי הישיבות בראשית שנות </w:t>
      </w:r>
      <w:proofErr w:type="spellStart"/>
      <w:r>
        <w:rPr>
          <w:rtl/>
        </w:rPr>
        <w:t xml:space="preserve">התר״ס</w:t>
      </w:r>
      <w:proofErr w:type="spellEnd"/>
      <w:r>
        <w:rPr>
          <w:rtl/>
        </w:rPr>
        <w:t xml:space="preserve">. בכנסת בית יצחק גרמו המאבקים בין התלמידים הציונים למתנגדי הציונות </w:t>
      </w:r>
      <w:proofErr w:type="spellStart"/>
      <w:r>
        <w:rPr>
          <w:rtl/>
        </w:rPr>
        <w:t>לר</w:t>
      </w:r>
      <w:proofErr w:type="spellEnd"/>
      <w:r>
        <w:rPr>
          <w:rtl/>
        </w:rPr>
        <w:t xml:space="preserve">׳ חיים </w:t>
      </w:r>
      <w:proofErr w:type="spellStart"/>
      <w:r>
        <w:rPr>
          <w:rtl/>
        </w:rPr>
        <w:t>רבינוביץ</w:t>
      </w:r>
      <w:proofErr w:type="spellEnd"/>
      <w:r>
        <w:rPr>
          <w:rtl/>
        </w:rPr>
        <w:t xml:space="preserve"> לעזוב את </w:t>
      </w:r>
      <w:proofErr w:type="spellStart"/>
      <w:r>
        <w:rPr>
          <w:rtl/>
        </w:rPr>
        <w:t>סלבודקה</w:t>
      </w:r>
      <w:proofErr w:type="spellEnd"/>
      <w:r>
        <w:rPr>
          <w:rtl/>
        </w:rPr>
        <w:t xml:space="preserve"> ולקבל משרת הוראה בישיבת טלז.</w:t>
      </w:r>
      <w:bookmarkStart w:id="1774" w:name="b3_ref54"/>
      <w:bookmarkEnd w:id="1774"/>
      <w:r>
        <w:rPr>
          <w:vertAlign w:val="superscript"/>
          <w:rtl/>
        </w:rPr>
        <w:fldChar w:fldCharType="begin" w:dirty="true"/>
      </w:r>
      <w:r>
        <w:rPr>
          <w:vertAlign w:val="superscript"/>
          <w:rtl/>
        </w:rPr>
        <w:instrText xml:space="preserve"> REF b3_note54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xml:space="preserve"> בקרב תלמידי כנסת ישראל הייתה שאלת לימוד המוסר מקור מחלוקת מתמיד.</w:t>
      </w:r>
      <w:bookmarkStart w:id="1775" w:name="b3_ref55"/>
      <w:bookmarkEnd w:id="1775"/>
      <w:r>
        <w:rPr>
          <w:vertAlign w:val="superscript"/>
          <w:rtl/>
        </w:rPr>
        <w:fldChar w:fldCharType="begin" w:dirty="true"/>
      </w:r>
      <w:r>
        <w:rPr>
          <w:vertAlign w:val="superscript"/>
          <w:rtl/>
        </w:rPr>
        <w:instrText xml:space="preserve"> REF b3_note55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p>
    <w:bookmarkStart w:id="1776" w:name="b3_note54"/>
    <w:p w14:paraId="2AFA786A" w14:textId="77777777" w:rsidR="00AB3647" w:rsidRDefault="00000000" w:rsidP="007923E9">
      <w:pPr>
        <w:spacing w:before="120" w:after="100" w:line="276" w:lineRule="auto"/>
        <w:jc w:val="both"/>
      </w:pPr>
      <w:r>
        <w:fldChar w:fldCharType="begin" w:dirty="true"/>
      </w:r>
      <w:r>
        <w:instrText>HYPERLINK \l "b3_ref54"</w:instrText>
      </w:r>
      <w:r>
        <w:fldChar w:fldCharType="separate"/>
      </w:r>
      <w:r>
        <w:rPr>
          <w:b/>
          <w:bCs/>
          <w:rtl/>
        </w:rPr>
        <w:t>54</w:t>
      </w:r>
      <w:r>
        <w:rPr>
          <w:b/>
          <w:bCs/>
        </w:rPr>
        <w:fldChar w:fldCharType="end"/>
      </w:r>
      <w:bookmarkEnd w:id="1776"/>
      <w:r>
        <w:rPr>
          <w:rtl/>
        </w:rPr>
        <w:t xml:space="preserve"> </w:t>
      </w:r>
      <w:proofErr w:type="spellStart"/>
      <w:r>
        <w:rPr>
          <w:rtl/>
        </w:rPr>
        <w:t>דבורץ</w:t>
      </w:r>
      <w:proofErr w:type="spellEnd"/>
      <w:r>
        <w:rPr>
          <w:rtl/>
        </w:rPr>
        <w:t>, “הגאון רבי משה מרדכי אפשטיין”.</w:t>
      </w:r>
      <w:bookmarkStart w:id="1777" w:name="_fnr1146"/>
      <w:r>
        <w:rPr>
          <w:rStyle w:val="a5"/>
        </w:rPr>
        <w:footnoteReference w:id="1149" w:customMarkFollows="0"/>
      </w:r>
      <w:bookmarkEnd w:id="1777"/>
      <w:r>
        <w:rPr>
          <w:rtl/>
        </w:rPr>
        <w:t xml:space="preserve"> </w:t>
      </w:r>
      <w:proofErr w:type="spellStart"/>
      <w:r>
        <w:rPr>
          <w:rtl/>
        </w:rPr>
        <w:t>טלז</w:t>
      </w:r>
      <w:proofErr w:type="spellEnd"/>
      <w:r>
        <w:rPr>
          <w:rtl/>
        </w:rPr>
        <w:t xml:space="preserve"> לא הייתה טובה מכנסת בית יצחק,</w:t>
      </w:r>
      <w:bookmarkStart w:id="1778" w:name="_fnr1147"/>
      <w:r>
        <w:rPr>
          <w:rStyle w:val="a5"/>
        </w:rPr>
        <w:footnoteReference w:id="1150" w:customMarkFollows="0"/>
      </w:r>
      <w:bookmarkEnd w:id="1778"/>
      <w:r>
        <w:rPr>
          <w:rtl/>
        </w:rPr>
        <w:t xml:space="preserve"> אבל שם היה ר׳ חיים </w:t>
      </w:r>
      <w:proofErr w:type="spellStart"/>
      <w:r>
        <w:rPr>
          <w:rtl/>
        </w:rPr>
        <w:t>רבינוביץ</w:t>
      </w:r>
      <w:proofErr w:type="spellEnd"/>
      <w:r>
        <w:rPr>
          <w:rtl/>
        </w:rPr>
        <w:t xml:space="preserve"> רק אחד מכמה חברי הצוות, ולא עוד ראש הישיבה הנושא באחריות הכוללת להתפתחות תלמידיה.</w:t>
      </w:r>
    </w:p>
    <w:bookmarkStart w:id="1779" w:name="b3_note55"/>
    <w:p w14:paraId="65EA4CED" w14:textId="77777777" w:rsidR="00AB3647" w:rsidRDefault="00000000" w:rsidP="007923E9">
      <w:pPr>
        <w:spacing w:before="120" w:after="100" w:line="276" w:lineRule="auto"/>
        <w:jc w:val="both"/>
      </w:pPr>
      <w:r>
        <w:fldChar w:fldCharType="begin" w:dirty="true"/>
      </w:r>
      <w:r>
        <w:instrText>HYPERLINK \l "b3_ref55"</w:instrText>
      </w:r>
      <w:r>
        <w:fldChar w:fldCharType="separate"/>
      </w:r>
      <w:r>
        <w:rPr>
          <w:b/>
          <w:bCs/>
          <w:rtl/>
        </w:rPr>
        <w:t>55</w:t>
      </w:r>
      <w:r>
        <w:rPr>
          <w:b/>
          <w:bCs/>
        </w:rPr>
        <w:fldChar w:fldCharType="end"/>
      </w:r>
      <w:bookmarkEnd w:id="1779"/>
      <w:r>
        <w:rPr>
          <w:rtl/>
        </w:rPr>
        <w:t xml:space="preserve"> האשמה מוטלת על הצטרפותם – בתוך גל התלמידים שנרשמו בראשית העשור – של “תלמידים שלא שמשו כל צרכם, שמקצתם כבר טעמו מן הזרמים החדשים שהחלו לחלחל לעולם היהודי”, שם.</w:t>
      </w:r>
      <w:bookmarkStart w:id="1780" w:name="_fnr1148"/>
      <w:r>
        <w:rPr>
          <w:rStyle w:val="a5"/>
        </w:rPr>
        <w:footnoteReference w:id="1151" w:customMarkFollows="0"/>
      </w:r>
      <w:bookmarkEnd w:id="1780"/>
    </w:p>
    <w:p w14:paraId="689618CE" w14:textId="77777777" w:rsidR="00AB3647" w:rsidRDefault="00000000" w:rsidP="007923E9">
      <w:pPr>
        <w:spacing w:before="120" w:after="100" w:line="276" w:lineRule="auto"/>
        <w:jc w:val="both"/>
      </w:pPr>
      <w:r>
        <w:rPr>
          <w:rtl/>
        </w:rPr>
        <w:t xml:space="preserve">המהומה תפחה לממדים עצומים כאשר “העמידו בראשם כמה מטובי תלמידי הישיבה, שהיו להם טענות נגד ההנהלה מתוך קנאה בכבוד שחלקה לחבריהם הפחות ראויים, שהיו קשורים </w:t>
      </w:r>
      <w:r>
        <w:rPr>
          <w:rtl/>
        </w:rPr>
        <w:lastRenderedPageBreak/>
        <w:t xml:space="preserve">למוסר, </w:t>
      </w:r>
      <w:r>
        <w:rPr>
          <w:b/>
          <w:bCs/>
          <w:rtl/>
        </w:rPr>
        <w:t>ומפני שהיו קשורים למוסר</w:t>
      </w:r>
      <w:r>
        <w:rPr>
          <w:rtl/>
        </w:rPr>
        <w:t>. המבקרים העמידו פנים שכל עניינם הוא להתקדם בתורה, ועל כן התנגדו ללימוד המוסר (ולבעלי המוסר), שלטענתם עיכב את לימוד התורה – טענתם הישנה והדחויה של מתנגדי המוסר משכבר הימים. הם לכדו ברשתם כמה מן התלמידים הבולטים בישיבה,</w:t>
      </w:r>
      <w:bookmarkStart w:id="1781" w:name="_fnr1149"/>
      <w:r>
        <w:rPr>
          <w:rStyle w:val="a5"/>
        </w:rPr>
        <w:footnoteReference w:id="1152" w:customMarkFollows="0"/>
      </w:r>
      <w:bookmarkEnd w:id="1781"/>
      <w:r>
        <w:rPr>
          <w:rtl/>
        </w:rPr>
        <w:t xml:space="preserve"> שעל ידי הרצאת חידושי תורה יום יום לפני התלמידים המוכשרים משכו גם אותם להתנגד למשטר המוסר של הישיבה. בדרך זו הצליחו למשוך </w:t>
      </w:r>
      <w:proofErr w:type="spellStart"/>
      <w:r>
        <w:rPr>
          <w:rtl/>
        </w:rPr>
        <w:t>לצדם</w:t>
      </w:r>
      <w:proofErr w:type="spellEnd"/>
      <w:r>
        <w:rPr>
          <w:rtl/>
        </w:rPr>
        <w:t xml:space="preserve"> את רוב התלמידים. הפילוג הגיע עד שכמעט נעשתה הישיבה לשתי ישיבות: בצד הדרומי ישבו מתנגדי המוסר, ובצד הצפוני אנשי המוסר.</w:t>
      </w:r>
      <w:bookmarkStart w:id="1782" w:name="_fnr1150"/>
      <w:r>
        <w:rPr>
          <w:rStyle w:val="a5"/>
        </w:rPr>
        <w:footnoteReference w:id="1153" w:customMarkFollows="0"/>
      </w:r>
      <w:bookmarkEnd w:id="1782"/>
      <w:r>
        <w:rPr>
          <w:rtl/>
        </w:rPr>
        <w:t xml:space="preserve"> בעלי המוסר כינו את הצד הדרומי ‘הסמטה הפולנית’, על שם רחוב מקומי שבו גרו גויים פולנים.”</w:t>
      </w:r>
      <w:bookmarkStart w:id="1783" w:name="_fnr1151"/>
      <w:r>
        <w:rPr>
          <w:rStyle w:val="a5"/>
        </w:rPr>
        <w:footnoteReference w:id="1154" w:customMarkFollows="0"/>
      </w:r>
      <w:bookmarkEnd w:id="1783"/>
    </w:p>
    <w:p w14:paraId="61428893" w14:textId="32CB59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כבר </w:t>
      </w:r>
      <w:proofErr w:type="spellStart"/>
      <w:r>
        <w:rPr>
          <w:rtl/>
        </w:rPr>
        <w:t>בתרס״ד</w:t>
      </w:r>
      <w:proofErr w:type="spellEnd"/>
      <w:r>
        <w:rPr>
          <w:rtl/>
        </w:rPr>
        <w:t xml:space="preserve">, עם תבוסתה המשפילה של רוסיה במלחמתה עם יפן, גברה עוצמתן של רוחות המהפכה הסוציאליסטית, שנשבו בערי רוסיה ובכפריה זה עשרות שנים. </w:t>
      </w:r>
      <w:proofErr w:type="spellStart"/>
      <w:r>
        <w:rPr>
          <w:rtl/>
        </w:rPr>
        <w:t>בתרס״ה</w:t>
      </w:r>
      <w:proofErr w:type="spellEnd"/>
      <w:r>
        <w:rPr>
          <w:rtl/>
        </w:rPr>
        <w:t xml:space="preserve"> הגיעו לעוצמה של סופה, וסחפו מספר ניכר של תלמידי ישיבות</w:t>
      </w:r>
      <w:bookmarkStart w:id="1784" w:name="b3_ref56"/>
      <w:bookmarkEnd w:id="1784"/>
      <w:r>
        <w:rPr>
          <w:vertAlign w:val="superscript"/>
          <w:rtl/>
        </w:rPr>
        <w:fldChar w:fldCharType="begin" w:dirty="true"/>
      </w:r>
      <w:r>
        <w:rPr>
          <w:vertAlign w:val="superscript"/>
          <w:rtl/>
        </w:rPr>
        <w:instrText xml:space="preserve"> REF b3_note56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xml:space="preserve"> – ובהם בנו של ר׳ </w:t>
      </w:r>
      <w:proofErr w:type="spellStart"/>
      <w:r>
        <w:rPr>
          <w:rtl/>
        </w:rPr>
        <w:t>נתן־צבי</w:t>
      </w:r>
      <w:proofErr w:type="spellEnd"/>
      <w:r>
        <w:rPr>
          <w:rtl/>
        </w:rPr>
        <w:t>. מתנגדי המוסר חברו לגורמים המהפכניים וסיכנו את עצם קיומה של הישיבה.</w:t>
      </w:r>
      <w:bookmarkStart w:id="1785" w:name="b3_ref57"/>
      <w:bookmarkEnd w:id="1785"/>
      <w:r>
        <w:rPr>
          <w:vertAlign w:val="superscript"/>
          <w:rtl/>
        </w:rPr>
        <w:fldChar w:fldCharType="begin" w:dirty="true"/>
      </w:r>
      <w:r>
        <w:rPr>
          <w:vertAlign w:val="superscript"/>
          <w:rtl/>
        </w:rPr>
        <w:instrText xml:space="preserve"> REF b3_note57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xml:space="preserve"> למזלן של שתי הישיבות, כשדוכאה המהפכה, טיהרו פעולות הדיכוי של הממשלה נגד כל אוהדי הסוציאליזם את הישיבות מן הגורמים שעשו בהן מהומות.</w:t>
      </w:r>
      <w:bookmarkStart w:id="1786" w:name="b3_ref58"/>
      <w:bookmarkEnd w:id="1786"/>
      <w:r>
        <w:rPr>
          <w:vertAlign w:val="superscript"/>
          <w:rtl/>
        </w:rPr>
        <w:fldChar w:fldCharType="begin" w:dirty="true"/>
      </w:r>
      <w:r>
        <w:rPr>
          <w:vertAlign w:val="superscript"/>
          <w:rtl/>
        </w:rPr>
        <w:instrText xml:space="preserve"> REF b3_note58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p>
    <w:bookmarkStart w:id="1787" w:name="pr_b_857"/>
    <w:bookmarkStart w:id="1788" w:name="b3_note56"/>
    <w:bookmarkEnd w:id="1787"/>
    <w:p w14:paraId="507E6544" w14:textId="77777777" w:rsidR="00AB3647" w:rsidRDefault="00000000" w:rsidP="007923E9">
      <w:pPr>
        <w:spacing w:before="120" w:after="100" w:line="276" w:lineRule="auto"/>
        <w:jc w:val="both"/>
      </w:pPr>
      <w:r>
        <w:fldChar w:fldCharType="begin" w:dirty="true"/>
      </w:r>
      <w:r>
        <w:instrText>HYPERLINK \l "b3_ref56"</w:instrText>
      </w:r>
      <w:r>
        <w:fldChar w:fldCharType="separate"/>
      </w:r>
      <w:r>
        <w:rPr>
          <w:b/>
          <w:bCs/>
          <w:rtl/>
        </w:rPr>
        <w:t>56</w:t>
      </w:r>
      <w:r>
        <w:rPr>
          <w:b/>
          <w:bCs/>
        </w:rPr>
        <w:fldChar w:fldCharType="end"/>
      </w:r>
      <w:bookmarkEnd w:id="1788"/>
      <w:r>
        <w:rPr>
          <w:rtl/>
        </w:rPr>
        <w:t xml:space="preserve"> שלטונות רוסיה הפלו יהודים לרעה בקבלה לאוניברסיטאות. ומנגד, הורים שומרי מצוות לא העלו על דעתם להתיר לילדיהם – אפילו לאלה שנחשדו שאינם שומרי מצוות – ללמוד באוניברסיטה, שבה הייתה שבת יום לימודים רגיל והם היו מחללים בה שבת בפרהסיה. כך נותרו הישיבות המוסדות היחידים להתפתחות שכלית שהיו פתוחים לחלק גדול מן הנוער היהודי ומושכים אותו.</w:t>
      </w:r>
      <w:bookmarkStart w:id="1789" w:name="_fnr1152"/>
      <w:r>
        <w:rPr>
          <w:rStyle w:val="a5"/>
        </w:rPr>
        <w:footnoteReference w:id="1155" w:customMarkFollows="0"/>
      </w:r>
      <w:bookmarkEnd w:id="1789"/>
      <w:r>
        <w:rPr>
          <w:rtl/>
        </w:rPr>
        <w:t xml:space="preserve"> משום כך הצטרפו לשורות בחורי הישיבה האמיתיים צעירים רבים שמלכתחילה הייתה נטייתם למוסר ולדת </w:t>
      </w:r>
      <w:proofErr w:type="spellStart"/>
      <w:r>
        <w:rPr>
          <w:rtl/>
        </w:rPr>
        <w:t>מועטת</w:t>
      </w:r>
      <w:proofErr w:type="spellEnd"/>
      <w:r>
        <w:rPr>
          <w:rtl/>
        </w:rPr>
        <w:t xml:space="preserve">. מזעזע ככל שיישמע הדבר, היו מקרים שבהם התגלו בין הנרשמים מחללי שבת </w:t>
      </w:r>
      <w:proofErr w:type="spellStart"/>
      <w:r>
        <w:rPr>
          <w:rtl/>
        </w:rPr>
        <w:t>בצינעא</w:t>
      </w:r>
      <w:proofErr w:type="spellEnd"/>
      <w:r>
        <w:rPr>
          <w:rtl/>
        </w:rPr>
        <w:t xml:space="preserve"> ממש. מובן שהישיבה לא יכלה לסבול את נוכחותם.</w:t>
      </w:r>
      <w:bookmarkStart w:id="1790" w:name="_fnr1153"/>
      <w:r>
        <w:rPr>
          <w:rStyle w:val="a5"/>
        </w:rPr>
        <w:footnoteReference w:id="1156" w:customMarkFollows="0"/>
      </w:r>
      <w:bookmarkEnd w:id="1790"/>
    </w:p>
    <w:p w14:paraId="1BFFB0D4" w14:textId="77777777" w:rsidR="00AB3647" w:rsidRDefault="00000000" w:rsidP="007923E9">
      <w:pPr>
        <w:spacing w:before="120" w:after="100" w:line="276" w:lineRule="auto"/>
        <w:jc w:val="both"/>
      </w:pPr>
      <w:r>
        <w:rPr>
          <w:rtl/>
        </w:rPr>
        <w:t xml:space="preserve">לצד רוח האנרכיה שחלחלה אל הישיבות מבחוץ, החדירו גורמים זרים אלה השפעה חתרנית מבפנים. גל חדש וחריף של התנגדות למוסר עבר בישיבה </w:t>
      </w:r>
      <w:proofErr w:type="spellStart"/>
      <w:r>
        <w:rPr>
          <w:rtl/>
        </w:rPr>
        <w:t>בתרס״ג</w:t>
      </w:r>
      <w:proofErr w:type="spellEnd"/>
      <w:r>
        <w:rPr>
          <w:rtl/>
        </w:rPr>
        <w:t>. האנרכיה הפוליטית שמבחוץ חיזקה אותו, והוא נמשך שנתיים, עד שנכשלה המהפכה הפוליטית המתוכננת. המעשים נגד המוסר הגיעו לשפל מביש כשנמצאו ספרי מוסר שהושלכו לבית הכיסא,</w:t>
      </w:r>
      <w:bookmarkStart w:id="1791" w:name="_fnr1154"/>
      <w:r>
        <w:rPr>
          <w:rStyle w:val="a5"/>
        </w:rPr>
        <w:footnoteReference w:id="1157" w:customMarkFollows="0"/>
      </w:r>
      <w:bookmarkEnd w:id="1791"/>
      <w:r>
        <w:rPr>
          <w:rtl/>
        </w:rPr>
        <w:t xml:space="preserve"> “כדי להרגיז את מנהלי הישיבה”.</w:t>
      </w:r>
      <w:bookmarkStart w:id="1792" w:name="_fnr1155"/>
      <w:r>
        <w:rPr>
          <w:rStyle w:val="a5"/>
        </w:rPr>
        <w:footnoteReference w:id="1158" w:customMarkFollows="0"/>
      </w:r>
      <w:bookmarkEnd w:id="1792"/>
    </w:p>
    <w:p w14:paraId="3B2F87AA" w14:textId="77777777" w:rsidR="00AB3647" w:rsidRDefault="00000000" w:rsidP="007923E9">
      <w:pPr>
        <w:spacing w:before="120" w:after="100" w:line="276" w:lineRule="auto"/>
        <w:jc w:val="both"/>
      </w:pPr>
      <w:r>
        <w:rPr>
          <w:rtl/>
        </w:rPr>
        <w:lastRenderedPageBreak/>
        <w:t xml:space="preserve">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793" w:name="_fnr1156"/>
      <w:r>
        <w:rPr>
          <w:rStyle w:val="a5"/>
        </w:rPr>
        <w:footnoteReference w:id="1159" w:customMarkFollows="0"/>
      </w:r>
      <w:bookmarkEnd w:id="1793"/>
      <w:r>
        <w:rPr>
          <w:rtl/>
        </w:rPr>
        <w:t xml:space="preserve"> שבו מגלה גורדון, המתנגד למוסר, שבעלי המוסר בכנסת ישראל ניסו להפיג את קלונם בהטלת האשמה על תלמידי כנסת בית יצחק. גורדון היה נער צעיר בישיבת ר׳ </w:t>
      </w:r>
      <w:proofErr w:type="spellStart"/>
      <w:r>
        <w:rPr>
          <w:rtl/>
        </w:rPr>
        <w:t>הירשל׳ה</w:t>
      </w:r>
      <w:proofErr w:type="spellEnd"/>
      <w:r>
        <w:rPr>
          <w:rtl/>
        </w:rPr>
        <w:t xml:space="preserve"> בשעת מעשה חילול הקודש הזה. הוא מספר גם שב־1917 [תרע״ז], כשלמד באוניברסיטת ייל, היה מבקר בכל מוצאי שבת אצל רבה של ניו </w:t>
      </w:r>
      <w:proofErr w:type="spellStart"/>
      <w:r>
        <w:rPr>
          <w:rtl/>
        </w:rPr>
        <w:t>הייבן</w:t>
      </w:r>
      <w:proofErr w:type="spellEnd"/>
      <w:r>
        <w:rPr>
          <w:rtl/>
        </w:rPr>
        <w:t xml:space="preserve">, בעל המוסר ר׳ יהודה </w:t>
      </w:r>
      <w:proofErr w:type="spellStart"/>
      <w:r>
        <w:rPr>
          <w:rtl/>
        </w:rPr>
        <w:t>לוונברג</w:t>
      </w:r>
      <w:proofErr w:type="spellEnd"/>
      <w:r>
        <w:rPr>
          <w:rtl/>
        </w:rPr>
        <w:t xml:space="preserve">. הרב </w:t>
      </w:r>
      <w:proofErr w:type="spellStart"/>
      <w:r>
        <w:rPr>
          <w:rtl/>
        </w:rPr>
        <w:t>לוונברג</w:t>
      </w:r>
      <w:proofErr w:type="spellEnd"/>
      <w:r>
        <w:rPr>
          <w:rtl/>
        </w:rPr>
        <w:t xml:space="preserve"> גילה שמאחר שהיה בישיבה באותה שעה, ידע בדיוק מי היו העושים, “וכשיגיע הזמן המתאים הוא יגלה את שמותיהם”. גורדון מוסיף באכזבה: “אבל מי שידע את הסוד נפטר קודם שהגיע הזמן המתאים.”</w:t>
      </w:r>
    </w:p>
    <w:p w14:paraId="297445A6" w14:textId="77777777" w:rsidR="00AB3647" w:rsidRDefault="00000000" w:rsidP="007923E9">
      <w:pPr>
        <w:spacing w:before="120" w:after="100" w:line="276" w:lineRule="auto"/>
        <w:jc w:val="both"/>
      </w:pPr>
      <w:r>
        <w:rPr>
          <w:rtl/>
        </w:rPr>
        <w:t xml:space="preserve">ר׳ </w:t>
      </w:r>
      <w:proofErr w:type="spellStart"/>
      <w:r>
        <w:rPr>
          <w:rtl/>
        </w:rPr>
        <w:t>יוסף־שלמה</w:t>
      </w:r>
      <w:proofErr w:type="spellEnd"/>
      <w:r>
        <w:rPr>
          <w:rtl/>
        </w:rPr>
        <w:t xml:space="preserve"> ספסל סיפר</w:t>
      </w:r>
      <w:bookmarkStart w:id="1794" w:name="_fnr1157"/>
      <w:r>
        <w:rPr>
          <w:rStyle w:val="a5"/>
        </w:rPr>
        <w:footnoteReference w:id="1160" w:customMarkFollows="0"/>
      </w:r>
      <w:bookmarkEnd w:id="1794"/>
      <w:r>
        <w:rPr>
          <w:rtl/>
        </w:rPr>
        <w:t xml:space="preserve"> בשם אביו, ר׳ </w:t>
      </w:r>
      <w:proofErr w:type="spellStart"/>
      <w:r>
        <w:rPr>
          <w:rtl/>
        </w:rPr>
        <w:t>יעקב־דוב</w:t>
      </w:r>
      <w:proofErr w:type="spellEnd"/>
      <w:r>
        <w:rPr>
          <w:rtl/>
        </w:rPr>
        <w:t xml:space="preserve">, תלמיד כנסת בית יצחק שנודע כעילוי </w:t>
      </w:r>
      <w:proofErr w:type="spellStart"/>
      <w:r>
        <w:rPr>
          <w:rtl/>
        </w:rPr>
        <w:t>מווישקי</w:t>
      </w:r>
      <w:proofErr w:type="spellEnd"/>
      <w:r>
        <w:rPr>
          <w:rtl/>
        </w:rPr>
        <w:t xml:space="preserve">, שתלמידי ישיבתו לא הורשו להיכנס לכנסת ישראל, ורק הוא היה יוצא מן הכלל. הסבא אמר: “רק הצדיק </w:t>
      </w:r>
      <w:proofErr w:type="spellStart"/>
      <w:r>
        <w:rPr>
          <w:rtl/>
        </w:rPr>
        <w:t>יענקל</w:t>
      </w:r>
      <w:proofErr w:type="spellEnd"/>
      <w:r>
        <w:rPr>
          <w:rtl/>
        </w:rPr>
        <w:t xml:space="preserve"> </w:t>
      </w:r>
      <w:proofErr w:type="spellStart"/>
      <w:r>
        <w:rPr>
          <w:rtl/>
        </w:rPr>
        <w:t>ווישקער</w:t>
      </w:r>
      <w:proofErr w:type="spellEnd"/>
      <w:r>
        <w:rPr>
          <w:rtl/>
        </w:rPr>
        <w:t xml:space="preserve"> רשאי לבוא.” אפשר לשער שר׳ </w:t>
      </w:r>
      <w:proofErr w:type="spellStart"/>
      <w:r>
        <w:rPr>
          <w:rtl/>
        </w:rPr>
        <w:t>יעקב־דוב</w:t>
      </w:r>
      <w:proofErr w:type="spellEnd"/>
      <w:r>
        <w:rPr>
          <w:rtl/>
        </w:rPr>
        <w:t xml:space="preserve"> ספסל תיאר דווקא תקופה זו, שבה נחשדו תלמידי הישיבה שאינה ישיבת מוסר במעשה הנבלה. זו עשויה להיות הסיבה שהלוויית הספרים התקיימה לפני אותה ישיבה, כמסופר בעמ׳ </w:t>
      </w:r>
      <w:r>
        <w:rPr>
          <w:rtl/>
        </w:rPr>
        <w:fldChar w:fldCharType="begin" w:dirty="true"/>
      </w:r>
      <w:r>
        <w:rPr>
          <w:rtl/>
        </w:rPr>
        <w:instrText xml:space="preserve"> PAGEREF pr_b_1425 \h </w:instrText>
      </w:r>
      <w:r>
        <w:rPr>
          <w:rtl/>
        </w:rPr>
      </w:r>
      <w:r>
        <w:rPr>
          <w:rtl/>
        </w:rPr>
        <w:fldChar w:fldCharType="separate"/>
      </w:r>
      <w:r w:rsidR="007923E9">
        <w:rPr>
          <w:noProof/>
          <w:rtl/>
        </w:rPr>
        <w:t>1</w:t>
      </w:r>
      <w:r>
        <w:rPr>
          <w:rtl/>
        </w:rPr>
        <w:fldChar w:fldCharType="end"/>
      </w:r>
      <w:r>
        <w:rPr>
          <w:rtl/>
        </w:rPr>
        <w:t xml:space="preserve"> להלן.</w:t>
      </w:r>
    </w:p>
    <w:p w14:paraId="6CA0B051" w14:textId="5FB210CA" w:rsidR="00AB3647" w:rsidRDefault="00000000" w:rsidP="007923E9">
      <w:pPr>
        <w:spacing w:before="120" w:after="100" w:line="276" w:lineRule="auto"/>
        <w:jc w:val="both"/>
      </w:pPr>
      <w:proofErr w:type="spellStart"/>
      <w:r>
        <w:rPr>
          <w:rtl/>
        </w:rPr>
        <w:t>הווישקער</w:t>
      </w:r>
      <w:proofErr w:type="spellEnd"/>
      <w:r>
        <w:rPr>
          <w:rtl/>
        </w:rPr>
        <w:t xml:space="preserve"> סיפר לבנו שהיה הולך לכנסת ישראל כדי “לדבר בלימוד” עם הסבא </w:t>
      </w:r>
      <w:proofErr w:type="spellStart"/>
      <w:r>
        <w:rPr>
          <w:rtl/>
        </w:rPr>
        <w:t>מסלבודקה</w:t>
      </w:r>
      <w:proofErr w:type="spellEnd"/>
      <w:r>
        <w:rPr>
          <w:rtl/>
        </w:rPr>
        <w:t xml:space="preserve">. מאחר שהסבא לא נראה מעולם לומד ענייני הלכה – ראה פרק 4, הערה </w:t>
      </w:r>
      <w:r>
        <w:rPr>
          <w:rtl/>
        </w:rPr>
        <w:fldChar w:fldCharType="begin" w:dirty="true"/>
      </w:r>
      <w:r>
        <w:rPr>
          <w:rtl/>
        </w:rPr>
        <w:instrText xml:space="preserve"> REF b4_note2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w:t>
      </w:r>
      <w:r>
        <w:rPr>
          <w:rtl/>
        </w:rPr>
        <w:fldChar w:fldCharType="end"/>
      </w:r>
      <w:r>
        <w:rPr>
          <w:rtl/>
        </w:rPr>
        <w:t xml:space="preserve"> ו</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 סביר ששיחותיהם עסקו בענייני אגדה. אצל העילוי </w:t>
      </w:r>
      <w:proofErr w:type="spellStart"/>
      <w:r>
        <w:rPr>
          <w:rtl/>
        </w:rPr>
        <w:t>מווישקי</w:t>
      </w:r>
      <w:proofErr w:type="spellEnd"/>
      <w:r>
        <w:rPr>
          <w:rtl/>
        </w:rPr>
        <w:t>, שהיה בקי במידה שווה בכל חלקי הש״ס, גם זאת הייתה “שיחה בלימוד”.</w:t>
      </w:r>
    </w:p>
    <w:p w14:paraId="6B990A69" w14:textId="4D3AF2F8" w:rsidR="00AB3647" w:rsidRDefault="00000000" w:rsidP="007923E9">
      <w:pPr>
        <w:spacing w:before="120" w:after="100" w:line="276" w:lineRule="auto"/>
        <w:jc w:val="both"/>
      </w:pPr>
      <w:r>
        <w:rPr>
          <w:rtl/>
        </w:rPr>
        <w:t>לפי ר׳ חיים שפירא,</w:t>
      </w:r>
      <w:bookmarkStart w:id="1795" w:name="_fnr1158"/>
      <w:r>
        <w:rPr>
          <w:rStyle w:val="a5"/>
        </w:rPr>
        <w:footnoteReference w:id="1161" w:customMarkFollows="0"/>
      </w:r>
      <w:bookmarkEnd w:id="1795"/>
      <w:r>
        <w:rPr>
          <w:rtl/>
        </w:rPr>
        <w:t xml:space="preserve"> על תקופה זו אמר ר׳ </w:t>
      </w:r>
      <w:proofErr w:type="spellStart"/>
      <w:r>
        <w:rPr>
          <w:rtl/>
        </w:rPr>
        <w:t>חיים־עוזר</w:t>
      </w:r>
      <w:proofErr w:type="spellEnd"/>
      <w:r>
        <w:rPr>
          <w:rtl/>
        </w:rPr>
        <w:t xml:space="preserve"> </w:t>
      </w:r>
      <w:proofErr w:type="spellStart"/>
      <w:r>
        <w:rPr>
          <w:rtl/>
        </w:rPr>
        <w:t>גרודזנסקי</w:t>
      </w:r>
      <w:bookmarkStart w:id="1796" w:name="_fnr1159"/>
      <w:proofErr w:type="spellEnd"/>
      <w:r>
        <w:rPr>
          <w:rStyle w:val="a5"/>
        </w:rPr>
        <w:footnoteReference w:id="1162" w:customMarkFollows="0"/>
      </w:r>
      <w:bookmarkEnd w:id="1796"/>
      <w:r>
        <w:rPr>
          <w:rtl/>
        </w:rPr>
        <w:t xml:space="preserve"> שישיבה בלי משגיח היא “בור ברשות הרבים”. בכך רמז שלדעתו האחראים למעשה הרע היו תלמידי כנסת בית יצחק, שאינה ישיבת מוסר ואין בה משגיח – או שהסבא היה מרוחק מדי מן הישיבה באותה שעה, והפך את כנסת ישראל </w:t>
      </w:r>
      <w:proofErr w:type="spellStart"/>
      <w:r>
        <w:rPr>
          <w:rtl/>
        </w:rPr>
        <w:t>ל“ישיבה</w:t>
      </w:r>
      <w:proofErr w:type="spellEnd"/>
      <w:r>
        <w:rPr>
          <w:rtl/>
        </w:rPr>
        <w:t xml:space="preserve"> בלי משגיח”. ראה הערה 59 והפסקאות הראשונה והחמישית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w:t>
      </w:r>
    </w:p>
    <w:p w14:paraId="69314911" w14:textId="77777777" w:rsidR="00AB3647" w:rsidRDefault="00000000" w:rsidP="007923E9">
      <w:pPr>
        <w:spacing w:after="100" w:line="276" w:lineRule="auto"/>
        <w:ind w:firstLine="340"/>
        <w:jc w:val="both"/>
      </w:pPr>
      <w:r>
        <w:rPr>
          <w:rtl/>
        </w:rPr>
        <w:t>מעשה מעניין במיוחד, המעיד על עוצמת אישיותו של הסבא, אירע באותה שעה.</w:t>
      </w:r>
      <w:bookmarkStart w:id="1797" w:name="_fnr1160"/>
      <w:r>
        <w:rPr>
          <w:rStyle w:val="a5"/>
        </w:rPr>
        <w:footnoteReference w:id="1163" w:customMarkFollows="0"/>
      </w:r>
      <w:bookmarkEnd w:id="1797"/>
      <w:r>
        <w:rPr>
          <w:rtl/>
        </w:rPr>
        <w:t xml:space="preserve"> קבוצת מהפכנים בראשות מי שנטש את ישיבת </w:t>
      </w:r>
      <w:proofErr w:type="spellStart"/>
      <w:r>
        <w:rPr>
          <w:rtl/>
        </w:rPr>
        <w:t>סלבודקה</w:t>
      </w:r>
      <w:proofErr w:type="spellEnd"/>
      <w:r>
        <w:rPr>
          <w:rtl/>
        </w:rPr>
        <w:t xml:space="preserve"> באה לחדרו של הסבא, ובנשק שלוף דרשה שיחדל מפעילותו בישיבה. הסבא הביט בפניו של המנהיג ואמר: “ראה מה נהיה ממך בתוך ימים ספורים!” והקבוצה הסתלקה בבושת פנים.</w:t>
      </w:r>
    </w:p>
    <w:p w14:paraId="22CCF2CF" w14:textId="77777777" w:rsidR="00AB3647" w:rsidRDefault="00000000" w:rsidP="007923E9">
      <w:pPr>
        <w:spacing w:after="100" w:line="276" w:lineRule="auto"/>
        <w:ind w:firstLine="340"/>
        <w:jc w:val="both"/>
      </w:pPr>
      <w:r>
        <w:rPr>
          <w:rtl/>
        </w:rPr>
        <w:t xml:space="preserve">מ׳ </w:t>
      </w:r>
      <w:proofErr w:type="spellStart"/>
      <w:r>
        <w:rPr>
          <w:rtl/>
        </w:rPr>
        <w:t>גרץ</w:t>
      </w:r>
      <w:proofErr w:type="spellEnd"/>
      <w:r>
        <w:rPr>
          <w:rtl/>
        </w:rPr>
        <w:t xml:space="preserve"> – שם העט של העיתונאי היידי ותלמיד </w:t>
      </w:r>
      <w:proofErr w:type="spellStart"/>
      <w:r>
        <w:rPr>
          <w:rtl/>
        </w:rPr>
        <w:t>סלבודקה</w:t>
      </w:r>
      <w:proofErr w:type="spellEnd"/>
      <w:r>
        <w:rPr>
          <w:rtl/>
        </w:rPr>
        <w:t xml:space="preserve"> לשעבר גרשון </w:t>
      </w:r>
      <w:proofErr w:type="spellStart"/>
      <w:r>
        <w:rPr>
          <w:rtl/>
        </w:rPr>
        <w:t>מובשוביץ</w:t>
      </w:r>
      <w:proofErr w:type="spellEnd"/>
      <w:r>
        <w:rPr>
          <w:rtl/>
        </w:rPr>
        <w:t xml:space="preserve"> – מתאר כך את דרישות המהפכנים ואת תגובת הסבא </w:t>
      </w:r>
      <w:proofErr w:type="spellStart"/>
      <w:r>
        <w:rPr>
          <w:rtl/>
        </w:rPr>
        <w:t>מסלבודקה</w:t>
      </w:r>
      <w:proofErr w:type="spellEnd"/>
      <w:r>
        <w:rPr>
          <w:rtl/>
        </w:rPr>
        <w:t xml:space="preserve">, במאמר על הסבא (בתרגום מיידיש </w:t>
      </w:r>
      <w:proofErr w:type="spellStart"/>
      <w:r>
        <w:rPr>
          <w:rtl/>
        </w:rPr>
        <w:t>ב“המסורת</w:t>
      </w:r>
      <w:proofErr w:type="spellEnd"/>
      <w:r>
        <w:rPr>
          <w:rtl/>
        </w:rPr>
        <w:t xml:space="preserve"> המוזהבת” מאת </w:t>
      </w:r>
      <w:proofErr w:type="spellStart"/>
      <w:r>
        <w:rPr>
          <w:rtl/>
        </w:rPr>
        <w:t>לוסי</w:t>
      </w:r>
      <w:proofErr w:type="spellEnd"/>
      <w:r>
        <w:rPr>
          <w:rtl/>
        </w:rPr>
        <w:t xml:space="preserve"> ס׳ </w:t>
      </w:r>
      <w:proofErr w:type="spellStart"/>
      <w:r>
        <w:rPr>
          <w:rtl/>
        </w:rPr>
        <w:t>דווידוביץ</w:t>
      </w:r>
      <w:proofErr w:type="spellEnd"/>
      <w:r>
        <w:rPr>
          <w:rtl/>
        </w:rPr>
        <w:t>):</w:t>
      </w:r>
      <w:bookmarkStart w:id="1798" w:name="_fnr1161"/>
      <w:r>
        <w:rPr>
          <w:rStyle w:val="a5"/>
        </w:rPr>
        <w:footnoteReference w:id="1164" w:customMarkFollows="0"/>
      </w:r>
      <w:bookmarkEnd w:id="1798"/>
      <w:r>
        <w:rPr>
          <w:rtl/>
        </w:rPr>
        <w:t xml:space="preserve"> “ב־1905 מרדו התלמידים בישיבת </w:t>
      </w:r>
      <w:proofErr w:type="spellStart"/>
      <w:r>
        <w:rPr>
          <w:rtl/>
        </w:rPr>
        <w:t>סלבודקה</w:t>
      </w:r>
      <w:proofErr w:type="spellEnd"/>
      <w:r>
        <w:rPr>
          <w:rtl/>
        </w:rPr>
        <w:t xml:space="preserve">. מהפכנים יהודים מבחוץ הפיצו ביניהם את תעמולתם בהצלחה מסוימת. המרד סחף </w:t>
      </w:r>
      <w:r>
        <w:rPr>
          <w:rtl/>
        </w:rPr>
        <w:lastRenderedPageBreak/>
        <w:t>את הישיבה. המורדים דרשו חופש רב יותר, לימודי חול ורשות לקרוא ספרי חול ועיתונים. הסבא לא נרתע. כל היום בישיבה נערך למלחמה – זקנו המחודד מבצבץ ממחבואו,</w:t>
      </w:r>
      <w:bookmarkStart w:id="1799" w:name="_fnr1162"/>
      <w:r>
        <w:rPr>
          <w:rStyle w:val="a5"/>
        </w:rPr>
        <w:footnoteReference w:id="1165" w:customMarkFollows="0"/>
      </w:r>
      <w:bookmarkEnd w:id="1799"/>
      <w:r>
        <w:rPr>
          <w:rtl/>
        </w:rPr>
        <w:t xml:space="preserve"> ועיניו העדינות והצלולות נוצצות כחניתות בוערות. מי יכול היה לעמוד בפניהן? ביד איתנה הדף את ההתקפה. הוא החרים מקצת מן התלמידים: איש בעיר לא היה משכיר להם חדרים או מוכר להם מזון. מקצתם שכנע לבוא לצדו. אחרים, שלא נעתרו לו, נשלחו אל מחוץ לעיר בעזרת עגלונים ששיתפו פעולה. השאר נשברו והוכנעו. מי יכול היה לעמוד בפניו? בזמנים כאלה היה מלמד: ‘הבריות אומרות, כשאי אפשר לעבור מעל, עוברים מתחת. אבל בעלי המוסר אומרים, כשאי אפשר לעבור מעל, צריך להתרומם מעל.’”</w:t>
      </w:r>
      <w:bookmarkStart w:id="1800" w:name="_fnr1163"/>
      <w:r>
        <w:rPr>
          <w:rStyle w:val="a5"/>
        </w:rPr>
        <w:footnoteReference w:id="1166" w:customMarkFollows="0"/>
      </w:r>
      <w:bookmarkEnd w:id="1800"/>
    </w:p>
    <w:bookmarkStart w:id="1801" w:name="b3_note57"/>
    <w:p w14:paraId="2B8BBCAD" w14:textId="6987E8E9" w:rsidR="00AB3647" w:rsidRDefault="00000000" w:rsidP="007923E9">
      <w:pPr>
        <w:spacing w:before="120" w:after="100" w:line="276" w:lineRule="auto"/>
        <w:jc w:val="both"/>
      </w:pPr>
      <w:r>
        <w:fldChar w:fldCharType="begin" w:dirty="true"/>
      </w:r>
      <w:r>
        <w:instrText>HYPERLINK \l "b3_ref57"</w:instrText>
      </w:r>
      <w:r>
        <w:fldChar w:fldCharType="separate"/>
      </w:r>
      <w:r>
        <w:rPr>
          <w:b/>
          <w:bCs/>
          <w:rtl/>
        </w:rPr>
        <w:t>57</w:t>
      </w:r>
      <w:r>
        <w:rPr>
          <w:b/>
          <w:bCs/>
        </w:rPr>
        <w:fldChar w:fldCharType="end"/>
      </w:r>
      <w:bookmarkEnd w:id="1801"/>
      <w:r>
        <w:rPr>
          <w:rtl/>
        </w:rPr>
        <w:t xml:space="preserve"> השווה פרק 5, הערה </w:t>
      </w:r>
      <w:r>
        <w:rPr>
          <w:rtl/>
        </w:rPr>
        <w:fldChar w:fldCharType="begin" w:dirty="true"/>
      </w:r>
      <w:r>
        <w:rPr>
          <w:rtl/>
        </w:rPr>
        <w:instrText xml:space="preserve"> REF b5_note28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bookmarkStart w:id="1802" w:name="b3_note58"/>
    <w:p w14:paraId="2AD20BA5" w14:textId="1DFF242A" w:rsidR="00AB3647" w:rsidRDefault="00000000" w:rsidP="007923E9">
      <w:pPr>
        <w:spacing w:before="120" w:after="100" w:line="276" w:lineRule="auto"/>
        <w:jc w:val="both"/>
      </w:pPr>
      <w:r>
        <w:fldChar w:fldCharType="begin" w:dirty="true"/>
      </w:r>
      <w:r>
        <w:instrText>HYPERLINK \l "b3_ref58"</w:instrText>
      </w:r>
      <w:r>
        <w:fldChar w:fldCharType="separate"/>
      </w:r>
      <w:r>
        <w:rPr>
          <w:b/>
          <w:bCs/>
          <w:rtl/>
        </w:rPr>
        <w:t>58</w:t>
      </w:r>
      <w:r>
        <w:rPr>
          <w:b/>
          <w:bCs/>
        </w:rPr>
        <w:fldChar w:fldCharType="end"/>
      </w:r>
      <w:bookmarkEnd w:id="1802"/>
      <w:r>
        <w:rPr>
          <w:rtl/>
        </w:rPr>
        <w:t xml:space="preserve"> ראה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p w14:paraId="571587C4" w14:textId="460FEB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עמדתו של הסבא </w:t>
      </w:r>
      <w:proofErr w:type="spellStart"/>
      <w:r>
        <w:rPr>
          <w:rtl/>
        </w:rPr>
        <w:t>מסלבודקה</w:t>
      </w:r>
      <w:proofErr w:type="spellEnd"/>
      <w:r>
        <w:rPr>
          <w:rtl/>
        </w:rPr>
        <w:t xml:space="preserve"> בשנות המשבר הראשונות</w:t>
      </w:r>
      <w:bookmarkStart w:id="1803" w:name="b3_ref59"/>
      <w:bookmarkEnd w:id="1803"/>
      <w:r>
        <w:rPr>
          <w:vertAlign w:val="superscript"/>
          <w:rtl/>
        </w:rPr>
        <w:fldChar w:fldCharType="begin" w:dirty="true"/>
      </w:r>
      <w:r>
        <w:rPr>
          <w:vertAlign w:val="superscript"/>
          <w:rtl/>
        </w:rPr>
        <w:instrText xml:space="preserve"> REF b3_note59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 xml:space="preserve"> נתפסה בעיני רבים כפסיבית וחלשה, ועוררה ביקורת חריפה</w:t>
      </w:r>
      <w:bookmarkStart w:id="1804" w:name="b3_ref60"/>
      <w:bookmarkEnd w:id="1804"/>
      <w:r>
        <w:rPr>
          <w:vertAlign w:val="superscript"/>
          <w:rtl/>
        </w:rPr>
        <w:fldChar w:fldCharType="begin" w:dirty="true"/>
      </w:r>
      <w:r>
        <w:rPr>
          <w:vertAlign w:val="superscript"/>
          <w:rtl/>
        </w:rPr>
        <w:instrText xml:space="preserve"> REF b3_note60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בתוך ישיבתו</w:t>
      </w:r>
      <w:bookmarkStart w:id="1805" w:name="b3_ref61"/>
      <w:bookmarkEnd w:id="1805"/>
      <w:r>
        <w:rPr>
          <w:vertAlign w:val="superscript"/>
          <w:rtl/>
        </w:rPr>
        <w:fldChar w:fldCharType="begin" w:dirty="true"/>
      </w:r>
      <w:r>
        <w:rPr>
          <w:vertAlign w:val="superscript"/>
          <w:rtl/>
        </w:rPr>
        <w:instrText xml:space="preserve"> REF b3_note61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אבל מאחורי הקיפאון שנראה כלפי חוץ התחוללו תמורות אדירות. הסבא שינה מן היסוד את שיטתו החינוכית</w:t>
      </w:r>
      <w:bookmarkStart w:id="1806" w:name="b3_ref62"/>
      <w:bookmarkEnd w:id="1806"/>
      <w:r>
        <w:rPr>
          <w:vertAlign w:val="superscript"/>
          <w:rtl/>
        </w:rPr>
        <w:fldChar w:fldCharType="begin" w:dirty="true"/>
      </w:r>
      <w:r>
        <w:rPr>
          <w:vertAlign w:val="superscript"/>
          <w:rtl/>
        </w:rPr>
        <w:instrText xml:space="preserve"> REF b3_note62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 ולבסוף, כשפקדה אותו עצמו הטרגדיה שבנו נטש את הדת, התגבשה בו גישה חדשה למוסר. הוא חדל להתעכב על חולשות האדם, ותחת זאת פנה להתבונן בכוחו של האדם להגיע לגדלות</w:t>
      </w:r>
      <w:bookmarkStart w:id="1807" w:name="b3_ref63"/>
      <w:bookmarkEnd w:id="1807"/>
      <w:r>
        <w:rPr>
          <w:vertAlign w:val="superscript"/>
          <w:rtl/>
        </w:rPr>
        <w:fldChar w:fldCharType="begin" w:dirty="true"/>
      </w:r>
      <w:r>
        <w:rPr>
          <w:vertAlign w:val="superscript"/>
          <w:rtl/>
        </w:rPr>
        <w:instrText xml:space="preserve"> REF b3_note63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שיחותיו, ה“שמועסן”</w:t>
      </w:r>
      <w:bookmarkStart w:id="1808" w:name="b3_ref64"/>
      <w:bookmarkEnd w:id="1808"/>
      <w:r>
        <w:rPr>
          <w:vertAlign w:val="superscript"/>
          <w:rtl/>
        </w:rPr>
        <w:fldChar w:fldCharType="begin" w:dirty="true"/>
      </w:r>
      <w:r>
        <w:rPr>
          <w:vertAlign w:val="superscript"/>
          <w:rtl/>
        </w:rPr>
        <w:instrText xml:space="preserve"> REF b3_note64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החלו להתרכז ברוממות אדם הראשון לפני החטא, בעליונות האבות, בגדלות דמויות המקרא, במעלת דור דעה ששמע את דבר ה׳ במדבר – ובדרך שבה יכול כל יחיד להגיע לאותם גבהים נשגבים</w:t>
      </w:r>
      <w:bookmarkStart w:id="1809" w:name="b3_ref65"/>
      <w:bookmarkEnd w:id="1809"/>
      <w:r>
        <w:rPr>
          <w:vertAlign w:val="superscript"/>
          <w:rtl/>
        </w:rPr>
        <w:fldChar w:fldCharType="begin" w:dirty="true"/>
      </w:r>
      <w:r>
        <w:rPr>
          <w:vertAlign w:val="superscript"/>
          <w:rtl/>
        </w:rPr>
        <w:instrText xml:space="preserve"> REF b3_note65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w:t>
      </w:r>
    </w:p>
    <w:bookmarkStart w:id="1810" w:name="b3_note59"/>
    <w:p w14:paraId="70064756" w14:textId="6BC1E685" w:rsidR="00AB3647" w:rsidRDefault="00000000" w:rsidP="007923E9">
      <w:pPr>
        <w:spacing w:before="120" w:after="100" w:line="276" w:lineRule="auto"/>
        <w:jc w:val="both"/>
      </w:pPr>
      <w:r>
        <w:fldChar w:fldCharType="begin" w:dirty="true"/>
      </w:r>
      <w:r>
        <w:instrText>HYPERLINK \l "b3_ref59"</w:instrText>
      </w:r>
      <w:r>
        <w:fldChar w:fldCharType="separate"/>
      </w:r>
      <w:r>
        <w:rPr>
          <w:b/>
          <w:bCs/>
          <w:rtl/>
        </w:rPr>
        <w:t>59</w:t>
      </w:r>
      <w:r>
        <w:rPr>
          <w:b/>
          <w:bCs/>
        </w:rPr>
        <w:fldChar w:fldCharType="end"/>
      </w:r>
      <w:bookmarkEnd w:id="1810"/>
      <w:r>
        <w:rPr>
          <w:rtl/>
        </w:rPr>
        <w:t xml:space="preserve"> איני מקבל את התיאור בספרו של </w:t>
      </w:r>
      <w:proofErr w:type="spellStart"/>
      <w:r>
        <w:rPr>
          <w:rtl/>
        </w:rPr>
        <w:t>דבורץ</w:t>
      </w:r>
      <w:proofErr w:type="spellEnd"/>
      <w:r>
        <w:rPr>
          <w:rtl/>
        </w:rPr>
        <w:t>, “הגאון רבי משה מרדכי אפשטיין”</w:t>
      </w:r>
      <w:bookmarkStart w:id="1811" w:name="_fnr1164"/>
      <w:r>
        <w:rPr>
          <w:rStyle w:val="a5"/>
        </w:rPr>
        <w:footnoteReference w:id="1167" w:customMarkFollows="0"/>
      </w:r>
      <w:bookmarkEnd w:id="1811"/>
      <w:r>
        <w:rPr>
          <w:rtl/>
        </w:rPr>
        <w:t xml:space="preserve">, שלפיו נתפס הסבא </w:t>
      </w:r>
      <w:proofErr w:type="spellStart"/>
      <w:r>
        <w:rPr>
          <w:rtl/>
        </w:rPr>
        <w:t>כ“רך</w:t>
      </w:r>
      <w:proofErr w:type="spellEnd"/>
      <w:r>
        <w:rPr>
          <w:rtl/>
        </w:rPr>
        <w:t xml:space="preserve"> לבב ופחדן” </w:t>
      </w:r>
      <w:r>
        <w:rPr>
          <w:b/>
          <w:bCs/>
          <w:rtl/>
        </w:rPr>
        <w:t>בכל</w:t>
      </w:r>
      <w:r>
        <w:rPr>
          <w:rtl/>
        </w:rPr>
        <w:t xml:space="preserve"> התקופה הסוערת. הדבר היה נכון רק עד שנחשפו פניהם האמיתיות של רבים ממתנגדי המוסר, כשחברו למהפכנים הסוציאליסטים. לאחר מכן נהג הסבא בגבורה, כפי שהודגם בהערה </w:t>
      </w:r>
      <w:r>
        <w:rPr>
          <w:rtl/>
        </w:rPr>
        <w:fldChar w:fldCharType="begin" w:dirty="true"/>
      </w:r>
      <w:r>
        <w:rPr>
          <w:rtl/>
        </w:rPr>
        <w:instrText xml:space="preserve"> REF b3_note56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56</w:t>
      </w:r>
      <w:r>
        <w:rPr>
          <w:rtl/>
        </w:rPr>
        <w:fldChar w:fldCharType="end"/>
      </w:r>
      <w:r>
        <w:rPr>
          <w:rtl/>
        </w:rPr>
        <w:t xml:space="preserve"> לעיל וכפי שהעיד הסופר </w:t>
      </w:r>
      <w:proofErr w:type="spellStart"/>
      <w:r>
        <w:rPr>
          <w:rtl/>
        </w:rPr>
        <w:t>מובשוביץ</w:t>
      </w:r>
      <w:proofErr w:type="spellEnd"/>
      <w:r>
        <w:rPr>
          <w:rtl/>
        </w:rPr>
        <w:t>, שדבריו הובאו שם</w:t>
      </w:r>
      <w:bookmarkStart w:id="1812" w:name="_fnr1165"/>
      <w:bookmarkEnd w:id="1812"/>
      <w:r>
        <w:rPr>
          <w:rtl/>
        </w:rPr>
        <w:t>.</w:t>
      </w:r>
    </w:p>
    <w:p w14:paraId="3BEBA5FA" w14:textId="341AFBCA" w:rsidR="00AB3647" w:rsidRDefault="00000000" w:rsidP="007923E9">
      <w:pPr>
        <w:spacing w:before="120" w:after="100" w:line="276" w:lineRule="auto"/>
        <w:jc w:val="both"/>
      </w:pPr>
      <w:r>
        <w:rPr>
          <w:rtl/>
        </w:rPr>
        <w:t xml:space="preserve">נסיגתו לביתו לאחר מעשה בית הכיסא – השווה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 הייתה בבירור נסיגה טקטית, שנועדה לחזק את חסידיו לקראת התקפת הנגד. וזה בדיוק מה שהניבו התכנסויותיו הפרטיות בבית והתבודדותו (השווה תחילת הפסקה החמישית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להלן). בהתנהגותו הסתומה הטביע בתלמידים המסורים את ההכרה בחשיבות המוסר </w:t>
      </w:r>
      <w:r>
        <w:rPr>
          <w:b/>
          <w:bCs/>
          <w:rtl/>
        </w:rPr>
        <w:t>בכל הנסיבות</w:t>
      </w:r>
      <w:r>
        <w:rPr>
          <w:rtl/>
        </w:rPr>
        <w:t xml:space="preserve"> ובצורך החיוני להשיבו למקומו המכובד בתוכנית הישיבה.</w:t>
      </w:r>
    </w:p>
    <w:bookmarkStart w:id="1813" w:name="b3_note60"/>
    <w:p w14:paraId="5A4B4BD9" w14:textId="77777777" w:rsidR="00AB3647" w:rsidRDefault="00000000" w:rsidP="007923E9">
      <w:pPr>
        <w:spacing w:before="120" w:after="100" w:line="276" w:lineRule="auto"/>
        <w:jc w:val="both"/>
      </w:pPr>
      <w:r>
        <w:lastRenderedPageBreak/>
        <w:fldChar w:fldCharType="begin" w:dirty="true"/>
      </w:r>
      <w:r>
        <w:instrText>HYPERLINK \l "b3_ref60"</w:instrText>
      </w:r>
      <w:r>
        <w:fldChar w:fldCharType="separate"/>
      </w:r>
      <w:r>
        <w:rPr>
          <w:b/>
          <w:bCs/>
          <w:rtl/>
        </w:rPr>
        <w:t>60</w:t>
      </w:r>
      <w:r>
        <w:rPr>
          <w:b/>
          <w:bCs/>
        </w:rPr>
        <w:fldChar w:fldCharType="end"/>
      </w:r>
      <w:bookmarkEnd w:id="1813"/>
      <w:r>
        <w:rPr>
          <w:rtl/>
        </w:rPr>
        <w:t xml:space="preserve"> החינוך </w:t>
      </w:r>
      <w:proofErr w:type="spellStart"/>
      <w:r>
        <w:rPr>
          <w:rtl/>
        </w:rPr>
        <w:t>בסלבודקה</w:t>
      </w:r>
      <w:proofErr w:type="spellEnd"/>
      <w:r>
        <w:rPr>
          <w:rtl/>
        </w:rPr>
        <w:t xml:space="preserve"> היה כזה, שמן התלמידים ציפו שלא לקבל את התנהגות הסבא בעיוורון, אלא לנתח אותה ואף לבקרה. אפילו בשנות </w:t>
      </w:r>
      <w:proofErr w:type="spellStart"/>
      <w:r>
        <w:rPr>
          <w:rtl/>
        </w:rPr>
        <w:t xml:space="preserve">התר״פ</w:t>
      </w:r>
      <w:proofErr w:type="spellEnd"/>
      <w:r>
        <w:rPr>
          <w:rtl/>
        </w:rPr>
        <w:t xml:space="preserve">, כשהסבא </w:t>
      </w:r>
      <w:proofErr w:type="spellStart"/>
      <w:r>
        <w:rPr>
          <w:rtl/>
        </w:rPr>
        <w:t>מסלבודקה</w:t>
      </w:r>
      <w:proofErr w:type="spellEnd"/>
      <w:r>
        <w:rPr>
          <w:rtl/>
        </w:rPr>
        <w:t xml:space="preserve"> היה בשנות השבעים לחייו והקים את הישיבה בחברון, מתחו עליו ביקורת על שהעביר אישורי כניסה לארץ ישראל לתלמידי </w:t>
      </w:r>
      <w:proofErr w:type="spellStart"/>
      <w:r>
        <w:rPr>
          <w:rtl/>
        </w:rPr>
        <w:t>טלז</w:t>
      </w:r>
      <w:proofErr w:type="spellEnd"/>
      <w:r>
        <w:rPr>
          <w:rtl/>
        </w:rPr>
        <w:t xml:space="preserve">, במקום לשמור את כל האישורים לתלמידי </w:t>
      </w:r>
      <w:proofErr w:type="spellStart"/>
      <w:r>
        <w:rPr>
          <w:rtl/>
        </w:rPr>
        <w:t>סלבודקה</w:t>
      </w:r>
      <w:bookmarkStart w:id="1814" w:name="_fnr1166"/>
      <w:proofErr w:type="spellEnd"/>
      <w:r>
        <w:rPr>
          <w:rStyle w:val="a5"/>
        </w:rPr>
        <w:footnoteReference w:id="1168" w:customMarkFollows="0"/>
      </w:r>
      <w:bookmarkEnd w:id="1814"/>
      <w:r>
        <w:rPr>
          <w:rtl/>
        </w:rPr>
        <w:t>.</w:t>
      </w:r>
    </w:p>
    <w:bookmarkStart w:id="1815" w:name="b3_note61"/>
    <w:p w14:paraId="15A9B07B" w14:textId="0A3A3546" w:rsidR="00AB3647" w:rsidRDefault="00000000" w:rsidP="007923E9">
      <w:pPr>
        <w:spacing w:before="120" w:after="100" w:line="276" w:lineRule="auto"/>
        <w:jc w:val="both"/>
      </w:pPr>
      <w:r>
        <w:fldChar w:fldCharType="begin" w:dirty="true"/>
      </w:r>
      <w:r>
        <w:instrText>HYPERLINK \l "b3_ref61"</w:instrText>
      </w:r>
      <w:r>
        <w:fldChar w:fldCharType="separate"/>
      </w:r>
      <w:r>
        <w:rPr>
          <w:b/>
          <w:bCs/>
          <w:rtl/>
        </w:rPr>
        <w:t>61</w:t>
      </w:r>
      <w:r>
        <w:rPr>
          <w:b/>
          <w:bCs/>
        </w:rPr>
        <w:fldChar w:fldCharType="end"/>
      </w:r>
      <w:bookmarkEnd w:id="1815"/>
      <w:r>
        <w:rPr>
          <w:rtl/>
        </w:rPr>
        <w:t xml:space="preserve"> ראה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bookmarkStart w:id="1816" w:name="b3_note62"/>
    <w:p w14:paraId="29E420B2" w14:textId="761A7D71" w:rsidR="00AB3647" w:rsidRDefault="00000000" w:rsidP="007923E9">
      <w:pPr>
        <w:spacing w:before="120" w:after="100" w:line="276" w:lineRule="auto"/>
        <w:jc w:val="both"/>
      </w:pPr>
      <w:r>
        <w:fldChar w:fldCharType="begin" w:dirty="true"/>
      </w:r>
      <w:r>
        <w:instrText>HYPERLINK \l "b3_ref62"</w:instrText>
      </w:r>
      <w:r>
        <w:fldChar w:fldCharType="separate"/>
      </w:r>
      <w:r>
        <w:rPr>
          <w:b/>
          <w:bCs/>
          <w:rtl/>
        </w:rPr>
        <w:t>62</w:t>
      </w:r>
      <w:r>
        <w:rPr>
          <w:b/>
          <w:bCs/>
        </w:rPr>
        <w:fldChar w:fldCharType="end"/>
      </w:r>
      <w:bookmarkEnd w:id="1816"/>
      <w:r>
        <w:rPr>
          <w:rtl/>
        </w:rPr>
        <w:t xml:space="preserve"> ראה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bookmarkStart w:id="1817" w:name="b3_note63"/>
    <w:p w14:paraId="2FC7277A" w14:textId="77777777" w:rsidR="00AB3647" w:rsidRDefault="00000000" w:rsidP="007923E9">
      <w:pPr>
        <w:spacing w:before="120" w:after="100" w:line="276" w:lineRule="auto"/>
        <w:jc w:val="both"/>
      </w:pPr>
      <w:r>
        <w:fldChar w:fldCharType="begin" w:dirty="true"/>
      </w:r>
      <w:r>
        <w:instrText>HYPERLINK \l "b3_ref63"</w:instrText>
      </w:r>
      <w:r>
        <w:fldChar w:fldCharType="separate"/>
      </w:r>
      <w:r>
        <w:rPr>
          <w:b/>
          <w:bCs/>
          <w:rtl/>
        </w:rPr>
        <w:t>63</w:t>
      </w:r>
      <w:r>
        <w:rPr>
          <w:b/>
          <w:bCs/>
        </w:rPr>
        <w:fldChar w:fldCharType="end"/>
      </w:r>
      <w:bookmarkEnd w:id="1817"/>
      <w:r>
        <w:rPr>
          <w:rtl/>
        </w:rPr>
        <w:t xml:space="preserve"> “שרי המאה”</w:t>
      </w:r>
      <w:bookmarkStart w:id="1818" w:name="_fnr1167"/>
      <w:r>
        <w:rPr>
          <w:rStyle w:val="a5"/>
        </w:rPr>
        <w:footnoteReference w:id="1169" w:customMarkFollows="0"/>
      </w:r>
      <w:bookmarkEnd w:id="1818"/>
      <w:r>
        <w:rPr>
          <w:rtl/>
        </w:rPr>
        <w:t xml:space="preserve"> מביא שיחה של הסבא </w:t>
      </w:r>
      <w:proofErr w:type="spellStart"/>
      <w:r>
        <w:rPr>
          <w:rtl/>
        </w:rPr>
        <w:t>מסלבודקה</w:t>
      </w:r>
      <w:proofErr w:type="spellEnd"/>
      <w:r>
        <w:rPr>
          <w:rtl/>
        </w:rPr>
        <w:t>, המגדירה את חטאו של משה רבנו במי מריבה כהחמצת ההזדמנות לרומם את העדה. השווה גם “שרי המאה”</w:t>
      </w:r>
      <w:bookmarkStart w:id="1819" w:name="_fnr1168"/>
      <w:r>
        <w:rPr>
          <w:rStyle w:val="a5"/>
        </w:rPr>
        <w:footnoteReference w:id="1170" w:customMarkFollows="0"/>
      </w:r>
      <w:bookmarkEnd w:id="1819"/>
      <w:r>
        <w:rPr>
          <w:rtl/>
        </w:rPr>
        <w:t xml:space="preserve">, המביא את הסבר הסבא למאמר “הקב״ה מדקדק עם </w:t>
      </w:r>
      <w:proofErr w:type="spellStart"/>
      <w:r>
        <w:rPr>
          <w:rtl/>
        </w:rPr>
        <w:t>סביביו</w:t>
      </w:r>
      <w:proofErr w:type="spellEnd"/>
      <w:r>
        <w:rPr>
          <w:rtl/>
        </w:rPr>
        <w:t xml:space="preserve"> כחוט השערה”</w:t>
      </w:r>
      <w:bookmarkStart w:id="1820" w:name="_fnr1169"/>
      <w:r>
        <w:rPr>
          <w:rStyle w:val="a5"/>
        </w:rPr>
        <w:footnoteReference w:id="1171" w:customMarkFollows="0"/>
      </w:r>
      <w:bookmarkEnd w:id="1820"/>
      <w:r>
        <w:rPr>
          <w:rtl/>
        </w:rPr>
        <w:t>: בעלי המעלה הקדושים נדרשים לחנך את ההמונים בהיותם דמויות מופת המעוררות אותם, ואם יש בהם פגם, ולו הקטן ביותר, לא יצליחו במשימה זו.</w:t>
      </w:r>
    </w:p>
    <w:p w14:paraId="064252DC" w14:textId="77777777" w:rsidR="00AB3647" w:rsidRDefault="00000000" w:rsidP="007923E9">
      <w:pPr>
        <w:spacing w:before="120" w:after="100" w:line="276" w:lineRule="auto"/>
        <w:jc w:val="both"/>
      </w:pPr>
      <w:r>
        <w:rPr>
          <w:rtl/>
        </w:rPr>
        <w:t>אופיינית לגישת המוסר המתוקנת היא אמירה של ר׳ אייזיק שר</w:t>
      </w:r>
      <w:bookmarkStart w:id="1821" w:name="_fnr1170"/>
      <w:r>
        <w:rPr>
          <w:rStyle w:val="a5"/>
        </w:rPr>
        <w:footnoteReference w:id="1172" w:customMarkFollows="0"/>
      </w:r>
      <w:bookmarkEnd w:id="1821"/>
      <w:r>
        <w:rPr>
          <w:rtl/>
        </w:rPr>
        <w:t>, המובאת שם</w:t>
      </w:r>
      <w:bookmarkStart w:id="1822" w:name="_fnr1171"/>
      <w:r>
        <w:rPr>
          <w:rStyle w:val="a5"/>
        </w:rPr>
        <w:footnoteReference w:id="1173" w:customMarkFollows="0"/>
      </w:r>
      <w:bookmarkEnd w:id="1822"/>
      <w:r>
        <w:rPr>
          <w:rtl/>
        </w:rPr>
        <w:t>: “חיטוט מופרז [בנבכי לבו של תלמיד מיוסר] הוא ביסודו פרי נטייה סדיסטית – מעין תאווה, רחמנא ליצלן, לראות נפש אדם בפרפוריה...”</w:t>
      </w:r>
      <w:bookmarkStart w:id="1823" w:name="_fnr1172"/>
      <w:r>
        <w:rPr>
          <w:rStyle w:val="a5"/>
        </w:rPr>
        <w:footnoteReference w:id="1174" w:customMarkFollows="0"/>
      </w:r>
      <w:bookmarkEnd w:id="1823"/>
    </w:p>
    <w:p w14:paraId="397165BD" w14:textId="77777777" w:rsidR="00AB3647" w:rsidRDefault="00000000" w:rsidP="007923E9">
      <w:pPr>
        <w:spacing w:before="120" w:after="100" w:line="276" w:lineRule="auto"/>
        <w:jc w:val="both"/>
      </w:pPr>
      <w:r>
        <w:rPr>
          <w:rtl/>
        </w:rPr>
        <w:t xml:space="preserve">השווה גם “החוזה מליטא” מאת חיים ע. </w:t>
      </w:r>
      <w:proofErr w:type="spellStart"/>
      <w:r>
        <w:rPr>
          <w:rtl/>
        </w:rPr>
        <w:t>קוליץ</w:t>
      </w:r>
      <w:bookmarkStart w:id="1824" w:name="_fnr1173"/>
      <w:proofErr w:type="spellEnd"/>
      <w:r>
        <w:rPr>
          <w:rStyle w:val="a5"/>
        </w:rPr>
        <w:footnoteReference w:id="1175" w:customMarkFollows="0"/>
      </w:r>
      <w:bookmarkEnd w:id="1824"/>
      <w:r>
        <w:rPr>
          <w:rtl/>
        </w:rPr>
        <w:t xml:space="preserve">, הממחיש כיצד השתלבה גישתו של הרב שר עם גישת </w:t>
      </w:r>
      <w:proofErr w:type="spellStart"/>
      <w:r>
        <w:rPr>
          <w:rtl/>
        </w:rPr>
        <w:t>החזון־איש</w:t>
      </w:r>
      <w:proofErr w:type="spellEnd"/>
      <w:r>
        <w:rPr>
          <w:rtl/>
        </w:rPr>
        <w:t>, שהתנגד למוסר: “רבנו [</w:t>
      </w:r>
      <w:proofErr w:type="spellStart"/>
      <w:r>
        <w:rPr>
          <w:rtl/>
        </w:rPr>
        <w:t>החזון־איש</w:t>
      </w:r>
      <w:proofErr w:type="spellEnd"/>
      <w:r>
        <w:rPr>
          <w:rtl/>
        </w:rPr>
        <w:t xml:space="preserve">] לא ייחס בדרך כלל חשיבות לדרישה </w:t>
      </w:r>
      <w:proofErr w:type="spellStart"/>
      <w:r>
        <w:rPr>
          <w:rtl/>
        </w:rPr>
        <w:t>ה‘מוסרית</w:t>
      </w:r>
      <w:proofErr w:type="spellEnd"/>
      <w:r>
        <w:rPr>
          <w:rtl/>
        </w:rPr>
        <w:t xml:space="preserve">’ </w:t>
      </w:r>
      <w:proofErr w:type="spellStart"/>
      <w:r>
        <w:rPr>
          <w:rtl/>
        </w:rPr>
        <w:t>ל‘שבירת</w:t>
      </w:r>
      <w:proofErr w:type="spellEnd"/>
      <w:r>
        <w:rPr>
          <w:rtl/>
        </w:rPr>
        <w:t xml:space="preserve"> המידות’ [של האישיות], ולא להתפעלות יתרה מכוחות הנפש, </w:t>
      </w:r>
      <w:r>
        <w:rPr>
          <w:b/>
          <w:bCs/>
          <w:rtl/>
        </w:rPr>
        <w:t>ופחות מכך לחיטוט בנפשו של הזולת</w:t>
      </w:r>
      <w:r>
        <w:rPr>
          <w:rtl/>
        </w:rPr>
        <w:t xml:space="preserve"> [ההדגשה שלי]. היה אומר: ‘אין אנו צריכים לומר לאדם כל מה שאנו יודעים עליו.’ לדעתו, מעשים טובים אינם נפסלים מפני שעושיהם מכוונים לתועלת עצמם; ואף לא סבר שטובת הנאה כלשהי – ‘נגיעה’ בלשון המוסר – היא נגע צרעת המחייב גירוד מתמיד. העושה כן נעשה נגוע מן הגירוד עצמו. רבנו חייך ולחש: ‘לבורא העולם ולתורתו יש יותר אמון באדם מאשר לבעלי המוסר </w:t>
      </w:r>
      <w:proofErr w:type="spellStart"/>
      <w:r>
        <w:rPr>
          <w:rtl/>
        </w:rPr>
        <w:t>מנובהרדוק</w:t>
      </w:r>
      <w:proofErr w:type="spellEnd"/>
      <w:r>
        <w:rPr>
          <w:rtl/>
        </w:rPr>
        <w:t>’</w:t>
      </w:r>
      <w:bookmarkStart w:id="1825" w:name="_fnr1174"/>
      <w:r>
        <w:rPr>
          <w:rStyle w:val="a5"/>
        </w:rPr>
        <w:footnoteReference w:id="1176" w:customMarkFollows="0"/>
      </w:r>
      <w:bookmarkEnd w:id="1825"/>
      <w:r>
        <w:rPr>
          <w:rtl/>
        </w:rPr>
        <w:t>.”</w:t>
      </w:r>
    </w:p>
    <w:bookmarkStart w:id="1826" w:name="b3_note64"/>
    <w:p w14:paraId="4E58D6C1" w14:textId="77777777" w:rsidR="00AB3647" w:rsidRDefault="00000000" w:rsidP="007923E9">
      <w:pPr>
        <w:spacing w:before="120" w:after="100" w:line="276" w:lineRule="auto"/>
        <w:jc w:val="both"/>
      </w:pPr>
      <w:r>
        <w:fldChar w:fldCharType="begin" w:dirty="true"/>
      </w:r>
      <w:r>
        <w:instrText>HYPERLINK \l "b3_ref64"</w:instrText>
      </w:r>
      <w:r>
        <w:fldChar w:fldCharType="separate"/>
      </w:r>
      <w:r>
        <w:rPr>
          <w:b/>
          <w:bCs/>
          <w:rtl/>
        </w:rPr>
        <w:t>64</w:t>
      </w:r>
      <w:r>
        <w:rPr>
          <w:b/>
          <w:bCs/>
        </w:rPr>
        <w:fldChar w:fldCharType="end"/>
      </w:r>
      <w:bookmarkEnd w:id="1826"/>
      <w:r>
        <w:rPr>
          <w:rtl/>
        </w:rPr>
        <w:t xml:space="preserve"> מעניין להשוות את הכינוי המקטין לכאורה שבפי בעלי המוסר לכינוי הנשגב שבו מכנים החסידים את שיחות רבותיהם: “דברי </w:t>
      </w:r>
      <w:proofErr w:type="spellStart"/>
      <w:r>
        <w:rPr>
          <w:rtl/>
        </w:rPr>
        <w:t>א־להים</w:t>
      </w:r>
      <w:proofErr w:type="spellEnd"/>
      <w:r>
        <w:rPr>
          <w:rtl/>
        </w:rPr>
        <w:t xml:space="preserve"> חיים”. הכינוי החסידי מדגיש את חשיבותם המכרעת והעצומה של דברי הרבי, ואילו המוסר נראה כמי שהופך את תורתו שלו לדבר חסר </w:t>
      </w:r>
      <w:r>
        <w:rPr>
          <w:rtl/>
        </w:rPr>
        <w:lastRenderedPageBreak/>
        <w:t xml:space="preserve">חשיבות. השווה גם “ספר </w:t>
      </w:r>
      <w:proofErr w:type="spellStart"/>
      <w:r>
        <w:rPr>
          <w:rtl/>
        </w:rPr>
        <w:t>הזכרון</w:t>
      </w:r>
      <w:proofErr w:type="spellEnd"/>
      <w:r>
        <w:rPr>
          <w:rtl/>
        </w:rPr>
        <w:t xml:space="preserve"> למרן בעל </w:t>
      </w:r>
      <w:proofErr w:type="spellStart"/>
      <w:r>
        <w:rPr>
          <w:rtl/>
        </w:rPr>
        <w:t>ה‘פחד</w:t>
      </w:r>
      <w:proofErr w:type="spellEnd"/>
      <w:r>
        <w:rPr>
          <w:rtl/>
        </w:rPr>
        <w:t xml:space="preserve"> יצחק’ זצ״ל”</w:t>
      </w:r>
      <w:bookmarkStart w:id="1827" w:name="_fnr1175"/>
      <w:r>
        <w:rPr>
          <w:rStyle w:val="a5"/>
        </w:rPr>
        <w:footnoteReference w:id="1177" w:customMarkFollows="0"/>
      </w:r>
      <w:bookmarkEnd w:id="1827"/>
      <w:r>
        <w:rPr>
          <w:rtl/>
        </w:rPr>
        <w:t xml:space="preserve">, המביא מפי ר׳ יצחק </w:t>
      </w:r>
      <w:proofErr w:type="spellStart"/>
      <w:r>
        <w:rPr>
          <w:rtl/>
        </w:rPr>
        <w:t>הוטנר</w:t>
      </w:r>
      <w:proofErr w:type="spellEnd"/>
      <w:r>
        <w:rPr>
          <w:rtl/>
        </w:rPr>
        <w:t xml:space="preserve"> משמעות נוספת, דחוקה, לכינוי “</w:t>
      </w:r>
      <w:proofErr w:type="spellStart"/>
      <w:r>
        <w:rPr>
          <w:rtl/>
        </w:rPr>
        <w:t>שמועס</w:t>
      </w:r>
      <w:proofErr w:type="spellEnd"/>
      <w:r>
        <w:rPr>
          <w:rtl/>
        </w:rPr>
        <w:t>”, כלומר שיחה.</w:t>
      </w:r>
    </w:p>
    <w:p w14:paraId="413394D0" w14:textId="77777777" w:rsidR="00AB3647" w:rsidRDefault="00000000" w:rsidP="007923E9">
      <w:pPr>
        <w:spacing w:before="120" w:after="100" w:line="276" w:lineRule="auto"/>
        <w:jc w:val="both"/>
      </w:pPr>
      <w:r>
        <w:rPr>
          <w:rtl/>
        </w:rPr>
        <w:t xml:space="preserve">ר׳ יצחק </w:t>
      </w:r>
      <w:proofErr w:type="spellStart"/>
      <w:r>
        <w:rPr>
          <w:rtl/>
        </w:rPr>
        <w:t>הוטנר</w:t>
      </w:r>
      <w:proofErr w:type="spellEnd"/>
      <w:r>
        <w:rPr>
          <w:rtl/>
        </w:rPr>
        <w:t xml:space="preserve"> משווה בין מהירות האור לבין המהירות שבה לקח </w:t>
      </w:r>
      <w:proofErr w:type="spellStart"/>
      <w:r>
        <w:rPr>
          <w:rtl/>
        </w:rPr>
        <w:t>מ“חכמת</w:t>
      </w:r>
      <w:proofErr w:type="spellEnd"/>
      <w:r>
        <w:rPr>
          <w:rtl/>
        </w:rPr>
        <w:t xml:space="preserve"> המצפון” משפיע במידה כלשהי על “כוחות הנפש”. על יסוד זה הוא מסביר שהכינוי “שיחה” אינו מכוון לדו־שיח בין המחנך לתלמידו, אלא למה שמתרחש בתוך המאזין עצמו: “שיחה עם נפשו כדי לעורר את עצמו ליישם את הלקח [השכלי] ברגע אמירתו”. את השיחות ששמע הרב </w:t>
      </w:r>
      <w:proofErr w:type="spellStart"/>
      <w:r>
        <w:rPr>
          <w:rtl/>
        </w:rPr>
        <w:t>הוטנר</w:t>
      </w:r>
      <w:proofErr w:type="spellEnd"/>
      <w:r>
        <w:rPr>
          <w:rtl/>
        </w:rPr>
        <w:t xml:space="preserve"> בימי לימודיו </w:t>
      </w:r>
      <w:proofErr w:type="spellStart"/>
      <w:r>
        <w:rPr>
          <w:rtl/>
        </w:rPr>
        <w:t>בסלבודקה</w:t>
      </w:r>
      <w:proofErr w:type="spellEnd"/>
      <w:r>
        <w:rPr>
          <w:rtl/>
        </w:rPr>
        <w:t xml:space="preserve"> מסרו הסבא ובכיר תלמידיו, ר׳ אברהם </w:t>
      </w:r>
      <w:proofErr w:type="spellStart"/>
      <w:r>
        <w:rPr>
          <w:rtl/>
        </w:rPr>
        <w:t>גרודזינסקי</w:t>
      </w:r>
      <w:proofErr w:type="spellEnd"/>
      <w:r>
        <w:rPr>
          <w:rtl/>
        </w:rPr>
        <w:t>, והן ניתנו כהרצאות ולא כדברי התעוררות</w:t>
      </w:r>
      <w:bookmarkStart w:id="1828" w:name="_fnr1176"/>
      <w:r>
        <w:rPr>
          <w:rStyle w:val="a5"/>
        </w:rPr>
        <w:footnoteReference w:id="1178" w:customMarkFollows="0"/>
      </w:r>
      <w:bookmarkEnd w:id="1828"/>
      <w:r>
        <w:rPr>
          <w:rtl/>
        </w:rPr>
        <w:t>. לפיכך ייחס את השפעותיהן על הנפש, מהירות ככל שהיו, לפעולתו של המאזין.</w:t>
      </w:r>
    </w:p>
    <w:p w14:paraId="72E0BC36" w14:textId="77777777" w:rsidR="00AB3647" w:rsidRDefault="00000000" w:rsidP="007923E9">
      <w:pPr>
        <w:spacing w:before="120" w:after="100" w:line="276" w:lineRule="auto"/>
        <w:jc w:val="both"/>
      </w:pPr>
      <w:r>
        <w:rPr>
          <w:rtl/>
        </w:rPr>
        <w:t>אבל אני סבור שהכינוי “</w:t>
      </w:r>
      <w:proofErr w:type="spellStart"/>
      <w:r>
        <w:rPr>
          <w:rtl/>
        </w:rPr>
        <w:t>שמועסן</w:t>
      </w:r>
      <w:proofErr w:type="spellEnd"/>
      <w:r>
        <w:rPr>
          <w:rtl/>
        </w:rPr>
        <w:t xml:space="preserve">” לשיחות מוסר, המשמש לא רק </w:t>
      </w:r>
      <w:proofErr w:type="spellStart"/>
      <w:r>
        <w:rPr>
          <w:rtl/>
        </w:rPr>
        <w:t>בסלבודקה</w:t>
      </w:r>
      <w:proofErr w:type="spellEnd"/>
      <w:r>
        <w:rPr>
          <w:rtl/>
        </w:rPr>
        <w:t xml:space="preserve"> אלא בכל ישיבות המוסר, הונהג כוויתור למתנגדי המוסר. הייתה בו אמירה שהמוסר משני ללימוד ההלכה בתוכנית הישיבה: הראשון נושא אופי בלתי רשמי יחסית – שיחה – ואילו השני הוא עיסוקו המחייב של המוסד, סדרו הקבוע – “שיעור”.</w:t>
      </w:r>
    </w:p>
    <w:bookmarkStart w:id="1829" w:name="b3_note65"/>
    <w:p w14:paraId="32A15CDA" w14:textId="714B4F09" w:rsidR="00AB3647" w:rsidRDefault="00000000" w:rsidP="007923E9">
      <w:pPr>
        <w:spacing w:before="120" w:after="100" w:line="276" w:lineRule="auto"/>
        <w:jc w:val="both"/>
      </w:pPr>
      <w:r>
        <w:fldChar w:fldCharType="begin" w:dirty="true"/>
      </w:r>
      <w:r>
        <w:instrText>HYPERLINK \l "b3_ref65"</w:instrText>
      </w:r>
      <w:r>
        <w:fldChar w:fldCharType="separate"/>
      </w:r>
      <w:r>
        <w:rPr>
          <w:b/>
          <w:bCs/>
          <w:rtl/>
        </w:rPr>
        <w:t>65</w:t>
      </w:r>
      <w:r>
        <w:rPr>
          <w:b/>
          <w:bCs/>
        </w:rPr>
        <w:fldChar w:fldCharType="end"/>
      </w:r>
      <w:bookmarkEnd w:id="1829"/>
      <w:r>
        <w:rPr>
          <w:rtl/>
        </w:rPr>
        <w:t xml:space="preserve"> ראה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p w14:paraId="7373ED23" w14:textId="0BCEF47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עד שבאו אבי וחבריו </w:t>
      </w:r>
      <w:proofErr w:type="spellStart"/>
      <w:r>
        <w:rPr>
          <w:rtl/>
        </w:rPr>
        <w:t>לסלבודקה</w:t>
      </w:r>
      <w:proofErr w:type="spellEnd"/>
      <w:r>
        <w:rPr>
          <w:rtl/>
        </w:rPr>
        <w:t>, כבר חלפו האירועים המטלטלים של תשע השנים הראשונות של הישיבות</w:t>
      </w:r>
      <w:bookmarkStart w:id="1830" w:name="b3_ref66"/>
      <w:bookmarkEnd w:id="1830"/>
      <w:r>
        <w:rPr>
          <w:vertAlign w:val="superscript"/>
          <w:rtl/>
        </w:rPr>
        <w:fldChar w:fldCharType="begin" w:dirty="true"/>
      </w:r>
      <w:r>
        <w:rPr>
          <w:vertAlign w:val="superscript"/>
          <w:rtl/>
        </w:rPr>
        <w:instrText xml:space="preserve"> REF b3_note66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xml:space="preserve">. כנסת בית יצחק כבר קבעה את דרכה: התמסרות ללמדנות התורה מתוך יראת שמים. כנסת ישראל, לעומתה, בעלת הדפוס הייחודי ליצירת “תלמיד הסבא </w:t>
      </w:r>
      <w:proofErr w:type="spellStart"/>
      <w:r>
        <w:rPr>
          <w:rtl/>
        </w:rPr>
        <w:t>מסלבודקה</w:t>
      </w:r>
      <w:proofErr w:type="spellEnd"/>
      <w:r>
        <w:rPr>
          <w:rtl/>
        </w:rPr>
        <w:t>” גאה ומתבונן, נכנסה לתקופה המצליחה ביותר בתולדותיה</w:t>
      </w:r>
      <w:bookmarkStart w:id="1831" w:name="b3_ref67"/>
      <w:bookmarkEnd w:id="1831"/>
      <w:r>
        <w:rPr>
          <w:vertAlign w:val="superscript"/>
          <w:rtl/>
        </w:rPr>
        <w:fldChar w:fldCharType="begin" w:dirty="true"/>
      </w:r>
      <w:r>
        <w:rPr>
          <w:vertAlign w:val="superscript"/>
          <w:rtl/>
        </w:rPr>
        <w:instrText xml:space="preserve"> REF b3_note67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xml:space="preserve"> – תקופה שנועדה להימשך עד פרוץ מלחמת העולם הראשונה.</w:t>
      </w:r>
    </w:p>
    <w:bookmarkStart w:id="1832" w:name="b3_note66"/>
    <w:p w14:paraId="415D3EAB" w14:textId="77777777" w:rsidR="00AB3647" w:rsidRDefault="00000000" w:rsidP="007923E9">
      <w:pPr>
        <w:spacing w:before="120" w:after="100" w:line="276" w:lineRule="auto"/>
        <w:jc w:val="both"/>
      </w:pPr>
      <w:r>
        <w:fldChar w:fldCharType="begin" w:dirty="true"/>
      </w:r>
      <w:r>
        <w:instrText>HYPERLINK \l "b3_ref66"</w:instrText>
      </w:r>
      <w:r>
        <w:fldChar w:fldCharType="separate"/>
      </w:r>
      <w:r>
        <w:rPr>
          <w:b/>
          <w:bCs/>
          <w:rtl/>
        </w:rPr>
        <w:t>66</w:t>
      </w:r>
      <w:r>
        <w:rPr>
          <w:b/>
          <w:bCs/>
        </w:rPr>
        <w:fldChar w:fldCharType="end"/>
      </w:r>
      <w:bookmarkEnd w:id="1832"/>
      <w:r>
        <w:rPr>
          <w:rtl/>
        </w:rPr>
        <w:t xml:space="preserve"> אבי הגיע בזמן שתקופת המרד, שהסתיימה זמן קצר קודם לכן, עוד הייתה חיה מאוד בזיכרונם של התלמידים המבוגרים. את התלמידים שהשתתפו במרד כינה “</w:t>
      </w:r>
      <w:proofErr w:type="spellStart"/>
      <w:r>
        <w:rPr>
          <w:rtl/>
        </w:rPr>
        <w:t>הבונטובצ׳יקים</w:t>
      </w:r>
      <w:proofErr w:type="spellEnd"/>
      <w:r>
        <w:rPr>
          <w:rtl/>
        </w:rPr>
        <w:t xml:space="preserve"> [הקושרים]”</w:t>
      </w:r>
      <w:bookmarkStart w:id="1833" w:name="_fnr1177"/>
      <w:r>
        <w:rPr>
          <w:rStyle w:val="a5"/>
        </w:rPr>
        <w:footnoteReference w:id="1179" w:customMarkFollows="0"/>
      </w:r>
      <w:bookmarkEnd w:id="1833"/>
      <w:r>
        <w:rPr>
          <w:rtl/>
        </w:rPr>
        <w:t>.</w:t>
      </w:r>
    </w:p>
    <w:bookmarkStart w:id="1834" w:name="b3_note67"/>
    <w:p w14:paraId="3139EFC7" w14:textId="77777777" w:rsidR="00AB3647" w:rsidRDefault="00000000" w:rsidP="007923E9">
      <w:pPr>
        <w:spacing w:before="120" w:after="100" w:line="276" w:lineRule="auto"/>
        <w:jc w:val="both"/>
      </w:pPr>
      <w:r>
        <w:fldChar w:fldCharType="begin" w:dirty="true"/>
      </w:r>
      <w:r>
        <w:instrText>HYPERLINK \l "b3_ref67"</w:instrText>
      </w:r>
      <w:r>
        <w:fldChar w:fldCharType="separate"/>
      </w:r>
      <w:r>
        <w:rPr>
          <w:b/>
          <w:bCs/>
          <w:rtl/>
        </w:rPr>
        <w:t>67</w:t>
      </w:r>
      <w:r>
        <w:rPr>
          <w:b/>
          <w:bCs/>
        </w:rPr>
        <w:fldChar w:fldCharType="end"/>
      </w:r>
      <w:bookmarkEnd w:id="1834"/>
      <w:r>
        <w:rPr>
          <w:rtl/>
        </w:rPr>
        <w:t xml:space="preserve"> רבנו אמר זאת בריאיון המוקלט על הסבא </w:t>
      </w:r>
      <w:proofErr w:type="spellStart"/>
      <w:r>
        <w:rPr>
          <w:rtl/>
        </w:rPr>
        <w:t>מסלבודקה</w:t>
      </w:r>
      <w:proofErr w:type="spellEnd"/>
      <w:r>
        <w:rPr>
          <w:rtl/>
        </w:rPr>
        <w:t>. אבל כץ, “תנועת המוסר”, כרך ג</w:t>
      </w:r>
      <w:bookmarkStart w:id="1835" w:name="_fnr1178"/>
      <w:r>
        <w:rPr>
          <w:rStyle w:val="a5"/>
        </w:rPr>
        <w:footnoteReference w:id="1180" w:customMarkFollows="0"/>
      </w:r>
      <w:bookmarkEnd w:id="1835"/>
      <w:r>
        <w:rPr>
          <w:rtl/>
        </w:rPr>
        <w:t xml:space="preserve">, טוען שראשית העשור שלאחר מלחמת העולם הראשונה הייתה “לדעת הבקיאים, אחת התקופות המפוארות ביותר של הישיבה מאז </w:t>
      </w:r>
      <w:proofErr w:type="spellStart"/>
      <w:r>
        <w:rPr>
          <w:rtl/>
        </w:rPr>
        <w:t>היווסדה</w:t>
      </w:r>
      <w:proofErr w:type="spellEnd"/>
      <w:r>
        <w:rPr>
          <w:rtl/>
        </w:rPr>
        <w:t>, הן בכמות הן באיכות”.</w:t>
      </w:r>
    </w:p>
    <w:p w14:paraId="16B06DFA" w14:textId="77777777" w:rsidR="00AB3647" w:rsidRDefault="00000000" w:rsidP="007923E9">
      <w:pPr>
        <w:pStyle w:val="2"/>
        <w:spacing w:line="276" w:lineRule="auto"/>
      </w:pPr>
      <w:bookmarkStart w:id="1836" w:name="b3_sec2"/>
      <w:r>
        <w:lastRenderedPageBreak/>
        <w:t>2.</w:t>
      </w:r>
      <w:bookmarkEnd w:id="1836"/>
    </w:p>
    <w:p w14:paraId="0977CAA5" w14:textId="009D4B3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כשהגיעו שלושת הנוסעים לקובנה, כבר לא עמד שם גשר העץ שחיבר את </w:t>
      </w:r>
      <w:proofErr w:type="spellStart"/>
      <w:r>
        <w:rPr>
          <w:rtl/>
        </w:rPr>
        <w:t>סלבודקה</w:t>
      </w:r>
      <w:proofErr w:type="spellEnd"/>
      <w:r>
        <w:rPr>
          <w:rtl/>
        </w:rPr>
        <w:t xml:space="preserve"> לעיר: חודש קודם לכן סחפו אותו מי הנהר בהפשרת הקרח. אבל שלושה בחורים מישיבת </w:t>
      </w:r>
      <w:proofErr w:type="spellStart"/>
      <w:r>
        <w:rPr>
          <w:rtl/>
        </w:rPr>
        <w:t>סלבודקה</w:t>
      </w:r>
      <w:proofErr w:type="spellEnd"/>
      <w:r>
        <w:rPr>
          <w:rtl/>
        </w:rPr>
        <w:t xml:space="preserve">, שעמדו על המשמר וציפו לתלמידים החדשים, באו לקראתם במעבורת קטנה מן העבר האחר של נהר </w:t>
      </w:r>
      <w:proofErr w:type="spellStart"/>
      <w:r>
        <w:rPr>
          <w:rtl/>
        </w:rPr>
        <w:t>הוויליה</w:t>
      </w:r>
      <w:proofErr w:type="spellEnd"/>
      <w:r>
        <w:rPr>
          <w:rtl/>
        </w:rPr>
        <w:t>, לקבל את פניהם ולהעבירם. ועדת קבלת הפנים</w:t>
      </w:r>
      <w:bookmarkStart w:id="1837" w:name="b3_ref68"/>
      <w:bookmarkEnd w:id="1837"/>
      <w:r>
        <w:rPr>
          <w:vertAlign w:val="superscript"/>
          <w:rtl/>
        </w:rPr>
        <w:fldChar w:fldCharType="begin" w:dirty="true"/>
      </w:r>
      <w:r>
        <w:rPr>
          <w:vertAlign w:val="superscript"/>
          <w:rtl/>
        </w:rPr>
        <w:instrText xml:space="preserve"> REF b3_note68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כללה את מכרם של הנוסעים ממינסק, אשר </w:t>
      </w:r>
      <w:proofErr w:type="spellStart"/>
      <w:r>
        <w:rPr>
          <w:rtl/>
        </w:rPr>
        <w:t>קרשטיין</w:t>
      </w:r>
      <w:proofErr w:type="spellEnd"/>
      <w:r>
        <w:rPr>
          <w:rtl/>
        </w:rPr>
        <w:t>, את שותפו לחדר</w:t>
      </w:r>
      <w:bookmarkStart w:id="1838" w:name="b3_ref69"/>
      <w:bookmarkEnd w:id="1838"/>
      <w:r>
        <w:rPr>
          <w:vertAlign w:val="superscript"/>
          <w:rtl/>
        </w:rPr>
        <w:fldChar w:fldCharType="begin" w:dirty="true"/>
      </w:r>
      <w:r>
        <w:rPr>
          <w:vertAlign w:val="superscript"/>
          <w:rtl/>
        </w:rPr>
        <w:instrText xml:space="preserve"> REF b3_note69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 xml:space="preserve">,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(פרידמן)</w:t>
      </w:r>
      <w:bookmarkStart w:id="1839" w:name="b3_ref70"/>
      <w:bookmarkEnd w:id="1839"/>
      <w:r>
        <w:rPr>
          <w:vertAlign w:val="superscript"/>
          <w:rtl/>
        </w:rPr>
        <w:fldChar w:fldCharType="begin" w:dirty="true"/>
      </w:r>
      <w:r>
        <w:rPr>
          <w:vertAlign w:val="superscript"/>
          <w:rtl/>
        </w:rPr>
        <w:instrText xml:space="preserve"> REF b3_note70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xml:space="preserve">, ואת </w:t>
      </w:r>
      <w:proofErr w:type="spellStart"/>
      <w:r>
        <w:rPr>
          <w:rtl/>
        </w:rPr>
        <w:t>יעקב־משה</w:t>
      </w:r>
      <w:proofErr w:type="spellEnd"/>
      <w:r>
        <w:rPr>
          <w:rtl/>
        </w:rPr>
        <w:t xml:space="preserve"> </w:t>
      </w:r>
      <w:proofErr w:type="spellStart"/>
      <w:r>
        <w:rPr>
          <w:rtl/>
        </w:rPr>
        <w:t>קאפוליער</w:t>
      </w:r>
      <w:proofErr w:type="spellEnd"/>
      <w:r>
        <w:rPr>
          <w:rtl/>
        </w:rPr>
        <w:t xml:space="preserve"> (לסין)</w:t>
      </w:r>
      <w:bookmarkStart w:id="1840" w:name="b3_ref71"/>
      <w:bookmarkEnd w:id="1840"/>
      <w:r>
        <w:rPr>
          <w:vertAlign w:val="superscript"/>
          <w:rtl/>
        </w:rPr>
        <w:fldChar w:fldCharType="begin" w:dirty="true"/>
      </w:r>
      <w:r>
        <w:rPr>
          <w:vertAlign w:val="superscript"/>
          <w:rtl/>
        </w:rPr>
        <w:instrText xml:space="preserve"> REF b3_note71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xml:space="preserve">. הם שיכנו את אבי ואת אהרן </w:t>
      </w:r>
      <w:proofErr w:type="spellStart"/>
      <w:r>
        <w:rPr>
          <w:rtl/>
        </w:rPr>
        <w:t>סיסלוביצ׳ר</w:t>
      </w:r>
      <w:proofErr w:type="spellEnd"/>
      <w:r>
        <w:rPr>
          <w:rtl/>
        </w:rPr>
        <w:t xml:space="preserve"> באחת </w:t>
      </w:r>
      <w:proofErr w:type="spellStart"/>
      <w:r>
        <w:rPr>
          <w:rtl/>
        </w:rPr>
        <w:t>הסטנציות</w:t>
      </w:r>
      <w:proofErr w:type="spellEnd"/>
      <w:r>
        <w:rPr>
          <w:rtl/>
        </w:rPr>
        <w:t xml:space="preserve"> שלהם </w:t>
      </w:r>
      <w:proofErr w:type="spellStart"/>
      <w:r>
        <w:rPr>
          <w:rtl/>
        </w:rPr>
        <w:t>בסלבודקה</w:t>
      </w:r>
      <w:proofErr w:type="spellEnd"/>
      <w:r>
        <w:rPr>
          <w:rtl/>
        </w:rPr>
        <w:t>, עד שהצעירים ישובצו במגוריהם הקבועים.</w:t>
      </w:r>
    </w:p>
    <w:bookmarkStart w:id="1841" w:name="b3_note68"/>
    <w:p w14:paraId="53A5BF9B" w14:textId="77777777" w:rsidR="00AB3647" w:rsidRDefault="00000000" w:rsidP="007923E9">
      <w:pPr>
        <w:spacing w:before="120" w:after="100" w:line="276" w:lineRule="auto"/>
        <w:jc w:val="both"/>
      </w:pPr>
      <w:r>
        <w:fldChar w:fldCharType="begin" w:dirty="true"/>
      </w:r>
      <w:r>
        <w:instrText>HYPERLINK \l "b3_ref68"</w:instrText>
      </w:r>
      <w:r>
        <w:fldChar w:fldCharType="separate"/>
      </w:r>
      <w:r>
        <w:rPr>
          <w:b/>
          <w:bCs/>
          <w:rtl/>
        </w:rPr>
        <w:t>68</w:t>
      </w:r>
      <w:r>
        <w:rPr>
          <w:b/>
          <w:bCs/>
        </w:rPr>
        <w:fldChar w:fldCharType="end"/>
      </w:r>
      <w:bookmarkEnd w:id="1841"/>
      <w:r>
        <w:rPr>
          <w:rtl/>
        </w:rPr>
        <w:t xml:space="preserve"> בשיחה מוקלטת באירוסיו של ר׳ שלמה פולק, באדר תש״ל, סיפר אבי את הפרטים כך: “כשהנהר קפא, חששו שהגשר עלול להתמוטט בכל רגע, וחצו בין </w:t>
      </w:r>
      <w:proofErr w:type="spellStart"/>
      <w:r>
        <w:rPr>
          <w:rtl/>
        </w:rPr>
        <w:t>סלבודקה</w:t>
      </w:r>
      <w:proofErr w:type="spellEnd"/>
      <w:r>
        <w:rPr>
          <w:rtl/>
        </w:rPr>
        <w:t xml:space="preserve"> לקובנה על פני הקרח. כשהנהר הפשיר והקרח נסחף במורד הזרם יחד עם הגשר, עברו במעבורת במשך כארבעה שבועות, עד שנבנה גשר חדש. מכיוון שבין הזמנים חל בדרך כלל באותה תקופה, היו הבחורים שהגיעו אחרי פסח צריכים לעבור מקובנה בסירה. בחורים ותיקים נהגו לצפות מן הצד של </w:t>
      </w:r>
      <w:proofErr w:type="spellStart"/>
      <w:r>
        <w:rPr>
          <w:rtl/>
        </w:rPr>
        <w:t>סלבודקה</w:t>
      </w:r>
      <w:proofErr w:type="spellEnd"/>
      <w:r>
        <w:rPr>
          <w:rtl/>
        </w:rPr>
        <w:t xml:space="preserve"> אל עבר התלמיד החדש, לעבור במעבורת להביאו ולארח אותו בימים הראשונים אחרי בואו. מארחיי היו הרב לסין [ר׳ </w:t>
      </w:r>
      <w:proofErr w:type="spellStart"/>
      <w:r>
        <w:rPr>
          <w:rtl/>
        </w:rPr>
        <w:t>יעקב־משה</w:t>
      </w:r>
      <w:proofErr w:type="spellEnd"/>
      <w:r>
        <w:rPr>
          <w:rtl/>
        </w:rPr>
        <w:t xml:space="preserve"> </w:t>
      </w:r>
      <w:proofErr w:type="spellStart"/>
      <w:r>
        <w:rPr>
          <w:rtl/>
        </w:rPr>
        <w:t>קאפוליער</w:t>
      </w:r>
      <w:proofErr w:type="spellEnd"/>
      <w:r>
        <w:rPr>
          <w:rtl/>
        </w:rPr>
        <w:t xml:space="preserve">], שיהיה בריא; ר׳ אשר </w:t>
      </w:r>
      <w:proofErr w:type="spellStart"/>
      <w:r>
        <w:rPr>
          <w:rtl/>
        </w:rPr>
        <w:t>קרשטיין</w:t>
      </w:r>
      <w:proofErr w:type="spellEnd"/>
      <w:r>
        <w:rPr>
          <w:rtl/>
        </w:rPr>
        <w:t xml:space="preserve">, המבוגר מן השלושה; ור׳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סבו של החתן. באתי יחד עם ר׳ אהרן קוטלר, ור׳ אשר </w:t>
      </w:r>
      <w:proofErr w:type="spellStart"/>
      <w:r>
        <w:rPr>
          <w:rtl/>
        </w:rPr>
        <w:t>קרשטיין</w:t>
      </w:r>
      <w:proofErr w:type="spellEnd"/>
      <w:r>
        <w:rPr>
          <w:rtl/>
        </w:rPr>
        <w:t xml:space="preserve"> לקח אותנו </w:t>
      </w:r>
      <w:proofErr w:type="spellStart"/>
      <w:r>
        <w:rPr>
          <w:rtl/>
        </w:rPr>
        <w:t>לסטנציה</w:t>
      </w:r>
      <w:proofErr w:type="spellEnd"/>
      <w:r>
        <w:rPr>
          <w:rtl/>
        </w:rPr>
        <w:t xml:space="preserve"> שלו עד אחרי שבת. אחר כך מצאנו לעצמנו </w:t>
      </w:r>
      <w:proofErr w:type="spellStart"/>
      <w:r>
        <w:rPr>
          <w:rtl/>
        </w:rPr>
        <w:t>סטנציות</w:t>
      </w:r>
      <w:proofErr w:type="spellEnd"/>
      <w:r>
        <w:rPr>
          <w:rtl/>
        </w:rPr>
        <w:t>.”</w:t>
      </w:r>
    </w:p>
    <w:p w14:paraId="18B488D5" w14:textId="77777777" w:rsidR="00AB3647" w:rsidRDefault="00000000" w:rsidP="007923E9">
      <w:pPr>
        <w:spacing w:after="100" w:line="276" w:lineRule="auto"/>
        <w:ind w:firstLine="340"/>
        <w:jc w:val="both"/>
      </w:pPr>
      <w:r>
        <w:rPr>
          <w:rtl/>
        </w:rPr>
        <w:t xml:space="preserve">בריאיון עם ר׳ </w:t>
      </w:r>
      <w:proofErr w:type="spellStart"/>
      <w:r>
        <w:rPr>
          <w:rtl/>
        </w:rPr>
        <w:t>אלעזר־מנחם־מן</w:t>
      </w:r>
      <w:proofErr w:type="spellEnd"/>
      <w:r>
        <w:rPr>
          <w:rtl/>
        </w:rPr>
        <w:t xml:space="preserve"> שך</w:t>
      </w:r>
      <w:bookmarkStart w:id="1842" w:name="_fnr1179"/>
      <w:r>
        <w:rPr>
          <w:rStyle w:val="a5"/>
        </w:rPr>
        <w:footnoteReference w:id="1181" w:customMarkFollows="0"/>
      </w:r>
      <w:bookmarkEnd w:id="1842"/>
      <w:r>
        <w:rPr>
          <w:rtl/>
        </w:rPr>
        <w:t xml:space="preserve"> הוא תיאר את שלוש השנים שבילה בכנסת ישראל </w:t>
      </w:r>
      <w:proofErr w:type="spellStart"/>
      <w:r>
        <w:rPr>
          <w:rtl/>
        </w:rPr>
        <w:t>בסלבודקה</w:t>
      </w:r>
      <w:proofErr w:type="spellEnd"/>
      <w:r>
        <w:rPr>
          <w:rtl/>
        </w:rPr>
        <w:t xml:space="preserve">, תרע״ב עד תרע״ד, והאיר באור מאלף את מצב הבחורים בשבתות שבהן לא היו גשר או קרח שיחברו בין </w:t>
      </w:r>
      <w:proofErr w:type="spellStart"/>
      <w:r>
        <w:rPr>
          <w:rtl/>
        </w:rPr>
        <w:t>סלבודקה</w:t>
      </w:r>
      <w:proofErr w:type="spellEnd"/>
      <w:r>
        <w:rPr>
          <w:rtl/>
        </w:rPr>
        <w:t xml:space="preserve"> לקובנה.</w:t>
      </w:r>
    </w:p>
    <w:p w14:paraId="60F21FF4" w14:textId="77777777" w:rsidR="00AB3647" w:rsidRDefault="00000000" w:rsidP="007923E9">
      <w:pPr>
        <w:spacing w:after="100" w:line="276" w:lineRule="auto"/>
        <w:ind w:firstLine="340"/>
        <w:jc w:val="both"/>
      </w:pPr>
      <w:r>
        <w:rPr>
          <w:rtl/>
        </w:rPr>
        <w:t xml:space="preserve">וכך אמר: “מכיוון שקובנה הייתה עיר מבצר, החוק הרוסי אסר לבנות בה גשרים מפלדה. משום כך, בכל שנה בסביבות פורים, כשהנהר הקפוא הפשיר, היה הגשר שבין </w:t>
      </w:r>
      <w:proofErr w:type="spellStart"/>
      <w:r>
        <w:rPr>
          <w:rtl/>
        </w:rPr>
        <w:t>סלבודקה</w:t>
      </w:r>
      <w:proofErr w:type="spellEnd"/>
      <w:r>
        <w:rPr>
          <w:rtl/>
        </w:rPr>
        <w:t xml:space="preserve"> לקובנה, שהיה עשוי עץ, מתפרק ונסחף, והתנועה ברגל נפסקה עד שנבנה גשר חדש. בחורי הישיבה אכלו בשבת בדרך כלל בבתי תושבי קובנה. בכל בית מדרש שם, בליל שבת אחרי התפילה, עמדה קבוצת בחורים והמתינה בשעה שהשמש סידר להם מקומות לסעודות שבת. היה זה בזיון התורה, שהתלמידים עמדו בפתח כקבצנים וחיכו להזמנה. מי שנותרו בלא הזמנה הלכו לבית הכנסת של שואבי המים, ושם ערך להם יהודי שולחן עם לחם משנה וחתיכת דג מלוח וכדומה. בשבתות שבין הריסת הגשר לבנייתו מחדש, כשהבחורים לא יכלו לשוב בסירה </w:t>
      </w:r>
      <w:proofErr w:type="spellStart"/>
      <w:r>
        <w:rPr>
          <w:rtl/>
        </w:rPr>
        <w:t>לסטנציות</w:t>
      </w:r>
      <w:proofErr w:type="spellEnd"/>
      <w:r>
        <w:rPr>
          <w:rtl/>
        </w:rPr>
        <w:t xml:space="preserve"> שלהם </w:t>
      </w:r>
      <w:proofErr w:type="spellStart"/>
      <w:r>
        <w:rPr>
          <w:rtl/>
        </w:rPr>
        <w:t>בסלבודקה</w:t>
      </w:r>
      <w:proofErr w:type="spellEnd"/>
      <w:r>
        <w:rPr>
          <w:rtl/>
        </w:rPr>
        <w:t>, כדרך שעשו בימות החול, הם ישנו על הספסלים בבתי המדרש.”</w:t>
      </w:r>
    </w:p>
    <w:p w14:paraId="43C0C5E8" w14:textId="77777777" w:rsidR="00AB3647" w:rsidRDefault="00000000" w:rsidP="007923E9">
      <w:pPr>
        <w:spacing w:after="100" w:line="276" w:lineRule="auto"/>
        <w:ind w:firstLine="340"/>
        <w:jc w:val="both"/>
      </w:pPr>
      <w:r>
        <w:rPr>
          <w:rtl/>
        </w:rPr>
        <w:lastRenderedPageBreak/>
        <w:t xml:space="preserve">ר׳ מאיר חדש, שהחל ללמוד </w:t>
      </w:r>
      <w:proofErr w:type="spellStart"/>
      <w:r>
        <w:rPr>
          <w:rtl/>
        </w:rPr>
        <w:t>בסלבודקה</w:t>
      </w:r>
      <w:proofErr w:type="spellEnd"/>
      <w:r>
        <w:rPr>
          <w:rtl/>
        </w:rPr>
        <w:t xml:space="preserve"> בזמן שהחל בה ר׳ </w:t>
      </w:r>
      <w:proofErr w:type="spellStart"/>
      <w:r>
        <w:rPr>
          <w:rtl/>
        </w:rPr>
        <w:t>אלעזר־מנחם־מן</w:t>
      </w:r>
      <w:proofErr w:type="spellEnd"/>
      <w:r>
        <w:rPr>
          <w:rtl/>
        </w:rPr>
        <w:t xml:space="preserve"> שך, סיפר</w:t>
      </w:r>
      <w:bookmarkStart w:id="1843" w:name="_fnr1180"/>
      <w:r>
        <w:rPr>
          <w:rStyle w:val="a5"/>
        </w:rPr>
        <w:footnoteReference w:id="1182" w:customMarkFollows="0"/>
      </w:r>
      <w:bookmarkEnd w:id="1843"/>
      <w:r>
        <w:rPr>
          <w:rtl/>
        </w:rPr>
        <w:t xml:space="preserve"> שתלמיד שלא נלקח לביתו של תושב קובנה קיבל סעודת שבת “באחד משני ‘מטבחים </w:t>
      </w:r>
      <w:proofErr w:type="spellStart"/>
      <w:r>
        <w:rPr>
          <w:rtl/>
        </w:rPr>
        <w:t>לקלויזניקעס</w:t>
      </w:r>
      <w:proofErr w:type="spellEnd"/>
      <w:r>
        <w:rPr>
          <w:rtl/>
        </w:rPr>
        <w:t xml:space="preserve">’ – את אחד מהם ניהל יהודי תלמיד חכם בשם חונה, ובו הגישו לו חתיכת דג וחתיכת נקניק”. הוא הוסיף: “היו בחורים מקפידים שהעדיפו לחלוק את הסעודה הדלה הזאת עם בחורים אחרים במטבח הציבורי, ולא להתארח בבית פרטי בלתי מוכר.”</w:t>
      </w:r>
    </w:p>
    <w:p w14:paraId="55752F32" w14:textId="77777777" w:rsidR="00AB3647" w:rsidRDefault="00000000" w:rsidP="007923E9">
      <w:pPr>
        <w:spacing w:after="100" w:line="276" w:lineRule="auto"/>
        <w:ind w:firstLine="340"/>
        <w:jc w:val="both"/>
      </w:pPr>
      <w:r>
        <w:rPr>
          <w:rtl/>
        </w:rPr>
        <w:t xml:space="preserve">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44" w:name="_fnr1181"/>
      <w:r>
        <w:rPr>
          <w:rStyle w:val="a5"/>
        </w:rPr>
        <w:footnoteReference w:id="1183" w:customMarkFollows="0"/>
      </w:r>
      <w:bookmarkEnd w:id="1844"/>
      <w:r>
        <w:rPr>
          <w:rtl/>
        </w:rPr>
        <w:t xml:space="preserve"> – גורדון היה תלמיד לשעבר של כנסת בית יצחק – מתאר ביקורים בבתי הכנסת בקובנה והמתנה להזמנה לסעודת שבת: “השמש הטוב והמיטיב של </w:t>
      </w:r>
      <w:proofErr w:type="spellStart"/>
      <w:r>
        <w:rPr>
          <w:rtl/>
        </w:rPr>
        <w:t>קלויז</w:t>
      </w:r>
      <w:proofErr w:type="spellEnd"/>
      <w:r>
        <w:rPr>
          <w:rtl/>
        </w:rPr>
        <w:t xml:space="preserve"> </w:t>
      </w:r>
      <w:proofErr w:type="spellStart"/>
      <w:r>
        <w:rPr>
          <w:rtl/>
        </w:rPr>
        <w:t>נביאזר</w:t>
      </w:r>
      <w:proofErr w:type="spellEnd"/>
      <w:r>
        <w:rPr>
          <w:rtl/>
        </w:rPr>
        <w:t xml:space="preserve"> היה מכריז אחרי תפילת ליל שבת בקול של כרוז במכירה פומבית: ‘קחו בחור לשבת!’”</w:t>
      </w:r>
    </w:p>
    <w:p w14:paraId="0BA069CF" w14:textId="77777777" w:rsidR="00AB3647" w:rsidRDefault="00000000" w:rsidP="007923E9">
      <w:pPr>
        <w:spacing w:after="100" w:line="276" w:lineRule="auto"/>
        <w:ind w:firstLine="340"/>
        <w:jc w:val="both"/>
      </w:pPr>
      <w:r>
        <w:rPr>
          <w:rtl/>
        </w:rPr>
        <w:t xml:space="preserve">על התקופה בחורף שבה קפא הנהר הוא מוסיף: “לחצות את </w:t>
      </w:r>
      <w:proofErr w:type="spellStart"/>
      <w:r>
        <w:rPr>
          <w:rtl/>
        </w:rPr>
        <w:t>הוויליה</w:t>
      </w:r>
      <w:proofErr w:type="spellEnd"/>
      <w:r>
        <w:rPr>
          <w:rtl/>
        </w:rPr>
        <w:t xml:space="preserve"> הקפואה בלילה, לילדים בגילי” – המחבר היה בן תשע בשנת תרס״ה, כשהגיע לישיבתו של ר׳ </w:t>
      </w:r>
      <w:proofErr w:type="spellStart"/>
      <w:r>
        <w:rPr>
          <w:rtl/>
        </w:rPr>
        <w:t>הירשעלע</w:t>
      </w:r>
      <w:proofErr w:type="spellEnd"/>
      <w:r>
        <w:rPr>
          <w:rtl/>
        </w:rPr>
        <w:t xml:space="preserve"> </w:t>
      </w:r>
      <w:proofErr w:type="spellStart"/>
      <w:r>
        <w:rPr>
          <w:rtl/>
        </w:rPr>
        <w:t>בסלבודקה</w:t>
      </w:r>
      <w:proofErr w:type="spellEnd"/>
      <w:r>
        <w:rPr>
          <w:rtl/>
        </w:rPr>
        <w:t xml:space="preserve"> – “היה בגדר ‘סכנת נפשות’, בייחוד מפני שהצד של </w:t>
      </w:r>
      <w:proofErr w:type="spellStart"/>
      <w:r>
        <w:rPr>
          <w:rtl/>
        </w:rPr>
        <w:t>סלבודקה</w:t>
      </w:r>
      <w:proofErr w:type="spellEnd"/>
      <w:r>
        <w:rPr>
          <w:rtl/>
        </w:rPr>
        <w:t xml:space="preserve"> היה שומם. בחורי הישיבה פחדו מן השדים והשודדים שארבו שם. אבל שום רעה לא אירעה לי, והאמנתי שמלאכי שמים מגינים עליי. אף על פי כן, שמחתי הייתה ללא גבול כאשר זכיתי לראות את האורות ברחוב </w:t>
      </w:r>
      <w:proofErr w:type="spellStart"/>
      <w:r>
        <w:rPr>
          <w:rtl/>
        </w:rPr>
        <w:t>יורבארק</w:t>
      </w:r>
      <w:proofErr w:type="spellEnd"/>
      <w:r>
        <w:rPr>
          <w:rtl/>
        </w:rPr>
        <w:t>.”</w:t>
      </w:r>
    </w:p>
    <w:bookmarkStart w:id="1845" w:name="b3_note69"/>
    <w:p w14:paraId="2407D91B" w14:textId="77777777" w:rsidR="00AB3647" w:rsidRDefault="00000000" w:rsidP="007923E9">
      <w:pPr>
        <w:spacing w:before="120" w:after="100" w:line="276" w:lineRule="auto"/>
        <w:jc w:val="both"/>
      </w:pPr>
      <w:r>
        <w:fldChar w:fldCharType="begin" w:dirty="true"/>
      </w:r>
      <w:r>
        <w:instrText>HYPERLINK \l "b3_ref69"</w:instrText>
      </w:r>
      <w:r>
        <w:fldChar w:fldCharType="separate"/>
      </w:r>
      <w:r>
        <w:rPr>
          <w:b/>
          <w:bCs/>
          <w:rtl/>
        </w:rPr>
        <w:t>69</w:t>
      </w:r>
      <w:r>
        <w:rPr>
          <w:b/>
          <w:bCs/>
        </w:rPr>
        <w:fldChar w:fldCharType="end"/>
      </w:r>
      <w:bookmarkEnd w:id="1845"/>
      <w:r>
        <w:rPr>
          <w:rtl/>
        </w:rPr>
        <w:t xml:space="preserve"> בהערת אגב מוקלטת בשיעור הדף היומי</w:t>
      </w:r>
      <w:bookmarkStart w:id="1846" w:name="_fnr1182"/>
      <w:r>
        <w:rPr>
          <w:rStyle w:val="a5"/>
        </w:rPr>
        <w:footnoteReference w:id="1184" w:customMarkFollows="0"/>
      </w:r>
      <w:bookmarkEnd w:id="1846"/>
      <w:r>
        <w:rPr>
          <w:rtl/>
        </w:rPr>
        <w:t xml:space="preserve"> אמר אבי: “הסבא אמר שהיו לו 400 ‘ראשי </w:t>
      </w:r>
      <w:proofErr w:type="spellStart"/>
      <w:r>
        <w:rPr>
          <w:rtl/>
        </w:rPr>
        <w:t>ישיבה׳לאך</w:t>
      </w:r>
      <w:proofErr w:type="spellEnd"/>
      <w:r>
        <w:rPr>
          <w:rtl/>
        </w:rPr>
        <w:t>’, אבל היו גם 400 ‘</w:t>
      </w:r>
      <w:proofErr w:type="spellStart"/>
      <w:r>
        <w:rPr>
          <w:rtl/>
        </w:rPr>
        <w:t>משגיחים׳לאך</w:t>
      </w:r>
      <w:proofErr w:type="spellEnd"/>
      <w:r>
        <w:rPr>
          <w:rtl/>
        </w:rPr>
        <w:t xml:space="preserve">’. בכל </w:t>
      </w:r>
      <w:proofErr w:type="spellStart"/>
      <w:r>
        <w:rPr>
          <w:rtl/>
        </w:rPr>
        <w:t>סטנציה</w:t>
      </w:r>
      <w:proofErr w:type="spellEnd"/>
      <w:r>
        <w:rPr>
          <w:rtl/>
        </w:rPr>
        <w:t xml:space="preserve"> היו בחור מבוגר, בחור בינוני ובחור צעיר. הבחור המבוגר פיקח</w:t>
      </w:r>
      <w:bookmarkStart w:id="1847" w:name="_fnr1183"/>
      <w:r>
        <w:rPr>
          <w:rStyle w:val="a5"/>
        </w:rPr>
        <w:footnoteReference w:id="1185" w:customMarkFollows="0"/>
      </w:r>
      <w:bookmarkEnd w:id="1847"/>
      <w:r>
        <w:rPr>
          <w:rtl/>
        </w:rPr>
        <w:t xml:space="preserve"> על לימודם והתנהגותם של המופקדים בידיו, וללא ספק הביא לסבא דיווחים על מצבם של חבריו לחדר. הסבא היה מסדיר בדרך כבוד שיהיה בחור מבוגר </w:t>
      </w:r>
      <w:proofErr w:type="spellStart"/>
      <w:r>
        <w:rPr>
          <w:rtl/>
        </w:rPr>
        <w:t>בסטנציה</w:t>
      </w:r>
      <w:proofErr w:type="spellEnd"/>
      <w:r>
        <w:rPr>
          <w:rtl/>
        </w:rPr>
        <w:t xml:space="preserve">, אבל הצעיר עדיין ידע שיש לו ‘בעל בית’. כל מי שרצה לקבל </w:t>
      </w:r>
      <w:proofErr w:type="spellStart"/>
      <w:r>
        <w:rPr>
          <w:rtl/>
        </w:rPr>
        <w:t>סטנציונר</w:t>
      </w:r>
      <w:proofErr w:type="spellEnd"/>
      <w:r>
        <w:rPr>
          <w:rtl/>
        </w:rPr>
        <w:t xml:space="preserve"> היה צריך לעשות זאת באמצעות הסבא. כמובן, בעל הבית לא היה רשאי להכניס אדם נוסף לחלוק חדר שכור בלי הסכמת הדייר. הסבא שיבץ את הבחורים במקום שהתאים להם ביותר. בשביל בעלי הבתים </w:t>
      </w:r>
      <w:proofErr w:type="spellStart"/>
      <w:r>
        <w:rPr>
          <w:rtl/>
        </w:rPr>
        <w:t>בסלבודקה</w:t>
      </w:r>
      <w:proofErr w:type="spellEnd"/>
      <w:r>
        <w:rPr>
          <w:rtl/>
        </w:rPr>
        <w:t xml:space="preserve"> השכרת חדרים לתלמידי הישיבה הייתה עסק. [בעלי הבתים] היו בונים את בתיהם עם חדרים נוספים לצורך זה. אצל אחדים היה חדר נוסף אחד לשלושה בחורים, ובמקרים אחרים – שני חדרים לחמישה, שבהם היו משכנים שני בחורים מבוגרים ושלושה צעירים. בכמה בתים היו לאורך הקיר ספסלים ארוכים שהפכו בלילה למיטות: הסירו את המכסה, ומתחתיו הייתה מיטה מוצעת. הדבר נקרא ‘</w:t>
      </w:r>
      <w:proofErr w:type="spellStart"/>
      <w:r>
        <w:rPr>
          <w:rtl/>
        </w:rPr>
        <w:t>שלאפבאנק</w:t>
      </w:r>
      <w:proofErr w:type="spellEnd"/>
      <w:r>
        <w:rPr>
          <w:rtl/>
        </w:rPr>
        <w:t xml:space="preserve">’ [ספסל שינה]. הישיבה נתנה לכל תלמיד קצבה (חלוקה), ובה השתמש לשכר דירה ולמזון. היו שקיבלו כסף מן הבית, ולעניים ביותר הייתה ‘ת״ת׳, ראשי תיבות של תומכי תורה, שנתנה רובל לחודש. התייחסו אל הבחורים בכבוד רב. בעל </w:t>
      </w:r>
      <w:proofErr w:type="spellStart"/>
      <w:r>
        <w:rPr>
          <w:rtl/>
        </w:rPr>
        <w:t>הבית׳טע</w:t>
      </w:r>
      <w:proofErr w:type="spellEnd"/>
      <w:r>
        <w:rPr>
          <w:rtl/>
        </w:rPr>
        <w:t xml:space="preserve"> [בעלת הבית] הייתה אוכלת במטבח, והבחורים היו אוכלים ליד שולחן חדר האוכל.”</w:t>
      </w:r>
    </w:p>
    <w:p w14:paraId="5C20AF68" w14:textId="77777777" w:rsidR="00AB3647" w:rsidRDefault="00000000" w:rsidP="007923E9">
      <w:pPr>
        <w:spacing w:after="100" w:line="276" w:lineRule="auto"/>
        <w:ind w:firstLine="340"/>
        <w:jc w:val="both"/>
      </w:pPr>
      <w:r>
        <w:rPr>
          <w:rtl/>
        </w:rPr>
        <w:lastRenderedPageBreak/>
        <w:t xml:space="preserve">בהשוואה לישיבות אמריקה סיכם אבי: “שיטת </w:t>
      </w:r>
      <w:proofErr w:type="spellStart"/>
      <w:r>
        <w:rPr>
          <w:rtl/>
        </w:rPr>
        <w:t>הסטנציות</w:t>
      </w:r>
      <w:proofErr w:type="spellEnd"/>
      <w:r>
        <w:rPr>
          <w:rtl/>
        </w:rPr>
        <w:t xml:space="preserve"> אינה מעשית באמריקה, מפני שלא בכל בית אפשר לאכול, כפי שהיה </w:t>
      </w:r>
      <w:proofErr w:type="spellStart"/>
      <w:r>
        <w:rPr>
          <w:rtl/>
        </w:rPr>
        <w:t>בסלבודקה</w:t>
      </w:r>
      <w:proofErr w:type="spellEnd"/>
      <w:r>
        <w:rPr>
          <w:rtl/>
        </w:rPr>
        <w:t>.” לדברי ר׳ זאב לב</w:t>
      </w:r>
      <w:bookmarkStart w:id="1848" w:name="_fnr1184"/>
      <w:r>
        <w:rPr>
          <w:rStyle w:val="a5"/>
        </w:rPr>
        <w:footnoteReference w:id="1186" w:customMarkFollows="0"/>
      </w:r>
      <w:bookmarkEnd w:id="1848"/>
      <w:r>
        <w:rPr>
          <w:rtl/>
        </w:rPr>
        <w:t xml:space="preserve">, הצטער רבנו על השיטה הרווחת באמריקה, מפני שתלמיד הנכנס לפנימייה בגיל </w:t>
      </w:r>
      <w:proofErr w:type="spellStart"/>
      <w:r>
        <w:rPr>
          <w:rtl/>
        </w:rPr>
        <w:t>חמש־עשרה</w:t>
      </w:r>
      <w:proofErr w:type="spellEnd"/>
      <w:r>
        <w:rPr>
          <w:rtl/>
        </w:rPr>
        <w:t xml:space="preserve"> בקירוב אינו רואה כיצד משפחה מתנהלת בחיי </w:t>
      </w:r>
      <w:proofErr w:type="spellStart"/>
      <w:r>
        <w:rPr>
          <w:rtl/>
        </w:rPr>
        <w:t>היום־יום</w:t>
      </w:r>
      <w:proofErr w:type="spellEnd"/>
      <w:r>
        <w:rPr>
          <w:rtl/>
        </w:rPr>
        <w:t>, וחסרונו של ניסיון זה גורם קשיים כשהוא ניגש להקים משפחה משלו.</w:t>
      </w:r>
    </w:p>
    <w:p w14:paraId="6CF6175F" w14:textId="77777777" w:rsidR="00AB3647" w:rsidRDefault="00000000" w:rsidP="007923E9">
      <w:pPr>
        <w:spacing w:after="100" w:line="276" w:lineRule="auto"/>
        <w:ind w:firstLine="340"/>
        <w:jc w:val="both"/>
      </w:pPr>
      <w:r>
        <w:rPr>
          <w:rtl/>
        </w:rPr>
        <w:t xml:space="preserve">בהערת אגב בשיעור הדף היומי הזכיר אבי רק </w:t>
      </w:r>
      <w:proofErr w:type="spellStart"/>
      <w:r>
        <w:rPr>
          <w:rtl/>
        </w:rPr>
        <w:t>סטנציות</w:t>
      </w:r>
      <w:proofErr w:type="spellEnd"/>
      <w:r>
        <w:rPr>
          <w:rtl/>
        </w:rPr>
        <w:t xml:space="preserve"> של שלושה ושל חמישה תלמידים. אבל בתיאור </w:t>
      </w:r>
      <w:proofErr w:type="spellStart"/>
      <w:r>
        <w:rPr>
          <w:rtl/>
        </w:rPr>
        <w:t>הסטנציה</w:t>
      </w:r>
      <w:proofErr w:type="spellEnd"/>
      <w:r>
        <w:rPr>
          <w:rtl/>
        </w:rPr>
        <w:t xml:space="preserve"> שלו נמנו </w:t>
      </w:r>
      <w:r>
        <w:rPr>
          <w:b/>
          <w:bCs/>
          <w:rtl/>
        </w:rPr>
        <w:t>ארבעה</w:t>
      </w:r>
      <w:r>
        <w:rPr>
          <w:rtl/>
        </w:rPr>
        <w:t xml:space="preserve"> בחורים, מן הטעם הפשוט שמחקרי העלה שלושה שותפים לחדרו של רבנו. כמובן, ייתכן שזו הייתה </w:t>
      </w:r>
      <w:proofErr w:type="spellStart"/>
      <w:r>
        <w:rPr>
          <w:rtl/>
        </w:rPr>
        <w:t>הסטנציה</w:t>
      </w:r>
      <w:proofErr w:type="spellEnd"/>
      <w:r>
        <w:rPr>
          <w:rtl/>
        </w:rPr>
        <w:t xml:space="preserve"> בת שני החדרים וחמשת התלמידים שהזכיר אבי, וזהותו של הדייר החמישי אינה ידועה.</w:t>
      </w:r>
    </w:p>
    <w:p w14:paraId="37EB9B9C" w14:textId="77777777" w:rsidR="00AB3647" w:rsidRDefault="00000000" w:rsidP="007923E9">
      <w:pPr>
        <w:spacing w:after="100" w:line="276" w:lineRule="auto"/>
        <w:ind w:firstLine="340"/>
        <w:jc w:val="both"/>
      </w:pPr>
      <w:r>
        <w:rPr>
          <w:rtl/>
        </w:rPr>
        <w:t>רבנים רבים בפולין היו גם חסידים של אדמו״רים שונים. כשנעשה רבנו רב בטורונטו ליהודים פולנים מרקע חסידי, הם שאלו אותו אם יש לו רבי, והוא השיב: “היה לי רבי שבחצרו אכלתי וישנתי; אבל רבי היה ‘</w:t>
      </w:r>
      <w:proofErr w:type="spellStart"/>
      <w:r>
        <w:rPr>
          <w:rtl/>
        </w:rPr>
        <w:t>ליטוואק</w:t>
      </w:r>
      <w:proofErr w:type="spellEnd"/>
      <w:r>
        <w:rPr>
          <w:rtl/>
        </w:rPr>
        <w:t>’!”</w:t>
      </w:r>
      <w:bookmarkStart w:id="1849" w:name="_fnr1185"/>
      <w:r>
        <w:rPr>
          <w:rStyle w:val="a5"/>
        </w:rPr>
        <w:footnoteReference w:id="1187" w:customMarkFollows="0"/>
      </w:r>
      <w:bookmarkEnd w:id="1849"/>
      <w:r>
        <w:rPr>
          <w:rtl/>
        </w:rPr>
        <w:t xml:space="preserve"> הוא התכוון לסבא, ורצה לומר שרבו פיקח על אכילתו ושנתו לא פחות משפיקחו אדמו״רים חסידיים על אכילתם ושנתם של חסידיהם, ושהוא היה קשור לסבא </w:t>
      </w:r>
      <w:proofErr w:type="spellStart"/>
      <w:r>
        <w:rPr>
          <w:rtl/>
        </w:rPr>
        <w:t>מסלבודקה</w:t>
      </w:r>
      <w:proofErr w:type="spellEnd"/>
      <w:r>
        <w:rPr>
          <w:rtl/>
        </w:rPr>
        <w:t xml:space="preserve"> לא פחות מחסיד לרבו. ר׳ </w:t>
      </w:r>
      <w:proofErr w:type="spellStart"/>
      <w:r>
        <w:rPr>
          <w:rtl/>
        </w:rPr>
        <w:t>לייבל</w:t>
      </w:r>
      <w:proofErr w:type="spellEnd"/>
      <w:r>
        <w:rPr>
          <w:rtl/>
        </w:rPr>
        <w:t xml:space="preserve"> </w:t>
      </w:r>
      <w:proofErr w:type="spellStart"/>
      <w:r>
        <w:rPr>
          <w:rtl/>
        </w:rPr>
        <w:t>פרלשטיין</w:t>
      </w:r>
      <w:bookmarkStart w:id="1850" w:name="_fnr1186"/>
      <w:proofErr w:type="spellEnd"/>
      <w:r>
        <w:rPr>
          <w:rStyle w:val="a5"/>
        </w:rPr>
        <w:footnoteReference w:id="1188" w:customMarkFollows="0"/>
      </w:r>
      <w:bookmarkEnd w:id="1850"/>
      <w:r>
        <w:rPr>
          <w:rtl/>
        </w:rPr>
        <w:t xml:space="preserve"> סיפר שכשאמר אבי שרבו היה “</w:t>
      </w:r>
      <w:proofErr w:type="spellStart"/>
      <w:r>
        <w:rPr>
          <w:rtl/>
        </w:rPr>
        <w:t>ליטוואק</w:t>
      </w:r>
      <w:proofErr w:type="spellEnd"/>
      <w:r>
        <w:rPr>
          <w:rtl/>
        </w:rPr>
        <w:t>”, הוסיף: “והוא לא ‘</w:t>
      </w:r>
      <w:proofErr w:type="spellStart"/>
      <w:r>
        <w:rPr>
          <w:rtl/>
        </w:rPr>
        <w:t>פראווע</w:t>
      </w:r>
      <w:proofErr w:type="spellEnd"/>
      <w:r>
        <w:rPr>
          <w:rtl/>
        </w:rPr>
        <w:t xml:space="preserve"> </w:t>
      </w:r>
      <w:proofErr w:type="spellStart"/>
      <w:r>
        <w:rPr>
          <w:rtl/>
        </w:rPr>
        <w:t>טישען</w:t>
      </w:r>
      <w:proofErr w:type="spellEnd"/>
      <w:r>
        <w:rPr>
          <w:rtl/>
        </w:rPr>
        <w:t xml:space="preserve">’ [ערך </w:t>
      </w:r>
      <w:proofErr w:type="spellStart"/>
      <w:r>
        <w:rPr>
          <w:rtl/>
        </w:rPr>
        <w:t>טישים</w:t>
      </w:r>
      <w:proofErr w:type="spellEnd"/>
      <w:r>
        <w:rPr>
          <w:rtl/>
        </w:rPr>
        <w:t>].”</w:t>
      </w:r>
    </w:p>
    <w:bookmarkStart w:id="1851" w:name="b3_note70"/>
    <w:p w14:paraId="64BD9280" w14:textId="77777777" w:rsidR="00AB3647" w:rsidRDefault="00000000" w:rsidP="007923E9">
      <w:pPr>
        <w:spacing w:before="120" w:after="100" w:line="276" w:lineRule="auto"/>
        <w:jc w:val="both"/>
      </w:pPr>
      <w:r>
        <w:fldChar w:fldCharType="begin" w:dirty="true"/>
      </w:r>
      <w:r>
        <w:instrText>HYPERLINK \l "b3_ref70"</w:instrText>
      </w:r>
      <w:r>
        <w:fldChar w:fldCharType="separate"/>
      </w:r>
      <w:r>
        <w:rPr>
          <w:b/>
          <w:bCs/>
          <w:rtl/>
        </w:rPr>
        <w:t>70</w:t>
      </w:r>
      <w:r>
        <w:rPr>
          <w:b/>
          <w:bCs/>
        </w:rPr>
        <w:fldChar w:fldCharType="end"/>
      </w:r>
      <w:bookmarkEnd w:id="1851"/>
      <w:r>
        <w:rPr>
          <w:rtl/>
        </w:rPr>
        <w:t xml:space="preserve"> מוצאו היה </w:t>
      </w:r>
      <w:proofErr w:type="spellStart"/>
      <w:r>
        <w:rPr>
          <w:rtl/>
        </w:rPr>
        <w:t>מצ׳חנוביץ</w:t>
      </w:r>
      <w:proofErr w:type="spellEnd"/>
      <w:r>
        <w:rPr>
          <w:rtl/>
        </w:rPr>
        <w:t xml:space="preserve">, עיירה </w:t>
      </w:r>
      <w:proofErr w:type="spellStart"/>
      <w:r>
        <w:rPr>
          <w:rtl/>
        </w:rPr>
        <w:t>מדרום־מערב</w:t>
      </w:r>
      <w:proofErr w:type="spellEnd"/>
      <w:r>
        <w:rPr>
          <w:rtl/>
        </w:rPr>
        <w:t xml:space="preserve"> </w:t>
      </w:r>
      <w:proofErr w:type="spellStart"/>
      <w:r>
        <w:rPr>
          <w:rtl/>
        </w:rPr>
        <w:t>לביאליסטוק</w:t>
      </w:r>
      <w:proofErr w:type="spellEnd"/>
      <w:r>
        <w:rPr>
          <w:rtl/>
        </w:rPr>
        <w:t xml:space="preserve">. ר׳ </w:t>
      </w:r>
      <w:proofErr w:type="spellStart"/>
      <w:r>
        <w:rPr>
          <w:rtl/>
        </w:rPr>
        <w:t xml:space="preserve">וועלוול</w:t>
      </w:r>
      <w:proofErr w:type="spellEnd"/>
      <w:r>
        <w:rPr>
          <w:rtl/>
        </w:rPr>
        <w:t xml:space="preserve"> היה מקורב </w:t>
      </w:r>
      <w:proofErr w:type="spellStart"/>
      <w:r>
        <w:rPr>
          <w:rtl/>
        </w:rPr>
        <w:t>לר</w:t>
      </w:r>
      <w:proofErr w:type="spellEnd"/>
      <w:r>
        <w:rPr>
          <w:rtl/>
        </w:rPr>
        <w:t xml:space="preserve">׳ </w:t>
      </w:r>
      <w:proofErr w:type="spellStart"/>
      <w:r>
        <w:rPr>
          <w:rtl/>
        </w:rPr>
        <w:t xml:space="preserve">בער־הירש</w:t>
      </w:r>
      <w:proofErr w:type="spellEnd"/>
      <w:r>
        <w:rPr>
          <w:rtl/>
        </w:rPr>
        <w:t xml:space="preserve"> </w:t>
      </w:r>
      <w:proofErr w:type="spellStart"/>
      <w:r>
        <w:rPr>
          <w:rtl/>
        </w:rPr>
        <w:t xml:space="preserve">הלר</w:t>
      </w:r>
      <w:proofErr w:type="spellEnd"/>
      <w:r>
        <w:rPr>
          <w:rtl/>
        </w:rPr>
        <w:t>, עוזר המשגיח</w:t>
      </w:r>
      <w:bookmarkStart w:id="1852" w:name="_fnr1187"/>
      <w:r>
        <w:rPr>
          <w:rStyle w:val="a5"/>
        </w:rPr>
        <w:footnoteReference w:id="1189" w:customMarkFollows="0"/>
      </w:r>
      <w:bookmarkEnd w:id="1852"/>
      <w:r>
        <w:rPr>
          <w:rtl/>
        </w:rPr>
        <w:t xml:space="preserve">, ואבי אמר שהיה תלמידו של המשגיח. בשל קשרי הנישואין שנקשרו לימים בין רבנו לבין משפחת </w:t>
      </w:r>
      <w:proofErr w:type="spellStart"/>
      <w:r>
        <w:rPr>
          <w:rtl/>
        </w:rPr>
        <w:t xml:space="preserve">הלר</w:t>
      </w:r>
      <w:bookmarkStart w:id="1853" w:name="_fnr1188"/>
      <w:proofErr w:type="spellEnd"/>
      <w:r>
        <w:rPr>
          <w:rStyle w:val="a5"/>
        </w:rPr>
        <w:footnoteReference w:id="1190" w:customMarkFollows="0"/>
      </w:r>
      <w:bookmarkEnd w:id="1853"/>
      <w:r>
        <w:rPr>
          <w:rtl/>
        </w:rPr>
        <w:t xml:space="preserve">, נשאר רבנו בקשר קרוב עם ר׳ </w:t>
      </w:r>
      <w:proofErr w:type="spellStart"/>
      <w:r>
        <w:rPr>
          <w:rtl/>
        </w:rPr>
        <w:t xml:space="preserve">וועלוול</w:t>
      </w:r>
      <w:proofErr w:type="spellEnd"/>
      <w:r>
        <w:rPr>
          <w:rtl/>
        </w:rPr>
        <w:t xml:space="preserve"> פרידמן עד שנפטר ר׳ </w:t>
      </w:r>
      <w:proofErr w:type="spellStart"/>
      <w:r>
        <w:rPr>
          <w:rtl/>
        </w:rPr>
        <w:t xml:space="preserve">וועלוול</w:t>
      </w:r>
      <w:proofErr w:type="spellEnd"/>
      <w:r>
        <w:rPr>
          <w:rtl/>
        </w:rPr>
        <w:t xml:space="preserve"> בגיל העמידה, בשנת תרצ״ט.</w:t>
      </w:r>
    </w:p>
    <w:p w14:paraId="57AA28BE" w14:textId="77777777" w:rsidR="00AB3647" w:rsidRDefault="00000000" w:rsidP="007923E9">
      <w:pPr>
        <w:spacing w:before="120" w:after="100" w:line="276" w:lineRule="auto"/>
        <w:jc w:val="both"/>
      </w:pPr>
      <w:r>
        <w:rPr>
          <w:rtl/>
        </w:rPr>
        <w:t xml:space="preserve">באירוסיו של נכדו של ר׳ </w:t>
      </w:r>
      <w:proofErr w:type="spellStart"/>
      <w:r>
        <w:rPr>
          <w:rtl/>
        </w:rPr>
        <w:t xml:space="preserve">וועלוול</w:t>
      </w:r>
      <w:proofErr w:type="spellEnd"/>
      <w:r>
        <w:rPr>
          <w:rtl/>
        </w:rPr>
        <w:t>, ר׳ שלמה פולק</w:t>
      </w:r>
      <w:bookmarkStart w:id="1854" w:name="_fnr1189"/>
      <w:r>
        <w:rPr>
          <w:rStyle w:val="a5"/>
        </w:rPr>
        <w:footnoteReference w:id="1191" w:customMarkFollows="0"/>
      </w:r>
      <w:bookmarkEnd w:id="1854"/>
      <w:r>
        <w:rPr>
          <w:rtl/>
        </w:rPr>
        <w:t xml:space="preserve">, המשיך אבי את שיחתו כך: “לימים נודע 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בשם הֶר פרידמן, והייתה בו תורה וגדולה במקום אחד</w:t>
      </w:r>
      <w:bookmarkStart w:id="1855" w:name="_fnr1190"/>
      <w:r>
        <w:rPr>
          <w:rStyle w:val="a5"/>
        </w:rPr>
        <w:footnoteReference w:id="1192" w:customMarkFollows="0"/>
      </w:r>
      <w:bookmarkEnd w:id="1855"/>
      <w:r>
        <w:rPr>
          <w:rtl/>
        </w:rPr>
        <w:t xml:space="preserve"> – פון די </w:t>
      </w:r>
      <w:proofErr w:type="spellStart"/>
      <w:r>
        <w:rPr>
          <w:rtl/>
        </w:rPr>
        <w:t>שענסטע</w:t>
      </w:r>
      <w:proofErr w:type="spellEnd"/>
      <w:r>
        <w:rPr>
          <w:rtl/>
        </w:rPr>
        <w:t xml:space="preserve"> </w:t>
      </w:r>
      <w:proofErr w:type="spellStart"/>
      <w:r>
        <w:rPr>
          <w:rtl/>
        </w:rPr>
        <w:t>אידען</w:t>
      </w:r>
      <w:proofErr w:type="spellEnd"/>
      <w:r>
        <w:rPr>
          <w:rtl/>
        </w:rPr>
        <w:t xml:space="preserve"> אין </w:t>
      </w:r>
      <w:proofErr w:type="spellStart"/>
      <w:r>
        <w:rPr>
          <w:rtl/>
        </w:rPr>
        <w:t>קאוונע</w:t>
      </w:r>
      <w:proofErr w:type="spellEnd"/>
      <w:r>
        <w:rPr>
          <w:rtl/>
        </w:rPr>
        <w:t xml:space="preserve"> [מן היהודים המעולים ביותר בקובנה]. הוא היה אדם עשיר מאוד, וניהל בית [באופן שהיה] קידוש השם. הוא היה מוקיר רבנן מופלא ובעל אהבת תורה שאין למעלה ממנה. לחתן [בעלה של בתו אידה] לקח אחד מיחידי סגולה, ר׳ שלמה טרכטנברג.”</w:t>
      </w:r>
      <w:bookmarkStart w:id="1856" w:name="_fnr1191"/>
      <w:r>
        <w:rPr>
          <w:rStyle w:val="a5"/>
        </w:rPr>
        <w:footnoteReference w:id="1193" w:customMarkFollows="0"/>
      </w:r>
      <w:bookmarkEnd w:id="1856"/>
    </w:p>
    <w:p w14:paraId="35E9DE9C" w14:textId="77777777" w:rsidR="00AB3647" w:rsidRDefault="00000000" w:rsidP="007923E9">
      <w:pPr>
        <w:spacing w:before="120" w:after="100" w:line="276" w:lineRule="auto"/>
        <w:jc w:val="both"/>
      </w:pPr>
      <w:r>
        <w:rPr>
          <w:rtl/>
        </w:rPr>
        <w:lastRenderedPageBreak/>
        <w:t xml:space="preserve">בט׳ בטבת תש״ז שלח אבי תצהירים לאלמנתו של ר׳ שלמה הי״ד, באמצעות ר׳ צבי </w:t>
      </w:r>
      <w:proofErr w:type="spellStart"/>
      <w:r>
        <w:rPr>
          <w:rtl/>
        </w:rPr>
        <w:t>מייזלס</w:t>
      </w:r>
      <w:proofErr w:type="spellEnd"/>
      <w:r>
        <w:rPr>
          <w:rtl/>
        </w:rPr>
        <w:t xml:space="preserve"> במחנה הריכוז המשוחרר </w:t>
      </w:r>
      <w:proofErr w:type="spellStart"/>
      <w:r>
        <w:rPr>
          <w:rtl/>
        </w:rPr>
        <w:t>ברגן־בלזן</w:t>
      </w:r>
      <w:proofErr w:type="spellEnd"/>
      <w:r>
        <w:rPr>
          <w:rtl/>
        </w:rPr>
        <w:t xml:space="preserve">. במכתב מצורף, שבו ביקש מר׳ צבי </w:t>
      </w:r>
      <w:proofErr w:type="spellStart"/>
      <w:r>
        <w:rPr>
          <w:rtl/>
        </w:rPr>
        <w:t>מייזלס</w:t>
      </w:r>
      <w:proofErr w:type="spellEnd"/>
      <w:r>
        <w:rPr>
          <w:rtl/>
        </w:rPr>
        <w:t xml:space="preserve"> לתת את דעתו במיוחד על הניצולה אידה, כתב: “אף על פי ש[אביה] נתברך בעושר, לא הטוהו הנכסים מדרך ה׳, והוא התנהג עד יומו האחרון כישראל כשר וזהיר במצוות”.</w:t>
      </w:r>
    </w:p>
    <w:p w14:paraId="680DDB7D" w14:textId="77777777" w:rsidR="00AB3647" w:rsidRDefault="00000000" w:rsidP="007923E9">
      <w:pPr>
        <w:spacing w:before="120" w:after="100" w:line="276" w:lineRule="auto"/>
        <w:jc w:val="both"/>
      </w:pPr>
      <w:r>
        <w:rPr>
          <w:rtl/>
        </w:rPr>
        <w:t xml:space="preserve">במכתב </w:t>
      </w:r>
      <w:proofErr w:type="spellStart"/>
      <w:r>
        <w:rPr>
          <w:rtl/>
        </w:rPr>
        <w:t>לאידה</w:t>
      </w:r>
      <w:proofErr w:type="spellEnd"/>
      <w:r>
        <w:rPr>
          <w:rtl/>
        </w:rPr>
        <w:t xml:space="preserve"> מב׳ בסיוון תש״ז נתגלה צד נוסף בר׳ </w:t>
      </w:r>
      <w:proofErr w:type="spellStart"/>
      <w:r>
        <w:rPr>
          <w:rtl/>
        </w:rPr>
        <w:t xml:space="preserve">וועלוול</w:t>
      </w:r>
      <w:proofErr w:type="spellEnd"/>
      <w:r>
        <w:rPr>
          <w:rtl/>
        </w:rPr>
        <w:t xml:space="preserve"> </w:t>
      </w:r>
      <w:proofErr w:type="spellStart"/>
      <w:r>
        <w:rPr>
          <w:rtl/>
        </w:rPr>
        <w:t>צ׳חנוביצר</w:t>
      </w:r>
      <w:proofErr w:type="spellEnd"/>
      <w:r>
        <w:rPr>
          <w:rtl/>
        </w:rPr>
        <w:t xml:space="preserve"> ובקשריו עם רבנו. המכתב נועד לקריאה גם בידי בעלה החדש, שאף הוא, כמותה, ניצול מחנות ריכוז, ואיבד את אשתו וילדיו בידי הגרמנים. אבי כתב: “אולי יכתוב גם בעלך [אליי]. הלא את גם</w:t>
      </w:r>
      <w:bookmarkStart w:id="1857" w:name="_fnr1192"/>
      <w:r>
        <w:rPr>
          <w:rStyle w:val="a5"/>
        </w:rPr>
        <w:footnoteReference w:id="1194" w:customMarkFollows="0"/>
      </w:r>
      <w:bookmarkEnd w:id="1857"/>
      <w:r>
        <w:rPr>
          <w:rtl/>
        </w:rPr>
        <w:t xml:space="preserve"> בת לאב שהיה ידידי מנעוריי ושפיקחותו הייתה נערצת בעיניי, ואף שהיה מבוגר מעט, לא הפריע הדבר לידידותנו הקרובה. מה עז רצוני להכיר את בעלך, ולו לפחות בהתכתבות!”</w:t>
      </w:r>
    </w:p>
    <w:bookmarkStart w:id="1858" w:name="b3_note71"/>
    <w:p w14:paraId="76AA3BEC" w14:textId="77777777" w:rsidR="00AB3647" w:rsidRDefault="00000000" w:rsidP="007923E9">
      <w:pPr>
        <w:spacing w:before="120" w:after="100" w:line="276" w:lineRule="auto"/>
        <w:jc w:val="both"/>
      </w:pPr>
      <w:r>
        <w:fldChar w:fldCharType="begin" w:dirty="true"/>
      </w:r>
      <w:r>
        <w:instrText>HYPERLINK \l "b3_ref71"</w:instrText>
      </w:r>
      <w:r>
        <w:fldChar w:fldCharType="separate"/>
      </w:r>
      <w:r>
        <w:rPr>
          <w:b/>
          <w:bCs/>
          <w:rtl/>
        </w:rPr>
        <w:t>71</w:t>
      </w:r>
      <w:r>
        <w:rPr>
          <w:b/>
          <w:bCs/>
        </w:rPr>
        <w:fldChar w:fldCharType="end"/>
      </w:r>
      <w:bookmarkEnd w:id="1858"/>
      <w:r>
        <w:rPr>
          <w:rtl/>
        </w:rPr>
        <w:t xml:space="preserve"> לדברי נכדו, ר׳ שלמה לסין</w:t>
      </w:r>
      <w:bookmarkStart w:id="1859" w:name="_fnr1193"/>
      <w:r>
        <w:rPr>
          <w:rStyle w:val="a5"/>
        </w:rPr>
        <w:footnoteReference w:id="1195" w:customMarkFollows="0"/>
      </w:r>
      <w:bookmarkEnd w:id="1859"/>
      <w:r>
        <w:rPr>
          <w:rtl/>
        </w:rPr>
        <w:t xml:space="preserve">, אף ר׳ </w:t>
      </w:r>
      <w:proofErr w:type="spellStart"/>
      <w:r>
        <w:rPr>
          <w:rtl/>
        </w:rPr>
        <w:t>יעקב־משה</w:t>
      </w:r>
      <w:proofErr w:type="spellEnd"/>
      <w:r>
        <w:rPr>
          <w:rtl/>
        </w:rPr>
        <w:t xml:space="preserve"> למד במינסק ואחר כך </w:t>
      </w:r>
      <w:proofErr w:type="spellStart"/>
      <w:r>
        <w:rPr>
          <w:rtl/>
        </w:rPr>
        <w:t>באיישישוק</w:t>
      </w:r>
      <w:proofErr w:type="spellEnd"/>
      <w:r>
        <w:rPr>
          <w:rtl/>
        </w:rPr>
        <w:t xml:space="preserve">, לפני שהגיע </w:t>
      </w:r>
      <w:proofErr w:type="spellStart"/>
      <w:r>
        <w:rPr>
          <w:rtl/>
        </w:rPr>
        <w:t>לסלבודקה</w:t>
      </w:r>
      <w:proofErr w:type="spellEnd"/>
      <w:r>
        <w:rPr>
          <w:rtl/>
        </w:rPr>
        <w:t xml:space="preserve">, שבה התגורר עם הסבא במשך שלוש שנים. לדברי בתו של ר׳ </w:t>
      </w:r>
      <w:proofErr w:type="spellStart"/>
      <w:r>
        <w:rPr>
          <w:rtl/>
        </w:rPr>
        <w:t>יעקב־משה</w:t>
      </w:r>
      <w:proofErr w:type="spellEnd"/>
      <w:r>
        <w:rPr>
          <w:rtl/>
        </w:rPr>
        <w:t xml:space="preserve"> לסין, </w:t>
      </w:r>
      <w:proofErr w:type="spellStart"/>
      <w:r>
        <w:rPr>
          <w:rtl/>
        </w:rPr>
        <w:t>עטיל</w:t>
      </w:r>
      <w:proofErr w:type="spellEnd"/>
      <w:r>
        <w:rPr>
          <w:rtl/>
        </w:rPr>
        <w:t xml:space="preserve"> מילר</w:t>
      </w:r>
      <w:bookmarkStart w:id="1860" w:name="_fnr1194"/>
      <w:r>
        <w:rPr>
          <w:rStyle w:val="a5"/>
        </w:rPr>
        <w:footnoteReference w:id="1196" w:customMarkFollows="0"/>
      </w:r>
      <w:bookmarkEnd w:id="1860"/>
      <w:r>
        <w:rPr>
          <w:rtl/>
        </w:rPr>
        <w:t xml:space="preserve">, “לימים היה רב </w:t>
      </w:r>
      <w:proofErr w:type="spellStart"/>
      <w:r>
        <w:rPr>
          <w:rtl/>
        </w:rPr>
        <w:t>באיישישוק</w:t>
      </w:r>
      <w:proofErr w:type="spellEnd"/>
      <w:r>
        <w:rPr>
          <w:rtl/>
        </w:rPr>
        <w:t xml:space="preserve"> </w:t>
      </w:r>
      <w:proofErr w:type="spellStart"/>
      <w:r>
        <w:rPr>
          <w:rtl/>
        </w:rPr>
        <w:t>ובניישטאט־טאבריג</w:t>
      </w:r>
      <w:proofErr w:type="spellEnd"/>
      <w:r>
        <w:rPr>
          <w:rtl/>
        </w:rPr>
        <w:t xml:space="preserve">, סמוך לגבול פרוסיה, ומשם נסע מדי קיץ לעיירת הנופש הגרמנית </w:t>
      </w:r>
      <w:proofErr w:type="spellStart"/>
      <w:r>
        <w:rPr>
          <w:rtl/>
        </w:rPr>
        <w:t>שוורצאורט</w:t>
      </w:r>
      <w:proofErr w:type="spellEnd"/>
      <w:r>
        <w:rPr>
          <w:rtl/>
        </w:rPr>
        <w:t xml:space="preserve">, כדי לשהות במחיצת הסבא שנפש שם. הרב לסין נמלט לארצות הברית בשנת ת״ש, ושימש רב בבוסטון עד תש״ה, אז הוזמן להיות משגיח בישיבת רבנו יצחק אלחנן בניו יורק, בהמלצת ר׳ </w:t>
      </w:r>
      <w:proofErr w:type="spellStart"/>
      <w:r>
        <w:rPr>
          <w:rtl/>
        </w:rPr>
        <w:t xml:space="preserve">יוסף־דב</w:t>
      </w:r>
      <w:proofErr w:type="spellEnd"/>
      <w:r>
        <w:rPr>
          <w:rtl/>
        </w:rPr>
        <w:t xml:space="preserve"> </w:t>
      </w:r>
      <w:proofErr w:type="spellStart"/>
      <w:r>
        <w:rPr>
          <w:rtl/>
        </w:rPr>
        <w:t>סולובייצ׳יק</w:t>
      </w:r>
      <w:proofErr w:type="spellEnd"/>
      <w:r>
        <w:rPr>
          <w:rtl/>
        </w:rPr>
        <w:t>, שאתו התוודע בבוסטון.”</w:t>
      </w:r>
    </w:p>
    <w:p w14:paraId="7BC9D40D" w14:textId="77777777" w:rsidR="00AB3647" w:rsidRDefault="00000000" w:rsidP="007923E9">
      <w:pPr>
        <w:spacing w:before="120" w:after="100" w:line="276" w:lineRule="auto"/>
        <w:jc w:val="both"/>
      </w:pPr>
      <w:r>
        <w:rPr>
          <w:rtl/>
        </w:rPr>
        <w:t xml:space="preserve">הרב לסין חיבר כרכים אחדים בענייני מוסר, ונפטר בשנת תשל״ה, בן שמונים ושבע. לארצות הברית הגיע לראשונה </w:t>
      </w:r>
      <w:proofErr w:type="spellStart"/>
      <w:r>
        <w:rPr>
          <w:rtl/>
        </w:rPr>
        <w:t>בתרפ״ד</w:t>
      </w:r>
      <w:proofErr w:type="spellEnd"/>
      <w:r>
        <w:rPr>
          <w:rtl/>
        </w:rPr>
        <w:t xml:space="preserve">, כשליווה משלחת רבנים לגיוס כספים, שכללה את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w:t>
      </w:r>
      <w:bookmarkStart w:id="1861" w:name="_fnr1195"/>
      <w:r>
        <w:rPr>
          <w:rStyle w:val="a5"/>
        </w:rPr>
        <w:footnoteReference w:id="1197" w:customMarkFollows="0"/>
      </w:r>
      <w:bookmarkEnd w:id="1861"/>
      <w:r>
        <w:rPr>
          <w:rtl/>
        </w:rPr>
        <w:t xml:space="preserve">. ר׳ </w:t>
      </w:r>
      <w:proofErr w:type="spellStart"/>
      <w:r>
        <w:rPr>
          <w:rtl/>
        </w:rPr>
        <w:t>יעקב־משה</w:t>
      </w:r>
      <w:proofErr w:type="spellEnd"/>
      <w:r>
        <w:rPr>
          <w:rtl/>
        </w:rPr>
        <w:t xml:space="preserve"> היה מסור מאוד לישיבה שבה למד, ונודע בכל ליטא כמגייס כספים יעיל למען </w:t>
      </w:r>
      <w:proofErr w:type="spellStart"/>
      <w:r>
        <w:rPr>
          <w:rtl/>
        </w:rPr>
        <w:t>סלבודקה</w:t>
      </w:r>
      <w:proofErr w:type="spellEnd"/>
      <w:r>
        <w:rPr>
          <w:rtl/>
        </w:rPr>
        <w:t>. כשרב קובנה התגלה כחסר מיומנות בגיוס כספים באמריקה, הוצג לו הישגו של הרב לסין כדוגמה למה שאפשר להשיג אפילו בליטא הענייה</w:t>
      </w:r>
      <w:bookmarkStart w:id="1862" w:name="_fnr1196"/>
      <w:r>
        <w:rPr>
          <w:rStyle w:val="a5"/>
        </w:rPr>
        <w:footnoteReference w:id="1198" w:customMarkFollows="0"/>
      </w:r>
      <w:bookmarkEnd w:id="1862"/>
      <w:r>
        <w:rPr>
          <w:rtl/>
        </w:rPr>
        <w:t>.</w:t>
      </w:r>
    </w:p>
    <w:p w14:paraId="08D8F8BA" w14:textId="77777777" w:rsidR="00AB3647" w:rsidRDefault="00000000" w:rsidP="007923E9">
      <w:pPr>
        <w:spacing w:before="120" w:after="100" w:line="276" w:lineRule="auto"/>
        <w:jc w:val="both"/>
      </w:pPr>
      <w:r>
        <w:rPr>
          <w:rtl/>
        </w:rPr>
        <w:t xml:space="preserve">ר׳ גרשון </w:t>
      </w:r>
      <w:proofErr w:type="spellStart"/>
      <w:r>
        <w:rPr>
          <w:rtl/>
        </w:rPr>
        <w:t>קרויזר</w:t>
      </w:r>
      <w:proofErr w:type="spellEnd"/>
      <w:r>
        <w:rPr>
          <w:rtl/>
        </w:rPr>
        <w:t xml:space="preserve"> סיפר</w:t>
      </w:r>
      <w:bookmarkStart w:id="1863" w:name="_fnr1197"/>
      <w:r>
        <w:rPr>
          <w:rStyle w:val="a5"/>
        </w:rPr>
        <w:footnoteReference w:id="1199" w:customMarkFollows="0"/>
      </w:r>
      <w:bookmarkEnd w:id="1863"/>
      <w:r>
        <w:rPr>
          <w:rtl/>
        </w:rPr>
        <w:t xml:space="preserve">: “הרב לסין היה בעל מוסר אמיתי: בעל חסד מופלג, שהיה רץ עד קצה העולם כדי לעשות טובה – ואפילו למתנגדיו בעיירתו בליטא. הוא היה מכיר טובה גדול: כשמישהו דיבר נגד [מעסיקו] ד״ר </w:t>
      </w:r>
      <w:proofErr w:type="spellStart"/>
      <w:r>
        <w:rPr>
          <w:rtl/>
        </w:rPr>
        <w:t>בלקין</w:t>
      </w:r>
      <w:proofErr w:type="spellEnd"/>
      <w:r>
        <w:rPr>
          <w:rtl/>
        </w:rPr>
        <w:t xml:space="preserve">, נשיא ישיבה </w:t>
      </w:r>
      <w:proofErr w:type="spellStart"/>
      <w:r>
        <w:rPr>
          <w:rtl/>
        </w:rPr>
        <w:t>יוניברסיטי</w:t>
      </w:r>
      <w:proofErr w:type="spellEnd"/>
      <w:r>
        <w:rPr>
          <w:rtl/>
        </w:rPr>
        <w:t>, תקף אותו הרב לסין בחריפות.”</w:t>
      </w:r>
    </w:p>
    <w:p w14:paraId="06CAB0BF" w14:textId="2D5C5E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lastRenderedPageBreak/>
        <w:t>בסלבודקה</w:t>
      </w:r>
      <w:proofErr w:type="spellEnd"/>
      <w:r>
        <w:rPr>
          <w:rtl/>
        </w:rPr>
        <w:t xml:space="preserve"> לא היו בניינים מפוארים כמו בקובנה, אבל רחובותיה שבסביבת הישיבה היו ישרים כמיתרים מתוחים בשני הכיוונים, ומצטלבים בזוויות ישרות. בצד הצפוני נמשך מתים </w:t>
      </w:r>
      <w:proofErr w:type="spellStart"/>
      <w:r>
        <w:rPr>
          <w:rtl/>
        </w:rPr>
        <w:t>גאס</w:t>
      </w:r>
      <w:proofErr w:type="spellEnd"/>
      <w:r>
        <w:rPr>
          <w:rtl/>
        </w:rPr>
        <w:t xml:space="preserve"> [רחוב המתים], שכנראה נקרא כך משום שהלוויות עברו בו. ברחוב זה שכנו הישיבה לנערים צעירים, שנודעה בשם “ישיבתו של ר׳ </w:t>
      </w:r>
      <w:proofErr w:type="spellStart"/>
      <w:r>
        <w:rPr>
          <w:rtl/>
        </w:rPr>
        <w:t>הירשעלע</w:t>
      </w:r>
      <w:proofErr w:type="spellEnd"/>
      <w:r>
        <w:rPr>
          <w:rtl/>
        </w:rPr>
        <w:t xml:space="preserve">”, שוק </w:t>
      </w:r>
      <w:proofErr w:type="spellStart"/>
      <w:r>
        <w:rPr>
          <w:rtl/>
        </w:rPr>
        <w:t>הקצבים</w:t>
      </w:r>
      <w:proofErr w:type="spellEnd"/>
      <w:r>
        <w:rPr>
          <w:rtl/>
        </w:rPr>
        <w:t xml:space="preserve"> וביתו של ר׳ </w:t>
      </w:r>
      <w:proofErr w:type="spellStart"/>
      <w:r>
        <w:rPr>
          <w:rtl/>
        </w:rPr>
        <w:t>ברוך־בער</w:t>
      </w:r>
      <w:proofErr w:type="spellEnd"/>
      <w:r>
        <w:rPr>
          <w:rtl/>
        </w:rPr>
        <w:t xml:space="preserve">. בצד הדרומי עבר רחוב </w:t>
      </w:r>
      <w:proofErr w:type="spellStart"/>
      <w:r>
        <w:rPr>
          <w:rtl/>
        </w:rPr>
        <w:t>יורבארק</w:t>
      </w:r>
      <w:proofErr w:type="spellEnd"/>
      <w:r>
        <w:rPr>
          <w:rtl/>
        </w:rPr>
        <w:t xml:space="preserve">, שהמשיך אל הגשר החוצה את </w:t>
      </w:r>
      <w:proofErr w:type="spellStart"/>
      <w:r>
        <w:rPr>
          <w:rtl/>
        </w:rPr>
        <w:t>הוויליה</w:t>
      </w:r>
      <w:proofErr w:type="spellEnd"/>
      <w:r>
        <w:rPr>
          <w:rtl/>
        </w:rPr>
        <w:t xml:space="preserve">, ובקצהו ניצבו בית המדרש הישן וחורבותיו של בית כנסת עתיק. בין שני הרחובות, במקביל להם, עבר רחוב גלזר, שנקרא ביידיש </w:t>
      </w:r>
      <w:proofErr w:type="spellStart"/>
      <w:r>
        <w:rPr>
          <w:rtl/>
        </w:rPr>
        <w:t>גלעזער</w:t>
      </w:r>
      <w:proofErr w:type="spellEnd"/>
      <w:r>
        <w:rPr>
          <w:rtl/>
        </w:rPr>
        <w:t xml:space="preserve"> </w:t>
      </w:r>
      <w:proofErr w:type="spellStart"/>
      <w:r>
        <w:rPr>
          <w:rtl/>
        </w:rPr>
        <w:t>גאס</w:t>
      </w:r>
      <w:proofErr w:type="spellEnd"/>
      <w:r>
        <w:rPr>
          <w:rtl/>
        </w:rPr>
        <w:t xml:space="preserve"> [רחוב הזגגים]. בקצהו עמד בניין העץ המרווח שבו שכנה כנסת ישראל</w:t>
      </w:r>
      <w:bookmarkStart w:id="1864" w:name="b3_ref72"/>
      <w:bookmarkEnd w:id="1864"/>
      <w:r>
        <w:rPr>
          <w:vertAlign w:val="superscript"/>
          <w:rtl/>
        </w:rPr>
        <w:fldChar w:fldCharType="begin" w:dirty="true"/>
      </w:r>
      <w:r>
        <w:rPr>
          <w:vertAlign w:val="superscript"/>
          <w:rtl/>
        </w:rPr>
        <w:instrText xml:space="preserve"> REF b3_note72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ולשם ליוו את האורחים הצעירים.</w:t>
      </w:r>
    </w:p>
    <w:bookmarkStart w:id="1865" w:name="b3_note72"/>
    <w:p w14:paraId="28EB3334" w14:textId="77777777" w:rsidR="00AB3647" w:rsidRDefault="00000000" w:rsidP="007923E9">
      <w:pPr>
        <w:spacing w:before="120" w:after="100" w:line="276" w:lineRule="auto"/>
        <w:jc w:val="both"/>
      </w:pPr>
      <w:r>
        <w:fldChar w:fldCharType="begin" w:dirty="true"/>
      </w:r>
      <w:r>
        <w:instrText>HYPERLINK \l "b3_ref72"</w:instrText>
      </w:r>
      <w:r>
        <w:fldChar w:fldCharType="separate"/>
      </w:r>
      <w:r>
        <w:rPr>
          <w:b/>
          <w:bCs/>
          <w:rtl/>
        </w:rPr>
        <w:t>72</w:t>
      </w:r>
      <w:r>
        <w:rPr>
          <w:b/>
          <w:bCs/>
        </w:rPr>
        <w:fldChar w:fldCharType="end"/>
      </w:r>
      <w:bookmarkEnd w:id="1865"/>
      <w:r>
        <w:rPr>
          <w:rtl/>
        </w:rPr>
        <w:t xml:space="preserve"> תיאור </w:t>
      </w:r>
      <w:proofErr w:type="spellStart"/>
      <w:r>
        <w:rPr>
          <w:rtl/>
        </w:rPr>
        <w:t>סלבודקה</w:t>
      </w:r>
      <w:proofErr w:type="spellEnd"/>
      <w:r>
        <w:rPr>
          <w:rtl/>
        </w:rPr>
        <w:t xml:space="preserve"> נלקח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1866" w:name="_fnr1198"/>
      <w:r>
        <w:rPr>
          <w:rStyle w:val="a5"/>
        </w:rPr>
        <w:footnoteReference w:id="1200" w:customMarkFollows="0"/>
      </w:r>
      <w:bookmarkEnd w:id="1866"/>
      <w:r>
        <w:rPr>
          <w:rtl/>
        </w:rPr>
        <w:t>.</w:t>
      </w:r>
    </w:p>
    <w:p w14:paraId="621824FC" w14:textId="4D0312F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ביום הראשון בישיבה אירעו שני דברים בלתי צפויים, והם הבהירו לאבי שנכנס לסביבה שערכיה שונים מאלה שהשאיר מאחוריו במינסק. בזמן ששני הבאים החדשים המתינו בבית המדרש והתערבו בין הבחורים, רץ אשר </w:t>
      </w:r>
      <w:proofErr w:type="spellStart"/>
      <w:r>
        <w:rPr>
          <w:rtl/>
        </w:rPr>
        <w:t>קרשטיין</w:t>
      </w:r>
      <w:proofErr w:type="spellEnd"/>
      <w:r>
        <w:rPr>
          <w:rtl/>
        </w:rPr>
        <w:t xml:space="preserve"> אל בית ראש הישיבה, ר׳ </w:t>
      </w:r>
      <w:proofErr w:type="spellStart"/>
      <w:r>
        <w:rPr>
          <w:rtl/>
        </w:rPr>
        <w:t>משה־מרדכי</w:t>
      </w:r>
      <w:proofErr w:type="spellEnd"/>
      <w:r>
        <w:rPr>
          <w:rtl/>
        </w:rPr>
        <w:t xml:space="preserve"> אפשטיין, להסדיר מבחן קבלה לשני אורחיו. ר׳ </w:t>
      </w:r>
      <w:proofErr w:type="spellStart"/>
      <w:r>
        <w:rPr>
          <w:rtl/>
        </w:rPr>
        <w:t>משה־מרדכי</w:t>
      </w:r>
      <w:proofErr w:type="spellEnd"/>
      <w:r>
        <w:rPr>
          <w:rtl/>
        </w:rPr>
        <w:t xml:space="preserve"> גר בדירה בקומה העליונה, שנבנתה באגף הימני של בניין הישיבה</w:t>
      </w:r>
      <w:bookmarkStart w:id="1867" w:name="b3_ref73"/>
      <w:bookmarkEnd w:id="1867"/>
      <w:r>
        <w:rPr>
          <w:vertAlign w:val="superscript"/>
          <w:rtl/>
        </w:rPr>
        <w:fldChar w:fldCharType="begin" w:dirty="true"/>
      </w:r>
      <w:r>
        <w:rPr>
          <w:vertAlign w:val="superscript"/>
          <w:rtl/>
        </w:rPr>
        <w:instrText xml:space="preserve"> REF b3_note73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ראש הישיבה קיבל את שני </w:t>
      </w:r>
      <w:proofErr w:type="spellStart"/>
      <w:r>
        <w:rPr>
          <w:rtl/>
        </w:rPr>
        <w:t>המינסקאים</w:t>
      </w:r>
      <w:proofErr w:type="spellEnd"/>
      <w:r>
        <w:rPr>
          <w:rtl/>
        </w:rPr>
        <w:t xml:space="preserve"> בסבר פנים יפות, ואמר להם להכין קטע </w:t>
      </w:r>
      <w:proofErr w:type="spellStart"/>
      <w:r>
        <w:rPr>
          <w:rtl/>
        </w:rPr>
        <w:t>ב“קצות</w:t>
      </w:r>
      <w:proofErr w:type="spellEnd"/>
      <w:r>
        <w:rPr>
          <w:rtl/>
        </w:rPr>
        <w:t xml:space="preserve"> החושן”</w:t>
      </w:r>
      <w:bookmarkStart w:id="1868" w:name="b3_ref74"/>
      <w:bookmarkEnd w:id="1868"/>
      <w:r>
        <w:rPr>
          <w:vertAlign w:val="superscript"/>
          <w:rtl/>
        </w:rPr>
        <w:fldChar w:fldCharType="begin" w:dirty="true"/>
      </w:r>
      <w:r>
        <w:rPr>
          <w:vertAlign w:val="superscript"/>
          <w:rtl/>
        </w:rPr>
        <w:instrText xml:space="preserve"> REF b3_note74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ולשוב בעוד שעה עם </w:t>
      </w:r>
      <w:proofErr w:type="spellStart"/>
      <w:r>
        <w:rPr>
          <w:rtl/>
        </w:rPr>
        <w:t>פירכה</w:t>
      </w:r>
      <w:proofErr w:type="spellEnd"/>
      <w:r>
        <w:rPr>
          <w:rtl/>
        </w:rPr>
        <w:t xml:space="preserve"> על טיעונו של המחבר. זו הייתה ההפתעה הראשונה של אבי באותו יום: במינסק לא שמע מעולם שאפשר לבקר ולדחות חידוש של </w:t>
      </w:r>
      <w:proofErr w:type="spellStart"/>
      <w:r>
        <w:rPr>
          <w:rtl/>
        </w:rPr>
        <w:t>ה“קצות</w:t>
      </w:r>
      <w:proofErr w:type="spellEnd"/>
      <w:r>
        <w:rPr>
          <w:rtl/>
        </w:rPr>
        <w:t>” הנערץ</w:t>
      </w:r>
      <w:bookmarkStart w:id="1869" w:name="b3_ref75"/>
      <w:bookmarkEnd w:id="1869"/>
      <w:r>
        <w:rPr>
          <w:vertAlign w:val="superscript"/>
          <w:rtl/>
        </w:rPr>
        <w:fldChar w:fldCharType="begin" w:dirty="true"/>
      </w:r>
      <w:r>
        <w:rPr>
          <w:vertAlign w:val="superscript"/>
          <w:rtl/>
        </w:rPr>
        <w:instrText xml:space="preserve"> REF b3_note75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1870" w:name="b3_note73"/>
    <w:p w14:paraId="534FC23E" w14:textId="09FA8930" w:rsidR="00AB3647" w:rsidRDefault="00000000" w:rsidP="007923E9">
      <w:pPr>
        <w:spacing w:before="120" w:after="100" w:line="276" w:lineRule="auto"/>
        <w:jc w:val="both"/>
      </w:pPr>
      <w:r>
        <w:fldChar w:fldCharType="begin" w:dirty="true"/>
      </w:r>
      <w:r>
        <w:instrText>HYPERLINK \l "b3_ref73"</w:instrText>
      </w:r>
      <w:r>
        <w:fldChar w:fldCharType="separate"/>
      </w:r>
      <w:r>
        <w:rPr>
          <w:b/>
          <w:bCs/>
          <w:rtl/>
        </w:rPr>
        <w:t>73</w:t>
      </w:r>
      <w:r>
        <w:rPr>
          <w:b/>
          <w:bCs/>
        </w:rPr>
        <w:fldChar w:fldCharType="end"/>
      </w:r>
      <w:bookmarkEnd w:id="1870"/>
      <w:r>
        <w:rPr>
          <w:rtl/>
        </w:rPr>
        <w:t xml:space="preserve"> השווה פרק 4, סוף הערה </w:t>
      </w:r>
      <w:r>
        <w:rPr>
          <w:rtl/>
        </w:rPr>
        <w:fldChar w:fldCharType="begin" w:dirty="true"/>
      </w:r>
      <w:r>
        <w:rPr>
          <w:rtl/>
        </w:rPr>
        <w:instrText xml:space="preserve"> REF b4_note26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bookmarkStart w:id="1871" w:name="b3_note74"/>
    <w:p w14:paraId="35DBB78A" w14:textId="77777777" w:rsidR="00AB3647" w:rsidRDefault="00000000" w:rsidP="007923E9">
      <w:pPr>
        <w:spacing w:before="120" w:after="100" w:line="276" w:lineRule="auto"/>
        <w:jc w:val="both"/>
      </w:pPr>
      <w:r>
        <w:fldChar w:fldCharType="begin" w:dirty="true"/>
      </w:r>
      <w:r>
        <w:instrText>HYPERLINK \l "b3_ref74"</w:instrText>
      </w:r>
      <w:r>
        <w:fldChar w:fldCharType="separate"/>
      </w:r>
      <w:r>
        <w:rPr>
          <w:b/>
          <w:bCs/>
          <w:rtl/>
        </w:rPr>
        <w:t>74</w:t>
      </w:r>
      <w:r>
        <w:rPr>
          <w:b/>
          <w:bCs/>
        </w:rPr>
        <w:fldChar w:fldCharType="end"/>
      </w:r>
      <w:bookmarkEnd w:id="1871"/>
      <w:r>
        <w:rPr>
          <w:rtl/>
        </w:rPr>
        <w:t xml:space="preserve"> מחברו הוא ר׳ </w:t>
      </w:r>
      <w:proofErr w:type="spellStart"/>
      <w:r>
        <w:rPr>
          <w:rtl/>
        </w:rPr>
        <w:t>אריה־לייב</w:t>
      </w:r>
      <w:proofErr w:type="spellEnd"/>
      <w:r>
        <w:rPr>
          <w:rtl/>
        </w:rPr>
        <w:t xml:space="preserve"> הכהן </w:t>
      </w:r>
      <w:proofErr w:type="spellStart"/>
      <w:r>
        <w:rPr>
          <w:rtl/>
        </w:rPr>
        <w:t xml:space="preserve">הלר</w:t>
      </w:r>
      <w:proofErr w:type="spellEnd"/>
      <w:r>
        <w:rPr>
          <w:rtl/>
        </w:rPr>
        <w:t xml:space="preserve">, שנולד בשנת תק״ה. הוא כתב את החיבור הקלאסי בהיותו רב </w:t>
      </w:r>
      <w:proofErr w:type="spellStart"/>
      <w:r>
        <w:rPr>
          <w:rtl/>
        </w:rPr>
        <w:t>ברוז׳ניאטוב</w:t>
      </w:r>
      <w:proofErr w:type="spellEnd"/>
      <w:r>
        <w:rPr>
          <w:rtl/>
        </w:rPr>
        <w:t xml:space="preserve"> (מדרום </w:t>
      </w:r>
      <w:proofErr w:type="spellStart"/>
      <w:r>
        <w:rPr>
          <w:rtl/>
        </w:rPr>
        <w:t>ללבוב</w:t>
      </w:r>
      <w:proofErr w:type="spellEnd"/>
      <w:r>
        <w:rPr>
          <w:rtl/>
        </w:rPr>
        <w:t xml:space="preserve">), ושם חי בעוני מחפיר. מסופר ששולחן הכתיבה שלו היה קרש שהונח בין שתי חביות, ובחורף, </w:t>
      </w:r>
      <w:proofErr w:type="spellStart"/>
      <w:r>
        <w:rPr>
          <w:rtl/>
        </w:rPr>
        <w:t>כשלא</w:t>
      </w:r>
      <w:proofErr w:type="spellEnd"/>
      <w:r>
        <w:rPr>
          <w:rtl/>
        </w:rPr>
        <w:t xml:space="preserve"> היו לו עצים להסיק את התנור, שכב במיטתו וכתב מתחת לשמיכה. גם את הדיו החזיק מתחת לשמיכה, כדי שחום גופו ימנע ממנו לקפוא.</w:t>
      </w:r>
    </w:p>
    <w:p w14:paraId="491CFC01" w14:textId="77777777" w:rsidR="00AB3647" w:rsidRDefault="00000000" w:rsidP="007923E9">
      <w:pPr>
        <w:spacing w:before="120" w:after="100" w:line="276" w:lineRule="auto"/>
        <w:jc w:val="both"/>
      </w:pPr>
      <w:r>
        <w:rPr>
          <w:rtl/>
        </w:rPr>
        <w:t xml:space="preserve">הספר הזה הפיץ את תהילת מחברו כתלמיד חכם מופלג, והביא להזמנתו לרבנות סטרי, הגדולה יותר, אף היא בגליציה, ושם התאספו מאות תלמידים לשמוע את שיעוריו. הוא נפטר בתחילת תקע״ג, לאחר שחיבר שני ספרים נוספים, “אבני מילואים” </w:t>
      </w:r>
      <w:proofErr w:type="spellStart"/>
      <w:r>
        <w:rPr>
          <w:rtl/>
        </w:rPr>
        <w:t>ו“שב</w:t>
      </w:r>
      <w:proofErr w:type="spellEnd"/>
      <w:r>
        <w:rPr>
          <w:rtl/>
        </w:rPr>
        <w:t xml:space="preserve"> </w:t>
      </w:r>
      <w:proofErr w:type="spellStart"/>
      <w:r>
        <w:rPr>
          <w:rtl/>
        </w:rPr>
        <w:t>שמעתתא</w:t>
      </w:r>
      <w:proofErr w:type="spellEnd"/>
      <w:r>
        <w:rPr>
          <w:rtl/>
        </w:rPr>
        <w:t>”, שגם הם נעשו ספרי יסוד וכבשו את הישיבות הליטאיות</w:t>
      </w:r>
      <w:bookmarkStart w:id="1872" w:name="_fnr1199"/>
      <w:r>
        <w:rPr>
          <w:rStyle w:val="a5"/>
        </w:rPr>
        <w:footnoteReference w:id="1201" w:customMarkFollows="0"/>
      </w:r>
      <w:bookmarkEnd w:id="1872"/>
      <w:r>
        <w:rPr>
          <w:rtl/>
        </w:rPr>
        <w:t>.</w:t>
      </w:r>
    </w:p>
    <w:p w14:paraId="77FC8827" w14:textId="77777777" w:rsidR="00AB3647" w:rsidRDefault="00000000" w:rsidP="007923E9">
      <w:pPr>
        <w:spacing w:after="100" w:line="276" w:lineRule="auto"/>
        <w:ind w:firstLine="340"/>
        <w:jc w:val="both"/>
      </w:pPr>
      <w:r>
        <w:rPr>
          <w:rtl/>
        </w:rPr>
        <w:t xml:space="preserve">לפי סיפור שמסר ר׳ </w:t>
      </w:r>
      <w:proofErr w:type="spellStart"/>
      <w:r>
        <w:rPr>
          <w:rtl/>
        </w:rPr>
        <w:t>שמואל־דוד</w:t>
      </w:r>
      <w:proofErr w:type="spellEnd"/>
      <w:r>
        <w:rPr>
          <w:rtl/>
        </w:rPr>
        <w:t xml:space="preserve"> </w:t>
      </w:r>
      <w:proofErr w:type="spellStart"/>
      <w:r>
        <w:rPr>
          <w:rtl/>
        </w:rPr>
        <w:t>מובשוביץ</w:t>
      </w:r>
      <w:bookmarkStart w:id="1873" w:name="_fnr1200"/>
      <w:proofErr w:type="spellEnd"/>
      <w:r>
        <w:rPr>
          <w:rStyle w:val="a5"/>
        </w:rPr>
        <w:footnoteReference w:id="1202" w:customMarkFollows="0"/>
      </w:r>
      <w:bookmarkEnd w:id="1873"/>
      <w:r>
        <w:rPr>
          <w:rtl/>
        </w:rPr>
        <w:t xml:space="preserve"> בשם ר׳ אפרים </w:t>
      </w:r>
      <w:proofErr w:type="spellStart"/>
      <w:r>
        <w:rPr>
          <w:rtl/>
        </w:rPr>
        <w:t>בורודיאנסקי</w:t>
      </w:r>
      <w:proofErr w:type="spellEnd"/>
      <w:r>
        <w:rPr>
          <w:rtl/>
        </w:rPr>
        <w:t xml:space="preserve">, בא ר׳ </w:t>
      </w:r>
      <w:proofErr w:type="spellStart"/>
      <w:r>
        <w:rPr>
          <w:rtl/>
        </w:rPr>
        <w:t>אריה־לייב</w:t>
      </w:r>
      <w:proofErr w:type="spellEnd"/>
      <w:r>
        <w:rPr>
          <w:rtl/>
        </w:rPr>
        <w:t xml:space="preserve"> הכהן לווילנה לבקש הסכמה </w:t>
      </w:r>
      <w:proofErr w:type="spellStart"/>
      <w:r>
        <w:rPr>
          <w:rtl/>
        </w:rPr>
        <w:t>ל“קצות</w:t>
      </w:r>
      <w:proofErr w:type="spellEnd"/>
      <w:r>
        <w:rPr>
          <w:rtl/>
        </w:rPr>
        <w:t xml:space="preserve"> החושן” שלו מאת ר׳ </w:t>
      </w:r>
      <w:proofErr w:type="spellStart"/>
      <w:r>
        <w:rPr>
          <w:rtl/>
        </w:rPr>
        <w:t>אברהם־אבל׳ה</w:t>
      </w:r>
      <w:proofErr w:type="spellEnd"/>
      <w:r>
        <w:rPr>
          <w:rtl/>
        </w:rPr>
        <w:t xml:space="preserve"> </w:t>
      </w:r>
      <w:proofErr w:type="spellStart"/>
      <w:r>
        <w:rPr>
          <w:rtl/>
        </w:rPr>
        <w:t>פוסבולר</w:t>
      </w:r>
      <w:proofErr w:type="spellEnd"/>
      <w:r>
        <w:rPr>
          <w:rtl/>
        </w:rPr>
        <w:t xml:space="preserve"> </w:t>
      </w:r>
      <w:r>
        <w:rPr>
          <w:rtl/>
        </w:rPr>
        <w:lastRenderedPageBreak/>
        <w:t xml:space="preserve">(הצעיר; תקכ״ד–תקצ״ו), ראש הדיינים בעיר משנת תקס״ב </w:t>
      </w:r>
      <w:proofErr w:type="spellStart"/>
      <w:r>
        <w:rPr>
          <w:rtl/>
        </w:rPr>
        <w:t>ו“אחד</w:t>
      </w:r>
      <w:proofErr w:type="spellEnd"/>
      <w:r>
        <w:rPr>
          <w:rtl/>
        </w:rPr>
        <w:t xml:space="preserve"> מגדולי המסכימים בזמנו”</w:t>
      </w:r>
      <w:bookmarkStart w:id="1874" w:name="_fnr1201"/>
      <w:r>
        <w:rPr>
          <w:rStyle w:val="a5"/>
        </w:rPr>
        <w:footnoteReference w:id="1203" w:customMarkFollows="0"/>
      </w:r>
      <w:bookmarkEnd w:id="1874"/>
      <w:r>
        <w:rPr>
          <w:rtl/>
        </w:rPr>
        <w:t>.</w:t>
      </w:r>
    </w:p>
    <w:p w14:paraId="2E003F8C" w14:textId="77777777" w:rsidR="00AB3647" w:rsidRDefault="00000000" w:rsidP="007923E9">
      <w:pPr>
        <w:spacing w:after="100" w:line="276" w:lineRule="auto"/>
        <w:ind w:firstLine="340"/>
        <w:jc w:val="both"/>
      </w:pPr>
      <w:r>
        <w:rPr>
          <w:rtl/>
        </w:rPr>
        <w:t xml:space="preserve">“ר׳ </w:t>
      </w:r>
      <w:proofErr w:type="spellStart"/>
      <w:r>
        <w:rPr>
          <w:rtl/>
        </w:rPr>
        <w:t>אריה־לייב</w:t>
      </w:r>
      <w:proofErr w:type="spellEnd"/>
      <w:r>
        <w:rPr>
          <w:rtl/>
        </w:rPr>
        <w:t xml:space="preserve"> הכהן נכנס לבית הדין בווילנה”, סיפר ר׳ אפרים, “בשעה שהדיינים עסקו בשאלת עגונה קשה מאוד, והוא ישב שם ולא אמר דבר. ר׳ </w:t>
      </w:r>
      <w:proofErr w:type="spellStart"/>
      <w:r>
        <w:rPr>
          <w:rtl/>
        </w:rPr>
        <w:t>אברהם־אבל׳ה</w:t>
      </w:r>
      <w:proofErr w:type="spellEnd"/>
      <w:r>
        <w:rPr>
          <w:rtl/>
        </w:rPr>
        <w:t xml:space="preserve"> אמר לו להשאיר את כתב היד ולשוב לביתו בבוקר. ר׳ </w:t>
      </w:r>
      <w:proofErr w:type="spellStart"/>
      <w:r>
        <w:rPr>
          <w:rtl/>
        </w:rPr>
        <w:t>אריה־לייב</w:t>
      </w:r>
      <w:proofErr w:type="spellEnd"/>
      <w:r>
        <w:rPr>
          <w:rtl/>
        </w:rPr>
        <w:t xml:space="preserve"> חזר בבוקר ודפק בדלת. איש לא ענה, אך הדלת הייתה פתוחה מעט” – ככל הנראה ר׳ </w:t>
      </w:r>
      <w:proofErr w:type="spellStart"/>
      <w:r>
        <w:rPr>
          <w:rtl/>
        </w:rPr>
        <w:t>אברהם־אבל׳ה</w:t>
      </w:r>
      <w:proofErr w:type="spellEnd"/>
      <w:r>
        <w:rPr>
          <w:rtl/>
        </w:rPr>
        <w:t xml:space="preserve"> מעולם לא נעל את דלתו, כדי שעניים יוכלו להיכנס לביתו בכל שעה; נודע שהיה נותן לצדקה את משכורתו הקטנה, ור׳ </w:t>
      </w:r>
      <w:proofErr w:type="spellStart"/>
      <w:r>
        <w:rPr>
          <w:rtl/>
        </w:rPr>
        <w:t>איצל׳ה</w:t>
      </w:r>
      <w:proofErr w:type="spellEnd"/>
      <w:r>
        <w:rPr>
          <w:rtl/>
        </w:rPr>
        <w:t xml:space="preserve"> </w:t>
      </w:r>
      <w:proofErr w:type="spellStart"/>
      <w:r>
        <w:rPr>
          <w:rtl/>
        </w:rPr>
        <w:t>מוולוז׳ין</w:t>
      </w:r>
      <w:proofErr w:type="spellEnd"/>
      <w:r>
        <w:rPr>
          <w:rtl/>
        </w:rPr>
        <w:t xml:space="preserve"> הספידו </w:t>
      </w:r>
      <w:proofErr w:type="spellStart"/>
      <w:r>
        <w:rPr>
          <w:rtl/>
        </w:rPr>
        <w:t>כ“חסד</w:t>
      </w:r>
      <w:proofErr w:type="spellEnd"/>
      <w:r>
        <w:rPr>
          <w:rtl/>
        </w:rPr>
        <w:t xml:space="preserve"> שבחסד”</w:t>
      </w:r>
      <w:bookmarkStart w:id="1875" w:name="_fnr1202"/>
      <w:r>
        <w:rPr>
          <w:rStyle w:val="a5"/>
        </w:rPr>
        <w:footnoteReference w:id="1204" w:customMarkFollows="0"/>
      </w:r>
      <w:bookmarkEnd w:id="1875"/>
      <w:r>
        <w:rPr>
          <w:rtl/>
        </w:rPr>
        <w:t xml:space="preserve"> – “ולכן ר׳ </w:t>
      </w:r>
      <w:proofErr w:type="spellStart"/>
      <w:r>
        <w:rPr>
          <w:rtl/>
        </w:rPr>
        <w:t>אריה־לייב</w:t>
      </w:r>
      <w:proofErr w:type="spellEnd"/>
      <w:r>
        <w:rPr>
          <w:rtl/>
        </w:rPr>
        <w:t xml:space="preserve"> נכנס ומצא את ר׳ </w:t>
      </w:r>
      <w:proofErr w:type="spellStart"/>
      <w:r>
        <w:rPr>
          <w:rtl/>
        </w:rPr>
        <w:t>אברהם־אבל׳ה</w:t>
      </w:r>
      <w:proofErr w:type="spellEnd"/>
      <w:r>
        <w:rPr>
          <w:rtl/>
        </w:rPr>
        <w:t xml:space="preserve"> עומד בראש סולם ליד מדפי ספריו, מעיין פעם בספר זה ופעם בספר אחר. כשהבחין לבסוף בר׳ </w:t>
      </w:r>
      <w:proofErr w:type="spellStart"/>
      <w:r>
        <w:rPr>
          <w:rtl/>
        </w:rPr>
        <w:t>אריה־לייב</w:t>
      </w:r>
      <w:proofErr w:type="spellEnd"/>
      <w:r>
        <w:rPr>
          <w:rtl/>
        </w:rPr>
        <w:t xml:space="preserve"> העומד למטה, אמר ר׳ </w:t>
      </w:r>
      <w:proofErr w:type="spellStart"/>
      <w:r>
        <w:rPr>
          <w:rtl/>
        </w:rPr>
        <w:t>אברהם־אבל׳ה</w:t>
      </w:r>
      <w:proofErr w:type="spellEnd"/>
      <w:r>
        <w:rPr>
          <w:rtl/>
        </w:rPr>
        <w:t xml:space="preserve">: ‘מה? כבר בוקר? לא ישנתי כל הלילה ועיינתי בספרך.’ המחבר השיב: ‘גם אני לא ישנתי כל הלילה, אלא עבדתי על שאלת העגונה של בית דינכם, והנה תשובתי.’ </w:t>
      </w:r>
      <w:proofErr w:type="spellStart"/>
      <w:r>
        <w:rPr>
          <w:rtl/>
        </w:rPr>
        <w:t>ופוסבולר</w:t>
      </w:r>
      <w:proofErr w:type="spellEnd"/>
      <w:r>
        <w:rPr>
          <w:rtl/>
        </w:rPr>
        <w:t xml:space="preserve"> הסכים לפתרונו של אורחו.”</w:t>
      </w:r>
    </w:p>
    <w:p w14:paraId="5A92AF9B" w14:textId="77777777" w:rsidR="00AB3647" w:rsidRDefault="00000000" w:rsidP="007923E9">
      <w:pPr>
        <w:spacing w:after="100" w:line="276" w:lineRule="auto"/>
        <w:ind w:firstLine="340"/>
        <w:jc w:val="both"/>
      </w:pPr>
      <w:r>
        <w:rPr>
          <w:rtl/>
        </w:rPr>
        <w:t xml:space="preserve">הרב </w:t>
      </w:r>
      <w:proofErr w:type="spellStart"/>
      <w:r>
        <w:rPr>
          <w:rtl/>
        </w:rPr>
        <w:t>מובשוביץ</w:t>
      </w:r>
      <w:proofErr w:type="spellEnd"/>
      <w:r>
        <w:rPr>
          <w:rtl/>
        </w:rPr>
        <w:t xml:space="preserve"> סיפר סיפור נוסף בשם ר׳ </w:t>
      </w:r>
      <w:proofErr w:type="spellStart"/>
      <w:r>
        <w:rPr>
          <w:rtl/>
        </w:rPr>
        <w:t>יוסף־שלום</w:t>
      </w:r>
      <w:proofErr w:type="spellEnd"/>
      <w:r>
        <w:rPr>
          <w:rtl/>
        </w:rPr>
        <w:t xml:space="preserve"> אלישיב: “ר׳ </w:t>
      </w:r>
      <w:proofErr w:type="spellStart"/>
      <w:r>
        <w:rPr>
          <w:rtl/>
        </w:rPr>
        <w:t>אריה־לייב</w:t>
      </w:r>
      <w:proofErr w:type="spellEnd"/>
      <w:r>
        <w:rPr>
          <w:rtl/>
        </w:rPr>
        <w:t xml:space="preserve"> הכהן ביקר בווילנה ודיבר בלימוד עם ר׳ </w:t>
      </w:r>
      <w:proofErr w:type="spellStart"/>
      <w:r>
        <w:rPr>
          <w:rtl/>
        </w:rPr>
        <w:t>אברהם־אבל׳ה</w:t>
      </w:r>
      <w:proofErr w:type="spellEnd"/>
      <w:r>
        <w:rPr>
          <w:rtl/>
        </w:rPr>
        <w:t xml:space="preserve">, והלה התרשם שאורחו אינו מסוגל לעמוד בקצב השיחה. כעבור שבועיים קיבל ר׳ </w:t>
      </w:r>
      <w:proofErr w:type="spellStart"/>
      <w:r>
        <w:rPr>
          <w:rtl/>
        </w:rPr>
        <w:t>אברהם־אבל׳ה</w:t>
      </w:r>
      <w:proofErr w:type="spellEnd"/>
      <w:r>
        <w:rPr>
          <w:rtl/>
        </w:rPr>
        <w:t xml:space="preserve"> מכתב ממחבר </w:t>
      </w:r>
      <w:proofErr w:type="spellStart"/>
      <w:r>
        <w:rPr>
          <w:rtl/>
        </w:rPr>
        <w:t>ה‘קצות</w:t>
      </w:r>
      <w:proofErr w:type="spellEnd"/>
      <w:r>
        <w:rPr>
          <w:rtl/>
        </w:rPr>
        <w:t xml:space="preserve">’, ובו דיון מפורט, עניין אחר עניין, בכל מה שנגעו בו, ור׳ </w:t>
      </w:r>
      <w:proofErr w:type="spellStart"/>
      <w:r>
        <w:rPr>
          <w:rtl/>
        </w:rPr>
        <w:t>אברהם־אבל׳ה</w:t>
      </w:r>
      <w:proofErr w:type="spellEnd"/>
      <w:r>
        <w:rPr>
          <w:rtl/>
        </w:rPr>
        <w:t xml:space="preserve"> העיר: ‘לאחר העיון – הוא טוב!’”</w:t>
      </w:r>
      <w:bookmarkStart w:id="1876" w:name="_fnr1203"/>
      <w:r>
        <w:rPr>
          <w:rStyle w:val="a5"/>
        </w:rPr>
        <w:footnoteReference w:id="1205" w:customMarkFollows="0"/>
      </w:r>
      <w:bookmarkEnd w:id="1876"/>
    </w:p>
    <w:p w14:paraId="4867ADAB" w14:textId="77777777" w:rsidR="00AB3647" w:rsidRDefault="00000000" w:rsidP="007923E9">
      <w:pPr>
        <w:spacing w:after="100" w:line="276" w:lineRule="auto"/>
        <w:ind w:firstLine="340"/>
        <w:jc w:val="both"/>
      </w:pPr>
      <w:r>
        <w:rPr>
          <w:rtl/>
        </w:rPr>
        <w:t xml:space="preserve">בעיני ר׳ </w:t>
      </w:r>
      <w:proofErr w:type="spellStart"/>
      <w:r>
        <w:rPr>
          <w:rtl/>
        </w:rPr>
        <w:t>משה־מרדכי</w:t>
      </w:r>
      <w:proofErr w:type="spellEnd"/>
      <w:r>
        <w:rPr>
          <w:rtl/>
        </w:rPr>
        <w:t xml:space="preserve"> היה “קצות החושן” דגם מובהק </w:t>
      </w:r>
      <w:proofErr w:type="spellStart"/>
      <w:r>
        <w:rPr>
          <w:rtl/>
        </w:rPr>
        <w:t>לסברא</w:t>
      </w:r>
      <w:proofErr w:type="spellEnd"/>
      <w:r>
        <w:rPr>
          <w:rtl/>
        </w:rPr>
        <w:t xml:space="preserve"> תלמודית, וכן “נתיבות המשפט”, מאת בן דורו של הרב </w:t>
      </w:r>
      <w:proofErr w:type="spellStart"/>
      <w:r>
        <w:rPr>
          <w:rtl/>
        </w:rPr>
        <w:t xml:space="preserve">הלר</w:t>
      </w:r>
      <w:proofErr w:type="spellEnd"/>
      <w:r>
        <w:rPr>
          <w:rtl/>
        </w:rPr>
        <w:t xml:space="preserve">, ר׳ יעקב </w:t>
      </w:r>
      <w:proofErr w:type="spellStart"/>
      <w:r>
        <w:rPr>
          <w:rtl/>
        </w:rPr>
        <w:t>לורברבוים</w:t>
      </w:r>
      <w:proofErr w:type="spellEnd"/>
      <w:r>
        <w:rPr>
          <w:rtl/>
        </w:rPr>
        <w:t xml:space="preserve">, רבה של </w:t>
      </w:r>
      <w:proofErr w:type="spellStart"/>
      <w:r>
        <w:rPr>
          <w:rtl/>
        </w:rPr>
        <w:t>ליסא</w:t>
      </w:r>
      <w:proofErr w:type="spellEnd"/>
      <w:r>
        <w:rPr>
          <w:rtl/>
        </w:rPr>
        <w:t>. בהקדמת “לבוש מרדכי”</w:t>
      </w:r>
      <w:bookmarkStart w:id="1877" w:name="_fnr1204"/>
      <w:r>
        <w:rPr>
          <w:rStyle w:val="a5"/>
        </w:rPr>
        <w:footnoteReference w:id="1206" w:customMarkFollows="0"/>
      </w:r>
      <w:bookmarkEnd w:id="1877"/>
      <w:r>
        <w:rPr>
          <w:rtl/>
        </w:rPr>
        <w:t xml:space="preserve"> הוא מדגיש את חשיבות הלימוד בספרי מוסר, מונה כמה ספרי יסוד המביאים ליראת שמים ולמידות טובות ולסילוק מידות רעות, ומסיים: “הספרים הללו הם לנו לעניין קיום ‘הלכות חובות הלבבות’ כפי </w:t>
      </w:r>
      <w:proofErr w:type="spellStart"/>
      <w:r>
        <w:rPr>
          <w:rtl/>
        </w:rPr>
        <w:t>שה‘קצות</w:t>
      </w:r>
      <w:proofErr w:type="spellEnd"/>
      <w:r>
        <w:rPr>
          <w:rtl/>
        </w:rPr>
        <w:t xml:space="preserve">’ </w:t>
      </w:r>
      <w:proofErr w:type="spellStart"/>
      <w:r>
        <w:rPr>
          <w:rtl/>
        </w:rPr>
        <w:t>וה‘נתיבות</w:t>
      </w:r>
      <w:proofErr w:type="spellEnd"/>
      <w:r>
        <w:rPr>
          <w:rtl/>
        </w:rPr>
        <w:t>’ הם בהלכה.”</w:t>
      </w:r>
    </w:p>
    <w:bookmarkStart w:id="1878" w:name="b3_note75"/>
    <w:p w14:paraId="4C7E433A" w14:textId="77777777" w:rsidR="00AB3647" w:rsidRDefault="00000000" w:rsidP="007923E9">
      <w:pPr>
        <w:spacing w:before="120" w:after="100" w:line="276" w:lineRule="auto"/>
        <w:jc w:val="both"/>
      </w:pPr>
      <w:r>
        <w:fldChar w:fldCharType="begin" w:dirty="true"/>
      </w:r>
      <w:r>
        <w:instrText>HYPERLINK \l "b3_ref75"</w:instrText>
      </w:r>
      <w:r>
        <w:fldChar w:fldCharType="separate"/>
      </w:r>
      <w:r>
        <w:rPr>
          <w:b/>
          <w:bCs/>
          <w:rtl/>
        </w:rPr>
        <w:t>75</w:t>
      </w:r>
      <w:r>
        <w:rPr>
          <w:b/>
          <w:bCs/>
        </w:rPr>
        <w:fldChar w:fldCharType="end"/>
      </w:r>
      <w:bookmarkEnd w:id="1878"/>
      <w:r>
        <w:rPr>
          <w:rtl/>
        </w:rPr>
        <w:t xml:space="preserve"> ריאיון עם ר׳ ישראל </w:t>
      </w:r>
      <w:proofErr w:type="spellStart"/>
      <w:r>
        <w:rPr>
          <w:rtl/>
        </w:rPr>
        <w:t>שורין</w:t>
      </w:r>
      <w:bookmarkStart w:id="1879" w:name="_fnr1205"/>
      <w:proofErr w:type="spellEnd"/>
      <w:r>
        <w:rPr>
          <w:rStyle w:val="a5"/>
        </w:rPr>
        <w:footnoteReference w:id="1207" w:customMarkFollows="0"/>
      </w:r>
      <w:bookmarkEnd w:id="1879"/>
      <w:r>
        <w:rPr>
          <w:rtl/>
        </w:rPr>
        <w:t xml:space="preserve">, וכמה פרטים השלים ר׳ יצחק </w:t>
      </w:r>
      <w:proofErr w:type="spellStart"/>
      <w:r>
        <w:rPr>
          <w:rtl/>
        </w:rPr>
        <w:t>קנובל</w:t>
      </w:r>
      <w:bookmarkStart w:id="1880" w:name="_fnr1206"/>
      <w:proofErr w:type="spellEnd"/>
      <w:r>
        <w:rPr>
          <w:rStyle w:val="a5"/>
        </w:rPr>
        <w:footnoteReference w:id="1208" w:customMarkFollows="0"/>
      </w:r>
      <w:bookmarkEnd w:id="1880"/>
      <w:r>
        <w:rPr>
          <w:rtl/>
        </w:rPr>
        <w:t xml:space="preserve">. ועי׳ ספר חסידים, סוף אות תתקפ״ד, שכשיש לחכם קושיא יאמר לתלמיד </w:t>
      </w:r>
      <w:proofErr w:type="spellStart"/>
      <w:r>
        <w:rPr>
          <w:rtl/>
        </w:rPr>
        <w:t>בכאן</w:t>
      </w:r>
      <w:proofErr w:type="spellEnd"/>
      <w:r>
        <w:rPr>
          <w:rtl/>
        </w:rPr>
        <w:t xml:space="preserve"> יש קושיא וישים התלמיד אל לבו שידע את </w:t>
      </w:r>
      <w:proofErr w:type="spellStart"/>
      <w:r>
        <w:rPr>
          <w:rtl/>
        </w:rPr>
        <w:t>הקושיא</w:t>
      </w:r>
      <w:proofErr w:type="spellEnd"/>
      <w:r>
        <w:rPr>
          <w:rtl/>
        </w:rPr>
        <w:t xml:space="preserve"> מעצמו, </w:t>
      </w:r>
      <w:proofErr w:type="spellStart"/>
      <w:r>
        <w:rPr>
          <w:rtl/>
        </w:rPr>
        <w:t>וכשלא</w:t>
      </w:r>
      <w:proofErr w:type="spellEnd"/>
      <w:r>
        <w:rPr>
          <w:rtl/>
        </w:rPr>
        <w:t xml:space="preserve"> ידע מעצמו אז הרב יגיד לו.</w:t>
      </w:r>
    </w:p>
    <w:p w14:paraId="22E5D433" w14:textId="6B6D9D8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כך או כך, הם מילאו את המשימה. שני הטירונים היו מרוצים – לדעתם מצאו בטיעון את החולשה שראש הישיבה ביקש שימצאו – ושבו אליו במועד שנקבע. בתום הדיון </w:t>
      </w:r>
      <w:proofErr w:type="spellStart"/>
      <w:r>
        <w:rPr>
          <w:rtl/>
        </w:rPr>
        <w:t>ב“קצות</w:t>
      </w:r>
      <w:proofErr w:type="spellEnd"/>
      <w:r>
        <w:rPr>
          <w:rtl/>
        </w:rPr>
        <w:t xml:space="preserve">” נאמר להם, לאכזבתם, שעליהם להמתין יום או יומיים עד שיידעו אם התקבלו. כשיצאו מבית ראש הישיבה, הפיג המבוגר משני הנערים את אכזבתו של אהרן. הוא הסביר </w:t>
      </w:r>
      <w:proofErr w:type="spellStart"/>
      <w:r>
        <w:rPr>
          <w:rtl/>
        </w:rPr>
        <w:t>שה“משגיח</w:t>
      </w:r>
      <w:proofErr w:type="spellEnd"/>
      <w:r>
        <w:rPr>
          <w:rtl/>
        </w:rPr>
        <w:t xml:space="preserve"> הזקן </w:t>
      </w:r>
      <w:r>
        <w:rPr>
          <w:rtl/>
        </w:rPr>
        <w:lastRenderedPageBreak/>
        <w:t xml:space="preserve">(הסבא)”, ר׳ </w:t>
      </w:r>
      <w:proofErr w:type="spellStart"/>
      <w:r>
        <w:rPr>
          <w:rtl/>
        </w:rPr>
        <w:t>נתן־צבי</w:t>
      </w:r>
      <w:proofErr w:type="spellEnd"/>
      <w:r>
        <w:rPr>
          <w:rtl/>
        </w:rPr>
        <w:t xml:space="preserve"> </w:t>
      </w:r>
      <w:proofErr w:type="spellStart"/>
      <w:r>
        <w:rPr>
          <w:rtl/>
        </w:rPr>
        <w:t>פינקל</w:t>
      </w:r>
      <w:proofErr w:type="spellEnd"/>
      <w:r>
        <w:rPr>
          <w:rtl/>
        </w:rPr>
        <w:t xml:space="preserve">, טרם חזר </w:t>
      </w:r>
      <w:proofErr w:type="spellStart"/>
      <w:r>
        <w:rPr>
          <w:rtl/>
        </w:rPr>
        <w:t>לסלבודקה</w:t>
      </w:r>
      <w:proofErr w:type="spellEnd"/>
      <w:r>
        <w:rPr>
          <w:rtl/>
        </w:rPr>
        <w:t xml:space="preserve"> לזמן החדש – את זה שמע בזמן שהמתין בבית המדרש – וראש הישיבה אינו מקבל מועמדים על סמך הערכתו שלו בלבד</w:t>
      </w:r>
      <w:bookmarkStart w:id="1881" w:name="b3_ref76"/>
      <w:bookmarkEnd w:id="1881"/>
      <w:r>
        <w:rPr>
          <w:vertAlign w:val="superscript"/>
          <w:rtl/>
        </w:rPr>
        <w:fldChar w:fldCharType="begin" w:dirty="true"/>
      </w:r>
      <w:r>
        <w:rPr>
          <w:vertAlign w:val="superscript"/>
          <w:rtl/>
        </w:rPr>
        <w:instrText xml:space="preserve"> REF b3_note76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w:t>
      </w:r>
    </w:p>
    <w:bookmarkStart w:id="1882" w:name="b3_note76"/>
    <w:p w14:paraId="660A70FB" w14:textId="77777777" w:rsidR="00AB3647" w:rsidRDefault="00000000" w:rsidP="007923E9">
      <w:pPr>
        <w:spacing w:before="120" w:after="100" w:line="276" w:lineRule="auto"/>
        <w:jc w:val="both"/>
      </w:pPr>
      <w:r>
        <w:fldChar w:fldCharType="begin" w:dirty="true"/>
      </w:r>
      <w:r>
        <w:instrText>HYPERLINK \l "b3_ref76"</w:instrText>
      </w:r>
      <w:r>
        <w:fldChar w:fldCharType="separate"/>
      </w:r>
      <w:r>
        <w:rPr>
          <w:b/>
          <w:bCs/>
          <w:rtl/>
        </w:rPr>
        <w:t>76</w:t>
      </w:r>
      <w:r>
        <w:rPr>
          <w:b/>
          <w:bCs/>
        </w:rPr>
        <w:fldChar w:fldCharType="end"/>
      </w:r>
      <w:bookmarkEnd w:id="1882"/>
      <w:r>
        <w:rPr>
          <w:rtl/>
        </w:rPr>
        <w:t xml:space="preserve"> ר׳ </w:t>
      </w:r>
      <w:proofErr w:type="spellStart"/>
      <w:r>
        <w:rPr>
          <w:rtl/>
        </w:rPr>
        <w:t>משה־מרדכי</w:t>
      </w:r>
      <w:proofErr w:type="spellEnd"/>
      <w:r>
        <w:rPr>
          <w:rtl/>
        </w:rPr>
        <w:t xml:space="preserve"> אפשטיין קיבל עליו את האחריות לקיום הישיבה שבע שנים קודם לכן. כמעט מיד לאחר שקיבל עליו את העול הכספי, הוא עצמו, בלי עזרת הסבא, גייס את הכספים להקמת בניין הישיבה בשנת תר״ס. אבל בכל פעם שעלתה שאלה בענייניה הפנימיים של הישיבה, הניח את ההכרעה לסבא ואמר: “הישיבה היא שלך.”</w:t>
      </w:r>
      <w:bookmarkStart w:id="1883" w:name="_fnr1207"/>
      <w:r>
        <w:rPr>
          <w:rStyle w:val="a5"/>
        </w:rPr>
        <w:footnoteReference w:id="1209" w:customMarkFollows="0"/>
      </w:r>
      <w:bookmarkEnd w:id="1883"/>
      <w:r>
        <w:rPr>
          <w:rtl/>
        </w:rPr>
        <w:t xml:space="preserve"> צדקותו של ר׳ </w:t>
      </w:r>
      <w:proofErr w:type="spellStart"/>
      <w:r>
        <w:rPr>
          <w:rtl/>
        </w:rPr>
        <w:t>משה־מרדכי</w:t>
      </w:r>
      <w:proofErr w:type="spellEnd"/>
      <w:r>
        <w:rPr>
          <w:rtl/>
        </w:rPr>
        <w:t xml:space="preserve"> ניכרת בכבוד שהעניק לסבא במשך כל חייו של הלה וגם לאחר פטירתו</w:t>
      </w:r>
      <w:bookmarkStart w:id="1884" w:name="_fnr1208"/>
      <w:r>
        <w:rPr>
          <w:rStyle w:val="a5"/>
        </w:rPr>
        <w:footnoteReference w:id="1210" w:customMarkFollows="0"/>
      </w:r>
      <w:bookmarkEnd w:id="1884"/>
      <w:r>
        <w:rPr>
          <w:rtl/>
        </w:rPr>
        <w:t>. להלן תרגום תחילתו של מכתב מעורר ששלח ראש הישיבה לתלמידים בחברון, כשהגיעה אליו בשורת פטירת הסבא בעת מסע לגיוס כספים באמריקה:</w:t>
      </w:r>
    </w:p>
    <w:p w14:paraId="399D3FD3" w14:textId="77777777" w:rsidR="00AB3647" w:rsidRDefault="00000000" w:rsidP="007923E9">
      <w:pPr>
        <w:spacing w:after="100" w:line="276" w:lineRule="auto"/>
        <w:ind w:firstLine="340"/>
        <w:jc w:val="both"/>
      </w:pPr>
      <w:r>
        <w:rPr>
          <w:rtl/>
        </w:rPr>
        <w:t xml:space="preserve">אוי, אחיי! נודע לי השבר הגדול שבא על האומה היהודית, כי ניטל מאור ישראל </w:t>
      </w:r>
      <w:proofErr w:type="spellStart"/>
      <w:r>
        <w:rPr>
          <w:rtl/>
        </w:rPr>
        <w:t>וקדושו</w:t>
      </w:r>
      <w:proofErr w:type="spellEnd"/>
      <w:r>
        <w:rPr>
          <w:rtl/>
        </w:rPr>
        <w:t xml:space="preserve"> – האיש אשר ברוחב לבו בדרכי ה׳ החזיק את השמים וחבק את זרועות הארץ. [היה זה] האיש אשר ברוחו הכבירה מנע את שכחת התורה מישראל והשיב את העטרה של התורה ליושנה, כשתורה ויראה הולכות שלובות זרוע ומעמידות גדולי תורה המצטיינים בתורה וביראה כאחת. [היה זה] האיש שכל חייו היו שרשרת קדושה של עבודת ה׳, המגדל שתילים לארזי הלבנון. הוא אשר רוחו מרחפת על כל מקומות התורה בליטא ובפולין, ופעולתו היא שאפשרה את הקמתם וחיזוקם. רוחו ונשמתו, בהתעלותן המיוחדת, הגיעו עד מרומי שמים, ובתבונה רחבה ירדו לעומק נבכי האדם, עמוק מן הים, כדי להורות לנו את הדרך שבה נלך ולהזהיר מפני עלילות ומכשולים.</w:t>
      </w:r>
    </w:p>
    <w:p w14:paraId="60A6580B" w14:textId="77777777" w:rsidR="00AB3647" w:rsidRDefault="00000000" w:rsidP="007923E9">
      <w:pPr>
        <w:spacing w:after="100" w:line="276" w:lineRule="auto"/>
        <w:ind w:firstLine="340"/>
        <w:jc w:val="both"/>
      </w:pPr>
      <w:r>
        <w:rPr>
          <w:rtl/>
        </w:rPr>
        <w:t xml:space="preserve">זה היה אבינו, מאורנו ומורנו, רכב ישראל, אדוננו ר׳ </w:t>
      </w:r>
      <w:proofErr w:type="spellStart"/>
      <w:r>
        <w:rPr>
          <w:rtl/>
        </w:rPr>
        <w:t>נתן־צבי</w:t>
      </w:r>
      <w:proofErr w:type="spellEnd"/>
      <w:r>
        <w:rPr>
          <w:rtl/>
        </w:rPr>
        <w:t xml:space="preserve"> </w:t>
      </w:r>
      <w:proofErr w:type="spellStart"/>
      <w:r>
        <w:rPr>
          <w:rtl/>
        </w:rPr>
        <w:t>פינקל</w:t>
      </w:r>
      <w:proofErr w:type="spellEnd"/>
      <w:r>
        <w:rPr>
          <w:rtl/>
        </w:rPr>
        <w:t>, זכר צדיק וקדוש לברכה. העמוד שעליו נשען בית ישראל התמוטט... מי יוכל להעריך את זכויותיו, שעמדו [להגן] על נחלת ישראל, ומי יוכל לשער את האבדן שסבל העם הקדוש?</w:t>
      </w:r>
    </w:p>
    <w:p w14:paraId="688C8864" w14:textId="77777777" w:rsidR="00AB3647" w:rsidRDefault="00000000" w:rsidP="007923E9">
      <w:pPr>
        <w:spacing w:after="100" w:line="276" w:lineRule="auto"/>
        <w:ind w:firstLine="340"/>
        <w:jc w:val="both"/>
      </w:pPr>
      <w:r>
        <w:rPr>
          <w:rtl/>
        </w:rPr>
        <w:t xml:space="preserve">כשהבעתי פעם את פליאתי על לשונו רבת ההערצה של מכתב זה, הגיב אבי: “זהו דבר פשוט מאוד; ר׳ </w:t>
      </w:r>
      <w:proofErr w:type="spellStart"/>
      <w:r>
        <w:rPr>
          <w:rtl/>
        </w:rPr>
        <w:t>משה־מרדכי</w:t>
      </w:r>
      <w:proofErr w:type="spellEnd"/>
      <w:r>
        <w:rPr>
          <w:rtl/>
        </w:rPr>
        <w:t xml:space="preserve"> היה כפוף לגמרי לסבא.”</w:t>
      </w:r>
      <w:bookmarkStart w:id="1885" w:name="_fnr1209"/>
      <w:r>
        <w:rPr>
          <w:rStyle w:val="a5"/>
        </w:rPr>
        <w:footnoteReference w:id="1211" w:customMarkFollows="0"/>
      </w:r>
      <w:bookmarkEnd w:id="1885"/>
      <w:r>
        <w:rPr>
          <w:rtl/>
        </w:rPr>
        <w:t xml:space="preserve"> בהזדמנות אחרת אמר רבנו דבר שהוא דוגמה נוקבת למקוריות רעיונותיו: גורם חשוב בהקמת ישיבת חברון בארץ ישראל היה שהסבא הרגיש שר׳ </w:t>
      </w:r>
      <w:proofErr w:type="spellStart"/>
      <w:r>
        <w:rPr>
          <w:rtl/>
        </w:rPr>
        <w:t>משה־מרדכי</w:t>
      </w:r>
      <w:proofErr w:type="spellEnd"/>
      <w:r>
        <w:rPr>
          <w:rtl/>
        </w:rPr>
        <w:t xml:space="preserve"> כבר גדל מכדי להמשיך בכפיפות הזאת, והיה צריך להיות עצמאי</w:t>
      </w:r>
      <w:bookmarkStart w:id="1886" w:name="_fnr1210"/>
      <w:r>
        <w:rPr>
          <w:rStyle w:val="a5"/>
        </w:rPr>
        <w:footnoteReference w:id="1212" w:customMarkFollows="0"/>
      </w:r>
      <w:bookmarkEnd w:id="1886"/>
      <w:r>
        <w:rPr>
          <w:rtl/>
        </w:rPr>
        <w:t>.</w:t>
      </w:r>
    </w:p>
    <w:p w14:paraId="725961D5" w14:textId="7FC18B9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כשהתפללו הבאים החדשים מנחה בישיבה, ציפתה לאבי הפתעה נוספת. הוא ראה צעיר בעל זקן גזוז היטב, חבוש כובע </w:t>
      </w:r>
      <w:proofErr w:type="spellStart"/>
      <w:r>
        <w:rPr>
          <w:rtl/>
        </w:rPr>
        <w:t>הומבורג</w:t>
      </w:r>
      <w:proofErr w:type="spellEnd"/>
      <w:r>
        <w:rPr>
          <w:rtl/>
        </w:rPr>
        <w:t xml:space="preserve"> אופנתי ולבוש מקטורן קצר למדי. הצעיר, שעמד לעבור לפני התיבה, סטה מדרכו אל עמוד התפילה, ניגש למקום מושבו של ראש הישיבה וחיבק אותו. הטירון שיער שהצעיר המודרני הוא רופא, קרוב משפחה של ראש הישיבה. אחרי </w:t>
      </w:r>
      <w:r>
        <w:rPr>
          <w:rtl/>
        </w:rPr>
        <w:lastRenderedPageBreak/>
        <w:t>התפילה סיפר לו אשר שהחזן הוא תלמיד חכם גדול, חתנו של הסבא</w:t>
      </w:r>
      <w:bookmarkStart w:id="1887" w:name="b3_ref77"/>
      <w:bookmarkEnd w:id="1887"/>
      <w:r>
        <w:rPr>
          <w:vertAlign w:val="superscript"/>
          <w:rtl/>
        </w:rPr>
        <w:fldChar w:fldCharType="begin" w:dirty="true"/>
      </w:r>
      <w:r>
        <w:rPr>
          <w:vertAlign w:val="superscript"/>
          <w:rtl/>
        </w:rPr>
        <w:instrText xml:space="preserve"> REF b3_note77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החתן בא זה עתה מקלם, יום לפני אשתו וילדתם התינוקת, שעתידות היו להגיע עם אביה</w:t>
      </w:r>
      <w:bookmarkStart w:id="1888" w:name="b3_ref78"/>
      <w:bookmarkEnd w:id="1888"/>
      <w:r>
        <w:rPr>
          <w:vertAlign w:val="superscript"/>
          <w:rtl/>
        </w:rPr>
        <w:fldChar w:fldCharType="begin" w:dirty="true"/>
      </w:r>
      <w:r>
        <w:rPr>
          <w:vertAlign w:val="superscript"/>
          <w:rtl/>
        </w:rPr>
        <w:instrText xml:space="preserve"> REF b3_note78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באותו יום חמישי. “ובכן”, הרהר אבי, “במינסק, תלמידי חכמים אינם מקצרים את זקניהם כל כך, ואף אינם מתלבשים לפי האופנה; המקום הזה אינו כפי שדמיינתי</w:t>
      </w:r>
      <w:bookmarkStart w:id="1889" w:name="b3_ref79"/>
      <w:bookmarkEnd w:id="1889"/>
      <w:r>
        <w:rPr>
          <w:vertAlign w:val="superscript"/>
          <w:rtl/>
        </w:rPr>
        <w:fldChar w:fldCharType="begin" w:dirty="true"/>
      </w:r>
      <w:r>
        <w:rPr>
          <w:vertAlign w:val="superscript"/>
          <w:rtl/>
        </w:rPr>
        <w:instrText xml:space="preserve"> REF b3_note79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w:t>
      </w:r>
    </w:p>
    <w:bookmarkStart w:id="1890" w:name="b3_note77"/>
    <w:p w14:paraId="6A0B0BBB" w14:textId="3F14C6BE" w:rsidR="00AB3647" w:rsidRDefault="00000000" w:rsidP="007923E9">
      <w:pPr>
        <w:spacing w:before="120" w:after="100" w:line="276" w:lineRule="auto"/>
        <w:jc w:val="both"/>
      </w:pPr>
      <w:r>
        <w:fldChar w:fldCharType="begin" w:dirty="true"/>
      </w:r>
      <w:r>
        <w:instrText>HYPERLINK \l "b3_ref77"</w:instrText>
      </w:r>
      <w:r>
        <w:fldChar w:fldCharType="separate"/>
      </w:r>
      <w:r>
        <w:rPr>
          <w:b/>
          <w:bCs/>
          <w:rtl/>
        </w:rPr>
        <w:t>77</w:t>
      </w:r>
      <w:r>
        <w:rPr>
          <w:b/>
          <w:bCs/>
        </w:rPr>
        <w:fldChar w:fldCharType="end"/>
      </w:r>
      <w:bookmarkEnd w:id="1890"/>
      <w:r>
        <w:rPr>
          <w:rtl/>
        </w:rPr>
        <w:t xml:space="preserve"> היה זה ר׳ אייזיק שר, שנשא את בת הסבא </w:t>
      </w:r>
      <w:proofErr w:type="spellStart"/>
      <w:r>
        <w:rPr>
          <w:rtl/>
        </w:rPr>
        <w:t>גוטל</w:t>
      </w:r>
      <w:proofErr w:type="spellEnd"/>
      <w:r>
        <w:rPr>
          <w:rtl/>
        </w:rPr>
        <w:t xml:space="preserve"> באלול תרס״ד, בהיותו בן עשרים ותשע. עד בואו </w:t>
      </w:r>
      <w:proofErr w:type="spellStart"/>
      <w:r>
        <w:rPr>
          <w:rtl/>
        </w:rPr>
        <w:t>לסלבודקה</w:t>
      </w:r>
      <w:proofErr w:type="spellEnd"/>
      <w:r>
        <w:rPr>
          <w:rtl/>
        </w:rPr>
        <w:t xml:space="preserve"> באותה עת היה סמוך על שולחן חותנו בבית הסבא </w:t>
      </w:r>
      <w:proofErr w:type="spellStart"/>
      <w:r>
        <w:rPr>
          <w:rtl/>
        </w:rPr>
        <w:t>בקלם</w:t>
      </w:r>
      <w:proofErr w:type="spellEnd"/>
      <w:r>
        <w:rPr>
          <w:rtl/>
        </w:rPr>
        <w:t xml:space="preserve"> – פרט לתקופה כשנה קודם לכן, שבה חיזק את המוסר </w:t>
      </w:r>
      <w:proofErr w:type="spellStart"/>
      <w:r>
        <w:rPr>
          <w:rtl/>
        </w:rPr>
        <w:t>במיר</w:t>
      </w:r>
      <w:proofErr w:type="spellEnd"/>
      <w:r>
        <w:rPr>
          <w:rtl/>
        </w:rPr>
        <w:t xml:space="preserve"> (כאמור בפסקה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891" w:name="b3_note78"/>
    <w:p w14:paraId="44CDFFBE" w14:textId="1B194B5B" w:rsidR="00AB3647" w:rsidRDefault="00000000" w:rsidP="007923E9">
      <w:pPr>
        <w:spacing w:before="120" w:after="100" w:line="276" w:lineRule="auto"/>
        <w:jc w:val="both"/>
      </w:pPr>
      <w:r>
        <w:fldChar w:fldCharType="begin" w:dirty="true"/>
      </w:r>
      <w:r>
        <w:instrText>HYPERLINK \l "b3_ref78"</w:instrText>
      </w:r>
      <w:r>
        <w:fldChar w:fldCharType="separate"/>
      </w:r>
      <w:r>
        <w:rPr>
          <w:b/>
          <w:bCs/>
          <w:rtl/>
        </w:rPr>
        <w:t>78</w:t>
      </w:r>
      <w:r>
        <w:rPr>
          <w:b/>
          <w:bCs/>
        </w:rPr>
        <w:fldChar w:fldCharType="end"/>
      </w:r>
      <w:bookmarkEnd w:id="1891"/>
      <w:r>
        <w:rPr>
          <w:rtl/>
        </w:rPr>
        <w:t xml:space="preserve"> ראה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w:t>
      </w:r>
    </w:p>
    <w:bookmarkStart w:id="1892" w:name="b3_note79"/>
    <w:p w14:paraId="2DD8EAB3" w14:textId="77777777" w:rsidR="00AB3647" w:rsidRDefault="00000000" w:rsidP="007923E9">
      <w:pPr>
        <w:spacing w:before="120" w:after="100" w:line="276" w:lineRule="auto"/>
        <w:jc w:val="both"/>
      </w:pPr>
      <w:r>
        <w:fldChar w:fldCharType="begin" w:dirty="true"/>
      </w:r>
      <w:r>
        <w:instrText>HYPERLINK \l "b3_ref79"</w:instrText>
      </w:r>
      <w:r>
        <w:fldChar w:fldCharType="separate"/>
      </w:r>
      <w:r>
        <w:rPr>
          <w:b/>
          <w:bCs/>
          <w:rtl/>
        </w:rPr>
        <w:t>79</w:t>
      </w:r>
      <w:r>
        <w:rPr>
          <w:b/>
          <w:bCs/>
        </w:rPr>
        <w:fldChar w:fldCharType="end"/>
      </w:r>
      <w:bookmarkEnd w:id="1892"/>
      <w:r>
        <w:rPr>
          <w:rtl/>
        </w:rPr>
        <w:t xml:space="preserve"> סיפרה </w:t>
      </w:r>
      <w:proofErr w:type="spellStart"/>
      <w:r>
        <w:rPr>
          <w:rtl/>
        </w:rPr>
        <w:t>חיה־מרים</w:t>
      </w:r>
      <w:proofErr w:type="spellEnd"/>
      <w:r>
        <w:rPr>
          <w:rtl/>
        </w:rPr>
        <w:t xml:space="preserve"> </w:t>
      </w:r>
      <w:proofErr w:type="spellStart"/>
      <w:r>
        <w:rPr>
          <w:rtl/>
        </w:rPr>
        <w:t>שולמן</w:t>
      </w:r>
      <w:proofErr w:type="spellEnd"/>
      <w:r>
        <w:rPr>
          <w:rtl/>
        </w:rPr>
        <w:t>, אותה תינוקת בת חצי שנה</w:t>
      </w:r>
      <w:bookmarkStart w:id="1893" w:name="_fnr1211"/>
      <w:r>
        <w:rPr>
          <w:rStyle w:val="a5"/>
        </w:rPr>
        <w:footnoteReference w:id="1213" w:customMarkFollows="0"/>
      </w:r>
      <w:bookmarkEnd w:id="1893"/>
      <w:r>
        <w:rPr>
          <w:rtl/>
        </w:rPr>
        <w:t xml:space="preserve">. אבי סיפר על המאורעות האלה ועל התרשמויותיו באחד מביקוריו הרבים אצל בעלה, ר׳ מרדכי </w:t>
      </w:r>
      <w:proofErr w:type="spellStart"/>
      <w:r>
        <w:rPr>
          <w:rtl/>
        </w:rPr>
        <w:t>שולמן</w:t>
      </w:r>
      <w:proofErr w:type="spellEnd"/>
      <w:r>
        <w:rPr>
          <w:rtl/>
        </w:rPr>
        <w:t xml:space="preserve">, ראש ישיבת </w:t>
      </w:r>
      <w:proofErr w:type="spellStart"/>
      <w:r>
        <w:rPr>
          <w:rtl/>
        </w:rPr>
        <w:t>סלבודקה</w:t>
      </w:r>
      <w:proofErr w:type="spellEnd"/>
      <w:r>
        <w:rPr>
          <w:rtl/>
        </w:rPr>
        <w:t xml:space="preserve"> בבני ברק.</w:t>
      </w:r>
    </w:p>
    <w:p w14:paraId="75B0A439" w14:textId="77777777" w:rsidR="00AB3647" w:rsidRDefault="00000000" w:rsidP="007923E9">
      <w:pPr>
        <w:spacing w:after="100" w:line="276" w:lineRule="auto"/>
        <w:ind w:firstLine="340"/>
        <w:jc w:val="both"/>
      </w:pPr>
      <w:proofErr w:type="spellStart"/>
      <w:r>
        <w:rPr>
          <w:rtl/>
        </w:rPr>
        <w:t>צבי־הירש</w:t>
      </w:r>
      <w:proofErr w:type="spellEnd"/>
      <w:r>
        <w:rPr>
          <w:rtl/>
        </w:rPr>
        <w:t xml:space="preserve"> </w:t>
      </w:r>
      <w:proofErr w:type="spellStart"/>
      <w:r>
        <w:rPr>
          <w:rtl/>
        </w:rPr>
        <w:t>מסליאנסקי</w:t>
      </w:r>
      <w:proofErr w:type="spellEnd"/>
      <w:r>
        <w:rPr>
          <w:rtl/>
        </w:rPr>
        <w:t xml:space="preserve">, נואם ציוני שנולד </w:t>
      </w:r>
      <w:proofErr w:type="spellStart"/>
      <w:r>
        <w:rPr>
          <w:rtl/>
        </w:rPr>
        <w:t>בתרט״ז</w:t>
      </w:r>
      <w:proofErr w:type="spellEnd"/>
      <w:r>
        <w:rPr>
          <w:rtl/>
        </w:rPr>
        <w:t xml:space="preserve">, סייר לאורכו ולרוחבו של היישוב היהודי ברוסיה במסע פרדה לפני שהיגר לאמריקה </w:t>
      </w:r>
      <w:proofErr w:type="spellStart"/>
      <w:r>
        <w:rPr>
          <w:rtl/>
        </w:rPr>
        <w:t>בתרנ״ה</w:t>
      </w:r>
      <w:proofErr w:type="spellEnd"/>
      <w:r>
        <w:rPr>
          <w:rtl/>
        </w:rPr>
        <w:t>.</w:t>
      </w:r>
    </w:p>
    <w:p w14:paraId="14991EB0" w14:textId="77777777" w:rsidR="00AB3647" w:rsidRDefault="00000000" w:rsidP="007923E9">
      <w:pPr>
        <w:spacing w:after="100" w:line="276" w:lineRule="auto"/>
        <w:ind w:firstLine="340"/>
        <w:jc w:val="both"/>
      </w:pPr>
      <w:r>
        <w:rPr>
          <w:rtl/>
        </w:rPr>
        <w:t xml:space="preserve">בזיכרונותיו, “כתבי צבי הירש </w:t>
      </w:r>
      <w:proofErr w:type="spellStart"/>
      <w:r>
        <w:rPr>
          <w:rtl/>
        </w:rPr>
        <w:t>מאסליאנסקי</w:t>
      </w:r>
      <w:proofErr w:type="spellEnd"/>
      <w:r>
        <w:rPr>
          <w:rtl/>
        </w:rPr>
        <w:t>”, כרך ג</w:t>
      </w:r>
      <w:bookmarkStart w:id="1894" w:name="_fnr1212"/>
      <w:r>
        <w:rPr>
          <w:rStyle w:val="a5"/>
        </w:rPr>
        <w:footnoteReference w:id="1214" w:customMarkFollows="0"/>
      </w:r>
      <w:bookmarkEnd w:id="1894"/>
      <w:r>
        <w:rPr>
          <w:rtl/>
        </w:rPr>
        <w:t xml:space="preserve">, הוא כותב: “מבין הערים הרבות שביקרתי בהן </w:t>
      </w:r>
      <w:proofErr w:type="spellStart"/>
      <w:r>
        <w:rPr>
          <w:rtl/>
        </w:rPr>
        <w:t>בבסרביה</w:t>
      </w:r>
      <w:proofErr w:type="spellEnd"/>
      <w:r>
        <w:rPr>
          <w:rtl/>
        </w:rPr>
        <w:t xml:space="preserve">, </w:t>
      </w:r>
      <w:proofErr w:type="spellStart"/>
      <w:r>
        <w:rPr>
          <w:rtl/>
        </w:rPr>
        <w:t>בווהלין</w:t>
      </w:r>
      <w:proofErr w:type="spellEnd"/>
      <w:r>
        <w:rPr>
          <w:rtl/>
        </w:rPr>
        <w:t xml:space="preserve">, בפולין ובליטא במסעותיי הרבים, עשתה עליי העיר קובנה רושם מיוחד. מיד עם כניסתך לעיר הרגשת שבאת לאזור אחר, לנוף אחר – אף שהשפה הרוסית והחוקים הרוסיים שלטו שם בכל תוקפם. ראית לפניך יהודים אחרים – פנים חדשות, שאין בהן לא הכיעור </w:t>
      </w:r>
      <w:proofErr w:type="spellStart"/>
      <w:r>
        <w:rPr>
          <w:rtl/>
        </w:rPr>
        <w:t>שבעונייה</w:t>
      </w:r>
      <w:proofErr w:type="spellEnd"/>
      <w:r>
        <w:rPr>
          <w:rtl/>
        </w:rPr>
        <w:t xml:space="preserve"> של ליטא, לא החומרנות הגסה של בסרביה, ולא האדיקות הקיצונית של פולין. איזה חן, איזו אצילות רוח הייתה נסוכה על פניהם ועל הליכותיהם של יהודי קובנה! החרדים, [אף] שהקפידו על כל מנהג, קל כחמור, לא לבשו בגדים ארוכים. הם קיצרו את זקניהם והקפידו על צווארונים חלקים. ייתכן שהדבר בא מהשפעת הגבול הפרוסי, הקרוב לקובנה, אך עובדה היא שיהודי קובנה התייחדו בניקיון בגדיהם ובנועם הליכותיהם.”</w:t>
      </w:r>
    </w:p>
    <w:p w14:paraId="513B02B4"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למחרת הגיע הסבא </w:t>
      </w:r>
      <w:proofErr w:type="spellStart"/>
      <w:r>
        <w:rPr>
          <w:rtl/>
        </w:rPr>
        <w:t>מסלבודקה</w:t>
      </w:r>
      <w:proofErr w:type="spellEnd"/>
      <w:r>
        <w:rPr>
          <w:rtl/>
        </w:rPr>
        <w:t xml:space="preserve">. הוא פגש את שני המועמדים ואמר להם שהישיבה צפופה, ואינו יודע אם יוכל למצוא מקום בשבילם. “המתינו עד לאחר שבת; עד אז כבר יחזרו כל הבחורים מן הזמן שעבר שעתידים לשוב, ואז אומר לכם אם התקבלתם”, אמר. שני הצעירים יצאו בראש מורכן. האם באו כל הדרך ממינסק רק כדי להידחות לפני שניתנה להם הזדמנות להוכיח את עצמם?</w:t>
      </w:r>
    </w:p>
    <w:p w14:paraId="5FE39924" w14:textId="383B044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אהרן הבין שמשהו אינו כשורה</w:t>
      </w:r>
      <w:bookmarkStart w:id="1895" w:name="b3_ref80"/>
      <w:bookmarkEnd w:id="1895"/>
      <w:r>
        <w:rPr>
          <w:vertAlign w:val="superscript"/>
          <w:rtl/>
        </w:rPr>
        <w:fldChar w:fldCharType="begin" w:dirty="true"/>
      </w:r>
      <w:r>
        <w:rPr>
          <w:vertAlign w:val="superscript"/>
          <w:rtl/>
        </w:rPr>
        <w:instrText xml:space="preserve"> REF b3_note80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 xml:space="preserve">. כשהגיעו לטווח שמיעתו של אשר </w:t>
      </w:r>
      <w:proofErr w:type="spellStart"/>
      <w:r>
        <w:rPr>
          <w:rtl/>
        </w:rPr>
        <w:t>קרשטיין</w:t>
      </w:r>
      <w:proofErr w:type="spellEnd"/>
      <w:r>
        <w:rPr>
          <w:rtl/>
        </w:rPr>
        <w:t xml:space="preserve">, שותפם הזמני לחדר, אמר לחברו: “למה עלינו להמתין? </w:t>
      </w:r>
      <w:proofErr w:type="spellStart"/>
      <w:r>
        <w:rPr>
          <w:rtl/>
        </w:rPr>
        <w:t>בסלבודקה</w:t>
      </w:r>
      <w:proofErr w:type="spellEnd"/>
      <w:r>
        <w:rPr>
          <w:rtl/>
        </w:rPr>
        <w:t xml:space="preserve"> יש הישיבה האחרת, שבה למדתי לפני שבאתי למינסק, כנסת בית יצחק. נלך לשם ונלמד אצל ר׳ </w:t>
      </w:r>
      <w:proofErr w:type="spellStart"/>
      <w:r>
        <w:rPr>
          <w:rtl/>
        </w:rPr>
        <w:t>ברוך־בער</w:t>
      </w:r>
      <w:proofErr w:type="spellEnd"/>
      <w:r>
        <w:rPr>
          <w:rtl/>
        </w:rPr>
        <w:t xml:space="preserve">.” אבי זכר שסבו נתן </w:t>
      </w:r>
      <w:r>
        <w:rPr>
          <w:rtl/>
        </w:rPr>
        <w:lastRenderedPageBreak/>
        <w:t xml:space="preserve">לו מכתב המלצה אל ר׳ </w:t>
      </w:r>
      <w:proofErr w:type="spellStart"/>
      <w:r>
        <w:rPr>
          <w:rtl/>
        </w:rPr>
        <w:t>ברוך־בער</w:t>
      </w:r>
      <w:proofErr w:type="spellEnd"/>
      <w:r>
        <w:rPr>
          <w:rtl/>
        </w:rPr>
        <w:t>, והשיב: “למה לא?” אשר מיהר אל הסבא לספר מה ששמע, וזמן קצר מאוד אחר כך מסר להם את דברי הסבא: “אשר, לך אמור להם שהם כאן!</w:t>
      </w:r>
      <w:bookmarkStart w:id="1896" w:name="b3_ref81"/>
      <w:bookmarkEnd w:id="1896"/>
      <w:r>
        <w:rPr>
          <w:vertAlign w:val="superscript"/>
          <w:rtl/>
        </w:rPr>
        <w:fldChar w:fldCharType="begin" w:dirty="true"/>
      </w:r>
      <w:r>
        <w:rPr>
          <w:vertAlign w:val="superscript"/>
          <w:rtl/>
        </w:rPr>
        <w:instrText xml:space="preserve"> REF b3_note81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אשר </w:t>
      </w:r>
      <w:proofErr w:type="spellStart"/>
      <w:r>
        <w:rPr>
          <w:rtl/>
        </w:rPr>
        <w:t>קרשטיין</w:t>
      </w:r>
      <w:proofErr w:type="spellEnd"/>
      <w:r>
        <w:rPr>
          <w:rtl/>
        </w:rPr>
        <w:t>, שעוד במינסק הפציר בהם ללכת רק לכנסת ישראל, הביא את העניין לסיום מוצלח</w:t>
      </w:r>
      <w:bookmarkStart w:id="1897" w:name="b3_ref82"/>
      <w:bookmarkEnd w:id="1897"/>
      <w:r>
        <w:rPr>
          <w:vertAlign w:val="superscript"/>
          <w:rtl/>
        </w:rPr>
        <w:fldChar w:fldCharType="begin" w:dirty="true"/>
      </w:r>
      <w:r>
        <w:rPr>
          <w:vertAlign w:val="superscript"/>
          <w:rtl/>
        </w:rPr>
        <w:instrText xml:space="preserve"> REF b3_note82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 xml:space="preserve">82 </w:t>
      </w:r>
      <w:r>
        <w:rPr>
          <w:vertAlign w:val="superscript"/>
          <w:rtl/>
        </w:rPr>
        <w:fldChar w:fldCharType="end"/>
      </w:r>
      <w:r>
        <w:rPr>
          <w:rtl/>
        </w:rPr>
        <w:t>.</w:t>
      </w:r>
    </w:p>
    <w:bookmarkStart w:id="1898" w:name="b3_note80"/>
    <w:p w14:paraId="3976ED8B" w14:textId="77777777" w:rsidR="00AB3647" w:rsidRDefault="00000000" w:rsidP="007923E9">
      <w:pPr>
        <w:spacing w:before="120" w:after="100" w:line="276" w:lineRule="auto"/>
        <w:jc w:val="both"/>
      </w:pPr>
      <w:r>
        <w:fldChar w:fldCharType="begin" w:dirty="true"/>
      </w:r>
      <w:r>
        <w:instrText>HYPERLINK \l "b3_ref80"</w:instrText>
      </w:r>
      <w:r>
        <w:fldChar w:fldCharType="separate"/>
      </w:r>
      <w:r>
        <w:rPr>
          <w:b/>
          <w:bCs/>
          <w:rtl/>
        </w:rPr>
        <w:t>80</w:t>
      </w:r>
      <w:r>
        <w:rPr>
          <w:b/>
          <w:bCs/>
        </w:rPr>
        <w:fldChar w:fldCharType="end"/>
      </w:r>
      <w:bookmarkEnd w:id="1898"/>
      <w:r>
        <w:rPr>
          <w:rtl/>
        </w:rPr>
        <w:t xml:space="preserve"> מה שהרגיז אותם עוד יותר היה </w:t>
      </w:r>
      <w:proofErr w:type="spellStart"/>
      <w:r>
        <w:rPr>
          <w:rtl/>
        </w:rPr>
        <w:t>שהמינסקאי</w:t>
      </w:r>
      <w:proofErr w:type="spellEnd"/>
      <w:r>
        <w:rPr>
          <w:rtl/>
        </w:rPr>
        <w:t xml:space="preserve"> השלישי, שותפם לנסיעה, התקבל בלי היסוס</w:t>
      </w:r>
      <w:bookmarkStart w:id="1899" w:name="_fnr1213"/>
      <w:r>
        <w:rPr>
          <w:rStyle w:val="a5"/>
        </w:rPr>
        <w:footnoteReference w:id="1215" w:customMarkFollows="0"/>
      </w:r>
      <w:bookmarkEnd w:id="1899"/>
      <w:r>
        <w:rPr>
          <w:rtl/>
        </w:rPr>
        <w:t>. כץ, “תנועת המוסר”, כרך ג</w:t>
      </w:r>
      <w:bookmarkStart w:id="1900" w:name="_fnr1214"/>
      <w:r>
        <w:rPr>
          <w:rStyle w:val="a5"/>
        </w:rPr>
        <w:footnoteReference w:id="1216" w:customMarkFollows="0"/>
      </w:r>
      <w:bookmarkEnd w:id="1900"/>
      <w:r>
        <w:rPr>
          <w:rtl/>
        </w:rPr>
        <w:t xml:space="preserve">, מספר שהסבא נהג להעמיד פנים שהוא מהסס לקבל מועמדים חדשים, בטענה שאין מקום: “רק לאחר שהשתכנע שהמועמד מתעקש ללמוד דווקא </w:t>
      </w:r>
      <w:proofErr w:type="spellStart"/>
      <w:r>
        <w:rPr>
          <w:rtl/>
        </w:rPr>
        <w:t>בסלבודקה</w:t>
      </w:r>
      <w:proofErr w:type="spellEnd"/>
      <w:r>
        <w:rPr>
          <w:rtl/>
        </w:rPr>
        <w:t>, או לאחר ששמע נימוקים סבירים נגד דחייתו, היה הסבא משנה לפתע את דעתו ומקבל אותו. לעיתים נמשכה הדחייה ימים רבים, ואף שבועות וחודשים. היו מקרים שהניח לתלמידים לשוב לביתם, ורק אחר כך הודיע להם שיוכלו לחזור.”</w:t>
      </w:r>
    </w:p>
    <w:p w14:paraId="2283C3D1" w14:textId="77777777" w:rsidR="00AB3647" w:rsidRDefault="00000000" w:rsidP="007923E9">
      <w:pPr>
        <w:spacing w:before="120" w:after="100" w:line="276" w:lineRule="auto"/>
        <w:jc w:val="both"/>
      </w:pPr>
      <w:r>
        <w:rPr>
          <w:rtl/>
        </w:rPr>
        <w:t>אין ספק שהסבא העמיד פנים שקשה לזכות בהסכמתו, כדי להמחיש שהלימוד בכנסת ישראל הוא זכות. ראה הפסקה השלישית מסוף פרק 2, המוכיחה שמעולם לא עלה בדעת הסבא לדחות את השניים – לפחות לא את ר׳ אהרן – ומוכרח שהיה לו מניע “פוליטי” כלשהו בהשהיית קבלתם של שני העילויים הצעירים שלנו.</w:t>
      </w:r>
    </w:p>
    <w:p w14:paraId="33FBE5FE" w14:textId="4B20F5C8" w:rsidR="00AB3647" w:rsidRDefault="00000000" w:rsidP="007923E9">
      <w:pPr>
        <w:spacing w:before="120" w:after="100" w:line="276" w:lineRule="auto"/>
        <w:jc w:val="both"/>
      </w:pPr>
      <w:r>
        <w:rPr>
          <w:rtl/>
        </w:rPr>
        <w:t xml:space="preserve">ייתכן שהניח שהשניים מודעים לעליונותם השכלית, וסבר שיראו את לימודיהם </w:t>
      </w:r>
      <w:proofErr w:type="spellStart"/>
      <w:r>
        <w:rPr>
          <w:rtl/>
        </w:rPr>
        <w:t>בסלבודקה</w:t>
      </w:r>
      <w:proofErr w:type="spellEnd"/>
      <w:r>
        <w:rPr>
          <w:rtl/>
        </w:rPr>
        <w:t xml:space="preserve"> כדבר מובן מאליו, ולכן לא יפיקו את מלוא התועלת ממה שהישיבה מציעה. אבל כשהעמידו את תכסיסו במבחן, נסוג הסבא מיד ולא הסתכן באובדן כוחות מבטיחים כאלה</w:t>
      </w:r>
      <w:bookmarkStart w:id="1901" w:name="_fnr1215"/>
      <w:r>
        <w:rPr>
          <w:rStyle w:val="a5"/>
        </w:rPr>
        <w:footnoteReference w:id="1217" w:customMarkFollows="0"/>
      </w:r>
      <w:bookmarkEnd w:id="1901"/>
      <w:r>
        <w:rPr>
          <w:rtl/>
        </w:rPr>
        <w:t xml:space="preserve">. ודאי נדרשו לסבא עצבים חזקים כדי לשחק כך בתלמיד </w:t>
      </w:r>
      <w:proofErr w:type="spellStart"/>
      <w:r>
        <w:rPr>
          <w:rtl/>
        </w:rPr>
        <w:t>ש“שלח</w:t>
      </w:r>
      <w:proofErr w:type="spellEnd"/>
      <w:r>
        <w:rPr>
          <w:rtl/>
        </w:rPr>
        <w:t xml:space="preserve"> שליחים להביאו </w:t>
      </w:r>
      <w:proofErr w:type="spellStart"/>
      <w:r>
        <w:rPr>
          <w:rtl/>
        </w:rPr>
        <w:t>לסלבודקה</w:t>
      </w:r>
      <w:proofErr w:type="spellEnd"/>
      <w:r>
        <w:rPr>
          <w:rtl/>
        </w:rPr>
        <w:t>”</w:t>
      </w:r>
      <w:bookmarkStart w:id="1902" w:name="_fnr1216"/>
      <w:r>
        <w:rPr>
          <w:rStyle w:val="a5"/>
        </w:rPr>
        <w:footnoteReference w:id="1218" w:customMarkFollows="0"/>
      </w:r>
      <w:bookmarkEnd w:id="1902"/>
      <w:r>
        <w:rPr>
          <w:rtl/>
        </w:rPr>
        <w:t xml:space="preserve">! אפשר גם שהסבא חשש שמא הגיע </w:t>
      </w:r>
      <w:proofErr w:type="spellStart"/>
      <w:r>
        <w:rPr>
          <w:rtl/>
        </w:rPr>
        <w:t>לר</w:t>
      </w:r>
      <w:proofErr w:type="spellEnd"/>
      <w:r>
        <w:rPr>
          <w:rtl/>
        </w:rPr>
        <w:t xml:space="preserve">׳ אהרן ולו רמז קל, מפי אותם שליחים, שר׳ </w:t>
      </w:r>
      <w:proofErr w:type="spellStart"/>
      <w:r>
        <w:rPr>
          <w:rtl/>
        </w:rPr>
        <w:t>נתן־צבי</w:t>
      </w:r>
      <w:proofErr w:type="spellEnd"/>
      <w:r>
        <w:rPr>
          <w:rtl/>
        </w:rPr>
        <w:t xml:space="preserve"> שלחם להביאו לישיבתו – אף שבפועל לא גילו לו השליחים דבר. מה עשוי לשכנעו בהפך יותר מהודעת הסבא לו (ולחברו שעמו) שאין כלל ודאות שיתקבל?! השווה גם זיכרונותיו של </w:t>
      </w:r>
      <w:proofErr w:type="spellStart"/>
      <w:r>
        <w:rPr>
          <w:rtl/>
        </w:rPr>
        <w:t>יהושע־לייב</w:t>
      </w:r>
      <w:proofErr w:type="spellEnd"/>
      <w:r>
        <w:rPr>
          <w:rtl/>
        </w:rPr>
        <w:t xml:space="preserve"> </w:t>
      </w:r>
      <w:proofErr w:type="spellStart"/>
      <w:r>
        <w:rPr>
          <w:rtl/>
        </w:rPr>
        <w:t>ראדוס</w:t>
      </w:r>
      <w:bookmarkStart w:id="1903" w:name="_fnr1217"/>
      <w:proofErr w:type="spellEnd"/>
      <w:r>
        <w:rPr>
          <w:rStyle w:val="a5"/>
        </w:rPr>
        <w:footnoteReference w:id="1219" w:customMarkFollows="0"/>
      </w:r>
      <w:bookmarkEnd w:id="1903"/>
      <w:r>
        <w:rPr>
          <w:rtl/>
        </w:rPr>
        <w:t>, המספרים שהסבא נהג באותה דרך – תחילה שלח שליחים להביא תלמיד, ואחר כך שאלו מדוע בא – זמן קצר לאחר שייסד את הישיבה, למעלה מעשרים שנה קודם לכן</w:t>
      </w:r>
      <w:bookmarkStart w:id="1904" w:name="_fnr1218"/>
      <w:r>
        <w:rPr>
          <w:rStyle w:val="a5"/>
        </w:rPr>
        <w:footnoteReference w:id="1220" w:customMarkFollows="0"/>
      </w:r>
      <w:bookmarkEnd w:id="1904"/>
      <w:r>
        <w:rPr>
          <w:rtl/>
        </w:rPr>
        <w:t>. השווה גם שם</w:t>
      </w:r>
      <w:bookmarkStart w:id="1905" w:name="_fnr1219"/>
      <w:r>
        <w:rPr>
          <w:rStyle w:val="a5"/>
        </w:rPr>
        <w:footnoteReference w:id="1221" w:customMarkFollows="0"/>
      </w:r>
      <w:bookmarkEnd w:id="1905"/>
      <w:r>
        <w:rPr>
          <w:rtl/>
        </w:rPr>
        <w:t xml:space="preserve"> כיצד נראו מעשי הסבא בלתי צפויים בעיני אותו מחבר, והשווה פרק 4, סוף הערה </w:t>
      </w:r>
      <w:r>
        <w:rPr>
          <w:rtl/>
        </w:rPr>
        <w:fldChar w:fldCharType="begin" w:dirty="true"/>
      </w:r>
      <w:r>
        <w:rPr>
          <w:rtl/>
        </w:rPr>
        <w:instrText xml:space="preserve"> REF b4_note111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111</w:t>
      </w:r>
      <w:r>
        <w:rPr>
          <w:rtl/>
        </w:rPr>
        <w:fldChar w:fldCharType="end"/>
      </w:r>
      <w:r>
        <w:rPr>
          <w:rtl/>
        </w:rPr>
        <w:t>, כיצד מצא רבנו שאי אפשר לרדת לסוף מחשבתו של הסבא.</w:t>
      </w:r>
    </w:p>
    <w:bookmarkStart w:id="1906" w:name="b3_note81"/>
    <w:p w14:paraId="61B31C89" w14:textId="4A81E481" w:rsidR="00AB3647" w:rsidRDefault="00000000" w:rsidP="007923E9">
      <w:pPr>
        <w:spacing w:before="120" w:after="100" w:line="276" w:lineRule="auto"/>
        <w:jc w:val="both"/>
      </w:pPr>
      <w:r>
        <w:fldChar w:fldCharType="begin" w:dirty="true"/>
      </w:r>
      <w:r>
        <w:instrText>HYPERLINK \l "b3_ref81"</w:instrText>
      </w:r>
      <w:r>
        <w:fldChar w:fldCharType="separate"/>
      </w:r>
      <w:r>
        <w:rPr>
          <w:b/>
          <w:bCs/>
          <w:rtl/>
        </w:rPr>
        <w:t>81</w:t>
      </w:r>
      <w:r>
        <w:rPr>
          <w:b/>
          <w:bCs/>
        </w:rPr>
        <w:fldChar w:fldCharType="end"/>
      </w:r>
      <w:bookmarkEnd w:id="1906"/>
      <w:r>
        <w:rPr>
          <w:rtl/>
        </w:rPr>
        <w:t xml:space="preserve"> ר׳ יצחק </w:t>
      </w:r>
      <w:proofErr w:type="spellStart"/>
      <w:r>
        <w:rPr>
          <w:rtl/>
        </w:rPr>
        <w:t>קרשטיין</w:t>
      </w:r>
      <w:bookmarkStart w:id="1907" w:name="_fnr1220"/>
      <w:proofErr w:type="spellEnd"/>
      <w:r>
        <w:rPr>
          <w:rStyle w:val="a5"/>
        </w:rPr>
        <w:footnoteReference w:id="1222" w:customMarkFollows="0"/>
      </w:r>
      <w:bookmarkEnd w:id="1907"/>
      <w:r>
        <w:rPr>
          <w:rtl/>
        </w:rPr>
        <w:t xml:space="preserve">. ר׳ </w:t>
      </w:r>
      <w:proofErr w:type="spellStart"/>
      <w:r>
        <w:rPr>
          <w:rtl/>
        </w:rPr>
        <w:t>אברהם־אליהו</w:t>
      </w:r>
      <w:proofErr w:type="spellEnd"/>
      <w:r>
        <w:rPr>
          <w:rtl/>
        </w:rPr>
        <w:t xml:space="preserve"> קפלן, מן התלמידים המובהקים של הסבא, למד </w:t>
      </w:r>
      <w:proofErr w:type="spellStart"/>
      <w:r>
        <w:rPr>
          <w:rtl/>
        </w:rPr>
        <w:t>בסלבודקה</w:t>
      </w:r>
      <w:proofErr w:type="spellEnd"/>
      <w:r>
        <w:rPr>
          <w:rtl/>
        </w:rPr>
        <w:t xml:space="preserve"> באותה תקופה שבה למד בה אבי</w:t>
      </w:r>
      <w:bookmarkStart w:id="1908" w:name="_fnr1221"/>
      <w:r>
        <w:rPr>
          <w:rStyle w:val="a5"/>
        </w:rPr>
        <w:footnoteReference w:id="1223" w:customMarkFollows="0"/>
      </w:r>
      <w:bookmarkEnd w:id="1908"/>
      <w:r>
        <w:rPr>
          <w:rtl/>
        </w:rPr>
        <w:t xml:space="preserve">. בין הקטעים מיומנו המובאים </w:t>
      </w:r>
      <w:proofErr w:type="spellStart"/>
      <w:r>
        <w:rPr>
          <w:rtl/>
        </w:rPr>
        <w:t>ב“בעקבות</w:t>
      </w:r>
      <w:proofErr w:type="spellEnd"/>
      <w:r>
        <w:rPr>
          <w:rtl/>
        </w:rPr>
        <w:t xml:space="preserve"> </w:t>
      </w:r>
      <w:r>
        <w:rPr>
          <w:rtl/>
        </w:rPr>
        <w:lastRenderedPageBreak/>
        <w:t>היראה”</w:t>
      </w:r>
      <w:bookmarkStart w:id="1909" w:name="_fnr1222"/>
      <w:r>
        <w:rPr>
          <w:rStyle w:val="a5"/>
        </w:rPr>
        <w:footnoteReference w:id="1224" w:customMarkFollows="0"/>
      </w:r>
      <w:bookmarkEnd w:id="1909"/>
      <w:r>
        <w:rPr>
          <w:rtl/>
        </w:rPr>
        <w:t xml:space="preserve"> יש רשומה מאלול תרע״ג. בה הוא מזכיר את “מערכת הדואר” שהביאה לידיעת הסבא </w:t>
      </w:r>
      <w:proofErr w:type="spellStart"/>
      <w:r>
        <w:rPr>
          <w:rtl/>
        </w:rPr>
        <w:t>מסלבודקה</w:t>
      </w:r>
      <w:proofErr w:type="spellEnd"/>
      <w:r>
        <w:rPr>
          <w:rtl/>
        </w:rPr>
        <w:t xml:space="preserve"> את שיחתו עם ר׳ אברהם </w:t>
      </w:r>
      <w:proofErr w:type="spellStart"/>
      <w:r>
        <w:rPr>
          <w:rtl/>
        </w:rPr>
        <w:t>גרודזינסקי</w:t>
      </w:r>
      <w:proofErr w:type="spellEnd"/>
      <w:r>
        <w:rPr>
          <w:rtl/>
        </w:rPr>
        <w:t xml:space="preserve">, שהיה אז תלמיד מבוגר ונשוי, ואת תשובתו הישירה של הלה </w:t>
      </w:r>
      <w:proofErr w:type="spellStart"/>
      <w:r>
        <w:rPr>
          <w:rtl/>
        </w:rPr>
        <w:t>לר</w:t>
      </w:r>
      <w:proofErr w:type="spellEnd"/>
      <w:r>
        <w:rPr>
          <w:rtl/>
        </w:rPr>
        <w:t xml:space="preserve">׳ </w:t>
      </w:r>
      <w:proofErr w:type="spellStart"/>
      <w:r>
        <w:rPr>
          <w:rtl/>
        </w:rPr>
        <w:t>אברהם־אליהו</w:t>
      </w:r>
      <w:proofErr w:type="spellEnd"/>
      <w:r>
        <w:rPr>
          <w:rtl/>
        </w:rPr>
        <w:t xml:space="preserve">. השווה גם תחילת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w:t>
      </w:r>
    </w:p>
    <w:p w14:paraId="2F5A96C0" w14:textId="77777777" w:rsidR="00AB3647" w:rsidRDefault="00000000" w:rsidP="007923E9">
      <w:pPr>
        <w:spacing w:after="100" w:line="276" w:lineRule="auto"/>
        <w:ind w:firstLine="340"/>
        <w:jc w:val="both"/>
      </w:pPr>
      <w:r>
        <w:rPr>
          <w:rtl/>
        </w:rPr>
        <w:t>ר׳ יונתן רוטשילד סיפר</w:t>
      </w:r>
      <w:bookmarkStart w:id="1910" w:name="_fnr1223"/>
      <w:r>
        <w:rPr>
          <w:rStyle w:val="a5"/>
        </w:rPr>
        <w:footnoteReference w:id="1225" w:customMarkFollows="0"/>
      </w:r>
      <w:bookmarkEnd w:id="1910"/>
      <w:r>
        <w:rPr>
          <w:rtl/>
        </w:rPr>
        <w:t xml:space="preserve"> ששמע שהסבא קרא לשני המועמדים ואמר להם שאם ילכו לישיבה האחרת, לא יגדלו להיות בני תורה. קשה להניח שדברים אלה מדויקים. תלמידים ותיקים כגון אשר </w:t>
      </w:r>
      <w:proofErr w:type="spellStart"/>
      <w:r>
        <w:rPr>
          <w:rtl/>
        </w:rPr>
        <w:t>קרשטיין</w:t>
      </w:r>
      <w:proofErr w:type="spellEnd"/>
      <w:r>
        <w:rPr>
          <w:rtl/>
        </w:rPr>
        <w:t xml:space="preserve"> אולי אמרו להם כך, ייתכן שבהוראת הסבא, אבל לא מסתבר שהסבא </w:t>
      </w:r>
      <w:proofErr w:type="spellStart"/>
      <w:r>
        <w:rPr>
          <w:rtl/>
        </w:rPr>
        <w:t>מסלבודקה</w:t>
      </w:r>
      <w:proofErr w:type="spellEnd"/>
      <w:r>
        <w:rPr>
          <w:rtl/>
        </w:rPr>
        <w:t xml:space="preserve"> היה מגנה את הישיבה האחרת </w:t>
      </w:r>
      <w:proofErr w:type="spellStart"/>
      <w:r>
        <w:rPr>
          <w:rtl/>
        </w:rPr>
        <w:t>בסלבודקה</w:t>
      </w:r>
      <w:proofErr w:type="spellEnd"/>
      <w:r>
        <w:rPr>
          <w:rtl/>
        </w:rPr>
        <w:t xml:space="preserve"> בעיני הצעירים המתחילים. גם לא מסתבר ששני הנערים הצעירים, שאחד מהם טרם התוודע לישיבה, ידעו מה פירוש להיות “בן תורה”. ואם המונח שבו השתמשו היה “דתי”, הרי שהגנאי שהטיח הסבא, כביכול, בישיבה המתחרה מזעזע עוד יותר, וסבירותו נמוכה עוד יותר.</w:t>
      </w:r>
    </w:p>
    <w:p w14:paraId="41561B91" w14:textId="77777777" w:rsidR="00AB3647" w:rsidRDefault="00000000" w:rsidP="007923E9">
      <w:pPr>
        <w:spacing w:after="100" w:line="276" w:lineRule="auto"/>
        <w:ind w:firstLine="340"/>
        <w:jc w:val="both"/>
      </w:pPr>
      <w:r>
        <w:rPr>
          <w:rtl/>
        </w:rPr>
        <w:t xml:space="preserve">רבנו סיים את סיפור הדחייה הראשונה, ואת הקבלה שבאה בעקבותיה הודות להערתו של חברו </w:t>
      </w:r>
      <w:proofErr w:type="spellStart"/>
      <w:r>
        <w:rPr>
          <w:rtl/>
        </w:rPr>
        <w:t>הסיסלוביצ׳ר</w:t>
      </w:r>
      <w:proofErr w:type="spellEnd"/>
      <w:r>
        <w:rPr>
          <w:rtl/>
        </w:rPr>
        <w:t xml:space="preserve"> </w:t>
      </w:r>
      <w:proofErr w:type="spellStart"/>
      <w:r>
        <w:rPr>
          <w:rtl/>
        </w:rPr>
        <w:t>ש“נשמעה</w:t>
      </w:r>
      <w:proofErr w:type="spellEnd"/>
      <w:r>
        <w:rPr>
          <w:rtl/>
        </w:rPr>
        <w:t xml:space="preserve"> באקראי”, באמירה רצינית למחצה: “ר׳ אהרן כבר אז היה פוליטיקאי טוב ממני.” לפי ר׳ ישראל </w:t>
      </w:r>
      <w:proofErr w:type="spellStart"/>
      <w:r>
        <w:rPr>
          <w:rtl/>
        </w:rPr>
        <w:t>שורין</w:t>
      </w:r>
      <w:bookmarkStart w:id="1911" w:name="_fnr1224"/>
      <w:proofErr w:type="spellEnd"/>
      <w:r>
        <w:rPr>
          <w:rStyle w:val="a5"/>
        </w:rPr>
        <w:footnoteReference w:id="1226" w:customMarkFollows="0"/>
      </w:r>
      <w:bookmarkEnd w:id="1911"/>
      <w:r>
        <w:rPr>
          <w:rtl/>
        </w:rPr>
        <w:t>, סיפר אבי שבהודעת הקבלה אמר להם הסבא: “באמת חשבתם שלא אקבל אתכם?” – ומכאן שידע בדיוק איזה משחק פוליטי משחקים הצעירים.</w:t>
      </w:r>
    </w:p>
    <w:bookmarkStart w:id="1912" w:name="b3_note82"/>
    <w:p w14:paraId="1F6C5F05" w14:textId="74280373" w:rsidR="00AB3647" w:rsidRDefault="00000000" w:rsidP="007923E9">
      <w:pPr>
        <w:spacing w:before="120" w:after="100" w:line="276" w:lineRule="auto"/>
        <w:jc w:val="both"/>
      </w:pPr>
      <w:r>
        <w:fldChar w:fldCharType="begin" w:dirty="true"/>
      </w:r>
      <w:r>
        <w:instrText>HYPERLINK \l "b3_ref82"</w:instrText>
      </w:r>
      <w:r>
        <w:fldChar w:fldCharType="separate"/>
      </w:r>
      <w:r>
        <w:rPr>
          <w:b/>
          <w:bCs/>
          <w:rtl/>
        </w:rPr>
        <w:t xml:space="preserve">82 </w:t>
      </w:r>
      <w:r>
        <w:rPr>
          <w:b/>
          <w:bCs/>
        </w:rPr>
        <w:fldChar w:fldCharType="end"/>
      </w:r>
      <w:bookmarkEnd w:id="1912"/>
      <w:r>
        <w:rPr>
          <w:rtl/>
        </w:rPr>
        <w:t xml:space="preserve">השווה (עמ׳ </w:t>
      </w:r>
      <w:r>
        <w:rPr>
          <w:rtl/>
        </w:rPr>
        <w:fldChar w:fldCharType="begin" w:dirty="true"/>
      </w:r>
      <w:r>
        <w:rPr>
          <w:rtl/>
        </w:rPr>
        <w:instrText xml:space="preserve"> PAGEREF pr_f_899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pr_f_899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530</w:t>
      </w:r>
      <w:r>
        <w:rPr>
          <w:rtl/>
        </w:rPr>
        <w:fldChar w:fldCharType="end"/>
      </w:r>
      <w:hyperlink w:anchor="b3_ref82" w:history="1">
        <w:r w:rsidR="007923E9" w:rsidRPr="007923E9">
          <w:rPr>
            <w:rStyle w:val="Hyperlink"/>
          </w:rPr>
          <w:t xml:space="preserve"/>
        </w:r>
      </w:hyperlink>
      <w:r>
        <w:rPr>
          <w:rtl/>
        </w:rPr>
        <w:t>), על המקום שבו פגש אבי ידיד מסור זה למעלה מחצי מאה אחר כך.</w:t>
      </w:r>
    </w:p>
    <w:p w14:paraId="1B861863" w14:textId="56AAB36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הדולהינובר</w:t>
      </w:r>
      <w:proofErr w:type="spellEnd"/>
      <w:r>
        <w:rPr>
          <w:rtl/>
        </w:rPr>
        <w:t xml:space="preserve"> הצעיר שובץ לאכסניה</w:t>
      </w:r>
      <w:bookmarkStart w:id="1913" w:name="b3_ref83"/>
      <w:bookmarkEnd w:id="1913"/>
      <w:r>
        <w:rPr>
          <w:vertAlign w:val="superscript"/>
          <w:rtl/>
        </w:rPr>
        <w:fldChar w:fldCharType="begin" w:dirty="true"/>
      </w:r>
      <w:r>
        <w:rPr>
          <w:vertAlign w:val="superscript"/>
          <w:rtl/>
        </w:rPr>
        <w:instrText xml:space="preserve"> REF b3_note83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xml:space="preserve"> עם </w:t>
      </w:r>
      <w:proofErr w:type="spellStart"/>
      <w:r>
        <w:rPr>
          <w:rtl/>
        </w:rPr>
        <w:t>לייבל</w:t>
      </w:r>
      <w:proofErr w:type="spellEnd"/>
      <w:r>
        <w:rPr>
          <w:rtl/>
        </w:rPr>
        <w:t xml:space="preserve"> </w:t>
      </w:r>
      <w:proofErr w:type="spellStart"/>
      <w:r>
        <w:rPr>
          <w:rtl/>
        </w:rPr>
        <w:t>יאנובר</w:t>
      </w:r>
      <w:proofErr w:type="spellEnd"/>
      <w:r>
        <w:rPr>
          <w:rtl/>
        </w:rPr>
        <w:t xml:space="preserve"> (</w:t>
      </w:r>
      <w:proofErr w:type="spellStart"/>
      <w:r>
        <w:rPr>
          <w:rtl/>
        </w:rPr>
        <w:t>קגן</w:t>
      </w:r>
      <w:proofErr w:type="spellEnd"/>
      <w:r>
        <w:rPr>
          <w:rtl/>
        </w:rPr>
        <w:t>), בן עשרים ואחת</w:t>
      </w:r>
      <w:bookmarkStart w:id="1914" w:name="b3_ref84"/>
      <w:bookmarkEnd w:id="1914"/>
      <w:r>
        <w:rPr>
          <w:vertAlign w:val="superscript"/>
          <w:rtl/>
        </w:rPr>
        <w:fldChar w:fldCharType="begin" w:dirty="true"/>
      </w:r>
      <w:r>
        <w:rPr>
          <w:vertAlign w:val="superscript"/>
          <w:rtl/>
        </w:rPr>
        <w:instrText xml:space="preserve"> REF b3_note84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ועם שני בני </w:t>
      </w:r>
      <w:proofErr w:type="spellStart"/>
      <w:r>
        <w:rPr>
          <w:rtl/>
        </w:rPr>
        <w:t>שמונה־עשרה</w:t>
      </w:r>
      <w:proofErr w:type="spellEnd"/>
      <w:r>
        <w:rPr>
          <w:rtl/>
        </w:rPr>
        <w:t xml:space="preserve">, אלתר </w:t>
      </w:r>
      <w:proofErr w:type="spellStart"/>
      <w:r>
        <w:rPr>
          <w:rtl/>
        </w:rPr>
        <w:t>אולקניקר</w:t>
      </w:r>
      <w:proofErr w:type="spellEnd"/>
      <w:r>
        <w:rPr>
          <w:rtl/>
        </w:rPr>
        <w:t xml:space="preserve"> (</w:t>
      </w:r>
      <w:proofErr w:type="spellStart"/>
      <w:r>
        <w:rPr>
          <w:rtl/>
        </w:rPr>
        <w:t>פופלק</w:t>
      </w:r>
      <w:proofErr w:type="spellEnd"/>
      <w:r>
        <w:rPr>
          <w:rtl/>
        </w:rPr>
        <w:t>)</w:t>
      </w:r>
      <w:bookmarkStart w:id="1915" w:name="b3_ref85"/>
      <w:bookmarkEnd w:id="1915"/>
      <w:r>
        <w:rPr>
          <w:vertAlign w:val="superscript"/>
          <w:rtl/>
        </w:rPr>
        <w:fldChar w:fldCharType="begin" w:dirty="true"/>
      </w:r>
      <w:r>
        <w:rPr>
          <w:vertAlign w:val="superscript"/>
          <w:rtl/>
        </w:rPr>
        <w:instrText xml:space="preserve"> REF b3_note85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xml:space="preserve"> </w:t>
      </w:r>
      <w:proofErr w:type="spellStart"/>
      <w:r>
        <w:rPr>
          <w:rtl/>
        </w:rPr>
        <w:t>ויעקב־משה</w:t>
      </w:r>
      <w:proofErr w:type="spellEnd"/>
      <w:r>
        <w:rPr>
          <w:rtl/>
        </w:rPr>
        <w:t xml:space="preserve"> קאפוליער</w:t>
      </w:r>
      <w:bookmarkStart w:id="1916" w:name="b3_ref86"/>
      <w:bookmarkEnd w:id="1916"/>
      <w:r>
        <w:rPr>
          <w:vertAlign w:val="superscript"/>
          <w:rtl/>
        </w:rPr>
        <w:fldChar w:fldCharType="begin" w:dirty="true"/>
      </w:r>
      <w:r>
        <w:rPr>
          <w:vertAlign w:val="superscript"/>
          <w:rtl/>
        </w:rPr>
        <w:instrText xml:space="preserve"> REF b3_note86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86</w:t>
      </w:r>
      <w:r>
        <w:rPr>
          <w:vertAlign w:val="superscript"/>
          <w:rtl/>
        </w:rPr>
        <w:fldChar w:fldCharType="end"/>
      </w:r>
      <w:r>
        <w:rPr>
          <w:rtl/>
        </w:rPr>
        <w:t>. האחרון, שהיה מבין מקבלי פניו, עזר לו גם למצוא חברותות</w:t>
      </w:r>
      <w:bookmarkStart w:id="1917" w:name="b3_ref87"/>
      <w:bookmarkEnd w:id="1917"/>
      <w:r>
        <w:rPr>
          <w:vertAlign w:val="superscript"/>
          <w:rtl/>
        </w:rPr>
        <w:fldChar w:fldCharType="begin" w:dirty="true"/>
      </w:r>
      <w:r>
        <w:rPr>
          <w:vertAlign w:val="superscript"/>
          <w:rtl/>
        </w:rPr>
        <w:instrText xml:space="preserve"> REF b3_note87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87</w:t>
      </w:r>
      <w:r>
        <w:rPr>
          <w:vertAlign w:val="superscript"/>
          <w:rtl/>
        </w:rPr>
        <w:fldChar w:fldCharType="end"/>
      </w:r>
      <w:r>
        <w:rPr>
          <w:rtl/>
        </w:rPr>
        <w:t xml:space="preserve"> למסכת קידושין, שנלמדה בזמן הקיץ</w:t>
      </w:r>
      <w:bookmarkStart w:id="1918" w:name="b3_ref88"/>
      <w:bookmarkEnd w:id="1918"/>
      <w:r>
        <w:rPr>
          <w:vertAlign w:val="superscript"/>
          <w:rtl/>
        </w:rPr>
        <w:fldChar w:fldCharType="begin" w:dirty="true"/>
      </w:r>
      <w:r>
        <w:rPr>
          <w:vertAlign w:val="superscript"/>
          <w:rtl/>
        </w:rPr>
        <w:instrText xml:space="preserve"> REF b3_note88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88</w:t>
      </w:r>
      <w:r>
        <w:rPr>
          <w:vertAlign w:val="superscript"/>
          <w:rtl/>
        </w:rPr>
        <w:fldChar w:fldCharType="end"/>
      </w:r>
      <w:r>
        <w:rPr>
          <w:rtl/>
        </w:rPr>
        <w:t>. רבנו שקע מיד בלימודיו</w:t>
      </w:r>
      <w:bookmarkStart w:id="1919" w:name="b3_ref89"/>
      <w:bookmarkEnd w:id="1919"/>
      <w:r>
        <w:rPr>
          <w:vertAlign w:val="superscript"/>
          <w:rtl/>
        </w:rPr>
        <w:fldChar w:fldCharType="begin" w:dirty="true"/>
      </w:r>
      <w:r>
        <w:rPr>
          <w:vertAlign w:val="superscript"/>
          <w:rtl/>
        </w:rPr>
        <w:instrText xml:space="preserve"> REF b3_note89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89</w:t>
      </w:r>
      <w:r>
        <w:rPr>
          <w:vertAlign w:val="superscript"/>
          <w:rtl/>
        </w:rPr>
        <w:fldChar w:fldCharType="end"/>
      </w:r>
      <w:r>
        <w:rPr>
          <w:rtl/>
        </w:rPr>
        <w:t>.</w:t>
      </w:r>
    </w:p>
    <w:bookmarkStart w:id="1920" w:name="b3_note83"/>
    <w:p w14:paraId="02625214" w14:textId="6DB1519A" w:rsidR="00AB3647" w:rsidRDefault="00000000" w:rsidP="007923E9">
      <w:pPr>
        <w:spacing w:before="120" w:after="100" w:line="276" w:lineRule="auto"/>
        <w:jc w:val="both"/>
      </w:pPr>
      <w:r>
        <w:fldChar w:fldCharType="begin" w:dirty="true"/>
      </w:r>
      <w:r>
        <w:instrText>HYPERLINK \l "b3_ref83"</w:instrText>
      </w:r>
      <w:r>
        <w:fldChar w:fldCharType="separate"/>
      </w:r>
      <w:r>
        <w:rPr>
          <w:b/>
          <w:bCs/>
          <w:rtl/>
        </w:rPr>
        <w:t>83</w:t>
      </w:r>
      <w:r>
        <w:rPr>
          <w:b/>
          <w:bCs/>
        </w:rPr>
        <w:fldChar w:fldCharType="end"/>
      </w:r>
      <w:bookmarkEnd w:id="1920"/>
      <w:r>
        <w:rPr>
          <w:rtl/>
        </w:rPr>
        <w:t xml:space="preserve"> השווה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לעיל על אופן תשלום שכר הדירה. בחור צעיר בא ללמוד בדרך כלל בלי סכום מספיק משלו. אם ההנהלה לא ראתה אותו ראוי לקצבה חודשית, “חלוקה”, היה יכול למצוא לעצמו מקום לינה זול בחנות או בבית מלאכה, שנוכחותו בהם בלילה תרתיע גנבים.</w:t>
      </w:r>
    </w:p>
    <w:p w14:paraId="10F38104" w14:textId="77777777" w:rsidR="00AB3647" w:rsidRDefault="00000000" w:rsidP="007923E9">
      <w:pPr>
        <w:spacing w:before="120" w:after="100" w:line="276" w:lineRule="auto"/>
        <w:jc w:val="both"/>
      </w:pPr>
      <w:r>
        <w:rPr>
          <w:rtl/>
        </w:rPr>
        <w:t>ר׳ מאיר חדש</w:t>
      </w:r>
      <w:bookmarkStart w:id="1921" w:name="_fnr1225"/>
      <w:r>
        <w:rPr>
          <w:rStyle w:val="a5"/>
        </w:rPr>
        <w:footnoteReference w:id="1227" w:customMarkFollows="0"/>
      </w:r>
      <w:bookmarkEnd w:id="1921"/>
      <w:r>
        <w:rPr>
          <w:rtl/>
        </w:rPr>
        <w:t xml:space="preserve"> סיפר שכשהגיע </w:t>
      </w:r>
      <w:proofErr w:type="spellStart"/>
      <w:r>
        <w:rPr>
          <w:rtl/>
        </w:rPr>
        <w:t>לסלבודקה</w:t>
      </w:r>
      <w:proofErr w:type="spellEnd"/>
      <w:r>
        <w:rPr>
          <w:rtl/>
        </w:rPr>
        <w:t xml:space="preserve"> לפני בר המצווה, לא ניסה אפילו לבקש להתקבל ולקבל את הקצבה הנלווית. הוא ישן בבית מלאכה של סנדלר ושילם 80 </w:t>
      </w:r>
      <w:proofErr w:type="spellStart"/>
      <w:r>
        <w:rPr>
          <w:rtl/>
        </w:rPr>
        <w:t>קופיקות</w:t>
      </w:r>
      <w:proofErr w:type="spellEnd"/>
      <w:r>
        <w:rPr>
          <w:rtl/>
        </w:rPr>
        <w:t xml:space="preserve"> לחודש, במקום שניים עד שניים וחצי רובל שעלה חדר רגיל.</w:t>
      </w:r>
    </w:p>
    <w:p w14:paraId="68A92F53" w14:textId="77777777" w:rsidR="00AB3647" w:rsidRDefault="00000000" w:rsidP="007923E9">
      <w:pPr>
        <w:spacing w:before="120" w:after="100" w:line="276" w:lineRule="auto"/>
        <w:jc w:val="both"/>
      </w:pPr>
      <w:r>
        <w:rPr>
          <w:rtl/>
        </w:rPr>
        <w:t xml:space="preserve">ר׳ מאיר הוסיף: “שמונים </w:t>
      </w:r>
      <w:proofErr w:type="spellStart"/>
      <w:r>
        <w:rPr>
          <w:rtl/>
        </w:rPr>
        <w:t>קופיקות</w:t>
      </w:r>
      <w:proofErr w:type="spellEnd"/>
      <w:r>
        <w:rPr>
          <w:rtl/>
        </w:rPr>
        <w:t xml:space="preserve"> היו כמעט יותר ממה שיכולתי להרשות לעצמי. לפני שעזבתי את ביתי </w:t>
      </w:r>
      <w:proofErr w:type="spellStart"/>
      <w:r>
        <w:rPr>
          <w:rtl/>
        </w:rPr>
        <w:t>בפאריטש</w:t>
      </w:r>
      <w:proofErr w:type="spellEnd"/>
      <w:r>
        <w:rPr>
          <w:rtl/>
        </w:rPr>
        <w:t xml:space="preserve"> לנסיעה של עשרים וארבע שעות ברכבת לקובנה, נתנו לי הוריי </w:t>
      </w:r>
      <w:r>
        <w:rPr>
          <w:rtl/>
        </w:rPr>
        <w:lastRenderedPageBreak/>
        <w:t xml:space="preserve">שני רובל לכל החורף. קניתי כיכר לחם ושמינית ליטרה חמאה, והיה לי די אוכל לשבוע שלם. כעבור חודשים אחדים ראה ר׳ </w:t>
      </w:r>
      <w:proofErr w:type="spellStart"/>
      <w:r>
        <w:rPr>
          <w:rtl/>
        </w:rPr>
        <w:t xml:space="preserve">בער־הירש</w:t>
      </w:r>
      <w:bookmarkStart w:id="1922" w:name="_fnr1226"/>
      <w:proofErr w:type="spellEnd"/>
      <w:r>
        <w:rPr>
          <w:rStyle w:val="a5"/>
        </w:rPr>
        <w:footnoteReference w:id="1228" w:customMarkFollows="0"/>
      </w:r>
      <w:bookmarkEnd w:id="1922"/>
      <w:r>
        <w:rPr>
          <w:rtl/>
        </w:rPr>
        <w:t xml:space="preserve"> ילד קטן ובודד המסתובב בבית המדרש, ובחן אותי על שלושים או ארבעים דף במסכת שנלמדה בישיבה באותו זמן – כנראה בבא </w:t>
      </w:r>
      <w:proofErr w:type="spellStart"/>
      <w:r>
        <w:rPr>
          <w:rtl/>
        </w:rPr>
        <w:t>בתרא</w:t>
      </w:r>
      <w:proofErr w:type="spellEnd"/>
      <w:r>
        <w:rPr>
          <w:rtl/>
        </w:rPr>
        <w:t>, ואולי קידושין – ועמדתי במבחן בהצלחה יתרה. כששאל לגילי וגילה שרק זה עתה הייתה לי בר מצווה בחודש</w:t>
      </w:r>
      <w:r>
        <w:t xml:space="preserve"> </w:t>
      </w:r>
      <w:r>
        <w:rPr>
          <w:rtl/>
        </w:rPr>
        <w:t xml:space="preserve">שבט, הרגיש ר׳ </w:t>
      </w:r>
      <w:proofErr w:type="spellStart"/>
      <w:r>
        <w:rPr>
          <w:rtl/>
        </w:rPr>
        <w:t xml:space="preserve">בער־הירש</w:t>
      </w:r>
      <w:proofErr w:type="spellEnd"/>
      <w:r>
        <w:rPr>
          <w:rtl/>
        </w:rPr>
        <w:t xml:space="preserve"> אשם ואמר: ‘למה לא אמרת לנו?!’</w:t>
      </w:r>
      <w:bookmarkStart w:id="1923" w:name="_fnr1227"/>
      <w:bookmarkStart w:id="1924" w:name="pr_f_1145"/>
      <w:r>
        <w:rPr>
          <w:rStyle w:val="a5"/>
        </w:rPr>
        <w:footnoteReference w:id="1229" w:customMarkFollows="0"/>
      </w:r>
      <w:bookmarkEnd w:id="1923"/>
      <w:bookmarkEnd w:id="1924"/>
      <w:r>
        <w:rPr>
          <w:rtl/>
        </w:rPr>
        <w:t xml:space="preserve"> וסידר שאקרא לתורה בישיבה. אחר כך קצב לי רובל לחודש.”</w:t>
      </w:r>
    </w:p>
    <w:p w14:paraId="3D896ED3" w14:textId="77777777" w:rsidR="00AB3647" w:rsidRDefault="00000000" w:rsidP="007923E9">
      <w:pPr>
        <w:spacing w:before="120" w:after="100" w:line="276" w:lineRule="auto"/>
        <w:jc w:val="both"/>
      </w:pPr>
      <w:r>
        <w:rPr>
          <w:rtl/>
        </w:rPr>
        <w:t>“</w:t>
      </w:r>
      <w:proofErr w:type="spellStart"/>
      <w:r>
        <w:rPr>
          <w:rtl/>
        </w:rPr>
        <w:t>ארחות</w:t>
      </w:r>
      <w:proofErr w:type="spellEnd"/>
      <w:r>
        <w:rPr>
          <w:rtl/>
        </w:rPr>
        <w:t xml:space="preserve"> חסידיך”</w:t>
      </w:r>
      <w:bookmarkStart w:id="1925" w:name="_fnr1228"/>
      <w:r>
        <w:rPr>
          <w:rStyle w:val="a5"/>
        </w:rPr>
        <w:footnoteReference w:id="1230" w:customMarkFollows="0"/>
      </w:r>
      <w:bookmarkEnd w:id="1925"/>
      <w:r>
        <w:rPr>
          <w:rtl/>
        </w:rPr>
        <w:t xml:space="preserve"> מספר שר׳ מאיר אמר לתלמיד שמכיוון שנאלץ להירדם לקול עבודתו של הסנדלר עד שעה מאוחרת, אימן את עצמו שלא להיות מושפע מכל רעש סביבו, ולכן “לא הפריע לו רעשם של האנשים המסתובבים סביב [ביתו]”. ר׳ מאיר התגורר בשכונת גאולה בירושלים, בתוך בניין ישיבת חברון.</w:t>
      </w:r>
    </w:p>
    <w:bookmarkStart w:id="1926" w:name="b3_note84"/>
    <w:p w14:paraId="5C6D6F2A" w14:textId="77777777" w:rsidR="00AB3647" w:rsidRDefault="00000000" w:rsidP="007923E9">
      <w:pPr>
        <w:spacing w:before="120" w:after="100" w:line="276" w:lineRule="auto"/>
        <w:jc w:val="both"/>
      </w:pPr>
      <w:r>
        <w:fldChar w:fldCharType="begin" w:dirty="true"/>
      </w:r>
      <w:r>
        <w:instrText>HYPERLINK \l "b3_ref84"</w:instrText>
      </w:r>
      <w:r>
        <w:fldChar w:fldCharType="separate"/>
      </w:r>
      <w:r>
        <w:rPr>
          <w:b/>
          <w:bCs/>
          <w:rtl/>
        </w:rPr>
        <w:t>84</w:t>
      </w:r>
      <w:r>
        <w:rPr>
          <w:b/>
          <w:bCs/>
        </w:rPr>
        <w:fldChar w:fldCharType="end"/>
      </w:r>
      <w:bookmarkEnd w:id="1926"/>
      <w:r>
        <w:rPr>
          <w:rtl/>
        </w:rPr>
        <w:t xml:space="preserve"> הוא היה אחיו הגדול של ר׳ יהודה </w:t>
      </w:r>
      <w:proofErr w:type="spellStart"/>
      <w:r>
        <w:rPr>
          <w:rtl/>
        </w:rPr>
        <w:t>קגן</w:t>
      </w:r>
      <w:proofErr w:type="spellEnd"/>
      <w:r>
        <w:rPr>
          <w:rtl/>
        </w:rPr>
        <w:t xml:space="preserve">, ראש ישיבת רבי יעקב יוסף בלואר </w:t>
      </w:r>
      <w:proofErr w:type="spellStart"/>
      <w:r>
        <w:rPr>
          <w:rtl/>
        </w:rPr>
        <w:t>איסט</w:t>
      </w:r>
      <w:proofErr w:type="spellEnd"/>
      <w:r>
        <w:rPr>
          <w:rtl/>
        </w:rPr>
        <w:t xml:space="preserve"> סייד בניו יורק, ושמו המלא היה ר׳ </w:t>
      </w:r>
      <w:proofErr w:type="spellStart"/>
      <w:r>
        <w:rPr>
          <w:rtl/>
        </w:rPr>
        <w:t>יעקב־אריה</w:t>
      </w:r>
      <w:proofErr w:type="spellEnd"/>
      <w:r>
        <w:rPr>
          <w:rtl/>
        </w:rPr>
        <w:t xml:space="preserve"> </w:t>
      </w:r>
      <w:proofErr w:type="spellStart"/>
      <w:r>
        <w:rPr>
          <w:rtl/>
        </w:rPr>
        <w:t>גרשטיין</w:t>
      </w:r>
      <w:proofErr w:type="spellEnd"/>
      <w:r>
        <w:rPr>
          <w:rtl/>
        </w:rPr>
        <w:t xml:space="preserve">, לימים רב </w:t>
      </w:r>
      <w:proofErr w:type="spellStart"/>
      <w:r>
        <w:rPr>
          <w:rtl/>
        </w:rPr>
        <w:t>בלזדיי</w:t>
      </w:r>
      <w:proofErr w:type="spellEnd"/>
      <w:r>
        <w:rPr>
          <w:rtl/>
        </w:rPr>
        <w:t xml:space="preserve">. אבי הופתע כשהראו לו ספר שחיבר ר׳ יהודה </w:t>
      </w:r>
      <w:proofErr w:type="spellStart"/>
      <w:r>
        <w:rPr>
          <w:rtl/>
        </w:rPr>
        <w:t>קגן</w:t>
      </w:r>
      <w:proofErr w:type="spellEnd"/>
      <w:r>
        <w:rPr>
          <w:rtl/>
        </w:rPr>
        <w:t xml:space="preserve"> ובו נכתב שמו </w:t>
      </w:r>
      <w:proofErr w:type="spellStart"/>
      <w:r>
        <w:rPr>
          <w:rtl/>
        </w:rPr>
        <w:t>יהודה־לייב</w:t>
      </w:r>
      <w:proofErr w:type="spellEnd"/>
      <w:r>
        <w:rPr>
          <w:rtl/>
        </w:rPr>
        <w:t xml:space="preserve">, שהרי גם אחיו, שותפו לחדר, נקרא </w:t>
      </w:r>
      <w:proofErr w:type="spellStart"/>
      <w:r>
        <w:rPr>
          <w:rtl/>
        </w:rPr>
        <w:t>לייבל</w:t>
      </w:r>
      <w:proofErr w:type="spellEnd"/>
      <w:r>
        <w:rPr>
          <w:rtl/>
        </w:rPr>
        <w:t>.</w:t>
      </w:r>
    </w:p>
    <w:p w14:paraId="6D4E8847" w14:textId="77777777" w:rsidR="00AB3647" w:rsidRDefault="00000000" w:rsidP="007923E9">
      <w:pPr>
        <w:spacing w:before="120" w:after="100" w:line="276" w:lineRule="auto"/>
        <w:jc w:val="both"/>
      </w:pPr>
      <w:r>
        <w:rPr>
          <w:rtl/>
        </w:rPr>
        <w:t xml:space="preserve">אבל ר׳ שלום </w:t>
      </w:r>
      <w:proofErr w:type="spellStart"/>
      <w:r>
        <w:rPr>
          <w:rtl/>
        </w:rPr>
        <w:t>קמינצקי</w:t>
      </w:r>
      <w:proofErr w:type="spellEnd"/>
      <w:r>
        <w:rPr>
          <w:rtl/>
        </w:rPr>
        <w:t xml:space="preserve">, חתן נכדתו של הרב </w:t>
      </w:r>
      <w:proofErr w:type="spellStart"/>
      <w:r>
        <w:rPr>
          <w:rtl/>
        </w:rPr>
        <w:t>קגן</w:t>
      </w:r>
      <w:proofErr w:type="spellEnd"/>
      <w:r>
        <w:rPr>
          <w:rtl/>
        </w:rPr>
        <w:t>, אמר לי</w:t>
      </w:r>
      <w:bookmarkStart w:id="1927" w:name="_fnr1229"/>
      <w:r>
        <w:rPr>
          <w:rStyle w:val="a5"/>
        </w:rPr>
        <w:footnoteReference w:id="1231" w:customMarkFollows="0"/>
      </w:r>
      <w:bookmarkEnd w:id="1927"/>
      <w:r>
        <w:rPr>
          <w:rtl/>
        </w:rPr>
        <w:t xml:space="preserve"> ששמע בשם ר׳ יצחק־זאב </w:t>
      </w:r>
      <w:proofErr w:type="spellStart"/>
      <w:r>
        <w:rPr>
          <w:rtl/>
        </w:rPr>
        <w:t>סולובייצ׳יק</w:t>
      </w:r>
      <w:proofErr w:type="spellEnd"/>
      <w:r>
        <w:rPr>
          <w:rtl/>
        </w:rPr>
        <w:t xml:space="preserve"> שהשם הנלווה לאריה הוא לייב [אריה ביידיש], והשם הנלווה ליהודה הוא </w:t>
      </w:r>
      <w:proofErr w:type="spellStart"/>
      <w:r>
        <w:rPr>
          <w:rtl/>
        </w:rPr>
        <w:t>לויב</w:t>
      </w:r>
      <w:proofErr w:type="spellEnd"/>
      <w:r>
        <w:rPr>
          <w:rtl/>
        </w:rPr>
        <w:t xml:space="preserve"> [שבח ביידיש, על יסוד הפסוק “יהודה אתה </w:t>
      </w:r>
      <w:proofErr w:type="spellStart"/>
      <w:r>
        <w:rPr>
          <w:rtl/>
        </w:rPr>
        <w:t>יודוך</w:t>
      </w:r>
      <w:proofErr w:type="spellEnd"/>
      <w:r>
        <w:rPr>
          <w:rtl/>
        </w:rPr>
        <w:t xml:space="preserve"> אחיך”</w:t>
      </w:r>
      <w:bookmarkStart w:id="1928" w:name="_fnr1230"/>
      <w:r>
        <w:rPr>
          <w:rStyle w:val="a5"/>
        </w:rPr>
        <w:footnoteReference w:id="1232" w:customMarkFollows="0"/>
      </w:r>
      <w:bookmarkEnd w:id="1928"/>
      <w:r>
        <w:rPr>
          <w:rtl/>
        </w:rPr>
        <w:t xml:space="preserve">]. ההגייה </w:t>
      </w:r>
      <w:proofErr w:type="spellStart"/>
      <w:r>
        <w:rPr>
          <w:rtl/>
        </w:rPr>
        <w:t>הליטאית־היהודית</w:t>
      </w:r>
      <w:proofErr w:type="spellEnd"/>
      <w:r>
        <w:rPr>
          <w:rtl/>
        </w:rPr>
        <w:t xml:space="preserve"> (המשובשת) של הצליל החולם הופכת את שני השמות </w:t>
      </w:r>
      <w:proofErr w:type="spellStart"/>
      <w:r>
        <w:rPr>
          <w:rtl/>
        </w:rPr>
        <w:t>היידיים</w:t>
      </w:r>
      <w:proofErr w:type="spellEnd"/>
      <w:r>
        <w:rPr>
          <w:rtl/>
        </w:rPr>
        <w:t xml:space="preserve"> השונים זה מזה לשם אחד, “לייב”.</w:t>
      </w:r>
    </w:p>
    <w:p w14:paraId="78CF0CD1" w14:textId="77777777" w:rsidR="00AB3647" w:rsidRDefault="00000000" w:rsidP="007923E9">
      <w:pPr>
        <w:spacing w:before="120" w:after="100" w:line="276" w:lineRule="auto"/>
        <w:jc w:val="both"/>
      </w:pPr>
      <w:r>
        <w:rPr>
          <w:rtl/>
        </w:rPr>
        <w:t xml:space="preserve">נתקלתי בחידוש הזה בשם סבו מצד </w:t>
      </w:r>
      <w:proofErr w:type="spellStart"/>
      <w:r>
        <w:rPr>
          <w:rtl/>
        </w:rPr>
        <w:t>אמו</w:t>
      </w:r>
      <w:proofErr w:type="spellEnd"/>
      <w:r>
        <w:rPr>
          <w:rtl/>
        </w:rPr>
        <w:t xml:space="preserve"> של ר׳ יצחק־זאב, ר׳ רפאל שפירא. לפי “</w:t>
      </w:r>
      <w:proofErr w:type="spellStart"/>
      <w:r>
        <w:rPr>
          <w:rtl/>
        </w:rPr>
        <w:t>גליון</w:t>
      </w:r>
      <w:proofErr w:type="spellEnd"/>
      <w:r>
        <w:rPr>
          <w:rtl/>
        </w:rPr>
        <w:t xml:space="preserve"> מיוחד” של “מוסף ערב שבת” ביתד נאמן, שיצא במלאות מאה שנה לפטירת </w:t>
      </w:r>
      <w:proofErr w:type="spellStart"/>
      <w:r>
        <w:rPr>
          <w:rtl/>
        </w:rPr>
        <w:t>הנצי״ב</w:t>
      </w:r>
      <w:proofErr w:type="spellEnd"/>
      <w:r>
        <w:rPr>
          <w:rtl/>
        </w:rPr>
        <w:t xml:space="preserve"> (ר׳ </w:t>
      </w:r>
      <w:proofErr w:type="spellStart"/>
      <w:r>
        <w:rPr>
          <w:rtl/>
        </w:rPr>
        <w:t>נפתלי־צבי־הירש־יהודה־לייב</w:t>
      </w:r>
      <w:proofErr w:type="spellEnd"/>
      <w:r>
        <w:rPr>
          <w:rtl/>
        </w:rPr>
        <w:t xml:space="preserve">, שנפטר בכ״ט באב תרנ״ג) </w:t>
      </w:r>
      <w:bookmarkStart w:id="7060" w:name="_TranslatorNote_5407"/>
      <w:r>
        <w:rPr>
          <w:rStyle w:val="a5"/>
          <w:vertAlign w:val="superscript"/>
          <w:rtl/>
        </w:rPr>
        <w:footnoteReference w:id="1233" w:customMarkFollows="1"/>
        <w:t>*</w:t>
      </w:r>
      <w:bookmarkEnd w:id="7060"/>
      <w:r>
        <w:rPr>
          <w:rtl/>
        </w:rPr>
        <w:t>, נדהם </w:t>
      </w:r>
      <w:proofErr w:type="spellStart"/>
      <w:r>
        <w:rPr>
          <w:rtl/>
        </w:rPr>
        <w:t>הנצי״ב</w:t>
      </w:r>
      <w:proofErr w:type="spellEnd"/>
      <w:r>
        <w:rPr>
          <w:rtl/>
        </w:rPr>
        <w:t xml:space="preserve"> כשחתנו קרא לבנו </w:t>
      </w:r>
      <w:proofErr w:type="spellStart"/>
      <w:r>
        <w:rPr>
          <w:rtl/>
        </w:rPr>
        <w:t>אריה־לייב</w:t>
      </w:r>
      <w:proofErr w:type="spellEnd"/>
      <w:r>
        <w:rPr>
          <w:rtl/>
        </w:rPr>
        <w:t xml:space="preserve"> בעוד חותנו בחיים – והמנהג האשכנזי הוא שאין קוראים לילד כשמו של אחד מאבותיו שעודנו בחיים. אז הסביר ר׳ רפאל ששם חותנו הוא למעשה </w:t>
      </w:r>
      <w:proofErr w:type="spellStart"/>
      <w:r>
        <w:rPr>
          <w:rtl/>
        </w:rPr>
        <w:t>לויב</w:t>
      </w:r>
      <w:proofErr w:type="spellEnd"/>
      <w:r>
        <w:rPr>
          <w:rtl/>
        </w:rPr>
        <w:t>, ואילו השם שנתן לבנו היה לייב.</w:t>
      </w:r>
    </w:p>
    <w:bookmarkStart w:id="1929" w:name="b3_note85"/>
    <w:p w14:paraId="3A2BA609" w14:textId="77777777" w:rsidR="00AB3647" w:rsidRDefault="00000000" w:rsidP="007923E9">
      <w:pPr>
        <w:spacing w:before="120" w:after="100" w:line="276" w:lineRule="auto"/>
        <w:jc w:val="both"/>
      </w:pPr>
      <w:r>
        <w:lastRenderedPageBreak/>
        <w:fldChar w:fldCharType="begin" w:dirty="true"/>
      </w:r>
      <w:r>
        <w:instrText>HYPERLINK \l "b3_ref85"</w:instrText>
      </w:r>
      <w:r>
        <w:fldChar w:fldCharType="separate"/>
      </w:r>
      <w:r>
        <w:rPr>
          <w:b/>
          <w:bCs/>
          <w:rtl/>
        </w:rPr>
        <w:t>85</w:t>
      </w:r>
      <w:r>
        <w:rPr>
          <w:b/>
          <w:bCs/>
        </w:rPr>
        <w:fldChar w:fldCharType="end"/>
      </w:r>
      <w:bookmarkEnd w:id="1929"/>
      <w:r>
        <w:rPr>
          <w:rtl/>
        </w:rPr>
        <w:t xml:space="preserve"> בנו של השוחט המקומי. נולד </w:t>
      </w:r>
      <w:proofErr w:type="spellStart"/>
      <w:r>
        <w:rPr>
          <w:rtl/>
        </w:rPr>
        <w:t>בתרמ״ח</w:t>
      </w:r>
      <w:proofErr w:type="spellEnd"/>
      <w:r>
        <w:rPr>
          <w:rtl/>
        </w:rPr>
        <w:t xml:space="preserve"> ונפטר </w:t>
      </w:r>
      <w:proofErr w:type="spellStart"/>
      <w:r>
        <w:rPr>
          <w:rtl/>
        </w:rPr>
        <w:t>בתש״ל</w:t>
      </w:r>
      <w:proofErr w:type="spellEnd"/>
      <w:r>
        <w:rPr>
          <w:rtl/>
        </w:rPr>
        <w:t xml:space="preserve"> בבני ברק, שבה התגורר לאחר שפרש</w:t>
      </w:r>
      <w:bookmarkStart w:id="1930" w:name="_fnr1231"/>
      <w:r>
        <w:rPr>
          <w:rStyle w:val="a5"/>
        </w:rPr>
        <w:footnoteReference w:id="1234" w:customMarkFollows="0"/>
      </w:r>
      <w:bookmarkEnd w:id="1930"/>
      <w:r>
        <w:rPr>
          <w:rtl/>
        </w:rPr>
        <w:t>.</w:t>
      </w:r>
    </w:p>
    <w:bookmarkStart w:id="1931" w:name="b3_note86"/>
    <w:p w14:paraId="378D87B4" w14:textId="46948352" w:rsidR="00AB3647" w:rsidRDefault="00000000" w:rsidP="007923E9">
      <w:pPr>
        <w:spacing w:before="120" w:after="100" w:line="276" w:lineRule="auto"/>
        <w:jc w:val="both"/>
      </w:pPr>
      <w:r>
        <w:fldChar w:fldCharType="begin" w:dirty="true"/>
      </w:r>
      <w:r>
        <w:instrText>HYPERLINK \l "b3_ref86"</w:instrText>
      </w:r>
      <w:r>
        <w:fldChar w:fldCharType="separate"/>
      </w:r>
      <w:r>
        <w:rPr>
          <w:b/>
          <w:bCs/>
          <w:rtl/>
        </w:rPr>
        <w:t>86</w:t>
      </w:r>
      <w:r>
        <w:rPr>
          <w:b/>
          <w:bCs/>
        </w:rPr>
        <w:fldChar w:fldCharType="end"/>
      </w:r>
      <w:bookmarkEnd w:id="1931"/>
      <w:r>
        <w:rPr>
          <w:rtl/>
        </w:rPr>
        <w:t xml:space="preserve"> לפי נכדו</w:t>
      </w:r>
      <w:bookmarkStart w:id="1932" w:name="_fnr1232"/>
      <w:r>
        <w:rPr>
          <w:rStyle w:val="a5"/>
        </w:rPr>
        <w:footnoteReference w:id="1235" w:customMarkFollows="0"/>
      </w:r>
      <w:bookmarkEnd w:id="1932"/>
      <w:r>
        <w:rPr>
          <w:rtl/>
        </w:rPr>
        <w:t xml:space="preserve">, סיפר רבנו בהספד השלושים על ידיד ותיק זה שהם גרו יחד שלוש שנים. מאחר שחלק מן הזמן הזה היה אבי </w:t>
      </w:r>
      <w:proofErr w:type="spellStart"/>
      <w:r>
        <w:rPr>
          <w:rtl/>
        </w:rPr>
        <w:t>במאלטש</w:t>
      </w:r>
      <w:bookmarkStart w:id="1933" w:name="_fnr1233"/>
      <w:proofErr w:type="spellEnd"/>
      <w:r>
        <w:rPr>
          <w:rStyle w:val="a5"/>
        </w:rPr>
        <w:footnoteReference w:id="1236" w:customMarkFollows="0"/>
      </w:r>
      <w:bookmarkEnd w:id="1933"/>
      <w:r>
        <w:rPr>
          <w:rtl/>
        </w:rPr>
        <w:t xml:space="preserve">, ודאי החזירו הסבא </w:t>
      </w:r>
      <w:proofErr w:type="spellStart"/>
      <w:r>
        <w:rPr>
          <w:rtl/>
        </w:rPr>
        <w:t>לאכסניה</w:t>
      </w:r>
      <w:proofErr w:type="spellEnd"/>
      <w:r>
        <w:rPr>
          <w:rtl/>
        </w:rPr>
        <w:t xml:space="preserve"> הקודמת כששב. השווה גם פרק 5, תחילת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1934" w:name="b3_note87"/>
    <w:p w14:paraId="4B9BD576" w14:textId="77777777" w:rsidR="00AB3647" w:rsidRDefault="00000000" w:rsidP="007923E9">
      <w:pPr>
        <w:spacing w:before="120" w:after="100" w:line="276" w:lineRule="auto"/>
        <w:jc w:val="both"/>
      </w:pPr>
      <w:r>
        <w:fldChar w:fldCharType="begin" w:dirty="true"/>
      </w:r>
      <w:r>
        <w:instrText>HYPERLINK \l "b3_ref87"</w:instrText>
      </w:r>
      <w:r>
        <w:fldChar w:fldCharType="separate"/>
      </w:r>
      <w:r>
        <w:rPr>
          <w:b/>
          <w:bCs/>
          <w:rtl/>
        </w:rPr>
        <w:t>87</w:t>
      </w:r>
      <w:r>
        <w:rPr>
          <w:b/>
          <w:bCs/>
        </w:rPr>
        <w:fldChar w:fldCharType="end"/>
      </w:r>
      <w:bookmarkEnd w:id="1934"/>
      <w:r>
        <w:rPr>
          <w:rtl/>
        </w:rPr>
        <w:t xml:space="preserve"> ר׳ מאיר לסין, בנו של ר׳ </w:t>
      </w:r>
      <w:proofErr w:type="spellStart"/>
      <w:r>
        <w:rPr>
          <w:rtl/>
        </w:rPr>
        <w:t>יעקב־משה</w:t>
      </w:r>
      <w:bookmarkStart w:id="1935" w:name="_fnr1234"/>
      <w:proofErr w:type="spellEnd"/>
      <w:r>
        <w:rPr>
          <w:rStyle w:val="a5"/>
        </w:rPr>
        <w:footnoteReference w:id="1237" w:customMarkFollows="0"/>
      </w:r>
      <w:bookmarkEnd w:id="1935"/>
      <w:r>
        <w:rPr>
          <w:rtl/>
        </w:rPr>
        <w:t>.</w:t>
      </w:r>
    </w:p>
    <w:bookmarkStart w:id="1936" w:name="b3_note88"/>
    <w:p w14:paraId="3458FE3D" w14:textId="77777777" w:rsidR="00AB3647" w:rsidRDefault="00000000" w:rsidP="007923E9">
      <w:pPr>
        <w:spacing w:before="120" w:after="100" w:line="276" w:lineRule="auto"/>
        <w:jc w:val="both"/>
      </w:pPr>
      <w:r>
        <w:fldChar w:fldCharType="begin" w:dirty="true"/>
      </w:r>
      <w:r>
        <w:instrText>HYPERLINK \l "b3_ref88"</w:instrText>
      </w:r>
      <w:r>
        <w:fldChar w:fldCharType="separate"/>
      </w:r>
      <w:r>
        <w:rPr>
          <w:b/>
          <w:bCs/>
          <w:rtl/>
        </w:rPr>
        <w:t>88</w:t>
      </w:r>
      <w:r>
        <w:rPr>
          <w:b/>
          <w:bCs/>
        </w:rPr>
        <w:fldChar w:fldCharType="end"/>
      </w:r>
      <w:bookmarkEnd w:id="1936"/>
      <w:r>
        <w:rPr>
          <w:rtl/>
        </w:rPr>
        <w:t xml:space="preserve"> רשימות ביוגרפיות</w:t>
      </w:r>
      <w:bookmarkStart w:id="1937" w:name="_fnr1235"/>
      <w:r>
        <w:rPr>
          <w:rStyle w:val="a5"/>
        </w:rPr>
        <w:footnoteReference w:id="1238" w:customMarkFollows="0"/>
      </w:r>
      <w:bookmarkEnd w:id="1937"/>
      <w:r>
        <w:rPr>
          <w:rtl/>
        </w:rPr>
        <w:t>.</w:t>
      </w:r>
    </w:p>
    <w:bookmarkStart w:id="1938" w:name="b3_note89"/>
    <w:p w14:paraId="551E32FD" w14:textId="77777777" w:rsidR="00AB3647" w:rsidRDefault="00000000" w:rsidP="007923E9">
      <w:pPr>
        <w:spacing w:before="120" w:after="100" w:line="276" w:lineRule="auto"/>
        <w:jc w:val="both"/>
      </w:pPr>
      <w:r>
        <w:fldChar w:fldCharType="begin" w:dirty="true"/>
      </w:r>
      <w:r>
        <w:instrText>HYPERLINK \l "b3_ref89"</w:instrText>
      </w:r>
      <w:r>
        <w:fldChar w:fldCharType="separate"/>
      </w:r>
      <w:r>
        <w:rPr>
          <w:b/>
          <w:bCs/>
          <w:rtl/>
        </w:rPr>
        <w:t>89</w:t>
      </w:r>
      <w:r>
        <w:rPr>
          <w:b/>
          <w:bCs/>
        </w:rPr>
        <w:fldChar w:fldCharType="end"/>
      </w:r>
      <w:bookmarkEnd w:id="1938"/>
      <w:r>
        <w:rPr>
          <w:rtl/>
        </w:rPr>
        <w:t xml:space="preserve"> ר׳ זאב לב</w:t>
      </w:r>
      <w:bookmarkStart w:id="1939" w:name="_fnr1236"/>
      <w:r>
        <w:rPr>
          <w:rStyle w:val="a5"/>
        </w:rPr>
        <w:footnoteReference w:id="1239" w:customMarkFollows="0"/>
      </w:r>
      <w:bookmarkEnd w:id="1939"/>
      <w:r>
        <w:rPr>
          <w:rtl/>
        </w:rPr>
        <w:t xml:space="preserve"> ביקש את תגובת רבנו לדברים שאמר לו ר׳ </w:t>
      </w:r>
      <w:proofErr w:type="spellStart"/>
      <w:r>
        <w:rPr>
          <w:rtl/>
        </w:rPr>
        <w:t>חצקל</w:t>
      </w:r>
      <w:proofErr w:type="spellEnd"/>
      <w:r>
        <w:rPr>
          <w:rtl/>
        </w:rPr>
        <w:t xml:space="preserve"> </w:t>
      </w:r>
      <w:proofErr w:type="spellStart"/>
      <w:r>
        <w:rPr>
          <w:rtl/>
        </w:rPr>
        <w:t>סרנא</w:t>
      </w:r>
      <w:proofErr w:type="spellEnd"/>
      <w:r>
        <w:rPr>
          <w:rtl/>
        </w:rPr>
        <w:t xml:space="preserve">: הסיבה שבימינו גדלים פחות גדולי תורה </w:t>
      </w:r>
      <w:proofErr w:type="spellStart"/>
      <w:r>
        <w:rPr>
          <w:rtl/>
        </w:rPr>
        <w:t>מבעבר</w:t>
      </w:r>
      <w:proofErr w:type="spellEnd"/>
      <w:r>
        <w:rPr>
          <w:rtl/>
        </w:rPr>
        <w:t xml:space="preserve"> היא שכיום התלמידים רק </w:t>
      </w:r>
      <w:r>
        <w:rPr>
          <w:b/>
          <w:bCs/>
          <w:rtl/>
        </w:rPr>
        <w:t>לומדים</w:t>
      </w:r>
      <w:r>
        <w:rPr>
          <w:rtl/>
        </w:rPr>
        <w:t xml:space="preserve">, ואילו בימים ההם הם </w:t>
      </w:r>
      <w:r>
        <w:rPr>
          <w:b/>
          <w:bCs/>
          <w:rtl/>
        </w:rPr>
        <w:t>שאפו להיות אנשים גדולים</w:t>
      </w:r>
      <w:r>
        <w:rPr>
          <w:rtl/>
        </w:rPr>
        <w:t>. אבי השיב לו: “זו רק מקצת התשובה. בזמננו, בימים ההם, לא היו הסחות דעת – לא עיתונים ולא מכשירי רדיו. כך היינו שקועים לגמרי בלימוד – הדרך היחידה להיעשות תלמיד חכם גדול.”</w:t>
      </w:r>
      <w:bookmarkStart w:id="1940" w:name="_fnr1237"/>
      <w:r>
        <w:rPr>
          <w:rStyle w:val="a5"/>
        </w:rPr>
        <w:footnoteReference w:id="1240" w:customMarkFollows="0"/>
      </w:r>
      <w:bookmarkEnd w:id="1940"/>
    </w:p>
    <w:p w14:paraId="02970308" w14:textId="55F087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סדר היום התחיל בשבע בבוקר בתפילה, ובה השתתפו הסבא, לעיתים קרובות גם ר׳ משה־מרדכי</w:t>
      </w:r>
      <w:bookmarkStart w:id="1941" w:name="b3_ref90"/>
      <w:bookmarkEnd w:id="1941"/>
      <w:r>
        <w:rPr>
          <w:vertAlign w:val="superscript"/>
          <w:rtl/>
        </w:rPr>
        <w:fldChar w:fldCharType="begin" w:dirty="true"/>
      </w:r>
      <w:r>
        <w:rPr>
          <w:vertAlign w:val="superscript"/>
          <w:rtl/>
        </w:rPr>
        <w:instrText xml:space="preserve"> REF b3_note90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90</w:t>
      </w:r>
      <w:r>
        <w:rPr>
          <w:vertAlign w:val="superscript"/>
          <w:rtl/>
        </w:rPr>
        <w:fldChar w:fldCharType="end"/>
      </w:r>
      <w:r>
        <w:rPr>
          <w:rtl/>
        </w:rPr>
        <w:t xml:space="preserve">, ובעלי התפקידים הזוטרים יותר. אחרי ארוחת הבוקר </w:t>
      </w:r>
      <w:proofErr w:type="spellStart"/>
      <w:r>
        <w:rPr>
          <w:rtl/>
        </w:rPr>
        <w:t>באכסניה</w:t>
      </w:r>
      <w:proofErr w:type="spellEnd"/>
      <w:r>
        <w:rPr>
          <w:rtl/>
        </w:rPr>
        <w:t xml:space="preserve"> התחיל בתשע סדר לימוד בן ארבע שעות, שהסתיים במנחה</w:t>
      </w:r>
      <w:bookmarkStart w:id="1942" w:name="b3_ref91"/>
      <w:bookmarkEnd w:id="1942"/>
      <w:r>
        <w:rPr>
          <w:vertAlign w:val="superscript"/>
          <w:rtl/>
        </w:rPr>
        <w:fldChar w:fldCharType="begin" w:dirty="true"/>
      </w:r>
      <w:r>
        <w:rPr>
          <w:vertAlign w:val="superscript"/>
          <w:rtl/>
        </w:rPr>
        <w:instrText xml:space="preserve"> REF b3_note91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91</w:t>
      </w:r>
      <w:r>
        <w:rPr>
          <w:vertAlign w:val="superscript"/>
          <w:rtl/>
        </w:rPr>
        <w:fldChar w:fldCharType="end"/>
      </w:r>
      <w:r>
        <w:rPr>
          <w:rtl/>
        </w:rPr>
        <w:t>. פעמיים בשבוע נחתם סדר הבוקר בשיעור של כחצי שעה מפי ראש הישיבה. סדר אחר הצהריים התחיל בשלוש</w:t>
      </w:r>
      <w:bookmarkStart w:id="1943" w:name="b3_ref92"/>
      <w:bookmarkEnd w:id="1943"/>
      <w:r>
        <w:rPr>
          <w:vertAlign w:val="superscript"/>
          <w:rtl/>
        </w:rPr>
        <w:fldChar w:fldCharType="begin" w:dirty="true"/>
      </w:r>
      <w:r>
        <w:rPr>
          <w:vertAlign w:val="superscript"/>
          <w:rtl/>
        </w:rPr>
        <w:instrText xml:space="preserve"> REF b3_note92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92</w:t>
      </w:r>
      <w:r>
        <w:rPr>
          <w:vertAlign w:val="superscript"/>
          <w:rtl/>
        </w:rPr>
        <w:fldChar w:fldCharType="end"/>
      </w:r>
      <w:r>
        <w:rPr>
          <w:rtl/>
        </w:rPr>
        <w:t>, כשחזרו התלמידים לישיבה מן הארוחה העיקרית של היום באכסניותיהם, והסתיים בתשע וחצי.</w:t>
      </w:r>
    </w:p>
    <w:bookmarkStart w:id="1944" w:name="b3_note90"/>
    <w:p w14:paraId="765C0BB1" w14:textId="07806E80" w:rsidR="00AB3647" w:rsidRDefault="00000000" w:rsidP="007923E9">
      <w:pPr>
        <w:spacing w:before="120" w:after="100" w:line="276" w:lineRule="auto"/>
        <w:jc w:val="both"/>
      </w:pPr>
      <w:r>
        <w:fldChar w:fldCharType="begin" w:dirty="true"/>
      </w:r>
      <w:r>
        <w:instrText>HYPERLINK \l "b3_ref90"</w:instrText>
      </w:r>
      <w:r>
        <w:fldChar w:fldCharType="separate"/>
      </w:r>
      <w:r>
        <w:rPr>
          <w:b/>
          <w:bCs/>
          <w:rtl/>
        </w:rPr>
        <w:t>90</w:t>
      </w:r>
      <w:r>
        <w:rPr>
          <w:b/>
          <w:bCs/>
        </w:rPr>
        <w:fldChar w:fldCharType="end"/>
      </w:r>
      <w:bookmarkEnd w:id="1944"/>
      <w:r>
        <w:rPr>
          <w:rtl/>
        </w:rPr>
        <w:t xml:space="preserve"> ראה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w:t>
      </w:r>
    </w:p>
    <w:bookmarkStart w:id="1945" w:name="b3_note91"/>
    <w:p w14:paraId="44397193" w14:textId="77777777" w:rsidR="00AB3647" w:rsidRDefault="00000000" w:rsidP="007923E9">
      <w:pPr>
        <w:spacing w:before="120" w:after="100" w:line="276" w:lineRule="auto"/>
        <w:jc w:val="both"/>
      </w:pPr>
      <w:r>
        <w:fldChar w:fldCharType="begin" w:dirty="true"/>
      </w:r>
      <w:r>
        <w:instrText>HYPERLINK \l "b3_ref91"</w:instrText>
      </w:r>
      <w:r>
        <w:fldChar w:fldCharType="separate"/>
      </w:r>
      <w:r>
        <w:rPr>
          <w:b/>
          <w:bCs/>
          <w:rtl/>
        </w:rPr>
        <w:t>91</w:t>
      </w:r>
      <w:r>
        <w:rPr>
          <w:b/>
          <w:bCs/>
        </w:rPr>
        <w:fldChar w:fldCharType="end"/>
      </w:r>
      <w:bookmarkEnd w:id="1945"/>
      <w:r>
        <w:rPr>
          <w:rtl/>
        </w:rPr>
        <w:t xml:space="preserve"> את פרטי סדר היום מסר לי ר׳ מאיר חדש</w:t>
      </w:r>
      <w:bookmarkStart w:id="1946" w:name="_fnr1238"/>
      <w:r>
        <w:rPr>
          <w:rStyle w:val="a5"/>
        </w:rPr>
        <w:footnoteReference w:id="1241" w:customMarkFollows="0"/>
      </w:r>
      <w:bookmarkEnd w:id="1946"/>
      <w:r>
        <w:rPr>
          <w:rtl/>
        </w:rPr>
        <w:t xml:space="preserve">, מלבד השעה שבה הסתיים סדר אחר הצהריים והתחיל זמן המוסר. את השעה הזאת רשמתי לפי דברי רבנו בשיחה המוקלטת בבית הכנסת “בית ישראל” במיאמי </w:t>
      </w:r>
      <w:proofErr w:type="spellStart"/>
      <w:r>
        <w:rPr>
          <w:rtl/>
        </w:rPr>
        <w:t>ביץ</w:t>
      </w:r>
      <w:proofErr w:type="spellEnd"/>
      <w:r>
        <w:rPr>
          <w:rtl/>
        </w:rPr>
        <w:t>׳</w:t>
      </w:r>
      <w:bookmarkStart w:id="1947" w:name="_fnr1239"/>
      <w:r>
        <w:rPr>
          <w:rStyle w:val="a5"/>
        </w:rPr>
        <w:footnoteReference w:id="1242" w:customMarkFollows="0"/>
      </w:r>
      <w:bookmarkEnd w:id="1947"/>
      <w:r>
        <w:rPr>
          <w:rtl/>
        </w:rPr>
        <w:t xml:space="preserve">, ואילו ר׳ מאיר הקדים אותה בחצי שעה, לתשע בערב. ר׳ מאיר הגיע </w:t>
      </w:r>
      <w:proofErr w:type="spellStart"/>
      <w:r>
        <w:rPr>
          <w:rtl/>
        </w:rPr>
        <w:t>לסלבודקה</w:t>
      </w:r>
      <w:proofErr w:type="spellEnd"/>
      <w:r>
        <w:rPr>
          <w:rtl/>
        </w:rPr>
        <w:t xml:space="preserve"> חמש שנים אחרי אבי, וייתכן שזה מקור ההבדל. אפשר גם שסיומו של הסדר השני בתשע וחצי, שציין אבי, נהג רק בקיץ – הזמן הראשון שעשה </w:t>
      </w:r>
      <w:proofErr w:type="spellStart"/>
      <w:r>
        <w:rPr>
          <w:rtl/>
        </w:rPr>
        <w:t>בסלבודקה</w:t>
      </w:r>
      <w:proofErr w:type="spellEnd"/>
      <w:r>
        <w:rPr>
          <w:rtl/>
        </w:rPr>
        <w:t xml:space="preserve"> – כשהיום הליטאי הארוך דחה את ערבית לעשר בלילה.</w:t>
      </w:r>
    </w:p>
    <w:p w14:paraId="6AC6F0F0" w14:textId="77777777" w:rsidR="00AB3647" w:rsidRDefault="00000000" w:rsidP="007923E9">
      <w:pPr>
        <w:spacing w:before="120" w:after="100" w:line="276" w:lineRule="auto"/>
        <w:jc w:val="both"/>
      </w:pPr>
      <w:r>
        <w:rPr>
          <w:rtl/>
        </w:rPr>
        <w:lastRenderedPageBreak/>
        <w:t xml:space="preserve">מעניין שבמאמר “ישיבת כנסת ישראל </w:t>
      </w:r>
      <w:proofErr w:type="spellStart"/>
      <w:r>
        <w:rPr>
          <w:rtl/>
        </w:rPr>
        <w:t>בסלובודקה</w:t>
      </w:r>
      <w:proofErr w:type="spellEnd"/>
      <w:r>
        <w:rPr>
          <w:rtl/>
        </w:rPr>
        <w:t xml:space="preserve">” מאת א׳ אשרי, </w:t>
      </w:r>
      <w:proofErr w:type="spellStart"/>
      <w:r>
        <w:rPr>
          <w:rtl/>
        </w:rPr>
        <w:t>ב“מוסדות</w:t>
      </w:r>
      <w:proofErr w:type="spellEnd"/>
      <w:r>
        <w:rPr>
          <w:rtl/>
        </w:rPr>
        <w:t xml:space="preserve"> התורה באירופה בבניינם ובחורבנם”</w:t>
      </w:r>
      <w:bookmarkStart w:id="1948" w:name="_fnr1240"/>
      <w:r>
        <w:rPr>
          <w:rStyle w:val="a5"/>
        </w:rPr>
        <w:footnoteReference w:id="1243" w:customMarkFollows="0"/>
      </w:r>
      <w:bookmarkEnd w:id="1948"/>
      <w:r>
        <w:rPr>
          <w:rtl/>
        </w:rPr>
        <w:t>, מובא סדר יום אחר: סדר הבוקר מסתיים בשתיים אחר הצהריים, וסדר אחר הצהריים מתחיל בארבע. בחורף השתנה הסדר: שחרית בשמונה בבוקר, הסדר הראשון מתשע וחצי עד שתיים וחצי, והסדר השני מתחיל בארבע ורבע. שם נזכר גם סדר לילה חובה, “</w:t>
      </w:r>
      <w:proofErr w:type="spellStart"/>
      <w:r>
        <w:rPr>
          <w:rtl/>
        </w:rPr>
        <w:t>מחמישה־עשר</w:t>
      </w:r>
      <w:proofErr w:type="spellEnd"/>
      <w:r>
        <w:rPr>
          <w:rtl/>
        </w:rPr>
        <w:t xml:space="preserve"> באב ואילך, לאחר ערבית עד </w:t>
      </w:r>
      <w:proofErr w:type="spellStart"/>
      <w:r>
        <w:rPr>
          <w:rtl/>
        </w:rPr>
        <w:t>אחת־עשרה</w:t>
      </w:r>
      <w:proofErr w:type="spellEnd"/>
      <w:r>
        <w:rPr>
          <w:rtl/>
        </w:rPr>
        <w:t xml:space="preserve"> בלילה”.</w:t>
      </w:r>
    </w:p>
    <w:p w14:paraId="6D160D8A" w14:textId="77777777" w:rsidR="00AB3647" w:rsidRDefault="00000000" w:rsidP="007923E9">
      <w:pPr>
        <w:spacing w:before="120" w:after="100" w:line="276" w:lineRule="auto"/>
        <w:jc w:val="both"/>
      </w:pPr>
      <w:r>
        <w:rPr>
          <w:rtl/>
        </w:rPr>
        <w:t xml:space="preserve">אותו מחבר, ר׳ אפרים אשרי, הגיע </w:t>
      </w:r>
      <w:proofErr w:type="spellStart"/>
      <w:r>
        <w:rPr>
          <w:rtl/>
        </w:rPr>
        <w:t>לסלבודקה</w:t>
      </w:r>
      <w:proofErr w:type="spellEnd"/>
      <w:r>
        <w:rPr>
          <w:rtl/>
        </w:rPr>
        <w:t xml:space="preserve"> אחרי</w:t>
      </w:r>
      <w:r>
        <w:t xml:space="preserve"> </w:t>
      </w:r>
      <w:r>
        <w:rPr>
          <w:rtl/>
        </w:rPr>
        <w:t xml:space="preserve">הרב חדש, כלומר לאחר מלחמת העולם הראשונה. לכן אפשר להניח שסדר היום שעליו דיווח הוא מתקופה מאוחרת בהרבה, אף שהמאמר מייחס את תוכנית הלימודים הזאת לישיבת </w:t>
      </w:r>
      <w:proofErr w:type="spellStart"/>
      <w:r>
        <w:rPr>
          <w:rtl/>
        </w:rPr>
        <w:t>סלבודקה</w:t>
      </w:r>
      <w:proofErr w:type="spellEnd"/>
      <w:r>
        <w:rPr>
          <w:rtl/>
        </w:rPr>
        <w:t xml:space="preserve"> בראשית ימיה.</w:t>
      </w:r>
    </w:p>
    <w:p w14:paraId="021245C5" w14:textId="77777777" w:rsidR="00AB3647" w:rsidRDefault="00000000" w:rsidP="007923E9">
      <w:pPr>
        <w:spacing w:after="100" w:line="276" w:lineRule="auto"/>
        <w:ind w:firstLine="340"/>
        <w:jc w:val="both"/>
      </w:pPr>
      <w:r>
        <w:rPr>
          <w:rtl/>
        </w:rPr>
        <w:t>בתפילת מנחה הייתה רק “</w:t>
      </w:r>
      <w:proofErr w:type="spellStart"/>
      <w:r>
        <w:rPr>
          <w:rtl/>
        </w:rPr>
        <w:t>הויכע</w:t>
      </w:r>
      <w:proofErr w:type="spellEnd"/>
      <w:r>
        <w:rPr>
          <w:rtl/>
        </w:rPr>
        <w:t xml:space="preserve"> קדושה”. הרב חדש סיפר שכשכמה בחורים שרצו חזרת הש״ץ מלאה ארגנו מניין משלהם באחד החדרים הצדדיים, שיחה של הסבא שמה קץ לפרישתם. אין פלא שמפעם לפעם שאלו תלמידים בעלי כוונות טובות, שביקשו חוויה דתית מלאה יותר, אם ראוי לוותר על חזרת הש״ץ במנחה. אני בטוח שהסבא העמידם על הדרך הנכונה: הוא שלל את </w:t>
      </w:r>
      <w:proofErr w:type="spellStart"/>
      <w:r>
        <w:rPr>
          <w:rtl/>
        </w:rPr>
        <w:t>הפרומקייט</w:t>
      </w:r>
      <w:proofErr w:type="spellEnd"/>
      <w:r>
        <w:rPr>
          <w:rtl/>
        </w:rPr>
        <w:t xml:space="preserve"> המקובלת בעולם בעלי הבתים, שלפיה ככל שאדם עושה יותר הרי הוא טוב יותר, והעדיף עליה את זו המעמיקה שהישיבה מטיפה לה, הבוחנת את איכות מעשיו.</w:t>
      </w:r>
    </w:p>
    <w:p w14:paraId="120B59EE" w14:textId="77777777" w:rsidR="00AB3647" w:rsidRDefault="00000000" w:rsidP="007923E9">
      <w:pPr>
        <w:spacing w:after="100" w:line="276" w:lineRule="auto"/>
        <w:ind w:firstLine="340"/>
        <w:jc w:val="both"/>
      </w:pPr>
      <w:r>
        <w:rPr>
          <w:rtl/>
        </w:rPr>
        <w:t>אבי הציע הסבר מדוע הישיבות מסתפקות בתפילה בלי חזרת הש״ץ. הוא הסביר שחזרת הש״ץ נתקנה לטובת מי שאינם בקיאים, שלא ידעו להתפלל בעצמם ונאלצו לשמוע את שליח הציבור. לכן נאמרה רק בבתי כנסת, ולעולם לא בבתי מדרש, שבהם התאספו רק תלמידי חכמים</w:t>
      </w:r>
      <w:bookmarkStart w:id="1949" w:name="_fnr1241"/>
      <w:r>
        <w:rPr>
          <w:rStyle w:val="a5"/>
        </w:rPr>
        <w:footnoteReference w:id="1244" w:customMarkFollows="0"/>
      </w:r>
      <w:bookmarkEnd w:id="1949"/>
      <w:r>
        <w:rPr>
          <w:rtl/>
        </w:rPr>
        <w:t>! רק בשבתות ובימים טובים, כשאנשים מבחוץ הצטרפו לתלמידי הישיבה לתפילה, נהגה חזרת הש״ץ גם בבתי מדרש.</w:t>
      </w:r>
    </w:p>
    <w:p w14:paraId="5885BE41" w14:textId="77777777" w:rsidR="00AB3647" w:rsidRDefault="00000000" w:rsidP="007923E9">
      <w:pPr>
        <w:spacing w:after="100" w:line="276" w:lineRule="auto"/>
        <w:ind w:firstLine="340"/>
        <w:jc w:val="both"/>
      </w:pPr>
      <w:r>
        <w:rPr>
          <w:rtl/>
        </w:rPr>
        <w:t xml:space="preserve">את הדברים אמר רבנו לנכדו ר׳ יוסף, בהגיעו לארץ ישראל לכנסייה הגדולה של אגודת ישראל </w:t>
      </w:r>
      <w:proofErr w:type="spellStart"/>
      <w:r>
        <w:rPr>
          <w:rtl/>
        </w:rPr>
        <w:t>בתש״ם</w:t>
      </w:r>
      <w:proofErr w:type="spellEnd"/>
      <w:r>
        <w:rPr>
          <w:rtl/>
        </w:rPr>
        <w:t xml:space="preserve">. הוא סיפר שבמטוס הורה לחזן לומר את כל תפילת העמידה, למרות מיעוט הזמן והמקום, מפני שנכחו שם אנשים שאינם בקיאים. ההנחה הרווחת היא שהישיבות ביטלו את חזרת הש״ץ כדי לחסוך זמן ללימוד תורה – וזה ודאי מה שהבינו הפורשים </w:t>
      </w:r>
      <w:proofErr w:type="spellStart"/>
      <w:r>
        <w:rPr>
          <w:rtl/>
        </w:rPr>
        <w:t>בסלבודקה</w:t>
      </w:r>
      <w:bookmarkStart w:id="1950" w:name="_fnr1242"/>
      <w:proofErr w:type="spellEnd"/>
      <w:r>
        <w:rPr>
          <w:rStyle w:val="a5"/>
        </w:rPr>
        <w:footnoteReference w:id="1245" w:customMarkFollows="0"/>
      </w:r>
      <w:bookmarkEnd w:id="1950"/>
      <w:r>
        <w:rPr>
          <w:rtl/>
        </w:rPr>
        <w:t>.</w:t>
      </w:r>
    </w:p>
    <w:bookmarkStart w:id="1951" w:name="b3_note92"/>
    <w:p w14:paraId="1DE09656" w14:textId="77777777" w:rsidR="00AB3647" w:rsidRDefault="00000000" w:rsidP="007923E9">
      <w:pPr>
        <w:spacing w:before="120" w:after="100" w:line="276" w:lineRule="auto"/>
        <w:jc w:val="both"/>
      </w:pPr>
      <w:r>
        <w:fldChar w:fldCharType="begin" w:dirty="true"/>
      </w:r>
      <w:r>
        <w:instrText>HYPERLINK \l "b3_ref92"</w:instrText>
      </w:r>
      <w:r>
        <w:fldChar w:fldCharType="separate"/>
      </w:r>
      <w:r>
        <w:rPr>
          <w:b/>
          <w:bCs/>
          <w:rtl/>
        </w:rPr>
        <w:t>92</w:t>
      </w:r>
      <w:r>
        <w:rPr>
          <w:b/>
          <w:bCs/>
        </w:rPr>
        <w:fldChar w:fldCharType="end"/>
      </w:r>
      <w:bookmarkEnd w:id="1951"/>
      <w:r>
        <w:rPr>
          <w:rtl/>
        </w:rPr>
        <w:t xml:space="preserve"> ר׳ מאיר חדש, משגיח ישיבת חברון, העיר</w:t>
      </w:r>
      <w:bookmarkStart w:id="1952" w:name="_fnr1243"/>
      <w:r>
        <w:rPr>
          <w:rStyle w:val="a5"/>
        </w:rPr>
        <w:footnoteReference w:id="1246" w:customMarkFollows="0"/>
      </w:r>
      <w:bookmarkEnd w:id="1952"/>
      <w:r>
        <w:rPr>
          <w:rtl/>
        </w:rPr>
        <w:t>: “איחורים לסדר אחר הצהריים היו שכיחים אז כשם שהם שכיחים היום.”</w:t>
      </w:r>
    </w:p>
    <w:p w14:paraId="4BF42919" w14:textId="79A0B35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חצי שעה של לימוד מוסר אישי</w:t>
      </w:r>
      <w:bookmarkStart w:id="1953" w:name="b3_ref93"/>
      <w:bookmarkEnd w:id="1953"/>
      <w:r>
        <w:rPr>
          <w:vertAlign w:val="superscript"/>
          <w:rtl/>
        </w:rPr>
        <w:fldChar w:fldCharType="begin" w:dirty="true"/>
      </w:r>
      <w:r>
        <w:rPr>
          <w:vertAlign w:val="superscript"/>
          <w:rtl/>
        </w:rPr>
        <w:instrText xml:space="preserve"> REF b3_note93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93</w:t>
      </w:r>
      <w:r>
        <w:rPr>
          <w:vertAlign w:val="superscript"/>
          <w:rtl/>
        </w:rPr>
        <w:fldChar w:fldCharType="end"/>
      </w:r>
      <w:r>
        <w:rPr>
          <w:rtl/>
        </w:rPr>
        <w:t xml:space="preserve"> חתמה את תוכנית הלימודים היומית הרשמית, אף שיום הלימוד הסתיים רק זמן רב אחרי עשר בלילה, בגלל הלימוד הנמרץ שבא אחרי לימוד המוסר. אחרי ערבית אמרו תהילים לרפואת תלמידי הישיבה החולים: מתוך 450 תלמידים</w:t>
      </w:r>
      <w:bookmarkStart w:id="1954" w:name="b3_ref94"/>
      <w:bookmarkEnd w:id="1954"/>
      <w:r>
        <w:rPr>
          <w:vertAlign w:val="superscript"/>
          <w:rtl/>
        </w:rPr>
        <w:fldChar w:fldCharType="begin" w:dirty="true"/>
      </w:r>
      <w:r>
        <w:rPr>
          <w:vertAlign w:val="superscript"/>
          <w:rtl/>
        </w:rPr>
        <w:instrText xml:space="preserve"> REF b3_note94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94</w:t>
      </w:r>
      <w:r>
        <w:rPr>
          <w:vertAlign w:val="superscript"/>
          <w:rtl/>
        </w:rPr>
        <w:fldChar w:fldCharType="end"/>
      </w:r>
      <w:r>
        <w:rPr>
          <w:rtl/>
        </w:rPr>
        <w:t xml:space="preserve"> היה נדיר יום שבו לא היה תלמיד חולה. תלמידים רבים, רעבים לתורה נוספת, שבו לבית המדרש אחרי ארוחת ערב קלה באכסניותיהם, והוסיפו ללמוד עד השעות הקטנות של הלילה.</w:t>
      </w:r>
    </w:p>
    <w:bookmarkStart w:id="1955" w:name="b3_note93"/>
    <w:p w14:paraId="70D98556" w14:textId="77777777" w:rsidR="00AB3647" w:rsidRDefault="00000000" w:rsidP="007923E9">
      <w:pPr>
        <w:spacing w:before="120" w:after="100" w:line="276" w:lineRule="auto"/>
        <w:jc w:val="both"/>
      </w:pPr>
      <w:r>
        <w:fldChar w:fldCharType="begin" w:dirty="true"/>
      </w:r>
      <w:r>
        <w:instrText>HYPERLINK \l "b3_ref93"</w:instrText>
      </w:r>
      <w:r>
        <w:fldChar w:fldCharType="separate"/>
      </w:r>
      <w:r>
        <w:rPr>
          <w:b/>
          <w:bCs/>
          <w:rtl/>
        </w:rPr>
        <w:t>93</w:t>
      </w:r>
      <w:r>
        <w:rPr>
          <w:b/>
          <w:bCs/>
        </w:rPr>
        <w:fldChar w:fldCharType="end"/>
      </w:r>
      <w:bookmarkEnd w:id="1955"/>
      <w:r>
        <w:rPr>
          <w:rtl/>
        </w:rPr>
        <w:t xml:space="preserve"> כשם שחסרו ספרי תלמוד</w:t>
      </w:r>
      <w:bookmarkStart w:id="1956" w:name="_fnr1244"/>
      <w:r>
        <w:rPr>
          <w:rStyle w:val="a5"/>
        </w:rPr>
        <w:footnoteReference w:id="1247" w:customMarkFollows="0"/>
      </w:r>
      <w:bookmarkEnd w:id="1956"/>
      <w:r>
        <w:rPr>
          <w:rtl/>
        </w:rPr>
        <w:t>, כך חסרו גם ספרי מוסר. אבי הזכיר זאת כשסיים ללמד את הקדמת “חובות הלבבות” במתיבתא תורה ודעת, ואמר לתלמידים</w:t>
      </w:r>
      <w:bookmarkStart w:id="1957" w:name="_fnr1245"/>
      <w:r>
        <w:rPr>
          <w:rStyle w:val="a5"/>
        </w:rPr>
        <w:footnoteReference w:id="1248" w:customMarkFollows="0"/>
      </w:r>
      <w:bookmarkEnd w:id="1957"/>
      <w:r>
        <w:rPr>
          <w:rtl/>
        </w:rPr>
        <w:t xml:space="preserve">: “כעת אתם מצפים להתחיל בפרק הראשון, שער היחוד, אבל אספר לכם כיצד למדנו ספר זה </w:t>
      </w:r>
      <w:proofErr w:type="spellStart"/>
      <w:r>
        <w:rPr>
          <w:rtl/>
        </w:rPr>
        <w:t>בסלבודקה</w:t>
      </w:r>
      <w:proofErr w:type="spellEnd"/>
      <w:r>
        <w:rPr>
          <w:rtl/>
        </w:rPr>
        <w:t>. לא היו די ספרים לכולם, ולכן פורק כל ספר לשערים, והחלקים חולקו בין הבחורים שלמדו חובות הלבבות. כשכל תלמיד סיים את חלקו, החליף אותו עם תלמיד אחר שסיים את חלקו שלו. אבל החלק של שער היחוד נשאר בלי שימוש.”</w:t>
      </w:r>
    </w:p>
    <w:p w14:paraId="63DD2B9A" w14:textId="77777777" w:rsidR="00AB3647" w:rsidRDefault="00000000" w:rsidP="007923E9">
      <w:pPr>
        <w:spacing w:before="120" w:after="100" w:line="276" w:lineRule="auto"/>
        <w:jc w:val="both"/>
      </w:pPr>
      <w:r>
        <w:rPr>
          <w:rtl/>
        </w:rPr>
        <w:t xml:space="preserve">בזיכרונותיו של </w:t>
      </w:r>
      <w:proofErr w:type="spellStart"/>
      <w:r>
        <w:rPr>
          <w:rtl/>
        </w:rPr>
        <w:t>יהושע־לייב</w:t>
      </w:r>
      <w:proofErr w:type="spellEnd"/>
      <w:r>
        <w:rPr>
          <w:rtl/>
        </w:rPr>
        <w:t xml:space="preserve"> </w:t>
      </w:r>
      <w:proofErr w:type="spellStart"/>
      <w:r>
        <w:rPr>
          <w:rtl/>
        </w:rPr>
        <w:t>ראדוס</w:t>
      </w:r>
      <w:bookmarkStart w:id="1958" w:name="_fnr1246"/>
      <w:proofErr w:type="spellEnd"/>
      <w:r>
        <w:rPr>
          <w:rStyle w:val="a5"/>
        </w:rPr>
        <w:footnoteReference w:id="1249" w:customMarkFollows="0"/>
      </w:r>
      <w:bookmarkEnd w:id="1958"/>
      <w:r>
        <w:rPr>
          <w:rtl/>
        </w:rPr>
        <w:t xml:space="preserve"> נזכר </w:t>
      </w:r>
      <w:proofErr w:type="spellStart"/>
      <w:r>
        <w:rPr>
          <w:rtl/>
        </w:rPr>
        <w:t>ראדוס</w:t>
      </w:r>
      <w:proofErr w:type="spellEnd"/>
      <w:r>
        <w:rPr>
          <w:rtl/>
        </w:rPr>
        <w:t xml:space="preserve"> – שלמד </w:t>
      </w:r>
      <w:proofErr w:type="spellStart"/>
      <w:r>
        <w:rPr>
          <w:rtl/>
        </w:rPr>
        <w:t>בוולוז׳ין</w:t>
      </w:r>
      <w:proofErr w:type="spellEnd"/>
      <w:r>
        <w:rPr>
          <w:rtl/>
        </w:rPr>
        <w:t xml:space="preserve"> “כמה שנים” החל </w:t>
      </w:r>
      <w:proofErr w:type="spellStart"/>
      <w:r>
        <w:rPr>
          <w:rtl/>
        </w:rPr>
        <w:t>בתרמ״ד</w:t>
      </w:r>
      <w:proofErr w:type="spellEnd"/>
      <w:r>
        <w:rPr>
          <w:rtl/>
        </w:rPr>
        <w:t xml:space="preserve">, למעלה מעשרים שנה לפני שבא אבי </w:t>
      </w:r>
      <w:proofErr w:type="spellStart"/>
      <w:r>
        <w:rPr>
          <w:rtl/>
        </w:rPr>
        <w:t>לסלבודקה</w:t>
      </w:r>
      <w:proofErr w:type="spellEnd"/>
      <w:r>
        <w:rPr>
          <w:rtl/>
        </w:rPr>
        <w:t xml:space="preserve"> – ביום שבו עבר את בחינת הכניסה: “המשגיח שבחן אותי נתן לי פתק למסור לממונה על הספרים, כדי שייתן לי גמרא. הקומה העליונה של בניין הישיבה שימשה ספרייה נעולה היטב, עם ממונה מיוחד, ובלי פתק מן המשגיח אי אפשר היה לקבל שום ספר מספריה. תלמידי הישיבה לא הניחו את הגמרא מידיהם אף לרגע, ותמיד, בבואם ובצאתם, נשאו את הגמרא תחת זרועם, מפני שהבחורים גנבו גמרות זה מזה ולא</w:t>
      </w:r>
      <w:r>
        <w:t xml:space="preserve"> </w:t>
      </w:r>
      <w:r>
        <w:rPr>
          <w:rtl/>
        </w:rPr>
        <w:t xml:space="preserve">התביישו אם נמצאה בידיהם </w:t>
      </w:r>
      <w:proofErr w:type="spellStart"/>
      <w:r>
        <w:rPr>
          <w:rtl/>
        </w:rPr>
        <w:t>ה‘גניבה</w:t>
      </w:r>
      <w:proofErr w:type="spellEnd"/>
      <w:r>
        <w:rPr>
          <w:rtl/>
        </w:rPr>
        <w:t>’; ואם אחד יצא ממקומו [בבית המדרש], היה עליו לבקש מחבר שעמד בקרבתו להשגיח שלא ייקחו את הגמרא שלו.”</w:t>
      </w:r>
    </w:p>
    <w:bookmarkStart w:id="1959" w:name="b3_note94"/>
    <w:p w14:paraId="36DE9A6C" w14:textId="77777777" w:rsidR="00AB3647" w:rsidRDefault="00000000" w:rsidP="007923E9">
      <w:pPr>
        <w:spacing w:before="120" w:after="100" w:line="276" w:lineRule="auto"/>
        <w:jc w:val="both"/>
      </w:pPr>
      <w:r>
        <w:fldChar w:fldCharType="begin" w:dirty="true"/>
      </w:r>
      <w:r>
        <w:instrText>HYPERLINK \l "b3_ref94"</w:instrText>
      </w:r>
      <w:r>
        <w:fldChar w:fldCharType="separate"/>
      </w:r>
      <w:r>
        <w:rPr>
          <w:b/>
          <w:bCs/>
          <w:rtl/>
        </w:rPr>
        <w:t>94</w:t>
      </w:r>
      <w:r>
        <w:rPr>
          <w:b/>
          <w:bCs/>
        </w:rPr>
        <w:fldChar w:fldCharType="end"/>
      </w:r>
      <w:bookmarkEnd w:id="1959"/>
      <w:r>
        <w:rPr>
          <w:rtl/>
        </w:rPr>
        <w:t xml:space="preserve"> בספרו של כץ, “תנועת המוסר”, כרך ג</w:t>
      </w:r>
      <w:bookmarkStart w:id="1960" w:name="_fnr1247"/>
      <w:r>
        <w:rPr>
          <w:rStyle w:val="a5"/>
        </w:rPr>
        <w:footnoteReference w:id="1250" w:customMarkFollows="0"/>
      </w:r>
      <w:bookmarkEnd w:id="1960"/>
      <w:r>
        <w:rPr>
          <w:rtl/>
        </w:rPr>
        <w:t xml:space="preserve">, מובא המספר 400 לגבי השנה הקודמת. השווה גם תחילת נספח </w:t>
      </w:r>
      <w:proofErr w:type="spellStart"/>
      <w:r>
        <w:rPr>
          <w:rtl/>
        </w:rPr>
        <w:t>כז</w:t>
      </w:r>
      <w:proofErr w:type="spellEnd"/>
      <w:r>
        <w:rPr>
          <w:rtl/>
        </w:rPr>
        <w:t xml:space="preserve"> (2) להלן.</w:t>
      </w:r>
    </w:p>
    <w:p w14:paraId="14D6F528"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שקד על ספריו כל כך, עד שלעיתים קרובות, בתום יום הלימוד הארוך, שלא פעם נמשך גם שעות נוספות בלילה, נרדם בשינה עמוקה ליד הסטנדר שלו. אלתר </w:t>
      </w:r>
      <w:proofErr w:type="spellStart"/>
      <w:r>
        <w:rPr>
          <w:rtl/>
        </w:rPr>
        <w:t>אולקניקר</w:t>
      </w:r>
      <w:proofErr w:type="spellEnd"/>
      <w:r>
        <w:rPr>
          <w:rtl/>
        </w:rPr>
        <w:t xml:space="preserve">, צעיר חסון, ראה ששותפו לחדר, הדק והקל, ניחן בשכל ובמידות יוצאי דופן, וראה זכות לעצמו להרים אותו, לשאת אותו </w:t>
      </w:r>
      <w:proofErr w:type="spellStart"/>
      <w:r>
        <w:rPr>
          <w:rtl/>
        </w:rPr>
        <w:t>לאכסניה</w:t>
      </w:r>
      <w:proofErr w:type="spellEnd"/>
      <w:r>
        <w:rPr>
          <w:rtl/>
        </w:rPr>
        <w:t xml:space="preserve"> ולהשכיב אותו במיטתו. כשנודע לאבי למחרת איך הגיע לחדרו, ביקש משותפו שלא יישא אותו שוב, אלא רק יעיר אותו. לא היה מדרכו להניח לאיש לטרוח כך למענו.</w:t>
      </w:r>
    </w:p>
    <w:p w14:paraId="1587C3CB" w14:textId="08C420A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אלתר התעקש לחסוך משותפו את אותן דקות נוספות של ערות עייפה, ושוב נשא אותו </w:t>
      </w:r>
      <w:proofErr w:type="spellStart"/>
      <w:r>
        <w:rPr>
          <w:rtl/>
        </w:rPr>
        <w:t>לאכסניה</w:t>
      </w:r>
      <w:proofErr w:type="spellEnd"/>
      <w:r>
        <w:rPr>
          <w:rtl/>
        </w:rPr>
        <w:t xml:space="preserve">. אז החליט </w:t>
      </w:r>
      <w:proofErr w:type="spellStart"/>
      <w:r>
        <w:rPr>
          <w:rtl/>
        </w:rPr>
        <w:t>הדולהינובר</w:t>
      </w:r>
      <w:proofErr w:type="spellEnd"/>
      <w:r>
        <w:rPr>
          <w:rtl/>
        </w:rPr>
        <w:t xml:space="preserve"> הצעיר שעליו להישאר ער יותר משותפו בכל מחיר, והופתע </w:t>
      </w:r>
      <w:r>
        <w:rPr>
          <w:rtl/>
        </w:rPr>
        <w:lastRenderedPageBreak/>
        <w:t xml:space="preserve">לגלות </w:t>
      </w:r>
      <w:proofErr w:type="spellStart"/>
      <w:r>
        <w:rPr>
          <w:rtl/>
        </w:rPr>
        <w:t>שהאולקניקר</w:t>
      </w:r>
      <w:proofErr w:type="spellEnd"/>
      <w:r>
        <w:rPr>
          <w:rtl/>
        </w:rPr>
        <w:t xml:space="preserve"> מקפיד שלא לעזוב את בית המדרש לפניו. “למה אוותר על המצווה לטפל במתמיד היקר, ואפסיד חלק בהתמדה כזאת בתורה?” חשב אלתר. המצב נעשה אבסורדי: אבי נשאר ער כל הלילה ונרדם שוב ושוב ביום. לבסוף הגיעו לפשרה: יעירו את </w:t>
      </w:r>
      <w:proofErr w:type="spellStart"/>
      <w:r>
        <w:rPr>
          <w:rtl/>
        </w:rPr>
        <w:t>הדולהינובר</w:t>
      </w:r>
      <w:proofErr w:type="spellEnd"/>
      <w:r>
        <w:rPr>
          <w:rtl/>
        </w:rPr>
        <w:t>, והוא יקרטע אל חדרו. אם תיפול עליו תרדמה עמוקה</w:t>
      </w:r>
      <w:bookmarkStart w:id="1961" w:name="b3_ref95"/>
      <w:bookmarkEnd w:id="1961"/>
      <w:r>
        <w:rPr>
          <w:vertAlign w:val="superscript"/>
          <w:rtl/>
        </w:rPr>
        <w:fldChar w:fldCharType="begin" w:dirty="true"/>
      </w:r>
      <w:r>
        <w:rPr>
          <w:vertAlign w:val="superscript"/>
          <w:rtl/>
        </w:rPr>
        <w:instrText xml:space="preserve"> REF b3_note95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95</w:t>
      </w:r>
      <w:r>
        <w:rPr>
          <w:vertAlign w:val="superscript"/>
          <w:rtl/>
        </w:rPr>
        <w:fldChar w:fldCharType="end"/>
      </w:r>
      <w:r>
        <w:rPr>
          <w:rtl/>
        </w:rPr>
        <w:t xml:space="preserve"> לפני שיסיר את בגדיו</w:t>
      </w:r>
      <w:bookmarkStart w:id="1962" w:name="b3_ref96"/>
      <w:bookmarkEnd w:id="1962"/>
      <w:r>
        <w:rPr>
          <w:vertAlign w:val="superscript"/>
          <w:rtl/>
        </w:rPr>
        <w:fldChar w:fldCharType="begin" w:dirty="true"/>
      </w:r>
      <w:r>
        <w:rPr>
          <w:vertAlign w:val="superscript"/>
          <w:rtl/>
        </w:rPr>
        <w:instrText xml:space="preserve"> REF b3_note96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96</w:t>
      </w:r>
      <w:r>
        <w:rPr>
          <w:vertAlign w:val="superscript"/>
          <w:rtl/>
        </w:rPr>
        <w:fldChar w:fldCharType="end"/>
      </w:r>
      <w:r>
        <w:rPr>
          <w:rtl/>
        </w:rPr>
        <w:t xml:space="preserve">, יכסה אותו אלתר </w:t>
      </w:r>
      <w:proofErr w:type="spellStart"/>
      <w:r>
        <w:rPr>
          <w:rtl/>
        </w:rPr>
        <w:t>אולקניקר</w:t>
      </w:r>
      <w:proofErr w:type="spellEnd"/>
      <w:r>
        <w:rPr>
          <w:rtl/>
        </w:rPr>
        <w:t xml:space="preserve"> בשמיכה ויחלוץ את נעליו ויסיר את מכנסיו</w:t>
      </w:r>
      <w:bookmarkStart w:id="1963" w:name="b3_ref97"/>
      <w:bookmarkEnd w:id="1963"/>
      <w:r>
        <w:rPr>
          <w:vertAlign w:val="superscript"/>
          <w:rtl/>
        </w:rPr>
        <w:fldChar w:fldCharType="begin" w:dirty="true"/>
      </w:r>
      <w:r>
        <w:rPr>
          <w:vertAlign w:val="superscript"/>
          <w:rtl/>
        </w:rPr>
        <w:instrText xml:space="preserve"> REF b3_note97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97</w:t>
      </w:r>
      <w:r>
        <w:rPr>
          <w:vertAlign w:val="superscript"/>
          <w:rtl/>
        </w:rPr>
        <w:fldChar w:fldCharType="end"/>
      </w:r>
      <w:r>
        <w:rPr>
          <w:rtl/>
        </w:rPr>
        <w:t>.</w:t>
      </w:r>
    </w:p>
    <w:bookmarkStart w:id="1964" w:name="b3_note95"/>
    <w:p w14:paraId="146F086F" w14:textId="77777777" w:rsidR="00AB3647" w:rsidRDefault="00000000" w:rsidP="007923E9">
      <w:pPr>
        <w:spacing w:before="120" w:after="100" w:line="276" w:lineRule="auto"/>
        <w:jc w:val="both"/>
      </w:pPr>
      <w:r>
        <w:fldChar w:fldCharType="begin" w:dirty="true"/>
      </w:r>
      <w:r>
        <w:instrText>HYPERLINK \l "b3_ref95"</w:instrText>
      </w:r>
      <w:r>
        <w:fldChar w:fldCharType="separate"/>
      </w:r>
      <w:r>
        <w:rPr>
          <w:b/>
          <w:bCs/>
          <w:rtl/>
        </w:rPr>
        <w:t>95</w:t>
      </w:r>
      <w:r>
        <w:rPr>
          <w:b/>
          <w:bCs/>
        </w:rPr>
        <w:fldChar w:fldCharType="end"/>
      </w:r>
      <w:bookmarkEnd w:id="1964"/>
      <w:r>
        <w:rPr>
          <w:rtl/>
        </w:rPr>
        <w:t xml:space="preserve"> בזקנותו אמר אבי: “כל חיי </w:t>
      </w:r>
      <w:proofErr w:type="spellStart"/>
      <w:r>
        <w:rPr>
          <w:rtl/>
        </w:rPr>
        <w:t>נתברכתי</w:t>
      </w:r>
      <w:proofErr w:type="spellEnd"/>
      <w:r>
        <w:rPr>
          <w:rtl/>
        </w:rPr>
        <w:t xml:space="preserve"> [ביכולת לקיים את הפסוק] ‘בשלום יחדו אשכבה ואישן’</w:t>
      </w:r>
      <w:bookmarkStart w:id="1965" w:name="_fnr1248"/>
      <w:r>
        <w:rPr>
          <w:rStyle w:val="a5"/>
        </w:rPr>
        <w:footnoteReference w:id="1251" w:customMarkFollows="0"/>
      </w:r>
      <w:bookmarkEnd w:id="1965"/>
      <w:r>
        <w:rPr>
          <w:rtl/>
        </w:rPr>
        <w:t>” – כלומר, להירדם מיד כששכב במיטה</w:t>
      </w:r>
      <w:bookmarkStart w:id="1966" w:name="_fnr1249"/>
      <w:r>
        <w:rPr>
          <w:rStyle w:val="a5"/>
        </w:rPr>
        <w:footnoteReference w:id="1252" w:customMarkFollows="0"/>
      </w:r>
      <w:bookmarkEnd w:id="1966"/>
      <w:r>
        <w:rPr>
          <w:rtl/>
        </w:rPr>
        <w:t>.</w:t>
      </w:r>
    </w:p>
    <w:p w14:paraId="02A33AF5" w14:textId="77777777" w:rsidR="00AB3647" w:rsidRDefault="00000000" w:rsidP="007923E9">
      <w:pPr>
        <w:spacing w:after="100" w:line="276" w:lineRule="auto"/>
        <w:ind w:firstLine="340"/>
        <w:jc w:val="both"/>
      </w:pPr>
      <w:r>
        <w:rPr>
          <w:rtl/>
        </w:rPr>
        <w:t xml:space="preserve">ר׳ קופל </w:t>
      </w:r>
      <w:proofErr w:type="spellStart"/>
      <w:r>
        <w:rPr>
          <w:rtl/>
        </w:rPr>
        <w:t>וולפרט</w:t>
      </w:r>
      <w:proofErr w:type="spellEnd"/>
      <w:r>
        <w:rPr>
          <w:rtl/>
        </w:rPr>
        <w:t>, שלמד באותה תקופה בכנסת בית יצחק, תיאר</w:t>
      </w:r>
      <w:bookmarkStart w:id="1967" w:name="_fnr1250"/>
      <w:r>
        <w:rPr>
          <w:rStyle w:val="a5"/>
        </w:rPr>
        <w:footnoteReference w:id="1253" w:customMarkFollows="0"/>
      </w:r>
      <w:bookmarkEnd w:id="1967"/>
      <w:r>
        <w:rPr>
          <w:rtl/>
        </w:rPr>
        <w:t xml:space="preserve"> את חווייתו: “אני באמריקה שבעים ושש שנים, ובי״א בטבת תשל״ח</w:t>
      </w:r>
      <w:bookmarkStart w:id="1968" w:name="_fnr1251"/>
      <w:r>
        <w:rPr>
          <w:rStyle w:val="a5"/>
        </w:rPr>
        <w:footnoteReference w:id="1254" w:customMarkFollows="0"/>
      </w:r>
      <w:bookmarkEnd w:id="1968"/>
      <w:r>
        <w:rPr>
          <w:rtl/>
        </w:rPr>
        <w:t xml:space="preserve"> אהיה בן תשעים ושבע</w:t>
      </w:r>
      <w:bookmarkStart w:id="1969" w:name="_fnr1252"/>
      <w:bookmarkEnd w:id="1969"/>
      <w:r>
        <w:rPr>
          <w:rStyle w:val="a5"/>
        </w:rPr>
        <w:t/>
      </w:r>
      <w:bookmarkStart w:id="7012" w:name="_TranslatorNote_5379"/>
      <w:r>
        <w:rPr>
          <w:rStyle w:val="a5"/>
          <w:vertAlign w:val="superscript"/>
          <w:rtl/>
        </w:rPr>
        <w:footnoteReference w:id="1255" w:customMarkFollows="1"/>
        <w:t>*</w:t>
      </w:r>
      <w:bookmarkEnd w:id="7012"/>
      <w:r>
        <w:rPr>
          <w:rtl/>
        </w:rPr>
        <w:t xml:space="preserve">. כל שנותיי כאן אינן שוות </w:t>
      </w:r>
      <w:proofErr w:type="spellStart"/>
      <w:r>
        <w:rPr>
          <w:rtl/>
        </w:rPr>
        <w:t>פיפקע</w:t>
      </w:r>
      <w:proofErr w:type="spellEnd"/>
      <w:r>
        <w:rPr>
          <w:rtl/>
        </w:rPr>
        <w:t xml:space="preserve"> [מקטרת מלאה טבק]</w:t>
      </w:r>
      <w:bookmarkStart w:id="1970" w:name="_fnr1253"/>
      <w:r>
        <w:rPr>
          <w:rStyle w:val="a5"/>
        </w:rPr>
        <w:footnoteReference w:id="1256" w:customMarkFollows="0"/>
      </w:r>
      <w:bookmarkEnd w:id="1970"/>
      <w:r>
        <w:rPr>
          <w:rtl/>
        </w:rPr>
        <w:t xml:space="preserve"> לעומת יום אחד </w:t>
      </w:r>
      <w:proofErr w:type="spellStart"/>
      <w:r>
        <w:rPr>
          <w:rtl/>
        </w:rPr>
        <w:t>בסלבודקה</w:t>
      </w:r>
      <w:proofErr w:type="spellEnd"/>
      <w:r>
        <w:rPr>
          <w:rtl/>
        </w:rPr>
        <w:t xml:space="preserve">. למדנו כל השבוע, ואחר כך, במשמר של ליל שישי, הכול הלך יפה כל כך – הגמרא והתוספות. בליל שבת היו המתמידים שוב נשארים ערים כל הלילה. סיפרו שר׳ </w:t>
      </w:r>
      <w:proofErr w:type="spellStart"/>
      <w:r>
        <w:rPr>
          <w:rtl/>
        </w:rPr>
        <w:t>לייבל</w:t>
      </w:r>
      <w:proofErr w:type="spellEnd"/>
      <w:r>
        <w:rPr>
          <w:rtl/>
        </w:rPr>
        <w:t xml:space="preserve"> </w:t>
      </w:r>
      <w:proofErr w:type="spellStart"/>
      <w:r>
        <w:rPr>
          <w:rtl/>
        </w:rPr>
        <w:t>סלונימר</w:t>
      </w:r>
      <w:proofErr w:type="spellEnd"/>
      <w:r>
        <w:rPr>
          <w:rtl/>
        </w:rPr>
        <w:t>, ‘א צדיק א איד’ [יהודי צדיק], שבר את הספסל רק מרוב ישיבה עליו.” אותו סדר נהג בכנסת ישראל.</w:t>
      </w:r>
    </w:p>
    <w:bookmarkStart w:id="1971" w:name="b3_note96"/>
    <w:p w14:paraId="4B19780F" w14:textId="77777777" w:rsidR="00AB3647" w:rsidRDefault="00000000" w:rsidP="007923E9">
      <w:pPr>
        <w:spacing w:before="120" w:after="100" w:line="276" w:lineRule="auto"/>
        <w:jc w:val="both"/>
      </w:pPr>
      <w:r>
        <w:fldChar w:fldCharType="begin" w:dirty="true"/>
      </w:r>
      <w:r>
        <w:instrText>HYPERLINK \l "b3_ref96"</w:instrText>
      </w:r>
      <w:r>
        <w:fldChar w:fldCharType="separate"/>
      </w:r>
      <w:r>
        <w:rPr>
          <w:b/>
          <w:bCs/>
          <w:rtl/>
        </w:rPr>
        <w:t>96</w:t>
      </w:r>
      <w:r>
        <w:rPr>
          <w:b/>
          <w:bCs/>
        </w:rPr>
        <w:fldChar w:fldCharType="end"/>
      </w:r>
      <w:bookmarkEnd w:id="1971"/>
      <w:r>
        <w:rPr>
          <w:rtl/>
        </w:rPr>
        <w:t xml:space="preserve"> לדברי ר׳ </w:t>
      </w:r>
      <w:proofErr w:type="spellStart"/>
      <w:r>
        <w:rPr>
          <w:rtl/>
        </w:rPr>
        <w:t>לייבל</w:t>
      </w:r>
      <w:proofErr w:type="spellEnd"/>
      <w:r>
        <w:rPr>
          <w:rtl/>
        </w:rPr>
        <w:t xml:space="preserve"> </w:t>
      </w:r>
      <w:proofErr w:type="spellStart"/>
      <w:r>
        <w:rPr>
          <w:rtl/>
        </w:rPr>
        <w:t>פרלשטיין</w:t>
      </w:r>
      <w:bookmarkStart w:id="1972" w:name="_fnr1254"/>
      <w:proofErr w:type="spellEnd"/>
      <w:r>
        <w:rPr>
          <w:rStyle w:val="a5"/>
        </w:rPr>
        <w:footnoteReference w:id="1257" w:customMarkFollows="0"/>
      </w:r>
      <w:bookmarkEnd w:id="1972"/>
      <w:r>
        <w:rPr>
          <w:rtl/>
        </w:rPr>
        <w:t xml:space="preserve">, התבדח אבי על בחורים </w:t>
      </w:r>
      <w:proofErr w:type="spellStart"/>
      <w:r>
        <w:rPr>
          <w:rtl/>
        </w:rPr>
        <w:t>בסלבודקה</w:t>
      </w:r>
      <w:proofErr w:type="spellEnd"/>
      <w:r>
        <w:rPr>
          <w:rtl/>
        </w:rPr>
        <w:t xml:space="preserve"> שלבשו פיג׳מה: “תארו לכם! במקום </w:t>
      </w:r>
      <w:r>
        <w:rPr>
          <w:b/>
          <w:bCs/>
          <w:rtl/>
        </w:rPr>
        <w:t>להירדם</w:t>
      </w:r>
      <w:r>
        <w:rPr>
          <w:rtl/>
        </w:rPr>
        <w:t xml:space="preserve">, הם הלכו לישון. כל זמן שהייתי </w:t>
      </w:r>
      <w:proofErr w:type="spellStart"/>
      <w:r>
        <w:rPr>
          <w:rtl/>
        </w:rPr>
        <w:t>בסלבודקה</w:t>
      </w:r>
      <w:proofErr w:type="spellEnd"/>
      <w:r>
        <w:rPr>
          <w:rtl/>
        </w:rPr>
        <w:t xml:space="preserve"> נהגתי כיעקב אבינו</w:t>
      </w:r>
      <w:bookmarkStart w:id="1973" w:name="_fnr1255"/>
      <w:r>
        <w:rPr>
          <w:rStyle w:val="a5"/>
        </w:rPr>
        <w:footnoteReference w:id="1258" w:customMarkFollows="0"/>
      </w:r>
      <w:bookmarkEnd w:id="1973"/>
      <w:r>
        <w:rPr>
          <w:rtl/>
        </w:rPr>
        <w:t xml:space="preserve">: מעולם לא לבשתי פיג׳מה. אפילו בשבת שכבתי בבגדיי.” (כשר׳ </w:t>
      </w:r>
      <w:proofErr w:type="spellStart"/>
      <w:r>
        <w:rPr>
          <w:rtl/>
        </w:rPr>
        <w:t>לייבל</w:t>
      </w:r>
      <w:proofErr w:type="spellEnd"/>
      <w:r>
        <w:rPr>
          <w:rtl/>
        </w:rPr>
        <w:t xml:space="preserve"> שאל אותו: “אבל הם לא התקמטו?”, השיב: “כן, אבל זה היה כדאי.”)</w:t>
      </w:r>
    </w:p>
    <w:bookmarkStart w:id="1974" w:name="b3_note97"/>
    <w:p w14:paraId="2B1FB3FD" w14:textId="77777777" w:rsidR="00AB3647" w:rsidRDefault="00000000" w:rsidP="007923E9">
      <w:pPr>
        <w:spacing w:before="120" w:after="100" w:line="276" w:lineRule="auto"/>
        <w:jc w:val="both"/>
      </w:pPr>
      <w:r>
        <w:fldChar w:fldCharType="begin" w:dirty="true"/>
      </w:r>
      <w:r>
        <w:instrText>HYPERLINK \l "b3_ref97"</w:instrText>
      </w:r>
      <w:r>
        <w:fldChar w:fldCharType="separate"/>
      </w:r>
      <w:r>
        <w:rPr>
          <w:b/>
          <w:bCs/>
          <w:rtl/>
        </w:rPr>
        <w:t>97</w:t>
      </w:r>
      <w:r>
        <w:rPr>
          <w:b/>
          <w:bCs/>
        </w:rPr>
        <w:fldChar w:fldCharType="end"/>
      </w:r>
      <w:bookmarkEnd w:id="1974"/>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צירף את סיפור התחרות והפשרה ממה ששמע מעמיתו להוראה, נכדו של ר׳ אלתר </w:t>
      </w:r>
      <w:proofErr w:type="spellStart"/>
      <w:r>
        <w:rPr>
          <w:rtl/>
        </w:rPr>
        <w:t>פופלק</w:t>
      </w:r>
      <w:proofErr w:type="spellEnd"/>
      <w:r>
        <w:rPr>
          <w:rtl/>
        </w:rPr>
        <w:t xml:space="preserve">, ששמע אותו מסבו, וממה שסיפר לו רבנו. בזקנותו אמר אבי </w:t>
      </w:r>
      <w:proofErr w:type="spellStart"/>
      <w:r>
        <w:rPr>
          <w:rtl/>
        </w:rPr>
        <w:t>לר</w:t>
      </w:r>
      <w:proofErr w:type="spellEnd"/>
      <w:r>
        <w:rPr>
          <w:rtl/>
        </w:rPr>
        <w:t xml:space="preserve">׳ </w:t>
      </w:r>
      <w:proofErr w:type="spellStart"/>
      <w:r>
        <w:rPr>
          <w:rtl/>
        </w:rPr>
        <w:t>לייבל</w:t>
      </w:r>
      <w:proofErr w:type="spellEnd"/>
      <w:r>
        <w:rPr>
          <w:rtl/>
        </w:rPr>
        <w:t xml:space="preserve"> שהוא ישן כשבע שעות וחצי בלילה: הולך לישון בין </w:t>
      </w:r>
      <w:proofErr w:type="spellStart"/>
      <w:r>
        <w:rPr>
          <w:rtl/>
        </w:rPr>
        <w:t>אחת־עשרה</w:t>
      </w:r>
      <w:proofErr w:type="spellEnd"/>
      <w:r>
        <w:rPr>
          <w:rtl/>
        </w:rPr>
        <w:t xml:space="preserve"> </w:t>
      </w:r>
      <w:proofErr w:type="spellStart"/>
      <w:r>
        <w:rPr>
          <w:rtl/>
        </w:rPr>
        <w:t>לאחת־עשרה</w:t>
      </w:r>
      <w:proofErr w:type="spellEnd"/>
      <w:r>
        <w:rPr>
          <w:rtl/>
        </w:rPr>
        <w:t xml:space="preserve"> וחצי בלילה וקם בין שש וחצי לשבע בבוקר – וזה מה שכינה “נורמלי”. הוא הוסיף שבצעירותו היה הולך לישון בשתיים וקם לתפילת שחרית. “מעולם לא חסכתי זמן בכך שנשארתי ער מאוחר ואחר כך הפסדתי תפילה”, הכריז.</w:t>
      </w:r>
    </w:p>
    <w:p w14:paraId="7A48C7E6" w14:textId="54DB433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לייבל</w:t>
      </w:r>
      <w:proofErr w:type="spellEnd"/>
      <w:r>
        <w:rPr>
          <w:rtl/>
        </w:rPr>
        <w:t xml:space="preserve"> </w:t>
      </w:r>
      <w:proofErr w:type="spellStart"/>
      <w:r>
        <w:rPr>
          <w:rtl/>
        </w:rPr>
        <w:t>יאנובר</w:t>
      </w:r>
      <w:proofErr w:type="spellEnd"/>
      <w:r>
        <w:rPr>
          <w:rtl/>
        </w:rPr>
        <w:t xml:space="preserve"> דאג לצרכיהם הרוחניים הישירים יותר של שני שותפיו הצעירים. הוא דרש שבכל ארוחה</w:t>
      </w:r>
      <w:bookmarkStart w:id="1975" w:name="b3_ref98"/>
      <w:bookmarkEnd w:id="1975"/>
      <w:r>
        <w:rPr>
          <w:vertAlign w:val="superscript"/>
          <w:rtl/>
        </w:rPr>
        <w:fldChar w:fldCharType="begin" w:dirty="true"/>
      </w:r>
      <w:r>
        <w:rPr>
          <w:vertAlign w:val="superscript"/>
          <w:rtl/>
        </w:rPr>
        <w:instrText xml:space="preserve"> REF b3_note98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98</w:t>
      </w:r>
      <w:r>
        <w:rPr>
          <w:vertAlign w:val="superscript"/>
          <w:rtl/>
        </w:rPr>
        <w:fldChar w:fldCharType="end"/>
      </w:r>
      <w:r>
        <w:rPr>
          <w:rtl/>
        </w:rPr>
        <w:t xml:space="preserve"> יעלו לדיון קושיה על הגמרא שלמדו, שלהם או של אדם אחר. הוא גם הדריך </w:t>
      </w:r>
      <w:r>
        <w:rPr>
          <w:rtl/>
        </w:rPr>
        <w:lastRenderedPageBreak/>
        <w:t>את התלמיד המתחיל בנימוסי שולחן</w:t>
      </w:r>
      <w:bookmarkStart w:id="1976" w:name="b3_ref99"/>
      <w:bookmarkEnd w:id="1976"/>
      <w:r>
        <w:rPr>
          <w:vertAlign w:val="superscript"/>
          <w:rtl/>
        </w:rPr>
        <w:fldChar w:fldCharType="begin" w:dirty="true"/>
      </w:r>
      <w:r>
        <w:rPr>
          <w:vertAlign w:val="superscript"/>
          <w:rtl/>
        </w:rPr>
        <w:instrText xml:space="preserve"> REF b3_note99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99</w:t>
      </w:r>
      <w:r>
        <w:rPr>
          <w:vertAlign w:val="superscript"/>
          <w:rtl/>
        </w:rPr>
        <w:fldChar w:fldCharType="end"/>
      </w:r>
      <w:r>
        <w:rPr>
          <w:rtl/>
        </w:rPr>
        <w:t>, תחום חינוך חשוב בסלבודקה</w:t>
      </w:r>
      <w:bookmarkStart w:id="1977" w:name="b3_ref100"/>
      <w:bookmarkEnd w:id="1977"/>
      <w:r>
        <w:rPr>
          <w:vertAlign w:val="superscript"/>
          <w:rtl/>
        </w:rPr>
        <w:fldChar w:fldCharType="begin" w:dirty="true"/>
      </w:r>
      <w:r>
        <w:rPr>
          <w:vertAlign w:val="superscript"/>
          <w:rtl/>
        </w:rPr>
        <w:instrText xml:space="preserve"> REF b3_note100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100</w:t>
      </w:r>
      <w:r>
        <w:rPr>
          <w:vertAlign w:val="superscript"/>
          <w:rtl/>
        </w:rPr>
        <w:fldChar w:fldCharType="end"/>
      </w:r>
      <w:r>
        <w:rPr>
          <w:rtl/>
        </w:rPr>
        <w:t xml:space="preserve">. אפילו בשבתות, </w:t>
      </w:r>
      <w:proofErr w:type="spellStart"/>
      <w:r>
        <w:rPr>
          <w:rtl/>
        </w:rPr>
        <w:t>כשלא</w:t>
      </w:r>
      <w:proofErr w:type="spellEnd"/>
      <w:r>
        <w:rPr>
          <w:rtl/>
        </w:rPr>
        <w:t xml:space="preserve"> היו סדרים רשמיים, המשיכו התלמידים לשקוד על לימודיהם, ומיהרו בסעודות השבת</w:t>
      </w:r>
      <w:bookmarkStart w:id="1978" w:name="b3_ref101"/>
      <w:bookmarkEnd w:id="1978"/>
      <w:r>
        <w:rPr>
          <w:vertAlign w:val="superscript"/>
          <w:rtl/>
        </w:rPr>
        <w:fldChar w:fldCharType="begin" w:dirty="true"/>
      </w:r>
      <w:r>
        <w:rPr>
          <w:vertAlign w:val="superscript"/>
          <w:rtl/>
        </w:rPr>
        <w:instrText xml:space="preserve"> REF b3_note101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101</w:t>
      </w:r>
      <w:r>
        <w:rPr>
          <w:vertAlign w:val="superscript"/>
          <w:rtl/>
        </w:rPr>
        <w:fldChar w:fldCharType="end"/>
      </w:r>
      <w:r>
        <w:rPr>
          <w:rtl/>
        </w:rPr>
        <w:t xml:space="preserve"> כדי לחזור לבית המדרש.</w:t>
      </w:r>
    </w:p>
    <w:bookmarkStart w:id="1979" w:name="b3_note98"/>
    <w:p w14:paraId="5529BE56" w14:textId="77777777" w:rsidR="00AB3647" w:rsidRDefault="00000000" w:rsidP="007923E9">
      <w:pPr>
        <w:spacing w:before="120" w:after="100" w:line="276" w:lineRule="auto"/>
        <w:jc w:val="both"/>
      </w:pPr>
      <w:r>
        <w:fldChar w:fldCharType="begin" w:dirty="true"/>
      </w:r>
      <w:r>
        <w:instrText>HYPERLINK \l "b3_ref98"</w:instrText>
      </w:r>
      <w:r>
        <w:fldChar w:fldCharType="separate"/>
      </w:r>
      <w:r>
        <w:rPr>
          <w:b/>
          <w:bCs/>
          <w:rtl/>
        </w:rPr>
        <w:t>98</w:t>
      </w:r>
      <w:r>
        <w:rPr>
          <w:b/>
          <w:bCs/>
        </w:rPr>
        <w:fldChar w:fldCharType="end"/>
      </w:r>
      <w:bookmarkEnd w:id="1979"/>
      <w:r>
        <w:rPr>
          <w:rtl/>
        </w:rPr>
        <w:t xml:space="preserve"> ר׳ </w:t>
      </w:r>
      <w:proofErr w:type="spellStart"/>
      <w:r>
        <w:rPr>
          <w:rtl/>
        </w:rPr>
        <w:t>לייבל</w:t>
      </w:r>
      <w:proofErr w:type="spellEnd"/>
      <w:r>
        <w:rPr>
          <w:rtl/>
        </w:rPr>
        <w:t xml:space="preserve"> </w:t>
      </w:r>
      <w:proofErr w:type="spellStart"/>
      <w:r>
        <w:rPr>
          <w:rtl/>
        </w:rPr>
        <w:t>פרלשטיין</w:t>
      </w:r>
      <w:proofErr w:type="spellEnd"/>
      <w:r>
        <w:rPr>
          <w:rtl/>
        </w:rPr>
        <w:t xml:space="preserve"> סיפר שכשתיאר אבי את האווירה בישיבת </w:t>
      </w:r>
      <w:proofErr w:type="spellStart"/>
      <w:r>
        <w:rPr>
          <w:rtl/>
        </w:rPr>
        <w:t>סלבודקה</w:t>
      </w:r>
      <w:proofErr w:type="spellEnd"/>
      <w:r>
        <w:rPr>
          <w:rtl/>
        </w:rPr>
        <w:t>, אמר: “היינו יושבים ואוכלים, אבל כל אחד השתדל לגמור מהר יותר, כדי לחזור לבית המדרש מהר יותר.”</w:t>
      </w:r>
    </w:p>
    <w:bookmarkStart w:id="1980" w:name="b3_note99"/>
    <w:p w14:paraId="3D77C5C7" w14:textId="7AAD91A1" w:rsidR="00AB3647" w:rsidRDefault="00000000" w:rsidP="007923E9">
      <w:pPr>
        <w:spacing w:before="120" w:after="100" w:line="276" w:lineRule="auto"/>
        <w:jc w:val="both"/>
      </w:pPr>
      <w:r>
        <w:fldChar w:fldCharType="begin" w:dirty="true"/>
      </w:r>
      <w:r>
        <w:instrText>HYPERLINK \l "b3_ref99"</w:instrText>
      </w:r>
      <w:r>
        <w:fldChar w:fldCharType="separate"/>
      </w:r>
      <w:r>
        <w:rPr>
          <w:b/>
          <w:bCs/>
          <w:rtl/>
        </w:rPr>
        <w:t>99</w:t>
      </w:r>
      <w:r>
        <w:rPr>
          <w:b/>
          <w:bCs/>
        </w:rPr>
        <w:fldChar w:fldCharType="end"/>
      </w:r>
      <w:bookmarkEnd w:id="1980"/>
      <w:r>
        <w:rPr>
          <w:rtl/>
        </w:rPr>
        <w:t xml:space="preserve"> “הוא היה אומר לי שאני אוכל את המרק מהר מדי. אם אני, נער בן </w:t>
      </w:r>
      <w:proofErr w:type="spellStart"/>
      <w:r>
        <w:rPr>
          <w:rtl/>
        </w:rPr>
        <w:t>חמש־עשרה</w:t>
      </w:r>
      <w:proofErr w:type="spellEnd"/>
      <w:r>
        <w:rPr>
          <w:rtl/>
        </w:rPr>
        <w:t xml:space="preserve">, הכנסתי לפי יותר מדי אוכל, היה גוער בי: ‘כך אין עושים; שוברים חתיכה קטנה בכל פעם.’ שנים אחר כך, כששנינו היינו רבנים בליטא – הוא </w:t>
      </w:r>
      <w:proofErr w:type="spellStart"/>
      <w:r>
        <w:rPr>
          <w:rtl/>
        </w:rPr>
        <w:t>בלזדיי</w:t>
      </w:r>
      <w:proofErr w:type="spellEnd"/>
      <w:r>
        <w:rPr>
          <w:rtl/>
        </w:rPr>
        <w:t xml:space="preserve"> ואני ברבנות החשובה יותר, </w:t>
      </w:r>
      <w:proofErr w:type="spellStart"/>
      <w:r>
        <w:rPr>
          <w:rtl/>
        </w:rPr>
        <w:t>בציטוביאן</w:t>
      </w:r>
      <w:proofErr w:type="spellEnd"/>
      <w:r>
        <w:rPr>
          <w:rtl/>
        </w:rPr>
        <w:t>, וכשכולם ידעו שגם ידעתי ללמוד טוב ממנו – הייתי מקדם את פניו במילים ‘שלום עליך רבי ומורי’. הוא חשב שזו הלצה, אבל אני התכוונתי באמת ובתמים</w:t>
      </w:r>
      <w:bookmarkStart w:id="1981" w:name="_fnr1256"/>
      <w:r>
        <w:rPr>
          <w:rStyle w:val="a5"/>
        </w:rPr>
        <w:footnoteReference w:id="1259" w:customMarkFollows="0"/>
      </w:r>
      <w:bookmarkEnd w:id="1981"/>
      <w:r>
        <w:rPr>
          <w:rtl/>
        </w:rPr>
        <w:t>.” השווה גם הפסקה השנייה ב</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 xml:space="preserve"> להלן.</w:t>
      </w:r>
    </w:p>
    <w:bookmarkStart w:id="1982" w:name="b3_note100"/>
    <w:p w14:paraId="36EB49A5" w14:textId="77777777" w:rsidR="00AB3647" w:rsidRDefault="00000000" w:rsidP="007923E9">
      <w:pPr>
        <w:spacing w:before="120" w:after="100" w:line="276" w:lineRule="auto"/>
        <w:jc w:val="both"/>
      </w:pPr>
      <w:r>
        <w:fldChar w:fldCharType="begin" w:dirty="true"/>
      </w:r>
      <w:r>
        <w:instrText>HYPERLINK \l "b3_ref100"</w:instrText>
      </w:r>
      <w:r>
        <w:fldChar w:fldCharType="separate"/>
      </w:r>
      <w:r>
        <w:rPr>
          <w:b/>
          <w:bCs/>
          <w:rtl/>
        </w:rPr>
        <w:t>100</w:t>
      </w:r>
      <w:r>
        <w:rPr>
          <w:b/>
          <w:bCs/>
        </w:rPr>
        <w:fldChar w:fldCharType="end"/>
      </w:r>
      <w:bookmarkEnd w:id="1982"/>
      <w:r>
        <w:rPr>
          <w:rtl/>
        </w:rPr>
        <w:t xml:space="preserve"> ישיבת כנסת ישראל התגאתה בכך שהיא “מלמדת את תלמידיה איך לדבר”. ר׳ שמחה וסרמן סיפר</w:t>
      </w:r>
      <w:bookmarkStart w:id="1983" w:name="_fnr1257"/>
      <w:r>
        <w:rPr>
          <w:rStyle w:val="a5"/>
        </w:rPr>
        <w:footnoteReference w:id="1260" w:customMarkFollows="0"/>
      </w:r>
      <w:bookmarkEnd w:id="1983"/>
      <w:r>
        <w:rPr>
          <w:rtl/>
        </w:rPr>
        <w:t xml:space="preserve"> לי </w:t>
      </w:r>
      <w:proofErr w:type="spellStart"/>
      <w:r>
        <w:rPr>
          <w:rtl/>
        </w:rPr>
        <w:t>שבתרפ״ד</w:t>
      </w:r>
      <w:proofErr w:type="spellEnd"/>
      <w:r>
        <w:rPr>
          <w:rtl/>
        </w:rPr>
        <w:t xml:space="preserve"> בא מעבר לגבול הפולני לביקור אחרון אצל סבו הזקן ר׳ מאיר אטלס</w:t>
      </w:r>
      <w:bookmarkStart w:id="1984" w:name="_fnr1258"/>
      <w:r>
        <w:rPr>
          <w:rStyle w:val="a5"/>
        </w:rPr>
        <w:footnoteReference w:id="1261" w:customMarkFollows="0"/>
      </w:r>
      <w:bookmarkEnd w:id="1984"/>
      <w:r>
        <w:rPr>
          <w:rtl/>
        </w:rPr>
        <w:t xml:space="preserve">, רב שאוול – העיר השנייה בגודלה בליטא שלאחר מלחמת העולם הראשונה. ר׳ מאיר אטלס נפטר כעבור חצי שנה. ר׳ שמחה רצה לטעום את טעמה של ישיבת </w:t>
      </w:r>
      <w:proofErr w:type="spellStart"/>
      <w:r>
        <w:rPr>
          <w:rtl/>
        </w:rPr>
        <w:t>סלבודקה</w:t>
      </w:r>
      <w:proofErr w:type="spellEnd"/>
      <w:r>
        <w:rPr>
          <w:rtl/>
        </w:rPr>
        <w:t>, והחליט לשהות בה שבועות אחדים.</w:t>
      </w:r>
    </w:p>
    <w:p w14:paraId="7B751D6C" w14:textId="77777777" w:rsidR="00AB3647" w:rsidRDefault="00000000" w:rsidP="007923E9">
      <w:pPr>
        <w:spacing w:before="120" w:after="100" w:line="276" w:lineRule="auto"/>
        <w:jc w:val="both"/>
      </w:pPr>
      <w:r>
        <w:rPr>
          <w:rtl/>
        </w:rPr>
        <w:t>כשביקר אצל הסבא, נשאל לשלום אביו ר׳ אלחנן, והשיב: “</w:t>
      </w:r>
      <w:proofErr w:type="spellStart"/>
      <w:r>
        <w:rPr>
          <w:rtl/>
        </w:rPr>
        <w:t>ניש׳קשה</w:t>
      </w:r>
      <w:proofErr w:type="spellEnd"/>
      <w:r>
        <w:rPr>
          <w:rtl/>
        </w:rPr>
        <w:t xml:space="preserve"> [לא רע].” הסבא גער בו: “אוי ואבוי, כך מדברים על אבא?! האם שאלתי אותך על מצב הסוס באורווה, על העז בחצר? אוי, איך אפשר לדבר כך על אבא – ועל אבא כמו שלך?!”</w:t>
      </w:r>
      <w:bookmarkStart w:id="1985" w:name="_fnr1259"/>
      <w:r>
        <w:rPr>
          <w:rStyle w:val="a5"/>
        </w:rPr>
        <w:footnoteReference w:id="1262" w:customMarkFollows="0"/>
      </w:r>
      <w:bookmarkEnd w:id="1985"/>
      <w:r>
        <w:rPr>
          <w:rtl/>
        </w:rPr>
        <w:t xml:space="preserve"> ר׳ שמחה שמר על עשתונותיו. הוא ידע שהסבא מעריך</w:t>
      </w:r>
      <w:r>
        <w:t xml:space="preserve"> </w:t>
      </w:r>
      <w:r>
        <w:rPr>
          <w:rtl/>
        </w:rPr>
        <w:t xml:space="preserve">תשובה שנונה, וגם שהוא אוהב לשמוע שבחים על ישיבתו, והשיב מיד: “זו בדיוק הסיבה שבאתי </w:t>
      </w:r>
      <w:proofErr w:type="spellStart"/>
      <w:r>
        <w:rPr>
          <w:rtl/>
        </w:rPr>
        <w:t>לסלבודקה</w:t>
      </w:r>
      <w:proofErr w:type="spellEnd"/>
      <w:r>
        <w:rPr>
          <w:rtl/>
        </w:rPr>
        <w:t xml:space="preserve">. אומרים שכאן לומדים איך לדבר.” ר׳ שמחה סיים: “הסבא היה מרוצה מאוד מתשובתי; הוא נהנה </w:t>
      </w:r>
      <w:proofErr w:type="spellStart"/>
      <w:r>
        <w:rPr>
          <w:rtl/>
        </w:rPr>
        <w:t>מ׳א</w:t>
      </w:r>
      <w:proofErr w:type="spellEnd"/>
      <w:r>
        <w:rPr>
          <w:rtl/>
        </w:rPr>
        <w:t xml:space="preserve"> דרך </w:t>
      </w:r>
      <w:proofErr w:type="spellStart"/>
      <w:r>
        <w:rPr>
          <w:rtl/>
        </w:rPr>
        <w:t>ארצ׳דיגער</w:t>
      </w:r>
      <w:proofErr w:type="spellEnd"/>
      <w:r>
        <w:rPr>
          <w:rtl/>
        </w:rPr>
        <w:t xml:space="preserve"> </w:t>
      </w:r>
      <w:proofErr w:type="spellStart"/>
      <w:r>
        <w:rPr>
          <w:rtl/>
        </w:rPr>
        <w:t>שטיף</w:t>
      </w:r>
      <w:proofErr w:type="spellEnd"/>
      <w:r>
        <w:rPr>
          <w:rtl/>
        </w:rPr>
        <w:t>’ [תשובה שובבה שיש בה דרך ארץ].”</w:t>
      </w:r>
      <w:bookmarkStart w:id="1986" w:name="_fnr1260"/>
      <w:r>
        <w:rPr>
          <w:rStyle w:val="a5"/>
        </w:rPr>
        <w:footnoteReference w:id="1263" w:customMarkFollows="0"/>
      </w:r>
      <w:bookmarkEnd w:id="1986"/>
    </w:p>
    <w:p w14:paraId="56F6BA4F" w14:textId="77777777" w:rsidR="00AB3647" w:rsidRDefault="00000000" w:rsidP="007923E9">
      <w:pPr>
        <w:spacing w:after="100" w:line="276" w:lineRule="auto"/>
        <w:ind w:firstLine="340"/>
        <w:jc w:val="both"/>
      </w:pPr>
      <w:r>
        <w:rPr>
          <w:rtl/>
        </w:rPr>
        <w:t xml:space="preserve">הבחנתי שכשהזכיר רבנו את בית הכנסת </w:t>
      </w:r>
      <w:proofErr w:type="spellStart"/>
      <w:r>
        <w:rPr>
          <w:rtl/>
        </w:rPr>
        <w:t>בסלבודקה</w:t>
      </w:r>
      <w:proofErr w:type="spellEnd"/>
      <w:r>
        <w:rPr>
          <w:rtl/>
        </w:rPr>
        <w:t xml:space="preserve"> ששמו “הלוויית המת </w:t>
      </w:r>
      <w:proofErr w:type="spellStart"/>
      <w:r>
        <w:rPr>
          <w:rtl/>
        </w:rPr>
        <w:t>קלויז</w:t>
      </w:r>
      <w:proofErr w:type="spellEnd"/>
      <w:r>
        <w:rPr>
          <w:rtl/>
        </w:rPr>
        <w:t xml:space="preserve">”, היה משמיט את המילה השנייה שבשם. בכך קיים את הלקח של </w:t>
      </w:r>
      <w:proofErr w:type="spellStart"/>
      <w:r>
        <w:rPr>
          <w:rtl/>
        </w:rPr>
        <w:t>סלבודקה</w:t>
      </w:r>
      <w:proofErr w:type="spellEnd"/>
      <w:r>
        <w:rPr>
          <w:rtl/>
        </w:rPr>
        <w:t xml:space="preserve">, “איך לדבר”. בדומה לכך סיפר ר׳ </w:t>
      </w:r>
      <w:proofErr w:type="spellStart"/>
      <w:r>
        <w:rPr>
          <w:rtl/>
        </w:rPr>
        <w:t>חצקל</w:t>
      </w:r>
      <w:proofErr w:type="spellEnd"/>
      <w:r>
        <w:rPr>
          <w:rtl/>
        </w:rPr>
        <w:t xml:space="preserve"> </w:t>
      </w:r>
      <w:proofErr w:type="spellStart"/>
      <w:r>
        <w:rPr>
          <w:rtl/>
        </w:rPr>
        <w:t>סרנא</w:t>
      </w:r>
      <w:proofErr w:type="spellEnd"/>
      <w:r>
        <w:rPr>
          <w:rtl/>
        </w:rPr>
        <w:t xml:space="preserve">, תלמיד </w:t>
      </w:r>
      <w:proofErr w:type="spellStart"/>
      <w:r>
        <w:rPr>
          <w:rtl/>
        </w:rPr>
        <w:t>סלבודקה</w:t>
      </w:r>
      <w:bookmarkStart w:id="1987" w:name="_fnr1261"/>
      <w:proofErr w:type="spellEnd"/>
      <w:r>
        <w:rPr>
          <w:rStyle w:val="a5"/>
        </w:rPr>
        <w:footnoteReference w:id="1264" w:customMarkFollows="0"/>
      </w:r>
      <w:bookmarkEnd w:id="1987"/>
      <w:r>
        <w:rPr>
          <w:rtl/>
        </w:rPr>
        <w:t xml:space="preserve">, </w:t>
      </w:r>
      <w:proofErr w:type="spellStart"/>
      <w:r>
        <w:rPr>
          <w:rtl/>
        </w:rPr>
        <w:t>לר</w:t>
      </w:r>
      <w:proofErr w:type="spellEnd"/>
      <w:r>
        <w:rPr>
          <w:rtl/>
        </w:rPr>
        <w:t xml:space="preserve">׳ יצחק </w:t>
      </w:r>
      <w:proofErr w:type="spellStart"/>
      <w:r>
        <w:rPr>
          <w:rtl/>
        </w:rPr>
        <w:t>הוטנר</w:t>
      </w:r>
      <w:proofErr w:type="spellEnd"/>
      <w:r>
        <w:rPr>
          <w:rtl/>
        </w:rPr>
        <w:t>, תלמיד אחר, שהסבא מעולם לא אמר “כלב” אלא “נבחן”</w:t>
      </w:r>
      <w:bookmarkStart w:id="1988" w:name="_fnr1262"/>
      <w:r>
        <w:rPr>
          <w:rStyle w:val="a5"/>
        </w:rPr>
        <w:footnoteReference w:id="1265" w:customMarkFollows="0"/>
      </w:r>
      <w:bookmarkEnd w:id="1988"/>
      <w:r>
        <w:rPr>
          <w:rtl/>
        </w:rPr>
        <w:t xml:space="preserve">. השיב לו הרב </w:t>
      </w:r>
      <w:proofErr w:type="spellStart"/>
      <w:r>
        <w:rPr>
          <w:rtl/>
        </w:rPr>
        <w:t>הוטנר</w:t>
      </w:r>
      <w:proofErr w:type="spellEnd"/>
      <w:r>
        <w:rPr>
          <w:rtl/>
        </w:rPr>
        <w:t xml:space="preserve"> שכשהזכיר הסבא את הפסוק “ראה נתתי </w:t>
      </w:r>
      <w:r>
        <w:rPr>
          <w:rtl/>
        </w:rPr>
        <w:lastRenderedPageBreak/>
        <w:t xml:space="preserve">לפניך היום את החיים ואת הטוב ואת </w:t>
      </w:r>
      <w:proofErr w:type="spellStart"/>
      <w:r>
        <w:rPr>
          <w:rtl/>
        </w:rPr>
        <w:t>המות</w:t>
      </w:r>
      <w:proofErr w:type="spellEnd"/>
      <w:r>
        <w:rPr>
          <w:rtl/>
        </w:rPr>
        <w:t xml:space="preserve"> ואת הרע”</w:t>
      </w:r>
      <w:bookmarkStart w:id="1989" w:name="_fnr1263"/>
      <w:r>
        <w:rPr>
          <w:rStyle w:val="a5"/>
        </w:rPr>
        <w:footnoteReference w:id="1266" w:customMarkFollows="0"/>
      </w:r>
      <w:bookmarkEnd w:id="1989"/>
      <w:r>
        <w:rPr>
          <w:rtl/>
        </w:rPr>
        <w:t>, היה משמיט את ארבע המילים האחרונות ואומר במקומן “ואת ההפך”</w:t>
      </w:r>
      <w:bookmarkStart w:id="1990" w:name="_fnr1264"/>
      <w:r>
        <w:rPr>
          <w:rStyle w:val="a5"/>
        </w:rPr>
        <w:footnoteReference w:id="1267" w:customMarkFollows="0"/>
      </w:r>
      <w:bookmarkEnd w:id="1990"/>
      <w:r>
        <w:rPr>
          <w:rtl/>
        </w:rPr>
        <w:t>.</w:t>
      </w:r>
    </w:p>
    <w:p w14:paraId="52564F20" w14:textId="77777777" w:rsidR="00AB3647" w:rsidRDefault="00000000" w:rsidP="007923E9">
      <w:pPr>
        <w:spacing w:after="100" w:line="276" w:lineRule="auto"/>
        <w:ind w:firstLine="340"/>
        <w:jc w:val="both"/>
      </w:pPr>
      <w:r>
        <w:rPr>
          <w:rtl/>
        </w:rPr>
        <w:t xml:space="preserve">על הקפדתו של אבי על “איך לדבר” העיר ר׳ </w:t>
      </w:r>
      <w:proofErr w:type="spellStart"/>
      <w:r>
        <w:rPr>
          <w:rtl/>
        </w:rPr>
        <w:t>זלמן־פינחס</w:t>
      </w:r>
      <w:proofErr w:type="spellEnd"/>
      <w:r>
        <w:rPr>
          <w:rtl/>
        </w:rPr>
        <w:t xml:space="preserve"> קווין</w:t>
      </w:r>
      <w:bookmarkStart w:id="1991" w:name="_fnr1265"/>
      <w:r>
        <w:rPr>
          <w:rStyle w:val="a5"/>
        </w:rPr>
        <w:footnoteReference w:id="1268" w:customMarkFollows="0"/>
      </w:r>
      <w:bookmarkEnd w:id="1991"/>
      <w:r>
        <w:rPr>
          <w:rtl/>
        </w:rPr>
        <w:t xml:space="preserve"> שאבי נזהר שלא לדבר בשלילה אפילו כשחלק על מישהו: הוא היה שומע את דעת האחר ואומר: “</w:t>
      </w:r>
      <w:r>
        <w:rPr>
          <w:b/>
          <w:bCs/>
          <w:rtl/>
        </w:rPr>
        <w:t>כן</w:t>
      </w:r>
      <w:r>
        <w:rPr>
          <w:rtl/>
        </w:rPr>
        <w:t>, אבל...”</w:t>
      </w:r>
      <w:bookmarkStart w:id="1992" w:name="_fnr1266"/>
      <w:r>
        <w:rPr>
          <w:rStyle w:val="a5"/>
        </w:rPr>
        <w:footnoteReference w:id="1269" w:customMarkFollows="0"/>
      </w:r>
      <w:bookmarkEnd w:id="1992"/>
    </w:p>
    <w:bookmarkStart w:id="1993" w:name="b3_note101"/>
    <w:p w14:paraId="54266414" w14:textId="77777777" w:rsidR="00AB3647" w:rsidRDefault="00000000" w:rsidP="007923E9">
      <w:pPr>
        <w:spacing w:before="120" w:after="100" w:line="276" w:lineRule="auto"/>
        <w:jc w:val="both"/>
      </w:pPr>
      <w:r>
        <w:fldChar w:fldCharType="begin" w:dirty="true"/>
      </w:r>
      <w:r>
        <w:instrText>HYPERLINK \l "b3_ref101"</w:instrText>
      </w:r>
      <w:r>
        <w:fldChar w:fldCharType="separate"/>
      </w:r>
      <w:r>
        <w:rPr>
          <w:b/>
          <w:bCs/>
          <w:rtl/>
        </w:rPr>
        <w:t>101</w:t>
      </w:r>
      <w:r>
        <w:rPr>
          <w:b/>
          <w:bCs/>
        </w:rPr>
        <w:fldChar w:fldCharType="end"/>
      </w:r>
      <w:bookmarkEnd w:id="1993"/>
      <w:r>
        <w:rPr>
          <w:rtl/>
        </w:rPr>
        <w:t xml:space="preserve"> ר׳ </w:t>
      </w:r>
      <w:proofErr w:type="spellStart"/>
      <w:r>
        <w:rPr>
          <w:rtl/>
        </w:rPr>
        <w:t>לייבל</w:t>
      </w:r>
      <w:proofErr w:type="spellEnd"/>
      <w:r>
        <w:rPr>
          <w:rtl/>
        </w:rPr>
        <w:t xml:space="preserve"> </w:t>
      </w:r>
      <w:proofErr w:type="spellStart"/>
      <w:r>
        <w:rPr>
          <w:rtl/>
        </w:rPr>
        <w:t>פרלשטיין</w:t>
      </w:r>
      <w:bookmarkStart w:id="1994" w:name="_fnr1267"/>
      <w:proofErr w:type="spellEnd"/>
      <w:r>
        <w:rPr>
          <w:rStyle w:val="a5"/>
        </w:rPr>
        <w:footnoteReference w:id="1270" w:customMarkFollows="0"/>
      </w:r>
      <w:bookmarkEnd w:id="1994"/>
      <w:r>
        <w:rPr>
          <w:rtl/>
        </w:rPr>
        <w:t xml:space="preserve"> סיפר ששאל את אבי מדוע אינו אומר זמירות בשולחן השבת, ורבנו השיב שכך הורגל </w:t>
      </w:r>
      <w:proofErr w:type="spellStart"/>
      <w:r>
        <w:rPr>
          <w:rtl/>
        </w:rPr>
        <w:t>בסלבודקה</w:t>
      </w:r>
      <w:bookmarkStart w:id="1995" w:name="_fnr1268"/>
      <w:proofErr w:type="spellEnd"/>
      <w:r>
        <w:rPr>
          <w:rStyle w:val="a5"/>
        </w:rPr>
        <w:footnoteReference w:id="1271" w:customMarkFollows="0"/>
      </w:r>
      <w:bookmarkEnd w:id="1995"/>
      <w:r>
        <w:rPr>
          <w:rtl/>
        </w:rPr>
        <w:t xml:space="preserve">: שם, מרוב חיפזון לחזור ללימוד, הבחורים אפילו לא בירכו בזימון! כשסיפר אבי שאכל סעודה שלישית על שולחן הסבא, ושאל ר׳ </w:t>
      </w:r>
      <w:proofErr w:type="spellStart"/>
      <w:r>
        <w:rPr>
          <w:rtl/>
        </w:rPr>
        <w:t>לייבל</w:t>
      </w:r>
      <w:proofErr w:type="spellEnd"/>
      <w:r>
        <w:rPr>
          <w:rtl/>
        </w:rPr>
        <w:t xml:space="preserve"> אם אחרי ערבית הוגשה מלווה מלכה, נדהם אבי ואמר: “איזו מלווה מלכה?! במוצאי שבת חזרנו מיד ללמוד!”</w:t>
      </w:r>
    </w:p>
    <w:p w14:paraId="5FDA2ADB" w14:textId="6FB8BDB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קבלת הפנים הקרה של הסבא עוררה אצל </w:t>
      </w:r>
      <w:proofErr w:type="spellStart"/>
      <w:r>
        <w:rPr>
          <w:rtl/>
        </w:rPr>
        <w:t>הדולהינובר</w:t>
      </w:r>
      <w:proofErr w:type="spellEnd"/>
      <w:r>
        <w:rPr>
          <w:rtl/>
        </w:rPr>
        <w:t xml:space="preserve"> ספקות אם התקבל לישיבה באופן סופי, ודווקא השיבוץ לסעודות שבת, שבועות אחדים אחר כך, הוא שהסיר אותם. הסבא הודיע לו שהוא מוזמן לאכול את סעודות השבת בבית עמיתו הוותיק, ר׳ </w:t>
      </w:r>
      <w:proofErr w:type="spellStart"/>
      <w:r>
        <w:rPr>
          <w:rtl/>
        </w:rPr>
        <w:t xml:space="preserve">בער־הירש</w:t>
      </w:r>
      <w:proofErr w:type="spellEnd"/>
      <w:r>
        <w:rPr>
          <w:rtl/>
        </w:rPr>
        <w:t xml:space="preserve"> הלר</w:t>
      </w:r>
      <w:bookmarkStart w:id="1996" w:name="b3_ref102"/>
      <w:bookmarkEnd w:id="1996"/>
      <w:r>
        <w:rPr>
          <w:vertAlign w:val="superscript"/>
          <w:rtl/>
        </w:rPr>
        <w:fldChar w:fldCharType="begin" w:dirty="true"/>
      </w:r>
      <w:r>
        <w:rPr>
          <w:vertAlign w:val="superscript"/>
          <w:rtl/>
        </w:rPr>
        <w:instrText xml:space="preserve"> REF b3_note102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102</w:t>
      </w:r>
      <w:r>
        <w:rPr>
          <w:vertAlign w:val="superscript"/>
          <w:rtl/>
        </w:rPr>
        <w:fldChar w:fldCharType="end"/>
      </w:r>
      <w:r>
        <w:rPr>
          <w:rtl/>
        </w:rPr>
        <w:t>, עוזר המשגיח האהוב מאוד.</w:t>
      </w:r>
    </w:p>
    <w:bookmarkStart w:id="1997" w:name="b3_note102"/>
    <w:p w14:paraId="4FAAFA5C" w14:textId="77777777" w:rsidR="00AB3647" w:rsidRDefault="00000000" w:rsidP="007923E9">
      <w:pPr>
        <w:spacing w:before="120" w:after="100" w:line="276" w:lineRule="auto"/>
        <w:jc w:val="both"/>
      </w:pPr>
      <w:r>
        <w:fldChar w:fldCharType="begin" w:dirty="true"/>
      </w:r>
      <w:r>
        <w:instrText>HYPERLINK \l "b3_ref102"</w:instrText>
      </w:r>
      <w:r>
        <w:fldChar w:fldCharType="separate"/>
      </w:r>
      <w:r>
        <w:rPr>
          <w:b/>
          <w:bCs/>
          <w:rtl/>
        </w:rPr>
        <w:t>102</w:t>
      </w:r>
      <w:r>
        <w:rPr>
          <w:b/>
          <w:bCs/>
        </w:rPr>
        <w:fldChar w:fldCharType="end"/>
      </w:r>
      <w:bookmarkEnd w:id="1997"/>
      <w:r>
        <w:rPr>
          <w:rtl/>
        </w:rPr>
        <w:t xml:space="preserve"> אין תיעוד ישיר לשנת הולדתו של ר׳ </w:t>
      </w:r>
      <w:proofErr w:type="spellStart"/>
      <w:r>
        <w:rPr>
          <w:rtl/>
        </w:rPr>
        <w:t xml:space="preserve">בער־הירש</w:t>
      </w:r>
      <w:proofErr w:type="spellEnd"/>
      <w:r>
        <w:rPr>
          <w:rtl/>
        </w:rPr>
        <w:t>. ר׳ ישעיה שכטר ציין</w:t>
      </w:r>
      <w:bookmarkStart w:id="1998" w:name="_fnr1269"/>
      <w:r>
        <w:rPr>
          <w:rStyle w:val="a5"/>
        </w:rPr>
        <w:footnoteReference w:id="1272" w:customMarkFollows="0"/>
      </w:r>
      <w:bookmarkEnd w:id="1998"/>
      <w:r>
        <w:rPr>
          <w:rtl/>
        </w:rPr>
        <w:t xml:space="preserve"> שאבי הצביע על דבר מוזר: כל הפרש הגילים בין “המשגיח הזקן והמשגיח הצעיר”</w:t>
      </w:r>
      <w:bookmarkStart w:id="1999" w:name="_fnr1270"/>
      <w:r>
        <w:rPr>
          <w:rStyle w:val="a5"/>
        </w:rPr>
        <w:footnoteReference w:id="1273" w:customMarkFollows="0"/>
      </w:r>
      <w:bookmarkEnd w:id="1999"/>
      <w:r>
        <w:rPr>
          <w:rtl/>
        </w:rPr>
        <w:t xml:space="preserve"> – הסבא </w:t>
      </w:r>
      <w:proofErr w:type="spellStart"/>
      <w:r>
        <w:rPr>
          <w:rtl/>
        </w:rPr>
        <w:t>מסלבודקה</w:t>
      </w:r>
      <w:proofErr w:type="spellEnd"/>
      <w:r>
        <w:rPr>
          <w:rtl/>
        </w:rPr>
        <w:t xml:space="preserve"> והרב </w:t>
      </w:r>
      <w:proofErr w:type="spellStart"/>
      <w:r>
        <w:rPr>
          <w:rtl/>
        </w:rPr>
        <w:t xml:space="preserve">הלר</w:t>
      </w:r>
      <w:proofErr w:type="spellEnd"/>
      <w:r>
        <w:rPr>
          <w:rtl/>
        </w:rPr>
        <w:t xml:space="preserve"> – היה שלוש שנים בלבד. לפי זה נולד האחרון </w:t>
      </w:r>
      <w:proofErr w:type="spellStart"/>
      <w:r>
        <w:rPr>
          <w:rtl/>
        </w:rPr>
        <w:t>בתרי״ב</w:t>
      </w:r>
      <w:proofErr w:type="spellEnd"/>
      <w:r>
        <w:rPr>
          <w:rtl/>
        </w:rPr>
        <w:t xml:space="preserve">, והיה בן עשרים ושמונה (!) כשנפתח </w:t>
      </w:r>
      <w:proofErr w:type="spellStart"/>
      <w:r>
        <w:rPr>
          <w:rtl/>
        </w:rPr>
        <w:t>גרובין</w:t>
      </w:r>
      <w:bookmarkStart w:id="2000" w:name="_fnr1271"/>
      <w:proofErr w:type="spellEnd"/>
      <w:r>
        <w:rPr>
          <w:rStyle w:val="a5"/>
        </w:rPr>
        <w:footnoteReference w:id="1274" w:customMarkFollows="0"/>
      </w:r>
      <w:bookmarkEnd w:id="2000"/>
      <w:r>
        <w:rPr>
          <w:rtl/>
        </w:rPr>
        <w:t xml:space="preserve">. ר׳ </w:t>
      </w:r>
      <w:proofErr w:type="spellStart"/>
      <w:r>
        <w:rPr>
          <w:rtl/>
        </w:rPr>
        <w:t xml:space="preserve">בער־הירש</w:t>
      </w:r>
      <w:proofErr w:type="spellEnd"/>
      <w:r>
        <w:rPr>
          <w:rtl/>
        </w:rPr>
        <w:t xml:space="preserve"> נפטר בירושלים </w:t>
      </w:r>
      <w:proofErr w:type="spellStart"/>
      <w:r>
        <w:rPr>
          <w:rtl/>
        </w:rPr>
        <w:t>בתרצ״ה</w:t>
      </w:r>
      <w:proofErr w:type="spellEnd"/>
      <w:r>
        <w:rPr>
          <w:rtl/>
        </w:rPr>
        <w:t>.</w:t>
      </w:r>
    </w:p>
    <w:p w14:paraId="6D537D5A" w14:textId="5C435FC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הרב </w:t>
      </w:r>
      <w:proofErr w:type="spellStart"/>
      <w:r>
        <w:rPr>
          <w:rtl/>
        </w:rPr>
        <w:t xml:space="preserve">הלר</w:t>
      </w:r>
      <w:proofErr w:type="spellEnd"/>
      <w:r>
        <w:rPr>
          <w:rtl/>
        </w:rPr>
        <w:t xml:space="preserve"> פגש לראשונה את ר׳ נתן־צבי</w:t>
      </w:r>
      <w:bookmarkStart w:id="2001" w:name="b3_ref103"/>
      <w:bookmarkEnd w:id="2001"/>
      <w:r>
        <w:rPr>
          <w:vertAlign w:val="superscript"/>
          <w:rtl/>
        </w:rPr>
        <w:fldChar w:fldCharType="begin" w:dirty="true"/>
      </w:r>
      <w:r>
        <w:rPr>
          <w:vertAlign w:val="superscript"/>
          <w:rtl/>
        </w:rPr>
        <w:instrText xml:space="preserve"> REF b3_note103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103</w:t>
      </w:r>
      <w:r>
        <w:rPr>
          <w:vertAlign w:val="superscript"/>
          <w:rtl/>
        </w:rPr>
        <w:fldChar w:fldCharType="end"/>
      </w:r>
      <w:r>
        <w:rPr>
          <w:rtl/>
        </w:rPr>
        <w:t xml:space="preserve"> כשהלה לימד תנ״ך בבית הספר שנקרא “בית ישיבה פרטי לעברים”</w:t>
      </w:r>
      <w:bookmarkStart w:id="2002" w:name="b3_ref104"/>
      <w:bookmarkEnd w:id="2002"/>
      <w:r>
        <w:rPr>
          <w:vertAlign w:val="superscript"/>
          <w:rtl/>
        </w:rPr>
        <w:fldChar w:fldCharType="begin" w:dirty="true"/>
      </w:r>
      <w:r>
        <w:rPr>
          <w:vertAlign w:val="superscript"/>
          <w:rtl/>
        </w:rPr>
        <w:instrText xml:space="preserve"> REF b3_note104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104</w:t>
      </w:r>
      <w:r>
        <w:rPr>
          <w:vertAlign w:val="superscript"/>
          <w:rtl/>
        </w:rPr>
        <w:fldChar w:fldCharType="end"/>
      </w:r>
      <w:r>
        <w:rPr>
          <w:rtl/>
        </w:rPr>
        <w:t xml:space="preserve">. את בית הספר ייסד ר׳ </w:t>
      </w:r>
      <w:proofErr w:type="spellStart"/>
      <w:r>
        <w:rPr>
          <w:rtl/>
        </w:rPr>
        <w:t>שמחה־זיסל</w:t>
      </w:r>
      <w:proofErr w:type="spellEnd"/>
      <w:r>
        <w:rPr>
          <w:rtl/>
        </w:rPr>
        <w:t xml:space="preserve"> זיו, תלמידו המובהק של ר׳ ישראל </w:t>
      </w:r>
      <w:proofErr w:type="spellStart"/>
      <w:r>
        <w:rPr>
          <w:rtl/>
        </w:rPr>
        <w:t>סלנטר</w:t>
      </w:r>
      <w:proofErr w:type="spellEnd"/>
      <w:r>
        <w:rPr>
          <w:rtl/>
        </w:rPr>
        <w:t>, בגרובין</w:t>
      </w:r>
      <w:bookmarkStart w:id="2003" w:name="b3_ref105"/>
      <w:bookmarkEnd w:id="2003"/>
      <w:r>
        <w:rPr>
          <w:vertAlign w:val="superscript"/>
          <w:rtl/>
        </w:rPr>
        <w:fldChar w:fldCharType="begin" w:dirty="true"/>
      </w:r>
      <w:r>
        <w:rPr>
          <w:vertAlign w:val="superscript"/>
          <w:rtl/>
        </w:rPr>
        <w:instrText xml:space="preserve"> REF b3_note105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105</w:t>
      </w:r>
      <w:r>
        <w:rPr>
          <w:vertAlign w:val="superscript"/>
          <w:rtl/>
        </w:rPr>
        <w:fldChar w:fldCharType="end"/>
      </w:r>
      <w:r>
        <w:rPr>
          <w:rtl/>
        </w:rPr>
        <w:t xml:space="preserve">, עיירה סמוכה </w:t>
      </w:r>
      <w:proofErr w:type="spellStart"/>
      <w:r>
        <w:rPr>
          <w:rtl/>
        </w:rPr>
        <w:t>לליבאו</w:t>
      </w:r>
      <w:proofErr w:type="spellEnd"/>
      <w:r>
        <w:rPr>
          <w:rtl/>
        </w:rPr>
        <w:t>. היה זה ניסיון נועז לבלום את השפעת ההשכלה על החיים היהודיים</w:t>
      </w:r>
      <w:bookmarkStart w:id="2004" w:name="b3_ref106"/>
      <w:bookmarkEnd w:id="2004"/>
      <w:r>
        <w:rPr>
          <w:vertAlign w:val="superscript"/>
          <w:rtl/>
        </w:rPr>
        <w:fldChar w:fldCharType="begin" w:dirty="true"/>
      </w:r>
      <w:r>
        <w:rPr>
          <w:vertAlign w:val="superscript"/>
          <w:rtl/>
        </w:rPr>
        <w:instrText xml:space="preserve"> REF b3_note106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106</w:t>
      </w:r>
      <w:r>
        <w:rPr>
          <w:vertAlign w:val="superscript"/>
          <w:rtl/>
        </w:rPr>
        <w:fldChar w:fldCharType="end"/>
      </w:r>
      <w:r>
        <w:rPr>
          <w:rtl/>
        </w:rPr>
        <w:t>. בית הספר העניק לילדי האמידים תוכנית חינוך דתית־מוסרית־כללית</w:t>
      </w:r>
      <w:bookmarkStart w:id="2005" w:name="b3_ref107"/>
      <w:bookmarkEnd w:id="2005"/>
      <w:r>
        <w:rPr>
          <w:vertAlign w:val="superscript"/>
          <w:rtl/>
        </w:rPr>
        <w:fldChar w:fldCharType="begin" w:dirty="true"/>
      </w:r>
      <w:r>
        <w:rPr>
          <w:vertAlign w:val="superscript"/>
          <w:rtl/>
        </w:rPr>
        <w:instrText xml:space="preserve"> REF b3_note107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107</w:t>
      </w:r>
      <w:r>
        <w:rPr>
          <w:vertAlign w:val="superscript"/>
          <w:rtl/>
        </w:rPr>
        <w:fldChar w:fldCharType="end"/>
      </w:r>
      <w:r>
        <w:rPr>
          <w:rtl/>
        </w:rPr>
        <w:t>, וגבה שכר לימוד שהיה למעלה מיכולתו</w:t>
      </w:r>
      <w:bookmarkStart w:id="2006" w:name="b3_ref108"/>
      <w:bookmarkEnd w:id="2006"/>
      <w:r>
        <w:rPr>
          <w:vertAlign w:val="superscript"/>
          <w:rtl/>
        </w:rPr>
        <w:fldChar w:fldCharType="begin" w:dirty="true"/>
      </w:r>
      <w:r>
        <w:rPr>
          <w:vertAlign w:val="superscript"/>
          <w:rtl/>
        </w:rPr>
        <w:instrText xml:space="preserve"> REF b3_note108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108</w:t>
      </w:r>
      <w:r>
        <w:rPr>
          <w:vertAlign w:val="superscript"/>
          <w:rtl/>
        </w:rPr>
        <w:fldChar w:fldCharType="end"/>
      </w:r>
      <w:r>
        <w:rPr>
          <w:rtl/>
        </w:rPr>
        <w:t xml:space="preserve"> של צעיר חסר אמצעים כמו הלר</w:t>
      </w:r>
      <w:bookmarkStart w:id="2007" w:name="b3_ref109"/>
      <w:bookmarkEnd w:id="2007"/>
      <w:r>
        <w:rPr>
          <w:vertAlign w:val="superscript"/>
          <w:rtl/>
        </w:rPr>
        <w:fldChar w:fldCharType="begin" w:dirty="true"/>
      </w:r>
      <w:r>
        <w:rPr>
          <w:vertAlign w:val="superscript"/>
          <w:rtl/>
        </w:rPr>
        <w:instrText xml:space="preserve"> REF b3_note109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109</w:t>
      </w:r>
      <w:r>
        <w:rPr>
          <w:vertAlign w:val="superscript"/>
          <w:rtl/>
        </w:rPr>
        <w:fldChar w:fldCharType="end"/>
      </w:r>
      <w:r>
        <w:rPr>
          <w:rtl/>
        </w:rPr>
        <w:t xml:space="preserve">. אבל </w:t>
      </w:r>
      <w:proofErr w:type="spellStart"/>
      <w:r>
        <w:rPr>
          <w:rtl/>
        </w:rPr>
        <w:t xml:space="preserve">בער־הירש</w:t>
      </w:r>
      <w:proofErr w:type="spellEnd"/>
      <w:r>
        <w:rPr>
          <w:rtl/>
        </w:rPr>
        <w:t xml:space="preserve">, שהיה כבר בשלהי שנות העשרים לחייו, השתוקק לספוג את תורת הסבא מקלם. הוא </w:t>
      </w:r>
      <w:r>
        <w:rPr>
          <w:rtl/>
        </w:rPr>
        <w:lastRenderedPageBreak/>
        <w:t>“אכל ימים” בעיר, ומדי בוקר בא אל בית הספר לשמוע את שיחותיו של הסבא מקלם אחרי התפילה</w:t>
      </w:r>
      <w:bookmarkStart w:id="2008" w:name="b3_ref110"/>
      <w:bookmarkEnd w:id="2008"/>
      <w:r>
        <w:rPr>
          <w:vertAlign w:val="superscript"/>
          <w:rtl/>
        </w:rPr>
        <w:fldChar w:fldCharType="begin" w:dirty="true"/>
      </w:r>
      <w:r>
        <w:rPr>
          <w:vertAlign w:val="superscript"/>
          <w:rtl/>
        </w:rPr>
        <w:instrText xml:space="preserve"> REF b3_note110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110</w:t>
      </w:r>
      <w:r>
        <w:rPr>
          <w:vertAlign w:val="superscript"/>
          <w:rtl/>
        </w:rPr>
        <w:fldChar w:fldCharType="end"/>
      </w:r>
      <w:r>
        <w:rPr>
          <w:rtl/>
        </w:rPr>
        <w:t>.</w:t>
      </w:r>
    </w:p>
    <w:bookmarkStart w:id="2009" w:name="b3_note103"/>
    <w:p w14:paraId="36FCCF0C" w14:textId="77777777" w:rsidR="00AB3647" w:rsidRDefault="00000000" w:rsidP="007923E9">
      <w:pPr>
        <w:spacing w:before="120" w:after="100" w:line="276" w:lineRule="auto"/>
        <w:jc w:val="both"/>
      </w:pPr>
      <w:r>
        <w:fldChar w:fldCharType="begin" w:dirty="true"/>
      </w:r>
      <w:r>
        <w:instrText>HYPERLINK \l "b3_ref103"</w:instrText>
      </w:r>
      <w:r>
        <w:fldChar w:fldCharType="separate"/>
      </w:r>
      <w:r>
        <w:rPr>
          <w:b/>
          <w:bCs/>
          <w:rtl/>
        </w:rPr>
        <w:t>103</w:t>
      </w:r>
      <w:r>
        <w:rPr>
          <w:b/>
          <w:bCs/>
        </w:rPr>
        <w:fldChar w:fldCharType="end"/>
      </w:r>
      <w:bookmarkEnd w:id="2009"/>
      <w:r>
        <w:rPr>
          <w:rtl/>
        </w:rPr>
        <w:t xml:space="preserve"> הרב </w:t>
      </w:r>
      <w:proofErr w:type="spellStart"/>
      <w:r>
        <w:rPr>
          <w:rtl/>
        </w:rPr>
        <w:t xml:space="preserve">הלר</w:t>
      </w:r>
      <w:proofErr w:type="spellEnd"/>
      <w:r>
        <w:rPr>
          <w:rtl/>
        </w:rPr>
        <w:t xml:space="preserve"> למד גם </w:t>
      </w:r>
      <w:proofErr w:type="spellStart"/>
      <w:r>
        <w:rPr>
          <w:rtl/>
        </w:rPr>
        <w:t>בוולוז׳ין</w:t>
      </w:r>
      <w:proofErr w:type="spellEnd"/>
      <w:r>
        <w:rPr>
          <w:rtl/>
        </w:rPr>
        <w:t xml:space="preserve">. ר׳ חיים </w:t>
      </w:r>
      <w:proofErr w:type="spellStart"/>
      <w:r>
        <w:rPr>
          <w:rtl/>
        </w:rPr>
        <w:t>קרייזווירט</w:t>
      </w:r>
      <w:bookmarkStart w:id="2010" w:name="_fnr1272"/>
      <w:proofErr w:type="spellEnd"/>
      <w:r>
        <w:rPr>
          <w:rStyle w:val="a5"/>
        </w:rPr>
        <w:footnoteReference w:id="1275" w:customMarkFollows="0"/>
      </w:r>
      <w:bookmarkEnd w:id="2010"/>
      <w:r>
        <w:rPr>
          <w:rtl/>
        </w:rPr>
        <w:t xml:space="preserve"> גילה זאת כשבא לארץ ישראל מיד לאחר נישואיו: אלמנתו של ר׳ </w:t>
      </w:r>
      <w:proofErr w:type="spellStart"/>
      <w:r>
        <w:rPr>
          <w:rtl/>
        </w:rPr>
        <w:t xml:space="preserve">בער־הירש</w:t>
      </w:r>
      <w:proofErr w:type="spellEnd"/>
      <w:r>
        <w:rPr>
          <w:rtl/>
        </w:rPr>
        <w:t xml:space="preserve">, </w:t>
      </w:r>
      <w:proofErr w:type="spellStart"/>
      <w:r>
        <w:rPr>
          <w:rtl/>
        </w:rPr>
        <w:t>פייגה־אסתר</w:t>
      </w:r>
      <w:proofErr w:type="spellEnd"/>
      <w:r>
        <w:rPr>
          <w:rtl/>
        </w:rPr>
        <w:t xml:space="preserve">, עוד הייתה בחיים, והראתה לו את הסמיכה שקיבל בעלה מן </w:t>
      </w:r>
      <w:proofErr w:type="spellStart"/>
      <w:r>
        <w:rPr>
          <w:rtl/>
        </w:rPr>
        <w:t>הנצי״ב</w:t>
      </w:r>
      <w:proofErr w:type="spellEnd"/>
      <w:r>
        <w:rPr>
          <w:rtl/>
        </w:rPr>
        <w:t xml:space="preserve">. הרב </w:t>
      </w:r>
      <w:proofErr w:type="spellStart"/>
      <w:r>
        <w:rPr>
          <w:rtl/>
        </w:rPr>
        <w:t>קרייזווירט</w:t>
      </w:r>
      <w:proofErr w:type="spellEnd"/>
      <w:r>
        <w:rPr>
          <w:rtl/>
        </w:rPr>
        <w:t xml:space="preserve"> לא זכר את תאריך המסמך, שאבד מאז, אבל ודאי היה זה לפני שבא הרב </w:t>
      </w:r>
      <w:proofErr w:type="spellStart"/>
      <w:r>
        <w:rPr>
          <w:rtl/>
        </w:rPr>
        <w:t xml:space="preserve">הלר</w:t>
      </w:r>
      <w:proofErr w:type="spellEnd"/>
      <w:r>
        <w:rPr>
          <w:rtl/>
        </w:rPr>
        <w:t xml:space="preserve"> </w:t>
      </w:r>
      <w:proofErr w:type="spellStart"/>
      <w:r>
        <w:rPr>
          <w:rtl/>
        </w:rPr>
        <w:t>לגרובין</w:t>
      </w:r>
      <w:proofErr w:type="spellEnd"/>
      <w:r>
        <w:rPr>
          <w:rtl/>
        </w:rPr>
        <w:t xml:space="preserve">, שכן משם כבר יצא </w:t>
      </w:r>
      <w:proofErr w:type="spellStart"/>
      <w:r>
        <w:rPr>
          <w:rtl/>
        </w:rPr>
        <w:t>לסלבודקה</w:t>
      </w:r>
      <w:proofErr w:type="spellEnd"/>
      <w:r>
        <w:rPr>
          <w:rtl/>
        </w:rPr>
        <w:t xml:space="preserve"> עם הסבא. כדי לקבל סמיכה </w:t>
      </w:r>
      <w:proofErr w:type="spellStart"/>
      <w:r>
        <w:rPr>
          <w:rtl/>
        </w:rPr>
        <w:t>מוולוז׳ין</w:t>
      </w:r>
      <w:proofErr w:type="spellEnd"/>
      <w:r>
        <w:rPr>
          <w:rtl/>
        </w:rPr>
        <w:t>, ודאי למד שם כמה שנים.</w:t>
      </w:r>
    </w:p>
    <w:p w14:paraId="1B9FC1D3" w14:textId="1FBF335C" w:rsidR="00AB3647" w:rsidRDefault="00000000" w:rsidP="007923E9">
      <w:pPr>
        <w:spacing w:before="120" w:after="100" w:line="276" w:lineRule="auto"/>
        <w:jc w:val="both"/>
      </w:pPr>
      <w:r>
        <w:rPr>
          <w:rtl/>
        </w:rPr>
        <w:t xml:space="preserve">אני משער שבא </w:t>
      </w:r>
      <w:proofErr w:type="spellStart"/>
      <w:r>
        <w:rPr>
          <w:rtl/>
        </w:rPr>
        <w:t>לוולוז׳ין</w:t>
      </w:r>
      <w:proofErr w:type="spellEnd"/>
      <w:r>
        <w:rPr>
          <w:rtl/>
        </w:rPr>
        <w:t xml:space="preserve"> בגיל </w:t>
      </w:r>
      <w:proofErr w:type="spellStart"/>
      <w:r>
        <w:rPr>
          <w:rtl/>
        </w:rPr>
        <w:t>שמונה־עשרה</w:t>
      </w:r>
      <w:proofErr w:type="spellEnd"/>
      <w:r>
        <w:rPr>
          <w:rtl/>
        </w:rPr>
        <w:t xml:space="preserve"> ונשאר בה שש שנים לפחות, עד שנסמך. (ייתכן שנשאר </w:t>
      </w:r>
      <w:proofErr w:type="spellStart"/>
      <w:r>
        <w:rPr>
          <w:rtl/>
        </w:rPr>
        <w:t>אחת־עשרה</w:t>
      </w:r>
      <w:proofErr w:type="spellEnd"/>
      <w:r>
        <w:rPr>
          <w:rtl/>
        </w:rPr>
        <w:t xml:space="preserve"> שנים – השווה עמ׳ </w:t>
      </w:r>
      <w:r>
        <w:rPr>
          <w:rtl/>
        </w:rPr>
        <w:fldChar w:fldCharType="begin" w:dirty="true"/>
      </w:r>
      <w:r>
        <w:rPr>
          <w:rtl/>
        </w:rPr>
        <w:instrText xml:space="preserve"> PAGEREF pr_f_3969 \h </w:instrText>
      </w:r>
      <w:r>
        <w:rPr>
          <w:rtl/>
        </w:rPr>
      </w:r>
      <w:r>
        <w:rPr>
          <w:rtl/>
        </w:rPr>
        <w:fldChar w:fldCharType="separate"/>
      </w:r>
      <w:r w:rsidR="007923E9">
        <w:rPr>
          <w:noProof/>
          <w:rtl/>
        </w:rPr>
        <w:t>1</w:t>
      </w:r>
      <w:r>
        <w:rPr>
          <w:rtl/>
        </w:rPr>
        <w:fldChar w:fldCharType="end"/>
      </w:r>
      <w:r>
        <w:rPr>
          <w:rtl/>
        </w:rPr>
        <w:t xml:space="preserve">, הערת שוליים </w:t>
      </w:r>
      <w:r>
        <w:rPr>
          <w:rtl/>
        </w:rPr>
        <w:fldChar w:fldCharType="begin" w:dirty="true"/>
      </w:r>
      <w:r>
        <w:rPr>
          <w:rtl/>
        </w:rPr>
        <w:instrText xml:space="preserve"> NOTEREF pr_f_3969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1046</w:t>
      </w:r>
      <w:r>
        <w:rPr>
          <w:rtl/>
        </w:rPr>
        <w:fldChar w:fldCharType="end"/>
      </w:r>
      <w:r>
        <w:rPr>
          <w:rtl/>
        </w:rPr>
        <w:t xml:space="preserve">.) סמיכה אחרת שהראו אז לרב </w:t>
      </w:r>
      <w:proofErr w:type="spellStart"/>
      <w:r>
        <w:rPr>
          <w:rtl/>
        </w:rPr>
        <w:t>קרייזווירט</w:t>
      </w:r>
      <w:proofErr w:type="spellEnd"/>
      <w:r>
        <w:rPr>
          <w:rtl/>
        </w:rPr>
        <w:t xml:space="preserve"> הייתה מר׳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וזו ניתנה כנראה </w:t>
      </w:r>
      <w:proofErr w:type="spellStart"/>
      <w:r>
        <w:rPr>
          <w:rtl/>
        </w:rPr>
        <w:t>לר</w:t>
      </w:r>
      <w:proofErr w:type="spellEnd"/>
      <w:r>
        <w:rPr>
          <w:rtl/>
        </w:rPr>
        <w:t xml:space="preserve">׳ </w:t>
      </w:r>
      <w:proofErr w:type="spellStart"/>
      <w:r>
        <w:rPr>
          <w:rtl/>
        </w:rPr>
        <w:t xml:space="preserve">בער־הירש</w:t>
      </w:r>
      <w:proofErr w:type="spellEnd"/>
      <w:r>
        <w:rPr>
          <w:rtl/>
        </w:rPr>
        <w:t xml:space="preserve"> לאחר שבא </w:t>
      </w:r>
      <w:proofErr w:type="spellStart"/>
      <w:r>
        <w:rPr>
          <w:rtl/>
        </w:rPr>
        <w:t>לסלבודקה</w:t>
      </w:r>
      <w:proofErr w:type="spellEnd"/>
      <w:r>
        <w:rPr>
          <w:rtl/>
        </w:rPr>
        <w:t>.</w:t>
      </w:r>
    </w:p>
    <w:p w14:paraId="5ADB738C" w14:textId="05221BE1" w:rsidR="00AB3647" w:rsidRDefault="00000000" w:rsidP="007923E9">
      <w:pPr>
        <w:spacing w:after="100" w:line="276" w:lineRule="auto"/>
        <w:ind w:firstLine="340"/>
        <w:jc w:val="both"/>
      </w:pPr>
      <w:r>
        <w:rPr>
          <w:rtl/>
        </w:rPr>
        <w:t xml:space="preserve">מעניין שהרב </w:t>
      </w:r>
      <w:proofErr w:type="spellStart"/>
      <w:r>
        <w:rPr>
          <w:rtl/>
        </w:rPr>
        <w:t xml:space="preserve">הלר</w:t>
      </w:r>
      <w:proofErr w:type="spellEnd"/>
      <w:r>
        <w:rPr>
          <w:rtl/>
        </w:rPr>
        <w:t xml:space="preserve"> נמשך למוסר אף שלמד אצל </w:t>
      </w:r>
      <w:proofErr w:type="spellStart"/>
      <w:r>
        <w:rPr>
          <w:rtl/>
        </w:rPr>
        <w:t>הנצי״ב</w:t>
      </w:r>
      <w:proofErr w:type="spellEnd"/>
      <w:r>
        <w:rPr>
          <w:rtl/>
        </w:rPr>
        <w:t>, שהתנגד למוסר, עד שנסמך</w:t>
      </w:r>
      <w:bookmarkStart w:id="2011" w:name="_fnr1273"/>
      <w:r>
        <w:rPr>
          <w:rStyle w:val="a5"/>
        </w:rPr>
        <w:footnoteReference w:id="1276" w:customMarkFollows="0"/>
      </w:r>
      <w:bookmarkEnd w:id="2011"/>
      <w:r>
        <w:rPr>
          <w:rtl/>
        </w:rPr>
        <w:t>. אפשר לשער שפיתח את התעניינותו הרבה</w:t>
      </w:r>
      <w:r>
        <w:t xml:space="preserve"> </w:t>
      </w:r>
      <w:r>
        <w:rPr>
          <w:rtl/>
        </w:rPr>
        <w:t xml:space="preserve">במוסר רק אחרי שעזב את </w:t>
      </w:r>
      <w:proofErr w:type="spellStart"/>
      <w:r>
        <w:rPr>
          <w:rtl/>
        </w:rPr>
        <w:t>וולוז׳ין</w:t>
      </w:r>
      <w:proofErr w:type="spellEnd"/>
      <w:r>
        <w:rPr>
          <w:rtl/>
        </w:rPr>
        <w:t xml:space="preserve">. אבל ייתכן שכבר למד שם מוסר, כמו תלמיד אחר, צעיר ממנו בשנה, שתיאר בזיכרונותיו את נטייתו למוסר – השווה 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bookmarkStart w:id="2012" w:name="b3_note104"/>
    <w:p w14:paraId="2FECAF08" w14:textId="77777777" w:rsidR="00AB3647" w:rsidRDefault="00000000" w:rsidP="007923E9">
      <w:pPr>
        <w:spacing w:before="120" w:after="100" w:line="276" w:lineRule="auto"/>
        <w:jc w:val="both"/>
      </w:pPr>
      <w:r>
        <w:fldChar w:fldCharType="begin" w:dirty="true"/>
      </w:r>
      <w:r>
        <w:instrText>HYPERLINK \l "b3_ref104"</w:instrText>
      </w:r>
      <w:r>
        <w:fldChar w:fldCharType="separate"/>
      </w:r>
      <w:r>
        <w:rPr>
          <w:b/>
          <w:bCs/>
          <w:rtl/>
        </w:rPr>
        <w:t>104</w:t>
      </w:r>
      <w:r>
        <w:rPr>
          <w:b/>
          <w:bCs/>
        </w:rPr>
        <w:fldChar w:fldCharType="end"/>
      </w:r>
      <w:bookmarkEnd w:id="2012"/>
      <w:r>
        <w:rPr>
          <w:rtl/>
        </w:rPr>
        <w:t xml:space="preserve"> ממכתב לקוראים </w:t>
      </w:r>
      <w:proofErr w:type="spellStart"/>
      <w:r>
        <w:rPr>
          <w:rtl/>
        </w:rPr>
        <w:t>ב“הצפירה</w:t>
      </w:r>
      <w:proofErr w:type="spellEnd"/>
      <w:r>
        <w:rPr>
          <w:rtl/>
        </w:rPr>
        <w:t>”.</w:t>
      </w:r>
      <w:bookmarkStart w:id="2013" w:name="_fnr1274"/>
      <w:r>
        <w:rPr>
          <w:rStyle w:val="a5"/>
        </w:rPr>
        <w:footnoteReference w:id="1277" w:customMarkFollows="0"/>
      </w:r>
      <w:bookmarkEnd w:id="2013"/>
    </w:p>
    <w:bookmarkStart w:id="2014" w:name="b3_note105"/>
    <w:p w14:paraId="26039256" w14:textId="77777777" w:rsidR="00AB3647" w:rsidRDefault="00000000" w:rsidP="007923E9">
      <w:pPr>
        <w:spacing w:before="120" w:after="100" w:line="276" w:lineRule="auto"/>
        <w:jc w:val="both"/>
      </w:pPr>
      <w:r>
        <w:fldChar w:fldCharType="begin" w:dirty="true"/>
      </w:r>
      <w:r>
        <w:instrText>HYPERLINK \l "b3_ref105"</w:instrText>
      </w:r>
      <w:r>
        <w:fldChar w:fldCharType="separate"/>
      </w:r>
      <w:r>
        <w:rPr>
          <w:b/>
          <w:bCs/>
          <w:rtl/>
        </w:rPr>
        <w:t>105</w:t>
      </w:r>
      <w:r>
        <w:rPr>
          <w:b/>
          <w:bCs/>
        </w:rPr>
        <w:fldChar w:fldCharType="end"/>
      </w:r>
      <w:bookmarkEnd w:id="2014"/>
      <w:r>
        <w:rPr>
          <w:rtl/>
        </w:rPr>
        <w:t xml:space="preserve"> הרב </w:t>
      </w:r>
      <w:proofErr w:type="spellStart"/>
      <w:r>
        <w:rPr>
          <w:rtl/>
        </w:rPr>
        <w:t>דסלר</w:t>
      </w:r>
      <w:proofErr w:type="spellEnd"/>
      <w:r>
        <w:rPr>
          <w:rtl/>
        </w:rPr>
        <w:t xml:space="preserve">, תושב אמיד של העיירה, העמיד לרשות ר׳ </w:t>
      </w:r>
      <w:proofErr w:type="spellStart"/>
      <w:r>
        <w:rPr>
          <w:rtl/>
        </w:rPr>
        <w:t>שמחה־זיסל</w:t>
      </w:r>
      <w:proofErr w:type="spellEnd"/>
      <w:r>
        <w:rPr>
          <w:rtl/>
        </w:rPr>
        <w:t xml:space="preserve"> זיו אחוזה מפוארת. הוא הקיף אותה בחומה גבוהה והפך אותה לבית ספר פרטי עם פנימייה, ובו קיבלו התלמידים מזון מן המשובח ביותר</w:t>
      </w:r>
      <w:bookmarkStart w:id="2015" w:name="_fnr1275"/>
      <w:r>
        <w:rPr>
          <w:rStyle w:val="a5"/>
        </w:rPr>
        <w:footnoteReference w:id="1278" w:customMarkFollows="0"/>
      </w:r>
      <w:bookmarkEnd w:id="2015"/>
      <w:r>
        <w:rPr>
          <w:rtl/>
        </w:rPr>
        <w:t>.</w:t>
      </w:r>
    </w:p>
    <w:p w14:paraId="7211AB35" w14:textId="77777777" w:rsidR="00AB3647" w:rsidRDefault="00000000" w:rsidP="007923E9">
      <w:pPr>
        <w:spacing w:before="120" w:after="100" w:line="276" w:lineRule="auto"/>
        <w:jc w:val="both"/>
      </w:pPr>
      <w:r>
        <w:rPr>
          <w:rtl/>
        </w:rPr>
        <w:t xml:space="preserve">אבי מסר ששמו הפרטי של הרב </w:t>
      </w:r>
      <w:proofErr w:type="spellStart"/>
      <w:r>
        <w:rPr>
          <w:rtl/>
        </w:rPr>
        <w:t>דסלר</w:t>
      </w:r>
      <w:proofErr w:type="spellEnd"/>
      <w:r>
        <w:rPr>
          <w:rtl/>
        </w:rPr>
        <w:t xml:space="preserve"> היה דוד (ר׳ </w:t>
      </w:r>
      <w:proofErr w:type="spellStart"/>
      <w:r>
        <w:rPr>
          <w:rtl/>
        </w:rPr>
        <w:t>ישראל־דוד</w:t>
      </w:r>
      <w:proofErr w:type="spellEnd"/>
      <w:r>
        <w:rPr>
          <w:rtl/>
        </w:rPr>
        <w:t xml:space="preserve"> </w:t>
      </w:r>
      <w:proofErr w:type="spellStart"/>
      <w:r>
        <w:rPr>
          <w:rtl/>
        </w:rPr>
        <w:t>דסלר</w:t>
      </w:r>
      <w:proofErr w:type="spellEnd"/>
      <w:r>
        <w:rPr>
          <w:rtl/>
        </w:rPr>
        <w:t xml:space="preserve"> היה אביו של ר׳ </w:t>
      </w:r>
      <w:proofErr w:type="spellStart"/>
      <w:r>
        <w:rPr>
          <w:rtl/>
        </w:rPr>
        <w:t>ראובן־בער</w:t>
      </w:r>
      <w:bookmarkStart w:id="2016" w:name="_fnr1276"/>
      <w:proofErr w:type="spellEnd"/>
      <w:r>
        <w:rPr>
          <w:rStyle w:val="a5"/>
        </w:rPr>
        <w:footnoteReference w:id="1279" w:customMarkFollows="0"/>
      </w:r>
      <w:bookmarkEnd w:id="2016"/>
      <w:r>
        <w:rPr>
          <w:rtl/>
        </w:rPr>
        <w:t>), אבל כץ, “תנועת המוסר”, כרך ב</w:t>
      </w:r>
      <w:bookmarkStart w:id="2017" w:name="_fnr1277"/>
      <w:r>
        <w:rPr>
          <w:rStyle w:val="a5"/>
        </w:rPr>
        <w:footnoteReference w:id="1280" w:customMarkFollows="0"/>
      </w:r>
      <w:bookmarkEnd w:id="2017"/>
      <w:r>
        <w:rPr>
          <w:rtl/>
        </w:rPr>
        <w:t xml:space="preserve">, קורא לנדבן ר׳ אליעזר. לפי מכתב </w:t>
      </w:r>
      <w:proofErr w:type="spellStart"/>
      <w:r>
        <w:rPr>
          <w:rtl/>
        </w:rPr>
        <w:t>ב“הצפירה</w:t>
      </w:r>
      <w:proofErr w:type="spellEnd"/>
      <w:r>
        <w:rPr>
          <w:rtl/>
        </w:rPr>
        <w:t>”,</w:t>
      </w:r>
      <w:bookmarkStart w:id="2018" w:name="_fnr1278"/>
      <w:r>
        <w:rPr>
          <w:rStyle w:val="a5"/>
        </w:rPr>
        <w:footnoteReference w:id="1281" w:customMarkFollows="0"/>
      </w:r>
      <w:bookmarkEnd w:id="2018"/>
      <w:r>
        <w:rPr>
          <w:rtl/>
        </w:rPr>
        <w:t xml:space="preserve"> ר׳ אליעזר </w:t>
      </w:r>
      <w:proofErr w:type="spellStart"/>
      <w:r>
        <w:rPr>
          <w:rtl/>
        </w:rPr>
        <w:t>דסלר</w:t>
      </w:r>
      <w:proofErr w:type="spellEnd"/>
      <w:r>
        <w:rPr>
          <w:rtl/>
        </w:rPr>
        <w:t xml:space="preserve"> תרם את הבניין, “שקנה ב־10,200 רובל”, “וגם קרובו... ר׳ דוד עשה הרבה בכוחו, בהונו ובכל מאודו להכינו ולקיימו, להגדיל כבודו ולהאדיר תכליתו... ואת הכול עשה בהצנע לכת”. אבל במכתב מאוחר יותר </w:t>
      </w:r>
      <w:proofErr w:type="spellStart"/>
      <w:r>
        <w:rPr>
          <w:rtl/>
        </w:rPr>
        <w:t>ב“הצפירה</w:t>
      </w:r>
      <w:proofErr w:type="spellEnd"/>
      <w:r>
        <w:rPr>
          <w:rtl/>
        </w:rPr>
        <w:t>”</w:t>
      </w:r>
      <w:bookmarkStart w:id="2019" w:name="_fnr1279"/>
      <w:r>
        <w:rPr>
          <w:rStyle w:val="a5"/>
        </w:rPr>
        <w:footnoteReference w:id="1282" w:customMarkFollows="0"/>
      </w:r>
      <w:bookmarkEnd w:id="2019"/>
      <w:r>
        <w:rPr>
          <w:rtl/>
        </w:rPr>
        <w:t xml:space="preserve"> מוזכר רק ר׳ דוד, כמי שתרם את הבית </w:t>
      </w:r>
      <w:proofErr w:type="spellStart"/>
      <w:r>
        <w:rPr>
          <w:rtl/>
        </w:rPr>
        <w:t>ו“תרם</w:t>
      </w:r>
      <w:proofErr w:type="spellEnd"/>
      <w:r>
        <w:rPr>
          <w:rtl/>
        </w:rPr>
        <w:t xml:space="preserve"> לכל מה [שהיה] דרוש” לו.</w:t>
      </w:r>
    </w:p>
    <w:bookmarkStart w:id="2020" w:name="b3_note106"/>
    <w:p w14:paraId="2AE1F269" w14:textId="77777777" w:rsidR="00AB3647" w:rsidRDefault="00000000" w:rsidP="007923E9">
      <w:pPr>
        <w:spacing w:before="120" w:after="100" w:line="276" w:lineRule="auto"/>
        <w:jc w:val="both"/>
      </w:pPr>
      <w:r>
        <w:lastRenderedPageBreak/>
        <w:fldChar w:fldCharType="begin" w:dirty="true"/>
      </w:r>
      <w:r>
        <w:instrText>HYPERLINK \l "b3_ref106"</w:instrText>
      </w:r>
      <w:r>
        <w:fldChar w:fldCharType="separate"/>
      </w:r>
      <w:r>
        <w:rPr>
          <w:b/>
          <w:bCs/>
          <w:rtl/>
        </w:rPr>
        <w:t>106</w:t>
      </w:r>
      <w:r>
        <w:rPr>
          <w:b/>
          <w:bCs/>
        </w:rPr>
        <w:fldChar w:fldCharType="end"/>
      </w:r>
      <w:bookmarkEnd w:id="2020"/>
      <w:r>
        <w:rPr>
          <w:rtl/>
        </w:rPr>
        <w:t xml:space="preserve"> אנציקלופדיה יודאיקה</w:t>
      </w:r>
      <w:bookmarkStart w:id="2021" w:name="_fnr1280"/>
      <w:r>
        <w:rPr>
          <w:rStyle w:val="a5"/>
        </w:rPr>
        <w:footnoteReference w:id="1283" w:customMarkFollows="0"/>
      </w:r>
      <w:bookmarkEnd w:id="2021"/>
      <w:r>
        <w:rPr>
          <w:rtl/>
        </w:rPr>
        <w:t xml:space="preserve"> אומרת: מאמצע המאה ה־19 החלה ההשכלה להשפיע על יהודי רוסיה, ובשנות השבעים של אותה מאה החלו מאמצי המשכילים להניב פרי. המוני הנוער היהודי זרמו לבתי הספר </w:t>
      </w:r>
      <w:proofErr w:type="spellStart"/>
      <w:r>
        <w:rPr>
          <w:rtl/>
        </w:rPr>
        <w:t>הרוסיים־יהודיים</w:t>
      </w:r>
      <w:proofErr w:type="spellEnd"/>
      <w:r>
        <w:rPr>
          <w:rtl/>
        </w:rPr>
        <w:t xml:space="preserve"> ולבתי הספר הרוסיים הכלליים. חוק גיוס החובה הכללי משנת 1874, שפטר</w:t>
      </w:r>
      <w:r>
        <w:t xml:space="preserve"> </w:t>
      </w:r>
      <w:r>
        <w:rPr>
          <w:rtl/>
        </w:rPr>
        <w:t>מן השירות הצבאי את בעלי תעודת הסיום של בית ספר תיכון, עודד תהליך זה. כך החל ניכורו של הנוער המשכיל מעמו ומענייני היהדות.</w:t>
      </w:r>
    </w:p>
    <w:bookmarkStart w:id="2022" w:name="b3_note107"/>
    <w:p w14:paraId="391D7E30" w14:textId="089436D9" w:rsidR="00AB3647" w:rsidRDefault="00000000" w:rsidP="007923E9">
      <w:pPr>
        <w:spacing w:before="120" w:after="100" w:line="276" w:lineRule="auto"/>
        <w:jc w:val="both"/>
      </w:pPr>
      <w:r>
        <w:fldChar w:fldCharType="begin" w:dirty="true"/>
      </w:r>
      <w:r>
        <w:instrText>HYPERLINK \l "b3_ref107"</w:instrText>
      </w:r>
      <w:r>
        <w:fldChar w:fldCharType="separate"/>
      </w:r>
      <w:r>
        <w:rPr>
          <w:b/>
          <w:bCs/>
          <w:rtl/>
        </w:rPr>
        <w:t>107</w:t>
      </w:r>
      <w:r>
        <w:rPr>
          <w:b/>
          <w:bCs/>
        </w:rPr>
        <w:fldChar w:fldCharType="end"/>
      </w:r>
      <w:bookmarkEnd w:id="2022"/>
      <w:r>
        <w:rPr>
          <w:rtl/>
        </w:rPr>
        <w:t xml:space="preserve"> ראה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w:t>
      </w:r>
    </w:p>
    <w:bookmarkStart w:id="2023" w:name="b3_note108"/>
    <w:p w14:paraId="3B7EBB53" w14:textId="77777777" w:rsidR="00AB3647" w:rsidRDefault="00000000" w:rsidP="007923E9">
      <w:pPr>
        <w:spacing w:before="120" w:after="100" w:line="276" w:lineRule="auto"/>
        <w:jc w:val="both"/>
      </w:pPr>
      <w:r>
        <w:fldChar w:fldCharType="begin" w:dirty="true"/>
      </w:r>
      <w:r>
        <w:instrText>HYPERLINK \l "b3_ref108"</w:instrText>
      </w:r>
      <w:r>
        <w:fldChar w:fldCharType="separate"/>
      </w:r>
      <w:r>
        <w:rPr>
          <w:b/>
          <w:bCs/>
          <w:rtl/>
        </w:rPr>
        <w:t>108</w:t>
      </w:r>
      <w:r>
        <w:rPr>
          <w:b/>
          <w:bCs/>
        </w:rPr>
        <w:fldChar w:fldCharType="end"/>
      </w:r>
      <w:bookmarkEnd w:id="2023"/>
      <w:r>
        <w:rPr>
          <w:rtl/>
        </w:rPr>
        <w:t xml:space="preserve"> השווה “מכתב </w:t>
      </w:r>
      <w:proofErr w:type="spellStart"/>
      <w:r>
        <w:rPr>
          <w:rtl/>
        </w:rPr>
        <w:t>מוולוז׳ין</w:t>
      </w:r>
      <w:proofErr w:type="spellEnd"/>
      <w:r>
        <w:rPr>
          <w:rtl/>
        </w:rPr>
        <w:t>” מאת “</w:t>
      </w:r>
      <w:proofErr w:type="spellStart"/>
      <w:r>
        <w:rPr>
          <w:rtl/>
        </w:rPr>
        <w:t>אי״ש</w:t>
      </w:r>
      <w:proofErr w:type="spellEnd"/>
      <w:r>
        <w:rPr>
          <w:rtl/>
        </w:rPr>
        <w:t xml:space="preserve">” </w:t>
      </w:r>
      <w:proofErr w:type="spellStart"/>
      <w:r>
        <w:rPr>
          <w:rtl/>
        </w:rPr>
        <w:t>ב“הצפירה</w:t>
      </w:r>
      <w:proofErr w:type="spellEnd"/>
      <w:r>
        <w:rPr>
          <w:rtl/>
        </w:rPr>
        <w:t xml:space="preserve">” מיום כ״ב באלול תרמ״ב, שנתיים לאחר שנוסד בית הספר </w:t>
      </w:r>
      <w:proofErr w:type="spellStart"/>
      <w:r>
        <w:rPr>
          <w:rtl/>
        </w:rPr>
        <w:t>בגרובין</w:t>
      </w:r>
      <w:bookmarkStart w:id="2024" w:name="_fnr1281"/>
      <w:proofErr w:type="spellEnd"/>
      <w:r>
        <w:rPr>
          <w:rStyle w:val="a5"/>
        </w:rPr>
        <w:footnoteReference w:id="1284" w:customMarkFollows="0"/>
      </w:r>
      <w:bookmarkEnd w:id="2024"/>
      <w:r>
        <w:rPr>
          <w:rtl/>
        </w:rPr>
        <w:t xml:space="preserve">. המכתב מבקר את ר׳ </w:t>
      </w:r>
      <w:proofErr w:type="spellStart"/>
      <w:r>
        <w:rPr>
          <w:rtl/>
        </w:rPr>
        <w:t>יצחק־יעקב</w:t>
      </w:r>
      <w:proofErr w:type="spellEnd"/>
      <w:r>
        <w:rPr>
          <w:rtl/>
        </w:rPr>
        <w:t xml:space="preserve"> ריינס – רבה של </w:t>
      </w:r>
      <w:proofErr w:type="spellStart"/>
      <w:r>
        <w:rPr>
          <w:rtl/>
        </w:rPr>
        <w:t>שווינציאן</w:t>
      </w:r>
      <w:proofErr w:type="spellEnd"/>
      <w:r>
        <w:rPr>
          <w:rtl/>
        </w:rPr>
        <w:t xml:space="preserve"> באותו זמן ובשנתיים שלאחר מכן, ואחריהן רבה של לידה – על שתכנן ישיבה קטנה עם לימודי חול שתממן את עצמה משכר לימוד, דבר שמגביל אותה בהכרח לילדי העשירים. הכותב מציע שר׳ </w:t>
      </w:r>
      <w:proofErr w:type="spellStart"/>
      <w:r>
        <w:rPr>
          <w:rtl/>
        </w:rPr>
        <w:t>יצחק־יעקב</w:t>
      </w:r>
      <w:proofErr w:type="spellEnd"/>
      <w:r>
        <w:rPr>
          <w:rtl/>
        </w:rPr>
        <w:t xml:space="preserve"> ריינס יקיים דווקא את מאמר חכמים, “הזהרו בבני עניים שמהם תצא תורה”</w:t>
      </w:r>
      <w:bookmarkStart w:id="2025" w:name="_fnr1282"/>
      <w:r>
        <w:rPr>
          <w:rStyle w:val="a5"/>
        </w:rPr>
        <w:footnoteReference w:id="1285" w:customMarkFollows="0"/>
      </w:r>
      <w:bookmarkEnd w:id="2025"/>
      <w:r>
        <w:rPr>
          <w:rtl/>
        </w:rPr>
        <w:t>, ויניח למשולחים “המקיפים את העולם מדי שנה בקופותיהם” לגייס את הכסף</w:t>
      </w:r>
      <w:bookmarkStart w:id="2026" w:name="_fnr1283"/>
      <w:r>
        <w:rPr>
          <w:rStyle w:val="a5"/>
        </w:rPr>
        <w:footnoteReference w:id="1286" w:customMarkFollows="0"/>
      </w:r>
      <w:bookmarkEnd w:id="2026"/>
      <w:r>
        <w:rPr>
          <w:rtl/>
        </w:rPr>
        <w:t>.</w:t>
      </w:r>
    </w:p>
    <w:p w14:paraId="07E5285C" w14:textId="77777777" w:rsidR="00AB3647" w:rsidRDefault="00000000" w:rsidP="007923E9">
      <w:pPr>
        <w:spacing w:before="120" w:after="100" w:line="276" w:lineRule="auto"/>
        <w:jc w:val="both"/>
      </w:pPr>
      <w:r>
        <w:rPr>
          <w:rtl/>
        </w:rPr>
        <w:t xml:space="preserve">אבל </w:t>
      </w:r>
      <w:proofErr w:type="spellStart"/>
      <w:r>
        <w:rPr>
          <w:rtl/>
        </w:rPr>
        <w:t>גרובין</w:t>
      </w:r>
      <w:proofErr w:type="spellEnd"/>
      <w:r>
        <w:rPr>
          <w:rtl/>
        </w:rPr>
        <w:t xml:space="preserve"> לא גבתה שכר לימוד גבוה כדי לכסות את תקציבה, אלא כדי למשוך את שכבת העילית בחברה היהודית. כמו שיובא בהערה הבאה, התקציב אכן לא כוסה, משום שמספר ניכר של ילדים עניים התקבלו לבית הספר משיקולים אחרים, כנראה חינוכיים. השווה גם כץ, “תנועת המוסר”, כרך ב</w:t>
      </w:r>
      <w:bookmarkStart w:id="2027" w:name="_fnr1284"/>
      <w:r>
        <w:rPr>
          <w:rStyle w:val="a5"/>
        </w:rPr>
        <w:footnoteReference w:id="1287" w:customMarkFollows="0"/>
      </w:r>
      <w:bookmarkEnd w:id="2027"/>
      <w:r>
        <w:rPr>
          <w:rtl/>
        </w:rPr>
        <w:t>, המזכיר את הגירעון בתקציב ומביא</w:t>
      </w:r>
      <w:bookmarkStart w:id="2028" w:name="_fnr1285"/>
      <w:r>
        <w:rPr>
          <w:rStyle w:val="a5"/>
        </w:rPr>
        <w:footnoteReference w:id="1288" w:customMarkFollows="0"/>
      </w:r>
      <w:bookmarkEnd w:id="2028"/>
      <w:r>
        <w:rPr>
          <w:rtl/>
        </w:rPr>
        <w:t xml:space="preserve"> איגרת שכתב הסבא מקלם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בתרמ״א</w:t>
      </w:r>
      <w:proofErr w:type="spellEnd"/>
      <w:r>
        <w:rPr>
          <w:rtl/>
        </w:rPr>
        <w:t>, שנה</w:t>
      </w:r>
      <w:r>
        <w:t xml:space="preserve"> </w:t>
      </w:r>
      <w:r>
        <w:rPr>
          <w:rtl/>
        </w:rPr>
        <w:t>לאחר פתיחת בית הספר, ובה הוא כבר מתלונן שהוא חולה מכדי להוסיף ולשאת “משא כספי כבד כל כך”</w:t>
      </w:r>
      <w:bookmarkStart w:id="2029" w:name="_fnr1286"/>
      <w:r>
        <w:rPr>
          <w:rStyle w:val="a5"/>
        </w:rPr>
        <w:footnoteReference w:id="1289" w:customMarkFollows="0"/>
      </w:r>
      <w:bookmarkEnd w:id="2029"/>
      <w:r>
        <w:rPr>
          <w:rtl/>
        </w:rPr>
        <w:t>. יעקב מארק</w:t>
      </w:r>
      <w:bookmarkStart w:id="2030" w:name="_fnr1287"/>
      <w:r>
        <w:rPr>
          <w:rStyle w:val="a5"/>
        </w:rPr>
        <w:footnoteReference w:id="1290" w:customMarkFollows="0"/>
      </w:r>
      <w:bookmarkEnd w:id="2030"/>
      <w:r>
        <w:rPr>
          <w:rtl/>
        </w:rPr>
        <w:t xml:space="preserve"> אומר: “לישיבה היה תקציב שנתי של כמה עשרות אלפי רובלים, שרובו כוסה בשכר לימוד ובתרומות פרטיות. כדי לגייס את היתרה נאלץ ר׳ </w:t>
      </w:r>
      <w:proofErr w:type="spellStart"/>
      <w:r>
        <w:rPr>
          <w:rtl/>
        </w:rPr>
        <w:t>שמחה־זיסל</w:t>
      </w:r>
      <w:proofErr w:type="spellEnd"/>
      <w:r>
        <w:rPr>
          <w:rtl/>
        </w:rPr>
        <w:t xml:space="preserve"> לנסוע בערים הגדולות</w:t>
      </w:r>
      <w:bookmarkStart w:id="2031" w:name="_fnr1288"/>
      <w:r>
        <w:rPr>
          <w:rStyle w:val="a5"/>
        </w:rPr>
        <w:footnoteReference w:id="1291" w:customMarkFollows="0"/>
      </w:r>
      <w:bookmarkEnd w:id="2031"/>
      <w:r>
        <w:rPr>
          <w:rtl/>
        </w:rPr>
        <w:t>”.</w:t>
      </w:r>
    </w:p>
    <w:bookmarkStart w:id="2032" w:name="b3_note109"/>
    <w:p w14:paraId="7D4A16A7" w14:textId="77777777" w:rsidR="00AB3647" w:rsidRDefault="00000000" w:rsidP="007923E9">
      <w:pPr>
        <w:spacing w:before="120" w:after="100" w:line="276" w:lineRule="auto"/>
        <w:jc w:val="both"/>
      </w:pPr>
      <w:r>
        <w:fldChar w:fldCharType="begin" w:dirty="true"/>
      </w:r>
      <w:r>
        <w:instrText>HYPERLINK \l "b3_ref109"</w:instrText>
      </w:r>
      <w:r>
        <w:fldChar w:fldCharType="separate"/>
      </w:r>
      <w:r>
        <w:rPr>
          <w:b/>
          <w:bCs/>
          <w:rtl/>
        </w:rPr>
        <w:t>109</w:t>
      </w:r>
      <w:r>
        <w:rPr>
          <w:b/>
          <w:bCs/>
        </w:rPr>
        <w:fldChar w:fldCharType="end"/>
      </w:r>
      <w:bookmarkEnd w:id="2032"/>
      <w:r>
        <w:rPr>
          <w:rtl/>
        </w:rPr>
        <w:t xml:space="preserve"> כץ, “תנועת המוסר”, כרך ב</w:t>
      </w:r>
      <w:bookmarkStart w:id="2033" w:name="_fnr1289"/>
      <w:r>
        <w:rPr>
          <w:rStyle w:val="a5"/>
        </w:rPr>
        <w:footnoteReference w:id="1292" w:customMarkFollows="0"/>
      </w:r>
      <w:bookmarkEnd w:id="2033"/>
      <w:r>
        <w:rPr>
          <w:rtl/>
        </w:rPr>
        <w:t xml:space="preserve">, מונה גם את הרב </w:t>
      </w:r>
      <w:proofErr w:type="spellStart"/>
      <w:r>
        <w:rPr>
          <w:rtl/>
        </w:rPr>
        <w:t xml:space="preserve">הלר</w:t>
      </w:r>
      <w:proofErr w:type="spellEnd"/>
      <w:r>
        <w:rPr>
          <w:rtl/>
        </w:rPr>
        <w:t xml:space="preserve"> בין בוגרי </w:t>
      </w:r>
      <w:proofErr w:type="spellStart"/>
      <w:r>
        <w:rPr>
          <w:rtl/>
        </w:rPr>
        <w:t>גרובין</w:t>
      </w:r>
      <w:proofErr w:type="spellEnd"/>
      <w:r>
        <w:rPr>
          <w:rtl/>
        </w:rPr>
        <w:t xml:space="preserve"> שקנו להם שם בעולם התורה. הרשימה מלמדת שאף שבית הספר פנה אל בעלי האמצעים, מצאו את דרכם אליו תלמידים רבים מן השכבות הנמוכות, כמו הרב </w:t>
      </w:r>
      <w:proofErr w:type="spellStart"/>
      <w:r>
        <w:rPr>
          <w:rtl/>
        </w:rPr>
        <w:t xml:space="preserve">הלר</w:t>
      </w:r>
      <w:proofErr w:type="spellEnd"/>
      <w:r>
        <w:rPr>
          <w:rtl/>
        </w:rPr>
        <w:t xml:space="preserve">. ייתכן ששאר הנמנים ברשימה הובאו עם ר׳ </w:t>
      </w:r>
      <w:proofErr w:type="spellStart"/>
      <w:r>
        <w:rPr>
          <w:rtl/>
        </w:rPr>
        <w:t>שמחה־זיסל</w:t>
      </w:r>
      <w:proofErr w:type="spellEnd"/>
      <w:r>
        <w:rPr>
          <w:rtl/>
        </w:rPr>
        <w:t xml:space="preserve"> מקלם כדי להקים את בית הספר, ולכן היו פטורים משכר הלימוד </w:t>
      </w:r>
      <w:r>
        <w:rPr>
          <w:rtl/>
        </w:rPr>
        <w:lastRenderedPageBreak/>
        <w:t>המופרז. אבל מן האיגרת משנת תרמ״א הנזכרת שם</w:t>
      </w:r>
      <w:bookmarkStart w:id="2034" w:name="_fnr1290"/>
      <w:r>
        <w:rPr>
          <w:rStyle w:val="a5"/>
        </w:rPr>
        <w:footnoteReference w:id="1293" w:customMarkFollows="0"/>
      </w:r>
      <w:bookmarkEnd w:id="2034"/>
      <w:r>
        <w:rPr>
          <w:rtl/>
        </w:rPr>
        <w:t xml:space="preserve"> – שהובאה בהערה הקודמת, ובה מתלונן הסבא מקלם שהעול הכספי מזיק לבריאותו – נראה שהיו תלמידים רבים שלא שילמו גם לאחר שנפתח בית הספר.</w:t>
      </w:r>
    </w:p>
    <w:p w14:paraId="1E53FE94" w14:textId="77777777" w:rsidR="00AB3647" w:rsidRDefault="00000000" w:rsidP="007923E9">
      <w:pPr>
        <w:spacing w:before="120" w:after="100" w:line="276" w:lineRule="auto"/>
        <w:jc w:val="both"/>
      </w:pPr>
      <w:r>
        <w:rPr>
          <w:rtl/>
        </w:rPr>
        <w:t>הדבר עולה גם מאיגרת אחרת המובאת שם</w:t>
      </w:r>
      <w:bookmarkStart w:id="2035" w:name="_fnr1291"/>
      <w:r>
        <w:rPr>
          <w:rStyle w:val="a5"/>
        </w:rPr>
        <w:footnoteReference w:id="1294" w:customMarkFollows="0"/>
      </w:r>
      <w:bookmarkEnd w:id="2035"/>
      <w:r>
        <w:rPr>
          <w:rtl/>
        </w:rPr>
        <w:t xml:space="preserve">, שכתב הסבא מקלם לאחר סגירת </w:t>
      </w:r>
      <w:proofErr w:type="spellStart"/>
      <w:r>
        <w:rPr>
          <w:rtl/>
        </w:rPr>
        <w:t>גרובין</w:t>
      </w:r>
      <w:proofErr w:type="spellEnd"/>
      <w:r>
        <w:rPr>
          <w:rtl/>
        </w:rPr>
        <w:t xml:space="preserve">, והיא מתייחסת במפורש לילדים מבתים עניים: “בעוונותינו הרבים, נחרב הבית הגדול [של התלמוד תורה </w:t>
      </w:r>
      <w:proofErr w:type="spellStart"/>
      <w:r>
        <w:rPr>
          <w:rtl/>
        </w:rPr>
        <w:t>בגרובין</w:t>
      </w:r>
      <w:proofErr w:type="spellEnd"/>
      <w:r>
        <w:rPr>
          <w:rtl/>
        </w:rPr>
        <w:t xml:space="preserve">]. ובכל זאת, השבח [לה׳], נותרו שרידים [בדמות בוגרים שנעשו] מצוינים בתורה, בהנהגה ובהשכלה [כלומר, מוסר], גם מבני העשירים </w:t>
      </w:r>
      <w:r>
        <w:rPr>
          <w:b/>
          <w:bCs/>
          <w:rtl/>
        </w:rPr>
        <w:t>וגם מבני העניים</w:t>
      </w:r>
      <w:r>
        <w:rPr>
          <w:rtl/>
        </w:rPr>
        <w:t xml:space="preserve"> (ההדגשה שלי), ומהם מי שכבר רב בעיר ומי שראש ישיבה”. אבל נראה שנכונה האמירה שם</w:t>
      </w:r>
      <w:bookmarkStart w:id="2036" w:name="_fnr1292"/>
      <w:r>
        <w:rPr>
          <w:rStyle w:val="a5"/>
        </w:rPr>
        <w:footnoteReference w:id="1295" w:customMarkFollows="0"/>
      </w:r>
      <w:bookmarkEnd w:id="2036"/>
      <w:r>
        <w:rPr>
          <w:rtl/>
        </w:rPr>
        <w:t xml:space="preserve">, </w:t>
      </w:r>
      <w:proofErr w:type="spellStart"/>
      <w:r>
        <w:rPr>
          <w:rtl/>
        </w:rPr>
        <w:t>ש“רוב</w:t>
      </w:r>
      <w:proofErr w:type="spellEnd"/>
      <w:r>
        <w:rPr>
          <w:rtl/>
        </w:rPr>
        <w:t>” – ולא כל – “התלמידים היו מבתים עשירים”.</w:t>
      </w:r>
    </w:p>
    <w:p w14:paraId="175A3BA0" w14:textId="3908C779" w:rsidR="00AB3647" w:rsidRDefault="00000000" w:rsidP="007923E9">
      <w:pPr>
        <w:spacing w:before="120" w:after="100" w:line="276" w:lineRule="auto"/>
        <w:jc w:val="both"/>
      </w:pPr>
      <w:r>
        <w:rPr>
          <w:rtl/>
        </w:rPr>
        <w:t xml:space="preserve">נשארתי נאמן לריאיון המוקלט על הסבא </w:t>
      </w:r>
      <w:proofErr w:type="spellStart"/>
      <w:r>
        <w:rPr>
          <w:rtl/>
        </w:rPr>
        <w:t>מסלבודקה</w:t>
      </w:r>
      <w:proofErr w:type="spellEnd"/>
      <w:r>
        <w:rPr>
          <w:rtl/>
        </w:rPr>
        <w:t xml:space="preserve">, וייחסתי את מעמדו של הרב </w:t>
      </w:r>
      <w:proofErr w:type="spellStart"/>
      <w:r>
        <w:rPr>
          <w:rtl/>
        </w:rPr>
        <w:t xml:space="preserve">הלר</w:t>
      </w:r>
      <w:proofErr w:type="spellEnd"/>
      <w:r>
        <w:rPr>
          <w:rtl/>
        </w:rPr>
        <w:t xml:space="preserve"> כתלמיד שלא גר בבית הספר לעניותו. אבל מסתבר שר׳ </w:t>
      </w:r>
      <w:proofErr w:type="spellStart"/>
      <w:r>
        <w:rPr>
          <w:rtl/>
        </w:rPr>
        <w:t xml:space="preserve">בער־הירש</w:t>
      </w:r>
      <w:proofErr w:type="spellEnd"/>
      <w:r>
        <w:rPr>
          <w:rtl/>
        </w:rPr>
        <w:t xml:space="preserve">, בגיל עשרים ושמונה או עשרים ותשע, היה מבוגר מכדי להירשם רשמית בבית הספר לנערים. הוא גם לא נתמנה לתפקיד השגחה בבית הספר, משום שלא קיבל כל הכשרה במוסר בשנות התעצבותו </w:t>
      </w:r>
      <w:proofErr w:type="spellStart"/>
      <w:r>
        <w:rPr>
          <w:rtl/>
        </w:rPr>
        <w:t>בוולוז׳ין</w:t>
      </w:r>
      <w:proofErr w:type="spellEnd"/>
      <w:r>
        <w:rPr>
          <w:rtl/>
        </w:rPr>
        <w:t xml:space="preserve">, כמובא בהערה </w:t>
      </w:r>
      <w:r>
        <w:rPr>
          <w:rtl/>
        </w:rPr>
        <w:fldChar w:fldCharType="begin" w:dirty="true"/>
      </w:r>
      <w:r>
        <w:rPr>
          <w:rtl/>
        </w:rPr>
        <w:instrText xml:space="preserve"> REF b3_note103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103</w:t>
      </w:r>
      <w:r>
        <w:rPr>
          <w:rtl/>
        </w:rPr>
        <w:fldChar w:fldCharType="end"/>
      </w:r>
      <w:r>
        <w:rPr>
          <w:rtl/>
        </w:rPr>
        <w:t xml:space="preserve"> לעיל.</w:t>
      </w:r>
    </w:p>
    <w:bookmarkStart w:id="2037" w:name="b3_note110"/>
    <w:p w14:paraId="7BAE2404" w14:textId="77777777" w:rsidR="00AB3647" w:rsidRDefault="00000000" w:rsidP="007923E9">
      <w:pPr>
        <w:spacing w:before="120" w:after="100" w:line="276" w:lineRule="auto"/>
        <w:jc w:val="both"/>
      </w:pPr>
      <w:r>
        <w:fldChar w:fldCharType="begin" w:dirty="true"/>
      </w:r>
      <w:r>
        <w:instrText>HYPERLINK \l "b3_ref110"</w:instrText>
      </w:r>
      <w:r>
        <w:fldChar w:fldCharType="separate"/>
      </w:r>
      <w:r>
        <w:rPr>
          <w:b/>
          <w:bCs/>
          <w:rtl/>
        </w:rPr>
        <w:t>110</w:t>
      </w:r>
      <w:r>
        <w:rPr>
          <w:b/>
          <w:bCs/>
        </w:rPr>
        <w:fldChar w:fldCharType="end"/>
      </w:r>
      <w:bookmarkEnd w:id="2037"/>
      <w:r>
        <w:rPr>
          <w:rtl/>
        </w:rPr>
        <w:t xml:space="preserve"> הריאיון המוקלט על הסבא </w:t>
      </w:r>
      <w:proofErr w:type="spellStart"/>
      <w:r>
        <w:rPr>
          <w:rtl/>
        </w:rPr>
        <w:t>מסלבודקה</w:t>
      </w:r>
      <w:proofErr w:type="spellEnd"/>
      <w:r>
        <w:rPr>
          <w:rtl/>
        </w:rPr>
        <w:t>.</w:t>
      </w:r>
    </w:p>
    <w:p w14:paraId="62A8A4D0" w14:textId="022C64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זמן קצר אחר כך</w:t>
      </w:r>
      <w:bookmarkStart w:id="2038" w:name="b3_ref111"/>
      <w:bookmarkEnd w:id="2038"/>
      <w:r>
        <w:rPr>
          <w:vertAlign w:val="superscript"/>
          <w:rtl/>
        </w:rPr>
        <w:fldChar w:fldCharType="begin" w:dirty="true"/>
      </w:r>
      <w:r>
        <w:rPr>
          <w:vertAlign w:val="superscript"/>
          <w:rtl/>
        </w:rPr>
        <w:instrText xml:space="preserve"> REF b3_note111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111</w:t>
      </w:r>
      <w:r>
        <w:rPr>
          <w:vertAlign w:val="superscript"/>
          <w:rtl/>
        </w:rPr>
        <w:fldChar w:fldCharType="end"/>
      </w:r>
      <w:r>
        <w:rPr>
          <w:rtl/>
        </w:rPr>
        <w:t xml:space="preserve"> עבר הרב </w:t>
      </w:r>
      <w:proofErr w:type="spellStart"/>
      <w:r>
        <w:rPr>
          <w:rtl/>
        </w:rPr>
        <w:t xml:space="preserve">הלר</w:t>
      </w:r>
      <w:proofErr w:type="spellEnd"/>
      <w:r>
        <w:rPr>
          <w:rtl/>
        </w:rPr>
        <w:t xml:space="preserve">, עם תלמידים לשעבר אחרים </w:t>
      </w:r>
      <w:proofErr w:type="spellStart"/>
      <w:r>
        <w:rPr>
          <w:rtl/>
        </w:rPr>
        <w:t>מגרובין</w:t>
      </w:r>
      <w:proofErr w:type="spellEnd"/>
      <w:r>
        <w:rPr>
          <w:rtl/>
        </w:rPr>
        <w:t>, לקיבוץ</w:t>
      </w:r>
      <w:bookmarkStart w:id="2039" w:name="b3_ref112"/>
      <w:bookmarkEnd w:id="2039"/>
      <w:r>
        <w:rPr>
          <w:vertAlign w:val="superscript"/>
          <w:rtl/>
        </w:rPr>
        <w:fldChar w:fldCharType="begin" w:dirty="true"/>
      </w:r>
      <w:r>
        <w:rPr>
          <w:vertAlign w:val="superscript"/>
          <w:rtl/>
        </w:rPr>
        <w:instrText xml:space="preserve"> REF b3_note112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112</w:t>
      </w:r>
      <w:r>
        <w:rPr>
          <w:vertAlign w:val="superscript"/>
          <w:rtl/>
        </w:rPr>
        <w:fldChar w:fldCharType="end"/>
      </w:r>
      <w:r>
        <w:rPr>
          <w:rtl/>
        </w:rPr>
        <w:t xml:space="preserve"> שהקים הסבא </w:t>
      </w:r>
      <w:proofErr w:type="spellStart"/>
      <w:r>
        <w:rPr>
          <w:rtl/>
        </w:rPr>
        <w:t>מסלבודקה</w:t>
      </w:r>
      <w:proofErr w:type="spellEnd"/>
      <w:r>
        <w:rPr>
          <w:rtl/>
        </w:rPr>
        <w:t xml:space="preserve"> בחסות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w:t>
      </w:r>
      <w:bookmarkStart w:id="2040" w:name="b3_ref113"/>
      <w:bookmarkEnd w:id="2040"/>
      <w:r>
        <w:rPr>
          <w:vertAlign w:val="superscript"/>
          <w:rtl/>
        </w:rPr>
        <w:fldChar w:fldCharType="begin" w:dirty="true"/>
      </w:r>
      <w:r>
        <w:rPr>
          <w:vertAlign w:val="superscript"/>
          <w:rtl/>
        </w:rPr>
        <w:instrText xml:space="preserve"> REF b3_note113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113</w:t>
      </w:r>
      <w:r>
        <w:rPr>
          <w:vertAlign w:val="superscript"/>
          <w:rtl/>
        </w:rPr>
        <w:fldChar w:fldCharType="end"/>
      </w:r>
      <w:r>
        <w:rPr>
          <w:rtl/>
        </w:rPr>
        <w:t xml:space="preserve"> </w:t>
      </w:r>
      <w:proofErr w:type="spellStart"/>
      <w:r>
        <w:rPr>
          <w:rtl/>
        </w:rPr>
        <w:t>בקלויז</w:t>
      </w:r>
      <w:proofErr w:type="spellEnd"/>
      <w:r>
        <w:rPr>
          <w:rtl/>
        </w:rPr>
        <w:t xml:space="preserve"> “הלוויית המת” בסלבודקה</w:t>
      </w:r>
      <w:bookmarkStart w:id="2041" w:name="b3_ref114"/>
      <w:bookmarkEnd w:id="2041"/>
      <w:r>
        <w:rPr>
          <w:vertAlign w:val="superscript"/>
          <w:rtl/>
        </w:rPr>
        <w:fldChar w:fldCharType="begin" w:dirty="true"/>
      </w:r>
      <w:r>
        <w:rPr>
          <w:vertAlign w:val="superscript"/>
          <w:rtl/>
        </w:rPr>
        <w:instrText xml:space="preserve"> REF b3_note114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114</w:t>
      </w:r>
      <w:r>
        <w:rPr>
          <w:vertAlign w:val="superscript"/>
          <w:rtl/>
        </w:rPr>
        <w:fldChar w:fldCharType="end"/>
      </w:r>
      <w:r>
        <w:rPr>
          <w:rtl/>
        </w:rPr>
        <w:t xml:space="preserve">. </w:t>
      </w:r>
      <w:proofErr w:type="spellStart"/>
      <w:r>
        <w:rPr>
          <w:rtl/>
        </w:rPr>
        <w:t>בתרמ״ב</w:t>
      </w:r>
      <w:proofErr w:type="spellEnd"/>
      <w:r>
        <w:rPr>
          <w:rtl/>
        </w:rPr>
        <w:t xml:space="preserve"> הזמין הסבא </w:t>
      </w:r>
      <w:proofErr w:type="spellStart"/>
      <w:r>
        <w:rPr>
          <w:rtl/>
        </w:rPr>
        <w:t>מסלבודקה</w:t>
      </w:r>
      <w:proofErr w:type="spellEnd"/>
      <w:r>
        <w:rPr>
          <w:rtl/>
        </w:rPr>
        <w:t xml:space="preserve"> את הרב </w:t>
      </w:r>
      <w:proofErr w:type="spellStart"/>
      <w:r>
        <w:rPr>
          <w:rtl/>
        </w:rPr>
        <w:t xml:space="preserve">הלר</w:t>
      </w:r>
      <w:proofErr w:type="spellEnd"/>
      <w:r>
        <w:rPr>
          <w:rtl/>
        </w:rPr>
        <w:t xml:space="preserve"> לסייע לו בניהול הישיבה שהקים </w:t>
      </w:r>
      <w:proofErr w:type="spellStart"/>
      <w:r>
        <w:rPr>
          <w:rtl/>
        </w:rPr>
        <w:t>בסלבודקה</w:t>
      </w:r>
      <w:proofErr w:type="spellEnd"/>
      <w:r>
        <w:rPr>
          <w:rtl/>
        </w:rPr>
        <w:t xml:space="preserve"> בחסות הכולל בקובנה</w:t>
      </w:r>
      <w:bookmarkStart w:id="2042" w:name="b3_ref115"/>
      <w:bookmarkEnd w:id="2042"/>
      <w:r>
        <w:rPr>
          <w:vertAlign w:val="superscript"/>
          <w:rtl/>
        </w:rPr>
        <w:fldChar w:fldCharType="begin" w:dirty="true"/>
      </w:r>
      <w:r>
        <w:rPr>
          <w:vertAlign w:val="superscript"/>
          <w:rtl/>
        </w:rPr>
        <w:instrText xml:space="preserve"> REF b3_note115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115</w:t>
      </w:r>
      <w:r>
        <w:rPr>
          <w:vertAlign w:val="superscript"/>
          <w:rtl/>
        </w:rPr>
        <w:fldChar w:fldCharType="end"/>
      </w:r>
      <w:r>
        <w:rPr>
          <w:rtl/>
        </w:rPr>
        <w:t>. כשנוסדה לבסוף ישיבת כנסת ישראל, התבקש לשמש עוזרו של הסבא – “המשגיח הצעיר”</w:t>
      </w:r>
      <w:bookmarkStart w:id="2043" w:name="b3_ref116"/>
      <w:bookmarkEnd w:id="2043"/>
      <w:r>
        <w:rPr>
          <w:vertAlign w:val="superscript"/>
          <w:rtl/>
        </w:rPr>
        <w:fldChar w:fldCharType="begin" w:dirty="true"/>
      </w:r>
      <w:r>
        <w:rPr>
          <w:vertAlign w:val="superscript"/>
          <w:rtl/>
        </w:rPr>
        <w:instrText xml:space="preserve"> REF b3_note116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116</w:t>
      </w:r>
      <w:r>
        <w:rPr>
          <w:vertAlign w:val="superscript"/>
          <w:rtl/>
        </w:rPr>
        <w:fldChar w:fldCharType="end"/>
      </w:r>
      <w:r>
        <w:rPr>
          <w:rtl/>
        </w:rPr>
        <w:t>. המשגיח חם הלב</w:t>
      </w:r>
      <w:bookmarkStart w:id="2044" w:name="b3_ref117"/>
      <w:bookmarkEnd w:id="2044"/>
      <w:r>
        <w:rPr>
          <w:vertAlign w:val="superscript"/>
          <w:rtl/>
        </w:rPr>
        <w:fldChar w:fldCharType="begin" w:dirty="true"/>
      </w:r>
      <w:r>
        <w:rPr>
          <w:vertAlign w:val="superscript"/>
          <w:rtl/>
        </w:rPr>
        <w:instrText xml:space="preserve"> REF b3_note117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117</w:t>
      </w:r>
      <w:r>
        <w:rPr>
          <w:vertAlign w:val="superscript"/>
          <w:rtl/>
        </w:rPr>
        <w:fldChar w:fldCharType="end"/>
      </w:r>
      <w:r>
        <w:rPr>
          <w:rtl/>
        </w:rPr>
        <w:t xml:space="preserve"> ומשפחתו היו בית שני לתלמיד החדש ממינסק.</w:t>
      </w:r>
    </w:p>
    <w:bookmarkStart w:id="2045" w:name="b3_note111"/>
    <w:p w14:paraId="7AC7A709" w14:textId="7C097822" w:rsidR="00AB3647" w:rsidRDefault="00000000" w:rsidP="007923E9">
      <w:pPr>
        <w:spacing w:before="120" w:after="100" w:line="276" w:lineRule="auto"/>
        <w:jc w:val="both"/>
      </w:pPr>
      <w:r>
        <w:fldChar w:fldCharType="begin" w:dirty="true"/>
      </w:r>
      <w:r>
        <w:instrText>HYPERLINK \l "b3_ref111"</w:instrText>
      </w:r>
      <w:r>
        <w:fldChar w:fldCharType="separate"/>
      </w:r>
      <w:r>
        <w:rPr>
          <w:b/>
          <w:bCs/>
          <w:rtl/>
        </w:rPr>
        <w:t>111</w:t>
      </w:r>
      <w:r>
        <w:rPr>
          <w:b/>
          <w:bCs/>
        </w:rPr>
        <w:fldChar w:fldCharType="end"/>
      </w:r>
      <w:bookmarkEnd w:id="2045"/>
      <w:r>
        <w:rPr>
          <w:rtl/>
        </w:rPr>
        <w:t xml:space="preserve"> ראה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w:t>
      </w:r>
    </w:p>
    <w:bookmarkStart w:id="2046" w:name="b3_note112"/>
    <w:p w14:paraId="585FFE8D" w14:textId="77777777" w:rsidR="00AB3647" w:rsidRDefault="00000000" w:rsidP="007923E9">
      <w:pPr>
        <w:spacing w:before="120" w:after="100" w:line="276" w:lineRule="auto"/>
        <w:jc w:val="both"/>
      </w:pPr>
      <w:r>
        <w:fldChar w:fldCharType="begin" w:dirty="true"/>
      </w:r>
      <w:r>
        <w:instrText>HYPERLINK \l "b3_ref112"</w:instrText>
      </w:r>
      <w:r>
        <w:fldChar w:fldCharType="separate"/>
      </w:r>
      <w:r>
        <w:rPr>
          <w:b/>
          <w:bCs/>
          <w:rtl/>
        </w:rPr>
        <w:t>112</w:t>
      </w:r>
      <w:r>
        <w:rPr>
          <w:b/>
          <w:bCs/>
        </w:rPr>
        <w:fldChar w:fldCharType="end"/>
      </w:r>
      <w:bookmarkEnd w:id="2046"/>
      <w:r>
        <w:rPr>
          <w:rtl/>
        </w:rPr>
        <w:t xml:space="preserve"> השווה פרק 2, תחילת סעיף 3.</w:t>
      </w:r>
    </w:p>
    <w:bookmarkStart w:id="2047" w:name="b3_note113"/>
    <w:p w14:paraId="75B551D8" w14:textId="1252BB20" w:rsidR="00AB3647" w:rsidRDefault="00000000" w:rsidP="007923E9">
      <w:pPr>
        <w:spacing w:before="120" w:after="100" w:line="276" w:lineRule="auto"/>
        <w:jc w:val="both"/>
      </w:pPr>
      <w:r>
        <w:fldChar w:fldCharType="begin" w:dirty="true"/>
      </w:r>
      <w:r>
        <w:instrText>HYPERLINK \l "b3_ref113"</w:instrText>
      </w:r>
      <w:r>
        <w:fldChar w:fldCharType="separate"/>
      </w:r>
      <w:r>
        <w:rPr>
          <w:b/>
          <w:bCs/>
          <w:rtl/>
        </w:rPr>
        <w:t>113</w:t>
      </w:r>
      <w:r>
        <w:rPr>
          <w:b/>
          <w:bCs/>
        </w:rPr>
        <w:fldChar w:fldCharType="end"/>
      </w:r>
      <w:bookmarkEnd w:id="2047"/>
      <w:r>
        <w:rPr>
          <w:rtl/>
        </w:rPr>
        <w:t xml:space="preserve"> השווה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2048" w:name="b3_note114"/>
    <w:p w14:paraId="4811B784" w14:textId="77777777" w:rsidR="00AB3647" w:rsidRDefault="00000000" w:rsidP="007923E9">
      <w:pPr>
        <w:spacing w:before="120" w:after="100" w:line="276" w:lineRule="auto"/>
        <w:jc w:val="both"/>
      </w:pPr>
      <w:r>
        <w:fldChar w:fldCharType="begin" w:dirty="true"/>
      </w:r>
      <w:r>
        <w:instrText>HYPERLINK \l "b3_ref114"</w:instrText>
      </w:r>
      <w:r>
        <w:fldChar w:fldCharType="separate"/>
      </w:r>
      <w:r>
        <w:rPr>
          <w:b/>
          <w:bCs/>
          <w:rtl/>
        </w:rPr>
        <w:t>114</w:t>
      </w:r>
      <w:r>
        <w:rPr>
          <w:b/>
          <w:bCs/>
        </w:rPr>
        <w:fldChar w:fldCharType="end"/>
      </w:r>
      <w:bookmarkEnd w:id="2048"/>
      <w:r>
        <w:rPr>
          <w:rtl/>
        </w:rPr>
        <w:t xml:space="preserve"> בספרו של כץ, “תנועת המוסר”, כרך ג</w:t>
      </w:r>
      <w:bookmarkStart w:id="2049" w:name="_fnr1293"/>
      <w:r>
        <w:rPr>
          <w:rStyle w:val="a5"/>
        </w:rPr>
        <w:footnoteReference w:id="1296" w:customMarkFollows="0"/>
      </w:r>
      <w:bookmarkEnd w:id="2049"/>
      <w:r>
        <w:rPr>
          <w:rtl/>
        </w:rPr>
        <w:t xml:space="preserve">, נמנה ר׳ </w:t>
      </w:r>
      <w:proofErr w:type="spellStart"/>
      <w:r>
        <w:rPr>
          <w:rtl/>
        </w:rPr>
        <w:t xml:space="preserve">בער־הירש</w:t>
      </w:r>
      <w:proofErr w:type="spellEnd"/>
      <w:r>
        <w:rPr>
          <w:rtl/>
        </w:rPr>
        <w:t xml:space="preserve"> עם אישי התורה המצטיינים שלמדו באותו קיבוץ. לדברי כץ</w:t>
      </w:r>
      <w:bookmarkStart w:id="2050" w:name="_fnr1294"/>
      <w:r>
        <w:rPr>
          <w:rStyle w:val="a5"/>
        </w:rPr>
        <w:footnoteReference w:id="1297" w:customMarkFollows="0"/>
      </w:r>
      <w:bookmarkEnd w:id="2050"/>
      <w:r>
        <w:rPr>
          <w:rtl/>
        </w:rPr>
        <w:t xml:space="preserve">, היו התלמידים מבקרים בבתיהם של ר׳ </w:t>
      </w:r>
      <w:proofErr w:type="spellStart"/>
      <w:r>
        <w:rPr>
          <w:rtl/>
        </w:rPr>
        <w:t>איצל׳ה</w:t>
      </w:r>
      <w:proofErr w:type="spellEnd"/>
      <w:r>
        <w:rPr>
          <w:rtl/>
        </w:rPr>
        <w:t xml:space="preserve"> </w:t>
      </w:r>
      <w:proofErr w:type="spellStart"/>
      <w:r>
        <w:rPr>
          <w:rtl/>
        </w:rPr>
        <w:t>בלאזר</w:t>
      </w:r>
      <w:proofErr w:type="spellEnd"/>
      <w:r>
        <w:rPr>
          <w:rtl/>
        </w:rPr>
        <w:t xml:space="preserve"> ור׳ נפתלי אמסטרדם כדי לשוחח בענייני מוסר, ושומעים את שיחותיו של הסבא </w:t>
      </w:r>
      <w:proofErr w:type="spellStart"/>
      <w:r>
        <w:rPr>
          <w:rtl/>
        </w:rPr>
        <w:t>מסלבודקה</w:t>
      </w:r>
      <w:proofErr w:type="spellEnd"/>
      <w:r>
        <w:rPr>
          <w:rtl/>
        </w:rPr>
        <w:t xml:space="preserve"> בחדרו שבישיבת אור החיים, המוסד שבו כיהן אז כמשגיח.</w:t>
      </w:r>
    </w:p>
    <w:bookmarkStart w:id="2051" w:name="b3_note115"/>
    <w:p w14:paraId="6ABA1A18" w14:textId="77777777" w:rsidR="00AB3647" w:rsidRDefault="00000000" w:rsidP="007923E9">
      <w:pPr>
        <w:spacing w:before="120" w:after="100" w:line="276" w:lineRule="auto"/>
        <w:jc w:val="both"/>
      </w:pPr>
      <w:r>
        <w:lastRenderedPageBreak/>
        <w:fldChar w:fldCharType="begin" w:dirty="true"/>
      </w:r>
      <w:r>
        <w:instrText>HYPERLINK \l "b3_ref115"</w:instrText>
      </w:r>
      <w:r>
        <w:fldChar w:fldCharType="separate"/>
      </w:r>
      <w:r>
        <w:rPr>
          <w:b/>
          <w:bCs/>
          <w:rtl/>
        </w:rPr>
        <w:t>115</w:t>
      </w:r>
      <w:r>
        <w:rPr>
          <w:b/>
          <w:bCs/>
        </w:rPr>
        <w:fldChar w:fldCharType="end"/>
      </w:r>
      <w:bookmarkEnd w:id="2051"/>
      <w:r>
        <w:rPr>
          <w:rtl/>
        </w:rPr>
        <w:t xml:space="preserve"> בקיץ תשנ״א סיפר ר׳ אביגדור מילר לבן דודי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 xml:space="preserve">, </w:t>
      </w:r>
      <w:proofErr w:type="spellStart"/>
      <w:r>
        <w:rPr>
          <w:rtl/>
        </w:rPr>
        <w:t>שבתרצ״ב</w:t>
      </w:r>
      <w:proofErr w:type="spellEnd"/>
      <w:r>
        <w:rPr>
          <w:rtl/>
        </w:rPr>
        <w:t xml:space="preserve">, כשלמד </w:t>
      </w:r>
      <w:proofErr w:type="spellStart"/>
      <w:r>
        <w:rPr>
          <w:rtl/>
        </w:rPr>
        <w:t>בסלבודקה</w:t>
      </w:r>
      <w:proofErr w:type="spellEnd"/>
      <w:r>
        <w:rPr>
          <w:rtl/>
        </w:rPr>
        <w:t xml:space="preserve">, חגג ר׳ </w:t>
      </w:r>
      <w:proofErr w:type="spellStart"/>
      <w:r>
        <w:rPr>
          <w:rtl/>
        </w:rPr>
        <w:t xml:space="preserve">בער־הירש</w:t>
      </w:r>
      <w:proofErr w:type="spellEnd"/>
      <w:r>
        <w:rPr>
          <w:rtl/>
        </w:rPr>
        <w:t xml:space="preserve"> יובל שנים של פעילות בישיבה. מאמרו של ר׳ אפרים אשרי </w:t>
      </w:r>
      <w:proofErr w:type="spellStart"/>
      <w:r>
        <w:rPr>
          <w:rtl/>
        </w:rPr>
        <w:t>ב“מוסדות</w:t>
      </w:r>
      <w:proofErr w:type="spellEnd"/>
      <w:r>
        <w:rPr>
          <w:rtl/>
        </w:rPr>
        <w:t xml:space="preserve"> תורה באירופה”</w:t>
      </w:r>
      <w:bookmarkStart w:id="2052" w:name="_fnr1295"/>
      <w:r>
        <w:rPr>
          <w:rStyle w:val="a5"/>
        </w:rPr>
        <w:footnoteReference w:id="1298" w:customMarkFollows="0"/>
      </w:r>
      <w:bookmarkEnd w:id="2052"/>
      <w:r>
        <w:rPr>
          <w:rtl/>
        </w:rPr>
        <w:t xml:space="preserve"> מכנה את ר׳ </w:t>
      </w:r>
      <w:proofErr w:type="spellStart"/>
      <w:r>
        <w:rPr>
          <w:rtl/>
        </w:rPr>
        <w:t xml:space="preserve">בער־הירש</w:t>
      </w:r>
      <w:proofErr w:type="spellEnd"/>
      <w:r>
        <w:rPr>
          <w:rtl/>
        </w:rPr>
        <w:t xml:space="preserve"> “צדיק טהור שמעולם לא ידעו אנשים מתי אכל, שתה או עסק בענייני ביתו, משום שהיה בישיבה ביום ובלילה. לעיתים היה מסתובב ימים רצופים כשהוא עטוף בטלית ומוכתר בתפילין.”</w:t>
      </w:r>
      <w:bookmarkStart w:id="2053" w:name="_fnr1296"/>
      <w:r>
        <w:rPr>
          <w:rStyle w:val="a5"/>
        </w:rPr>
        <w:footnoteReference w:id="1299" w:customMarkFollows="0"/>
      </w:r>
      <w:bookmarkEnd w:id="2053"/>
    </w:p>
    <w:p w14:paraId="0087EE14" w14:textId="77777777" w:rsidR="00AB3647" w:rsidRDefault="00000000" w:rsidP="007923E9">
      <w:pPr>
        <w:spacing w:after="100" w:line="276" w:lineRule="auto"/>
        <w:ind w:firstLine="340"/>
        <w:jc w:val="both"/>
      </w:pPr>
      <w:r>
        <w:rPr>
          <w:rtl/>
        </w:rPr>
        <w:t xml:space="preserve">לאחר שנשא הרב </w:t>
      </w:r>
      <w:proofErr w:type="spellStart"/>
      <w:r>
        <w:rPr>
          <w:rtl/>
        </w:rPr>
        <w:t xml:space="preserve">הלר</w:t>
      </w:r>
      <w:proofErr w:type="spellEnd"/>
      <w:r>
        <w:rPr>
          <w:rtl/>
        </w:rPr>
        <w:t xml:space="preserve"> את </w:t>
      </w:r>
      <w:proofErr w:type="spellStart"/>
      <w:r>
        <w:rPr>
          <w:rtl/>
        </w:rPr>
        <w:t>פייגה־אסתר</w:t>
      </w:r>
      <w:proofErr w:type="spellEnd"/>
      <w:r>
        <w:rPr>
          <w:rtl/>
        </w:rPr>
        <w:t xml:space="preserve"> </w:t>
      </w:r>
      <w:proofErr w:type="spellStart"/>
      <w:r>
        <w:rPr>
          <w:rtl/>
        </w:rPr>
        <w:t>בלנקפלד</w:t>
      </w:r>
      <w:proofErr w:type="spellEnd"/>
      <w:r>
        <w:rPr>
          <w:rtl/>
        </w:rPr>
        <w:t xml:space="preserve"> נשאר </w:t>
      </w:r>
      <w:proofErr w:type="spellStart"/>
      <w:r>
        <w:rPr>
          <w:rtl/>
        </w:rPr>
        <w:t>בסלבודקה</w:t>
      </w:r>
      <w:proofErr w:type="spellEnd"/>
      <w:r>
        <w:rPr>
          <w:rtl/>
        </w:rPr>
        <w:t xml:space="preserve">, שקוע בלימוד תורה ומוסר, ואילו אשתו התגוררה </w:t>
      </w:r>
      <w:proofErr w:type="spellStart"/>
      <w:r>
        <w:rPr>
          <w:rtl/>
        </w:rPr>
        <w:t>בשילל</w:t>
      </w:r>
      <w:proofErr w:type="spellEnd"/>
      <w:r>
        <w:rPr>
          <w:rtl/>
        </w:rPr>
        <w:t xml:space="preserve"> עם הוריו. כמו הסבא, חי בפרישות</w:t>
      </w:r>
      <w:bookmarkStart w:id="2054" w:name="_fnr1297"/>
      <w:r>
        <w:rPr>
          <w:rStyle w:val="a5"/>
        </w:rPr>
        <w:footnoteReference w:id="1300" w:customMarkFollows="0"/>
      </w:r>
      <w:bookmarkEnd w:id="2054"/>
      <w:r>
        <w:rPr>
          <w:rtl/>
        </w:rPr>
        <w:t xml:space="preserve">. עד שעברה אשתו </w:t>
      </w:r>
      <w:proofErr w:type="spellStart"/>
      <w:r>
        <w:rPr>
          <w:rtl/>
        </w:rPr>
        <w:t>לסלבודקה</w:t>
      </w:r>
      <w:proofErr w:type="spellEnd"/>
      <w:r>
        <w:rPr>
          <w:rtl/>
        </w:rPr>
        <w:t xml:space="preserve"> גר עם ר׳ </w:t>
      </w:r>
      <w:proofErr w:type="spellStart"/>
      <w:r>
        <w:rPr>
          <w:rtl/>
        </w:rPr>
        <w:t>נתן־צבי</w:t>
      </w:r>
      <w:proofErr w:type="spellEnd"/>
      <w:r>
        <w:rPr>
          <w:rtl/>
        </w:rPr>
        <w:t xml:space="preserve"> באותה </w:t>
      </w:r>
      <w:proofErr w:type="spellStart"/>
      <w:r>
        <w:rPr>
          <w:rtl/>
        </w:rPr>
        <w:t>סטנציה</w:t>
      </w:r>
      <w:bookmarkStart w:id="2055" w:name="_fnr1298"/>
      <w:proofErr w:type="spellEnd"/>
      <w:r>
        <w:rPr>
          <w:rStyle w:val="a5"/>
        </w:rPr>
        <w:footnoteReference w:id="1301" w:customMarkFollows="0"/>
      </w:r>
      <w:bookmarkEnd w:id="2055"/>
      <w:r>
        <w:rPr>
          <w:rtl/>
        </w:rPr>
        <w:t>.</w:t>
      </w:r>
    </w:p>
    <w:p w14:paraId="79C52332" w14:textId="77777777" w:rsidR="00AB3647" w:rsidRDefault="00000000" w:rsidP="007923E9">
      <w:pPr>
        <w:spacing w:after="100" w:line="276" w:lineRule="auto"/>
        <w:ind w:firstLine="340"/>
        <w:jc w:val="both"/>
      </w:pPr>
      <w:r>
        <w:rPr>
          <w:rtl/>
        </w:rPr>
        <w:t>ר׳ זבולון גרז</w:t>
      </w:r>
      <w:bookmarkStart w:id="2056" w:name="_fnr1299"/>
      <w:r>
        <w:rPr>
          <w:rStyle w:val="a5"/>
        </w:rPr>
        <w:footnoteReference w:id="1302" w:customMarkFollows="0"/>
      </w:r>
      <w:bookmarkEnd w:id="2056"/>
      <w:r>
        <w:rPr>
          <w:rtl/>
        </w:rPr>
        <w:t xml:space="preserve"> תמצת את הקשר ההדוק בין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שנמשך למעלה מחמישים שנה: “ר׳ </w:t>
      </w:r>
      <w:proofErr w:type="spellStart"/>
      <w:r>
        <w:rPr>
          <w:rtl/>
        </w:rPr>
        <w:t xml:space="preserve">בער־הירש</w:t>
      </w:r>
      <w:proofErr w:type="spellEnd"/>
      <w:r>
        <w:rPr>
          <w:rtl/>
        </w:rPr>
        <w:t xml:space="preserve"> והסבא היו איין נשמה [נשמה אחת].”</w:t>
      </w:r>
      <w:bookmarkStart w:id="2057" w:name="_fnr1300"/>
      <w:r>
        <w:rPr>
          <w:rStyle w:val="a5"/>
        </w:rPr>
        <w:footnoteReference w:id="1303" w:customMarkFollows="0"/>
      </w:r>
      <w:bookmarkEnd w:id="2057"/>
      <w:r>
        <w:rPr>
          <w:rtl/>
        </w:rPr>
        <w:t xml:space="preserve"> ר׳ אלי׳ שווי אמר בפומבי שהסבא </w:t>
      </w:r>
      <w:proofErr w:type="spellStart"/>
      <w:r>
        <w:rPr>
          <w:rtl/>
        </w:rPr>
        <w:t>מסלבודקה</w:t>
      </w:r>
      <w:proofErr w:type="spellEnd"/>
      <w:r>
        <w:rPr>
          <w:rtl/>
        </w:rPr>
        <w:t xml:space="preserve"> הצהיר שלא היה ניגש להקמת ישיבה אילולא היה ר׳ </w:t>
      </w:r>
      <w:proofErr w:type="spellStart"/>
      <w:r>
        <w:rPr>
          <w:rtl/>
        </w:rPr>
        <w:t xml:space="preserve">בער־הירש</w:t>
      </w:r>
      <w:proofErr w:type="spellEnd"/>
      <w:r>
        <w:rPr>
          <w:rtl/>
        </w:rPr>
        <w:t xml:space="preserve"> לצידו.</w:t>
      </w:r>
      <w:bookmarkStart w:id="2058" w:name="_fnr1301"/>
      <w:r>
        <w:rPr>
          <w:rStyle w:val="a5"/>
        </w:rPr>
        <w:footnoteReference w:id="1304" w:customMarkFollows="0"/>
      </w:r>
      <w:bookmarkEnd w:id="2058"/>
      <w:r>
        <w:rPr>
          <w:rtl/>
        </w:rPr>
        <w:t xml:space="preserve"> אבי סיפר לנכדו ר׳ יוסף שגדולתו המיוחדת של ר׳ </w:t>
      </w:r>
      <w:proofErr w:type="spellStart"/>
      <w:r>
        <w:rPr>
          <w:rtl/>
        </w:rPr>
        <w:t xml:space="preserve">בער־הירש</w:t>
      </w:r>
      <w:proofErr w:type="spellEnd"/>
      <w:r>
        <w:rPr>
          <w:rtl/>
        </w:rPr>
        <w:t xml:space="preserve"> היא שאפשרה לו להישאר כל חייו במעמד של עוזר לסבא. לדעת אבי, ר׳ </w:t>
      </w:r>
      <w:proofErr w:type="spellStart"/>
      <w:r>
        <w:rPr>
          <w:rtl/>
        </w:rPr>
        <w:t>משה־מרדכי</w:t>
      </w:r>
      <w:proofErr w:type="spellEnd"/>
      <w:r>
        <w:rPr>
          <w:rtl/>
        </w:rPr>
        <w:t xml:space="preserve"> לא יכול היה לחקות מידה זו.</w:t>
      </w:r>
    </w:p>
    <w:p w14:paraId="1AE41C45" w14:textId="0AE16E1B" w:rsidR="00AB3647" w:rsidRDefault="00000000" w:rsidP="007923E9">
      <w:pPr>
        <w:spacing w:after="100" w:line="276" w:lineRule="auto"/>
        <w:ind w:firstLine="340"/>
        <w:jc w:val="both"/>
      </w:pPr>
      <w:r>
        <w:rPr>
          <w:rtl/>
        </w:rPr>
        <w:t xml:space="preserve">כמו שנזכר בסוף הערה </w:t>
      </w:r>
      <w:r>
        <w:rPr>
          <w:rtl/>
        </w:rPr>
        <w:fldChar w:fldCharType="begin" w:dirty="true"/>
      </w:r>
      <w:r>
        <w:rPr>
          <w:rtl/>
        </w:rPr>
        <w:instrText xml:space="preserve"> REF b3_note76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76</w:t>
      </w:r>
      <w:r>
        <w:rPr>
          <w:rtl/>
        </w:rPr>
        <w:fldChar w:fldCharType="end"/>
      </w:r>
      <w:r>
        <w:rPr>
          <w:rtl/>
        </w:rPr>
        <w:t xml:space="preserve"> לעיל, הכריז רבנו שהסבא ייסד את שלוחת ישיבת </w:t>
      </w:r>
      <w:proofErr w:type="spellStart"/>
      <w:r>
        <w:rPr>
          <w:rtl/>
        </w:rPr>
        <w:t>סלבודקה</w:t>
      </w:r>
      <w:proofErr w:type="spellEnd"/>
      <w:r>
        <w:rPr>
          <w:rtl/>
        </w:rPr>
        <w:t xml:space="preserve"> בחברון </w:t>
      </w:r>
      <w:proofErr w:type="spellStart"/>
      <w:r>
        <w:rPr>
          <w:rtl/>
        </w:rPr>
        <w:t>בתרפ״ד</w:t>
      </w:r>
      <w:proofErr w:type="spellEnd"/>
      <w:r>
        <w:rPr>
          <w:rtl/>
        </w:rPr>
        <w:t xml:space="preserve"> משום שחש שר׳ </w:t>
      </w:r>
      <w:proofErr w:type="spellStart"/>
      <w:r>
        <w:rPr>
          <w:rtl/>
        </w:rPr>
        <w:t>משה־מרדכי</w:t>
      </w:r>
      <w:proofErr w:type="spellEnd"/>
      <w:r>
        <w:rPr>
          <w:rtl/>
        </w:rPr>
        <w:t xml:space="preserve"> אינו יכול עוד להישאר כפוף לו, ועליו לעמוד בראש מוסד משלו. השווה גם כרך 2: הסבא לא התכוון לומר שיחות מוסר בחברון כשעלה לארץ ישראל, והסכים לעשות זאת רק לאחר שנפטר בנו ר׳ משה, כשחש שעליו להצדיק את התמיכה הכספית של הישיבה באלמנתו ובילדיו של ר׳ משה.</w:t>
      </w:r>
      <w:bookmarkStart w:id="2059" w:name="_fnr1302"/>
      <w:bookmarkStart w:id="2060" w:name="pr_f_1219"/>
      <w:r>
        <w:rPr>
          <w:rStyle w:val="a5"/>
        </w:rPr>
        <w:footnoteReference w:id="1305" w:customMarkFollows="0"/>
      </w:r>
      <w:bookmarkEnd w:id="2059"/>
      <w:bookmarkEnd w:id="2060"/>
    </w:p>
    <w:bookmarkStart w:id="2061" w:name="b3_note116"/>
    <w:p w14:paraId="3C1D3FAF" w14:textId="0549AD1F" w:rsidR="00AB3647" w:rsidRDefault="00000000" w:rsidP="007923E9">
      <w:pPr>
        <w:spacing w:before="120" w:after="100" w:line="276" w:lineRule="auto"/>
        <w:jc w:val="both"/>
      </w:pPr>
      <w:r>
        <w:lastRenderedPageBreak/>
        <w:fldChar w:fldCharType="begin" w:dirty="true"/>
      </w:r>
      <w:r>
        <w:instrText>HYPERLINK \l "b3_ref116"</w:instrText>
      </w:r>
      <w:r>
        <w:fldChar w:fldCharType="separate"/>
      </w:r>
      <w:r>
        <w:rPr>
          <w:b/>
          <w:bCs/>
          <w:rtl/>
        </w:rPr>
        <w:t>116</w:t>
      </w:r>
      <w:r>
        <w:rPr>
          <w:b/>
          <w:bCs/>
        </w:rPr>
        <w:fldChar w:fldCharType="end"/>
      </w:r>
      <w:bookmarkEnd w:id="2061"/>
      <w:r>
        <w:rPr>
          <w:rtl/>
        </w:rPr>
        <w:t xml:space="preserve"> ראה </w:t>
      </w:r>
      <w:r>
        <w:rPr>
          <w:rtl/>
        </w:rPr>
        <w:fldChar w:fldCharType="begin" w:dirty="true"/>
      </w:r>
      <w:r>
        <w:rPr>
          <w:rtl/>
        </w:rPr>
        <w:instrText xml:space="preserve"> REF b3_excAA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כז</w:t>
      </w:r>
      <w:proofErr w:type="spellEnd"/>
      <w:r>
        <w:rPr>
          <w:rtl/>
        </w:rPr>
        <w:fldChar w:fldCharType="end"/>
      </w:r>
      <w:r>
        <w:rPr>
          <w:rtl/>
        </w:rPr>
        <w:t>.</w:t>
      </w:r>
    </w:p>
    <w:bookmarkStart w:id="2062" w:name="b3_note117"/>
    <w:p w14:paraId="4920F464" w14:textId="76833149" w:rsidR="00AB3647" w:rsidRDefault="00000000" w:rsidP="007923E9">
      <w:pPr>
        <w:spacing w:before="120" w:after="100" w:line="276" w:lineRule="auto"/>
        <w:jc w:val="both"/>
      </w:pPr>
      <w:r>
        <w:fldChar w:fldCharType="begin" w:dirty="true"/>
      </w:r>
      <w:r>
        <w:instrText>HYPERLINK \l "b3_ref117"</w:instrText>
      </w:r>
      <w:r>
        <w:fldChar w:fldCharType="separate"/>
      </w:r>
      <w:r>
        <w:rPr>
          <w:b/>
          <w:bCs/>
          <w:rtl/>
        </w:rPr>
        <w:t>117</w:t>
      </w:r>
      <w:r>
        <w:rPr>
          <w:b/>
          <w:bCs/>
        </w:rPr>
        <w:fldChar w:fldCharType="end"/>
      </w:r>
      <w:bookmarkEnd w:id="2062"/>
      <w:r>
        <w:rPr>
          <w:rtl/>
        </w:rPr>
        <w:t xml:space="preserve"> ראה </w:t>
      </w:r>
      <w:r>
        <w:rPr>
          <w:rtl/>
        </w:rPr>
        <w:fldChar w:fldCharType="begin" w:dirty="true"/>
      </w:r>
      <w:r>
        <w:rPr>
          <w:rtl/>
        </w:rPr>
        <w:instrText xml:space="preserve"> REF b3_excBB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כח</w:t>
      </w:r>
      <w:proofErr w:type="spellEnd"/>
      <w:r>
        <w:rPr>
          <w:rtl/>
        </w:rPr>
        <w:fldChar w:fldCharType="end"/>
      </w:r>
      <w:r>
        <w:rPr>
          <w:rtl/>
        </w:rPr>
        <w:t>.</w:t>
      </w:r>
    </w:p>
    <w:p w14:paraId="104C75AD" w14:textId="650D91A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ראש הישיבה, ר׳ </w:t>
      </w:r>
      <w:proofErr w:type="spellStart"/>
      <w:r>
        <w:rPr>
          <w:rtl/>
        </w:rPr>
        <w:t>משה־מרדכי</w:t>
      </w:r>
      <w:proofErr w:type="spellEnd"/>
      <w:r>
        <w:rPr>
          <w:rtl/>
        </w:rPr>
        <w:t>, היה דמות מרשימה. גאונותו לא הייתה מוטלת בספק</w:t>
      </w:r>
      <w:bookmarkStart w:id="2063" w:name="b3_ref118"/>
      <w:bookmarkEnd w:id="2063"/>
      <w:r>
        <w:rPr>
          <w:vertAlign w:val="superscript"/>
          <w:rtl/>
        </w:rPr>
        <w:fldChar w:fldCharType="begin" w:dirty="true"/>
      </w:r>
      <w:r>
        <w:rPr>
          <w:vertAlign w:val="superscript"/>
          <w:rtl/>
        </w:rPr>
        <w:instrText xml:space="preserve"> REF b3_note118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118</w:t>
      </w:r>
      <w:r>
        <w:rPr>
          <w:vertAlign w:val="superscript"/>
          <w:rtl/>
        </w:rPr>
        <w:fldChar w:fldCharType="end"/>
      </w:r>
      <w:r>
        <w:rPr>
          <w:rtl/>
        </w:rPr>
        <w:t xml:space="preserve">, ולמרות חובותיו הרבניות לעיר </w:t>
      </w:r>
      <w:proofErr w:type="spellStart"/>
      <w:r>
        <w:rPr>
          <w:rtl/>
        </w:rPr>
        <w:t>סלבודקה</w:t>
      </w:r>
      <w:proofErr w:type="spellEnd"/>
      <w:r>
        <w:rPr>
          <w:rtl/>
        </w:rPr>
        <w:t>, התמדתו לא נפלה מזו של המתמידים שבתלמידים</w:t>
      </w:r>
      <w:bookmarkStart w:id="2064" w:name="b3_ref119"/>
      <w:bookmarkEnd w:id="2064"/>
      <w:r>
        <w:rPr>
          <w:vertAlign w:val="superscript"/>
          <w:rtl/>
        </w:rPr>
        <w:fldChar w:fldCharType="begin" w:dirty="true"/>
      </w:r>
      <w:r>
        <w:rPr>
          <w:vertAlign w:val="superscript"/>
          <w:rtl/>
        </w:rPr>
        <w:instrText xml:space="preserve"> REF b3_note119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119</w:t>
      </w:r>
      <w:r>
        <w:rPr>
          <w:vertAlign w:val="superscript"/>
          <w:rtl/>
        </w:rPr>
        <w:fldChar w:fldCharType="end"/>
      </w:r>
      <w:r>
        <w:rPr>
          <w:rtl/>
        </w:rPr>
        <w:t>. אבל שיעוריו, מבריקים ככל שהיו, לא הם שקבעו את אופייה של גישת הישיבה ללימוד התלמוד</w:t>
      </w:r>
      <w:bookmarkStart w:id="2065" w:name="b3_ref120"/>
      <w:bookmarkEnd w:id="2065"/>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כמה תלמידים היו רצים קדימה כדי לשמוע את השיעורים – הסבא הנהיג שהתלמידים ירוצו</w:t>
      </w:r>
      <w:bookmarkStart w:id="2066" w:name="b3_ref121"/>
      <w:bookmarkEnd w:id="2066"/>
      <w:r>
        <w:rPr>
          <w:vertAlign w:val="superscript"/>
          <w:rtl/>
        </w:rPr>
        <w:fldChar w:fldCharType="begin" w:dirty="true"/>
      </w:r>
      <w:r>
        <w:rPr>
          <w:vertAlign w:val="superscript"/>
          <w:rtl/>
        </w:rPr>
        <w:instrText xml:space="preserve"> REF b3_note121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121</w:t>
      </w:r>
      <w:r>
        <w:rPr>
          <w:vertAlign w:val="superscript"/>
          <w:rtl/>
        </w:rPr>
        <w:fldChar w:fldCharType="end"/>
      </w:r>
      <w:r>
        <w:rPr>
          <w:rtl/>
        </w:rPr>
        <w:t xml:space="preserve"> לשיעור, כביטוי לכבוד התורה. אבל רבים אחרים היו יוצאים בחיפזון מבית המדרש</w:t>
      </w:r>
      <w:bookmarkStart w:id="2067" w:name="b3_ref122"/>
      <w:bookmarkEnd w:id="2067"/>
      <w:r>
        <w:rPr>
          <w:vertAlign w:val="superscript"/>
          <w:rtl/>
        </w:rPr>
        <w:fldChar w:fldCharType="begin" w:dirty="true"/>
      </w:r>
      <w:r>
        <w:rPr>
          <w:vertAlign w:val="superscript"/>
          <w:rtl/>
        </w:rPr>
        <w:instrText xml:space="preserve"> REF b3_note122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122</w:t>
      </w:r>
      <w:r>
        <w:rPr>
          <w:vertAlign w:val="superscript"/>
          <w:rtl/>
        </w:rPr>
        <w:fldChar w:fldCharType="end"/>
      </w:r>
      <w:r>
        <w:rPr>
          <w:rtl/>
        </w:rPr>
        <w:t xml:space="preserve"> כשנכנס ראש הישיבה למסור את שיעוריו, שנמסרו פעמיים בשבוע</w:t>
      </w:r>
      <w:bookmarkStart w:id="2068" w:name="b3_ref123"/>
      <w:bookmarkEnd w:id="2068"/>
      <w:r>
        <w:rPr>
          <w:vertAlign w:val="superscript"/>
          <w:rtl/>
        </w:rPr>
        <w:fldChar w:fldCharType="begin" w:dirty="true"/>
      </w:r>
      <w:r>
        <w:rPr>
          <w:vertAlign w:val="superscript"/>
          <w:rtl/>
        </w:rPr>
        <w:instrText xml:space="preserve"> REF b3_note123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123</w:t>
      </w:r>
      <w:r>
        <w:rPr>
          <w:vertAlign w:val="superscript"/>
          <w:rtl/>
        </w:rPr>
        <w:fldChar w:fldCharType="end"/>
      </w:r>
      <w:r>
        <w:rPr>
          <w:rtl/>
        </w:rPr>
        <w:t>. כשגישה כזו שררה, ובעליל בהסכמת ההנהלה, לא יכלה כנסת ישראל לקדם דרך מסוימת בלמדנות התלמודית</w:t>
      </w:r>
      <w:r>
        <w:rPr>
          <w:vertAlign w:val="superscript"/>
          <w:rtl/>
        </w:rPr>
        <w:fldChar w:fldCharType="begin" w:dirty="true"/>
      </w:r>
      <w:r>
        <w:rPr>
          <w:vertAlign w:val="superscript"/>
          <w:rtl/>
        </w:rPr>
        <w:instrText xml:space="preserve"> REF b3_note120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120</w:t>
      </w:r>
      <w:r>
        <w:rPr>
          <w:vertAlign w:val="superscript"/>
          <w:rtl/>
        </w:rPr>
        <w:fldChar w:fldCharType="end"/>
      </w:r>
      <w:r>
        <w:rPr>
          <w:rtl/>
        </w:rPr>
        <w:t>. כל תלמיד התפתח בדרך המתאימה ביותר לנטייתו השכלית האישית.</w:t>
      </w:r>
    </w:p>
    <w:bookmarkStart w:id="2069" w:name="b3_note118"/>
    <w:p w14:paraId="604B1D0D" w14:textId="77777777" w:rsidR="00AB3647" w:rsidRDefault="00000000" w:rsidP="007923E9">
      <w:pPr>
        <w:spacing w:before="120" w:after="100" w:line="276" w:lineRule="auto"/>
        <w:jc w:val="both"/>
      </w:pPr>
      <w:r>
        <w:fldChar w:fldCharType="begin" w:dirty="true"/>
      </w:r>
      <w:r>
        <w:instrText>HYPERLINK \l "b3_ref118"</w:instrText>
      </w:r>
      <w:r>
        <w:fldChar w:fldCharType="separate"/>
      </w:r>
      <w:r>
        <w:rPr>
          <w:b/>
          <w:bCs/>
          <w:rtl/>
        </w:rPr>
        <w:t>118</w:t>
      </w:r>
      <w:r>
        <w:rPr>
          <w:b/>
          <w:bCs/>
        </w:rPr>
        <w:fldChar w:fldCharType="end"/>
      </w:r>
      <w:bookmarkEnd w:id="2069"/>
      <w:r>
        <w:rPr>
          <w:rtl/>
        </w:rPr>
        <w:t xml:space="preserve"> כשהסביר מדוע אישיות מבריקה ביותר אינה מתאימה לתפקיד הנהגה בעולם הישיבות בן הזמן, אמר אבי: “הוא גאון גדול מדי מכדי להכפיף את עצמו למחשבתם של מנהיגים אחרים [מבריקים פחות]: לי היו שני עילויים שהכפפתי את עצמי אליהם, ר׳ </w:t>
      </w:r>
      <w:proofErr w:type="spellStart"/>
      <w:r>
        <w:rPr>
          <w:rtl/>
        </w:rPr>
        <w:t>משה־מרדכי</w:t>
      </w:r>
      <w:proofErr w:type="spellEnd"/>
      <w:r>
        <w:rPr>
          <w:rtl/>
        </w:rPr>
        <w:t xml:space="preserve"> והסבא”. </w:t>
      </w:r>
      <w:proofErr w:type="spellStart"/>
      <w:r>
        <w:rPr>
          <w:rtl/>
        </w:rPr>
        <w:t>בוולוז׳ין</w:t>
      </w:r>
      <w:proofErr w:type="spellEnd"/>
      <w:r>
        <w:rPr>
          <w:rtl/>
        </w:rPr>
        <w:t xml:space="preserve"> כינו את ר׳ </w:t>
      </w:r>
      <w:proofErr w:type="spellStart"/>
      <w:r>
        <w:rPr>
          <w:rtl/>
        </w:rPr>
        <w:t>משה־מרדכי</w:t>
      </w:r>
      <w:proofErr w:type="spellEnd"/>
      <w:r>
        <w:rPr>
          <w:rtl/>
        </w:rPr>
        <w:t xml:space="preserve"> “העילוי </w:t>
      </w:r>
      <w:proofErr w:type="spellStart"/>
      <w:r>
        <w:rPr>
          <w:rtl/>
        </w:rPr>
        <w:t>מבקשט</w:t>
      </w:r>
      <w:proofErr w:type="spellEnd"/>
      <w:r>
        <w:rPr>
          <w:rtl/>
        </w:rPr>
        <w:t>”</w:t>
      </w:r>
      <w:bookmarkStart w:id="2070" w:name="_fnr1303"/>
      <w:r>
        <w:rPr>
          <w:rStyle w:val="a5"/>
        </w:rPr>
        <w:footnoteReference w:id="1306" w:customMarkFollows="0"/>
      </w:r>
      <w:bookmarkEnd w:id="2070"/>
      <w:r>
        <w:rPr>
          <w:rtl/>
        </w:rPr>
        <w:t>.</w:t>
      </w:r>
    </w:p>
    <w:bookmarkStart w:id="2071" w:name="b3_note119"/>
    <w:p w14:paraId="3CA66632" w14:textId="549A2071" w:rsidR="00AB3647" w:rsidRDefault="00000000" w:rsidP="007923E9">
      <w:pPr>
        <w:spacing w:before="120" w:after="100" w:line="276" w:lineRule="auto"/>
        <w:jc w:val="both"/>
      </w:pPr>
      <w:r>
        <w:fldChar w:fldCharType="begin" w:dirty="true"/>
      </w:r>
      <w:r>
        <w:instrText>HYPERLINK \l "b3_ref119"</w:instrText>
      </w:r>
      <w:r>
        <w:fldChar w:fldCharType="separate"/>
      </w:r>
      <w:r>
        <w:rPr>
          <w:b/>
          <w:bCs/>
          <w:rtl/>
        </w:rPr>
        <w:t>119</w:t>
      </w:r>
      <w:r>
        <w:rPr>
          <w:b/>
          <w:bCs/>
        </w:rPr>
        <w:fldChar w:fldCharType="end"/>
      </w:r>
      <w:bookmarkEnd w:id="2071"/>
      <w:r>
        <w:rPr>
          <w:rtl/>
        </w:rPr>
        <w:t xml:space="preserve"> השווה תחילת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 הוא נשאר מתמיד יוצא מן הכלל כל ימיו. “אישים ושיטות”</w:t>
      </w:r>
      <w:bookmarkStart w:id="2072" w:name="_fnr1304"/>
      <w:r>
        <w:rPr>
          <w:rStyle w:val="a5"/>
        </w:rPr>
        <w:footnoteReference w:id="1307" w:customMarkFollows="0"/>
      </w:r>
      <w:bookmarkEnd w:id="2072"/>
      <w:r>
        <w:rPr>
          <w:rtl/>
        </w:rPr>
        <w:t xml:space="preserve"> אומר: “כל ימיו נהג בסדר לימוד זה: כל המשניות מדי חודש, וכל הש״ס ושולחן ערוך יו״ד </w:t>
      </w:r>
      <w:proofErr w:type="spellStart"/>
      <w:r>
        <w:rPr>
          <w:rtl/>
        </w:rPr>
        <w:t>וחו״מ</w:t>
      </w:r>
      <w:proofErr w:type="spellEnd"/>
      <w:r>
        <w:rPr>
          <w:rtl/>
        </w:rPr>
        <w:t xml:space="preserve"> מדי שנה. בארץ ישראל למד 40 עד 50 דפי גמרא בכל יום!”</w:t>
      </w:r>
    </w:p>
    <w:p w14:paraId="56AB6A46" w14:textId="77777777" w:rsidR="00AB3647" w:rsidRDefault="00000000" w:rsidP="007923E9">
      <w:pPr>
        <w:spacing w:before="120" w:after="100" w:line="276" w:lineRule="auto"/>
        <w:jc w:val="both"/>
      </w:pPr>
      <w:r>
        <w:rPr>
          <w:rtl/>
        </w:rPr>
        <w:t>בסתיו תרפ״ו</w:t>
      </w:r>
      <w:bookmarkStart w:id="2073" w:name="_fnr1305"/>
      <w:bookmarkEnd w:id="2073"/>
      <w:r>
        <w:rPr>
          <w:rStyle w:val="a5"/>
        </w:rPr>
        <w:t/>
      </w:r>
      <w:bookmarkStart w:id="7013" w:name="_TranslatorNote_5380"/>
      <w:r>
        <w:rPr>
          <w:rStyle w:val="a5"/>
          <w:vertAlign w:val="superscript"/>
          <w:rtl/>
        </w:rPr>
        <w:footnoteReference w:id="1308" w:customMarkFollows="1"/>
        <w:t>*</w:t>
      </w:r>
      <w:bookmarkEnd w:id="7013"/>
      <w:r>
        <w:rPr>
          <w:rtl/>
        </w:rPr>
        <w:t xml:space="preserve"> נמסר שכנא </w:t>
      </w:r>
      <w:proofErr w:type="spellStart"/>
      <w:r>
        <w:rPr>
          <w:rtl/>
        </w:rPr>
        <w:t>קולודצקי</w:t>
      </w:r>
      <w:bookmarkStart w:id="2074" w:name="_fnr1306"/>
      <w:proofErr w:type="spellEnd"/>
      <w:r>
        <w:rPr>
          <w:rStyle w:val="a5"/>
        </w:rPr>
        <w:footnoteReference w:id="1309" w:customMarkFollows="0"/>
      </w:r>
      <w:bookmarkEnd w:id="2074"/>
      <w:r>
        <w:rPr>
          <w:rtl/>
        </w:rPr>
        <w:t xml:space="preserve">, בן </w:t>
      </w:r>
      <w:proofErr w:type="spellStart"/>
      <w:r>
        <w:rPr>
          <w:rtl/>
        </w:rPr>
        <w:t>השלוש־עשרה</w:t>
      </w:r>
      <w:proofErr w:type="spellEnd"/>
      <w:r>
        <w:rPr>
          <w:rtl/>
        </w:rPr>
        <w:t xml:space="preserve">, להשגחתו של ר׳ </w:t>
      </w:r>
      <w:proofErr w:type="spellStart"/>
      <w:r>
        <w:rPr>
          <w:rtl/>
        </w:rPr>
        <w:t>משה־מרדכי</w:t>
      </w:r>
      <w:proofErr w:type="spellEnd"/>
      <w:r>
        <w:rPr>
          <w:rtl/>
        </w:rPr>
        <w:t xml:space="preserve"> במסע מאמריקה לאירופה, שאליה שבו ר׳ </w:t>
      </w:r>
      <w:proofErr w:type="spellStart"/>
      <w:r>
        <w:rPr>
          <w:rtl/>
        </w:rPr>
        <w:t>משה־מרדכי</w:t>
      </w:r>
      <w:proofErr w:type="spellEnd"/>
      <w:r>
        <w:rPr>
          <w:rtl/>
        </w:rPr>
        <w:t xml:space="preserve"> אפשטיין,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ור׳ </w:t>
      </w:r>
      <w:proofErr w:type="spellStart"/>
      <w:r>
        <w:rPr>
          <w:rtl/>
        </w:rPr>
        <w:t>אברהם־יצחק</w:t>
      </w:r>
      <w:proofErr w:type="spellEnd"/>
      <w:r>
        <w:rPr>
          <w:rtl/>
        </w:rPr>
        <w:t xml:space="preserve"> קוק ממסע לגיוס כספים</w:t>
      </w:r>
      <w:bookmarkStart w:id="2075" w:name="_fnr1307"/>
      <w:r>
        <w:rPr>
          <w:rStyle w:val="a5"/>
        </w:rPr>
        <w:footnoteReference w:id="1310" w:customMarkFollows="0"/>
      </w:r>
      <w:bookmarkEnd w:id="2075"/>
      <w:r>
        <w:rPr>
          <w:rtl/>
        </w:rPr>
        <w:t xml:space="preserve">. ר׳ שכנא תיאר כיצד שימש את ר׳ </w:t>
      </w:r>
      <w:proofErr w:type="spellStart"/>
      <w:r>
        <w:rPr>
          <w:rtl/>
        </w:rPr>
        <w:t>משה־מרדכי</w:t>
      </w:r>
      <w:proofErr w:type="spellEnd"/>
      <w:r>
        <w:rPr>
          <w:rtl/>
        </w:rPr>
        <w:t xml:space="preserve"> במשך כל חציית האוקיינוס, כשראש הישיבה סבל ממחלת ים קשה ולא יכול היה לעיין בספר. אבל מיד כשהגיעה הקבוצה ברכבת לפריז והתמקמה במלון, הוציא ר׳ </w:t>
      </w:r>
      <w:proofErr w:type="spellStart"/>
      <w:r>
        <w:rPr>
          <w:rtl/>
        </w:rPr>
        <w:t>משה־מרדכי</w:t>
      </w:r>
      <w:proofErr w:type="spellEnd"/>
      <w:r>
        <w:rPr>
          <w:rtl/>
        </w:rPr>
        <w:t xml:space="preserve"> כרך של מסכת חולין ולמד שש שעות רצופות. “הרב מקובנה נתפעל מחביבות התורה שגילה אז ר׳ </w:t>
      </w:r>
      <w:proofErr w:type="spellStart"/>
      <w:r>
        <w:rPr>
          <w:rtl/>
        </w:rPr>
        <w:t>משה־מרדכי</w:t>
      </w:r>
      <w:proofErr w:type="spellEnd"/>
      <w:r>
        <w:rPr>
          <w:rtl/>
        </w:rPr>
        <w:t>”, סיים ר׳ שכנא.</w:t>
      </w:r>
    </w:p>
    <w:p w14:paraId="0918DEAB" w14:textId="77777777" w:rsidR="00AB3647" w:rsidRDefault="00000000" w:rsidP="007923E9">
      <w:pPr>
        <w:spacing w:before="120" w:after="100" w:line="276" w:lineRule="auto"/>
        <w:jc w:val="both"/>
      </w:pPr>
      <w:r>
        <w:rPr>
          <w:rtl/>
        </w:rPr>
        <w:lastRenderedPageBreak/>
        <w:t xml:space="preserve">סיפור דומה מסופר </w:t>
      </w:r>
      <w:proofErr w:type="spellStart"/>
      <w:r>
        <w:rPr>
          <w:rtl/>
        </w:rPr>
        <w:t>ב“תורת</w:t>
      </w:r>
      <w:proofErr w:type="spellEnd"/>
      <w:r>
        <w:rPr>
          <w:rtl/>
        </w:rPr>
        <w:t xml:space="preserve"> חיים”</w:t>
      </w:r>
      <w:bookmarkStart w:id="2076" w:name="_fnr1308"/>
      <w:r>
        <w:rPr>
          <w:rStyle w:val="a5"/>
        </w:rPr>
        <w:footnoteReference w:id="1311" w:customMarkFollows="0"/>
      </w:r>
      <w:bookmarkEnd w:id="2076"/>
      <w:r>
        <w:rPr>
          <w:rtl/>
        </w:rPr>
        <w:t xml:space="preserve"> על </w:t>
      </w:r>
      <w:proofErr w:type="spellStart"/>
      <w:r>
        <w:rPr>
          <w:rtl/>
        </w:rPr>
        <w:t>החפץ־חיים</w:t>
      </w:r>
      <w:proofErr w:type="spellEnd"/>
      <w:r>
        <w:rPr>
          <w:rtl/>
        </w:rPr>
        <w:t xml:space="preserve">. הוא ור׳ חיים </w:t>
      </w:r>
      <w:proofErr w:type="spellStart"/>
      <w:r>
        <w:rPr>
          <w:rtl/>
        </w:rPr>
        <w:t>סולובייצ׳יק</w:t>
      </w:r>
      <w:proofErr w:type="spellEnd"/>
      <w:r>
        <w:rPr>
          <w:rtl/>
        </w:rPr>
        <w:t xml:space="preserve"> באו לוורשה </w:t>
      </w:r>
      <w:proofErr w:type="spellStart"/>
      <w:r>
        <w:rPr>
          <w:rtl/>
        </w:rPr>
        <w:t>בתרס״ו</w:t>
      </w:r>
      <w:proofErr w:type="spellEnd"/>
      <w:r>
        <w:rPr>
          <w:rtl/>
        </w:rPr>
        <w:t xml:space="preserve"> בעניין הסדרת עיזבונו של ר׳ יעקב ברודי, שהוריש כספים לצדקה</w:t>
      </w:r>
      <w:bookmarkStart w:id="2077" w:name="_fnr1309"/>
      <w:r>
        <w:rPr>
          <w:rStyle w:val="a5"/>
        </w:rPr>
        <w:footnoteReference w:id="1312" w:customMarkFollows="0"/>
      </w:r>
      <w:bookmarkEnd w:id="2077"/>
      <w:r>
        <w:rPr>
          <w:rtl/>
        </w:rPr>
        <w:t xml:space="preserve">. ר׳ </w:t>
      </w:r>
      <w:proofErr w:type="spellStart"/>
      <w:r>
        <w:rPr>
          <w:rtl/>
        </w:rPr>
        <w:t>אברהם־משה</w:t>
      </w:r>
      <w:proofErr w:type="spellEnd"/>
      <w:r>
        <w:rPr>
          <w:rtl/>
        </w:rPr>
        <w:t xml:space="preserve"> סלומון, אז ר״מ בכיר בישיבת “תורת חיים” בוורשה, בא עם עוד כמה בני תורה צעירים לבקר את ר׳ חיים בחדרו. אבל ר׳ חיים לא דיבר עמהם עד שנכנסו כולם לחדרו של </w:t>
      </w:r>
      <w:proofErr w:type="spellStart"/>
      <w:r>
        <w:rPr>
          <w:rtl/>
        </w:rPr>
        <w:t>החפץ־חיים</w:t>
      </w:r>
      <w:proofErr w:type="spellEnd"/>
      <w:r>
        <w:rPr>
          <w:rtl/>
        </w:rPr>
        <w:t xml:space="preserve">, המבוגר ממנו, לראות שהתמקם כראוי. הם השתוממו למצוא את </w:t>
      </w:r>
      <w:proofErr w:type="spellStart"/>
      <w:r>
        <w:rPr>
          <w:rtl/>
        </w:rPr>
        <w:t>החפץ־חיים</w:t>
      </w:r>
      <w:proofErr w:type="spellEnd"/>
      <w:r>
        <w:rPr>
          <w:rtl/>
        </w:rPr>
        <w:t xml:space="preserve"> כבר שקוע בלימוד, ור׳ חיים הכריז בפליאה: “הוא רק הגיע מן הנסיעה, וכבר הוא עוסק בלימודו!”</w:t>
      </w:r>
    </w:p>
    <w:bookmarkStart w:id="2078" w:name="b3_note120"/>
    <w:p w14:paraId="1A22F46E" w14:textId="77777777" w:rsidR="00AB3647" w:rsidRDefault="00000000" w:rsidP="007923E9">
      <w:pPr>
        <w:spacing w:before="120" w:after="100" w:line="276" w:lineRule="auto"/>
        <w:jc w:val="both"/>
      </w:pPr>
      <w:r>
        <w:fldChar w:fldCharType="begin" w:dirty="true"/>
      </w:r>
      <w:r>
        <w:instrText>HYPERLINK \l "b3_ref120"</w:instrText>
      </w:r>
      <w:r>
        <w:fldChar w:fldCharType="separate"/>
      </w:r>
      <w:r>
        <w:rPr>
          <w:b/>
          <w:bCs/>
          <w:rtl/>
        </w:rPr>
        <w:t>120</w:t>
      </w:r>
      <w:r>
        <w:rPr>
          <w:b/>
          <w:bCs/>
        </w:rPr>
        <w:fldChar w:fldCharType="end"/>
      </w:r>
      <w:bookmarkEnd w:id="2078"/>
      <w:r>
        <w:rPr>
          <w:rtl/>
        </w:rPr>
        <w:t xml:space="preserve"> לדברי נכדו ר׳ דוד </w:t>
      </w:r>
      <w:proofErr w:type="spellStart"/>
      <w:r>
        <w:rPr>
          <w:rtl/>
        </w:rPr>
        <w:t>קמינצקי</w:t>
      </w:r>
      <w:bookmarkStart w:id="2079" w:name="_fnr1310"/>
      <w:proofErr w:type="spellEnd"/>
      <w:r>
        <w:rPr>
          <w:rStyle w:val="a5"/>
        </w:rPr>
        <w:footnoteReference w:id="1313" w:customMarkFollows="0"/>
      </w:r>
      <w:bookmarkEnd w:id="2079"/>
      <w:r>
        <w:rPr>
          <w:rtl/>
        </w:rPr>
        <w:t xml:space="preserve">, אמר אבי: “בישיבה לא עודדו דרך מסוימת בלימוד. הבחור הצעיר היה מחפש את התלמיד המבוגר שדרכו מצאה חן בעיניו, מתקשר אליו ומתפתח לפי דרכו המיוחדת. לא שיעורו של ר׳ </w:t>
      </w:r>
      <w:proofErr w:type="spellStart"/>
      <w:r>
        <w:rPr>
          <w:rtl/>
        </w:rPr>
        <w:t>משה־מרדכי</w:t>
      </w:r>
      <w:proofErr w:type="spellEnd"/>
      <w:r>
        <w:rPr>
          <w:rtl/>
        </w:rPr>
        <w:t xml:space="preserve"> הוא שקבע את התהוותה של ‘דרך </w:t>
      </w:r>
      <w:proofErr w:type="spellStart"/>
      <w:r>
        <w:rPr>
          <w:rtl/>
        </w:rPr>
        <w:t>סלבודקאית</w:t>
      </w:r>
      <w:proofErr w:type="spellEnd"/>
      <w:r>
        <w:rPr>
          <w:rtl/>
        </w:rPr>
        <w:t xml:space="preserve"> בלימוד’”.</w:t>
      </w:r>
    </w:p>
    <w:p w14:paraId="4A07DD2D" w14:textId="37DB684B" w:rsidR="00AB3647" w:rsidRDefault="00000000" w:rsidP="007923E9">
      <w:pPr>
        <w:spacing w:before="120" w:after="100" w:line="276" w:lineRule="auto"/>
        <w:jc w:val="both"/>
      </w:pPr>
      <w:r>
        <w:rPr>
          <w:rtl/>
        </w:rPr>
        <w:t xml:space="preserve">השווה גם פרק 2, </w:t>
      </w:r>
      <w:r>
        <w:rPr>
          <w:rtl/>
        </w:rPr>
        <w:fldChar w:fldCharType="begin" w:dirty="true"/>
      </w:r>
      <w:r>
        <w:rPr>
          <w:rtl/>
        </w:rPr>
        <w:instrText xml:space="preserve"> REF b2_excD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המביא </w:t>
      </w:r>
      <w:proofErr w:type="spellStart"/>
      <w:r>
        <w:rPr>
          <w:rtl/>
        </w:rPr>
        <w:t>מ“יתד</w:t>
      </w:r>
      <w:proofErr w:type="spellEnd"/>
      <w:r>
        <w:rPr>
          <w:rtl/>
        </w:rPr>
        <w:t xml:space="preserve"> נאמן” שר׳ </w:t>
      </w:r>
      <w:proofErr w:type="spellStart"/>
      <w:r>
        <w:rPr>
          <w:rtl/>
        </w:rPr>
        <w:t>יחיאל־יעקב</w:t>
      </w:r>
      <w:proofErr w:type="spellEnd"/>
      <w:r>
        <w:rPr>
          <w:rtl/>
        </w:rPr>
        <w:t xml:space="preserve"> ויינברג ראה בר׳ אהרן קוטלר “אחד מבחוריו”. בתחילה נראה לי שהכוונה שר׳ אהרן היה אחד התלמידים הצעירים שבחרו בר׳ </w:t>
      </w:r>
      <w:proofErr w:type="spellStart"/>
      <w:r>
        <w:rPr>
          <w:rtl/>
        </w:rPr>
        <w:t>יחיאל־יעקב</w:t>
      </w:r>
      <w:proofErr w:type="spellEnd"/>
      <w:r>
        <w:rPr>
          <w:rtl/>
        </w:rPr>
        <w:t xml:space="preserve"> ויינברג כמדריכם. אבל ר׳ </w:t>
      </w:r>
      <w:proofErr w:type="spellStart"/>
      <w:r>
        <w:rPr>
          <w:rtl/>
        </w:rPr>
        <w:t>יחיאל־יעקב</w:t>
      </w:r>
      <w:proofErr w:type="spellEnd"/>
      <w:r>
        <w:rPr>
          <w:rtl/>
        </w:rPr>
        <w:t xml:space="preserve"> התייחס לזמן שבו ר׳ אהרן, שאך זה נעשה אז בר מצווה, עדיין לא למד בכנסת ישראל אלא אצל ר׳ </w:t>
      </w:r>
      <w:proofErr w:type="spellStart"/>
      <w:r>
        <w:rPr>
          <w:rtl/>
        </w:rPr>
        <w:t>ברוך־בער</w:t>
      </w:r>
      <w:proofErr w:type="spellEnd"/>
      <w:r>
        <w:rPr>
          <w:rtl/>
        </w:rPr>
        <w:t xml:space="preserve"> בכנסת בית יצחק [שבה היה השיעור עמוד התווך בהתפתחות התלמידים]. לכן ודאי התכוון רק לכך שר׳ אהרן היה מבקר אצלו לעיתים קרובות כדי “לדבר בלימוד”</w:t>
      </w:r>
      <w:bookmarkStart w:id="2080" w:name="_fnr1311"/>
      <w:r>
        <w:rPr>
          <w:rStyle w:val="a5"/>
        </w:rPr>
        <w:footnoteReference w:id="1314" w:customMarkFollows="0"/>
      </w:r>
      <w:bookmarkEnd w:id="2080"/>
      <w:r>
        <w:rPr>
          <w:rtl/>
        </w:rPr>
        <w:t xml:space="preserve">. ר׳ </w:t>
      </w:r>
      <w:proofErr w:type="spellStart"/>
      <w:r>
        <w:rPr>
          <w:rtl/>
        </w:rPr>
        <w:t>יחיאל־יעקב</w:t>
      </w:r>
      <w:proofErr w:type="spellEnd"/>
      <w:r>
        <w:rPr>
          <w:rtl/>
        </w:rPr>
        <w:t xml:space="preserve">, שכבר היה עילוי מפורסם כשהגיע ר׳ אהרן לראשונה </w:t>
      </w:r>
      <w:proofErr w:type="spellStart"/>
      <w:r>
        <w:rPr>
          <w:rtl/>
        </w:rPr>
        <w:t>לסלבודקה</w:t>
      </w:r>
      <w:proofErr w:type="spellEnd"/>
      <w:r>
        <w:rPr>
          <w:rtl/>
        </w:rPr>
        <w:t xml:space="preserve">, למד בכנסת ישראל שלוש שנים וחצי לפני שנשלח </w:t>
      </w:r>
      <w:proofErr w:type="spellStart"/>
      <w:r>
        <w:rPr>
          <w:rtl/>
        </w:rPr>
        <w:t>למיר</w:t>
      </w:r>
      <w:proofErr w:type="spellEnd"/>
      <w:r>
        <w:rPr>
          <w:rtl/>
        </w:rPr>
        <w:t xml:space="preserve"> לאחר פסח תרס״ה</w:t>
      </w:r>
      <w:bookmarkStart w:id="2081" w:name="_fnr1312"/>
      <w:r>
        <w:rPr>
          <w:rStyle w:val="a5"/>
        </w:rPr>
        <w:footnoteReference w:id="1315" w:customMarkFollows="0"/>
      </w:r>
      <w:bookmarkEnd w:id="2081"/>
      <w:r>
        <w:rPr>
          <w:rtl/>
        </w:rPr>
        <w:t xml:space="preserve">. בחורף האחרון שלו </w:t>
      </w:r>
      <w:proofErr w:type="spellStart"/>
      <w:r>
        <w:rPr>
          <w:rtl/>
        </w:rPr>
        <w:t>בסלבודקה</w:t>
      </w:r>
      <w:proofErr w:type="spellEnd"/>
      <w:r>
        <w:rPr>
          <w:rtl/>
        </w:rPr>
        <w:t xml:space="preserve"> בא ר׳ אהרן לדבר עמו.</w:t>
      </w:r>
    </w:p>
    <w:p w14:paraId="2ABCF08C" w14:textId="773CC588" w:rsidR="00AB3647" w:rsidRDefault="00000000" w:rsidP="007923E9">
      <w:pPr>
        <w:spacing w:before="120" w:after="100" w:line="276" w:lineRule="auto"/>
        <w:jc w:val="both"/>
      </w:pPr>
      <w:r>
        <w:rPr>
          <w:rtl/>
        </w:rPr>
        <w:t>השווה גם כץ, “תנועת המוסר”, כרך א</w:t>
      </w:r>
      <w:bookmarkStart w:id="2082" w:name="_fnr1313"/>
      <w:r>
        <w:rPr>
          <w:rStyle w:val="a5"/>
        </w:rPr>
        <w:footnoteReference w:id="1316" w:customMarkFollows="0"/>
      </w:r>
      <w:bookmarkEnd w:id="2082"/>
      <w:r>
        <w:rPr>
          <w:rtl/>
        </w:rPr>
        <w:t xml:space="preserve">: ר׳ ישראל </w:t>
      </w:r>
      <w:proofErr w:type="spellStart"/>
      <w:r>
        <w:rPr>
          <w:rtl/>
        </w:rPr>
        <w:t>סלנטר</w:t>
      </w:r>
      <w:proofErr w:type="spellEnd"/>
      <w:r>
        <w:rPr>
          <w:rtl/>
        </w:rPr>
        <w:t xml:space="preserve"> כתב לאחיינו ר׳ לייב ליפקין ש“[דרך הלימוד הנכונה] תלויה במזגו של האדם ובכיוון מחשבתו”. השווה גם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 xml:space="preserve"> להלן: לפי </w:t>
      </w:r>
      <w:proofErr w:type="spellStart"/>
      <w:r>
        <w:rPr>
          <w:rtl/>
        </w:rPr>
        <w:t>דבורץ</w:t>
      </w:r>
      <w:proofErr w:type="spellEnd"/>
      <w:r>
        <w:rPr>
          <w:rtl/>
        </w:rPr>
        <w:t>, “הגאון רבי משה מרדכי אפשטיין”</w:t>
      </w:r>
      <w:bookmarkStart w:id="2083" w:name="_fnr1314"/>
      <w:r>
        <w:rPr>
          <w:rStyle w:val="a5"/>
        </w:rPr>
        <w:footnoteReference w:id="1317" w:customMarkFollows="0"/>
      </w:r>
      <w:bookmarkEnd w:id="2083"/>
      <w:r>
        <w:rPr>
          <w:rtl/>
        </w:rPr>
        <w:t xml:space="preserve">, שינוי בדרך לימוד התורה השתרש </w:t>
      </w:r>
      <w:proofErr w:type="spellStart"/>
      <w:r>
        <w:rPr>
          <w:rtl/>
        </w:rPr>
        <w:t>בסלבודקה</w:t>
      </w:r>
      <w:proofErr w:type="spellEnd"/>
      <w:r>
        <w:rPr>
          <w:rtl/>
        </w:rPr>
        <w:t xml:space="preserve"> שנה לפני בואו של אבי. מסתבר שהישיבה אימצה את הדרך שהציע ראש הישיבה, ר׳ </w:t>
      </w:r>
      <w:proofErr w:type="spellStart"/>
      <w:r>
        <w:rPr>
          <w:rtl/>
        </w:rPr>
        <w:t>משה־מרדכי</w:t>
      </w:r>
      <w:proofErr w:type="spellEnd"/>
      <w:r>
        <w:rPr>
          <w:rtl/>
        </w:rPr>
        <w:t xml:space="preserve">, בהקדמה </w:t>
      </w:r>
      <w:proofErr w:type="spellStart"/>
      <w:r>
        <w:rPr>
          <w:rtl/>
        </w:rPr>
        <w:t>ל“לבוש</w:t>
      </w:r>
      <w:proofErr w:type="spellEnd"/>
      <w:r>
        <w:rPr>
          <w:rtl/>
        </w:rPr>
        <w:t xml:space="preserve"> מרדכי” על מסכת בבא קמא, שראה אור ארבע שנים קודם לכן. דרך זו משלבת רכישת ידיעות כלליות רחבות עם הבנה מעמיקה</w:t>
      </w:r>
      <w:bookmarkStart w:id="2084" w:name="_fnr1315"/>
      <w:r>
        <w:rPr>
          <w:rStyle w:val="a5"/>
        </w:rPr>
        <w:footnoteReference w:id="1318" w:customMarkFollows="0"/>
      </w:r>
      <w:bookmarkEnd w:id="2084"/>
      <w:r>
        <w:rPr>
          <w:rtl/>
        </w:rPr>
        <w:t xml:space="preserve">, ומשאירה מקום לטעמו של היחיד בקביעת היחס בין שתי הדרכים. שלא כר׳ </w:t>
      </w:r>
      <w:proofErr w:type="spellStart"/>
      <w:r>
        <w:rPr>
          <w:rtl/>
        </w:rPr>
        <w:t>משה־מרדכי</w:t>
      </w:r>
      <w:proofErr w:type="spellEnd"/>
      <w:r>
        <w:rPr>
          <w:rtl/>
        </w:rPr>
        <w:t xml:space="preserve">, ר׳ </w:t>
      </w:r>
      <w:proofErr w:type="spellStart"/>
      <w:r>
        <w:rPr>
          <w:rtl/>
        </w:rPr>
        <w:t>ברוך־בער</w:t>
      </w:r>
      <w:proofErr w:type="spellEnd"/>
      <w:r>
        <w:rPr>
          <w:rtl/>
        </w:rPr>
        <w:t xml:space="preserve"> ראה בבקיאות רק כלי לחידוד ההבנה, ללא ערך עצמי ניכר</w:t>
      </w:r>
      <w:bookmarkStart w:id="2085" w:name="_fnr1316"/>
      <w:r>
        <w:rPr>
          <w:rStyle w:val="a5"/>
        </w:rPr>
        <w:footnoteReference w:id="1319" w:customMarkFollows="0"/>
      </w:r>
      <w:bookmarkEnd w:id="2085"/>
      <w:r>
        <w:rPr>
          <w:rtl/>
        </w:rPr>
        <w:t>.</w:t>
      </w:r>
    </w:p>
    <w:p w14:paraId="2D650599" w14:textId="77777777" w:rsidR="00AB3647" w:rsidRDefault="00000000" w:rsidP="007923E9">
      <w:pPr>
        <w:spacing w:after="100" w:line="276" w:lineRule="auto"/>
        <w:ind w:firstLine="340"/>
        <w:jc w:val="both"/>
      </w:pPr>
      <w:r>
        <w:rPr>
          <w:rtl/>
        </w:rPr>
        <w:lastRenderedPageBreak/>
        <w:t xml:space="preserve">לדברי ר׳ אליהו </w:t>
      </w:r>
      <w:proofErr w:type="spellStart"/>
      <w:r>
        <w:rPr>
          <w:rtl/>
        </w:rPr>
        <w:t>קושלבסקי</w:t>
      </w:r>
      <w:bookmarkStart w:id="2086" w:name="_fnr1317"/>
      <w:proofErr w:type="spellEnd"/>
      <w:r>
        <w:rPr>
          <w:rStyle w:val="a5"/>
        </w:rPr>
        <w:footnoteReference w:id="1320" w:customMarkFollows="0"/>
      </w:r>
      <w:bookmarkEnd w:id="2086"/>
      <w:r>
        <w:rPr>
          <w:rtl/>
        </w:rPr>
        <w:t xml:space="preserve">, תפקידו החינוכי של ראש ישיבת כנסת ישראל מעולם לא השתנה. הוא סיפר: “יותר מעשרים שנה לאחר מכן התעוררה </w:t>
      </w:r>
      <w:proofErr w:type="spellStart"/>
      <w:r>
        <w:rPr>
          <w:rtl/>
        </w:rPr>
        <w:t>בסלבודקה</w:t>
      </w:r>
      <w:proofErr w:type="spellEnd"/>
      <w:r>
        <w:rPr>
          <w:rtl/>
        </w:rPr>
        <w:t xml:space="preserve"> מחלוקת אם למנות את ר׳ יוסף </w:t>
      </w:r>
      <w:proofErr w:type="spellStart"/>
      <w:r>
        <w:rPr>
          <w:rtl/>
        </w:rPr>
        <w:t>זוסמנוביץ</w:t>
      </w:r>
      <w:proofErr w:type="spellEnd"/>
      <w:r>
        <w:rPr>
          <w:rtl/>
        </w:rPr>
        <w:t xml:space="preserve"> [‘הירושלמי’] לראש הישיבה במקום חותנו ר׳ </w:t>
      </w:r>
      <w:proofErr w:type="spellStart"/>
      <w:r>
        <w:rPr>
          <w:rtl/>
        </w:rPr>
        <w:t>משה־מרדכי</w:t>
      </w:r>
      <w:proofErr w:type="spellEnd"/>
      <w:r>
        <w:rPr>
          <w:rtl/>
        </w:rPr>
        <w:t xml:space="preserve"> אפשטיין, שעבר לחברון. צד אחד טען שאף שר׳ יוסף הוא עילוי יוצא מן הכלל, אין לו כישורי ההוראה של ראש ישיבה ראוי. אחרים סברו שמכיוון </w:t>
      </w:r>
      <w:proofErr w:type="spellStart"/>
      <w:r>
        <w:rPr>
          <w:rtl/>
        </w:rPr>
        <w:t>שסלבודקה</w:t>
      </w:r>
      <w:proofErr w:type="spellEnd"/>
      <w:r>
        <w:rPr>
          <w:rtl/>
        </w:rPr>
        <w:t xml:space="preserve"> מעולם לא ‘חיה’ על ראש הישיבה שלה, מעמדו של ר׳ יוסף כלמדן מעולה די בו כדי לעשותו ראוי לתפקיד”. בזמן המחלוקת הזאת כבר עזב אבי את </w:t>
      </w:r>
      <w:proofErr w:type="spellStart"/>
      <w:r>
        <w:rPr>
          <w:rtl/>
        </w:rPr>
        <w:t>סלבודקה</w:t>
      </w:r>
      <w:proofErr w:type="spellEnd"/>
      <w:r>
        <w:rPr>
          <w:rtl/>
        </w:rPr>
        <w:t xml:space="preserve"> </w:t>
      </w:r>
      <w:proofErr w:type="spellStart"/>
      <w:r>
        <w:rPr>
          <w:rtl/>
        </w:rPr>
        <w:t>לציטוביאן</w:t>
      </w:r>
      <w:proofErr w:type="spellEnd"/>
      <w:r>
        <w:rPr>
          <w:rtl/>
        </w:rPr>
        <w:t xml:space="preserve">. עם זאת, ראה בסוף כרך 3 כיצד הושפע גורלם של אבי ומשפחתו ממאורע הקשור לרב </w:t>
      </w:r>
      <w:proofErr w:type="spellStart"/>
      <w:r>
        <w:rPr>
          <w:rtl/>
        </w:rPr>
        <w:t>זוסמנוביץ</w:t>
      </w:r>
      <w:proofErr w:type="spellEnd"/>
      <w:r>
        <w:rPr>
          <w:rtl/>
        </w:rPr>
        <w:t>.</w:t>
      </w:r>
    </w:p>
    <w:bookmarkStart w:id="2087" w:name="b3_note121"/>
    <w:p w14:paraId="17949726" w14:textId="77777777" w:rsidR="00AB3647" w:rsidRDefault="00000000" w:rsidP="007923E9">
      <w:pPr>
        <w:spacing w:before="120" w:after="100" w:line="276" w:lineRule="auto"/>
        <w:jc w:val="both"/>
      </w:pPr>
      <w:r>
        <w:fldChar w:fldCharType="begin" w:dirty="true"/>
      </w:r>
      <w:r>
        <w:instrText>HYPERLINK \l "b3_ref121"</w:instrText>
      </w:r>
      <w:r>
        <w:fldChar w:fldCharType="separate"/>
      </w:r>
      <w:r>
        <w:rPr>
          <w:b/>
          <w:bCs/>
          <w:rtl/>
        </w:rPr>
        <w:t>121</w:t>
      </w:r>
      <w:r>
        <w:rPr>
          <w:b/>
          <w:bCs/>
        </w:rPr>
        <w:fldChar w:fldCharType="end"/>
      </w:r>
      <w:bookmarkEnd w:id="2087"/>
      <w:r>
        <w:rPr>
          <w:rtl/>
        </w:rPr>
        <w:t xml:space="preserve"> </w:t>
      </w:r>
      <w:proofErr w:type="spellStart"/>
      <w:r>
        <w:rPr>
          <w:rtl/>
        </w:rPr>
        <w:t>חיה־מרים</w:t>
      </w:r>
      <w:proofErr w:type="spellEnd"/>
      <w:r>
        <w:rPr>
          <w:rtl/>
        </w:rPr>
        <w:t xml:space="preserve"> </w:t>
      </w:r>
      <w:proofErr w:type="spellStart"/>
      <w:r>
        <w:rPr>
          <w:rtl/>
        </w:rPr>
        <w:t>שולמן</w:t>
      </w:r>
      <w:bookmarkStart w:id="2088" w:name="_fnr1318"/>
      <w:bookmarkStart w:id="2089" w:name="pr_f_1234"/>
      <w:proofErr w:type="spellEnd"/>
      <w:r>
        <w:rPr>
          <w:rStyle w:val="a5"/>
        </w:rPr>
        <w:footnoteReference w:id="1321" w:customMarkFollows="0"/>
      </w:r>
      <w:bookmarkEnd w:id="2088"/>
      <w:bookmarkEnd w:id="2089"/>
      <w:r>
        <w:rPr>
          <w:rtl/>
        </w:rPr>
        <w:t>.</w:t>
      </w:r>
    </w:p>
    <w:bookmarkStart w:id="2090" w:name="b3_note122"/>
    <w:p w14:paraId="3A775B1B" w14:textId="7172ECC3" w:rsidR="00AB3647" w:rsidRDefault="00000000" w:rsidP="007923E9">
      <w:pPr>
        <w:spacing w:before="120" w:after="100" w:line="276" w:lineRule="auto"/>
        <w:jc w:val="both"/>
      </w:pPr>
      <w:r>
        <w:fldChar w:fldCharType="begin" w:dirty="true"/>
      </w:r>
      <w:r>
        <w:instrText>HYPERLINK \l "b3_ref122"</w:instrText>
      </w:r>
      <w:r>
        <w:fldChar w:fldCharType="separate"/>
      </w:r>
      <w:r>
        <w:rPr>
          <w:b/>
          <w:bCs/>
          <w:rtl/>
        </w:rPr>
        <w:t>122</w:t>
      </w:r>
      <w:r>
        <w:rPr>
          <w:b/>
          <w:bCs/>
        </w:rPr>
        <w:fldChar w:fldCharType="end"/>
      </w:r>
      <w:bookmarkEnd w:id="2090"/>
      <w:r>
        <w:rPr>
          <w:rtl/>
        </w:rPr>
        <w:t xml:space="preserve"> ראה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w:t>
      </w:r>
    </w:p>
    <w:bookmarkStart w:id="2091" w:name="b3_note123"/>
    <w:p w14:paraId="0FEEED88" w14:textId="77777777" w:rsidR="00AB3647" w:rsidRDefault="00000000" w:rsidP="007923E9">
      <w:pPr>
        <w:spacing w:before="120" w:after="100" w:line="276" w:lineRule="auto"/>
        <w:jc w:val="both"/>
      </w:pPr>
      <w:r>
        <w:fldChar w:fldCharType="begin" w:dirty="true"/>
      </w:r>
      <w:r>
        <w:instrText>HYPERLINK \l "b3_ref123"</w:instrText>
      </w:r>
      <w:r>
        <w:fldChar w:fldCharType="separate"/>
      </w:r>
      <w:r>
        <w:rPr>
          <w:b/>
          <w:bCs/>
          <w:rtl/>
        </w:rPr>
        <w:t>123</w:t>
      </w:r>
      <w:r>
        <w:rPr>
          <w:b/>
          <w:bCs/>
        </w:rPr>
        <w:fldChar w:fldCharType="end"/>
      </w:r>
      <w:bookmarkEnd w:id="2091"/>
      <w:r>
        <w:rPr>
          <w:rtl/>
        </w:rPr>
        <w:t xml:space="preserve"> ר׳ מאיר חדש</w:t>
      </w:r>
      <w:bookmarkStart w:id="2092" w:name="_fnr1319"/>
      <w:r>
        <w:rPr>
          <w:rStyle w:val="a5"/>
        </w:rPr>
        <w:footnoteReference w:id="1322" w:customMarkFollows="0"/>
      </w:r>
      <w:bookmarkEnd w:id="2092"/>
      <w:r>
        <w:rPr>
          <w:rtl/>
        </w:rPr>
        <w:t>. הוא תיאר את משכו של כל שיעור: “הוא נמשך חצי שעה, ולפעמים שלושת רבעי השעה. לעיתים היה השיעור נפרס על פני שלושה המשכים”.</w:t>
      </w:r>
    </w:p>
    <w:p w14:paraId="5C1B4243" w14:textId="4BBDE44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וחברו </w:t>
      </w:r>
      <w:proofErr w:type="spellStart"/>
      <w:r>
        <w:rPr>
          <w:rtl/>
        </w:rPr>
        <w:t>הסיסלוביצ׳ר</w:t>
      </w:r>
      <w:proofErr w:type="spellEnd"/>
      <w:r>
        <w:rPr>
          <w:rtl/>
        </w:rPr>
        <w:t xml:space="preserve"> נשארו לשיעורי ראש הישיבה, אבל רק אהרן היה משמיע בהם את קולו</w:t>
      </w:r>
      <w:bookmarkStart w:id="2093" w:name="b3_ref124"/>
      <w:bookmarkEnd w:id="2093"/>
      <w:r>
        <w:rPr>
          <w:vertAlign w:val="superscript"/>
          <w:rtl/>
        </w:rPr>
        <w:fldChar w:fldCharType="begin" w:dirty="true"/>
      </w:r>
      <w:r>
        <w:rPr>
          <w:vertAlign w:val="superscript"/>
          <w:rtl/>
        </w:rPr>
        <w:instrText xml:space="preserve"> REF b3_note124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124</w:t>
      </w:r>
      <w:r>
        <w:rPr>
          <w:vertAlign w:val="superscript"/>
          <w:rtl/>
        </w:rPr>
        <w:fldChar w:fldCharType="end"/>
      </w:r>
      <w:r>
        <w:rPr>
          <w:rtl/>
        </w:rPr>
        <w:t>, ומערער, לעיתים בלהט, על נכונות החידוש שנאמר. הפרעות כאלה היו מותרות</w:t>
      </w:r>
      <w:bookmarkStart w:id="2094" w:name="b3_ref125"/>
      <w:bookmarkEnd w:id="2094"/>
      <w:r>
        <w:rPr>
          <w:vertAlign w:val="superscript"/>
          <w:rtl/>
        </w:rPr>
        <w:fldChar w:fldCharType="begin" w:dirty="true"/>
      </w:r>
      <w:r>
        <w:rPr>
          <w:vertAlign w:val="superscript"/>
          <w:rtl/>
        </w:rPr>
        <w:instrText xml:space="preserve"> REF b3_note125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125</w:t>
      </w:r>
      <w:r>
        <w:rPr>
          <w:vertAlign w:val="superscript"/>
          <w:rtl/>
        </w:rPr>
        <w:fldChar w:fldCharType="end"/>
      </w:r>
      <w:r>
        <w:rPr>
          <w:rtl/>
        </w:rPr>
        <w:t xml:space="preserve"> לפי כללי הישיבה. אבי לא הקשיב לשיעורים בקשב מוחלט כל כך</w:t>
      </w:r>
      <w:bookmarkStart w:id="2095" w:name="b3_ref126"/>
      <w:bookmarkEnd w:id="2095"/>
      <w:r>
        <w:rPr>
          <w:vertAlign w:val="superscript"/>
          <w:rtl/>
        </w:rPr>
        <w:fldChar w:fldCharType="begin" w:dirty="true"/>
      </w:r>
      <w:r>
        <w:rPr>
          <w:vertAlign w:val="superscript"/>
          <w:rtl/>
        </w:rPr>
        <w:instrText xml:space="preserve"> REF b3_note126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126</w:t>
      </w:r>
      <w:r>
        <w:rPr>
          <w:vertAlign w:val="superscript"/>
          <w:rtl/>
        </w:rPr>
        <w:fldChar w:fldCharType="end"/>
      </w:r>
      <w:r>
        <w:rPr>
          <w:rtl/>
        </w:rPr>
        <w:t xml:space="preserve">, אלא פיתח את כישורי הלימוד שלו בקבוצות הלימוד הידועות </w:t>
      </w:r>
      <w:proofErr w:type="spellStart"/>
      <w:r>
        <w:rPr>
          <w:rtl/>
        </w:rPr>
        <w:t>כ“חבורות</w:t>
      </w:r>
      <w:proofErr w:type="spellEnd"/>
      <w:r>
        <w:rPr>
          <w:rtl/>
        </w:rPr>
        <w:t>”, שתלמידים מבוגרים שונים הופקדו על מסירתן</w:t>
      </w:r>
      <w:bookmarkStart w:id="2096" w:name="b3_ref127"/>
      <w:bookmarkEnd w:id="2096"/>
      <w:r>
        <w:rPr>
          <w:vertAlign w:val="superscript"/>
          <w:rtl/>
        </w:rPr>
        <w:fldChar w:fldCharType="begin" w:dirty="true"/>
      </w:r>
      <w:r>
        <w:rPr>
          <w:vertAlign w:val="superscript"/>
          <w:rtl/>
        </w:rPr>
        <w:instrText xml:space="preserve"> REF b3_note127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127</w:t>
      </w:r>
      <w:r>
        <w:rPr>
          <w:vertAlign w:val="superscript"/>
          <w:rtl/>
        </w:rPr>
        <w:fldChar w:fldCharType="end"/>
      </w:r>
      <w:r>
        <w:rPr>
          <w:rtl/>
        </w:rPr>
        <w:t>. הוא בחר מוסר חבורה שדרך לימודו מצאה חן בעיניו, וקיבל אותו כמדריך אישי לפיתוח הבנתו בלימוד. הוא לא רק עקב מקרוב אחר דבריו של התלמיד המבוגר, אלא גם דן עמו ביחידות בכל קושי שהתעורר בחומר שלמד</w:t>
      </w:r>
      <w:bookmarkStart w:id="2097" w:name="b3_ref128"/>
      <w:bookmarkEnd w:id="2097"/>
      <w:r>
        <w:rPr>
          <w:vertAlign w:val="superscript"/>
          <w:rtl/>
        </w:rPr>
        <w:fldChar w:fldCharType="begin" w:dirty="true"/>
      </w:r>
      <w:r>
        <w:rPr>
          <w:vertAlign w:val="superscript"/>
          <w:rtl/>
        </w:rPr>
        <w:instrText xml:space="preserve"> REF b3_note128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128</w:t>
      </w:r>
      <w:r>
        <w:rPr>
          <w:vertAlign w:val="superscript"/>
          <w:rtl/>
        </w:rPr>
        <w:fldChar w:fldCharType="end"/>
      </w:r>
      <w:r>
        <w:rPr>
          <w:rtl/>
        </w:rPr>
        <w:t>.</w:t>
      </w:r>
    </w:p>
    <w:bookmarkStart w:id="2098" w:name="b3_note124"/>
    <w:p w14:paraId="1CC9E599" w14:textId="77777777" w:rsidR="00AB3647" w:rsidRDefault="00000000" w:rsidP="007923E9">
      <w:pPr>
        <w:spacing w:before="120" w:after="100" w:line="276" w:lineRule="auto"/>
        <w:jc w:val="both"/>
      </w:pPr>
      <w:r>
        <w:fldChar w:fldCharType="begin" w:dirty="true"/>
      </w:r>
      <w:r>
        <w:instrText>HYPERLINK \l "b3_ref124"</w:instrText>
      </w:r>
      <w:r>
        <w:fldChar w:fldCharType="separate"/>
      </w:r>
      <w:r>
        <w:rPr>
          <w:b/>
          <w:bCs/>
          <w:rtl/>
        </w:rPr>
        <w:t>124</w:t>
      </w:r>
      <w:r>
        <w:rPr>
          <w:b/>
          <w:bCs/>
        </w:rPr>
        <w:fldChar w:fldCharType="end"/>
      </w:r>
      <w:bookmarkEnd w:id="2098"/>
      <w:r>
        <w:rPr>
          <w:rtl/>
        </w:rPr>
        <w:t xml:space="preserve"> לפי מאמר שכותרתו “חלוצי התורה” מאת ר׳ חיים שפירא</w:t>
      </w:r>
      <w:bookmarkStart w:id="2099" w:name="_fnr1320"/>
      <w:r>
        <w:rPr>
          <w:rStyle w:val="a5"/>
        </w:rPr>
        <w:footnoteReference w:id="1323" w:customMarkFollows="0"/>
      </w:r>
      <w:bookmarkEnd w:id="2099"/>
      <w:r>
        <w:rPr>
          <w:rtl/>
        </w:rPr>
        <w:t>, היה הצעיר עומד על ספסל כדי שישמעו אותו</w:t>
      </w:r>
      <w:bookmarkStart w:id="2100" w:name="_fnr1321"/>
      <w:r>
        <w:rPr>
          <w:rStyle w:val="a5"/>
        </w:rPr>
        <w:footnoteReference w:id="1324" w:customMarkFollows="0"/>
      </w:r>
      <w:bookmarkEnd w:id="2100"/>
      <w:r>
        <w:rPr>
          <w:rtl/>
        </w:rPr>
        <w:t xml:space="preserve">. ר׳ שלמה </w:t>
      </w:r>
      <w:proofErr w:type="spellStart"/>
      <w:r>
        <w:rPr>
          <w:rtl/>
        </w:rPr>
        <w:t>ברסלאואר</w:t>
      </w:r>
      <w:proofErr w:type="spellEnd"/>
      <w:r>
        <w:rPr>
          <w:rtl/>
        </w:rPr>
        <w:t xml:space="preserve"> סיפר</w:t>
      </w:r>
      <w:bookmarkStart w:id="2101" w:name="_fnr1322"/>
      <w:r>
        <w:rPr>
          <w:rStyle w:val="a5"/>
        </w:rPr>
        <w:footnoteReference w:id="1325" w:customMarkFollows="0"/>
      </w:r>
      <w:bookmarkEnd w:id="2101"/>
      <w:r>
        <w:rPr>
          <w:rtl/>
        </w:rPr>
        <w:t xml:space="preserve"> שרבנו גילה כי ר׳ אהרן “כמעט לא נראה </w:t>
      </w:r>
      <w:proofErr w:type="spellStart"/>
      <w:r>
        <w:rPr>
          <w:rtl/>
        </w:rPr>
        <w:t>בסלבודקה</w:t>
      </w:r>
      <w:proofErr w:type="spellEnd"/>
      <w:r>
        <w:rPr>
          <w:rtl/>
        </w:rPr>
        <w:t xml:space="preserve"> עם ספר; הוא תמיד היה עסוק </w:t>
      </w:r>
      <w:proofErr w:type="spellStart"/>
      <w:r>
        <w:rPr>
          <w:rtl/>
        </w:rPr>
        <w:t>ב‘דיבור</w:t>
      </w:r>
      <w:proofErr w:type="spellEnd"/>
      <w:r>
        <w:rPr>
          <w:rtl/>
        </w:rPr>
        <w:t xml:space="preserve"> בלימוד’”.</w:t>
      </w:r>
    </w:p>
    <w:bookmarkStart w:id="2102" w:name="b3_note125"/>
    <w:p w14:paraId="0879EF95" w14:textId="77777777" w:rsidR="00AB3647" w:rsidRDefault="00000000" w:rsidP="007923E9">
      <w:pPr>
        <w:spacing w:before="120" w:after="100" w:line="276" w:lineRule="auto"/>
        <w:jc w:val="both"/>
      </w:pPr>
      <w:r>
        <w:fldChar w:fldCharType="begin" w:dirty="true"/>
      </w:r>
      <w:r>
        <w:instrText>HYPERLINK \l "b3_ref125"</w:instrText>
      </w:r>
      <w:r>
        <w:fldChar w:fldCharType="separate"/>
      </w:r>
      <w:r>
        <w:rPr>
          <w:b/>
          <w:bCs/>
          <w:rtl/>
        </w:rPr>
        <w:t>125</w:t>
      </w:r>
      <w:r>
        <w:rPr>
          <w:b/>
          <w:bCs/>
        </w:rPr>
        <w:fldChar w:fldCharType="end"/>
      </w:r>
      <w:bookmarkEnd w:id="2102"/>
      <w:r>
        <w:rPr>
          <w:rtl/>
        </w:rPr>
        <w:t xml:space="preserve"> אבל השווה מסכת פסחים</w:t>
      </w:r>
      <w:bookmarkStart w:id="2103" w:name="_fnr1323"/>
      <w:r>
        <w:rPr>
          <w:rStyle w:val="a5"/>
        </w:rPr>
        <w:footnoteReference w:id="1326" w:customMarkFollows="0"/>
      </w:r>
      <w:bookmarkEnd w:id="2103"/>
      <w:r>
        <w:rPr>
          <w:rtl/>
        </w:rPr>
        <w:t xml:space="preserve">: האמורא רבא בר </w:t>
      </w:r>
      <w:proofErr w:type="spellStart"/>
      <w:r>
        <w:rPr>
          <w:rtl/>
        </w:rPr>
        <w:t>ליוואי</w:t>
      </w:r>
      <w:proofErr w:type="spellEnd"/>
      <w:r>
        <w:rPr>
          <w:rtl/>
        </w:rPr>
        <w:t xml:space="preserve"> ניזוק מפני שהרבה לשאול באמצע הדרשה. השווה גם “אישים ושיטות”</w:t>
      </w:r>
      <w:bookmarkStart w:id="2104" w:name="_fnr1324"/>
      <w:r>
        <w:rPr>
          <w:rStyle w:val="a5"/>
        </w:rPr>
        <w:footnoteReference w:id="1327" w:customMarkFollows="0"/>
      </w:r>
      <w:bookmarkEnd w:id="2104"/>
      <w:r>
        <w:rPr>
          <w:rtl/>
        </w:rPr>
        <w:t xml:space="preserve">, המספר כיצד הגיב ר׳ </w:t>
      </w:r>
      <w:proofErr w:type="spellStart"/>
      <w:r>
        <w:rPr>
          <w:rtl/>
        </w:rPr>
        <w:t>ברוך־בער</w:t>
      </w:r>
      <w:proofErr w:type="spellEnd"/>
      <w:r>
        <w:rPr>
          <w:rtl/>
        </w:rPr>
        <w:t xml:space="preserve"> כששאלוהו באמצע שיעור: “הוא הזדקף במלוא קומתו ואמר: ‘... אינני יכול להבין כיצד אפשר לשאול באמצע שיעור. אני זוכר שכאשר מסר מורי ר׳ חיים </w:t>
      </w:r>
      <w:proofErr w:type="spellStart"/>
      <w:r>
        <w:rPr>
          <w:rtl/>
        </w:rPr>
        <w:t>סולובייצ׳יק</w:t>
      </w:r>
      <w:proofErr w:type="spellEnd"/>
      <w:r>
        <w:rPr>
          <w:rtl/>
        </w:rPr>
        <w:t xml:space="preserve"> שיעור והקשבתי לכל מילה, עבר רעד </w:t>
      </w:r>
      <w:r>
        <w:rPr>
          <w:rtl/>
        </w:rPr>
        <w:lastRenderedPageBreak/>
        <w:t>בעצמותיי ושיניי נקשו עד שלא יכולתי להוציא הגה’. לאחר השיעור קרא לתלמיד והתנצל על שהביך אותו”.</w:t>
      </w:r>
    </w:p>
    <w:bookmarkStart w:id="2105" w:name="b3_note126"/>
    <w:p w14:paraId="48E8E82B" w14:textId="77777777" w:rsidR="00AB3647" w:rsidRDefault="00000000" w:rsidP="007923E9">
      <w:pPr>
        <w:spacing w:before="120" w:after="100" w:line="276" w:lineRule="auto"/>
        <w:jc w:val="both"/>
      </w:pPr>
      <w:r>
        <w:fldChar w:fldCharType="begin" w:dirty="true"/>
      </w:r>
      <w:r>
        <w:instrText>HYPERLINK \l "b3_ref126"</w:instrText>
      </w:r>
      <w:r>
        <w:fldChar w:fldCharType="separate"/>
      </w:r>
      <w:r>
        <w:rPr>
          <w:b/>
          <w:bCs/>
          <w:rtl/>
        </w:rPr>
        <w:t>126</w:t>
      </w:r>
      <w:r>
        <w:rPr>
          <w:b/>
          <w:bCs/>
        </w:rPr>
        <w:fldChar w:fldCharType="end"/>
      </w:r>
      <w:bookmarkEnd w:id="2105"/>
      <w:r>
        <w:rPr>
          <w:rtl/>
        </w:rPr>
        <w:t xml:space="preserve"> דבריו של ר׳ שלמה </w:t>
      </w:r>
      <w:proofErr w:type="spellStart"/>
      <w:r>
        <w:rPr>
          <w:rtl/>
        </w:rPr>
        <w:t>פוליצ׳ק</w:t>
      </w:r>
      <w:proofErr w:type="spellEnd"/>
      <w:r>
        <w:rPr>
          <w:rtl/>
        </w:rPr>
        <w:t xml:space="preserve">, העילוי </w:t>
      </w:r>
      <w:proofErr w:type="spellStart"/>
      <w:r>
        <w:rPr>
          <w:rtl/>
        </w:rPr>
        <w:t>ממייצ׳ט</w:t>
      </w:r>
      <w:bookmarkStart w:id="2106" w:name="_fnr1325"/>
      <w:proofErr w:type="spellEnd"/>
      <w:r>
        <w:rPr>
          <w:rStyle w:val="a5"/>
        </w:rPr>
        <w:footnoteReference w:id="1328" w:customMarkFollows="0"/>
      </w:r>
      <w:bookmarkEnd w:id="2106"/>
      <w:r>
        <w:rPr>
          <w:rtl/>
        </w:rPr>
        <w:t xml:space="preserve">, שמצוטטים במאמרו של ניסן וקסמן </w:t>
      </w:r>
      <w:proofErr w:type="spellStart"/>
      <w:r>
        <w:rPr>
          <w:rtl/>
        </w:rPr>
        <w:t>ב“תלפיות</w:t>
      </w:r>
      <w:proofErr w:type="spellEnd"/>
      <w:r>
        <w:rPr>
          <w:rtl/>
        </w:rPr>
        <w:t>”</w:t>
      </w:r>
      <w:bookmarkStart w:id="2107" w:name="_fnr1326"/>
      <w:r>
        <w:rPr>
          <w:rStyle w:val="a5"/>
        </w:rPr>
        <w:footnoteReference w:id="1329" w:customMarkFollows="0"/>
      </w:r>
      <w:bookmarkEnd w:id="2107"/>
      <w:r>
        <w:rPr>
          <w:rtl/>
        </w:rPr>
        <w:t>, הולמים את האופן שבו הקשיב אבי לשיעור, לנאום וכדומה. הוא אמר: “נראה שבעלי כישרון גדול למחשבה ומהירי תפיסה הם בוודאי מאזינים טובים, המיטיבים לתפוס את רעיונות התורה של רבותיהם. אולם מפני שמחשבתם פועלת ללא הרף ומולידה מחשבות עצמאיות, קשה להם להקשיב בסבלנות למהלך מחשבתם של אחרים ולעקוב אחריו. בעלי כישרון בינוני מסוגלים לעיתים יותר להתמסר ולקלוט את אופן מחשבתם של רבותיהם [מאשר בעלי כישרון מעולה]”.</w:t>
      </w:r>
    </w:p>
    <w:p w14:paraId="2A1F8693" w14:textId="77777777" w:rsidR="00AB3647" w:rsidRDefault="00000000" w:rsidP="007923E9">
      <w:pPr>
        <w:spacing w:before="120" w:after="100" w:line="276" w:lineRule="auto"/>
        <w:jc w:val="both"/>
      </w:pPr>
      <w:r>
        <w:rPr>
          <w:rtl/>
        </w:rPr>
        <w:t>רבנו, שמוחו היה פעיל וזריז תמיד, העיר פעמים רבות שכששמע נאום עלו במחשבתו פתרונות משלו לבעיות שהוצגו בו. ברוב הפעמים שביקשו ממנו לדבר באירועים, עמד על כך שלא יהיה הנואם הראשון, משום שההקשבה לנואם הקודם הייתה מזניקה אותו אל עולם רעיונותיו שלו, ואותם הציג אחר כך בדבריו.</w:t>
      </w:r>
    </w:p>
    <w:bookmarkStart w:id="2108" w:name="b3_note127"/>
    <w:p w14:paraId="167A7DC9" w14:textId="77777777" w:rsidR="00AB3647" w:rsidRDefault="00000000" w:rsidP="007923E9">
      <w:pPr>
        <w:spacing w:before="120" w:after="100" w:line="276" w:lineRule="auto"/>
        <w:jc w:val="both"/>
      </w:pPr>
      <w:r>
        <w:fldChar w:fldCharType="begin" w:dirty="true"/>
      </w:r>
      <w:r>
        <w:instrText>HYPERLINK \l "b3_ref127"</w:instrText>
      </w:r>
      <w:r>
        <w:fldChar w:fldCharType="separate"/>
      </w:r>
      <w:r>
        <w:rPr>
          <w:b/>
          <w:bCs/>
          <w:rtl/>
        </w:rPr>
        <w:t>127</w:t>
      </w:r>
      <w:r>
        <w:rPr>
          <w:b/>
          <w:bCs/>
        </w:rPr>
        <w:fldChar w:fldCharType="end"/>
      </w:r>
      <w:bookmarkEnd w:id="2108"/>
      <w:r>
        <w:rPr>
          <w:rtl/>
        </w:rPr>
        <w:t xml:space="preserve"> </w:t>
      </w:r>
      <w:proofErr w:type="spellStart"/>
      <w:r>
        <w:rPr>
          <w:rtl/>
        </w:rPr>
        <w:t>חיה־מרים</w:t>
      </w:r>
      <w:proofErr w:type="spellEnd"/>
      <w:r>
        <w:rPr>
          <w:rtl/>
        </w:rPr>
        <w:t xml:space="preserve"> </w:t>
      </w:r>
      <w:proofErr w:type="spellStart"/>
      <w:r>
        <w:rPr>
          <w:rtl/>
        </w:rPr>
        <w:t>שולמן</w:t>
      </w:r>
      <w:bookmarkStart w:id="2109" w:name="_fnr1327"/>
      <w:proofErr w:type="spellEnd"/>
      <w:r>
        <w:rPr>
          <w:rStyle w:val="a5"/>
        </w:rPr>
        <w:footnoteReference w:id="1330" w:customMarkFollows="0"/>
      </w:r>
      <w:bookmarkEnd w:id="2109"/>
      <w:r>
        <w:rPr>
          <w:rtl/>
        </w:rPr>
        <w:t xml:space="preserve"> אמרה שהחבורות נמסרו בצדו הימני של בית המדרש מדי יום בשעה 11:00 בבוקר. “המושכות ביותר היו החבורות שמסר ר׳ אהרן קוטלר בשנה שלפני עזיבתו את </w:t>
      </w:r>
      <w:proofErr w:type="spellStart"/>
      <w:r>
        <w:rPr>
          <w:rtl/>
        </w:rPr>
        <w:t>סלבודקה</w:t>
      </w:r>
      <w:bookmarkStart w:id="2110" w:name="_fnr1328"/>
      <w:proofErr w:type="spellEnd"/>
      <w:r>
        <w:rPr>
          <w:rStyle w:val="a5"/>
        </w:rPr>
        <w:footnoteReference w:id="1331" w:customMarkFollows="0"/>
      </w:r>
      <w:bookmarkEnd w:id="2110"/>
      <w:r>
        <w:rPr>
          <w:rtl/>
        </w:rPr>
        <w:t>”, סיפרה.</w:t>
      </w:r>
    </w:p>
    <w:p w14:paraId="74384D53" w14:textId="77777777" w:rsidR="00AB3647" w:rsidRDefault="00000000" w:rsidP="007923E9">
      <w:pPr>
        <w:spacing w:after="100" w:line="276" w:lineRule="auto"/>
        <w:ind w:firstLine="340"/>
        <w:jc w:val="both"/>
      </w:pPr>
      <w:r>
        <w:rPr>
          <w:rtl/>
        </w:rPr>
        <w:t xml:space="preserve">לדברי ר׳ </w:t>
      </w:r>
      <w:proofErr w:type="spellStart"/>
      <w:r>
        <w:rPr>
          <w:rtl/>
        </w:rPr>
        <w:t>לייבל</w:t>
      </w:r>
      <w:proofErr w:type="spellEnd"/>
      <w:r>
        <w:rPr>
          <w:rtl/>
        </w:rPr>
        <w:t xml:space="preserve"> </w:t>
      </w:r>
      <w:proofErr w:type="spellStart"/>
      <w:r>
        <w:rPr>
          <w:rtl/>
        </w:rPr>
        <w:t>פרלשטיין</w:t>
      </w:r>
      <w:bookmarkStart w:id="2111" w:name="_fnr1329"/>
      <w:proofErr w:type="spellEnd"/>
      <w:r>
        <w:rPr>
          <w:rStyle w:val="a5"/>
        </w:rPr>
        <w:footnoteReference w:id="1332" w:customMarkFollows="0"/>
      </w:r>
      <w:bookmarkEnd w:id="2111"/>
      <w:r>
        <w:rPr>
          <w:rtl/>
        </w:rPr>
        <w:t xml:space="preserve">, רבנו הכריז על ר׳ </w:t>
      </w:r>
      <w:proofErr w:type="spellStart"/>
      <w:r>
        <w:rPr>
          <w:rtl/>
        </w:rPr>
        <w:t>משה־מרדכי</w:t>
      </w:r>
      <w:proofErr w:type="spellEnd"/>
      <w:r>
        <w:rPr>
          <w:rtl/>
        </w:rPr>
        <w:t xml:space="preserve"> אפשטיין שהוא רבו, אף שהשפעתו של ר׳ </w:t>
      </w:r>
      <w:proofErr w:type="spellStart"/>
      <w:r>
        <w:rPr>
          <w:rtl/>
        </w:rPr>
        <w:t>משה־מרדכי</w:t>
      </w:r>
      <w:proofErr w:type="spellEnd"/>
      <w:r>
        <w:rPr>
          <w:rtl/>
        </w:rPr>
        <w:t xml:space="preserve"> על התפתחותו הייתה מוגבלת. המרואיין הוסיף שכששאל את אבי: “האם הסבא לא היה רבך?”, השיב לו: “ר׳ </w:t>
      </w:r>
      <w:proofErr w:type="spellStart"/>
      <w:r>
        <w:rPr>
          <w:rtl/>
        </w:rPr>
        <w:t>משה־מרדכי</w:t>
      </w:r>
      <w:proofErr w:type="spellEnd"/>
      <w:r>
        <w:rPr>
          <w:rtl/>
        </w:rPr>
        <w:t xml:space="preserve"> היה רבי בלימוד, והסבא רבי בענייני החיים”.</w:t>
      </w:r>
    </w:p>
    <w:p w14:paraId="2EFB6A08" w14:textId="77777777" w:rsidR="00AB3647" w:rsidRDefault="00000000" w:rsidP="007923E9">
      <w:pPr>
        <w:spacing w:after="100" w:line="276" w:lineRule="auto"/>
        <w:ind w:firstLine="340"/>
        <w:jc w:val="both"/>
      </w:pPr>
      <w:r>
        <w:rPr>
          <w:rtl/>
        </w:rPr>
        <w:t xml:space="preserve">שיחה הקשורה לכך ניהל רבנו עם נכדו, בני ר׳ יוסף, כשהיה בן </w:t>
      </w:r>
      <w:proofErr w:type="spellStart"/>
      <w:r>
        <w:rPr>
          <w:rtl/>
        </w:rPr>
        <w:t>שבע־עשרה</w:t>
      </w:r>
      <w:proofErr w:type="spellEnd"/>
      <w:r>
        <w:rPr>
          <w:rtl/>
        </w:rPr>
        <w:t xml:space="preserve">. הצעיר ביקר בבית סבו </w:t>
      </w:r>
      <w:proofErr w:type="spellStart"/>
      <w:r>
        <w:rPr>
          <w:rtl/>
        </w:rPr>
        <w:t>במונסי</w:t>
      </w:r>
      <w:proofErr w:type="spellEnd"/>
      <w:r>
        <w:rPr>
          <w:rtl/>
        </w:rPr>
        <w:t xml:space="preserve"> ושאל על שתי התמונות שהיו תלויות בחדר עבודתו. אבי אמר שאחת מהן היא תמונת סבו מצד אביו, ר׳ </w:t>
      </w:r>
      <w:proofErr w:type="spellStart"/>
      <w:r>
        <w:rPr>
          <w:rtl/>
        </w:rPr>
        <w:t>שמואל־צבי</w:t>
      </w:r>
      <w:proofErr w:type="spellEnd"/>
      <w:r>
        <w:rPr>
          <w:rtl/>
        </w:rPr>
        <w:t xml:space="preserve">(־הירש) </w:t>
      </w:r>
      <w:proofErr w:type="spellStart"/>
      <w:r>
        <w:rPr>
          <w:rtl/>
        </w:rPr>
        <w:t>קמינצקי</w:t>
      </w:r>
      <w:bookmarkStart w:id="2112" w:name="_fnr1330"/>
      <w:proofErr w:type="spellEnd"/>
      <w:r>
        <w:rPr>
          <w:rStyle w:val="a5"/>
        </w:rPr>
        <w:footnoteReference w:id="1333" w:customMarkFollows="0"/>
      </w:r>
      <w:bookmarkEnd w:id="2112"/>
      <w:r>
        <w:rPr>
          <w:rtl/>
        </w:rPr>
        <w:t xml:space="preserve">, והשנייה תמונה קבוצתית של צוות ישיבת </w:t>
      </w:r>
      <w:proofErr w:type="spellStart"/>
      <w:r>
        <w:rPr>
          <w:rtl/>
        </w:rPr>
        <w:t>סלבודקה</w:t>
      </w:r>
      <w:proofErr w:type="spellEnd"/>
      <w:r>
        <w:rPr>
          <w:rtl/>
        </w:rPr>
        <w:t xml:space="preserve"> ותלמידיה. על הראשונה אמר אבי שקרא לאחד מבניו “שמואל” על שם הסב שבתמונה, אבל בלי “צבי (הירש)”, מפני שחותנו נקרא </w:t>
      </w:r>
      <w:proofErr w:type="spellStart"/>
      <w:r>
        <w:rPr>
          <w:rtl/>
        </w:rPr>
        <w:t xml:space="preserve">בער־הירש</w:t>
      </w:r>
      <w:proofErr w:type="spellEnd"/>
      <w:r>
        <w:rPr>
          <w:rtl/>
        </w:rPr>
        <w:t xml:space="preserve">. על השנייה אמר שקרא לבן אחר, אביו של בן שיחו, על שם רבו ר׳ </w:t>
      </w:r>
      <w:proofErr w:type="spellStart"/>
      <w:r>
        <w:rPr>
          <w:rtl/>
        </w:rPr>
        <w:t>נתן־צבי</w:t>
      </w:r>
      <w:proofErr w:type="spellEnd"/>
      <w:r>
        <w:rPr>
          <w:rtl/>
        </w:rPr>
        <w:t xml:space="preserve">, ומאותה סיבה שבגללה נהג כך בבנו הגדול נאלץ להשמיט את “צבי”. לבעל נכדתו, ר׳ מאיר </w:t>
      </w:r>
      <w:proofErr w:type="spellStart"/>
      <w:r>
        <w:rPr>
          <w:rtl/>
        </w:rPr>
        <w:t>טרייביץ</w:t>
      </w:r>
      <w:bookmarkStart w:id="2113" w:name="_fnr1331"/>
      <w:proofErr w:type="spellEnd"/>
      <w:r>
        <w:rPr>
          <w:rStyle w:val="a5"/>
        </w:rPr>
        <w:footnoteReference w:id="1334" w:customMarkFollows="0"/>
      </w:r>
      <w:bookmarkEnd w:id="2113"/>
      <w:r>
        <w:rPr>
          <w:rtl/>
        </w:rPr>
        <w:t xml:space="preserve">, סיפר שכיבד את “שלושת הצבאים” בכך שקרא לבית הכנסת שלו </w:t>
      </w:r>
      <w:proofErr w:type="spellStart"/>
      <w:r>
        <w:rPr>
          <w:rtl/>
        </w:rPr>
        <w:t>במונסי</w:t>
      </w:r>
      <w:proofErr w:type="spellEnd"/>
      <w:r>
        <w:rPr>
          <w:rtl/>
        </w:rPr>
        <w:t xml:space="preserve"> “בני צבי”.</w:t>
      </w:r>
    </w:p>
    <w:p w14:paraId="7E1F7890" w14:textId="77777777" w:rsidR="00AB3647" w:rsidRDefault="00000000" w:rsidP="007923E9">
      <w:pPr>
        <w:spacing w:after="100" w:line="276" w:lineRule="auto"/>
        <w:ind w:firstLine="340"/>
        <w:jc w:val="both"/>
      </w:pPr>
      <w:r>
        <w:rPr>
          <w:rtl/>
        </w:rPr>
        <w:lastRenderedPageBreak/>
        <w:t xml:space="preserve">ר׳ יוסף שאל אז את סבו: “מי עוד היו רבותיך?”, והשיב לו: “שמעתי שיעורים מר׳ </w:t>
      </w:r>
      <w:proofErr w:type="spellStart"/>
      <w:r>
        <w:rPr>
          <w:rtl/>
        </w:rPr>
        <w:t>משה־מרדכי</w:t>
      </w:r>
      <w:proofErr w:type="spellEnd"/>
      <w:r>
        <w:rPr>
          <w:rtl/>
        </w:rPr>
        <w:t xml:space="preserve"> ומר׳ </w:t>
      </w:r>
      <w:proofErr w:type="spellStart"/>
      <w:r>
        <w:rPr>
          <w:rtl/>
        </w:rPr>
        <w:t>איסר־זלמן</w:t>
      </w:r>
      <w:proofErr w:type="spellEnd"/>
      <w:r>
        <w:rPr>
          <w:rtl/>
        </w:rPr>
        <w:t xml:space="preserve"> ומאחרים, אבל הסבא היה רבי במוסר”. כשראה רבנו שר׳ יוסף תמה, הוסיף: “כן, גם במוסר צריך רבי”. בשיחה זו – שנסבה על יחסו לסבא – נמנע אבי מלכנות את ר׳ </w:t>
      </w:r>
      <w:proofErr w:type="spellStart"/>
      <w:r>
        <w:rPr>
          <w:rtl/>
        </w:rPr>
        <w:t>משה־מרדכי</w:t>
      </w:r>
      <w:proofErr w:type="spellEnd"/>
      <w:r>
        <w:rPr>
          <w:rtl/>
        </w:rPr>
        <w:t xml:space="preserve"> “רבו”. כשמנתחים את דיווחו של ר׳ </w:t>
      </w:r>
      <w:proofErr w:type="spellStart"/>
      <w:r>
        <w:rPr>
          <w:rtl/>
        </w:rPr>
        <w:t>לייבל</w:t>
      </w:r>
      <w:proofErr w:type="spellEnd"/>
      <w:r>
        <w:rPr>
          <w:rtl/>
        </w:rPr>
        <w:t xml:space="preserve"> </w:t>
      </w:r>
      <w:proofErr w:type="spellStart"/>
      <w:r>
        <w:rPr>
          <w:rtl/>
        </w:rPr>
        <w:t>פרלשטיין</w:t>
      </w:r>
      <w:proofErr w:type="spellEnd"/>
      <w:r>
        <w:rPr>
          <w:rtl/>
        </w:rPr>
        <w:t xml:space="preserve"> לאור דברי ר׳ יוסף, אפשר לסכם שרבנו ראה בר׳ </w:t>
      </w:r>
      <w:proofErr w:type="spellStart"/>
      <w:r>
        <w:rPr>
          <w:rtl/>
        </w:rPr>
        <w:t>משה־מרדכי</w:t>
      </w:r>
      <w:proofErr w:type="spellEnd"/>
      <w:r>
        <w:rPr>
          <w:rtl/>
        </w:rPr>
        <w:t xml:space="preserve"> אפשטיין את רבו, אבל רק כל עוד לא הועמדה זיקה זו מול קרבתו לסבא.</w:t>
      </w:r>
    </w:p>
    <w:p w14:paraId="18612D57" w14:textId="77777777" w:rsidR="00AB3647" w:rsidRDefault="00000000" w:rsidP="007923E9">
      <w:pPr>
        <w:spacing w:after="100" w:line="276" w:lineRule="auto"/>
        <w:ind w:firstLine="340"/>
        <w:jc w:val="both"/>
      </w:pPr>
      <w:r>
        <w:rPr>
          <w:rtl/>
        </w:rPr>
        <w:t>אבי סבר שלפי דקדוק המסורת היהודית ראוי לתת לילד שם אחד בלבד, והצביע על כך שלראשונים היו שמות יחידים</w:t>
      </w:r>
      <w:bookmarkStart w:id="2114" w:name="_fnr1332"/>
      <w:r>
        <w:rPr>
          <w:rStyle w:val="a5"/>
        </w:rPr>
        <w:footnoteReference w:id="1335" w:customMarkFollows="0"/>
      </w:r>
      <w:bookmarkEnd w:id="2114"/>
      <w:r>
        <w:rPr>
          <w:rtl/>
        </w:rPr>
        <w:t>. הוא אמר עוד שקיבל אישור משמים לרעיונו על נתינת שמות יחידים, והצביע על שני המקרים הנזכרים, שבהם היה אמור בדרך כלל לתת שמות כפולים, ונמנע מכך בגלל שם חותנו.</w:t>
      </w:r>
    </w:p>
    <w:p w14:paraId="6315345A" w14:textId="77777777" w:rsidR="00AB3647" w:rsidRDefault="00000000" w:rsidP="007923E9">
      <w:pPr>
        <w:spacing w:after="100" w:line="276" w:lineRule="auto"/>
        <w:ind w:firstLine="340"/>
        <w:jc w:val="both"/>
      </w:pPr>
      <w:r>
        <w:rPr>
          <w:rtl/>
        </w:rPr>
        <w:t xml:space="preserve">כשהראו לרבנו את נינתו הבכורה בישראל ואמרו לו ששמה </w:t>
      </w:r>
      <w:proofErr w:type="spellStart"/>
      <w:r>
        <w:rPr>
          <w:rtl/>
        </w:rPr>
        <w:t>מלכה־חיה</w:t>
      </w:r>
      <w:proofErr w:type="spellEnd"/>
      <w:r>
        <w:rPr>
          <w:rtl/>
        </w:rPr>
        <w:t xml:space="preserve"> – השם הכפול ניתן לה על שם אם אמה – צחק וסיפר: “כשנולדה ילדתי הבכורה, בת, ולפי המנהג הייתה לאשתי הזכות לבחור את שמה, רצה חמי לתת לה שם כפול. הוא חלם שעליו לקרוא לתינוקת על שם שתי </w:t>
      </w:r>
      <w:proofErr w:type="spellStart"/>
      <w:r>
        <w:rPr>
          <w:rtl/>
        </w:rPr>
        <w:t>דודות־סבתא</w:t>
      </w:r>
      <w:proofErr w:type="spellEnd"/>
      <w:r>
        <w:rPr>
          <w:rtl/>
        </w:rPr>
        <w:t xml:space="preserve"> בשם מלכה וחיה! אבל בהתאם לעיקרון שלי התעקשתי שתיקרא בשם אחד, ולכן נקראה רק מלכה. אבל”, סיכם אבי, “נראה </w:t>
      </w:r>
      <w:proofErr w:type="spellStart"/>
      <w:r>
        <w:rPr>
          <w:rtl/>
        </w:rPr>
        <w:t>שמלכה־חיה</w:t>
      </w:r>
      <w:proofErr w:type="spellEnd"/>
      <w:r>
        <w:rPr>
          <w:rtl/>
        </w:rPr>
        <w:t xml:space="preserve"> נועדה להיות בין צאצאיי.”</w:t>
      </w:r>
    </w:p>
    <w:bookmarkStart w:id="2115" w:name="b3_note128"/>
    <w:p w14:paraId="3F86410E" w14:textId="4EEC07B5" w:rsidR="00AB3647" w:rsidRDefault="00000000" w:rsidP="007923E9">
      <w:pPr>
        <w:spacing w:before="120" w:after="100" w:line="276" w:lineRule="auto"/>
        <w:jc w:val="both"/>
      </w:pPr>
      <w:r>
        <w:fldChar w:fldCharType="begin" w:dirty="true"/>
      </w:r>
      <w:r>
        <w:instrText>HYPERLINK \l "b3_ref128"</w:instrText>
      </w:r>
      <w:r>
        <w:fldChar w:fldCharType="separate"/>
      </w:r>
      <w:r>
        <w:rPr>
          <w:b/>
          <w:bCs/>
          <w:rtl/>
        </w:rPr>
        <w:t>128</w:t>
      </w:r>
      <w:r>
        <w:rPr>
          <w:b/>
          <w:bCs/>
        </w:rPr>
        <w:fldChar w:fldCharType="end"/>
      </w:r>
      <w:bookmarkEnd w:id="2115"/>
      <w:r>
        <w:rPr>
          <w:rtl/>
        </w:rPr>
        <w:t xml:space="preserve"> ראה </w:t>
      </w:r>
      <w:r>
        <w:rPr>
          <w:rtl/>
        </w:rPr>
        <w:fldChar w:fldCharType="begin" w:dirty="true"/>
      </w:r>
      <w:r>
        <w:rPr>
          <w:rtl/>
        </w:rPr>
        <w:instrText xml:space="preserve"> REF b3_excDD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w:t>
      </w:r>
      <w:r>
        <w:rPr>
          <w:rtl/>
        </w:rPr>
        <w:fldChar w:fldCharType="end"/>
      </w:r>
      <w:r>
        <w:rPr>
          <w:rtl/>
        </w:rPr>
        <w:t>.</w:t>
      </w:r>
    </w:p>
    <w:p w14:paraId="1C7A8031" w14:textId="6773B07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b/>
          <w:bCs/>
          <w:rtl/>
        </w:rPr>
        <w:t>מחציתו</w:t>
      </w:r>
      <w:r>
        <w:rPr>
          <w:rtl/>
        </w:rPr>
        <w:t xml:space="preserve"> של כל יום לימודים הוקדשה לעיון, ובו למדו בכל זמן כ־75 דפי גמרא</w:t>
      </w:r>
      <w:bookmarkStart w:id="2116" w:name="b3_ref129"/>
      <w:bookmarkEnd w:id="2116"/>
      <w:r>
        <w:rPr>
          <w:vertAlign w:val="superscript"/>
          <w:rtl/>
        </w:rPr>
        <w:fldChar w:fldCharType="begin" w:dirty="true"/>
      </w:r>
      <w:r>
        <w:rPr>
          <w:vertAlign w:val="superscript"/>
          <w:rtl/>
        </w:rPr>
        <w:instrText xml:space="preserve"> REF b3_note129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129</w:t>
      </w:r>
      <w:r>
        <w:rPr>
          <w:vertAlign w:val="superscript"/>
          <w:rtl/>
        </w:rPr>
        <w:fldChar w:fldCharType="end"/>
      </w:r>
      <w:r>
        <w:rPr>
          <w:rtl/>
        </w:rPr>
        <w:t>. המחצית האחרת נוצלה לרכישת בקיאות בתלמוד ובפוסקים. בכנסת ישראל לא הוסיפו על טקסט הגמרא אלא מבחר מספרי הראשונים היסודיים ומספרי האחרונים הקלאסיים, המפתחים את כושר הניתוח התלמודי של התלמיד</w:t>
      </w:r>
      <w:bookmarkStart w:id="2117" w:name="b3_ref130"/>
      <w:bookmarkEnd w:id="2117"/>
      <w:r>
        <w:rPr>
          <w:vertAlign w:val="superscript"/>
          <w:rtl/>
        </w:rPr>
        <w:fldChar w:fldCharType="begin" w:dirty="true"/>
      </w:r>
      <w:r>
        <w:rPr>
          <w:vertAlign w:val="superscript"/>
          <w:rtl/>
        </w:rPr>
        <w:instrText xml:space="preserve"> REF b3_note130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130</w:t>
      </w:r>
      <w:r>
        <w:rPr>
          <w:vertAlign w:val="superscript"/>
          <w:rtl/>
        </w:rPr>
        <w:fldChar w:fldCharType="end"/>
      </w:r>
      <w:r>
        <w:rPr>
          <w:rtl/>
        </w:rPr>
        <w:t xml:space="preserve"> – כגון </w:t>
      </w:r>
      <w:proofErr w:type="spellStart"/>
      <w:r>
        <w:rPr>
          <w:rtl/>
        </w:rPr>
        <w:t>ה“קצות</w:t>
      </w:r>
      <w:proofErr w:type="spellEnd"/>
      <w:r>
        <w:rPr>
          <w:rtl/>
        </w:rPr>
        <w:t>”, הספר שבו נבחנו הבאים החדשים. אף שספרי העזר מילאו תפקיד שולי בתוכנית הלימודים, מלאי הספרים בישיבה לא הספיק מעולם לצורכיהם של יותר מ־400 התלמידים. הכרכים המעטים שעמדו לרשותם עברו מיד ליד בתור</w:t>
      </w:r>
      <w:bookmarkStart w:id="2118" w:name="b3_ref131"/>
      <w:bookmarkEnd w:id="2118"/>
      <w:r>
        <w:rPr>
          <w:vertAlign w:val="superscript"/>
          <w:rtl/>
        </w:rPr>
        <w:fldChar w:fldCharType="begin" w:dirty="true"/>
      </w:r>
      <w:r>
        <w:rPr>
          <w:vertAlign w:val="superscript"/>
          <w:rtl/>
        </w:rPr>
        <w:instrText xml:space="preserve"> REF b3_note131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131</w:t>
      </w:r>
      <w:r>
        <w:rPr>
          <w:vertAlign w:val="superscript"/>
          <w:rtl/>
        </w:rPr>
        <w:fldChar w:fldCharType="end"/>
      </w:r>
      <w:r>
        <w:rPr>
          <w:rtl/>
        </w:rPr>
        <w:t>.</w:t>
      </w:r>
    </w:p>
    <w:bookmarkStart w:id="2119" w:name="b3_note129"/>
    <w:p w14:paraId="2294A3EE" w14:textId="77777777" w:rsidR="00AB3647" w:rsidRDefault="00000000" w:rsidP="007923E9">
      <w:pPr>
        <w:spacing w:before="120" w:after="100" w:line="276" w:lineRule="auto"/>
        <w:jc w:val="both"/>
      </w:pPr>
      <w:r>
        <w:fldChar w:fldCharType="begin" w:dirty="true"/>
      </w:r>
      <w:r>
        <w:instrText>HYPERLINK \l "b3_ref129"</w:instrText>
      </w:r>
      <w:r>
        <w:fldChar w:fldCharType="separate"/>
      </w:r>
      <w:r>
        <w:rPr>
          <w:b/>
          <w:bCs/>
          <w:rtl/>
        </w:rPr>
        <w:t>129</w:t>
      </w:r>
      <w:r>
        <w:rPr>
          <w:b/>
          <w:bCs/>
        </w:rPr>
        <w:fldChar w:fldCharType="end"/>
      </w:r>
      <w:bookmarkEnd w:id="2119"/>
      <w:r>
        <w:rPr>
          <w:rtl/>
        </w:rPr>
        <w:t xml:space="preserve"> ר׳ מרדכי שיין</w:t>
      </w:r>
      <w:bookmarkStart w:id="2120" w:name="_fnr1333"/>
      <w:r>
        <w:rPr>
          <w:rStyle w:val="a5"/>
        </w:rPr>
        <w:footnoteReference w:id="1336" w:customMarkFollows="0"/>
      </w:r>
      <w:bookmarkEnd w:id="2120"/>
      <w:r>
        <w:rPr>
          <w:rtl/>
        </w:rPr>
        <w:t xml:space="preserve"> טען שאבי סיפר לו שבישיבת </w:t>
      </w:r>
      <w:proofErr w:type="spellStart"/>
      <w:r>
        <w:rPr>
          <w:rtl/>
        </w:rPr>
        <w:t>סלבודקה</w:t>
      </w:r>
      <w:proofErr w:type="spellEnd"/>
      <w:r>
        <w:rPr>
          <w:rtl/>
        </w:rPr>
        <w:t xml:space="preserve"> למדו </w:t>
      </w:r>
      <w:r>
        <w:rPr>
          <w:b/>
          <w:bCs/>
          <w:rtl/>
        </w:rPr>
        <w:t>רק שישים דפים</w:t>
      </w:r>
      <w:r>
        <w:rPr>
          <w:rtl/>
        </w:rPr>
        <w:t xml:space="preserve"> בזמן, </w:t>
      </w:r>
      <w:proofErr w:type="spellStart"/>
      <w:r>
        <w:rPr>
          <w:rtl/>
        </w:rPr>
        <w:t>ו“בדרך</w:t>
      </w:r>
      <w:proofErr w:type="spellEnd"/>
      <w:r>
        <w:rPr>
          <w:rtl/>
        </w:rPr>
        <w:t xml:space="preserve"> כלל סיימו התלמידים את המסכת”. מאחר שבמסכתות הקבועות מסדרי נשים </w:t>
      </w:r>
      <w:proofErr w:type="spellStart"/>
      <w:r>
        <w:rPr>
          <w:rtl/>
        </w:rPr>
        <w:t>ונזיקין</w:t>
      </w:r>
      <w:proofErr w:type="spellEnd"/>
      <w:r>
        <w:rPr>
          <w:rtl/>
        </w:rPr>
        <w:t xml:space="preserve"> שנלמדו </w:t>
      </w:r>
      <w:proofErr w:type="spellStart"/>
      <w:r>
        <w:rPr>
          <w:rtl/>
        </w:rPr>
        <w:t>בסלבודקה</w:t>
      </w:r>
      <w:bookmarkStart w:id="2121" w:name="_fnr1334"/>
      <w:proofErr w:type="spellEnd"/>
      <w:r>
        <w:rPr>
          <w:rStyle w:val="a5"/>
        </w:rPr>
        <w:footnoteReference w:id="1337" w:customMarkFollows="0"/>
      </w:r>
      <w:bookmarkEnd w:id="2121"/>
      <w:r>
        <w:rPr>
          <w:rtl/>
        </w:rPr>
        <w:t xml:space="preserve"> יש </w:t>
      </w:r>
      <w:r>
        <w:rPr>
          <w:b/>
          <w:bCs/>
          <w:rtl/>
        </w:rPr>
        <w:t>הרבה יותר</w:t>
      </w:r>
      <w:r>
        <w:rPr>
          <w:rtl/>
        </w:rPr>
        <w:t xml:space="preserve"> משישים דפים, מסתבר שמדויק יותר המספר הגדול יותר, 75, ששמע ר׳ יצחק </w:t>
      </w:r>
      <w:proofErr w:type="spellStart"/>
      <w:r>
        <w:rPr>
          <w:rtl/>
        </w:rPr>
        <w:t>שורין</w:t>
      </w:r>
      <w:proofErr w:type="spellEnd"/>
      <w:r>
        <w:rPr>
          <w:rtl/>
        </w:rPr>
        <w:t xml:space="preserve"> מסבו, רבנו, </w:t>
      </w:r>
      <w:proofErr w:type="spellStart"/>
      <w:r>
        <w:rPr>
          <w:rtl/>
        </w:rPr>
        <w:t>בתשל״א</w:t>
      </w:r>
      <w:bookmarkStart w:id="2122" w:name="_fnr1335"/>
      <w:proofErr w:type="spellEnd"/>
      <w:r>
        <w:rPr>
          <w:rStyle w:val="a5"/>
        </w:rPr>
        <w:footnoteReference w:id="1338" w:customMarkFollows="0"/>
      </w:r>
      <w:bookmarkEnd w:id="2122"/>
      <w:r>
        <w:rPr>
          <w:rtl/>
        </w:rPr>
        <w:t xml:space="preserve">. ר׳ יצחק </w:t>
      </w:r>
      <w:proofErr w:type="spellStart"/>
      <w:r>
        <w:rPr>
          <w:rtl/>
        </w:rPr>
        <w:t>שורין</w:t>
      </w:r>
      <w:proofErr w:type="spellEnd"/>
      <w:r>
        <w:rPr>
          <w:rtl/>
        </w:rPr>
        <w:t xml:space="preserve"> הביע לפני סבו את תדהמתו </w:t>
      </w:r>
      <w:r>
        <w:rPr>
          <w:rtl/>
        </w:rPr>
        <w:lastRenderedPageBreak/>
        <w:t xml:space="preserve">מן השינוי הקיצוני שחל בשישים וחמש השנים שחלפו מאז: בישיבות בימינו לומדים רק </w:t>
      </w:r>
      <w:proofErr w:type="spellStart"/>
      <w:r>
        <w:rPr>
          <w:rtl/>
        </w:rPr>
        <w:t>חמישה־עשר</w:t>
      </w:r>
      <w:proofErr w:type="spellEnd"/>
      <w:r>
        <w:rPr>
          <w:rtl/>
        </w:rPr>
        <w:t xml:space="preserve"> עד עשרים דפים</w:t>
      </w:r>
      <w:bookmarkStart w:id="2123" w:name="_fnr1336"/>
      <w:r>
        <w:rPr>
          <w:rStyle w:val="a5"/>
        </w:rPr>
        <w:footnoteReference w:id="1339" w:customMarkFollows="0"/>
      </w:r>
      <w:bookmarkEnd w:id="2123"/>
      <w:r>
        <w:rPr>
          <w:rtl/>
        </w:rPr>
        <w:t xml:space="preserve"> בכל זמן בסדר העיון היומי. רבנו הסביר זאת כך: “בימיי האמנו </w:t>
      </w:r>
      <w:proofErr w:type="spellStart"/>
      <w:r>
        <w:rPr>
          <w:rtl/>
        </w:rPr>
        <w:t>שאביי</w:t>
      </w:r>
      <w:proofErr w:type="spellEnd"/>
      <w:r>
        <w:rPr>
          <w:rtl/>
        </w:rPr>
        <w:t xml:space="preserve"> ורבא</w:t>
      </w:r>
      <w:bookmarkStart w:id="2124" w:name="_fnr1337"/>
      <w:r>
        <w:rPr>
          <w:rStyle w:val="a5"/>
        </w:rPr>
        <w:footnoteReference w:id="1340" w:customMarkFollows="0"/>
      </w:r>
      <w:bookmarkEnd w:id="2124"/>
      <w:r>
        <w:rPr>
          <w:rtl/>
        </w:rPr>
        <w:t xml:space="preserve"> צודקים. אם לא הבנו באותו רגע את הטעם לדבריהם, השארנו זאת לפעם הבאה שנלמד ש״ס. היום כולנו מדענים, ושכלנו חייב לבדוק את שלמותו של כל טיעון בגמרא מיד כשהוא מובא. האם פלא שאנו נשארים זמן רב כל כך בדף אחד?!”</w:t>
      </w:r>
    </w:p>
    <w:p w14:paraId="3B61A9EB" w14:textId="77777777" w:rsidR="00AB3647" w:rsidRDefault="00000000" w:rsidP="007923E9">
      <w:pPr>
        <w:spacing w:before="120" w:after="100" w:line="276" w:lineRule="auto"/>
        <w:jc w:val="both"/>
      </w:pPr>
      <w:r>
        <w:rPr>
          <w:rtl/>
        </w:rPr>
        <w:t xml:space="preserve">הנכד המשיך בדיון ושאל אם כל הרבנים בליטא היו בקיאים [בש״ס ובראשונים], ואבי אמר: “אי אפשר היה לתפוס אף אחד מ־300 הרבנים בליטא בשום קטע גמרא בש״ס: אחד היה למדן יותר ואחד פחות, אבל לא לדעת גמרא... [לא היה עולה על הדעת]!” אבל כשחזרתי על הדברים בפני ר׳ אליהו </w:t>
      </w:r>
      <w:proofErr w:type="spellStart"/>
      <w:r>
        <w:rPr>
          <w:rtl/>
        </w:rPr>
        <w:t>קושלבסקי</w:t>
      </w:r>
      <w:bookmarkStart w:id="2125" w:name="_fnr1338"/>
      <w:proofErr w:type="spellEnd"/>
      <w:r>
        <w:rPr>
          <w:rStyle w:val="a5"/>
        </w:rPr>
        <w:footnoteReference w:id="1341" w:customMarkFollows="0"/>
      </w:r>
      <w:bookmarkEnd w:id="2125"/>
      <w:r>
        <w:rPr>
          <w:rtl/>
        </w:rPr>
        <w:t xml:space="preserve">, סבר הלה שהם מוגזמים, ואמר: “רבנו פשוט מדד את כל שאר הרבנים לפי עצמו; אי אפשר היה לתפוס </w:t>
      </w:r>
      <w:r>
        <w:rPr>
          <w:b/>
          <w:bCs/>
          <w:rtl/>
        </w:rPr>
        <w:t>אותו</w:t>
      </w:r>
      <w:r>
        <w:rPr>
          <w:rtl/>
        </w:rPr>
        <w:t xml:space="preserve"> ‘לא יודע גמרא...’, והוא ייחס זאת גם ל־299 הרבנים האחרים בליטא.”</w:t>
      </w:r>
    </w:p>
    <w:p w14:paraId="2CC068A6" w14:textId="77777777" w:rsidR="00AB3647" w:rsidRDefault="00000000" w:rsidP="007923E9">
      <w:pPr>
        <w:spacing w:before="120" w:after="100" w:line="276" w:lineRule="auto"/>
        <w:jc w:val="both"/>
      </w:pPr>
      <w:r>
        <w:rPr>
          <w:rtl/>
        </w:rPr>
        <w:t xml:space="preserve">כשסיפר ר׳ יצחק </w:t>
      </w:r>
      <w:proofErr w:type="spellStart"/>
      <w:r>
        <w:rPr>
          <w:rtl/>
        </w:rPr>
        <w:t>שורין</w:t>
      </w:r>
      <w:proofErr w:type="spellEnd"/>
      <w:r>
        <w:rPr>
          <w:rtl/>
        </w:rPr>
        <w:t xml:space="preserve"> לרבו באותה עת על דעת סבו בעניין היקף לימוד הגמרא, טען הלה שרק העילויים </w:t>
      </w:r>
      <w:proofErr w:type="spellStart"/>
      <w:r>
        <w:rPr>
          <w:rtl/>
        </w:rPr>
        <w:t>בסלבודקה</w:t>
      </w:r>
      <w:proofErr w:type="spellEnd"/>
      <w:r>
        <w:rPr>
          <w:rtl/>
        </w:rPr>
        <w:t xml:space="preserve"> יכלו לעמוד בקצב כזה, ושאם צריך לבחור בין בקיאות ללמדנות, הלמדנות קודמת. כשמסר ר׳ יצחק </w:t>
      </w:r>
      <w:proofErr w:type="spellStart"/>
      <w:r>
        <w:rPr>
          <w:rtl/>
        </w:rPr>
        <w:t>שורין</w:t>
      </w:r>
      <w:proofErr w:type="spellEnd"/>
      <w:r>
        <w:rPr>
          <w:rtl/>
        </w:rPr>
        <w:t xml:space="preserve"> את טענת רבו לסבו, קרא הלה בכעס: “א </w:t>
      </w:r>
      <w:proofErr w:type="spellStart"/>
      <w:r>
        <w:rPr>
          <w:rtl/>
        </w:rPr>
        <w:t>סברא</w:t>
      </w:r>
      <w:proofErr w:type="spellEnd"/>
      <w:r>
        <w:rPr>
          <w:rtl/>
        </w:rPr>
        <w:t xml:space="preserve"> אהין, א </w:t>
      </w:r>
      <w:proofErr w:type="spellStart"/>
      <w:r>
        <w:rPr>
          <w:rtl/>
        </w:rPr>
        <w:t>סברא</w:t>
      </w:r>
      <w:proofErr w:type="spellEnd"/>
      <w:r>
        <w:rPr>
          <w:rtl/>
        </w:rPr>
        <w:t xml:space="preserve"> </w:t>
      </w:r>
      <w:proofErr w:type="spellStart"/>
      <w:r>
        <w:rPr>
          <w:rtl/>
        </w:rPr>
        <w:t>אהער</w:t>
      </w:r>
      <w:proofErr w:type="spellEnd"/>
      <w:r>
        <w:rPr>
          <w:rtl/>
        </w:rPr>
        <w:t xml:space="preserve"> [סברה לשם, סברה לכאן]: איך אפשר לומר סברה בלי לדעת גמרא?!”</w:t>
      </w:r>
      <w:bookmarkStart w:id="2126" w:name="_fnr1339"/>
      <w:r>
        <w:rPr>
          <w:rStyle w:val="a5"/>
        </w:rPr>
        <w:footnoteReference w:id="1342" w:customMarkFollows="0"/>
      </w:r>
      <w:bookmarkEnd w:id="2126"/>
    </w:p>
    <w:p w14:paraId="6C7B7EB2" w14:textId="77777777" w:rsidR="00AB3647" w:rsidRDefault="00000000" w:rsidP="007923E9">
      <w:pPr>
        <w:spacing w:after="100" w:line="276" w:lineRule="auto"/>
        <w:ind w:firstLine="340"/>
        <w:jc w:val="both"/>
      </w:pPr>
      <w:r>
        <w:rPr>
          <w:rtl/>
        </w:rPr>
        <w:t xml:space="preserve">מעניין שזמן קצר אחרי שסיפר ר׳ יצחק </w:t>
      </w:r>
      <w:proofErr w:type="spellStart"/>
      <w:r>
        <w:rPr>
          <w:rtl/>
        </w:rPr>
        <w:t>שורין</w:t>
      </w:r>
      <w:proofErr w:type="spellEnd"/>
      <w:r>
        <w:rPr>
          <w:rtl/>
        </w:rPr>
        <w:t xml:space="preserve"> לרבו על חילופי הדברים, הזדמן הרב </w:t>
      </w:r>
      <w:proofErr w:type="spellStart"/>
      <w:r>
        <w:rPr>
          <w:rtl/>
        </w:rPr>
        <w:t>למונסי</w:t>
      </w:r>
      <w:proofErr w:type="spellEnd"/>
      <w:r>
        <w:rPr>
          <w:rtl/>
        </w:rPr>
        <w:t>, ושם ביקר לראשונה אצל רבנו. הוא סיפר לתלמידו: “באתי בלי לקבוע פגישה, ומעולם לא ראיתי אדם גדול כל כך! שאלתי אותו איזו דרך לימוד עלי לקדם, והוא אמר: ‘אינני קובע מדיניות לישיבת רבנו חיים ברלין.’” אף שרגשותיו של אבי בעניין היו עזים, הוא לא חרג מכללי הנימוס, בהתאם לכלל “דרך ארץ קדמה לתורה”</w:t>
      </w:r>
      <w:bookmarkStart w:id="2127" w:name="_fnr1340"/>
      <w:r>
        <w:rPr>
          <w:rStyle w:val="a5"/>
        </w:rPr>
        <w:footnoteReference w:id="1343" w:customMarkFollows="0"/>
      </w:r>
      <w:bookmarkEnd w:id="2127"/>
      <w:r>
        <w:rPr>
          <w:rtl/>
        </w:rPr>
        <w:t>, ולא התערב בישיבה שלא נשא בה תפקיד.</w:t>
      </w:r>
    </w:p>
    <w:p w14:paraId="58B85D10" w14:textId="77777777" w:rsidR="00AB3647" w:rsidRDefault="00000000" w:rsidP="007923E9">
      <w:pPr>
        <w:spacing w:after="100" w:line="276" w:lineRule="auto"/>
        <w:ind w:firstLine="340"/>
        <w:jc w:val="both"/>
      </w:pPr>
      <w:r>
        <w:rPr>
          <w:rtl/>
        </w:rPr>
        <w:t xml:space="preserve">דוגמה נוספת, אולי נוקבת יותר, להקפדתו על סדרי התפקידים זכר תלמיד בישיבה מסוימת שאבי הכיר. התלמיד בא אל אבי בשנות פרישתו </w:t>
      </w:r>
      <w:proofErr w:type="spellStart"/>
      <w:r>
        <w:rPr>
          <w:rtl/>
        </w:rPr>
        <w:t>במונסי</w:t>
      </w:r>
      <w:proofErr w:type="spellEnd"/>
      <w:r>
        <w:rPr>
          <w:rtl/>
        </w:rPr>
        <w:t xml:space="preserve"> ושאל אם מותר לו להירשם לתוכנית ממשלתית, כפי שביקש ממנו משרד הישיבה. לדברי המרואיין, אבי “גילה קוצר רוח [כלפיו] ואמר: ‘יש לך ראש ישיבה בישיבתך; אולי אינו הצדיק הגדול ביותר</w:t>
      </w:r>
      <w:bookmarkStart w:id="2128" w:name="_fnr1341"/>
      <w:r>
        <w:rPr>
          <w:rStyle w:val="a5"/>
        </w:rPr>
        <w:footnoteReference w:id="1344" w:customMarkFollows="0"/>
      </w:r>
      <w:bookmarkEnd w:id="2128"/>
      <w:r>
        <w:rPr>
          <w:rtl/>
        </w:rPr>
        <w:t>, אבל הוא ראש הישיבה שלך. שאל אותו!’”</w:t>
      </w:r>
    </w:p>
    <w:p w14:paraId="33D705F5" w14:textId="77777777" w:rsidR="00AB3647" w:rsidRDefault="00000000" w:rsidP="007923E9">
      <w:pPr>
        <w:spacing w:after="100" w:line="276" w:lineRule="auto"/>
        <w:ind w:firstLine="340"/>
        <w:jc w:val="both"/>
      </w:pPr>
      <w:r>
        <w:rPr>
          <w:rtl/>
        </w:rPr>
        <w:t xml:space="preserve">על דרך הלימוד </w:t>
      </w:r>
      <w:proofErr w:type="spellStart"/>
      <w:r>
        <w:rPr>
          <w:rtl/>
        </w:rPr>
        <w:t>בסלבודקה</w:t>
      </w:r>
      <w:proofErr w:type="spellEnd"/>
      <w:r>
        <w:rPr>
          <w:rtl/>
        </w:rPr>
        <w:t xml:space="preserve"> הוסיף ר׳ מרדכי שיין את דברי רבנו: “</w:t>
      </w:r>
      <w:r>
        <w:rPr>
          <w:b/>
          <w:bCs/>
          <w:rtl/>
        </w:rPr>
        <w:t>למדנו וחזרנו</w:t>
      </w:r>
      <w:r>
        <w:rPr>
          <w:rtl/>
        </w:rPr>
        <w:t xml:space="preserve">. ביקשנו לדעת מה אומרת הגמרא, לא למצוא בעיות.” הדבר תואם את הסברו ליכולתם של תלמידי </w:t>
      </w:r>
      <w:proofErr w:type="spellStart"/>
      <w:r>
        <w:rPr>
          <w:rtl/>
        </w:rPr>
        <w:t>סלבודקה</w:t>
      </w:r>
      <w:proofErr w:type="spellEnd"/>
      <w:r>
        <w:rPr>
          <w:rtl/>
        </w:rPr>
        <w:t xml:space="preserve"> להספיק הרבה יותר מתלמידי הישיבות כיום, כמו שסיפר לעיל ר׳ יצחק </w:t>
      </w:r>
      <w:proofErr w:type="spellStart"/>
      <w:r>
        <w:rPr>
          <w:rtl/>
        </w:rPr>
        <w:t>שורין</w:t>
      </w:r>
      <w:proofErr w:type="spellEnd"/>
      <w:r>
        <w:rPr>
          <w:rtl/>
        </w:rPr>
        <w:t xml:space="preserve">. “אם </w:t>
      </w:r>
      <w:r>
        <w:rPr>
          <w:rtl/>
        </w:rPr>
        <w:lastRenderedPageBreak/>
        <w:t xml:space="preserve">היו לנו שאלות, דיברנו עליהן עם בחור מבוגר בדרכנו </w:t>
      </w:r>
      <w:proofErr w:type="spellStart"/>
      <w:r>
        <w:rPr>
          <w:rtl/>
        </w:rPr>
        <w:t>לאכסניה</w:t>
      </w:r>
      <w:proofErr w:type="spellEnd"/>
      <w:r>
        <w:rPr>
          <w:rtl/>
        </w:rPr>
        <w:t xml:space="preserve"> ובחזרה, ואמרו לנו באילו ספרים נשאלו השאלות – ומצאנו זמן לעיין בתשובותיהם”, סיים רבנו.</w:t>
      </w:r>
    </w:p>
    <w:bookmarkStart w:id="2129" w:name="b3_note130"/>
    <w:p w14:paraId="5B0C44FF" w14:textId="77777777" w:rsidR="00AB3647" w:rsidRDefault="00000000" w:rsidP="007923E9">
      <w:pPr>
        <w:spacing w:before="120" w:after="100" w:line="276" w:lineRule="auto"/>
        <w:jc w:val="both"/>
      </w:pPr>
      <w:r>
        <w:fldChar w:fldCharType="begin" w:dirty="true"/>
      </w:r>
      <w:r>
        <w:instrText>HYPERLINK \l "b3_ref130"</w:instrText>
      </w:r>
      <w:r>
        <w:fldChar w:fldCharType="separate"/>
      </w:r>
      <w:r>
        <w:rPr>
          <w:b/>
          <w:bCs/>
          <w:rtl/>
        </w:rPr>
        <w:t>130</w:t>
      </w:r>
      <w:r>
        <w:rPr>
          <w:b/>
          <w:bCs/>
        </w:rPr>
        <w:fldChar w:fldCharType="end"/>
      </w:r>
      <w:bookmarkEnd w:id="2129"/>
      <w:r>
        <w:rPr>
          <w:rtl/>
        </w:rPr>
        <w:t xml:space="preserve"> אבי סיפר</w:t>
      </w:r>
      <w:bookmarkStart w:id="2130" w:name="_fnr1342"/>
      <w:r>
        <w:rPr>
          <w:rStyle w:val="a5"/>
        </w:rPr>
        <w:footnoteReference w:id="1345" w:customMarkFollows="0"/>
      </w:r>
      <w:bookmarkEnd w:id="2130"/>
      <w:r>
        <w:rPr>
          <w:rtl/>
        </w:rPr>
        <w:t xml:space="preserve"> שזמן קצר לאחר שהתמנה לרב </w:t>
      </w:r>
      <w:proofErr w:type="spellStart"/>
      <w:r>
        <w:rPr>
          <w:rtl/>
        </w:rPr>
        <w:t>ציטוביאן</w:t>
      </w:r>
      <w:proofErr w:type="spellEnd"/>
      <w:r>
        <w:rPr>
          <w:rtl/>
        </w:rPr>
        <w:t xml:space="preserve"> בקיץ תרפ״ו היה עליו לפסוק על כשרותו של צבע </w:t>
      </w:r>
      <w:proofErr w:type="spellStart"/>
      <w:r>
        <w:rPr>
          <w:rtl/>
        </w:rPr>
        <w:t>הקוכיניאל</w:t>
      </w:r>
      <w:proofErr w:type="spellEnd"/>
      <w:r>
        <w:rPr>
          <w:rtl/>
        </w:rPr>
        <w:t xml:space="preserve">. הוא סיפר כיצד הגיע להכרעתו, והוסיף: “אחר כך מצאתי </w:t>
      </w:r>
      <w:proofErr w:type="spellStart"/>
      <w:r>
        <w:rPr>
          <w:rtl/>
        </w:rPr>
        <w:t>ששו״ת</w:t>
      </w:r>
      <w:proofErr w:type="spellEnd"/>
      <w:r>
        <w:rPr>
          <w:rtl/>
        </w:rPr>
        <w:t xml:space="preserve"> ‘נודע ביהודה’ פוסק באותו אופן. לא הכרתי את </w:t>
      </w:r>
      <w:proofErr w:type="spellStart"/>
      <w:r>
        <w:rPr>
          <w:rtl/>
        </w:rPr>
        <w:t>ה‘נודע</w:t>
      </w:r>
      <w:proofErr w:type="spellEnd"/>
      <w:r>
        <w:rPr>
          <w:rtl/>
        </w:rPr>
        <w:t xml:space="preserve"> ביהודה’</w:t>
      </w:r>
      <w:bookmarkStart w:id="2131" w:name="_fnr1343"/>
      <w:r>
        <w:rPr>
          <w:rStyle w:val="a5"/>
        </w:rPr>
        <w:footnoteReference w:id="1346" w:customMarkFollows="0"/>
      </w:r>
      <w:bookmarkEnd w:id="2131"/>
      <w:r>
        <w:rPr>
          <w:rtl/>
        </w:rPr>
        <w:t xml:space="preserve">, מפני </w:t>
      </w:r>
      <w:proofErr w:type="spellStart"/>
      <w:r>
        <w:rPr>
          <w:rtl/>
        </w:rPr>
        <w:t>שבסלבודקה</w:t>
      </w:r>
      <w:proofErr w:type="spellEnd"/>
      <w:r>
        <w:rPr>
          <w:rtl/>
        </w:rPr>
        <w:t xml:space="preserve"> לא עיינו באחרונים – רק בראשונים היסודיים המעטים!</w:t>
      </w:r>
      <w:bookmarkStart w:id="2132" w:name="_fnr1344"/>
      <w:r>
        <w:rPr>
          <w:rStyle w:val="a5"/>
        </w:rPr>
        <w:footnoteReference w:id="1347" w:customMarkFollows="0"/>
      </w:r>
      <w:bookmarkEnd w:id="2132"/>
      <w:r>
        <w:rPr>
          <w:rtl/>
        </w:rPr>
        <w:t>” בני משפחתו של ר׳ מנחם פר המנוח</w:t>
      </w:r>
      <w:bookmarkStart w:id="2133" w:name="_fnr1345"/>
      <w:r>
        <w:rPr>
          <w:rStyle w:val="a5"/>
        </w:rPr>
        <w:footnoteReference w:id="1348" w:customMarkFollows="0"/>
      </w:r>
      <w:bookmarkEnd w:id="2133"/>
      <w:r>
        <w:rPr>
          <w:rtl/>
        </w:rPr>
        <w:t xml:space="preserve"> מסרו בשמו שהסבא אמר כי ריבוי ספרים “גורם שלא ללמוד”. כוונת הסבא הייתה שהעיסוק במה שאינו גמרא וראשונים יסודיים מונע מן האדם לדעת ש״ס.</w:t>
      </w:r>
    </w:p>
    <w:bookmarkStart w:id="2134" w:name="b3_note131"/>
    <w:p w14:paraId="00BFBEEF" w14:textId="77777777" w:rsidR="00AB3647" w:rsidRDefault="00000000" w:rsidP="007923E9">
      <w:pPr>
        <w:spacing w:before="120" w:after="100" w:line="276" w:lineRule="auto"/>
        <w:jc w:val="both"/>
      </w:pPr>
      <w:r>
        <w:fldChar w:fldCharType="begin" w:dirty="true"/>
      </w:r>
      <w:r>
        <w:instrText>HYPERLINK \l "b3_ref131"</w:instrText>
      </w:r>
      <w:r>
        <w:fldChar w:fldCharType="separate"/>
      </w:r>
      <w:r>
        <w:rPr>
          <w:b/>
          <w:bCs/>
          <w:rtl/>
        </w:rPr>
        <w:t>131</w:t>
      </w:r>
      <w:r>
        <w:rPr>
          <w:b/>
          <w:bCs/>
        </w:rPr>
        <w:fldChar w:fldCharType="end"/>
      </w:r>
      <w:bookmarkEnd w:id="2134"/>
      <w:r>
        <w:rPr>
          <w:rtl/>
        </w:rPr>
        <w:t xml:space="preserve"> אבי אמר לי: “מי עיין </w:t>
      </w:r>
      <w:proofErr w:type="spellStart"/>
      <w:r>
        <w:rPr>
          <w:rtl/>
        </w:rPr>
        <w:t>ב‘חידושי</w:t>
      </w:r>
      <w:proofErr w:type="spellEnd"/>
      <w:r>
        <w:rPr>
          <w:rtl/>
        </w:rPr>
        <w:t xml:space="preserve"> רבי עקיבא איגר’?! אם היה בישיבה ספר אחד כזה או שניים בשביל 450 בחורים, כמה תלמידים יכלו לראות אותם? התלמידים למדו גמרא, וזה הכול.”</w:t>
      </w:r>
    </w:p>
    <w:p w14:paraId="570C9790" w14:textId="77777777" w:rsidR="00AB3647" w:rsidRDefault="00000000" w:rsidP="007923E9">
      <w:pPr>
        <w:spacing w:before="120" w:after="100" w:line="276" w:lineRule="auto"/>
        <w:jc w:val="both"/>
      </w:pPr>
      <w:r>
        <w:rPr>
          <w:rtl/>
        </w:rPr>
        <w:t xml:space="preserve">ר׳ אליהו </w:t>
      </w:r>
      <w:proofErr w:type="spellStart"/>
      <w:r>
        <w:rPr>
          <w:rtl/>
        </w:rPr>
        <w:t>קושלבסקי</w:t>
      </w:r>
      <w:proofErr w:type="spellEnd"/>
      <w:r>
        <w:rPr>
          <w:rtl/>
        </w:rPr>
        <w:t xml:space="preserve"> תיאר כך את זמינות הספרים בכנסת ישראל שלאחר מלחמת העולם הראשונה: “בזמני </w:t>
      </w:r>
      <w:proofErr w:type="spellStart"/>
      <w:r>
        <w:rPr>
          <w:rtl/>
        </w:rPr>
        <w:t>בסלבודקה</w:t>
      </w:r>
      <w:proofErr w:type="spellEnd"/>
      <w:r>
        <w:rPr>
          <w:rtl/>
        </w:rPr>
        <w:t xml:space="preserve">, עשרים שנה אחרי המאורעות שאתה מתאר, עדיין לא היו ספרים רבים, אף שהיו די כרכים של ‘חידושי רבי עקיבא איגר’. לא שכל אחד למד בו בדקדקנות כה רבה, אבל הוא עמד לרשות כל מי שרצה לעיין בו. היה בישיבה חדר צדדי, </w:t>
      </w:r>
      <w:proofErr w:type="spellStart"/>
      <w:r>
        <w:rPr>
          <w:rtl/>
        </w:rPr>
        <w:t>שטיבעל</w:t>
      </w:r>
      <w:proofErr w:type="spellEnd"/>
      <w:r>
        <w:rPr>
          <w:rtl/>
        </w:rPr>
        <w:t xml:space="preserve">, ובו הייתה </w:t>
      </w:r>
      <w:proofErr w:type="spellStart"/>
      <w:r>
        <w:rPr>
          <w:rtl/>
        </w:rPr>
        <w:t>ה‘עז״ת</w:t>
      </w:r>
      <w:proofErr w:type="spellEnd"/>
      <w:r>
        <w:rPr>
          <w:rtl/>
        </w:rPr>
        <w:t xml:space="preserve">׳ [ראשי תיבות של עזרת תורה], ושם היו כל הספרים נעולים. מלבד זאת היו בבית המדרש הספרים הנוגעים למסכת שנלמדה – רק כמה ‘פני יהושע’, ‘שיטה מקובצת’, ‘רבי עקיבא איגר’, ‘קצות’, ‘נתיבות’ וכדומה. אם כרך היה בשימוש, המתינו מעט. מי שרצה לעיין בספר מיוחד ביקש מן הגבאי את המפתח, ונשאר [בחדר] </w:t>
      </w:r>
      <w:proofErr w:type="spellStart"/>
      <w:r>
        <w:rPr>
          <w:rtl/>
        </w:rPr>
        <w:t>העז״ת</w:t>
      </w:r>
      <w:proofErr w:type="spellEnd"/>
      <w:r>
        <w:rPr>
          <w:rtl/>
        </w:rPr>
        <w:t xml:space="preserve"> לעיין במה שביקש. רק לעיתים נדירות אפשר היה לקבל רשות להוציא את הכרך ממקומו אל המושב בבית המדרש. כנראה חל גידול קטן במספר הספרים בישיבה בשני העשורים האלה, אבל המצב הכללי שתיאר ראש הישיבה רבנו נמשך גם בזמני: ספר עדיין היה פריט חשוב. בימיי עבר בין התלמידים גם כרך של </w:t>
      </w:r>
      <w:proofErr w:type="spellStart"/>
      <w:r>
        <w:rPr>
          <w:rtl/>
        </w:rPr>
        <w:t>ה‘מאירי</w:t>
      </w:r>
      <w:proofErr w:type="spellEnd"/>
      <w:r>
        <w:rPr>
          <w:rtl/>
        </w:rPr>
        <w:t xml:space="preserve">’ – שלא כבימיו – וכמובן </w:t>
      </w:r>
      <w:proofErr w:type="spellStart"/>
      <w:r>
        <w:rPr>
          <w:rtl/>
        </w:rPr>
        <w:t>ה‘רשב״א</w:t>
      </w:r>
      <w:proofErr w:type="spellEnd"/>
      <w:r>
        <w:rPr>
          <w:rtl/>
        </w:rPr>
        <w:t xml:space="preserve">׳ </w:t>
      </w:r>
      <w:proofErr w:type="spellStart"/>
      <w:r>
        <w:rPr>
          <w:rtl/>
        </w:rPr>
        <w:t>וה‘ריטב״א</w:t>
      </w:r>
      <w:proofErr w:type="spellEnd"/>
      <w:r>
        <w:rPr>
          <w:rtl/>
        </w:rPr>
        <w:t xml:space="preserve">׳. ‘רמב״ן׳ לא היה. אני זוכר שאחד התלמידים הגרמנים, משה </w:t>
      </w:r>
      <w:proofErr w:type="spellStart"/>
      <w:r>
        <w:rPr>
          <w:rtl/>
        </w:rPr>
        <w:t>במברגר</w:t>
      </w:r>
      <w:proofErr w:type="spellEnd"/>
      <w:r>
        <w:rPr>
          <w:rtl/>
        </w:rPr>
        <w:t xml:space="preserve">, נכדו של בעל ‘ערוך לנר’, צדיק שלמד בשקידה יוצאת דופן ולימים היה </w:t>
      </w:r>
      <w:proofErr w:type="spellStart"/>
      <w:r>
        <w:rPr>
          <w:rtl/>
        </w:rPr>
        <w:t>בגייטסהד</w:t>
      </w:r>
      <w:proofErr w:type="spellEnd"/>
      <w:r>
        <w:rPr>
          <w:rtl/>
        </w:rPr>
        <w:t>, הביא לישיבה את ספרו של סבו. אפילו ספר כמו ‘נהור שרגא’ על מסכת יבמות עבר בין התלמידים בישיבה. שפע הספרים בישיבות הופיע רק הרבה יותר מאוחר, כשהתחוללה מהפכה בתהליך הדפוס.”</w:t>
      </w:r>
    </w:p>
    <w:p w14:paraId="191F46C2" w14:textId="5C46749D" w:rsidR="00AB3647" w:rsidRDefault="00000000" w:rsidP="007923E9">
      <w:pPr>
        <w:spacing w:after="100" w:line="276" w:lineRule="auto"/>
        <w:ind w:firstLine="340"/>
        <w:jc w:val="both"/>
      </w:pPr>
      <w:r>
        <w:rPr>
          <w:rtl/>
        </w:rPr>
        <w:t xml:space="preserve">נראה שבישיבות פולין שלאחר מלחמת העולם הראשונה היה המחסור בספרים גדול מזה שתיאר הרב </w:t>
      </w:r>
      <w:proofErr w:type="spellStart"/>
      <w:r>
        <w:rPr>
          <w:rtl/>
        </w:rPr>
        <w:t>קושלבסקי</w:t>
      </w:r>
      <w:proofErr w:type="spellEnd"/>
      <w:r>
        <w:rPr>
          <w:rtl/>
        </w:rPr>
        <w:t xml:space="preserve"> בישיבת </w:t>
      </w:r>
      <w:proofErr w:type="spellStart"/>
      <w:r>
        <w:rPr>
          <w:rtl/>
        </w:rPr>
        <w:t>סלבודקה</w:t>
      </w:r>
      <w:proofErr w:type="spellEnd"/>
      <w:r>
        <w:rPr>
          <w:rtl/>
        </w:rPr>
        <w:t xml:space="preserve"> שבליטא. </w:t>
      </w:r>
      <w:proofErr w:type="spellStart"/>
      <w:r>
        <w:rPr>
          <w:rtl/>
        </w:rPr>
        <w:t>ב“תורה</w:t>
      </w:r>
      <w:proofErr w:type="spellEnd"/>
      <w:r>
        <w:rPr>
          <w:rtl/>
        </w:rPr>
        <w:t xml:space="preserve"> יבקשו מפיהו”</w:t>
      </w:r>
      <w:bookmarkStart w:id="2135" w:name="_fnr1346"/>
      <w:r>
        <w:rPr>
          <w:rStyle w:val="a5"/>
        </w:rPr>
        <w:footnoteReference w:id="1349" w:customMarkFollows="0"/>
      </w:r>
      <w:bookmarkEnd w:id="2135"/>
      <w:r>
        <w:rPr>
          <w:rtl/>
        </w:rPr>
        <w:t xml:space="preserve"> נזכר ר׳ שמואל </w:t>
      </w:r>
      <w:proofErr w:type="spellStart"/>
      <w:r>
        <w:rPr>
          <w:rtl/>
        </w:rPr>
        <w:t>גרוסברד</w:t>
      </w:r>
      <w:proofErr w:type="spellEnd"/>
      <w:r>
        <w:rPr>
          <w:rtl/>
        </w:rPr>
        <w:t xml:space="preserve">: “מחמת העוני ששרר כמעט לא היו ספרים לעיון בישיבת </w:t>
      </w:r>
      <w:proofErr w:type="spellStart"/>
      <w:r>
        <w:rPr>
          <w:rtl/>
        </w:rPr>
        <w:t>גרודנא</w:t>
      </w:r>
      <w:proofErr w:type="spellEnd"/>
      <w:r>
        <w:rPr>
          <w:rtl/>
        </w:rPr>
        <w:t xml:space="preserve">, ‘שער התורה’, </w:t>
      </w:r>
      <w:r>
        <w:rPr>
          <w:rtl/>
        </w:rPr>
        <w:lastRenderedPageBreak/>
        <w:t xml:space="preserve">ועשרות בחורים עמדו בתור כדי לקבל ספר. מקצתם קיבלו את הכרך שהמתינו לו מאוחר מאוד בלילה. ר׳ שמואל </w:t>
      </w:r>
      <w:proofErr w:type="spellStart"/>
      <w:r>
        <w:rPr>
          <w:rtl/>
        </w:rPr>
        <w:t>רוזובסקי</w:t>
      </w:r>
      <w:proofErr w:type="spellEnd"/>
      <w:r>
        <w:rPr>
          <w:rtl/>
        </w:rPr>
        <w:t xml:space="preserve"> אמר פעם שבכל ישיבת </w:t>
      </w:r>
      <w:proofErr w:type="spellStart"/>
      <w:r>
        <w:rPr>
          <w:rtl/>
        </w:rPr>
        <w:t>גרודנא</w:t>
      </w:r>
      <w:proofErr w:type="spellEnd"/>
      <w:r>
        <w:rPr>
          <w:rtl/>
        </w:rPr>
        <w:t xml:space="preserve"> היה ‘</w:t>
      </w:r>
      <w:proofErr w:type="spellStart"/>
      <w:r>
        <w:rPr>
          <w:rtl/>
        </w:rPr>
        <w:t>רשב״א</w:t>
      </w:r>
      <w:proofErr w:type="spellEnd"/>
      <w:r>
        <w:rPr>
          <w:rtl/>
        </w:rPr>
        <w:t xml:space="preserve"> קרוע אחד’.” השווה גם הערה </w:t>
      </w:r>
      <w:r>
        <w:rPr>
          <w:rtl/>
        </w:rPr>
        <w:fldChar w:fldCharType="begin" w:dirty="true"/>
      </w:r>
      <w:r>
        <w:rPr>
          <w:rtl/>
        </w:rPr>
        <w:instrText xml:space="preserve"> REF b3_note93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לעיל, על זמינותם של ספרי מוסר </w:t>
      </w:r>
      <w:proofErr w:type="spellStart"/>
      <w:r>
        <w:rPr>
          <w:rtl/>
        </w:rPr>
        <w:t>בסלבודקה</w:t>
      </w:r>
      <w:proofErr w:type="spellEnd"/>
      <w:r>
        <w:rPr>
          <w:rtl/>
        </w:rPr>
        <w:t xml:space="preserve"> בזמנו של אבי, ועל מצב הגמרות שני עשורים לפני זמנו.</w:t>
      </w:r>
    </w:p>
    <w:p w14:paraId="5FEA3E71" w14:textId="793B69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 חיים </w:t>
      </w:r>
      <w:proofErr w:type="spellStart"/>
      <w:r>
        <w:rPr>
          <w:rtl/>
        </w:rPr>
        <w:t>סולובייצ׳יק</w:t>
      </w:r>
      <w:proofErr w:type="spellEnd"/>
      <w:r>
        <w:rPr>
          <w:rtl/>
        </w:rPr>
        <w:t xml:space="preserve"> היה הפופולרי שבראשי הישיבות במאה ההיא. עיקרי השיעורים שמסר </w:t>
      </w:r>
      <w:proofErr w:type="spellStart"/>
      <w:r>
        <w:rPr>
          <w:rtl/>
        </w:rPr>
        <w:t>בוולוז׳ין</w:t>
      </w:r>
      <w:proofErr w:type="spellEnd"/>
      <w:r>
        <w:rPr>
          <w:rtl/>
        </w:rPr>
        <w:t xml:space="preserve"> שני עשורים קודם לכן עברו בין תלמידי הישיבה</w:t>
      </w:r>
      <w:bookmarkStart w:id="2136" w:name="b3_ref132"/>
      <w:bookmarkEnd w:id="2136"/>
      <w:r>
        <w:rPr>
          <w:vertAlign w:val="superscript"/>
          <w:rtl/>
        </w:rPr>
        <w:fldChar w:fldCharType="begin" w:dirty="true"/>
      </w:r>
      <w:r>
        <w:rPr>
          <w:vertAlign w:val="superscript"/>
          <w:rtl/>
        </w:rPr>
        <w:instrText xml:space="preserve"> REF b3_note132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132</w:t>
      </w:r>
      <w:r>
        <w:rPr>
          <w:vertAlign w:val="superscript"/>
          <w:rtl/>
        </w:rPr>
        <w:fldChar w:fldCharType="end"/>
      </w:r>
      <w:r>
        <w:rPr>
          <w:rtl/>
        </w:rPr>
        <w:t xml:space="preserve">, אף שדווקא בראש הישיבה המתחרה, כנסת בית יצחק, עמד תלמידו הגדול של ר׳ חיים. זמן קצר לפני בואו של </w:t>
      </w:r>
      <w:proofErr w:type="spellStart"/>
      <w:r>
        <w:rPr>
          <w:rtl/>
        </w:rPr>
        <w:t>הדולהינובר</w:t>
      </w:r>
      <w:proofErr w:type="spellEnd"/>
      <w:r>
        <w:rPr>
          <w:rtl/>
        </w:rPr>
        <w:t xml:space="preserve"> החל הסבא לעודד את תלמידיו, אומנם בזהירות</w:t>
      </w:r>
      <w:bookmarkStart w:id="2137" w:name="b3_ref133"/>
      <w:bookmarkEnd w:id="2137"/>
      <w:r>
        <w:rPr>
          <w:vertAlign w:val="superscript"/>
          <w:rtl/>
        </w:rPr>
        <w:fldChar w:fldCharType="begin" w:dirty="true"/>
      </w:r>
      <w:r>
        <w:rPr>
          <w:vertAlign w:val="superscript"/>
          <w:rtl/>
        </w:rPr>
        <w:instrText xml:space="preserve"> REF b3_note133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133</w:t>
      </w:r>
      <w:r>
        <w:rPr>
          <w:vertAlign w:val="superscript"/>
          <w:rtl/>
        </w:rPr>
        <w:fldChar w:fldCharType="end"/>
      </w:r>
      <w:r>
        <w:rPr>
          <w:rtl/>
        </w:rPr>
        <w:t>, להשתתף בשיעורים בכנסת בית יצחק. הבאים החדשים הצטרפו למספר הניכר של תלמידי כנסת ישראל שפקדו את שיעוריו של ר׳ ברוך־בער</w:t>
      </w:r>
      <w:bookmarkStart w:id="2138" w:name="b3_ref134"/>
      <w:bookmarkEnd w:id="2138"/>
      <w:r>
        <w:rPr>
          <w:vertAlign w:val="superscript"/>
          <w:rtl/>
        </w:rPr>
        <w:fldChar w:fldCharType="begin" w:dirty="true"/>
      </w:r>
      <w:r>
        <w:rPr>
          <w:vertAlign w:val="superscript"/>
          <w:rtl/>
        </w:rPr>
        <w:instrText xml:space="preserve"> REF b3_note134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134</w:t>
      </w:r>
      <w:r>
        <w:rPr>
          <w:vertAlign w:val="superscript"/>
          <w:rtl/>
        </w:rPr>
        <w:fldChar w:fldCharType="end"/>
      </w:r>
      <w:r>
        <w:rPr>
          <w:rtl/>
        </w:rPr>
        <w:t>, ונהנו הן מבהירותו המופלאה בהסברה</w:t>
      </w:r>
      <w:bookmarkStart w:id="2139" w:name="b3_ref135"/>
      <w:bookmarkEnd w:id="2139"/>
      <w:r>
        <w:rPr>
          <w:vertAlign w:val="superscript"/>
          <w:rtl/>
        </w:rPr>
        <w:fldChar w:fldCharType="begin" w:dirty="true"/>
      </w:r>
      <w:r>
        <w:rPr>
          <w:vertAlign w:val="superscript"/>
          <w:rtl/>
        </w:rPr>
        <w:instrText xml:space="preserve"> REF b3_note135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135</w:t>
      </w:r>
      <w:r>
        <w:rPr>
          <w:vertAlign w:val="superscript"/>
          <w:rtl/>
        </w:rPr>
        <w:fldChar w:fldCharType="end"/>
      </w:r>
      <w:r>
        <w:rPr>
          <w:rtl/>
        </w:rPr>
        <w:t xml:space="preserve"> והן מן הקשר שבו חיבר את שומעיו לתורתו</w:t>
      </w:r>
      <w:bookmarkStart w:id="2140" w:name="b3_ref137"/>
      <w:bookmarkEnd w:id="2140"/>
      <w:r>
        <w:rPr>
          <w:vertAlign w:val="superscript"/>
          <w:rtl/>
        </w:rPr>
        <w:fldChar w:fldCharType="begin" w:dirty="true"/>
      </w:r>
      <w:r>
        <w:rPr>
          <w:vertAlign w:val="superscript"/>
          <w:rtl/>
        </w:rPr>
        <w:instrText xml:space="preserve"> REF b3_note136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136</w:t>
      </w:r>
      <w:r>
        <w:rPr>
          <w:vertAlign w:val="superscript"/>
          <w:rtl/>
        </w:rPr>
        <w:fldChar w:fldCharType="end"/>
      </w:r>
      <w:r>
        <w:rPr>
          <w:rtl/>
        </w:rPr>
        <w:t xml:space="preserve"> של רבו האהוד</w:t>
      </w:r>
      <w:bookmarkStart w:id="2141" w:name="b3_ref136"/>
      <w:bookmarkEnd w:id="2141"/>
      <w:r>
        <w:rPr>
          <w:vertAlign w:val="superscript"/>
          <w:rtl/>
        </w:rPr>
        <w:fldChar w:fldCharType="begin" w:dirty="true"/>
      </w:r>
      <w:r>
        <w:rPr>
          <w:vertAlign w:val="superscript"/>
          <w:rtl/>
        </w:rPr>
        <w:instrText xml:space="preserve"> REF b3_note137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137</w:t>
      </w:r>
      <w:r>
        <w:rPr>
          <w:vertAlign w:val="superscript"/>
          <w:rtl/>
        </w:rPr>
        <w:fldChar w:fldCharType="end"/>
      </w:r>
      <w:r>
        <w:rPr>
          <w:rtl/>
        </w:rPr>
        <w:t>.</w:t>
      </w:r>
    </w:p>
    <w:bookmarkStart w:id="2142" w:name="b3_note132"/>
    <w:p w14:paraId="386A5735" w14:textId="773FE6B9" w:rsidR="00AB3647" w:rsidRDefault="00000000" w:rsidP="007923E9">
      <w:pPr>
        <w:spacing w:before="120" w:after="100" w:line="276" w:lineRule="auto"/>
        <w:jc w:val="both"/>
      </w:pPr>
      <w:r>
        <w:fldChar w:fldCharType="begin" w:dirty="true"/>
      </w:r>
      <w:r>
        <w:instrText>HYPERLINK \l "b3_ref132"</w:instrText>
      </w:r>
      <w:r>
        <w:fldChar w:fldCharType="separate"/>
      </w:r>
      <w:r>
        <w:rPr>
          <w:b/>
          <w:bCs/>
          <w:rtl/>
        </w:rPr>
        <w:t>132</w:t>
      </w:r>
      <w:r>
        <w:rPr>
          <w:b/>
          <w:bCs/>
        </w:rPr>
        <w:fldChar w:fldCharType="end"/>
      </w:r>
      <w:bookmarkEnd w:id="2142"/>
      <w:r>
        <w:rPr>
          <w:rtl/>
        </w:rPr>
        <w:t xml:space="preserve"> ראה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bookmarkStart w:id="2143" w:name="b3_note133"/>
    <w:p w14:paraId="62A06425" w14:textId="77777777" w:rsidR="00AB3647" w:rsidRDefault="00000000" w:rsidP="007923E9">
      <w:pPr>
        <w:spacing w:before="120" w:after="100" w:line="276" w:lineRule="auto"/>
        <w:jc w:val="both"/>
      </w:pPr>
      <w:r>
        <w:fldChar w:fldCharType="begin" w:dirty="true"/>
      </w:r>
      <w:r>
        <w:instrText>HYPERLINK \l "b3_ref133"</w:instrText>
      </w:r>
      <w:r>
        <w:fldChar w:fldCharType="separate"/>
      </w:r>
      <w:r>
        <w:rPr>
          <w:b/>
          <w:bCs/>
          <w:rtl/>
        </w:rPr>
        <w:t>133</w:t>
      </w:r>
      <w:r>
        <w:rPr>
          <w:b/>
          <w:bCs/>
        </w:rPr>
        <w:fldChar w:fldCharType="end"/>
      </w:r>
      <w:bookmarkEnd w:id="2143"/>
      <w:r>
        <w:rPr>
          <w:rtl/>
        </w:rPr>
        <w:t xml:space="preserve"> בריאיון על הסבא</w:t>
      </w:r>
      <w:bookmarkStart w:id="2144" w:name="_fnr1347"/>
      <w:r>
        <w:rPr>
          <w:rStyle w:val="a5"/>
        </w:rPr>
        <w:footnoteReference w:id="1350" w:customMarkFollows="0"/>
      </w:r>
      <w:bookmarkEnd w:id="2144"/>
      <w:r>
        <w:rPr>
          <w:rtl/>
        </w:rPr>
        <w:t xml:space="preserve"> סיפר אבי שהסבא היה שואל אותו, או תלמיד אחר שידע שהלך לשמוע את שיעורו של ר׳ </w:t>
      </w:r>
      <w:proofErr w:type="spellStart"/>
      <w:r>
        <w:rPr>
          <w:rtl/>
        </w:rPr>
        <w:t>ברוך־בער</w:t>
      </w:r>
      <w:proofErr w:type="spellEnd"/>
      <w:r>
        <w:rPr>
          <w:rtl/>
        </w:rPr>
        <w:t xml:space="preserve">: “היית בבית המדרש הישן? חזור לפניי על מה שנאמר שם” – כלומר, על השיעור. לדברי רבנו, בכך הראה הסבא שהייתה לו נחת רוח מכך שתלמידיו הלכו לשמוע את השיעור. אבי לא אמר זאת במפורש, אבל היה חשוב במיוחד </w:t>
      </w:r>
      <w:proofErr w:type="spellStart"/>
      <w:r>
        <w:rPr>
          <w:rtl/>
        </w:rPr>
        <w:t>לר</w:t>
      </w:r>
      <w:proofErr w:type="spellEnd"/>
      <w:r>
        <w:rPr>
          <w:rtl/>
        </w:rPr>
        <w:t xml:space="preserve">׳ </w:t>
      </w:r>
      <w:proofErr w:type="spellStart"/>
      <w:r>
        <w:rPr>
          <w:rtl/>
        </w:rPr>
        <w:t>נתן־צבי</w:t>
      </w:r>
      <w:proofErr w:type="spellEnd"/>
      <w:r>
        <w:rPr>
          <w:rtl/>
        </w:rPr>
        <w:t xml:space="preserve"> להראות את שביעות רצונו, מפני שכשנה קודם לכן, כשבא ר׳ </w:t>
      </w:r>
      <w:proofErr w:type="spellStart"/>
      <w:r>
        <w:rPr>
          <w:rtl/>
        </w:rPr>
        <w:t>ברוך־בער</w:t>
      </w:r>
      <w:proofErr w:type="spellEnd"/>
      <w:r>
        <w:rPr>
          <w:rtl/>
        </w:rPr>
        <w:t xml:space="preserve"> לראשונה </w:t>
      </w:r>
      <w:proofErr w:type="spellStart"/>
      <w:r>
        <w:rPr>
          <w:rtl/>
        </w:rPr>
        <w:t>לסלבודקה</w:t>
      </w:r>
      <w:proofErr w:type="spellEnd"/>
      <w:r>
        <w:rPr>
          <w:rtl/>
        </w:rPr>
        <w:t>, לא הסכים הסבא שתלמידיו ילכו לשמוע אותו</w:t>
      </w:r>
      <w:bookmarkStart w:id="2145" w:name="_fnr1348"/>
      <w:r>
        <w:rPr>
          <w:rStyle w:val="a5"/>
        </w:rPr>
        <w:footnoteReference w:id="1351" w:customMarkFollows="0"/>
      </w:r>
      <w:bookmarkEnd w:id="2145"/>
      <w:r>
        <w:rPr>
          <w:rtl/>
        </w:rPr>
        <w:t xml:space="preserve">. גם לאחר שהסבא </w:t>
      </w:r>
      <w:proofErr w:type="spellStart"/>
      <w:r>
        <w:rPr>
          <w:rtl/>
        </w:rPr>
        <w:t>מסלבודקה</w:t>
      </w:r>
      <w:proofErr w:type="spellEnd"/>
      <w:r>
        <w:rPr>
          <w:rtl/>
        </w:rPr>
        <w:t xml:space="preserve"> החל להראות שהוא מסכים לכך, לא נתן רשות מפורשת, שהייתה עלולה לפגוע בראש ישיבתו שלו, ר׳ </w:t>
      </w:r>
      <w:proofErr w:type="spellStart"/>
      <w:r>
        <w:rPr>
          <w:rtl/>
        </w:rPr>
        <w:t>משה־מרדכי</w:t>
      </w:r>
      <w:proofErr w:type="spellEnd"/>
      <w:r>
        <w:rPr>
          <w:rtl/>
        </w:rPr>
        <w:t xml:space="preserve"> אפשטיין.</w:t>
      </w:r>
    </w:p>
    <w:p w14:paraId="3E2EBBC1" w14:textId="6CD5D333" w:rsidR="00AB3647" w:rsidRDefault="00000000" w:rsidP="007923E9">
      <w:pPr>
        <w:spacing w:before="120" w:after="100" w:line="276" w:lineRule="auto"/>
        <w:jc w:val="both"/>
      </w:pPr>
      <w:r>
        <w:rPr>
          <w:rtl/>
        </w:rPr>
        <w:t xml:space="preserve">השווה גם בהערה </w:t>
      </w:r>
      <w:r>
        <w:rPr>
          <w:rtl/>
        </w:rPr>
        <w:fldChar w:fldCharType="begin" w:dirty="true"/>
      </w:r>
      <w:r>
        <w:rPr>
          <w:rtl/>
        </w:rPr>
        <w:instrText xml:space="preserve"> REF b3_note138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138</w:t>
      </w:r>
      <w:r>
        <w:rPr>
          <w:rtl/>
        </w:rPr>
        <w:fldChar w:fldCharType="end"/>
      </w:r>
      <w:r>
        <w:rPr>
          <w:rtl/>
        </w:rPr>
        <w:t xml:space="preserve"> להלן את הפסקה הפותחת “לא ברור מדוע”, ושם מוצעת האפשרות שר׳ </w:t>
      </w:r>
      <w:proofErr w:type="spellStart"/>
      <w:r>
        <w:rPr>
          <w:rtl/>
        </w:rPr>
        <w:t>ברוך־בער</w:t>
      </w:r>
      <w:proofErr w:type="spellEnd"/>
      <w:r>
        <w:rPr>
          <w:rtl/>
        </w:rPr>
        <w:t xml:space="preserve"> לא רצה שתלמידי כנסת ישראל ישתתפו בשיעוריו מתוך התחשבות ברגשותיו של ר׳ </w:t>
      </w:r>
      <w:proofErr w:type="spellStart"/>
      <w:r>
        <w:rPr>
          <w:rtl/>
        </w:rPr>
        <w:t>משה־מרדכי</w:t>
      </w:r>
      <w:proofErr w:type="spellEnd"/>
      <w:r>
        <w:rPr>
          <w:rtl/>
        </w:rPr>
        <w:t xml:space="preserve">. ודאי היה גם על הסבא להתחשב ברגשות אלה. בראיונו עם ר׳ </w:t>
      </w:r>
      <w:proofErr w:type="spellStart"/>
      <w:r>
        <w:rPr>
          <w:rtl/>
        </w:rPr>
        <w:t>ליפא</w:t>
      </w:r>
      <w:proofErr w:type="spellEnd"/>
      <w:r>
        <w:rPr>
          <w:rtl/>
        </w:rPr>
        <w:t xml:space="preserve"> </w:t>
      </w:r>
      <w:proofErr w:type="spellStart"/>
      <w:r>
        <w:rPr>
          <w:rtl/>
        </w:rPr>
        <w:t>גלדווערט</w:t>
      </w:r>
      <w:proofErr w:type="spellEnd"/>
      <w:r>
        <w:rPr>
          <w:rtl/>
        </w:rPr>
        <w:t xml:space="preserve"> כינה אבי את ר׳ </w:t>
      </w:r>
      <w:proofErr w:type="spellStart"/>
      <w:r>
        <w:rPr>
          <w:rtl/>
        </w:rPr>
        <w:t>ברוך־בער</w:t>
      </w:r>
      <w:proofErr w:type="spellEnd"/>
      <w:r>
        <w:rPr>
          <w:rtl/>
        </w:rPr>
        <w:t xml:space="preserve"> “הרבי” – השווה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להלן.</w:t>
      </w:r>
    </w:p>
    <w:p w14:paraId="21E5AC90" w14:textId="77777777" w:rsidR="00AB3647" w:rsidRDefault="00000000" w:rsidP="007923E9">
      <w:pPr>
        <w:spacing w:before="120" w:after="100" w:line="276" w:lineRule="auto"/>
        <w:jc w:val="both"/>
      </w:pPr>
      <w:r>
        <w:rPr>
          <w:rtl/>
        </w:rPr>
        <w:t xml:space="preserve">ר׳ שלמה </w:t>
      </w:r>
      <w:proofErr w:type="spellStart"/>
      <w:r>
        <w:rPr>
          <w:rtl/>
        </w:rPr>
        <w:t>איידלשטיין</w:t>
      </w:r>
      <w:bookmarkStart w:id="2146" w:name="_fnr1349"/>
      <w:proofErr w:type="spellEnd"/>
      <w:r>
        <w:rPr>
          <w:rStyle w:val="a5"/>
        </w:rPr>
        <w:footnoteReference w:id="1352" w:customMarkFollows="0"/>
      </w:r>
      <w:bookmarkEnd w:id="2146"/>
      <w:r>
        <w:rPr>
          <w:rtl/>
        </w:rPr>
        <w:t xml:space="preserve"> מסר בשם ר׳ יוסף </w:t>
      </w:r>
      <w:proofErr w:type="spellStart"/>
      <w:r>
        <w:rPr>
          <w:rtl/>
        </w:rPr>
        <w:t>דינקלס</w:t>
      </w:r>
      <w:proofErr w:type="spellEnd"/>
      <w:r>
        <w:rPr>
          <w:rtl/>
        </w:rPr>
        <w:t xml:space="preserve"> – ששמע את שניהם כשלמד אצל ר׳ </w:t>
      </w:r>
      <w:proofErr w:type="spellStart"/>
      <w:r>
        <w:rPr>
          <w:rtl/>
        </w:rPr>
        <w:t>ברוך־בער</w:t>
      </w:r>
      <w:proofErr w:type="spellEnd"/>
      <w:r>
        <w:rPr>
          <w:rtl/>
        </w:rPr>
        <w:t xml:space="preserve"> בשנתיים האחרונות שלפני מלחמת העולם הראשונה – תיאור המשווה בין שיעורי ר׳ </w:t>
      </w:r>
      <w:proofErr w:type="spellStart"/>
      <w:r>
        <w:rPr>
          <w:rtl/>
        </w:rPr>
        <w:t>משה־מרדכי</w:t>
      </w:r>
      <w:proofErr w:type="spellEnd"/>
      <w:r>
        <w:rPr>
          <w:rtl/>
        </w:rPr>
        <w:t xml:space="preserve"> לשיעורי ר׳ </w:t>
      </w:r>
      <w:proofErr w:type="spellStart"/>
      <w:r>
        <w:rPr>
          <w:rtl/>
        </w:rPr>
        <w:t>ברוך־בער</w:t>
      </w:r>
      <w:proofErr w:type="spellEnd"/>
      <w:r>
        <w:rPr>
          <w:rtl/>
        </w:rPr>
        <w:t xml:space="preserve">: “בכנסת בית יצחק היו 120 בחורים, ובכנסת ישראל קרוב ל־400, ושני ראשי הישיבה אמרו את שיעוריהם בימי שלישי. אבל אצל ר׳ </w:t>
      </w:r>
      <w:proofErr w:type="spellStart"/>
      <w:r>
        <w:rPr>
          <w:rtl/>
        </w:rPr>
        <w:t>משה־מרדכי</w:t>
      </w:r>
      <w:proofErr w:type="spellEnd"/>
      <w:r>
        <w:rPr>
          <w:rtl/>
        </w:rPr>
        <w:t xml:space="preserve"> היו חמישים שומעים, ואצל רבי היו 600</w:t>
      </w:r>
      <w:bookmarkStart w:id="2147" w:name="_fnr1350"/>
      <w:r>
        <w:rPr>
          <w:rStyle w:val="a5"/>
        </w:rPr>
        <w:footnoteReference w:id="1353" w:customMarkFollows="0"/>
      </w:r>
      <w:bookmarkEnd w:id="2147"/>
      <w:r>
        <w:rPr>
          <w:rtl/>
        </w:rPr>
        <w:t xml:space="preserve">. היה הבדל באופן שבו מסרו ר׳ </w:t>
      </w:r>
      <w:proofErr w:type="spellStart"/>
      <w:r>
        <w:rPr>
          <w:rtl/>
        </w:rPr>
        <w:t>ברוך־בער</w:t>
      </w:r>
      <w:proofErr w:type="spellEnd"/>
      <w:r>
        <w:rPr>
          <w:rtl/>
        </w:rPr>
        <w:t xml:space="preserve"> ור׳ </w:t>
      </w:r>
      <w:proofErr w:type="spellStart"/>
      <w:r>
        <w:rPr>
          <w:rtl/>
        </w:rPr>
        <w:t>משה־מרדכי</w:t>
      </w:r>
      <w:proofErr w:type="spellEnd"/>
      <w:r>
        <w:rPr>
          <w:rtl/>
        </w:rPr>
        <w:t xml:space="preserve"> את שיעוריהם. שיעורו של ר׳ </w:t>
      </w:r>
      <w:proofErr w:type="spellStart"/>
      <w:r>
        <w:rPr>
          <w:rtl/>
        </w:rPr>
        <w:t>ברוך־בער</w:t>
      </w:r>
      <w:proofErr w:type="spellEnd"/>
      <w:r>
        <w:rPr>
          <w:rtl/>
        </w:rPr>
        <w:t xml:space="preserve"> נמשך שעתיים, ובאמצעו היה עשוי לעצור </w:t>
      </w:r>
      <w:r>
        <w:rPr>
          <w:rtl/>
        </w:rPr>
        <w:lastRenderedPageBreak/>
        <w:t xml:space="preserve">ולעיין בנקודה אחת במשך עשר דקות; אז היו השומעים מפנים לו דרך להלך בה תוך כדי מחשבה. כל שיעור היה רעידת אדמה! שיעורו של ר׳ </w:t>
      </w:r>
      <w:proofErr w:type="spellStart"/>
      <w:r>
        <w:rPr>
          <w:rtl/>
        </w:rPr>
        <w:t>משה־מרדכי</w:t>
      </w:r>
      <w:proofErr w:type="spellEnd"/>
      <w:r>
        <w:rPr>
          <w:rtl/>
        </w:rPr>
        <w:t xml:space="preserve"> התאפיין בכך שכאשר שאלו אותו שאלה על השיעור לאחר שהסתיים, כל מה שעשה כדי לבאר היה לחזור על המילים המדויקות שאמר בשיעור, ואז לשאול את השואל אם הבין עכשיו. אם התשובה הייתה שלילית, היה ר׳ </w:t>
      </w:r>
      <w:proofErr w:type="spellStart"/>
      <w:r>
        <w:rPr>
          <w:rtl/>
        </w:rPr>
        <w:t>משה־מרדכי</w:t>
      </w:r>
      <w:proofErr w:type="spellEnd"/>
      <w:r>
        <w:rPr>
          <w:rtl/>
        </w:rPr>
        <w:t xml:space="preserve"> חוזר שוב על שיעורו ואומר שוב: ‘נו, עכשיו אתה מבין?’ מובן שאיש לא שאל בשלישית. הסבא היה ‘דוחף’ אנשים ללכת לשמוע את ר׳ </w:t>
      </w:r>
      <w:proofErr w:type="spellStart"/>
      <w:r>
        <w:rPr>
          <w:rtl/>
        </w:rPr>
        <w:t>ברוך־בער</w:t>
      </w:r>
      <w:proofErr w:type="spellEnd"/>
      <w:r>
        <w:rPr>
          <w:rtl/>
        </w:rPr>
        <w:t>.”</w:t>
      </w:r>
    </w:p>
    <w:p w14:paraId="0319D4CD" w14:textId="77777777" w:rsidR="00AB3647" w:rsidRDefault="00000000" w:rsidP="007923E9">
      <w:pPr>
        <w:spacing w:before="120" w:after="100" w:line="276" w:lineRule="auto"/>
        <w:jc w:val="both"/>
      </w:pPr>
      <w:r>
        <w:rPr>
          <w:rtl/>
        </w:rPr>
        <w:t xml:space="preserve">גם בנו של הסבא עצמו, ר׳ </w:t>
      </w:r>
      <w:proofErr w:type="spellStart"/>
      <w:r>
        <w:rPr>
          <w:rtl/>
        </w:rPr>
        <w:t>לייזר־יודל</w:t>
      </w:r>
      <w:proofErr w:type="spellEnd"/>
      <w:r>
        <w:rPr>
          <w:rtl/>
        </w:rPr>
        <w:t xml:space="preserve">, היה בין המבקרים בשיעורי ר׳ </w:t>
      </w:r>
      <w:proofErr w:type="spellStart"/>
      <w:r>
        <w:rPr>
          <w:rtl/>
        </w:rPr>
        <w:t>ברוך־בער</w:t>
      </w:r>
      <w:proofErr w:type="spellEnd"/>
      <w:r>
        <w:rPr>
          <w:rtl/>
        </w:rPr>
        <w:t xml:space="preserve">. כך סיפר ר׳ שכנא </w:t>
      </w:r>
      <w:proofErr w:type="spellStart"/>
      <w:r>
        <w:rPr>
          <w:rtl/>
        </w:rPr>
        <w:t>זאהן</w:t>
      </w:r>
      <w:proofErr w:type="spellEnd"/>
      <w:r>
        <w:rPr>
          <w:rtl/>
        </w:rPr>
        <w:t xml:space="preserve">, אמריקאי שהלך לאירופה ללמוד אצל ר׳ </w:t>
      </w:r>
      <w:proofErr w:type="spellStart"/>
      <w:r>
        <w:rPr>
          <w:rtl/>
        </w:rPr>
        <w:t>ברוך־בער</w:t>
      </w:r>
      <w:proofErr w:type="spellEnd"/>
      <w:r>
        <w:rPr>
          <w:rtl/>
        </w:rPr>
        <w:t xml:space="preserve"> בעשור האחרון לחייו. ר׳ שכנא סיפר</w:t>
      </w:r>
      <w:bookmarkStart w:id="2148" w:name="_fnr1351"/>
      <w:r>
        <w:rPr>
          <w:rStyle w:val="a5"/>
        </w:rPr>
        <w:footnoteReference w:id="1354" w:customMarkFollows="0"/>
      </w:r>
      <w:bookmarkEnd w:id="2148"/>
      <w:r>
        <w:rPr>
          <w:rtl/>
        </w:rPr>
        <w:t xml:space="preserve"> שרבו שיבח פעם את חידושיו שלו ואמר </w:t>
      </w:r>
      <w:proofErr w:type="spellStart"/>
      <w:r>
        <w:rPr>
          <w:rtl/>
        </w:rPr>
        <w:t>ש“ראש</w:t>
      </w:r>
      <w:proofErr w:type="spellEnd"/>
      <w:r>
        <w:rPr>
          <w:rtl/>
        </w:rPr>
        <w:t xml:space="preserve"> ישיבת </w:t>
      </w:r>
      <w:proofErr w:type="spellStart"/>
      <w:r>
        <w:rPr>
          <w:rtl/>
        </w:rPr>
        <w:t>מיר</w:t>
      </w:r>
      <w:proofErr w:type="spellEnd"/>
      <w:r>
        <w:rPr>
          <w:rtl/>
        </w:rPr>
        <w:t xml:space="preserve"> (ר׳ </w:t>
      </w:r>
      <w:proofErr w:type="spellStart"/>
      <w:r>
        <w:rPr>
          <w:rtl/>
        </w:rPr>
        <w:t>לייזר־יודל</w:t>
      </w:r>
      <w:proofErr w:type="spellEnd"/>
      <w:r>
        <w:rPr>
          <w:rtl/>
        </w:rPr>
        <w:t xml:space="preserve">) ור׳ אהרן (קוטלר) היו באים לשיעוריו </w:t>
      </w:r>
      <w:proofErr w:type="spellStart"/>
      <w:r>
        <w:rPr>
          <w:rtl/>
        </w:rPr>
        <w:t>בסלבודקה</w:t>
      </w:r>
      <w:proofErr w:type="spellEnd"/>
      <w:r>
        <w:rPr>
          <w:rtl/>
        </w:rPr>
        <w:t xml:space="preserve"> (שלושים שנה קודם לכן)”. ר׳ </w:t>
      </w:r>
      <w:proofErr w:type="spellStart"/>
      <w:r>
        <w:rPr>
          <w:rtl/>
        </w:rPr>
        <w:t>לייזר־יודל</w:t>
      </w:r>
      <w:proofErr w:type="spellEnd"/>
      <w:r>
        <w:rPr>
          <w:rtl/>
        </w:rPr>
        <w:t xml:space="preserve"> כבר היה נשוי ועזב </w:t>
      </w:r>
      <w:proofErr w:type="spellStart"/>
      <w:r>
        <w:rPr>
          <w:rtl/>
        </w:rPr>
        <w:t>למיר</w:t>
      </w:r>
      <w:proofErr w:type="spellEnd"/>
      <w:r>
        <w:rPr>
          <w:rtl/>
        </w:rPr>
        <w:t xml:space="preserve"> לפני בואו של ר׳ </w:t>
      </w:r>
      <w:proofErr w:type="spellStart"/>
      <w:r>
        <w:rPr>
          <w:rtl/>
        </w:rPr>
        <w:t>ברוך־בער</w:t>
      </w:r>
      <w:proofErr w:type="spellEnd"/>
      <w:r>
        <w:rPr>
          <w:rtl/>
        </w:rPr>
        <w:t xml:space="preserve"> </w:t>
      </w:r>
      <w:proofErr w:type="spellStart"/>
      <w:r>
        <w:rPr>
          <w:rtl/>
        </w:rPr>
        <w:t>לסלבודקה</w:t>
      </w:r>
      <w:proofErr w:type="spellEnd"/>
      <w:r>
        <w:rPr>
          <w:rtl/>
        </w:rPr>
        <w:t xml:space="preserve">, ולכן מן הסתם השתתף בשיעורים רק בביקוריו המזדמנים אצל אביו בעיר. סביר שר׳ </w:t>
      </w:r>
      <w:proofErr w:type="spellStart"/>
      <w:r>
        <w:rPr>
          <w:rtl/>
        </w:rPr>
        <w:t>ברוך־בער</w:t>
      </w:r>
      <w:proofErr w:type="spellEnd"/>
      <w:r>
        <w:rPr>
          <w:rtl/>
        </w:rPr>
        <w:t xml:space="preserve"> התגאה במבקר מזדמן זה הן מפני שהיה בנו של הסבא, ומן הסתם בא לשיעור בהסכמת אביו, והן מפני שכבר באותה עת הכינו חותנו, ר׳ </w:t>
      </w:r>
      <w:proofErr w:type="spellStart"/>
      <w:r>
        <w:rPr>
          <w:rtl/>
        </w:rPr>
        <w:t>אליהו־ברוך</w:t>
      </w:r>
      <w:proofErr w:type="spellEnd"/>
      <w:r>
        <w:rPr>
          <w:rtl/>
        </w:rPr>
        <w:t xml:space="preserve"> קמאי, להיות ראש ישיבת </w:t>
      </w:r>
      <w:proofErr w:type="spellStart"/>
      <w:r>
        <w:rPr>
          <w:rtl/>
        </w:rPr>
        <w:t>מיר</w:t>
      </w:r>
      <w:bookmarkStart w:id="2149" w:name="_fnr1352"/>
      <w:proofErr w:type="spellEnd"/>
      <w:r>
        <w:rPr>
          <w:rStyle w:val="a5"/>
        </w:rPr>
        <w:footnoteReference w:id="1355" w:customMarkFollows="0"/>
      </w:r>
      <w:bookmarkEnd w:id="2149"/>
      <w:r>
        <w:rPr>
          <w:rtl/>
        </w:rPr>
        <w:t xml:space="preserve">. כשחזר ר׳ שכנא על שבחו העצמי של ר׳ </w:t>
      </w:r>
      <w:proofErr w:type="spellStart"/>
      <w:r>
        <w:rPr>
          <w:rtl/>
        </w:rPr>
        <w:t>ברוך־בער</w:t>
      </w:r>
      <w:proofErr w:type="spellEnd"/>
      <w:r>
        <w:rPr>
          <w:rtl/>
        </w:rPr>
        <w:t>, העיר: “ענוותנותו האישית הגדולה של רבי</w:t>
      </w:r>
      <w:bookmarkStart w:id="2150" w:name="_fnr1353"/>
      <w:r>
        <w:rPr>
          <w:rStyle w:val="a5"/>
        </w:rPr>
        <w:footnoteReference w:id="1356" w:customMarkFollows="0"/>
      </w:r>
      <w:bookmarkEnd w:id="2150"/>
      <w:r>
        <w:rPr>
          <w:rtl/>
        </w:rPr>
        <w:t xml:space="preserve"> לא מנעה ממנו לשבח את ‘תורתו’.”</w:t>
      </w:r>
    </w:p>
    <w:p w14:paraId="110570B3" w14:textId="77777777" w:rsidR="00AB3647" w:rsidRDefault="00000000" w:rsidP="007923E9">
      <w:pPr>
        <w:spacing w:before="120" w:after="100" w:line="276" w:lineRule="auto"/>
        <w:jc w:val="both"/>
      </w:pPr>
      <w:r>
        <w:rPr>
          <w:rtl/>
        </w:rPr>
        <w:t xml:space="preserve">הערתו זו של ר׳ שכנא מזכירה מעשה שסיפר ר׳ קופל </w:t>
      </w:r>
      <w:proofErr w:type="spellStart"/>
      <w:r>
        <w:rPr>
          <w:rtl/>
        </w:rPr>
        <w:t>וולפרט</w:t>
      </w:r>
      <w:bookmarkStart w:id="2151" w:name="_fnr1354"/>
      <w:proofErr w:type="spellEnd"/>
      <w:r>
        <w:rPr>
          <w:rStyle w:val="a5"/>
        </w:rPr>
        <w:footnoteReference w:id="1357" w:customMarkFollows="0"/>
      </w:r>
      <w:bookmarkEnd w:id="2151"/>
      <w:r>
        <w:rPr>
          <w:rtl/>
        </w:rPr>
        <w:t xml:space="preserve">, אף שר׳ קופל פירש את מעשי רבו באופן שונה מר׳ שכנא: “בכל ליל שבת הייתי מבקר אצל ר׳ </w:t>
      </w:r>
      <w:proofErr w:type="spellStart"/>
      <w:r>
        <w:rPr>
          <w:rtl/>
        </w:rPr>
        <w:t>ברוך־בער</w:t>
      </w:r>
      <w:proofErr w:type="spellEnd"/>
      <w:r>
        <w:rPr>
          <w:rtl/>
        </w:rPr>
        <w:t xml:space="preserve">, קומה אחת מתחת לאכסנייתי. היו שם ר׳ שלמה </w:t>
      </w:r>
      <w:proofErr w:type="spellStart"/>
      <w:r>
        <w:rPr>
          <w:rtl/>
        </w:rPr>
        <w:t>פאריצ׳ר</w:t>
      </w:r>
      <w:proofErr w:type="spellEnd"/>
      <w:r>
        <w:rPr>
          <w:rtl/>
        </w:rPr>
        <w:t xml:space="preserve"> [היימן], ר׳ ישראל </w:t>
      </w:r>
      <w:proofErr w:type="spellStart"/>
      <w:r>
        <w:rPr>
          <w:rtl/>
        </w:rPr>
        <w:t>פיליפובר</w:t>
      </w:r>
      <w:bookmarkStart w:id="2152" w:name="_fnr1355"/>
      <w:proofErr w:type="spellEnd"/>
      <w:r>
        <w:rPr>
          <w:rStyle w:val="a5"/>
        </w:rPr>
        <w:footnoteReference w:id="1358" w:customMarkFollows="0"/>
      </w:r>
      <w:bookmarkEnd w:id="2152"/>
      <w:r>
        <w:rPr>
          <w:rtl/>
        </w:rPr>
        <w:t xml:space="preserve">, ר׳ משה </w:t>
      </w:r>
      <w:proofErr w:type="spellStart"/>
      <w:r>
        <w:rPr>
          <w:rtl/>
        </w:rPr>
        <w:t>פינקל</w:t>
      </w:r>
      <w:proofErr w:type="spellEnd"/>
      <w:r>
        <w:rPr>
          <w:rtl/>
        </w:rPr>
        <w:t xml:space="preserve"> – שלמד אצל הרבי </w:t>
      </w:r>
      <w:proofErr w:type="spellStart"/>
      <w:r>
        <w:rPr>
          <w:rtl/>
        </w:rPr>
        <w:t>בהלוסק</w:t>
      </w:r>
      <w:proofErr w:type="spellEnd"/>
      <w:r>
        <w:rPr>
          <w:rtl/>
        </w:rPr>
        <w:t xml:space="preserve"> – ועוד כמה תלמידים. שתינו תה ודיברנו על גדולי הדור. אחד אמר: ‘ר׳ שמעון </w:t>
      </w:r>
      <w:proofErr w:type="spellStart"/>
      <w:r>
        <w:rPr>
          <w:rtl/>
        </w:rPr>
        <w:t>שקופ</w:t>
      </w:r>
      <w:proofErr w:type="spellEnd"/>
      <w:r>
        <w:rPr>
          <w:rtl/>
        </w:rPr>
        <w:t xml:space="preserve">, איזו הסברה!’, ואחר אמר: ‘ר׳ </w:t>
      </w:r>
      <w:proofErr w:type="spellStart"/>
      <w:r>
        <w:rPr>
          <w:rtl/>
        </w:rPr>
        <w:t>דוד׳ל</w:t>
      </w:r>
      <w:proofErr w:type="spellEnd"/>
      <w:r>
        <w:rPr>
          <w:rtl/>
        </w:rPr>
        <w:t xml:space="preserve"> [</w:t>
      </w:r>
      <w:proofErr w:type="spellStart"/>
      <w:r>
        <w:rPr>
          <w:rtl/>
        </w:rPr>
        <w:t>קארלינער</w:t>
      </w:r>
      <w:proofErr w:type="spellEnd"/>
      <w:r>
        <w:rPr>
          <w:rtl/>
        </w:rPr>
        <w:t xml:space="preserve">], איזו עמקות!’ עד היום אני זוכר – ואין לי תירוץ לכך – איך התרומם הרבי במושבו, רקע במגפו ואמר: ‘גם אני מבין על למדן!’ נראה שר׳ </w:t>
      </w:r>
      <w:proofErr w:type="spellStart"/>
      <w:r>
        <w:rPr>
          <w:rtl/>
        </w:rPr>
        <w:t>ברוך־בער</w:t>
      </w:r>
      <w:proofErr w:type="spellEnd"/>
      <w:r>
        <w:rPr>
          <w:rtl/>
        </w:rPr>
        <w:t>, העניו, הצדיק ושומר הפה, הצטער על מה שהשתמע מדבריהם, שאין בו המעלות שייחסו תלמידיו לאחרים. כנראה אי אפשר לשקע לגמרי את האני</w:t>
      </w:r>
      <w:bookmarkStart w:id="2153" w:name="_fnr1356"/>
      <w:r>
        <w:rPr>
          <w:rStyle w:val="a5"/>
        </w:rPr>
        <w:footnoteReference w:id="1359" w:customMarkFollows="0"/>
      </w:r>
      <w:bookmarkEnd w:id="2153"/>
      <w:r>
        <w:rPr>
          <w:rtl/>
        </w:rPr>
        <w:t>.”</w:t>
      </w:r>
    </w:p>
    <w:bookmarkStart w:id="2154" w:name="b3_note134"/>
    <w:p w14:paraId="18C14DA9" w14:textId="62143660" w:rsidR="00AB3647" w:rsidRDefault="00000000" w:rsidP="007923E9">
      <w:pPr>
        <w:spacing w:before="120" w:after="100" w:line="276" w:lineRule="auto"/>
        <w:jc w:val="both"/>
      </w:pPr>
      <w:r>
        <w:lastRenderedPageBreak/>
        <w:fldChar w:fldCharType="begin" w:dirty="true"/>
      </w:r>
      <w:r>
        <w:instrText>HYPERLINK \l "b3_ref134"</w:instrText>
      </w:r>
      <w:r>
        <w:fldChar w:fldCharType="separate"/>
      </w:r>
      <w:r>
        <w:rPr>
          <w:b/>
          <w:bCs/>
          <w:rtl/>
        </w:rPr>
        <w:t>134</w:t>
      </w:r>
      <w:r>
        <w:rPr>
          <w:b/>
          <w:bCs/>
        </w:rPr>
        <w:fldChar w:fldCharType="end"/>
      </w:r>
      <w:bookmarkEnd w:id="2154"/>
      <w:r>
        <w:rPr>
          <w:rtl/>
        </w:rPr>
        <w:t xml:space="preserve"> השווה פרק 2, </w:t>
      </w:r>
      <w:r>
        <w:rPr>
          <w:rtl/>
        </w:rPr>
        <w:fldChar w:fldCharType="begin" w:dirty="true"/>
      </w:r>
      <w:r>
        <w:rPr>
          <w:rtl/>
        </w:rPr>
        <w:instrText xml:space="preserve"> REF b2_excF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לפי </w:t>
      </w:r>
      <w:proofErr w:type="spellStart"/>
      <w:r>
        <w:rPr>
          <w:rtl/>
        </w:rPr>
        <w:t>דבורץ</w:t>
      </w:r>
      <w:proofErr w:type="spellEnd"/>
      <w:r>
        <w:rPr>
          <w:rtl/>
        </w:rPr>
        <w:t>, “הגאון רבי משה מרדכי אפשטיין”</w:t>
      </w:r>
      <w:bookmarkStart w:id="2155" w:name="_fnr1357"/>
      <w:r>
        <w:rPr>
          <w:rStyle w:val="a5"/>
        </w:rPr>
        <w:footnoteReference w:id="1360" w:customMarkFollows="0"/>
      </w:r>
      <w:bookmarkEnd w:id="2155"/>
      <w:r>
        <w:rPr>
          <w:rtl/>
        </w:rPr>
        <w:t xml:space="preserve">, בצירוף מקרים, עוד לפני מינויו של ר׳ </w:t>
      </w:r>
      <w:proofErr w:type="spellStart"/>
      <w:r>
        <w:rPr>
          <w:rtl/>
        </w:rPr>
        <w:t>ברוך־בער</w:t>
      </w:r>
      <w:proofErr w:type="spellEnd"/>
      <w:r>
        <w:rPr>
          <w:rtl/>
        </w:rPr>
        <w:t xml:space="preserve"> לכנסת בית יצחק הצטרפו לכנסת ישראל “רבים מבוגרי </w:t>
      </w:r>
      <w:proofErr w:type="spellStart"/>
      <w:r>
        <w:rPr>
          <w:rtl/>
        </w:rPr>
        <w:t>ה‘קיבוץ</w:t>
      </w:r>
      <w:proofErr w:type="spellEnd"/>
      <w:r>
        <w:rPr>
          <w:rtl/>
        </w:rPr>
        <w:t xml:space="preserve">’ (שלו) </w:t>
      </w:r>
      <w:proofErr w:type="spellStart"/>
      <w:r>
        <w:rPr>
          <w:rtl/>
        </w:rPr>
        <w:t>בהלוסק</w:t>
      </w:r>
      <w:proofErr w:type="spellEnd"/>
      <w:r>
        <w:rPr>
          <w:rtl/>
        </w:rPr>
        <w:t>”</w:t>
      </w:r>
      <w:bookmarkStart w:id="2156" w:name="_fnr1358"/>
      <w:r>
        <w:rPr>
          <w:rStyle w:val="a5"/>
        </w:rPr>
        <w:footnoteReference w:id="1361" w:customMarkFollows="0"/>
      </w:r>
      <w:bookmarkEnd w:id="2156"/>
      <w:r>
        <w:rPr>
          <w:rtl/>
        </w:rPr>
        <w:t xml:space="preserve">. ייתכן שתלמידיו הקודמים של ר׳ </w:t>
      </w:r>
      <w:proofErr w:type="spellStart"/>
      <w:r>
        <w:rPr>
          <w:rtl/>
        </w:rPr>
        <w:t>ברוך־בער</w:t>
      </w:r>
      <w:proofErr w:type="spellEnd"/>
      <w:r>
        <w:rPr>
          <w:rtl/>
        </w:rPr>
        <w:t xml:space="preserve"> הם שהפיצו את שם רבם האהוב, ועוררו בחבריהם, תלמידי כנסת ישראל, את הרצון לשמוע את שיעוריו כשהגיע לעירם. מובן שכשעבר ר׳ </w:t>
      </w:r>
      <w:proofErr w:type="spellStart"/>
      <w:r>
        <w:rPr>
          <w:rtl/>
        </w:rPr>
        <w:t>ברוך־בער</w:t>
      </w:r>
      <w:proofErr w:type="spellEnd"/>
      <w:r>
        <w:rPr>
          <w:rtl/>
        </w:rPr>
        <w:t xml:space="preserve"> </w:t>
      </w:r>
      <w:proofErr w:type="spellStart"/>
      <w:r>
        <w:rPr>
          <w:rtl/>
        </w:rPr>
        <w:t>לסלבודקה</w:t>
      </w:r>
      <w:proofErr w:type="spellEnd"/>
      <w:r>
        <w:rPr>
          <w:rtl/>
        </w:rPr>
        <w:t xml:space="preserve">, הביא עמו תלמידים שנשארו ללמוד אצלו </w:t>
      </w:r>
      <w:proofErr w:type="spellStart"/>
      <w:r>
        <w:rPr>
          <w:rtl/>
        </w:rPr>
        <w:t>בהלוסק</w:t>
      </w:r>
      <w:proofErr w:type="spellEnd"/>
      <w:r>
        <w:rPr>
          <w:rtl/>
        </w:rPr>
        <w:t>.</w:t>
      </w:r>
    </w:p>
    <w:p w14:paraId="4ACD1393" w14:textId="3C76DB9D" w:rsidR="00AB3647" w:rsidRDefault="00000000" w:rsidP="007923E9">
      <w:pPr>
        <w:spacing w:before="120" w:after="100" w:line="276" w:lineRule="auto"/>
        <w:jc w:val="both"/>
      </w:pPr>
      <w:r>
        <w:rPr>
          <w:rtl/>
        </w:rPr>
        <w:t xml:space="preserve">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2157" w:name="_fnr1359"/>
      <w:r>
        <w:rPr>
          <w:rStyle w:val="a5"/>
        </w:rPr>
        <w:footnoteReference w:id="1362" w:customMarkFollows="0"/>
      </w:r>
      <w:bookmarkEnd w:id="2157"/>
      <w:r>
        <w:rPr>
          <w:rtl/>
        </w:rPr>
        <w:t xml:space="preserve"> מתאר כך את בואם, ואת קבלת הפנים שזכו לה מן התלמידים הוותיקים בכנסת בית יצחק: “כשבא ר׳ </w:t>
      </w:r>
      <w:proofErr w:type="spellStart"/>
      <w:r>
        <w:rPr>
          <w:rtl/>
        </w:rPr>
        <w:t>ברוך־בער</w:t>
      </w:r>
      <w:proofErr w:type="spellEnd"/>
      <w:r>
        <w:rPr>
          <w:rtl/>
        </w:rPr>
        <w:t xml:space="preserve"> </w:t>
      </w:r>
      <w:proofErr w:type="spellStart"/>
      <w:r>
        <w:rPr>
          <w:rtl/>
        </w:rPr>
        <w:t>מהלוסק</w:t>
      </w:r>
      <w:proofErr w:type="spellEnd"/>
      <w:r>
        <w:rPr>
          <w:rtl/>
        </w:rPr>
        <w:t xml:space="preserve"> </w:t>
      </w:r>
      <w:proofErr w:type="spellStart"/>
      <w:r>
        <w:rPr>
          <w:rtl/>
        </w:rPr>
        <w:t>לסלבודקה</w:t>
      </w:r>
      <w:proofErr w:type="spellEnd"/>
      <w:r>
        <w:rPr>
          <w:rtl/>
        </w:rPr>
        <w:t>, הביא עמו קבוצה ממיטב תלמידיו. הם לבשו בלויי סחבות ונחשבו בעינינו לכפריים שאין בהם שמץ תרבות, ואילו אנו, תלמידי כנסת בית יצחק, התפארנו בתחכום. על מה התבססה גאוותנו איני יודע. הכינוי ‘</w:t>
      </w:r>
      <w:proofErr w:type="spellStart"/>
      <w:r>
        <w:rPr>
          <w:rtl/>
        </w:rPr>
        <w:t>הלוסקר</w:t>
      </w:r>
      <w:proofErr w:type="spellEnd"/>
      <w:r>
        <w:rPr>
          <w:rtl/>
        </w:rPr>
        <w:t xml:space="preserve">’ היה מעין כינוי גנאי, </w:t>
      </w:r>
      <w:proofErr w:type="spellStart"/>
      <w:r>
        <w:rPr>
          <w:rtl/>
        </w:rPr>
        <w:t>ומשום־מה</w:t>
      </w:r>
      <w:proofErr w:type="spellEnd"/>
      <w:r>
        <w:rPr>
          <w:rtl/>
        </w:rPr>
        <w:t xml:space="preserve"> הטיל עלינו אימה. לאמיתו של דבר, שחצנותנו הייתה ריקנית. </w:t>
      </w:r>
      <w:proofErr w:type="spellStart"/>
      <w:r>
        <w:rPr>
          <w:rtl/>
        </w:rPr>
        <w:t>באכסניה</w:t>
      </w:r>
      <w:proofErr w:type="spellEnd"/>
      <w:r>
        <w:rPr>
          <w:rtl/>
        </w:rPr>
        <w:t xml:space="preserve"> של ריבה רייז</w:t>
      </w:r>
      <w:bookmarkStart w:id="2158" w:name="_fnr1360"/>
      <w:r>
        <w:rPr>
          <w:rStyle w:val="a5"/>
        </w:rPr>
        <w:footnoteReference w:id="1363" w:customMarkFollows="0"/>
      </w:r>
      <w:bookmarkEnd w:id="2158"/>
      <w:r>
        <w:rPr>
          <w:rtl/>
        </w:rPr>
        <w:t xml:space="preserve">, שבה התגוררתי, היו גם כמה בחורים </w:t>
      </w:r>
      <w:proofErr w:type="spellStart"/>
      <w:r>
        <w:rPr>
          <w:rtl/>
        </w:rPr>
        <w:t>מהלוסק</w:t>
      </w:r>
      <w:proofErr w:type="spellEnd"/>
      <w:r>
        <w:rPr>
          <w:rtl/>
        </w:rPr>
        <w:t xml:space="preserve">; וכשהכרתים מקרוב מצאתים תמימים וישרים, יראי שמים באמת, שלא פסק פיהם </w:t>
      </w:r>
      <w:proofErr w:type="spellStart"/>
      <w:r>
        <w:rPr>
          <w:rtl/>
        </w:rPr>
        <w:t>מגירסא</w:t>
      </w:r>
      <w:bookmarkStart w:id="2159" w:name="_fnr1361"/>
      <w:proofErr w:type="spellEnd"/>
      <w:r>
        <w:rPr>
          <w:rStyle w:val="a5"/>
        </w:rPr>
        <w:footnoteReference w:id="1364" w:customMarkFollows="0"/>
      </w:r>
      <w:bookmarkEnd w:id="2159"/>
      <w:r>
        <w:rPr>
          <w:rtl/>
        </w:rPr>
        <w:t>.” גורדון, המתנגד למוסר</w:t>
      </w:r>
      <w:bookmarkStart w:id="2160" w:name="_fnr1362"/>
      <w:r>
        <w:rPr>
          <w:rStyle w:val="a5"/>
        </w:rPr>
        <w:footnoteReference w:id="1365" w:customMarkFollows="0"/>
      </w:r>
      <w:bookmarkEnd w:id="2160"/>
      <w:r>
        <w:rPr>
          <w:rtl/>
        </w:rPr>
        <w:t>, מוסיף את המשפט הבא: “גם הם התנגדו לתנועת המוסר בכל כוחם; העיסוק העיקרי בעיניהם היה גמרא.” אבל השווה הפסקה השלישית ב</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 xml:space="preserve"> להלן.</w:t>
      </w:r>
    </w:p>
    <w:p w14:paraId="3874DDAC" w14:textId="77777777" w:rsidR="00AB3647" w:rsidRDefault="00000000" w:rsidP="007923E9">
      <w:pPr>
        <w:spacing w:before="120" w:after="100" w:line="276" w:lineRule="auto"/>
        <w:jc w:val="both"/>
      </w:pPr>
      <w:r>
        <w:rPr>
          <w:rtl/>
        </w:rPr>
        <w:t xml:space="preserve">ר׳ אשר </w:t>
      </w:r>
      <w:proofErr w:type="spellStart"/>
      <w:r>
        <w:rPr>
          <w:rtl/>
        </w:rPr>
        <w:t>צ׳צ׳יק</w:t>
      </w:r>
      <w:bookmarkStart w:id="2161" w:name="_fnr1363"/>
      <w:proofErr w:type="spellEnd"/>
      <w:r>
        <w:rPr>
          <w:rStyle w:val="a5"/>
        </w:rPr>
        <w:footnoteReference w:id="1366" w:customMarkFollows="0"/>
      </w:r>
      <w:bookmarkEnd w:id="2161"/>
      <w:r>
        <w:rPr>
          <w:rtl/>
        </w:rPr>
        <w:t xml:space="preserve"> סיפר בשם תלמיד של ר׳ </w:t>
      </w:r>
      <w:proofErr w:type="spellStart"/>
      <w:r>
        <w:rPr>
          <w:rtl/>
        </w:rPr>
        <w:t>ברוך־בער</w:t>
      </w:r>
      <w:proofErr w:type="spellEnd"/>
      <w:r>
        <w:rPr>
          <w:rtl/>
        </w:rPr>
        <w:t xml:space="preserve"> </w:t>
      </w:r>
      <w:proofErr w:type="spellStart"/>
      <w:r>
        <w:rPr>
          <w:rtl/>
        </w:rPr>
        <w:t>מהלוסק</w:t>
      </w:r>
      <w:proofErr w:type="spellEnd"/>
      <w:r>
        <w:rPr>
          <w:rtl/>
        </w:rPr>
        <w:t xml:space="preserve"> שהיו אומרים שם: “בעירנו גם העיזים</w:t>
      </w:r>
      <w:bookmarkStart w:id="2162" w:name="_fnr1364"/>
      <w:r>
        <w:rPr>
          <w:rStyle w:val="a5"/>
        </w:rPr>
        <w:footnoteReference w:id="1367" w:customMarkFollows="0"/>
      </w:r>
      <w:bookmarkEnd w:id="2162"/>
      <w:r>
        <w:rPr>
          <w:rtl/>
        </w:rPr>
        <w:t xml:space="preserve"> ‘מדברות בלימוד’ עם הרב.” ר׳ אשר עצמו זכר את ר׳ </w:t>
      </w:r>
      <w:proofErr w:type="spellStart"/>
      <w:r>
        <w:rPr>
          <w:rtl/>
        </w:rPr>
        <w:t>ברוך־בער</w:t>
      </w:r>
      <w:proofErr w:type="spellEnd"/>
      <w:r>
        <w:rPr>
          <w:rtl/>
        </w:rPr>
        <w:t xml:space="preserve"> מתקופה מאוחרת יותר, והעיד שכאשר “אמר תורה”, אפילו סוסים רתומים לא היו יכולים למשוך אותו משם.</w:t>
      </w:r>
    </w:p>
    <w:bookmarkStart w:id="2163" w:name="b3_note135"/>
    <w:p w14:paraId="7668DF35" w14:textId="77777777" w:rsidR="00AB3647" w:rsidRDefault="00000000" w:rsidP="007923E9">
      <w:pPr>
        <w:spacing w:before="120" w:after="100" w:line="276" w:lineRule="auto"/>
        <w:jc w:val="both"/>
      </w:pPr>
      <w:r>
        <w:fldChar w:fldCharType="begin" w:dirty="true"/>
      </w:r>
      <w:r>
        <w:instrText>HYPERLINK \l "b3_ref135"</w:instrText>
      </w:r>
      <w:r>
        <w:fldChar w:fldCharType="separate"/>
      </w:r>
      <w:r>
        <w:rPr>
          <w:b/>
          <w:bCs/>
          <w:rtl/>
        </w:rPr>
        <w:t>135</w:t>
      </w:r>
      <w:r>
        <w:rPr>
          <w:b/>
          <w:bCs/>
        </w:rPr>
        <w:fldChar w:fldCharType="end"/>
      </w:r>
      <w:bookmarkEnd w:id="2163"/>
      <w:r>
        <w:rPr>
          <w:rtl/>
        </w:rPr>
        <w:t xml:space="preserve"> השווה “ר׳ ברוך בר”</w:t>
      </w:r>
      <w:bookmarkStart w:id="2164" w:name="_fnr1365"/>
      <w:r>
        <w:rPr>
          <w:rStyle w:val="a5"/>
        </w:rPr>
        <w:footnoteReference w:id="1368" w:customMarkFollows="0"/>
      </w:r>
      <w:bookmarkEnd w:id="2164"/>
      <w:r>
        <w:rPr>
          <w:rtl/>
        </w:rPr>
        <w:t>, ושם מובאים דברי “תלמיד חכם גדול” ששמו אינו נזכר: “</w:t>
      </w:r>
      <w:proofErr w:type="spellStart"/>
      <w:r>
        <w:rPr>
          <w:rtl/>
        </w:rPr>
        <w:t>לר</w:t>
      </w:r>
      <w:proofErr w:type="spellEnd"/>
      <w:r>
        <w:rPr>
          <w:rtl/>
        </w:rPr>
        <w:t xml:space="preserve">׳ </w:t>
      </w:r>
      <w:proofErr w:type="spellStart"/>
      <w:r>
        <w:rPr>
          <w:rtl/>
        </w:rPr>
        <w:t>ברוך־בער</w:t>
      </w:r>
      <w:proofErr w:type="spellEnd"/>
      <w:r>
        <w:rPr>
          <w:rtl/>
        </w:rPr>
        <w:t xml:space="preserve"> הראש הטוב ביותר </w:t>
      </w:r>
      <w:r>
        <w:rPr>
          <w:b/>
          <w:bCs/>
          <w:rtl/>
        </w:rPr>
        <w:t>לשמוע</w:t>
      </w:r>
      <w:bookmarkStart w:id="2165" w:name="_fnr1366"/>
      <w:r>
        <w:rPr>
          <w:rStyle w:val="a5"/>
        </w:rPr>
        <w:footnoteReference w:id="1369" w:customMarkFollows="0"/>
      </w:r>
      <w:bookmarkEnd w:id="2165"/>
      <w:r>
        <w:rPr>
          <w:rtl/>
        </w:rPr>
        <w:t xml:space="preserve"> מה שתלמיד מחדש בלימודו.” ר׳ עזרא </w:t>
      </w:r>
      <w:proofErr w:type="spellStart"/>
      <w:r>
        <w:rPr>
          <w:rtl/>
        </w:rPr>
        <w:t>נויברגר</w:t>
      </w:r>
      <w:bookmarkStart w:id="2166" w:name="_fnr1367"/>
      <w:proofErr w:type="spellEnd"/>
      <w:r>
        <w:rPr>
          <w:rStyle w:val="a5"/>
        </w:rPr>
        <w:footnoteReference w:id="1370" w:customMarkFollows="0"/>
      </w:r>
      <w:bookmarkEnd w:id="2166"/>
      <w:r>
        <w:rPr>
          <w:rtl/>
        </w:rPr>
        <w:t xml:space="preserve"> סיפר שאבי אמר: “ספר ‘ברכת שמואל’, שנדפס </w:t>
      </w:r>
      <w:proofErr w:type="spellStart"/>
      <w:r>
        <w:rPr>
          <w:rtl/>
        </w:rPr>
        <w:t>בת״ש</w:t>
      </w:r>
      <w:proofErr w:type="spellEnd"/>
      <w:r>
        <w:rPr>
          <w:rtl/>
        </w:rPr>
        <w:t xml:space="preserve">, אולי קשה להבנה, אבל מחברו היה בעל ההסברה הטוב ביותר בין כל ראשי הישיבה בדורו.” מסתבר שההסברה, מעלה שתפסה </w:t>
      </w:r>
      <w:r>
        <w:rPr>
          <w:rtl/>
        </w:rPr>
        <w:lastRenderedPageBreak/>
        <w:t xml:space="preserve">מקום חשוב אצל ר׳ חיים, הייתה מן התכונות שאימץ ר׳ </w:t>
      </w:r>
      <w:proofErr w:type="spellStart"/>
      <w:r>
        <w:rPr>
          <w:rtl/>
        </w:rPr>
        <w:t>ברוך־בער</w:t>
      </w:r>
      <w:proofErr w:type="spellEnd"/>
      <w:r>
        <w:rPr>
          <w:rtl/>
        </w:rPr>
        <w:t xml:space="preserve"> מרבו</w:t>
      </w:r>
      <w:bookmarkStart w:id="2167" w:name="_fnr1368"/>
      <w:r>
        <w:rPr>
          <w:rStyle w:val="a5"/>
        </w:rPr>
        <w:footnoteReference w:id="1371" w:customMarkFollows="0"/>
      </w:r>
      <w:bookmarkEnd w:id="2167"/>
      <w:r>
        <w:rPr>
          <w:rtl/>
        </w:rPr>
        <w:t xml:space="preserve">. ומנגד, ייתכן </w:t>
      </w:r>
      <w:proofErr w:type="spellStart"/>
      <w:r>
        <w:rPr>
          <w:rtl/>
        </w:rPr>
        <w:t>ש“עטו</w:t>
      </w:r>
      <w:proofErr w:type="spellEnd"/>
      <w:r>
        <w:rPr>
          <w:rtl/>
        </w:rPr>
        <w:t xml:space="preserve"> הקשה” של ר׳ </w:t>
      </w:r>
      <w:proofErr w:type="spellStart"/>
      <w:r>
        <w:rPr>
          <w:rtl/>
        </w:rPr>
        <w:t>ברוך־בער</w:t>
      </w:r>
      <w:proofErr w:type="spellEnd"/>
      <w:r>
        <w:rPr>
          <w:rtl/>
        </w:rPr>
        <w:t xml:space="preserve"> הוא גם כן מעין חיקוי גולמי של “הלשון החדשה” שיצר ר׳ חיים בספרו “חידושי רבנו חיים הלוי”, שיצא </w:t>
      </w:r>
      <w:r>
        <w:rPr>
          <w:b/>
          <w:bCs/>
          <w:rtl/>
        </w:rPr>
        <w:t>ארבע שנים לפני</w:t>
      </w:r>
      <w:r>
        <w:rPr>
          <w:rtl/>
        </w:rPr>
        <w:t xml:space="preserve"> “ברכת שמואל”</w:t>
      </w:r>
      <w:bookmarkStart w:id="2168" w:name="_fnr1369"/>
      <w:r>
        <w:rPr>
          <w:rStyle w:val="a5"/>
        </w:rPr>
        <w:footnoteReference w:id="1372" w:customMarkFollows="0"/>
      </w:r>
      <w:bookmarkEnd w:id="2168"/>
      <w:r>
        <w:rPr>
          <w:rtl/>
        </w:rPr>
        <w:t>.</w:t>
      </w:r>
    </w:p>
    <w:p w14:paraId="3047D849" w14:textId="77777777" w:rsidR="00AB3647" w:rsidRDefault="00000000" w:rsidP="007923E9">
      <w:pPr>
        <w:spacing w:before="120" w:after="100" w:line="276" w:lineRule="auto"/>
        <w:jc w:val="both"/>
      </w:pPr>
      <w:r>
        <w:rPr>
          <w:rtl/>
        </w:rPr>
        <w:t xml:space="preserve">ר׳ </w:t>
      </w:r>
      <w:proofErr w:type="spellStart"/>
      <w:r>
        <w:rPr>
          <w:rtl/>
        </w:rPr>
        <w:t>משה־אהרן</w:t>
      </w:r>
      <w:proofErr w:type="spellEnd"/>
      <w:r>
        <w:rPr>
          <w:rtl/>
        </w:rPr>
        <w:t xml:space="preserve"> שטרן סיפר</w:t>
      </w:r>
      <w:bookmarkStart w:id="2169" w:name="_fnr1370"/>
      <w:r>
        <w:rPr>
          <w:rStyle w:val="a5"/>
        </w:rPr>
        <w:footnoteReference w:id="1373" w:customMarkFollows="0"/>
      </w:r>
      <w:bookmarkEnd w:id="2169"/>
      <w:r>
        <w:rPr>
          <w:rtl/>
        </w:rPr>
        <w:t xml:space="preserve"> שר׳ </w:t>
      </w:r>
      <w:proofErr w:type="spellStart"/>
      <w:r>
        <w:rPr>
          <w:rtl/>
        </w:rPr>
        <w:t>ברוך־בער</w:t>
      </w:r>
      <w:proofErr w:type="spellEnd"/>
      <w:r>
        <w:rPr>
          <w:rtl/>
        </w:rPr>
        <w:t xml:space="preserve"> קרא קריאת שמע כדרך ר׳ חיים, כלומר חזר על מילים, שמא לא הוציא את המילה כהלכה בפעם הראשונה</w:t>
      </w:r>
      <w:bookmarkStart w:id="2170" w:name="_fnr1371"/>
      <w:r>
        <w:rPr>
          <w:rStyle w:val="a5"/>
        </w:rPr>
        <w:footnoteReference w:id="1374" w:customMarkFollows="0"/>
      </w:r>
      <w:bookmarkEnd w:id="2170"/>
      <w:r>
        <w:rPr>
          <w:rtl/>
        </w:rPr>
        <w:t>. “</w:t>
      </w:r>
      <w:proofErr w:type="spellStart"/>
      <w:r>
        <w:rPr>
          <w:rtl/>
        </w:rPr>
        <w:t>ובבריסק</w:t>
      </w:r>
      <w:proofErr w:type="spellEnd"/>
      <w:r>
        <w:rPr>
          <w:rtl/>
        </w:rPr>
        <w:t xml:space="preserve"> [משפחת </w:t>
      </w:r>
      <w:proofErr w:type="spellStart"/>
      <w:r>
        <w:rPr>
          <w:rtl/>
        </w:rPr>
        <w:t>סולובייצ׳יק</w:t>
      </w:r>
      <w:proofErr w:type="spellEnd"/>
      <w:r>
        <w:rPr>
          <w:rtl/>
        </w:rPr>
        <w:t xml:space="preserve"> בירושלים]”, אמר ר׳ </w:t>
      </w:r>
      <w:proofErr w:type="spellStart"/>
      <w:r>
        <w:rPr>
          <w:rtl/>
        </w:rPr>
        <w:t>משה־אהרן</w:t>
      </w:r>
      <w:proofErr w:type="spellEnd"/>
      <w:r>
        <w:rPr>
          <w:rtl/>
        </w:rPr>
        <w:t xml:space="preserve">, “מספרים שר׳ חיים ראה פעם את ר׳ </w:t>
      </w:r>
      <w:proofErr w:type="spellStart"/>
      <w:r>
        <w:rPr>
          <w:rtl/>
        </w:rPr>
        <w:t>ברוך־בער</w:t>
      </w:r>
      <w:proofErr w:type="spellEnd"/>
      <w:r>
        <w:rPr>
          <w:rtl/>
        </w:rPr>
        <w:t xml:space="preserve"> קורא כך קריאת שמע, ואמר לו: ‘די, כבר די!’” נראה שבניסיון לחקות את רבו עבר ר׳ </w:t>
      </w:r>
      <w:proofErr w:type="spellStart"/>
      <w:r>
        <w:rPr>
          <w:rtl/>
        </w:rPr>
        <w:t>ברוך־בער</w:t>
      </w:r>
      <w:proofErr w:type="spellEnd"/>
      <w:r>
        <w:rPr>
          <w:rtl/>
        </w:rPr>
        <w:t xml:space="preserve"> את המידה, ור׳ חיים לא היה מרוצה מכך. השווה גם “עובדות והנהגות לבית </w:t>
      </w:r>
      <w:proofErr w:type="spellStart"/>
      <w:r>
        <w:rPr>
          <w:rtl/>
        </w:rPr>
        <w:t>בריסק</w:t>
      </w:r>
      <w:proofErr w:type="spellEnd"/>
      <w:r>
        <w:rPr>
          <w:rtl/>
        </w:rPr>
        <w:t>”</w:t>
      </w:r>
      <w:bookmarkStart w:id="2171" w:name="_fnr1372"/>
      <w:r>
        <w:rPr>
          <w:rStyle w:val="a5"/>
        </w:rPr>
        <w:footnoteReference w:id="1375" w:customMarkFollows="0"/>
      </w:r>
      <w:bookmarkEnd w:id="2171"/>
      <w:r>
        <w:rPr>
          <w:rtl/>
        </w:rPr>
        <w:t>, שר׳ חיים לא תמך בחיקויו של שום אדם, אפילו של אביו, שאותו החשיב לאחד מארבעה מעין ראשונים</w:t>
      </w:r>
      <w:bookmarkStart w:id="2172" w:name="_fnr1373"/>
      <w:r>
        <w:rPr>
          <w:rStyle w:val="a5"/>
        </w:rPr>
        <w:footnoteReference w:id="1376" w:customMarkFollows="0"/>
      </w:r>
      <w:bookmarkEnd w:id="2172"/>
      <w:r>
        <w:rPr>
          <w:rtl/>
        </w:rPr>
        <w:t xml:space="preserve">. כך סיפר בנו של ר׳ חיים, ר׳ יצחק־זאב, על אביו: “אחרי גיל תשע או עשר, לא סבל ראשו את חיקוי אביו.”</w:t>
      </w:r>
    </w:p>
    <w:p w14:paraId="4F412EE0" w14:textId="77777777" w:rsidR="00AB3647" w:rsidRDefault="00000000" w:rsidP="007923E9">
      <w:pPr>
        <w:spacing w:before="120" w:after="100" w:line="276" w:lineRule="auto"/>
        <w:jc w:val="both"/>
      </w:pPr>
      <w:r>
        <w:rPr>
          <w:rtl/>
        </w:rPr>
        <w:t xml:space="preserve">לכאורה בניגוד להערכת אבי את כוח ההסברה של ר׳ </w:t>
      </w:r>
      <w:proofErr w:type="spellStart"/>
      <w:r>
        <w:rPr>
          <w:rtl/>
        </w:rPr>
        <w:t>ברוך־בער</w:t>
      </w:r>
      <w:proofErr w:type="spellEnd"/>
      <w:r>
        <w:rPr>
          <w:rtl/>
        </w:rPr>
        <w:t xml:space="preserve">, גילה ר׳ יעקב </w:t>
      </w:r>
      <w:proofErr w:type="spellStart"/>
      <w:r>
        <w:rPr>
          <w:rtl/>
        </w:rPr>
        <w:t>יופן</w:t>
      </w:r>
      <w:bookmarkStart w:id="2173" w:name="_fnr1374"/>
      <w:proofErr w:type="spellEnd"/>
      <w:r>
        <w:rPr>
          <w:rStyle w:val="a5"/>
        </w:rPr>
        <w:footnoteReference w:id="1377" w:customMarkFollows="0"/>
      </w:r>
      <w:bookmarkEnd w:id="2173"/>
      <w:r>
        <w:rPr>
          <w:rtl/>
        </w:rPr>
        <w:t xml:space="preserve"> שעוד בהיותם </w:t>
      </w:r>
      <w:proofErr w:type="spellStart"/>
      <w:r>
        <w:rPr>
          <w:rtl/>
        </w:rPr>
        <w:t>בהלוסק</w:t>
      </w:r>
      <w:proofErr w:type="spellEnd"/>
      <w:r>
        <w:rPr>
          <w:rtl/>
        </w:rPr>
        <w:t xml:space="preserve"> הציע פעם ר׳ אלתר </w:t>
      </w:r>
      <w:proofErr w:type="spellStart"/>
      <w:r>
        <w:rPr>
          <w:rtl/>
        </w:rPr>
        <w:t>שמואלביץ</w:t>
      </w:r>
      <w:proofErr w:type="spellEnd"/>
      <w:r>
        <w:rPr>
          <w:rtl/>
        </w:rPr>
        <w:t xml:space="preserve"> [לימים חתנו של ר׳ יוזל </w:t>
      </w:r>
      <w:proofErr w:type="spellStart"/>
      <w:r>
        <w:rPr>
          <w:rtl/>
        </w:rPr>
        <w:t>הורוויץ</w:t>
      </w:r>
      <w:proofErr w:type="spellEnd"/>
      <w:r>
        <w:rPr>
          <w:rtl/>
        </w:rPr>
        <w:t xml:space="preserve">, סבו של הרב </w:t>
      </w:r>
      <w:proofErr w:type="spellStart"/>
      <w:r>
        <w:rPr>
          <w:rtl/>
        </w:rPr>
        <w:t>יופן</w:t>
      </w:r>
      <w:proofErr w:type="spellEnd"/>
      <w:r>
        <w:rPr>
          <w:rtl/>
        </w:rPr>
        <w:t xml:space="preserve"> מצד </w:t>
      </w:r>
      <w:proofErr w:type="spellStart"/>
      <w:r>
        <w:rPr>
          <w:rtl/>
        </w:rPr>
        <w:t>אמו</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לנסח אחרת רעיון שביאר, כדי שיובן טוב יותר. השיב לו ר׳ </w:t>
      </w:r>
      <w:proofErr w:type="spellStart"/>
      <w:r>
        <w:rPr>
          <w:rtl/>
        </w:rPr>
        <w:t>ברוך־בער</w:t>
      </w:r>
      <w:proofErr w:type="spellEnd"/>
      <w:r>
        <w:rPr>
          <w:rtl/>
        </w:rPr>
        <w:t>: “איך לנסח מחשבה כדי שתובן על הצד הטוב ביותר – זו מתנה מיוחדת מאת הקב״ה, שלא ניתנה לי.”</w:t>
      </w:r>
    </w:p>
    <w:p w14:paraId="12B036B9" w14:textId="77777777" w:rsidR="00AB3647" w:rsidRDefault="00000000" w:rsidP="007923E9">
      <w:pPr>
        <w:spacing w:before="120" w:after="100" w:line="276" w:lineRule="auto"/>
        <w:jc w:val="both"/>
      </w:pPr>
      <w:r>
        <w:rPr>
          <w:rtl/>
        </w:rPr>
        <w:t xml:space="preserve">הרב </w:t>
      </w:r>
      <w:proofErr w:type="spellStart"/>
      <w:r>
        <w:rPr>
          <w:rtl/>
        </w:rPr>
        <w:t>יופן</w:t>
      </w:r>
      <w:proofErr w:type="spellEnd"/>
      <w:r>
        <w:rPr>
          <w:rtl/>
        </w:rPr>
        <w:t xml:space="preserve"> סבר שקשה לתפוס ולרדת לעומק דבריו של ר׳ </w:t>
      </w:r>
      <w:proofErr w:type="spellStart"/>
      <w:r>
        <w:rPr>
          <w:rtl/>
        </w:rPr>
        <w:t>ברוך־בער</w:t>
      </w:r>
      <w:proofErr w:type="spellEnd"/>
      <w:r>
        <w:rPr>
          <w:rtl/>
        </w:rPr>
        <w:t xml:space="preserve"> בעל פה כמו שקשה להבין את דבריו שבכתב. הוא הביא בשם ר׳ אליהו חזן, מתלמידיו המובהקים של ר׳ </w:t>
      </w:r>
      <w:proofErr w:type="spellStart"/>
      <w:r>
        <w:rPr>
          <w:rtl/>
        </w:rPr>
        <w:t>ברוך־בער</w:t>
      </w:r>
      <w:proofErr w:type="spellEnd"/>
      <w:r>
        <w:rPr>
          <w:rtl/>
        </w:rPr>
        <w:t xml:space="preserve">, שכאשר ציטט ר׳ </w:t>
      </w:r>
      <w:proofErr w:type="spellStart"/>
      <w:r>
        <w:rPr>
          <w:rtl/>
        </w:rPr>
        <w:t>ברוך־בער</w:t>
      </w:r>
      <w:proofErr w:type="spellEnd"/>
      <w:r>
        <w:rPr>
          <w:rtl/>
        </w:rPr>
        <w:t xml:space="preserve"> את חידושיו של ר׳ חיים </w:t>
      </w:r>
      <w:proofErr w:type="spellStart"/>
      <w:r>
        <w:rPr>
          <w:rtl/>
        </w:rPr>
        <w:t>סולובייצ׳יק</w:t>
      </w:r>
      <w:proofErr w:type="spellEnd"/>
      <w:r>
        <w:rPr>
          <w:rtl/>
        </w:rPr>
        <w:t xml:space="preserve"> הם היו מובנים היטב, וכשהביע את רעיונותיו שלו הם היו ברורים באותה מידה; רק כשמיזג את השניים נעשו הדברים מעורפלים</w:t>
      </w:r>
      <w:bookmarkStart w:id="2174" w:name="_fnr1375"/>
      <w:r>
        <w:rPr>
          <w:rStyle w:val="a5"/>
        </w:rPr>
        <w:footnoteReference w:id="1378" w:customMarkFollows="0"/>
      </w:r>
      <w:bookmarkEnd w:id="2174"/>
      <w:r>
        <w:rPr>
          <w:rtl/>
        </w:rPr>
        <w:t xml:space="preserve">. כדי ליישב את הערכת אבי עם סיפורו של הרב </w:t>
      </w:r>
      <w:proofErr w:type="spellStart"/>
      <w:r>
        <w:rPr>
          <w:rtl/>
        </w:rPr>
        <w:t>יופן</w:t>
      </w:r>
      <w:proofErr w:type="spellEnd"/>
      <w:r>
        <w:rPr>
          <w:rtl/>
        </w:rPr>
        <w:t xml:space="preserve"> אפשר לומר שרבנו התכוון לחלקי השיעור שבהם הביא ר׳ </w:t>
      </w:r>
      <w:proofErr w:type="spellStart"/>
      <w:r>
        <w:rPr>
          <w:rtl/>
        </w:rPr>
        <w:t>ברוך־בער</w:t>
      </w:r>
      <w:proofErr w:type="spellEnd"/>
      <w:r>
        <w:rPr>
          <w:rtl/>
        </w:rPr>
        <w:t xml:space="preserve"> את חידושו של ר׳ חיים ואת חידושו שלו בלי למזגם. השווה גם “עובדות והנהגות לבית </w:t>
      </w:r>
      <w:proofErr w:type="spellStart"/>
      <w:r>
        <w:rPr>
          <w:rtl/>
        </w:rPr>
        <w:t>בריסק</w:t>
      </w:r>
      <w:proofErr w:type="spellEnd"/>
      <w:r>
        <w:rPr>
          <w:rtl/>
        </w:rPr>
        <w:t>”</w:t>
      </w:r>
      <w:bookmarkStart w:id="2175" w:name="_fnr1376"/>
      <w:r>
        <w:rPr>
          <w:rStyle w:val="a5"/>
        </w:rPr>
        <w:footnoteReference w:id="1379" w:customMarkFollows="0"/>
      </w:r>
      <w:bookmarkEnd w:id="2175"/>
      <w:r>
        <w:rPr>
          <w:rtl/>
        </w:rPr>
        <w:t xml:space="preserve">: כמו אבי בתקופה מוקדמת יותר, גם ר׳ </w:t>
      </w:r>
      <w:proofErr w:type="spellStart"/>
      <w:r>
        <w:rPr>
          <w:rtl/>
        </w:rPr>
        <w:lastRenderedPageBreak/>
        <w:t>משולם־דוד</w:t>
      </w:r>
      <w:proofErr w:type="spellEnd"/>
      <w:r>
        <w:rPr>
          <w:rtl/>
        </w:rPr>
        <w:t xml:space="preserve"> </w:t>
      </w:r>
      <w:proofErr w:type="spellStart"/>
      <w:r>
        <w:rPr>
          <w:rtl/>
        </w:rPr>
        <w:t>סולובייצ׳יק</w:t>
      </w:r>
      <w:proofErr w:type="spellEnd"/>
      <w:r>
        <w:rPr>
          <w:rtl/>
        </w:rPr>
        <w:t xml:space="preserve"> לא מצא </w:t>
      </w:r>
      <w:proofErr w:type="spellStart"/>
      <w:r>
        <w:rPr>
          <w:rtl/>
        </w:rPr>
        <w:t>בתרצ״ט</w:t>
      </w:r>
      <w:proofErr w:type="spellEnd"/>
      <w:r>
        <w:rPr>
          <w:rtl/>
        </w:rPr>
        <w:t xml:space="preserve"> ששיעורי ר׳ </w:t>
      </w:r>
      <w:proofErr w:type="spellStart"/>
      <w:r>
        <w:rPr>
          <w:rtl/>
        </w:rPr>
        <w:t>ברוך־בער</w:t>
      </w:r>
      <w:proofErr w:type="spellEnd"/>
      <w:r>
        <w:rPr>
          <w:rtl/>
        </w:rPr>
        <w:t xml:space="preserve"> קשים להבנה, שלא כספרו “ברכת שמואל”.</w:t>
      </w:r>
    </w:p>
    <w:p w14:paraId="0D30078A" w14:textId="77777777" w:rsidR="00AB3647" w:rsidRDefault="00000000" w:rsidP="007923E9">
      <w:pPr>
        <w:spacing w:after="100" w:line="276" w:lineRule="auto"/>
        <w:ind w:firstLine="340"/>
        <w:jc w:val="both"/>
      </w:pPr>
      <w:r>
        <w:rPr>
          <w:rtl/>
        </w:rPr>
        <w:t xml:space="preserve">על כישרונו של ר׳ חיים בהסברה סיפר אבי שכאשר ירש ר׳ חיים את כיסא הרבנות של אביו המנוח </w:t>
      </w:r>
      <w:proofErr w:type="spellStart"/>
      <w:r>
        <w:rPr>
          <w:rtl/>
        </w:rPr>
        <w:t>בבריסק</w:t>
      </w:r>
      <w:proofErr w:type="spellEnd"/>
      <w:r>
        <w:rPr>
          <w:rtl/>
        </w:rPr>
        <w:t xml:space="preserve"> ונשא את דרשת הפלפול הראשונה שלו, נדהמו לומדי העיר לראות שבזכות הסברתו המופלאה</w:t>
      </w:r>
      <w:bookmarkStart w:id="2176" w:name="_fnr1377"/>
      <w:r>
        <w:rPr>
          <w:rStyle w:val="a5"/>
        </w:rPr>
        <w:footnoteReference w:id="1380" w:customMarkFollows="0"/>
      </w:r>
      <w:bookmarkEnd w:id="2176"/>
      <w:r>
        <w:rPr>
          <w:rtl/>
        </w:rPr>
        <w:t xml:space="preserve"> הבינו את דרשת הרב החדש אפילו הפחות מלומדים שבקהילה. לדברי רבנו: “ר׳ חיים סבר </w:t>
      </w:r>
      <w:proofErr w:type="spellStart"/>
      <w:r>
        <w:rPr>
          <w:rtl/>
        </w:rPr>
        <w:t>ש‘חיסרון</w:t>
      </w:r>
      <w:proofErr w:type="spellEnd"/>
      <w:r>
        <w:rPr>
          <w:rtl/>
        </w:rPr>
        <w:t xml:space="preserve"> בהסברה מעיד על חיסרון בהבנה של המדבר עצמו’</w:t>
      </w:r>
      <w:bookmarkStart w:id="2177" w:name="_fnr1378"/>
      <w:r>
        <w:rPr>
          <w:rStyle w:val="a5"/>
        </w:rPr>
        <w:footnoteReference w:id="1381" w:customMarkFollows="0"/>
      </w:r>
      <w:bookmarkEnd w:id="2177"/>
      <w:r>
        <w:rPr>
          <w:rtl/>
        </w:rPr>
        <w:t xml:space="preserve">.” השווה גם כרך 2, המביא את דברי ד״ר יעקב </w:t>
      </w:r>
      <w:proofErr w:type="spellStart"/>
      <w:r>
        <w:rPr>
          <w:rtl/>
        </w:rPr>
        <w:t>גרומר</w:t>
      </w:r>
      <w:proofErr w:type="spellEnd"/>
      <w:r>
        <w:rPr>
          <w:rtl/>
        </w:rPr>
        <w:t xml:space="preserve">, מתמטיקאי שלמד הן אצל ר׳ חיים </w:t>
      </w:r>
      <w:proofErr w:type="spellStart"/>
      <w:r>
        <w:rPr>
          <w:rtl/>
        </w:rPr>
        <w:t>סולובייצ׳יק</w:t>
      </w:r>
      <w:proofErr w:type="spellEnd"/>
      <w:r>
        <w:rPr>
          <w:rtl/>
        </w:rPr>
        <w:t xml:space="preserve"> והן אצל אלברט איינשטיין, על הסברתו של ר׳ חיים.</w:t>
      </w:r>
    </w:p>
    <w:p w14:paraId="069DF2AE" w14:textId="77777777" w:rsidR="00AB3647" w:rsidRDefault="00000000" w:rsidP="007923E9">
      <w:pPr>
        <w:spacing w:after="100" w:line="276" w:lineRule="auto"/>
        <w:ind w:firstLine="340"/>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2178" w:name="_fnr1379"/>
      <w:proofErr w:type="spellEnd"/>
      <w:r>
        <w:rPr>
          <w:rStyle w:val="a5"/>
        </w:rPr>
        <w:footnoteReference w:id="1382" w:customMarkFollows="0"/>
      </w:r>
      <w:bookmarkEnd w:id="2178"/>
      <w:r>
        <w:rPr>
          <w:rtl/>
        </w:rPr>
        <w:t xml:space="preserve"> סיפר שאבי כינה את התמדתו של ר׳ </w:t>
      </w:r>
      <w:proofErr w:type="spellStart"/>
      <w:r>
        <w:rPr>
          <w:rtl/>
        </w:rPr>
        <w:t>ברוך־בער</w:t>
      </w:r>
      <w:proofErr w:type="spellEnd"/>
      <w:r>
        <w:rPr>
          <w:rtl/>
        </w:rPr>
        <w:t xml:space="preserve"> “מפליאה”. הוא אמר את הדברים המעניינים האלה: “התמדתו של ר׳ </w:t>
      </w:r>
      <w:proofErr w:type="spellStart"/>
      <w:r>
        <w:rPr>
          <w:rtl/>
        </w:rPr>
        <w:t>ברוך־בער</w:t>
      </w:r>
      <w:proofErr w:type="spellEnd"/>
      <w:r>
        <w:rPr>
          <w:rtl/>
        </w:rPr>
        <w:t xml:space="preserve"> היא שמנעה ממלחמת העולם הראשונה להחריב את מקומות התורה.” גם לגבי מלחמת העולם השנייה יוחסה </w:t>
      </w:r>
      <w:proofErr w:type="spellStart"/>
      <w:r>
        <w:rPr>
          <w:rtl/>
        </w:rPr>
        <w:t>לר</w:t>
      </w:r>
      <w:proofErr w:type="spellEnd"/>
      <w:r>
        <w:rPr>
          <w:rtl/>
        </w:rPr>
        <w:t xml:space="preserve">׳ </w:t>
      </w:r>
      <w:proofErr w:type="spellStart"/>
      <w:r>
        <w:rPr>
          <w:rtl/>
        </w:rPr>
        <w:t>ברוך־בער</w:t>
      </w:r>
      <w:proofErr w:type="spellEnd"/>
      <w:r>
        <w:rPr>
          <w:rtl/>
        </w:rPr>
        <w:t xml:space="preserve"> זכות מסוימת: בהקדמת “חידושי </w:t>
      </w:r>
      <w:proofErr w:type="spellStart"/>
      <w:r>
        <w:rPr>
          <w:rtl/>
        </w:rPr>
        <w:t>הגר״ח</w:t>
      </w:r>
      <w:proofErr w:type="spellEnd"/>
      <w:r>
        <w:rPr>
          <w:rtl/>
        </w:rPr>
        <w:t xml:space="preserve"> השלם בסוגיות הש״ס”</w:t>
      </w:r>
      <w:bookmarkStart w:id="2179" w:name="_fnr1380"/>
      <w:r>
        <w:rPr>
          <w:rStyle w:val="a5"/>
        </w:rPr>
        <w:footnoteReference w:id="1383" w:customMarkFollows="0"/>
      </w:r>
      <w:bookmarkEnd w:id="2179"/>
      <w:r>
        <w:rPr>
          <w:rtl/>
        </w:rPr>
        <w:t xml:space="preserve"> מובאים דברי </w:t>
      </w:r>
      <w:proofErr w:type="spellStart"/>
      <w:r>
        <w:rPr>
          <w:rtl/>
        </w:rPr>
        <w:t>החזון־איש</w:t>
      </w:r>
      <w:proofErr w:type="spellEnd"/>
      <w:r>
        <w:rPr>
          <w:rtl/>
        </w:rPr>
        <w:t xml:space="preserve">: “כל זמן שהיה ר׳ </w:t>
      </w:r>
      <w:proofErr w:type="spellStart"/>
      <w:r>
        <w:rPr>
          <w:rtl/>
        </w:rPr>
        <w:t>ברוך־בער</w:t>
      </w:r>
      <w:proofErr w:type="spellEnd"/>
      <w:r>
        <w:rPr>
          <w:rtl/>
        </w:rPr>
        <w:t xml:space="preserve"> בחיים, לא יכול השטן הנאצי להזיק לעם ישראל, כי עמלו בלימוד התורה הגן כמגן על עם ה׳.” ר׳ </w:t>
      </w:r>
      <w:proofErr w:type="spellStart"/>
      <w:r>
        <w:rPr>
          <w:rtl/>
        </w:rPr>
        <w:t>ברוך־בער</w:t>
      </w:r>
      <w:proofErr w:type="spellEnd"/>
      <w:r>
        <w:rPr>
          <w:rtl/>
        </w:rPr>
        <w:t xml:space="preserve"> נפטר בכסלו ת״ש, חודשיים וחצי לאחר פרוץ מלחמת העולם השנייה.</w:t>
      </w:r>
    </w:p>
    <w:p w14:paraId="7473C3DE" w14:textId="77777777" w:rsidR="00AB3647" w:rsidRDefault="00000000" w:rsidP="007923E9">
      <w:pPr>
        <w:spacing w:after="100" w:line="276" w:lineRule="auto"/>
        <w:ind w:firstLine="340"/>
        <w:jc w:val="both"/>
      </w:pPr>
      <w:proofErr w:type="spellStart"/>
      <w:r>
        <w:rPr>
          <w:rtl/>
        </w:rPr>
        <w:t>ב“תורה</w:t>
      </w:r>
      <w:proofErr w:type="spellEnd"/>
      <w:r>
        <w:rPr>
          <w:rtl/>
        </w:rPr>
        <w:t xml:space="preserve"> יבקשו מפיהו”</w:t>
      </w:r>
      <w:bookmarkStart w:id="2180" w:name="_fnr1381"/>
      <w:r>
        <w:rPr>
          <w:rStyle w:val="a5"/>
        </w:rPr>
        <w:footnoteReference w:id="1384" w:customMarkFollows="0"/>
      </w:r>
      <w:bookmarkEnd w:id="2180"/>
      <w:r>
        <w:rPr>
          <w:rtl/>
        </w:rPr>
        <w:t xml:space="preserve"> מיוחס </w:t>
      </w:r>
      <w:proofErr w:type="spellStart"/>
      <w:r>
        <w:rPr>
          <w:rtl/>
        </w:rPr>
        <w:t>לר</w:t>
      </w:r>
      <w:proofErr w:type="spellEnd"/>
      <w:r>
        <w:rPr>
          <w:rtl/>
        </w:rPr>
        <w:t xml:space="preserve">׳ </w:t>
      </w:r>
      <w:proofErr w:type="spellStart"/>
      <w:r>
        <w:rPr>
          <w:rtl/>
        </w:rPr>
        <w:t>חיים־עוזר</w:t>
      </w:r>
      <w:proofErr w:type="spellEnd"/>
      <w:r>
        <w:rPr>
          <w:rtl/>
        </w:rPr>
        <w:t xml:space="preserve"> </w:t>
      </w:r>
      <w:proofErr w:type="spellStart"/>
      <w:r>
        <w:rPr>
          <w:rtl/>
        </w:rPr>
        <w:t>גרודזנסקי</w:t>
      </w:r>
      <w:proofErr w:type="spellEnd"/>
      <w:r>
        <w:rPr>
          <w:rtl/>
        </w:rPr>
        <w:t xml:space="preserve"> הקישור בין המלחמה לבין פטירת ר׳ </w:t>
      </w:r>
      <w:proofErr w:type="spellStart"/>
      <w:r>
        <w:rPr>
          <w:rtl/>
        </w:rPr>
        <w:t>ברוך־בער</w:t>
      </w:r>
      <w:proofErr w:type="spellEnd"/>
      <w:r>
        <w:rPr>
          <w:rtl/>
        </w:rPr>
        <w:t xml:space="preserve"> ור׳ שמעון </w:t>
      </w:r>
      <w:proofErr w:type="spellStart"/>
      <w:r>
        <w:rPr>
          <w:rtl/>
        </w:rPr>
        <w:t>שקופ</w:t>
      </w:r>
      <w:proofErr w:type="spellEnd"/>
      <w:r>
        <w:rPr>
          <w:rtl/>
        </w:rPr>
        <w:t xml:space="preserve">: “עם פטירתם נסתלקה הגנת העמילות בתורה של הדור, ואני חושש שהדרך לגרמנים הארורים פתוחה כעת.” ר׳ שמעון נפטר חודש לפני ר׳ </w:t>
      </w:r>
      <w:proofErr w:type="spellStart"/>
      <w:r>
        <w:rPr>
          <w:rtl/>
        </w:rPr>
        <w:t>ברוך־בער</w:t>
      </w:r>
      <w:proofErr w:type="spellEnd"/>
      <w:r>
        <w:rPr>
          <w:rtl/>
        </w:rPr>
        <w:t xml:space="preserve">, בחשוון ת״ש. אמירה דומה, בתוספת מעניינת יותר ופרדוקסלית, אמר ר׳ חיים </w:t>
      </w:r>
      <w:proofErr w:type="spellStart"/>
      <w:r>
        <w:rPr>
          <w:rtl/>
        </w:rPr>
        <w:t>סולובייצ׳יק</w:t>
      </w:r>
      <w:proofErr w:type="spellEnd"/>
      <w:r>
        <w:rPr>
          <w:rtl/>
        </w:rPr>
        <w:t xml:space="preserve"> [שנפטר </w:t>
      </w:r>
      <w:proofErr w:type="spellStart"/>
      <w:r>
        <w:rPr>
          <w:rtl/>
        </w:rPr>
        <w:t>בתרע״ח</w:t>
      </w:r>
      <w:proofErr w:type="spellEnd"/>
      <w:r>
        <w:rPr>
          <w:rtl/>
        </w:rPr>
        <w:t xml:space="preserve">] לפי ר׳ </w:t>
      </w:r>
      <w:proofErr w:type="spellStart"/>
      <w:r>
        <w:rPr>
          <w:rtl/>
        </w:rPr>
        <w:t>ברוך־בער</w:t>
      </w:r>
      <w:proofErr w:type="spellEnd"/>
      <w:r>
        <w:rPr>
          <w:rtl/>
        </w:rPr>
        <w:t xml:space="preserve">, כמסופר </w:t>
      </w:r>
      <w:proofErr w:type="spellStart"/>
      <w:r>
        <w:rPr>
          <w:rtl/>
        </w:rPr>
        <w:t>ב“תורת</w:t>
      </w:r>
      <w:proofErr w:type="spellEnd"/>
      <w:r>
        <w:rPr>
          <w:rtl/>
        </w:rPr>
        <w:t xml:space="preserve"> חיים”</w:t>
      </w:r>
      <w:bookmarkStart w:id="2181" w:name="_fnr1382"/>
      <w:r>
        <w:rPr>
          <w:rStyle w:val="a5"/>
        </w:rPr>
        <w:footnoteReference w:id="1385" w:customMarkFollows="0"/>
      </w:r>
      <w:bookmarkEnd w:id="2181"/>
      <w:r>
        <w:rPr>
          <w:rtl/>
        </w:rPr>
        <w:t>: “</w:t>
      </w:r>
      <w:proofErr w:type="spellStart"/>
      <w:r>
        <w:rPr>
          <w:rtl/>
        </w:rPr>
        <w:t>החפץ־חיים</w:t>
      </w:r>
      <w:proofErr w:type="spellEnd"/>
      <w:r>
        <w:rPr>
          <w:rtl/>
        </w:rPr>
        <w:t xml:space="preserve"> [בגאונותו וצדקותו הגדולות] הדיח את הצאר ניקולאי.” אלא שר׳ חיים הוסיף: “אבל מי יודע אם לא יקומו במקומו שליטים גרועים לאין שיעור?!” ר׳ </w:t>
      </w:r>
      <w:proofErr w:type="spellStart"/>
      <w:r>
        <w:rPr>
          <w:rtl/>
        </w:rPr>
        <w:t>חיים־עוזר</w:t>
      </w:r>
      <w:proofErr w:type="spellEnd"/>
      <w:r>
        <w:rPr>
          <w:rtl/>
        </w:rPr>
        <w:t xml:space="preserve"> נפטר שמונה חודשים לאחר ר׳ </w:t>
      </w:r>
      <w:proofErr w:type="spellStart"/>
      <w:r>
        <w:rPr>
          <w:rtl/>
        </w:rPr>
        <w:t>ברוך־בער</w:t>
      </w:r>
      <w:proofErr w:type="spellEnd"/>
      <w:r>
        <w:rPr>
          <w:rtl/>
        </w:rPr>
        <w:t>, באב ת״ש.</w:t>
      </w:r>
    </w:p>
    <w:bookmarkStart w:id="2182" w:name="b3_note136"/>
    <w:p w14:paraId="182E0081" w14:textId="36D3EE9A" w:rsidR="00AB3647" w:rsidRDefault="00000000" w:rsidP="007923E9">
      <w:pPr>
        <w:spacing w:before="120" w:after="100" w:line="276" w:lineRule="auto"/>
        <w:jc w:val="both"/>
      </w:pPr>
      <w:r>
        <w:fldChar w:fldCharType="begin" w:dirty="true"/>
      </w:r>
      <w:r>
        <w:instrText>HYPERLINK \l "b3_ref136"</w:instrText>
      </w:r>
      <w:r>
        <w:fldChar w:fldCharType="separate"/>
      </w:r>
      <w:r>
        <w:rPr>
          <w:b/>
          <w:bCs/>
          <w:rtl/>
        </w:rPr>
        <w:t>136</w:t>
      </w:r>
      <w:r>
        <w:rPr>
          <w:b/>
          <w:bCs/>
        </w:rPr>
        <w:fldChar w:fldCharType="end"/>
      </w:r>
      <w:bookmarkEnd w:id="2182"/>
      <w:r>
        <w:rPr>
          <w:rtl/>
        </w:rPr>
        <w:t xml:space="preserve"> ראה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w:t>
      </w:r>
    </w:p>
    <w:bookmarkStart w:id="2183" w:name="b3_note137"/>
    <w:p w14:paraId="37D61B39" w14:textId="77777777" w:rsidR="00AB3647" w:rsidRDefault="00000000" w:rsidP="007923E9">
      <w:pPr>
        <w:spacing w:before="120" w:after="100" w:line="276" w:lineRule="auto"/>
        <w:jc w:val="both"/>
      </w:pPr>
      <w:r>
        <w:fldChar w:fldCharType="begin" w:dirty="true"/>
      </w:r>
      <w:r>
        <w:instrText>HYPERLINK \l "b3_ref137"</w:instrText>
      </w:r>
      <w:r>
        <w:fldChar w:fldCharType="separate"/>
      </w:r>
      <w:r>
        <w:rPr>
          <w:b/>
          <w:bCs/>
          <w:rtl/>
        </w:rPr>
        <w:t>137</w:t>
      </w:r>
      <w:r>
        <w:rPr>
          <w:b/>
          <w:bCs/>
        </w:rPr>
        <w:fldChar w:fldCharType="end"/>
      </w:r>
      <w:bookmarkEnd w:id="2183"/>
      <w:r>
        <w:rPr>
          <w:rtl/>
        </w:rPr>
        <w:t xml:space="preserve"> אבי סיפר לנכדו של ר׳ </w:t>
      </w:r>
      <w:proofErr w:type="spellStart"/>
      <w:r>
        <w:rPr>
          <w:rtl/>
        </w:rPr>
        <w:t>ברוך־בער</w:t>
      </w:r>
      <w:proofErr w:type="spellEnd"/>
      <w:r>
        <w:rPr>
          <w:rtl/>
        </w:rPr>
        <w:t xml:space="preserve">, ר׳ חיים </w:t>
      </w:r>
      <w:proofErr w:type="spellStart"/>
      <w:r>
        <w:rPr>
          <w:rtl/>
        </w:rPr>
        <w:t>גרוזובסקי</w:t>
      </w:r>
      <w:bookmarkStart w:id="2184" w:name="_fnr1383"/>
      <w:proofErr w:type="spellEnd"/>
      <w:r>
        <w:rPr>
          <w:rStyle w:val="a5"/>
        </w:rPr>
        <w:footnoteReference w:id="1386" w:customMarkFollows="0"/>
      </w:r>
      <w:bookmarkEnd w:id="2184"/>
      <w:r>
        <w:rPr>
          <w:rtl/>
        </w:rPr>
        <w:t>, שבכל פעם שהזכיר סבו את שם רבו, הוסיף ברכה: “</w:t>
      </w:r>
      <w:proofErr w:type="spellStart"/>
      <w:r>
        <w:rPr>
          <w:rtl/>
        </w:rPr>
        <w:t>זאל</w:t>
      </w:r>
      <w:proofErr w:type="spellEnd"/>
      <w:r>
        <w:rPr>
          <w:rtl/>
        </w:rPr>
        <w:t xml:space="preserve"> </w:t>
      </w:r>
      <w:proofErr w:type="spellStart"/>
      <w:r>
        <w:rPr>
          <w:rtl/>
        </w:rPr>
        <w:t>געזונט</w:t>
      </w:r>
      <w:proofErr w:type="spellEnd"/>
      <w:r>
        <w:rPr>
          <w:rtl/>
        </w:rPr>
        <w:t xml:space="preserve"> זיין [שיהיה בריא]”. אם בלהט מסירת השיעור השמיט את הברכה, חזר אל המקום שבו הזכיר את רבו והוסיף ברכה מורחבת: “</w:t>
      </w:r>
      <w:proofErr w:type="spellStart"/>
      <w:r>
        <w:rPr>
          <w:rtl/>
        </w:rPr>
        <w:t>זאל</w:t>
      </w:r>
      <w:proofErr w:type="spellEnd"/>
      <w:r>
        <w:rPr>
          <w:rtl/>
        </w:rPr>
        <w:t xml:space="preserve"> </w:t>
      </w:r>
      <w:proofErr w:type="spellStart"/>
      <w:r>
        <w:rPr>
          <w:rtl/>
        </w:rPr>
        <w:t>געזונט</w:t>
      </w:r>
      <w:proofErr w:type="spellEnd"/>
      <w:r>
        <w:rPr>
          <w:rtl/>
        </w:rPr>
        <w:t xml:space="preserve"> און </w:t>
      </w:r>
      <w:proofErr w:type="spellStart"/>
      <w:r>
        <w:rPr>
          <w:b/>
          <w:bCs/>
          <w:rtl/>
        </w:rPr>
        <w:t>שטארק</w:t>
      </w:r>
      <w:proofErr w:type="spellEnd"/>
      <w:r>
        <w:rPr>
          <w:rtl/>
        </w:rPr>
        <w:t xml:space="preserve"> </w:t>
      </w:r>
      <w:r>
        <w:rPr>
          <w:rtl/>
        </w:rPr>
        <w:lastRenderedPageBreak/>
        <w:t>זיין [שיהיה בריא ו</w:t>
      </w:r>
      <w:r>
        <w:rPr>
          <w:b/>
          <w:bCs/>
          <w:rtl/>
        </w:rPr>
        <w:t>חזק</w:t>
      </w:r>
      <w:r>
        <w:rPr>
          <w:rtl/>
        </w:rPr>
        <w:t xml:space="preserve">]”. קשה לקבל את מה שסיפר ר׳ אשר </w:t>
      </w:r>
      <w:proofErr w:type="spellStart"/>
      <w:r>
        <w:rPr>
          <w:rtl/>
        </w:rPr>
        <w:t>קצמן</w:t>
      </w:r>
      <w:bookmarkStart w:id="2185" w:name="_fnr1384"/>
      <w:proofErr w:type="spellEnd"/>
      <w:r>
        <w:rPr>
          <w:rStyle w:val="a5"/>
        </w:rPr>
        <w:footnoteReference w:id="1387" w:customMarkFollows="0"/>
      </w:r>
      <w:bookmarkEnd w:id="2185"/>
      <w:r>
        <w:rPr>
          <w:rtl/>
        </w:rPr>
        <w:t xml:space="preserve"> בשם רבנו, שגם אחרי פטירת ר׳ חיים המשיך ר׳ </w:t>
      </w:r>
      <w:proofErr w:type="spellStart"/>
      <w:r>
        <w:rPr>
          <w:rtl/>
        </w:rPr>
        <w:t>ברוך־בער</w:t>
      </w:r>
      <w:proofErr w:type="spellEnd"/>
      <w:r>
        <w:rPr>
          <w:rtl/>
        </w:rPr>
        <w:t xml:space="preserve"> לברך את רבו באותה ברכה – אף שייתכן בהחלט שאבי שמע שיעורים מר׳ </w:t>
      </w:r>
      <w:proofErr w:type="spellStart"/>
      <w:r>
        <w:rPr>
          <w:rtl/>
        </w:rPr>
        <w:t>ברוך־בער</w:t>
      </w:r>
      <w:proofErr w:type="spellEnd"/>
      <w:r>
        <w:rPr>
          <w:rtl/>
        </w:rPr>
        <w:t xml:space="preserve"> אחרי פטירת ר׳ חיים, בהיותו </w:t>
      </w:r>
      <w:proofErr w:type="spellStart"/>
      <w:r>
        <w:rPr>
          <w:rtl/>
        </w:rPr>
        <w:t>בקרמנצ׳וג</w:t>
      </w:r>
      <w:bookmarkStart w:id="2186" w:name="_fnr1385"/>
      <w:proofErr w:type="spellEnd"/>
      <w:r>
        <w:rPr>
          <w:rStyle w:val="a5"/>
        </w:rPr>
        <w:footnoteReference w:id="1388" w:customMarkFollows="0"/>
      </w:r>
      <w:bookmarkEnd w:id="2186"/>
      <w:r>
        <w:rPr>
          <w:rtl/>
        </w:rPr>
        <w:t>.</w:t>
      </w:r>
    </w:p>
    <w:p w14:paraId="2BDF22B0" w14:textId="77777777" w:rsidR="00AB3647" w:rsidRDefault="00000000" w:rsidP="007923E9">
      <w:pPr>
        <w:spacing w:after="100" w:line="276" w:lineRule="auto"/>
        <w:ind w:firstLine="340"/>
        <w:jc w:val="both"/>
      </w:pPr>
      <w:r>
        <w:rPr>
          <w:rtl/>
        </w:rPr>
        <w:t xml:space="preserve">ר׳ עזרא </w:t>
      </w:r>
      <w:proofErr w:type="spellStart"/>
      <w:r>
        <w:rPr>
          <w:rtl/>
        </w:rPr>
        <w:t>נויברגר</w:t>
      </w:r>
      <w:bookmarkStart w:id="2187" w:name="_fnr1386"/>
      <w:proofErr w:type="spellEnd"/>
      <w:r>
        <w:rPr>
          <w:rStyle w:val="a5"/>
        </w:rPr>
        <w:footnoteReference w:id="1389" w:customMarkFollows="0"/>
      </w:r>
      <w:bookmarkEnd w:id="2187"/>
      <w:r>
        <w:rPr>
          <w:rtl/>
        </w:rPr>
        <w:t xml:space="preserve"> סיפר שפעם, באמצע ההאזנה לשיעורו של ר׳ </w:t>
      </w:r>
      <w:proofErr w:type="spellStart"/>
      <w:r>
        <w:rPr>
          <w:rtl/>
        </w:rPr>
        <w:t>ברוך־בער</w:t>
      </w:r>
      <w:proofErr w:type="spellEnd"/>
      <w:r>
        <w:rPr>
          <w:rtl/>
        </w:rPr>
        <w:t xml:space="preserve">, הבחין אבי שראש הישיבה מגלגל את </w:t>
      </w:r>
      <w:proofErr w:type="spellStart"/>
      <w:r>
        <w:rPr>
          <w:rtl/>
        </w:rPr>
        <w:t>הרי״שין</w:t>
      </w:r>
      <w:proofErr w:type="spellEnd"/>
      <w:r>
        <w:rPr>
          <w:rtl/>
        </w:rPr>
        <w:t xml:space="preserve">. אבי ידע </w:t>
      </w:r>
      <w:proofErr w:type="spellStart"/>
      <w:r>
        <w:rPr>
          <w:rtl/>
        </w:rPr>
        <w:t>שבסלוצק</w:t>
      </w:r>
      <w:proofErr w:type="spellEnd"/>
      <w:r>
        <w:rPr>
          <w:rtl/>
        </w:rPr>
        <w:t xml:space="preserve">, עיר הולדתו של ר׳ </w:t>
      </w:r>
      <w:proofErr w:type="spellStart"/>
      <w:r>
        <w:rPr>
          <w:rtl/>
        </w:rPr>
        <w:t>ברוך־בער</w:t>
      </w:r>
      <w:proofErr w:type="spellEnd"/>
      <w:r>
        <w:rPr>
          <w:rtl/>
        </w:rPr>
        <w:t xml:space="preserve">, הגו את הרי״ש מן הגרון, ולכן הסיק שר׳ </w:t>
      </w:r>
      <w:proofErr w:type="spellStart"/>
      <w:r>
        <w:rPr>
          <w:rtl/>
        </w:rPr>
        <w:t>ברוך־בער</w:t>
      </w:r>
      <w:proofErr w:type="spellEnd"/>
      <w:r>
        <w:rPr>
          <w:rtl/>
        </w:rPr>
        <w:t xml:space="preserve"> התאים את הגייתו לזו של רבו, יליד </w:t>
      </w:r>
      <w:proofErr w:type="spellStart"/>
      <w:r>
        <w:rPr>
          <w:rtl/>
        </w:rPr>
        <w:t>וולוז׳ין</w:t>
      </w:r>
      <w:proofErr w:type="spellEnd"/>
      <w:r>
        <w:rPr>
          <w:rtl/>
        </w:rPr>
        <w:t>. נינים של רבנו, ר׳ שמואל ור׳ דב וילהלם, סיפרו</w:t>
      </w:r>
      <w:bookmarkStart w:id="2188" w:name="_fnr1387"/>
      <w:r>
        <w:rPr>
          <w:rStyle w:val="a5"/>
        </w:rPr>
        <w:footnoteReference w:id="1390" w:customMarkFollows="0"/>
      </w:r>
      <w:bookmarkEnd w:id="2188"/>
      <w:r>
        <w:rPr>
          <w:rtl/>
        </w:rPr>
        <w:t xml:space="preserve"> ששמעו בישיבת </w:t>
      </w:r>
      <w:proofErr w:type="spellStart"/>
      <w:r>
        <w:rPr>
          <w:rtl/>
        </w:rPr>
        <w:t>בריסק</w:t>
      </w:r>
      <w:proofErr w:type="spellEnd"/>
      <w:r>
        <w:rPr>
          <w:rtl/>
        </w:rPr>
        <w:t xml:space="preserve"> בירושלים שרבנו ביקר פעם בעיר וחלק כבוד לאלמנתו ולילדיו של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הוא אמר לבני משפחת </w:t>
      </w:r>
      <w:proofErr w:type="spellStart"/>
      <w:r>
        <w:rPr>
          <w:rtl/>
        </w:rPr>
        <w:t>סולובייצ׳יק</w:t>
      </w:r>
      <w:proofErr w:type="spellEnd"/>
      <w:r>
        <w:rPr>
          <w:rtl/>
        </w:rPr>
        <w:t xml:space="preserve"> ששמע פעם את ר׳ חיים </w:t>
      </w:r>
      <w:proofErr w:type="spellStart"/>
      <w:r>
        <w:rPr>
          <w:rtl/>
        </w:rPr>
        <w:t>סולובייצ׳יק</w:t>
      </w:r>
      <w:proofErr w:type="spellEnd"/>
      <w:r>
        <w:rPr>
          <w:rtl/>
        </w:rPr>
        <w:t xml:space="preserve"> קורא בתורה במינסק, וחיקה במדויק את הגייתו של ר׳ חיים, ובכלל זה את גלגול ה־ר’!</w:t>
      </w:r>
    </w:p>
    <w:p w14:paraId="2A4290A2" w14:textId="77777777" w:rsidR="00AB3647" w:rsidRDefault="00000000" w:rsidP="007923E9">
      <w:pPr>
        <w:spacing w:after="100" w:line="276" w:lineRule="auto"/>
        <w:ind w:firstLine="340"/>
        <w:jc w:val="both"/>
      </w:pPr>
      <w:r>
        <w:rPr>
          <w:rtl/>
        </w:rPr>
        <w:t xml:space="preserve">“ר׳ </w:t>
      </w:r>
      <w:proofErr w:type="spellStart"/>
      <w:r>
        <w:rPr>
          <w:rtl/>
        </w:rPr>
        <w:t>ברוך־בער</w:t>
      </w:r>
      <w:proofErr w:type="spellEnd"/>
      <w:r>
        <w:rPr>
          <w:rtl/>
        </w:rPr>
        <w:t xml:space="preserve"> חיקה את רבו אפילו בזה!”</w:t>
      </w:r>
      <w:bookmarkStart w:id="2189" w:name="_fnr1388"/>
      <w:r>
        <w:rPr>
          <w:rStyle w:val="a5"/>
        </w:rPr>
        <w:footnoteReference w:id="1391" w:customMarkFollows="0"/>
      </w:r>
      <w:bookmarkEnd w:id="2189"/>
      <w:r>
        <w:rPr>
          <w:rtl/>
        </w:rPr>
        <w:t xml:space="preserve"> קרא אבי בתדהמה. רבנו לא ראה את ר׳ חיים מעולם עד אחרי פרוץ מלחמת העולם הראשונה. לכן, אם הבחין בכך לאחר ששמע את קריאת התורה של ר׳ חיים, ודאי שמע את ר׳ </w:t>
      </w:r>
      <w:proofErr w:type="spellStart"/>
      <w:r>
        <w:rPr>
          <w:rtl/>
        </w:rPr>
        <w:t>ברוך־בער</w:t>
      </w:r>
      <w:proofErr w:type="spellEnd"/>
      <w:r>
        <w:rPr>
          <w:rtl/>
        </w:rPr>
        <w:t xml:space="preserve"> מוסר שיעור במינסק, שאליה נדד ר׳ </w:t>
      </w:r>
      <w:proofErr w:type="spellStart"/>
      <w:r>
        <w:rPr>
          <w:rtl/>
        </w:rPr>
        <w:t>ברוך־בער</w:t>
      </w:r>
      <w:proofErr w:type="spellEnd"/>
      <w:r>
        <w:rPr>
          <w:rtl/>
        </w:rPr>
        <w:t xml:space="preserve"> בתחילת המלחמה</w:t>
      </w:r>
      <w:bookmarkStart w:id="2190" w:name="_fnr1389"/>
      <w:r>
        <w:rPr>
          <w:rStyle w:val="a5"/>
        </w:rPr>
        <w:footnoteReference w:id="1392" w:customMarkFollows="0"/>
      </w:r>
      <w:bookmarkEnd w:id="2190"/>
      <w:r>
        <w:rPr>
          <w:rtl/>
        </w:rPr>
        <w:t xml:space="preserve"> – או שאבי שמע את ר׳ </w:t>
      </w:r>
      <w:proofErr w:type="spellStart"/>
      <w:r>
        <w:rPr>
          <w:rtl/>
        </w:rPr>
        <w:t>ברוך־בער</w:t>
      </w:r>
      <w:proofErr w:type="spellEnd"/>
      <w:r>
        <w:rPr>
          <w:rtl/>
        </w:rPr>
        <w:t xml:space="preserve"> מאוחר יותר </w:t>
      </w:r>
      <w:proofErr w:type="spellStart"/>
      <w:r>
        <w:rPr>
          <w:rtl/>
        </w:rPr>
        <w:t>בקרמנצ׳וג</w:t>
      </w:r>
      <w:proofErr w:type="spellEnd"/>
      <w:r>
        <w:rPr>
          <w:rtl/>
        </w:rPr>
        <w:t>, כפי שהוצע לעיל.</w:t>
      </w:r>
    </w:p>
    <w:p w14:paraId="56B35065" w14:textId="77777777" w:rsidR="00AB3647" w:rsidRDefault="00000000" w:rsidP="007923E9">
      <w:pPr>
        <w:spacing w:after="100" w:line="276" w:lineRule="auto"/>
        <w:ind w:firstLine="340"/>
        <w:jc w:val="both"/>
      </w:pPr>
      <w:r>
        <w:rPr>
          <w:rtl/>
        </w:rPr>
        <w:t xml:space="preserve">התקשרותו של ר׳ </w:t>
      </w:r>
      <w:proofErr w:type="spellStart"/>
      <w:r>
        <w:rPr>
          <w:rtl/>
        </w:rPr>
        <w:t>ברוך־בער</w:t>
      </w:r>
      <w:proofErr w:type="spellEnd"/>
      <w:r>
        <w:rPr>
          <w:rtl/>
        </w:rPr>
        <w:t xml:space="preserve"> </w:t>
      </w:r>
      <w:proofErr w:type="spellStart"/>
      <w:r>
        <w:rPr>
          <w:rtl/>
        </w:rPr>
        <w:t>לר</w:t>
      </w:r>
      <w:proofErr w:type="spellEnd"/>
      <w:r>
        <w:rPr>
          <w:rtl/>
        </w:rPr>
        <w:t xml:space="preserve">׳ חיים התבטאה גם ביחסו לילדיו. ר׳ נח זבולוני, שלמד אצל ר׳ </w:t>
      </w:r>
      <w:proofErr w:type="spellStart"/>
      <w:r>
        <w:rPr>
          <w:rtl/>
        </w:rPr>
        <w:t>ברוך־בער</w:t>
      </w:r>
      <w:proofErr w:type="spellEnd"/>
      <w:r>
        <w:rPr>
          <w:rtl/>
        </w:rPr>
        <w:t xml:space="preserve"> </w:t>
      </w:r>
      <w:proofErr w:type="spellStart"/>
      <w:r>
        <w:rPr>
          <w:rtl/>
        </w:rPr>
        <w:t>בקמניץ</w:t>
      </w:r>
      <w:proofErr w:type="spellEnd"/>
      <w:r>
        <w:rPr>
          <w:rtl/>
        </w:rPr>
        <w:t xml:space="preserve"> שבע שנים, סיפר</w:t>
      </w:r>
      <w:bookmarkStart w:id="2191" w:name="_fnr1390"/>
      <w:r>
        <w:rPr>
          <w:rStyle w:val="a5"/>
        </w:rPr>
        <w:footnoteReference w:id="1393" w:customMarkFollows="0"/>
      </w:r>
      <w:bookmarkEnd w:id="2191"/>
      <w:r>
        <w:rPr>
          <w:rtl/>
        </w:rPr>
        <w:t xml:space="preserve"> שבעיר </w:t>
      </w:r>
      <w:proofErr w:type="spellStart"/>
      <w:r>
        <w:rPr>
          <w:rtl/>
        </w:rPr>
        <w:t>ראדום</w:t>
      </w:r>
      <w:proofErr w:type="spellEnd"/>
      <w:r>
        <w:rPr>
          <w:rtl/>
        </w:rPr>
        <w:t xml:space="preserve">, מדרום לוורשה, פרצה מחלוקת בין הרב, שהיה חבר אגודת ישראל, לבין השוחט, איש המזרחי. ר׳ </w:t>
      </w:r>
      <w:proofErr w:type="spellStart"/>
      <w:r>
        <w:rPr>
          <w:rtl/>
        </w:rPr>
        <w:t>צבי־חנוך</w:t>
      </w:r>
      <w:proofErr w:type="spellEnd"/>
      <w:r>
        <w:rPr>
          <w:rtl/>
        </w:rPr>
        <w:t xml:space="preserve"> לוין, רבה </w:t>
      </w:r>
      <w:proofErr w:type="spellStart"/>
      <w:r>
        <w:rPr>
          <w:rtl/>
        </w:rPr>
        <w:t>רב־ההשפעה</w:t>
      </w:r>
      <w:proofErr w:type="spellEnd"/>
      <w:r>
        <w:rPr>
          <w:rtl/>
        </w:rPr>
        <w:t xml:space="preserve"> של </w:t>
      </w:r>
      <w:proofErr w:type="spellStart"/>
      <w:r>
        <w:rPr>
          <w:rtl/>
        </w:rPr>
        <w:t>בנדין</w:t>
      </w:r>
      <w:proofErr w:type="spellEnd"/>
      <w:r>
        <w:rPr>
          <w:rtl/>
        </w:rPr>
        <w:t xml:space="preserve"> ומחותנו של הרבי מגור, פרסם מאמר תורני התומך בעמדת הרב, ואז פרסם ר׳ משה </w:t>
      </w:r>
      <w:proofErr w:type="spellStart"/>
      <w:r>
        <w:rPr>
          <w:rtl/>
        </w:rPr>
        <w:t>סולובייצ׳יק</w:t>
      </w:r>
      <w:proofErr w:type="spellEnd"/>
      <w:r>
        <w:rPr>
          <w:rtl/>
        </w:rPr>
        <w:t xml:space="preserve"> מאמר תשובה בעיתון </w:t>
      </w:r>
      <w:proofErr w:type="spellStart"/>
      <w:r>
        <w:rPr>
          <w:rtl/>
        </w:rPr>
        <w:t>הוורשאי</w:t>
      </w:r>
      <w:proofErr w:type="spellEnd"/>
      <w:r>
        <w:rPr>
          <w:rtl/>
        </w:rPr>
        <w:t xml:space="preserve"> “</w:t>
      </w:r>
      <w:proofErr w:type="spellStart"/>
      <w:r>
        <w:rPr>
          <w:rtl/>
        </w:rPr>
        <w:t>היינט</w:t>
      </w:r>
      <w:proofErr w:type="spellEnd"/>
      <w:r>
        <w:rPr>
          <w:rtl/>
        </w:rPr>
        <w:t xml:space="preserve">” [היום], ובו הפריך את טיעונו של ר׳ </w:t>
      </w:r>
      <w:proofErr w:type="spellStart"/>
      <w:r>
        <w:rPr>
          <w:rtl/>
        </w:rPr>
        <w:t>צבי־חנוך</w:t>
      </w:r>
      <w:proofErr w:type="spellEnd"/>
      <w:r>
        <w:rPr>
          <w:rtl/>
        </w:rPr>
        <w:t xml:space="preserve"> לוין מכל וכל. כמה רבנים פולנים נזעמים יצאו בתוקף נגד ר׳ משה, ששימש אז ראש רוחני בבית המדרש לרבנים של המזרחי, </w:t>
      </w:r>
      <w:proofErr w:type="spellStart"/>
      <w:r>
        <w:rPr>
          <w:rtl/>
        </w:rPr>
        <w:t>תחכמוני</w:t>
      </w:r>
      <w:proofErr w:type="spellEnd"/>
      <w:r>
        <w:rPr>
          <w:rtl/>
        </w:rPr>
        <w:t xml:space="preserve">, על שהתערב בסכסוך רבני, ואיימו להחרימו. אבל ר׳ </w:t>
      </w:r>
      <w:proofErr w:type="spellStart"/>
      <w:r>
        <w:rPr>
          <w:rtl/>
        </w:rPr>
        <w:t>ברוך־בער</w:t>
      </w:r>
      <w:proofErr w:type="spellEnd"/>
      <w:r>
        <w:rPr>
          <w:rtl/>
        </w:rPr>
        <w:t xml:space="preserve"> ביטל את הדיבורים האלה ואמר: “את ילדי הרבי אין איש מעז להחרים!”</w:t>
      </w:r>
    </w:p>
    <w:p w14:paraId="38201FB6" w14:textId="77777777" w:rsidR="00AB3647" w:rsidRDefault="00000000" w:rsidP="007923E9">
      <w:pPr>
        <w:spacing w:after="100" w:line="276" w:lineRule="auto"/>
        <w:ind w:firstLine="340"/>
        <w:jc w:val="both"/>
      </w:pPr>
      <w:r>
        <w:rPr>
          <w:rtl/>
        </w:rPr>
        <w:t xml:space="preserve">באותה עת אמרו שלמעשה בנו של ר׳ משה, ר׳ </w:t>
      </w:r>
      <w:proofErr w:type="spellStart"/>
      <w:r>
        <w:rPr>
          <w:rtl/>
        </w:rPr>
        <w:t xml:space="preserve">יוסף־דב</w:t>
      </w:r>
      <w:proofErr w:type="spellEnd"/>
      <w:r>
        <w:rPr>
          <w:rtl/>
        </w:rPr>
        <w:t xml:space="preserve">, הוא שכתב את המאמר ופרסמו בשם אביו. לפי אחותו של ר׳ </w:t>
      </w:r>
      <w:proofErr w:type="spellStart"/>
      <w:r>
        <w:rPr>
          <w:rtl/>
        </w:rPr>
        <w:t xml:space="preserve">יוסף־דב</w:t>
      </w:r>
      <w:proofErr w:type="spellEnd"/>
      <w:r>
        <w:rPr>
          <w:rtl/>
        </w:rPr>
        <w:t xml:space="preserve"> </w:t>
      </w:r>
      <w:proofErr w:type="spellStart"/>
      <w:r>
        <w:rPr>
          <w:rtl/>
        </w:rPr>
        <w:t>ב“מורשת</w:t>
      </w:r>
      <w:proofErr w:type="spellEnd"/>
      <w:r>
        <w:rPr>
          <w:rtl/>
        </w:rPr>
        <w:t xml:space="preserve"> </w:t>
      </w:r>
      <w:proofErr w:type="spellStart"/>
      <w:r>
        <w:rPr>
          <w:rtl/>
        </w:rPr>
        <w:t>סולובייצ׳יק</w:t>
      </w:r>
      <w:proofErr w:type="spellEnd"/>
      <w:r>
        <w:rPr>
          <w:rtl/>
        </w:rPr>
        <w:t xml:space="preserve">”, הוא גם שהעמיד את אביו על כך </w:t>
      </w:r>
      <w:proofErr w:type="spellStart"/>
      <w:r>
        <w:rPr>
          <w:rtl/>
        </w:rPr>
        <w:t>ש“תחכמוני</w:t>
      </w:r>
      <w:proofErr w:type="spellEnd"/>
      <w:r>
        <w:rPr>
          <w:rtl/>
        </w:rPr>
        <w:t>” “אינו עומד בתקנונו”, ולכן אין זה מוסד שר׳ משה צריך לעמוד בראשו עוד.</w:t>
      </w:r>
      <w:bookmarkStart w:id="2192" w:name="_fnr1391"/>
      <w:r>
        <w:rPr>
          <w:rStyle w:val="a5"/>
        </w:rPr>
        <w:footnoteReference w:id="1394" w:customMarkFollows="0"/>
      </w:r>
      <w:bookmarkEnd w:id="2192"/>
    </w:p>
    <w:p w14:paraId="436D6DF9" w14:textId="7B75583E" w:rsidR="00AB3647" w:rsidRDefault="00000000" w:rsidP="007923E9">
      <w:pPr>
        <w:spacing w:after="100" w:line="276" w:lineRule="auto"/>
        <w:ind w:firstLine="340"/>
        <w:jc w:val="both"/>
      </w:pPr>
      <w:r>
        <w:rPr>
          <w:rtl/>
        </w:rPr>
        <w:lastRenderedPageBreak/>
        <w:t xml:space="preserve">השווה גם “מורשת </w:t>
      </w:r>
      <w:proofErr w:type="spellStart"/>
      <w:r>
        <w:rPr>
          <w:rtl/>
        </w:rPr>
        <w:t>סולובייצ׳יק</w:t>
      </w:r>
      <w:proofErr w:type="spellEnd"/>
      <w:r>
        <w:rPr>
          <w:rtl/>
        </w:rPr>
        <w:t>”</w:t>
      </w:r>
      <w:bookmarkStart w:id="2193" w:name="_fnr1392"/>
      <w:r>
        <w:rPr>
          <w:rStyle w:val="a5"/>
        </w:rPr>
        <w:footnoteReference w:id="1395" w:customMarkFollows="0"/>
      </w:r>
      <w:bookmarkEnd w:id="2193"/>
      <w:r>
        <w:rPr>
          <w:rtl/>
        </w:rPr>
        <w:t xml:space="preserve">. שם מסופר שתלמידי ישיבת </w:t>
      </w:r>
      <w:proofErr w:type="spellStart"/>
      <w:r>
        <w:rPr>
          <w:rtl/>
        </w:rPr>
        <w:t>קמניץ</w:t>
      </w:r>
      <w:proofErr w:type="spellEnd"/>
      <w:r>
        <w:rPr>
          <w:rtl/>
        </w:rPr>
        <w:t xml:space="preserve"> תכננו – לפי הנטען, בהסתת משגיח הישיבה – להחרים את השיעור שהוזמן ר׳ משה </w:t>
      </w:r>
      <w:proofErr w:type="spellStart"/>
      <w:r>
        <w:rPr>
          <w:rtl/>
        </w:rPr>
        <w:t>סולובייצ׳יק</w:t>
      </w:r>
      <w:proofErr w:type="spellEnd"/>
      <w:r>
        <w:rPr>
          <w:rtl/>
        </w:rPr>
        <w:t xml:space="preserve"> למסור בה, שוב בשל זיהויו של ר׳ משה עם המזרחי. ר׳ </w:t>
      </w:r>
      <w:proofErr w:type="spellStart"/>
      <w:r>
        <w:rPr>
          <w:rtl/>
        </w:rPr>
        <w:t>ברוך־בער</w:t>
      </w:r>
      <w:proofErr w:type="spellEnd"/>
      <w:r>
        <w:rPr>
          <w:rtl/>
        </w:rPr>
        <w:t xml:space="preserve"> אמר לתלמידים בדמעות: “הרכילות המופצת על גדול התורה, ידידי ועמיתי ר׳ משה </w:t>
      </w:r>
      <w:proofErr w:type="spellStart"/>
      <w:r>
        <w:rPr>
          <w:rtl/>
        </w:rPr>
        <w:t>סולובייצ׳יק</w:t>
      </w:r>
      <w:proofErr w:type="spellEnd"/>
      <w:r>
        <w:rPr>
          <w:rtl/>
        </w:rPr>
        <w:t xml:space="preserve">, היא א חרפה און א </w:t>
      </w:r>
      <w:proofErr w:type="spellStart"/>
      <w:r>
        <w:rPr>
          <w:rtl/>
        </w:rPr>
        <w:t>שאנדע</w:t>
      </w:r>
      <w:proofErr w:type="spellEnd"/>
      <w:r>
        <w:rPr>
          <w:rtl/>
        </w:rPr>
        <w:t xml:space="preserve"> [חרפה ובושה]. הוא בא לישיבה, ואני מצפה מכולכם להשתתף בשיעורו ולחלוק לו את הכבוד הראוי לו.” </w:t>
      </w:r>
      <w:proofErr w:type="spellStart"/>
      <w:r>
        <w:rPr>
          <w:rtl/>
        </w:rPr>
        <w:t>ב“מורשת</w:t>
      </w:r>
      <w:proofErr w:type="spellEnd"/>
      <w:r>
        <w:rPr>
          <w:rtl/>
        </w:rPr>
        <w:t xml:space="preserve"> </w:t>
      </w:r>
      <w:proofErr w:type="spellStart"/>
      <w:r>
        <w:rPr>
          <w:rtl/>
        </w:rPr>
        <w:t>סולובייצ׳יק</w:t>
      </w:r>
      <w:proofErr w:type="spellEnd"/>
      <w:r>
        <w:rPr>
          <w:rtl/>
        </w:rPr>
        <w:t xml:space="preserve">” נוסף: “ר׳ משה בא ומסר את שיעורו התלמודי. במשך כל השיעור בכה ר׳ </w:t>
      </w:r>
      <w:proofErr w:type="spellStart"/>
      <w:r>
        <w:rPr>
          <w:rtl/>
        </w:rPr>
        <w:t>ברוך־בער</w:t>
      </w:r>
      <w:proofErr w:type="spellEnd"/>
      <w:r>
        <w:rPr>
          <w:rtl/>
        </w:rPr>
        <w:t xml:space="preserve">.” הספר אינו מציע הסבר לבכיו של ר׳ </w:t>
      </w:r>
      <w:proofErr w:type="spellStart"/>
      <w:r>
        <w:rPr>
          <w:rtl/>
        </w:rPr>
        <w:t>ברוך־בער</w:t>
      </w:r>
      <w:proofErr w:type="spellEnd"/>
      <w:r>
        <w:rPr>
          <w:rtl/>
        </w:rPr>
        <w:t>. ייתכן שכאב לו על הביזיון שכמעט נגרם לרבו המנוח, כמו שביטא בבירור בעניין הסכסוך הרבני שנזכר לעיל. השווה גם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מה שעשה ר׳ </w:t>
      </w:r>
      <w:proofErr w:type="spellStart"/>
      <w:r>
        <w:rPr>
          <w:rtl/>
        </w:rPr>
        <w:t>ברוך־בער</w:t>
      </w:r>
      <w:proofErr w:type="spellEnd"/>
      <w:r>
        <w:rPr>
          <w:rtl/>
        </w:rPr>
        <w:t xml:space="preserve"> כדי להשיג </w:t>
      </w:r>
      <w:proofErr w:type="spellStart"/>
      <w:r>
        <w:rPr>
          <w:rtl/>
        </w:rPr>
        <w:t>לר</w:t>
      </w:r>
      <w:proofErr w:type="spellEnd"/>
      <w:r>
        <w:rPr>
          <w:rtl/>
        </w:rPr>
        <w:t xml:space="preserve">׳ משה את כיסא הרבנות הראשון שלו, </w:t>
      </w:r>
      <w:proofErr w:type="spellStart"/>
      <w:r>
        <w:rPr>
          <w:rtl/>
        </w:rPr>
        <w:t>בראסיין</w:t>
      </w:r>
      <w:proofErr w:type="spellEnd"/>
      <w:r>
        <w:rPr>
          <w:rtl/>
        </w:rPr>
        <w:t xml:space="preserve"> – אבל זאת עשה במצוותו הישירה של ר׳ חיים.</w:t>
      </w:r>
    </w:p>
    <w:p w14:paraId="5820AFAA" w14:textId="5F2F161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בתחילה נכונה </w:t>
      </w:r>
      <w:proofErr w:type="spellStart"/>
      <w:r>
        <w:rPr>
          <w:rtl/>
        </w:rPr>
        <w:t>לדולהינובר</w:t>
      </w:r>
      <w:proofErr w:type="spellEnd"/>
      <w:r>
        <w:rPr>
          <w:rtl/>
        </w:rPr>
        <w:t xml:space="preserve"> ולשאר חבריו אכזבה. הם החליטו לבקר בבית ר׳ </w:t>
      </w:r>
      <w:proofErr w:type="spellStart"/>
      <w:r>
        <w:rPr>
          <w:rtl/>
        </w:rPr>
        <w:t>ברוך־בער</w:t>
      </w:r>
      <w:proofErr w:type="spellEnd"/>
      <w:r>
        <w:rPr>
          <w:rtl/>
        </w:rPr>
        <w:t xml:space="preserve"> כדי לדבר עמו בלימוד, ולתמיהתם, כל מה שעשה ראש הישיבה למשמע דברי התורה שהציעו היה להמהם. הוא לא הביע לא הסכמה ולא הסתייגות. לימים גילו שר׳ </w:t>
      </w:r>
      <w:proofErr w:type="spellStart"/>
      <w:r>
        <w:rPr>
          <w:rtl/>
        </w:rPr>
        <w:t>ברוך־בער</w:t>
      </w:r>
      <w:proofErr w:type="spellEnd"/>
      <w:r>
        <w:rPr>
          <w:rtl/>
        </w:rPr>
        <w:t xml:space="preserve"> הבין שרבו הורה לו שלא לדבר ביחידות עם תלמידי הישיבה המתחרה</w:t>
      </w:r>
      <w:bookmarkStart w:id="2194" w:name="b3_ref138"/>
      <w:bookmarkEnd w:id="2194"/>
      <w:r>
        <w:rPr>
          <w:vertAlign w:val="superscript"/>
          <w:rtl/>
        </w:rPr>
        <w:fldChar w:fldCharType="begin" w:dirty="true"/>
      </w:r>
      <w:r>
        <w:rPr>
          <w:vertAlign w:val="superscript"/>
          <w:rtl/>
        </w:rPr>
        <w:instrText xml:space="preserve"> REF b3_note138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138</w:t>
      </w:r>
      <w:r>
        <w:rPr>
          <w:vertAlign w:val="superscript"/>
          <w:rtl/>
        </w:rPr>
        <w:fldChar w:fldCharType="end"/>
      </w:r>
      <w:r>
        <w:rPr>
          <w:rtl/>
        </w:rPr>
        <w:t xml:space="preserve">. אבל יחסו השלילי של ר׳ </w:t>
      </w:r>
      <w:proofErr w:type="spellStart"/>
      <w:r>
        <w:rPr>
          <w:rtl/>
        </w:rPr>
        <w:t>ברוך־בער</w:t>
      </w:r>
      <w:proofErr w:type="spellEnd"/>
      <w:r>
        <w:rPr>
          <w:rtl/>
        </w:rPr>
        <w:t xml:space="preserve"> לא ארך ימים</w:t>
      </w:r>
      <w:bookmarkStart w:id="2195" w:name="b3_ref139"/>
      <w:bookmarkEnd w:id="2195"/>
      <w:r>
        <w:rPr>
          <w:vertAlign w:val="superscript"/>
          <w:rtl/>
        </w:rPr>
        <w:fldChar w:fldCharType="begin" w:dirty="true"/>
      </w:r>
      <w:r>
        <w:rPr>
          <w:vertAlign w:val="superscript"/>
          <w:rtl/>
        </w:rPr>
        <w:instrText xml:space="preserve"> REF b3_note139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139</w:t>
      </w:r>
      <w:r>
        <w:rPr>
          <w:vertAlign w:val="superscript"/>
          <w:rtl/>
        </w:rPr>
        <w:fldChar w:fldCharType="end"/>
      </w:r>
      <w:r>
        <w:rPr>
          <w:rtl/>
        </w:rPr>
        <w:t>. התמדתם של תלמידי ישיבת המוסר פילסה דרך אל לבו הרך</w:t>
      </w:r>
      <w:bookmarkStart w:id="2196" w:name="b3_ref140"/>
      <w:bookmarkEnd w:id="2196"/>
      <w:r>
        <w:rPr>
          <w:vertAlign w:val="superscript"/>
          <w:rtl/>
        </w:rPr>
        <w:fldChar w:fldCharType="begin" w:dirty="true"/>
      </w:r>
      <w:r>
        <w:rPr>
          <w:vertAlign w:val="superscript"/>
          <w:rtl/>
        </w:rPr>
        <w:instrText xml:space="preserve"> REF b3_note140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140</w:t>
      </w:r>
      <w:r>
        <w:rPr>
          <w:vertAlign w:val="superscript"/>
          <w:rtl/>
        </w:rPr>
        <w:fldChar w:fldCharType="end"/>
      </w:r>
      <w:r>
        <w:rPr>
          <w:rtl/>
        </w:rPr>
        <w:t>, הטוב ואוהב התורה. לבסוף אף היו רצויים במפגשים שקיים בביתו אחרי סעודה שלישית</w:t>
      </w:r>
      <w:bookmarkStart w:id="2197" w:name="b3_ref141"/>
      <w:bookmarkEnd w:id="2197"/>
      <w:r>
        <w:rPr>
          <w:vertAlign w:val="superscript"/>
          <w:rtl/>
        </w:rPr>
        <w:fldChar w:fldCharType="begin" w:dirty="true"/>
      </w:r>
      <w:r>
        <w:rPr>
          <w:vertAlign w:val="superscript"/>
          <w:rtl/>
        </w:rPr>
        <w:instrText xml:space="preserve"> REF b3_note141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141</w:t>
      </w:r>
      <w:r>
        <w:rPr>
          <w:vertAlign w:val="superscript"/>
          <w:rtl/>
        </w:rPr>
        <w:fldChar w:fldCharType="end"/>
      </w:r>
      <w:r>
        <w:rPr>
          <w:rtl/>
        </w:rPr>
        <w:t>, ובהם יכלו התלמידים להעלות שאלות ולהציע פתרונות אחרים לקושיות שהועלו בשיעוריו.</w:t>
      </w:r>
    </w:p>
    <w:bookmarkStart w:id="2198" w:name="b3_note138"/>
    <w:p w14:paraId="78FFEE29" w14:textId="2C70723D" w:rsidR="00AB3647" w:rsidRDefault="00000000" w:rsidP="007923E9">
      <w:pPr>
        <w:spacing w:before="120" w:after="100" w:line="276" w:lineRule="auto"/>
        <w:jc w:val="both"/>
      </w:pPr>
      <w:r>
        <w:fldChar w:fldCharType="begin" w:dirty="true"/>
      </w:r>
      <w:r>
        <w:instrText>HYPERLINK \l "b3_ref138"</w:instrText>
      </w:r>
      <w:r>
        <w:fldChar w:fldCharType="separate"/>
      </w:r>
      <w:r>
        <w:rPr>
          <w:b/>
          <w:bCs/>
          <w:rtl/>
        </w:rPr>
        <w:t>138</w:t>
      </w:r>
      <w:r>
        <w:rPr>
          <w:b/>
          <w:bCs/>
        </w:rPr>
        <w:fldChar w:fldCharType="end"/>
      </w:r>
      <w:bookmarkEnd w:id="2198"/>
      <w:r>
        <w:rPr>
          <w:rtl/>
        </w:rPr>
        <w:t xml:space="preserve"> ר׳ עזרא </w:t>
      </w:r>
      <w:proofErr w:type="spellStart"/>
      <w:r>
        <w:rPr>
          <w:rtl/>
        </w:rPr>
        <w:t>נויברגר</w:t>
      </w:r>
      <w:proofErr w:type="spellEnd"/>
      <w:r>
        <w:rPr>
          <w:rtl/>
        </w:rPr>
        <w:t xml:space="preserve"> שמע זאת מפי אבי. האיסור נבע מיחסו המסתייג של ר׳ חיים למוסר – השווה נספח </w:t>
      </w:r>
      <w:proofErr w:type="spellStart"/>
      <w:r>
        <w:rPr>
          <w:rtl/>
        </w:rPr>
        <w:t>יב</w:t>
      </w:r>
      <w:proofErr w:type="spellEnd"/>
      <w:r>
        <w:rPr>
          <w:rtl/>
        </w:rPr>
        <w:t xml:space="preserve"> והפסקה שלפני האחרונה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בריאיון המוקלט על תנועת המוסר אמר אבי שמאותו טעם, כשביקר ר׳ </w:t>
      </w:r>
      <w:proofErr w:type="spellStart"/>
      <w:r>
        <w:rPr>
          <w:rtl/>
        </w:rPr>
        <w:t>ברוך־בער</w:t>
      </w:r>
      <w:proofErr w:type="spellEnd"/>
      <w:r>
        <w:rPr>
          <w:rtl/>
        </w:rPr>
        <w:t xml:space="preserve"> בבית הוריו </w:t>
      </w:r>
      <w:proofErr w:type="spellStart"/>
      <w:r>
        <w:rPr>
          <w:rtl/>
        </w:rPr>
        <w:t>בסלוצק</w:t>
      </w:r>
      <w:proofErr w:type="spellEnd"/>
      <w:r>
        <w:rPr>
          <w:rtl/>
        </w:rPr>
        <w:t xml:space="preserve">, לא ביקר בישיבה המקומית שדגלה במוסר, שבראשה עמד חברו </w:t>
      </w:r>
      <w:proofErr w:type="spellStart"/>
      <w:r>
        <w:rPr>
          <w:rtl/>
        </w:rPr>
        <w:t>מוולוז׳ין</w:t>
      </w:r>
      <w:proofErr w:type="spellEnd"/>
      <w:r>
        <w:rPr>
          <w:rtl/>
        </w:rPr>
        <w:t xml:space="preserve">, ר׳ </w:t>
      </w:r>
      <w:proofErr w:type="spellStart"/>
      <w:r>
        <w:rPr>
          <w:rtl/>
        </w:rPr>
        <w:t>איסר־זלמן</w:t>
      </w:r>
      <w:proofErr w:type="spellEnd"/>
      <w:r>
        <w:rPr>
          <w:rtl/>
        </w:rPr>
        <w:t xml:space="preserve"> מלצר.</w:t>
      </w:r>
    </w:p>
    <w:p w14:paraId="0D60A032" w14:textId="77777777" w:rsidR="00AB3647" w:rsidRDefault="00000000" w:rsidP="007923E9">
      <w:pPr>
        <w:spacing w:after="100" w:line="276" w:lineRule="auto"/>
        <w:ind w:firstLine="340"/>
        <w:jc w:val="both"/>
      </w:pPr>
      <w:r>
        <w:rPr>
          <w:rtl/>
        </w:rPr>
        <w:t xml:space="preserve">ר׳ </w:t>
      </w:r>
      <w:proofErr w:type="spellStart"/>
      <w:r>
        <w:rPr>
          <w:rtl/>
        </w:rPr>
        <w:t>אליהו־נחמיה</w:t>
      </w:r>
      <w:proofErr w:type="spellEnd"/>
      <w:r>
        <w:rPr>
          <w:rtl/>
        </w:rPr>
        <w:t xml:space="preserve"> </w:t>
      </w:r>
      <w:proofErr w:type="spellStart"/>
      <w:r>
        <w:rPr>
          <w:rtl/>
        </w:rPr>
        <w:t>גלופקין</w:t>
      </w:r>
      <w:proofErr w:type="spellEnd"/>
      <w:r>
        <w:rPr>
          <w:rtl/>
        </w:rPr>
        <w:t xml:space="preserve"> סיפר מזיכרונותיו</w:t>
      </w:r>
      <w:bookmarkStart w:id="2199" w:name="_fnr1393"/>
      <w:r>
        <w:rPr>
          <w:rStyle w:val="a5"/>
        </w:rPr>
        <w:footnoteReference w:id="1396" w:customMarkFollows="0"/>
      </w:r>
      <w:bookmarkEnd w:id="2199"/>
      <w:r>
        <w:rPr>
          <w:rtl/>
        </w:rPr>
        <w:t xml:space="preserve"> על התקופה שבה למד בישיבה הקטנה </w:t>
      </w:r>
      <w:proofErr w:type="spellStart"/>
      <w:r>
        <w:rPr>
          <w:rtl/>
        </w:rPr>
        <w:t>בשאוול</w:t>
      </w:r>
      <w:proofErr w:type="spellEnd"/>
      <w:r>
        <w:rPr>
          <w:rtl/>
        </w:rPr>
        <w:t xml:space="preserve"> </w:t>
      </w:r>
      <w:proofErr w:type="spellStart"/>
      <w:r>
        <w:rPr>
          <w:rtl/>
        </w:rPr>
        <w:t>בתרצ״ו</w:t>
      </w:r>
      <w:bookmarkStart w:id="2200" w:name="_fnr1394"/>
      <w:proofErr w:type="spellEnd"/>
      <w:r>
        <w:rPr>
          <w:rStyle w:val="a5"/>
        </w:rPr>
        <w:footnoteReference w:id="1397" w:customMarkFollows="0"/>
      </w:r>
      <w:bookmarkEnd w:id="2200"/>
      <w:r>
        <w:rPr>
          <w:rtl/>
        </w:rPr>
        <w:t xml:space="preserve">. רבו, ר׳ </w:t>
      </w:r>
      <w:proofErr w:type="spellStart"/>
      <w:r>
        <w:rPr>
          <w:rtl/>
        </w:rPr>
        <w:t>חיים־יצחק</w:t>
      </w:r>
      <w:proofErr w:type="spellEnd"/>
      <w:r>
        <w:rPr>
          <w:rtl/>
        </w:rPr>
        <w:t xml:space="preserve"> ליברמן, תלמיד כנסת בית יצחק, סיפר לכיתה שהייתה תקופה שבה ניסה ר׳ </w:t>
      </w:r>
      <w:proofErr w:type="spellStart"/>
      <w:r>
        <w:rPr>
          <w:rtl/>
        </w:rPr>
        <w:t>ברוך־בער</w:t>
      </w:r>
      <w:proofErr w:type="spellEnd"/>
      <w:r>
        <w:rPr>
          <w:rtl/>
        </w:rPr>
        <w:t xml:space="preserve"> למנוע מתלמידי כנסת ישראל להשתתף בשיעוריו. אבל הם מצאו חברים בין תלמידי כנסת בית יצחק, שהסתירו אותם עד שהתחיל השיעור, כשכבר היה מאוחר מכדי שר׳ </w:t>
      </w:r>
      <w:proofErr w:type="spellStart"/>
      <w:r>
        <w:rPr>
          <w:rtl/>
        </w:rPr>
        <w:t>ברוך־בער</w:t>
      </w:r>
      <w:proofErr w:type="spellEnd"/>
      <w:r>
        <w:rPr>
          <w:rtl/>
        </w:rPr>
        <w:t xml:space="preserve"> יתנגד לנוכחותם. הרב ליברמן סיפר שהוא עצמו הסתיר את רבנו. אסתר </w:t>
      </w:r>
      <w:proofErr w:type="spellStart"/>
      <w:r>
        <w:rPr>
          <w:rtl/>
        </w:rPr>
        <w:t>אונגרישר</w:t>
      </w:r>
      <w:bookmarkStart w:id="2201" w:name="_fnr1395"/>
      <w:proofErr w:type="spellEnd"/>
      <w:r>
        <w:rPr>
          <w:rStyle w:val="a5"/>
        </w:rPr>
        <w:footnoteReference w:id="1398" w:customMarkFollows="0"/>
      </w:r>
      <w:bookmarkEnd w:id="2201"/>
      <w:r>
        <w:rPr>
          <w:rtl/>
        </w:rPr>
        <w:t xml:space="preserve"> אמרה גם היא, כשדיברה על השתתפות אביה ר׳ ראובן </w:t>
      </w:r>
      <w:proofErr w:type="spellStart"/>
      <w:r>
        <w:rPr>
          <w:rtl/>
        </w:rPr>
        <w:t>גרוזובסקי</w:t>
      </w:r>
      <w:proofErr w:type="spellEnd"/>
      <w:r>
        <w:rPr>
          <w:rtl/>
        </w:rPr>
        <w:t xml:space="preserve"> בשיעורי חותנו לעתיד, שפעם נאסרה עליו הכניסה “בידי אנשי כנסת בית יצחק”.</w:t>
      </w:r>
    </w:p>
    <w:p w14:paraId="4EEE5709" w14:textId="70DB52DE" w:rsidR="00AB3647" w:rsidRDefault="00000000" w:rsidP="007923E9">
      <w:pPr>
        <w:spacing w:after="100" w:line="276" w:lineRule="auto"/>
        <w:ind w:firstLine="340"/>
        <w:jc w:val="both"/>
      </w:pPr>
      <w:r>
        <w:rPr>
          <w:rtl/>
        </w:rPr>
        <w:t xml:space="preserve">ר׳ שלמה </w:t>
      </w:r>
      <w:proofErr w:type="spellStart"/>
      <w:r>
        <w:rPr>
          <w:rtl/>
        </w:rPr>
        <w:t>ריבנר</w:t>
      </w:r>
      <w:bookmarkStart w:id="2202" w:name="_fnr1396"/>
      <w:proofErr w:type="spellEnd"/>
      <w:r>
        <w:rPr>
          <w:rStyle w:val="a5"/>
        </w:rPr>
        <w:footnoteReference w:id="1399" w:customMarkFollows="0"/>
      </w:r>
      <w:bookmarkEnd w:id="2202"/>
      <w:r>
        <w:rPr>
          <w:rtl/>
        </w:rPr>
        <w:t xml:space="preserve"> זכר שר׳ אהרן קוטלר סיפר: פעם היסס להשתתף באספה מסוימת שר׳ </w:t>
      </w:r>
      <w:proofErr w:type="spellStart"/>
      <w:r>
        <w:rPr>
          <w:rtl/>
        </w:rPr>
        <w:t>ברוך־בער</w:t>
      </w:r>
      <w:proofErr w:type="spellEnd"/>
      <w:r>
        <w:rPr>
          <w:rtl/>
        </w:rPr>
        <w:t xml:space="preserve"> רצה בנוכחותו בה, והלה הזכיר לו כיצד בבחרותו היה מסתתר מאחורי התנור בבית </w:t>
      </w:r>
      <w:r>
        <w:rPr>
          <w:rtl/>
        </w:rPr>
        <w:lastRenderedPageBreak/>
        <w:t xml:space="preserve">המדרש הישן, ומופיע לאחר שהחל השיעור, מאוחר מכדי לבקש ממנו לצאת. מדוע לא הזכיר ר׳ </w:t>
      </w:r>
      <w:proofErr w:type="spellStart"/>
      <w:r>
        <w:rPr>
          <w:rtl/>
        </w:rPr>
        <w:t>ברוך־בער</w:t>
      </w:r>
      <w:proofErr w:type="spellEnd"/>
      <w:r>
        <w:rPr>
          <w:rtl/>
        </w:rPr>
        <w:t xml:space="preserve"> פשוט את כחצי השנה שבה היה ר׳ אהרן תלמיד מן המניין בישיבתו </w:t>
      </w:r>
      <w:proofErr w:type="spellStart"/>
      <w:r>
        <w:rPr>
          <w:rtl/>
        </w:rPr>
        <w:t>בסלבודקה</w:t>
      </w:r>
      <w:proofErr w:type="spellEnd"/>
      <w:r>
        <w:rPr>
          <w:rtl/>
        </w:rPr>
        <w:t xml:space="preserve"> – כמסופר בפרק 2, הערה </w:t>
      </w:r>
      <w:r>
        <w:rPr>
          <w:rtl/>
        </w:rPr>
        <w:fldChar w:fldCharType="begin" w:dirty="true"/>
      </w:r>
      <w:r>
        <w:rPr>
          <w:rtl/>
        </w:rPr>
        <w:instrText xml:space="preserve"> REF b2_note71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71</w:t>
      </w:r>
      <w:r>
        <w:rPr>
          <w:rtl/>
        </w:rPr>
        <w:fldChar w:fldCharType="end"/>
      </w:r>
      <w:r>
        <w:rPr>
          <w:rtl/>
        </w:rPr>
        <w:t xml:space="preserve"> – כסיבה מספקת להשתתפותו של הרב קוטלר באספה? הדבר טעון הסבר. ייתכן שר׳ </w:t>
      </w:r>
      <w:proofErr w:type="spellStart"/>
      <w:r>
        <w:rPr>
          <w:rtl/>
        </w:rPr>
        <w:t>ברוך־בער</w:t>
      </w:r>
      <w:proofErr w:type="spellEnd"/>
      <w:r>
        <w:rPr>
          <w:rtl/>
        </w:rPr>
        <w:t xml:space="preserve"> רצה להצביע על חיבתו המיוחדת של ר׳ אהרן לשיעוריו, עד שהיה מוכן לשאת קשיים כדי לשומעם. יתר על כן, ייתכן שבתקופה של פחות מחצי שנה</w:t>
      </w:r>
      <w:bookmarkStart w:id="2203" w:name="_fnr1397"/>
      <w:r>
        <w:rPr>
          <w:rStyle w:val="a5"/>
        </w:rPr>
        <w:footnoteReference w:id="1400" w:customMarkFollows="0"/>
      </w:r>
      <w:bookmarkEnd w:id="2203"/>
      <w:r>
        <w:rPr>
          <w:rtl/>
        </w:rPr>
        <w:t xml:space="preserve"> שבה למד ר׳ אהרן בכנסת בית יצחק היה תלמיד בעייתי</w:t>
      </w:r>
      <w:bookmarkStart w:id="2204" w:name="_fnr1398"/>
      <w:bookmarkStart w:id="2205" w:name="pr_f_1311"/>
      <w:r>
        <w:rPr>
          <w:rStyle w:val="a5"/>
        </w:rPr>
        <w:footnoteReference w:id="1401" w:customMarkFollows="0"/>
      </w:r>
      <w:bookmarkEnd w:id="2204"/>
      <w:bookmarkEnd w:id="2205"/>
      <w:r>
        <w:rPr>
          <w:rtl/>
        </w:rPr>
        <w:t>.</w:t>
      </w:r>
    </w:p>
    <w:p w14:paraId="288DC8F1" w14:textId="77777777" w:rsidR="00AB3647" w:rsidRDefault="00000000" w:rsidP="007923E9">
      <w:pPr>
        <w:spacing w:after="100" w:line="276" w:lineRule="auto"/>
        <w:ind w:firstLine="340"/>
        <w:jc w:val="both"/>
      </w:pPr>
      <w:r>
        <w:rPr>
          <w:rtl/>
        </w:rPr>
        <w:t xml:space="preserve">הדבר נודע לי ממעשה המסופר </w:t>
      </w:r>
      <w:proofErr w:type="spellStart"/>
      <w:r>
        <w:rPr>
          <w:rtl/>
        </w:rPr>
        <w:t>ב“ארחות</w:t>
      </w:r>
      <w:proofErr w:type="spellEnd"/>
      <w:r>
        <w:rPr>
          <w:rtl/>
        </w:rPr>
        <w:t xml:space="preserve"> חסידיך”</w:t>
      </w:r>
      <w:bookmarkStart w:id="2206" w:name="_fnr1399"/>
      <w:r>
        <w:rPr>
          <w:rStyle w:val="a5"/>
        </w:rPr>
        <w:footnoteReference w:id="1402" w:customMarkFollows="0"/>
      </w:r>
      <w:bookmarkEnd w:id="2206"/>
      <w:r>
        <w:rPr>
          <w:rtl/>
        </w:rPr>
        <w:t xml:space="preserve">: בישיבה נהגו שמי שחידש חידוש הקיש על הסטנדר שלו והכריז עליו ברבים. בפעם הראשונה שהכריז כך ר׳ אהרן </w:t>
      </w:r>
      <w:proofErr w:type="spellStart"/>
      <w:r>
        <w:rPr>
          <w:rtl/>
        </w:rPr>
        <w:t>קטן־הקומה</w:t>
      </w:r>
      <w:proofErr w:type="spellEnd"/>
      <w:r>
        <w:rPr>
          <w:rtl/>
        </w:rPr>
        <w:t>, העלו אותו הבחורים האחרים על שולחן, כדי שכולם יוכלו לראותו ולשומעו. מיד לאחר מכן שוב הקיש ר׳ אהרן על הסטנדר, וכבר טיפס בעצמו על השולחן כדי להכריז הכרזה נוספת. מיד חזר על כך בפעם השלישית והציע עוד חידושים. “שיבחו אותו מאוד על חידושיו – אבל החליטו לבטל את מנהג ההכרזות ברבים”, מסתיים הסיפור.</w:t>
      </w:r>
    </w:p>
    <w:p w14:paraId="626282C4" w14:textId="77777777" w:rsidR="00AB3647" w:rsidRDefault="00000000" w:rsidP="007923E9">
      <w:pPr>
        <w:spacing w:after="100" w:line="276" w:lineRule="auto"/>
        <w:ind w:firstLine="340"/>
        <w:jc w:val="both"/>
      </w:pPr>
      <w:r>
        <w:rPr>
          <w:rtl/>
        </w:rPr>
        <w:t xml:space="preserve">כמו ר׳ </w:t>
      </w:r>
      <w:proofErr w:type="spellStart"/>
      <w:r>
        <w:rPr>
          <w:rtl/>
        </w:rPr>
        <w:t>ברוך־בער</w:t>
      </w:r>
      <w:proofErr w:type="spellEnd"/>
      <w:r>
        <w:rPr>
          <w:rtl/>
        </w:rPr>
        <w:t xml:space="preserve"> עצמו בבואו </w:t>
      </w:r>
      <w:proofErr w:type="spellStart"/>
      <w:r>
        <w:rPr>
          <w:rtl/>
        </w:rPr>
        <w:t>לוולוז׳ין</w:t>
      </w:r>
      <w:proofErr w:type="spellEnd"/>
      <w:r>
        <w:rPr>
          <w:rtl/>
        </w:rPr>
        <w:t xml:space="preserve">, היה ר׳ אהרן מלא חידושים שרצה לחלוק עם שאר התלמידים, וכמו במקרה של ר׳ </w:t>
      </w:r>
      <w:proofErr w:type="spellStart"/>
      <w:r>
        <w:rPr>
          <w:rtl/>
        </w:rPr>
        <w:t>ברוך־בער</w:t>
      </w:r>
      <w:proofErr w:type="spellEnd"/>
      <w:r>
        <w:rPr>
          <w:rtl/>
        </w:rPr>
        <w:t xml:space="preserve">, חבריו לא היו מעוניינים בכך. ר׳ </w:t>
      </w:r>
      <w:proofErr w:type="spellStart"/>
      <w:r>
        <w:rPr>
          <w:rtl/>
        </w:rPr>
        <w:t>ברוך־בער</w:t>
      </w:r>
      <w:proofErr w:type="spellEnd"/>
      <w:r>
        <w:rPr>
          <w:rtl/>
        </w:rPr>
        <w:t xml:space="preserve">, בהיותו בן </w:t>
      </w:r>
      <w:proofErr w:type="spellStart"/>
      <w:r>
        <w:rPr>
          <w:rtl/>
        </w:rPr>
        <w:t>שש־עשרה</w:t>
      </w:r>
      <w:proofErr w:type="spellEnd"/>
      <w:r>
        <w:rPr>
          <w:rtl/>
        </w:rPr>
        <w:t xml:space="preserve"> או </w:t>
      </w:r>
      <w:proofErr w:type="spellStart"/>
      <w:r>
        <w:rPr>
          <w:rtl/>
        </w:rPr>
        <w:t>שבע־עשרה</w:t>
      </w:r>
      <w:proofErr w:type="spellEnd"/>
      <w:r>
        <w:rPr>
          <w:rtl/>
        </w:rPr>
        <w:t xml:space="preserve"> </w:t>
      </w:r>
      <w:proofErr w:type="spellStart"/>
      <w:r>
        <w:rPr>
          <w:rtl/>
        </w:rPr>
        <w:t>בוולוז׳ין</w:t>
      </w:r>
      <w:proofErr w:type="spellEnd"/>
      <w:r>
        <w:rPr>
          <w:rtl/>
        </w:rPr>
        <w:t xml:space="preserve">, הועמד על מקומו בידי ר׳ חיים </w:t>
      </w:r>
      <w:proofErr w:type="spellStart"/>
      <w:r>
        <w:rPr>
          <w:rtl/>
        </w:rPr>
        <w:t>סולובייצ׳יק</w:t>
      </w:r>
      <w:proofErr w:type="spellEnd"/>
      <w:r>
        <w:rPr>
          <w:rtl/>
        </w:rPr>
        <w:t xml:space="preserve"> ולמד לחדול מהשמעת חידושיו הבוסריים</w:t>
      </w:r>
      <w:bookmarkStart w:id="2207" w:name="_fnr1400"/>
      <w:r>
        <w:rPr>
          <w:rStyle w:val="a5"/>
        </w:rPr>
        <w:footnoteReference w:id="1403" w:customMarkFollows="0"/>
      </w:r>
      <w:bookmarkEnd w:id="2207"/>
      <w:r>
        <w:rPr>
          <w:rtl/>
        </w:rPr>
        <w:t xml:space="preserve">. ואילו ר׳ אהרן היה בן </w:t>
      </w:r>
      <w:proofErr w:type="spellStart"/>
      <w:r>
        <w:rPr>
          <w:rtl/>
        </w:rPr>
        <w:t>שתים־עשרה</w:t>
      </w:r>
      <w:proofErr w:type="spellEnd"/>
      <w:r>
        <w:rPr>
          <w:rtl/>
        </w:rPr>
        <w:t xml:space="preserve"> או </w:t>
      </w:r>
      <w:proofErr w:type="spellStart"/>
      <w:r>
        <w:rPr>
          <w:rtl/>
        </w:rPr>
        <w:t>שלוש־עשרה</w:t>
      </w:r>
      <w:proofErr w:type="spellEnd"/>
      <w:r>
        <w:rPr>
          <w:rtl/>
        </w:rPr>
        <w:t xml:space="preserve"> כשבא לראשונה </w:t>
      </w:r>
      <w:proofErr w:type="spellStart"/>
      <w:r>
        <w:rPr>
          <w:rtl/>
        </w:rPr>
        <w:t>לסלבודקה</w:t>
      </w:r>
      <w:proofErr w:type="spellEnd"/>
      <w:r>
        <w:rPr>
          <w:rtl/>
        </w:rPr>
        <w:t xml:space="preserve">, לישיבתו של ר׳ </w:t>
      </w:r>
      <w:proofErr w:type="spellStart"/>
      <w:r>
        <w:rPr>
          <w:rtl/>
        </w:rPr>
        <w:t>ברוך־בער</w:t>
      </w:r>
      <w:proofErr w:type="spellEnd"/>
      <w:r>
        <w:rPr>
          <w:rtl/>
        </w:rPr>
        <w:t xml:space="preserve"> – בזמן שבו אירעו המאורעות המתוארים </w:t>
      </w:r>
      <w:proofErr w:type="spellStart"/>
      <w:r>
        <w:rPr>
          <w:rtl/>
        </w:rPr>
        <w:t>ב“ארחות</w:t>
      </w:r>
      <w:proofErr w:type="spellEnd"/>
      <w:r>
        <w:rPr>
          <w:rtl/>
        </w:rPr>
        <w:t xml:space="preserve"> חסידיך”</w:t>
      </w:r>
      <w:bookmarkStart w:id="2208" w:name="_fnr1401"/>
      <w:r>
        <w:rPr>
          <w:rStyle w:val="a5"/>
        </w:rPr>
        <w:footnoteReference w:id="1404" w:customMarkFollows="0"/>
      </w:r>
      <w:bookmarkEnd w:id="2208"/>
      <w:r>
        <w:rPr>
          <w:rtl/>
        </w:rPr>
        <w:t>. הוא עדיין לא היה בוגר דיו לקבל את ראש הישיבה כרבו, והיה צורך לעצור אותו בדרך נחרצת יותר.</w:t>
      </w:r>
    </w:p>
    <w:p w14:paraId="783F8266" w14:textId="77777777" w:rsidR="00AB3647" w:rsidRDefault="00000000" w:rsidP="007923E9">
      <w:pPr>
        <w:spacing w:after="100" w:line="276" w:lineRule="auto"/>
        <w:ind w:firstLine="340"/>
        <w:jc w:val="both"/>
      </w:pPr>
      <w:r>
        <w:rPr>
          <w:rtl/>
        </w:rPr>
        <w:t xml:space="preserve">עוד מוצע כאן שאהרן פינס הוחזר </w:t>
      </w:r>
      <w:proofErr w:type="spellStart"/>
      <w:r>
        <w:rPr>
          <w:rtl/>
        </w:rPr>
        <w:t>מסלבודקה</w:t>
      </w:r>
      <w:proofErr w:type="spellEnd"/>
      <w:r>
        <w:rPr>
          <w:rtl/>
        </w:rPr>
        <w:t xml:space="preserve"> למינסק, ללמוד בשול </w:t>
      </w:r>
      <w:proofErr w:type="spellStart"/>
      <w:r>
        <w:rPr>
          <w:rtl/>
        </w:rPr>
        <w:t>הקצבים</w:t>
      </w:r>
      <w:proofErr w:type="spellEnd"/>
      <w:r>
        <w:rPr>
          <w:rtl/>
        </w:rPr>
        <w:t xml:space="preserve">, כמסופר בפרק 2.3, בפסקה הפותחת “אחרי פחות מחצי שנה </w:t>
      </w:r>
      <w:proofErr w:type="spellStart"/>
      <w:r>
        <w:rPr>
          <w:rtl/>
        </w:rPr>
        <w:t>בסלבודקה</w:t>
      </w:r>
      <w:proofErr w:type="spellEnd"/>
      <w:r>
        <w:rPr>
          <w:rtl/>
        </w:rPr>
        <w:t xml:space="preserve">”, משום שלא הצליח להסתגל לכנסת בית יצחק ולהיות בה תלמיד מוערך. הדבר פתח את הדלת בפני אחותו לפתותו לחזור אל העיר שבה התגוררה, כמסופר בפרק 2, הערה 85. כך או כך, ר׳ </w:t>
      </w:r>
      <w:proofErr w:type="spellStart"/>
      <w:r>
        <w:rPr>
          <w:rtl/>
        </w:rPr>
        <w:t>ברוך־בער</w:t>
      </w:r>
      <w:proofErr w:type="spellEnd"/>
      <w:r>
        <w:rPr>
          <w:rtl/>
        </w:rPr>
        <w:t xml:space="preserve"> לא יכול היה להיתלות באותה תקופה קצרה ומתסכלת בחיי ר׳ אהרן כדי לחייבו לנהוג בו כבוד ולהשתתף באספה שכינס. ר׳ </w:t>
      </w:r>
      <w:proofErr w:type="spellStart"/>
      <w:r>
        <w:rPr>
          <w:rtl/>
        </w:rPr>
        <w:t>ברוך־בער</w:t>
      </w:r>
      <w:proofErr w:type="spellEnd"/>
      <w:r>
        <w:rPr>
          <w:rtl/>
        </w:rPr>
        <w:t xml:space="preserve"> היה צריך להזכיר את תקופת שש השנים המאוחרת יותר בתולדות לימודיו של ר׳ אהרן, שבה נעשה תלמיד אמיתי – מתמיד – שלו, בעודו רשום בישיבה האחרת שבעיר!</w:t>
      </w:r>
    </w:p>
    <w:p w14:paraId="377A8428" w14:textId="77777777" w:rsidR="00AB3647" w:rsidRDefault="00000000" w:rsidP="007923E9">
      <w:pPr>
        <w:spacing w:after="100" w:line="276" w:lineRule="auto"/>
        <w:ind w:firstLine="340"/>
        <w:jc w:val="both"/>
      </w:pPr>
      <w:r>
        <w:rPr>
          <w:rtl/>
        </w:rPr>
        <w:t xml:space="preserve">לא ברור מדוע רצה ר׳ </w:t>
      </w:r>
      <w:proofErr w:type="spellStart"/>
      <w:r>
        <w:rPr>
          <w:rtl/>
        </w:rPr>
        <w:t>ברוך־בער</w:t>
      </w:r>
      <w:proofErr w:type="spellEnd"/>
      <w:r>
        <w:rPr>
          <w:rtl/>
        </w:rPr>
        <w:t xml:space="preserve"> להרחיק לחלוטין את תלמידי כנסת ישראל משיעוריו, אבל אפשר לשער שהדבר נבע מצדקותו: הוא לא רצה שר׳ </w:t>
      </w:r>
      <w:proofErr w:type="spellStart"/>
      <w:r>
        <w:rPr>
          <w:rtl/>
        </w:rPr>
        <w:t>משה־מרדכי</w:t>
      </w:r>
      <w:proofErr w:type="spellEnd"/>
      <w:r>
        <w:rPr>
          <w:rtl/>
        </w:rPr>
        <w:t xml:space="preserve"> אפשטיין ירגיש </w:t>
      </w:r>
      <w:r>
        <w:rPr>
          <w:rtl/>
        </w:rPr>
        <w:lastRenderedPageBreak/>
        <w:t>שכבודו נפגע. השווה “ר׳ ברוך בר”</w:t>
      </w:r>
      <w:bookmarkStart w:id="2209" w:name="_fnr1402"/>
      <w:r>
        <w:rPr>
          <w:rStyle w:val="a5"/>
        </w:rPr>
        <w:footnoteReference w:id="1405" w:customMarkFollows="0"/>
      </w:r>
      <w:bookmarkEnd w:id="2209"/>
      <w:r>
        <w:rPr>
          <w:rtl/>
        </w:rPr>
        <w:t xml:space="preserve">, המספר שלאחר פטירתו של ר׳ משה </w:t>
      </w:r>
      <w:proofErr w:type="spellStart"/>
      <w:r>
        <w:rPr>
          <w:rtl/>
        </w:rPr>
        <w:t>דנישבסקי</w:t>
      </w:r>
      <w:proofErr w:type="spellEnd"/>
      <w:r>
        <w:rPr>
          <w:rtl/>
        </w:rPr>
        <w:t xml:space="preserve"> בן השמונים </w:t>
      </w:r>
      <w:proofErr w:type="spellStart"/>
      <w:r>
        <w:rPr>
          <w:rtl/>
        </w:rPr>
        <w:t>בתר״ע</w:t>
      </w:r>
      <w:proofErr w:type="spellEnd"/>
      <w:r>
        <w:rPr>
          <w:rtl/>
        </w:rPr>
        <w:t xml:space="preserve"> הוצעה </w:t>
      </w:r>
      <w:proofErr w:type="spellStart"/>
      <w:r>
        <w:rPr>
          <w:rtl/>
        </w:rPr>
        <w:t>לר</w:t>
      </w:r>
      <w:proofErr w:type="spellEnd"/>
      <w:r>
        <w:rPr>
          <w:rtl/>
        </w:rPr>
        <w:t xml:space="preserve">׳ </w:t>
      </w:r>
      <w:proofErr w:type="spellStart"/>
      <w:r>
        <w:rPr>
          <w:rtl/>
        </w:rPr>
        <w:t>ברוך־בער</w:t>
      </w:r>
      <w:proofErr w:type="spellEnd"/>
      <w:r>
        <w:rPr>
          <w:rtl/>
        </w:rPr>
        <w:t xml:space="preserve"> רבנות </w:t>
      </w:r>
      <w:proofErr w:type="spellStart"/>
      <w:r>
        <w:rPr>
          <w:rtl/>
        </w:rPr>
        <w:t>סלבודקה</w:t>
      </w:r>
      <w:proofErr w:type="spellEnd"/>
      <w:r>
        <w:rPr>
          <w:rtl/>
        </w:rPr>
        <w:t xml:space="preserve">, והוא דחה אותה באומרו: “איך אוכל להיות רב כשר׳ </w:t>
      </w:r>
      <w:proofErr w:type="spellStart"/>
      <w:r>
        <w:rPr>
          <w:rtl/>
        </w:rPr>
        <w:t>משה־מרדכי</w:t>
      </w:r>
      <w:proofErr w:type="spellEnd"/>
      <w:r>
        <w:rPr>
          <w:rtl/>
        </w:rPr>
        <w:t xml:space="preserve"> נמצא כאן?!”</w:t>
      </w:r>
    </w:p>
    <w:p w14:paraId="722CCB2B" w14:textId="2906FE25" w:rsidR="00AB3647" w:rsidRDefault="00000000" w:rsidP="007923E9">
      <w:pPr>
        <w:spacing w:after="100" w:line="276" w:lineRule="auto"/>
        <w:ind w:firstLine="340"/>
        <w:jc w:val="both"/>
      </w:pPr>
      <w:r>
        <w:rPr>
          <w:rtl/>
        </w:rPr>
        <w:t xml:space="preserve">ייתכן שבעניין רבנות זו אף הרגיש ר׳ </w:t>
      </w:r>
      <w:proofErr w:type="spellStart"/>
      <w:r>
        <w:rPr>
          <w:rtl/>
        </w:rPr>
        <w:t>ברוך־בער</w:t>
      </w:r>
      <w:proofErr w:type="spellEnd"/>
      <w:r>
        <w:rPr>
          <w:rtl/>
        </w:rPr>
        <w:t xml:space="preserve"> שהיא שייכת בדין </w:t>
      </w:r>
      <w:proofErr w:type="spellStart"/>
      <w:r>
        <w:rPr>
          <w:rtl/>
        </w:rPr>
        <w:t>לר</w:t>
      </w:r>
      <w:proofErr w:type="spellEnd"/>
      <w:r>
        <w:rPr>
          <w:rtl/>
        </w:rPr>
        <w:t xml:space="preserve">׳ </w:t>
      </w:r>
      <w:proofErr w:type="spellStart"/>
      <w:r>
        <w:rPr>
          <w:rtl/>
        </w:rPr>
        <w:t>משה־מרדכי</w:t>
      </w:r>
      <w:proofErr w:type="spellEnd"/>
      <w:r>
        <w:rPr>
          <w:rtl/>
        </w:rPr>
        <w:t xml:space="preserve"> אפשטיין, שבא </w:t>
      </w:r>
      <w:proofErr w:type="spellStart"/>
      <w:r>
        <w:rPr>
          <w:rtl/>
        </w:rPr>
        <w:t>לסלבודקה</w:t>
      </w:r>
      <w:proofErr w:type="spellEnd"/>
      <w:r>
        <w:rPr>
          <w:rtl/>
        </w:rPr>
        <w:t xml:space="preserve"> </w:t>
      </w:r>
      <w:proofErr w:type="spellStart"/>
      <w:r>
        <w:rPr>
          <w:rtl/>
        </w:rPr>
        <w:t>חמש־עשרה</w:t>
      </w:r>
      <w:proofErr w:type="spellEnd"/>
      <w:r>
        <w:rPr>
          <w:rtl/>
        </w:rPr>
        <w:t xml:space="preserve"> שנה לפניו. מסופר </w:t>
      </w:r>
      <w:proofErr w:type="spellStart"/>
      <w:r>
        <w:rPr>
          <w:rtl/>
        </w:rPr>
        <w:t>ב“ר</w:t>
      </w:r>
      <w:proofErr w:type="spellEnd"/>
      <w:r>
        <w:rPr>
          <w:rtl/>
        </w:rPr>
        <w:t xml:space="preserve">׳ ברוך בר” שכעבור </w:t>
      </w:r>
      <w:proofErr w:type="spellStart"/>
      <w:r>
        <w:rPr>
          <w:rtl/>
        </w:rPr>
        <w:t>זמן־מה</w:t>
      </w:r>
      <w:proofErr w:type="spellEnd"/>
      <w:r>
        <w:rPr>
          <w:rtl/>
        </w:rPr>
        <w:t xml:space="preserve">, כשהתלונן ר׳ </w:t>
      </w:r>
      <w:proofErr w:type="spellStart"/>
      <w:r>
        <w:rPr>
          <w:rtl/>
        </w:rPr>
        <w:t>ברוך־בער</w:t>
      </w:r>
      <w:proofErr w:type="spellEnd"/>
      <w:r>
        <w:rPr>
          <w:rtl/>
        </w:rPr>
        <w:t xml:space="preserve"> לפני ר׳ חיים על קשיי פרנסה, נזף בו רבו ואמר </w:t>
      </w:r>
      <w:proofErr w:type="spellStart"/>
      <w:r>
        <w:rPr>
          <w:rtl/>
        </w:rPr>
        <w:t>ש“איש</w:t>
      </w:r>
      <w:proofErr w:type="spellEnd"/>
      <w:r>
        <w:rPr>
          <w:rtl/>
        </w:rPr>
        <w:t xml:space="preserve"> לא אמר לו להיות צדיק גדול כל כך” ולדחות את רבנות </w:t>
      </w:r>
      <w:proofErr w:type="spellStart"/>
      <w:r>
        <w:rPr>
          <w:rtl/>
        </w:rPr>
        <w:t>סלבודקה</w:t>
      </w:r>
      <w:bookmarkStart w:id="2210" w:name="_fnr1403"/>
      <w:bookmarkStart w:id="2211" w:name="pr_f_1316"/>
      <w:proofErr w:type="spellEnd"/>
      <w:r>
        <w:rPr>
          <w:rStyle w:val="a5"/>
        </w:rPr>
        <w:footnoteReference w:id="1406" w:customMarkFollows="0"/>
      </w:r>
      <w:bookmarkEnd w:id="2210"/>
      <w:bookmarkEnd w:id="2211"/>
      <w:r>
        <w:rPr>
          <w:rtl/>
        </w:rPr>
        <w:t xml:space="preserve">. למרבה הפלא, כשעלתה ההצעה לא שאל ר׳ </w:t>
      </w:r>
      <w:proofErr w:type="spellStart"/>
      <w:r>
        <w:rPr>
          <w:rtl/>
        </w:rPr>
        <w:t>ברוך־בער</w:t>
      </w:r>
      <w:proofErr w:type="spellEnd"/>
      <w:r>
        <w:rPr>
          <w:rtl/>
        </w:rPr>
        <w:t xml:space="preserve"> בעצת רבו, שלא כמו בעניינים אחרים – השווה סוף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“ר׳ ברוך בר”</w:t>
      </w:r>
      <w:bookmarkStart w:id="2212" w:name="_fnr1404"/>
      <w:r>
        <w:rPr>
          <w:rStyle w:val="a5"/>
        </w:rPr>
        <w:footnoteReference w:id="1407" w:customMarkFollows="0"/>
      </w:r>
      <w:bookmarkEnd w:id="2212"/>
      <w:r>
        <w:rPr>
          <w:rtl/>
        </w:rPr>
        <w:t xml:space="preserve">, המספר שר׳ </w:t>
      </w:r>
      <w:proofErr w:type="spellStart"/>
      <w:r>
        <w:rPr>
          <w:rtl/>
        </w:rPr>
        <w:t>ברוך־בער</w:t>
      </w:r>
      <w:proofErr w:type="spellEnd"/>
      <w:r>
        <w:rPr>
          <w:rtl/>
        </w:rPr>
        <w:t xml:space="preserve"> בכה מרה בהספדו על ר׳ </w:t>
      </w:r>
      <w:proofErr w:type="spellStart"/>
      <w:r>
        <w:rPr>
          <w:rtl/>
        </w:rPr>
        <w:t>משה־מרדכי</w:t>
      </w:r>
      <w:proofErr w:type="spellEnd"/>
      <w:r>
        <w:rPr>
          <w:rtl/>
        </w:rPr>
        <w:t>, וביטא את תחושתו על האבדה בדימוי עז: “כששומעים שגאון וצדיק כזה מת, צריך להשחיר כפחם.”</w:t>
      </w:r>
    </w:p>
    <w:bookmarkStart w:id="2213" w:name="b3_note139"/>
    <w:p w14:paraId="3B7B2C41" w14:textId="0C508FB6" w:rsidR="00AB3647" w:rsidRDefault="00000000" w:rsidP="007923E9">
      <w:pPr>
        <w:spacing w:before="120" w:after="100" w:line="276" w:lineRule="auto"/>
        <w:jc w:val="both"/>
      </w:pPr>
      <w:r>
        <w:fldChar w:fldCharType="begin" w:dirty="true"/>
      </w:r>
      <w:r>
        <w:instrText>HYPERLINK \l "b3_ref139"</w:instrText>
      </w:r>
      <w:r>
        <w:fldChar w:fldCharType="separate"/>
      </w:r>
      <w:r>
        <w:rPr>
          <w:b/>
          <w:bCs/>
          <w:rtl/>
        </w:rPr>
        <w:t>139</w:t>
      </w:r>
      <w:r>
        <w:rPr>
          <w:b/>
          <w:bCs/>
        </w:rPr>
        <w:fldChar w:fldCharType="end"/>
      </w:r>
      <w:bookmarkEnd w:id="2213"/>
      <w:r>
        <w:rPr>
          <w:rtl/>
        </w:rPr>
        <w:t xml:space="preserve"> השווה סוף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w:t>
      </w:r>
    </w:p>
    <w:bookmarkStart w:id="2214" w:name="b3_note140"/>
    <w:p w14:paraId="7F5D885C" w14:textId="77777777" w:rsidR="00AB3647" w:rsidRDefault="00000000" w:rsidP="007923E9">
      <w:pPr>
        <w:spacing w:before="120" w:after="100" w:line="276" w:lineRule="auto"/>
        <w:jc w:val="both"/>
      </w:pPr>
      <w:r>
        <w:fldChar w:fldCharType="begin" w:dirty="true"/>
      </w:r>
      <w:r>
        <w:instrText>HYPERLINK \l "b3_ref140"</w:instrText>
      </w:r>
      <w:r>
        <w:fldChar w:fldCharType="separate"/>
      </w:r>
      <w:r>
        <w:rPr>
          <w:b/>
          <w:bCs/>
          <w:rtl/>
        </w:rPr>
        <w:t>140</w:t>
      </w:r>
      <w:r>
        <w:rPr>
          <w:b/>
          <w:bCs/>
        </w:rPr>
        <w:fldChar w:fldCharType="end"/>
      </w:r>
      <w:bookmarkEnd w:id="2214"/>
      <w:r>
        <w:rPr>
          <w:rtl/>
        </w:rPr>
        <w:t xml:space="preserve"> “סיפור ר׳ </w:t>
      </w:r>
      <w:proofErr w:type="spellStart"/>
      <w:r>
        <w:rPr>
          <w:rtl/>
        </w:rPr>
        <w:t>ברוך־בער</w:t>
      </w:r>
      <w:proofErr w:type="spellEnd"/>
      <w:r>
        <w:rPr>
          <w:rtl/>
        </w:rPr>
        <w:t xml:space="preserve">” ומאמר הזיכרון שכתב ר׳ חיים שפירא </w:t>
      </w:r>
      <w:proofErr w:type="spellStart"/>
      <w:r>
        <w:rPr>
          <w:rtl/>
        </w:rPr>
        <w:t>בג׳ואיש</w:t>
      </w:r>
      <w:proofErr w:type="spellEnd"/>
      <w:r>
        <w:rPr>
          <w:rtl/>
        </w:rPr>
        <w:t xml:space="preserve"> </w:t>
      </w:r>
      <w:proofErr w:type="spellStart"/>
      <w:r>
        <w:rPr>
          <w:rtl/>
        </w:rPr>
        <w:t>אובזרבר</w:t>
      </w:r>
      <w:proofErr w:type="spellEnd"/>
      <w:r>
        <w:rPr>
          <w:rtl/>
        </w:rPr>
        <w:t xml:space="preserve"> במלאת חמישים שנה לפטירתו</w:t>
      </w:r>
      <w:bookmarkStart w:id="2215" w:name="_fnr1405"/>
      <w:r>
        <w:rPr>
          <w:rStyle w:val="a5"/>
        </w:rPr>
        <w:footnoteReference w:id="1408" w:customMarkFollows="0"/>
      </w:r>
      <w:bookmarkEnd w:id="2215"/>
      <w:r>
        <w:rPr>
          <w:rtl/>
        </w:rPr>
        <w:t xml:space="preserve"> מלאים דוגמאות לשלוש התכונות האלה. בהקדמת “שיעורי וכו׳ רבי ברוך דוב זצ״ל (</w:t>
      </w:r>
      <w:proofErr w:type="spellStart"/>
      <w:r>
        <w:rPr>
          <w:rtl/>
        </w:rPr>
        <w:t>לייבאוויץ</w:t>
      </w:r>
      <w:proofErr w:type="spellEnd"/>
      <w:r>
        <w:rPr>
          <w:rtl/>
        </w:rPr>
        <w:t>)”</w:t>
      </w:r>
      <w:bookmarkStart w:id="2216" w:name="_fnr1406"/>
      <w:r>
        <w:rPr>
          <w:rStyle w:val="a5"/>
        </w:rPr>
        <w:footnoteReference w:id="1409" w:customMarkFollows="0"/>
      </w:r>
      <w:bookmarkEnd w:id="2216"/>
      <w:r>
        <w:rPr>
          <w:rtl/>
        </w:rPr>
        <w:t xml:space="preserve"> מופיע פרט מעורר השראה על צדיק זה. ר׳ </w:t>
      </w:r>
      <w:proofErr w:type="spellStart"/>
      <w:r>
        <w:rPr>
          <w:rtl/>
        </w:rPr>
        <w:t>ברוך־בער</w:t>
      </w:r>
      <w:proofErr w:type="spellEnd"/>
      <w:r>
        <w:rPr>
          <w:rtl/>
        </w:rPr>
        <w:t xml:space="preserve"> היה אומר פעמים רבות: “כשיגיע יומי לעמוד לפני בית דין של מעלה, וישאלוני עם מה באתי, מה אשיב? ‘באתי עם תורה’? וכי זו [שיעוריי] באמת תורה? ‘עם יראת שמים’? וכי זו [התנהגותי החסודה] אכן יראת שמים? מה אטען לזכותי? זאת אומר: ‘אהבתי יהודים!’ כשאני הולך ברחוב ויהודי בא לקראתי, מה עולה בדעתי? ‘ברכה על ראשו!’” השווה גם “חידושי ושיעורי רבי ברוך בער”</w:t>
      </w:r>
      <w:bookmarkStart w:id="2217" w:name="_fnr1407"/>
      <w:r>
        <w:rPr>
          <w:rStyle w:val="a5"/>
        </w:rPr>
        <w:footnoteReference w:id="1410" w:customMarkFollows="0"/>
      </w:r>
      <w:bookmarkEnd w:id="2217"/>
      <w:r>
        <w:rPr>
          <w:rtl/>
        </w:rPr>
        <w:t xml:space="preserve">, המוסיף לציטוט שלעיל תוספת קטנה אך משמעותית: “רכשתי את אהבת היהודי </w:t>
      </w:r>
      <w:r>
        <w:rPr>
          <w:b/>
          <w:bCs/>
          <w:rtl/>
        </w:rPr>
        <w:t>ככל יכולתי</w:t>
      </w:r>
      <w:r>
        <w:rPr>
          <w:rtl/>
        </w:rPr>
        <w:t>.”</w:t>
      </w:r>
    </w:p>
    <w:p w14:paraId="42452DF4" w14:textId="77777777" w:rsidR="00AB3647" w:rsidRDefault="00000000" w:rsidP="007923E9">
      <w:pPr>
        <w:spacing w:after="100" w:line="276" w:lineRule="auto"/>
        <w:ind w:firstLine="340"/>
        <w:jc w:val="both"/>
      </w:pPr>
      <w:r>
        <w:rPr>
          <w:rtl/>
        </w:rPr>
        <w:t xml:space="preserve">ועיין בספר בעיות הזמן מאת רבי ראובן </w:t>
      </w:r>
      <w:proofErr w:type="spellStart"/>
      <w:r>
        <w:rPr>
          <w:rtl/>
        </w:rPr>
        <w:t>גרוזובסקי</w:t>
      </w:r>
      <w:bookmarkStart w:id="2218" w:name="_fnr1408"/>
      <w:proofErr w:type="spellEnd"/>
      <w:r>
        <w:rPr>
          <w:rStyle w:val="a5"/>
        </w:rPr>
        <w:footnoteReference w:id="1411" w:customMarkFollows="0"/>
      </w:r>
      <w:bookmarkEnd w:id="2218"/>
      <w:r>
        <w:rPr>
          <w:rtl/>
        </w:rPr>
        <w:t>, שר׳ ברוך בער זצ״ל ביאר שגודל השנאה לפושעי ישראל בא מרוב אהבה ואחוה עיי״ש.</w:t>
      </w:r>
    </w:p>
    <w:bookmarkStart w:id="2219" w:name="b3_note141"/>
    <w:p w14:paraId="7300BF48" w14:textId="77777777" w:rsidR="00AB3647" w:rsidRDefault="00000000" w:rsidP="007923E9">
      <w:pPr>
        <w:spacing w:before="120" w:after="100" w:line="276" w:lineRule="auto"/>
        <w:jc w:val="both"/>
      </w:pPr>
      <w:r>
        <w:fldChar w:fldCharType="begin" w:dirty="true"/>
      </w:r>
      <w:r>
        <w:instrText>HYPERLINK \l "b3_ref141"</w:instrText>
      </w:r>
      <w:r>
        <w:fldChar w:fldCharType="separate"/>
      </w:r>
      <w:r>
        <w:rPr>
          <w:b/>
          <w:bCs/>
          <w:rtl/>
        </w:rPr>
        <w:t>141</w:t>
      </w:r>
      <w:r>
        <w:rPr>
          <w:b/>
          <w:bCs/>
        </w:rPr>
        <w:fldChar w:fldCharType="end"/>
      </w:r>
      <w:bookmarkEnd w:id="2219"/>
      <w:r>
        <w:rPr>
          <w:rtl/>
        </w:rPr>
        <w:t xml:space="preserve"> אבי הרבה לספר על מעשה שאירע פעם בתפילת ערבית לאחר המפגש: “ילדו הצעיר של ר׳ </w:t>
      </w:r>
      <w:proofErr w:type="spellStart"/>
      <w:r>
        <w:rPr>
          <w:rtl/>
        </w:rPr>
        <w:t>ברוך־בער</w:t>
      </w:r>
      <w:proofErr w:type="spellEnd"/>
      <w:r>
        <w:rPr>
          <w:rtl/>
        </w:rPr>
        <w:t xml:space="preserve"> הדליק נר באמצע הברכות שלאחר קריאת שמע כדי לקרוא מן הסידור ‘ברוך ה׳ לעולם’</w:t>
      </w:r>
      <w:bookmarkStart w:id="2220" w:name="_fnr1409"/>
      <w:r>
        <w:rPr>
          <w:rStyle w:val="a5"/>
        </w:rPr>
        <w:footnoteReference w:id="1412" w:customMarkFollows="0"/>
      </w:r>
      <w:bookmarkEnd w:id="2220"/>
      <w:r>
        <w:rPr>
          <w:rtl/>
        </w:rPr>
        <w:t xml:space="preserve">. לאחר שהסתיימה התפילה פנה אליו ראש הישיבה ואמר: ‘מיין </w:t>
      </w:r>
      <w:proofErr w:type="spellStart"/>
      <w:r>
        <w:rPr>
          <w:rtl/>
        </w:rPr>
        <w:t>טייערער</w:t>
      </w:r>
      <w:proofErr w:type="spellEnd"/>
      <w:r>
        <w:rPr>
          <w:rtl/>
        </w:rPr>
        <w:t xml:space="preserve"> </w:t>
      </w:r>
      <w:proofErr w:type="spellStart"/>
      <w:r>
        <w:rPr>
          <w:rtl/>
        </w:rPr>
        <w:t>קינד</w:t>
      </w:r>
      <w:proofErr w:type="spellEnd"/>
      <w:r>
        <w:rPr>
          <w:rtl/>
        </w:rPr>
        <w:t xml:space="preserve">, </w:t>
      </w:r>
      <w:proofErr w:type="spellStart"/>
      <w:r>
        <w:rPr>
          <w:rtl/>
        </w:rPr>
        <w:t>לאנג</w:t>
      </w:r>
      <w:proofErr w:type="spellEnd"/>
      <w:r>
        <w:rPr>
          <w:rtl/>
        </w:rPr>
        <w:t xml:space="preserve"> </w:t>
      </w:r>
      <w:proofErr w:type="spellStart"/>
      <w:r>
        <w:rPr>
          <w:rtl/>
        </w:rPr>
        <w:t>זאלסטו</w:t>
      </w:r>
      <w:proofErr w:type="spellEnd"/>
      <w:r>
        <w:rPr>
          <w:rtl/>
        </w:rPr>
        <w:t xml:space="preserve"> </w:t>
      </w:r>
      <w:proofErr w:type="spellStart"/>
      <w:r>
        <w:rPr>
          <w:rtl/>
        </w:rPr>
        <w:t>לעבען</w:t>
      </w:r>
      <w:proofErr w:type="spellEnd"/>
      <w:r>
        <w:rPr>
          <w:rtl/>
        </w:rPr>
        <w:t xml:space="preserve">, דו </w:t>
      </w:r>
      <w:proofErr w:type="spellStart"/>
      <w:r>
        <w:rPr>
          <w:rtl/>
        </w:rPr>
        <w:t>האסט</w:t>
      </w:r>
      <w:proofErr w:type="spellEnd"/>
      <w:r>
        <w:rPr>
          <w:rtl/>
        </w:rPr>
        <w:t xml:space="preserve"> עובר </w:t>
      </w:r>
      <w:proofErr w:type="spellStart"/>
      <w:r>
        <w:rPr>
          <w:rtl/>
        </w:rPr>
        <w:t>געווען</w:t>
      </w:r>
      <w:proofErr w:type="spellEnd"/>
      <w:r>
        <w:rPr>
          <w:rtl/>
        </w:rPr>
        <w:t xml:space="preserve"> </w:t>
      </w:r>
      <w:proofErr w:type="spellStart"/>
      <w:r>
        <w:rPr>
          <w:rtl/>
        </w:rPr>
        <w:t>אויף</w:t>
      </w:r>
      <w:proofErr w:type="spellEnd"/>
      <w:r>
        <w:rPr>
          <w:rtl/>
        </w:rPr>
        <w:t xml:space="preserve"> א דרבנן און </w:t>
      </w:r>
      <w:proofErr w:type="spellStart"/>
      <w:r>
        <w:rPr>
          <w:rtl/>
        </w:rPr>
        <w:t>עס</w:t>
      </w:r>
      <w:proofErr w:type="spellEnd"/>
      <w:r>
        <w:rPr>
          <w:rtl/>
        </w:rPr>
        <w:t xml:space="preserve"> קומט דיר א </w:t>
      </w:r>
      <w:proofErr w:type="spellStart"/>
      <w:r>
        <w:rPr>
          <w:rtl/>
        </w:rPr>
        <w:t>פאטש</w:t>
      </w:r>
      <w:proofErr w:type="spellEnd"/>
      <w:r>
        <w:rPr>
          <w:rtl/>
        </w:rPr>
        <w:t xml:space="preserve"> [ילדי </w:t>
      </w:r>
      <w:r>
        <w:rPr>
          <w:rtl/>
        </w:rPr>
        <w:lastRenderedPageBreak/>
        <w:t xml:space="preserve">היקר, תחיה לאורך ימים, עברת על איסור דרבנן – לעשות מלאכה קודם הבדלה – ומגיעה לך סטירה]’, ונתן לו סטירה.” ר׳ </w:t>
      </w:r>
      <w:proofErr w:type="spellStart"/>
      <w:r>
        <w:rPr>
          <w:rtl/>
        </w:rPr>
        <w:t>לייבל</w:t>
      </w:r>
      <w:proofErr w:type="spellEnd"/>
      <w:r>
        <w:rPr>
          <w:rtl/>
        </w:rPr>
        <w:t xml:space="preserve"> </w:t>
      </w:r>
      <w:proofErr w:type="spellStart"/>
      <w:r>
        <w:rPr>
          <w:rtl/>
        </w:rPr>
        <w:t>פרלשטיין</w:t>
      </w:r>
      <w:bookmarkStart w:id="2221" w:name="_fnr1410"/>
      <w:proofErr w:type="spellEnd"/>
      <w:r>
        <w:rPr>
          <w:rStyle w:val="a5"/>
        </w:rPr>
        <w:footnoteReference w:id="1413" w:customMarkFollows="0"/>
      </w:r>
      <w:bookmarkEnd w:id="2221"/>
      <w:r>
        <w:rPr>
          <w:rtl/>
        </w:rPr>
        <w:t xml:space="preserve"> סיפר שאבי אמר לו: “מה שנתן לילד היה טפיחה קלה על הלחי. זו הייתה הסטירה שלו.” ר׳ שלמה אשכנזי סיפר בשם רבנו</w:t>
      </w:r>
      <w:bookmarkStart w:id="2222" w:name="_fnr1411"/>
      <w:r>
        <w:rPr>
          <w:rStyle w:val="a5"/>
        </w:rPr>
        <w:footnoteReference w:id="1414" w:customMarkFollows="0"/>
      </w:r>
      <w:bookmarkEnd w:id="2222"/>
      <w:r>
        <w:rPr>
          <w:rtl/>
        </w:rPr>
        <w:t xml:space="preserve"> שלפני הסטירה אמר ר׳ </w:t>
      </w:r>
      <w:proofErr w:type="spellStart"/>
      <w:r>
        <w:rPr>
          <w:rtl/>
        </w:rPr>
        <w:t>ברוך־בער</w:t>
      </w:r>
      <w:proofErr w:type="spellEnd"/>
      <w:r>
        <w:rPr>
          <w:rtl/>
        </w:rPr>
        <w:t xml:space="preserve"> לילד שכדי להראות את אהבתו עליו להענישו, “ככתוב: חושך שבטו שונא בנו ואוהבו שחרו מוסר</w:t>
      </w:r>
      <w:bookmarkStart w:id="2223" w:name="_fnr1412"/>
      <w:r>
        <w:rPr>
          <w:rStyle w:val="a5"/>
        </w:rPr>
        <w:footnoteReference w:id="1415" w:customMarkFollows="0"/>
      </w:r>
      <w:bookmarkEnd w:id="2223"/>
      <w:r>
        <w:rPr>
          <w:rtl/>
        </w:rPr>
        <w:t>”.</w:t>
      </w:r>
    </w:p>
    <w:p w14:paraId="7EB71E98" w14:textId="09A5EA6C" w:rsidR="00AB3647" w:rsidRDefault="00000000" w:rsidP="007923E9">
      <w:pPr>
        <w:spacing w:before="120" w:after="100" w:line="276" w:lineRule="auto"/>
        <w:jc w:val="both"/>
      </w:pPr>
      <w:r>
        <w:rPr>
          <w:rtl/>
        </w:rPr>
        <w:t>ר׳ מרדכי שיין</w:t>
      </w:r>
      <w:bookmarkStart w:id="2224" w:name="_fnr1413"/>
      <w:r>
        <w:rPr>
          <w:rStyle w:val="a5"/>
        </w:rPr>
        <w:footnoteReference w:id="1416" w:customMarkFollows="0"/>
      </w:r>
      <w:bookmarkEnd w:id="2224"/>
      <w:r>
        <w:rPr>
          <w:rtl/>
        </w:rPr>
        <w:t xml:space="preserve"> אמר שאבי סיפר את המעשה (ואת זה שהובא בפרק 1, הערה </w:t>
      </w:r>
      <w:r>
        <w:rPr>
          <w:rtl/>
        </w:rPr>
        <w:fldChar w:fldCharType="begin" w:dirty="true"/>
      </w:r>
      <w:r>
        <w:rPr>
          <w:rtl/>
        </w:rPr>
        <w:instrText xml:space="preserve"> REF b1_note64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64</w:t>
      </w:r>
      <w:r>
        <w:rPr>
          <w:rtl/>
        </w:rPr>
        <w:fldChar w:fldCharType="end"/>
      </w:r>
      <w:r>
        <w:rPr>
          <w:rtl/>
        </w:rPr>
        <w:t xml:space="preserve">) בתשובה לשאלה על ענישה גופנית של ילדים שאינם מתנהגים כראוי. אבי הסיק שמותר להעניש עונש גופני כל עוד מכים את הילד באותה אהבה ובאותו יישוב הדעת שהפגין ר׳ </w:t>
      </w:r>
      <w:proofErr w:type="spellStart"/>
      <w:r>
        <w:rPr>
          <w:rtl/>
        </w:rPr>
        <w:t>ברוך־בער</w:t>
      </w:r>
      <w:bookmarkStart w:id="2225" w:name="_fnr1414"/>
      <w:proofErr w:type="spellEnd"/>
      <w:r>
        <w:rPr>
          <w:rStyle w:val="a5"/>
        </w:rPr>
        <w:footnoteReference w:id="1417" w:customMarkFollows="0"/>
      </w:r>
      <w:bookmarkEnd w:id="2225"/>
      <w:r>
        <w:rPr>
          <w:rtl/>
        </w:rPr>
        <w:t>.</w:t>
      </w:r>
    </w:p>
    <w:p w14:paraId="521DADB8" w14:textId="77777777" w:rsidR="00AB3647" w:rsidRDefault="00000000" w:rsidP="007923E9">
      <w:pPr>
        <w:spacing w:after="100" w:line="276" w:lineRule="auto"/>
        <w:ind w:firstLine="340"/>
        <w:jc w:val="both"/>
      </w:pPr>
      <w:r>
        <w:rPr>
          <w:rtl/>
        </w:rPr>
        <w:t xml:space="preserve">ברשימותיו של ר׳ יוסף </w:t>
      </w:r>
      <w:proofErr w:type="spellStart"/>
      <w:r>
        <w:rPr>
          <w:rtl/>
        </w:rPr>
        <w:t>היינמן</w:t>
      </w:r>
      <w:proofErr w:type="spellEnd"/>
      <w:r>
        <w:rPr>
          <w:rtl/>
        </w:rPr>
        <w:t xml:space="preserve"> בשולי שיעורי אבי על “ספר חסידים”</w:t>
      </w:r>
      <w:bookmarkStart w:id="2226" w:name="_fnr1415"/>
      <w:r>
        <w:rPr>
          <w:rStyle w:val="a5"/>
        </w:rPr>
        <w:footnoteReference w:id="1418" w:customMarkFollows="0"/>
      </w:r>
      <w:bookmarkEnd w:id="2226"/>
      <w:r>
        <w:rPr>
          <w:rtl/>
        </w:rPr>
        <w:t xml:space="preserve"> מובא המעשה הבא: לפני שהיה ר׳ יוסף לייב בלוך, רבה של </w:t>
      </w:r>
      <w:proofErr w:type="spellStart"/>
      <w:r>
        <w:rPr>
          <w:rtl/>
        </w:rPr>
        <w:t>טלז</w:t>
      </w:r>
      <w:proofErr w:type="spellEnd"/>
      <w:r>
        <w:rPr>
          <w:rtl/>
        </w:rPr>
        <w:t>, מכה את ילדו, היה מכנס את כל המשפחה ונושא דברים על הפסול שבמעשה הנער. לאחר מכן פנה ר׳ יוסף לייב אל הילד ואמר: “על זה אתה מקבל שלוש מכות.” אבי הדגיש שדרך זו הבטיחה שר׳ יוסף לייב בלוך לעולם לא יכה את ילדו מתוך כעס. ר׳ יוסף אפשטיין זכר</w:t>
      </w:r>
      <w:bookmarkStart w:id="2227" w:name="_fnr1416"/>
      <w:r>
        <w:rPr>
          <w:rStyle w:val="a5"/>
        </w:rPr>
        <w:footnoteReference w:id="1419" w:customMarkFollows="0"/>
      </w:r>
      <w:bookmarkEnd w:id="2227"/>
      <w:r>
        <w:rPr>
          <w:rtl/>
        </w:rPr>
        <w:t xml:space="preserve"> שאבי סיפר לו את המעשה עשרים וחמש שנה לפני כתיבת הרשימות, בטורונטו, שבה שהה ר׳ יוסף זמן רב בביתנו לאחר שחרורו ממחנה מעצר קנדי</w:t>
      </w:r>
      <w:bookmarkStart w:id="2228" w:name="_fnr1417"/>
      <w:r>
        <w:rPr>
          <w:rStyle w:val="a5"/>
        </w:rPr>
        <w:footnoteReference w:id="1420" w:customMarkFollows="0"/>
      </w:r>
      <w:bookmarkEnd w:id="2228"/>
      <w:r>
        <w:rPr>
          <w:rtl/>
        </w:rPr>
        <w:t>. ר׳ יוסף גם זכר שרבנו נהג בילדיו באותו אופן.</w:t>
      </w:r>
    </w:p>
    <w:p w14:paraId="579E5976" w14:textId="77777777" w:rsidR="00AB3647" w:rsidRDefault="00000000" w:rsidP="007923E9">
      <w:pPr>
        <w:spacing w:after="100" w:line="276" w:lineRule="auto"/>
        <w:ind w:firstLine="340"/>
        <w:jc w:val="both"/>
      </w:pPr>
      <w:r>
        <w:rPr>
          <w:rtl/>
        </w:rPr>
        <w:t>כשפיטר מורה בתלמוד התורה בטורונטו על שהכה ילד, הסביר אבי שעשה זאת לא משום שאסור למורה להכות תלמיד, אלא מפני שהמורה הכה את הילד מתוך שנאה</w:t>
      </w:r>
      <w:bookmarkStart w:id="2229" w:name="_fnr1418"/>
      <w:r>
        <w:rPr>
          <w:rStyle w:val="a5"/>
        </w:rPr>
        <w:footnoteReference w:id="1421" w:customMarkFollows="0"/>
      </w:r>
      <w:bookmarkEnd w:id="2229"/>
      <w:r>
        <w:rPr>
          <w:rtl/>
        </w:rPr>
        <w:t xml:space="preserve">. אבי סיפר </w:t>
      </w:r>
      <w:proofErr w:type="spellStart"/>
      <w:r>
        <w:rPr>
          <w:rtl/>
        </w:rPr>
        <w:t>לר</w:t>
      </w:r>
      <w:proofErr w:type="spellEnd"/>
      <w:r>
        <w:rPr>
          <w:rtl/>
        </w:rPr>
        <w:t xml:space="preserve">׳ </w:t>
      </w:r>
      <w:proofErr w:type="spellStart"/>
      <w:r>
        <w:rPr>
          <w:rtl/>
        </w:rPr>
        <w:t>אברהם־חיים</w:t>
      </w:r>
      <w:proofErr w:type="spellEnd"/>
      <w:r>
        <w:rPr>
          <w:rtl/>
        </w:rPr>
        <w:t xml:space="preserve"> </w:t>
      </w:r>
      <w:proofErr w:type="spellStart"/>
      <w:r>
        <w:rPr>
          <w:rtl/>
        </w:rPr>
        <w:t>פויער</w:t>
      </w:r>
      <w:bookmarkStart w:id="2230" w:name="_fnr1419"/>
      <w:proofErr w:type="spellEnd"/>
      <w:r>
        <w:rPr>
          <w:rStyle w:val="a5"/>
        </w:rPr>
        <w:footnoteReference w:id="1422" w:customMarkFollows="0"/>
      </w:r>
      <w:bookmarkEnd w:id="2230"/>
      <w:r>
        <w:rPr>
          <w:rtl/>
        </w:rPr>
        <w:t xml:space="preserve"> שלא הכה את ילדיו. המעשה הקשה ביותר שעשה היה להפחיד את בנו בן השבע, שהלך לבדו </w:t>
      </w:r>
      <w:proofErr w:type="spellStart"/>
      <w:r>
        <w:rPr>
          <w:rtl/>
        </w:rPr>
        <w:t>מציטוביאן</w:t>
      </w:r>
      <w:proofErr w:type="spellEnd"/>
      <w:r>
        <w:rPr>
          <w:rtl/>
        </w:rPr>
        <w:t xml:space="preserve">, שבה שימש רב, </w:t>
      </w:r>
      <w:proofErr w:type="spellStart"/>
      <w:r>
        <w:rPr>
          <w:rtl/>
        </w:rPr>
        <w:t>לשידלווה</w:t>
      </w:r>
      <w:proofErr w:type="spellEnd"/>
      <w:r>
        <w:rPr>
          <w:rtl/>
        </w:rPr>
        <w:t xml:space="preserve"> הסמוכה – הוא אמר לילד שאם יתנהג כך שוב, אביו עלול למכור אותו לצוענים.</w:t>
      </w:r>
    </w:p>
    <w:p w14:paraId="70DAFA1A" w14:textId="77777777" w:rsidR="00AB3647" w:rsidRDefault="00000000" w:rsidP="007923E9">
      <w:pPr>
        <w:spacing w:after="100" w:line="276" w:lineRule="auto"/>
        <w:ind w:firstLine="340"/>
        <w:jc w:val="both"/>
      </w:pPr>
      <w:r>
        <w:rPr>
          <w:rtl/>
        </w:rPr>
        <w:t xml:space="preserve">פסיכולוגים בני זמננו עשויים לראות בעונש כזה, הפחדת הילד, דבר מזיק יותר מענישה גופנית, אבל רבנו ראה בהרמת יד על אדם מעשה מתועב מעצם טבעו. יהודים רואים בדרך כלל באלימות בידיים דבר מגונה יותר מאלימות בדיבור – הפסוק “הקול קול יעקב </w:t>
      </w:r>
      <w:proofErr w:type="spellStart"/>
      <w:r>
        <w:rPr>
          <w:rtl/>
        </w:rPr>
        <w:t>והידים</w:t>
      </w:r>
      <w:proofErr w:type="spellEnd"/>
      <w:r>
        <w:rPr>
          <w:rtl/>
        </w:rPr>
        <w:t xml:space="preserve"> ידי עשו” (בראשית </w:t>
      </w:r>
      <w:proofErr w:type="spellStart"/>
      <w:r>
        <w:rPr>
          <w:rtl/>
        </w:rPr>
        <w:t>כז</w:t>
      </w:r>
      <w:proofErr w:type="spellEnd"/>
      <w:r>
        <w:rPr>
          <w:rtl/>
        </w:rPr>
        <w:t xml:space="preserve">, </w:t>
      </w:r>
      <w:proofErr w:type="spellStart"/>
      <w:r>
        <w:rPr>
          <w:rtl/>
        </w:rPr>
        <w:t>כב</w:t>
      </w:r>
      <w:proofErr w:type="spellEnd"/>
      <w:r>
        <w:rPr>
          <w:rtl/>
        </w:rPr>
        <w:t>) נדרש בדרך מליצה: כל מה שעשו משיג בידיו, יעקב משיג בקולו בלבד.</w:t>
      </w:r>
    </w:p>
    <w:p w14:paraId="1BB9A96A" w14:textId="68E484B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הסבא, מצדו, לא העלה על דעתו מעולם למנוע מתלמידי כנסת בית יצחק ליהנות מן המוסר, תחום ייחודה של כנסת ישראל</w:t>
      </w:r>
      <w:bookmarkStart w:id="2231" w:name="b3_ref142"/>
      <w:bookmarkEnd w:id="2231"/>
      <w:r>
        <w:rPr>
          <w:vertAlign w:val="superscript"/>
          <w:rtl/>
        </w:rPr>
        <w:fldChar w:fldCharType="begin" w:dirty="true"/>
      </w:r>
      <w:r>
        <w:rPr>
          <w:vertAlign w:val="superscript"/>
          <w:rtl/>
        </w:rPr>
        <w:instrText xml:space="preserve"> REF b3_note142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142</w:t>
      </w:r>
      <w:r>
        <w:rPr>
          <w:vertAlign w:val="superscript"/>
          <w:rtl/>
        </w:rPr>
        <w:fldChar w:fldCharType="end"/>
      </w:r>
      <w:r>
        <w:rPr>
          <w:rtl/>
        </w:rPr>
        <w:t xml:space="preserve">. ר׳ </w:t>
      </w:r>
      <w:proofErr w:type="spellStart"/>
      <w:r>
        <w:rPr>
          <w:rtl/>
        </w:rPr>
        <w:t>נתן־צבי</w:t>
      </w:r>
      <w:proofErr w:type="spellEnd"/>
      <w:r>
        <w:rPr>
          <w:rtl/>
        </w:rPr>
        <w:t xml:space="preserve"> רצה לקדם את דרך המוסר, ולכן עודד את בחורי כנסת בית יצחק להשתתף בשיחות המוסר שלו, ואף הזמין כמה מהם לשיחות אישיות. כעבור </w:t>
      </w:r>
      <w:proofErr w:type="spellStart"/>
      <w:r>
        <w:rPr>
          <w:rtl/>
        </w:rPr>
        <w:t>זמן־מה</w:t>
      </w:r>
      <w:proofErr w:type="spellEnd"/>
      <w:r>
        <w:rPr>
          <w:rtl/>
        </w:rPr>
        <w:t xml:space="preserve"> הקים ועד מיוחד של מוסר</w:t>
      </w:r>
      <w:bookmarkStart w:id="2232" w:name="b3_ref143"/>
      <w:bookmarkEnd w:id="2232"/>
      <w:r>
        <w:rPr>
          <w:vertAlign w:val="superscript"/>
          <w:rtl/>
        </w:rPr>
        <w:fldChar w:fldCharType="begin" w:dirty="true"/>
      </w:r>
      <w:r>
        <w:rPr>
          <w:vertAlign w:val="superscript"/>
          <w:rtl/>
        </w:rPr>
        <w:instrText xml:space="preserve"> REF b3_note143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143</w:t>
      </w:r>
      <w:r>
        <w:rPr>
          <w:vertAlign w:val="superscript"/>
          <w:rtl/>
        </w:rPr>
        <w:fldChar w:fldCharType="end"/>
      </w:r>
      <w:r>
        <w:rPr>
          <w:rtl/>
        </w:rPr>
        <w:t xml:space="preserve"> לתלמידי הישיבה האחרת. ככלל, היחסים בין שתי הישיבות </w:t>
      </w:r>
      <w:proofErr w:type="spellStart"/>
      <w:r>
        <w:rPr>
          <w:rtl/>
        </w:rPr>
        <w:t>בסלבודקה</w:t>
      </w:r>
      <w:proofErr w:type="spellEnd"/>
      <w:r>
        <w:rPr>
          <w:rtl/>
        </w:rPr>
        <w:t xml:space="preserve"> היו יחסי שיתוף פעולה מובהקים</w:t>
      </w:r>
      <w:bookmarkStart w:id="2233" w:name="b3_ref144"/>
      <w:bookmarkEnd w:id="2233"/>
      <w:r>
        <w:rPr>
          <w:vertAlign w:val="superscript"/>
          <w:rtl/>
        </w:rPr>
        <w:fldChar w:fldCharType="begin" w:dirty="true"/>
      </w:r>
      <w:r>
        <w:rPr>
          <w:vertAlign w:val="superscript"/>
          <w:rtl/>
        </w:rPr>
        <w:instrText xml:space="preserve"> REF b3_note144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144</w:t>
      </w:r>
      <w:r>
        <w:rPr>
          <w:vertAlign w:val="superscript"/>
          <w:rtl/>
        </w:rPr>
        <w:fldChar w:fldCharType="end"/>
      </w:r>
      <w:r>
        <w:rPr>
          <w:rtl/>
        </w:rPr>
        <w:t>.</w:t>
      </w:r>
    </w:p>
    <w:bookmarkStart w:id="2234" w:name="b3_note142"/>
    <w:p w14:paraId="3CA505A0" w14:textId="21C33918" w:rsidR="00AB3647" w:rsidRDefault="00000000" w:rsidP="007923E9">
      <w:pPr>
        <w:spacing w:before="120" w:after="100" w:line="276" w:lineRule="auto"/>
        <w:jc w:val="both"/>
      </w:pPr>
      <w:r>
        <w:fldChar w:fldCharType="begin" w:dirty="true"/>
      </w:r>
      <w:r>
        <w:instrText>HYPERLINK \l "b3_ref142"</w:instrText>
      </w:r>
      <w:r>
        <w:fldChar w:fldCharType="separate"/>
      </w:r>
      <w:r>
        <w:rPr>
          <w:b/>
          <w:bCs/>
          <w:rtl/>
        </w:rPr>
        <w:t>142</w:t>
      </w:r>
      <w:r>
        <w:rPr>
          <w:b/>
          <w:bCs/>
        </w:rPr>
        <w:fldChar w:fldCharType="end"/>
      </w:r>
      <w:bookmarkEnd w:id="2234"/>
      <w:r>
        <w:rPr>
          <w:rtl/>
        </w:rPr>
        <w:t xml:space="preserve"> ראה </w:t>
      </w:r>
      <w:r>
        <w:rPr>
          <w:rtl/>
        </w:rPr>
        <w:fldChar w:fldCharType="begin" w:dirty="true"/>
      </w:r>
      <w:r>
        <w:rPr>
          <w:rtl/>
        </w:rPr>
        <w:instrText xml:space="preserve"> REF b3_excGG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לג</w:t>
      </w:r>
      <w:r>
        <w:rPr>
          <w:rtl/>
        </w:rPr>
        <w:fldChar w:fldCharType="end"/>
      </w:r>
      <w:r>
        <w:rPr>
          <w:rtl/>
        </w:rPr>
        <w:t>.</w:t>
      </w:r>
    </w:p>
    <w:bookmarkStart w:id="2235" w:name="b3_note143"/>
    <w:p w14:paraId="21D594DB" w14:textId="5972096F" w:rsidR="00AB3647" w:rsidRDefault="00000000" w:rsidP="007923E9">
      <w:pPr>
        <w:spacing w:before="120" w:after="100" w:line="276" w:lineRule="auto"/>
        <w:jc w:val="both"/>
      </w:pPr>
      <w:r>
        <w:fldChar w:fldCharType="begin" w:dirty="true"/>
      </w:r>
      <w:r>
        <w:instrText>HYPERLINK \l "b3_ref143"</w:instrText>
      </w:r>
      <w:r>
        <w:fldChar w:fldCharType="separate"/>
      </w:r>
      <w:r>
        <w:rPr>
          <w:b/>
          <w:bCs/>
          <w:rtl/>
        </w:rPr>
        <w:t>143</w:t>
      </w:r>
      <w:r>
        <w:rPr>
          <w:b/>
          <w:bCs/>
        </w:rPr>
        <w:fldChar w:fldCharType="end"/>
      </w:r>
      <w:bookmarkEnd w:id="2235"/>
      <w:r>
        <w:rPr>
          <w:rtl/>
        </w:rPr>
        <w:t xml:space="preserve"> ראה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w:t>
      </w:r>
    </w:p>
    <w:bookmarkStart w:id="2236" w:name="b3_note144"/>
    <w:p w14:paraId="19BC6536" w14:textId="06E0DE9D" w:rsidR="00AB3647" w:rsidRDefault="00000000" w:rsidP="007923E9">
      <w:pPr>
        <w:spacing w:before="120" w:after="100" w:line="276" w:lineRule="auto"/>
        <w:jc w:val="both"/>
      </w:pPr>
      <w:r>
        <w:fldChar w:fldCharType="begin" w:dirty="true"/>
      </w:r>
      <w:r>
        <w:instrText>HYPERLINK \l "b3_ref144"</w:instrText>
      </w:r>
      <w:r>
        <w:fldChar w:fldCharType="separate"/>
      </w:r>
      <w:r>
        <w:rPr>
          <w:b/>
          <w:bCs/>
          <w:rtl/>
        </w:rPr>
        <w:t>144</w:t>
      </w:r>
      <w:r>
        <w:rPr>
          <w:b/>
          <w:bCs/>
        </w:rPr>
        <w:fldChar w:fldCharType="end"/>
      </w:r>
      <w:bookmarkEnd w:id="2236"/>
      <w:r>
        <w:rPr>
          <w:rtl/>
        </w:rPr>
        <w:t xml:space="preserve"> ראה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w:t>
      </w:r>
    </w:p>
    <w:p w14:paraId="6B837F50" w14:textId="02BA47B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כנסת ישראל הייתה ישיבת מוסר, ולכן התפתחות אישיותו של התלמיד לא הושארה ליד המקרה</w:t>
      </w:r>
      <w:bookmarkStart w:id="2237" w:name="b3_ref145"/>
      <w:bookmarkEnd w:id="2237"/>
      <w:r>
        <w:rPr>
          <w:vertAlign w:val="superscript"/>
          <w:rtl/>
        </w:rPr>
        <w:fldChar w:fldCharType="begin" w:dirty="true"/>
      </w:r>
      <w:r>
        <w:rPr>
          <w:vertAlign w:val="superscript"/>
          <w:rtl/>
        </w:rPr>
        <w:instrText xml:space="preserve"> REF b3_note145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145</w:t>
      </w:r>
      <w:r>
        <w:rPr>
          <w:vertAlign w:val="superscript"/>
          <w:rtl/>
        </w:rPr>
        <w:fldChar w:fldCharType="end"/>
      </w:r>
      <w:r>
        <w:rPr>
          <w:rtl/>
        </w:rPr>
        <w:t>. את שיחות הסבא שמעו כל בני הישיבה בלילות שבת ובמוצאי שבת, ולעיתים גם בזמן המוסר שלפני ערבית בליל חמישי</w:t>
      </w:r>
      <w:bookmarkStart w:id="2238" w:name="b3_ref146"/>
      <w:bookmarkEnd w:id="2238"/>
      <w:r>
        <w:rPr>
          <w:vertAlign w:val="superscript"/>
          <w:rtl/>
        </w:rPr>
        <w:fldChar w:fldCharType="begin" w:dirty="true"/>
      </w:r>
      <w:r>
        <w:rPr>
          <w:vertAlign w:val="superscript"/>
          <w:rtl/>
        </w:rPr>
        <w:instrText xml:space="preserve"> REF b3_note146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146</w:t>
      </w:r>
      <w:r>
        <w:rPr>
          <w:vertAlign w:val="superscript"/>
          <w:rtl/>
        </w:rPr>
        <w:fldChar w:fldCharType="end"/>
      </w:r>
      <w:r>
        <w:rPr>
          <w:rtl/>
        </w:rPr>
        <w:t>. מלבד שיחות אלה השתייך כל תלמיד לאחד הוועדים, שנפגשו מדי שבוע לדיון משותף במוסר. ועדה בראשות ר׳ זלמן דולינסקי</w:t>
      </w:r>
      <w:bookmarkStart w:id="2239" w:name="b3_ref147"/>
      <w:bookmarkEnd w:id="2239"/>
      <w:r>
        <w:rPr>
          <w:vertAlign w:val="superscript"/>
          <w:rtl/>
        </w:rPr>
        <w:fldChar w:fldCharType="begin" w:dirty="true"/>
      </w:r>
      <w:r>
        <w:rPr>
          <w:vertAlign w:val="superscript"/>
          <w:rtl/>
        </w:rPr>
        <w:instrText xml:space="preserve"> REF b3_note147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147</w:t>
      </w:r>
      <w:r>
        <w:rPr>
          <w:vertAlign w:val="superscript"/>
          <w:rtl/>
        </w:rPr>
        <w:fldChar w:fldCharType="end"/>
      </w:r>
      <w:r>
        <w:rPr>
          <w:rtl/>
        </w:rPr>
        <w:t xml:space="preserve"> פיקחה על תוכנית הוועדים, והיו בה עוד שני ממונים, ואחד מהם חתנו של הסבא, ר׳ אייזיק שר</w:t>
      </w:r>
      <w:bookmarkStart w:id="2240" w:name="b3_ref148"/>
      <w:bookmarkEnd w:id="2240"/>
      <w:r>
        <w:rPr>
          <w:vertAlign w:val="superscript"/>
          <w:rtl/>
        </w:rPr>
        <w:fldChar w:fldCharType="begin" w:dirty="true"/>
      </w:r>
      <w:r>
        <w:rPr>
          <w:vertAlign w:val="superscript"/>
          <w:rtl/>
        </w:rPr>
        <w:instrText xml:space="preserve"> REF b3_note148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148</w:t>
      </w:r>
      <w:r>
        <w:rPr>
          <w:vertAlign w:val="superscript"/>
          <w:rtl/>
        </w:rPr>
        <w:fldChar w:fldCharType="end"/>
      </w:r>
      <w:r>
        <w:rPr>
          <w:rtl/>
        </w:rPr>
        <w:t>. המצטרפים החדשים שובצו בוועדיהם זמן קצר אחרי בואם.</w:t>
      </w:r>
    </w:p>
    <w:bookmarkStart w:id="2241" w:name="b3_note145"/>
    <w:p w14:paraId="2EB810D5" w14:textId="77777777" w:rsidR="00AB3647" w:rsidRDefault="00000000" w:rsidP="007923E9">
      <w:pPr>
        <w:spacing w:before="120" w:after="100" w:line="276" w:lineRule="auto"/>
        <w:jc w:val="both"/>
      </w:pPr>
      <w:r>
        <w:fldChar w:fldCharType="begin" w:dirty="true"/>
      </w:r>
      <w:r>
        <w:instrText>HYPERLINK \l "b3_ref145"</w:instrText>
      </w:r>
      <w:r>
        <w:fldChar w:fldCharType="separate"/>
      </w:r>
      <w:r>
        <w:rPr>
          <w:b/>
          <w:bCs/>
          <w:rtl/>
        </w:rPr>
        <w:t>145</w:t>
      </w:r>
      <w:r>
        <w:rPr>
          <w:b/>
          <w:bCs/>
        </w:rPr>
        <w:fldChar w:fldCharType="end"/>
      </w:r>
      <w:bookmarkEnd w:id="2241"/>
      <w:r>
        <w:rPr>
          <w:rtl/>
        </w:rPr>
        <w:t xml:space="preserve"> ר׳ יצחק </w:t>
      </w:r>
      <w:proofErr w:type="spellStart"/>
      <w:r>
        <w:rPr>
          <w:rtl/>
        </w:rPr>
        <w:t>שורין</w:t>
      </w:r>
      <w:proofErr w:type="spellEnd"/>
      <w:r>
        <w:rPr>
          <w:rtl/>
        </w:rPr>
        <w:t xml:space="preserve"> סיפר</w:t>
      </w:r>
      <w:bookmarkStart w:id="2242" w:name="_fnr1420"/>
      <w:r>
        <w:rPr>
          <w:rStyle w:val="a5"/>
        </w:rPr>
        <w:footnoteReference w:id="1423" w:customMarkFollows="0"/>
      </w:r>
      <w:bookmarkEnd w:id="2242"/>
      <w:r>
        <w:rPr>
          <w:rtl/>
        </w:rPr>
        <w:t xml:space="preserve"> ששאל את רבנו כיצד בא לידי ביטוי אופייה של כנסת ישראל כישיבת מוסר, ונענה: “בשתי דרכים. שלישי, העלייה השלישית לתורה והמכובדת ביותר, נשמרה למי שהצטיין במוסר, גם אם לא היה מן הלמדנים הגדולים ביותר. ואם בחור </w:t>
      </w:r>
      <w:proofErr w:type="spellStart"/>
      <w:r>
        <w:rPr>
          <w:rtl/>
        </w:rPr>
        <w:t>איז</w:t>
      </w:r>
      <w:proofErr w:type="spellEnd"/>
      <w:r>
        <w:rPr>
          <w:rtl/>
        </w:rPr>
        <w:t xml:space="preserve"> </w:t>
      </w:r>
      <w:proofErr w:type="spellStart"/>
      <w:r>
        <w:rPr>
          <w:rtl/>
        </w:rPr>
        <w:t>דורכגעפאלען</w:t>
      </w:r>
      <w:proofErr w:type="spellEnd"/>
      <w:r>
        <w:rPr>
          <w:rtl/>
        </w:rPr>
        <w:t xml:space="preserve"> [נכשל] במידה, היה עוזב את הישיבה ושוהה יום או יומיים בבית המוסר בקובנה, בלימוד ובהתבוננות כיצד לתקן את עצמו.”</w:t>
      </w:r>
    </w:p>
    <w:bookmarkStart w:id="2243" w:name="b3_note146"/>
    <w:p w14:paraId="666A7D17" w14:textId="77777777" w:rsidR="00AB3647" w:rsidRDefault="00000000" w:rsidP="007923E9">
      <w:pPr>
        <w:spacing w:before="120" w:after="100" w:line="276" w:lineRule="auto"/>
        <w:jc w:val="both"/>
      </w:pPr>
      <w:r>
        <w:fldChar w:fldCharType="begin" w:dirty="true"/>
      </w:r>
      <w:r>
        <w:instrText>HYPERLINK \l "b3_ref146"</w:instrText>
      </w:r>
      <w:r>
        <w:fldChar w:fldCharType="separate"/>
      </w:r>
      <w:r>
        <w:rPr>
          <w:b/>
          <w:bCs/>
          <w:rtl/>
        </w:rPr>
        <w:t>146</w:t>
      </w:r>
      <w:r>
        <w:rPr>
          <w:b/>
          <w:bCs/>
        </w:rPr>
        <w:fldChar w:fldCharType="end"/>
      </w:r>
      <w:bookmarkEnd w:id="2243"/>
      <w:r>
        <w:rPr>
          <w:rtl/>
        </w:rPr>
        <w:t xml:space="preserve"> כשהיה הסבא נכנס לבית המדרש לשיחת המוסר, שאותה מסר ממקומו שם</w:t>
      </w:r>
      <w:bookmarkStart w:id="2244" w:name="_fnr1421"/>
      <w:r>
        <w:rPr>
          <w:rStyle w:val="a5"/>
        </w:rPr>
        <w:footnoteReference w:id="1424" w:customMarkFollows="0"/>
      </w:r>
      <w:bookmarkEnd w:id="2244"/>
      <w:r>
        <w:rPr>
          <w:rtl/>
        </w:rPr>
        <w:t>, הייתה מתחילה הסתערות על המקומות הנוחים לשמיעה. “כשנכנס הייתה ריצה כזאת, שאנשים היו יכולים לחשוב שפרצה שרפה בבניין”, אמר ר׳ מאיר חדש</w:t>
      </w:r>
      <w:bookmarkStart w:id="2245" w:name="_fnr1422"/>
      <w:r>
        <w:rPr>
          <w:rStyle w:val="a5"/>
        </w:rPr>
        <w:footnoteReference w:id="1425" w:customMarkFollows="0"/>
      </w:r>
      <w:bookmarkEnd w:id="2245"/>
      <w:r>
        <w:rPr>
          <w:rtl/>
        </w:rPr>
        <w:t>. ר׳ זבולון גרז</w:t>
      </w:r>
      <w:bookmarkStart w:id="2246" w:name="_fnr1423"/>
      <w:r>
        <w:rPr>
          <w:rStyle w:val="a5"/>
        </w:rPr>
        <w:footnoteReference w:id="1426" w:customMarkFollows="0"/>
      </w:r>
      <w:bookmarkEnd w:id="2246"/>
      <w:r>
        <w:rPr>
          <w:rtl/>
        </w:rPr>
        <w:t xml:space="preserve"> תיאר כך את המראה: “בזמני כבר התגורר הסבא בבניין הישיבה, ושיחותיו בלילות שבת ובמוצאי שבת נמסרו על פי רוב בביתו. כשדיבר בבית המדרש היה זה מחזה נורא הוד. הם [התלמידים] רצו מעל הסטנדרים, דילגו זה מעל זה, ולבסוף עמדו במדרגות: קבוצה אחת החזיקה סטנדרים [לפניה], וקבוצה אחרת [מאחוריה] עמדה על גבי סטנדרים.”</w:t>
      </w:r>
    </w:p>
    <w:p w14:paraId="1E4DC0A9" w14:textId="77777777" w:rsidR="00AB3647" w:rsidRDefault="00000000" w:rsidP="007923E9">
      <w:pPr>
        <w:spacing w:before="120" w:after="100" w:line="276" w:lineRule="auto"/>
        <w:jc w:val="both"/>
      </w:pPr>
      <w:r>
        <w:rPr>
          <w:rtl/>
        </w:rPr>
        <w:lastRenderedPageBreak/>
        <w:t>כץ, “תנועת המוסר”, כרך ג</w:t>
      </w:r>
      <w:bookmarkStart w:id="2247" w:name="_fnr1424"/>
      <w:r>
        <w:rPr>
          <w:rStyle w:val="a5"/>
        </w:rPr>
        <w:footnoteReference w:id="1427" w:customMarkFollows="0"/>
      </w:r>
      <w:bookmarkEnd w:id="2247"/>
      <w:r>
        <w:rPr>
          <w:rtl/>
        </w:rPr>
        <w:t>, מספר על הריצה הכללית למקומות הסמוכים יותר לבמה “בתחילה”</w:t>
      </w:r>
      <w:bookmarkStart w:id="2248" w:name="_fnr1425"/>
      <w:r>
        <w:rPr>
          <w:rStyle w:val="a5"/>
        </w:rPr>
        <w:footnoteReference w:id="1428" w:customMarkFollows="0"/>
      </w:r>
      <w:bookmarkEnd w:id="2248"/>
      <w:r>
        <w:rPr>
          <w:rtl/>
        </w:rPr>
        <w:t>, ומוסיף</w:t>
      </w:r>
      <w:bookmarkStart w:id="2249" w:name="_fnr1426"/>
      <w:r>
        <w:rPr>
          <w:rStyle w:val="a5"/>
        </w:rPr>
        <w:footnoteReference w:id="1429" w:customMarkFollows="0"/>
      </w:r>
      <w:bookmarkEnd w:id="2249"/>
      <w:r>
        <w:rPr>
          <w:rtl/>
        </w:rPr>
        <w:t xml:space="preserve"> </w:t>
      </w:r>
      <w:proofErr w:type="spellStart"/>
      <w:r>
        <w:rPr>
          <w:rtl/>
        </w:rPr>
        <w:t>ש“בשנים</w:t>
      </w:r>
      <w:proofErr w:type="spellEnd"/>
      <w:r>
        <w:rPr>
          <w:rtl/>
        </w:rPr>
        <w:t xml:space="preserve"> האחרונות [?], כשנשתרש מנהג זה”, גינה אותו הסבא, מפני </w:t>
      </w:r>
      <w:proofErr w:type="spellStart"/>
      <w:r>
        <w:rPr>
          <w:rtl/>
        </w:rPr>
        <w:t>ש“כיסאות</w:t>
      </w:r>
      <w:proofErr w:type="spellEnd"/>
      <w:r>
        <w:rPr>
          <w:rtl/>
        </w:rPr>
        <w:t xml:space="preserve"> או סטנדרים נופלים וניזוקים מעט, ו... אנשים נדחפים מן המקומות המגיעים להם בדין, שהם מעשים אסורים של ‘מזיק וגוזל’”</w:t>
      </w:r>
      <w:bookmarkStart w:id="2250" w:name="_fnr1427"/>
      <w:r>
        <w:rPr>
          <w:rStyle w:val="a5"/>
        </w:rPr>
        <w:footnoteReference w:id="1430" w:customMarkFollows="0"/>
      </w:r>
      <w:bookmarkEnd w:id="2250"/>
      <w:r>
        <w:rPr>
          <w:rtl/>
        </w:rPr>
        <w:t>. השווה גם שם</w:t>
      </w:r>
      <w:bookmarkStart w:id="2251" w:name="_fnr1428"/>
      <w:r>
        <w:rPr>
          <w:rStyle w:val="a5"/>
        </w:rPr>
        <w:footnoteReference w:id="1431" w:customMarkFollows="0"/>
      </w:r>
      <w:bookmarkEnd w:id="2251"/>
      <w:r>
        <w:rPr>
          <w:rtl/>
        </w:rPr>
        <w:t xml:space="preserve"> כיצד סלד הסבא ממעשים טובים הגורמים </w:t>
      </w:r>
      <w:proofErr w:type="spellStart"/>
      <w:r>
        <w:rPr>
          <w:rtl/>
        </w:rPr>
        <w:t>אי־נוחות</w:t>
      </w:r>
      <w:proofErr w:type="spellEnd"/>
      <w:r>
        <w:rPr>
          <w:rtl/>
        </w:rPr>
        <w:t xml:space="preserve"> לאחרים.</w:t>
      </w:r>
    </w:p>
    <w:bookmarkStart w:id="2252" w:name="b3_note147"/>
    <w:p w14:paraId="27E4DD0D" w14:textId="3F5F2AE6" w:rsidR="00AB3647" w:rsidRDefault="00000000" w:rsidP="007923E9">
      <w:pPr>
        <w:spacing w:before="120" w:after="100" w:line="276" w:lineRule="auto"/>
        <w:jc w:val="both"/>
      </w:pPr>
      <w:r>
        <w:fldChar w:fldCharType="begin" w:dirty="true"/>
      </w:r>
      <w:r>
        <w:instrText>HYPERLINK \l "b3_ref147"</w:instrText>
      </w:r>
      <w:r>
        <w:fldChar w:fldCharType="separate"/>
      </w:r>
      <w:r>
        <w:rPr>
          <w:b/>
          <w:bCs/>
          <w:rtl/>
        </w:rPr>
        <w:t>147</w:t>
      </w:r>
      <w:r>
        <w:rPr>
          <w:b/>
          <w:bCs/>
        </w:rPr>
        <w:fldChar w:fldCharType="end"/>
      </w:r>
      <w:bookmarkEnd w:id="2252"/>
      <w:r>
        <w:rPr>
          <w:rtl/>
        </w:rPr>
        <w:t xml:space="preserve"> ראה </w:t>
      </w:r>
      <w:r>
        <w:rPr>
          <w:rtl/>
        </w:rPr>
        <w:fldChar w:fldCharType="begin" w:dirty="true"/>
      </w:r>
      <w:r>
        <w:rPr>
          <w:rtl/>
        </w:rPr>
        <w:instrText xml:space="preserve"> REF b3_excJJ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לו</w:t>
      </w:r>
      <w:r>
        <w:rPr>
          <w:rtl/>
        </w:rPr>
        <w:fldChar w:fldCharType="end"/>
      </w:r>
      <w:r>
        <w:rPr>
          <w:rtl/>
        </w:rPr>
        <w:t>.</w:t>
      </w:r>
    </w:p>
    <w:p w14:paraId="12010468" w14:textId="77777777" w:rsidR="00AB3647" w:rsidRDefault="00AB3647" w:rsidP="007923E9">
      <w:pPr>
        <w:spacing w:line="276" w:lineRule="auto"/>
      </w:pPr>
    </w:p>
    <w:bookmarkStart w:id="2253" w:name="b3_note148"/>
    <w:p w14:paraId="4C12C499" w14:textId="77777777" w:rsidR="00AB3647" w:rsidRDefault="00000000" w:rsidP="007923E9">
      <w:pPr>
        <w:spacing w:before="120" w:after="100" w:line="276" w:lineRule="auto"/>
        <w:jc w:val="both"/>
      </w:pPr>
      <w:r>
        <w:fldChar w:fldCharType="begin" w:dirty="true"/>
      </w:r>
      <w:r>
        <w:instrText>HYPERLINK \l "b3_ref148"</w:instrText>
      </w:r>
      <w:r>
        <w:fldChar w:fldCharType="separate"/>
      </w:r>
      <w:r>
        <w:rPr>
          <w:b/>
          <w:bCs/>
          <w:rtl/>
        </w:rPr>
        <w:t>148</w:t>
      </w:r>
      <w:r>
        <w:rPr>
          <w:b/>
          <w:bCs/>
        </w:rPr>
        <w:fldChar w:fldCharType="end"/>
      </w:r>
      <w:bookmarkEnd w:id="2253"/>
      <w:r>
        <w:rPr>
          <w:rtl/>
        </w:rPr>
        <w:t xml:space="preserve"> בהערת אגב בשיעור הדף היומי</w:t>
      </w:r>
      <w:bookmarkStart w:id="2254" w:name="_fnr1429"/>
      <w:r>
        <w:rPr>
          <w:rStyle w:val="a5"/>
        </w:rPr>
        <w:footnoteReference w:id="1432" w:customMarkFollows="0"/>
      </w:r>
      <w:bookmarkEnd w:id="2254"/>
      <w:r>
        <w:rPr>
          <w:rtl/>
        </w:rPr>
        <w:t>, כינה אבי “</w:t>
      </w:r>
      <w:proofErr w:type="spellStart"/>
      <w:r>
        <w:rPr>
          <w:rtl/>
        </w:rPr>
        <w:t>מאויימ׳דיגער</w:t>
      </w:r>
      <w:proofErr w:type="spellEnd"/>
      <w:r>
        <w:rPr>
          <w:rtl/>
        </w:rPr>
        <w:t xml:space="preserve"> מצב [מצב מבעית]” את התופעה שבישיבות גדולות “כיום” אין די אנשי צוות לטיפול בהתפתחות האישית של תלמידיהן, ותיאר כיצד נמנע הדבר </w:t>
      </w:r>
      <w:proofErr w:type="spellStart"/>
      <w:r>
        <w:rPr>
          <w:rtl/>
        </w:rPr>
        <w:t>בסלבודקה</w:t>
      </w:r>
      <w:proofErr w:type="spellEnd"/>
      <w:r>
        <w:rPr>
          <w:rtl/>
        </w:rPr>
        <w:t xml:space="preserve">, הן באמצעות האנשים שהופקדו על כך הן באמצעות הסדרי השותפות </w:t>
      </w:r>
      <w:proofErr w:type="spellStart"/>
      <w:r>
        <w:rPr>
          <w:rtl/>
        </w:rPr>
        <w:t>בסטנציות</w:t>
      </w:r>
      <w:bookmarkStart w:id="2255" w:name="_fnr1430"/>
      <w:proofErr w:type="spellEnd"/>
      <w:r>
        <w:rPr>
          <w:rStyle w:val="a5"/>
        </w:rPr>
        <w:footnoteReference w:id="1433" w:customMarkFollows="0"/>
      </w:r>
      <w:bookmarkStart w:id="2256" w:name="_fnr1431"/>
      <w:bookmarkStart w:id="2257" w:name="pr_f_1344"/>
      <w:bookmarkEnd w:id="2255"/>
      <w:r>
        <w:rPr>
          <w:rStyle w:val="a5"/>
        </w:rPr>
        <w:footnoteReference w:id="1434" w:customMarkFollows="0"/>
      </w:r>
      <w:bookmarkEnd w:id="2256"/>
      <w:bookmarkEnd w:id="2257"/>
      <w:r>
        <w:rPr>
          <w:rtl/>
        </w:rPr>
        <w:t>.</w:t>
      </w:r>
    </w:p>
    <w:p w14:paraId="070D11FA" w14:textId="77777777" w:rsidR="00AB3647" w:rsidRDefault="00000000" w:rsidP="007923E9">
      <w:pPr>
        <w:pStyle w:val="2"/>
        <w:pageBreakBefore/>
        <w:spacing w:line="276" w:lineRule="auto"/>
      </w:pPr>
      <w:bookmarkStart w:id="2258" w:name="b3_excursuses"/>
      <w:r>
        <w:lastRenderedPageBreak/>
        <w:t>נספחים</w:t>
      </w:r>
      <w:bookmarkEnd w:id="2258"/>
    </w:p>
    <w:bookmarkStart w:id="2259" w:name="b3_excA"/>
    <w:p w14:paraId="1B7768FB" w14:textId="77777777" w:rsidR="00AB3647" w:rsidRDefault="00000000" w:rsidP="007923E9">
      <w:pPr>
        <w:pStyle w:val="3"/>
        <w:pageBreakBefore w:val="0"/>
        <w:spacing w:line="276" w:lineRule="auto"/>
      </w:pPr>
      <w:r>
        <w:fldChar w:fldCharType="begin" w:dirty="true"/>
      </w:r>
      <w:r>
        <w:rPr>
          <w:rtl w:val="0"/>
        </w:rPr>
        <w:instrText>HYPERLINK \l "b3_note19</w:instrText>
      </w:r>
      <w:r>
        <w:instrText>"</w:instrText>
      </w:r>
      <w:r>
        <w:fldChar w:fldCharType="separate"/>
      </w:r>
      <w:r>
        <w:t>נספח א</w:t>
      </w:r>
      <w:r>
        <w:fldChar w:fldCharType="end"/>
      </w:r>
      <w:bookmarkEnd w:id="2259"/>
    </w:p>
    <w:p w14:paraId="4F0331C2" w14:textId="77777777" w:rsidR="00AB3647" w:rsidRDefault="00000000" w:rsidP="007923E9">
      <w:pPr>
        <w:pStyle w:val="af"/>
        <w:spacing w:line="276" w:lineRule="auto"/>
      </w:pPr>
      <w:r>
        <w:t>על ראשיתו של כולל קובנה ועל עלון “עץ פרי” שחולק לתומכיו</w:t>
      </w:r>
    </w:p>
    <w:p w14:paraId="4898D1BE" w14:textId="77777777" w:rsidR="00AB3647" w:rsidRDefault="00000000" w:rsidP="007923E9">
      <w:pPr>
        <w:pStyle w:val="4"/>
        <w:spacing w:line="276" w:lineRule="auto"/>
      </w:pPr>
      <w:r>
        <w:t>· הפסקה הראשונה ·</w:t>
      </w:r>
    </w:p>
    <w:p w14:paraId="29B33FF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מוציא לאור את חוברת “עץ פרי” – ר׳ </w:t>
      </w:r>
      <w:proofErr w:type="spellStart"/>
      <w:r>
        <w:rPr>
          <w:color w:val="404040"/>
          <w:sz w:val="22"/>
          <w:szCs w:val="22"/>
          <w:rtl/>
        </w:rPr>
        <w:t>לייזר־יעקב</w:t>
      </w:r>
      <w:proofErr w:type="spellEnd"/>
      <w:r>
        <w:rPr>
          <w:color w:val="404040"/>
          <w:sz w:val="22"/>
          <w:szCs w:val="22"/>
          <w:rtl/>
        </w:rPr>
        <w:t xml:space="preserve"> </w:t>
      </w:r>
      <w:proofErr w:type="spellStart"/>
      <w:r>
        <w:rPr>
          <w:color w:val="404040"/>
          <w:sz w:val="22"/>
          <w:szCs w:val="22"/>
          <w:rtl/>
        </w:rPr>
        <w:t xml:space="preserve">חווס</w:t>
      </w:r>
      <w:proofErr w:type="spellEnd"/>
      <w:r>
        <w:rPr>
          <w:color w:val="404040"/>
          <w:sz w:val="22"/>
          <w:szCs w:val="22"/>
          <w:rtl/>
        </w:rPr>
        <w:t xml:space="preserve"> זוכה לשבחי </w:t>
      </w:r>
      <w:proofErr w:type="spellStart"/>
      <w:r>
        <w:rPr>
          <w:color w:val="404040"/>
          <w:sz w:val="22"/>
          <w:szCs w:val="22"/>
          <w:rtl/>
        </w:rPr>
        <w:t>החפץ־חיים</w:t>
      </w:r>
      <w:proofErr w:type="spellEnd"/>
      <w:r>
        <w:rPr>
          <w:color w:val="404040"/>
          <w:sz w:val="22"/>
          <w:szCs w:val="22"/>
          <w:rtl/>
        </w:rPr>
        <w:t xml:space="preserve"> – תוכן החוברת – </w:t>
      </w:r>
      <w:proofErr w:type="spellStart"/>
      <w:r>
        <w:rPr>
          <w:color w:val="404040"/>
          <w:sz w:val="22"/>
          <w:szCs w:val="22"/>
          <w:rtl/>
        </w:rPr>
        <w:t xml:space="preserve">חווס</w:t>
      </w:r>
      <w:proofErr w:type="spellEnd"/>
      <w:r>
        <w:rPr>
          <w:color w:val="404040"/>
          <w:sz w:val="22"/>
          <w:szCs w:val="22"/>
          <w:rtl/>
        </w:rPr>
        <w:t xml:space="preserve"> הולך ברגל לברלין לדבר עם העשיר עובדיה לחמן – </w:t>
      </w:r>
      <w:proofErr w:type="spellStart"/>
      <w:r>
        <w:rPr>
          <w:color w:val="404040"/>
          <w:sz w:val="22"/>
          <w:szCs w:val="22"/>
          <w:rtl/>
        </w:rPr>
        <w:t>יוזף־חיים</w:t>
      </w:r>
      <w:proofErr w:type="spellEnd"/>
      <w:r>
        <w:rPr>
          <w:color w:val="404040"/>
          <w:sz w:val="22"/>
          <w:szCs w:val="22"/>
          <w:rtl/>
        </w:rPr>
        <w:t xml:space="preserve"> </w:t>
      </w:r>
      <w:proofErr w:type="spellStart"/>
      <w:r>
        <w:rPr>
          <w:color w:val="404040"/>
          <w:sz w:val="22"/>
          <w:szCs w:val="22"/>
          <w:rtl/>
        </w:rPr>
        <w:t xml:space="preserve">חווס</w:t>
      </w:r>
      <w:proofErr w:type="spellEnd"/>
      <w:r>
        <w:rPr>
          <w:color w:val="404040"/>
          <w:sz w:val="22"/>
          <w:szCs w:val="22"/>
          <w:rtl/>
        </w:rPr>
        <w:t xml:space="preserve"> מקרב את מעבידו אל </w:t>
      </w:r>
      <w:proofErr w:type="spellStart"/>
      <w:r>
        <w:rPr>
          <w:color w:val="404040"/>
          <w:sz w:val="22"/>
          <w:szCs w:val="22"/>
          <w:rtl/>
        </w:rPr>
        <w:t>יופיה</w:t>
      </w:r>
      <w:proofErr w:type="spellEnd"/>
      <w:r>
        <w:rPr>
          <w:color w:val="404040"/>
          <w:sz w:val="22"/>
          <w:szCs w:val="22"/>
          <w:rtl/>
        </w:rPr>
        <w:t xml:space="preserve"> של היהדות – לחמן נעשה שומר מצוות – ביקורו המאוחר </w:t>
      </w:r>
      <w:proofErr w:type="spellStart"/>
      <w:r>
        <w:rPr>
          <w:color w:val="404040"/>
          <w:sz w:val="22"/>
          <w:szCs w:val="22"/>
          <w:rtl/>
        </w:rPr>
        <w:t>בסלבודקה</w:t>
      </w:r>
      <w:proofErr w:type="spellEnd"/>
      <w:r>
        <w:rPr>
          <w:color w:val="404040"/>
          <w:sz w:val="22"/>
          <w:szCs w:val="22"/>
          <w:rtl/>
        </w:rPr>
        <w:t xml:space="preserve"> מעורר אותו – ר׳ </w:t>
      </w:r>
      <w:proofErr w:type="spellStart"/>
      <w:r>
        <w:rPr>
          <w:color w:val="404040"/>
          <w:sz w:val="22"/>
          <w:szCs w:val="22"/>
          <w:rtl/>
        </w:rPr>
        <w:t>יצחק־יעקב</w:t>
      </w:r>
      <w:proofErr w:type="spellEnd"/>
      <w:r>
        <w:rPr>
          <w:color w:val="404040"/>
          <w:sz w:val="22"/>
          <w:szCs w:val="22"/>
          <w:rtl/>
        </w:rPr>
        <w:t xml:space="preserve"> ריינס מעלה את רעיון הכולל – זכרו של ר׳ </w:t>
      </w:r>
      <w:proofErr w:type="spellStart"/>
      <w:r>
        <w:rPr>
          <w:color w:val="404040"/>
          <w:sz w:val="22"/>
          <w:szCs w:val="22"/>
          <w:rtl/>
        </w:rPr>
        <w:t>אלכסנדר־משה</w:t>
      </w:r>
      <w:proofErr w:type="spellEnd"/>
      <w:r>
        <w:rPr>
          <w:color w:val="404040"/>
          <w:sz w:val="22"/>
          <w:szCs w:val="22"/>
          <w:rtl/>
        </w:rPr>
        <w:t xml:space="preserve"> לפידות – </w:t>
      </w:r>
      <w:proofErr w:type="spellStart"/>
      <w:r>
        <w:rPr>
          <w:color w:val="404040"/>
          <w:sz w:val="22"/>
          <w:szCs w:val="22"/>
          <w:rtl/>
        </w:rPr>
        <w:t>מיישל׳ה</w:t>
      </w:r>
      <w:proofErr w:type="spellEnd"/>
      <w:r>
        <w:rPr>
          <w:color w:val="404040"/>
          <w:sz w:val="22"/>
          <w:szCs w:val="22"/>
          <w:rtl/>
        </w:rPr>
        <w:t xml:space="preserve">, הסנדלר </w:t>
      </w:r>
      <w:proofErr w:type="spellStart"/>
      <w:r>
        <w:rPr>
          <w:color w:val="404040"/>
          <w:sz w:val="22"/>
          <w:szCs w:val="22"/>
          <w:rtl/>
        </w:rPr>
        <w:t>מראסיין</w:t>
      </w:r>
      <w:proofErr w:type="spellEnd"/>
      <w:r>
        <w:rPr>
          <w:color w:val="404040"/>
          <w:sz w:val="22"/>
          <w:szCs w:val="22"/>
          <w:rtl/>
        </w:rPr>
        <w:t xml:space="preserve">, אוסף ידיעות לספריו – ר׳ </w:t>
      </w:r>
      <w:proofErr w:type="spellStart"/>
      <w:r>
        <w:rPr>
          <w:color w:val="404040"/>
          <w:sz w:val="22"/>
          <w:szCs w:val="22"/>
          <w:rtl/>
        </w:rPr>
        <w:t>אלכסנדר־משה</w:t>
      </w:r>
      <w:proofErr w:type="spellEnd"/>
      <w:r>
        <w:rPr>
          <w:color w:val="404040"/>
          <w:sz w:val="22"/>
          <w:szCs w:val="22"/>
          <w:rtl/>
        </w:rPr>
        <w:t xml:space="preserve"> לפידות אינו מצליח להקים את הכולל </w:t>
      </w:r>
      <w:proofErr w:type="spellStart"/>
      <w:r>
        <w:rPr>
          <w:color w:val="404040"/>
          <w:sz w:val="22"/>
          <w:szCs w:val="22"/>
          <w:rtl/>
        </w:rPr>
        <w:t>בוולוז׳ין</w:t>
      </w:r>
      <w:proofErr w:type="spellEnd"/>
      <w:r>
        <w:rPr>
          <w:color w:val="404040"/>
          <w:sz w:val="22"/>
          <w:szCs w:val="22"/>
          <w:rtl/>
        </w:rPr>
        <w:t xml:space="preserve"> – רבנו מכיר טובה </w:t>
      </w:r>
      <w:proofErr w:type="spellStart"/>
      <w:r>
        <w:rPr>
          <w:color w:val="404040"/>
          <w:sz w:val="22"/>
          <w:szCs w:val="22"/>
          <w:rtl/>
        </w:rPr>
        <w:t>לר</w:t>
      </w:r>
      <w:proofErr w:type="spellEnd"/>
      <w:r>
        <w:rPr>
          <w:color w:val="404040"/>
          <w:sz w:val="22"/>
          <w:szCs w:val="22"/>
          <w:rtl/>
        </w:rPr>
        <w:t>׳ יעקב הלוי ליפשיץ</w:t>
      </w:r>
    </w:p>
    <w:p w14:paraId="5CA8B2D4" w14:textId="77777777" w:rsidR="00AB3647" w:rsidRDefault="00000000" w:rsidP="007923E9">
      <w:pPr>
        <w:spacing w:after="120" w:line="276" w:lineRule="auto"/>
        <w:ind w:firstLine="283"/>
        <w:jc w:val="both"/>
      </w:pPr>
      <w:r>
        <w:rPr>
          <w:rtl/>
        </w:rPr>
        <w:t xml:space="preserve">“עץ פרי” היה עלון חד־פעמי שיצא לאור בעילום שם. לפי הריאיון המוקלט על הסבא </w:t>
      </w:r>
      <w:proofErr w:type="spellStart"/>
      <w:r>
        <w:rPr>
          <w:rtl/>
        </w:rPr>
        <w:t>מסלבודקה</w:t>
      </w:r>
      <w:proofErr w:type="spellEnd"/>
      <w:r>
        <w:rPr>
          <w:rtl/>
        </w:rPr>
        <w:t>,</w:t>
      </w:r>
      <w:bookmarkStart w:id="2260" w:name="_fnr1432"/>
      <w:r>
        <w:rPr>
          <w:rStyle w:val="a5"/>
        </w:rPr>
        <w:footnoteReference w:id="1435" w:customMarkFollows="0"/>
      </w:r>
      <w:bookmarkEnd w:id="2260"/>
      <w:r>
        <w:rPr>
          <w:rtl/>
        </w:rPr>
        <w:t xml:space="preserve"> גילה ר׳ </w:t>
      </w:r>
      <w:proofErr w:type="spellStart"/>
      <w:r>
        <w:rPr>
          <w:rtl/>
        </w:rPr>
        <w:t>נתן־צבי</w:t>
      </w:r>
      <w:proofErr w:type="spellEnd"/>
      <w:r>
        <w:rPr>
          <w:rtl/>
        </w:rPr>
        <w:t xml:space="preserve"> </w:t>
      </w:r>
      <w:proofErr w:type="spellStart"/>
      <w:r>
        <w:rPr>
          <w:rtl/>
        </w:rPr>
        <w:t>פינקל</w:t>
      </w:r>
      <w:proofErr w:type="spellEnd"/>
      <w:r>
        <w:rPr>
          <w:rtl/>
        </w:rPr>
        <w:t xml:space="preserve"> לאבי “שנים אחר כך” שהוא היה המו״ל, כשהעיר שביאורו למאמר חז״ל בהערת המו״ל</w:t>
      </w:r>
      <w:bookmarkStart w:id="2261" w:name="_fnr1433"/>
      <w:r>
        <w:rPr>
          <w:rStyle w:val="a5"/>
        </w:rPr>
        <w:footnoteReference w:id="1436" w:customMarkFollows="0"/>
      </w:r>
      <w:bookmarkEnd w:id="2261"/>
      <w:r>
        <w:rPr>
          <w:rtl/>
        </w:rPr>
        <w:t xml:space="preserve"> נכתב בהשפעת משיכה חולפת אל ההשכלה, שהיה נתון לה באותו זמן.</w:t>
      </w:r>
      <w:bookmarkStart w:id="2262" w:name="_fnr1434"/>
      <w:r>
        <w:rPr>
          <w:rStyle w:val="a5"/>
        </w:rPr>
        <w:footnoteReference w:id="1437" w:customMarkFollows="0"/>
      </w:r>
      <w:bookmarkEnd w:id="2262"/>
      <w:r>
        <w:rPr>
          <w:rtl/>
        </w:rPr>
        <w:t xml:space="preserve"> הוא כתב, בהיסוס [“אולי נוכל להמליץ”], שמאמר חז״ל</w:t>
      </w:r>
      <w:bookmarkStart w:id="2263" w:name="_fnr1435"/>
      <w:r>
        <w:rPr>
          <w:rStyle w:val="a5"/>
        </w:rPr>
        <w:footnoteReference w:id="1438" w:customMarkFollows="0"/>
      </w:r>
      <w:bookmarkEnd w:id="2263"/>
      <w:r>
        <w:rPr>
          <w:rtl/>
        </w:rPr>
        <w:t xml:space="preserve"> “אלמלי נתנה רשות לעין לראות אין כל ברייה יכולה לעמוד מפני </w:t>
      </w:r>
      <w:proofErr w:type="spellStart"/>
      <w:r>
        <w:rPr>
          <w:rtl/>
        </w:rPr>
        <w:t>המזיקין</w:t>
      </w:r>
      <w:proofErr w:type="spellEnd"/>
      <w:r>
        <w:rPr>
          <w:rtl/>
        </w:rPr>
        <w:t xml:space="preserve">” רומז </w:t>
      </w:r>
      <w:proofErr w:type="spellStart"/>
      <w:r>
        <w:rPr>
          <w:rtl/>
        </w:rPr>
        <w:t>לחלאים</w:t>
      </w:r>
      <w:proofErr w:type="spellEnd"/>
      <w:r>
        <w:rPr>
          <w:rtl/>
        </w:rPr>
        <w:t xml:space="preserve"> ולפגעים הרבים הפוגעים במקום זה או אחר בכדור הארץ בכל רגע ביום ובלילה.</w:t>
      </w:r>
    </w:p>
    <w:p w14:paraId="4EE14449" w14:textId="77777777" w:rsidR="00AB3647" w:rsidRDefault="00000000" w:rsidP="007923E9">
      <w:pPr>
        <w:spacing w:after="120" w:line="276" w:lineRule="auto"/>
        <w:ind w:firstLine="283"/>
        <w:jc w:val="both"/>
      </w:pPr>
      <w:r>
        <w:rPr>
          <w:rtl/>
        </w:rPr>
        <w:t xml:space="preserve">[הסבא תיאר את פירושו כמשכילי, משום שהוא עוקף בחכמה רמז מפורש לשדים ולבריות רוחניות כיוצא בהם.] ייתכן שהסבא </w:t>
      </w:r>
      <w:proofErr w:type="spellStart"/>
      <w:r>
        <w:rPr>
          <w:rtl/>
        </w:rPr>
        <w:t>מסלבודקה</w:t>
      </w:r>
      <w:proofErr w:type="spellEnd"/>
      <w:r>
        <w:rPr>
          <w:rtl/>
        </w:rPr>
        <w:t xml:space="preserve"> הקפיד עם עצמו יתר על המידה כשראה שמץ של השכלה בפירושו, שכן [ייתכן ש]בזמן הוצאתו של “עץ פרי” הייתה זו אופנה חולפת להסביר עניינים נסתרים על דרך השכל. ראה למשל כיצד </w:t>
      </w:r>
      <w:proofErr w:type="spellStart"/>
      <w:r>
        <w:rPr>
          <w:rtl/>
        </w:rPr>
        <w:t>החפץ־חיים</w:t>
      </w:r>
      <w:proofErr w:type="spellEnd"/>
      <w:r>
        <w:rPr>
          <w:rtl/>
        </w:rPr>
        <w:t xml:space="preserve"> – שוודאי היה מחוסן מפני כל השפעה של השכלה – מסביר </w:t>
      </w:r>
      <w:proofErr w:type="spellStart"/>
      <w:r>
        <w:rPr>
          <w:rtl/>
        </w:rPr>
        <w:t>ב“חלק</w:t>
      </w:r>
      <w:proofErr w:type="spellEnd"/>
      <w:r>
        <w:rPr>
          <w:rtl/>
        </w:rPr>
        <w:t xml:space="preserve"> שני” של “שמירת הלשון”</w:t>
      </w:r>
      <w:bookmarkStart w:id="2264" w:name="_fnr1436"/>
      <w:r>
        <w:rPr>
          <w:rStyle w:val="a5"/>
        </w:rPr>
        <w:footnoteReference w:id="1439" w:customMarkFollows="0"/>
      </w:r>
      <w:bookmarkEnd w:id="2264"/>
      <w:r>
        <w:rPr>
          <w:rtl/>
        </w:rPr>
        <w:t xml:space="preserve"> על דרך השכל את המנהג להזכיר בסוף תפילת העמידה את האות הראשונה והאחרונה של שמו של אדם. עד אז היה מנהג זה עטוף </w:t>
      </w:r>
      <w:proofErr w:type="spellStart"/>
      <w:r>
        <w:rPr>
          <w:rtl/>
        </w:rPr>
        <w:t>ב“טעם</w:t>
      </w:r>
      <w:proofErr w:type="spellEnd"/>
      <w:r>
        <w:rPr>
          <w:rtl/>
        </w:rPr>
        <w:t>” הנסתר – שאם לא כן עלול אדם לשכוח את שמו כשיובא ליום הדין.</w:t>
      </w:r>
      <w:bookmarkStart w:id="2265" w:name="_fnr1437"/>
      <w:r>
        <w:rPr>
          <w:rStyle w:val="a5"/>
        </w:rPr>
        <w:footnoteReference w:id="1440" w:customMarkFollows="0"/>
      </w:r>
      <w:bookmarkEnd w:id="2265"/>
    </w:p>
    <w:p w14:paraId="3305731F" w14:textId="77777777" w:rsidR="00AB3647" w:rsidRDefault="00000000" w:rsidP="007923E9">
      <w:pPr>
        <w:spacing w:after="120" w:line="276" w:lineRule="auto"/>
        <w:ind w:firstLine="283"/>
        <w:jc w:val="both"/>
      </w:pPr>
      <w:r>
        <w:rPr>
          <w:rtl/>
        </w:rPr>
        <w:t>השווה גם כץ, “תנועת המוסר”, כרך א,</w:t>
      </w:r>
      <w:bookmarkStart w:id="2266" w:name="_fnr1438"/>
      <w:r>
        <w:rPr>
          <w:rStyle w:val="a5"/>
        </w:rPr>
        <w:footnoteReference w:id="1441" w:customMarkFollows="0"/>
      </w:r>
      <w:bookmarkEnd w:id="2266"/>
      <w:r>
        <w:rPr>
          <w:rtl/>
        </w:rPr>
        <w:t xml:space="preserve"> המזכיר את גילויו של הסבא </w:t>
      </w:r>
      <w:proofErr w:type="spellStart"/>
      <w:r>
        <w:rPr>
          <w:rtl/>
        </w:rPr>
        <w:t>מסלבודקה</w:t>
      </w:r>
      <w:proofErr w:type="spellEnd"/>
      <w:r>
        <w:rPr>
          <w:rtl/>
        </w:rPr>
        <w:t xml:space="preserve"> שהוא היה המו״ל של “עץ פרי”. בכך נסתרת טענתו של ר׳ יעקב הלוי ליפשיץ בספרו “</w:t>
      </w:r>
      <w:proofErr w:type="spellStart"/>
      <w:r>
        <w:rPr>
          <w:rtl/>
        </w:rPr>
        <w:t>זכרון</w:t>
      </w:r>
      <w:proofErr w:type="spellEnd"/>
      <w:r>
        <w:rPr>
          <w:rtl/>
        </w:rPr>
        <w:t xml:space="preserve"> </w:t>
      </w:r>
      <w:r>
        <w:rPr>
          <w:rtl/>
        </w:rPr>
        <w:lastRenderedPageBreak/>
        <w:t>יעקב”</w:t>
      </w:r>
      <w:bookmarkStart w:id="2267" w:name="_fnr1439"/>
      <w:r>
        <w:rPr>
          <w:rStyle w:val="a5"/>
        </w:rPr>
        <w:footnoteReference w:id="1442" w:customMarkFollows="0"/>
      </w:r>
      <w:bookmarkEnd w:id="2267"/>
      <w:r>
        <w:rPr>
          <w:rtl/>
        </w:rPr>
        <w:t xml:space="preserve"> שהמו״ל היה בנו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וממלא מקומו, ר׳ </w:t>
      </w:r>
      <w:proofErr w:type="spellStart"/>
      <w:r>
        <w:rPr>
          <w:rtl/>
        </w:rPr>
        <w:t>צבי־הירש</w:t>
      </w:r>
      <w:proofErr w:type="spellEnd"/>
      <w:r>
        <w:rPr>
          <w:rtl/>
        </w:rPr>
        <w:t xml:space="preserve"> </w:t>
      </w:r>
      <w:proofErr w:type="spellStart"/>
      <w:r>
        <w:rPr>
          <w:rtl/>
        </w:rPr>
        <w:t>רבינוביץ</w:t>
      </w:r>
      <w:proofErr w:type="spellEnd"/>
      <w:r>
        <w:rPr>
          <w:rtl/>
        </w:rPr>
        <w:t>.</w:t>
      </w:r>
      <w:bookmarkStart w:id="2268" w:name="_fnr1440"/>
      <w:r>
        <w:rPr>
          <w:rStyle w:val="a5"/>
        </w:rPr>
        <w:footnoteReference w:id="1443" w:customMarkFollows="0"/>
      </w:r>
      <w:bookmarkEnd w:id="2268"/>
      <w:r>
        <w:rPr>
          <w:rtl/>
        </w:rPr>
        <w:t xml:space="preserve"> כמו כן מופרכים בכך דברי הרב משה מאיר ישר בכרך א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2269" w:name="_fnr1441"/>
      <w:r>
        <w:rPr>
          <w:rStyle w:val="a5"/>
        </w:rPr>
        <w:footnoteReference w:id="1444" w:customMarkFollows="0"/>
      </w:r>
      <w:bookmarkEnd w:id="2269"/>
      <w:r>
        <w:rPr>
          <w:rtl/>
        </w:rPr>
        <w:t xml:space="preserve"> לאמור: “המו״ל האלמוני לא היה אלא הצדיק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[צדיק נסתר, מן הכוחות היוצרים והמעוררים שבדורו, </w:t>
      </w:r>
      <w:proofErr w:type="spellStart"/>
      <w:r>
        <w:rPr>
          <w:rtl/>
        </w:rPr>
        <w:t>שהחפץ־חיים</w:t>
      </w:r>
      <w:proofErr w:type="spellEnd"/>
      <w:r>
        <w:rPr>
          <w:rtl/>
        </w:rPr>
        <w:t xml:space="preserve"> היה מזכיר את שמו בחיבה מיוחדת באמרו: ‘ארבעים שנה החזיק תורה בישראל’].” ספק גדול אם </w:t>
      </w:r>
      <w:proofErr w:type="spellStart"/>
      <w:r>
        <w:rPr>
          <w:rtl/>
        </w:rPr>
        <w:t xml:space="preserve">חווס</w:t>
      </w:r>
      <w:proofErr w:type="spellEnd"/>
      <w:r>
        <w:rPr>
          <w:rtl/>
        </w:rPr>
        <w:t>, “בעל בית בינוני”,</w:t>
      </w:r>
      <w:bookmarkStart w:id="2270" w:name="_fnr1442"/>
      <w:r>
        <w:rPr>
          <w:rStyle w:val="a5"/>
        </w:rPr>
        <w:footnoteReference w:id="1445" w:customMarkFollows="0"/>
      </w:r>
      <w:bookmarkEnd w:id="2270"/>
      <w:r>
        <w:rPr>
          <w:rtl/>
        </w:rPr>
        <w:t xml:space="preserve"> היה מסוגל לחבר את הקדמת המו״ל, הספרותית כל כך.</w:t>
      </w:r>
      <w:bookmarkStart w:id="2271" w:name="_fnr1443"/>
      <w:r>
        <w:rPr>
          <w:rStyle w:val="a5"/>
        </w:rPr>
        <w:footnoteReference w:id="1446" w:customMarkFollows="0"/>
      </w:r>
      <w:bookmarkEnd w:id="2271"/>
    </w:p>
    <w:p w14:paraId="731E347D" w14:textId="77777777" w:rsidR="00AB3647" w:rsidRDefault="00000000" w:rsidP="007923E9">
      <w:pPr>
        <w:spacing w:after="120" w:line="276" w:lineRule="auto"/>
        <w:ind w:firstLine="283"/>
        <w:jc w:val="both"/>
      </w:pPr>
      <w:r>
        <w:rPr>
          <w:rtl/>
        </w:rPr>
        <w:t xml:space="preserve">כדי להראות עד כמה העריך </w:t>
      </w:r>
      <w:proofErr w:type="spellStart"/>
      <w:r>
        <w:rPr>
          <w:rtl/>
        </w:rPr>
        <w:t>החפץ־חיים</w:t>
      </w:r>
      <w:proofErr w:type="spellEnd"/>
      <w:r>
        <w:rPr>
          <w:rtl/>
        </w:rPr>
        <w:t xml:space="preserve"> את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מובא כאן מעשה שאירע לקראת סוף מלחמת העולם הראשונה, כשר׳ </w:t>
      </w:r>
      <w:proofErr w:type="spellStart"/>
      <w:r>
        <w:rPr>
          <w:rtl/>
        </w:rPr>
        <w:t>לייזר־יעקב</w:t>
      </w:r>
      <w:proofErr w:type="spellEnd"/>
      <w:r>
        <w:rPr>
          <w:rtl/>
        </w:rPr>
        <w:t xml:space="preserve"> כבר לא היה בחיים.</w:t>
      </w:r>
      <w:bookmarkStart w:id="2272" w:name="_fnr1444"/>
      <w:r>
        <w:rPr>
          <w:rStyle w:val="a5"/>
        </w:rPr>
        <w:footnoteReference w:id="1447" w:customMarkFollows="0"/>
      </w:r>
      <w:bookmarkEnd w:id="2272"/>
      <w:r>
        <w:rPr>
          <w:rtl/>
        </w:rPr>
        <w:t xml:space="preserve"> ר׳ נפתלי </w:t>
      </w:r>
      <w:proofErr w:type="spellStart"/>
      <w:r>
        <w:rPr>
          <w:rtl/>
        </w:rPr>
        <w:t>טרופ</w:t>
      </w:r>
      <w:proofErr w:type="spellEnd"/>
      <w:r>
        <w:rPr>
          <w:rtl/>
        </w:rPr>
        <w:t xml:space="preserve">, חתנו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ביקש מן </w:t>
      </w:r>
      <w:proofErr w:type="spellStart"/>
      <w:r>
        <w:rPr>
          <w:rtl/>
        </w:rPr>
        <w:t>החפץ־חיים</w:t>
      </w:r>
      <w:proofErr w:type="spellEnd"/>
      <w:r>
        <w:rPr>
          <w:rtl/>
        </w:rPr>
        <w:t xml:space="preserve"> להתפלל על בנו ר׳ אברהם </w:t>
      </w:r>
      <w:proofErr w:type="spellStart"/>
      <w:r>
        <w:rPr>
          <w:rtl/>
        </w:rPr>
        <w:t>טרופ</w:t>
      </w:r>
      <w:proofErr w:type="spellEnd"/>
      <w:r>
        <w:rPr>
          <w:rtl/>
        </w:rPr>
        <w:t xml:space="preserve">, שהיה חולה אנוש בטיפוס. אמר </w:t>
      </w:r>
      <w:proofErr w:type="spellStart"/>
      <w:r>
        <w:rPr>
          <w:rtl/>
        </w:rPr>
        <w:t>החפץ־חיים</w:t>
      </w:r>
      <w:proofErr w:type="spellEnd"/>
      <w:r>
        <w:rPr>
          <w:rtl/>
        </w:rPr>
        <w:t xml:space="preserve">: “ר׳ </w:t>
      </w:r>
      <w:proofErr w:type="spellStart"/>
      <w:r>
        <w:rPr>
          <w:rtl/>
        </w:rPr>
        <w:t>לייזר־יעקב</w:t>
      </w:r>
      <w:proofErr w:type="spellEnd"/>
      <w:r>
        <w:rPr>
          <w:rtl/>
        </w:rPr>
        <w:t xml:space="preserve">, יש לך </w:t>
      </w:r>
      <w:proofErr w:type="spellStart"/>
      <w:r>
        <w:rPr>
          <w:rtl/>
        </w:rPr>
        <w:t>זכותים</w:t>
      </w:r>
      <w:proofErr w:type="spellEnd"/>
      <w:r>
        <w:rPr>
          <w:rtl/>
        </w:rPr>
        <w:t xml:space="preserve"> בכל עולם התורה; בקש מלפני הקב״ה על רפואת נכדך!” קודם שהסכים </w:t>
      </w:r>
      <w:proofErr w:type="spellStart"/>
      <w:r>
        <w:rPr>
          <w:rtl/>
        </w:rPr>
        <w:t>החפץ־חיים</w:t>
      </w:r>
      <w:proofErr w:type="spellEnd"/>
      <w:r>
        <w:rPr>
          <w:rtl/>
        </w:rPr>
        <w:t xml:space="preserve"> לומר תחינה זו, ביקש שר׳ אברהם יבטיח להקדיש את חייו להרבצת תורה. כשנאמר לו שר׳ אברהם שרוי בתרדמת, עמד על כך שהמשפחה תדאג שהחולה יקבל עליו את ההתחייבות מיד כשישוב להכרתו.</w:t>
      </w:r>
    </w:p>
    <w:p w14:paraId="68D0A382" w14:textId="40FDA275" w:rsidR="00AB3647" w:rsidRDefault="00000000" w:rsidP="007923E9">
      <w:pPr>
        <w:spacing w:after="120" w:line="276" w:lineRule="auto"/>
        <w:ind w:firstLine="283"/>
        <w:jc w:val="both"/>
      </w:pPr>
      <w:r>
        <w:rPr>
          <w:rtl/>
        </w:rPr>
        <w:t xml:space="preserve">משערים </w:t>
      </w:r>
      <w:proofErr w:type="spellStart"/>
      <w:r>
        <w:rPr>
          <w:rtl/>
        </w:rPr>
        <w:t>שהחפץ־חיים</w:t>
      </w:r>
      <w:proofErr w:type="spellEnd"/>
      <w:r>
        <w:rPr>
          <w:rtl/>
        </w:rPr>
        <w:t xml:space="preserve"> לא יכול היה לפנות בבקשה אל ר׳ </w:t>
      </w:r>
      <w:proofErr w:type="spellStart"/>
      <w:r>
        <w:rPr>
          <w:rtl/>
        </w:rPr>
        <w:t>לייזר־יעקב</w:t>
      </w:r>
      <w:proofErr w:type="spellEnd"/>
      <w:r>
        <w:rPr>
          <w:rtl/>
        </w:rPr>
        <w:t xml:space="preserve"> אלא אם כן יקיים הנכד החולה את מטרת חייו היחידה של סבו, כמבואר בהמשך נספח זה וב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להלן.</w:t>
      </w:r>
    </w:p>
    <w:p w14:paraId="271D950F" w14:textId="77777777" w:rsidR="00AB3647" w:rsidRDefault="00000000" w:rsidP="007923E9">
      <w:pPr>
        <w:spacing w:after="120" w:line="276" w:lineRule="auto"/>
        <w:ind w:firstLine="283"/>
        <w:jc w:val="both"/>
      </w:pPr>
      <w:r>
        <w:rPr>
          <w:rtl/>
        </w:rPr>
        <w:t>חוברת “עץ פרי” חולקה לתורמי כולל קובנה בידי המתרימים – מתנדבים או כאלה שקיבלו שכר זעום.</w:t>
      </w:r>
      <w:bookmarkStart w:id="2273" w:name="_fnr1445"/>
      <w:r>
        <w:rPr>
          <w:rStyle w:val="a5"/>
        </w:rPr>
        <w:footnoteReference w:id="1448" w:customMarkFollows="0"/>
      </w:r>
      <w:bookmarkEnd w:id="2273"/>
      <w:r>
        <w:rPr>
          <w:rtl/>
        </w:rPr>
        <w:t xml:space="preserve"> השווה גם “</w:t>
      </w:r>
      <w:proofErr w:type="spellStart"/>
      <w:r>
        <w:rPr>
          <w:rtl/>
        </w:rPr>
        <w:t>זכרון</w:t>
      </w:r>
      <w:proofErr w:type="spellEnd"/>
      <w:r>
        <w:rPr>
          <w:rtl/>
        </w:rPr>
        <w:t xml:space="preserve"> יעקב”</w:t>
      </w:r>
      <w:bookmarkStart w:id="2274" w:name="_fnr1446"/>
      <w:r>
        <w:rPr>
          <w:rStyle w:val="a5"/>
        </w:rPr>
        <w:footnoteReference w:id="1449" w:customMarkFollows="0"/>
      </w:r>
      <w:bookmarkEnd w:id="2274"/>
      <w:r>
        <w:rPr>
          <w:rtl/>
        </w:rPr>
        <w:t xml:space="preserve">, שלפיו התלווה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בהתנדבות לכמה מן המשולחים כדי לסייע להם להקים קבוצות תומכים קבועות בקהילות הגדולות. החוברת פותחת בפנייה מקדימה לתרומות מאת המו״ל האלמוני (הסבא </w:t>
      </w:r>
      <w:proofErr w:type="spellStart"/>
      <w:r>
        <w:rPr>
          <w:rtl/>
        </w:rPr>
        <w:t>מסלבודקה</w:t>
      </w:r>
      <w:proofErr w:type="spellEnd"/>
      <w:r>
        <w:rPr>
          <w:rtl/>
        </w:rPr>
        <w:t>), ובה “קול קורא” והקדמת המו״ל. “קול קורא” זה הוא כנראה זה שלפי “</w:t>
      </w:r>
      <w:proofErr w:type="spellStart"/>
      <w:r>
        <w:rPr>
          <w:rtl/>
        </w:rPr>
        <w:t>זכרון</w:t>
      </w:r>
      <w:proofErr w:type="spellEnd"/>
      <w:r>
        <w:rPr>
          <w:rtl/>
        </w:rPr>
        <w:t xml:space="preserve"> יעקב”</w:t>
      </w:r>
      <w:bookmarkStart w:id="2275" w:name="_fnr1447"/>
      <w:r>
        <w:rPr>
          <w:rStyle w:val="a5"/>
        </w:rPr>
        <w:footnoteReference w:id="1450" w:customMarkFollows="0"/>
      </w:r>
      <w:bookmarkEnd w:id="2275"/>
      <w:r>
        <w:rPr>
          <w:rtl/>
        </w:rPr>
        <w:t xml:space="preserve"> ניתן למשולח הראשון של הכולל קודם שיצא “עץ פרי” לאור. אחר כך כולל העלון את אלה:</w:t>
      </w:r>
    </w:p>
    <w:p w14:paraId="34EC2A54" w14:textId="5D4E385F" w:rsidR="00AB3647" w:rsidRDefault="00000000" w:rsidP="007923E9">
      <w:pPr>
        <w:spacing w:after="120" w:line="276" w:lineRule="auto"/>
        <w:ind w:firstLine="283"/>
        <w:jc w:val="both"/>
      </w:pPr>
      <w:bookmarkStart w:id="2276" w:name="pr_b_996"/>
      <w:bookmarkEnd w:id="2276"/>
      <w:r>
        <w:rPr>
          <w:rtl/>
        </w:rPr>
        <w:t xml:space="preserve">(א) הקדמה מאת מנהיג יהודי צומח, העסקן התורני ר׳ </w:t>
      </w:r>
      <w:proofErr w:type="spellStart"/>
      <w:r>
        <w:rPr>
          <w:rtl/>
        </w:rPr>
        <w:t>ישראל־מאיר</w:t>
      </w:r>
      <w:proofErr w:type="spellEnd"/>
      <w:r>
        <w:rPr>
          <w:rtl/>
        </w:rPr>
        <w:t xml:space="preserve"> </w:t>
      </w:r>
      <w:proofErr w:type="spellStart"/>
      <w:r>
        <w:rPr>
          <w:rtl/>
        </w:rPr>
        <w:t>קגן</w:t>
      </w:r>
      <w:proofErr w:type="spellEnd"/>
      <w:r>
        <w:rPr>
          <w:rtl/>
        </w:rPr>
        <w:t xml:space="preserve"> (תקצ״ט–תרצ״ג), שנודע לימים על שם הספר שחיבר שמונה שנים קודם לכן, בשנת תרל״ג – </w:t>
      </w:r>
      <w:proofErr w:type="spellStart"/>
      <w:r>
        <w:rPr>
          <w:rtl/>
        </w:rPr>
        <w:t>החפץ־חיים</w:t>
      </w:r>
      <w:proofErr w:type="spellEnd"/>
      <w:r>
        <w:rPr>
          <w:rtl/>
        </w:rPr>
        <w:t xml:space="preserve">. אין פלא שהסבא </w:t>
      </w:r>
      <w:proofErr w:type="spellStart"/>
      <w:r>
        <w:rPr>
          <w:rtl/>
        </w:rPr>
        <w:t>מסלבודקה</w:t>
      </w:r>
      <w:proofErr w:type="spellEnd"/>
      <w:r>
        <w:rPr>
          <w:rtl/>
        </w:rPr>
        <w:t xml:space="preserve"> כלל בחוברת מאמר מאת </w:t>
      </w:r>
      <w:proofErr w:type="spellStart"/>
      <w:r>
        <w:rPr>
          <w:rtl/>
        </w:rPr>
        <w:t>החפץ־חיים</w:t>
      </w:r>
      <w:proofErr w:type="spellEnd"/>
      <w:r>
        <w:rPr>
          <w:rtl/>
        </w:rPr>
        <w:t xml:space="preserve">, שכן הוא העריכו מאוד: השווה 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גם ר׳ ישראל </w:t>
      </w:r>
      <w:proofErr w:type="spellStart"/>
      <w:r>
        <w:rPr>
          <w:rtl/>
        </w:rPr>
        <w:t>סלנטר</w:t>
      </w:r>
      <w:proofErr w:type="spellEnd"/>
      <w:r>
        <w:rPr>
          <w:rtl/>
        </w:rPr>
        <w:t xml:space="preserve">, רבו של מורו של הסבא </w:t>
      </w:r>
      <w:proofErr w:type="spellStart"/>
      <w:r>
        <w:rPr>
          <w:rtl/>
        </w:rPr>
        <w:t>מסלבודקה</w:t>
      </w:r>
      <w:proofErr w:type="spellEnd"/>
      <w:r>
        <w:rPr>
          <w:rtl/>
        </w:rPr>
        <w:t xml:space="preserve">, העריך מאוד את </w:t>
      </w:r>
      <w:proofErr w:type="spellStart"/>
      <w:r>
        <w:rPr>
          <w:rtl/>
        </w:rPr>
        <w:t>החפץ־חיים</w:t>
      </w:r>
      <w:proofErr w:type="spellEnd"/>
      <w:r>
        <w:rPr>
          <w:rtl/>
        </w:rPr>
        <w:t>.</w:t>
      </w:r>
    </w:p>
    <w:p w14:paraId="6320B619" w14:textId="77777777" w:rsidR="00AB3647" w:rsidRDefault="00000000" w:rsidP="007923E9">
      <w:pPr>
        <w:spacing w:after="120" w:line="276" w:lineRule="auto"/>
        <w:ind w:firstLine="283"/>
        <w:jc w:val="both"/>
      </w:pPr>
      <w:r>
        <w:rPr>
          <w:rtl/>
        </w:rPr>
        <w:lastRenderedPageBreak/>
        <w:t xml:space="preserve">השווה כל כתבי </w:t>
      </w:r>
      <w:proofErr w:type="spellStart"/>
      <w:r>
        <w:rPr>
          <w:rtl/>
        </w:rPr>
        <w:t>ח״ח</w:t>
      </w:r>
      <w:bookmarkStart w:id="2277" w:name="_fnr1448"/>
      <w:proofErr w:type="spellEnd"/>
      <w:r>
        <w:rPr>
          <w:rStyle w:val="a5"/>
        </w:rPr>
        <w:footnoteReference w:id="1451" w:customMarkFollows="0"/>
      </w:r>
      <w:bookmarkEnd w:id="2277"/>
      <w:r>
        <w:rPr>
          <w:rtl/>
        </w:rPr>
        <w:t xml:space="preserve">, שלפיו סיפר אחד מתלמידי ר׳ ישראל </w:t>
      </w:r>
      <w:proofErr w:type="spellStart"/>
      <w:r>
        <w:rPr>
          <w:rtl/>
        </w:rPr>
        <w:t>סלנטר</w:t>
      </w:r>
      <w:proofErr w:type="spellEnd"/>
      <w:r>
        <w:rPr>
          <w:rtl/>
        </w:rPr>
        <w:t xml:space="preserve"> שכאשר ראה רבו את הספר “חפץ חיים”, העיר: “רואה אני שההשגחה העליונה כבר הכינה מנהיג לדור הבא, ליישר את לבות בני האדם ולהשיבם לאביהם שבשמים.” השווה גם “ספר מאיר עיני ישראל”</w:t>
      </w:r>
      <w:bookmarkStart w:id="2278" w:name="_fnr1449"/>
      <w:r>
        <w:rPr>
          <w:rStyle w:val="a5"/>
        </w:rPr>
        <w:footnoteReference w:id="1452" w:customMarkFollows="0"/>
      </w:r>
      <w:bookmarkEnd w:id="2278"/>
      <w:r>
        <w:rPr>
          <w:rtl/>
        </w:rPr>
        <w:t xml:space="preserve">, המספר </w:t>
      </w:r>
      <w:proofErr w:type="spellStart"/>
      <w:r>
        <w:rPr>
          <w:rtl/>
        </w:rPr>
        <w:t>שהחפץ־חיים</w:t>
      </w:r>
      <w:proofErr w:type="spellEnd"/>
      <w:r>
        <w:rPr>
          <w:rtl/>
        </w:rPr>
        <w:t xml:space="preserve"> בא אל ר׳ ישראל </w:t>
      </w:r>
      <w:proofErr w:type="spellStart"/>
      <w:r>
        <w:rPr>
          <w:rtl/>
        </w:rPr>
        <w:t>סלנטר</w:t>
      </w:r>
      <w:proofErr w:type="spellEnd"/>
      <w:r>
        <w:rPr>
          <w:rtl/>
        </w:rPr>
        <w:t xml:space="preserve"> לשאול בעצתו אם להוציא לאור את הספר שחיבר, ור׳ ישראל נתן את הסכמתו. מסופר שם: “אף על פי שר׳ ישראל היה זקן, ליווה את </w:t>
      </w:r>
      <w:proofErr w:type="spellStart"/>
      <w:r>
        <w:rPr>
          <w:rtl/>
        </w:rPr>
        <w:t>החפץ־חיים</w:t>
      </w:r>
      <w:proofErr w:type="spellEnd"/>
      <w:r>
        <w:rPr>
          <w:rtl/>
        </w:rPr>
        <w:t xml:space="preserve"> עד הפתח, וכששאלוהו תלמידיו של ר׳ ישראל בתמיהה מי הוא האורח ומדוע הוא ראוי לכל הכבוד הזה, השיב: ‘האברך הזה הוא “מאמין”, ולא זו בלבד שהוא “מאמין” – הוא “רואה”!’”</w:t>
      </w:r>
      <w:bookmarkStart w:id="2279" w:name="_fnr1450"/>
      <w:r>
        <w:rPr>
          <w:rStyle w:val="a5"/>
        </w:rPr>
        <w:footnoteReference w:id="1453" w:customMarkFollows="0"/>
      </w:r>
      <w:bookmarkEnd w:id="2279"/>
    </w:p>
    <w:p w14:paraId="78F6D843" w14:textId="77777777" w:rsidR="00AB3647" w:rsidRDefault="00000000" w:rsidP="007923E9">
      <w:pPr>
        <w:spacing w:after="120" w:line="276" w:lineRule="auto"/>
        <w:ind w:firstLine="283"/>
        <w:jc w:val="both"/>
      </w:pPr>
      <w:bookmarkStart w:id="2280" w:name="pr_b_997"/>
      <w:bookmarkEnd w:id="2280"/>
      <w:r>
        <w:rPr>
          <w:rtl/>
        </w:rPr>
        <w:t xml:space="preserve">(ב) מאמרים מאת הרב מקובנה, ר׳ </w:t>
      </w:r>
      <w:proofErr w:type="spellStart"/>
      <w:r>
        <w:rPr>
          <w:rtl/>
        </w:rPr>
        <w:t>יצחק־אלחנן</w:t>
      </w:r>
      <w:proofErr w:type="spellEnd"/>
      <w:r>
        <w:rPr>
          <w:rtl/>
        </w:rPr>
        <w:t xml:space="preserve"> </w:t>
      </w:r>
      <w:proofErr w:type="spellStart"/>
      <w:r>
        <w:rPr>
          <w:rtl/>
        </w:rPr>
        <w:t>ספקטור</w:t>
      </w:r>
      <w:proofErr w:type="spellEnd"/>
      <w:r>
        <w:rPr>
          <w:rtl/>
        </w:rPr>
        <w:t>, ומאת ר׳ ישראל ליפקין (</w:t>
      </w:r>
      <w:proofErr w:type="spellStart"/>
      <w:r>
        <w:rPr>
          <w:rtl/>
        </w:rPr>
        <w:t>סלנטר</w:t>
      </w:r>
      <w:proofErr w:type="spellEnd"/>
      <w:r>
        <w:rPr>
          <w:rtl/>
        </w:rPr>
        <w:t>) (תק״ע–תרמ״ג), מייסד תנועת המוסר.</w:t>
      </w:r>
    </w:p>
    <w:p w14:paraId="30D373DC" w14:textId="77777777" w:rsidR="00AB3647" w:rsidRDefault="00000000" w:rsidP="007923E9">
      <w:pPr>
        <w:spacing w:after="120" w:line="276" w:lineRule="auto"/>
        <w:ind w:firstLine="283"/>
        <w:jc w:val="both"/>
      </w:pPr>
      <w:r>
        <w:rPr>
          <w:rtl/>
        </w:rPr>
        <w:t xml:space="preserve">(ג) פתיחה וחתימה מאת ר׳ </w:t>
      </w:r>
      <w:proofErr w:type="spellStart"/>
      <w:r>
        <w:rPr>
          <w:rtl/>
        </w:rPr>
        <w:t>אלכסנדר־משה</w:t>
      </w:r>
      <w:proofErr w:type="spellEnd"/>
      <w:r>
        <w:rPr>
          <w:rtl/>
        </w:rPr>
        <w:t xml:space="preserve"> לפידות, רבה של העיר </w:t>
      </w:r>
      <w:proofErr w:type="spellStart"/>
      <w:r>
        <w:rPr>
          <w:rtl/>
        </w:rPr>
        <w:t>ראסיין</w:t>
      </w:r>
      <w:proofErr w:type="spellEnd"/>
      <w:r>
        <w:rPr>
          <w:rtl/>
        </w:rPr>
        <w:t xml:space="preserve"> </w:t>
      </w:r>
      <w:proofErr w:type="spellStart"/>
      <w:r>
        <w:rPr>
          <w:rtl/>
        </w:rPr>
        <w:t>ותלמיד־חבר</w:t>
      </w:r>
      <w:proofErr w:type="spellEnd"/>
      <w:r>
        <w:rPr>
          <w:rtl/>
        </w:rPr>
        <w:t xml:space="preserve"> של ר׳ ישראל </w:t>
      </w:r>
      <w:proofErr w:type="spellStart"/>
      <w:r>
        <w:rPr>
          <w:rtl/>
        </w:rPr>
        <w:t>סלנטר</w:t>
      </w:r>
      <w:proofErr w:type="spellEnd"/>
      <w:r>
        <w:rPr>
          <w:rtl/>
        </w:rPr>
        <w:t xml:space="preserve"> בצעירותם, כשלמדו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w:t>
      </w:r>
      <w:bookmarkStart w:id="2281" w:name="_fnr1451"/>
      <w:r>
        <w:rPr>
          <w:rStyle w:val="a5"/>
        </w:rPr>
        <w:footnoteReference w:id="1454" w:customMarkFollows="0"/>
      </w:r>
      <w:bookmarkEnd w:id="2281"/>
    </w:p>
    <w:p w14:paraId="3B107997" w14:textId="77777777" w:rsidR="00AB3647" w:rsidRDefault="00000000" w:rsidP="007923E9">
      <w:pPr>
        <w:spacing w:after="120" w:line="276" w:lineRule="auto"/>
        <w:ind w:firstLine="283"/>
        <w:jc w:val="both"/>
      </w:pPr>
      <w:bookmarkStart w:id="2282" w:name="pr_b_999"/>
      <w:bookmarkEnd w:id="2282"/>
      <w:r>
        <w:rPr>
          <w:rtl/>
        </w:rPr>
        <w:t xml:space="preserve">שלושת גדולי התורה שנמנו – ר׳ </w:t>
      </w:r>
      <w:proofErr w:type="spellStart"/>
      <w:r>
        <w:rPr>
          <w:rtl/>
        </w:rPr>
        <w:t>יצחק־אלחנן</w:t>
      </w:r>
      <w:proofErr w:type="spellEnd"/>
      <w:r>
        <w:rPr>
          <w:rtl/>
        </w:rPr>
        <w:t xml:space="preserve">, ר׳ ישראל ור׳ </w:t>
      </w:r>
      <w:proofErr w:type="spellStart"/>
      <w:r>
        <w:rPr>
          <w:rtl/>
        </w:rPr>
        <w:t>אלכסנדר־משה</w:t>
      </w:r>
      <w:proofErr w:type="spellEnd"/>
      <w:r>
        <w:rPr>
          <w:rtl/>
        </w:rPr>
        <w:t xml:space="preserve"> – היו קשורים לכולל קובנה כך: הראשון נתמנה לראש הרוחני של הכולל. השני הגה את רעיון הכולל, ויעץ למממנו, אמיל (עובדיה) לחמן, יהודי עשיר מברלין,</w:t>
      </w:r>
      <w:bookmarkStart w:id="2283" w:name="_fnr1452"/>
      <w:r>
        <w:rPr>
          <w:rStyle w:val="a5"/>
        </w:rPr>
        <w:footnoteReference w:id="1455" w:customMarkFollows="0"/>
      </w:r>
      <w:bookmarkEnd w:id="2283"/>
      <w:r>
        <w:rPr>
          <w:rtl/>
        </w:rPr>
        <w:t xml:space="preserve"> שהקמת כולל היא ההשקעה הטובה ביותר שיש בצדקה. (גם ר׳ ישראל </w:t>
      </w:r>
      <w:proofErr w:type="spellStart"/>
      <w:r>
        <w:rPr>
          <w:rtl/>
        </w:rPr>
        <w:t>סלנטר</w:t>
      </w:r>
      <w:proofErr w:type="spellEnd"/>
      <w:r>
        <w:rPr>
          <w:rtl/>
        </w:rPr>
        <w:t xml:space="preserve"> הוצע לעמוד בראש הכולל, אבל פינה את מקומו </w:t>
      </w:r>
      <w:proofErr w:type="spellStart"/>
      <w:r>
        <w:rPr>
          <w:rtl/>
        </w:rPr>
        <w:t>לר</w:t>
      </w:r>
      <w:proofErr w:type="spellEnd"/>
      <w:r>
        <w:rPr>
          <w:rtl/>
        </w:rPr>
        <w:t xml:space="preserve">׳ </w:t>
      </w:r>
      <w:proofErr w:type="spellStart"/>
      <w:r>
        <w:rPr>
          <w:rtl/>
        </w:rPr>
        <w:t>אלכסנדר־משה</w:t>
      </w:r>
      <w:proofErr w:type="spellEnd"/>
      <w:r>
        <w:rPr>
          <w:rtl/>
        </w:rPr>
        <w:t xml:space="preserve"> לפידות, וזה פינה את מקומו </w:t>
      </w:r>
      <w:proofErr w:type="spellStart"/>
      <w:r>
        <w:rPr>
          <w:rtl/>
        </w:rPr>
        <w:t>לר</w:t>
      </w:r>
      <w:proofErr w:type="spellEnd"/>
      <w:r>
        <w:rPr>
          <w:rtl/>
        </w:rPr>
        <w:t xml:space="preserve">׳ </w:t>
      </w:r>
      <w:proofErr w:type="spellStart"/>
      <w:r>
        <w:rPr>
          <w:rtl/>
        </w:rPr>
        <w:t>יצחק־אלחנן</w:t>
      </w:r>
      <w:proofErr w:type="spellEnd"/>
      <w:r>
        <w:rPr>
          <w:rtl/>
        </w:rPr>
        <w:t>.</w:t>
      </w:r>
      <w:bookmarkStart w:id="2284" w:name="_fnr1453"/>
      <w:r>
        <w:rPr>
          <w:rStyle w:val="a5"/>
        </w:rPr>
        <w:footnoteReference w:id="1456" w:customMarkFollows="0"/>
      </w:r>
      <w:bookmarkEnd w:id="2284"/>
      <w:r>
        <w:rPr>
          <w:rtl/>
        </w:rPr>
        <w:t xml:space="preserve">) השלישי היה מורו של ר׳ </w:t>
      </w:r>
      <w:proofErr w:type="spellStart"/>
      <w:r>
        <w:rPr>
          <w:rtl/>
        </w:rPr>
        <w:t>לייזר־יעקב</w:t>
      </w:r>
      <w:proofErr w:type="spellEnd"/>
      <w:r>
        <w:rPr>
          <w:rtl/>
        </w:rPr>
        <w:t xml:space="preserve"> </w:t>
      </w:r>
      <w:proofErr w:type="spellStart"/>
      <w:r>
        <w:rPr>
          <w:rtl/>
        </w:rPr>
        <w:t xml:space="preserve">חווס</w:t>
      </w:r>
      <w:proofErr w:type="spellEnd"/>
      <w:r>
        <w:rPr>
          <w:rtl/>
        </w:rPr>
        <w:t>.</w:t>
      </w:r>
      <w:bookmarkStart w:id="2285" w:name="_fnr1454"/>
      <w:bookmarkStart w:id="2286" w:name="pr_f_1367"/>
      <w:r>
        <w:rPr>
          <w:rStyle w:val="a5"/>
        </w:rPr>
        <w:footnoteReference w:id="1457" w:customMarkFollows="0"/>
      </w:r>
      <w:bookmarkEnd w:id="2285"/>
      <w:bookmarkEnd w:id="2286"/>
    </w:p>
    <w:p w14:paraId="02157851" w14:textId="1CD5747F" w:rsidR="00AB3647" w:rsidRDefault="00000000" w:rsidP="007923E9">
      <w:pPr>
        <w:spacing w:after="120" w:line="276" w:lineRule="auto"/>
        <w:ind w:firstLine="283"/>
        <w:jc w:val="both"/>
      </w:pPr>
      <w:bookmarkStart w:id="2287" w:name="pr_close_b_1575"/>
      <w:bookmarkEnd w:id="2287"/>
      <w:proofErr w:type="spellStart"/>
      <w:r>
        <w:rPr>
          <w:rtl/>
        </w:rPr>
        <w:t>משלא</w:t>
      </w:r>
      <w:proofErr w:type="spellEnd"/>
      <w:r>
        <w:rPr>
          <w:rtl/>
        </w:rPr>
        <w:t xml:space="preserve"> הייתה ידו של ר׳ </w:t>
      </w:r>
      <w:proofErr w:type="spellStart"/>
      <w:r>
        <w:rPr>
          <w:rtl/>
        </w:rPr>
        <w:t>לייזר־יעקב</w:t>
      </w:r>
      <w:proofErr w:type="spellEnd"/>
      <w:r>
        <w:rPr>
          <w:rtl/>
        </w:rPr>
        <w:t xml:space="preserve"> משגת לשלם דמי נסיעה ברכבת לברלין, הלך לשם </w:t>
      </w:r>
      <w:r>
        <w:rPr>
          <w:b/>
          <w:bCs/>
          <w:rtl/>
        </w:rPr>
        <w:t>ברגל</w:t>
      </w:r>
      <w:r>
        <w:rPr>
          <w:rtl/>
        </w:rPr>
        <w:t xml:space="preserve">, ויחד עם אחיו ר׳ </w:t>
      </w:r>
      <w:proofErr w:type="spellStart"/>
      <w:r>
        <w:rPr>
          <w:rtl/>
        </w:rPr>
        <w:t>יוזף־חיים</w:t>
      </w:r>
      <w:proofErr w:type="spellEnd"/>
      <w:r>
        <w:rPr>
          <w:rtl/>
        </w:rPr>
        <w:t xml:space="preserve">, מנהל החשבונות של לחמן, שכנע את היהודי הברלינאי לתמוך במיזם. לפי ר׳ ישעיה זינגר, יש במשפחתו מסורת שר׳ </w:t>
      </w:r>
      <w:proofErr w:type="spellStart"/>
      <w:r>
        <w:rPr>
          <w:rtl/>
        </w:rPr>
        <w:t>לייזר־יעקב</w:t>
      </w:r>
      <w:proofErr w:type="spellEnd"/>
      <w:r>
        <w:rPr>
          <w:rtl/>
        </w:rPr>
        <w:t xml:space="preserve"> חזר על חצי הש״ס בהליכתו לברלין ועל החצי השני בדרך חזרה. השווה גם פרק 4, הפסקה השנייה ב</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שלאחר שר׳ </w:t>
      </w:r>
      <w:proofErr w:type="spellStart"/>
      <w:r>
        <w:rPr>
          <w:rtl/>
        </w:rPr>
        <w:t>לייזר־יעקב</w:t>
      </w:r>
      <w:proofErr w:type="spellEnd"/>
      <w:r>
        <w:rPr>
          <w:rtl/>
        </w:rPr>
        <w:t xml:space="preserve"> הכשיר את הקרקע, נמשך ר׳ עובדיה עוד יותר לתמיכה בתורה כששמע את ר׳ ישראל </w:t>
      </w:r>
      <w:proofErr w:type="spellStart"/>
      <w:r>
        <w:rPr>
          <w:rtl/>
        </w:rPr>
        <w:t>סלנטר</w:t>
      </w:r>
      <w:proofErr w:type="spellEnd"/>
      <w:r>
        <w:rPr>
          <w:rtl/>
        </w:rPr>
        <w:t xml:space="preserve"> דורש בממל. אולי הציע ר׳ </w:t>
      </w:r>
      <w:proofErr w:type="spellStart"/>
      <w:r>
        <w:rPr>
          <w:rtl/>
        </w:rPr>
        <w:t>לייזר־יעקב</w:t>
      </w:r>
      <w:proofErr w:type="spellEnd"/>
      <w:r>
        <w:rPr>
          <w:rtl/>
        </w:rPr>
        <w:t xml:space="preserve"> ללחמן שייסע לממל לפגוש את ר׳ ישראל.</w:t>
      </w:r>
    </w:p>
    <w:p w14:paraId="0CB56278" w14:textId="77777777" w:rsidR="00AB3647" w:rsidRDefault="00000000" w:rsidP="007923E9">
      <w:pPr>
        <w:spacing w:after="120" w:line="276" w:lineRule="auto"/>
        <w:ind w:firstLine="283"/>
        <w:jc w:val="both"/>
      </w:pPr>
      <w:bookmarkStart w:id="2288" w:name="pr_b_1000"/>
      <w:bookmarkEnd w:id="2288"/>
      <w:r>
        <w:rPr>
          <w:rtl/>
        </w:rPr>
        <w:lastRenderedPageBreak/>
        <w:t xml:space="preserve">בשיחה מוקלטת ביום היארצייט של ר׳ דוד </w:t>
      </w:r>
      <w:proofErr w:type="spellStart"/>
      <w:r>
        <w:rPr>
          <w:rtl/>
        </w:rPr>
        <w:t>ליבוביץ</w:t>
      </w:r>
      <w:bookmarkStart w:id="2289" w:name="_fnr1455"/>
      <w:proofErr w:type="spellEnd"/>
      <w:r>
        <w:rPr>
          <w:rStyle w:val="a5"/>
        </w:rPr>
        <w:footnoteReference w:id="1458" w:customMarkFollows="0"/>
      </w:r>
      <w:bookmarkEnd w:id="2289"/>
      <w:r>
        <w:rPr>
          <w:rtl/>
        </w:rPr>
        <w:t>, בערך בשנת תשל״ה,</w:t>
      </w:r>
      <w:bookmarkStart w:id="2290" w:name="_fnr1456"/>
      <w:r>
        <w:rPr>
          <w:rStyle w:val="a5"/>
        </w:rPr>
        <w:footnoteReference w:id="1459" w:customMarkFollows="0"/>
      </w:r>
      <w:bookmarkEnd w:id="2290"/>
      <w:r>
        <w:rPr>
          <w:rtl/>
        </w:rPr>
        <w:t xml:space="preserve"> שיער רבנו – “בלא שידע מה היו שורשי יראת השמים (של לחמן)” – שר׳ </w:t>
      </w:r>
      <w:proofErr w:type="spellStart"/>
      <w:r>
        <w:rPr>
          <w:rtl/>
        </w:rPr>
        <w:t>יוזף־חיים</w:t>
      </w:r>
      <w:proofErr w:type="spellEnd"/>
      <w:r>
        <w:rPr>
          <w:rtl/>
        </w:rPr>
        <w:t xml:space="preserve"> הוא שעשה את מעבידו לשומר מצוות, ממש לפני מסעו של ר׳ </w:t>
      </w:r>
      <w:proofErr w:type="spellStart"/>
      <w:r>
        <w:rPr>
          <w:rtl/>
        </w:rPr>
        <w:t>לייזר־יעקב</w:t>
      </w:r>
      <w:proofErr w:type="spellEnd"/>
      <w:r>
        <w:rPr>
          <w:rtl/>
        </w:rPr>
        <w:t xml:space="preserve"> לברלין.</w:t>
      </w:r>
    </w:p>
    <w:p w14:paraId="258F3B10" w14:textId="77777777" w:rsidR="00AB3647" w:rsidRDefault="00000000" w:rsidP="007923E9">
      <w:pPr>
        <w:spacing w:after="120" w:line="276" w:lineRule="auto"/>
        <w:ind w:firstLine="283"/>
        <w:jc w:val="both"/>
      </w:pPr>
      <w:r>
        <w:rPr>
          <w:rtl/>
        </w:rPr>
        <w:t xml:space="preserve">במבוא “תולדות הרב אריה ליב </w:t>
      </w:r>
      <w:proofErr w:type="spellStart"/>
      <w:r>
        <w:rPr>
          <w:rtl/>
        </w:rPr>
        <w:t>פרומקין</w:t>
      </w:r>
      <w:proofErr w:type="spellEnd"/>
      <w:r>
        <w:rPr>
          <w:rtl/>
        </w:rPr>
        <w:t xml:space="preserve">”, מאת אליעזר ריבלין, לספרו של ר׳ </w:t>
      </w:r>
      <w:proofErr w:type="spellStart"/>
      <w:r>
        <w:rPr>
          <w:rtl/>
        </w:rPr>
        <w:t>אריה־לייב</w:t>
      </w:r>
      <w:proofErr w:type="spellEnd"/>
      <w:r>
        <w:rPr>
          <w:rtl/>
        </w:rPr>
        <w:t xml:space="preserve"> </w:t>
      </w:r>
      <w:proofErr w:type="spellStart"/>
      <w:r>
        <w:rPr>
          <w:rtl/>
        </w:rPr>
        <w:t>פרומקין</w:t>
      </w:r>
      <w:proofErr w:type="spellEnd"/>
      <w:r>
        <w:rPr>
          <w:rtl/>
        </w:rPr>
        <w:t xml:space="preserve"> “תולדות חכמי ירושלים”</w:t>
      </w:r>
      <w:bookmarkStart w:id="2291" w:name="_fnr1457"/>
      <w:r>
        <w:rPr>
          <w:rStyle w:val="a5"/>
        </w:rPr>
        <w:footnoteReference w:id="1460" w:customMarkFollows="0"/>
      </w:r>
      <w:bookmarkEnd w:id="2291"/>
      <w:r>
        <w:rPr>
          <w:rtl/>
        </w:rPr>
        <w:t xml:space="preserve"> נאמר: “[לחמן] נמשך אל יהדות רוסיה בהשפעת אחד מיהודי רוסיה, חרד ו</w:t>
      </w:r>
      <w:r>
        <w:rPr>
          <w:b/>
          <w:bCs/>
          <w:rtl/>
        </w:rPr>
        <w:t>תלמיד חכם גדול</w:t>
      </w:r>
      <w:r>
        <w:rPr>
          <w:rtl/>
        </w:rPr>
        <w:t xml:space="preserve">, ר׳ </w:t>
      </w:r>
      <w:proofErr w:type="spellStart"/>
      <w:r>
        <w:rPr>
          <w:rtl/>
        </w:rPr>
        <w:t>יעקב־לייזר</w:t>
      </w:r>
      <w:proofErr w:type="spellEnd"/>
      <w:r>
        <w:rPr>
          <w:rtl/>
        </w:rPr>
        <w:t xml:space="preserve"> </w:t>
      </w:r>
      <w:proofErr w:type="spellStart"/>
      <w:r>
        <w:rPr>
          <w:rtl/>
        </w:rPr>
        <w:t xml:space="preserve">חווס</w:t>
      </w:r>
      <w:proofErr w:type="spellEnd"/>
      <w:r>
        <w:rPr>
          <w:rtl/>
        </w:rPr>
        <w:t xml:space="preserve">, שבביתו התארח </w:t>
      </w:r>
      <w:r>
        <w:rPr>
          <w:b/>
          <w:bCs/>
          <w:rtl/>
        </w:rPr>
        <w:t>הרב</w:t>
      </w:r>
      <w:r>
        <w:rPr>
          <w:rtl/>
        </w:rPr>
        <w:t xml:space="preserve"> (ההדגשות שלי) לחמן.”</w:t>
      </w:r>
    </w:p>
    <w:p w14:paraId="02D99864" w14:textId="77777777" w:rsidR="00AB3647" w:rsidRDefault="00000000" w:rsidP="007923E9">
      <w:pPr>
        <w:spacing w:after="120" w:line="276" w:lineRule="auto"/>
        <w:ind w:firstLine="283"/>
        <w:jc w:val="both"/>
      </w:pPr>
      <w:r>
        <w:rPr>
          <w:rtl/>
        </w:rPr>
        <w:t xml:space="preserve">התואר הרבני שניתן לאמיל לחמן הוא ודאי פליטת קולמוס של ריבלין. מלבד ההיפוך המוטעה של שמו הכפול של ר׳ </w:t>
      </w:r>
      <w:proofErr w:type="spellStart"/>
      <w:r>
        <w:rPr>
          <w:rtl/>
        </w:rPr>
        <w:t>לייזר־יעקב</w:t>
      </w:r>
      <w:proofErr w:type="spellEnd"/>
      <w:r>
        <w:rPr>
          <w:rtl/>
        </w:rPr>
        <w:t xml:space="preserve"> לאורך כל המאמר, החליף ריבלין את ר׳ </w:t>
      </w:r>
      <w:proofErr w:type="spellStart"/>
      <w:r>
        <w:rPr>
          <w:rtl/>
        </w:rPr>
        <w:t>לייזר־יעקב</w:t>
      </w:r>
      <w:proofErr w:type="spellEnd"/>
      <w:r>
        <w:rPr>
          <w:rtl/>
        </w:rPr>
        <w:t xml:space="preserve"> באחיו ר׳ </w:t>
      </w:r>
      <w:proofErr w:type="spellStart"/>
      <w:r>
        <w:rPr>
          <w:rtl/>
        </w:rPr>
        <w:t>יוזף־חיים</w:t>
      </w:r>
      <w:proofErr w:type="spellEnd"/>
      <w:r>
        <w:rPr>
          <w:rtl/>
        </w:rPr>
        <w:t xml:space="preserve">; </w:t>
      </w:r>
      <w:proofErr w:type="spellStart"/>
      <w:r>
        <w:rPr>
          <w:rtl/>
        </w:rPr>
        <w:t>לר</w:t>
      </w:r>
      <w:proofErr w:type="spellEnd"/>
      <w:r>
        <w:rPr>
          <w:rtl/>
        </w:rPr>
        <w:t xml:space="preserve">׳ </w:t>
      </w:r>
      <w:proofErr w:type="spellStart"/>
      <w:r>
        <w:rPr>
          <w:rtl/>
        </w:rPr>
        <w:t>לייזר־יעקב</w:t>
      </w:r>
      <w:proofErr w:type="spellEnd"/>
      <w:r>
        <w:rPr>
          <w:rtl/>
        </w:rPr>
        <w:t xml:space="preserve"> לא היה בית בברלין, והוא רק התארח בבית אחיו, כמו לחמן.</w:t>
      </w:r>
      <w:bookmarkStart w:id="2292" w:name="_fnr1458"/>
      <w:r>
        <w:rPr>
          <w:rStyle w:val="a5"/>
        </w:rPr>
        <w:footnoteReference w:id="1461" w:customMarkFollows="0"/>
      </w:r>
      <w:bookmarkEnd w:id="2292"/>
      <w:r>
        <w:rPr>
          <w:rtl/>
        </w:rPr>
        <w:t xml:space="preserve"> ייתכן שריבלין טועה גם בייחוס התואר “תלמיד חכם גדול” </w:t>
      </w:r>
      <w:proofErr w:type="spellStart"/>
      <w:r>
        <w:rPr>
          <w:rtl/>
        </w:rPr>
        <w:t xml:space="preserve">לחווס</w:t>
      </w:r>
      <w:proofErr w:type="spellEnd"/>
      <w:r>
        <w:rPr>
          <w:rtl/>
        </w:rPr>
        <w:t xml:space="preserve"> [יהיה זה ר׳ </w:t>
      </w:r>
      <w:proofErr w:type="spellStart"/>
      <w:r>
        <w:rPr>
          <w:rtl/>
        </w:rPr>
        <w:t>יוזף־חיים</w:t>
      </w:r>
      <w:proofErr w:type="spellEnd"/>
      <w:r>
        <w:rPr>
          <w:rtl/>
        </w:rPr>
        <w:t xml:space="preserve"> התושב או ר׳ </w:t>
      </w:r>
      <w:proofErr w:type="spellStart"/>
      <w:r>
        <w:rPr>
          <w:rtl/>
        </w:rPr>
        <w:t>לייזר־יעקב</w:t>
      </w:r>
      <w:proofErr w:type="spellEnd"/>
      <w:r>
        <w:rPr>
          <w:rtl/>
        </w:rPr>
        <w:t xml:space="preserve"> האורח], כפי שהוא טועה בתואר “רב” שנתן ללחמן. אבל כנראה צודק הוא בטענתו שלחמן נטה אל “יהדות רוסיה” משום שהתארח בביתו המסורתי של [</w:t>
      </w:r>
      <w:proofErr w:type="spellStart"/>
      <w:r>
        <w:rPr>
          <w:rtl/>
        </w:rPr>
        <w:t>יוזף־חיים</w:t>
      </w:r>
      <w:proofErr w:type="spellEnd"/>
      <w:r>
        <w:rPr>
          <w:rtl/>
        </w:rPr>
        <w:t xml:space="preserve">] </w:t>
      </w:r>
      <w:proofErr w:type="spellStart"/>
      <w:r>
        <w:rPr>
          <w:rtl/>
        </w:rPr>
        <w:t xml:space="preserve">חווס</w:t>
      </w:r>
      <w:proofErr w:type="spellEnd"/>
      <w:r>
        <w:rPr>
          <w:rtl/>
        </w:rPr>
        <w:t xml:space="preserve"> וראה את יופיו – כדרך שבעלי תשובה בימינו נמשכים אל היהדות בזכות בתים כאלה בני זמננו. מכל מקום, דיווחו של ריבלין על שורשי יראת השמים של לחמן מאשר את השערתו של אבי.</w:t>
      </w:r>
    </w:p>
    <w:p w14:paraId="70B7F8C6" w14:textId="77777777" w:rsidR="00AB3647" w:rsidRDefault="00000000" w:rsidP="007923E9">
      <w:pPr>
        <w:spacing w:after="120" w:line="276" w:lineRule="auto"/>
        <w:ind w:firstLine="283"/>
        <w:jc w:val="both"/>
      </w:pPr>
      <w:bookmarkStart w:id="2293" w:name="pr_b_1001"/>
      <w:bookmarkEnd w:id="2293"/>
      <w:r>
        <w:rPr>
          <w:rtl/>
        </w:rPr>
        <w:t>מאמר נגד המוסר</w:t>
      </w:r>
      <w:bookmarkStart w:id="2294" w:name="_fnr1459"/>
      <w:r>
        <w:rPr>
          <w:rStyle w:val="a5"/>
        </w:rPr>
        <w:footnoteReference w:id="1462" w:customMarkFollows="0"/>
      </w:r>
      <w:bookmarkEnd w:id="2294"/>
      <w:r>
        <w:rPr>
          <w:rtl/>
        </w:rPr>
        <w:t xml:space="preserve"> בגיליון 21 בדצמבר 1910 של היומון הוילנאי “הזמן”,</w:t>
      </w:r>
      <w:bookmarkStart w:id="2295" w:name="_fnr1460"/>
      <w:r>
        <w:rPr>
          <w:rStyle w:val="a5"/>
        </w:rPr>
        <w:footnoteReference w:id="1463" w:customMarkFollows="0"/>
      </w:r>
      <w:bookmarkEnd w:id="2295"/>
      <w:r>
        <w:rPr>
          <w:rtl/>
        </w:rPr>
        <w:t xml:space="preserve"> בכותרת “‘</w:t>
      </w:r>
      <w:proofErr w:type="spellStart"/>
      <w:r>
        <w:rPr>
          <w:rtl/>
        </w:rPr>
        <w:t>מיצינט</w:t>
      </w:r>
      <w:proofErr w:type="spellEnd"/>
      <w:r>
        <w:rPr>
          <w:rtl/>
        </w:rPr>
        <w:t>’ יהודי” ובחתימת “מאן דהו”, טוען שלחמן קיבל חינוך אורתודוקסי מהוריו שומרי המצוות. אבל טענה זו, כמו הרבה הצהרות אחרות במאמר, היא ניחוש מוטעה. מדברי אבי ברור שדתיותו של לחמן לא צמחה מסביבתו הטבעית, בית הוריו, אלא מקרקע זרה. כך כותב גם “החפץ חיים”:</w:t>
      </w:r>
      <w:bookmarkStart w:id="2296" w:name="_fnr1461"/>
      <w:r>
        <w:rPr>
          <w:rStyle w:val="a5"/>
        </w:rPr>
        <w:footnoteReference w:id="1464" w:customMarkFollows="0"/>
      </w:r>
      <w:bookmarkEnd w:id="2296"/>
      <w:r>
        <w:rPr>
          <w:rtl/>
        </w:rPr>
        <w:t xml:space="preserve"> “לידתו וחינוכו של לחמן היו בסביבה לא דתית, ובתחילה היה מנוכר לגמרי לרוח התורה והיהדות. אכן בזכות השפעתו של ר׳ ישראל </w:t>
      </w:r>
      <w:proofErr w:type="spellStart"/>
      <w:r>
        <w:rPr>
          <w:rtl/>
        </w:rPr>
        <w:t>סלנטר</w:t>
      </w:r>
      <w:proofErr w:type="spellEnd"/>
      <w:r>
        <w:rPr>
          <w:rtl/>
        </w:rPr>
        <w:t xml:space="preserve"> נדלק בו ניצוץ היהדות, עד שנעשה ירא וחרד.” “החפץ חיים” טועה כשהוא תולה בר׳ ישראל </w:t>
      </w:r>
      <w:proofErr w:type="spellStart"/>
      <w:r>
        <w:rPr>
          <w:rtl/>
        </w:rPr>
        <w:t>סלנטר</w:t>
      </w:r>
      <w:proofErr w:type="spellEnd"/>
      <w:r>
        <w:rPr>
          <w:rtl/>
        </w:rPr>
        <w:t xml:space="preserve"> את היותו של לחמן ליהודי שומר מצוות, אבל הוא צודק בכך שהנדבן לא גדל בבית שומר מצוות – כפי שטען אבי וכפי שדיווח ריבלין.</w:t>
      </w:r>
    </w:p>
    <w:p w14:paraId="5CCFAE37" w14:textId="77777777" w:rsidR="00AB3647" w:rsidRDefault="00000000" w:rsidP="007923E9">
      <w:pPr>
        <w:spacing w:after="120" w:line="276" w:lineRule="auto"/>
        <w:ind w:firstLine="283"/>
        <w:jc w:val="both"/>
      </w:pPr>
      <w:r>
        <w:rPr>
          <w:rtl/>
        </w:rPr>
        <w:lastRenderedPageBreak/>
        <w:t xml:space="preserve">אני סבור שידיעותיו של רבנו על לחמן באו לו ישירות מן הסבא </w:t>
      </w:r>
      <w:proofErr w:type="spellStart"/>
      <w:r>
        <w:rPr>
          <w:rtl/>
        </w:rPr>
        <w:t>מסלבודקה</w:t>
      </w:r>
      <w:proofErr w:type="spellEnd"/>
      <w:r>
        <w:rPr>
          <w:rtl/>
        </w:rPr>
        <w:t xml:space="preserve">. הסבא לא זו בלבד שקיבל את כספי ר׳ עובדיה לחלוקה, אלא גם פגש אותו אישית בשנים הראשונות לכניסתו לחברה הדתית, כשראשית דתיותו הייתה עניין שעורר סקרנות. דבר הפגישה האישית ביניהם נודע ממכתב של ר׳ </w:t>
      </w:r>
      <w:proofErr w:type="spellStart"/>
      <w:r>
        <w:rPr>
          <w:rtl/>
        </w:rPr>
        <w:t>שמחה־זיסל</w:t>
      </w:r>
      <w:proofErr w:type="spellEnd"/>
      <w:r>
        <w:rPr>
          <w:rtl/>
        </w:rPr>
        <w:t xml:space="preserve"> זיו לאחיו ר׳ לייב </w:t>
      </w:r>
      <w:proofErr w:type="spellStart"/>
      <w:r>
        <w:rPr>
          <w:rtl/>
        </w:rPr>
        <w:t>ברוידא</w:t>
      </w:r>
      <w:proofErr w:type="spellEnd"/>
      <w:r>
        <w:rPr>
          <w:rtl/>
        </w:rPr>
        <w:t>, שפורסם לאחרונה.</w:t>
      </w:r>
      <w:bookmarkStart w:id="2297" w:name="_fnr1462"/>
      <w:bookmarkStart w:id="2298" w:name="pr_f_1375"/>
      <w:r>
        <w:rPr>
          <w:rStyle w:val="a5"/>
        </w:rPr>
        <w:footnoteReference w:id="1465" w:customMarkFollows="0"/>
      </w:r>
      <w:bookmarkEnd w:id="2297"/>
      <w:bookmarkEnd w:id="2298"/>
      <w:r>
        <w:rPr>
          <w:rtl/>
        </w:rPr>
        <w:t xml:space="preserve"> במכתב מוזכר שר׳ </w:t>
      </w:r>
      <w:proofErr w:type="spellStart"/>
      <w:r>
        <w:rPr>
          <w:rtl/>
        </w:rPr>
        <w:t>נתן־צבי</w:t>
      </w:r>
      <w:proofErr w:type="spellEnd"/>
      <w:r>
        <w:rPr>
          <w:rtl/>
        </w:rPr>
        <w:t xml:space="preserve"> </w:t>
      </w:r>
      <w:proofErr w:type="spellStart"/>
      <w:r>
        <w:rPr>
          <w:rtl/>
        </w:rPr>
        <w:t>פינקל</w:t>
      </w:r>
      <w:proofErr w:type="spellEnd"/>
      <w:r>
        <w:rPr>
          <w:rtl/>
        </w:rPr>
        <w:t xml:space="preserve"> נסע לבקר את “האיש הידוע מהמבורג </w:t>
      </w:r>
      <w:proofErr w:type="spellStart"/>
      <w:r>
        <w:rPr>
          <w:rtl/>
        </w:rPr>
        <w:t>לאכמאנן</w:t>
      </w:r>
      <w:bookmarkStart w:id="2299" w:name="_fnr1463"/>
      <w:proofErr w:type="spellEnd"/>
      <w:r>
        <w:rPr>
          <w:rStyle w:val="a5"/>
        </w:rPr>
        <w:footnoteReference w:id="1466" w:customMarkFollows="0"/>
      </w:r>
      <w:bookmarkEnd w:id="2299"/>
      <w:r>
        <w:rPr>
          <w:rtl/>
        </w:rPr>
        <w:t xml:space="preserve"> אשר הקדיש צדקתו על קהל הפרושים</w:t>
      </w:r>
      <w:bookmarkStart w:id="2300" w:name="_fnr1464"/>
      <w:r>
        <w:rPr>
          <w:rStyle w:val="a5"/>
        </w:rPr>
        <w:footnoteReference w:id="1467" w:customMarkFollows="0"/>
      </w:r>
      <w:bookmarkEnd w:id="2300"/>
      <w:r>
        <w:rPr>
          <w:rtl/>
        </w:rPr>
        <w:t xml:space="preserve">” [כולל קובנה], ושהצליח לגייס הלוואה של אלף רובל כנגד שטרות חוב שנתן תושב קלם אחד, הנזכר בשמו (שגם שילם את הוצאות נסיעתו של הסבא </w:t>
      </w:r>
      <w:proofErr w:type="spellStart"/>
      <w:r>
        <w:rPr>
          <w:rtl/>
        </w:rPr>
        <w:t>מסלבודקה</w:t>
      </w:r>
      <w:proofErr w:type="spellEnd"/>
      <w:r>
        <w:rPr>
          <w:rtl/>
        </w:rPr>
        <w:t>).</w:t>
      </w:r>
    </w:p>
    <w:p w14:paraId="265B6AE5" w14:textId="77777777" w:rsidR="00AB3647" w:rsidRDefault="00000000" w:rsidP="007923E9">
      <w:pPr>
        <w:spacing w:after="120" w:line="276" w:lineRule="auto"/>
        <w:ind w:firstLine="283"/>
        <w:jc w:val="both"/>
      </w:pPr>
      <w:r>
        <w:rPr>
          <w:rtl/>
        </w:rPr>
        <w:t xml:space="preserve">בתאריך המכתב אין שנה, ונאמר בו רק: “עש״ק לשבת אחרי ק׳.” מסתבר שהמכתב נכתב בשנת תר״מ – שלוש שנים אחרי </w:t>
      </w:r>
      <w:proofErr w:type="spellStart"/>
      <w:r>
        <w:rPr>
          <w:rtl/>
        </w:rPr>
        <w:t>ש“הקדיש</w:t>
      </w:r>
      <w:proofErr w:type="spellEnd"/>
      <w:r>
        <w:rPr>
          <w:rtl/>
        </w:rPr>
        <w:t>” לחמן “את תמיכתו” לכולל קובנה – כשהפרשיות אחרי מות וקדושים היו מחוברות,</w:t>
      </w:r>
      <w:bookmarkStart w:id="2301" w:name="_fnr1465"/>
      <w:r>
        <w:rPr>
          <w:rStyle w:val="a5"/>
        </w:rPr>
        <w:footnoteReference w:id="1468" w:customMarkFollows="0"/>
      </w:r>
      <w:bookmarkEnd w:id="2301"/>
      <w:r>
        <w:rPr>
          <w:rtl/>
        </w:rPr>
        <w:t xml:space="preserve"> וכשנפתחה הפנימייה רבת התקציב </w:t>
      </w:r>
      <w:proofErr w:type="spellStart"/>
      <w:r>
        <w:rPr>
          <w:rtl/>
        </w:rPr>
        <w:t>שבגרובין</w:t>
      </w:r>
      <w:proofErr w:type="spellEnd"/>
      <w:r>
        <w:rPr>
          <w:rtl/>
        </w:rPr>
        <w:t xml:space="preserve"> והייתה זקוקה לתמיכה כספית. מבוא העורך למכתב</w:t>
      </w:r>
      <w:bookmarkStart w:id="2302" w:name="_fnr1466"/>
      <w:r>
        <w:rPr>
          <w:rStyle w:val="a5"/>
        </w:rPr>
        <w:footnoteReference w:id="1469" w:customMarkFollows="0"/>
      </w:r>
      <w:bookmarkEnd w:id="2302"/>
      <w:r>
        <w:rPr>
          <w:rtl/>
        </w:rPr>
        <w:t xml:space="preserve"> אינו מזכיר את </w:t>
      </w:r>
      <w:proofErr w:type="spellStart"/>
      <w:r>
        <w:rPr>
          <w:rtl/>
        </w:rPr>
        <w:t>גרובין</w:t>
      </w:r>
      <w:proofErr w:type="spellEnd"/>
      <w:r>
        <w:rPr>
          <w:rtl/>
        </w:rPr>
        <w:t xml:space="preserve">, ומניח </w:t>
      </w:r>
      <w:proofErr w:type="spellStart"/>
      <w:r>
        <w:rPr>
          <w:rtl/>
        </w:rPr>
        <w:t>ש“מצבו</w:t>
      </w:r>
      <w:proofErr w:type="spellEnd"/>
      <w:r>
        <w:rPr>
          <w:rtl/>
        </w:rPr>
        <w:t xml:space="preserve"> של התלמוד תורה </w:t>
      </w:r>
      <w:proofErr w:type="spellStart"/>
      <w:r>
        <w:rPr>
          <w:rtl/>
        </w:rPr>
        <w:t>בקלם</w:t>
      </w:r>
      <w:proofErr w:type="spellEnd"/>
      <w:r>
        <w:rPr>
          <w:rtl/>
        </w:rPr>
        <w:t xml:space="preserve"> היה דחוק במיוחד”. אבל אין כל ראיה שגויסו אי פעם כספים להחזקת התלמוד תורה </w:t>
      </w:r>
      <w:r>
        <w:rPr>
          <w:b/>
          <w:bCs/>
          <w:rtl/>
        </w:rPr>
        <w:t xml:space="preserve">בעודו </w:t>
      </w:r>
      <w:proofErr w:type="spellStart"/>
      <w:r>
        <w:rPr>
          <w:b/>
          <w:bCs/>
          <w:rtl/>
        </w:rPr>
        <w:t>בקלם</w:t>
      </w:r>
      <w:proofErr w:type="spellEnd"/>
      <w:r>
        <w:rPr>
          <w:rtl/>
        </w:rPr>
        <w:t>. כמנהג בכל ליטא, העיירה עצמה סידרה “לינה” לתלמידים הצעירים על ספסלי בתי המדרש שלה</w:t>
      </w:r>
      <w:bookmarkStart w:id="2303" w:name="_fnr1467"/>
      <w:bookmarkStart w:id="2304" w:name="pr_f_1380"/>
      <w:r>
        <w:rPr>
          <w:rStyle w:val="a5"/>
        </w:rPr>
        <w:footnoteReference w:id="1470" w:customMarkFollows="0"/>
      </w:r>
      <w:bookmarkEnd w:id="2303"/>
      <w:bookmarkEnd w:id="2304"/>
      <w:r>
        <w:rPr>
          <w:rtl/>
        </w:rPr>
        <w:t xml:space="preserve"> </w:t>
      </w:r>
      <w:proofErr w:type="spellStart"/>
      <w:r>
        <w:rPr>
          <w:rtl/>
        </w:rPr>
        <w:t>ו“כלכלה</w:t>
      </w:r>
      <w:proofErr w:type="spellEnd"/>
      <w:r>
        <w:rPr>
          <w:rtl/>
        </w:rPr>
        <w:t>” בבתי בעלי הבתים.</w:t>
      </w:r>
    </w:p>
    <w:p w14:paraId="1C2090C9" w14:textId="77777777" w:rsidR="00AB3647" w:rsidRDefault="00000000" w:rsidP="007923E9">
      <w:pPr>
        <w:spacing w:after="120" w:line="276" w:lineRule="auto"/>
        <w:ind w:firstLine="283"/>
        <w:jc w:val="both"/>
      </w:pPr>
      <w:r>
        <w:rPr>
          <w:rtl/>
        </w:rPr>
        <w:t xml:space="preserve">כשנסגר התלמוד תורה של קלם ונפתח מחדש בצורה אחרת </w:t>
      </w:r>
      <w:proofErr w:type="spellStart"/>
      <w:r>
        <w:rPr>
          <w:rtl/>
        </w:rPr>
        <w:t>בגרובין</w:t>
      </w:r>
      <w:proofErr w:type="spellEnd"/>
      <w:r>
        <w:rPr>
          <w:rtl/>
        </w:rPr>
        <w:t xml:space="preserve">, לימד שם הסבא </w:t>
      </w:r>
      <w:proofErr w:type="spellStart"/>
      <w:r>
        <w:rPr>
          <w:rtl/>
        </w:rPr>
        <w:t>מסלבודקה</w:t>
      </w:r>
      <w:proofErr w:type="spellEnd"/>
      <w:r>
        <w:rPr>
          <w:rtl/>
        </w:rPr>
        <w:t xml:space="preserve"> תנ״ך,</w:t>
      </w:r>
      <w:bookmarkStart w:id="2305" w:name="_fnr1468"/>
      <w:r>
        <w:rPr>
          <w:rStyle w:val="a5"/>
        </w:rPr>
        <w:footnoteReference w:id="1471" w:customMarkFollows="0"/>
      </w:r>
      <w:bookmarkEnd w:id="2305"/>
      <w:r>
        <w:rPr>
          <w:rtl/>
        </w:rPr>
        <w:t xml:space="preserve"> ור׳ </w:t>
      </w:r>
      <w:proofErr w:type="spellStart"/>
      <w:r>
        <w:rPr>
          <w:rtl/>
        </w:rPr>
        <w:t>שמחה־זיסל</w:t>
      </w:r>
      <w:proofErr w:type="spellEnd"/>
      <w:r>
        <w:rPr>
          <w:rtl/>
        </w:rPr>
        <w:t xml:space="preserve"> שיתף את המורה הצעיר שלו גם בכמה מפעולות ההתרמה. כך הכיר הסבא </w:t>
      </w:r>
      <w:proofErr w:type="spellStart"/>
      <w:r>
        <w:rPr>
          <w:rtl/>
        </w:rPr>
        <w:t>מסלבודקה</w:t>
      </w:r>
      <w:proofErr w:type="spellEnd"/>
      <w:r>
        <w:rPr>
          <w:rtl/>
        </w:rPr>
        <w:t xml:space="preserve"> את עובדיה לחמן. אפשר לשער שאלמלא הפגישה האישית ביניהם, לא היה לחמן מוסר לסבא </w:t>
      </w:r>
      <w:proofErr w:type="spellStart"/>
      <w:r>
        <w:rPr>
          <w:rtl/>
        </w:rPr>
        <w:t>מסלבודקה</w:t>
      </w:r>
      <w:proofErr w:type="spellEnd"/>
      <w:r>
        <w:rPr>
          <w:rtl/>
        </w:rPr>
        <w:t xml:space="preserve"> את אלפי הרובלים הרבים שתרם לקידום התורה ברוסיה שנים לאחר מכן.</w:t>
      </w:r>
    </w:p>
    <w:p w14:paraId="285F2E56" w14:textId="43E2F9C3" w:rsidR="00AB3647" w:rsidRDefault="00000000" w:rsidP="007923E9">
      <w:pPr>
        <w:spacing w:after="120" w:line="276" w:lineRule="auto"/>
        <w:ind w:firstLine="283"/>
        <w:jc w:val="both"/>
      </w:pPr>
      <w:r>
        <w:rPr>
          <w:rtl/>
        </w:rPr>
        <w:t xml:space="preserve">עיקרו של מאמר מא״ד הוא שלחמן הולך שולל בידי אנשי המוסר. אבל ר׳ </w:t>
      </w:r>
      <w:proofErr w:type="spellStart"/>
      <w:r>
        <w:rPr>
          <w:rtl/>
        </w:rPr>
        <w:t>יחיאל־יעקב</w:t>
      </w:r>
      <w:proofErr w:type="spellEnd"/>
      <w:r>
        <w:rPr>
          <w:rtl/>
        </w:rPr>
        <w:t xml:space="preserve"> ויינברג הפריך האשמה זו בתמציתיות בהערת שוליים למאמרו המקדים חוברת נתונים משנת תרע״ב, ובה רשימת תלמידי ישיבת כנסת ישראל ובוגריה המכהנים ברבנות.</w:t>
      </w:r>
      <w:bookmarkStart w:id="2306" w:name="_fnr1469"/>
      <w:r>
        <w:rPr>
          <w:rStyle w:val="a5"/>
        </w:rPr>
        <w:footnoteReference w:id="1472" w:customMarkFollows="0"/>
      </w:r>
      <w:bookmarkEnd w:id="2306"/>
      <w:r>
        <w:rPr>
          <w:rtl/>
        </w:rPr>
        <w:t xml:space="preserve"> באותו זמן כבר לא היה לחמן בחיים. וכך כותב ר׳ </w:t>
      </w:r>
      <w:proofErr w:type="spellStart"/>
      <w:r>
        <w:rPr>
          <w:rtl/>
        </w:rPr>
        <w:t>יחיאל־יעקב</w:t>
      </w:r>
      <w:proofErr w:type="spellEnd"/>
      <w:r>
        <w:rPr>
          <w:rtl/>
        </w:rPr>
        <w:t xml:space="preserve"> ויינברג: “ידוע ומפורסם שהמנוח ר׳ עובדיה </w:t>
      </w:r>
      <w:r>
        <w:rPr>
          <w:rtl/>
        </w:rPr>
        <w:lastRenderedPageBreak/>
        <w:t xml:space="preserve">לחמן ביקר בישיבה בעצמו, וכשראה את המחזה הנפלא של מאות נערים הוגים בתורה בשקידה, נתמלאו עיניו דמעות של אהבת תורה.” ביקור זה התקיים באמצע העשור שלפני פרסום קונטרס “כנסת ישראל – על דבר הישיבה הגדולה </w:t>
      </w:r>
      <w:proofErr w:type="spellStart"/>
      <w:r>
        <w:rPr>
          <w:rtl/>
        </w:rPr>
        <w:t>בסלבודקה</w:t>
      </w:r>
      <w:proofErr w:type="spellEnd"/>
      <w:r>
        <w:rPr>
          <w:rtl/>
        </w:rPr>
        <w:t>”, לפי המידע שב</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w:t>
      </w:r>
    </w:p>
    <w:p w14:paraId="66815F5F" w14:textId="77777777" w:rsidR="00AB3647" w:rsidRDefault="00000000" w:rsidP="007923E9">
      <w:pPr>
        <w:spacing w:after="120" w:line="276" w:lineRule="auto"/>
        <w:ind w:firstLine="283"/>
        <w:jc w:val="both"/>
      </w:pPr>
      <w:r>
        <w:rPr>
          <w:rtl/>
        </w:rPr>
        <w:t xml:space="preserve">לכן ייתכן שטענת מא״ד על הולכת שולל, השגויה מבחינה עובדתית, הייתה האשמה שהגיעה לאוזני לחמן, וייתכן שהיא שעוררה אותו לבוא ולראות במו עיניו כיצד נוצלה תמיכתו, שנמשכה עשרות שנים. אם כן, דמעותיו היו ביטוי לא רק </w:t>
      </w:r>
      <w:proofErr w:type="spellStart"/>
      <w:r>
        <w:rPr>
          <w:rtl/>
        </w:rPr>
        <w:t>ל“אהבת</w:t>
      </w:r>
      <w:proofErr w:type="spellEnd"/>
      <w:r>
        <w:rPr>
          <w:rtl/>
        </w:rPr>
        <w:t xml:space="preserve"> תורה”, אלא גם לרגשי אשם על שחשד </w:t>
      </w:r>
      <w:proofErr w:type="spellStart"/>
      <w:r>
        <w:rPr>
          <w:rtl/>
        </w:rPr>
        <w:t>ב“מוסרניקים</w:t>
      </w:r>
      <w:proofErr w:type="spellEnd"/>
      <w:r>
        <w:rPr>
          <w:rtl/>
        </w:rPr>
        <w:t>”.</w:t>
      </w:r>
    </w:p>
    <w:p w14:paraId="0C34C051" w14:textId="77777777" w:rsidR="00AB3647" w:rsidRDefault="00000000" w:rsidP="007923E9">
      <w:pPr>
        <w:spacing w:after="120" w:line="276" w:lineRule="auto"/>
        <w:ind w:firstLine="283"/>
        <w:jc w:val="both"/>
      </w:pPr>
      <w:r>
        <w:rPr>
          <w:rtl/>
        </w:rPr>
        <w:t>ר׳ משה ריינס, מחבר “אכסניות”, טוען</w:t>
      </w:r>
      <w:bookmarkStart w:id="2307" w:name="_fnr1470"/>
      <w:r>
        <w:rPr>
          <w:rStyle w:val="a5"/>
        </w:rPr>
        <w:footnoteReference w:id="1473" w:customMarkFollows="0"/>
      </w:r>
      <w:bookmarkEnd w:id="2307"/>
      <w:r>
        <w:rPr>
          <w:rtl/>
        </w:rPr>
        <w:t xml:space="preserve"> שאביו ר׳ </w:t>
      </w:r>
      <w:proofErr w:type="spellStart"/>
      <w:r>
        <w:rPr>
          <w:rtl/>
        </w:rPr>
        <w:t>יצחק־יעקב</w:t>
      </w:r>
      <w:proofErr w:type="spellEnd"/>
      <w:r>
        <w:rPr>
          <w:rtl/>
        </w:rPr>
        <w:t xml:space="preserve"> ריינס עורר כבר בשנת תרל״ב את תשומת לבם של רבנים אחרים לחשיבות החיונית של הקמת מוסד לתמיכה באברכים שאינם מתפרנסים מחמיהם. לדבריו, נסע ר׳ </w:t>
      </w:r>
      <w:proofErr w:type="spellStart"/>
      <w:r>
        <w:rPr>
          <w:rtl/>
        </w:rPr>
        <w:t>יצחק־יעקב</w:t>
      </w:r>
      <w:proofErr w:type="spellEnd"/>
      <w:r>
        <w:rPr>
          <w:rtl/>
        </w:rPr>
        <w:t xml:space="preserve"> ריינס </w:t>
      </w:r>
      <w:proofErr w:type="spellStart"/>
      <w:r>
        <w:rPr>
          <w:rtl/>
        </w:rPr>
        <w:t>לראסיין</w:t>
      </w:r>
      <w:proofErr w:type="spellEnd"/>
      <w:r>
        <w:rPr>
          <w:rtl/>
        </w:rPr>
        <w:t xml:space="preserve"> לדון ברעיון עם ר׳ </w:t>
      </w:r>
      <w:proofErr w:type="spellStart"/>
      <w:r>
        <w:rPr>
          <w:rtl/>
        </w:rPr>
        <w:t>אלכסנדר־משה</w:t>
      </w:r>
      <w:proofErr w:type="spellEnd"/>
      <w:r>
        <w:rPr>
          <w:rtl/>
        </w:rPr>
        <w:t xml:space="preserve"> לפידות. כשמצא שר׳ </w:t>
      </w:r>
      <w:proofErr w:type="spellStart"/>
      <w:r>
        <w:rPr>
          <w:rtl/>
        </w:rPr>
        <w:t>אלכסנדר־משה</w:t>
      </w:r>
      <w:proofErr w:type="spellEnd"/>
      <w:r>
        <w:rPr>
          <w:rtl/>
        </w:rPr>
        <w:t xml:space="preserve"> מבקר באותו זמן </w:t>
      </w:r>
      <w:proofErr w:type="spellStart"/>
      <w:r>
        <w:rPr>
          <w:rtl/>
        </w:rPr>
        <w:t>ביאנישוק</w:t>
      </w:r>
      <w:proofErr w:type="spellEnd"/>
      <w:r>
        <w:rPr>
          <w:rtl/>
        </w:rPr>
        <w:t xml:space="preserve">, יותר ממאה קילומטרים משם, הלך אחריו לשם. ר׳ </w:t>
      </w:r>
      <w:proofErr w:type="spellStart"/>
      <w:r>
        <w:rPr>
          <w:rtl/>
        </w:rPr>
        <w:t>לייזר־יעקב</w:t>
      </w:r>
      <w:proofErr w:type="spellEnd"/>
      <w:r>
        <w:rPr>
          <w:rtl/>
        </w:rPr>
        <w:t xml:space="preserve"> </w:t>
      </w:r>
      <w:proofErr w:type="spellStart"/>
      <w:r>
        <w:rPr>
          <w:rtl/>
        </w:rPr>
        <w:t xml:space="preserve">חווס</w:t>
      </w:r>
      <w:proofErr w:type="spellEnd"/>
      <w:r>
        <w:rPr>
          <w:rtl/>
        </w:rPr>
        <w:t>,</w:t>
      </w:r>
      <w:bookmarkStart w:id="2308" w:name="_fnr1471"/>
      <w:r>
        <w:rPr>
          <w:rStyle w:val="a5"/>
        </w:rPr>
        <w:footnoteReference w:id="1474" w:customMarkFollows="0"/>
      </w:r>
      <w:bookmarkEnd w:id="2308"/>
      <w:r>
        <w:rPr>
          <w:rtl/>
        </w:rPr>
        <w:t xml:space="preserve"> שגר </w:t>
      </w:r>
      <w:proofErr w:type="spellStart"/>
      <w:r>
        <w:rPr>
          <w:rtl/>
        </w:rPr>
        <w:t>ביאנישוק</w:t>
      </w:r>
      <w:proofErr w:type="spellEnd"/>
      <w:r>
        <w:rPr>
          <w:rtl/>
        </w:rPr>
        <w:t xml:space="preserve"> ונכח יחד עם “עוד אנשים נכבדים” בפגישת שני הרבנים, נדלק על הרעיון ולבסוף הוציאו אל הפועל.</w:t>
      </w:r>
    </w:p>
    <w:p w14:paraId="5EC2A01E" w14:textId="77777777" w:rsidR="00AB3647" w:rsidRDefault="00000000" w:rsidP="007923E9">
      <w:pPr>
        <w:spacing w:after="120" w:line="276" w:lineRule="auto"/>
        <w:ind w:firstLine="283"/>
        <w:jc w:val="both"/>
      </w:pPr>
      <w:r>
        <w:rPr>
          <w:rtl/>
        </w:rPr>
        <w:t xml:space="preserve">עיקר דיווחו של ר׳ משה ריינס, אך בלי שמות, נמצא בהקדמה שכתב האב, ר׳ </w:t>
      </w:r>
      <w:proofErr w:type="spellStart"/>
      <w:r>
        <w:rPr>
          <w:rtl/>
        </w:rPr>
        <w:t>יצחק־יעקב</w:t>
      </w:r>
      <w:proofErr w:type="spellEnd"/>
      <w:r>
        <w:rPr>
          <w:rtl/>
        </w:rPr>
        <w:t xml:space="preserve"> ריינס, לכרכו “חותם תכנית”,</w:t>
      </w:r>
      <w:bookmarkStart w:id="2309" w:name="_fnr1472"/>
      <w:r>
        <w:rPr>
          <w:rStyle w:val="a5"/>
        </w:rPr>
        <w:footnoteReference w:id="1475" w:customMarkFollows="0"/>
      </w:r>
      <w:bookmarkEnd w:id="2309"/>
      <w:r>
        <w:rPr>
          <w:rtl/>
        </w:rPr>
        <w:t xml:space="preserve"> שיצא לאור עשר שנים לפני פרסום “אכסניות” של הבן.</w:t>
      </w:r>
      <w:bookmarkStart w:id="2310" w:name="_fnr1473"/>
      <w:bookmarkStart w:id="2311" w:name="pr_f_1386"/>
      <w:r>
        <w:rPr>
          <w:rStyle w:val="a5"/>
        </w:rPr>
        <w:footnoteReference w:id="1476" w:customMarkFollows="0"/>
      </w:r>
      <w:bookmarkEnd w:id="2310"/>
      <w:bookmarkEnd w:id="2311"/>
      <w:r>
        <w:rPr>
          <w:rtl/>
        </w:rPr>
        <w:t xml:space="preserve"> שם מספר ר׳ </w:t>
      </w:r>
      <w:proofErr w:type="spellStart"/>
      <w:r>
        <w:rPr>
          <w:rtl/>
        </w:rPr>
        <w:t>יצחק־יעקב</w:t>
      </w:r>
      <w:proofErr w:type="spellEnd"/>
      <w:r>
        <w:rPr>
          <w:rtl/>
        </w:rPr>
        <w:t xml:space="preserve"> ריינס </w:t>
      </w:r>
      <w:proofErr w:type="spellStart"/>
      <w:r>
        <w:rPr>
          <w:rtl/>
        </w:rPr>
        <w:t>ש“יותר</w:t>
      </w:r>
      <w:proofErr w:type="spellEnd"/>
      <w:r>
        <w:rPr>
          <w:rtl/>
        </w:rPr>
        <w:t xml:space="preserve"> משלוש שנים קודם לכן” פנה אל “רב נכבד” (הכוונה </w:t>
      </w:r>
      <w:proofErr w:type="spellStart"/>
      <w:r>
        <w:rPr>
          <w:rtl/>
        </w:rPr>
        <w:t>לר</w:t>
      </w:r>
      <w:proofErr w:type="spellEnd"/>
      <w:r>
        <w:rPr>
          <w:rtl/>
        </w:rPr>
        <w:t xml:space="preserve">׳ </w:t>
      </w:r>
      <w:proofErr w:type="spellStart"/>
      <w:r>
        <w:rPr>
          <w:rtl/>
        </w:rPr>
        <w:t>אלכסנדר־משה</w:t>
      </w:r>
      <w:proofErr w:type="spellEnd"/>
      <w:r>
        <w:rPr>
          <w:rtl/>
        </w:rPr>
        <w:t xml:space="preserve"> לפידות) “שהבטיח לו במכתב שיהיה לעזר” בהוצאת רעיון הכולל לפועל “ואף </w:t>
      </w:r>
      <w:proofErr w:type="spellStart"/>
      <w:r>
        <w:rPr>
          <w:rtl/>
        </w:rPr>
        <w:t>יטול</w:t>
      </w:r>
      <w:proofErr w:type="spellEnd"/>
      <w:r>
        <w:rPr>
          <w:rtl/>
        </w:rPr>
        <w:t xml:space="preserve"> על עצמו את נטל המפעל”.</w:t>
      </w:r>
      <w:bookmarkStart w:id="2312" w:name="fx_ref_488"/>
      <w:bookmarkStart w:id="2313" w:name="_fnr1474"/>
      <w:r>
        <w:rPr>
          <w:rStyle w:val="a5"/>
        </w:rPr>
        <w:footnoteReference w:id="1477" w:customMarkFollows="0"/>
      </w:r>
      <w:bookmarkEnd w:id="2312"/>
      <w:bookmarkEnd w:id="2313"/>
    </w:p>
    <w:p w14:paraId="6B857DAE" w14:textId="75948E92" w:rsidR="00AB3647" w:rsidRDefault="00000000" w:rsidP="007923E9">
      <w:pPr>
        <w:spacing w:after="120" w:line="276" w:lineRule="auto"/>
        <w:ind w:firstLine="283"/>
        <w:jc w:val="both"/>
      </w:pPr>
      <w:r>
        <w:rPr>
          <w:rtl/>
        </w:rPr>
        <w:t xml:space="preserve">מי שהציע </w:t>
      </w:r>
      <w:proofErr w:type="spellStart"/>
      <w:r>
        <w:rPr>
          <w:rtl/>
        </w:rPr>
        <w:t>לר</w:t>
      </w:r>
      <w:proofErr w:type="spellEnd"/>
      <w:r>
        <w:rPr>
          <w:rtl/>
        </w:rPr>
        <w:t xml:space="preserve">׳ </w:t>
      </w:r>
      <w:proofErr w:type="spellStart"/>
      <w:r>
        <w:rPr>
          <w:rtl/>
        </w:rPr>
        <w:t>אלכסנדר־משה</w:t>
      </w:r>
      <w:proofErr w:type="spellEnd"/>
      <w:r>
        <w:rPr>
          <w:rtl/>
        </w:rPr>
        <w:t xml:space="preserve"> לפידות לתרום מאמר לחוברת היה או ר׳ </w:t>
      </w:r>
      <w:proofErr w:type="spellStart"/>
      <w:r>
        <w:rPr>
          <w:rtl/>
        </w:rPr>
        <w:t>לייזר־יעקב</w:t>
      </w:r>
      <w:proofErr w:type="spellEnd"/>
      <w:r>
        <w:rPr>
          <w:rtl/>
        </w:rPr>
        <w:t xml:space="preserve">, האחראי לגיוס המימון למפעל, או ר׳ </w:t>
      </w:r>
      <w:proofErr w:type="spellStart"/>
      <w:r>
        <w:rPr>
          <w:rtl/>
        </w:rPr>
        <w:t>נתן־צבי</w:t>
      </w:r>
      <w:proofErr w:type="spellEnd"/>
      <w:r>
        <w:rPr>
          <w:rtl/>
        </w:rPr>
        <w:t xml:space="preserve"> </w:t>
      </w:r>
      <w:proofErr w:type="spellStart"/>
      <w:r>
        <w:rPr>
          <w:rtl/>
        </w:rPr>
        <w:t>פינקל</w:t>
      </w:r>
      <w:proofErr w:type="spellEnd"/>
      <w:r>
        <w:rPr>
          <w:rtl/>
        </w:rPr>
        <w:t xml:space="preserve">, המו״ל של “עץ פרי”, שגם הכיר והעריך את ר׳ </w:t>
      </w:r>
      <w:proofErr w:type="spellStart"/>
      <w:r>
        <w:rPr>
          <w:rtl/>
        </w:rPr>
        <w:t>אלכסנדר־משה</w:t>
      </w:r>
      <w:proofErr w:type="spellEnd"/>
      <w:r>
        <w:rPr>
          <w:rtl/>
        </w:rPr>
        <w:t xml:space="preserve"> (כמו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להלן). זאת אף שעד לפרסום החוברת כבר לא היה רב </w:t>
      </w:r>
      <w:proofErr w:type="spellStart"/>
      <w:r>
        <w:rPr>
          <w:rtl/>
        </w:rPr>
        <w:t>ראסיין</w:t>
      </w:r>
      <w:proofErr w:type="spellEnd"/>
      <w:r>
        <w:rPr>
          <w:rtl/>
        </w:rPr>
        <w:t xml:space="preserve"> מעורב בכולל.</w:t>
      </w:r>
    </w:p>
    <w:p w14:paraId="7B3373CB" w14:textId="77777777" w:rsidR="00AB3647" w:rsidRDefault="00000000" w:rsidP="007923E9">
      <w:pPr>
        <w:spacing w:after="120" w:line="276" w:lineRule="auto"/>
        <w:ind w:firstLine="283"/>
        <w:jc w:val="both"/>
      </w:pPr>
      <w:r>
        <w:rPr>
          <w:rtl/>
        </w:rPr>
        <w:t xml:space="preserve">ר׳ </w:t>
      </w:r>
      <w:proofErr w:type="spellStart"/>
      <w:r>
        <w:rPr>
          <w:rtl/>
        </w:rPr>
        <w:t>אלכסנדר־משה</w:t>
      </w:r>
      <w:proofErr w:type="spellEnd"/>
      <w:r>
        <w:rPr>
          <w:rtl/>
        </w:rPr>
        <w:t xml:space="preserve">, שנולד בשנת תקע״ט, היה גאון וצדיק. שבע שנים לפני פטירתו </w:t>
      </w:r>
      <w:proofErr w:type="spellStart"/>
      <w:r>
        <w:rPr>
          <w:rtl/>
        </w:rPr>
        <w:t>בתרס״ו</w:t>
      </w:r>
      <w:proofErr w:type="spellEnd"/>
      <w:r>
        <w:rPr>
          <w:rtl/>
        </w:rPr>
        <w:t xml:space="preserve"> כתב בעילום שם צוואה מוסרית בשם “דברי אמת”, שפורסמה לימים עם הסכמותיהם של שלושה ממינסק: ר׳ לייזר </w:t>
      </w:r>
      <w:proofErr w:type="spellStart"/>
      <w:r>
        <w:rPr>
          <w:rtl/>
        </w:rPr>
        <w:t>רבינוביץ</w:t>
      </w:r>
      <w:proofErr w:type="spellEnd"/>
      <w:r>
        <w:rPr>
          <w:rtl/>
        </w:rPr>
        <w:t xml:space="preserve">, ר׳ </w:t>
      </w:r>
      <w:proofErr w:type="spellStart"/>
      <w:r>
        <w:rPr>
          <w:rtl/>
        </w:rPr>
        <w:t>אברהם־דובער</w:t>
      </w:r>
      <w:proofErr w:type="spellEnd"/>
      <w:r>
        <w:rPr>
          <w:rtl/>
        </w:rPr>
        <w:t xml:space="preserve"> </w:t>
      </w:r>
      <w:proofErr w:type="spellStart"/>
      <w:r>
        <w:rPr>
          <w:rtl/>
        </w:rPr>
        <w:t>כהנא־שפירא</w:t>
      </w:r>
      <w:bookmarkStart w:id="2314" w:name="_fnr1475"/>
      <w:proofErr w:type="spellEnd"/>
      <w:r>
        <w:rPr>
          <w:rStyle w:val="a5"/>
        </w:rPr>
        <w:footnoteReference w:id="1478" w:customMarkFollows="0"/>
      </w:r>
      <w:bookmarkEnd w:id="2314"/>
      <w:r>
        <w:rPr>
          <w:rtl/>
        </w:rPr>
        <w:t xml:space="preserve"> ור׳ בנימין </w:t>
      </w:r>
      <w:proofErr w:type="spellStart"/>
      <w:r>
        <w:rPr>
          <w:rtl/>
        </w:rPr>
        <w:t>שוקוביצקי</w:t>
      </w:r>
      <w:proofErr w:type="spellEnd"/>
      <w:r>
        <w:rPr>
          <w:rtl/>
        </w:rPr>
        <w:t>, המגיד של העיר. היא נעשתה לספר מוסר קלאסי.</w:t>
      </w:r>
    </w:p>
    <w:p w14:paraId="7FEE2F0C" w14:textId="77777777" w:rsidR="00AB3647" w:rsidRDefault="00000000" w:rsidP="007923E9">
      <w:pPr>
        <w:spacing w:after="120" w:line="276" w:lineRule="auto"/>
        <w:ind w:firstLine="283"/>
        <w:jc w:val="both"/>
      </w:pPr>
      <w:r>
        <w:rPr>
          <w:rtl/>
        </w:rPr>
        <w:lastRenderedPageBreak/>
        <w:t xml:space="preserve">השווה גם את הסכמתו של אבי </w:t>
      </w:r>
      <w:proofErr w:type="spellStart"/>
      <w:r>
        <w:rPr>
          <w:rtl/>
        </w:rPr>
        <w:t>ל“עקבי</w:t>
      </w:r>
      <w:proofErr w:type="spellEnd"/>
      <w:r>
        <w:rPr>
          <w:rtl/>
        </w:rPr>
        <w:t xml:space="preserve"> ברכה”,</w:t>
      </w:r>
      <w:bookmarkStart w:id="2315" w:name="_fnr1476"/>
      <w:r>
        <w:rPr>
          <w:rStyle w:val="a5"/>
        </w:rPr>
        <w:footnoteReference w:id="1479" w:customMarkFollows="0"/>
      </w:r>
      <w:bookmarkEnd w:id="2315"/>
      <w:r>
        <w:rPr>
          <w:rtl/>
        </w:rPr>
        <w:t xml:space="preserve"> שבה הוא מציין שר׳ </w:t>
      </w:r>
      <w:proofErr w:type="spellStart"/>
      <w:r>
        <w:rPr>
          <w:rtl/>
        </w:rPr>
        <w:t>אלכסנדר־משה</w:t>
      </w:r>
      <w:proofErr w:type="spellEnd"/>
      <w:r>
        <w:rPr>
          <w:rtl/>
        </w:rPr>
        <w:t xml:space="preserve"> לפידות היה מנהיג תורה גדול יותר מר׳ </w:t>
      </w:r>
      <w:proofErr w:type="spellStart"/>
      <w:r>
        <w:rPr>
          <w:rtl/>
        </w:rPr>
        <w:t>איצל׳ה</w:t>
      </w:r>
      <w:proofErr w:type="spellEnd"/>
      <w:r>
        <w:rPr>
          <w:rtl/>
        </w:rPr>
        <w:t xml:space="preserve"> </w:t>
      </w:r>
      <w:proofErr w:type="spellStart"/>
      <w:r>
        <w:rPr>
          <w:rtl/>
        </w:rPr>
        <w:t>מפוניבז</w:t>
      </w:r>
      <w:proofErr w:type="spellEnd"/>
      <w:r>
        <w:rPr>
          <w:rtl/>
        </w:rPr>
        <w:t>׳.</w:t>
      </w:r>
      <w:bookmarkStart w:id="2316" w:name="_fnr1477"/>
      <w:r>
        <w:rPr>
          <w:rStyle w:val="a5"/>
        </w:rPr>
        <w:footnoteReference w:id="1480" w:customMarkFollows="0"/>
      </w:r>
      <w:bookmarkEnd w:id="2316"/>
      <w:r>
        <w:rPr>
          <w:rtl/>
        </w:rPr>
        <w:t xml:space="preserve"> ר׳ יעקב ליפשיץ, אבי המוציא לאור של “עקבי ברכה”, מסר</w:t>
      </w:r>
      <w:bookmarkStart w:id="2317" w:name="_fnr1478"/>
      <w:r>
        <w:rPr>
          <w:rStyle w:val="a5"/>
        </w:rPr>
        <w:footnoteReference w:id="1481" w:customMarkFollows="0"/>
      </w:r>
      <w:bookmarkEnd w:id="2317"/>
      <w:r>
        <w:rPr>
          <w:rtl/>
        </w:rPr>
        <w:t xml:space="preserve"> שכשראה רבנו שם את תשובותיו של ר׳ </w:t>
      </w:r>
      <w:proofErr w:type="spellStart"/>
      <w:r>
        <w:rPr>
          <w:rtl/>
        </w:rPr>
        <w:t>אלכסנדר־משה</w:t>
      </w:r>
      <w:proofErr w:type="spellEnd"/>
      <w:r>
        <w:rPr>
          <w:rtl/>
        </w:rPr>
        <w:t xml:space="preserve"> לפידות, שזה עתה יצאו מהדפוס, נישק את הדפים ואמר ועיניו דומעות: “מצוה לפרסם איזה צדיק הוא היה. אותו דור נשכח.” במכתב הסכמתו </w:t>
      </w:r>
      <w:proofErr w:type="spellStart"/>
      <w:r>
        <w:rPr>
          <w:rtl/>
        </w:rPr>
        <w:t>ל“עקבי</w:t>
      </w:r>
      <w:proofErr w:type="spellEnd"/>
      <w:r>
        <w:rPr>
          <w:rtl/>
        </w:rPr>
        <w:t xml:space="preserve"> ברכה” מזכיר ר׳ </w:t>
      </w:r>
      <w:proofErr w:type="spellStart"/>
      <w:r>
        <w:rPr>
          <w:rtl/>
        </w:rPr>
        <w:t>אלעזר־מנחם־מן</w:t>
      </w:r>
      <w:proofErr w:type="spellEnd"/>
      <w:r>
        <w:rPr>
          <w:rtl/>
        </w:rPr>
        <w:t xml:space="preserve"> שך רק את תשובותיו של ר׳ </w:t>
      </w:r>
      <w:proofErr w:type="spellStart"/>
      <w:r>
        <w:rPr>
          <w:rtl/>
        </w:rPr>
        <w:t>איצל׳ה</w:t>
      </w:r>
      <w:proofErr w:type="spellEnd"/>
      <w:r>
        <w:rPr>
          <w:rtl/>
        </w:rPr>
        <w:t xml:space="preserve"> </w:t>
      </w:r>
      <w:proofErr w:type="spellStart"/>
      <w:r>
        <w:rPr>
          <w:rtl/>
        </w:rPr>
        <w:t>מפוניבז</w:t>
      </w:r>
      <w:proofErr w:type="spellEnd"/>
      <w:r>
        <w:rPr>
          <w:rtl/>
        </w:rPr>
        <w:t xml:space="preserve">׳ שבספר, ואילו בהסכמתו של אבי נזכרות תשובות ר׳ </w:t>
      </w:r>
      <w:proofErr w:type="spellStart"/>
      <w:r>
        <w:rPr>
          <w:rtl/>
        </w:rPr>
        <w:t>איצל׳ה</w:t>
      </w:r>
      <w:proofErr w:type="spellEnd"/>
      <w:r>
        <w:rPr>
          <w:rtl/>
        </w:rPr>
        <w:t xml:space="preserve"> רק בדרך אגב.</w:t>
      </w:r>
    </w:p>
    <w:p w14:paraId="6F8FECBF" w14:textId="77777777" w:rsidR="00AB3647" w:rsidRDefault="00000000" w:rsidP="007923E9">
      <w:pPr>
        <w:spacing w:after="120" w:line="276" w:lineRule="auto"/>
        <w:ind w:firstLine="283"/>
        <w:jc w:val="both"/>
      </w:pPr>
      <w:r>
        <w:rPr>
          <w:rtl/>
        </w:rPr>
        <w:t xml:space="preserve">הסיבה לכך שר׳ </w:t>
      </w:r>
      <w:proofErr w:type="spellStart"/>
      <w:r>
        <w:rPr>
          <w:rtl/>
        </w:rPr>
        <w:t>אלעזר־מנחם־מן</w:t>
      </w:r>
      <w:proofErr w:type="spellEnd"/>
      <w:r>
        <w:rPr>
          <w:rtl/>
        </w:rPr>
        <w:t xml:space="preserve"> שך השמיט לגמרי כל התייחסות לחומר של ר׳ </w:t>
      </w:r>
      <w:proofErr w:type="spellStart"/>
      <w:r>
        <w:rPr>
          <w:rtl/>
        </w:rPr>
        <w:t>אלכסנדר־משה</w:t>
      </w:r>
      <w:proofErr w:type="spellEnd"/>
      <w:r>
        <w:rPr>
          <w:rtl/>
        </w:rPr>
        <w:t xml:space="preserve"> לפידות עשויה להיות שאת ר׳ </w:t>
      </w:r>
      <w:proofErr w:type="spellStart"/>
      <w:r>
        <w:rPr>
          <w:rtl/>
        </w:rPr>
        <w:t>איצל׳ה</w:t>
      </w:r>
      <w:proofErr w:type="spellEnd"/>
      <w:r>
        <w:rPr>
          <w:rtl/>
        </w:rPr>
        <w:t xml:space="preserve"> ראה בעיניו – כפי שהוא כותב במכתבו – ואילו את ר׳ </w:t>
      </w:r>
      <w:proofErr w:type="spellStart"/>
      <w:r>
        <w:rPr>
          <w:rtl/>
        </w:rPr>
        <w:t>אלכסנדר־משה</w:t>
      </w:r>
      <w:proofErr w:type="spellEnd"/>
      <w:r>
        <w:rPr>
          <w:rtl/>
        </w:rPr>
        <w:t xml:space="preserve"> לא ראה מעולם (ר׳ </w:t>
      </w:r>
      <w:proofErr w:type="spellStart"/>
      <w:r>
        <w:rPr>
          <w:rtl/>
        </w:rPr>
        <w:t>אלכסנדר־משה</w:t>
      </w:r>
      <w:proofErr w:type="spellEnd"/>
      <w:r>
        <w:rPr>
          <w:rtl/>
        </w:rPr>
        <w:t xml:space="preserve"> נפטר כשר׳ </w:t>
      </w:r>
      <w:proofErr w:type="spellStart"/>
      <w:r>
        <w:rPr>
          <w:rtl/>
        </w:rPr>
        <w:t>אלעזר־מנחם־מן</w:t>
      </w:r>
      <w:proofErr w:type="spellEnd"/>
      <w:r>
        <w:rPr>
          <w:rtl/>
        </w:rPr>
        <w:t xml:space="preserve"> שך היה בן שמונה בלבד). אבל ייתכן מאוד שר׳ </w:t>
      </w:r>
      <w:proofErr w:type="spellStart"/>
      <w:r>
        <w:rPr>
          <w:rtl/>
        </w:rPr>
        <w:t>אלעזר־מנחם־מן</w:t>
      </w:r>
      <w:proofErr w:type="spellEnd"/>
      <w:r>
        <w:rPr>
          <w:rtl/>
        </w:rPr>
        <w:t xml:space="preserve"> שך לא העריך את ר׳ </w:t>
      </w:r>
      <w:proofErr w:type="spellStart"/>
      <w:r>
        <w:rPr>
          <w:rtl/>
        </w:rPr>
        <w:t>אלכסנדר־משה</w:t>
      </w:r>
      <w:proofErr w:type="spellEnd"/>
      <w:r>
        <w:rPr>
          <w:rtl/>
        </w:rPr>
        <w:t xml:space="preserve"> כפי שהעריך אותו אבי – שגם הוא מעולם לא ראה את ר׳ </w:t>
      </w:r>
      <w:proofErr w:type="spellStart"/>
      <w:r>
        <w:rPr>
          <w:rtl/>
        </w:rPr>
        <w:t>אלכסנדר־משה</w:t>
      </w:r>
      <w:proofErr w:type="spellEnd"/>
      <w:r>
        <w:rPr>
          <w:rtl/>
        </w:rPr>
        <w:t>.</w:t>
      </w:r>
      <w:bookmarkStart w:id="2318" w:name="_fnr1479"/>
      <w:r>
        <w:rPr>
          <w:rStyle w:val="a5"/>
        </w:rPr>
        <w:footnoteReference w:id="1482" w:customMarkFollows="0"/>
      </w:r>
      <w:bookmarkEnd w:id="2318"/>
    </w:p>
    <w:p w14:paraId="7F7A524B" w14:textId="77777777" w:rsidR="00AB3647" w:rsidRDefault="00000000" w:rsidP="007923E9">
      <w:pPr>
        <w:spacing w:after="120" w:line="276" w:lineRule="auto"/>
        <w:ind w:firstLine="283"/>
        <w:jc w:val="both"/>
      </w:pPr>
      <w:r>
        <w:rPr>
          <w:rtl/>
        </w:rPr>
        <w:t xml:space="preserve">בהקשר זה נמסר לי מפי ר׳ </w:t>
      </w:r>
      <w:proofErr w:type="spellStart"/>
      <w:r>
        <w:rPr>
          <w:rtl/>
        </w:rPr>
        <w:t>שלמה־אהרן</w:t>
      </w:r>
      <w:proofErr w:type="spellEnd"/>
      <w:r>
        <w:rPr>
          <w:rtl/>
        </w:rPr>
        <w:t xml:space="preserve"> ויינר</w:t>
      </w:r>
      <w:bookmarkStart w:id="2319" w:name="_fnr1480"/>
      <w:r>
        <w:rPr>
          <w:rStyle w:val="a5"/>
        </w:rPr>
        <w:footnoteReference w:id="1483" w:customMarkFollows="0"/>
      </w:r>
      <w:bookmarkEnd w:id="2319"/>
      <w:r>
        <w:rPr>
          <w:rtl/>
        </w:rPr>
        <w:t xml:space="preserve"> שאבי התוודה לפניו שלהרגשתו הוא שייך לדור שקדם לדורו של ר׳ </w:t>
      </w:r>
      <w:proofErr w:type="spellStart"/>
      <w:r>
        <w:rPr>
          <w:rtl/>
        </w:rPr>
        <w:t>אלעזר־מנחם־מן</w:t>
      </w:r>
      <w:proofErr w:type="spellEnd"/>
      <w:r>
        <w:rPr>
          <w:rtl/>
        </w:rPr>
        <w:t xml:space="preserve"> שך – אף שרבנו היה מבוגר ממנו בשבע שנים בלבד. לדעת אבי, ייתכן שגם האחרון נמנה עם אלה </w:t>
      </w:r>
      <w:proofErr w:type="spellStart"/>
      <w:r>
        <w:rPr>
          <w:rtl/>
        </w:rPr>
        <w:t>ש“שכחו</w:t>
      </w:r>
      <w:proofErr w:type="spellEnd"/>
      <w:r>
        <w:rPr>
          <w:rtl/>
        </w:rPr>
        <w:t xml:space="preserve"> את הדור (של ר׳ </w:t>
      </w:r>
      <w:proofErr w:type="spellStart"/>
      <w:r>
        <w:rPr>
          <w:rtl/>
        </w:rPr>
        <w:t>אלכסנדר־משה</w:t>
      </w:r>
      <w:proofErr w:type="spellEnd"/>
      <w:r>
        <w:rPr>
          <w:rtl/>
        </w:rPr>
        <w:t xml:space="preserve"> לפידות)” – שעליו עלו דמעות בעיניו.</w:t>
      </w:r>
    </w:p>
    <w:p w14:paraId="12B411A4" w14:textId="77777777" w:rsidR="00AB3647" w:rsidRDefault="00000000" w:rsidP="007923E9">
      <w:pPr>
        <w:spacing w:after="120" w:line="276" w:lineRule="auto"/>
        <w:ind w:firstLine="283"/>
        <w:jc w:val="both"/>
      </w:pPr>
      <w:r>
        <w:rPr>
          <w:rtl/>
        </w:rPr>
        <w:t xml:space="preserve">דוגמה לגדלותו של ר׳ </w:t>
      </w:r>
      <w:proofErr w:type="spellStart"/>
      <w:r>
        <w:rPr>
          <w:rtl/>
        </w:rPr>
        <w:t>אלכסנדר־משה</w:t>
      </w:r>
      <w:proofErr w:type="spellEnd"/>
      <w:r>
        <w:rPr>
          <w:rtl/>
        </w:rPr>
        <w:t xml:space="preserve"> לפידות היא העובדה שכבר בגיל </w:t>
      </w:r>
      <w:proofErr w:type="spellStart"/>
      <w:r>
        <w:rPr>
          <w:rtl/>
        </w:rPr>
        <w:t>שבע־עשרה</w:t>
      </w:r>
      <w:proofErr w:type="spellEnd"/>
      <w:r>
        <w:rPr>
          <w:rtl/>
        </w:rPr>
        <w:t xml:space="preserve"> נתמנה </w:t>
      </w:r>
      <w:proofErr w:type="spellStart"/>
      <w:r>
        <w:rPr>
          <w:rtl/>
        </w:rPr>
        <w:t>לרבנותו</w:t>
      </w:r>
      <w:proofErr w:type="spellEnd"/>
      <w:r>
        <w:rPr>
          <w:rtl/>
        </w:rPr>
        <w:t xml:space="preserve"> הראשונה, </w:t>
      </w:r>
      <w:proofErr w:type="spellStart"/>
      <w:r>
        <w:rPr>
          <w:rtl/>
        </w:rPr>
        <w:t>ביאנובה</w:t>
      </w:r>
      <w:proofErr w:type="spellEnd"/>
      <w:r>
        <w:rPr>
          <w:rtl/>
        </w:rPr>
        <w:t xml:space="preserve">. כך לפי “לקורות עיר </w:t>
      </w:r>
      <w:proofErr w:type="spellStart"/>
      <w:r>
        <w:rPr>
          <w:rtl/>
        </w:rPr>
        <w:t>ראסיין</w:t>
      </w:r>
      <w:proofErr w:type="spellEnd"/>
      <w:r>
        <w:rPr>
          <w:rtl/>
        </w:rPr>
        <w:t xml:space="preserve"> ורבניה”,</w:t>
      </w:r>
      <w:bookmarkStart w:id="2320" w:name="_fnr1481"/>
      <w:r>
        <w:rPr>
          <w:rStyle w:val="a5"/>
        </w:rPr>
        <w:footnoteReference w:id="1484" w:customMarkFollows="0"/>
      </w:r>
      <w:bookmarkEnd w:id="2320"/>
      <w:r>
        <w:rPr>
          <w:rtl/>
        </w:rPr>
        <w:t xml:space="preserve"> מאת משה בר׳ שלמה זלמן </w:t>
      </w:r>
      <w:proofErr w:type="spellStart"/>
      <w:r>
        <w:rPr>
          <w:rtl/>
        </w:rPr>
        <w:t>מארקאוויץ</w:t>
      </w:r>
      <w:proofErr w:type="spellEnd"/>
      <w:r>
        <w:rPr>
          <w:rtl/>
        </w:rPr>
        <w:t xml:space="preserve">, </w:t>
      </w:r>
      <w:proofErr w:type="spellStart"/>
      <w:r>
        <w:rPr>
          <w:rtl/>
        </w:rPr>
        <w:t>הסנדלר־ביבליופיל</w:t>
      </w:r>
      <w:proofErr w:type="spellEnd"/>
      <w:r>
        <w:rPr>
          <w:rtl/>
        </w:rPr>
        <w:t xml:space="preserve"> </w:t>
      </w:r>
      <w:proofErr w:type="spellStart"/>
      <w:r>
        <w:rPr>
          <w:rtl/>
        </w:rPr>
        <w:t>החצי־אנאלפבית</w:t>
      </w:r>
      <w:proofErr w:type="spellEnd"/>
      <w:r>
        <w:rPr>
          <w:rtl/>
        </w:rPr>
        <w:t xml:space="preserve"> המפורסם של </w:t>
      </w:r>
      <w:proofErr w:type="spellStart"/>
      <w:r>
        <w:rPr>
          <w:rtl/>
        </w:rPr>
        <w:t>ראסיין</w:t>
      </w:r>
      <w:proofErr w:type="spellEnd"/>
      <w:r>
        <w:rPr>
          <w:rtl/>
        </w:rPr>
        <w:t>.</w:t>
      </w:r>
      <w:bookmarkStart w:id="2321" w:name="_fnr1482"/>
      <w:r>
        <w:rPr>
          <w:rStyle w:val="a5"/>
        </w:rPr>
        <w:footnoteReference w:id="1485" w:customMarkFollows="0"/>
      </w:r>
      <w:bookmarkEnd w:id="2321"/>
    </w:p>
    <w:p w14:paraId="211586F0" w14:textId="77777777" w:rsidR="00AB3647" w:rsidRDefault="00000000" w:rsidP="007923E9">
      <w:pPr>
        <w:spacing w:after="120" w:line="276" w:lineRule="auto"/>
        <w:ind w:firstLine="283"/>
        <w:jc w:val="both"/>
      </w:pPr>
      <w:proofErr w:type="spellStart"/>
      <w:r>
        <w:rPr>
          <w:rtl/>
        </w:rPr>
        <w:t>מארקאוויץ</w:t>
      </w:r>
      <w:proofErr w:type="spellEnd"/>
      <w:r>
        <w:rPr>
          <w:rtl/>
        </w:rPr>
        <w:t xml:space="preserve"> היה נוסע בעיירות ליטא עם שק לחם על כתפו, ואוסף ידיעות נדירות על ימים עברו. ר׳ ישראל </w:t>
      </w:r>
      <w:proofErr w:type="spellStart"/>
      <w:r>
        <w:rPr>
          <w:rtl/>
        </w:rPr>
        <w:t>שורין</w:t>
      </w:r>
      <w:proofErr w:type="spellEnd"/>
      <w:r>
        <w:rPr>
          <w:rtl/>
        </w:rPr>
        <w:t xml:space="preserve"> מסר</w:t>
      </w:r>
      <w:bookmarkStart w:id="2322" w:name="_fnr1483"/>
      <w:r>
        <w:rPr>
          <w:rStyle w:val="a5"/>
        </w:rPr>
        <w:footnoteReference w:id="1486" w:customMarkFollows="0"/>
      </w:r>
      <w:bookmarkEnd w:id="2322"/>
      <w:r>
        <w:rPr>
          <w:rtl/>
        </w:rPr>
        <w:t xml:space="preserve"> שאבי סיפר לו שפגש את האיש יוצא הדופן הזה כשעבר </w:t>
      </w:r>
      <w:proofErr w:type="spellStart"/>
      <w:r>
        <w:rPr>
          <w:rtl/>
        </w:rPr>
        <w:t>בציטוביאן</w:t>
      </w:r>
      <w:proofErr w:type="spellEnd"/>
      <w:r>
        <w:rPr>
          <w:rtl/>
        </w:rPr>
        <w:t xml:space="preserve">, שבה כיהן רבנו כרב. ר׳ עזריאל קרמר, תושב העיירה </w:t>
      </w:r>
      <w:proofErr w:type="spellStart"/>
      <w:r>
        <w:rPr>
          <w:rtl/>
        </w:rPr>
        <w:t>גירטגולה</w:t>
      </w:r>
      <w:proofErr w:type="spellEnd"/>
      <w:r>
        <w:rPr>
          <w:rtl/>
        </w:rPr>
        <w:t xml:space="preserve">, הרחוקה רק 8 קילומטרים </w:t>
      </w:r>
      <w:proofErr w:type="spellStart"/>
      <w:r>
        <w:rPr>
          <w:rtl/>
        </w:rPr>
        <w:t>מראסיין</w:t>
      </w:r>
      <w:proofErr w:type="spellEnd"/>
      <w:r>
        <w:rPr>
          <w:rtl/>
        </w:rPr>
        <w:t>, סיפר</w:t>
      </w:r>
      <w:bookmarkStart w:id="2323" w:name="_fnr1484"/>
      <w:r>
        <w:rPr>
          <w:rStyle w:val="a5"/>
        </w:rPr>
        <w:footnoteReference w:id="1487" w:customMarkFollows="0"/>
      </w:r>
      <w:bookmarkEnd w:id="2323"/>
      <w:r>
        <w:rPr>
          <w:rtl/>
        </w:rPr>
        <w:t xml:space="preserve"> שר׳ משה </w:t>
      </w:r>
      <w:proofErr w:type="spellStart"/>
      <w:r>
        <w:rPr>
          <w:rtl/>
        </w:rPr>
        <w:t>מארקאוויץ</w:t>
      </w:r>
      <w:proofErr w:type="spellEnd"/>
      <w:r>
        <w:rPr>
          <w:rtl/>
        </w:rPr>
        <w:t xml:space="preserve">, שנולד </w:t>
      </w:r>
      <w:proofErr w:type="spellStart"/>
      <w:r>
        <w:rPr>
          <w:rtl/>
        </w:rPr>
        <w:t>בתרט״ו</w:t>
      </w:r>
      <w:proofErr w:type="spellEnd"/>
      <w:r>
        <w:rPr>
          <w:rtl/>
        </w:rPr>
        <w:t>, היה “הפשוט שבפשוטים, אפילו לא סנדלר הגון אלא ‘</w:t>
      </w:r>
      <w:proofErr w:type="spellStart"/>
      <w:r>
        <w:rPr>
          <w:rtl/>
        </w:rPr>
        <w:t>לאַטעניק</w:t>
      </w:r>
      <w:proofErr w:type="spellEnd"/>
      <w:r>
        <w:rPr>
          <w:rtl/>
        </w:rPr>
        <w:t xml:space="preserve">’ [מטליא]. בעיירות שסביב </w:t>
      </w:r>
      <w:proofErr w:type="spellStart"/>
      <w:r>
        <w:rPr>
          <w:rtl/>
        </w:rPr>
        <w:t>ראסיין</w:t>
      </w:r>
      <w:proofErr w:type="spellEnd"/>
      <w:r>
        <w:rPr>
          <w:rtl/>
        </w:rPr>
        <w:t xml:space="preserve"> היה ידוע בשם ‘</w:t>
      </w:r>
      <w:proofErr w:type="spellStart"/>
      <w:r>
        <w:rPr>
          <w:rtl/>
        </w:rPr>
        <w:t>מיישל׳ה</w:t>
      </w:r>
      <w:proofErr w:type="spellEnd"/>
      <w:r>
        <w:rPr>
          <w:rtl/>
        </w:rPr>
        <w:t xml:space="preserve"> המחבר לכאורה’ [</w:t>
      </w:r>
      <w:proofErr w:type="spellStart"/>
      <w:r>
        <w:rPr>
          <w:rtl/>
        </w:rPr>
        <w:t>דער</w:t>
      </w:r>
      <w:proofErr w:type="spellEnd"/>
      <w:r>
        <w:rPr>
          <w:rtl/>
        </w:rPr>
        <w:t xml:space="preserve"> </w:t>
      </w:r>
      <w:proofErr w:type="spellStart"/>
      <w:r>
        <w:rPr>
          <w:rtl/>
        </w:rPr>
        <w:t>חִיבּוּרניק</w:t>
      </w:r>
      <w:proofErr w:type="spellEnd"/>
      <w:r>
        <w:rPr>
          <w:rtl/>
        </w:rPr>
        <w:t xml:space="preserve">] – בלעג לשאיפותיו. הוא היה מכתיב לתלמידי ישיבה מבוגרים מה לכתוב על פיסות נייר, ומעסיק ילדי ישיבה קטנה בעלי כתב יד </w:t>
      </w:r>
      <w:r>
        <w:rPr>
          <w:rtl/>
        </w:rPr>
        <w:lastRenderedPageBreak/>
        <w:t xml:space="preserve">יפה להעתיק את מה שכתבו הבחורים המבוגרים. אחר כך היה </w:t>
      </w:r>
      <w:proofErr w:type="spellStart"/>
      <w:r>
        <w:rPr>
          <w:rtl/>
        </w:rPr>
        <w:t>מיישל׳ה</w:t>
      </w:r>
      <w:proofErr w:type="spellEnd"/>
      <w:r>
        <w:rPr>
          <w:rtl/>
        </w:rPr>
        <w:t xml:space="preserve"> טובל מסמר מתכת בדיו ורושם הערות בלתי קריאות בשולי הפיסות.”</w:t>
      </w:r>
    </w:p>
    <w:p w14:paraId="51E66E2B" w14:textId="77777777" w:rsidR="00AB3647" w:rsidRDefault="00000000" w:rsidP="007923E9">
      <w:pPr>
        <w:spacing w:after="120" w:line="276" w:lineRule="auto"/>
        <w:ind w:firstLine="283"/>
        <w:jc w:val="both"/>
      </w:pPr>
      <w:r>
        <w:rPr>
          <w:rtl/>
        </w:rPr>
        <w:t xml:space="preserve">מפיסות אלה חיבר ר׳ משה לקסיקון של רבנים בכל העולם במאתיים השנים האחרונות. הוא התעורר לכתוב ספר מסוג זה לאחר שנתקל בספר המקורי “שם הגדולים”, מאת ר׳ </w:t>
      </w:r>
      <w:proofErr w:type="spellStart"/>
      <w:r>
        <w:rPr>
          <w:rtl/>
        </w:rPr>
        <w:t>חיים־יוסף־דוד</w:t>
      </w:r>
      <w:proofErr w:type="spellEnd"/>
      <w:r>
        <w:rPr>
          <w:rtl/>
        </w:rPr>
        <w:t xml:space="preserve"> אזולאי [תפ״ד–תקס״ו],</w:t>
      </w:r>
      <w:bookmarkStart w:id="2324" w:name="_fnr1485"/>
      <w:bookmarkStart w:id="2325" w:name="pr_f_1398"/>
      <w:r>
        <w:rPr>
          <w:rStyle w:val="a5"/>
        </w:rPr>
        <w:footnoteReference w:id="1488" w:customMarkFollows="0"/>
      </w:r>
      <w:bookmarkEnd w:id="2324"/>
      <w:bookmarkEnd w:id="2325"/>
      <w:r>
        <w:rPr>
          <w:rtl/>
        </w:rPr>
        <w:t xml:space="preserve"> והחליט שהוא יכול לעשות כמותו. אחרי שעמל בו 38 שנה פרסם את “שם הגדולים השלישי”. אין פלא שר׳ משה </w:t>
      </w:r>
      <w:proofErr w:type="spellStart"/>
      <w:r>
        <w:rPr>
          <w:rtl/>
        </w:rPr>
        <w:t>מארקאוויץ</w:t>
      </w:r>
      <w:proofErr w:type="spellEnd"/>
      <w:r>
        <w:rPr>
          <w:rtl/>
        </w:rPr>
        <w:t xml:space="preserve"> כונה “הפלא השמיני של העולם”.</w:t>
      </w:r>
      <w:bookmarkStart w:id="2326" w:name="_fnr1486"/>
      <w:r>
        <w:rPr>
          <w:rStyle w:val="a5"/>
        </w:rPr>
        <w:footnoteReference w:id="1489" w:customMarkFollows="0"/>
      </w:r>
      <w:bookmarkEnd w:id="2326"/>
    </w:p>
    <w:p w14:paraId="101D3E51" w14:textId="77777777" w:rsidR="00AB3647" w:rsidRDefault="00000000" w:rsidP="007923E9">
      <w:pPr>
        <w:spacing w:after="120" w:line="276" w:lineRule="auto"/>
        <w:ind w:firstLine="283"/>
        <w:jc w:val="both"/>
      </w:pPr>
      <w:r>
        <w:rPr>
          <w:rtl/>
        </w:rPr>
        <w:t xml:space="preserve">והשווה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327" w:name="_fnr1487"/>
      <w:r>
        <w:rPr>
          <w:rStyle w:val="a5"/>
        </w:rPr>
        <w:footnoteReference w:id="1490" w:customMarkFollows="0"/>
      </w:r>
      <w:bookmarkEnd w:id="2327"/>
      <w:r>
        <w:rPr>
          <w:rtl/>
        </w:rPr>
        <w:t xml:space="preserve">, שלפיו רצה ר׳ </w:t>
      </w:r>
      <w:proofErr w:type="spellStart"/>
      <w:r>
        <w:rPr>
          <w:rtl/>
        </w:rPr>
        <w:t>אלכסנדר־משה</w:t>
      </w:r>
      <w:proofErr w:type="spellEnd"/>
      <w:r>
        <w:rPr>
          <w:rtl/>
        </w:rPr>
        <w:t xml:space="preserve"> לפידות תחילה להקים את הכולל בעיירה </w:t>
      </w:r>
      <w:proofErr w:type="spellStart"/>
      <w:r>
        <w:rPr>
          <w:rtl/>
        </w:rPr>
        <w:t>וולוז׳ין</w:t>
      </w:r>
      <w:proofErr w:type="spellEnd"/>
      <w:r>
        <w:rPr>
          <w:rtl/>
        </w:rPr>
        <w:t xml:space="preserve">, ולייעד את משרת הניהול </w:t>
      </w:r>
      <w:proofErr w:type="spellStart"/>
      <w:r>
        <w:rPr>
          <w:rtl/>
        </w:rPr>
        <w:t>לר</w:t>
      </w:r>
      <w:proofErr w:type="spellEnd"/>
      <w:r>
        <w:rPr>
          <w:rtl/>
        </w:rPr>
        <w:t xml:space="preserve">׳ </w:t>
      </w:r>
      <w:proofErr w:type="spellStart"/>
      <w:r>
        <w:rPr>
          <w:rtl/>
        </w:rPr>
        <w:t>חיים־הלל</w:t>
      </w:r>
      <w:proofErr w:type="spellEnd"/>
      <w:r>
        <w:rPr>
          <w:rtl/>
        </w:rPr>
        <w:t xml:space="preserve"> פריד, אחיינו של ראש ישיבת </w:t>
      </w:r>
      <w:proofErr w:type="spellStart"/>
      <w:r>
        <w:rPr>
          <w:rtl/>
        </w:rPr>
        <w:t>וולוז׳ין</w:t>
      </w:r>
      <w:proofErr w:type="spellEnd"/>
      <w:r>
        <w:rPr>
          <w:rtl/>
        </w:rPr>
        <w:t xml:space="preserve">, </w:t>
      </w:r>
      <w:proofErr w:type="spellStart"/>
      <w:r>
        <w:rPr>
          <w:rtl/>
        </w:rPr>
        <w:t>הנצי״ב</w:t>
      </w:r>
      <w:proofErr w:type="spellEnd"/>
      <w:r>
        <w:rPr>
          <w:rtl/>
        </w:rPr>
        <w:t>.</w:t>
      </w:r>
      <w:bookmarkStart w:id="2328" w:name="_fnr1488"/>
      <w:r>
        <w:rPr>
          <w:rStyle w:val="a5"/>
        </w:rPr>
        <w:footnoteReference w:id="1491" w:customMarkFollows="0"/>
      </w:r>
      <w:bookmarkEnd w:id="2328"/>
      <w:r>
        <w:rPr>
          <w:rtl/>
        </w:rPr>
        <w:t xml:space="preserve"> אבל </w:t>
      </w:r>
      <w:proofErr w:type="spellStart"/>
      <w:r>
        <w:rPr>
          <w:rtl/>
        </w:rPr>
        <w:t>הנצי״ב</w:t>
      </w:r>
      <w:proofErr w:type="spellEnd"/>
      <w:r>
        <w:rPr>
          <w:rtl/>
        </w:rPr>
        <w:t xml:space="preserve"> התנגד </w:t>
      </w:r>
      <w:proofErr w:type="spellStart"/>
      <w:r>
        <w:rPr>
          <w:rtl/>
        </w:rPr>
        <w:t>לוולוז׳ין</w:t>
      </w:r>
      <w:proofErr w:type="spellEnd"/>
      <w:r>
        <w:rPr>
          <w:rtl/>
        </w:rPr>
        <w:t xml:space="preserve"> כמקום לכולל, אלא אם כן יהיה שותף לפחות לסמכות הניהול שלו. יש המשערים שר׳ ישראל </w:t>
      </w:r>
      <w:proofErr w:type="spellStart"/>
      <w:r>
        <w:rPr>
          <w:rtl/>
        </w:rPr>
        <w:t>סלנטר</w:t>
      </w:r>
      <w:proofErr w:type="spellEnd"/>
      <w:r>
        <w:rPr>
          <w:rtl/>
        </w:rPr>
        <w:t xml:space="preserve">, המניע הרוחני של מפעל הכולל, עמד מאחורי הרעיון להקימו </w:t>
      </w:r>
      <w:proofErr w:type="spellStart"/>
      <w:r>
        <w:rPr>
          <w:rtl/>
        </w:rPr>
        <w:t>בוולוז׳ין</w:t>
      </w:r>
      <w:proofErr w:type="spellEnd"/>
      <w:r>
        <w:rPr>
          <w:rtl/>
        </w:rPr>
        <w:t xml:space="preserve"> כאמצעי להכנסת המוסר לאותה ישיבה.</w:t>
      </w:r>
      <w:bookmarkStart w:id="2329" w:name="_fnr1489"/>
      <w:r>
        <w:rPr>
          <w:rStyle w:val="a5"/>
        </w:rPr>
        <w:footnoteReference w:id="1492" w:customMarkFollows="0"/>
      </w:r>
      <w:bookmarkEnd w:id="2329"/>
    </w:p>
    <w:p w14:paraId="4CEC62F8" w14:textId="77777777" w:rsidR="00AB3647" w:rsidRDefault="00000000" w:rsidP="007923E9">
      <w:pPr>
        <w:spacing w:after="120" w:line="276" w:lineRule="auto"/>
        <w:ind w:firstLine="283"/>
        <w:jc w:val="both"/>
      </w:pPr>
      <w:r>
        <w:rPr>
          <w:rtl/>
        </w:rPr>
        <w:t xml:space="preserve">נכד ונושא שמו של ר׳ יעקב הלוי ליפשיץ, מזכירו של ר׳ </w:t>
      </w:r>
      <w:proofErr w:type="spellStart"/>
      <w:r>
        <w:rPr>
          <w:rtl/>
        </w:rPr>
        <w:t>יצחק־אלחנן</w:t>
      </w:r>
      <w:proofErr w:type="spellEnd"/>
      <w:r>
        <w:rPr>
          <w:rtl/>
        </w:rPr>
        <w:t>,</w:t>
      </w:r>
      <w:bookmarkStart w:id="2330" w:name="_fnr1490"/>
      <w:r>
        <w:rPr>
          <w:rStyle w:val="a5"/>
        </w:rPr>
        <w:footnoteReference w:id="1493" w:customMarkFollows="0"/>
      </w:r>
      <w:bookmarkEnd w:id="2330"/>
      <w:r>
        <w:rPr>
          <w:rtl/>
        </w:rPr>
        <w:t xml:space="preserve"> כתב לי</w:t>
      </w:r>
      <w:bookmarkStart w:id="2331" w:name="_fnr1491"/>
      <w:r>
        <w:rPr>
          <w:rStyle w:val="a5"/>
        </w:rPr>
        <w:footnoteReference w:id="1494" w:customMarkFollows="0"/>
      </w:r>
      <w:bookmarkEnd w:id="2331"/>
      <w:r>
        <w:rPr>
          <w:rtl/>
        </w:rPr>
        <w:t xml:space="preserve"> שאבי אמר לו פעמים רבות שהוא אסיר תודה </w:t>
      </w:r>
      <w:proofErr w:type="spellStart"/>
      <w:r>
        <w:rPr>
          <w:rtl/>
        </w:rPr>
        <w:t>לר</w:t>
      </w:r>
      <w:proofErr w:type="spellEnd"/>
      <w:r>
        <w:rPr>
          <w:rtl/>
        </w:rPr>
        <w:t xml:space="preserve">׳ יעקב הלוי משום </w:t>
      </w:r>
      <w:proofErr w:type="spellStart"/>
      <w:r>
        <w:rPr>
          <w:rtl/>
        </w:rPr>
        <w:t>ש“הוא</w:t>
      </w:r>
      <w:proofErr w:type="spellEnd"/>
      <w:r>
        <w:rPr>
          <w:rtl/>
        </w:rPr>
        <w:t xml:space="preserve"> היה הכוח המניע במימון ובהחזקת הכולל;</w:t>
      </w:r>
      <w:bookmarkStart w:id="2332" w:name="_fnr1492"/>
      <w:r>
        <w:rPr>
          <w:rStyle w:val="a5"/>
        </w:rPr>
        <w:footnoteReference w:id="1495" w:customMarkFollows="0"/>
      </w:r>
      <w:bookmarkEnd w:id="2332"/>
      <w:r>
        <w:rPr>
          <w:rtl/>
        </w:rPr>
        <w:t xml:space="preserve"> הוא גם מי שהיה עורך את המיון הראשוני של המועמדים לכולל.” ר׳ יעקב כתב עוד: “סבי לא התיר </w:t>
      </w:r>
      <w:proofErr w:type="spellStart"/>
      <w:r>
        <w:rPr>
          <w:rtl/>
        </w:rPr>
        <w:t>לר</w:t>
      </w:r>
      <w:proofErr w:type="spellEnd"/>
      <w:r>
        <w:rPr>
          <w:rtl/>
        </w:rPr>
        <w:t xml:space="preserve">׳ </w:t>
      </w:r>
      <w:proofErr w:type="spellStart"/>
      <w:r>
        <w:rPr>
          <w:rtl/>
        </w:rPr>
        <w:t>יצחק־אלחנן</w:t>
      </w:r>
      <w:proofErr w:type="spellEnd"/>
      <w:r>
        <w:rPr>
          <w:rtl/>
        </w:rPr>
        <w:t xml:space="preserve"> להיות מעורב בהקמת כולל קובנה עד שהובטח מקור המימון.” המתכתב עמי טען קודם לכן</w:t>
      </w:r>
      <w:bookmarkStart w:id="2333" w:name="_fnr1493"/>
      <w:r>
        <w:rPr>
          <w:rStyle w:val="a5"/>
        </w:rPr>
        <w:footnoteReference w:id="1496" w:customMarkFollows="0"/>
      </w:r>
      <w:bookmarkEnd w:id="2333"/>
      <w:r>
        <w:rPr>
          <w:rtl/>
        </w:rPr>
        <w:t xml:space="preserve"> שסבו</w:t>
      </w:r>
      <w:r>
        <w:t xml:space="preserve"> </w:t>
      </w:r>
      <w:r>
        <w:rPr>
          <w:rtl/>
        </w:rPr>
        <w:t xml:space="preserve">“שכנע את ר׳ ישראל </w:t>
      </w:r>
      <w:proofErr w:type="spellStart"/>
      <w:r>
        <w:rPr>
          <w:rtl/>
        </w:rPr>
        <w:t>סלנטר</w:t>
      </w:r>
      <w:proofErr w:type="spellEnd"/>
      <w:r>
        <w:rPr>
          <w:rtl/>
        </w:rPr>
        <w:t xml:space="preserve"> ברעיון הכולל”. אבל נראה שטענה זו חסרת יסוד, שכן נקודה זו אינה נזכרת באף אחד מן המקורות (כולל ספרו ההיסטורי של ר׳ יעקב הלוי ליפשיץ עצמו, “</w:t>
      </w:r>
      <w:proofErr w:type="spellStart"/>
      <w:r>
        <w:rPr>
          <w:rtl/>
        </w:rPr>
        <w:t>זכרון</w:t>
      </w:r>
      <w:proofErr w:type="spellEnd"/>
      <w:r>
        <w:rPr>
          <w:rtl/>
        </w:rPr>
        <w:t xml:space="preserve"> יעקב”).</w:t>
      </w:r>
    </w:p>
    <w:p w14:paraId="239DB11E" w14:textId="77777777" w:rsidR="00AB3647" w:rsidRDefault="00000000" w:rsidP="007923E9">
      <w:pPr>
        <w:spacing w:after="120" w:line="276" w:lineRule="auto"/>
        <w:ind w:firstLine="283"/>
        <w:jc w:val="both"/>
      </w:pPr>
      <w:r>
        <w:rPr>
          <w:rtl/>
        </w:rPr>
        <w:t xml:space="preserve">גם הדרך העקיפה שבה עלה לבסוף ר׳ </w:t>
      </w:r>
      <w:proofErr w:type="spellStart"/>
      <w:r>
        <w:rPr>
          <w:rtl/>
        </w:rPr>
        <w:t>יצחק־אלחנן</w:t>
      </w:r>
      <w:proofErr w:type="spellEnd"/>
      <w:r>
        <w:rPr>
          <w:rtl/>
        </w:rPr>
        <w:t xml:space="preserve"> לעמוד בראש הכולל מלמדת שאין זה סביר שר׳ יעקב הלוי ליפשיץ עמד מאחורי הקמתו: ר׳ </w:t>
      </w:r>
      <w:proofErr w:type="spellStart"/>
      <w:r>
        <w:rPr>
          <w:rtl/>
        </w:rPr>
        <w:t>יצחק־אלחנן</w:t>
      </w:r>
      <w:proofErr w:type="spellEnd"/>
      <w:r>
        <w:rPr>
          <w:rtl/>
        </w:rPr>
        <w:t xml:space="preserve"> נתמנה רק אחרי שר׳ </w:t>
      </w:r>
      <w:proofErr w:type="spellStart"/>
      <w:r>
        <w:rPr>
          <w:rtl/>
        </w:rPr>
        <w:t>אלכסנדר־משה</w:t>
      </w:r>
      <w:proofErr w:type="spellEnd"/>
      <w:r>
        <w:rPr>
          <w:rtl/>
        </w:rPr>
        <w:t xml:space="preserve"> סירב לקבל את המינוי (והציע אותו </w:t>
      </w:r>
      <w:proofErr w:type="spellStart"/>
      <w:r>
        <w:rPr>
          <w:rtl/>
        </w:rPr>
        <w:t>לר</w:t>
      </w:r>
      <w:proofErr w:type="spellEnd"/>
      <w:r>
        <w:rPr>
          <w:rtl/>
        </w:rPr>
        <w:t xml:space="preserve">׳ </w:t>
      </w:r>
      <w:proofErr w:type="spellStart"/>
      <w:r>
        <w:rPr>
          <w:rtl/>
        </w:rPr>
        <w:t>חיים־הלל</w:t>
      </w:r>
      <w:proofErr w:type="spellEnd"/>
      <w:r>
        <w:rPr>
          <w:rtl/>
        </w:rPr>
        <w:t xml:space="preserve"> פריד).</w:t>
      </w:r>
      <w:bookmarkStart w:id="2334" w:name="_fnr1494"/>
      <w:r>
        <w:rPr>
          <w:rStyle w:val="a5"/>
        </w:rPr>
        <w:footnoteReference w:id="1497" w:customMarkFollows="0"/>
      </w:r>
      <w:bookmarkEnd w:id="2334"/>
      <w:r>
        <w:rPr>
          <w:rtl/>
        </w:rPr>
        <w:t xml:space="preserve"> אילו היה ר׳ יעקב </w:t>
      </w:r>
      <w:r>
        <w:rPr>
          <w:rtl/>
        </w:rPr>
        <w:lastRenderedPageBreak/>
        <w:t xml:space="preserve">הלוי יוזם המפעל, היה ממנה את רבו לעמוד בראשו מלכתחילה. לעומת זאת, טענת המתכתב שסבו מנע את מעורבותו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עד שהובטחו מקורות המימון לכולל מאושרת </w:t>
      </w:r>
      <w:proofErr w:type="spellStart"/>
      <w:r>
        <w:rPr>
          <w:rtl/>
        </w:rPr>
        <w:t>ב“זכרון</w:t>
      </w:r>
      <w:proofErr w:type="spellEnd"/>
      <w:r>
        <w:rPr>
          <w:rtl/>
        </w:rPr>
        <w:t xml:space="preserve"> יעקב”. שם מסופר</w:t>
      </w:r>
      <w:bookmarkStart w:id="2335" w:name="_fnr1495"/>
      <w:r>
        <w:rPr>
          <w:rStyle w:val="a5"/>
        </w:rPr>
        <w:footnoteReference w:id="1498" w:customMarkFollows="0"/>
      </w:r>
      <w:bookmarkEnd w:id="2335"/>
      <w:r>
        <w:rPr>
          <w:rtl/>
        </w:rPr>
        <w:t xml:space="preserve"> כיצד בא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אל ר׳ יעקב הלוי ליפשיץ בשנת מסעו לברלין, אבל </w:t>
      </w:r>
      <w:r>
        <w:rPr>
          <w:b/>
          <w:bCs/>
          <w:rtl/>
        </w:rPr>
        <w:t>לפני</w:t>
      </w:r>
      <w:r>
        <w:rPr>
          <w:rtl/>
        </w:rPr>
        <w:t xml:space="preserve"> המסע, והביא מכתב מר׳ </w:t>
      </w:r>
      <w:proofErr w:type="spellStart"/>
      <w:r>
        <w:rPr>
          <w:rtl/>
        </w:rPr>
        <w:t>אלכסנדר־משה</w:t>
      </w:r>
      <w:proofErr w:type="spellEnd"/>
      <w:r>
        <w:rPr>
          <w:rtl/>
        </w:rPr>
        <w:t xml:space="preserve"> לפידות</w:t>
      </w:r>
      <w:bookmarkStart w:id="2336" w:name="_fnr1496"/>
      <w:r>
        <w:rPr>
          <w:rStyle w:val="a5"/>
        </w:rPr>
        <w:footnoteReference w:id="1499" w:customMarkFollows="0"/>
      </w:r>
      <w:bookmarkEnd w:id="2336"/>
      <w:r>
        <w:rPr>
          <w:rtl/>
        </w:rPr>
        <w:t xml:space="preserve"> ובו בקשה שיציע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להקים מפעל שטיבו לא נחשף, ושיהיה צורך לגייס עבורו כספים.</w:t>
      </w:r>
    </w:p>
    <w:p w14:paraId="73A08A63" w14:textId="77777777" w:rsidR="00AB3647" w:rsidRDefault="00000000" w:rsidP="007923E9">
      <w:pPr>
        <w:spacing w:after="120" w:line="276" w:lineRule="auto"/>
        <w:ind w:firstLine="283"/>
        <w:jc w:val="both"/>
      </w:pPr>
      <w:r>
        <w:rPr>
          <w:rtl/>
        </w:rPr>
        <w:t xml:space="preserve">ר׳ יעקב הלוי ליפשיץ דחה אותו מאותו טעם שמסר המתכתב, וגם משום שהמכתב הציע שר׳ </w:t>
      </w:r>
      <w:proofErr w:type="spellStart"/>
      <w:r>
        <w:rPr>
          <w:rtl/>
        </w:rPr>
        <w:t>לייזר־יעקב</w:t>
      </w:r>
      <w:proofErr w:type="spellEnd"/>
      <w:r>
        <w:rPr>
          <w:rtl/>
        </w:rPr>
        <w:t xml:space="preserve"> יהיה אחראי להתרמה, משימה שלדעת ר׳ יעקב הלוי חרגה מיכולותיו של </w:t>
      </w:r>
      <w:proofErr w:type="spellStart"/>
      <w:r>
        <w:rPr>
          <w:rtl/>
        </w:rPr>
        <w:t xml:space="preserve">חווס</w:t>
      </w:r>
      <w:proofErr w:type="spellEnd"/>
      <w:r>
        <w:rPr>
          <w:rtl/>
        </w:rPr>
        <w:t>.</w:t>
      </w:r>
      <w:bookmarkStart w:id="2337" w:name="_fnr1497"/>
      <w:r>
        <w:rPr>
          <w:rStyle w:val="a5"/>
        </w:rPr>
        <w:footnoteReference w:id="1500" w:customMarkFollows="0"/>
      </w:r>
      <w:bookmarkEnd w:id="2337"/>
      <w:r>
        <w:rPr>
          <w:rtl/>
        </w:rPr>
        <w:t xml:space="preserve"> אף שר׳ יעקב הלוי ליפשיץ לא היה מעורב ב</w:t>
      </w:r>
      <w:r>
        <w:rPr>
          <w:b/>
          <w:bCs/>
          <w:rtl/>
        </w:rPr>
        <w:t>הקמת</w:t>
      </w:r>
      <w:r>
        <w:rPr>
          <w:rtl/>
        </w:rPr>
        <w:t xml:space="preserve"> הכולל, העסקתו </w:t>
      </w:r>
      <w:r>
        <w:rPr>
          <w:b/>
          <w:bCs/>
          <w:rtl/>
        </w:rPr>
        <w:t>שלוש שנים אחר כך</w:t>
      </w:r>
      <w:r>
        <w:rPr>
          <w:rtl/>
        </w:rPr>
        <w:t xml:space="preserve"> כמזכירו הראשי</w:t>
      </w:r>
      <w:bookmarkStart w:id="2338" w:name="_fnr1498"/>
      <w:r>
        <w:rPr>
          <w:rStyle w:val="a5"/>
        </w:rPr>
        <w:footnoteReference w:id="1501" w:customMarkFollows="0"/>
      </w:r>
      <w:bookmarkEnd w:id="2338"/>
      <w:r>
        <w:rPr>
          <w:rtl/>
        </w:rPr>
        <w:t xml:space="preserve"> – ובכך נעשה </w:t>
      </w:r>
      <w:proofErr w:type="spellStart"/>
      <w:r>
        <w:rPr>
          <w:rtl/>
        </w:rPr>
        <w:t>ל“כוח</w:t>
      </w:r>
      <w:proofErr w:type="spellEnd"/>
      <w:r>
        <w:rPr>
          <w:rtl/>
        </w:rPr>
        <w:t xml:space="preserve"> המניע במימון ובהחזקת הכולל” שאליו התייחס אבי – די בה כדי להצדיק את הכרת התודה של רבנו לנכדיו של מי שהיטיב עמו.</w:t>
      </w:r>
      <w:bookmarkStart w:id="2339" w:name="_fnr1499"/>
      <w:r>
        <w:rPr>
          <w:rStyle w:val="a5"/>
        </w:rPr>
        <w:footnoteReference w:id="1502" w:customMarkFollows="0"/>
      </w:r>
      <w:bookmarkEnd w:id="2339"/>
    </w:p>
    <w:p w14:paraId="70E9E489" w14:textId="77777777" w:rsidR="00AB3647" w:rsidRDefault="00000000" w:rsidP="007923E9">
      <w:pPr>
        <w:pStyle w:val="4"/>
        <w:spacing w:line="276" w:lineRule="auto"/>
      </w:pPr>
      <w:r>
        <w:t>· הפסקה השנייה ·</w:t>
      </w:r>
    </w:p>
    <w:p w14:paraId="57F13D40" w14:textId="77777777" w:rsidR="00AB3647" w:rsidRDefault="00000000" w:rsidP="007923E9">
      <w:pPr>
        <w:pStyle w:val="5"/>
        <w:spacing w:line="276" w:lineRule="auto"/>
      </w:pPr>
      <w:r>
        <w:t xml:space="preserve">“עץ פרי” מעביר את האחריות להעמדת גדולי תורה מחמיהם אל הציבור בכללו – שם </w:t>
      </w:r>
      <w:proofErr w:type="spellStart"/>
      <w:r>
        <w:t>ה“כולל</w:t>
      </w:r>
      <w:proofErr w:type="spellEnd"/>
      <w:r>
        <w:t>”</w:t>
      </w:r>
    </w:p>
    <w:p w14:paraId="5CC7A63A" w14:textId="77777777" w:rsidR="00AB3647" w:rsidRDefault="00000000" w:rsidP="007923E9">
      <w:pPr>
        <w:spacing w:after="120" w:line="276" w:lineRule="auto"/>
        <w:ind w:firstLine="283"/>
        <w:jc w:val="both"/>
      </w:pPr>
      <w:r>
        <w:rPr>
          <w:rtl/>
        </w:rPr>
        <w:t xml:space="preserve">המסר העיקרי של חוברת “עץ פרי” היה שעם היחלשות רצונם של העשירים לקחת תלמידי חכמים לחתנים ולפרנסם אחרי נישואיהם, בעודם גדלים לגדולי תורה, חייבת הקהילה כולה לקחת על עצמה את טיפוחם של אברכים ראויים ומבטיחים. “</w:t>
      </w:r>
      <w:proofErr w:type="spellStart"/>
      <w:r>
        <w:rPr>
          <w:rtl/>
        </w:rPr>
        <w:t>זכרון</w:t>
      </w:r>
      <w:proofErr w:type="spellEnd"/>
      <w:r>
        <w:rPr>
          <w:rtl/>
        </w:rPr>
        <w:t xml:space="preserve"> יעקב”</w:t>
      </w:r>
      <w:bookmarkStart w:id="2340" w:name="_fnr1500"/>
      <w:r>
        <w:rPr>
          <w:rStyle w:val="a5"/>
        </w:rPr>
        <w:footnoteReference w:id="1503" w:customMarkFollows="0"/>
      </w:r>
      <w:bookmarkEnd w:id="2340"/>
      <w:r>
        <w:rPr>
          <w:rtl/>
        </w:rPr>
        <w:t xml:space="preserve"> מייחס </w:t>
      </w:r>
      <w:proofErr w:type="spellStart"/>
      <w:r>
        <w:rPr>
          <w:rtl/>
        </w:rPr>
        <w:t>לר</w:t>
      </w:r>
      <w:proofErr w:type="spellEnd"/>
      <w:r>
        <w:rPr>
          <w:rtl/>
        </w:rPr>
        <w:t xml:space="preserve">׳ ישראל </w:t>
      </w:r>
      <w:proofErr w:type="spellStart"/>
      <w:r>
        <w:rPr>
          <w:rtl/>
        </w:rPr>
        <w:t>סלנטר</w:t>
      </w:r>
      <w:proofErr w:type="spellEnd"/>
      <w:r>
        <w:rPr>
          <w:rtl/>
        </w:rPr>
        <w:t xml:space="preserve"> את התעוררות העניין של העשירים בחיפוש חתנים “משובחים בתורה”, כשארגן מחדש את הישיבה </w:t>
      </w:r>
      <w:proofErr w:type="spellStart"/>
      <w:r>
        <w:rPr>
          <w:rtl/>
        </w:rPr>
        <w:t>בקלויז</w:t>
      </w:r>
      <w:proofErr w:type="spellEnd"/>
      <w:r>
        <w:rPr>
          <w:rtl/>
        </w:rPr>
        <w:t xml:space="preserve"> </w:t>
      </w:r>
      <w:proofErr w:type="spellStart"/>
      <w:r>
        <w:rPr>
          <w:rtl/>
        </w:rPr>
        <w:t>נביאזר</w:t>
      </w:r>
      <w:proofErr w:type="spellEnd"/>
      <w:r>
        <w:rPr>
          <w:rtl/>
        </w:rPr>
        <w:t xml:space="preserve"> עם בואו לקובנה שלושה עשורים קודם לכן.</w:t>
      </w:r>
      <w:bookmarkStart w:id="2341" w:name="_fnr1501"/>
      <w:r>
        <w:rPr>
          <w:rStyle w:val="a5"/>
        </w:rPr>
        <w:footnoteReference w:id="1504" w:customMarkFollows="0"/>
      </w:r>
      <w:bookmarkEnd w:id="2341"/>
    </w:p>
    <w:p w14:paraId="7240E113" w14:textId="77777777" w:rsidR="00AB3647" w:rsidRDefault="00000000" w:rsidP="007923E9">
      <w:pPr>
        <w:spacing w:after="120" w:line="276" w:lineRule="auto"/>
        <w:ind w:firstLine="283"/>
        <w:jc w:val="both"/>
      </w:pPr>
      <w:r>
        <w:rPr>
          <w:rtl/>
        </w:rPr>
        <w:t>“</w:t>
      </w:r>
      <w:proofErr w:type="spellStart"/>
      <w:r>
        <w:rPr>
          <w:rtl/>
        </w:rPr>
        <w:t>זכרון</w:t>
      </w:r>
      <w:proofErr w:type="spellEnd"/>
      <w:r>
        <w:rPr>
          <w:rtl/>
        </w:rPr>
        <w:t xml:space="preserve"> יעקב” טוען: “המנהג היה שכל תלמיד ישיבה הולך לבית בעל בית ‘לאכול את הטאג’ שלו, ועובר כך בין הבתים בסבב שבועי. ר׳ ישראל ביטל מנהג זה, שהשפיל את כבוד תלמיד הישיבה, והנהיג במקומו שהתורמים ישלחו את הארוחות אל </w:t>
      </w:r>
      <w:proofErr w:type="spellStart"/>
      <w:r>
        <w:rPr>
          <w:rtl/>
        </w:rPr>
        <w:t>הקלויז</w:t>
      </w:r>
      <w:proofErr w:type="spellEnd"/>
      <w:r>
        <w:rPr>
          <w:rtl/>
        </w:rPr>
        <w:t xml:space="preserve">. הוא גם ייחד להם מגורים מיוחדים לישון בהם, לא בבית המדרש, שנעשה עתה לבית לימוד בלבד. על ידי כך </w:t>
      </w:r>
      <w:r>
        <w:rPr>
          <w:rtl/>
        </w:rPr>
        <w:lastRenderedPageBreak/>
        <w:t xml:space="preserve">הוגבה והורם מעמד כבודם של בני התורה, ומנהג זה נעשה מקובל אחר כך בקהילות רבות בליטא </w:t>
      </w:r>
      <w:proofErr w:type="spellStart"/>
      <w:r>
        <w:rPr>
          <w:rtl/>
        </w:rPr>
        <w:t>ובזאמוט</w:t>
      </w:r>
      <w:proofErr w:type="spellEnd"/>
      <w:r>
        <w:rPr>
          <w:rtl/>
        </w:rPr>
        <w:t xml:space="preserve">... עד שנעשה ‘אופנתי’ לרבים מבעלי הבתים העשירים והחשובים לבחור בחורים יקרים משובחים בתורה, שהוכרו </w:t>
      </w:r>
      <w:proofErr w:type="spellStart"/>
      <w:r>
        <w:rPr>
          <w:rtl/>
        </w:rPr>
        <w:t>כ‘עילויים</w:t>
      </w:r>
      <w:proofErr w:type="spellEnd"/>
      <w:r>
        <w:rPr>
          <w:rtl/>
        </w:rPr>
        <w:t xml:space="preserve">’, לחתנים לבנותיהם, ולהגדיל את הנדוניות </w:t>
      </w:r>
      <w:proofErr w:type="spellStart"/>
      <w:r>
        <w:rPr>
          <w:rtl/>
        </w:rPr>
        <w:t>והקעסט</w:t>
      </w:r>
      <w:proofErr w:type="spellEnd"/>
      <w:r>
        <w:rPr>
          <w:rtl/>
        </w:rPr>
        <w:t xml:space="preserve"> שלהם. ובכך עלה כבוד התורה למעלה ראש.”</w:t>
      </w:r>
      <w:bookmarkStart w:id="2342" w:name="_fnr1502"/>
      <w:r>
        <w:rPr>
          <w:rStyle w:val="a5"/>
        </w:rPr>
        <w:footnoteReference w:id="1505" w:customMarkFollows="0"/>
      </w:r>
      <w:bookmarkEnd w:id="2342"/>
    </w:p>
    <w:p w14:paraId="3E078638" w14:textId="77777777" w:rsidR="00AB3647" w:rsidRDefault="00000000" w:rsidP="007923E9">
      <w:pPr>
        <w:spacing w:after="120" w:line="276" w:lineRule="auto"/>
        <w:ind w:firstLine="283"/>
        <w:jc w:val="both"/>
      </w:pPr>
      <w:r>
        <w:rPr>
          <w:rtl/>
        </w:rPr>
        <w:t>אם הערכת “</w:t>
      </w:r>
      <w:proofErr w:type="spellStart"/>
      <w:r>
        <w:rPr>
          <w:rtl/>
        </w:rPr>
        <w:t>זכרון</w:t>
      </w:r>
      <w:proofErr w:type="spellEnd"/>
      <w:r>
        <w:rPr>
          <w:rtl/>
        </w:rPr>
        <w:t xml:space="preserve"> יעקב” נכונה, נראה שבשני העשורים שלאחר מכן, שבהם שהה ר׳ ישראל במערב אירופה, התהפכה המגמה שהתווה – עד כדי כך שלא היה עוד אפשר לסמוך על העשירים שיעמידו גדולי תורה בתמיכתם המשפחתית. ועתה שוב ר׳ ישראל הוא שהעמיד, באמצעות תוכנית כולל קובנה, מסגרת לגידול מנהיגים לעם ישראל.</w:t>
      </w:r>
    </w:p>
    <w:p w14:paraId="41B4F6F9" w14:textId="77777777" w:rsidR="00AB3647" w:rsidRDefault="00000000" w:rsidP="007923E9">
      <w:pPr>
        <w:spacing w:after="120" w:line="276" w:lineRule="auto"/>
        <w:ind w:firstLine="283"/>
        <w:jc w:val="both"/>
      </w:pPr>
      <w:r>
        <w:rPr>
          <w:rtl/>
        </w:rPr>
        <w:t>רבנו אמר</w:t>
      </w:r>
      <w:bookmarkStart w:id="2343" w:name="_fnr1503"/>
      <w:r>
        <w:rPr>
          <w:rStyle w:val="a5"/>
        </w:rPr>
        <w:footnoteReference w:id="1506" w:customMarkFollows="0"/>
      </w:r>
      <w:bookmarkEnd w:id="2343"/>
      <w:r>
        <w:rPr>
          <w:rtl/>
        </w:rPr>
        <w:t xml:space="preserve"> שכולל קובנה, שנקרא רשמית “כולל אברכים”, היה המוסד הראשון ללימוד תורה שנקרא “כולל”. עד אז שימש המונח “כולל” לתיאור קהילה קטנה בארץ ישראל שנתמכה בידי יהודים בני ארצם שבגולה.</w:t>
      </w:r>
    </w:p>
    <w:bookmarkStart w:id="2344" w:name="b3_excB"/>
    <w:p w14:paraId="5673861F" w14:textId="77777777" w:rsidR="00AB3647" w:rsidRDefault="00000000" w:rsidP="007923E9">
      <w:pPr>
        <w:pStyle w:val="3"/>
        <w:spacing w:line="276" w:lineRule="auto"/>
      </w:pPr>
      <w:r>
        <w:lastRenderedPageBreak/>
        <w:fldChar w:fldCharType="begin" w:dirty="true"/>
      </w:r>
      <w:r>
        <w:rPr>
          <w:rtl w:val="0"/>
        </w:rPr>
        <w:instrText>HYPERLINK \l "b3_note22</w:instrText>
      </w:r>
      <w:r>
        <w:instrText>"</w:instrText>
      </w:r>
      <w:r>
        <w:fldChar w:fldCharType="separate"/>
      </w:r>
      <w:r>
        <w:t>נספח ב</w:t>
      </w:r>
      <w:r>
        <w:fldChar w:fldCharType="end"/>
      </w:r>
      <w:bookmarkEnd w:id="2344"/>
    </w:p>
    <w:p w14:paraId="28ED4109" w14:textId="77777777" w:rsidR="00AB3647" w:rsidRDefault="00000000" w:rsidP="007923E9">
      <w:pPr>
        <w:pStyle w:val="af"/>
        <w:spacing w:line="276" w:lineRule="auto"/>
      </w:pPr>
      <w:r>
        <w:t xml:space="preserve">על שלושת תלמידיו הראשיים של ר׳ ישראל </w:t>
      </w:r>
      <w:proofErr w:type="spellStart"/>
      <w:r>
        <w:t>סלנטר</w:t>
      </w:r>
      <w:proofErr w:type="spellEnd"/>
    </w:p>
    <w:p w14:paraId="30E4ADB8" w14:textId="77777777" w:rsidR="00AB3647" w:rsidRDefault="00000000" w:rsidP="007923E9">
      <w:pPr>
        <w:pStyle w:val="4"/>
        <w:spacing w:line="276" w:lineRule="auto"/>
      </w:pPr>
      <w:r>
        <w:t>· הפסקה הראשונה ·</w:t>
      </w:r>
    </w:p>
    <w:p w14:paraId="4FE92F34" w14:textId="77777777" w:rsidR="00AB3647" w:rsidRDefault="00000000" w:rsidP="007923E9">
      <w:pPr>
        <w:pStyle w:val="5"/>
        <w:spacing w:line="276" w:lineRule="auto"/>
      </w:pPr>
      <w:r>
        <w:t xml:space="preserve">ר׳ </w:t>
      </w:r>
      <w:proofErr w:type="spellStart"/>
      <w:r>
        <w:t>איצל׳ה</w:t>
      </w:r>
      <w:proofErr w:type="spellEnd"/>
      <w:r>
        <w:t xml:space="preserve"> עוזב את פטרבורג לקובנה – ר׳ ישראל </w:t>
      </w:r>
      <w:proofErr w:type="spellStart"/>
      <w:r>
        <w:t>סלנטר</w:t>
      </w:r>
      <w:proofErr w:type="spellEnd"/>
      <w:r>
        <w:t xml:space="preserve"> מגדיר את שלושת תלמידיו הראשיים – שלושתם גדולים בתורה – ר׳ לייזר גורדון קורא </w:t>
      </w:r>
      <w:proofErr w:type="spellStart"/>
      <w:r>
        <w:t>לר</w:t>
      </w:r>
      <w:proofErr w:type="spellEnd"/>
      <w:r>
        <w:t xml:space="preserve">׳ </w:t>
      </w:r>
      <w:proofErr w:type="spellStart"/>
      <w:r>
        <w:t>שמחה־זיסל</w:t>
      </w:r>
      <w:proofErr w:type="spellEnd"/>
      <w:r>
        <w:t xml:space="preserve"> רבו – ר׳ </w:t>
      </w:r>
      <w:proofErr w:type="spellStart"/>
      <w:r>
        <w:t>אבהל׳ה</w:t>
      </w:r>
      <w:proofErr w:type="spellEnd"/>
      <w:r>
        <w:t xml:space="preserve"> מקרוז מסתיר את ההתכתבות שהוא מקבל מגדול בישראל – ר׳ </w:t>
      </w:r>
      <w:proofErr w:type="spellStart"/>
      <w:r>
        <w:t>איצל׳ה</w:t>
      </w:r>
      <w:proofErr w:type="spellEnd"/>
      <w:r>
        <w:t xml:space="preserve"> מוספד למרות צוואתו שלא לעשות כן</w:t>
      </w:r>
    </w:p>
    <w:p w14:paraId="3FC4C30B"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שנולד </w:t>
      </w:r>
      <w:proofErr w:type="spellStart"/>
      <w:r>
        <w:rPr>
          <w:rtl/>
        </w:rPr>
        <w:t>בתקצ״ז</w:t>
      </w:r>
      <w:proofErr w:type="spellEnd"/>
      <w:r>
        <w:rPr>
          <w:rtl/>
        </w:rPr>
        <w:t>, למד בתחילת שנות העשרים לחייו את מלאכת צביעת הבדים, מתוך אמונה שעבודה מסוג זה תאפשר לו יותר זמן פנוי ללימוד תורה.</w:t>
      </w:r>
      <w:bookmarkStart w:id="2345" w:name="_fnr1504"/>
      <w:r>
        <w:rPr>
          <w:rStyle w:val="a5"/>
        </w:rPr>
        <w:footnoteReference w:id="1507" w:customMarkFollows="0"/>
      </w:r>
      <w:bookmarkEnd w:id="2345"/>
      <w:r>
        <w:rPr>
          <w:rtl/>
        </w:rPr>
        <w:t xml:space="preserve"> אבל רבו ר׳ ישראל </w:t>
      </w:r>
      <w:proofErr w:type="spellStart"/>
      <w:r>
        <w:rPr>
          <w:rtl/>
        </w:rPr>
        <w:t>סלנטר</w:t>
      </w:r>
      <w:proofErr w:type="spellEnd"/>
      <w:r>
        <w:rPr>
          <w:rtl/>
        </w:rPr>
        <w:t xml:space="preserve"> הציע לו להיות רב בירת רוסיה, סנט פטרבורג, שם יהיה לו גם די זמן להמשיך בלימודיו.</w:t>
      </w:r>
      <w:bookmarkStart w:id="2346" w:name="_fnr1505"/>
      <w:r>
        <w:rPr>
          <w:rStyle w:val="a5"/>
        </w:rPr>
        <w:footnoteReference w:id="1508" w:customMarkFollows="0"/>
      </w:r>
      <w:bookmarkEnd w:id="2346"/>
      <w:r>
        <w:rPr>
          <w:rtl/>
        </w:rPr>
        <w:t xml:space="preserve"> באותו זמן הייתה בעיר קהילה יהודית קטנה, שמנתה לפי </w:t>
      </w:r>
      <w:proofErr w:type="spellStart"/>
      <w:r>
        <w:rPr>
          <w:rtl/>
        </w:rPr>
        <w:t>האומדן</w:t>
      </w:r>
      <w:proofErr w:type="spellEnd"/>
      <w:r>
        <w:rPr>
          <w:rtl/>
        </w:rPr>
        <w:t xml:space="preserve"> 700 נפש,</w:t>
      </w:r>
      <w:bookmarkStart w:id="2347" w:name="_fnr1506"/>
      <w:r>
        <w:rPr>
          <w:rStyle w:val="a5"/>
        </w:rPr>
        <w:footnoteReference w:id="1509" w:customMarkFollows="0"/>
      </w:r>
      <w:bookmarkEnd w:id="2347"/>
      <w:r>
        <w:rPr>
          <w:rtl/>
        </w:rPr>
        <w:t xml:space="preserve"> והורכבה מיחידים שקיבלו היתרי ישיבה מיוחדים מטעם זה או אחר. גם הרב היה צריך להיות “משויך” למשפחה יהודית מיוחסת כלשהי כדי שיוכל להישאר בבירה.</w:t>
      </w:r>
    </w:p>
    <w:p w14:paraId="7A7B5F13" w14:textId="77777777" w:rsidR="00AB3647" w:rsidRDefault="00000000" w:rsidP="007923E9">
      <w:pPr>
        <w:spacing w:after="120" w:line="276" w:lineRule="auto"/>
        <w:ind w:firstLine="283"/>
        <w:jc w:val="both"/>
      </w:pPr>
      <w:r>
        <w:rPr>
          <w:rtl/>
        </w:rPr>
        <w:t xml:space="preserve">אחרי שכיהן בהצלחה כרב פטרבורג 16 שנה, תרכ״ב–תרל״ח, פרש ר׳ </w:t>
      </w:r>
      <w:proofErr w:type="spellStart"/>
      <w:r>
        <w:rPr>
          <w:rtl/>
        </w:rPr>
        <w:t>איצל׳ה</w:t>
      </w:r>
      <w:proofErr w:type="spellEnd"/>
      <w:r>
        <w:rPr>
          <w:rtl/>
        </w:rPr>
        <w:t xml:space="preserve"> מן הרבנות מסיבות שאינן ברורות. “</w:t>
      </w:r>
      <w:proofErr w:type="spellStart"/>
      <w:r>
        <w:rPr>
          <w:rtl/>
        </w:rPr>
        <w:t>זכרונות</w:t>
      </w:r>
      <w:proofErr w:type="spellEnd"/>
      <w:r>
        <w:rPr>
          <w:rtl/>
        </w:rPr>
        <w:t xml:space="preserve">”, מאת יהושע ליב </w:t>
      </w:r>
      <w:proofErr w:type="spellStart"/>
      <w:r>
        <w:rPr>
          <w:rtl/>
        </w:rPr>
        <w:t>ראדוס</w:t>
      </w:r>
      <w:proofErr w:type="spellEnd"/>
      <w:r>
        <w:rPr>
          <w:rtl/>
        </w:rPr>
        <w:t>,</w:t>
      </w:r>
      <w:bookmarkStart w:id="2348" w:name="_fnr1507"/>
      <w:r>
        <w:rPr>
          <w:rStyle w:val="a5"/>
        </w:rPr>
        <w:footnoteReference w:id="1510" w:customMarkFollows="0"/>
      </w:r>
      <w:bookmarkEnd w:id="2348"/>
      <w:r>
        <w:rPr>
          <w:rtl/>
        </w:rPr>
        <w:t xml:space="preserve"> אומר שהמניע להתפטרותו היה </w:t>
      </w:r>
      <w:proofErr w:type="spellStart"/>
      <w:r>
        <w:rPr>
          <w:rtl/>
        </w:rPr>
        <w:t>ש“בכהנו</w:t>
      </w:r>
      <w:proofErr w:type="spellEnd"/>
      <w:r>
        <w:rPr>
          <w:rtl/>
        </w:rPr>
        <w:t xml:space="preserve"> כרב בבירה נאלץ להקריב את שעותיו הטובות ביותר למשרתו, ולעתים קרובות היה עסוק בענייני ציבור מהבוקר עד שעה מאוחרת בלילה. הוא היה מוטרד מאוד מכך שאינו יכול לשבת בתורה ועבודה יומם ולילה באין מפריע, כרצונו”, והתפטר. מדיניות המגורים הליברלית יותר כלפי היהודים, שהנהיג הצאר אלכסנדר השני בהדרגה במשך רבע המאה של שלטונו (תרט״ז–תרמ״א, 1856–1881)</w:t>
      </w:r>
      <w:bookmarkStart w:id="2349" w:name="_fnr1508"/>
      <w:bookmarkEnd w:id="2349"/>
      <w:r>
        <w:rPr>
          <w:rStyle w:val="a5"/>
        </w:rPr>
        <w:t/>
      </w:r>
      <w:bookmarkStart w:id="7014" w:name="_TranslatorNote_5381"/>
      <w:r>
        <w:rPr>
          <w:rStyle w:val="a5"/>
          <w:vertAlign w:val="superscript"/>
          <w:rtl/>
        </w:rPr>
        <w:footnoteReference w:id="1511" w:customMarkFollows="1"/>
        <w:t>*</w:t>
      </w:r>
      <w:bookmarkEnd w:id="7014"/>
      <w:r>
        <w:rPr>
          <w:rtl/>
        </w:rPr>
        <w:t>,</w:t>
      </w:r>
      <w:bookmarkStart w:id="2350" w:name="_fnr1509"/>
      <w:r>
        <w:rPr>
          <w:rStyle w:val="a5"/>
        </w:rPr>
        <w:footnoteReference w:id="1512" w:customMarkFollows="0"/>
      </w:r>
      <w:bookmarkEnd w:id="2350"/>
      <w:r>
        <w:rPr>
          <w:rtl/>
        </w:rPr>
        <w:t xml:space="preserve"> הביאה לגלים גדולים של הגירה יהודית לעיר, ואלה ביטלו את הסיבה המקורית למעברו של ר׳ </w:t>
      </w:r>
      <w:proofErr w:type="spellStart"/>
      <w:r>
        <w:rPr>
          <w:rtl/>
        </w:rPr>
        <w:t>איצל׳ה</w:t>
      </w:r>
      <w:proofErr w:type="spellEnd"/>
      <w:r>
        <w:rPr>
          <w:rtl/>
        </w:rPr>
        <w:t xml:space="preserve"> לשם. עד תר״ל ישבו בעיר 1,400 יהודים כחוק ועוד כ־4,000, לפי הערכה, שלא כחוק, ובמשך העשור הבא קפצו המספרים לכמעט 17,000 תושבים כחוק ולמספר זהה של תושבים שלא כחוק.</w:t>
      </w:r>
    </w:p>
    <w:p w14:paraId="69FB5330" w14:textId="77777777" w:rsidR="00AB3647" w:rsidRDefault="00000000" w:rsidP="007923E9">
      <w:pPr>
        <w:spacing w:after="120" w:line="276" w:lineRule="auto"/>
        <w:ind w:firstLine="283"/>
        <w:jc w:val="both"/>
      </w:pPr>
      <w:r>
        <w:rPr>
          <w:rtl/>
        </w:rPr>
        <w:lastRenderedPageBreak/>
        <w:t>השווה גם “</w:t>
      </w:r>
      <w:proofErr w:type="spellStart"/>
      <w:r>
        <w:rPr>
          <w:rtl/>
        </w:rPr>
        <w:t>ליטע</w:t>
      </w:r>
      <w:proofErr w:type="spellEnd"/>
      <w:r>
        <w:rPr>
          <w:rtl/>
        </w:rPr>
        <w:t>”,</w:t>
      </w:r>
      <w:bookmarkStart w:id="2351" w:name="_fnr1510"/>
      <w:r>
        <w:rPr>
          <w:rStyle w:val="a5"/>
        </w:rPr>
        <w:footnoteReference w:id="1513" w:customMarkFollows="0"/>
      </w:r>
      <w:bookmarkEnd w:id="2351"/>
      <w:r>
        <w:rPr>
          <w:rtl/>
        </w:rPr>
        <w:t xml:space="preserve"> ששם כותב </w:t>
      </w:r>
      <w:proofErr w:type="spellStart"/>
      <w:r>
        <w:rPr>
          <w:rtl/>
        </w:rPr>
        <w:t>א.ר</w:t>
      </w:r>
      <w:proofErr w:type="spellEnd"/>
      <w:r>
        <w:rPr>
          <w:rtl/>
        </w:rPr>
        <w:t>. מלאכי: “אני משער שהחליט לוותר על הרבנות ולעזוב את פטרבורג משום ש[</w:t>
      </w:r>
      <w:proofErr w:type="spellStart"/>
      <w:r>
        <w:rPr>
          <w:rtl/>
        </w:rPr>
        <w:t>יהודה־לייב</w:t>
      </w:r>
      <w:proofErr w:type="spellEnd"/>
      <w:r>
        <w:rPr>
          <w:rtl/>
        </w:rPr>
        <w:t>] גורדון</w:t>
      </w:r>
      <w:bookmarkStart w:id="2352" w:name="_fnr1511"/>
      <w:r>
        <w:rPr>
          <w:rStyle w:val="a5"/>
        </w:rPr>
        <w:footnoteReference w:id="1514" w:customMarkFollows="0"/>
      </w:r>
      <w:bookmarkEnd w:id="2352"/>
      <w:r>
        <w:rPr>
          <w:rtl/>
        </w:rPr>
        <w:t xml:space="preserve"> הפריע לו. גורדון נתמנה למזכיר הקהילה,</w:t>
      </w:r>
      <w:bookmarkStart w:id="2353" w:name="_fnr1512"/>
      <w:r>
        <w:rPr>
          <w:rStyle w:val="a5"/>
        </w:rPr>
        <w:footnoteReference w:id="1515" w:customMarkFollows="0"/>
      </w:r>
      <w:bookmarkEnd w:id="2353"/>
      <w:r>
        <w:rPr>
          <w:rtl/>
        </w:rPr>
        <w:t xml:space="preserve"> והמשכילים, בראשות גורדון, לא הניחו </w:t>
      </w:r>
      <w:proofErr w:type="spellStart"/>
      <w:r>
        <w:rPr>
          <w:rtl/>
        </w:rPr>
        <w:t>לר</w:t>
      </w:r>
      <w:proofErr w:type="spellEnd"/>
      <w:r>
        <w:rPr>
          <w:rtl/>
        </w:rPr>
        <w:t xml:space="preserve">׳ </w:t>
      </w:r>
      <w:proofErr w:type="spellStart"/>
      <w:r>
        <w:rPr>
          <w:rtl/>
        </w:rPr>
        <w:t>איצל׳ה</w:t>
      </w:r>
      <w:proofErr w:type="spellEnd"/>
      <w:r>
        <w:rPr>
          <w:rtl/>
        </w:rPr>
        <w:t xml:space="preserve"> להנהיג את הקהילה בדרך שרצה.” אבי אמר שהייתה שמועה שר׳ </w:t>
      </w:r>
      <w:proofErr w:type="spellStart"/>
      <w:r>
        <w:rPr>
          <w:rtl/>
        </w:rPr>
        <w:t>איצל׳ה</w:t>
      </w:r>
      <w:proofErr w:type="spellEnd"/>
      <w:r>
        <w:rPr>
          <w:rtl/>
        </w:rPr>
        <w:t xml:space="preserve"> היה מוטרד מהצורך להחליט על האיות המדויק של שמות היהודים המתבוללים באותה עיר </w:t>
      </w:r>
      <w:proofErr w:type="spellStart"/>
      <w:r>
        <w:rPr>
          <w:rtl/>
        </w:rPr>
        <w:t>בגיטין</w:t>
      </w:r>
      <w:proofErr w:type="spellEnd"/>
      <w:r>
        <w:rPr>
          <w:rtl/>
        </w:rPr>
        <w:t>.</w:t>
      </w:r>
      <w:bookmarkStart w:id="2354" w:name="_fnr1513"/>
      <w:r>
        <w:rPr>
          <w:rStyle w:val="a5"/>
        </w:rPr>
        <w:footnoteReference w:id="1516" w:customMarkFollows="0"/>
      </w:r>
      <w:bookmarkEnd w:id="2354"/>
      <w:r>
        <w:rPr>
          <w:rtl/>
        </w:rPr>
        <w:t xml:space="preserve"> טעם זה מובא גם בספרו של כץ, “תנועת המוסר”, כרך ב.</w:t>
      </w:r>
      <w:bookmarkStart w:id="2355" w:name="_fnr1514"/>
      <w:r>
        <w:rPr>
          <w:rStyle w:val="a5"/>
        </w:rPr>
        <w:footnoteReference w:id="1517" w:customMarkFollows="0"/>
      </w:r>
      <w:bookmarkEnd w:id="2355"/>
    </w:p>
    <w:p w14:paraId="69B338DE" w14:textId="77777777" w:rsidR="00AB3647" w:rsidRDefault="00000000" w:rsidP="007923E9">
      <w:pPr>
        <w:spacing w:after="120" w:line="276" w:lineRule="auto"/>
        <w:ind w:firstLine="283"/>
        <w:jc w:val="both"/>
      </w:pPr>
      <w:r>
        <w:rPr>
          <w:rtl/>
        </w:rPr>
        <w:t xml:space="preserve">אבל “ספר כוכבי אור: מאמרים </w:t>
      </w:r>
      <w:proofErr w:type="spellStart"/>
      <w:r>
        <w:rPr>
          <w:rtl/>
        </w:rPr>
        <w:t>מכי״ק</w:t>
      </w:r>
      <w:proofErr w:type="spellEnd"/>
      <w:r>
        <w:rPr>
          <w:rtl/>
        </w:rPr>
        <w:t xml:space="preserve"> הגאון הגדול וכו׳ יצחק </w:t>
      </w:r>
      <w:proofErr w:type="spellStart"/>
      <w:r>
        <w:rPr>
          <w:rtl/>
        </w:rPr>
        <w:t>בלאזער</w:t>
      </w:r>
      <w:proofErr w:type="spellEnd"/>
      <w:r>
        <w:rPr>
          <w:rtl/>
        </w:rPr>
        <w:t>”</w:t>
      </w:r>
      <w:bookmarkStart w:id="2356" w:name="_fnr1515"/>
      <w:r>
        <w:rPr>
          <w:rStyle w:val="a5"/>
        </w:rPr>
        <w:footnoteReference w:id="1518" w:customMarkFollows="0"/>
      </w:r>
      <w:bookmarkEnd w:id="2356"/>
      <w:r>
        <w:rPr>
          <w:rtl/>
        </w:rPr>
        <w:t xml:space="preserve"> מצטט מתוך מחברתו של מחבר אלמוני שר׳ נפתלי אמסטרדם מסר שקיבל מר׳ </w:t>
      </w:r>
      <w:proofErr w:type="spellStart"/>
      <w:r>
        <w:rPr>
          <w:rtl/>
        </w:rPr>
        <w:t>איצל׳ה</w:t>
      </w:r>
      <w:proofErr w:type="spellEnd"/>
      <w:r>
        <w:rPr>
          <w:rtl/>
        </w:rPr>
        <w:t xml:space="preserve"> מכתבים שבהם כתב: “גבעות </w:t>
      </w:r>
      <w:proofErr w:type="spellStart"/>
      <w:r>
        <w:rPr>
          <w:rtl/>
        </w:rPr>
        <w:t>אלקסוט</w:t>
      </w:r>
      <w:proofErr w:type="spellEnd"/>
      <w:r>
        <w:rPr>
          <w:rtl/>
        </w:rPr>
        <w:t xml:space="preserve"> [שם מסר ר׳ ישראל </w:t>
      </w:r>
      <w:proofErr w:type="spellStart"/>
      <w:r>
        <w:rPr>
          <w:rtl/>
        </w:rPr>
        <w:t>סלנטר</w:t>
      </w:r>
      <w:proofErr w:type="spellEnd"/>
      <w:r>
        <w:rPr>
          <w:rtl/>
        </w:rPr>
        <w:t xml:space="preserve"> שיחות מוסר בביתו של ר׳ </w:t>
      </w:r>
      <w:proofErr w:type="spellStart"/>
      <w:r>
        <w:rPr>
          <w:rtl/>
        </w:rPr>
        <w:t>שרגא־פייבל</w:t>
      </w:r>
      <w:proofErr w:type="spellEnd"/>
      <w:r>
        <w:rPr>
          <w:rtl/>
        </w:rPr>
        <w:t xml:space="preserve"> פרנק] אינן מניחות לי לישון [בפטרבורג].” כוונתו הייתה שמרוב געגועיו לסביבת המוסר של קובנה לא יכול היה לשאת את השהייה בפטרבורג. הוא עבר לקובנה, ושם קנה אכסניה כמקור פרנסה. </w:t>
      </w:r>
      <w:proofErr w:type="spellStart"/>
      <w:r>
        <w:rPr>
          <w:rtl/>
        </w:rPr>
        <w:t>בתרס״ד</w:t>
      </w:r>
      <w:proofErr w:type="spellEnd"/>
      <w:r>
        <w:rPr>
          <w:rtl/>
        </w:rPr>
        <w:t xml:space="preserve"> עלה לארץ ישראל,</w:t>
      </w:r>
      <w:bookmarkStart w:id="2357" w:name="_fnr1516"/>
      <w:r>
        <w:rPr>
          <w:rStyle w:val="a5"/>
        </w:rPr>
        <w:footnoteReference w:id="1519" w:customMarkFollows="0"/>
      </w:r>
      <w:bookmarkEnd w:id="2357"/>
      <w:r>
        <w:rPr>
          <w:rtl/>
        </w:rPr>
        <w:t xml:space="preserve"> ושם נפטר כעבור שלוש שנים.</w:t>
      </w:r>
    </w:p>
    <w:p w14:paraId="1B999416"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הצעיר בשלושת תלמידיו הראשיים של ר׳ ישראל, ורבו כינהו “הלמדן”. שני התלמידים האחרים היו ר׳ </w:t>
      </w:r>
      <w:proofErr w:type="spellStart"/>
      <w:r>
        <w:rPr>
          <w:rtl/>
        </w:rPr>
        <w:t>שמחה־זיסל</w:t>
      </w:r>
      <w:proofErr w:type="spellEnd"/>
      <w:r>
        <w:rPr>
          <w:rtl/>
        </w:rPr>
        <w:t xml:space="preserve"> זיו</w:t>
      </w:r>
      <w:bookmarkStart w:id="2358" w:name="_fnr1517"/>
      <w:r>
        <w:rPr>
          <w:rStyle w:val="a5"/>
        </w:rPr>
        <w:footnoteReference w:id="1520" w:customMarkFollows="0"/>
      </w:r>
      <w:bookmarkEnd w:id="2358"/>
      <w:r>
        <w:rPr>
          <w:rtl/>
        </w:rPr>
        <w:t xml:space="preserve"> ור׳ נפתלי אמסטרדם,</w:t>
      </w:r>
      <w:bookmarkStart w:id="2359" w:name="_fnr1518"/>
      <w:r>
        <w:rPr>
          <w:rStyle w:val="a5"/>
        </w:rPr>
        <w:footnoteReference w:id="1521" w:customMarkFollows="0"/>
      </w:r>
      <w:bookmarkEnd w:id="2359"/>
      <w:r>
        <w:rPr>
          <w:rtl/>
        </w:rPr>
        <w:t xml:space="preserve"> שר׳ ישראל כינה אותם “החכם” </w:t>
      </w:r>
      <w:proofErr w:type="spellStart"/>
      <w:r>
        <w:rPr>
          <w:rtl/>
        </w:rPr>
        <w:t>ו“החסיד</w:t>
      </w:r>
      <w:proofErr w:type="spellEnd"/>
      <w:r>
        <w:rPr>
          <w:rtl/>
        </w:rPr>
        <w:t>”, בהתאמה.</w:t>
      </w:r>
      <w:bookmarkStart w:id="2360" w:name="_fnr1519"/>
      <w:r>
        <w:rPr>
          <w:rStyle w:val="a5"/>
        </w:rPr>
        <w:footnoteReference w:id="1522" w:customMarkFollows="0"/>
      </w:r>
      <w:bookmarkEnd w:id="2360"/>
    </w:p>
    <w:p w14:paraId="6DD2D7FF" w14:textId="77777777" w:rsidR="00AB3647" w:rsidRDefault="00000000" w:rsidP="007923E9">
      <w:pPr>
        <w:spacing w:after="120" w:line="276" w:lineRule="auto"/>
        <w:ind w:firstLine="283"/>
        <w:jc w:val="both"/>
      </w:pPr>
      <w:r>
        <w:rPr>
          <w:rtl/>
        </w:rPr>
        <w:t xml:space="preserve">(הכינוי </w:t>
      </w:r>
      <w:proofErr w:type="spellStart"/>
      <w:r>
        <w:rPr>
          <w:rtl/>
        </w:rPr>
        <w:t>לר</w:t>
      </w:r>
      <w:proofErr w:type="spellEnd"/>
      <w:r>
        <w:rPr>
          <w:rtl/>
        </w:rPr>
        <w:t xml:space="preserve">׳ נפתלי </w:t>
      </w:r>
      <w:proofErr w:type="spellStart"/>
      <w:r>
        <w:rPr>
          <w:rtl/>
        </w:rPr>
        <w:t>שבשר״א</w:t>
      </w:r>
      <w:proofErr w:type="spellEnd"/>
      <w:r>
        <w:rPr>
          <w:rtl/>
        </w:rPr>
        <w:t xml:space="preserve">, “חסיד”, עדיף על זה שבספרו של כץ, “תנועת המוסר”, כרך ב, עמ׳ 25, “צדיק”, משום שמסתבר שר׳ ישראל השתמש במילים </w:t>
      </w:r>
      <w:proofErr w:type="spellStart"/>
      <w:r>
        <w:rPr>
          <w:rtl/>
        </w:rPr>
        <w:t>היידיות</w:t>
      </w:r>
      <w:proofErr w:type="spellEnd"/>
      <w:r>
        <w:rPr>
          <w:rtl/>
        </w:rPr>
        <w:t xml:space="preserve"> “</w:t>
      </w:r>
      <w:proofErr w:type="spellStart"/>
      <w:r>
        <w:rPr>
          <w:rtl/>
        </w:rPr>
        <w:t>קלוגער</w:t>
      </w:r>
      <w:proofErr w:type="spellEnd"/>
      <w:r>
        <w:rPr>
          <w:rtl/>
        </w:rPr>
        <w:t xml:space="preserve">” </w:t>
      </w:r>
      <w:proofErr w:type="spellStart"/>
      <w:r>
        <w:rPr>
          <w:rtl/>
        </w:rPr>
        <w:t>ו“פרומער</w:t>
      </w:r>
      <w:proofErr w:type="spellEnd"/>
      <w:r>
        <w:rPr>
          <w:rtl/>
        </w:rPr>
        <w:t xml:space="preserve">” לסבא מקלם ולרב אמסטרדם, בהתאמה, </w:t>
      </w:r>
      <w:proofErr w:type="spellStart"/>
      <w:r>
        <w:rPr>
          <w:rtl/>
        </w:rPr>
        <w:t>ו“פרומער</w:t>
      </w:r>
      <w:proofErr w:type="spellEnd"/>
      <w:r>
        <w:rPr>
          <w:rtl/>
        </w:rPr>
        <w:t xml:space="preserve">” מתורגם בדיוק רב יותר </w:t>
      </w:r>
      <w:proofErr w:type="spellStart"/>
      <w:r>
        <w:rPr>
          <w:rtl/>
        </w:rPr>
        <w:t>ל“חסיד</w:t>
      </w:r>
      <w:proofErr w:type="spellEnd"/>
      <w:r>
        <w:rPr>
          <w:rtl/>
        </w:rPr>
        <w:t xml:space="preserve">”/ירא שמים. בדומה לכך, </w:t>
      </w:r>
      <w:proofErr w:type="spellStart"/>
      <w:r>
        <w:rPr>
          <w:rtl/>
        </w:rPr>
        <w:t>אי־ההתאמה</w:t>
      </w:r>
      <w:proofErr w:type="spellEnd"/>
      <w:r>
        <w:rPr>
          <w:rtl/>
        </w:rPr>
        <w:t xml:space="preserve"> בין “שרידי אש”, עמ׳ רפה, לבין כץ, “תנועת המוסר”, כרך א, עמ׳ 142</w:t>
      </w:r>
      <w:bookmarkStart w:id="2361" w:name="_fnr1520"/>
      <w:bookmarkStart w:id="2362" w:name="pr_f_1431"/>
      <w:r>
        <w:rPr>
          <w:rStyle w:val="a5"/>
        </w:rPr>
        <w:footnoteReference w:id="1523" w:customMarkFollows="0"/>
      </w:r>
      <w:bookmarkEnd w:id="2361"/>
      <w:bookmarkEnd w:id="2362"/>
      <w:r>
        <w:rPr>
          <w:rtl/>
        </w:rPr>
        <w:t xml:space="preserve">, בעניין ההוראה המקורית של ר׳ </w:t>
      </w:r>
      <w:proofErr w:type="spellStart"/>
      <w:r>
        <w:rPr>
          <w:rtl/>
        </w:rPr>
        <w:t>יוסף־זונדל</w:t>
      </w:r>
      <w:proofErr w:type="spellEnd"/>
      <w:r>
        <w:rPr>
          <w:rtl/>
        </w:rPr>
        <w:t xml:space="preserve"> </w:t>
      </w:r>
      <w:proofErr w:type="spellStart"/>
      <w:r>
        <w:rPr>
          <w:rtl/>
        </w:rPr>
        <w:t>מסלנט</w:t>
      </w:r>
      <w:bookmarkStart w:id="2363" w:name="_fnr1521"/>
      <w:proofErr w:type="spellEnd"/>
      <w:r>
        <w:rPr>
          <w:rStyle w:val="a5"/>
        </w:rPr>
        <w:footnoteReference w:id="1524" w:customMarkFollows="0"/>
      </w:r>
      <w:bookmarkEnd w:id="2363"/>
      <w:r>
        <w:rPr>
          <w:rtl/>
        </w:rPr>
        <w:t xml:space="preserve"> לישראל </w:t>
      </w:r>
      <w:proofErr w:type="spellStart"/>
      <w:r>
        <w:rPr>
          <w:rtl/>
        </w:rPr>
        <w:lastRenderedPageBreak/>
        <w:t>סלנטר</w:t>
      </w:r>
      <w:proofErr w:type="spellEnd"/>
      <w:r>
        <w:rPr>
          <w:rtl/>
        </w:rPr>
        <w:t xml:space="preserve"> הצעיר, נובעת מתרגום שגוי של הציטוט ביידיש ששמע ר׳ ישראל מר׳ </w:t>
      </w:r>
      <w:proofErr w:type="spellStart"/>
      <w:r>
        <w:rPr>
          <w:rtl/>
        </w:rPr>
        <w:t>יוסף־זונדל</w:t>
      </w:r>
      <w:proofErr w:type="spellEnd"/>
      <w:r>
        <w:rPr>
          <w:rtl/>
        </w:rPr>
        <w:t xml:space="preserve"> ומסר לתלמידיו [ועבר בעל פה מר׳ נפתלי אמסטרדם למחבר “שרידי אש”</w:t>
      </w:r>
      <w:bookmarkStart w:id="2364" w:name="_fnr1522"/>
      <w:r>
        <w:rPr>
          <w:rStyle w:val="a5"/>
        </w:rPr>
        <w:footnoteReference w:id="1525" w:customMarkFollows="0"/>
      </w:r>
      <w:bookmarkEnd w:id="2364"/>
      <w:r>
        <w:rPr>
          <w:rtl/>
        </w:rPr>
        <w:t xml:space="preserve">]. בכץ מובאת הוראת ר׳ </w:t>
      </w:r>
      <w:proofErr w:type="spellStart"/>
      <w:r>
        <w:rPr>
          <w:rtl/>
        </w:rPr>
        <w:t>יוסף־זונדל</w:t>
      </w:r>
      <w:proofErr w:type="spellEnd"/>
      <w:r>
        <w:rPr>
          <w:rtl/>
        </w:rPr>
        <w:t xml:space="preserve"> כך: “למד מוסר ותהא ירא שמים”, ואילו </w:t>
      </w:r>
      <w:proofErr w:type="spellStart"/>
      <w:r>
        <w:rPr>
          <w:rtl/>
        </w:rPr>
        <w:t>ב“שרידי</w:t>
      </w:r>
      <w:proofErr w:type="spellEnd"/>
      <w:r>
        <w:rPr>
          <w:rtl/>
        </w:rPr>
        <w:t xml:space="preserve"> אש”: “למד מוסר והיית איש תם וישר באמת”. מה שאמר ר׳ </w:t>
      </w:r>
      <w:proofErr w:type="spellStart"/>
      <w:r>
        <w:rPr>
          <w:rtl/>
        </w:rPr>
        <w:t>יוסף־זונדל</w:t>
      </w:r>
      <w:proofErr w:type="spellEnd"/>
      <w:r>
        <w:rPr>
          <w:rtl/>
        </w:rPr>
        <w:t xml:space="preserve"> באמת היה ביידיש: “לערן מוסר </w:t>
      </w:r>
      <w:proofErr w:type="spellStart"/>
      <w:r>
        <w:rPr>
          <w:rtl/>
        </w:rPr>
        <w:t>ועסטו</w:t>
      </w:r>
      <w:proofErr w:type="spellEnd"/>
      <w:r>
        <w:rPr>
          <w:rtl/>
        </w:rPr>
        <w:t xml:space="preserve"> זיין איין </w:t>
      </w:r>
      <w:proofErr w:type="spellStart"/>
      <w:r>
        <w:rPr>
          <w:rtl/>
        </w:rPr>
        <w:t>ערליכער</w:t>
      </w:r>
      <w:proofErr w:type="spellEnd"/>
      <w:r>
        <w:rPr>
          <w:rtl/>
        </w:rPr>
        <w:t xml:space="preserve"> איד” [למד מוסר ותהיה יהודי ישר] – ואפשר להעבירו לעברית בדרכים שונות.</w:t>
      </w:r>
    </w:p>
    <w:p w14:paraId="4CB540D4" w14:textId="77777777" w:rsidR="00AB3647" w:rsidRDefault="00000000" w:rsidP="007923E9">
      <w:pPr>
        <w:spacing w:after="120" w:line="276" w:lineRule="auto"/>
        <w:ind w:firstLine="283"/>
        <w:jc w:val="both"/>
      </w:pPr>
      <w:r>
        <w:rPr>
          <w:rtl/>
        </w:rPr>
        <w:t xml:space="preserve">כל המכיר את הלשון </w:t>
      </w:r>
      <w:proofErr w:type="spellStart"/>
      <w:r>
        <w:rPr>
          <w:rtl/>
        </w:rPr>
        <w:t>היידית־ליטאית</w:t>
      </w:r>
      <w:proofErr w:type="spellEnd"/>
      <w:r>
        <w:rPr>
          <w:rtl/>
        </w:rPr>
        <w:t xml:space="preserve"> היה מתרגם זאת בפשטות: “למד מוסר ותהיה יהודי דתי,” משום שבליטא “</w:t>
      </w:r>
      <w:proofErr w:type="spellStart"/>
      <w:r>
        <w:rPr>
          <w:rtl/>
        </w:rPr>
        <w:t>ערליכער</w:t>
      </w:r>
      <w:proofErr w:type="spellEnd"/>
      <w:r>
        <w:rPr>
          <w:rtl/>
        </w:rPr>
        <w:t xml:space="preserve"> איד” היה המונח </w:t>
      </w:r>
      <w:proofErr w:type="spellStart"/>
      <w:r>
        <w:rPr>
          <w:rtl/>
        </w:rPr>
        <w:t>ל“יהודי</w:t>
      </w:r>
      <w:proofErr w:type="spellEnd"/>
      <w:r>
        <w:rPr>
          <w:rtl/>
        </w:rPr>
        <w:t xml:space="preserve"> דתי”; באותה חברה נחשבה היושרה לביטוי המובהק של יראת שמים. לפיכך, אמרתו של ר׳ </w:t>
      </w:r>
      <w:proofErr w:type="spellStart"/>
      <w:r>
        <w:rPr>
          <w:rtl/>
        </w:rPr>
        <w:t>יוסף־זונדל</w:t>
      </w:r>
      <w:proofErr w:type="spellEnd"/>
      <w:r>
        <w:rPr>
          <w:rtl/>
        </w:rPr>
        <w:t xml:space="preserve"> הייתה </w:t>
      </w:r>
      <w:r>
        <w:rPr>
          <w:b/>
          <w:bCs/>
          <w:rtl/>
        </w:rPr>
        <w:t>הטפה</w:t>
      </w:r>
      <w:r>
        <w:rPr>
          <w:rtl/>
        </w:rPr>
        <w:t xml:space="preserve"> בלבד ללמוד מוסר, ולא הוראה ש</w:t>
      </w:r>
      <w:r>
        <w:rPr>
          <w:b/>
          <w:bCs/>
          <w:rtl/>
        </w:rPr>
        <w:t>המוסר מביא</w:t>
      </w:r>
      <w:r>
        <w:rPr>
          <w:rtl/>
        </w:rPr>
        <w:t xml:space="preserve"> את האדם להיות ירא שמים, או תם וישר. בחמש מילותיו האחרונות הוסיף ר׳ </w:t>
      </w:r>
      <w:proofErr w:type="spellStart"/>
      <w:r>
        <w:rPr>
          <w:rtl/>
        </w:rPr>
        <w:t>יוסף־זונדל</w:t>
      </w:r>
      <w:proofErr w:type="spellEnd"/>
      <w:r>
        <w:rPr>
          <w:rtl/>
        </w:rPr>
        <w:t xml:space="preserve"> פשוט שבלי לימוד מוסר אין אדם יהודי דתי!)</w:t>
      </w:r>
      <w:bookmarkStart w:id="2365" w:name="_fnr1523"/>
      <w:r>
        <w:rPr>
          <w:rStyle w:val="a5"/>
        </w:rPr>
        <w:footnoteReference w:id="1526" w:customMarkFollows="0"/>
      </w:r>
      <w:bookmarkEnd w:id="2365"/>
    </w:p>
    <w:p w14:paraId="6084F422" w14:textId="77777777" w:rsidR="00AB3647" w:rsidRDefault="00000000" w:rsidP="007923E9">
      <w:pPr>
        <w:spacing w:after="120" w:line="276" w:lineRule="auto"/>
        <w:ind w:firstLine="283"/>
        <w:jc w:val="both"/>
      </w:pPr>
      <w:r>
        <w:rPr>
          <w:rtl/>
        </w:rPr>
        <w:t>אין צורך לומר שכל אחד משלושת התלמידים הצטיין גם בתכונות שעל שמן כונו השניים האחרים. ר׳ נפתלי אמסטרדם,</w:t>
      </w:r>
      <w:bookmarkStart w:id="2366" w:name="_fnr1524"/>
      <w:r>
        <w:rPr>
          <w:rStyle w:val="a5"/>
        </w:rPr>
        <w:footnoteReference w:id="1527" w:customMarkFollows="0"/>
      </w:r>
      <w:bookmarkEnd w:id="2366"/>
      <w:r>
        <w:rPr>
          <w:rtl/>
        </w:rPr>
        <w:t xml:space="preserve"> שכונה “החסיד”, כיהן כרב בכמה קהילות. בהיותו בהלסינקי חשש שמא </w:t>
      </w:r>
      <w:proofErr w:type="spellStart"/>
      <w:r>
        <w:rPr>
          <w:rtl/>
        </w:rPr>
        <w:t>פסקיו</w:t>
      </w:r>
      <w:proofErr w:type="spellEnd"/>
      <w:r>
        <w:rPr>
          <w:rtl/>
        </w:rPr>
        <w:t xml:space="preserve"> אינם נכונים, ולכן בדק אותם במכתבים שבועיים עם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הוא מצא שפסקי האחרון תאמו את שלו בכל המקרים, מלבד שאלה בודדת שבה נשאר ר׳ נפתלי מפקפק בפסקו של רב קובנה אף </w:t>
      </w:r>
      <w:r>
        <w:rPr>
          <w:b/>
          <w:bCs/>
          <w:rtl/>
        </w:rPr>
        <w:t>אחרי</w:t>
      </w:r>
      <w:r>
        <w:rPr>
          <w:rtl/>
        </w:rPr>
        <w:t xml:space="preserve"> שקיבל את תשובתו המפורטת של ר׳ </w:t>
      </w:r>
      <w:proofErr w:type="spellStart"/>
      <w:r>
        <w:rPr>
          <w:rtl/>
        </w:rPr>
        <w:t>יצחק־אלחנן</w:t>
      </w:r>
      <w:proofErr w:type="spellEnd"/>
      <w:r>
        <w:rPr>
          <w:rtl/>
        </w:rPr>
        <w:t xml:space="preserve"> </w:t>
      </w:r>
      <w:proofErr w:type="spellStart"/>
      <w:r>
        <w:rPr>
          <w:rtl/>
        </w:rPr>
        <w:t>ספקטור</w:t>
      </w:r>
      <w:proofErr w:type="spellEnd"/>
      <w:r>
        <w:rPr>
          <w:rtl/>
        </w:rPr>
        <w:t>.</w:t>
      </w:r>
      <w:bookmarkStart w:id="2367" w:name="_fnr1525"/>
      <w:r>
        <w:rPr>
          <w:rStyle w:val="a5"/>
        </w:rPr>
        <w:footnoteReference w:id="1528" w:customMarkFollows="0"/>
      </w:r>
      <w:bookmarkEnd w:id="2367"/>
    </w:p>
    <w:p w14:paraId="6796A480" w14:textId="77777777" w:rsidR="00AB3647" w:rsidRDefault="00000000" w:rsidP="007923E9">
      <w:pPr>
        <w:spacing w:after="120" w:line="276" w:lineRule="auto"/>
        <w:ind w:firstLine="283"/>
        <w:jc w:val="both"/>
      </w:pPr>
      <w:r>
        <w:rPr>
          <w:rtl/>
        </w:rPr>
        <w:t xml:space="preserve">ר׳ </w:t>
      </w:r>
      <w:proofErr w:type="spellStart"/>
      <w:r>
        <w:rPr>
          <w:rtl/>
        </w:rPr>
        <w:t>שמחה־זיסל</w:t>
      </w:r>
      <w:proofErr w:type="spellEnd"/>
      <w:r>
        <w:rPr>
          <w:rtl/>
        </w:rPr>
        <w:t xml:space="preserve">, שכונה “החכם”, היה המועמד שנבחר תחילה לרבנות סנט פטרבורג, והוא העביר את החוזה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w:t>
      </w:r>
      <w:bookmarkStart w:id="2368" w:name="_fnr1526"/>
      <w:r>
        <w:rPr>
          <w:rStyle w:val="a5"/>
        </w:rPr>
        <w:footnoteReference w:id="1529" w:customMarkFollows="0"/>
      </w:r>
      <w:bookmarkEnd w:id="2368"/>
      <w:r>
        <w:rPr>
          <w:rtl/>
        </w:rPr>
        <w:t xml:space="preserve"> גם ר׳ </w:t>
      </w:r>
      <w:proofErr w:type="spellStart"/>
      <w:r>
        <w:rPr>
          <w:rtl/>
        </w:rPr>
        <w:t>נתן־צבי</w:t>
      </w:r>
      <w:proofErr w:type="spellEnd"/>
      <w:r>
        <w:rPr>
          <w:rtl/>
        </w:rPr>
        <w:t xml:space="preserve"> </w:t>
      </w:r>
      <w:proofErr w:type="spellStart"/>
      <w:r>
        <w:rPr>
          <w:rtl/>
        </w:rPr>
        <w:t>פינקל</w:t>
      </w:r>
      <w:proofErr w:type="spellEnd"/>
      <w:r>
        <w:rPr>
          <w:rtl/>
        </w:rPr>
        <w:t xml:space="preserve"> כתב על הסבא מקלם לאחר מותו שהיה “מעיין המתגבר וכו׳ בהלכה ופלפולה של תורה הערוך מערכות גדולות של כמה שעות לפני גדולים וגאונים”.</w:t>
      </w:r>
      <w:bookmarkStart w:id="2369" w:name="_fnr1527"/>
      <w:r>
        <w:rPr>
          <w:rStyle w:val="a5"/>
        </w:rPr>
        <w:footnoteReference w:id="1530" w:customMarkFollows="0"/>
      </w:r>
      <w:bookmarkEnd w:id="2369"/>
    </w:p>
    <w:p w14:paraId="1931AEC6" w14:textId="77777777" w:rsidR="00AB3647" w:rsidRDefault="00000000" w:rsidP="007923E9">
      <w:pPr>
        <w:spacing w:after="120" w:line="276" w:lineRule="auto"/>
        <w:ind w:firstLine="283"/>
        <w:jc w:val="both"/>
      </w:pPr>
      <w:r>
        <w:rPr>
          <w:rtl/>
        </w:rPr>
        <w:t xml:space="preserve">השווה גם את ההקדמה </w:t>
      </w:r>
      <w:proofErr w:type="spellStart"/>
      <w:r>
        <w:rPr>
          <w:rtl/>
        </w:rPr>
        <w:t>ל“כתבי</w:t>
      </w:r>
      <w:proofErr w:type="spellEnd"/>
      <w:r>
        <w:rPr>
          <w:rtl/>
        </w:rPr>
        <w:t xml:space="preserve"> הסבא”, שלפיה אמר ר׳ חיים </w:t>
      </w:r>
      <w:proofErr w:type="spellStart"/>
      <w:r>
        <w:rPr>
          <w:rtl/>
        </w:rPr>
        <w:t>סולובייצ׳יק</w:t>
      </w:r>
      <w:proofErr w:type="spellEnd"/>
      <w:r>
        <w:rPr>
          <w:rtl/>
        </w:rPr>
        <w:t xml:space="preserve">: “האימה של הגדלות נראית </w:t>
      </w:r>
      <w:proofErr w:type="spellStart"/>
      <w:r>
        <w:rPr>
          <w:rtl/>
        </w:rPr>
        <w:t>בהסבא</w:t>
      </w:r>
      <w:proofErr w:type="spellEnd"/>
      <w:r>
        <w:rPr>
          <w:rtl/>
        </w:rPr>
        <w:t xml:space="preserve"> מקלם.”</w:t>
      </w:r>
      <w:bookmarkStart w:id="2370" w:name="_fnr1528"/>
      <w:r>
        <w:rPr>
          <w:rStyle w:val="a5"/>
        </w:rPr>
        <w:footnoteReference w:id="1531" w:customMarkFollows="0"/>
      </w:r>
      <w:bookmarkEnd w:id="2370"/>
      <w:r>
        <w:rPr>
          <w:rtl/>
        </w:rPr>
        <w:t xml:space="preserve"> מאחר שר׳ חיים אינו בעל מוסר,</w:t>
      </w:r>
      <w:bookmarkStart w:id="2371" w:name="_fnr1529"/>
      <w:r>
        <w:rPr>
          <w:rStyle w:val="a5"/>
        </w:rPr>
        <w:footnoteReference w:id="1532" w:customMarkFollows="0"/>
      </w:r>
      <w:bookmarkEnd w:id="2371"/>
      <w:r>
        <w:rPr>
          <w:rtl/>
        </w:rPr>
        <w:t xml:space="preserve"> הוא ודאי מתייחס </w:t>
      </w:r>
      <w:r>
        <w:rPr>
          <w:rtl/>
        </w:rPr>
        <w:lastRenderedPageBreak/>
        <w:t xml:space="preserve">לעליונותו של ר׳ </w:t>
      </w:r>
      <w:proofErr w:type="spellStart"/>
      <w:r>
        <w:rPr>
          <w:rtl/>
        </w:rPr>
        <w:t>שמחה־זיסל</w:t>
      </w:r>
      <w:proofErr w:type="spellEnd"/>
      <w:r>
        <w:rPr>
          <w:rtl/>
        </w:rPr>
        <w:t xml:space="preserve"> בידיעת התורה בכלל. זה תואם את מה שמסר ר׳ </w:t>
      </w:r>
      <w:proofErr w:type="spellStart"/>
      <w:r>
        <w:rPr>
          <w:rtl/>
        </w:rPr>
        <w:t>יעקב־יצחק</w:t>
      </w:r>
      <w:proofErr w:type="spellEnd"/>
      <w:r>
        <w:rPr>
          <w:rtl/>
        </w:rPr>
        <w:t xml:space="preserve"> </w:t>
      </w:r>
      <w:proofErr w:type="spellStart"/>
      <w:r>
        <w:rPr>
          <w:rtl/>
        </w:rPr>
        <w:t>רודרמן</w:t>
      </w:r>
      <w:proofErr w:type="spellEnd"/>
      <w:r>
        <w:rPr>
          <w:rtl/>
        </w:rPr>
        <w:t>,</w:t>
      </w:r>
      <w:bookmarkStart w:id="2372" w:name="_fnr1530"/>
      <w:r>
        <w:rPr>
          <w:rStyle w:val="a5"/>
        </w:rPr>
        <w:footnoteReference w:id="1533" w:customMarkFollows="0"/>
      </w:r>
      <w:bookmarkEnd w:id="2372"/>
      <w:r>
        <w:rPr>
          <w:rtl/>
        </w:rPr>
        <w:t xml:space="preserve"> שר׳ לייזר גורדון הספיד את ר׳ </w:t>
      </w:r>
      <w:proofErr w:type="spellStart"/>
      <w:r>
        <w:rPr>
          <w:rtl/>
        </w:rPr>
        <w:t>שמחה־זיסל</w:t>
      </w:r>
      <w:proofErr w:type="spellEnd"/>
      <w:r>
        <w:rPr>
          <w:rtl/>
        </w:rPr>
        <w:t xml:space="preserve"> באמרו שהמנוח ידע מסכת בבא מציעא טוב ממנו.</w:t>
      </w:r>
    </w:p>
    <w:p w14:paraId="220AA777" w14:textId="77777777" w:rsidR="00AB3647" w:rsidRDefault="00000000" w:rsidP="007923E9">
      <w:pPr>
        <w:spacing w:after="120" w:line="276" w:lineRule="auto"/>
        <w:ind w:firstLine="283"/>
        <w:jc w:val="both"/>
      </w:pPr>
      <w:r>
        <w:rPr>
          <w:rtl/>
        </w:rPr>
        <w:t xml:space="preserve">[לפי ר׳ </w:t>
      </w:r>
      <w:proofErr w:type="spellStart"/>
      <w:r>
        <w:rPr>
          <w:rtl/>
        </w:rPr>
        <w:t>אהרן־דוד</w:t>
      </w:r>
      <w:proofErr w:type="spellEnd"/>
      <w:r>
        <w:rPr>
          <w:rtl/>
        </w:rPr>
        <w:t xml:space="preserve"> בורק, תלמידו של ר׳ לייזר,</w:t>
      </w:r>
      <w:bookmarkStart w:id="2373" w:name="_fnr1531"/>
      <w:r>
        <w:rPr>
          <w:rStyle w:val="a5"/>
        </w:rPr>
        <w:footnoteReference w:id="1534" w:customMarkFollows="0"/>
      </w:r>
      <w:bookmarkEnd w:id="2373"/>
      <w:r>
        <w:rPr>
          <w:rtl/>
        </w:rPr>
        <w:t xml:space="preserve"> למד ר׳ לייזר גורדון וחזר על מסכת בבא מציעא “כל ימי חייו, ואחרי שהיה ראש ישיבה </w:t>
      </w:r>
      <w:proofErr w:type="spellStart"/>
      <w:r>
        <w:rPr>
          <w:rtl/>
        </w:rPr>
        <w:t>בטלז</w:t>
      </w:r>
      <w:proofErr w:type="spellEnd"/>
      <w:r>
        <w:rPr>
          <w:rtl/>
        </w:rPr>
        <w:t xml:space="preserve"> כמה עשורים אמר בענוותנותו שאינו יודע מסכת זו וצריך ללמוד אותה לפחות עוד מאה שנה, ואז אולי ידע אותה קצת”. לפיכך, כשאמר שהסבא מקלם ידע בבא מציעא טוב ממנו, הייתה זו דרכו של ר׳ לייזר גורדון להודות שהסבא מקלם היה תלמיד חכם גדול </w:t>
      </w:r>
      <w:r>
        <w:rPr>
          <w:b/>
          <w:bCs/>
          <w:rtl/>
        </w:rPr>
        <w:t>ממנו</w:t>
      </w:r>
      <w:r>
        <w:rPr>
          <w:rtl/>
        </w:rPr>
        <w:t>!]</w:t>
      </w:r>
    </w:p>
    <w:p w14:paraId="0DC7494A" w14:textId="77777777" w:rsidR="00AB3647" w:rsidRDefault="00000000" w:rsidP="007923E9">
      <w:pPr>
        <w:spacing w:after="120" w:line="276" w:lineRule="auto"/>
        <w:ind w:firstLine="283"/>
        <w:jc w:val="both"/>
      </w:pPr>
      <w:r>
        <w:rPr>
          <w:rtl/>
        </w:rPr>
        <w:t>כץ, “תנועת המוסר”, כרך ב</w:t>
      </w:r>
      <w:bookmarkStart w:id="2374" w:name="_fnr1532"/>
      <w:r>
        <w:rPr>
          <w:rStyle w:val="a5"/>
        </w:rPr>
        <w:footnoteReference w:id="1535" w:customMarkFollows="0"/>
      </w:r>
      <w:bookmarkEnd w:id="2374"/>
      <w:r>
        <w:rPr>
          <w:rtl/>
        </w:rPr>
        <w:t xml:space="preserve">, רושם גם שר׳ לייזר גורדון אמר בהספדו שהמנוח ידע שלושה סדרים של הש״ס עם רש״י ותוספות בעל פה, ואת ארבעת חלקי השולחן ערוך עם כל סעיף קטן. </w:t>
      </w:r>
      <w:proofErr w:type="spellStart"/>
      <w:r>
        <w:rPr>
          <w:rtl/>
        </w:rPr>
        <w:t>רבינר</w:t>
      </w:r>
      <w:proofErr w:type="spellEnd"/>
      <w:r>
        <w:rPr>
          <w:rtl/>
        </w:rPr>
        <w:t>, “הגאון רבי אליעזר גורדון”</w:t>
      </w:r>
      <w:bookmarkStart w:id="2375" w:name="_fnr1533"/>
      <w:r>
        <w:rPr>
          <w:rStyle w:val="a5"/>
        </w:rPr>
        <w:footnoteReference w:id="1536" w:customMarkFollows="0"/>
      </w:r>
      <w:bookmarkEnd w:id="2375"/>
      <w:r>
        <w:rPr>
          <w:rtl/>
        </w:rPr>
        <w:t xml:space="preserve"> מצטט מר׳ אפרים </w:t>
      </w:r>
      <w:proofErr w:type="spellStart"/>
      <w:r>
        <w:rPr>
          <w:rtl/>
        </w:rPr>
        <w:t>בורודיאנסקי</w:t>
      </w:r>
      <w:proofErr w:type="spellEnd"/>
      <w:r>
        <w:rPr>
          <w:rtl/>
        </w:rPr>
        <w:t xml:space="preserve"> גרסה מפורטת בהרבה: “שמעתי מהרבה אישי תורה שנכחו בהלוויה של הסבא מקלם שר׳ לייזר גורדון קרא לו ‘רבי’ ומנה את שבחו, דהיינו, שידע את הש״ס היטב עם רוב הראשונים המפורסמים ואת ארבעת חלקי השולחן ערוך עם נושאי הכלים, וגם היה בקי בתלמוד ירושלמי. כשסיים ר׳ לייזר את ההספד והתחילה הלוויה לנוע, הזכירו לו שאמר פעם שר׳ </w:t>
      </w:r>
      <w:proofErr w:type="spellStart"/>
      <w:r>
        <w:rPr>
          <w:rtl/>
        </w:rPr>
        <w:t>שמחה־זיסל</w:t>
      </w:r>
      <w:proofErr w:type="spellEnd"/>
      <w:r>
        <w:rPr>
          <w:rtl/>
        </w:rPr>
        <w:t xml:space="preserve"> יודע גם </w:t>
      </w:r>
      <w:proofErr w:type="spellStart"/>
      <w:r>
        <w:rPr>
          <w:rtl/>
        </w:rPr>
        <w:t>תוספתא</w:t>
      </w:r>
      <w:proofErr w:type="spellEnd"/>
      <w:r>
        <w:rPr>
          <w:rtl/>
        </w:rPr>
        <w:t>, ספרא, ספרי ומכילתא. ר׳ לייזר עצר את התהלוכה, עלה שוב לבימה, ואמר ששכח להזכיר שהמנוח הגדול היה בקי גם בהם.”</w:t>
      </w:r>
    </w:p>
    <w:p w14:paraId="3153532E" w14:textId="77777777" w:rsidR="00AB3647" w:rsidRDefault="00000000" w:rsidP="007923E9">
      <w:pPr>
        <w:spacing w:after="120" w:line="276" w:lineRule="auto"/>
        <w:ind w:firstLine="283"/>
        <w:jc w:val="both"/>
      </w:pPr>
      <w:r>
        <w:rPr>
          <w:rtl/>
        </w:rPr>
        <w:t>והשווה גם שם</w:t>
      </w:r>
      <w:bookmarkStart w:id="2376" w:name="_fnr1534"/>
      <w:r>
        <w:rPr>
          <w:rStyle w:val="a5"/>
        </w:rPr>
        <w:footnoteReference w:id="1537" w:customMarkFollows="0"/>
      </w:r>
      <w:bookmarkEnd w:id="2376"/>
      <w:r>
        <w:rPr>
          <w:rtl/>
        </w:rPr>
        <w:t xml:space="preserve">, שבזמן שר׳ לייזר גורדון היה רב </w:t>
      </w:r>
      <w:proofErr w:type="spellStart"/>
      <w:r>
        <w:rPr>
          <w:rtl/>
        </w:rPr>
        <w:t>בקלם</w:t>
      </w:r>
      <w:proofErr w:type="spellEnd"/>
      <w:r>
        <w:rPr>
          <w:rtl/>
        </w:rPr>
        <w:t xml:space="preserve">, “ביקרו הסבא מקלם בכל בוקר שבת אחרי התפילה ודנו בדברי הלכה במשך שעות רבות”. דבר זה ודאי אירע במשך חלק גדול מתשע או עשר שנות כהונתו של ר׳ לייזר גורדון </w:t>
      </w:r>
      <w:proofErr w:type="spellStart"/>
      <w:r>
        <w:rPr>
          <w:rtl/>
        </w:rPr>
        <w:t>בקלם</w:t>
      </w:r>
      <w:proofErr w:type="spellEnd"/>
      <w:r>
        <w:rPr>
          <w:rtl/>
        </w:rPr>
        <w:t xml:space="preserve">, ולפני שפתח הסבא מקלם את בית ספרו </w:t>
      </w:r>
      <w:proofErr w:type="spellStart"/>
      <w:r>
        <w:rPr>
          <w:rtl/>
        </w:rPr>
        <w:t>בגרובין</w:t>
      </w:r>
      <w:bookmarkStart w:id="2377" w:name="_fnr1535"/>
      <w:proofErr w:type="spellEnd"/>
      <w:r>
        <w:rPr>
          <w:rStyle w:val="a5"/>
        </w:rPr>
        <w:footnoteReference w:id="1538" w:customMarkFollows="0"/>
      </w:r>
      <w:bookmarkEnd w:id="2377"/>
      <w:r>
        <w:rPr>
          <w:rtl/>
        </w:rPr>
        <w:t xml:space="preserve"> – ואולי אף אחר כך, בביקוריו של הסבא מקלם בביתו </w:t>
      </w:r>
      <w:proofErr w:type="spellStart"/>
      <w:r>
        <w:rPr>
          <w:rtl/>
        </w:rPr>
        <w:t>שבקלם</w:t>
      </w:r>
      <w:proofErr w:type="spellEnd"/>
      <w:r>
        <w:rPr>
          <w:rtl/>
        </w:rPr>
        <w:t>. יש גם שלוש תשובות</w:t>
      </w:r>
      <w:bookmarkStart w:id="2378" w:name="_fnr1536"/>
      <w:r>
        <w:rPr>
          <w:rStyle w:val="a5"/>
        </w:rPr>
        <w:footnoteReference w:id="1539" w:customMarkFollows="0"/>
      </w:r>
      <w:bookmarkEnd w:id="2378"/>
      <w:r>
        <w:rPr>
          <w:rtl/>
        </w:rPr>
        <w:t xml:space="preserve"> </w:t>
      </w:r>
      <w:proofErr w:type="spellStart"/>
      <w:r>
        <w:rPr>
          <w:rtl/>
        </w:rPr>
        <w:t>לר</w:t>
      </w:r>
      <w:proofErr w:type="spellEnd"/>
      <w:r>
        <w:rPr>
          <w:rtl/>
        </w:rPr>
        <w:t xml:space="preserve">׳ </w:t>
      </w:r>
      <w:proofErr w:type="spellStart"/>
      <w:r>
        <w:rPr>
          <w:rtl/>
        </w:rPr>
        <w:t>שמחה־זיסל</w:t>
      </w:r>
      <w:proofErr w:type="spellEnd"/>
      <w:r>
        <w:rPr>
          <w:rtl/>
        </w:rPr>
        <w:t xml:space="preserve"> </w:t>
      </w:r>
      <w:proofErr w:type="spellStart"/>
      <w:r>
        <w:rPr>
          <w:rtl/>
        </w:rPr>
        <w:t>ב“שו״ת</w:t>
      </w:r>
      <w:proofErr w:type="spellEnd"/>
      <w:r>
        <w:rPr>
          <w:rtl/>
        </w:rPr>
        <w:t xml:space="preserve"> זכר </w:t>
      </w:r>
      <w:proofErr w:type="spellStart"/>
      <w:r>
        <w:rPr>
          <w:rtl/>
        </w:rPr>
        <w:t>יהוסף</w:t>
      </w:r>
      <w:proofErr w:type="spellEnd"/>
      <w:r>
        <w:rPr>
          <w:rtl/>
        </w:rPr>
        <w:t xml:space="preserve">” מאת הגאון הגדול, רב שאוול</w:t>
      </w:r>
      <w:proofErr w:type="spellStart"/>
      <w:r>
        <w:rPr>
          <w:rtl/>
        </w:rPr>
        <w:t xml:space="preserve"/>
      </w:r>
      <w:proofErr w:type="spellEnd"/>
      <w:r>
        <w:rPr>
          <w:rtl/>
        </w:rPr>
        <w:t xml:space="preserve">, ר׳ </w:t>
      </w:r>
      <w:proofErr w:type="spellStart"/>
      <w:r>
        <w:rPr>
          <w:rtl/>
        </w:rPr>
        <w:t>יוסף־זכריה</w:t>
      </w:r>
      <w:proofErr w:type="spellEnd"/>
      <w:r>
        <w:rPr>
          <w:rtl/>
        </w:rPr>
        <w:t xml:space="preserve"> שטרן.</w:t>
      </w:r>
      <w:bookmarkStart w:id="2379" w:name="_fnr1537"/>
      <w:r>
        <w:rPr>
          <w:rStyle w:val="a5"/>
        </w:rPr>
        <w:footnoteReference w:id="1540" w:customMarkFollows="0"/>
      </w:r>
      <w:bookmarkEnd w:id="2379"/>
    </w:p>
    <w:p w14:paraId="64AAE77F" w14:textId="77777777" w:rsidR="00AB3647" w:rsidRDefault="00000000" w:rsidP="007923E9">
      <w:pPr>
        <w:spacing w:after="120" w:line="276" w:lineRule="auto"/>
        <w:ind w:firstLine="283"/>
        <w:jc w:val="both"/>
      </w:pPr>
      <w:r>
        <w:rPr>
          <w:rtl/>
        </w:rPr>
        <w:t>השווה גם “פליטת סופרים” מאת פלטיאל בירנבוים,</w:t>
      </w:r>
      <w:bookmarkStart w:id="2380" w:name="_fnr1538"/>
      <w:r>
        <w:rPr>
          <w:rStyle w:val="a5"/>
        </w:rPr>
        <w:footnoteReference w:id="1541" w:customMarkFollows="0"/>
      </w:r>
      <w:bookmarkEnd w:id="2380"/>
      <w:r>
        <w:rPr>
          <w:rtl/>
        </w:rPr>
        <w:t xml:space="preserve"> המתאר את הסבא מקלם תיאור זר לאופיו ושגוי בעליל. הוא טוען שהסבא מקלם השתדל תמיד להיראות כאדם פשוט ביותר והתנגד שיקראו לו “רב”. אחרי התפילה היה אומר תהלים, ורק כשבית המדרש התרוקן מאנשים היה מוציא כרך גמרא, וכשמישהו נכנס הסתיר את הגמרא וחזר לתהלים. בירנבוים </w:t>
      </w:r>
      <w:r>
        <w:rPr>
          <w:rtl/>
        </w:rPr>
        <w:lastRenderedPageBreak/>
        <w:t xml:space="preserve">ודאי בלבל את הסבא מקלם עם ר׳ </w:t>
      </w:r>
      <w:proofErr w:type="spellStart"/>
      <w:r>
        <w:rPr>
          <w:rtl/>
        </w:rPr>
        <w:t>אבהל׳ה</w:t>
      </w:r>
      <w:proofErr w:type="spellEnd"/>
      <w:r>
        <w:rPr>
          <w:rtl/>
        </w:rPr>
        <w:t xml:space="preserve"> מקרוז, שחי מאה שנה שלמה קודם לכן. צאצאו בן זמננו, ר׳ ישראל </w:t>
      </w:r>
      <w:proofErr w:type="spellStart"/>
      <w:r>
        <w:rPr>
          <w:rtl/>
        </w:rPr>
        <w:t>שורין</w:t>
      </w:r>
      <w:proofErr w:type="spellEnd"/>
      <w:r>
        <w:rPr>
          <w:rtl/>
        </w:rPr>
        <w:t xml:space="preserve">, ייחס </w:t>
      </w:r>
      <w:proofErr w:type="spellStart"/>
      <w:r>
        <w:rPr>
          <w:rtl/>
        </w:rPr>
        <w:t>לר</w:t>
      </w:r>
      <w:proofErr w:type="spellEnd"/>
      <w:r>
        <w:rPr>
          <w:rtl/>
        </w:rPr>
        <w:t xml:space="preserve">׳ </w:t>
      </w:r>
      <w:proofErr w:type="spellStart"/>
      <w:r>
        <w:rPr>
          <w:rtl/>
        </w:rPr>
        <w:t>אבהל׳ה</w:t>
      </w:r>
      <w:proofErr w:type="spellEnd"/>
      <w:r>
        <w:rPr>
          <w:rtl/>
        </w:rPr>
        <w:t xml:space="preserve"> התנהגות זו בדיוק.</w:t>
      </w:r>
      <w:bookmarkStart w:id="2381" w:name="_fnr1539"/>
      <w:r>
        <w:rPr>
          <w:rStyle w:val="a5"/>
        </w:rPr>
        <w:footnoteReference w:id="1542" w:customMarkFollows="0"/>
      </w:r>
      <w:bookmarkEnd w:id="2381"/>
    </w:p>
    <w:p w14:paraId="0B7FE089"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מסר גם על המעשה המסופר </w:t>
      </w:r>
      <w:proofErr w:type="spellStart"/>
      <w:r>
        <w:rPr>
          <w:rtl/>
        </w:rPr>
        <w:t>ב“הגאון</w:t>
      </w:r>
      <w:proofErr w:type="spellEnd"/>
      <w:r>
        <w:rPr>
          <w:rtl/>
        </w:rPr>
        <w:t xml:space="preserve"> החסיד </w:t>
      </w:r>
      <w:proofErr w:type="spellStart"/>
      <w:r>
        <w:rPr>
          <w:rtl/>
        </w:rPr>
        <w:t>מוילנא</w:t>
      </w:r>
      <w:proofErr w:type="spellEnd"/>
      <w:r>
        <w:rPr>
          <w:rtl/>
        </w:rPr>
        <w:t xml:space="preserve">” מאת בצלאל </w:t>
      </w:r>
      <w:proofErr w:type="spellStart"/>
      <w:r>
        <w:rPr>
          <w:rtl/>
        </w:rPr>
        <w:t>לנדוי</w:t>
      </w:r>
      <w:proofErr w:type="spellEnd"/>
      <w:r>
        <w:rPr>
          <w:rtl/>
        </w:rPr>
        <w:t>,</w:t>
      </w:r>
      <w:bookmarkStart w:id="2382" w:name="_fnr1540"/>
      <w:r>
        <w:rPr>
          <w:rStyle w:val="a5"/>
        </w:rPr>
        <w:footnoteReference w:id="1543" w:customMarkFollows="0"/>
      </w:r>
      <w:bookmarkEnd w:id="2382"/>
      <w:r>
        <w:rPr>
          <w:rtl/>
        </w:rPr>
        <w:t xml:space="preserve"> על “צדיק נסתר ר׳ לייב”, שגדלותו התגלתה כשהגאון מווילנה שלח לו הזמנה חתומה וסודית להצטרף אליו במסעו המתוכנן לארץ ישראל.</w:t>
      </w:r>
      <w:bookmarkStart w:id="2383" w:name="_fnr1541"/>
      <w:r>
        <w:rPr>
          <w:rStyle w:val="a5"/>
        </w:rPr>
        <w:footnoteReference w:id="1544" w:customMarkFollows="0"/>
      </w:r>
      <w:bookmarkEnd w:id="2383"/>
      <w:r>
        <w:rPr>
          <w:rtl/>
        </w:rPr>
        <w:t xml:space="preserve"> לדבריו, מעשה זה אירע באמת עם ר׳ </w:t>
      </w:r>
      <w:proofErr w:type="spellStart"/>
      <w:r>
        <w:rPr>
          <w:rtl/>
        </w:rPr>
        <w:t>אבהל׳ה</w:t>
      </w:r>
      <w:proofErr w:type="spellEnd"/>
      <w:r>
        <w:rPr>
          <w:rtl/>
        </w:rPr>
        <w:t xml:space="preserve">. הוא לא השליך את מכתב הגאון מווילנה לתנור שעליו עבד בזיקוק יי״ש, כמו בסיפור המודפס, אלא הכניסו לכיסו – עיסוקו של ר׳ </w:t>
      </w:r>
      <w:proofErr w:type="spellStart"/>
      <w:r>
        <w:rPr>
          <w:rtl/>
        </w:rPr>
        <w:t>אבהל׳ה</w:t>
      </w:r>
      <w:proofErr w:type="spellEnd"/>
      <w:r>
        <w:rPr>
          <w:rtl/>
        </w:rPr>
        <w:t xml:space="preserve"> היה טחינת גריסים. השווה גם שם</w:t>
      </w:r>
      <w:bookmarkStart w:id="2384" w:name="_fnr1542"/>
      <w:r>
        <w:rPr>
          <w:rStyle w:val="a5"/>
        </w:rPr>
        <w:footnoteReference w:id="1545" w:customMarkFollows="0"/>
      </w:r>
      <w:bookmarkEnd w:id="2384"/>
      <w:r>
        <w:rPr>
          <w:rtl/>
        </w:rPr>
        <w:t xml:space="preserve">, המצטט את ר׳ אריה לוין, המייחס אף הוא את הסיפור על ר׳ לייב </w:t>
      </w:r>
      <w:proofErr w:type="spellStart"/>
      <w:r>
        <w:rPr>
          <w:rtl/>
        </w:rPr>
        <w:t>לר</w:t>
      </w:r>
      <w:proofErr w:type="spellEnd"/>
      <w:r>
        <w:rPr>
          <w:rtl/>
        </w:rPr>
        <w:t xml:space="preserve">׳ </w:t>
      </w:r>
      <w:proofErr w:type="spellStart"/>
      <w:r>
        <w:rPr>
          <w:rtl/>
        </w:rPr>
        <w:t>אבהל׳ה</w:t>
      </w:r>
      <w:proofErr w:type="spellEnd"/>
      <w:r>
        <w:rPr>
          <w:rtl/>
        </w:rPr>
        <w:t>.</w:t>
      </w:r>
    </w:p>
    <w:p w14:paraId="43D5A2BD" w14:textId="5F2E63FC" w:rsidR="00AB3647" w:rsidRDefault="00000000" w:rsidP="007923E9">
      <w:pPr>
        <w:spacing w:after="120" w:line="276" w:lineRule="auto"/>
        <w:ind w:firstLine="283"/>
        <w:jc w:val="both"/>
      </w:pPr>
      <w:r>
        <w:rPr>
          <w:rtl/>
        </w:rPr>
        <w:t xml:space="preserve">לעומת זאת, “שם הגדולים השלישי” מאת משה </w:t>
      </w:r>
      <w:proofErr w:type="spellStart"/>
      <w:r>
        <w:rPr>
          <w:rtl/>
        </w:rPr>
        <w:t>מארקאוויץ</w:t>
      </w:r>
      <w:bookmarkStart w:id="2385" w:name="_fnr1543"/>
      <w:proofErr w:type="spellEnd"/>
      <w:r>
        <w:rPr>
          <w:rStyle w:val="a5"/>
        </w:rPr>
        <w:footnoteReference w:id="1546" w:customMarkFollows="0"/>
      </w:r>
      <w:bookmarkEnd w:id="2385"/>
      <w:r>
        <w:rPr>
          <w:rtl/>
        </w:rPr>
        <w:t xml:space="preserve"> רושם שגדלותו של ר׳ </w:t>
      </w:r>
      <w:proofErr w:type="spellStart"/>
      <w:r>
        <w:rPr>
          <w:rtl/>
        </w:rPr>
        <w:t>אבהל׳ה</w:t>
      </w:r>
      <w:proofErr w:type="spellEnd"/>
      <w:r>
        <w:rPr>
          <w:rtl/>
        </w:rPr>
        <w:t xml:space="preserve"> התגלתה במקרה לתושבי קרוז, משום ששליח הביא לפניו שאלה הלכתית – לא מהגאון מווילנה, אלא מברודי שבגליציה. הוא מספר גם שאחר כך חדל ר׳ </w:t>
      </w:r>
      <w:proofErr w:type="spellStart"/>
      <w:r>
        <w:rPr>
          <w:rtl/>
        </w:rPr>
        <w:t>אבהל׳ה</w:t>
      </w:r>
      <w:proofErr w:type="spellEnd"/>
      <w:r>
        <w:rPr>
          <w:rtl/>
        </w:rPr>
        <w:t xml:space="preserve"> להסתיר את גדלותו, ור׳ רפאל, לימים רב המבורג,</w:t>
      </w:r>
      <w:bookmarkStart w:id="2386" w:name="_fnr1544"/>
      <w:r>
        <w:rPr>
          <w:rStyle w:val="a5"/>
        </w:rPr>
        <w:footnoteReference w:id="1547" w:customMarkFollows="0"/>
      </w:r>
      <w:bookmarkEnd w:id="2386"/>
      <w:r>
        <w:rPr>
          <w:rtl/>
        </w:rPr>
        <w:t xml:space="preserve"> נעשה לאחד מתלמידיו. מסופר שקברו היה מקום תפילה עד שלא ניתן עוד לאתרו – דבר שהיה “פלא בעיני זקני העיר”. ר׳ ישראל </w:t>
      </w:r>
      <w:proofErr w:type="spellStart"/>
      <w:r>
        <w:rPr>
          <w:rtl/>
        </w:rPr>
        <w:t>שורין</w:t>
      </w:r>
      <w:proofErr w:type="spellEnd"/>
      <w:r>
        <w:rPr>
          <w:rtl/>
        </w:rPr>
        <w:t xml:space="preserve"> הוסיף שהקבר היה בעיירת הולדתו </w:t>
      </w:r>
      <w:proofErr w:type="spellStart"/>
      <w:r>
        <w:rPr>
          <w:rtl/>
        </w:rPr>
        <w:t>ריטובה</w:t>
      </w:r>
      <w:proofErr w:type="spellEnd"/>
      <w:r>
        <w:rPr>
          <w:rtl/>
        </w:rPr>
        <w:t xml:space="preserve">, ושהיה אתר עלייה לרגל בכל ראש חודש אלול עד שנעלם. ובכך גדל עוד יותר הפלא שבהיעלמות! השווה גם פרק 4,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שההתנהגות שמייחס “פליטת סופרים” </w:t>
      </w:r>
      <w:proofErr w:type="spellStart"/>
      <w:r>
        <w:rPr>
          <w:rtl/>
        </w:rPr>
        <w:t>לר</w:t>
      </w:r>
      <w:proofErr w:type="spellEnd"/>
      <w:r>
        <w:rPr>
          <w:rtl/>
        </w:rPr>
        <w:t xml:space="preserve">׳ </w:t>
      </w:r>
      <w:proofErr w:type="spellStart"/>
      <w:r>
        <w:rPr>
          <w:rtl/>
        </w:rPr>
        <w:t>שמחה־זיסל</w:t>
      </w:r>
      <w:proofErr w:type="spellEnd"/>
      <w:r>
        <w:rPr>
          <w:rtl/>
        </w:rPr>
        <w:t xml:space="preserve"> סותרת את עקרונות ר׳ ישראל.</w:t>
      </w:r>
    </w:p>
    <w:p w14:paraId="75D1049F" w14:textId="77777777" w:rsidR="00AB3647" w:rsidRDefault="00000000" w:rsidP="007923E9">
      <w:pPr>
        <w:spacing w:after="120" w:line="276" w:lineRule="auto"/>
        <w:ind w:firstLine="283"/>
        <w:jc w:val="both"/>
      </w:pPr>
      <w:r>
        <w:rPr>
          <w:rtl/>
        </w:rPr>
        <w:t>שלושת התלמידים אם כן</w:t>
      </w:r>
      <w:bookmarkStart w:id="2387" w:name="_fnr1545"/>
      <w:r>
        <w:rPr>
          <w:rStyle w:val="a5"/>
        </w:rPr>
        <w:footnoteReference w:id="1548" w:customMarkFollows="0"/>
      </w:r>
      <w:bookmarkEnd w:id="2387"/>
      <w:r>
        <w:rPr>
          <w:rtl/>
        </w:rPr>
        <w:t xml:space="preserve"> היו כולם “למדנים” מובהקים. ובהיותם ראשי תנועת המוסר, היו שלושתם גם חסידים. וכולם היו גם חכמים, בהתאם לעיקרון היסוד של המוסר שיש להיות חכם </w:t>
      </w:r>
      <w:r>
        <w:rPr>
          <w:b/>
          <w:bCs/>
          <w:rtl/>
        </w:rPr>
        <w:t>כדי</w:t>
      </w:r>
      <w:r>
        <w:rPr>
          <w:rtl/>
        </w:rPr>
        <w:t xml:space="preserve"> להיות חסיד.</w:t>
      </w:r>
      <w:bookmarkStart w:id="2388" w:name="_fnr1546"/>
      <w:r>
        <w:rPr>
          <w:rStyle w:val="a5"/>
        </w:rPr>
        <w:footnoteReference w:id="1549" w:customMarkFollows="0"/>
      </w:r>
      <w:bookmarkEnd w:id="2388"/>
      <w:r>
        <w:rPr>
          <w:rtl/>
        </w:rPr>
        <w:t xml:space="preserve"> עיקרון זה מנע מתנועת המוסר להיעשות פופוליסטית, ככתוב “לא רבים יחכמו”.</w:t>
      </w:r>
      <w:bookmarkStart w:id="2389" w:name="_fnr1547"/>
      <w:r>
        <w:rPr>
          <w:rStyle w:val="a5"/>
        </w:rPr>
        <w:footnoteReference w:id="1550" w:customMarkFollows="0"/>
      </w:r>
      <w:bookmarkEnd w:id="2389"/>
    </w:p>
    <w:p w14:paraId="6EAB5167" w14:textId="77777777" w:rsidR="00AB3647" w:rsidRDefault="00000000" w:rsidP="007923E9">
      <w:pPr>
        <w:spacing w:after="120" w:line="276" w:lineRule="auto"/>
        <w:ind w:firstLine="283"/>
        <w:jc w:val="both"/>
      </w:pPr>
      <w:r>
        <w:rPr>
          <w:rtl/>
        </w:rPr>
        <w:t xml:space="preserve">כשנפטר ר׳ </w:t>
      </w:r>
      <w:proofErr w:type="spellStart"/>
      <w:r>
        <w:rPr>
          <w:rtl/>
        </w:rPr>
        <w:t>איצל׳ה</w:t>
      </w:r>
      <w:proofErr w:type="spellEnd"/>
      <w:r>
        <w:rPr>
          <w:rtl/>
        </w:rPr>
        <w:t xml:space="preserve">, סמך ר׳ </w:t>
      </w:r>
      <w:proofErr w:type="spellStart"/>
      <w:r>
        <w:rPr>
          <w:rtl/>
        </w:rPr>
        <w:t>אברהם־יצחק</w:t>
      </w:r>
      <w:proofErr w:type="spellEnd"/>
      <w:r>
        <w:rPr>
          <w:rtl/>
        </w:rPr>
        <w:t xml:space="preserve"> קוק, אז רב יפו, על </w:t>
      </w:r>
      <w:proofErr w:type="spellStart"/>
      <w:r>
        <w:rPr>
          <w:rtl/>
        </w:rPr>
        <w:t>קולתו</w:t>
      </w:r>
      <w:proofErr w:type="spellEnd"/>
      <w:r>
        <w:rPr>
          <w:rtl/>
        </w:rPr>
        <w:t xml:space="preserve"> של רב פראג, ר׳ יחזקאל </w:t>
      </w:r>
      <w:proofErr w:type="spellStart"/>
      <w:r>
        <w:rPr>
          <w:rtl/>
        </w:rPr>
        <w:t>לנדא</w:t>
      </w:r>
      <w:proofErr w:type="spellEnd"/>
      <w:r>
        <w:rPr>
          <w:rtl/>
        </w:rPr>
        <w:t>,</w:t>
      </w:r>
      <w:bookmarkStart w:id="2390" w:name="_fnr1548"/>
      <w:r>
        <w:rPr>
          <w:rStyle w:val="a5"/>
        </w:rPr>
        <w:footnoteReference w:id="1551" w:customMarkFollows="0"/>
      </w:r>
      <w:bookmarkEnd w:id="2390"/>
      <w:r>
        <w:rPr>
          <w:rtl/>
        </w:rPr>
        <w:t xml:space="preserve"> והתעלם מצוואתו של ר׳ </w:t>
      </w:r>
      <w:proofErr w:type="spellStart"/>
      <w:r>
        <w:rPr>
          <w:rtl/>
        </w:rPr>
        <w:t>איצל׳ה</w:t>
      </w:r>
      <w:proofErr w:type="spellEnd"/>
      <w:r>
        <w:rPr>
          <w:rtl/>
        </w:rPr>
        <w:t xml:space="preserve"> </w:t>
      </w:r>
      <w:proofErr w:type="spellStart"/>
      <w:r>
        <w:rPr>
          <w:rtl/>
        </w:rPr>
        <w:t>בלאזר</w:t>
      </w:r>
      <w:proofErr w:type="spellEnd"/>
      <w:r>
        <w:rPr>
          <w:rtl/>
        </w:rPr>
        <w:t xml:space="preserve"> שלא להספידו. הרב </w:t>
      </w:r>
      <w:proofErr w:type="spellStart"/>
      <w:r>
        <w:rPr>
          <w:rtl/>
        </w:rPr>
        <w:t>לנדא</w:t>
      </w:r>
      <w:proofErr w:type="spellEnd"/>
      <w:r>
        <w:rPr>
          <w:rtl/>
        </w:rPr>
        <w:t xml:space="preserve"> פסק שמותר להספיד גדול הדור שנפטר שלא ברשותו. ר׳ </w:t>
      </w:r>
      <w:proofErr w:type="spellStart"/>
      <w:r>
        <w:rPr>
          <w:rtl/>
        </w:rPr>
        <w:t>אברהם־יצחק</w:t>
      </w:r>
      <w:proofErr w:type="spellEnd"/>
      <w:r>
        <w:rPr>
          <w:rtl/>
        </w:rPr>
        <w:t xml:space="preserve"> קוק אמר שאף שאין בידינו להכריע מי גדול ההלכה שבדור, ר׳ </w:t>
      </w:r>
      <w:proofErr w:type="spellStart"/>
      <w:r>
        <w:rPr>
          <w:rtl/>
        </w:rPr>
        <w:t>איצל׳ה</w:t>
      </w:r>
      <w:proofErr w:type="spellEnd"/>
      <w:r>
        <w:rPr>
          <w:rtl/>
        </w:rPr>
        <w:t xml:space="preserve"> ודאי היה גדול החסידות.</w:t>
      </w:r>
      <w:bookmarkStart w:id="2391" w:name="_fnr1549"/>
      <w:r>
        <w:rPr>
          <w:rStyle w:val="a5"/>
        </w:rPr>
        <w:footnoteReference w:id="1552" w:customMarkFollows="0"/>
      </w:r>
      <w:bookmarkEnd w:id="2391"/>
    </w:p>
    <w:p w14:paraId="3D5ED02F" w14:textId="77777777" w:rsidR="00AB3647" w:rsidRDefault="00000000" w:rsidP="007923E9">
      <w:pPr>
        <w:pStyle w:val="4"/>
        <w:spacing w:line="276" w:lineRule="auto"/>
      </w:pPr>
      <w:r>
        <w:lastRenderedPageBreak/>
        <w:t>· הפסקה השנייה ·</w:t>
      </w:r>
    </w:p>
    <w:p w14:paraId="796566F9" w14:textId="77777777" w:rsidR="00AB3647" w:rsidRDefault="00000000" w:rsidP="007923E9">
      <w:pPr>
        <w:pStyle w:val="5"/>
        <w:spacing w:line="276" w:lineRule="auto"/>
      </w:pPr>
      <w:r>
        <w:t xml:space="preserve">מתי נולד ר׳ </w:t>
      </w:r>
      <w:proofErr w:type="spellStart"/>
      <w:r>
        <w:t>שמחה־זיסל</w:t>
      </w:r>
      <w:proofErr w:type="spellEnd"/>
      <w:r>
        <w:t xml:space="preserve"> זיו</w:t>
      </w:r>
    </w:p>
    <w:p w14:paraId="422C5EBC" w14:textId="77777777" w:rsidR="00AB3647" w:rsidRDefault="00000000" w:rsidP="007923E9">
      <w:pPr>
        <w:spacing w:after="120" w:line="276" w:lineRule="auto"/>
        <w:ind w:firstLine="283"/>
        <w:jc w:val="both"/>
      </w:pPr>
      <w:r>
        <w:rPr>
          <w:rtl/>
        </w:rPr>
        <w:t xml:space="preserve">בעניין שנת לידתו של ר׳ </w:t>
      </w:r>
      <w:proofErr w:type="spellStart"/>
      <w:r>
        <w:rPr>
          <w:rtl/>
        </w:rPr>
        <w:t>שמחה־זיסל</w:t>
      </w:r>
      <w:proofErr w:type="spellEnd"/>
      <w:r>
        <w:rPr>
          <w:rtl/>
        </w:rPr>
        <w:t xml:space="preserve"> זיו כותב הרב מאיר י. </w:t>
      </w:r>
      <w:proofErr w:type="spellStart"/>
      <w:r>
        <w:rPr>
          <w:rtl/>
        </w:rPr>
        <w:t>שוואב</w:t>
      </w:r>
      <w:bookmarkStart w:id="2392" w:name="_fnr1550"/>
      <w:proofErr w:type="spellEnd"/>
      <w:r>
        <w:rPr>
          <w:rStyle w:val="a5"/>
        </w:rPr>
        <w:footnoteReference w:id="1553" w:customMarkFollows="0"/>
      </w:r>
      <w:bookmarkEnd w:id="2392"/>
      <w:r>
        <w:rPr>
          <w:rtl/>
        </w:rPr>
        <w:t xml:space="preserve"> שר׳ אלי׳ </w:t>
      </w:r>
      <w:proofErr w:type="spellStart"/>
      <w:r>
        <w:rPr>
          <w:rtl/>
        </w:rPr>
        <w:t>לופיאן</w:t>
      </w:r>
      <w:proofErr w:type="spellEnd"/>
      <w:r>
        <w:rPr>
          <w:rtl/>
        </w:rPr>
        <w:t xml:space="preserve"> (תרל״א–תש״ל), “קרוב ל־90 באותו זמן”, מסר </w:t>
      </w:r>
      <w:proofErr w:type="spellStart"/>
      <w:r>
        <w:rPr>
          <w:rtl/>
        </w:rPr>
        <w:t>ש“כשהיה</w:t>
      </w:r>
      <w:proofErr w:type="spellEnd"/>
      <w:r>
        <w:rPr>
          <w:rtl/>
        </w:rPr>
        <w:t xml:space="preserve"> תלמיד צעיר שמע מרבו, ר׳ </w:t>
      </w:r>
      <w:proofErr w:type="spellStart"/>
      <w:r>
        <w:rPr>
          <w:rtl/>
        </w:rPr>
        <w:t>שמחה־זיסל</w:t>
      </w:r>
      <w:proofErr w:type="spellEnd"/>
      <w:r>
        <w:rPr>
          <w:rtl/>
        </w:rPr>
        <w:t xml:space="preserve">, שכשהיה נער ראה את ר׳ חיים </w:t>
      </w:r>
      <w:proofErr w:type="spellStart"/>
      <w:r>
        <w:rPr>
          <w:rtl/>
        </w:rPr>
        <w:t>מוולוז׳ין</w:t>
      </w:r>
      <w:proofErr w:type="spellEnd"/>
      <w:r>
        <w:rPr>
          <w:rtl/>
        </w:rPr>
        <w:t xml:space="preserve">”. לפי זה, ר׳ </w:t>
      </w:r>
      <w:proofErr w:type="spellStart"/>
      <w:r>
        <w:rPr>
          <w:rtl/>
        </w:rPr>
        <w:t>שמחה־זיסל</w:t>
      </w:r>
      <w:proofErr w:type="spellEnd"/>
      <w:r>
        <w:rPr>
          <w:rtl/>
        </w:rPr>
        <w:t xml:space="preserve"> נולד בהכרח לפחות כמה שנים לפני פטירת ר׳ חיים </w:t>
      </w:r>
      <w:proofErr w:type="spellStart"/>
      <w:r>
        <w:rPr>
          <w:rtl/>
        </w:rPr>
        <w:t>מוולוז׳ין</w:t>
      </w:r>
      <w:proofErr w:type="spellEnd"/>
      <w:r>
        <w:rPr>
          <w:rtl/>
        </w:rPr>
        <w:t xml:space="preserve"> </w:t>
      </w:r>
      <w:proofErr w:type="spellStart"/>
      <w:r>
        <w:rPr>
          <w:rtl/>
        </w:rPr>
        <w:t>בתקפ״א</w:t>
      </w:r>
      <w:proofErr w:type="spellEnd"/>
      <w:r>
        <w:rPr>
          <w:rtl/>
        </w:rPr>
        <w:t xml:space="preserve"> – נניח, לצורך הדיון, ארבע שנים. כך יוצא ששנת לידתו של ר׳ </w:t>
      </w:r>
      <w:proofErr w:type="spellStart"/>
      <w:r>
        <w:rPr>
          <w:rtl/>
        </w:rPr>
        <w:t>שמחה־זיסל</w:t>
      </w:r>
      <w:proofErr w:type="spellEnd"/>
      <w:r>
        <w:rPr>
          <w:rtl/>
        </w:rPr>
        <w:t xml:space="preserve"> היא תקע״ז, שבע שנים </w:t>
      </w:r>
      <w:r>
        <w:rPr>
          <w:b/>
          <w:bCs/>
          <w:rtl/>
        </w:rPr>
        <w:t>לפני</w:t>
      </w:r>
      <w:r>
        <w:rPr>
          <w:rtl/>
        </w:rPr>
        <w:t xml:space="preserve"> שנת לידתו לפי כץ, “תנועת המוסר”, כרך ב,</w:t>
      </w:r>
      <w:bookmarkStart w:id="2393" w:name="_fnr1551"/>
      <w:r>
        <w:rPr>
          <w:rStyle w:val="a5"/>
        </w:rPr>
        <w:footnoteReference w:id="1554" w:customMarkFollows="0"/>
      </w:r>
      <w:bookmarkEnd w:id="2393"/>
      <w:r>
        <w:rPr>
          <w:rtl/>
        </w:rPr>
        <w:t xml:space="preserve"> שנותן את השנה תקפ״ד. לפי עדות ר׳ אלי׳ </w:t>
      </w:r>
      <w:proofErr w:type="spellStart"/>
      <w:r>
        <w:rPr>
          <w:rtl/>
        </w:rPr>
        <w:t>לופיאן</w:t>
      </w:r>
      <w:proofErr w:type="spellEnd"/>
      <w:r>
        <w:rPr>
          <w:rtl/>
        </w:rPr>
        <w:t xml:space="preserve">, היה ר׳ </w:t>
      </w:r>
      <w:proofErr w:type="spellStart"/>
      <w:r>
        <w:rPr>
          <w:rtl/>
        </w:rPr>
        <w:t>שמחה־זיסל</w:t>
      </w:r>
      <w:proofErr w:type="spellEnd"/>
      <w:r>
        <w:rPr>
          <w:rtl/>
        </w:rPr>
        <w:t xml:space="preserve"> צעיר מרבו ר׳ ישראל ב־7 שנים בלבד, ומבוגר מר׳ נפתלי ומר׳ </w:t>
      </w:r>
      <w:proofErr w:type="spellStart"/>
      <w:r>
        <w:rPr>
          <w:rtl/>
        </w:rPr>
        <w:t>איצל׳ה</w:t>
      </w:r>
      <w:proofErr w:type="spellEnd"/>
      <w:r>
        <w:rPr>
          <w:rtl/>
        </w:rPr>
        <w:t xml:space="preserve"> ב־15 וב־20 שנה(!), בהתאמה.</w:t>
      </w:r>
    </w:p>
    <w:p w14:paraId="3B3B2AF0" w14:textId="11BE9896" w:rsidR="00AB3647" w:rsidRDefault="00000000" w:rsidP="007923E9">
      <w:pPr>
        <w:spacing w:after="120" w:line="276" w:lineRule="auto"/>
        <w:ind w:firstLine="283"/>
        <w:jc w:val="both"/>
      </w:pPr>
      <w:r>
        <w:rPr>
          <w:rtl/>
        </w:rPr>
        <w:t xml:space="preserve">הסבא מקלם פגש את ר׳ ישראל </w:t>
      </w:r>
      <w:proofErr w:type="spellStart"/>
      <w:r>
        <w:rPr>
          <w:rtl/>
        </w:rPr>
        <w:t>סלנטר</w:t>
      </w:r>
      <w:proofErr w:type="spellEnd"/>
      <w:r>
        <w:rPr>
          <w:rtl/>
        </w:rPr>
        <w:t xml:space="preserve"> כששמע על “בית המוסר” שהקים האחרון בקובנה, והלך לאותה עיר ללמוד אצלו </w:t>
      </w:r>
      <w:proofErr w:type="spellStart"/>
      <w:r>
        <w:rPr>
          <w:rtl/>
        </w:rPr>
        <w:t>בקלויז</w:t>
      </w:r>
      <w:proofErr w:type="spellEnd"/>
      <w:r>
        <w:rPr>
          <w:rtl/>
        </w:rPr>
        <w:t xml:space="preserve"> </w:t>
      </w:r>
      <w:proofErr w:type="spellStart"/>
      <w:r>
        <w:rPr>
          <w:rtl/>
        </w:rPr>
        <w:t>נביאזר</w:t>
      </w:r>
      <w:proofErr w:type="spellEnd"/>
      <w:r>
        <w:rPr>
          <w:rtl/>
        </w:rPr>
        <w:t>. דבר זה לא יכול היה להתרחש לפני תרי״א,</w:t>
      </w:r>
      <w:bookmarkStart w:id="2394" w:name="_fnr1552"/>
      <w:r>
        <w:rPr>
          <w:rStyle w:val="a5"/>
        </w:rPr>
        <w:footnoteReference w:id="1555" w:customMarkFollows="0"/>
      </w:r>
      <w:bookmarkEnd w:id="2394"/>
      <w:r>
        <w:rPr>
          <w:rtl/>
        </w:rPr>
        <w:t xml:space="preserve"> השנה שבה החל ר׳ ישראל ללמד שם (ראה הערת שוליים </w:t>
      </w:r>
      <w:r>
        <w:rPr>
          <w:rtl/>
        </w:rPr>
        <w:fldChar w:fldCharType="begin" w:dirty="true"/>
      </w:r>
      <w:r>
        <w:rPr>
          <w:rtl/>
        </w:rPr>
        <w:instrText xml:space="preserve"> NOTEREF pr_f_4683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337</w:t>
      </w:r>
      <w:r>
        <w:rPr>
          <w:rtl/>
        </w:rPr>
        <w:fldChar w:fldCharType="end"/>
      </w:r>
      <w:r>
        <w:rPr>
          <w:rtl/>
        </w:rPr>
        <w:t xml:space="preserve">, עמ׳ </w:t>
      </w:r>
      <w:r>
        <w:rPr>
          <w:rtl/>
        </w:rPr>
        <w:fldChar w:fldCharType="begin" w:dirty="true"/>
      </w:r>
      <w:r>
        <w:rPr>
          <w:rtl/>
        </w:rPr>
        <w:instrText xml:space="preserve"> PAGEREF pr_f_4683 \h </w:instrText>
      </w:r>
      <w:r>
        <w:rPr>
          <w:rtl/>
        </w:rPr>
      </w:r>
      <w:r>
        <w:rPr>
          <w:rtl/>
        </w:rPr>
        <w:fldChar w:fldCharType="separate"/>
      </w:r>
      <w:r w:rsidR="007923E9">
        <w:rPr>
          <w:noProof/>
          <w:rtl/>
        </w:rPr>
        <w:t>1</w:t>
      </w:r>
      <w:r>
        <w:rPr>
          <w:rtl/>
        </w:rPr>
        <w:fldChar w:fldCharType="end"/>
      </w:r>
      <w:r>
        <w:rPr>
          <w:rtl/>
        </w:rPr>
        <w:t xml:space="preserve">). באותו זמן היה ר׳ </w:t>
      </w:r>
      <w:proofErr w:type="spellStart"/>
      <w:r>
        <w:rPr>
          <w:rtl/>
        </w:rPr>
        <w:t>שמחה־זיסל</w:t>
      </w:r>
      <w:proofErr w:type="spellEnd"/>
      <w:r>
        <w:rPr>
          <w:rtl/>
        </w:rPr>
        <w:t>, לפי גילויו של ר׳ אלי׳, בן 34 לפחות.</w:t>
      </w:r>
    </w:p>
    <w:p w14:paraId="67EB0E74" w14:textId="77777777" w:rsidR="00AB3647" w:rsidRDefault="00000000" w:rsidP="007923E9">
      <w:pPr>
        <w:spacing w:after="120" w:line="276" w:lineRule="auto"/>
        <w:ind w:firstLine="283"/>
        <w:jc w:val="both"/>
      </w:pPr>
      <w:r>
        <w:rPr>
          <w:rtl/>
        </w:rPr>
        <w:t>השווה גם כץ, שם,</w:t>
      </w:r>
      <w:bookmarkStart w:id="2395" w:name="_fnr1553"/>
      <w:r>
        <w:rPr>
          <w:rStyle w:val="a5"/>
        </w:rPr>
        <w:footnoteReference w:id="1556" w:customMarkFollows="0"/>
      </w:r>
      <w:bookmarkEnd w:id="2395"/>
      <w:r>
        <w:rPr>
          <w:rtl/>
        </w:rPr>
        <w:t xml:space="preserve"> שר׳ </w:t>
      </w:r>
      <w:proofErr w:type="spellStart"/>
      <w:r>
        <w:rPr>
          <w:rtl/>
        </w:rPr>
        <w:t>שמחה־זיסל</w:t>
      </w:r>
      <w:proofErr w:type="spellEnd"/>
      <w:r>
        <w:rPr>
          <w:rtl/>
        </w:rPr>
        <w:t xml:space="preserve"> “נשא </w:t>
      </w:r>
      <w:proofErr w:type="spellStart"/>
      <w:r>
        <w:rPr>
          <w:rtl/>
        </w:rPr>
        <w:t>אשה</w:t>
      </w:r>
      <w:proofErr w:type="spellEnd"/>
      <w:r>
        <w:rPr>
          <w:rtl/>
        </w:rPr>
        <w:t xml:space="preserve"> בצעירותו ואחרי נישואיו נסע ללמוד בקובנה אצל ר׳ ישראל </w:t>
      </w:r>
      <w:proofErr w:type="spellStart"/>
      <w:r>
        <w:rPr>
          <w:rtl/>
        </w:rPr>
        <w:t>בנביאזר</w:t>
      </w:r>
      <w:proofErr w:type="spellEnd"/>
      <w:r>
        <w:rPr>
          <w:rtl/>
        </w:rPr>
        <w:t xml:space="preserve">”. דבר זה אינו נכון בכל מקרה, משום שאפילו לפי תאריך הלידה המאוחר של כץ היה כבר בן 27 כשהלך לקובנה, ולא נער שנשא </w:t>
      </w:r>
      <w:proofErr w:type="spellStart"/>
      <w:r>
        <w:rPr>
          <w:rtl/>
        </w:rPr>
        <w:t>אשה</w:t>
      </w:r>
      <w:proofErr w:type="spellEnd"/>
      <w:r>
        <w:rPr>
          <w:rtl/>
        </w:rPr>
        <w:t xml:space="preserve"> זה מקרוב. לפי שנת הלידה של כץ היה ר׳ </w:t>
      </w:r>
      <w:proofErr w:type="spellStart"/>
      <w:r>
        <w:rPr>
          <w:rtl/>
        </w:rPr>
        <w:t>שמחה־זיסל</w:t>
      </w:r>
      <w:proofErr w:type="spellEnd"/>
      <w:r>
        <w:rPr>
          <w:rtl/>
        </w:rPr>
        <w:t xml:space="preserve"> בן 74 במותו </w:t>
      </w:r>
      <w:proofErr w:type="spellStart"/>
      <w:r>
        <w:rPr>
          <w:rtl/>
        </w:rPr>
        <w:t>בתרנ״ח</w:t>
      </w:r>
      <w:proofErr w:type="spellEnd"/>
      <w:r>
        <w:rPr>
          <w:rtl/>
        </w:rPr>
        <w:t xml:space="preserve"> (אחרי שחלה 13 שנה קודם לכן, </w:t>
      </w:r>
      <w:proofErr w:type="spellStart"/>
      <w:r>
        <w:rPr>
          <w:rtl/>
        </w:rPr>
        <w:t>בתרמ״ה</w:t>
      </w:r>
      <w:proofErr w:type="spellEnd"/>
      <w:r>
        <w:rPr>
          <w:rtl/>
        </w:rPr>
        <w:t xml:space="preserve">), ולפי ר׳ אלי׳ </w:t>
      </w:r>
      <w:proofErr w:type="spellStart"/>
      <w:r>
        <w:rPr>
          <w:rtl/>
        </w:rPr>
        <w:t>לופיאן</w:t>
      </w:r>
      <w:proofErr w:type="spellEnd"/>
      <w:r>
        <w:rPr>
          <w:rtl/>
        </w:rPr>
        <w:t xml:space="preserve"> מת הסבא מקלם בגיל 81 (וחלה כשהיה בן 68).</w:t>
      </w:r>
      <w:bookmarkStart w:id="2396" w:name="fx_ref_437"/>
      <w:bookmarkStart w:id="2397" w:name="_fnr1554"/>
      <w:r>
        <w:rPr>
          <w:rStyle w:val="a5"/>
        </w:rPr>
        <w:footnoteReference w:id="1557" w:customMarkFollows="0"/>
      </w:r>
      <w:bookmarkEnd w:id="2396"/>
      <w:bookmarkEnd w:id="2397"/>
    </w:p>
    <w:bookmarkStart w:id="2398" w:name="b3_excC"/>
    <w:p w14:paraId="3F966D1B" w14:textId="77777777" w:rsidR="00AB3647" w:rsidRDefault="00000000" w:rsidP="007923E9">
      <w:pPr>
        <w:pStyle w:val="3"/>
        <w:spacing w:line="276" w:lineRule="auto"/>
      </w:pPr>
      <w:r>
        <w:lastRenderedPageBreak/>
        <w:fldChar w:fldCharType="begin" w:dirty="true"/>
      </w:r>
      <w:r>
        <w:rPr>
          <w:rtl w:val="0"/>
        </w:rPr>
        <w:instrText>HYPERLINK \l "b3_note23</w:instrText>
      </w:r>
      <w:r>
        <w:instrText>"</w:instrText>
      </w:r>
      <w:r>
        <w:fldChar w:fldCharType="separate"/>
      </w:r>
      <w:r>
        <w:t>נספח ג</w:t>
      </w:r>
      <w:r>
        <w:fldChar w:fldCharType="end"/>
      </w:r>
      <w:bookmarkEnd w:id="2398"/>
    </w:p>
    <w:p w14:paraId="08E46D0B" w14:textId="77777777" w:rsidR="00AB3647" w:rsidRDefault="00000000" w:rsidP="007923E9">
      <w:pPr>
        <w:pStyle w:val="af"/>
        <w:spacing w:line="276" w:lineRule="auto"/>
      </w:pPr>
      <w:r>
        <w:t xml:space="preserve">על שני מלאכים ממש, ר׳ </w:t>
      </w:r>
      <w:proofErr w:type="spellStart"/>
      <w:r>
        <w:t>לייזר־יעקב</w:t>
      </w:r>
      <w:proofErr w:type="spellEnd"/>
      <w:r>
        <w:t xml:space="preserve"> </w:t>
      </w:r>
      <w:proofErr w:type="spellStart"/>
      <w:r>
        <w:t xml:space="preserve">חווס</w:t>
      </w:r>
      <w:proofErr w:type="spellEnd"/>
      <w:r>
        <w:t xml:space="preserve"> וחתנו ר׳ נפתלי </w:t>
      </w:r>
      <w:proofErr w:type="spellStart"/>
      <w:r>
        <w:t>טרופ</w:t>
      </w:r>
      <w:proofErr w:type="spellEnd"/>
    </w:p>
    <w:p w14:paraId="3E37F65E" w14:textId="77777777" w:rsidR="00AB3647" w:rsidRDefault="00000000" w:rsidP="007923E9">
      <w:pPr>
        <w:pStyle w:val="4"/>
        <w:spacing w:line="276" w:lineRule="auto"/>
      </w:pPr>
      <w:r>
        <w:t>· הפסקה הראשונה ·</w:t>
      </w:r>
    </w:p>
    <w:p w14:paraId="03F356E8" w14:textId="77777777" w:rsidR="00AB3647" w:rsidRDefault="00000000" w:rsidP="007923E9">
      <w:pPr>
        <w:pStyle w:val="5"/>
        <w:spacing w:line="276" w:lineRule="auto"/>
      </w:pPr>
      <w:r>
        <w:t xml:space="preserve">ר׳ </w:t>
      </w:r>
      <w:proofErr w:type="spellStart"/>
      <w:r>
        <w:t>לייזר־יעקב</w:t>
      </w:r>
      <w:proofErr w:type="spellEnd"/>
      <w:r>
        <w:t xml:space="preserve"> </w:t>
      </w:r>
      <w:proofErr w:type="spellStart"/>
      <w:r>
        <w:t xml:space="preserve">חווס</w:t>
      </w:r>
      <w:proofErr w:type="spellEnd"/>
      <w:r>
        <w:t xml:space="preserve"> הוא גיבור לא נודע בהפצת התורה – הוא גם פעיל בסתר בהבטחת שלומם של יהודי רוסיה – הוא חי בדוחק</w:t>
      </w:r>
    </w:p>
    <w:p w14:paraId="2959C532" w14:textId="57F06465" w:rsidR="00AB3647" w:rsidRDefault="00000000" w:rsidP="007923E9">
      <w:pPr>
        <w:spacing w:after="120" w:line="276" w:lineRule="auto"/>
        <w:ind w:firstLine="283"/>
        <w:jc w:val="both"/>
      </w:pPr>
      <w:r>
        <w:rPr>
          <w:rtl/>
        </w:rPr>
        <w:t xml:space="preserve">לפי מאמר </w:t>
      </w:r>
      <w:proofErr w:type="spellStart"/>
      <w:r>
        <w:rPr>
          <w:rtl/>
        </w:rPr>
        <w:t>ב“לפרקים</w:t>
      </w:r>
      <w:proofErr w:type="spellEnd"/>
      <w:r>
        <w:rPr>
          <w:rtl/>
        </w:rPr>
        <w:t>”</w:t>
      </w:r>
      <w:bookmarkStart w:id="2399" w:name="_fnr1555"/>
      <w:r>
        <w:rPr>
          <w:rStyle w:val="a5"/>
        </w:rPr>
        <w:footnoteReference w:id="1558" w:customMarkFollows="0"/>
      </w:r>
      <w:bookmarkEnd w:id="2399"/>
      <w:r>
        <w:rPr>
          <w:rtl/>
        </w:rPr>
        <w:t xml:space="preserve">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להלן), הסבא </w:t>
      </w:r>
      <w:proofErr w:type="spellStart"/>
      <w:r>
        <w:rPr>
          <w:rtl/>
        </w:rPr>
        <w:t>מסלבודקה</w:t>
      </w:r>
      <w:proofErr w:type="spellEnd"/>
      <w:r>
        <w:rPr>
          <w:rtl/>
        </w:rPr>
        <w:t xml:space="preserve"> עמד מאחורי הקמת הכולל כבר בראשיתו, יחד עם ר׳ </w:t>
      </w:r>
      <w:proofErr w:type="spellStart"/>
      <w:r>
        <w:rPr>
          <w:rtl/>
        </w:rPr>
        <w:t>לייזר־יעקב</w:t>
      </w:r>
      <w:proofErr w:type="spellEnd"/>
      <w:r>
        <w:rPr>
          <w:rtl/>
        </w:rPr>
        <w:t xml:space="preserve"> </w:t>
      </w:r>
      <w:proofErr w:type="spellStart"/>
      <w:r>
        <w:rPr>
          <w:rtl/>
        </w:rPr>
        <w:t xml:space="preserve">חווס</w:t>
      </w:r>
      <w:proofErr w:type="spellEnd"/>
      <w:r>
        <w:rPr>
          <w:rtl/>
        </w:rPr>
        <w:t>, שהיה קרוב לאשת הסבא.</w:t>
      </w:r>
      <w:bookmarkStart w:id="2400" w:name="_fnr1556"/>
      <w:r>
        <w:rPr>
          <w:rStyle w:val="a5"/>
        </w:rPr>
        <w:footnoteReference w:id="1559" w:customMarkFollows="0"/>
      </w:r>
      <w:bookmarkEnd w:id="2400"/>
      <w:r>
        <w:rPr>
          <w:rtl/>
        </w:rPr>
        <w:t xml:space="preserve"> במאמר ההספד </w:t>
      </w:r>
      <w:proofErr w:type="spellStart"/>
      <w:r>
        <w:rPr>
          <w:rtl/>
        </w:rPr>
        <w:t>ב“לפרקים</w:t>
      </w:r>
      <w:proofErr w:type="spellEnd"/>
      <w:r>
        <w:rPr>
          <w:rtl/>
        </w:rPr>
        <w:t>”</w:t>
      </w:r>
      <w:bookmarkStart w:id="2401" w:name="_fnr1557"/>
      <w:r>
        <w:rPr>
          <w:rStyle w:val="a5"/>
        </w:rPr>
        <w:footnoteReference w:id="1560" w:customMarkFollows="0"/>
      </w:r>
      <w:bookmarkEnd w:id="2401"/>
      <w:r>
        <w:rPr>
          <w:rtl/>
        </w:rPr>
        <w:t xml:space="preserve"> מתואר ר׳ </w:t>
      </w:r>
      <w:proofErr w:type="spellStart"/>
      <w:r>
        <w:rPr>
          <w:rtl/>
        </w:rPr>
        <w:t>לייזר־יעקב</w:t>
      </w:r>
      <w:proofErr w:type="spellEnd"/>
      <w:r>
        <w:rPr>
          <w:rtl/>
        </w:rPr>
        <w:t>, בין השאר, כך: “הצדיק הגדול והעניו הגדול, שעליו כמעט אין הציבור היהודי יודע דבר, אבל שהיה אחת הדמויות הרוחניות היוצרות שבתוכנו – דמות היסטורית, במונחים מודרניים.”</w:t>
      </w:r>
    </w:p>
    <w:p w14:paraId="73EECA81" w14:textId="77777777" w:rsidR="00AB3647" w:rsidRDefault="00000000" w:rsidP="007923E9">
      <w:pPr>
        <w:spacing w:after="120" w:line="276" w:lineRule="auto"/>
        <w:ind w:firstLine="283"/>
        <w:jc w:val="both"/>
      </w:pPr>
      <w:r>
        <w:rPr>
          <w:rtl/>
        </w:rPr>
        <w:t>המאמר ממשיך לספר: “בביתו שלטה תמיד דלות נוראה, ובני ביתו ממש גוועו ברעב. הוא כמעט לא דאג לילדיו משום שהיו לו דאגות גדולות וחשובות יותר; ‘לומדי תורה הם היחידים שעדיין מחזיקים את היהדות בנו, ועלינו לפרנסם ולתמוך בהם׳</w:t>
      </w:r>
      <w:bookmarkStart w:id="2402" w:name="_fnr1558"/>
      <w:r>
        <w:rPr>
          <w:rStyle w:val="a5"/>
        </w:rPr>
        <w:footnoteReference w:id="1561" w:customMarkFollows="0"/>
      </w:r>
      <w:bookmarkEnd w:id="2402"/>
      <w:r>
        <w:rPr>
          <w:rtl/>
        </w:rPr>
        <w:t xml:space="preserve"> היה המוטו שלו. הוא היה גיבור, חייו היו גבורה מתמדת, והתוכניות שהוציא לפועל היו מעשי גבורה. ואף על פי כן לא הכיר אותו איש, כי תמיד ניסה להסתתר ולהיעלם; אם הריח ריח של כבוד ותהילה נרתע לאחור. גופו היה סתירה גמורה לעיקרון הידוע של ‘נפש בריאה בגוף בריא’, כי היה </w:t>
      </w:r>
      <w:proofErr w:type="spellStart"/>
      <w:r>
        <w:rPr>
          <w:rtl/>
        </w:rPr>
        <w:t>ערימת</w:t>
      </w:r>
      <w:proofErr w:type="spellEnd"/>
      <w:r>
        <w:rPr>
          <w:rtl/>
        </w:rPr>
        <w:t xml:space="preserve"> עצמות בלבד, שבר חרס – חולה, חלש וכפוף. ובקליפה זו שכנה במשך 76 שנה רוח אדירה, רעננה וערה, שלא נלאתה, לא </w:t>
      </w:r>
      <w:proofErr w:type="spellStart"/>
      <w:r>
        <w:rPr>
          <w:rtl/>
        </w:rPr>
        <w:t>עיפה</w:t>
      </w:r>
      <w:proofErr w:type="spellEnd"/>
      <w:r>
        <w:rPr>
          <w:rtl/>
        </w:rPr>
        <w:t xml:space="preserve"> ולא נחלשה. ‘עיזבונו’ כלל ניירות יקרי ערך – כמובן לא ניירות כספיים, אלא ‘עצות ומנהגים של ר׳ ישראל </w:t>
      </w:r>
      <w:proofErr w:type="spellStart"/>
      <w:r>
        <w:rPr>
          <w:rtl/>
        </w:rPr>
        <w:t>סלנטר</w:t>
      </w:r>
      <w:proofErr w:type="spellEnd"/>
      <w:r>
        <w:rPr>
          <w:rtl/>
        </w:rPr>
        <w:t xml:space="preserve">’ – זוג תפילין יפה וטלית קרועה.” במשפט האחרון מפריך כותב המאמר את העלילה שהפיצו “משכילים בקובנה, שבעיניהם היה הכולל כקוצים”, כאילו צבר ר׳ </w:t>
      </w:r>
      <w:proofErr w:type="spellStart"/>
      <w:r>
        <w:rPr>
          <w:rtl/>
        </w:rPr>
        <w:t>לייזר־יעקב</w:t>
      </w:r>
      <w:proofErr w:type="spellEnd"/>
      <w:r>
        <w:rPr>
          <w:rtl/>
        </w:rPr>
        <w:t xml:space="preserve"> עושר מפעילותו הציבורית.</w:t>
      </w:r>
    </w:p>
    <w:p w14:paraId="2ADBB1AC" w14:textId="77777777" w:rsidR="00AB3647" w:rsidRDefault="00000000" w:rsidP="007923E9">
      <w:pPr>
        <w:spacing w:after="120" w:line="276" w:lineRule="auto"/>
        <w:ind w:firstLine="283"/>
        <w:jc w:val="both"/>
      </w:pPr>
      <w:r>
        <w:rPr>
          <w:rtl/>
        </w:rPr>
        <w:t xml:space="preserve">השווה גם הערת שוליים </w:t>
      </w:r>
      <w:proofErr w:type="spellStart"/>
      <w:r>
        <w:rPr>
          <w:rtl/>
        </w:rPr>
        <w:t>ב“זכרון</w:t>
      </w:r>
      <w:proofErr w:type="spellEnd"/>
      <w:r>
        <w:rPr>
          <w:rtl/>
        </w:rPr>
        <w:t xml:space="preserve"> יעקב”</w:t>
      </w:r>
      <w:bookmarkStart w:id="2403" w:name="_fnr1559"/>
      <w:r>
        <w:rPr>
          <w:rStyle w:val="a5"/>
        </w:rPr>
        <w:footnoteReference w:id="1562" w:customMarkFollows="0"/>
      </w:r>
      <w:bookmarkEnd w:id="2403"/>
      <w:r>
        <w:rPr>
          <w:rtl/>
        </w:rPr>
        <w:t xml:space="preserve"> מאת המוציא לאור, ר׳ נוטע ליפשיץ, בנו של המחבר. הערה זו רומזת אף היא לעניין, ומוסיפה שגם בנו של ר׳ </w:t>
      </w:r>
      <w:proofErr w:type="spellStart"/>
      <w:r>
        <w:rPr>
          <w:rtl/>
        </w:rPr>
        <w:t>לייזר־יעקב</w:t>
      </w:r>
      <w:proofErr w:type="spellEnd"/>
      <w:r>
        <w:rPr>
          <w:rtl/>
        </w:rPr>
        <w:t xml:space="preserve"> מת בעוני, כשנתיים לפני פרסום הכרך, כלומר </w:t>
      </w:r>
      <w:proofErr w:type="spellStart"/>
      <w:r>
        <w:rPr>
          <w:rtl/>
        </w:rPr>
        <w:t>בתרפ״ח</w:t>
      </w:r>
      <w:proofErr w:type="spellEnd"/>
      <w:r>
        <w:rPr>
          <w:rtl/>
        </w:rPr>
        <w:t>. אבל שלוש המילים האחרונות בהערה, “והוא רחום יכפר”, הן תפילה על מי שאינו חוטא במזיד – ואילו המשכילים חטאו במזיד. מילים אלה מורות שגם אחרים היו אשמים בהוצאת דיבה על צדיק זה – אולי מתנגדי המוסר, במסורת אביו של ר׳ נוטע.</w:t>
      </w:r>
    </w:p>
    <w:p w14:paraId="493BE23C" w14:textId="77777777" w:rsidR="00AB3647" w:rsidRDefault="00000000" w:rsidP="007923E9">
      <w:pPr>
        <w:spacing w:after="120" w:line="276" w:lineRule="auto"/>
        <w:ind w:firstLine="283"/>
        <w:jc w:val="both"/>
      </w:pPr>
      <w:r>
        <w:rPr>
          <w:rtl/>
        </w:rPr>
        <w:lastRenderedPageBreak/>
        <w:t xml:space="preserve">נתקלתי בכמה </w:t>
      </w:r>
      <w:proofErr w:type="spellStart"/>
      <w:r>
        <w:rPr>
          <w:rtl/>
        </w:rPr>
        <w:t>מ“מעשי</w:t>
      </w:r>
      <w:proofErr w:type="spellEnd"/>
      <w:r>
        <w:rPr>
          <w:rtl/>
        </w:rPr>
        <w:t xml:space="preserve"> הגבורה” </w:t>
      </w:r>
      <w:proofErr w:type="spellStart"/>
      <w:r>
        <w:rPr>
          <w:rtl/>
        </w:rPr>
        <w:t>ש“לפרקים</w:t>
      </w:r>
      <w:proofErr w:type="spellEnd"/>
      <w:r>
        <w:rPr>
          <w:rtl/>
        </w:rPr>
        <w:t xml:space="preserve">” השאיר סתומים. </w:t>
      </w:r>
      <w:proofErr w:type="spellStart"/>
      <w:r>
        <w:rPr>
          <w:rtl/>
        </w:rPr>
        <w:t>בתרמ״ו</w:t>
      </w:r>
      <w:proofErr w:type="spellEnd"/>
      <w:r>
        <w:rPr>
          <w:rtl/>
        </w:rPr>
        <w:t xml:space="preserve"> ביקר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אצל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bookmarkStart w:id="2404" w:name="_fnr1560"/>
      <w:proofErr w:type="spellEnd"/>
      <w:r>
        <w:rPr>
          <w:rStyle w:val="a5"/>
        </w:rPr>
        <w:footnoteReference w:id="1563" w:customMarkFollows="0"/>
      </w:r>
      <w:bookmarkEnd w:id="2404"/>
      <w:r>
        <w:rPr>
          <w:rtl/>
        </w:rPr>
        <w:t xml:space="preserve">), אז רב </w:t>
      </w:r>
      <w:proofErr w:type="spellStart"/>
      <w:r>
        <w:rPr>
          <w:rtl/>
        </w:rPr>
        <w:t>פוניבז</w:t>
      </w:r>
      <w:proofErr w:type="spellEnd"/>
      <w:r>
        <w:rPr>
          <w:rtl/>
        </w:rPr>
        <w:t>׳, “והפציר בו במשך שלושה שבועות רצופים עד ש(</w:t>
      </w:r>
      <w:proofErr w:type="spellStart"/>
      <w:r>
        <w:rPr>
          <w:rtl/>
        </w:rPr>
        <w:t>האדר״ת</w:t>
      </w:r>
      <w:proofErr w:type="spellEnd"/>
      <w:r>
        <w:rPr>
          <w:rtl/>
        </w:rPr>
        <w:t>) לא יכול עוד לשאת זאת והסכים” לכנס אספה סודית של רבנים ממחוזות ליטא. האספה נועדה לגייס כספים להחזקת שתדלן בבירת רוסיה, סנט פטרבורג.</w:t>
      </w:r>
      <w:bookmarkStart w:id="2405" w:name="_fnr1561"/>
      <w:r>
        <w:rPr>
          <w:rStyle w:val="a5"/>
        </w:rPr>
        <w:footnoteReference w:id="1564" w:customMarkFollows="0"/>
      </w:r>
      <w:bookmarkEnd w:id="2405"/>
    </w:p>
    <w:p w14:paraId="1962EDF8" w14:textId="77777777" w:rsidR="00AB3647" w:rsidRDefault="00000000" w:rsidP="007923E9">
      <w:pPr>
        <w:spacing w:after="120" w:line="276" w:lineRule="auto"/>
        <w:ind w:firstLine="283"/>
        <w:jc w:val="both"/>
      </w:pPr>
      <w:r>
        <w:rPr>
          <w:rtl/>
        </w:rPr>
        <w:t>השווה גם כץ, “תנועת המוסר”, כרך ב,</w:t>
      </w:r>
      <w:bookmarkStart w:id="2406" w:name="_fnr1562"/>
      <w:r>
        <w:rPr>
          <w:rStyle w:val="a5"/>
        </w:rPr>
        <w:footnoteReference w:id="1565" w:customMarkFollows="0"/>
      </w:r>
      <w:bookmarkEnd w:id="2406"/>
      <w:r>
        <w:rPr>
          <w:rtl/>
        </w:rPr>
        <w:t xml:space="preserve"> </w:t>
      </w:r>
      <w:proofErr w:type="spellStart"/>
      <w:r>
        <w:rPr>
          <w:rtl/>
        </w:rPr>
        <w:t>ש“כשפרצו</w:t>
      </w:r>
      <w:proofErr w:type="spellEnd"/>
      <w:r>
        <w:rPr>
          <w:rtl/>
        </w:rPr>
        <w:t xml:space="preserve"> פרעות ברוסיה” (כנראה אלה של ראשית שנות </w:t>
      </w:r>
      <w:proofErr w:type="spellStart"/>
      <w:r>
        <w:rPr>
          <w:rtl/>
        </w:rPr>
        <w:t xml:space="preserve">התר״מ</w:t>
      </w:r>
      <w:proofErr w:type="spellEnd"/>
      <w:r>
        <w:rPr>
          <w:rtl/>
        </w:rPr>
        <w:t xml:space="preserve">), הלך ר׳ </w:t>
      </w:r>
      <w:proofErr w:type="spellStart"/>
      <w:r>
        <w:rPr>
          <w:rtl/>
        </w:rPr>
        <w:t>לייזר־יעקב</w:t>
      </w:r>
      <w:proofErr w:type="spellEnd"/>
      <w:r>
        <w:rPr>
          <w:rtl/>
        </w:rPr>
        <w:t xml:space="preserve"> ברגל לברלין כדי לעורר את דעת הקהל בחוץ לארץ נגד הנעשה ליהודים ברוסיה.</w:t>
      </w:r>
      <w:bookmarkStart w:id="2407" w:name="_fnr1563"/>
      <w:r>
        <w:rPr>
          <w:rStyle w:val="a5"/>
        </w:rPr>
        <w:footnoteReference w:id="1566" w:customMarkFollows="0"/>
      </w:r>
      <w:bookmarkEnd w:id="2407"/>
      <w:r>
        <w:rPr>
          <w:rtl/>
        </w:rPr>
        <w:t xml:space="preserve"> </w:t>
      </w:r>
      <w:proofErr w:type="spellStart"/>
      <w:r>
        <w:rPr>
          <w:rtl/>
        </w:rPr>
        <w:t>בתרנ״ד</w:t>
      </w:r>
      <w:proofErr w:type="spellEnd"/>
      <w:r>
        <w:rPr>
          <w:rtl/>
        </w:rPr>
        <w:t xml:space="preserve"> נדד – כנראה שוב ברגל</w:t>
      </w:r>
      <w:bookmarkStart w:id="2408" w:name="_fnr1564"/>
      <w:r>
        <w:rPr>
          <w:rStyle w:val="a5"/>
        </w:rPr>
        <w:footnoteReference w:id="1567" w:customMarkFollows="0"/>
      </w:r>
      <w:bookmarkEnd w:id="2408"/>
      <w:r>
        <w:rPr>
          <w:rtl/>
        </w:rPr>
        <w:t xml:space="preserve"> – </w:t>
      </w:r>
      <w:proofErr w:type="spellStart"/>
      <w:r>
        <w:rPr>
          <w:rtl/>
        </w:rPr>
        <w:t>בווהלין</w:t>
      </w:r>
      <w:proofErr w:type="spellEnd"/>
      <w:r>
        <w:rPr>
          <w:rtl/>
        </w:rPr>
        <w:t>, 800 קילומטרים משם, בניסיון להקים שם ישיבות.</w:t>
      </w:r>
      <w:bookmarkStart w:id="2409" w:name="_fnr1565"/>
      <w:r>
        <w:rPr>
          <w:rStyle w:val="a5"/>
        </w:rPr>
        <w:footnoteReference w:id="1568" w:customMarkFollows="0"/>
      </w:r>
      <w:bookmarkEnd w:id="2409"/>
      <w:r>
        <w:rPr>
          <w:rtl/>
        </w:rPr>
        <w:t xml:space="preserve"> השווה גם כץ, שם,</w:t>
      </w:r>
      <w:bookmarkStart w:id="2410" w:name="_fnr1566"/>
      <w:r>
        <w:rPr>
          <w:rStyle w:val="a5"/>
        </w:rPr>
        <w:footnoteReference w:id="1569" w:customMarkFollows="0"/>
      </w:r>
      <w:bookmarkEnd w:id="2410"/>
      <w:r>
        <w:rPr>
          <w:rtl/>
        </w:rPr>
        <w:t xml:space="preserve"> שר׳ </w:t>
      </w:r>
      <w:proofErr w:type="spellStart"/>
      <w:r>
        <w:rPr>
          <w:rtl/>
        </w:rPr>
        <w:t>הירשל׳ה</w:t>
      </w:r>
      <w:proofErr w:type="spellEnd"/>
      <w:r>
        <w:rPr>
          <w:rtl/>
        </w:rPr>
        <w:t xml:space="preserve"> </w:t>
      </w:r>
      <w:proofErr w:type="spellStart"/>
      <w:r>
        <w:rPr>
          <w:rtl/>
        </w:rPr>
        <w:t>לויטן</w:t>
      </w:r>
      <w:bookmarkStart w:id="2411" w:name="_fnr1567"/>
      <w:proofErr w:type="spellEnd"/>
      <w:r>
        <w:rPr>
          <w:rStyle w:val="a5"/>
        </w:rPr>
        <w:footnoteReference w:id="1570" w:customMarkFollows="0"/>
      </w:r>
      <w:bookmarkEnd w:id="2411"/>
      <w:r>
        <w:rPr>
          <w:rtl/>
        </w:rPr>
        <w:t xml:space="preserve">, מייסד ישיבת ר׳ </w:t>
      </w:r>
      <w:proofErr w:type="spellStart"/>
      <w:r>
        <w:rPr>
          <w:rtl/>
        </w:rPr>
        <w:t>הירשל׳ה</w:t>
      </w:r>
      <w:proofErr w:type="spellEnd"/>
      <w:r>
        <w:rPr>
          <w:rtl/>
        </w:rPr>
        <w:t xml:space="preserve"> </w:t>
      </w:r>
      <w:proofErr w:type="spellStart"/>
      <w:r>
        <w:rPr>
          <w:rtl/>
        </w:rPr>
        <w:t>בסלבודקה</w:t>
      </w:r>
      <w:proofErr w:type="spellEnd"/>
      <w:r>
        <w:rPr>
          <w:rtl/>
        </w:rPr>
        <w:t>, הלך עמו, ובאותו מקור נזכרים שניים מסגל המורים של הישיבות החדשות שהוקמו.</w:t>
      </w:r>
    </w:p>
    <w:p w14:paraId="034FF23A" w14:textId="77777777" w:rsidR="00AB3647" w:rsidRDefault="00000000" w:rsidP="007923E9">
      <w:pPr>
        <w:spacing w:after="120" w:line="276" w:lineRule="auto"/>
        <w:ind w:firstLine="283"/>
        <w:jc w:val="both"/>
      </w:pPr>
      <w:r>
        <w:rPr>
          <w:rtl/>
        </w:rPr>
        <w:t>מאמר בשם “</w:t>
      </w:r>
      <w:proofErr w:type="spellStart"/>
      <w:r>
        <w:rPr>
          <w:rtl/>
        </w:rPr>
        <w:t>זכרונות</w:t>
      </w:r>
      <w:proofErr w:type="spellEnd"/>
      <w:r>
        <w:rPr>
          <w:rtl/>
        </w:rPr>
        <w:t xml:space="preserve"> מראשית </w:t>
      </w:r>
      <w:proofErr w:type="spellStart"/>
      <w:r>
        <w:rPr>
          <w:rtl/>
        </w:rPr>
        <w:t>התיסדות</w:t>
      </w:r>
      <w:proofErr w:type="spellEnd"/>
      <w:r>
        <w:rPr>
          <w:rtl/>
        </w:rPr>
        <w:t xml:space="preserve"> מקומות התורה בליטא” מאת רב </w:t>
      </w:r>
      <w:proofErr w:type="spellStart"/>
      <w:r>
        <w:rPr>
          <w:rtl/>
        </w:rPr>
        <w:t>קופישוק</w:t>
      </w:r>
      <w:proofErr w:type="spellEnd"/>
      <w:r>
        <w:rPr>
          <w:rtl/>
        </w:rPr>
        <w:t xml:space="preserve"> אליהו מאיר </w:t>
      </w:r>
      <w:proofErr w:type="spellStart"/>
      <w:r>
        <w:rPr>
          <w:rtl/>
        </w:rPr>
        <w:t>פייבלזון</w:t>
      </w:r>
      <w:proofErr w:type="spellEnd"/>
      <w:r>
        <w:rPr>
          <w:rtl/>
        </w:rPr>
        <w:t xml:space="preserve"> </w:t>
      </w:r>
      <w:proofErr w:type="spellStart"/>
      <w:r>
        <w:rPr>
          <w:rtl/>
        </w:rPr>
        <w:t>ב“תבונה</w:t>
      </w:r>
      <w:proofErr w:type="spellEnd"/>
      <w:r>
        <w:rPr>
          <w:rtl/>
        </w:rPr>
        <w:t>”</w:t>
      </w:r>
      <w:bookmarkStart w:id="2412" w:name="_fnr1568"/>
      <w:r>
        <w:rPr>
          <w:rStyle w:val="a5"/>
        </w:rPr>
        <w:footnoteReference w:id="1571" w:customMarkFollows="0"/>
      </w:r>
      <w:bookmarkEnd w:id="2412"/>
      <w:r>
        <w:rPr>
          <w:rtl/>
        </w:rPr>
        <w:t xml:space="preserve"> מתאר את דלותו של ר׳ </w:t>
      </w:r>
      <w:proofErr w:type="spellStart"/>
      <w:r>
        <w:rPr>
          <w:rtl/>
        </w:rPr>
        <w:t>לייזר־יעקב</w:t>
      </w:r>
      <w:proofErr w:type="spellEnd"/>
      <w:r>
        <w:rPr>
          <w:rtl/>
        </w:rPr>
        <w:t xml:space="preserve"> במשפט זה: “(מזונו של </w:t>
      </w:r>
      <w:proofErr w:type="spellStart"/>
      <w:r>
        <w:rPr>
          <w:rtl/>
        </w:rPr>
        <w:t xml:space="preserve">חווס</w:t>
      </w:r>
      <w:proofErr w:type="spellEnd"/>
      <w:r>
        <w:rPr>
          <w:rtl/>
        </w:rPr>
        <w:t>) היה לחם והרינג” – אלה היו פריטי המזון הזולים ביותר ומזונם הבסיסי של העניים – “ובמשך שנים רבות חי חיי צער גדול לכבוד התורה ולומדיה.”</w:t>
      </w:r>
    </w:p>
    <w:p w14:paraId="2D0C5837" w14:textId="77777777" w:rsidR="00AB3647" w:rsidRDefault="00000000" w:rsidP="007923E9">
      <w:pPr>
        <w:pStyle w:val="4"/>
        <w:spacing w:line="276" w:lineRule="auto"/>
      </w:pPr>
      <w:r>
        <w:t>· הפסקה השנייה ·</w:t>
      </w:r>
    </w:p>
    <w:p w14:paraId="4DA0F1DA" w14:textId="77777777" w:rsidR="00AB3647" w:rsidRDefault="00000000" w:rsidP="007923E9">
      <w:pPr>
        <w:pStyle w:val="5"/>
        <w:spacing w:line="276" w:lineRule="auto"/>
      </w:pPr>
      <w:r>
        <w:t xml:space="preserve">ארוסתו של ר׳ נפתלי </w:t>
      </w:r>
      <w:proofErr w:type="spellStart"/>
      <w:r>
        <w:t>טרופ</w:t>
      </w:r>
      <w:proofErr w:type="spellEnd"/>
      <w:r>
        <w:t xml:space="preserve">, בתו של הסבא, מתה ור׳ נפתלי נעשה חתנו של ר׳ </w:t>
      </w:r>
      <w:proofErr w:type="spellStart"/>
      <w:r>
        <w:t>לייזר־יעקב</w:t>
      </w:r>
      <w:proofErr w:type="spellEnd"/>
      <w:r>
        <w:t xml:space="preserve"> – רבנו נזכר ברב </w:t>
      </w:r>
      <w:proofErr w:type="spellStart"/>
      <w:r>
        <w:t>טרופ</w:t>
      </w:r>
      <w:proofErr w:type="spellEnd"/>
    </w:p>
    <w:p w14:paraId="326B07B2" w14:textId="77777777" w:rsidR="00AB3647" w:rsidRDefault="00000000" w:rsidP="007923E9">
      <w:pPr>
        <w:spacing w:after="120" w:line="276" w:lineRule="auto"/>
        <w:ind w:firstLine="283"/>
        <w:jc w:val="both"/>
      </w:pPr>
      <w:r>
        <w:rPr>
          <w:rtl/>
        </w:rPr>
        <w:t xml:space="preserve">אף שחסרו </w:t>
      </w:r>
      <w:proofErr w:type="spellStart"/>
      <w:r>
        <w:rPr>
          <w:rtl/>
        </w:rPr>
        <w:t>לר</w:t>
      </w:r>
      <w:proofErr w:type="spellEnd"/>
      <w:r>
        <w:rPr>
          <w:rtl/>
        </w:rPr>
        <w:t xml:space="preserve">׳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כישורי ההוראה של הסבא, היה קרוב אליו בהשקפתו בדברים אלה: (א) היה מסור להפצת התורה, (ב) היה קשור יותר לבני תורה בכלל מאשר לילדיו שלו, (ג) לא ייחס ערך לקניינים חומריים, (ד) נרתע מפרסום.</w:t>
      </w:r>
      <w:bookmarkStart w:id="2413" w:name="_fnr1569"/>
      <w:r>
        <w:rPr>
          <w:rStyle w:val="a5"/>
        </w:rPr>
        <w:footnoteReference w:id="1572" w:customMarkFollows="0"/>
      </w:r>
      <w:bookmarkEnd w:id="2413"/>
    </w:p>
    <w:p w14:paraId="4F1306CA" w14:textId="77777777" w:rsidR="00AB3647" w:rsidRDefault="00000000" w:rsidP="007923E9">
      <w:pPr>
        <w:spacing w:after="120" w:line="276" w:lineRule="auto"/>
        <w:ind w:firstLine="283"/>
        <w:jc w:val="both"/>
      </w:pPr>
      <w:r>
        <w:rPr>
          <w:rtl/>
        </w:rPr>
        <w:lastRenderedPageBreak/>
        <w:t xml:space="preserve">בתו של ר׳ </w:t>
      </w:r>
      <w:proofErr w:type="spellStart"/>
      <w:r>
        <w:rPr>
          <w:rtl/>
        </w:rPr>
        <w:t>לייזר־יעקב</w:t>
      </w:r>
      <w:proofErr w:type="spellEnd"/>
      <w:r>
        <w:rPr>
          <w:rtl/>
        </w:rPr>
        <w:t xml:space="preserve"> נישאה </w:t>
      </w:r>
      <w:proofErr w:type="spellStart"/>
      <w:r>
        <w:rPr>
          <w:rtl/>
        </w:rPr>
        <w:t>לר</w:t>
      </w:r>
      <w:proofErr w:type="spellEnd"/>
      <w:r>
        <w:rPr>
          <w:rtl/>
        </w:rPr>
        <w:t xml:space="preserve">׳ נפתלי </w:t>
      </w:r>
      <w:proofErr w:type="spellStart"/>
      <w:r>
        <w:rPr>
          <w:rtl/>
        </w:rPr>
        <w:t>טרופ</w:t>
      </w:r>
      <w:proofErr w:type="spellEnd"/>
      <w:r>
        <w:rPr>
          <w:rtl/>
        </w:rPr>
        <w:t xml:space="preserve"> – אותו אדם שהיה מאורס לבתו של הסבא! אין זה רחוק לשער שכשמתה בתו של הסבא,</w:t>
      </w:r>
      <w:bookmarkStart w:id="2414" w:name="_fnr1570"/>
      <w:r>
        <w:rPr>
          <w:rStyle w:val="a5"/>
        </w:rPr>
        <w:footnoteReference w:id="1573" w:customMarkFollows="0"/>
      </w:r>
      <w:bookmarkEnd w:id="2414"/>
      <w:r>
        <w:rPr>
          <w:rtl/>
        </w:rPr>
        <w:t xml:space="preserve"> הציע הסבא עצמו </w:t>
      </w:r>
      <w:proofErr w:type="spellStart"/>
      <w:r>
        <w:rPr>
          <w:rtl/>
        </w:rPr>
        <w:t>לר</w:t>
      </w:r>
      <w:proofErr w:type="spellEnd"/>
      <w:r>
        <w:rPr>
          <w:rtl/>
        </w:rPr>
        <w:t xml:space="preserve">׳ נפתלי את השידוך עם בתו של ר׳ </w:t>
      </w:r>
      <w:proofErr w:type="spellStart"/>
      <w:r>
        <w:rPr>
          <w:rtl/>
        </w:rPr>
        <w:t>לייזר־יעקב</w:t>
      </w:r>
      <w:proofErr w:type="spellEnd"/>
      <w:r>
        <w:rPr>
          <w:rtl/>
        </w:rPr>
        <w:t xml:space="preserve">. הלוא בתו של ר׳ </w:t>
      </w:r>
      <w:proofErr w:type="spellStart"/>
      <w:r>
        <w:rPr>
          <w:rtl/>
        </w:rPr>
        <w:t>לייזר־יעקב</w:t>
      </w:r>
      <w:proofErr w:type="spellEnd"/>
      <w:r>
        <w:rPr>
          <w:rtl/>
        </w:rPr>
        <w:t xml:space="preserve"> גודלה בידי אב מאותו סוג ועל אותם אידיאלים כמו האישה שמלאך המוות גזל ממנו. לפי ר׳ שמואל דישון,</w:t>
      </w:r>
      <w:bookmarkStart w:id="2415" w:name="_fnr1571"/>
      <w:r>
        <w:rPr>
          <w:rStyle w:val="a5"/>
        </w:rPr>
        <w:footnoteReference w:id="1574" w:customMarkFollows="0"/>
      </w:r>
      <w:bookmarkEnd w:id="2415"/>
      <w:r>
        <w:rPr>
          <w:rtl/>
        </w:rPr>
        <w:t xml:space="preserve"> כינה אבי את ר׳ נפתלי “מלאך” כשהספיד את בנו ר׳ אברהם </w:t>
      </w:r>
      <w:proofErr w:type="spellStart"/>
      <w:r>
        <w:rPr>
          <w:rtl/>
        </w:rPr>
        <w:t>טרופ</w:t>
      </w:r>
      <w:proofErr w:type="spellEnd"/>
      <w:r>
        <w:rPr>
          <w:rtl/>
        </w:rPr>
        <w:t xml:space="preserve"> ותיאר את הבית שבו גדל המנוח. לפיכך אין זה מופרך</w:t>
      </w:r>
      <w:r>
        <w:t xml:space="preserve"> </w:t>
      </w:r>
      <w:r>
        <w:rPr>
          <w:rtl/>
        </w:rPr>
        <w:t xml:space="preserve">לשער שהסבא הרגיש שר׳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 אף הוא מלאך ממש – מתאים להיות חמיו של ר׳ נפתלי עוד יותר ממנו עצמו.</w:t>
      </w:r>
    </w:p>
    <w:p w14:paraId="27F84608" w14:textId="77777777" w:rsidR="00AB3647" w:rsidRDefault="00000000" w:rsidP="007923E9">
      <w:pPr>
        <w:spacing w:after="120" w:line="276" w:lineRule="auto"/>
        <w:ind w:firstLine="283"/>
        <w:jc w:val="both"/>
      </w:pPr>
      <w:r>
        <w:rPr>
          <w:rtl/>
        </w:rPr>
        <w:t>ר׳ ישעיה זינגר מסר</w:t>
      </w:r>
      <w:bookmarkStart w:id="2416" w:name="_fnr1572"/>
      <w:r>
        <w:rPr>
          <w:rStyle w:val="a5"/>
        </w:rPr>
        <w:footnoteReference w:id="1575" w:customMarkFollows="0"/>
      </w:r>
      <w:bookmarkEnd w:id="2416"/>
      <w:r>
        <w:rPr>
          <w:rtl/>
        </w:rPr>
        <w:t xml:space="preserve"> בשם סבתו, כלתו של ר׳ נפתלי, שהסבא הציע תחילה </w:t>
      </w:r>
      <w:proofErr w:type="spellStart"/>
      <w:r>
        <w:rPr>
          <w:rtl/>
        </w:rPr>
        <w:t>לר</w:t>
      </w:r>
      <w:proofErr w:type="spellEnd"/>
      <w:r>
        <w:rPr>
          <w:rtl/>
        </w:rPr>
        <w:t xml:space="preserve">׳ נפתלי לשאת את אחותה הצעירה של ארוסתו, בתו השנייה של ר׳ </w:t>
      </w:r>
      <w:proofErr w:type="spellStart"/>
      <w:r>
        <w:rPr>
          <w:rtl/>
        </w:rPr>
        <w:t>נתן־צבי</w:t>
      </w:r>
      <w:proofErr w:type="spellEnd"/>
      <w:r>
        <w:rPr>
          <w:rtl/>
        </w:rPr>
        <w:t>.</w:t>
      </w:r>
      <w:bookmarkStart w:id="2417" w:name="_fnr1573"/>
      <w:r>
        <w:rPr>
          <w:rStyle w:val="a5"/>
        </w:rPr>
        <w:footnoteReference w:id="1576" w:customMarkFollows="0"/>
      </w:r>
      <w:bookmarkEnd w:id="2417"/>
      <w:r>
        <w:rPr>
          <w:rtl/>
        </w:rPr>
        <w:t xml:space="preserve"> אבל ר׳ נפתלי דחה את ההצעה, באמרו שהטרגדיה גרמה לו לחשוש שאינו ראוי להיות חתנו של הסבא.</w:t>
      </w:r>
    </w:p>
    <w:p w14:paraId="7AA361CA" w14:textId="3C484F7B" w:rsidR="00AB3647" w:rsidRDefault="00000000" w:rsidP="007923E9">
      <w:pPr>
        <w:spacing w:after="120" w:line="276" w:lineRule="auto"/>
        <w:ind w:firstLine="283"/>
        <w:jc w:val="both"/>
      </w:pPr>
      <w:r>
        <w:rPr>
          <w:rtl/>
        </w:rPr>
        <w:t xml:space="preserve">אחרי חתונתו </w:t>
      </w:r>
      <w:proofErr w:type="spellStart"/>
      <w:r>
        <w:rPr>
          <w:rtl/>
        </w:rPr>
        <w:t>בתרנ״ה</w:t>
      </w:r>
      <w:proofErr w:type="spellEnd"/>
      <w:r>
        <w:rPr>
          <w:rtl/>
        </w:rPr>
        <w:t xml:space="preserve"> המשיך ר׳ נפתלי, תלמידו של ר׳ </w:t>
      </w:r>
      <w:proofErr w:type="spellStart"/>
      <w:r>
        <w:rPr>
          <w:rtl/>
        </w:rPr>
        <w:t>איצל׳ה</w:t>
      </w:r>
      <w:proofErr w:type="spellEnd"/>
      <w:r>
        <w:rPr>
          <w:rtl/>
        </w:rPr>
        <w:t xml:space="preserve"> </w:t>
      </w:r>
      <w:proofErr w:type="spellStart"/>
      <w:r>
        <w:rPr>
          <w:rtl/>
        </w:rPr>
        <w:t>מפוניבז</w:t>
      </w:r>
      <w:proofErr w:type="spellEnd"/>
      <w:r>
        <w:rPr>
          <w:rtl/>
        </w:rPr>
        <w:t xml:space="preserve">׳ </w:t>
      </w:r>
      <w:proofErr w:type="spellStart"/>
      <w:r>
        <w:rPr>
          <w:rtl/>
        </w:rPr>
        <w:t>בסלבודקה</w:t>
      </w:r>
      <w:proofErr w:type="spellEnd"/>
      <w:r>
        <w:rPr>
          <w:rtl/>
        </w:rPr>
        <w:t xml:space="preserve"> </w:t>
      </w:r>
      <w:proofErr w:type="spellStart"/>
      <w:r>
        <w:rPr>
          <w:rtl/>
        </w:rPr>
        <w:t>ובגורז׳ד</w:t>
      </w:r>
      <w:proofErr w:type="spellEnd"/>
      <w:r>
        <w:rPr>
          <w:rtl/>
        </w:rPr>
        <w:t xml:space="preserve"> (ראה תחילת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ללמוד תורה כמה שנים </w:t>
      </w:r>
      <w:proofErr w:type="spellStart"/>
      <w:r>
        <w:rPr>
          <w:rtl/>
        </w:rPr>
        <w:t>בקלם</w:t>
      </w:r>
      <w:proofErr w:type="spellEnd"/>
      <w:r>
        <w:rPr>
          <w:rtl/>
        </w:rPr>
        <w:t xml:space="preserve"> אצל ר׳ </w:t>
      </w:r>
      <w:proofErr w:type="spellStart"/>
      <w:r>
        <w:rPr>
          <w:rtl/>
        </w:rPr>
        <w:t>שמחה־זיסל</w:t>
      </w:r>
      <w:proofErr w:type="spellEnd"/>
      <w:r>
        <w:rPr>
          <w:rtl/>
        </w:rPr>
        <w:t xml:space="preserve"> זיו. אחר כך קיבל משרת ר״מ בישיבת ר׳ </w:t>
      </w:r>
      <w:proofErr w:type="spellStart"/>
      <w:r>
        <w:rPr>
          <w:rtl/>
        </w:rPr>
        <w:t>הירשל׳ה</w:t>
      </w:r>
      <w:proofErr w:type="spellEnd"/>
      <w:r>
        <w:rPr>
          <w:rtl/>
        </w:rPr>
        <w:t xml:space="preserve">, הישיבה הקטנה שייסד עמיתו של חמיו (הנזכר בסוף הפסקה הראשונה לעיל). הרב </w:t>
      </w:r>
      <w:proofErr w:type="spellStart"/>
      <w:r>
        <w:rPr>
          <w:rtl/>
        </w:rPr>
        <w:t>טרופ</w:t>
      </w:r>
      <w:proofErr w:type="spellEnd"/>
      <w:r>
        <w:rPr>
          <w:rtl/>
        </w:rPr>
        <w:t xml:space="preserve"> נודע שם, כמו בשנותיו המוקדמות </w:t>
      </w:r>
      <w:proofErr w:type="spellStart"/>
      <w:r>
        <w:rPr>
          <w:rtl/>
        </w:rPr>
        <w:t>בסלבודקה</w:t>
      </w:r>
      <w:proofErr w:type="spellEnd"/>
      <w:r>
        <w:rPr>
          <w:rtl/>
        </w:rPr>
        <w:t xml:space="preserve">, על שם עיר הולדתו, כר׳ נפתלי </w:t>
      </w:r>
      <w:proofErr w:type="spellStart"/>
      <w:r>
        <w:rPr>
          <w:rtl/>
        </w:rPr>
        <w:t>גרודנר</w:t>
      </w:r>
      <w:proofErr w:type="spellEnd"/>
      <w:r>
        <w:rPr>
          <w:rtl/>
        </w:rPr>
        <w:t>.</w:t>
      </w:r>
    </w:p>
    <w:p w14:paraId="68EB8E1F" w14:textId="77777777" w:rsidR="00AB3647" w:rsidRDefault="00000000" w:rsidP="007923E9">
      <w:pPr>
        <w:spacing w:after="120" w:line="276" w:lineRule="auto"/>
        <w:ind w:firstLine="283"/>
        <w:jc w:val="both"/>
      </w:pPr>
      <w:r>
        <w:rPr>
          <w:rtl/>
        </w:rPr>
        <w:t xml:space="preserve">אבי סיפר לרב זינגר שהוא זוכר כיצד בילה ר׳ נפתלי את הימים הנוראים </w:t>
      </w:r>
      <w:proofErr w:type="spellStart"/>
      <w:r>
        <w:rPr>
          <w:rtl/>
        </w:rPr>
        <w:t>בסלבודקה</w:t>
      </w:r>
      <w:proofErr w:type="spellEnd"/>
      <w:r>
        <w:rPr>
          <w:rtl/>
        </w:rPr>
        <w:t xml:space="preserve">. היה זה בשנים הראשונות לכהונתו כראש ישיבה </w:t>
      </w:r>
      <w:proofErr w:type="spellStart"/>
      <w:r>
        <w:rPr>
          <w:rtl/>
        </w:rPr>
        <w:t>בראדין</w:t>
      </w:r>
      <w:proofErr w:type="spellEnd"/>
      <w:r>
        <w:rPr>
          <w:rtl/>
        </w:rPr>
        <w:t xml:space="preserve">, כשאבי כבר הגיע </w:t>
      </w:r>
      <w:proofErr w:type="spellStart"/>
      <w:r>
        <w:rPr>
          <w:rtl/>
        </w:rPr>
        <w:t>לסלבודקה</w:t>
      </w:r>
      <w:proofErr w:type="spellEnd"/>
      <w:r>
        <w:rPr>
          <w:rtl/>
        </w:rPr>
        <w:t>. לפי גיליון זיכרון של “תבונה”</w:t>
      </w:r>
      <w:bookmarkStart w:id="2418" w:name="_fnr1574"/>
      <w:r>
        <w:rPr>
          <w:rStyle w:val="a5"/>
        </w:rPr>
        <w:footnoteReference w:id="1577" w:customMarkFollows="0"/>
      </w:r>
      <w:bookmarkEnd w:id="2418"/>
      <w:r>
        <w:rPr>
          <w:rtl/>
        </w:rPr>
        <w:t xml:space="preserve"> שיצא לאור </w:t>
      </w:r>
      <w:proofErr w:type="spellStart"/>
      <w:r>
        <w:rPr>
          <w:rtl/>
        </w:rPr>
        <w:t>בתרפ״ח</w:t>
      </w:r>
      <w:proofErr w:type="spellEnd"/>
      <w:r>
        <w:rPr>
          <w:rtl/>
        </w:rPr>
        <w:t xml:space="preserve">, היה זה [גם] “בזכות מאמציו והשפעתו של הסבא” </w:t>
      </w:r>
      <w:proofErr w:type="spellStart"/>
      <w:r>
        <w:rPr>
          <w:rtl/>
        </w:rPr>
        <w:t>ש“לקח</w:t>
      </w:r>
      <w:proofErr w:type="spellEnd"/>
      <w:r>
        <w:rPr>
          <w:rtl/>
        </w:rPr>
        <w:t xml:space="preserve"> </w:t>
      </w:r>
      <w:proofErr w:type="spellStart"/>
      <w:r>
        <w:rPr>
          <w:rtl/>
        </w:rPr>
        <w:t>החפץ־חיים</w:t>
      </w:r>
      <w:proofErr w:type="spellEnd"/>
      <w:r>
        <w:rPr>
          <w:rtl/>
        </w:rPr>
        <w:t xml:space="preserve"> את הרב </w:t>
      </w:r>
      <w:proofErr w:type="spellStart"/>
      <w:r>
        <w:rPr>
          <w:rtl/>
        </w:rPr>
        <w:t>טרופ</w:t>
      </w:r>
      <w:proofErr w:type="spellEnd"/>
      <w:r>
        <w:rPr>
          <w:rtl/>
        </w:rPr>
        <w:t xml:space="preserve"> למגיד שיעור בכיר בישיבתו </w:t>
      </w:r>
      <w:proofErr w:type="spellStart"/>
      <w:r>
        <w:rPr>
          <w:rtl/>
        </w:rPr>
        <w:t>בראדין</w:t>
      </w:r>
      <w:proofErr w:type="spellEnd"/>
      <w:r>
        <w:rPr>
          <w:rtl/>
        </w:rPr>
        <w:t xml:space="preserve">” </w:t>
      </w:r>
      <w:proofErr w:type="spellStart"/>
      <w:r>
        <w:rPr>
          <w:rtl/>
        </w:rPr>
        <w:t>בתרס״ד</w:t>
      </w:r>
      <w:proofErr w:type="spellEnd"/>
      <w:r>
        <w:rPr>
          <w:rtl/>
        </w:rPr>
        <w:t>. השווה גם “ספר מאיר עיני ישראל”,</w:t>
      </w:r>
      <w:bookmarkStart w:id="2419" w:name="_fnr1575"/>
      <w:r>
        <w:rPr>
          <w:rStyle w:val="a5"/>
        </w:rPr>
        <w:footnoteReference w:id="1578" w:customMarkFollows="0"/>
      </w:r>
      <w:bookmarkEnd w:id="2419"/>
      <w:r>
        <w:rPr>
          <w:rtl/>
        </w:rPr>
        <w:t xml:space="preserve"> שבו מספר תלמיד </w:t>
      </w:r>
      <w:proofErr w:type="spellStart"/>
      <w:r>
        <w:rPr>
          <w:rtl/>
        </w:rPr>
        <w:t>ראדין</w:t>
      </w:r>
      <w:proofErr w:type="spellEnd"/>
      <w:r>
        <w:rPr>
          <w:rtl/>
        </w:rPr>
        <w:t xml:space="preserve"> ר׳ קלמן פרבר: “מלבד השיעורים שמסר בקביעות, גדול היה כוחו של ר׳ נפתלי גם בתורת המוסר, והיה מוסר </w:t>
      </w:r>
      <w:proofErr w:type="spellStart"/>
      <w:r>
        <w:rPr>
          <w:rtl/>
        </w:rPr>
        <w:t>שמועסין</w:t>
      </w:r>
      <w:proofErr w:type="spellEnd"/>
      <w:r>
        <w:rPr>
          <w:rtl/>
        </w:rPr>
        <w:t xml:space="preserve"> במוסר בהזדמנויות מיוחדות, כגון בערבי ראש השנה ובימי אלול.”</w:t>
      </w:r>
    </w:p>
    <w:bookmarkStart w:id="2420" w:name="b3_excD"/>
    <w:p w14:paraId="2FB83253" w14:textId="77777777" w:rsidR="00AB3647" w:rsidRDefault="00000000" w:rsidP="007923E9">
      <w:pPr>
        <w:pStyle w:val="3"/>
        <w:spacing w:line="276" w:lineRule="auto"/>
      </w:pPr>
      <w:r>
        <w:lastRenderedPageBreak/>
        <w:fldChar w:fldCharType="begin" w:dirty="true"/>
      </w:r>
      <w:r>
        <w:rPr>
          <w:rtl w:val="0"/>
        </w:rPr>
        <w:instrText>HYPERLINK \l "b3_note24</w:instrText>
      </w:r>
      <w:r>
        <w:instrText>"</w:instrText>
      </w:r>
      <w:r>
        <w:fldChar w:fldCharType="separate"/>
      </w:r>
      <w:r>
        <w:t>נספח ד</w:t>
      </w:r>
      <w:r>
        <w:fldChar w:fldCharType="end"/>
      </w:r>
      <w:bookmarkEnd w:id="2420"/>
    </w:p>
    <w:p w14:paraId="486F65AE" w14:textId="77777777" w:rsidR="00AB3647" w:rsidRDefault="00000000" w:rsidP="007923E9">
      <w:pPr>
        <w:pStyle w:val="af"/>
        <w:spacing w:line="276" w:lineRule="auto"/>
      </w:pPr>
      <w:r>
        <w:t xml:space="preserve">על המחלוקת בין הסבא </w:t>
      </w:r>
      <w:proofErr w:type="spellStart"/>
      <w:r>
        <w:t>מסלבודקה</w:t>
      </w:r>
      <w:proofErr w:type="spellEnd"/>
      <w:r>
        <w:t xml:space="preserve"> לבין רבו, הסבא מקלם, ועל ההדרכה שקיבל מר׳ ישראל </w:t>
      </w:r>
      <w:proofErr w:type="spellStart"/>
      <w:r>
        <w:t>סלנטר</w:t>
      </w:r>
      <w:proofErr w:type="spellEnd"/>
    </w:p>
    <w:p w14:paraId="749CA1A5" w14:textId="77777777" w:rsidR="00AB3647" w:rsidRDefault="00000000" w:rsidP="007923E9">
      <w:pPr>
        <w:pStyle w:val="4"/>
        <w:spacing w:line="276" w:lineRule="auto"/>
      </w:pPr>
      <w:r>
        <w:t>· הפסקה הראשונה ·</w:t>
      </w:r>
    </w:p>
    <w:p w14:paraId="37F22430" w14:textId="77777777" w:rsidR="00AB3647" w:rsidRDefault="00000000" w:rsidP="007923E9">
      <w:pPr>
        <w:pStyle w:val="5"/>
        <w:spacing w:line="276" w:lineRule="auto"/>
      </w:pPr>
      <w:r>
        <w:t xml:space="preserve">ראשיתו של ר׳ </w:t>
      </w:r>
      <w:proofErr w:type="spellStart"/>
      <w:r>
        <w:t>נתן־צבי</w:t>
      </w:r>
      <w:proofErr w:type="spellEnd"/>
      <w:r>
        <w:t xml:space="preserve"> </w:t>
      </w:r>
      <w:proofErr w:type="spellStart"/>
      <w:r>
        <w:t>פינקל</w:t>
      </w:r>
      <w:proofErr w:type="spellEnd"/>
    </w:p>
    <w:p w14:paraId="5F6318FB" w14:textId="77777777" w:rsidR="00AB3647" w:rsidRDefault="00000000" w:rsidP="007923E9">
      <w:pPr>
        <w:spacing w:after="120" w:line="276" w:lineRule="auto"/>
        <w:ind w:firstLine="283"/>
        <w:jc w:val="both"/>
      </w:pPr>
      <w:r>
        <w:rPr>
          <w:rtl/>
        </w:rPr>
        <w:t xml:space="preserve">ר׳ </w:t>
      </w:r>
      <w:proofErr w:type="spellStart"/>
      <w:r>
        <w:rPr>
          <w:rtl/>
        </w:rPr>
        <w:t>נתן־צבי</w:t>
      </w:r>
      <w:proofErr w:type="spellEnd"/>
      <w:r>
        <w:rPr>
          <w:rtl/>
        </w:rPr>
        <w:t xml:space="preserve"> </w:t>
      </w:r>
      <w:proofErr w:type="spellStart"/>
      <w:r>
        <w:rPr>
          <w:rtl/>
        </w:rPr>
        <w:t>פינקל</w:t>
      </w:r>
      <w:proofErr w:type="spellEnd"/>
      <w:r>
        <w:rPr>
          <w:rtl/>
        </w:rPr>
        <w:t xml:space="preserve"> נולד </w:t>
      </w:r>
      <w:proofErr w:type="spellStart"/>
      <w:r>
        <w:rPr>
          <w:rtl/>
        </w:rPr>
        <w:t>בראסיין</w:t>
      </w:r>
      <w:proofErr w:type="spellEnd"/>
      <w:r>
        <w:rPr>
          <w:rtl/>
        </w:rPr>
        <w:t xml:space="preserve"> </w:t>
      </w:r>
      <w:proofErr w:type="spellStart"/>
      <w:r>
        <w:rPr>
          <w:rtl/>
        </w:rPr>
        <w:t>בתר״ט</w:t>
      </w:r>
      <w:proofErr w:type="spellEnd"/>
      <w:r>
        <w:rPr>
          <w:rtl/>
        </w:rPr>
        <w:t xml:space="preserve">, ואחרי נישואיו בעיירה קלם נעשה מגיד נודד. פעם אחת דרש לפני קהל בעיר הולדתו, ושמע אותו הרב המקומי, ר׳ </w:t>
      </w:r>
      <w:proofErr w:type="spellStart"/>
      <w:r>
        <w:rPr>
          <w:rtl/>
        </w:rPr>
        <w:t>אלכסנדר־משה</w:t>
      </w:r>
      <w:proofErr w:type="spellEnd"/>
      <w:r>
        <w:rPr>
          <w:rtl/>
        </w:rPr>
        <w:t xml:space="preserve"> לפידות.</w:t>
      </w:r>
      <w:bookmarkStart w:id="2421" w:name="_fnr1576"/>
      <w:r>
        <w:rPr>
          <w:rStyle w:val="a5"/>
        </w:rPr>
        <w:footnoteReference w:id="1579" w:customMarkFollows="0"/>
      </w:r>
      <w:bookmarkEnd w:id="2421"/>
      <w:r>
        <w:rPr>
          <w:rtl/>
        </w:rPr>
        <w:t xml:space="preserve"> הרב הבין שהסבא </w:t>
      </w:r>
      <w:proofErr w:type="spellStart"/>
      <w:r>
        <w:rPr>
          <w:rtl/>
        </w:rPr>
        <w:t>מסלבודקה</w:t>
      </w:r>
      <w:proofErr w:type="spellEnd"/>
      <w:r>
        <w:rPr>
          <w:rtl/>
        </w:rPr>
        <w:t xml:space="preserve"> מסוגל לעשות הרבה יותר למען עולם התורה, ושלח אותו עם מכתב המלצה </w:t>
      </w:r>
      <w:proofErr w:type="spellStart"/>
      <w:r>
        <w:rPr>
          <w:rtl/>
        </w:rPr>
        <w:t>לר</w:t>
      </w:r>
      <w:proofErr w:type="spellEnd"/>
      <w:r>
        <w:rPr>
          <w:rtl/>
        </w:rPr>
        <w:t xml:space="preserve">׳ </w:t>
      </w:r>
      <w:proofErr w:type="spellStart"/>
      <w:r>
        <w:rPr>
          <w:rtl/>
        </w:rPr>
        <w:t>שמחה־זיסל</w:t>
      </w:r>
      <w:proofErr w:type="spellEnd"/>
      <w:r>
        <w:rPr>
          <w:rtl/>
        </w:rPr>
        <w:t xml:space="preserve"> זיו, והסבא </w:t>
      </w:r>
      <w:proofErr w:type="spellStart"/>
      <w:r>
        <w:rPr>
          <w:rtl/>
        </w:rPr>
        <w:t>מסלבודקה</w:t>
      </w:r>
      <w:proofErr w:type="spellEnd"/>
      <w:r>
        <w:rPr>
          <w:rtl/>
        </w:rPr>
        <w:t xml:space="preserve"> נעשה לתלמידו.</w:t>
      </w:r>
      <w:bookmarkStart w:id="2422" w:name="_fnr1577"/>
      <w:r>
        <w:rPr>
          <w:rStyle w:val="a5"/>
        </w:rPr>
        <w:footnoteReference w:id="1580" w:customMarkFollows="0"/>
      </w:r>
      <w:bookmarkEnd w:id="2422"/>
    </w:p>
    <w:p w14:paraId="77C24353" w14:textId="77777777" w:rsidR="00AB3647" w:rsidRDefault="00000000" w:rsidP="007923E9">
      <w:pPr>
        <w:pStyle w:val="4"/>
        <w:spacing w:line="276" w:lineRule="auto"/>
      </w:pPr>
      <w:r>
        <w:t>· הפסקה השנייה ·</w:t>
      </w:r>
    </w:p>
    <w:p w14:paraId="729DC7CD" w14:textId="77777777" w:rsidR="00AB3647" w:rsidRDefault="00000000" w:rsidP="007923E9">
      <w:pPr>
        <w:pStyle w:val="5"/>
        <w:spacing w:line="276" w:lineRule="auto"/>
      </w:pPr>
      <w:r>
        <w:t xml:space="preserve">דרכיהם של ר׳ </w:t>
      </w:r>
      <w:proofErr w:type="spellStart"/>
      <w:r>
        <w:t>שמחה־זיסל</w:t>
      </w:r>
      <w:proofErr w:type="spellEnd"/>
      <w:r>
        <w:t xml:space="preserve"> זיו ושל ר׳ </w:t>
      </w:r>
      <w:proofErr w:type="spellStart"/>
      <w:r>
        <w:t>נתן־צבי</w:t>
      </w:r>
      <w:proofErr w:type="spellEnd"/>
      <w:r>
        <w:t xml:space="preserve"> </w:t>
      </w:r>
      <w:proofErr w:type="spellStart"/>
      <w:r>
        <w:t>פינקל</w:t>
      </w:r>
      <w:proofErr w:type="spellEnd"/>
      <w:r>
        <w:t xml:space="preserve"> נפרדות – רבנו סבור שלא הייתה מחלוקת פילוסופית – האחרון הוא תלמידו של הראשון, אך לא במלואו – ר׳ </w:t>
      </w:r>
      <w:proofErr w:type="spellStart"/>
      <w:r>
        <w:t>נתן־צבי</w:t>
      </w:r>
      <w:proofErr w:type="spellEnd"/>
      <w:r>
        <w:t xml:space="preserve"> אינו יכול להישאר בעיר קלם – הוא מחפש מקום לימים הנוראים – משפחת ר׳ </w:t>
      </w:r>
      <w:proofErr w:type="spellStart"/>
      <w:r>
        <w:t>שמחה־זיסל</w:t>
      </w:r>
      <w:proofErr w:type="spellEnd"/>
      <w:r>
        <w:t xml:space="preserve"> מתרחקת מהסבא </w:t>
      </w:r>
      <w:proofErr w:type="spellStart"/>
      <w:r>
        <w:t>מסלבודקה</w:t>
      </w:r>
      <w:proofErr w:type="spellEnd"/>
    </w:p>
    <w:p w14:paraId="2A06FF08" w14:textId="77777777" w:rsidR="00AB3647" w:rsidRDefault="00000000" w:rsidP="007923E9">
      <w:pPr>
        <w:spacing w:after="120" w:line="276" w:lineRule="auto"/>
        <w:ind w:firstLine="283"/>
        <w:jc w:val="both"/>
      </w:pPr>
      <w:bookmarkStart w:id="2423" w:name="pr_b_1049"/>
      <w:bookmarkEnd w:id="2423"/>
      <w:r>
        <w:rPr>
          <w:rtl/>
        </w:rPr>
        <w:t xml:space="preserve">יש דיווחים על חילוקי דעות פילוסופיים בין הסבא </w:t>
      </w:r>
      <w:proofErr w:type="spellStart"/>
      <w:r>
        <w:rPr>
          <w:rtl/>
        </w:rPr>
        <w:t>מסלבודקה</w:t>
      </w:r>
      <w:proofErr w:type="spellEnd"/>
      <w:r>
        <w:rPr>
          <w:rtl/>
        </w:rPr>
        <w:t xml:space="preserve"> לסבא מקלם. השווה כץ, “תנועת המוסר”, כרך ג, הקובע: “ידוע שלעתים היו הבדלי דעות בין הסבא </w:t>
      </w:r>
      <w:proofErr w:type="spellStart"/>
      <w:r>
        <w:rPr>
          <w:rtl/>
        </w:rPr>
        <w:t>מסלבודקה</w:t>
      </w:r>
      <w:proofErr w:type="spellEnd"/>
      <w:r>
        <w:rPr>
          <w:rtl/>
        </w:rPr>
        <w:t xml:space="preserve"> לסבא מקלם בהשקפות מסוימות. דבר זה הביא את ר׳ </w:t>
      </w:r>
      <w:proofErr w:type="spellStart"/>
      <w:r>
        <w:rPr>
          <w:rtl/>
        </w:rPr>
        <w:t>נתן־צבי</w:t>
      </w:r>
      <w:proofErr w:type="spellEnd"/>
      <w:r>
        <w:rPr>
          <w:rtl/>
        </w:rPr>
        <w:t xml:space="preserve"> לקבוע לעצמו דרך משלו בתיאוריית המוסר ובשיטות יישומה, שלעתים התנגדו לאלה של ר׳ </w:t>
      </w:r>
      <w:proofErr w:type="spellStart"/>
      <w:r>
        <w:rPr>
          <w:rtl/>
        </w:rPr>
        <w:t>שמחה־זיסל</w:t>
      </w:r>
      <w:proofErr w:type="spellEnd"/>
      <w:r>
        <w:rPr>
          <w:rtl/>
        </w:rPr>
        <w:t>.”</w:t>
      </w:r>
      <w:bookmarkStart w:id="2424" w:name="_fnr1578"/>
      <w:r>
        <w:rPr>
          <w:rStyle w:val="a5"/>
        </w:rPr>
        <w:footnoteReference w:id="1581" w:customMarkFollows="0"/>
      </w:r>
      <w:bookmarkEnd w:id="2424"/>
    </w:p>
    <w:p w14:paraId="69729D9C" w14:textId="77777777" w:rsidR="00AB3647" w:rsidRDefault="00000000" w:rsidP="007923E9">
      <w:pPr>
        <w:spacing w:after="120" w:line="276" w:lineRule="auto"/>
        <w:ind w:firstLine="283"/>
        <w:jc w:val="both"/>
      </w:pPr>
      <w:r>
        <w:rPr>
          <w:rtl/>
        </w:rPr>
        <w:t>השווה גם את המונוגרפיה החותמת את “ספר היובל לישיבת מקור חיים</w:t>
      </w:r>
      <w:bookmarkStart w:id="2425" w:name="_fnr1579"/>
      <w:r>
        <w:rPr>
          <w:rStyle w:val="a5"/>
        </w:rPr>
        <w:footnoteReference w:id="1582" w:customMarkFollows="0"/>
      </w:r>
      <w:bookmarkEnd w:id="2425"/>
      <w:r>
        <w:rPr>
          <w:rtl/>
        </w:rPr>
        <w:t>”, “במשך היובל המה יעלו”</w:t>
      </w:r>
      <w:bookmarkStart w:id="2426" w:name="_fnr1580"/>
      <w:r>
        <w:rPr>
          <w:rStyle w:val="a5"/>
        </w:rPr>
        <w:footnoteReference w:id="1583" w:customMarkFollows="0"/>
      </w:r>
      <w:bookmarkEnd w:id="2426"/>
      <w:r>
        <w:rPr>
          <w:rtl/>
        </w:rPr>
        <w:t xml:space="preserve">. שם מביא ר׳ חיים </w:t>
      </w:r>
      <w:proofErr w:type="spellStart"/>
      <w:r>
        <w:rPr>
          <w:rtl/>
        </w:rPr>
        <w:t>סרנא</w:t>
      </w:r>
      <w:proofErr w:type="spellEnd"/>
      <w:r>
        <w:rPr>
          <w:rtl/>
        </w:rPr>
        <w:t xml:space="preserve"> בשם אביו ר׳ </w:t>
      </w:r>
      <w:proofErr w:type="spellStart"/>
      <w:r>
        <w:rPr>
          <w:rtl/>
        </w:rPr>
        <w:t>חצקל</w:t>
      </w:r>
      <w:proofErr w:type="spellEnd"/>
      <w:r>
        <w:rPr>
          <w:rtl/>
        </w:rPr>
        <w:t xml:space="preserve">, שכשנאמר </w:t>
      </w:r>
      <w:proofErr w:type="spellStart"/>
      <w:r>
        <w:rPr>
          <w:rtl/>
        </w:rPr>
        <w:t>לר</w:t>
      </w:r>
      <w:proofErr w:type="spellEnd"/>
      <w:r>
        <w:rPr>
          <w:rtl/>
        </w:rPr>
        <w:t xml:space="preserve">׳ </w:t>
      </w:r>
      <w:proofErr w:type="spellStart"/>
      <w:r>
        <w:rPr>
          <w:rtl/>
        </w:rPr>
        <w:t>שמחה־זיסל</w:t>
      </w:r>
      <w:proofErr w:type="spellEnd"/>
      <w:r>
        <w:rPr>
          <w:rtl/>
        </w:rPr>
        <w:t xml:space="preserve"> שישיבתו של ר׳ </w:t>
      </w:r>
      <w:proofErr w:type="spellStart"/>
      <w:r>
        <w:rPr>
          <w:rtl/>
        </w:rPr>
        <w:t>נתן־צבי</w:t>
      </w:r>
      <w:proofErr w:type="spellEnd"/>
      <w:r>
        <w:rPr>
          <w:rtl/>
        </w:rPr>
        <w:t xml:space="preserve"> גדלה ל־300 תלמידים, הביע את מורת רוחו בהערה: “יש לו 300 כובעים [</w:t>
      </w:r>
      <w:proofErr w:type="spellStart"/>
      <w:r>
        <w:rPr>
          <w:rtl/>
        </w:rPr>
        <w:t>היטאלאך</w:t>
      </w:r>
      <w:proofErr w:type="spellEnd"/>
      <w:r>
        <w:rPr>
          <w:rtl/>
        </w:rPr>
        <w:t xml:space="preserve">].” ר׳ חיים מנסה לעמוד על מה שעורר את מורת רוחו של הסבא מקלם. ייתכן שר׳ </w:t>
      </w:r>
      <w:proofErr w:type="spellStart"/>
      <w:r>
        <w:rPr>
          <w:rtl/>
        </w:rPr>
        <w:t>שמחה־זיסל</w:t>
      </w:r>
      <w:proofErr w:type="spellEnd"/>
      <w:r>
        <w:rPr>
          <w:rtl/>
        </w:rPr>
        <w:t xml:space="preserve"> מתח ביקורת רק על המספר, משום שסבר שרק בעבודה עם קבוצה קטנה אפשר לקוות להעלות תלמידים לרמה שתורת המוסר דורשת. נראה שמורת רוח זו כלפי הסבא </w:t>
      </w:r>
      <w:proofErr w:type="spellStart"/>
      <w:r>
        <w:rPr>
          <w:rtl/>
        </w:rPr>
        <w:t>מסלבודקה</w:t>
      </w:r>
      <w:proofErr w:type="spellEnd"/>
      <w:r>
        <w:rPr>
          <w:rtl/>
        </w:rPr>
        <w:t xml:space="preserve"> הובעה כמה שנים אחרי תחילת שנות </w:t>
      </w:r>
      <w:proofErr w:type="spellStart"/>
      <w:r>
        <w:rPr>
          <w:rtl/>
        </w:rPr>
        <w:t xml:space="preserve">התר״נ</w:t>
      </w:r>
      <w:proofErr w:type="spellEnd"/>
      <w:r>
        <w:rPr>
          <w:rtl/>
        </w:rPr>
        <w:t xml:space="preserve">, כשישיבת </w:t>
      </w:r>
      <w:proofErr w:type="spellStart"/>
      <w:r>
        <w:rPr>
          <w:rtl/>
        </w:rPr>
        <w:t>סלבודקה</w:t>
      </w:r>
      <w:proofErr w:type="spellEnd"/>
      <w:r>
        <w:rPr>
          <w:rtl/>
        </w:rPr>
        <w:t xml:space="preserve"> מנתה מספר תלמידים כזה.</w:t>
      </w:r>
      <w:bookmarkStart w:id="2427" w:name="_fnr1581"/>
      <w:r>
        <w:rPr>
          <w:rStyle w:val="a5"/>
        </w:rPr>
        <w:footnoteReference w:id="1584" w:customMarkFollows="0"/>
      </w:r>
      <w:bookmarkEnd w:id="2427"/>
    </w:p>
    <w:p w14:paraId="6D15635A" w14:textId="77777777" w:rsidR="00AB3647" w:rsidRDefault="00000000" w:rsidP="007923E9">
      <w:pPr>
        <w:spacing w:after="120" w:line="276" w:lineRule="auto"/>
        <w:ind w:firstLine="283"/>
        <w:jc w:val="both"/>
      </w:pPr>
      <w:r>
        <w:rPr>
          <w:rtl/>
        </w:rPr>
        <w:lastRenderedPageBreak/>
        <w:t xml:space="preserve">ר׳ מאיר שפירא, שנולד </w:t>
      </w:r>
      <w:proofErr w:type="spellStart"/>
      <w:r>
        <w:rPr>
          <w:rtl/>
        </w:rPr>
        <w:t>בתרס״ה</w:t>
      </w:r>
      <w:proofErr w:type="spellEnd"/>
      <w:r>
        <w:rPr>
          <w:rtl/>
        </w:rPr>
        <w:t xml:space="preserve">, היה יליד קלם שהתייתם וגדל בבתי ילדיו של ר׳ </w:t>
      </w:r>
      <w:proofErr w:type="spellStart"/>
      <w:r>
        <w:rPr>
          <w:rtl/>
        </w:rPr>
        <w:t>שמחה־זיסל</w:t>
      </w:r>
      <w:proofErr w:type="spellEnd"/>
      <w:r>
        <w:rPr>
          <w:rtl/>
        </w:rPr>
        <w:t>. לעומת זאת, הוא מסר</w:t>
      </w:r>
      <w:bookmarkStart w:id="2428" w:name="_fnr1582"/>
      <w:r>
        <w:rPr>
          <w:rStyle w:val="a5"/>
        </w:rPr>
        <w:footnoteReference w:id="1585" w:customMarkFollows="0"/>
      </w:r>
      <w:bookmarkEnd w:id="2428"/>
      <w:r>
        <w:rPr>
          <w:rtl/>
        </w:rPr>
        <w:t xml:space="preserve"> שבחוגי ישיבות ליטא סברו שעיקר המחלוקת בין הסבא מקלם לסבא </w:t>
      </w:r>
      <w:proofErr w:type="spellStart"/>
      <w:r>
        <w:rPr>
          <w:rtl/>
        </w:rPr>
        <w:t>מסלבודקה</w:t>
      </w:r>
      <w:proofErr w:type="spellEnd"/>
      <w:r>
        <w:rPr>
          <w:rtl/>
        </w:rPr>
        <w:t xml:space="preserve"> היה אם התנועה צריכה להתרכז בהעמדת בעלי בתים או מנהיגים רבניים. המרואיין הוסיף: “למרות המחלוקת, מילות הסיום של מכתב ששלח ר׳ </w:t>
      </w:r>
      <w:proofErr w:type="spellStart"/>
      <w:r>
        <w:rPr>
          <w:rtl/>
        </w:rPr>
        <w:t>שמחה־זיסל</w:t>
      </w:r>
      <w:proofErr w:type="spellEnd"/>
      <w:r>
        <w:rPr>
          <w:rtl/>
        </w:rPr>
        <w:t xml:space="preserve"> לסבא </w:t>
      </w:r>
      <w:proofErr w:type="spellStart"/>
      <w:r>
        <w:rPr>
          <w:rtl/>
        </w:rPr>
        <w:t>מסלבודקה</w:t>
      </w:r>
      <w:proofErr w:type="spellEnd"/>
      <w:r>
        <w:rPr>
          <w:rtl/>
        </w:rPr>
        <w:t xml:space="preserve">, שראיתי, היו ‘מחלקך יהא חלקי’. דבר זה מורה שתהא המחלוקת בין השניים אשר תהא, היא יושבה אחר כך.” אבל ראה להלן שהפער לא גושר בחיי ר׳ </w:t>
      </w:r>
      <w:proofErr w:type="spellStart"/>
      <w:r>
        <w:rPr>
          <w:rtl/>
        </w:rPr>
        <w:t>שמחה־זיסל</w:t>
      </w:r>
      <w:proofErr w:type="spellEnd"/>
      <w:r>
        <w:rPr>
          <w:rtl/>
        </w:rPr>
        <w:t xml:space="preserve">, והמשיך לדור הבא. ברור שמכתבו של הסבא מקלם נכתב </w:t>
      </w:r>
      <w:r>
        <w:rPr>
          <w:b/>
          <w:bCs/>
          <w:rtl/>
        </w:rPr>
        <w:t>לפני</w:t>
      </w:r>
      <w:r>
        <w:rPr>
          <w:rtl/>
        </w:rPr>
        <w:t xml:space="preserve"> שנקרע הקשר – לא אחרי שתוקן, כפי שסבר ר׳ מאיר שפירא בטעות.</w:t>
      </w:r>
    </w:p>
    <w:p w14:paraId="6891734C" w14:textId="77777777" w:rsidR="00AB3647" w:rsidRDefault="00000000" w:rsidP="007923E9">
      <w:pPr>
        <w:spacing w:after="120" w:line="276" w:lineRule="auto"/>
        <w:ind w:firstLine="283"/>
        <w:jc w:val="both"/>
      </w:pPr>
      <w:r>
        <w:rPr>
          <w:rtl/>
        </w:rPr>
        <w:t xml:space="preserve">לאבי, לעומת זאת, הייתה דעה שונה. בריאיון המוקלט על הסבא </w:t>
      </w:r>
      <w:proofErr w:type="spellStart"/>
      <w:r>
        <w:rPr>
          <w:rtl/>
        </w:rPr>
        <w:t>מסלבודקה</w:t>
      </w:r>
      <w:bookmarkStart w:id="2429" w:name="_fnr1583"/>
      <w:proofErr w:type="spellEnd"/>
      <w:r>
        <w:rPr>
          <w:rStyle w:val="a5"/>
        </w:rPr>
        <w:footnoteReference w:id="1586" w:customMarkFollows="0"/>
      </w:r>
      <w:bookmarkEnd w:id="2429"/>
      <w:r>
        <w:rPr>
          <w:rtl/>
        </w:rPr>
        <w:t xml:space="preserve"> טען שהגישות הבסיסיות של הסבא מקלם ושל הסבא </w:t>
      </w:r>
      <w:proofErr w:type="spellStart"/>
      <w:r>
        <w:rPr>
          <w:rtl/>
        </w:rPr>
        <w:t>מסלבודקה</w:t>
      </w:r>
      <w:proofErr w:type="spellEnd"/>
      <w:r>
        <w:rPr>
          <w:rtl/>
        </w:rPr>
        <w:t xml:space="preserve"> היו זהות, אלא שהסבא עבד עם חברת תלמידים ור׳ </w:t>
      </w:r>
      <w:proofErr w:type="spellStart"/>
      <w:r>
        <w:rPr>
          <w:rtl/>
        </w:rPr>
        <w:t>שמחה־זיסל</w:t>
      </w:r>
      <w:proofErr w:type="spellEnd"/>
      <w:r>
        <w:rPr>
          <w:rtl/>
        </w:rPr>
        <w:t xml:space="preserve"> עם קבוצת בעלי בתים. לפיכך לא הייתה כלל מחלוקת פילוסופית בין השניים. למעשה, הסבא </w:t>
      </w:r>
      <w:proofErr w:type="spellStart"/>
      <w:r>
        <w:rPr>
          <w:rtl/>
        </w:rPr>
        <w:t>מסלבודקה</w:t>
      </w:r>
      <w:proofErr w:type="spellEnd"/>
      <w:r>
        <w:rPr>
          <w:rtl/>
        </w:rPr>
        <w:t xml:space="preserve"> אמר לאבי שנפגע מכך שחשדו בו אחרים, (המכונים) תלמידי ר׳ </w:t>
      </w:r>
      <w:proofErr w:type="spellStart"/>
      <w:r>
        <w:rPr>
          <w:rtl/>
        </w:rPr>
        <w:t>שמחה־זיסל</w:t>
      </w:r>
      <w:proofErr w:type="spellEnd"/>
      <w:r>
        <w:rPr>
          <w:rtl/>
        </w:rPr>
        <w:t>, שסטה מתורת רבו.</w:t>
      </w:r>
      <w:bookmarkStart w:id="2430" w:name="_fnr1584"/>
      <w:r>
        <w:rPr>
          <w:rStyle w:val="a5"/>
        </w:rPr>
        <w:footnoteReference w:id="1587" w:customMarkFollows="0"/>
      </w:r>
      <w:bookmarkEnd w:id="2430"/>
      <w:r>
        <w:rPr>
          <w:rtl/>
        </w:rPr>
        <w:t xml:space="preserve"> יתר על כן, עשרים ושלוש שנה אחרי פטירת הסבא מקלם</w:t>
      </w:r>
      <w:bookmarkStart w:id="2431" w:name="_fnr1585"/>
      <w:r>
        <w:rPr>
          <w:rStyle w:val="a5"/>
        </w:rPr>
        <w:footnoteReference w:id="1588" w:customMarkFollows="0"/>
      </w:r>
      <w:bookmarkEnd w:id="2431"/>
      <w:r>
        <w:rPr>
          <w:rtl/>
        </w:rPr>
        <w:t xml:space="preserve"> דנה הנהגת תלמוד תורה של קלם אם להקים ישיבה לצד הכולל הקיים,</w:t>
      </w:r>
      <w:bookmarkStart w:id="2432" w:name="_fnr1586"/>
      <w:r>
        <w:rPr>
          <w:rStyle w:val="a5"/>
        </w:rPr>
        <w:footnoteReference w:id="1589" w:customMarkFollows="0"/>
      </w:r>
      <w:bookmarkEnd w:id="2432"/>
      <w:r>
        <w:rPr>
          <w:rtl/>
        </w:rPr>
        <w:t xml:space="preserve"> וכמה מחבריה עמדו על כך שאסור לפגוע במורשת ר׳ </w:t>
      </w:r>
      <w:proofErr w:type="spellStart"/>
      <w:r>
        <w:rPr>
          <w:rtl/>
        </w:rPr>
        <w:t>שמחה־זיסל</w:t>
      </w:r>
      <w:proofErr w:type="spellEnd"/>
      <w:r>
        <w:rPr>
          <w:rtl/>
        </w:rPr>
        <w:t>, שקיבל רק תלמידים מצטיינים, רובם כבר נשואים. כשנודע הדבר לסבא, כעס ואמר לאבי: “תלמידים שלמדו אצל הסבא</w:t>
      </w:r>
      <w:bookmarkStart w:id="2433" w:name="_fnr1587"/>
      <w:r>
        <w:rPr>
          <w:rStyle w:val="a5"/>
        </w:rPr>
        <w:footnoteReference w:id="1590" w:customMarkFollows="0"/>
      </w:r>
      <w:bookmarkEnd w:id="2433"/>
      <w:r>
        <w:rPr>
          <w:rtl/>
        </w:rPr>
        <w:t xml:space="preserve"> במשך עשרים שנה לא הבינו מה הוא ביקש: אני היחיד שהבין.”</w:t>
      </w:r>
    </w:p>
    <w:p w14:paraId="2F011156" w14:textId="3D1E04E4" w:rsidR="00AB3647" w:rsidRDefault="00000000" w:rsidP="007923E9">
      <w:pPr>
        <w:spacing w:after="120" w:line="276" w:lineRule="auto"/>
        <w:ind w:firstLine="283"/>
        <w:jc w:val="both"/>
      </w:pPr>
      <w:r>
        <w:rPr>
          <w:rtl/>
        </w:rPr>
        <w:t xml:space="preserve">אבי הסביר </w:t>
      </w:r>
      <w:proofErr w:type="spellStart"/>
      <w:r>
        <w:rPr>
          <w:rtl/>
        </w:rPr>
        <w:t>שה“תלמידים</w:t>
      </w:r>
      <w:proofErr w:type="spellEnd"/>
      <w:r>
        <w:rPr>
          <w:rtl/>
        </w:rPr>
        <w:t xml:space="preserve">” שאליהם התכוון ר׳ </w:t>
      </w:r>
      <w:proofErr w:type="spellStart"/>
      <w:r>
        <w:rPr>
          <w:rtl/>
        </w:rPr>
        <w:t>נתן־צבי</w:t>
      </w:r>
      <w:proofErr w:type="spellEnd"/>
      <w:r>
        <w:rPr>
          <w:rtl/>
        </w:rPr>
        <w:t xml:space="preserve"> היו גם בנו של הסבא מקלם עצמו(!), ר׳ </w:t>
      </w:r>
      <w:proofErr w:type="spellStart"/>
      <w:r>
        <w:rPr>
          <w:rtl/>
        </w:rPr>
        <w:t>נחום־זאב</w:t>
      </w:r>
      <w:proofErr w:type="spellEnd"/>
      <w:r>
        <w:rPr>
          <w:rtl/>
        </w:rPr>
        <w:t xml:space="preserve"> (שנפטר </w:t>
      </w:r>
      <w:proofErr w:type="spellStart"/>
      <w:r>
        <w:rPr>
          <w:rtl/>
        </w:rPr>
        <w:t>בתרע״ו</w:t>
      </w:r>
      <w:proofErr w:type="spellEnd"/>
      <w:r>
        <w:rPr>
          <w:rtl/>
        </w:rPr>
        <w:t xml:space="preserve">), וגם ר׳ </w:t>
      </w:r>
      <w:proofErr w:type="spellStart"/>
      <w:r>
        <w:rPr>
          <w:rtl/>
        </w:rPr>
        <w:t>ראובן־בער</w:t>
      </w:r>
      <w:proofErr w:type="spellEnd"/>
      <w:r>
        <w:rPr>
          <w:rtl/>
        </w:rPr>
        <w:t xml:space="preserve"> </w:t>
      </w:r>
      <w:proofErr w:type="spellStart"/>
      <w:r>
        <w:rPr>
          <w:rtl/>
        </w:rPr>
        <w:t>דסלר</w:t>
      </w:r>
      <w:proofErr w:type="spellEnd"/>
      <w:r>
        <w:rPr>
          <w:rtl/>
        </w:rPr>
        <w:t xml:space="preserve"> (בעל נכדתו של ר׳ ישראל </w:t>
      </w:r>
      <w:proofErr w:type="spellStart"/>
      <w:r>
        <w:rPr>
          <w:rtl/>
        </w:rPr>
        <w:t>סלנטר</w:t>
      </w:r>
      <w:proofErr w:type="spellEnd"/>
      <w:r>
        <w:rPr>
          <w:rtl/>
        </w:rPr>
        <w:t>), שעמד בראש הסיעה שהתנגדה להקמת הישיבה. השווה גם פרק 5, סוף הפסקה השנייה ב</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החושף </w:t>
      </w:r>
      <w:proofErr w:type="spellStart"/>
      <w:r>
        <w:rPr>
          <w:rtl/>
        </w:rPr>
        <w:t>שבתרנ״ו</w:t>
      </w:r>
      <w:proofErr w:type="spellEnd"/>
      <w:r>
        <w:rPr>
          <w:rtl/>
        </w:rPr>
        <w:t xml:space="preserve">, פחות משנתיים לפני פטירת ר׳ </w:t>
      </w:r>
      <w:proofErr w:type="spellStart"/>
      <w:r>
        <w:rPr>
          <w:rtl/>
        </w:rPr>
        <w:t>שמחה־זיסל</w:t>
      </w:r>
      <w:proofErr w:type="spellEnd"/>
      <w:r>
        <w:rPr>
          <w:rtl/>
        </w:rPr>
        <w:t xml:space="preserve">, שלח הסבא קבוצות מתלמידיו המעולים לבלות את אלול בהדרכת ר׳ </w:t>
      </w:r>
      <w:proofErr w:type="spellStart"/>
      <w:r>
        <w:rPr>
          <w:rtl/>
        </w:rPr>
        <w:t>שמחה־זיסל</w:t>
      </w:r>
      <w:proofErr w:type="spellEnd"/>
      <w:r>
        <w:rPr>
          <w:rtl/>
        </w:rPr>
        <w:t xml:space="preserve">. דבר זה מוכיח שלא הסבא </w:t>
      </w:r>
      <w:proofErr w:type="spellStart"/>
      <w:r>
        <w:rPr>
          <w:rtl/>
        </w:rPr>
        <w:t>מסלבודקה</w:t>
      </w:r>
      <w:proofErr w:type="spellEnd"/>
      <w:r>
        <w:rPr>
          <w:rtl/>
        </w:rPr>
        <w:t xml:space="preserve"> הוא שמתח ביקורת על החינוך </w:t>
      </w:r>
      <w:proofErr w:type="spellStart"/>
      <w:r>
        <w:rPr>
          <w:rtl/>
        </w:rPr>
        <w:t>בקלם</w:t>
      </w:r>
      <w:proofErr w:type="spellEnd"/>
      <w:r>
        <w:rPr>
          <w:rtl/>
        </w:rPr>
        <w:t xml:space="preserve">. הביקורת לא יכלה להיות אלא חד־צדדית, כלומר רק ר׳ </w:t>
      </w:r>
      <w:proofErr w:type="spellStart"/>
      <w:r>
        <w:rPr>
          <w:rtl/>
        </w:rPr>
        <w:t>שמחה־זיסל</w:t>
      </w:r>
      <w:proofErr w:type="spellEnd"/>
      <w:r>
        <w:rPr>
          <w:rtl/>
        </w:rPr>
        <w:t xml:space="preserve"> </w:t>
      </w:r>
      <w:proofErr w:type="spellStart"/>
      <w:r>
        <w:rPr>
          <w:rtl/>
        </w:rPr>
        <w:t>ו“תלמידיו</w:t>
      </w:r>
      <w:proofErr w:type="spellEnd"/>
      <w:r>
        <w:rPr>
          <w:rtl/>
        </w:rPr>
        <w:t xml:space="preserve">” התנגדו </w:t>
      </w:r>
      <w:proofErr w:type="spellStart"/>
      <w:r>
        <w:rPr>
          <w:rtl/>
        </w:rPr>
        <w:t>לסלבודקה</w:t>
      </w:r>
      <w:proofErr w:type="spellEnd"/>
      <w:r>
        <w:rPr>
          <w:rtl/>
        </w:rPr>
        <w:t>.</w:t>
      </w:r>
    </w:p>
    <w:p w14:paraId="5702EB34" w14:textId="77777777" w:rsidR="00AB3647" w:rsidRDefault="00000000" w:rsidP="007923E9">
      <w:pPr>
        <w:spacing w:after="120" w:line="276" w:lineRule="auto"/>
        <w:ind w:firstLine="283"/>
        <w:jc w:val="both"/>
      </w:pPr>
      <w:r>
        <w:rPr>
          <w:rtl/>
        </w:rPr>
        <w:t>השווה גם כץ, “תנועת המוסר”, כרך ג,</w:t>
      </w:r>
      <w:bookmarkStart w:id="2434" w:name="_fnr1588"/>
      <w:r>
        <w:rPr>
          <w:rStyle w:val="a5"/>
        </w:rPr>
        <w:footnoteReference w:id="1591" w:customMarkFollows="0"/>
      </w:r>
      <w:bookmarkEnd w:id="2434"/>
      <w:r>
        <w:rPr>
          <w:rtl/>
        </w:rPr>
        <w:t xml:space="preserve"> המצטט מכתב שכתב הסבא </w:t>
      </w:r>
      <w:proofErr w:type="spellStart"/>
      <w:r>
        <w:rPr>
          <w:rtl/>
        </w:rPr>
        <w:t>מסלבודקה</w:t>
      </w:r>
      <w:proofErr w:type="spellEnd"/>
      <w:r>
        <w:rPr>
          <w:rtl/>
        </w:rPr>
        <w:t xml:space="preserve"> יותר מעשרים וחמש שנה אחרי פטירת ר׳ </w:t>
      </w:r>
      <w:proofErr w:type="spellStart"/>
      <w:r>
        <w:rPr>
          <w:rtl/>
        </w:rPr>
        <w:t>שמחה־זיסל</w:t>
      </w:r>
      <w:proofErr w:type="spellEnd"/>
      <w:r>
        <w:rPr>
          <w:rtl/>
        </w:rPr>
        <w:t xml:space="preserve">, בקשר לפרסום המתוכנן של </w:t>
      </w:r>
      <w:proofErr w:type="spellStart"/>
      <w:r>
        <w:rPr>
          <w:rtl/>
        </w:rPr>
        <w:t>השמועסין</w:t>
      </w:r>
      <w:proofErr w:type="spellEnd"/>
      <w:r>
        <w:rPr>
          <w:rtl/>
        </w:rPr>
        <w:t xml:space="preserve"> של ר׳ </w:t>
      </w:r>
      <w:proofErr w:type="spellStart"/>
      <w:r>
        <w:rPr>
          <w:rtl/>
        </w:rPr>
        <w:t>שמחה־זיסל</w:t>
      </w:r>
      <w:proofErr w:type="spellEnd"/>
      <w:r>
        <w:rPr>
          <w:rtl/>
        </w:rPr>
        <w:t>. במכתב הוא מביע הערצה בלי גבול לרבו, וקורא לו “אדמו״ר”.</w:t>
      </w:r>
      <w:bookmarkStart w:id="2435" w:name="_fnr1589"/>
      <w:r>
        <w:rPr>
          <w:rStyle w:val="a5"/>
        </w:rPr>
        <w:footnoteReference w:id="1592" w:customMarkFollows="0"/>
      </w:r>
      <w:bookmarkEnd w:id="2435"/>
      <w:r>
        <w:rPr>
          <w:rtl/>
        </w:rPr>
        <w:t xml:space="preserve"> והשווה את </w:t>
      </w:r>
      <w:r>
        <w:rPr>
          <w:rtl/>
        </w:rPr>
        <w:lastRenderedPageBreak/>
        <w:t>הציטוט ממרקוס</w:t>
      </w:r>
      <w:bookmarkStart w:id="2436" w:name="_fnr1590"/>
      <w:r>
        <w:rPr>
          <w:rStyle w:val="a5"/>
        </w:rPr>
        <w:footnoteReference w:id="1593" w:customMarkFollows="0"/>
      </w:r>
      <w:bookmarkEnd w:id="2436"/>
      <w:r>
        <w:rPr>
          <w:rtl/>
        </w:rPr>
        <w:t xml:space="preserve"> בפסקה הראשונה של הנספח הבא, המתאר את התקשרותו של הסבא </w:t>
      </w:r>
      <w:proofErr w:type="spellStart"/>
      <w:r>
        <w:rPr>
          <w:rtl/>
        </w:rPr>
        <w:t>מסלבודקה</w:t>
      </w:r>
      <w:proofErr w:type="spellEnd"/>
      <w:r>
        <w:rPr>
          <w:rtl/>
        </w:rPr>
        <w:t xml:space="preserve"> לסבא מקלם, שלא ידעה גבול, אף לאחר מותו.</w:t>
      </w:r>
    </w:p>
    <w:p w14:paraId="2606175D" w14:textId="77777777" w:rsidR="00AB3647" w:rsidRDefault="00000000" w:rsidP="007923E9">
      <w:pPr>
        <w:spacing w:after="120" w:line="276" w:lineRule="auto"/>
        <w:ind w:firstLine="283"/>
        <w:jc w:val="both"/>
      </w:pPr>
      <w:r>
        <w:rPr>
          <w:rtl/>
        </w:rPr>
        <w:t xml:space="preserve">אבל לפי ר׳ שלמה </w:t>
      </w:r>
      <w:proofErr w:type="spellStart"/>
      <w:r>
        <w:rPr>
          <w:rtl/>
        </w:rPr>
        <w:t>איידלשטיין</w:t>
      </w:r>
      <w:proofErr w:type="spellEnd"/>
      <w:r>
        <w:rPr>
          <w:rtl/>
        </w:rPr>
        <w:t>,</w:t>
      </w:r>
      <w:bookmarkStart w:id="2437" w:name="_fnr1591"/>
      <w:r>
        <w:rPr>
          <w:rStyle w:val="a5"/>
        </w:rPr>
        <w:footnoteReference w:id="1594" w:customMarkFollows="0"/>
      </w:r>
      <w:bookmarkEnd w:id="2437"/>
      <w:r>
        <w:rPr>
          <w:rtl/>
        </w:rPr>
        <w:t xml:space="preserve"> גילתה נכדתו של הסבא, </w:t>
      </w:r>
      <w:proofErr w:type="spellStart"/>
      <w:r>
        <w:rPr>
          <w:rtl/>
        </w:rPr>
        <w:t>חיה־מרים</w:t>
      </w:r>
      <w:proofErr w:type="spellEnd"/>
      <w:r>
        <w:rPr>
          <w:rtl/>
        </w:rPr>
        <w:t xml:space="preserve"> </w:t>
      </w:r>
      <w:proofErr w:type="spellStart"/>
      <w:r>
        <w:rPr>
          <w:rtl/>
        </w:rPr>
        <w:t>שולמן</w:t>
      </w:r>
      <w:proofErr w:type="spellEnd"/>
      <w:r>
        <w:rPr>
          <w:rtl/>
        </w:rPr>
        <w:t>, שהוא אמר: “אני מכיר טובה לסבא מקלם, אבל הוא אינו רבי שלי.”</w:t>
      </w:r>
    </w:p>
    <w:p w14:paraId="52BB0CB9" w14:textId="77777777" w:rsidR="00AB3647" w:rsidRDefault="00000000" w:rsidP="007923E9">
      <w:pPr>
        <w:spacing w:after="120" w:line="276" w:lineRule="auto"/>
        <w:ind w:firstLine="283"/>
        <w:jc w:val="both"/>
      </w:pPr>
      <w:r>
        <w:rPr>
          <w:rtl/>
        </w:rPr>
        <w:t>יש להבין זאת כך שאף שקיבל ממנו די כדי לכנותו “אדמו״ר”, לא הלך בעיוורון אחרי הוראות הסבא מקלם, וחלק עליו בכמה עניינים.</w:t>
      </w:r>
      <w:bookmarkStart w:id="2438" w:name="_fnr1592"/>
      <w:r>
        <w:rPr>
          <w:rStyle w:val="a5"/>
        </w:rPr>
        <w:footnoteReference w:id="1595" w:customMarkFollows="0"/>
      </w:r>
      <w:bookmarkEnd w:id="2438"/>
    </w:p>
    <w:p w14:paraId="6CE3E90D" w14:textId="77777777" w:rsidR="00AB3647" w:rsidRDefault="00000000" w:rsidP="007923E9">
      <w:pPr>
        <w:spacing w:after="120" w:line="276" w:lineRule="auto"/>
        <w:ind w:firstLine="283"/>
        <w:jc w:val="both"/>
      </w:pPr>
      <w:r>
        <w:rPr>
          <w:rtl/>
        </w:rPr>
        <w:t xml:space="preserve">לעומת זאת, מעשה אחר שסיפר אבי לנכדו, בני ר׳ יוסף, מורה שהיה קרע בין הסבא מקלם לסבא </w:t>
      </w:r>
      <w:proofErr w:type="spellStart"/>
      <w:r>
        <w:rPr>
          <w:rtl/>
        </w:rPr>
        <w:t>מסלבודקה</w:t>
      </w:r>
      <w:proofErr w:type="spellEnd"/>
      <w:r>
        <w:rPr>
          <w:rtl/>
        </w:rPr>
        <w:t xml:space="preserve">. אבי סיפר אותו כדי להדגים שתלמיד חייב לכבד את רבו. שנה אחת חזר הסבא </w:t>
      </w:r>
      <w:proofErr w:type="spellStart"/>
      <w:r>
        <w:rPr>
          <w:rtl/>
        </w:rPr>
        <w:t>מסלבודקה</w:t>
      </w:r>
      <w:proofErr w:type="spellEnd"/>
      <w:r>
        <w:rPr>
          <w:rtl/>
        </w:rPr>
        <w:t xml:space="preserve"> לפסח אל משפחתו </w:t>
      </w:r>
      <w:proofErr w:type="spellStart"/>
      <w:r>
        <w:rPr>
          <w:rtl/>
        </w:rPr>
        <w:t>בקלם</w:t>
      </w:r>
      <w:proofErr w:type="spellEnd"/>
      <w:r>
        <w:rPr>
          <w:rtl/>
        </w:rPr>
        <w:t xml:space="preserve">, ובערב פסח שאל אותו ר׳ </w:t>
      </w:r>
      <w:proofErr w:type="spellStart"/>
      <w:r>
        <w:rPr>
          <w:rtl/>
        </w:rPr>
        <w:t>שמחה־זיסל</w:t>
      </w:r>
      <w:proofErr w:type="spellEnd"/>
      <w:r>
        <w:rPr>
          <w:rtl/>
        </w:rPr>
        <w:t xml:space="preserve"> היכן יתפלל ביום טוב. עצם השאלה הספיקה כדי להבהיר לסבא </w:t>
      </w:r>
      <w:proofErr w:type="spellStart"/>
      <w:r>
        <w:rPr>
          <w:rtl/>
        </w:rPr>
        <w:t>מסלבודקה</w:t>
      </w:r>
      <w:proofErr w:type="spellEnd"/>
      <w:r>
        <w:rPr>
          <w:rtl/>
        </w:rPr>
        <w:t xml:space="preserve"> שרבו אינו נותן לו רשות להתפלל בתלמוד תורה באותה שנה. ר׳ </w:t>
      </w:r>
      <w:proofErr w:type="spellStart"/>
      <w:r>
        <w:rPr>
          <w:rtl/>
        </w:rPr>
        <w:t>נתן־צבי</w:t>
      </w:r>
      <w:proofErr w:type="spellEnd"/>
      <w:r>
        <w:rPr>
          <w:rtl/>
        </w:rPr>
        <w:t xml:space="preserve">, שידע שאין זה ראוי לבוגר תלמוד תורה להתפלל בבית הכנסת של העיר, השיב לשאלת ר׳ </w:t>
      </w:r>
      <w:proofErr w:type="spellStart"/>
      <w:r>
        <w:rPr>
          <w:rtl/>
        </w:rPr>
        <w:t>שמחה־זיסל</w:t>
      </w:r>
      <w:proofErr w:type="spellEnd"/>
      <w:r>
        <w:rPr>
          <w:rtl/>
        </w:rPr>
        <w:t xml:space="preserve"> בלי היסוס ובלי ויכוח: “יש די זמן להגיע לעיירה הסמוכה </w:t>
      </w:r>
      <w:proofErr w:type="spellStart"/>
      <w:r>
        <w:rPr>
          <w:rtl/>
        </w:rPr>
        <w:t>שקודוויל</w:t>
      </w:r>
      <w:proofErr w:type="spellEnd"/>
      <w:r>
        <w:rPr>
          <w:rtl/>
        </w:rPr>
        <w:t xml:space="preserve">.” ושם בילו הסבא </w:t>
      </w:r>
      <w:proofErr w:type="spellStart"/>
      <w:r>
        <w:rPr>
          <w:rtl/>
        </w:rPr>
        <w:t>מסלבודקה</w:t>
      </w:r>
      <w:proofErr w:type="spellEnd"/>
      <w:r>
        <w:rPr>
          <w:rtl/>
        </w:rPr>
        <w:t xml:space="preserve"> ומשפחתו את אותו פסח.</w:t>
      </w:r>
    </w:p>
    <w:p w14:paraId="7E707B60" w14:textId="77777777" w:rsidR="00AB3647" w:rsidRDefault="00000000" w:rsidP="007923E9">
      <w:pPr>
        <w:spacing w:after="120" w:line="276" w:lineRule="auto"/>
        <w:ind w:firstLine="283"/>
        <w:jc w:val="both"/>
      </w:pPr>
      <w:r>
        <w:rPr>
          <w:rtl/>
        </w:rPr>
        <w:t>מעשה דומה מסופר בספרו של כץ, “תנועת המוסר”, כרך ג,</w:t>
      </w:r>
      <w:bookmarkStart w:id="2439" w:name="_fnr1593"/>
      <w:r>
        <w:rPr>
          <w:rStyle w:val="a5"/>
        </w:rPr>
        <w:footnoteReference w:id="1596" w:customMarkFollows="0"/>
      </w:r>
      <w:bookmarkEnd w:id="2439"/>
      <w:r>
        <w:rPr>
          <w:rtl/>
        </w:rPr>
        <w:t xml:space="preserve"> אך בלי הלקח על יחסי תלמיד ורב: “הסבא </w:t>
      </w:r>
      <w:proofErr w:type="spellStart"/>
      <w:r>
        <w:rPr>
          <w:rtl/>
        </w:rPr>
        <w:t>מסלבודקה</w:t>
      </w:r>
      <w:proofErr w:type="spellEnd"/>
      <w:r>
        <w:rPr>
          <w:rtl/>
        </w:rPr>
        <w:t xml:space="preserve"> לא הורשה להתפלל בתלמוד תורה בימים הנוראים... והיה עליו לבלות את החג בעיירה סמוכה, </w:t>
      </w:r>
      <w:proofErr w:type="spellStart"/>
      <w:r>
        <w:rPr>
          <w:rtl/>
        </w:rPr>
        <w:t>פוגרוזובה</w:t>
      </w:r>
      <w:proofErr w:type="spellEnd"/>
      <w:r>
        <w:rPr>
          <w:rtl/>
        </w:rPr>
        <w:t>.</w:t>
      </w:r>
      <w:bookmarkStart w:id="2440" w:name="_fnr1594"/>
      <w:r>
        <w:rPr>
          <w:rStyle w:val="a5"/>
        </w:rPr>
        <w:footnoteReference w:id="1597" w:customMarkFollows="0"/>
      </w:r>
      <w:bookmarkEnd w:id="2440"/>
      <w:r>
        <w:rPr>
          <w:rtl/>
        </w:rPr>
        <w:t>”</w:t>
      </w:r>
    </w:p>
    <w:p w14:paraId="3C3A0231" w14:textId="77777777" w:rsidR="00AB3647" w:rsidRDefault="00000000" w:rsidP="007923E9">
      <w:pPr>
        <w:spacing w:after="120" w:line="276" w:lineRule="auto"/>
        <w:ind w:firstLine="283"/>
        <w:jc w:val="both"/>
      </w:pPr>
      <w:r>
        <w:rPr>
          <w:rtl/>
        </w:rPr>
        <w:t>כץ</w:t>
      </w:r>
      <w:bookmarkStart w:id="2441" w:name="_fnr1595"/>
      <w:r>
        <w:rPr>
          <w:rStyle w:val="a5"/>
        </w:rPr>
        <w:footnoteReference w:id="1598" w:customMarkFollows="0"/>
      </w:r>
      <w:bookmarkEnd w:id="2441"/>
      <w:r>
        <w:rPr>
          <w:rtl/>
        </w:rPr>
        <w:t xml:space="preserve"> מוסיף: “למרות [גירושו לימים הנוראים, הסבא </w:t>
      </w:r>
      <w:proofErr w:type="spellStart"/>
      <w:r>
        <w:rPr>
          <w:rtl/>
        </w:rPr>
        <w:t>מסלבודקה</w:t>
      </w:r>
      <w:proofErr w:type="spellEnd"/>
      <w:r>
        <w:rPr>
          <w:rtl/>
        </w:rPr>
        <w:t xml:space="preserve">] לא נמנע מלבקש רשות שוב בשנה שלאחר מכן, ולהיכנע לסמכותו של ר׳ </w:t>
      </w:r>
      <w:proofErr w:type="spellStart"/>
      <w:r>
        <w:rPr>
          <w:rtl/>
        </w:rPr>
        <w:t>שמחה־זיסל</w:t>
      </w:r>
      <w:proofErr w:type="spellEnd"/>
      <w:r>
        <w:rPr>
          <w:rtl/>
        </w:rPr>
        <w:t xml:space="preserve">. כשמישהו הביע תמיהה על התנהגות זו שלו, השיב הסבא </w:t>
      </w:r>
      <w:proofErr w:type="spellStart"/>
      <w:r>
        <w:rPr>
          <w:rtl/>
        </w:rPr>
        <w:t>מסלבודקה</w:t>
      </w:r>
      <w:proofErr w:type="spellEnd"/>
      <w:r>
        <w:rPr>
          <w:rtl/>
        </w:rPr>
        <w:t xml:space="preserve"> שמאחר </w:t>
      </w:r>
      <w:proofErr w:type="spellStart"/>
      <w:r>
        <w:rPr>
          <w:rtl/>
        </w:rPr>
        <w:t>שבסלבודקה</w:t>
      </w:r>
      <w:proofErr w:type="spellEnd"/>
      <w:r>
        <w:rPr>
          <w:rtl/>
        </w:rPr>
        <w:t xml:space="preserve"> מאכילים אותו בכבוד גדול... הוא נוסע </w:t>
      </w:r>
      <w:proofErr w:type="spellStart"/>
      <w:r>
        <w:rPr>
          <w:rtl/>
        </w:rPr>
        <w:t>לקלם</w:t>
      </w:r>
      <w:proofErr w:type="spellEnd"/>
      <w:r>
        <w:rPr>
          <w:rtl/>
        </w:rPr>
        <w:t xml:space="preserve"> מעת לעת כדי לטהר את עצמו.” לפי כץ, יותר משנה אחת לא היה הסבא </w:t>
      </w:r>
      <w:proofErr w:type="spellStart"/>
      <w:r>
        <w:rPr>
          <w:rtl/>
        </w:rPr>
        <w:t>מסלבודקה</w:t>
      </w:r>
      <w:proofErr w:type="spellEnd"/>
      <w:r>
        <w:rPr>
          <w:rtl/>
        </w:rPr>
        <w:t xml:space="preserve"> רצוי </w:t>
      </w:r>
      <w:proofErr w:type="spellStart"/>
      <w:r>
        <w:rPr>
          <w:rtl/>
        </w:rPr>
        <w:t>בקלם</w:t>
      </w:r>
      <w:proofErr w:type="spellEnd"/>
      <w:r>
        <w:rPr>
          <w:rtl/>
        </w:rPr>
        <w:t xml:space="preserve"> בימים הנוראים. המעשה שמביא כץ התרחש בהכרח בשנות </w:t>
      </w:r>
      <w:proofErr w:type="spellStart"/>
      <w:r>
        <w:rPr>
          <w:rtl/>
        </w:rPr>
        <w:t xml:space="preserve">התר״נ</w:t>
      </w:r>
      <w:proofErr w:type="spellEnd"/>
      <w:r>
        <w:rPr>
          <w:rtl/>
        </w:rPr>
        <w:t xml:space="preserve"> לכל המוקדם, כמה שנים אחרי שישיבת </w:t>
      </w:r>
      <w:proofErr w:type="spellStart"/>
      <w:r>
        <w:rPr>
          <w:rtl/>
        </w:rPr>
        <w:t>סלבודקה</w:t>
      </w:r>
      <w:proofErr w:type="spellEnd"/>
      <w:r>
        <w:rPr>
          <w:rtl/>
        </w:rPr>
        <w:t xml:space="preserve"> כבר הייתה מבוססת היטב והסבא </w:t>
      </w:r>
      <w:proofErr w:type="spellStart"/>
      <w:r>
        <w:rPr>
          <w:rtl/>
        </w:rPr>
        <w:t>מסלבודקה</w:t>
      </w:r>
      <w:proofErr w:type="spellEnd"/>
      <w:r>
        <w:rPr>
          <w:rtl/>
        </w:rPr>
        <w:t xml:space="preserve"> קיבל שם “כבוד גדול”.</w:t>
      </w:r>
    </w:p>
    <w:p w14:paraId="1872F66F"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מסר</w:t>
      </w:r>
      <w:bookmarkStart w:id="2442" w:name="_fnr1596"/>
      <w:r>
        <w:rPr>
          <w:rStyle w:val="a5"/>
        </w:rPr>
        <w:footnoteReference w:id="1599" w:customMarkFollows="0"/>
      </w:r>
      <w:bookmarkEnd w:id="2442"/>
      <w:r>
        <w:rPr>
          <w:rtl/>
        </w:rPr>
        <w:t xml:space="preserve"> שבעת שעבד על ביוגרפיה של ר׳ </w:t>
      </w:r>
      <w:proofErr w:type="spellStart"/>
      <w:r>
        <w:rPr>
          <w:rtl/>
        </w:rPr>
        <w:t>יחיאל־יעקב</w:t>
      </w:r>
      <w:proofErr w:type="spellEnd"/>
      <w:r>
        <w:rPr>
          <w:rtl/>
        </w:rPr>
        <w:t xml:space="preserve"> ויינברג (נולד תרמ״ה), תלמיד </w:t>
      </w:r>
      <w:proofErr w:type="spellStart"/>
      <w:r>
        <w:rPr>
          <w:rtl/>
        </w:rPr>
        <w:t>סלבודקה</w:t>
      </w:r>
      <w:proofErr w:type="spellEnd"/>
      <w:r>
        <w:rPr>
          <w:rtl/>
        </w:rPr>
        <w:t xml:space="preserve"> במפנה שנות </w:t>
      </w:r>
      <w:proofErr w:type="spellStart"/>
      <w:r>
        <w:rPr>
          <w:rtl/>
        </w:rPr>
        <w:t xml:space="preserve">התר״ס</w:t>
      </w:r>
      <w:proofErr w:type="spellEnd"/>
      <w:r>
        <w:rPr>
          <w:rtl/>
        </w:rPr>
        <w:t xml:space="preserve">,</w:t>
      </w:r>
      <w:bookmarkStart w:id="2443" w:name="_fnr1597"/>
      <w:r>
        <w:rPr>
          <w:rStyle w:val="a5"/>
        </w:rPr>
        <w:footnoteReference w:id="1600" w:customMarkFollows="0"/>
      </w:r>
      <w:bookmarkEnd w:id="2443"/>
      <w:r>
        <w:rPr>
          <w:rtl/>
        </w:rPr>
        <w:t xml:space="preserve"> קרא מכתבים שכתב מושא הביוגרפיה למחבר “תנועת המוסר”, ר׳ דב כץ.</w:t>
      </w:r>
      <w:bookmarkStart w:id="2444" w:name="_fnr1598"/>
      <w:r>
        <w:rPr>
          <w:rStyle w:val="a5"/>
        </w:rPr>
        <w:footnoteReference w:id="1601" w:customMarkFollows="0"/>
      </w:r>
      <w:bookmarkEnd w:id="2444"/>
      <w:r>
        <w:rPr>
          <w:rtl/>
        </w:rPr>
        <w:t xml:space="preserve"> במכתבים אלה הצטער ר׳ </w:t>
      </w:r>
      <w:proofErr w:type="spellStart"/>
      <w:r>
        <w:rPr>
          <w:rtl/>
        </w:rPr>
        <w:t>יחיאל־יעקב</w:t>
      </w:r>
      <w:proofErr w:type="spellEnd"/>
      <w:r>
        <w:rPr>
          <w:rtl/>
        </w:rPr>
        <w:t xml:space="preserve"> ויינברג על שלא </w:t>
      </w:r>
      <w:r>
        <w:rPr>
          <w:rtl/>
        </w:rPr>
        <w:lastRenderedPageBreak/>
        <w:t xml:space="preserve">מסר את תוכנם לפני פרסום אותו חיבור. באחד המכתבים הוא מספר: “באחד מלילות החורף הקרים ביקרתי </w:t>
      </w:r>
      <w:proofErr w:type="spellStart"/>
      <w:r>
        <w:rPr>
          <w:rtl/>
        </w:rPr>
        <w:t>בקלם</w:t>
      </w:r>
      <w:proofErr w:type="spellEnd"/>
      <w:r>
        <w:rPr>
          <w:rtl/>
        </w:rPr>
        <w:t xml:space="preserve"> יחד עם הסבא, והתלמוד תורה כינס אספה מיוחדת עלינו. אחרי שהחליטו שהסבא הוא ‘רודף’</w:t>
      </w:r>
      <w:bookmarkStart w:id="2445" w:name="_fnr1599"/>
      <w:r>
        <w:rPr>
          <w:rStyle w:val="a5"/>
        </w:rPr>
        <w:footnoteReference w:id="1602" w:customMarkFollows="0"/>
      </w:r>
      <w:bookmarkEnd w:id="2445"/>
      <w:r>
        <w:rPr>
          <w:rtl/>
        </w:rPr>
        <w:t xml:space="preserve"> משום שהוא </w:t>
      </w:r>
      <w:r>
        <w:rPr>
          <w:b/>
          <w:bCs/>
          <w:rtl/>
        </w:rPr>
        <w:t xml:space="preserve">מקלקל </w:t>
      </w:r>
      <w:proofErr w:type="spellStart"/>
      <w:r>
        <w:rPr>
          <w:b/>
          <w:bCs/>
          <w:rtl/>
        </w:rPr>
        <w:t>בסלבודקה</w:t>
      </w:r>
      <w:proofErr w:type="spellEnd"/>
      <w:r>
        <w:rPr>
          <w:rtl/>
        </w:rPr>
        <w:t xml:space="preserve">, דאגו לכך שאיש לא ירשה לו ללון שם. אף שאני, רק שמש של הסבא, יצאתי זכאי, לא עזבתי את רבי, ונשארתי ער עמו כל הלילה. </w:t>
      </w:r>
      <w:r>
        <w:rPr>
          <w:b/>
          <w:bCs/>
          <w:rtl/>
        </w:rPr>
        <w:t>כעבור שלושים שנה שלח אותי הסבא להציע שידוך</w:t>
      </w:r>
      <w:r>
        <w:rPr>
          <w:rtl/>
        </w:rPr>
        <w:t xml:space="preserve"> (ההדגשות שלי; האחרונה להמשך הדיון להלן) לבנו עם נכדתו של ר׳ </w:t>
      </w:r>
      <w:proofErr w:type="spellStart"/>
      <w:r>
        <w:rPr>
          <w:rtl/>
        </w:rPr>
        <w:t>שמחה־זיסל</w:t>
      </w:r>
      <w:proofErr w:type="spellEnd"/>
      <w:r>
        <w:rPr>
          <w:rtl/>
        </w:rPr>
        <w:t xml:space="preserve">, אבל בנו של הסבא מקלם אמר: ‘אומרים </w:t>
      </w:r>
      <w:proofErr w:type="spellStart"/>
      <w:r>
        <w:rPr>
          <w:rtl/>
        </w:rPr>
        <w:t>שנוטע־הירש</w:t>
      </w:r>
      <w:proofErr w:type="spellEnd"/>
      <w:r>
        <w:rPr>
          <w:rtl/>
        </w:rPr>
        <w:t xml:space="preserve"> [הסבא </w:t>
      </w:r>
      <w:proofErr w:type="spellStart"/>
      <w:r>
        <w:rPr>
          <w:rtl/>
        </w:rPr>
        <w:t>מסלבודקה</w:t>
      </w:r>
      <w:proofErr w:type="spellEnd"/>
      <w:r>
        <w:rPr>
          <w:rtl/>
        </w:rPr>
        <w:t xml:space="preserve">] הוא א </w:t>
      </w:r>
      <w:proofErr w:type="spellStart"/>
      <w:r>
        <w:rPr>
          <w:rtl/>
        </w:rPr>
        <w:t>קלוגער</w:t>
      </w:r>
      <w:proofErr w:type="spellEnd"/>
      <w:r>
        <w:rPr>
          <w:rtl/>
        </w:rPr>
        <w:t xml:space="preserve"> [בחור פקח] – איך יכול הוא לשלוח לשידוך כשהוא יודע מה דעת אבי עליו?!’ ”</w:t>
      </w:r>
    </w:p>
    <w:p w14:paraId="0D64B1A1" w14:textId="77777777" w:rsidR="00AB3647" w:rsidRDefault="00000000" w:rsidP="007923E9">
      <w:pPr>
        <w:spacing w:after="120" w:line="276" w:lineRule="auto"/>
        <w:ind w:firstLine="283"/>
        <w:jc w:val="both"/>
      </w:pPr>
      <w:r>
        <w:rPr>
          <w:rtl/>
        </w:rPr>
        <w:t xml:space="preserve">לכאורה, ייתכן שהסבא נתכוון לפרשה זו כשמסר לאבי שנפגע </w:t>
      </w:r>
      <w:proofErr w:type="spellStart"/>
      <w:r>
        <w:rPr>
          <w:rtl/>
        </w:rPr>
        <w:t>מאי־ההבנה</w:t>
      </w:r>
      <w:proofErr w:type="spellEnd"/>
      <w:r>
        <w:rPr>
          <w:rtl/>
        </w:rPr>
        <w:t xml:space="preserve"> עם תלמידי הסבא מקלם – הפגיעה נבעה מכך שבנו של הסבא מקלם דחה את הצעת השידוך שהציע. מזעזע ודאי </w:t>
      </w:r>
      <w:proofErr w:type="spellStart"/>
      <w:r>
        <w:rPr>
          <w:rtl/>
        </w:rPr>
        <w:t>שלר</w:t>
      </w:r>
      <w:proofErr w:type="spellEnd"/>
      <w:r>
        <w:rPr>
          <w:rtl/>
        </w:rPr>
        <w:t xml:space="preserve">׳ </w:t>
      </w:r>
      <w:proofErr w:type="spellStart"/>
      <w:r>
        <w:rPr>
          <w:rtl/>
        </w:rPr>
        <w:t>נתן־צבי</w:t>
      </w:r>
      <w:proofErr w:type="spellEnd"/>
      <w:r>
        <w:rPr>
          <w:rtl/>
        </w:rPr>
        <w:t xml:space="preserve"> לא ניתנה אפילו הכנסת אורחים מינימלית. יחס קשה ויוצא דופן כזה מצד בנו של הסבא מקלם חייב היה לנבוע מיותר ממחלוקת פילוסופית. גם הגדרתו של הסבא </w:t>
      </w:r>
      <w:proofErr w:type="spellStart"/>
      <w:r>
        <w:rPr>
          <w:rtl/>
        </w:rPr>
        <w:t>כ“רודף</w:t>
      </w:r>
      <w:proofErr w:type="spellEnd"/>
      <w:r>
        <w:rPr>
          <w:rtl/>
        </w:rPr>
        <w:t xml:space="preserve">” משום “קלקול </w:t>
      </w:r>
      <w:proofErr w:type="spellStart"/>
      <w:r>
        <w:rPr>
          <w:rtl/>
        </w:rPr>
        <w:t>בסלבודקה</w:t>
      </w:r>
      <w:proofErr w:type="spellEnd"/>
      <w:r>
        <w:rPr>
          <w:rtl/>
        </w:rPr>
        <w:t xml:space="preserve">”, כפי שהבין ר׳ </w:t>
      </w:r>
      <w:proofErr w:type="spellStart"/>
      <w:r>
        <w:rPr>
          <w:rtl/>
        </w:rPr>
        <w:t>יחיאל־יעקב</w:t>
      </w:r>
      <w:proofErr w:type="spellEnd"/>
      <w:r>
        <w:rPr>
          <w:rtl/>
        </w:rPr>
        <w:t xml:space="preserve"> ויינברג את הבעיה, נראית תגובה מוגזמת. ודאי היה מעורב כאן יסוד סמוי כלשהו.</w:t>
      </w:r>
    </w:p>
    <w:p w14:paraId="6AFF34E5" w14:textId="43AE6530" w:rsidR="00AB3647" w:rsidRDefault="00000000" w:rsidP="007923E9">
      <w:pPr>
        <w:spacing w:after="120" w:line="276" w:lineRule="auto"/>
        <w:ind w:firstLine="283"/>
        <w:jc w:val="both"/>
      </w:pPr>
      <w:r>
        <w:rPr>
          <w:rtl/>
        </w:rPr>
        <w:t xml:space="preserve">אשר למועד שבו התרחשה קבלת הפנים המזעזעת לאורחי החורף </w:t>
      </w:r>
      <w:proofErr w:type="spellStart"/>
      <w:r>
        <w:rPr>
          <w:rtl/>
        </w:rPr>
        <w:t>בקלם</w:t>
      </w:r>
      <w:proofErr w:type="spellEnd"/>
      <w:r>
        <w:rPr>
          <w:rtl/>
        </w:rPr>
        <w:t xml:space="preserve">, מטבע הדברים היינו מניחים שהיה זה בשלוש השנים וחצי שלמד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כלומר בין תרס״א </w:t>
      </w:r>
      <w:proofErr w:type="spellStart"/>
      <w:r>
        <w:rPr>
          <w:rtl/>
        </w:rPr>
        <w:t>לתרס״ה</w:t>
      </w:r>
      <w:proofErr w:type="spellEnd"/>
      <w:r>
        <w:rPr>
          <w:rtl/>
        </w:rPr>
        <w:t>. אבל השווה את הפסקה הראשונה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 שאשתו של הסבא </w:t>
      </w:r>
      <w:proofErr w:type="spellStart"/>
      <w:r>
        <w:rPr>
          <w:rtl/>
        </w:rPr>
        <w:t>מסלבודקה</w:t>
      </w:r>
      <w:proofErr w:type="spellEnd"/>
      <w:r>
        <w:rPr>
          <w:rtl/>
        </w:rPr>
        <w:t xml:space="preserve">, “האלטה”, עדיין ישבה </w:t>
      </w:r>
      <w:proofErr w:type="spellStart"/>
      <w:r>
        <w:rPr>
          <w:rtl/>
        </w:rPr>
        <w:t>בקלם</w:t>
      </w:r>
      <w:proofErr w:type="spellEnd"/>
      <w:r>
        <w:rPr>
          <w:rtl/>
        </w:rPr>
        <w:t xml:space="preserve"> לפחות עד תרס״ו. במקרה זה ודאי היו השניים ישנים בביתו של הסבא עצמו. אם כן, הביקור התרחש בהכרח אחרי שעברה האלטה </w:t>
      </w:r>
      <w:proofErr w:type="spellStart"/>
      <w:r>
        <w:rPr>
          <w:rtl/>
        </w:rPr>
        <w:t>לסלבודקה</w:t>
      </w:r>
      <w:proofErr w:type="spellEnd"/>
      <w:r>
        <w:rPr>
          <w:rtl/>
        </w:rPr>
        <w:t xml:space="preserve">, וכבר אז עזב ר׳ </w:t>
      </w:r>
      <w:proofErr w:type="spellStart"/>
      <w:r>
        <w:rPr>
          <w:rtl/>
        </w:rPr>
        <w:t>יחיאל־יעקב</w:t>
      </w:r>
      <w:proofErr w:type="spellEnd"/>
      <w:r>
        <w:rPr>
          <w:rtl/>
        </w:rPr>
        <w:t xml:space="preserve"> ויינברג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מפתיע שהסבא יטריח לבוא עמו </w:t>
      </w:r>
      <w:proofErr w:type="spellStart"/>
      <w:r>
        <w:rPr>
          <w:rtl/>
        </w:rPr>
        <w:t>לקלם</w:t>
      </w:r>
      <w:proofErr w:type="spellEnd"/>
      <w:r>
        <w:rPr>
          <w:rtl/>
        </w:rPr>
        <w:t xml:space="preserve"> מי שלא היה אז </w:t>
      </w:r>
      <w:proofErr w:type="spellStart"/>
      <w:r>
        <w:rPr>
          <w:rtl/>
        </w:rPr>
        <w:t>בסלבודקה</w:t>
      </w:r>
      <w:proofErr w:type="spellEnd"/>
      <w:r>
        <w:rPr>
          <w:rtl/>
        </w:rPr>
        <w:t xml:space="preserve">, אם כל מה שנזקק לו היה משרת. יתר על כן, כמבואר בנספח </w:t>
      </w:r>
      <w:proofErr w:type="spellStart"/>
      <w:r>
        <w:rPr>
          <w:rtl/>
        </w:rPr>
        <w:t>כג</w:t>
      </w:r>
      <w:proofErr w:type="spellEnd"/>
      <w:r>
        <w:rPr>
          <w:rtl/>
        </w:rPr>
        <w:t xml:space="preserve">, האלטה שמרה על ביתה </w:t>
      </w:r>
      <w:proofErr w:type="spellStart"/>
      <w:r>
        <w:rPr>
          <w:rtl/>
        </w:rPr>
        <w:t>בקלם</w:t>
      </w:r>
      <w:proofErr w:type="spellEnd"/>
      <w:r>
        <w:rPr>
          <w:rtl/>
        </w:rPr>
        <w:t xml:space="preserve"> עד תר״ע–תרע״א, ולכן הביקור </w:t>
      </w:r>
      <w:proofErr w:type="spellStart"/>
      <w:r>
        <w:rPr>
          <w:rtl/>
        </w:rPr>
        <w:t>בקלם</w:t>
      </w:r>
      <w:proofErr w:type="spellEnd"/>
      <w:r>
        <w:rPr>
          <w:rtl/>
        </w:rPr>
        <w:t xml:space="preserve"> התרחש בהכרח מאוחר יותר. באותו זמן כבר היה ר׳ </w:t>
      </w:r>
      <w:proofErr w:type="spellStart"/>
      <w:r>
        <w:rPr>
          <w:rtl/>
        </w:rPr>
        <w:t>יחיאל־יעקב</w:t>
      </w:r>
      <w:proofErr w:type="spellEnd"/>
      <w:r>
        <w:rPr>
          <w:rtl/>
        </w:rPr>
        <w:t xml:space="preserve"> ויינברג רב </w:t>
      </w:r>
      <w:proofErr w:type="spellStart"/>
      <w:r>
        <w:rPr>
          <w:rtl/>
        </w:rPr>
        <w:t>פילווישוק</w:t>
      </w:r>
      <w:proofErr w:type="spellEnd"/>
      <w:r>
        <w:rPr>
          <w:rtl/>
        </w:rPr>
        <w:t xml:space="preserve"> ארבע או חמש שנים. אם כן, אין זה מובן שהסבא יטריח את ר׳ </w:t>
      </w:r>
      <w:proofErr w:type="spellStart"/>
      <w:r>
        <w:rPr>
          <w:rtl/>
        </w:rPr>
        <w:t>יחיאל־יעקב</w:t>
      </w:r>
      <w:proofErr w:type="spellEnd"/>
      <w:r>
        <w:rPr>
          <w:rtl/>
        </w:rPr>
        <w:t xml:space="preserve"> ויינברג, רב ליטאי, להצטרף אליו לביקור רק כמלווה.</w:t>
      </w:r>
    </w:p>
    <w:p w14:paraId="5B9D1300" w14:textId="77777777" w:rsidR="00AB3647" w:rsidRDefault="00000000" w:rsidP="007923E9">
      <w:pPr>
        <w:spacing w:after="120" w:line="276" w:lineRule="auto"/>
        <w:ind w:firstLine="283"/>
        <w:jc w:val="both"/>
      </w:pPr>
      <w:r>
        <w:rPr>
          <w:rtl/>
        </w:rPr>
        <w:t xml:space="preserve">ומה בדבר האירוע האחר שנזכר במכתבו של ר׳ </w:t>
      </w:r>
      <w:proofErr w:type="spellStart"/>
      <w:r>
        <w:rPr>
          <w:rtl/>
        </w:rPr>
        <w:t>יחיאל־יעקב</w:t>
      </w:r>
      <w:proofErr w:type="spellEnd"/>
      <w:r>
        <w:rPr>
          <w:rtl/>
        </w:rPr>
        <w:t xml:space="preserve"> ויינברג, הצעת השידוך – מתי אירע? מהקשר המכתב אפשר לראות שר׳ </w:t>
      </w:r>
      <w:proofErr w:type="spellStart"/>
      <w:r>
        <w:rPr>
          <w:rtl/>
        </w:rPr>
        <w:t>יחיאל־יעקב</w:t>
      </w:r>
      <w:proofErr w:type="spellEnd"/>
      <w:r>
        <w:rPr>
          <w:rtl/>
        </w:rPr>
        <w:t xml:space="preserve"> ויינברג ודאי אינו מתאר דבר שהתרחש </w:t>
      </w:r>
      <w:r>
        <w:rPr>
          <w:b/>
          <w:bCs/>
          <w:rtl/>
        </w:rPr>
        <w:t>לפני</w:t>
      </w:r>
      <w:r>
        <w:rPr>
          <w:rtl/>
        </w:rPr>
        <w:t xml:space="preserve"> קבלת הפנים </w:t>
      </w:r>
      <w:proofErr w:type="spellStart"/>
      <w:r>
        <w:rPr>
          <w:rtl/>
        </w:rPr>
        <w:t>הלא־נעימה</w:t>
      </w:r>
      <w:proofErr w:type="spellEnd"/>
      <w:r>
        <w:rPr>
          <w:rtl/>
        </w:rPr>
        <w:t xml:space="preserve"> של רבו </w:t>
      </w:r>
      <w:proofErr w:type="spellStart"/>
      <w:r>
        <w:rPr>
          <w:rtl/>
        </w:rPr>
        <w:t>בקלם</w:t>
      </w:r>
      <w:proofErr w:type="spellEnd"/>
      <w:r>
        <w:rPr>
          <w:rtl/>
        </w:rPr>
        <w:t xml:space="preserve"> – אלא מתי? ומאימתי נמנות 30 השנים עד הצעת השידוך שהוא מזכיר? אי אפשר למנותן מהביקור </w:t>
      </w:r>
      <w:proofErr w:type="spellStart"/>
      <w:r>
        <w:rPr>
          <w:rtl/>
        </w:rPr>
        <w:t>בקלם</w:t>
      </w:r>
      <w:proofErr w:type="spellEnd"/>
      <w:r>
        <w:rPr>
          <w:rtl/>
        </w:rPr>
        <w:t xml:space="preserve"> עם הסבא, ואפילו לא מהמגע המוקדם ביותר שהיה לו עם הסבא </w:t>
      </w:r>
      <w:proofErr w:type="spellStart"/>
      <w:r>
        <w:rPr>
          <w:rtl/>
        </w:rPr>
        <w:t>מסלבודקה</w:t>
      </w:r>
      <w:proofErr w:type="spellEnd"/>
      <w:r>
        <w:rPr>
          <w:rtl/>
        </w:rPr>
        <w:t xml:space="preserve">, </w:t>
      </w:r>
      <w:proofErr w:type="spellStart"/>
      <w:r>
        <w:rPr>
          <w:rtl/>
        </w:rPr>
        <w:t>בתרס״א</w:t>
      </w:r>
      <w:proofErr w:type="spellEnd"/>
      <w:r>
        <w:rPr>
          <w:rtl/>
        </w:rPr>
        <w:t xml:space="preserve">. שהרי “שלושים שנה” יובילו אותנו לראשית שנות </w:t>
      </w:r>
      <w:proofErr w:type="spellStart"/>
      <w:r>
        <w:rPr>
          <w:rtl/>
        </w:rPr>
        <w:t xml:space="preserve">התר״צ</w:t>
      </w:r>
      <w:proofErr w:type="spellEnd"/>
      <w:r>
        <w:rPr>
          <w:rtl/>
        </w:rPr>
        <w:t xml:space="preserve">, ואז, לפי סדר הזמנים, כבר נישאו כל ילדי הסבא (תרע״ג), ר׳ </w:t>
      </w:r>
      <w:proofErr w:type="spellStart"/>
      <w:r>
        <w:rPr>
          <w:rtl/>
        </w:rPr>
        <w:t>יחיאל־יעקב</w:t>
      </w:r>
      <w:proofErr w:type="spellEnd"/>
      <w:r>
        <w:rPr>
          <w:rtl/>
        </w:rPr>
        <w:t xml:space="preserve"> ויינברג ישב בברלין (תרע״ד), בנו של הסבא מקלם נפטר (תרע״ו) והסבא </w:t>
      </w:r>
      <w:proofErr w:type="spellStart"/>
      <w:r>
        <w:rPr>
          <w:rtl/>
        </w:rPr>
        <w:t>מסלבודקה</w:t>
      </w:r>
      <w:proofErr w:type="spellEnd"/>
      <w:r>
        <w:rPr>
          <w:rtl/>
        </w:rPr>
        <w:t xml:space="preserve"> נפטר (תרפ״ז).</w:t>
      </w:r>
    </w:p>
    <w:p w14:paraId="33EED0BA" w14:textId="146CAB6C" w:rsidR="00AB3647" w:rsidRDefault="00000000" w:rsidP="007923E9">
      <w:pPr>
        <w:spacing w:after="120" w:line="276" w:lineRule="auto"/>
        <w:ind w:firstLine="283"/>
        <w:jc w:val="both"/>
      </w:pPr>
      <w:r>
        <w:rPr>
          <w:rtl/>
        </w:rPr>
        <w:lastRenderedPageBreak/>
        <w:t xml:space="preserve">אני מציע שר׳ </w:t>
      </w:r>
      <w:proofErr w:type="spellStart"/>
      <w:r>
        <w:rPr>
          <w:rtl/>
        </w:rPr>
        <w:t>יחיאל־יעקב</w:t>
      </w:r>
      <w:proofErr w:type="spellEnd"/>
      <w:r>
        <w:rPr>
          <w:rtl/>
        </w:rPr>
        <w:t xml:space="preserve"> ויינברג לא כתב על שני אירועים, אלא על אחד! לפי תיאורו, הביקור </w:t>
      </w:r>
      <w:proofErr w:type="spellStart"/>
      <w:r>
        <w:rPr>
          <w:rtl/>
        </w:rPr>
        <w:t>בקלם</w:t>
      </w:r>
      <w:proofErr w:type="spellEnd"/>
      <w:r>
        <w:rPr>
          <w:rtl/>
        </w:rPr>
        <w:t xml:space="preserve"> נעשה </w:t>
      </w:r>
      <w:r>
        <w:rPr>
          <w:b/>
          <w:bCs/>
          <w:rtl/>
        </w:rPr>
        <w:t>בקשר לתוכנית שידוך של הסבא</w:t>
      </w:r>
      <w:r>
        <w:rPr>
          <w:rtl/>
        </w:rPr>
        <w:t xml:space="preserve">. פירוש המילים “שלח אותי להציע שידוך” הוא שהלך </w:t>
      </w:r>
      <w:r>
        <w:rPr>
          <w:b/>
          <w:bCs/>
          <w:rtl/>
        </w:rPr>
        <w:t>עם הסבא</w:t>
      </w:r>
      <w:r>
        <w:rPr>
          <w:rtl/>
        </w:rPr>
        <w:t xml:space="preserve"> – וכינה את עצמו שמש – משום שנזקקו לעזרתו של הרב הצעיר והמכובד </w:t>
      </w:r>
      <w:proofErr w:type="spellStart"/>
      <w:r>
        <w:rPr>
          <w:rtl/>
        </w:rPr>
        <w:t>מפילווישוק</w:t>
      </w:r>
      <w:proofErr w:type="spellEnd"/>
      <w:r>
        <w:rPr>
          <w:rtl/>
        </w:rPr>
        <w:t xml:space="preserve"> כדי לשבח “מבחוץ” את בנו של רבו בפני משפחת הכלה המיועדת. ביקורם </w:t>
      </w:r>
      <w:proofErr w:type="spellStart"/>
      <w:r>
        <w:rPr>
          <w:rtl/>
        </w:rPr>
        <w:t>בקלם</w:t>
      </w:r>
      <w:proofErr w:type="spellEnd"/>
      <w:r>
        <w:rPr>
          <w:rtl/>
        </w:rPr>
        <w:t xml:space="preserve"> התרחש אחרי מעבר האלטה </w:t>
      </w:r>
      <w:proofErr w:type="spellStart"/>
      <w:r>
        <w:rPr>
          <w:rtl/>
        </w:rPr>
        <w:t>לסלבודקה</w:t>
      </w:r>
      <w:proofErr w:type="spellEnd"/>
      <w:r>
        <w:rPr>
          <w:rtl/>
        </w:rPr>
        <w:t xml:space="preserve">, כמו שהוכח לעיל. אם כן, הבנים היחידים של הסבא שעדיין עמדו בפרק השידוכים היו התאומים ר׳ משה ור׳ </w:t>
      </w:r>
      <w:proofErr w:type="spellStart"/>
      <w:r>
        <w:rPr>
          <w:rtl/>
        </w:rPr>
        <w:t>אברהם־שמואל</w:t>
      </w:r>
      <w:proofErr w:type="spellEnd"/>
      <w:r>
        <w:rPr>
          <w:rtl/>
        </w:rPr>
        <w:t xml:space="preserve">, והם לא השתדכו עד תרע״ב. הביטוי “כעבור שלושים שנה” מתייחס לביקורת מסוימת שסבל הסבא, ועליה כונה “רודף” – תחילה מר׳ </w:t>
      </w:r>
      <w:proofErr w:type="spellStart"/>
      <w:r>
        <w:rPr>
          <w:rtl/>
        </w:rPr>
        <w:t>שמחה־זיסל</w:t>
      </w:r>
      <w:proofErr w:type="spellEnd"/>
      <w:r>
        <w:rPr>
          <w:rtl/>
        </w:rPr>
        <w:t xml:space="preserve"> ואחר כך מבנו – משלושה עשורים קודם ועד ביקור השידוך </w:t>
      </w:r>
      <w:proofErr w:type="spellStart"/>
      <w:r>
        <w:rPr>
          <w:rtl/>
        </w:rPr>
        <w:t>בתרע״ב</w:t>
      </w:r>
      <w:proofErr w:type="spellEnd"/>
      <w:r>
        <w:rPr>
          <w:rtl/>
        </w:rPr>
        <w:t xml:space="preserve">. על מה שאירע 30 שנה לפני הצעת השידוך, כלומר </w:t>
      </w:r>
      <w:proofErr w:type="spellStart"/>
      <w:r>
        <w:rPr>
          <w:rtl/>
        </w:rPr>
        <w:t>בתרמ״א</w:t>
      </w:r>
      <w:proofErr w:type="spellEnd"/>
      <w:r>
        <w:rPr>
          <w:rtl/>
        </w:rPr>
        <w:t xml:space="preserve">–תרמ״ב, וגרם למנהיגי תלמוד תורה של קלם לנהוג בסבא כפי שנהגו – ראה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אי אפשר לקבל שלא הייתה מחלוקת בין ר׳ </w:t>
      </w:r>
      <w:proofErr w:type="spellStart"/>
      <w:r>
        <w:rPr>
          <w:rtl/>
        </w:rPr>
        <w:t>שמחה־זיסל</w:t>
      </w:r>
      <w:proofErr w:type="spellEnd"/>
      <w:r>
        <w:rPr>
          <w:rtl/>
        </w:rPr>
        <w:t xml:space="preserve"> לבין הסבא </w:t>
      </w:r>
      <w:proofErr w:type="spellStart"/>
      <w:r>
        <w:rPr>
          <w:rtl/>
        </w:rPr>
        <w:t>מסלבודקה</w:t>
      </w:r>
      <w:proofErr w:type="spellEnd"/>
      <w:r>
        <w:rPr>
          <w:rtl/>
        </w:rPr>
        <w:t>, כדעת רבנו.</w:t>
      </w:r>
    </w:p>
    <w:p w14:paraId="6BCA2E5C" w14:textId="77777777" w:rsidR="00AB3647" w:rsidRDefault="00000000" w:rsidP="007923E9">
      <w:pPr>
        <w:pStyle w:val="4"/>
        <w:spacing w:line="276" w:lineRule="auto"/>
      </w:pPr>
      <w:r>
        <w:t>· הפסקה השלישית ·</w:t>
      </w:r>
    </w:p>
    <w:p w14:paraId="46616181"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פוגש את ר׳ ישראל </w:t>
      </w:r>
      <w:proofErr w:type="spellStart"/>
      <w:r>
        <w:t>סלנטר</w:t>
      </w:r>
      <w:proofErr w:type="spellEnd"/>
      <w:r>
        <w:t xml:space="preserve"> – ר׳ ישראל מדריך את הסבא בטעם הקיום של ישיבת </w:t>
      </w:r>
      <w:proofErr w:type="spellStart"/>
      <w:r>
        <w:t>סלבודקה</w:t>
      </w:r>
      <w:proofErr w:type="spellEnd"/>
      <w:r>
        <w:t xml:space="preserve"> – המטרה המוגבלת של הישיבה</w:t>
      </w:r>
    </w:p>
    <w:p w14:paraId="20E662DD" w14:textId="77777777" w:rsidR="00AB3647" w:rsidRDefault="00000000" w:rsidP="007923E9">
      <w:pPr>
        <w:spacing w:after="120" w:line="276" w:lineRule="auto"/>
        <w:ind w:firstLine="283"/>
        <w:jc w:val="both"/>
      </w:pPr>
      <w:r>
        <w:rPr>
          <w:rtl/>
        </w:rPr>
        <w:t xml:space="preserve">רבנו מסר שאף שהסבא </w:t>
      </w:r>
      <w:proofErr w:type="spellStart"/>
      <w:r>
        <w:rPr>
          <w:rtl/>
        </w:rPr>
        <w:t>מסלבודקה</w:t>
      </w:r>
      <w:proofErr w:type="spellEnd"/>
      <w:r>
        <w:rPr>
          <w:rtl/>
        </w:rPr>
        <w:t xml:space="preserve"> זכה להדרכת הסבא מקלם, תלמידו המובהק של ר׳ ישראל </w:t>
      </w:r>
      <w:proofErr w:type="spellStart"/>
      <w:r>
        <w:rPr>
          <w:rtl/>
        </w:rPr>
        <w:t>סלנטר</w:t>
      </w:r>
      <w:proofErr w:type="spellEnd"/>
      <w:r>
        <w:rPr>
          <w:rtl/>
        </w:rPr>
        <w:t>, “לא נחשבה גישת המוסר לבלתי ניתנת לערעור (</w:t>
      </w:r>
      <w:proofErr w:type="spellStart"/>
      <w:r>
        <w:rPr>
          <w:rtl/>
        </w:rPr>
        <w:t>נישט</w:t>
      </w:r>
      <w:proofErr w:type="spellEnd"/>
      <w:r>
        <w:rPr>
          <w:rtl/>
        </w:rPr>
        <w:t xml:space="preserve"> </w:t>
      </w:r>
      <w:proofErr w:type="spellStart"/>
      <w:r>
        <w:rPr>
          <w:rtl/>
        </w:rPr>
        <w:t>באַהויפּט</w:t>
      </w:r>
      <w:proofErr w:type="spellEnd"/>
      <w:r>
        <w:rPr>
          <w:rtl/>
        </w:rPr>
        <w:t xml:space="preserve">) בעיני הסבא </w:t>
      </w:r>
      <w:proofErr w:type="spellStart"/>
      <w:r>
        <w:rPr>
          <w:rtl/>
        </w:rPr>
        <w:t>מסלבודקה</w:t>
      </w:r>
      <w:proofErr w:type="spellEnd"/>
      <w:r>
        <w:rPr>
          <w:rtl/>
        </w:rPr>
        <w:t>” עד שפגש את ר׳ ישראל ודיבר עמו פנים אל פנים.</w:t>
      </w:r>
      <w:bookmarkStart w:id="2446" w:name="_fnr1600"/>
      <w:r>
        <w:rPr>
          <w:rStyle w:val="a5"/>
        </w:rPr>
        <w:footnoteReference w:id="1603" w:customMarkFollows="0"/>
      </w:r>
      <w:bookmarkEnd w:id="2446"/>
      <w:r>
        <w:rPr>
          <w:rtl/>
        </w:rPr>
        <w:t xml:space="preserve"> הסבא גילה זאת לתלמידו המובהק, ר׳ אברהם </w:t>
      </w:r>
      <w:proofErr w:type="spellStart"/>
      <w:r>
        <w:rPr>
          <w:rtl/>
        </w:rPr>
        <w:t>גרודזינסקי</w:t>
      </w:r>
      <w:proofErr w:type="spellEnd"/>
      <w:r>
        <w:rPr>
          <w:rtl/>
        </w:rPr>
        <w:t>.</w:t>
      </w:r>
      <w:bookmarkStart w:id="2447" w:name="_fnr1601"/>
      <w:r>
        <w:rPr>
          <w:rStyle w:val="a5"/>
        </w:rPr>
        <w:footnoteReference w:id="1604" w:customMarkFollows="0"/>
      </w:r>
      <w:bookmarkEnd w:id="2447"/>
      <w:r>
        <w:rPr>
          <w:rtl/>
        </w:rPr>
        <w:t xml:space="preserve"> בריאיון על ר׳ ישראל</w:t>
      </w:r>
      <w:bookmarkStart w:id="2448" w:name="_fnr1602"/>
      <w:r>
        <w:rPr>
          <w:rStyle w:val="a5"/>
        </w:rPr>
        <w:footnoteReference w:id="1605" w:customMarkFollows="0"/>
      </w:r>
      <w:bookmarkEnd w:id="2448"/>
      <w:r>
        <w:rPr>
          <w:rtl/>
        </w:rPr>
        <w:t xml:space="preserve"> תיאר אבי את התועלת שהפיק הסבא מן הפגישה האישית עם ר׳ ישראל בניסוח חלש יותר, אך חיובי: “גישת המוסר </w:t>
      </w:r>
      <w:r>
        <w:rPr>
          <w:b/>
          <w:bCs/>
          <w:rtl/>
        </w:rPr>
        <w:t>אושרה</w:t>
      </w:r>
      <w:r>
        <w:rPr>
          <w:rtl/>
        </w:rPr>
        <w:t xml:space="preserve"> [</w:t>
      </w:r>
      <w:proofErr w:type="spellStart"/>
      <w:r>
        <w:rPr>
          <w:rtl/>
        </w:rPr>
        <w:t>באַשטעטיקט</w:t>
      </w:r>
      <w:proofErr w:type="spellEnd"/>
      <w:r>
        <w:rPr>
          <w:rtl/>
        </w:rPr>
        <w:t xml:space="preserve">] לסבא </w:t>
      </w:r>
      <w:proofErr w:type="spellStart"/>
      <w:r>
        <w:rPr>
          <w:rtl/>
        </w:rPr>
        <w:t>מסלבודקה</w:t>
      </w:r>
      <w:proofErr w:type="spellEnd"/>
      <w:r>
        <w:rPr>
          <w:rtl/>
        </w:rPr>
        <w:t xml:space="preserve"> אחרי שפגש את ר׳ ישראל.”</w:t>
      </w:r>
    </w:p>
    <w:p w14:paraId="416B7953" w14:textId="77777777" w:rsidR="00AB3647" w:rsidRDefault="00000000" w:rsidP="007923E9">
      <w:pPr>
        <w:spacing w:after="120" w:line="276" w:lineRule="auto"/>
        <w:ind w:firstLine="283"/>
        <w:jc w:val="both"/>
      </w:pPr>
      <w:r>
        <w:rPr>
          <w:rtl/>
        </w:rPr>
        <w:t xml:space="preserve">לפני הפגישה עם ר׳ ישראל כבר היה </w:t>
      </w:r>
      <w:proofErr w:type="spellStart"/>
      <w:r>
        <w:rPr>
          <w:rtl/>
        </w:rPr>
        <w:t>לר</w:t>
      </w:r>
      <w:proofErr w:type="spellEnd"/>
      <w:r>
        <w:rPr>
          <w:rtl/>
        </w:rPr>
        <w:t xml:space="preserve">׳ </w:t>
      </w:r>
      <w:proofErr w:type="spellStart"/>
      <w:r>
        <w:rPr>
          <w:rtl/>
        </w:rPr>
        <w:t>נתן־צבי</w:t>
      </w:r>
      <w:proofErr w:type="spellEnd"/>
      <w:r>
        <w:rPr>
          <w:rtl/>
        </w:rPr>
        <w:t xml:space="preserve"> מגע עמו, אך באמצעות מתווך. לפי מה שמסר ר׳ יוזל </w:t>
      </w:r>
      <w:proofErr w:type="spellStart"/>
      <w:r>
        <w:rPr>
          <w:rtl/>
        </w:rPr>
        <w:t>הורוויץ</w:t>
      </w:r>
      <w:proofErr w:type="spellEnd"/>
      <w:r>
        <w:rPr>
          <w:rtl/>
        </w:rPr>
        <w:t xml:space="preserve"> לחתנו ר׳ אברהם </w:t>
      </w:r>
      <w:proofErr w:type="spellStart"/>
      <w:r>
        <w:rPr>
          <w:rtl/>
        </w:rPr>
        <w:t>יופן</w:t>
      </w:r>
      <w:proofErr w:type="spellEnd"/>
      <w:r>
        <w:rPr>
          <w:rtl/>
        </w:rPr>
        <w:t>,</w:t>
      </w:r>
      <w:bookmarkStart w:id="2449" w:name="_fnr1603"/>
      <w:r>
        <w:rPr>
          <w:rStyle w:val="a5"/>
        </w:rPr>
        <w:footnoteReference w:id="1606" w:customMarkFollows="0"/>
      </w:r>
      <w:bookmarkEnd w:id="2449"/>
      <w:r>
        <w:rPr>
          <w:rtl/>
        </w:rPr>
        <w:t xml:space="preserve"> בראשית דרכו כמחנך שאל הסבא את ר׳ ישראל – כנראה 10 שנים לפני פגישתם, ובאמצעות ר׳ לייזר </w:t>
      </w:r>
      <w:proofErr w:type="spellStart"/>
      <w:r>
        <w:rPr>
          <w:rtl/>
        </w:rPr>
        <w:t>שולביץ</w:t>
      </w:r>
      <w:bookmarkStart w:id="2450" w:name="_fnr1604"/>
      <w:proofErr w:type="spellEnd"/>
      <w:r>
        <w:rPr>
          <w:rStyle w:val="a5"/>
        </w:rPr>
        <w:footnoteReference w:id="1607" w:customMarkFollows="0"/>
      </w:r>
      <w:bookmarkEnd w:id="2450"/>
      <w:r>
        <w:rPr>
          <w:rtl/>
        </w:rPr>
        <w:t xml:space="preserve"> – אם עליו להתחיל כבר לעבוד עם נוער. הסבא </w:t>
      </w:r>
      <w:proofErr w:type="spellStart"/>
      <w:r>
        <w:rPr>
          <w:rtl/>
        </w:rPr>
        <w:t>מסלבודקה</w:t>
      </w:r>
      <w:proofErr w:type="spellEnd"/>
      <w:r>
        <w:rPr>
          <w:rtl/>
        </w:rPr>
        <w:t xml:space="preserve"> הבין שיש בו כישרון להשפיע על צעירים ולמשוך אותם לבית המדרש, אבל חשש שלא יצליח לנתקם מן ההשכלה, שהייתה פופולרית אז, אם לא ימשיך בהתקדמותו האישית ויבנה את ביטחונו העצמי. ר׳ ישראל השיב בחידה: “אליי פונים בכל השאלות – אפילו בשאלת שמד!” נראה כאילו ר׳ ישראל התחמק אז מלהשיב והניח </w:t>
      </w:r>
      <w:proofErr w:type="spellStart"/>
      <w:r>
        <w:rPr>
          <w:rtl/>
        </w:rPr>
        <w:t>לר</w:t>
      </w:r>
      <w:proofErr w:type="spellEnd"/>
      <w:r>
        <w:rPr>
          <w:rtl/>
        </w:rPr>
        <w:t xml:space="preserve">׳ </w:t>
      </w:r>
      <w:proofErr w:type="spellStart"/>
      <w:r>
        <w:rPr>
          <w:rtl/>
        </w:rPr>
        <w:t>נתן־</w:t>
      </w:r>
      <w:r>
        <w:rPr>
          <w:rtl/>
        </w:rPr>
        <w:lastRenderedPageBreak/>
        <w:t>צבי</w:t>
      </w:r>
      <w:proofErr w:type="spellEnd"/>
      <w:r>
        <w:rPr>
          <w:rtl/>
        </w:rPr>
        <w:t xml:space="preserve"> להחליט בעצמו,</w:t>
      </w:r>
      <w:bookmarkStart w:id="2451" w:name="_fnr1605"/>
      <w:r>
        <w:rPr>
          <w:rStyle w:val="a5"/>
        </w:rPr>
        <w:footnoteReference w:id="1608" w:customMarkFollows="0"/>
      </w:r>
      <w:bookmarkEnd w:id="2451"/>
      <w:r>
        <w:rPr>
          <w:rtl/>
        </w:rPr>
        <w:t xml:space="preserve"> אבל בפגישתם כעבור עשור אכן השיב ר׳ ישראל על שאלה אחרת, כמסופר להלן.</w:t>
      </w:r>
    </w:p>
    <w:p w14:paraId="531A321A" w14:textId="77777777" w:rsidR="00AB3647" w:rsidRDefault="00000000" w:rsidP="007923E9">
      <w:pPr>
        <w:spacing w:after="120" w:line="276" w:lineRule="auto"/>
        <w:ind w:firstLine="283"/>
        <w:jc w:val="both"/>
      </w:pPr>
      <w:r>
        <w:rPr>
          <w:rtl/>
        </w:rPr>
        <w:t xml:space="preserve">ר׳ יצחק </w:t>
      </w:r>
      <w:proofErr w:type="spellStart"/>
      <w:r>
        <w:rPr>
          <w:rtl/>
        </w:rPr>
        <w:t>הוטנר</w:t>
      </w:r>
      <w:proofErr w:type="spellEnd"/>
      <w:r>
        <w:rPr>
          <w:rtl/>
        </w:rPr>
        <w:t xml:space="preserve"> מסר שכשנשאל הסבא בזמן מאוחר יותר אם הוא מחשיב את ר׳ ישראל </w:t>
      </w:r>
      <w:proofErr w:type="spellStart"/>
      <w:r>
        <w:rPr>
          <w:rtl/>
        </w:rPr>
        <w:t>סלנטר</w:t>
      </w:r>
      <w:proofErr w:type="spellEnd"/>
      <w:r>
        <w:rPr>
          <w:rtl/>
        </w:rPr>
        <w:t xml:space="preserve"> לרבו, השיב: “אני מתייחס אליו כגר המתייחס לבית הדין שגיירו.”</w:t>
      </w:r>
      <w:bookmarkStart w:id="2452" w:name="_fnr1606"/>
      <w:r>
        <w:rPr>
          <w:rStyle w:val="a5"/>
        </w:rPr>
        <w:footnoteReference w:id="1609" w:customMarkFollows="0"/>
      </w:r>
      <w:bookmarkEnd w:id="2452"/>
    </w:p>
    <w:p w14:paraId="2F00FE31" w14:textId="77777777" w:rsidR="00AB3647" w:rsidRDefault="00000000" w:rsidP="007923E9">
      <w:pPr>
        <w:spacing w:after="120" w:line="276" w:lineRule="auto"/>
        <w:ind w:firstLine="283"/>
        <w:jc w:val="both"/>
      </w:pPr>
      <w:r>
        <w:rPr>
          <w:rtl/>
        </w:rPr>
        <w:t xml:space="preserve">נראה שהסבא פגש את ר׳ ישראל פעם אחת בלבד, אף שכץ כותב “באחת מן הפגישות המעטות ביניהם”, כמצוטט להלן. הדבר אירע בראשית שנות </w:t>
      </w:r>
      <w:proofErr w:type="spellStart"/>
      <w:r>
        <w:rPr>
          <w:rtl/>
        </w:rPr>
        <w:t xml:space="preserve">התר״מ</w:t>
      </w:r>
      <w:proofErr w:type="spellEnd"/>
      <w:r>
        <w:rPr>
          <w:rtl/>
        </w:rPr>
        <w:t xml:space="preserve">, בסמוך להקמת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ופחות משנה לפני פטירת ר׳ ישראל </w:t>
      </w:r>
      <w:proofErr w:type="spellStart"/>
      <w:r>
        <w:rPr>
          <w:rtl/>
        </w:rPr>
        <w:t>סלנטר</w:t>
      </w:r>
      <w:proofErr w:type="spellEnd"/>
      <w:r>
        <w:rPr>
          <w:rtl/>
        </w:rPr>
        <w:t xml:space="preserve"> </w:t>
      </w:r>
      <w:proofErr w:type="spellStart"/>
      <w:r>
        <w:rPr>
          <w:rtl/>
        </w:rPr>
        <w:t>בתרמ״ג</w:t>
      </w:r>
      <w:proofErr w:type="spellEnd"/>
      <w:r>
        <w:rPr>
          <w:rtl/>
        </w:rPr>
        <w:t xml:space="preserve">. את זמן הפגישה מלמדת השאלה שלפי המסופר שאל הסבא </w:t>
      </w:r>
      <w:proofErr w:type="spellStart"/>
      <w:r>
        <w:rPr>
          <w:rtl/>
        </w:rPr>
        <w:t>מסלבודקה</w:t>
      </w:r>
      <w:proofErr w:type="spellEnd"/>
      <w:r>
        <w:rPr>
          <w:rtl/>
        </w:rPr>
        <w:t xml:space="preserve"> את ר׳ ישראל – לאיזה כיוון צריכה ללכת הישיבה </w:t>
      </w:r>
      <w:r>
        <w:rPr>
          <w:b/>
          <w:bCs/>
          <w:rtl/>
        </w:rPr>
        <w:t>שהוא מקים</w:t>
      </w:r>
      <w:r>
        <w:rPr>
          <w:rtl/>
        </w:rPr>
        <w:t xml:space="preserve"> </w:t>
      </w:r>
      <w:proofErr w:type="spellStart"/>
      <w:r>
        <w:rPr>
          <w:rtl/>
        </w:rPr>
        <w:t>בסלבודקה</w:t>
      </w:r>
      <w:proofErr w:type="spellEnd"/>
      <w:r>
        <w:rPr>
          <w:rtl/>
        </w:rPr>
        <w:t xml:space="preserve"> – ושעליה השיב ר׳ ישראל בפסוק בישעיה </w:t>
      </w:r>
      <w:proofErr w:type="spellStart"/>
      <w:r>
        <w:rPr>
          <w:rtl/>
        </w:rPr>
        <w:t>נז</w:t>
      </w:r>
      <w:proofErr w:type="spellEnd"/>
      <w:r>
        <w:rPr>
          <w:rtl/>
        </w:rPr>
        <w:t>, טו, “להחיות רוח שפלים ולהחיות לב נדכאים”.</w:t>
      </w:r>
    </w:p>
    <w:p w14:paraId="5424631C" w14:textId="77777777" w:rsidR="00AB3647" w:rsidRDefault="00000000" w:rsidP="007923E9">
      <w:pPr>
        <w:spacing w:after="120" w:line="276" w:lineRule="auto"/>
        <w:ind w:firstLine="283"/>
        <w:jc w:val="both"/>
      </w:pPr>
      <w:r>
        <w:rPr>
          <w:rtl/>
        </w:rPr>
        <w:t xml:space="preserve">השאלה והתשובה מובאות במאמר של צבי קפלן </w:t>
      </w:r>
      <w:proofErr w:type="spellStart"/>
      <w:r>
        <w:rPr>
          <w:rtl/>
        </w:rPr>
        <w:t>ב“ספר</w:t>
      </w:r>
      <w:proofErr w:type="spellEnd"/>
      <w:r>
        <w:rPr>
          <w:rtl/>
        </w:rPr>
        <w:t xml:space="preserve"> </w:t>
      </w:r>
      <w:proofErr w:type="spellStart"/>
      <w:r>
        <w:rPr>
          <w:rtl/>
        </w:rPr>
        <w:t>זכרון</w:t>
      </w:r>
      <w:proofErr w:type="spellEnd"/>
      <w:r>
        <w:rPr>
          <w:rtl/>
        </w:rPr>
        <w:t xml:space="preserve"> לרבי יחזקאל </w:t>
      </w:r>
      <w:proofErr w:type="spellStart"/>
      <w:r>
        <w:rPr>
          <w:rtl/>
        </w:rPr>
        <w:t>סרנא</w:t>
      </w:r>
      <w:proofErr w:type="spellEnd"/>
      <w:r>
        <w:rPr>
          <w:rtl/>
        </w:rPr>
        <w:t>”,</w:t>
      </w:r>
      <w:bookmarkStart w:id="2453" w:name="_fnr1607"/>
      <w:r>
        <w:rPr>
          <w:rStyle w:val="a5"/>
        </w:rPr>
        <w:footnoteReference w:id="1610" w:customMarkFollows="0"/>
      </w:r>
      <w:bookmarkEnd w:id="2453"/>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שלו סיפר הסבא את הדברים “</w:t>
      </w:r>
      <w:proofErr w:type="spellStart"/>
      <w:r>
        <w:rPr>
          <w:rtl/>
        </w:rPr>
        <w:t>כש</w:t>
      </w:r>
      <w:proofErr w:type="spellEnd"/>
      <w:r>
        <w:rPr>
          <w:rtl/>
        </w:rPr>
        <w:t xml:space="preserve">(ר׳ </w:t>
      </w:r>
      <w:proofErr w:type="spellStart"/>
      <w:r>
        <w:rPr>
          <w:rtl/>
        </w:rPr>
        <w:t>חצקל</w:t>
      </w:r>
      <w:proofErr w:type="spellEnd"/>
      <w:r>
        <w:rPr>
          <w:rtl/>
        </w:rPr>
        <w:t xml:space="preserve"> </w:t>
      </w:r>
      <w:proofErr w:type="spellStart"/>
      <w:r>
        <w:rPr>
          <w:rtl/>
        </w:rPr>
        <w:t>סרנא</w:t>
      </w:r>
      <w:proofErr w:type="spellEnd"/>
      <w:r>
        <w:rPr>
          <w:rtl/>
        </w:rPr>
        <w:t>) ישב עם הסבא בשעה מאוחרת בלילה</w:t>
      </w:r>
      <w:bookmarkStart w:id="2454" w:name="_fnr1608"/>
      <w:r>
        <w:rPr>
          <w:rStyle w:val="a5"/>
        </w:rPr>
        <w:footnoteReference w:id="1611" w:customMarkFollows="0"/>
      </w:r>
      <w:bookmarkEnd w:id="2454"/>
      <w:r>
        <w:rPr>
          <w:rtl/>
        </w:rPr>
        <w:t xml:space="preserve"> כשהיה עדיין בחור צעיר בישיבת </w:t>
      </w:r>
      <w:proofErr w:type="spellStart"/>
      <w:r>
        <w:rPr>
          <w:rtl/>
        </w:rPr>
        <w:t>סלבודקה</w:t>
      </w:r>
      <w:proofErr w:type="spellEnd"/>
      <w:r>
        <w:rPr>
          <w:rtl/>
        </w:rPr>
        <w:t>”.</w:t>
      </w:r>
    </w:p>
    <w:p w14:paraId="12FB03B0" w14:textId="27F8FE91" w:rsidR="00AB3647" w:rsidRDefault="00000000" w:rsidP="007923E9">
      <w:pPr>
        <w:spacing w:after="120" w:line="276" w:lineRule="auto"/>
        <w:ind w:firstLine="283"/>
        <w:jc w:val="both"/>
      </w:pPr>
      <w:r>
        <w:rPr>
          <w:rtl/>
        </w:rPr>
        <w:t>כץ, “תנועת המוסר”, כרך ג,</w:t>
      </w:r>
      <w:bookmarkStart w:id="2455" w:name="_fnr1609"/>
      <w:r>
        <w:rPr>
          <w:rStyle w:val="a5"/>
        </w:rPr>
        <w:footnoteReference w:id="1612" w:customMarkFollows="0"/>
      </w:r>
      <w:bookmarkEnd w:id="2455"/>
      <w:r>
        <w:rPr>
          <w:rtl/>
        </w:rPr>
        <w:t xml:space="preserve"> אחרי ההקדמה </w:t>
      </w:r>
      <w:proofErr w:type="spellStart"/>
      <w:r>
        <w:rPr>
          <w:rtl/>
        </w:rPr>
        <w:t>ש“בעיקר</w:t>
      </w:r>
      <w:proofErr w:type="spellEnd"/>
      <w:r>
        <w:rPr>
          <w:rtl/>
        </w:rPr>
        <w:t xml:space="preserve"> יישם הסבא את שיטת ‘קירוב’”, כותב </w:t>
      </w:r>
      <w:proofErr w:type="spellStart"/>
      <w:r>
        <w:rPr>
          <w:rtl/>
        </w:rPr>
        <w:t>ש“מסופר</w:t>
      </w:r>
      <w:proofErr w:type="spellEnd"/>
      <w:r>
        <w:rPr>
          <w:rtl/>
        </w:rPr>
        <w:t xml:space="preserve">” שר׳ ישראל השתמש בפסוק המצוטט לעיל “באחת מן הפגישות המעטות ביניהם” כדי להשיב על שאלה אחרת: איזו </w:t>
      </w:r>
      <w:r>
        <w:rPr>
          <w:b/>
          <w:bCs/>
          <w:rtl/>
        </w:rPr>
        <w:t>שיטת חינוך</w:t>
      </w:r>
      <w:r>
        <w:rPr>
          <w:rtl/>
        </w:rPr>
        <w:t xml:space="preserve"> (ההדגשה שלי) יש לנקוט בזמננו? מאחר שצבי קפלן גילה </w:t>
      </w:r>
      <w:r>
        <w:rPr>
          <w:b/>
          <w:bCs/>
          <w:rtl/>
        </w:rPr>
        <w:t>למי</w:t>
      </w:r>
      <w:r>
        <w:rPr>
          <w:rtl/>
        </w:rPr>
        <w:t xml:space="preserve"> חזר הסבא על חילופי הדברים, אפשר לשער שגרסת כץ לעיקר השאלה והתשובה אינה מדויקת. שהרי אין זה מתקבל על הדעת שהסבא ידון ב</w:t>
      </w:r>
      <w:r>
        <w:rPr>
          <w:b/>
          <w:bCs/>
          <w:rtl/>
        </w:rPr>
        <w:t>שיטות חינוך</w:t>
      </w:r>
      <w:r>
        <w:rPr>
          <w:rtl/>
        </w:rPr>
        <w:t xml:space="preserve"> עם “בחור צעיר”, מוכשר ככל שיהיה. מה שהסבא אולי גילה לאחד מחניכיו – במיוחד למי שכבר נדד בין ישיבות שונות לפני בואו </w:t>
      </w:r>
      <w:proofErr w:type="spellStart"/>
      <w:r>
        <w:rPr>
          <w:rtl/>
        </w:rPr>
        <w:t>לסלבודקה</w:t>
      </w:r>
      <w:proofErr w:type="spellEnd"/>
      <w:r>
        <w:rPr>
          <w:rtl/>
        </w:rPr>
        <w:t xml:space="preserve">, כפי שעשה ר׳ </w:t>
      </w:r>
      <w:proofErr w:type="spellStart"/>
      <w:r>
        <w:rPr>
          <w:rtl/>
        </w:rPr>
        <w:t>חצקל</w:t>
      </w:r>
      <w:proofErr w:type="spellEnd"/>
      <w:r>
        <w:rPr>
          <w:rtl/>
        </w:rPr>
        <w:t xml:space="preserve"> </w:t>
      </w:r>
      <w:proofErr w:type="spellStart"/>
      <w:r>
        <w:rPr>
          <w:rtl/>
        </w:rPr>
        <w:t>סרנא</w:t>
      </w:r>
      <w:bookmarkStart w:id="2456" w:name="_fnr1610"/>
      <w:proofErr w:type="spellEnd"/>
      <w:r>
        <w:rPr>
          <w:rStyle w:val="a5"/>
        </w:rPr>
        <w:footnoteReference w:id="1613" w:customMarkFollows="0"/>
      </w:r>
      <w:bookmarkEnd w:id="2456"/>
      <w:r>
        <w:rPr>
          <w:rtl/>
        </w:rPr>
        <w:t xml:space="preserve"> – היה </w:t>
      </w:r>
      <w:r>
        <w:rPr>
          <w:b/>
          <w:bCs/>
          <w:rtl/>
        </w:rPr>
        <w:t>המטרה</w:t>
      </w:r>
      <w:r>
        <w:rPr>
          <w:rtl/>
        </w:rPr>
        <w:t xml:space="preserve"> שלשמה הוקמה ישיבת </w:t>
      </w:r>
      <w:proofErr w:type="spellStart"/>
      <w:r>
        <w:rPr>
          <w:rtl/>
        </w:rPr>
        <w:t>סלבודקה</w:t>
      </w:r>
      <w:proofErr w:type="spellEnd"/>
      <w:r>
        <w:rPr>
          <w:rtl/>
        </w:rPr>
        <w:t xml:space="preserve">, שאליה הצטרף התלמיד הנודד, בדיוק כפי שדיווח צבי </w:t>
      </w:r>
      <w:r>
        <w:rPr>
          <w:rtl/>
        </w:rPr>
        <w:lastRenderedPageBreak/>
        <w:t>קפלן. השווה גם את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שבקיץ תרמ״ב הופיע ר׳ ישראל בקובנה אחרי שנתיים של שהייה בפריז.</w:t>
      </w:r>
      <w:bookmarkStart w:id="2457" w:name="_fnr1611"/>
      <w:r>
        <w:rPr>
          <w:rStyle w:val="a5"/>
        </w:rPr>
        <w:footnoteReference w:id="1614" w:customMarkFollows="0"/>
      </w:r>
      <w:bookmarkEnd w:id="2457"/>
    </w:p>
    <w:p w14:paraId="42C93A99" w14:textId="77777777" w:rsidR="00AB3647" w:rsidRDefault="00000000" w:rsidP="007923E9">
      <w:pPr>
        <w:spacing w:after="120" w:line="276" w:lineRule="auto"/>
        <w:ind w:firstLine="283"/>
        <w:jc w:val="both"/>
      </w:pPr>
      <w:r>
        <w:rPr>
          <w:rtl/>
        </w:rPr>
        <w:t xml:space="preserve">בהתאם להוראות ר׳ ישראל בנה הסבא את ישיבת </w:t>
      </w:r>
      <w:proofErr w:type="spellStart"/>
      <w:r>
        <w:rPr>
          <w:rtl/>
        </w:rPr>
        <w:t>סלבודקה</w:t>
      </w:r>
      <w:proofErr w:type="spellEnd"/>
      <w:r>
        <w:rPr>
          <w:rtl/>
        </w:rPr>
        <w:t xml:space="preserve"> למטרה צרה יותר מזו של קודמתה, ישיבת </w:t>
      </w:r>
      <w:proofErr w:type="spellStart"/>
      <w:r>
        <w:rPr>
          <w:rtl/>
        </w:rPr>
        <w:t>וולוז׳ין</w:t>
      </w:r>
      <w:proofErr w:type="spellEnd"/>
      <w:r>
        <w:rPr>
          <w:rtl/>
        </w:rPr>
        <w:t xml:space="preserve">. השווה את תחילת ההקדמה </w:t>
      </w:r>
      <w:proofErr w:type="spellStart"/>
      <w:r>
        <w:rPr>
          <w:rtl/>
        </w:rPr>
        <w:t>ל“נפש</w:t>
      </w:r>
      <w:proofErr w:type="spellEnd"/>
      <w:r>
        <w:rPr>
          <w:rtl/>
        </w:rPr>
        <w:t xml:space="preserve"> החיים” מאת ר׳ יצחק, בנו של ר׳ חיים </w:t>
      </w:r>
      <w:proofErr w:type="spellStart"/>
      <w:r>
        <w:rPr>
          <w:rtl/>
        </w:rPr>
        <w:t>מוולוז׳ין</w:t>
      </w:r>
      <w:proofErr w:type="spellEnd"/>
      <w:r>
        <w:rPr>
          <w:rtl/>
        </w:rPr>
        <w:t xml:space="preserve">, המספר שאביו בנה את ישיבת </w:t>
      </w:r>
      <w:proofErr w:type="spellStart"/>
      <w:r>
        <w:rPr>
          <w:rtl/>
        </w:rPr>
        <w:t>וולוז׳ין</w:t>
      </w:r>
      <w:proofErr w:type="spellEnd"/>
      <w:r>
        <w:rPr>
          <w:rtl/>
        </w:rPr>
        <w:t xml:space="preserve"> על </w:t>
      </w:r>
      <w:r>
        <w:rPr>
          <w:b/>
          <w:bCs/>
          <w:rtl/>
        </w:rPr>
        <w:t>שלושה</w:t>
      </w:r>
      <w:r>
        <w:rPr>
          <w:rtl/>
        </w:rPr>
        <w:t xml:space="preserve"> יסודות – תורה, עבודה וגמילות חסדים.</w:t>
      </w:r>
    </w:p>
    <w:bookmarkStart w:id="2458" w:name="b3_excE"/>
    <w:p w14:paraId="3CD9DA3F" w14:textId="77777777" w:rsidR="00AB3647" w:rsidRDefault="00000000" w:rsidP="007923E9">
      <w:pPr>
        <w:pStyle w:val="3"/>
        <w:spacing w:line="276" w:lineRule="auto"/>
      </w:pPr>
      <w:r>
        <w:lastRenderedPageBreak/>
        <w:fldChar w:fldCharType="begin" w:dirty="true"/>
      </w:r>
      <w:r>
        <w:rPr>
          <w:rtl w:val="0"/>
        </w:rPr>
        <w:instrText>HYPERLINK \l "b3_note25</w:instrText>
      </w:r>
      <w:r>
        <w:instrText>"</w:instrText>
      </w:r>
      <w:r>
        <w:fldChar w:fldCharType="separate"/>
      </w:r>
      <w:r>
        <w:t>נספח ה</w:t>
      </w:r>
      <w:r>
        <w:fldChar w:fldCharType="end"/>
      </w:r>
      <w:bookmarkEnd w:id="2458"/>
    </w:p>
    <w:p w14:paraId="0C96747D" w14:textId="77777777" w:rsidR="00AB3647" w:rsidRDefault="00000000" w:rsidP="007923E9">
      <w:pPr>
        <w:pStyle w:val="af"/>
        <w:spacing w:line="276" w:lineRule="auto"/>
      </w:pPr>
      <w:r>
        <w:t>על ביטול עצמם של בעלי המוסר; על מינוי מתרימים לכולל קובנה; ועל ההתנגדות להשתרשות תנועת המוסר בו</w:t>
      </w:r>
    </w:p>
    <w:p w14:paraId="02FF8B79" w14:textId="77777777" w:rsidR="00AB3647" w:rsidRDefault="00000000" w:rsidP="007923E9">
      <w:pPr>
        <w:pStyle w:val="4"/>
        <w:spacing w:line="276" w:lineRule="auto"/>
      </w:pPr>
      <w:r>
        <w:t>· הפסקה הראשונה ·</w:t>
      </w:r>
    </w:p>
    <w:p w14:paraId="20964CF1" w14:textId="77777777" w:rsidR="00AB3647" w:rsidRDefault="00000000" w:rsidP="007923E9">
      <w:pPr>
        <w:pStyle w:val="5"/>
        <w:spacing w:line="276" w:lineRule="auto"/>
      </w:pPr>
      <w:r>
        <w:t xml:space="preserve">הסבא מוכנס להנהלת כולל קובנה – הוא מרגיש שישיבת </w:t>
      </w:r>
      <w:proofErr w:type="spellStart"/>
      <w:r>
        <w:t>סלבודקה</w:t>
      </w:r>
      <w:proofErr w:type="spellEnd"/>
      <w:r>
        <w:t xml:space="preserve"> יכולה להסתדר בלעדיו – לבעלי המוסר של קלם אין מקימים מצבות – קברו של ר׳ ישראל </w:t>
      </w:r>
      <w:proofErr w:type="spellStart"/>
      <w:r>
        <w:t>סלנטר</w:t>
      </w:r>
      <w:proofErr w:type="spellEnd"/>
      <w:r>
        <w:t xml:space="preserve"> נותר זמן רב בלי מצבה</w:t>
      </w:r>
    </w:p>
    <w:p w14:paraId="411284EE" w14:textId="77777777" w:rsidR="00AB3647" w:rsidRDefault="00000000" w:rsidP="007923E9">
      <w:pPr>
        <w:spacing w:after="120" w:line="276" w:lineRule="auto"/>
        <w:ind w:firstLine="283"/>
        <w:jc w:val="both"/>
      </w:pPr>
      <w:r>
        <w:rPr>
          <w:rtl/>
        </w:rPr>
        <w:t>כדי לתאר את מעמדו של הסבא בכולל נהג אבי להשתמש</w:t>
      </w:r>
      <w:bookmarkStart w:id="2459" w:name="_fnr1612"/>
      <w:bookmarkStart w:id="2460" w:name="pr_f_1523"/>
      <w:r>
        <w:rPr>
          <w:rStyle w:val="a5"/>
        </w:rPr>
        <w:footnoteReference w:id="1615" w:customMarkFollows="0"/>
      </w:r>
      <w:bookmarkEnd w:id="2459"/>
      <w:bookmarkEnd w:id="2460"/>
      <w:r>
        <w:rPr>
          <w:rtl/>
        </w:rPr>
        <w:t xml:space="preserve"> בביטוי: “את הסבא הגניבו להנהלת הכולל”. תיאור זה צריך ביאור.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2461" w:name="_fnr1613"/>
      <w:proofErr w:type="spellEnd"/>
      <w:r>
        <w:rPr>
          <w:rStyle w:val="a5"/>
        </w:rPr>
        <w:footnoteReference w:id="1616" w:customMarkFollows="0"/>
      </w:r>
      <w:bookmarkEnd w:id="2461"/>
      <w:r>
        <w:rPr>
          <w:rtl/>
        </w:rPr>
        <w:t xml:space="preserve"> קובע ש“(הסבא) היה המייסד האמיתי של כולל קובנה”. כץ, “תנועת המוסר”, כרך ג</w:t>
      </w:r>
      <w:bookmarkStart w:id="2462" w:name="_fnr1614"/>
      <w:r>
        <w:rPr>
          <w:rStyle w:val="a5"/>
        </w:rPr>
        <w:footnoteReference w:id="1617" w:customMarkFollows="0"/>
      </w:r>
      <w:bookmarkEnd w:id="2462"/>
      <w:r>
        <w:rPr>
          <w:rtl/>
        </w:rPr>
        <w:t xml:space="preserve">, מוסיף שהרעיון להקים כולל הועלה בידי ר׳ ישראל, אבל בשעה שגדולי התורה עדיין נשאו ונתנו היכן ובחסות מי יוקם הכולל, פתחו הסבא ור׳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שהכספים היו אז בידו, את הכולל “בערך בשנים תרל״ז–תרל״ח והניחו את היסוד הראשון למוסד מסוג זה” בעיר </w:t>
      </w:r>
      <w:proofErr w:type="spellStart"/>
      <w:r>
        <w:rPr>
          <w:rtl/>
        </w:rPr>
        <w:t>סלבודקה</w:t>
      </w:r>
      <w:proofErr w:type="spellEnd"/>
      <w:r>
        <w:rPr>
          <w:rtl/>
        </w:rPr>
        <w:t>.</w:t>
      </w:r>
    </w:p>
    <w:p w14:paraId="7E8284F6" w14:textId="77777777" w:rsidR="00AB3647" w:rsidRDefault="00000000" w:rsidP="007923E9">
      <w:pPr>
        <w:spacing w:after="120" w:line="276" w:lineRule="auto"/>
        <w:ind w:firstLine="283"/>
        <w:jc w:val="both"/>
      </w:pPr>
      <w:r>
        <w:rPr>
          <w:rtl/>
        </w:rPr>
        <w:t xml:space="preserve">תהא מעורבותו של הסבא אשר תהא, אין לכאורה כל טעם לכך שלא מונה לחבר ההנהלה כדרך הרגיל. מדוע היה צורך להגניבו? אם היה צעיר מדי בעת ייסוד הכולל בשנת תרל״ט – הוא היה אז בן שלושים – אין לכאורה טעם לכך שלא נעשה לאחד המנהלים באופן רשמי כשחזר </w:t>
      </w:r>
      <w:proofErr w:type="spellStart"/>
      <w:r>
        <w:rPr>
          <w:rtl/>
        </w:rPr>
        <w:t>לסלבודקה</w:t>
      </w:r>
      <w:proofErr w:type="spellEnd"/>
      <w:r>
        <w:rPr>
          <w:rtl/>
        </w:rPr>
        <w:t xml:space="preserve"> </w:t>
      </w:r>
      <w:proofErr w:type="spellStart"/>
      <w:r>
        <w:rPr>
          <w:rtl/>
        </w:rPr>
        <w:t>מגרובין</w:t>
      </w:r>
      <w:bookmarkStart w:id="2463" w:name="_fnr1615"/>
      <w:proofErr w:type="spellEnd"/>
      <w:r>
        <w:rPr>
          <w:rStyle w:val="a5"/>
        </w:rPr>
        <w:footnoteReference w:id="1618" w:customMarkFollows="0"/>
      </w:r>
      <w:bookmarkEnd w:id="2463"/>
      <w:r>
        <w:rPr>
          <w:rtl/>
        </w:rPr>
        <w:t xml:space="preserve"> והחל למלא תפקיד זה בפועל. אין זה מסתבר שעיסוקו באותה עת כמשגיח בישיבת ר׳ </w:t>
      </w:r>
      <w:proofErr w:type="spellStart"/>
      <w:r>
        <w:rPr>
          <w:rtl/>
        </w:rPr>
        <w:t>הירשל׳ה</w:t>
      </w:r>
      <w:proofErr w:type="spellEnd"/>
      <w:r>
        <w:rPr>
          <w:rtl/>
        </w:rPr>
        <w:t>, מוסד לתלמידים צעירים, ייתפס כמפריע לתפקיד מייעץ בכולל קובנה.</w:t>
      </w:r>
    </w:p>
    <w:p w14:paraId="7033BDC9" w14:textId="77777777" w:rsidR="00AB3647" w:rsidRDefault="00000000" w:rsidP="007923E9">
      <w:pPr>
        <w:spacing w:after="120" w:line="276" w:lineRule="auto"/>
        <w:ind w:firstLine="283"/>
        <w:jc w:val="both"/>
      </w:pPr>
      <w:r>
        <w:rPr>
          <w:rtl/>
        </w:rPr>
        <w:t>אני סבור שהתשובה טמונה בתכונת יסוד של הסבא, שאבי תיאר</w:t>
      </w:r>
      <w:bookmarkStart w:id="2464" w:name="_fnr1616"/>
      <w:r>
        <w:rPr>
          <w:rStyle w:val="a5"/>
        </w:rPr>
        <w:footnoteReference w:id="1619" w:customMarkFollows="0"/>
      </w:r>
      <w:bookmarkEnd w:id="2464"/>
      <w:r>
        <w:rPr>
          <w:rtl/>
        </w:rPr>
        <w:t xml:space="preserve"> כשנשאל מדוע לא כתב הסבא מעולם מאמרים או ספרים. אבי אמר בתוקף: “הסבא לא רצה ‘להיות’; הוא רצה שישכחו שאדם כזה חי אי פעם”. ר׳ </w:t>
      </w:r>
      <w:proofErr w:type="spellStart"/>
      <w:r>
        <w:rPr>
          <w:rtl/>
        </w:rPr>
        <w:t>לייבל</w:t>
      </w:r>
      <w:proofErr w:type="spellEnd"/>
      <w:r>
        <w:rPr>
          <w:rtl/>
        </w:rPr>
        <w:t xml:space="preserve"> </w:t>
      </w:r>
      <w:proofErr w:type="spellStart"/>
      <w:r>
        <w:rPr>
          <w:rtl/>
        </w:rPr>
        <w:t>פרלשטיין</w:t>
      </w:r>
      <w:bookmarkStart w:id="2465" w:name="_fnr1617"/>
      <w:proofErr w:type="spellEnd"/>
      <w:r>
        <w:rPr>
          <w:rStyle w:val="a5"/>
        </w:rPr>
        <w:footnoteReference w:id="1620" w:customMarkFollows="0"/>
      </w:r>
      <w:bookmarkEnd w:id="2465"/>
      <w:r>
        <w:rPr>
          <w:rtl/>
        </w:rPr>
        <w:t xml:space="preserve"> השלים את הצד החיובי של תכלית קיומו של הסבא, כשציטט תוספת של אבי: “כל מה שהסבא רצה היה לפתח את עצמו – עד שלמות”.</w:t>
      </w:r>
    </w:p>
    <w:p w14:paraId="0C04C1EE" w14:textId="77777777" w:rsidR="00AB3647" w:rsidRDefault="00000000" w:rsidP="007923E9">
      <w:pPr>
        <w:spacing w:after="120" w:line="276" w:lineRule="auto"/>
        <w:ind w:firstLine="283"/>
        <w:jc w:val="both"/>
      </w:pPr>
      <w:r>
        <w:rPr>
          <w:rtl/>
        </w:rPr>
        <w:t>מרקוס,</w:t>
      </w:r>
      <w:bookmarkStart w:id="2466" w:name="_fnr1618"/>
      <w:r>
        <w:rPr>
          <w:rStyle w:val="a5"/>
        </w:rPr>
        <w:footnoteReference w:id="1621" w:customMarkFollows="0"/>
      </w:r>
      <w:bookmarkEnd w:id="2466"/>
      <w:r>
        <w:rPr>
          <w:rtl/>
        </w:rPr>
        <w:t xml:space="preserve"> בגוזמה פיוטית, מעלה טעם מופרך לכך שהסבא לא כתב ספר. בין שאר הדברים התמוהים שבדבריו מופיעה הטענה המדהימה הזאת: “הסבא חשש תמיד שמא יאמרו שהוא עלה על רבו [במוסר, ר׳ </w:t>
      </w:r>
      <w:proofErr w:type="spellStart"/>
      <w:r>
        <w:rPr>
          <w:rtl/>
        </w:rPr>
        <w:t>שמחה־זיסל</w:t>
      </w:r>
      <w:proofErr w:type="spellEnd"/>
      <w:r>
        <w:rPr>
          <w:rtl/>
        </w:rPr>
        <w:t xml:space="preserve">], שחש כלפיו הכרת טובה בלי גבול. כשהזכיר את שם </w:t>
      </w:r>
      <w:r>
        <w:rPr>
          <w:rtl/>
        </w:rPr>
        <w:lastRenderedPageBreak/>
        <w:t xml:space="preserve">רבו היה כמעט מזדעזע מיראת הכבוד. ביום היארצייט של רבו היה מתהלך אבל, כאילו אירעה הפטירה רק אתמול. הוא נהג [מדי שנה] לחוג כימים טובים את היום שבו פגש לראשונה את הסבא מקלם ואת היום שבו פנה ר׳ </w:t>
      </w:r>
      <w:proofErr w:type="spellStart"/>
      <w:r>
        <w:rPr>
          <w:rtl/>
        </w:rPr>
        <w:t>שמחה־זיסל</w:t>
      </w:r>
      <w:proofErr w:type="spellEnd"/>
      <w:r>
        <w:rPr>
          <w:rtl/>
        </w:rPr>
        <w:t xml:space="preserve"> למוסר; בימים אלה היה לובש את בגדי השבת שלו ואומר ‘הלל׳ בתפילתו”.</w:t>
      </w:r>
    </w:p>
    <w:p w14:paraId="2D908F52" w14:textId="77777777" w:rsidR="00AB3647" w:rsidRDefault="00000000" w:rsidP="007923E9">
      <w:pPr>
        <w:spacing w:after="120" w:line="276" w:lineRule="auto"/>
        <w:ind w:firstLine="283"/>
        <w:jc w:val="both"/>
      </w:pPr>
      <w:r>
        <w:rPr>
          <w:rtl/>
        </w:rPr>
        <w:t xml:space="preserve">אבי הרחיב על ביטול עצמו של הסבא: “מעמדו של הסבא בישיבה שייסד, כנסת ישראל, לא היה רשמי. הוא מעולם לא חתם על שום מסמך של הישיבה, וכשנשאל מה תפקידו בכנסת ישראל, השיב שאינו יודע באמת”. השווה גם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proofErr w:type="spellEnd"/>
      <w:r>
        <w:rPr>
          <w:rtl/>
        </w:rPr>
        <w:t>,</w:t>
      </w:r>
      <w:bookmarkStart w:id="2467" w:name="_fnr1619"/>
      <w:r>
        <w:rPr>
          <w:rStyle w:val="a5"/>
        </w:rPr>
        <w:footnoteReference w:id="1622" w:customMarkFollows="0"/>
      </w:r>
      <w:bookmarkEnd w:id="2467"/>
      <w:r>
        <w:rPr>
          <w:rtl/>
        </w:rPr>
        <w:t xml:space="preserve"> שהסבא היה אומר: “לשם מה צריכה הישיבה אותי?”. ואכן, חנה </w:t>
      </w:r>
      <w:proofErr w:type="spellStart"/>
      <w:r>
        <w:rPr>
          <w:rtl/>
        </w:rPr>
        <w:t>פינקל</w:t>
      </w:r>
      <w:proofErr w:type="spellEnd"/>
      <w:r>
        <w:rPr>
          <w:rtl/>
        </w:rPr>
        <w:t>, כלתו של ר׳ משה בן הסבא, סיפרה</w:t>
      </w:r>
      <w:bookmarkStart w:id="2468" w:name="_fnr1620"/>
      <w:r>
        <w:rPr>
          <w:rStyle w:val="a5"/>
        </w:rPr>
        <w:footnoteReference w:id="1623" w:customMarkFollows="0"/>
      </w:r>
      <w:bookmarkEnd w:id="2468"/>
      <w:r>
        <w:rPr>
          <w:rtl/>
        </w:rPr>
        <w:t xml:space="preserve"> </w:t>
      </w:r>
      <w:proofErr w:type="spellStart"/>
      <w:r>
        <w:rPr>
          <w:rtl/>
        </w:rPr>
        <w:t>ש“בעלה</w:t>
      </w:r>
      <w:proofErr w:type="spellEnd"/>
      <w:r>
        <w:rPr>
          <w:rtl/>
        </w:rPr>
        <w:t xml:space="preserve">, או הדוד ר׳ </w:t>
      </w:r>
      <w:proofErr w:type="spellStart"/>
      <w:r>
        <w:rPr>
          <w:rtl/>
        </w:rPr>
        <w:t>חצקל</w:t>
      </w:r>
      <w:proofErr w:type="spellEnd"/>
      <w:r>
        <w:rPr>
          <w:rtl/>
        </w:rPr>
        <w:t xml:space="preserve"> </w:t>
      </w:r>
      <w:proofErr w:type="spellStart"/>
      <w:r>
        <w:rPr>
          <w:rtl/>
        </w:rPr>
        <w:t>סרנא</w:t>
      </w:r>
      <w:bookmarkStart w:id="2469" w:name="_fnr1621"/>
      <w:proofErr w:type="spellEnd"/>
      <w:r>
        <w:rPr>
          <w:rStyle w:val="a5"/>
        </w:rPr>
        <w:footnoteReference w:id="1624" w:customMarkFollows="0"/>
      </w:r>
      <w:bookmarkEnd w:id="2469"/>
      <w:r>
        <w:rPr>
          <w:rtl/>
        </w:rPr>
        <w:t xml:space="preserve">” סיפר לה שבכל אלול לא חזר הסבא </w:t>
      </w:r>
      <w:proofErr w:type="spellStart"/>
      <w:r>
        <w:rPr>
          <w:rtl/>
        </w:rPr>
        <w:t>מסלבודקה</w:t>
      </w:r>
      <w:proofErr w:type="spellEnd"/>
      <w:r>
        <w:rPr>
          <w:rtl/>
        </w:rPr>
        <w:t xml:space="preserve"> מן </w:t>
      </w:r>
      <w:proofErr w:type="spellStart"/>
      <w:r>
        <w:rPr>
          <w:rtl/>
        </w:rPr>
        <w:t>הדאצ׳ה</w:t>
      </w:r>
      <w:proofErr w:type="spellEnd"/>
      <w:r>
        <w:rPr>
          <w:rtl/>
        </w:rPr>
        <w:t xml:space="preserve"> לכנסת ישראל עד שהובטח לו – כנראה בידי ר׳ </w:t>
      </w:r>
      <w:proofErr w:type="spellStart"/>
      <w:r>
        <w:rPr>
          <w:rtl/>
        </w:rPr>
        <w:t>משה־מרדכי</w:t>
      </w:r>
      <w:proofErr w:type="spellEnd"/>
      <w:r>
        <w:rPr>
          <w:rtl/>
        </w:rPr>
        <w:t xml:space="preserve"> – שהוא נחוץ בישיבה. עוד הוסיפה שהסבא ביקש שלא יעלוהו לתורה בימים הנוראים, מלבד במנחה של שבת שובה.</w:t>
      </w:r>
    </w:p>
    <w:p w14:paraId="1DD6F7AF" w14:textId="77777777" w:rsidR="00AB3647" w:rsidRDefault="00000000" w:rsidP="007923E9">
      <w:pPr>
        <w:spacing w:after="120" w:line="276" w:lineRule="auto"/>
        <w:ind w:firstLine="283"/>
        <w:jc w:val="both"/>
      </w:pPr>
      <w:r>
        <w:rPr>
          <w:rtl/>
        </w:rPr>
        <w:t>בשיחה שנשא אבי במלאת חמישים שנה לפטירת הסבא</w:t>
      </w:r>
      <w:bookmarkStart w:id="2470" w:name="_fnr1622"/>
      <w:r>
        <w:rPr>
          <w:rStyle w:val="a5"/>
        </w:rPr>
        <w:footnoteReference w:id="1625" w:customMarkFollows="0"/>
      </w:r>
      <w:bookmarkEnd w:id="2470"/>
      <w:r>
        <w:rPr>
          <w:rtl/>
        </w:rPr>
        <w:t xml:space="preserve"> ציין </w:t>
      </w:r>
      <w:proofErr w:type="spellStart"/>
      <w:r>
        <w:rPr>
          <w:rtl/>
        </w:rPr>
        <w:t>שלר</w:t>
      </w:r>
      <w:proofErr w:type="spellEnd"/>
      <w:r>
        <w:rPr>
          <w:rtl/>
        </w:rPr>
        <w:t xml:space="preserve">׳ </w:t>
      </w:r>
      <w:proofErr w:type="spellStart"/>
      <w:r>
        <w:rPr>
          <w:rtl/>
        </w:rPr>
        <w:t>נתן־צבי</w:t>
      </w:r>
      <w:proofErr w:type="spellEnd"/>
      <w:r>
        <w:rPr>
          <w:rtl/>
        </w:rPr>
        <w:t xml:space="preserve"> לא היו מעולם ניירות מכתבים עם כותרת: “אם היה צריך לכתוב מכתב, השתמש בדף נייר חלק”, אמר. “המאיר – ספר </w:t>
      </w:r>
      <w:proofErr w:type="spellStart"/>
      <w:r>
        <w:rPr>
          <w:rtl/>
        </w:rPr>
        <w:t>זכרון</w:t>
      </w:r>
      <w:proofErr w:type="spellEnd"/>
      <w:r>
        <w:rPr>
          <w:rtl/>
        </w:rPr>
        <w:t>”</w:t>
      </w:r>
      <w:bookmarkStart w:id="2471" w:name="_fnr1623"/>
      <w:r>
        <w:rPr>
          <w:rStyle w:val="a5"/>
        </w:rPr>
        <w:footnoteReference w:id="1626" w:customMarkFollows="0"/>
      </w:r>
      <w:bookmarkEnd w:id="2471"/>
      <w:r>
        <w:rPr>
          <w:rtl/>
        </w:rPr>
        <w:t xml:space="preserve"> מספר עוד: “כשייסד הסבא את ישיבת כנסת ישראל” – בשנת תרנ״ז – “והיה מתרועע יום יום עם התלמידים, לא ידע איש במשך שנים שיש לו קשר כלשהו אליה; הוא הפיץ את השמועה שראש הישיבה ר׳ </w:t>
      </w:r>
      <w:proofErr w:type="spellStart"/>
      <w:r>
        <w:rPr>
          <w:rtl/>
        </w:rPr>
        <w:t>משה־מרדכי</w:t>
      </w:r>
      <w:proofErr w:type="spellEnd"/>
      <w:r>
        <w:rPr>
          <w:rtl/>
        </w:rPr>
        <w:t xml:space="preserve"> אפשטיין ייסד אותה. הסבא היה נכנס לישיבה כל יום ומשוחח פעם עם בחור אחד ופעם עם אחר, ולפעמים התאספו רבים סביבו לשמוע מה בפיו, בחושבם אותו לתלמיד חכם נבון שנעים לשמוע לו, אבל לא עלה על דעת איש שהסבא הוא המייסד והמנהל של הישיבה”.</w:t>
      </w:r>
    </w:p>
    <w:p w14:paraId="5AE8C592" w14:textId="77777777" w:rsidR="00AB3647" w:rsidRDefault="00000000" w:rsidP="007923E9">
      <w:pPr>
        <w:spacing w:after="120" w:line="276" w:lineRule="auto"/>
        <w:ind w:firstLine="283"/>
        <w:jc w:val="both"/>
      </w:pPr>
      <w:r>
        <w:rPr>
          <w:rtl/>
        </w:rPr>
        <w:t>לאור גישה זו נוכל להניח שכשנוסד כולל קובנה סירב הסבא לקבל משרה בהנהלה, ואפילו משרה זוטרה, ואת כל מה שרצה לתרום להתפתחות הכולל נאלץ להגיש מתוך עמדה שאליה “הוגנב”.</w:t>
      </w:r>
    </w:p>
    <w:p w14:paraId="2EF05971" w14:textId="77777777" w:rsidR="00AB3647" w:rsidRDefault="00000000" w:rsidP="007923E9">
      <w:pPr>
        <w:spacing w:after="120" w:line="276" w:lineRule="auto"/>
        <w:ind w:firstLine="283"/>
        <w:jc w:val="both"/>
      </w:pPr>
      <w:r>
        <w:rPr>
          <w:rtl/>
        </w:rPr>
        <w:t xml:space="preserve">ייתכן שביטול עצמי זה עומד מאחורי מנהגם של בעלי המוסר של קלם שלא להקים מצבות על קבריהם. ר׳ יהושע </w:t>
      </w:r>
      <w:proofErr w:type="spellStart"/>
      <w:r>
        <w:rPr>
          <w:rtl/>
        </w:rPr>
        <w:t xml:space="preserve">גלדצהלר</w:t>
      </w:r>
      <w:proofErr w:type="spellEnd"/>
      <w:r>
        <w:rPr>
          <w:rtl/>
        </w:rPr>
        <w:t xml:space="preserve">, חתנו של ר׳ </w:t>
      </w:r>
      <w:proofErr w:type="spellStart"/>
      <w:r>
        <w:rPr>
          <w:rtl/>
        </w:rPr>
        <w:t>אליהו־אליעזר</w:t>
      </w:r>
      <w:proofErr w:type="spellEnd"/>
      <w:r>
        <w:rPr>
          <w:rtl/>
        </w:rPr>
        <w:t xml:space="preserve"> </w:t>
      </w:r>
      <w:proofErr w:type="spellStart"/>
      <w:r>
        <w:rPr>
          <w:rtl/>
        </w:rPr>
        <w:t>דסלר</w:t>
      </w:r>
      <w:proofErr w:type="spellEnd"/>
      <w:r>
        <w:rPr>
          <w:rtl/>
        </w:rPr>
        <w:t>, סיפר</w:t>
      </w:r>
      <w:bookmarkStart w:id="2472" w:name="_fnr1624"/>
      <w:r>
        <w:rPr>
          <w:rStyle w:val="a5"/>
        </w:rPr>
        <w:footnoteReference w:id="1627" w:customMarkFollows="0"/>
      </w:r>
      <w:bookmarkEnd w:id="2472"/>
      <w:r>
        <w:rPr>
          <w:rtl/>
        </w:rPr>
        <w:t xml:space="preserve"> שהוא וגיסו, ר׳ </w:t>
      </w:r>
      <w:proofErr w:type="spellStart"/>
      <w:r>
        <w:rPr>
          <w:rtl/>
        </w:rPr>
        <w:t>נחום־וועלוול</w:t>
      </w:r>
      <w:proofErr w:type="spellEnd"/>
      <w:r>
        <w:rPr>
          <w:rtl/>
        </w:rPr>
        <w:t xml:space="preserve"> </w:t>
      </w:r>
      <w:proofErr w:type="spellStart"/>
      <w:r>
        <w:rPr>
          <w:rtl/>
        </w:rPr>
        <w:t>דסלר</w:t>
      </w:r>
      <w:proofErr w:type="spellEnd"/>
      <w:r>
        <w:rPr>
          <w:rtl/>
        </w:rPr>
        <w:t>, לא הקימו מצבה לחותנם/אביהם, שנקבר בבית העלמין בבני ברק. הטעם היה שעל פי מנהג קלם גם חותנו לא הקים מצבה לרבניתו, שנפטרה שנתיים לפניו. בת הנפטר נזכרה שאמה הייתה אומרת בביקורת: “</w:t>
      </w:r>
      <w:proofErr w:type="spellStart"/>
      <w:r>
        <w:rPr>
          <w:rtl/>
        </w:rPr>
        <w:t>בקלם</w:t>
      </w:r>
      <w:proofErr w:type="spellEnd"/>
      <w:r>
        <w:rPr>
          <w:rtl/>
        </w:rPr>
        <w:t xml:space="preserve"> לא הקימו מצבות, ולא היה מקום מוגדר לקברי אבות. היה צריך לזחול כדי למצוא קבר”.</w:t>
      </w:r>
    </w:p>
    <w:p w14:paraId="55A41100" w14:textId="77777777" w:rsidR="00AB3647" w:rsidRDefault="00000000" w:rsidP="007923E9">
      <w:pPr>
        <w:spacing w:after="120" w:line="276" w:lineRule="auto"/>
        <w:ind w:firstLine="283"/>
        <w:jc w:val="both"/>
      </w:pPr>
      <w:r>
        <w:rPr>
          <w:rtl/>
        </w:rPr>
        <w:lastRenderedPageBreak/>
        <w:t xml:space="preserve">כשקיבלו הילדים שנותרו מכתבים מארץ ישראל שגערו בהם על </w:t>
      </w:r>
      <w:proofErr w:type="spellStart"/>
      <w:r>
        <w:rPr>
          <w:rtl/>
        </w:rPr>
        <w:t>ש“הזניחו</w:t>
      </w:r>
      <w:proofErr w:type="spellEnd"/>
      <w:r>
        <w:rPr>
          <w:rtl/>
        </w:rPr>
        <w:t xml:space="preserve">” את הקמת המצבה לרב </w:t>
      </w:r>
      <w:proofErr w:type="spellStart"/>
      <w:r>
        <w:rPr>
          <w:rtl/>
        </w:rPr>
        <w:t>דסלר</w:t>
      </w:r>
      <w:proofErr w:type="spellEnd"/>
      <w:r>
        <w:rPr>
          <w:rtl/>
        </w:rPr>
        <w:t xml:space="preserve">, ביקש המרואיין מאבי לבדוק את העניין. ההזדמנות לכך </w:t>
      </w:r>
      <w:proofErr w:type="spellStart"/>
      <w:r>
        <w:rPr>
          <w:rtl/>
        </w:rPr>
        <w:t>נזדמנה</w:t>
      </w:r>
      <w:proofErr w:type="spellEnd"/>
      <w:r>
        <w:rPr>
          <w:rtl/>
        </w:rPr>
        <w:t xml:space="preserve"> לרבנו כשביקר לראשונה בארץ ישראל, בקיץ תשט״ז, שנתיים לאחר פטירת ר׳ </w:t>
      </w:r>
      <w:proofErr w:type="spellStart"/>
      <w:r>
        <w:rPr>
          <w:rtl/>
        </w:rPr>
        <w:t>אליהו־אליעזר</w:t>
      </w:r>
      <w:proofErr w:type="spellEnd"/>
      <w:r>
        <w:rPr>
          <w:rtl/>
        </w:rPr>
        <w:t xml:space="preserve">. אבי ביקר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(הסטייפלר</w:t>
      </w:r>
      <w:proofErr w:type="spellStart"/>
      <w:r>
        <w:rPr>
          <w:rtl/>
        </w:rPr>
        <w:t xml:space="preserve"/>
      </w:r>
      <w:proofErr w:type="spellEnd"/>
      <w:r>
        <w:rPr>
          <w:rtl/>
        </w:rPr>
        <w:t xml:space="preserve">) כדי לדון בעניין, וזה אמר שנזדמן לו לראות תשובה של </w:t>
      </w:r>
      <w:proofErr w:type="spellStart"/>
      <w:r>
        <w:rPr>
          <w:rtl/>
        </w:rPr>
        <w:t>החיד״א</w:t>
      </w:r>
      <w:bookmarkStart w:id="2473" w:name="_fnr1625"/>
      <w:proofErr w:type="spellEnd"/>
      <w:r>
        <w:rPr>
          <w:rStyle w:val="a5"/>
        </w:rPr>
        <w:footnoteReference w:id="1628" w:customMarkFollows="0"/>
      </w:r>
      <w:bookmarkEnd w:id="2473"/>
      <w:r>
        <w:rPr>
          <w:rtl/>
        </w:rPr>
        <w:t>: לנפטר יש זכות להחליט רק מה ייכתב על מצבתו, אבל הקמתה היא חלק ממצוות הקבורה, ואין לו בה דעה.</w:t>
      </w:r>
    </w:p>
    <w:p w14:paraId="122D1BBF" w14:textId="77777777" w:rsidR="00AB3647" w:rsidRDefault="00000000" w:rsidP="007923E9">
      <w:pPr>
        <w:spacing w:after="120" w:line="276" w:lineRule="auto"/>
        <w:ind w:firstLine="283"/>
        <w:jc w:val="both"/>
      </w:pPr>
      <w:r>
        <w:rPr>
          <w:rtl/>
        </w:rPr>
        <w:t xml:space="preserve">אחרי פגישה זו היה אבי אומר שראה רוח הקודש בבית המדרש של </w:t>
      </w:r>
      <w:proofErr w:type="spellStart"/>
      <w:r>
        <w:rPr>
          <w:rtl/>
        </w:rPr>
        <w:t>הסטייפלער</w:t>
      </w:r>
      <w:proofErr w:type="spellEnd"/>
      <w:r>
        <w:rPr>
          <w:rtl/>
        </w:rPr>
        <w:t xml:space="preserve">. אבל המרואיין אמר ששמע שבכל פעם שאדם גדול שאל את </w:t>
      </w:r>
      <w:proofErr w:type="spellStart"/>
      <w:r>
        <w:rPr>
          <w:rtl/>
        </w:rPr>
        <w:t>הסטייפלער</w:t>
      </w:r>
      <w:proofErr w:type="spellEnd"/>
      <w:r>
        <w:rPr>
          <w:rtl/>
        </w:rPr>
        <w:t xml:space="preserve"> שאלה שיש לה מקור, היה </w:t>
      </w:r>
      <w:proofErr w:type="spellStart"/>
      <w:r>
        <w:rPr>
          <w:rtl/>
        </w:rPr>
        <w:t>הסטייפלער</w:t>
      </w:r>
      <w:proofErr w:type="spellEnd"/>
      <w:r>
        <w:rPr>
          <w:rtl/>
        </w:rPr>
        <w:t xml:space="preserve"> אומר </w:t>
      </w:r>
      <w:proofErr w:type="spellStart"/>
      <w:r>
        <w:rPr>
          <w:rtl/>
        </w:rPr>
        <w:t>ש“נזדמן</w:t>
      </w:r>
      <w:proofErr w:type="spellEnd"/>
      <w:r>
        <w:rPr>
          <w:rtl/>
        </w:rPr>
        <w:t xml:space="preserve"> לו לראות” מקור, במקום פשוט לציין אותו – כדי שבן שיחו לא ירגיש נעלב.</w:t>
      </w:r>
    </w:p>
    <w:p w14:paraId="678E33B1" w14:textId="77777777" w:rsidR="00AB3647" w:rsidRDefault="00000000" w:rsidP="007923E9">
      <w:pPr>
        <w:spacing w:after="120" w:line="276" w:lineRule="auto"/>
        <w:ind w:firstLine="283"/>
        <w:jc w:val="both"/>
      </w:pPr>
      <w:r>
        <w:rPr>
          <w:rtl/>
        </w:rPr>
        <w:t xml:space="preserve">אפשר גם להניח שמאותו טעם לא הוקמה מצבה על קברו של ר׳ ישראל </w:t>
      </w:r>
      <w:proofErr w:type="spellStart"/>
      <w:r>
        <w:rPr>
          <w:rtl/>
        </w:rPr>
        <w:t>סלנטר</w:t>
      </w:r>
      <w:proofErr w:type="spellEnd"/>
      <w:r>
        <w:rPr>
          <w:rtl/>
        </w:rPr>
        <w:t xml:space="preserve"> בקניגסברג. עיינתי במכתב שנמצא בידי ר׳ מרדכי </w:t>
      </w:r>
      <w:proofErr w:type="spellStart"/>
      <w:r>
        <w:rPr>
          <w:rtl/>
        </w:rPr>
        <w:t>בלאזר</w:t>
      </w:r>
      <w:proofErr w:type="spellEnd"/>
      <w:r>
        <w:rPr>
          <w:rtl/>
        </w:rPr>
        <w:t>.</w:t>
      </w:r>
      <w:bookmarkStart w:id="2474" w:name="_fnr1626"/>
      <w:r>
        <w:rPr>
          <w:rStyle w:val="a5"/>
        </w:rPr>
        <w:footnoteReference w:id="1629" w:customMarkFollows="0"/>
      </w:r>
      <w:bookmarkEnd w:id="2474"/>
      <w:r>
        <w:rPr>
          <w:rtl/>
        </w:rPr>
        <w:t xml:space="preserve"> כותב המכתב, רבה של קניגסברג, שואל בו: “האם בני הגאון ר׳ ישראל </w:t>
      </w:r>
      <w:proofErr w:type="spellStart"/>
      <w:r>
        <w:rPr>
          <w:rtl/>
        </w:rPr>
        <w:t>מסלנט</w:t>
      </w:r>
      <w:proofErr w:type="spellEnd"/>
      <w:r>
        <w:rPr>
          <w:rtl/>
        </w:rPr>
        <w:t>, זכר צדיק קדוש לברכה, ובני משפחתו מוכנים להקים מצבה על קבר הקדוש המנוח זצ״ל ולשאת בהוצאה?”. הרב ממשיך וכותב: “ביום היארצייט התפללנו אנו ובני החברה</w:t>
      </w:r>
      <w:bookmarkStart w:id="2475" w:name="_fnr1627"/>
      <w:r>
        <w:rPr>
          <w:rStyle w:val="a5"/>
        </w:rPr>
        <w:footnoteReference w:id="1630" w:customMarkFollows="0"/>
      </w:r>
      <w:bookmarkEnd w:id="2475"/>
      <w:r>
        <w:rPr>
          <w:rtl/>
        </w:rPr>
        <w:t xml:space="preserve"> [על הקבר], ועשיר אחד מברלין אמר לי שאם בני המשפחה אינם מוכנים להקים את המצבה, הוא ישלם עבורה. מחירה 60 מארק”.</w:t>
      </w:r>
    </w:p>
    <w:p w14:paraId="55620E2D" w14:textId="77777777" w:rsidR="00AB3647" w:rsidRDefault="00000000" w:rsidP="007923E9">
      <w:pPr>
        <w:spacing w:after="120" w:line="276" w:lineRule="auto"/>
        <w:ind w:firstLine="283"/>
        <w:jc w:val="both"/>
      </w:pPr>
      <w:r>
        <w:rPr>
          <w:rtl/>
        </w:rPr>
        <w:t xml:space="preserve">תאריך המכתב הוא: יום ג׳ לסדר “פקודי”, והמילה שאחרי “שנת” אינה קריאה כולה; מעליה כתוב בכתב יד אחר “תרמ״ה”. הערה זו אינה נכונה, משום שבשתי השנים שאחרי פטירת ר׳ ישראל, תרמ״ד </w:t>
      </w:r>
      <w:proofErr w:type="spellStart"/>
      <w:r>
        <w:rPr>
          <w:rtl/>
        </w:rPr>
        <w:t>ותרמ״ה</w:t>
      </w:r>
      <w:proofErr w:type="spellEnd"/>
      <w:r>
        <w:rPr>
          <w:rtl/>
        </w:rPr>
        <w:t xml:space="preserve">, היו הפרשיות </w:t>
      </w:r>
      <w:proofErr w:type="spellStart"/>
      <w:r>
        <w:rPr>
          <w:rtl/>
        </w:rPr>
        <w:t>ויקהל</w:t>
      </w:r>
      <w:proofErr w:type="spellEnd"/>
      <w:r>
        <w:rPr>
          <w:rtl/>
        </w:rPr>
        <w:t xml:space="preserve"> ופקודי מחוברות, ואיש לא היה מתארך את מכתבו בשנייה מהן בלבד, “פקודי”. לפיכך לא ייתכן שנכתב לפני תרמ״ו, והתאריך המלא: כ״ה באדר א׳ תרמ״ו. יש לשער שמי שכתב “תרמ״ה” בחר בשנה הראשונה האפשרית שבה יכול היה המכתב להיכתב. ר׳ ישראל נפטר בכ״ה בשבט תרמ״ג. ביארצייט הראשון, </w:t>
      </w:r>
      <w:proofErr w:type="spellStart"/>
      <w:r>
        <w:rPr>
          <w:rtl/>
        </w:rPr>
        <w:t>בתרמ״ד</w:t>
      </w:r>
      <w:proofErr w:type="spellEnd"/>
      <w:r>
        <w:rPr>
          <w:rtl/>
        </w:rPr>
        <w:t xml:space="preserve">, כשראו המבקרים בקבר שאין מצבה, לא היו מתפלאים, שכן המנהג שם היה להקים את המצבה לאחר שעברה השנה הראשונה. תמיהתם הייתה מתעוררת בביקור היארצייט השני, </w:t>
      </w:r>
      <w:proofErr w:type="spellStart"/>
      <w:r>
        <w:rPr>
          <w:rtl/>
        </w:rPr>
        <w:t>בתרמ״ה</w:t>
      </w:r>
      <w:proofErr w:type="spellEnd"/>
      <w:r>
        <w:rPr>
          <w:rtl/>
        </w:rPr>
        <w:t>, ואז, כך שיער המעיר, העירו למשפחה בעדינות.</w:t>
      </w:r>
    </w:p>
    <w:p w14:paraId="2DC6BE5F" w14:textId="77777777" w:rsidR="00AB3647" w:rsidRDefault="00000000" w:rsidP="007923E9">
      <w:pPr>
        <w:spacing w:after="120" w:line="276" w:lineRule="auto"/>
        <w:ind w:firstLine="283"/>
        <w:jc w:val="both"/>
      </w:pPr>
      <w:r>
        <w:rPr>
          <w:rtl/>
        </w:rPr>
        <w:t xml:space="preserve">אך ייתכן גם שהמכתב נכתב לא לפני תרנ״א – בשנת תרנ״א לא היו הפרשיות </w:t>
      </w:r>
      <w:proofErr w:type="spellStart"/>
      <w:r>
        <w:rPr>
          <w:rtl/>
        </w:rPr>
        <w:t>ויקהל</w:t>
      </w:r>
      <w:proofErr w:type="spellEnd"/>
      <w:r>
        <w:rPr>
          <w:rtl/>
        </w:rPr>
        <w:t xml:space="preserve"> ופקודי מחוברות – משום שאפשר להבחין באותיות “</w:t>
      </w:r>
      <w:proofErr w:type="spellStart"/>
      <w:r>
        <w:rPr>
          <w:rtl/>
        </w:rPr>
        <w:t>תנר</w:t>
      </w:r>
      <w:proofErr w:type="spellEnd"/>
      <w:r>
        <w:rPr>
          <w:rtl/>
        </w:rPr>
        <w:t>” אחרי המילה “שנת”. רבה של קניגסברג החליף את סדר האותיות הראשונות של ראשי התיבות של השנה, שנכתבות בדרך כלל ברצף, וכתב “</w:t>
      </w:r>
      <w:proofErr w:type="spellStart"/>
      <w:r>
        <w:rPr>
          <w:rtl/>
        </w:rPr>
        <w:t>תנר</w:t>
      </w:r>
      <w:proofErr w:type="spellEnd"/>
      <w:r>
        <w:rPr>
          <w:rtl/>
        </w:rPr>
        <w:t>” במקום “</w:t>
      </w:r>
      <w:proofErr w:type="spellStart"/>
      <w:r>
        <w:rPr>
          <w:rtl/>
        </w:rPr>
        <w:t>תרנ</w:t>
      </w:r>
      <w:proofErr w:type="spellEnd"/>
      <w:r>
        <w:rPr>
          <w:rtl/>
        </w:rPr>
        <w:t>”, משום שהאחרונה, כמילה, פירושה “</w:t>
      </w:r>
      <w:proofErr w:type="spellStart"/>
      <w:r>
        <w:rPr>
          <w:rtl/>
        </w:rPr>
        <w:t>תָּרֹן</w:t>
      </w:r>
      <w:proofErr w:type="spellEnd"/>
      <w:r>
        <w:rPr>
          <w:rtl/>
        </w:rPr>
        <w:t xml:space="preserve">”, ואינה הולמת איגרת </w:t>
      </w:r>
      <w:r>
        <w:rPr>
          <w:rtl/>
        </w:rPr>
        <w:lastRenderedPageBreak/>
        <w:t>בתוכן כזה. אם אכן נכתב בשנת תרנ״א, התאריך המלא של המכתב היה כ״ג באדר א׳ (3 במרץ 1891)</w:t>
      </w:r>
      <w:bookmarkStart w:id="2476" w:name="_fnr1628"/>
      <w:bookmarkEnd w:id="2476"/>
      <w:r>
        <w:rPr>
          <w:rStyle w:val="a5"/>
        </w:rPr>
        <w:t/>
      </w:r>
      <w:bookmarkStart w:id="7015" w:name="_TranslatorNote_1627"/>
      <w:r>
        <w:rPr>
          <w:rStyle w:val="a5"/>
          <w:vertAlign w:val="superscript"/>
          <w:rtl/>
        </w:rPr>
        <w:footnoteReference w:id="1631" w:customMarkFollows="1"/>
        <w:t>*</w:t>
      </w:r>
      <w:bookmarkEnd w:id="7015"/>
      <w:r>
        <w:rPr>
          <w:rtl/>
        </w:rPr>
        <w:t>.</w:t>
      </w:r>
    </w:p>
    <w:p w14:paraId="3C821D2D" w14:textId="77777777" w:rsidR="00AB3647" w:rsidRDefault="00000000" w:rsidP="007923E9">
      <w:pPr>
        <w:spacing w:after="120" w:line="276" w:lineRule="auto"/>
        <w:ind w:firstLine="283"/>
        <w:jc w:val="both"/>
      </w:pPr>
      <w:r>
        <w:rPr>
          <w:rtl/>
        </w:rPr>
        <w:t>כך או כך, יש לשער שמשפחת ר׳ ישראל לא הקימה מצבה בשנה השלישית לפטירתו (או בשמינית, לפי ההשערה) משום שחשו שר׳ ישראל העדיף “לא... להיות”,</w:t>
      </w:r>
      <w:bookmarkStart w:id="2477" w:name="_fnr1629"/>
      <w:bookmarkStart w:id="2478" w:name="pr_f_1539"/>
      <w:r>
        <w:rPr>
          <w:rStyle w:val="a5"/>
        </w:rPr>
        <w:footnoteReference w:id="1632" w:customMarkFollows="0"/>
      </w:r>
      <w:bookmarkEnd w:id="2477"/>
      <w:bookmarkEnd w:id="2478"/>
      <w:r>
        <w:rPr>
          <w:rtl/>
        </w:rPr>
        <w:t xml:space="preserve"> כמו הסבא </w:t>
      </w:r>
      <w:proofErr w:type="spellStart"/>
      <w:r>
        <w:rPr>
          <w:rtl/>
        </w:rPr>
        <w:t>מסלבודקה</w:t>
      </w:r>
      <w:proofErr w:type="spellEnd"/>
      <w:r>
        <w:rPr>
          <w:rtl/>
        </w:rPr>
        <w:t xml:space="preserve"> ואנשי קלם. ואכן, ייתכן שר׳ ישראל ציווה עליהם שלא להקים מצבה, ומשפחתו, שלא ידעה על התשובה הנדירה שציטט הסטייפלר</w:t>
      </w:r>
      <w:proofErr w:type="spellStart"/>
      <w:r>
        <w:rPr>
          <w:rtl/>
        </w:rPr>
        <w:t xml:space="preserve"/>
      </w:r>
      <w:proofErr w:type="spellEnd"/>
      <w:r>
        <w:rPr>
          <w:rtl/>
        </w:rPr>
        <w:t>, מילאה את רצונו.</w:t>
      </w:r>
    </w:p>
    <w:p w14:paraId="66A618F1" w14:textId="77777777" w:rsidR="00AB3647" w:rsidRDefault="00000000" w:rsidP="007923E9">
      <w:pPr>
        <w:spacing w:after="120" w:line="276" w:lineRule="auto"/>
        <w:ind w:firstLine="283"/>
        <w:jc w:val="both"/>
      </w:pPr>
      <w:r>
        <w:rPr>
          <w:rtl/>
        </w:rPr>
        <w:t>אפשר גם לשער שהעשיר מברלין שהציע לשלם עבור המצבה לא היה אלא תומך כולל קובנה, אמיל (עובדיה) לחמן. הוא פגש את ר׳ ישראל והושפע ממנו,</w:t>
      </w:r>
      <w:bookmarkStart w:id="2479" w:name="_fnr1630"/>
      <w:r>
        <w:rPr>
          <w:rStyle w:val="a5"/>
        </w:rPr>
        <w:footnoteReference w:id="1633" w:customMarkFollows="0"/>
      </w:r>
      <w:bookmarkEnd w:id="2479"/>
      <w:r>
        <w:rPr>
          <w:rtl/>
        </w:rPr>
        <w:t xml:space="preserve"> והיה קרוב בכלל לבעלי המוסר.</w:t>
      </w:r>
      <w:bookmarkStart w:id="2480" w:name="_fnr1631"/>
      <w:r>
        <w:rPr>
          <w:rStyle w:val="a5"/>
        </w:rPr>
        <w:footnoteReference w:id="1634" w:customMarkFollows="0"/>
      </w:r>
      <w:bookmarkEnd w:id="2480"/>
      <w:r>
        <w:rPr>
          <w:rtl/>
        </w:rPr>
        <w:t xml:space="preserve"> ייתכן שלחמן הוא גם “גביר אחד </w:t>
      </w:r>
      <w:r>
        <w:rPr>
          <w:b/>
          <w:bCs/>
          <w:rtl/>
        </w:rPr>
        <w:t>מקצה</w:t>
      </w:r>
      <w:r>
        <w:rPr>
          <w:rtl/>
        </w:rPr>
        <w:t xml:space="preserve"> ארץ אשכנז”</w:t>
      </w:r>
      <w:bookmarkStart w:id="2481" w:name="_fnr1632"/>
      <w:bookmarkStart w:id="2482" w:name="pr_f_1542"/>
      <w:r>
        <w:rPr>
          <w:rStyle w:val="a5"/>
        </w:rPr>
        <w:footnoteReference w:id="1635" w:customMarkFollows="0"/>
      </w:r>
      <w:bookmarkEnd w:id="2481"/>
      <w:bookmarkEnd w:id="2482"/>
      <w:r>
        <w:rPr>
          <w:rtl/>
        </w:rPr>
        <w:t xml:space="preserve"> שהציע לקנות </w:t>
      </w:r>
      <w:proofErr w:type="spellStart"/>
      <w:r>
        <w:rPr>
          <w:rtl/>
        </w:rPr>
        <w:t>לר</w:t>
      </w:r>
      <w:proofErr w:type="spellEnd"/>
      <w:r>
        <w:rPr>
          <w:rtl/>
        </w:rPr>
        <w:t xml:space="preserve">׳ ישראל </w:t>
      </w:r>
      <w:proofErr w:type="spellStart"/>
      <w:r>
        <w:rPr>
          <w:rtl/>
        </w:rPr>
        <w:t>סלנטר</w:t>
      </w:r>
      <w:proofErr w:type="spellEnd"/>
      <w:r>
        <w:rPr>
          <w:rtl/>
        </w:rPr>
        <w:t xml:space="preserve"> טלית חדשה ונדחה, כפי שמספר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של “אור ישראל”.</w:t>
      </w:r>
      <w:bookmarkStart w:id="2483" w:name="_fnr1633"/>
      <w:r>
        <w:rPr>
          <w:rStyle w:val="a5"/>
        </w:rPr>
        <w:footnoteReference w:id="1636" w:customMarkFollows="0"/>
      </w:r>
      <w:bookmarkEnd w:id="2483"/>
    </w:p>
    <w:p w14:paraId="0D17CE57" w14:textId="77777777" w:rsidR="00AB3647" w:rsidRDefault="00000000" w:rsidP="007923E9">
      <w:pPr>
        <w:pStyle w:val="4"/>
        <w:spacing w:line="276" w:lineRule="auto"/>
      </w:pPr>
      <w:r>
        <w:t>· הפסקה השנייה ·</w:t>
      </w:r>
    </w:p>
    <w:p w14:paraId="65538B96" w14:textId="77777777" w:rsidR="00AB3647" w:rsidRDefault="00000000" w:rsidP="007923E9">
      <w:pPr>
        <w:pStyle w:val="5"/>
        <w:spacing w:line="276" w:lineRule="auto"/>
      </w:pPr>
      <w:r>
        <w:t xml:space="preserve">רבנו מסרב לקבל זכויות יתר – הוא אינו מבין שר׳ </w:t>
      </w:r>
      <w:proofErr w:type="spellStart"/>
      <w:r>
        <w:t>משה־מרדכי</w:t>
      </w:r>
      <w:proofErr w:type="spellEnd"/>
      <w:r>
        <w:t xml:space="preserve"> אפשטיין רואה בו תלמיד מן המעולים – הוא יודע הרבה יותר ממה שהוא חושב – </w:t>
      </w:r>
      <w:proofErr w:type="spellStart"/>
      <w:r>
        <w:t>לר</w:t>
      </w:r>
      <w:proofErr w:type="spellEnd"/>
      <w:r>
        <w:t>׳ אהרן קוטלר לא חסר ביטחון עצמי – רבנו אינו מכין נאום מראש</w:t>
      </w:r>
    </w:p>
    <w:p w14:paraId="511EEB3C" w14:textId="77777777" w:rsidR="00AB3647" w:rsidRDefault="00000000" w:rsidP="007923E9">
      <w:pPr>
        <w:spacing w:after="120" w:line="276" w:lineRule="auto"/>
        <w:ind w:firstLine="283"/>
        <w:jc w:val="both"/>
      </w:pPr>
      <w:r>
        <w:rPr>
          <w:rtl/>
        </w:rPr>
        <w:t xml:space="preserve">לדעתי, מבין תלמידי הסבא היה רבנו הקרוב ביותר לרבם בענוותנותו. איש לא היה מופתע יותר מאבי מכך שנכתבים עליו ספרים! דוגמה לכך סיפר לי ר׳ יוסף </w:t>
      </w:r>
      <w:proofErr w:type="spellStart"/>
      <w:r>
        <w:rPr>
          <w:rtl/>
        </w:rPr>
        <w:t>שלוסברג</w:t>
      </w:r>
      <w:proofErr w:type="spellEnd"/>
      <w:r>
        <w:rPr>
          <w:rtl/>
        </w:rPr>
        <w:t>.</w:t>
      </w:r>
      <w:bookmarkStart w:id="2484" w:name="_fnr1634"/>
      <w:r>
        <w:rPr>
          <w:rStyle w:val="a5"/>
        </w:rPr>
        <w:footnoteReference w:id="1637" w:customMarkFollows="0"/>
      </w:r>
      <w:bookmarkEnd w:id="2484"/>
      <w:r>
        <w:rPr>
          <w:rtl/>
        </w:rPr>
        <w:t xml:space="preserve"> ר׳ יוסף היה אחראי על הסבת מערכות מחשב חדשות בבנק </w:t>
      </w:r>
      <w:proofErr w:type="spellStart"/>
      <w:r>
        <w:rPr>
          <w:rtl/>
        </w:rPr>
        <w:t>כמיקל</w:t>
      </w:r>
      <w:proofErr w:type="spellEnd"/>
      <w:r>
        <w:rPr>
          <w:rtl/>
        </w:rPr>
        <w:t xml:space="preserve">. לבדיקת המערכות החדשות נבחר חשבון באקראי, וקרה שעלה חשבונו של אבי בסניף ספרינג ואלי של </w:t>
      </w:r>
      <w:proofErr w:type="spellStart"/>
      <w:r>
        <w:rPr>
          <w:rtl/>
        </w:rPr>
        <w:t>כמיקל</w:t>
      </w:r>
      <w:proofErr w:type="spellEnd"/>
      <w:r>
        <w:rPr>
          <w:rtl/>
        </w:rPr>
        <w:t xml:space="preserve">. כשראה מר </w:t>
      </w:r>
      <w:proofErr w:type="spellStart"/>
      <w:r>
        <w:rPr>
          <w:rtl/>
        </w:rPr>
        <w:t>שלוסברג</w:t>
      </w:r>
      <w:proofErr w:type="spellEnd"/>
      <w:r>
        <w:rPr>
          <w:rtl/>
        </w:rPr>
        <w:t xml:space="preserve"> שזהו חשבון רגיל, הצמיד לו במחשב סימון “אדם חשוב מאוד”.</w:t>
      </w:r>
    </w:p>
    <w:p w14:paraId="2A332C4C" w14:textId="77777777" w:rsidR="00AB3647" w:rsidRDefault="00000000" w:rsidP="007923E9">
      <w:pPr>
        <w:spacing w:after="120" w:line="276" w:lineRule="auto"/>
        <w:ind w:firstLine="283"/>
        <w:jc w:val="both"/>
      </w:pPr>
      <w:r>
        <w:rPr>
          <w:rtl/>
        </w:rPr>
        <w:lastRenderedPageBreak/>
        <w:t xml:space="preserve">מנהל סניף ספרינג ואלי ראה את הסימון, והורה לפקידי הקופה שלו להודיע לו בפעם הבאה </w:t>
      </w:r>
      <w:proofErr w:type="spellStart"/>
      <w:r>
        <w:rPr>
          <w:rtl/>
        </w:rPr>
        <w:t>ש“הרב</w:t>
      </w:r>
      <w:proofErr w:type="spellEnd"/>
      <w:r>
        <w:rPr>
          <w:rtl/>
        </w:rPr>
        <w:t xml:space="preserve"> יעקב </w:t>
      </w:r>
      <w:proofErr w:type="spellStart"/>
      <w:r>
        <w:rPr>
          <w:rtl/>
        </w:rPr>
        <w:t>קמינצקי</w:t>
      </w:r>
      <w:proofErr w:type="spellEnd"/>
      <w:r>
        <w:rPr>
          <w:rtl/>
        </w:rPr>
        <w:t xml:space="preserve">” ייכנס לבנק. כשהדבר אירע לבסוף, יצא המנהל לקבל את פני אבי, והתנצל על שלא העניק לו את היחס המיוחד שאדם חשוב מאוד ראוי לו – למשל, שלא יצטרך לעמוד בתור לפני הקופה, שיכובדו שיקים שנמשכו מחשבון ביתרת חובה ושהפקדות שיקים ייזקפו לזכותו מיד. הלקוח המופתע השיב: “מדוע אקבל יחס מיוחד? אני כאחד משאר לקוחותיך”. המנהל התקשר </w:t>
      </w:r>
      <w:proofErr w:type="spellStart"/>
      <w:r>
        <w:rPr>
          <w:rtl/>
        </w:rPr>
        <w:t>לר</w:t>
      </w:r>
      <w:proofErr w:type="spellEnd"/>
      <w:r>
        <w:rPr>
          <w:rtl/>
        </w:rPr>
        <w:t xml:space="preserve">׳ יוסף </w:t>
      </w:r>
      <w:proofErr w:type="spellStart"/>
      <w:r>
        <w:rPr>
          <w:rtl/>
        </w:rPr>
        <w:t>שלוסברג</w:t>
      </w:r>
      <w:proofErr w:type="spellEnd"/>
      <w:r>
        <w:rPr>
          <w:rtl/>
        </w:rPr>
        <w:t xml:space="preserve"> ואמר שוודאי נפלה טעות, שכן מעולם לא ראה “אדם חשוב מאוד” שדוחה הצעה לקבל יחס כזה. ר׳ יוסף נאלץ להסביר למנהל הגוי שאצל יהודים נאמנים, ככל שהאדם חשוב יותר כן גדולה ענוותנותו, והביא את תיאורו של “היהודי הגדול ביותר שחי אי פעם, משה” במקרא: “ענו מאד מכל האדם אשר על פני האדמה”.</w:t>
      </w:r>
      <w:bookmarkStart w:id="2485" w:name="_fnr1635"/>
      <w:r>
        <w:rPr>
          <w:rStyle w:val="a5"/>
        </w:rPr>
        <w:footnoteReference w:id="1638" w:customMarkFollows="0"/>
      </w:r>
      <w:bookmarkEnd w:id="2485"/>
    </w:p>
    <w:p w14:paraId="08372EBD" w14:textId="77777777" w:rsidR="00AB3647" w:rsidRDefault="00000000" w:rsidP="007923E9">
      <w:pPr>
        <w:spacing w:after="120" w:line="276" w:lineRule="auto"/>
        <w:ind w:firstLine="283"/>
        <w:jc w:val="both"/>
      </w:pPr>
      <w:r>
        <w:rPr>
          <w:rtl/>
        </w:rPr>
        <w:t>ר׳ נתן שטרן</w:t>
      </w:r>
      <w:bookmarkStart w:id="2486" w:name="_fnr1636"/>
      <w:r>
        <w:rPr>
          <w:rStyle w:val="a5"/>
        </w:rPr>
        <w:footnoteReference w:id="1639" w:customMarkFollows="0"/>
      </w:r>
      <w:bookmarkEnd w:id="2486"/>
      <w:r>
        <w:rPr>
          <w:rtl/>
        </w:rPr>
        <w:t xml:space="preserve"> ציין שבכ״ח בתשרי תשל״ט ביקר אצל אבי </w:t>
      </w:r>
      <w:proofErr w:type="spellStart"/>
      <w:r>
        <w:rPr>
          <w:rtl/>
        </w:rPr>
        <w:t>במונסי</w:t>
      </w:r>
      <w:proofErr w:type="spellEnd"/>
      <w:r>
        <w:rPr>
          <w:rtl/>
        </w:rPr>
        <w:t xml:space="preserve">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מכתב שמצא בין ניירות סבו. את המכתב כתב ר׳ </w:t>
      </w:r>
      <w:proofErr w:type="spellStart"/>
      <w:r>
        <w:rPr>
          <w:rtl/>
        </w:rPr>
        <w:t>משה־מרדכי</w:t>
      </w:r>
      <w:proofErr w:type="spellEnd"/>
      <w:r>
        <w:rPr>
          <w:rtl/>
        </w:rPr>
        <w:t xml:space="preserve"> אפשטיין בחורף תרפ״ו, בעניין מועמדותו של אבי לרבנות העיירה </w:t>
      </w:r>
      <w:proofErr w:type="spellStart"/>
      <w:r>
        <w:rPr>
          <w:rtl/>
        </w:rPr>
        <w:t>יעזנה</w:t>
      </w:r>
      <w:proofErr w:type="spellEnd"/>
      <w:r>
        <w:rPr>
          <w:rtl/>
        </w:rPr>
        <w:t>.</w:t>
      </w:r>
      <w:bookmarkStart w:id="2487" w:name="_fnr1637"/>
      <w:r>
        <w:rPr>
          <w:rStyle w:val="a5"/>
        </w:rPr>
        <w:footnoteReference w:id="1640" w:customMarkFollows="0"/>
      </w:r>
      <w:bookmarkEnd w:id="2487"/>
      <w:r>
        <w:rPr>
          <w:rtl/>
        </w:rPr>
        <w:t xml:space="preserve"> ר׳ </w:t>
      </w:r>
      <w:proofErr w:type="spellStart"/>
      <w:r>
        <w:rPr>
          <w:rtl/>
        </w:rPr>
        <w:t>משה־מרדכי</w:t>
      </w:r>
      <w:proofErr w:type="spellEnd"/>
      <w:r>
        <w:rPr>
          <w:rtl/>
        </w:rPr>
        <w:t xml:space="preserve"> משבח בו את רבנו שבחים מופלגים, וממליץ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רבה הפורש של </w:t>
      </w:r>
      <w:proofErr w:type="spellStart"/>
      <w:r>
        <w:rPr>
          <w:rtl/>
        </w:rPr>
        <w:t>יעזנה</w:t>
      </w:r>
      <w:proofErr w:type="spellEnd"/>
      <w:r>
        <w:rPr>
          <w:rtl/>
        </w:rPr>
        <w:t xml:space="preserve">, שעלה אז לארץ ישראל, שידאג להעמיד לעירו ממלא מקום ראוי – את רבנו. כשקרא אבי מה כתב עליו ר׳ </w:t>
      </w:r>
      <w:proofErr w:type="spellStart"/>
      <w:r>
        <w:rPr>
          <w:rtl/>
        </w:rPr>
        <w:t>משה־מרדכי</w:t>
      </w:r>
      <w:proofErr w:type="spellEnd"/>
      <w:r>
        <w:rPr>
          <w:rtl/>
        </w:rPr>
        <w:t xml:space="preserve">, העיר בהפתעה: “נראה מן המכתב שר׳ </w:t>
      </w:r>
      <w:proofErr w:type="spellStart"/>
      <w:r>
        <w:rPr>
          <w:rtl/>
        </w:rPr>
        <w:t>משה־מרדכי</w:t>
      </w:r>
      <w:proofErr w:type="spellEnd"/>
      <w:r>
        <w:rPr>
          <w:rtl/>
        </w:rPr>
        <w:t xml:space="preserve"> החזיק ממני עולם ומלואו!”. בענוותנותו לא ידע, עד שקרא את המכתב, שראש ישיבתו ראה בו תלמיד מן המעולים.</w:t>
      </w:r>
    </w:p>
    <w:p w14:paraId="4808B4F1" w14:textId="77777777" w:rsidR="00AB3647" w:rsidRDefault="00000000" w:rsidP="007923E9">
      <w:pPr>
        <w:spacing w:after="120" w:line="276" w:lineRule="auto"/>
        <w:ind w:firstLine="283"/>
        <w:jc w:val="both"/>
      </w:pPr>
      <w:r>
        <w:rPr>
          <w:rtl/>
        </w:rPr>
        <w:t xml:space="preserve">ביטוי נוסף לענוותנותו מסר נכד אחר של ר׳ </w:t>
      </w:r>
      <w:proofErr w:type="spellStart"/>
      <w:r>
        <w:rPr>
          <w:rtl/>
        </w:rPr>
        <w:t>ישראל־זיסל</w:t>
      </w:r>
      <w:proofErr w:type="spellEnd"/>
      <w:r>
        <w:rPr>
          <w:rtl/>
        </w:rPr>
        <w:t xml:space="preserve"> </w:t>
      </w:r>
      <w:proofErr w:type="spellStart"/>
      <w:r>
        <w:rPr>
          <w:rtl/>
        </w:rPr>
        <w:t>דבורץ</w:t>
      </w:r>
      <w:proofErr w:type="spellEnd"/>
      <w:r>
        <w:rPr>
          <w:rtl/>
        </w:rPr>
        <w:t xml:space="preserve">, ר׳ משה </w:t>
      </w:r>
      <w:proofErr w:type="spellStart"/>
      <w:r>
        <w:rPr>
          <w:rtl/>
        </w:rPr>
        <w:t>דבורץ</w:t>
      </w:r>
      <w:proofErr w:type="spellEnd"/>
      <w:r>
        <w:rPr>
          <w:rtl/>
        </w:rPr>
        <w:t>,</w:t>
      </w:r>
      <w:bookmarkStart w:id="2488" w:name="_fnr1638"/>
      <w:r>
        <w:rPr>
          <w:rStyle w:val="a5"/>
        </w:rPr>
        <w:footnoteReference w:id="1641" w:customMarkFollows="0"/>
      </w:r>
      <w:bookmarkEnd w:id="2488"/>
      <w:r>
        <w:rPr>
          <w:rtl/>
        </w:rPr>
        <w:t xml:space="preserve"> שפגש את אבי בנתניה בעת ביקורו של זה בארץ ישראל בשנת תשכ״ג. כשהציג ר׳ משה את עצמו ואמר מי היה סבו, אמר אבי: “אני אומר לך מי היה סבך. ניסיתי לרשת את מקומו ברבנות </w:t>
      </w:r>
      <w:proofErr w:type="spellStart"/>
      <w:r>
        <w:rPr>
          <w:rtl/>
        </w:rPr>
        <w:t>יעזנה</w:t>
      </w:r>
      <w:proofErr w:type="spellEnd"/>
      <w:r>
        <w:rPr>
          <w:rtl/>
        </w:rPr>
        <w:t>, אבל לא קיבלו אותי משום שלא הייתי ראוי להחליפו”.</w:t>
      </w:r>
    </w:p>
    <w:p w14:paraId="111268CE" w14:textId="77777777" w:rsidR="00AB3647" w:rsidRDefault="00000000" w:rsidP="007923E9">
      <w:pPr>
        <w:spacing w:after="120" w:line="276" w:lineRule="auto"/>
        <w:ind w:firstLine="283"/>
        <w:jc w:val="both"/>
      </w:pPr>
      <w:r>
        <w:rPr>
          <w:rtl/>
        </w:rPr>
        <w:t xml:space="preserve">והנה, ר׳ </w:t>
      </w:r>
      <w:proofErr w:type="spellStart"/>
      <w:r>
        <w:rPr>
          <w:rtl/>
        </w:rPr>
        <w:t>משה־מרדכי</w:t>
      </w:r>
      <w:proofErr w:type="spellEnd"/>
      <w:r>
        <w:rPr>
          <w:rtl/>
        </w:rPr>
        <w:t xml:space="preserve"> שלח את מכתב ההמלצה </w:t>
      </w:r>
      <w:proofErr w:type="spellStart"/>
      <w:r>
        <w:rPr>
          <w:rtl/>
        </w:rPr>
        <w:t>לר</w:t>
      </w:r>
      <w:proofErr w:type="spellEnd"/>
      <w:r>
        <w:rPr>
          <w:rtl/>
        </w:rPr>
        <w:t xml:space="preserve">׳ </w:t>
      </w:r>
      <w:proofErr w:type="spellStart"/>
      <w:r>
        <w:rPr>
          <w:rtl/>
        </w:rPr>
        <w:t>ישראל־זיסל</w:t>
      </w:r>
      <w:proofErr w:type="spellEnd"/>
      <w:r>
        <w:rPr>
          <w:rtl/>
        </w:rPr>
        <w:t xml:space="preserve"> באמצעות רבנו!</w:t>
      </w:r>
      <w:bookmarkStart w:id="2489" w:name="_fnr1639"/>
      <w:r>
        <w:rPr>
          <w:rStyle w:val="a5"/>
        </w:rPr>
        <w:footnoteReference w:id="1642" w:customMarkFollows="0"/>
      </w:r>
      <w:bookmarkEnd w:id="2489"/>
      <w:r>
        <w:rPr>
          <w:rtl/>
        </w:rPr>
        <w:t xml:space="preserve"> ר׳ </w:t>
      </w:r>
      <w:proofErr w:type="spellStart"/>
      <w:r>
        <w:rPr>
          <w:rtl/>
        </w:rPr>
        <w:t>משה־מרדכי</w:t>
      </w:r>
      <w:proofErr w:type="spellEnd"/>
      <w:r>
        <w:rPr>
          <w:rtl/>
        </w:rPr>
        <w:t xml:space="preserve"> ציפה כנראה שר׳ </w:t>
      </w:r>
      <w:proofErr w:type="spellStart"/>
      <w:r>
        <w:rPr>
          <w:rtl/>
        </w:rPr>
        <w:t>ישראל־זיסל</w:t>
      </w:r>
      <w:proofErr w:type="spellEnd"/>
      <w:r>
        <w:rPr>
          <w:rtl/>
        </w:rPr>
        <w:t xml:space="preserve"> יראה את המכתב לאבי אחרי שיפתח אותו. ר׳ </w:t>
      </w:r>
      <w:proofErr w:type="spellStart"/>
      <w:r>
        <w:rPr>
          <w:rtl/>
        </w:rPr>
        <w:t>ישראל־זיסל</w:t>
      </w:r>
      <w:proofErr w:type="spellEnd"/>
      <w:r>
        <w:rPr>
          <w:rtl/>
        </w:rPr>
        <w:t xml:space="preserve">, מצדו, הניח שר׳ </w:t>
      </w:r>
      <w:proofErr w:type="spellStart"/>
      <w:r>
        <w:rPr>
          <w:rtl/>
        </w:rPr>
        <w:t>משה־מרדכי</w:t>
      </w:r>
      <w:proofErr w:type="spellEnd"/>
      <w:r>
        <w:rPr>
          <w:rtl/>
        </w:rPr>
        <w:t xml:space="preserve"> הראה את המכתב לאבי לפני שסגר אותו. וכך לא ראה רבנו את תוכן המכתב עד יותר מחצי מאה לאחר מכן – ולעולם לא היה יודע מה היה כתוב בו אילולא מצא אותו נכדו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והראה לו. אגב, נכד נוסף של ר׳ </w:t>
      </w:r>
      <w:proofErr w:type="spellStart"/>
      <w:r>
        <w:rPr>
          <w:rtl/>
        </w:rPr>
        <w:t>ישראל־זיסל</w:t>
      </w:r>
      <w:proofErr w:type="spellEnd"/>
      <w:r>
        <w:rPr>
          <w:rtl/>
        </w:rPr>
        <w:t xml:space="preserve"> </w:t>
      </w:r>
      <w:proofErr w:type="spellStart"/>
      <w:r>
        <w:rPr>
          <w:rtl/>
        </w:rPr>
        <w:t>דבורץ</w:t>
      </w:r>
      <w:proofErr w:type="spellEnd"/>
      <w:r>
        <w:rPr>
          <w:rtl/>
        </w:rPr>
        <w:t>, ר׳ דוד ויסקי, סיפר</w:t>
      </w:r>
      <w:bookmarkStart w:id="2490" w:name="_fnr1640"/>
      <w:r>
        <w:rPr>
          <w:rStyle w:val="a5"/>
        </w:rPr>
        <w:footnoteReference w:id="1643" w:customMarkFollows="0"/>
      </w:r>
      <w:bookmarkEnd w:id="2490"/>
      <w:r>
        <w:rPr>
          <w:rtl/>
        </w:rPr>
        <w:t xml:space="preserve"> שאבי סיפר כי ר׳ </w:t>
      </w:r>
      <w:proofErr w:type="spellStart"/>
      <w:r>
        <w:rPr>
          <w:rtl/>
        </w:rPr>
        <w:t>ישראל־זיסל</w:t>
      </w:r>
      <w:proofErr w:type="spellEnd"/>
      <w:r>
        <w:rPr>
          <w:rtl/>
        </w:rPr>
        <w:t xml:space="preserve">, שזה עתה חזר לליטא מביקור בארץ ישראל והתפטר מרבנות </w:t>
      </w:r>
      <w:proofErr w:type="spellStart"/>
      <w:r>
        <w:rPr>
          <w:rtl/>
        </w:rPr>
        <w:t>יעזנה</w:t>
      </w:r>
      <w:proofErr w:type="spellEnd"/>
      <w:r>
        <w:rPr>
          <w:rtl/>
        </w:rPr>
        <w:t>, אמר לו: “בארץ ישראל יש שמים אחרים וירח אחר. אני עובר לשם ולא אשוב לעולם!”.</w:t>
      </w:r>
    </w:p>
    <w:p w14:paraId="0A4B65DB" w14:textId="77777777" w:rsidR="00AB3647" w:rsidRDefault="00000000" w:rsidP="007923E9">
      <w:pPr>
        <w:spacing w:after="120" w:line="276" w:lineRule="auto"/>
        <w:ind w:firstLine="283"/>
        <w:jc w:val="both"/>
      </w:pPr>
      <w:r>
        <w:rPr>
          <w:rtl/>
        </w:rPr>
        <w:lastRenderedPageBreak/>
        <w:t>אחי ר׳ אברהם אישר</w:t>
      </w:r>
      <w:bookmarkStart w:id="2491" w:name="_fnr1641"/>
      <w:r>
        <w:rPr>
          <w:rStyle w:val="a5"/>
        </w:rPr>
        <w:footnoteReference w:id="1644" w:customMarkFollows="0"/>
      </w:r>
      <w:bookmarkEnd w:id="2491"/>
      <w:r>
        <w:rPr>
          <w:rtl/>
        </w:rPr>
        <w:t xml:space="preserve"> שרבנו אמר על עצמו שהוא סובל </w:t>
      </w:r>
      <w:proofErr w:type="spellStart"/>
      <w:r>
        <w:rPr>
          <w:rtl/>
        </w:rPr>
        <w:t>מ“תסביך</w:t>
      </w:r>
      <w:proofErr w:type="spellEnd"/>
      <w:r>
        <w:rPr>
          <w:rtl/>
        </w:rPr>
        <w:t xml:space="preserve"> נחיתות”, ותלה זאת בחולשה משפחתית. “בני </w:t>
      </w:r>
      <w:proofErr w:type="spellStart"/>
      <w:r>
        <w:rPr>
          <w:rtl/>
        </w:rPr>
        <w:t>קמינצקי</w:t>
      </w:r>
      <w:proofErr w:type="spellEnd"/>
      <w:r>
        <w:rPr>
          <w:rtl/>
        </w:rPr>
        <w:t xml:space="preserve"> – </w:t>
      </w:r>
      <w:proofErr w:type="spellStart"/>
      <w:r>
        <w:rPr>
          <w:rtl/>
        </w:rPr>
        <w:t>מיינען</w:t>
      </w:r>
      <w:proofErr w:type="spellEnd"/>
      <w:r>
        <w:rPr>
          <w:rtl/>
        </w:rPr>
        <w:t xml:space="preserve"> </w:t>
      </w:r>
      <w:proofErr w:type="spellStart"/>
      <w:r>
        <w:rPr>
          <w:rtl/>
        </w:rPr>
        <w:t>זיי</w:t>
      </w:r>
      <w:proofErr w:type="spellEnd"/>
      <w:r>
        <w:rPr>
          <w:rtl/>
        </w:rPr>
        <w:t xml:space="preserve"> </w:t>
      </w:r>
      <w:proofErr w:type="spellStart"/>
      <w:r>
        <w:rPr>
          <w:rtl/>
        </w:rPr>
        <w:t>קענען</w:t>
      </w:r>
      <w:proofErr w:type="spellEnd"/>
      <w:r>
        <w:rPr>
          <w:rtl/>
        </w:rPr>
        <w:t xml:space="preserve"> ניט [חושבים שאינם מסוגלים]”, הסביר. עוד סיפר אחי שפעם אחת רצה ר׳ אהרן קוטלר שילמד בחברותא עם תלמיד מבריק במיוחד. כשאמר אחי שהוא מרגיש שלא יוכל לעמוד בקצבו, אמר ר׳ אהרן בהתפרצות כעס: “לאביך הייתה אותה צרה </w:t>
      </w:r>
      <w:proofErr w:type="spellStart"/>
      <w:r>
        <w:rPr>
          <w:rtl/>
        </w:rPr>
        <w:t>בסלבודקה</w:t>
      </w:r>
      <w:proofErr w:type="spellEnd"/>
      <w:r>
        <w:rPr>
          <w:rtl/>
        </w:rPr>
        <w:t xml:space="preserve">; ער האט </w:t>
      </w:r>
      <w:proofErr w:type="spellStart"/>
      <w:r>
        <w:rPr>
          <w:rtl/>
        </w:rPr>
        <w:t>אלעמאל</w:t>
      </w:r>
      <w:proofErr w:type="spellEnd"/>
      <w:r>
        <w:rPr>
          <w:rtl/>
        </w:rPr>
        <w:t xml:space="preserve"> </w:t>
      </w:r>
      <w:proofErr w:type="spellStart"/>
      <w:r>
        <w:rPr>
          <w:rtl/>
        </w:rPr>
        <w:t>געמיינט</w:t>
      </w:r>
      <w:proofErr w:type="spellEnd"/>
      <w:r>
        <w:rPr>
          <w:rtl/>
        </w:rPr>
        <w:t xml:space="preserve"> אז ער </w:t>
      </w:r>
      <w:proofErr w:type="spellStart"/>
      <w:r>
        <w:rPr>
          <w:rtl/>
        </w:rPr>
        <w:t>קען</w:t>
      </w:r>
      <w:proofErr w:type="spellEnd"/>
      <w:r>
        <w:rPr>
          <w:rtl/>
        </w:rPr>
        <w:t xml:space="preserve"> ניט [הוא תמיד חשב שאינו מסוגל]. הוא תמיד חשב שהוא יודע פחות ממה שידע באמת”.</w:t>
      </w:r>
      <w:bookmarkStart w:id="2492" w:name="_fnr1642"/>
      <w:r>
        <w:rPr>
          <w:rStyle w:val="a5"/>
        </w:rPr>
        <w:footnoteReference w:id="1645" w:customMarkFollows="0"/>
      </w:r>
      <w:bookmarkEnd w:id="2492"/>
    </w:p>
    <w:p w14:paraId="098F2CD2" w14:textId="77777777" w:rsidR="00AB3647" w:rsidRDefault="00000000" w:rsidP="007923E9">
      <w:pPr>
        <w:spacing w:after="120" w:line="276" w:lineRule="auto"/>
        <w:ind w:firstLine="283"/>
        <w:jc w:val="both"/>
      </w:pPr>
      <w:r>
        <w:rPr>
          <w:rtl/>
        </w:rPr>
        <w:t xml:space="preserve">אפשר להניח </w:t>
      </w:r>
      <w:proofErr w:type="spellStart"/>
      <w:r>
        <w:rPr>
          <w:rtl/>
        </w:rPr>
        <w:t>שלר</w:t>
      </w:r>
      <w:proofErr w:type="spellEnd"/>
      <w:r>
        <w:rPr>
          <w:rtl/>
        </w:rPr>
        <w:t xml:space="preserve">׳ אהרן היה ביטחון עצמי </w:t>
      </w:r>
      <w:r>
        <w:rPr>
          <w:b/>
          <w:bCs/>
          <w:rtl/>
        </w:rPr>
        <w:t>רב מדי</w:t>
      </w:r>
      <w:r>
        <w:rPr>
          <w:rtl/>
        </w:rPr>
        <w:t>, כפי שעולה מדברי ר׳ יעקב הירשמן.</w:t>
      </w:r>
      <w:bookmarkStart w:id="2493" w:name="_fnr1643"/>
      <w:r>
        <w:rPr>
          <w:rStyle w:val="a5"/>
        </w:rPr>
        <w:footnoteReference w:id="1646" w:customMarkFollows="0"/>
      </w:r>
      <w:bookmarkEnd w:id="2493"/>
      <w:r>
        <w:rPr>
          <w:rtl/>
        </w:rPr>
        <w:t xml:space="preserve"> בגיל </w:t>
      </w:r>
      <w:proofErr w:type="spellStart"/>
      <w:r>
        <w:rPr>
          <w:rtl/>
        </w:rPr>
        <w:t>שמונה־עשרה</w:t>
      </w:r>
      <w:proofErr w:type="spellEnd"/>
      <w:r>
        <w:rPr>
          <w:rtl/>
        </w:rPr>
        <w:t xml:space="preserve"> ביקש הירשמן את עצת אבי אם להצטרף לבית מדרש גבוה, ישיבתו של ר׳ אהרן קוטלר </w:t>
      </w:r>
      <w:proofErr w:type="spellStart"/>
      <w:r>
        <w:rPr>
          <w:rtl/>
        </w:rPr>
        <w:t>בלייקווד</w:t>
      </w:r>
      <w:proofErr w:type="spellEnd"/>
      <w:r>
        <w:rPr>
          <w:rtl/>
        </w:rPr>
        <w:t xml:space="preserve">. כשהביע חשש ממבחן הכניסה שעורך ר׳ אהרן, העיר אבי: “מה ההבדל? לפני שאתה הולך לישיבתו אינך יודע ללמוד בכל מקרה; ואחרי שתהיה שם קצת, </w:t>
      </w:r>
      <w:proofErr w:type="spellStart"/>
      <w:r>
        <w:rPr>
          <w:rtl/>
        </w:rPr>
        <w:t>וועט</w:t>
      </w:r>
      <w:proofErr w:type="spellEnd"/>
      <w:r>
        <w:rPr>
          <w:rtl/>
        </w:rPr>
        <w:t xml:space="preserve"> </w:t>
      </w:r>
      <w:proofErr w:type="spellStart"/>
      <w:r>
        <w:rPr>
          <w:rtl/>
        </w:rPr>
        <w:t>שוין</w:t>
      </w:r>
      <w:proofErr w:type="spellEnd"/>
      <w:r>
        <w:rPr>
          <w:rtl/>
        </w:rPr>
        <w:t xml:space="preserve"> </w:t>
      </w:r>
      <w:proofErr w:type="spellStart"/>
      <w:r>
        <w:rPr>
          <w:rtl/>
        </w:rPr>
        <w:t>הייסען</w:t>
      </w:r>
      <w:proofErr w:type="spellEnd"/>
      <w:r>
        <w:rPr>
          <w:rtl/>
        </w:rPr>
        <w:t xml:space="preserve"> אז דו </w:t>
      </w:r>
      <w:proofErr w:type="spellStart"/>
      <w:r>
        <w:rPr>
          <w:rtl/>
        </w:rPr>
        <w:t>קענסט</w:t>
      </w:r>
      <w:proofErr w:type="spellEnd"/>
      <w:r>
        <w:rPr>
          <w:rtl/>
        </w:rPr>
        <w:t xml:space="preserve"> </w:t>
      </w:r>
      <w:proofErr w:type="spellStart"/>
      <w:r>
        <w:rPr>
          <w:rtl/>
        </w:rPr>
        <w:t>לערנען</w:t>
      </w:r>
      <w:proofErr w:type="spellEnd"/>
      <w:r>
        <w:rPr>
          <w:rtl/>
        </w:rPr>
        <w:t xml:space="preserve"> [כבר ייחשב (בעיניו) שאתה יודע ללמוד]”.</w:t>
      </w:r>
    </w:p>
    <w:p w14:paraId="54B738D9" w14:textId="77777777" w:rsidR="00AB3647" w:rsidRDefault="00000000" w:rsidP="007923E9">
      <w:pPr>
        <w:spacing w:after="120" w:line="276" w:lineRule="auto"/>
        <w:ind w:firstLine="283"/>
        <w:jc w:val="both"/>
      </w:pPr>
      <w:r>
        <w:rPr>
          <w:rtl/>
        </w:rPr>
        <w:t xml:space="preserve">אחר כך ריכך רבנו את ההערה, שנשמעה עוקצנית, והסביר: “אפשר </w:t>
      </w:r>
      <w:proofErr w:type="spellStart"/>
      <w:r>
        <w:rPr>
          <w:rtl/>
        </w:rPr>
        <w:t>דארף</w:t>
      </w:r>
      <w:proofErr w:type="spellEnd"/>
      <w:r>
        <w:rPr>
          <w:rtl/>
        </w:rPr>
        <w:t xml:space="preserve"> זיין </w:t>
      </w:r>
      <w:proofErr w:type="spellStart"/>
      <w:r>
        <w:rPr>
          <w:rtl/>
        </w:rPr>
        <w:t>אזוי</w:t>
      </w:r>
      <w:proofErr w:type="spellEnd"/>
      <w:r>
        <w:rPr>
          <w:rtl/>
        </w:rPr>
        <w:t xml:space="preserve"> [אולי כך צריך להיות]”. הוא סיפר את המעשה הבא: “הייתה מחלוקת רבה בין השאגת אריה ובין בעל ‘סדר הדורות’, ר׳ יחיאל </w:t>
      </w:r>
      <w:proofErr w:type="spellStart"/>
      <w:r>
        <w:rPr>
          <w:rtl/>
        </w:rPr>
        <w:t>היילפרין</w:t>
      </w:r>
      <w:proofErr w:type="spellEnd"/>
      <w:r>
        <w:rPr>
          <w:rtl/>
        </w:rPr>
        <w:t xml:space="preserve">, ואחר כך בנו ר׳ משה, הרבנים במינסק. </w:t>
      </w:r>
      <w:proofErr w:type="spellStart"/>
      <w:r>
        <w:rPr>
          <w:rtl/>
        </w:rPr>
        <w:t>עס</w:t>
      </w:r>
      <w:proofErr w:type="spellEnd"/>
      <w:r>
        <w:rPr>
          <w:rtl/>
        </w:rPr>
        <w:t xml:space="preserve"> האט </w:t>
      </w:r>
      <w:proofErr w:type="spellStart"/>
      <w:r>
        <w:rPr>
          <w:rtl/>
        </w:rPr>
        <w:t>זיך</w:t>
      </w:r>
      <w:proofErr w:type="spellEnd"/>
      <w:r>
        <w:rPr>
          <w:rtl/>
        </w:rPr>
        <w:t xml:space="preserve"> </w:t>
      </w:r>
      <w:proofErr w:type="spellStart"/>
      <w:r>
        <w:rPr>
          <w:rtl/>
        </w:rPr>
        <w:t>געטאהן</w:t>
      </w:r>
      <w:proofErr w:type="spellEnd"/>
      <w:r>
        <w:rPr>
          <w:rtl/>
        </w:rPr>
        <w:t xml:space="preserve"> </w:t>
      </w:r>
      <w:proofErr w:type="spellStart"/>
      <w:r>
        <w:rPr>
          <w:rtl/>
        </w:rPr>
        <w:t>אויף</w:t>
      </w:r>
      <w:proofErr w:type="spellEnd"/>
      <w:r>
        <w:rPr>
          <w:rtl/>
        </w:rPr>
        <w:t xml:space="preserve"> טיש און </w:t>
      </w:r>
      <w:proofErr w:type="spellStart"/>
      <w:r>
        <w:rPr>
          <w:rtl/>
        </w:rPr>
        <w:t>אויף</w:t>
      </w:r>
      <w:proofErr w:type="spellEnd"/>
      <w:r>
        <w:rPr>
          <w:rtl/>
        </w:rPr>
        <w:t xml:space="preserve"> בענק [היו דברים ‘על שולחנות ועל ספסלים’, ניב ביידיש שפירושו שהמצב היה סוער].</w:t>
      </w:r>
      <w:bookmarkStart w:id="2494" w:name="_fnr1644"/>
      <w:r>
        <w:rPr>
          <w:rStyle w:val="a5"/>
        </w:rPr>
        <w:footnoteReference w:id="1647" w:customMarkFollows="0"/>
      </w:r>
      <w:bookmarkEnd w:id="2494"/>
      <w:r>
        <w:rPr>
          <w:rtl/>
        </w:rPr>
        <w:t xml:space="preserve"> אחרי שנתמנה ר׳ רפאל המבורגר, תלמיד מובהק של השאגת אריה, שלא היה פוסק בתוך שלש פרסאות (של רבו)</w:t>
      </w:r>
      <w:bookmarkStart w:id="2495" w:name="_fnr1645"/>
      <w:r>
        <w:rPr>
          <w:rStyle w:val="a5"/>
        </w:rPr>
        <w:footnoteReference w:id="1648" w:customMarkFollows="0"/>
      </w:r>
      <w:bookmarkEnd w:id="2495"/>
      <w:r>
        <w:rPr>
          <w:rtl/>
        </w:rPr>
        <w:t xml:space="preserve"> ונחשב לקטן מר׳ יחיאל, חשבו שוודאי יהיה מטרה לביקורתו של השאגת אריה. להפתעת הכול שררו בין השניים שלום ושלווה גמורים. כששאלו את השאגת אריה להסביר את היחסים ביניהם, אמר: ‘</w:t>
      </w:r>
      <w:r>
        <w:rPr>
          <w:b/>
          <w:bCs/>
          <w:rtl/>
        </w:rPr>
        <w:t>תלמידי</w:t>
      </w:r>
      <w:r>
        <w:rPr>
          <w:rtl/>
        </w:rPr>
        <w:t>? הוא גאון!’”.</w:t>
      </w:r>
    </w:p>
    <w:p w14:paraId="140CBE64" w14:textId="77777777" w:rsidR="00AB3647" w:rsidRDefault="00000000" w:rsidP="007923E9">
      <w:pPr>
        <w:spacing w:after="120" w:line="276" w:lineRule="auto"/>
        <w:ind w:firstLine="283"/>
        <w:jc w:val="both"/>
      </w:pPr>
      <w:r>
        <w:rPr>
          <w:rtl/>
        </w:rPr>
        <w:t>ר׳ יוסף אליאס סיפר</w:t>
      </w:r>
      <w:bookmarkStart w:id="2496" w:name="_fnr1646"/>
      <w:r>
        <w:rPr>
          <w:rStyle w:val="a5"/>
        </w:rPr>
        <w:footnoteReference w:id="1649" w:customMarkFollows="0"/>
      </w:r>
      <w:bookmarkEnd w:id="2496"/>
      <w:r>
        <w:rPr>
          <w:rtl/>
        </w:rPr>
        <w:t xml:space="preserve"> שרבנו אמר לו שאינו מכין נאום יום לפני אמירתו, משום שאילו עשה כן לא היה יכול לישון בלילה </w:t>
      </w:r>
      <w:proofErr w:type="spellStart"/>
      <w:r>
        <w:rPr>
          <w:rtl/>
        </w:rPr>
        <w:t>מאימתא</w:t>
      </w:r>
      <w:proofErr w:type="spellEnd"/>
      <w:r>
        <w:rPr>
          <w:rtl/>
        </w:rPr>
        <w:t xml:space="preserve"> </w:t>
      </w:r>
      <w:proofErr w:type="spellStart"/>
      <w:r>
        <w:rPr>
          <w:rtl/>
        </w:rPr>
        <w:t>דציבורא</w:t>
      </w:r>
      <w:proofErr w:type="spellEnd"/>
      <w:r>
        <w:rPr>
          <w:rtl/>
        </w:rPr>
        <w:t>. לנוכח הסגנון הנינוח והעממי של אבי בדברו לפני ציבור, זהו גילוי מפליא. השווה גם בכרך 2 כיצד ניסה הסבא לעזור לאבי להתגבר על תסביכו. יש לשער שבשל האופן שבו העריך אבי את עצמו סירב לקבל זכויות יתר, משום שבעיניו היה זה חוסר יושר לקחת דבר שהרגיש שאינו ראוי לו.</w:t>
      </w:r>
    </w:p>
    <w:p w14:paraId="47F0C8D6" w14:textId="77777777" w:rsidR="00AB3647" w:rsidRDefault="00000000" w:rsidP="007923E9">
      <w:pPr>
        <w:pStyle w:val="4"/>
        <w:pageBreakBefore/>
        <w:spacing w:line="276" w:lineRule="auto"/>
      </w:pPr>
      <w:r>
        <w:lastRenderedPageBreak/>
        <w:t>· הפסקה השלישית ·</w:t>
      </w:r>
    </w:p>
    <w:p w14:paraId="7B5590A8" w14:textId="77777777" w:rsidR="00AB3647" w:rsidRDefault="00000000" w:rsidP="007923E9">
      <w:pPr>
        <w:pStyle w:val="5"/>
        <w:spacing w:line="276" w:lineRule="auto"/>
      </w:pPr>
      <w:r>
        <w:t>חברי הכולל אנשי המוסר מותקפים – המבקר טוען שגדולי התורה התכנסו כדי לגנות את האברכים – הוא מצייר תמונה מסולפת לגמרי של מטרת האספה, שעסקה למעשה במימון הכולל – מגייסים כספים למוסדות באירופה ובארץ ישראל בקרב המהגרים באמריקה – נשמעות תלונות שיש יותר מדי מגביות ברוסיה – מבקר מפי השמועה מערבב בין הכולל לישיבה</w:t>
      </w:r>
    </w:p>
    <w:p w14:paraId="1C9B71D9" w14:textId="77777777" w:rsidR="00AB3647" w:rsidRDefault="00000000" w:rsidP="007923E9">
      <w:pPr>
        <w:spacing w:after="120" w:line="276" w:lineRule="auto"/>
        <w:ind w:firstLine="283"/>
        <w:jc w:val="both"/>
      </w:pPr>
      <w:r>
        <w:rPr>
          <w:rtl/>
        </w:rPr>
        <w:t xml:space="preserve">אם נותנים אמון בדיווח </w:t>
      </w:r>
      <w:proofErr w:type="spellStart"/>
      <w:r>
        <w:rPr>
          <w:rtl/>
        </w:rPr>
        <w:t>שב“ספר</w:t>
      </w:r>
      <w:proofErr w:type="spellEnd"/>
      <w:r>
        <w:rPr>
          <w:rtl/>
        </w:rPr>
        <w:t xml:space="preserve"> </w:t>
      </w:r>
      <w:proofErr w:type="spellStart"/>
      <w:r>
        <w:rPr>
          <w:rtl/>
        </w:rPr>
        <w:t>הזכרונות</w:t>
      </w:r>
      <w:proofErr w:type="spellEnd"/>
      <w:r>
        <w:rPr>
          <w:rtl/>
        </w:rPr>
        <w:t>”,</w:t>
      </w:r>
      <w:bookmarkStart w:id="2497" w:name="_fnr1647"/>
      <w:r>
        <w:rPr>
          <w:rStyle w:val="a5"/>
        </w:rPr>
        <w:footnoteReference w:id="1650" w:customMarkFollows="0"/>
      </w:r>
      <w:bookmarkEnd w:id="2497"/>
      <w:r>
        <w:rPr>
          <w:rtl/>
        </w:rPr>
        <w:t xml:space="preserve"> עולה על הדעת סיבה אחרת להרחקת הסבא </w:t>
      </w:r>
      <w:proofErr w:type="spellStart"/>
      <w:r>
        <w:rPr>
          <w:rtl/>
        </w:rPr>
        <w:t>מסלבודקה</w:t>
      </w:r>
      <w:proofErr w:type="spellEnd"/>
      <w:r>
        <w:rPr>
          <w:rtl/>
        </w:rPr>
        <w:t xml:space="preserve"> ממינוי רשמי בהנהלת כולל קובנה. מחברו, </w:t>
      </w:r>
      <w:proofErr w:type="spellStart"/>
      <w:r>
        <w:rPr>
          <w:rtl/>
        </w:rPr>
        <w:t>אליעזר־אליהו</w:t>
      </w:r>
      <w:proofErr w:type="spellEnd"/>
      <w:r>
        <w:rPr>
          <w:rtl/>
        </w:rPr>
        <w:t xml:space="preserve"> פרידמן, מתאר בדרך משפילה זו את הכולל שהסבא ור׳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הקדימו והקימו </w:t>
      </w:r>
      <w:proofErr w:type="spellStart"/>
      <w:r>
        <w:rPr>
          <w:rtl/>
        </w:rPr>
        <w:t>בסלבודקה</w:t>
      </w:r>
      <w:proofErr w:type="spellEnd"/>
      <w:r>
        <w:rPr>
          <w:rtl/>
        </w:rPr>
        <w:t>, ושפרידמן התכוון להצטרף אליו לפני שראה אותו:</w:t>
      </w:r>
    </w:p>
    <w:p w14:paraId="126B4C34" w14:textId="77777777" w:rsidR="00AB3647" w:rsidRDefault="00000000" w:rsidP="007923E9">
      <w:pPr>
        <w:spacing w:after="120" w:line="276" w:lineRule="auto"/>
        <w:ind w:firstLine="283"/>
        <w:jc w:val="both"/>
      </w:pPr>
      <w:r>
        <w:rPr>
          <w:rtl/>
        </w:rPr>
        <w:t>“באתי לבית המדרש לעת ערב ומצאתי את האברכים עטופים בטלית ותפילין, מתנועעים ומשוטטים הלוך ושוב בחדר המרווח. אחד מזמזם חרש ניגון עצוב בעודו פוסע ומקיש באצבעותיו; אחר שקוע בספר ‘ראשית חכמה’ ונאנח, נאנח בלחש; אחר יושב קפוא ומפיק אנחה ארוכה הממלאת את כל חלל בית המדרש. כשאחד פונה אל חברו, הוא עושה זאת ברמזים, במילים עבריות קצרות וקטועות; ויש שאינם מדברים כלל, ולכל צורכיהם משתמשים בקריצות ובתנועות ידיים. הם פרושים ממש,</w:t>
      </w:r>
      <w:bookmarkStart w:id="2498" w:name="_fnr1648"/>
      <w:r>
        <w:rPr>
          <w:rStyle w:val="a5"/>
        </w:rPr>
        <w:footnoteReference w:id="1651" w:customMarkFollows="0"/>
      </w:r>
      <w:bookmarkEnd w:id="2498"/>
      <w:r>
        <w:rPr>
          <w:rtl/>
        </w:rPr>
        <w:t xml:space="preserve"> מתבודדים – פורשים מבני אדם, ממאורעות העולם, וגם מעולם התלמוד. לימוד הש״ס והפוסקים אינו אלא טפל, אבר מדולדל”.</w:t>
      </w:r>
    </w:p>
    <w:p w14:paraId="39572D79" w14:textId="77777777" w:rsidR="00AB3647" w:rsidRDefault="00000000" w:rsidP="007923E9">
      <w:pPr>
        <w:spacing w:after="120" w:line="276" w:lineRule="auto"/>
        <w:ind w:firstLine="283"/>
        <w:jc w:val="both"/>
      </w:pPr>
      <w:r>
        <w:rPr>
          <w:rtl/>
        </w:rPr>
        <w:t>עוד טוען פרידמן</w:t>
      </w:r>
      <w:bookmarkStart w:id="2499" w:name="_fnr1649"/>
      <w:r>
        <w:rPr>
          <w:rStyle w:val="a5"/>
        </w:rPr>
        <w:footnoteReference w:id="1652" w:customMarkFollows="0"/>
      </w:r>
      <w:bookmarkEnd w:id="2499"/>
      <w:r>
        <w:rPr>
          <w:rtl/>
        </w:rPr>
        <w:t xml:space="preserve"> שארגן ועד בראשות ר׳ </w:t>
      </w:r>
      <w:proofErr w:type="spellStart"/>
      <w:r>
        <w:rPr>
          <w:rtl/>
        </w:rPr>
        <w:t>מיישל</w:t>
      </w:r>
      <w:proofErr w:type="spellEnd"/>
      <w:r>
        <w:rPr>
          <w:rtl/>
        </w:rPr>
        <w:t xml:space="preserve">, רב </w:t>
      </w:r>
      <w:proofErr w:type="spellStart"/>
      <w:r>
        <w:rPr>
          <w:rtl/>
        </w:rPr>
        <w:t>אלקסוט</w:t>
      </w:r>
      <w:proofErr w:type="spellEnd"/>
      <w:r>
        <w:rPr>
          <w:rtl/>
        </w:rPr>
        <w:t>,</w:t>
      </w:r>
      <w:bookmarkStart w:id="2500" w:name="_fnr1650"/>
      <w:r>
        <w:rPr>
          <w:rStyle w:val="a5"/>
        </w:rPr>
        <w:footnoteReference w:id="1653" w:customMarkFollows="0"/>
      </w:r>
      <w:bookmarkEnd w:id="2500"/>
      <w:r>
        <w:rPr>
          <w:rtl/>
        </w:rPr>
        <w:t xml:space="preserve"> כדי לגנות את הכולל </w:t>
      </w:r>
      <w:proofErr w:type="spellStart"/>
      <w:r>
        <w:rPr>
          <w:rtl/>
        </w:rPr>
        <w:t>בסלבודקה</w:t>
      </w:r>
      <w:proofErr w:type="spellEnd"/>
      <w:r>
        <w:rPr>
          <w:rtl/>
        </w:rPr>
        <w:t xml:space="preserve"> לפני רב 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לדבריו, כינס ר׳ </w:t>
      </w:r>
      <w:proofErr w:type="spellStart"/>
      <w:r>
        <w:rPr>
          <w:rtl/>
        </w:rPr>
        <w:t>יצחק־אלחנן</w:t>
      </w:r>
      <w:proofErr w:type="spellEnd"/>
      <w:r>
        <w:rPr>
          <w:rtl/>
        </w:rPr>
        <w:t xml:space="preserve"> אספה עם ר׳ ישראל </w:t>
      </w:r>
      <w:proofErr w:type="spellStart"/>
      <w:r>
        <w:rPr>
          <w:rtl/>
        </w:rPr>
        <w:t>סלנטר</w:t>
      </w:r>
      <w:proofErr w:type="spellEnd"/>
      <w:r>
        <w:rPr>
          <w:rtl/>
        </w:rPr>
        <w:t xml:space="preserve">, ר׳ </w:t>
      </w:r>
      <w:proofErr w:type="spellStart"/>
      <w:r>
        <w:rPr>
          <w:rtl/>
        </w:rPr>
        <w:t>אלכסנדר־משה</w:t>
      </w:r>
      <w:proofErr w:type="spellEnd"/>
      <w:r>
        <w:rPr>
          <w:rtl/>
        </w:rPr>
        <w:t xml:space="preserve"> לפידות ור׳ </w:t>
      </w:r>
      <w:proofErr w:type="spellStart"/>
      <w:r>
        <w:rPr>
          <w:rtl/>
        </w:rPr>
        <w:t>בן־ציון</w:t>
      </w:r>
      <w:proofErr w:type="spellEnd"/>
      <w:r>
        <w:rPr>
          <w:rtl/>
        </w:rPr>
        <w:t xml:space="preserve"> </w:t>
      </w:r>
      <w:proofErr w:type="spellStart"/>
      <w:r>
        <w:rPr>
          <w:rtl/>
        </w:rPr>
        <w:t>שטרנפלד</w:t>
      </w:r>
      <w:proofErr w:type="spellEnd"/>
      <w:r>
        <w:rPr>
          <w:rtl/>
        </w:rPr>
        <w:t>,</w:t>
      </w:r>
      <w:bookmarkStart w:id="2501" w:name="_fnr1651"/>
      <w:r>
        <w:rPr>
          <w:rStyle w:val="a5"/>
        </w:rPr>
        <w:footnoteReference w:id="1654" w:customMarkFollows="0"/>
      </w:r>
      <w:bookmarkEnd w:id="2501"/>
      <w:r>
        <w:rPr>
          <w:rtl/>
        </w:rPr>
        <w:t xml:space="preserve"> אז רב </w:t>
      </w:r>
      <w:proofErr w:type="spellStart"/>
      <w:r>
        <w:rPr>
          <w:rtl/>
        </w:rPr>
        <w:t>קלווריה</w:t>
      </w:r>
      <w:proofErr w:type="spellEnd"/>
      <w:r>
        <w:rPr>
          <w:rtl/>
        </w:rPr>
        <w:t xml:space="preserve">, והאספה </w:t>
      </w:r>
      <w:r>
        <w:rPr>
          <w:b/>
          <w:bCs/>
          <w:rtl/>
        </w:rPr>
        <w:t>החליטה</w:t>
      </w:r>
      <w:r>
        <w:rPr>
          <w:rtl/>
        </w:rPr>
        <w:t xml:space="preserve"> (ההדגשה שלי) שהחבורה </w:t>
      </w:r>
      <w:proofErr w:type="spellStart"/>
      <w:r>
        <w:rPr>
          <w:rtl/>
        </w:rPr>
        <w:t>בסלבודקה</w:t>
      </w:r>
      <w:proofErr w:type="spellEnd"/>
      <w:r>
        <w:rPr>
          <w:rtl/>
        </w:rPr>
        <w:t xml:space="preserve"> אינה ממלאת את המטרה שלשמה נתרמו הכספים. עוד גינתה את החבורה על </w:t>
      </w:r>
      <w:proofErr w:type="spellStart"/>
      <w:r>
        <w:rPr>
          <w:rtl/>
        </w:rPr>
        <w:t>ש“סטו</w:t>
      </w:r>
      <w:proofErr w:type="spellEnd"/>
      <w:r>
        <w:rPr>
          <w:rtl/>
        </w:rPr>
        <w:t xml:space="preserve"> מן הדרך הישרה, עזבו את התורה ופנו </w:t>
      </w:r>
      <w:proofErr w:type="spellStart"/>
      <w:r>
        <w:rPr>
          <w:rtl/>
        </w:rPr>
        <w:t>לשיעמום</w:t>
      </w:r>
      <w:proofErr w:type="spellEnd"/>
      <w:r>
        <w:rPr>
          <w:rtl/>
        </w:rPr>
        <w:t xml:space="preserve"> </w:t>
      </w:r>
      <w:proofErr w:type="spellStart"/>
      <w:r>
        <w:rPr>
          <w:rtl/>
        </w:rPr>
        <w:t>והזייה</w:t>
      </w:r>
      <w:proofErr w:type="spellEnd"/>
      <w:r>
        <w:rPr>
          <w:rtl/>
        </w:rPr>
        <w:t xml:space="preserve">”. אבל כדי שלא לעורר “מחלוקת בישראל” </w:t>
      </w:r>
      <w:r>
        <w:rPr>
          <w:b/>
          <w:bCs/>
          <w:rtl/>
        </w:rPr>
        <w:t xml:space="preserve">החליטה להניח לחבורת </w:t>
      </w:r>
      <w:proofErr w:type="spellStart"/>
      <w:r>
        <w:rPr>
          <w:b/>
          <w:bCs/>
          <w:rtl/>
        </w:rPr>
        <w:t>סלבודקה</w:t>
      </w:r>
      <w:proofErr w:type="spellEnd"/>
      <w:r>
        <w:rPr>
          <w:rtl/>
        </w:rPr>
        <w:t xml:space="preserve"> (ההדגשה שלי), ולייסד ארגון גדול בשם “כולל לתמיכת אברכים פרושים של קובנה”.</w:t>
      </w:r>
    </w:p>
    <w:p w14:paraId="607858D7" w14:textId="77777777" w:rsidR="00AB3647" w:rsidRDefault="00000000" w:rsidP="007923E9">
      <w:pPr>
        <w:spacing w:after="120" w:line="276" w:lineRule="auto"/>
        <w:ind w:firstLine="283"/>
        <w:jc w:val="both"/>
      </w:pPr>
      <w:r>
        <w:rPr>
          <w:rtl/>
        </w:rPr>
        <w:t xml:space="preserve">“ספר </w:t>
      </w:r>
      <w:proofErr w:type="spellStart"/>
      <w:r>
        <w:rPr>
          <w:rtl/>
        </w:rPr>
        <w:t>הזכרונות</w:t>
      </w:r>
      <w:proofErr w:type="spellEnd"/>
      <w:r>
        <w:rPr>
          <w:rtl/>
        </w:rPr>
        <w:t>” מביא את “ההחלטה” במירכאות פותחות, כאילו פורסם פרוטוקול רשמי, ואחר כך – וזה מפליא – משמיט את המירכאות הסוגרות, כאילו פרטי הפסק הם דיווח עיתונאי של מחברו עצמו.</w:t>
      </w:r>
    </w:p>
    <w:p w14:paraId="03F520CD" w14:textId="77777777" w:rsidR="00AB3647" w:rsidRDefault="00000000" w:rsidP="007923E9">
      <w:pPr>
        <w:spacing w:after="120" w:line="276" w:lineRule="auto"/>
        <w:ind w:firstLine="283"/>
        <w:jc w:val="both"/>
      </w:pPr>
      <w:r>
        <w:rPr>
          <w:rtl/>
        </w:rPr>
        <w:t xml:space="preserve">אם נכון הדיווח שגדולי תורה אלה פסלו את הסבא </w:t>
      </w:r>
      <w:proofErr w:type="spellStart"/>
      <w:r>
        <w:rPr>
          <w:rtl/>
        </w:rPr>
        <w:t>מסלבודקה</w:t>
      </w:r>
      <w:proofErr w:type="spellEnd"/>
      <w:r>
        <w:rPr>
          <w:rtl/>
        </w:rPr>
        <w:t xml:space="preserve"> ואת חבורתו, קל להבין מדוע לא יכול היה הסבא להתמנות לשום משרה בכולל קובנה. מה שקשה להבין הוא כיצד יכול היה ר׳ </w:t>
      </w:r>
      <w:proofErr w:type="spellStart"/>
      <w:r>
        <w:rPr>
          <w:rtl/>
        </w:rPr>
        <w:t>איצל׳ה</w:t>
      </w:r>
      <w:proofErr w:type="spellEnd"/>
      <w:r>
        <w:rPr>
          <w:rtl/>
        </w:rPr>
        <w:t xml:space="preserve"> </w:t>
      </w:r>
      <w:proofErr w:type="spellStart"/>
      <w:r>
        <w:rPr>
          <w:rtl/>
        </w:rPr>
        <w:t>בלאזר</w:t>
      </w:r>
      <w:proofErr w:type="spellEnd"/>
      <w:r>
        <w:rPr>
          <w:rtl/>
        </w:rPr>
        <w:t xml:space="preserve"> אפילו “להגניב” אותו להנהלה. זאת ועוד: אם אישים גדולים אלה, </w:t>
      </w:r>
      <w:r>
        <w:rPr>
          <w:b/>
          <w:bCs/>
          <w:rtl/>
        </w:rPr>
        <w:t xml:space="preserve">ובהם ר׳ ישראל </w:t>
      </w:r>
      <w:proofErr w:type="spellStart"/>
      <w:r>
        <w:rPr>
          <w:b/>
          <w:bCs/>
          <w:rtl/>
        </w:rPr>
        <w:t>סלנטר</w:t>
      </w:r>
      <w:proofErr w:type="spellEnd"/>
      <w:r>
        <w:rPr>
          <w:rtl/>
        </w:rPr>
        <w:t xml:space="preserve">, אכן סלדו מהתנהגות חבורת </w:t>
      </w:r>
      <w:proofErr w:type="spellStart"/>
      <w:r>
        <w:rPr>
          <w:rtl/>
        </w:rPr>
        <w:t>סלבודקה</w:t>
      </w:r>
      <w:proofErr w:type="spellEnd"/>
      <w:r>
        <w:rPr>
          <w:rtl/>
        </w:rPr>
        <w:t xml:space="preserve">, מדוע לא הוכיחו אותה בגלוי, </w:t>
      </w:r>
      <w:r>
        <w:rPr>
          <w:rtl/>
        </w:rPr>
        <w:lastRenderedPageBreak/>
        <w:t xml:space="preserve">כפי שהייתה ראויה לפי תיאורו של פרידמן את מעשיה? הלוא החשש </w:t>
      </w:r>
      <w:proofErr w:type="spellStart"/>
      <w:r>
        <w:rPr>
          <w:rtl/>
        </w:rPr>
        <w:t>מ“מחלוקת</w:t>
      </w:r>
      <w:proofErr w:type="spellEnd"/>
      <w:r>
        <w:rPr>
          <w:rtl/>
        </w:rPr>
        <w:t xml:space="preserve"> בישראל” לא היה ממתן את גינויה בפומבי. יתרה מזו, שום מחלוקת לא הייתה פורצת אילו יצא מייסד תנועת המוסר עצמו נגד חבורה המשחיתה את הרעיונות שהוא עצמו לימד.</w:t>
      </w:r>
    </w:p>
    <w:p w14:paraId="6DF81324" w14:textId="77777777" w:rsidR="00AB3647" w:rsidRDefault="00000000" w:rsidP="007923E9">
      <w:pPr>
        <w:spacing w:after="120" w:line="276" w:lineRule="auto"/>
        <w:ind w:firstLine="283"/>
        <w:jc w:val="both"/>
      </w:pPr>
      <w:r>
        <w:rPr>
          <w:rtl/>
        </w:rPr>
        <w:t xml:space="preserve">קושי נוסף עולה מטענת פרידמן שהניחו לחבורת </w:t>
      </w:r>
      <w:proofErr w:type="spellStart"/>
      <w:r>
        <w:rPr>
          <w:rtl/>
        </w:rPr>
        <w:t>סלבודקה</w:t>
      </w:r>
      <w:proofErr w:type="spellEnd"/>
      <w:r>
        <w:rPr>
          <w:rtl/>
        </w:rPr>
        <w:t xml:space="preserve"> (כפי שהודגש לעיל): החבורה נתמכה בפועל מכספי לחמן גם </w:t>
      </w:r>
      <w:r>
        <w:rPr>
          <w:b/>
          <w:bCs/>
          <w:rtl/>
        </w:rPr>
        <w:t>אחרי</w:t>
      </w:r>
      <w:r>
        <w:rPr>
          <w:rtl/>
        </w:rPr>
        <w:t xml:space="preserve"> שנוסד ארגון “כולל לתמיכת אברכים פרושים של קובנה” ונטל לידיו את השליטה בכספים! זהו סימן ברור לכך שלא ראו בחבורה סוטה ממטרות התורם. אומנם נכון שחבורת הכולל הצעירה </w:t>
      </w:r>
      <w:proofErr w:type="spellStart"/>
      <w:r>
        <w:rPr>
          <w:rtl/>
        </w:rPr>
        <w:t>בסלבודקה</w:t>
      </w:r>
      <w:proofErr w:type="spellEnd"/>
      <w:r>
        <w:rPr>
          <w:rtl/>
        </w:rPr>
        <w:t xml:space="preserve"> “עבדה על המוסר”, כעדותו של כץ, “תנועת המוסר”, כרך ב,</w:t>
      </w:r>
      <w:bookmarkStart w:id="2502" w:name="_fnr1652"/>
      <w:r>
        <w:rPr>
          <w:rStyle w:val="a5"/>
        </w:rPr>
        <w:footnoteReference w:id="1655" w:customMarkFollows="0"/>
      </w:r>
      <w:bookmarkEnd w:id="2502"/>
      <w:r>
        <w:rPr>
          <w:rtl/>
        </w:rPr>
        <w:t xml:space="preserve"> ונכון גם שהייתה התנגדות לכך שהכולל ייפול כולו תחת השפעת תנועת המוסר,</w:t>
      </w:r>
      <w:bookmarkStart w:id="2503" w:name="_fnr1653"/>
      <w:r>
        <w:rPr>
          <w:rStyle w:val="a5"/>
        </w:rPr>
        <w:footnoteReference w:id="1656" w:customMarkFollows="0"/>
      </w:r>
      <w:bookmarkEnd w:id="2503"/>
      <w:r>
        <w:rPr>
          <w:rtl/>
        </w:rPr>
        <w:t xml:space="preserve"> אבל כינוס גדולי התורה, שאכן התקיים, לא עסק בדיבה שבהשראת פרידמן, אלא במינוי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 הרשמי.</w:t>
      </w:r>
    </w:p>
    <w:p w14:paraId="61032E88" w14:textId="77777777" w:rsidR="00AB3647" w:rsidRDefault="00000000" w:rsidP="007923E9">
      <w:pPr>
        <w:spacing w:after="120" w:line="276" w:lineRule="auto"/>
        <w:ind w:firstLine="283"/>
        <w:jc w:val="both"/>
      </w:pPr>
      <w:r>
        <w:rPr>
          <w:rtl/>
        </w:rPr>
        <w:t xml:space="preserve">הבוז של פרידמן למוסר, הפורץ מכל פסקה שכתב, גרם לו לייחס למהלך האספה את נטיותיו שלו נגד המוסר, וליצור, </w:t>
      </w:r>
      <w:r>
        <w:rPr>
          <w:b/>
          <w:bCs/>
          <w:rtl/>
        </w:rPr>
        <w:t>בחצי לב</w:t>
      </w:r>
      <w:r>
        <w:rPr>
          <w:rtl/>
        </w:rPr>
        <w:t xml:space="preserve">, ציטוט מילולי כוזב של “ההחלטה” שהתקבלה בה. מרכז הכובד של הכולל עבר ממקום הולדתו, </w:t>
      </w:r>
      <w:proofErr w:type="spellStart"/>
      <w:r>
        <w:rPr>
          <w:rtl/>
        </w:rPr>
        <w:t>סלבודקה</w:t>
      </w:r>
      <w:proofErr w:type="spellEnd"/>
      <w:r>
        <w:rPr>
          <w:rtl/>
        </w:rPr>
        <w:t>, לקובנה, והכולל נודע כ</w:t>
      </w:r>
      <w:r>
        <w:rPr>
          <w:b/>
          <w:bCs/>
          <w:rtl/>
        </w:rPr>
        <w:t>כולל קובנה</w:t>
      </w:r>
      <w:r>
        <w:rPr>
          <w:rtl/>
        </w:rPr>
        <w:t xml:space="preserve"> (“כולל לתמיכת אברכים פרושים של קובנה”), לא בשל שום פסילה של הכולל המתהווה </w:t>
      </w:r>
      <w:proofErr w:type="spellStart"/>
      <w:r>
        <w:rPr>
          <w:rtl/>
        </w:rPr>
        <w:t>בסלבודקה</w:t>
      </w:r>
      <w:proofErr w:type="spellEnd"/>
      <w:r>
        <w:rPr>
          <w:rtl/>
        </w:rPr>
        <w:t xml:space="preserve">. הדבר נבע אך ורק מכך שר׳ </w:t>
      </w:r>
      <w:proofErr w:type="spellStart"/>
      <w:r>
        <w:rPr>
          <w:rtl/>
        </w:rPr>
        <w:t>יצחק־אלחנן</w:t>
      </w:r>
      <w:proofErr w:type="spellEnd"/>
      <w:r>
        <w:rPr>
          <w:rtl/>
        </w:rPr>
        <w:t>, רב קובנה שנודע בכל העולם, עמד בראשו.</w:t>
      </w:r>
    </w:p>
    <w:p w14:paraId="521D0B52"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2504" w:name="_fnr1654"/>
      <w:r>
        <w:rPr>
          <w:rStyle w:val="a5"/>
        </w:rPr>
        <w:footnoteReference w:id="1657" w:customMarkFollows="0"/>
      </w:r>
      <w:bookmarkEnd w:id="2504"/>
      <w:r>
        <w:rPr>
          <w:rtl/>
        </w:rPr>
        <w:t xml:space="preserve"> השולל אף הוא את אמינות עטו הארסי של פרידמן. אבל לדעתו, מטרתה העיקרית של האספה הייתה למצוא מקורות מימון נוספים למוסד ההולך ומתרחב. מטרה זו ודאי יכולה הייתה לעמוד </w:t>
      </w:r>
      <w:r>
        <w:rPr>
          <w:b/>
          <w:bCs/>
          <w:rtl/>
        </w:rPr>
        <w:t>מאחורי</w:t>
      </w:r>
      <w:r>
        <w:rPr>
          <w:rtl/>
        </w:rPr>
        <w:t xml:space="preserve"> מינויו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לראש הכולל.</w:t>
      </w:r>
    </w:p>
    <w:p w14:paraId="3F48228E" w14:textId="77777777" w:rsidR="00AB3647" w:rsidRDefault="00000000" w:rsidP="007923E9">
      <w:pPr>
        <w:spacing w:after="120" w:line="276" w:lineRule="auto"/>
        <w:ind w:firstLine="283"/>
        <w:jc w:val="both"/>
      </w:pPr>
      <w:r>
        <w:rPr>
          <w:rtl/>
        </w:rPr>
        <w:t xml:space="preserve">הקורא האמריקני ימצא עניין במכתב מניו יורק מאת שרגא </w:t>
      </w:r>
      <w:proofErr w:type="spellStart"/>
      <w:r>
        <w:rPr>
          <w:rtl/>
        </w:rPr>
        <w:t>פאבי</w:t>
      </w:r>
      <w:proofErr w:type="spellEnd"/>
      <w:r>
        <w:rPr>
          <w:rtl/>
        </w:rPr>
        <w:t xml:space="preserve"> </w:t>
      </w:r>
      <w:proofErr w:type="spellStart"/>
      <w:r>
        <w:rPr>
          <w:rtl/>
        </w:rPr>
        <w:t>שייטליס</w:t>
      </w:r>
      <w:proofErr w:type="spellEnd"/>
      <w:r>
        <w:rPr>
          <w:rtl/>
        </w:rPr>
        <w:t xml:space="preserve">, שנדפס </w:t>
      </w:r>
      <w:proofErr w:type="spellStart"/>
      <w:r>
        <w:rPr>
          <w:rtl/>
        </w:rPr>
        <w:t>ב“המליץ</w:t>
      </w:r>
      <w:proofErr w:type="spellEnd"/>
      <w:r>
        <w:rPr>
          <w:rtl/>
        </w:rPr>
        <w:t>”,</w:t>
      </w:r>
      <w:bookmarkStart w:id="2505" w:name="_fnr1655"/>
      <w:r>
        <w:rPr>
          <w:rStyle w:val="a5"/>
        </w:rPr>
        <w:footnoteReference w:id="1658" w:customMarkFollows="0"/>
      </w:r>
      <w:bookmarkEnd w:id="2505"/>
      <w:r>
        <w:rPr>
          <w:rtl/>
        </w:rPr>
        <w:t xml:space="preserve"> ובו נאמר: “כשהמתפללים מבין המהגרים היהודים מפולין ומרוסיה באמריקה עולים לתורה בשבתות ובחגים, הם נודבים</w:t>
      </w:r>
      <w:bookmarkStart w:id="2506" w:name="_fnr1656"/>
      <w:r>
        <w:rPr>
          <w:rStyle w:val="a5"/>
        </w:rPr>
        <w:footnoteReference w:id="1659" w:customMarkFollows="0"/>
      </w:r>
      <w:bookmarkEnd w:id="2506"/>
      <w:r>
        <w:rPr>
          <w:rtl/>
        </w:rPr>
        <w:t xml:space="preserve"> לשלוחים של ישיבות </w:t>
      </w:r>
      <w:proofErr w:type="spellStart"/>
      <w:r>
        <w:rPr>
          <w:rtl/>
        </w:rPr>
        <w:t>וולוז׳ין</w:t>
      </w:r>
      <w:proofErr w:type="spellEnd"/>
      <w:r>
        <w:rPr>
          <w:rtl/>
        </w:rPr>
        <w:t xml:space="preserve"> </w:t>
      </w:r>
      <w:proofErr w:type="spellStart"/>
      <w:r>
        <w:rPr>
          <w:rtl/>
        </w:rPr>
        <w:t>ומיר</w:t>
      </w:r>
      <w:proofErr w:type="spellEnd"/>
      <w:r>
        <w:rPr>
          <w:rtl/>
        </w:rPr>
        <w:t>, ויש גם שאוספים נדבות לכולל הפרושים בקובנה”.</w:t>
      </w:r>
      <w:bookmarkStart w:id="2507" w:name="_fnr1657"/>
      <w:r>
        <w:rPr>
          <w:rStyle w:val="a5"/>
        </w:rPr>
        <w:footnoteReference w:id="1660" w:customMarkFollows="0"/>
      </w:r>
      <w:bookmarkEnd w:id="2507"/>
      <w:r>
        <w:rPr>
          <w:rtl/>
        </w:rPr>
        <w:t xml:space="preserve"> הכותב ממשיך ומתלונן: “הלא חרפה היא לאחינו ברוסיה שאינם יכולים בעצמם לספק את כל מחייתם של הבתים האלה שמהם יוצאת תורה והוראה – על ידי תלמידים מוסמכים הראויים לשבת על כסאות הרבנות בארצם – עד שצריך לשלוח שלוחים אל מעבר לים לאסוף סכומי כסף עצומים, שהרבה מהם הולך להוצאות </w:t>
      </w:r>
      <w:r>
        <w:rPr>
          <w:rtl/>
        </w:rPr>
        <w:lastRenderedPageBreak/>
        <w:t>הדרך ולשכר השליח?!”. המכתב שנדפס מלמד שכבר בתקופה מוקדמת זו של קיום הכולל נשלחו משולחים לאמריקה לגייס כספים מבין המהגרים היהודים שזה עתה הגיעו!</w:t>
      </w:r>
    </w:p>
    <w:p w14:paraId="4D626C4A" w14:textId="77777777" w:rsidR="00AB3647" w:rsidRDefault="00000000" w:rsidP="007923E9">
      <w:pPr>
        <w:spacing w:after="120" w:line="276" w:lineRule="auto"/>
        <w:ind w:firstLine="283"/>
        <w:jc w:val="both"/>
      </w:pPr>
      <w:r>
        <w:rPr>
          <w:rtl/>
        </w:rPr>
        <w:t xml:space="preserve">משולחים נשלחו לאמריקה מארץ ישראל כבר בשנת תקי״ד, אבל אלה גייסו כספים לקהילות בכללן – ליישוב, לא לישיבות. משולח מישיבת בית אל בירושלים אכן בא לאמריקה בשנת תר״ח, לפי מגילה מעוטרת שבידי ד״ר מנפרד ר. להמן, שתיאר אותה בטורו </w:t>
      </w:r>
      <w:proofErr w:type="spellStart"/>
      <w:r>
        <w:rPr>
          <w:rtl/>
        </w:rPr>
        <w:t>ב“אלגמיינער</w:t>
      </w:r>
      <w:proofErr w:type="spellEnd"/>
      <w:r>
        <w:rPr>
          <w:rtl/>
        </w:rPr>
        <w:t xml:space="preserve"> </w:t>
      </w:r>
      <w:proofErr w:type="spellStart"/>
      <w:r>
        <w:rPr>
          <w:rtl/>
        </w:rPr>
        <w:t>זשורנאל</w:t>
      </w:r>
      <w:proofErr w:type="spellEnd"/>
      <w:r>
        <w:rPr>
          <w:rtl/>
        </w:rPr>
        <w:t>”.</w:t>
      </w:r>
      <w:bookmarkStart w:id="2508" w:name="_fnr1658"/>
      <w:r>
        <w:rPr>
          <w:rStyle w:val="a5"/>
        </w:rPr>
        <w:footnoteReference w:id="1661" w:customMarkFollows="0"/>
      </w:r>
      <w:bookmarkEnd w:id="2508"/>
      <w:r>
        <w:rPr>
          <w:rtl/>
        </w:rPr>
        <w:t xml:space="preserve"> שם השליח היה ר׳ יחיאל הכהן, והוא הגיע עם מכתב המלצה משבעה רבנים מן הגדולים. אבל הוא נשלח אל </w:t>
      </w:r>
      <w:r>
        <w:rPr>
          <w:b/>
          <w:bCs/>
          <w:rtl/>
        </w:rPr>
        <w:t>הקהילה הספרדית</w:t>
      </w:r>
      <w:r>
        <w:rPr>
          <w:rtl/>
        </w:rPr>
        <w:t xml:space="preserve"> בניו יורק. “ארצות החיים” מאת דוב בער </w:t>
      </w:r>
      <w:proofErr w:type="spellStart"/>
      <w:r>
        <w:rPr>
          <w:rtl/>
        </w:rPr>
        <w:t>שווארץ</w:t>
      </w:r>
      <w:bookmarkStart w:id="2509" w:name="_fnr1659"/>
      <w:proofErr w:type="spellEnd"/>
      <w:r>
        <w:rPr>
          <w:rStyle w:val="a5"/>
        </w:rPr>
        <w:footnoteReference w:id="1662" w:customMarkFollows="0"/>
      </w:r>
      <w:bookmarkEnd w:id="2509"/>
      <w:r>
        <w:rPr>
          <w:rtl/>
        </w:rPr>
        <w:t xml:space="preserve"> מזכיר משולח אחר, ר׳ </w:t>
      </w:r>
      <w:proofErr w:type="spellStart"/>
      <w:r>
        <w:rPr>
          <w:rtl/>
        </w:rPr>
        <w:t>שאול־בנימין</w:t>
      </w:r>
      <w:proofErr w:type="spellEnd"/>
      <w:r>
        <w:rPr>
          <w:rtl/>
        </w:rPr>
        <w:t xml:space="preserve"> </w:t>
      </w:r>
      <w:proofErr w:type="spellStart"/>
      <w:r>
        <w:rPr>
          <w:rtl/>
        </w:rPr>
        <w:t>הכהן־קרליץ</w:t>
      </w:r>
      <w:proofErr w:type="spellEnd"/>
      <w:r>
        <w:rPr>
          <w:rtl/>
        </w:rPr>
        <w:t xml:space="preserve">, שבא בשנת תרל״א מירושלים מטעם תלמוד תורה עץ חיים. גם “פנחס </w:t>
      </w:r>
      <w:proofErr w:type="spellStart"/>
      <w:r>
        <w:rPr>
          <w:rtl/>
        </w:rPr>
        <w:t>חורגין</w:t>
      </w:r>
      <w:proofErr w:type="spellEnd"/>
      <w:r>
        <w:rPr>
          <w:rtl/>
        </w:rPr>
        <w:t xml:space="preserve"> – </w:t>
      </w:r>
      <w:proofErr w:type="spellStart"/>
      <w:r>
        <w:rPr>
          <w:rtl/>
        </w:rPr>
        <w:t>חזון</w:t>
      </w:r>
      <w:proofErr w:type="spellEnd"/>
      <w:r>
        <w:rPr>
          <w:rtl/>
        </w:rPr>
        <w:t xml:space="preserve"> ומורשת”</w:t>
      </w:r>
      <w:bookmarkStart w:id="2510" w:name="_fnr1660"/>
      <w:r>
        <w:rPr>
          <w:rStyle w:val="a5"/>
        </w:rPr>
        <w:footnoteReference w:id="1663" w:customMarkFollows="0"/>
      </w:r>
      <w:bookmarkEnd w:id="2510"/>
      <w:r>
        <w:rPr>
          <w:rtl/>
        </w:rPr>
        <w:t xml:space="preserve"> מספר, בפרק שכותרתו “ציונים בדרך חייו”: “סבו מצד </w:t>
      </w:r>
      <w:proofErr w:type="spellStart"/>
      <w:r>
        <w:rPr>
          <w:rtl/>
        </w:rPr>
        <w:t>אמו</w:t>
      </w:r>
      <w:proofErr w:type="spellEnd"/>
      <w:r>
        <w:rPr>
          <w:rtl/>
        </w:rPr>
        <w:t xml:space="preserve"> [של ד״ר פנחס </w:t>
      </w:r>
      <w:proofErr w:type="spellStart"/>
      <w:r>
        <w:rPr>
          <w:rtl/>
        </w:rPr>
        <w:t>חורגין</w:t>
      </w:r>
      <w:proofErr w:type="spellEnd"/>
      <w:r>
        <w:rPr>
          <w:rtl/>
        </w:rPr>
        <w:t xml:space="preserve">], ר׳ משה־צבי </w:t>
      </w:r>
      <w:proofErr w:type="spellStart"/>
      <w:r>
        <w:rPr>
          <w:rtl/>
        </w:rPr>
        <w:t>הוכשטיין</w:t>
      </w:r>
      <w:proofErr w:type="spellEnd"/>
      <w:r>
        <w:rPr>
          <w:rtl/>
        </w:rPr>
        <w:t xml:space="preserve">, חי באמריקה ושימש שד״ר לישיבת </w:t>
      </w:r>
      <w:proofErr w:type="spellStart"/>
      <w:r>
        <w:rPr>
          <w:rtl/>
        </w:rPr>
        <w:t>מיר</w:t>
      </w:r>
      <w:proofErr w:type="spellEnd"/>
      <w:r>
        <w:rPr>
          <w:rtl/>
        </w:rPr>
        <w:t xml:space="preserve"> בשנות השמונים של המאה הקודמת [שנות </w:t>
      </w:r>
      <w:proofErr w:type="spellStart"/>
      <w:r>
        <w:rPr>
          <w:rtl/>
        </w:rPr>
        <w:t xml:space="preserve">התר״מ</w:t>
      </w:r>
      <w:proofErr w:type="spellEnd"/>
      <w:r>
        <w:rPr>
          <w:rtl/>
        </w:rPr>
        <w:t xml:space="preserve">]”.</w:t>
      </w:r>
    </w:p>
    <w:p w14:paraId="53E13064" w14:textId="77777777" w:rsidR="00AB3647" w:rsidRDefault="00000000" w:rsidP="007923E9">
      <w:pPr>
        <w:spacing w:after="120" w:line="276" w:lineRule="auto"/>
        <w:ind w:firstLine="283"/>
        <w:jc w:val="both"/>
      </w:pPr>
      <w:r>
        <w:rPr>
          <w:rtl/>
        </w:rPr>
        <w:t>דוגמה נוספת לתקופה המוקדמת של גיוס כספים באמריקה בידי ישיבות ליטא נמצאת במכתב מתאריך תרמ״ט.</w:t>
      </w:r>
      <w:bookmarkStart w:id="2511" w:name="_fnr1661"/>
      <w:r>
        <w:rPr>
          <w:rStyle w:val="a5"/>
        </w:rPr>
        <w:footnoteReference w:id="1664" w:customMarkFollows="0"/>
      </w:r>
      <w:bookmarkEnd w:id="2511"/>
      <w:r>
        <w:rPr>
          <w:rtl/>
        </w:rPr>
        <w:t xml:space="preserve"> במכתב זה פסק ר׳ </w:t>
      </w:r>
      <w:proofErr w:type="spellStart"/>
      <w:r>
        <w:rPr>
          <w:rtl/>
        </w:rPr>
        <w:t>יצחק־אלחנן</w:t>
      </w:r>
      <w:proofErr w:type="spellEnd"/>
      <w:r>
        <w:rPr>
          <w:rtl/>
        </w:rPr>
        <w:t xml:space="preserve"> </w:t>
      </w:r>
      <w:proofErr w:type="spellStart"/>
      <w:r>
        <w:rPr>
          <w:rtl/>
        </w:rPr>
        <w:t>ספקטור</w:t>
      </w:r>
      <w:proofErr w:type="spellEnd"/>
      <w:r>
        <w:rPr>
          <w:rtl/>
        </w:rPr>
        <w:t xml:space="preserve">, רב קובנה, </w:t>
      </w:r>
      <w:proofErr w:type="spellStart"/>
      <w:r>
        <w:rPr>
          <w:rtl/>
        </w:rPr>
        <w:t>לר</w:t>
      </w:r>
      <w:proofErr w:type="spellEnd"/>
      <w:r>
        <w:rPr>
          <w:rtl/>
        </w:rPr>
        <w:t xml:space="preserve">׳ </w:t>
      </w:r>
      <w:proofErr w:type="spellStart"/>
      <w:r>
        <w:rPr>
          <w:rtl/>
        </w:rPr>
        <w:t>ליפל׳ה</w:t>
      </w:r>
      <w:proofErr w:type="spellEnd"/>
      <w:r>
        <w:rPr>
          <w:rtl/>
        </w:rPr>
        <w:t xml:space="preserve"> </w:t>
      </w:r>
      <w:proofErr w:type="spellStart"/>
      <w:r>
        <w:rPr>
          <w:rtl/>
        </w:rPr>
        <w:t>בסלבסקי</w:t>
      </w:r>
      <w:proofErr w:type="spellEnd"/>
      <w:r>
        <w:rPr>
          <w:rtl/>
        </w:rPr>
        <w:t xml:space="preserve"> </w:t>
      </w:r>
      <w:proofErr w:type="spellStart"/>
      <w:r>
        <w:rPr>
          <w:rtl/>
        </w:rPr>
        <w:t>ולר</w:t>
      </w:r>
      <w:proofErr w:type="spellEnd"/>
      <w:r>
        <w:rPr>
          <w:rtl/>
        </w:rPr>
        <w:t xml:space="preserve">׳ </w:t>
      </w:r>
      <w:proofErr w:type="spellStart"/>
      <w:r>
        <w:rPr>
          <w:rtl/>
        </w:rPr>
        <w:t>חיים־לייב</w:t>
      </w:r>
      <w:proofErr w:type="spellEnd"/>
      <w:r>
        <w:rPr>
          <w:rtl/>
        </w:rPr>
        <w:t xml:space="preserve"> </w:t>
      </w:r>
      <w:proofErr w:type="spellStart"/>
      <w:r>
        <w:rPr>
          <w:rtl/>
        </w:rPr>
        <w:t>טיקטינסקי</w:t>
      </w:r>
      <w:proofErr w:type="spellEnd"/>
      <w:r>
        <w:rPr>
          <w:rtl/>
        </w:rPr>
        <w:t xml:space="preserve">, רבה וראש ישיבתה של </w:t>
      </w:r>
      <w:proofErr w:type="spellStart"/>
      <w:r>
        <w:rPr>
          <w:rtl/>
        </w:rPr>
        <w:t>מיר</w:t>
      </w:r>
      <w:proofErr w:type="spellEnd"/>
      <w:r>
        <w:rPr>
          <w:rtl/>
        </w:rPr>
        <w:t xml:space="preserve"> בהתאמה, בוויכוח על חלוקת </w:t>
      </w:r>
      <w:proofErr w:type="spellStart"/>
      <w:r>
        <w:rPr>
          <w:rtl/>
        </w:rPr>
        <w:t>פושקעס</w:t>
      </w:r>
      <w:proofErr w:type="spellEnd"/>
      <w:r>
        <w:rPr>
          <w:rtl/>
        </w:rPr>
        <w:t xml:space="preserve"> במקומות שכבר היו בהם קופות צדקה למוסדות ארץ ישראל. הוא קבע: “צדקות כמו ישיבת </w:t>
      </w:r>
      <w:proofErr w:type="spellStart"/>
      <w:r>
        <w:rPr>
          <w:rtl/>
        </w:rPr>
        <w:t>מיר</w:t>
      </w:r>
      <w:proofErr w:type="spellEnd"/>
      <w:r>
        <w:rPr>
          <w:rtl/>
        </w:rPr>
        <w:t xml:space="preserve"> וישיבת </w:t>
      </w:r>
      <w:proofErr w:type="spellStart"/>
      <w:r>
        <w:rPr>
          <w:rtl/>
        </w:rPr>
        <w:t>וולוז׳ין</w:t>
      </w:r>
      <w:proofErr w:type="spellEnd"/>
      <w:r>
        <w:rPr>
          <w:rtl/>
        </w:rPr>
        <w:t xml:space="preserve">, שכבר סידרו העמדת </w:t>
      </w:r>
      <w:proofErr w:type="spellStart"/>
      <w:r>
        <w:rPr>
          <w:rtl/>
        </w:rPr>
        <w:t>פוסקעס</w:t>
      </w:r>
      <w:proofErr w:type="spellEnd"/>
      <w:r>
        <w:rPr>
          <w:rtl/>
        </w:rPr>
        <w:t xml:space="preserve"> [כך במקור, בהגייה </w:t>
      </w:r>
      <w:proofErr w:type="spellStart"/>
      <w:r>
        <w:rPr>
          <w:rtl/>
        </w:rPr>
        <w:t>הזאמוטית</w:t>
      </w:r>
      <w:proofErr w:type="spellEnd"/>
      <w:r>
        <w:rPr>
          <w:rtl/>
        </w:rPr>
        <w:t xml:space="preserve"> שהוגה שי״ן </w:t>
      </w:r>
      <w:proofErr w:type="spellStart"/>
      <w:r>
        <w:rPr>
          <w:rtl/>
        </w:rPr>
        <w:t>כסי״ן</w:t>
      </w:r>
      <w:proofErr w:type="spellEnd"/>
      <w:r>
        <w:rPr>
          <w:rtl/>
        </w:rPr>
        <w:t xml:space="preserve">] </w:t>
      </w:r>
      <w:r>
        <w:rPr>
          <w:b/>
          <w:bCs/>
          <w:rtl/>
        </w:rPr>
        <w:t>באמריקה</w:t>
      </w:r>
      <w:r>
        <w:rPr>
          <w:rtl/>
        </w:rPr>
        <w:t xml:space="preserve">, אינן בכלל הגזירה [שלא להעמיד </w:t>
      </w:r>
      <w:proofErr w:type="spellStart"/>
      <w:r>
        <w:rPr>
          <w:rtl/>
        </w:rPr>
        <w:t>פושקעס</w:t>
      </w:r>
      <w:proofErr w:type="spellEnd"/>
      <w:r>
        <w:rPr>
          <w:rtl/>
        </w:rPr>
        <w:t>, ו]</w:t>
      </w:r>
      <w:proofErr w:type="spellStart"/>
      <w:r>
        <w:rPr>
          <w:rtl/>
        </w:rPr>
        <w:t>רשאות</w:t>
      </w:r>
      <w:proofErr w:type="spellEnd"/>
      <w:r>
        <w:rPr>
          <w:rtl/>
        </w:rPr>
        <w:t xml:space="preserve"> להחזיק את </w:t>
      </w:r>
      <w:proofErr w:type="spellStart"/>
      <w:r>
        <w:rPr>
          <w:rtl/>
        </w:rPr>
        <w:t>הפוסקעס</w:t>
      </w:r>
      <w:proofErr w:type="spellEnd"/>
      <w:r>
        <w:rPr>
          <w:rtl/>
        </w:rPr>
        <w:t xml:space="preserve"> וגם לחזק מעתה את הצדקות של הישיבות על ידי </w:t>
      </w:r>
      <w:proofErr w:type="spellStart"/>
      <w:r>
        <w:rPr>
          <w:rtl/>
        </w:rPr>
        <w:t>פוסקעס</w:t>
      </w:r>
      <w:proofErr w:type="spellEnd"/>
      <w:r>
        <w:rPr>
          <w:rtl/>
        </w:rPr>
        <w:t>”. לפי דיווחו של ר׳ שמואל שכטר,</w:t>
      </w:r>
      <w:bookmarkStart w:id="2512" w:name="_fnr1662"/>
      <w:r>
        <w:rPr>
          <w:rStyle w:val="a5"/>
        </w:rPr>
        <w:footnoteReference w:id="1665" w:customMarkFollows="0"/>
      </w:r>
      <w:bookmarkEnd w:id="2512"/>
      <w:r>
        <w:rPr>
          <w:rtl/>
        </w:rPr>
        <w:t xml:space="preserve"> שלחה ישיבת </w:t>
      </w:r>
      <w:proofErr w:type="spellStart"/>
      <w:r>
        <w:rPr>
          <w:rtl/>
        </w:rPr>
        <w:t>וולוז׳ין</w:t>
      </w:r>
      <w:proofErr w:type="spellEnd"/>
      <w:r>
        <w:rPr>
          <w:rtl/>
        </w:rPr>
        <w:t xml:space="preserve"> את אבי חמותו, ר׳ </w:t>
      </w:r>
      <w:proofErr w:type="spellStart"/>
      <w:r>
        <w:rPr>
          <w:rtl/>
        </w:rPr>
        <w:t>שלום־אליעזר</w:t>
      </w:r>
      <w:proofErr w:type="spellEnd"/>
      <w:r>
        <w:rPr>
          <w:rtl/>
        </w:rPr>
        <w:t xml:space="preserve"> </w:t>
      </w:r>
      <w:proofErr w:type="spellStart"/>
      <w:r>
        <w:rPr>
          <w:rtl/>
        </w:rPr>
        <w:t>רוגוזין</w:t>
      </w:r>
      <w:proofErr w:type="spellEnd"/>
      <w:r>
        <w:rPr>
          <w:rtl/>
        </w:rPr>
        <w:t>, לאמריקה כדי להקים משרד לגיוס כספים, זמן קצר לפני שנסגרה הישיבה, בשנת תרנ״ב.</w:t>
      </w:r>
      <w:bookmarkStart w:id="2513" w:name="_fnr1663"/>
      <w:r>
        <w:rPr>
          <w:rStyle w:val="a5"/>
        </w:rPr>
        <w:footnoteReference w:id="1666" w:customMarkFollows="0"/>
      </w:r>
      <w:bookmarkEnd w:id="2513"/>
    </w:p>
    <w:p w14:paraId="010A608C" w14:textId="164ABA39" w:rsidR="00AB3647" w:rsidRDefault="00000000" w:rsidP="007923E9">
      <w:pPr>
        <w:spacing w:after="120" w:line="276" w:lineRule="auto"/>
        <w:ind w:firstLine="283"/>
        <w:jc w:val="both"/>
      </w:pPr>
      <w:r>
        <w:rPr>
          <w:rtl/>
        </w:rPr>
        <w:t>אגב, מכתב שכותרתו “לשאלת הרבנות בארץ רוסיה” מאת “</w:t>
      </w:r>
      <w:proofErr w:type="spellStart"/>
      <w:r>
        <w:rPr>
          <w:rtl/>
        </w:rPr>
        <w:t>אבגד</w:t>
      </w:r>
      <w:proofErr w:type="spellEnd"/>
      <w:r>
        <w:rPr>
          <w:rtl/>
        </w:rPr>
        <w:t xml:space="preserve"> </w:t>
      </w:r>
      <w:proofErr w:type="spellStart"/>
      <w:r>
        <w:rPr>
          <w:rtl/>
        </w:rPr>
        <w:t>אדרעי</w:t>
      </w:r>
      <w:proofErr w:type="spellEnd"/>
      <w:r>
        <w:rPr>
          <w:rtl/>
        </w:rPr>
        <w:t xml:space="preserve">” (כינויו של אלתר </w:t>
      </w:r>
      <w:proofErr w:type="spellStart"/>
      <w:r>
        <w:rPr>
          <w:rtl/>
        </w:rPr>
        <w:t>דרויאנוב</w:t>
      </w:r>
      <w:proofErr w:type="spellEnd"/>
      <w:r>
        <w:rPr>
          <w:rtl/>
        </w:rPr>
        <w:t>)</w:t>
      </w:r>
      <w:bookmarkStart w:id="2514" w:name="_fnr1664"/>
      <w:r>
        <w:rPr>
          <w:rStyle w:val="a5"/>
        </w:rPr>
        <w:footnoteReference w:id="1667" w:customMarkFollows="0"/>
      </w:r>
      <w:bookmarkEnd w:id="2514"/>
      <w:r>
        <w:rPr>
          <w:rtl/>
        </w:rPr>
        <w:t xml:space="preserve"> נשלח </w:t>
      </w:r>
      <w:proofErr w:type="spellStart"/>
      <w:r>
        <w:rPr>
          <w:rtl/>
        </w:rPr>
        <w:t>ל“תלפיות</w:t>
      </w:r>
      <w:proofErr w:type="spellEnd"/>
      <w:r>
        <w:rPr>
          <w:rtl/>
        </w:rPr>
        <w:t>”</w:t>
      </w:r>
      <w:bookmarkStart w:id="2515" w:name="_fnr1665"/>
      <w:r>
        <w:rPr>
          <w:rStyle w:val="a5"/>
        </w:rPr>
        <w:footnoteReference w:id="1668" w:customMarkFollows="0"/>
      </w:r>
      <w:bookmarkEnd w:id="2515"/>
      <w:r>
        <w:rPr>
          <w:rtl/>
        </w:rPr>
        <w:t xml:space="preserve"> ונדפס גם </w:t>
      </w:r>
      <w:proofErr w:type="spellStart"/>
      <w:r>
        <w:rPr>
          <w:rtl/>
        </w:rPr>
        <w:t>ב“המליץ</w:t>
      </w:r>
      <w:proofErr w:type="spellEnd"/>
      <w:r>
        <w:rPr>
          <w:rtl/>
        </w:rPr>
        <w:t xml:space="preserve">”. תאריכו מאוחר בשמונה שנים מן המכתב האמריקני שהובא לעיל </w:t>
      </w:r>
      <w:proofErr w:type="spellStart"/>
      <w:r>
        <w:rPr>
          <w:rtl/>
        </w:rPr>
        <w:t>מ“המליץ</w:t>
      </w:r>
      <w:proofErr w:type="spellEnd"/>
      <w:r>
        <w:rPr>
          <w:rtl/>
        </w:rPr>
        <w:t xml:space="preserve">”, כלומר שנה </w:t>
      </w:r>
      <w:r>
        <w:rPr>
          <w:b/>
          <w:bCs/>
          <w:rtl/>
        </w:rPr>
        <w:t xml:space="preserve">אחרי שנסגרה ישיבת </w:t>
      </w:r>
      <w:proofErr w:type="spellStart"/>
      <w:r>
        <w:rPr>
          <w:b/>
          <w:bCs/>
          <w:rtl/>
        </w:rPr>
        <w:t>וולוז׳ין</w:t>
      </w:r>
      <w:proofErr w:type="spellEnd"/>
      <w:r>
        <w:rPr>
          <w:rtl/>
        </w:rPr>
        <w:t xml:space="preserve">. בין השאר מתלונן הכותב על ריבוי המשולחים בערי </w:t>
      </w:r>
      <w:r>
        <w:rPr>
          <w:b/>
          <w:bCs/>
          <w:rtl/>
        </w:rPr>
        <w:t>רוסיה</w:t>
      </w:r>
      <w:r>
        <w:rPr>
          <w:rtl/>
        </w:rPr>
        <w:t>, ומונה את הישיבות שעבורן הם אוספים בסדר זה: “</w:t>
      </w:r>
      <w:r>
        <w:rPr>
          <w:b/>
          <w:bCs/>
          <w:rtl/>
        </w:rPr>
        <w:t>קובנה</w:t>
      </w:r>
      <w:r>
        <w:rPr>
          <w:rtl/>
        </w:rPr>
        <w:t xml:space="preserve">, </w:t>
      </w:r>
      <w:proofErr w:type="spellStart"/>
      <w:r>
        <w:rPr>
          <w:rtl/>
        </w:rPr>
        <w:t>מיר</w:t>
      </w:r>
      <w:proofErr w:type="spellEnd"/>
      <w:r>
        <w:rPr>
          <w:rtl/>
        </w:rPr>
        <w:t xml:space="preserve">, </w:t>
      </w:r>
      <w:proofErr w:type="spellStart"/>
      <w:r>
        <w:rPr>
          <w:b/>
          <w:bCs/>
          <w:rtl/>
        </w:rPr>
        <w:t>וולוז׳ין</w:t>
      </w:r>
      <w:proofErr w:type="spellEnd"/>
      <w:r>
        <w:rPr>
          <w:rtl/>
        </w:rPr>
        <w:t xml:space="preserve"> (ההדגשה שלי), </w:t>
      </w:r>
      <w:proofErr w:type="spellStart"/>
      <w:r>
        <w:rPr>
          <w:rtl/>
        </w:rPr>
        <w:t>טלז</w:t>
      </w:r>
      <w:proofErr w:type="spellEnd"/>
      <w:r>
        <w:rPr>
          <w:rtl/>
        </w:rPr>
        <w:t xml:space="preserve">, </w:t>
      </w:r>
      <w:proofErr w:type="spellStart"/>
      <w:r>
        <w:rPr>
          <w:rtl/>
        </w:rPr>
        <w:t>לומז׳ה</w:t>
      </w:r>
      <w:proofErr w:type="spellEnd"/>
      <w:r>
        <w:rPr>
          <w:rtl/>
        </w:rPr>
        <w:t xml:space="preserve"> ועוד”. לא היה זה בלתי </w:t>
      </w:r>
      <w:r>
        <w:rPr>
          <w:rtl/>
        </w:rPr>
        <w:lastRenderedPageBreak/>
        <w:t xml:space="preserve">אפשרי לאסוף כספים עבור ישיבת </w:t>
      </w:r>
      <w:proofErr w:type="spellStart"/>
      <w:r>
        <w:rPr>
          <w:rtl/>
        </w:rPr>
        <w:t>וולוז׳ין</w:t>
      </w:r>
      <w:proofErr w:type="spellEnd"/>
      <w:r>
        <w:rPr>
          <w:rtl/>
        </w:rPr>
        <w:t xml:space="preserve"> לאחר שחדלה לפעול, משום שהיו חובות לפרוע, ומשום התוכניות לפתוח אותה מחדש, כמבואר ב</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w:t>
      </w:r>
    </w:p>
    <w:p w14:paraId="062683C6" w14:textId="4BD6E35D" w:rsidR="00AB3647" w:rsidRDefault="00000000" w:rsidP="007923E9">
      <w:pPr>
        <w:spacing w:after="120" w:line="276" w:lineRule="auto"/>
        <w:ind w:firstLine="283"/>
        <w:jc w:val="both"/>
      </w:pPr>
      <w:r>
        <w:rPr>
          <w:rtl/>
        </w:rPr>
        <w:t xml:space="preserve">בלשונו של </w:t>
      </w:r>
      <w:proofErr w:type="spellStart"/>
      <w:r>
        <w:rPr>
          <w:rtl/>
        </w:rPr>
        <w:t>דרויאנוב</w:t>
      </w:r>
      <w:proofErr w:type="spellEnd"/>
      <w:r>
        <w:rPr>
          <w:rtl/>
        </w:rPr>
        <w:t xml:space="preserve">, “ישיבת קובנה” מוכרחת להיות </w:t>
      </w:r>
      <w:r>
        <w:rPr>
          <w:b/>
          <w:bCs/>
          <w:rtl/>
        </w:rPr>
        <w:t>יחידה אחת</w:t>
      </w:r>
      <w:r>
        <w:rPr>
          <w:rtl/>
        </w:rPr>
        <w:t xml:space="preserve">, שכללה </w:t>
      </w:r>
      <w:r>
        <w:rPr>
          <w:b/>
          <w:bCs/>
          <w:rtl/>
        </w:rPr>
        <w:t>גם</w:t>
      </w:r>
      <w:r>
        <w:rPr>
          <w:rtl/>
        </w:rPr>
        <w:t xml:space="preserve"> את הישיבה שייסד הסבא </w:t>
      </w:r>
      <w:proofErr w:type="spellStart"/>
      <w:r>
        <w:rPr>
          <w:rtl/>
        </w:rPr>
        <w:t>בסלבודקה</w:t>
      </w:r>
      <w:proofErr w:type="spellEnd"/>
      <w:r>
        <w:rPr>
          <w:rtl/>
        </w:rPr>
        <w:t xml:space="preserve"> </w:t>
      </w:r>
      <w:r>
        <w:rPr>
          <w:b/>
          <w:bCs/>
          <w:rtl/>
        </w:rPr>
        <w:t>וגם</w:t>
      </w:r>
      <w:r>
        <w:rPr>
          <w:rtl/>
        </w:rPr>
        <w:t xml:space="preserve"> את כולל הפרושים. שהישיבה נכללת בה ניכר משימושו במונח “ישיבה”, ומטענתו </w:t>
      </w:r>
      <w:proofErr w:type="spellStart"/>
      <w:r>
        <w:rPr>
          <w:rtl/>
        </w:rPr>
        <w:t>ש“ישיבת</w:t>
      </w:r>
      <w:proofErr w:type="spellEnd"/>
      <w:r>
        <w:rPr>
          <w:rtl/>
        </w:rPr>
        <w:t xml:space="preserve"> קובנה נקראת עץ חיים” – שם שאינו יכול להיות אלא שם שקיבלה הישיבה, לא הכולל, כמו שיתבאר ב</w:t>
      </w:r>
      <w:r>
        <w:rPr>
          <w:rtl/>
        </w:rPr>
        <w:fldChar w:fldCharType="begin" w:dirty="true"/>
      </w:r>
      <w:r>
        <w:rPr>
          <w:rtl/>
        </w:rPr>
        <w:instrText xml:space="preserve"> REF b3_excF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להלן.</w:t>
      </w:r>
    </w:p>
    <w:p w14:paraId="0E99FD27" w14:textId="77777777" w:rsidR="00AB3647" w:rsidRDefault="00000000" w:rsidP="007923E9">
      <w:pPr>
        <w:spacing w:after="120" w:line="276" w:lineRule="auto"/>
        <w:ind w:firstLine="283"/>
        <w:jc w:val="both"/>
      </w:pPr>
      <w:r>
        <w:rPr>
          <w:rtl/>
        </w:rPr>
        <w:t>שהכולל נכלל בה ניכר מן המשפט שהכותב הביא בסוגריים בפסקתו הארוכה המשמיצה את ישיבת קובנה, וזו לשונו: “כאן המקום להעיר שלא כל בני ישיבת קובנה לומדים בקובנה, כי רבים מהם לומדים בעריהם או בעיר אחרת ומקבלים את מחייתם מקופת הישיבה בתנאי שילמדו מוסר בכל יום”.</w:t>
      </w:r>
      <w:bookmarkStart w:id="2516" w:name="_fnr1666"/>
      <w:r>
        <w:rPr>
          <w:rStyle w:val="a5"/>
        </w:rPr>
        <w:footnoteReference w:id="1669" w:customMarkFollows="0"/>
      </w:r>
      <w:bookmarkEnd w:id="2516"/>
      <w:r>
        <w:rPr>
          <w:rtl/>
        </w:rPr>
        <w:t xml:space="preserve"> משפט זה אינו יכול לתאר אלא את כולל קובנה,</w:t>
      </w:r>
      <w:bookmarkStart w:id="2517" w:name="_fnr1667"/>
      <w:r>
        <w:rPr>
          <w:rStyle w:val="a5"/>
        </w:rPr>
        <w:footnoteReference w:id="1670" w:customMarkFollows="0"/>
      </w:r>
      <w:bookmarkEnd w:id="2517"/>
      <w:r>
        <w:rPr>
          <w:rtl/>
        </w:rPr>
        <w:t xml:space="preserve"> לא את הישיבה, שישבה </w:t>
      </w:r>
      <w:proofErr w:type="spellStart"/>
      <w:r>
        <w:rPr>
          <w:rtl/>
        </w:rPr>
        <w:t>בסלבודקה</w:t>
      </w:r>
      <w:proofErr w:type="spellEnd"/>
      <w:r>
        <w:rPr>
          <w:rtl/>
        </w:rPr>
        <w:t xml:space="preserve"> בלבד.</w:t>
      </w:r>
    </w:p>
    <w:p w14:paraId="44918550" w14:textId="0DDD4BA4" w:rsidR="00AB3647" w:rsidRDefault="00000000" w:rsidP="007923E9">
      <w:pPr>
        <w:spacing w:after="120" w:line="276" w:lineRule="auto"/>
        <w:ind w:firstLine="283"/>
        <w:jc w:val="both"/>
      </w:pPr>
      <w:r>
        <w:rPr>
          <w:rtl/>
        </w:rPr>
        <w:t xml:space="preserve">מוזר הדבר שבעת כתיבת 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כלומר בשנת תרנ״ג, עדיין נחשבו שני המוסדות בעיני </w:t>
      </w:r>
      <w:proofErr w:type="spellStart"/>
      <w:r>
        <w:rPr>
          <w:rtl/>
        </w:rPr>
        <w:t>דרויאנוב</w:t>
      </w:r>
      <w:proofErr w:type="spellEnd"/>
      <w:r>
        <w:rPr>
          <w:rtl/>
        </w:rPr>
        <w:t xml:space="preserve"> ליחידה אחת. כך אכן היו בראשית הישיבה, אבל לא עוד בתקופה מאוחרת זו, כמבואר בפסקה החמישית של סעיף זה ובהערה </w:t>
      </w:r>
      <w:r>
        <w:rPr>
          <w:rtl/>
        </w:rPr>
        <w:fldChar w:fldCharType="begin" w:dirty="true"/>
      </w:r>
      <w:r>
        <w:rPr>
          <w:rtl/>
        </w:rPr>
        <w:instrText xml:space="preserve"> REF b3_note29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29</w:t>
      </w:r>
      <w:r>
        <w:rPr>
          <w:rtl/>
        </w:rPr>
        <w:fldChar w:fldCharType="end"/>
      </w:r>
      <w:r>
        <w:rPr>
          <w:rtl/>
        </w:rPr>
        <w:t xml:space="preserve"> לעיל. אבל בכנותו את היחידה המאוחדת לכאורה “ישיבה”, הוא מראה שחלק הכולל היה קטן מן הישיבה, ולפי טענתו המוטעית – טפל </w:t>
      </w:r>
      <w:r>
        <w:rPr>
          <w:b/>
          <w:bCs/>
          <w:rtl/>
        </w:rPr>
        <w:t>לה</w:t>
      </w:r>
      <w:r>
        <w:rPr>
          <w:rtl/>
        </w:rPr>
        <w:t>. יחס הגודל אכן משקף את המצב ששרר אז.</w:t>
      </w:r>
    </w:p>
    <w:p w14:paraId="1DB414DA" w14:textId="77777777" w:rsidR="00AB3647" w:rsidRDefault="00000000" w:rsidP="007923E9">
      <w:pPr>
        <w:spacing w:after="120" w:line="276" w:lineRule="auto"/>
        <w:ind w:firstLine="283"/>
        <w:jc w:val="both"/>
      </w:pPr>
      <w:r>
        <w:rPr>
          <w:rtl/>
        </w:rPr>
        <w:t xml:space="preserve">אבל כשהכותב מציג את הכשרתו לערוך השוואה בין ישיבת </w:t>
      </w:r>
      <w:proofErr w:type="spellStart"/>
      <w:r>
        <w:rPr>
          <w:rtl/>
        </w:rPr>
        <w:t>וולוז׳ין</w:t>
      </w:r>
      <w:proofErr w:type="spellEnd"/>
      <w:r>
        <w:rPr>
          <w:rtl/>
        </w:rPr>
        <w:t xml:space="preserve"> לישיבת קובנה,</w:t>
      </w:r>
      <w:bookmarkStart w:id="2518" w:name="_fnr1668"/>
      <w:r>
        <w:rPr>
          <w:rStyle w:val="a5"/>
        </w:rPr>
        <w:footnoteReference w:id="1671" w:customMarkFollows="0"/>
      </w:r>
      <w:bookmarkEnd w:id="2518"/>
      <w:r>
        <w:rPr>
          <w:rtl/>
        </w:rPr>
        <w:t xml:space="preserve"> הוא מתאר את עצמו “עד ראיה ועד שמיעה...”. מביטוי זה, ומן העובדה שוודאי היה “עד ראיה” </w:t>
      </w:r>
      <w:proofErr w:type="spellStart"/>
      <w:r>
        <w:rPr>
          <w:rtl/>
        </w:rPr>
        <w:t>לוולוז׳ין</w:t>
      </w:r>
      <w:proofErr w:type="spellEnd"/>
      <w:r>
        <w:rPr>
          <w:rtl/>
        </w:rPr>
        <w:t xml:space="preserve"> (כדבריו במאמר זה),</w:t>
      </w:r>
      <w:bookmarkStart w:id="2519" w:name="_fnr1669"/>
      <w:r>
        <w:rPr>
          <w:rStyle w:val="a5"/>
        </w:rPr>
        <w:footnoteReference w:id="1672" w:customMarkFollows="0"/>
      </w:r>
      <w:bookmarkEnd w:id="2519"/>
      <w:r>
        <w:rPr>
          <w:rtl/>
        </w:rPr>
        <w:t xml:space="preserve"> ברור שלגבי ישיבת קובנה לא היה אלא “עד שמיעה”. את עדותו המשמיצה על המוסד שבקובנה רק שמע, בלי שראה אותו בעצמו.</w:t>
      </w:r>
      <w:bookmarkStart w:id="2520" w:name="_fnr1670"/>
      <w:r>
        <w:rPr>
          <w:rStyle w:val="a5"/>
        </w:rPr>
        <w:footnoteReference w:id="1673" w:customMarkFollows="0"/>
      </w:r>
      <w:bookmarkEnd w:id="2520"/>
      <w:r>
        <w:rPr>
          <w:rtl/>
        </w:rPr>
        <w:t xml:space="preserve"> נמצא שבעיני </w:t>
      </w:r>
      <w:proofErr w:type="spellStart"/>
      <w:r>
        <w:rPr>
          <w:rtl/>
        </w:rPr>
        <w:t>דרויאנוב</w:t>
      </w:r>
      <w:proofErr w:type="spellEnd"/>
      <w:r>
        <w:rPr>
          <w:rtl/>
        </w:rPr>
        <w:t xml:space="preserve">, ישיבת </w:t>
      </w:r>
      <w:proofErr w:type="spellStart"/>
      <w:r>
        <w:rPr>
          <w:rtl/>
        </w:rPr>
        <w:t>סלבודקה</w:t>
      </w:r>
      <w:proofErr w:type="spellEnd"/>
      <w:r>
        <w:rPr>
          <w:rtl/>
        </w:rPr>
        <w:t xml:space="preserve"> של הסבא הייתה עדיין אחת עם כולל קובנה – החלק הגדול יותר של היחידה האחת.</w:t>
      </w:r>
    </w:p>
    <w:bookmarkStart w:id="2521" w:name="b3_excF"/>
    <w:p w14:paraId="2090C37E" w14:textId="77777777" w:rsidR="00AB3647" w:rsidRDefault="00000000" w:rsidP="007923E9">
      <w:pPr>
        <w:pStyle w:val="3"/>
        <w:spacing w:line="276" w:lineRule="auto"/>
      </w:pPr>
      <w:r>
        <w:lastRenderedPageBreak/>
        <w:fldChar w:fldCharType="begin" w:dirty="true"/>
      </w:r>
      <w:r>
        <w:rPr>
          <w:rtl w:val="0"/>
        </w:rPr>
        <w:instrText>HYPERLINK \l "b3_note27</w:instrText>
      </w:r>
      <w:r>
        <w:instrText>"</w:instrText>
      </w:r>
      <w:r>
        <w:fldChar w:fldCharType="separate"/>
      </w:r>
      <w:r>
        <w:t>נספח ו</w:t>
      </w:r>
      <w:r>
        <w:fldChar w:fldCharType="end"/>
      </w:r>
      <w:bookmarkEnd w:id="2521"/>
    </w:p>
    <w:p w14:paraId="6CA87982" w14:textId="77777777" w:rsidR="00AB3647" w:rsidRDefault="00000000" w:rsidP="007923E9">
      <w:pPr>
        <w:pStyle w:val="af"/>
        <w:spacing w:line="276" w:lineRule="auto"/>
      </w:pPr>
      <w:r>
        <w:t>על ריבוי התלמידים בחלק הישיבה של כולל קובנה</w:t>
      </w:r>
    </w:p>
    <w:p w14:paraId="164A6E09" w14:textId="77777777" w:rsidR="00AB3647" w:rsidRDefault="00000000" w:rsidP="007923E9">
      <w:pPr>
        <w:pStyle w:val="5"/>
        <w:spacing w:line="276" w:lineRule="auto"/>
      </w:pPr>
      <w:r>
        <w:t>הבחורים מתחילים לאכול ימים – מספרם גדל – לישיבה אין שם משלה</w:t>
      </w:r>
    </w:p>
    <w:p w14:paraId="406C01D9" w14:textId="77777777" w:rsidR="00AB3647" w:rsidRDefault="00000000" w:rsidP="007923E9">
      <w:pPr>
        <w:spacing w:after="120" w:line="276" w:lineRule="auto"/>
        <w:ind w:firstLine="283"/>
        <w:jc w:val="both"/>
      </w:pPr>
      <w:r>
        <w:rPr>
          <w:rtl/>
        </w:rPr>
        <w:t>הבחורים למדו באותו בית מדרש שבו למדו חברי הכולל.</w:t>
      </w:r>
      <w:bookmarkStart w:id="2522" w:name="_fnr1671"/>
      <w:r>
        <w:rPr>
          <w:rStyle w:val="a5"/>
        </w:rPr>
        <w:footnoteReference w:id="1674" w:customMarkFollows="0"/>
      </w:r>
      <w:bookmarkEnd w:id="2522"/>
      <w:r>
        <w:rPr>
          <w:rtl/>
        </w:rPr>
        <w:t xml:space="preserve"> בשיחה המוקלטת בבית הכנסת “בית ישראל” במיאמי </w:t>
      </w:r>
      <w:proofErr w:type="spellStart"/>
      <w:r>
        <w:rPr>
          <w:rtl/>
        </w:rPr>
        <w:t>ביץ</w:t>
      </w:r>
      <w:proofErr w:type="spellEnd"/>
      <w:r>
        <w:rPr>
          <w:rtl/>
        </w:rPr>
        <w:t>׳ הוסיף אבי שמיד כשנוסדה הישיבה באו תלמידים נוספים מן העיירות הסמוכות, והקצבות שהועברו אליהם מתקציב האברכים לא הספיקו עוד. הבחורים התחילו “לאכול ימים”, ולחם ישן שלא נמכר במאפיות העיר נאסף כדי להשלים את צורכי המזון של התלמידים. ככל שגדל מספר התלמידים, זכו חברי כולל רבים יותר לרכוש ניסיון במסירת שיעורים.</w:t>
      </w:r>
    </w:p>
    <w:p w14:paraId="0A8FAC9D" w14:textId="7DAB98C8" w:rsidR="00AB3647" w:rsidRDefault="00000000" w:rsidP="007923E9">
      <w:pPr>
        <w:spacing w:after="120" w:line="276" w:lineRule="auto"/>
        <w:ind w:firstLine="283"/>
        <w:jc w:val="both"/>
      </w:pPr>
      <w:bookmarkStart w:id="2523" w:name="pr_b_1094"/>
      <w:bookmarkEnd w:id="2523"/>
      <w:r>
        <w:rPr>
          <w:rtl/>
        </w:rPr>
        <w:t xml:space="preserve">בשנת </w:t>
      </w:r>
      <w:proofErr w:type="spellStart"/>
      <w:r>
        <w:rPr>
          <w:rtl/>
        </w:rPr>
        <w:t>תר״ן</w:t>
      </w:r>
      <w:proofErr w:type="spellEnd"/>
      <w:r>
        <w:rPr>
          <w:rtl/>
        </w:rPr>
        <w:t xml:space="preserve"> היו בכולל ובישיבה יותר מ־200 תלמידים, לפי האיגרת שכותרתה “עלבונה של תורה”, שכתב באותה עת ר׳ </w:t>
      </w:r>
      <w:proofErr w:type="spellStart"/>
      <w:r>
        <w:rPr>
          <w:rtl/>
        </w:rPr>
        <w:t>יצחק־אלחנן</w:t>
      </w:r>
      <w:proofErr w:type="spellEnd"/>
      <w:r>
        <w:rPr>
          <w:rtl/>
        </w:rPr>
        <w:t xml:space="preserve"> כדי להגן על שמם הטוב של כולל קובנה ומנהליו מפני </w:t>
      </w:r>
      <w:proofErr w:type="spellStart"/>
      <w:r>
        <w:rPr>
          <w:rtl/>
        </w:rPr>
        <w:t>מלעיזיהם</w:t>
      </w:r>
      <w:proofErr w:type="spellEnd"/>
      <w:r>
        <w:rPr>
          <w:rtl/>
        </w:rPr>
        <w:t xml:space="preserve"> בעיתונות ההשכלה. האיגרת מובאת במלואה </w:t>
      </w:r>
      <w:proofErr w:type="spellStart"/>
      <w:r>
        <w:rPr>
          <w:rtl/>
        </w:rPr>
        <w:t>ב“פולמוס</w:t>
      </w:r>
      <w:proofErr w:type="spellEnd"/>
      <w:r>
        <w:rPr>
          <w:rtl/>
        </w:rPr>
        <w:t xml:space="preserve"> המוסר”.</w:t>
      </w:r>
      <w:bookmarkStart w:id="2524" w:name="_fnr1672"/>
      <w:r>
        <w:rPr>
          <w:rStyle w:val="a5"/>
        </w:rPr>
        <w:footnoteReference w:id="1675" w:customMarkFollows="0"/>
      </w:r>
      <w:bookmarkEnd w:id="2524"/>
      <w:r>
        <w:rPr>
          <w:rtl/>
        </w:rPr>
        <w:t xml:space="preserve"> השווה גם הפסקה השנייה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להלן: בגלל המספר הרב של תלמידים רווקים שהתקבצו בעיר שלא כחוק ונתמכו מכספי הכולל, היה צורך לשמור את תקציב כולל קובנה בסוד.</w:t>
      </w:r>
    </w:p>
    <w:p w14:paraId="44DDC127" w14:textId="3B11386D" w:rsidR="00AB3647" w:rsidRDefault="00000000" w:rsidP="007923E9">
      <w:pPr>
        <w:spacing w:after="120" w:line="276" w:lineRule="auto"/>
        <w:ind w:firstLine="283"/>
        <w:jc w:val="both"/>
      </w:pPr>
      <w:r>
        <w:rPr>
          <w:rtl/>
        </w:rPr>
        <w:t xml:space="preserve">באותה עת נדפס באותו נושא מכתב מאת ר׳ </w:t>
      </w:r>
      <w:proofErr w:type="spellStart"/>
      <w:r>
        <w:rPr>
          <w:rtl/>
        </w:rPr>
        <w:t>אלעזר־משה</w:t>
      </w:r>
      <w:proofErr w:type="spellEnd"/>
      <w:r>
        <w:rPr>
          <w:rtl/>
        </w:rPr>
        <w:t xml:space="preserve"> </w:t>
      </w:r>
      <w:proofErr w:type="spellStart"/>
      <w:r>
        <w:rPr>
          <w:rtl/>
        </w:rPr>
        <w:t>הורוויץ</w:t>
      </w:r>
      <w:proofErr w:type="spellEnd"/>
      <w:r>
        <w:rPr>
          <w:rtl/>
        </w:rPr>
        <w:t xml:space="preserve">, רבה המפורסם של </w:t>
      </w:r>
      <w:proofErr w:type="spellStart"/>
      <w:r>
        <w:rPr>
          <w:rtl/>
        </w:rPr>
        <w:t>פינסק</w:t>
      </w:r>
      <w:proofErr w:type="spellEnd"/>
      <w:r>
        <w:rPr>
          <w:rtl/>
        </w:rPr>
        <w:t xml:space="preserve"> (תקע״ח–</w:t>
      </w:r>
      <w:proofErr w:type="spellStart"/>
      <w:r>
        <w:rPr>
          <w:rtl/>
        </w:rPr>
        <w:t>תר״ן</w:t>
      </w:r>
      <w:proofErr w:type="spellEnd"/>
      <w:r>
        <w:rPr>
          <w:rtl/>
        </w:rPr>
        <w:t xml:space="preserve">), המעבד את דברי הנביא (ישעיה ב, ג) באמרו: “כי </w:t>
      </w:r>
      <w:proofErr w:type="spellStart"/>
      <w:r>
        <w:rPr>
          <w:rtl/>
        </w:rPr>
        <w:t>מואלאזין</w:t>
      </w:r>
      <w:proofErr w:type="spellEnd"/>
      <w:r>
        <w:rPr>
          <w:rtl/>
        </w:rPr>
        <w:t xml:space="preserve"> תצא תורה ודבר ה׳ </w:t>
      </w:r>
      <w:proofErr w:type="spellStart"/>
      <w:r>
        <w:rPr>
          <w:rtl/>
        </w:rPr>
        <w:t>מקאוונא</w:t>
      </w:r>
      <w:proofErr w:type="spellEnd"/>
      <w:r>
        <w:rPr>
          <w:rtl/>
        </w:rPr>
        <w:t>”.</w:t>
      </w:r>
      <w:bookmarkStart w:id="2525" w:name="_fnr1673"/>
      <w:r>
        <w:rPr>
          <w:rStyle w:val="a5"/>
        </w:rPr>
        <w:footnoteReference w:id="1676" w:customMarkFollows="0"/>
      </w:r>
      <w:bookmarkEnd w:id="2525"/>
      <w:r>
        <w:rPr>
          <w:rtl/>
        </w:rPr>
        <w:t xml:space="preserve"> מכאן שעם סגירת ישיבת </w:t>
      </w:r>
      <w:proofErr w:type="spellStart"/>
      <w:r>
        <w:rPr>
          <w:rtl/>
        </w:rPr>
        <w:t>וולוז׳ין</w:t>
      </w:r>
      <w:proofErr w:type="spellEnd"/>
      <w:r>
        <w:rPr>
          <w:rtl/>
        </w:rPr>
        <w:t xml:space="preserve"> שנתיים לאחר מכן נעשתה ישיבת קובנה, שהייתה שקולה כנגדה, למרכז התורה העיקרי. על כך מעיד גם ר׳ </w:t>
      </w:r>
      <w:proofErr w:type="spellStart"/>
      <w:r>
        <w:rPr>
          <w:rtl/>
        </w:rPr>
        <w:t>יחיאל־יעקב</w:t>
      </w:r>
      <w:proofErr w:type="spellEnd"/>
      <w:r>
        <w:rPr>
          <w:rtl/>
        </w:rPr>
        <w:t xml:space="preserve"> ויינברג – ראה הציטוט מספרו “שרידי אש” בתחילת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ההעמדה של שני המוסדות, </w:t>
      </w:r>
      <w:proofErr w:type="spellStart"/>
      <w:r>
        <w:rPr>
          <w:rtl/>
        </w:rPr>
        <w:t>וולוז׳ין</w:t>
      </w:r>
      <w:proofErr w:type="spellEnd"/>
      <w:r>
        <w:rPr>
          <w:rtl/>
        </w:rPr>
        <w:t xml:space="preserve"> וקובנה, זה לצד זה בדברי הרב </w:t>
      </w:r>
      <w:proofErr w:type="spellStart"/>
      <w:r>
        <w:rPr>
          <w:rtl/>
        </w:rPr>
        <w:t>הורוויץ</w:t>
      </w:r>
      <w:proofErr w:type="spellEnd"/>
      <w:r>
        <w:rPr>
          <w:rtl/>
        </w:rPr>
        <w:t xml:space="preserve"> נבעה מן ההשמצות הדומות של המשכילים נגד שניהם באותה עת. </w:t>
      </w:r>
      <w:proofErr w:type="spellStart"/>
      <w:r>
        <w:rPr>
          <w:rtl/>
        </w:rPr>
        <w:t>וולוז׳ין</w:t>
      </w:r>
      <w:proofErr w:type="spellEnd"/>
      <w:r>
        <w:rPr>
          <w:rtl/>
        </w:rPr>
        <w:t xml:space="preserve"> נסגרה כתוצאה עקיפה של התקפותיהם, ואילו קובנה שרדה.</w:t>
      </w:r>
    </w:p>
    <w:p w14:paraId="0A47BEE7" w14:textId="4E1EB460" w:rsidR="00AB3647" w:rsidRDefault="00000000" w:rsidP="007923E9">
      <w:pPr>
        <w:spacing w:after="120" w:line="276" w:lineRule="auto"/>
        <w:ind w:firstLine="283"/>
        <w:jc w:val="both"/>
      </w:pPr>
      <w:r>
        <w:rPr>
          <w:rtl/>
        </w:rPr>
        <w:t xml:space="preserve">בעניין שמה הרשמי של הישיבה </w:t>
      </w:r>
      <w:proofErr w:type="spellStart"/>
      <w:r>
        <w:rPr>
          <w:rtl/>
        </w:rPr>
        <w:t>בסלבודקה</w:t>
      </w:r>
      <w:proofErr w:type="spellEnd"/>
      <w:r>
        <w:rPr>
          <w:rtl/>
        </w:rPr>
        <w:t>, השווה את הציטוט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ממכתבו של אלתר </w:t>
      </w:r>
      <w:proofErr w:type="spellStart"/>
      <w:r>
        <w:rPr>
          <w:rtl/>
        </w:rPr>
        <w:t>דרויאנוב</w:t>
      </w:r>
      <w:proofErr w:type="spellEnd"/>
      <w:r>
        <w:rPr>
          <w:rtl/>
        </w:rPr>
        <w:t xml:space="preserve"> </w:t>
      </w:r>
      <w:proofErr w:type="spellStart"/>
      <w:r>
        <w:rPr>
          <w:rtl/>
        </w:rPr>
        <w:t>ב“תלפיות</w:t>
      </w:r>
      <w:proofErr w:type="spellEnd"/>
      <w:r>
        <w:rPr>
          <w:rtl/>
        </w:rPr>
        <w:t xml:space="preserve">”. המכתב נכתב בשנת תרנ״ג, </w:t>
      </w:r>
      <w:r>
        <w:rPr>
          <w:b/>
          <w:bCs/>
          <w:rtl/>
        </w:rPr>
        <w:t xml:space="preserve">שנה אחרי שנסגרה </w:t>
      </w:r>
      <w:proofErr w:type="spellStart"/>
      <w:r>
        <w:rPr>
          <w:b/>
          <w:bCs/>
          <w:rtl/>
        </w:rPr>
        <w:t>וולוז׳ין</w:t>
      </w:r>
      <w:proofErr w:type="spellEnd"/>
      <w:r>
        <w:rPr>
          <w:rtl/>
        </w:rPr>
        <w:t xml:space="preserve">, ונאמר בו </w:t>
      </w:r>
      <w:proofErr w:type="spellStart"/>
      <w:r>
        <w:rPr>
          <w:rtl/>
        </w:rPr>
        <w:t>ש“ישיבת</w:t>
      </w:r>
      <w:proofErr w:type="spellEnd"/>
      <w:r>
        <w:rPr>
          <w:rtl/>
        </w:rPr>
        <w:t xml:space="preserve"> קובנה” (כולל קובנה וישיבת </w:t>
      </w:r>
      <w:proofErr w:type="spellStart"/>
      <w:r>
        <w:rPr>
          <w:rtl/>
        </w:rPr>
        <w:t>סלבודקה</w:t>
      </w:r>
      <w:proofErr w:type="spellEnd"/>
      <w:r>
        <w:rPr>
          <w:rtl/>
        </w:rPr>
        <w:t>) נקראת “עץ חיים” – לפחות בחלקה, כמבואר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והוא </w:t>
      </w:r>
      <w:r>
        <w:rPr>
          <w:b/>
          <w:bCs/>
          <w:rtl/>
        </w:rPr>
        <w:t>מדגיש</w:t>
      </w:r>
      <w:r>
        <w:rPr>
          <w:rtl/>
        </w:rPr>
        <w:t xml:space="preserve"> שלה ולישיבת </w:t>
      </w:r>
      <w:proofErr w:type="spellStart"/>
      <w:r>
        <w:rPr>
          <w:rtl/>
        </w:rPr>
        <w:t>וולוז׳ין</w:t>
      </w:r>
      <w:proofErr w:type="spellEnd"/>
      <w:r>
        <w:rPr>
          <w:rtl/>
        </w:rPr>
        <w:t xml:space="preserve"> אותו שם ממש. אך אין להבין כיצד, לאחר שהתחרות ביניהן בגיוס הכספים הגיעה לדין – ראה פרק 5,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 היה בית הדין מתיר לישיבת קובנה המאוחרת להשתמש בשמה הנערץ של ישיבת </w:t>
      </w:r>
      <w:proofErr w:type="spellStart"/>
      <w:r>
        <w:rPr>
          <w:rtl/>
        </w:rPr>
        <w:t>וולוז׳ין</w:t>
      </w:r>
      <w:proofErr w:type="spellEnd"/>
      <w:r>
        <w:rPr>
          <w:rtl/>
        </w:rPr>
        <w:t xml:space="preserve"> הוותיקה.</w:t>
      </w:r>
    </w:p>
    <w:p w14:paraId="7D734D33" w14:textId="77777777" w:rsidR="00AB3647" w:rsidRDefault="00000000" w:rsidP="007923E9">
      <w:pPr>
        <w:spacing w:after="120" w:line="276" w:lineRule="auto"/>
        <w:ind w:firstLine="283"/>
        <w:jc w:val="both"/>
      </w:pPr>
      <w:r>
        <w:rPr>
          <w:rtl/>
        </w:rPr>
        <w:lastRenderedPageBreak/>
        <w:t xml:space="preserve">גם “הגאון רבי משה מרדכי אפשטיין”, מאת הרב ישראל </w:t>
      </w:r>
      <w:proofErr w:type="spellStart"/>
      <w:r>
        <w:rPr>
          <w:rtl/>
        </w:rPr>
        <w:t>זיסל</w:t>
      </w:r>
      <w:proofErr w:type="spellEnd"/>
      <w:r>
        <w:rPr>
          <w:rtl/>
        </w:rPr>
        <w:t xml:space="preserve"> </w:t>
      </w:r>
      <w:proofErr w:type="spellStart"/>
      <w:r>
        <w:rPr>
          <w:rtl/>
        </w:rPr>
        <w:t>דבורץ</w:t>
      </w:r>
      <w:proofErr w:type="spellEnd"/>
      <w:r>
        <w:rPr>
          <w:rtl/>
        </w:rPr>
        <w:t>,</w:t>
      </w:r>
      <w:bookmarkStart w:id="2526" w:name="_fnr1674"/>
      <w:r>
        <w:rPr>
          <w:rStyle w:val="a5"/>
        </w:rPr>
        <w:footnoteReference w:id="1677" w:customMarkFollows="0"/>
      </w:r>
      <w:bookmarkEnd w:id="2526"/>
      <w:r>
        <w:rPr>
          <w:rtl/>
        </w:rPr>
        <w:t xml:space="preserve"> אומר במפורש </w:t>
      </w:r>
      <w:proofErr w:type="spellStart"/>
      <w:r>
        <w:rPr>
          <w:rtl/>
        </w:rPr>
        <w:t>ש“בתחילה</w:t>
      </w:r>
      <w:proofErr w:type="spellEnd"/>
      <w:r>
        <w:rPr>
          <w:rtl/>
        </w:rPr>
        <w:t xml:space="preserve">, כשהישיבה הייתה בבית המדרש הישן, נקראה ‘ישיבת </w:t>
      </w:r>
      <w:proofErr w:type="spellStart"/>
      <w:r>
        <w:rPr>
          <w:rtl/>
        </w:rPr>
        <w:t>סלבודקה</w:t>
      </w:r>
      <w:proofErr w:type="spellEnd"/>
      <w:r>
        <w:rPr>
          <w:rtl/>
        </w:rPr>
        <w:t xml:space="preserve">’ סתם (ובשנת תרנ״ז, בעקבות מחלוקת המוסר, </w:t>
      </w:r>
      <w:r>
        <w:rPr>
          <w:b/>
          <w:bCs/>
          <w:rtl/>
        </w:rPr>
        <w:t>עזבו</w:t>
      </w:r>
      <w:r>
        <w:rPr>
          <w:rtl/>
        </w:rPr>
        <w:t xml:space="preserve"> הסבא ור׳ </w:t>
      </w:r>
      <w:proofErr w:type="spellStart"/>
      <w:r>
        <w:rPr>
          <w:rtl/>
        </w:rPr>
        <w:t>משה־מרדכי</w:t>
      </w:r>
      <w:proofErr w:type="spellEnd"/>
      <w:r>
        <w:rPr>
          <w:rtl/>
        </w:rPr>
        <w:t xml:space="preserve"> </w:t>
      </w:r>
      <w:r>
        <w:rPr>
          <w:b/>
          <w:bCs/>
          <w:rtl/>
        </w:rPr>
        <w:t>ישיבה זו</w:t>
      </w:r>
      <w:r>
        <w:rPr>
          <w:rtl/>
        </w:rPr>
        <w:t xml:space="preserve"> וייסדו ישיבה חדשה שקראו לה כנסת ישראל)”. אם הטענה שבמכתבו של </w:t>
      </w:r>
      <w:proofErr w:type="spellStart"/>
      <w:r>
        <w:rPr>
          <w:rtl/>
        </w:rPr>
        <w:t>דרויאנוב</w:t>
      </w:r>
      <w:proofErr w:type="spellEnd"/>
      <w:r>
        <w:rPr>
          <w:rtl/>
        </w:rPr>
        <w:t xml:space="preserve"> נכונה כולה, קיבלה ישיבת </w:t>
      </w:r>
      <w:proofErr w:type="spellStart"/>
      <w:r>
        <w:rPr>
          <w:rtl/>
        </w:rPr>
        <w:t>סלבודקה</w:t>
      </w:r>
      <w:proofErr w:type="spellEnd"/>
      <w:r>
        <w:rPr>
          <w:rtl/>
        </w:rPr>
        <w:t xml:space="preserve"> את שמה הרשמי של </w:t>
      </w:r>
      <w:proofErr w:type="spellStart"/>
      <w:r>
        <w:rPr>
          <w:rtl/>
        </w:rPr>
        <w:t>וולוז׳ין</w:t>
      </w:r>
      <w:proofErr w:type="spellEnd"/>
      <w:r>
        <w:rPr>
          <w:rtl/>
        </w:rPr>
        <w:t xml:space="preserve">, עץ חיים – כשם שקיבלה את תלמידי </w:t>
      </w:r>
      <w:proofErr w:type="spellStart"/>
      <w:r>
        <w:rPr>
          <w:rtl/>
        </w:rPr>
        <w:t>וולוז׳ין</w:t>
      </w:r>
      <w:proofErr w:type="spellEnd"/>
      <w:r>
        <w:rPr>
          <w:rtl/>
        </w:rPr>
        <w:t xml:space="preserve"> – רק </w:t>
      </w:r>
      <w:r>
        <w:rPr>
          <w:b/>
          <w:bCs/>
          <w:rtl/>
        </w:rPr>
        <w:t>אחרי</w:t>
      </w:r>
      <w:r>
        <w:rPr>
          <w:rtl/>
        </w:rPr>
        <w:t xml:space="preserve"> שנסגרה </w:t>
      </w:r>
      <w:proofErr w:type="spellStart"/>
      <w:r>
        <w:rPr>
          <w:rtl/>
        </w:rPr>
        <w:t>וולוז׳ין</w:t>
      </w:r>
      <w:proofErr w:type="spellEnd"/>
      <w:r>
        <w:rPr>
          <w:rtl/>
        </w:rPr>
        <w:t>.</w:t>
      </w:r>
    </w:p>
    <w:p w14:paraId="4B65A0F4" w14:textId="4E08263A" w:rsidR="00AB3647" w:rsidRDefault="00000000" w:rsidP="007923E9">
      <w:pPr>
        <w:spacing w:after="120" w:line="276" w:lineRule="auto"/>
        <w:ind w:firstLine="283"/>
        <w:jc w:val="both"/>
      </w:pPr>
      <w:r>
        <w:rPr>
          <w:rtl/>
        </w:rPr>
        <w:t xml:space="preserve">אם העברית העשירה של “שרידי אש” מדויקת, נוכל להסיק מן הציטוט שהובא בעמ׳ </w:t>
      </w:r>
      <w:r>
        <w:rPr>
          <w:rtl/>
        </w:rPr>
        <w:fldChar w:fldCharType="begin" w:dirty="true"/>
      </w:r>
      <w:r>
        <w:rPr>
          <w:rtl/>
        </w:rPr>
        <w:instrText xml:space="preserve"> PAGEREF pr_b_1094 \h </w:instrText>
      </w:r>
      <w:r>
        <w:rPr>
          <w:rtl/>
        </w:rPr>
      </w:r>
      <w:r>
        <w:rPr>
          <w:rtl/>
        </w:rPr>
        <w:fldChar w:fldCharType="separate"/>
      </w:r>
      <w:r w:rsidR="007923E9">
        <w:rPr>
          <w:noProof/>
          <w:rtl/>
        </w:rPr>
        <w:t>1</w:t>
      </w:r>
      <w:r>
        <w:rPr>
          <w:rtl/>
        </w:rPr>
        <w:fldChar w:fldCharType="end"/>
      </w:r>
      <w:r>
        <w:rPr>
          <w:rtl/>
        </w:rPr>
        <w:t xml:space="preserve"> (מנספח יא שלנו) – “ירשה </w:t>
      </w:r>
      <w:proofErr w:type="spellStart"/>
      <w:r>
        <w:rPr>
          <w:rtl/>
        </w:rPr>
        <w:t>סלבודקה</w:t>
      </w:r>
      <w:proofErr w:type="spellEnd"/>
      <w:r>
        <w:rPr>
          <w:rtl/>
        </w:rPr>
        <w:t xml:space="preserve"> את מקומה ואת שמה בעולם התורני” – שישיבת </w:t>
      </w:r>
      <w:proofErr w:type="spellStart"/>
      <w:r>
        <w:rPr>
          <w:rtl/>
        </w:rPr>
        <w:t>סלבודקה</w:t>
      </w:r>
      <w:proofErr w:type="spellEnd"/>
      <w:r>
        <w:rPr>
          <w:rtl/>
        </w:rPr>
        <w:t xml:space="preserve"> נקראה (או לפחות רצתה להיקרא) בשם הנערץ “עץ חיים”. אם כך הדבר, ההיגיון הפנימי של המכתב הוא פרדוקסלי. מצד אחד הוא דן בישיבת </w:t>
      </w:r>
      <w:proofErr w:type="spellStart"/>
      <w:r>
        <w:rPr>
          <w:rtl/>
        </w:rPr>
        <w:t>וולוז׳ין</w:t>
      </w:r>
      <w:proofErr w:type="spellEnd"/>
      <w:r>
        <w:rPr>
          <w:rtl/>
        </w:rPr>
        <w:t xml:space="preserve"> כאילו היא עדיין קיימת, בגלל הטעם שנאמר במכתב, שהישיבה הנכבדה עתידה להיפתח מחדש; ומצד שני הוא מעניק לישיבת קובנה את השימוש בשמה המקודש של ישיבת </w:t>
      </w:r>
      <w:proofErr w:type="spellStart"/>
      <w:r>
        <w:rPr>
          <w:rtl/>
        </w:rPr>
        <w:t>וולוז׳ין</w:t>
      </w:r>
      <w:proofErr w:type="spellEnd"/>
      <w:r>
        <w:rPr>
          <w:rtl/>
        </w:rPr>
        <w:t xml:space="preserve"> בלי ערעור. אבל כמו שצוין בפרק 5, באמצע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ובסוף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w:t>
      </w:r>
      <w:proofErr w:type="spellStart"/>
      <w:r>
        <w:rPr>
          <w:rtl/>
        </w:rPr>
        <w:t>דרויאנוב</w:t>
      </w:r>
      <w:proofErr w:type="spellEnd"/>
      <w:r>
        <w:rPr>
          <w:rtl/>
        </w:rPr>
        <w:t xml:space="preserve"> אינו מהימן, וגם לא בהכרח סביר.</w:t>
      </w:r>
    </w:p>
    <w:p w14:paraId="14DC7B32" w14:textId="77777777" w:rsidR="00AB3647" w:rsidRDefault="00000000" w:rsidP="007923E9">
      <w:pPr>
        <w:spacing w:after="120" w:line="276" w:lineRule="auto"/>
        <w:ind w:firstLine="283"/>
        <w:jc w:val="both"/>
      </w:pPr>
      <w:r>
        <w:rPr>
          <w:rtl/>
        </w:rPr>
        <w:t xml:space="preserve">אם אכן נקראה ישיבת </w:t>
      </w:r>
      <w:proofErr w:type="spellStart"/>
      <w:r>
        <w:rPr>
          <w:rtl/>
        </w:rPr>
        <w:t>סלבודקה</w:t>
      </w:r>
      <w:proofErr w:type="spellEnd"/>
      <w:r>
        <w:rPr>
          <w:rtl/>
        </w:rPr>
        <w:t xml:space="preserve"> עץ חיים, ודאי היה זה לזמן קצר. ייתכן שוויתרה על השם כשנודע שהעיר </w:t>
      </w:r>
      <w:proofErr w:type="spellStart"/>
      <w:r>
        <w:rPr>
          <w:rtl/>
        </w:rPr>
        <w:t>וולוז׳ין</w:t>
      </w:r>
      <w:proofErr w:type="spellEnd"/>
      <w:r>
        <w:rPr>
          <w:rtl/>
        </w:rPr>
        <w:t xml:space="preserve"> מתכננת להקים מחדש את הישיבה. וכך אכן עשתה העיר כשהחזירה את המשנה לשעבר לראש הישיבה, ר׳ רפאל שפירא, מרבנות </w:t>
      </w:r>
      <w:proofErr w:type="spellStart"/>
      <w:r>
        <w:rPr>
          <w:rtl/>
        </w:rPr>
        <w:t>בוברויסק</w:t>
      </w:r>
      <w:proofErr w:type="spellEnd"/>
      <w:r>
        <w:rPr>
          <w:rtl/>
        </w:rPr>
        <w:t xml:space="preserve"> כדי שיהיה </w:t>
      </w:r>
      <w:r>
        <w:rPr>
          <w:b/>
          <w:bCs/>
          <w:rtl/>
        </w:rPr>
        <w:t>רבה</w:t>
      </w:r>
      <w:r>
        <w:rPr>
          <w:rtl/>
        </w:rPr>
        <w:t xml:space="preserve"> בשנת תרנ״ט.</w:t>
      </w:r>
      <w:bookmarkStart w:id="2527" w:name="_fnr1675"/>
      <w:r>
        <w:rPr>
          <w:rStyle w:val="a5"/>
        </w:rPr>
        <w:footnoteReference w:id="1678" w:customMarkFollows="0"/>
      </w:r>
      <w:bookmarkEnd w:id="2527"/>
      <w:r>
        <w:rPr>
          <w:rtl/>
        </w:rPr>
        <w:t xml:space="preserve"> הרב חיים </w:t>
      </w:r>
      <w:proofErr w:type="spellStart"/>
      <w:r>
        <w:rPr>
          <w:rtl/>
        </w:rPr>
        <w:t xml:space="preserve">קרלינסקי</w:t>
      </w:r>
      <w:proofErr w:type="spellEnd"/>
      <w:r>
        <w:rPr>
          <w:rtl/>
        </w:rPr>
        <w:t xml:space="preserve">, מחבר “הראשון לשושלת </w:t>
      </w:r>
      <w:proofErr w:type="spellStart"/>
      <w:r>
        <w:rPr>
          <w:rtl/>
        </w:rPr>
        <w:t>בריסק</w:t>
      </w:r>
      <w:proofErr w:type="spellEnd"/>
      <w:r>
        <w:rPr>
          <w:rtl/>
        </w:rPr>
        <w:t>”,</w:t>
      </w:r>
      <w:bookmarkStart w:id="2528" w:name="_fnr1676"/>
      <w:r>
        <w:rPr>
          <w:rStyle w:val="a5"/>
        </w:rPr>
        <w:footnoteReference w:id="1679" w:customMarkFollows="0"/>
      </w:r>
      <w:bookmarkEnd w:id="2528"/>
      <w:r>
        <w:rPr>
          <w:rtl/>
        </w:rPr>
        <w:t xml:space="preserve"> טוען במאמר לזכר אביו</w:t>
      </w:r>
      <w:bookmarkStart w:id="2529" w:name="_fnr1677"/>
      <w:r>
        <w:rPr>
          <w:rStyle w:val="a5"/>
        </w:rPr>
        <w:footnoteReference w:id="1680" w:customMarkFollows="0"/>
      </w:r>
      <w:bookmarkEnd w:id="2529"/>
      <w:r>
        <w:rPr>
          <w:rtl/>
        </w:rPr>
        <w:t xml:space="preserve"> שהישיבה נפתחה מחדש “בקיץ תרנ״ט”, כשאביו בא ללמוד שם לאחר שנשא את נכדת אחיו או אחותו של ר׳ רפאל. אבל “פתיחה מחדש” זו הייתה כנראה רק עניין רשמי לכבוד שובו של ר׳ רפאל לעמוד בראשה. ר׳ רפאל, איש שליו מאוד, ודאי לא היה חוזר </w:t>
      </w:r>
      <w:proofErr w:type="spellStart"/>
      <w:r>
        <w:rPr>
          <w:rtl/>
        </w:rPr>
        <w:t>לוולוז׳ין</w:t>
      </w:r>
      <w:proofErr w:type="spellEnd"/>
      <w:r>
        <w:rPr>
          <w:rtl/>
        </w:rPr>
        <w:t xml:space="preserve"> אילו לא התחילה הישיבה לפעול כבר.</w:t>
      </w:r>
      <w:bookmarkStart w:id="2530" w:name="_fnr1678"/>
      <w:r>
        <w:rPr>
          <w:rStyle w:val="a5"/>
        </w:rPr>
        <w:footnoteReference w:id="1681" w:customMarkFollows="0"/>
      </w:r>
      <w:bookmarkEnd w:id="2530"/>
    </w:p>
    <w:p w14:paraId="696EFCBC" w14:textId="77777777" w:rsidR="00AB3647" w:rsidRDefault="00000000" w:rsidP="007923E9">
      <w:pPr>
        <w:spacing w:after="120" w:line="276" w:lineRule="auto"/>
        <w:ind w:firstLine="283"/>
        <w:jc w:val="both"/>
      </w:pPr>
      <w:r>
        <w:rPr>
          <w:rtl/>
        </w:rPr>
        <w:t xml:space="preserve">התוכנית לפתוח מחדש את ישיבת </w:t>
      </w:r>
      <w:proofErr w:type="spellStart"/>
      <w:r>
        <w:rPr>
          <w:rtl/>
        </w:rPr>
        <w:t>וולוז׳ין</w:t>
      </w:r>
      <w:proofErr w:type="spellEnd"/>
      <w:r>
        <w:rPr>
          <w:rtl/>
        </w:rPr>
        <w:t xml:space="preserve"> התחילה זמן מה לפני תרנ״ו, כמו שעולה מן הכרוז שנשלח אל יהדות אמריקה מטעם </w:t>
      </w:r>
      <w:proofErr w:type="spellStart"/>
      <w:r>
        <w:rPr>
          <w:rtl/>
        </w:rPr>
        <w:t>ה“גדול</w:t>
      </w:r>
      <w:proofErr w:type="spellEnd"/>
      <w:r>
        <w:rPr>
          <w:rtl/>
        </w:rPr>
        <w:t xml:space="preserve">” ממינסק, </w:t>
      </w:r>
      <w:r>
        <w:rPr>
          <w:b/>
          <w:bCs/>
          <w:rtl/>
        </w:rPr>
        <w:t>שנפטר</w:t>
      </w:r>
      <w:r>
        <w:rPr>
          <w:rtl/>
        </w:rPr>
        <w:t xml:space="preserve"> בשנת תרנ״ו. הכרוז מובא בלי תאריך בספרו של </w:t>
      </w:r>
      <w:proofErr w:type="spellStart"/>
      <w:r>
        <w:rPr>
          <w:rtl/>
        </w:rPr>
        <w:t>צינוביץ</w:t>
      </w:r>
      <w:proofErr w:type="spellEnd"/>
      <w:r>
        <w:rPr>
          <w:rtl/>
        </w:rPr>
        <w:t>, “עץ חיים”,</w:t>
      </w:r>
      <w:bookmarkStart w:id="2531" w:name="_fnr1679"/>
      <w:r>
        <w:rPr>
          <w:rStyle w:val="a5"/>
        </w:rPr>
        <w:footnoteReference w:id="1682" w:customMarkFollows="0"/>
      </w:r>
      <w:bookmarkEnd w:id="2531"/>
      <w:r>
        <w:rPr>
          <w:rtl/>
        </w:rPr>
        <w:t xml:space="preserve"> ונאמר בו בין השאר: “הנה אור החל להגיה, ובחסד הממשלה הרמה נהיה הדבר שהבית הגדול אשר בו התורה מתגדלת נפתח! מצאו לנכון להשיב את הבית לקדושתו; תורה ותפילה יתקיימו בו כראוי לבית קדוש זה”. גם “הישיבה הליטאית בהתהוותה”, מאת שאול </w:t>
      </w:r>
      <w:proofErr w:type="spellStart"/>
      <w:r>
        <w:rPr>
          <w:rtl/>
        </w:rPr>
        <w:t>שטמפפר</w:t>
      </w:r>
      <w:proofErr w:type="spellEnd"/>
      <w:r>
        <w:rPr>
          <w:rtl/>
        </w:rPr>
        <w:t>,</w:t>
      </w:r>
      <w:bookmarkStart w:id="2532" w:name="_fnr1680"/>
      <w:r>
        <w:rPr>
          <w:rStyle w:val="a5"/>
        </w:rPr>
        <w:footnoteReference w:id="1683" w:customMarkFollows="0"/>
      </w:r>
      <w:bookmarkEnd w:id="2532"/>
      <w:r>
        <w:rPr>
          <w:rtl/>
        </w:rPr>
        <w:t xml:space="preserve"> טוען שישיבת </w:t>
      </w:r>
      <w:proofErr w:type="spellStart"/>
      <w:r>
        <w:rPr>
          <w:rtl/>
        </w:rPr>
        <w:t>וולוז׳ין</w:t>
      </w:r>
      <w:proofErr w:type="spellEnd"/>
      <w:r>
        <w:rPr>
          <w:rtl/>
        </w:rPr>
        <w:t xml:space="preserve"> נפתחה מחדש מוקדם יותר, בשנת תרנ״ה. לפיכך ייתכן שישיבת </w:t>
      </w:r>
      <w:proofErr w:type="spellStart"/>
      <w:r>
        <w:rPr>
          <w:rtl/>
        </w:rPr>
        <w:t>סלבודקה</w:t>
      </w:r>
      <w:proofErr w:type="spellEnd"/>
      <w:r>
        <w:rPr>
          <w:rtl/>
        </w:rPr>
        <w:t xml:space="preserve"> נקראה עץ חיים לכל היותר שלוש או ארבע </w:t>
      </w:r>
      <w:r>
        <w:rPr>
          <w:rtl/>
        </w:rPr>
        <w:lastRenderedPageBreak/>
        <w:t xml:space="preserve">שנים – אם בכלל. נמצא שישיבת </w:t>
      </w:r>
      <w:proofErr w:type="spellStart"/>
      <w:r>
        <w:rPr>
          <w:rtl/>
        </w:rPr>
        <w:t>סלבודקה</w:t>
      </w:r>
      <w:proofErr w:type="spellEnd"/>
      <w:r>
        <w:rPr>
          <w:rtl/>
        </w:rPr>
        <w:t xml:space="preserve"> הייתה (שוב) בלי שם כשפרצה מחלוקת המוסר בשנת תרנ״ז – כאמור </w:t>
      </w:r>
      <w:proofErr w:type="spellStart"/>
      <w:r>
        <w:rPr>
          <w:rtl/>
        </w:rPr>
        <w:t>ב“הגאון</w:t>
      </w:r>
      <w:proofErr w:type="spellEnd"/>
      <w:r>
        <w:rPr>
          <w:rtl/>
        </w:rPr>
        <w:t xml:space="preserve"> רבי משה מרדכי אפשטיין”.</w:t>
      </w:r>
    </w:p>
    <w:bookmarkStart w:id="2533" w:name="b3_excG"/>
    <w:p w14:paraId="61E2B4C0" w14:textId="77777777" w:rsidR="00AB3647" w:rsidRDefault="00000000" w:rsidP="007923E9">
      <w:pPr>
        <w:pStyle w:val="3"/>
        <w:spacing w:line="276" w:lineRule="auto"/>
      </w:pPr>
      <w:r>
        <w:lastRenderedPageBreak/>
        <w:fldChar w:fldCharType="begin" w:dirty="true"/>
      </w:r>
      <w:r>
        <w:rPr>
          <w:rtl w:val="0"/>
        </w:rPr>
        <w:instrText>HYPERLINK \l "b3_note28</w:instrText>
      </w:r>
      <w:r>
        <w:instrText>"</w:instrText>
      </w:r>
      <w:r>
        <w:fldChar w:fldCharType="separate"/>
      </w:r>
      <w:r>
        <w:t>נספח ז</w:t>
      </w:r>
      <w:r>
        <w:fldChar w:fldCharType="end"/>
      </w:r>
      <w:bookmarkEnd w:id="2533"/>
    </w:p>
    <w:p w14:paraId="513D1EA3" w14:textId="77777777" w:rsidR="00AB3647" w:rsidRDefault="00000000" w:rsidP="007923E9">
      <w:pPr>
        <w:pStyle w:val="af"/>
        <w:spacing w:line="276" w:lineRule="auto"/>
      </w:pPr>
      <w:r>
        <w:t xml:space="preserve">על חברי כולל קובנה </w:t>
      </w:r>
      <w:proofErr w:type="spellStart"/>
      <w:r>
        <w:t>המתכשרים</w:t>
      </w:r>
      <w:proofErr w:type="spellEnd"/>
      <w:r>
        <w:t xml:space="preserve"> להיות ראשי ישיבה</w:t>
      </w:r>
    </w:p>
    <w:p w14:paraId="30CD3AD8" w14:textId="77777777" w:rsidR="00AB3647" w:rsidRDefault="00000000" w:rsidP="007923E9">
      <w:pPr>
        <w:pStyle w:val="4"/>
        <w:spacing w:line="276" w:lineRule="auto"/>
      </w:pPr>
      <w:r>
        <w:t>· הפסקה הראשונה ·</w:t>
      </w:r>
    </w:p>
    <w:p w14:paraId="4C572BF6" w14:textId="77777777" w:rsidR="00AB3647" w:rsidRDefault="00000000" w:rsidP="007923E9">
      <w:pPr>
        <w:pStyle w:val="5"/>
        <w:spacing w:line="276" w:lineRule="auto"/>
      </w:pPr>
      <w:r>
        <w:t xml:space="preserve">לישיבת </w:t>
      </w:r>
      <w:proofErr w:type="spellStart"/>
      <w:r>
        <w:t>סלבודקה</w:t>
      </w:r>
      <w:proofErr w:type="spellEnd"/>
      <w:r>
        <w:t xml:space="preserve"> תלמידים מעטים בתחילתה</w:t>
      </w:r>
    </w:p>
    <w:p w14:paraId="473E5EBF" w14:textId="77777777" w:rsidR="00AB3647" w:rsidRDefault="00000000" w:rsidP="007923E9">
      <w:pPr>
        <w:spacing w:after="120" w:line="276" w:lineRule="auto"/>
        <w:ind w:firstLine="283"/>
        <w:jc w:val="both"/>
      </w:pPr>
      <w:r>
        <w:rPr>
          <w:rtl/>
        </w:rPr>
        <w:t xml:space="preserve">בשנים הראשונות היו בישיבת </w:t>
      </w:r>
      <w:proofErr w:type="spellStart"/>
      <w:r>
        <w:rPr>
          <w:rtl/>
        </w:rPr>
        <w:t>סלבודקה</w:t>
      </w:r>
      <w:proofErr w:type="spellEnd"/>
      <w:r>
        <w:rPr>
          <w:rtl/>
        </w:rPr>
        <w:t xml:space="preserve"> תלמידים מעטים; על התפתחותה האיטית אך הבטוחה של הישיבה ראה הערות 26–27 בפרק זה. “הרב רבי </w:t>
      </w:r>
      <w:proofErr w:type="spellStart"/>
      <w:r>
        <w:rPr>
          <w:rtl/>
        </w:rPr>
        <w:t>יהודא</w:t>
      </w:r>
      <w:proofErr w:type="spellEnd"/>
      <w:r>
        <w:rPr>
          <w:rtl/>
        </w:rPr>
        <w:t xml:space="preserve"> לייב פיין”, מאת הרב זאב אריה </w:t>
      </w:r>
      <w:proofErr w:type="spellStart"/>
      <w:r>
        <w:rPr>
          <w:rtl/>
        </w:rPr>
        <w:t>רבינר</w:t>
      </w:r>
      <w:proofErr w:type="spellEnd"/>
      <w:r>
        <w:rPr>
          <w:rtl/>
        </w:rPr>
        <w:t>,</w:t>
      </w:r>
      <w:bookmarkStart w:id="2534" w:name="_fnr1681"/>
      <w:r>
        <w:rPr>
          <w:rStyle w:val="a5"/>
        </w:rPr>
        <w:footnoteReference w:id="1684" w:customMarkFollows="0"/>
      </w:r>
      <w:bookmarkEnd w:id="2534"/>
      <w:r>
        <w:rPr>
          <w:rtl/>
        </w:rPr>
        <w:t xml:space="preserve"> מביא דיווח של ר׳ ניסן וקסמן על הנאום שנשא ר׳ </w:t>
      </w:r>
      <w:proofErr w:type="spellStart"/>
      <w:r>
        <w:rPr>
          <w:rtl/>
        </w:rPr>
        <w:t>יהודה־לייב</w:t>
      </w:r>
      <w:proofErr w:type="spellEnd"/>
      <w:r>
        <w:rPr>
          <w:rtl/>
        </w:rPr>
        <w:t xml:space="preserve"> פיין (יליד תרל״א) באספה </w:t>
      </w:r>
      <w:proofErr w:type="spellStart"/>
      <w:r>
        <w:rPr>
          <w:rtl/>
        </w:rPr>
        <w:t>בברנוביץ</w:t>
      </w:r>
      <w:proofErr w:type="spellEnd"/>
      <w:r>
        <w:rPr>
          <w:rtl/>
        </w:rPr>
        <w:t xml:space="preserve">׳ ביארצייט הראשון של הסבא </w:t>
      </w:r>
      <w:proofErr w:type="spellStart"/>
      <w:r>
        <w:rPr>
          <w:rtl/>
        </w:rPr>
        <w:t>מסלבודקה</w:t>
      </w:r>
      <w:proofErr w:type="spellEnd"/>
      <w:r>
        <w:rPr>
          <w:rtl/>
        </w:rPr>
        <w:t xml:space="preserve">, בשנת תרפ״ח. בנאומו העלה זיכרונות מן הזמן שבו היה הסבא “צעיר לימים, בלי שם גדול </w:t>
      </w:r>
      <w:r>
        <w:rPr>
          <w:b/>
          <w:bCs/>
          <w:rtl/>
        </w:rPr>
        <w:t>ובלי תלמידים רבים</w:t>
      </w:r>
      <w:r>
        <w:rPr>
          <w:rtl/>
        </w:rPr>
        <w:t xml:space="preserve"> (ההדגשה שלי)”.</w:t>
      </w:r>
    </w:p>
    <w:p w14:paraId="3EC5B22F" w14:textId="77777777" w:rsidR="00AB3647" w:rsidRDefault="00000000" w:rsidP="007923E9">
      <w:pPr>
        <w:spacing w:after="120" w:line="276" w:lineRule="auto"/>
        <w:ind w:firstLine="283"/>
        <w:jc w:val="both"/>
      </w:pPr>
      <w:r>
        <w:rPr>
          <w:rtl/>
        </w:rPr>
        <w:t xml:space="preserve">אני מניח שר׳ </w:t>
      </w:r>
      <w:proofErr w:type="spellStart"/>
      <w:r>
        <w:rPr>
          <w:rtl/>
        </w:rPr>
        <w:t>יהודה־לייב</w:t>
      </w:r>
      <w:proofErr w:type="spellEnd"/>
      <w:r>
        <w:rPr>
          <w:rtl/>
        </w:rPr>
        <w:t xml:space="preserve"> פיין הצטרף לישיבה בסביבות תרמ״ו. הוא נשאר בה גם בשנים שבהן היה ר׳ </w:t>
      </w:r>
      <w:proofErr w:type="spellStart"/>
      <w:r>
        <w:rPr>
          <w:rtl/>
        </w:rPr>
        <w:t>איצל׳ה</w:t>
      </w:r>
      <w:proofErr w:type="spellEnd"/>
      <w:r>
        <w:rPr>
          <w:rtl/>
        </w:rPr>
        <w:t xml:space="preserve"> </w:t>
      </w:r>
      <w:proofErr w:type="spellStart"/>
      <w:r>
        <w:rPr>
          <w:rtl/>
        </w:rPr>
        <w:t>פוניבז׳ער</w:t>
      </w:r>
      <w:proofErr w:type="spellEnd"/>
      <w:r>
        <w:rPr>
          <w:rtl/>
        </w:rPr>
        <w:t xml:space="preserve"> ראש הישיבה, כדלהלן, והיה “מתלמידיו הראשונים (של זה)”, וראה בו “רבו המובהק”.</w:t>
      </w:r>
      <w:bookmarkStart w:id="2535" w:name="_fnr1682"/>
      <w:r>
        <w:rPr>
          <w:rStyle w:val="a5"/>
        </w:rPr>
        <w:footnoteReference w:id="1685" w:customMarkFollows="0"/>
      </w:r>
      <w:bookmarkEnd w:id="2535"/>
    </w:p>
    <w:p w14:paraId="41518506" w14:textId="77777777" w:rsidR="00AB3647" w:rsidRDefault="00000000" w:rsidP="007923E9">
      <w:pPr>
        <w:pStyle w:val="4"/>
        <w:spacing w:line="276" w:lineRule="auto"/>
      </w:pPr>
      <w:r>
        <w:t>· הפסקה השנייה ·</w:t>
      </w:r>
    </w:p>
    <w:p w14:paraId="6F6909C0"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 </w:t>
      </w:r>
      <w:proofErr w:type="spellStart"/>
      <w:r>
        <w:rPr>
          <w:color w:val="404040"/>
          <w:sz w:val="22"/>
          <w:szCs w:val="22"/>
          <w:rtl/>
        </w:rPr>
        <w:t>שלמה־נתן</w:t>
      </w:r>
      <w:proofErr w:type="spellEnd"/>
      <w:r>
        <w:rPr>
          <w:color w:val="404040"/>
          <w:sz w:val="22"/>
          <w:szCs w:val="22"/>
          <w:rtl/>
        </w:rPr>
        <w:t xml:space="preserve"> קוטלר, שלימים נעשה עוזרו של הרב הראשי של ניו יורק, מלמד </w:t>
      </w:r>
      <w:proofErr w:type="spellStart"/>
      <w:r>
        <w:rPr>
          <w:color w:val="404040"/>
          <w:sz w:val="22"/>
          <w:szCs w:val="22"/>
          <w:rtl/>
        </w:rPr>
        <w:t>בסלבודקה</w:t>
      </w:r>
      <w:proofErr w:type="spellEnd"/>
      <w:r>
        <w:rPr>
          <w:color w:val="404040"/>
          <w:sz w:val="22"/>
          <w:szCs w:val="22"/>
          <w:rtl/>
        </w:rPr>
        <w:t xml:space="preserve"> – חבר הכולל ר׳ </w:t>
      </w:r>
      <w:proofErr w:type="spellStart"/>
      <w:r>
        <w:rPr>
          <w:color w:val="404040"/>
          <w:sz w:val="22"/>
          <w:szCs w:val="22"/>
          <w:rtl/>
        </w:rPr>
        <w:t>יצחק־אליהו</w:t>
      </w:r>
      <w:proofErr w:type="spellEnd"/>
      <w:r>
        <w:rPr>
          <w:color w:val="404040"/>
          <w:sz w:val="22"/>
          <w:szCs w:val="22"/>
          <w:rtl/>
        </w:rPr>
        <w:t xml:space="preserve"> גפן מוסר שיעורים – חבר כולל נוסף, </w:t>
      </w:r>
      <w:proofErr w:type="spellStart"/>
      <w:r>
        <w:rPr>
          <w:color w:val="404040"/>
          <w:sz w:val="22"/>
          <w:szCs w:val="22"/>
          <w:rtl/>
        </w:rPr>
        <w:t>מלבדוב</w:t>
      </w:r>
      <w:proofErr w:type="spellEnd"/>
      <w:r>
        <w:rPr>
          <w:color w:val="404040"/>
          <w:sz w:val="22"/>
          <w:szCs w:val="22"/>
          <w:rtl/>
        </w:rPr>
        <w:t xml:space="preserve">, נמנה עם צוות ישיבת </w:t>
      </w:r>
      <w:proofErr w:type="spellStart"/>
      <w:r>
        <w:rPr>
          <w:color w:val="404040"/>
          <w:sz w:val="22"/>
          <w:szCs w:val="22"/>
          <w:rtl/>
        </w:rPr>
        <w:t>סלבודקה</w:t>
      </w:r>
      <w:proofErr w:type="spellEnd"/>
      <w:r>
        <w:rPr>
          <w:color w:val="404040"/>
          <w:sz w:val="22"/>
          <w:szCs w:val="22"/>
          <w:rtl/>
        </w:rPr>
        <w:t xml:space="preserve">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מוסר שיעורים ברמה גבוהה – הוא מוכר כגאון וכצדיק – במלחמת העולם הראשונה הוא מוסר שיעורים לגולים ממזרח למוסקבה – הוא ניצל בעור שיניו בפרעות </w:t>
      </w:r>
      <w:proofErr w:type="spellStart"/>
      <w:r>
        <w:rPr>
          <w:color w:val="404040"/>
          <w:sz w:val="22"/>
          <w:szCs w:val="22"/>
          <w:rtl/>
        </w:rPr>
        <w:t>בצ׳רקס</w:t>
      </w:r>
      <w:proofErr w:type="spellEnd"/>
      <w:r>
        <w:rPr>
          <w:color w:val="404040"/>
          <w:sz w:val="22"/>
          <w:szCs w:val="22"/>
          <w:rtl/>
        </w:rPr>
        <w:t xml:space="preserve"> – ר׳ </w:t>
      </w:r>
      <w:proofErr w:type="spellStart"/>
      <w:r>
        <w:rPr>
          <w:color w:val="404040"/>
          <w:sz w:val="22"/>
          <w:szCs w:val="22"/>
          <w:rtl/>
        </w:rPr>
        <w:t>שניאור־פייבוש</w:t>
      </w:r>
      <w:proofErr w:type="spellEnd"/>
      <w:r>
        <w:rPr>
          <w:color w:val="404040"/>
          <w:sz w:val="22"/>
          <w:szCs w:val="22"/>
          <w:rtl/>
        </w:rPr>
        <w:t xml:space="preserve"> </w:t>
      </w:r>
      <w:proofErr w:type="spellStart"/>
      <w:r>
        <w:rPr>
          <w:color w:val="404040"/>
          <w:sz w:val="22"/>
          <w:szCs w:val="22"/>
          <w:rtl/>
        </w:rPr>
        <w:t>גולוב</w:t>
      </w:r>
      <w:proofErr w:type="spellEnd"/>
      <w:r>
        <w:rPr>
          <w:color w:val="404040"/>
          <w:sz w:val="22"/>
          <w:szCs w:val="22"/>
          <w:rtl/>
        </w:rPr>
        <w:t xml:space="preserve"> הוא מורה נוסף </w:t>
      </w:r>
      <w:proofErr w:type="spellStart"/>
      <w:r>
        <w:rPr>
          <w:color w:val="404040"/>
          <w:sz w:val="22"/>
          <w:szCs w:val="22"/>
          <w:rtl/>
        </w:rPr>
        <w:t>בסלבודקה</w:t>
      </w:r>
      <w:proofErr w:type="spellEnd"/>
      <w:r>
        <w:rPr>
          <w:color w:val="404040"/>
          <w:sz w:val="22"/>
          <w:szCs w:val="22"/>
          <w:rtl/>
        </w:rPr>
        <w:t xml:space="preserve"> – ר׳ חיים </w:t>
      </w:r>
      <w:proofErr w:type="spellStart"/>
      <w:r>
        <w:rPr>
          <w:color w:val="404040"/>
          <w:sz w:val="22"/>
          <w:szCs w:val="22"/>
          <w:rtl/>
        </w:rPr>
        <w:t>רבינוביץ</w:t>
      </w:r>
      <w:proofErr w:type="spellEnd"/>
      <w:r>
        <w:rPr>
          <w:color w:val="404040"/>
          <w:sz w:val="22"/>
          <w:szCs w:val="22"/>
          <w:rtl/>
        </w:rPr>
        <w:t xml:space="preserve">, לימים מישיבת </w:t>
      </w:r>
      <w:proofErr w:type="spellStart"/>
      <w:r>
        <w:rPr>
          <w:color w:val="404040"/>
          <w:sz w:val="22"/>
          <w:szCs w:val="22"/>
          <w:rtl/>
        </w:rPr>
        <w:t>טלז</w:t>
      </w:r>
      <w:proofErr w:type="spellEnd"/>
      <w:r>
        <w:rPr>
          <w:color w:val="404040"/>
          <w:sz w:val="22"/>
          <w:szCs w:val="22"/>
          <w:rtl/>
        </w:rPr>
        <w:t>, הוא עוד חבר כולל מן הראשונים המלמדים בישיבה</w:t>
      </w:r>
    </w:p>
    <w:p w14:paraId="2BA7EB09" w14:textId="77777777" w:rsidR="00AB3647" w:rsidRDefault="00000000" w:rsidP="007923E9">
      <w:pPr>
        <w:spacing w:after="120" w:line="276" w:lineRule="auto"/>
        <w:ind w:firstLine="283"/>
        <w:jc w:val="both"/>
      </w:pPr>
      <w:r>
        <w:rPr>
          <w:rtl/>
        </w:rPr>
        <w:t xml:space="preserve">יהיה מעניין לחוקר להתחקות אחר רשימת האברכים שהוכשרו למסירת שיעורים. נראה שאחד המלמדים היה ר׳ </w:t>
      </w:r>
      <w:proofErr w:type="spellStart"/>
      <w:r>
        <w:rPr>
          <w:rtl/>
        </w:rPr>
        <w:t>שלמה־נתן</w:t>
      </w:r>
      <w:proofErr w:type="spellEnd"/>
      <w:r>
        <w:rPr>
          <w:rtl/>
        </w:rPr>
        <w:t xml:space="preserve"> קוטלר, שנולד בשנת תרט״ו. לפי ההקדמה לאחד הספרים שחיבר, “כרם שלמה, </w:t>
      </w:r>
      <w:proofErr w:type="spellStart"/>
      <w:r>
        <w:rPr>
          <w:rtl/>
        </w:rPr>
        <w:t>ח״ג</w:t>
      </w:r>
      <w:proofErr w:type="spellEnd"/>
      <w:r>
        <w:rPr>
          <w:rtl/>
        </w:rPr>
        <w:t>”,</w:t>
      </w:r>
      <w:bookmarkStart w:id="2536" w:name="_fnr1683"/>
      <w:r>
        <w:rPr>
          <w:rStyle w:val="a5"/>
        </w:rPr>
        <w:footnoteReference w:id="1686" w:customMarkFollows="0"/>
      </w:r>
      <w:bookmarkEnd w:id="2536"/>
      <w:r>
        <w:rPr>
          <w:rtl/>
        </w:rPr>
        <w:t xml:space="preserve"> הוא “מסר שיעורים לתלמידים מצוינים כראש הישיבה הראשון </w:t>
      </w:r>
      <w:proofErr w:type="spellStart"/>
      <w:r>
        <w:rPr>
          <w:rtl/>
        </w:rPr>
        <w:t>בסלבודקה</w:t>
      </w:r>
      <w:proofErr w:type="spellEnd"/>
      <w:r>
        <w:rPr>
          <w:rtl/>
        </w:rPr>
        <w:t xml:space="preserve">”. כבר בגיל עשרים לימד </w:t>
      </w:r>
      <w:proofErr w:type="spellStart"/>
      <w:r>
        <w:rPr>
          <w:rtl/>
        </w:rPr>
        <w:t>בלומז׳ה</w:t>
      </w:r>
      <w:proofErr w:type="spellEnd"/>
      <w:r>
        <w:rPr>
          <w:rtl/>
        </w:rPr>
        <w:t>, וזמן מה לאחר מכן ודאי הצטרף לכולל קובנה, שבחסותו הוטל עליו ללמד בחורים. “עילוי גדול ומתמיד נפלא” זה היה כנראה הראשון מחברי כולל קובנה שמסר שיעורים לבחורים בישיבה שקמה ביוזמת הסבא.</w:t>
      </w:r>
    </w:p>
    <w:p w14:paraId="63F07B7A" w14:textId="77777777" w:rsidR="00AB3647" w:rsidRDefault="00000000" w:rsidP="007923E9">
      <w:pPr>
        <w:spacing w:after="120" w:line="276" w:lineRule="auto"/>
        <w:ind w:firstLine="283"/>
        <w:jc w:val="both"/>
      </w:pPr>
      <w:r>
        <w:rPr>
          <w:rtl/>
        </w:rPr>
        <w:t xml:space="preserve">מסתבר שניסיונו הקודם של הרב קוטלר בהוראה </w:t>
      </w:r>
      <w:proofErr w:type="spellStart"/>
      <w:r>
        <w:rPr>
          <w:rtl/>
        </w:rPr>
        <w:t>בלומז׳ה</w:t>
      </w:r>
      <w:proofErr w:type="spellEnd"/>
      <w:r>
        <w:rPr>
          <w:rtl/>
        </w:rPr>
        <w:t xml:space="preserve"> היה אחד הטעמים לבחירתו כחבר הכולל הראשון שיוביל את התוכנית החדשה. אם תרמ״ב, השנה שממנה מונה ישיבת </w:t>
      </w:r>
      <w:proofErr w:type="spellStart"/>
      <w:r>
        <w:rPr>
          <w:rtl/>
        </w:rPr>
        <w:t>סלבודקה</w:t>
      </w:r>
      <w:proofErr w:type="spellEnd"/>
      <w:r>
        <w:rPr>
          <w:rtl/>
        </w:rPr>
        <w:t xml:space="preserve"> את שנות קיומה, היא השנה שבה נחנכה התוכנית להכשרת ראשי ישיבה, הרי היה </w:t>
      </w:r>
      <w:r>
        <w:rPr>
          <w:rtl/>
        </w:rPr>
        <w:lastRenderedPageBreak/>
        <w:t xml:space="preserve">הרב קוטלר כבר בן עשרים ושבע כשהתחיל ללמד </w:t>
      </w:r>
      <w:proofErr w:type="spellStart"/>
      <w:r>
        <w:rPr>
          <w:rtl/>
        </w:rPr>
        <w:t>בסלבודקה</w:t>
      </w:r>
      <w:proofErr w:type="spellEnd"/>
      <w:r>
        <w:rPr>
          <w:rtl/>
        </w:rPr>
        <w:t xml:space="preserve">. בתקופה כלשהי בשנותיו המוקדמות שימש הרב קוטלר גם כר״מ </w:t>
      </w:r>
      <w:proofErr w:type="spellStart"/>
      <w:r>
        <w:rPr>
          <w:rtl/>
        </w:rPr>
        <w:t>בבירז</w:t>
      </w:r>
      <w:proofErr w:type="spellEnd"/>
      <w:r>
        <w:rPr>
          <w:rtl/>
        </w:rPr>
        <w:t xml:space="preserve">׳ – כנראה אחרי שלימד </w:t>
      </w:r>
      <w:proofErr w:type="spellStart"/>
      <w:r>
        <w:rPr>
          <w:rtl/>
        </w:rPr>
        <w:t>בלומז׳ה</w:t>
      </w:r>
      <w:proofErr w:type="spellEnd"/>
      <w:r>
        <w:rPr>
          <w:rtl/>
        </w:rPr>
        <w:t xml:space="preserve"> ולפני שהצטרף לכולל קובנה. כך רכש עוד ניסיון לקראת תפקידו </w:t>
      </w:r>
      <w:proofErr w:type="spellStart"/>
      <w:r>
        <w:rPr>
          <w:rtl/>
        </w:rPr>
        <w:t>בסלבודקה</w:t>
      </w:r>
      <w:proofErr w:type="spellEnd"/>
      <w:r>
        <w:rPr>
          <w:rtl/>
        </w:rPr>
        <w:t>.</w:t>
      </w:r>
      <w:bookmarkStart w:id="2537" w:name="_fnr1684"/>
      <w:r>
        <w:rPr>
          <w:rStyle w:val="a5"/>
        </w:rPr>
        <w:footnoteReference w:id="1687" w:customMarkFollows="0"/>
      </w:r>
      <w:bookmarkEnd w:id="2537"/>
      <w:r>
        <w:rPr>
          <w:rtl/>
        </w:rPr>
        <w:t xml:space="preserve"> חייו היו רבי תהפוכות.</w:t>
      </w:r>
    </w:p>
    <w:p w14:paraId="1BBDF4E7" w14:textId="77777777" w:rsidR="00AB3647" w:rsidRDefault="00000000" w:rsidP="007923E9">
      <w:pPr>
        <w:spacing w:after="120" w:line="276" w:lineRule="auto"/>
        <w:ind w:firstLine="283"/>
        <w:jc w:val="both"/>
      </w:pPr>
      <w:r>
        <w:rPr>
          <w:rtl/>
        </w:rPr>
        <w:t xml:space="preserve">לאחר זמן נעשה רבה של </w:t>
      </w:r>
      <w:proofErr w:type="spellStart"/>
      <w:r>
        <w:rPr>
          <w:rtl/>
        </w:rPr>
        <w:t>אוזוונט</w:t>
      </w:r>
      <w:proofErr w:type="spellEnd"/>
      <w:r>
        <w:rPr>
          <w:rtl/>
        </w:rPr>
        <w:t xml:space="preserve"> שבליטא, ומשם יצא לאמריקה כדי להיות לעזר לרבו החולה ר׳ </w:t>
      </w:r>
      <w:proofErr w:type="spellStart"/>
      <w:r>
        <w:rPr>
          <w:rtl/>
        </w:rPr>
        <w:t>יעקב־יוסף</w:t>
      </w:r>
      <w:proofErr w:type="spellEnd"/>
      <w:r>
        <w:rPr>
          <w:rtl/>
        </w:rPr>
        <w:t xml:space="preserve">, הרב הראשי של ניו יורק, שהיה תלמידו של ר׳ ישראל </w:t>
      </w:r>
      <w:proofErr w:type="spellStart"/>
      <w:r>
        <w:rPr>
          <w:rtl/>
        </w:rPr>
        <w:t>סלנטר</w:t>
      </w:r>
      <w:proofErr w:type="spellEnd"/>
      <w:r>
        <w:rPr>
          <w:rtl/>
        </w:rPr>
        <w:t xml:space="preserve"> </w:t>
      </w:r>
      <w:proofErr w:type="spellStart"/>
      <w:r>
        <w:rPr>
          <w:rtl/>
        </w:rPr>
        <w:t>בקלויז</w:t>
      </w:r>
      <w:proofErr w:type="spellEnd"/>
      <w:r>
        <w:rPr>
          <w:rtl/>
        </w:rPr>
        <w:t xml:space="preserve"> </w:t>
      </w:r>
      <w:proofErr w:type="spellStart"/>
      <w:r>
        <w:rPr>
          <w:rtl/>
        </w:rPr>
        <w:t>נביאזר</w:t>
      </w:r>
      <w:proofErr w:type="spellEnd"/>
      <w:r>
        <w:rPr>
          <w:rtl/>
        </w:rPr>
        <w:t xml:space="preserve"> שבקובנה.</w:t>
      </w:r>
      <w:bookmarkStart w:id="2538" w:name="_fnr1685"/>
      <w:r>
        <w:rPr>
          <w:rStyle w:val="a5"/>
        </w:rPr>
        <w:footnoteReference w:id="1688" w:customMarkFollows="0"/>
      </w:r>
      <w:bookmarkEnd w:id="2538"/>
      <w:r>
        <w:rPr>
          <w:rtl/>
        </w:rPr>
        <w:t xml:space="preserve"> במשך השנתיים ששהה בארצות הברית שימש גם “ראש הישיבה הראשון בישיבת רבנו יצחק אלחנן”. כשחזר לליטא “בערך בשנת תרס״א”, השאיר כמה מילדיו בארצות הברית. בליטא כיהן חמש שנים כרבה של </w:t>
      </w:r>
      <w:proofErr w:type="spellStart"/>
      <w:r>
        <w:rPr>
          <w:rtl/>
        </w:rPr>
        <w:t>קורשאן</w:t>
      </w:r>
      <w:proofErr w:type="spellEnd"/>
      <w:r>
        <w:rPr>
          <w:rtl/>
        </w:rPr>
        <w:t xml:space="preserve"> – חותנו היה ר׳ משה </w:t>
      </w:r>
      <w:proofErr w:type="spellStart"/>
      <w:r>
        <w:rPr>
          <w:rtl/>
        </w:rPr>
        <w:t>השלסון</w:t>
      </w:r>
      <w:proofErr w:type="spellEnd"/>
      <w:r>
        <w:rPr>
          <w:rtl/>
        </w:rPr>
        <w:t xml:space="preserve">, תושב </w:t>
      </w:r>
      <w:proofErr w:type="spellStart"/>
      <w:r>
        <w:rPr>
          <w:rtl/>
        </w:rPr>
        <w:t>קורשאן</w:t>
      </w:r>
      <w:proofErr w:type="spellEnd"/>
      <w:r>
        <w:rPr>
          <w:rtl/>
        </w:rPr>
        <w:t xml:space="preserve"> – ולאחר מכן כרבה של </w:t>
      </w:r>
      <w:proofErr w:type="spellStart"/>
      <w:r>
        <w:rPr>
          <w:rtl/>
        </w:rPr>
        <w:t>לוקניק</w:t>
      </w:r>
      <w:proofErr w:type="spellEnd"/>
      <w:r>
        <w:rPr>
          <w:rtl/>
        </w:rPr>
        <w:t>.</w:t>
      </w:r>
    </w:p>
    <w:p w14:paraId="616905E0" w14:textId="77777777" w:rsidR="00AB3647" w:rsidRDefault="00000000" w:rsidP="007923E9">
      <w:pPr>
        <w:spacing w:after="120" w:line="276" w:lineRule="auto"/>
        <w:ind w:firstLine="283"/>
        <w:jc w:val="both"/>
      </w:pPr>
      <w:r>
        <w:rPr>
          <w:rtl/>
        </w:rPr>
        <w:t>ר׳ לייזר גורדון כינה אותו “הקצות</w:t>
      </w:r>
      <w:bookmarkStart w:id="2539" w:name="_fnr1686"/>
      <w:r>
        <w:rPr>
          <w:rStyle w:val="a5"/>
        </w:rPr>
        <w:footnoteReference w:id="1689" w:customMarkFollows="0"/>
      </w:r>
      <w:bookmarkEnd w:id="2539"/>
      <w:r>
        <w:rPr>
          <w:rtl/>
        </w:rPr>
        <w:t xml:space="preserve"> של דורנו”, ותלמידים שנסעו בין </w:t>
      </w:r>
      <w:proofErr w:type="spellStart"/>
      <w:r>
        <w:rPr>
          <w:rtl/>
        </w:rPr>
        <w:t>טלז</w:t>
      </w:r>
      <w:proofErr w:type="spellEnd"/>
      <w:r>
        <w:rPr>
          <w:rtl/>
        </w:rPr>
        <w:t xml:space="preserve"> </w:t>
      </w:r>
      <w:proofErr w:type="spellStart"/>
      <w:r>
        <w:rPr>
          <w:rtl/>
        </w:rPr>
        <w:t>לסלבודקה</w:t>
      </w:r>
      <w:bookmarkStart w:id="2540" w:name="_fnr1687"/>
      <w:proofErr w:type="spellEnd"/>
      <w:r>
        <w:rPr>
          <w:rStyle w:val="a5"/>
        </w:rPr>
        <w:footnoteReference w:id="1690" w:customMarkFollows="0"/>
      </w:r>
      <w:bookmarkEnd w:id="2540"/>
      <w:r>
        <w:rPr>
          <w:rtl/>
        </w:rPr>
        <w:t xml:space="preserve"> היו עוצרים </w:t>
      </w:r>
      <w:proofErr w:type="spellStart"/>
      <w:r>
        <w:rPr>
          <w:rtl/>
        </w:rPr>
        <w:t>בלוקניק</w:t>
      </w:r>
      <w:proofErr w:type="spellEnd"/>
      <w:r>
        <w:rPr>
          <w:rtl/>
        </w:rPr>
        <w:t xml:space="preserve">, במרחק 28 קילומטרים </w:t>
      </w:r>
      <w:proofErr w:type="spellStart"/>
      <w:r>
        <w:rPr>
          <w:rtl/>
        </w:rPr>
        <w:t>מטלז</w:t>
      </w:r>
      <w:proofErr w:type="spellEnd"/>
      <w:r>
        <w:rPr>
          <w:rtl/>
        </w:rPr>
        <w:t xml:space="preserve">, כדי לשאת ולתת בתורה עם רבה. לאחר “יותר </w:t>
      </w:r>
      <w:proofErr w:type="spellStart"/>
      <w:r>
        <w:rPr>
          <w:rtl/>
        </w:rPr>
        <w:t>מחמש־עשרה</w:t>
      </w:r>
      <w:proofErr w:type="spellEnd"/>
      <w:r>
        <w:rPr>
          <w:rtl/>
        </w:rPr>
        <w:t xml:space="preserve"> שנה מאז שובו לליטא, החליט בערך בשנת תרפ״ב” לעלות לארץ ישראל, ור׳ </w:t>
      </w:r>
      <w:proofErr w:type="spellStart"/>
      <w:r>
        <w:rPr>
          <w:rtl/>
        </w:rPr>
        <w:t>שלמה־נתן</w:t>
      </w:r>
      <w:proofErr w:type="spellEnd"/>
      <w:r>
        <w:rPr>
          <w:rtl/>
        </w:rPr>
        <w:t xml:space="preserve"> חזר לארצות הברית כדי להיפרד פרידה אחרונה מילדיו שהיו שם. אבל כשבא לאמריקה חלתה אשתו, ומכיוון שנאלץ להישאר בארץ זו זמן מה, נתקבל לרב בדטרויט.</w:t>
      </w:r>
    </w:p>
    <w:p w14:paraId="151358EA" w14:textId="77777777" w:rsidR="00AB3647" w:rsidRDefault="00000000" w:rsidP="007923E9">
      <w:pPr>
        <w:spacing w:after="120" w:line="276" w:lineRule="auto"/>
        <w:ind w:firstLine="283"/>
        <w:jc w:val="both"/>
      </w:pPr>
      <w:bookmarkStart w:id="2541" w:name="pr_b_1106"/>
      <w:bookmarkEnd w:id="2541"/>
      <w:r>
        <w:rPr>
          <w:rtl/>
        </w:rPr>
        <w:t xml:space="preserve">כעבור שבע שנים חזר לליטא לשנה אחת, ולבסוף הגיע לארץ ישראל, שבה נעשה ר׳ </w:t>
      </w:r>
      <w:proofErr w:type="spellStart"/>
      <w:r>
        <w:rPr>
          <w:rtl/>
        </w:rPr>
        <w:t>יעקב־משה</w:t>
      </w:r>
      <w:proofErr w:type="spellEnd"/>
      <w:r>
        <w:rPr>
          <w:rtl/>
        </w:rPr>
        <w:t xml:space="preserve"> חרל״פ, תלמידו של הרב הראשי </w:t>
      </w:r>
      <w:proofErr w:type="spellStart"/>
      <w:r>
        <w:rPr>
          <w:rtl/>
        </w:rPr>
        <w:t>אברהם־יצחק</w:t>
      </w:r>
      <w:proofErr w:type="spellEnd"/>
      <w:r>
        <w:rPr>
          <w:rtl/>
        </w:rPr>
        <w:t xml:space="preserve"> קוק, לחתנו. הרב קוטלר נהג שלא לישון בלילות שבת ובמוצאי שבת, וללמוד תורה ברציפות שישים שעות, מיום שישי בבוקר עד יום ראשון בלילה. הוא נפטר בשנת תש״ה</w:t>
      </w:r>
      <w:bookmarkStart w:id="2542" w:name="_fnr1688"/>
      <w:r>
        <w:rPr>
          <w:rStyle w:val="a5"/>
        </w:rPr>
        <w:footnoteReference w:id="1691" w:customMarkFollows="0"/>
      </w:r>
      <w:bookmarkEnd w:id="2542"/>
      <w:r>
        <w:rPr>
          <w:rtl/>
        </w:rPr>
        <w:t xml:space="preserve"> ונקבר בהר הזיתים. ר׳ זבולון זקס, שהכיר את הרב </w:t>
      </w:r>
      <w:r>
        <w:rPr>
          <w:rtl/>
        </w:rPr>
        <w:lastRenderedPageBreak/>
        <w:t>קוטלר וטיפל בעצמו בקבורתו, אמר:</w:t>
      </w:r>
      <w:bookmarkStart w:id="2543" w:name="_fnr1689"/>
      <w:r>
        <w:rPr>
          <w:rStyle w:val="a5"/>
        </w:rPr>
        <w:footnoteReference w:id="1692" w:customMarkFollows="0"/>
      </w:r>
      <w:bookmarkEnd w:id="2543"/>
      <w:r>
        <w:rPr>
          <w:rtl/>
        </w:rPr>
        <w:t xml:space="preserve"> “הוא נראה כמלאך אלוקים”. יש הרואים בו “אולי גדול תלמידי החכמים שחיו באמריקה”.</w:t>
      </w:r>
      <w:bookmarkStart w:id="2544" w:name="_fnr1690"/>
      <w:r>
        <w:rPr>
          <w:rStyle w:val="a5"/>
        </w:rPr>
        <w:footnoteReference w:id="1693" w:customMarkFollows="0"/>
      </w:r>
      <w:bookmarkEnd w:id="2544"/>
    </w:p>
    <w:p w14:paraId="2246CA1F" w14:textId="77777777" w:rsidR="00AB3647" w:rsidRDefault="00000000" w:rsidP="007923E9">
      <w:pPr>
        <w:spacing w:after="120" w:line="276" w:lineRule="auto"/>
        <w:ind w:firstLine="283"/>
        <w:jc w:val="both"/>
      </w:pPr>
      <w:r>
        <w:rPr>
          <w:rtl/>
        </w:rPr>
        <w:t xml:space="preserve">שמו של מלמד נוסף מחברי כולל קובנה נמצא </w:t>
      </w:r>
      <w:proofErr w:type="spellStart"/>
      <w:r>
        <w:rPr>
          <w:rtl/>
        </w:rPr>
        <w:t>ב“בעקבות</w:t>
      </w:r>
      <w:proofErr w:type="spellEnd"/>
      <w:r>
        <w:rPr>
          <w:rtl/>
        </w:rPr>
        <w:t xml:space="preserve"> היראה”,</w:t>
      </w:r>
      <w:bookmarkStart w:id="2545" w:name="_fnr1691"/>
      <w:r>
        <w:rPr>
          <w:rStyle w:val="a5"/>
        </w:rPr>
        <w:footnoteReference w:id="1694" w:customMarkFollows="0"/>
      </w:r>
      <w:bookmarkEnd w:id="2545"/>
      <w:r>
        <w:rPr>
          <w:rtl/>
        </w:rPr>
        <w:t xml:space="preserve"> שם נאמר שר׳ </w:t>
      </w:r>
      <w:proofErr w:type="spellStart"/>
      <w:r>
        <w:rPr>
          <w:rtl/>
        </w:rPr>
        <w:t>יצחק־אליהו</w:t>
      </w:r>
      <w:proofErr w:type="spellEnd"/>
      <w:r>
        <w:rPr>
          <w:rtl/>
        </w:rPr>
        <w:t xml:space="preserve"> גפן, לימים רבה של </w:t>
      </w:r>
      <w:proofErr w:type="spellStart"/>
      <w:r>
        <w:rPr>
          <w:rtl/>
        </w:rPr>
        <w:t>ריטובה</w:t>
      </w:r>
      <w:proofErr w:type="spellEnd"/>
      <w:r>
        <w:rPr>
          <w:rtl/>
        </w:rPr>
        <w:t xml:space="preserve">, “היה ריש מתיבתא (ר״מ) בישיבת </w:t>
      </w:r>
      <w:proofErr w:type="spellStart"/>
      <w:r>
        <w:rPr>
          <w:rtl/>
        </w:rPr>
        <w:t>סלבודקה</w:t>
      </w:r>
      <w:proofErr w:type="spellEnd"/>
      <w:r>
        <w:rPr>
          <w:rtl/>
        </w:rPr>
        <w:t xml:space="preserve"> זמן קצר, מיד עם </w:t>
      </w:r>
      <w:proofErr w:type="spellStart"/>
      <w:r>
        <w:rPr>
          <w:rtl/>
        </w:rPr>
        <w:t>היווסדה</w:t>
      </w:r>
      <w:proofErr w:type="spellEnd"/>
      <w:r>
        <w:rPr>
          <w:rtl/>
        </w:rPr>
        <w:t xml:space="preserve">”. “ספר </w:t>
      </w:r>
      <w:proofErr w:type="spellStart"/>
      <w:r>
        <w:rPr>
          <w:rtl/>
        </w:rPr>
        <w:t>ריטובה</w:t>
      </w:r>
      <w:proofErr w:type="spellEnd"/>
      <w:r>
        <w:rPr>
          <w:rtl/>
        </w:rPr>
        <w:t>”</w:t>
      </w:r>
      <w:bookmarkStart w:id="2546" w:name="_fnr1692"/>
      <w:r>
        <w:rPr>
          <w:rStyle w:val="a5"/>
        </w:rPr>
        <w:footnoteReference w:id="1695" w:customMarkFollows="0"/>
      </w:r>
      <w:bookmarkEnd w:id="2546"/>
      <w:r>
        <w:rPr>
          <w:rtl/>
        </w:rPr>
        <w:t xml:space="preserve"> מציין שנה מסוימת לפעילות זו של הרב גפן, תרמ״ב, ומספר כיצד חלק אכסניה עם הסבא. ייתכן שלימד אחרי שעזב הרב קוטלר, וייתכן ששניהם חלקו בתפקיד ההוראה.</w:t>
      </w:r>
    </w:p>
    <w:p w14:paraId="10C4DB2F"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2547" w:name="_fnr1693"/>
      <w:proofErr w:type="spellEnd"/>
      <w:r>
        <w:rPr>
          <w:rStyle w:val="a5"/>
        </w:rPr>
        <w:footnoteReference w:id="1696" w:customMarkFollows="0"/>
      </w:r>
      <w:bookmarkEnd w:id="2547"/>
      <w:r>
        <w:rPr>
          <w:rtl/>
        </w:rPr>
        <w:t xml:space="preserve"> מזכירים חבר כולל שלישי שהתחיל בשנת תרמ״ג למסור לבחורים הצעירים שיעורים מלאי חיות – לא בשמו, אלא בשם העיירה שבא ממנה, </w:t>
      </w:r>
      <w:proofErr w:type="spellStart"/>
      <w:r>
        <w:rPr>
          <w:rtl/>
        </w:rPr>
        <w:t>לבדוב</w:t>
      </w:r>
      <w:proofErr w:type="spellEnd"/>
      <w:r>
        <w:rPr>
          <w:rtl/>
        </w:rPr>
        <w:t>. עוד מובא בהם</w:t>
      </w:r>
      <w:bookmarkStart w:id="2548" w:name="_fnr1694"/>
      <w:r>
        <w:rPr>
          <w:rStyle w:val="a5"/>
        </w:rPr>
        <w:footnoteReference w:id="1697" w:customMarkFollows="0"/>
      </w:r>
      <w:bookmarkEnd w:id="2548"/>
      <w:r>
        <w:rPr>
          <w:rtl/>
        </w:rPr>
        <w:t xml:space="preserve"> שמו של “ראש הישיבה” באותה עת – כנראה הבכיר שבחברי הכולל שלמדו בבית המדרש – ר׳ </w:t>
      </w:r>
      <w:proofErr w:type="spellStart"/>
      <w:r>
        <w:rPr>
          <w:rtl/>
        </w:rPr>
        <w:t>צבי־הירש</w:t>
      </w:r>
      <w:proofErr w:type="spellEnd"/>
      <w:r>
        <w:rPr>
          <w:rtl/>
        </w:rPr>
        <w:t xml:space="preserve">. </w:t>
      </w:r>
      <w:proofErr w:type="spellStart"/>
      <w:r>
        <w:rPr>
          <w:rtl/>
        </w:rPr>
        <w:t>ראדוס</w:t>
      </w:r>
      <w:proofErr w:type="spellEnd"/>
      <w:r>
        <w:rPr>
          <w:rtl/>
        </w:rPr>
        <w:t xml:space="preserve"> היה אז נער שטרם הגיע לבר מצווה, ולמד בשיעור הפלפול המתקדם שנוסד זה מקרוב.</w:t>
      </w:r>
    </w:p>
    <w:p w14:paraId="6B195E55" w14:textId="77777777" w:rsidR="00AB3647" w:rsidRDefault="00000000" w:rsidP="007923E9">
      <w:pPr>
        <w:spacing w:after="120" w:line="276" w:lineRule="auto"/>
        <w:ind w:firstLine="283"/>
        <w:jc w:val="both"/>
      </w:pPr>
      <w:r>
        <w:rPr>
          <w:rtl/>
        </w:rPr>
        <w:t xml:space="preserve">חבר כולל רביעי שמסר שיעורים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את גדולתו הכוללת בתורה ציין ר׳ </w:t>
      </w:r>
      <w:proofErr w:type="spellStart"/>
      <w:r>
        <w:rPr>
          <w:rtl/>
        </w:rPr>
        <w:t>איסר־זלמן</w:t>
      </w:r>
      <w:proofErr w:type="spellEnd"/>
      <w:r>
        <w:rPr>
          <w:rtl/>
        </w:rPr>
        <w:t xml:space="preserve"> מלצר בהסכמה שנתן לקובץ משיעוריו, “נר אהרן”, והוא אומר </w:t>
      </w:r>
      <w:proofErr w:type="spellStart"/>
      <w:r>
        <w:rPr>
          <w:rtl/>
        </w:rPr>
        <w:t>ש“מחמת</w:t>
      </w:r>
      <w:proofErr w:type="spellEnd"/>
      <w:r>
        <w:rPr>
          <w:rtl/>
        </w:rPr>
        <w:t xml:space="preserve"> פרסומו הגדול בחידושים נפלאים רבים, נעלמה בקיאותו המופלאה בש״ס ובפוסקים”. לפי </w:t>
      </w:r>
      <w:proofErr w:type="spellStart"/>
      <w:r>
        <w:rPr>
          <w:rtl/>
        </w:rPr>
        <w:t>צינוביץ</w:t>
      </w:r>
      <w:proofErr w:type="spellEnd"/>
      <w:r>
        <w:rPr>
          <w:rtl/>
        </w:rPr>
        <w:t>, “אישים וקהילות”,</w:t>
      </w:r>
      <w:bookmarkStart w:id="2549" w:name="_fnr1695"/>
      <w:r>
        <w:rPr>
          <w:rStyle w:val="a5"/>
        </w:rPr>
        <w:footnoteReference w:id="1698" w:customMarkFollows="0"/>
      </w:r>
      <w:bookmarkEnd w:id="2549"/>
      <w:r>
        <w:rPr>
          <w:rtl/>
        </w:rPr>
        <w:t xml:space="preserve"> הוא נחשב לראש הישיבה השלישי בגדולתו בדורו, אחרי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w:t>
      </w:r>
      <w:proofErr w:type="spellStart"/>
      <w:r>
        <w:rPr>
          <w:rtl/>
        </w:rPr>
        <w:t>פוניבז׳ער</w:t>
      </w:r>
      <w:proofErr w:type="spellEnd"/>
      <w:r>
        <w:rPr>
          <w:rtl/>
        </w:rPr>
        <w:t>.</w:t>
      </w:r>
      <w:bookmarkStart w:id="2550" w:name="_fnr1696"/>
      <w:r>
        <w:rPr>
          <w:rStyle w:val="a5"/>
        </w:rPr>
        <w:footnoteReference w:id="1699" w:customMarkFollows="0"/>
      </w:r>
      <w:bookmarkEnd w:id="2550"/>
    </w:p>
    <w:p w14:paraId="4744CEED" w14:textId="77777777" w:rsidR="00AB3647" w:rsidRDefault="00000000" w:rsidP="007923E9">
      <w:pPr>
        <w:spacing w:after="120" w:line="276" w:lineRule="auto"/>
        <w:ind w:firstLine="283"/>
        <w:jc w:val="both"/>
      </w:pPr>
      <w:r>
        <w:rPr>
          <w:rtl/>
        </w:rPr>
        <w:t>בשיחה המוקלטת במלאות חמישים שנה לפטירת הסבא</w:t>
      </w:r>
      <w:bookmarkStart w:id="2551" w:name="_fnr1697"/>
      <w:r>
        <w:rPr>
          <w:rStyle w:val="a5"/>
        </w:rPr>
        <w:footnoteReference w:id="1700" w:customMarkFollows="0"/>
      </w:r>
      <w:bookmarkEnd w:id="2551"/>
      <w:r>
        <w:rPr>
          <w:rtl/>
        </w:rPr>
        <w:t xml:space="preserve"> הוסיף אבי, כשהזכיר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“העולם נתן לו את השם ‘ראש ישיבה’, אף שלא היה אלא חבר כולל </w:t>
      </w:r>
      <w:proofErr w:type="spellStart"/>
      <w:r>
        <w:rPr>
          <w:rtl/>
        </w:rPr>
        <w:t>ש‘אמר</w:t>
      </w:r>
      <w:proofErr w:type="spellEnd"/>
      <w:r>
        <w:rPr>
          <w:rtl/>
        </w:rPr>
        <w:t xml:space="preserve"> תורה’ לבחורים; נו, אבל הרי הוא </w:t>
      </w:r>
      <w:proofErr w:type="spellStart"/>
      <w:r>
        <w:rPr>
          <w:rtl/>
        </w:rPr>
        <w:t>הטבריגער</w:t>
      </w:r>
      <w:proofErr w:type="spellEnd"/>
      <w:r>
        <w:rPr>
          <w:rtl/>
        </w:rPr>
        <w:t>!”. רבנו כינה אותו בשם העיר שממנה נתפרסם ובה כיהן ברבנות זמן רב ביותר, כמסופר להלן, וכוונתו הייתה ששיעוריו היו טובים כשיעוריו של כל ראש ישיבה ממונה.</w:t>
      </w:r>
    </w:p>
    <w:p w14:paraId="35C3313D" w14:textId="77777777" w:rsidR="00AB3647" w:rsidRDefault="00000000" w:rsidP="007923E9">
      <w:pPr>
        <w:spacing w:after="120" w:line="276" w:lineRule="auto"/>
        <w:ind w:firstLine="283"/>
        <w:jc w:val="both"/>
      </w:pPr>
      <w:r>
        <w:rPr>
          <w:rtl/>
        </w:rPr>
        <w:t xml:space="preserve">ר׳ </w:t>
      </w:r>
      <w:proofErr w:type="spellStart"/>
      <w:r>
        <w:rPr>
          <w:rtl/>
        </w:rPr>
        <w:t>אברהם־אהרן</w:t>
      </w:r>
      <w:proofErr w:type="spellEnd"/>
      <w:r>
        <w:rPr>
          <w:rtl/>
        </w:rPr>
        <w:t xml:space="preserve"> </w:t>
      </w:r>
      <w:proofErr w:type="spellStart"/>
      <w:r>
        <w:rPr>
          <w:rtl/>
        </w:rPr>
        <w:t>בורשטין</w:t>
      </w:r>
      <w:proofErr w:type="spellEnd"/>
      <w:r>
        <w:rPr>
          <w:rtl/>
        </w:rPr>
        <w:t xml:space="preserve"> נולד בשנת תרכ״ז, נשא אישה בגיל </w:t>
      </w:r>
      <w:proofErr w:type="spellStart"/>
      <w:r>
        <w:rPr>
          <w:rtl/>
        </w:rPr>
        <w:t>חמש־עשרה</w:t>
      </w:r>
      <w:proofErr w:type="spellEnd"/>
      <w:r>
        <w:rPr>
          <w:rtl/>
        </w:rPr>
        <w:t xml:space="preserve">, ונעשה מגיד שיעור </w:t>
      </w:r>
      <w:proofErr w:type="spellStart"/>
      <w:r>
        <w:rPr>
          <w:rtl/>
        </w:rPr>
        <w:t>בסלבודקה</w:t>
      </w:r>
      <w:proofErr w:type="spellEnd"/>
      <w:r>
        <w:rPr>
          <w:rtl/>
        </w:rPr>
        <w:t xml:space="preserve"> בשנת תרמ״ה,</w:t>
      </w:r>
      <w:bookmarkStart w:id="2552" w:name="_fnr1698"/>
      <w:r>
        <w:rPr>
          <w:rStyle w:val="a5"/>
        </w:rPr>
        <w:footnoteReference w:id="1701" w:customMarkFollows="0"/>
      </w:r>
      <w:bookmarkEnd w:id="2552"/>
      <w:r>
        <w:rPr>
          <w:rtl/>
        </w:rPr>
        <w:t xml:space="preserve"> בגיל </w:t>
      </w:r>
      <w:proofErr w:type="spellStart"/>
      <w:r>
        <w:rPr>
          <w:rtl/>
        </w:rPr>
        <w:t>שמונה־עשרה</w:t>
      </w:r>
      <w:proofErr w:type="spellEnd"/>
      <w:r>
        <w:rPr>
          <w:rtl/>
        </w:rPr>
        <w:t xml:space="preserve">(!). כך כתב אחיו ראובן דוד הכהן </w:t>
      </w:r>
      <w:proofErr w:type="spellStart"/>
      <w:r>
        <w:rPr>
          <w:rtl/>
        </w:rPr>
        <w:lastRenderedPageBreak/>
        <w:t>בורשטין</w:t>
      </w:r>
      <w:proofErr w:type="spellEnd"/>
      <w:r>
        <w:rPr>
          <w:rtl/>
        </w:rPr>
        <w:t xml:space="preserve"> (רבה של </w:t>
      </w:r>
      <w:proofErr w:type="spellStart"/>
      <w:r>
        <w:rPr>
          <w:rtl/>
        </w:rPr>
        <w:t>קמניץ</w:t>
      </w:r>
      <w:proofErr w:type="spellEnd"/>
      <w:r>
        <w:rPr>
          <w:rtl/>
        </w:rPr>
        <w:t xml:space="preserve">) במבוא הביוגרפי לספרו שלו, “דברי </w:t>
      </w:r>
      <w:proofErr w:type="spellStart"/>
      <w:r>
        <w:rPr>
          <w:rtl/>
        </w:rPr>
        <w:t>רד״ך</w:t>
      </w:r>
      <w:proofErr w:type="spellEnd"/>
      <w:r>
        <w:rPr>
          <w:rtl/>
        </w:rPr>
        <w:t>”.</w:t>
      </w:r>
      <w:bookmarkStart w:id="2553" w:name="_fnr1699"/>
      <w:r>
        <w:rPr>
          <w:rStyle w:val="a5"/>
        </w:rPr>
        <w:footnoteReference w:id="1702" w:customMarkFollows="0"/>
      </w:r>
      <w:bookmarkEnd w:id="2553"/>
      <w:r>
        <w:rPr>
          <w:rtl/>
        </w:rPr>
        <w:t xml:space="preserve"> בשנת תרנ״א נעשה ר׳ </w:t>
      </w:r>
      <w:proofErr w:type="spellStart"/>
      <w:r>
        <w:rPr>
          <w:rtl/>
        </w:rPr>
        <w:t>אברהם־אהרן</w:t>
      </w:r>
      <w:proofErr w:type="spellEnd"/>
      <w:r>
        <w:rPr>
          <w:rtl/>
        </w:rPr>
        <w:t xml:space="preserve"> רבה של </w:t>
      </w:r>
      <w:proofErr w:type="spellStart"/>
      <w:r>
        <w:rPr>
          <w:rtl/>
        </w:rPr>
        <w:t>ציטוביאן</w:t>
      </w:r>
      <w:proofErr w:type="spellEnd"/>
      <w:r>
        <w:rPr>
          <w:rtl/>
        </w:rPr>
        <w:t xml:space="preserve">, העיירה בליטא שבה כיהן אבי ברבנות שלושים וחמש שנה לאחר מכן. הוא נשאר שם שנה וחצי, ואחר כך עבר לכהן ברבנות במקומות אחרים: </w:t>
      </w:r>
      <w:proofErr w:type="spellStart"/>
      <w:r>
        <w:rPr>
          <w:rtl/>
        </w:rPr>
        <w:t>ריטובה</w:t>
      </w:r>
      <w:proofErr w:type="spellEnd"/>
      <w:r>
        <w:rPr>
          <w:rtl/>
        </w:rPr>
        <w:t xml:space="preserve">, לחמש שנים, ואחריה </w:t>
      </w:r>
      <w:proofErr w:type="spellStart"/>
      <w:r>
        <w:rPr>
          <w:rtl/>
        </w:rPr>
        <w:t>אניקשט</w:t>
      </w:r>
      <w:proofErr w:type="spellEnd"/>
      <w:r>
        <w:rPr>
          <w:rtl/>
        </w:rPr>
        <w:t xml:space="preserve">, </w:t>
      </w:r>
      <w:proofErr w:type="spellStart"/>
      <w:r>
        <w:rPr>
          <w:rtl/>
        </w:rPr>
        <w:t>סלנט</w:t>
      </w:r>
      <w:proofErr w:type="spellEnd"/>
      <w:r>
        <w:rPr>
          <w:rtl/>
        </w:rPr>
        <w:t xml:space="preserve">, שדובה ולבסוף </w:t>
      </w:r>
      <w:proofErr w:type="spellStart"/>
      <w:r>
        <w:rPr>
          <w:rtl/>
        </w:rPr>
        <w:t>טבריג</w:t>
      </w:r>
      <w:proofErr w:type="spellEnd"/>
      <w:r>
        <w:rPr>
          <w:rtl/>
        </w:rPr>
        <w:t>, שבה כיהן עשרים ושלוש שנה.</w:t>
      </w:r>
      <w:bookmarkStart w:id="2554" w:name="_fnr1700"/>
      <w:r>
        <w:rPr>
          <w:rStyle w:val="a5"/>
        </w:rPr>
        <w:footnoteReference w:id="1703" w:customMarkFollows="0"/>
      </w:r>
      <w:bookmarkEnd w:id="2554"/>
      <w:r>
        <w:rPr>
          <w:rtl/>
        </w:rPr>
        <w:t xml:space="preserve"> הוא נפטר בשנת תרפ״ו, אחרי שכיהן שנתיים כראש הישיבה המרכזית העולמית בירושלים (לימים מרכז הרב).</w:t>
      </w:r>
    </w:p>
    <w:p w14:paraId="1C44D484" w14:textId="29AF5D55" w:rsidR="00AB3647" w:rsidRDefault="00000000" w:rsidP="007923E9">
      <w:pPr>
        <w:spacing w:after="120" w:line="276" w:lineRule="auto"/>
        <w:ind w:firstLine="283"/>
        <w:jc w:val="both"/>
      </w:pPr>
      <w:r>
        <w:rPr>
          <w:rtl/>
        </w:rPr>
        <w:t xml:space="preserve">לפי </w:t>
      </w:r>
      <w:proofErr w:type="spellStart"/>
      <w:r>
        <w:rPr>
          <w:rtl/>
        </w:rPr>
        <w:t>צינוביץ</w:t>
      </w:r>
      <w:proofErr w:type="spellEnd"/>
      <w:r>
        <w:rPr>
          <w:rtl/>
        </w:rPr>
        <w:t>, “אישים וקהילות”,</w:t>
      </w:r>
      <w:bookmarkStart w:id="2555" w:name="_fnr1701"/>
      <w:r>
        <w:rPr>
          <w:rStyle w:val="a5"/>
        </w:rPr>
        <w:footnoteReference w:id="1704" w:customMarkFollows="0"/>
      </w:r>
      <w:bookmarkEnd w:id="2555"/>
      <w:r>
        <w:rPr>
          <w:rtl/>
        </w:rPr>
        <w:t xml:space="preserve"> הורה ר׳ </w:t>
      </w:r>
      <w:proofErr w:type="spellStart"/>
      <w:r>
        <w:rPr>
          <w:rtl/>
        </w:rPr>
        <w:t>אברהם־יצחק</w:t>
      </w:r>
      <w:proofErr w:type="spellEnd"/>
      <w:r>
        <w:rPr>
          <w:rtl/>
        </w:rPr>
        <w:t xml:space="preserve"> קוק לכתוב על מצבתו את הנוסח רב השבחים: “ארז בלבנון, אדיר התורה, בחיר גאוני הזמן, ראש ישיבות גדולות, עמוד התורה, הגאון האמיתי, פאר הדור”. ר׳ </w:t>
      </w:r>
      <w:proofErr w:type="spellStart"/>
      <w:r>
        <w:rPr>
          <w:rtl/>
        </w:rPr>
        <w:t>אברהם־אהרן</w:t>
      </w:r>
      <w:proofErr w:type="spellEnd"/>
      <w:r>
        <w:rPr>
          <w:rtl/>
        </w:rPr>
        <w:t xml:space="preserve"> מתואר</w:t>
      </w:r>
      <w:bookmarkStart w:id="2556" w:name="_fnr1702"/>
      <w:r>
        <w:rPr>
          <w:rStyle w:val="a5"/>
        </w:rPr>
        <w:footnoteReference w:id="1705" w:customMarkFollows="0"/>
      </w:r>
      <w:bookmarkEnd w:id="2556"/>
      <w:r>
        <w:rPr>
          <w:rtl/>
        </w:rPr>
        <w:t xml:space="preserve"> כך: “מידותיו הטהורות היו מלאכיות, שלא כדבר המצוי עלי אדמות. מעולם לא יצא שקר מפיו, חלילה, ומעולם לא החניף לאדם, חלילה – אפילו למי שפרנסתו הייתה תלויה בו. אהב כל אדם, ואהבתו ללמדן אמיתי הייתה אהבת נפש. שנא כסף ושקר, והיה צדיק גדול. נוכל לומר עליו: למד לימד וקיים. חכם היה לאין ערוך בכל התחומים. כל שדיבר עמו רגעים אחדים נקשר אליו ואהבו כאהבת עצמו, מפני שאבנים טובות ומרגליות נתלו בלשון הזהב שלו, אפילו בדברי חולין”. השווה גם פרק 5, סוף הפסקה הראשונה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על עדינותו.</w:t>
      </w:r>
    </w:p>
    <w:p w14:paraId="1799A040" w14:textId="77777777" w:rsidR="00AB3647" w:rsidRDefault="00000000" w:rsidP="007923E9">
      <w:pPr>
        <w:spacing w:after="120" w:line="276" w:lineRule="auto"/>
        <w:ind w:firstLine="283"/>
        <w:jc w:val="both"/>
      </w:pPr>
      <w:r>
        <w:rPr>
          <w:rtl/>
        </w:rPr>
        <w:t xml:space="preserve">בהערת שוליים למאמר “לדמותו של הגאון ר׳ שלמה </w:t>
      </w:r>
      <w:proofErr w:type="spellStart"/>
      <w:r>
        <w:rPr>
          <w:rtl/>
        </w:rPr>
        <w:t>פוליאצ׳יק</w:t>
      </w:r>
      <w:proofErr w:type="spellEnd"/>
      <w:r>
        <w:rPr>
          <w:rtl/>
        </w:rPr>
        <w:t xml:space="preserve"> ז״ל” </w:t>
      </w:r>
      <w:proofErr w:type="spellStart"/>
      <w:r>
        <w:rPr>
          <w:rtl/>
        </w:rPr>
        <w:t>ב“תלפיות</w:t>
      </w:r>
      <w:proofErr w:type="spellEnd"/>
      <w:r>
        <w:rPr>
          <w:rtl/>
        </w:rPr>
        <w:t>”,</w:t>
      </w:r>
      <w:bookmarkStart w:id="2557" w:name="_fnr1703"/>
      <w:r>
        <w:rPr>
          <w:rStyle w:val="a5"/>
        </w:rPr>
        <w:footnoteReference w:id="1706" w:customMarkFollows="0"/>
      </w:r>
      <w:bookmarkEnd w:id="2557"/>
      <w:r>
        <w:rPr>
          <w:rtl/>
        </w:rPr>
        <w:t xml:space="preserve"> מביא ניסן וקסמן מעשה מעניין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ששמע מר׳ שלמה </w:t>
      </w:r>
      <w:proofErr w:type="spellStart"/>
      <w:r>
        <w:rPr>
          <w:rtl/>
        </w:rPr>
        <w:t>פוליצ׳ק</w:t>
      </w:r>
      <w:proofErr w:type="spellEnd"/>
      <w:r>
        <w:rPr>
          <w:rtl/>
        </w:rPr>
        <w:t xml:space="preserve">, העילוי </w:t>
      </w:r>
      <w:proofErr w:type="spellStart"/>
      <w:r>
        <w:rPr>
          <w:rtl/>
        </w:rPr>
        <w:t>ממייצ׳ט</w:t>
      </w:r>
      <w:proofErr w:type="spellEnd"/>
      <w:r>
        <w:rPr>
          <w:rtl/>
        </w:rPr>
        <w:t>.</w:t>
      </w:r>
      <w:bookmarkStart w:id="2558" w:name="_fnr1704"/>
      <w:r>
        <w:rPr>
          <w:rStyle w:val="a5"/>
        </w:rPr>
        <w:footnoteReference w:id="1707" w:customMarkFollows="0"/>
      </w:r>
      <w:bookmarkEnd w:id="2558"/>
      <w:r>
        <w:rPr>
          <w:rtl/>
        </w:rPr>
        <w:t xml:space="preserve"> בזמן גלות יהדות ליטא בשנת תרע״ה,</w:t>
      </w:r>
      <w:bookmarkStart w:id="2559" w:name="_fnr1705"/>
      <w:r>
        <w:rPr>
          <w:rStyle w:val="a5"/>
        </w:rPr>
        <w:footnoteReference w:id="1708" w:customMarkFollows="0"/>
      </w:r>
      <w:bookmarkEnd w:id="2559"/>
      <w:r>
        <w:rPr>
          <w:rtl/>
        </w:rPr>
        <w:t xml:space="preserve"> התיישב ר׳ </w:t>
      </w:r>
      <w:proofErr w:type="spellStart"/>
      <w:r>
        <w:rPr>
          <w:rtl/>
        </w:rPr>
        <w:t>אברהם־אהרן</w:t>
      </w:r>
      <w:proofErr w:type="spellEnd"/>
      <w:r>
        <w:rPr>
          <w:rtl/>
        </w:rPr>
        <w:t xml:space="preserve"> </w:t>
      </w:r>
      <w:proofErr w:type="spellStart"/>
      <w:r>
        <w:rPr>
          <w:rtl/>
        </w:rPr>
        <w:t xml:space="preserve">בבוגורודסק</w:t>
      </w:r>
      <w:proofErr w:type="spellEnd"/>
      <w:r>
        <w:rPr>
          <w:rtl/>
        </w:rPr>
        <w:t xml:space="preserve"> שממזרח למוסקבה. שני עשירים ממוסקבה, ר׳ </w:t>
      </w:r>
      <w:proofErr w:type="spellStart"/>
      <w:r>
        <w:rPr>
          <w:rtl/>
        </w:rPr>
        <w:t>יהושע־זליג</w:t>
      </w:r>
      <w:proofErr w:type="spellEnd"/>
      <w:r>
        <w:rPr>
          <w:rtl/>
        </w:rPr>
        <w:t xml:space="preserve"> </w:t>
      </w:r>
      <w:proofErr w:type="spellStart"/>
      <w:r>
        <w:rPr>
          <w:rtl/>
        </w:rPr>
        <w:t>פרסיץ</w:t>
      </w:r>
      <w:proofErr w:type="spellEnd"/>
      <w:r>
        <w:rPr>
          <w:rtl/>
        </w:rPr>
        <w:t xml:space="preserve"> והלל </w:t>
      </w:r>
      <w:proofErr w:type="spellStart"/>
      <w:r>
        <w:rPr>
          <w:rtl/>
        </w:rPr>
        <w:t>זלטופולסקי</w:t>
      </w:r>
      <w:proofErr w:type="spellEnd"/>
      <w:r>
        <w:rPr>
          <w:rtl/>
        </w:rPr>
        <w:t>, התחייבו לממן לו ישיבה, בתנאי שימסור את השיעורים בעברית!</w:t>
      </w:r>
    </w:p>
    <w:p w14:paraId="7BA577FC" w14:textId="77777777" w:rsidR="00AB3647" w:rsidRDefault="00000000" w:rsidP="007923E9">
      <w:pPr>
        <w:spacing w:after="120" w:line="276" w:lineRule="auto"/>
        <w:ind w:firstLine="283"/>
        <w:jc w:val="both"/>
      </w:pPr>
      <w:r>
        <w:rPr>
          <w:rtl/>
        </w:rPr>
        <w:t xml:space="preserve">ביום חורף אחד, קר וסוער, באו לשיעור רק תלמידים מעטים, והוא קיבל את הצעתו של מישהו שלא להתאמץ למען קהל קטן כל כך בלשון שאינה שגורה בפיו. לפיכך מסר באותו יום את שיעורו ביידיש. אחד התלמידים – קנאי ציוני, מן הסתם – טלפן לשושנה בת </w:t>
      </w:r>
      <w:proofErr w:type="spellStart"/>
      <w:r>
        <w:rPr>
          <w:rtl/>
        </w:rPr>
        <w:t>זלטופולסקי</w:t>
      </w:r>
      <w:proofErr w:type="spellEnd"/>
      <w:r>
        <w:rPr>
          <w:rtl/>
        </w:rPr>
        <w:t xml:space="preserve">, כלתו של </w:t>
      </w:r>
      <w:proofErr w:type="spellStart"/>
      <w:r>
        <w:rPr>
          <w:rtl/>
        </w:rPr>
        <w:t>פרסיץ</w:t>
      </w:r>
      <w:proofErr w:type="spellEnd"/>
      <w:r>
        <w:rPr>
          <w:rtl/>
        </w:rPr>
        <w:t xml:space="preserve"> ואשת בנו ר׳ יוסף, כדי לספר מה אירע, והיא התעלפה כששפופרת הטלפון בידה.</w:t>
      </w:r>
      <w:bookmarkStart w:id="2560" w:name="_fnr1706"/>
      <w:r>
        <w:rPr>
          <w:rStyle w:val="a5"/>
        </w:rPr>
        <w:footnoteReference w:id="1709" w:customMarkFollows="0"/>
      </w:r>
      <w:bookmarkEnd w:id="2560"/>
      <w:bookmarkStart w:id="7016" w:name="_TranslatorNote_5382"/>
      <w:r>
        <w:rPr>
          <w:rStyle w:val="a5"/>
          <w:vertAlign w:val="superscript"/>
          <w:rtl/>
        </w:rPr>
        <w:footnoteReference w:id="1710" w:customMarkFollows="1"/>
        <w:t>*</w:t>
      </w:r>
      <w:bookmarkEnd w:id="7016"/>
      <w:r>
        <w:rPr>
          <w:rtl/>
        </w:rPr>
        <w:t xml:space="preserve"> היא הכירה את “מידותיו המלאכיות”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כמובא לעיל, </w:t>
      </w:r>
      <w:proofErr w:type="spellStart"/>
      <w:r>
        <w:rPr>
          <w:rtl/>
        </w:rPr>
        <w:t>ונזדעזעה</w:t>
      </w:r>
      <w:proofErr w:type="spellEnd"/>
      <w:r>
        <w:rPr>
          <w:rtl/>
        </w:rPr>
        <w:t xml:space="preserve"> מכך שסטה מלשונו המדויקת של ההסכם עם אביה וחותנה.</w:t>
      </w:r>
    </w:p>
    <w:p w14:paraId="15F8FC5B" w14:textId="77777777" w:rsidR="00AB3647" w:rsidRDefault="00000000" w:rsidP="007923E9">
      <w:pPr>
        <w:spacing w:after="120" w:line="276" w:lineRule="auto"/>
        <w:ind w:firstLine="283"/>
        <w:jc w:val="both"/>
      </w:pPr>
      <w:r>
        <w:rPr>
          <w:rtl/>
        </w:rPr>
        <w:lastRenderedPageBreak/>
        <w:t xml:space="preserve">בסקירה הביוגרפית של רב </w:t>
      </w:r>
      <w:proofErr w:type="spellStart"/>
      <w:r>
        <w:rPr>
          <w:rtl/>
        </w:rPr>
        <w:t>קמניץ</w:t>
      </w:r>
      <w:proofErr w:type="spellEnd"/>
      <w:r>
        <w:rPr>
          <w:rtl/>
        </w:rPr>
        <w:t xml:space="preserve"> על ר׳ </w:t>
      </w:r>
      <w:proofErr w:type="spellStart"/>
      <w:r>
        <w:rPr>
          <w:rtl/>
        </w:rPr>
        <w:t>אברהם־אהרן</w:t>
      </w:r>
      <w:proofErr w:type="spellEnd"/>
      <w:r>
        <w:rPr>
          <w:rtl/>
        </w:rPr>
        <w:t xml:space="preserve"> </w:t>
      </w:r>
      <w:proofErr w:type="spellStart"/>
      <w:r>
        <w:rPr>
          <w:rtl/>
        </w:rPr>
        <w:t>בורשטין</w:t>
      </w:r>
      <w:bookmarkStart w:id="2561" w:name="_fnr1707"/>
      <w:proofErr w:type="spellEnd"/>
      <w:r>
        <w:rPr>
          <w:rStyle w:val="a5"/>
        </w:rPr>
        <w:footnoteReference w:id="1711" w:customMarkFollows="0"/>
      </w:r>
      <w:bookmarkEnd w:id="2561"/>
      <w:r>
        <w:rPr>
          <w:rtl/>
        </w:rPr>
        <w:t xml:space="preserve"> נאמר: “הישיבה, עם ראש הישיבה שלה ר׳ </w:t>
      </w:r>
      <w:proofErr w:type="spellStart"/>
      <w:r>
        <w:rPr>
          <w:rtl/>
        </w:rPr>
        <w:t>אברהם־אהרן</w:t>
      </w:r>
      <w:proofErr w:type="spellEnd"/>
      <w:r>
        <w:rPr>
          <w:rtl/>
        </w:rPr>
        <w:t xml:space="preserve"> </w:t>
      </w:r>
      <w:proofErr w:type="spellStart"/>
      <w:r>
        <w:rPr>
          <w:rtl/>
        </w:rPr>
        <w:t>בורשטין</w:t>
      </w:r>
      <w:proofErr w:type="spellEnd"/>
      <w:r>
        <w:rPr>
          <w:rtl/>
        </w:rPr>
        <w:t>, עברה [</w:t>
      </w:r>
      <w:proofErr w:type="spellStart"/>
      <w:r>
        <w:rPr>
          <w:rtl/>
        </w:rPr>
        <w:t xml:space="preserve">מבוגורודסק</w:t>
      </w:r>
      <w:proofErr w:type="spellEnd"/>
      <w:r>
        <w:rPr>
          <w:rtl/>
        </w:rPr>
        <w:t xml:space="preserve">] לעיר </w:t>
      </w:r>
      <w:proofErr w:type="spellStart"/>
      <w:r>
        <w:rPr>
          <w:rtl/>
        </w:rPr>
        <w:t>סרטוב</w:t>
      </w:r>
      <w:proofErr w:type="spellEnd"/>
      <w:r>
        <w:rPr>
          <w:rtl/>
        </w:rPr>
        <w:t xml:space="preserve">, ולבסוף נסגרה. ר׳ </w:t>
      </w:r>
      <w:proofErr w:type="spellStart"/>
      <w:r>
        <w:rPr>
          <w:rtl/>
        </w:rPr>
        <w:t>אברהם־אהרן</w:t>
      </w:r>
      <w:proofErr w:type="spellEnd"/>
      <w:r>
        <w:rPr>
          <w:rtl/>
        </w:rPr>
        <w:t xml:space="preserve"> </w:t>
      </w:r>
      <w:proofErr w:type="spellStart"/>
      <w:r>
        <w:rPr>
          <w:rtl/>
        </w:rPr>
        <w:t>בורשטין</w:t>
      </w:r>
      <w:proofErr w:type="spellEnd"/>
      <w:r>
        <w:rPr>
          <w:rtl/>
        </w:rPr>
        <w:t xml:space="preserve"> נתקבל אז לרבה של </w:t>
      </w:r>
      <w:proofErr w:type="spellStart"/>
      <w:r>
        <w:rPr>
          <w:rtl/>
        </w:rPr>
        <w:t>צ׳רקס</w:t>
      </w:r>
      <w:proofErr w:type="spellEnd"/>
      <w:r>
        <w:rPr>
          <w:rtl/>
        </w:rPr>
        <w:t>,</w:t>
      </w:r>
      <w:bookmarkStart w:id="2562" w:name="_fnr1708"/>
      <w:r>
        <w:rPr>
          <w:rStyle w:val="a5"/>
        </w:rPr>
        <w:footnoteReference w:id="1712" w:customMarkFollows="0"/>
      </w:r>
      <w:bookmarkEnd w:id="2562"/>
      <w:r>
        <w:rPr>
          <w:rtl/>
        </w:rPr>
        <w:t xml:space="preserve"> ובזמן שהותו שם היו שני פוגרומים איומים ונוראים של האוקראינים באחינו היהודים. המרצחים רדפו אז אחר הרב, והוא נכנס בריצה לביתו של רופא </w:t>
      </w:r>
      <w:proofErr w:type="spellStart"/>
      <w:r>
        <w:rPr>
          <w:rtl/>
        </w:rPr>
        <w:t>נכרי</w:t>
      </w:r>
      <w:proofErr w:type="spellEnd"/>
      <w:r>
        <w:rPr>
          <w:rtl/>
        </w:rPr>
        <w:t xml:space="preserve">. הרוצחים רדפו אחריו גם לשם, אך אשת הרופא התייצבה נגדם. הם גברו עליה, ובינתיים הצליח להימלט דרך חלון ולהינצל מידם. כשנפתחה הדרך חזרה לפלך קובנה, מיהר לשוב עם משפחתו </w:t>
      </w:r>
      <w:proofErr w:type="spellStart"/>
      <w:r>
        <w:rPr>
          <w:rtl/>
        </w:rPr>
        <w:t>לטבריג</w:t>
      </w:r>
      <w:proofErr w:type="spellEnd"/>
      <w:r>
        <w:rPr>
          <w:rtl/>
        </w:rPr>
        <w:t>”.</w:t>
      </w:r>
      <w:bookmarkStart w:id="2563" w:name="_fnr1709"/>
      <w:r>
        <w:rPr>
          <w:rStyle w:val="a5"/>
        </w:rPr>
        <w:footnoteReference w:id="1713" w:customMarkFollows="0"/>
      </w:r>
      <w:bookmarkEnd w:id="2563"/>
    </w:p>
    <w:p w14:paraId="0BF5E1A4" w14:textId="77777777" w:rsidR="00AB3647" w:rsidRDefault="00000000" w:rsidP="007923E9">
      <w:pPr>
        <w:spacing w:after="120" w:line="276" w:lineRule="auto"/>
        <w:ind w:firstLine="283"/>
        <w:jc w:val="both"/>
      </w:pPr>
      <w:r>
        <w:rPr>
          <w:rtl/>
        </w:rPr>
        <w:t xml:space="preserve">בשיחה המוקלטת במלאות חמישים שנה לפטירת הסבא נקב אבי בשמו של חבר כולל חמישי ששימש כמגיד שיעור, ואמר שהיו גם אחרים, שלא נקב בשמותיהם: “אחרי ר׳ </w:t>
      </w:r>
      <w:proofErr w:type="spellStart"/>
      <w:r>
        <w:rPr>
          <w:rtl/>
        </w:rPr>
        <w:t>אברהם־אהרן</w:t>
      </w:r>
      <w:proofErr w:type="spellEnd"/>
      <w:r>
        <w:rPr>
          <w:rtl/>
        </w:rPr>
        <w:t xml:space="preserve"> </w:t>
      </w:r>
      <w:proofErr w:type="spellStart"/>
      <w:r>
        <w:rPr>
          <w:rtl/>
        </w:rPr>
        <w:t>בורשטין</w:t>
      </w:r>
      <w:proofErr w:type="spellEnd"/>
      <w:r>
        <w:rPr>
          <w:rtl/>
        </w:rPr>
        <w:t xml:space="preserve"> אמר הרב מדרבנה שיעורים, ואחריו היו עוד כמה </w:t>
      </w:r>
      <w:proofErr w:type="spellStart"/>
      <w:r>
        <w:rPr>
          <w:rtl/>
        </w:rPr>
        <w:t>ש‘אמרו</w:t>
      </w:r>
      <w:proofErr w:type="spellEnd"/>
      <w:r>
        <w:rPr>
          <w:rtl/>
        </w:rPr>
        <w:t xml:space="preserve"> תורה’ לבחורים. הם [מוסרי השיעורים] גדלו [השתפרו כמגידי שיעור], והעולם גדל [התקדם בלימודו]”. בשיחה המוקלטת בבית הכנסת “בית ישראל” במיאמי </w:t>
      </w:r>
      <w:proofErr w:type="spellStart"/>
      <w:r>
        <w:rPr>
          <w:rtl/>
        </w:rPr>
        <w:t>ביץ</w:t>
      </w:r>
      <w:proofErr w:type="spellEnd"/>
      <w:r>
        <w:rPr>
          <w:rtl/>
        </w:rPr>
        <w:t>׳ הזכיר גם את “</w:t>
      </w:r>
      <w:proofErr w:type="spellStart"/>
      <w:r>
        <w:rPr>
          <w:rtl/>
        </w:rPr>
        <w:t>גולוב</w:t>
      </w:r>
      <w:proofErr w:type="spellEnd"/>
      <w:r>
        <w:rPr>
          <w:rtl/>
        </w:rPr>
        <w:t xml:space="preserve">” כמי שאמר שיעור </w:t>
      </w:r>
      <w:proofErr w:type="spellStart"/>
      <w:r>
        <w:rPr>
          <w:rtl/>
        </w:rPr>
        <w:t>בסלבודקה</w:t>
      </w:r>
      <w:proofErr w:type="spellEnd"/>
      <w:r>
        <w:rPr>
          <w:rtl/>
        </w:rPr>
        <w:t>.</w:t>
      </w:r>
    </w:p>
    <w:p w14:paraId="72DDF4FE" w14:textId="77777777" w:rsidR="00AB3647" w:rsidRDefault="00000000" w:rsidP="007923E9">
      <w:pPr>
        <w:spacing w:after="120" w:line="276" w:lineRule="auto"/>
        <w:ind w:firstLine="283"/>
        <w:jc w:val="both"/>
      </w:pPr>
      <w:r>
        <w:rPr>
          <w:rtl/>
        </w:rPr>
        <w:t xml:space="preserve">מצאתי </w:t>
      </w:r>
      <w:proofErr w:type="spellStart"/>
      <w:r>
        <w:rPr>
          <w:rtl/>
        </w:rPr>
        <w:t>ב“פאר</w:t>
      </w:r>
      <w:proofErr w:type="spellEnd"/>
      <w:r>
        <w:rPr>
          <w:rtl/>
        </w:rPr>
        <w:t xml:space="preserve"> הדור, ח״א”</w:t>
      </w:r>
      <w:bookmarkStart w:id="2564" w:name="_fnr1710"/>
      <w:r>
        <w:rPr>
          <w:rStyle w:val="a5"/>
        </w:rPr>
        <w:footnoteReference w:id="1714" w:customMarkFollows="0"/>
      </w:r>
      <w:bookmarkEnd w:id="2564"/>
      <w:r>
        <w:rPr>
          <w:rtl/>
        </w:rPr>
        <w:t xml:space="preserve"> </w:t>
      </w:r>
      <w:proofErr w:type="spellStart"/>
      <w:r>
        <w:rPr>
          <w:rtl/>
        </w:rPr>
        <w:t>ש“הרב</w:t>
      </w:r>
      <w:proofErr w:type="spellEnd"/>
      <w:r>
        <w:rPr>
          <w:rtl/>
        </w:rPr>
        <w:t xml:space="preserve"> מדרבנה” </w:t>
      </w:r>
      <w:proofErr w:type="spellStart"/>
      <w:r>
        <w:rPr>
          <w:rtl/>
        </w:rPr>
        <w:t>ו“גולוב</w:t>
      </w:r>
      <w:proofErr w:type="spellEnd"/>
      <w:r>
        <w:rPr>
          <w:rtl/>
        </w:rPr>
        <w:t>” היו אותו אדם: שם נזכר</w:t>
      </w:r>
      <w:bookmarkStart w:id="2565" w:name="_fnr1711"/>
      <w:r>
        <w:rPr>
          <w:rStyle w:val="a5"/>
        </w:rPr>
        <w:footnoteReference w:id="1715" w:customMarkFollows="0"/>
      </w:r>
      <w:bookmarkEnd w:id="2565"/>
      <w:r>
        <w:rPr>
          <w:rtl/>
        </w:rPr>
        <w:t xml:space="preserve"> ר׳ </w:t>
      </w:r>
      <w:proofErr w:type="spellStart"/>
      <w:r>
        <w:rPr>
          <w:rtl/>
        </w:rPr>
        <w:t>שניאור־פייבוש</w:t>
      </w:r>
      <w:proofErr w:type="spellEnd"/>
      <w:r>
        <w:rPr>
          <w:rtl/>
        </w:rPr>
        <w:t xml:space="preserve"> </w:t>
      </w:r>
      <w:proofErr w:type="spellStart"/>
      <w:r>
        <w:rPr>
          <w:rtl/>
        </w:rPr>
        <w:t>גולוב</w:t>
      </w:r>
      <w:proofErr w:type="spellEnd"/>
      <w:r>
        <w:rPr>
          <w:rtl/>
        </w:rPr>
        <w:t xml:space="preserve">, רבה של דרבנה, כמי </w:t>
      </w:r>
      <w:proofErr w:type="spellStart"/>
      <w:r>
        <w:rPr>
          <w:rtl/>
        </w:rPr>
        <w:t>ש“שימש</w:t>
      </w:r>
      <w:proofErr w:type="spellEnd"/>
      <w:r>
        <w:rPr>
          <w:rtl/>
        </w:rPr>
        <w:t xml:space="preserve"> כר״מ בישיבת </w:t>
      </w:r>
      <w:proofErr w:type="spellStart"/>
      <w:r>
        <w:rPr>
          <w:rtl/>
        </w:rPr>
        <w:t>סלבודקה</w:t>
      </w:r>
      <w:proofErr w:type="spellEnd"/>
      <w:r>
        <w:rPr>
          <w:rtl/>
        </w:rPr>
        <w:t xml:space="preserve"> זמן מה”. עוד מספר “פאר הדור” שאחיו של ר׳ </w:t>
      </w:r>
      <w:proofErr w:type="spellStart"/>
      <w:r>
        <w:rPr>
          <w:rtl/>
        </w:rPr>
        <w:t>שניאור־פייבוש</w:t>
      </w:r>
      <w:proofErr w:type="spellEnd"/>
      <w:r>
        <w:rPr>
          <w:rtl/>
        </w:rPr>
        <w:t xml:space="preserve"> </w:t>
      </w:r>
      <w:proofErr w:type="spellStart"/>
      <w:r>
        <w:rPr>
          <w:rtl/>
        </w:rPr>
        <w:t>גולוב</w:t>
      </w:r>
      <w:proofErr w:type="spellEnd"/>
      <w:r>
        <w:rPr>
          <w:rtl/>
        </w:rPr>
        <w:t xml:space="preserve"> היה ר׳ שלמה </w:t>
      </w:r>
      <w:proofErr w:type="spellStart"/>
      <w:r>
        <w:rPr>
          <w:rtl/>
        </w:rPr>
        <w:t>גולובנצ׳יץ</w:t>
      </w:r>
      <w:proofErr w:type="spellEnd"/>
      <w:r>
        <w:rPr>
          <w:rtl/>
        </w:rPr>
        <w:t xml:space="preserve"> (</w:t>
      </w:r>
      <w:proofErr w:type="spellStart"/>
      <w:r>
        <w:rPr>
          <w:rtl/>
        </w:rPr>
        <w:t>תר״ך</w:t>
      </w:r>
      <w:proofErr w:type="spellEnd"/>
      <w:r>
        <w:rPr>
          <w:rtl/>
        </w:rPr>
        <w:t>–תש״א), שאצלו למד אבי במינסק,</w:t>
      </w:r>
      <w:bookmarkStart w:id="2566" w:name="_fnr1712"/>
      <w:r>
        <w:rPr>
          <w:rStyle w:val="a5"/>
        </w:rPr>
        <w:footnoteReference w:id="1716" w:customMarkFollows="0"/>
      </w:r>
      <w:bookmarkEnd w:id="2566"/>
      <w:r>
        <w:rPr>
          <w:rtl/>
        </w:rPr>
        <w:t xml:space="preserve"> ואחותו הייתה נשואה </w:t>
      </w:r>
      <w:proofErr w:type="spellStart"/>
      <w:r>
        <w:rPr>
          <w:rtl/>
        </w:rPr>
        <w:t>לר</w:t>
      </w:r>
      <w:proofErr w:type="spellEnd"/>
      <w:r>
        <w:rPr>
          <w:rtl/>
        </w:rPr>
        <w:t xml:space="preserve">׳ </w:t>
      </w:r>
      <w:proofErr w:type="spellStart"/>
      <w:r>
        <w:rPr>
          <w:rtl/>
        </w:rPr>
        <w:t>יהושע־תנחום</w:t>
      </w:r>
      <w:proofErr w:type="spellEnd"/>
      <w:r>
        <w:rPr>
          <w:rtl/>
        </w:rPr>
        <w:t xml:space="preserve"> </w:t>
      </w:r>
      <w:proofErr w:type="spellStart"/>
      <w:r>
        <w:rPr>
          <w:rtl/>
        </w:rPr>
        <w:t>ציבולניק</w:t>
      </w:r>
      <w:proofErr w:type="spellEnd"/>
      <w:r>
        <w:rPr>
          <w:rtl/>
        </w:rPr>
        <w:t>, “אחד האברכים החשובים בכולל קובנה”.</w:t>
      </w:r>
      <w:bookmarkStart w:id="2567" w:name="_fnr1713"/>
      <w:r>
        <w:rPr>
          <w:rStyle w:val="a5"/>
        </w:rPr>
        <w:footnoteReference w:id="1717" w:customMarkFollows="0"/>
      </w:r>
      <w:bookmarkEnd w:id="2567"/>
    </w:p>
    <w:p w14:paraId="480C98C1" w14:textId="77777777" w:rsidR="00AB3647" w:rsidRDefault="00000000" w:rsidP="007923E9">
      <w:pPr>
        <w:spacing w:after="120" w:line="276" w:lineRule="auto"/>
        <w:ind w:firstLine="283"/>
        <w:jc w:val="both"/>
      </w:pPr>
      <w:r>
        <w:rPr>
          <w:rtl/>
        </w:rPr>
        <w:t xml:space="preserve">ר׳ </w:t>
      </w:r>
      <w:proofErr w:type="spellStart"/>
      <w:r>
        <w:rPr>
          <w:rtl/>
        </w:rPr>
        <w:t>שניאור־פייבוש</w:t>
      </w:r>
      <w:proofErr w:type="spellEnd"/>
      <w:r>
        <w:rPr>
          <w:rtl/>
        </w:rPr>
        <w:t xml:space="preserve"> למד </w:t>
      </w:r>
      <w:proofErr w:type="spellStart"/>
      <w:r>
        <w:rPr>
          <w:rtl/>
        </w:rPr>
        <w:t>בגרובין</w:t>
      </w:r>
      <w:proofErr w:type="spellEnd"/>
      <w:r>
        <w:rPr>
          <w:rtl/>
        </w:rPr>
        <w:t>.</w:t>
      </w:r>
      <w:bookmarkStart w:id="2568" w:name="_fnr1714"/>
      <w:r>
        <w:rPr>
          <w:rStyle w:val="a5"/>
        </w:rPr>
        <w:footnoteReference w:id="1718" w:customMarkFollows="0"/>
      </w:r>
      <w:bookmarkEnd w:id="2568"/>
      <w:r>
        <w:rPr>
          <w:rtl/>
        </w:rPr>
        <w:t xml:space="preserve"> אם נניח שנולד בשנת תרט״ו, כפי שנאמר במאמרו של עו״ד מאיר </w:t>
      </w:r>
      <w:proofErr w:type="spellStart"/>
      <w:r>
        <w:rPr>
          <w:rtl/>
        </w:rPr>
        <w:t>אראנאווסקי</w:t>
      </w:r>
      <w:proofErr w:type="spellEnd"/>
      <w:r>
        <w:rPr>
          <w:rtl/>
        </w:rPr>
        <w:t xml:space="preserve"> “רבני דרבנה” </w:t>
      </w:r>
      <w:proofErr w:type="spellStart"/>
      <w:r>
        <w:rPr>
          <w:rtl/>
        </w:rPr>
        <w:t>ב“ספר</w:t>
      </w:r>
      <w:proofErr w:type="spellEnd"/>
      <w:r>
        <w:rPr>
          <w:rtl/>
        </w:rPr>
        <w:t xml:space="preserve"> </w:t>
      </w:r>
      <w:proofErr w:type="spellStart"/>
      <w:r>
        <w:rPr>
          <w:rtl/>
        </w:rPr>
        <w:t>זכרון</w:t>
      </w:r>
      <w:proofErr w:type="spellEnd"/>
      <w:r>
        <w:rPr>
          <w:rtl/>
        </w:rPr>
        <w:t xml:space="preserve"> </w:t>
      </w:r>
      <w:proofErr w:type="spellStart"/>
      <w:r>
        <w:rPr>
          <w:rtl/>
        </w:rPr>
        <w:t>רוביז׳ביץ</w:t>
      </w:r>
      <w:proofErr w:type="spellEnd"/>
      <w:r>
        <w:rPr>
          <w:rtl/>
        </w:rPr>
        <w:t xml:space="preserve"> דרבנה והסביבה”,</w:t>
      </w:r>
      <w:bookmarkStart w:id="2569" w:name="_fnr1715"/>
      <w:r>
        <w:rPr>
          <w:rStyle w:val="a5"/>
        </w:rPr>
        <w:footnoteReference w:id="1719" w:customMarkFollows="0"/>
      </w:r>
      <w:bookmarkEnd w:id="2569"/>
      <w:r>
        <w:rPr>
          <w:rtl/>
        </w:rPr>
        <w:t xml:space="preserve"> הרי היה </w:t>
      </w:r>
      <w:r>
        <w:rPr>
          <w:rtl/>
        </w:rPr>
        <w:lastRenderedPageBreak/>
        <w:t>בן עשרים וחמש כשהצטרף לבית הספר לנערים – כנראה כמדריך! המאמר</w:t>
      </w:r>
      <w:bookmarkStart w:id="2570" w:name="_fnr1716"/>
      <w:r>
        <w:rPr>
          <w:rStyle w:val="a5"/>
        </w:rPr>
        <w:footnoteReference w:id="1720" w:customMarkFollows="0"/>
      </w:r>
      <w:bookmarkEnd w:id="2570"/>
      <w:r>
        <w:rPr>
          <w:rtl/>
        </w:rPr>
        <w:t xml:space="preserve"> טועה כנראה כשנאמר בו </w:t>
      </w:r>
      <w:proofErr w:type="spellStart"/>
      <w:r>
        <w:rPr>
          <w:rtl/>
        </w:rPr>
        <w:t>ש“נתקבל</w:t>
      </w:r>
      <w:proofErr w:type="spellEnd"/>
      <w:r>
        <w:rPr>
          <w:rtl/>
        </w:rPr>
        <w:t xml:space="preserve"> כר״מ </w:t>
      </w:r>
      <w:proofErr w:type="spellStart"/>
      <w:r>
        <w:rPr>
          <w:rtl/>
        </w:rPr>
        <w:t>בסלבודקה</w:t>
      </w:r>
      <w:proofErr w:type="spellEnd"/>
      <w:r>
        <w:rPr>
          <w:rtl/>
        </w:rPr>
        <w:t xml:space="preserve"> בשנת 1882 (תרמ״ב)”, שכן לפי אבי הוא “אמר תורה לבחורים אחרי” ר׳ </w:t>
      </w:r>
      <w:proofErr w:type="spellStart"/>
      <w:r>
        <w:rPr>
          <w:rtl/>
        </w:rPr>
        <w:t>אברהם־אהרן</w:t>
      </w:r>
      <w:proofErr w:type="spellEnd"/>
      <w:r>
        <w:rPr>
          <w:rtl/>
        </w:rPr>
        <w:t xml:space="preserve"> </w:t>
      </w:r>
      <w:proofErr w:type="spellStart"/>
      <w:r>
        <w:rPr>
          <w:rtl/>
        </w:rPr>
        <w:t>בורשטין</w:t>
      </w:r>
      <w:proofErr w:type="spellEnd"/>
      <w:r>
        <w:rPr>
          <w:rtl/>
        </w:rPr>
        <w:t>, וממילא היה זה זמן מה אחרי תרמ״ה. מכיוון שבמאמר</w:t>
      </w:r>
      <w:bookmarkStart w:id="2571" w:name="_fnr1717"/>
      <w:r>
        <w:rPr>
          <w:rStyle w:val="a5"/>
        </w:rPr>
        <w:footnoteReference w:id="1721" w:customMarkFollows="0"/>
      </w:r>
      <w:bookmarkEnd w:id="2571"/>
      <w:r>
        <w:rPr>
          <w:rtl/>
        </w:rPr>
        <w:t xml:space="preserve"> נאמר שנתמנה בדרבנה בשנת תרמ״ו (עד תרע״ב, שבה נפטר), ודאי מסר שיעורים רק זמן קצר.</w:t>
      </w:r>
      <w:bookmarkStart w:id="2572" w:name="_fnr1718"/>
      <w:r>
        <w:rPr>
          <w:rStyle w:val="a5"/>
        </w:rPr>
        <w:footnoteReference w:id="1722" w:customMarkFollows="0"/>
      </w:r>
      <w:bookmarkEnd w:id="2572"/>
    </w:p>
    <w:p w14:paraId="264CEDEB" w14:textId="479C4CB0" w:rsidR="00AB3647" w:rsidRDefault="00000000" w:rsidP="007923E9">
      <w:pPr>
        <w:spacing w:after="120" w:line="276" w:lineRule="auto"/>
        <w:ind w:firstLine="283"/>
        <w:jc w:val="both"/>
      </w:pPr>
      <w:r>
        <w:rPr>
          <w:rtl/>
        </w:rPr>
        <w:t xml:space="preserve">שמותיהם של “האחרים... שאמרו תורה”, כלשון אבי, אינם ידועים לי, חוץ מאחד: ר׳ חיים </w:t>
      </w:r>
      <w:proofErr w:type="spellStart"/>
      <w:r>
        <w:rPr>
          <w:rtl/>
        </w:rPr>
        <w:t>רבינוביץ</w:t>
      </w:r>
      <w:proofErr w:type="spellEnd"/>
      <w:r>
        <w:rPr>
          <w:rtl/>
        </w:rPr>
        <w:t xml:space="preserve">, שמסר שיעורים משנת תרמ״ו עד שקיבלה הישיבה ראש ישיבה בשנת תרמ״ט, כמסופר להלן. בשנת תרנ״ב עזב ר׳ חיים </w:t>
      </w:r>
      <w:proofErr w:type="spellStart"/>
      <w:r>
        <w:rPr>
          <w:rtl/>
        </w:rPr>
        <w:t>רבינוביץ</w:t>
      </w:r>
      <w:proofErr w:type="spellEnd"/>
      <w:r>
        <w:rPr>
          <w:rtl/>
        </w:rPr>
        <w:t xml:space="preserve"> את כולל קובנה כדי להיות רבה של </w:t>
      </w:r>
      <w:proofErr w:type="spellStart"/>
      <w:r>
        <w:rPr>
          <w:rtl/>
        </w:rPr>
        <w:t>מיאשאד</w:t>
      </w:r>
      <w:proofErr w:type="spellEnd"/>
      <w:r>
        <w:rPr>
          <w:rtl/>
        </w:rPr>
        <w:t>. כעבור חמש שנים משכו לבו לשוב למלאכת ההוראה, שנחשבה אז פחותה (ראה פרק 4, הפסקה הראשונה ב</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הוא נעשה ראש ישיבת כנסת בית יצחק, ואחר כך ראש ישיבה </w:t>
      </w:r>
      <w:proofErr w:type="spellStart"/>
      <w:r>
        <w:rPr>
          <w:rtl/>
        </w:rPr>
        <w:t>בטלז</w:t>
      </w:r>
      <w:proofErr w:type="spellEnd"/>
      <w:r>
        <w:rPr>
          <w:rtl/>
        </w:rPr>
        <w:t>.</w:t>
      </w:r>
      <w:bookmarkStart w:id="2573" w:name="_fnr1719"/>
      <w:r>
        <w:rPr>
          <w:rStyle w:val="a5"/>
        </w:rPr>
        <w:footnoteReference w:id="1723" w:customMarkFollows="0"/>
      </w:r>
      <w:bookmarkEnd w:id="2573"/>
      <w:r>
        <w:rPr>
          <w:rtl/>
        </w:rPr>
        <w:t xml:space="preserve"> הסבא צדק בעניינם של הרב קוטלר, ר׳ </w:t>
      </w:r>
      <w:proofErr w:type="spellStart"/>
      <w:r>
        <w:rPr>
          <w:rtl/>
        </w:rPr>
        <w:t>אברהם־אהרן</w:t>
      </w:r>
      <w:proofErr w:type="spellEnd"/>
      <w:r>
        <w:rPr>
          <w:rtl/>
        </w:rPr>
        <w:t xml:space="preserve"> </w:t>
      </w:r>
      <w:proofErr w:type="spellStart"/>
      <w:r>
        <w:rPr>
          <w:rtl/>
        </w:rPr>
        <w:t>בורשטין</w:t>
      </w:r>
      <w:proofErr w:type="spellEnd"/>
      <w:r>
        <w:rPr>
          <w:rtl/>
        </w:rPr>
        <w:t xml:space="preserve"> ור׳ חיים </w:t>
      </w:r>
      <w:proofErr w:type="spellStart"/>
      <w:r>
        <w:rPr>
          <w:rtl/>
        </w:rPr>
        <w:t>רבינוביץ</w:t>
      </w:r>
      <w:proofErr w:type="spellEnd"/>
      <w:r>
        <w:rPr>
          <w:rtl/>
        </w:rPr>
        <w:t>: בהמשך דרכם כראשי ישיבה השתמשו בהכשרה שנתן להם כולל קובנה בהוראת בחורים.</w:t>
      </w:r>
    </w:p>
    <w:bookmarkStart w:id="2574" w:name="b3_excH"/>
    <w:p w14:paraId="705026FC" w14:textId="77777777" w:rsidR="00AB3647" w:rsidRDefault="00000000" w:rsidP="007923E9">
      <w:pPr>
        <w:pStyle w:val="3"/>
        <w:spacing w:line="276" w:lineRule="auto"/>
      </w:pPr>
      <w:r>
        <w:lastRenderedPageBreak/>
        <w:fldChar w:fldCharType="begin" w:dirty="true"/>
      </w:r>
      <w:r>
        <w:rPr>
          <w:rtl w:val="0"/>
        </w:rPr>
        <w:instrText>HYPERLINK \l "b3_note30</w:instrText>
      </w:r>
      <w:r>
        <w:instrText>"</w:instrText>
      </w:r>
      <w:r>
        <w:fldChar w:fldCharType="separate"/>
      </w:r>
      <w:r>
        <w:t>נספח ח</w:t>
      </w:r>
      <w:r>
        <w:fldChar w:fldCharType="end"/>
      </w:r>
      <w:bookmarkEnd w:id="2574"/>
    </w:p>
    <w:p w14:paraId="4DF490D9" w14:textId="77777777" w:rsidR="00AB3647" w:rsidRDefault="00000000" w:rsidP="007923E9">
      <w:pPr>
        <w:pStyle w:val="af"/>
        <w:spacing w:line="276" w:lineRule="auto"/>
      </w:pPr>
      <w:r>
        <w:t xml:space="preserve">על דרכים חדשות בלימוד התלמוד ועל יועציו של הסבא </w:t>
      </w:r>
      <w:proofErr w:type="spellStart"/>
      <w:r>
        <w:t>מסלבודקה</w:t>
      </w:r>
      <w:proofErr w:type="spellEnd"/>
    </w:p>
    <w:p w14:paraId="3A65C60D" w14:textId="77777777" w:rsidR="00AB3647" w:rsidRDefault="00000000" w:rsidP="007923E9">
      <w:pPr>
        <w:pStyle w:val="4"/>
        <w:spacing w:line="276" w:lineRule="auto"/>
      </w:pPr>
      <w:r>
        <w:t>· הפסקה הראשונה ·</w:t>
      </w:r>
    </w:p>
    <w:p w14:paraId="6D6BA5CE" w14:textId="77777777" w:rsidR="00AB3647" w:rsidRDefault="00000000" w:rsidP="007923E9">
      <w:pPr>
        <w:pStyle w:val="5"/>
        <w:spacing w:line="276" w:lineRule="auto"/>
      </w:pPr>
      <w:r>
        <w:t xml:space="preserve">הסבא מבקש מר׳ יוסף־דב להמליץ על ראש ישיבה – הוא מציע מלמד גמרא </w:t>
      </w:r>
      <w:proofErr w:type="spellStart"/>
      <w:r>
        <w:t>בקלויז</w:t>
      </w:r>
      <w:proofErr w:type="spellEnd"/>
      <w:r>
        <w:t xml:space="preserve"> </w:t>
      </w:r>
      <w:proofErr w:type="spellStart"/>
      <w:r>
        <w:t>בביאליסטוק</w:t>
      </w:r>
      <w:proofErr w:type="spellEnd"/>
      <w:r>
        <w:t xml:space="preserve"> – ר׳ </w:t>
      </w:r>
      <w:proofErr w:type="spellStart"/>
      <w:r>
        <w:t>איצל׳ה</w:t>
      </w:r>
      <w:proofErr w:type="spellEnd"/>
      <w:r>
        <w:t xml:space="preserve"> </w:t>
      </w:r>
      <w:proofErr w:type="spellStart"/>
      <w:r>
        <w:t>פוניבז׳ער</w:t>
      </w:r>
      <w:proofErr w:type="spellEnd"/>
      <w:r>
        <w:t xml:space="preserve"> הוא אותו גאון וצדיק – הסבא מקבלו – ר׳ </w:t>
      </w:r>
      <w:proofErr w:type="spellStart"/>
      <w:r>
        <w:t>יצחק־אלחנן</w:t>
      </w:r>
      <w:proofErr w:type="spellEnd"/>
      <w:r>
        <w:t xml:space="preserve"> </w:t>
      </w:r>
      <w:proofErr w:type="spellStart"/>
      <w:r>
        <w:t>ספקטור</w:t>
      </w:r>
      <w:proofErr w:type="spellEnd"/>
      <w:r>
        <w:t xml:space="preserve"> מכיר בשיטתו התלמודית המיוחדת של ר׳ </w:t>
      </w:r>
      <w:proofErr w:type="spellStart"/>
      <w:r>
        <w:t>איצל׳ה</w:t>
      </w:r>
      <w:proofErr w:type="spellEnd"/>
      <w:r>
        <w:t xml:space="preserve"> – ר׳ ישראל </w:t>
      </w:r>
      <w:proofErr w:type="spellStart"/>
      <w:r>
        <w:t>סלנטר</w:t>
      </w:r>
      <w:proofErr w:type="spellEnd"/>
      <w:r>
        <w:t xml:space="preserve"> מסכים לדרכו המיוחדת של ר׳ חיים </w:t>
      </w:r>
      <w:proofErr w:type="spellStart"/>
      <w:r>
        <w:t>סולובייצ׳יק</w:t>
      </w:r>
      <w:proofErr w:type="spellEnd"/>
      <w:r>
        <w:t xml:space="preserve"> – ר׳ ישראל </w:t>
      </w:r>
      <w:proofErr w:type="spellStart"/>
      <w:r>
        <w:t>סלנטר</w:t>
      </w:r>
      <w:proofErr w:type="spellEnd"/>
      <w:r>
        <w:t xml:space="preserve"> מעודד פלפול – ביקורתו של ר׳ חיים על חידושיו של ר׳ </w:t>
      </w:r>
      <w:proofErr w:type="spellStart"/>
      <w:r>
        <w:t>איצל׳ה</w:t>
      </w:r>
      <w:proofErr w:type="spellEnd"/>
    </w:p>
    <w:p w14:paraId="55C4BBCE"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נסע אל רבה של </w:t>
      </w:r>
      <w:proofErr w:type="spellStart"/>
      <w:r>
        <w:rPr>
          <w:rtl/>
        </w:rPr>
        <w:t>בריסק</w:t>
      </w:r>
      <w:proofErr w:type="spellEnd"/>
      <w:r>
        <w:rPr>
          <w:rtl/>
        </w:rPr>
        <w:t xml:space="preserve">, ר׳ יוסף־דב </w:t>
      </w:r>
      <w:proofErr w:type="spellStart"/>
      <w:r>
        <w:rPr>
          <w:rtl/>
        </w:rPr>
        <w:t>סולובייצ׳יק</w:t>
      </w:r>
      <w:proofErr w:type="spellEnd"/>
      <w:r>
        <w:rPr>
          <w:rtl/>
        </w:rPr>
        <w:t xml:space="preserve"> (תק״פ–תרנ״ב), וביקש ממנו להציע ראש ישיבה מתאים.</w:t>
      </w:r>
      <w:bookmarkStart w:id="2575" w:name="_fnr1720"/>
      <w:r>
        <w:rPr>
          <w:rStyle w:val="a5"/>
        </w:rPr>
        <w:footnoteReference w:id="1724" w:customMarkFollows="0"/>
      </w:r>
      <w:bookmarkEnd w:id="2575"/>
      <w:r>
        <w:rPr>
          <w:rtl/>
        </w:rPr>
        <w:t xml:space="preserve"> ר׳ יוסף־דב היה ראוי לייעץ בעניין זה, שכן שימש משנה לראש ישיבת </w:t>
      </w:r>
      <w:proofErr w:type="spellStart"/>
      <w:r>
        <w:rPr>
          <w:rtl/>
        </w:rPr>
        <w:t>וולוז׳ין</w:t>
      </w:r>
      <w:proofErr w:type="spellEnd"/>
      <w:r>
        <w:rPr>
          <w:rtl/>
        </w:rPr>
        <w:t xml:space="preserve"> עשר שנים, החל </w:t>
      </w:r>
      <w:proofErr w:type="spellStart"/>
      <w:r>
        <w:rPr>
          <w:rtl/>
        </w:rPr>
        <w:t>מתרי״ג</w:t>
      </w:r>
      <w:proofErr w:type="spellEnd"/>
      <w:r>
        <w:rPr>
          <w:rtl/>
        </w:rPr>
        <w:t>, וידע מה הם הצרכים החינוכיים של התלמידים.</w:t>
      </w:r>
    </w:p>
    <w:p w14:paraId="7765C44B" w14:textId="77777777" w:rsidR="00AB3647" w:rsidRDefault="00000000" w:rsidP="007923E9">
      <w:pPr>
        <w:spacing w:after="120" w:line="276" w:lineRule="auto"/>
        <w:ind w:firstLine="283"/>
        <w:jc w:val="both"/>
      </w:pPr>
      <w:r>
        <w:rPr>
          <w:rtl/>
        </w:rPr>
        <w:t xml:space="preserve">ראה הערה 29 בפרק זה על בקשת הסבא עצה מן </w:t>
      </w:r>
      <w:proofErr w:type="spellStart"/>
      <w:r>
        <w:rPr>
          <w:rtl/>
        </w:rPr>
        <w:t>החפץ־חיים</w:t>
      </w:r>
      <w:proofErr w:type="spellEnd"/>
      <w:r>
        <w:rPr>
          <w:rtl/>
        </w:rPr>
        <w:t xml:space="preserve"> כיצד לעשות את ישיבת </w:t>
      </w:r>
      <w:proofErr w:type="spellStart"/>
      <w:r>
        <w:rPr>
          <w:rtl/>
        </w:rPr>
        <w:t>סלבודקה</w:t>
      </w:r>
      <w:proofErr w:type="spellEnd"/>
      <w:r>
        <w:rPr>
          <w:rtl/>
        </w:rPr>
        <w:t xml:space="preserve"> לעצמאית. ייתכן </w:t>
      </w:r>
      <w:proofErr w:type="spellStart"/>
      <w:r>
        <w:rPr>
          <w:rtl/>
        </w:rPr>
        <w:t>שהחפץ־חיים</w:t>
      </w:r>
      <w:proofErr w:type="spellEnd"/>
      <w:r>
        <w:rPr>
          <w:rtl/>
        </w:rPr>
        <w:t xml:space="preserve"> הוא שהציע שכדי לבנות ישיבה גדולה – שתתחרה אפילו בישיבת </w:t>
      </w:r>
      <w:proofErr w:type="spellStart"/>
      <w:r>
        <w:rPr>
          <w:rtl/>
        </w:rPr>
        <w:t>וולוז׳ין</w:t>
      </w:r>
      <w:proofErr w:type="spellEnd"/>
      <w:r>
        <w:rPr>
          <w:rtl/>
        </w:rPr>
        <w:t xml:space="preserve"> הוותיקה, אך תהיה בעד המוסר – יקבל ר׳ </w:t>
      </w:r>
      <w:proofErr w:type="spellStart"/>
      <w:r>
        <w:rPr>
          <w:rtl/>
        </w:rPr>
        <w:t>נתן־צבי</w:t>
      </w:r>
      <w:proofErr w:type="spellEnd"/>
      <w:r>
        <w:rPr>
          <w:rtl/>
        </w:rPr>
        <w:t xml:space="preserve"> אדם שהמליץ עליו ראש ישיבה לשעבר </w:t>
      </w:r>
      <w:proofErr w:type="spellStart"/>
      <w:r>
        <w:rPr>
          <w:rtl/>
        </w:rPr>
        <w:t>בוולוז׳ין</w:t>
      </w:r>
      <w:proofErr w:type="spellEnd"/>
      <w:r>
        <w:rPr>
          <w:rtl/>
        </w:rPr>
        <w:t xml:space="preserve">, ר׳ יוסף־דב. הידיעה שבראש הישיבה החדשה עומד אדם שקיבל את אישורו של אחד מראשי </w:t>
      </w:r>
      <w:proofErr w:type="spellStart"/>
      <w:r>
        <w:rPr>
          <w:rtl/>
        </w:rPr>
        <w:t>וולוז׳ין</w:t>
      </w:r>
      <w:proofErr w:type="spellEnd"/>
      <w:r>
        <w:rPr>
          <w:rtl/>
        </w:rPr>
        <w:t xml:space="preserve"> הייתה עשויה לסייע מאוד במשיכת תלמידים.</w:t>
      </w:r>
      <w:bookmarkStart w:id="2576" w:name="_fnr1721"/>
      <w:r>
        <w:rPr>
          <w:rStyle w:val="a5"/>
        </w:rPr>
        <w:footnoteReference w:id="1725" w:customMarkFollows="0"/>
      </w:r>
      <w:bookmarkEnd w:id="2576"/>
      <w:r>
        <w:rPr>
          <w:rtl/>
        </w:rPr>
        <w:t xml:space="preserve"> כשנסגרה ישיבת </w:t>
      </w:r>
      <w:proofErr w:type="spellStart"/>
      <w:r>
        <w:rPr>
          <w:rtl/>
        </w:rPr>
        <w:t>וולוז׳ין</w:t>
      </w:r>
      <w:proofErr w:type="spellEnd"/>
      <w:r>
        <w:rPr>
          <w:rtl/>
        </w:rPr>
        <w:t xml:space="preserve"> כעבור שלוש שנים, ייתכן שישיבת </w:t>
      </w:r>
      <w:proofErr w:type="spellStart"/>
      <w:r>
        <w:rPr>
          <w:rtl/>
        </w:rPr>
        <w:t>סלבודקה</w:t>
      </w:r>
      <w:proofErr w:type="spellEnd"/>
      <w:r>
        <w:rPr>
          <w:rtl/>
        </w:rPr>
        <w:t xml:space="preserve"> – שלא היה לה שם רשמי, ונודעה רק בשם העיירה שבה שכנה – אף השתעשעה ברעיון לאמץ את שמה הנערץ של </w:t>
      </w:r>
      <w:proofErr w:type="spellStart"/>
      <w:r>
        <w:rPr>
          <w:rtl/>
        </w:rPr>
        <w:t>וולוז׳ין</w:t>
      </w:r>
      <w:proofErr w:type="spellEnd"/>
      <w:r>
        <w:rPr>
          <w:rtl/>
        </w:rPr>
        <w:t>, “עץ חיים”.</w:t>
      </w:r>
      <w:bookmarkStart w:id="2577" w:name="_fnr1722"/>
      <w:r>
        <w:rPr>
          <w:rStyle w:val="a5"/>
        </w:rPr>
        <w:footnoteReference w:id="1726" w:customMarkFollows="0"/>
      </w:r>
      <w:bookmarkEnd w:id="2577"/>
      <w:r>
        <w:rPr>
          <w:rtl/>
        </w:rPr>
        <w:t xml:space="preserve"> זאת מפני שהיה לה מעין אישור מאת מי ששימש משנה לראש ישיבת עץ חיים שלושים שנה קודם לכן.</w:t>
      </w:r>
    </w:p>
    <w:p w14:paraId="1628781F" w14:textId="5236C85D" w:rsidR="00AB3647" w:rsidRDefault="00000000" w:rsidP="007923E9">
      <w:pPr>
        <w:spacing w:after="120" w:line="276" w:lineRule="auto"/>
        <w:ind w:firstLine="283"/>
        <w:jc w:val="both"/>
      </w:pPr>
      <w:r>
        <w:rPr>
          <w:rtl/>
        </w:rPr>
        <w:t xml:space="preserve">אם </w:t>
      </w:r>
      <w:proofErr w:type="spellStart"/>
      <w:r>
        <w:rPr>
          <w:rtl/>
        </w:rPr>
        <w:t>החפץ־חיים</w:t>
      </w:r>
      <w:proofErr w:type="spellEnd"/>
      <w:r>
        <w:rPr>
          <w:rtl/>
        </w:rPr>
        <w:t xml:space="preserve"> הוא שהציע לסבא למצוא את ראש הישיבה הדרוש לו באמצעות ר׳ יוסף־דב, אפשר לשער עוד </w:t>
      </w:r>
      <w:proofErr w:type="spellStart"/>
      <w:r>
        <w:rPr>
          <w:rtl/>
        </w:rPr>
        <w:t>שהחפץ־חיים</w:t>
      </w:r>
      <w:proofErr w:type="spellEnd"/>
      <w:r>
        <w:rPr>
          <w:rtl/>
        </w:rPr>
        <w:t xml:space="preserve"> ראה בר׳ יוסף־דב ראש ישיבה גדול מיריבו: ר׳ יוסף־דב </w:t>
      </w:r>
      <w:r>
        <w:rPr>
          <w:b/>
          <w:bCs/>
          <w:rtl/>
        </w:rPr>
        <w:t>התפטר</w:t>
      </w:r>
      <w:r>
        <w:rPr>
          <w:rtl/>
        </w:rPr>
        <w:t xml:space="preserve"> </w:t>
      </w:r>
      <w:proofErr w:type="spellStart"/>
      <w:r>
        <w:rPr>
          <w:rtl/>
        </w:rPr>
        <w:t>מוולוז׳ין</w:t>
      </w:r>
      <w:proofErr w:type="spellEnd"/>
      <w:r>
        <w:rPr>
          <w:rtl/>
        </w:rPr>
        <w:t xml:space="preserve"> חמש שנים לאחר מחלוקתו עם </w:t>
      </w:r>
      <w:proofErr w:type="spellStart"/>
      <w:r>
        <w:rPr>
          <w:rtl/>
        </w:rPr>
        <w:t>הנצי״ב</w:t>
      </w:r>
      <w:proofErr w:type="spellEnd"/>
      <w:r>
        <w:rPr>
          <w:rtl/>
        </w:rPr>
        <w:t xml:space="preserve"> </w:t>
      </w:r>
      <w:proofErr w:type="spellStart"/>
      <w:r>
        <w:rPr>
          <w:rtl/>
        </w:rPr>
        <w:t>בתרי״ז</w:t>
      </w:r>
      <w:proofErr w:type="spellEnd"/>
      <w:r>
        <w:rPr>
          <w:rtl/>
        </w:rPr>
        <w:t xml:space="preserve">–תרי״ח, ואילו יריבו </w:t>
      </w:r>
      <w:r>
        <w:rPr>
          <w:b/>
          <w:bCs/>
          <w:rtl/>
        </w:rPr>
        <w:t>נשאר</w:t>
      </w:r>
      <w:r>
        <w:rPr>
          <w:rtl/>
        </w:rPr>
        <w:t xml:space="preserve"> בה. ראיה לכך היא </w:t>
      </w:r>
      <w:proofErr w:type="spellStart"/>
      <w:r>
        <w:rPr>
          <w:rtl/>
        </w:rPr>
        <w:t>שהחפץ־חיים</w:t>
      </w:r>
      <w:proofErr w:type="spellEnd"/>
      <w:r>
        <w:rPr>
          <w:rtl/>
        </w:rPr>
        <w:t xml:space="preserve"> שלח את בנו הבכור </w:t>
      </w:r>
      <w:proofErr w:type="spellStart"/>
      <w:r>
        <w:rPr>
          <w:rtl/>
        </w:rPr>
        <w:t>אריה־לייב</w:t>
      </w:r>
      <w:proofErr w:type="spellEnd"/>
      <w:r>
        <w:rPr>
          <w:rtl/>
        </w:rPr>
        <w:t xml:space="preserve"> ללמוד אצל ר׳ יוסף־דב כשנתמנה זה עתה לרבה של </w:t>
      </w:r>
      <w:proofErr w:type="spellStart"/>
      <w:r>
        <w:rPr>
          <w:rtl/>
        </w:rPr>
        <w:t>בריסק</w:t>
      </w:r>
      <w:proofErr w:type="spellEnd"/>
      <w:r>
        <w:rPr>
          <w:rtl/>
        </w:rPr>
        <w:t xml:space="preserve">, ולא אל ישיבת </w:t>
      </w:r>
      <w:proofErr w:type="spellStart"/>
      <w:r>
        <w:rPr>
          <w:rtl/>
        </w:rPr>
        <w:t>וולוז׳ין</w:t>
      </w:r>
      <w:proofErr w:type="spellEnd"/>
      <w:r>
        <w:rPr>
          <w:rtl/>
        </w:rPr>
        <w:t xml:space="preserve"> הוותיקה שבראשות </w:t>
      </w:r>
      <w:proofErr w:type="spellStart"/>
      <w:r>
        <w:rPr>
          <w:rtl/>
        </w:rPr>
        <w:t>הנצי״ב</w:t>
      </w:r>
      <w:proofErr w:type="spellEnd"/>
      <w:r>
        <w:rPr>
          <w:rtl/>
        </w:rPr>
        <w:t xml:space="preserve"> – ראה פרק 5, סוף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2994EEF1" w14:textId="1AB17C1E" w:rsidR="00AB3647" w:rsidRDefault="00000000" w:rsidP="007923E9">
      <w:pPr>
        <w:spacing w:after="120" w:line="276" w:lineRule="auto"/>
        <w:ind w:firstLine="283"/>
        <w:jc w:val="both"/>
      </w:pPr>
      <w:r>
        <w:rPr>
          <w:rtl/>
        </w:rPr>
        <w:t xml:space="preserve">את בנו השני אברהם אכן שלח </w:t>
      </w:r>
      <w:proofErr w:type="spellStart"/>
      <w:r>
        <w:rPr>
          <w:rtl/>
        </w:rPr>
        <w:t>החפץ־חיים</w:t>
      </w:r>
      <w:proofErr w:type="spellEnd"/>
      <w:r>
        <w:rPr>
          <w:rtl/>
        </w:rPr>
        <w:t xml:space="preserve"> ללמוד </w:t>
      </w:r>
      <w:proofErr w:type="spellStart"/>
      <w:r>
        <w:rPr>
          <w:rtl/>
        </w:rPr>
        <w:t>בוולוז׳ין</w:t>
      </w:r>
      <w:proofErr w:type="spellEnd"/>
      <w:r>
        <w:rPr>
          <w:rtl/>
        </w:rPr>
        <w:t xml:space="preserve"> – אבל בשנת תרמ״ו, כשבנו של ר׳ יוסף־דב, ר׳ חיים </w:t>
      </w:r>
      <w:proofErr w:type="spellStart"/>
      <w:r>
        <w:rPr>
          <w:rtl/>
        </w:rPr>
        <w:t>סולובייצ׳יק</w:t>
      </w:r>
      <w:proofErr w:type="spellEnd"/>
      <w:r>
        <w:rPr>
          <w:rtl/>
        </w:rPr>
        <w:t xml:space="preserve">, כבר נמנה עם ראשי ישיבת </w:t>
      </w:r>
      <w:proofErr w:type="spellStart"/>
      <w:r>
        <w:rPr>
          <w:rtl/>
        </w:rPr>
        <w:t>וולוז׳ין</w:t>
      </w:r>
      <w:proofErr w:type="spellEnd"/>
      <w:r>
        <w:rPr>
          <w:rtl/>
        </w:rPr>
        <w:t xml:space="preserve">. ר׳ יוסף־דב עצמו היה </w:t>
      </w:r>
      <w:r>
        <w:rPr>
          <w:rtl/>
        </w:rPr>
        <w:lastRenderedPageBreak/>
        <w:t xml:space="preserve">כנראה מורה </w:t>
      </w:r>
      <w:proofErr w:type="spellStart"/>
      <w:r>
        <w:rPr>
          <w:rtl/>
        </w:rPr>
        <w:t>לחפץ־חיים</w:t>
      </w:r>
      <w:proofErr w:type="spellEnd"/>
      <w:r>
        <w:rPr>
          <w:rtl/>
        </w:rPr>
        <w:t xml:space="preserve"> לשלוח את אברהם ללמוד אצל בנו (ואולי אף עשה כן!). ראה פרק 5, הפסקה השנייה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שר׳ יוסף־דב ראה בבנו גאון גדול ממנו.</w:t>
      </w:r>
    </w:p>
    <w:p w14:paraId="519F576F" w14:textId="77777777" w:rsidR="00AB3647" w:rsidRDefault="00000000" w:rsidP="007923E9">
      <w:pPr>
        <w:spacing w:after="120" w:line="276" w:lineRule="auto"/>
        <w:ind w:firstLine="283"/>
        <w:jc w:val="both"/>
      </w:pPr>
      <w:r>
        <w:rPr>
          <w:rtl/>
        </w:rPr>
        <w:t>זאת ועוד: ר׳ שלמה לורנץ מסר</w:t>
      </w:r>
      <w:bookmarkStart w:id="2578" w:name="_fnr1723"/>
      <w:r>
        <w:rPr>
          <w:rStyle w:val="a5"/>
        </w:rPr>
        <w:footnoteReference w:id="1727" w:customMarkFollows="0"/>
      </w:r>
      <w:bookmarkEnd w:id="2578"/>
      <w:r>
        <w:rPr>
          <w:rtl/>
        </w:rPr>
        <w:t xml:space="preserve"> בשם ר׳ שמחה וסרמן, בנו של אחד מגדולי תלמידיו של </w:t>
      </w:r>
      <w:proofErr w:type="spellStart"/>
      <w:r>
        <w:rPr>
          <w:rtl/>
        </w:rPr>
        <w:t>החפץ־חיים</w:t>
      </w:r>
      <w:proofErr w:type="spellEnd"/>
      <w:r>
        <w:rPr>
          <w:rtl/>
        </w:rPr>
        <w:t xml:space="preserve">, ר׳ אלחנן וסרמן, </w:t>
      </w:r>
      <w:proofErr w:type="spellStart"/>
      <w:r>
        <w:rPr>
          <w:rtl/>
        </w:rPr>
        <w:t>שהחפץ־חיים</w:t>
      </w:r>
      <w:proofErr w:type="spellEnd"/>
      <w:r>
        <w:rPr>
          <w:rtl/>
        </w:rPr>
        <w:t xml:space="preserve"> היה ביקורתי במקצת כלפי </w:t>
      </w:r>
      <w:proofErr w:type="spellStart"/>
      <w:r>
        <w:rPr>
          <w:rtl/>
        </w:rPr>
        <w:t>הנצי״ב</w:t>
      </w:r>
      <w:proofErr w:type="spellEnd"/>
      <w:r>
        <w:rPr>
          <w:rtl/>
        </w:rPr>
        <w:t xml:space="preserve">. הוא הסתייג מדברי </w:t>
      </w:r>
      <w:proofErr w:type="spellStart"/>
      <w:r>
        <w:rPr>
          <w:rtl/>
        </w:rPr>
        <w:t>הנצי״ב</w:t>
      </w:r>
      <w:proofErr w:type="spellEnd"/>
      <w:r>
        <w:rPr>
          <w:rtl/>
        </w:rPr>
        <w:t xml:space="preserve"> בפירושו לחומש, “העמק דבר”, בפתיחה לספר בראשית, שהבית השני חרב מפני </w:t>
      </w:r>
      <w:proofErr w:type="spellStart"/>
      <w:r>
        <w:rPr>
          <w:rtl/>
        </w:rPr>
        <w:t>ש“היו</w:t>
      </w:r>
      <w:proofErr w:type="spellEnd"/>
      <w:r>
        <w:rPr>
          <w:rtl/>
        </w:rPr>
        <w:t xml:space="preserve"> צדיקים וחסידים ועמלי תורה... אך לא היו ישרים בהליכות עולמים. על כן מפני שנאת חנם </w:t>
      </w:r>
      <w:proofErr w:type="spellStart"/>
      <w:r>
        <w:rPr>
          <w:rtl/>
        </w:rPr>
        <w:t>שבלבם</w:t>
      </w:r>
      <w:proofErr w:type="spellEnd"/>
      <w:r>
        <w:rPr>
          <w:rtl/>
        </w:rPr>
        <w:t xml:space="preserve"> זה אל זה חשדו את מי שראו שנוהג שלא כדעתם ביראת ה׳ שהוא צדוקי ואפיקורס”.</w:t>
      </w:r>
      <w:bookmarkStart w:id="2579" w:name="_fnr1724"/>
      <w:r>
        <w:rPr>
          <w:rStyle w:val="a5"/>
        </w:rPr>
        <w:footnoteReference w:id="1728" w:customMarkFollows="0"/>
      </w:r>
      <w:bookmarkEnd w:id="2579"/>
    </w:p>
    <w:p w14:paraId="68EA2CE4" w14:textId="77777777" w:rsidR="00AB3647" w:rsidRDefault="00000000" w:rsidP="007923E9">
      <w:pPr>
        <w:spacing w:after="120" w:line="276" w:lineRule="auto"/>
        <w:ind w:firstLine="283"/>
        <w:jc w:val="both"/>
      </w:pPr>
      <w:r>
        <w:rPr>
          <w:rtl/>
        </w:rPr>
        <w:t xml:space="preserve">הובן שבדבריו על הבית השני התכוון </w:t>
      </w:r>
      <w:proofErr w:type="spellStart"/>
      <w:r>
        <w:rPr>
          <w:rtl/>
        </w:rPr>
        <w:t>הנצי״ב</w:t>
      </w:r>
      <w:proofErr w:type="spellEnd"/>
      <w:r>
        <w:rPr>
          <w:rtl/>
        </w:rPr>
        <w:t xml:space="preserve"> </w:t>
      </w:r>
      <w:r>
        <w:rPr>
          <w:b/>
          <w:bCs/>
          <w:rtl/>
        </w:rPr>
        <w:t>למתוח ביקורת על בני התורה שבדורו</w:t>
      </w:r>
      <w:bookmarkStart w:id="2580" w:name="_fnr1725"/>
      <w:r>
        <w:rPr>
          <w:rStyle w:val="a5"/>
        </w:rPr>
        <w:footnoteReference w:id="1729" w:customMarkFollows="0"/>
      </w:r>
      <w:bookmarkEnd w:id="2580"/>
      <w:r>
        <w:rPr>
          <w:rtl/>
        </w:rPr>
        <w:t xml:space="preserve">, על ששללו את הלגיטימיות של המשכילים הדתיים ושל חובבי ציון הנאמנים, שהשקפתם על צורכי האומה היהודית לא תאמה את השקפת בני התורה. למרות ביקורתו ביקש </w:t>
      </w:r>
      <w:proofErr w:type="spellStart"/>
      <w:r>
        <w:rPr>
          <w:rtl/>
        </w:rPr>
        <w:t>החפץ־חיים</w:t>
      </w:r>
      <w:proofErr w:type="spellEnd"/>
      <w:r>
        <w:rPr>
          <w:rtl/>
        </w:rPr>
        <w:t xml:space="preserve"> מן </w:t>
      </w:r>
      <w:proofErr w:type="spellStart"/>
      <w:r>
        <w:rPr>
          <w:rtl/>
        </w:rPr>
        <w:t>הנצי״ב</w:t>
      </w:r>
      <w:proofErr w:type="spellEnd"/>
      <w:r>
        <w:rPr>
          <w:rtl/>
        </w:rPr>
        <w:t xml:space="preserve"> הסכמה לספרו “אהבת חסד”,</w:t>
      </w:r>
      <w:bookmarkStart w:id="2581" w:name="_fnr1726"/>
      <w:r>
        <w:rPr>
          <w:rStyle w:val="a5"/>
        </w:rPr>
        <w:footnoteReference w:id="1730" w:customMarkFollows="0"/>
      </w:r>
      <w:bookmarkEnd w:id="2581"/>
      <w:r>
        <w:rPr>
          <w:rtl/>
        </w:rPr>
        <w:t xml:space="preserve"> שיצא לאור שמונה שנים לאחר “העמק דבר”. אך ייתכן </w:t>
      </w:r>
      <w:proofErr w:type="spellStart"/>
      <w:r>
        <w:rPr>
          <w:rtl/>
        </w:rPr>
        <w:t>שהחפץ־חיים</w:t>
      </w:r>
      <w:proofErr w:type="spellEnd"/>
      <w:r>
        <w:rPr>
          <w:rtl/>
        </w:rPr>
        <w:t xml:space="preserve"> העדיף שלא להעמיד את בנו תחת השפעתו הישירה של </w:t>
      </w:r>
      <w:proofErr w:type="spellStart"/>
      <w:r>
        <w:rPr>
          <w:rtl/>
        </w:rPr>
        <w:t>הנצי״ב</w:t>
      </w:r>
      <w:proofErr w:type="spellEnd"/>
      <w:r>
        <w:rPr>
          <w:rtl/>
        </w:rPr>
        <w:t xml:space="preserve"> ולשלחו ללמוד בישיבתו, בטרם נוספה לה השפעתו המאזנת של בנו של ר׳ יוסף־דב </w:t>
      </w:r>
      <w:proofErr w:type="spellStart"/>
      <w:r>
        <w:rPr>
          <w:rtl/>
        </w:rPr>
        <w:t>סולובייצ׳יק</w:t>
      </w:r>
      <w:proofErr w:type="spellEnd"/>
      <w:r>
        <w:rPr>
          <w:rtl/>
        </w:rPr>
        <w:t>.</w:t>
      </w:r>
    </w:p>
    <w:p w14:paraId="7AC9126C" w14:textId="77777777" w:rsidR="00AB3647" w:rsidRDefault="00000000" w:rsidP="007923E9">
      <w:pPr>
        <w:spacing w:after="120" w:line="276" w:lineRule="auto"/>
        <w:ind w:firstLine="283"/>
        <w:jc w:val="both"/>
      </w:pPr>
      <w:r>
        <w:rPr>
          <w:rtl/>
        </w:rPr>
        <w:t xml:space="preserve">ר׳ יוסף־דב המליץ לסבא </w:t>
      </w:r>
      <w:proofErr w:type="spellStart"/>
      <w:r>
        <w:rPr>
          <w:rtl/>
        </w:rPr>
        <w:t>מסלבודקה</w:t>
      </w:r>
      <w:proofErr w:type="spellEnd"/>
      <w:r>
        <w:rPr>
          <w:rtl/>
        </w:rPr>
        <w:t xml:space="preserve"> על מלמד גמרא פרטי ובלתי מוכר </w:t>
      </w:r>
      <w:proofErr w:type="spellStart"/>
      <w:r>
        <w:rPr>
          <w:rtl/>
        </w:rPr>
        <w:t>בביאליסטוק</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לימים רבה של </w:t>
      </w:r>
      <w:proofErr w:type="spellStart"/>
      <w:r>
        <w:rPr>
          <w:rtl/>
        </w:rPr>
        <w:t>פוניבז</w:t>
      </w:r>
      <w:proofErr w:type="spellEnd"/>
      <w:r>
        <w:rPr>
          <w:rtl/>
        </w:rPr>
        <w:t xml:space="preserve">׳ (נולד </w:t>
      </w:r>
      <w:proofErr w:type="spellStart"/>
      <w:r>
        <w:rPr>
          <w:rtl/>
        </w:rPr>
        <w:t>בתרי״ד</w:t>
      </w:r>
      <w:proofErr w:type="spellEnd"/>
      <w:r>
        <w:rPr>
          <w:rtl/>
        </w:rPr>
        <w:t xml:space="preserve">, נפטר </w:t>
      </w:r>
      <w:proofErr w:type="spellStart"/>
      <w:r>
        <w:rPr>
          <w:rtl/>
        </w:rPr>
        <w:t>בתרע״ט</w:t>
      </w:r>
      <w:proofErr w:type="spellEnd"/>
      <w:r>
        <w:rPr>
          <w:rtl/>
        </w:rPr>
        <w:t xml:space="preserve">). בנערותו </w:t>
      </w:r>
      <w:proofErr w:type="spellStart"/>
      <w:r>
        <w:rPr>
          <w:rtl/>
        </w:rPr>
        <w:t>בשרשוב</w:t>
      </w:r>
      <w:proofErr w:type="spellEnd"/>
      <w:r>
        <w:rPr>
          <w:rtl/>
        </w:rPr>
        <w:t xml:space="preserve"> למד ר׳ </w:t>
      </w:r>
      <w:proofErr w:type="spellStart"/>
      <w:r>
        <w:rPr>
          <w:rtl/>
        </w:rPr>
        <w:t>איצל׳ה</w:t>
      </w:r>
      <w:proofErr w:type="spellEnd"/>
      <w:r>
        <w:rPr>
          <w:rtl/>
        </w:rPr>
        <w:t xml:space="preserve"> אצל ר׳ </w:t>
      </w:r>
      <w:proofErr w:type="spellStart"/>
      <w:r>
        <w:rPr>
          <w:rtl/>
        </w:rPr>
        <w:t>בן־ציון</w:t>
      </w:r>
      <w:proofErr w:type="spellEnd"/>
      <w:r>
        <w:rPr>
          <w:rtl/>
        </w:rPr>
        <w:t xml:space="preserve"> </w:t>
      </w:r>
      <w:proofErr w:type="spellStart"/>
      <w:r>
        <w:rPr>
          <w:rtl/>
        </w:rPr>
        <w:t>שטרנפלד</w:t>
      </w:r>
      <w:proofErr w:type="spellEnd"/>
      <w:r>
        <w:rPr>
          <w:rtl/>
        </w:rPr>
        <w:t>,</w:t>
      </w:r>
      <w:bookmarkStart w:id="2582" w:name="_fnr1727"/>
      <w:r>
        <w:rPr>
          <w:rStyle w:val="a5"/>
        </w:rPr>
        <w:footnoteReference w:id="1731" w:customMarkFollows="0"/>
      </w:r>
      <w:bookmarkEnd w:id="2582"/>
      <w:r>
        <w:rPr>
          <w:rtl/>
        </w:rPr>
        <w:t xml:space="preserve"> ואחר כך, כשנתמנה ר׳ יוסף־דב </w:t>
      </w:r>
      <w:proofErr w:type="spellStart"/>
      <w:r>
        <w:rPr>
          <w:rtl/>
        </w:rPr>
        <w:t>סולובייצ׳יק</w:t>
      </w:r>
      <w:proofErr w:type="spellEnd"/>
      <w:r>
        <w:rPr>
          <w:rtl/>
        </w:rPr>
        <w:t xml:space="preserve"> לרבה של </w:t>
      </w:r>
      <w:proofErr w:type="spellStart"/>
      <w:r>
        <w:rPr>
          <w:rtl/>
        </w:rPr>
        <w:t>בריסק</w:t>
      </w:r>
      <w:proofErr w:type="spellEnd"/>
      <w:r>
        <w:rPr>
          <w:rtl/>
        </w:rPr>
        <w:t xml:space="preserve">, למד אצלו יחד עם בנו ר׳ חיים. לפי אבי, אמר ר׳ יוסף־דב: “הוא מלמד קבוצת ילדי עשירים בבית המדרש גמילות חסדים. הוא אדם גדול מאוד, שיכול להיות ראש ישיבה גדול”.</w:t>
      </w:r>
    </w:p>
    <w:p w14:paraId="0ED4B325"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היה גם צדיק יוצא דופן. ר׳ </w:t>
      </w:r>
      <w:proofErr w:type="spellStart"/>
      <w:r>
        <w:rPr>
          <w:rtl/>
        </w:rPr>
        <w:t>אלעזר־מנחם־מן</w:t>
      </w:r>
      <w:proofErr w:type="spellEnd"/>
      <w:r>
        <w:rPr>
          <w:rtl/>
        </w:rPr>
        <w:t xml:space="preserve"> שך</w:t>
      </w:r>
      <w:bookmarkStart w:id="2583" w:name="_fnr1728"/>
      <w:r>
        <w:rPr>
          <w:rStyle w:val="a5"/>
        </w:rPr>
        <w:footnoteReference w:id="1732" w:customMarkFollows="0"/>
      </w:r>
      <w:bookmarkEnd w:id="2583"/>
      <w:r>
        <w:rPr>
          <w:rtl/>
        </w:rPr>
        <w:t xml:space="preserve"> תיאר לי כיצד עמד ר׳ </w:t>
      </w:r>
      <w:proofErr w:type="spellStart"/>
      <w:r>
        <w:rPr>
          <w:rtl/>
        </w:rPr>
        <w:t>איצל׳ה</w:t>
      </w:r>
      <w:proofErr w:type="spellEnd"/>
      <w:r>
        <w:rPr>
          <w:rtl/>
        </w:rPr>
        <w:t xml:space="preserve"> בקריאת התורה: מעביר את משקלו מצד לצד, מרגל אחת לחברתה, דרוך וקשוב לכל הברה. השווה גם “שמושה של תורה”,</w:t>
      </w:r>
      <w:bookmarkStart w:id="2584" w:name="_fnr1729"/>
      <w:r>
        <w:rPr>
          <w:rStyle w:val="a5"/>
        </w:rPr>
        <w:footnoteReference w:id="1733" w:customMarkFollows="0"/>
      </w:r>
      <w:bookmarkEnd w:id="2584"/>
      <w:r>
        <w:rPr>
          <w:rtl/>
        </w:rPr>
        <w:t xml:space="preserve"> שבו מובא שר׳ </w:t>
      </w:r>
      <w:proofErr w:type="spellStart"/>
      <w:r>
        <w:rPr>
          <w:rtl/>
        </w:rPr>
        <w:t>אלעזר־מנחם־מן</w:t>
      </w:r>
      <w:proofErr w:type="spellEnd"/>
      <w:r>
        <w:rPr>
          <w:rtl/>
        </w:rPr>
        <w:t xml:space="preserve"> שך אמר עליו שהיה “ממש מלאך אלוקים, אש להבה” </w:t>
      </w:r>
      <w:proofErr w:type="spellStart"/>
      <w:r>
        <w:rPr>
          <w:rtl/>
        </w:rPr>
        <w:t>ו“צדיק</w:t>
      </w:r>
      <w:proofErr w:type="spellEnd"/>
      <w:r>
        <w:rPr>
          <w:rtl/>
        </w:rPr>
        <w:t xml:space="preserve"> נפלא”. ר׳ </w:t>
      </w:r>
      <w:proofErr w:type="spellStart"/>
      <w:r>
        <w:rPr>
          <w:rtl/>
        </w:rPr>
        <w:t>אלעזר־מנחם־מן</w:t>
      </w:r>
      <w:proofErr w:type="spellEnd"/>
      <w:r>
        <w:rPr>
          <w:rtl/>
        </w:rPr>
        <w:t xml:space="preserve"> שך הוסיף ותיאר כיצד הכריח את עצמו להסיח את דעתו ממחשבותיו בתורה ולהפנות את תשומת לבו לקריאת התורה שבציבור.</w:t>
      </w:r>
    </w:p>
    <w:p w14:paraId="10E95A4D" w14:textId="77777777" w:rsidR="00AB3647" w:rsidRDefault="00000000" w:rsidP="007923E9">
      <w:pPr>
        <w:spacing w:after="120" w:line="276" w:lineRule="auto"/>
        <w:ind w:firstLine="283"/>
        <w:jc w:val="both"/>
      </w:pPr>
      <w:r>
        <w:rPr>
          <w:rtl/>
        </w:rPr>
        <w:lastRenderedPageBreak/>
        <w:t>השווה גם יעקב מארק,</w:t>
      </w:r>
      <w:bookmarkStart w:id="2585" w:name="_fnr1730"/>
      <w:r>
        <w:rPr>
          <w:rStyle w:val="a5"/>
        </w:rPr>
        <w:footnoteReference w:id="1734" w:customMarkFollows="0"/>
      </w:r>
      <w:bookmarkEnd w:id="2585"/>
      <w:r>
        <w:rPr>
          <w:rtl/>
        </w:rPr>
        <w:t xml:space="preserve"> המספר שבשנותיו המאוחרות היה ר׳ </w:t>
      </w:r>
      <w:proofErr w:type="spellStart"/>
      <w:r>
        <w:rPr>
          <w:rtl/>
        </w:rPr>
        <w:t>איצל׳ה</w:t>
      </w:r>
      <w:proofErr w:type="spellEnd"/>
      <w:r>
        <w:rPr>
          <w:rtl/>
        </w:rPr>
        <w:t xml:space="preserve"> בדרכים תדיר בשל ענייני ציבור, ובכל זאת היו חומרותיו בכשרות כאלה </w:t>
      </w:r>
      <w:proofErr w:type="spellStart"/>
      <w:r>
        <w:rPr>
          <w:rtl/>
        </w:rPr>
        <w:t>ש“לא</w:t>
      </w:r>
      <w:proofErr w:type="spellEnd"/>
      <w:r>
        <w:rPr>
          <w:rtl/>
        </w:rPr>
        <w:t xml:space="preserve"> אכל לחם ולא חלב ולא חמאה, ואין צריך לומר בשר”, והוא ניזון מן המצות שלקח עמו. שם מסופר</w:t>
      </w:r>
      <w:bookmarkStart w:id="2586" w:name="_fnr1731"/>
      <w:r>
        <w:rPr>
          <w:rStyle w:val="a5"/>
        </w:rPr>
        <w:footnoteReference w:id="1735" w:customMarkFollows="0"/>
      </w:r>
      <w:bookmarkEnd w:id="2586"/>
      <w:r>
        <w:rPr>
          <w:rtl/>
        </w:rPr>
        <w:t xml:space="preserve"> שר׳ מאיר אטלס, רבה של שאוול,</w:t>
      </w:r>
      <w:bookmarkStart w:id="2587" w:name="_fnr1732"/>
      <w:r>
        <w:rPr>
          <w:rStyle w:val="a5"/>
        </w:rPr>
        <w:footnoteReference w:id="1736" w:customMarkFollows="0"/>
      </w:r>
      <w:bookmarkEnd w:id="2587"/>
      <w:r>
        <w:rPr>
          <w:rtl/>
        </w:rPr>
        <w:t xml:space="preserve"> בא מחרקוב החמה יותר לאספת רבנים בבירת רוסיה, פטרבורג, בערב שבועות. כשראה את ר׳ </w:t>
      </w:r>
      <w:proofErr w:type="spellStart"/>
      <w:r>
        <w:rPr>
          <w:rtl/>
        </w:rPr>
        <w:t>איצל׳ה</w:t>
      </w:r>
      <w:proofErr w:type="spellEnd"/>
      <w:r>
        <w:rPr>
          <w:rtl/>
        </w:rPr>
        <w:t xml:space="preserve"> </w:t>
      </w:r>
      <w:proofErr w:type="spellStart"/>
      <w:r>
        <w:rPr>
          <w:rtl/>
        </w:rPr>
        <w:t>ב“סעודתו</w:t>
      </w:r>
      <w:proofErr w:type="spellEnd"/>
      <w:r>
        <w:rPr>
          <w:rtl/>
        </w:rPr>
        <w:t xml:space="preserve">”, התבדח: “פטרבורג היא עיר מפגרת. בכל מקום כבר ערב שבועות, וכאן עדיין פסח: ר׳ </w:t>
      </w:r>
      <w:proofErr w:type="spellStart"/>
      <w:r>
        <w:rPr>
          <w:rtl/>
        </w:rPr>
        <w:t>איצל׳ה</w:t>
      </w:r>
      <w:proofErr w:type="spellEnd"/>
      <w:r>
        <w:rPr>
          <w:rtl/>
        </w:rPr>
        <w:t xml:space="preserve"> אוכל מצה, בחוץ יורד שלג, וזה עתה באתי מביקור אצל הגאון </w:t>
      </w:r>
      <w:proofErr w:type="spellStart"/>
      <w:r>
        <w:rPr>
          <w:rtl/>
        </w:rPr>
        <w:t>הרוגצ׳ובר</w:t>
      </w:r>
      <w:proofErr w:type="spellEnd"/>
      <w:r>
        <w:rPr>
          <w:rtl/>
        </w:rPr>
        <w:t>, והוא לומד מסכת פסחים!”</w:t>
      </w:r>
    </w:p>
    <w:p w14:paraId="6339F6DD" w14:textId="77777777" w:rsidR="00AB3647" w:rsidRDefault="00000000" w:rsidP="007923E9">
      <w:pPr>
        <w:spacing w:after="120" w:line="276" w:lineRule="auto"/>
        <w:ind w:firstLine="283"/>
        <w:jc w:val="both"/>
      </w:pPr>
      <w:r>
        <w:rPr>
          <w:rtl/>
        </w:rPr>
        <w:t xml:space="preserve">צד נוסף בחסידותו של ר׳ </w:t>
      </w:r>
      <w:proofErr w:type="spellStart"/>
      <w:r>
        <w:rPr>
          <w:rtl/>
        </w:rPr>
        <w:t>איצל׳ה</w:t>
      </w:r>
      <w:proofErr w:type="spellEnd"/>
      <w:r>
        <w:rPr>
          <w:rtl/>
        </w:rPr>
        <w:t xml:space="preserve"> מתגלה בהקדמת ר׳ ירוחם </w:t>
      </w:r>
      <w:proofErr w:type="spellStart"/>
      <w:r>
        <w:rPr>
          <w:rtl/>
        </w:rPr>
        <w:t>ליינר</w:t>
      </w:r>
      <w:proofErr w:type="spellEnd"/>
      <w:r>
        <w:rPr>
          <w:rtl/>
        </w:rPr>
        <w:t xml:space="preserve"> למאמר של דודו, “מאמר שפוני </w:t>
      </w:r>
      <w:proofErr w:type="spellStart"/>
      <w:r>
        <w:rPr>
          <w:rtl/>
        </w:rPr>
        <w:t>טמוני</w:t>
      </w:r>
      <w:proofErr w:type="spellEnd"/>
      <w:r>
        <w:rPr>
          <w:rtl/>
        </w:rPr>
        <w:t xml:space="preserve"> חול”.</w:t>
      </w:r>
      <w:bookmarkStart w:id="2588" w:name="_fnr1733"/>
      <w:r>
        <w:rPr>
          <w:rStyle w:val="a5"/>
        </w:rPr>
        <w:footnoteReference w:id="1737" w:customMarkFollows="0"/>
      </w:r>
      <w:bookmarkEnd w:id="2588"/>
      <w:r>
        <w:rPr>
          <w:rtl/>
        </w:rPr>
        <w:t xml:space="preserve"> הספר יצא לאור לראשונה בשנת תרמ״ז, וקורא לשוב ולהטיל את פתיל התכלת בציצית כמצוות התורה.</w:t>
      </w:r>
      <w:bookmarkStart w:id="2589" w:name="_fnr1734"/>
      <w:r>
        <w:rPr>
          <w:rStyle w:val="a5"/>
        </w:rPr>
        <w:footnoteReference w:id="1738" w:customMarkFollows="0"/>
      </w:r>
      <w:bookmarkEnd w:id="2589"/>
      <w:r>
        <w:rPr>
          <w:rtl/>
        </w:rPr>
        <w:t xml:space="preserve"> מחברו טוען שגילה במחקרו המדעי בנאפולי איזה חילזון מפיק את הצבע הכשר לכך. בעניין זה כותב הרב </w:t>
      </w:r>
      <w:proofErr w:type="spellStart"/>
      <w:r>
        <w:rPr>
          <w:rtl/>
        </w:rPr>
        <w:t>ליינר</w:t>
      </w:r>
      <w:proofErr w:type="spellEnd"/>
      <w:r>
        <w:rPr>
          <w:rtl/>
        </w:rPr>
        <w:t xml:space="preserve">: “יש לי עדות ברורה ונאמנה ש... ר׳ </w:t>
      </w:r>
      <w:proofErr w:type="spellStart"/>
      <w:r>
        <w:rPr>
          <w:rtl/>
        </w:rPr>
        <w:t>איצל׳ה</w:t>
      </w:r>
      <w:proofErr w:type="spellEnd"/>
      <w:r>
        <w:rPr>
          <w:rtl/>
        </w:rPr>
        <w:t xml:space="preserve"> </w:t>
      </w:r>
      <w:proofErr w:type="spellStart"/>
      <w:r>
        <w:rPr>
          <w:rtl/>
        </w:rPr>
        <w:t>פוניבז׳ער</w:t>
      </w:r>
      <w:proofErr w:type="spellEnd"/>
      <w:r>
        <w:rPr>
          <w:rtl/>
        </w:rPr>
        <w:t xml:space="preserve"> לבש את התכלת [שגילה ר׳ </w:t>
      </w:r>
      <w:proofErr w:type="spellStart"/>
      <w:r>
        <w:rPr>
          <w:rtl/>
        </w:rPr>
        <w:t>גרשון־חנוך</w:t>
      </w:r>
      <w:proofErr w:type="spellEnd"/>
      <w:r>
        <w:rPr>
          <w:rtl/>
        </w:rPr>
        <w:t>] בטליתו בסתר, כפי שהעידו תלמידיו שלמדו אצלו”. כשגדול ליטאי שחי כולו בעולם הספרים והמסורות סומך על ראיה מדעית כיצד לקיים מצווה, יש בכך עדות לצדקות יוצאת דופן.</w:t>
      </w:r>
    </w:p>
    <w:p w14:paraId="41C073A5" w14:textId="77777777" w:rsidR="00AB3647" w:rsidRDefault="00000000" w:rsidP="007923E9">
      <w:pPr>
        <w:spacing w:after="120" w:line="276" w:lineRule="auto"/>
        <w:ind w:firstLine="283"/>
        <w:jc w:val="both"/>
      </w:pPr>
      <w:r>
        <w:rPr>
          <w:rtl/>
        </w:rPr>
        <w:t xml:space="preserve">הרב </w:t>
      </w:r>
      <w:proofErr w:type="spellStart"/>
      <w:r>
        <w:rPr>
          <w:rtl/>
        </w:rPr>
        <w:t>ליינר</w:t>
      </w:r>
      <w:proofErr w:type="spellEnd"/>
      <w:r>
        <w:rPr>
          <w:rtl/>
        </w:rPr>
        <w:t xml:space="preserve">, שגר בבורו פארק שבברוקלין, שמע כנראה על מנהגו הנסתר של ר׳ </w:t>
      </w:r>
      <w:proofErr w:type="spellStart"/>
      <w:r>
        <w:rPr>
          <w:rtl/>
        </w:rPr>
        <w:t>איצל׳ה</w:t>
      </w:r>
      <w:proofErr w:type="spellEnd"/>
      <w:r>
        <w:rPr>
          <w:rtl/>
        </w:rPr>
        <w:t xml:space="preserve"> מפי ר׳ אליעזר </w:t>
      </w:r>
      <w:proofErr w:type="spellStart"/>
      <w:r>
        <w:rPr>
          <w:rtl/>
        </w:rPr>
        <w:t>קירזנר</w:t>
      </w:r>
      <w:proofErr w:type="spellEnd"/>
      <w:r>
        <w:rPr>
          <w:rtl/>
        </w:rPr>
        <w:t xml:space="preserve">, רב ותיק באותה קהילה, הנזכר בסוף הפסקה הבאה כתלמיד מובהק של ר׳ </w:t>
      </w:r>
      <w:proofErr w:type="spellStart"/>
      <w:r>
        <w:rPr>
          <w:rtl/>
        </w:rPr>
        <w:t>איצל׳ה</w:t>
      </w:r>
      <w:proofErr w:type="spellEnd"/>
      <w:r>
        <w:rPr>
          <w:rtl/>
        </w:rPr>
        <w:t xml:space="preserve"> </w:t>
      </w:r>
      <w:proofErr w:type="spellStart"/>
      <w:r>
        <w:rPr>
          <w:rtl/>
        </w:rPr>
        <w:t>רבינוביץ</w:t>
      </w:r>
      <w:proofErr w:type="spellEnd"/>
      <w:r>
        <w:rPr>
          <w:rtl/>
        </w:rPr>
        <w:t>.</w:t>
      </w:r>
    </w:p>
    <w:p w14:paraId="0F216859" w14:textId="77777777" w:rsidR="00AB3647" w:rsidRDefault="00000000" w:rsidP="007923E9">
      <w:pPr>
        <w:spacing w:after="120" w:line="276" w:lineRule="auto"/>
        <w:ind w:firstLine="283"/>
        <w:jc w:val="both"/>
      </w:pPr>
      <w:r>
        <w:rPr>
          <w:rtl/>
        </w:rPr>
        <w:t xml:space="preserve">אבי המשיך: “הסבא </w:t>
      </w:r>
      <w:proofErr w:type="spellStart"/>
      <w:r>
        <w:rPr>
          <w:rtl/>
        </w:rPr>
        <w:t>מסלבודקה</w:t>
      </w:r>
      <w:proofErr w:type="spellEnd"/>
      <w:r>
        <w:rPr>
          <w:rtl/>
        </w:rPr>
        <w:t xml:space="preserve"> עצר </w:t>
      </w:r>
      <w:proofErr w:type="spellStart"/>
      <w:r>
        <w:rPr>
          <w:rtl/>
        </w:rPr>
        <w:t>בביאליסטוק</w:t>
      </w:r>
      <w:proofErr w:type="spellEnd"/>
      <w:r>
        <w:rPr>
          <w:rtl/>
        </w:rPr>
        <w:t xml:space="preserve"> בדרכו הביתה </w:t>
      </w:r>
      <w:proofErr w:type="spellStart"/>
      <w:r>
        <w:rPr>
          <w:rtl/>
        </w:rPr>
        <w:t>מבריסק</w:t>
      </w:r>
      <w:proofErr w:type="spellEnd"/>
      <w:r>
        <w:rPr>
          <w:rtl/>
        </w:rPr>
        <w:t xml:space="preserve">, וקיבל את ר׳ </w:t>
      </w:r>
      <w:proofErr w:type="spellStart"/>
      <w:r>
        <w:rPr>
          <w:rtl/>
        </w:rPr>
        <w:t>איצל׳ה</w:t>
      </w:r>
      <w:proofErr w:type="spellEnd"/>
      <w:r>
        <w:rPr>
          <w:rtl/>
        </w:rPr>
        <w:t xml:space="preserve"> לישיבה. הערכתו של ר׳ יוסף־דב לגדולתו אכן הייתה מדויקת. שיטתו המיוחדת בתלמוד – שיטתו הייתה ליצור חלוקות, לא מתוך הסברה אלא מתוך עובדות הלכתיות – הכתה גלים בעולם התורה”.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0" w:name="_fnr1735"/>
      <w:r>
        <w:rPr>
          <w:rStyle w:val="a5"/>
        </w:rPr>
        <w:footnoteReference w:id="1739" w:customMarkFollows="0"/>
      </w:r>
      <w:bookmarkEnd w:id="2590"/>
      <w:r>
        <w:rPr>
          <w:rtl/>
        </w:rPr>
        <w:t xml:space="preserve"> מובא שר׳ יצחק־זאב אמר שכאשר אביו אומר דברי תורה הוא כמעיין המתגבר והולך לעומק, וכאשר ר׳ </w:t>
      </w:r>
      <w:proofErr w:type="spellStart"/>
      <w:r>
        <w:rPr>
          <w:rtl/>
        </w:rPr>
        <w:t>איצל׳ה</w:t>
      </w:r>
      <w:proofErr w:type="spellEnd"/>
      <w:r>
        <w:rPr>
          <w:rtl/>
        </w:rPr>
        <w:t xml:space="preserve"> אומר דברי תורה הוא כמעיין המתגבר והולך לרוחב. אפיון זה של שיטת ר׳ </w:t>
      </w:r>
      <w:proofErr w:type="spellStart"/>
      <w:r>
        <w:rPr>
          <w:rtl/>
        </w:rPr>
        <w:t>איצל׳ה</w:t>
      </w:r>
      <w:proofErr w:type="spellEnd"/>
      <w:r>
        <w:rPr>
          <w:rtl/>
        </w:rPr>
        <w:t xml:space="preserve"> דומה להגדרתו של רבנו.</w:t>
      </w:r>
    </w:p>
    <w:p w14:paraId="0FACC4EC" w14:textId="77777777" w:rsidR="00AB3647" w:rsidRDefault="00000000" w:rsidP="007923E9">
      <w:pPr>
        <w:spacing w:after="120" w:line="276" w:lineRule="auto"/>
        <w:ind w:firstLine="283"/>
        <w:jc w:val="both"/>
      </w:pPr>
      <w:r>
        <w:rPr>
          <w:rtl/>
        </w:rPr>
        <w:t xml:space="preserve">“נראה שמספר תלמידי ישיבת </w:t>
      </w:r>
      <w:proofErr w:type="spellStart"/>
      <w:r>
        <w:rPr>
          <w:rtl/>
        </w:rPr>
        <w:t>סלבודקה</w:t>
      </w:r>
      <w:proofErr w:type="spellEnd"/>
      <w:r>
        <w:rPr>
          <w:rtl/>
        </w:rPr>
        <w:t xml:space="preserve"> גדל מאוד בעקבות בואו של ר׳ </w:t>
      </w:r>
      <w:proofErr w:type="spellStart"/>
      <w:r>
        <w:rPr>
          <w:rtl/>
        </w:rPr>
        <w:t>איצל׳ה</w:t>
      </w:r>
      <w:proofErr w:type="spellEnd"/>
      <w:r>
        <w:rPr>
          <w:rtl/>
        </w:rPr>
        <w:t>”,</w:t>
      </w:r>
      <w:bookmarkStart w:id="2591" w:name="_fnr1736"/>
      <w:r>
        <w:rPr>
          <w:rStyle w:val="a5"/>
        </w:rPr>
        <w:footnoteReference w:id="1740" w:customMarkFollows="0"/>
      </w:r>
      <w:bookmarkEnd w:id="2591"/>
      <w:r>
        <w:rPr>
          <w:rtl/>
        </w:rPr>
        <w:t xml:space="preserve"> אמר אבי. “פעם אחת, כשנערך סיום הש״ס </w:t>
      </w:r>
      <w:proofErr w:type="spellStart"/>
      <w:r>
        <w:rPr>
          <w:rtl/>
        </w:rPr>
        <w:t>בקלויז</w:t>
      </w:r>
      <w:proofErr w:type="spellEnd"/>
      <w:r>
        <w:rPr>
          <w:rtl/>
        </w:rPr>
        <w:t xml:space="preserve"> </w:t>
      </w:r>
      <w:proofErr w:type="spellStart"/>
      <w:r>
        <w:rPr>
          <w:rtl/>
        </w:rPr>
        <w:t>נביאזר</w:t>
      </w:r>
      <w:proofErr w:type="spellEnd"/>
      <w:r>
        <w:rPr>
          <w:rtl/>
        </w:rPr>
        <w:t xml:space="preserve"> בקובנה, בית הכנסת הלמדני שבו לימד ר׳ ישראל </w:t>
      </w:r>
      <w:proofErr w:type="spellStart"/>
      <w:r>
        <w:rPr>
          <w:rtl/>
        </w:rPr>
        <w:t>סלנטר</w:t>
      </w:r>
      <w:proofErr w:type="spellEnd"/>
      <w:r>
        <w:rPr>
          <w:rtl/>
        </w:rPr>
        <w:t xml:space="preserve">, הוזמנו גם ר׳ </w:t>
      </w:r>
      <w:proofErr w:type="spellStart"/>
      <w:r>
        <w:rPr>
          <w:rtl/>
        </w:rPr>
        <w:t>יצחק־אלחנן</w:t>
      </w:r>
      <w:proofErr w:type="spellEnd"/>
      <w:r>
        <w:rPr>
          <w:rtl/>
        </w:rPr>
        <w:t xml:space="preserve"> וגם ר׳ </w:t>
      </w:r>
      <w:proofErr w:type="spellStart"/>
      <w:r>
        <w:rPr>
          <w:rtl/>
        </w:rPr>
        <w:t>איצל׳ה</w:t>
      </w:r>
      <w:proofErr w:type="spellEnd"/>
      <w:r>
        <w:rPr>
          <w:rtl/>
        </w:rPr>
        <w:t xml:space="preserve"> </w:t>
      </w:r>
      <w:proofErr w:type="spellStart"/>
      <w:r>
        <w:rPr>
          <w:rtl/>
        </w:rPr>
        <w:t>רבינוביץ</w:t>
      </w:r>
      <w:proofErr w:type="spellEnd"/>
      <w:r>
        <w:rPr>
          <w:rtl/>
        </w:rPr>
        <w:t xml:space="preserve"> לומר הדרנים. אחר כך נשאל ר׳ </w:t>
      </w:r>
      <w:proofErr w:type="spellStart"/>
      <w:r>
        <w:rPr>
          <w:rtl/>
        </w:rPr>
        <w:t>יצחק־אלחנן</w:t>
      </w:r>
      <w:proofErr w:type="spellEnd"/>
      <w:r>
        <w:rPr>
          <w:rtl/>
        </w:rPr>
        <w:t xml:space="preserve">, שלא שמע מעולם שיעור מן הסוג שמסר הדובר האחר, מה דעתו על ר׳ </w:t>
      </w:r>
      <w:proofErr w:type="spellStart"/>
      <w:r>
        <w:rPr>
          <w:rtl/>
        </w:rPr>
        <w:t>איצל׳ה</w:t>
      </w:r>
      <w:proofErr w:type="spellEnd"/>
      <w:r>
        <w:rPr>
          <w:rtl/>
        </w:rPr>
        <w:t xml:space="preserve">, והשיב: ‘הצעיר הזה יהיה </w:t>
      </w:r>
      <w:proofErr w:type="spellStart"/>
      <w:r>
        <w:rPr>
          <w:rtl/>
        </w:rPr>
        <w:t>רשב״א</w:t>
      </w:r>
      <w:proofErr w:type="spellEnd"/>
      <w:r>
        <w:rPr>
          <w:rtl/>
        </w:rPr>
        <w:t xml:space="preserve"> או </w:t>
      </w:r>
      <w:proofErr w:type="spellStart"/>
      <w:r>
        <w:rPr>
          <w:rtl/>
        </w:rPr>
        <w:t>גארניט</w:t>
      </w:r>
      <w:proofErr w:type="spellEnd"/>
      <w:r>
        <w:rPr>
          <w:rtl/>
        </w:rPr>
        <w:t xml:space="preserve"> [לא כלום]’. את המסקנה המפתיעה הזו הסיק רב קובנה מפני שלא הכיר את השינוי בשיטת לימוד התלמוד שהתחולל בעולם הישיבות </w:t>
      </w:r>
      <w:r>
        <w:rPr>
          <w:rtl/>
        </w:rPr>
        <w:lastRenderedPageBreak/>
        <w:t xml:space="preserve">בעקבות שיעורי ר׳ חיים </w:t>
      </w:r>
      <w:proofErr w:type="spellStart"/>
      <w:r>
        <w:rPr>
          <w:rtl/>
        </w:rPr>
        <w:t>סולובייצ׳יק</w:t>
      </w:r>
      <w:proofErr w:type="spellEnd"/>
      <w:r>
        <w:rPr>
          <w:rtl/>
        </w:rPr>
        <w:t xml:space="preserve"> </w:t>
      </w:r>
      <w:proofErr w:type="spellStart"/>
      <w:r>
        <w:rPr>
          <w:rtl/>
        </w:rPr>
        <w:t>בוולוז׳ין</w:t>
      </w:r>
      <w:bookmarkStart w:id="2592" w:name="_fnr1737"/>
      <w:proofErr w:type="spellEnd"/>
      <w:r>
        <w:rPr>
          <w:rStyle w:val="a5"/>
        </w:rPr>
        <w:footnoteReference w:id="1741" w:customMarkFollows="0"/>
      </w:r>
      <w:bookmarkEnd w:id="2592"/>
      <w:r>
        <w:rPr>
          <w:rtl/>
        </w:rPr>
        <w:t xml:space="preserve"> ושיעורי ר׳ </w:t>
      </w:r>
      <w:proofErr w:type="spellStart"/>
      <w:r>
        <w:rPr>
          <w:rtl/>
        </w:rPr>
        <w:t>איצל׳ה</w:t>
      </w:r>
      <w:proofErr w:type="spellEnd"/>
      <w:r>
        <w:rPr>
          <w:rtl/>
        </w:rPr>
        <w:t xml:space="preserve"> </w:t>
      </w:r>
      <w:proofErr w:type="spellStart"/>
      <w:r>
        <w:rPr>
          <w:rtl/>
        </w:rPr>
        <w:t>בסלבודקה</w:t>
      </w:r>
      <w:proofErr w:type="spellEnd"/>
      <w:r>
        <w:rPr>
          <w:rtl/>
        </w:rPr>
        <w:t xml:space="preserve">”. ר׳ </w:t>
      </w:r>
      <w:proofErr w:type="spellStart"/>
      <w:r>
        <w:rPr>
          <w:rtl/>
        </w:rPr>
        <w:t>איצל׳ה</w:t>
      </w:r>
      <w:proofErr w:type="spellEnd"/>
      <w:r>
        <w:rPr>
          <w:rtl/>
        </w:rPr>
        <w:t xml:space="preserve"> היה מעיין בלתי פוסק של חידושי תורה, ורק מעט מהם נשמרו לדורות ויצאו לאור לאחר מכן בשם “זכר יצחק”.</w:t>
      </w:r>
      <w:bookmarkStart w:id="2593" w:name="_fnr1738"/>
      <w:r>
        <w:rPr>
          <w:rStyle w:val="a5"/>
        </w:rPr>
        <w:footnoteReference w:id="1742" w:customMarkFollows="0"/>
      </w:r>
      <w:bookmarkEnd w:id="2593"/>
    </w:p>
    <w:p w14:paraId="720B5A1D"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לא היה מסויג כר׳ </w:t>
      </w:r>
      <w:proofErr w:type="spellStart"/>
      <w:r>
        <w:rPr>
          <w:rtl/>
        </w:rPr>
        <w:t>יצחק־אלחנן</w:t>
      </w:r>
      <w:proofErr w:type="spellEnd"/>
      <w:r>
        <w:rPr>
          <w:rtl/>
        </w:rPr>
        <w:t xml:space="preserve"> בקבלת שינויים בעולם התורה – ואף ביוזמת שינויים כאלה – והוא שיבח את שיטתו החדשה של ר׳ חיים </w:t>
      </w:r>
      <w:proofErr w:type="spellStart"/>
      <w:r>
        <w:rPr>
          <w:rtl/>
        </w:rPr>
        <w:t>סולובייצ׳יק</w:t>
      </w:r>
      <w:proofErr w:type="spellEnd"/>
      <w:r>
        <w:rPr>
          <w:rtl/>
        </w:rPr>
        <w:t xml:space="preserve"> בלימוד התלמוד.</w:t>
      </w:r>
      <w:bookmarkStart w:id="2594" w:name="_fnr1739"/>
      <w:r>
        <w:rPr>
          <w:rStyle w:val="a5"/>
        </w:rPr>
        <w:footnoteReference w:id="1743" w:customMarkFollows="0"/>
      </w:r>
      <w:bookmarkEnd w:id="2594"/>
      <w:r>
        <w:rPr>
          <w:rtl/>
        </w:rPr>
        <w:t xml:space="preserve"> יש גרסאות אחדות בפרטי תגובתו לדרך לימודו של ר׳ חיים. ישראל </w:t>
      </w:r>
      <w:proofErr w:type="spellStart"/>
      <w:r>
        <w:rPr>
          <w:rtl/>
        </w:rPr>
        <w:t>גרינוולד</w:t>
      </w:r>
      <w:proofErr w:type="spellEnd"/>
      <w:r>
        <w:rPr>
          <w:rtl/>
        </w:rPr>
        <w:t xml:space="preserve">, </w:t>
      </w:r>
      <w:proofErr w:type="spellStart"/>
      <w:r>
        <w:rPr>
          <w:rtl/>
        </w:rPr>
        <w:t>ב“ר</w:t>
      </w:r>
      <w:proofErr w:type="spellEnd"/>
      <w:r>
        <w:rPr>
          <w:rtl/>
        </w:rPr>
        <w:t xml:space="preserve">׳ מנדל </w:t>
      </w:r>
      <w:proofErr w:type="spellStart"/>
      <w:r>
        <w:rPr>
          <w:rtl/>
        </w:rPr>
        <w:t>וחכמתו</w:t>
      </w:r>
      <w:proofErr w:type="spellEnd"/>
      <w:r>
        <w:rPr>
          <w:rtl/>
        </w:rPr>
        <w:t>”,</w:t>
      </w:r>
      <w:bookmarkStart w:id="2595" w:name="_fnr1740"/>
      <w:r>
        <w:rPr>
          <w:rStyle w:val="a5"/>
        </w:rPr>
        <w:footnoteReference w:id="1744" w:customMarkFollows="0"/>
      </w:r>
      <w:bookmarkEnd w:id="2595"/>
      <w:r>
        <w:rPr>
          <w:rtl/>
        </w:rPr>
        <w:t xml:space="preserve"> מצטט את ר׳ מנדל קפלן, ששמע כנראה את המעשה מרבו ר׳ אלחנן וסרמן, וזה שמע אותו מן הסתם בחוג משפחת </w:t>
      </w:r>
      <w:proofErr w:type="spellStart"/>
      <w:r>
        <w:rPr>
          <w:rtl/>
        </w:rPr>
        <w:t>סולובייצ׳יק</w:t>
      </w:r>
      <w:proofErr w:type="spellEnd"/>
      <w:r>
        <w:rPr>
          <w:rtl/>
        </w:rPr>
        <w:t xml:space="preserve"> כשלמד אצל ר׳ חיים </w:t>
      </w:r>
      <w:proofErr w:type="spellStart"/>
      <w:r>
        <w:rPr>
          <w:rtl/>
        </w:rPr>
        <w:t>בבריסק</w:t>
      </w:r>
      <w:proofErr w:type="spellEnd"/>
      <w:r>
        <w:rPr>
          <w:rtl/>
        </w:rPr>
        <w:t>.</w:t>
      </w:r>
      <w:bookmarkStart w:id="2596" w:name="_fnr1741"/>
      <w:r>
        <w:rPr>
          <w:rStyle w:val="a5"/>
        </w:rPr>
        <w:footnoteReference w:id="1745" w:customMarkFollows="0"/>
      </w:r>
      <w:bookmarkEnd w:id="2596"/>
      <w:r>
        <w:rPr>
          <w:rtl/>
        </w:rPr>
        <w:t xml:space="preserve"> וכך אמר ר׳ מנדל: “בצעירותו אמר ר׳ חיים [</w:t>
      </w:r>
      <w:proofErr w:type="spellStart"/>
      <w:r>
        <w:rPr>
          <w:rtl/>
        </w:rPr>
        <w:t>סולובייצ׳יק</w:t>
      </w:r>
      <w:proofErr w:type="spellEnd"/>
      <w:r>
        <w:rPr>
          <w:rtl/>
        </w:rPr>
        <w:t xml:space="preserve">] חידוש בפני ר׳ ישראל </w:t>
      </w:r>
      <w:proofErr w:type="spellStart"/>
      <w:r>
        <w:rPr>
          <w:rtl/>
        </w:rPr>
        <w:t>סלנטר</w:t>
      </w:r>
      <w:proofErr w:type="spellEnd"/>
      <w:r>
        <w:rPr>
          <w:rtl/>
        </w:rPr>
        <w:t xml:space="preserve">, ו[זה] אמר לאביו של ר׳ חיים: ‘יבוא זמן שדרכו העיונית תועיל לתלמידים, בכך שתעורר בהם חשק ללמוד’”. גם ר׳ ניסים </w:t>
      </w:r>
      <w:proofErr w:type="spellStart"/>
      <w:r>
        <w:rPr>
          <w:rtl/>
        </w:rPr>
        <w:t>טולדנו</w:t>
      </w:r>
      <w:proofErr w:type="spellEnd"/>
      <w:r>
        <w:rPr>
          <w:rtl/>
        </w:rPr>
        <w:t xml:space="preserve"> העיד, בנאום שנדפס בקובץ תורני,</w:t>
      </w:r>
      <w:bookmarkStart w:id="2597" w:name="_fnr1742"/>
      <w:r>
        <w:rPr>
          <w:rStyle w:val="a5"/>
        </w:rPr>
        <w:footnoteReference w:id="1746" w:customMarkFollows="0"/>
      </w:r>
      <w:bookmarkEnd w:id="2597"/>
      <w:r>
        <w:rPr>
          <w:rtl/>
        </w:rPr>
        <w:t xml:space="preserve"> ששמע רעיון זה של ר׳ ישראל </w:t>
      </w:r>
      <w:proofErr w:type="spellStart"/>
      <w:r>
        <w:rPr>
          <w:rtl/>
        </w:rPr>
        <w:t>סלנטר</w:t>
      </w:r>
      <w:proofErr w:type="spellEnd"/>
      <w:r>
        <w:rPr>
          <w:rtl/>
        </w:rPr>
        <w:t xml:space="preserve"> בשיחה של ר׳ </w:t>
      </w:r>
      <w:proofErr w:type="spellStart"/>
      <w:r>
        <w:rPr>
          <w:rtl/>
        </w:rPr>
        <w:t>אליהו־אליעזר</w:t>
      </w:r>
      <w:proofErr w:type="spellEnd"/>
      <w:r>
        <w:rPr>
          <w:rtl/>
        </w:rPr>
        <w:t xml:space="preserve"> </w:t>
      </w:r>
      <w:proofErr w:type="spellStart"/>
      <w:r>
        <w:rPr>
          <w:rtl/>
        </w:rPr>
        <w:t>דסלר</w:t>
      </w:r>
      <w:proofErr w:type="spellEnd"/>
      <w:r>
        <w:rPr>
          <w:rtl/>
        </w:rPr>
        <w:t xml:space="preserve"> בישיבת </w:t>
      </w:r>
      <w:proofErr w:type="spellStart"/>
      <w:r>
        <w:rPr>
          <w:rtl/>
        </w:rPr>
        <w:t>פוניבז</w:t>
      </w:r>
      <w:proofErr w:type="spellEnd"/>
      <w:r>
        <w:rPr>
          <w:rtl/>
        </w:rPr>
        <w:t>׳ בבני ברק.</w:t>
      </w:r>
    </w:p>
    <w:p w14:paraId="388CF635" w14:textId="77777777" w:rsidR="00AB3647" w:rsidRDefault="00000000" w:rsidP="007923E9">
      <w:pPr>
        <w:spacing w:after="120" w:line="276" w:lineRule="auto"/>
        <w:ind w:firstLine="283"/>
        <w:jc w:val="both"/>
      </w:pPr>
      <w:r>
        <w:rPr>
          <w:rtl/>
        </w:rPr>
        <w:t xml:space="preserve">אם המעשה נמסר בדייקנות, נראה שאירע </w:t>
      </w:r>
      <w:r>
        <w:rPr>
          <w:b/>
          <w:bCs/>
          <w:rtl/>
        </w:rPr>
        <w:t>לפני</w:t>
      </w:r>
      <w:r>
        <w:rPr>
          <w:rtl/>
        </w:rPr>
        <w:t xml:space="preserve"> שר׳ חיים הצטרף לצוות </w:t>
      </w:r>
      <w:proofErr w:type="spellStart"/>
      <w:r>
        <w:rPr>
          <w:rtl/>
        </w:rPr>
        <w:t>וולוז׳ין</w:t>
      </w:r>
      <w:proofErr w:type="spellEnd"/>
      <w:r>
        <w:rPr>
          <w:rtl/>
        </w:rPr>
        <w:t xml:space="preserve">. אבל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2598" w:name="_fnr1743"/>
      <w:r>
        <w:rPr>
          <w:rStyle w:val="a5"/>
        </w:rPr>
        <w:footnoteReference w:id="1747" w:customMarkFollows="0"/>
      </w:r>
      <w:bookmarkEnd w:id="2598"/>
      <w:r>
        <w:rPr>
          <w:rtl/>
        </w:rPr>
        <w:t xml:space="preserve"> מסופר בשם ר׳ אהרן קוטלר שר׳ יוסף־דב פגש במקרה את ר׳ ישראל </w:t>
      </w:r>
      <w:proofErr w:type="spellStart"/>
      <w:r>
        <w:rPr>
          <w:rtl/>
        </w:rPr>
        <w:t>סלנטר</w:t>
      </w:r>
      <w:proofErr w:type="spellEnd"/>
      <w:r>
        <w:rPr>
          <w:rtl/>
        </w:rPr>
        <w:t xml:space="preserve"> בקובנה וחזר בפניו על חידוש של בנו, ור׳ ישראל </w:t>
      </w:r>
      <w:proofErr w:type="spellStart"/>
      <w:r>
        <w:rPr>
          <w:rtl/>
        </w:rPr>
        <w:t>סלנטר</w:t>
      </w:r>
      <w:proofErr w:type="spellEnd"/>
      <w:r>
        <w:rPr>
          <w:rtl/>
        </w:rPr>
        <w:t xml:space="preserve"> אמר: “אכן, תורה כזו ראוי להפיץ בדור הבא; נראה לי שבדורות הבאים ילמדו בדרך זו”. לשון זו, שכבר מדברת על “הפצת” שיטתו של ר׳ חיים, מורה, כנראה, שנאמרה לא כשהיה ר׳ חיים רק אברך הסמוך על שולחן חותנו, אלא אחרי שנתמנה למסור שיעורים בישיבת </w:t>
      </w:r>
      <w:proofErr w:type="spellStart"/>
      <w:r>
        <w:rPr>
          <w:rtl/>
        </w:rPr>
        <w:t>וולוז׳ין</w:t>
      </w:r>
      <w:proofErr w:type="spellEnd"/>
      <w:r>
        <w:rPr>
          <w:rtl/>
        </w:rPr>
        <w:t>, כלומר זמן מה לאחר תחילת קיץ תר״מ.</w:t>
      </w:r>
      <w:bookmarkStart w:id="2599" w:name="_fnr1744"/>
      <w:r>
        <w:rPr>
          <w:rStyle w:val="a5"/>
        </w:rPr>
        <w:footnoteReference w:id="1748" w:customMarkFollows="0"/>
      </w:r>
      <w:bookmarkEnd w:id="2599"/>
    </w:p>
    <w:p w14:paraId="12CE29D8" w14:textId="25F346B1" w:rsidR="00AB3647" w:rsidRDefault="00000000" w:rsidP="007923E9">
      <w:pPr>
        <w:spacing w:after="120" w:line="276" w:lineRule="auto"/>
        <w:ind w:firstLine="283"/>
        <w:jc w:val="both"/>
      </w:pPr>
      <w:r>
        <w:rPr>
          <w:rtl/>
        </w:rPr>
        <w:t>מכיוון שר׳ ישראל נפטר בשנת תרמ״ג, אפשר לברר מתי היה בליטא כדי לומר זאת – ראה הפסקה החמישית 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 שהיה זה בקיץ תרמ״ב, בדיוק שנתיים לאחר מינוי ר׳ חיים. השווה גם “שלוחא </w:t>
      </w:r>
      <w:proofErr w:type="spellStart"/>
      <w:r>
        <w:rPr>
          <w:rtl/>
        </w:rPr>
        <w:t>דרחמנא</w:t>
      </w:r>
      <w:proofErr w:type="spellEnd"/>
      <w:r>
        <w:rPr>
          <w:rtl/>
        </w:rPr>
        <w:t xml:space="preserve">” מאת אהרן </w:t>
      </w:r>
      <w:proofErr w:type="spellStart"/>
      <w:r>
        <w:rPr>
          <w:rtl/>
        </w:rPr>
        <w:t>סורסקי</w:t>
      </w:r>
      <w:proofErr w:type="spellEnd"/>
      <w:r>
        <w:rPr>
          <w:rtl/>
        </w:rPr>
        <w:t>,</w:t>
      </w:r>
      <w:bookmarkStart w:id="2600" w:name="_fnr1745"/>
      <w:r>
        <w:rPr>
          <w:rStyle w:val="a5"/>
        </w:rPr>
        <w:footnoteReference w:id="1749" w:customMarkFollows="0"/>
      </w:r>
      <w:bookmarkEnd w:id="2600"/>
      <w:r>
        <w:rPr>
          <w:rtl/>
        </w:rPr>
        <w:t xml:space="preserve"> המייחס את הדברים למאורע דומה – אף הוא בלי פגישה פנים אל פנים בין ר׳ ישראל </w:t>
      </w:r>
      <w:proofErr w:type="spellStart"/>
      <w:r>
        <w:rPr>
          <w:rtl/>
        </w:rPr>
        <w:t>לר</w:t>
      </w:r>
      <w:proofErr w:type="spellEnd"/>
      <w:r>
        <w:rPr>
          <w:rtl/>
        </w:rPr>
        <w:t xml:space="preserve">׳ חיים. הוא מביא בשם ר׳ אהרן קוטלר שכאשר חזרו בפני ר׳ ישראל </w:t>
      </w:r>
      <w:proofErr w:type="spellStart"/>
      <w:r>
        <w:rPr>
          <w:rtl/>
        </w:rPr>
        <w:t>סלנטר</w:t>
      </w:r>
      <w:proofErr w:type="spellEnd"/>
      <w:r>
        <w:rPr>
          <w:rtl/>
        </w:rPr>
        <w:t xml:space="preserve"> על חידוש אופייני של ר׳ חיים, אמר: “ודאי תורה כזו יש להפיץ בדור הבא; בדרך זו – באמצעות המתיקות החדשה שהיא מגלה בתורה, ורק באמצעותה – </w:t>
      </w:r>
      <w:r>
        <w:rPr>
          <w:rtl/>
        </w:rPr>
        <w:lastRenderedPageBreak/>
        <w:t>אפשר לקיים את המשכיות התורה ולעורר את החשק [ללמוד אותה] בדורות העתידים, הרפויים”.</w:t>
      </w:r>
      <w:bookmarkStart w:id="2601" w:name="_fnr1746"/>
      <w:r>
        <w:rPr>
          <w:rStyle w:val="a5"/>
        </w:rPr>
        <w:footnoteReference w:id="1750" w:customMarkFollows="0"/>
      </w:r>
      <w:bookmarkEnd w:id="2601"/>
    </w:p>
    <w:p w14:paraId="0A280E1A" w14:textId="77777777" w:rsidR="00AB3647" w:rsidRDefault="00000000" w:rsidP="007923E9">
      <w:pPr>
        <w:spacing w:after="120" w:line="276" w:lineRule="auto"/>
        <w:ind w:firstLine="283"/>
        <w:jc w:val="both"/>
      </w:pPr>
      <w:r>
        <w:rPr>
          <w:rtl/>
        </w:rPr>
        <w:t>השווה גם “והצדיק רבי שלמה”,</w:t>
      </w:r>
      <w:bookmarkStart w:id="2602" w:name="_fnr1747"/>
      <w:bookmarkStart w:id="2603" w:name="pr_f_1657"/>
      <w:r>
        <w:rPr>
          <w:rStyle w:val="a5"/>
        </w:rPr>
        <w:footnoteReference w:id="1751" w:customMarkFollows="0"/>
      </w:r>
      <w:bookmarkEnd w:id="2602"/>
      <w:bookmarkEnd w:id="2603"/>
      <w:r>
        <w:rPr>
          <w:rtl/>
        </w:rPr>
        <w:t xml:space="preserve"> המצטט </w:t>
      </w:r>
      <w:proofErr w:type="spellStart"/>
      <w:r>
        <w:rPr>
          <w:rtl/>
        </w:rPr>
        <w:t>מ“ספר</w:t>
      </w:r>
      <w:proofErr w:type="spellEnd"/>
      <w:r>
        <w:rPr>
          <w:rtl/>
        </w:rPr>
        <w:t xml:space="preserve"> דרכי חיים”. שם מובא שר׳ נפתלי </w:t>
      </w:r>
      <w:proofErr w:type="spellStart"/>
      <w:r>
        <w:rPr>
          <w:rtl/>
        </w:rPr>
        <w:t>וירושובר</w:t>
      </w:r>
      <w:proofErr w:type="spellEnd"/>
      <w:r>
        <w:rPr>
          <w:rtl/>
        </w:rPr>
        <w:t xml:space="preserve"> (</w:t>
      </w:r>
      <w:proofErr w:type="spellStart"/>
      <w:r>
        <w:rPr>
          <w:rtl/>
        </w:rPr>
        <w:t>זילברברג</w:t>
      </w:r>
      <w:proofErr w:type="spellEnd"/>
      <w:r>
        <w:rPr>
          <w:rtl/>
        </w:rPr>
        <w:t>)</w:t>
      </w:r>
      <w:bookmarkStart w:id="2604" w:name="_fnr1748"/>
      <w:r>
        <w:rPr>
          <w:rStyle w:val="a5"/>
        </w:rPr>
        <w:footnoteReference w:id="1752" w:customMarkFollows="0"/>
      </w:r>
      <w:bookmarkEnd w:id="2604"/>
      <w:r>
        <w:rPr>
          <w:rtl/>
        </w:rPr>
        <w:t xml:space="preserve"> כתב במכתב שר׳ ישראל רצה שיישאר בווילנה וילמד בה, ואמר: “אחד הטעמים לכך שיש מיהודי ליטא שלומדים חיצונים הוא שאינם יודעים אלא את הקושיות והתירוצים של התוספות במאות דפי הגמרא שלמדו, אך אינם יודעים את מתיקות מה שהיה מונח </w:t>
      </w:r>
      <w:proofErr w:type="spellStart"/>
      <w:r>
        <w:rPr>
          <w:rtl/>
        </w:rPr>
        <w:t>בקושיה</w:t>
      </w:r>
      <w:proofErr w:type="spellEnd"/>
      <w:r>
        <w:rPr>
          <w:rtl/>
        </w:rPr>
        <w:t xml:space="preserve"> ומה שהתחדש בתירוץ, ואינם טועמים אפילו טיפה מים החכמה והמתיקות שבתוספות – ואילו בלימודים החיצוניים, להבדיל באלף הבדלות, מעט החכמה שבהם גלוי בבירור ומורגש מיד [שכן אין בהם נסתרות]”.</w:t>
      </w:r>
      <w:bookmarkStart w:id="2605" w:name="fx_ref_506"/>
      <w:bookmarkStart w:id="2606" w:name="_fnr1749"/>
      <w:r>
        <w:rPr>
          <w:rStyle w:val="a5"/>
        </w:rPr>
        <w:footnoteReference w:id="1753" w:customMarkFollows="0"/>
      </w:r>
      <w:bookmarkEnd w:id="2605"/>
      <w:bookmarkEnd w:id="2606"/>
    </w:p>
    <w:p w14:paraId="3DB1ABA0" w14:textId="77777777" w:rsidR="00AB3647" w:rsidRDefault="00000000" w:rsidP="007923E9">
      <w:pPr>
        <w:spacing w:after="120" w:line="276" w:lineRule="auto"/>
        <w:ind w:firstLine="283"/>
        <w:jc w:val="both"/>
      </w:pPr>
      <w:r>
        <w:rPr>
          <w:rtl/>
        </w:rPr>
        <w:t xml:space="preserve">העיירה </w:t>
      </w:r>
      <w:proofErr w:type="spellStart"/>
      <w:r>
        <w:rPr>
          <w:rtl/>
        </w:rPr>
        <w:t>וירושוב</w:t>
      </w:r>
      <w:proofErr w:type="spellEnd"/>
      <w:r>
        <w:rPr>
          <w:rtl/>
        </w:rPr>
        <w:t xml:space="preserve"> נמצאת </w:t>
      </w:r>
      <w:proofErr w:type="spellStart"/>
      <w:r>
        <w:rPr>
          <w:rtl/>
        </w:rPr>
        <w:t>מדרום־מערב</w:t>
      </w:r>
      <w:proofErr w:type="spellEnd"/>
      <w:r>
        <w:rPr>
          <w:rtl/>
        </w:rPr>
        <w:t xml:space="preserve"> </w:t>
      </w:r>
      <w:proofErr w:type="spellStart"/>
      <w:r>
        <w:rPr>
          <w:rtl/>
        </w:rPr>
        <w:t>ללודז</w:t>
      </w:r>
      <w:proofErr w:type="spellEnd"/>
      <w:r>
        <w:rPr>
          <w:rtl/>
        </w:rPr>
        <w:t xml:space="preserve">׳, הרחק מווילנה, ור׳ נפתלי ודאי ביקר בווילנה כשקיבל את הזמנת ר׳ ישראל. לא ברור מתי אירע הדבר, אבל הישיבה שבה התבקש ר׳ נפתלי ללמוד לא הייתה יכולה להיות בית מדרשו של ר׳ ישראל בפרבר </w:t>
      </w:r>
      <w:proofErr w:type="spellStart"/>
      <w:r>
        <w:rPr>
          <w:rtl/>
        </w:rPr>
        <w:t>זארצ׳ה</w:t>
      </w:r>
      <w:proofErr w:type="spellEnd"/>
      <w:r>
        <w:rPr>
          <w:rtl/>
        </w:rPr>
        <w:t xml:space="preserve"> בשנים ת״ר–תר״ט, שהרי ר׳ נפתלי </w:t>
      </w:r>
      <w:proofErr w:type="spellStart"/>
      <w:r>
        <w:rPr>
          <w:rtl/>
        </w:rPr>
        <w:t>זילברברג</w:t>
      </w:r>
      <w:proofErr w:type="spellEnd"/>
      <w:r>
        <w:rPr>
          <w:rtl/>
        </w:rPr>
        <w:t xml:space="preserve">, לימים </w:t>
      </w:r>
      <w:proofErr w:type="spellStart"/>
      <w:r>
        <w:rPr>
          <w:rtl/>
        </w:rPr>
        <w:t>מ״ץ</w:t>
      </w:r>
      <w:proofErr w:type="spellEnd"/>
      <w:r>
        <w:rPr>
          <w:rtl/>
        </w:rPr>
        <w:t xml:space="preserve"> חשוב בוורשה,</w:t>
      </w:r>
      <w:bookmarkStart w:id="2607" w:name="_fnr1750"/>
      <w:r>
        <w:rPr>
          <w:rStyle w:val="a5"/>
        </w:rPr>
        <w:footnoteReference w:id="1754" w:customMarkFollows="0"/>
      </w:r>
      <w:bookmarkEnd w:id="2607"/>
      <w:r>
        <w:rPr>
          <w:rtl/>
        </w:rPr>
        <w:t xml:space="preserve"> נולד רק בשנת תר״י. עם זאת, ודאי אירע הדבר כשעדיין היה ר׳ נפתלי צעיר ודרך לימודו ניתנת לעיצוב – כנראה בסביבות תרכ״ה, בעת אחד מביקוריו הרבים של ר׳ ישראל בליטא ממקום מושבו בגרמניה.</w:t>
      </w:r>
    </w:p>
    <w:p w14:paraId="6411EB18" w14:textId="77777777" w:rsidR="00AB3647" w:rsidRDefault="00000000" w:rsidP="007923E9">
      <w:pPr>
        <w:spacing w:after="120" w:line="276" w:lineRule="auto"/>
        <w:ind w:firstLine="283"/>
        <w:jc w:val="both"/>
      </w:pPr>
      <w:r>
        <w:rPr>
          <w:rtl/>
        </w:rPr>
        <w:t xml:space="preserve">זמן זה מורה שר׳ ישראל ביקש שינוי כלשהו בדרך לימוד התלמוד זמן רב לפני הופעת ר׳ חיים </w:t>
      </w:r>
      <w:proofErr w:type="spellStart"/>
      <w:r>
        <w:rPr>
          <w:rtl/>
        </w:rPr>
        <w:t>סולובייצ׳יק</w:t>
      </w:r>
      <w:proofErr w:type="spellEnd"/>
      <w:r>
        <w:rPr>
          <w:rtl/>
        </w:rPr>
        <w:t xml:space="preserve">. אחר כך בא ר׳ חיים, ובשל שיטתו החדשה ראה בו ר׳ ישראל </w:t>
      </w:r>
      <w:proofErr w:type="spellStart"/>
      <w:r>
        <w:rPr>
          <w:rtl/>
        </w:rPr>
        <w:t>סלנטר</w:t>
      </w:r>
      <w:proofErr w:type="spellEnd"/>
      <w:r>
        <w:rPr>
          <w:rtl/>
        </w:rPr>
        <w:t xml:space="preserve"> מי שמספק את הדרך לחשוף את “מתיקות” התלמוד כדי לגדל תלמידים.</w:t>
      </w:r>
    </w:p>
    <w:p w14:paraId="1E74ECFC" w14:textId="00EBCC32" w:rsidR="00AB3647" w:rsidRDefault="00000000" w:rsidP="007923E9">
      <w:pPr>
        <w:spacing w:after="120" w:line="276" w:lineRule="auto"/>
        <w:ind w:firstLine="283"/>
        <w:jc w:val="both"/>
      </w:pPr>
      <w:r>
        <w:rPr>
          <w:rtl/>
        </w:rPr>
        <w:t xml:space="preserve">נראה שר׳ ישראל הזקן העריך את דרכו של ר׳ חיים בראייה הצופה פני עתיד יותר מן התלמידים </w:t>
      </w:r>
      <w:proofErr w:type="spellStart"/>
      <w:r>
        <w:rPr>
          <w:rtl/>
        </w:rPr>
        <w:t>ה“מבוגרים</w:t>
      </w:r>
      <w:proofErr w:type="spellEnd"/>
      <w:r>
        <w:rPr>
          <w:rtl/>
        </w:rPr>
        <w:t xml:space="preserve">” בישיבת </w:t>
      </w:r>
      <w:proofErr w:type="spellStart"/>
      <w:r>
        <w:rPr>
          <w:rtl/>
        </w:rPr>
        <w:t>וולוז׳ין</w:t>
      </w:r>
      <w:proofErr w:type="spellEnd"/>
      <w:r>
        <w:rPr>
          <w:rtl/>
        </w:rPr>
        <w:t xml:space="preserve"> – השווה פרק 4, הפסקה השלישית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העובדה שר׳ ישראל עצמו למד ומסר שיעורים בדרך אחרת לגמרי, דרך הפלפול, מבליטה עוד יותר את יחסו החיובי לשיטת ר׳ חיים. כשכתב באריכות הן על הדעה הכללית בעניין הפלפול הן על ניסיונו האישי, יצא ר׳ ישראל </w:t>
      </w:r>
      <w:proofErr w:type="spellStart"/>
      <w:r>
        <w:rPr>
          <w:rtl/>
        </w:rPr>
        <w:t>סלנטר</w:t>
      </w:r>
      <w:proofErr w:type="spellEnd"/>
      <w:r>
        <w:rPr>
          <w:rtl/>
        </w:rPr>
        <w:t xml:space="preserve"> בתוקף לטובת דרך הפלפול! אמר:</w:t>
      </w:r>
      <w:bookmarkStart w:id="2608" w:name="_fnr1751"/>
      <w:r>
        <w:rPr>
          <w:rStyle w:val="a5"/>
        </w:rPr>
        <w:footnoteReference w:id="1755" w:customMarkFollows="0"/>
      </w:r>
      <w:bookmarkEnd w:id="2608"/>
      <w:r>
        <w:rPr>
          <w:rtl/>
        </w:rPr>
        <w:t xml:space="preserve"> “דבר אחד שחכמי המוסר [שקדמו </w:t>
      </w:r>
      <w:proofErr w:type="spellStart"/>
      <w:r>
        <w:rPr>
          <w:rtl/>
        </w:rPr>
        <w:t>לר</w:t>
      </w:r>
      <w:proofErr w:type="spellEnd"/>
      <w:r>
        <w:rPr>
          <w:rtl/>
        </w:rPr>
        <w:t xml:space="preserve">׳ ישראל </w:t>
      </w:r>
      <w:proofErr w:type="spellStart"/>
      <w:r>
        <w:rPr>
          <w:rtl/>
        </w:rPr>
        <w:t>סלנטר</w:t>
      </w:r>
      <w:proofErr w:type="spellEnd"/>
      <w:r>
        <w:rPr>
          <w:rtl/>
        </w:rPr>
        <w:t xml:space="preserve">] אסרו להכניס בקהל ישראל הוא הפלפול, ולדעתי </w:t>
      </w:r>
      <w:r>
        <w:rPr>
          <w:rtl/>
        </w:rPr>
        <w:lastRenderedPageBreak/>
        <w:t>נהפוך הדבר: הפלפול הוא יסוד גדול ורב כוח בחיפוש האמת, וכמעט אין [האמת] יכולה להתקיים בלעדיו”.</w:t>
      </w:r>
    </w:p>
    <w:p w14:paraId="06B43D4B" w14:textId="77777777" w:rsidR="00AB3647" w:rsidRDefault="00000000" w:rsidP="007923E9">
      <w:pPr>
        <w:spacing w:after="120" w:line="276" w:lineRule="auto"/>
        <w:ind w:firstLine="283"/>
        <w:jc w:val="both"/>
      </w:pPr>
      <w:r>
        <w:rPr>
          <w:rtl/>
        </w:rPr>
        <w:t xml:space="preserve">בהמשך הוא מנמק טענה זו, ואחר כך מתאר את תהפוכותיו שלו בעניין הפלפול: “בנעוריי, כשהייתי כבול בלימוד המוסר וכלליו, החלטתי </w:t>
      </w:r>
      <w:proofErr w:type="spellStart"/>
      <w:r>
        <w:rPr>
          <w:rtl/>
        </w:rPr>
        <w:t>לכוף</w:t>
      </w:r>
      <w:proofErr w:type="spellEnd"/>
      <w:r>
        <w:rPr>
          <w:rtl/>
        </w:rPr>
        <w:t xml:space="preserve"> את יצרי [הרע] (שביקש להתפאר בפלפוליי בפני חבריי), לעזוב לגמרי את דרך הפלפול, ורק אל האמת – כפי שדימיתי אותה אז (הייתי צעיר ולא הבנתי שמקומה של ‘האמת’ רחוק ממני כמזרח ממערב) – יהיו עיניי: הפשטות, הקיצור והחפץ לדרוש האמת. בהתנהגותי בדרך זו ראיתי בעין חודרת שהרצון להראות את כוח שכלי פרץ את גבולות ‘האמת’ והטה את דעתי לכופף את ‘האמת’ לרצוני; השאיפה הייתה קובעת את ‘האמת’. אמרתי אז שמוטב להתיר לעצמי, בלי חשש ופחד, לעסוק בפלפולים... כדי שתשתחרר דעתי משבי יצרי [החדש]. ורעיון זה גדל עמי, עד שחדלה רוחי לקבל את ההנחה שאדם [חוץ מיחידי סגולה] יכול לצוות על טוהר דעתו שלא לנטות אל רצונו, ולומר ‘זו מחשבה מזוקקת’, אלא אם כן יהיה חופשי להציע פלפולים כרצונו, בלי מעצור”.</w:t>
      </w:r>
      <w:bookmarkStart w:id="2609" w:name="_fnr1752"/>
      <w:r>
        <w:rPr>
          <w:rStyle w:val="a5"/>
        </w:rPr>
        <w:footnoteReference w:id="1756" w:customMarkFollows="0"/>
      </w:r>
      <w:bookmarkEnd w:id="2609"/>
    </w:p>
    <w:p w14:paraId="4BA00D22" w14:textId="77777777" w:rsidR="00AB3647" w:rsidRDefault="00000000" w:rsidP="007923E9">
      <w:pPr>
        <w:spacing w:after="120" w:line="276" w:lineRule="auto"/>
        <w:ind w:firstLine="283"/>
        <w:jc w:val="both"/>
      </w:pPr>
      <w:r>
        <w:rPr>
          <w:rtl/>
        </w:rPr>
        <w:t xml:space="preserve">מצאתי עדות מעניינת של ר׳ ישראל </w:t>
      </w:r>
      <w:proofErr w:type="spellStart"/>
      <w:r>
        <w:rPr>
          <w:rtl/>
        </w:rPr>
        <w:t>סלנטר</w:t>
      </w:r>
      <w:proofErr w:type="spellEnd"/>
      <w:r>
        <w:rPr>
          <w:rtl/>
        </w:rPr>
        <w:t xml:space="preserve"> על דרך לימוד התלמוד בזמנו – אחרי שהתגבר על התנגדותו הראשונה לפלפול, מימי נעוריו. מחבר “נחלת חיים”</w:t>
      </w:r>
      <w:bookmarkStart w:id="2610" w:name="_fnr1753"/>
      <w:r>
        <w:rPr>
          <w:rStyle w:val="a5"/>
        </w:rPr>
        <w:footnoteReference w:id="1757" w:customMarkFollows="0"/>
      </w:r>
      <w:bookmarkEnd w:id="2610"/>
      <w:r>
        <w:rPr>
          <w:rtl/>
        </w:rPr>
        <w:t xml:space="preserve"> אומר: “ר׳ שמואל </w:t>
      </w:r>
      <w:proofErr w:type="spellStart"/>
      <w:r>
        <w:rPr>
          <w:rtl/>
        </w:rPr>
        <w:t>ליפצר</w:t>
      </w:r>
      <w:proofErr w:type="spellEnd"/>
      <w:r>
        <w:rPr>
          <w:rtl/>
        </w:rPr>
        <w:t xml:space="preserve"> מווילנה הודיעני שר׳ ישראל אמר לו שבדור הקודם” – ר׳ ישראל </w:t>
      </w:r>
      <w:proofErr w:type="spellStart"/>
      <w:r>
        <w:rPr>
          <w:rtl/>
        </w:rPr>
        <w:t>סלנטר</w:t>
      </w:r>
      <w:proofErr w:type="spellEnd"/>
      <w:r>
        <w:rPr>
          <w:rtl/>
        </w:rPr>
        <w:t xml:space="preserve"> דיבר כנראה על הזמן שבו לימד בווילנה, בשנים ת״ר–תר״ט – “היו שם שבעה גאונים חריפים, שקיבלו על עצמם לדרוש, כל אחד ביומו, על גמרא אחת, ודרכם הייתה שהחריף שבהם דרש ביום האחרון, מפני שהיה עליו לחדש דבר שלא הבחינו בו הדרשנים הקודמים; מי שהוא גאון גדול יותר וחריף יותר, הבחנתו דקה יותר, ואפילו בגמרא שכבר עסקו בה כמה חכמים חריפים יכול הוא למצוא דבר אחר לומר”.</w:t>
      </w:r>
    </w:p>
    <w:p w14:paraId="5624B59B" w14:textId="7105501C" w:rsidR="00AB3647" w:rsidRDefault="00000000" w:rsidP="007923E9">
      <w:pPr>
        <w:spacing w:after="120" w:line="276" w:lineRule="auto"/>
        <w:ind w:firstLine="283"/>
        <w:jc w:val="both"/>
      </w:pPr>
      <w:r>
        <w:rPr>
          <w:rtl/>
        </w:rPr>
        <w:t>אף שלא אמר זאת במפורש, אין ספק שר׳ ישראל היה אחד משבעת החכמים החריפים האלה, אם לא האחרון שבהם – ראה פרק 5, הפסקה השנייה ב</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המצטטת </w:t>
      </w:r>
      <w:proofErr w:type="spellStart"/>
      <w:r>
        <w:rPr>
          <w:rtl/>
        </w:rPr>
        <w:t>מ“שרידי</w:t>
      </w:r>
      <w:proofErr w:type="spellEnd"/>
      <w:r>
        <w:rPr>
          <w:rtl/>
        </w:rPr>
        <w:t xml:space="preserve"> אש”</w:t>
      </w:r>
      <w:bookmarkStart w:id="2611" w:name="_fnr1754"/>
      <w:r>
        <w:rPr>
          <w:rStyle w:val="a5"/>
        </w:rPr>
        <w:footnoteReference w:id="1758" w:customMarkFollows="0"/>
      </w:r>
      <w:bookmarkEnd w:id="2611"/>
      <w:r>
        <w:rPr>
          <w:rtl/>
        </w:rPr>
        <w:t xml:space="preserve"> על פרסומו של ר׳ ישראל </w:t>
      </w:r>
      <w:proofErr w:type="spellStart"/>
      <w:r>
        <w:rPr>
          <w:rtl/>
        </w:rPr>
        <w:t>סלנטר</w:t>
      </w:r>
      <w:proofErr w:type="spellEnd"/>
      <w:r>
        <w:rPr>
          <w:rtl/>
        </w:rPr>
        <w:t xml:space="preserve"> בווילנה במסירת פלפולים חריפים ביותר. יש להוסיף גם שאף שעודד את הפלפול בבגרותו, מסר שיעורים שלא בדרך הפלפול כשנדרש לכך במפורש.</w:t>
      </w:r>
    </w:p>
    <w:p w14:paraId="5957D67F" w14:textId="77777777" w:rsidR="00AB3647" w:rsidRDefault="00000000" w:rsidP="007923E9">
      <w:pPr>
        <w:spacing w:after="120" w:line="276" w:lineRule="auto"/>
        <w:ind w:firstLine="283"/>
        <w:jc w:val="both"/>
      </w:pPr>
      <w:r>
        <w:rPr>
          <w:rtl/>
        </w:rPr>
        <w:t>אבי סיפר</w:t>
      </w:r>
      <w:bookmarkStart w:id="2612" w:name="_fnr1755"/>
      <w:r>
        <w:rPr>
          <w:rStyle w:val="a5"/>
        </w:rPr>
        <w:footnoteReference w:id="1759" w:customMarkFollows="0"/>
      </w:r>
      <w:bookmarkEnd w:id="2612"/>
      <w:r>
        <w:rPr>
          <w:rtl/>
        </w:rPr>
        <w:t xml:space="preserve"> שבקובנה היה ר׳ ישראל מוסר בכל בוקר שיעור בשולחן ערוך (אורח חיים). אחרי שקרא את דעות ר׳ יוסף קארו </w:t>
      </w:r>
      <w:proofErr w:type="spellStart"/>
      <w:r>
        <w:rPr>
          <w:rtl/>
        </w:rPr>
        <w:t>והרמ״א</w:t>
      </w:r>
      <w:proofErr w:type="spellEnd"/>
      <w:r>
        <w:rPr>
          <w:rtl/>
        </w:rPr>
        <w:t xml:space="preserve">, היה מביא את מקור הדין בגמרא ואת ההבדל בין פירוש הרמב״ם בגמרא, למשל, לפירוש התוספות. מכאן היה מסיק שר׳ יוסף קארו מסכים לרמב״ם ולכן הגיע למסקנתו ההלכתית, ואילו </w:t>
      </w:r>
      <w:proofErr w:type="spellStart"/>
      <w:r>
        <w:rPr>
          <w:rtl/>
        </w:rPr>
        <w:t>הרמ״א</w:t>
      </w:r>
      <w:proofErr w:type="spellEnd"/>
      <w:r>
        <w:rPr>
          <w:rtl/>
        </w:rPr>
        <w:t xml:space="preserve"> מסכים לפירוש התוספות וממילא מגיע לפסק אחר.</w:t>
      </w:r>
    </w:p>
    <w:p w14:paraId="19CCA227" w14:textId="77777777" w:rsidR="00AB3647" w:rsidRDefault="00000000" w:rsidP="007923E9">
      <w:pPr>
        <w:spacing w:after="120" w:line="276" w:lineRule="auto"/>
        <w:ind w:firstLine="283"/>
        <w:jc w:val="both"/>
      </w:pPr>
      <w:r>
        <w:rPr>
          <w:rtl/>
        </w:rPr>
        <w:lastRenderedPageBreak/>
        <w:t xml:space="preserve">אחרי שנהג כך בשיעוריו זמן מה, קנה אחד משומעיו הקבועים, שלדברי אבי היה גביר, כרך של אורח חיים עם “ביאור </w:t>
      </w:r>
      <w:proofErr w:type="spellStart"/>
      <w:r>
        <w:rPr>
          <w:rtl/>
        </w:rPr>
        <w:t>הגר״א</w:t>
      </w:r>
      <w:proofErr w:type="spellEnd"/>
      <w:r>
        <w:rPr>
          <w:rtl/>
        </w:rPr>
        <w:t>”,</w:t>
      </w:r>
      <w:bookmarkStart w:id="2613" w:name="_fnr1756"/>
      <w:r>
        <w:rPr>
          <w:rStyle w:val="a5"/>
        </w:rPr>
        <w:footnoteReference w:id="1760" w:customMarkFollows="0"/>
      </w:r>
      <w:bookmarkEnd w:id="2613"/>
      <w:r>
        <w:rPr>
          <w:rtl/>
        </w:rPr>
        <w:t xml:space="preserve"> העוסק במיוחד בבירור המקורות לכל הלכה. האיש הבחין שר׳ ישראל חוזר בדיוק על מה שכתב </w:t>
      </w:r>
      <w:proofErr w:type="spellStart"/>
      <w:r>
        <w:rPr>
          <w:rtl/>
        </w:rPr>
        <w:t>הגר״א</w:t>
      </w:r>
      <w:proofErr w:type="spellEnd"/>
      <w:r>
        <w:rPr>
          <w:rtl/>
        </w:rPr>
        <w:t xml:space="preserve">. הוא ניגש </w:t>
      </w:r>
      <w:proofErr w:type="spellStart"/>
      <w:r>
        <w:rPr>
          <w:rtl/>
        </w:rPr>
        <w:t>לר</w:t>
      </w:r>
      <w:proofErr w:type="spellEnd"/>
      <w:r>
        <w:rPr>
          <w:rtl/>
        </w:rPr>
        <w:t xml:space="preserve">׳ ישראל </w:t>
      </w:r>
      <w:proofErr w:type="spellStart"/>
      <w:r>
        <w:rPr>
          <w:rtl/>
        </w:rPr>
        <w:t>סלנטר</w:t>
      </w:r>
      <w:proofErr w:type="spellEnd"/>
      <w:r>
        <w:rPr>
          <w:rtl/>
        </w:rPr>
        <w:t xml:space="preserve"> ושאל אם יש לו “ביאור </w:t>
      </w:r>
      <w:proofErr w:type="spellStart"/>
      <w:r>
        <w:rPr>
          <w:rtl/>
        </w:rPr>
        <w:t>הגר״א</w:t>
      </w:r>
      <w:proofErr w:type="spellEnd"/>
      <w:r>
        <w:rPr>
          <w:rtl/>
        </w:rPr>
        <w:t xml:space="preserve">” על השולחן ערוך, וכשנענה בשלילה, שאל כיצד הוא אומר בדיוק את דברי </w:t>
      </w:r>
      <w:proofErr w:type="spellStart"/>
      <w:r>
        <w:rPr>
          <w:rtl/>
        </w:rPr>
        <w:t>הגר״א</w:t>
      </w:r>
      <w:proofErr w:type="spellEnd"/>
      <w:r>
        <w:rPr>
          <w:rtl/>
        </w:rPr>
        <w:t>.</w:t>
      </w:r>
      <w:bookmarkStart w:id="2614" w:name="_fnr1757"/>
      <w:r>
        <w:rPr>
          <w:rStyle w:val="a5"/>
        </w:rPr>
        <w:footnoteReference w:id="1761" w:customMarkFollows="0"/>
      </w:r>
      <w:bookmarkEnd w:id="2614"/>
      <w:r>
        <w:rPr>
          <w:rtl/>
        </w:rPr>
        <w:t xml:space="preserve"> ר׳ ישראל השיב: “מה אתה רוצה שאומר – שר׳ יוסף קארו מסכים לתוספות </w:t>
      </w:r>
      <w:proofErr w:type="spellStart"/>
      <w:r>
        <w:rPr>
          <w:rtl/>
        </w:rPr>
        <w:t>והרמ״א</w:t>
      </w:r>
      <w:proofErr w:type="spellEnd"/>
      <w:r>
        <w:rPr>
          <w:rtl/>
        </w:rPr>
        <w:t xml:space="preserve"> מסכים לרמב״ם, כשהמציאות הפוכה?!”. שיעור בוקר זה, שנועד לחזרה על “אורח חיים” הראוי ליהודי, דרש סיכום פשוט של ההלכות, ולא עיון בסוגיה תלמודית בדרך הפלפול.</w:t>
      </w:r>
    </w:p>
    <w:p w14:paraId="5A7567BE" w14:textId="77777777" w:rsidR="00AB3647" w:rsidRDefault="00000000" w:rsidP="007923E9">
      <w:pPr>
        <w:spacing w:after="120" w:line="276" w:lineRule="auto"/>
        <w:ind w:firstLine="283"/>
        <w:jc w:val="both"/>
      </w:pPr>
      <w:r>
        <w:rPr>
          <w:rtl/>
        </w:rPr>
        <w:t xml:space="preserve">בספרו של </w:t>
      </w:r>
      <w:proofErr w:type="spellStart"/>
      <w:r>
        <w:rPr>
          <w:rtl/>
        </w:rPr>
        <w:t>ידעאל</w:t>
      </w:r>
      <w:proofErr w:type="spellEnd"/>
      <w:r>
        <w:rPr>
          <w:rtl/>
        </w:rPr>
        <w:t xml:space="preserve"> מלצר, “בדרך עץ החיים”</w:t>
      </w:r>
      <w:bookmarkStart w:id="2615" w:name="_fnr1758"/>
      <w:r>
        <w:rPr>
          <w:rStyle w:val="a5"/>
        </w:rPr>
        <w:footnoteReference w:id="1762" w:customMarkFollows="0"/>
      </w:r>
      <w:bookmarkEnd w:id="2615"/>
      <w:r>
        <w:rPr>
          <w:rtl/>
        </w:rPr>
        <w:t xml:space="preserve">, מובא שר׳ חיים </w:t>
      </w:r>
      <w:proofErr w:type="spellStart"/>
      <w:r>
        <w:rPr>
          <w:rtl/>
        </w:rPr>
        <w:t>קרייזווירט</w:t>
      </w:r>
      <w:proofErr w:type="spellEnd"/>
      <w:r>
        <w:rPr>
          <w:rtl/>
        </w:rPr>
        <w:t xml:space="preserve"> שמע מר׳ </w:t>
      </w:r>
      <w:proofErr w:type="spellStart"/>
      <w:r>
        <w:rPr>
          <w:rtl/>
        </w:rPr>
        <w:t>איסר־זלמן</w:t>
      </w:r>
      <w:proofErr w:type="spellEnd"/>
      <w:r>
        <w:rPr>
          <w:rtl/>
        </w:rPr>
        <w:t xml:space="preserve"> מלצר שאילו לימדו ר׳ חיים </w:t>
      </w:r>
      <w:proofErr w:type="spellStart"/>
      <w:r>
        <w:rPr>
          <w:rtl/>
        </w:rPr>
        <w:t>סולובייצ׳יק</w:t>
      </w:r>
      <w:proofErr w:type="spellEnd"/>
      <w:r>
        <w:rPr>
          <w:rtl/>
        </w:rPr>
        <w:t xml:space="preserve"> ור׳ </w:t>
      </w:r>
      <w:proofErr w:type="spellStart"/>
      <w:r>
        <w:rPr>
          <w:rtl/>
        </w:rPr>
        <w:t>איצל׳ה</w:t>
      </w:r>
      <w:proofErr w:type="spellEnd"/>
      <w:r>
        <w:rPr>
          <w:rtl/>
        </w:rPr>
        <w:t xml:space="preserve"> באותה ישיבה, היה האחרון מוסר את השיעור הגבוה יותר, “מפני שחידושיו גדולים יותר”.</w:t>
      </w:r>
      <w:bookmarkStart w:id="2616" w:name="_fnr1759"/>
      <w:r>
        <w:rPr>
          <w:rStyle w:val="a5"/>
        </w:rPr>
        <w:footnoteReference w:id="1763" w:customMarkFollows="0"/>
      </w:r>
      <w:bookmarkEnd w:id="2616"/>
    </w:p>
    <w:p w14:paraId="6519B8FD"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2617" w:name="_fnr1760"/>
      <w:r>
        <w:rPr>
          <w:rStyle w:val="a5"/>
        </w:rPr>
        <w:footnoteReference w:id="1764" w:customMarkFollows="0"/>
      </w:r>
      <w:bookmarkEnd w:id="2617"/>
      <w:r>
        <w:rPr>
          <w:rtl/>
        </w:rPr>
        <w:t xml:space="preserve"> את ששמע מר׳ </w:t>
      </w:r>
      <w:proofErr w:type="spellStart"/>
      <w:r>
        <w:rPr>
          <w:rtl/>
        </w:rPr>
        <w:t>מרדכי־זאב</w:t>
      </w:r>
      <w:proofErr w:type="spellEnd"/>
      <w:r>
        <w:rPr>
          <w:rtl/>
        </w:rPr>
        <w:t xml:space="preserve"> </w:t>
      </w:r>
      <w:proofErr w:type="spellStart"/>
      <w:r>
        <w:rPr>
          <w:rtl/>
        </w:rPr>
        <w:t>דז׳יקנסקי</w:t>
      </w:r>
      <w:proofErr w:type="spellEnd"/>
      <w:r>
        <w:rPr>
          <w:rtl/>
        </w:rPr>
        <w:t xml:space="preserve">, שהיה אורח קבוע בשבת בבית ר׳ חיים </w:t>
      </w:r>
      <w:proofErr w:type="spellStart"/>
      <w:r>
        <w:rPr>
          <w:rtl/>
        </w:rPr>
        <w:t>סולובייצ׳יק</w:t>
      </w:r>
      <w:proofErr w:type="spellEnd"/>
      <w:r>
        <w:rPr>
          <w:rtl/>
        </w:rPr>
        <w:t xml:space="preserve"> </w:t>
      </w:r>
      <w:proofErr w:type="spellStart"/>
      <w:r>
        <w:rPr>
          <w:rtl/>
        </w:rPr>
        <w:t>בבריסק</w:t>
      </w:r>
      <w:proofErr w:type="spellEnd"/>
      <w:r>
        <w:rPr>
          <w:rtl/>
        </w:rPr>
        <w:t>.</w:t>
      </w:r>
      <w:bookmarkStart w:id="2618" w:name="_fnr1761"/>
      <w:r>
        <w:rPr>
          <w:rStyle w:val="a5"/>
        </w:rPr>
        <w:footnoteReference w:id="1765" w:customMarkFollows="0"/>
      </w:r>
      <w:bookmarkEnd w:id="2618"/>
      <w:r>
        <w:rPr>
          <w:rtl/>
        </w:rPr>
        <w:t xml:space="preserve"> ר׳ </w:t>
      </w:r>
      <w:proofErr w:type="spellStart"/>
      <w:r>
        <w:rPr>
          <w:rtl/>
        </w:rPr>
        <w:t>מרדכי־זאב</w:t>
      </w:r>
      <w:proofErr w:type="spellEnd"/>
      <w:r>
        <w:rPr>
          <w:rtl/>
        </w:rPr>
        <w:t xml:space="preserve"> אמר למארחו שבישיבות אומרים שר׳ חיים התבטא כך: “מה שאני אומר [בשיעוריי], ר׳ </w:t>
      </w:r>
      <w:proofErr w:type="spellStart"/>
      <w:r>
        <w:rPr>
          <w:rtl/>
        </w:rPr>
        <w:t>איצל׳ה</w:t>
      </w:r>
      <w:proofErr w:type="spellEnd"/>
      <w:r>
        <w:rPr>
          <w:rtl/>
        </w:rPr>
        <w:t xml:space="preserve"> אומר [גם הוא]; אבל מה שר׳ </w:t>
      </w:r>
      <w:proofErr w:type="spellStart"/>
      <w:r>
        <w:rPr>
          <w:rtl/>
        </w:rPr>
        <w:t>איצל׳ה</w:t>
      </w:r>
      <w:proofErr w:type="spellEnd"/>
      <w:r>
        <w:rPr>
          <w:rtl/>
        </w:rPr>
        <w:t xml:space="preserve"> אומר, אני איני אומר”. ר׳ חיים השיב: “חס וחלילה שאומר דבר זה! מה שאמרתי הוא: ‘מה שאני אומר, ר׳ </w:t>
      </w:r>
      <w:proofErr w:type="spellStart"/>
      <w:r>
        <w:rPr>
          <w:rtl/>
        </w:rPr>
        <w:t>איצל׳ה</w:t>
      </w:r>
      <w:proofErr w:type="spellEnd"/>
      <w:r>
        <w:rPr>
          <w:rtl/>
        </w:rPr>
        <w:t xml:space="preserve"> אומר [גם הוא], אבל ר׳ </w:t>
      </w:r>
      <w:proofErr w:type="spellStart"/>
      <w:r>
        <w:rPr>
          <w:rtl/>
        </w:rPr>
        <w:t>איצל׳ה</w:t>
      </w:r>
      <w:proofErr w:type="spellEnd"/>
      <w:r>
        <w:rPr>
          <w:rtl/>
        </w:rPr>
        <w:t xml:space="preserve"> הולך הלאה’”. ר׳ חיים דחה את המשתמע מן הנוסח הראשון, כאילו שלל את האפשרות שיסכים לתוספות שהוסיף ר׳ </w:t>
      </w:r>
      <w:proofErr w:type="spellStart"/>
      <w:r>
        <w:rPr>
          <w:rtl/>
        </w:rPr>
        <w:t>איצל׳ה</w:t>
      </w:r>
      <w:proofErr w:type="spellEnd"/>
      <w:r>
        <w:rPr>
          <w:rtl/>
        </w:rPr>
        <w:t xml:space="preserve"> על חידושיהם המשותפים.</w:t>
      </w:r>
    </w:p>
    <w:p w14:paraId="26DAC15D" w14:textId="77777777" w:rsidR="00AB3647" w:rsidRDefault="00000000" w:rsidP="007923E9">
      <w:pPr>
        <w:spacing w:after="120" w:line="276" w:lineRule="auto"/>
        <w:ind w:firstLine="283"/>
        <w:jc w:val="both"/>
      </w:pPr>
      <w:r>
        <w:rPr>
          <w:rtl/>
        </w:rPr>
        <w:t>השווה גם “שמושה של תורה”,</w:t>
      </w:r>
      <w:bookmarkStart w:id="2619" w:name="_fnr1762"/>
      <w:r>
        <w:rPr>
          <w:rStyle w:val="a5"/>
        </w:rPr>
        <w:footnoteReference w:id="1766" w:customMarkFollows="0"/>
      </w:r>
      <w:bookmarkEnd w:id="2619"/>
      <w:r>
        <w:rPr>
          <w:rtl/>
        </w:rPr>
        <w:t xml:space="preserve"> הטוען שר׳ חיים אמר על ר׳ </w:t>
      </w:r>
      <w:proofErr w:type="spellStart"/>
      <w:r>
        <w:rPr>
          <w:rtl/>
        </w:rPr>
        <w:t>איצל׳ה</w:t>
      </w:r>
      <w:proofErr w:type="spellEnd"/>
      <w:r>
        <w:rPr>
          <w:rtl/>
        </w:rPr>
        <w:t xml:space="preserve">: “הוא יודע שלושה </w:t>
      </w:r>
      <w:proofErr w:type="spellStart"/>
      <w:r>
        <w:rPr>
          <w:rtl/>
        </w:rPr>
        <w:t>ש״סים</w:t>
      </w:r>
      <w:proofErr w:type="spellEnd"/>
      <w:r>
        <w:rPr>
          <w:rtl/>
        </w:rPr>
        <w:t>: הבבלי, הירושלמי ושלו” – דבר המתאים לגרסה שנמסרה “בישיבות”, ולא להכחשת ר׳ חיים. השווה גם “ר׳ ברוך בר”,</w:t>
      </w:r>
      <w:bookmarkStart w:id="2620" w:name="_fnr1763"/>
      <w:r>
        <w:rPr>
          <w:rStyle w:val="a5"/>
        </w:rPr>
        <w:footnoteReference w:id="1767" w:customMarkFollows="0"/>
      </w:r>
      <w:bookmarkEnd w:id="2620"/>
      <w:r>
        <w:rPr>
          <w:rtl/>
        </w:rPr>
        <w:t xml:space="preserve"> ושם מסופר שר׳ </w:t>
      </w:r>
      <w:proofErr w:type="spellStart"/>
      <w:r>
        <w:rPr>
          <w:rtl/>
        </w:rPr>
        <w:t>ברוך־בער</w:t>
      </w:r>
      <w:proofErr w:type="spellEnd"/>
      <w:r>
        <w:rPr>
          <w:rtl/>
        </w:rPr>
        <w:t xml:space="preserve"> נשאל מדוע הוא דבק כל כך בתורת ר׳ חיים, כשיש ספרי ר׳ עקיבא איגר “המראים גם הם את הדרך לאמיתה של תורה”. כשהעביר את השאלה </w:t>
      </w:r>
      <w:proofErr w:type="spellStart"/>
      <w:r>
        <w:rPr>
          <w:rtl/>
        </w:rPr>
        <w:t>לר</w:t>
      </w:r>
      <w:proofErr w:type="spellEnd"/>
      <w:r>
        <w:rPr>
          <w:rtl/>
        </w:rPr>
        <w:t>׳ חיים, השיב לו: “ר׳ עקיבא איגר מלמד אותך מה טוב, ואילו אני מלמד מה אינו טוב [כלומר, ממה להימנע]”.</w:t>
      </w:r>
    </w:p>
    <w:p w14:paraId="3138E580" w14:textId="77777777" w:rsidR="00AB3647" w:rsidRDefault="00000000" w:rsidP="007923E9">
      <w:pPr>
        <w:pStyle w:val="4"/>
        <w:spacing w:line="276" w:lineRule="auto"/>
      </w:pPr>
      <w:r>
        <w:t>· הפסקה השנייה ·</w:t>
      </w:r>
    </w:p>
    <w:p w14:paraId="6EC93BB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הסבא מבקש עצה מגדולים אחרים – ר׳ </w:t>
      </w:r>
      <w:proofErr w:type="spellStart"/>
      <w:r>
        <w:rPr>
          <w:color w:val="404040"/>
          <w:sz w:val="22"/>
          <w:szCs w:val="22"/>
          <w:rtl/>
        </w:rPr>
        <w:t>מאיר־שמחה</w:t>
      </w:r>
      <w:proofErr w:type="spellEnd"/>
      <w:r>
        <w:rPr>
          <w:color w:val="404040"/>
          <w:sz w:val="22"/>
          <w:szCs w:val="22"/>
          <w:rtl/>
        </w:rPr>
        <w:t xml:space="preserve"> כהן מייעץ לו שלא להעביר את הישיבה לארץ ישראל – אין אפשרות לקבוע אם הסבא ביקש הדרכה מר׳ </w:t>
      </w:r>
      <w:proofErr w:type="spellStart"/>
      <w:r>
        <w:rPr>
          <w:color w:val="404040"/>
          <w:sz w:val="22"/>
          <w:szCs w:val="22"/>
          <w:rtl/>
        </w:rPr>
        <w:t>חיים־עוזר</w:t>
      </w:r>
      <w:proofErr w:type="spellEnd"/>
      <w:r>
        <w:rPr>
          <w:color w:val="404040"/>
          <w:sz w:val="22"/>
          <w:szCs w:val="22"/>
          <w:rtl/>
        </w:rPr>
        <w:t xml:space="preserve"> </w:t>
      </w:r>
      <w:proofErr w:type="spellStart"/>
      <w:r>
        <w:rPr>
          <w:color w:val="404040"/>
          <w:sz w:val="22"/>
          <w:szCs w:val="22"/>
          <w:rtl/>
        </w:rPr>
        <w:t>גרודזנסקי</w:t>
      </w:r>
      <w:proofErr w:type="spellEnd"/>
      <w:r>
        <w:rPr>
          <w:color w:val="404040"/>
          <w:sz w:val="22"/>
          <w:szCs w:val="22"/>
          <w:rtl/>
        </w:rPr>
        <w:t xml:space="preserve"> הצעיר ממנו – חכמי ליטא נופשים על חוף הים הבלטי – ר׳ לייזר גורדון מבקש את דעתו של ר׳ </w:t>
      </w:r>
      <w:proofErr w:type="spellStart"/>
      <w:r>
        <w:rPr>
          <w:color w:val="404040"/>
          <w:sz w:val="22"/>
          <w:szCs w:val="22"/>
          <w:rtl/>
        </w:rPr>
        <w:t>חיים־עוזר</w:t>
      </w:r>
      <w:proofErr w:type="spellEnd"/>
      <w:r>
        <w:rPr>
          <w:color w:val="404040"/>
          <w:sz w:val="22"/>
          <w:szCs w:val="22"/>
          <w:rtl/>
        </w:rPr>
        <w:t xml:space="preserve"> הצעיר ממנו </w:t>
      </w:r>
      <w:r>
        <w:rPr>
          <w:color w:val="404040"/>
          <w:sz w:val="22"/>
          <w:szCs w:val="22"/>
          <w:rtl/>
        </w:rPr>
        <w:lastRenderedPageBreak/>
        <w:t xml:space="preserve">בהרבה – ר׳ </w:t>
      </w:r>
      <w:proofErr w:type="spellStart"/>
      <w:r>
        <w:rPr>
          <w:color w:val="404040"/>
          <w:sz w:val="22"/>
          <w:szCs w:val="22"/>
          <w:rtl/>
        </w:rPr>
        <w:t>איסר־זלמן</w:t>
      </w:r>
      <w:proofErr w:type="spellEnd"/>
      <w:r>
        <w:rPr>
          <w:color w:val="404040"/>
          <w:sz w:val="22"/>
          <w:szCs w:val="22"/>
          <w:rtl/>
        </w:rPr>
        <w:t xml:space="preserve"> מלצר רואה בסבא את המומחה לענייני ישיבות – עצתו הבלתי מתאימה של ר׳ חיים </w:t>
      </w:r>
      <w:proofErr w:type="spellStart"/>
      <w:r>
        <w:rPr>
          <w:color w:val="404040"/>
          <w:sz w:val="22"/>
          <w:szCs w:val="22"/>
          <w:rtl/>
        </w:rPr>
        <w:t>סולובייצ׳יק</w:t>
      </w:r>
      <w:proofErr w:type="spellEnd"/>
      <w:r>
        <w:rPr>
          <w:color w:val="404040"/>
          <w:sz w:val="22"/>
          <w:szCs w:val="22"/>
          <w:rtl/>
        </w:rPr>
        <w:t xml:space="preserve"> בענייני ישיבות – הוא מתווכח עם הרב </w:t>
      </w:r>
      <w:proofErr w:type="spellStart"/>
      <w:r>
        <w:rPr>
          <w:color w:val="404040"/>
          <w:sz w:val="22"/>
          <w:szCs w:val="22"/>
          <w:rtl/>
        </w:rPr>
        <w:t>הורוויץ</w:t>
      </w:r>
      <w:proofErr w:type="spellEnd"/>
    </w:p>
    <w:p w14:paraId="39058C24" w14:textId="77777777" w:rsidR="00AB3647" w:rsidRDefault="00000000" w:rsidP="007923E9">
      <w:pPr>
        <w:spacing w:after="120" w:line="276" w:lineRule="auto"/>
        <w:ind w:firstLine="283"/>
        <w:jc w:val="both"/>
      </w:pPr>
      <w:r>
        <w:rPr>
          <w:rtl/>
        </w:rPr>
        <w:t>ברשימותיו של ר׳ משה גרוסמן</w:t>
      </w:r>
      <w:bookmarkStart w:id="2621" w:name="_fnr1764"/>
      <w:r>
        <w:rPr>
          <w:rStyle w:val="a5"/>
        </w:rPr>
        <w:footnoteReference w:id="1768" w:customMarkFollows="0"/>
      </w:r>
      <w:bookmarkEnd w:id="2621"/>
      <w:r>
        <w:rPr>
          <w:rtl/>
        </w:rPr>
        <w:t xml:space="preserve"> נמסר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ש“הסבא</w:t>
      </w:r>
      <w:proofErr w:type="spellEnd"/>
      <w:r>
        <w:rPr>
          <w:rtl/>
        </w:rPr>
        <w:t xml:space="preserve"> היה מבקש עצה מר׳ חיים </w:t>
      </w:r>
      <w:proofErr w:type="spellStart"/>
      <w:r>
        <w:rPr>
          <w:rtl/>
        </w:rPr>
        <w:t>סולובייצ׳יק</w:t>
      </w:r>
      <w:proofErr w:type="spellEnd"/>
      <w:r>
        <w:rPr>
          <w:rtl/>
        </w:rPr>
        <w:t xml:space="preserve">, ואחרי פטירתו מר׳ </w:t>
      </w:r>
      <w:proofErr w:type="spellStart"/>
      <w:r>
        <w:rPr>
          <w:rtl/>
        </w:rPr>
        <w:t>מאיר־שמחה</w:t>
      </w:r>
      <w:proofErr w:type="spellEnd"/>
      <w:r>
        <w:rPr>
          <w:rtl/>
        </w:rPr>
        <w:t xml:space="preserve"> ומר׳ </w:t>
      </w:r>
      <w:proofErr w:type="spellStart"/>
      <w:r>
        <w:rPr>
          <w:rtl/>
        </w:rPr>
        <w:t>חיים־עוזר</w:t>
      </w:r>
      <w:proofErr w:type="spellEnd"/>
      <w:r>
        <w:rPr>
          <w:rtl/>
        </w:rPr>
        <w:t xml:space="preserve">”. סביר שהסבא ביקש עצה מר׳ חיים כשם שביקש מאביו ר׳ יוסף־דב, כנזכר לעיל, אף שהישענותו של הסבא </w:t>
      </w:r>
      <w:proofErr w:type="spellStart"/>
      <w:r>
        <w:rPr>
          <w:rtl/>
        </w:rPr>
        <w:t>מסלבודקה</w:t>
      </w:r>
      <w:proofErr w:type="spellEnd"/>
      <w:r>
        <w:rPr>
          <w:rtl/>
        </w:rPr>
        <w:t xml:space="preserve"> על עצתו של מתנגד נודע כל כך למוסר כר׳ חיים הייתה עשויה לעורר תמיהה. אבל לפי תפיסת הסבא עצמו את ר׳ חיים – “ר׳ חיים הוא בעל מוסר, אבל אינו יודע זאת”</w:t>
      </w:r>
      <w:bookmarkStart w:id="2622" w:name="_fnr1765"/>
      <w:r>
        <w:rPr>
          <w:rStyle w:val="a5"/>
        </w:rPr>
        <w:footnoteReference w:id="1769" w:customMarkFollows="0"/>
      </w:r>
      <w:bookmarkEnd w:id="2622"/>
      <w:r>
        <w:rPr>
          <w:rtl/>
        </w:rPr>
        <w:t xml:space="preserve"> – מובנת פנייתו </w:t>
      </w:r>
      <w:r>
        <w:rPr>
          <w:b/>
          <w:bCs/>
          <w:rtl/>
        </w:rPr>
        <w:t>בראש ובראשונה</w:t>
      </w:r>
      <w:r>
        <w:rPr>
          <w:rtl/>
        </w:rPr>
        <w:t xml:space="preserve"> אליו לקבלת עצה.</w:t>
      </w:r>
    </w:p>
    <w:p w14:paraId="24DE09D6" w14:textId="77777777" w:rsidR="00AB3647" w:rsidRDefault="00000000" w:rsidP="007923E9">
      <w:pPr>
        <w:spacing w:after="120" w:line="276" w:lineRule="auto"/>
        <w:ind w:firstLine="283"/>
        <w:jc w:val="both"/>
      </w:pPr>
      <w:r>
        <w:rPr>
          <w:rtl/>
        </w:rPr>
        <w:t xml:space="preserve">העובדה שהסבא ביקש עצה מר׳ </w:t>
      </w:r>
      <w:proofErr w:type="spellStart"/>
      <w:r>
        <w:rPr>
          <w:rtl/>
        </w:rPr>
        <w:t>מאיר־שמחה</w:t>
      </w:r>
      <w:proofErr w:type="spellEnd"/>
      <w:r>
        <w:rPr>
          <w:rtl/>
        </w:rPr>
        <w:t xml:space="preserve"> אכן ידועה. אבי סיפר</w:t>
      </w:r>
      <w:bookmarkStart w:id="2623" w:name="_fnr1766"/>
      <w:r>
        <w:rPr>
          <w:rStyle w:val="a5"/>
        </w:rPr>
        <w:footnoteReference w:id="1770" w:customMarkFollows="0"/>
      </w:r>
      <w:bookmarkEnd w:id="2623"/>
      <w:r>
        <w:rPr>
          <w:rtl/>
        </w:rPr>
        <w:t xml:space="preserve"> שהסבא שלח שאלות </w:t>
      </w:r>
      <w:proofErr w:type="spellStart"/>
      <w:r>
        <w:rPr>
          <w:rtl/>
        </w:rPr>
        <w:t>לר</w:t>
      </w:r>
      <w:proofErr w:type="spellEnd"/>
      <w:r>
        <w:rPr>
          <w:rtl/>
        </w:rPr>
        <w:t xml:space="preserve">׳ </w:t>
      </w:r>
      <w:proofErr w:type="spellStart"/>
      <w:r>
        <w:rPr>
          <w:rtl/>
        </w:rPr>
        <w:t>מאיר־שמחה</w:t>
      </w:r>
      <w:proofErr w:type="spellEnd"/>
      <w:r>
        <w:rPr>
          <w:rtl/>
        </w:rPr>
        <w:t xml:space="preserve"> באמצעות ר׳ </w:t>
      </w:r>
      <w:proofErr w:type="spellStart"/>
      <w:r>
        <w:rPr>
          <w:rtl/>
        </w:rPr>
        <w:t>שמואל־לייב</w:t>
      </w:r>
      <w:proofErr w:type="spellEnd"/>
      <w:r>
        <w:rPr>
          <w:rtl/>
        </w:rPr>
        <w:t xml:space="preserve"> שווי, צעיר תושב </w:t>
      </w:r>
      <w:proofErr w:type="spellStart"/>
      <w:r>
        <w:rPr>
          <w:rtl/>
        </w:rPr>
        <w:t>דווינסק</w:t>
      </w:r>
      <w:proofErr w:type="spellEnd"/>
      <w:r>
        <w:rPr>
          <w:rtl/>
        </w:rPr>
        <w:t xml:space="preserve"> שהיה מקורב לגאון זה.</w:t>
      </w:r>
    </w:p>
    <w:p w14:paraId="752C1887" w14:textId="77777777" w:rsidR="00AB3647" w:rsidRDefault="00000000" w:rsidP="007923E9">
      <w:pPr>
        <w:spacing w:after="120" w:line="276" w:lineRule="auto"/>
        <w:ind w:firstLine="283"/>
        <w:jc w:val="both"/>
      </w:pPr>
      <w:r>
        <w:rPr>
          <w:rtl/>
        </w:rPr>
        <w:t xml:space="preserve">אחת השאלות החשובות שלפי המסופר שלח הסבא </w:t>
      </w:r>
      <w:proofErr w:type="spellStart"/>
      <w:r>
        <w:rPr>
          <w:rtl/>
        </w:rPr>
        <w:t>לר</w:t>
      </w:r>
      <w:proofErr w:type="spellEnd"/>
      <w:r>
        <w:rPr>
          <w:rtl/>
        </w:rPr>
        <w:t xml:space="preserve">׳ </w:t>
      </w:r>
      <w:proofErr w:type="spellStart"/>
      <w:r>
        <w:rPr>
          <w:rtl/>
        </w:rPr>
        <w:t>מאיר־שמחה</w:t>
      </w:r>
      <w:proofErr w:type="spellEnd"/>
      <w:r>
        <w:rPr>
          <w:rtl/>
        </w:rPr>
        <w:t xml:space="preserve">, שנים אחדות לאחר פטירת ר׳ חיים בקיץ תרע״ח, נגעה להעברת ישיבת </w:t>
      </w:r>
      <w:proofErr w:type="spellStart"/>
      <w:r>
        <w:rPr>
          <w:rtl/>
        </w:rPr>
        <w:t>סלבודקה</w:t>
      </w:r>
      <w:proofErr w:type="spellEnd"/>
      <w:r>
        <w:rPr>
          <w:rtl/>
        </w:rPr>
        <w:t xml:space="preserve"> לעיר חברון שבארץ ישראל: האם יש לחשוש לדברי הירושלמי</w:t>
      </w:r>
      <w:bookmarkStart w:id="2624" w:name="_fnr1767"/>
      <w:r>
        <w:rPr>
          <w:rStyle w:val="a5"/>
        </w:rPr>
        <w:footnoteReference w:id="1771" w:customMarkFollows="0"/>
      </w:r>
      <w:bookmarkEnd w:id="2624"/>
      <w:r>
        <w:rPr>
          <w:rtl/>
        </w:rPr>
        <w:t xml:space="preserve"> האוסרים הפלגה בים בין סוכות לחנוכה? ר׳ </w:t>
      </w:r>
      <w:proofErr w:type="spellStart"/>
      <w:r>
        <w:rPr>
          <w:rtl/>
        </w:rPr>
        <w:t>מאיר־שמחה</w:t>
      </w:r>
      <w:proofErr w:type="spellEnd"/>
      <w:r>
        <w:rPr>
          <w:rtl/>
        </w:rPr>
        <w:t xml:space="preserve"> השיב: “מצד הירושלמי שלך אין לך בעיה, מפני שהעולם רגיל לנסוע בעונה זו.</w:t>
      </w:r>
      <w:bookmarkStart w:id="2625" w:name="_fnr1768"/>
      <w:r>
        <w:rPr>
          <w:rStyle w:val="a5"/>
        </w:rPr>
        <w:footnoteReference w:id="1772" w:customMarkFollows="0"/>
      </w:r>
      <w:bookmarkEnd w:id="2625"/>
      <w:r>
        <w:rPr>
          <w:rtl/>
        </w:rPr>
        <w:t xml:space="preserve"> אבל מה תעשה עם הירושלמי האחר, האומר שאין להעביר ישיבה מחוץ לארץ </w:t>
      </w:r>
      <w:proofErr w:type="spellStart"/>
      <w:r>
        <w:rPr>
          <w:rtl/>
        </w:rPr>
        <w:t>לארץ</w:t>
      </w:r>
      <w:proofErr w:type="spellEnd"/>
      <w:r>
        <w:rPr>
          <w:rtl/>
        </w:rPr>
        <w:t xml:space="preserve"> ישראל!”</w:t>
      </w:r>
      <w:bookmarkStart w:id="2626" w:name="_fnr1769"/>
      <w:r>
        <w:rPr>
          <w:rStyle w:val="a5"/>
        </w:rPr>
        <w:footnoteReference w:id="1773" w:customMarkFollows="0"/>
      </w:r>
      <w:bookmarkEnd w:id="2626"/>
      <w:r>
        <w:rPr>
          <w:rtl/>
        </w:rPr>
        <w:t xml:space="preserve"> אבל ר׳ </w:t>
      </w:r>
      <w:proofErr w:type="spellStart"/>
      <w:r>
        <w:rPr>
          <w:rtl/>
        </w:rPr>
        <w:t>אברהם־חיים</w:t>
      </w:r>
      <w:proofErr w:type="spellEnd"/>
      <w:r>
        <w:rPr>
          <w:rtl/>
        </w:rPr>
        <w:t xml:space="preserve"> </w:t>
      </w:r>
      <w:proofErr w:type="spellStart"/>
      <w:r>
        <w:rPr>
          <w:rtl/>
        </w:rPr>
        <w:t>פויער</w:t>
      </w:r>
      <w:proofErr w:type="spellEnd"/>
      <w:r>
        <w:rPr>
          <w:rtl/>
        </w:rPr>
        <w:t xml:space="preserve"> סיפר</w:t>
      </w:r>
      <w:bookmarkStart w:id="2627" w:name="_fnr1770"/>
      <w:r>
        <w:rPr>
          <w:rStyle w:val="a5"/>
        </w:rPr>
        <w:footnoteReference w:id="1774" w:customMarkFollows="0"/>
      </w:r>
      <w:bookmarkEnd w:id="2627"/>
      <w:r>
        <w:rPr>
          <w:rtl/>
        </w:rPr>
        <w:t xml:space="preserve"> שאבי אמר לו שר׳ </w:t>
      </w:r>
      <w:proofErr w:type="spellStart"/>
      <w:r>
        <w:rPr>
          <w:rtl/>
        </w:rPr>
        <w:t>מאיר־שמחה</w:t>
      </w:r>
      <w:proofErr w:type="spellEnd"/>
      <w:r>
        <w:rPr>
          <w:rtl/>
        </w:rPr>
        <w:t xml:space="preserve"> רק השיא עצה שלא להעביר את הישיבה, ולא ציטט ירושלמי האוסר זאת. “התורה היא כבאר”, אמר, “ואי אפשר להעבירה ממקומה”. אבי הבין שכוונתו הייתה שישיבה מסוגה של </w:t>
      </w:r>
      <w:proofErr w:type="spellStart"/>
      <w:r>
        <w:rPr>
          <w:rtl/>
        </w:rPr>
        <w:t>סלבודקה</w:t>
      </w:r>
      <w:proofErr w:type="spellEnd"/>
      <w:r>
        <w:rPr>
          <w:rtl/>
        </w:rPr>
        <w:t xml:space="preserve"> צריכה להיות בסביבתה של </w:t>
      </w:r>
      <w:proofErr w:type="spellStart"/>
      <w:r>
        <w:rPr>
          <w:rtl/>
        </w:rPr>
        <w:t>סלבודקה</w:t>
      </w:r>
      <w:proofErr w:type="spellEnd"/>
      <w:r>
        <w:rPr>
          <w:rtl/>
        </w:rPr>
        <w:t>, ולא בארץ ישראל.</w:t>
      </w:r>
      <w:bookmarkStart w:id="2628" w:name="_fnr1771"/>
      <w:r>
        <w:rPr>
          <w:rStyle w:val="a5"/>
        </w:rPr>
        <w:footnoteReference w:id="1775" w:customMarkFollows="0"/>
      </w:r>
      <w:bookmarkEnd w:id="2628"/>
    </w:p>
    <w:p w14:paraId="37B5DF51" w14:textId="77777777" w:rsidR="00AB3647" w:rsidRDefault="00000000" w:rsidP="007923E9">
      <w:pPr>
        <w:spacing w:after="120" w:line="276" w:lineRule="auto"/>
        <w:ind w:firstLine="283"/>
        <w:jc w:val="both"/>
      </w:pPr>
      <w:r>
        <w:rPr>
          <w:rtl/>
        </w:rPr>
        <w:t xml:space="preserve">אבל הטענה שהסבא ביקש עצה גם מר׳ </w:t>
      </w:r>
      <w:proofErr w:type="spellStart"/>
      <w:r>
        <w:rPr>
          <w:rtl/>
        </w:rPr>
        <w:t>חיים־עוזר</w:t>
      </w:r>
      <w:proofErr w:type="spellEnd"/>
      <w:r>
        <w:rPr>
          <w:rtl/>
        </w:rPr>
        <w:t xml:space="preserve"> מוטלת בספק. לכאורה אין פרק זמן “אחרי פטירת ר׳ חיים” שבו נזקק הסבא לפנות לאדם אחר מלבד ר׳ </w:t>
      </w:r>
      <w:proofErr w:type="spellStart"/>
      <w:r>
        <w:rPr>
          <w:rtl/>
        </w:rPr>
        <w:t>מאיר־שמחה</w:t>
      </w:r>
      <w:proofErr w:type="spellEnd"/>
      <w:r>
        <w:rPr>
          <w:rtl/>
        </w:rPr>
        <w:t xml:space="preserve">. שהרי הסבא </w:t>
      </w:r>
      <w:proofErr w:type="spellStart"/>
      <w:r>
        <w:rPr>
          <w:rtl/>
        </w:rPr>
        <w:t>מסלבודקה</w:t>
      </w:r>
      <w:proofErr w:type="spellEnd"/>
      <w:r>
        <w:rPr>
          <w:rtl/>
        </w:rPr>
        <w:t xml:space="preserve"> יצא לארץ ישראל בתמוז תרפ״ה, לפי כץ, “תנועת המוסר”, כרך ג,</w:t>
      </w:r>
      <w:bookmarkStart w:id="2629" w:name="_fnr1772"/>
      <w:r>
        <w:rPr>
          <w:rStyle w:val="a5"/>
        </w:rPr>
        <w:footnoteReference w:id="1776" w:customMarkFollows="0"/>
      </w:r>
      <w:bookmarkEnd w:id="2629"/>
      <w:r>
        <w:rPr>
          <w:rtl/>
        </w:rPr>
        <w:t xml:space="preserve"> או בסיוון </w:t>
      </w:r>
      <w:r>
        <w:rPr>
          <w:rtl/>
        </w:rPr>
        <w:lastRenderedPageBreak/>
        <w:t xml:space="preserve">באותה שנה, לפי בעל נכדתו ר׳ לייזר גולדשמידט – שנה לפני פטירת ר׳ </w:t>
      </w:r>
      <w:proofErr w:type="spellStart"/>
      <w:r>
        <w:rPr>
          <w:rtl/>
        </w:rPr>
        <w:t>מאיר־שמחה</w:t>
      </w:r>
      <w:proofErr w:type="spellEnd"/>
      <w:r>
        <w:rPr>
          <w:rtl/>
        </w:rPr>
        <w:t xml:space="preserve">. נוסף על כך, שלושים ושמונה חודשים לאחר פטירת ר׳ חיים נסגר הגבול בין ליטא, שבה היה הסבא, לווילנה (פולין), שבה היה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ולא התאפשר קשר ישיר ביניהם. לעומת זאת, בין ליטא </w:t>
      </w:r>
      <w:proofErr w:type="spellStart"/>
      <w:r>
        <w:rPr>
          <w:rtl/>
        </w:rPr>
        <w:t>לדווינסק</w:t>
      </w:r>
      <w:proofErr w:type="spellEnd"/>
      <w:r>
        <w:rPr>
          <w:rtl/>
        </w:rPr>
        <w:t xml:space="preserve"> שבלטביה, מקום מושבו של ר׳ </w:t>
      </w:r>
      <w:proofErr w:type="spellStart"/>
      <w:r>
        <w:rPr>
          <w:rtl/>
        </w:rPr>
        <w:t>מאיר־שמחה</w:t>
      </w:r>
      <w:proofErr w:type="spellEnd"/>
      <w:r>
        <w:rPr>
          <w:rtl/>
        </w:rPr>
        <w:t>, לא היו מחסומים.</w:t>
      </w:r>
    </w:p>
    <w:p w14:paraId="5744EC08" w14:textId="77777777" w:rsidR="00AB3647" w:rsidRDefault="00000000" w:rsidP="007923E9">
      <w:pPr>
        <w:spacing w:after="120" w:line="276" w:lineRule="auto"/>
        <w:ind w:firstLine="283"/>
        <w:jc w:val="both"/>
      </w:pPr>
      <w:r>
        <w:rPr>
          <w:rtl/>
        </w:rPr>
        <w:t xml:space="preserve">במשך שלושים ושמונה החודשים שבהם עדיין היה הגבול פתוח, הייתה רוסיה נתונה לזעזועים, והסבא שהה בעומק הארץ והיה מנותק מווילנה, </w:t>
      </w:r>
      <w:r>
        <w:rPr>
          <w:b/>
          <w:bCs/>
          <w:rtl/>
        </w:rPr>
        <w:t>חוץ מתקופה של שלושה שבועות בלבד</w:t>
      </w:r>
      <w:r>
        <w:rPr>
          <w:rtl/>
        </w:rPr>
        <w:t xml:space="preserve"> – שברובם היו שניהם למעשה יחד בווילנה.</w:t>
      </w:r>
      <w:bookmarkStart w:id="2630" w:name="_fnr1773"/>
      <w:r>
        <w:rPr>
          <w:rStyle w:val="a5"/>
        </w:rPr>
        <w:footnoteReference w:id="1777" w:customMarkFollows="0"/>
      </w:r>
      <w:bookmarkEnd w:id="2630"/>
      <w:r>
        <w:rPr>
          <w:rtl/>
        </w:rPr>
        <w:t xml:space="preserve"> נראה שזה היה הזמן היחיד “אחרי פטירת ר׳ חיים” שבו עשוי היה הסבא לשאול את ר׳ </w:t>
      </w:r>
      <w:proofErr w:type="spellStart"/>
      <w:r>
        <w:rPr>
          <w:rtl/>
        </w:rPr>
        <w:t>חיים־עוזר</w:t>
      </w:r>
      <w:proofErr w:type="spellEnd"/>
      <w:r>
        <w:rPr>
          <w:rtl/>
        </w:rPr>
        <w:t xml:space="preserve"> שאלה או שתיים.</w:t>
      </w:r>
    </w:p>
    <w:p w14:paraId="0A1FE54C" w14:textId="77777777" w:rsidR="00AB3647" w:rsidRDefault="00000000" w:rsidP="007923E9">
      <w:pPr>
        <w:spacing w:after="120" w:line="276" w:lineRule="auto"/>
        <w:ind w:firstLine="283"/>
        <w:jc w:val="both"/>
      </w:pPr>
      <w:r>
        <w:rPr>
          <w:rtl/>
        </w:rPr>
        <w:t xml:space="preserve">הייתה תקופה של ארבעה חודשים </w:t>
      </w:r>
      <w:r>
        <w:rPr>
          <w:b/>
          <w:bCs/>
          <w:rtl/>
        </w:rPr>
        <w:t>בעוד ר׳ חיים בחיים</w:t>
      </w:r>
      <w:r>
        <w:rPr>
          <w:rtl/>
        </w:rPr>
        <w:t xml:space="preserve">, שבה לא יכול היה הסבא להיוועץ בר׳ חיים, ואילו ר׳ </w:t>
      </w:r>
      <w:proofErr w:type="spellStart"/>
      <w:r>
        <w:rPr>
          <w:rtl/>
        </w:rPr>
        <w:t>חיים־עוזר</w:t>
      </w:r>
      <w:proofErr w:type="spellEnd"/>
      <w:r>
        <w:rPr>
          <w:rtl/>
        </w:rPr>
        <w:t xml:space="preserve"> היה עמו. היה זה מיד לאחר פרוץ מלחמת העולם הראשונה: הסבא ור׳ </w:t>
      </w:r>
      <w:proofErr w:type="spellStart"/>
      <w:r>
        <w:rPr>
          <w:rtl/>
        </w:rPr>
        <w:t>חיים־עוזר</w:t>
      </w:r>
      <w:proofErr w:type="spellEnd"/>
      <w:r>
        <w:rPr>
          <w:rtl/>
        </w:rPr>
        <w:t xml:space="preserve">, שניהם אזרחים רוסים, נלכדו בצדו הגרמני של הגבול כשנפשו </w:t>
      </w:r>
      <w:proofErr w:type="spellStart"/>
      <w:r>
        <w:rPr>
          <w:rtl/>
        </w:rPr>
        <w:t>בקראנץ</w:t>
      </w:r>
      <w:proofErr w:type="spellEnd"/>
      <w:r>
        <w:rPr>
          <w:rtl/>
        </w:rPr>
        <w:t>, עיירת הנופש שעל חוף הים הבלטי סמוך לקניגסברג.</w:t>
      </w:r>
      <w:bookmarkStart w:id="2631" w:name="_fnr1774"/>
      <w:r>
        <w:rPr>
          <w:rStyle w:val="a5"/>
        </w:rPr>
        <w:footnoteReference w:id="1778" w:customMarkFollows="0"/>
      </w:r>
      <w:bookmarkEnd w:id="2631"/>
      <w:r>
        <w:rPr>
          <w:rtl/>
        </w:rPr>
        <w:t xml:space="preserve"> שניהם, עם אזרחים רוסים אחרים ששהו בנופש, הוסעו ברכבת סגורה ושמורה לשוודיה, וחצו בחזרה את הגבול הרוסי בסביבות חנוכה תרע״ה.</w:t>
      </w:r>
      <w:bookmarkStart w:id="2632" w:name="_fnr1775"/>
      <w:r>
        <w:rPr>
          <w:rStyle w:val="a5"/>
        </w:rPr>
        <w:footnoteReference w:id="1779" w:customMarkFollows="0"/>
      </w:r>
      <w:bookmarkEnd w:id="2632"/>
      <w:r>
        <w:rPr>
          <w:rtl/>
        </w:rPr>
        <w:t xml:space="preserve"> אולי דן הסבא עם ר׳ </w:t>
      </w:r>
      <w:proofErr w:type="spellStart"/>
      <w:r>
        <w:rPr>
          <w:rtl/>
        </w:rPr>
        <w:t>חיים־עוזר</w:t>
      </w:r>
      <w:proofErr w:type="spellEnd"/>
      <w:r>
        <w:rPr>
          <w:rtl/>
        </w:rPr>
        <w:t xml:space="preserve"> בבעיות מסוימות בזמן שהיו כלואים יחד. אבל משהגיעו לרוסיה נפרדו: הסבא נסע למינסק ואחר כך </w:t>
      </w:r>
      <w:proofErr w:type="spellStart"/>
      <w:r>
        <w:rPr>
          <w:rtl/>
        </w:rPr>
        <w:t>לקרמנצ׳וג</w:t>
      </w:r>
      <w:proofErr w:type="spellEnd"/>
      <w:r>
        <w:rPr>
          <w:rtl/>
        </w:rPr>
        <w:t xml:space="preserve">, ור׳ </w:t>
      </w:r>
      <w:proofErr w:type="spellStart"/>
      <w:r>
        <w:rPr>
          <w:rtl/>
        </w:rPr>
        <w:t>חיים־עוזר</w:t>
      </w:r>
      <w:proofErr w:type="spellEnd"/>
      <w:r>
        <w:rPr>
          <w:rtl/>
        </w:rPr>
        <w:t xml:space="preserve"> לווילנה ואחר כך </w:t>
      </w:r>
      <w:proofErr w:type="spellStart"/>
      <w:r>
        <w:rPr>
          <w:rtl/>
        </w:rPr>
        <w:t>להומל</w:t>
      </w:r>
      <w:proofErr w:type="spellEnd"/>
      <w:r>
        <w:rPr>
          <w:rtl/>
        </w:rPr>
        <w:t xml:space="preserve"> </w:t>
      </w:r>
      <w:proofErr w:type="spellStart"/>
      <w:r>
        <w:rPr>
          <w:rtl/>
        </w:rPr>
        <w:t>וליקטרינוסלב</w:t>
      </w:r>
      <w:proofErr w:type="spellEnd"/>
      <w:r>
        <w:rPr>
          <w:rtl/>
        </w:rPr>
        <w:t>.</w:t>
      </w:r>
      <w:bookmarkStart w:id="2633" w:name="_fnr1776"/>
      <w:bookmarkStart w:id="2634" w:name="pr_f_1684"/>
      <w:bookmarkStart w:id="2635" w:name="pr_f_1685"/>
      <w:r>
        <w:rPr>
          <w:rStyle w:val="a5"/>
        </w:rPr>
        <w:footnoteReference w:id="1780" w:customMarkFollows="0"/>
      </w:r>
      <w:bookmarkEnd w:id="2633"/>
      <w:bookmarkEnd w:id="2634"/>
      <w:bookmarkEnd w:id="2635"/>
    </w:p>
    <w:p w14:paraId="04AC47CA" w14:textId="77777777" w:rsidR="00AB3647" w:rsidRDefault="00000000" w:rsidP="007923E9">
      <w:pPr>
        <w:spacing w:after="120" w:line="276" w:lineRule="auto"/>
        <w:ind w:firstLine="283"/>
        <w:jc w:val="both"/>
      </w:pPr>
      <w:r>
        <w:rPr>
          <w:rtl/>
        </w:rPr>
        <w:t xml:space="preserve">עם זאת, ייתכן שאחרי פרשת השידוך של ר׳ משה בן הסבא, שעוררה את חמת ר׳ חיים, לא יכול היה ר׳ </w:t>
      </w:r>
      <w:proofErr w:type="spellStart"/>
      <w:r>
        <w:rPr>
          <w:rtl/>
        </w:rPr>
        <w:t>נתן־צבי</w:t>
      </w:r>
      <w:proofErr w:type="spellEnd"/>
      <w:r>
        <w:rPr>
          <w:rtl/>
        </w:rPr>
        <w:t xml:space="preserve"> עוד לפנות אליו לקבלת עצה. ר׳ משה ביטל את אירוסיו עם </w:t>
      </w:r>
      <w:proofErr w:type="spellStart"/>
      <w:r>
        <w:rPr>
          <w:rtl/>
        </w:rPr>
        <w:t>חוה־לאה</w:t>
      </w:r>
      <w:proofErr w:type="spellEnd"/>
      <w:r>
        <w:rPr>
          <w:rtl/>
        </w:rPr>
        <w:t xml:space="preserve"> </w:t>
      </w:r>
      <w:proofErr w:type="spellStart"/>
      <w:r>
        <w:rPr>
          <w:rtl/>
        </w:rPr>
        <w:t>הוטנר</w:t>
      </w:r>
      <w:proofErr w:type="spellEnd"/>
      <w:r>
        <w:rPr>
          <w:rtl/>
        </w:rPr>
        <w:t xml:space="preserve"> והתארס עם </w:t>
      </w:r>
      <w:proofErr w:type="spellStart"/>
      <w:r>
        <w:rPr>
          <w:rtl/>
        </w:rPr>
        <w:t>זלטה</w:t>
      </w:r>
      <w:proofErr w:type="spellEnd"/>
      <w:r>
        <w:rPr>
          <w:rtl/>
        </w:rPr>
        <w:t xml:space="preserve"> בת ר׳ </w:t>
      </w:r>
      <w:proofErr w:type="spellStart"/>
      <w:r>
        <w:rPr>
          <w:rtl/>
        </w:rPr>
        <w:t>משה־מרדכי</w:t>
      </w:r>
      <w:proofErr w:type="spellEnd"/>
      <w:r>
        <w:rPr>
          <w:rtl/>
        </w:rPr>
        <w:t xml:space="preserve"> בחורף תרע״ג – ראה כרך 2. לפי זה, הביטוי של ר׳ </w:t>
      </w:r>
      <w:proofErr w:type="spellStart"/>
      <w:r>
        <w:rPr>
          <w:rtl/>
        </w:rPr>
        <w:t>יעקב־יצחק</w:t>
      </w:r>
      <w:proofErr w:type="spellEnd"/>
      <w:r>
        <w:rPr>
          <w:rtl/>
        </w:rPr>
        <w:t xml:space="preserve"> </w:t>
      </w:r>
      <w:proofErr w:type="spellStart"/>
      <w:r>
        <w:rPr>
          <w:rtl/>
        </w:rPr>
        <w:t>רודרמן</w:t>
      </w:r>
      <w:proofErr w:type="spellEnd"/>
      <w:r>
        <w:rPr>
          <w:rtl/>
        </w:rPr>
        <w:t xml:space="preserve"> “אחרי פטירת ר׳ חיים” אינו מדויק, וצריך היה להיות “אחרי שלא היה אפשר עוד לפנות </w:t>
      </w:r>
      <w:proofErr w:type="spellStart"/>
      <w:r>
        <w:rPr>
          <w:rtl/>
        </w:rPr>
        <w:t>לר</w:t>
      </w:r>
      <w:proofErr w:type="spellEnd"/>
      <w:r>
        <w:rPr>
          <w:rtl/>
        </w:rPr>
        <w:t xml:space="preserve">׳ חיים”. כך נותרת תקופה של כמעט שנה וחצי, בין ביטול האירוסין לפרוץ המלחמה בקיץ תרע״ד, שבה יכול היה הסבא לפנות </w:t>
      </w:r>
      <w:proofErr w:type="spellStart"/>
      <w:r>
        <w:rPr>
          <w:rtl/>
        </w:rPr>
        <w:t>לר</w:t>
      </w:r>
      <w:proofErr w:type="spellEnd"/>
      <w:r>
        <w:rPr>
          <w:rtl/>
        </w:rPr>
        <w:t xml:space="preserve">׳ </w:t>
      </w:r>
      <w:proofErr w:type="spellStart"/>
      <w:r>
        <w:rPr>
          <w:rtl/>
        </w:rPr>
        <w:t>מאיר־שמחה</w:t>
      </w:r>
      <w:proofErr w:type="spellEnd"/>
      <w:r>
        <w:rPr>
          <w:rtl/>
        </w:rPr>
        <w:t xml:space="preserve"> </w:t>
      </w:r>
      <w:proofErr w:type="spellStart"/>
      <w:r>
        <w:rPr>
          <w:rtl/>
        </w:rPr>
        <w:t>ולר</w:t>
      </w:r>
      <w:proofErr w:type="spellEnd"/>
      <w:r>
        <w:rPr>
          <w:rtl/>
        </w:rPr>
        <w:t xml:space="preserve">׳ </w:t>
      </w:r>
      <w:proofErr w:type="spellStart"/>
      <w:r>
        <w:rPr>
          <w:rtl/>
        </w:rPr>
        <w:t>חיים־עוזר</w:t>
      </w:r>
      <w:proofErr w:type="spellEnd"/>
      <w:r>
        <w:rPr>
          <w:rtl/>
        </w:rPr>
        <w:t xml:space="preserve"> במידה שווה, ואולי ביקש את עצת אחד מהם באותו זמן.</w:t>
      </w:r>
    </w:p>
    <w:p w14:paraId="604AC62E" w14:textId="77777777" w:rsidR="00AB3647" w:rsidRDefault="00000000" w:rsidP="007923E9">
      <w:pPr>
        <w:spacing w:after="120" w:line="276" w:lineRule="auto"/>
        <w:ind w:firstLine="283"/>
        <w:jc w:val="both"/>
      </w:pPr>
      <w:r>
        <w:rPr>
          <w:rtl/>
        </w:rPr>
        <w:t xml:space="preserve">קשה היה לי להאמין שר׳ </w:t>
      </w:r>
      <w:proofErr w:type="spellStart"/>
      <w:r>
        <w:rPr>
          <w:rtl/>
        </w:rPr>
        <w:t>חיים־עוזר</w:t>
      </w:r>
      <w:proofErr w:type="spellEnd"/>
      <w:r>
        <w:rPr>
          <w:rtl/>
        </w:rPr>
        <w:t xml:space="preserve">, הצעיר מן הסבא </w:t>
      </w:r>
      <w:proofErr w:type="spellStart"/>
      <w:r>
        <w:rPr>
          <w:rtl/>
        </w:rPr>
        <w:t>בארבע־עשרה</w:t>
      </w:r>
      <w:proofErr w:type="spellEnd"/>
      <w:r>
        <w:rPr>
          <w:rtl/>
        </w:rPr>
        <w:t xml:space="preserve"> שנה, היה משמש יועצו – ר׳ חיים </w:t>
      </w:r>
      <w:proofErr w:type="spellStart"/>
      <w:r>
        <w:rPr>
          <w:rtl/>
        </w:rPr>
        <w:t>סולובייצ׳יק</w:t>
      </w:r>
      <w:proofErr w:type="spellEnd"/>
      <w:r>
        <w:rPr>
          <w:rtl/>
        </w:rPr>
        <w:t xml:space="preserve"> היה צעיר מן הסבא רק בארבע שנים, ור׳ </w:t>
      </w:r>
      <w:proofErr w:type="spellStart"/>
      <w:r>
        <w:rPr>
          <w:rtl/>
        </w:rPr>
        <w:t>מאיר־שמחה</w:t>
      </w:r>
      <w:proofErr w:type="spellEnd"/>
      <w:r>
        <w:rPr>
          <w:rtl/>
        </w:rPr>
        <w:t xml:space="preserve"> כהן היה מבוגר </w:t>
      </w:r>
      <w:r>
        <w:rPr>
          <w:rtl/>
        </w:rPr>
        <w:lastRenderedPageBreak/>
        <w:t>ממנו בשש שנים.</w:t>
      </w:r>
      <w:bookmarkStart w:id="2636" w:name="_fnr1777"/>
      <w:r>
        <w:rPr>
          <w:rStyle w:val="a5"/>
        </w:rPr>
        <w:footnoteReference w:id="1781" w:customMarkFollows="0"/>
      </w:r>
      <w:bookmarkEnd w:id="2636"/>
      <w:r>
        <w:rPr>
          <w:rtl/>
        </w:rPr>
        <w:t xml:space="preserve"> ר׳ לייזר גורדון, שהיה מבוגר מר׳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בעשרים ושתיים שנה, אכן ביקש את עצתו. כשאחד מתלמידיו, ר׳ </w:t>
      </w:r>
      <w:proofErr w:type="spellStart"/>
      <w:r>
        <w:rPr>
          <w:rtl/>
        </w:rPr>
        <w:t>יהושע־זליג</w:t>
      </w:r>
      <w:proofErr w:type="spellEnd"/>
      <w:r>
        <w:rPr>
          <w:rtl/>
        </w:rPr>
        <w:t xml:space="preserve"> רוך, שאלו על כך, השיב בכעס: “למי אלך אם לא </w:t>
      </w:r>
      <w:proofErr w:type="spellStart"/>
      <w:r>
        <w:rPr>
          <w:rtl/>
        </w:rPr>
        <w:t>לר</w:t>
      </w:r>
      <w:proofErr w:type="spellEnd"/>
      <w:r>
        <w:rPr>
          <w:rtl/>
        </w:rPr>
        <w:t xml:space="preserve">׳ </w:t>
      </w:r>
      <w:proofErr w:type="spellStart"/>
      <w:r>
        <w:rPr>
          <w:rtl/>
        </w:rPr>
        <w:t>חיים־עוזר</w:t>
      </w:r>
      <w:proofErr w:type="spellEnd"/>
      <w:r>
        <w:rPr>
          <w:rtl/>
        </w:rPr>
        <w:t>? רק אליו צריך ללכת!”</w:t>
      </w:r>
      <w:bookmarkStart w:id="2637" w:name="_fnr1778"/>
      <w:r>
        <w:rPr>
          <w:rStyle w:val="a5"/>
        </w:rPr>
        <w:footnoteReference w:id="1782" w:customMarkFollows="0"/>
      </w:r>
      <w:bookmarkEnd w:id="2637"/>
      <w:r>
        <w:rPr>
          <w:rtl/>
        </w:rPr>
        <w:t xml:space="preserve"> אבל עדיין היה קשה לקבל שהסבא </w:t>
      </w:r>
      <w:proofErr w:type="spellStart"/>
      <w:r>
        <w:rPr>
          <w:rtl/>
        </w:rPr>
        <w:t>מסלבודקה</w:t>
      </w:r>
      <w:proofErr w:type="spellEnd"/>
      <w:r>
        <w:rPr>
          <w:rtl/>
        </w:rPr>
        <w:t xml:space="preserve">, הפיקח והחריף במיוחד, חש כפי שחש ר׳ לייזר גורדון – עד שנמצא דבר שאמר הסבא על ר׳ </w:t>
      </w:r>
      <w:proofErr w:type="spellStart"/>
      <w:r>
        <w:rPr>
          <w:rtl/>
        </w:rPr>
        <w:t>חיים־עוזר</w:t>
      </w:r>
      <w:proofErr w:type="spellEnd"/>
      <w:r>
        <w:rPr>
          <w:rtl/>
        </w:rPr>
        <w:t>:</w:t>
      </w:r>
      <w:bookmarkStart w:id="2638" w:name="_fnr1779"/>
      <w:r>
        <w:rPr>
          <w:rStyle w:val="a5"/>
        </w:rPr>
        <w:footnoteReference w:id="1783" w:customMarkFollows="0"/>
      </w:r>
      <w:bookmarkEnd w:id="2638"/>
      <w:r>
        <w:rPr>
          <w:rtl/>
        </w:rPr>
        <w:t xml:space="preserve"> “אין בדומה לו”, אמר.</w:t>
      </w:r>
      <w:bookmarkStart w:id="2639" w:name="_fnr1780"/>
      <w:r>
        <w:rPr>
          <w:rStyle w:val="a5"/>
        </w:rPr>
        <w:footnoteReference w:id="1784" w:customMarkFollows="0"/>
      </w:r>
      <w:bookmarkEnd w:id="2639"/>
    </w:p>
    <w:p w14:paraId="2FA1BC96" w14:textId="77777777" w:rsidR="00AB3647" w:rsidRDefault="00000000" w:rsidP="007923E9">
      <w:pPr>
        <w:spacing w:after="120" w:line="276" w:lineRule="auto"/>
        <w:ind w:firstLine="283"/>
        <w:jc w:val="both"/>
      </w:pPr>
      <w:r>
        <w:rPr>
          <w:rtl/>
        </w:rPr>
        <w:t xml:space="preserve">בנוגע להישענות הסבא על עצת ר׳ חיים </w:t>
      </w:r>
      <w:proofErr w:type="spellStart"/>
      <w:r>
        <w:rPr>
          <w:rtl/>
        </w:rPr>
        <w:t>סולובייצ׳יק</w:t>
      </w:r>
      <w:proofErr w:type="spellEnd"/>
      <w:r>
        <w:rPr>
          <w:rtl/>
        </w:rPr>
        <w:t xml:space="preserve"> בענייני ישיבות, יש לתת את הדעת על המעשה הבא, שסיפר ר׳ נפתלי </w:t>
      </w:r>
      <w:proofErr w:type="spellStart"/>
      <w:r>
        <w:rPr>
          <w:rtl/>
        </w:rPr>
        <w:t>חינסקי</w:t>
      </w:r>
      <w:bookmarkStart w:id="2640" w:name="_fnr1781"/>
      <w:proofErr w:type="spellEnd"/>
      <w:r>
        <w:rPr>
          <w:rStyle w:val="a5"/>
        </w:rPr>
        <w:footnoteReference w:id="1785" w:customMarkFollows="0"/>
      </w:r>
      <w:bookmarkEnd w:id="2640"/>
      <w:r>
        <w:rPr>
          <w:rtl/>
        </w:rPr>
        <w:t xml:space="preserve"> ואישר תלמידו של ר׳ </w:t>
      </w:r>
      <w:proofErr w:type="spellStart"/>
      <w:r>
        <w:rPr>
          <w:rtl/>
        </w:rPr>
        <w:t>איסר־זלמן</w:t>
      </w:r>
      <w:proofErr w:type="spellEnd"/>
      <w:r>
        <w:rPr>
          <w:rtl/>
        </w:rPr>
        <w:t xml:space="preserve"> מלצר, ר׳ יצחק </w:t>
      </w:r>
      <w:proofErr w:type="spellStart"/>
      <w:r>
        <w:rPr>
          <w:rtl/>
        </w:rPr>
        <w:t>זלזניק</w:t>
      </w:r>
      <w:proofErr w:type="spellEnd"/>
      <w:r>
        <w:rPr>
          <w:rtl/>
        </w:rPr>
        <w:t>.</w:t>
      </w:r>
      <w:bookmarkStart w:id="2641" w:name="_fnr1782"/>
      <w:r>
        <w:rPr>
          <w:rStyle w:val="a5"/>
        </w:rPr>
        <w:footnoteReference w:id="1786" w:customMarkFollows="0"/>
      </w:r>
      <w:bookmarkEnd w:id="2641"/>
      <w:r>
        <w:rPr>
          <w:rtl/>
        </w:rPr>
        <w:t xml:space="preserve"> ר׳ פסח </w:t>
      </w:r>
      <w:proofErr w:type="spellStart"/>
      <w:r>
        <w:rPr>
          <w:rtl/>
        </w:rPr>
        <w:t>פרוסקין</w:t>
      </w:r>
      <w:proofErr w:type="spellEnd"/>
      <w:r>
        <w:rPr>
          <w:rtl/>
        </w:rPr>
        <w:t xml:space="preserve"> היה אחד </w:t>
      </w:r>
      <w:proofErr w:type="spellStart"/>
      <w:r>
        <w:rPr>
          <w:rtl/>
        </w:rPr>
        <w:t>מארבעה־עשר</w:t>
      </w:r>
      <w:proofErr w:type="spellEnd"/>
      <w:r>
        <w:rPr>
          <w:rtl/>
        </w:rPr>
        <w:t xml:space="preserve"> התלמידים שנשלחו </w:t>
      </w:r>
      <w:proofErr w:type="spellStart"/>
      <w:r>
        <w:rPr>
          <w:rtl/>
        </w:rPr>
        <w:t>לסלוצק</w:t>
      </w:r>
      <w:proofErr w:type="spellEnd"/>
      <w:r>
        <w:rPr>
          <w:rtl/>
        </w:rPr>
        <w:t xml:space="preserve"> עם ר׳ </w:t>
      </w:r>
      <w:proofErr w:type="spellStart"/>
      <w:r>
        <w:rPr>
          <w:rtl/>
        </w:rPr>
        <w:t>איסר־זלמן</w:t>
      </w:r>
      <w:proofErr w:type="spellEnd"/>
      <w:r>
        <w:rPr>
          <w:rtl/>
        </w:rPr>
        <w:t>,</w:t>
      </w:r>
      <w:bookmarkStart w:id="2642" w:name="_fnr1783"/>
      <w:r>
        <w:rPr>
          <w:rStyle w:val="a5"/>
        </w:rPr>
        <w:footnoteReference w:id="1787" w:customMarkFollows="0"/>
      </w:r>
      <w:bookmarkEnd w:id="2642"/>
      <w:r>
        <w:rPr>
          <w:rtl/>
        </w:rPr>
        <w:t xml:space="preserve"> ובאותה עת היה לדעתו של ר׳ </w:t>
      </w:r>
      <w:proofErr w:type="spellStart"/>
      <w:r>
        <w:rPr>
          <w:rtl/>
        </w:rPr>
        <w:t>איסר־זלמן</w:t>
      </w:r>
      <w:bookmarkStart w:id="2643" w:name="_fnr1784"/>
      <w:proofErr w:type="spellEnd"/>
      <w:r>
        <w:rPr>
          <w:rStyle w:val="a5"/>
        </w:rPr>
        <w:footnoteReference w:id="1788" w:customMarkFollows="0"/>
      </w:r>
      <w:bookmarkEnd w:id="2643"/>
      <w:r>
        <w:rPr>
          <w:rtl/>
        </w:rPr>
        <w:t xml:space="preserve"> בעל כישרון בינוני. אבל הוא מונה “לדבר בלימוד” עם התלמידים החדשים, שהצטרפו לישיבה אחרי שהקבוצה הראשונה ייסדה אותה, ולהיות משגיח עליהם, ובעקבות זאת התקדם הרב </w:t>
      </w:r>
      <w:proofErr w:type="spellStart"/>
      <w:r>
        <w:rPr>
          <w:rtl/>
        </w:rPr>
        <w:t>פרוסקין</w:t>
      </w:r>
      <w:proofErr w:type="spellEnd"/>
      <w:r>
        <w:rPr>
          <w:rtl/>
        </w:rPr>
        <w:t xml:space="preserve"> בתורה התקדמות גדולה. בלי שהוזמן לכך התחיל למסור חבורות לבחורים, והדבר לא מצא חן כלל בעיני ר׳ </w:t>
      </w:r>
      <w:proofErr w:type="spellStart"/>
      <w:r>
        <w:rPr>
          <w:rtl/>
        </w:rPr>
        <w:t>איסר־זלמן</w:t>
      </w:r>
      <w:proofErr w:type="spellEnd"/>
      <w:r>
        <w:rPr>
          <w:rtl/>
        </w:rPr>
        <w:t>.</w:t>
      </w:r>
    </w:p>
    <w:p w14:paraId="6ACC9337" w14:textId="77777777" w:rsidR="00AB3647" w:rsidRDefault="00000000" w:rsidP="007923E9">
      <w:pPr>
        <w:spacing w:after="120" w:line="276" w:lineRule="auto"/>
        <w:ind w:firstLine="283"/>
        <w:jc w:val="both"/>
      </w:pPr>
      <w:r>
        <w:rPr>
          <w:rtl/>
        </w:rPr>
        <w:t xml:space="preserve">ר׳ פסח דן בעניין עם ר׳ חיים </w:t>
      </w:r>
      <w:proofErr w:type="spellStart"/>
      <w:r>
        <w:rPr>
          <w:rtl/>
        </w:rPr>
        <w:t>סולובייצ׳יק</w:t>
      </w:r>
      <w:proofErr w:type="spellEnd"/>
      <w:r>
        <w:rPr>
          <w:rtl/>
        </w:rPr>
        <w:t xml:space="preserve">, והלה פסק שהרב </w:t>
      </w:r>
      <w:proofErr w:type="spellStart"/>
      <w:r>
        <w:rPr>
          <w:rtl/>
        </w:rPr>
        <w:t>פרוסקין</w:t>
      </w:r>
      <w:proofErr w:type="spellEnd"/>
      <w:r>
        <w:rPr>
          <w:rtl/>
        </w:rPr>
        <w:t xml:space="preserve"> רשאי לעשות את שהוא עושה. אבל ר׳ </w:t>
      </w:r>
      <w:proofErr w:type="spellStart"/>
      <w:r>
        <w:rPr>
          <w:rtl/>
        </w:rPr>
        <w:t>איסר־זלמן</w:t>
      </w:r>
      <w:proofErr w:type="spellEnd"/>
      <w:r>
        <w:rPr>
          <w:rtl/>
        </w:rPr>
        <w:t xml:space="preserve"> אמר: “ר׳ חיים הוא רבי, אבל ‘הלכות ישיבה’ הן ‘שולחן ערוך’ נפרד, שבו הסבא </w:t>
      </w:r>
      <w:proofErr w:type="spellStart"/>
      <w:r>
        <w:rPr>
          <w:rtl/>
        </w:rPr>
        <w:t>מסלבודקה</w:t>
      </w:r>
      <w:proofErr w:type="spellEnd"/>
      <w:r>
        <w:rPr>
          <w:rtl/>
        </w:rPr>
        <w:t xml:space="preserve">, ולא ר׳ חיים </w:t>
      </w:r>
      <w:proofErr w:type="spellStart"/>
      <w:r>
        <w:rPr>
          <w:rtl/>
        </w:rPr>
        <w:t>מבריסק</w:t>
      </w:r>
      <w:proofErr w:type="spellEnd"/>
      <w:r>
        <w:rPr>
          <w:rtl/>
        </w:rPr>
        <w:t xml:space="preserve">, הוא פוסק הדור”. הוא שאל את הסבא </w:t>
      </w:r>
      <w:proofErr w:type="spellStart"/>
      <w:r>
        <w:rPr>
          <w:rtl/>
        </w:rPr>
        <w:t>מסלבודקה</w:t>
      </w:r>
      <w:proofErr w:type="spellEnd"/>
      <w:r>
        <w:rPr>
          <w:rtl/>
        </w:rPr>
        <w:t xml:space="preserve"> מה לעשות, והלה פסק שיש לתת </w:t>
      </w:r>
      <w:proofErr w:type="spellStart"/>
      <w:r>
        <w:rPr>
          <w:rtl/>
        </w:rPr>
        <w:t>לר</w:t>
      </w:r>
      <w:proofErr w:type="spellEnd"/>
      <w:r>
        <w:rPr>
          <w:rtl/>
        </w:rPr>
        <w:t>׳ פסח כמה בחורים ולשלחו להקים ישיבה משלו.</w:t>
      </w:r>
      <w:bookmarkStart w:id="2644" w:name="_fnr1785"/>
      <w:r>
        <w:rPr>
          <w:rStyle w:val="a5"/>
        </w:rPr>
        <w:footnoteReference w:id="1789" w:customMarkFollows="0"/>
      </w:r>
      <w:bookmarkEnd w:id="2644"/>
    </w:p>
    <w:p w14:paraId="4538A52F" w14:textId="4CAFC286" w:rsidR="00AB3647" w:rsidRDefault="00000000" w:rsidP="007923E9">
      <w:pPr>
        <w:spacing w:after="120" w:line="276" w:lineRule="auto"/>
        <w:ind w:firstLine="283"/>
        <w:jc w:val="both"/>
      </w:pPr>
      <w:r>
        <w:rPr>
          <w:rtl/>
        </w:rPr>
        <w:t xml:space="preserve">מגבלותיו של ר׳ חיים בהערכת ישיבות ניכרות בהמלצתו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פוניבז׳ער</w:t>
      </w:r>
      <w:proofErr w:type="spellEnd"/>
      <w:r>
        <w:rPr>
          <w:rtl/>
        </w:rPr>
        <w:t xml:space="preserve"> – אותו חכם גדול שעליו המליץ אביו עשרים ושתיים שנה קודם לכן – להקים קיבוץ תלמידים בשנת תר״ע. גדול ככל שהיה ר׳ </w:t>
      </w:r>
      <w:proofErr w:type="spellStart"/>
      <w:r>
        <w:rPr>
          <w:rtl/>
        </w:rPr>
        <w:t>איצל׳ה</w:t>
      </w:r>
      <w:proofErr w:type="spellEnd"/>
      <w:r>
        <w:rPr>
          <w:rtl/>
        </w:rPr>
        <w:t xml:space="preserve"> כמגיד שיעור, הוא לא היה מסוגל לנהל ישיבה מבחינה חינוכית. הדבר מתברר ממאמרו של </w:t>
      </w:r>
      <w:proofErr w:type="spellStart"/>
      <w:r>
        <w:rPr>
          <w:rtl/>
        </w:rPr>
        <w:t>ריבקינד</w:t>
      </w:r>
      <w:proofErr w:type="spellEnd"/>
      <w:r>
        <w:rPr>
          <w:rtl/>
        </w:rPr>
        <w:t xml:space="preserve"> המובא בפרק 4,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וממה שנאמר בתחילת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השווה גם פרק 4, סוף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מידת כישלונו של הקיבוץ להעמיד בני תורה: רק שניים מן התלמידים נשארו נאמנים לתורה </w:t>
      </w:r>
      <w:r>
        <w:rPr>
          <w:rtl/>
        </w:rPr>
        <w:lastRenderedPageBreak/>
        <w:t xml:space="preserve">– ר׳ ברוך </w:t>
      </w:r>
      <w:proofErr w:type="spellStart"/>
      <w:r>
        <w:rPr>
          <w:rtl/>
        </w:rPr>
        <w:t>פייבלזון</w:t>
      </w:r>
      <w:proofErr w:type="spellEnd"/>
      <w:r>
        <w:rPr>
          <w:rtl/>
        </w:rPr>
        <w:t xml:space="preserve">, חתנו של ר׳ נפתלי </w:t>
      </w:r>
      <w:proofErr w:type="spellStart"/>
      <w:r>
        <w:rPr>
          <w:rtl/>
        </w:rPr>
        <w:t>טרופ</w:t>
      </w:r>
      <w:proofErr w:type="spellEnd"/>
      <w:r>
        <w:rPr>
          <w:rtl/>
        </w:rPr>
        <w:t xml:space="preserve"> וממלא מקומו </w:t>
      </w:r>
      <w:proofErr w:type="spellStart"/>
      <w:r>
        <w:rPr>
          <w:rtl/>
        </w:rPr>
        <w:t>בראדין</w:t>
      </w:r>
      <w:proofErr w:type="spellEnd"/>
      <w:r>
        <w:rPr>
          <w:rtl/>
        </w:rPr>
        <w:t xml:space="preserve">, ור׳ אליעזר </w:t>
      </w:r>
      <w:proofErr w:type="spellStart"/>
      <w:r>
        <w:rPr>
          <w:rtl/>
        </w:rPr>
        <w:t>קירזנר</w:t>
      </w:r>
      <w:proofErr w:type="spellEnd"/>
      <w:r>
        <w:rPr>
          <w:rtl/>
        </w:rPr>
        <w:t xml:space="preserve">, העילוי </w:t>
      </w:r>
      <w:proofErr w:type="spellStart"/>
      <w:r>
        <w:rPr>
          <w:rtl/>
        </w:rPr>
        <w:t>מאניקשט</w:t>
      </w:r>
      <w:proofErr w:type="spellEnd"/>
      <w:r>
        <w:rPr>
          <w:rtl/>
        </w:rPr>
        <w:t xml:space="preserve">. הרב </w:t>
      </w:r>
      <w:proofErr w:type="spellStart"/>
      <w:r>
        <w:rPr>
          <w:rtl/>
        </w:rPr>
        <w:t>קירזנר</w:t>
      </w:r>
      <w:proofErr w:type="spellEnd"/>
      <w:r>
        <w:rPr>
          <w:rtl/>
        </w:rPr>
        <w:t xml:space="preserve"> שימש ברבנות באנגליה ובדרום אפריקה, ולבסוף, משנת תשי״ב, בארצות הברית, בשכונת בורו פארק שבברוקלין. הוא נפטר בשנת תש״נ בגיל תשעים וחמש.</w:t>
      </w:r>
    </w:p>
    <w:p w14:paraId="2925CDD3" w14:textId="0DC66DB1" w:rsidR="00AB3647" w:rsidRDefault="00000000" w:rsidP="007923E9">
      <w:pPr>
        <w:spacing w:after="120" w:line="276" w:lineRule="auto"/>
        <w:ind w:firstLine="283"/>
        <w:jc w:val="both"/>
      </w:pPr>
      <w:r>
        <w:rPr>
          <w:rtl/>
        </w:rPr>
        <w:t>השווה גם פרק 4, הפסקה השישית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שבה אני מסיק שר׳ חיים התעניין רק בתלמידים המשתוקקים ללמוד תורה, ולא נתן את דעתו על אלה שעדיין צריך היה למשוך את לבם להערכת התורה. נראה שר׳ חיים, כמו המלמד המעולה האחר, ר׳ </w:t>
      </w:r>
      <w:proofErr w:type="spellStart"/>
      <w:r>
        <w:rPr>
          <w:rtl/>
        </w:rPr>
        <w:t>איצל׳ה</w:t>
      </w:r>
      <w:proofErr w:type="spellEnd"/>
      <w:r>
        <w:rPr>
          <w:rtl/>
        </w:rPr>
        <w:t xml:space="preserve"> </w:t>
      </w:r>
      <w:proofErr w:type="spellStart"/>
      <w:r>
        <w:rPr>
          <w:rtl/>
        </w:rPr>
        <w:t>פוניבז׳ער</w:t>
      </w:r>
      <w:proofErr w:type="spellEnd"/>
      <w:r>
        <w:rPr>
          <w:rtl/>
        </w:rPr>
        <w:t>, היה מחנך חלש.</w:t>
      </w:r>
      <w:bookmarkStart w:id="2645" w:name="_fnr1786"/>
      <w:r>
        <w:rPr>
          <w:rStyle w:val="a5"/>
        </w:rPr>
        <w:footnoteReference w:id="1790" w:customMarkFollows="0"/>
      </w:r>
      <w:bookmarkEnd w:id="2645"/>
    </w:p>
    <w:p w14:paraId="2A55D1A6" w14:textId="106ADF11" w:rsidR="00AB3647" w:rsidRDefault="00000000" w:rsidP="007923E9">
      <w:pPr>
        <w:spacing w:after="120" w:line="276" w:lineRule="auto"/>
        <w:ind w:firstLine="283"/>
        <w:jc w:val="both"/>
      </w:pPr>
      <w:r>
        <w:rPr>
          <w:rtl/>
        </w:rPr>
        <w:t xml:space="preserve">חתני ר׳ מאיר </w:t>
      </w:r>
      <w:proofErr w:type="spellStart"/>
      <w:r>
        <w:rPr>
          <w:rtl/>
        </w:rPr>
        <w:t>טריביץ</w:t>
      </w:r>
      <w:proofErr w:type="spellEnd"/>
      <w:r>
        <w:rPr>
          <w:rtl/>
        </w:rPr>
        <w:t xml:space="preserve"> מסר</w:t>
      </w:r>
      <w:bookmarkStart w:id="2646" w:name="_fnr1787"/>
      <w:r>
        <w:rPr>
          <w:rStyle w:val="a5"/>
        </w:rPr>
        <w:footnoteReference w:id="1791" w:customMarkFollows="0"/>
      </w:r>
      <w:bookmarkEnd w:id="2646"/>
      <w:r>
        <w:rPr>
          <w:rtl/>
        </w:rPr>
        <w:t xml:space="preserve"> ששמע מר׳ יעקב </w:t>
      </w:r>
      <w:proofErr w:type="spellStart"/>
      <w:r>
        <w:rPr>
          <w:rtl/>
        </w:rPr>
        <w:t>יופן</w:t>
      </w:r>
      <w:proofErr w:type="spellEnd"/>
      <w:r>
        <w:rPr>
          <w:rtl/>
        </w:rPr>
        <w:t xml:space="preserve"> שסבו של האחרון, ר׳ יוזל </w:t>
      </w:r>
      <w:proofErr w:type="spellStart"/>
      <w:r>
        <w:rPr>
          <w:rtl/>
        </w:rPr>
        <w:t>הורוויץ</w:t>
      </w:r>
      <w:proofErr w:type="spellEnd"/>
      <w:r>
        <w:rPr>
          <w:rtl/>
        </w:rPr>
        <w:t xml:space="preserve">, חלק על ר׳ חיים בשאלה למי צריך אדם להקדיש עמל רב יותר בהוראה – לילדיו או לתלמידיו. ר׳ חיים סבר שילדיו קודמים (ועי׳ רמב״ם ריש הל׳ ת״ת), והרב </w:t>
      </w:r>
      <w:proofErr w:type="spellStart"/>
      <w:r>
        <w:rPr>
          <w:rtl/>
        </w:rPr>
        <w:t>הורוויץ</w:t>
      </w:r>
      <w:proofErr w:type="spellEnd"/>
      <w:r>
        <w:rPr>
          <w:rtl/>
        </w:rPr>
        <w:t xml:space="preserve"> סבר אחרת. אנו יודעים שגם הסבא </w:t>
      </w:r>
      <w:proofErr w:type="spellStart"/>
      <w:r>
        <w:rPr>
          <w:rtl/>
        </w:rPr>
        <w:t>מסלבודקה</w:t>
      </w:r>
      <w:proofErr w:type="spellEnd"/>
      <w:r>
        <w:rPr>
          <w:rtl/>
        </w:rPr>
        <w:t xml:space="preserve"> חלק על ר׳ חיים בעניין זה, כמבואר בפרק 4,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אולי מפני שבעלי המוסר הציעו דרך חדשה יחסית ביהדות, הם הקדישו את עצמם לחינוך ולא רק להוראה, והשקיעו את מאמציהם במעגל הרחב של התלמידים יותר מאשר במעגל המשפחתי המצומצם.</w:t>
      </w:r>
    </w:p>
    <w:bookmarkStart w:id="2647" w:name="b3_excI"/>
    <w:p w14:paraId="39589769" w14:textId="77777777" w:rsidR="00AB3647" w:rsidRDefault="00000000" w:rsidP="007923E9">
      <w:pPr>
        <w:pStyle w:val="3"/>
        <w:spacing w:line="276" w:lineRule="auto"/>
      </w:pPr>
      <w:r>
        <w:lastRenderedPageBreak/>
        <w:fldChar w:fldCharType="begin" w:dirty="true"/>
      </w:r>
      <w:r>
        <w:rPr>
          <w:rtl w:val="0"/>
        </w:rPr>
        <w:instrText>HYPERLINK \l "b3_note32</w:instrText>
      </w:r>
      <w:r>
        <w:instrText>"</w:instrText>
      </w:r>
      <w:r>
        <w:fldChar w:fldCharType="separate"/>
      </w:r>
      <w:r>
        <w:t>נספח ט</w:t>
      </w:r>
      <w:r>
        <w:fldChar w:fldCharType="end"/>
      </w:r>
      <w:bookmarkEnd w:id="2647"/>
    </w:p>
    <w:p w14:paraId="16B56346" w14:textId="77777777" w:rsidR="00AB3647" w:rsidRDefault="00000000" w:rsidP="007923E9">
      <w:pPr>
        <w:pStyle w:val="af"/>
        <w:spacing w:line="276" w:lineRule="auto"/>
      </w:pPr>
      <w:r>
        <w:t xml:space="preserve">על ר׳ </w:t>
      </w:r>
      <w:proofErr w:type="spellStart"/>
      <w:r>
        <w:t>איצל׳ה</w:t>
      </w:r>
      <w:proofErr w:type="spellEnd"/>
      <w:r>
        <w:t xml:space="preserve"> </w:t>
      </w:r>
      <w:proofErr w:type="spellStart"/>
      <w:r>
        <w:t>רבינוביץ</w:t>
      </w:r>
      <w:proofErr w:type="spellEnd"/>
      <w:r>
        <w:t xml:space="preserve"> </w:t>
      </w:r>
      <w:proofErr w:type="spellStart"/>
      <w:r>
        <w:t>בגורז׳ד</w:t>
      </w:r>
      <w:proofErr w:type="spellEnd"/>
      <w:r>
        <w:t xml:space="preserve">; על ר׳ לייזר גורדון המבקש לחזק את ישיבת </w:t>
      </w:r>
      <w:proofErr w:type="spellStart"/>
      <w:r>
        <w:t>טלז</w:t>
      </w:r>
      <w:proofErr w:type="spellEnd"/>
      <w:r>
        <w:t xml:space="preserve">; ועל יחסו של ר׳ </w:t>
      </w:r>
      <w:proofErr w:type="spellStart"/>
      <w:r>
        <w:t>ברוך־בער</w:t>
      </w:r>
      <w:proofErr w:type="spellEnd"/>
      <w:r>
        <w:t xml:space="preserve"> </w:t>
      </w:r>
      <w:proofErr w:type="spellStart"/>
      <w:r>
        <w:t>ליבוביץ</w:t>
      </w:r>
      <w:proofErr w:type="spellEnd"/>
      <w:r>
        <w:t xml:space="preserve"> לאביו </w:t>
      </w:r>
      <w:proofErr w:type="spellStart"/>
      <w:r>
        <w:t>ולר</w:t>
      </w:r>
      <w:proofErr w:type="spellEnd"/>
      <w:r>
        <w:t xml:space="preserve">׳ חיים </w:t>
      </w:r>
      <w:proofErr w:type="spellStart"/>
      <w:r>
        <w:t>סולובייצ׳יק</w:t>
      </w:r>
      <w:proofErr w:type="spellEnd"/>
    </w:p>
    <w:p w14:paraId="47AE3CE3" w14:textId="77777777" w:rsidR="00AB3647" w:rsidRDefault="00000000" w:rsidP="007923E9">
      <w:pPr>
        <w:pStyle w:val="5"/>
        <w:spacing w:line="276" w:lineRule="auto"/>
      </w:pPr>
      <w:r>
        <w:t xml:space="preserve">ר׳ </w:t>
      </w:r>
      <w:proofErr w:type="spellStart"/>
      <w:r>
        <w:t>איצל׳ה</w:t>
      </w:r>
      <w:proofErr w:type="spellEnd"/>
      <w:r>
        <w:t xml:space="preserve"> נעשה רב </w:t>
      </w:r>
      <w:proofErr w:type="spellStart"/>
      <w:r>
        <w:t>בגורז׳ד</w:t>
      </w:r>
      <w:proofErr w:type="spellEnd"/>
      <w:r>
        <w:t xml:space="preserve"> ואינו מצליח לקיים שם ישיבה ברמה גבוהה – ר׳ לייזר גורדון מוכן להעביר לאחרים את אצטלת ראש הישיבה – הוא מחפש מחליף </w:t>
      </w:r>
      <w:proofErr w:type="spellStart"/>
      <w:r>
        <w:t>לר</w:t>
      </w:r>
      <w:proofErr w:type="spellEnd"/>
      <w:r>
        <w:t xml:space="preserve">׳ שמעון </w:t>
      </w:r>
      <w:proofErr w:type="spellStart"/>
      <w:r>
        <w:t>שקופ</w:t>
      </w:r>
      <w:proofErr w:type="spellEnd"/>
      <w:r>
        <w:t xml:space="preserve"> – </w:t>
      </w:r>
      <w:proofErr w:type="spellStart"/>
      <w:r>
        <w:t>החפץ־חיים</w:t>
      </w:r>
      <w:proofErr w:type="spellEnd"/>
      <w:r>
        <w:t xml:space="preserve"> משקיט את ייסורי מצפונו של ר׳ </w:t>
      </w:r>
      <w:proofErr w:type="spellStart"/>
      <w:r>
        <w:t>ברוך־בער</w:t>
      </w:r>
      <w:proofErr w:type="spellEnd"/>
      <w:r>
        <w:t xml:space="preserve"> – ר׳ חיים </w:t>
      </w:r>
      <w:proofErr w:type="spellStart"/>
      <w:r>
        <w:t>סולובייצ׳יק</w:t>
      </w:r>
      <w:proofErr w:type="spellEnd"/>
      <w:r>
        <w:t xml:space="preserve"> מרגיש אשם במות אביו – הוא סובל מחרדה כשתינוק שסייע במילתו מת – הוא נמנע מלשמש סנדק – ר׳ </w:t>
      </w:r>
      <w:proofErr w:type="spellStart"/>
      <w:r>
        <w:t>ברוך־בער</w:t>
      </w:r>
      <w:proofErr w:type="spellEnd"/>
      <w:r>
        <w:t xml:space="preserve"> מגדיר את תורת רבו ר׳ חיים </w:t>
      </w:r>
      <w:proofErr w:type="spellStart"/>
      <w:r>
        <w:t>סולובייצ׳יק</w:t>
      </w:r>
      <w:proofErr w:type="spellEnd"/>
    </w:p>
    <w:p w14:paraId="02629CBF" w14:textId="6EFC58C1" w:rsidR="00AB3647" w:rsidRDefault="00000000" w:rsidP="007923E9">
      <w:pPr>
        <w:spacing w:after="120" w:line="276" w:lineRule="auto"/>
        <w:ind w:firstLine="283"/>
        <w:jc w:val="both"/>
      </w:pPr>
      <w:r>
        <w:rPr>
          <w:rtl/>
        </w:rPr>
        <w:t xml:space="preserve">אבי סיפר – לפי רשימות שרשם בעל נכדתו ר׳ נתן שטרן – שחיכוך דק בין ר׳ </w:t>
      </w:r>
      <w:proofErr w:type="spellStart"/>
      <w:r>
        <w:rPr>
          <w:rtl/>
        </w:rPr>
        <w:t>איצל׳ה</w:t>
      </w:r>
      <w:proofErr w:type="spellEnd"/>
      <w:r>
        <w:rPr>
          <w:rtl/>
        </w:rPr>
        <w:t xml:space="preserve"> </w:t>
      </w:r>
      <w:proofErr w:type="spellStart"/>
      <w:r>
        <w:rPr>
          <w:rtl/>
        </w:rPr>
        <w:t>רבינוביץ</w:t>
      </w:r>
      <w:proofErr w:type="spellEnd"/>
      <w:r>
        <w:rPr>
          <w:rtl/>
        </w:rPr>
        <w:t xml:space="preserve"> לבין הסבא החל להתפתח שנה אחרי מינויו של הראשון, מפני שהאחרון העדיף את התלמידים העוסקים במוסר על פני המצטיינים בלמדנות. אחרי שכיהן ר׳ </w:t>
      </w:r>
      <w:proofErr w:type="spellStart"/>
      <w:r>
        <w:rPr>
          <w:rtl/>
        </w:rPr>
        <w:t>איצל׳ה</w:t>
      </w:r>
      <w:proofErr w:type="spellEnd"/>
      <w:r>
        <w:rPr>
          <w:rtl/>
        </w:rPr>
        <w:t xml:space="preserve"> במשרתו יותר מארבע שנים, “הוציא הסבא את ר׳ </w:t>
      </w:r>
      <w:proofErr w:type="spellStart"/>
      <w:r>
        <w:rPr>
          <w:rtl/>
        </w:rPr>
        <w:t>איצל׳ה</w:t>
      </w:r>
      <w:proofErr w:type="spellEnd"/>
      <w:r>
        <w:rPr>
          <w:rtl/>
        </w:rPr>
        <w:t xml:space="preserve"> מן הישיבה בתחבולה”: הוא השיג לו את רבנות העיירה הליטאית העשירה </w:t>
      </w:r>
      <w:proofErr w:type="spellStart"/>
      <w:r>
        <w:rPr>
          <w:rtl/>
        </w:rPr>
        <w:t>גורז׳ד</w:t>
      </w:r>
      <w:proofErr w:type="spellEnd"/>
      <w:r>
        <w:rPr>
          <w:rtl/>
        </w:rPr>
        <w:t xml:space="preserve"> (סמוך לממל, שהייתה אז עיר נמל גרמנית), והרשה לו לקחת עמו עשרה מטובי תלמידי הישיבה שימשיכו ללמוד אצלו. ביניהם היו ר׳ ברוך </w:t>
      </w:r>
      <w:proofErr w:type="spellStart"/>
      <w:r>
        <w:rPr>
          <w:rtl/>
        </w:rPr>
        <w:t>אלקסוטער</w:t>
      </w:r>
      <w:proofErr w:type="spellEnd"/>
      <w:r>
        <w:rPr>
          <w:rtl/>
        </w:rPr>
        <w:t xml:space="preserve"> (</w:t>
      </w:r>
      <w:proofErr w:type="spellStart"/>
      <w:r>
        <w:rPr>
          <w:rtl/>
        </w:rPr>
        <w:t>הורוויץ</w:t>
      </w:r>
      <w:proofErr w:type="spellEnd"/>
      <w:r>
        <w:rPr>
          <w:rtl/>
        </w:rPr>
        <w:t xml:space="preserve">), לימים ראש ישיבה </w:t>
      </w:r>
      <w:proofErr w:type="spellStart"/>
      <w:r>
        <w:rPr>
          <w:rtl/>
        </w:rPr>
        <w:t>בסלבודקה</w:t>
      </w:r>
      <w:proofErr w:type="spellEnd"/>
      <w:r>
        <w:rPr>
          <w:rtl/>
        </w:rPr>
        <w:t xml:space="preserve">, ור׳ נפתלי </w:t>
      </w:r>
      <w:proofErr w:type="spellStart"/>
      <w:r>
        <w:rPr>
          <w:rtl/>
        </w:rPr>
        <w:t>טרופ</w:t>
      </w:r>
      <w:proofErr w:type="spellEnd"/>
      <w:r>
        <w:rPr>
          <w:rtl/>
        </w:rPr>
        <w:t xml:space="preserve">, לימים ראש ישיבה </w:t>
      </w:r>
      <w:proofErr w:type="spellStart"/>
      <w:r>
        <w:rPr>
          <w:rtl/>
        </w:rPr>
        <w:t>בראדין</w:t>
      </w:r>
      <w:proofErr w:type="spellEnd"/>
      <w:r>
        <w:rPr>
          <w:rtl/>
        </w:rPr>
        <w:t>.</w:t>
      </w:r>
      <w:bookmarkStart w:id="2648" w:name="_fnr1788"/>
      <w:r>
        <w:rPr>
          <w:rStyle w:val="a5"/>
        </w:rPr>
        <w:footnoteReference w:id="1792" w:customMarkFollows="0"/>
      </w:r>
      <w:bookmarkEnd w:id="2648"/>
      <w:r>
        <w:rPr>
          <w:rtl/>
        </w:rPr>
        <w:t xml:space="preserve"> (נראה שר׳ נפתלי נשלח </w:t>
      </w:r>
      <w:proofErr w:type="spellStart"/>
      <w:r>
        <w:rPr>
          <w:rtl/>
        </w:rPr>
        <w:t>לגורז׳ד</w:t>
      </w:r>
      <w:proofErr w:type="spellEnd"/>
      <w:r>
        <w:rPr>
          <w:rtl/>
        </w:rPr>
        <w:t xml:space="preserve"> אחרי שמתה ארוסתו, בת הסבא – כמסופר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להלן.)</w:t>
      </w:r>
    </w:p>
    <w:p w14:paraId="1C23FB6B"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2649" w:name="_fnr1789"/>
      <w:r>
        <w:rPr>
          <w:rStyle w:val="a5"/>
        </w:rPr>
        <w:footnoteReference w:id="1793" w:customMarkFollows="0"/>
      </w:r>
      <w:bookmarkEnd w:id="2649"/>
      <w:r>
        <w:rPr>
          <w:rtl/>
        </w:rPr>
        <w:t xml:space="preserve"> שאבי התבטא כך על הדרך המכובדת שבה שילח הסבא את ר׳ </w:t>
      </w:r>
      <w:proofErr w:type="spellStart"/>
      <w:r>
        <w:rPr>
          <w:rtl/>
        </w:rPr>
        <w:t>איצל׳ה</w:t>
      </w:r>
      <w:proofErr w:type="spellEnd"/>
      <w:r>
        <w:rPr>
          <w:rtl/>
        </w:rPr>
        <w:t>: “את שיעור גדלותו של אדם אפשר לשפוט לפי האופן שבו הוא משלח עובד. ובכל זאת,” הוסיף, “</w:t>
      </w:r>
      <w:proofErr w:type="spellStart"/>
      <w:r>
        <w:rPr>
          <w:rtl/>
        </w:rPr>
        <w:t>לר</w:t>
      </w:r>
      <w:proofErr w:type="spellEnd"/>
      <w:r>
        <w:rPr>
          <w:rtl/>
        </w:rPr>
        <w:t xml:space="preserve">׳ </w:t>
      </w:r>
      <w:proofErr w:type="spellStart"/>
      <w:r>
        <w:rPr>
          <w:rtl/>
        </w:rPr>
        <w:t>איצל׳ה</w:t>
      </w:r>
      <w:proofErr w:type="spellEnd"/>
      <w:r>
        <w:rPr>
          <w:rtl/>
        </w:rPr>
        <w:t xml:space="preserve"> היו אחר כך טענות.” אף ששיעוריו של ר׳ </w:t>
      </w:r>
      <w:proofErr w:type="spellStart"/>
      <w:r>
        <w:rPr>
          <w:rtl/>
        </w:rPr>
        <w:t>איצל׳ה</w:t>
      </w:r>
      <w:proofErr w:type="spellEnd"/>
      <w:r>
        <w:rPr>
          <w:rtl/>
        </w:rPr>
        <w:t xml:space="preserve"> היו מעולים, לא עלה בידו למנוע מן התלמידים לחזור </w:t>
      </w:r>
      <w:proofErr w:type="spellStart"/>
      <w:r>
        <w:rPr>
          <w:rtl/>
        </w:rPr>
        <w:t>לסלבודקה</w:t>
      </w:r>
      <w:proofErr w:type="spellEnd"/>
      <w:r>
        <w:rPr>
          <w:rtl/>
        </w:rPr>
        <w:t xml:space="preserve"> בתוך שנה.</w:t>
      </w:r>
      <w:bookmarkStart w:id="2650" w:name="_fnr1790"/>
      <w:r>
        <w:rPr>
          <w:rStyle w:val="a5"/>
        </w:rPr>
        <w:footnoteReference w:id="1794" w:customMarkFollows="0"/>
      </w:r>
      <w:bookmarkEnd w:id="2650"/>
      <w:r>
        <w:rPr>
          <w:rtl/>
        </w:rPr>
        <w:t xml:space="preserve"> אחרי שנה וחצי </w:t>
      </w:r>
      <w:proofErr w:type="spellStart"/>
      <w:r>
        <w:rPr>
          <w:rtl/>
        </w:rPr>
        <w:t>בגורז׳ד</w:t>
      </w:r>
      <w:proofErr w:type="spellEnd"/>
      <w:r>
        <w:rPr>
          <w:rtl/>
        </w:rPr>
        <w:t xml:space="preserve"> נעשה ר׳ </w:t>
      </w:r>
      <w:proofErr w:type="spellStart"/>
      <w:r>
        <w:rPr>
          <w:rtl/>
        </w:rPr>
        <w:t>איצל׳ה</w:t>
      </w:r>
      <w:proofErr w:type="spellEnd"/>
      <w:r>
        <w:rPr>
          <w:rtl/>
        </w:rPr>
        <w:t xml:space="preserve"> רב </w:t>
      </w:r>
      <w:proofErr w:type="spellStart"/>
      <w:r>
        <w:rPr>
          <w:rtl/>
        </w:rPr>
        <w:t>פוניבז</w:t>
      </w:r>
      <w:proofErr w:type="spellEnd"/>
      <w:r>
        <w:rPr>
          <w:rtl/>
        </w:rPr>
        <w:t xml:space="preserve">׳, ושמו נקשר לעולם בעיר זו. אבי אמר בריאיון המוקלט על הסבא </w:t>
      </w:r>
      <w:proofErr w:type="spellStart"/>
      <w:r>
        <w:rPr>
          <w:rtl/>
        </w:rPr>
        <w:t>מסלבודקה</w:t>
      </w:r>
      <w:proofErr w:type="spellEnd"/>
      <w:r>
        <w:rPr>
          <w:rtl/>
        </w:rPr>
        <w:t>: “</w:t>
      </w:r>
      <w:proofErr w:type="spellStart"/>
      <w:r>
        <w:rPr>
          <w:rtl/>
        </w:rPr>
        <w:t>לר</w:t>
      </w:r>
      <w:proofErr w:type="spellEnd"/>
      <w:r>
        <w:rPr>
          <w:rtl/>
        </w:rPr>
        <w:t xml:space="preserve">׳ </w:t>
      </w:r>
      <w:proofErr w:type="spellStart"/>
      <w:r>
        <w:rPr>
          <w:rtl/>
        </w:rPr>
        <w:t>איצל׳ה</w:t>
      </w:r>
      <w:proofErr w:type="spellEnd"/>
      <w:r>
        <w:rPr>
          <w:rtl/>
        </w:rPr>
        <w:t xml:space="preserve"> לא היו הליכות של רב כלל: הוא היה ראש ישיבה מלידה, לא רב.”</w:t>
      </w:r>
    </w:p>
    <w:p w14:paraId="2B70FBE9" w14:textId="77777777" w:rsidR="00AB3647" w:rsidRDefault="00000000" w:rsidP="007923E9">
      <w:pPr>
        <w:spacing w:after="120" w:line="276" w:lineRule="auto"/>
        <w:ind w:firstLine="283"/>
        <w:jc w:val="both"/>
      </w:pPr>
      <w:r>
        <w:rPr>
          <w:rtl/>
        </w:rPr>
        <w:t xml:space="preserve">“תנועת המוסר”, </w:t>
      </w:r>
      <w:proofErr w:type="spellStart"/>
      <w:r>
        <w:rPr>
          <w:rtl/>
        </w:rPr>
        <w:t>ח״ה</w:t>
      </w:r>
      <w:proofErr w:type="spellEnd"/>
      <w:r>
        <w:rPr>
          <w:rtl/>
        </w:rPr>
        <w:t xml:space="preserve">, מאת הרב דב </w:t>
      </w:r>
      <w:proofErr w:type="spellStart"/>
      <w:r>
        <w:rPr>
          <w:rtl/>
        </w:rPr>
        <w:t>כ״ץ</w:t>
      </w:r>
      <w:proofErr w:type="spellEnd"/>
      <w:r>
        <w:rPr>
          <w:rtl/>
        </w:rPr>
        <w:t>,</w:t>
      </w:r>
      <w:bookmarkStart w:id="2651" w:name="_fnr1791"/>
      <w:r>
        <w:rPr>
          <w:rStyle w:val="a5"/>
        </w:rPr>
        <w:footnoteReference w:id="1795" w:customMarkFollows="0"/>
      </w:r>
      <w:bookmarkEnd w:id="2651"/>
      <w:r>
        <w:rPr>
          <w:rtl/>
        </w:rPr>
        <w:t xml:space="preserve"> מביא בשם רבה האחרון של </w:t>
      </w:r>
      <w:proofErr w:type="spellStart"/>
      <w:r>
        <w:rPr>
          <w:rtl/>
        </w:rPr>
        <w:t>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שר׳ לייזר גורדון, בחסידותו הגדולה ובאהבתו לתורה,</w:t>
      </w:r>
      <w:bookmarkStart w:id="2652" w:name="_fnr1792"/>
      <w:r>
        <w:rPr>
          <w:rStyle w:val="a5"/>
        </w:rPr>
        <w:footnoteReference w:id="1796" w:customMarkFollows="0"/>
      </w:r>
      <w:bookmarkEnd w:id="2652"/>
      <w:r>
        <w:rPr>
          <w:rtl/>
        </w:rPr>
        <w:t xml:space="preserve"> ביקש להעמיד את ר׳ </w:t>
      </w:r>
      <w:proofErr w:type="spellStart"/>
      <w:r>
        <w:rPr>
          <w:rtl/>
        </w:rPr>
        <w:t>איצל׳ה</w:t>
      </w:r>
      <w:proofErr w:type="spellEnd"/>
      <w:r>
        <w:rPr>
          <w:rtl/>
        </w:rPr>
        <w:t xml:space="preserve"> </w:t>
      </w:r>
      <w:r>
        <w:rPr>
          <w:b/>
          <w:bCs/>
          <w:rtl/>
        </w:rPr>
        <w:t>במקומו שלו</w:t>
      </w:r>
      <w:r>
        <w:rPr>
          <w:rtl/>
        </w:rPr>
        <w:t xml:space="preserve"> כראש ישיבת </w:t>
      </w:r>
      <w:proofErr w:type="spellStart"/>
      <w:r>
        <w:rPr>
          <w:rtl/>
        </w:rPr>
        <w:t>טלז</w:t>
      </w:r>
      <w:proofErr w:type="spellEnd"/>
      <w:r>
        <w:rPr>
          <w:rtl/>
        </w:rPr>
        <w:t xml:space="preserve">. היה זה בעקבות עזיבתו של ר׳ שמעון </w:t>
      </w:r>
      <w:proofErr w:type="spellStart"/>
      <w:r>
        <w:rPr>
          <w:rtl/>
        </w:rPr>
        <w:t>שקופ</w:t>
      </w:r>
      <w:proofErr w:type="spellEnd"/>
      <w:r>
        <w:rPr>
          <w:rtl/>
        </w:rPr>
        <w:t xml:space="preserve"> את </w:t>
      </w:r>
      <w:proofErr w:type="spellStart"/>
      <w:r>
        <w:rPr>
          <w:rtl/>
        </w:rPr>
        <w:t>טלז</w:t>
      </w:r>
      <w:proofErr w:type="spellEnd"/>
      <w:r>
        <w:rPr>
          <w:rtl/>
        </w:rPr>
        <w:t xml:space="preserve"> בשנת תרס״ג.</w:t>
      </w:r>
      <w:bookmarkStart w:id="2653" w:name="_fnr1793"/>
      <w:r>
        <w:rPr>
          <w:rStyle w:val="a5"/>
        </w:rPr>
        <w:footnoteReference w:id="1797" w:customMarkFollows="0"/>
      </w:r>
      <w:bookmarkEnd w:id="2653"/>
      <w:r>
        <w:rPr>
          <w:rtl/>
        </w:rPr>
        <w:t xml:space="preserve"> </w:t>
      </w:r>
      <w:proofErr w:type="spellStart"/>
      <w:r>
        <w:rPr>
          <w:rtl/>
        </w:rPr>
        <w:t>ב“תורה</w:t>
      </w:r>
      <w:proofErr w:type="spellEnd"/>
      <w:r>
        <w:rPr>
          <w:rtl/>
        </w:rPr>
        <w:t xml:space="preserve"> יבקשו מפיהו”</w:t>
      </w:r>
      <w:bookmarkStart w:id="2654" w:name="_fnr1794"/>
      <w:r>
        <w:rPr>
          <w:rStyle w:val="a5"/>
        </w:rPr>
        <w:footnoteReference w:id="1798" w:customMarkFollows="0"/>
      </w:r>
      <w:bookmarkEnd w:id="2654"/>
      <w:r>
        <w:rPr>
          <w:rtl/>
        </w:rPr>
        <w:t xml:space="preserve"> מובאים דברי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תלמיד </w:t>
      </w:r>
      <w:proofErr w:type="spellStart"/>
      <w:r>
        <w:rPr>
          <w:rtl/>
        </w:rPr>
        <w:lastRenderedPageBreak/>
        <w:t>בטלז</w:t>
      </w:r>
      <w:proofErr w:type="spellEnd"/>
      <w:r>
        <w:rPr>
          <w:rtl/>
        </w:rPr>
        <w:t xml:space="preserve">, ולפיהם היו כל התלמידים בישיבה מוכנים לקבל את ר׳ </w:t>
      </w:r>
      <w:proofErr w:type="spellStart"/>
      <w:r>
        <w:rPr>
          <w:rtl/>
        </w:rPr>
        <w:t>איצל׳ה</w:t>
      </w:r>
      <w:proofErr w:type="spellEnd"/>
      <w:r>
        <w:rPr>
          <w:rtl/>
        </w:rPr>
        <w:t xml:space="preserve">. ואז הגיעה הידיעה שתושבי </w:t>
      </w:r>
      <w:proofErr w:type="spellStart"/>
      <w:r>
        <w:rPr>
          <w:rtl/>
        </w:rPr>
        <w:t>פוניבז</w:t>
      </w:r>
      <w:proofErr w:type="spellEnd"/>
      <w:r>
        <w:rPr>
          <w:rtl/>
        </w:rPr>
        <w:t xml:space="preserve">׳ מתנגדים לכך שהעיר </w:t>
      </w:r>
      <w:proofErr w:type="spellStart"/>
      <w:r>
        <w:rPr>
          <w:rtl/>
        </w:rPr>
        <w:t>טלז</w:t>
      </w:r>
      <w:proofErr w:type="spellEnd"/>
      <w:r>
        <w:rPr>
          <w:rtl/>
        </w:rPr>
        <w:t xml:space="preserve"> תיקח מהם את רבם, והוא נאלץ להישאר שם.</w:t>
      </w:r>
    </w:p>
    <w:p w14:paraId="287CE16D" w14:textId="77777777" w:rsidR="00AB3647" w:rsidRDefault="00000000" w:rsidP="007923E9">
      <w:pPr>
        <w:spacing w:after="120" w:line="276" w:lineRule="auto"/>
        <w:ind w:firstLine="283"/>
        <w:jc w:val="both"/>
      </w:pPr>
      <w:r>
        <w:rPr>
          <w:rtl/>
        </w:rPr>
        <w:t xml:space="preserve">כשהשתדל ר׳ לייזר גורדון להשיג את ר׳ </w:t>
      </w:r>
      <w:proofErr w:type="spellStart"/>
      <w:r>
        <w:rPr>
          <w:rtl/>
        </w:rPr>
        <w:t>איצל׳ה</w:t>
      </w:r>
      <w:proofErr w:type="spellEnd"/>
      <w:r>
        <w:rPr>
          <w:rtl/>
        </w:rPr>
        <w:t xml:space="preserve">, הכריז: “אילו יכולתי להשיג את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שיחליף אותי, הייתי ממנה אותו גם לרב </w:t>
      </w:r>
      <w:proofErr w:type="spellStart"/>
      <w:r>
        <w:rPr>
          <w:rtl/>
        </w:rPr>
        <w:t>טלז</w:t>
      </w:r>
      <w:proofErr w:type="spellEnd"/>
      <w:r>
        <w:rPr>
          <w:rtl/>
        </w:rPr>
        <w:t xml:space="preserve">; אבל לגבי ר׳ </w:t>
      </w:r>
      <w:proofErr w:type="spellStart"/>
      <w:r>
        <w:rPr>
          <w:rtl/>
        </w:rPr>
        <w:t>איצל׳ה</w:t>
      </w:r>
      <w:proofErr w:type="spellEnd"/>
      <w:r>
        <w:rPr>
          <w:rtl/>
        </w:rPr>
        <w:t xml:space="preserve">, אני מחשיב את עצמי רב טוב ממנו; לכן </w:t>
      </w:r>
      <w:proofErr w:type="spellStart"/>
      <w:r>
        <w:rPr>
          <w:rtl/>
        </w:rPr>
        <w:t>אשאר</w:t>
      </w:r>
      <w:proofErr w:type="spellEnd"/>
      <w:r>
        <w:rPr>
          <w:rtl/>
        </w:rPr>
        <w:t xml:space="preserve"> אני הרב, והוא יהיה ראש הישיבה בלבד.”</w:t>
      </w:r>
      <w:bookmarkStart w:id="2655" w:name="_fnr1795"/>
      <w:r>
        <w:rPr>
          <w:rStyle w:val="a5"/>
        </w:rPr>
        <w:footnoteReference w:id="1799" w:customMarkFollows="0"/>
      </w:r>
      <w:bookmarkEnd w:id="2655"/>
      <w:r>
        <w:rPr>
          <w:rtl/>
        </w:rPr>
        <w:t xml:space="preserve"> בכך ששקל למנות ראש ישיבה אחר במקומו, הוכיח ר׳ לייזר גורדון שהיה “רוקד משמחה” למראה ישיבה מלאה תורה כישיבת </w:t>
      </w:r>
      <w:proofErr w:type="spellStart"/>
      <w:r>
        <w:rPr>
          <w:rtl/>
        </w:rPr>
        <w:t>טלז</w:t>
      </w:r>
      <w:proofErr w:type="spellEnd"/>
      <w:r>
        <w:rPr>
          <w:rtl/>
        </w:rPr>
        <w:t xml:space="preserve">, אף אם </w:t>
      </w:r>
      <w:r>
        <w:rPr>
          <w:b/>
          <w:bCs/>
          <w:rtl/>
        </w:rPr>
        <w:t>לא</w:t>
      </w:r>
      <w:r>
        <w:rPr>
          <w:rtl/>
        </w:rPr>
        <w:t xml:space="preserve"> הוא עצמו עומד בראשה.</w:t>
      </w:r>
    </w:p>
    <w:p w14:paraId="59E0ECE3" w14:textId="61E5CC30" w:rsidR="00AB3647" w:rsidRDefault="00000000" w:rsidP="007923E9">
      <w:pPr>
        <w:spacing w:after="120" w:line="276" w:lineRule="auto"/>
        <w:ind w:firstLine="283"/>
        <w:jc w:val="both"/>
      </w:pPr>
      <w:r>
        <w:rPr>
          <w:rtl/>
        </w:rPr>
        <w:t xml:space="preserve">השווה פרק 4, תחילת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המביא את ר׳ ישראל </w:t>
      </w:r>
      <w:proofErr w:type="spellStart"/>
      <w:r>
        <w:rPr>
          <w:rtl/>
        </w:rPr>
        <w:t>סלנטר</w:t>
      </w:r>
      <w:proofErr w:type="spellEnd"/>
      <w:r>
        <w:rPr>
          <w:rtl/>
        </w:rPr>
        <w:t xml:space="preserve"> כמי שהעלה שאלה כזו. השווה גם </w:t>
      </w:r>
      <w:proofErr w:type="spellStart"/>
      <w:r>
        <w:rPr>
          <w:rtl/>
        </w:rPr>
        <w:t>רבינר</w:t>
      </w:r>
      <w:proofErr w:type="spellEnd"/>
      <w:r>
        <w:rPr>
          <w:rtl/>
        </w:rPr>
        <w:t>, “הגאון רבי אליעזר גורדון”,</w:t>
      </w:r>
      <w:bookmarkStart w:id="2656" w:name="_fnr1796"/>
      <w:r>
        <w:rPr>
          <w:rStyle w:val="a5"/>
        </w:rPr>
        <w:footnoteReference w:id="1800" w:customMarkFollows="0"/>
      </w:r>
      <w:bookmarkEnd w:id="2656"/>
      <w:r>
        <w:rPr>
          <w:rtl/>
        </w:rPr>
        <w:t xml:space="preserve"> שר׳ </w:t>
      </w:r>
      <w:proofErr w:type="spellStart"/>
      <w:r>
        <w:rPr>
          <w:rtl/>
        </w:rPr>
        <w:t>מאיר־שמחה</w:t>
      </w:r>
      <w:proofErr w:type="spellEnd"/>
      <w:r>
        <w:rPr>
          <w:rtl/>
        </w:rPr>
        <w:t xml:space="preserve"> לא הסכים לרעיונו של ר׳ לייזר גורדון להעמיד אחר במקומו בראש הישיבה, מפני הכלל ההלכתי ששומר אינו רשאי למסור את שמירתו לשומר אחר.</w:t>
      </w:r>
    </w:p>
    <w:p w14:paraId="24EC9596" w14:textId="77777777" w:rsidR="00AB3647" w:rsidRDefault="00000000" w:rsidP="007923E9">
      <w:pPr>
        <w:spacing w:after="120" w:line="276" w:lineRule="auto"/>
        <w:ind w:firstLine="283"/>
        <w:jc w:val="both"/>
      </w:pPr>
      <w:r>
        <w:rPr>
          <w:rtl/>
        </w:rPr>
        <w:t xml:space="preserve">לפי </w:t>
      </w:r>
      <w:proofErr w:type="spellStart"/>
      <w:r>
        <w:rPr>
          <w:rtl/>
        </w:rPr>
        <w:t>רבינר</w:t>
      </w:r>
      <w:proofErr w:type="spellEnd"/>
      <w:r>
        <w:rPr>
          <w:rtl/>
        </w:rPr>
        <w:t>, “הגאון רבי אליעזר גורדון”</w:t>
      </w:r>
      <w:bookmarkStart w:id="2657" w:name="_fnr1797"/>
      <w:r>
        <w:rPr>
          <w:rStyle w:val="a5"/>
        </w:rPr>
        <w:footnoteReference w:id="1801" w:customMarkFollows="0"/>
      </w:r>
      <w:bookmarkEnd w:id="2657"/>
      <w:r>
        <w:rPr>
          <w:rtl/>
        </w:rPr>
        <w:t xml:space="preserve"> </w:t>
      </w:r>
      <w:proofErr w:type="spellStart"/>
      <w:r>
        <w:rPr>
          <w:rtl/>
        </w:rPr>
        <w:t>ו“ר</w:t>
      </w:r>
      <w:proofErr w:type="spellEnd"/>
      <w:r>
        <w:rPr>
          <w:rtl/>
        </w:rPr>
        <w:t>׳ ברוך בער”,</w:t>
      </w:r>
      <w:bookmarkStart w:id="2658" w:name="_fnr1798"/>
      <w:r>
        <w:rPr>
          <w:rStyle w:val="a5"/>
        </w:rPr>
        <w:footnoteReference w:id="1802" w:customMarkFollows="0"/>
      </w:r>
      <w:bookmarkEnd w:id="2658"/>
      <w:r>
        <w:rPr>
          <w:rtl/>
        </w:rPr>
        <w:t xml:space="preserve"> ביקש ר׳ לייזר גורדון לחזק את סגל ישיבתו אחרי התפטרותו של ר׳ שמעון </w:t>
      </w:r>
      <w:proofErr w:type="spellStart"/>
      <w:r>
        <w:rPr>
          <w:rtl/>
        </w:rPr>
        <w:t>שקופ</w:t>
      </w:r>
      <w:proofErr w:type="spellEnd"/>
      <w:r>
        <w:rPr>
          <w:rtl/>
        </w:rPr>
        <w:t xml:space="preserve">, והציע משרת הוראה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שהיה אז </w:t>
      </w:r>
      <w:proofErr w:type="spellStart"/>
      <w:r>
        <w:rPr>
          <w:rtl/>
        </w:rPr>
        <w:t>בהלוסק</w:t>
      </w:r>
      <w:proofErr w:type="spellEnd"/>
      <w:r>
        <w:rPr>
          <w:rtl/>
        </w:rPr>
        <w:t xml:space="preserve">. ר׳ </w:t>
      </w:r>
      <w:proofErr w:type="spellStart"/>
      <w:r>
        <w:rPr>
          <w:rtl/>
        </w:rPr>
        <w:t>ברוך־בער</w:t>
      </w:r>
      <w:proofErr w:type="spellEnd"/>
      <w:r>
        <w:rPr>
          <w:rtl/>
        </w:rPr>
        <w:t xml:space="preserve"> שהה שבועיים </w:t>
      </w:r>
      <w:proofErr w:type="spellStart"/>
      <w:r>
        <w:rPr>
          <w:rtl/>
        </w:rPr>
        <w:t>בטלז</w:t>
      </w:r>
      <w:proofErr w:type="spellEnd"/>
      <w:r>
        <w:rPr>
          <w:rtl/>
        </w:rPr>
        <w:t xml:space="preserve">, ור׳ לייזר החליט לקבלו. במסיבה שנערכה לכבוד המאורע בירך אותו ר׳ לייזר במזל טוב על מינויו, ואז הודיע ר׳ </w:t>
      </w:r>
      <w:proofErr w:type="spellStart"/>
      <w:r>
        <w:rPr>
          <w:rtl/>
        </w:rPr>
        <w:t>ברוך־בער</w:t>
      </w:r>
      <w:proofErr w:type="spellEnd"/>
      <w:r>
        <w:rPr>
          <w:rtl/>
        </w:rPr>
        <w:t xml:space="preserve"> לפתע שאינו יכול להחליט סופית בלי להתייעץ עם רבו ר׳ חיים </w:t>
      </w:r>
      <w:proofErr w:type="spellStart"/>
      <w:r>
        <w:rPr>
          <w:rtl/>
        </w:rPr>
        <w:t>סולובייצ׳יק</w:t>
      </w:r>
      <w:proofErr w:type="spellEnd"/>
      <w:r>
        <w:rPr>
          <w:rtl/>
        </w:rPr>
        <w:t>.</w:t>
      </w:r>
      <w:bookmarkStart w:id="2659" w:name="_fnr1799"/>
      <w:r>
        <w:rPr>
          <w:rStyle w:val="a5"/>
        </w:rPr>
        <w:footnoteReference w:id="1803" w:customMarkFollows="0"/>
      </w:r>
      <w:bookmarkEnd w:id="2659"/>
    </w:p>
    <w:p w14:paraId="23335C28"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2660" w:name="_fnr1800"/>
      <w:r>
        <w:rPr>
          <w:rStyle w:val="a5"/>
        </w:rPr>
        <w:footnoteReference w:id="1804" w:customMarkFollows="0"/>
      </w:r>
      <w:bookmarkEnd w:id="2660"/>
      <w:r>
        <w:rPr>
          <w:rtl/>
        </w:rPr>
        <w:t xml:space="preserve">, שבנו של ר׳ </w:t>
      </w:r>
      <w:proofErr w:type="spellStart"/>
      <w:r>
        <w:rPr>
          <w:rtl/>
        </w:rPr>
        <w:t>ברוך־בער</w:t>
      </w:r>
      <w:proofErr w:type="spellEnd"/>
      <w:r>
        <w:rPr>
          <w:rtl/>
        </w:rPr>
        <w:t xml:space="preserve">, ר׳ </w:t>
      </w:r>
      <w:proofErr w:type="spellStart"/>
      <w:r>
        <w:rPr>
          <w:rtl/>
        </w:rPr>
        <w:t>חיים־שלמה</w:t>
      </w:r>
      <w:proofErr w:type="spellEnd"/>
      <w:r>
        <w:rPr>
          <w:rtl/>
        </w:rPr>
        <w:t xml:space="preserve"> </w:t>
      </w:r>
      <w:proofErr w:type="spellStart"/>
      <w:r>
        <w:rPr>
          <w:rtl/>
        </w:rPr>
        <w:t>ליבוביץ</w:t>
      </w:r>
      <w:proofErr w:type="spellEnd"/>
      <w:r>
        <w:rPr>
          <w:rtl/>
        </w:rPr>
        <w:t xml:space="preserve">, סיפר שגם לפני שהתחיל אביו לומר שיעורים לתלמידים </w:t>
      </w:r>
      <w:proofErr w:type="spellStart"/>
      <w:r>
        <w:rPr>
          <w:rtl/>
        </w:rPr>
        <w:t>בהלוסק</w:t>
      </w:r>
      <w:proofErr w:type="spellEnd"/>
      <w:r>
        <w:rPr>
          <w:rtl/>
        </w:rPr>
        <w:t xml:space="preserve"> ביקש את הסכמתו של ר׳ חיים.</w:t>
      </w:r>
      <w:bookmarkStart w:id="2661" w:name="_fnr1801"/>
      <w:r>
        <w:rPr>
          <w:rStyle w:val="a5"/>
        </w:rPr>
        <w:footnoteReference w:id="1805" w:customMarkFollows="0"/>
      </w:r>
      <w:bookmarkEnd w:id="2661"/>
      <w:r>
        <w:rPr>
          <w:rtl/>
        </w:rPr>
        <w:t xml:space="preserve"> השווה גם “ר׳ ברוך בער”</w:t>
      </w:r>
      <w:bookmarkStart w:id="2662" w:name="_fnr1802"/>
      <w:r>
        <w:rPr>
          <w:rStyle w:val="a5"/>
        </w:rPr>
        <w:footnoteReference w:id="1806" w:customMarkFollows="0"/>
      </w:r>
      <w:bookmarkEnd w:id="2662"/>
      <w:r>
        <w:rPr>
          <w:rtl/>
        </w:rPr>
        <w:t xml:space="preserve">, שאביו של ר׳ </w:t>
      </w:r>
      <w:proofErr w:type="spellStart"/>
      <w:r>
        <w:rPr>
          <w:rtl/>
        </w:rPr>
        <w:t>ברוך־בער</w:t>
      </w:r>
      <w:proofErr w:type="spellEnd"/>
      <w:r>
        <w:rPr>
          <w:rtl/>
        </w:rPr>
        <w:t xml:space="preserve">, ר׳ </w:t>
      </w:r>
      <w:proofErr w:type="spellStart"/>
      <w:r>
        <w:rPr>
          <w:rtl/>
        </w:rPr>
        <w:t>שמואל־דוד</w:t>
      </w:r>
      <w:proofErr w:type="spellEnd"/>
      <w:r>
        <w:rPr>
          <w:rtl/>
        </w:rPr>
        <w:t xml:space="preserve"> </w:t>
      </w:r>
      <w:proofErr w:type="spellStart"/>
      <w:r>
        <w:rPr>
          <w:rtl/>
        </w:rPr>
        <w:t>ליבוביץ</w:t>
      </w:r>
      <w:proofErr w:type="spellEnd"/>
      <w:r>
        <w:rPr>
          <w:rtl/>
        </w:rPr>
        <w:t xml:space="preserve"> – </w:t>
      </w:r>
      <w:r>
        <w:rPr>
          <w:rtl/>
        </w:rPr>
        <w:lastRenderedPageBreak/>
        <w:t>אשר</w:t>
      </w:r>
      <w:bookmarkStart w:id="2663" w:name="_fnr1803"/>
      <w:r>
        <w:rPr>
          <w:rStyle w:val="a5"/>
        </w:rPr>
        <w:footnoteReference w:id="1807" w:customMarkFollows="0"/>
      </w:r>
      <w:bookmarkEnd w:id="2663"/>
      <w:r>
        <w:rPr>
          <w:rtl/>
        </w:rPr>
        <w:t xml:space="preserve"> בנו כיבדו כבוד יוצא דופן כל כך, עד שיחסם נעשה בדורו לדוגמה של כיבוד אב</w:t>
      </w:r>
      <w:bookmarkStart w:id="2664" w:name="_fnr1804"/>
      <w:r>
        <w:rPr>
          <w:rStyle w:val="a5"/>
        </w:rPr>
        <w:footnoteReference w:id="1808" w:customMarkFollows="0"/>
      </w:r>
      <w:bookmarkEnd w:id="2664"/>
      <w:r>
        <w:rPr>
          <w:rtl/>
        </w:rPr>
        <w:t xml:space="preserve"> – היה “שבור לב” </w:t>
      </w:r>
      <w:proofErr w:type="spellStart"/>
      <w:r>
        <w:rPr>
          <w:rtl/>
        </w:rPr>
        <w:t>ו“ביקר</w:t>
      </w:r>
      <w:proofErr w:type="spellEnd"/>
      <w:r>
        <w:rPr>
          <w:rtl/>
        </w:rPr>
        <w:t xml:space="preserve"> אותו בחריפות” על שלא קיבל את המינוי </w:t>
      </w:r>
      <w:proofErr w:type="spellStart"/>
      <w:r>
        <w:rPr>
          <w:rtl/>
        </w:rPr>
        <w:t>בטלז</w:t>
      </w:r>
      <w:proofErr w:type="spellEnd"/>
      <w:r>
        <w:rPr>
          <w:rtl/>
        </w:rPr>
        <w:t>.</w:t>
      </w:r>
      <w:bookmarkStart w:id="2665" w:name="_fnr1805"/>
      <w:r>
        <w:rPr>
          <w:rStyle w:val="a5"/>
        </w:rPr>
        <w:footnoteReference w:id="1809" w:customMarkFollows="0"/>
      </w:r>
      <w:bookmarkEnd w:id="2665"/>
      <w:r>
        <w:rPr>
          <w:rtl/>
        </w:rPr>
        <w:t xml:space="preserve"> לבסוף הובא לישיבת </w:t>
      </w:r>
      <w:proofErr w:type="spellStart"/>
      <w:r>
        <w:rPr>
          <w:rtl/>
        </w:rPr>
        <w:t>טלז</w:t>
      </w:r>
      <w:proofErr w:type="spellEnd"/>
      <w:r>
        <w:rPr>
          <w:rtl/>
        </w:rPr>
        <w:t xml:space="preserve"> ר׳ חיים </w:t>
      </w:r>
      <w:proofErr w:type="spellStart"/>
      <w:r>
        <w:rPr>
          <w:rtl/>
        </w:rPr>
        <w:t>רבינוביץ</w:t>
      </w:r>
      <w:proofErr w:type="spellEnd"/>
      <w:r>
        <w:rPr>
          <w:rtl/>
        </w:rPr>
        <w:t xml:space="preserve"> מכנסת בית יצחק </w:t>
      </w:r>
      <w:proofErr w:type="spellStart"/>
      <w:r>
        <w:rPr>
          <w:rtl/>
        </w:rPr>
        <w:t>שבסלבודקה</w:t>
      </w:r>
      <w:proofErr w:type="spellEnd"/>
      <w:r>
        <w:rPr>
          <w:rtl/>
        </w:rPr>
        <w:t xml:space="preserve">, ור׳ </w:t>
      </w:r>
      <w:proofErr w:type="spellStart"/>
      <w:r>
        <w:rPr>
          <w:rtl/>
        </w:rPr>
        <w:t>ברוך־בער</w:t>
      </w:r>
      <w:proofErr w:type="spellEnd"/>
      <w:r>
        <w:rPr>
          <w:rtl/>
        </w:rPr>
        <w:t xml:space="preserve"> החליף אותו שם.</w:t>
      </w:r>
      <w:bookmarkStart w:id="2666" w:name="_fnr1806"/>
      <w:r>
        <w:rPr>
          <w:rStyle w:val="a5"/>
        </w:rPr>
        <w:footnoteReference w:id="1810" w:customMarkFollows="0"/>
      </w:r>
      <w:bookmarkEnd w:id="2666"/>
    </w:p>
    <w:p w14:paraId="04633B02" w14:textId="77777777" w:rsidR="00AB3647" w:rsidRDefault="00000000" w:rsidP="007923E9">
      <w:pPr>
        <w:spacing w:after="120" w:line="276" w:lineRule="auto"/>
        <w:ind w:firstLine="283"/>
        <w:jc w:val="both"/>
      </w:pPr>
      <w:r>
        <w:rPr>
          <w:rtl/>
        </w:rPr>
        <w:t xml:space="preserve">על דבקותו של ר׳ </w:t>
      </w:r>
      <w:proofErr w:type="spellStart"/>
      <w:r>
        <w:rPr>
          <w:rtl/>
        </w:rPr>
        <w:t>ברוך־בער</w:t>
      </w:r>
      <w:proofErr w:type="spellEnd"/>
      <w:r>
        <w:rPr>
          <w:rtl/>
        </w:rPr>
        <w:t xml:space="preserve"> באביו מספר “ר׳ ברוך בער”:</w:t>
      </w:r>
      <w:bookmarkStart w:id="2667" w:name="_fnr1807"/>
      <w:r>
        <w:rPr>
          <w:rStyle w:val="a5"/>
        </w:rPr>
        <w:footnoteReference w:id="1811" w:customMarkFollows="0"/>
      </w:r>
      <w:bookmarkEnd w:id="2667"/>
      <w:r>
        <w:rPr>
          <w:rtl/>
        </w:rPr>
        <w:t xml:space="preserve"> כשמת האב היה הבן קרוב להתמוטטות עצבים, מפני שחשש שלא טיפל באביו כראוי – אף שבילה ימים ולילות שלמים ליד מיטתו. </w:t>
      </w:r>
      <w:proofErr w:type="spellStart"/>
      <w:r>
        <w:rPr>
          <w:rtl/>
        </w:rPr>
        <w:t>החפץ־חיים</w:t>
      </w:r>
      <w:proofErr w:type="spellEnd"/>
      <w:r>
        <w:rPr>
          <w:rtl/>
        </w:rPr>
        <w:t xml:space="preserve"> החזירו לדעתו, והפגין בכך את </w:t>
      </w:r>
      <w:proofErr w:type="spellStart"/>
      <w:r>
        <w:rPr>
          <w:rtl/>
        </w:rPr>
        <w:t>חכמתו</w:t>
      </w:r>
      <w:proofErr w:type="spellEnd"/>
      <w:r>
        <w:rPr>
          <w:rtl/>
        </w:rPr>
        <w:t xml:space="preserve"> העליונה: הוא לא ניסה לשכנע את ר׳ </w:t>
      </w:r>
      <w:proofErr w:type="spellStart"/>
      <w:r>
        <w:rPr>
          <w:rtl/>
        </w:rPr>
        <w:t>ברוך־בער</w:t>
      </w:r>
      <w:proofErr w:type="spellEnd"/>
      <w:r>
        <w:rPr>
          <w:rtl/>
        </w:rPr>
        <w:t xml:space="preserve"> ש</w:t>
      </w:r>
      <w:r>
        <w:rPr>
          <w:b/>
          <w:bCs/>
          <w:rtl/>
        </w:rPr>
        <w:t>עשה</w:t>
      </w:r>
      <w:r>
        <w:rPr>
          <w:rtl/>
        </w:rPr>
        <w:t xml:space="preserve"> כמיטב יכולתו, אלא דרש לפניו על כוחה של התשובה – על חטאו לכאורה! הוא אמר </w:t>
      </w:r>
      <w:proofErr w:type="spellStart"/>
      <w:r>
        <w:rPr>
          <w:rtl/>
        </w:rPr>
        <w:t>לר</w:t>
      </w:r>
      <w:proofErr w:type="spellEnd"/>
      <w:r>
        <w:rPr>
          <w:rtl/>
        </w:rPr>
        <w:t xml:space="preserve">׳ </w:t>
      </w:r>
      <w:proofErr w:type="spellStart"/>
      <w:r>
        <w:rPr>
          <w:rtl/>
        </w:rPr>
        <w:t>ברוך־בער</w:t>
      </w:r>
      <w:proofErr w:type="spellEnd"/>
      <w:r>
        <w:rPr>
          <w:rtl/>
        </w:rPr>
        <w:t xml:space="preserve"> שעל ידי התשובה יברא מעצמו “אדם חדש (שאין בו חטא)”.</w:t>
      </w:r>
      <w:bookmarkStart w:id="2668" w:name="_fnr1808"/>
      <w:r>
        <w:rPr>
          <w:rStyle w:val="a5"/>
        </w:rPr>
        <w:footnoteReference w:id="1812" w:customMarkFollows="0"/>
      </w:r>
      <w:bookmarkEnd w:id="2668"/>
      <w:r>
        <w:rPr>
          <w:rtl/>
        </w:rPr>
        <w:t xml:space="preserve"> ר׳ </w:t>
      </w:r>
      <w:proofErr w:type="spellStart"/>
      <w:r>
        <w:rPr>
          <w:rtl/>
        </w:rPr>
        <w:t>ברוך־בער</w:t>
      </w:r>
      <w:proofErr w:type="spellEnd"/>
      <w:r>
        <w:rPr>
          <w:rtl/>
        </w:rPr>
        <w:t xml:space="preserve"> כיבד את אביו אחרי מותו בכך שקרא על שמו את הספר שחיבר – “ברכת שמואל”, כלומר: ברוך(־בער) של שמואל(־דוד).</w:t>
      </w:r>
    </w:p>
    <w:p w14:paraId="6DDB7259" w14:textId="77777777" w:rsidR="00AB3647" w:rsidRDefault="00000000" w:rsidP="007923E9">
      <w:pPr>
        <w:spacing w:after="120" w:line="276" w:lineRule="auto"/>
        <w:ind w:firstLine="283"/>
        <w:jc w:val="both"/>
      </w:pPr>
      <w:r>
        <w:rPr>
          <w:rtl/>
        </w:rPr>
        <w:t xml:space="preserve">על פיקחותו של </w:t>
      </w:r>
      <w:proofErr w:type="spellStart"/>
      <w:r>
        <w:rPr>
          <w:rtl/>
        </w:rPr>
        <w:t>החפץ־חיים</w:t>
      </w:r>
      <w:proofErr w:type="spellEnd"/>
      <w:r>
        <w:rPr>
          <w:rtl/>
        </w:rPr>
        <w:t xml:space="preserve"> השווה </w:t>
      </w:r>
      <w:proofErr w:type="spellStart"/>
      <w:r>
        <w:rPr>
          <w:rtl/>
        </w:rPr>
        <w:t>כבה״ת</w:t>
      </w:r>
      <w:proofErr w:type="spellEnd"/>
      <w:r>
        <w:rPr>
          <w:rtl/>
        </w:rPr>
        <w:t>,</w:t>
      </w:r>
      <w:bookmarkStart w:id="2669" w:name="_fnr1809"/>
      <w:r>
        <w:rPr>
          <w:rStyle w:val="a5"/>
        </w:rPr>
        <w:footnoteReference w:id="1813" w:customMarkFollows="0"/>
      </w:r>
      <w:bookmarkEnd w:id="2669"/>
      <w:r>
        <w:rPr>
          <w:rtl/>
        </w:rPr>
        <w:t xml:space="preserve"> שבו מסכם בנו שאביו לא היה “א </w:t>
      </w:r>
      <w:proofErr w:type="spellStart"/>
      <w:r>
        <w:rPr>
          <w:rtl/>
        </w:rPr>
        <w:t>שלימעזאלניק</w:t>
      </w:r>
      <w:proofErr w:type="spellEnd"/>
      <w:r>
        <w:rPr>
          <w:rtl/>
        </w:rPr>
        <w:t xml:space="preserve"> [ביש מזל, “לוזר”] כדרך רבים מן היראים והחרדים, [אלא] הבין את כל תחבולות בני האדם – אף שלא התלכלך בהן, וכל ימיו הייתה דרכו מכוונת כלפי ה׳”. השווה גם “מאיר עיני ישראל”,</w:t>
      </w:r>
      <w:bookmarkStart w:id="2670" w:name="_fnr1810"/>
      <w:r>
        <w:rPr>
          <w:rStyle w:val="a5"/>
        </w:rPr>
        <w:footnoteReference w:id="1814" w:customMarkFollows="0"/>
      </w:r>
      <w:bookmarkEnd w:id="2670"/>
      <w:r>
        <w:rPr>
          <w:rtl/>
        </w:rPr>
        <w:t xml:space="preserve"> שבו מובא מאמר של בנו הצעיר של </w:t>
      </w:r>
      <w:proofErr w:type="spellStart"/>
      <w:r>
        <w:rPr>
          <w:rtl/>
        </w:rPr>
        <w:t>החפץ־חיים</w:t>
      </w:r>
      <w:proofErr w:type="spellEnd"/>
      <w:r>
        <w:rPr>
          <w:rtl/>
        </w:rPr>
        <w:t xml:space="preserve">, ר׳ אהרן </w:t>
      </w:r>
      <w:proofErr w:type="spellStart"/>
      <w:r>
        <w:rPr>
          <w:rtl/>
        </w:rPr>
        <w:t>קגן</w:t>
      </w:r>
      <w:proofErr w:type="spellEnd"/>
      <w:r>
        <w:rPr>
          <w:rtl/>
        </w:rPr>
        <w:t xml:space="preserve"> (נולד בשנת תר״ע), ולפיו “הפסיכיאטר הווינאי </w:t>
      </w:r>
      <w:proofErr w:type="spellStart"/>
      <w:r>
        <w:rPr>
          <w:rtl/>
        </w:rPr>
        <w:t>רוגט</w:t>
      </w:r>
      <w:proofErr w:type="spellEnd"/>
      <w:r>
        <w:rPr>
          <w:rtl/>
        </w:rPr>
        <w:t>, ששימש באוניברסיטת וילנה שמונה שנים</w:t>
      </w:r>
      <w:bookmarkStart w:id="2671" w:name="_fnr1811"/>
      <w:r>
        <w:rPr>
          <w:rStyle w:val="a5"/>
        </w:rPr>
        <w:footnoteReference w:id="1815" w:customMarkFollows="0"/>
      </w:r>
      <w:bookmarkEnd w:id="2671"/>
      <w:r>
        <w:rPr>
          <w:rtl/>
        </w:rPr>
        <w:t xml:space="preserve"> ופגש את </w:t>
      </w:r>
      <w:proofErr w:type="spellStart"/>
      <w:r>
        <w:rPr>
          <w:rtl/>
        </w:rPr>
        <w:t>החפץ־חיים</w:t>
      </w:r>
      <w:proofErr w:type="spellEnd"/>
      <w:r>
        <w:rPr>
          <w:rtl/>
        </w:rPr>
        <w:t xml:space="preserve"> פעמים רבות מאוד”, כינה אותו “מכונה פסיכולוגית ענקית”. השווה גם “שמושה של תורה” על הדרך שבה תיאר ר׳ </w:t>
      </w:r>
      <w:proofErr w:type="spellStart"/>
      <w:r>
        <w:rPr>
          <w:rtl/>
        </w:rPr>
        <w:t>אלעזר־מנחם־מן</w:t>
      </w:r>
      <w:proofErr w:type="spellEnd"/>
      <w:r>
        <w:rPr>
          <w:rtl/>
        </w:rPr>
        <w:t xml:space="preserve"> שך את </w:t>
      </w:r>
      <w:proofErr w:type="spellStart"/>
      <w:r>
        <w:rPr>
          <w:rtl/>
        </w:rPr>
        <w:t>החפץ־חיים</w:t>
      </w:r>
      <w:proofErr w:type="spellEnd"/>
      <w:r>
        <w:rPr>
          <w:rtl/>
        </w:rPr>
        <w:t xml:space="preserve">: כפקח </w:t>
      </w:r>
      <w:r>
        <w:rPr>
          <w:rtl/>
        </w:rPr>
        <w:lastRenderedPageBreak/>
        <w:t>שבפקחים;</w:t>
      </w:r>
      <w:bookmarkStart w:id="2672" w:name="_fnr1812"/>
      <w:r>
        <w:rPr>
          <w:rStyle w:val="a5"/>
        </w:rPr>
        <w:footnoteReference w:id="1816" w:customMarkFollows="0"/>
      </w:r>
      <w:bookmarkEnd w:id="2672"/>
      <w:r>
        <w:rPr>
          <w:rtl/>
        </w:rPr>
        <w:t xml:space="preserve"> כמי </w:t>
      </w:r>
      <w:proofErr w:type="spellStart"/>
      <w:r>
        <w:rPr>
          <w:rtl/>
        </w:rPr>
        <w:t>ש“לא</w:t>
      </w:r>
      <w:proofErr w:type="spellEnd"/>
      <w:r>
        <w:rPr>
          <w:rtl/>
        </w:rPr>
        <w:t xml:space="preserve"> הכיר אותו ‘העולם’ בפיקחותו הגדולה – הוא היה יכול להכניס כל אחד לכיסו האחורי בפיקחותו”;</w:t>
      </w:r>
      <w:bookmarkStart w:id="2673" w:name="_fnr1813"/>
      <w:r>
        <w:rPr>
          <w:rStyle w:val="a5"/>
        </w:rPr>
        <w:footnoteReference w:id="1817" w:customMarkFollows="0"/>
      </w:r>
      <w:bookmarkEnd w:id="2673"/>
      <w:r>
        <w:rPr>
          <w:rtl/>
        </w:rPr>
        <w:t xml:space="preserve"> וכמי שידע לחזות את תגובותיהם של בני אדם טוב יותר מר׳ </w:t>
      </w:r>
      <w:proofErr w:type="spellStart"/>
      <w:r>
        <w:rPr>
          <w:rtl/>
        </w:rPr>
        <w:t>חיים־עוזר</w:t>
      </w:r>
      <w:proofErr w:type="spellEnd"/>
      <w:r>
        <w:rPr>
          <w:rtl/>
        </w:rPr>
        <w:t>.</w:t>
      </w:r>
      <w:bookmarkStart w:id="2674" w:name="_fnr1814"/>
      <w:r>
        <w:rPr>
          <w:rStyle w:val="a5"/>
        </w:rPr>
        <w:footnoteReference w:id="1818" w:customMarkFollows="0"/>
      </w:r>
      <w:bookmarkEnd w:id="2674"/>
    </w:p>
    <w:p w14:paraId="16BEAA22" w14:textId="77777777" w:rsidR="00AB3647" w:rsidRDefault="00000000" w:rsidP="007923E9">
      <w:pPr>
        <w:spacing w:after="120" w:line="276" w:lineRule="auto"/>
        <w:ind w:firstLine="283"/>
        <w:jc w:val="both"/>
      </w:pPr>
      <w:r>
        <w:rPr>
          <w:rtl/>
        </w:rPr>
        <w:t xml:space="preserve">עוד מובא </w:t>
      </w:r>
      <w:proofErr w:type="spellStart"/>
      <w:r>
        <w:rPr>
          <w:rtl/>
        </w:rPr>
        <w:t>ב“שמושה</w:t>
      </w:r>
      <w:proofErr w:type="spellEnd"/>
      <w:r>
        <w:rPr>
          <w:rtl/>
        </w:rPr>
        <w:t xml:space="preserve"> של תורה”</w:t>
      </w:r>
      <w:bookmarkStart w:id="2675" w:name="_fnr1815"/>
      <w:r>
        <w:rPr>
          <w:rStyle w:val="a5"/>
        </w:rPr>
        <w:footnoteReference w:id="1819" w:customMarkFollows="0"/>
      </w:r>
      <w:bookmarkEnd w:id="2675"/>
      <w:r>
        <w:rPr>
          <w:rtl/>
        </w:rPr>
        <w:t xml:space="preserve"> שר׳ </w:t>
      </w:r>
      <w:proofErr w:type="spellStart"/>
      <w:r>
        <w:rPr>
          <w:rtl/>
        </w:rPr>
        <w:t>איסר־זלמן</w:t>
      </w:r>
      <w:proofErr w:type="spellEnd"/>
      <w:r>
        <w:rPr>
          <w:rtl/>
        </w:rPr>
        <w:t xml:space="preserve"> מלצר סיפר </w:t>
      </w:r>
      <w:proofErr w:type="spellStart"/>
      <w:r>
        <w:rPr>
          <w:rtl/>
        </w:rPr>
        <w:t>שהחפץ־חיים</w:t>
      </w:r>
      <w:proofErr w:type="spellEnd"/>
      <w:r>
        <w:rPr>
          <w:rtl/>
        </w:rPr>
        <w:t xml:space="preserve"> שקל לחבר פירוש על התלמוד הירושלמי לפני שהוציא לאור את “משנה ברורה” שלו, אבל חזר בו ואמר: “מי שיוציא לאור פירוש כזה יצטרך בהכרח להדפיסו עם נוסח הירושלמי, ומי שיעשה זאת – ירד מנכסיו”. נבואה זו נתקיימה עשרים שנה לאחר מכן, בשנת תרס״ג: ר׳ </w:t>
      </w:r>
      <w:proofErr w:type="spellStart"/>
      <w:r>
        <w:rPr>
          <w:rtl/>
        </w:rPr>
        <w:t>יענקל־דוד</w:t>
      </w:r>
      <w:proofErr w:type="spellEnd"/>
      <w:r>
        <w:rPr>
          <w:rtl/>
        </w:rPr>
        <w:t xml:space="preserve"> </w:t>
      </w:r>
      <w:proofErr w:type="spellStart"/>
      <w:r>
        <w:rPr>
          <w:rtl/>
        </w:rPr>
        <w:t>ווילובסקי</w:t>
      </w:r>
      <w:proofErr w:type="spellEnd"/>
      <w:r>
        <w:rPr>
          <w:rtl/>
        </w:rPr>
        <w:t xml:space="preserve">, </w:t>
      </w:r>
      <w:proofErr w:type="spellStart"/>
      <w:r>
        <w:rPr>
          <w:rtl/>
        </w:rPr>
        <w:t>הרידב״ז</w:t>
      </w:r>
      <w:proofErr w:type="spellEnd"/>
      <w:r>
        <w:rPr>
          <w:rtl/>
        </w:rPr>
        <w:t>, שהוציא לאור את פירושו יחד עם נוסח התלמוד הירושלמי, ירד מנכסיו ונאלץ לברוח מרוסיה לאמריקה ומשם לארץ ישראל. “החפץ חיים (ישר)”,</w:t>
      </w:r>
      <w:bookmarkStart w:id="2676" w:name="_fnr1816"/>
      <w:r>
        <w:rPr>
          <w:rStyle w:val="a5"/>
        </w:rPr>
        <w:footnoteReference w:id="1820" w:customMarkFollows="0"/>
      </w:r>
      <w:bookmarkEnd w:id="2676"/>
      <w:r>
        <w:rPr>
          <w:rtl/>
        </w:rPr>
        <w:t xml:space="preserve"> לעומת זאת, טוען בשם ר׳ </w:t>
      </w:r>
      <w:proofErr w:type="spellStart"/>
      <w:r>
        <w:rPr>
          <w:rtl/>
        </w:rPr>
        <w:t>דוד־טעביל</w:t>
      </w:r>
      <w:proofErr w:type="spellEnd"/>
      <w:r>
        <w:rPr>
          <w:rtl/>
        </w:rPr>
        <w:t xml:space="preserve"> </w:t>
      </w:r>
      <w:proofErr w:type="spellStart"/>
      <w:r>
        <w:rPr>
          <w:rtl/>
        </w:rPr>
        <w:t>דינובסקי</w:t>
      </w:r>
      <w:proofErr w:type="spellEnd"/>
      <w:r>
        <w:rPr>
          <w:rtl/>
        </w:rPr>
        <w:t xml:space="preserve"> </w:t>
      </w:r>
      <w:proofErr w:type="spellStart"/>
      <w:r>
        <w:rPr>
          <w:rtl/>
        </w:rPr>
        <w:t>שהחפץ־חיים</w:t>
      </w:r>
      <w:proofErr w:type="spellEnd"/>
      <w:r>
        <w:rPr>
          <w:rtl/>
        </w:rPr>
        <w:t xml:space="preserve"> אמר: “טרדות עניינים אחרים מנעו ממני לעת עתה לחבר פירוש על התלמוד הירושלמי.”</w:t>
      </w:r>
    </w:p>
    <w:p w14:paraId="2B91A01D" w14:textId="47D732D1" w:rsidR="00AB3647" w:rsidRDefault="00000000" w:rsidP="007923E9">
      <w:pPr>
        <w:spacing w:after="120" w:line="276" w:lineRule="auto"/>
        <w:ind w:firstLine="283"/>
        <w:jc w:val="both"/>
      </w:pPr>
      <w:r>
        <w:rPr>
          <w:rtl/>
        </w:rPr>
        <w:t>השווה גם “תורת חיים”,</w:t>
      </w:r>
      <w:bookmarkStart w:id="2677" w:name="_fnr1817"/>
      <w:r>
        <w:rPr>
          <w:rStyle w:val="a5"/>
        </w:rPr>
        <w:footnoteReference w:id="1821" w:customMarkFollows="0"/>
      </w:r>
      <w:bookmarkEnd w:id="2677"/>
      <w:r>
        <w:rPr>
          <w:rtl/>
        </w:rPr>
        <w:t xml:space="preserve"> המספר בשם ר׳ </w:t>
      </w:r>
      <w:proofErr w:type="spellStart"/>
      <w:r>
        <w:rPr>
          <w:rtl/>
        </w:rPr>
        <w:t>ברוך־בער</w:t>
      </w:r>
      <w:proofErr w:type="spellEnd"/>
      <w:r>
        <w:rPr>
          <w:rtl/>
        </w:rPr>
        <w:t xml:space="preserve"> שכשהתווכח בעניין מסוים עם בנו של </w:t>
      </w:r>
      <w:proofErr w:type="spellStart"/>
      <w:r>
        <w:rPr>
          <w:rtl/>
        </w:rPr>
        <w:t>החפץ־חיים</w:t>
      </w:r>
      <w:proofErr w:type="spellEnd"/>
      <w:r>
        <w:rPr>
          <w:rtl/>
        </w:rPr>
        <w:t xml:space="preserve">, ר׳ אברהם, בשעה ששניהם למדו </w:t>
      </w:r>
      <w:proofErr w:type="spellStart"/>
      <w:r>
        <w:rPr>
          <w:rtl/>
        </w:rPr>
        <w:t>בוולוז׳ין</w:t>
      </w:r>
      <w:proofErr w:type="spellEnd"/>
      <w:r>
        <w:rPr>
          <w:rtl/>
        </w:rPr>
        <w:t xml:space="preserve">, אמר לו ר׳ חיים </w:t>
      </w:r>
      <w:proofErr w:type="spellStart"/>
      <w:r>
        <w:rPr>
          <w:rtl/>
        </w:rPr>
        <w:t>סולובייצ׳יק</w:t>
      </w:r>
      <w:proofErr w:type="spellEnd"/>
      <w:r>
        <w:rPr>
          <w:rtl/>
        </w:rPr>
        <w:t xml:space="preserve">: “אתה מתווכח </w:t>
      </w:r>
      <w:r>
        <w:rPr>
          <w:b/>
          <w:bCs/>
          <w:rtl/>
        </w:rPr>
        <w:t>עמו</w:t>
      </w:r>
      <w:r>
        <w:rPr>
          <w:rtl/>
        </w:rPr>
        <w:t xml:space="preserve">? וכי אינך יודע שהוא בא </w:t>
      </w:r>
      <w:proofErr w:type="spellStart"/>
      <w:r>
        <w:rPr>
          <w:rtl/>
        </w:rPr>
        <w:t>מ‘חדר</w:t>
      </w:r>
      <w:proofErr w:type="spellEnd"/>
      <w:r>
        <w:rPr>
          <w:rtl/>
        </w:rPr>
        <w:t xml:space="preserve">’ המצטיין בצדקות </w:t>
      </w:r>
      <w:r>
        <w:rPr>
          <w:b/>
          <w:bCs/>
          <w:rtl/>
        </w:rPr>
        <w:t>וישרות</w:t>
      </w:r>
      <w:r>
        <w:rPr>
          <w:rtl/>
        </w:rPr>
        <w:t xml:space="preserve"> (ההדגשה שלי)?!” אני סבור שכשדיבר ר׳ חיים אל ר׳ </w:t>
      </w:r>
      <w:proofErr w:type="spellStart"/>
      <w:r>
        <w:rPr>
          <w:rtl/>
        </w:rPr>
        <w:t>ברוך־בער</w:t>
      </w:r>
      <w:proofErr w:type="spellEnd"/>
      <w:r>
        <w:rPr>
          <w:rtl/>
        </w:rPr>
        <w:t>, השתמש במונח ישרות כלשון נקייה לפיקחות. ר׳ חיים עצמו היה פיקח מופלג, כמבואר בפרק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ראה גם “עובדות והנהגות לבית </w:t>
      </w:r>
      <w:proofErr w:type="spellStart"/>
      <w:r>
        <w:rPr>
          <w:rtl/>
        </w:rPr>
        <w:t>בריסק</w:t>
      </w:r>
      <w:proofErr w:type="spellEnd"/>
      <w:r>
        <w:rPr>
          <w:rtl/>
        </w:rPr>
        <w:t>”,</w:t>
      </w:r>
      <w:bookmarkStart w:id="2678" w:name="_fnr1818"/>
      <w:r>
        <w:rPr>
          <w:rStyle w:val="a5"/>
        </w:rPr>
        <w:footnoteReference w:id="1822" w:customMarkFollows="0"/>
      </w:r>
      <w:bookmarkEnd w:id="2678"/>
      <w:r>
        <w:rPr>
          <w:rtl/>
        </w:rPr>
        <w:t xml:space="preserve"> המספר שר׳ </w:t>
      </w:r>
      <w:proofErr w:type="spellStart"/>
      <w:r>
        <w:rPr>
          <w:rtl/>
        </w:rPr>
        <w:t>ברוך־בער</w:t>
      </w:r>
      <w:proofErr w:type="spellEnd"/>
      <w:r>
        <w:rPr>
          <w:rtl/>
        </w:rPr>
        <w:t xml:space="preserve"> אמר על עצמו: “רבי ר׳ חיים לא החזיק אותי לאדם חכם במיוחד – א </w:t>
      </w:r>
      <w:proofErr w:type="spellStart"/>
      <w:r>
        <w:rPr>
          <w:rtl/>
        </w:rPr>
        <w:t>גרויסער</w:t>
      </w:r>
      <w:proofErr w:type="spellEnd"/>
      <w:r>
        <w:rPr>
          <w:rtl/>
        </w:rPr>
        <w:t xml:space="preserve"> חכם [חכם גדול].”</w:t>
      </w:r>
      <w:bookmarkStart w:id="2679" w:name="_fnr1819"/>
      <w:r>
        <w:rPr>
          <w:rStyle w:val="a5"/>
        </w:rPr>
        <w:footnoteReference w:id="1823" w:customMarkFollows="0"/>
      </w:r>
      <w:bookmarkEnd w:id="2679"/>
    </w:p>
    <w:p w14:paraId="0CB83023" w14:textId="77777777" w:rsidR="00AB3647" w:rsidRDefault="00000000" w:rsidP="007923E9">
      <w:pPr>
        <w:spacing w:after="120" w:line="276" w:lineRule="auto"/>
        <w:ind w:firstLine="283"/>
        <w:jc w:val="both"/>
      </w:pPr>
      <w:r>
        <w:rPr>
          <w:rtl/>
        </w:rPr>
        <w:t xml:space="preserve">בייסורי מצפונו הלך ר׳ </w:t>
      </w:r>
      <w:proofErr w:type="spellStart"/>
      <w:r>
        <w:rPr>
          <w:rtl/>
        </w:rPr>
        <w:t>ברוך־בער</w:t>
      </w:r>
      <w:proofErr w:type="spellEnd"/>
      <w:r>
        <w:rPr>
          <w:rtl/>
        </w:rPr>
        <w:t xml:space="preserve"> בדרכם של שניים: ראשית, ר׳ יוסף־דב, אביו של רבו ר׳ חיים, שלפי “הראשון לשושלת </w:t>
      </w:r>
      <w:proofErr w:type="spellStart"/>
      <w:r>
        <w:rPr>
          <w:rtl/>
        </w:rPr>
        <w:t>בריסק</w:t>
      </w:r>
      <w:proofErr w:type="spellEnd"/>
      <w:r>
        <w:rPr>
          <w:rtl/>
        </w:rPr>
        <w:t>”</w:t>
      </w:r>
      <w:bookmarkStart w:id="2680" w:name="_fnr1820"/>
      <w:r>
        <w:rPr>
          <w:rStyle w:val="a5"/>
        </w:rPr>
        <w:footnoteReference w:id="1824" w:customMarkFollows="0"/>
      </w:r>
      <w:bookmarkEnd w:id="2680"/>
      <w:r>
        <w:rPr>
          <w:rtl/>
        </w:rPr>
        <w:t xml:space="preserve"> היה מוטרד אחרי פטירת אביו שמא לא כיבד אותו די הצורך; ושנית, ר׳ חיים עצמו,</w:t>
      </w:r>
      <w:bookmarkStart w:id="2681" w:name="_fnr1821"/>
      <w:r>
        <w:rPr>
          <w:rStyle w:val="a5"/>
        </w:rPr>
        <w:footnoteReference w:id="1825" w:customMarkFollows="0"/>
      </w:r>
      <w:bookmarkEnd w:id="2681"/>
      <w:r>
        <w:rPr>
          <w:rtl/>
        </w:rPr>
        <w:t xml:space="preserve"> שסבל מרגשי אשמה קשים כשמת אביו.</w:t>
      </w:r>
      <w:bookmarkStart w:id="2682" w:name="_fnr1822"/>
      <w:r>
        <w:rPr>
          <w:rStyle w:val="a5"/>
        </w:rPr>
        <w:footnoteReference w:id="1826" w:customMarkFollows="0"/>
      </w:r>
      <w:bookmarkEnd w:id="2682"/>
      <w:r>
        <w:rPr>
          <w:rtl/>
        </w:rPr>
        <w:t xml:space="preserve"> ר׳ חיים היה משוכנע שבואו לבית אביו </w:t>
      </w:r>
      <w:proofErr w:type="spellStart"/>
      <w:r>
        <w:rPr>
          <w:rtl/>
        </w:rPr>
        <w:t>בבריסק</w:t>
      </w:r>
      <w:proofErr w:type="spellEnd"/>
      <w:r>
        <w:rPr>
          <w:rtl/>
        </w:rPr>
        <w:t xml:space="preserve">, כשנסגרה ישיבת </w:t>
      </w:r>
      <w:proofErr w:type="spellStart"/>
      <w:r>
        <w:rPr>
          <w:rtl/>
        </w:rPr>
        <w:t>וולוז׳ין</w:t>
      </w:r>
      <w:proofErr w:type="spellEnd"/>
      <w:r>
        <w:rPr>
          <w:rtl/>
        </w:rPr>
        <w:t xml:space="preserve">, היה סיבה למותו של ר׳ יוסף־דב, שכן נוכחות בנו הייתה תזכורת מכאיבה ומתמדת לסגירתה של מצודת התורה. אנשים רבים ניסו לשכנע את ר׳ חיים שאין בו אשמה, אבל לא הצליחו להזיזו מדעתו.</w:t>
      </w:r>
    </w:p>
    <w:p w14:paraId="111B59A7" w14:textId="77777777" w:rsidR="00AB3647" w:rsidRDefault="00000000" w:rsidP="007923E9">
      <w:pPr>
        <w:spacing w:after="120" w:line="276" w:lineRule="auto"/>
        <w:ind w:firstLine="283"/>
        <w:jc w:val="both"/>
      </w:pPr>
      <w:r>
        <w:rPr>
          <w:rtl/>
        </w:rPr>
        <w:lastRenderedPageBreak/>
        <w:t xml:space="preserve">בסוף השבעה יצא עמו לטיול ר׳ מנחם </w:t>
      </w:r>
      <w:proofErr w:type="spellStart"/>
      <w:r>
        <w:rPr>
          <w:rtl/>
        </w:rPr>
        <w:t>קרקובסקי</w:t>
      </w:r>
      <w:proofErr w:type="spellEnd"/>
      <w:r>
        <w:rPr>
          <w:rtl/>
        </w:rPr>
        <w:t>,</w:t>
      </w:r>
      <w:bookmarkStart w:id="2683" w:name="_fnr1823"/>
      <w:r>
        <w:rPr>
          <w:rStyle w:val="a5"/>
        </w:rPr>
        <w:footnoteReference w:id="1827" w:customMarkFollows="0"/>
      </w:r>
      <w:bookmarkEnd w:id="2683"/>
      <w:r>
        <w:rPr>
          <w:rtl/>
        </w:rPr>
        <w:t xml:space="preserve"> תלמיד קרוב מאוד </w:t>
      </w:r>
      <w:proofErr w:type="spellStart"/>
      <w:r>
        <w:rPr>
          <w:rtl/>
        </w:rPr>
        <w:t>מוולוז׳ין</w:t>
      </w:r>
      <w:proofErr w:type="spellEnd"/>
      <w:r>
        <w:rPr>
          <w:rtl/>
        </w:rPr>
        <w:t xml:space="preserve">, ור׳ חיים העלה את עניין שובו הנמהר </w:t>
      </w:r>
      <w:proofErr w:type="spellStart"/>
      <w:r>
        <w:rPr>
          <w:rtl/>
        </w:rPr>
        <w:t>לבריסק</w:t>
      </w:r>
      <w:proofErr w:type="spellEnd"/>
      <w:r>
        <w:rPr>
          <w:rtl/>
        </w:rPr>
        <w:t xml:space="preserve">, </w:t>
      </w:r>
      <w:proofErr w:type="spellStart"/>
      <w:r>
        <w:rPr>
          <w:rtl/>
        </w:rPr>
        <w:t>ש“גרם</w:t>
      </w:r>
      <w:proofErr w:type="spellEnd"/>
      <w:r>
        <w:rPr>
          <w:rtl/>
        </w:rPr>
        <w:t xml:space="preserve"> למות אביו”. הרב </w:t>
      </w:r>
      <w:proofErr w:type="spellStart"/>
      <w:r>
        <w:rPr>
          <w:rtl/>
        </w:rPr>
        <w:t>קרקובסקי</w:t>
      </w:r>
      <w:proofErr w:type="spellEnd"/>
      <w:r>
        <w:rPr>
          <w:rtl/>
        </w:rPr>
        <w:t xml:space="preserve"> “הסכים” שטעה בכך שסיכן את חיי אביו בבואו </w:t>
      </w:r>
      <w:proofErr w:type="spellStart"/>
      <w:r>
        <w:rPr>
          <w:rtl/>
        </w:rPr>
        <w:t>לבריסק</w:t>
      </w:r>
      <w:proofErr w:type="spellEnd"/>
      <w:r>
        <w:rPr>
          <w:rtl/>
        </w:rPr>
        <w:t xml:space="preserve">. אז התחיל ר׳ חיים לטעון שאולי הדבר הנכון היה דווקא להישאר לצד אביו. כשניסה הרב </w:t>
      </w:r>
      <w:proofErr w:type="spellStart"/>
      <w:r>
        <w:rPr>
          <w:rtl/>
        </w:rPr>
        <w:t>קרקובסקי</w:t>
      </w:r>
      <w:proofErr w:type="spellEnd"/>
      <w:r>
        <w:rPr>
          <w:rtl/>
        </w:rPr>
        <w:t xml:space="preserve"> לחלוק על הצעה זו, פתח ר׳ חיים בדיון מפורט באפשרויות שעמדו לפניו כשנסגרה </w:t>
      </w:r>
      <w:proofErr w:type="spellStart"/>
      <w:r>
        <w:rPr>
          <w:rtl/>
        </w:rPr>
        <w:t>וולוז׳ין</w:t>
      </w:r>
      <w:proofErr w:type="spellEnd"/>
      <w:r>
        <w:rPr>
          <w:rtl/>
        </w:rPr>
        <w:t xml:space="preserve">, ואחרי ניתוח מלא של המצב הוכיח למלווהו </w:t>
      </w:r>
      <w:r>
        <w:rPr>
          <w:b/>
          <w:bCs/>
          <w:rtl/>
        </w:rPr>
        <w:t>שלא הייתה לו ברירה</w:t>
      </w:r>
      <w:r>
        <w:rPr>
          <w:rtl/>
        </w:rPr>
        <w:t xml:space="preserve"> אלא לבוא </w:t>
      </w:r>
      <w:proofErr w:type="spellStart"/>
      <w:r>
        <w:rPr>
          <w:rtl/>
        </w:rPr>
        <w:t>לבריסק</w:t>
      </w:r>
      <w:proofErr w:type="spellEnd"/>
      <w:r>
        <w:rPr>
          <w:rtl/>
        </w:rPr>
        <w:t xml:space="preserve"> – וכך חילץ את עצמו ממצוקתו.</w:t>
      </w:r>
    </w:p>
    <w:p w14:paraId="614B1237" w14:textId="77777777" w:rsidR="00AB3647" w:rsidRDefault="00000000" w:rsidP="007923E9">
      <w:pPr>
        <w:spacing w:after="120" w:line="276" w:lineRule="auto"/>
        <w:ind w:firstLine="283"/>
        <w:jc w:val="both"/>
      </w:pPr>
      <w:r>
        <w:rPr>
          <w:rtl/>
        </w:rPr>
        <w:t xml:space="preserve">לימים נשאל ר׳ מנחם </w:t>
      </w:r>
      <w:proofErr w:type="spellStart"/>
      <w:r>
        <w:rPr>
          <w:rtl/>
        </w:rPr>
        <w:t>קרקובסקי</w:t>
      </w:r>
      <w:proofErr w:type="spellEnd"/>
      <w:r>
        <w:rPr>
          <w:rtl/>
        </w:rPr>
        <w:t xml:space="preserve"> איך עלתה בדעתו הדרך המשונה לפתור את בעייתו של ר׳ חיים – להעמיד פנים שהוא מסכים שר׳ חיים אכן אשם. הוא הסביר ששיער שמשעה שגיבש ר׳ חיים </w:t>
      </w:r>
      <w:proofErr w:type="spellStart"/>
      <w:r>
        <w:rPr>
          <w:rtl/>
        </w:rPr>
        <w:t>סברא</w:t>
      </w:r>
      <w:proofErr w:type="spellEnd"/>
      <w:r>
        <w:rPr>
          <w:rtl/>
        </w:rPr>
        <w:t xml:space="preserve"> בדעתו, אין אדם בעולם שיכול לחלוק עליה – מלבד ר׳ חיים עצמו. כל שהיה עליו לעשות הוא להביא את ר׳ חיים לבחון את סברתו מחדש, לנתח אותה שוב, ולהוכיח </w:t>
      </w:r>
      <w:r>
        <w:rPr>
          <w:b/>
          <w:bCs/>
          <w:rtl/>
        </w:rPr>
        <w:t>לעצמו</w:t>
      </w:r>
      <w:r>
        <w:rPr>
          <w:rtl/>
        </w:rPr>
        <w:t xml:space="preserve"> שהיא מוטעית.</w:t>
      </w:r>
    </w:p>
    <w:p w14:paraId="1806AAD0" w14:textId="77777777" w:rsidR="00AB3647" w:rsidRDefault="00000000" w:rsidP="007923E9">
      <w:pPr>
        <w:spacing w:after="120" w:line="276" w:lineRule="auto"/>
        <w:ind w:firstLine="283"/>
        <w:jc w:val="both"/>
      </w:pPr>
      <w:r>
        <w:rPr>
          <w:rtl/>
        </w:rPr>
        <w:t xml:space="preserve">לפי </w:t>
      </w:r>
      <w:proofErr w:type="spellStart"/>
      <w:r>
        <w:rPr>
          <w:rtl/>
        </w:rPr>
        <w:t>נינו</w:t>
      </w:r>
      <w:proofErr w:type="spellEnd"/>
      <w:r>
        <w:rPr>
          <w:rtl/>
        </w:rPr>
        <w:t xml:space="preserve"> של ר׳ חיים, ר׳ </w:t>
      </w:r>
      <w:proofErr w:type="spellStart"/>
      <w:r>
        <w:rPr>
          <w:rtl/>
        </w:rPr>
        <w:t>משה־אהרן</w:t>
      </w:r>
      <w:proofErr w:type="spellEnd"/>
      <w:r>
        <w:rPr>
          <w:rtl/>
        </w:rPr>
        <w:t xml:space="preserve"> </w:t>
      </w:r>
      <w:proofErr w:type="spellStart"/>
      <w:r>
        <w:rPr>
          <w:rtl/>
        </w:rPr>
        <w:t>סולובייצ׳יק</w:t>
      </w:r>
      <w:proofErr w:type="spellEnd"/>
      <w:r>
        <w:rPr>
          <w:rtl/>
        </w:rPr>
        <w:t>, גילה ר׳ חיים רגשי אשמה גם על מותו של ילד זמן מה אחרי שהיה סנדק בבריתו.</w:t>
      </w:r>
      <w:bookmarkStart w:id="2684" w:name="_fnr1824"/>
      <w:r>
        <w:rPr>
          <w:rStyle w:val="a5"/>
        </w:rPr>
        <w:footnoteReference w:id="1828" w:customMarkFollows="0"/>
      </w:r>
      <w:bookmarkEnd w:id="2684"/>
      <w:r>
        <w:rPr>
          <w:rtl/>
        </w:rPr>
        <w:t xml:space="preserve"> ר׳ </w:t>
      </w:r>
      <w:proofErr w:type="spellStart"/>
      <w:r>
        <w:rPr>
          <w:rtl/>
        </w:rPr>
        <w:t>משה־אהרן</w:t>
      </w:r>
      <w:proofErr w:type="spellEnd"/>
      <w:r>
        <w:rPr>
          <w:rtl/>
        </w:rPr>
        <w:t xml:space="preserve"> סיפר גם מעשה שני לכאורה, שבו נאמר שר׳ חיים שימש מוהל, ולא סנדק: ר׳ חיים מל בעצמו את בנו הבכור, והתינוק מת כעבור חודשיים. כשנולד הבן הבא – בנו הבכור מבין אלה שנשארו בחיים, </w:t>
      </w:r>
      <w:proofErr w:type="spellStart"/>
      <w:r>
        <w:rPr>
          <w:rtl/>
        </w:rPr>
        <w:t>ישראל־גרשון</w:t>
      </w:r>
      <w:proofErr w:type="spellEnd"/>
      <w:r>
        <w:rPr>
          <w:rtl/>
        </w:rPr>
        <w:t xml:space="preserve"> – “לא ראה </w:t>
      </w:r>
      <w:proofErr w:type="spellStart"/>
      <w:r>
        <w:rPr>
          <w:rtl/>
        </w:rPr>
        <w:t>הנצי״ב</w:t>
      </w:r>
      <w:proofErr w:type="spellEnd"/>
      <w:r>
        <w:rPr>
          <w:rtl/>
        </w:rPr>
        <w:t xml:space="preserve"> בעין יפה שאברך צעיר ימול את בנו בעצמו, והמציא איזו ‘שאלה’, ור׳ חיים פסל את עצמו מלמול”.</w:t>
      </w:r>
    </w:p>
    <w:p w14:paraId="52D3B771" w14:textId="77777777" w:rsidR="00AB3647" w:rsidRDefault="00000000" w:rsidP="007923E9">
      <w:pPr>
        <w:spacing w:after="120" w:line="276" w:lineRule="auto"/>
        <w:ind w:firstLine="283"/>
        <w:jc w:val="both"/>
      </w:pPr>
      <w:r>
        <w:rPr>
          <w:rtl/>
        </w:rPr>
        <w:t xml:space="preserve">אפשר לשער ששני המעשים שסיפר ר׳ </w:t>
      </w:r>
      <w:proofErr w:type="spellStart"/>
      <w:r>
        <w:rPr>
          <w:rtl/>
        </w:rPr>
        <w:t>משה־אהרן</w:t>
      </w:r>
      <w:proofErr w:type="spellEnd"/>
      <w:r>
        <w:rPr>
          <w:rtl/>
        </w:rPr>
        <w:t xml:space="preserve"> היו למעשה מעשה אחד, ושהאסון אירע בבכורו של ר׳ חיים, שמל אותו בעצמו. מאחר שחשש ר׳ חיים שפגם באופן שבו מל את בנו גרם למוות, </w:t>
      </w:r>
      <w:r>
        <w:rPr>
          <w:b/>
          <w:bCs/>
          <w:rtl/>
        </w:rPr>
        <w:t>סירב</w:t>
      </w:r>
      <w:r>
        <w:rPr>
          <w:rtl/>
        </w:rPr>
        <w:t xml:space="preserve"> לנסות שוב בילד הבא, ואף נמנע מאז והלאה מלשמש סנדק אי פעם.</w:t>
      </w:r>
    </w:p>
    <w:p w14:paraId="1F3147A3" w14:textId="77777777" w:rsidR="00AB3647" w:rsidRDefault="00000000" w:rsidP="007923E9">
      <w:pPr>
        <w:spacing w:after="120" w:line="276" w:lineRule="auto"/>
        <w:ind w:firstLine="283"/>
        <w:jc w:val="both"/>
      </w:pPr>
      <w:r>
        <w:rPr>
          <w:rtl/>
        </w:rPr>
        <w:t>אבל המספרים, שרצו לטשטש כל זכר לאשמתו של ר׳ חיים,</w:t>
      </w:r>
      <w:bookmarkStart w:id="2685" w:name="_fnr1825"/>
      <w:r>
        <w:rPr>
          <w:rStyle w:val="a5"/>
        </w:rPr>
        <w:footnoteReference w:id="1829" w:customMarkFollows="0"/>
      </w:r>
      <w:bookmarkEnd w:id="2685"/>
      <w:r>
        <w:rPr>
          <w:rtl/>
        </w:rPr>
        <w:t xml:space="preserve"> הפכו את המעשה האחד לשני מאורעות נפרדים, ועשו בהם את השינויים הנדרשים. מעשה אחד שמר על רגשי האשמה של ר׳ חיים, אבל שונה כך שר׳ חיים משמש בו סנדק – תפקיד תמים כל כך, שלא יכול היה להיות בו שום יסוד ממשי לאשמה מצדו. ומאחר שתואר כסנדק (ולא שמענו מעולם שאב יהיה סנדק בברית בנו), לא יכול היה התינוק להישאר עוד בנו. המעשה האחר – שבו מל ר׳ חיים את תינוקו הראשון – השמיט כל רגש של אשמה, ואף תיאר את ר׳ חיים, נקי מכל אשמה, כשהוא מוכן למול את בנו </w:t>
      </w:r>
      <w:r>
        <w:rPr>
          <w:b/>
          <w:bCs/>
          <w:rtl/>
        </w:rPr>
        <w:t>השני</w:t>
      </w:r>
      <w:r>
        <w:rPr>
          <w:rtl/>
        </w:rPr>
        <w:t xml:space="preserve">, ורק “פני </w:t>
      </w:r>
      <w:proofErr w:type="spellStart"/>
      <w:r>
        <w:rPr>
          <w:rtl/>
        </w:rPr>
        <w:t>הנצי״ב</w:t>
      </w:r>
      <w:proofErr w:type="spellEnd"/>
      <w:r>
        <w:rPr>
          <w:rtl/>
        </w:rPr>
        <w:t xml:space="preserve"> הזועפות” מנעו זאת ממנו.</w:t>
      </w:r>
    </w:p>
    <w:p w14:paraId="40960D09" w14:textId="77777777" w:rsidR="00AB3647" w:rsidRDefault="00000000" w:rsidP="007923E9">
      <w:pPr>
        <w:spacing w:after="120" w:line="276" w:lineRule="auto"/>
        <w:ind w:firstLine="283"/>
        <w:jc w:val="both"/>
      </w:pPr>
      <w:r>
        <w:rPr>
          <w:rtl/>
        </w:rPr>
        <w:lastRenderedPageBreak/>
        <w:t xml:space="preserve">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 את המעשה השני – שר׳ חיים מל את בכורו – כשהזכרתי לו מעשה זהה ביסודו המובא </w:t>
      </w:r>
      <w:proofErr w:type="spellStart"/>
      <w:r>
        <w:rPr>
          <w:rtl/>
        </w:rPr>
        <w:t>ב“נפש</w:t>
      </w:r>
      <w:proofErr w:type="spellEnd"/>
      <w:r>
        <w:rPr>
          <w:rtl/>
        </w:rPr>
        <w:t xml:space="preserve"> הרב” מאת צבי שכטר.</w:t>
      </w:r>
      <w:bookmarkStart w:id="2686" w:name="_fnr1826"/>
      <w:r>
        <w:rPr>
          <w:rStyle w:val="a5"/>
        </w:rPr>
        <w:footnoteReference w:id="1830" w:customMarkFollows="0"/>
      </w:r>
      <w:bookmarkEnd w:id="2686"/>
      <w:r>
        <w:rPr>
          <w:rtl/>
        </w:rPr>
        <w:t xml:space="preserve"> אבל מקור זה שונה בשתי נקודות: אינו מזכיר בבירור שום אסון, והוא מייחס את מניעתו של ר׳ חיים מלמול ילד שנולד אחר כך לאדם אחר, ולא </w:t>
      </w:r>
      <w:proofErr w:type="spellStart"/>
      <w:r>
        <w:rPr>
          <w:rtl/>
        </w:rPr>
        <w:t>לנצי״ב</w:t>
      </w:r>
      <w:proofErr w:type="spellEnd"/>
      <w:r>
        <w:rPr>
          <w:rtl/>
        </w:rPr>
        <w:t xml:space="preserve">. וזו לשונו: “ר׳ </w:t>
      </w:r>
      <w:proofErr w:type="spellStart"/>
      <w:r>
        <w:rPr>
          <w:rtl/>
        </w:rPr>
        <w:t>שמחה־זליג</w:t>
      </w:r>
      <w:proofErr w:type="spellEnd"/>
      <w:r>
        <w:rPr>
          <w:rtl/>
        </w:rPr>
        <w:t xml:space="preserve">, הדיין של </w:t>
      </w:r>
      <w:proofErr w:type="spellStart"/>
      <w:r>
        <w:rPr>
          <w:rtl/>
        </w:rPr>
        <w:t>בריסק</w:t>
      </w:r>
      <w:proofErr w:type="spellEnd"/>
      <w:r>
        <w:rPr>
          <w:rtl/>
        </w:rPr>
        <w:t>, מנע מר׳ חיים למול את בנו השני, מפני שהיה לו קושי גדול במילה הקודמת.”</w:t>
      </w:r>
    </w:p>
    <w:p w14:paraId="577EDD6C" w14:textId="77777777" w:rsidR="00AB3647" w:rsidRDefault="00000000" w:rsidP="007923E9">
      <w:pPr>
        <w:spacing w:after="120" w:line="276" w:lineRule="auto"/>
        <w:ind w:firstLine="283"/>
        <w:jc w:val="both"/>
      </w:pPr>
      <w:r>
        <w:rPr>
          <w:rtl/>
        </w:rPr>
        <w:t xml:space="preserve">מדיווח זה אין ברור אם “הבן השני” הוא </w:t>
      </w:r>
      <w:proofErr w:type="spellStart"/>
      <w:r>
        <w:rPr>
          <w:rtl/>
        </w:rPr>
        <w:t>ישראל־גרשון</w:t>
      </w:r>
      <w:proofErr w:type="spellEnd"/>
      <w:r>
        <w:rPr>
          <w:rtl/>
        </w:rPr>
        <w:t xml:space="preserve">, </w:t>
      </w:r>
      <w:proofErr w:type="spellStart"/>
      <w:r>
        <w:rPr>
          <w:rtl/>
        </w:rPr>
        <w:t>ו“הקושי</w:t>
      </w:r>
      <w:proofErr w:type="spellEnd"/>
      <w:r>
        <w:rPr>
          <w:rtl/>
        </w:rPr>
        <w:t xml:space="preserve"> הגדול” הוא מות תינוקו הראשון של ר׳ חיים (כדברי מרואייני ר׳ </w:t>
      </w:r>
      <w:proofErr w:type="spellStart"/>
      <w:r>
        <w:rPr>
          <w:rtl/>
        </w:rPr>
        <w:t>משה־אהרן</w:t>
      </w:r>
      <w:proofErr w:type="spellEnd"/>
      <w:r>
        <w:rPr>
          <w:rtl/>
        </w:rPr>
        <w:t xml:space="preserve">), או – מאחר שאינו מזכיר מוות – “הבן השני” הוא משה, הבן השני מבין אלה שנשארו בחיים. אבל בוודאי טועה “נפש הרב” בקשירת המאורע </w:t>
      </w:r>
      <w:proofErr w:type="spellStart"/>
      <w:r>
        <w:rPr>
          <w:rtl/>
        </w:rPr>
        <w:t>לבריסק</w:t>
      </w:r>
      <w:proofErr w:type="spellEnd"/>
      <w:r>
        <w:rPr>
          <w:rtl/>
        </w:rPr>
        <w:t xml:space="preserve"> ובייחוס ההתנגדות </w:t>
      </w:r>
      <w:proofErr w:type="spellStart"/>
      <w:r>
        <w:rPr>
          <w:rtl/>
        </w:rPr>
        <w:t>לר</w:t>
      </w:r>
      <w:proofErr w:type="spellEnd"/>
      <w:r>
        <w:rPr>
          <w:rtl/>
        </w:rPr>
        <w:t xml:space="preserve">׳ </w:t>
      </w:r>
      <w:proofErr w:type="spellStart"/>
      <w:r>
        <w:rPr>
          <w:rtl/>
        </w:rPr>
        <w:t>שמחה־זליג</w:t>
      </w:r>
      <w:proofErr w:type="spellEnd"/>
      <w:r>
        <w:rPr>
          <w:rtl/>
        </w:rPr>
        <w:t xml:space="preserve">. שהרי אפילו בנו </w:t>
      </w:r>
      <w:r>
        <w:rPr>
          <w:b/>
          <w:bCs/>
          <w:rtl/>
        </w:rPr>
        <w:t>השני שנשאר בחיים</w:t>
      </w:r>
      <w:r>
        <w:rPr>
          <w:rtl/>
        </w:rPr>
        <w:t xml:space="preserve"> של ר׳ חיים </w:t>
      </w:r>
      <w:proofErr w:type="spellStart"/>
      <w:r>
        <w:rPr>
          <w:rtl/>
        </w:rPr>
        <w:t>סולובייצ׳יק</w:t>
      </w:r>
      <w:proofErr w:type="spellEnd"/>
      <w:r>
        <w:rPr>
          <w:rtl/>
        </w:rPr>
        <w:t xml:space="preserve">, ר׳ משה, נולד </w:t>
      </w:r>
      <w:proofErr w:type="spellStart"/>
      <w:r>
        <w:rPr>
          <w:rtl/>
        </w:rPr>
        <w:t>ארבע־עשרה</w:t>
      </w:r>
      <w:proofErr w:type="spellEnd"/>
      <w:r>
        <w:rPr>
          <w:rtl/>
        </w:rPr>
        <w:t xml:space="preserve"> שנה לפני שנעשה אביו רב </w:t>
      </w:r>
      <w:proofErr w:type="spellStart"/>
      <w:r>
        <w:rPr>
          <w:rtl/>
        </w:rPr>
        <w:t>בבריסק</w:t>
      </w:r>
      <w:proofErr w:type="spellEnd"/>
      <w:r>
        <w:rPr>
          <w:rtl/>
        </w:rPr>
        <w:t xml:space="preserve">, כשר׳ </w:t>
      </w:r>
      <w:proofErr w:type="spellStart"/>
      <w:r>
        <w:rPr>
          <w:rtl/>
        </w:rPr>
        <w:t>שמחה־זליג</w:t>
      </w:r>
      <w:proofErr w:type="spellEnd"/>
      <w:r>
        <w:rPr>
          <w:rtl/>
        </w:rPr>
        <w:t xml:space="preserve"> היה רק בן </w:t>
      </w:r>
      <w:proofErr w:type="spellStart"/>
      <w:r>
        <w:rPr>
          <w:rtl/>
        </w:rPr>
        <w:t>ארבע־עשרה</w:t>
      </w:r>
      <w:proofErr w:type="spellEnd"/>
      <w:r>
        <w:rPr>
          <w:rtl/>
        </w:rPr>
        <w:t xml:space="preserve">, ובוודאי צעיר מכדי לרסן את רבו, שהיה מבוגר ממנו </w:t>
      </w:r>
      <w:proofErr w:type="spellStart"/>
      <w:r>
        <w:rPr>
          <w:rtl/>
        </w:rPr>
        <w:t>באחת־עשרה</w:t>
      </w:r>
      <w:proofErr w:type="spellEnd"/>
      <w:r>
        <w:rPr>
          <w:rtl/>
        </w:rPr>
        <w:t xml:space="preserve"> שנים.</w:t>
      </w:r>
      <w:bookmarkStart w:id="2687" w:name="_fnr1827"/>
      <w:r>
        <w:rPr>
          <w:rStyle w:val="a5"/>
        </w:rPr>
        <w:footnoteReference w:id="1831" w:customMarkFollows="0"/>
      </w:r>
      <w:bookmarkEnd w:id="2687"/>
    </w:p>
    <w:p w14:paraId="39015931" w14:textId="77777777" w:rsidR="00AB3647" w:rsidRDefault="00000000" w:rsidP="007923E9">
      <w:pPr>
        <w:spacing w:after="120" w:line="276" w:lineRule="auto"/>
        <w:ind w:firstLine="283"/>
        <w:jc w:val="both"/>
      </w:pPr>
      <w:proofErr w:type="spellStart"/>
      <w:r>
        <w:rPr>
          <w:rtl/>
        </w:rPr>
        <w:t>ב“מורשת</w:t>
      </w:r>
      <w:proofErr w:type="spellEnd"/>
      <w:r>
        <w:rPr>
          <w:rtl/>
        </w:rPr>
        <w:t xml:space="preserve"> </w:t>
      </w:r>
      <w:proofErr w:type="spellStart"/>
      <w:r>
        <w:rPr>
          <w:rtl/>
        </w:rPr>
        <w:t>סולובייצ׳יק</w:t>
      </w:r>
      <w:proofErr w:type="spellEnd"/>
      <w:r>
        <w:rPr>
          <w:rtl/>
        </w:rPr>
        <w:t>”</w:t>
      </w:r>
      <w:bookmarkStart w:id="2688" w:name="_fnr1828"/>
      <w:r>
        <w:rPr>
          <w:rStyle w:val="a5"/>
        </w:rPr>
        <w:footnoteReference w:id="1832" w:customMarkFollows="0"/>
      </w:r>
      <w:bookmarkEnd w:id="2688"/>
      <w:r>
        <w:rPr>
          <w:rtl/>
        </w:rPr>
        <w:t xml:space="preserve"> מעמידה בתו של ר׳ משה </w:t>
      </w:r>
      <w:proofErr w:type="spellStart"/>
      <w:r>
        <w:rPr>
          <w:rtl/>
        </w:rPr>
        <w:t>סולובייצ׳יק</w:t>
      </w:r>
      <w:proofErr w:type="spellEnd"/>
      <w:r>
        <w:rPr>
          <w:rtl/>
        </w:rPr>
        <w:t xml:space="preserve"> את המעשה </w:t>
      </w:r>
      <w:proofErr w:type="spellStart"/>
      <w:r>
        <w:rPr>
          <w:rtl/>
        </w:rPr>
        <w:t>בוולוז׳ין</w:t>
      </w:r>
      <w:proofErr w:type="spellEnd"/>
      <w:r>
        <w:rPr>
          <w:rtl/>
        </w:rPr>
        <w:t xml:space="preserve">. כמו “נפש הרב”, אין היא מזכירה מות ילד שנולד קודם לכן, ואף לא שר׳ חיים מל ילד שנולד קודם לכן כלל – לא את הילד שמת ולא את </w:t>
      </w:r>
      <w:proofErr w:type="spellStart"/>
      <w:r>
        <w:rPr>
          <w:rtl/>
        </w:rPr>
        <w:t>ישראל־גרשון</w:t>
      </w:r>
      <w:proofErr w:type="spellEnd"/>
      <w:r>
        <w:rPr>
          <w:rtl/>
        </w:rPr>
        <w:t xml:space="preserve">. וכך היא מספרת: “ר׳ חיים רצה למול בעצמו את בנו השני. הישיבה הייתה מלאה תלמידים [כשבירך ר׳ חיים את ברכת המילה]. כשסיים ר׳ חיים את המילה האחרונה, החלה ידו לרעוד. </w:t>
      </w:r>
      <w:proofErr w:type="spellStart"/>
      <w:r>
        <w:rPr>
          <w:rtl/>
        </w:rPr>
        <w:t>הנצי״ב</w:t>
      </w:r>
      <w:proofErr w:type="spellEnd"/>
      <w:r>
        <w:rPr>
          <w:rtl/>
        </w:rPr>
        <w:t>, שעמד לידו וידע על רגישותו של ר׳ חיים ועל פחדו ממראה דם, מיד ניגש, הסיט את ר׳ חיים הצדה ומל את הילד, שנקרא משה.”</w:t>
      </w:r>
    </w:p>
    <w:p w14:paraId="03C7884B" w14:textId="77777777" w:rsidR="00AB3647" w:rsidRDefault="00000000" w:rsidP="007923E9">
      <w:pPr>
        <w:spacing w:after="120" w:line="276" w:lineRule="auto"/>
        <w:ind w:firstLine="283"/>
        <w:jc w:val="both"/>
      </w:pPr>
      <w:r>
        <w:rPr>
          <w:rtl/>
        </w:rPr>
        <w:t>השווה גם “נפש הרב”</w:t>
      </w:r>
      <w:bookmarkStart w:id="2689" w:name="_fnr1829"/>
      <w:r>
        <w:rPr>
          <w:rStyle w:val="a5"/>
        </w:rPr>
        <w:footnoteReference w:id="1833" w:customMarkFollows="0"/>
      </w:r>
      <w:bookmarkEnd w:id="2689"/>
      <w:r>
        <w:rPr>
          <w:rtl/>
        </w:rPr>
        <w:t xml:space="preserve">: כדי לקבל את הסכמת כלתו </w:t>
      </w:r>
      <w:proofErr w:type="spellStart"/>
      <w:r>
        <w:rPr>
          <w:rtl/>
        </w:rPr>
        <w:t>פעשה</w:t>
      </w:r>
      <w:proofErr w:type="spellEnd"/>
      <w:r>
        <w:rPr>
          <w:rtl/>
        </w:rPr>
        <w:t xml:space="preserve">, אשת ר׳ משה, לוותר על זכותה לקרוא שם לבנה הבכור, אמר ר׳ חיים שישמש סנדק – “אף שבדרך כלל נמנע מלשמש בתפקיד זה” – אם תרשה לו לקרוא לנכדו על שם אביו ר׳ </w:t>
      </w:r>
      <w:proofErr w:type="spellStart"/>
      <w:r>
        <w:rPr>
          <w:rtl/>
        </w:rPr>
        <w:t xml:space="preserve">יושע־בער</w:t>
      </w:r>
      <w:proofErr w:type="spellEnd"/>
      <w:r>
        <w:rPr>
          <w:rtl/>
        </w:rPr>
        <w:t xml:space="preserve">, שאיש במשפחה עדיין לא נקרא על שמו </w:t>
      </w:r>
      <w:proofErr w:type="spellStart"/>
      <w:r>
        <w:rPr>
          <w:b/>
          <w:bCs/>
          <w:rtl/>
        </w:rPr>
        <w:t>אחת־עשרה</w:t>
      </w:r>
      <w:proofErr w:type="spellEnd"/>
      <w:r>
        <w:rPr>
          <w:b/>
          <w:bCs/>
          <w:rtl/>
        </w:rPr>
        <w:t xml:space="preserve"> שנים</w:t>
      </w:r>
      <w:r>
        <w:rPr>
          <w:rtl/>
        </w:rPr>
        <w:t xml:space="preserve"> אחרי מותו.</w:t>
      </w:r>
    </w:p>
    <w:p w14:paraId="18C45068" w14:textId="77777777" w:rsidR="00AB3647" w:rsidRDefault="00000000" w:rsidP="007923E9">
      <w:pPr>
        <w:spacing w:after="120" w:line="276" w:lineRule="auto"/>
        <w:ind w:firstLine="283"/>
        <w:jc w:val="both"/>
      </w:pPr>
      <w:r>
        <w:rPr>
          <w:rtl/>
        </w:rPr>
        <w:t xml:space="preserve">“מורשת </w:t>
      </w:r>
      <w:proofErr w:type="spellStart"/>
      <w:r>
        <w:rPr>
          <w:rtl/>
        </w:rPr>
        <w:t>סולובייצ׳יק</w:t>
      </w:r>
      <w:proofErr w:type="spellEnd"/>
      <w:r>
        <w:rPr>
          <w:rtl/>
        </w:rPr>
        <w:t>” מסכימה</w:t>
      </w:r>
      <w:bookmarkStart w:id="2690" w:name="_fnr1830"/>
      <w:r>
        <w:rPr>
          <w:rStyle w:val="a5"/>
        </w:rPr>
        <w:footnoteReference w:id="1834" w:customMarkFollows="0"/>
      </w:r>
      <w:bookmarkEnd w:id="2690"/>
      <w:r>
        <w:rPr>
          <w:rtl/>
        </w:rPr>
        <w:t xml:space="preserve"> שר׳ חיים בדרך כלל לא היה משמש סנדק, ומוסיפה את הטעם: “מספרים שהוא לא יכול היה לשאת מראה דם.” אבל על מעשה הולדת נכדו הראשון מספרת “מורשת </w:t>
      </w:r>
      <w:proofErr w:type="spellStart"/>
      <w:r>
        <w:rPr>
          <w:rtl/>
        </w:rPr>
        <w:t>סולובייצ׳יק</w:t>
      </w:r>
      <w:proofErr w:type="spellEnd"/>
      <w:r>
        <w:rPr>
          <w:rtl/>
        </w:rPr>
        <w:t xml:space="preserve">” אחרת. לדבריה, ר׳ חיים לא הבטיח לשמש סנדק, ולמעשה </w:t>
      </w:r>
      <w:r>
        <w:rPr>
          <w:b/>
          <w:bCs/>
          <w:rtl/>
        </w:rPr>
        <w:t>לא שימש בתפקיד זה</w:t>
      </w:r>
      <w:r>
        <w:rPr>
          <w:rtl/>
        </w:rPr>
        <w:t xml:space="preserve">: כשהגיעה שעת הברית “נעלם” – לא מן הטעם </w:t>
      </w:r>
      <w:proofErr w:type="spellStart"/>
      <w:r>
        <w:rPr>
          <w:rtl/>
        </w:rPr>
        <w:t>ש“מספרים</w:t>
      </w:r>
      <w:proofErr w:type="spellEnd"/>
      <w:r>
        <w:rPr>
          <w:rtl/>
        </w:rPr>
        <w:t xml:space="preserve">”, אלא מפני שאחרי שוויתרה הכלה על זכותה לקבוע את שם התינוק, רצה לוודא שאביה ר׳ אליהו </w:t>
      </w:r>
      <w:proofErr w:type="spellStart"/>
      <w:r>
        <w:rPr>
          <w:rtl/>
        </w:rPr>
        <w:t>פיינשטיין</w:t>
      </w:r>
      <w:proofErr w:type="spellEnd"/>
      <w:r>
        <w:rPr>
          <w:rtl/>
        </w:rPr>
        <w:t xml:space="preserve">, רב </w:t>
      </w:r>
      <w:proofErr w:type="spellStart"/>
      <w:r>
        <w:rPr>
          <w:rtl/>
        </w:rPr>
        <w:t>פרוז׳ני</w:t>
      </w:r>
      <w:proofErr w:type="spellEnd"/>
      <w:r>
        <w:rPr>
          <w:rtl/>
        </w:rPr>
        <w:t>, יכובד בסנדקאות, ולא הוא.</w:t>
      </w:r>
      <w:bookmarkStart w:id="2691" w:name="_fnr1831"/>
      <w:r>
        <w:rPr>
          <w:rStyle w:val="a5"/>
        </w:rPr>
        <w:footnoteReference w:id="1835" w:customMarkFollows="0"/>
      </w:r>
      <w:bookmarkEnd w:id="2691"/>
    </w:p>
    <w:p w14:paraId="3E4D713C" w14:textId="77777777" w:rsidR="00AB3647" w:rsidRDefault="00000000" w:rsidP="007923E9">
      <w:pPr>
        <w:spacing w:after="120" w:line="276" w:lineRule="auto"/>
        <w:ind w:firstLine="283"/>
        <w:jc w:val="both"/>
      </w:pPr>
      <w:r>
        <w:rPr>
          <w:rtl/>
        </w:rPr>
        <w:lastRenderedPageBreak/>
        <w:t xml:space="preserve">במאמר </w:t>
      </w:r>
      <w:proofErr w:type="spellStart"/>
      <w:r>
        <w:rPr>
          <w:rtl/>
        </w:rPr>
        <w:t>ב“שערי</w:t>
      </w:r>
      <w:proofErr w:type="spellEnd"/>
      <w:r>
        <w:rPr>
          <w:rtl/>
        </w:rPr>
        <w:t xml:space="preserve"> ישורון”</w:t>
      </w:r>
      <w:bookmarkStart w:id="2692" w:name="_fnr1832"/>
      <w:r>
        <w:rPr>
          <w:rStyle w:val="a5"/>
        </w:rPr>
        <w:footnoteReference w:id="1836" w:customMarkFollows="0"/>
      </w:r>
      <w:bookmarkEnd w:id="2692"/>
      <w:r>
        <w:rPr>
          <w:rtl/>
        </w:rPr>
        <w:t xml:space="preserve"> שכותרתו “ראש ישיבת </w:t>
      </w:r>
      <w:proofErr w:type="spellStart"/>
      <w:r>
        <w:rPr>
          <w:rtl/>
        </w:rPr>
        <w:t>קמניץ</w:t>
      </w:r>
      <w:proofErr w:type="spellEnd"/>
      <w:r>
        <w:rPr>
          <w:rtl/>
        </w:rPr>
        <w:t xml:space="preserve"> </w:t>
      </w:r>
      <w:proofErr w:type="spellStart"/>
      <w:r>
        <w:rPr>
          <w:rtl/>
        </w:rPr>
        <w:t>דליטא</w:t>
      </w:r>
      <w:proofErr w:type="spellEnd"/>
      <w:r>
        <w:rPr>
          <w:rtl/>
        </w:rPr>
        <w:t xml:space="preserve">” מספר נח זבולוני מה שסיפר לו הרב א.י. </w:t>
      </w:r>
      <w:proofErr w:type="spellStart"/>
      <w:r>
        <w:rPr>
          <w:rtl/>
        </w:rPr>
        <w:t>זסלנסקי</w:t>
      </w:r>
      <w:proofErr w:type="spellEnd"/>
      <w:r>
        <w:rPr>
          <w:rtl/>
        </w:rPr>
        <w:t xml:space="preserve">. כשביקר רבם ר׳ </w:t>
      </w:r>
      <w:proofErr w:type="spellStart"/>
      <w:r>
        <w:rPr>
          <w:rtl/>
        </w:rPr>
        <w:t>ברוך־בער</w:t>
      </w:r>
      <w:proofErr w:type="spellEnd"/>
      <w:r>
        <w:rPr>
          <w:rtl/>
        </w:rPr>
        <w:t xml:space="preserve"> בארצות הברית, ניצל הרב </w:t>
      </w:r>
      <w:proofErr w:type="spellStart"/>
      <w:r>
        <w:rPr>
          <w:rtl/>
        </w:rPr>
        <w:t>זסלנסקי</w:t>
      </w:r>
      <w:proofErr w:type="spellEnd"/>
      <w:r>
        <w:rPr>
          <w:rtl/>
        </w:rPr>
        <w:t xml:space="preserve"> את שעת הכושר ושאל אותו מדוע את ר׳ חיים </w:t>
      </w:r>
      <w:proofErr w:type="spellStart"/>
      <w:r>
        <w:rPr>
          <w:rtl/>
        </w:rPr>
        <w:t>סולובייצ׳יק</w:t>
      </w:r>
      <w:proofErr w:type="spellEnd"/>
      <w:r>
        <w:rPr>
          <w:rtl/>
        </w:rPr>
        <w:t xml:space="preserve"> הוא מכנה פשוט “הרבי”, ואילו את </w:t>
      </w:r>
      <w:proofErr w:type="spellStart"/>
      <w:r>
        <w:rPr>
          <w:rtl/>
        </w:rPr>
        <w:t>הנצי״ב</w:t>
      </w:r>
      <w:proofErr w:type="spellEnd"/>
      <w:r>
        <w:rPr>
          <w:rtl/>
        </w:rPr>
        <w:t xml:space="preserve">, שגם אצלו למד </w:t>
      </w:r>
      <w:proofErr w:type="spellStart"/>
      <w:r>
        <w:rPr>
          <w:rtl/>
        </w:rPr>
        <w:t>בוולוז׳ין</w:t>
      </w:r>
      <w:proofErr w:type="spellEnd"/>
      <w:r>
        <w:rPr>
          <w:rtl/>
        </w:rPr>
        <w:t xml:space="preserve">, הוא מכנה “הרבי ר׳ </w:t>
      </w:r>
      <w:proofErr w:type="spellStart"/>
      <w:r>
        <w:rPr>
          <w:rtl/>
        </w:rPr>
        <w:t>הירש־לייב</w:t>
      </w:r>
      <w:proofErr w:type="spellEnd"/>
      <w:r>
        <w:rPr>
          <w:rtl/>
        </w:rPr>
        <w:t xml:space="preserve">”. השיב ר׳ </w:t>
      </w:r>
      <w:proofErr w:type="spellStart"/>
      <w:r>
        <w:rPr>
          <w:rtl/>
        </w:rPr>
        <w:t>ברוך־בער</w:t>
      </w:r>
      <w:proofErr w:type="spellEnd"/>
      <w:r>
        <w:rPr>
          <w:rtl/>
        </w:rPr>
        <w:t>: “</w:t>
      </w:r>
      <w:proofErr w:type="spellStart"/>
      <w:r>
        <w:rPr>
          <w:rtl/>
        </w:rPr>
        <w:t>הנצי״ב</w:t>
      </w:r>
      <w:proofErr w:type="spellEnd"/>
      <w:r>
        <w:rPr>
          <w:rtl/>
        </w:rPr>
        <w:t xml:space="preserve"> היה מלאך ה׳... מן </w:t>
      </w:r>
      <w:proofErr w:type="spellStart"/>
      <w:r>
        <w:rPr>
          <w:rtl/>
        </w:rPr>
        <w:t>הנצי״ב</w:t>
      </w:r>
      <w:proofErr w:type="spellEnd"/>
      <w:r>
        <w:rPr>
          <w:rtl/>
        </w:rPr>
        <w:t xml:space="preserve"> למדתי הרבה, ולמדתי גם מאחרים.</w:t>
      </w:r>
      <w:bookmarkStart w:id="2693" w:name="_fnr1833"/>
      <w:r>
        <w:rPr>
          <w:rStyle w:val="a5"/>
        </w:rPr>
        <w:footnoteReference w:id="1837" w:customMarkFollows="0"/>
      </w:r>
      <w:bookmarkEnd w:id="2693"/>
      <w:r>
        <w:rPr>
          <w:rtl/>
        </w:rPr>
        <w:t xml:space="preserve"> אבל ר׳ חיים היה ויהיה רבי כל ימי חיי. בכל דבר נועצתי בו, ולא עשיתי דבר בלי ידיעתו והסכמתו.”</w:t>
      </w:r>
      <w:bookmarkStart w:id="2694" w:name="_fnr1834"/>
      <w:r>
        <w:rPr>
          <w:rStyle w:val="a5"/>
        </w:rPr>
        <w:footnoteReference w:id="1838" w:customMarkFollows="0"/>
      </w:r>
      <w:bookmarkEnd w:id="2694"/>
    </w:p>
    <w:p w14:paraId="3BFDE144"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תלמידו של ר׳ שלמה היימן, סיפר</w:t>
      </w:r>
      <w:bookmarkStart w:id="2695" w:name="_fnr1835"/>
      <w:r>
        <w:rPr>
          <w:rStyle w:val="a5"/>
        </w:rPr>
        <w:footnoteReference w:id="1839" w:customMarkFollows="0"/>
      </w:r>
      <w:bookmarkEnd w:id="2695"/>
      <w:r>
        <w:rPr>
          <w:rtl/>
        </w:rPr>
        <w:t xml:space="preserve"> שרבו אמר לו פעם שנסע </w:t>
      </w:r>
      <w:proofErr w:type="spellStart"/>
      <w:r>
        <w:rPr>
          <w:rtl/>
        </w:rPr>
        <w:t>לדאצ׳ה</w:t>
      </w:r>
      <w:proofErr w:type="spellEnd"/>
      <w:r>
        <w:rPr>
          <w:rtl/>
        </w:rPr>
        <w:t xml:space="preserve"> עם ר׳ </w:t>
      </w:r>
      <w:proofErr w:type="spellStart"/>
      <w:r>
        <w:rPr>
          <w:rtl/>
        </w:rPr>
        <w:t>ברוך־בער</w:t>
      </w:r>
      <w:proofErr w:type="spellEnd"/>
      <w:r>
        <w:rPr>
          <w:rtl/>
        </w:rPr>
        <w:t xml:space="preserve">, ובשיחה בשעת טיול משותף זרק ר׳ שלמה את ההערה: “צריך להודות שר׳ </w:t>
      </w:r>
      <w:proofErr w:type="spellStart"/>
      <w:r>
        <w:rPr>
          <w:rtl/>
        </w:rPr>
        <w:t>יצחק־אלחנן</w:t>
      </w:r>
      <w:proofErr w:type="spellEnd"/>
      <w:r>
        <w:rPr>
          <w:rtl/>
        </w:rPr>
        <w:t xml:space="preserve"> [</w:t>
      </w:r>
      <w:proofErr w:type="spellStart"/>
      <w:r>
        <w:rPr>
          <w:rtl/>
        </w:rPr>
        <w:t>ספקטור</w:t>
      </w:r>
      <w:proofErr w:type="spellEnd"/>
      <w:r>
        <w:rPr>
          <w:rtl/>
        </w:rPr>
        <w:t xml:space="preserve">] ידע יותר מר׳ חיים.” בימים הבאים הבחין שר׳ </w:t>
      </w:r>
      <w:proofErr w:type="spellStart"/>
      <w:r>
        <w:rPr>
          <w:rtl/>
        </w:rPr>
        <w:t>ברוך־בער</w:t>
      </w:r>
      <w:proofErr w:type="spellEnd"/>
      <w:r>
        <w:rPr>
          <w:rtl/>
        </w:rPr>
        <w:t xml:space="preserve"> נמנע מלדבר עמו. כששאל אם יש לרבו הקפדה עליו, נאמר לו שהערתו לא הייתה בטעם טוב. ר׳ </w:t>
      </w:r>
      <w:proofErr w:type="spellStart"/>
      <w:r>
        <w:rPr>
          <w:rtl/>
        </w:rPr>
        <w:t>ברוך־בער</w:t>
      </w:r>
      <w:proofErr w:type="spellEnd"/>
      <w:r>
        <w:rPr>
          <w:rtl/>
        </w:rPr>
        <w:t xml:space="preserve"> הסביר: “כל מה שאמר הרבי ר׳ חיים </w:t>
      </w:r>
      <w:proofErr w:type="spellStart"/>
      <w:r>
        <w:rPr>
          <w:rtl/>
        </w:rPr>
        <w:t>סולובייצ׳יק</w:t>
      </w:r>
      <w:proofErr w:type="spellEnd"/>
      <w:r>
        <w:rPr>
          <w:rtl/>
        </w:rPr>
        <w:t xml:space="preserve"> היה מסיני [האמת – דבר שאין לומר על תורתו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ואילו האריך הרבי ימים, היה גם לומד את הכול [ויודע כמו שידע ר׳ </w:t>
      </w:r>
      <w:proofErr w:type="spellStart"/>
      <w:r>
        <w:rPr>
          <w:rtl/>
        </w:rPr>
        <w:t>יצחק־אלחנן</w:t>
      </w:r>
      <w:proofErr w:type="spellEnd"/>
      <w:r>
        <w:rPr>
          <w:rtl/>
        </w:rPr>
        <w:t xml:space="preserve"> </w:t>
      </w:r>
      <w:proofErr w:type="spellStart"/>
      <w:r>
        <w:rPr>
          <w:rtl/>
        </w:rPr>
        <w:t>ספקטור</w:t>
      </w:r>
      <w:proofErr w:type="spellEnd"/>
      <w:r>
        <w:rPr>
          <w:rtl/>
        </w:rPr>
        <w:t>].”</w:t>
      </w:r>
    </w:p>
    <w:p w14:paraId="15B7B8B6" w14:textId="77777777" w:rsidR="00AB3647" w:rsidRDefault="00000000" w:rsidP="007923E9">
      <w:pPr>
        <w:spacing w:after="120" w:line="276" w:lineRule="auto"/>
        <w:ind w:firstLine="283"/>
        <w:jc w:val="both"/>
      </w:pPr>
      <w:r>
        <w:rPr>
          <w:rtl/>
        </w:rPr>
        <w:t xml:space="preserve">אבל השווה </w:t>
      </w:r>
      <w:proofErr w:type="spellStart"/>
      <w:r>
        <w:rPr>
          <w:rtl/>
        </w:rPr>
        <w:t>רבינר</w:t>
      </w:r>
      <w:proofErr w:type="spellEnd"/>
      <w:r>
        <w:rPr>
          <w:rtl/>
        </w:rPr>
        <w:t>, “רבינו מאיר שמחה הכהן”</w:t>
      </w:r>
      <w:bookmarkStart w:id="2696" w:name="_fnr1836"/>
      <w:r>
        <w:rPr>
          <w:rStyle w:val="a5"/>
        </w:rPr>
        <w:footnoteReference w:id="1840" w:customMarkFollows="0"/>
      </w:r>
      <w:bookmarkEnd w:id="2696"/>
      <w:r>
        <w:rPr>
          <w:rtl/>
        </w:rPr>
        <w:t xml:space="preserve">, שר׳ יוסף־דב, אביו של ר׳ חיים, קרא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רבו. עוד מובא שם שר׳ יוסף־דב שאל את ר׳ </w:t>
      </w:r>
      <w:proofErr w:type="spellStart"/>
      <w:r>
        <w:rPr>
          <w:rtl/>
        </w:rPr>
        <w:t>מאיר־שמחה</w:t>
      </w:r>
      <w:proofErr w:type="spellEnd"/>
      <w:r>
        <w:rPr>
          <w:rtl/>
        </w:rPr>
        <w:t xml:space="preserve"> כהן בשעת בדיחות הדעת מי גדול יותר, הוא (</w:t>
      </w:r>
      <w:proofErr w:type="spellStart"/>
      <w:r>
        <w:rPr>
          <w:rtl/>
        </w:rPr>
        <w:t>סולובייצ׳יק</w:t>
      </w:r>
      <w:proofErr w:type="spellEnd"/>
      <w:r>
        <w:rPr>
          <w:rtl/>
        </w:rPr>
        <w:t xml:space="preserve">) או ר׳ </w:t>
      </w:r>
      <w:proofErr w:type="spellStart"/>
      <w:r>
        <w:rPr>
          <w:rtl/>
        </w:rPr>
        <w:t>יצחק־אלחנן</w:t>
      </w:r>
      <w:proofErr w:type="spellEnd"/>
      <w:r>
        <w:rPr>
          <w:rtl/>
        </w:rPr>
        <w:t xml:space="preserve"> </w:t>
      </w:r>
      <w:proofErr w:type="spellStart"/>
      <w:r>
        <w:rPr>
          <w:rtl/>
        </w:rPr>
        <w:t>ספקטור</w:t>
      </w:r>
      <w:proofErr w:type="spellEnd"/>
      <w:r>
        <w:rPr>
          <w:rtl/>
        </w:rPr>
        <w:t xml:space="preserve">, והלה השיב </w:t>
      </w:r>
      <w:proofErr w:type="spellStart"/>
      <w:r>
        <w:rPr>
          <w:rtl/>
        </w:rPr>
        <w:t>ש“בידיעה</w:t>
      </w:r>
      <w:proofErr w:type="spellEnd"/>
      <w:r>
        <w:rPr>
          <w:rtl/>
        </w:rPr>
        <w:t xml:space="preserve"> (במקורות), </w:t>
      </w:r>
      <w:r>
        <w:rPr>
          <w:b/>
          <w:bCs/>
          <w:rtl/>
        </w:rPr>
        <w:t>בהיקף ידיעתו</w:t>
      </w:r>
      <w:r>
        <w:rPr>
          <w:rtl/>
        </w:rPr>
        <w:t xml:space="preserve"> (ההדגשה שלי), ר׳ </w:t>
      </w:r>
      <w:proofErr w:type="spellStart"/>
      <w:r>
        <w:rPr>
          <w:rtl/>
        </w:rPr>
        <w:t>יצחק־אלחנן</w:t>
      </w:r>
      <w:proofErr w:type="spellEnd"/>
      <w:r>
        <w:rPr>
          <w:rtl/>
        </w:rPr>
        <w:t xml:space="preserve"> הוא יחיד (וגדול מר׳ </w:t>
      </w:r>
      <w:proofErr w:type="spellStart"/>
      <w:r>
        <w:rPr>
          <w:rtl/>
        </w:rPr>
        <w:t xml:space="preserve">יושע־בער</w:t>
      </w:r>
      <w:proofErr w:type="spellEnd"/>
      <w:r>
        <w:rPr>
          <w:rtl/>
        </w:rPr>
        <w:t xml:space="preserve">)”. נראה שפירוש הביטוי המודגש הוא שהאור שמח הודה שר׳ יוסף־דב היה גדול יותר בלמדנות – בגורם </w:t>
      </w:r>
      <w:proofErr w:type="spellStart"/>
      <w:r>
        <w:rPr>
          <w:rtl/>
        </w:rPr>
        <w:t>ה“מסיני</w:t>
      </w:r>
      <w:proofErr w:type="spellEnd"/>
      <w:r>
        <w:rPr>
          <w:rtl/>
        </w:rPr>
        <w:t>”, האמת.</w:t>
      </w:r>
    </w:p>
    <w:p w14:paraId="4435CAC6" w14:textId="77777777" w:rsidR="00AB3647" w:rsidRDefault="00000000" w:rsidP="007923E9">
      <w:pPr>
        <w:spacing w:after="120" w:line="276" w:lineRule="auto"/>
        <w:ind w:firstLine="283"/>
        <w:jc w:val="both"/>
      </w:pPr>
      <w:r>
        <w:rPr>
          <w:rtl/>
        </w:rPr>
        <w:t xml:space="preserve">מידת </w:t>
      </w:r>
      <w:proofErr w:type="spellStart"/>
      <w:r>
        <w:rPr>
          <w:rtl/>
        </w:rPr>
        <w:t>ה“אמת</w:t>
      </w:r>
      <w:proofErr w:type="spellEnd"/>
      <w:r>
        <w:rPr>
          <w:rtl/>
        </w:rPr>
        <w:t xml:space="preserve">” שראה ר׳ </w:t>
      </w:r>
      <w:proofErr w:type="spellStart"/>
      <w:r>
        <w:rPr>
          <w:rtl/>
        </w:rPr>
        <w:t>ברוך־בער</w:t>
      </w:r>
      <w:proofErr w:type="spellEnd"/>
      <w:r>
        <w:rPr>
          <w:rtl/>
        </w:rPr>
        <w:t xml:space="preserve"> בתורת רבו</w:t>
      </w:r>
      <w:bookmarkStart w:id="2697" w:name="_fnr1837"/>
      <w:r>
        <w:rPr>
          <w:rStyle w:val="a5"/>
        </w:rPr>
        <w:footnoteReference w:id="1841" w:customMarkFollows="0"/>
      </w:r>
      <w:bookmarkEnd w:id="2697"/>
      <w:r>
        <w:rPr>
          <w:rtl/>
        </w:rPr>
        <w:t xml:space="preserve"> משתקפת כנראה בתשובתו של נכדו של ר׳ חיים,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לשאלה ששאל אותו ר׳ </w:t>
      </w:r>
      <w:proofErr w:type="spellStart"/>
      <w:r>
        <w:rPr>
          <w:rtl/>
        </w:rPr>
        <w:t>יחיאל־יעקב</w:t>
      </w:r>
      <w:proofErr w:type="spellEnd"/>
      <w:r>
        <w:rPr>
          <w:rtl/>
        </w:rPr>
        <w:t xml:space="preserve"> ויינברג בברלין: “מי היה גדול יותר, ר׳ חיים </w:t>
      </w:r>
      <w:proofErr w:type="spellStart"/>
      <w:r>
        <w:rPr>
          <w:rtl/>
        </w:rPr>
        <w:t>סולובייצ׳יק</w:t>
      </w:r>
      <w:proofErr w:type="spellEnd"/>
      <w:r>
        <w:rPr>
          <w:rtl/>
        </w:rPr>
        <w:t xml:space="preserve"> או הגאון מווילנה?” הוא השיב: “</w:t>
      </w:r>
      <w:proofErr w:type="spellStart"/>
      <w:r>
        <w:rPr>
          <w:rtl/>
        </w:rPr>
        <w:t>לר</w:t>
      </w:r>
      <w:proofErr w:type="spellEnd"/>
      <w:r>
        <w:rPr>
          <w:rtl/>
        </w:rPr>
        <w:t>׳ חיים הייתה הבנה גדולה יותר.”</w:t>
      </w:r>
      <w:bookmarkStart w:id="2698" w:name="_fnr1838"/>
      <w:bookmarkStart w:id="2699" w:name="pr_f_1747"/>
      <w:r>
        <w:rPr>
          <w:rStyle w:val="a5"/>
        </w:rPr>
        <w:footnoteReference w:id="1842" w:customMarkFollows="0"/>
      </w:r>
      <w:bookmarkEnd w:id="2698"/>
      <w:bookmarkEnd w:id="2699"/>
      <w:r>
        <w:rPr>
          <w:rtl/>
        </w:rPr>
        <w:t xml:space="preserve"> (ר׳ </w:t>
      </w:r>
      <w:proofErr w:type="spellStart"/>
      <w:r>
        <w:rPr>
          <w:rtl/>
        </w:rPr>
        <w:t xml:space="preserve">יוסף־דב</w:t>
      </w:r>
      <w:proofErr w:type="spellEnd"/>
      <w:r>
        <w:rPr>
          <w:rtl/>
        </w:rPr>
        <w:t xml:space="preserve"> השתמש כנראה במילה “הבנה” – “הבנה” היא מילת המפתח של הדרך </w:t>
      </w:r>
      <w:proofErr w:type="spellStart"/>
      <w:r>
        <w:rPr>
          <w:rtl/>
        </w:rPr>
        <w:t>הבריסקאית</w:t>
      </w:r>
      <w:proofErr w:type="spellEnd"/>
      <w:r>
        <w:rPr>
          <w:rtl/>
        </w:rPr>
        <w:t xml:space="preserve"> בלימוד.) מי שסבור שהבנתו של ר׳ חיים בסוגיות התלמוד עולה על זו של הגאון, אומר בעצם שאמיתות תורתו של ר׳ חיים אינה ניתנת לערעור.</w:t>
      </w:r>
    </w:p>
    <w:p w14:paraId="5EB0F1A8"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חלק על הערכתו של ר׳ </w:t>
      </w:r>
      <w:proofErr w:type="spellStart"/>
      <w:r>
        <w:rPr>
          <w:rtl/>
        </w:rPr>
        <w:t xml:space="preserve">יוסף־דב</w:t>
      </w:r>
      <w:proofErr w:type="spellEnd"/>
      <w:r>
        <w:rPr>
          <w:rtl/>
        </w:rPr>
        <w:t xml:space="preserve"> וטען: “הגאון חיפש את האמת הפשוטה, ור׳ חיים לא – שהרי אי אפשר לשלב את הגיונו וסברותיו עם לשון התלמוד או עם לשון </w:t>
      </w:r>
      <w:r>
        <w:rPr>
          <w:rtl/>
        </w:rPr>
        <w:lastRenderedPageBreak/>
        <w:t xml:space="preserve">הרמב״ם.” לאור השקפתו של ר׳ </w:t>
      </w:r>
      <w:proofErr w:type="spellStart"/>
      <w:r>
        <w:rPr>
          <w:rtl/>
        </w:rPr>
        <w:t xml:space="preserve">יוסף־דב</w:t>
      </w:r>
      <w:proofErr w:type="spellEnd"/>
      <w:r>
        <w:rPr>
          <w:rtl/>
        </w:rPr>
        <w:t xml:space="preserve"> על תורת סבו, ודאי ראה בדברי ר׳ </w:t>
      </w:r>
      <w:proofErr w:type="spellStart"/>
      <w:r>
        <w:rPr>
          <w:rtl/>
        </w:rPr>
        <w:t>יחיאל־יעקב</w:t>
      </w:r>
      <w:proofErr w:type="spellEnd"/>
      <w:r>
        <w:rPr>
          <w:rtl/>
        </w:rPr>
        <w:t xml:space="preserve"> ויינברג חירוף – חמור בהרבה ממה שראה ר׳ </w:t>
      </w:r>
      <w:proofErr w:type="spellStart"/>
      <w:r>
        <w:rPr>
          <w:rtl/>
        </w:rPr>
        <w:t>ברוך־בער</w:t>
      </w:r>
      <w:proofErr w:type="spellEnd"/>
      <w:r>
        <w:rPr>
          <w:rtl/>
        </w:rPr>
        <w:t xml:space="preserve"> בביקורתו של ר׳ שלמה היימן!</w:t>
      </w:r>
    </w:p>
    <w:bookmarkStart w:id="2700" w:name="b3_excJ"/>
    <w:p w14:paraId="4533B12B" w14:textId="77777777" w:rsidR="00AB3647" w:rsidRDefault="00000000" w:rsidP="007923E9">
      <w:pPr>
        <w:pStyle w:val="3"/>
        <w:spacing w:line="276" w:lineRule="auto"/>
      </w:pPr>
      <w:r>
        <w:lastRenderedPageBreak/>
        <w:fldChar w:fldCharType="begin" w:dirty="true"/>
      </w:r>
      <w:r>
        <w:rPr>
          <w:rtl w:val="0"/>
        </w:rPr>
        <w:instrText>HYPERLINK \l "b3_note33</w:instrText>
      </w:r>
      <w:r>
        <w:instrText>"</w:instrText>
      </w:r>
      <w:r>
        <w:fldChar w:fldCharType="separate"/>
      </w:r>
      <w:r>
        <w:t>נספח י</w:t>
      </w:r>
      <w:r>
        <w:fldChar w:fldCharType="end"/>
      </w:r>
      <w:bookmarkEnd w:id="2700"/>
    </w:p>
    <w:p w14:paraId="6B20911D" w14:textId="77777777" w:rsidR="00AB3647" w:rsidRDefault="00000000" w:rsidP="007923E9">
      <w:pPr>
        <w:pStyle w:val="af"/>
        <w:spacing w:line="276" w:lineRule="auto"/>
      </w:pPr>
      <w:r>
        <w:t xml:space="preserve">על מינוי הגיסים ר׳ </w:t>
      </w:r>
      <w:proofErr w:type="spellStart"/>
      <w:r>
        <w:t>משה־מרדכי</w:t>
      </w:r>
      <w:proofErr w:type="spellEnd"/>
      <w:r>
        <w:t xml:space="preserve"> אפשטיין ור׳ </w:t>
      </w:r>
      <w:proofErr w:type="spellStart"/>
      <w:r>
        <w:t>איסר־זלמן</w:t>
      </w:r>
      <w:proofErr w:type="spellEnd"/>
      <w:r>
        <w:t xml:space="preserve"> מלצר לראשי ישיבה </w:t>
      </w:r>
      <w:proofErr w:type="spellStart"/>
      <w:r>
        <w:t>בסלבודקה</w:t>
      </w:r>
      <w:proofErr w:type="spellEnd"/>
    </w:p>
    <w:p w14:paraId="5B6C0536" w14:textId="77777777" w:rsidR="00AB3647" w:rsidRDefault="00000000" w:rsidP="007923E9">
      <w:pPr>
        <w:pStyle w:val="4"/>
        <w:spacing w:line="276" w:lineRule="auto"/>
      </w:pPr>
      <w:r>
        <w:t>· הפסקה הראשונה ·</w:t>
      </w:r>
    </w:p>
    <w:p w14:paraId="5A10D63C" w14:textId="77777777" w:rsidR="00AB3647" w:rsidRDefault="00000000" w:rsidP="007923E9">
      <w:pPr>
        <w:pStyle w:val="5"/>
        <w:spacing w:line="276" w:lineRule="auto"/>
      </w:pPr>
      <w:r>
        <w:t xml:space="preserve">חתני פרנק הם תלמידי ר׳ חיים </w:t>
      </w:r>
      <w:proofErr w:type="spellStart"/>
      <w:r>
        <w:t>סולובייצ׳יק</w:t>
      </w:r>
      <w:proofErr w:type="spellEnd"/>
      <w:r>
        <w:t xml:space="preserve"> </w:t>
      </w:r>
      <w:proofErr w:type="spellStart"/>
      <w:r>
        <w:t>בוולוז׳ין</w:t>
      </w:r>
      <w:proofErr w:type="spellEnd"/>
      <w:r>
        <w:t xml:space="preserve"> – בקובנה הם מתקרבים לתלמידו של ר׳ ישראל, ר׳ </w:t>
      </w:r>
      <w:proofErr w:type="spellStart"/>
      <w:r>
        <w:t>איצל׳ה</w:t>
      </w:r>
      <w:proofErr w:type="spellEnd"/>
      <w:r>
        <w:t xml:space="preserve"> </w:t>
      </w:r>
      <w:proofErr w:type="spellStart"/>
      <w:r>
        <w:t>בלאזר</w:t>
      </w:r>
      <w:proofErr w:type="spellEnd"/>
      <w:r>
        <w:t xml:space="preserve"> – ר׳ </w:t>
      </w:r>
      <w:proofErr w:type="spellStart"/>
      <w:r>
        <w:t>איצל׳ה</w:t>
      </w:r>
      <w:proofErr w:type="spellEnd"/>
      <w:r>
        <w:t xml:space="preserve"> קובע שר׳ </w:t>
      </w:r>
      <w:proofErr w:type="spellStart"/>
      <w:r>
        <w:t>משה־מרדכי</w:t>
      </w:r>
      <w:proofErr w:type="spellEnd"/>
      <w:r>
        <w:t xml:space="preserve"> יכול לוותר על המוסר – ר׳ </w:t>
      </w:r>
      <w:proofErr w:type="spellStart"/>
      <w:r>
        <w:t>ברוך־בער</w:t>
      </w:r>
      <w:proofErr w:type="spellEnd"/>
      <w:r>
        <w:t xml:space="preserve"> עומד בתוקף בדחיית המוסר, ואילו ר׳ </w:t>
      </w:r>
      <w:proofErr w:type="spellStart"/>
      <w:r>
        <w:t>איסר־זלמן</w:t>
      </w:r>
      <w:proofErr w:type="spellEnd"/>
      <w:r>
        <w:t xml:space="preserve"> מאמץ את דרכי </w:t>
      </w:r>
      <w:proofErr w:type="spellStart"/>
      <w:r>
        <w:t>סלבודקה</w:t>
      </w:r>
      <w:proofErr w:type="spellEnd"/>
    </w:p>
    <w:p w14:paraId="52F7B208"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אפשטיין ור׳ </w:t>
      </w:r>
      <w:proofErr w:type="spellStart"/>
      <w:r>
        <w:rPr>
          <w:rtl/>
        </w:rPr>
        <w:t>איסר־זלמן</w:t>
      </w:r>
      <w:proofErr w:type="spellEnd"/>
      <w:r>
        <w:rPr>
          <w:rtl/>
        </w:rPr>
        <w:t xml:space="preserve"> מלצר נשאו את בנותיו של המנוח ר׳ </w:t>
      </w:r>
      <w:proofErr w:type="spellStart"/>
      <w:r>
        <w:rPr>
          <w:rtl/>
        </w:rPr>
        <w:t>שרגא־פייבל</w:t>
      </w:r>
      <w:proofErr w:type="spellEnd"/>
      <w:r>
        <w:rPr>
          <w:rtl/>
        </w:rPr>
        <w:t xml:space="preserve"> פרנק (נולד בשנת תר״ג, נפטר בשנת תרמ״ו), סוחר פרוות עשיר בקובנה שהתהלכו אגדות על דבקותו בתורה ובמוסר. ר׳ </w:t>
      </w:r>
      <w:proofErr w:type="spellStart"/>
      <w:r>
        <w:rPr>
          <w:rtl/>
        </w:rPr>
        <w:t>משה־מרדכי</w:t>
      </w:r>
      <w:proofErr w:type="spellEnd"/>
      <w:r>
        <w:rPr>
          <w:rtl/>
        </w:rPr>
        <w:t xml:space="preserve">, שנולד בשנת תרכ״ו, היה התגלמות השקידה בישיבת </w:t>
      </w:r>
      <w:proofErr w:type="spellStart"/>
      <w:r>
        <w:rPr>
          <w:rtl/>
        </w:rPr>
        <w:t>וולוז׳ין</w:t>
      </w:r>
      <w:proofErr w:type="spellEnd"/>
      <w:r>
        <w:rPr>
          <w:rtl/>
        </w:rPr>
        <w:t xml:space="preserve">. הוא הצטרף אליה בשנת תרמ״ב ועזב אותה בשנת תרמ״ט, כשנשא אישה. ר׳ </w:t>
      </w:r>
      <w:proofErr w:type="spellStart"/>
      <w:r>
        <w:rPr>
          <w:rtl/>
        </w:rPr>
        <w:t>איסר־זלמן</w:t>
      </w:r>
      <w:proofErr w:type="spellEnd"/>
      <w:r>
        <w:rPr>
          <w:rtl/>
        </w:rPr>
        <w:t xml:space="preserve"> היה תלמידו החביב של ר׳ חיים </w:t>
      </w:r>
      <w:proofErr w:type="spellStart"/>
      <w:r>
        <w:rPr>
          <w:rtl/>
        </w:rPr>
        <w:t>סולובייצ׳יק</w:t>
      </w:r>
      <w:proofErr w:type="spellEnd"/>
      <w:r>
        <w:rPr>
          <w:rtl/>
        </w:rPr>
        <w:t xml:space="preserve">, המחדש הגדול בלימוד התלמוד והמשנה לראש ישיבת </w:t>
      </w:r>
      <w:proofErr w:type="spellStart"/>
      <w:r>
        <w:rPr>
          <w:rtl/>
        </w:rPr>
        <w:t>וולוז׳ין</w:t>
      </w:r>
      <w:proofErr w:type="spellEnd"/>
      <w:r>
        <w:rPr>
          <w:rtl/>
        </w:rPr>
        <w:t>.</w:t>
      </w:r>
      <w:bookmarkStart w:id="2701" w:name="_fnr1839"/>
      <w:r>
        <w:rPr>
          <w:rStyle w:val="a5"/>
        </w:rPr>
        <w:footnoteReference w:id="1843" w:customMarkFollows="0"/>
      </w:r>
      <w:bookmarkEnd w:id="2701"/>
    </w:p>
    <w:p w14:paraId="0375CEE0" w14:textId="25C54C8D" w:rsidR="00AB3647" w:rsidRDefault="00000000" w:rsidP="007923E9">
      <w:pPr>
        <w:spacing w:after="120" w:line="276" w:lineRule="auto"/>
        <w:ind w:firstLine="283"/>
        <w:jc w:val="both"/>
      </w:pPr>
      <w:r>
        <w:rPr>
          <w:rtl/>
        </w:rPr>
        <w:t xml:space="preserve">ר׳ חיים נשא בשנת תרל״ג את נכדתו של ראש הישיבה, </w:t>
      </w:r>
      <w:proofErr w:type="spellStart"/>
      <w:r>
        <w:rPr>
          <w:rtl/>
        </w:rPr>
        <w:t>הנצי״ב</w:t>
      </w:r>
      <w:proofErr w:type="spellEnd"/>
      <w:r>
        <w:rPr>
          <w:rtl/>
        </w:rPr>
        <w:t xml:space="preserve"> – בתו של חתן </w:t>
      </w:r>
      <w:proofErr w:type="spellStart"/>
      <w:r>
        <w:rPr>
          <w:rtl/>
        </w:rPr>
        <w:t>הנצי״ב</w:t>
      </w:r>
      <w:proofErr w:type="spellEnd"/>
      <w:r>
        <w:rPr>
          <w:rtl/>
        </w:rPr>
        <w:t xml:space="preserve">, ר׳ רפאל שפירא (שהיה בנו של ר׳ </w:t>
      </w:r>
      <w:proofErr w:type="spellStart"/>
      <w:r>
        <w:rPr>
          <w:rtl/>
        </w:rPr>
        <w:t>לייבל׳ה</w:t>
      </w:r>
      <w:proofErr w:type="spellEnd"/>
      <w:r>
        <w:rPr>
          <w:rtl/>
        </w:rPr>
        <w:t>, רבה הראשון של קובנה).</w:t>
      </w:r>
      <w:bookmarkStart w:id="2702" w:name="_fnr1840"/>
      <w:r>
        <w:rPr>
          <w:rStyle w:val="a5"/>
        </w:rPr>
        <w:footnoteReference w:id="1844" w:customMarkFollows="0"/>
      </w:r>
      <w:bookmarkEnd w:id="2702"/>
      <w:r>
        <w:rPr>
          <w:rtl/>
        </w:rPr>
        <w:t xml:space="preserve"> המינוי </w:t>
      </w:r>
      <w:proofErr w:type="spellStart"/>
      <w:r>
        <w:rPr>
          <w:rtl/>
        </w:rPr>
        <w:t>בוולוז׳ין</w:t>
      </w:r>
      <w:proofErr w:type="spellEnd"/>
      <w:r>
        <w:rPr>
          <w:rtl/>
        </w:rPr>
        <w:t xml:space="preserve"> ניתן </w:t>
      </w:r>
      <w:proofErr w:type="spellStart"/>
      <w:r>
        <w:rPr>
          <w:rtl/>
        </w:rPr>
        <w:t>לר</w:t>
      </w:r>
      <w:proofErr w:type="spellEnd"/>
      <w:r>
        <w:rPr>
          <w:rtl/>
        </w:rPr>
        <w:t xml:space="preserve">׳ חיים לפי </w:t>
      </w:r>
      <w:proofErr w:type="spellStart"/>
      <w:r>
        <w:rPr>
          <w:rtl/>
        </w:rPr>
        <w:t>שטמפפר</w:t>
      </w:r>
      <w:bookmarkStart w:id="2703" w:name="_fnr1841"/>
      <w:proofErr w:type="spellEnd"/>
      <w:r>
        <w:rPr>
          <w:rStyle w:val="a5"/>
        </w:rPr>
        <w:footnoteReference w:id="1845" w:customMarkFollows="0"/>
      </w:r>
      <w:bookmarkEnd w:id="2703"/>
      <w:r>
        <w:rPr>
          <w:rtl/>
        </w:rPr>
        <w:t xml:space="preserve"> ב“1881”; לפי “הראשון לשושלת </w:t>
      </w:r>
      <w:proofErr w:type="spellStart"/>
      <w:r>
        <w:rPr>
          <w:rtl/>
        </w:rPr>
        <w:t>בריסק</w:t>
      </w:r>
      <w:proofErr w:type="spellEnd"/>
      <w:r>
        <w:rPr>
          <w:rtl/>
        </w:rPr>
        <w:t>”</w:t>
      </w:r>
      <w:bookmarkStart w:id="2704" w:name="_fnr1842"/>
      <w:r>
        <w:rPr>
          <w:rStyle w:val="a5"/>
        </w:rPr>
        <w:footnoteReference w:id="1846" w:customMarkFollows="0"/>
      </w:r>
      <w:bookmarkEnd w:id="2704"/>
      <w:r>
        <w:rPr>
          <w:rtl/>
        </w:rPr>
        <w:t xml:space="preserve"> – מעט קודם לכן, “בתחילת תרמ״א”; ולפי “אישים ושיטות” מאת הרב שלמה יוסף </w:t>
      </w:r>
      <w:proofErr w:type="spellStart"/>
      <w:r>
        <w:rPr>
          <w:rtl/>
        </w:rPr>
        <w:t>זוין</w:t>
      </w:r>
      <w:bookmarkStart w:id="2705" w:name="_fnr1843"/>
      <w:proofErr w:type="spellEnd"/>
      <w:r>
        <w:rPr>
          <w:rStyle w:val="a5"/>
        </w:rPr>
        <w:footnoteReference w:id="1847" w:customMarkFollows="0"/>
      </w:r>
      <w:bookmarkEnd w:id="2705"/>
      <w:r>
        <w:rPr>
          <w:rtl/>
        </w:rPr>
        <w:t xml:space="preserve"> – מוקדם עוד יותר, “בשנת </w:t>
      </w:r>
      <w:proofErr w:type="spellStart"/>
      <w:r>
        <w:rPr>
          <w:rtl/>
        </w:rPr>
        <w:t>תר״ם</w:t>
      </w:r>
      <w:proofErr w:type="spellEnd"/>
      <w:r>
        <w:rPr>
          <w:rtl/>
        </w:rPr>
        <w:t xml:space="preserve">”. אני מקבל את התאריך המוקדם ביותר, של “אישים ושיטות”, כפי שעולה ממכתביו של ר׳ </w:t>
      </w:r>
      <w:proofErr w:type="spellStart"/>
      <w:r>
        <w:rPr>
          <w:rtl/>
        </w:rPr>
        <w:t>חיים־עוזר</w:t>
      </w:r>
      <w:proofErr w:type="spellEnd"/>
      <w:r>
        <w:rPr>
          <w:rtl/>
        </w:rPr>
        <w:t xml:space="preserve"> הנזכרים בפסקה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w:t>
      </w:r>
      <w:bookmarkStart w:id="2706" w:name="_fnr1844"/>
      <w:r>
        <w:rPr>
          <w:rStyle w:val="a5"/>
        </w:rPr>
        <w:footnoteReference w:id="1848" w:customMarkFollows="0"/>
      </w:r>
      <w:bookmarkEnd w:id="2706"/>
      <w:r>
        <w:rPr>
          <w:rtl/>
        </w:rPr>
        <w:t xml:space="preserve"> לפי זה, החברותא בין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כששניהם למדו בהשגחת אביו של ר׳ חיים </w:t>
      </w:r>
      <w:proofErr w:type="spellStart"/>
      <w:r>
        <w:rPr>
          <w:rtl/>
        </w:rPr>
        <w:t>בבריסק</w:t>
      </w:r>
      <w:proofErr w:type="spellEnd"/>
      <w:r>
        <w:rPr>
          <w:rtl/>
        </w:rPr>
        <w:t>,</w:t>
      </w:r>
      <w:bookmarkStart w:id="2707" w:name="_fnr1845"/>
      <w:r>
        <w:rPr>
          <w:rStyle w:val="a5"/>
        </w:rPr>
        <w:footnoteReference w:id="1849" w:customMarkFollows="0"/>
      </w:r>
      <w:bookmarkEnd w:id="2707"/>
      <w:r>
        <w:rPr>
          <w:rtl/>
        </w:rPr>
        <w:t xml:space="preserve"> לא נמשכה שנתיים, כטענת “הראשון לשושלת </w:t>
      </w:r>
      <w:proofErr w:type="spellStart"/>
      <w:r>
        <w:rPr>
          <w:rtl/>
        </w:rPr>
        <w:t>בריסק</w:t>
      </w:r>
      <w:proofErr w:type="spellEnd"/>
      <w:r>
        <w:rPr>
          <w:rtl/>
        </w:rPr>
        <w:t>”,</w:t>
      </w:r>
      <w:bookmarkStart w:id="2708" w:name="_fnr1846"/>
      <w:r>
        <w:rPr>
          <w:rStyle w:val="a5"/>
        </w:rPr>
        <w:footnoteReference w:id="1850" w:customMarkFollows="0"/>
      </w:r>
      <w:bookmarkEnd w:id="2708"/>
      <w:r>
        <w:rPr>
          <w:rtl/>
        </w:rPr>
        <w:t xml:space="preserve"> אלא פחות משנה: מתום ימי </w:t>
      </w:r>
      <w:proofErr w:type="spellStart"/>
      <w:r>
        <w:rPr>
          <w:rtl/>
        </w:rPr>
        <w:t>ה“קעסט</w:t>
      </w:r>
      <w:proofErr w:type="spellEnd"/>
      <w:r>
        <w:rPr>
          <w:rtl/>
        </w:rPr>
        <w:t xml:space="preserve">” של ר׳ חיים </w:t>
      </w:r>
      <w:proofErr w:type="spellStart"/>
      <w:r>
        <w:rPr>
          <w:rtl/>
        </w:rPr>
        <w:t>בוולוז׳ין</w:t>
      </w:r>
      <w:proofErr w:type="spellEnd"/>
      <w:r>
        <w:rPr>
          <w:rtl/>
        </w:rPr>
        <w:t xml:space="preserve"> בסוף קיץ תרל״ט ועד תחילת הקיץ של השנה שלאחריה.</w:t>
      </w:r>
    </w:p>
    <w:p w14:paraId="598E256A"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הגיע </w:t>
      </w:r>
      <w:proofErr w:type="spellStart"/>
      <w:r>
        <w:rPr>
          <w:rtl/>
        </w:rPr>
        <w:t>לוולוז׳ין</w:t>
      </w:r>
      <w:proofErr w:type="spellEnd"/>
      <w:r>
        <w:rPr>
          <w:rtl/>
        </w:rPr>
        <w:t xml:space="preserve"> שנה אחרי ר׳ </w:t>
      </w:r>
      <w:proofErr w:type="spellStart"/>
      <w:r>
        <w:rPr>
          <w:rtl/>
        </w:rPr>
        <w:t>משה־מרדכי</w:t>
      </w:r>
      <w:proofErr w:type="spellEnd"/>
      <w:r>
        <w:rPr>
          <w:rtl/>
        </w:rPr>
        <w:t xml:space="preserve">, בשנת תרמ״ג, ועזב בשנת תרנ״ב, מיד אחרי שובו של ר׳ חיים </w:t>
      </w:r>
      <w:proofErr w:type="spellStart"/>
      <w:r>
        <w:rPr>
          <w:rtl/>
        </w:rPr>
        <w:t>לוולוז׳ין</w:t>
      </w:r>
      <w:proofErr w:type="spellEnd"/>
      <w:r>
        <w:rPr>
          <w:rtl/>
        </w:rPr>
        <w:t xml:space="preserve"> </w:t>
      </w:r>
      <w:proofErr w:type="spellStart"/>
      <w:r>
        <w:rPr>
          <w:rtl/>
        </w:rPr>
        <w:t>מבריסק</w:t>
      </w:r>
      <w:proofErr w:type="spellEnd"/>
      <w:r>
        <w:rPr>
          <w:rtl/>
        </w:rPr>
        <w:t xml:space="preserve">, ששם שהה כמה חודשים כדי לסעוד את אביו החולה. כפי שהתברר, היה זה ממש לפני שנסגרה ישיבת </w:t>
      </w:r>
      <w:proofErr w:type="spellStart"/>
      <w:r>
        <w:rPr>
          <w:rtl/>
        </w:rPr>
        <w:t>וולוז׳ין</w:t>
      </w:r>
      <w:proofErr w:type="spellEnd"/>
      <w:r>
        <w:rPr>
          <w:rtl/>
        </w:rPr>
        <w:t>.</w:t>
      </w:r>
    </w:p>
    <w:p w14:paraId="3D3E3CA2" w14:textId="77777777" w:rsidR="00AB3647" w:rsidRDefault="00000000" w:rsidP="007923E9">
      <w:pPr>
        <w:spacing w:after="120" w:line="276" w:lineRule="auto"/>
        <w:ind w:firstLine="283"/>
        <w:jc w:val="both"/>
      </w:pPr>
      <w:bookmarkStart w:id="2709" w:name="pr_b_1158"/>
      <w:bookmarkEnd w:id="2709"/>
      <w:r>
        <w:rPr>
          <w:rtl/>
        </w:rPr>
        <w:lastRenderedPageBreak/>
        <w:t xml:space="preserve">לפי הריאיון המוקלט על הסבא </w:t>
      </w:r>
      <w:proofErr w:type="spellStart"/>
      <w:r>
        <w:rPr>
          <w:rtl/>
        </w:rPr>
        <w:t>מסלבודקה</w:t>
      </w:r>
      <w:proofErr w:type="spellEnd"/>
      <w:r>
        <w:rPr>
          <w:rtl/>
        </w:rPr>
        <w:t xml:space="preserve">, נעשו שני הגיסים לחסידיו של ר׳ </w:t>
      </w:r>
      <w:proofErr w:type="spellStart"/>
      <w:r>
        <w:rPr>
          <w:rtl/>
        </w:rPr>
        <w:t>איצל׳ה</w:t>
      </w:r>
      <w:proofErr w:type="spellEnd"/>
      <w:r>
        <w:rPr>
          <w:rtl/>
        </w:rPr>
        <w:t xml:space="preserve"> </w:t>
      </w:r>
      <w:proofErr w:type="spellStart"/>
      <w:r>
        <w:rPr>
          <w:rtl/>
        </w:rPr>
        <w:t>בלאזר</w:t>
      </w:r>
      <w:proofErr w:type="spellEnd"/>
      <w:r>
        <w:rPr>
          <w:rtl/>
        </w:rPr>
        <w:t xml:space="preserve"> בדרך המוסר</w:t>
      </w:r>
      <w:bookmarkStart w:id="2710" w:name="_fnr1847"/>
      <w:r>
        <w:rPr>
          <w:rStyle w:val="a5"/>
        </w:rPr>
        <w:footnoteReference w:id="1851" w:customMarkFollows="0"/>
      </w:r>
      <w:bookmarkEnd w:id="2710"/>
      <w:r>
        <w:rPr>
          <w:rtl/>
        </w:rPr>
        <w:t xml:space="preserve"> אחרי שנכנסו למשפחת פרנק הדבקה במוסר. בספרו של </w:t>
      </w:r>
      <w:proofErr w:type="spellStart"/>
      <w:r>
        <w:rPr>
          <w:rtl/>
        </w:rPr>
        <w:t>ידעאל</w:t>
      </w:r>
      <w:proofErr w:type="spellEnd"/>
      <w:r>
        <w:rPr>
          <w:rtl/>
        </w:rPr>
        <w:t xml:space="preserve"> מלצר, “בדרך עץ החיים”</w:t>
      </w:r>
      <w:bookmarkStart w:id="2711" w:name="_fnr1848"/>
      <w:r>
        <w:rPr>
          <w:rStyle w:val="a5"/>
        </w:rPr>
        <w:footnoteReference w:id="1852" w:customMarkFollows="0"/>
      </w:r>
      <w:bookmarkEnd w:id="2711"/>
      <w:r>
        <w:rPr>
          <w:rtl/>
        </w:rPr>
        <w:t xml:space="preserve">, מובאים דברי רבנו, ששניהם היו מבקרים בביתו של ר׳ </w:t>
      </w:r>
      <w:proofErr w:type="spellStart"/>
      <w:r>
        <w:rPr>
          <w:rtl/>
        </w:rPr>
        <w:t>איצל׳ה</w:t>
      </w:r>
      <w:proofErr w:type="spellEnd"/>
      <w:r>
        <w:rPr>
          <w:rtl/>
        </w:rPr>
        <w:t xml:space="preserve"> בקובנה “ומקבלים ממנו הדרכה רוחנית”. על יחסו של ר׳ </w:t>
      </w:r>
      <w:proofErr w:type="spellStart"/>
      <w:r>
        <w:rPr>
          <w:rtl/>
        </w:rPr>
        <w:t>איסר־זלמן</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השווה שם,</w:t>
      </w:r>
      <w:bookmarkStart w:id="2712" w:name="_fnr1849"/>
      <w:r>
        <w:rPr>
          <w:rStyle w:val="a5"/>
        </w:rPr>
        <w:footnoteReference w:id="1853" w:customMarkFollows="0"/>
      </w:r>
      <w:bookmarkEnd w:id="2712"/>
      <w:r>
        <w:rPr>
          <w:rtl/>
        </w:rPr>
        <w:t xml:space="preserve"> המביא ציטוטים רבים ממה שאמר הראשון בשם ר׳ </w:t>
      </w:r>
      <w:proofErr w:type="spellStart"/>
      <w:r>
        <w:rPr>
          <w:rtl/>
        </w:rPr>
        <w:t>איצל׳ה</w:t>
      </w:r>
      <w:proofErr w:type="spellEnd"/>
      <w:r>
        <w:rPr>
          <w:rtl/>
        </w:rPr>
        <w:t xml:space="preserve"> בשיחות מוסר מזדמנות.</w:t>
      </w:r>
    </w:p>
    <w:p w14:paraId="17A8E6A0" w14:textId="77777777" w:rsidR="00AB3647" w:rsidRDefault="00000000" w:rsidP="007923E9">
      <w:pPr>
        <w:spacing w:after="120" w:line="276" w:lineRule="auto"/>
        <w:ind w:firstLine="283"/>
        <w:jc w:val="both"/>
      </w:pPr>
      <w:r>
        <w:rPr>
          <w:rtl/>
        </w:rPr>
        <w:t xml:space="preserve">השווה גם “פירושי לב איברא” מאת ר׳ </w:t>
      </w:r>
      <w:proofErr w:type="spellStart"/>
      <w:r>
        <w:rPr>
          <w:rtl/>
        </w:rPr>
        <w:t>יוסף־אליהו</w:t>
      </w:r>
      <w:proofErr w:type="spellEnd"/>
      <w:r>
        <w:rPr>
          <w:rtl/>
        </w:rPr>
        <w:t xml:space="preserve"> </w:t>
      </w:r>
      <w:proofErr w:type="spellStart"/>
      <w:r>
        <w:rPr>
          <w:rtl/>
        </w:rPr>
        <w:t>הענקין</w:t>
      </w:r>
      <w:proofErr w:type="spellEnd"/>
      <w:r>
        <w:rPr>
          <w:rtl/>
        </w:rPr>
        <w:t>,</w:t>
      </w:r>
      <w:bookmarkStart w:id="2713" w:name="_fnr1850"/>
      <w:r>
        <w:rPr>
          <w:rStyle w:val="a5"/>
        </w:rPr>
        <w:footnoteReference w:id="1854" w:customMarkFollows="0"/>
      </w:r>
      <w:bookmarkEnd w:id="2713"/>
      <w:r>
        <w:rPr>
          <w:rtl/>
        </w:rPr>
        <w:t xml:space="preserve"> שבו נדפס מחדש הספד</w:t>
      </w:r>
      <w:bookmarkStart w:id="2714" w:name="_fnr1851"/>
      <w:r>
        <w:rPr>
          <w:rStyle w:val="a5"/>
        </w:rPr>
        <w:footnoteReference w:id="1855" w:customMarkFollows="0"/>
      </w:r>
      <w:bookmarkEnd w:id="2714"/>
      <w:r>
        <w:rPr>
          <w:rtl/>
        </w:rPr>
        <w:t xml:space="preserve"> שבו נזכר הרב </w:t>
      </w:r>
      <w:proofErr w:type="spellStart"/>
      <w:r>
        <w:rPr>
          <w:rtl/>
        </w:rPr>
        <w:t>הענקין</w:t>
      </w:r>
      <w:proofErr w:type="spellEnd"/>
      <w:r>
        <w:rPr>
          <w:rtl/>
        </w:rPr>
        <w:t xml:space="preserve">: “שיחות המוסר של ר׳ </w:t>
      </w:r>
      <w:proofErr w:type="spellStart"/>
      <w:r>
        <w:rPr>
          <w:rtl/>
        </w:rPr>
        <w:t>איסר־זלמן</w:t>
      </w:r>
      <w:proofErr w:type="spellEnd"/>
      <w:r>
        <w:rPr>
          <w:rtl/>
        </w:rPr>
        <w:t xml:space="preserve"> עשו רושם עצום; ואני זוכר כמה משיחותיו לפני תפילת ערבית במוצאי שבת – איך היו מלהיבות את הלבבות ביראת שמים – ובייחוד בחודש אלול ובעשרת ימי תשובה, כשהיה בוכה בכי רב.” כץ, “תנועת המוסר”, כרך ג</w:t>
      </w:r>
      <w:bookmarkStart w:id="2715" w:name="_fnr1852"/>
      <w:r>
        <w:rPr>
          <w:rStyle w:val="a5"/>
        </w:rPr>
        <w:footnoteReference w:id="1856" w:customMarkFollows="0"/>
      </w:r>
      <w:bookmarkEnd w:id="2715"/>
      <w:r>
        <w:rPr>
          <w:rtl/>
        </w:rPr>
        <w:t xml:space="preserve">, טוען ששני הגיסים היו גם “מן המבקרים בתלמוד התורה </w:t>
      </w:r>
      <w:proofErr w:type="spellStart"/>
      <w:r>
        <w:rPr>
          <w:rtl/>
        </w:rPr>
        <w:t>בקלם</w:t>
      </w:r>
      <w:proofErr w:type="spellEnd"/>
      <w:r>
        <w:rPr>
          <w:rtl/>
        </w:rPr>
        <w:t>”. אבל אבי מעולם לא הזכיר דבר זה, ואין לו סימוכין בספרו של מלצר.</w:t>
      </w:r>
      <w:bookmarkStart w:id="2716" w:name="_fnr1853"/>
      <w:r>
        <w:rPr>
          <w:rStyle w:val="a5"/>
        </w:rPr>
        <w:footnoteReference w:id="1857" w:customMarkFollows="0"/>
      </w:r>
      <w:bookmarkEnd w:id="2716"/>
      <w:r>
        <w:rPr>
          <w:rtl/>
        </w:rPr>
        <w:t xml:space="preserve"> עוד מסופר שר׳ </w:t>
      </w:r>
      <w:proofErr w:type="spellStart"/>
      <w:r>
        <w:rPr>
          <w:rtl/>
        </w:rPr>
        <w:t>איסר־זלמן</w:t>
      </w:r>
      <w:proofErr w:type="spellEnd"/>
      <w:r>
        <w:rPr>
          <w:rtl/>
        </w:rPr>
        <w:t xml:space="preserve"> אמר: “הייתי מבעלי מוסר”, ומיד תיקן את עצמו: “לא... לא, הייתי </w:t>
      </w:r>
      <w:r>
        <w:rPr>
          <w:b/>
          <w:bCs/>
          <w:rtl/>
        </w:rPr>
        <w:t>מלומדי</w:t>
      </w:r>
      <w:r>
        <w:rPr>
          <w:rtl/>
        </w:rPr>
        <w:t xml:space="preserve"> מוסר.”</w:t>
      </w:r>
      <w:bookmarkStart w:id="2717" w:name="_fnr1854"/>
      <w:r>
        <w:rPr>
          <w:rStyle w:val="a5"/>
        </w:rPr>
        <w:footnoteReference w:id="1858" w:customMarkFollows="0"/>
      </w:r>
      <w:bookmarkEnd w:id="2717"/>
    </w:p>
    <w:p w14:paraId="45A43E73" w14:textId="77777777" w:rsidR="00AB3647" w:rsidRDefault="00000000" w:rsidP="007923E9">
      <w:pPr>
        <w:spacing w:after="120" w:line="276" w:lineRule="auto"/>
        <w:ind w:firstLine="283"/>
        <w:jc w:val="both"/>
      </w:pPr>
      <w:r>
        <w:rPr>
          <w:rtl/>
        </w:rPr>
        <w:t>ר׳ לייזר גולדשמידט סיפר</w:t>
      </w:r>
      <w:bookmarkStart w:id="2718" w:name="_fnr1855"/>
      <w:r>
        <w:rPr>
          <w:rStyle w:val="a5"/>
        </w:rPr>
        <w:footnoteReference w:id="1859" w:customMarkFollows="0"/>
      </w:r>
      <w:bookmarkEnd w:id="2718"/>
      <w:r>
        <w:rPr>
          <w:rtl/>
        </w:rPr>
        <w:t xml:space="preserve"> ששמע מר׳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 קובנה, בן דורם של הגיסים </w:t>
      </w:r>
      <w:proofErr w:type="spellStart"/>
      <w:r>
        <w:rPr>
          <w:rtl/>
        </w:rPr>
        <w:t>בוולוז׳ין</w:t>
      </w:r>
      <w:proofErr w:type="spellEnd"/>
      <w:r>
        <w:rPr>
          <w:rtl/>
        </w:rPr>
        <w:t xml:space="preserve">, שר׳ חיים </w:t>
      </w:r>
      <w:proofErr w:type="spellStart"/>
      <w:r>
        <w:rPr>
          <w:rtl/>
        </w:rPr>
        <w:t>סולובייצ׳יק</w:t>
      </w:r>
      <w:proofErr w:type="spellEnd"/>
      <w:r>
        <w:rPr>
          <w:rtl/>
        </w:rPr>
        <w:t xml:space="preserve"> אמר לו: “פשוט אינני יכול להבין מה הטה את שני תלמידיי, </w:t>
      </w:r>
      <w:r>
        <w:rPr>
          <w:b/>
          <w:bCs/>
          <w:rtl/>
        </w:rPr>
        <w:t xml:space="preserve">ובייחוד את </w:t>
      </w:r>
      <w:proofErr w:type="spellStart"/>
      <w:r>
        <w:rPr>
          <w:b/>
          <w:bCs/>
          <w:rtl/>
        </w:rPr>
        <w:t>זוניה</w:t>
      </w:r>
      <w:proofErr w:type="spellEnd"/>
      <w:r>
        <w:rPr>
          <w:rtl/>
        </w:rPr>
        <w:t xml:space="preserve"> ר׳ </w:t>
      </w:r>
      <w:proofErr w:type="spellStart"/>
      <w:r>
        <w:rPr>
          <w:rtl/>
        </w:rPr>
        <w:t>איסר־זלמן</w:t>
      </w:r>
      <w:proofErr w:type="spellEnd"/>
      <w:r>
        <w:rPr>
          <w:rtl/>
        </w:rPr>
        <w:t xml:space="preserve"> מלצר, לצדד במוסר.”</w:t>
      </w:r>
      <w:bookmarkStart w:id="2719" w:name="_fnr1856"/>
      <w:r>
        <w:rPr>
          <w:rStyle w:val="a5"/>
        </w:rPr>
        <w:footnoteReference w:id="1860" w:customMarkFollows="0"/>
      </w:r>
      <w:bookmarkEnd w:id="2719"/>
    </w:p>
    <w:p w14:paraId="48FC8FB4" w14:textId="77777777" w:rsidR="00AB3647" w:rsidRDefault="00000000" w:rsidP="007923E9">
      <w:pPr>
        <w:spacing w:after="120" w:line="276" w:lineRule="auto"/>
        <w:ind w:firstLine="283"/>
        <w:jc w:val="both"/>
      </w:pPr>
      <w:r>
        <w:rPr>
          <w:rtl/>
        </w:rPr>
        <w:t xml:space="preserve">בקשר לנטייתו של ר׳ </w:t>
      </w:r>
      <w:proofErr w:type="spellStart"/>
      <w:r>
        <w:rPr>
          <w:rtl/>
        </w:rPr>
        <w:t>משה־מרדכי</w:t>
      </w:r>
      <w:proofErr w:type="spellEnd"/>
      <w:r>
        <w:rPr>
          <w:rtl/>
        </w:rPr>
        <w:t xml:space="preserve"> אפשטיין אל המוסר, מאלף להביא את הדברים שאמר עליו ר׳ </w:t>
      </w:r>
      <w:proofErr w:type="spellStart"/>
      <w:r>
        <w:rPr>
          <w:rtl/>
        </w:rPr>
        <w:t>איצל׳ה</w:t>
      </w:r>
      <w:proofErr w:type="spellEnd"/>
      <w:r>
        <w:rPr>
          <w:rtl/>
        </w:rPr>
        <w:t xml:space="preserve"> </w:t>
      </w:r>
      <w:proofErr w:type="spellStart"/>
      <w:r>
        <w:rPr>
          <w:rtl/>
        </w:rPr>
        <w:t>בלאזר</w:t>
      </w:r>
      <w:proofErr w:type="spellEnd"/>
      <w:r>
        <w:rPr>
          <w:rtl/>
        </w:rPr>
        <w:t xml:space="preserve">, כפי שסיפר נכדו של הראשון, ר׳ חיים </w:t>
      </w:r>
      <w:proofErr w:type="spellStart"/>
      <w:r>
        <w:rPr>
          <w:rtl/>
        </w:rPr>
        <w:t>סרנא</w:t>
      </w:r>
      <w:proofErr w:type="spellEnd"/>
      <w:r>
        <w:rPr>
          <w:rtl/>
        </w:rPr>
        <w:t>:</w:t>
      </w:r>
      <w:bookmarkStart w:id="2720" w:name="_fnr1857"/>
      <w:r>
        <w:rPr>
          <w:rStyle w:val="a5"/>
        </w:rPr>
        <w:footnoteReference w:id="1861" w:customMarkFollows="0"/>
      </w:r>
      <w:bookmarkEnd w:id="2720"/>
      <w:r>
        <w:rPr>
          <w:rtl/>
        </w:rPr>
        <w:t xml:space="preserve"> “כשפגש התלמיד המובהק הזה של ר׳ ישראל </w:t>
      </w:r>
      <w:proofErr w:type="spellStart"/>
      <w:r>
        <w:rPr>
          <w:rtl/>
        </w:rPr>
        <w:t>סלנטר</w:t>
      </w:r>
      <w:proofErr w:type="spellEnd"/>
      <w:r>
        <w:rPr>
          <w:rtl/>
        </w:rPr>
        <w:t xml:space="preserve">, ר׳ </w:t>
      </w:r>
      <w:proofErr w:type="spellStart"/>
      <w:r>
        <w:rPr>
          <w:rtl/>
        </w:rPr>
        <w:t>איצל׳ה</w:t>
      </w:r>
      <w:proofErr w:type="spellEnd"/>
      <w:r>
        <w:rPr>
          <w:rtl/>
        </w:rPr>
        <w:t xml:space="preserve">, את ר׳ </w:t>
      </w:r>
      <w:proofErr w:type="spellStart"/>
      <w:r>
        <w:rPr>
          <w:rtl/>
        </w:rPr>
        <w:t>משה־מרדכי</w:t>
      </w:r>
      <w:proofErr w:type="spellEnd"/>
      <w:r>
        <w:rPr>
          <w:rtl/>
        </w:rPr>
        <w:t xml:space="preserve"> כשהיה חתן – וכבר כתב אז תשובה מצוינת בענייני מקוואות</w:t>
      </w:r>
      <w:bookmarkStart w:id="2721" w:name="_fnr1858"/>
      <w:r>
        <w:rPr>
          <w:rStyle w:val="a5"/>
        </w:rPr>
        <w:footnoteReference w:id="1862" w:customMarkFollows="0"/>
      </w:r>
      <w:bookmarkEnd w:id="2721"/>
      <w:r>
        <w:rPr>
          <w:rtl/>
        </w:rPr>
        <w:t xml:space="preserve"> והיה כבר חוזר על הש״ס בכל שנה – אמר: ‘בחור זה אינו צריך מוסר.’”</w:t>
      </w:r>
      <w:bookmarkStart w:id="2722" w:name="_fnr1859"/>
      <w:r>
        <w:rPr>
          <w:rStyle w:val="a5"/>
        </w:rPr>
        <w:footnoteReference w:id="1863" w:customMarkFollows="0"/>
      </w:r>
      <w:bookmarkEnd w:id="2722"/>
    </w:p>
    <w:p w14:paraId="1C21C2A3" w14:textId="77777777" w:rsidR="00AB3647" w:rsidRDefault="00000000" w:rsidP="007923E9">
      <w:pPr>
        <w:spacing w:after="120" w:line="276" w:lineRule="auto"/>
        <w:ind w:firstLine="283"/>
        <w:jc w:val="both"/>
      </w:pPr>
      <w:r>
        <w:rPr>
          <w:rtl/>
        </w:rPr>
        <w:lastRenderedPageBreak/>
        <w:t xml:space="preserve">דיווחו של הרב גולדשמידט עשוי להבהיר דבר שאמר ר׳ חיים </w:t>
      </w:r>
      <w:proofErr w:type="spellStart"/>
      <w:r>
        <w:rPr>
          <w:rtl/>
        </w:rPr>
        <w:t>סולובייצ׳יק</w:t>
      </w:r>
      <w:proofErr w:type="spellEnd"/>
      <w:r>
        <w:rPr>
          <w:rtl/>
        </w:rPr>
        <w:t>, כפי שהוא מובא בספר “ר׳ ברוך בער”.</w:t>
      </w:r>
      <w:bookmarkStart w:id="2723" w:name="_fnr1860"/>
      <w:r>
        <w:rPr>
          <w:rStyle w:val="a5"/>
        </w:rPr>
        <w:footnoteReference w:id="1864" w:customMarkFollows="0"/>
      </w:r>
      <w:bookmarkEnd w:id="2723"/>
      <w:r>
        <w:rPr>
          <w:rtl/>
        </w:rPr>
        <w:t xml:space="preserve"> בסביבות שנת תרס״ו הציג ר׳ חיים תלמיד של ר׳ </w:t>
      </w:r>
      <w:proofErr w:type="spellStart"/>
      <w:r>
        <w:rPr>
          <w:rtl/>
        </w:rPr>
        <w:t>ברוך־בער</w:t>
      </w:r>
      <w:proofErr w:type="spellEnd"/>
      <w:r>
        <w:rPr>
          <w:rtl/>
        </w:rPr>
        <w:t xml:space="preserve"> לפני כמה ממקורביו </w:t>
      </w:r>
      <w:proofErr w:type="spellStart"/>
      <w:r>
        <w:rPr>
          <w:rtl/>
        </w:rPr>
        <w:t>בבריסק</w:t>
      </w:r>
      <w:proofErr w:type="spellEnd"/>
      <w:r>
        <w:rPr>
          <w:rtl/>
        </w:rPr>
        <w:t>, ואמר, בשינוי קל של לשון תלמודית:</w:t>
      </w:r>
      <w:bookmarkStart w:id="2724" w:name="_fnr1861"/>
      <w:r>
        <w:rPr>
          <w:rStyle w:val="a5"/>
        </w:rPr>
        <w:footnoteReference w:id="1865" w:customMarkFollows="0"/>
      </w:r>
      <w:bookmarkEnd w:id="2724"/>
      <w:r>
        <w:rPr>
          <w:rtl/>
        </w:rPr>
        <w:t xml:space="preserve"> “</w:t>
      </w:r>
      <w:proofErr w:type="spellStart"/>
      <w:r>
        <w:rPr>
          <w:rtl/>
        </w:rPr>
        <w:t>לכולהו</w:t>
      </w:r>
      <w:proofErr w:type="spellEnd"/>
      <w:r>
        <w:rPr>
          <w:rtl/>
        </w:rPr>
        <w:t xml:space="preserve"> </w:t>
      </w:r>
      <w:proofErr w:type="spellStart"/>
      <w:r>
        <w:rPr>
          <w:rtl/>
        </w:rPr>
        <w:t>אית</w:t>
      </w:r>
      <w:proofErr w:type="spellEnd"/>
      <w:r>
        <w:rPr>
          <w:rtl/>
        </w:rPr>
        <w:t xml:space="preserve"> להו </w:t>
      </w:r>
      <w:proofErr w:type="spellStart"/>
      <w:r>
        <w:rPr>
          <w:rtl/>
        </w:rPr>
        <w:t>פירכא</w:t>
      </w:r>
      <w:proofErr w:type="spellEnd"/>
      <w:r>
        <w:rPr>
          <w:rtl/>
        </w:rPr>
        <w:t xml:space="preserve"> לבר מר׳ ברוך בער.” ייתכן שר׳ חיים קונן על כך שתלמידיו – ובכללם ר׳ </w:t>
      </w:r>
      <w:proofErr w:type="spellStart"/>
      <w:r>
        <w:rPr>
          <w:rtl/>
        </w:rPr>
        <w:t>איסר־זלמן</w:t>
      </w:r>
      <w:proofErr w:type="spellEnd"/>
      <w:r>
        <w:rPr>
          <w:rtl/>
        </w:rPr>
        <w:t xml:space="preserve"> – דחו את עמדתו נגד המוסר, ושיבח את ר׳ </w:t>
      </w:r>
      <w:proofErr w:type="spellStart"/>
      <w:r>
        <w:rPr>
          <w:rtl/>
        </w:rPr>
        <w:t>ברוך־בער</w:t>
      </w:r>
      <w:proofErr w:type="spellEnd"/>
      <w:r>
        <w:rPr>
          <w:rtl/>
        </w:rPr>
        <w:t xml:space="preserve"> על עמידתו האיתנה.</w:t>
      </w:r>
    </w:p>
    <w:p w14:paraId="56349D50" w14:textId="77777777" w:rsidR="00AB3647" w:rsidRDefault="00000000" w:rsidP="007923E9">
      <w:pPr>
        <w:spacing w:after="120" w:line="276" w:lineRule="auto"/>
        <w:ind w:firstLine="283"/>
        <w:jc w:val="both"/>
      </w:pPr>
      <w:r>
        <w:rPr>
          <w:rtl/>
        </w:rPr>
        <w:t xml:space="preserve">העובדה היא שזיקתו של ר׳ </w:t>
      </w:r>
      <w:proofErr w:type="spellStart"/>
      <w:r>
        <w:rPr>
          <w:rtl/>
        </w:rPr>
        <w:t>איסר־זלמן</w:t>
      </w:r>
      <w:proofErr w:type="spellEnd"/>
      <w:r>
        <w:rPr>
          <w:rtl/>
        </w:rPr>
        <w:t xml:space="preserve"> עברה </w:t>
      </w:r>
      <w:proofErr w:type="spellStart"/>
      <w:r>
        <w:rPr>
          <w:rtl/>
        </w:rPr>
        <w:t>מוולוז׳ין</w:t>
      </w:r>
      <w:proofErr w:type="spellEnd"/>
      <w:r>
        <w:rPr>
          <w:rtl/>
        </w:rPr>
        <w:t xml:space="preserve"> </w:t>
      </w:r>
      <w:proofErr w:type="spellStart"/>
      <w:r>
        <w:rPr>
          <w:rtl/>
        </w:rPr>
        <w:t>לסלבודקה</w:t>
      </w:r>
      <w:proofErr w:type="spellEnd"/>
      <w:r>
        <w:rPr>
          <w:rtl/>
        </w:rPr>
        <w:t>, כפי שמתברר ממעשה שסיפר ר׳ זלמן קורן:</w:t>
      </w:r>
      <w:bookmarkStart w:id="2725" w:name="_fnr1862"/>
      <w:r>
        <w:rPr>
          <w:rStyle w:val="a5"/>
        </w:rPr>
        <w:footnoteReference w:id="1866" w:customMarkFollows="0"/>
      </w:r>
      <w:bookmarkEnd w:id="2725"/>
      <w:r>
        <w:rPr>
          <w:rtl/>
        </w:rPr>
        <w:t xml:space="preserve"> דודו ר׳ שמואל </w:t>
      </w:r>
      <w:proofErr w:type="spellStart"/>
      <w:r>
        <w:rPr>
          <w:rtl/>
        </w:rPr>
        <w:t>אליעזרי</w:t>
      </w:r>
      <w:proofErr w:type="spellEnd"/>
      <w:r>
        <w:rPr>
          <w:rtl/>
        </w:rPr>
        <w:t xml:space="preserve"> (</w:t>
      </w:r>
      <w:proofErr w:type="spellStart"/>
      <w:r>
        <w:rPr>
          <w:rtl/>
        </w:rPr>
        <w:t>שנדרוב</w:t>
      </w:r>
      <w:proofErr w:type="spellEnd"/>
      <w:r>
        <w:rPr>
          <w:rtl/>
        </w:rPr>
        <w:t xml:space="preserve">) ראה פעם את ר׳ </w:t>
      </w:r>
      <w:proofErr w:type="spellStart"/>
      <w:r>
        <w:rPr>
          <w:rtl/>
        </w:rPr>
        <w:t>איסר־זלמן</w:t>
      </w:r>
      <w:proofErr w:type="spellEnd"/>
      <w:r>
        <w:rPr>
          <w:rtl/>
        </w:rPr>
        <w:t xml:space="preserve"> יושב בשעת הבדלה. הראה לו ר׳ שמואל </w:t>
      </w:r>
      <w:proofErr w:type="spellStart"/>
      <w:r>
        <w:rPr>
          <w:rtl/>
        </w:rPr>
        <w:t>אליעזרי</w:t>
      </w:r>
      <w:proofErr w:type="spellEnd"/>
      <w:r>
        <w:rPr>
          <w:rtl/>
        </w:rPr>
        <w:t xml:space="preserve"> </w:t>
      </w:r>
      <w:proofErr w:type="spellStart"/>
      <w:r>
        <w:rPr>
          <w:rtl/>
        </w:rPr>
        <w:t>ב“מעלות</w:t>
      </w:r>
      <w:proofErr w:type="spellEnd"/>
      <w:r>
        <w:rPr>
          <w:rtl/>
        </w:rPr>
        <w:t xml:space="preserve"> הסולם”, הערה י״ג, שמה שמסופר </w:t>
      </w:r>
      <w:proofErr w:type="spellStart"/>
      <w:r>
        <w:rPr>
          <w:rtl/>
        </w:rPr>
        <w:t>ב“מעשה</w:t>
      </w:r>
      <w:proofErr w:type="spellEnd"/>
      <w:r>
        <w:rPr>
          <w:rtl/>
        </w:rPr>
        <w:t xml:space="preserve"> רב” – </w:t>
      </w:r>
      <w:proofErr w:type="spellStart"/>
      <w:r>
        <w:rPr>
          <w:rtl/>
        </w:rPr>
        <w:t>שהגר״א</w:t>
      </w:r>
      <w:proofErr w:type="spellEnd"/>
      <w:r>
        <w:rPr>
          <w:rtl/>
        </w:rPr>
        <w:t xml:space="preserve">, לפחות בשנותיו המאוחרות, חלק על המנהג שצידד בו </w:t>
      </w:r>
      <w:proofErr w:type="spellStart"/>
      <w:r>
        <w:rPr>
          <w:rtl/>
        </w:rPr>
        <w:t>הרמ״א</w:t>
      </w:r>
      <w:bookmarkStart w:id="2726" w:name="_fnr1863"/>
      <w:proofErr w:type="spellEnd"/>
      <w:r>
        <w:rPr>
          <w:rStyle w:val="a5"/>
        </w:rPr>
        <w:footnoteReference w:id="1867" w:customMarkFollows="0"/>
      </w:r>
      <w:bookmarkEnd w:id="2726"/>
      <w:r>
        <w:rPr>
          <w:rtl/>
        </w:rPr>
        <w:t xml:space="preserve"> וישב בשעת הבדלה – נדחה על ידי ר׳ חיים </w:t>
      </w:r>
      <w:proofErr w:type="spellStart"/>
      <w:r>
        <w:rPr>
          <w:rtl/>
        </w:rPr>
        <w:t>מוולוז׳ין</w:t>
      </w:r>
      <w:proofErr w:type="spellEnd"/>
      <w:r>
        <w:rPr>
          <w:rtl/>
        </w:rPr>
        <w:t xml:space="preserve">. השיב ר׳ </w:t>
      </w:r>
      <w:proofErr w:type="spellStart"/>
      <w:r>
        <w:rPr>
          <w:rtl/>
        </w:rPr>
        <w:t>איסר־זלמן</w:t>
      </w:r>
      <w:proofErr w:type="spellEnd"/>
      <w:r>
        <w:rPr>
          <w:rtl/>
        </w:rPr>
        <w:t xml:space="preserve">: “כן, כמובן. </w:t>
      </w:r>
      <w:proofErr w:type="spellStart"/>
      <w:r>
        <w:rPr>
          <w:rtl/>
        </w:rPr>
        <w:t>בוולוז׳ין</w:t>
      </w:r>
      <w:proofErr w:type="spellEnd"/>
      <w:r>
        <w:rPr>
          <w:rtl/>
        </w:rPr>
        <w:t xml:space="preserve"> עשו הבדלה בעמידה.” “אם כן, מדוע אינך עומד?” שאל ר׳ שמואל </w:t>
      </w:r>
      <w:proofErr w:type="spellStart"/>
      <w:r>
        <w:rPr>
          <w:rtl/>
        </w:rPr>
        <w:t>אליעזרי</w:t>
      </w:r>
      <w:proofErr w:type="spellEnd"/>
      <w:r>
        <w:rPr>
          <w:rtl/>
        </w:rPr>
        <w:t xml:space="preserve">. “מפני </w:t>
      </w:r>
      <w:proofErr w:type="spellStart"/>
      <w:r>
        <w:rPr>
          <w:rtl/>
        </w:rPr>
        <w:t>שסלבודקה</w:t>
      </w:r>
      <w:proofErr w:type="spellEnd"/>
      <w:r>
        <w:rPr>
          <w:rtl/>
        </w:rPr>
        <w:t xml:space="preserve"> ישבה,” השיב מלצר בקצרה.</w:t>
      </w:r>
    </w:p>
    <w:p w14:paraId="3B83E572" w14:textId="08EA7F7E" w:rsidR="00AB3647" w:rsidRDefault="00000000" w:rsidP="007923E9">
      <w:pPr>
        <w:spacing w:after="120" w:line="276" w:lineRule="auto"/>
        <w:ind w:firstLine="283"/>
        <w:jc w:val="both"/>
      </w:pPr>
      <w:r>
        <w:rPr>
          <w:rtl/>
        </w:rPr>
        <w:t xml:space="preserve">השווה גם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להלן, על כך שר׳ </w:t>
      </w:r>
      <w:proofErr w:type="spellStart"/>
      <w:r>
        <w:rPr>
          <w:rtl/>
        </w:rPr>
        <w:t>ברוך־בער</w:t>
      </w:r>
      <w:proofErr w:type="spellEnd"/>
      <w:r>
        <w:rPr>
          <w:rtl/>
        </w:rPr>
        <w:t xml:space="preserve"> שינה את יחסו למוסר בשנים מאוחרות יותר – אחרי פטירת ר׳ חיים. אבל ייתכן שכשאמר ר׳ חיים שאפשר להפריך את כולם מלבד ר׳ </w:t>
      </w:r>
      <w:proofErr w:type="spellStart"/>
      <w:r>
        <w:rPr>
          <w:rtl/>
        </w:rPr>
        <w:t>ברוך־בער</w:t>
      </w:r>
      <w:proofErr w:type="spellEnd"/>
      <w:r>
        <w:rPr>
          <w:rtl/>
        </w:rPr>
        <w:t>, לא התכוון ליחס אל המוסר, אלא לדרכי הלימוד של תלמידיו. ראה 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על האופן שבו ראה ר׳ חיים את דרכו של ר׳ </w:t>
      </w:r>
      <w:proofErr w:type="spellStart"/>
      <w:r>
        <w:rPr>
          <w:rtl/>
        </w:rPr>
        <w:t>איסר־זלמן</w:t>
      </w:r>
      <w:proofErr w:type="spellEnd"/>
      <w:r>
        <w:rPr>
          <w:rtl/>
        </w:rPr>
        <w:t xml:space="preserve"> בלימוד,</w:t>
      </w:r>
      <w:bookmarkStart w:id="2727" w:name="_fnr1864"/>
      <w:r>
        <w:rPr>
          <w:rStyle w:val="a5"/>
        </w:rPr>
        <w:footnoteReference w:id="1868" w:customMarkFollows="0"/>
      </w:r>
      <w:bookmarkEnd w:id="2727"/>
      <w:r>
        <w:rPr>
          <w:rtl/>
        </w:rPr>
        <w:t xml:space="preserve"> וסוף הפסקה הראשונה בהערה </w:t>
      </w:r>
      <w:r>
        <w:rPr>
          <w:rtl/>
        </w:rPr>
        <w:fldChar w:fldCharType="begin" w:dirty="true"/>
      </w:r>
      <w:r>
        <w:rPr>
          <w:rtl/>
        </w:rPr>
        <w:instrText xml:space="preserve"> REF b3_note120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120</w:t>
      </w:r>
      <w:r>
        <w:rPr>
          <w:rtl/>
        </w:rPr>
        <w:fldChar w:fldCharType="end"/>
      </w:r>
      <w:r>
        <w:rPr>
          <w:rtl/>
        </w:rPr>
        <w:t xml:space="preserve"> לעיל, על האופן שבו נבדלה דרכו של ר׳ </w:t>
      </w:r>
      <w:proofErr w:type="spellStart"/>
      <w:r>
        <w:rPr>
          <w:rtl/>
        </w:rPr>
        <w:t>משה־מרדכי</w:t>
      </w:r>
      <w:proofErr w:type="spellEnd"/>
      <w:r>
        <w:rPr>
          <w:rtl/>
        </w:rPr>
        <w:t xml:space="preserve"> מזו של ר׳ </w:t>
      </w:r>
      <w:proofErr w:type="spellStart"/>
      <w:r>
        <w:rPr>
          <w:rtl/>
        </w:rPr>
        <w:t>ברוך־בער</w:t>
      </w:r>
      <w:proofErr w:type="spellEnd"/>
      <w:r>
        <w:rPr>
          <w:rtl/>
        </w:rPr>
        <w:t>.</w:t>
      </w:r>
    </w:p>
    <w:p w14:paraId="4E062905" w14:textId="77777777" w:rsidR="00AB3647" w:rsidRDefault="00000000" w:rsidP="007923E9">
      <w:pPr>
        <w:pStyle w:val="4"/>
        <w:spacing w:line="276" w:lineRule="auto"/>
      </w:pPr>
      <w:r>
        <w:t>· הפסקה השנייה ·</w:t>
      </w:r>
    </w:p>
    <w:p w14:paraId="5D608027" w14:textId="77777777" w:rsidR="00AB3647" w:rsidRDefault="00000000" w:rsidP="007923E9">
      <w:pPr>
        <w:pStyle w:val="5"/>
        <w:spacing w:line="276" w:lineRule="auto"/>
      </w:pPr>
      <w:proofErr w:type="spellStart"/>
      <w:r>
        <w:t>לר</w:t>
      </w:r>
      <w:proofErr w:type="spellEnd"/>
      <w:r>
        <w:t xml:space="preserve">׳ </w:t>
      </w:r>
      <w:proofErr w:type="spellStart"/>
      <w:r>
        <w:t>ארצ׳יק</w:t>
      </w:r>
      <w:proofErr w:type="spellEnd"/>
      <w:r>
        <w:t xml:space="preserve"> בקשט מוצעת משרה בישיבת </w:t>
      </w:r>
      <w:proofErr w:type="spellStart"/>
      <w:r>
        <w:t>סלבודקה</w:t>
      </w:r>
      <w:proofErr w:type="spellEnd"/>
      <w:r>
        <w:t xml:space="preserve"> – ר׳ </w:t>
      </w:r>
      <w:proofErr w:type="spellStart"/>
      <w:r>
        <w:t>מרדכ׳לה</w:t>
      </w:r>
      <w:proofErr w:type="spellEnd"/>
      <w:r>
        <w:t xml:space="preserve"> מברך את </w:t>
      </w:r>
      <w:proofErr w:type="spellStart"/>
      <w:r>
        <w:t>ביילה־הינדה</w:t>
      </w:r>
      <w:proofErr w:type="spellEnd"/>
      <w:r>
        <w:t xml:space="preserve"> פרנק שתינשא לגדול הדור – ר׳ </w:t>
      </w:r>
      <w:proofErr w:type="spellStart"/>
      <w:r>
        <w:t>איסר־זלמן</w:t>
      </w:r>
      <w:proofErr w:type="spellEnd"/>
      <w:r>
        <w:t xml:space="preserve"> מביא את הסבא לחזור בו מהצעתו – ר׳ </w:t>
      </w:r>
      <w:proofErr w:type="spellStart"/>
      <w:r>
        <w:t>ארצ׳יק</w:t>
      </w:r>
      <w:proofErr w:type="spellEnd"/>
      <w:r>
        <w:t xml:space="preserve"> מושיט עזרה בעסק של פרנק – גולדה פרנק משלמת את משכורות חתניה בישיבת </w:t>
      </w:r>
      <w:proofErr w:type="spellStart"/>
      <w:r>
        <w:t>סלבודקה</w:t>
      </w:r>
      <w:proofErr w:type="spellEnd"/>
      <w:r>
        <w:t xml:space="preserve"> – התלמידים שואלים את ראש ישיבתם אם להשתתף בלוויה</w:t>
      </w:r>
    </w:p>
    <w:p w14:paraId="5A21421E"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המבוגר מר׳ </w:t>
      </w:r>
      <w:proofErr w:type="spellStart"/>
      <w:r>
        <w:rPr>
          <w:rtl/>
        </w:rPr>
        <w:t>איסר־זלמן</w:t>
      </w:r>
      <w:proofErr w:type="spellEnd"/>
      <w:r>
        <w:rPr>
          <w:rtl/>
        </w:rPr>
        <w:t xml:space="preserve"> בשלוש שנים, נחשב למחדש בתורה פחות מגיסו, ולכן הציע הסבא </w:t>
      </w:r>
      <w:proofErr w:type="spellStart"/>
      <w:r>
        <w:rPr>
          <w:rtl/>
        </w:rPr>
        <w:t>מסלבודקה</w:t>
      </w:r>
      <w:proofErr w:type="spellEnd"/>
      <w:r>
        <w:rPr>
          <w:rtl/>
        </w:rPr>
        <w:t xml:space="preserve"> את המשרה תחילה לאחרון.</w:t>
      </w:r>
      <w:bookmarkStart w:id="2728" w:name="_fnr1865"/>
      <w:r>
        <w:rPr>
          <w:rStyle w:val="a5"/>
        </w:rPr>
        <w:footnoteReference w:id="1869" w:customMarkFollows="0"/>
      </w:r>
      <w:bookmarkEnd w:id="2728"/>
      <w:r>
        <w:rPr>
          <w:rtl/>
        </w:rPr>
        <w:t xml:space="preserve"> הסבא תכנן לקבל כמגיד שיעור נוסף את ר׳ </w:t>
      </w:r>
      <w:proofErr w:type="spellStart"/>
      <w:r>
        <w:rPr>
          <w:rtl/>
        </w:rPr>
        <w:t>ארצ׳יק</w:t>
      </w:r>
      <w:proofErr w:type="spellEnd"/>
      <w:r>
        <w:rPr>
          <w:rtl/>
        </w:rPr>
        <w:t xml:space="preserve"> בקשט,</w:t>
      </w:r>
      <w:bookmarkStart w:id="2729" w:name="_fnr1866"/>
      <w:bookmarkStart w:id="2730" w:name="pr_f_1775"/>
      <w:r>
        <w:rPr>
          <w:rStyle w:val="a5"/>
        </w:rPr>
        <w:footnoteReference w:id="1870" w:customMarkFollows="0"/>
      </w:r>
      <w:bookmarkEnd w:id="2729"/>
      <w:bookmarkEnd w:id="2730"/>
      <w:r>
        <w:rPr>
          <w:rtl/>
        </w:rPr>
        <w:t xml:space="preserve"> שהיה מתלמידיה הראשונים של </w:t>
      </w:r>
      <w:proofErr w:type="spellStart"/>
      <w:r>
        <w:rPr>
          <w:rtl/>
        </w:rPr>
        <w:t>סלבודקה</w:t>
      </w:r>
      <w:proofErr w:type="spellEnd"/>
      <w:r>
        <w:rPr>
          <w:rtl/>
        </w:rPr>
        <w:t xml:space="preserve"> ושל רבו של הסבא, </w:t>
      </w:r>
      <w:r>
        <w:rPr>
          <w:rtl/>
        </w:rPr>
        <w:lastRenderedPageBreak/>
        <w:t xml:space="preserve">ר׳ </w:t>
      </w:r>
      <w:proofErr w:type="spellStart"/>
      <w:r>
        <w:rPr>
          <w:rtl/>
        </w:rPr>
        <w:t>שמחה־זיסל</w:t>
      </w:r>
      <w:proofErr w:type="spellEnd"/>
      <w:r>
        <w:rPr>
          <w:rtl/>
        </w:rPr>
        <w:t xml:space="preserve"> זיו, </w:t>
      </w:r>
      <w:proofErr w:type="spellStart"/>
      <w:r>
        <w:rPr>
          <w:rtl/>
        </w:rPr>
        <w:t>בקלם</w:t>
      </w:r>
      <w:proofErr w:type="spellEnd"/>
      <w:r>
        <w:rPr>
          <w:rtl/>
        </w:rPr>
        <w:t xml:space="preserve">. משפחת פרנק כבר דחתה קודם לכן את ר׳ </w:t>
      </w:r>
      <w:proofErr w:type="spellStart"/>
      <w:r>
        <w:rPr>
          <w:rtl/>
        </w:rPr>
        <w:t>ארצ׳יק</w:t>
      </w:r>
      <w:proofErr w:type="spellEnd"/>
      <w:r>
        <w:rPr>
          <w:rtl/>
        </w:rPr>
        <w:t xml:space="preserve"> כשידוך לבת הבכורה, מנוחה, מפני שחשדה בו בטעות שהוא מקורב להשכלה. השווה כץ, “תנועת המוסר”, כרך ה</w:t>
      </w:r>
      <w:bookmarkStart w:id="2731" w:name="_fnr1867"/>
      <w:r>
        <w:rPr>
          <w:rStyle w:val="a5"/>
        </w:rPr>
        <w:footnoteReference w:id="1871" w:customMarkFollows="0"/>
      </w:r>
      <w:bookmarkEnd w:id="2731"/>
      <w:r>
        <w:rPr>
          <w:rtl/>
        </w:rPr>
        <w:t xml:space="preserve">, על ידיעותיו הרחבות של ר׳ </w:t>
      </w:r>
      <w:proofErr w:type="spellStart"/>
      <w:r>
        <w:rPr>
          <w:rtl/>
        </w:rPr>
        <w:t>ארצ׳יק</w:t>
      </w:r>
      <w:proofErr w:type="spellEnd"/>
      <w:r>
        <w:rPr>
          <w:rtl/>
        </w:rPr>
        <w:t xml:space="preserve"> בקשט במדע, בהיסטוריה ובפילוסופיה, שוודאי עוררו כלפיו חשדות בהשכלה.</w:t>
      </w:r>
    </w:p>
    <w:p w14:paraId="48F24C98" w14:textId="77777777" w:rsidR="00AB3647" w:rsidRDefault="00000000" w:rsidP="007923E9">
      <w:pPr>
        <w:spacing w:after="120" w:line="276" w:lineRule="auto"/>
        <w:ind w:firstLine="283"/>
        <w:jc w:val="both"/>
      </w:pPr>
      <w:r>
        <w:rPr>
          <w:rtl/>
        </w:rPr>
        <w:t xml:space="preserve">נכדו של אחיינו של ר׳ </w:t>
      </w:r>
      <w:proofErr w:type="spellStart"/>
      <w:r>
        <w:rPr>
          <w:rtl/>
        </w:rPr>
        <w:t>משה־מרדכי</w:t>
      </w:r>
      <w:proofErr w:type="spellEnd"/>
      <w:r>
        <w:rPr>
          <w:rtl/>
        </w:rPr>
        <w:t xml:space="preserve"> אפשטיין, ר׳ נפתלי </w:t>
      </w:r>
      <w:proofErr w:type="spellStart"/>
      <w:r>
        <w:rPr>
          <w:rtl/>
        </w:rPr>
        <w:t>חינסקי</w:t>
      </w:r>
      <w:proofErr w:type="spellEnd"/>
      <w:r>
        <w:rPr>
          <w:rtl/>
        </w:rPr>
        <w:t>, גילה</w:t>
      </w:r>
      <w:bookmarkStart w:id="2732" w:name="_fnr1868"/>
      <w:r>
        <w:rPr>
          <w:rStyle w:val="a5"/>
        </w:rPr>
        <w:footnoteReference w:id="1872" w:customMarkFollows="0"/>
      </w:r>
      <w:bookmarkEnd w:id="2732"/>
      <w:r>
        <w:rPr>
          <w:rtl/>
        </w:rPr>
        <w:t xml:space="preserve"> שבת פרנק הבכורה אכן הייתה מאורסת </w:t>
      </w:r>
      <w:proofErr w:type="spellStart"/>
      <w:r>
        <w:rPr>
          <w:rtl/>
        </w:rPr>
        <w:t>לר</w:t>
      </w:r>
      <w:proofErr w:type="spellEnd"/>
      <w:r>
        <w:rPr>
          <w:rtl/>
        </w:rPr>
        <w:t xml:space="preserve">׳ </w:t>
      </w:r>
      <w:proofErr w:type="spellStart"/>
      <w:r>
        <w:rPr>
          <w:rtl/>
        </w:rPr>
        <w:t>ארצ׳יק</w:t>
      </w:r>
      <w:proofErr w:type="spellEnd"/>
      <w:r>
        <w:rPr>
          <w:rtl/>
        </w:rPr>
        <w:t xml:space="preserve"> בקשט. אבל כשנודע לו שהמשפחה מהרהרת מחדש אם יהיה מגדולי דורו – ולגדולי הדור ציווה ר׳ </w:t>
      </w:r>
      <w:proofErr w:type="spellStart"/>
      <w:r>
        <w:rPr>
          <w:rtl/>
        </w:rPr>
        <w:t>פייבל</w:t>
      </w:r>
      <w:proofErr w:type="spellEnd"/>
      <w:r>
        <w:rPr>
          <w:rtl/>
        </w:rPr>
        <w:t xml:space="preserve"> לפני מותו</w:t>
      </w:r>
      <w:bookmarkStart w:id="2733" w:name="_fnr1869"/>
      <w:bookmarkStart w:id="2734" w:name="pr_f_1778"/>
      <w:r>
        <w:rPr>
          <w:rStyle w:val="a5"/>
        </w:rPr>
        <w:footnoteReference w:id="1873" w:customMarkFollows="0"/>
      </w:r>
      <w:bookmarkEnd w:id="2733"/>
      <w:bookmarkEnd w:id="2734"/>
      <w:r>
        <w:rPr>
          <w:rtl/>
        </w:rPr>
        <w:t xml:space="preserve"> שיינשאו בנותיו – ביטל את האירוסין.</w:t>
      </w:r>
    </w:p>
    <w:p w14:paraId="127138F1" w14:textId="77777777" w:rsidR="00AB3647" w:rsidRDefault="00000000" w:rsidP="007923E9">
      <w:pPr>
        <w:spacing w:after="120" w:line="276" w:lineRule="auto"/>
        <w:ind w:firstLine="283"/>
        <w:jc w:val="both"/>
      </w:pPr>
      <w:r>
        <w:rPr>
          <w:rtl/>
        </w:rPr>
        <w:t xml:space="preserve">הבנות התייחסו בכובד ראש רב למשאלתו האחרונה של אביהן. תלמיד ירושלמי של ר׳ </w:t>
      </w:r>
      <w:proofErr w:type="spellStart"/>
      <w:r>
        <w:rPr>
          <w:rtl/>
        </w:rPr>
        <w:t>איסר־זלמן</w:t>
      </w:r>
      <w:proofErr w:type="spellEnd"/>
      <w:r>
        <w:rPr>
          <w:rtl/>
        </w:rPr>
        <w:t xml:space="preserve"> סיפר</w:t>
      </w:r>
      <w:bookmarkStart w:id="2735" w:name="_fnr1870"/>
      <w:r>
        <w:rPr>
          <w:rStyle w:val="a5"/>
        </w:rPr>
        <w:footnoteReference w:id="1874" w:customMarkFollows="0"/>
      </w:r>
      <w:bookmarkEnd w:id="2735"/>
      <w:r>
        <w:rPr>
          <w:rtl/>
        </w:rPr>
        <w:t xml:space="preserve"> </w:t>
      </w:r>
      <w:proofErr w:type="spellStart"/>
      <w:r>
        <w:rPr>
          <w:rtl/>
        </w:rPr>
        <w:t>שביילה־הינדה</w:t>
      </w:r>
      <w:proofErr w:type="spellEnd"/>
      <w:r>
        <w:rPr>
          <w:rtl/>
        </w:rPr>
        <w:t xml:space="preserve">, לימים אשת ר׳ </w:t>
      </w:r>
      <w:proofErr w:type="spellStart"/>
      <w:r>
        <w:rPr>
          <w:rtl/>
        </w:rPr>
        <w:t>איסר־זלמן</w:t>
      </w:r>
      <w:proofErr w:type="spellEnd"/>
      <w:r>
        <w:rPr>
          <w:rtl/>
        </w:rPr>
        <w:t xml:space="preserve"> מלצר, נסעה ברכבת וגילתה שאחד הנוסעים הוא ר׳ </w:t>
      </w:r>
      <w:proofErr w:type="spellStart"/>
      <w:r>
        <w:rPr>
          <w:rtl/>
        </w:rPr>
        <w:t>מרדכ׳לה</w:t>
      </w:r>
      <w:proofErr w:type="spellEnd"/>
      <w:r>
        <w:rPr>
          <w:rtl/>
        </w:rPr>
        <w:t xml:space="preserve"> </w:t>
      </w:r>
      <w:proofErr w:type="spellStart"/>
      <w:r>
        <w:rPr>
          <w:rtl/>
        </w:rPr>
        <w:t>וייצל־רוזנבלט</w:t>
      </w:r>
      <w:proofErr w:type="spellEnd"/>
      <w:r>
        <w:rPr>
          <w:rtl/>
        </w:rPr>
        <w:t xml:space="preserve"> [</w:t>
      </w:r>
      <w:proofErr w:type="spellStart"/>
      <w:r>
        <w:rPr>
          <w:rtl/>
        </w:rPr>
        <w:t>מאושמינה</w:t>
      </w:r>
      <w:proofErr w:type="spellEnd"/>
      <w:r>
        <w:rPr>
          <w:rtl/>
        </w:rPr>
        <w:t>], תלמיד חכם גדול שיצא לו שם שברכותיו מתקיימות.</w:t>
      </w:r>
      <w:bookmarkStart w:id="2736" w:name="_fnr1871"/>
      <w:r>
        <w:rPr>
          <w:rStyle w:val="a5"/>
        </w:rPr>
        <w:footnoteReference w:id="1875" w:customMarkFollows="0"/>
      </w:r>
      <w:bookmarkEnd w:id="2736"/>
      <w:r>
        <w:rPr>
          <w:rtl/>
        </w:rPr>
        <w:t xml:space="preserve"> כשניגשה הצעירה </w:t>
      </w:r>
      <w:proofErr w:type="spellStart"/>
      <w:r>
        <w:rPr>
          <w:rtl/>
        </w:rPr>
        <w:t>לר</w:t>
      </w:r>
      <w:proofErr w:type="spellEnd"/>
      <w:r>
        <w:rPr>
          <w:rtl/>
        </w:rPr>
        <w:t xml:space="preserve">׳ </w:t>
      </w:r>
      <w:proofErr w:type="spellStart"/>
      <w:r>
        <w:rPr>
          <w:rtl/>
        </w:rPr>
        <w:t>מרדכ׳לה</w:t>
      </w:r>
      <w:proofErr w:type="spellEnd"/>
      <w:r>
        <w:rPr>
          <w:rtl/>
        </w:rPr>
        <w:t xml:space="preserve"> וביקשה ברכה שתינשא לגדול הדור, שילחה מעל פניו ואמר: “את מבקשת כבוד?!” לאחר זמן קרא לה לשוב אליו ונתן לה את הברכה שביקשה, והסביר: “בימינו [כשכבוד התורה בשפל], מי שרואה כבוד בנישואין לתלמיד חכם גדול ראויה לכך”.</w:t>
      </w:r>
    </w:p>
    <w:p w14:paraId="1CA2213D" w14:textId="77777777" w:rsidR="00AB3647" w:rsidRDefault="00000000" w:rsidP="007923E9">
      <w:pPr>
        <w:spacing w:after="120" w:line="276" w:lineRule="auto"/>
        <w:ind w:firstLine="283"/>
        <w:jc w:val="both"/>
      </w:pPr>
      <w:r>
        <w:rPr>
          <w:rtl/>
        </w:rPr>
        <w:t xml:space="preserve">ר׳ </w:t>
      </w:r>
      <w:proofErr w:type="spellStart"/>
      <w:r>
        <w:rPr>
          <w:rtl/>
        </w:rPr>
        <w:t>איסר־זלמן</w:t>
      </w:r>
      <w:proofErr w:type="spellEnd"/>
      <w:r>
        <w:rPr>
          <w:rtl/>
        </w:rPr>
        <w:t xml:space="preserve"> הודיע לסבא </w:t>
      </w:r>
      <w:proofErr w:type="spellStart"/>
      <w:r>
        <w:rPr>
          <w:rtl/>
        </w:rPr>
        <w:t>מסלבודקה</w:t>
      </w:r>
      <w:proofErr w:type="spellEnd"/>
      <w:r>
        <w:rPr>
          <w:rtl/>
        </w:rPr>
        <w:t xml:space="preserve"> שמשפחת פרנק הנדיבה תיפגע מאוד אם תראה שר׳ </w:t>
      </w:r>
      <w:proofErr w:type="spellStart"/>
      <w:r>
        <w:rPr>
          <w:rtl/>
        </w:rPr>
        <w:t>ארצ׳יק</w:t>
      </w:r>
      <w:proofErr w:type="spellEnd"/>
      <w:r>
        <w:rPr>
          <w:rtl/>
        </w:rPr>
        <w:t xml:space="preserve"> בקשט, שאותו דחתה, מועדף למשרה על פני חתנה הנבחר ר׳ </w:t>
      </w:r>
      <w:proofErr w:type="spellStart"/>
      <w:r>
        <w:rPr>
          <w:rtl/>
        </w:rPr>
        <w:t>משה־מרדכי</w:t>
      </w:r>
      <w:proofErr w:type="spellEnd"/>
      <w:r>
        <w:rPr>
          <w:rtl/>
        </w:rPr>
        <w:t xml:space="preserve"> אפשטיין. הוא הוסיף שאינו יכול להישאר בישיבה אם יובא ר׳ </w:t>
      </w:r>
      <w:proofErr w:type="spellStart"/>
      <w:r>
        <w:rPr>
          <w:rtl/>
        </w:rPr>
        <w:t>ארצ׳יק</w:t>
      </w:r>
      <w:proofErr w:type="spellEnd"/>
      <w:r>
        <w:rPr>
          <w:rtl/>
        </w:rPr>
        <w:t xml:space="preserve"> בקשט. הסבא </w:t>
      </w:r>
      <w:proofErr w:type="spellStart"/>
      <w:r>
        <w:rPr>
          <w:rtl/>
        </w:rPr>
        <w:t>מסלבודקה</w:t>
      </w:r>
      <w:proofErr w:type="spellEnd"/>
      <w:r>
        <w:rPr>
          <w:rtl/>
        </w:rPr>
        <w:t xml:space="preserve"> נענה וקיבל את ר׳ </w:t>
      </w:r>
      <w:proofErr w:type="spellStart"/>
      <w:r>
        <w:rPr>
          <w:rtl/>
        </w:rPr>
        <w:t>משה־מרדכי</w:t>
      </w:r>
      <w:proofErr w:type="spellEnd"/>
      <w:r>
        <w:rPr>
          <w:rtl/>
        </w:rPr>
        <w:t xml:space="preserve"> כמגיד השיעור השני.</w:t>
      </w:r>
      <w:bookmarkStart w:id="2737" w:name="_fnr1872"/>
      <w:bookmarkStart w:id="2738" w:name="pr_f_1781"/>
      <w:r>
        <w:rPr>
          <w:rStyle w:val="a5"/>
        </w:rPr>
        <w:footnoteReference w:id="1876" w:customMarkFollows="0"/>
      </w:r>
      <w:bookmarkEnd w:id="2737"/>
      <w:bookmarkEnd w:id="2738"/>
    </w:p>
    <w:p w14:paraId="12E1D0AB" w14:textId="77777777" w:rsidR="00AB3647" w:rsidRDefault="00000000" w:rsidP="007923E9">
      <w:pPr>
        <w:spacing w:after="120" w:line="276" w:lineRule="auto"/>
        <w:ind w:firstLine="283"/>
        <w:jc w:val="both"/>
      </w:pPr>
      <w:r>
        <w:rPr>
          <w:rtl/>
        </w:rPr>
        <w:t xml:space="preserve">רקע מעניין זה חסר בספרו של </w:t>
      </w:r>
      <w:proofErr w:type="spellStart"/>
      <w:r>
        <w:rPr>
          <w:rtl/>
        </w:rPr>
        <w:t>ידעאל</w:t>
      </w:r>
      <w:proofErr w:type="spellEnd"/>
      <w:r>
        <w:rPr>
          <w:rtl/>
        </w:rPr>
        <w:t xml:space="preserve"> מלצר, “בדרך עץ החיים”, המביא</w:t>
      </w:r>
      <w:bookmarkStart w:id="2739" w:name="_fnr1873"/>
      <w:r>
        <w:rPr>
          <w:rStyle w:val="a5"/>
        </w:rPr>
        <w:footnoteReference w:id="1877" w:customMarkFollows="0"/>
      </w:r>
      <w:bookmarkEnd w:id="2739"/>
      <w:r>
        <w:rPr>
          <w:rtl/>
        </w:rPr>
        <w:t xml:space="preserve"> רק את דברי ר׳ </w:t>
      </w:r>
      <w:proofErr w:type="spellStart"/>
      <w:r>
        <w:rPr>
          <w:rtl/>
        </w:rPr>
        <w:t>איסר־זלמן</w:t>
      </w:r>
      <w:proofErr w:type="spellEnd"/>
      <w:r>
        <w:rPr>
          <w:rtl/>
        </w:rPr>
        <w:t xml:space="preserve">: כשהוצעה לו המשרה </w:t>
      </w:r>
      <w:proofErr w:type="spellStart"/>
      <w:r>
        <w:rPr>
          <w:rtl/>
        </w:rPr>
        <w:t>בסלבודקה</w:t>
      </w:r>
      <w:proofErr w:type="spellEnd"/>
      <w:r>
        <w:rPr>
          <w:rtl/>
        </w:rPr>
        <w:t xml:space="preserve"> אמר </w:t>
      </w:r>
      <w:proofErr w:type="spellStart"/>
      <w:r>
        <w:rPr>
          <w:rtl/>
        </w:rPr>
        <w:t>ש“מוטב</w:t>
      </w:r>
      <w:proofErr w:type="spellEnd"/>
      <w:r>
        <w:rPr>
          <w:rtl/>
        </w:rPr>
        <w:t xml:space="preserve"> לקחת את גיסו המבוגר (ר׳ </w:t>
      </w:r>
      <w:proofErr w:type="spellStart"/>
      <w:r>
        <w:rPr>
          <w:rtl/>
        </w:rPr>
        <w:t>משה־מרדכי</w:t>
      </w:r>
      <w:proofErr w:type="spellEnd"/>
      <w:r>
        <w:rPr>
          <w:rtl/>
        </w:rPr>
        <w:t xml:space="preserve"> אפשטיין)”, והעביר לסבא המלצה שגיסו, מלבד בקיאותו השלמה בכל התלמוד, היה </w:t>
      </w:r>
      <w:r>
        <w:rPr>
          <w:rtl/>
        </w:rPr>
        <w:lastRenderedPageBreak/>
        <w:t xml:space="preserve">אכן מחדש מצוין. מובאת שם גם אמירה סתומה של ר׳ </w:t>
      </w:r>
      <w:proofErr w:type="spellStart"/>
      <w:r>
        <w:rPr>
          <w:rtl/>
        </w:rPr>
        <w:t>איסר־זלמן</w:t>
      </w:r>
      <w:proofErr w:type="spellEnd"/>
      <w:r>
        <w:rPr>
          <w:rtl/>
        </w:rPr>
        <w:t xml:space="preserve"> מלצר: “</w:t>
      </w:r>
      <w:r>
        <w:rPr>
          <w:b/>
          <w:bCs/>
          <w:rtl/>
        </w:rPr>
        <w:t>בכל אופן</w:t>
      </w:r>
      <w:r>
        <w:rPr>
          <w:rtl/>
        </w:rPr>
        <w:t xml:space="preserve"> (ההדגשה שלי), לבדי, בלי גיסי, ודאי לא אסכים לקבל את המשרה”.</w:t>
      </w:r>
    </w:p>
    <w:p w14:paraId="7C0EE9BD" w14:textId="77777777" w:rsidR="00AB3647" w:rsidRDefault="00000000" w:rsidP="007923E9">
      <w:pPr>
        <w:spacing w:after="120" w:line="276" w:lineRule="auto"/>
        <w:ind w:firstLine="283"/>
        <w:jc w:val="both"/>
      </w:pPr>
      <w:r>
        <w:rPr>
          <w:rtl/>
        </w:rPr>
        <w:t xml:space="preserve">הפרטים שלעיל שופכים אור על משמעות אמירה נוספת זו. הסבא רצה לקבל שני מוסרי שיעורים, ומלבד ר׳ </w:t>
      </w:r>
      <w:proofErr w:type="spellStart"/>
      <w:r>
        <w:rPr>
          <w:rtl/>
        </w:rPr>
        <w:t>איסר־זלמן</w:t>
      </w:r>
      <w:proofErr w:type="spellEnd"/>
      <w:r>
        <w:rPr>
          <w:rtl/>
        </w:rPr>
        <w:t xml:space="preserve"> מלצר היה ר׳ </w:t>
      </w:r>
      <w:proofErr w:type="spellStart"/>
      <w:r>
        <w:rPr>
          <w:rtl/>
        </w:rPr>
        <w:t>ארצ׳יק</w:t>
      </w:r>
      <w:proofErr w:type="spellEnd"/>
      <w:r>
        <w:rPr>
          <w:rtl/>
        </w:rPr>
        <w:t xml:space="preserve"> בקשט מועמד למשרה השנייה. ר׳ </w:t>
      </w:r>
      <w:proofErr w:type="spellStart"/>
      <w:r>
        <w:rPr>
          <w:rtl/>
        </w:rPr>
        <w:t>איסר־זלמן</w:t>
      </w:r>
      <w:proofErr w:type="spellEnd"/>
      <w:r>
        <w:rPr>
          <w:rtl/>
        </w:rPr>
        <w:t xml:space="preserve"> אמר לסבא </w:t>
      </w:r>
      <w:proofErr w:type="spellStart"/>
      <w:r>
        <w:rPr>
          <w:rtl/>
        </w:rPr>
        <w:t>מסלבודקה</w:t>
      </w:r>
      <w:proofErr w:type="spellEnd"/>
      <w:r>
        <w:rPr>
          <w:rtl/>
        </w:rPr>
        <w:t xml:space="preserve"> שכדי לפייס את משפחת פרנק יצטרך לקבל את ר׳ </w:t>
      </w:r>
      <w:proofErr w:type="spellStart"/>
      <w:r>
        <w:rPr>
          <w:rtl/>
        </w:rPr>
        <w:t>משה־מרדכי</w:t>
      </w:r>
      <w:proofErr w:type="spellEnd"/>
      <w:r>
        <w:rPr>
          <w:rtl/>
        </w:rPr>
        <w:t xml:space="preserve"> אפשטיין – או במקום ר׳ </w:t>
      </w:r>
      <w:proofErr w:type="spellStart"/>
      <w:r>
        <w:rPr>
          <w:rtl/>
        </w:rPr>
        <w:t>ארצ׳יק</w:t>
      </w:r>
      <w:proofErr w:type="spellEnd"/>
      <w:r>
        <w:rPr>
          <w:rtl/>
        </w:rPr>
        <w:t xml:space="preserve"> בקשט, או במקום ר׳ </w:t>
      </w:r>
      <w:proofErr w:type="spellStart"/>
      <w:r>
        <w:rPr>
          <w:rtl/>
        </w:rPr>
        <w:t>איסר־זלמן</w:t>
      </w:r>
      <w:proofErr w:type="spellEnd"/>
      <w:r>
        <w:rPr>
          <w:rtl/>
        </w:rPr>
        <w:t xml:space="preserve"> עצמו. הסבא בחר אז לקבל את ר׳ </w:t>
      </w:r>
      <w:proofErr w:type="spellStart"/>
      <w:r>
        <w:rPr>
          <w:rtl/>
        </w:rPr>
        <w:t>משה־מרדכי</w:t>
      </w:r>
      <w:proofErr w:type="spellEnd"/>
      <w:r>
        <w:rPr>
          <w:rtl/>
        </w:rPr>
        <w:t xml:space="preserve"> אפשטיין ולא את ר׳ </w:t>
      </w:r>
      <w:proofErr w:type="spellStart"/>
      <w:r>
        <w:rPr>
          <w:rtl/>
        </w:rPr>
        <w:t>ארצ׳יק</w:t>
      </w:r>
      <w:proofErr w:type="spellEnd"/>
      <w:r>
        <w:rPr>
          <w:rtl/>
        </w:rPr>
        <w:t xml:space="preserve"> בקשט: הוא החליט שמוטב לו לוותר על ר׳ </w:t>
      </w:r>
      <w:proofErr w:type="spellStart"/>
      <w:r>
        <w:rPr>
          <w:rtl/>
        </w:rPr>
        <w:t>ארצ׳יק</w:t>
      </w:r>
      <w:proofErr w:type="spellEnd"/>
      <w:r>
        <w:rPr>
          <w:rtl/>
        </w:rPr>
        <w:t xml:space="preserve"> בקשט מאשר על ר׳ </w:t>
      </w:r>
      <w:proofErr w:type="spellStart"/>
      <w:r>
        <w:rPr>
          <w:rtl/>
        </w:rPr>
        <w:t>איסר־זלמן</w:t>
      </w:r>
      <w:proofErr w:type="spellEnd"/>
      <w:r>
        <w:rPr>
          <w:rtl/>
        </w:rPr>
        <w:t>.</w:t>
      </w:r>
    </w:p>
    <w:p w14:paraId="6329EBA6" w14:textId="77777777" w:rsidR="00AB3647" w:rsidRDefault="00000000" w:rsidP="007923E9">
      <w:pPr>
        <w:spacing w:after="120" w:line="276" w:lineRule="auto"/>
        <w:ind w:firstLine="283"/>
        <w:jc w:val="both"/>
      </w:pPr>
      <w:r>
        <w:rPr>
          <w:rtl/>
        </w:rPr>
        <w:t xml:space="preserve">את עיקרו של המעשה סיפר גם ר׳ </w:t>
      </w:r>
      <w:proofErr w:type="spellStart"/>
      <w:r>
        <w:rPr>
          <w:rtl/>
        </w:rPr>
        <w:t>אלעזר־מנחם־מן</w:t>
      </w:r>
      <w:proofErr w:type="spellEnd"/>
      <w:r>
        <w:rPr>
          <w:rtl/>
        </w:rPr>
        <w:t xml:space="preserve"> שך (שנשא את אחיינית ר׳ </w:t>
      </w:r>
      <w:proofErr w:type="spellStart"/>
      <w:r>
        <w:rPr>
          <w:rtl/>
        </w:rPr>
        <w:t>איסר־זלמן</w:t>
      </w:r>
      <w:proofErr w:type="spellEnd"/>
      <w:r>
        <w:rPr>
          <w:rtl/>
        </w:rPr>
        <w:t xml:space="preserve">), אבל בשני שינויים. ראשית, משפחת פרנק דחתה את ר׳ </w:t>
      </w:r>
      <w:proofErr w:type="spellStart"/>
      <w:r>
        <w:rPr>
          <w:rtl/>
        </w:rPr>
        <w:t>ארצ׳יק</w:t>
      </w:r>
      <w:proofErr w:type="spellEnd"/>
      <w:r>
        <w:rPr>
          <w:rtl/>
        </w:rPr>
        <w:t xml:space="preserve"> בקשט משום שהיה בן יחיד לאיש עסקים עשיר, ואפשר היה לצפות שבסופו של דבר ייכנס לעסק המשפחתי ולא יישאר בתחום התורה. שנית, ר׳ </w:t>
      </w:r>
      <w:proofErr w:type="spellStart"/>
      <w:r>
        <w:rPr>
          <w:rtl/>
        </w:rPr>
        <w:t>איסר־זלמן</w:t>
      </w:r>
      <w:proofErr w:type="spellEnd"/>
      <w:r>
        <w:rPr>
          <w:rtl/>
        </w:rPr>
        <w:t xml:space="preserve"> העדיף את ר׳ </w:t>
      </w:r>
      <w:proofErr w:type="spellStart"/>
      <w:r>
        <w:rPr>
          <w:rtl/>
        </w:rPr>
        <w:t>משה־מרדכי</w:t>
      </w:r>
      <w:proofErr w:type="spellEnd"/>
      <w:r>
        <w:rPr>
          <w:rtl/>
        </w:rPr>
        <w:t xml:space="preserve"> משום שהוא עצמו עדיין אכל “</w:t>
      </w:r>
      <w:proofErr w:type="spellStart"/>
      <w:r>
        <w:rPr>
          <w:rtl/>
        </w:rPr>
        <w:t>קעסט</w:t>
      </w:r>
      <w:proofErr w:type="spellEnd"/>
      <w:r>
        <w:rPr>
          <w:rtl/>
        </w:rPr>
        <w:t xml:space="preserve">” ועסק כולו בלימוד התורה, ואילו החתן המבוגר של משפחת פרנק סיים את שנות </w:t>
      </w:r>
      <w:proofErr w:type="spellStart"/>
      <w:r>
        <w:rPr>
          <w:rtl/>
        </w:rPr>
        <w:t>ה“קעסט</w:t>
      </w:r>
      <w:proofErr w:type="spellEnd"/>
      <w:r>
        <w:rPr>
          <w:rtl/>
        </w:rPr>
        <w:t xml:space="preserve">” שלו וכבר עסק בניהול העסק המשפחתי; לכן ראה ר׳ </w:t>
      </w:r>
      <w:proofErr w:type="spellStart"/>
      <w:r>
        <w:rPr>
          <w:rtl/>
        </w:rPr>
        <w:t>איסר־זלמן</w:t>
      </w:r>
      <w:proofErr w:type="spellEnd"/>
      <w:r>
        <w:rPr>
          <w:rtl/>
        </w:rPr>
        <w:t xml:space="preserve"> צורך להחזיר את גיסו לישיבה.</w:t>
      </w:r>
    </w:p>
    <w:p w14:paraId="5A422009" w14:textId="77777777" w:rsidR="00AB3647" w:rsidRDefault="00000000" w:rsidP="007923E9">
      <w:pPr>
        <w:spacing w:after="120" w:line="276" w:lineRule="auto"/>
        <w:ind w:firstLine="283"/>
        <w:jc w:val="both"/>
      </w:pPr>
      <w:r>
        <w:rPr>
          <w:rtl/>
        </w:rPr>
        <w:t xml:space="preserve">בנוגע לנקודה הראשונה, לא נראה לי סביר </w:t>
      </w:r>
      <w:proofErr w:type="spellStart"/>
      <w:r>
        <w:rPr>
          <w:rtl/>
        </w:rPr>
        <w:t>ש“כניסה</w:t>
      </w:r>
      <w:proofErr w:type="spellEnd"/>
      <w:r>
        <w:rPr>
          <w:rtl/>
        </w:rPr>
        <w:t xml:space="preserve"> לעסק המשפחתי” נחשבה לפגם בשנים ההן – ובייחוד בעיני משפחת פרנק, שדבקה בדרכו של ר׳ ישראל </w:t>
      </w:r>
      <w:proofErr w:type="spellStart"/>
      <w:r>
        <w:rPr>
          <w:rtl/>
        </w:rPr>
        <w:t>סלנטר</w:t>
      </w:r>
      <w:proofErr w:type="spellEnd"/>
      <w:r>
        <w:rPr>
          <w:rtl/>
        </w:rPr>
        <w:t xml:space="preserve"> ובעצמה הכניסה אחר כך את חתנה ר׳ </w:t>
      </w:r>
      <w:proofErr w:type="spellStart"/>
      <w:r>
        <w:rPr>
          <w:rtl/>
        </w:rPr>
        <w:t>משה־מרדכי</w:t>
      </w:r>
      <w:proofErr w:type="spellEnd"/>
      <w:r>
        <w:rPr>
          <w:rtl/>
        </w:rPr>
        <w:t xml:space="preserve"> לעסק המשפחתי!</w:t>
      </w:r>
      <w:bookmarkStart w:id="2740" w:name="_fnr1874"/>
      <w:r>
        <w:rPr>
          <w:rStyle w:val="a5"/>
        </w:rPr>
        <w:footnoteReference w:id="1878" w:customMarkFollows="0"/>
      </w:r>
      <w:bookmarkEnd w:id="2740"/>
      <w:r>
        <w:rPr>
          <w:rtl/>
        </w:rPr>
        <w:t xml:space="preserve"> אבל כשיצא לאור “שמושה של תורה”, גיליתי</w:t>
      </w:r>
      <w:bookmarkStart w:id="2741" w:name="_fnr1875"/>
      <w:r>
        <w:rPr>
          <w:rStyle w:val="a5"/>
        </w:rPr>
        <w:footnoteReference w:id="1879" w:customMarkFollows="0"/>
      </w:r>
      <w:bookmarkEnd w:id="2741"/>
      <w:r>
        <w:rPr>
          <w:rtl/>
        </w:rPr>
        <w:t xml:space="preserve"> פרט חשוב בגרסת ר׳ </w:t>
      </w:r>
      <w:proofErr w:type="spellStart"/>
      <w:r>
        <w:rPr>
          <w:rtl/>
        </w:rPr>
        <w:t>אלעזר־מנחם־מן</w:t>
      </w:r>
      <w:proofErr w:type="spellEnd"/>
      <w:r>
        <w:rPr>
          <w:rtl/>
        </w:rPr>
        <w:t xml:space="preserve"> שך, המבהיר יותר את דחיית ר׳ </w:t>
      </w:r>
      <w:proofErr w:type="spellStart"/>
      <w:r>
        <w:rPr>
          <w:rtl/>
        </w:rPr>
        <w:t>ארצ׳יק</w:t>
      </w:r>
      <w:proofErr w:type="spellEnd"/>
      <w:r>
        <w:rPr>
          <w:rtl/>
        </w:rPr>
        <w:t>.</w:t>
      </w:r>
    </w:p>
    <w:p w14:paraId="35D3E637"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ביקר במפעל העור של משפחת פרנק בעונת העבודה העמוסה שלפני החג, וכשראה שהאלמנה ובנותיה כורעות תחת נטל העבודה, החליט – כבעל מוסר מן המעלה הגבוהה שהיה</w:t>
      </w:r>
      <w:bookmarkStart w:id="2742" w:name="_fnr1876"/>
      <w:r>
        <w:rPr>
          <w:rStyle w:val="a5"/>
        </w:rPr>
        <w:footnoteReference w:id="1880" w:customMarkFollows="0"/>
      </w:r>
      <w:bookmarkEnd w:id="2742"/>
      <w:r>
        <w:rPr>
          <w:rtl/>
        </w:rPr>
        <w:t xml:space="preserve"> – להושיט יד לעזרה. בני משפחת פרנק ודאי הבחינו בהתלהבותו מן העבודה, ובמקום לייחס אותה לשמחתו על ההזדמנות לעשות גמילות חסדים בגופו,</w:t>
      </w:r>
      <w:bookmarkStart w:id="2743" w:name="_fnr1877"/>
      <w:r>
        <w:rPr>
          <w:rStyle w:val="a5"/>
        </w:rPr>
        <w:footnoteReference w:id="1881" w:customMarkFollows="0"/>
      </w:r>
      <w:bookmarkEnd w:id="2743"/>
      <w:r>
        <w:rPr>
          <w:rtl/>
        </w:rPr>
        <w:t xml:space="preserve"> ראו בה עניין מופרז בעסקים, שאינו מקובל אפילו על בעלי מוסר.</w:t>
      </w:r>
      <w:bookmarkStart w:id="2744" w:name="_fnr1878"/>
      <w:r>
        <w:rPr>
          <w:rStyle w:val="a5"/>
        </w:rPr>
        <w:footnoteReference w:id="1882" w:customMarkFollows="0"/>
      </w:r>
      <w:bookmarkEnd w:id="2744"/>
      <w:r>
        <w:rPr>
          <w:rtl/>
        </w:rPr>
        <w:t xml:space="preserve"> למעשה, כשנשא ר׳ </w:t>
      </w:r>
      <w:proofErr w:type="spellStart"/>
      <w:r>
        <w:rPr>
          <w:rtl/>
        </w:rPr>
        <w:t>ארצ׳יק</w:t>
      </w:r>
      <w:proofErr w:type="spellEnd"/>
      <w:r>
        <w:rPr>
          <w:rtl/>
        </w:rPr>
        <w:t xml:space="preserve"> אישה, נכנס לעסקו של חותנו העשיר, ואף שהצליח בו מאוד, החליט ללמוד </w:t>
      </w:r>
      <w:proofErr w:type="spellStart"/>
      <w:r>
        <w:rPr>
          <w:rtl/>
        </w:rPr>
        <w:t>בקלם</w:t>
      </w:r>
      <w:proofErr w:type="spellEnd"/>
      <w:r>
        <w:rPr>
          <w:rtl/>
        </w:rPr>
        <w:t xml:space="preserve"> במקום זאת, “כשראה ש[העבודה] מעכבת את התקדמותו הרוחנית”.</w:t>
      </w:r>
      <w:bookmarkStart w:id="2745" w:name="_fnr1879"/>
      <w:r>
        <w:rPr>
          <w:rStyle w:val="a5"/>
        </w:rPr>
        <w:footnoteReference w:id="1883" w:customMarkFollows="0"/>
      </w:r>
      <w:bookmarkEnd w:id="2745"/>
    </w:p>
    <w:p w14:paraId="1D33A9DE" w14:textId="77777777" w:rsidR="00AB3647" w:rsidRDefault="00000000" w:rsidP="007923E9">
      <w:pPr>
        <w:spacing w:after="120" w:line="276" w:lineRule="auto"/>
        <w:ind w:firstLine="283"/>
        <w:jc w:val="both"/>
      </w:pPr>
      <w:r>
        <w:rPr>
          <w:rtl/>
        </w:rPr>
        <w:t xml:space="preserve">באחד מביקוריו בארץ ישראל סיפר אבי – בהקשר של הזכות הישירה שיש לייחס לעשירי העבר בגידול מנהיגי ישראל – שאלמנת ר׳ </w:t>
      </w:r>
      <w:proofErr w:type="spellStart"/>
      <w:r>
        <w:rPr>
          <w:rtl/>
        </w:rPr>
        <w:t>שרגא־פייבל</w:t>
      </w:r>
      <w:proofErr w:type="spellEnd"/>
      <w:r>
        <w:rPr>
          <w:rtl/>
        </w:rPr>
        <w:t xml:space="preserve"> פרנק, גולדה, דאגה שחתניה יקבלו </w:t>
      </w:r>
      <w:r>
        <w:rPr>
          <w:rtl/>
        </w:rPr>
        <w:lastRenderedPageBreak/>
        <w:t xml:space="preserve">את משרות מגידי השיעור </w:t>
      </w:r>
      <w:proofErr w:type="spellStart"/>
      <w:r>
        <w:rPr>
          <w:rtl/>
        </w:rPr>
        <w:t>בסלבודקה</w:t>
      </w:r>
      <w:proofErr w:type="spellEnd"/>
      <w:r>
        <w:rPr>
          <w:rtl/>
        </w:rPr>
        <w:t>: היא הודיעה לסבא שהיא תישא בתשלום משכורותיהם.</w:t>
      </w:r>
      <w:bookmarkStart w:id="2746" w:name="_fnr1880"/>
      <w:r>
        <w:rPr>
          <w:rStyle w:val="a5"/>
        </w:rPr>
        <w:footnoteReference w:id="1884" w:customMarkFollows="0"/>
      </w:r>
      <w:bookmarkEnd w:id="2746"/>
    </w:p>
    <w:p w14:paraId="620873FA" w14:textId="77777777" w:rsidR="00AB3647" w:rsidRDefault="00000000" w:rsidP="007923E9">
      <w:pPr>
        <w:spacing w:after="120" w:line="276" w:lineRule="auto"/>
        <w:ind w:firstLine="283"/>
        <w:jc w:val="both"/>
      </w:pPr>
      <w:r>
        <w:rPr>
          <w:rtl/>
        </w:rPr>
        <w:t>אבי גילה גם</w:t>
      </w:r>
      <w:bookmarkStart w:id="2747" w:name="_fnr1881"/>
      <w:r>
        <w:rPr>
          <w:rStyle w:val="a5"/>
        </w:rPr>
        <w:footnoteReference w:id="1885" w:customMarkFollows="0"/>
      </w:r>
      <w:bookmarkEnd w:id="2747"/>
      <w:r>
        <w:rPr>
          <w:rtl/>
        </w:rPr>
        <w:t xml:space="preserve"> כיצד דאג הסבא שהבחורים יכירו בר׳ </w:t>
      </w:r>
      <w:proofErr w:type="spellStart"/>
      <w:r>
        <w:rPr>
          <w:rtl/>
        </w:rPr>
        <w:t>משה־מרדכי</w:t>
      </w:r>
      <w:proofErr w:type="spellEnd"/>
      <w:r>
        <w:rPr>
          <w:rtl/>
        </w:rPr>
        <w:t xml:space="preserve"> כראש ישיבתם. פעם באו התלמידים אל הסבא לשאול אם להשתתף בלוויה מסוימת בעיר, והוא אמר להם: “יש כאן ראש ישיבה – לכו שאלו אותו”. כשפנו </w:t>
      </w:r>
      <w:proofErr w:type="spellStart"/>
      <w:r>
        <w:rPr>
          <w:rtl/>
        </w:rPr>
        <w:t>לר</w:t>
      </w:r>
      <w:proofErr w:type="spellEnd"/>
      <w:r>
        <w:rPr>
          <w:rtl/>
        </w:rPr>
        <w:t xml:space="preserve">׳ </w:t>
      </w:r>
      <w:proofErr w:type="spellStart"/>
      <w:r>
        <w:rPr>
          <w:rtl/>
        </w:rPr>
        <w:t>משה־מרדכי</w:t>
      </w:r>
      <w:proofErr w:type="spellEnd"/>
      <w:r>
        <w:rPr>
          <w:rtl/>
        </w:rPr>
        <w:t>, ניגש הלה אל הסבא ושאל לדעתו, ואחר כך חזר להורות לתלמידים.</w:t>
      </w:r>
      <w:bookmarkStart w:id="2748" w:name="_fnr1882"/>
      <w:r>
        <w:rPr>
          <w:rStyle w:val="a5"/>
        </w:rPr>
        <w:footnoteReference w:id="1886" w:customMarkFollows="0"/>
      </w:r>
      <w:bookmarkEnd w:id="2748"/>
    </w:p>
    <w:p w14:paraId="79561ED9" w14:textId="77777777" w:rsidR="00AB3647" w:rsidRDefault="00000000" w:rsidP="007923E9">
      <w:pPr>
        <w:spacing w:after="120" w:line="276" w:lineRule="auto"/>
        <w:ind w:firstLine="283"/>
        <w:jc w:val="both"/>
      </w:pPr>
      <w:r>
        <w:rPr>
          <w:rtl/>
        </w:rPr>
        <w:t xml:space="preserve">כששמע חתנו הצעיר של רבנו, ר׳ הירש </w:t>
      </w:r>
      <w:proofErr w:type="spellStart"/>
      <w:r>
        <w:rPr>
          <w:rtl/>
        </w:rPr>
        <w:t>דיסקינד</w:t>
      </w:r>
      <w:proofErr w:type="spellEnd"/>
      <w:r>
        <w:rPr>
          <w:rtl/>
        </w:rPr>
        <w:t xml:space="preserve">, את הדברים, אמר שר׳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מעשה דומה לכאורה,</w:t>
      </w:r>
      <w:bookmarkStart w:id="2749" w:name="_fnr1883"/>
      <w:r>
        <w:rPr>
          <w:rStyle w:val="a5"/>
        </w:rPr>
        <w:footnoteReference w:id="1887" w:customMarkFollows="0"/>
      </w:r>
      <w:bookmarkEnd w:id="2749"/>
      <w:r>
        <w:rPr>
          <w:rtl/>
        </w:rPr>
        <w:t xml:space="preserve"> אך בכיוון אחר. בקובנה הייתה לוויה של תומך נלהב בישיבה. ר׳ </w:t>
      </w:r>
      <w:proofErr w:type="spellStart"/>
      <w:r>
        <w:rPr>
          <w:rtl/>
        </w:rPr>
        <w:t>משה־מרדכי</w:t>
      </w:r>
      <w:proofErr w:type="spellEnd"/>
      <w:r>
        <w:rPr>
          <w:rtl/>
        </w:rPr>
        <w:t xml:space="preserve"> אפשטיין סבר שהבחורים צריכים להשתתף בה, ואילו הסבא סבר אחרת. בישיבת צוות השתתפו שניהם והמשנה למשגיח,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2750" w:name="_fnr1884"/>
      <w:r>
        <w:rPr>
          <w:rStyle w:val="a5"/>
        </w:rPr>
        <w:footnoteReference w:id="1888" w:customMarkFollows="0"/>
      </w:r>
      <w:bookmarkEnd w:id="2750"/>
      <w:r>
        <w:rPr>
          <w:rtl/>
        </w:rPr>
        <w:t xml:space="preserve"> האחרון הציג את הדעה שהתלמידים צריכים ללכת, והסבא תקף אותו בחריפות. אחר כך פנה הסבא </w:t>
      </w:r>
      <w:proofErr w:type="spellStart"/>
      <w:r>
        <w:rPr>
          <w:rtl/>
        </w:rPr>
        <w:t>לר</w:t>
      </w:r>
      <w:proofErr w:type="spellEnd"/>
      <w:r>
        <w:rPr>
          <w:rtl/>
        </w:rPr>
        <w:t xml:space="preserve">׳ </w:t>
      </w:r>
      <w:proofErr w:type="spellStart"/>
      <w:r>
        <w:rPr>
          <w:rtl/>
        </w:rPr>
        <w:t>משה־מרדכי</w:t>
      </w:r>
      <w:proofErr w:type="spellEnd"/>
      <w:r>
        <w:rPr>
          <w:rtl/>
        </w:rPr>
        <w:t xml:space="preserve"> ושאל לדעתו. עכשיו הסכים ר׳ </w:t>
      </w:r>
      <w:proofErr w:type="spellStart"/>
      <w:r>
        <w:rPr>
          <w:rtl/>
        </w:rPr>
        <w:t>משה־מרדכי</w:t>
      </w:r>
      <w:proofErr w:type="spellEnd"/>
      <w:r>
        <w:rPr>
          <w:rtl/>
        </w:rPr>
        <w:t xml:space="preserve"> לסבא – או לא רצה לחלוק עליו – והכריז שהבחורים בהחלט אינם צריכים להשתתף בלוויה. הרב </w:t>
      </w:r>
      <w:proofErr w:type="spellStart"/>
      <w:r>
        <w:rPr>
          <w:rtl/>
        </w:rPr>
        <w:t xml:space="preserve">הלר</w:t>
      </w:r>
      <w:proofErr w:type="spellEnd"/>
      <w:r>
        <w:rPr>
          <w:rtl/>
        </w:rPr>
        <w:t xml:space="preserve"> שימש לסבא כבן שיח המציג את הדעה הנגדית, כדי שהסבא יוכל להשליט את דעתו בלי להתעמת עם ראש הישיבה.</w:t>
      </w:r>
      <w:bookmarkStart w:id="2751" w:name="_fnr1885"/>
      <w:r>
        <w:rPr>
          <w:rStyle w:val="a5"/>
        </w:rPr>
        <w:footnoteReference w:id="1889" w:customMarkFollows="0"/>
      </w:r>
      <w:bookmarkEnd w:id="2751"/>
    </w:p>
    <w:p w14:paraId="77EA73A6" w14:textId="77777777" w:rsidR="00AB3647" w:rsidRDefault="00000000" w:rsidP="007923E9">
      <w:pPr>
        <w:pStyle w:val="4"/>
        <w:spacing w:line="276" w:lineRule="auto"/>
      </w:pPr>
      <w:r>
        <w:t>· הפסקה השלישית ·</w:t>
      </w:r>
    </w:p>
    <w:p w14:paraId="78639B37" w14:textId="77777777" w:rsidR="00AB3647" w:rsidRDefault="00000000" w:rsidP="007923E9">
      <w:pPr>
        <w:pStyle w:val="5"/>
        <w:spacing w:line="276" w:lineRule="auto"/>
      </w:pPr>
      <w:r>
        <w:t xml:space="preserve">גם שתי בנות פרנק הצעירות נישאות לגדולים – אחיינו של ר׳ </w:t>
      </w:r>
      <w:proofErr w:type="spellStart"/>
      <w:r>
        <w:t>שרגא־פייבל</w:t>
      </w:r>
      <w:proofErr w:type="spellEnd"/>
      <w:r>
        <w:t xml:space="preserve"> הוא רבה של ירושלים</w:t>
      </w:r>
    </w:p>
    <w:p w14:paraId="20468D2F" w14:textId="77777777" w:rsidR="00AB3647" w:rsidRDefault="00000000" w:rsidP="007923E9">
      <w:pPr>
        <w:spacing w:after="120" w:line="276" w:lineRule="auto"/>
        <w:ind w:firstLine="283"/>
        <w:jc w:val="both"/>
      </w:pPr>
      <w:r>
        <w:rPr>
          <w:rtl/>
        </w:rPr>
        <w:t xml:space="preserve">גם שתי בנותיו הצעירות של ר׳ </w:t>
      </w:r>
      <w:proofErr w:type="spellStart"/>
      <w:r>
        <w:rPr>
          <w:rtl/>
        </w:rPr>
        <w:t>שרגא־פייבל</w:t>
      </w:r>
      <w:proofErr w:type="spellEnd"/>
      <w:r>
        <w:rPr>
          <w:rtl/>
        </w:rPr>
        <w:t xml:space="preserve"> פרנק נישאו לאישי תורה גדולים: ר׳ ברוך </w:t>
      </w:r>
      <w:proofErr w:type="spellStart"/>
      <w:r>
        <w:rPr>
          <w:rtl/>
        </w:rPr>
        <w:t>הורוויץ</w:t>
      </w:r>
      <w:proofErr w:type="spellEnd"/>
      <w:r>
        <w:rPr>
          <w:rtl/>
        </w:rPr>
        <w:t xml:space="preserve"> (</w:t>
      </w:r>
      <w:proofErr w:type="spellStart"/>
      <w:r>
        <w:rPr>
          <w:rtl/>
        </w:rPr>
        <w:t>אלקסוטער</w:t>
      </w:r>
      <w:proofErr w:type="spellEnd"/>
      <w:r>
        <w:rPr>
          <w:rtl/>
        </w:rPr>
        <w:t xml:space="preserve">), ראש ישיבה בישיבת </w:t>
      </w:r>
      <w:proofErr w:type="spellStart"/>
      <w:r>
        <w:rPr>
          <w:rtl/>
        </w:rPr>
        <w:t>סלבודקה</w:t>
      </w:r>
      <w:proofErr w:type="spellEnd"/>
      <w:r>
        <w:rPr>
          <w:rtl/>
        </w:rPr>
        <w:t xml:space="preserve"> משנת תרע״ח עד פטירתו בשנת תרצ״ו,</w:t>
      </w:r>
      <w:bookmarkStart w:id="2752" w:name="_fnr1886"/>
      <w:r>
        <w:rPr>
          <w:rStyle w:val="a5"/>
        </w:rPr>
        <w:footnoteReference w:id="1890" w:customMarkFollows="0"/>
      </w:r>
      <w:bookmarkEnd w:id="2752"/>
      <w:r>
        <w:rPr>
          <w:rtl/>
        </w:rPr>
        <w:t xml:space="preserve"> ור׳ שפטל קרמר, שבא לניו </w:t>
      </w:r>
      <w:proofErr w:type="spellStart"/>
      <w:r>
        <w:rPr>
          <w:rtl/>
        </w:rPr>
        <w:t>הייבן</w:t>
      </w:r>
      <w:proofErr w:type="spellEnd"/>
      <w:r>
        <w:rPr>
          <w:rtl/>
        </w:rPr>
        <w:t xml:space="preserve"> שבקונטיקט בשנת תרפ״ה כדי לשמש מנהל רוחני תחת ר׳ יהודה </w:t>
      </w:r>
      <w:proofErr w:type="spellStart"/>
      <w:r>
        <w:rPr>
          <w:rtl/>
        </w:rPr>
        <w:t>לוונברג</w:t>
      </w:r>
      <w:proofErr w:type="spellEnd"/>
      <w:r>
        <w:rPr>
          <w:rtl/>
        </w:rPr>
        <w:t xml:space="preserve"> בישיבה הראשונה באמריקה שנוסדה במתכונת אירופית. הרב קרמר היה חותנם של ר׳ </w:t>
      </w:r>
      <w:proofErr w:type="spellStart"/>
      <w:r>
        <w:rPr>
          <w:rtl/>
        </w:rPr>
        <w:t>יעקב־יצחק</w:t>
      </w:r>
      <w:proofErr w:type="spellEnd"/>
      <w:r>
        <w:rPr>
          <w:rtl/>
        </w:rPr>
        <w:t xml:space="preserve"> </w:t>
      </w:r>
      <w:proofErr w:type="spellStart"/>
      <w:r>
        <w:rPr>
          <w:rtl/>
        </w:rPr>
        <w:t>רודרמן</w:t>
      </w:r>
      <w:bookmarkStart w:id="2753" w:name="_fnr1887"/>
      <w:proofErr w:type="spellEnd"/>
      <w:r>
        <w:rPr>
          <w:rStyle w:val="a5"/>
        </w:rPr>
        <w:footnoteReference w:id="1891" w:customMarkFollows="0"/>
      </w:r>
      <w:bookmarkEnd w:id="2753"/>
      <w:r>
        <w:rPr>
          <w:rtl/>
        </w:rPr>
        <w:t xml:space="preserve"> ושל ר׳ נפתלי </w:t>
      </w:r>
      <w:proofErr w:type="spellStart"/>
      <w:r>
        <w:rPr>
          <w:rtl/>
        </w:rPr>
        <w:t>נויברגר</w:t>
      </w:r>
      <w:proofErr w:type="spellEnd"/>
      <w:r>
        <w:rPr>
          <w:rtl/>
        </w:rPr>
        <w:t>.</w:t>
      </w:r>
      <w:bookmarkStart w:id="2754" w:name="_fnr1888"/>
      <w:r>
        <w:rPr>
          <w:rStyle w:val="a5"/>
        </w:rPr>
        <w:footnoteReference w:id="1892" w:customMarkFollows="0"/>
      </w:r>
      <w:bookmarkEnd w:id="2754"/>
    </w:p>
    <w:p w14:paraId="4DA315D2" w14:textId="77777777" w:rsidR="00AB3647" w:rsidRDefault="00000000" w:rsidP="007923E9">
      <w:pPr>
        <w:spacing w:after="120" w:line="276" w:lineRule="auto"/>
        <w:ind w:firstLine="283"/>
        <w:jc w:val="both"/>
      </w:pPr>
      <w:r>
        <w:rPr>
          <w:rtl/>
        </w:rPr>
        <w:t xml:space="preserve">ר׳ </w:t>
      </w:r>
      <w:proofErr w:type="spellStart"/>
      <w:r>
        <w:rPr>
          <w:rtl/>
        </w:rPr>
        <w:t>שרגא־פייבל</w:t>
      </w:r>
      <w:proofErr w:type="spellEnd"/>
      <w:r>
        <w:rPr>
          <w:rtl/>
        </w:rPr>
        <w:t xml:space="preserve"> היה אחד מתשעה אחים ואחיות. אחד מאחיו היה ר׳ יודל, שעלה לארץ ישראל עם משפחתו בשנת תרנ״ג, והיה אביו של ר׳ </w:t>
      </w:r>
      <w:proofErr w:type="spellStart"/>
      <w:r>
        <w:rPr>
          <w:rtl/>
        </w:rPr>
        <w:t>צבי־פסח</w:t>
      </w:r>
      <w:proofErr w:type="spellEnd"/>
      <w:r>
        <w:rPr>
          <w:rtl/>
        </w:rPr>
        <w:t xml:space="preserve"> (שנולד בקובנה בשנת תרל״ג), </w:t>
      </w:r>
      <w:r>
        <w:rPr>
          <w:rtl/>
        </w:rPr>
        <w:lastRenderedPageBreak/>
        <w:t>ששימש רבה של ירושלים משנת תרס״ח עד פטירתו בשנת תשכ״א. כמה מן האחים האחרים היגרו לעולם החדש וייסדו מבשלת בירה באזור שיקגו.</w:t>
      </w:r>
    </w:p>
    <w:p w14:paraId="0488F9A7" w14:textId="2729B554" w:rsidR="00AB3647" w:rsidRDefault="00000000" w:rsidP="007923E9">
      <w:pPr>
        <w:spacing w:after="120" w:line="276" w:lineRule="auto"/>
        <w:ind w:firstLine="283"/>
        <w:jc w:val="both"/>
      </w:pPr>
      <w:r>
        <w:rPr>
          <w:rtl/>
        </w:rPr>
        <w:t xml:space="preserve">כשנסע ר׳ יודל לארצות הברית מטעם בית היתומים דיסקין בירושלים, מצא שאחיו העשירים שם כבר אינם נאמנים בשמירת הכשרות, ולא יכול לאכול בבתיהם אלא לחם ולשתות בירה. אח עשיר אחר מת בקובנה בלי ילדים, ונאמר שהורעל בידי אשתו. הרבנים הורו </w:t>
      </w:r>
      <w:proofErr w:type="spellStart"/>
      <w:r>
        <w:rPr>
          <w:rtl/>
        </w:rPr>
        <w:t>לר</w:t>
      </w:r>
      <w:proofErr w:type="spellEnd"/>
      <w:r>
        <w:rPr>
          <w:rtl/>
        </w:rPr>
        <w:t>׳ יודל שלא לחלוץ לה לפני שתוותר על ההון העצום שהשיגה בפשעה.</w:t>
      </w:r>
      <w:bookmarkStart w:id="2755" w:name="_fnr1889"/>
      <w:r>
        <w:rPr>
          <w:rStyle w:val="a5"/>
        </w:rPr>
        <w:footnoteReference w:id="1893" w:customMarkFollows="0"/>
      </w:r>
      <w:bookmarkEnd w:id="2755"/>
      <w:r>
        <w:rPr>
          <w:rtl/>
        </w:rPr>
        <w:t xml:space="preserve"> השווה גם הערת שוליים </w:t>
      </w:r>
      <w:r>
        <w:rPr>
          <w:rtl/>
        </w:rPr>
        <w:fldChar w:fldCharType="begin" w:dirty="true"/>
      </w:r>
      <w:r>
        <w:rPr>
          <w:rtl/>
        </w:rPr>
        <w:instrText xml:space="preserve"> NOTEREF pr_f_1778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825</w:t>
      </w:r>
      <w:r>
        <w:rPr>
          <w:rtl/>
        </w:rPr>
        <w:fldChar w:fldCharType="end"/>
      </w:r>
      <w:r>
        <w:rPr>
          <w:rtl/>
        </w:rPr>
        <w:t xml:space="preserve"> בעמ׳ </w:t>
      </w:r>
      <w:r>
        <w:rPr>
          <w:rtl/>
        </w:rPr>
        <w:fldChar w:fldCharType="begin" w:dirty="true"/>
      </w:r>
      <w:r>
        <w:rPr>
          <w:rtl/>
        </w:rPr>
        <w:instrText xml:space="preserve"> PAGEREF pr_f_1778 \h </w:instrText>
      </w:r>
      <w:r>
        <w:rPr>
          <w:rtl/>
        </w:rPr>
      </w:r>
      <w:r>
        <w:rPr>
          <w:rtl/>
        </w:rPr>
        <w:fldChar w:fldCharType="separate"/>
      </w:r>
      <w:r w:rsidR="007923E9">
        <w:rPr>
          <w:noProof/>
          <w:rtl/>
        </w:rPr>
        <w:t>1</w:t>
      </w:r>
      <w:r>
        <w:rPr>
          <w:rtl/>
        </w:rPr>
        <w:fldChar w:fldCharType="end"/>
      </w:r>
      <w:r>
        <w:rPr>
          <w:rtl/>
        </w:rPr>
        <w:t xml:space="preserve"> לעיל, שהצדיק ר׳ </w:t>
      </w:r>
      <w:proofErr w:type="spellStart"/>
      <w:r>
        <w:rPr>
          <w:rtl/>
        </w:rPr>
        <w:t>שרגא־פייבל</w:t>
      </w:r>
      <w:proofErr w:type="spellEnd"/>
      <w:r>
        <w:rPr>
          <w:rtl/>
        </w:rPr>
        <w:t xml:space="preserve"> התפלל שצאצאיו לא יהיו עשירים; אולי ראה במשפחתו שלו לאילו רעות יכול העושר להביא.</w:t>
      </w:r>
    </w:p>
    <w:bookmarkStart w:id="2756" w:name="b3_excK"/>
    <w:p w14:paraId="15DE1F69" w14:textId="77777777" w:rsidR="00AB3647" w:rsidRDefault="00000000" w:rsidP="007923E9">
      <w:pPr>
        <w:pStyle w:val="3"/>
        <w:spacing w:line="276" w:lineRule="auto"/>
      </w:pPr>
      <w:r>
        <w:lastRenderedPageBreak/>
        <w:fldChar w:fldCharType="begin" w:dirty="true"/>
      </w:r>
      <w:r>
        <w:rPr>
          <w:rtl w:val="0"/>
        </w:rPr>
        <w:instrText>HYPERLINK \l "b3_note34</w:instrText>
      </w:r>
      <w:r>
        <w:instrText>"</w:instrText>
      </w:r>
      <w:r>
        <w:fldChar w:fldCharType="separate"/>
      </w:r>
      <w:r>
        <w:t>נספח יא</w:t>
      </w:r>
      <w:r>
        <w:fldChar w:fldCharType="end"/>
      </w:r>
      <w:bookmarkEnd w:id="2756"/>
    </w:p>
    <w:p w14:paraId="0567CB47" w14:textId="77777777" w:rsidR="00AB3647" w:rsidRDefault="00000000" w:rsidP="007923E9">
      <w:pPr>
        <w:pStyle w:val="af"/>
        <w:spacing w:line="276" w:lineRule="auto"/>
      </w:pPr>
      <w:r>
        <w:t xml:space="preserve">על שנותיה האחרונות של ישיבת </w:t>
      </w:r>
      <w:proofErr w:type="spellStart"/>
      <w:r>
        <w:t>וולוז׳ין</w:t>
      </w:r>
      <w:proofErr w:type="spellEnd"/>
      <w:r>
        <w:t xml:space="preserve"> המקורית ועל מעורבות ר׳ חיים ברלין בסגירתה ובניסיון לפתחה מחדש</w:t>
      </w:r>
    </w:p>
    <w:p w14:paraId="79EE04E2" w14:textId="77777777" w:rsidR="00AB3647" w:rsidRDefault="00000000" w:rsidP="007923E9">
      <w:pPr>
        <w:pStyle w:val="5"/>
        <w:spacing w:line="276" w:lineRule="auto"/>
      </w:pPr>
      <w:r>
        <w:t xml:space="preserve">ישיבת </w:t>
      </w:r>
      <w:proofErr w:type="spellStart"/>
      <w:r>
        <w:t>סלבודקה</w:t>
      </w:r>
      <w:proofErr w:type="spellEnd"/>
      <w:r>
        <w:t xml:space="preserve"> יוצאת נשכרת מסגירת </w:t>
      </w:r>
      <w:proofErr w:type="spellStart"/>
      <w:r>
        <w:t>וולוז׳ין</w:t>
      </w:r>
      <w:proofErr w:type="spellEnd"/>
      <w:r>
        <w:t xml:space="preserve"> – </w:t>
      </w:r>
      <w:proofErr w:type="spellStart"/>
      <w:r>
        <w:t>הנצי״ב</w:t>
      </w:r>
      <w:proofErr w:type="spellEnd"/>
      <w:r>
        <w:t xml:space="preserve"> מתנגד ללימוד מוסר בישיבה – התפרעויות בישיבת </w:t>
      </w:r>
      <w:proofErr w:type="spellStart"/>
      <w:r>
        <w:t>וולוז׳ין</w:t>
      </w:r>
      <w:proofErr w:type="spellEnd"/>
      <w:r>
        <w:t xml:space="preserve"> נגד ר׳ חיים ברלין מביאות לנפילתה – </w:t>
      </w:r>
      <w:proofErr w:type="spellStart"/>
      <w:r>
        <w:t>חיים־נחמן</w:t>
      </w:r>
      <w:proofErr w:type="spellEnd"/>
      <w:r>
        <w:t xml:space="preserve"> ביאליק הצעיר מתאר את ההתקוממות בשירה – אין הוא מגלה הכרת טובה </w:t>
      </w:r>
      <w:proofErr w:type="spellStart"/>
      <w:r>
        <w:t>למיטיבו</w:t>
      </w:r>
      <w:proofErr w:type="spellEnd"/>
      <w:r>
        <w:t xml:space="preserve"> באודסה – הסיבה הידועה לסגירת </w:t>
      </w:r>
      <w:proofErr w:type="spellStart"/>
      <w:r>
        <w:t>וולוז׳ין</w:t>
      </w:r>
      <w:proofErr w:type="spellEnd"/>
      <w:r>
        <w:t xml:space="preserve"> אינה בהכרח הסיבה היחידה – הצטרפותם של שני גורמים – </w:t>
      </w:r>
      <w:proofErr w:type="spellStart"/>
      <w:r>
        <w:t>הנצי״ב</w:t>
      </w:r>
      <w:proofErr w:type="spellEnd"/>
      <w:r>
        <w:t xml:space="preserve"> רואה בסגירה עניין זמני – עולה האפשרות לישיבת </w:t>
      </w:r>
      <w:proofErr w:type="spellStart"/>
      <w:r>
        <w:t>וולוז׳ין</w:t>
      </w:r>
      <w:proofErr w:type="spellEnd"/>
      <w:r>
        <w:t xml:space="preserve"> בלי ר׳ חיים </w:t>
      </w:r>
      <w:proofErr w:type="spellStart"/>
      <w:r>
        <w:t>סולובייצ׳יק</w:t>
      </w:r>
      <w:proofErr w:type="spellEnd"/>
      <w:r>
        <w:t xml:space="preserve"> – ר׳ חיים ברלין מצפה לפתיחת הישיבה מחדש – ר׳ חיים </w:t>
      </w:r>
      <w:proofErr w:type="spellStart"/>
      <w:r>
        <w:t>סולובייצ׳יק</w:t>
      </w:r>
      <w:proofErr w:type="spellEnd"/>
      <w:r>
        <w:t xml:space="preserve"> אינו מתערב במהומה – בנו ר׳ משה שוקל לפתוח מחדש את ישיבת </w:t>
      </w:r>
      <w:proofErr w:type="spellStart"/>
      <w:r>
        <w:t>וולוז׳ין</w:t>
      </w:r>
      <w:proofErr w:type="spellEnd"/>
      <w:r>
        <w:t xml:space="preserve"> לאחר מלחמת העולם הראשונה – ר׳ חיים ברלין מכהן ברבנות מוסקבה, ואחר כך מתגורר </w:t>
      </w:r>
      <w:proofErr w:type="spellStart"/>
      <w:r>
        <w:t>בביאלה</w:t>
      </w:r>
      <w:proofErr w:type="spellEnd"/>
      <w:r>
        <w:t xml:space="preserve"> – הוא נעשה רבה של </w:t>
      </w:r>
      <w:proofErr w:type="spellStart"/>
      <w:r>
        <w:t>קוברין</w:t>
      </w:r>
      <w:proofErr w:type="spellEnd"/>
      <w:r>
        <w:t xml:space="preserve"> – תקוותיו להתמנות לרבה של </w:t>
      </w:r>
      <w:proofErr w:type="spellStart"/>
      <w:r>
        <w:t>מזריטש</w:t>
      </w:r>
      <w:proofErr w:type="spellEnd"/>
      <w:r>
        <w:t xml:space="preserve"> הנודעת מתבדות – שרפות פורצות </w:t>
      </w:r>
      <w:proofErr w:type="spellStart"/>
      <w:r>
        <w:t>בבריסק</w:t>
      </w:r>
      <w:proofErr w:type="spellEnd"/>
      <w:r>
        <w:t xml:space="preserve"> </w:t>
      </w:r>
      <w:proofErr w:type="spellStart"/>
      <w:r>
        <w:t>ובקוברין</w:t>
      </w:r>
      <w:proofErr w:type="spellEnd"/>
      <w:r>
        <w:t xml:space="preserve"> – הוא עוזב לאוקראינה – ר׳ חיים ברלין עוזב את בלארוס לארץ ישראל</w:t>
      </w:r>
    </w:p>
    <w:p w14:paraId="3B3E44BE" w14:textId="77777777" w:rsidR="00AB3647" w:rsidRDefault="00000000" w:rsidP="007923E9">
      <w:pPr>
        <w:spacing w:after="120" w:line="276" w:lineRule="auto"/>
        <w:ind w:firstLine="283"/>
        <w:jc w:val="both"/>
      </w:pPr>
      <w:r>
        <w:rPr>
          <w:rtl/>
        </w:rPr>
        <w:t xml:space="preserve">בשנת תרנ״ב, כשנסגרה ישיבת </w:t>
      </w:r>
      <w:proofErr w:type="spellStart"/>
      <w:r>
        <w:rPr>
          <w:rtl/>
        </w:rPr>
        <w:t>וולוז׳ין</w:t>
      </w:r>
      <w:proofErr w:type="spellEnd"/>
      <w:r>
        <w:rPr>
          <w:rtl/>
        </w:rPr>
        <w:t xml:space="preserve"> </w:t>
      </w:r>
      <w:proofErr w:type="spellStart"/>
      <w:r>
        <w:rPr>
          <w:rtl/>
        </w:rPr>
        <w:t>ו“ירשה</w:t>
      </w:r>
      <w:proofErr w:type="spellEnd"/>
      <w:r>
        <w:rPr>
          <w:rtl/>
        </w:rPr>
        <w:t xml:space="preserve"> </w:t>
      </w:r>
      <w:proofErr w:type="spellStart"/>
      <w:r>
        <w:rPr>
          <w:rtl/>
        </w:rPr>
        <w:t>סלבודקה</w:t>
      </w:r>
      <w:proofErr w:type="spellEnd"/>
      <w:r>
        <w:rPr>
          <w:rtl/>
        </w:rPr>
        <w:t xml:space="preserve"> את מקומה ואת שמה בעולם התורני”,</w:t>
      </w:r>
      <w:bookmarkStart w:id="2757" w:name="_fnr1890"/>
      <w:r>
        <w:rPr>
          <w:rStyle w:val="a5"/>
        </w:rPr>
        <w:footnoteReference w:id="1894" w:customMarkFollows="0"/>
      </w:r>
      <w:bookmarkEnd w:id="2757"/>
      <w:r>
        <w:rPr>
          <w:rtl/>
        </w:rPr>
        <w:t xml:space="preserve"> עברו רבים מתלמידי </w:t>
      </w:r>
      <w:proofErr w:type="spellStart"/>
      <w:r>
        <w:rPr>
          <w:rtl/>
        </w:rPr>
        <w:t>וולוז׳ין</w:t>
      </w:r>
      <w:proofErr w:type="spellEnd"/>
      <w:r>
        <w:rPr>
          <w:rtl/>
        </w:rPr>
        <w:t xml:space="preserve"> לישיבת </w:t>
      </w:r>
      <w:proofErr w:type="spellStart"/>
      <w:r>
        <w:rPr>
          <w:rtl/>
        </w:rPr>
        <w:t>סלבודקה</w:t>
      </w:r>
      <w:proofErr w:type="spellEnd"/>
      <w:r>
        <w:rPr>
          <w:rtl/>
        </w:rPr>
        <w:t>, “שנתמלאה עד אפס מקום, ומספר תלמידיה הגיע לכמה מאות”.</w:t>
      </w:r>
      <w:bookmarkStart w:id="2758" w:name="_fnr1891"/>
      <w:r>
        <w:rPr>
          <w:rStyle w:val="a5"/>
        </w:rPr>
        <w:footnoteReference w:id="1895" w:customMarkFollows="0"/>
      </w:r>
      <w:bookmarkEnd w:id="2758"/>
      <w:r>
        <w:rPr>
          <w:rtl/>
        </w:rPr>
        <w:t xml:space="preserve"> פעם סיפר </w:t>
      </w:r>
      <w:proofErr w:type="spellStart"/>
      <w:r>
        <w:rPr>
          <w:rtl/>
        </w:rPr>
        <w:t>החפץ־חיים</w:t>
      </w:r>
      <w:proofErr w:type="spellEnd"/>
      <w:r>
        <w:rPr>
          <w:rtl/>
        </w:rPr>
        <w:t xml:space="preserve"> כיצד החליטו גדולי התורה לסגור את ישיבת </w:t>
      </w:r>
      <w:proofErr w:type="spellStart"/>
      <w:r>
        <w:rPr>
          <w:rtl/>
        </w:rPr>
        <w:t>וולוז׳ין</w:t>
      </w:r>
      <w:proofErr w:type="spellEnd"/>
      <w:r>
        <w:rPr>
          <w:rtl/>
        </w:rPr>
        <w:t xml:space="preserve"> ולא להכניס לתוכה לימודי חול, ובסוף דבריו הכריז: “אילו הרשו להכניס לימודי חול, היה הדבר גורם לתורה [בצורתה הטהורה] שתשתכח מישראל... </w:t>
      </w:r>
      <w:proofErr w:type="spellStart"/>
      <w:r>
        <w:rPr>
          <w:rtl/>
        </w:rPr>
        <w:t>ומשלא</w:t>
      </w:r>
      <w:proofErr w:type="spellEnd"/>
      <w:r>
        <w:rPr>
          <w:rtl/>
        </w:rPr>
        <w:t xml:space="preserve"> הרשו זאת, נפתחו ישיבות בלא לימודי חול, שנעשו אחר כך למבצרי התורה בדורנו. כמעיין שנסתתם, מצאה [התורה] דרכים ונתיבות אחרות לפרוץ בהן [כשנחסמה </w:t>
      </w:r>
      <w:proofErr w:type="spellStart"/>
      <w:r>
        <w:rPr>
          <w:rtl/>
        </w:rPr>
        <w:t>בוולוז׳ין</w:t>
      </w:r>
      <w:proofErr w:type="spellEnd"/>
      <w:r>
        <w:rPr>
          <w:rtl/>
        </w:rPr>
        <w:t>].”</w:t>
      </w:r>
      <w:bookmarkStart w:id="2759" w:name="_fnr1892"/>
      <w:r>
        <w:rPr>
          <w:rStyle w:val="a5"/>
        </w:rPr>
        <w:footnoteReference w:id="1896" w:customMarkFollows="0"/>
      </w:r>
      <w:bookmarkEnd w:id="2759"/>
    </w:p>
    <w:p w14:paraId="5EE00390" w14:textId="061E25F8" w:rsidR="00AB3647" w:rsidRDefault="00000000" w:rsidP="007923E9">
      <w:pPr>
        <w:spacing w:after="120" w:line="276" w:lineRule="auto"/>
        <w:ind w:firstLine="283"/>
        <w:jc w:val="both"/>
      </w:pPr>
      <w:proofErr w:type="spellStart"/>
      <w:r>
        <w:rPr>
          <w:rtl/>
        </w:rPr>
        <w:t>סלבודקה</w:t>
      </w:r>
      <w:proofErr w:type="spellEnd"/>
      <w:r>
        <w:rPr>
          <w:rtl/>
        </w:rPr>
        <w:t xml:space="preserve"> הייתה אחת הישיבות שהרוויחו מהפסדה של </w:t>
      </w:r>
      <w:proofErr w:type="spellStart"/>
      <w:r>
        <w:rPr>
          <w:rtl/>
        </w:rPr>
        <w:t>וולוז׳ין</w:t>
      </w:r>
      <w:proofErr w:type="spellEnd"/>
      <w:r>
        <w:rPr>
          <w:rtl/>
        </w:rPr>
        <w:t xml:space="preserve">. השווה גם פרק 4, תחילת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על ישיבת </w:t>
      </w:r>
      <w:proofErr w:type="spellStart"/>
      <w:r>
        <w:rPr>
          <w:rtl/>
        </w:rPr>
        <w:t>טלז</w:t>
      </w:r>
      <w:proofErr w:type="spellEnd"/>
      <w:r>
        <w:rPr>
          <w:rtl/>
        </w:rPr>
        <w:t xml:space="preserve">, שגם אליה הצטרפו תלמידי </w:t>
      </w:r>
      <w:proofErr w:type="spellStart"/>
      <w:r>
        <w:rPr>
          <w:rtl/>
        </w:rPr>
        <w:t>וולוז׳ין</w:t>
      </w:r>
      <w:proofErr w:type="spellEnd"/>
      <w:r>
        <w:rPr>
          <w:rtl/>
        </w:rPr>
        <w:t xml:space="preserve"> כשנסגרה ישיבתם.</w:t>
      </w:r>
    </w:p>
    <w:p w14:paraId="52F5A3A6" w14:textId="4DA35563" w:rsidR="00AB3647" w:rsidRDefault="00000000" w:rsidP="007923E9">
      <w:pPr>
        <w:spacing w:after="120" w:line="276" w:lineRule="auto"/>
        <w:ind w:firstLine="283"/>
        <w:jc w:val="both"/>
      </w:pPr>
      <w:r>
        <w:rPr>
          <w:rtl/>
        </w:rPr>
        <w:t xml:space="preserve">סביר שהגעתם של תלמידים רבים מישיבה ששני ראשיה – </w:t>
      </w:r>
      <w:proofErr w:type="spellStart"/>
      <w:r>
        <w:rPr>
          <w:rtl/>
        </w:rPr>
        <w:t>הנצי״ב</w:t>
      </w:r>
      <w:proofErr w:type="spellEnd"/>
      <w:r>
        <w:rPr>
          <w:rtl/>
        </w:rPr>
        <w:t xml:space="preserve"> ור׳ חיים </w:t>
      </w:r>
      <w:proofErr w:type="spellStart"/>
      <w:r>
        <w:rPr>
          <w:rtl/>
        </w:rPr>
        <w:t>סולובייצ׳יק</w:t>
      </w:r>
      <w:proofErr w:type="spellEnd"/>
      <w:r>
        <w:rPr>
          <w:rtl/>
        </w:rPr>
        <w:t xml:space="preserve"> – התנגדו לחדירת המוסר,</w:t>
      </w:r>
      <w:bookmarkStart w:id="2760" w:name="_fnr1893"/>
      <w:r>
        <w:rPr>
          <w:rStyle w:val="a5"/>
        </w:rPr>
        <w:footnoteReference w:id="1897" w:customMarkFollows="0"/>
      </w:r>
      <w:bookmarkEnd w:id="2760"/>
      <w:r>
        <w:rPr>
          <w:rtl/>
        </w:rPr>
        <w:t xml:space="preserve"> חיזקה את שורות מתנגדי המוסר בתוך ישיבת </w:t>
      </w:r>
      <w:proofErr w:type="spellStart"/>
      <w:r>
        <w:rPr>
          <w:rtl/>
        </w:rPr>
        <w:t>סלבודקה</w:t>
      </w:r>
      <w:proofErr w:type="spellEnd"/>
      <w:r>
        <w:rPr>
          <w:rtl/>
        </w:rPr>
        <w:t>.</w:t>
      </w:r>
      <w:bookmarkStart w:id="2761" w:name="_fnr1894"/>
      <w:r>
        <w:rPr>
          <w:rStyle w:val="a5"/>
        </w:rPr>
        <w:footnoteReference w:id="1898" w:customMarkFollows="0"/>
      </w:r>
      <w:bookmarkEnd w:id="2761"/>
      <w:r>
        <w:rPr>
          <w:rtl/>
        </w:rPr>
        <w:t xml:space="preserve"> על מידת התנגדותו של </w:t>
      </w:r>
      <w:proofErr w:type="spellStart"/>
      <w:r>
        <w:rPr>
          <w:rtl/>
        </w:rPr>
        <w:t>הנצי״ב</w:t>
      </w:r>
      <w:proofErr w:type="spellEnd"/>
      <w:r>
        <w:rPr>
          <w:rtl/>
        </w:rPr>
        <w:t xml:space="preserve"> ללימוד מוסר בישיבתו השווה פרק 4, תחילת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וכן “ר׳ משה שמואל ודורו”,</w:t>
      </w:r>
      <w:bookmarkStart w:id="2762" w:name="_fnr1895"/>
      <w:r>
        <w:rPr>
          <w:rStyle w:val="a5"/>
        </w:rPr>
        <w:footnoteReference w:id="1899" w:customMarkFollows="0"/>
      </w:r>
      <w:bookmarkEnd w:id="2762"/>
      <w:r>
        <w:rPr>
          <w:rtl/>
        </w:rPr>
        <w:t xml:space="preserve"> המביא את הסיפור הבא מזיכרונותיו של תלמיד </w:t>
      </w:r>
      <w:proofErr w:type="spellStart"/>
      <w:r>
        <w:rPr>
          <w:rtl/>
        </w:rPr>
        <w:t>וולוז׳ין</w:t>
      </w:r>
      <w:proofErr w:type="spellEnd"/>
      <w:r>
        <w:rPr>
          <w:rtl/>
        </w:rPr>
        <w:t>.</w:t>
      </w:r>
      <w:bookmarkStart w:id="2763" w:name="_fnr1896"/>
      <w:r>
        <w:rPr>
          <w:rStyle w:val="a5"/>
        </w:rPr>
        <w:footnoteReference w:id="1900" w:customMarkFollows="0"/>
      </w:r>
      <w:bookmarkEnd w:id="2763"/>
      <w:r>
        <w:rPr>
          <w:rtl/>
        </w:rPr>
        <w:t xml:space="preserve"> הבחור נטה למוסר, והיה מעיין לעיתים </w:t>
      </w:r>
      <w:proofErr w:type="spellStart"/>
      <w:r>
        <w:rPr>
          <w:rtl/>
        </w:rPr>
        <w:t>ב“מסילת</w:t>
      </w:r>
      <w:proofErr w:type="spellEnd"/>
      <w:r>
        <w:rPr>
          <w:rtl/>
        </w:rPr>
        <w:t xml:space="preserve"> ישרים” בזמן הסדר. כשנודע הדבר לראש הישיבה, בא לבית המדרש ונזף בתלמיד בפני יתר התלמידים על ביטול תורה.</w:t>
      </w:r>
    </w:p>
    <w:p w14:paraId="3493E635" w14:textId="77777777" w:rsidR="00AB3647" w:rsidRDefault="00000000" w:rsidP="007923E9">
      <w:pPr>
        <w:spacing w:after="120" w:line="276" w:lineRule="auto"/>
        <w:ind w:firstLine="283"/>
        <w:jc w:val="both"/>
      </w:pPr>
      <w:r>
        <w:rPr>
          <w:rtl/>
        </w:rPr>
        <w:lastRenderedPageBreak/>
        <w:t>השווה גם כץ, “תנועת המוסר”, כרך ב,</w:t>
      </w:r>
      <w:bookmarkStart w:id="2764" w:name="_fnr1897"/>
      <w:r>
        <w:rPr>
          <w:rStyle w:val="a5"/>
        </w:rPr>
        <w:footnoteReference w:id="1901" w:customMarkFollows="0"/>
      </w:r>
      <w:bookmarkEnd w:id="2764"/>
      <w:r>
        <w:rPr>
          <w:rtl/>
        </w:rPr>
        <w:t xml:space="preserve"> המביא שתי גרסאות סותרות על ביקורו של ר׳ לייזר </w:t>
      </w:r>
      <w:proofErr w:type="spellStart"/>
      <w:r>
        <w:rPr>
          <w:rtl/>
        </w:rPr>
        <w:t>שולביץ</w:t>
      </w:r>
      <w:proofErr w:type="spellEnd"/>
      <w:r>
        <w:rPr>
          <w:rtl/>
        </w:rPr>
        <w:t xml:space="preserve"> בישיבתו לשעבר, </w:t>
      </w:r>
      <w:proofErr w:type="spellStart"/>
      <w:r>
        <w:rPr>
          <w:rtl/>
        </w:rPr>
        <w:t>וולוז׳ין</w:t>
      </w:r>
      <w:proofErr w:type="spellEnd"/>
      <w:r>
        <w:rPr>
          <w:rtl/>
        </w:rPr>
        <w:t xml:space="preserve">, כדי להתמנות בה למשגיח. לפי גרסה אחת, </w:t>
      </w:r>
      <w:proofErr w:type="spellStart"/>
      <w:r>
        <w:rPr>
          <w:rtl/>
        </w:rPr>
        <w:t>הנצי״ב</w:t>
      </w:r>
      <w:proofErr w:type="spellEnd"/>
      <w:r>
        <w:rPr>
          <w:rtl/>
        </w:rPr>
        <w:t xml:space="preserve"> הזמינו לקבל את המשרה, ואחר כך הניא ר׳ ישראל </w:t>
      </w:r>
      <w:proofErr w:type="spellStart"/>
      <w:r>
        <w:rPr>
          <w:rtl/>
        </w:rPr>
        <w:t>סלנטר</w:t>
      </w:r>
      <w:proofErr w:type="spellEnd"/>
      <w:r>
        <w:rPr>
          <w:rtl/>
        </w:rPr>
        <w:t xml:space="preserve"> את תלמידו </w:t>
      </w:r>
      <w:proofErr w:type="spellStart"/>
      <w:r>
        <w:rPr>
          <w:rtl/>
        </w:rPr>
        <w:t>מלקבלה</w:t>
      </w:r>
      <w:proofErr w:type="spellEnd"/>
      <w:r>
        <w:rPr>
          <w:rtl/>
        </w:rPr>
        <w:t xml:space="preserve">, מפני “החשש” הסתום “שלא כל מנהלי הישיבה </w:t>
      </w:r>
      <w:r>
        <w:rPr>
          <w:b/>
          <w:bCs/>
          <w:rtl/>
        </w:rPr>
        <w:t>מרוצים</w:t>
      </w:r>
      <w:r>
        <w:rPr>
          <w:rtl/>
        </w:rPr>
        <w:t xml:space="preserve"> מן המינוי (ההדגשה שלי)”. לפי גרסה אחרת, ר׳ ישראל </w:t>
      </w:r>
      <w:r>
        <w:rPr>
          <w:b/>
          <w:bCs/>
          <w:rtl/>
        </w:rPr>
        <w:t>שלח</w:t>
      </w:r>
      <w:r>
        <w:rPr>
          <w:rtl/>
        </w:rPr>
        <w:t xml:space="preserve"> את ר׳ לייזר לשם להציג את מועמדותו, אך הוא נדחה.</w:t>
      </w:r>
    </w:p>
    <w:p w14:paraId="28F33CFF" w14:textId="0E0F9CF2" w:rsidR="00AB3647" w:rsidRDefault="00000000" w:rsidP="007923E9">
      <w:pPr>
        <w:spacing w:after="120" w:line="276" w:lineRule="auto"/>
        <w:ind w:firstLine="283"/>
        <w:jc w:val="both"/>
      </w:pPr>
      <w:r>
        <w:rPr>
          <w:rtl/>
        </w:rPr>
        <w:t xml:space="preserve">משרת המשגיח שהוצעה </w:t>
      </w:r>
      <w:proofErr w:type="spellStart"/>
      <w:r>
        <w:rPr>
          <w:rtl/>
        </w:rPr>
        <w:t>לר</w:t>
      </w:r>
      <w:proofErr w:type="spellEnd"/>
      <w:r>
        <w:rPr>
          <w:rtl/>
        </w:rPr>
        <w:t xml:space="preserve">׳ לייזר </w:t>
      </w:r>
      <w:proofErr w:type="spellStart"/>
      <w:r>
        <w:rPr>
          <w:rtl/>
        </w:rPr>
        <w:t>שולביץ</w:t>
      </w:r>
      <w:proofErr w:type="spellEnd"/>
      <w:r>
        <w:rPr>
          <w:rtl/>
        </w:rPr>
        <w:t xml:space="preserve">, או שביקש לקבלה, הייתה כמובן משרת פיקוח מן הסוג שהיה </w:t>
      </w:r>
      <w:proofErr w:type="spellStart"/>
      <w:r>
        <w:rPr>
          <w:rtl/>
        </w:rPr>
        <w:t>בוולוז׳ין</w:t>
      </w:r>
      <w:proofErr w:type="spellEnd"/>
      <w:r>
        <w:rPr>
          <w:rtl/>
        </w:rPr>
        <w:t xml:space="preserve">, ולא משרת השפעה מן הסוג שבישיבות המוסר, המתואר בפסקה השנייה של </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 אם יעץ ר׳ ישראל </w:t>
      </w:r>
      <w:proofErr w:type="spellStart"/>
      <w:r>
        <w:rPr>
          <w:rtl/>
        </w:rPr>
        <w:t>לר</w:t>
      </w:r>
      <w:proofErr w:type="spellEnd"/>
      <w:r>
        <w:rPr>
          <w:rtl/>
        </w:rPr>
        <w:t xml:space="preserve">׳ לייזר </w:t>
      </w:r>
      <w:proofErr w:type="spellStart"/>
      <w:r>
        <w:rPr>
          <w:rtl/>
        </w:rPr>
        <w:t>שולביץ</w:t>
      </w:r>
      <w:proofErr w:type="spellEnd"/>
      <w:r>
        <w:rPr>
          <w:rtl/>
        </w:rPr>
        <w:t xml:space="preserve"> להימנע מן המשרה, כגרסה הראשונה, סבור אני שהטעם היה שר׳ ישראל “חשד” שתלמידו לא יימנע מלנצל את תפקידו כדי לנסות להכניס מוסר </w:t>
      </w:r>
      <w:proofErr w:type="spellStart"/>
      <w:r>
        <w:rPr>
          <w:rtl/>
        </w:rPr>
        <w:t>לוולוז׳ין</w:t>
      </w:r>
      <w:proofErr w:type="spellEnd"/>
      <w:r>
        <w:rPr>
          <w:rtl/>
        </w:rPr>
        <w:t xml:space="preserve"> – מעשה שהיה “מעורר מורת רוח” אצל </w:t>
      </w:r>
      <w:proofErr w:type="spellStart"/>
      <w:r>
        <w:rPr>
          <w:rtl/>
        </w:rPr>
        <w:t>הנצי״ב</w:t>
      </w:r>
      <w:proofErr w:type="spellEnd"/>
      <w:r>
        <w:rPr>
          <w:rtl/>
        </w:rPr>
        <w:t>.</w:t>
      </w:r>
    </w:p>
    <w:p w14:paraId="1677CFE4" w14:textId="77777777" w:rsidR="00AB3647" w:rsidRDefault="00000000" w:rsidP="007923E9">
      <w:pPr>
        <w:spacing w:after="120" w:line="276" w:lineRule="auto"/>
        <w:ind w:firstLine="283"/>
        <w:jc w:val="both"/>
      </w:pPr>
      <w:r>
        <w:rPr>
          <w:rtl/>
        </w:rPr>
        <w:t xml:space="preserve">ייתכן שכמה מן המצטרפים החדשים </w:t>
      </w:r>
      <w:proofErr w:type="spellStart"/>
      <w:r>
        <w:rPr>
          <w:rtl/>
        </w:rPr>
        <w:t>לסלבודקה</w:t>
      </w:r>
      <w:proofErr w:type="spellEnd"/>
      <w:r>
        <w:rPr>
          <w:rtl/>
        </w:rPr>
        <w:t xml:space="preserve"> השתתפו גם </w:t>
      </w:r>
      <w:proofErr w:type="spellStart"/>
      <w:r>
        <w:rPr>
          <w:rtl/>
        </w:rPr>
        <w:t>ב“מהומות</w:t>
      </w:r>
      <w:proofErr w:type="spellEnd"/>
      <w:r>
        <w:rPr>
          <w:rtl/>
        </w:rPr>
        <w:t xml:space="preserve">, שביתות ומרידות” של התלמידים נגד הנהלת ישיבת </w:t>
      </w:r>
      <w:proofErr w:type="spellStart"/>
      <w:r>
        <w:rPr>
          <w:rtl/>
        </w:rPr>
        <w:t>וולוז׳ין</w:t>
      </w:r>
      <w:proofErr w:type="spellEnd"/>
      <w:r>
        <w:rPr>
          <w:rtl/>
        </w:rPr>
        <w:t xml:space="preserve">, או נדבקו ברוחן. הם הביאו עמם את החוצפה שנהגו כלפי </w:t>
      </w:r>
      <w:proofErr w:type="spellStart"/>
      <w:r>
        <w:rPr>
          <w:rtl/>
        </w:rPr>
        <w:t>הנצי״ב</w:t>
      </w:r>
      <w:proofErr w:type="spellEnd"/>
      <w:r>
        <w:rPr>
          <w:rtl/>
        </w:rPr>
        <w:t xml:space="preserve"> הנערץ, בן השבעים, שהיה נודע בעולם כולו, והפנו אותה, בריסון פחות בהרבה, כלפי ר׳ </w:t>
      </w:r>
      <w:proofErr w:type="spellStart"/>
      <w:r>
        <w:rPr>
          <w:rtl/>
        </w:rPr>
        <w:t>נתן־צבי</w:t>
      </w:r>
      <w:proofErr w:type="spellEnd"/>
      <w:r>
        <w:rPr>
          <w:rtl/>
        </w:rPr>
        <w:t xml:space="preserve"> </w:t>
      </w:r>
      <w:proofErr w:type="spellStart"/>
      <w:r>
        <w:rPr>
          <w:rtl/>
        </w:rPr>
        <w:t>פינקל</w:t>
      </w:r>
      <w:proofErr w:type="spellEnd"/>
      <w:r>
        <w:rPr>
          <w:rtl/>
        </w:rPr>
        <w:t>, הצנוע והבלתי מוכר, שהיה בשנות הארבעים לחייו.</w:t>
      </w:r>
    </w:p>
    <w:p w14:paraId="0D6F1BB9" w14:textId="77777777" w:rsidR="00AB3647" w:rsidRDefault="00000000" w:rsidP="007923E9">
      <w:pPr>
        <w:spacing w:after="120" w:line="276" w:lineRule="auto"/>
        <w:ind w:firstLine="283"/>
        <w:jc w:val="both"/>
      </w:pPr>
      <w:r>
        <w:rPr>
          <w:rtl/>
        </w:rPr>
        <w:t xml:space="preserve">המהומות </w:t>
      </w:r>
      <w:proofErr w:type="spellStart"/>
      <w:r>
        <w:rPr>
          <w:rtl/>
        </w:rPr>
        <w:t>בוולוז׳ין</w:t>
      </w:r>
      <w:proofErr w:type="spellEnd"/>
      <w:r>
        <w:rPr>
          <w:rtl/>
        </w:rPr>
        <w:t xml:space="preserve"> צמחו מן ההתנגדות העזה למינוי ר׳ חיים ברלין לראש הישיבה במקום אביו </w:t>
      </w:r>
      <w:proofErr w:type="spellStart"/>
      <w:r>
        <w:rPr>
          <w:rtl/>
        </w:rPr>
        <w:t>הנצי״ב</w:t>
      </w:r>
      <w:proofErr w:type="spellEnd"/>
      <w:r>
        <w:rPr>
          <w:rtl/>
        </w:rPr>
        <w:t>, שתכנן לעלות לארץ ישראל (כפי שעשה אביו ארבעים שנה קודם לכן). התנגדות התלמידים למינוי “הפכה שתי שנים בחיי הישיבה לתקופה של סערה”.</w:t>
      </w:r>
      <w:bookmarkStart w:id="2765" w:name="_fnr1898"/>
      <w:r>
        <w:rPr>
          <w:rStyle w:val="a5"/>
        </w:rPr>
        <w:footnoteReference w:id="1902" w:customMarkFollows="0"/>
      </w:r>
      <w:bookmarkEnd w:id="2765"/>
      <w:r>
        <w:rPr>
          <w:rtl/>
        </w:rPr>
        <w:t xml:space="preserve"> </w:t>
      </w:r>
      <w:proofErr w:type="spellStart"/>
      <w:r>
        <w:rPr>
          <w:rtl/>
        </w:rPr>
        <w:t>ידעאל</w:t>
      </w:r>
      <w:proofErr w:type="spellEnd"/>
      <w:r>
        <w:rPr>
          <w:rtl/>
        </w:rPr>
        <w:t xml:space="preserve"> מלצר, “בדרך עץ החיים”</w:t>
      </w:r>
      <w:bookmarkStart w:id="2766" w:name="_fnr1899"/>
      <w:r>
        <w:rPr>
          <w:rStyle w:val="a5"/>
        </w:rPr>
        <w:footnoteReference w:id="1903" w:customMarkFollows="0"/>
      </w:r>
      <w:bookmarkEnd w:id="2766"/>
      <w:r>
        <w:rPr>
          <w:rtl/>
        </w:rPr>
        <w:t xml:space="preserve">, אומר: “היו שראו בהזמנת </w:t>
      </w:r>
      <w:proofErr w:type="spellStart"/>
      <w:r>
        <w:rPr>
          <w:rtl/>
        </w:rPr>
        <w:t>הנצי״ב</w:t>
      </w:r>
      <w:proofErr w:type="spellEnd"/>
      <w:r>
        <w:rPr>
          <w:rtl/>
        </w:rPr>
        <w:t xml:space="preserve"> את בנו ר׳ חיים ברלין למלא את מקומו, ולא את ר׳ חיים </w:t>
      </w:r>
      <w:proofErr w:type="spellStart"/>
      <w:r>
        <w:rPr>
          <w:rtl/>
        </w:rPr>
        <w:t>סולובייצ׳יק</w:t>
      </w:r>
      <w:proofErr w:type="spellEnd"/>
      <w:r>
        <w:rPr>
          <w:rtl/>
        </w:rPr>
        <w:t xml:space="preserve">, ששימש ר״מ בישיבה במשך שנים והיה ידוע כגאון אדיר, עלבון </w:t>
      </w:r>
      <w:proofErr w:type="spellStart"/>
      <w:r>
        <w:rPr>
          <w:rtl/>
        </w:rPr>
        <w:t>לר</w:t>
      </w:r>
      <w:proofErr w:type="spellEnd"/>
      <w:r>
        <w:rPr>
          <w:rtl/>
        </w:rPr>
        <w:t xml:space="preserve">׳ חיים.”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מתאר ביתר להט את מעמדו של ר׳ חיים בישיבה ואת הדילמה שבה עמד: “[מינויו של ר׳ חיים ברלין] לראש הישיבה העיקרי היה מותיר את ר׳ חיים, שהיה אז </w:t>
      </w:r>
      <w:r>
        <w:rPr>
          <w:b/>
          <w:bCs/>
          <w:rtl/>
        </w:rPr>
        <w:t>נשמתה</w:t>
      </w:r>
      <w:r>
        <w:rPr>
          <w:rtl/>
        </w:rPr>
        <w:t xml:space="preserve"> של הישיבה (ההדגשה שלי), במקום השני.”</w:t>
      </w:r>
      <w:bookmarkStart w:id="2767" w:name="_fnr1900"/>
      <w:r>
        <w:rPr>
          <w:rStyle w:val="a5"/>
        </w:rPr>
        <w:footnoteReference w:id="1904" w:customMarkFollows="0"/>
      </w:r>
      <w:bookmarkEnd w:id="2767"/>
    </w:p>
    <w:p w14:paraId="7A873D07" w14:textId="77777777" w:rsidR="00AB3647" w:rsidRDefault="00000000" w:rsidP="007923E9">
      <w:pPr>
        <w:spacing w:after="120" w:line="276" w:lineRule="auto"/>
        <w:ind w:firstLine="283"/>
        <w:jc w:val="both"/>
      </w:pPr>
      <w:r>
        <w:rPr>
          <w:rtl/>
        </w:rPr>
        <w:t>לפי “ר׳ משה שמואל ודורו”,</w:t>
      </w:r>
      <w:bookmarkStart w:id="2768" w:name="_fnr1901"/>
      <w:r>
        <w:rPr>
          <w:rStyle w:val="a5"/>
        </w:rPr>
        <w:footnoteReference w:id="1905" w:customMarkFollows="0"/>
      </w:r>
      <w:bookmarkEnd w:id="2768"/>
      <w:r>
        <w:rPr>
          <w:rtl/>
        </w:rPr>
        <w:t xml:space="preserve"> המהומות </w:t>
      </w:r>
      <w:r>
        <w:rPr>
          <w:b/>
          <w:bCs/>
          <w:rtl/>
        </w:rPr>
        <w:t>היו סיבה לסגירתה</w:t>
      </w:r>
      <w:r>
        <w:rPr>
          <w:rtl/>
        </w:rPr>
        <w:t xml:space="preserve">.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האומר: “ייתכן שכל סיבה כשלעצמה לא הייתה מסכנת את קיומה של הישיבה, אבל הכול יחד הביא לידי המשבר”,</w:t>
      </w:r>
      <w:bookmarkStart w:id="2769" w:name="_fnr1902"/>
      <w:r>
        <w:rPr>
          <w:rStyle w:val="a5"/>
        </w:rPr>
        <w:footnoteReference w:id="1906" w:customMarkFollows="0"/>
      </w:r>
      <w:bookmarkEnd w:id="2769"/>
      <w:r>
        <w:rPr>
          <w:rtl/>
        </w:rPr>
        <w:t xml:space="preserve"> וכן: “סביר יותר מכול להניח </w:t>
      </w:r>
      <w:proofErr w:type="spellStart"/>
      <w:r>
        <w:rPr>
          <w:rtl/>
        </w:rPr>
        <w:t>שהנצי״ב</w:t>
      </w:r>
      <w:proofErr w:type="spellEnd"/>
      <w:r>
        <w:rPr>
          <w:rtl/>
        </w:rPr>
        <w:t xml:space="preserve"> צדק, כשהיה אומר על חורבנה של </w:t>
      </w:r>
      <w:proofErr w:type="spellStart"/>
      <w:r>
        <w:rPr>
          <w:rtl/>
        </w:rPr>
        <w:t>וולוז׳ין</w:t>
      </w:r>
      <w:proofErr w:type="spellEnd"/>
      <w:r>
        <w:rPr>
          <w:rtl/>
        </w:rPr>
        <w:t xml:space="preserve"> ומשווה אותו לחורבן ירושלים, שירושלים לא נחרבה בשל סיבה אחת, אבל כשהצטרף הכול יחד בא החורבן; וכך גם בישיבת </w:t>
      </w:r>
      <w:proofErr w:type="spellStart"/>
      <w:r>
        <w:rPr>
          <w:rtl/>
        </w:rPr>
        <w:t>וולוז׳ין</w:t>
      </w:r>
      <w:proofErr w:type="spellEnd"/>
      <w:r>
        <w:rPr>
          <w:rtl/>
        </w:rPr>
        <w:t>, לא סיבה אחת אלא הכול יחד הביא לסגירתה.”</w:t>
      </w:r>
      <w:bookmarkStart w:id="2770" w:name="_fnr1903"/>
      <w:r>
        <w:rPr>
          <w:rStyle w:val="a5"/>
        </w:rPr>
        <w:footnoteReference w:id="1907" w:customMarkFollows="0"/>
      </w:r>
      <w:bookmarkEnd w:id="2770"/>
      <w:r>
        <w:rPr>
          <w:rtl/>
        </w:rPr>
        <w:t xml:space="preserve"> </w:t>
      </w:r>
      <w:bookmarkStart w:id="2771" w:name="_fnr1904"/>
      <w:r>
        <w:rPr>
          <w:rStyle w:val="a5"/>
        </w:rPr>
        <w:footnoteReference w:id="1908" w:customMarkFollows="0"/>
      </w:r>
      <w:bookmarkEnd w:id="2771"/>
    </w:p>
    <w:p w14:paraId="313D37EB" w14:textId="77777777" w:rsidR="00AB3647" w:rsidRDefault="00000000" w:rsidP="007923E9">
      <w:pPr>
        <w:spacing w:after="120" w:line="276" w:lineRule="auto"/>
        <w:ind w:firstLine="283"/>
        <w:jc w:val="both"/>
      </w:pPr>
      <w:r>
        <w:rPr>
          <w:rtl/>
        </w:rPr>
        <w:lastRenderedPageBreak/>
        <w:t xml:space="preserve">ההתקוממות בישיבת </w:t>
      </w:r>
      <w:proofErr w:type="spellStart"/>
      <w:r>
        <w:rPr>
          <w:rtl/>
        </w:rPr>
        <w:t>וולוז׳ין</w:t>
      </w:r>
      <w:proofErr w:type="spellEnd"/>
      <w:r>
        <w:rPr>
          <w:rtl/>
        </w:rPr>
        <w:t xml:space="preserve"> היא שהקנתה לתלמיד </w:t>
      </w:r>
      <w:proofErr w:type="spellStart"/>
      <w:r>
        <w:rPr>
          <w:rtl/>
        </w:rPr>
        <w:t>חיים־נחמן</w:t>
      </w:r>
      <w:proofErr w:type="spellEnd"/>
      <w:r>
        <w:rPr>
          <w:rtl/>
        </w:rPr>
        <w:t xml:space="preserve"> ביאליק, שלא התבלט בה בלאו הכי, פופולריות בקרב חבריו, כשכישרונותיו הספרותיים גויסו לנאצות מזיקות נגד ההנהלה.</w:t>
      </w:r>
      <w:bookmarkStart w:id="2772" w:name="_fnr1905"/>
      <w:r>
        <w:rPr>
          <w:rStyle w:val="a5"/>
        </w:rPr>
        <w:footnoteReference w:id="1909" w:customMarkFollows="0"/>
      </w:r>
      <w:bookmarkEnd w:id="2772"/>
      <w:r>
        <w:rPr>
          <w:rtl/>
        </w:rPr>
        <w:t xml:space="preserve"> בשירו “בליל הרעש”</w:t>
      </w:r>
      <w:bookmarkStart w:id="2773" w:name="_fnr1906"/>
      <w:r>
        <w:rPr>
          <w:rStyle w:val="a5"/>
        </w:rPr>
        <w:footnoteReference w:id="1910" w:customMarkFollows="0"/>
      </w:r>
      <w:bookmarkEnd w:id="2773"/>
      <w:r>
        <w:rPr>
          <w:rtl/>
        </w:rPr>
        <w:t xml:space="preserve"> יוצא ביאליק להגנת </w:t>
      </w:r>
      <w:proofErr w:type="spellStart"/>
      <w:r>
        <w:rPr>
          <w:rtl/>
        </w:rPr>
        <w:t>הנצי״ב</w:t>
      </w:r>
      <w:proofErr w:type="spellEnd"/>
      <w:r>
        <w:rPr>
          <w:rtl/>
        </w:rPr>
        <w:t xml:space="preserve">, ומתאר את האכזריות שבה נהגו המורדים בראש הישיבה הזקן. הוא מתאר את ראש הישיבה עומד מעל הבחור, “המתמיד”, שלא השתתף במהומות אלא נשאר יושב על הגמרא, לצד הנר היחיד שנותר בבית המדרש. ראש הישיבה בוכה בדמעות “(אשר) כזרם </w:t>
      </w:r>
      <w:proofErr w:type="spellStart"/>
      <w:r>
        <w:rPr>
          <w:rtl/>
        </w:rPr>
        <w:t>ירוצון</w:t>
      </w:r>
      <w:proofErr w:type="spellEnd"/>
      <w:r>
        <w:rPr>
          <w:rtl/>
        </w:rPr>
        <w:t>, זוחלות בין פתילי הכסף של זקנו”, ואומר:</w:t>
      </w:r>
    </w:p>
    <w:p w14:paraId="14970E50" w14:textId="77777777" w:rsidR="00AB3647" w:rsidRDefault="00000000" w:rsidP="007923E9">
      <w:pPr>
        <w:spacing w:after="120" w:line="276" w:lineRule="auto"/>
        <w:ind w:firstLine="283"/>
        <w:jc w:val="both"/>
      </w:pPr>
      <w:r>
        <w:rPr>
          <w:rtl/>
        </w:rPr>
        <w:t>התראה, הבחור, את אשר עוללו...</w:t>
      </w:r>
    </w:p>
    <w:p w14:paraId="020CC1AC" w14:textId="77777777" w:rsidR="00AB3647" w:rsidRDefault="00000000" w:rsidP="007923E9">
      <w:pPr>
        <w:spacing w:after="120" w:line="276" w:lineRule="auto"/>
        <w:ind w:firstLine="283"/>
        <w:jc w:val="both"/>
      </w:pPr>
      <w:r>
        <w:rPr>
          <w:rtl/>
        </w:rPr>
        <w:t>לא הדרו שיבתי, לא נשאו את פני...</w:t>
      </w:r>
    </w:p>
    <w:p w14:paraId="3E6E9636" w14:textId="77777777" w:rsidR="00AB3647" w:rsidRDefault="00000000" w:rsidP="007923E9">
      <w:pPr>
        <w:spacing w:after="120" w:line="276" w:lineRule="auto"/>
        <w:ind w:firstLine="283"/>
        <w:jc w:val="both"/>
      </w:pPr>
      <w:r>
        <w:rPr>
          <w:rtl/>
        </w:rPr>
        <w:t>ויבלעו קדשי, מקדשי חללו,</w:t>
      </w:r>
    </w:p>
    <w:p w14:paraId="33856E56" w14:textId="77777777" w:rsidR="00AB3647" w:rsidRDefault="00000000" w:rsidP="007923E9">
      <w:pPr>
        <w:spacing w:after="120" w:line="276" w:lineRule="auto"/>
        <w:ind w:firstLine="283"/>
        <w:jc w:val="both"/>
      </w:pPr>
      <w:r>
        <w:rPr>
          <w:rtl/>
        </w:rPr>
        <w:t>עליהם הקרבתי כל חיי, מעייניי.</w:t>
      </w:r>
    </w:p>
    <w:p w14:paraId="20E6A61F" w14:textId="77777777" w:rsidR="00AB3647" w:rsidRDefault="00000000" w:rsidP="007923E9">
      <w:pPr>
        <w:spacing w:after="120" w:line="276" w:lineRule="auto"/>
        <w:ind w:firstLine="283"/>
        <w:jc w:val="both"/>
      </w:pPr>
      <w:r>
        <w:rPr>
          <w:rtl/>
        </w:rPr>
        <w:t>אך אתה –</w:t>
      </w:r>
    </w:p>
    <w:p w14:paraId="4B7FB4AC" w14:textId="77777777" w:rsidR="00AB3647" w:rsidRDefault="00000000" w:rsidP="007923E9">
      <w:pPr>
        <w:spacing w:after="120" w:line="276" w:lineRule="auto"/>
        <w:ind w:firstLine="283"/>
        <w:jc w:val="both"/>
      </w:pPr>
      <w:r>
        <w:rPr>
          <w:rtl/>
        </w:rPr>
        <w:t xml:space="preserve">לא ברור אם כתב ביאליק שיר זה ברגע של חרטה על חיבור האיגרות נגד </w:t>
      </w:r>
      <w:proofErr w:type="spellStart"/>
      <w:r>
        <w:rPr>
          <w:rtl/>
        </w:rPr>
        <w:t>הנצי״ב</w:t>
      </w:r>
      <w:proofErr w:type="spellEnd"/>
      <w:r>
        <w:rPr>
          <w:rtl/>
        </w:rPr>
        <w:t xml:space="preserve">, או שפשוט נהג בצביעות. סביר שלא היה אכפת לו מה קורה </w:t>
      </w:r>
      <w:proofErr w:type="spellStart"/>
      <w:r>
        <w:rPr>
          <w:rtl/>
        </w:rPr>
        <w:t>בוולוז׳ין</w:t>
      </w:r>
      <w:proofErr w:type="spellEnd"/>
      <w:r>
        <w:rPr>
          <w:rtl/>
        </w:rPr>
        <w:t xml:space="preserve"> בשעה שכבר הייתה רגלו האחת מחוץ לבית המדרש, בדרכו לאודסה. ספק גם אם הכרת טובה </w:t>
      </w:r>
      <w:proofErr w:type="spellStart"/>
      <w:r>
        <w:rPr>
          <w:rtl/>
        </w:rPr>
        <w:t>לנצי״ב</w:t>
      </w:r>
      <w:proofErr w:type="spellEnd"/>
      <w:r>
        <w:rPr>
          <w:rtl/>
        </w:rPr>
        <w:t xml:space="preserve"> היא שהניעה אותו לכתוב את השיר, שכן לפי מה שסיפר ר׳ </w:t>
      </w:r>
      <w:proofErr w:type="spellStart"/>
      <w:r>
        <w:rPr>
          <w:rtl/>
        </w:rPr>
        <w:t>יצחק־יעקב</w:t>
      </w:r>
      <w:proofErr w:type="spellEnd"/>
      <w:r>
        <w:rPr>
          <w:rtl/>
        </w:rPr>
        <w:t xml:space="preserve"> </w:t>
      </w:r>
      <w:proofErr w:type="spellStart"/>
      <w:r>
        <w:rPr>
          <w:rtl/>
        </w:rPr>
        <w:t>אבלסון</w:t>
      </w:r>
      <w:proofErr w:type="spellEnd"/>
      <w:r>
        <w:rPr>
          <w:rtl/>
        </w:rPr>
        <w:t>,</w:t>
      </w:r>
      <w:bookmarkStart w:id="2774" w:name="_fnr1907"/>
      <w:r>
        <w:rPr>
          <w:rStyle w:val="a5"/>
        </w:rPr>
        <w:footnoteReference w:id="1911" w:customMarkFollows="0"/>
      </w:r>
      <w:bookmarkEnd w:id="2774"/>
      <w:r>
        <w:rPr>
          <w:rtl/>
        </w:rPr>
        <w:t xml:space="preserve"> הוא היה כפוי טובה.</w:t>
      </w:r>
    </w:p>
    <w:p w14:paraId="7D431A46" w14:textId="77777777" w:rsidR="00AB3647" w:rsidRDefault="00000000" w:rsidP="007923E9">
      <w:pPr>
        <w:spacing w:after="120" w:line="276" w:lineRule="auto"/>
        <w:ind w:firstLine="283"/>
        <w:jc w:val="both"/>
      </w:pPr>
      <w:r>
        <w:rPr>
          <w:rtl/>
        </w:rPr>
        <w:t xml:space="preserve">וזה לשון הרב </w:t>
      </w:r>
      <w:proofErr w:type="spellStart"/>
      <w:r>
        <w:rPr>
          <w:rtl/>
        </w:rPr>
        <w:t>אבלסון</w:t>
      </w:r>
      <w:proofErr w:type="spellEnd"/>
      <w:r>
        <w:rPr>
          <w:rtl/>
        </w:rPr>
        <w:t xml:space="preserve">: “כשגורש ביאליק </w:t>
      </w:r>
      <w:proofErr w:type="spellStart"/>
      <w:r>
        <w:rPr>
          <w:rtl/>
        </w:rPr>
        <w:t>מוולוז׳ין</w:t>
      </w:r>
      <w:proofErr w:type="spellEnd"/>
      <w:r>
        <w:rPr>
          <w:rtl/>
        </w:rPr>
        <w:t xml:space="preserve"> [לאחר שהתגלה שהוא ואחרים חיברו חוברת התומכת בהשכלה, שקראו לה ‘הבוקר אור’],</w:t>
      </w:r>
      <w:bookmarkStart w:id="2775" w:name="_fnr1908"/>
      <w:r>
        <w:rPr>
          <w:rStyle w:val="a5"/>
        </w:rPr>
        <w:footnoteReference w:id="1912" w:customMarkFollows="0"/>
      </w:r>
      <w:bookmarkEnd w:id="2775"/>
      <w:r>
        <w:rPr>
          <w:rtl/>
        </w:rPr>
        <w:t xml:space="preserve"> ליווה אותו לאודסה תלמיד </w:t>
      </w:r>
      <w:proofErr w:type="spellStart"/>
      <w:r>
        <w:rPr>
          <w:rtl/>
        </w:rPr>
        <w:t>וולוז׳ין</w:t>
      </w:r>
      <w:proofErr w:type="spellEnd"/>
      <w:r>
        <w:rPr>
          <w:rtl/>
        </w:rPr>
        <w:t xml:space="preserve"> אחר, בונים </w:t>
      </w:r>
      <w:proofErr w:type="spellStart"/>
      <w:r>
        <w:rPr>
          <w:rtl/>
        </w:rPr>
        <w:t>אבלסון</w:t>
      </w:r>
      <w:proofErr w:type="spellEnd"/>
      <w:r>
        <w:rPr>
          <w:rtl/>
        </w:rPr>
        <w:t>,</w:t>
      </w:r>
      <w:bookmarkStart w:id="2776" w:name="_fnr1909"/>
      <w:r>
        <w:rPr>
          <w:rStyle w:val="a5"/>
        </w:rPr>
        <w:footnoteReference w:id="1913" w:customMarkFollows="0"/>
      </w:r>
      <w:bookmarkEnd w:id="2776"/>
      <w:r>
        <w:rPr>
          <w:rtl/>
        </w:rPr>
        <w:t xml:space="preserve"> שהציגו לפני סבו, גאון בתורה ורבה של העיר, ר׳ </w:t>
      </w:r>
      <w:proofErr w:type="spellStart"/>
      <w:r>
        <w:rPr>
          <w:rtl/>
        </w:rPr>
        <w:t>יואל־אברהם</w:t>
      </w:r>
      <w:proofErr w:type="spellEnd"/>
      <w:r>
        <w:rPr>
          <w:rtl/>
        </w:rPr>
        <w:t xml:space="preserve"> </w:t>
      </w:r>
      <w:proofErr w:type="spellStart"/>
      <w:r>
        <w:rPr>
          <w:rtl/>
        </w:rPr>
        <w:t>אבלסון</w:t>
      </w:r>
      <w:proofErr w:type="spellEnd"/>
      <w:r>
        <w:rPr>
          <w:rtl/>
        </w:rPr>
        <w:t>.</w:t>
      </w:r>
      <w:bookmarkStart w:id="2777" w:name="_fnr1910"/>
      <w:r>
        <w:rPr>
          <w:rStyle w:val="a5"/>
        </w:rPr>
        <w:footnoteReference w:id="1914" w:customMarkFollows="0"/>
      </w:r>
      <w:bookmarkEnd w:id="2777"/>
      <w:r>
        <w:rPr>
          <w:rtl/>
        </w:rPr>
        <w:t xml:space="preserve"> ביאליק אמר לרב שעזב את </w:t>
      </w:r>
      <w:proofErr w:type="spellStart"/>
      <w:r>
        <w:rPr>
          <w:rtl/>
        </w:rPr>
        <w:t>וולוז׳ין</w:t>
      </w:r>
      <w:proofErr w:type="spellEnd"/>
      <w:r>
        <w:rPr>
          <w:rtl/>
        </w:rPr>
        <w:t xml:space="preserve"> מפני שהעיר נשרפה [!], ור׳ </w:t>
      </w:r>
      <w:proofErr w:type="spellStart"/>
      <w:r>
        <w:rPr>
          <w:rtl/>
        </w:rPr>
        <w:t>יואל־אברהם</w:t>
      </w:r>
      <w:proofErr w:type="spellEnd"/>
      <w:r>
        <w:rPr>
          <w:rtl/>
        </w:rPr>
        <w:t>, שריחם עליו, השיג לו כמה משרות של הוראת עברית ופתח את ביתו לפני הצעיר המושחת. ואף על פי כן, לאחר מכן כתב ביאליק בגנות מיטיבו.”</w:t>
      </w:r>
    </w:p>
    <w:p w14:paraId="1253EFEF" w14:textId="77777777" w:rsidR="00AB3647" w:rsidRDefault="00000000" w:rsidP="007923E9">
      <w:pPr>
        <w:spacing w:after="120" w:line="276" w:lineRule="auto"/>
        <w:ind w:firstLine="283"/>
        <w:jc w:val="both"/>
      </w:pPr>
      <w:r>
        <w:rPr>
          <w:rtl/>
        </w:rPr>
        <w:t xml:space="preserve">אשר לסיבת סגירת </w:t>
      </w:r>
      <w:proofErr w:type="spellStart"/>
      <w:r>
        <w:rPr>
          <w:rtl/>
        </w:rPr>
        <w:t>וולוז׳ין</w:t>
      </w:r>
      <w:proofErr w:type="spellEnd"/>
      <w:r>
        <w:rPr>
          <w:rtl/>
        </w:rPr>
        <w:t xml:space="preserve">, השווה “הראשון לשושלת </w:t>
      </w:r>
      <w:proofErr w:type="spellStart"/>
      <w:r>
        <w:rPr>
          <w:rtl/>
        </w:rPr>
        <w:t>בריסק</w:t>
      </w:r>
      <w:proofErr w:type="spellEnd"/>
      <w:r>
        <w:rPr>
          <w:rtl/>
        </w:rPr>
        <w:t>”.</w:t>
      </w:r>
      <w:bookmarkStart w:id="2778" w:name="_fnr1911"/>
      <w:r>
        <w:rPr>
          <w:rStyle w:val="a5"/>
        </w:rPr>
        <w:footnoteReference w:id="1915" w:customMarkFollows="0"/>
      </w:r>
      <w:bookmarkEnd w:id="2778"/>
      <w:r>
        <w:rPr>
          <w:rtl/>
        </w:rPr>
        <w:t xml:space="preserve"> לפי ספר זה, זמן קצר לפני מותו, בתחילת תרע״ג, הפקיד ר׳ חיים ברלין מכתב בידי ר׳ אריה לוין בירושלים. במכתב ציין שאביו </w:t>
      </w:r>
      <w:proofErr w:type="spellStart"/>
      <w:r>
        <w:rPr>
          <w:rtl/>
        </w:rPr>
        <w:t>הנצי״ב</w:t>
      </w:r>
      <w:proofErr w:type="spellEnd"/>
      <w:r>
        <w:rPr>
          <w:rtl/>
        </w:rPr>
        <w:t xml:space="preserve"> ציווה עליו בשנת תרנ״ג, יום לפני מותו, “לא להסכים בשום תנאים לשלב לימודי חול בלימודי קודש”, ואף יעץ לו “שלא יצטער על שההקפדה על עיקרון זה, בשעה שממשלת רוסיה לחצה עליו להכניס לימודי חול </w:t>
      </w:r>
      <w:proofErr w:type="spellStart"/>
      <w:r>
        <w:rPr>
          <w:rtl/>
        </w:rPr>
        <w:t>לוולוז׳ין</w:t>
      </w:r>
      <w:proofErr w:type="spellEnd"/>
      <w:r>
        <w:rPr>
          <w:rtl/>
        </w:rPr>
        <w:t xml:space="preserve"> שנה קודם לכן, הייתה הסיבה </w:t>
      </w:r>
      <w:r>
        <w:rPr>
          <w:rtl/>
        </w:rPr>
        <w:lastRenderedPageBreak/>
        <w:t>ליציאתו מן העולם ולסגירת הישיבה, משום שעניין גדול זה כדאי הוא לוותר למענו על החיים”.</w:t>
      </w:r>
    </w:p>
    <w:p w14:paraId="39286B15"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הדגיש תחילה שהעיקרון נשמר אפילו במחיר הסיכון הגדול ביותר, של הצורך “לצאת מן העולם”, ורק </w:t>
      </w:r>
      <w:r>
        <w:rPr>
          <w:b/>
          <w:bCs/>
          <w:rtl/>
        </w:rPr>
        <w:t>אחר כך</w:t>
      </w:r>
      <w:r>
        <w:rPr>
          <w:rtl/>
        </w:rPr>
        <w:t xml:space="preserve"> הזכיר שסגירת הישיבה נגרמה מצו לימודי החול.</w:t>
      </w:r>
      <w:bookmarkStart w:id="2779" w:name="_fnr1912"/>
      <w:r>
        <w:rPr>
          <w:rStyle w:val="a5"/>
        </w:rPr>
        <w:footnoteReference w:id="1916" w:customMarkFollows="0"/>
      </w:r>
      <w:bookmarkEnd w:id="2779"/>
      <w:r>
        <w:rPr>
          <w:rtl/>
        </w:rPr>
        <w:t xml:space="preserve"> מכאן נראה שביקש להטעים לבנו שסיבת הסגירה </w:t>
      </w:r>
      <w:r>
        <w:rPr>
          <w:b/>
          <w:bCs/>
          <w:rtl/>
        </w:rPr>
        <w:t>הייתה</w:t>
      </w:r>
      <w:r>
        <w:rPr>
          <w:rtl/>
        </w:rPr>
        <w:t xml:space="preserve"> בעיית לימודי החול; ואילו הדבר דווקא מחזק לכאורה את האפשרות שבמחשבת בנו הייתה סיבה אחרת לסגירת הישיבה. אין ספק שסיבה אחרת זו היא הסיבה שמציין “ר׳ משה שמואל ודורו”: המחלוקת על הירושה.</w:t>
      </w:r>
    </w:p>
    <w:p w14:paraId="5EA0D480" w14:textId="77777777" w:rsidR="00AB3647" w:rsidRDefault="00000000" w:rsidP="007923E9">
      <w:pPr>
        <w:spacing w:after="120" w:line="276" w:lineRule="auto"/>
        <w:ind w:firstLine="283"/>
        <w:jc w:val="both"/>
      </w:pPr>
      <w:r>
        <w:rPr>
          <w:rtl/>
        </w:rPr>
        <w:t xml:space="preserve">מאידך גיסא, אם צדק “ר׳ משה שמואל ודורו” שהמחלוקת הפנימית אכן גרמה לסגירה, דברי </w:t>
      </w:r>
      <w:proofErr w:type="spellStart"/>
      <w:r>
        <w:rPr>
          <w:rtl/>
        </w:rPr>
        <w:t>הנצי״ב</w:t>
      </w:r>
      <w:proofErr w:type="spellEnd"/>
      <w:r>
        <w:rPr>
          <w:rtl/>
        </w:rPr>
        <w:t xml:space="preserve"> לבנו נראים לכאורה בלתי נכונים. אפשר ליישב את טענת “ר׳ משה שמואל ודורו” עם דברי </w:t>
      </w:r>
      <w:proofErr w:type="spellStart"/>
      <w:r>
        <w:rPr>
          <w:rtl/>
        </w:rPr>
        <w:t>הנצי״ב</w:t>
      </w:r>
      <w:proofErr w:type="spellEnd"/>
      <w:r>
        <w:rPr>
          <w:rtl/>
        </w:rPr>
        <w:t xml:space="preserve"> באחת משתי דרכים: (1) המחלוקת הפנימית הייתה </w:t>
      </w:r>
      <w:r>
        <w:rPr>
          <w:b/>
          <w:bCs/>
          <w:rtl/>
        </w:rPr>
        <w:t>גורם עקיף</w:t>
      </w:r>
      <w:r>
        <w:rPr>
          <w:rtl/>
        </w:rPr>
        <w:t xml:space="preserve"> לסגירה, שכן המלחמה בת השנתיים עם התלמידים התישה את </w:t>
      </w:r>
      <w:proofErr w:type="spellStart"/>
      <w:r>
        <w:rPr>
          <w:rtl/>
        </w:rPr>
        <w:t>הנצי״ב</w:t>
      </w:r>
      <w:proofErr w:type="spellEnd"/>
      <w:r>
        <w:rPr>
          <w:rtl/>
        </w:rPr>
        <w:t>, ולא הותירה לו את הכוח הדרוש לגייס את כל האמצעים הזמינים לסיכול תוכנית הממשלה להכניס לימודי חול</w:t>
      </w:r>
      <w:bookmarkStart w:id="2780" w:name="_fnr1913"/>
      <w:r>
        <w:rPr>
          <w:rStyle w:val="a5"/>
        </w:rPr>
        <w:footnoteReference w:id="1917" w:customMarkFollows="0"/>
      </w:r>
      <w:bookmarkEnd w:id="2780"/>
      <w:r>
        <w:rPr>
          <w:rtl/>
        </w:rPr>
        <w:t xml:space="preserve"> – תוכנית שהייתה הסיבה </w:t>
      </w:r>
      <w:r>
        <w:rPr>
          <w:b/>
          <w:bCs/>
          <w:rtl/>
        </w:rPr>
        <w:t>הישירה</w:t>
      </w:r>
      <w:r>
        <w:rPr>
          <w:rtl/>
        </w:rPr>
        <w:t xml:space="preserve"> לסגירת הישיבה; (2) המחלוקת הפנימית ובעיית לימודי החול היו </w:t>
      </w:r>
      <w:r>
        <w:rPr>
          <w:b/>
          <w:bCs/>
          <w:rtl/>
        </w:rPr>
        <w:t>סיבות שקולות</w:t>
      </w:r>
      <w:r>
        <w:rPr>
          <w:rtl/>
        </w:rPr>
        <w:t xml:space="preserve">, ואף אחת מהן כשלעצמה לא הייתה חזקה דיה לסגור את </w:t>
      </w:r>
      <w:proofErr w:type="spellStart"/>
      <w:r>
        <w:rPr>
          <w:rtl/>
        </w:rPr>
        <w:t>וולוז׳ין</w:t>
      </w:r>
      <w:proofErr w:type="spellEnd"/>
      <w:r>
        <w:rPr>
          <w:rtl/>
        </w:rPr>
        <w:t xml:space="preserve">. כך עולה מן הקטע המצוטט לעיל </w:t>
      </w:r>
      <w:proofErr w:type="spellStart"/>
      <w:r>
        <w:rPr>
          <w:rtl/>
        </w:rPr>
        <w:t>מ“פון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שבו השווה </w:t>
      </w:r>
      <w:proofErr w:type="spellStart"/>
      <w:r>
        <w:rPr>
          <w:rtl/>
        </w:rPr>
        <w:t>הנצי״ב</w:t>
      </w:r>
      <w:proofErr w:type="spellEnd"/>
      <w:r>
        <w:rPr>
          <w:rtl/>
        </w:rPr>
        <w:t xml:space="preserve"> את סגירת </w:t>
      </w:r>
      <w:proofErr w:type="spellStart"/>
      <w:r>
        <w:rPr>
          <w:rtl/>
        </w:rPr>
        <w:t>וולוז׳ין</w:t>
      </w:r>
      <w:proofErr w:type="spellEnd"/>
      <w:r>
        <w:rPr>
          <w:rtl/>
        </w:rPr>
        <w:t xml:space="preserve"> לחורבן ירושלים.</w:t>
      </w:r>
    </w:p>
    <w:p w14:paraId="5B052477" w14:textId="77777777" w:rsidR="00AB3647" w:rsidRDefault="00000000" w:rsidP="007923E9">
      <w:pPr>
        <w:spacing w:after="120" w:line="276" w:lineRule="auto"/>
        <w:ind w:firstLine="283"/>
        <w:jc w:val="both"/>
      </w:pPr>
      <w:r>
        <w:rPr>
          <w:rtl/>
        </w:rPr>
        <w:t xml:space="preserve">או שלא היה </w:t>
      </w:r>
      <w:proofErr w:type="spellStart"/>
      <w:r>
        <w:rPr>
          <w:rtl/>
        </w:rPr>
        <w:t>לנצי״ב</w:t>
      </w:r>
      <w:proofErr w:type="spellEnd"/>
      <w:r>
        <w:rPr>
          <w:rtl/>
        </w:rPr>
        <w:t xml:space="preserve"> צורך להזכיר את המחלוקת הפנימית כסיבה האחרת, כשכל שביקש לעשות היה להבטיח שבנו “לא... יסכים בשום תנאים לשלב לימודי חול בלימודי קודש”. או שלא הזכיר את המחלוקת הפנימית כדי לחסוך מבנו – שעליו נסבה מלחמת הירושה – כל ייסורי אשמה על התמוטטות הישיבה!</w:t>
      </w:r>
    </w:p>
    <w:p w14:paraId="6F54CDA2" w14:textId="77777777" w:rsidR="00AB3647" w:rsidRDefault="00000000" w:rsidP="007923E9">
      <w:pPr>
        <w:spacing w:after="120" w:line="276" w:lineRule="auto"/>
        <w:ind w:firstLine="283"/>
        <w:jc w:val="both"/>
      </w:pPr>
      <w:r>
        <w:rPr>
          <w:rtl/>
        </w:rPr>
        <w:t xml:space="preserve">ההנחה </w:t>
      </w:r>
      <w:proofErr w:type="spellStart"/>
      <w:r>
        <w:rPr>
          <w:rtl/>
        </w:rPr>
        <w:t>ש“ר</w:t>
      </w:r>
      <w:proofErr w:type="spellEnd"/>
      <w:r>
        <w:rPr>
          <w:rtl/>
        </w:rPr>
        <w:t xml:space="preserve">׳ משה שמואל ודורו” הבין שהמחלוקת הפנימית הייתה הסיבה היחידה, ובעיית לימודי החול (הניתנת לפתרון בקלות) הייתה רק מסווה – הצהרת </w:t>
      </w:r>
      <w:proofErr w:type="spellStart"/>
      <w:r>
        <w:rPr>
          <w:rtl/>
        </w:rPr>
        <w:t>הנצי״ב</w:t>
      </w:r>
      <w:proofErr w:type="spellEnd"/>
      <w:r>
        <w:rPr>
          <w:rtl/>
        </w:rPr>
        <w:t xml:space="preserve"> מפריכה אותה: צדיק זה לא היה מרחיק כל כך מן האמת, אפילו כדי לחסוך מבנו רגשי אשמה.</w:t>
      </w:r>
    </w:p>
    <w:p w14:paraId="2361A8FA" w14:textId="0804AB90" w:rsidR="00AB3647" w:rsidRDefault="00000000" w:rsidP="007923E9">
      <w:pPr>
        <w:spacing w:after="120" w:line="276" w:lineRule="auto"/>
        <w:ind w:firstLine="283"/>
        <w:jc w:val="both"/>
      </w:pPr>
      <w:r>
        <w:rPr>
          <w:rtl/>
        </w:rPr>
        <w:t xml:space="preserve">אבל ייתכן בהחלט שאף שהישיבה נסגרה בגלל בעיית לימודי החול, </w:t>
      </w:r>
      <w:proofErr w:type="spellStart"/>
      <w:r>
        <w:rPr>
          <w:rtl/>
        </w:rPr>
        <w:t>הנצי״ב</w:t>
      </w:r>
      <w:proofErr w:type="spellEnd"/>
      <w:r>
        <w:rPr>
          <w:rtl/>
        </w:rPr>
        <w:t xml:space="preserve"> ובנו ראו בסגירתה סגירה זמנית בלבד. כך נאמר במפורש בהערת השוליים במכתבו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2781" w:name="_fnr1914"/>
      <w:r>
        <w:rPr>
          <w:rStyle w:val="a5"/>
        </w:rPr>
        <w:footnoteReference w:id="1918" w:customMarkFollows="0"/>
      </w:r>
      <w:bookmarkEnd w:id="2781"/>
      <w:r>
        <w:rPr>
          <w:rtl/>
        </w:rPr>
        <w:t xml:space="preserve"> המצוטט בפרק 5, באמצע הפסקה הראשונה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על נסיעתו של ר׳ חיים ברלין למערב אירופה לאיסוף כספים לאחר הסגירה. אומנם ראשי ישיבת </w:t>
      </w:r>
      <w:proofErr w:type="spellStart"/>
      <w:r>
        <w:rPr>
          <w:rtl/>
        </w:rPr>
        <w:t>וולוז׳ין</w:t>
      </w:r>
      <w:proofErr w:type="spellEnd"/>
      <w:r>
        <w:rPr>
          <w:rtl/>
        </w:rPr>
        <w:t xml:space="preserve"> נזקקו לכסף כדי לפרוע את החובות הגדולים שרבצו עליה בעת שנסגרה,</w:t>
      </w:r>
      <w:bookmarkStart w:id="2782" w:name="_fnr1915"/>
      <w:r>
        <w:rPr>
          <w:rStyle w:val="a5"/>
        </w:rPr>
        <w:footnoteReference w:id="1919" w:customMarkFollows="0"/>
      </w:r>
      <w:bookmarkEnd w:id="2782"/>
      <w:r>
        <w:rPr>
          <w:rtl/>
        </w:rPr>
        <w:t xml:space="preserve"> אך אין בכך כדי לשלול כוונה </w:t>
      </w:r>
      <w:r>
        <w:rPr>
          <w:rtl/>
        </w:rPr>
        <w:lastRenderedPageBreak/>
        <w:t>לפתחה מחדש. קל הרבה יותר לאסוף כספים למוסד קיים השקוע בחובות מאשר למוסד שנסגר לצמיתות!</w:t>
      </w:r>
    </w:p>
    <w:p w14:paraId="749C52AA"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783" w:name="_fnr1916"/>
      <w:r>
        <w:rPr>
          <w:rStyle w:val="a5"/>
        </w:rPr>
        <w:footnoteReference w:id="1920" w:customMarkFollows="0"/>
      </w:r>
      <w:bookmarkEnd w:id="2783"/>
      <w:r>
        <w:rPr>
          <w:rtl/>
        </w:rPr>
        <w:t xml:space="preserve"> המביא את תשובתו הנחרצת של </w:t>
      </w:r>
      <w:proofErr w:type="spellStart"/>
      <w:r>
        <w:rPr>
          <w:rtl/>
        </w:rPr>
        <w:t>הנצי״ב</w:t>
      </w:r>
      <w:proofErr w:type="spellEnd"/>
      <w:r>
        <w:rPr>
          <w:rtl/>
        </w:rPr>
        <w:t xml:space="preserve"> לשליחו של ר׳ שמואל </w:t>
      </w:r>
      <w:proofErr w:type="spellStart"/>
      <w:r>
        <w:rPr>
          <w:rtl/>
        </w:rPr>
        <w:t xml:space="preserve">מוהליבר</w:t>
      </w:r>
      <w:proofErr w:type="spellEnd"/>
      <w:r>
        <w:rPr>
          <w:rtl/>
        </w:rPr>
        <w:t xml:space="preserve">. שלוש שנים לפני הסגירה טען השליח שהכנסת מקצת לימודי החול לישיבה היא הרע במיעוטו לעומת החלופה המאיימת, </w:t>
      </w:r>
      <w:proofErr w:type="spellStart"/>
      <w:r>
        <w:rPr>
          <w:rtl/>
        </w:rPr>
        <w:t>והנצי״ב</w:t>
      </w:r>
      <w:proofErr w:type="spellEnd"/>
      <w:r>
        <w:rPr>
          <w:rtl/>
        </w:rPr>
        <w:t xml:space="preserve"> השיב: “הישיבה לא תתבטל, וגם אם תיסגר, </w:t>
      </w:r>
      <w:r>
        <w:rPr>
          <w:b/>
          <w:bCs/>
          <w:rtl/>
        </w:rPr>
        <w:t>תיפתח מחדש</w:t>
      </w:r>
      <w:r>
        <w:rPr>
          <w:rtl/>
        </w:rPr>
        <w:t xml:space="preserve"> (ההדגשה שלי).” </w:t>
      </w:r>
      <w:proofErr w:type="spellStart"/>
      <w:r>
        <w:rPr>
          <w:rtl/>
        </w:rPr>
        <w:t>הנצי״ב</w:t>
      </w:r>
      <w:proofErr w:type="spellEnd"/>
      <w:r>
        <w:rPr>
          <w:rtl/>
        </w:rPr>
        <w:t xml:space="preserve"> ביסס תחזית זו על ביטחון בה׳, והצביע על כך שאברהם אבינו ויעקב אבינו נוכחו שביטחון הוא היסוד הבטוח ביותר לפעולה – ראה </w:t>
      </w:r>
      <w:proofErr w:type="spellStart"/>
      <w:r>
        <w:rPr>
          <w:rtl/>
        </w:rPr>
        <w:t>צינוביץ</w:t>
      </w:r>
      <w:proofErr w:type="spellEnd"/>
      <w:r>
        <w:rPr>
          <w:rtl/>
        </w:rPr>
        <w:t>, שם</w:t>
      </w:r>
      <w:bookmarkStart w:id="2784" w:name="_fnr1917"/>
      <w:r>
        <w:rPr>
          <w:rStyle w:val="a5"/>
        </w:rPr>
        <w:footnoteReference w:id="1921" w:customMarkFollows="0"/>
      </w:r>
      <w:bookmarkEnd w:id="2784"/>
      <w:r>
        <w:rPr>
          <w:rtl/>
        </w:rPr>
        <w:t xml:space="preserve">. אף על פי כן אין לשלול שהייתה לו תוכנית פעולה מעשית לפתיחת הישיבה מחדש, כשנסגרה בפועל שלוש שנים אחר כך. יתרה מזו, כשהביטחון מצוי בידו, פתיחתה המחודשת הצפויה לא </w:t>
      </w:r>
      <w:r>
        <w:rPr>
          <w:b/>
          <w:bCs/>
          <w:rtl/>
        </w:rPr>
        <w:t>נזקקה</w:t>
      </w:r>
      <w:r>
        <w:rPr>
          <w:rtl/>
        </w:rPr>
        <w:t xml:space="preserve"> לתוכנית מוגדרת.</w:t>
      </w:r>
    </w:p>
    <w:p w14:paraId="2C1C276A" w14:textId="77777777" w:rsidR="00AB3647" w:rsidRDefault="00000000" w:rsidP="007923E9">
      <w:pPr>
        <w:spacing w:after="120" w:line="276" w:lineRule="auto"/>
        <w:ind w:firstLine="283"/>
        <w:jc w:val="both"/>
      </w:pPr>
      <w:r>
        <w:rPr>
          <w:rtl/>
        </w:rPr>
        <w:t>יתר על כן, סגירה זמנית של הישיבה במהלך מלחמת הירושה הייתה עשויה להועיל מבחינה טקטית לשושלת ברלין. היא הייתה מקילה את ארגונו מחדש של המוסד, באמצעות קבלת תלמידים חדשים המצייתים להנהלה,</w:t>
      </w:r>
      <w:bookmarkStart w:id="2785" w:name="_fnr1918"/>
      <w:r>
        <w:rPr>
          <w:rStyle w:val="a5"/>
        </w:rPr>
        <w:footnoteReference w:id="1922" w:customMarkFollows="0"/>
      </w:r>
      <w:bookmarkEnd w:id="2785"/>
      <w:r>
        <w:rPr>
          <w:rtl/>
        </w:rPr>
        <w:t xml:space="preserve"> ואולי גם באמצעות הוצאת ר׳ חיים </w:t>
      </w:r>
      <w:proofErr w:type="spellStart"/>
      <w:r>
        <w:rPr>
          <w:rtl/>
        </w:rPr>
        <w:t>סולובייצ׳יק</w:t>
      </w:r>
      <w:proofErr w:type="spellEnd"/>
      <w:r>
        <w:rPr>
          <w:rtl/>
        </w:rPr>
        <w:t xml:space="preserve"> מצוות הישיבה. השערה זו מבהירה הערה סתומה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 (שחיברו צעיר ילדיה של משפחת ברלין):</w:t>
      </w:r>
      <w:bookmarkStart w:id="2786" w:name="_fnr1919"/>
      <w:r>
        <w:rPr>
          <w:rStyle w:val="a5"/>
        </w:rPr>
        <w:footnoteReference w:id="1923" w:customMarkFollows="0"/>
      </w:r>
      <w:bookmarkEnd w:id="2786"/>
      <w:r>
        <w:rPr>
          <w:rtl/>
        </w:rPr>
        <w:t xml:space="preserve"> “שאלת ר׳ חיים </w:t>
      </w:r>
      <w:proofErr w:type="spellStart"/>
      <w:r>
        <w:rPr>
          <w:rtl/>
        </w:rPr>
        <w:t>סולובייצ׳יק</w:t>
      </w:r>
      <w:proofErr w:type="spellEnd"/>
      <w:r>
        <w:rPr>
          <w:rtl/>
        </w:rPr>
        <w:t xml:space="preserve"> והמשך פעילותו נפתרה בדרך שונה לגמרי מכפי שאפשר היה לצפות: רבים ראו בכל הפרשה, שבאה בפתאומיות כזאת, אצבע </w:t>
      </w:r>
      <w:proofErr w:type="spellStart"/>
      <w:r>
        <w:rPr>
          <w:rtl/>
        </w:rPr>
        <w:t>א־להים</w:t>
      </w:r>
      <w:proofErr w:type="spellEnd"/>
      <w:r>
        <w:rPr>
          <w:rtl/>
        </w:rPr>
        <w:t xml:space="preserve">...” המחבר מתכוון לעלייתו של ר׳ חיים </w:t>
      </w:r>
      <w:proofErr w:type="spellStart"/>
      <w:r>
        <w:rPr>
          <w:rtl/>
        </w:rPr>
        <w:t>סולובייצ׳יק</w:t>
      </w:r>
      <w:proofErr w:type="spellEnd"/>
      <w:r>
        <w:rPr>
          <w:rtl/>
        </w:rPr>
        <w:t xml:space="preserve"> לכיסא הרבנות של אביו ר׳ יוסף־דב </w:t>
      </w:r>
      <w:proofErr w:type="spellStart"/>
      <w:r>
        <w:rPr>
          <w:rtl/>
        </w:rPr>
        <w:t>בבריסק</w:t>
      </w:r>
      <w:proofErr w:type="spellEnd"/>
      <w:r>
        <w:rPr>
          <w:rtl/>
        </w:rPr>
        <w:t xml:space="preserve">, שלושה חודשים לאחר סגירת </w:t>
      </w:r>
      <w:proofErr w:type="spellStart"/>
      <w:r>
        <w:rPr>
          <w:rtl/>
        </w:rPr>
        <w:t>וולוז׳ין</w:t>
      </w:r>
      <w:proofErr w:type="spellEnd"/>
      <w:r>
        <w:rPr>
          <w:rtl/>
        </w:rPr>
        <w:t xml:space="preserve">. גם ר׳ יוסף־דב נאלץ לעזוב את ישיבת </w:t>
      </w:r>
      <w:proofErr w:type="spellStart"/>
      <w:r>
        <w:rPr>
          <w:rtl/>
        </w:rPr>
        <w:t>וולוז׳ין</w:t>
      </w:r>
      <w:proofErr w:type="spellEnd"/>
      <w:r>
        <w:rPr>
          <w:rtl/>
        </w:rPr>
        <w:t xml:space="preserve"> בעקבות מחלוקת עם </w:t>
      </w:r>
      <w:proofErr w:type="spellStart"/>
      <w:r>
        <w:rPr>
          <w:rtl/>
        </w:rPr>
        <w:t>הנצי״ב</w:t>
      </w:r>
      <w:proofErr w:type="spellEnd"/>
      <w:r>
        <w:rPr>
          <w:rtl/>
        </w:rPr>
        <w:t>, עשרים ותשע שנה קודם לכן.</w:t>
      </w:r>
      <w:bookmarkStart w:id="2787" w:name="_fnr1920"/>
      <w:r>
        <w:rPr>
          <w:rStyle w:val="a5"/>
        </w:rPr>
        <w:footnoteReference w:id="1924" w:customMarkFollows="0"/>
      </w:r>
      <w:bookmarkEnd w:id="2787"/>
    </w:p>
    <w:p w14:paraId="4F20D776" w14:textId="363656E8" w:rsidR="00AB3647" w:rsidRDefault="00000000" w:rsidP="007923E9">
      <w:pPr>
        <w:spacing w:after="120" w:line="276" w:lineRule="auto"/>
        <w:ind w:firstLine="283"/>
        <w:jc w:val="both"/>
      </w:pPr>
      <w:r>
        <w:rPr>
          <w:rtl/>
        </w:rPr>
        <w:t xml:space="preserve">נראה שמחבר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 רומז להשגחה שהשפעתה הייתה עמוקה יותר מעצם הבטחת פרנסתו של ר׳ חיים </w:t>
      </w:r>
      <w:proofErr w:type="spellStart"/>
      <w:r>
        <w:rPr>
          <w:rtl/>
        </w:rPr>
        <w:t>סולובייצ׳יק</w:t>
      </w:r>
      <w:proofErr w:type="spellEnd"/>
      <w:r>
        <w:rPr>
          <w:rtl/>
        </w:rPr>
        <w:t>:</w:t>
      </w:r>
      <w:bookmarkStart w:id="2788" w:name="_fnr1921"/>
      <w:r>
        <w:rPr>
          <w:rStyle w:val="a5"/>
        </w:rPr>
        <w:footnoteReference w:id="1925" w:customMarkFollows="0"/>
      </w:r>
      <w:bookmarkEnd w:id="2788"/>
      <w:r>
        <w:rPr>
          <w:rtl/>
        </w:rPr>
        <w:t xml:space="preserve"> ההזדמנות שנשלחה משמים לפתוח את ישיבת </w:t>
      </w:r>
      <w:proofErr w:type="spellStart"/>
      <w:r>
        <w:rPr>
          <w:rtl/>
        </w:rPr>
        <w:t>וולוז׳ין</w:t>
      </w:r>
      <w:proofErr w:type="spellEnd"/>
      <w:r>
        <w:rPr>
          <w:rtl/>
        </w:rPr>
        <w:t xml:space="preserve"> מחדש בראשות ר׳ חיים ברלין, בלי נוכחותו המתחרה של ר׳ חיים. השווה גם פרק 2,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הועלתה ההשערה ששנה לפני הסגירה ניסה </w:t>
      </w:r>
      <w:proofErr w:type="spellStart"/>
      <w:r>
        <w:rPr>
          <w:rtl/>
        </w:rPr>
        <w:t>הנצי״ב</w:t>
      </w:r>
      <w:proofErr w:type="spellEnd"/>
      <w:r>
        <w:rPr>
          <w:rtl/>
        </w:rPr>
        <w:t xml:space="preserve"> לעניין את ר׳ חיים במשרה מחוץ לישיבת </w:t>
      </w:r>
      <w:proofErr w:type="spellStart"/>
      <w:r>
        <w:rPr>
          <w:rtl/>
        </w:rPr>
        <w:t>וולוז׳ין</w:t>
      </w:r>
      <w:proofErr w:type="spellEnd"/>
      <w:r>
        <w:rPr>
          <w:rtl/>
        </w:rPr>
        <w:t>. “אבי הישיבות”</w:t>
      </w:r>
      <w:bookmarkStart w:id="2789" w:name="_fnr1922"/>
      <w:r>
        <w:rPr>
          <w:rStyle w:val="a5"/>
        </w:rPr>
        <w:footnoteReference w:id="1926" w:customMarkFollows="0"/>
      </w:r>
      <w:bookmarkEnd w:id="2789"/>
      <w:r>
        <w:rPr>
          <w:rtl/>
        </w:rPr>
        <w:t xml:space="preserve"> מביא גם מכתב שכתב </w:t>
      </w:r>
      <w:proofErr w:type="spellStart"/>
      <w:r>
        <w:rPr>
          <w:rtl/>
        </w:rPr>
        <w:t>הנצי״ב</w:t>
      </w:r>
      <w:proofErr w:type="spellEnd"/>
      <w:r>
        <w:rPr>
          <w:rtl/>
        </w:rPr>
        <w:t xml:space="preserve"> חמישה שבועות לאחר סגירת הישיבה, ובו הוא אומר במפורש, בין השאר: “[סגירה זו] מקצצת את רגלי המשולחים, [מפני שהאנשים שאליהם הם פונים] יחשבו שאין ישיבה ואין במה לתמוך; לכן אני אומר לכם </w:t>
      </w:r>
      <w:r>
        <w:rPr>
          <w:b/>
          <w:bCs/>
          <w:rtl/>
        </w:rPr>
        <w:t>מישרים אמונה</w:t>
      </w:r>
      <w:r>
        <w:rPr>
          <w:rtl/>
        </w:rPr>
        <w:t xml:space="preserve"> (ההדגשה שלי), שנסגרה רק לשעה.”</w:t>
      </w:r>
    </w:p>
    <w:p w14:paraId="39F6AE6C" w14:textId="77777777" w:rsidR="00AB3647" w:rsidRDefault="00000000" w:rsidP="007923E9">
      <w:pPr>
        <w:spacing w:after="120" w:line="276" w:lineRule="auto"/>
        <w:ind w:firstLine="283"/>
        <w:jc w:val="both"/>
      </w:pPr>
      <w:r>
        <w:rPr>
          <w:rtl/>
        </w:rPr>
        <w:lastRenderedPageBreak/>
        <w:t xml:space="preserve">מצאתי גם מכתב שכתב ר׳ חיים ברלין מפריז בי״ב בסיוון תרנ״ב, ארבעה חודשים לאחר סגירת ישיבת </w:t>
      </w:r>
      <w:proofErr w:type="spellStart"/>
      <w:r>
        <w:rPr>
          <w:rtl/>
        </w:rPr>
        <w:t>וולוז׳ין</w:t>
      </w:r>
      <w:proofErr w:type="spellEnd"/>
      <w:r>
        <w:rPr>
          <w:rtl/>
        </w:rPr>
        <w:t xml:space="preserve">, </w:t>
      </w:r>
      <w:proofErr w:type="spellStart"/>
      <w:r>
        <w:rPr>
          <w:rtl/>
        </w:rPr>
        <w:t>לר</w:t>
      </w:r>
      <w:proofErr w:type="spellEnd"/>
      <w:r>
        <w:rPr>
          <w:rtl/>
        </w:rPr>
        <w:t>׳ חיים הכהן, רבה של טריפולי. המכתב נדפס בסוף “דברי משה”,</w:t>
      </w:r>
      <w:bookmarkStart w:id="2790" w:name="_fnr1923"/>
      <w:r>
        <w:rPr>
          <w:rStyle w:val="a5"/>
        </w:rPr>
        <w:footnoteReference w:id="1927" w:customMarkFollows="0"/>
      </w:r>
      <w:bookmarkEnd w:id="2790"/>
      <w:r>
        <w:rPr>
          <w:rtl/>
        </w:rPr>
        <w:t xml:space="preserve"> ספר הגהות על “ספר קנה אברהם” הנדפס עמו, מאת אברהם הכהן.</w:t>
      </w:r>
      <w:bookmarkStart w:id="2791" w:name="_fnr1924"/>
      <w:r>
        <w:rPr>
          <w:rStyle w:val="a5"/>
        </w:rPr>
        <w:footnoteReference w:id="1928" w:customMarkFollows="0"/>
      </w:r>
      <w:bookmarkEnd w:id="2791"/>
      <w:r>
        <w:rPr>
          <w:rtl/>
        </w:rPr>
        <w:t xml:space="preserve"> ר׳ חיים ברלין מברך בו את הנמען על ספרו המרשים “ספר מצות המלך”, שנתקל בו לראשונה בביקורו בפריז, על אף הספרייה העצומה שברשותו; עד אז לא שמע על מחברו. המכתב חתום: “חיים </w:t>
      </w:r>
      <w:proofErr w:type="spellStart"/>
      <w:r>
        <w:rPr>
          <w:rtl/>
        </w:rPr>
        <w:t>בהגאון</w:t>
      </w:r>
      <w:proofErr w:type="spellEnd"/>
      <w:r>
        <w:rPr>
          <w:rtl/>
        </w:rPr>
        <w:t xml:space="preserve"> מו״ר נפתלי צבי יהודה ברלין נ״י </w:t>
      </w:r>
      <w:r>
        <w:rPr>
          <w:b/>
          <w:bCs/>
          <w:rtl/>
        </w:rPr>
        <w:t>מעיר התורה</w:t>
      </w:r>
      <w:r>
        <w:rPr>
          <w:rtl/>
        </w:rPr>
        <w:t xml:space="preserve"> </w:t>
      </w:r>
      <w:proofErr w:type="spellStart"/>
      <w:r>
        <w:rPr>
          <w:rtl/>
        </w:rPr>
        <w:t>וואלאזין</w:t>
      </w:r>
      <w:proofErr w:type="spellEnd"/>
      <w:r>
        <w:rPr>
          <w:rtl/>
        </w:rPr>
        <w:t xml:space="preserve"> בארץ </w:t>
      </w:r>
      <w:proofErr w:type="spellStart"/>
      <w:r>
        <w:rPr>
          <w:rtl/>
        </w:rPr>
        <w:t>רוססיא</w:t>
      </w:r>
      <w:proofErr w:type="spellEnd"/>
      <w:r>
        <w:rPr>
          <w:rtl/>
        </w:rPr>
        <w:t xml:space="preserve">” (ההדגשה שלי). הוא כינה את העיירה “עיר התורה” לאחר שהישיבה שבה נסגרה, </w:t>
      </w:r>
      <w:proofErr w:type="spellStart"/>
      <w:r>
        <w:rPr>
          <w:rtl/>
        </w:rPr>
        <w:t>כשלא</w:t>
      </w:r>
      <w:proofErr w:type="spellEnd"/>
      <w:r>
        <w:rPr>
          <w:rtl/>
        </w:rPr>
        <w:t xml:space="preserve"> הייתה שונה עוד מאלף עיירות אחרות בתחום המושב הרוסי. מכאן שציפה </w:t>
      </w:r>
      <w:proofErr w:type="spellStart"/>
      <w:r>
        <w:rPr>
          <w:rtl/>
        </w:rPr>
        <w:t>שוולוז׳ין</w:t>
      </w:r>
      <w:proofErr w:type="spellEnd"/>
      <w:r>
        <w:rPr>
          <w:rtl/>
        </w:rPr>
        <w:t xml:space="preserve"> </w:t>
      </w:r>
      <w:r>
        <w:rPr>
          <w:b/>
          <w:bCs/>
          <w:rtl/>
        </w:rPr>
        <w:t>תישאר</w:t>
      </w:r>
      <w:r>
        <w:rPr>
          <w:rtl/>
        </w:rPr>
        <w:t xml:space="preserve"> “עיר התורה”; במילים אחרות, שסגירת הישיבה תהיה זמנית.</w:t>
      </w:r>
      <w:bookmarkStart w:id="2792" w:name="_fnr1925"/>
      <w:r>
        <w:rPr>
          <w:rStyle w:val="a5"/>
        </w:rPr>
        <w:footnoteReference w:id="1929" w:customMarkFollows="0"/>
      </w:r>
      <w:bookmarkEnd w:id="2792"/>
    </w:p>
    <w:p w14:paraId="478E35EF" w14:textId="77777777" w:rsidR="00AB3647" w:rsidRDefault="00000000" w:rsidP="007923E9">
      <w:pPr>
        <w:spacing w:after="120" w:line="276" w:lineRule="auto"/>
        <w:ind w:firstLine="283"/>
        <w:jc w:val="both"/>
      </w:pPr>
      <w:r>
        <w:rPr>
          <w:rtl/>
        </w:rPr>
        <w:t>לפי “</w:t>
      </w:r>
      <w:proofErr w:type="spellStart"/>
      <w:r>
        <w:rPr>
          <w:rtl/>
        </w:rPr>
        <w:t>וולוז׳ין</w:t>
      </w:r>
      <w:proofErr w:type="spellEnd"/>
      <w:r>
        <w:rPr>
          <w:rtl/>
        </w:rPr>
        <w:t xml:space="preserve"> – ספרה של העיר ושל ישיבת עץ חיים”,</w:t>
      </w:r>
      <w:bookmarkStart w:id="2793" w:name="_fnr1926"/>
      <w:r>
        <w:rPr>
          <w:rStyle w:val="a5"/>
        </w:rPr>
        <w:footnoteReference w:id="1930" w:customMarkFollows="0"/>
      </w:r>
      <w:bookmarkEnd w:id="2793"/>
      <w:r>
        <w:rPr>
          <w:rtl/>
        </w:rPr>
        <w:t xml:space="preserve"> כשנפטר </w:t>
      </w:r>
      <w:proofErr w:type="spellStart"/>
      <w:r>
        <w:rPr>
          <w:rtl/>
        </w:rPr>
        <w:t>הנצי״ב</w:t>
      </w:r>
      <w:proofErr w:type="spellEnd"/>
      <w:r>
        <w:rPr>
          <w:rtl/>
        </w:rPr>
        <w:t>, שנה וחצי לאחר הסגירה, ציטט בנו בהספדו את מסכת תענית:</w:t>
      </w:r>
      <w:bookmarkStart w:id="2794" w:name="_fnr1927"/>
      <w:r>
        <w:rPr>
          <w:rStyle w:val="a5"/>
        </w:rPr>
        <w:footnoteReference w:id="1931" w:customMarkFollows="0"/>
      </w:r>
      <w:bookmarkEnd w:id="2794"/>
      <w:r>
        <w:rPr>
          <w:rtl/>
        </w:rPr>
        <w:t xml:space="preserve"> “משחרב הבית בראשונה </w:t>
      </w:r>
      <w:proofErr w:type="spellStart"/>
      <w:r>
        <w:rPr>
          <w:rtl/>
        </w:rPr>
        <w:t>נתקבצו</w:t>
      </w:r>
      <w:proofErr w:type="spellEnd"/>
      <w:r>
        <w:rPr>
          <w:rtl/>
        </w:rPr>
        <w:t xml:space="preserve"> כיתות </w:t>
      </w:r>
      <w:proofErr w:type="spellStart"/>
      <w:r>
        <w:rPr>
          <w:rtl/>
        </w:rPr>
        <w:t>כיתות</w:t>
      </w:r>
      <w:proofErr w:type="spellEnd"/>
      <w:r>
        <w:rPr>
          <w:rtl/>
        </w:rPr>
        <w:t xml:space="preserve"> של פרחי כהונה ומפתחות ההיכל בידן, ועלו לגג ההיכל ואמרו לפניו: </w:t>
      </w:r>
      <w:proofErr w:type="spellStart"/>
      <w:r>
        <w:rPr>
          <w:rtl/>
        </w:rPr>
        <w:t>רבונו</w:t>
      </w:r>
      <w:proofErr w:type="spellEnd"/>
      <w:r>
        <w:rPr>
          <w:rtl/>
        </w:rPr>
        <w:t xml:space="preserve"> של עולם, הואיל ולא זכינו להיות </w:t>
      </w:r>
      <w:proofErr w:type="spellStart"/>
      <w:r>
        <w:rPr>
          <w:rtl/>
        </w:rPr>
        <w:t>גזברין</w:t>
      </w:r>
      <w:proofErr w:type="spellEnd"/>
      <w:r>
        <w:rPr>
          <w:rtl/>
        </w:rPr>
        <w:t xml:space="preserve"> נאמנים יהיו מפתחות מסורות לך. וזרקום כלפי מעלה, </w:t>
      </w:r>
      <w:proofErr w:type="spellStart"/>
      <w:r>
        <w:rPr>
          <w:rtl/>
        </w:rPr>
        <w:t>ויצתה</w:t>
      </w:r>
      <w:proofErr w:type="spellEnd"/>
      <w:r>
        <w:rPr>
          <w:rtl/>
        </w:rPr>
        <w:t xml:space="preserve"> כעין פיסת יד וקיבלתן מהם, והם קפצו ונפלו לתוך האור.” גם מכאן נראה שעד </w:t>
      </w:r>
      <w:r>
        <w:rPr>
          <w:b/>
          <w:bCs/>
          <w:rtl/>
        </w:rPr>
        <w:t>פטירתו של ראש הישיבה הזקן</w:t>
      </w:r>
      <w:r>
        <w:rPr>
          <w:rtl/>
        </w:rPr>
        <w:t xml:space="preserve"> לא נזנחה התוכנית לפתוח את הישיבה מחדש: ר׳ חיים ברלין ראה את מפתחות ההיכל – שישיבת </w:t>
      </w:r>
      <w:proofErr w:type="spellStart"/>
      <w:r>
        <w:rPr>
          <w:rtl/>
        </w:rPr>
        <w:t>וולוז׳ין</w:t>
      </w:r>
      <w:proofErr w:type="spellEnd"/>
      <w:r>
        <w:rPr>
          <w:rtl/>
        </w:rPr>
        <w:t xml:space="preserve"> הייתה כמותו</w:t>
      </w:r>
      <w:bookmarkStart w:id="2795" w:name="_fnr1928"/>
      <w:r>
        <w:rPr>
          <w:rStyle w:val="a5"/>
        </w:rPr>
        <w:footnoteReference w:id="1932" w:customMarkFollows="0"/>
      </w:r>
      <w:bookmarkEnd w:id="2795"/>
      <w:r>
        <w:rPr>
          <w:rtl/>
        </w:rPr>
        <w:t xml:space="preserve"> – כמפתחות שטרם יצאו מידי משפחת ברלין!</w:t>
      </w:r>
    </w:p>
    <w:p w14:paraId="35B7DD5A" w14:textId="77777777" w:rsidR="00AB3647" w:rsidRDefault="00000000" w:rsidP="007923E9">
      <w:pPr>
        <w:spacing w:after="120" w:line="276" w:lineRule="auto"/>
        <w:ind w:firstLine="283"/>
        <w:jc w:val="both"/>
      </w:pPr>
      <w:r>
        <w:rPr>
          <w:rtl/>
        </w:rPr>
        <w:t xml:space="preserve">אין שמץ ראיה שר׳ חיים </w:t>
      </w:r>
      <w:proofErr w:type="spellStart"/>
      <w:r>
        <w:rPr>
          <w:rtl/>
        </w:rPr>
        <w:t>סולובייצ׳יק</w:t>
      </w:r>
      <w:proofErr w:type="spellEnd"/>
      <w:r>
        <w:rPr>
          <w:rtl/>
        </w:rPr>
        <w:t xml:space="preserve"> עצמו התערב במלחמה שניהלו התלמידים נגד מתחרהו. או שהיה שקוע בלימודו ואטם את עצמו לחלוטין למאבק שהתחולל סביבו, או שנשמתו הייתה טהורה מכדי להסתבך במחלוקת. </w:t>
      </w:r>
      <w:proofErr w:type="spellStart"/>
      <w:r>
        <w:rPr>
          <w:rtl/>
        </w:rPr>
        <w:t>ידעאל</w:t>
      </w:r>
      <w:proofErr w:type="spellEnd"/>
      <w:r>
        <w:rPr>
          <w:rtl/>
        </w:rPr>
        <w:t xml:space="preserve"> מלצר, “בדרך עץ החיים”</w:t>
      </w:r>
      <w:bookmarkStart w:id="2796" w:name="_fnr1929"/>
      <w:r>
        <w:rPr>
          <w:rStyle w:val="a5"/>
        </w:rPr>
        <w:footnoteReference w:id="1933" w:customMarkFollows="0"/>
      </w:r>
      <w:bookmarkEnd w:id="2796"/>
      <w:r>
        <w:rPr>
          <w:rtl/>
        </w:rPr>
        <w:t xml:space="preserve">, מתאר כיצד הודה ר׳ </w:t>
      </w:r>
      <w:proofErr w:type="spellStart"/>
      <w:r>
        <w:rPr>
          <w:rtl/>
        </w:rPr>
        <w:t>איסר־זלמן</w:t>
      </w:r>
      <w:proofErr w:type="spellEnd"/>
      <w:r>
        <w:rPr>
          <w:rtl/>
        </w:rPr>
        <w:t>, תלמידו המובהק של ר׳ חיים,</w:t>
      </w:r>
      <w:bookmarkStart w:id="2797" w:name="_fnr1930"/>
      <w:r>
        <w:rPr>
          <w:rStyle w:val="a5"/>
        </w:rPr>
        <w:footnoteReference w:id="1934" w:customMarkFollows="0"/>
      </w:r>
      <w:bookmarkEnd w:id="2797"/>
      <w:r>
        <w:rPr>
          <w:rtl/>
        </w:rPr>
        <w:t xml:space="preserve"> לקב״ה על כך שהוא עצמו לא התערב במאבק </w:t>
      </w:r>
      <w:proofErr w:type="spellStart"/>
      <w:r>
        <w:rPr>
          <w:rtl/>
        </w:rPr>
        <w:t>ה“עקוב</w:t>
      </w:r>
      <w:proofErr w:type="spellEnd"/>
      <w:r>
        <w:rPr>
          <w:rtl/>
        </w:rPr>
        <w:t xml:space="preserve"> מדם” נגד ר׳ חיים ברלין, “הצדיק </w:t>
      </w:r>
      <w:proofErr w:type="spellStart"/>
      <w:r>
        <w:rPr>
          <w:rtl/>
        </w:rPr>
        <w:t>מוולוז׳ין</w:t>
      </w:r>
      <w:proofErr w:type="spellEnd"/>
      <w:r>
        <w:rPr>
          <w:rtl/>
        </w:rPr>
        <w:t>”.</w:t>
      </w:r>
    </w:p>
    <w:p w14:paraId="69B3A321" w14:textId="77777777" w:rsidR="00AB3647" w:rsidRDefault="00000000" w:rsidP="007923E9">
      <w:pPr>
        <w:spacing w:after="120" w:line="276" w:lineRule="auto"/>
        <w:ind w:firstLine="283"/>
        <w:jc w:val="both"/>
      </w:pPr>
      <w:bookmarkStart w:id="2798" w:name="pr_b_1194"/>
      <w:bookmarkEnd w:id="2798"/>
      <w:r>
        <w:rPr>
          <w:rtl/>
        </w:rPr>
        <w:t>ר׳ נחמן בולמן סיפר לי</w:t>
      </w:r>
      <w:bookmarkStart w:id="2799" w:name="_fnr1931"/>
      <w:r>
        <w:rPr>
          <w:rStyle w:val="a5"/>
        </w:rPr>
        <w:footnoteReference w:id="1935" w:customMarkFollows="0"/>
      </w:r>
      <w:bookmarkEnd w:id="2799"/>
      <w:r>
        <w:rPr>
          <w:rtl/>
        </w:rPr>
        <w:t xml:space="preserve"> ששמע ממקור מהימן כי לאחר מלחמת העולם הראשונה תכנן ר׳ משה </w:t>
      </w:r>
      <w:proofErr w:type="spellStart"/>
      <w:r>
        <w:rPr>
          <w:rtl/>
        </w:rPr>
        <w:t>סולובייצ׳יק</w:t>
      </w:r>
      <w:proofErr w:type="spellEnd"/>
      <w:r>
        <w:rPr>
          <w:rtl/>
        </w:rPr>
        <w:t xml:space="preserve"> לפתוח מחדש את הישיבה </w:t>
      </w:r>
      <w:proofErr w:type="spellStart"/>
      <w:r>
        <w:rPr>
          <w:rtl/>
        </w:rPr>
        <w:t>בוולוז׳ין</w:t>
      </w:r>
      <w:proofErr w:type="spellEnd"/>
      <w:r>
        <w:rPr>
          <w:rtl/>
        </w:rPr>
        <w:t xml:space="preserve">. ישיבה זו נפתחה מחדש שנים אחדות לאחר סגירתה הראשונה </w:t>
      </w:r>
      <w:proofErr w:type="spellStart"/>
      <w:r>
        <w:rPr>
          <w:rtl/>
        </w:rPr>
        <w:t>בתרנ״ב</w:t>
      </w:r>
      <w:proofErr w:type="spellEnd"/>
      <w:r>
        <w:rPr>
          <w:rtl/>
        </w:rPr>
        <w:t>,</w:t>
      </w:r>
      <w:bookmarkStart w:id="2800" w:name="_fnr1932"/>
      <w:r>
        <w:rPr>
          <w:rStyle w:val="a5"/>
        </w:rPr>
        <w:footnoteReference w:id="1936" w:customMarkFollows="0"/>
      </w:r>
      <w:bookmarkEnd w:id="2800"/>
      <w:r>
        <w:rPr>
          <w:rtl/>
        </w:rPr>
        <w:t xml:space="preserve"> בלא מעמדה והדרה הקודמים, אך נסגרה שוב בשל </w:t>
      </w:r>
      <w:r>
        <w:rPr>
          <w:rtl/>
        </w:rPr>
        <w:lastRenderedPageBreak/>
        <w:t xml:space="preserve">מלחמת העולם הראשונה. אחיו של ר׳ משה, ר׳ יצחק־זאב, התנגד לתוכנית מטעם כלשהו. יש אירוניה בכך שאחד מצאצאי משפחת </w:t>
      </w:r>
      <w:proofErr w:type="spellStart"/>
      <w:r>
        <w:rPr>
          <w:rtl/>
        </w:rPr>
        <w:t>סולובייצ׳יק</w:t>
      </w:r>
      <w:bookmarkStart w:id="2801" w:name="_fnr1933"/>
      <w:proofErr w:type="spellEnd"/>
      <w:r>
        <w:rPr>
          <w:rStyle w:val="a5"/>
        </w:rPr>
        <w:footnoteReference w:id="1937" w:customMarkFollows="0"/>
      </w:r>
      <w:bookmarkEnd w:id="2801"/>
      <w:r>
        <w:rPr>
          <w:rtl/>
        </w:rPr>
        <w:t xml:space="preserve"> תכנן לפתוח מחדש את הישיבה שבה נעשו גם אביו וגם סבו בלתי רצויים!</w:t>
      </w:r>
      <w:bookmarkStart w:id="2802" w:name="_fnr1934"/>
      <w:r>
        <w:rPr>
          <w:rStyle w:val="a5"/>
        </w:rPr>
        <w:footnoteReference w:id="1938" w:customMarkFollows="0"/>
      </w:r>
      <w:bookmarkEnd w:id="2802"/>
    </w:p>
    <w:p w14:paraId="2B86163C" w14:textId="77777777" w:rsidR="00AB3647" w:rsidRDefault="00000000" w:rsidP="007923E9">
      <w:pPr>
        <w:spacing w:after="120" w:line="276" w:lineRule="auto"/>
        <w:ind w:firstLine="283"/>
        <w:jc w:val="both"/>
      </w:pPr>
      <w:r>
        <w:rPr>
          <w:rtl/>
        </w:rPr>
        <w:t xml:space="preserve">השווה גם </w:t>
      </w:r>
      <w:proofErr w:type="spellStart"/>
      <w:r>
        <w:rPr>
          <w:rtl/>
        </w:rPr>
        <w:t>צינוביץ</w:t>
      </w:r>
      <w:proofErr w:type="spellEnd"/>
      <w:r>
        <w:rPr>
          <w:rtl/>
        </w:rPr>
        <w:t>, “עץ חיים”,</w:t>
      </w:r>
      <w:bookmarkStart w:id="2803" w:name="_fnr1935"/>
      <w:r>
        <w:rPr>
          <w:rStyle w:val="a5"/>
        </w:rPr>
        <w:footnoteReference w:id="1939" w:customMarkFollows="0"/>
      </w:r>
      <w:bookmarkEnd w:id="2803"/>
      <w:r>
        <w:rPr>
          <w:rtl/>
        </w:rPr>
        <w:t xml:space="preserve"> המביא פרטים נוספים על התוכנית. מסופר שם כיצד הוקם בווילנה ועד שניסה לפתוח את הישיבה מחדש </w:t>
      </w:r>
      <w:proofErr w:type="spellStart"/>
      <w:r>
        <w:rPr>
          <w:rtl/>
        </w:rPr>
        <w:t>בתרפ״א</w:t>
      </w:r>
      <w:proofErr w:type="spellEnd"/>
      <w:r>
        <w:rPr>
          <w:rtl/>
        </w:rPr>
        <w:t xml:space="preserve">, במלאות מאה שנה לפטירת מייסדה, ר׳ חיים </w:t>
      </w:r>
      <w:proofErr w:type="spellStart"/>
      <w:r>
        <w:rPr>
          <w:rtl/>
        </w:rPr>
        <w:t>מוולוז׳ין</w:t>
      </w:r>
      <w:proofErr w:type="spellEnd"/>
      <w:r>
        <w:rPr>
          <w:rtl/>
        </w:rPr>
        <w:t>. בתוכנית היו מעורבים גם “חוג מסוים” מקרב יהודי אמריקה וארגון עזרת תורה. ר׳ מאיר ברלין, דודו של ר׳ יעקב שפירא (בנו של ראש הישיבה שלפני המלחמה, ר׳ רפאל</w:t>
      </w:r>
      <w:bookmarkStart w:id="2804" w:name="_fnr1936"/>
      <w:r>
        <w:rPr>
          <w:rStyle w:val="a5"/>
        </w:rPr>
        <w:footnoteReference w:id="1940" w:customMarkFollows="0"/>
      </w:r>
      <w:bookmarkEnd w:id="2804"/>
      <w:r>
        <w:rPr>
          <w:rtl/>
        </w:rPr>
        <w:t xml:space="preserve">), היה פעיל בעזרת תורה. “אחת המטרות הייתה שר׳ משה </w:t>
      </w:r>
      <w:proofErr w:type="spellStart"/>
      <w:r>
        <w:rPr>
          <w:rtl/>
        </w:rPr>
        <w:t>סולובייצ׳יק</w:t>
      </w:r>
      <w:proofErr w:type="spellEnd"/>
      <w:r>
        <w:rPr>
          <w:rtl/>
        </w:rPr>
        <w:t xml:space="preserve"> ישמש עוזר </w:t>
      </w:r>
      <w:proofErr w:type="spellStart"/>
      <w:r>
        <w:rPr>
          <w:rtl/>
        </w:rPr>
        <w:t>לר</w:t>
      </w:r>
      <w:proofErr w:type="spellEnd"/>
      <w:r>
        <w:rPr>
          <w:rtl/>
        </w:rPr>
        <w:t xml:space="preserve">׳ יעקב... מסיבות שונות נדחתה פתיחת הישיבה מחדש. לאחר עמל ויגיעה מרובים פתח ר׳ יעקב שפירא את הישיבה מחדש </w:t>
      </w:r>
      <w:proofErr w:type="spellStart"/>
      <w:r>
        <w:rPr>
          <w:rtl/>
        </w:rPr>
        <w:t>בתרפ״ב</w:t>
      </w:r>
      <w:proofErr w:type="spellEnd"/>
      <w:r>
        <w:rPr>
          <w:rtl/>
        </w:rPr>
        <w:t xml:space="preserve"> [1922, שנה לאחר שנת המאה], ועניין מינויו של ר׳ משה לא יצא לפועל”, מספר </w:t>
      </w:r>
      <w:proofErr w:type="spellStart"/>
      <w:r>
        <w:rPr>
          <w:rtl/>
        </w:rPr>
        <w:t>צינוביץ</w:t>
      </w:r>
      <w:proofErr w:type="spellEnd"/>
      <w:r>
        <w:rPr>
          <w:rtl/>
        </w:rPr>
        <w:t>.</w:t>
      </w:r>
    </w:p>
    <w:p w14:paraId="520FCF31" w14:textId="77777777" w:rsidR="00AB3647" w:rsidRDefault="00000000" w:rsidP="007923E9">
      <w:pPr>
        <w:spacing w:after="120" w:line="276" w:lineRule="auto"/>
        <w:ind w:firstLine="283"/>
        <w:jc w:val="both"/>
      </w:pPr>
      <w:r>
        <w:rPr>
          <w:rtl/>
        </w:rPr>
        <w:t xml:space="preserve">ר׳ חיים ברלין נשא בת למשפחה עשירה בהיותו בן </w:t>
      </w:r>
      <w:proofErr w:type="spellStart"/>
      <w:r>
        <w:rPr>
          <w:rtl/>
        </w:rPr>
        <w:t>חמש־עשרה</w:t>
      </w:r>
      <w:proofErr w:type="spellEnd"/>
      <w:r>
        <w:rPr>
          <w:rtl/>
        </w:rPr>
        <w:t xml:space="preserve">, וקיבל עליו את רבנות מוסקבה רק כשירד חותנו מנכסיו, עשרים שנה אחר כך. לאחר </w:t>
      </w:r>
      <w:proofErr w:type="spellStart"/>
      <w:r>
        <w:rPr>
          <w:rtl/>
        </w:rPr>
        <w:t>תשע־עשרה</w:t>
      </w:r>
      <w:proofErr w:type="spellEnd"/>
      <w:r>
        <w:rPr>
          <w:rtl/>
        </w:rPr>
        <w:t xml:space="preserve"> שנה במוסקבה התאלמן. אז נשא אישה עשירה ממשפחת שחור ממיר, והשתקע </w:t>
      </w:r>
      <w:proofErr w:type="spellStart"/>
      <w:r>
        <w:rPr>
          <w:rtl/>
        </w:rPr>
        <w:t>בביאלה</w:t>
      </w:r>
      <w:proofErr w:type="spellEnd"/>
      <w:r>
        <w:rPr>
          <w:rtl/>
        </w:rPr>
        <w:t xml:space="preserve">, עיירה חסידית מובהקת. על כך נמתחה עליו ביקורת חריפה </w:t>
      </w:r>
      <w:proofErr w:type="spellStart"/>
      <w:r>
        <w:rPr>
          <w:rtl/>
        </w:rPr>
        <w:t>ב“המליץ</w:t>
      </w:r>
      <w:proofErr w:type="spellEnd"/>
      <w:r>
        <w:rPr>
          <w:rtl/>
        </w:rPr>
        <w:t>”,</w:t>
      </w:r>
      <w:bookmarkStart w:id="2805" w:name="_fnr1937"/>
      <w:r>
        <w:rPr>
          <w:rStyle w:val="a5"/>
        </w:rPr>
        <w:footnoteReference w:id="1941" w:customMarkFollows="0"/>
      </w:r>
      <w:bookmarkEnd w:id="2805"/>
      <w:r>
        <w:rPr>
          <w:rtl/>
        </w:rPr>
        <w:t xml:space="preserve"> בנוסח זה: “ר׳ חיים ברלין מוכן לנטוש את הקהילה של מוסקבה, שהנהיג בהצלחה רבה, כדי ללכת אחר האישה המסרבת להיות רבנית.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w:t>
      </w:r>
      <w:proofErr w:type="spellStart"/>
      <w:r>
        <w:rPr>
          <w:rtl/>
        </w:rPr>
        <w:t>שבלבו</w:t>
      </w:r>
      <w:proofErr w:type="spellEnd"/>
      <w:r>
        <w:rPr>
          <w:rtl/>
        </w:rPr>
        <w:t xml:space="preserve"> השתרשו רעיונות זרים לשיטת החסידות, עומד להפוך לחסידו של הרבי מגור ולהתפלל </w:t>
      </w:r>
      <w:proofErr w:type="spellStart"/>
      <w:r>
        <w:rPr>
          <w:rtl/>
        </w:rPr>
        <w:t>בקלויז</w:t>
      </w:r>
      <w:proofErr w:type="spellEnd"/>
      <w:r>
        <w:rPr>
          <w:rtl/>
        </w:rPr>
        <w:t xml:space="preserve"> עם חותנו, חסיד </w:t>
      </w:r>
      <w:proofErr w:type="spellStart"/>
      <w:r>
        <w:rPr>
          <w:rtl/>
        </w:rPr>
        <w:t>קוצק</w:t>
      </w:r>
      <w:proofErr w:type="spellEnd"/>
      <w:r>
        <w:rPr>
          <w:rtl/>
        </w:rPr>
        <w:t xml:space="preserve"> מובהק. הוא יחליף את כתר הרבנות </w:t>
      </w:r>
      <w:proofErr w:type="spellStart"/>
      <w:r>
        <w:rPr>
          <w:rtl/>
        </w:rPr>
        <w:t>ב‘כתר</w:t>
      </w:r>
      <w:proofErr w:type="spellEnd"/>
      <w:r>
        <w:rPr>
          <w:rtl/>
        </w:rPr>
        <w:t>’ שבנוסח הקדושה החסידי.”</w:t>
      </w:r>
    </w:p>
    <w:p w14:paraId="438C6B02" w14:textId="77777777" w:rsidR="00AB3647" w:rsidRDefault="00000000" w:rsidP="007923E9">
      <w:pPr>
        <w:spacing w:after="120" w:line="276" w:lineRule="auto"/>
        <w:ind w:firstLine="283"/>
        <w:jc w:val="both"/>
      </w:pPr>
      <w:proofErr w:type="spellStart"/>
      <w:r>
        <w:rPr>
          <w:rtl/>
        </w:rPr>
        <w:t>בתרמ״ט</w:t>
      </w:r>
      <w:proofErr w:type="spellEnd"/>
      <w:r>
        <w:rPr>
          <w:rtl/>
        </w:rPr>
        <w:t xml:space="preserve">, לאחר שאשתו החדשה נפטרה בתום חמש שנות נישואין, עבר ר׳ חיים ברלין </w:t>
      </w:r>
      <w:proofErr w:type="spellStart"/>
      <w:r>
        <w:rPr>
          <w:rtl/>
        </w:rPr>
        <w:t>לוולוז׳ין</w:t>
      </w:r>
      <w:proofErr w:type="spellEnd"/>
      <w:r>
        <w:rPr>
          <w:rtl/>
        </w:rPr>
        <w:t xml:space="preserve"> כדי לסייע לאביו הזקן בהנהגת הישיבה.</w:t>
      </w:r>
      <w:bookmarkStart w:id="2806" w:name="_fnr1938"/>
      <w:r>
        <w:rPr>
          <w:rStyle w:val="a5"/>
        </w:rPr>
        <w:footnoteReference w:id="1942" w:customMarkFollows="0"/>
      </w:r>
      <w:bookmarkEnd w:id="2806"/>
    </w:p>
    <w:p w14:paraId="7CF20E41" w14:textId="77777777" w:rsidR="00AB3647" w:rsidRDefault="00000000" w:rsidP="007923E9">
      <w:pPr>
        <w:spacing w:after="120" w:line="276" w:lineRule="auto"/>
        <w:ind w:firstLine="283"/>
        <w:jc w:val="both"/>
      </w:pPr>
      <w:r>
        <w:rPr>
          <w:rtl/>
        </w:rPr>
        <w:t xml:space="preserve">לאחר </w:t>
      </w:r>
      <w:proofErr w:type="spellStart"/>
      <w:r>
        <w:rPr>
          <w:rtl/>
        </w:rPr>
        <w:t>ש“מפתחות</w:t>
      </w:r>
      <w:proofErr w:type="spellEnd"/>
      <w:r>
        <w:rPr>
          <w:rtl/>
        </w:rPr>
        <w:t xml:space="preserve"> הישיבה הוחזרו </w:t>
      </w:r>
      <w:proofErr w:type="spellStart"/>
      <w:r>
        <w:rPr>
          <w:rtl/>
        </w:rPr>
        <w:t>לרבונו</w:t>
      </w:r>
      <w:proofErr w:type="spellEnd"/>
      <w:r>
        <w:rPr>
          <w:rtl/>
        </w:rPr>
        <w:t xml:space="preserve"> של עולם” בפטירת אביו, קיבל ר׳ חיים ברלין מיד את משרת הרבנות </w:t>
      </w:r>
      <w:proofErr w:type="spellStart"/>
      <w:r>
        <w:rPr>
          <w:rtl/>
        </w:rPr>
        <w:t>בקוברין</w:t>
      </w:r>
      <w:proofErr w:type="spellEnd"/>
      <w:r>
        <w:rPr>
          <w:rtl/>
        </w:rPr>
        <w:t>, ושהה בה מעט פחות משנתיים.</w:t>
      </w:r>
      <w:bookmarkStart w:id="2807" w:name="_fnr1939"/>
      <w:r>
        <w:rPr>
          <w:rStyle w:val="a5"/>
        </w:rPr>
        <w:footnoteReference w:id="1943" w:customMarkFollows="0"/>
      </w:r>
      <w:bookmarkEnd w:id="2807"/>
      <w:r>
        <w:rPr>
          <w:rtl/>
        </w:rPr>
        <w:t xml:space="preserve"> זמן קצר לאחר בואו </w:t>
      </w:r>
      <w:proofErr w:type="spellStart"/>
      <w:r>
        <w:rPr>
          <w:rtl/>
        </w:rPr>
        <w:t>לקוברין</w:t>
      </w:r>
      <w:proofErr w:type="spellEnd"/>
      <w:r>
        <w:rPr>
          <w:rtl/>
        </w:rPr>
        <w:t xml:space="preserve"> הציג את מועמדותו לרבנות החשובה של </w:t>
      </w:r>
      <w:proofErr w:type="spellStart"/>
      <w:r>
        <w:rPr>
          <w:rtl/>
        </w:rPr>
        <w:t>מזריטש</w:t>
      </w:r>
      <w:bookmarkStart w:id="2808" w:name="_fnr1940"/>
      <w:proofErr w:type="spellEnd"/>
      <w:r>
        <w:rPr>
          <w:rStyle w:val="a5"/>
        </w:rPr>
        <w:footnoteReference w:id="1944" w:customMarkFollows="0"/>
      </w:r>
      <w:bookmarkEnd w:id="2808"/>
      <w:bookmarkStart w:id="7017" w:name="_TranslatorNote_5383"/>
      <w:r>
        <w:rPr>
          <w:rStyle w:val="a5"/>
          <w:vertAlign w:val="superscript"/>
          <w:rtl/>
        </w:rPr>
        <w:footnoteReference w:id="1945" w:customMarkFollows="1"/>
        <w:t>*</w:t>
      </w:r>
      <w:bookmarkEnd w:id="7017"/>
      <w:r>
        <w:rPr>
          <w:rtl/>
        </w:rPr>
        <w:t xml:space="preserve"> – שבמקרה הייתה רק עשרים קילומטרים ממערב </w:t>
      </w:r>
      <w:proofErr w:type="spellStart"/>
      <w:r>
        <w:rPr>
          <w:rtl/>
        </w:rPr>
        <w:t>לביאלה</w:t>
      </w:r>
      <w:proofErr w:type="spellEnd"/>
      <w:r>
        <w:rPr>
          <w:rtl/>
        </w:rPr>
        <w:t xml:space="preserve">. הרבנות התפנתה עם פטירת ר׳ </w:t>
      </w:r>
      <w:proofErr w:type="spellStart"/>
      <w:r>
        <w:rPr>
          <w:rtl/>
        </w:rPr>
        <w:t>ישראל־איסר</w:t>
      </w:r>
      <w:proofErr w:type="spellEnd"/>
      <w:r>
        <w:rPr>
          <w:rtl/>
        </w:rPr>
        <w:t xml:space="preserve"> שפירא, ידידו הקרוב של ר׳ יוסף־דב </w:t>
      </w:r>
      <w:proofErr w:type="spellStart"/>
      <w:r>
        <w:rPr>
          <w:rtl/>
        </w:rPr>
        <w:t>סולובייצ׳יק</w:t>
      </w:r>
      <w:proofErr w:type="spellEnd"/>
      <w:r>
        <w:rPr>
          <w:rtl/>
        </w:rPr>
        <w:t>.</w:t>
      </w:r>
      <w:bookmarkStart w:id="2809" w:name="_fnr1941"/>
      <w:r>
        <w:rPr>
          <w:rStyle w:val="a5"/>
        </w:rPr>
        <w:footnoteReference w:id="1946" w:customMarkFollows="0"/>
      </w:r>
      <w:bookmarkEnd w:id="2809"/>
      <w:r>
        <w:rPr>
          <w:rtl/>
        </w:rPr>
        <w:t xml:space="preserve"> השווה “הראשון לשושלת </w:t>
      </w:r>
      <w:proofErr w:type="spellStart"/>
      <w:r>
        <w:rPr>
          <w:rtl/>
        </w:rPr>
        <w:t>בריסק</w:t>
      </w:r>
      <w:proofErr w:type="spellEnd"/>
      <w:r>
        <w:rPr>
          <w:rtl/>
        </w:rPr>
        <w:t xml:space="preserve">” על הקשר הקרוב שבין ר׳ </w:t>
      </w:r>
      <w:proofErr w:type="spellStart"/>
      <w:r>
        <w:rPr>
          <w:rtl/>
        </w:rPr>
        <w:lastRenderedPageBreak/>
        <w:t>ישראל־איסר</w:t>
      </w:r>
      <w:proofErr w:type="spellEnd"/>
      <w:r>
        <w:rPr>
          <w:rtl/>
        </w:rPr>
        <w:t xml:space="preserve"> שפירא </w:t>
      </w:r>
      <w:proofErr w:type="spellStart"/>
      <w:r>
        <w:rPr>
          <w:rtl/>
        </w:rPr>
        <w:t>לר</w:t>
      </w:r>
      <w:proofErr w:type="spellEnd"/>
      <w:r>
        <w:rPr>
          <w:rtl/>
        </w:rPr>
        <w:t xml:space="preserve">׳ יוסף־דב, ועל כך שר׳ </w:t>
      </w:r>
      <w:proofErr w:type="spellStart"/>
      <w:r>
        <w:rPr>
          <w:rtl/>
        </w:rPr>
        <w:t>ישראל־איסר</w:t>
      </w:r>
      <w:proofErr w:type="spellEnd"/>
      <w:r>
        <w:rPr>
          <w:rtl/>
        </w:rPr>
        <w:t xml:space="preserve"> שפירא ור׳ </w:t>
      </w:r>
      <w:proofErr w:type="spellStart"/>
      <w:r>
        <w:rPr>
          <w:rtl/>
        </w:rPr>
        <w:t>אליהו־חיים</w:t>
      </w:r>
      <w:proofErr w:type="spellEnd"/>
      <w:r>
        <w:rPr>
          <w:rtl/>
        </w:rPr>
        <w:t xml:space="preserve"> </w:t>
      </w:r>
      <w:proofErr w:type="spellStart"/>
      <w:r>
        <w:rPr>
          <w:rtl/>
        </w:rPr>
        <w:t>מייזל</w:t>
      </w:r>
      <w:proofErr w:type="spellEnd"/>
      <w:r>
        <w:rPr>
          <w:rtl/>
        </w:rPr>
        <w:t xml:space="preserve">, רבה של </w:t>
      </w:r>
      <w:proofErr w:type="spellStart"/>
      <w:r>
        <w:rPr>
          <w:rtl/>
        </w:rPr>
        <w:t>לודז</w:t>
      </w:r>
      <w:proofErr w:type="spellEnd"/>
      <w:r>
        <w:rPr>
          <w:rtl/>
        </w:rPr>
        <w:t xml:space="preserve">׳, סמכו את ר׳ חיים </w:t>
      </w:r>
      <w:proofErr w:type="spellStart"/>
      <w:r>
        <w:rPr>
          <w:rtl/>
        </w:rPr>
        <w:t>סולובייצ׳יק</w:t>
      </w:r>
      <w:proofErr w:type="spellEnd"/>
      <w:r>
        <w:rPr>
          <w:rtl/>
        </w:rPr>
        <w:t xml:space="preserve"> בתום השבעה על אביו, כדי שיוכל לרשת את רבנות </w:t>
      </w:r>
      <w:proofErr w:type="spellStart"/>
      <w:r>
        <w:rPr>
          <w:rtl/>
        </w:rPr>
        <w:t>בריסק</w:t>
      </w:r>
      <w:proofErr w:type="spellEnd"/>
      <w:r>
        <w:rPr>
          <w:rtl/>
        </w:rPr>
        <w:t>.</w:t>
      </w:r>
      <w:bookmarkStart w:id="2810" w:name="_fnr1942"/>
      <w:r>
        <w:rPr>
          <w:rStyle w:val="a5"/>
        </w:rPr>
        <w:footnoteReference w:id="1947" w:customMarkFollows="0"/>
      </w:r>
      <w:bookmarkEnd w:id="2810"/>
    </w:p>
    <w:p w14:paraId="6D19CE58" w14:textId="77777777" w:rsidR="00AB3647" w:rsidRDefault="00000000" w:rsidP="007923E9">
      <w:pPr>
        <w:spacing w:after="120" w:line="276" w:lineRule="auto"/>
        <w:ind w:firstLine="283"/>
        <w:jc w:val="both"/>
      </w:pPr>
      <w:proofErr w:type="spellStart"/>
      <w:r>
        <w:rPr>
          <w:rtl/>
        </w:rPr>
        <w:t>הנצי״ב</w:t>
      </w:r>
      <w:proofErr w:type="spellEnd"/>
      <w:r>
        <w:rPr>
          <w:rtl/>
        </w:rPr>
        <w:t xml:space="preserve"> נפטר בכ״ח באב תרנ״ג, ושלושה חודשים אחר כך, בד׳ בכסלו תרנ״ד, חתם ר׳ חיים ברלין “</w:t>
      </w:r>
      <w:proofErr w:type="spellStart"/>
      <w:r>
        <w:rPr>
          <w:rtl/>
        </w:rPr>
        <w:t>האב״ד</w:t>
      </w:r>
      <w:proofErr w:type="spellEnd"/>
      <w:r>
        <w:rPr>
          <w:rtl/>
        </w:rPr>
        <w:t xml:space="preserve"> </w:t>
      </w:r>
      <w:proofErr w:type="spellStart"/>
      <w:r>
        <w:rPr>
          <w:rtl/>
        </w:rPr>
        <w:t>דקאברין</w:t>
      </w:r>
      <w:proofErr w:type="spellEnd"/>
      <w:r>
        <w:rPr>
          <w:rtl/>
        </w:rPr>
        <w:t xml:space="preserve">”, והוסיף “כאורח נטה ללון פה </w:t>
      </w:r>
      <w:proofErr w:type="spellStart"/>
      <w:r>
        <w:rPr>
          <w:rtl/>
        </w:rPr>
        <w:t>ווארשא</w:t>
      </w:r>
      <w:proofErr w:type="spellEnd"/>
      <w:r>
        <w:rPr>
          <w:rtl/>
        </w:rPr>
        <w:t>”.</w:t>
      </w:r>
      <w:bookmarkStart w:id="2811" w:name="_fnr1943"/>
      <w:r>
        <w:rPr>
          <w:rStyle w:val="a5"/>
        </w:rPr>
        <w:footnoteReference w:id="1948" w:customMarkFollows="0"/>
      </w:r>
      <w:bookmarkEnd w:id="2811"/>
      <w:r>
        <w:rPr>
          <w:rtl/>
        </w:rPr>
        <w:t xml:space="preserve"> בשלושת החודשים שחלפו מפטירת אביו הספיק לא רק להתמנות לרבה של </w:t>
      </w:r>
      <w:proofErr w:type="spellStart"/>
      <w:r>
        <w:rPr>
          <w:rtl/>
        </w:rPr>
        <w:t>קוברין</w:t>
      </w:r>
      <w:proofErr w:type="spellEnd"/>
      <w:r>
        <w:rPr>
          <w:rtl/>
        </w:rPr>
        <w:t xml:space="preserve">, אלא גם להיעדר ממשרתו החדשה לביקור שהיה כנראה ממושך בוורשה. אין זה רחוק לשער שבא לוורשה בקשר למועמדותו </w:t>
      </w:r>
      <w:proofErr w:type="spellStart"/>
      <w:r>
        <w:rPr>
          <w:rtl/>
        </w:rPr>
        <w:t>למזריטש</w:t>
      </w:r>
      <w:proofErr w:type="spellEnd"/>
      <w:r>
        <w:rPr>
          <w:rtl/>
        </w:rPr>
        <w:t>.</w:t>
      </w:r>
    </w:p>
    <w:p w14:paraId="120DF431" w14:textId="77777777" w:rsidR="00AB3647" w:rsidRDefault="00000000" w:rsidP="007923E9">
      <w:pPr>
        <w:spacing w:after="120" w:line="276" w:lineRule="auto"/>
        <w:ind w:firstLine="283"/>
        <w:jc w:val="both"/>
      </w:pPr>
      <w:r>
        <w:rPr>
          <w:rtl/>
        </w:rPr>
        <w:t xml:space="preserve">אבל כשכבר כמעט נבחר ר׳ חיים ברלין לרבנות </w:t>
      </w:r>
      <w:proofErr w:type="spellStart"/>
      <w:r>
        <w:rPr>
          <w:rtl/>
        </w:rPr>
        <w:t>מזריטש</w:t>
      </w:r>
      <w:proofErr w:type="spellEnd"/>
      <w:r>
        <w:rPr>
          <w:rtl/>
        </w:rPr>
        <w:t xml:space="preserve">, הביאו לשם בחיפזון את בעל אחייניתו, ר׳ חיים </w:t>
      </w:r>
      <w:proofErr w:type="spellStart"/>
      <w:r>
        <w:rPr>
          <w:rtl/>
        </w:rPr>
        <w:t>סולובייצ׳יק</w:t>
      </w:r>
      <w:proofErr w:type="spellEnd"/>
      <w:r>
        <w:rPr>
          <w:rtl/>
        </w:rPr>
        <w:t xml:space="preserve">. סיעת המיעוט, שתמכה במועמדותו של ר׳ </w:t>
      </w:r>
      <w:proofErr w:type="spellStart"/>
      <w:r>
        <w:rPr>
          <w:rtl/>
        </w:rPr>
        <w:t>נחמן־דוב</w:t>
      </w:r>
      <w:proofErr w:type="spellEnd"/>
      <w:r>
        <w:rPr>
          <w:rtl/>
        </w:rPr>
        <w:t xml:space="preserve">, בנו של ר׳ </w:t>
      </w:r>
      <w:proofErr w:type="spellStart"/>
      <w:r>
        <w:rPr>
          <w:rtl/>
        </w:rPr>
        <w:t>ישראל־איסר</w:t>
      </w:r>
      <w:proofErr w:type="spellEnd"/>
      <w:r>
        <w:rPr>
          <w:rtl/>
        </w:rPr>
        <w:t xml:space="preserve"> שפירא, הזעיקה את ר׳ חיים </w:t>
      </w:r>
      <w:proofErr w:type="spellStart"/>
      <w:r>
        <w:rPr>
          <w:rtl/>
        </w:rPr>
        <w:t>סולובייצ׳יק</w:t>
      </w:r>
      <w:proofErr w:type="spellEnd"/>
      <w:r>
        <w:rPr>
          <w:rtl/>
        </w:rPr>
        <w:t xml:space="preserve"> לעיר זו, שישים קילומטרים ממערב </w:t>
      </w:r>
      <w:proofErr w:type="spellStart"/>
      <w:r>
        <w:rPr>
          <w:rtl/>
        </w:rPr>
        <w:t>לבריסק</w:t>
      </w:r>
      <w:proofErr w:type="spellEnd"/>
      <w:r>
        <w:rPr>
          <w:rtl/>
        </w:rPr>
        <w:t xml:space="preserve">, כדי לחסום את דרכו של ר׳ חיים ברלין. שבועות אחדים קודם לכן פעל ר׳ חיים </w:t>
      </w:r>
      <w:proofErr w:type="spellStart"/>
      <w:r>
        <w:rPr>
          <w:rtl/>
        </w:rPr>
        <w:t>סולובייצ׳יק</w:t>
      </w:r>
      <w:proofErr w:type="spellEnd"/>
      <w:r>
        <w:rPr>
          <w:rtl/>
        </w:rPr>
        <w:t xml:space="preserve"> בגלוי </w:t>
      </w:r>
      <w:proofErr w:type="spellStart"/>
      <w:r>
        <w:rPr>
          <w:rtl/>
        </w:rPr>
        <w:t>במזריטש</w:t>
      </w:r>
      <w:proofErr w:type="spellEnd"/>
      <w:r>
        <w:rPr>
          <w:rtl/>
        </w:rPr>
        <w:t xml:space="preserve">, בהספד שנשא על ר׳ </w:t>
      </w:r>
      <w:proofErr w:type="spellStart"/>
      <w:r>
        <w:rPr>
          <w:rtl/>
        </w:rPr>
        <w:t>ישראל־איסר</w:t>
      </w:r>
      <w:proofErr w:type="spellEnd"/>
      <w:r>
        <w:rPr>
          <w:rtl/>
        </w:rPr>
        <w:t xml:space="preserve">, למען ירושת המשרה בידי בן הרב הנפטר. כעת שב ר׳ חיים </w:t>
      </w:r>
      <w:proofErr w:type="spellStart"/>
      <w:r>
        <w:rPr>
          <w:rtl/>
        </w:rPr>
        <w:t>סולובייצ׳יק</w:t>
      </w:r>
      <w:proofErr w:type="spellEnd"/>
      <w:r>
        <w:rPr>
          <w:rtl/>
        </w:rPr>
        <w:t xml:space="preserve"> כדי להושיב במקום ר׳ חיים ברלין את ר׳ </w:t>
      </w:r>
      <w:proofErr w:type="spellStart"/>
      <w:r>
        <w:rPr>
          <w:rtl/>
        </w:rPr>
        <w:t>נחמן־דוב</w:t>
      </w:r>
      <w:proofErr w:type="spellEnd"/>
      <w:r>
        <w:rPr>
          <w:rtl/>
        </w:rPr>
        <w:t xml:space="preserve"> שפירא הבן, שהיה צעיר הרבה יותר ומוכר הרבה פחות.</w:t>
      </w:r>
    </w:p>
    <w:p w14:paraId="3C5DB6C5" w14:textId="77777777" w:rsidR="00AB3647" w:rsidRDefault="00000000" w:rsidP="007923E9">
      <w:pPr>
        <w:spacing w:after="120" w:line="276" w:lineRule="auto"/>
        <w:ind w:firstLine="283"/>
        <w:jc w:val="both"/>
      </w:pPr>
      <w:r>
        <w:rPr>
          <w:rtl/>
        </w:rPr>
        <w:t xml:space="preserve">השווה “ספר </w:t>
      </w:r>
      <w:proofErr w:type="spellStart"/>
      <w:r>
        <w:rPr>
          <w:rtl/>
        </w:rPr>
        <w:t>מעזריטש</w:t>
      </w:r>
      <w:proofErr w:type="spellEnd"/>
      <w:r>
        <w:rPr>
          <w:rtl/>
        </w:rPr>
        <w:t>”,</w:t>
      </w:r>
      <w:bookmarkStart w:id="2812" w:name="_fnr1944"/>
      <w:r>
        <w:rPr>
          <w:rStyle w:val="a5"/>
        </w:rPr>
        <w:footnoteReference w:id="1949" w:customMarkFollows="0"/>
      </w:r>
      <w:bookmarkEnd w:id="2812"/>
      <w:r>
        <w:rPr>
          <w:rtl/>
        </w:rPr>
        <w:t xml:space="preserve"> שאינו נוקב בשם המועמד שהפסיד מפני “כבודו וכבוד משפחתו הנודעת”, אך נותן די רמזים כדי שלא יישאר ספק שהמפסיד היה ר׳ חיים ברלין. הספר אף מאשים אותו על עצם הצגת מועמדותו למשרה שהייתה שייכת בדין ליורש. אפשר שחווייתו האישית של ר׳ חיים ברלין, שלא הצליח להיכנס למשרת אביו </w:t>
      </w:r>
      <w:proofErr w:type="spellStart"/>
      <w:r>
        <w:rPr>
          <w:rtl/>
        </w:rPr>
        <w:t>בוולוז׳ין</w:t>
      </w:r>
      <w:proofErr w:type="spellEnd"/>
      <w:r>
        <w:rPr>
          <w:rtl/>
        </w:rPr>
        <w:t>, הביאה אותו למסקנה שסיכויי יורשים לרשת מנהיגי תורה אינם טובים משל זרים.</w:t>
      </w:r>
    </w:p>
    <w:p w14:paraId="72397B88" w14:textId="77777777" w:rsidR="00AB3647" w:rsidRDefault="00000000" w:rsidP="007923E9">
      <w:pPr>
        <w:spacing w:after="120" w:line="276" w:lineRule="auto"/>
        <w:ind w:firstLine="283"/>
        <w:jc w:val="both"/>
      </w:pPr>
      <w:r>
        <w:rPr>
          <w:rtl/>
        </w:rPr>
        <w:t>מזלו הרע של ר׳ חיים ברלין הוסיף לרדוף אותו: כשבעה חודשים לאחר בואו</w:t>
      </w:r>
      <w:bookmarkStart w:id="2813" w:name="_fnr1945"/>
      <w:bookmarkEnd w:id="2813"/>
      <w:r>
        <w:rPr>
          <w:rStyle w:val="a5"/>
        </w:rPr>
        <w:t/>
      </w:r>
      <w:bookmarkStart w:id="7018" w:name="_TranslatorNote_1944"/>
      <w:r>
        <w:rPr>
          <w:rStyle w:val="a5"/>
          <w:vertAlign w:val="superscript"/>
          <w:rtl/>
        </w:rPr>
        <w:footnoteReference w:id="1950" w:customMarkFollows="1"/>
        <w:t>*</w:t>
      </w:r>
      <w:bookmarkEnd w:id="7018"/>
      <w:r>
        <w:rPr>
          <w:rtl/>
        </w:rPr>
        <w:t xml:space="preserve"> החריבה שרפה חלקים נרחבים </w:t>
      </w:r>
      <w:proofErr w:type="spellStart"/>
      <w:r>
        <w:rPr>
          <w:rtl/>
        </w:rPr>
        <w:t>מקוברין</w:t>
      </w:r>
      <w:proofErr w:type="spellEnd"/>
      <w:r>
        <w:rPr>
          <w:rtl/>
        </w:rPr>
        <w:t xml:space="preserve">, והטילה עליו את המשימה הכבדה לפנות לעולם כולו בבקשה לכספים לשיקום עירו. באורח אירוני, הוא ור׳ חיים </w:t>
      </w:r>
      <w:proofErr w:type="spellStart"/>
      <w:r>
        <w:rPr>
          <w:rtl/>
        </w:rPr>
        <w:t>סולובייצ׳יק</w:t>
      </w:r>
      <w:proofErr w:type="spellEnd"/>
      <w:r>
        <w:rPr>
          <w:rtl/>
        </w:rPr>
        <w:t xml:space="preserve"> התחרו כעת זה בזה. ר׳ חיים </w:t>
      </w:r>
      <w:proofErr w:type="spellStart"/>
      <w:r>
        <w:rPr>
          <w:rtl/>
        </w:rPr>
        <w:t>סולובייצ׳יק</w:t>
      </w:r>
      <w:proofErr w:type="spellEnd"/>
      <w:r>
        <w:rPr>
          <w:rtl/>
        </w:rPr>
        <w:t xml:space="preserve"> היה רבה של </w:t>
      </w:r>
      <w:proofErr w:type="spellStart"/>
      <w:r>
        <w:rPr>
          <w:rtl/>
        </w:rPr>
        <w:t>בריסק</w:t>
      </w:r>
      <w:proofErr w:type="spellEnd"/>
      <w:r>
        <w:rPr>
          <w:rtl/>
        </w:rPr>
        <w:t xml:space="preserve">, הגדולה והנודעת הרבה יותר, שסבלה גם היא משרפה גדולה </w:t>
      </w:r>
      <w:r>
        <w:rPr>
          <w:b/>
          <w:bCs/>
          <w:rtl/>
        </w:rPr>
        <w:t xml:space="preserve">בדיוק יום אחד לפני </w:t>
      </w:r>
      <w:proofErr w:type="spellStart"/>
      <w:r>
        <w:rPr>
          <w:b/>
          <w:bCs/>
          <w:rtl/>
        </w:rPr>
        <w:t>קוברין</w:t>
      </w:r>
      <w:proofErr w:type="spellEnd"/>
      <w:r>
        <w:rPr>
          <w:rtl/>
        </w:rPr>
        <w:t xml:space="preserve">; ציוד כיבוי השרפות של </w:t>
      </w:r>
      <w:proofErr w:type="spellStart"/>
      <w:r>
        <w:rPr>
          <w:rtl/>
        </w:rPr>
        <w:t>קוברין</w:t>
      </w:r>
      <w:proofErr w:type="spellEnd"/>
      <w:r>
        <w:rPr>
          <w:rtl/>
        </w:rPr>
        <w:t xml:space="preserve"> יצא לעזרת </w:t>
      </w:r>
      <w:proofErr w:type="spellStart"/>
      <w:r>
        <w:rPr>
          <w:rtl/>
        </w:rPr>
        <w:t>בריסק</w:t>
      </w:r>
      <w:proofErr w:type="spellEnd"/>
      <w:r>
        <w:rPr>
          <w:rtl/>
        </w:rPr>
        <w:t xml:space="preserve">, ועוד היה שם כשנזקקו לו </w:t>
      </w:r>
      <w:proofErr w:type="spellStart"/>
      <w:r>
        <w:rPr>
          <w:rtl/>
        </w:rPr>
        <w:t>בקוברין</w:t>
      </w:r>
      <w:proofErr w:type="spellEnd"/>
      <w:r>
        <w:rPr>
          <w:rtl/>
        </w:rPr>
        <w:t xml:space="preserve"> עצמה. הפעם לא הייתה התחרות, כבשנתיים וחצי קודם לכן, על מי יהיה ראש הישיבה, אלא על מי ישיג חלק גדול יותר מן הכספים המוגבלים שעמדו לרשות שיקומן של שתי הערים.</w:t>
      </w:r>
    </w:p>
    <w:p w14:paraId="2244F3B0" w14:textId="77777777" w:rsidR="00AB3647" w:rsidRDefault="00000000" w:rsidP="007923E9">
      <w:pPr>
        <w:spacing w:after="120" w:line="276" w:lineRule="auto"/>
        <w:ind w:firstLine="283"/>
        <w:jc w:val="both"/>
      </w:pPr>
      <w:r>
        <w:rPr>
          <w:rtl/>
        </w:rPr>
        <w:lastRenderedPageBreak/>
        <w:t>ייתכן בהחלט שלשתי השרפות הייתה אותה סיבה – מציתים אנטישמיים מאורגנים.</w:t>
      </w:r>
      <w:bookmarkStart w:id="2814" w:name="_fnr1946"/>
      <w:r>
        <w:rPr>
          <w:rStyle w:val="a5"/>
        </w:rPr>
        <w:footnoteReference w:id="1951" w:customMarkFollows="0"/>
      </w:r>
      <w:bookmarkEnd w:id="2814"/>
      <w:r>
        <w:rPr>
          <w:rtl/>
        </w:rPr>
        <w:t xml:space="preserve"> “המליץ”</w:t>
      </w:r>
      <w:bookmarkStart w:id="2815" w:name="_fnr1947"/>
      <w:r>
        <w:rPr>
          <w:rStyle w:val="a5"/>
        </w:rPr>
        <w:footnoteReference w:id="1952" w:customMarkFollows="0"/>
      </w:r>
      <w:bookmarkEnd w:id="2815"/>
      <w:r>
        <w:rPr>
          <w:rtl/>
        </w:rPr>
        <w:t xml:space="preserve"> מספר על </w:t>
      </w:r>
      <w:proofErr w:type="spellStart"/>
      <w:r>
        <w:rPr>
          <w:rtl/>
        </w:rPr>
        <w:t>איישישוק</w:t>
      </w:r>
      <w:proofErr w:type="spellEnd"/>
      <w:r>
        <w:rPr>
          <w:rtl/>
        </w:rPr>
        <w:t xml:space="preserve">, העיירה המפורסמת בת כ־3,000 היהודים, שהתפארה בכך שהיא מפרנסת בכוחות עצמה את מאות הפרושים שבאו מעשרות עיירות ללמוד בה – היא לא שלחה משולחים לערים אחרות כדי להקל את עולה! – </w:t>
      </w:r>
      <w:proofErr w:type="spellStart"/>
      <w:r>
        <w:rPr>
          <w:rtl/>
        </w:rPr>
        <w:t>ש“לא</w:t>
      </w:r>
      <w:proofErr w:type="spellEnd"/>
      <w:r>
        <w:rPr>
          <w:rtl/>
        </w:rPr>
        <w:t xml:space="preserve"> הצליחה אף בשרפה; נשרפה בדיוק כשנשרפו </w:t>
      </w:r>
      <w:proofErr w:type="spellStart"/>
      <w:r>
        <w:rPr>
          <w:rtl/>
        </w:rPr>
        <w:t>בריסק</w:t>
      </w:r>
      <w:proofErr w:type="spellEnd"/>
      <w:r>
        <w:rPr>
          <w:rtl/>
        </w:rPr>
        <w:t xml:space="preserve"> </w:t>
      </w:r>
      <w:proofErr w:type="spellStart"/>
      <w:r>
        <w:rPr>
          <w:rtl/>
        </w:rPr>
        <w:t>וקוברין</w:t>
      </w:r>
      <w:proofErr w:type="spellEnd"/>
      <w:r>
        <w:rPr>
          <w:rtl/>
        </w:rPr>
        <w:t xml:space="preserve"> ואחרות”. </w:t>
      </w:r>
      <w:proofErr w:type="spellStart"/>
      <w:r>
        <w:rPr>
          <w:rtl/>
        </w:rPr>
        <w:t>באיישישוק</w:t>
      </w:r>
      <w:proofErr w:type="spellEnd"/>
      <w:r>
        <w:rPr>
          <w:rtl/>
        </w:rPr>
        <w:t xml:space="preserve"> הייתה מסורת שר׳ משה </w:t>
      </w:r>
      <w:proofErr w:type="spellStart"/>
      <w:r>
        <w:rPr>
          <w:rtl/>
        </w:rPr>
        <w:t>הורוויץ</w:t>
      </w:r>
      <w:proofErr w:type="spellEnd"/>
      <w:r>
        <w:rPr>
          <w:rtl/>
        </w:rPr>
        <w:t xml:space="preserve">, ששימש שם </w:t>
      </w:r>
      <w:proofErr w:type="spellStart"/>
      <w:r>
        <w:rPr>
          <w:rtl/>
        </w:rPr>
        <w:t>מ״ץ</w:t>
      </w:r>
      <w:proofErr w:type="spellEnd"/>
      <w:r>
        <w:rPr>
          <w:rtl/>
        </w:rPr>
        <w:t xml:space="preserve"> ולמשך זמן מה היה מלמד בניו של הגאון מווילנה, ייסד את קיבוץ הפרושים מאה וחמישים שנה קודם לכן.</w:t>
      </w:r>
      <w:bookmarkStart w:id="2816" w:name="_fnr1948"/>
      <w:r>
        <w:rPr>
          <w:rStyle w:val="a5"/>
        </w:rPr>
        <w:footnoteReference w:id="1953" w:customMarkFollows="0"/>
      </w:r>
      <w:bookmarkEnd w:id="2816"/>
    </w:p>
    <w:p w14:paraId="4A457457" w14:textId="77777777" w:rsidR="00AB3647" w:rsidRDefault="00000000" w:rsidP="007923E9">
      <w:pPr>
        <w:spacing w:after="120" w:line="276" w:lineRule="auto"/>
        <w:ind w:firstLine="283"/>
        <w:jc w:val="both"/>
      </w:pPr>
      <w:r>
        <w:rPr>
          <w:rtl/>
        </w:rPr>
        <w:t xml:space="preserve">לאחר מעט פחות משנתיים </w:t>
      </w:r>
      <w:proofErr w:type="spellStart"/>
      <w:r>
        <w:rPr>
          <w:rtl/>
        </w:rPr>
        <w:t>בקוברין</w:t>
      </w:r>
      <w:proofErr w:type="spellEnd"/>
      <w:r>
        <w:rPr>
          <w:rtl/>
        </w:rPr>
        <w:t xml:space="preserve"> קיבל ר׳ חיים ברלין את משרת הרבנות </w:t>
      </w:r>
      <w:proofErr w:type="spellStart"/>
      <w:r>
        <w:rPr>
          <w:rtl/>
        </w:rPr>
        <w:t>ביליזבטגרד</w:t>
      </w:r>
      <w:proofErr w:type="spellEnd"/>
      <w:r>
        <w:rPr>
          <w:rtl/>
        </w:rPr>
        <w:t xml:space="preserve"> שבמזרחה המרוחק של אוקראינה.</w:t>
      </w:r>
      <w:bookmarkStart w:id="2817" w:name="_fnr1949"/>
      <w:r>
        <w:rPr>
          <w:rStyle w:val="a5"/>
        </w:rPr>
        <w:footnoteReference w:id="1954" w:customMarkFollows="0"/>
      </w:r>
      <w:bookmarkEnd w:id="2817"/>
      <w:r>
        <w:rPr>
          <w:rtl/>
        </w:rPr>
        <w:t xml:space="preserve"> מעניין </w:t>
      </w:r>
      <w:proofErr w:type="spellStart"/>
      <w:r>
        <w:rPr>
          <w:rtl/>
        </w:rPr>
        <w:t>שידעאל</w:t>
      </w:r>
      <w:proofErr w:type="spellEnd"/>
      <w:r>
        <w:rPr>
          <w:rtl/>
        </w:rPr>
        <w:t xml:space="preserve"> מלצר, “בדרך עץ החיים”</w:t>
      </w:r>
      <w:bookmarkStart w:id="2818" w:name="_fnr1950"/>
      <w:r>
        <w:rPr>
          <w:rStyle w:val="a5"/>
        </w:rPr>
        <w:footnoteReference w:id="1955" w:customMarkFollows="0"/>
      </w:r>
      <w:bookmarkEnd w:id="2818"/>
      <w:r>
        <w:rPr>
          <w:rtl/>
        </w:rPr>
        <w:t xml:space="preserve">, מספר כי ר׳ חיים ברלין דחה לטובת </w:t>
      </w:r>
      <w:proofErr w:type="spellStart"/>
      <w:r>
        <w:rPr>
          <w:rtl/>
        </w:rPr>
        <w:t>יליזבטגרד</w:t>
      </w:r>
      <w:proofErr w:type="spellEnd"/>
      <w:r>
        <w:rPr>
          <w:rtl/>
        </w:rPr>
        <w:t xml:space="preserve"> שתי משרות רבנות מקובלות: </w:t>
      </w:r>
      <w:proofErr w:type="spellStart"/>
      <w:r>
        <w:rPr>
          <w:rtl/>
        </w:rPr>
        <w:t>פוניבז</w:t>
      </w:r>
      <w:proofErr w:type="spellEnd"/>
      <w:r>
        <w:rPr>
          <w:rtl/>
        </w:rPr>
        <w:t xml:space="preserve">׳ </w:t>
      </w:r>
      <w:proofErr w:type="spellStart"/>
      <w:r>
        <w:rPr>
          <w:rtl/>
        </w:rPr>
        <w:t>ושדליץ</w:t>
      </w:r>
      <w:proofErr w:type="spellEnd"/>
      <w:r>
        <w:rPr>
          <w:rtl/>
        </w:rPr>
        <w:t>.</w:t>
      </w:r>
    </w:p>
    <w:p w14:paraId="658CF96E" w14:textId="77777777" w:rsidR="00AB3647" w:rsidRDefault="00000000" w:rsidP="007923E9">
      <w:pPr>
        <w:spacing w:after="120" w:line="276" w:lineRule="auto"/>
        <w:ind w:firstLine="283"/>
        <w:jc w:val="both"/>
      </w:pPr>
      <w:r>
        <w:rPr>
          <w:rtl/>
        </w:rPr>
        <w:t xml:space="preserve">“ספר </w:t>
      </w:r>
      <w:proofErr w:type="spellStart"/>
      <w:r>
        <w:rPr>
          <w:rtl/>
        </w:rPr>
        <w:t>קוברין</w:t>
      </w:r>
      <w:proofErr w:type="spellEnd"/>
      <w:r>
        <w:rPr>
          <w:rtl/>
        </w:rPr>
        <w:t>”</w:t>
      </w:r>
      <w:bookmarkStart w:id="2819" w:name="_fnr1951"/>
      <w:r>
        <w:rPr>
          <w:rStyle w:val="a5"/>
        </w:rPr>
        <w:footnoteReference w:id="1956" w:customMarkFollows="0"/>
      </w:r>
      <w:bookmarkEnd w:id="2819"/>
      <w:r>
        <w:rPr>
          <w:rtl/>
        </w:rPr>
        <w:t xml:space="preserve"> אומר: “[מעבר זה] עורר תשומת לב רבה בחוגי הרבנים. נימוקו של ר׳ חיים ברלין היה שאם יועיל לקהילה [היהודית] </w:t>
      </w:r>
      <w:proofErr w:type="spellStart"/>
      <w:r>
        <w:rPr>
          <w:rtl/>
        </w:rPr>
        <w:t>ביליזבטגרד</w:t>
      </w:r>
      <w:proofErr w:type="spellEnd"/>
      <w:r>
        <w:rPr>
          <w:rtl/>
        </w:rPr>
        <w:t xml:space="preserve"> אפילו בסגירתן של חנויות אחדות בשבת, בעוד </w:t>
      </w:r>
      <w:proofErr w:type="spellStart"/>
      <w:r>
        <w:rPr>
          <w:rtl/>
        </w:rPr>
        <w:t>שבקוברין</w:t>
      </w:r>
      <w:proofErr w:type="spellEnd"/>
      <w:r>
        <w:rPr>
          <w:rtl/>
        </w:rPr>
        <w:t xml:space="preserve"> מקפידים ממילא על שמירת שבת וקיום מצוות התורה, כדאי הדבר. [אך כאשר] ביקר שם ר׳ יצחק </w:t>
      </w:r>
      <w:proofErr w:type="spellStart"/>
      <w:r>
        <w:rPr>
          <w:rtl/>
        </w:rPr>
        <w:t>ניסנבוים</w:t>
      </w:r>
      <w:proofErr w:type="spellEnd"/>
      <w:r>
        <w:rPr>
          <w:rtl/>
        </w:rPr>
        <w:t xml:space="preserve"> </w:t>
      </w:r>
      <w:proofErr w:type="spellStart"/>
      <w:r>
        <w:rPr>
          <w:rtl/>
        </w:rPr>
        <w:t>בתר״ס</w:t>
      </w:r>
      <w:proofErr w:type="spellEnd"/>
      <w:r>
        <w:rPr>
          <w:rtl/>
        </w:rPr>
        <w:t xml:space="preserve">, כתב </w:t>
      </w:r>
      <w:proofErr w:type="spellStart"/>
      <w:r>
        <w:rPr>
          <w:rtl/>
        </w:rPr>
        <w:t>ב‘המליץ</w:t>
      </w:r>
      <w:proofErr w:type="spellEnd"/>
      <w:r>
        <w:rPr>
          <w:rtl/>
        </w:rPr>
        <w:t xml:space="preserve">’ [בשם העט ‘יהודי’]: ‘בבואי </w:t>
      </w:r>
      <w:proofErr w:type="spellStart"/>
      <w:r>
        <w:rPr>
          <w:rtl/>
        </w:rPr>
        <w:t>ליליזבטגרד</w:t>
      </w:r>
      <w:proofErr w:type="spellEnd"/>
      <w:r>
        <w:rPr>
          <w:rtl/>
        </w:rPr>
        <w:t xml:space="preserve"> שמתי פעמיי תחילה לבית הרב והגאון, ומצאתיו יושב בחדר ספריו המרובים – הייתה לו ספרייה עצומה – ועוסק בתורה. רב זה עזב את ארץ ליטא ולומדיה, ואת </w:t>
      </w:r>
      <w:proofErr w:type="spellStart"/>
      <w:r>
        <w:rPr>
          <w:rtl/>
        </w:rPr>
        <w:t>קוברין</w:t>
      </w:r>
      <w:proofErr w:type="spellEnd"/>
      <w:r>
        <w:rPr>
          <w:rtl/>
        </w:rPr>
        <w:t xml:space="preserve"> </w:t>
      </w:r>
      <w:proofErr w:type="spellStart"/>
      <w:r>
        <w:rPr>
          <w:rtl/>
        </w:rPr>
        <w:t>ויראיה</w:t>
      </w:r>
      <w:proofErr w:type="spellEnd"/>
      <w:r>
        <w:rPr>
          <w:rtl/>
        </w:rPr>
        <w:t xml:space="preserve">, ובחר לשבת בארץ הנגב של רוסיה, בעיר המפורסמת במיעוט הדת ושמירת המצוות שבה, כדי להשפיע ברוחו על תושביה היהודים, שמספרם מגיע ליותר מ־20,000... כוונות הרב היו בוודאי טובות... אך כשראה שאין לו עזר בעבודת הקודש, והשפעתו על בני העיר אינה ניכרת לעין אדם, התגנב אל לבו רגש הדומה לחרטה; נפשו מתגעגעת </w:t>
      </w:r>
      <w:proofErr w:type="spellStart"/>
      <w:r>
        <w:rPr>
          <w:rtl/>
        </w:rPr>
        <w:t>ל“ליטא</w:t>
      </w:r>
      <w:proofErr w:type="spellEnd"/>
      <w:r>
        <w:rPr>
          <w:rtl/>
        </w:rPr>
        <w:t xml:space="preserve"> ואנשיה”, והוא שופך געגועים אלו אל חיק ספרי הקודש המרובים שלו. אולם ר׳ חיים אינו חוזר עוד לליטא – הייתה לו הזדמנות לשוב אליה ולקבל את רבנות </w:t>
      </w:r>
      <w:proofErr w:type="spellStart"/>
      <w:r>
        <w:rPr>
          <w:rtl/>
        </w:rPr>
        <w:t>וולקוביסק</w:t>
      </w:r>
      <w:proofErr w:type="spellEnd"/>
      <w:r>
        <w:rPr>
          <w:rtl/>
        </w:rPr>
        <w:t>, שהפצירה בו לקבלה – והוא מעדיף לעלות לארץ ישראל ולהשתקע בירושלים.’”</w:t>
      </w:r>
    </w:p>
    <w:p w14:paraId="6C49EA44" w14:textId="77777777" w:rsidR="00AB3647" w:rsidRDefault="00000000" w:rsidP="007923E9">
      <w:pPr>
        <w:spacing w:after="120" w:line="276" w:lineRule="auto"/>
        <w:ind w:firstLine="283"/>
        <w:jc w:val="both"/>
      </w:pPr>
      <w:r>
        <w:rPr>
          <w:rtl/>
        </w:rPr>
        <w:t xml:space="preserve">רבנות </w:t>
      </w:r>
      <w:proofErr w:type="spellStart"/>
      <w:r>
        <w:rPr>
          <w:rtl/>
        </w:rPr>
        <w:t>וולקוביסק</w:t>
      </w:r>
      <w:proofErr w:type="spellEnd"/>
      <w:r>
        <w:rPr>
          <w:rtl/>
        </w:rPr>
        <w:t xml:space="preserve"> התפנתה </w:t>
      </w:r>
      <w:proofErr w:type="spellStart"/>
      <w:r>
        <w:rPr>
          <w:rtl/>
        </w:rPr>
        <w:t>בתרנ״ו</w:t>
      </w:r>
      <w:proofErr w:type="spellEnd"/>
      <w:r>
        <w:rPr>
          <w:rtl/>
        </w:rPr>
        <w:t xml:space="preserve">, כשנפטר ר׳ יהונתן </w:t>
      </w:r>
      <w:proofErr w:type="spellStart"/>
      <w:r>
        <w:rPr>
          <w:rtl/>
        </w:rPr>
        <w:t>אליאסברג</w:t>
      </w:r>
      <w:proofErr w:type="spellEnd"/>
      <w:r>
        <w:rPr>
          <w:rtl/>
        </w:rPr>
        <w:t xml:space="preserve"> בגיל צעיר</w:t>
      </w:r>
      <w:bookmarkStart w:id="2820" w:name="_fnr1952"/>
      <w:bookmarkEnd w:id="2820"/>
      <w:r>
        <w:rPr>
          <w:rStyle w:val="a5"/>
        </w:rPr>
        <w:t/>
      </w:r>
      <w:bookmarkStart w:id="7019" w:name="_TranslatorNote_5384"/>
      <w:r>
        <w:rPr>
          <w:rStyle w:val="a5"/>
          <w:vertAlign w:val="superscript"/>
          <w:rtl/>
        </w:rPr>
        <w:footnoteReference w:id="1957" w:customMarkFollows="1"/>
        <w:t>*</w:t>
      </w:r>
      <w:bookmarkEnd w:id="7019"/>
      <w:r>
        <w:rPr>
          <w:rtl/>
        </w:rPr>
        <w:t xml:space="preserve">. המשרה נשארה פנויה עד תרס״ג, שבה נתמנה ר׳ </w:t>
      </w:r>
      <w:proofErr w:type="spellStart"/>
      <w:r>
        <w:rPr>
          <w:rtl/>
        </w:rPr>
        <w:t>אבא־יעקב</w:t>
      </w:r>
      <w:proofErr w:type="spellEnd"/>
      <w:r>
        <w:rPr>
          <w:rtl/>
        </w:rPr>
        <w:t xml:space="preserve"> בורוכוב, שכתב נגד המוסר.</w:t>
      </w:r>
      <w:bookmarkStart w:id="2821" w:name="_fnr1953"/>
      <w:r>
        <w:rPr>
          <w:rStyle w:val="a5"/>
        </w:rPr>
        <w:footnoteReference w:id="1958" w:customMarkFollows="0"/>
      </w:r>
      <w:bookmarkEnd w:id="2821"/>
    </w:p>
    <w:p w14:paraId="6AAD35D3" w14:textId="77777777" w:rsidR="00AB3647" w:rsidRDefault="00000000" w:rsidP="007923E9">
      <w:pPr>
        <w:spacing w:after="120" w:line="276" w:lineRule="auto"/>
        <w:ind w:firstLine="283"/>
        <w:jc w:val="both"/>
      </w:pPr>
      <w:r>
        <w:rPr>
          <w:rtl/>
        </w:rPr>
        <w:t xml:space="preserve">ייתכן שר׳ חיים ברלין דחה את </w:t>
      </w:r>
      <w:proofErr w:type="spellStart"/>
      <w:r>
        <w:rPr>
          <w:rtl/>
        </w:rPr>
        <w:t>וולקוביסק</w:t>
      </w:r>
      <w:proofErr w:type="spellEnd"/>
      <w:r>
        <w:rPr>
          <w:rtl/>
        </w:rPr>
        <w:t xml:space="preserve"> פשוט בגלל גילו המתקדם. כבר היה אז קרוב לשבעים, כמעט בגיל שבו החליט אביו על עלייתו לארץ ישראל, שלא יצאה לפועל.</w:t>
      </w:r>
    </w:p>
    <w:p w14:paraId="11F6DB10" w14:textId="77777777" w:rsidR="00AB3647" w:rsidRDefault="00000000" w:rsidP="007923E9">
      <w:pPr>
        <w:spacing w:after="120" w:line="276" w:lineRule="auto"/>
        <w:ind w:firstLine="283"/>
        <w:jc w:val="both"/>
      </w:pPr>
      <w:r>
        <w:rPr>
          <w:rtl/>
        </w:rPr>
        <w:lastRenderedPageBreak/>
        <w:t xml:space="preserve">אולם אני משער שמה שגרם לו לברוח מלכתחילה </w:t>
      </w:r>
      <w:proofErr w:type="spellStart"/>
      <w:r>
        <w:rPr>
          <w:rtl/>
        </w:rPr>
        <w:t>ל“ארץ</w:t>
      </w:r>
      <w:proofErr w:type="spellEnd"/>
      <w:r>
        <w:rPr>
          <w:rtl/>
        </w:rPr>
        <w:t xml:space="preserve"> הנגב”, ולא לשקול אחר כך את הצעת </w:t>
      </w:r>
      <w:proofErr w:type="spellStart"/>
      <w:r>
        <w:rPr>
          <w:rtl/>
        </w:rPr>
        <w:t>וולקוביסק</w:t>
      </w:r>
      <w:proofErr w:type="spellEnd"/>
      <w:r>
        <w:rPr>
          <w:rtl/>
        </w:rPr>
        <w:t xml:space="preserve">, הייתה התחרות שרדפה אותו בשבע שנות שהותו בליטא, מאז בא לסייע לאביו </w:t>
      </w:r>
      <w:proofErr w:type="spellStart"/>
      <w:r>
        <w:rPr>
          <w:rtl/>
        </w:rPr>
        <w:t>בוולוז׳ין</w:t>
      </w:r>
      <w:proofErr w:type="spellEnd"/>
      <w:r>
        <w:rPr>
          <w:rtl/>
        </w:rPr>
        <w:t xml:space="preserve"> – כלומר, </w:t>
      </w:r>
      <w:proofErr w:type="spellStart"/>
      <w:r>
        <w:rPr>
          <w:rtl/>
        </w:rPr>
        <w:t>מתרמ״ט</w:t>
      </w:r>
      <w:proofErr w:type="spellEnd"/>
      <w:r>
        <w:rPr>
          <w:rtl/>
        </w:rPr>
        <w:t xml:space="preserve"> ועד תרנ״ו. כאדם אציל ועדין נפש, וכאיש צדיק,</w:t>
      </w:r>
      <w:bookmarkStart w:id="2822" w:name="_fnr1954"/>
      <w:r>
        <w:rPr>
          <w:rStyle w:val="a5"/>
        </w:rPr>
        <w:footnoteReference w:id="1959" w:customMarkFollows="0"/>
      </w:r>
      <w:bookmarkEnd w:id="2822"/>
      <w:r>
        <w:rPr>
          <w:rtl/>
        </w:rPr>
        <w:t xml:space="preserve"> לא יכול ר׳ חיים ברלין לשאת שוב את ההשפלה ואת הרגשות הבלתי טהורים הנלווים לתחרות – חוויות רוחניות שהיו, למרבה הצער, מקובלות בדרך להשגת משרת רבנות בליטא. תחת זאת פרש לירושלים.</w:t>
      </w:r>
    </w:p>
    <w:bookmarkStart w:id="2823" w:name="b3_excL"/>
    <w:p w14:paraId="463EAE82" w14:textId="77777777" w:rsidR="00AB3647" w:rsidRDefault="00000000" w:rsidP="007923E9">
      <w:pPr>
        <w:pStyle w:val="3"/>
        <w:spacing w:line="276" w:lineRule="auto"/>
      </w:pPr>
      <w:r>
        <w:lastRenderedPageBreak/>
        <w:fldChar w:fldCharType="begin" w:dirty="true"/>
      </w:r>
      <w:r>
        <w:rPr>
          <w:rtl w:val="0"/>
        </w:rPr>
        <w:instrText>HYPERLINK \l "b3_note36</w:instrText>
      </w:r>
      <w:r>
        <w:instrText>"</w:instrText>
      </w:r>
      <w:r>
        <w:fldChar w:fldCharType="separate"/>
      </w:r>
      <w:r>
        <w:t xml:space="preserve">נספח </w:t>
      </w:r>
      <w:proofErr w:type="spellStart"/>
      <w:r>
        <w:t>יב</w:t>
      </w:r>
      <w:proofErr w:type="spellEnd"/>
      <w:r>
        <w:fldChar w:fldCharType="end"/>
      </w:r>
      <w:bookmarkEnd w:id="2823"/>
    </w:p>
    <w:p w14:paraId="6DB985D1" w14:textId="77777777" w:rsidR="00AB3647" w:rsidRDefault="00000000" w:rsidP="007923E9">
      <w:pPr>
        <w:pStyle w:val="af"/>
        <w:spacing w:line="276" w:lineRule="auto"/>
      </w:pPr>
      <w:r>
        <w:t xml:space="preserve">על הרקע לפולמוס המוסר ועל היחסים בין ר׳ יעקב הלוי ליפשיץ </w:t>
      </w:r>
      <w:proofErr w:type="spellStart"/>
      <w:r>
        <w:t>לר</w:t>
      </w:r>
      <w:proofErr w:type="spellEnd"/>
      <w:r>
        <w:t xml:space="preserve">׳ חיים </w:t>
      </w:r>
      <w:proofErr w:type="spellStart"/>
      <w:r>
        <w:t>סולובייצ׳יק</w:t>
      </w:r>
      <w:proofErr w:type="spellEnd"/>
    </w:p>
    <w:p w14:paraId="014FA5E8" w14:textId="77777777" w:rsidR="00AB3647" w:rsidRDefault="00000000" w:rsidP="007923E9">
      <w:pPr>
        <w:pStyle w:val="4"/>
        <w:spacing w:line="276" w:lineRule="auto"/>
      </w:pPr>
      <w:r>
        <w:t>· הפסקה הראשונה ·</w:t>
      </w:r>
    </w:p>
    <w:p w14:paraId="679C55DF" w14:textId="77777777" w:rsidR="00AB3647" w:rsidRDefault="00000000" w:rsidP="007923E9">
      <w:pPr>
        <w:pStyle w:val="5"/>
        <w:spacing w:line="276" w:lineRule="auto"/>
      </w:pPr>
      <w:r>
        <w:t>מחלוקת המוסר הידועה לשמצה פורצת</w:t>
      </w:r>
    </w:p>
    <w:p w14:paraId="73974CBD" w14:textId="77777777" w:rsidR="00AB3647" w:rsidRDefault="00000000" w:rsidP="007923E9">
      <w:pPr>
        <w:spacing w:after="120" w:line="276" w:lineRule="auto"/>
        <w:ind w:firstLine="283"/>
        <w:jc w:val="both"/>
      </w:pPr>
      <w:r>
        <w:rPr>
          <w:rtl/>
        </w:rPr>
        <w:t xml:space="preserve">עימות זה נודע בשם “מחלוקת המוסר”, והפרטים המובאים כאן סופרו מפי אבי בריאיון המוקלט על הסבא </w:t>
      </w:r>
      <w:proofErr w:type="spellStart"/>
      <w:r>
        <w:rPr>
          <w:rtl/>
        </w:rPr>
        <w:t>מסלבודקה</w:t>
      </w:r>
      <w:proofErr w:type="spellEnd"/>
      <w:r>
        <w:rPr>
          <w:rtl/>
        </w:rPr>
        <w:t>, או נלקחו מן החיבור המרכזי על תנועת המוסר, “תנועת המוסר” בחמשת הכרכים מאת ר׳ דב כץ, וממקורות שונים נוספים.</w:t>
      </w:r>
    </w:p>
    <w:p w14:paraId="0E67D637" w14:textId="77777777" w:rsidR="00AB3647" w:rsidRDefault="00000000" w:rsidP="007923E9">
      <w:pPr>
        <w:pStyle w:val="4"/>
        <w:spacing w:line="276" w:lineRule="auto"/>
      </w:pPr>
      <w:r>
        <w:t>· הפסקה השנייה ·</w:t>
      </w:r>
    </w:p>
    <w:p w14:paraId="4091B0A8" w14:textId="77777777" w:rsidR="00AB3647" w:rsidRDefault="00000000" w:rsidP="007923E9">
      <w:pPr>
        <w:pStyle w:val="5"/>
        <w:spacing w:line="276" w:lineRule="auto"/>
      </w:pPr>
      <w:r>
        <w:t xml:space="preserve">בחוגי המוסר מאשימים את ר׳ יעקב הלוי ליפשיץ במחלוקת –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הוא גדול בזכות עצמו – ר׳ יעקב הלוי ליפשיץ מציע את שירותיו לממלא מקומו של ר׳ </w:t>
      </w:r>
      <w:proofErr w:type="spellStart"/>
      <w:r>
        <w:t>צבי־הירש</w:t>
      </w:r>
      <w:proofErr w:type="spellEnd"/>
      <w:r>
        <w:t xml:space="preserve"> </w:t>
      </w:r>
      <w:proofErr w:type="spellStart"/>
      <w:r>
        <w:t>רבינוביץ</w:t>
      </w:r>
      <w:proofErr w:type="spellEnd"/>
      <w:r>
        <w:t xml:space="preserve"> ונדחה – ר׳ חיים </w:t>
      </w:r>
      <w:proofErr w:type="spellStart"/>
      <w:r>
        <w:t>סולובייצ׳יק</w:t>
      </w:r>
      <w:proofErr w:type="spellEnd"/>
      <w:r>
        <w:t xml:space="preserve"> סומך על ר׳ יעקב הלוי – ר׳ יעקב הלוי ליפשיץ מושמץ – המשכילים מטיחים בו בוץ – ר׳ </w:t>
      </w:r>
      <w:proofErr w:type="spellStart"/>
      <w:r>
        <w:t>יצחק־אלחנן</w:t>
      </w:r>
      <w:proofErr w:type="spellEnd"/>
      <w:r>
        <w:t xml:space="preserve"> יוצא להגנתו</w:t>
      </w:r>
    </w:p>
    <w:p w14:paraId="3032EB1C" w14:textId="5DB0C078" w:rsidR="00AB3647" w:rsidRDefault="00000000" w:rsidP="007923E9">
      <w:pPr>
        <w:spacing w:after="120" w:line="276" w:lineRule="auto"/>
        <w:ind w:firstLine="283"/>
        <w:jc w:val="both"/>
      </w:pPr>
      <w:r>
        <w:rPr>
          <w:rtl/>
        </w:rPr>
        <w:t xml:space="preserve">ר׳ יעקב הלוי ליפשיץ היה מזכירו של ר׳ </w:t>
      </w:r>
      <w:proofErr w:type="spellStart"/>
      <w:r>
        <w:rPr>
          <w:rtl/>
        </w:rPr>
        <w:t>יצחק־אלחנן</w:t>
      </w:r>
      <w:proofErr w:type="spellEnd"/>
      <w:r>
        <w:rPr>
          <w:rtl/>
        </w:rPr>
        <w:t xml:space="preserve"> ובעל השפעה רבה בקהילת קובנה. הוא היה לוחם נועז בהשכלה, ומחבר ההיסטוריה הרבנית רחבת היריעה של התקופה, “</w:t>
      </w:r>
      <w:proofErr w:type="spellStart"/>
      <w:r>
        <w:rPr>
          <w:rtl/>
        </w:rPr>
        <w:t>זכרון</w:t>
      </w:r>
      <w:proofErr w:type="spellEnd"/>
      <w:r>
        <w:rPr>
          <w:rtl/>
        </w:rPr>
        <w:t xml:space="preserve"> יעקב”</w:t>
      </w:r>
      <w:bookmarkStart w:id="2824" w:name="_fnr1955"/>
      <w:r>
        <w:rPr>
          <w:rStyle w:val="a5"/>
        </w:rPr>
        <w:footnoteReference w:id="1960" w:customMarkFollows="0"/>
      </w:r>
      <w:bookmarkEnd w:id="2824"/>
      <w:r>
        <w:rPr>
          <w:rtl/>
        </w:rPr>
        <w:t>. הוא נחשב למי שעמד מאחורי פעולת הרבנים נגד תנועת המוסר באותה שעה. השווה “פולמוס המוסר”</w:t>
      </w:r>
      <w:bookmarkStart w:id="2825" w:name="_fnr1956"/>
      <w:r>
        <w:rPr>
          <w:rStyle w:val="a5"/>
        </w:rPr>
        <w:footnoteReference w:id="1961" w:customMarkFollows="0"/>
      </w:r>
      <w:bookmarkEnd w:id="2825"/>
      <w:r>
        <w:rPr>
          <w:rtl/>
        </w:rPr>
        <w:t xml:space="preserve">, שבו נאמר כי הוא שחיבר את איגרת “למען דעת” הנזכרת בפסקה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 אחיו הגדול ר׳ יהודה הלוי ליפשיץ, רב </w:t>
      </w:r>
      <w:proofErr w:type="spellStart"/>
      <w:r>
        <w:rPr>
          <w:rtl/>
        </w:rPr>
        <w:t>מערעטש</w:t>
      </w:r>
      <w:proofErr w:type="spellEnd"/>
      <w:r>
        <w:rPr>
          <w:rtl/>
        </w:rPr>
        <w:t>, היה אחד מחותמיה.</w:t>
      </w:r>
    </w:p>
    <w:p w14:paraId="2C724EFD" w14:textId="77777777" w:rsidR="00AB3647" w:rsidRDefault="00000000" w:rsidP="007923E9">
      <w:pPr>
        <w:spacing w:after="120" w:line="276" w:lineRule="auto"/>
        <w:ind w:firstLine="283"/>
        <w:jc w:val="both"/>
      </w:pPr>
      <w:r>
        <w:rPr>
          <w:rtl/>
        </w:rPr>
        <w:t xml:space="preserve">כמתואר שם – וכמובא להלן בסוף הפסקה הראשונה של נספח </w:t>
      </w:r>
      <w:proofErr w:type="spellStart"/>
      <w:r>
        <w:rPr>
          <w:rtl/>
        </w:rPr>
        <w:t>טז</w:t>
      </w:r>
      <w:proofErr w:type="spellEnd"/>
      <w:r>
        <w:rPr>
          <w:rtl/>
        </w:rPr>
        <w:t xml:space="preserve"> – ר׳ יעקב היה מתנגד חריף לתנועת המוסר. אבל אבי העלה חשד שבניהול המערכה נגד ישיבת </w:t>
      </w:r>
      <w:proofErr w:type="spellStart"/>
      <w:r>
        <w:rPr>
          <w:rtl/>
        </w:rPr>
        <w:t>סלבודקה</w:t>
      </w:r>
      <w:proofErr w:type="spellEnd"/>
      <w:r>
        <w:rPr>
          <w:rtl/>
        </w:rPr>
        <w:t xml:space="preserve"> באותה שעה היה לו גם מניע נסתר נוסף: הוא ביקש להחליש את השפעת הישיבה בעיר, ובכך לחזק את מעמד הרב החדש – שבחוגים מסוימים כונה “היורש”, ברמיזה בלתי מוצדקת שלא היה ראוי למשרה בזכות עצמו.</w:t>
      </w:r>
    </w:p>
    <w:p w14:paraId="384D1421" w14:textId="77777777" w:rsidR="00AB3647" w:rsidRDefault="00000000" w:rsidP="007923E9">
      <w:pPr>
        <w:spacing w:after="120" w:line="276" w:lineRule="auto"/>
        <w:ind w:firstLine="283"/>
        <w:jc w:val="both"/>
      </w:pPr>
      <w:r>
        <w:rPr>
          <w:rtl/>
        </w:rPr>
        <w:t>השווה גם יעקב מארק</w:t>
      </w:r>
      <w:bookmarkStart w:id="2826" w:name="_fnr1957"/>
      <w:r>
        <w:rPr>
          <w:rStyle w:val="a5"/>
        </w:rPr>
        <w:footnoteReference w:id="1962" w:customMarkFollows="0"/>
      </w:r>
      <w:bookmarkEnd w:id="2826"/>
      <w:r>
        <w:rPr>
          <w:rtl/>
        </w:rPr>
        <w:t xml:space="preserve">, המספר: “‘העולם הגדול’, שלא הכיר היטב את ר׳ </w:t>
      </w:r>
      <w:proofErr w:type="spellStart"/>
      <w:r>
        <w:rPr>
          <w:rtl/>
        </w:rPr>
        <w:t>צבי־הירש</w:t>
      </w:r>
      <w:proofErr w:type="spellEnd"/>
      <w:r>
        <w:rPr>
          <w:rtl/>
        </w:rPr>
        <w:t xml:space="preserve"> </w:t>
      </w:r>
      <w:proofErr w:type="spellStart"/>
      <w:r>
        <w:rPr>
          <w:rtl/>
        </w:rPr>
        <w:t>רבינוביץ</w:t>
      </w:r>
      <w:proofErr w:type="spellEnd"/>
      <w:r>
        <w:rPr>
          <w:rtl/>
        </w:rPr>
        <w:t xml:space="preserve">, אכן סבר שזכה ברבנות קובנה בזכות אביו הגדול, שציווה בצוואתו שבנו ימלא את מקומו. למעשה, ר׳ </w:t>
      </w:r>
      <w:proofErr w:type="spellStart"/>
      <w:r>
        <w:rPr>
          <w:rtl/>
        </w:rPr>
        <w:t>צבי־הירש</w:t>
      </w:r>
      <w:proofErr w:type="spellEnd"/>
      <w:r>
        <w:rPr>
          <w:rtl/>
        </w:rPr>
        <w:t xml:space="preserve"> מצד עצמו [ומעלותיו], גם אלמלא היה בנו של ר׳ </w:t>
      </w:r>
      <w:proofErr w:type="spellStart"/>
      <w:r>
        <w:rPr>
          <w:rtl/>
        </w:rPr>
        <w:t>יצחק־אלחנן</w:t>
      </w:r>
      <w:proofErr w:type="spellEnd"/>
      <w:r>
        <w:rPr>
          <w:rtl/>
        </w:rPr>
        <w:t xml:space="preserve"> – בזכות חריפותו הגדולה בתורה, צדקותו הגדולה, </w:t>
      </w:r>
      <w:proofErr w:type="spellStart"/>
      <w:r>
        <w:rPr>
          <w:rtl/>
        </w:rPr>
        <w:t>חכמתו</w:t>
      </w:r>
      <w:proofErr w:type="spellEnd"/>
      <w:r>
        <w:rPr>
          <w:rtl/>
        </w:rPr>
        <w:t xml:space="preserve"> הרבה וכל המעלות והמידות </w:t>
      </w:r>
      <w:r>
        <w:rPr>
          <w:rtl/>
        </w:rPr>
        <w:lastRenderedPageBreak/>
        <w:t>הטובות של תלמיד חכם אמיתי שהיו בו – היה ראוי מלכתחילה לרבנות קובנה.” השווה גם “לפרקים”</w:t>
      </w:r>
      <w:bookmarkStart w:id="2827" w:name="_fnr1958"/>
      <w:r>
        <w:rPr>
          <w:rStyle w:val="a5"/>
        </w:rPr>
        <w:footnoteReference w:id="1963" w:customMarkFollows="0"/>
      </w:r>
      <w:bookmarkEnd w:id="2827"/>
      <w:r>
        <w:rPr>
          <w:rtl/>
        </w:rPr>
        <w:t xml:space="preserve"> </w:t>
      </w:r>
      <w:proofErr w:type="spellStart"/>
      <w:r>
        <w:rPr>
          <w:rtl/>
        </w:rPr>
        <w:t>ו“ר</w:t>
      </w:r>
      <w:proofErr w:type="spellEnd"/>
      <w:r>
        <w:rPr>
          <w:rtl/>
        </w:rPr>
        <w:t>׳ משה שמואל ודורו”</w:t>
      </w:r>
      <w:bookmarkStart w:id="2828" w:name="_fnr1959"/>
      <w:r>
        <w:rPr>
          <w:rStyle w:val="a5"/>
        </w:rPr>
        <w:footnoteReference w:id="1964" w:customMarkFollows="0"/>
      </w:r>
      <w:bookmarkEnd w:id="2828"/>
      <w:r>
        <w:rPr>
          <w:rtl/>
        </w:rPr>
        <w:t xml:space="preserve">, שבהם הוקדשו פרקים </w:t>
      </w:r>
      <w:proofErr w:type="spellStart"/>
      <w:r>
        <w:rPr>
          <w:rtl/>
        </w:rPr>
        <w:t>לר</w:t>
      </w:r>
      <w:proofErr w:type="spellEnd"/>
      <w:r>
        <w:rPr>
          <w:rtl/>
        </w:rPr>
        <w:t xml:space="preserve">׳ </w:t>
      </w:r>
      <w:proofErr w:type="spellStart"/>
      <w:r>
        <w:rPr>
          <w:rtl/>
        </w:rPr>
        <w:t>צבי־הירש</w:t>
      </w:r>
      <w:proofErr w:type="spellEnd"/>
      <w:r>
        <w:rPr>
          <w:rtl/>
        </w:rPr>
        <w:t>.</w:t>
      </w:r>
    </w:p>
    <w:p w14:paraId="000A1620" w14:textId="77777777" w:rsidR="00AB3647" w:rsidRDefault="00000000" w:rsidP="007923E9">
      <w:pPr>
        <w:spacing w:after="120" w:line="276" w:lineRule="auto"/>
        <w:ind w:firstLine="283"/>
        <w:jc w:val="both"/>
      </w:pPr>
      <w:r>
        <w:rPr>
          <w:rtl/>
        </w:rPr>
        <w:t xml:space="preserve">ראה גם את חילופי המכתבים בין ר׳ </w:t>
      </w:r>
      <w:proofErr w:type="spellStart"/>
      <w:r>
        <w:rPr>
          <w:rtl/>
        </w:rPr>
        <w:t>שלמה־זלמן</w:t>
      </w:r>
      <w:proofErr w:type="spellEnd"/>
      <w:r>
        <w:rPr>
          <w:rtl/>
        </w:rPr>
        <w:t xml:space="preserve"> </w:t>
      </w:r>
      <w:proofErr w:type="spellStart"/>
      <w:r>
        <w:rPr>
          <w:rtl/>
        </w:rPr>
        <w:t>ברויאר</w:t>
      </w:r>
      <w:proofErr w:type="spellEnd"/>
      <w:r>
        <w:rPr>
          <w:rtl/>
        </w:rPr>
        <w:t xml:space="preserve"> (חתנו וממלא מקומו של ר׳ שמשון רפאל הירש) </w:t>
      </w:r>
      <w:proofErr w:type="spellStart"/>
      <w:r>
        <w:rPr>
          <w:rtl/>
        </w:rPr>
        <w:t>לר</w:t>
      </w:r>
      <w:proofErr w:type="spellEnd"/>
      <w:r>
        <w:rPr>
          <w:rtl/>
        </w:rPr>
        <w:t xml:space="preserve">׳ חיים </w:t>
      </w:r>
      <w:proofErr w:type="spellStart"/>
      <w:r>
        <w:rPr>
          <w:rtl/>
        </w:rPr>
        <w:t>סולובייצ׳יק</w:t>
      </w:r>
      <w:proofErr w:type="spellEnd"/>
      <w:r>
        <w:rPr>
          <w:rtl/>
        </w:rPr>
        <w:t xml:space="preserve">, </w:t>
      </w:r>
      <w:proofErr w:type="spellStart"/>
      <w:r>
        <w:rPr>
          <w:rtl/>
        </w:rPr>
        <w:t>מ“עש״ק</w:t>
      </w:r>
      <w:proofErr w:type="spellEnd"/>
      <w:r>
        <w:rPr>
          <w:rtl/>
        </w:rPr>
        <w:t xml:space="preserve"> תרומה תרס״ט</w:t>
      </w:r>
      <w:bookmarkStart w:id="2829" w:name="_fnr1960"/>
      <w:bookmarkEnd w:id="2829"/>
      <w:r>
        <w:rPr>
          <w:rStyle w:val="a5"/>
        </w:rPr>
        <w:t/>
      </w:r>
      <w:bookmarkStart w:id="7020" w:name="_TranslatorNote_5385"/>
      <w:r>
        <w:rPr>
          <w:rStyle w:val="a5"/>
          <w:vertAlign w:val="superscript"/>
          <w:rtl/>
        </w:rPr>
        <w:footnoteReference w:id="1965" w:customMarkFollows="1"/>
        <w:t>*</w:t>
      </w:r>
      <w:bookmarkEnd w:id="7020"/>
      <w:r>
        <w:rPr>
          <w:rtl/>
        </w:rPr>
        <w:t xml:space="preserve">” ומ״ט׳ אדר </w:t>
      </w:r>
      <w:proofErr w:type="spellStart"/>
      <w:r>
        <w:rPr>
          <w:rtl/>
        </w:rPr>
        <w:t>התרס״ט</w:t>
      </w:r>
      <w:proofErr w:type="spellEnd"/>
      <w:r>
        <w:rPr>
          <w:rtl/>
        </w:rPr>
        <w:t xml:space="preserve">”, בהתאמה, שנדפסו מחדש </w:t>
      </w:r>
      <w:proofErr w:type="spellStart"/>
      <w:r>
        <w:rPr>
          <w:rtl/>
        </w:rPr>
        <w:t>ב“קובץ</w:t>
      </w:r>
      <w:proofErr w:type="spellEnd"/>
      <w:r>
        <w:rPr>
          <w:rtl/>
        </w:rPr>
        <w:t xml:space="preserve"> מכתבים וכו׳ מאת רבותינו גדולי ישראל”</w:t>
      </w:r>
      <w:bookmarkStart w:id="2830" w:name="_fnr1961"/>
      <w:r>
        <w:rPr>
          <w:rStyle w:val="a5"/>
        </w:rPr>
        <w:footnoteReference w:id="1966" w:customMarkFollows="0"/>
      </w:r>
      <w:bookmarkEnd w:id="2830"/>
      <w:r>
        <w:rPr>
          <w:rtl/>
        </w:rPr>
        <w:t xml:space="preserve">. המכתבים עוסקים באספה המתוכננת של גדולים לדיון בארגון היהדות הדתית לפעולה משותפת – אספה שאכן התקיימה </w:t>
      </w:r>
      <w:proofErr w:type="spellStart"/>
      <w:r>
        <w:rPr>
          <w:rtl/>
        </w:rPr>
        <w:t>בבאד</w:t>
      </w:r>
      <w:proofErr w:type="spellEnd"/>
      <w:r>
        <w:rPr>
          <w:rtl/>
        </w:rPr>
        <w:t xml:space="preserve"> </w:t>
      </w:r>
      <w:proofErr w:type="spellStart"/>
      <w:r>
        <w:rPr>
          <w:rtl/>
        </w:rPr>
        <w:t>הומבורג</w:t>
      </w:r>
      <w:proofErr w:type="spellEnd"/>
      <w:r>
        <w:rPr>
          <w:rtl/>
        </w:rPr>
        <w:t xml:space="preserve"> בקיץ שלאחר מכן.</w:t>
      </w:r>
    </w:p>
    <w:p w14:paraId="1DFF7ED4" w14:textId="77777777" w:rsidR="00AB3647" w:rsidRDefault="00000000" w:rsidP="007923E9">
      <w:pPr>
        <w:spacing w:after="120" w:line="276" w:lineRule="auto"/>
        <w:ind w:firstLine="283"/>
        <w:jc w:val="both"/>
      </w:pPr>
      <w:r>
        <w:rPr>
          <w:rtl/>
        </w:rPr>
        <w:t xml:space="preserve">הרב </w:t>
      </w:r>
      <w:proofErr w:type="spellStart"/>
      <w:r>
        <w:rPr>
          <w:rtl/>
        </w:rPr>
        <w:t>ברויאר</w:t>
      </w:r>
      <w:proofErr w:type="spellEnd"/>
      <w:r>
        <w:rPr>
          <w:rtl/>
        </w:rPr>
        <w:t xml:space="preserve"> שאל בעצת ר׳ חיים אילו מרבני רוסיה, מלבדו, להזמין, והציע: “הרבנים של </w:t>
      </w:r>
      <w:proofErr w:type="spellStart"/>
      <w:r>
        <w:rPr>
          <w:rtl/>
        </w:rPr>
        <w:t>פינסק</w:t>
      </w:r>
      <w:proofErr w:type="spellEnd"/>
      <w:r>
        <w:rPr>
          <w:rtl/>
        </w:rPr>
        <w:t>[־</w:t>
      </w:r>
      <w:proofErr w:type="spellStart"/>
      <w:r>
        <w:rPr>
          <w:rtl/>
        </w:rPr>
        <w:t>קרלין</w:t>
      </w:r>
      <w:proofErr w:type="spellEnd"/>
      <w:r>
        <w:rPr>
          <w:rtl/>
        </w:rPr>
        <w:t xml:space="preserve">, ר׳ </w:t>
      </w:r>
      <w:proofErr w:type="spellStart"/>
      <w:r>
        <w:rPr>
          <w:rtl/>
        </w:rPr>
        <w:t>דוד׳ל</w:t>
      </w:r>
      <w:proofErr w:type="spellEnd"/>
      <w:r>
        <w:rPr>
          <w:rtl/>
        </w:rPr>
        <w:t xml:space="preserve"> פרידמן] ושל </w:t>
      </w:r>
      <w:proofErr w:type="spellStart"/>
      <w:r>
        <w:rPr>
          <w:rtl/>
        </w:rPr>
        <w:t>טלז</w:t>
      </w:r>
      <w:proofErr w:type="spellEnd"/>
      <w:r>
        <w:rPr>
          <w:rtl/>
        </w:rPr>
        <w:t xml:space="preserve"> [ר׳ לייזר גורדון], ור׳ </w:t>
      </w:r>
      <w:proofErr w:type="spellStart"/>
      <w:r>
        <w:rPr>
          <w:rtl/>
        </w:rPr>
        <w:t>חיים־עוזר</w:t>
      </w:r>
      <w:proofErr w:type="spellEnd"/>
      <w:r>
        <w:rPr>
          <w:rtl/>
        </w:rPr>
        <w:t xml:space="preserve"> מווילנה.” ר׳ חיים השיב ומנה: “הגאון מאור הגולה, רב </w:t>
      </w:r>
      <w:proofErr w:type="spellStart"/>
      <w:r>
        <w:rPr>
          <w:rtl/>
        </w:rPr>
        <w:t>קרלין</w:t>
      </w:r>
      <w:proofErr w:type="spellEnd"/>
      <w:r>
        <w:rPr>
          <w:rtl/>
        </w:rPr>
        <w:t xml:space="preserve">, והגאון מאור הגולה, רב לודז׳ [ר׳ </w:t>
      </w:r>
      <w:proofErr w:type="spellStart"/>
      <w:r>
        <w:rPr>
          <w:rtl/>
        </w:rPr>
        <w:t>אליהו־חיים</w:t>
      </w:r>
      <w:proofErr w:type="spellEnd"/>
      <w:r>
        <w:rPr>
          <w:rtl/>
        </w:rPr>
        <w:t xml:space="preserve"> </w:t>
      </w:r>
      <w:proofErr w:type="spellStart"/>
      <w:r>
        <w:rPr>
          <w:rtl/>
        </w:rPr>
        <w:t>מייזל</w:t>
      </w:r>
      <w:proofErr w:type="spellEnd"/>
      <w:r>
        <w:rPr>
          <w:rtl/>
        </w:rPr>
        <w:t xml:space="preserve">], שדעתו מכרעת לכל מדינתנו; גם הגאון הגדול, רב </w:t>
      </w:r>
      <w:proofErr w:type="spellStart"/>
      <w:r>
        <w:rPr>
          <w:rtl/>
        </w:rPr>
        <w:t>טלז</w:t>
      </w:r>
      <w:proofErr w:type="spellEnd"/>
      <w:r>
        <w:rPr>
          <w:rtl/>
        </w:rPr>
        <w:t xml:space="preserve">, והגאון הגדול ר׳ </w:t>
      </w:r>
      <w:proofErr w:type="spellStart"/>
      <w:r>
        <w:rPr>
          <w:rtl/>
        </w:rPr>
        <w:t>חיים־עוזר</w:t>
      </w:r>
      <w:proofErr w:type="spellEnd"/>
      <w:r>
        <w:rPr>
          <w:rtl/>
        </w:rPr>
        <w:t xml:space="preserve">, שדעת שניהם [בדרך כלל] מתקבלת ומוסכמת, והם מעורבים בענייני הציבור ורצויים לציבור.” לאחר מכן הוסיף: “אבל מתפלא אני ש[אתם] לא הזכרתם את הגאון פאר הדור, רב קובנה [ר׳ </w:t>
      </w:r>
      <w:proofErr w:type="spellStart"/>
      <w:r>
        <w:rPr>
          <w:rtl/>
        </w:rPr>
        <w:t>צבי־הירש</w:t>
      </w:r>
      <w:proofErr w:type="spellEnd"/>
      <w:r>
        <w:rPr>
          <w:rtl/>
        </w:rPr>
        <w:t xml:space="preserve"> </w:t>
      </w:r>
      <w:proofErr w:type="spellStart"/>
      <w:r>
        <w:rPr>
          <w:rtl/>
        </w:rPr>
        <w:t>רבינוביץ</w:t>
      </w:r>
      <w:proofErr w:type="spellEnd"/>
      <w:r>
        <w:rPr>
          <w:rtl/>
        </w:rPr>
        <w:t>], שגדולתו נעלה בכל הפרטים, ודעתו מפורסמת בכל מדינתנו; נועצים בו בכל העניינים.”</w:t>
      </w:r>
      <w:bookmarkStart w:id="2831" w:name="_fnr1962"/>
      <w:r>
        <w:rPr>
          <w:rStyle w:val="a5"/>
        </w:rPr>
        <w:footnoteReference w:id="1967" w:customMarkFollows="0"/>
      </w:r>
      <w:bookmarkEnd w:id="2831"/>
    </w:p>
    <w:p w14:paraId="6DB13D24" w14:textId="77777777" w:rsidR="00AB3647" w:rsidRDefault="00000000" w:rsidP="007923E9">
      <w:pPr>
        <w:spacing w:after="120" w:line="276" w:lineRule="auto"/>
        <w:ind w:firstLine="283"/>
        <w:jc w:val="both"/>
      </w:pPr>
      <w:r>
        <w:rPr>
          <w:rtl/>
        </w:rPr>
        <w:t xml:space="preserve">יש סיוע להשערה שגם בימי ר׳ </w:t>
      </w:r>
      <w:proofErr w:type="spellStart"/>
      <w:r>
        <w:rPr>
          <w:rtl/>
        </w:rPr>
        <w:t>צבי־הירש</w:t>
      </w:r>
      <w:proofErr w:type="spellEnd"/>
      <w:r>
        <w:rPr>
          <w:rtl/>
        </w:rPr>
        <w:t xml:space="preserve"> היה ר׳ יעקב הלוי ליפשיץ בעל הכוח שמאחורי הרב, כמו בימי אביו ר׳ </w:t>
      </w:r>
      <w:proofErr w:type="spellStart"/>
      <w:r>
        <w:rPr>
          <w:rtl/>
        </w:rPr>
        <w:t>יצחק־אלחנן</w:t>
      </w:r>
      <w:proofErr w:type="spellEnd"/>
      <w:r>
        <w:rPr>
          <w:rtl/>
        </w:rPr>
        <w:t xml:space="preserve"> (כאשר שימש מזכירו הרשמי). הסיוע בא מידיעה נוספת שמסר אבי לחתנו ר׳ ישראל </w:t>
      </w:r>
      <w:proofErr w:type="spellStart"/>
      <w:r>
        <w:rPr>
          <w:rtl/>
        </w:rPr>
        <w:t>שורין</w:t>
      </w:r>
      <w:proofErr w:type="spellEnd"/>
      <w:r>
        <w:rPr>
          <w:rtl/>
        </w:rPr>
        <w:t xml:space="preserve">: כאשר נתמנה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לרב קובנה, ביקר אצלו ר׳ יעקב הלוי ליפשיץ והציע את שירותיו (בניהול רבנות קובנה), “כפי שנהג [לעשות] אצל שני קודמיו”. אולם הרב החדש “דחה את עזרתו ושילח אותו”</w:t>
      </w:r>
      <w:bookmarkStart w:id="2832" w:name="_fnr1963"/>
      <w:r>
        <w:rPr>
          <w:rStyle w:val="a5"/>
        </w:rPr>
        <w:footnoteReference w:id="1968" w:customMarkFollows="0"/>
      </w:r>
      <w:bookmarkEnd w:id="2832"/>
      <w:r>
        <w:rPr>
          <w:rtl/>
        </w:rPr>
        <w:t>.</w:t>
      </w:r>
    </w:p>
    <w:p w14:paraId="43838969" w14:textId="77777777" w:rsidR="00AB3647" w:rsidRDefault="00000000" w:rsidP="007923E9">
      <w:pPr>
        <w:spacing w:after="120" w:line="276" w:lineRule="auto"/>
        <w:ind w:firstLine="283"/>
        <w:jc w:val="both"/>
      </w:pPr>
      <w:r>
        <w:rPr>
          <w:rtl/>
        </w:rPr>
        <w:t>לדברי נכדו</w:t>
      </w:r>
      <w:bookmarkStart w:id="2833" w:name="_fnr1964"/>
      <w:r>
        <w:rPr>
          <w:rStyle w:val="a5"/>
        </w:rPr>
        <w:footnoteReference w:id="1969" w:customMarkFollows="0"/>
      </w:r>
      <w:bookmarkEnd w:id="2833"/>
      <w:r>
        <w:rPr>
          <w:rtl/>
        </w:rPr>
        <w:t xml:space="preserve">, זכה ר׳ יעקב הלוי ליפשיץ לאמונו של ר׳ חיים </w:t>
      </w:r>
      <w:proofErr w:type="spellStart"/>
      <w:r>
        <w:rPr>
          <w:rtl/>
        </w:rPr>
        <w:t>סולובייצ׳יק</w:t>
      </w:r>
      <w:proofErr w:type="spellEnd"/>
      <w:r>
        <w:rPr>
          <w:rtl/>
        </w:rPr>
        <w:t xml:space="preserve"> עד כדי כך שר׳ חיים אמר עליו</w:t>
      </w:r>
      <w:bookmarkStart w:id="2834" w:name="_fnr1965"/>
      <w:r>
        <w:rPr>
          <w:rStyle w:val="a5"/>
        </w:rPr>
        <w:footnoteReference w:id="1970" w:customMarkFollows="0"/>
      </w:r>
      <w:bookmarkEnd w:id="2834"/>
      <w:r>
        <w:rPr>
          <w:rtl/>
        </w:rPr>
        <w:t>: “הוא היהודי היחיד ברוסיה שמבין מה אני רוצה” – אמירה השופכת אור גם על יחסו של ר׳ חיים עצמו למוסר</w:t>
      </w:r>
      <w:bookmarkStart w:id="2835" w:name="_fnr1966"/>
      <w:r>
        <w:rPr>
          <w:rStyle w:val="a5"/>
        </w:rPr>
        <w:footnoteReference w:id="1971" w:customMarkFollows="0"/>
      </w:r>
      <w:bookmarkEnd w:id="2835"/>
      <w:r>
        <w:rPr>
          <w:rtl/>
        </w:rPr>
        <w:t xml:space="preserve">. השווה גם מכתב </w:t>
      </w:r>
      <w:proofErr w:type="spellStart"/>
      <w:r>
        <w:rPr>
          <w:rtl/>
        </w:rPr>
        <w:t>ב“אגרות</w:t>
      </w:r>
      <w:proofErr w:type="spellEnd"/>
      <w:r>
        <w:rPr>
          <w:rtl/>
        </w:rPr>
        <w:t xml:space="preserve"> רבי יצחק אייזיק הלוי”</w:t>
      </w:r>
      <w:bookmarkStart w:id="2836" w:name="_fnr1967"/>
      <w:r>
        <w:rPr>
          <w:rStyle w:val="a5"/>
        </w:rPr>
        <w:footnoteReference w:id="1972" w:customMarkFollows="0"/>
      </w:r>
      <w:bookmarkEnd w:id="2836"/>
      <w:r>
        <w:rPr>
          <w:rtl/>
        </w:rPr>
        <w:t xml:space="preserve">, שבו כתב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ב״ד׳ באדר תרס״ט”</w:t>
      </w:r>
      <w:bookmarkStart w:id="2837" w:name="_fnr1968"/>
      <w:r>
        <w:rPr>
          <w:rStyle w:val="a5"/>
        </w:rPr>
        <w:footnoteReference w:id="1973" w:customMarkFollows="0"/>
      </w:r>
      <w:bookmarkEnd w:id="2837"/>
      <w:r>
        <w:rPr>
          <w:rtl/>
        </w:rPr>
        <w:t xml:space="preserve">, על </w:t>
      </w:r>
      <w:r>
        <w:rPr>
          <w:rtl/>
        </w:rPr>
        <w:lastRenderedPageBreak/>
        <w:t xml:space="preserve">מאמציהם הנמרצים לשתף את ר׳ חיים </w:t>
      </w:r>
      <w:proofErr w:type="spellStart"/>
      <w:r>
        <w:rPr>
          <w:rtl/>
        </w:rPr>
        <w:t>סולובייצ׳יק</w:t>
      </w:r>
      <w:proofErr w:type="spellEnd"/>
      <w:r>
        <w:rPr>
          <w:rtl/>
        </w:rPr>
        <w:t xml:space="preserve"> </w:t>
      </w:r>
      <w:proofErr w:type="spellStart"/>
      <w:r>
        <w:rPr>
          <w:rtl/>
        </w:rPr>
        <w:t>באסיפת</w:t>
      </w:r>
      <w:proofErr w:type="spellEnd"/>
      <w:r>
        <w:rPr>
          <w:rtl/>
        </w:rPr>
        <w:t xml:space="preserve"> הרבנים המתוכננת שהוזכרה לעיל</w:t>
      </w:r>
      <w:bookmarkStart w:id="2838" w:name="_fnr1969"/>
      <w:r>
        <w:rPr>
          <w:rStyle w:val="a5"/>
        </w:rPr>
        <w:footnoteReference w:id="1974" w:customMarkFollows="0"/>
      </w:r>
      <w:bookmarkEnd w:id="2838"/>
      <w:r>
        <w:rPr>
          <w:rtl/>
        </w:rPr>
        <w:t xml:space="preserve">: “לרב </w:t>
      </w:r>
      <w:proofErr w:type="spellStart"/>
      <w:r>
        <w:rPr>
          <w:rtl/>
        </w:rPr>
        <w:t>מבריסק</w:t>
      </w:r>
      <w:proofErr w:type="spellEnd"/>
      <w:r>
        <w:rPr>
          <w:rtl/>
        </w:rPr>
        <w:t xml:space="preserve"> יש יראת הוראה טבעית, שגם [מביאה אותו] להימנע ולצמצם עצמו מהכרעה הלכה למעשה, ומקשה עליו לעשות צעד גדול בענייני הציבור, מחשש שמא יקלקל את הדברים, ואולי [הוא מצמצם עצמו משום ש]דעתו אינה מכרעת </w:t>
      </w:r>
      <w:proofErr w:type="spellStart"/>
      <w:r>
        <w:rPr>
          <w:rtl/>
        </w:rPr>
        <w:t>וכו</w:t>
      </w:r>
      <w:proofErr w:type="spellEnd"/>
      <w:r>
        <w:rPr>
          <w:rtl/>
        </w:rPr>
        <w:t xml:space="preserve">׳. [לכן, כדי להביא את ר׳ חיים להשתתף </w:t>
      </w:r>
      <w:proofErr w:type="spellStart"/>
      <w:r>
        <w:rPr>
          <w:rtl/>
        </w:rPr>
        <w:t>באסיפה</w:t>
      </w:r>
      <w:proofErr w:type="spellEnd"/>
      <w:r>
        <w:rPr>
          <w:rtl/>
        </w:rPr>
        <w:t xml:space="preserve">,] רצוני הוא שר׳ יעקב הלוי ליפשיץ ישמע את הכול [ממני], ויודרך כיצד לבאר </w:t>
      </w:r>
      <w:proofErr w:type="spellStart"/>
      <w:r>
        <w:rPr>
          <w:rtl/>
        </w:rPr>
        <w:t>לר</w:t>
      </w:r>
      <w:proofErr w:type="spellEnd"/>
      <w:r>
        <w:rPr>
          <w:rtl/>
        </w:rPr>
        <w:t xml:space="preserve">׳ חיים שרק טובה תצא מן </w:t>
      </w:r>
      <w:proofErr w:type="spellStart"/>
      <w:r>
        <w:rPr>
          <w:rtl/>
        </w:rPr>
        <w:t>האסיפה</w:t>
      </w:r>
      <w:proofErr w:type="spellEnd"/>
      <w:r>
        <w:rPr>
          <w:rtl/>
        </w:rPr>
        <w:t xml:space="preserve"> המתוכננת, ואין שום חשש.”</w:t>
      </w:r>
    </w:p>
    <w:p w14:paraId="283B5A63" w14:textId="60D4B2A7" w:rsidR="00AB3647" w:rsidRDefault="00000000" w:rsidP="007923E9">
      <w:pPr>
        <w:spacing w:after="120" w:line="276" w:lineRule="auto"/>
        <w:ind w:firstLine="283"/>
        <w:jc w:val="both"/>
      </w:pPr>
      <w:r>
        <w:rPr>
          <w:rtl/>
        </w:rPr>
        <w:t xml:space="preserve">שיתוף הפעולה בין ר׳ </w:t>
      </w:r>
      <w:proofErr w:type="spellStart"/>
      <w:r>
        <w:rPr>
          <w:rtl/>
        </w:rPr>
        <w:t>יצחק־אייזיק</w:t>
      </w:r>
      <w:proofErr w:type="spellEnd"/>
      <w:r>
        <w:rPr>
          <w:rtl/>
        </w:rPr>
        <w:t xml:space="preserve"> </w:t>
      </w:r>
      <w:proofErr w:type="spellStart"/>
      <w:r>
        <w:rPr>
          <w:rtl/>
        </w:rPr>
        <w:t>הלוי־רבינוביץ</w:t>
      </w:r>
      <w:proofErr w:type="spellEnd"/>
      <w:r>
        <w:rPr>
          <w:rtl/>
        </w:rPr>
        <w:t xml:space="preserve"> </w:t>
      </w:r>
      <w:proofErr w:type="spellStart"/>
      <w:r>
        <w:rPr>
          <w:rtl/>
        </w:rPr>
        <w:t>לר</w:t>
      </w:r>
      <w:proofErr w:type="spellEnd"/>
      <w:r>
        <w:rPr>
          <w:rtl/>
        </w:rPr>
        <w:t xml:space="preserve">׳ יעקב הלוי ליפשיץ במקרה זה מזכיר את שיתוף הפעולה שהוצע להם עשרים ושש שנה קודם לכן. ההצעה נועדה לסכל את ניסיונו של הברון דוד </w:t>
      </w:r>
      <w:proofErr w:type="spellStart"/>
      <w:r>
        <w:rPr>
          <w:rtl/>
        </w:rPr>
        <w:t>גינצבורג</w:t>
      </w:r>
      <w:proofErr w:type="spellEnd"/>
      <w:r>
        <w:rPr>
          <w:rtl/>
        </w:rPr>
        <w:t xml:space="preserve"> להחיות בשנת תרמ״ב את בית המדרש לרבנים, שממשלת רוסיה סגרה כעשר שנים קודם לכן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במכתב שנדפס מחדש </w:t>
      </w:r>
      <w:proofErr w:type="spellStart"/>
      <w:r>
        <w:rPr>
          <w:rtl/>
        </w:rPr>
        <w:t>ב“זכרון</w:t>
      </w:r>
      <w:proofErr w:type="spellEnd"/>
      <w:r>
        <w:rPr>
          <w:rtl/>
        </w:rPr>
        <w:t xml:space="preserve"> יעקב”</w:t>
      </w:r>
      <w:bookmarkStart w:id="2839" w:name="_fnr1970"/>
      <w:r>
        <w:rPr>
          <w:rStyle w:val="a5"/>
        </w:rPr>
        <w:footnoteReference w:id="1975" w:customMarkFollows="0"/>
      </w:r>
      <w:bookmarkEnd w:id="2839"/>
      <w:r>
        <w:rPr>
          <w:rtl/>
        </w:rPr>
        <w:t xml:space="preserve"> כותב ר׳ ישראל </w:t>
      </w:r>
      <w:proofErr w:type="spellStart"/>
      <w:r>
        <w:rPr>
          <w:rtl/>
        </w:rPr>
        <w:t>סלנטר</w:t>
      </w:r>
      <w:proofErr w:type="spellEnd"/>
      <w:r>
        <w:rPr>
          <w:rtl/>
        </w:rPr>
        <w:t xml:space="preserve"> </w:t>
      </w:r>
      <w:proofErr w:type="spellStart"/>
      <w:r>
        <w:rPr>
          <w:rtl/>
        </w:rPr>
        <w:t>לר</w:t>
      </w:r>
      <w:proofErr w:type="spellEnd"/>
      <w:r>
        <w:rPr>
          <w:rtl/>
        </w:rPr>
        <w:t xml:space="preserve">׳ יעקב הלוי ליפשיץ בג׳ </w:t>
      </w:r>
      <w:proofErr w:type="spellStart"/>
      <w:r>
        <w:rPr>
          <w:rtl/>
        </w:rPr>
        <w:t>וארא</w:t>
      </w:r>
      <w:proofErr w:type="spellEnd"/>
      <w:r>
        <w:rPr>
          <w:rtl/>
        </w:rPr>
        <w:t xml:space="preserve"> תרמ״ג – כחודש לפני פטירת ר׳ ישראל – ומבקש “מכבודו למחול ולנסוע לווילנה לפגוש את ר׳ </w:t>
      </w:r>
      <w:proofErr w:type="spellStart"/>
      <w:r>
        <w:rPr>
          <w:rtl/>
        </w:rPr>
        <w:t>יצחק־אייזיק</w:t>
      </w:r>
      <w:proofErr w:type="spellEnd"/>
      <w:r>
        <w:rPr>
          <w:rtl/>
        </w:rPr>
        <w:t xml:space="preserve"> הלוי </w:t>
      </w:r>
      <w:proofErr w:type="spellStart"/>
      <w:r>
        <w:rPr>
          <w:rtl/>
        </w:rPr>
        <w:t>רבינוביץ</w:t>
      </w:r>
      <w:proofErr w:type="spellEnd"/>
      <w:r>
        <w:rPr>
          <w:rtl/>
        </w:rPr>
        <w:t xml:space="preserve">”. יחד עליהם “לדבר בנחת” עם חתנו של ר׳ ישראל,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דיין בווילנה משנת תרט״ז, כדי להבטיח שגם הוא יבין את הסכנה שבהצעת </w:t>
      </w:r>
      <w:proofErr w:type="spellStart"/>
      <w:r>
        <w:rPr>
          <w:rtl/>
        </w:rPr>
        <w:t>גינצבורג</w:t>
      </w:r>
      <w:proofErr w:type="spellEnd"/>
      <w:r>
        <w:rPr>
          <w:rtl/>
        </w:rPr>
        <w:t xml:space="preserve">. ר׳ </w:t>
      </w:r>
      <w:proofErr w:type="spellStart"/>
      <w:r>
        <w:rPr>
          <w:rtl/>
        </w:rPr>
        <w:t>יצחק־אייזיק</w:t>
      </w:r>
      <w:proofErr w:type="spellEnd"/>
      <w:r>
        <w:rPr>
          <w:rtl/>
        </w:rPr>
        <w:t xml:space="preserve"> היה צעיר מר׳ יעקב הלוי בתשע שנים.</w:t>
      </w:r>
    </w:p>
    <w:p w14:paraId="08074842" w14:textId="5AD6A28F" w:rsidR="00AB3647" w:rsidRDefault="00000000" w:rsidP="007923E9">
      <w:pPr>
        <w:spacing w:after="120" w:line="276" w:lineRule="auto"/>
        <w:ind w:firstLine="283"/>
        <w:jc w:val="both"/>
      </w:pPr>
      <w:r>
        <w:rPr>
          <w:rtl/>
        </w:rPr>
        <w:t xml:space="preserve">השווה גם פרק 4, הפסקה הרביעית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סלידתו של ר׳ יעקב הלוי ליפשיץ אף משמץ של השכלה – תכונה שר׳ חיים בוודאי ראה בעין יפה – ואת הפסקה השנייה של אותו נספח, בעניין ר׳ </w:t>
      </w:r>
      <w:proofErr w:type="spellStart"/>
      <w:r>
        <w:rPr>
          <w:rtl/>
        </w:rPr>
        <w:t>אברהם־דובער</w:t>
      </w:r>
      <w:proofErr w:type="spellEnd"/>
      <w:r>
        <w:rPr>
          <w:rtl/>
        </w:rPr>
        <w:t xml:space="preserve"> </w:t>
      </w:r>
      <w:proofErr w:type="spellStart"/>
      <w:r>
        <w:rPr>
          <w:rtl/>
        </w:rPr>
        <w:t>כהנא־שפירא</w:t>
      </w:r>
      <w:proofErr w:type="spellEnd"/>
      <w:r>
        <w:rPr>
          <w:rtl/>
        </w:rPr>
        <w:t>.</w:t>
      </w:r>
    </w:p>
    <w:p w14:paraId="1A6BB99C" w14:textId="77272562" w:rsidR="00AB3647" w:rsidRDefault="00000000" w:rsidP="007923E9">
      <w:pPr>
        <w:spacing w:after="120" w:line="276" w:lineRule="auto"/>
        <w:ind w:firstLine="283"/>
        <w:jc w:val="both"/>
      </w:pPr>
      <w:r>
        <w:rPr>
          <w:rtl/>
        </w:rPr>
        <w:t xml:space="preserve">כיצד הכיר ר׳ חיים את ר׳ יעקב הלוי – אין אנו יכולים אלא לשער. לא סביר שר׳ חיים הסתמך על דעת רבנים אחרים עליו. אפשר לשער אם כן שהתוודע אליו בקריאת מאמריו בעיתון האורתודוקסי “הלבנון”, שבהם התפלמס ר׳ יעקב הלוי ליפשיץ עם הכותבים המשכילים </w:t>
      </w:r>
      <w:proofErr w:type="spellStart"/>
      <w:r>
        <w:rPr>
          <w:rtl/>
        </w:rPr>
        <w:t>ב“המגיד</w:t>
      </w:r>
      <w:proofErr w:type="spellEnd"/>
      <w:r>
        <w:rPr>
          <w:rtl/>
        </w:rPr>
        <w:t xml:space="preserve">” </w:t>
      </w:r>
      <w:proofErr w:type="spellStart"/>
      <w:r>
        <w:rPr>
          <w:rtl/>
        </w:rPr>
        <w:t>וב“המליץ</w:t>
      </w:r>
      <w:proofErr w:type="spellEnd"/>
      <w:r>
        <w:rPr>
          <w:rtl/>
        </w:rPr>
        <w:t>”</w:t>
      </w:r>
      <w:bookmarkStart w:id="2840" w:name="_fnr1971"/>
      <w:r>
        <w:rPr>
          <w:rStyle w:val="a5"/>
        </w:rPr>
        <w:footnoteReference w:id="1976" w:customMarkFollows="0"/>
      </w:r>
      <w:bookmarkEnd w:id="2840"/>
      <w:r>
        <w:rPr>
          <w:rtl/>
        </w:rPr>
        <w:t xml:space="preserve">. אך למרות אמונו של ר׳ חיים, ראה להלן, בפסקה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על ההסתייגויות שהיו לו מקנאותו של ר׳ יעקב הלוי ליפשיץ.</w:t>
      </w:r>
    </w:p>
    <w:p w14:paraId="31BC60E7" w14:textId="77777777" w:rsidR="00AB3647" w:rsidRDefault="00000000" w:rsidP="007923E9">
      <w:pPr>
        <w:spacing w:after="120" w:line="276" w:lineRule="auto"/>
        <w:ind w:firstLine="283"/>
        <w:jc w:val="both"/>
      </w:pPr>
      <w:r>
        <w:rPr>
          <w:rtl/>
        </w:rPr>
        <w:t xml:space="preserve">ר׳ </w:t>
      </w:r>
      <w:proofErr w:type="spellStart"/>
      <w:r>
        <w:rPr>
          <w:rtl/>
        </w:rPr>
        <w:t>חנניה־יוסף</w:t>
      </w:r>
      <w:proofErr w:type="spellEnd"/>
      <w:r>
        <w:rPr>
          <w:rtl/>
        </w:rPr>
        <w:t xml:space="preserve"> </w:t>
      </w:r>
      <w:proofErr w:type="spellStart"/>
      <w:r>
        <w:rPr>
          <w:rtl/>
        </w:rPr>
        <w:t>אייזנבך</w:t>
      </w:r>
      <w:proofErr w:type="spellEnd"/>
      <w:r>
        <w:rPr>
          <w:rtl/>
        </w:rPr>
        <w:t xml:space="preserve"> (מחוגי </w:t>
      </w:r>
      <w:proofErr w:type="spellStart"/>
      <w:r>
        <w:rPr>
          <w:rtl/>
        </w:rPr>
        <w:t>ליובאוויטש</w:t>
      </w:r>
      <w:proofErr w:type="spellEnd"/>
      <w:r>
        <w:rPr>
          <w:rtl/>
        </w:rPr>
        <w:t>) אמר</w:t>
      </w:r>
      <w:bookmarkStart w:id="2841" w:name="_fnr1972"/>
      <w:r>
        <w:rPr>
          <w:rStyle w:val="a5"/>
        </w:rPr>
        <w:footnoteReference w:id="1977" w:customMarkFollows="0"/>
      </w:r>
      <w:bookmarkEnd w:id="2841"/>
      <w:r>
        <w:rPr>
          <w:rtl/>
        </w:rPr>
        <w:t xml:space="preserve"> </w:t>
      </w:r>
      <w:proofErr w:type="spellStart"/>
      <w:r>
        <w:rPr>
          <w:rtl/>
        </w:rPr>
        <w:t>שהנצי״ב</w:t>
      </w:r>
      <w:proofErr w:type="spellEnd"/>
      <w:r>
        <w:rPr>
          <w:rtl/>
        </w:rPr>
        <w:t>, שהיה בעצמו מתנגד תקיף למוסר</w:t>
      </w:r>
      <w:bookmarkStart w:id="2842" w:name="_fnr1973"/>
      <w:r>
        <w:rPr>
          <w:rStyle w:val="a5"/>
        </w:rPr>
        <w:footnoteReference w:id="1978" w:customMarkFollows="0"/>
      </w:r>
      <w:bookmarkEnd w:id="2842"/>
      <w:r>
        <w:rPr>
          <w:rtl/>
        </w:rPr>
        <w:t>, סירב להיפגש עם ר׳ יעקב הלוי ליפשיץ משום שלא ראה בו אדם דובר אמת. אילו היה ממש בהאשמה כזאת, אנשי המוסר בוודאי היו מטיחים אותה בו וחוזרים עליה. מסתבר שהמשכילים, שכדרכם היו מתפלמסים חסרי מוסר</w:t>
      </w:r>
      <w:bookmarkStart w:id="2843" w:name="_fnr1974"/>
      <w:r>
        <w:rPr>
          <w:rStyle w:val="a5"/>
        </w:rPr>
        <w:footnoteReference w:id="1979" w:customMarkFollows="0"/>
      </w:r>
      <w:bookmarkEnd w:id="2843"/>
      <w:r>
        <w:rPr>
          <w:rtl/>
        </w:rPr>
        <w:t xml:space="preserve">, העלילו עליו עלילה זו, </w:t>
      </w:r>
      <w:proofErr w:type="spellStart"/>
      <w:r>
        <w:rPr>
          <w:rtl/>
        </w:rPr>
        <w:t>ובליובאוויטש</w:t>
      </w:r>
      <w:proofErr w:type="spellEnd"/>
      <w:r>
        <w:rPr>
          <w:rtl/>
        </w:rPr>
        <w:t xml:space="preserve"> חזרו עליה על אודות אותו מתנגד.</w:t>
      </w:r>
    </w:p>
    <w:p w14:paraId="22DE3F7B" w14:textId="77777777" w:rsidR="00AB3647" w:rsidRDefault="00000000" w:rsidP="007923E9">
      <w:pPr>
        <w:spacing w:after="120" w:line="276" w:lineRule="auto"/>
        <w:ind w:firstLine="283"/>
        <w:jc w:val="both"/>
      </w:pPr>
      <w:r>
        <w:rPr>
          <w:rtl/>
        </w:rPr>
        <w:lastRenderedPageBreak/>
        <w:t>השווה “</w:t>
      </w:r>
      <w:proofErr w:type="spellStart"/>
      <w:r>
        <w:rPr>
          <w:rtl/>
        </w:rPr>
        <w:t>זכרון</w:t>
      </w:r>
      <w:proofErr w:type="spellEnd"/>
      <w:r>
        <w:rPr>
          <w:rtl/>
        </w:rPr>
        <w:t xml:space="preserve"> יעקב”, כרך ב, פרק 16, שכותרתו “מחלוקת החסידים </w:t>
      </w:r>
      <w:proofErr w:type="spellStart"/>
      <w:r>
        <w:rPr>
          <w:rtl/>
        </w:rPr>
        <w:t>בווילקומיר</w:t>
      </w:r>
      <w:proofErr w:type="spellEnd"/>
      <w:r>
        <w:rPr>
          <w:rtl/>
        </w:rPr>
        <w:t xml:space="preserve"> וסביבותיה”, ושר׳ יעקב הלוי, יליד </w:t>
      </w:r>
      <w:proofErr w:type="spellStart"/>
      <w:r>
        <w:rPr>
          <w:rtl/>
        </w:rPr>
        <w:t>וילקומיר</w:t>
      </w:r>
      <w:proofErr w:type="spellEnd"/>
      <w:r>
        <w:rPr>
          <w:rtl/>
        </w:rPr>
        <w:t xml:space="preserve">, פותח אותו כך: “בערך בשנת </w:t>
      </w:r>
      <w:proofErr w:type="spellStart"/>
      <w:r>
        <w:rPr>
          <w:rtl/>
        </w:rPr>
        <w:t>תר״ך</w:t>
      </w:r>
      <w:proofErr w:type="spellEnd"/>
      <w:r>
        <w:rPr>
          <w:rtl/>
        </w:rPr>
        <w:t xml:space="preserve"> עוד הכרתי אנשים שאבותיהם עמדו במערכות החסידים והמתנגדים ועוד זכרו את אש המחלוקת שפרצה בראשית התפתחות החסידות, ובניהם נשאו איבה ושנאה זה לזה כאילו המחלוקת הייתה בימיהם...”</w:t>
      </w:r>
    </w:p>
    <w:p w14:paraId="4336290D" w14:textId="77777777" w:rsidR="00AB3647" w:rsidRDefault="00000000" w:rsidP="007923E9">
      <w:pPr>
        <w:spacing w:after="120" w:line="276" w:lineRule="auto"/>
        <w:ind w:firstLine="283"/>
        <w:jc w:val="both"/>
      </w:pPr>
      <w:r>
        <w:rPr>
          <w:rtl/>
        </w:rPr>
        <w:t xml:space="preserve">אומנם האדמו״ר </w:t>
      </w:r>
      <w:proofErr w:type="spellStart"/>
      <w:r>
        <w:rPr>
          <w:rtl/>
        </w:rPr>
        <w:t>מליובאוויטש</w:t>
      </w:r>
      <w:proofErr w:type="spellEnd"/>
      <w:r>
        <w:rPr>
          <w:rtl/>
        </w:rPr>
        <w:t xml:space="preserve">, ר׳ </w:t>
      </w:r>
      <w:proofErr w:type="spellStart"/>
      <w:r>
        <w:rPr>
          <w:rtl/>
        </w:rPr>
        <w:t>יוסף־יצחק</w:t>
      </w:r>
      <w:proofErr w:type="spellEnd"/>
      <w:r>
        <w:rPr>
          <w:rtl/>
        </w:rPr>
        <w:t xml:space="preserve"> שניאורסון, כתב למשפחת ר׳ יעקב הלוי מכתב תנחומים מלא שבחים עם פטירתו</w:t>
      </w:r>
      <w:bookmarkStart w:id="2844" w:name="_fnr1975"/>
      <w:r>
        <w:rPr>
          <w:rStyle w:val="a5"/>
        </w:rPr>
        <w:footnoteReference w:id="1980" w:customMarkFollows="0"/>
      </w:r>
      <w:bookmarkEnd w:id="2844"/>
      <w:r>
        <w:rPr>
          <w:rtl/>
        </w:rPr>
        <w:t>, וגם</w:t>
      </w:r>
      <w:bookmarkStart w:id="2845" w:name="_fnr1976"/>
      <w:r>
        <w:rPr>
          <w:rStyle w:val="a5"/>
        </w:rPr>
        <w:footnoteReference w:id="1981" w:customMarkFollows="0"/>
      </w:r>
      <w:bookmarkEnd w:id="2845"/>
      <w:r>
        <w:rPr>
          <w:rtl/>
        </w:rPr>
        <w:t xml:space="preserve"> ר׳ יעקב הלוי ליפשיץ נראה מאוזן למדי בין החסידים למתנגדיהם. אבל הייתה לו גם ביקורת על חסיד מסוים </w:t>
      </w:r>
      <w:proofErr w:type="spellStart"/>
      <w:r>
        <w:rPr>
          <w:rtl/>
        </w:rPr>
        <w:t>מליובאוויטש</w:t>
      </w:r>
      <w:proofErr w:type="spellEnd"/>
      <w:r>
        <w:rPr>
          <w:rtl/>
        </w:rPr>
        <w:t xml:space="preserve"> </w:t>
      </w:r>
      <w:proofErr w:type="spellStart"/>
      <w:r>
        <w:rPr>
          <w:rtl/>
        </w:rPr>
        <w:t>בווילקומיר</w:t>
      </w:r>
      <w:proofErr w:type="spellEnd"/>
      <w:r>
        <w:rPr>
          <w:rtl/>
        </w:rPr>
        <w:t>, שאותו נקב בשמו. הוא כתב</w:t>
      </w:r>
      <w:bookmarkStart w:id="2846" w:name="_fnr1977"/>
      <w:r>
        <w:rPr>
          <w:rStyle w:val="a5"/>
        </w:rPr>
        <w:footnoteReference w:id="1982" w:customMarkFollows="0"/>
      </w:r>
      <w:bookmarkEnd w:id="2846"/>
      <w:r>
        <w:rPr>
          <w:rtl/>
        </w:rPr>
        <w:t>: “אחד מנכבדי עדת החסידים, איש נכבד ויקר שהיה ירא שמים גדול וחסיד נלהב, נכשל ותמך בסופר הידוע אברהם מאפו</w:t>
      </w:r>
      <w:bookmarkStart w:id="2847" w:name="_fnr1978"/>
      <w:r>
        <w:rPr>
          <w:rStyle w:val="a5"/>
        </w:rPr>
        <w:footnoteReference w:id="1983" w:customMarkFollows="0"/>
      </w:r>
      <w:bookmarkEnd w:id="2847"/>
      <w:r>
        <w:rPr>
          <w:rtl/>
        </w:rPr>
        <w:t xml:space="preserve"> בהוצאת ספרו ‘עיט צבוע’</w:t>
      </w:r>
      <w:bookmarkStart w:id="2848" w:name="_fnr1979"/>
      <w:r>
        <w:rPr>
          <w:rStyle w:val="a5"/>
        </w:rPr>
        <w:footnoteReference w:id="1984" w:customMarkFollows="0"/>
      </w:r>
      <w:bookmarkEnd w:id="2848"/>
      <w:r>
        <w:rPr>
          <w:rtl/>
        </w:rPr>
        <w:t xml:space="preserve">, המלא לעג וקלס... משום </w:t>
      </w:r>
      <w:proofErr w:type="spellStart"/>
      <w:r>
        <w:rPr>
          <w:rtl/>
        </w:rPr>
        <w:t>ש‘עיט</w:t>
      </w:r>
      <w:proofErr w:type="spellEnd"/>
      <w:r>
        <w:rPr>
          <w:rtl/>
        </w:rPr>
        <w:t xml:space="preserve"> צבוע’ זה [מאפו] לועג בו למתנגדים[־הרבנים]...</w:t>
      </w:r>
      <w:bookmarkStart w:id="2849" w:name="_fnr1980"/>
      <w:r>
        <w:rPr>
          <w:rStyle w:val="a5"/>
        </w:rPr>
        <w:footnoteReference w:id="1985" w:customMarkFollows="0"/>
      </w:r>
      <w:bookmarkEnd w:id="2849"/>
      <w:r>
        <w:rPr>
          <w:rtl/>
        </w:rPr>
        <w:t xml:space="preserve"> איש ירא שמים זה – שגם מאס עד מאוד בכל מי שביזה ולעג לתורה וללומדיה – האיש שבכה במסתרים על חילול השם ועל השפלת התורה, נתן את תמיכתו לחוטאים רק כדי לנקום במתנגדים.” אפשר שבשל התקפה זו נטרו חסידי </w:t>
      </w:r>
      <w:proofErr w:type="spellStart"/>
      <w:r>
        <w:rPr>
          <w:rtl/>
        </w:rPr>
        <w:t>ליובאוויטש</w:t>
      </w:r>
      <w:proofErr w:type="spellEnd"/>
      <w:r>
        <w:rPr>
          <w:rtl/>
        </w:rPr>
        <w:t xml:space="preserve"> טינה </w:t>
      </w:r>
      <w:proofErr w:type="spellStart"/>
      <w:r>
        <w:rPr>
          <w:rtl/>
        </w:rPr>
        <w:t>לר</w:t>
      </w:r>
      <w:proofErr w:type="spellEnd"/>
      <w:r>
        <w:rPr>
          <w:rtl/>
        </w:rPr>
        <w:t>׳ יעקב הלוי ליפשיץ, ואימצו את דיבת המשכילים המרושעת עליו.</w:t>
      </w:r>
    </w:p>
    <w:p w14:paraId="0FD1A99F" w14:textId="33D20DD9" w:rsidR="00AB3647" w:rsidRDefault="00000000" w:rsidP="007923E9">
      <w:pPr>
        <w:spacing w:after="120" w:line="276" w:lineRule="auto"/>
        <w:ind w:firstLine="283"/>
        <w:jc w:val="both"/>
      </w:pPr>
      <w:r>
        <w:rPr>
          <w:rtl/>
        </w:rPr>
        <w:t>ראוי לשים לב לתיאורו הנדיב של ר׳ יעקב את אותו חסיד ששמו נזכר, למרות סיועו לאויב התורה אברהם מאפו – איש קבוצת המשכילים שר׳ יעקב הלוי ליפשיץ הקדיש את חייו למאבק בה. ר׳ יעקב הלוי היה הכוח המרכזי במאבק הספרותי נגדם: החל בהבאת “הלבנון” לשליטת האורתודוקסים</w:t>
      </w:r>
      <w:bookmarkStart w:id="2850" w:name="_fnr1981"/>
      <w:r>
        <w:rPr>
          <w:rStyle w:val="a5"/>
        </w:rPr>
        <w:footnoteReference w:id="1986" w:customMarkFollows="0"/>
      </w:r>
      <w:bookmarkEnd w:id="2850"/>
      <w:r>
        <w:rPr>
          <w:rtl/>
        </w:rPr>
        <w:t xml:space="preserve"> ובגיוס הכספים שנדרשו לכך, ועד המאמרים הרבים והיעילים שכתב בעצמו. אולי אורך רוח זה הוא דוגמה נוספת לענוותו של ר׳ יעקב הלוי ליפשיץ, אותה מידה טובה שאבי ייחס לו, כמובא ב</w:t>
      </w:r>
      <w:r>
        <w:rPr>
          <w:rtl/>
        </w:rPr>
        <w:fldChar w:fldCharType="begin" w:dirty="true"/>
      </w:r>
      <w:r>
        <w:rPr>
          <w:rtl/>
        </w:rPr>
        <w:instrText xml:space="preserve"> REF b3_excP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 xml:space="preserve"> להלן.</w:t>
      </w:r>
    </w:p>
    <w:p w14:paraId="796500B1" w14:textId="77777777" w:rsidR="00AB3647" w:rsidRDefault="00000000" w:rsidP="007923E9">
      <w:pPr>
        <w:spacing w:after="120" w:line="276" w:lineRule="auto"/>
        <w:ind w:firstLine="283"/>
        <w:jc w:val="both"/>
      </w:pPr>
      <w:r>
        <w:rPr>
          <w:rtl/>
        </w:rPr>
        <w:t>אין ספק שהמשכילים ניסו להציג את ר׳ יעקב הלוי ליפשיץ כאדם בלתי ישר. השווה פרק 3 של “פולמוס המוסר”</w:t>
      </w:r>
      <w:bookmarkStart w:id="2851" w:name="_fnr1982"/>
      <w:r>
        <w:rPr>
          <w:rStyle w:val="a5"/>
        </w:rPr>
        <w:footnoteReference w:id="1987" w:customMarkFollows="0"/>
      </w:r>
      <w:bookmarkEnd w:id="2851"/>
      <w:r>
        <w:rPr>
          <w:rtl/>
        </w:rPr>
        <w:t xml:space="preserve">, המצטט את המאמרים </w:t>
      </w:r>
      <w:proofErr w:type="spellStart"/>
      <w:r>
        <w:rPr>
          <w:rtl/>
        </w:rPr>
        <w:t>ב“המליץ</w:t>
      </w:r>
      <w:proofErr w:type="spellEnd"/>
      <w:r>
        <w:rPr>
          <w:rtl/>
        </w:rPr>
        <w:t xml:space="preserve">” משנת תרמ״ט ומשנת </w:t>
      </w:r>
      <w:proofErr w:type="spellStart"/>
      <w:r>
        <w:rPr>
          <w:rtl/>
        </w:rPr>
        <w:t>תר״ן</w:t>
      </w:r>
      <w:proofErr w:type="spellEnd"/>
      <w:r>
        <w:rPr>
          <w:rtl/>
        </w:rPr>
        <w:t xml:space="preserve"> שהאשימו את הנהלת כולל קובנה בגנבת הכספים שגייסו המשולחים – ובמיוחד את ר׳ </w:t>
      </w:r>
      <w:proofErr w:type="spellStart"/>
      <w:r>
        <w:rPr>
          <w:rtl/>
        </w:rPr>
        <w:t>איצל׳ה</w:t>
      </w:r>
      <w:proofErr w:type="spellEnd"/>
      <w:r>
        <w:rPr>
          <w:rtl/>
        </w:rPr>
        <w:t xml:space="preserve"> </w:t>
      </w:r>
      <w:proofErr w:type="spellStart"/>
      <w:r>
        <w:rPr>
          <w:rtl/>
        </w:rPr>
        <w:t>בלאזר</w:t>
      </w:r>
      <w:proofErr w:type="spellEnd"/>
      <w:r>
        <w:rPr>
          <w:rtl/>
        </w:rPr>
        <w:t>, שהמשכילים שנאו אותו בשל דבקותו במוסר והפצתו. “פולמוס המוסר” מתאר</w:t>
      </w:r>
      <w:bookmarkStart w:id="2852" w:name="_fnr1983"/>
      <w:r>
        <w:rPr>
          <w:rStyle w:val="a5"/>
        </w:rPr>
        <w:footnoteReference w:id="1988" w:customMarkFollows="0"/>
      </w:r>
      <w:bookmarkEnd w:id="2852"/>
      <w:r>
        <w:rPr>
          <w:rtl/>
        </w:rPr>
        <w:t xml:space="preserve"> כיצד הזכירו המאמרים את ר׳ יעקב הלוי ליפשיץ, מזכיר הכולל בשכר משנת תר״מ, יחד עם ר׳ </w:t>
      </w:r>
      <w:proofErr w:type="spellStart"/>
      <w:r>
        <w:rPr>
          <w:rtl/>
        </w:rPr>
        <w:t>איצל׳ה</w:t>
      </w:r>
      <w:proofErr w:type="spellEnd"/>
      <w:r>
        <w:rPr>
          <w:rtl/>
        </w:rPr>
        <w:t xml:space="preserve">, כמי שעיניהם מחפשות “מקצהו עד קצהו” רק בצע כסף. הם קיצרו את שם משפחתו לאות הראשונה ולאחרונה, ולעגו לו בכינוי “יעקב הלוי </w:t>
      </w:r>
      <w:proofErr w:type="spellStart"/>
      <w:r>
        <w:rPr>
          <w:rtl/>
        </w:rPr>
        <w:t>ל״ץ</w:t>
      </w:r>
      <w:proofErr w:type="spellEnd"/>
      <w:r>
        <w:rPr>
          <w:rtl/>
        </w:rPr>
        <w:t>”.</w:t>
      </w:r>
    </w:p>
    <w:p w14:paraId="32D86E87" w14:textId="1C6A1161" w:rsidR="00AB3647" w:rsidRDefault="00000000" w:rsidP="007923E9">
      <w:pPr>
        <w:spacing w:after="120" w:line="276" w:lineRule="auto"/>
        <w:ind w:firstLine="283"/>
        <w:jc w:val="both"/>
      </w:pPr>
      <w:r>
        <w:rPr>
          <w:rtl/>
        </w:rPr>
        <w:lastRenderedPageBreak/>
        <w:t>השווה גם “</w:t>
      </w:r>
      <w:proofErr w:type="spellStart"/>
      <w:r>
        <w:rPr>
          <w:rtl/>
        </w:rPr>
        <w:t>זכרונות</w:t>
      </w:r>
      <w:proofErr w:type="spellEnd"/>
      <w:r>
        <w:rPr>
          <w:rtl/>
        </w:rPr>
        <w:t xml:space="preserve">” של הרב יעקב </w:t>
      </w:r>
      <w:proofErr w:type="spellStart"/>
      <w:r>
        <w:rPr>
          <w:rtl/>
        </w:rPr>
        <w:t>מזא״ה</w:t>
      </w:r>
      <w:bookmarkStart w:id="2853" w:name="_fnr1984"/>
      <w:proofErr w:type="spellEnd"/>
      <w:r>
        <w:rPr>
          <w:rStyle w:val="a5"/>
        </w:rPr>
        <w:footnoteReference w:id="1989" w:customMarkFollows="0"/>
      </w:r>
      <w:bookmarkEnd w:id="2853"/>
      <w:r>
        <w:rPr>
          <w:rtl/>
        </w:rPr>
        <w:t xml:space="preserve">, שלפיהם חזר הגביר ר׳ </w:t>
      </w:r>
      <w:proofErr w:type="spellStart"/>
      <w:r>
        <w:rPr>
          <w:rtl/>
        </w:rPr>
        <w:t>רפאל־שלמה</w:t>
      </w:r>
      <w:proofErr w:type="spellEnd"/>
      <w:r>
        <w:rPr>
          <w:rtl/>
        </w:rPr>
        <w:t xml:space="preserve"> גץ על </w:t>
      </w:r>
      <w:proofErr w:type="spellStart"/>
      <w:r>
        <w:rPr>
          <w:rtl/>
        </w:rPr>
        <w:t>האשמותיהם</w:t>
      </w:r>
      <w:proofErr w:type="spellEnd"/>
      <w:r>
        <w:rPr>
          <w:rtl/>
        </w:rPr>
        <w:t xml:space="preserve"> נגד ר׳ יעקב הלוי ליפשיץ, כי מעל לא רק בכספי הכולל אלא בכספים מכל מיני מגביות ציבוריות, ובכללן אלה שנועדו </w:t>
      </w:r>
      <w:proofErr w:type="spellStart"/>
      <w:r>
        <w:rPr>
          <w:rtl/>
        </w:rPr>
        <w:t>ל“כשר־קעסיל</w:t>
      </w:r>
      <w:proofErr w:type="spellEnd"/>
      <w:r>
        <w:rPr>
          <w:rtl/>
        </w:rPr>
        <w:t xml:space="preserve"> (מזון כשר לחיילים יהודים)”</w:t>
      </w:r>
      <w:bookmarkStart w:id="2854" w:name="_fnr1985"/>
      <w:r>
        <w:rPr>
          <w:rStyle w:val="a5"/>
        </w:rPr>
        <w:footnoteReference w:id="1990" w:customMarkFollows="0"/>
      </w:r>
      <w:bookmarkEnd w:id="2854"/>
      <w:r>
        <w:rPr>
          <w:rtl/>
        </w:rPr>
        <w:t xml:space="preserve">. אין ספק שגץ הושפע מן המשכילים, שהתחרו על הרובלים שנתן לצדקה. השווה פרק 4, סוף הפסקה הראשונה של הערה </w:t>
      </w:r>
      <w:r>
        <w:rPr>
          <w:rtl/>
        </w:rPr>
        <w:fldChar w:fldCharType="begin" w:dirty="true"/>
      </w:r>
      <w:r>
        <w:rPr>
          <w:rtl/>
        </w:rPr>
        <w:instrText xml:space="preserve"> REF b4_note109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שם מובאים דברי אבי שחמיו של גץ, ר׳ </w:t>
      </w:r>
      <w:proofErr w:type="spellStart"/>
      <w:r>
        <w:rPr>
          <w:rtl/>
        </w:rPr>
        <w:t>קלמן־וולף</w:t>
      </w:r>
      <w:proofErr w:type="spellEnd"/>
      <w:r>
        <w:rPr>
          <w:rtl/>
        </w:rPr>
        <w:t xml:space="preserve"> ויסוצקי, תמך תחילה באנשי המוסר, ולאחר מכן נעשה לתומכו של </w:t>
      </w:r>
      <w:proofErr w:type="spellStart"/>
      <w:r>
        <w:rPr>
          <w:rtl/>
        </w:rPr>
        <w:t>אחד־העם</w:t>
      </w:r>
      <w:proofErr w:type="spellEnd"/>
      <w:r>
        <w:rPr>
          <w:rtl/>
        </w:rPr>
        <w:t xml:space="preserve"> (אשר </w:t>
      </w:r>
      <w:proofErr w:type="spellStart"/>
      <w:r>
        <w:rPr>
          <w:rtl/>
        </w:rPr>
        <w:t>גינצבורג</w:t>
      </w:r>
      <w:proofErr w:type="spellEnd"/>
      <w:r>
        <w:rPr>
          <w:rtl/>
        </w:rPr>
        <w:t>).</w:t>
      </w:r>
    </w:p>
    <w:p w14:paraId="3414FDFF" w14:textId="77777777" w:rsidR="00AB3647" w:rsidRDefault="00000000" w:rsidP="007923E9">
      <w:pPr>
        <w:spacing w:after="120" w:line="276" w:lineRule="auto"/>
        <w:ind w:firstLine="283"/>
        <w:jc w:val="both"/>
      </w:pPr>
      <w:r>
        <w:rPr>
          <w:rtl/>
        </w:rPr>
        <w:t xml:space="preserve">כשהזעקה בעיתונות דרשה חשבון על הכספים שנאספו לכולל קובנה, שכר ר׳ </w:t>
      </w:r>
      <w:proofErr w:type="spellStart"/>
      <w:r>
        <w:rPr>
          <w:rtl/>
        </w:rPr>
        <w:t>יצחק־אלחנן</w:t>
      </w:r>
      <w:proofErr w:type="spellEnd"/>
      <w:r>
        <w:rPr>
          <w:rtl/>
        </w:rPr>
        <w:t xml:space="preserve">, ראשו הרשמי של הכולל, רואי חשבון מוכרים. הללו בדקו את מחצית השנה האחרונה של פעילות הכולל והוציאו הודעה המעידה על תקינותו. אך “המליץ” לא הסתפק בכך ודרש חשבון מפורט, בטענה שמוליכים שולל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התמים ונותן האמון. “פולמוס המוסר”</w:t>
      </w:r>
      <w:bookmarkStart w:id="2855" w:name="_fnr1986"/>
      <w:r>
        <w:rPr>
          <w:rStyle w:val="a5"/>
        </w:rPr>
        <w:footnoteReference w:id="1991" w:customMarkFollows="0"/>
      </w:r>
      <w:bookmarkEnd w:id="2855"/>
      <w:r>
        <w:rPr>
          <w:rtl/>
        </w:rPr>
        <w:t xml:space="preserve"> מביא את “הסיבה האמיתית שלא פרסמו חשבון מפורט”, כך: “הכספים שנאספו שימשו גם לתמיכה בתלמידי ישיבת </w:t>
      </w:r>
      <w:proofErr w:type="spellStart"/>
      <w:r>
        <w:rPr>
          <w:rtl/>
        </w:rPr>
        <w:t>סלבודקה</w:t>
      </w:r>
      <w:bookmarkStart w:id="2856" w:name="_fnr1987"/>
      <w:proofErr w:type="spellEnd"/>
      <w:r>
        <w:rPr>
          <w:rStyle w:val="a5"/>
        </w:rPr>
        <w:footnoteReference w:id="1992" w:customMarkFollows="0"/>
      </w:r>
      <w:bookmarkEnd w:id="2856"/>
      <w:r>
        <w:rPr>
          <w:rtl/>
        </w:rPr>
        <w:t>, שמספרם הגיע למאות</w:t>
      </w:r>
      <w:bookmarkStart w:id="2857" w:name="_fnr1988"/>
      <w:r>
        <w:rPr>
          <w:rStyle w:val="a5"/>
        </w:rPr>
        <w:footnoteReference w:id="1993" w:customMarkFollows="0"/>
      </w:r>
      <w:bookmarkEnd w:id="2857"/>
      <w:r>
        <w:rPr>
          <w:rtl/>
        </w:rPr>
        <w:t xml:space="preserve">; ברוסיה היה אסור לקיים ישיבה גדולה לבחורים, וישיבת </w:t>
      </w:r>
      <w:proofErr w:type="spellStart"/>
      <w:r>
        <w:rPr>
          <w:rtl/>
        </w:rPr>
        <w:t>סלבודקה</w:t>
      </w:r>
      <w:proofErr w:type="spellEnd"/>
      <w:r>
        <w:rPr>
          <w:rtl/>
        </w:rPr>
        <w:t xml:space="preserve"> התקיימה שלא כחוק</w:t>
      </w:r>
      <w:bookmarkStart w:id="2858" w:name="_fnr1989"/>
      <w:r>
        <w:rPr>
          <w:rStyle w:val="a5"/>
        </w:rPr>
        <w:footnoteReference w:id="1994" w:customMarkFollows="0"/>
      </w:r>
      <w:bookmarkEnd w:id="2858"/>
      <w:r>
        <w:rPr>
          <w:rtl/>
        </w:rPr>
        <w:t>. רבים מן התלמידים שם גם השתמטו מן הגיוס, ולא היה אפשר לחשוף אותם לעיני הציבור. מלבד זאת, איסוף כספים למטרות כאלה היה אסור ברוסיה, והיה צריך לעשותו בחשאי ובמחתרת.”</w:t>
      </w:r>
    </w:p>
    <w:p w14:paraId="2460E805" w14:textId="77777777" w:rsidR="00AB3647" w:rsidRDefault="00000000" w:rsidP="007923E9">
      <w:pPr>
        <w:spacing w:after="120" w:line="276" w:lineRule="auto"/>
        <w:ind w:firstLine="283"/>
        <w:jc w:val="both"/>
      </w:pPr>
      <w:r>
        <w:rPr>
          <w:rtl/>
        </w:rPr>
        <w:t xml:space="preserve">אז פרסם ר׳ </w:t>
      </w:r>
      <w:proofErr w:type="spellStart"/>
      <w:r>
        <w:rPr>
          <w:rtl/>
        </w:rPr>
        <w:t>יצחק־אלחנן</w:t>
      </w:r>
      <w:proofErr w:type="spellEnd"/>
      <w:r>
        <w:rPr>
          <w:rtl/>
        </w:rPr>
        <w:t xml:space="preserve"> </w:t>
      </w:r>
      <w:proofErr w:type="spellStart"/>
      <w:r>
        <w:rPr>
          <w:rtl/>
        </w:rPr>
        <w:t>ב“הצפירה</w:t>
      </w:r>
      <w:proofErr w:type="spellEnd"/>
      <w:r>
        <w:rPr>
          <w:rtl/>
        </w:rPr>
        <w:t xml:space="preserve">” מאמר ארוך שכותרתו “עלבונה של תורה”. במאמר הוקיע כשקר את האשמות המשכילים שכולל קובנה נעשה מעוז מוסר מושחת, והגן הן על מטרות הכולל והן על יושרהּ המלא של הנהלתו “מול המבקשים להרוס את המוסד החשוב, החיוני לכל היהדות”. וכך הצהיר ר׳ </w:t>
      </w:r>
      <w:proofErr w:type="spellStart"/>
      <w:r>
        <w:rPr>
          <w:rtl/>
        </w:rPr>
        <w:t>יצחק־אלחנן</w:t>
      </w:r>
      <w:proofErr w:type="spellEnd"/>
      <w:r>
        <w:rPr>
          <w:rtl/>
        </w:rPr>
        <w:t>: “מעיד אני שכל המנהלים העוסקים עמי בתמיכת הפרושים</w:t>
      </w:r>
      <w:bookmarkStart w:id="2859" w:name="_fnr1990"/>
      <w:r>
        <w:rPr>
          <w:rStyle w:val="a5"/>
        </w:rPr>
        <w:footnoteReference w:id="1995" w:customMarkFollows="0"/>
      </w:r>
      <w:bookmarkEnd w:id="2859"/>
      <w:r>
        <w:rPr>
          <w:rtl/>
        </w:rPr>
        <w:t xml:space="preserve"> הם אנשים בעלי מעלה, ישרים ויראי שמים, הרחוקים מאהבת כסף וכבוד, הממירים את כבודם בדיבה ובבוז רק מתוך אהבת התורה.” הוא גם רומז במישרין להכפשות נגד מזכירו ר׳ יעקב הלוי ליפשיץ, באומרו: “אנשי רמיה אינם שוכנים בקרב ביתי, ואני מתרחק מן הכיעור, ואומר בדברי [המלך] דוד: ‘</w:t>
      </w:r>
      <w:r>
        <w:rPr>
          <w:b/>
          <w:bCs/>
          <w:rtl/>
        </w:rPr>
        <w:t>עיני בנאמני ארץ וכו׳</w:t>
      </w:r>
      <w:r>
        <w:rPr>
          <w:rtl/>
        </w:rPr>
        <w:t xml:space="preserve"> [ההדגשה שלי: חצי הפסוק והמילה המוטה מכוונים לתהלים </w:t>
      </w:r>
      <w:proofErr w:type="spellStart"/>
      <w:r>
        <w:rPr>
          <w:rtl/>
        </w:rPr>
        <w:t>קא</w:t>
      </w:r>
      <w:proofErr w:type="spellEnd"/>
      <w:r>
        <w:rPr>
          <w:rtl/>
        </w:rPr>
        <w:t>, ו–ז, כלומר: ‘עיניי בנאמני ארץ לשבת עמדי הולך בדרך תמים הוא ישרתני. לא ישב בקרב ביתי עושה רמיה דובר שקרים לא יכון לנגד עיני.’]; אנשי סודי ישרים והגונים.”</w:t>
      </w:r>
    </w:p>
    <w:p w14:paraId="34B1CD20" w14:textId="77777777" w:rsidR="00AB3647" w:rsidRDefault="00000000" w:rsidP="007923E9">
      <w:pPr>
        <w:spacing w:after="120" w:line="276" w:lineRule="auto"/>
        <w:ind w:firstLine="283"/>
        <w:jc w:val="both"/>
      </w:pPr>
      <w:r>
        <w:rPr>
          <w:rtl/>
        </w:rPr>
        <w:lastRenderedPageBreak/>
        <w:t>השווה גם “פולמוס המוסר”</w:t>
      </w:r>
      <w:bookmarkStart w:id="2860" w:name="_fnr1991"/>
      <w:r>
        <w:rPr>
          <w:rStyle w:val="a5"/>
        </w:rPr>
        <w:footnoteReference w:id="1996" w:customMarkFollows="0"/>
      </w:r>
      <w:bookmarkEnd w:id="2860"/>
      <w:r>
        <w:rPr>
          <w:rtl/>
        </w:rPr>
        <w:t xml:space="preserve">, המצטט במלואו מכתב שהתפרסם </w:t>
      </w:r>
      <w:proofErr w:type="spellStart"/>
      <w:r>
        <w:rPr>
          <w:rtl/>
        </w:rPr>
        <w:t>ב“הצפירה</w:t>
      </w:r>
      <w:proofErr w:type="spellEnd"/>
      <w:r>
        <w:rPr>
          <w:rtl/>
        </w:rPr>
        <w:t xml:space="preserve">” בשבט </w:t>
      </w:r>
      <w:proofErr w:type="spellStart"/>
      <w:r>
        <w:rPr>
          <w:rtl/>
        </w:rPr>
        <w:t>תר״ן</w:t>
      </w:r>
      <w:proofErr w:type="spellEnd"/>
      <w:r>
        <w:rPr>
          <w:rtl/>
        </w:rPr>
        <w:t xml:space="preserve">, בחתימת </w:t>
      </w:r>
      <w:proofErr w:type="spellStart"/>
      <w:r>
        <w:rPr>
          <w:rtl/>
        </w:rPr>
        <w:t>ארבעה־עשר</w:t>
      </w:r>
      <w:proofErr w:type="spellEnd"/>
      <w:r>
        <w:rPr>
          <w:rtl/>
        </w:rPr>
        <w:t xml:space="preserve"> רבנים מפורסמים</w:t>
      </w:r>
      <w:bookmarkStart w:id="2861" w:name="_fnr1992"/>
      <w:r>
        <w:rPr>
          <w:rStyle w:val="a5"/>
        </w:rPr>
        <w:footnoteReference w:id="1997" w:customMarkFollows="0"/>
      </w:r>
      <w:bookmarkEnd w:id="2861"/>
      <w:r>
        <w:rPr>
          <w:rtl/>
        </w:rPr>
        <w:t xml:space="preserve">. בתחילתו המכתב מעיד במפורש על יושרו של ר׳ </w:t>
      </w:r>
      <w:proofErr w:type="spellStart"/>
      <w:r>
        <w:rPr>
          <w:rtl/>
        </w:rPr>
        <w:t>איצל׳ה</w:t>
      </w:r>
      <w:proofErr w:type="spellEnd"/>
      <w:r>
        <w:rPr>
          <w:rtl/>
        </w:rPr>
        <w:t xml:space="preserve">, ובסופו הוא מתייחס </w:t>
      </w:r>
      <w:proofErr w:type="spellStart"/>
      <w:r>
        <w:rPr>
          <w:rtl/>
        </w:rPr>
        <w:t>לר</w:t>
      </w:r>
      <w:proofErr w:type="spellEnd"/>
      <w:r>
        <w:rPr>
          <w:rtl/>
        </w:rPr>
        <w:t xml:space="preserve">׳ יעקב הלוי ליפשיץ בעקיפין, כך: “כל עוזריו של ר׳ </w:t>
      </w:r>
      <w:proofErr w:type="spellStart"/>
      <w:r>
        <w:rPr>
          <w:rtl/>
        </w:rPr>
        <w:t>יצחק־אלחנן</w:t>
      </w:r>
      <w:proofErr w:type="spellEnd"/>
      <w:r>
        <w:rPr>
          <w:rtl/>
        </w:rPr>
        <w:t xml:space="preserve"> הם אנשים גדולים ונכבדים, ישרים ונאמנים, והעניין החשוב הזה [כולל קובנה] יקר להם; הם נוהגים בו ביושר ובהגינות, ופועלים ועמלים למען הציבור לשם שמים.” מכתבם של גדולי התורה</w:t>
      </w:r>
      <w:bookmarkStart w:id="2862" w:name="_fnr1993"/>
      <w:r>
        <w:rPr>
          <w:rStyle w:val="a5"/>
        </w:rPr>
        <w:footnoteReference w:id="1998" w:customMarkFollows="0"/>
      </w:r>
      <w:bookmarkEnd w:id="2862"/>
      <w:r>
        <w:rPr>
          <w:rtl/>
        </w:rPr>
        <w:t xml:space="preserve"> גם מכחיש שמועה שהפיצו משמיצים, </w:t>
      </w:r>
      <w:proofErr w:type="spellStart"/>
      <w:r>
        <w:rPr>
          <w:rtl/>
        </w:rPr>
        <w:t>ש“ר</w:t>
      </w:r>
      <w:proofErr w:type="spellEnd"/>
      <w:r>
        <w:rPr>
          <w:rtl/>
        </w:rPr>
        <w:t xml:space="preserve">׳ </w:t>
      </w:r>
      <w:proofErr w:type="spellStart"/>
      <w:r>
        <w:rPr>
          <w:rtl/>
        </w:rPr>
        <w:t>איצל׳ה</w:t>
      </w:r>
      <w:proofErr w:type="spellEnd"/>
      <w:r>
        <w:rPr>
          <w:rtl/>
        </w:rPr>
        <w:t xml:space="preserve"> נתון במחלוקת עם [הנדיב אמיל] לחמן”. נאמר בו: “[מפיצי השמועה] אינם נותנים את דעתם למה שכבר התפרסם בעיתונות, שמר לחמן עצמו הכחיש את העניין לחלוטין; אין ביניהם שום טענה ומענה.”</w:t>
      </w:r>
    </w:p>
    <w:bookmarkStart w:id="2863" w:name="b3_excM"/>
    <w:p w14:paraId="24171F24" w14:textId="77777777" w:rsidR="00AB3647" w:rsidRDefault="00000000" w:rsidP="007923E9">
      <w:pPr>
        <w:pStyle w:val="3"/>
        <w:spacing w:line="276" w:lineRule="auto"/>
      </w:pPr>
      <w:r>
        <w:lastRenderedPageBreak/>
        <w:fldChar w:fldCharType="begin" w:dirty="true"/>
      </w:r>
      <w:r>
        <w:rPr>
          <w:rtl w:val="0"/>
        </w:rPr>
        <w:instrText>HYPERLINK \l "b3_note37</w:instrText>
      </w:r>
      <w:r>
        <w:instrText>"</w:instrText>
      </w:r>
      <w:r>
        <w:fldChar w:fldCharType="separate"/>
      </w:r>
      <w:r>
        <w:t xml:space="preserve">נספח </w:t>
      </w:r>
      <w:proofErr w:type="spellStart"/>
      <w:r>
        <w:t>יג</w:t>
      </w:r>
      <w:proofErr w:type="spellEnd"/>
      <w:r>
        <w:fldChar w:fldCharType="end"/>
      </w:r>
      <w:bookmarkEnd w:id="2863"/>
    </w:p>
    <w:p w14:paraId="26126BBE" w14:textId="77777777" w:rsidR="00AB3647" w:rsidRDefault="00000000" w:rsidP="007923E9">
      <w:pPr>
        <w:pStyle w:val="af"/>
        <w:spacing w:line="276" w:lineRule="auto"/>
      </w:pPr>
      <w:r>
        <w:t xml:space="preserve">על פעולותיו ועל אופיו של ר׳ </w:t>
      </w:r>
      <w:proofErr w:type="spellStart"/>
      <w:r>
        <w:t>צבי־הירש</w:t>
      </w:r>
      <w:proofErr w:type="spellEnd"/>
      <w:r>
        <w:t xml:space="preserve"> </w:t>
      </w:r>
      <w:proofErr w:type="spellStart"/>
      <w:r>
        <w:t>רבינוביץ</w:t>
      </w:r>
      <w:proofErr w:type="spellEnd"/>
      <w:r>
        <w:t xml:space="preserve">, בנו וממלא מקומו של ר׳ </w:t>
      </w:r>
      <w:proofErr w:type="spellStart"/>
      <w:r>
        <w:t>יצחק־אלחנן</w:t>
      </w:r>
      <w:proofErr w:type="spellEnd"/>
      <w:r>
        <w:t xml:space="preserve"> </w:t>
      </w:r>
      <w:proofErr w:type="spellStart"/>
      <w:r>
        <w:t>ספקטור</w:t>
      </w:r>
      <w:proofErr w:type="spellEnd"/>
      <w:r>
        <w:t xml:space="preserve"> מקובנה</w:t>
      </w:r>
    </w:p>
    <w:p w14:paraId="2BBC0C53" w14:textId="77777777" w:rsidR="00AB3647" w:rsidRDefault="00000000" w:rsidP="007923E9">
      <w:pPr>
        <w:pStyle w:val="4"/>
        <w:spacing w:line="276" w:lineRule="auto"/>
      </w:pPr>
      <w:r>
        <w:t>· הפסקה הראשונה ·</w:t>
      </w:r>
    </w:p>
    <w:p w14:paraId="68319DBF" w14:textId="77777777" w:rsidR="00AB3647" w:rsidRDefault="00000000" w:rsidP="007923E9">
      <w:pPr>
        <w:pStyle w:val="5"/>
        <w:spacing w:line="276" w:lineRule="auto"/>
      </w:pPr>
      <w:r>
        <w:t xml:space="preserve">ר׳ </w:t>
      </w:r>
      <w:proofErr w:type="spellStart"/>
      <w:r>
        <w:t>צבי־הירש</w:t>
      </w:r>
      <w:proofErr w:type="spellEnd"/>
      <w:r>
        <w:t xml:space="preserve"> </w:t>
      </w:r>
      <w:proofErr w:type="spellStart"/>
      <w:r>
        <w:t>רבינוביץ</w:t>
      </w:r>
      <w:proofErr w:type="spellEnd"/>
      <w:r>
        <w:t xml:space="preserve"> פותח בדרך המסחר ומסיים ברבנות</w:t>
      </w:r>
    </w:p>
    <w:p w14:paraId="527DA12C"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bookmarkStart w:id="2864" w:name="_fnr1994"/>
      <w:proofErr w:type="spellEnd"/>
      <w:r>
        <w:rPr>
          <w:rStyle w:val="a5"/>
        </w:rPr>
        <w:footnoteReference w:id="1999" w:customMarkFollows="0"/>
      </w:r>
      <w:bookmarkEnd w:id="2864"/>
      <w:r>
        <w:rPr>
          <w:rtl/>
        </w:rPr>
        <w:t xml:space="preserve"> נולד בשנת תר״ח בעיירה </w:t>
      </w:r>
      <w:proofErr w:type="spellStart"/>
      <w:r>
        <w:rPr>
          <w:rtl/>
        </w:rPr>
        <w:t>ניאסוויז</w:t>
      </w:r>
      <w:proofErr w:type="spellEnd"/>
      <w:r>
        <w:rPr>
          <w:rtl/>
        </w:rPr>
        <w:t xml:space="preserve">׳, שבה כיהן אביו כרב. הוא ניחן בשכל מבריק, ומאחר שלא נמצא בעיר מלמד ראוי לו מבני המקום, למד אצל אביו מילדותו ועד נישואיו בגיל </w:t>
      </w:r>
      <w:proofErr w:type="spellStart"/>
      <w:r>
        <w:rPr>
          <w:rtl/>
        </w:rPr>
        <w:t>שמונה־עשרה</w:t>
      </w:r>
      <w:proofErr w:type="spellEnd"/>
      <w:r>
        <w:rPr>
          <w:rtl/>
        </w:rPr>
        <w:t xml:space="preserve">. באותה עת עבר אביו לכהן כרב קובנה. את לימודיו המשיך בשקידה בעודו סמוך על שולחן חותנו, במשך שמונה שנים, בעיירה </w:t>
      </w:r>
      <w:proofErr w:type="spellStart"/>
      <w:r>
        <w:rPr>
          <w:rtl/>
        </w:rPr>
        <w:t>סולצ׳ניק</w:t>
      </w:r>
      <w:proofErr w:type="spellEnd"/>
      <w:r>
        <w:rPr>
          <w:rtl/>
        </w:rPr>
        <w:t xml:space="preserve">. אחר כך נעשה בעל בית חרושת בקובנה, אבל הקדיש ללימוד זמן רב בהרבה מאשר לעסקיו. משרדו היה תמיד מלא כל כך ברבנים ובתלמידי חכמים צעירים </w:t>
      </w:r>
      <w:proofErr w:type="spellStart"/>
      <w:r>
        <w:rPr>
          <w:rtl/>
        </w:rPr>
        <w:t>ש“מדברים</w:t>
      </w:r>
      <w:proofErr w:type="spellEnd"/>
      <w:r>
        <w:rPr>
          <w:rtl/>
        </w:rPr>
        <w:t xml:space="preserve"> בלימוד” עמו, עד שהלקוחות לא יכלו להיכנס.</w:t>
      </w:r>
    </w:p>
    <w:p w14:paraId="389CE755" w14:textId="2C297E05" w:rsidR="00AB3647" w:rsidRDefault="00000000" w:rsidP="007923E9">
      <w:pPr>
        <w:spacing w:after="120" w:line="276" w:lineRule="auto"/>
        <w:ind w:firstLine="283"/>
        <w:jc w:val="both"/>
      </w:pPr>
      <w:r>
        <w:rPr>
          <w:rtl/>
        </w:rPr>
        <w:t xml:space="preserve">כשנפתח כולל קובנה שלוש שנים לאחר מכן, מינה אותו אביו למנהלו, אך זמן קצר אחר כך נקלעו עסקיו למצוקה כזאת שנאלץ לוותר על תפקידיו בכולל. בשנת </w:t>
      </w:r>
      <w:proofErr w:type="spellStart"/>
      <w:r>
        <w:rPr>
          <w:rtl/>
        </w:rPr>
        <w:t>תר״ם</w:t>
      </w:r>
      <w:proofErr w:type="spellEnd"/>
      <w:r>
        <w:rPr>
          <w:rtl/>
        </w:rPr>
        <w:t xml:space="preserve"> אילצו אותו עסקיו לעזוב את קובנה כליל, וכעבור שנתיים עזב את עיסוקיו החומריים ופנה לרבנות. השווה “לפרקים”</w:t>
      </w:r>
      <w:bookmarkStart w:id="2865" w:name="_fnr1995"/>
      <w:r>
        <w:rPr>
          <w:rStyle w:val="a5"/>
        </w:rPr>
        <w:footnoteReference w:id="2000" w:customMarkFollows="0"/>
      </w:r>
      <w:bookmarkEnd w:id="2865"/>
      <w:r>
        <w:rPr>
          <w:rtl/>
        </w:rPr>
        <w:t xml:space="preserve">, שם מסופר שר׳ </w:t>
      </w:r>
      <w:proofErr w:type="spellStart"/>
      <w:r>
        <w:rPr>
          <w:rtl/>
        </w:rPr>
        <w:t>יצחק־אלחנן</w:t>
      </w:r>
      <w:proofErr w:type="spellEnd"/>
      <w:r>
        <w:rPr>
          <w:rtl/>
        </w:rPr>
        <w:t xml:space="preserve"> אמר ש“(תפילותיו) נענו</w:t>
      </w:r>
      <w:bookmarkStart w:id="2866" w:name="_fnr1996"/>
      <w:r>
        <w:rPr>
          <w:rStyle w:val="a5"/>
        </w:rPr>
        <w:footnoteReference w:id="2001" w:customMarkFollows="0"/>
      </w:r>
      <w:bookmarkEnd w:id="2866"/>
      <w:r>
        <w:rPr>
          <w:rtl/>
        </w:rPr>
        <w:t xml:space="preserve"> ו(בנו) יהיה עתה מה שהיה צריך להיות” – רב. השווה פרק 5, הערה </w:t>
      </w:r>
      <w:r>
        <w:rPr>
          <w:rtl/>
        </w:rPr>
        <w:fldChar w:fldCharType="begin" w:dirty="true"/>
      </w:r>
      <w:r>
        <w:rPr>
          <w:rtl/>
        </w:rPr>
        <w:instrText xml:space="preserve"> REF b5_note82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82</w:t>
      </w:r>
      <w:r>
        <w:rPr>
          <w:rtl/>
        </w:rPr>
        <w:fldChar w:fldCharType="end"/>
      </w:r>
      <w:r>
        <w:rPr>
          <w:rtl/>
        </w:rPr>
        <w:t xml:space="preserve">, ובה טבלת משרות הרבנות של ר׳ </w:t>
      </w:r>
      <w:proofErr w:type="spellStart"/>
      <w:r>
        <w:rPr>
          <w:rtl/>
        </w:rPr>
        <w:t>צבי־הירש</w:t>
      </w:r>
      <w:proofErr w:type="spellEnd"/>
      <w:r>
        <w:rPr>
          <w:rtl/>
        </w:rPr>
        <w:t xml:space="preserve"> לפני שקיבל את המינוי בקובנה.</w:t>
      </w:r>
    </w:p>
    <w:p w14:paraId="76637341" w14:textId="77777777" w:rsidR="00AB3647" w:rsidRDefault="00000000" w:rsidP="007923E9">
      <w:pPr>
        <w:pStyle w:val="4"/>
        <w:spacing w:line="276" w:lineRule="auto"/>
      </w:pPr>
      <w:r>
        <w:t>· הפסקה השנייה ·</w:t>
      </w:r>
    </w:p>
    <w:p w14:paraId="60497A79" w14:textId="77777777" w:rsidR="00AB3647" w:rsidRDefault="00000000" w:rsidP="007923E9">
      <w:pPr>
        <w:pStyle w:val="5"/>
        <w:spacing w:line="276" w:lineRule="auto"/>
      </w:pPr>
      <w:r>
        <w:t xml:space="preserve">ר׳ </w:t>
      </w:r>
      <w:proofErr w:type="spellStart"/>
      <w:r>
        <w:t>צבי־הירש</w:t>
      </w:r>
      <w:proofErr w:type="spellEnd"/>
      <w:r>
        <w:t xml:space="preserve"> פעיל בענייני הציבור – טענתו מאפשרת לחדרים להמשיך ללמד תורה בלבד</w:t>
      </w:r>
    </w:p>
    <w:p w14:paraId="7DEC6984" w14:textId="77777777" w:rsidR="00AB3647" w:rsidRDefault="00000000" w:rsidP="007923E9">
      <w:pPr>
        <w:spacing w:after="120" w:line="276" w:lineRule="auto"/>
        <w:ind w:firstLine="283"/>
        <w:jc w:val="both"/>
      </w:pPr>
      <w:r>
        <w:rPr>
          <w:rtl/>
        </w:rPr>
        <w:t xml:space="preserve">אין פלא שר׳ </w:t>
      </w:r>
      <w:proofErr w:type="spellStart"/>
      <w:r>
        <w:rPr>
          <w:rtl/>
        </w:rPr>
        <w:t>צבי־הירש</w:t>
      </w:r>
      <w:proofErr w:type="spellEnd"/>
      <w:r>
        <w:rPr>
          <w:rtl/>
        </w:rPr>
        <w:t xml:space="preserve"> </w:t>
      </w:r>
      <w:proofErr w:type="spellStart"/>
      <w:r>
        <w:rPr>
          <w:rtl/>
        </w:rPr>
        <w:t>רבינוביץ</w:t>
      </w:r>
      <w:proofErr w:type="spellEnd"/>
      <w:r>
        <w:rPr>
          <w:rtl/>
        </w:rPr>
        <w:t xml:space="preserve"> פעל נגד המוסר, תנועה שהתנגד לה, שהרי היה עסקן בענייני הציבור שנים רבות. הוא ליווה את אביו לכמה פגישות עם פקידי הממשלה (ועם מנהיגים יהודים מתבוללים) בפטרבורג</w:t>
      </w:r>
      <w:bookmarkStart w:id="2867" w:name="_fnr1997"/>
      <w:r>
        <w:rPr>
          <w:rStyle w:val="a5"/>
        </w:rPr>
        <w:footnoteReference w:id="2002" w:customMarkFollows="0"/>
      </w:r>
      <w:bookmarkEnd w:id="2867"/>
      <w:r>
        <w:rPr>
          <w:rtl/>
        </w:rPr>
        <w:t>.</w:t>
      </w:r>
    </w:p>
    <w:p w14:paraId="7198ECEE" w14:textId="77777777" w:rsidR="00AB3647" w:rsidRDefault="00000000" w:rsidP="007923E9">
      <w:pPr>
        <w:spacing w:after="120" w:line="276" w:lineRule="auto"/>
        <w:ind w:firstLine="283"/>
        <w:jc w:val="both"/>
      </w:pPr>
      <w:r>
        <w:rPr>
          <w:rtl/>
        </w:rPr>
        <w:t>יעקב מארק, המקדיש פרק</w:t>
      </w:r>
      <w:bookmarkStart w:id="2868" w:name="_fnr1998"/>
      <w:r>
        <w:rPr>
          <w:rStyle w:val="a5"/>
        </w:rPr>
        <w:footnoteReference w:id="2003" w:customMarkFollows="0"/>
      </w:r>
      <w:bookmarkEnd w:id="2868"/>
      <w:r>
        <w:rPr>
          <w:rtl/>
        </w:rPr>
        <w:t xml:space="preserve">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מתאר בין השאר כיצד השיג בשנת תרמ״ז פירוש חדש לגזירה שסיכנה את קיומם של החדרים בכל רוסיה. צרותיהם של החדרים </w:t>
      </w:r>
      <w:r>
        <w:rPr>
          <w:rtl/>
        </w:rPr>
        <w:lastRenderedPageBreak/>
        <w:t xml:space="preserve">החלו כבר בשנת תרט״ו, כשפורסמה גזירה מלכותית שהמלמדים חייבים להיות בוגרי גימנסיה. מלמדים כאלה לא נמצאו, ולכן נדחה ביצועה בעשרים שנה, כדי לתת די זמן להכשרת דור חדש של מלמדי חדרים. בשנת תרל״ה, כשתמה הארכת הזמן, ניתנה פקודה לאסור את כל המלמדים שאין בידם רישיון. אבל פעולה שנולדה מאספה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ר׳ הלל </w:t>
      </w:r>
      <w:proofErr w:type="spellStart"/>
      <w:r>
        <w:rPr>
          <w:rtl/>
        </w:rPr>
        <w:t>סלנטר</w:t>
      </w:r>
      <w:proofErr w:type="spellEnd"/>
      <w:r>
        <w:rPr>
          <w:rtl/>
        </w:rPr>
        <w:t xml:space="preserve"> ור׳ </w:t>
      </w:r>
      <w:proofErr w:type="spellStart"/>
      <w:r>
        <w:rPr>
          <w:rtl/>
        </w:rPr>
        <w:t>אלינקה</w:t>
      </w:r>
      <w:proofErr w:type="spellEnd"/>
      <w:r>
        <w:rPr>
          <w:rtl/>
        </w:rPr>
        <w:t xml:space="preserve"> </w:t>
      </w:r>
      <w:proofErr w:type="spellStart"/>
      <w:r>
        <w:rPr>
          <w:rtl/>
        </w:rPr>
        <w:t>קרטינגער</w:t>
      </w:r>
      <w:proofErr w:type="spellEnd"/>
      <w:r>
        <w:rPr>
          <w:rtl/>
        </w:rPr>
        <w:t xml:space="preserve"> (</w:t>
      </w:r>
      <w:proofErr w:type="spellStart"/>
      <w:r>
        <w:rPr>
          <w:rtl/>
        </w:rPr>
        <w:t>לוינסון</w:t>
      </w:r>
      <w:proofErr w:type="spellEnd"/>
      <w:r>
        <w:rPr>
          <w:rtl/>
        </w:rPr>
        <w:t xml:space="preserve">) השיגה דחייה של שנתיים בהחלת החוק. עד שחלפו השנתיים נתמנה הרוזן הליברלי לב </w:t>
      </w:r>
      <w:proofErr w:type="spellStart"/>
      <w:r>
        <w:rPr>
          <w:rtl/>
        </w:rPr>
        <w:t>טולסטוי</w:t>
      </w:r>
      <w:proofErr w:type="spellEnd"/>
      <w:r>
        <w:rPr>
          <w:rtl/>
        </w:rPr>
        <w:t xml:space="preserve"> לשר החינוך</w:t>
      </w:r>
      <w:bookmarkStart w:id="2869" w:name="_fnr1999"/>
      <w:r>
        <w:rPr>
          <w:rStyle w:val="a5"/>
        </w:rPr>
        <w:t/>
      </w:r>
      <w:bookmarkStart w:id="7021" w:name="_TranslatorNote_1998"/>
      <w:r>
        <w:rPr>
          <w:rStyle w:val="a5"/>
          <w:vertAlign w:val="superscript"/>
          <w:rtl/>
        </w:rPr>
        <w:footnoteReference w:id="2004" w:customMarkFollows="1"/>
        <w:t>*</w:t>
      </w:r>
      <w:bookmarkEnd w:id="7021"/>
      <w:bookmarkEnd w:id="2869"/>
      <w:r>
        <w:rPr>
          <w:rtl/>
        </w:rPr>
        <w:t>. משראה את העוול שבגזירה, השיג את ביטולה בידי הצאר “עד שתגבש הממשלה תכנית אחרת”, ובכך נותר גורל החדרים, לשמחת הכול, תלוי ועומד לאין קץ.</w:t>
      </w:r>
    </w:p>
    <w:p w14:paraId="12C64998" w14:textId="77777777" w:rsidR="00AB3647" w:rsidRDefault="00000000" w:rsidP="007923E9">
      <w:pPr>
        <w:spacing w:after="120" w:line="276" w:lineRule="auto"/>
        <w:ind w:firstLine="283"/>
        <w:jc w:val="both"/>
      </w:pPr>
      <w:r>
        <w:rPr>
          <w:rtl/>
        </w:rPr>
        <w:t>אבל חמש שנים לאחר רצח אלכסנדר השני</w:t>
      </w:r>
      <w:bookmarkStart w:id="2870" w:name="_fnr2000"/>
      <w:r>
        <w:rPr>
          <w:rStyle w:val="a5"/>
        </w:rPr>
        <w:footnoteReference w:id="2005" w:customMarkFollows="0"/>
      </w:r>
      <w:bookmarkEnd w:id="2870"/>
      <w:r>
        <w:rPr>
          <w:rtl/>
        </w:rPr>
        <w:t xml:space="preserve"> נחקק איסור כללי על בתי ספר פרטיים. החדרים נכללו בגדר זו, ולכן נאסרו מלמדים בעיירות רבות בליטא. </w:t>
      </w:r>
      <w:proofErr w:type="spellStart"/>
      <w:r>
        <w:rPr>
          <w:rtl/>
        </w:rPr>
        <w:t>אסיפת</w:t>
      </w:r>
      <w:proofErr w:type="spellEnd"/>
      <w:r>
        <w:rPr>
          <w:rtl/>
        </w:rPr>
        <w:t xml:space="preserve"> חירום של מנהיגי היהדות בקובנה שלחה את ר׳ </w:t>
      </w:r>
      <w:proofErr w:type="spellStart"/>
      <w:r>
        <w:rPr>
          <w:rtl/>
        </w:rPr>
        <w:t>צבי־הירש</w:t>
      </w:r>
      <w:proofErr w:type="spellEnd"/>
      <w:r>
        <w:rPr>
          <w:rtl/>
        </w:rPr>
        <w:t xml:space="preserve"> לפטרבורג, ושם עלה בידו להביא להכרה בכך שהחדרים פטורים מן הכלל החל על בתי ספר “פרטיים”. טענתו הייתה שלחדרים יש רשות מלכותית מיוחדת להמשיך בפעולתם “עד שתגבש הממשלה חלופה </w:t>
      </w:r>
      <w:proofErr w:type="spellStart"/>
      <w:r>
        <w:rPr>
          <w:rtl/>
        </w:rPr>
        <w:t>לתכנית</w:t>
      </w:r>
      <w:proofErr w:type="spellEnd"/>
      <w:r>
        <w:rPr>
          <w:rtl/>
        </w:rPr>
        <w:t xml:space="preserve"> תרט״ו”. כך, למרבה הפלא, שימשה גזירה רעה אחת לביטולה של אחרת. ניצחונו של ר׳ </w:t>
      </w:r>
      <w:proofErr w:type="spellStart"/>
      <w:r>
        <w:rPr>
          <w:rtl/>
        </w:rPr>
        <w:t>צבי־הירש</w:t>
      </w:r>
      <w:proofErr w:type="spellEnd"/>
      <w:r>
        <w:rPr>
          <w:rtl/>
        </w:rPr>
        <w:t xml:space="preserve"> הומתק עוד יותר כשההיתר המיוחד שהתיר לחדרים להמשיך בפעולתם פורסם בהסתייגות שמותר להם </w:t>
      </w:r>
      <w:r>
        <w:rPr>
          <w:b/>
          <w:bCs/>
          <w:rtl/>
        </w:rPr>
        <w:t>ללמד מקצועות דת בלבד</w:t>
      </w:r>
      <w:r>
        <w:rPr>
          <w:rtl/>
        </w:rPr>
        <w:t>.</w:t>
      </w:r>
    </w:p>
    <w:p w14:paraId="5C020BAE" w14:textId="77777777" w:rsidR="00AB3647" w:rsidRDefault="00000000" w:rsidP="007923E9">
      <w:pPr>
        <w:spacing w:after="120" w:line="276" w:lineRule="auto"/>
        <w:ind w:firstLine="283"/>
        <w:jc w:val="both"/>
      </w:pPr>
      <w:r>
        <w:rPr>
          <w:rtl/>
        </w:rPr>
        <w:t>יעקב מארק</w:t>
      </w:r>
      <w:bookmarkStart w:id="2871" w:name="_fnr2001"/>
      <w:r>
        <w:rPr>
          <w:rStyle w:val="a5"/>
        </w:rPr>
        <w:footnoteReference w:id="2006" w:customMarkFollows="0"/>
      </w:r>
      <w:bookmarkEnd w:id="2871"/>
      <w:r>
        <w:rPr>
          <w:rtl/>
        </w:rPr>
        <w:t xml:space="preserve"> קובע שר׳ </w:t>
      </w:r>
      <w:proofErr w:type="spellStart"/>
      <w:r>
        <w:rPr>
          <w:rtl/>
        </w:rPr>
        <w:t>צבי־הירש</w:t>
      </w:r>
      <w:proofErr w:type="spellEnd"/>
      <w:r>
        <w:rPr>
          <w:rtl/>
        </w:rPr>
        <w:t xml:space="preserve"> היה “במשך שלושים שנה אחד ממנהיגיה הראשיים של יהדות רוסיה”. ראה גם את תחילת הפסקה השנייה של הנספח הקודם, שם מובא שגם ר׳ חיים </w:t>
      </w:r>
      <w:proofErr w:type="spellStart"/>
      <w:r>
        <w:rPr>
          <w:rtl/>
        </w:rPr>
        <w:t>סולובייצ׳יק</w:t>
      </w:r>
      <w:proofErr w:type="spellEnd"/>
      <w:r>
        <w:rPr>
          <w:rtl/>
        </w:rPr>
        <w:t xml:space="preserve"> כתב בעיקרו של דבר אותו הדבר על ר׳ </w:t>
      </w:r>
      <w:proofErr w:type="spellStart"/>
      <w:r>
        <w:rPr>
          <w:rtl/>
        </w:rPr>
        <w:t>צבי־הירש</w:t>
      </w:r>
      <w:proofErr w:type="spellEnd"/>
      <w:r>
        <w:rPr>
          <w:rtl/>
        </w:rPr>
        <w:t>.</w:t>
      </w:r>
    </w:p>
    <w:p w14:paraId="55870CA5" w14:textId="77777777" w:rsidR="00AB3647" w:rsidRDefault="00000000" w:rsidP="007923E9">
      <w:pPr>
        <w:pStyle w:val="4"/>
        <w:spacing w:line="276" w:lineRule="auto"/>
      </w:pPr>
      <w:r>
        <w:t>· הפסקה השלישית ·</w:t>
      </w:r>
    </w:p>
    <w:p w14:paraId="38FCE823" w14:textId="77777777" w:rsidR="00AB3647" w:rsidRDefault="00000000" w:rsidP="007923E9">
      <w:pPr>
        <w:pStyle w:val="5"/>
        <w:spacing w:line="276" w:lineRule="auto"/>
      </w:pPr>
      <w:r>
        <w:t xml:space="preserve">ר׳ </w:t>
      </w:r>
      <w:proofErr w:type="spellStart"/>
      <w:r>
        <w:t>צבי־הירש</w:t>
      </w:r>
      <w:proofErr w:type="spellEnd"/>
      <w:r>
        <w:t xml:space="preserve"> אוהב תורה בלי הבדל זרם – הוא מגלה רחמים של צדיק כלפי אשתו החולה</w:t>
      </w:r>
    </w:p>
    <w:p w14:paraId="59626A85" w14:textId="4ED4601B" w:rsidR="00AB3647" w:rsidRDefault="00000000" w:rsidP="007923E9">
      <w:pPr>
        <w:spacing w:after="120" w:line="276" w:lineRule="auto"/>
        <w:ind w:firstLine="283"/>
        <w:jc w:val="both"/>
      </w:pPr>
      <w:proofErr w:type="spellStart"/>
      <w:r>
        <w:rPr>
          <w:rtl/>
        </w:rPr>
        <w:t>ב“לפרקים</w:t>
      </w:r>
      <w:proofErr w:type="spellEnd"/>
      <w:r>
        <w:rPr>
          <w:rtl/>
        </w:rPr>
        <w:t>”</w:t>
      </w:r>
      <w:bookmarkStart w:id="2872" w:name="_fnr2002"/>
      <w:r>
        <w:rPr>
          <w:rStyle w:val="a5"/>
        </w:rPr>
        <w:footnoteReference w:id="2007" w:customMarkFollows="0"/>
      </w:r>
      <w:bookmarkEnd w:id="2872"/>
      <w:r>
        <w:rPr>
          <w:rtl/>
        </w:rPr>
        <w:t xml:space="preserve"> מספר מחברו שבשנת תרס״ה הודה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על שסייע לו לקבל את משרת הרבנות הראשונה שלו “אף על פי שהוא בעל מוסר”, וקיבל את התשובה: “אין לי אהבה לזרם; אני יודע רק אהבת תורה.” עוד נאמר שם: “בפטירתו [בשנת תר״ע] נאלצו אפילו מתנגדיו לבכות, כי נודע שתמך בסתר ברבים מאנשי המוסר שאיבדו את מקור פרנסתם עם התפטרותו של ר׳ </w:t>
      </w:r>
      <w:proofErr w:type="spellStart"/>
      <w:r>
        <w:rPr>
          <w:rtl/>
        </w:rPr>
        <w:t>איצל׳ה</w:t>
      </w:r>
      <w:proofErr w:type="spellEnd"/>
      <w:r>
        <w:rPr>
          <w:rtl/>
        </w:rPr>
        <w:t xml:space="preserve"> </w:t>
      </w:r>
      <w:proofErr w:type="spellStart"/>
      <w:r>
        <w:rPr>
          <w:rtl/>
        </w:rPr>
        <w:t>בלאזר</w:t>
      </w:r>
      <w:proofErr w:type="spellEnd"/>
      <w:r>
        <w:rPr>
          <w:rtl/>
        </w:rPr>
        <w:t xml:space="preserve"> מהנהלת כולל קובנה [בשנת תרנ״א]. בחייו לא הבינו אותו פעמים רבות, ואף ספג עלבונות.” השווה גם סוף </w:t>
      </w:r>
      <w:r>
        <w:rPr>
          <w:rtl/>
        </w:rPr>
        <w:fldChar w:fldCharType="begin" w:dirty="true"/>
      </w:r>
      <w:r>
        <w:rPr>
          <w:rtl/>
        </w:rPr>
        <w:instrText xml:space="preserve"> REF b3_excX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כד</w:t>
      </w:r>
      <w:r>
        <w:rPr>
          <w:rtl/>
        </w:rPr>
        <w:fldChar w:fldCharType="end"/>
      </w:r>
      <w:r>
        <w:rPr>
          <w:rtl/>
        </w:rPr>
        <w:t xml:space="preserve"> להלן.</w:t>
      </w:r>
    </w:p>
    <w:p w14:paraId="2F9D480F" w14:textId="77777777" w:rsidR="00AB3647" w:rsidRDefault="00000000" w:rsidP="007923E9">
      <w:pPr>
        <w:spacing w:after="120" w:line="276" w:lineRule="auto"/>
        <w:ind w:firstLine="283"/>
        <w:jc w:val="both"/>
      </w:pPr>
      <w:r>
        <w:rPr>
          <w:rtl/>
        </w:rPr>
        <w:t>רבנו סיפר</w:t>
      </w:r>
      <w:bookmarkStart w:id="2873" w:name="_fnr2003"/>
      <w:r>
        <w:rPr>
          <w:rStyle w:val="a5"/>
        </w:rPr>
        <w:footnoteReference w:id="2008" w:customMarkFollows="0"/>
      </w:r>
      <w:bookmarkEnd w:id="2873"/>
      <w:r>
        <w:rPr>
          <w:rtl/>
        </w:rPr>
        <w:t xml:space="preserve"> את המעשה הבא: אשתו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נטרפה דעתה. היא אושפזה בבית חולים, והרופאים אמרו שאין לה מרפא. ר׳ </w:t>
      </w:r>
      <w:proofErr w:type="spellStart"/>
      <w:r>
        <w:rPr>
          <w:rtl/>
        </w:rPr>
        <w:t>צבי־הירש</w:t>
      </w:r>
      <w:proofErr w:type="spellEnd"/>
      <w:r>
        <w:rPr>
          <w:rtl/>
        </w:rPr>
        <w:t xml:space="preserve"> היה עדיין אדם צעיר, </w:t>
      </w:r>
      <w:r>
        <w:rPr>
          <w:rtl/>
        </w:rPr>
        <w:lastRenderedPageBreak/>
        <w:t>וכמה מנכבדי קובנה הציעו לו להשיג “היתר מאה רבנים” כדי לשוב ולהינשא, כדין במקרה כזה. תגובתו הייתה: “כשאומר בתפילת העמידה את ברכת החולים, ‘רפאנו ה׳’, יהיה עליי לכוון שכל חולי ישראל יירפאו חוץ מאשתי [כדי להימנע מן הסיבוכים שחזרתה לשפיות תגרום לנישואיי השניים</w:t>
      </w:r>
      <w:bookmarkStart w:id="2874" w:name="_fnr2004"/>
      <w:r>
        <w:rPr>
          <w:rStyle w:val="a5"/>
        </w:rPr>
        <w:footnoteReference w:id="2009" w:customMarkFollows="0"/>
      </w:r>
      <w:bookmarkEnd w:id="2874"/>
      <w:r>
        <w:rPr>
          <w:rtl/>
        </w:rPr>
        <w:t xml:space="preserve">]; את זאת איני יכול לעשות.” הוא חי לבדו </w:t>
      </w:r>
      <w:r>
        <w:rPr>
          <w:b/>
          <w:bCs/>
          <w:rtl/>
        </w:rPr>
        <w:t>עשרות שנים</w:t>
      </w:r>
      <w:r>
        <w:rPr>
          <w:rtl/>
        </w:rPr>
        <w:t>, עד שמתה בבית החולים.</w:t>
      </w:r>
      <w:bookmarkStart w:id="2875" w:name="_fnr2005"/>
      <w:r>
        <w:rPr>
          <w:rStyle w:val="a5"/>
        </w:rPr>
        <w:footnoteReference w:id="2010" w:customMarkFollows="0"/>
      </w:r>
      <w:bookmarkEnd w:id="2875"/>
    </w:p>
    <w:p w14:paraId="3FE235D3"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w:t>
      </w:r>
      <w:proofErr w:type="spellStart"/>
      <w:r>
        <w:rPr>
          <w:rtl/>
        </w:rPr>
        <w:t>רבינוביץ</w:t>
      </w:r>
      <w:proofErr w:type="spellEnd"/>
      <w:r>
        <w:rPr>
          <w:rtl/>
        </w:rPr>
        <w:t xml:space="preserve"> נשא אישה לאחר מכן, כפי שעולה </w:t>
      </w:r>
      <w:proofErr w:type="spellStart"/>
      <w:r>
        <w:rPr>
          <w:rtl/>
        </w:rPr>
        <w:t>מ“ספר</w:t>
      </w:r>
      <w:proofErr w:type="spellEnd"/>
      <w:r>
        <w:rPr>
          <w:rtl/>
        </w:rPr>
        <w:t xml:space="preserve"> תולדות ישראל” מאת זאב </w:t>
      </w:r>
      <w:proofErr w:type="spellStart"/>
      <w:r>
        <w:rPr>
          <w:rtl/>
        </w:rPr>
        <w:t>יעבץ</w:t>
      </w:r>
      <w:bookmarkStart w:id="2876" w:name="_fnr2006"/>
      <w:proofErr w:type="spellEnd"/>
      <w:r>
        <w:rPr>
          <w:rStyle w:val="a5"/>
        </w:rPr>
        <w:footnoteReference w:id="2011" w:customMarkFollows="0"/>
      </w:r>
      <w:bookmarkEnd w:id="2876"/>
      <w:r>
        <w:rPr>
          <w:rtl/>
        </w:rPr>
        <w:t xml:space="preserve">. במכתב שכתב אותו מחבר בחורף תרס״ו הוא מתאר כיצד בילה את הקיץ שחלף עם ר׳ </w:t>
      </w:r>
      <w:proofErr w:type="spellStart"/>
      <w:r>
        <w:rPr>
          <w:rtl/>
        </w:rPr>
        <w:t>צבי־הירש</w:t>
      </w:r>
      <w:proofErr w:type="spellEnd"/>
      <w:r>
        <w:rPr>
          <w:rtl/>
        </w:rPr>
        <w:t xml:space="preserve"> </w:t>
      </w:r>
      <w:proofErr w:type="spellStart"/>
      <w:r>
        <w:rPr>
          <w:rtl/>
        </w:rPr>
        <w:t>רבינוביץ</w:t>
      </w:r>
      <w:proofErr w:type="spellEnd"/>
      <w:r>
        <w:rPr>
          <w:rtl/>
        </w:rPr>
        <w:t xml:space="preserve"> [שהיה אז בן חמישים ושמונה]</w:t>
      </w:r>
      <w:bookmarkStart w:id="2877" w:name="_fnr2007"/>
      <w:bookmarkEnd w:id="2877"/>
      <w:r>
        <w:rPr>
          <w:rStyle w:val="a5"/>
        </w:rPr>
        <w:t/>
      </w:r>
      <w:bookmarkStart w:id="7022" w:name="_TranslatorNote_2006"/>
      <w:r>
        <w:rPr>
          <w:rStyle w:val="a5"/>
          <w:vertAlign w:val="superscript"/>
          <w:rtl/>
        </w:rPr>
        <w:footnoteReference w:id="2012" w:customMarkFollows="1"/>
        <w:t>*</w:t>
      </w:r>
      <w:bookmarkEnd w:id="7022"/>
      <w:r>
        <w:rPr>
          <w:rtl/>
        </w:rPr>
        <w:t xml:space="preserve"> </w:t>
      </w:r>
      <w:r>
        <w:rPr>
          <w:b/>
          <w:bCs/>
          <w:rtl/>
        </w:rPr>
        <w:t>ועם אשתו</w:t>
      </w:r>
      <w:r>
        <w:rPr>
          <w:rtl/>
        </w:rPr>
        <w:t xml:space="preserve">. וכך הוא כותב: “כשעבר חולי קל על אשתי </w:t>
      </w:r>
      <w:proofErr w:type="spellStart"/>
      <w:r>
        <w:rPr>
          <w:rtl/>
        </w:rPr>
        <w:t>תחי</w:t>
      </w:r>
      <w:proofErr w:type="spellEnd"/>
      <w:r>
        <w:rPr>
          <w:rtl/>
        </w:rPr>
        <w:t xml:space="preserve">׳, הפצירו בי הפרופסור [אברהם] </w:t>
      </w:r>
      <w:proofErr w:type="spellStart"/>
      <w:r>
        <w:rPr>
          <w:rtl/>
        </w:rPr>
        <w:t>ברלינר</w:t>
      </w:r>
      <w:proofErr w:type="spellEnd"/>
      <w:r>
        <w:rPr>
          <w:rtl/>
        </w:rPr>
        <w:t xml:space="preserve"> וחבריו לנסוע למרחץ המרפא </w:t>
      </w:r>
      <w:proofErr w:type="spellStart"/>
      <w:r>
        <w:rPr>
          <w:rtl/>
        </w:rPr>
        <w:t>צאדן</w:t>
      </w:r>
      <w:proofErr w:type="spellEnd"/>
      <w:r>
        <w:rPr>
          <w:rtl/>
        </w:rPr>
        <w:t>, ושהיתי שם מל״ג בעומר [23 במאי] עד היום הראשון של הסליחות [24 בספטמבר]. כחודשיים שהה שם גם הרב הגאון מקובנה, איש רוח נכבד וטהור לב מאוד, והיינו יחד כל הזמן [וידו לא זזה מידי] ששהינו שם, ואשתו החשובה הייתה רעה קרובה לאשתי.”</w:t>
      </w:r>
    </w:p>
    <w:bookmarkStart w:id="2878" w:name="b3_excN"/>
    <w:p w14:paraId="6437B957" w14:textId="77777777" w:rsidR="00AB3647" w:rsidRDefault="00000000" w:rsidP="007923E9">
      <w:pPr>
        <w:pStyle w:val="3"/>
        <w:spacing w:line="276" w:lineRule="auto"/>
      </w:pPr>
      <w:r>
        <w:lastRenderedPageBreak/>
        <w:fldChar w:fldCharType="begin" w:dirty="true"/>
      </w:r>
      <w:r>
        <w:rPr>
          <w:rtl w:val="0"/>
        </w:rPr>
        <w:instrText>HYPERLINK \l "b3_note38</w:instrText>
      </w:r>
      <w:r>
        <w:instrText>"</w:instrText>
      </w:r>
      <w:r>
        <w:fldChar w:fldCharType="separate"/>
      </w:r>
      <w:r>
        <w:t>נספח יד</w:t>
      </w:r>
      <w:r>
        <w:fldChar w:fldCharType="end"/>
      </w:r>
      <w:bookmarkEnd w:id="2878"/>
    </w:p>
    <w:p w14:paraId="48CE28B4" w14:textId="77777777" w:rsidR="00AB3647" w:rsidRDefault="00000000" w:rsidP="007923E9">
      <w:pPr>
        <w:pStyle w:val="af"/>
        <w:spacing w:line="276" w:lineRule="auto"/>
      </w:pPr>
      <w:r>
        <w:t>על פולמוס המוסר בקובנה ועל הרבנים שחתמו על הכרוזים הפומביים נגד המוסר ובעדו</w:t>
      </w:r>
    </w:p>
    <w:p w14:paraId="27FC6306" w14:textId="77777777" w:rsidR="00AB3647" w:rsidRDefault="00000000" w:rsidP="007923E9">
      <w:pPr>
        <w:pStyle w:val="4"/>
        <w:spacing w:line="276" w:lineRule="auto"/>
      </w:pPr>
      <w:r>
        <w:t>· הפסקה הראשונה ·</w:t>
      </w:r>
    </w:p>
    <w:p w14:paraId="186FAAA9" w14:textId="77777777" w:rsidR="00AB3647" w:rsidRDefault="00000000" w:rsidP="007923E9">
      <w:pPr>
        <w:pStyle w:val="5"/>
        <w:spacing w:line="276" w:lineRule="auto"/>
      </w:pPr>
      <w:r>
        <w:t xml:space="preserve">ר׳ </w:t>
      </w:r>
      <w:proofErr w:type="spellStart"/>
      <w:r>
        <w:t>אליהו־דוב</w:t>
      </w:r>
      <w:proofErr w:type="spellEnd"/>
      <w:r>
        <w:t xml:space="preserve"> </w:t>
      </w:r>
      <w:proofErr w:type="spellStart"/>
      <w:r>
        <w:t>לייזרוביץ</w:t>
      </w:r>
      <w:proofErr w:type="spellEnd"/>
      <w:r>
        <w:t xml:space="preserve"> שומע את ר׳ </w:t>
      </w:r>
      <w:proofErr w:type="spellStart"/>
      <w:r>
        <w:t>איצל׳ה</w:t>
      </w:r>
      <w:proofErr w:type="spellEnd"/>
      <w:r>
        <w:t xml:space="preserve"> ממלמל – ר׳ </w:t>
      </w:r>
      <w:proofErr w:type="spellStart"/>
      <w:r>
        <w:t>איצל׳ה</w:t>
      </w:r>
      <w:proofErr w:type="spellEnd"/>
      <w:r>
        <w:t xml:space="preserve"> </w:t>
      </w:r>
      <w:proofErr w:type="spellStart"/>
      <w:r>
        <w:t>בלאזר</w:t>
      </w:r>
      <w:proofErr w:type="spellEnd"/>
      <w:r>
        <w:t xml:space="preserve"> בא </w:t>
      </w:r>
      <w:proofErr w:type="spellStart"/>
      <w:r>
        <w:t>לאסיפת</w:t>
      </w:r>
      <w:proofErr w:type="spellEnd"/>
      <w:r>
        <w:t xml:space="preserve"> הרבנים יחד עם ר׳ </w:t>
      </w:r>
      <w:proofErr w:type="spellStart"/>
      <w:r>
        <w:t>נתן־צבי</w:t>
      </w:r>
      <w:proofErr w:type="spellEnd"/>
      <w:r>
        <w:t xml:space="preserve"> </w:t>
      </w:r>
      <w:proofErr w:type="spellStart"/>
      <w:r>
        <w:t>פינקל</w:t>
      </w:r>
      <w:proofErr w:type="spellEnd"/>
    </w:p>
    <w:p w14:paraId="0EF2C1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“שמעתי מהרב </w:t>
      </w:r>
      <w:proofErr w:type="spellStart"/>
      <w:r>
        <w:rPr>
          <w:rtl/>
        </w:rPr>
        <w:t>לייזרוביץ</w:t>
      </w:r>
      <w:bookmarkStart w:id="2879" w:name="_fnr2008"/>
      <w:proofErr w:type="spellEnd"/>
      <w:r>
        <w:rPr>
          <w:rStyle w:val="a5"/>
        </w:rPr>
        <w:footnoteReference w:id="2013" w:customMarkFollows="0"/>
      </w:r>
      <w:bookmarkEnd w:id="2879"/>
      <w:r>
        <w:rPr>
          <w:rtl/>
        </w:rPr>
        <w:t xml:space="preserve">, שהיה כבן בית בביתו של ר׳ </w:t>
      </w:r>
      <w:proofErr w:type="spellStart"/>
      <w:r>
        <w:rPr>
          <w:rtl/>
        </w:rPr>
        <w:t>איצל׳ה</w:t>
      </w:r>
      <w:proofErr w:type="spellEnd"/>
      <w:r>
        <w:rPr>
          <w:rtl/>
        </w:rPr>
        <w:t xml:space="preserve"> </w:t>
      </w:r>
      <w:proofErr w:type="spellStart"/>
      <w:r>
        <w:rPr>
          <w:rtl/>
        </w:rPr>
        <w:t>פטרבורגר</w:t>
      </w:r>
      <w:proofErr w:type="spellEnd"/>
      <w:r>
        <w:rPr>
          <w:rtl/>
        </w:rPr>
        <w:t xml:space="preserve">, כיצד אזר זה אומץ לקראת העימות עם הרבנים שהוא והסבא נקראו לעמוד לפניהם. הוא פסע הלוך ושוב בביתו, ממלמל לעצמו שוב ושוב: ‘מפני מי אתה נסער כל כך? בגיל עשרים ושמונה כבר חיברת את הספר שו״ת פרי יצחק – שבגללו כתב עליך ר׳ </w:t>
      </w:r>
      <w:proofErr w:type="spellStart"/>
      <w:r>
        <w:rPr>
          <w:rtl/>
        </w:rPr>
        <w:t>יוסף־שאול</w:t>
      </w:r>
      <w:proofErr w:type="spellEnd"/>
      <w:r>
        <w:rPr>
          <w:rtl/>
        </w:rPr>
        <w:t xml:space="preserve"> נתנזון [</w:t>
      </w:r>
      <w:proofErr w:type="spellStart"/>
      <w:r>
        <w:rPr>
          <w:rtl/>
        </w:rPr>
        <w:t>מלבוב</w:t>
      </w:r>
      <w:proofErr w:type="spellEnd"/>
      <w:r>
        <w:rPr>
          <w:rtl/>
        </w:rPr>
        <w:t>] “הרב הגאון”. מדוע אתה יוצא מדעתך מפניהם?’</w:t>
      </w:r>
    </w:p>
    <w:p w14:paraId="1202B0D8"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נכנס לחדר </w:t>
      </w:r>
      <w:proofErr w:type="spellStart"/>
      <w:r>
        <w:rPr>
          <w:rtl/>
        </w:rPr>
        <w:t>האסיפה</w:t>
      </w:r>
      <w:proofErr w:type="spellEnd"/>
      <w:r>
        <w:rPr>
          <w:rtl/>
        </w:rPr>
        <w:t xml:space="preserve"> יחד עם הסבא אחרי שכל הרבנים נאספו, והכריז: ‘רבותיי, איני יודע לשם מה באנו. האם באנו לקבל את אישורכם ל[דברי] הראשון רבנו יונה [שכתב ספרי מוסר שבעלי המוסר לומדים בהם]?’ ופנה אל הסבא והמשיך: ‘ר׳ </w:t>
      </w:r>
      <w:proofErr w:type="spellStart"/>
      <w:r>
        <w:rPr>
          <w:rtl/>
        </w:rPr>
        <w:t>נטע־הירש</w:t>
      </w:r>
      <w:proofErr w:type="spellEnd"/>
      <w:r>
        <w:rPr>
          <w:rtl/>
        </w:rPr>
        <w:t xml:space="preserve">, אין לנו מה לעשות כאן’, </w:t>
      </w:r>
      <w:proofErr w:type="spellStart"/>
      <w:r>
        <w:rPr>
          <w:rtl/>
        </w:rPr>
        <w:t>ולאסיפה</w:t>
      </w:r>
      <w:proofErr w:type="spellEnd"/>
      <w:r>
        <w:rPr>
          <w:rtl/>
        </w:rPr>
        <w:t xml:space="preserve"> הכריז: ‘</w:t>
      </w:r>
      <w:r>
        <w:rPr>
          <w:b/>
          <w:bCs/>
          <w:rtl/>
        </w:rPr>
        <w:t>יום</w:t>
      </w:r>
      <w:r>
        <w:rPr>
          <w:rtl/>
        </w:rPr>
        <w:t xml:space="preserve"> טוב (ההדגשה שלי): תוכלו להחליט ככל שתרצו; לא יהיו לנו טענות.’ מאותה אסיפה הלך הסבא ישר לבית המדרש הישן להודיע על פרישתו מן הישיבה הקיימת ועל ייסודה של ישיבה חדשה.”</w:t>
      </w:r>
    </w:p>
    <w:p w14:paraId="0C47053F" w14:textId="77777777" w:rsidR="00AB3647" w:rsidRDefault="00000000" w:rsidP="007923E9">
      <w:pPr>
        <w:pStyle w:val="4"/>
        <w:spacing w:line="276" w:lineRule="auto"/>
      </w:pPr>
      <w:r>
        <w:t>· הפסקה השנייה ·</w:t>
      </w:r>
    </w:p>
    <w:p w14:paraId="1BA0ECE6" w14:textId="77777777" w:rsidR="00AB3647" w:rsidRDefault="00000000" w:rsidP="007923E9">
      <w:pPr>
        <w:pStyle w:val="5"/>
        <w:spacing w:line="276" w:lineRule="auto"/>
      </w:pPr>
      <w:r>
        <w:t xml:space="preserve">ר׳ </w:t>
      </w:r>
      <w:proofErr w:type="spellStart"/>
      <w:r>
        <w:t>איצל׳ה</w:t>
      </w:r>
      <w:proofErr w:type="spellEnd"/>
      <w:r>
        <w:t xml:space="preserve"> אינו ישן כל הלילה לפני העימות – הוא משווה מוסר להלכה – הוא עומד מול שתי קבוצות של מתנגדים</w:t>
      </w:r>
    </w:p>
    <w:p w14:paraId="07ACF113" w14:textId="77777777" w:rsidR="00AB3647" w:rsidRDefault="00000000" w:rsidP="007923E9">
      <w:pPr>
        <w:spacing w:after="120" w:line="276" w:lineRule="auto"/>
        <w:ind w:firstLine="283"/>
        <w:jc w:val="both"/>
      </w:pPr>
      <w:r>
        <w:rPr>
          <w:rtl/>
        </w:rPr>
        <w:t>לפי “פולמוס המוסר”</w:t>
      </w:r>
      <w:bookmarkStart w:id="2880" w:name="_fnr2009"/>
      <w:r>
        <w:rPr>
          <w:rStyle w:val="a5"/>
        </w:rPr>
        <w:footnoteReference w:id="2014" w:customMarkFollows="0"/>
      </w:r>
      <w:bookmarkEnd w:id="2880"/>
      <w:r>
        <w:rPr>
          <w:rtl/>
        </w:rPr>
        <w:t xml:space="preserve">, בפרק המוקדש לפולמוס המוסר, הוזמנו ר׳ </w:t>
      </w:r>
      <w:proofErr w:type="spellStart"/>
      <w:r>
        <w:rPr>
          <w:rtl/>
        </w:rPr>
        <w:t>איצל׳ה</w:t>
      </w:r>
      <w:proofErr w:type="spellEnd"/>
      <w:r>
        <w:rPr>
          <w:rtl/>
        </w:rPr>
        <w:t xml:space="preserve"> והסבא </w:t>
      </w:r>
      <w:proofErr w:type="spellStart"/>
      <w:r>
        <w:rPr>
          <w:rtl/>
        </w:rPr>
        <w:t>לאסיפה</w:t>
      </w:r>
      <w:proofErr w:type="spellEnd"/>
      <w:r>
        <w:rPr>
          <w:rtl/>
        </w:rPr>
        <w:t xml:space="preserve"> של “חשובי העיר </w:t>
      </w:r>
      <w:proofErr w:type="spellStart"/>
      <w:r>
        <w:rPr>
          <w:rtl/>
        </w:rPr>
        <w:t>ונכבדיה</w:t>
      </w:r>
      <w:proofErr w:type="spellEnd"/>
      <w:r>
        <w:rPr>
          <w:rtl/>
        </w:rPr>
        <w:t xml:space="preserve">”. שם הניחו המוזמנים למאשימיהם “להשמיע את כל טענותיהם ועלילותיהם, ובצער עמוק </w:t>
      </w:r>
      <w:r>
        <w:rPr>
          <w:b/>
          <w:bCs/>
          <w:rtl/>
        </w:rPr>
        <w:t>לא יכלו להוציא מפיהם מילה מלבד ‘לילה טוב’</w:t>
      </w:r>
      <w:r>
        <w:rPr>
          <w:rtl/>
        </w:rPr>
        <w:t xml:space="preserve"> (ההדגשה שלי), ויצאו”. הערת שוליים מפנה את הקורא לספרו של כץ, “תנועת המוסר”, כרך ב</w:t>
      </w:r>
      <w:bookmarkStart w:id="2881" w:name="_fnr2010"/>
      <w:r>
        <w:rPr>
          <w:rStyle w:val="a5"/>
        </w:rPr>
        <w:footnoteReference w:id="2015" w:customMarkFollows="0"/>
      </w:r>
      <w:bookmarkEnd w:id="2881"/>
      <w:r>
        <w:rPr>
          <w:rtl/>
        </w:rPr>
        <w:t>, שם</w:t>
      </w:r>
      <w:bookmarkStart w:id="2882" w:name="_fnr2011"/>
      <w:r>
        <w:rPr>
          <w:rStyle w:val="a5"/>
        </w:rPr>
        <w:footnoteReference w:id="2016" w:customMarkFollows="0"/>
      </w:r>
      <w:bookmarkEnd w:id="2882"/>
      <w:r>
        <w:rPr>
          <w:rtl/>
        </w:rPr>
        <w:t xml:space="preserve"> חוזרת גרסה זו, ור׳ שמואל </w:t>
      </w:r>
      <w:proofErr w:type="spellStart"/>
      <w:r>
        <w:rPr>
          <w:rtl/>
        </w:rPr>
        <w:t>אידלזק</w:t>
      </w:r>
      <w:proofErr w:type="spellEnd"/>
      <w:r>
        <w:rPr>
          <w:rtl/>
        </w:rPr>
        <w:t xml:space="preserve"> מובא כמקורה. הרב </w:t>
      </w:r>
      <w:proofErr w:type="spellStart"/>
      <w:r>
        <w:rPr>
          <w:rtl/>
        </w:rPr>
        <w:t>אידלזק</w:t>
      </w:r>
      <w:proofErr w:type="spellEnd"/>
      <w:r>
        <w:rPr>
          <w:rtl/>
        </w:rPr>
        <w:t xml:space="preserve"> היה בוגר </w:t>
      </w:r>
      <w:proofErr w:type="spellStart"/>
      <w:r>
        <w:rPr>
          <w:rtl/>
        </w:rPr>
        <w:t>סלבודקה</w:t>
      </w:r>
      <w:proofErr w:type="spellEnd"/>
      <w:r>
        <w:rPr>
          <w:rtl/>
        </w:rPr>
        <w:t xml:space="preserve"> שעמד בראש ישיבה </w:t>
      </w:r>
      <w:proofErr w:type="spellStart"/>
      <w:r>
        <w:rPr>
          <w:rtl/>
        </w:rPr>
        <w:t>ברובנה</w:t>
      </w:r>
      <w:proofErr w:type="spellEnd"/>
      <w:r>
        <w:rPr>
          <w:rtl/>
        </w:rPr>
        <w:t xml:space="preserve"> (בפלך </w:t>
      </w:r>
      <w:proofErr w:type="spellStart"/>
      <w:r>
        <w:rPr>
          <w:rtl/>
        </w:rPr>
        <w:t>ווהלין</w:t>
      </w:r>
      <w:proofErr w:type="spellEnd"/>
      <w:r>
        <w:rPr>
          <w:rtl/>
        </w:rPr>
        <w:t xml:space="preserve">, ולשם הביאו ר׳ </w:t>
      </w:r>
      <w:proofErr w:type="spellStart"/>
      <w:r>
        <w:rPr>
          <w:rtl/>
        </w:rPr>
        <w:t>לייזר־יעקב</w:t>
      </w:r>
      <w:proofErr w:type="spellEnd"/>
      <w:r>
        <w:rPr>
          <w:rtl/>
        </w:rPr>
        <w:t xml:space="preserve"> </w:t>
      </w:r>
      <w:proofErr w:type="spellStart"/>
      <w:r>
        <w:rPr>
          <w:rtl/>
        </w:rPr>
        <w:t xml:space="preserve">חווס</w:t>
      </w:r>
      <w:bookmarkStart w:id="2883" w:name="_fnr2012"/>
      <w:proofErr w:type="spellEnd"/>
      <w:r>
        <w:rPr>
          <w:rStyle w:val="a5"/>
        </w:rPr>
        <w:footnoteReference w:id="2017" w:customMarkFollows="0"/>
      </w:r>
      <w:bookmarkEnd w:id="2883"/>
      <w:r>
        <w:rPr>
          <w:rtl/>
        </w:rPr>
        <w:t xml:space="preserve">). הוא נפטר </w:t>
      </w:r>
      <w:r>
        <w:rPr>
          <w:rtl/>
        </w:rPr>
        <w:lastRenderedPageBreak/>
        <w:t>בירושלים בשנת תש״ז</w:t>
      </w:r>
      <w:bookmarkStart w:id="2884" w:name="_fnr2013"/>
      <w:r>
        <w:rPr>
          <w:rStyle w:val="a5"/>
        </w:rPr>
        <w:footnoteReference w:id="2018" w:customMarkFollows="0"/>
      </w:r>
      <w:bookmarkEnd w:id="2884"/>
      <w:r>
        <w:rPr>
          <w:rtl/>
        </w:rPr>
        <w:t xml:space="preserve">, ולא היה נוכח בעצמו בקובנה כשאירע המעשה שתיאר: כבר שלוש שנים קודם לכן היה </w:t>
      </w:r>
      <w:proofErr w:type="spellStart"/>
      <w:r>
        <w:rPr>
          <w:rtl/>
        </w:rPr>
        <w:t>ברובנה</w:t>
      </w:r>
      <w:proofErr w:type="spellEnd"/>
      <w:r>
        <w:rPr>
          <w:rtl/>
        </w:rPr>
        <w:t xml:space="preserve"> (ומשנתיים לאחר פולמוס המוסר היה </w:t>
      </w:r>
      <w:proofErr w:type="spellStart"/>
      <w:r>
        <w:rPr>
          <w:rtl/>
        </w:rPr>
        <w:t>באיישישוק</w:t>
      </w:r>
      <w:proofErr w:type="spellEnd"/>
      <w:r>
        <w:rPr>
          <w:rtl/>
        </w:rPr>
        <w:t>).</w:t>
      </w:r>
      <w:bookmarkStart w:id="2885" w:name="_fnr2014"/>
      <w:r>
        <w:rPr>
          <w:rStyle w:val="a5"/>
        </w:rPr>
        <w:footnoteReference w:id="2019" w:customMarkFollows="0"/>
      </w:r>
      <w:bookmarkEnd w:id="2885"/>
    </w:p>
    <w:p w14:paraId="10A91E40" w14:textId="77777777" w:rsidR="00AB3647" w:rsidRDefault="00000000" w:rsidP="007923E9">
      <w:pPr>
        <w:spacing w:after="120" w:line="276" w:lineRule="auto"/>
        <w:ind w:firstLine="283"/>
        <w:jc w:val="both"/>
      </w:pPr>
      <w:r>
        <w:rPr>
          <w:rtl/>
        </w:rPr>
        <w:t>“פולמוס המוסר” ממשיך כך: “</w:t>
      </w:r>
      <w:r>
        <w:rPr>
          <w:b/>
          <w:bCs/>
          <w:rtl/>
        </w:rPr>
        <w:t>מסופר</w:t>
      </w:r>
      <w:r>
        <w:rPr>
          <w:rtl/>
        </w:rPr>
        <w:t xml:space="preserve"> (ההדגשה שלי) שר׳ </w:t>
      </w:r>
      <w:proofErr w:type="spellStart"/>
      <w:r>
        <w:rPr>
          <w:rtl/>
        </w:rPr>
        <w:t>איצל׳ה</w:t>
      </w:r>
      <w:proofErr w:type="spellEnd"/>
      <w:r>
        <w:rPr>
          <w:rtl/>
        </w:rPr>
        <w:t xml:space="preserve"> </w:t>
      </w:r>
      <w:proofErr w:type="spellStart"/>
      <w:r>
        <w:rPr>
          <w:rtl/>
        </w:rPr>
        <w:t>בלאזר</w:t>
      </w:r>
      <w:proofErr w:type="spellEnd"/>
      <w:r>
        <w:rPr>
          <w:rtl/>
        </w:rPr>
        <w:t xml:space="preserve"> לא ישן כל אותו הלילה, ובבוקר בא אל הסבא </w:t>
      </w:r>
      <w:proofErr w:type="spellStart"/>
      <w:r>
        <w:rPr>
          <w:rtl/>
        </w:rPr>
        <w:t>מסלבודקה</w:t>
      </w:r>
      <w:proofErr w:type="spellEnd"/>
      <w:r>
        <w:rPr>
          <w:rtl/>
        </w:rPr>
        <w:t xml:space="preserve"> ואמר שכדי להימנע מחילול השם, דעתו היא שעליהם לצאת יחד עם התלמידים הנאמנים מבית המדרש הישן וללכת למקום אחר.” לדיווח זה לא מובא מקור. העימות עם </w:t>
      </w:r>
      <w:r>
        <w:rPr>
          <w:b/>
          <w:bCs/>
          <w:rtl/>
        </w:rPr>
        <w:t>הרבנים</w:t>
      </w:r>
      <w:r>
        <w:rPr>
          <w:rtl/>
        </w:rPr>
        <w:t xml:space="preserve"> שאבי הזכיר הושמט כליל מן הפרק </w:t>
      </w:r>
      <w:proofErr w:type="spellStart"/>
      <w:r>
        <w:rPr>
          <w:rtl/>
        </w:rPr>
        <w:t>שב“פולמוס</w:t>
      </w:r>
      <w:proofErr w:type="spellEnd"/>
      <w:r>
        <w:rPr>
          <w:rtl/>
        </w:rPr>
        <w:t xml:space="preserve"> המוסר”.</w:t>
      </w:r>
    </w:p>
    <w:p w14:paraId="42FA4781" w14:textId="77777777" w:rsidR="00AB3647" w:rsidRDefault="00000000" w:rsidP="007923E9">
      <w:pPr>
        <w:spacing w:after="120" w:line="276" w:lineRule="auto"/>
        <w:ind w:firstLine="283"/>
        <w:jc w:val="both"/>
      </w:pPr>
      <w:r>
        <w:rPr>
          <w:rtl/>
        </w:rPr>
        <w:t xml:space="preserve">מעניין שבפרק </w:t>
      </w:r>
      <w:r>
        <w:rPr>
          <w:b/>
          <w:bCs/>
          <w:rtl/>
        </w:rPr>
        <w:t>המסכם</w:t>
      </w:r>
      <w:r>
        <w:rPr>
          <w:rtl/>
        </w:rPr>
        <w:t xml:space="preserve"> את תהפוכות פולמוס המוסר</w:t>
      </w:r>
      <w:bookmarkStart w:id="2886" w:name="_fnr2015"/>
      <w:r>
        <w:rPr>
          <w:rStyle w:val="a5"/>
        </w:rPr>
        <w:footnoteReference w:id="2020" w:customMarkFollows="0"/>
      </w:r>
      <w:bookmarkEnd w:id="2886"/>
      <w:r>
        <w:rPr>
          <w:rtl/>
        </w:rPr>
        <w:t xml:space="preserve"> מזכיר “פולמוס המוסר” – בלי לציין מקור – אספה שבה הופיעו ר׳ </w:t>
      </w:r>
      <w:proofErr w:type="spellStart"/>
      <w:r>
        <w:rPr>
          <w:rtl/>
        </w:rPr>
        <w:t>איצל׳ה</w:t>
      </w:r>
      <w:proofErr w:type="spellEnd"/>
      <w:r>
        <w:rPr>
          <w:rtl/>
        </w:rPr>
        <w:t xml:space="preserve"> והסבא לפני “קבוצת רבנים”. שם מסופר שר׳ </w:t>
      </w:r>
      <w:proofErr w:type="spellStart"/>
      <w:r>
        <w:rPr>
          <w:rtl/>
        </w:rPr>
        <w:t>איצל׳ה</w:t>
      </w:r>
      <w:proofErr w:type="spellEnd"/>
      <w:r>
        <w:rPr>
          <w:rtl/>
        </w:rPr>
        <w:t xml:space="preserve"> הביא את דברי רבנו יונה</w:t>
      </w:r>
      <w:bookmarkStart w:id="2887" w:name="_fnr2016"/>
      <w:r>
        <w:rPr>
          <w:rStyle w:val="a5"/>
        </w:rPr>
        <w:footnoteReference w:id="2021" w:customMarkFollows="0"/>
      </w:r>
      <w:bookmarkEnd w:id="2887"/>
      <w:r>
        <w:rPr>
          <w:rtl/>
        </w:rPr>
        <w:t xml:space="preserve"> שלימוד המוסר הכרחי. כשהחלו הרבנים לדון אם אכן התכוון אותו ראשון שלימוד המוסר יהיה חובה, שאל ר׳ </w:t>
      </w:r>
      <w:proofErr w:type="spellStart"/>
      <w:r>
        <w:rPr>
          <w:rtl/>
        </w:rPr>
        <w:t>איצל׳ה</w:t>
      </w:r>
      <w:proofErr w:type="spellEnd"/>
      <w:r>
        <w:rPr>
          <w:rtl/>
        </w:rPr>
        <w:t xml:space="preserve"> אם גם דרישותיו של רבנו יונה בהלכות שבת או תפילה אינן מחייבות בעיניהם.</w:t>
      </w:r>
    </w:p>
    <w:p w14:paraId="1695F9EE" w14:textId="77777777" w:rsidR="00AB3647" w:rsidRDefault="00000000" w:rsidP="007923E9">
      <w:pPr>
        <w:spacing w:after="120" w:line="276" w:lineRule="auto"/>
        <w:ind w:firstLine="283"/>
        <w:jc w:val="both"/>
      </w:pPr>
      <w:r>
        <w:rPr>
          <w:rtl/>
        </w:rPr>
        <w:t xml:space="preserve">להשוואה זו של ר׳ </w:t>
      </w:r>
      <w:proofErr w:type="spellStart"/>
      <w:r>
        <w:rPr>
          <w:rtl/>
        </w:rPr>
        <w:t>איצל׳ה</w:t>
      </w:r>
      <w:proofErr w:type="spellEnd"/>
      <w:r>
        <w:rPr>
          <w:rtl/>
        </w:rPr>
        <w:t xml:space="preserve">, בין כתבי המוסר לכתבי ההלכה של רבנו יונה, רמז ר׳ </w:t>
      </w:r>
      <w:proofErr w:type="spellStart"/>
      <w:r>
        <w:rPr>
          <w:rtl/>
        </w:rPr>
        <w:t>משה־מרדכי</w:t>
      </w:r>
      <w:proofErr w:type="spellEnd"/>
      <w:r>
        <w:rPr>
          <w:rtl/>
        </w:rPr>
        <w:t xml:space="preserve"> ארבע שנים לאחר המאורעות האלה, כשכתב בהקדמה </w:t>
      </w:r>
      <w:proofErr w:type="spellStart"/>
      <w:r>
        <w:rPr>
          <w:rtl/>
        </w:rPr>
        <w:t>ל“לבוש</w:t>
      </w:r>
      <w:proofErr w:type="spellEnd"/>
      <w:r>
        <w:rPr>
          <w:rtl/>
        </w:rPr>
        <w:t xml:space="preserve"> מרדכי”</w:t>
      </w:r>
      <w:bookmarkStart w:id="2888" w:name="_fnr2017"/>
      <w:r>
        <w:rPr>
          <w:rStyle w:val="a5"/>
        </w:rPr>
        <w:footnoteReference w:id="2022" w:customMarkFollows="0"/>
      </w:r>
      <w:bookmarkEnd w:id="2888"/>
      <w:r>
        <w:rPr>
          <w:rtl/>
        </w:rPr>
        <w:t xml:space="preserve">: “מי לא יחרד לבו לשמוע את הדברים האלה של מוסר יוצאים בפירוש מפי </w:t>
      </w:r>
      <w:r>
        <w:rPr>
          <w:b/>
          <w:bCs/>
          <w:rtl/>
        </w:rPr>
        <w:t>אבי ההוראה</w:t>
      </w:r>
      <w:r>
        <w:rPr>
          <w:rtl/>
        </w:rPr>
        <w:t xml:space="preserve"> רבנו יונה ז״ל, שעל פי דבריו בהלכה למעשה אנו מתנהגים?!”</w:t>
      </w:r>
    </w:p>
    <w:p w14:paraId="12A1DFAD" w14:textId="77777777" w:rsidR="00AB3647" w:rsidRDefault="00000000" w:rsidP="007923E9">
      <w:pPr>
        <w:spacing w:after="120" w:line="276" w:lineRule="auto"/>
        <w:ind w:firstLine="283"/>
        <w:jc w:val="both"/>
      </w:pPr>
      <w:r>
        <w:rPr>
          <w:rtl/>
        </w:rPr>
        <w:t xml:space="preserve">מצירוף הגרסאות השונות יש להניח שהיו </w:t>
      </w:r>
      <w:r>
        <w:rPr>
          <w:b/>
          <w:bCs/>
          <w:rtl/>
        </w:rPr>
        <w:t>שתי</w:t>
      </w:r>
      <w:r>
        <w:rPr>
          <w:rtl/>
        </w:rPr>
        <w:t xml:space="preserve"> </w:t>
      </w:r>
      <w:proofErr w:type="spellStart"/>
      <w:r>
        <w:rPr>
          <w:rtl/>
        </w:rPr>
        <w:t>אסיפות</w:t>
      </w:r>
      <w:proofErr w:type="spellEnd"/>
      <w:r>
        <w:rPr>
          <w:rtl/>
        </w:rPr>
        <w:t xml:space="preserve"> לפני שהתפלגה לשתיים הישיבה הקשורה בכולל קובנה. האחת – אספה מקדימה של בעלי בתים מקובנה, שהתקיימה באחד הערבים אחרי שעות המסחר והסתיימה </w:t>
      </w:r>
      <w:proofErr w:type="spellStart"/>
      <w:r>
        <w:rPr>
          <w:rtl/>
        </w:rPr>
        <w:t>ב“לילה</w:t>
      </w:r>
      <w:proofErr w:type="spellEnd"/>
      <w:r>
        <w:rPr>
          <w:rtl/>
        </w:rPr>
        <w:t xml:space="preserve"> טוב” פתאומי, כמו שסיפר הרב </w:t>
      </w:r>
      <w:proofErr w:type="spellStart"/>
      <w:r>
        <w:rPr>
          <w:rtl/>
        </w:rPr>
        <w:t>אידלזק</w:t>
      </w:r>
      <w:proofErr w:type="spellEnd"/>
      <w:r>
        <w:rPr>
          <w:rtl/>
        </w:rPr>
        <w:t xml:space="preserve">. האחרת – אספה מחייבת של רבנים, שהתקיימה </w:t>
      </w:r>
      <w:r>
        <w:rPr>
          <w:b/>
          <w:bCs/>
          <w:rtl/>
        </w:rPr>
        <w:t>ביום</w:t>
      </w:r>
      <w:r>
        <w:rPr>
          <w:rtl/>
        </w:rPr>
        <w:t xml:space="preserve">. לקראתה הכין ר׳ </w:t>
      </w:r>
      <w:proofErr w:type="spellStart"/>
      <w:r>
        <w:rPr>
          <w:rtl/>
        </w:rPr>
        <w:t>איצל׳ה</w:t>
      </w:r>
      <w:proofErr w:type="spellEnd"/>
      <w:r>
        <w:rPr>
          <w:rtl/>
        </w:rPr>
        <w:t xml:space="preserve"> את עצמו בכך ששינן לעצמו שאין סיבה שמחבר מהולל כמותו ייבהל מדעותיהם של רבנים אחרים. האספה השנייה הסתיימה </w:t>
      </w:r>
      <w:proofErr w:type="spellStart"/>
      <w:r>
        <w:rPr>
          <w:rtl/>
        </w:rPr>
        <w:t>ב“</w:t>
      </w:r>
      <w:r>
        <w:rPr>
          <w:b/>
          <w:bCs/>
          <w:rtl/>
        </w:rPr>
        <w:t>יום</w:t>
      </w:r>
      <w:proofErr w:type="spellEnd"/>
      <w:r>
        <w:rPr>
          <w:rtl/>
        </w:rPr>
        <w:t xml:space="preserve"> טוב” (כפי ש[הודגש] בפסקה הקודמת, משמו של רבנו). קדמו לכך הצהרה קצרה של ר׳ </w:t>
      </w:r>
      <w:proofErr w:type="spellStart"/>
      <w:r>
        <w:rPr>
          <w:rtl/>
        </w:rPr>
        <w:t>איצל׳ה</w:t>
      </w:r>
      <w:proofErr w:type="spellEnd"/>
      <w:r>
        <w:rPr>
          <w:rtl/>
        </w:rPr>
        <w:t xml:space="preserve"> (כפי שסיפר אבי), ואולי גם דיון בטעמה של הוראה מאת רבנו יונה (כמובא </w:t>
      </w:r>
      <w:r>
        <w:rPr>
          <w:b/>
          <w:bCs/>
          <w:rtl/>
        </w:rPr>
        <w:t xml:space="preserve">בסיכום </w:t>
      </w:r>
      <w:proofErr w:type="spellStart"/>
      <w:r>
        <w:rPr>
          <w:b/>
          <w:bCs/>
          <w:rtl/>
        </w:rPr>
        <w:t>שב“פולמוס</w:t>
      </w:r>
      <w:proofErr w:type="spellEnd"/>
      <w:r>
        <w:rPr>
          <w:b/>
          <w:bCs/>
          <w:rtl/>
        </w:rPr>
        <w:t xml:space="preserve"> המוסר”</w:t>
      </w:r>
      <w:r>
        <w:rPr>
          <w:rtl/>
        </w:rPr>
        <w:t>).</w:t>
      </w:r>
    </w:p>
    <w:p w14:paraId="670EBCDF" w14:textId="4477C0ED" w:rsidR="00AB3647" w:rsidRDefault="00000000" w:rsidP="007923E9">
      <w:pPr>
        <w:spacing w:after="120" w:line="276" w:lineRule="auto"/>
        <w:ind w:firstLine="283"/>
        <w:jc w:val="both"/>
      </w:pPr>
      <w:r>
        <w:rPr>
          <w:rtl/>
        </w:rPr>
        <w:t xml:space="preserve">באספה </w:t>
      </w:r>
      <w:r>
        <w:rPr>
          <w:b/>
          <w:bCs/>
          <w:rtl/>
        </w:rPr>
        <w:t>השנייה</w:t>
      </w:r>
      <w:r>
        <w:rPr>
          <w:rtl/>
        </w:rPr>
        <w:t xml:space="preserve"> אמר ר׳ </w:t>
      </w:r>
      <w:proofErr w:type="spellStart"/>
      <w:r>
        <w:rPr>
          <w:rtl/>
        </w:rPr>
        <w:t>איצל׳ה</w:t>
      </w:r>
      <w:proofErr w:type="spellEnd"/>
      <w:r>
        <w:rPr>
          <w:rtl/>
        </w:rPr>
        <w:t xml:space="preserve"> “האם באנו לקבל אישור...?” </w:t>
      </w:r>
      <w:proofErr w:type="spellStart"/>
      <w:r>
        <w:rPr>
          <w:rtl/>
        </w:rPr>
        <w:t>ו“אין</w:t>
      </w:r>
      <w:proofErr w:type="spellEnd"/>
      <w:r>
        <w:rPr>
          <w:rtl/>
        </w:rPr>
        <w:t xml:space="preserve"> לנו מה לעשות כאן”. לפני האספה </w:t>
      </w:r>
      <w:r>
        <w:rPr>
          <w:b/>
          <w:bCs/>
          <w:rtl/>
        </w:rPr>
        <w:t>השנייה</w:t>
      </w:r>
      <w:r>
        <w:rPr>
          <w:rtl/>
        </w:rPr>
        <w:t xml:space="preserve"> היה ער כל הלילה ואזר אומץ לעמוד מול גדולי הרבנים. לפני האספה הראשונה, עם בעלי הבתים, לא ידעו הוא והסבא </w:t>
      </w:r>
      <w:proofErr w:type="spellStart"/>
      <w:r>
        <w:rPr>
          <w:rtl/>
        </w:rPr>
        <w:t>מסלבודקה</w:t>
      </w:r>
      <w:proofErr w:type="spellEnd"/>
      <w:r>
        <w:rPr>
          <w:rtl/>
        </w:rPr>
        <w:t xml:space="preserve"> שיוטחו בהם האשמות פרועות, וכשאירע הדבר, לא היה זה לפי כבודם לדון בטענות. אולי דיברו בעלי הבתים באותה רוח שבה כתב אליעזר אליהו פרידמן על אנשי המוסר </w:t>
      </w:r>
      <w:proofErr w:type="spellStart"/>
      <w:r>
        <w:rPr>
          <w:rtl/>
        </w:rPr>
        <w:t>ב“ספר</w:t>
      </w:r>
      <w:proofErr w:type="spellEnd"/>
      <w:r>
        <w:rPr>
          <w:rtl/>
        </w:rPr>
        <w:t xml:space="preserve"> </w:t>
      </w:r>
      <w:proofErr w:type="spellStart"/>
      <w:r>
        <w:rPr>
          <w:rtl/>
        </w:rPr>
        <w:t>הזכרונות</w:t>
      </w:r>
      <w:proofErr w:type="spellEnd"/>
      <w:r>
        <w:rPr>
          <w:rtl/>
        </w:rPr>
        <w:t>” שלו, כמתואר בתחילת הפסקה השלישית ב</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w:t>
      </w:r>
    </w:p>
    <w:p w14:paraId="3B70ACBA" w14:textId="77777777" w:rsidR="00AB3647" w:rsidRDefault="00000000" w:rsidP="007923E9">
      <w:pPr>
        <w:spacing w:after="120" w:line="276" w:lineRule="auto"/>
        <w:ind w:firstLine="283"/>
        <w:jc w:val="both"/>
      </w:pPr>
      <w:r>
        <w:rPr>
          <w:rtl/>
        </w:rPr>
        <w:lastRenderedPageBreak/>
        <w:t xml:space="preserve">הדיווח </w:t>
      </w:r>
      <w:proofErr w:type="spellStart"/>
      <w:r>
        <w:rPr>
          <w:rtl/>
        </w:rPr>
        <w:t>ב“פולמוס</w:t>
      </w:r>
      <w:proofErr w:type="spellEnd"/>
      <w:r>
        <w:rPr>
          <w:rtl/>
        </w:rPr>
        <w:t xml:space="preserve"> המוסר” שר׳ </w:t>
      </w:r>
      <w:proofErr w:type="spellStart"/>
      <w:r>
        <w:rPr>
          <w:rtl/>
        </w:rPr>
        <w:t>איצל׳ה</w:t>
      </w:r>
      <w:proofErr w:type="spellEnd"/>
      <w:r>
        <w:rPr>
          <w:rtl/>
        </w:rPr>
        <w:t xml:space="preserve"> החליט לצאת מבית המדרש הישן ולהקים ישיבת מוסר נפרדת </w:t>
      </w:r>
      <w:r>
        <w:rPr>
          <w:b/>
          <w:bCs/>
          <w:rtl/>
        </w:rPr>
        <w:t>אחרי האספה</w:t>
      </w:r>
      <w:r>
        <w:rPr>
          <w:rtl/>
        </w:rPr>
        <w:t xml:space="preserve"> – ולילה ללא שינה – נכון לגבי </w:t>
      </w:r>
      <w:proofErr w:type="spellStart"/>
      <w:r>
        <w:rPr>
          <w:rtl/>
        </w:rPr>
        <w:t>אסיפת</w:t>
      </w:r>
      <w:proofErr w:type="spellEnd"/>
      <w:r>
        <w:rPr>
          <w:rtl/>
        </w:rPr>
        <w:t xml:space="preserve"> בעלי הבתים. אחרי המפגש השני, עם הרבנים, שהתקיים ביום, הלך הסבא מיד אל התלמידים והזמין אותם להצטרף אליו </w:t>
      </w:r>
      <w:proofErr w:type="spellStart"/>
      <w:r>
        <w:rPr>
          <w:rtl/>
        </w:rPr>
        <w:t>בקצאווישע</w:t>
      </w:r>
      <w:proofErr w:type="spellEnd"/>
      <w:r>
        <w:rPr>
          <w:rtl/>
        </w:rPr>
        <w:t xml:space="preserve"> </w:t>
      </w:r>
      <w:proofErr w:type="spellStart"/>
      <w:r>
        <w:rPr>
          <w:rtl/>
        </w:rPr>
        <w:t>קלויז</w:t>
      </w:r>
      <w:proofErr w:type="spellEnd"/>
      <w:r>
        <w:rPr>
          <w:rtl/>
        </w:rPr>
        <w:t xml:space="preserve">. בכך הוציא לפועל מיד את דרך הפעולה שהחליט עליה ר׳ </w:t>
      </w:r>
      <w:proofErr w:type="spellStart"/>
      <w:r>
        <w:rPr>
          <w:rtl/>
        </w:rPr>
        <w:t>איצל׳ה</w:t>
      </w:r>
      <w:proofErr w:type="spellEnd"/>
      <w:r>
        <w:rPr>
          <w:rtl/>
        </w:rPr>
        <w:t xml:space="preserve"> בלילה ללא השינה, עוד לפני שבא </w:t>
      </w:r>
      <w:proofErr w:type="spellStart"/>
      <w:r>
        <w:rPr>
          <w:rtl/>
        </w:rPr>
        <w:t>לאסיפת</w:t>
      </w:r>
      <w:proofErr w:type="spellEnd"/>
      <w:r>
        <w:rPr>
          <w:rtl/>
        </w:rPr>
        <w:t xml:space="preserve"> </w:t>
      </w:r>
      <w:r>
        <w:rPr>
          <w:b/>
          <w:bCs/>
          <w:rtl/>
        </w:rPr>
        <w:t>הרבנים</w:t>
      </w:r>
      <w:r>
        <w:rPr>
          <w:rtl/>
        </w:rPr>
        <w:t xml:space="preserve">. מאורעות האספה </w:t>
      </w:r>
      <w:r>
        <w:rPr>
          <w:b/>
          <w:bCs/>
          <w:rtl/>
        </w:rPr>
        <w:t>המוקדמת</w:t>
      </w:r>
      <w:r>
        <w:rPr>
          <w:rtl/>
        </w:rPr>
        <w:t xml:space="preserve"> (שבלילה) הם מה </w:t>
      </w:r>
      <w:proofErr w:type="spellStart"/>
      <w:r>
        <w:rPr>
          <w:rtl/>
        </w:rPr>
        <w:t>ש“מסופר</w:t>
      </w:r>
      <w:proofErr w:type="spellEnd"/>
      <w:r>
        <w:rPr>
          <w:rtl/>
        </w:rPr>
        <w:t>” למחבר “פולמוס המוסר”, ומה שנרשם בתיאורו את מאורעות פולמוס המוסר.</w:t>
      </w:r>
    </w:p>
    <w:p w14:paraId="6C9F1CC1" w14:textId="77777777" w:rsidR="00AB3647" w:rsidRDefault="00000000" w:rsidP="007923E9">
      <w:pPr>
        <w:spacing w:after="120" w:line="276" w:lineRule="auto"/>
        <w:ind w:firstLine="283"/>
        <w:jc w:val="both"/>
      </w:pPr>
      <w:r>
        <w:rPr>
          <w:rtl/>
        </w:rPr>
        <w:t xml:space="preserve">יש להוסיף שר׳ </w:t>
      </w:r>
      <w:proofErr w:type="spellStart"/>
      <w:r>
        <w:rPr>
          <w:rtl/>
        </w:rPr>
        <w:t>איצל׳ה</w:t>
      </w:r>
      <w:proofErr w:type="spellEnd"/>
      <w:r>
        <w:rPr>
          <w:rtl/>
        </w:rPr>
        <w:t xml:space="preserve"> והסבא כלל לא היו בטוחים שימצאו תלמידים שילכו אחריהם להקמת ישיבה חדשה, כמובא בסוף הערה 39. אבל זו הייתה דרך הפעולה שהחליטו עליה השניים כדי “להימנע מחילול השם”.</w:t>
      </w:r>
    </w:p>
    <w:p w14:paraId="2F1F195E" w14:textId="77777777" w:rsidR="00AB3647" w:rsidRDefault="00000000" w:rsidP="007923E9">
      <w:pPr>
        <w:pStyle w:val="4"/>
        <w:spacing w:line="276" w:lineRule="auto"/>
      </w:pPr>
      <w:r>
        <w:t>· הפסקה השלישית ·</w:t>
      </w:r>
    </w:p>
    <w:p w14:paraId="571CEB5C"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גינוי רשמי של המוסר מתפרסם – ר׳ </w:t>
      </w:r>
      <w:proofErr w:type="spellStart"/>
      <w:r>
        <w:rPr>
          <w:color w:val="404040"/>
          <w:sz w:val="22"/>
          <w:szCs w:val="22"/>
          <w:rtl/>
        </w:rPr>
        <w:t>יצחק־יעקב</w:t>
      </w:r>
      <w:proofErr w:type="spellEnd"/>
      <w:r>
        <w:rPr>
          <w:color w:val="404040"/>
          <w:sz w:val="22"/>
          <w:szCs w:val="22"/>
          <w:rtl/>
        </w:rPr>
        <w:t xml:space="preserve"> ריינס אינו חותם על המסמך – פונים לאמיל לחמן בבקשת תמיכה בישיבת </w:t>
      </w:r>
      <w:proofErr w:type="spellStart"/>
      <w:r>
        <w:rPr>
          <w:color w:val="404040"/>
          <w:sz w:val="22"/>
          <w:szCs w:val="22"/>
          <w:rtl/>
        </w:rPr>
        <w:t>וולוז׳ין</w:t>
      </w:r>
      <w:proofErr w:type="spellEnd"/>
      <w:r>
        <w:rPr>
          <w:color w:val="404040"/>
          <w:sz w:val="22"/>
          <w:szCs w:val="22"/>
          <w:rtl/>
        </w:rPr>
        <w:t xml:space="preserve"> – בישיבת לידה אין סדר מוסר – </w:t>
      </w:r>
      <w:proofErr w:type="spellStart"/>
      <w:r>
        <w:rPr>
          <w:color w:val="404040"/>
          <w:sz w:val="22"/>
          <w:szCs w:val="22"/>
          <w:rtl/>
        </w:rPr>
        <w:t>החפץ־חיים</w:t>
      </w:r>
      <w:proofErr w:type="spellEnd"/>
      <w:r>
        <w:rPr>
          <w:color w:val="404040"/>
          <w:sz w:val="22"/>
          <w:szCs w:val="22"/>
          <w:rtl/>
        </w:rPr>
        <w:t xml:space="preserve"> מנסה להסיט את ר׳ </w:t>
      </w:r>
      <w:proofErr w:type="spellStart"/>
      <w:r>
        <w:rPr>
          <w:color w:val="404040"/>
          <w:sz w:val="22"/>
          <w:szCs w:val="22"/>
          <w:rtl/>
        </w:rPr>
        <w:t>יצחק־יעקב</w:t>
      </w:r>
      <w:proofErr w:type="spellEnd"/>
      <w:r>
        <w:rPr>
          <w:color w:val="404040"/>
          <w:sz w:val="22"/>
          <w:szCs w:val="22"/>
          <w:rtl/>
        </w:rPr>
        <w:t xml:space="preserve"> ריינס מן הדרך הציונית – </w:t>
      </w:r>
      <w:proofErr w:type="spellStart"/>
      <w:r>
        <w:rPr>
          <w:color w:val="404040"/>
          <w:sz w:val="22"/>
          <w:szCs w:val="22"/>
          <w:rtl/>
        </w:rPr>
        <w:t>החפץ־חיים</w:t>
      </w:r>
      <w:proofErr w:type="spellEnd"/>
      <w:r>
        <w:rPr>
          <w:color w:val="404040"/>
          <w:sz w:val="22"/>
          <w:szCs w:val="22"/>
          <w:rtl/>
        </w:rPr>
        <w:t xml:space="preserve"> מרים את קולו כדי להשיב על תירוצי עושי העוולה – טיעוניו מיוחדים במינם – ר׳ </w:t>
      </w:r>
      <w:proofErr w:type="spellStart"/>
      <w:r>
        <w:rPr>
          <w:color w:val="404040"/>
          <w:sz w:val="22"/>
          <w:szCs w:val="22"/>
          <w:rtl/>
        </w:rPr>
        <w:t>יצחק־יעקב</w:t>
      </w:r>
      <w:proofErr w:type="spellEnd"/>
      <w:r>
        <w:rPr>
          <w:color w:val="404040"/>
          <w:sz w:val="22"/>
          <w:szCs w:val="22"/>
          <w:rtl/>
        </w:rPr>
        <w:t xml:space="preserve"> ריינס מותקף על הבמה – התוקף הוא תלמיד חכם קדוש – ר׳ חיים </w:t>
      </w:r>
      <w:proofErr w:type="spellStart"/>
      <w:r>
        <w:rPr>
          <w:color w:val="404040"/>
          <w:sz w:val="22"/>
          <w:szCs w:val="22"/>
          <w:rtl/>
        </w:rPr>
        <w:t>סולובייצ׳יק</w:t>
      </w:r>
      <w:proofErr w:type="spellEnd"/>
      <w:r>
        <w:rPr>
          <w:color w:val="404040"/>
          <w:sz w:val="22"/>
          <w:szCs w:val="22"/>
          <w:rtl/>
        </w:rPr>
        <w:t xml:space="preserve"> אינו דן אדם לפי דבריו – העיתונות יוצאת נגד אנשי המוסר – ר׳ חיים מסרב לחתום על הגינוי – הסבא </w:t>
      </w:r>
      <w:proofErr w:type="spellStart"/>
      <w:r>
        <w:rPr>
          <w:color w:val="404040"/>
          <w:sz w:val="22"/>
          <w:szCs w:val="22"/>
          <w:rtl/>
        </w:rPr>
        <w:t>מסלבודקה</w:t>
      </w:r>
      <w:proofErr w:type="spellEnd"/>
      <w:r>
        <w:rPr>
          <w:color w:val="404040"/>
          <w:sz w:val="22"/>
          <w:szCs w:val="22"/>
          <w:rtl/>
        </w:rPr>
        <w:t xml:space="preserve"> מתחזק בזכות הימנעותו של ר׳ חיים</w:t>
      </w:r>
    </w:p>
    <w:p w14:paraId="0B7E1BD1" w14:textId="77777777" w:rsidR="00AB3647" w:rsidRDefault="00000000" w:rsidP="007923E9">
      <w:pPr>
        <w:spacing w:after="120" w:line="276" w:lineRule="auto"/>
        <w:ind w:firstLine="283"/>
        <w:jc w:val="both"/>
      </w:pPr>
      <w:r>
        <w:rPr>
          <w:rtl/>
        </w:rPr>
        <w:t xml:space="preserve">גינוי חריף של דבקי המוסר, שכותרתו “למען דעת”, יצא בח׳ באייר תרנ״ז. הוא נועד להפצה בין הרבנים בלבד, כפי שכתב לימים בפומבי ר׳ </w:t>
      </w:r>
      <w:proofErr w:type="spellStart"/>
      <w:r>
        <w:rPr>
          <w:rtl/>
        </w:rPr>
        <w:t>הירש־יעקב</w:t>
      </w:r>
      <w:proofErr w:type="spellEnd"/>
      <w:r>
        <w:rPr>
          <w:rtl/>
        </w:rPr>
        <w:t xml:space="preserve"> </w:t>
      </w:r>
      <w:proofErr w:type="spellStart"/>
      <w:r>
        <w:rPr>
          <w:rtl/>
        </w:rPr>
        <w:t>אופנהיים</w:t>
      </w:r>
      <w:proofErr w:type="spellEnd"/>
      <w:r>
        <w:rPr>
          <w:rtl/>
        </w:rPr>
        <w:t>, רב קלם</w:t>
      </w:r>
      <w:bookmarkStart w:id="2889" w:name="_fnr2018"/>
      <w:r>
        <w:rPr>
          <w:rStyle w:val="a5"/>
        </w:rPr>
        <w:footnoteReference w:id="2023" w:customMarkFollows="0"/>
      </w:r>
      <w:bookmarkEnd w:id="2889"/>
      <w:r>
        <w:rPr>
          <w:rtl/>
        </w:rPr>
        <w:t xml:space="preserve">.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מן החותמים, אף שהיה חב תודה לסבא, שהקים לו ישיבה </w:t>
      </w:r>
      <w:proofErr w:type="spellStart"/>
      <w:r>
        <w:rPr>
          <w:rtl/>
        </w:rPr>
        <w:t>בטלז</w:t>
      </w:r>
      <w:proofErr w:type="spellEnd"/>
      <w:r>
        <w:rPr>
          <w:rtl/>
        </w:rPr>
        <w:t xml:space="preserve"> בעודו “אוכל </w:t>
      </w:r>
      <w:proofErr w:type="spellStart"/>
      <w:r>
        <w:rPr>
          <w:rtl/>
        </w:rPr>
        <w:t>קעסט</w:t>
      </w:r>
      <w:proofErr w:type="spellEnd"/>
      <w:r>
        <w:rPr>
          <w:rtl/>
        </w:rPr>
        <w:t>”</w:t>
      </w:r>
      <w:bookmarkStart w:id="2890" w:name="_fnr2019"/>
      <w:r>
        <w:rPr>
          <w:rStyle w:val="a5"/>
        </w:rPr>
        <w:footnoteReference w:id="2024" w:customMarkFollows="0"/>
      </w:r>
      <w:bookmarkEnd w:id="2890"/>
      <w:r>
        <w:rPr>
          <w:rtl/>
        </w:rPr>
        <w:t xml:space="preserve">, </w:t>
      </w:r>
      <w:proofErr w:type="spellStart"/>
      <w:r>
        <w:rPr>
          <w:rtl/>
        </w:rPr>
        <w:t>ולר</w:t>
      </w:r>
      <w:proofErr w:type="spellEnd"/>
      <w:r>
        <w:rPr>
          <w:rtl/>
        </w:rPr>
        <w:t xml:space="preserve">׳ </w:t>
      </w:r>
      <w:proofErr w:type="spellStart"/>
      <w:r>
        <w:rPr>
          <w:rtl/>
        </w:rPr>
        <w:t>שמחה־זיסל</w:t>
      </w:r>
      <w:proofErr w:type="spellEnd"/>
      <w:r>
        <w:rPr>
          <w:rtl/>
        </w:rPr>
        <w:t xml:space="preserve"> זיו, שסייע לו לזכות במשרת הרבנות </w:t>
      </w:r>
      <w:proofErr w:type="spellStart"/>
      <w:r>
        <w:rPr>
          <w:rtl/>
        </w:rPr>
        <w:t>בקלם</w:t>
      </w:r>
      <w:proofErr w:type="spellEnd"/>
      <w:r>
        <w:rPr>
          <w:rtl/>
        </w:rPr>
        <w:t xml:space="preserve">. ר׳ </w:t>
      </w:r>
      <w:proofErr w:type="spellStart"/>
      <w:r>
        <w:rPr>
          <w:rtl/>
        </w:rPr>
        <w:t>שמחה־זיסל</w:t>
      </w:r>
      <w:proofErr w:type="spellEnd"/>
      <w:r>
        <w:rPr>
          <w:rtl/>
        </w:rPr>
        <w:t xml:space="preserve"> הכיר את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מן הזמן שהלה נמנה עם צוות מוריו </w:t>
      </w:r>
      <w:proofErr w:type="spellStart"/>
      <w:r>
        <w:rPr>
          <w:rtl/>
        </w:rPr>
        <w:t>בקלם</w:t>
      </w:r>
      <w:proofErr w:type="spellEnd"/>
      <w:r>
        <w:rPr>
          <w:rtl/>
        </w:rPr>
        <w:t xml:space="preserve"> ואחר כך </w:t>
      </w:r>
      <w:proofErr w:type="spellStart"/>
      <w:r>
        <w:rPr>
          <w:rtl/>
        </w:rPr>
        <w:t>בגרובין</w:t>
      </w:r>
      <w:bookmarkStart w:id="2891" w:name="_fnr2020"/>
      <w:proofErr w:type="spellEnd"/>
      <w:r>
        <w:rPr>
          <w:rStyle w:val="a5"/>
        </w:rPr>
        <w:footnoteReference w:id="2025" w:customMarkFollows="0"/>
      </w:r>
      <w:bookmarkEnd w:id="2891"/>
      <w:r>
        <w:rPr>
          <w:rtl/>
        </w:rPr>
        <w:t>. אבל המסמך נגד המוסר דלף לעיתונות, והיה לשיחת היום בעולם היהודי.</w:t>
      </w:r>
    </w:p>
    <w:p w14:paraId="7FFDC9E8"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“על מסמך זה חתמו כל גדולי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2892" w:name="_fnr2021"/>
      <w:r>
        <w:rPr>
          <w:rStyle w:val="a5"/>
        </w:rPr>
        <w:footnoteReference w:id="2026" w:customMarkFollows="0"/>
      </w:r>
      <w:bookmarkEnd w:id="2892"/>
      <w:r>
        <w:rPr>
          <w:rtl/>
        </w:rPr>
        <w:t xml:space="preserve">, מלבד שלושה: ר׳ </w:t>
      </w:r>
      <w:proofErr w:type="spellStart"/>
      <w:r>
        <w:rPr>
          <w:rtl/>
        </w:rPr>
        <w:t>יחיאל־מיכל</w:t>
      </w:r>
      <w:proofErr w:type="spellEnd"/>
      <w:r>
        <w:rPr>
          <w:rtl/>
        </w:rPr>
        <w:t xml:space="preserve"> אפשטיין [בעל ערוך השולחן], ר׳ יוסל </w:t>
      </w:r>
      <w:proofErr w:type="spellStart"/>
      <w:r>
        <w:rPr>
          <w:rtl/>
        </w:rPr>
        <w:t>סלונימער</w:t>
      </w:r>
      <w:proofErr w:type="spellEnd"/>
      <w:r>
        <w:rPr>
          <w:rtl/>
        </w:rPr>
        <w:t xml:space="preserve"> [</w:t>
      </w:r>
      <w:proofErr w:type="spellStart"/>
      <w:r>
        <w:rPr>
          <w:rtl/>
        </w:rPr>
        <w:t>שלופר</w:t>
      </w:r>
      <w:proofErr w:type="spellEnd"/>
      <w:r>
        <w:rPr>
          <w:rtl/>
        </w:rPr>
        <w:t xml:space="preserve">, חתנו וממלא מקומו של הרב </w:t>
      </w:r>
      <w:proofErr w:type="spellStart"/>
      <w:r>
        <w:rPr>
          <w:rtl/>
        </w:rPr>
        <w:t>אייזל</w:t>
      </w:r>
      <w:proofErr w:type="spellEnd"/>
      <w:r>
        <w:rPr>
          <w:rtl/>
        </w:rPr>
        <w:t xml:space="preserve">, רב סלונים], ור׳ </w:t>
      </w:r>
      <w:proofErr w:type="spellStart"/>
      <w:r>
        <w:rPr>
          <w:rtl/>
        </w:rPr>
        <w:t>יצחק־יעקב</w:t>
      </w:r>
      <w:proofErr w:type="spellEnd"/>
      <w:r>
        <w:rPr>
          <w:rtl/>
        </w:rPr>
        <w:t xml:space="preserve"> ריינס [רב לידה].” רבנו צחק כשהזכיר את האחרון שבשלושה, משום שר׳ </w:t>
      </w:r>
      <w:proofErr w:type="spellStart"/>
      <w:r>
        <w:rPr>
          <w:rtl/>
        </w:rPr>
        <w:t>יצחק־יעקב</w:t>
      </w:r>
      <w:proofErr w:type="spellEnd"/>
      <w:r>
        <w:rPr>
          <w:rtl/>
        </w:rPr>
        <w:t xml:space="preserve"> ריינס נעשה לימים שנוי במחלוקת: תחילה בשנת תרס״ב, כשייסד את ארגון הציונות הדתית “המזרחי”, ואחר כך בשנת תרס״ה, כשפתח בלידה ישיבה שחיברה לימודי קודש ולימודי חול [להבדיל]. תוכנית לימודים זו נתקלה בהתנגדות עזה מצד חוגי הישיבות בכלל.</w:t>
      </w:r>
    </w:p>
    <w:p w14:paraId="4637D732" w14:textId="77777777" w:rsidR="00AB3647" w:rsidRDefault="00000000" w:rsidP="007923E9">
      <w:pPr>
        <w:spacing w:after="120" w:line="276" w:lineRule="auto"/>
        <w:ind w:firstLine="283"/>
        <w:jc w:val="both"/>
      </w:pPr>
      <w:r>
        <w:rPr>
          <w:rtl/>
        </w:rPr>
        <w:lastRenderedPageBreak/>
        <w:t xml:space="preserve">הגביר הברלינאי אמיל לחמן תמך בר׳ </w:t>
      </w:r>
      <w:proofErr w:type="spellStart"/>
      <w:r>
        <w:rPr>
          <w:rtl/>
        </w:rPr>
        <w:t>יצחק־יעקב</w:t>
      </w:r>
      <w:proofErr w:type="spellEnd"/>
      <w:r>
        <w:rPr>
          <w:rtl/>
        </w:rPr>
        <w:t xml:space="preserve"> ריינס בהוצאת ספרו “חותם תכנית” יותר מעשרים שנה קודם לכן, בשנת תר״מ</w:t>
      </w:r>
      <w:bookmarkStart w:id="2893" w:name="_fnr2022"/>
      <w:r>
        <w:rPr>
          <w:rStyle w:val="a5"/>
        </w:rPr>
        <w:footnoteReference w:id="2027" w:customMarkFollows="0"/>
      </w:r>
      <w:bookmarkEnd w:id="2893"/>
      <w:r>
        <w:rPr>
          <w:rtl/>
        </w:rPr>
        <w:t xml:space="preserve">. עובדה זו מלמדת שיועציו של לחמן, מצדדי המוסר, ידעו שר׳ </w:t>
      </w:r>
      <w:proofErr w:type="spellStart"/>
      <w:r>
        <w:rPr>
          <w:rtl/>
        </w:rPr>
        <w:t>יצחק־יעקב</w:t>
      </w:r>
      <w:proofErr w:type="spellEnd"/>
      <w:r>
        <w:rPr>
          <w:rtl/>
        </w:rPr>
        <w:t xml:space="preserve"> ריינס נוטה למוסר – שהרי ודאי ביקש מהם עצה למי להעניק מצדקתו.</w:t>
      </w:r>
    </w:p>
    <w:p w14:paraId="67477433" w14:textId="77777777" w:rsidR="00AB3647" w:rsidRDefault="00000000" w:rsidP="007923E9">
      <w:pPr>
        <w:spacing w:after="120" w:line="276" w:lineRule="auto"/>
        <w:ind w:firstLine="283"/>
        <w:jc w:val="both"/>
      </w:pPr>
      <w:r>
        <w:rPr>
          <w:rtl/>
        </w:rPr>
        <w:t xml:space="preserve">מטבע הדברים פנו אל לחמן העשיר מוסדות ומטרות רבים שביקשו את תמיכתו, ובהם ישיבת </w:t>
      </w:r>
      <w:proofErr w:type="spellStart"/>
      <w:r>
        <w:rPr>
          <w:rtl/>
        </w:rPr>
        <w:t>וולוז׳ין</w:t>
      </w:r>
      <w:proofErr w:type="spellEnd"/>
      <w:r>
        <w:rPr>
          <w:rtl/>
        </w:rPr>
        <w:t xml:space="preserve">. ראה את המכתב משנת תרמ״ו המובא </w:t>
      </w:r>
      <w:proofErr w:type="spellStart"/>
      <w:r>
        <w:rPr>
          <w:rtl/>
        </w:rPr>
        <w:t>ב“אגרות</w:t>
      </w:r>
      <w:proofErr w:type="spellEnd"/>
      <w:r>
        <w:rPr>
          <w:rtl/>
        </w:rPr>
        <w:t xml:space="preserve"> </w:t>
      </w:r>
      <w:proofErr w:type="spellStart"/>
      <w:r>
        <w:rPr>
          <w:rtl/>
        </w:rPr>
        <w:t>לראי״ה</w:t>
      </w:r>
      <w:proofErr w:type="spellEnd"/>
      <w:r>
        <w:rPr>
          <w:rtl/>
        </w:rPr>
        <w:t>”</w:t>
      </w:r>
      <w:bookmarkStart w:id="2894" w:name="_fnr2023"/>
      <w:r>
        <w:rPr>
          <w:rStyle w:val="a5"/>
        </w:rPr>
        <w:footnoteReference w:id="2028" w:customMarkFollows="0"/>
      </w:r>
      <w:bookmarkEnd w:id="2894"/>
      <w:r>
        <w:rPr>
          <w:rtl/>
        </w:rPr>
        <w:t xml:space="preserve">, ששלח ר׳ </w:t>
      </w:r>
      <w:proofErr w:type="spellStart"/>
      <w:r>
        <w:rPr>
          <w:rtl/>
        </w:rPr>
        <w:t>בן־ציון</w:t>
      </w:r>
      <w:proofErr w:type="spellEnd"/>
      <w:r>
        <w:rPr>
          <w:rtl/>
        </w:rPr>
        <w:t xml:space="preserve"> </w:t>
      </w:r>
      <w:proofErr w:type="spellStart"/>
      <w:r>
        <w:rPr>
          <w:rtl/>
        </w:rPr>
        <w:t>שטרנפלד</w:t>
      </w:r>
      <w:bookmarkStart w:id="2895" w:name="_fnr2024"/>
      <w:proofErr w:type="spellEnd"/>
      <w:r>
        <w:rPr>
          <w:rStyle w:val="a5"/>
        </w:rPr>
        <w:footnoteReference w:id="2029" w:customMarkFollows="0"/>
      </w:r>
      <w:bookmarkEnd w:id="2895"/>
      <w:r>
        <w:rPr>
          <w:rtl/>
        </w:rPr>
        <w:t xml:space="preserve">, אז רב </w:t>
      </w:r>
      <w:proofErr w:type="spellStart"/>
      <w:r>
        <w:rPr>
          <w:rtl/>
        </w:rPr>
        <w:t>קלווריה</w:t>
      </w:r>
      <w:proofErr w:type="spellEnd"/>
      <w:r>
        <w:rPr>
          <w:rtl/>
        </w:rPr>
        <w:t xml:space="preserve">, אל </w:t>
      </w:r>
      <w:proofErr w:type="spellStart"/>
      <w:r>
        <w:rPr>
          <w:rtl/>
        </w:rPr>
        <w:t>האדר״ת</w:t>
      </w:r>
      <w:bookmarkStart w:id="2896" w:name="_fnr2025"/>
      <w:proofErr w:type="spellEnd"/>
      <w:r>
        <w:rPr>
          <w:rStyle w:val="a5"/>
        </w:rPr>
        <w:footnoteReference w:id="2030" w:customMarkFollows="0"/>
      </w:r>
      <w:bookmarkEnd w:id="2896"/>
      <w:r>
        <w:rPr>
          <w:rtl/>
        </w:rPr>
        <w:t xml:space="preserve">, אז רב </w:t>
      </w:r>
      <w:proofErr w:type="spellStart"/>
      <w:r>
        <w:rPr>
          <w:rtl/>
        </w:rPr>
        <w:t>פוניבז</w:t>
      </w:r>
      <w:proofErr w:type="spellEnd"/>
      <w:r>
        <w:rPr>
          <w:rtl/>
        </w:rPr>
        <w:t xml:space="preserve">׳. במכתב הוא מתאר בפירוט את ישיבת </w:t>
      </w:r>
      <w:proofErr w:type="spellStart"/>
      <w:r>
        <w:rPr>
          <w:rtl/>
        </w:rPr>
        <w:t>וולוז׳ין</w:t>
      </w:r>
      <w:proofErr w:type="spellEnd"/>
      <w:r>
        <w:rPr>
          <w:rtl/>
        </w:rPr>
        <w:t xml:space="preserve">, אחרי ששהה בה “כשבוע” כדי לרשום אליה את בנו. מסקנתו היא </w:t>
      </w:r>
      <w:proofErr w:type="spellStart"/>
      <w:r>
        <w:rPr>
          <w:rtl/>
        </w:rPr>
        <w:t>שוולוז׳ין</w:t>
      </w:r>
      <w:proofErr w:type="spellEnd"/>
      <w:r>
        <w:rPr>
          <w:rtl/>
        </w:rPr>
        <w:t xml:space="preserve"> היא “יסוד התורה בזמננו, שעליה אפשר לומר באמת שהיא בית המקדש של הגולה”</w:t>
      </w:r>
      <w:bookmarkStart w:id="2897" w:name="_fnr2026"/>
      <w:r>
        <w:rPr>
          <w:rStyle w:val="a5"/>
        </w:rPr>
        <w:footnoteReference w:id="2031" w:customMarkFollows="0"/>
      </w:r>
      <w:bookmarkEnd w:id="2897"/>
      <w:r>
        <w:rPr>
          <w:rtl/>
        </w:rPr>
        <w:t xml:space="preserve">. הרב </w:t>
      </w:r>
      <w:proofErr w:type="spellStart"/>
      <w:r>
        <w:rPr>
          <w:rtl/>
        </w:rPr>
        <w:t>שטרנפלד</w:t>
      </w:r>
      <w:proofErr w:type="spellEnd"/>
      <w:r>
        <w:rPr>
          <w:rtl/>
        </w:rPr>
        <w:t xml:space="preserve"> מתאר גם את “ההשגחה שאין לשער של </w:t>
      </w:r>
      <w:proofErr w:type="spellStart"/>
      <w:r>
        <w:rPr>
          <w:rtl/>
        </w:rPr>
        <w:t>הנצי״ב</w:t>
      </w:r>
      <w:proofErr w:type="spellEnd"/>
      <w:r>
        <w:rPr>
          <w:rtl/>
        </w:rPr>
        <w:t xml:space="preserve"> על התלמידים, עד כדי מסירות נפשו כולה”, ומצביע על העובדה המצערת שראש הישיבה היה שקוע בחובות, דבר </w:t>
      </w:r>
      <w:proofErr w:type="spellStart"/>
      <w:r>
        <w:rPr>
          <w:rtl/>
        </w:rPr>
        <w:t>ש“מטיל</w:t>
      </w:r>
      <w:proofErr w:type="spellEnd"/>
      <w:r>
        <w:rPr>
          <w:rtl/>
        </w:rPr>
        <w:t xml:space="preserve"> על הרבנים לחזק (את הישיבה) בכל כוחם (שלהם), כדי שלא יתמוטטו עמודיה, חס ושלום”.</w:t>
      </w:r>
    </w:p>
    <w:p w14:paraId="3B41BCF7" w14:textId="77777777" w:rsidR="00AB3647" w:rsidRDefault="00000000" w:rsidP="007923E9">
      <w:pPr>
        <w:spacing w:after="120" w:line="276" w:lineRule="auto"/>
        <w:ind w:firstLine="283"/>
        <w:jc w:val="both"/>
      </w:pPr>
      <w:r>
        <w:rPr>
          <w:rtl/>
        </w:rPr>
        <w:t xml:space="preserve">מאחר ש“(לרבנים) אין כוח לעשות דבר במחוזותיהם (שלהם)”, הוא מבקש מן </w:t>
      </w:r>
      <w:proofErr w:type="spellStart"/>
      <w:r>
        <w:rPr>
          <w:rtl/>
        </w:rPr>
        <w:t>האדר״ת</w:t>
      </w:r>
      <w:proofErr w:type="spellEnd"/>
      <w:r>
        <w:rPr>
          <w:rtl/>
        </w:rPr>
        <w:t xml:space="preserve">, “היודע את ערכה הרב של הישיבה, שהרי חתנו (ר׳ </w:t>
      </w:r>
      <w:proofErr w:type="spellStart"/>
      <w:r>
        <w:rPr>
          <w:rtl/>
        </w:rPr>
        <w:t>אברהם־יצחק</w:t>
      </w:r>
      <w:proofErr w:type="spellEnd"/>
      <w:r>
        <w:rPr>
          <w:rtl/>
        </w:rPr>
        <w:t xml:space="preserve"> קוק) שהה </w:t>
      </w:r>
      <w:proofErr w:type="spellStart"/>
      <w:r>
        <w:rPr>
          <w:rtl/>
        </w:rPr>
        <w:t>בוולוז׳ין</w:t>
      </w:r>
      <w:bookmarkStart w:id="2898" w:name="_fnr2027"/>
      <w:proofErr w:type="spellEnd"/>
      <w:r>
        <w:rPr>
          <w:rStyle w:val="a5"/>
        </w:rPr>
        <w:footnoteReference w:id="2032" w:customMarkFollows="0"/>
      </w:r>
      <w:bookmarkEnd w:id="2898"/>
      <w:r>
        <w:rPr>
          <w:rtl/>
        </w:rPr>
        <w:t xml:space="preserve"> והצליח שם בלימודו”, לכתוב אל “הגביר הצדיק המופלג </w:t>
      </w:r>
      <w:proofErr w:type="spellStart"/>
      <w:r>
        <w:rPr>
          <w:rtl/>
        </w:rPr>
        <w:t>בתוי״ש</w:t>
      </w:r>
      <w:proofErr w:type="spellEnd"/>
      <w:r>
        <w:rPr>
          <w:rtl/>
        </w:rPr>
        <w:t xml:space="preserve">” לחמן, ואל “הצדיק השר הטפסר” [וילהלם קרל (ר׳ </w:t>
      </w:r>
      <w:proofErr w:type="spellStart"/>
      <w:r>
        <w:rPr>
          <w:rtl/>
        </w:rPr>
        <w:t>שמעון־וולף</w:t>
      </w:r>
      <w:proofErr w:type="spellEnd"/>
      <w:r>
        <w:rPr>
          <w:rtl/>
        </w:rPr>
        <w:t>)] רוטשילד מפרנקפורט</w:t>
      </w:r>
      <w:bookmarkStart w:id="2899" w:name="_fnr2028"/>
      <w:r>
        <w:rPr>
          <w:rStyle w:val="a5"/>
        </w:rPr>
        <w:footnoteReference w:id="2033" w:customMarkFollows="0"/>
      </w:r>
      <w:bookmarkEnd w:id="2899"/>
      <w:r>
        <w:rPr>
          <w:rtl/>
        </w:rPr>
        <w:t xml:space="preserve">. “אבל”, מסיים הרב </w:t>
      </w:r>
      <w:proofErr w:type="spellStart"/>
      <w:r>
        <w:rPr>
          <w:rtl/>
        </w:rPr>
        <w:t>שטרנפלד</w:t>
      </w:r>
      <w:proofErr w:type="spellEnd"/>
      <w:r>
        <w:rPr>
          <w:rtl/>
        </w:rPr>
        <w:t xml:space="preserve">, “כתבו בלהבות אש ובהתרגשות רבה, ובקשו עזרה בהיקף גדול.” סביר להניח שלחמן לא נענה למכתביו של ר׳ </w:t>
      </w:r>
      <w:proofErr w:type="spellStart"/>
      <w:r>
        <w:rPr>
          <w:rtl/>
        </w:rPr>
        <w:t>בן־ציון</w:t>
      </w:r>
      <w:proofErr w:type="spellEnd"/>
      <w:r>
        <w:rPr>
          <w:rtl/>
        </w:rPr>
        <w:t xml:space="preserve">, וכנראה גם לאלה של </w:t>
      </w:r>
      <w:proofErr w:type="spellStart"/>
      <w:r>
        <w:rPr>
          <w:rtl/>
        </w:rPr>
        <w:t>האדר״ת</w:t>
      </w:r>
      <w:proofErr w:type="spellEnd"/>
      <w:r>
        <w:rPr>
          <w:rtl/>
        </w:rPr>
        <w:t xml:space="preserve">, משום שאנשי המוסר שהדריכוהו לא המליצו לו לתמוך בישיבת </w:t>
      </w:r>
      <w:proofErr w:type="spellStart"/>
      <w:r>
        <w:rPr>
          <w:rtl/>
        </w:rPr>
        <w:t>וולוז׳ין</w:t>
      </w:r>
      <w:proofErr w:type="spellEnd"/>
      <w:r>
        <w:rPr>
          <w:rtl/>
        </w:rPr>
        <w:t>, המתנגדת למוסר</w:t>
      </w:r>
      <w:bookmarkStart w:id="2900" w:name="_fnr2029"/>
      <w:r>
        <w:rPr>
          <w:rStyle w:val="a5"/>
        </w:rPr>
        <w:footnoteReference w:id="2034" w:customMarkFollows="0"/>
      </w:r>
      <w:bookmarkEnd w:id="2900"/>
      <w:r>
        <w:rPr>
          <w:rtl/>
        </w:rPr>
        <w:t>.</w:t>
      </w:r>
    </w:p>
    <w:p w14:paraId="63FB33E8" w14:textId="77777777" w:rsidR="00AB3647" w:rsidRDefault="00000000" w:rsidP="007923E9">
      <w:pPr>
        <w:spacing w:after="120" w:line="276" w:lineRule="auto"/>
        <w:ind w:firstLine="283"/>
        <w:jc w:val="both"/>
      </w:pPr>
      <w:r>
        <w:rPr>
          <w:rtl/>
        </w:rPr>
        <w:t xml:space="preserve">מעניין שלפי </w:t>
      </w:r>
      <w:proofErr w:type="spellStart"/>
      <w:r>
        <w:rPr>
          <w:rtl/>
        </w:rPr>
        <w:t>הירש־לייב</w:t>
      </w:r>
      <w:proofErr w:type="spellEnd"/>
      <w:r>
        <w:rPr>
          <w:rtl/>
        </w:rPr>
        <w:t xml:space="preserve"> גורדון</w:t>
      </w:r>
      <w:bookmarkStart w:id="2901" w:name="_fnr2030"/>
      <w:r>
        <w:rPr>
          <w:rStyle w:val="a5"/>
        </w:rPr>
        <w:footnoteReference w:id="2035" w:customMarkFollows="0"/>
      </w:r>
      <w:bookmarkEnd w:id="2901"/>
      <w:r>
        <w:rPr>
          <w:rtl/>
        </w:rPr>
        <w:t xml:space="preserve">, המוסר בכל זאת </w:t>
      </w:r>
      <w:r>
        <w:rPr>
          <w:b/>
          <w:bCs/>
          <w:rtl/>
        </w:rPr>
        <w:t>לא היה חלק מתוכנית הלימודים של הישיבה</w:t>
      </w:r>
      <w:r>
        <w:rPr>
          <w:rtl/>
        </w:rPr>
        <w:t xml:space="preserve"> שייסד ר׳ </w:t>
      </w:r>
      <w:proofErr w:type="spellStart"/>
      <w:r>
        <w:rPr>
          <w:rtl/>
        </w:rPr>
        <w:t>יצחק־יעקב</w:t>
      </w:r>
      <w:proofErr w:type="spellEnd"/>
      <w:r>
        <w:rPr>
          <w:rtl/>
        </w:rPr>
        <w:t xml:space="preserve"> ריינס. אותו מחבר היה תלמיד בישיבת לידה, והחל ללמוד בה שלוש שנים אחרי פתיחתה </w:t>
      </w:r>
      <w:proofErr w:type="spellStart"/>
      <w:r>
        <w:rPr>
          <w:rtl/>
        </w:rPr>
        <w:t>ואחת־עשרה</w:t>
      </w:r>
      <w:proofErr w:type="spellEnd"/>
      <w:r>
        <w:rPr>
          <w:rtl/>
        </w:rPr>
        <w:t xml:space="preserve"> שנה אחרי פולמוס המוסר, ויש להניח שהכיר את העובדות בשטח טוב יותר מאשר כץ, “תנועת המוסר”, כרך ג</w:t>
      </w:r>
      <w:bookmarkStart w:id="2902" w:name="_fnr2031"/>
      <w:r>
        <w:rPr>
          <w:rStyle w:val="a5"/>
        </w:rPr>
        <w:footnoteReference w:id="2036" w:customMarkFollows="0"/>
      </w:r>
      <w:bookmarkEnd w:id="2902"/>
      <w:r>
        <w:rPr>
          <w:rtl/>
        </w:rPr>
        <w:t>, הטוען שהיה שם “מנהל מוסרי”</w:t>
      </w:r>
      <w:bookmarkStart w:id="2903" w:name="_fnr2032"/>
      <w:r>
        <w:rPr>
          <w:rStyle w:val="a5"/>
        </w:rPr>
        <w:footnoteReference w:id="2037" w:customMarkFollows="0"/>
      </w:r>
      <w:bookmarkEnd w:id="2903"/>
      <w:r>
        <w:rPr>
          <w:rtl/>
        </w:rPr>
        <w:t>.</w:t>
      </w:r>
    </w:p>
    <w:p w14:paraId="370345DD" w14:textId="77777777" w:rsidR="00AB3647" w:rsidRDefault="00000000" w:rsidP="007923E9">
      <w:pPr>
        <w:spacing w:after="120" w:line="276" w:lineRule="auto"/>
        <w:ind w:firstLine="283"/>
        <w:jc w:val="both"/>
      </w:pPr>
      <w:r>
        <w:rPr>
          <w:rtl/>
        </w:rPr>
        <w:lastRenderedPageBreak/>
        <w:t xml:space="preserve">אף שאבי היה שותף להתנגדות לישיבתו של ר׳ </w:t>
      </w:r>
      <w:proofErr w:type="spellStart"/>
      <w:r>
        <w:rPr>
          <w:rtl/>
        </w:rPr>
        <w:t>יצחק־יעקב</w:t>
      </w:r>
      <w:proofErr w:type="spellEnd"/>
      <w:r>
        <w:rPr>
          <w:rtl/>
        </w:rPr>
        <w:t xml:space="preserve"> ריינס, הוא זעם כשרב ישראלי שביקר בביתו פתח בהתקפה על ר׳ </w:t>
      </w:r>
      <w:proofErr w:type="spellStart"/>
      <w:r>
        <w:rPr>
          <w:rtl/>
        </w:rPr>
        <w:t>יצחק־יעקב</w:t>
      </w:r>
      <w:proofErr w:type="spellEnd"/>
      <w:r>
        <w:rPr>
          <w:rtl/>
        </w:rPr>
        <w:t>. ר׳ זאב לב</w:t>
      </w:r>
      <w:bookmarkStart w:id="2904" w:name="_fnr2033"/>
      <w:r>
        <w:rPr>
          <w:rStyle w:val="a5"/>
        </w:rPr>
        <w:footnoteReference w:id="2038" w:customMarkFollows="0"/>
      </w:r>
      <w:bookmarkEnd w:id="2904"/>
      <w:r>
        <w:rPr>
          <w:rtl/>
        </w:rPr>
        <w:t xml:space="preserve"> סיפר: “הייתה זו הפעם היחידה שראיתי את אביך זצ״ל כועס.” ר׳ זאב שהה כמה שנים בביתו של אבי ובסביבתו</w:t>
      </w:r>
      <w:bookmarkStart w:id="2905" w:name="_fnr2034"/>
      <w:r>
        <w:rPr>
          <w:rStyle w:val="a5"/>
        </w:rPr>
        <w:footnoteReference w:id="2039" w:customMarkFollows="0"/>
      </w:r>
      <w:bookmarkEnd w:id="2905"/>
      <w:r>
        <w:rPr>
          <w:rtl/>
        </w:rPr>
        <w:t>. “פניו האדימו והוא אמר לאורחו: ‘אף שהיו שחלקו על שיטותיו, הוא היה אדם גדול מאוד; ואתה יודע מה נאמר על המדברים נגד תלמידי חכמים...’ – כוונתו הייתה למאמר חז״ל: כל המבזה ת״ח אין לו רפואה למכתו</w:t>
      </w:r>
      <w:bookmarkStart w:id="2906" w:name="_fnr2035"/>
      <w:r>
        <w:rPr>
          <w:rStyle w:val="a5"/>
        </w:rPr>
        <w:footnoteReference w:id="2040" w:customMarkFollows="0"/>
      </w:r>
      <w:bookmarkEnd w:id="2906"/>
      <w:r>
        <w:rPr>
          <w:rtl/>
        </w:rPr>
        <w:t>. ומשום שלא רצה לשהות בחברה בשעת כעס, יצא אביך מיד מן החדר.”</w:t>
      </w:r>
    </w:p>
    <w:p w14:paraId="139C0F6C" w14:textId="77777777" w:rsidR="00AB3647" w:rsidRDefault="00000000" w:rsidP="007923E9">
      <w:pPr>
        <w:spacing w:after="120" w:line="276" w:lineRule="auto"/>
        <w:ind w:firstLine="283"/>
        <w:jc w:val="both"/>
      </w:pPr>
      <w:r>
        <w:rPr>
          <w:rtl/>
        </w:rPr>
        <w:t xml:space="preserve">על גדולתו של ר׳ </w:t>
      </w:r>
      <w:proofErr w:type="spellStart"/>
      <w:r>
        <w:rPr>
          <w:rtl/>
        </w:rPr>
        <w:t>יצחק־יעקב</w:t>
      </w:r>
      <w:proofErr w:type="spellEnd"/>
      <w:r>
        <w:rPr>
          <w:rtl/>
        </w:rPr>
        <w:t xml:space="preserve"> ריינס השווה “זכר זאת ליעקב” של הרב יהודה ליב הכהן פישמן, חוברת</w:t>
      </w:r>
      <w:bookmarkStart w:id="2907" w:name="_fnr2036"/>
      <w:r>
        <w:rPr>
          <w:rStyle w:val="a5"/>
        </w:rPr>
        <w:footnoteReference w:id="2041" w:customMarkFollows="0"/>
      </w:r>
      <w:bookmarkEnd w:id="2907"/>
      <w:r>
        <w:rPr>
          <w:rtl/>
        </w:rPr>
        <w:t xml:space="preserve"> שהיא, כלשונה, “תולדות קצרות של הגאון הגדול, יוצר המזרחי, הרב ר׳ </w:t>
      </w:r>
      <w:proofErr w:type="spellStart"/>
      <w:r>
        <w:rPr>
          <w:rtl/>
        </w:rPr>
        <w:t>יצחק־יעקב</w:t>
      </w:r>
      <w:proofErr w:type="spellEnd"/>
      <w:r>
        <w:rPr>
          <w:rtl/>
        </w:rPr>
        <w:t xml:space="preserve"> ריינס”. מסופר בה</w:t>
      </w:r>
      <w:bookmarkStart w:id="2908" w:name="_fnr2037"/>
      <w:r>
        <w:rPr>
          <w:rStyle w:val="a5"/>
        </w:rPr>
        <w:footnoteReference w:id="2042" w:customMarkFollows="0"/>
      </w:r>
      <w:bookmarkEnd w:id="2908"/>
      <w:r>
        <w:rPr>
          <w:rtl/>
        </w:rPr>
        <w:t xml:space="preserve"> </w:t>
      </w:r>
      <w:proofErr w:type="spellStart"/>
      <w:r>
        <w:rPr>
          <w:rtl/>
        </w:rPr>
        <w:t>שהחפץ־חיים</w:t>
      </w:r>
      <w:proofErr w:type="spellEnd"/>
      <w:r>
        <w:rPr>
          <w:rtl/>
        </w:rPr>
        <w:t xml:space="preserve"> ניסה לשכנע את ר׳ </w:t>
      </w:r>
      <w:proofErr w:type="spellStart"/>
      <w:r>
        <w:rPr>
          <w:rtl/>
        </w:rPr>
        <w:t>יצחק־יעקב</w:t>
      </w:r>
      <w:proofErr w:type="spellEnd"/>
      <w:r>
        <w:rPr>
          <w:rtl/>
        </w:rPr>
        <w:t xml:space="preserve"> ריינס לחדול מהקמת המפלגה הפוליטית “המזרחי”, ואמר לו שאילו לא היה מעורב בתנועה </w:t>
      </w:r>
      <w:r>
        <w:rPr>
          <w:b/>
          <w:bCs/>
          <w:rtl/>
        </w:rPr>
        <w:t>הציונית</w:t>
      </w:r>
      <w:r>
        <w:rPr>
          <w:rtl/>
        </w:rPr>
        <w:t xml:space="preserve">, “היו פונים אליו בכל עניין, ושום דבר ציבורי לא היה נעשה בלי שיובא לפניו [תחילה]”. ר׳ </w:t>
      </w:r>
      <w:proofErr w:type="spellStart"/>
      <w:r>
        <w:rPr>
          <w:rtl/>
        </w:rPr>
        <w:t>יצחק־יעקב</w:t>
      </w:r>
      <w:proofErr w:type="spellEnd"/>
      <w:r>
        <w:rPr>
          <w:rtl/>
        </w:rPr>
        <w:t xml:space="preserve"> דחה את פנייתו של </w:t>
      </w:r>
      <w:proofErr w:type="spellStart"/>
      <w:r>
        <w:rPr>
          <w:rtl/>
        </w:rPr>
        <w:t>החפץ־חיים</w:t>
      </w:r>
      <w:proofErr w:type="spellEnd"/>
      <w:r>
        <w:rPr>
          <w:rtl/>
        </w:rPr>
        <w:t>, ולפי הרב פישמן עמד על כך שזו “חובה קדושה” על כל יהודי להצטרף לתנועה הציונית.</w:t>
      </w:r>
    </w:p>
    <w:p w14:paraId="6508576E" w14:textId="77777777" w:rsidR="00AB3647" w:rsidRDefault="00000000" w:rsidP="007923E9">
      <w:pPr>
        <w:spacing w:after="120" w:line="276" w:lineRule="auto"/>
        <w:ind w:firstLine="283"/>
        <w:jc w:val="both"/>
      </w:pPr>
      <w:r>
        <w:rPr>
          <w:rtl/>
        </w:rPr>
        <w:t xml:space="preserve">ר׳ מאיר ליברמן, שלמד שלוש שנים </w:t>
      </w:r>
      <w:proofErr w:type="spellStart"/>
      <w:r>
        <w:rPr>
          <w:rtl/>
        </w:rPr>
        <w:t>בראדין</w:t>
      </w:r>
      <w:proofErr w:type="spellEnd"/>
      <w:r>
        <w:rPr>
          <w:rtl/>
        </w:rPr>
        <w:t xml:space="preserve"> – תרפ״ו–תרפ״ט – סיפר</w:t>
      </w:r>
      <w:bookmarkStart w:id="2909" w:name="_fnr2038"/>
      <w:r>
        <w:rPr>
          <w:rStyle w:val="a5"/>
        </w:rPr>
        <w:footnoteReference w:id="2043" w:customMarkFollows="0"/>
      </w:r>
      <w:bookmarkEnd w:id="2909"/>
      <w:r>
        <w:rPr>
          <w:rtl/>
        </w:rPr>
        <w:t xml:space="preserve"> שבישיבה אמרו </w:t>
      </w:r>
      <w:proofErr w:type="spellStart"/>
      <w:r>
        <w:rPr>
          <w:rtl/>
        </w:rPr>
        <w:t>שהחפץ־חיים</w:t>
      </w:r>
      <w:proofErr w:type="spellEnd"/>
      <w:r>
        <w:rPr>
          <w:rtl/>
        </w:rPr>
        <w:t xml:space="preserve"> נסע פעם ללידה הסמוכה בין ראש השנה ליום הכיפורים, כדי לבקר את ר׳ </w:t>
      </w:r>
      <w:proofErr w:type="spellStart"/>
      <w:r>
        <w:rPr>
          <w:rtl/>
        </w:rPr>
        <w:t>יצחק־יעקב</w:t>
      </w:r>
      <w:proofErr w:type="spellEnd"/>
      <w:r>
        <w:rPr>
          <w:rtl/>
        </w:rPr>
        <w:t xml:space="preserve"> ריינס ולומר לו: “האדם מטבעו מנסה למצוא תירוצים למעשיו הרעים. לכן, כשתבוא לפני בית דין של מעלה ויאמרו לך כמה מזיקים היו מעשיך, אתה עלול לומר: ‘אבל לא רחוק מעירי ישב ישראל מאיר הכהן, בן תורה, והוא לא אמר לי שאני עושה רע.’ לכן באתי לומר לך כבר עכשיו שלא תשתמש בי כתירוץ למעשיך הרעים.” ייתכן שמסורת זו של ישיבת </w:t>
      </w:r>
      <w:proofErr w:type="spellStart"/>
      <w:r>
        <w:rPr>
          <w:rtl/>
        </w:rPr>
        <w:t>ראדין</w:t>
      </w:r>
      <w:proofErr w:type="spellEnd"/>
      <w:r>
        <w:rPr>
          <w:rtl/>
        </w:rPr>
        <w:t xml:space="preserve"> היא קטע מאותה שיחה עצמה המובאת </w:t>
      </w:r>
      <w:proofErr w:type="spellStart"/>
      <w:r>
        <w:rPr>
          <w:rtl/>
        </w:rPr>
        <w:t>ב“זכר</w:t>
      </w:r>
      <w:proofErr w:type="spellEnd"/>
      <w:r>
        <w:rPr>
          <w:rtl/>
        </w:rPr>
        <w:t xml:space="preserve"> זאת ליעקב”. אולי הייתה זו המתקפה האחרונה של </w:t>
      </w:r>
      <w:proofErr w:type="spellStart"/>
      <w:r>
        <w:rPr>
          <w:rtl/>
        </w:rPr>
        <w:t>החפץ־חיים</w:t>
      </w:r>
      <w:proofErr w:type="spellEnd"/>
      <w:r>
        <w:rPr>
          <w:rtl/>
        </w:rPr>
        <w:t xml:space="preserve">, כשראה שר׳ </w:t>
      </w:r>
      <w:proofErr w:type="spellStart"/>
      <w:r>
        <w:rPr>
          <w:rtl/>
        </w:rPr>
        <w:t>יצחק־יעקב</w:t>
      </w:r>
      <w:proofErr w:type="spellEnd"/>
      <w:r>
        <w:rPr>
          <w:rtl/>
        </w:rPr>
        <w:t xml:space="preserve"> ריינס לא השתכנע מטיעונו ההגיוני הראשון, שמביא הרב פישמן.</w:t>
      </w:r>
    </w:p>
    <w:p w14:paraId="0C0F15D1" w14:textId="77777777" w:rsidR="00AB3647" w:rsidRDefault="00000000" w:rsidP="007923E9">
      <w:pPr>
        <w:spacing w:after="120" w:line="276" w:lineRule="auto"/>
        <w:ind w:firstLine="283"/>
        <w:jc w:val="both"/>
      </w:pPr>
      <w:r>
        <w:rPr>
          <w:rtl/>
        </w:rPr>
        <w:t xml:space="preserve">לפי </w:t>
      </w:r>
      <w:proofErr w:type="spellStart"/>
      <w:r>
        <w:rPr>
          <w:rtl/>
        </w:rPr>
        <w:t>כבה״ת</w:t>
      </w:r>
      <w:bookmarkStart w:id="2910" w:name="_fnr2039"/>
      <w:proofErr w:type="spellEnd"/>
      <w:r>
        <w:rPr>
          <w:rStyle w:val="a5"/>
        </w:rPr>
        <w:footnoteReference w:id="2044" w:customMarkFollows="0"/>
      </w:r>
      <w:bookmarkEnd w:id="2910"/>
      <w:r>
        <w:rPr>
          <w:rtl/>
        </w:rPr>
        <w:t xml:space="preserve">, נקט </w:t>
      </w:r>
      <w:proofErr w:type="spellStart"/>
      <w:r>
        <w:rPr>
          <w:rtl/>
        </w:rPr>
        <w:t>החפץ־חיים</w:t>
      </w:r>
      <w:proofErr w:type="spellEnd"/>
      <w:r>
        <w:rPr>
          <w:rtl/>
        </w:rPr>
        <w:t xml:space="preserve"> באותה תחבולה שנקט בה בביקורו אצל ר׳ </w:t>
      </w:r>
      <w:proofErr w:type="spellStart"/>
      <w:r>
        <w:rPr>
          <w:rtl/>
        </w:rPr>
        <w:t>יצחק־יעקב</w:t>
      </w:r>
      <w:proofErr w:type="spellEnd"/>
      <w:r>
        <w:rPr>
          <w:rtl/>
        </w:rPr>
        <w:t xml:space="preserve"> ריינס גם בהזדמנות אחרת, לפני פסח תרע״ו. אז נודע לו שיהודי </w:t>
      </w:r>
      <w:proofErr w:type="spellStart"/>
      <w:r>
        <w:rPr>
          <w:rtl/>
        </w:rPr>
        <w:t>סמילוביץ</w:t>
      </w:r>
      <w:proofErr w:type="spellEnd"/>
      <w:r>
        <w:rPr>
          <w:rtl/>
        </w:rPr>
        <w:t xml:space="preserve">׳ – שאליה נדד כשמלחמת העולם הראשונה עקרה אותו </w:t>
      </w:r>
      <w:proofErr w:type="spellStart"/>
      <w:r>
        <w:rPr>
          <w:rtl/>
        </w:rPr>
        <w:t>מראדין</w:t>
      </w:r>
      <w:proofErr w:type="spellEnd"/>
      <w:r>
        <w:rPr>
          <w:rtl/>
        </w:rPr>
        <w:t xml:space="preserve"> – אינם תומכים די הצורך במשפחות העניות שביניהם בחלוקת מעות </w:t>
      </w:r>
      <w:proofErr w:type="spellStart"/>
      <w:r>
        <w:rPr>
          <w:rtl/>
        </w:rPr>
        <w:t>חטים</w:t>
      </w:r>
      <w:proofErr w:type="spellEnd"/>
      <w:r>
        <w:rPr>
          <w:rtl/>
        </w:rPr>
        <w:t xml:space="preserve">. לפי עד הראייה ר׳ </w:t>
      </w:r>
      <w:proofErr w:type="spellStart"/>
      <w:r>
        <w:rPr>
          <w:rtl/>
        </w:rPr>
        <w:t>יוסף־שלמה</w:t>
      </w:r>
      <w:proofErr w:type="spellEnd"/>
      <w:r>
        <w:rPr>
          <w:rtl/>
        </w:rPr>
        <w:t xml:space="preserve"> </w:t>
      </w:r>
      <w:proofErr w:type="spellStart"/>
      <w:r>
        <w:rPr>
          <w:rtl/>
        </w:rPr>
        <w:t>כהנמן</w:t>
      </w:r>
      <w:bookmarkStart w:id="2911" w:name="_fnr2040"/>
      <w:proofErr w:type="spellEnd"/>
      <w:r>
        <w:rPr>
          <w:rStyle w:val="a5"/>
        </w:rPr>
        <w:footnoteReference w:id="2045" w:customMarkFollows="0"/>
      </w:r>
      <w:bookmarkEnd w:id="2911"/>
      <w:r>
        <w:rPr>
          <w:rtl/>
        </w:rPr>
        <w:t xml:space="preserve">, השתמש </w:t>
      </w:r>
      <w:proofErr w:type="spellStart"/>
      <w:r>
        <w:rPr>
          <w:rtl/>
        </w:rPr>
        <w:t>החפץ־חיים</w:t>
      </w:r>
      <w:proofErr w:type="spellEnd"/>
      <w:r>
        <w:rPr>
          <w:rtl/>
        </w:rPr>
        <w:t xml:space="preserve"> בטענה זו גם כשהשקיט מחלוקת בחברה קדישא </w:t>
      </w:r>
      <w:proofErr w:type="spellStart"/>
      <w:r>
        <w:rPr>
          <w:rtl/>
        </w:rPr>
        <w:t>בראדין</w:t>
      </w:r>
      <w:proofErr w:type="spellEnd"/>
      <w:r>
        <w:rPr>
          <w:rtl/>
        </w:rPr>
        <w:t xml:space="preserve"> בסוף שנות </w:t>
      </w:r>
      <w:proofErr w:type="spellStart"/>
      <w:r>
        <w:rPr>
          <w:rtl/>
        </w:rPr>
        <w:t xml:space="preserve">התר״ס</w:t>
      </w:r>
      <w:proofErr w:type="spellEnd"/>
      <w:r>
        <w:rPr>
          <w:rtl/>
        </w:rPr>
        <w:t xml:space="preserve"> [העשור הראשון </w:t>
      </w:r>
      <w:r>
        <w:rPr>
          <w:rtl/>
        </w:rPr>
        <w:lastRenderedPageBreak/>
        <w:t xml:space="preserve">של המאה ה־20], כשלמד שם הרב </w:t>
      </w:r>
      <w:proofErr w:type="spellStart"/>
      <w:r>
        <w:rPr>
          <w:rtl/>
        </w:rPr>
        <w:t>מפוניבז</w:t>
      </w:r>
      <w:proofErr w:type="spellEnd"/>
      <w:r>
        <w:rPr>
          <w:rtl/>
        </w:rPr>
        <w:t>׳. “שמושה של תורה”</w:t>
      </w:r>
      <w:bookmarkStart w:id="2912" w:name="_fnr2041"/>
      <w:r>
        <w:rPr>
          <w:rStyle w:val="a5"/>
        </w:rPr>
        <w:footnoteReference w:id="2046" w:customMarkFollows="0"/>
      </w:r>
      <w:bookmarkEnd w:id="2912"/>
      <w:r>
        <w:rPr>
          <w:rtl/>
        </w:rPr>
        <w:t xml:space="preserve"> מוסר בשם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שהחפץ־חיים</w:t>
      </w:r>
      <w:proofErr w:type="spellEnd"/>
      <w:r>
        <w:rPr>
          <w:rtl/>
        </w:rPr>
        <w:t xml:space="preserve"> הוסיף וביקש מבעלי המחלוקת </w:t>
      </w:r>
      <w:r>
        <w:rPr>
          <w:b/>
          <w:bCs/>
          <w:rtl/>
        </w:rPr>
        <w:t>לחתום על מסמך</w:t>
      </w:r>
      <w:r>
        <w:rPr>
          <w:rtl/>
        </w:rPr>
        <w:t xml:space="preserve"> שבו נאמר שהוא הזהיר אותם והם סירבו לשמוע בקולו.</w:t>
      </w:r>
    </w:p>
    <w:p w14:paraId="39C4BA42" w14:textId="77777777" w:rsidR="00AB3647" w:rsidRDefault="00000000" w:rsidP="007923E9">
      <w:pPr>
        <w:spacing w:after="120" w:line="276" w:lineRule="auto"/>
        <w:ind w:firstLine="283"/>
        <w:jc w:val="both"/>
      </w:pPr>
      <w:r>
        <w:rPr>
          <w:rtl/>
        </w:rPr>
        <w:t xml:space="preserve">נתקלתי במקרה נוסף שבו הזכיר </w:t>
      </w:r>
      <w:proofErr w:type="spellStart"/>
      <w:r>
        <w:rPr>
          <w:rtl/>
        </w:rPr>
        <w:t>החפץ־חיים</w:t>
      </w:r>
      <w:proofErr w:type="spellEnd"/>
      <w:r>
        <w:rPr>
          <w:rtl/>
        </w:rPr>
        <w:t xml:space="preserve"> את “בית דין של מעלה” כדי לחזק את עמדתו. </w:t>
      </w:r>
      <w:proofErr w:type="spellStart"/>
      <w:r>
        <w:rPr>
          <w:rtl/>
        </w:rPr>
        <w:t>ב“מאיר</w:t>
      </w:r>
      <w:proofErr w:type="spellEnd"/>
      <w:r>
        <w:rPr>
          <w:rtl/>
        </w:rPr>
        <w:t xml:space="preserve"> עיני ישראל”</w:t>
      </w:r>
      <w:bookmarkStart w:id="2913" w:name="_fnr2042"/>
      <w:r>
        <w:rPr>
          <w:rStyle w:val="a5"/>
        </w:rPr>
        <w:footnoteReference w:id="2047" w:customMarkFollows="0"/>
      </w:r>
      <w:bookmarkEnd w:id="2913"/>
      <w:r>
        <w:rPr>
          <w:rtl/>
        </w:rPr>
        <w:t xml:space="preserve"> מובא בשם ר׳ קלמן פרבר, מתלמידי </w:t>
      </w:r>
      <w:proofErr w:type="spellStart"/>
      <w:r>
        <w:rPr>
          <w:rtl/>
        </w:rPr>
        <w:t>ראדין</w:t>
      </w:r>
      <w:proofErr w:type="spellEnd"/>
      <w:r>
        <w:rPr>
          <w:rtl/>
        </w:rPr>
        <w:t xml:space="preserve">, </w:t>
      </w:r>
      <w:proofErr w:type="spellStart"/>
      <w:r>
        <w:rPr>
          <w:rtl/>
        </w:rPr>
        <w:t>ש“סיפרו</w:t>
      </w:r>
      <w:proofErr w:type="spellEnd"/>
      <w:r>
        <w:rPr>
          <w:rtl/>
        </w:rPr>
        <w:t xml:space="preserve"> [בישיבה] שהאדמו״ר </w:t>
      </w:r>
      <w:proofErr w:type="spellStart"/>
      <w:r>
        <w:rPr>
          <w:rtl/>
        </w:rPr>
        <w:t>מבעלז</w:t>
      </w:r>
      <w:proofErr w:type="spellEnd"/>
      <w:r>
        <w:rPr>
          <w:rtl/>
        </w:rPr>
        <w:t xml:space="preserve">, ר׳ אהרן רוקח, שאל את </w:t>
      </w:r>
      <w:proofErr w:type="spellStart"/>
      <w:r>
        <w:rPr>
          <w:rtl/>
        </w:rPr>
        <w:t>החפץ־חיים</w:t>
      </w:r>
      <w:proofErr w:type="spellEnd"/>
      <w:r>
        <w:rPr>
          <w:rtl/>
        </w:rPr>
        <w:t xml:space="preserve"> אם הוא חייב להשתתף במשלחת הרבנים לוורשה בשנת </w:t>
      </w:r>
      <w:proofErr w:type="spellStart"/>
      <w:r>
        <w:rPr>
          <w:rtl/>
        </w:rPr>
        <w:t>תר״ץ</w:t>
      </w:r>
      <w:proofErr w:type="spellEnd"/>
      <w:r>
        <w:rPr>
          <w:rtl/>
        </w:rPr>
        <w:t xml:space="preserve"> כדי לשכנע את ראש הממשלה </w:t>
      </w:r>
      <w:proofErr w:type="spellStart"/>
      <w:r>
        <w:rPr>
          <w:rtl/>
        </w:rPr>
        <w:t>קז׳ימייז</w:t>
      </w:r>
      <w:proofErr w:type="spellEnd"/>
      <w:r>
        <w:rPr>
          <w:rtl/>
        </w:rPr>
        <w:t xml:space="preserve">׳ </w:t>
      </w:r>
      <w:proofErr w:type="spellStart"/>
      <w:r>
        <w:rPr>
          <w:rtl/>
        </w:rPr>
        <w:t>ברטל</w:t>
      </w:r>
      <w:proofErr w:type="spellEnd"/>
      <w:r>
        <w:rPr>
          <w:rtl/>
        </w:rPr>
        <w:t xml:space="preserve"> לבטל גזירה ממשלתית שבישיבות ילמדו לימודי חול, ובהם השפה הפולנית. </w:t>
      </w:r>
      <w:proofErr w:type="spellStart"/>
      <w:r>
        <w:rPr>
          <w:rtl/>
        </w:rPr>
        <w:t>החפץ־חיים</w:t>
      </w:r>
      <w:proofErr w:type="spellEnd"/>
      <w:r>
        <w:rPr>
          <w:rtl/>
        </w:rPr>
        <w:t xml:space="preserve"> השיב לאדמו״ר: ‘איני יודע איזה תירוץ על </w:t>
      </w:r>
      <w:proofErr w:type="spellStart"/>
      <w:r>
        <w:rPr>
          <w:rtl/>
        </w:rPr>
        <w:t>אי־ההשתתפות</w:t>
      </w:r>
      <w:proofErr w:type="spellEnd"/>
      <w:r>
        <w:rPr>
          <w:rtl/>
        </w:rPr>
        <w:t xml:space="preserve"> אפשר יהיה לתת למעלה.’”</w:t>
      </w:r>
    </w:p>
    <w:p w14:paraId="4B2A4CD1" w14:textId="77777777" w:rsidR="00AB3647" w:rsidRDefault="00000000" w:rsidP="007923E9">
      <w:pPr>
        <w:spacing w:after="120" w:line="276" w:lineRule="auto"/>
        <w:ind w:firstLine="283"/>
        <w:jc w:val="both"/>
      </w:pPr>
      <w:r>
        <w:rPr>
          <w:rtl/>
        </w:rPr>
        <w:t xml:space="preserve">יש להדגיש שלא כל אדם יכול להעלות טענה מן העולם הבא כפי שעשה </w:t>
      </w:r>
      <w:proofErr w:type="spellStart"/>
      <w:r>
        <w:rPr>
          <w:rtl/>
        </w:rPr>
        <w:t>החפץ־חיים</w:t>
      </w:r>
      <w:proofErr w:type="spellEnd"/>
      <w:r>
        <w:rPr>
          <w:rtl/>
        </w:rPr>
        <w:t xml:space="preserve">. ר׳ לייב בקשט, יליד העיירה </w:t>
      </w:r>
      <w:proofErr w:type="spellStart"/>
      <w:r>
        <w:rPr>
          <w:rtl/>
        </w:rPr>
        <w:t>דילאטיץ</w:t>
      </w:r>
      <w:proofErr w:type="spellEnd"/>
      <w:r>
        <w:rPr>
          <w:rtl/>
        </w:rPr>
        <w:t>׳, סיפר</w:t>
      </w:r>
      <w:bookmarkStart w:id="2914" w:name="_fnr2043"/>
      <w:r>
        <w:rPr>
          <w:rStyle w:val="a5"/>
        </w:rPr>
        <w:footnoteReference w:id="2048" w:customMarkFollows="0"/>
      </w:r>
      <w:bookmarkEnd w:id="2914"/>
      <w:r>
        <w:rPr>
          <w:rtl/>
        </w:rPr>
        <w:t xml:space="preserve"> שבגיל חמש נשלח לגור אצל כמה דודות בעיר לידה, שבה היה חדר ראוי שיוכל ללמוד בו. פעם בא </w:t>
      </w:r>
      <w:proofErr w:type="spellStart"/>
      <w:r>
        <w:rPr>
          <w:rtl/>
        </w:rPr>
        <w:t>החפץ־חיים</w:t>
      </w:r>
      <w:proofErr w:type="spellEnd"/>
      <w:r>
        <w:rPr>
          <w:rtl/>
        </w:rPr>
        <w:t xml:space="preserve"> </w:t>
      </w:r>
      <w:proofErr w:type="spellStart"/>
      <w:r>
        <w:rPr>
          <w:rtl/>
        </w:rPr>
        <w:t>מראדין</w:t>
      </w:r>
      <w:proofErr w:type="spellEnd"/>
      <w:r>
        <w:rPr>
          <w:rtl/>
        </w:rPr>
        <w:t xml:space="preserve"> לבקר בלידה, והילד קיבל רשות לשאת בשבילו את מזוודתו של הגאון הקדוש. כשעלה </w:t>
      </w:r>
      <w:proofErr w:type="spellStart"/>
      <w:r>
        <w:rPr>
          <w:rtl/>
        </w:rPr>
        <w:t>החפץ־חיים</w:t>
      </w:r>
      <w:proofErr w:type="spellEnd"/>
      <w:r>
        <w:rPr>
          <w:rtl/>
        </w:rPr>
        <w:t xml:space="preserve"> על העגלה, שאל היכן הילד הקטן שעזר במזוודה, וכשהביאו אותו, הושיב אותו הצדיק לידו. כשהגיעו לאכסנייתו ורצה </w:t>
      </w:r>
      <w:proofErr w:type="spellStart"/>
      <w:r>
        <w:rPr>
          <w:rtl/>
        </w:rPr>
        <w:t>החפץ־חיים</w:t>
      </w:r>
      <w:proofErr w:type="spellEnd"/>
      <w:r>
        <w:rPr>
          <w:rtl/>
        </w:rPr>
        <w:t xml:space="preserve"> לשלם על הנסיעה, סירב העגלון לקבל כסף. </w:t>
      </w:r>
      <w:proofErr w:type="spellStart"/>
      <w:r>
        <w:rPr>
          <w:rtl/>
        </w:rPr>
        <w:t>החפץ־חיים</w:t>
      </w:r>
      <w:proofErr w:type="spellEnd"/>
      <w:r>
        <w:rPr>
          <w:rtl/>
        </w:rPr>
        <w:t xml:space="preserve"> עמד על כך שישלם, והעגלון עמד על כך שלא יקבל תשלום, וכך הלוך ושוב, עד שאמר </w:t>
      </w:r>
      <w:proofErr w:type="spellStart"/>
      <w:r>
        <w:rPr>
          <w:rtl/>
        </w:rPr>
        <w:t>החפץ־חיים</w:t>
      </w:r>
      <w:proofErr w:type="spellEnd"/>
      <w:r>
        <w:rPr>
          <w:rtl/>
        </w:rPr>
        <w:t>: “אם לא תיקח כסף, קח לפחות עצה.” הוא הבחין שבעל העגלה מגולח בתער, ואמר לו שלא ישתמש בו עוד</w:t>
      </w:r>
      <w:bookmarkStart w:id="2915" w:name="_fnr2044"/>
      <w:r>
        <w:rPr>
          <w:rStyle w:val="a5"/>
        </w:rPr>
        <w:footnoteReference w:id="2049" w:customMarkFollows="0"/>
      </w:r>
      <w:bookmarkEnd w:id="2915"/>
      <w:r>
        <w:rPr>
          <w:rtl/>
        </w:rPr>
        <w:t>.</w:t>
      </w:r>
    </w:p>
    <w:p w14:paraId="30D1DBC6" w14:textId="77777777" w:rsidR="00AB3647" w:rsidRDefault="00000000" w:rsidP="007923E9">
      <w:pPr>
        <w:spacing w:after="120" w:line="276" w:lineRule="auto"/>
        <w:ind w:firstLine="283"/>
        <w:jc w:val="both"/>
      </w:pPr>
      <w:r>
        <w:rPr>
          <w:rtl/>
        </w:rPr>
        <w:t xml:space="preserve">אחר כך הייתה אספה עם פרנסי העיר בעניין החינוך היהודי בעיר. אחרי שאמר להם אילו תיקונים נחוצים, אמר </w:t>
      </w:r>
      <w:proofErr w:type="spellStart"/>
      <w:r>
        <w:rPr>
          <w:rtl/>
        </w:rPr>
        <w:t>החפץ־חיים</w:t>
      </w:r>
      <w:proofErr w:type="spellEnd"/>
      <w:r>
        <w:rPr>
          <w:rtl/>
        </w:rPr>
        <w:t xml:space="preserve"> שכשאדם יוצא לדרך למקום רחוק, הוא לוקח עמו דרישות שלום מאנשי עירו לקרוביהם שבמרחקים. “אני זקן, ובקרוב אני יוצא לדרך שבה אפגוש את קרוביכם, את הוריכם ואת הורי הוריכם, וכשישאלו אותי אם הבאתי דרישת שלום ומה שלום ילדיהם, אצטרך לספר להם.” הוא עבר על רשימת קרוביו המנוחים של כל אחד מן הפרנסים. הבכי היה מר כל כך, שהילד בן החמש התקשה לישון במשך כמה חודשים אחר כך!</w:t>
      </w:r>
    </w:p>
    <w:p w14:paraId="7DE8F957" w14:textId="77777777" w:rsidR="00AB3647" w:rsidRDefault="00000000" w:rsidP="007923E9">
      <w:pPr>
        <w:spacing w:after="120" w:line="276" w:lineRule="auto"/>
        <w:ind w:firstLine="283"/>
        <w:jc w:val="both"/>
      </w:pPr>
      <w:r>
        <w:rPr>
          <w:rtl/>
        </w:rPr>
        <w:t xml:space="preserve">הרב בקשט הצהיר שבשנת תשל״א ביקר בארץ ישראל וסיפר את המעשה למשגיח ישיבת </w:t>
      </w:r>
      <w:proofErr w:type="spellStart"/>
      <w:r>
        <w:rPr>
          <w:rtl/>
        </w:rPr>
        <w:t>פוניבז</w:t>
      </w:r>
      <w:proofErr w:type="spellEnd"/>
      <w:r>
        <w:rPr>
          <w:rtl/>
        </w:rPr>
        <w:t xml:space="preserve">׳ בבני ברק, ר׳ </w:t>
      </w:r>
      <w:proofErr w:type="spellStart"/>
      <w:r>
        <w:rPr>
          <w:rtl/>
        </w:rPr>
        <w:t>חצקל</w:t>
      </w:r>
      <w:proofErr w:type="spellEnd"/>
      <w:r>
        <w:rPr>
          <w:rtl/>
        </w:rPr>
        <w:t xml:space="preserve"> </w:t>
      </w:r>
      <w:proofErr w:type="spellStart"/>
      <w:r>
        <w:rPr>
          <w:rtl/>
        </w:rPr>
        <w:t>לוינשטיין</w:t>
      </w:r>
      <w:proofErr w:type="spellEnd"/>
      <w:r>
        <w:rPr>
          <w:rtl/>
        </w:rPr>
        <w:t xml:space="preserve">, שאמר: “איך בין דאך </w:t>
      </w:r>
      <w:proofErr w:type="spellStart"/>
      <w:r>
        <w:rPr>
          <w:rtl/>
        </w:rPr>
        <w:t>אויך</w:t>
      </w:r>
      <w:proofErr w:type="spellEnd"/>
      <w:r>
        <w:rPr>
          <w:rtl/>
        </w:rPr>
        <w:t xml:space="preserve"> אן </w:t>
      </w:r>
      <w:proofErr w:type="spellStart"/>
      <w:r>
        <w:rPr>
          <w:rtl/>
        </w:rPr>
        <w:t>אלטער</w:t>
      </w:r>
      <w:proofErr w:type="spellEnd"/>
      <w:r>
        <w:rPr>
          <w:rtl/>
        </w:rPr>
        <w:t xml:space="preserve"> מאן [הרי גם אני אדם זקן], אבל אילו עשיתי מה שעשה </w:t>
      </w:r>
      <w:proofErr w:type="spellStart"/>
      <w:r>
        <w:rPr>
          <w:rtl/>
        </w:rPr>
        <w:t>החפץ־חיים</w:t>
      </w:r>
      <w:proofErr w:type="spellEnd"/>
      <w:r>
        <w:rPr>
          <w:rtl/>
        </w:rPr>
        <w:t>, לא הייתה בזה תועלת: כשזה בא ממני, זה היה רק שפּיל [הצגה].”</w:t>
      </w:r>
    </w:p>
    <w:p w14:paraId="6DB28A92" w14:textId="77777777" w:rsidR="00AB3647" w:rsidRDefault="00000000" w:rsidP="007923E9">
      <w:pPr>
        <w:spacing w:after="120" w:line="276" w:lineRule="auto"/>
        <w:ind w:firstLine="283"/>
        <w:jc w:val="both"/>
      </w:pPr>
      <w:r>
        <w:rPr>
          <w:rtl/>
        </w:rPr>
        <w:lastRenderedPageBreak/>
        <w:t xml:space="preserve">על עוצמת ההתנגדות </w:t>
      </w:r>
      <w:proofErr w:type="spellStart"/>
      <w:r>
        <w:rPr>
          <w:rtl/>
        </w:rPr>
        <w:t>לר</w:t>
      </w:r>
      <w:proofErr w:type="spellEnd"/>
      <w:r>
        <w:rPr>
          <w:rtl/>
        </w:rPr>
        <w:t xml:space="preserve">׳ </w:t>
      </w:r>
      <w:proofErr w:type="spellStart"/>
      <w:r>
        <w:rPr>
          <w:rtl/>
        </w:rPr>
        <w:t>יצחק־יעקב</w:t>
      </w:r>
      <w:proofErr w:type="spellEnd"/>
      <w:r>
        <w:rPr>
          <w:rtl/>
        </w:rPr>
        <w:t xml:space="preserve"> ריינס השווה “זכר זאת ליעקב”</w:t>
      </w:r>
      <w:bookmarkStart w:id="2916" w:name="_fnr2045"/>
      <w:r>
        <w:rPr>
          <w:rStyle w:val="a5"/>
        </w:rPr>
        <w:footnoteReference w:id="2050" w:customMarkFollows="0"/>
      </w:r>
      <w:bookmarkEnd w:id="2916"/>
      <w:r>
        <w:rPr>
          <w:rtl/>
        </w:rPr>
        <w:t xml:space="preserve">, המספר את המעשה הבא. פרטים נוספים בו השלים ר׳ ישראל </w:t>
      </w:r>
      <w:proofErr w:type="spellStart"/>
      <w:r>
        <w:rPr>
          <w:rtl/>
        </w:rPr>
        <w:t>שורין</w:t>
      </w:r>
      <w:bookmarkStart w:id="2917" w:name="_fnr2046"/>
      <w:proofErr w:type="spellEnd"/>
      <w:r>
        <w:rPr>
          <w:rStyle w:val="a5"/>
        </w:rPr>
        <w:footnoteReference w:id="2051" w:customMarkFollows="0"/>
      </w:r>
      <w:bookmarkEnd w:id="2917"/>
      <w:r>
        <w:rPr>
          <w:rtl/>
        </w:rPr>
        <w:t>, כמובא להלן.</w:t>
      </w:r>
    </w:p>
    <w:p w14:paraId="757AE890" w14:textId="77777777" w:rsidR="00AB3647" w:rsidRDefault="00000000" w:rsidP="007923E9">
      <w:pPr>
        <w:spacing w:after="120" w:line="276" w:lineRule="auto"/>
        <w:ind w:firstLine="283"/>
        <w:jc w:val="both"/>
      </w:pPr>
      <w:r>
        <w:rPr>
          <w:rtl/>
        </w:rPr>
        <w:t xml:space="preserve">“אחרי ייסוד המזרחי הוזמן ר׳ </w:t>
      </w:r>
      <w:proofErr w:type="spellStart"/>
      <w:r>
        <w:rPr>
          <w:rtl/>
        </w:rPr>
        <w:t>יצחק־יעקב</w:t>
      </w:r>
      <w:proofErr w:type="spellEnd"/>
      <w:r>
        <w:rPr>
          <w:rtl/>
        </w:rPr>
        <w:t xml:space="preserve"> ריינס לקובנה כדי לקדם את הארגון. כשהגיע לשם בערב שבת, ביקר תחילה אצל הרב, ר׳ </w:t>
      </w:r>
      <w:proofErr w:type="spellStart"/>
      <w:r>
        <w:rPr>
          <w:rtl/>
        </w:rPr>
        <w:t>צבי־הירש</w:t>
      </w:r>
      <w:proofErr w:type="spellEnd"/>
      <w:r>
        <w:rPr>
          <w:rtl/>
        </w:rPr>
        <w:t xml:space="preserve"> </w:t>
      </w:r>
      <w:proofErr w:type="spellStart"/>
      <w:r>
        <w:rPr>
          <w:rtl/>
        </w:rPr>
        <w:t>רבינוביץ</w:t>
      </w:r>
      <w:proofErr w:type="spellEnd"/>
      <w:r>
        <w:rPr>
          <w:rtl/>
        </w:rPr>
        <w:t xml:space="preserve">, שקיבל אותו בכבוד גדול ודיבר עמו בלימוד באריכות. במוצאי שבת הוזמן ר׳ </w:t>
      </w:r>
      <w:proofErr w:type="spellStart"/>
      <w:r>
        <w:rPr>
          <w:rtl/>
        </w:rPr>
        <w:t>יצחק־יעקב</w:t>
      </w:r>
      <w:proofErr w:type="spellEnd"/>
      <w:r>
        <w:rPr>
          <w:rtl/>
        </w:rPr>
        <w:t xml:space="preserve"> ריינס לדרוש באחד מבתי הכנסת הגדולים. אלפי אנשים נאספו לשמוע אותו, והדוחק בבית המדרש היה כזה שמאות אנשים נשארו בחוץ. כשעלה על הבימה, עלה אחריו אדם מן הקהל ואמר לו: ‘באתי להזהירך שלא תדרוש כאן.’ הקהל, כמובן, נתמלא חמה על החוצפה, ורבים היו מוכנים לקרוע את האיש כדג. אבל ר׳ </w:t>
      </w:r>
      <w:proofErr w:type="spellStart"/>
      <w:r>
        <w:rPr>
          <w:rtl/>
        </w:rPr>
        <w:t>יצחק־יעקב</w:t>
      </w:r>
      <w:proofErr w:type="spellEnd"/>
      <w:r>
        <w:rPr>
          <w:rtl/>
        </w:rPr>
        <w:t xml:space="preserve"> ריינס, בסבלנותו הגדולה, שחש בחומרת המצב, השביע את הקהל לשקוט ולהתאפק, בעודו מתחיל להפציר במתערב שירד מן הבימה. החצוף הזה, שניצל את סבלנותו של הרב, הוסיף להתחצף, ותפס בגלימת המשי של [הדורש] וקרע אותה לגזרים לעיני הקהל. רק בזכות שלוות נפשו עלה בידי ר׳ </w:t>
      </w:r>
      <w:proofErr w:type="spellStart"/>
      <w:r>
        <w:rPr>
          <w:rtl/>
        </w:rPr>
        <w:t>יצחק־יעקב</w:t>
      </w:r>
      <w:proofErr w:type="spellEnd"/>
      <w:r>
        <w:rPr>
          <w:rtl/>
        </w:rPr>
        <w:t xml:space="preserve"> ריינס להרגיע את ההמון הזועם ולהציל את המתערב מידיו. כנף הגלימה הקרועה נשמרה בידי ר׳ </w:t>
      </w:r>
      <w:proofErr w:type="spellStart"/>
      <w:r>
        <w:rPr>
          <w:rtl/>
        </w:rPr>
        <w:t>יצחק־יעקב</w:t>
      </w:r>
      <w:proofErr w:type="spellEnd"/>
      <w:r>
        <w:rPr>
          <w:rtl/>
        </w:rPr>
        <w:t xml:space="preserve">, וכפי שסיפר לכותב הטורים האלה, רצה שתיקבר עמו בקברו כשימות.” [ר׳ </w:t>
      </w:r>
      <w:proofErr w:type="spellStart"/>
      <w:r>
        <w:rPr>
          <w:rtl/>
        </w:rPr>
        <w:t>יצחק־יעקב</w:t>
      </w:r>
      <w:proofErr w:type="spellEnd"/>
      <w:r>
        <w:rPr>
          <w:rtl/>
        </w:rPr>
        <w:t xml:space="preserve"> ריינס הרגיש שזכות כיבוש כעסו תעמוד לו ביום הדין.]</w:t>
      </w:r>
    </w:p>
    <w:p w14:paraId="0738E150"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w:t>
      </w:r>
      <w:proofErr w:type="spellStart"/>
      <w:r>
        <w:rPr>
          <w:rtl/>
        </w:rPr>
        <w:t>שה“חצוף</w:t>
      </w:r>
      <w:proofErr w:type="spellEnd"/>
      <w:r>
        <w:rPr>
          <w:rtl/>
        </w:rPr>
        <w:t xml:space="preserve">” לא היה אלא ר׳ זליג תרשיש, תלמיד חכם וצדיק ידוע, מחבורת בוני הישיבות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[כמו הרב </w:t>
      </w:r>
      <w:proofErr w:type="spellStart"/>
      <w:r>
        <w:rPr>
          <w:rtl/>
        </w:rPr>
        <w:t>אידלזק</w:t>
      </w:r>
      <w:proofErr w:type="spellEnd"/>
      <w:r>
        <w:rPr>
          <w:rtl/>
        </w:rPr>
        <w:t xml:space="preserve">, הנזכר בפסקה הקודמת]. אחרי שעמד בראש ישיבה </w:t>
      </w:r>
      <w:proofErr w:type="spellStart"/>
      <w:r>
        <w:rPr>
          <w:rtl/>
        </w:rPr>
        <w:t>בברדיצ׳ב</w:t>
      </w:r>
      <w:proofErr w:type="spellEnd"/>
      <w:r>
        <w:rPr>
          <w:rtl/>
        </w:rPr>
        <w:t xml:space="preserve">, השתקע ר׳ זליג </w:t>
      </w:r>
      <w:proofErr w:type="spellStart"/>
      <w:r>
        <w:rPr>
          <w:rtl/>
        </w:rPr>
        <w:t>בקלם</w:t>
      </w:r>
      <w:proofErr w:type="spellEnd"/>
      <w:r>
        <w:rPr>
          <w:rtl/>
        </w:rPr>
        <w:t>. “יהדות ליטא”</w:t>
      </w:r>
      <w:bookmarkStart w:id="2918" w:name="_fnr2047"/>
      <w:r>
        <w:rPr>
          <w:rStyle w:val="a5"/>
        </w:rPr>
        <w:footnoteReference w:id="2052" w:customMarkFollows="0"/>
      </w:r>
      <w:bookmarkEnd w:id="2918"/>
      <w:r>
        <w:rPr>
          <w:rtl/>
        </w:rPr>
        <w:t xml:space="preserve"> מספר: “הוא הלך ברחובות קלם עטוף בטליתו</w:t>
      </w:r>
      <w:bookmarkStart w:id="2919" w:name="_fnr2048"/>
      <w:r>
        <w:rPr>
          <w:rStyle w:val="a5"/>
        </w:rPr>
        <w:footnoteReference w:id="2053" w:customMarkFollows="0"/>
      </w:r>
      <w:bookmarkEnd w:id="2919"/>
      <w:r>
        <w:rPr>
          <w:rtl/>
        </w:rPr>
        <w:t>. כל ימיו היה עני מרוד, והתפלל שגם ילדיו יהיו עניים כדי שיישארו יראי שמים</w:t>
      </w:r>
      <w:bookmarkStart w:id="2920" w:name="_fnr2049"/>
      <w:r>
        <w:rPr>
          <w:rStyle w:val="a5"/>
        </w:rPr>
        <w:footnoteReference w:id="2054" w:customMarkFollows="0"/>
      </w:r>
      <w:bookmarkEnd w:id="2920"/>
      <w:r>
        <w:rPr>
          <w:rtl/>
        </w:rPr>
        <w:t>. יושרו ומידותיו, לבביותו וחמימותו לכל אדם, הקנו לו שם של צדיק בקרב יהודים וגויים [להבדיל]. מנעוריו דגל בשיבת ציון, והיה עובר משול לשול ומלהיב את העם ברעיון. אך כשראה שהציונות מטיפה לא רק לבניין ארץ ישראל אלא גם להשקפה תרבותית ולאומית חדשה, ושרבנים גדולים רבים מסתייגים מן התנועה, חזר בו והחל להטיף נגדה.”</w:t>
      </w:r>
    </w:p>
    <w:p w14:paraId="2C287D6D" w14:textId="77777777" w:rsidR="00AB3647" w:rsidRDefault="00000000" w:rsidP="007923E9">
      <w:pPr>
        <w:spacing w:after="120" w:line="276" w:lineRule="auto"/>
        <w:ind w:firstLine="283"/>
        <w:jc w:val="both"/>
      </w:pPr>
      <w:r>
        <w:rPr>
          <w:rtl/>
        </w:rPr>
        <w:t xml:space="preserve">לפי ר׳ ישראל </w:t>
      </w:r>
      <w:proofErr w:type="spellStart"/>
      <w:r>
        <w:rPr>
          <w:rtl/>
        </w:rPr>
        <w:t>שורין</w:t>
      </w:r>
      <w:proofErr w:type="spellEnd"/>
      <w:r>
        <w:rPr>
          <w:rtl/>
        </w:rPr>
        <w:t xml:space="preserve">, ר׳ זליג תרשיש אמר תחילה </w:t>
      </w:r>
      <w:proofErr w:type="spellStart"/>
      <w:r>
        <w:rPr>
          <w:rtl/>
        </w:rPr>
        <w:t>לר</w:t>
      </w:r>
      <w:proofErr w:type="spellEnd"/>
      <w:r>
        <w:rPr>
          <w:rtl/>
        </w:rPr>
        <w:t xml:space="preserve">׳ </w:t>
      </w:r>
      <w:proofErr w:type="spellStart"/>
      <w:r>
        <w:rPr>
          <w:rtl/>
        </w:rPr>
        <w:t>יצחק־יעקב</w:t>
      </w:r>
      <w:proofErr w:type="spellEnd"/>
      <w:r>
        <w:rPr>
          <w:rtl/>
        </w:rPr>
        <w:t xml:space="preserve"> ריינס: “אפיקורוס, אינך יכול לדרוש כאן!” כשראה שדבריו אינם פועלים דבר על הדורש האורח, טיפס ר׳ זליג, קטן הקומה, על העמוד וצעק: “אפיקורוס, רד!” ותפס בדשי בגדו של הדורש, והם נקרעו. ר׳ </w:t>
      </w:r>
      <w:proofErr w:type="spellStart"/>
      <w:r>
        <w:rPr>
          <w:rtl/>
        </w:rPr>
        <w:t>יצחק־יעקב</w:t>
      </w:r>
      <w:proofErr w:type="spellEnd"/>
      <w:r>
        <w:rPr>
          <w:rtl/>
        </w:rPr>
        <w:t xml:space="preserve"> ריינס הבין שיריבו אינו יהודי פשוט, והרעים בקולו: “יד אל </w:t>
      </w:r>
      <w:proofErr w:type="spellStart"/>
      <w:r>
        <w:rPr>
          <w:rtl/>
        </w:rPr>
        <w:t>תגע</w:t>
      </w:r>
      <w:proofErr w:type="spellEnd"/>
      <w:r>
        <w:rPr>
          <w:rtl/>
        </w:rPr>
        <w:t xml:space="preserve"> בו!” ור׳ זליג הועבר מיד ליד מעל ראשי הקהל עד לדלת היציאה. אז שכב ר׳ זליג תרשיש על מפתן השול וצעק: “אוי, די תורה </w:t>
      </w:r>
      <w:proofErr w:type="spellStart"/>
      <w:r>
        <w:rPr>
          <w:rtl/>
        </w:rPr>
        <w:t>ברענט</w:t>
      </w:r>
      <w:proofErr w:type="spellEnd"/>
      <w:r>
        <w:rPr>
          <w:rtl/>
        </w:rPr>
        <w:t xml:space="preserve"> [אוי, התורה בוערת]!”</w:t>
      </w:r>
      <w:bookmarkStart w:id="2921" w:name="_fnr2050"/>
      <w:bookmarkStart w:id="2922" w:name="pr_f_1955"/>
      <w:r>
        <w:rPr>
          <w:rStyle w:val="a5"/>
        </w:rPr>
        <w:footnoteReference w:id="2055" w:customMarkFollows="0"/>
      </w:r>
      <w:bookmarkEnd w:id="2921"/>
      <w:bookmarkEnd w:id="2922"/>
    </w:p>
    <w:p w14:paraId="28607D64"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ומשפחתו נסעו באותה רכבת ובאותה אונייה שבהן נסע ר׳ זליג מליטא לארץ ישראל בשנת תרצ״ה, דרך </w:t>
      </w:r>
      <w:proofErr w:type="spellStart"/>
      <w:r>
        <w:rPr>
          <w:rtl/>
        </w:rPr>
        <w:t>טריאסטה</w:t>
      </w:r>
      <w:proofErr w:type="spellEnd"/>
      <w:r>
        <w:rPr>
          <w:rtl/>
        </w:rPr>
        <w:t xml:space="preserve"> שבאיטליה. הוא זכר את להט תפילתו של ר׳ זליג תרשיש בדרך, ואת קריאתו הנרגשת בפסוק “מה רבו מעשיך ה׳”</w:t>
      </w:r>
      <w:bookmarkStart w:id="2923" w:name="_fnr2051"/>
      <w:r>
        <w:rPr>
          <w:rStyle w:val="a5"/>
        </w:rPr>
        <w:footnoteReference w:id="2056" w:customMarkFollows="0"/>
      </w:r>
      <w:bookmarkEnd w:id="2923"/>
      <w:r>
        <w:rPr>
          <w:rtl/>
        </w:rPr>
        <w:t xml:space="preserve"> כשראה את הרי האלפים. על סיפון האונייה שאל ר׳ ישראל </w:t>
      </w:r>
      <w:proofErr w:type="spellStart"/>
      <w:r>
        <w:rPr>
          <w:rtl/>
        </w:rPr>
        <w:t>שורין</w:t>
      </w:r>
      <w:proofErr w:type="spellEnd"/>
      <w:r>
        <w:rPr>
          <w:rtl/>
        </w:rPr>
        <w:t xml:space="preserve"> את שותפו לדרך על פרשת ריינס, אבל ר׳ זליג תרשיש סירב לדבר עליה</w:t>
      </w:r>
      <w:bookmarkStart w:id="2924" w:name="_fnr2052"/>
      <w:r>
        <w:rPr>
          <w:rStyle w:val="a5"/>
        </w:rPr>
        <w:footnoteReference w:id="2057" w:customMarkFollows="0"/>
      </w:r>
      <w:bookmarkEnd w:id="2924"/>
      <w:r>
        <w:rPr>
          <w:rtl/>
        </w:rPr>
        <w:t xml:space="preserve">. ר׳ זליג היה נשוי לאחותו של ר׳ יוזל </w:t>
      </w:r>
      <w:proofErr w:type="spellStart"/>
      <w:r>
        <w:rPr>
          <w:rtl/>
        </w:rPr>
        <w:t>הורוויץ</w:t>
      </w:r>
      <w:proofErr w:type="spellEnd"/>
      <w:r>
        <w:rPr>
          <w:rtl/>
        </w:rPr>
        <w:t xml:space="preserve">, מייסד רשת ישיבות </w:t>
      </w:r>
      <w:proofErr w:type="spellStart"/>
      <w:r>
        <w:rPr>
          <w:rtl/>
        </w:rPr>
        <w:t>נובהרדוק</w:t>
      </w:r>
      <w:proofErr w:type="spellEnd"/>
      <w:r>
        <w:rPr>
          <w:rtl/>
        </w:rPr>
        <w:t xml:space="preserve">, וחיבר את “עין תרשיש” בשלושה כרכים. כשנפטר בירושלים בשנת תרצ״ח, הספידו אותו ר׳ </w:t>
      </w:r>
      <w:proofErr w:type="spellStart"/>
      <w:r>
        <w:rPr>
          <w:rtl/>
        </w:rPr>
        <w:t>איסר־זלמן</w:t>
      </w:r>
      <w:proofErr w:type="spellEnd"/>
      <w:r>
        <w:rPr>
          <w:rtl/>
        </w:rPr>
        <w:t xml:space="preserve"> והרב הראשי </w:t>
      </w:r>
      <w:proofErr w:type="spellStart"/>
      <w:r>
        <w:rPr>
          <w:rtl/>
        </w:rPr>
        <w:t>יצחק־אייזיק</w:t>
      </w:r>
      <w:proofErr w:type="spellEnd"/>
      <w:r>
        <w:rPr>
          <w:rtl/>
        </w:rPr>
        <w:t xml:space="preserve"> הרצוג</w:t>
      </w:r>
      <w:bookmarkStart w:id="2925" w:name="_fnr2053"/>
      <w:r>
        <w:rPr>
          <w:rStyle w:val="a5"/>
        </w:rPr>
        <w:footnoteReference w:id="2058" w:customMarkFollows="0"/>
      </w:r>
      <w:bookmarkEnd w:id="2925"/>
      <w:r>
        <w:rPr>
          <w:rtl/>
        </w:rPr>
        <w:t>.</w:t>
      </w:r>
    </w:p>
    <w:p w14:paraId="18B7210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 גם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שר׳ יעקב הלוי ליפשיץ בא פעם אל סבו, ר׳ חיים </w:t>
      </w:r>
      <w:proofErr w:type="spellStart"/>
      <w:r>
        <w:rPr>
          <w:rtl/>
        </w:rPr>
        <w:t>סולובייצ׳יק</w:t>
      </w:r>
      <w:bookmarkStart w:id="2926" w:name="_fnr2054"/>
      <w:proofErr w:type="spellEnd"/>
      <w:r>
        <w:rPr>
          <w:rStyle w:val="a5"/>
        </w:rPr>
        <w:footnoteReference w:id="2059" w:customMarkFollows="0"/>
      </w:r>
      <w:bookmarkEnd w:id="2926"/>
      <w:r>
        <w:rPr>
          <w:rtl/>
        </w:rPr>
        <w:t xml:space="preserve">, והציע להחרים את ר׳ </w:t>
      </w:r>
      <w:proofErr w:type="spellStart"/>
      <w:r>
        <w:rPr>
          <w:rtl/>
        </w:rPr>
        <w:t>אהרן־שמואל</w:t>
      </w:r>
      <w:proofErr w:type="spellEnd"/>
      <w:r>
        <w:rPr>
          <w:rtl/>
        </w:rPr>
        <w:t xml:space="preserve"> תמרת, רב </w:t>
      </w:r>
      <w:proofErr w:type="spellStart"/>
      <w:r>
        <w:rPr>
          <w:rtl/>
        </w:rPr>
        <w:t>מילייציץ</w:t>
      </w:r>
      <w:proofErr w:type="spellEnd"/>
      <w:r>
        <w:rPr>
          <w:rtl/>
        </w:rPr>
        <w:t>, בשל כתביו. תמרת היה פובליציסט, וכתב בעיתונות היהודית מאמרים בעברית יפה להפליא תחת שם העט “אחד הרבנים המרגישים”.</w:t>
      </w:r>
    </w:p>
    <w:p w14:paraId="447B9A48" w14:textId="77777777" w:rsidR="00AB3647" w:rsidRDefault="00000000" w:rsidP="007923E9">
      <w:pPr>
        <w:spacing w:after="120" w:line="276" w:lineRule="auto"/>
        <w:ind w:firstLine="283"/>
        <w:jc w:val="both"/>
      </w:pPr>
      <w:r>
        <w:rPr>
          <w:rtl/>
        </w:rPr>
        <w:t xml:space="preserve">אבל ר׳ חיים אמר לו שרב זה בא לאודסה לבחון משרה שהוצעה לו בבית המדרש לרבנים המקומי, שבראשו עמד חיים </w:t>
      </w:r>
      <w:proofErr w:type="spellStart"/>
      <w:r>
        <w:rPr>
          <w:rtl/>
        </w:rPr>
        <w:t>צ׳רנוביץ</w:t>
      </w:r>
      <w:proofErr w:type="spellEnd"/>
      <w:r>
        <w:rPr>
          <w:rtl/>
        </w:rPr>
        <w:t xml:space="preserve"> [</w:t>
      </w:r>
      <w:proofErr w:type="spellStart"/>
      <w:r>
        <w:rPr>
          <w:rtl/>
        </w:rPr>
        <w:t>ה“רב</w:t>
      </w:r>
      <w:proofErr w:type="spellEnd"/>
      <w:r>
        <w:rPr>
          <w:rtl/>
        </w:rPr>
        <w:t xml:space="preserve"> צעיר”], במשכורת דמיונית של 1,500 רובל לחודש. תחילה דחה את ההצעה שיענוב עניבה, משום שלדבריו “היא חונקת [אותו]”, וכעבור יומיים עזב את המוסד לגמרי “משום שהאוויר היה מחניק”. ר׳ חיים סיכם: “תמרת כותב כאפיקורוס אבל הוא ירא שמים, ואילו ריינס כותב כירא שמים אבל הוא אפיקורוס.” זו, כנראה, ההערכה שליבתה את התקפתו של ר׳ זליג תרשיש. לפי מה שסיפר ר׳ יצחק </w:t>
      </w:r>
      <w:proofErr w:type="spellStart"/>
      <w:r>
        <w:rPr>
          <w:rtl/>
        </w:rPr>
        <w:t>פופקו</w:t>
      </w:r>
      <w:proofErr w:type="spellEnd"/>
      <w:r>
        <w:rPr>
          <w:rtl/>
        </w:rPr>
        <w:t xml:space="preserve"> </w:t>
      </w:r>
      <w:proofErr w:type="spellStart"/>
      <w:r>
        <w:rPr>
          <w:rtl/>
        </w:rPr>
        <w:t>לר</w:t>
      </w:r>
      <w:proofErr w:type="spellEnd"/>
      <w:r>
        <w:rPr>
          <w:rtl/>
        </w:rPr>
        <w:t xml:space="preserve">׳ ישראל </w:t>
      </w:r>
      <w:proofErr w:type="spellStart"/>
      <w:r>
        <w:rPr>
          <w:rtl/>
        </w:rPr>
        <w:t>שורין</w:t>
      </w:r>
      <w:proofErr w:type="spellEnd"/>
      <w:r>
        <w:rPr>
          <w:rtl/>
        </w:rPr>
        <w:t xml:space="preserve">, </w:t>
      </w:r>
      <w:proofErr w:type="spellStart"/>
      <w:r>
        <w:rPr>
          <w:rtl/>
        </w:rPr>
        <w:t>החפץ־חיים</w:t>
      </w:r>
      <w:proofErr w:type="spellEnd"/>
      <w:r>
        <w:rPr>
          <w:rtl/>
        </w:rPr>
        <w:t xml:space="preserve"> לא הסכים לגינויו של ר׳ חיים, אלא תלה את השקפתו “המוטעית” של ר׳ </w:t>
      </w:r>
      <w:proofErr w:type="spellStart"/>
      <w:r>
        <w:rPr>
          <w:rtl/>
        </w:rPr>
        <w:t>יצחק־יעקב</w:t>
      </w:r>
      <w:proofErr w:type="spellEnd"/>
      <w:r>
        <w:rPr>
          <w:rtl/>
        </w:rPr>
        <w:t xml:space="preserve"> ריינס </w:t>
      </w:r>
      <w:proofErr w:type="spellStart"/>
      <w:r>
        <w:rPr>
          <w:rtl/>
        </w:rPr>
        <w:t>ב“בטלנות</w:t>
      </w:r>
      <w:proofErr w:type="spellEnd"/>
      <w:r>
        <w:rPr>
          <w:rtl/>
        </w:rPr>
        <w:t>”</w:t>
      </w:r>
      <w:bookmarkStart w:id="2927" w:name="_fnr2055"/>
      <w:r>
        <w:rPr>
          <w:rStyle w:val="a5"/>
        </w:rPr>
        <w:footnoteReference w:id="2060" w:customMarkFollows="0"/>
      </w:r>
      <w:bookmarkEnd w:id="2927"/>
      <w:r>
        <w:rPr>
          <w:rtl/>
        </w:rPr>
        <w:t>.</w:t>
      </w:r>
    </w:p>
    <w:p w14:paraId="54DA9C97" w14:textId="77777777" w:rsidR="00AB3647" w:rsidRDefault="00000000" w:rsidP="007923E9">
      <w:pPr>
        <w:spacing w:after="120" w:line="276" w:lineRule="auto"/>
        <w:ind w:firstLine="283"/>
        <w:jc w:val="both"/>
      </w:pPr>
      <w:r>
        <w:rPr>
          <w:rtl/>
        </w:rPr>
        <w:t xml:space="preserve">באשר לסיכומו של רבנו </w:t>
      </w:r>
      <w:proofErr w:type="spellStart"/>
      <w:r>
        <w:rPr>
          <w:rtl/>
        </w:rPr>
        <w:t>ש“כל</w:t>
      </w:r>
      <w:proofErr w:type="spellEnd"/>
      <w:r>
        <w:rPr>
          <w:rtl/>
        </w:rPr>
        <w:t xml:space="preserve"> גדולי הרבנים” (מלבד היוצאים מן הכלל שמנה) יצאו נגד המוסר, השווה את הכתבה בעיתון היומי “המליץ”</w:t>
      </w:r>
      <w:bookmarkStart w:id="2928" w:name="_fnr2056"/>
      <w:r>
        <w:rPr>
          <w:rStyle w:val="a5"/>
        </w:rPr>
        <w:footnoteReference w:id="2061" w:customMarkFollows="0"/>
      </w:r>
      <w:bookmarkEnd w:id="2928"/>
      <w:r>
        <w:rPr>
          <w:rtl/>
        </w:rPr>
        <w:t xml:space="preserve"> מאת חיים צבי הירש </w:t>
      </w:r>
      <w:proofErr w:type="spellStart"/>
      <w:r>
        <w:rPr>
          <w:rtl/>
        </w:rPr>
        <w:t>ברודא</w:t>
      </w:r>
      <w:proofErr w:type="spellEnd"/>
      <w:r>
        <w:rPr>
          <w:rtl/>
        </w:rPr>
        <w:t xml:space="preserve">, רב </w:t>
      </w:r>
      <w:proofErr w:type="spellStart"/>
      <w:r>
        <w:rPr>
          <w:rtl/>
        </w:rPr>
        <w:t>זאגר</w:t>
      </w:r>
      <w:proofErr w:type="spellEnd"/>
      <w:r>
        <w:rPr>
          <w:rtl/>
        </w:rPr>
        <w:t xml:space="preserve"> הישנה</w:t>
      </w:r>
      <w:bookmarkStart w:id="2929" w:name="_fnr2057"/>
      <w:r>
        <w:rPr>
          <w:rStyle w:val="a5"/>
        </w:rPr>
        <w:footnoteReference w:id="2062" w:customMarkFollows="0"/>
      </w:r>
      <w:bookmarkEnd w:id="2929"/>
      <w:r>
        <w:rPr>
          <w:rtl/>
        </w:rPr>
        <w:t xml:space="preserve">. </w:t>
      </w:r>
      <w:proofErr w:type="spellStart"/>
      <w:r>
        <w:rPr>
          <w:rtl/>
        </w:rPr>
        <w:t>ברודא</w:t>
      </w:r>
      <w:proofErr w:type="spellEnd"/>
      <w:r>
        <w:rPr>
          <w:rtl/>
        </w:rPr>
        <w:t xml:space="preserve"> סופד בה לתנועת המוסר – בטרם עת, כפי שהתברר בדיעבד – ואומר: “כמעט כל הרבנים וגדולי התורה ויראי ה׳ שמחים על ההדחה [של דבקי המוסר בפרסום האיגרת ‘למען דעת’ חודש קודם לכן].”</w:t>
      </w:r>
    </w:p>
    <w:p w14:paraId="61B61DED" w14:textId="77777777" w:rsidR="00AB3647" w:rsidRDefault="00000000" w:rsidP="007923E9">
      <w:pPr>
        <w:spacing w:after="120" w:line="276" w:lineRule="auto"/>
        <w:ind w:firstLine="283"/>
        <w:jc w:val="both"/>
      </w:pPr>
      <w:r>
        <w:rPr>
          <w:rtl/>
        </w:rPr>
        <w:lastRenderedPageBreak/>
        <w:t xml:space="preserve">במיוחד הזיקו לכוחות המוסר חתימותיהם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פוניבז׳ער</w:t>
      </w:r>
      <w:proofErr w:type="spellEnd"/>
      <w:r>
        <w:rPr>
          <w:rtl/>
        </w:rPr>
        <w:t xml:space="preserve">) ור׳ </w:t>
      </w:r>
      <w:proofErr w:type="spellStart"/>
      <w:r>
        <w:rPr>
          <w:rtl/>
        </w:rPr>
        <w:t>אברהם־אהרן</w:t>
      </w:r>
      <w:proofErr w:type="spellEnd"/>
      <w:r>
        <w:rPr>
          <w:rtl/>
        </w:rPr>
        <w:t xml:space="preserve"> </w:t>
      </w:r>
      <w:proofErr w:type="spellStart"/>
      <w:r>
        <w:rPr>
          <w:rtl/>
        </w:rPr>
        <w:t>בורשטין</w:t>
      </w:r>
      <w:proofErr w:type="spellEnd"/>
      <w:r>
        <w:rPr>
          <w:rtl/>
        </w:rPr>
        <w:t xml:space="preserve">. שניהם לימדו בישיבת </w:t>
      </w:r>
      <w:proofErr w:type="spellStart"/>
      <w:r>
        <w:rPr>
          <w:rtl/>
        </w:rPr>
        <w:t>סלבודקה</w:t>
      </w:r>
      <w:proofErr w:type="spellEnd"/>
      <w:r>
        <w:rPr>
          <w:rtl/>
        </w:rPr>
        <w:t xml:space="preserve"> תחת הסבא </w:t>
      </w:r>
      <w:proofErr w:type="spellStart"/>
      <w:r>
        <w:rPr>
          <w:rtl/>
        </w:rPr>
        <w:t>מסלבודקה</w:t>
      </w:r>
      <w:proofErr w:type="spellEnd"/>
      <w:r>
        <w:rPr>
          <w:rtl/>
        </w:rPr>
        <w:t>, שהנהגתו בישיבה היא שהציתה את פולמוס המוסר, ולכן ראו בעיניהם את שיטת המוסר בפעולתה</w:t>
      </w:r>
      <w:bookmarkStart w:id="2930" w:name="_fnr2058"/>
      <w:r>
        <w:rPr>
          <w:rStyle w:val="a5"/>
        </w:rPr>
        <w:footnoteReference w:id="2063" w:customMarkFollows="0"/>
      </w:r>
      <w:bookmarkEnd w:id="2930"/>
      <w:r>
        <w:rPr>
          <w:rtl/>
        </w:rPr>
        <w:t xml:space="preserve">. מזיקה הייתה גם חתימתו 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משום שלימד – כאמור לעיל – </w:t>
      </w:r>
      <w:proofErr w:type="spellStart"/>
      <w:r>
        <w:rPr>
          <w:rtl/>
        </w:rPr>
        <w:t>בקלם</w:t>
      </w:r>
      <w:proofErr w:type="spellEnd"/>
      <w:r>
        <w:rPr>
          <w:rtl/>
        </w:rPr>
        <w:t xml:space="preserve"> </w:t>
      </w:r>
      <w:proofErr w:type="spellStart"/>
      <w:r>
        <w:rPr>
          <w:rtl/>
        </w:rPr>
        <w:t>ובגרובין</w:t>
      </w:r>
      <w:proofErr w:type="spellEnd"/>
      <w:r>
        <w:rPr>
          <w:rtl/>
        </w:rPr>
        <w:t xml:space="preserve"> תחת ר׳ </w:t>
      </w:r>
      <w:proofErr w:type="spellStart"/>
      <w:r>
        <w:rPr>
          <w:rtl/>
        </w:rPr>
        <w:t>שמחה־זיסל</w:t>
      </w:r>
      <w:proofErr w:type="spellEnd"/>
      <w:r>
        <w:rPr>
          <w:rtl/>
        </w:rPr>
        <w:t xml:space="preserve"> זיו, רבו של הסבא </w:t>
      </w:r>
      <w:proofErr w:type="spellStart"/>
      <w:r>
        <w:rPr>
          <w:rtl/>
        </w:rPr>
        <w:t>מסלבודקה</w:t>
      </w:r>
      <w:proofErr w:type="spellEnd"/>
      <w:r>
        <w:rPr>
          <w:rtl/>
        </w:rPr>
        <w:t xml:space="preserve"> ומנהיג מוסר מדור קודם עוד יותר. טענה זו הופנתה בתוקף נגד מגיני המוסר במכתבים של ר׳ </w:t>
      </w:r>
      <w:proofErr w:type="spellStart"/>
      <w:r>
        <w:rPr>
          <w:rtl/>
        </w:rPr>
        <w:t>צבי־הירש</w:t>
      </w:r>
      <w:proofErr w:type="spellEnd"/>
      <w:r>
        <w:rPr>
          <w:rtl/>
        </w:rPr>
        <w:t xml:space="preserve"> </w:t>
      </w:r>
      <w:proofErr w:type="spellStart"/>
      <w:r>
        <w:rPr>
          <w:rtl/>
        </w:rPr>
        <w:t>רבינוביץ</w:t>
      </w:r>
      <w:proofErr w:type="spellEnd"/>
      <w:r>
        <w:rPr>
          <w:rtl/>
        </w:rPr>
        <w:t xml:space="preserve">, רב קובנה, ר׳ משה </w:t>
      </w:r>
      <w:proofErr w:type="spellStart"/>
      <w:r>
        <w:rPr>
          <w:rtl/>
        </w:rPr>
        <w:t>דנישבסקי</w:t>
      </w:r>
      <w:proofErr w:type="spellEnd"/>
      <w:r>
        <w:rPr>
          <w:rtl/>
        </w:rPr>
        <w:t xml:space="preserve">, רב </w:t>
      </w:r>
      <w:proofErr w:type="spellStart"/>
      <w:r>
        <w:rPr>
          <w:rtl/>
        </w:rPr>
        <w:t>סלבודקה</w:t>
      </w:r>
      <w:proofErr w:type="spellEnd"/>
      <w:r>
        <w:rPr>
          <w:rtl/>
        </w:rPr>
        <w:t xml:space="preserve">, ור׳ </w:t>
      </w:r>
      <w:proofErr w:type="spellStart"/>
      <w:r>
        <w:rPr>
          <w:rtl/>
        </w:rPr>
        <w:t>אבא־יעקב</w:t>
      </w:r>
      <w:proofErr w:type="spellEnd"/>
      <w:r>
        <w:rPr>
          <w:rtl/>
        </w:rPr>
        <w:t xml:space="preserve"> בורוכוב, שהיה אז רב </w:t>
      </w:r>
      <w:proofErr w:type="spellStart"/>
      <w:r>
        <w:rPr>
          <w:rtl/>
        </w:rPr>
        <w:t>וקשנה</w:t>
      </w:r>
      <w:proofErr w:type="spellEnd"/>
      <w:r>
        <w:rPr>
          <w:rtl/>
        </w:rPr>
        <w:t xml:space="preserve"> – מכתבים שפורסמו בעיתונות העברית</w:t>
      </w:r>
      <w:bookmarkStart w:id="2931" w:name="_fnr2059"/>
      <w:r>
        <w:rPr>
          <w:rStyle w:val="a5"/>
        </w:rPr>
        <w:footnoteReference w:id="2064" w:customMarkFollows="0"/>
      </w:r>
      <w:bookmarkEnd w:id="2931"/>
      <w:r>
        <w:rPr>
          <w:rtl/>
        </w:rPr>
        <w:t>.</w:t>
      </w:r>
    </w:p>
    <w:p w14:paraId="22A6FB78" w14:textId="77777777" w:rsidR="00AB3647" w:rsidRDefault="00000000" w:rsidP="007923E9">
      <w:pPr>
        <w:spacing w:after="120" w:line="276" w:lineRule="auto"/>
        <w:ind w:firstLine="283"/>
        <w:jc w:val="both"/>
      </w:pPr>
      <w:r>
        <w:rPr>
          <w:rtl/>
        </w:rPr>
        <w:t xml:space="preserve">עוד כותב נגד המוסר </w:t>
      </w:r>
      <w:proofErr w:type="spellStart"/>
      <w:r>
        <w:rPr>
          <w:rtl/>
        </w:rPr>
        <w:t>ב“המליץ</w:t>
      </w:r>
      <w:proofErr w:type="spellEnd"/>
      <w:r>
        <w:rPr>
          <w:rtl/>
        </w:rPr>
        <w:t>”</w:t>
      </w:r>
      <w:bookmarkStart w:id="2932" w:name="_fnr2060"/>
      <w:r>
        <w:rPr>
          <w:rStyle w:val="a5"/>
        </w:rPr>
        <w:footnoteReference w:id="2065" w:customMarkFollows="0"/>
      </w:r>
      <w:bookmarkEnd w:id="2932"/>
      <w:r>
        <w:rPr>
          <w:rtl/>
        </w:rPr>
        <w:t xml:space="preserve">, שוודאי יעניין את הקורא האמריקני, הוא “דוד </w:t>
      </w:r>
      <w:proofErr w:type="spellStart"/>
      <w:r>
        <w:rPr>
          <w:rtl/>
        </w:rPr>
        <w:t>גינצבורג</w:t>
      </w:r>
      <w:proofErr w:type="spellEnd"/>
      <w:r>
        <w:rPr>
          <w:rtl/>
        </w:rPr>
        <w:t xml:space="preserve">, רב </w:t>
      </w:r>
      <w:proofErr w:type="spellStart"/>
      <w:r>
        <w:rPr>
          <w:rtl/>
        </w:rPr>
        <w:t>דראטשעסטער</w:t>
      </w:r>
      <w:proofErr w:type="spellEnd"/>
      <w:r>
        <w:rPr>
          <w:rtl/>
        </w:rPr>
        <w:t xml:space="preserve"> באמריקה הצפונית”</w:t>
      </w:r>
      <w:bookmarkStart w:id="2933" w:name="_fnr2061"/>
      <w:r>
        <w:rPr>
          <w:rStyle w:val="a5"/>
        </w:rPr>
        <w:footnoteReference w:id="2066" w:customMarkFollows="0"/>
      </w:r>
      <w:bookmarkEnd w:id="2933"/>
      <w:r>
        <w:rPr>
          <w:rtl/>
        </w:rPr>
        <w:t xml:space="preserve">. הוא כותב בלשון פולמוס: “ואיך תשיבו לדעת הקהל על עדות הגאונים </w:t>
      </w:r>
      <w:proofErr w:type="spellStart"/>
      <w:r>
        <w:rPr>
          <w:rtl/>
        </w:rPr>
        <w:t>מפוניבז</w:t>
      </w:r>
      <w:proofErr w:type="spellEnd"/>
      <w:r>
        <w:rPr>
          <w:rtl/>
        </w:rPr>
        <w:t xml:space="preserve">׳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ומריטובה</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והגאון רב קלם [ר׳ </w:t>
      </w:r>
      <w:proofErr w:type="spellStart"/>
      <w:r>
        <w:rPr>
          <w:rtl/>
        </w:rPr>
        <w:t>הירש־יעקב</w:t>
      </w:r>
      <w:proofErr w:type="spellEnd"/>
      <w:r>
        <w:rPr>
          <w:rtl/>
        </w:rPr>
        <w:t xml:space="preserve"> </w:t>
      </w:r>
      <w:proofErr w:type="spellStart"/>
      <w:r>
        <w:rPr>
          <w:rtl/>
        </w:rPr>
        <w:t>אופנהיים</w:t>
      </w:r>
      <w:proofErr w:type="spellEnd"/>
      <w:r>
        <w:rPr>
          <w:rtl/>
        </w:rPr>
        <w:t xml:space="preserve">]? הלא היו ראשי ישיבה </w:t>
      </w:r>
      <w:proofErr w:type="spellStart"/>
      <w:r>
        <w:rPr>
          <w:rtl/>
        </w:rPr>
        <w:t>בסלבודקה</w:t>
      </w:r>
      <w:proofErr w:type="spellEnd"/>
      <w:r>
        <w:rPr>
          <w:rtl/>
        </w:rPr>
        <w:t xml:space="preserve"> </w:t>
      </w:r>
      <w:proofErr w:type="spellStart"/>
      <w:r>
        <w:rPr>
          <w:rtl/>
        </w:rPr>
        <w:t>ובגרובין</w:t>
      </w:r>
      <w:proofErr w:type="spellEnd"/>
      <w:r>
        <w:rPr>
          <w:rtl/>
        </w:rPr>
        <w:t xml:space="preserve">? היכולים אתם, הרחוקים ממקום המאורעות, להפריך את דבריהם? האם דין </w:t>
      </w:r>
      <w:r>
        <w:rPr>
          <w:b/>
          <w:bCs/>
          <w:rtl/>
        </w:rPr>
        <w:t>אמת</w:t>
      </w:r>
      <w:r>
        <w:rPr>
          <w:rtl/>
        </w:rPr>
        <w:t xml:space="preserve"> (ההדגשה שלי) דנתם? הלא זיכיתם את החוטא וחייבתם את הזכאי?” המילה המודגשת בציטוט היא משחק על שמו של הכרוז שכנגד, בעד המוסר, “למען האמת”, המובא בפסקה הבאה.</w:t>
      </w:r>
    </w:p>
    <w:p w14:paraId="7B09F36C" w14:textId="77777777" w:rsidR="00AB3647" w:rsidRDefault="00000000" w:rsidP="007923E9">
      <w:pPr>
        <w:spacing w:after="120" w:line="276" w:lineRule="auto"/>
        <w:ind w:firstLine="283"/>
        <w:jc w:val="both"/>
      </w:pPr>
      <w:bookmarkStart w:id="2934" w:name="pr_b_1256"/>
      <w:bookmarkEnd w:id="2934"/>
      <w:r>
        <w:rPr>
          <w:rtl/>
        </w:rPr>
        <w:t xml:space="preserve">אבי סיפר שכשביקשו מר׳ חיים </w:t>
      </w:r>
      <w:proofErr w:type="spellStart"/>
      <w:r>
        <w:rPr>
          <w:rtl/>
        </w:rPr>
        <w:t>סולובייצ׳יק</w:t>
      </w:r>
      <w:proofErr w:type="spellEnd"/>
      <w:r>
        <w:rPr>
          <w:rtl/>
        </w:rPr>
        <w:t xml:space="preserve"> לחתום על האיגרת “למען דעת”, סירב ואמר: “מסכים אני שזה רע לסגור את הגמרות לשם ספרי המוסר, אבל נעשה רע גדול יותר. יש </w:t>
      </w:r>
      <w:proofErr w:type="spellStart"/>
      <w:r>
        <w:rPr>
          <w:rtl/>
        </w:rPr>
        <w:t>בוולקוביסק</w:t>
      </w:r>
      <w:proofErr w:type="spellEnd"/>
      <w:r>
        <w:rPr>
          <w:rtl/>
        </w:rPr>
        <w:t xml:space="preserve"> בית ספר רוסי שילדים מבתים יהודיים עשירים שומרי מצוות לומדים בו בשבת – אף שמשרתיהם הגויים נושאים בשבילם את הספרים, והם אינם כותבים את שיעוריהם עד צאת השבת – והרבנים לא יצאו במחאה.”</w:t>
      </w:r>
      <w:bookmarkStart w:id="2935" w:name="_fnr2062"/>
      <w:bookmarkStart w:id="2936" w:name="pr_f_1967"/>
      <w:r>
        <w:rPr>
          <w:rStyle w:val="a5"/>
        </w:rPr>
        <w:footnoteReference w:id="2067" w:customMarkFollows="0"/>
      </w:r>
      <w:bookmarkEnd w:id="2935"/>
      <w:bookmarkEnd w:id="2936"/>
      <w:bookmarkStart w:id="7023" w:name="_TranslatorNote_5386"/>
      <w:r>
        <w:rPr>
          <w:rStyle w:val="a5"/>
          <w:vertAlign w:val="superscript"/>
          <w:rtl/>
        </w:rPr>
        <w:footnoteReference w:id="2068" w:customMarkFollows="1"/>
        <w:t>*</w:t>
      </w:r>
      <w:bookmarkEnd w:id="7023"/>
    </w:p>
    <w:p w14:paraId="47CC655A" w14:textId="77777777" w:rsidR="00AB3647" w:rsidRDefault="00000000" w:rsidP="007923E9">
      <w:pPr>
        <w:spacing w:after="120" w:line="276" w:lineRule="auto"/>
        <w:ind w:firstLine="283"/>
        <w:jc w:val="both"/>
      </w:pPr>
      <w:r>
        <w:rPr>
          <w:rtl/>
        </w:rPr>
        <w:t xml:space="preserve">קו מחשבה זה דומה לתשובתו של </w:t>
      </w:r>
      <w:proofErr w:type="spellStart"/>
      <w:r>
        <w:rPr>
          <w:rtl/>
        </w:rPr>
        <w:t>החזון־איש</w:t>
      </w:r>
      <w:proofErr w:type="spellEnd"/>
      <w:r>
        <w:rPr>
          <w:rtl/>
        </w:rPr>
        <w:t xml:space="preserve">, ממתנגדי המוסר, לשאלה ששאל אותו הסבא </w:t>
      </w:r>
      <w:proofErr w:type="spellStart"/>
      <w:r>
        <w:rPr>
          <w:rtl/>
        </w:rPr>
        <w:t>מסלבודקה</w:t>
      </w:r>
      <w:proofErr w:type="spellEnd"/>
      <w:r>
        <w:rPr>
          <w:rtl/>
        </w:rPr>
        <w:t xml:space="preserve">. </w:t>
      </w:r>
      <w:proofErr w:type="spellStart"/>
      <w:r>
        <w:rPr>
          <w:rtl/>
        </w:rPr>
        <w:t>החזון־איש</w:t>
      </w:r>
      <w:proofErr w:type="spellEnd"/>
      <w:r>
        <w:rPr>
          <w:rtl/>
        </w:rPr>
        <w:t xml:space="preserve"> הפתיע את הסבא כשבא לאחת משיחות המוסר שלו במינסק, והסבא שאל אותו מדוע בא. “נכון, אני מתנגד למוסר,” אמר, “אבל אני מתנגד הרבה יותר </w:t>
      </w:r>
      <w:r>
        <w:rPr>
          <w:b/>
          <w:bCs/>
          <w:rtl/>
        </w:rPr>
        <w:t>למתנגדי</w:t>
      </w:r>
      <w:r>
        <w:rPr>
          <w:rtl/>
        </w:rPr>
        <w:t xml:space="preserve"> המוסר.”</w:t>
      </w:r>
      <w:bookmarkStart w:id="2937" w:name="_fnr2063"/>
      <w:r>
        <w:rPr>
          <w:rStyle w:val="a5"/>
        </w:rPr>
        <w:footnoteReference w:id="2069" w:customMarkFollows="0"/>
      </w:r>
      <w:bookmarkEnd w:id="2937"/>
    </w:p>
    <w:p w14:paraId="075915ED" w14:textId="77777777" w:rsidR="00AB3647" w:rsidRDefault="00000000" w:rsidP="007923E9">
      <w:pPr>
        <w:spacing w:after="120" w:line="276" w:lineRule="auto"/>
        <w:ind w:firstLine="283"/>
        <w:jc w:val="both"/>
      </w:pPr>
      <w:r>
        <w:rPr>
          <w:rtl/>
        </w:rPr>
        <w:lastRenderedPageBreak/>
        <w:t>בריאיון המוקלט על תנועת המוסר</w:t>
      </w:r>
      <w:bookmarkStart w:id="2938" w:name="_fnr2064"/>
      <w:r>
        <w:rPr>
          <w:rStyle w:val="a5"/>
        </w:rPr>
        <w:footnoteReference w:id="2070" w:customMarkFollows="0"/>
      </w:r>
      <w:bookmarkEnd w:id="2938"/>
      <w:r>
        <w:rPr>
          <w:rtl/>
        </w:rPr>
        <w:t xml:space="preserve"> הציע אבי טעם נוסף לכך שר׳ חיים נמנע מלחתום על הכרוז נגד המוסר: ר׳ חיים ראה בר׳ ישראל </w:t>
      </w:r>
      <w:proofErr w:type="spellStart"/>
      <w:r>
        <w:rPr>
          <w:rtl/>
        </w:rPr>
        <w:t>סלנטר</w:t>
      </w:r>
      <w:proofErr w:type="spellEnd"/>
      <w:r>
        <w:rPr>
          <w:rtl/>
        </w:rPr>
        <w:t xml:space="preserve"> מעין ראשון</w:t>
      </w:r>
      <w:bookmarkStart w:id="2939" w:name="_fnr2065"/>
      <w:r>
        <w:rPr>
          <w:rStyle w:val="a5"/>
        </w:rPr>
        <w:footnoteReference w:id="2071" w:customMarkFollows="0"/>
      </w:r>
      <w:bookmarkEnd w:id="2939"/>
      <w:r>
        <w:rPr>
          <w:rtl/>
        </w:rPr>
        <w:t xml:space="preserve">, ולכן לא יכול היה להכריז על עצמו בגלוי כמתנגד לדרכו של ר׳ ישראל. אפשר לשער שאילו חתם ר׳ חיים, הסמכות הגדולה ביותר בעולם הישיבות, על “למען דעת”, לא הייתה כנסת ישראל קמה כלל. ראשית, היא הייתה חסרה אפילו את תמיכת המיעוט מתלמידי ישיבת </w:t>
      </w:r>
      <w:proofErr w:type="spellStart"/>
      <w:r>
        <w:rPr>
          <w:rtl/>
        </w:rPr>
        <w:t>סלבודקה</w:t>
      </w:r>
      <w:proofErr w:type="spellEnd"/>
      <w:r>
        <w:rPr>
          <w:rtl/>
        </w:rPr>
        <w:t xml:space="preserve"> המקורית; שנית, ר׳ </w:t>
      </w:r>
      <w:proofErr w:type="spellStart"/>
      <w:r>
        <w:rPr>
          <w:rtl/>
        </w:rPr>
        <w:t>משה־מרדכי</w:t>
      </w:r>
      <w:proofErr w:type="spellEnd"/>
      <w:r>
        <w:rPr>
          <w:rtl/>
        </w:rPr>
        <w:t xml:space="preserve">, תלמידו של ר׳ חיים, היה עוזב את הסבא; ושלישית, לסבא </w:t>
      </w:r>
      <w:proofErr w:type="spellStart"/>
      <w:r>
        <w:rPr>
          <w:rtl/>
        </w:rPr>
        <w:t>מסלבודקה</w:t>
      </w:r>
      <w:proofErr w:type="spellEnd"/>
      <w:r>
        <w:rPr>
          <w:rtl/>
        </w:rPr>
        <w:t xml:space="preserve"> עצמו לא היה עוז רוח להילחם בראש הישיבה האהוד ביותר בדור, שגם הוא העריך אותו מאוד</w:t>
      </w:r>
      <w:bookmarkStart w:id="2940" w:name="_fnr2066"/>
      <w:r>
        <w:rPr>
          <w:rStyle w:val="a5"/>
        </w:rPr>
        <w:footnoteReference w:id="2072" w:customMarkFollows="0"/>
      </w:r>
      <w:bookmarkEnd w:id="2940"/>
      <w:r>
        <w:rPr>
          <w:rtl/>
        </w:rPr>
        <w:t>.</w:t>
      </w:r>
    </w:p>
    <w:p w14:paraId="7FAACB9B" w14:textId="77777777" w:rsidR="00AB3647" w:rsidRDefault="00000000" w:rsidP="007923E9">
      <w:pPr>
        <w:spacing w:after="120" w:line="276" w:lineRule="auto"/>
        <w:ind w:firstLine="283"/>
        <w:jc w:val="both"/>
      </w:pPr>
      <w:r>
        <w:rPr>
          <w:rtl/>
        </w:rPr>
        <w:t xml:space="preserve">דבריו של רבנו בשיחה המוקלטת במלאות חמישים שנה לפטירת הסבא, </w:t>
      </w:r>
      <w:proofErr w:type="spellStart"/>
      <w:r>
        <w:rPr>
          <w:rtl/>
        </w:rPr>
        <w:t>ש“הסבא</w:t>
      </w:r>
      <w:proofErr w:type="spellEnd"/>
      <w:r>
        <w:rPr>
          <w:rtl/>
        </w:rPr>
        <w:t xml:space="preserve"> אמר שר׳ חיים היה בעל מוסר</w:t>
      </w:r>
      <w:bookmarkStart w:id="2941" w:name="_fnr2067"/>
      <w:r>
        <w:rPr>
          <w:rStyle w:val="a5"/>
        </w:rPr>
        <w:footnoteReference w:id="2073" w:customMarkFollows="0"/>
      </w:r>
      <w:bookmarkEnd w:id="2941"/>
      <w:r>
        <w:rPr>
          <w:rtl/>
        </w:rPr>
        <w:t xml:space="preserve"> אבל לא ידע זאת”, מעידים על צורכו הנפשי של הסבא – אם לא באישורו של ר׳ חיים, לפחות בהיעדר </w:t>
      </w:r>
      <w:r>
        <w:rPr>
          <w:b/>
          <w:bCs/>
          <w:rtl/>
        </w:rPr>
        <w:t>התנגדות</w:t>
      </w:r>
      <w:r>
        <w:rPr>
          <w:rtl/>
        </w:rPr>
        <w:t xml:space="preserve"> מצדו – כדי לאזור “תקיפות הדעת לעמוד כנגד העולם”, כלשון אבי באותה שיחה.</w:t>
      </w:r>
    </w:p>
    <w:p w14:paraId="56520772" w14:textId="77777777" w:rsidR="00AB3647" w:rsidRDefault="00000000" w:rsidP="007923E9">
      <w:pPr>
        <w:spacing w:after="120" w:line="276" w:lineRule="auto"/>
        <w:ind w:firstLine="283"/>
        <w:jc w:val="both"/>
      </w:pPr>
      <w:r>
        <w:rPr>
          <w:rtl/>
        </w:rPr>
        <w:t>יעקב מארק</w:t>
      </w:r>
      <w:bookmarkStart w:id="2942" w:name="_fnr2068"/>
      <w:r>
        <w:rPr>
          <w:rStyle w:val="a5"/>
        </w:rPr>
        <w:footnoteReference w:id="2074" w:customMarkFollows="0"/>
      </w:r>
      <w:bookmarkEnd w:id="2942"/>
      <w:r>
        <w:rPr>
          <w:rtl/>
        </w:rPr>
        <w:t xml:space="preserve"> מזכיר את מעורבותו של ר׳ חיים </w:t>
      </w:r>
      <w:r>
        <w:rPr>
          <w:b/>
          <w:bCs/>
          <w:rtl/>
        </w:rPr>
        <w:t>בהשקטת</w:t>
      </w:r>
      <w:r>
        <w:rPr>
          <w:rtl/>
        </w:rPr>
        <w:t xml:space="preserve"> פולמוס המוסר, וטוען </w:t>
      </w:r>
      <w:proofErr w:type="spellStart"/>
      <w:r>
        <w:rPr>
          <w:rtl/>
        </w:rPr>
        <w:t>ש“בתחילה</w:t>
      </w:r>
      <w:proofErr w:type="spellEnd"/>
      <w:r>
        <w:rPr>
          <w:rtl/>
        </w:rPr>
        <w:t xml:space="preserve"> עמד (הוא) מרחוק, אבל אחר כך, כשהחלו שני הצדדים להשתמש בדרכי מלחמה פסולות שעלולות היו להביא לידי חילול ה׳, לא נשאר (הוא) עוד מן הצד, ובהשפעתו הגדולה </w:t>
      </w:r>
      <w:proofErr w:type="spellStart"/>
      <w:r>
        <w:rPr>
          <w:rtl/>
        </w:rPr>
        <w:t>ובחכמתו</w:t>
      </w:r>
      <w:proofErr w:type="spellEnd"/>
      <w:r>
        <w:rPr>
          <w:rtl/>
        </w:rPr>
        <w:t xml:space="preserve"> כיבה את אש המחלוקת”. יעקב מארק אינו מפרש מה היו “הדרכים הפסולות” האלה, ובמה התבטאה מעורבותו של ר׳ חיים.</w:t>
      </w:r>
      <w:bookmarkStart w:id="2943" w:name="_fnr2069"/>
      <w:r>
        <w:rPr>
          <w:rStyle w:val="a5"/>
        </w:rPr>
        <w:footnoteReference w:id="2075" w:customMarkFollows="0"/>
      </w:r>
      <w:bookmarkEnd w:id="2943"/>
    </w:p>
    <w:p w14:paraId="23F49049" w14:textId="77777777" w:rsidR="00AB3647" w:rsidRDefault="00000000" w:rsidP="007923E9">
      <w:pPr>
        <w:pStyle w:val="4"/>
        <w:spacing w:line="276" w:lineRule="auto"/>
      </w:pPr>
      <w:r>
        <w:t>· הפסקה הרביעית ·</w:t>
      </w:r>
    </w:p>
    <w:p w14:paraId="784FFB43" w14:textId="77777777" w:rsidR="00AB3647" w:rsidRDefault="00000000" w:rsidP="007923E9">
      <w:pPr>
        <w:pStyle w:val="5"/>
        <w:spacing w:line="276" w:lineRule="auto"/>
      </w:pPr>
      <w:proofErr w:type="spellStart"/>
      <w:r>
        <w:t>האדר״ת</w:t>
      </w:r>
      <w:proofErr w:type="spellEnd"/>
      <w:r>
        <w:t xml:space="preserve"> חותם על הכרוז בעד המוסר – הוא חלוק על ר׳ </w:t>
      </w:r>
      <w:proofErr w:type="spellStart"/>
      <w:r>
        <w:t>יצחק־אלחנן</w:t>
      </w:r>
      <w:proofErr w:type="spellEnd"/>
      <w:r>
        <w:t xml:space="preserve"> – מסורת ליטאית משונה על הסיבה שחתם – במינסק נחשב לבעל מוסר</w:t>
      </w:r>
    </w:p>
    <w:p w14:paraId="2F6722C4" w14:textId="77777777" w:rsidR="00AB3647" w:rsidRDefault="00000000" w:rsidP="007923E9">
      <w:pPr>
        <w:spacing w:after="120" w:line="276" w:lineRule="auto"/>
        <w:ind w:firstLine="283"/>
        <w:jc w:val="both"/>
      </w:pPr>
      <w:r>
        <w:rPr>
          <w:rtl/>
        </w:rPr>
        <w:t xml:space="preserve">חודשיים אחרי שנכתב “למען דעת” פורסם כרוז שכנגד להגנת דבקי </w:t>
      </w:r>
      <w:r>
        <w:rPr>
          <w:b/>
          <w:bCs/>
          <w:rtl/>
        </w:rPr>
        <w:t>המוסר</w:t>
      </w:r>
      <w:r>
        <w:rPr>
          <w:rtl/>
        </w:rPr>
        <w:t>, ושמו “למען האמת”. חתמו עליו רבנים רבים</w:t>
      </w:r>
      <w:bookmarkStart w:id="2944" w:name="_fnr2070"/>
      <w:r>
        <w:rPr>
          <w:rStyle w:val="a5"/>
        </w:rPr>
        <w:footnoteReference w:id="2076" w:customMarkFollows="0"/>
      </w:r>
      <w:bookmarkEnd w:id="2944"/>
      <w:r>
        <w:rPr>
          <w:rtl/>
        </w:rPr>
        <w:t xml:space="preserve">, ובהם השלושה שהזכיר אבי ועוד שניים מפורסמים שאבי </w:t>
      </w:r>
      <w:r>
        <w:rPr>
          <w:rtl/>
        </w:rPr>
        <w:lastRenderedPageBreak/>
        <w:t xml:space="preserve">דילג עליהם: ר׳ </w:t>
      </w:r>
      <w:proofErr w:type="spellStart"/>
      <w:r>
        <w:rPr>
          <w:rtl/>
        </w:rPr>
        <w:t>אליהו־דוד</w:t>
      </w:r>
      <w:proofErr w:type="spellEnd"/>
      <w:r>
        <w:rPr>
          <w:rtl/>
        </w:rPr>
        <w:t xml:space="preserve"> </w:t>
      </w:r>
      <w:proofErr w:type="spellStart"/>
      <w:r>
        <w:rPr>
          <w:rtl/>
        </w:rPr>
        <w:t>רבינוביץ־תאומים</w:t>
      </w:r>
      <w:proofErr w:type="spellEnd"/>
      <w:r>
        <w:rPr>
          <w:rtl/>
        </w:rPr>
        <w:t xml:space="preserve"> (</w:t>
      </w:r>
      <w:proofErr w:type="spellStart"/>
      <w:r>
        <w:rPr>
          <w:rtl/>
        </w:rPr>
        <w:t>האדר״ת</w:t>
      </w:r>
      <w:proofErr w:type="spellEnd"/>
      <w:r>
        <w:rPr>
          <w:rtl/>
        </w:rPr>
        <w:t>)</w:t>
      </w:r>
      <w:bookmarkStart w:id="2945" w:name="_fnr2071"/>
      <w:bookmarkStart w:id="2946" w:name="pr_f_1976"/>
      <w:r>
        <w:rPr>
          <w:rStyle w:val="a5"/>
        </w:rPr>
        <w:footnoteReference w:id="2077" w:customMarkFollows="0"/>
      </w:r>
      <w:bookmarkEnd w:id="2945"/>
      <w:bookmarkEnd w:id="2946"/>
      <w:r>
        <w:rPr>
          <w:rtl/>
        </w:rPr>
        <w:t xml:space="preserve">, אז רב </w:t>
      </w:r>
      <w:proofErr w:type="spellStart"/>
      <w:r>
        <w:rPr>
          <w:rtl/>
        </w:rPr>
        <w:t>מיר</w:t>
      </w:r>
      <w:proofErr w:type="spellEnd"/>
      <w:r>
        <w:rPr>
          <w:rtl/>
        </w:rPr>
        <w:t xml:space="preserve">, ור׳ </w:t>
      </w:r>
      <w:proofErr w:type="spellStart"/>
      <w:r>
        <w:rPr>
          <w:rtl/>
        </w:rPr>
        <w:t>חיים־לייב</w:t>
      </w:r>
      <w:proofErr w:type="spellEnd"/>
      <w:r>
        <w:rPr>
          <w:rtl/>
        </w:rPr>
        <w:t xml:space="preserve"> (</w:t>
      </w:r>
      <w:proofErr w:type="spellStart"/>
      <w:r>
        <w:rPr>
          <w:rtl/>
        </w:rPr>
        <w:t>רוטנברג־מישקובסקי</w:t>
      </w:r>
      <w:proofErr w:type="spellEnd"/>
      <w:r>
        <w:rPr>
          <w:rtl/>
        </w:rPr>
        <w:t xml:space="preserve">) </w:t>
      </w:r>
      <w:proofErr w:type="spellStart"/>
      <w:r>
        <w:rPr>
          <w:rtl/>
        </w:rPr>
        <w:t>מסטאוויסק</w:t>
      </w:r>
      <w:bookmarkStart w:id="2947" w:name="_fnr2072"/>
      <w:proofErr w:type="spellEnd"/>
      <w:r>
        <w:rPr>
          <w:rStyle w:val="a5"/>
        </w:rPr>
        <w:footnoteReference w:id="2078" w:customMarkFollows="0"/>
      </w:r>
      <w:bookmarkEnd w:id="2947"/>
      <w:r>
        <w:rPr>
          <w:rtl/>
        </w:rPr>
        <w:t xml:space="preserve">. ייתכן שהשמטת </w:t>
      </w:r>
      <w:proofErr w:type="spellStart"/>
      <w:r>
        <w:rPr>
          <w:rtl/>
        </w:rPr>
        <w:t>האדר״ת</w:t>
      </w:r>
      <w:proofErr w:type="spellEnd"/>
      <w:r>
        <w:rPr>
          <w:rtl/>
        </w:rPr>
        <w:t xml:space="preserve"> בדברי אבי לא הייתה בשגגה.</w:t>
      </w:r>
    </w:p>
    <w:p w14:paraId="22AD828F" w14:textId="41312B20" w:rsidR="00AB3647" w:rsidRDefault="00000000" w:rsidP="007923E9">
      <w:pPr>
        <w:spacing w:after="120" w:line="276" w:lineRule="auto"/>
        <w:ind w:firstLine="283"/>
        <w:jc w:val="both"/>
      </w:pPr>
      <w:r>
        <w:rPr>
          <w:rtl/>
        </w:rPr>
        <w:t>אני משער</w:t>
      </w:r>
      <w:bookmarkStart w:id="2948" w:name="_fnr2073"/>
      <w:r>
        <w:rPr>
          <w:rStyle w:val="a5"/>
        </w:rPr>
        <w:footnoteReference w:id="2079" w:customMarkFollows="0"/>
      </w:r>
      <w:bookmarkEnd w:id="2948"/>
      <w:r>
        <w:rPr>
          <w:rtl/>
        </w:rPr>
        <w:t xml:space="preserve"> </w:t>
      </w:r>
      <w:proofErr w:type="spellStart"/>
      <w:r>
        <w:rPr>
          <w:rtl/>
        </w:rPr>
        <w:t>שהאדר״ת</w:t>
      </w:r>
      <w:proofErr w:type="spellEnd"/>
      <w:r>
        <w:rPr>
          <w:rtl/>
        </w:rPr>
        <w:t xml:space="preserve"> </w:t>
      </w:r>
      <w:r>
        <w:rPr>
          <w:b/>
          <w:bCs/>
          <w:rtl/>
        </w:rPr>
        <w:t>לא</w:t>
      </w:r>
      <w:r>
        <w:rPr>
          <w:rtl/>
        </w:rPr>
        <w:t xml:space="preserve"> היה מתומכי המוסר, ושחתם על “למען האמת” כדי להתנגד ליוזם “למען דעת” – ר׳ </w:t>
      </w:r>
      <w:proofErr w:type="spellStart"/>
      <w:r>
        <w:rPr>
          <w:rtl/>
        </w:rPr>
        <w:t>צבי־הירש</w:t>
      </w:r>
      <w:proofErr w:type="spellEnd"/>
      <w:r>
        <w:rPr>
          <w:rtl/>
        </w:rPr>
        <w:t xml:space="preserve">, בנו וממלא מקומו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 ולמי שנחשב </w:t>
      </w:r>
      <w:proofErr w:type="spellStart"/>
      <w:r>
        <w:rPr>
          <w:rtl/>
        </w:rPr>
        <w:t>למחוללו</w:t>
      </w:r>
      <w:proofErr w:type="spellEnd"/>
      <w:r>
        <w:rPr>
          <w:rtl/>
        </w:rPr>
        <w:t xml:space="preserve">, מזכירו של ר׳ </w:t>
      </w:r>
      <w:proofErr w:type="spellStart"/>
      <w:r>
        <w:rPr>
          <w:rtl/>
        </w:rPr>
        <w:t>יצחק־אלחנן</w:t>
      </w:r>
      <w:proofErr w:type="spellEnd"/>
      <w:r>
        <w:rPr>
          <w:rtl/>
        </w:rPr>
        <w:t>, ר׳ יעקב הלוי ליפשיץ (כאמור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w:t>
      </w:r>
      <w:proofErr w:type="spellStart"/>
      <w:r>
        <w:rPr>
          <w:rtl/>
        </w:rPr>
        <w:t>האדר״ת</w:t>
      </w:r>
      <w:proofErr w:type="spellEnd"/>
      <w:r>
        <w:rPr>
          <w:rtl/>
        </w:rPr>
        <w:t xml:space="preserve"> מביע את סלידתו העמוקה מר׳ </w:t>
      </w:r>
      <w:proofErr w:type="spellStart"/>
      <w:r>
        <w:rPr>
          <w:rtl/>
        </w:rPr>
        <w:t>יצחק־אלחנן</w:t>
      </w:r>
      <w:proofErr w:type="spellEnd"/>
      <w:r>
        <w:rPr>
          <w:rtl/>
        </w:rPr>
        <w:t xml:space="preserve"> ביומנו, “סדר אליהו”</w:t>
      </w:r>
      <w:bookmarkStart w:id="2949" w:name="_fnr2074"/>
      <w:r>
        <w:rPr>
          <w:rStyle w:val="a5"/>
        </w:rPr>
        <w:footnoteReference w:id="2080" w:customMarkFollows="0"/>
      </w:r>
      <w:bookmarkEnd w:id="2949"/>
      <w:r>
        <w:rPr>
          <w:rtl/>
        </w:rPr>
        <w:t>. הוא מספר</w:t>
      </w:r>
      <w:bookmarkStart w:id="2950" w:name="_fnr2075"/>
      <w:r>
        <w:rPr>
          <w:rStyle w:val="a5"/>
        </w:rPr>
        <w:footnoteReference w:id="2081" w:customMarkFollows="0"/>
      </w:r>
      <w:bookmarkEnd w:id="2950"/>
      <w:r>
        <w:rPr>
          <w:rtl/>
        </w:rPr>
        <w:t xml:space="preserve">: “[בעברי בברסלאו בשנת </w:t>
      </w:r>
      <w:proofErr w:type="spellStart"/>
      <w:r>
        <w:rPr>
          <w:rtl/>
        </w:rPr>
        <w:t>תר״ן</w:t>
      </w:r>
      <w:proofErr w:type="spellEnd"/>
      <w:r>
        <w:rPr>
          <w:rtl/>
        </w:rPr>
        <w:t xml:space="preserve">] התוודעתי שם אל שמש בית הכנסת, שהתגורר שם כשלושים שנה, והוא גילה לי את כל אשר עם לבבו. בתוך השיחה שאל אותי על הגאון מקובנה ר׳ </w:t>
      </w:r>
      <w:proofErr w:type="spellStart"/>
      <w:r>
        <w:rPr>
          <w:rtl/>
        </w:rPr>
        <w:t>יצחק־אלחנן</w:t>
      </w:r>
      <w:proofErr w:type="spellEnd"/>
      <w:r>
        <w:rPr>
          <w:rtl/>
        </w:rPr>
        <w:t xml:space="preserve"> </w:t>
      </w:r>
      <w:proofErr w:type="spellStart"/>
      <w:r>
        <w:rPr>
          <w:rtl/>
        </w:rPr>
        <w:t>ספקטור</w:t>
      </w:r>
      <w:proofErr w:type="spellEnd"/>
      <w:r>
        <w:rPr>
          <w:rtl/>
        </w:rPr>
        <w:t xml:space="preserve">, משום שלדעתו נטה [ר׳ </w:t>
      </w:r>
      <w:proofErr w:type="spellStart"/>
      <w:r>
        <w:rPr>
          <w:rtl/>
        </w:rPr>
        <w:t>יצחק־אלחנן</w:t>
      </w:r>
      <w:proofErr w:type="spellEnd"/>
      <w:r>
        <w:rPr>
          <w:rtl/>
        </w:rPr>
        <w:t xml:space="preserve"> </w:t>
      </w:r>
      <w:proofErr w:type="spellStart"/>
      <w:r>
        <w:rPr>
          <w:rtl/>
        </w:rPr>
        <w:t>ספקטור</w:t>
      </w:r>
      <w:proofErr w:type="spellEnd"/>
      <w:r>
        <w:rPr>
          <w:rtl/>
        </w:rPr>
        <w:t xml:space="preserve">] אחרי הדור החדש [קרי: המשכילים], שהרי </w:t>
      </w:r>
      <w:proofErr w:type="spellStart"/>
      <w:r>
        <w:rPr>
          <w:rtl/>
        </w:rPr>
        <w:t>שלוחיו</w:t>
      </w:r>
      <w:proofErr w:type="spellEnd"/>
      <w:r>
        <w:rPr>
          <w:rtl/>
        </w:rPr>
        <w:t xml:space="preserve"> באו לברסלאו לאסוף תרומות וכו׳ </w:t>
      </w:r>
      <w:proofErr w:type="spellStart"/>
      <w:r>
        <w:rPr>
          <w:rtl/>
        </w:rPr>
        <w:t>וכו</w:t>
      </w:r>
      <w:proofErr w:type="spellEnd"/>
      <w:r>
        <w:rPr>
          <w:rtl/>
        </w:rPr>
        <w:t xml:space="preserve">׳, ותמהתי על כך מאוד.” פירושה המדויק של רשומה זו אינו ברור, אבל עצם הזכרתה ביומן מראה בבירור את סלידתו של בעל היומן מר׳ </w:t>
      </w:r>
      <w:proofErr w:type="spellStart"/>
      <w:r>
        <w:rPr>
          <w:rtl/>
        </w:rPr>
        <w:t>יצחק־אלחנן</w:t>
      </w:r>
      <w:proofErr w:type="spellEnd"/>
      <w:r>
        <w:rPr>
          <w:rtl/>
        </w:rPr>
        <w:t xml:space="preserve"> </w:t>
      </w:r>
      <w:proofErr w:type="spellStart"/>
      <w:r>
        <w:rPr>
          <w:rtl/>
        </w:rPr>
        <w:t>ספקטור</w:t>
      </w:r>
      <w:proofErr w:type="spellEnd"/>
      <w:r>
        <w:rPr>
          <w:rtl/>
        </w:rPr>
        <w:t>.</w:t>
      </w:r>
    </w:p>
    <w:p w14:paraId="75767B1E" w14:textId="77777777" w:rsidR="00AB3647" w:rsidRDefault="00000000" w:rsidP="007923E9">
      <w:pPr>
        <w:spacing w:after="120" w:line="276" w:lineRule="auto"/>
        <w:ind w:firstLine="283"/>
        <w:jc w:val="both"/>
      </w:pPr>
      <w:proofErr w:type="spellStart"/>
      <w:r>
        <w:rPr>
          <w:rtl/>
        </w:rPr>
        <w:t>האדר״ת</w:t>
      </w:r>
      <w:proofErr w:type="spellEnd"/>
      <w:r>
        <w:rPr>
          <w:rtl/>
        </w:rPr>
        <w:t xml:space="preserve"> נהג לבלות את חודשי הקיץ בריגה, והוא מספר</w:t>
      </w:r>
      <w:bookmarkStart w:id="2951" w:name="_fnr2076"/>
      <w:r>
        <w:rPr>
          <w:rStyle w:val="a5"/>
        </w:rPr>
        <w:footnoteReference w:id="2082" w:customMarkFollows="0"/>
      </w:r>
      <w:bookmarkEnd w:id="2951"/>
      <w:r>
        <w:rPr>
          <w:rtl/>
        </w:rPr>
        <w:t xml:space="preserve"> שבשנת תרמ״ג התמודד על משרת הרבנות של העיר. הוא קיווה שאם יקבל את המשרה, ייחלץ מן העוני הנורא שסבל ממנו </w:t>
      </w:r>
      <w:proofErr w:type="spellStart"/>
      <w:r>
        <w:rPr>
          <w:rtl/>
        </w:rPr>
        <w:t>בפוניבז</w:t>
      </w:r>
      <w:proofErr w:type="spellEnd"/>
      <w:r>
        <w:rPr>
          <w:rtl/>
        </w:rPr>
        <w:t>׳.</w:t>
      </w:r>
      <w:bookmarkStart w:id="2952" w:name="_fnr2077"/>
      <w:r>
        <w:rPr>
          <w:rStyle w:val="a5"/>
        </w:rPr>
        <w:footnoteReference w:id="2083" w:customMarkFollows="0"/>
      </w:r>
      <w:bookmarkEnd w:id="2952"/>
      <w:r>
        <w:rPr>
          <w:rtl/>
        </w:rPr>
        <w:t xml:space="preserve"> “איש אחד מבשר, אשר חשב כי בשורה טובה בפיו”, אמר לו שזקני העיר ישאלו את ר׳ </w:t>
      </w:r>
      <w:proofErr w:type="spellStart"/>
      <w:r>
        <w:rPr>
          <w:rtl/>
        </w:rPr>
        <w:t>יצחק־אלחנן</w:t>
      </w:r>
      <w:proofErr w:type="spellEnd"/>
      <w:r>
        <w:rPr>
          <w:rtl/>
        </w:rPr>
        <w:t xml:space="preserve"> במי לבחור. </w:t>
      </w:r>
      <w:proofErr w:type="spellStart"/>
      <w:r>
        <w:rPr>
          <w:rtl/>
        </w:rPr>
        <w:t>האדר״ת</w:t>
      </w:r>
      <w:proofErr w:type="spellEnd"/>
      <w:r>
        <w:rPr>
          <w:rtl/>
        </w:rPr>
        <w:t xml:space="preserve"> הפתיע את בן שיחו באומרו: “הרב מקובנה ישיב </w:t>
      </w:r>
      <w:r>
        <w:rPr>
          <w:b/>
          <w:bCs/>
          <w:rtl/>
        </w:rPr>
        <w:t>בוודאי</w:t>
      </w:r>
      <w:r>
        <w:rPr>
          <w:rtl/>
        </w:rPr>
        <w:t xml:space="preserve"> שלא לטובתי (ההדגשה שלי)”.</w:t>
      </w:r>
    </w:p>
    <w:p w14:paraId="5D5E1F90" w14:textId="77777777" w:rsidR="00AB3647" w:rsidRDefault="00000000" w:rsidP="007923E9">
      <w:pPr>
        <w:spacing w:after="120" w:line="276" w:lineRule="auto"/>
        <w:ind w:firstLine="283"/>
        <w:jc w:val="both"/>
      </w:pPr>
      <w:r>
        <w:rPr>
          <w:rtl/>
        </w:rPr>
        <w:t xml:space="preserve">ייתכן מאוד שוודאותו של </w:t>
      </w:r>
      <w:proofErr w:type="spellStart"/>
      <w:r>
        <w:rPr>
          <w:rtl/>
        </w:rPr>
        <w:t>האדר״ת</w:t>
      </w:r>
      <w:proofErr w:type="spellEnd"/>
      <w:r>
        <w:rPr>
          <w:rtl/>
        </w:rPr>
        <w:t xml:space="preserve"> בדבר הכרעתו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התבססה על כך שהמועמד המתחרה היה רבה של </w:t>
      </w:r>
      <w:proofErr w:type="spellStart"/>
      <w:r>
        <w:rPr>
          <w:rtl/>
        </w:rPr>
        <w:t>וילקומיר</w:t>
      </w:r>
      <w:proofErr w:type="spellEnd"/>
      <w:r>
        <w:rPr>
          <w:rtl/>
        </w:rPr>
        <w:t>, עיר הולדתו של ר׳ יעקב הלוי ליפשיץ, מזכירו של הרב מקובנה. רק שבע שנים קודם לכן פעל ר׳ יעקב הלוי ליפשיץ רבות לאיסוף כספים אחרי ששרפה פגעה בעיר ההיא.</w:t>
      </w:r>
      <w:bookmarkStart w:id="2953" w:name="_fnr2078"/>
      <w:r>
        <w:rPr>
          <w:rStyle w:val="a5"/>
        </w:rPr>
        <w:footnoteReference w:id="2084" w:customMarkFollows="0"/>
      </w:r>
      <w:bookmarkEnd w:id="2953"/>
      <w:r>
        <w:rPr>
          <w:rtl/>
        </w:rPr>
        <w:t xml:space="preserve"> מטבע הדברים היה מנסה לסייע לבני עירו להיפטר מרב שלא חפצו בו, כמסופר להלן, בכך שישכנע את ר׳ </w:t>
      </w:r>
      <w:proofErr w:type="spellStart"/>
      <w:r>
        <w:rPr>
          <w:rtl/>
        </w:rPr>
        <w:t>יצחק־אלחנן</w:t>
      </w:r>
      <w:proofErr w:type="spellEnd"/>
      <w:r>
        <w:rPr>
          <w:rtl/>
        </w:rPr>
        <w:t xml:space="preserve"> לסייע לרבם להשיג משרה אחרת. בדיוק כמו שחזה </w:t>
      </w:r>
      <w:proofErr w:type="spellStart"/>
      <w:r>
        <w:rPr>
          <w:rtl/>
        </w:rPr>
        <w:t>האדר״ת</w:t>
      </w:r>
      <w:proofErr w:type="spellEnd"/>
      <w:r>
        <w:rPr>
          <w:rtl/>
        </w:rPr>
        <w:t xml:space="preserve">, אמר ר׳ </w:t>
      </w:r>
      <w:proofErr w:type="spellStart"/>
      <w:r>
        <w:rPr>
          <w:rtl/>
        </w:rPr>
        <w:t>יצחק־אלחנן</w:t>
      </w:r>
      <w:proofErr w:type="spellEnd"/>
      <w:r>
        <w:rPr>
          <w:rtl/>
        </w:rPr>
        <w:t xml:space="preserve"> </w:t>
      </w:r>
      <w:proofErr w:type="spellStart"/>
      <w:r>
        <w:rPr>
          <w:rtl/>
        </w:rPr>
        <w:t>ספקטור</w:t>
      </w:r>
      <w:proofErr w:type="spellEnd"/>
      <w:r>
        <w:rPr>
          <w:rtl/>
        </w:rPr>
        <w:t xml:space="preserve"> למשלחת מריגה שעליה לבחור במתחרהו של </w:t>
      </w:r>
      <w:proofErr w:type="spellStart"/>
      <w:r>
        <w:rPr>
          <w:rtl/>
        </w:rPr>
        <w:t>האדר״ת</w:t>
      </w:r>
      <w:proofErr w:type="spellEnd"/>
      <w:r>
        <w:rPr>
          <w:rtl/>
        </w:rPr>
        <w:t xml:space="preserve">, רבה של </w:t>
      </w:r>
      <w:proofErr w:type="spellStart"/>
      <w:r>
        <w:rPr>
          <w:rtl/>
        </w:rPr>
        <w:t>וילקומיר</w:t>
      </w:r>
      <w:proofErr w:type="spellEnd"/>
      <w:r>
        <w:rPr>
          <w:rtl/>
        </w:rPr>
        <w:t xml:space="preserve">, מפני </w:t>
      </w:r>
      <w:proofErr w:type="spellStart"/>
      <w:r>
        <w:rPr>
          <w:rtl/>
        </w:rPr>
        <w:t>ש“הוא</w:t>
      </w:r>
      <w:proofErr w:type="spellEnd"/>
      <w:r>
        <w:rPr>
          <w:rtl/>
        </w:rPr>
        <w:t xml:space="preserve"> יושב על עקרבים בעירו, ובניו ובנותיו גדולים,</w:t>
      </w:r>
      <w:bookmarkStart w:id="2954" w:name="_fnr2079"/>
      <w:r>
        <w:rPr>
          <w:rStyle w:val="a5"/>
        </w:rPr>
        <w:footnoteReference w:id="2085" w:customMarkFollows="0"/>
      </w:r>
      <w:bookmarkEnd w:id="2954"/>
      <w:r>
        <w:rPr>
          <w:rtl/>
        </w:rPr>
        <w:t xml:space="preserve"> ורחמנות גדולה עליו”. כשטענו חברי המשלחת שבאו לשאול אותו לא על </w:t>
      </w:r>
      <w:r>
        <w:rPr>
          <w:rtl/>
        </w:rPr>
        <w:lastRenderedPageBreak/>
        <w:t>הרחמנות,</w:t>
      </w:r>
      <w:bookmarkStart w:id="2955" w:name="_fnr2080"/>
      <w:r>
        <w:rPr>
          <w:rStyle w:val="a5"/>
        </w:rPr>
        <w:footnoteReference w:id="2086" w:customMarkFollows="0"/>
      </w:r>
      <w:bookmarkEnd w:id="2955"/>
      <w:r>
        <w:rPr>
          <w:rtl/>
        </w:rPr>
        <w:t xml:space="preserve"> אלא מי גדול יותר בתורה ומי ראוי יותר להיות מנהיגם, השיב להם שהדין עצמו עולה בקנה אחד עם הרחמנות.</w:t>
      </w:r>
      <w:bookmarkStart w:id="2956" w:name="_fnr2081"/>
      <w:r>
        <w:rPr>
          <w:rStyle w:val="a5"/>
        </w:rPr>
        <w:footnoteReference w:id="2087" w:customMarkFollows="0"/>
      </w:r>
      <w:bookmarkEnd w:id="2956"/>
    </w:p>
    <w:p w14:paraId="7EEDC647" w14:textId="77777777" w:rsidR="00AB3647" w:rsidRDefault="00000000" w:rsidP="007923E9">
      <w:pPr>
        <w:spacing w:after="120" w:line="276" w:lineRule="auto"/>
        <w:ind w:firstLine="283"/>
        <w:jc w:val="both"/>
      </w:pPr>
      <w:r>
        <w:rPr>
          <w:rtl/>
        </w:rPr>
        <w:t>השווה גם “סדר אליהו”,</w:t>
      </w:r>
      <w:bookmarkStart w:id="2957" w:name="_fnr2082"/>
      <w:r>
        <w:rPr>
          <w:rStyle w:val="a5"/>
        </w:rPr>
        <w:footnoteReference w:id="2088" w:customMarkFollows="0"/>
      </w:r>
      <w:bookmarkEnd w:id="2957"/>
      <w:r>
        <w:rPr>
          <w:rtl/>
        </w:rPr>
        <w:t xml:space="preserve"> שבו מתאר בעל היומן מכתב נוקב ששיגר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בעקבות הכרעה זו. במכתב פירט את כל מה שעשה הרב מקובנה בניגוד להלכה, וכינה את המעשה “מעשה אשר לא ייעשה בלי רוע לב ואיזו נגיעה”.</w:t>
      </w:r>
      <w:bookmarkStart w:id="2958" w:name="_fnr2083"/>
      <w:r>
        <w:rPr>
          <w:rStyle w:val="a5"/>
        </w:rPr>
        <w:footnoteReference w:id="2089" w:customMarkFollows="0"/>
      </w:r>
      <w:bookmarkEnd w:id="2958"/>
      <w:r>
        <w:rPr>
          <w:rtl/>
        </w:rPr>
        <w:t xml:space="preserve"> כששהה בריגה בשנה שלאחר מכן, מסר לו ר׳ מרדכי </w:t>
      </w:r>
      <w:proofErr w:type="spellStart"/>
      <w:r>
        <w:rPr>
          <w:rtl/>
        </w:rPr>
        <w:t>אליאשברג</w:t>
      </w:r>
      <w:proofErr w:type="spellEnd"/>
      <w:r>
        <w:rPr>
          <w:rtl/>
        </w:rPr>
        <w:t xml:space="preserve"> </w:t>
      </w:r>
      <w:proofErr w:type="spellStart"/>
      <w:r>
        <w:rPr>
          <w:rtl/>
        </w:rPr>
        <w:t>מבויסק</w:t>
      </w:r>
      <w:bookmarkStart w:id="2959" w:name="_fnr2084"/>
      <w:proofErr w:type="spellEnd"/>
      <w:r>
        <w:rPr>
          <w:rStyle w:val="a5"/>
        </w:rPr>
        <w:footnoteReference w:id="2090" w:customMarkFollows="0"/>
      </w:r>
      <w:bookmarkEnd w:id="2959"/>
      <w:r>
        <w:rPr>
          <w:rtl/>
        </w:rPr>
        <w:t xml:space="preserve"> שר׳ יעקב הלוי ליפשיץ סיפר לו כי ר׳ </w:t>
      </w:r>
      <w:proofErr w:type="spellStart"/>
      <w:r>
        <w:rPr>
          <w:rtl/>
        </w:rPr>
        <w:t>יצחק־אלחנן</w:t>
      </w:r>
      <w:proofErr w:type="spellEnd"/>
      <w:r>
        <w:rPr>
          <w:rtl/>
        </w:rPr>
        <w:t xml:space="preserve"> אמר – ואין זה מפתיע – “אילו מישהו אחר [מלבד </w:t>
      </w:r>
      <w:proofErr w:type="spellStart"/>
      <w:r>
        <w:rPr>
          <w:rtl/>
        </w:rPr>
        <w:t>האדר״ת</w:t>
      </w:r>
      <w:proofErr w:type="spellEnd"/>
      <w:r>
        <w:rPr>
          <w:rtl/>
        </w:rPr>
        <w:t xml:space="preserve">] היה פוגע בר׳ </w:t>
      </w:r>
      <w:proofErr w:type="spellStart"/>
      <w:r>
        <w:rPr>
          <w:rtl/>
        </w:rPr>
        <w:t>יצחק־אלחנן</w:t>
      </w:r>
      <w:proofErr w:type="spellEnd"/>
      <w:r>
        <w:rPr>
          <w:rtl/>
        </w:rPr>
        <w:t xml:space="preserve"> </w:t>
      </w:r>
      <w:proofErr w:type="spellStart"/>
      <w:r>
        <w:rPr>
          <w:rtl/>
        </w:rPr>
        <w:t>ספקטור</w:t>
      </w:r>
      <w:proofErr w:type="spellEnd"/>
      <w:r>
        <w:rPr>
          <w:rtl/>
        </w:rPr>
        <w:t xml:space="preserve"> כפי שעשה במכתבו, היה ר׳ </w:t>
      </w:r>
      <w:proofErr w:type="spellStart"/>
      <w:r>
        <w:rPr>
          <w:rtl/>
        </w:rPr>
        <w:t>יצחק־אלחנן</w:t>
      </w:r>
      <w:proofErr w:type="spellEnd"/>
      <w:r>
        <w:rPr>
          <w:rtl/>
        </w:rPr>
        <w:t xml:space="preserve"> </w:t>
      </w:r>
      <w:proofErr w:type="spellStart"/>
      <w:r>
        <w:rPr>
          <w:rtl/>
        </w:rPr>
        <w:t>ספקטור</w:t>
      </w:r>
      <w:proofErr w:type="spellEnd"/>
      <w:r>
        <w:rPr>
          <w:rtl/>
        </w:rPr>
        <w:t xml:space="preserve"> רודף אותו עד שלא היה רשאי אפילו לשמש שמש בבית מדרש”. וגם גישה נקמנית זו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הייתה מתועבת בעיני </w:t>
      </w:r>
      <w:proofErr w:type="spellStart"/>
      <w:r>
        <w:rPr>
          <w:rtl/>
        </w:rPr>
        <w:t>האדר״ת</w:t>
      </w:r>
      <w:proofErr w:type="spellEnd"/>
      <w:r>
        <w:rPr>
          <w:rtl/>
        </w:rPr>
        <w:t xml:space="preserve">! אף החותם האחרון על “למען דעת”, ר׳ </w:t>
      </w:r>
      <w:proofErr w:type="spellStart"/>
      <w:r>
        <w:rPr>
          <w:rtl/>
        </w:rPr>
        <w:t>הירש־יעקב</w:t>
      </w:r>
      <w:proofErr w:type="spellEnd"/>
      <w:r>
        <w:rPr>
          <w:rtl/>
        </w:rPr>
        <w:t xml:space="preserve"> </w:t>
      </w:r>
      <w:proofErr w:type="spellStart"/>
      <w:r>
        <w:rPr>
          <w:rtl/>
        </w:rPr>
        <w:t>אופנהיים</w:t>
      </w:r>
      <w:proofErr w:type="spellEnd"/>
      <w:r>
        <w:rPr>
          <w:rtl/>
        </w:rPr>
        <w:t xml:space="preserve">, רבה של קלם, לא היה מן החביבים על </w:t>
      </w:r>
      <w:proofErr w:type="spellStart"/>
      <w:r>
        <w:rPr>
          <w:rtl/>
        </w:rPr>
        <w:t>האדר״ת</w:t>
      </w:r>
      <w:proofErr w:type="spellEnd"/>
      <w:r>
        <w:rPr>
          <w:rtl/>
        </w:rPr>
        <w:t>.</w:t>
      </w:r>
      <w:bookmarkStart w:id="2960" w:name="_fnr2085"/>
      <w:r>
        <w:rPr>
          <w:rStyle w:val="a5"/>
        </w:rPr>
        <w:footnoteReference w:id="2091" w:customMarkFollows="0"/>
      </w:r>
      <w:bookmarkEnd w:id="2960"/>
    </w:p>
    <w:p w14:paraId="02DC9260" w14:textId="77777777" w:rsidR="00AB3647" w:rsidRDefault="00000000" w:rsidP="007923E9">
      <w:pPr>
        <w:spacing w:after="120" w:line="276" w:lineRule="auto"/>
        <w:ind w:firstLine="283"/>
        <w:jc w:val="both"/>
      </w:pPr>
      <w:r>
        <w:rPr>
          <w:rtl/>
        </w:rPr>
        <w:t xml:space="preserve">מצאתי תמיכה בהשערתי בדבר יחסו של </w:t>
      </w:r>
      <w:proofErr w:type="spellStart"/>
      <w:r>
        <w:rPr>
          <w:rtl/>
        </w:rPr>
        <w:t>האדר״ת</w:t>
      </w:r>
      <w:proofErr w:type="spellEnd"/>
      <w:r>
        <w:rPr>
          <w:rtl/>
        </w:rPr>
        <w:t xml:space="preserve"> למוסר כשלעצמו, ובדבר מניע נסתר לחתימתו על הכרוז “למען האמת”, כששמעתי מפי ר׳ חיים שטיין שבחוגי הישיבות בליטא</w:t>
      </w:r>
      <w:bookmarkStart w:id="2961" w:name="_fnr2086"/>
      <w:r>
        <w:rPr>
          <w:rStyle w:val="a5"/>
        </w:rPr>
        <w:footnoteReference w:id="2092" w:customMarkFollows="0"/>
      </w:r>
      <w:bookmarkEnd w:id="2961"/>
      <w:r>
        <w:rPr>
          <w:rtl/>
        </w:rPr>
        <w:t xml:space="preserve"> היה מקובל לומר: “הסיבה </w:t>
      </w:r>
      <w:proofErr w:type="spellStart"/>
      <w:r>
        <w:rPr>
          <w:rtl/>
        </w:rPr>
        <w:t>שהאדר״ת</w:t>
      </w:r>
      <w:proofErr w:type="spellEnd"/>
      <w:r>
        <w:rPr>
          <w:rtl/>
        </w:rPr>
        <w:t xml:space="preserve"> חתם לטובת המוסר הייתה כדי להזים שמועה שהוא מתנגד לו”. במבט ראשון נראה שאמירה זו מייחסת </w:t>
      </w:r>
      <w:proofErr w:type="spellStart"/>
      <w:r>
        <w:rPr>
          <w:rtl/>
        </w:rPr>
        <w:t>לאדר״ת</w:t>
      </w:r>
      <w:proofErr w:type="spellEnd"/>
      <w:r>
        <w:rPr>
          <w:rtl/>
        </w:rPr>
        <w:t xml:space="preserve"> עמדה ניטרלית – לא בעד המוסר ולא נגדו. אבל כשמנתחים אותה לעומק, מתעוררות שתי קושיות: (1) מדוע נפוצה מלכתחילה שמועה שהוא מתנגד למוסר, אם היה למעשה ניטרלי כל כך עד שהיה מוכן לחתום על הכרוז התומך בו? (2) מדוע היה נוח לו יותר שאנשים יטעו לחשוב שהוא תומך במוסר בעקבות חתימתו על מכתב “למען האמת”, מאשר שיניחו בטעות, ובלי ראיות, שהוא מתנגד למוסר?</w:t>
      </w:r>
    </w:p>
    <w:p w14:paraId="62E814A9" w14:textId="77777777" w:rsidR="00AB3647" w:rsidRDefault="00000000" w:rsidP="007923E9">
      <w:pPr>
        <w:spacing w:after="120" w:line="276" w:lineRule="auto"/>
        <w:ind w:firstLine="283"/>
        <w:jc w:val="both"/>
      </w:pPr>
      <w:r>
        <w:rPr>
          <w:rtl/>
        </w:rPr>
        <w:t xml:space="preserve">נראה שסברו </w:t>
      </w:r>
      <w:proofErr w:type="spellStart"/>
      <w:r>
        <w:rPr>
          <w:rtl/>
        </w:rPr>
        <w:t>שהאדר״ת</w:t>
      </w:r>
      <w:proofErr w:type="spellEnd"/>
      <w:r>
        <w:rPr>
          <w:rtl/>
        </w:rPr>
        <w:t xml:space="preserve"> מתנגד למוסר מפני שכדברי אבי, “כל גדולי הרבנים”, למעט כמה יוצאים מן הכלל, התנגדו למוסר, והיה צורך למצוא הסבר לחתימתו על “למען האמת”. יתר על כן, ייתכן שהיה </w:t>
      </w:r>
      <w:r>
        <w:rPr>
          <w:b/>
          <w:bCs/>
          <w:rtl/>
        </w:rPr>
        <w:t>ידוע</w:t>
      </w:r>
      <w:r>
        <w:rPr>
          <w:rtl/>
        </w:rPr>
        <w:t xml:space="preserve"> </w:t>
      </w:r>
      <w:proofErr w:type="spellStart"/>
      <w:r>
        <w:rPr>
          <w:rtl/>
        </w:rPr>
        <w:t>שהאדר״ת</w:t>
      </w:r>
      <w:proofErr w:type="spellEnd"/>
      <w:r>
        <w:rPr>
          <w:rtl/>
        </w:rPr>
        <w:t xml:space="preserve"> אינו מן היוצאים מן הכלל. הוא חתם בניגוד לעמדתו רק כדי להפגין התנגדות לאנשי המחנה המתנגד למוסר, ממניעים אחרים – עמדה פוליטית שכונתה בלשון נקייה “הזמת שמועה (על עצמו)”.</w:t>
      </w:r>
    </w:p>
    <w:p w14:paraId="7C6D828A" w14:textId="77777777" w:rsidR="00AB3647" w:rsidRDefault="00000000" w:rsidP="007923E9">
      <w:pPr>
        <w:spacing w:after="120" w:line="276" w:lineRule="auto"/>
        <w:ind w:firstLine="283"/>
        <w:jc w:val="both"/>
      </w:pPr>
      <w:r>
        <w:rPr>
          <w:rtl/>
        </w:rPr>
        <w:t xml:space="preserve">קטע מן “המליץ” סותר לכאורה הן את השערתי הן את המסורת שמסר ר׳ חיים שטיין, ומצביע על כך </w:t>
      </w:r>
      <w:proofErr w:type="spellStart"/>
      <w:r>
        <w:rPr>
          <w:rtl/>
        </w:rPr>
        <w:t>שהאדר״ת</w:t>
      </w:r>
      <w:proofErr w:type="spellEnd"/>
      <w:r>
        <w:rPr>
          <w:rtl/>
        </w:rPr>
        <w:t xml:space="preserve"> נחשב </w:t>
      </w:r>
      <w:r>
        <w:rPr>
          <w:b/>
          <w:bCs/>
          <w:rtl/>
        </w:rPr>
        <w:t>תומך פעיל</w:t>
      </w:r>
      <w:r>
        <w:rPr>
          <w:rtl/>
        </w:rPr>
        <w:t xml:space="preserve"> במוסר. “המליץ” מא׳ בכסלו תרנ״ח</w:t>
      </w:r>
      <w:bookmarkStart w:id="2962" w:name="_fnr2087"/>
      <w:r>
        <w:rPr>
          <w:rStyle w:val="a5"/>
        </w:rPr>
        <w:footnoteReference w:id="2093" w:customMarkFollows="0"/>
      </w:r>
      <w:bookmarkEnd w:id="2962"/>
      <w:r>
        <w:rPr>
          <w:rtl/>
        </w:rPr>
        <w:t xml:space="preserve"> מדווח על אספה שנערכה שבוע קודם לכן במינסק, בעת ביקורו בעיר של “האורח הנעלה והנכבד </w:t>
      </w:r>
      <w:r>
        <w:rPr>
          <w:rtl/>
        </w:rPr>
        <w:lastRenderedPageBreak/>
        <w:t xml:space="preserve">מאוד, הגאון ר׳ מאיר </w:t>
      </w:r>
      <w:proofErr w:type="spellStart"/>
      <w:r>
        <w:rPr>
          <w:rtl/>
        </w:rPr>
        <w:t>פיימר</w:t>
      </w:r>
      <w:proofErr w:type="spellEnd"/>
      <w:r>
        <w:rPr>
          <w:rtl/>
        </w:rPr>
        <w:t xml:space="preserve"> </w:t>
      </w:r>
      <w:proofErr w:type="spellStart"/>
      <w:r>
        <w:rPr>
          <w:rtl/>
        </w:rPr>
        <w:t>מסלוצק</w:t>
      </w:r>
      <w:proofErr w:type="spellEnd"/>
      <w:r>
        <w:rPr>
          <w:rtl/>
        </w:rPr>
        <w:t>”.</w:t>
      </w:r>
      <w:bookmarkStart w:id="2963" w:name="_fnr2088"/>
      <w:r>
        <w:rPr>
          <w:rStyle w:val="a5"/>
        </w:rPr>
        <w:footnoteReference w:id="2094" w:customMarkFollows="0"/>
      </w:r>
      <w:bookmarkEnd w:id="2963"/>
      <w:r>
        <w:rPr>
          <w:rtl/>
        </w:rPr>
        <w:t xml:space="preserve"> נאמר שם: “הרב </w:t>
      </w:r>
      <w:proofErr w:type="spellStart"/>
      <w:r>
        <w:rPr>
          <w:rtl/>
        </w:rPr>
        <w:t>פיימר</w:t>
      </w:r>
      <w:proofErr w:type="spellEnd"/>
      <w:r>
        <w:rPr>
          <w:rtl/>
        </w:rPr>
        <w:t xml:space="preserve"> התייעץ עם גדולי מינסק, עשיריה ולומדיה” – והכתבה מונה שמות – “על עניין בעלי המוסר, והגאון הביא לפניהם את דעתו שהייתה ידועה להם [שהוא נגד המוסר].</w:t>
      </w:r>
      <w:bookmarkStart w:id="2964" w:name="_fnr2089"/>
      <w:r>
        <w:rPr>
          <w:rStyle w:val="a5"/>
        </w:rPr>
        <w:footnoteReference w:id="2095" w:customMarkFollows="0"/>
      </w:r>
      <w:bookmarkEnd w:id="2964"/>
      <w:r>
        <w:rPr>
          <w:rtl/>
        </w:rPr>
        <w:t xml:space="preserve"> לאחר שהסכימו כולם לדעת הגאון, החליטו לשאול את </w:t>
      </w:r>
      <w:proofErr w:type="spellStart"/>
      <w:r>
        <w:rPr>
          <w:rtl/>
        </w:rPr>
        <w:t>האדר״ת</w:t>
      </w:r>
      <w:proofErr w:type="spellEnd"/>
      <w:r>
        <w:rPr>
          <w:rtl/>
        </w:rPr>
        <w:t>, שהוא ממייסדי אגודות ‘בעלי מוסר’ [?], לשמוע מה בפיו, כדי שיוכלו לשאת ולתת ביניהם”.</w:t>
      </w:r>
    </w:p>
    <w:p w14:paraId="1035F59A" w14:textId="1EF80B12" w:rsidR="00AB3647" w:rsidRDefault="00000000" w:rsidP="007923E9">
      <w:pPr>
        <w:spacing w:after="120" w:line="276" w:lineRule="auto"/>
        <w:ind w:firstLine="283"/>
        <w:jc w:val="both"/>
      </w:pPr>
      <w:r>
        <w:rPr>
          <w:rtl/>
        </w:rPr>
        <w:t xml:space="preserve">אגב, ייתכן שהדיווח שהמשתתפים “הסכימו כולם” לדעתו של הרב </w:t>
      </w:r>
      <w:proofErr w:type="spellStart"/>
      <w:r>
        <w:rPr>
          <w:rtl/>
        </w:rPr>
        <w:t>פיימר</w:t>
      </w:r>
      <w:proofErr w:type="spellEnd"/>
      <w:r>
        <w:rPr>
          <w:rtl/>
        </w:rPr>
        <w:t xml:space="preserve"> נגד המוסר הושפע מעמדתו של “המליץ” עצמו. הרי בין המשתתפים נמנה ב[רוך] </w:t>
      </w:r>
      <w:proofErr w:type="spellStart"/>
      <w:r>
        <w:rPr>
          <w:rtl/>
        </w:rPr>
        <w:t>זלדוביץ</w:t>
      </w:r>
      <w:proofErr w:type="spellEnd"/>
      <w:r>
        <w:rPr>
          <w:rtl/>
        </w:rPr>
        <w:t>, שלדברי אבי – כמו שצוטט ב</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 – “תמך ברעיונותיו של </w:t>
      </w:r>
      <w:proofErr w:type="spellStart"/>
      <w:r>
        <w:rPr>
          <w:rtl/>
        </w:rPr>
        <w:t>סלנטר</w:t>
      </w:r>
      <w:proofErr w:type="spellEnd"/>
      <w:r>
        <w:rPr>
          <w:rtl/>
        </w:rPr>
        <w:t xml:space="preserve">” </w:t>
      </w:r>
      <w:proofErr w:type="spellStart"/>
      <w:r>
        <w:rPr>
          <w:rtl/>
        </w:rPr>
        <w:t>שתים־עשרה</w:t>
      </w:r>
      <w:proofErr w:type="spellEnd"/>
      <w:r>
        <w:rPr>
          <w:rtl/>
        </w:rPr>
        <w:t xml:space="preserve"> עד </w:t>
      </w:r>
      <w:proofErr w:type="spellStart"/>
      <w:r>
        <w:rPr>
          <w:rtl/>
        </w:rPr>
        <w:t>שבע־עשרה</w:t>
      </w:r>
      <w:proofErr w:type="spellEnd"/>
      <w:r>
        <w:rPr>
          <w:rtl/>
        </w:rPr>
        <w:t xml:space="preserve"> שנים קודם לכן. אבל ייתכן ששינה את דעתו – השווה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להלן.</w:t>
      </w:r>
    </w:p>
    <w:p w14:paraId="011BC607" w14:textId="77777777" w:rsidR="00AB3647" w:rsidRDefault="00000000" w:rsidP="007923E9">
      <w:pPr>
        <w:spacing w:after="120" w:line="276" w:lineRule="auto"/>
        <w:ind w:firstLine="283"/>
        <w:jc w:val="both"/>
      </w:pPr>
      <w:r>
        <w:rPr>
          <w:rtl/>
        </w:rPr>
        <w:t xml:space="preserve">מכל מקום, ייתכן </w:t>
      </w:r>
      <w:proofErr w:type="spellStart"/>
      <w:r>
        <w:rPr>
          <w:rtl/>
        </w:rPr>
        <w:t>ש“המליץ</w:t>
      </w:r>
      <w:proofErr w:type="spellEnd"/>
      <w:r>
        <w:rPr>
          <w:rtl/>
        </w:rPr>
        <w:t xml:space="preserve">” ייחס </w:t>
      </w:r>
      <w:proofErr w:type="spellStart"/>
      <w:r>
        <w:rPr>
          <w:rtl/>
        </w:rPr>
        <w:t>לאדר״ת</w:t>
      </w:r>
      <w:proofErr w:type="spellEnd"/>
      <w:r>
        <w:rPr>
          <w:rtl/>
        </w:rPr>
        <w:t xml:space="preserve"> עמדה בעד המוסר רק מפני שכך החלו להניח בדרך כלל </w:t>
      </w:r>
      <w:r>
        <w:rPr>
          <w:b/>
          <w:bCs/>
          <w:rtl/>
        </w:rPr>
        <w:t>לאחר</w:t>
      </w:r>
      <w:r>
        <w:rPr>
          <w:rtl/>
        </w:rPr>
        <w:t xml:space="preserve"> שרבה של </w:t>
      </w:r>
      <w:proofErr w:type="spellStart"/>
      <w:r>
        <w:rPr>
          <w:rtl/>
        </w:rPr>
        <w:t>מיר</w:t>
      </w:r>
      <w:proofErr w:type="spellEnd"/>
      <w:r>
        <w:rPr>
          <w:rtl/>
        </w:rPr>
        <w:t xml:space="preserve"> צירף את חתימתו </w:t>
      </w:r>
      <w:proofErr w:type="spellStart"/>
      <w:r>
        <w:rPr>
          <w:rtl/>
        </w:rPr>
        <w:t>ל“למען</w:t>
      </w:r>
      <w:proofErr w:type="spellEnd"/>
      <w:r>
        <w:rPr>
          <w:rtl/>
        </w:rPr>
        <w:t xml:space="preserve"> האמת” כמה חודשים קודם לכן. אבל אזכורו בפרסום כמי שהוא “ממייסדי אגודות ‘בעלי מוסר’” תמוה. ביומנו, “סדר אליהו”, אין </w:t>
      </w:r>
      <w:proofErr w:type="spellStart"/>
      <w:r>
        <w:rPr>
          <w:rtl/>
        </w:rPr>
        <w:t>האדר״ת</w:t>
      </w:r>
      <w:proofErr w:type="spellEnd"/>
      <w:r>
        <w:rPr>
          <w:rtl/>
        </w:rPr>
        <w:t xml:space="preserve"> מזכיר שום פעילות להקמת אגודות שיש להן ולו קשר רחוק למוסר.</w:t>
      </w:r>
    </w:p>
    <w:p w14:paraId="2188AD0C" w14:textId="77777777" w:rsidR="00AB3647" w:rsidRDefault="00000000" w:rsidP="007923E9">
      <w:pPr>
        <w:spacing w:after="120" w:line="276" w:lineRule="auto"/>
        <w:ind w:firstLine="283"/>
        <w:jc w:val="both"/>
      </w:pPr>
      <w:r>
        <w:rPr>
          <w:rtl/>
        </w:rPr>
        <w:t xml:space="preserve">האגודה היחידה הנזכרת </w:t>
      </w:r>
      <w:proofErr w:type="spellStart"/>
      <w:r>
        <w:rPr>
          <w:rtl/>
        </w:rPr>
        <w:t>ב“סדר</w:t>
      </w:r>
      <w:proofErr w:type="spellEnd"/>
      <w:r>
        <w:rPr>
          <w:rtl/>
        </w:rPr>
        <w:t xml:space="preserve"> אליהו” היא זו </w:t>
      </w:r>
      <w:proofErr w:type="spellStart"/>
      <w:r>
        <w:rPr>
          <w:rtl/>
        </w:rPr>
        <w:t>שהאדר״ת</w:t>
      </w:r>
      <w:proofErr w:type="spellEnd"/>
      <w:r>
        <w:rPr>
          <w:rtl/>
        </w:rPr>
        <w:t xml:space="preserve"> התייחס אליה בנאום הפרידה שלו, כשעזב את </w:t>
      </w:r>
      <w:proofErr w:type="spellStart"/>
      <w:r>
        <w:rPr>
          <w:rtl/>
        </w:rPr>
        <w:t>פוניבז</w:t>
      </w:r>
      <w:proofErr w:type="spellEnd"/>
      <w:r>
        <w:rPr>
          <w:rtl/>
        </w:rPr>
        <w:t xml:space="preserve">׳ </w:t>
      </w:r>
      <w:proofErr w:type="spellStart"/>
      <w:r>
        <w:rPr>
          <w:rtl/>
        </w:rPr>
        <w:t>למיר</w:t>
      </w:r>
      <w:proofErr w:type="spellEnd"/>
      <w:r>
        <w:rPr>
          <w:rtl/>
        </w:rPr>
        <w:t xml:space="preserve"> בשנת תרנ״ד. הוא הזכיר לבני העיר</w:t>
      </w:r>
      <w:bookmarkStart w:id="2965" w:name="_fnr2090"/>
      <w:r>
        <w:rPr>
          <w:rStyle w:val="a5"/>
        </w:rPr>
        <w:footnoteReference w:id="2096" w:customMarkFollows="0"/>
      </w:r>
      <w:bookmarkEnd w:id="2965"/>
      <w:r>
        <w:rPr>
          <w:rtl/>
        </w:rPr>
        <w:t xml:space="preserve"> שלושה עניינים שבהם עליהם לטפל: מינוי משגיח מיוחד על בתי המטבחיים; טיפול נאות </w:t>
      </w:r>
      <w:proofErr w:type="spellStart"/>
      <w:r>
        <w:rPr>
          <w:rtl/>
        </w:rPr>
        <w:t>ב“קעסל</w:t>
      </w:r>
      <w:proofErr w:type="spellEnd"/>
      <w:r>
        <w:rPr>
          <w:rtl/>
        </w:rPr>
        <w:t xml:space="preserve"> הכשר” לחיילים היהודים;</w:t>
      </w:r>
      <w:bookmarkStart w:id="2966" w:name="_fnr2091"/>
      <w:r>
        <w:rPr>
          <w:rStyle w:val="a5"/>
        </w:rPr>
        <w:footnoteReference w:id="2097" w:customMarkFollows="0"/>
      </w:r>
      <w:bookmarkEnd w:id="2966"/>
      <w:r>
        <w:rPr>
          <w:rtl/>
        </w:rPr>
        <w:t xml:space="preserve"> והקמת אגודת “סומך נופלים” בעיר. אף שתפקידה אינו מתואר, שמה של האגודה המוצעת מלמד שמטרתה הייתה לסייע לאנשים לעבור תקופות של מצוקה או עוני – ולא לעסוק בחיזוק הדתיות, כמו שמצופה </w:t>
      </w:r>
      <w:proofErr w:type="spellStart"/>
      <w:r>
        <w:rPr>
          <w:rtl/>
        </w:rPr>
        <w:t>מ“אגודת</w:t>
      </w:r>
      <w:proofErr w:type="spellEnd"/>
      <w:r>
        <w:rPr>
          <w:rtl/>
        </w:rPr>
        <w:t xml:space="preserve"> ‘בעלי מוסר’”. הרישום היחיד ביומן לשנת פולמוס המוסר, תרנ״ז, הוא סירובו של </w:t>
      </w:r>
      <w:proofErr w:type="spellStart"/>
      <w:r>
        <w:rPr>
          <w:rtl/>
        </w:rPr>
        <w:t>האדר״ת</w:t>
      </w:r>
      <w:proofErr w:type="spellEnd"/>
      <w:r>
        <w:rPr>
          <w:rtl/>
        </w:rPr>
        <w:t xml:space="preserve"> להצעה להיות רבה של פטרבורג, בשל הקושי לחנך שם את ילדיו.</w:t>
      </w:r>
    </w:p>
    <w:bookmarkStart w:id="2967" w:name="b3_excO"/>
    <w:p w14:paraId="1363692C" w14:textId="77777777" w:rsidR="00AB3647" w:rsidRDefault="00000000" w:rsidP="007923E9">
      <w:pPr>
        <w:pStyle w:val="3"/>
        <w:spacing w:line="276" w:lineRule="auto"/>
      </w:pPr>
      <w:r>
        <w:lastRenderedPageBreak/>
        <w:fldChar w:fldCharType="begin" w:dirty="true"/>
      </w:r>
      <w:r>
        <w:rPr>
          <w:rtl w:val="0"/>
        </w:rPr>
        <w:instrText>HYPERLINK \l "b3_note41</w:instrText>
      </w:r>
      <w:r>
        <w:instrText>"</w:instrText>
      </w:r>
      <w:r>
        <w:fldChar w:fldCharType="separate"/>
      </w:r>
      <w:r>
        <w:t>נספח טו</w:t>
      </w:r>
      <w:r>
        <w:fldChar w:fldCharType="end"/>
      </w:r>
      <w:bookmarkEnd w:id="2967"/>
    </w:p>
    <w:p w14:paraId="67C68AB8" w14:textId="77777777" w:rsidR="00AB3647" w:rsidRDefault="00000000" w:rsidP="007923E9">
      <w:pPr>
        <w:pStyle w:val="af"/>
        <w:spacing w:line="276" w:lineRule="auto"/>
      </w:pPr>
      <w:r>
        <w:t xml:space="preserve">על הרקע להקמת ישיבת </w:t>
      </w:r>
      <w:proofErr w:type="spellStart"/>
      <w:r>
        <w:t>סלוצק</w:t>
      </w:r>
      <w:proofErr w:type="spellEnd"/>
      <w:r>
        <w:t xml:space="preserve"> בידי ר׳ </w:t>
      </w:r>
      <w:proofErr w:type="spellStart"/>
      <w:r>
        <w:t>איסר־זלמן</w:t>
      </w:r>
      <w:proofErr w:type="spellEnd"/>
      <w:r>
        <w:t xml:space="preserve"> מלצר</w:t>
      </w:r>
    </w:p>
    <w:p w14:paraId="46C4B336" w14:textId="77777777" w:rsidR="00AB3647" w:rsidRDefault="00000000" w:rsidP="007923E9">
      <w:pPr>
        <w:pStyle w:val="4"/>
        <w:spacing w:line="276" w:lineRule="auto"/>
      </w:pPr>
      <w:r>
        <w:t>· הפסקה הראשונה ·</w:t>
      </w:r>
    </w:p>
    <w:p w14:paraId="031BF23E" w14:textId="77777777" w:rsidR="00AB3647" w:rsidRDefault="00000000" w:rsidP="007923E9">
      <w:pPr>
        <w:pStyle w:val="5"/>
        <w:spacing w:line="276" w:lineRule="auto"/>
      </w:pPr>
      <w:r>
        <w:t xml:space="preserve">נדודיו של ר׳ מאיר </w:t>
      </w:r>
      <w:proofErr w:type="spellStart"/>
      <w:r>
        <w:t>פיימר</w:t>
      </w:r>
      <w:proofErr w:type="spellEnd"/>
      <w:r>
        <w:t xml:space="preserve"> בין משרות רבניות – הוא מתנגד לשלוחה של ישיבת </w:t>
      </w:r>
      <w:proofErr w:type="spellStart"/>
      <w:r>
        <w:t>סלבודקה</w:t>
      </w:r>
      <w:proofErr w:type="spellEnd"/>
      <w:r>
        <w:t xml:space="preserve"> שנפתחת </w:t>
      </w:r>
      <w:proofErr w:type="spellStart"/>
      <w:r>
        <w:t>בסלוצק</w:t>
      </w:r>
      <w:proofErr w:type="spellEnd"/>
      <w:r>
        <w:t xml:space="preserve"> – ישיבה מתחרה נכשלת</w:t>
      </w:r>
    </w:p>
    <w:p w14:paraId="6228DCE8" w14:textId="77777777" w:rsidR="00AB3647" w:rsidRDefault="00000000" w:rsidP="007923E9">
      <w:pPr>
        <w:spacing w:after="120" w:line="276" w:lineRule="auto"/>
        <w:ind w:firstLine="283"/>
        <w:jc w:val="both"/>
      </w:pPr>
      <w:r>
        <w:rPr>
          <w:rtl/>
        </w:rPr>
        <w:t xml:space="preserve">בפקודת הסבא יצא ר׳ </w:t>
      </w:r>
      <w:proofErr w:type="spellStart"/>
      <w:r>
        <w:rPr>
          <w:rtl/>
        </w:rPr>
        <w:t>איסר־זלמן</w:t>
      </w:r>
      <w:proofErr w:type="spellEnd"/>
      <w:r>
        <w:rPr>
          <w:rtl/>
        </w:rPr>
        <w:t xml:space="preserve"> עם </w:t>
      </w:r>
      <w:proofErr w:type="spellStart"/>
      <w:r>
        <w:rPr>
          <w:rtl/>
        </w:rPr>
        <w:t>ארבעה־עשר</w:t>
      </w:r>
      <w:proofErr w:type="spellEnd"/>
      <w:r>
        <w:rPr>
          <w:rtl/>
        </w:rPr>
        <w:t xml:space="preserve"> מן התלמידים המובחרים להקים ישיבה </w:t>
      </w:r>
      <w:proofErr w:type="spellStart"/>
      <w:r>
        <w:rPr>
          <w:rtl/>
        </w:rPr>
        <w:t>בסלוצק</w:t>
      </w:r>
      <w:proofErr w:type="spellEnd"/>
      <w:r>
        <w:rPr>
          <w:rtl/>
        </w:rPr>
        <w:t xml:space="preserve"> </w:t>
      </w:r>
      <w:r>
        <w:rPr>
          <w:b/>
          <w:bCs/>
          <w:rtl/>
        </w:rPr>
        <w:t>בתחילת</w:t>
      </w:r>
      <w:r>
        <w:rPr>
          <w:rtl/>
        </w:rPr>
        <w:t xml:space="preserve"> תרנ״ז, ומעשה זה היה אחד הגורמים להתלקחות פולמוס המוסר. רבה של </w:t>
      </w:r>
      <w:proofErr w:type="spellStart"/>
      <w:r>
        <w:rPr>
          <w:rtl/>
        </w:rPr>
        <w:t>סלוצק</w:t>
      </w:r>
      <w:proofErr w:type="spellEnd"/>
      <w:r>
        <w:rPr>
          <w:rtl/>
        </w:rPr>
        <w:t xml:space="preserve">, ר׳ </w:t>
      </w:r>
      <w:proofErr w:type="spellStart"/>
      <w:r>
        <w:rPr>
          <w:rtl/>
        </w:rPr>
        <w:t>יענקל־דוד</w:t>
      </w:r>
      <w:proofErr w:type="spellEnd"/>
      <w:r>
        <w:rPr>
          <w:rtl/>
        </w:rPr>
        <w:t xml:space="preserve"> </w:t>
      </w:r>
      <w:proofErr w:type="spellStart"/>
      <w:r>
        <w:rPr>
          <w:rtl/>
        </w:rPr>
        <w:t>ווילובסקי</w:t>
      </w:r>
      <w:proofErr w:type="spellEnd"/>
      <w:r>
        <w:rPr>
          <w:rtl/>
        </w:rPr>
        <w:t xml:space="preserve">, המכונה בדרך כלל </w:t>
      </w:r>
      <w:proofErr w:type="spellStart"/>
      <w:r>
        <w:rPr>
          <w:rtl/>
        </w:rPr>
        <w:t>הרידב״ז</w:t>
      </w:r>
      <w:proofErr w:type="spellEnd"/>
      <w:r>
        <w:rPr>
          <w:rtl/>
        </w:rPr>
        <w:t xml:space="preserve">, שביקש מן הסבא לשלוח לשם קבוצת תלמידים, נאלץ להתמודד עם יריב בתוך עירו – ר׳ מאיר </w:t>
      </w:r>
      <w:proofErr w:type="spellStart"/>
      <w:r>
        <w:rPr>
          <w:rtl/>
        </w:rPr>
        <w:t>פיימר</w:t>
      </w:r>
      <w:proofErr w:type="spellEnd"/>
      <w:r>
        <w:rPr>
          <w:rtl/>
        </w:rPr>
        <w:t xml:space="preserve">, בנו של הצדיק והלמדן המופלג ר׳ </w:t>
      </w:r>
      <w:proofErr w:type="spellStart"/>
      <w:r>
        <w:rPr>
          <w:rtl/>
        </w:rPr>
        <w:t>יוסל׳ה</w:t>
      </w:r>
      <w:proofErr w:type="spellEnd"/>
      <w:r>
        <w:rPr>
          <w:rtl/>
        </w:rPr>
        <w:t xml:space="preserve"> (תקנ״ז–תרכ״ד).</w:t>
      </w:r>
    </w:p>
    <w:p w14:paraId="54AFACD0" w14:textId="77777777" w:rsidR="00AB3647" w:rsidRDefault="00000000" w:rsidP="007923E9">
      <w:pPr>
        <w:spacing w:after="120" w:line="276" w:lineRule="auto"/>
        <w:ind w:firstLine="283"/>
        <w:jc w:val="both"/>
      </w:pPr>
      <w:r>
        <w:rPr>
          <w:rtl/>
        </w:rPr>
        <w:t xml:space="preserve">ר׳ </w:t>
      </w:r>
      <w:proofErr w:type="spellStart"/>
      <w:r>
        <w:rPr>
          <w:rtl/>
        </w:rPr>
        <w:t>יוסל׳ה</w:t>
      </w:r>
      <w:proofErr w:type="spellEnd"/>
      <w:r>
        <w:rPr>
          <w:rtl/>
        </w:rPr>
        <w:t xml:space="preserve">, מתלמידיו הגדולים של ר׳ חיים </w:t>
      </w:r>
      <w:proofErr w:type="spellStart"/>
      <w:r>
        <w:rPr>
          <w:rtl/>
        </w:rPr>
        <w:t>מוולוז׳ין</w:t>
      </w:r>
      <w:proofErr w:type="spellEnd"/>
      <w:r>
        <w:rPr>
          <w:rtl/>
        </w:rPr>
        <w:t xml:space="preserve">, התקבל לרבה של </w:t>
      </w:r>
      <w:proofErr w:type="spellStart"/>
      <w:r>
        <w:rPr>
          <w:rtl/>
        </w:rPr>
        <w:t>סלוצק</w:t>
      </w:r>
      <w:proofErr w:type="spellEnd"/>
      <w:r>
        <w:rPr>
          <w:rtl/>
        </w:rPr>
        <w:t xml:space="preserve"> וכיהן בה שלושים וחמש שנה. באביב תרכ״ד ירש אותו ר׳ יוסף־דב </w:t>
      </w:r>
      <w:proofErr w:type="spellStart"/>
      <w:r>
        <w:rPr>
          <w:rtl/>
        </w:rPr>
        <w:t>סולובייצ׳יק</w:t>
      </w:r>
      <w:proofErr w:type="spellEnd"/>
      <w:r>
        <w:rPr>
          <w:rtl/>
        </w:rPr>
        <w:t xml:space="preserve">. ראה “הראשון לשושלת </w:t>
      </w:r>
      <w:proofErr w:type="spellStart"/>
      <w:r>
        <w:rPr>
          <w:rtl/>
        </w:rPr>
        <w:t>בריסק</w:t>
      </w:r>
      <w:proofErr w:type="spellEnd"/>
      <w:r>
        <w:rPr>
          <w:rtl/>
        </w:rPr>
        <w:t>”,</w:t>
      </w:r>
      <w:bookmarkStart w:id="2968" w:name="_fnr2092"/>
      <w:r>
        <w:rPr>
          <w:rStyle w:val="a5"/>
        </w:rPr>
        <w:footnoteReference w:id="2098" w:customMarkFollows="0"/>
      </w:r>
      <w:bookmarkEnd w:id="2968"/>
      <w:r>
        <w:rPr>
          <w:rtl/>
        </w:rPr>
        <w:t xml:space="preserve"> שלפיו סירב הבית הלוי לקבל את המשרה עד שהובטח לו שר׳ מאיר דחה את כל משרות הרבנות. כשעזב ר׳ יוסף־דב את העיר כעבור </w:t>
      </w:r>
      <w:proofErr w:type="spellStart"/>
      <w:r>
        <w:rPr>
          <w:rtl/>
        </w:rPr>
        <w:t>אחת־עשרה</w:t>
      </w:r>
      <w:proofErr w:type="spellEnd"/>
      <w:r>
        <w:rPr>
          <w:rtl/>
        </w:rPr>
        <w:t xml:space="preserve"> שנה, עמד על כך שר׳ מאיר יובא </w:t>
      </w:r>
      <w:proofErr w:type="spellStart"/>
      <w:r>
        <w:rPr>
          <w:rtl/>
        </w:rPr>
        <w:t>מברזין</w:t>
      </w:r>
      <w:proofErr w:type="spellEnd"/>
      <w:r>
        <w:rPr>
          <w:rtl/>
        </w:rPr>
        <w:t xml:space="preserve"> ויתמנה לרבה של </w:t>
      </w:r>
      <w:proofErr w:type="spellStart"/>
      <w:r>
        <w:rPr>
          <w:rtl/>
        </w:rPr>
        <w:t>סלוצק</w:t>
      </w:r>
      <w:proofErr w:type="spellEnd"/>
      <w:r>
        <w:rPr>
          <w:rtl/>
        </w:rPr>
        <w:t xml:space="preserve">. ר׳ מאיר קיבל את רבנות </w:t>
      </w:r>
      <w:proofErr w:type="spellStart"/>
      <w:r>
        <w:rPr>
          <w:rtl/>
        </w:rPr>
        <w:t>ברזין</w:t>
      </w:r>
      <w:proofErr w:type="spellEnd"/>
      <w:r>
        <w:rPr>
          <w:rtl/>
        </w:rPr>
        <w:t xml:space="preserve"> ארבע שנים אחרי שהבית הלוי החל לכהן במקום אביו של ר׳ מאיר.</w:t>
      </w:r>
      <w:bookmarkStart w:id="2969" w:name="_fnr2093"/>
      <w:r>
        <w:rPr>
          <w:rStyle w:val="a5"/>
        </w:rPr>
        <w:footnoteReference w:id="2099" w:customMarkFollows="0"/>
      </w:r>
      <w:bookmarkEnd w:id="2969"/>
    </w:p>
    <w:p w14:paraId="7285940E" w14:textId="77777777" w:rsidR="00AB3647" w:rsidRDefault="00000000" w:rsidP="007923E9">
      <w:pPr>
        <w:spacing w:after="120" w:line="276" w:lineRule="auto"/>
        <w:ind w:firstLine="283"/>
        <w:jc w:val="both"/>
      </w:pPr>
      <w:r>
        <w:rPr>
          <w:rtl/>
        </w:rPr>
        <w:t xml:space="preserve">אחרי </w:t>
      </w:r>
      <w:proofErr w:type="spellStart"/>
      <w:r>
        <w:rPr>
          <w:rtl/>
        </w:rPr>
        <w:t>שלוש־עשרה</w:t>
      </w:r>
      <w:proofErr w:type="spellEnd"/>
      <w:r>
        <w:rPr>
          <w:rtl/>
        </w:rPr>
        <w:t xml:space="preserve"> שנים </w:t>
      </w:r>
      <w:proofErr w:type="spellStart"/>
      <w:r>
        <w:rPr>
          <w:rtl/>
        </w:rPr>
        <w:t>בסלוצק</w:t>
      </w:r>
      <w:proofErr w:type="spellEnd"/>
      <w:r>
        <w:rPr>
          <w:rtl/>
        </w:rPr>
        <w:t xml:space="preserve"> התפטר ר׳ מאיר מסיבות שאינן ברורות, ועבר למינסק כאדם פרטי. “עלי </w:t>
      </w:r>
      <w:proofErr w:type="spellStart"/>
      <w:r>
        <w:rPr>
          <w:rtl/>
        </w:rPr>
        <w:t>חלדי</w:t>
      </w:r>
      <w:proofErr w:type="spellEnd"/>
      <w:r>
        <w:rPr>
          <w:rtl/>
        </w:rPr>
        <w:t xml:space="preserve">”, מאת הרב יצחק </w:t>
      </w:r>
      <w:proofErr w:type="spellStart"/>
      <w:r>
        <w:rPr>
          <w:rtl/>
        </w:rPr>
        <w:t>ניסנבוים</w:t>
      </w:r>
      <w:proofErr w:type="spellEnd"/>
      <w:r>
        <w:rPr>
          <w:rtl/>
        </w:rPr>
        <w:t>,</w:t>
      </w:r>
      <w:bookmarkStart w:id="2970" w:name="_fnr2094"/>
      <w:r>
        <w:rPr>
          <w:rStyle w:val="a5"/>
        </w:rPr>
        <w:footnoteReference w:id="2100" w:customMarkFollows="0"/>
      </w:r>
      <w:bookmarkEnd w:id="2970"/>
      <w:r>
        <w:rPr>
          <w:rtl/>
        </w:rPr>
        <w:t xml:space="preserve"> מביא שתי סיבות להתפטרותו שנפוצו כשמועות, והן מעידות על רמתו המוסרית הגבוהה של הרב </w:t>
      </w:r>
      <w:proofErr w:type="spellStart"/>
      <w:r>
        <w:rPr>
          <w:rtl/>
        </w:rPr>
        <w:t>פיימר</w:t>
      </w:r>
      <w:proofErr w:type="spellEnd"/>
      <w:r>
        <w:rPr>
          <w:rtl/>
        </w:rPr>
        <w:t xml:space="preserve">: בתו חדלה לשמור מצוות, והוא חש שעליו לגרשה מביתו או להתפטר ממשרתו; והוא ראה שמנהיגי העיר עשו “מעשים מגונים [לשון נקייה לנטילת כספים שנאספו לכיסם]” בעת שסייעו לנזקקים אחרי שרפה גדולה בעיר. אחרי שנתיים במינסק חזר ר׳ מאיר לרבנות – </w:t>
      </w:r>
      <w:proofErr w:type="spellStart"/>
      <w:r>
        <w:rPr>
          <w:rtl/>
        </w:rPr>
        <w:t>בקורליץ</w:t>
      </w:r>
      <w:proofErr w:type="spellEnd"/>
      <w:r>
        <w:rPr>
          <w:rtl/>
        </w:rPr>
        <w:t xml:space="preserve"> </w:t>
      </w:r>
      <w:proofErr w:type="spellStart"/>
      <w:r>
        <w:rPr>
          <w:rtl/>
        </w:rPr>
        <w:t>ובלכוביץ</w:t>
      </w:r>
      <w:proofErr w:type="spellEnd"/>
      <w:r>
        <w:rPr>
          <w:rtl/>
        </w:rPr>
        <w:t xml:space="preserve">׳ – ואחר כך חזר </w:t>
      </w:r>
      <w:proofErr w:type="spellStart"/>
      <w:r>
        <w:rPr>
          <w:rtl/>
        </w:rPr>
        <w:t>לסלוצק</w:t>
      </w:r>
      <w:proofErr w:type="spellEnd"/>
      <w:r>
        <w:rPr>
          <w:rtl/>
        </w:rPr>
        <w:t xml:space="preserve">, שוב כאדם פרטי, בשנת תרנ״ה. היה זה חמש שנים </w:t>
      </w:r>
      <w:r>
        <w:rPr>
          <w:b/>
          <w:bCs/>
          <w:rtl/>
        </w:rPr>
        <w:t>לאחר</w:t>
      </w:r>
      <w:r>
        <w:rPr>
          <w:rtl/>
        </w:rPr>
        <w:t xml:space="preserve"> </w:t>
      </w:r>
      <w:proofErr w:type="spellStart"/>
      <w:r>
        <w:rPr>
          <w:rtl/>
        </w:rPr>
        <w:t>שהרידב״ז</w:t>
      </w:r>
      <w:proofErr w:type="spellEnd"/>
      <w:r>
        <w:rPr>
          <w:rtl/>
        </w:rPr>
        <w:t xml:space="preserve"> כבר התמנה לרבה של </w:t>
      </w:r>
      <w:proofErr w:type="spellStart"/>
      <w:r>
        <w:rPr>
          <w:rtl/>
        </w:rPr>
        <w:t>סלוצק</w:t>
      </w:r>
      <w:proofErr w:type="spellEnd"/>
      <w:r>
        <w:rPr>
          <w:rtl/>
        </w:rPr>
        <w:t xml:space="preserve"> </w:t>
      </w:r>
      <w:r>
        <w:rPr>
          <w:b/>
          <w:bCs/>
          <w:rtl/>
        </w:rPr>
        <w:t>בהמלצת ר׳ מאיר</w:t>
      </w:r>
      <w:r>
        <w:rPr>
          <w:rtl/>
        </w:rPr>
        <w:t>.</w:t>
      </w:r>
      <w:bookmarkStart w:id="2971" w:name="_fnr2095"/>
      <w:bookmarkStart w:id="2972" w:name="pr_f_2000"/>
      <w:r>
        <w:rPr>
          <w:rStyle w:val="a5"/>
        </w:rPr>
        <w:footnoteReference w:id="2101" w:customMarkFollows="0"/>
      </w:r>
      <w:bookmarkEnd w:id="2971"/>
      <w:bookmarkEnd w:id="2972"/>
    </w:p>
    <w:p w14:paraId="098DDDE4" w14:textId="77777777" w:rsidR="00AB3647" w:rsidRDefault="00000000" w:rsidP="007923E9">
      <w:pPr>
        <w:spacing w:after="120" w:line="276" w:lineRule="auto"/>
        <w:ind w:firstLine="283"/>
        <w:jc w:val="both"/>
      </w:pPr>
      <w:r>
        <w:rPr>
          <w:rtl/>
        </w:rPr>
        <w:lastRenderedPageBreak/>
        <w:t xml:space="preserve">לדברי ר׳ אליהו </w:t>
      </w:r>
      <w:proofErr w:type="spellStart"/>
      <w:r>
        <w:rPr>
          <w:rtl/>
        </w:rPr>
        <w:t>קושלבסקי</w:t>
      </w:r>
      <w:proofErr w:type="spellEnd"/>
      <w:r>
        <w:rPr>
          <w:rtl/>
        </w:rPr>
        <w:t>,</w:t>
      </w:r>
      <w:bookmarkStart w:id="2973" w:name="_fnr2096"/>
      <w:r>
        <w:rPr>
          <w:rStyle w:val="a5"/>
        </w:rPr>
        <w:footnoteReference w:id="2102" w:customMarkFollows="0"/>
      </w:r>
      <w:bookmarkEnd w:id="2973"/>
      <w:r>
        <w:rPr>
          <w:rtl/>
        </w:rPr>
        <w:t xml:space="preserve"> מאחר שר׳ </w:t>
      </w:r>
      <w:proofErr w:type="spellStart"/>
      <w:r>
        <w:rPr>
          <w:rtl/>
        </w:rPr>
        <w:t>יענקל־דוד</w:t>
      </w:r>
      <w:proofErr w:type="spellEnd"/>
      <w:r>
        <w:rPr>
          <w:rtl/>
        </w:rPr>
        <w:t xml:space="preserve"> היה קנאי,</w:t>
      </w:r>
      <w:bookmarkStart w:id="2974" w:name="_fnr2097"/>
      <w:r>
        <w:rPr>
          <w:rStyle w:val="a5"/>
        </w:rPr>
        <w:footnoteReference w:id="2103" w:customMarkFollows="0"/>
      </w:r>
      <w:bookmarkEnd w:id="2974"/>
      <w:r>
        <w:rPr>
          <w:rtl/>
        </w:rPr>
        <w:t xml:space="preserve"> שכנעו משכילי </w:t>
      </w:r>
      <w:proofErr w:type="spellStart"/>
      <w:r>
        <w:rPr>
          <w:rtl/>
        </w:rPr>
        <w:t>סלוצק</w:t>
      </w:r>
      <w:proofErr w:type="spellEnd"/>
      <w:r>
        <w:rPr>
          <w:rtl/>
        </w:rPr>
        <w:t xml:space="preserve"> את ר׳ מאיר – שהיה מקורב לחוגי המשכילים, כמסופר להלן – לצאת נגד רב העיר ולתבוע לעצמו את הרבנות. אז החליט ר׳ </w:t>
      </w:r>
      <w:proofErr w:type="spellStart"/>
      <w:r>
        <w:rPr>
          <w:rtl/>
        </w:rPr>
        <w:t>יענקל־דוד</w:t>
      </w:r>
      <w:proofErr w:type="spellEnd"/>
      <w:r>
        <w:rPr>
          <w:rtl/>
        </w:rPr>
        <w:t xml:space="preserve"> לחזק את מעמדו על ידי הבאת ישיבה לעיר.</w:t>
      </w:r>
      <w:bookmarkStart w:id="2975" w:name="_fnr2098"/>
      <w:r>
        <w:rPr>
          <w:rStyle w:val="a5"/>
        </w:rPr>
        <w:footnoteReference w:id="2104" w:customMarkFollows="0"/>
      </w:r>
      <w:bookmarkEnd w:id="2975"/>
    </w:p>
    <w:p w14:paraId="22863099" w14:textId="77777777" w:rsidR="00AB3647" w:rsidRDefault="00000000" w:rsidP="007923E9">
      <w:pPr>
        <w:spacing w:after="120" w:line="276" w:lineRule="auto"/>
        <w:ind w:firstLine="283"/>
        <w:jc w:val="both"/>
      </w:pPr>
      <w:r>
        <w:rPr>
          <w:rtl/>
        </w:rPr>
        <w:t xml:space="preserve">ר׳ שמואל מרקוס ממאלט, עיר מולדתו של ר׳ אליהו, למד כבחור </w:t>
      </w:r>
      <w:proofErr w:type="spellStart"/>
      <w:r>
        <w:rPr>
          <w:rtl/>
        </w:rPr>
        <w:t>בסלוצק</w:t>
      </w:r>
      <w:proofErr w:type="spellEnd"/>
      <w:r>
        <w:rPr>
          <w:rtl/>
        </w:rPr>
        <w:t xml:space="preserve"> בתקופתה המוקדמת. הוא סיפר </w:t>
      </w:r>
      <w:proofErr w:type="spellStart"/>
      <w:r>
        <w:rPr>
          <w:rtl/>
        </w:rPr>
        <w:t>לר</w:t>
      </w:r>
      <w:proofErr w:type="spellEnd"/>
      <w:r>
        <w:rPr>
          <w:rtl/>
        </w:rPr>
        <w:t xml:space="preserve">׳ אליהו שהזדמן לו לעבור </w:t>
      </w:r>
      <w:proofErr w:type="spellStart"/>
      <w:r>
        <w:rPr>
          <w:rtl/>
        </w:rPr>
        <w:t>במיר</w:t>
      </w:r>
      <w:proofErr w:type="spellEnd"/>
      <w:r>
        <w:rPr>
          <w:rtl/>
        </w:rPr>
        <w:t xml:space="preserve"> באותה עת, וביקר אצל הרב, ר׳ </w:t>
      </w:r>
      <w:proofErr w:type="spellStart"/>
      <w:r>
        <w:rPr>
          <w:rtl/>
        </w:rPr>
        <w:t>אליהו־ברוך</w:t>
      </w:r>
      <w:proofErr w:type="spellEnd"/>
      <w:r>
        <w:rPr>
          <w:rtl/>
        </w:rPr>
        <w:t xml:space="preserve"> קמאי. על השולחן הבחין בגלויה מר׳ </w:t>
      </w:r>
      <w:proofErr w:type="spellStart"/>
      <w:r>
        <w:rPr>
          <w:rtl/>
        </w:rPr>
        <w:t>יענקל־דוד</w:t>
      </w:r>
      <w:proofErr w:type="spellEnd"/>
      <w:r>
        <w:rPr>
          <w:rtl/>
        </w:rPr>
        <w:t xml:space="preserve">, שבה תיאר בלשון ציורית את המצב בעיר, וכתב שעם הקמת הישיבה השתנו התנאים </w:t>
      </w:r>
      <w:proofErr w:type="spellStart"/>
      <w:r>
        <w:rPr>
          <w:rtl/>
        </w:rPr>
        <w:t>בסלוצק</w:t>
      </w:r>
      <w:proofErr w:type="spellEnd"/>
      <w:r>
        <w:rPr>
          <w:rtl/>
        </w:rPr>
        <w:t xml:space="preserve">: “מאיר </w:t>
      </w:r>
      <w:proofErr w:type="spellStart"/>
      <w:r>
        <w:rPr>
          <w:rtl/>
        </w:rPr>
        <w:t>פיימר</w:t>
      </w:r>
      <w:proofErr w:type="spellEnd"/>
      <w:r>
        <w:rPr>
          <w:rtl/>
        </w:rPr>
        <w:t xml:space="preserve"> נשאר כרועה בלי חליל, כלומר </w:t>
      </w:r>
      <w:proofErr w:type="spellStart"/>
      <w:r>
        <w:rPr>
          <w:rtl/>
        </w:rPr>
        <w:t>כשייגעץ</w:t>
      </w:r>
      <w:proofErr w:type="spellEnd"/>
      <w:r>
        <w:rPr>
          <w:rtl/>
        </w:rPr>
        <w:t xml:space="preserve"> בלי </w:t>
      </w:r>
      <w:proofErr w:type="spellStart"/>
      <w:r>
        <w:rPr>
          <w:rtl/>
        </w:rPr>
        <w:t>פייפעל</w:t>
      </w:r>
      <w:proofErr w:type="spellEnd"/>
      <w:r>
        <w:rPr>
          <w:rtl/>
        </w:rPr>
        <w:t xml:space="preserve"> [כשקץ בלי חליל]”.</w:t>
      </w:r>
    </w:p>
    <w:p w14:paraId="11031CF9" w14:textId="77777777" w:rsidR="00AB3647" w:rsidRDefault="00000000" w:rsidP="007923E9">
      <w:pPr>
        <w:spacing w:after="120" w:line="276" w:lineRule="auto"/>
        <w:ind w:firstLine="283"/>
        <w:jc w:val="both"/>
      </w:pPr>
      <w:r>
        <w:rPr>
          <w:rtl/>
        </w:rPr>
        <w:t xml:space="preserve">אז ירה הרב </w:t>
      </w:r>
      <w:proofErr w:type="spellStart"/>
      <w:r>
        <w:rPr>
          <w:rtl/>
        </w:rPr>
        <w:t>פיימר</w:t>
      </w:r>
      <w:proofErr w:type="spellEnd"/>
      <w:r>
        <w:rPr>
          <w:rtl/>
        </w:rPr>
        <w:t xml:space="preserve"> את מטח הפתיחה הרבני במלחמה נגד המוסר, כשפרסם </w:t>
      </w:r>
      <w:proofErr w:type="spellStart"/>
      <w:r>
        <w:rPr>
          <w:rtl/>
        </w:rPr>
        <w:t>ב“המליץ</w:t>
      </w:r>
      <w:proofErr w:type="spellEnd"/>
      <w:r>
        <w:rPr>
          <w:rtl/>
        </w:rPr>
        <w:t xml:space="preserve">” התקפה חריפה. באחד ממאמרי הפולמוס שבאו בהמשך הזכיר את המצב הלא נוח שנקלע אליו </w:t>
      </w:r>
      <w:r>
        <w:rPr>
          <w:b/>
          <w:bCs/>
          <w:rtl/>
        </w:rPr>
        <w:t>כתוצאה</w:t>
      </w:r>
      <w:r>
        <w:rPr>
          <w:rtl/>
        </w:rPr>
        <w:t xml:space="preserve"> מן הישיבה שזה עתה נוסדה, במילים: “שליחת בחורים לעיר שיש בה מחלוקת גורמת חילול השם חמור: היא מקדשת ומהללת צד אחד, ומבזה את האחר כעפר”.</w:t>
      </w:r>
      <w:bookmarkStart w:id="2976" w:name="_fnr2099"/>
      <w:r>
        <w:rPr>
          <w:rStyle w:val="a5"/>
        </w:rPr>
        <w:footnoteReference w:id="2105" w:customMarkFollows="0"/>
      </w:r>
      <w:bookmarkEnd w:id="2976"/>
    </w:p>
    <w:p w14:paraId="3F7B498F" w14:textId="77777777" w:rsidR="00AB3647" w:rsidRDefault="00000000" w:rsidP="007923E9">
      <w:pPr>
        <w:spacing w:after="120" w:line="276" w:lineRule="auto"/>
        <w:ind w:firstLine="283"/>
        <w:jc w:val="both"/>
      </w:pPr>
      <w:r>
        <w:rPr>
          <w:rtl/>
        </w:rPr>
        <w:t xml:space="preserve">במאמר </w:t>
      </w:r>
      <w:proofErr w:type="spellStart"/>
      <w:r>
        <w:rPr>
          <w:rtl/>
        </w:rPr>
        <w:t>ב“פנקס</w:t>
      </w:r>
      <w:proofErr w:type="spellEnd"/>
      <w:r>
        <w:rPr>
          <w:rtl/>
        </w:rPr>
        <w:t xml:space="preserve"> </w:t>
      </w:r>
      <w:proofErr w:type="spellStart"/>
      <w:r>
        <w:rPr>
          <w:rtl/>
        </w:rPr>
        <w:t>סלוצק</w:t>
      </w:r>
      <w:proofErr w:type="spellEnd"/>
      <w:r>
        <w:rPr>
          <w:rtl/>
        </w:rPr>
        <w:t xml:space="preserve">” מגלה בנו של ר׳ </w:t>
      </w:r>
      <w:proofErr w:type="spellStart"/>
      <w:r>
        <w:rPr>
          <w:rtl/>
        </w:rPr>
        <w:t>איסר־זלמן</w:t>
      </w:r>
      <w:proofErr w:type="spellEnd"/>
      <w:r>
        <w:rPr>
          <w:rtl/>
        </w:rPr>
        <w:t>, הרב צבי יהודה מלצר, שמחנהו של ר׳ מאיר ניסה להקים ישיבה מתחרה – והניסיון נכשל.</w:t>
      </w:r>
      <w:bookmarkStart w:id="2977" w:name="_fnr2100"/>
      <w:r>
        <w:rPr>
          <w:rStyle w:val="a5"/>
        </w:rPr>
        <w:footnoteReference w:id="2106" w:customMarkFollows="0"/>
      </w:r>
      <w:bookmarkEnd w:id="2977"/>
      <w:r>
        <w:rPr>
          <w:rtl/>
        </w:rPr>
        <w:t xml:space="preserve"> בראשה עמד בנו הצעיר של ר׳ מאיר, ר׳ יוסף, שנקרא על שם סבו כשנולד בשנת תרל״ט,</w:t>
      </w:r>
      <w:bookmarkStart w:id="2978" w:name="_fnr2101"/>
      <w:r>
        <w:rPr>
          <w:rStyle w:val="a5"/>
        </w:rPr>
        <w:footnoteReference w:id="2107" w:customMarkFollows="0"/>
      </w:r>
      <w:bookmarkEnd w:id="2978"/>
      <w:r>
        <w:rPr>
          <w:rtl/>
        </w:rPr>
        <w:t xml:space="preserve"> ומתואר </w:t>
      </w:r>
      <w:proofErr w:type="spellStart"/>
      <w:r>
        <w:rPr>
          <w:rtl/>
        </w:rPr>
        <w:t>ב“פנקס</w:t>
      </w:r>
      <w:proofErr w:type="spellEnd"/>
      <w:r>
        <w:rPr>
          <w:rtl/>
        </w:rPr>
        <w:t xml:space="preserve"> </w:t>
      </w:r>
      <w:proofErr w:type="spellStart"/>
      <w:r>
        <w:rPr>
          <w:rtl/>
        </w:rPr>
        <w:t>סלוצק</w:t>
      </w:r>
      <w:proofErr w:type="spellEnd"/>
      <w:r>
        <w:rPr>
          <w:rtl/>
        </w:rPr>
        <w:t>”</w:t>
      </w:r>
      <w:bookmarkStart w:id="2979" w:name="_fnr2102"/>
      <w:r>
        <w:rPr>
          <w:rStyle w:val="a5"/>
        </w:rPr>
        <w:footnoteReference w:id="2108" w:customMarkFollows="0"/>
      </w:r>
      <w:bookmarkEnd w:id="2979"/>
      <w:r>
        <w:rPr>
          <w:rtl/>
        </w:rPr>
        <w:t xml:space="preserve"> כמי </w:t>
      </w:r>
      <w:proofErr w:type="spellStart"/>
      <w:r>
        <w:rPr>
          <w:rtl/>
        </w:rPr>
        <w:t>ש“אהב</w:t>
      </w:r>
      <w:proofErr w:type="spellEnd"/>
      <w:r>
        <w:rPr>
          <w:rtl/>
        </w:rPr>
        <w:t xml:space="preserve"> ללמוד ולעיין במפרשי התנ״ך” </w:t>
      </w:r>
      <w:proofErr w:type="spellStart"/>
      <w:r>
        <w:rPr>
          <w:rtl/>
        </w:rPr>
        <w:t>וכ“אוהב</w:t>
      </w:r>
      <w:proofErr w:type="spellEnd"/>
      <w:r>
        <w:rPr>
          <w:rtl/>
        </w:rPr>
        <w:t xml:space="preserve"> הלשון העברית”.</w:t>
      </w:r>
    </w:p>
    <w:p w14:paraId="77C1C943" w14:textId="77777777" w:rsidR="00AB3647" w:rsidRDefault="00000000" w:rsidP="007923E9">
      <w:pPr>
        <w:spacing w:after="120" w:line="276" w:lineRule="auto"/>
        <w:ind w:firstLine="283"/>
        <w:jc w:val="both"/>
      </w:pPr>
      <w:r>
        <w:rPr>
          <w:rtl/>
        </w:rPr>
        <w:lastRenderedPageBreak/>
        <w:t xml:space="preserve">“לב איברא” מספר שהישיבה נוסדה בידי כמה מתלמידי ישיבתו של ר׳ </w:t>
      </w:r>
      <w:proofErr w:type="spellStart"/>
      <w:r>
        <w:rPr>
          <w:rtl/>
        </w:rPr>
        <w:t>איסר־זלמן</w:t>
      </w:r>
      <w:proofErr w:type="spellEnd"/>
      <w:r>
        <w:rPr>
          <w:rtl/>
        </w:rPr>
        <w:t xml:space="preserve">, שסירבו לציית לתקנה האוסרת לימודים כלליים “ואפילו קריאת עיתונים”. ר׳ </w:t>
      </w:r>
      <w:proofErr w:type="spellStart"/>
      <w:r>
        <w:rPr>
          <w:rtl/>
        </w:rPr>
        <w:t>איסר־זלמן</w:t>
      </w:r>
      <w:proofErr w:type="spellEnd"/>
      <w:r>
        <w:rPr>
          <w:rtl/>
        </w:rPr>
        <w:t xml:space="preserve"> מלצר הנהיג תקנה זו ונאבק עליה בחומרה שלא אפיינה אותו. הדבר מאושר במכתב שכתב ר׳ </w:t>
      </w:r>
      <w:proofErr w:type="spellStart"/>
      <w:r>
        <w:rPr>
          <w:rtl/>
        </w:rPr>
        <w:t>איסר־זלמן</w:t>
      </w:r>
      <w:proofErr w:type="spellEnd"/>
      <w:r>
        <w:rPr>
          <w:rtl/>
        </w:rPr>
        <w:t xml:space="preserve"> </w:t>
      </w:r>
      <w:proofErr w:type="spellStart"/>
      <w:r>
        <w:rPr>
          <w:rtl/>
        </w:rPr>
        <w:t>בתרצ״ח</w:t>
      </w:r>
      <w:proofErr w:type="spellEnd"/>
      <w:r>
        <w:rPr>
          <w:rtl/>
        </w:rPr>
        <w:t xml:space="preserve">, המובא </w:t>
      </w:r>
      <w:proofErr w:type="spellStart"/>
      <w:r>
        <w:rPr>
          <w:rtl/>
        </w:rPr>
        <w:t>ב“שנות</w:t>
      </w:r>
      <w:proofErr w:type="spellEnd"/>
      <w:r>
        <w:rPr>
          <w:rtl/>
        </w:rPr>
        <w:t xml:space="preserve"> דור ודור”.</w:t>
      </w:r>
      <w:bookmarkStart w:id="2980" w:name="_fnr2103"/>
      <w:r>
        <w:rPr>
          <w:rStyle w:val="a5"/>
        </w:rPr>
        <w:footnoteReference w:id="2109" w:customMarkFollows="0"/>
      </w:r>
      <w:bookmarkEnd w:id="2980"/>
      <w:r>
        <w:rPr>
          <w:rtl/>
        </w:rPr>
        <w:t xml:space="preserve"> נאמר בו: “ובשנות תרס״ב תרס״ג הי׳ לי מלחמה גדולה </w:t>
      </w:r>
      <w:proofErr w:type="spellStart"/>
      <w:r>
        <w:rPr>
          <w:rtl/>
        </w:rPr>
        <w:t>בסלוצק</w:t>
      </w:r>
      <w:proofErr w:type="spellEnd"/>
      <w:r>
        <w:rPr>
          <w:rtl/>
        </w:rPr>
        <w:t xml:space="preserve"> עם בחורים שרצו ללמוד השפה הרוסית בהיותם בישיבה ולא הנחתי בשום אופן עד שקבוצת בחורים הוכרחו לצאת מן הישיבה וגדול אחד עשה עבורם מדור בפ״ע ישיבה שני’ </w:t>
      </w:r>
      <w:proofErr w:type="spellStart"/>
      <w:r>
        <w:rPr>
          <w:rtl/>
        </w:rPr>
        <w:t>בסלוצק</w:t>
      </w:r>
      <w:proofErr w:type="spellEnd"/>
      <w:r>
        <w:rPr>
          <w:rtl/>
        </w:rPr>
        <w:t xml:space="preserve"> אבל לא האריכה ימים”.</w:t>
      </w:r>
      <w:bookmarkStart w:id="2981" w:name="_fnr2104"/>
      <w:r>
        <w:rPr>
          <w:rStyle w:val="a5"/>
        </w:rPr>
        <w:footnoteReference w:id="2110" w:customMarkFollows="0"/>
      </w:r>
      <w:bookmarkEnd w:id="2981"/>
    </w:p>
    <w:p w14:paraId="60531922" w14:textId="77777777" w:rsidR="00AB3647" w:rsidRDefault="00000000" w:rsidP="007923E9">
      <w:pPr>
        <w:spacing w:after="120" w:line="276" w:lineRule="auto"/>
        <w:ind w:firstLine="283"/>
        <w:jc w:val="both"/>
      </w:pPr>
      <w:r>
        <w:rPr>
          <w:rtl/>
        </w:rPr>
        <w:t xml:space="preserve">אשתו של ר׳ מאיר </w:t>
      </w:r>
      <w:proofErr w:type="spellStart"/>
      <w:r>
        <w:rPr>
          <w:rtl/>
        </w:rPr>
        <w:t>פיימר</w:t>
      </w:r>
      <w:proofErr w:type="spellEnd"/>
      <w:r>
        <w:rPr>
          <w:rtl/>
        </w:rPr>
        <w:t xml:space="preserve"> הייתה נכדתו של ר׳ </w:t>
      </w:r>
      <w:proofErr w:type="spellStart"/>
      <w:r>
        <w:rPr>
          <w:rtl/>
        </w:rPr>
        <w:t>לייבל׳ה</w:t>
      </w:r>
      <w:proofErr w:type="spellEnd"/>
      <w:r>
        <w:rPr>
          <w:rtl/>
        </w:rPr>
        <w:t xml:space="preserve"> שפירא,</w:t>
      </w:r>
      <w:bookmarkStart w:id="2982" w:name="_fnr2105"/>
      <w:r>
        <w:rPr>
          <w:rStyle w:val="a5"/>
        </w:rPr>
        <w:footnoteReference w:id="2111" w:customMarkFollows="0"/>
      </w:r>
      <w:bookmarkEnd w:id="2982"/>
      <w:r>
        <w:rPr>
          <w:rtl/>
        </w:rPr>
        <w:t xml:space="preserve"> וכך גם אשתו של ר׳ חיים </w:t>
      </w:r>
      <w:proofErr w:type="spellStart"/>
      <w:r>
        <w:rPr>
          <w:rtl/>
        </w:rPr>
        <w:t>סולובייצ׳יק</w:t>
      </w:r>
      <w:proofErr w:type="spellEnd"/>
      <w:r>
        <w:rPr>
          <w:rtl/>
        </w:rPr>
        <w:t xml:space="preserve">. יש להניח אם כן שאילו סבר ר׳ חיים שקרובו מצד הנישואין, ר׳ מאיר </w:t>
      </w:r>
      <w:proofErr w:type="spellStart"/>
      <w:r>
        <w:rPr>
          <w:rtl/>
        </w:rPr>
        <w:t>פיימר</w:t>
      </w:r>
      <w:proofErr w:type="spellEnd"/>
      <w:r>
        <w:rPr>
          <w:rtl/>
        </w:rPr>
        <w:t xml:space="preserve">, צודק בהתנגדותו לישיבה, ר׳ </w:t>
      </w:r>
      <w:proofErr w:type="spellStart"/>
      <w:r>
        <w:rPr>
          <w:rtl/>
        </w:rPr>
        <w:t>איסר־זלמן</w:t>
      </w:r>
      <w:proofErr w:type="spellEnd"/>
      <w:r>
        <w:rPr>
          <w:rtl/>
        </w:rPr>
        <w:t xml:space="preserve"> לא היה נשאר </w:t>
      </w:r>
      <w:proofErr w:type="spellStart"/>
      <w:r>
        <w:rPr>
          <w:rtl/>
        </w:rPr>
        <w:t>בסלוצק</w:t>
      </w:r>
      <w:proofErr w:type="spellEnd"/>
      <w:r>
        <w:rPr>
          <w:rtl/>
        </w:rPr>
        <w:t xml:space="preserve">. ר׳ </w:t>
      </w:r>
      <w:proofErr w:type="spellStart"/>
      <w:r>
        <w:rPr>
          <w:rtl/>
        </w:rPr>
        <w:t>איסר־זלמן</w:t>
      </w:r>
      <w:proofErr w:type="spellEnd"/>
      <w:r>
        <w:rPr>
          <w:rtl/>
        </w:rPr>
        <w:t xml:space="preserve"> היה תלמידו המובהק של ר׳ חיים, ודן עם רבו במינויו </w:t>
      </w:r>
      <w:proofErr w:type="spellStart"/>
      <w:r>
        <w:rPr>
          <w:rtl/>
        </w:rPr>
        <w:t>בסלוצק</w:t>
      </w:r>
      <w:proofErr w:type="spellEnd"/>
      <w:r>
        <w:rPr>
          <w:rtl/>
        </w:rPr>
        <w:t>.</w:t>
      </w:r>
      <w:bookmarkStart w:id="2983" w:name="_fnr2106"/>
      <w:r>
        <w:rPr>
          <w:rStyle w:val="a5"/>
        </w:rPr>
        <w:footnoteReference w:id="2112" w:customMarkFollows="0"/>
      </w:r>
      <w:bookmarkEnd w:id="2983"/>
    </w:p>
    <w:p w14:paraId="6EF808B0" w14:textId="77777777" w:rsidR="00AB3647" w:rsidRDefault="00000000" w:rsidP="007923E9">
      <w:pPr>
        <w:pStyle w:val="4"/>
        <w:spacing w:line="276" w:lineRule="auto"/>
      </w:pPr>
      <w:r>
        <w:t>· הפסקה השנייה ·</w:t>
      </w:r>
    </w:p>
    <w:p w14:paraId="3C7231E3" w14:textId="77777777" w:rsidR="00AB3647" w:rsidRDefault="00000000" w:rsidP="007923E9">
      <w:pPr>
        <w:pStyle w:val="5"/>
        <w:spacing w:line="276" w:lineRule="auto"/>
      </w:pPr>
      <w:r>
        <w:t xml:space="preserve">ר׳ </w:t>
      </w:r>
      <w:proofErr w:type="spellStart"/>
      <w:r>
        <w:t>יענקל־דוד</w:t>
      </w:r>
      <w:proofErr w:type="spellEnd"/>
      <w:r>
        <w:t xml:space="preserve">, </w:t>
      </w:r>
      <w:proofErr w:type="spellStart"/>
      <w:r>
        <w:t>הרידב״ז</w:t>
      </w:r>
      <w:proofErr w:type="spellEnd"/>
      <w:r>
        <w:t xml:space="preserve">, מבקש מן הסבא להקים ישיבה </w:t>
      </w:r>
      <w:proofErr w:type="spellStart"/>
      <w:r>
        <w:t>בסלוצק</w:t>
      </w:r>
      <w:proofErr w:type="spellEnd"/>
      <w:r>
        <w:t xml:space="preserve"> – הקמת כנסת בית יצחק </w:t>
      </w:r>
      <w:proofErr w:type="spellStart"/>
      <w:r>
        <w:t>בסלבודקה</w:t>
      </w:r>
      <w:proofErr w:type="spellEnd"/>
      <w:r>
        <w:t xml:space="preserve"> אינה הגורם להקמת הישיבה </w:t>
      </w:r>
      <w:proofErr w:type="spellStart"/>
      <w:r>
        <w:t>בסלוצק</w:t>
      </w:r>
      <w:proofErr w:type="spellEnd"/>
      <w:r>
        <w:t xml:space="preserve"> – הגיסים אינם יכולים להנהיג יחד במעמד שווה</w:t>
      </w:r>
    </w:p>
    <w:p w14:paraId="03F0A55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הציע אבי שהסבא עצמו נטע במחשבתו של ר׳ </w:t>
      </w:r>
      <w:proofErr w:type="spellStart"/>
      <w:r>
        <w:rPr>
          <w:rtl/>
        </w:rPr>
        <w:t>יענקל־דוד</w:t>
      </w:r>
      <w:proofErr w:type="spellEnd"/>
      <w:r>
        <w:rPr>
          <w:rtl/>
        </w:rPr>
        <w:t xml:space="preserve"> </w:t>
      </w:r>
      <w:proofErr w:type="spellStart"/>
      <w:r>
        <w:rPr>
          <w:rtl/>
        </w:rPr>
        <w:t>ווילובסקי</w:t>
      </w:r>
      <w:proofErr w:type="spellEnd"/>
      <w:r>
        <w:rPr>
          <w:rtl/>
        </w:rPr>
        <w:t xml:space="preserve"> את הרעיון להביא </w:t>
      </w:r>
      <w:proofErr w:type="spellStart"/>
      <w:r>
        <w:rPr>
          <w:rtl/>
        </w:rPr>
        <w:t>לסלוצק</w:t>
      </w:r>
      <w:proofErr w:type="spellEnd"/>
      <w:r>
        <w:rPr>
          <w:rtl/>
        </w:rPr>
        <w:t xml:space="preserve"> שלוחה של ישיבתו, כדי שאחד משני הגיסים יעבור מישיבת </w:t>
      </w:r>
      <w:proofErr w:type="spellStart"/>
      <w:r>
        <w:rPr>
          <w:rtl/>
        </w:rPr>
        <w:t>סלבודקה</w:t>
      </w:r>
      <w:proofErr w:type="spellEnd"/>
      <w:r>
        <w:rPr>
          <w:rtl/>
        </w:rPr>
        <w:t>, “כי אי אפשר לשני מלכים שישתמשו בכתר אחד”.</w:t>
      </w:r>
      <w:bookmarkStart w:id="2984" w:name="_fnr2107"/>
      <w:r>
        <w:rPr>
          <w:rStyle w:val="a5"/>
        </w:rPr>
        <w:footnoteReference w:id="2113" w:customMarkFollows="0"/>
      </w:r>
      <w:bookmarkEnd w:id="2984"/>
    </w:p>
    <w:p w14:paraId="4202AB5B" w14:textId="77777777" w:rsidR="00AB3647" w:rsidRDefault="00000000" w:rsidP="007923E9">
      <w:pPr>
        <w:spacing w:after="120" w:line="276" w:lineRule="auto"/>
        <w:ind w:firstLine="283"/>
        <w:jc w:val="both"/>
      </w:pPr>
      <w:r>
        <w:rPr>
          <w:rtl/>
        </w:rPr>
        <w:t>הסברה ש</w:t>
      </w:r>
      <w:r>
        <w:rPr>
          <w:b/>
          <w:bCs/>
          <w:rtl/>
        </w:rPr>
        <w:t>יוזמתו של הסבא</w:t>
      </w:r>
      <w:r>
        <w:rPr>
          <w:rtl/>
        </w:rPr>
        <w:t xml:space="preserve"> היא שהביאה להקמת 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אינה סותרת בהכרח את ספרו של </w:t>
      </w:r>
      <w:proofErr w:type="spellStart"/>
      <w:r>
        <w:rPr>
          <w:rtl/>
        </w:rPr>
        <w:t>דבורץ</w:t>
      </w:r>
      <w:proofErr w:type="spellEnd"/>
      <w:r>
        <w:rPr>
          <w:rtl/>
        </w:rPr>
        <w:t>, “הגאון רבי משה מרדכי אפשטיין”,</w:t>
      </w:r>
      <w:bookmarkStart w:id="2985" w:name="_fnr2108"/>
      <w:r>
        <w:rPr>
          <w:rStyle w:val="a5"/>
        </w:rPr>
        <w:footnoteReference w:id="2114" w:customMarkFollows="0"/>
      </w:r>
      <w:bookmarkEnd w:id="2985"/>
      <w:r>
        <w:rPr>
          <w:rtl/>
        </w:rPr>
        <w:t xml:space="preserve"> שבו נאמר שהייתה </w:t>
      </w:r>
      <w:r>
        <w:rPr>
          <w:b/>
          <w:bCs/>
          <w:rtl/>
        </w:rPr>
        <w:t>הצעה קודמת</w:t>
      </w:r>
      <w:r>
        <w:rPr>
          <w:rtl/>
        </w:rPr>
        <w:t xml:space="preserve"> של ר׳ </w:t>
      </w:r>
      <w:proofErr w:type="spellStart"/>
      <w:r>
        <w:rPr>
          <w:rtl/>
        </w:rPr>
        <w:t>יענקל־דוד</w:t>
      </w:r>
      <w:proofErr w:type="spellEnd"/>
      <w:r>
        <w:rPr>
          <w:rtl/>
        </w:rPr>
        <w:t xml:space="preserve">, “שנודע לשבח הן בתורתו הן בפעלתנותו”, להעביר את </w:t>
      </w:r>
      <w:r>
        <w:rPr>
          <w:b/>
          <w:bCs/>
          <w:rtl/>
        </w:rPr>
        <w:t>כל</w:t>
      </w:r>
      <w:r>
        <w:rPr>
          <w:rtl/>
        </w:rPr>
        <w:t xml:space="preserve"> ישיבת </w:t>
      </w:r>
      <w:proofErr w:type="spellStart"/>
      <w:r>
        <w:rPr>
          <w:rtl/>
        </w:rPr>
        <w:t>סלבודקה</w:t>
      </w:r>
      <w:proofErr w:type="spellEnd"/>
      <w:r>
        <w:rPr>
          <w:rtl/>
        </w:rPr>
        <w:t xml:space="preserve"> </w:t>
      </w:r>
      <w:proofErr w:type="spellStart"/>
      <w:r>
        <w:rPr>
          <w:rtl/>
        </w:rPr>
        <w:t>לסלוצק</w:t>
      </w:r>
      <w:proofErr w:type="spellEnd"/>
      <w:r>
        <w:rPr>
          <w:rtl/>
        </w:rPr>
        <w:t xml:space="preserve"> כדי לחלץ אותה מבעיותיה הכספיות. הצעתו המקורית של </w:t>
      </w:r>
      <w:proofErr w:type="spellStart"/>
      <w:r>
        <w:rPr>
          <w:rtl/>
        </w:rPr>
        <w:t>הרידב״ז</w:t>
      </w:r>
      <w:proofErr w:type="spellEnd"/>
      <w:r>
        <w:rPr>
          <w:rtl/>
        </w:rPr>
        <w:t xml:space="preserve"> נדחתה בגלל המחלוקת ששררה בין ר׳ </w:t>
      </w:r>
      <w:proofErr w:type="spellStart"/>
      <w:r>
        <w:rPr>
          <w:rtl/>
        </w:rPr>
        <w:t>יענקל־דוד</w:t>
      </w:r>
      <w:proofErr w:type="spellEnd"/>
      <w:r>
        <w:rPr>
          <w:rtl/>
        </w:rPr>
        <w:t xml:space="preserve"> </w:t>
      </w:r>
      <w:proofErr w:type="spellStart"/>
      <w:r>
        <w:rPr>
          <w:rtl/>
        </w:rPr>
        <w:t>לר</w:t>
      </w:r>
      <w:proofErr w:type="spellEnd"/>
      <w:r>
        <w:rPr>
          <w:rtl/>
        </w:rPr>
        <w:t xml:space="preserve">׳ מאיר – סיבה שלכאורה היה בה די כדי למנוע גם את פתיחת שלוחת </w:t>
      </w:r>
      <w:proofErr w:type="spellStart"/>
      <w:r>
        <w:rPr>
          <w:rtl/>
        </w:rPr>
        <w:t>סלבודקה</w:t>
      </w:r>
      <w:proofErr w:type="spellEnd"/>
      <w:r>
        <w:rPr>
          <w:rtl/>
        </w:rPr>
        <w:t xml:space="preserve">. הדבר ניכר בתגובתו של ר׳ מאיר כשנפתחה לבסוף, כמסופר בפסקה הקודמת. ייתכן אם כן שהסבא הוא שהניע את התהליך שבסופו הובא ר׳ </w:t>
      </w:r>
      <w:proofErr w:type="spellStart"/>
      <w:r>
        <w:rPr>
          <w:rtl/>
        </w:rPr>
        <w:t>איסר־זלמן</w:t>
      </w:r>
      <w:proofErr w:type="spellEnd"/>
      <w:r>
        <w:rPr>
          <w:rtl/>
        </w:rPr>
        <w:t xml:space="preserve"> </w:t>
      </w:r>
      <w:proofErr w:type="spellStart"/>
      <w:r>
        <w:rPr>
          <w:rtl/>
        </w:rPr>
        <w:t>לסלוצק</w:t>
      </w:r>
      <w:proofErr w:type="spellEnd"/>
      <w:r>
        <w:rPr>
          <w:rtl/>
        </w:rPr>
        <w:t xml:space="preserve">, בכך שהודיע </w:t>
      </w:r>
      <w:proofErr w:type="spellStart"/>
      <w:r>
        <w:rPr>
          <w:rtl/>
        </w:rPr>
        <w:t>לר</w:t>
      </w:r>
      <w:proofErr w:type="spellEnd"/>
      <w:r>
        <w:rPr>
          <w:rtl/>
        </w:rPr>
        <w:t xml:space="preserve">׳ </w:t>
      </w:r>
      <w:proofErr w:type="spellStart"/>
      <w:r>
        <w:rPr>
          <w:rtl/>
        </w:rPr>
        <w:t>יענקל־דוד</w:t>
      </w:r>
      <w:proofErr w:type="spellEnd"/>
      <w:r>
        <w:rPr>
          <w:rtl/>
        </w:rPr>
        <w:t xml:space="preserve"> שהוא מוכן להתעלם מן הבעיה הפנימית שבעירו ולפתוח בה שלוחה של </w:t>
      </w:r>
      <w:proofErr w:type="spellStart"/>
      <w:r>
        <w:rPr>
          <w:rtl/>
        </w:rPr>
        <w:t>סלבודקה</w:t>
      </w:r>
      <w:proofErr w:type="spellEnd"/>
      <w:r>
        <w:rPr>
          <w:rtl/>
        </w:rPr>
        <w:t>.</w:t>
      </w:r>
    </w:p>
    <w:p w14:paraId="7B748BDC" w14:textId="77777777" w:rsidR="00AB3647" w:rsidRDefault="00000000" w:rsidP="007923E9">
      <w:pPr>
        <w:spacing w:after="120" w:line="276" w:lineRule="auto"/>
        <w:ind w:firstLine="283"/>
        <w:jc w:val="both"/>
      </w:pPr>
      <w:r>
        <w:rPr>
          <w:rtl/>
        </w:rPr>
        <w:lastRenderedPageBreak/>
        <w:t xml:space="preserve">אבל השווה “לב איברא”, הטוען שהצעתו של הרב </w:t>
      </w:r>
      <w:proofErr w:type="spellStart"/>
      <w:r>
        <w:rPr>
          <w:rtl/>
        </w:rPr>
        <w:t>ווילובסקי</w:t>
      </w:r>
      <w:proofErr w:type="spellEnd"/>
      <w:r>
        <w:rPr>
          <w:rtl/>
        </w:rPr>
        <w:t xml:space="preserve"> נועדה למנוע משבר כספי </w:t>
      </w:r>
      <w:r>
        <w:rPr>
          <w:b/>
          <w:bCs/>
          <w:rtl/>
        </w:rPr>
        <w:t>לאחר שהוקמה כנסת בית יצחק</w:t>
      </w:r>
      <w:r>
        <w:rPr>
          <w:rtl/>
        </w:rPr>
        <w:t>, שכן אז חששו שתמיכתו הכספית של אמיל לחמן</w:t>
      </w:r>
      <w:bookmarkStart w:id="2986" w:name="_fnr2109"/>
      <w:r>
        <w:rPr>
          <w:rStyle w:val="a5"/>
        </w:rPr>
        <w:footnoteReference w:id="2115" w:customMarkFollows="0"/>
      </w:r>
      <w:bookmarkEnd w:id="2986"/>
      <w:r>
        <w:rPr>
          <w:rtl/>
        </w:rPr>
        <w:t xml:space="preserve"> תועבר מישיבתו של הסבא לישיבה החדשה המתנגדת למוסר. “לב איברא” מציין גם שישיבתו של ר׳ </w:t>
      </w:r>
      <w:proofErr w:type="spellStart"/>
      <w:r>
        <w:rPr>
          <w:rtl/>
        </w:rPr>
        <w:t>איסר־זלמן</w:t>
      </w:r>
      <w:proofErr w:type="spellEnd"/>
      <w:r>
        <w:rPr>
          <w:rtl/>
        </w:rPr>
        <w:t xml:space="preserve"> </w:t>
      </w:r>
      <w:proofErr w:type="spellStart"/>
      <w:r>
        <w:rPr>
          <w:rtl/>
        </w:rPr>
        <w:t>בסלוצק</w:t>
      </w:r>
      <w:proofErr w:type="spellEnd"/>
      <w:r>
        <w:rPr>
          <w:rtl/>
        </w:rPr>
        <w:t xml:space="preserve"> נועדה לשמש גרעין חלוץ להעברת כל ישיבת הסבא </w:t>
      </w:r>
      <w:proofErr w:type="spellStart"/>
      <w:r>
        <w:rPr>
          <w:rtl/>
        </w:rPr>
        <w:t>מסלבודקה</w:t>
      </w:r>
      <w:proofErr w:type="spellEnd"/>
      <w:r>
        <w:rPr>
          <w:rtl/>
        </w:rPr>
        <w:t xml:space="preserve">, אם הקמת כנסת בית יצחק שם תאלץ אותה לעקור. כל זה אינו נכון, שכן הקמת ישיבת </w:t>
      </w:r>
      <w:proofErr w:type="spellStart"/>
      <w:r>
        <w:rPr>
          <w:rtl/>
        </w:rPr>
        <w:t>סלוצק</w:t>
      </w:r>
      <w:proofErr w:type="spellEnd"/>
      <w:r>
        <w:rPr>
          <w:rtl/>
        </w:rPr>
        <w:t xml:space="preserve"> </w:t>
      </w:r>
      <w:r>
        <w:rPr>
          <w:b/>
          <w:bCs/>
          <w:rtl/>
        </w:rPr>
        <w:t>קדמה</w:t>
      </w:r>
      <w:r>
        <w:rPr>
          <w:rtl/>
        </w:rPr>
        <w:t xml:space="preserve"> להקמת כנסת בית יצחק. אבל לעצם הרעיון שר׳ </w:t>
      </w:r>
      <w:proofErr w:type="spellStart"/>
      <w:r>
        <w:rPr>
          <w:rtl/>
        </w:rPr>
        <w:t>איסר־זלמן</w:t>
      </w:r>
      <w:proofErr w:type="spellEnd"/>
      <w:r>
        <w:rPr>
          <w:rtl/>
        </w:rPr>
        <w:t xml:space="preserve"> נשלח </w:t>
      </w:r>
      <w:proofErr w:type="spellStart"/>
      <w:r>
        <w:rPr>
          <w:rtl/>
        </w:rPr>
        <w:t>לסלוצק</w:t>
      </w:r>
      <w:proofErr w:type="spellEnd"/>
      <w:r>
        <w:rPr>
          <w:rtl/>
        </w:rPr>
        <w:t xml:space="preserve"> כדי להכין מקום מקלט לכל ישיבת הסבא ייתכן שיש יסוד, כמבואר בפסקה הבאה.</w:t>
      </w:r>
    </w:p>
    <w:p w14:paraId="412673E7" w14:textId="77777777" w:rsidR="00AB3647" w:rsidRDefault="00000000" w:rsidP="007923E9">
      <w:pPr>
        <w:spacing w:after="120" w:line="276" w:lineRule="auto"/>
        <w:ind w:firstLine="283"/>
        <w:jc w:val="both"/>
      </w:pPr>
      <w:r>
        <w:rPr>
          <w:rtl/>
        </w:rPr>
        <w:t>בשיעור דף יומי מוקלט</w:t>
      </w:r>
      <w:bookmarkStart w:id="2987" w:name="_fnr2110"/>
      <w:r>
        <w:rPr>
          <w:rStyle w:val="a5"/>
        </w:rPr>
        <w:footnoteReference w:id="2116" w:customMarkFollows="0"/>
      </w:r>
      <w:bookmarkEnd w:id="2987"/>
      <w:r>
        <w:rPr>
          <w:rtl/>
        </w:rPr>
        <w:t xml:space="preserve"> הרחיק אבי לכת יותר, ואמר שרק “שנים רבות אחר כך”, לאחר תקופתו </w:t>
      </w:r>
      <w:proofErr w:type="spellStart"/>
      <w:r>
        <w:rPr>
          <w:rtl/>
        </w:rPr>
        <w:t>בסלבודקה</w:t>
      </w:r>
      <w:proofErr w:type="spellEnd"/>
      <w:r>
        <w:rPr>
          <w:rtl/>
        </w:rPr>
        <w:t xml:space="preserve">, “הבין” מדוע שלח הסבא אחד משני מגידי השיעור. הסבא חזה שהישיבה </w:t>
      </w:r>
      <w:proofErr w:type="spellStart"/>
      <w:r>
        <w:rPr>
          <w:rtl/>
        </w:rPr>
        <w:t>תתפלג</w:t>
      </w:r>
      <w:proofErr w:type="spellEnd"/>
      <w:r>
        <w:rPr>
          <w:rtl/>
        </w:rPr>
        <w:t xml:space="preserve"> לבסוף, וחשש שאחד משני מגידי השיעור יישאר בבית המדרש הישן עם המחנה המתנגד למוסר.</w:t>
      </w:r>
    </w:p>
    <w:p w14:paraId="7B393DDB" w14:textId="77777777" w:rsidR="00AB3647" w:rsidRDefault="00000000" w:rsidP="007923E9">
      <w:pPr>
        <w:spacing w:after="120" w:line="276" w:lineRule="auto"/>
        <w:ind w:firstLine="283"/>
        <w:jc w:val="both"/>
      </w:pPr>
      <w:r>
        <w:rPr>
          <w:rtl/>
        </w:rPr>
        <w:t xml:space="preserve">אני מוצא רמז לתיאוריה זו בכך שעוד לפני תחילת תרנ״ז, כשנפתחה השלוחה </w:t>
      </w:r>
      <w:proofErr w:type="spellStart"/>
      <w:r>
        <w:rPr>
          <w:rtl/>
        </w:rPr>
        <w:t>בסלוצק</w:t>
      </w:r>
      <w:proofErr w:type="spellEnd"/>
      <w:r>
        <w:rPr>
          <w:rtl/>
        </w:rPr>
        <w:t xml:space="preserve">, כבר הרגיש ר׳ </w:t>
      </w:r>
      <w:proofErr w:type="spellStart"/>
      <w:r>
        <w:rPr>
          <w:rtl/>
        </w:rPr>
        <w:t>איסר־זלמן</w:t>
      </w:r>
      <w:proofErr w:type="spellEnd"/>
      <w:r>
        <w:rPr>
          <w:rtl/>
        </w:rPr>
        <w:t xml:space="preserve"> שהוא וגיסו לא יוכלו להישאר שניהם באותו מוסד. השווה </w:t>
      </w:r>
      <w:proofErr w:type="spellStart"/>
      <w:r>
        <w:rPr>
          <w:rtl/>
        </w:rPr>
        <w:t>ידעאל</w:t>
      </w:r>
      <w:proofErr w:type="spellEnd"/>
      <w:r>
        <w:rPr>
          <w:rtl/>
        </w:rPr>
        <w:t xml:space="preserve"> מלצר, “בדרך עץ החיים”</w:t>
      </w:r>
      <w:bookmarkStart w:id="2988" w:name="_fnr2111"/>
      <w:r>
        <w:rPr>
          <w:rStyle w:val="a5"/>
        </w:rPr>
        <w:footnoteReference w:id="2117" w:customMarkFollows="0"/>
      </w:r>
      <w:bookmarkEnd w:id="2988"/>
      <w:r>
        <w:rPr>
          <w:rtl/>
        </w:rPr>
        <w:t xml:space="preserve">, ושים לב למשפט הראשון בדברים המצוטטים שם מפי ר׳ </w:t>
      </w:r>
      <w:proofErr w:type="spellStart"/>
      <w:r>
        <w:rPr>
          <w:rtl/>
        </w:rPr>
        <w:t>איסר־זלמן</w:t>
      </w:r>
      <w:proofErr w:type="spellEnd"/>
      <w:r>
        <w:rPr>
          <w:rtl/>
        </w:rPr>
        <w:t>: “עם חלוף הזמן ראיתי ש</w:t>
      </w:r>
      <w:r>
        <w:rPr>
          <w:b/>
          <w:bCs/>
          <w:rtl/>
        </w:rPr>
        <w:t>משרה זו אינה יכולה להיות לשנינו</w:t>
      </w:r>
      <w:r>
        <w:rPr>
          <w:rtl/>
        </w:rPr>
        <w:t xml:space="preserve"> (ההדגשה שלי), ולכן, כאשר הראה לי ר׳ </w:t>
      </w:r>
      <w:proofErr w:type="spellStart"/>
      <w:r>
        <w:rPr>
          <w:rtl/>
        </w:rPr>
        <w:t>נתן־צבי</w:t>
      </w:r>
      <w:proofErr w:type="spellEnd"/>
      <w:r>
        <w:rPr>
          <w:rtl/>
        </w:rPr>
        <w:t xml:space="preserve"> את מכתבו של רב </w:t>
      </w:r>
      <w:proofErr w:type="spellStart"/>
      <w:r>
        <w:rPr>
          <w:rtl/>
        </w:rPr>
        <w:t>סלוצק</w:t>
      </w:r>
      <w:proofErr w:type="spellEnd"/>
      <w:r>
        <w:rPr>
          <w:rtl/>
        </w:rPr>
        <w:t xml:space="preserve">, שבו ביקש ממנו לפתוח ישיבה </w:t>
      </w:r>
      <w:proofErr w:type="spellStart"/>
      <w:r>
        <w:rPr>
          <w:rtl/>
        </w:rPr>
        <w:t>בסלוצק</w:t>
      </w:r>
      <w:proofErr w:type="spellEnd"/>
      <w:r>
        <w:rPr>
          <w:rtl/>
        </w:rPr>
        <w:t xml:space="preserve">, אמרתי [לסבא </w:t>
      </w:r>
      <w:proofErr w:type="spellStart"/>
      <w:r>
        <w:rPr>
          <w:rtl/>
        </w:rPr>
        <w:t>מסלבודקה</w:t>
      </w:r>
      <w:proofErr w:type="spellEnd"/>
      <w:r>
        <w:rPr>
          <w:rtl/>
        </w:rPr>
        <w:t xml:space="preserve">] שאני מוכן לקבל עלי שליחות זו, מפני </w:t>
      </w:r>
      <w:proofErr w:type="spellStart"/>
      <w:r>
        <w:rPr>
          <w:rtl/>
        </w:rPr>
        <w:t>שלר</w:t>
      </w:r>
      <w:proofErr w:type="spellEnd"/>
      <w:r>
        <w:rPr>
          <w:rtl/>
        </w:rPr>
        <w:t xml:space="preserve">׳ </w:t>
      </w:r>
      <w:proofErr w:type="spellStart"/>
      <w:r>
        <w:rPr>
          <w:rtl/>
        </w:rPr>
        <w:t>משה־מרדכי</w:t>
      </w:r>
      <w:proofErr w:type="spellEnd"/>
      <w:r>
        <w:rPr>
          <w:rtl/>
        </w:rPr>
        <w:t xml:space="preserve"> כבר הייתה משפחה גדולה יותר, והמעבר </w:t>
      </w:r>
      <w:proofErr w:type="spellStart"/>
      <w:r>
        <w:rPr>
          <w:rtl/>
        </w:rPr>
        <w:t>לסלוצק</w:t>
      </w:r>
      <w:proofErr w:type="spellEnd"/>
      <w:r>
        <w:rPr>
          <w:rtl/>
        </w:rPr>
        <w:t xml:space="preserve"> יהיה קשה לו יותר </w:t>
      </w:r>
      <w:proofErr w:type="spellStart"/>
      <w:r>
        <w:rPr>
          <w:rtl/>
        </w:rPr>
        <w:t>משיהיה</w:t>
      </w:r>
      <w:proofErr w:type="spellEnd"/>
      <w:r>
        <w:rPr>
          <w:rtl/>
        </w:rPr>
        <w:t xml:space="preserve"> לי. אין לי ספק שאילו ביקשתי אז מהסבא </w:t>
      </w:r>
      <w:proofErr w:type="spellStart"/>
      <w:r>
        <w:rPr>
          <w:rtl/>
        </w:rPr>
        <w:t>מסלבודקה</w:t>
      </w:r>
      <w:proofErr w:type="spellEnd"/>
      <w:r>
        <w:rPr>
          <w:rtl/>
        </w:rPr>
        <w:t xml:space="preserve"> שאני אהיה זה שיישאר </w:t>
      </w:r>
      <w:proofErr w:type="spellStart"/>
      <w:r>
        <w:rPr>
          <w:rtl/>
        </w:rPr>
        <w:t>בסלבודקה</w:t>
      </w:r>
      <w:proofErr w:type="spellEnd"/>
      <w:r>
        <w:rPr>
          <w:rtl/>
        </w:rPr>
        <w:t xml:space="preserve"> [ור׳ </w:t>
      </w:r>
      <w:proofErr w:type="spellStart"/>
      <w:r>
        <w:rPr>
          <w:rtl/>
        </w:rPr>
        <w:t>משה־מרדכי</w:t>
      </w:r>
      <w:proofErr w:type="spellEnd"/>
      <w:r>
        <w:rPr>
          <w:rtl/>
        </w:rPr>
        <w:t xml:space="preserve"> יישלח </w:t>
      </w:r>
      <w:proofErr w:type="spellStart"/>
      <w:r>
        <w:rPr>
          <w:rtl/>
        </w:rPr>
        <w:t>לסלוצק</w:t>
      </w:r>
      <w:proofErr w:type="spellEnd"/>
      <w:r>
        <w:rPr>
          <w:rtl/>
        </w:rPr>
        <w:t>], היה רצוני מתמלא.”</w:t>
      </w:r>
      <w:bookmarkStart w:id="2989" w:name="_fnr2112"/>
      <w:r>
        <w:rPr>
          <w:rStyle w:val="a5"/>
        </w:rPr>
        <w:footnoteReference w:id="2118" w:customMarkFollows="0"/>
      </w:r>
      <w:bookmarkEnd w:id="2989"/>
    </w:p>
    <w:p w14:paraId="5E06EBB3" w14:textId="77777777" w:rsidR="00AB3647" w:rsidRDefault="00000000" w:rsidP="007923E9">
      <w:pPr>
        <w:pStyle w:val="4"/>
        <w:spacing w:line="276" w:lineRule="auto"/>
      </w:pPr>
      <w:r>
        <w:t>· הפסקה השלישית ·</w:t>
      </w:r>
    </w:p>
    <w:p w14:paraId="4A8D16A8" w14:textId="77777777" w:rsidR="00AB3647" w:rsidRDefault="00000000" w:rsidP="007923E9">
      <w:pPr>
        <w:pStyle w:val="5"/>
        <w:spacing w:line="276" w:lineRule="auto"/>
      </w:pPr>
      <w:r>
        <w:t xml:space="preserve">הסבא צופה פילוג בישיבת </w:t>
      </w:r>
      <w:proofErr w:type="spellStart"/>
      <w:r>
        <w:t>סלבודקה</w:t>
      </w:r>
      <w:proofErr w:type="spellEnd"/>
      <w:r>
        <w:t xml:space="preserve"> – הוא מעדיף שר׳ </w:t>
      </w:r>
      <w:proofErr w:type="spellStart"/>
      <w:r>
        <w:t>איסר־זלמן</w:t>
      </w:r>
      <w:proofErr w:type="spellEnd"/>
      <w:r>
        <w:t xml:space="preserve"> יעבור </w:t>
      </w:r>
      <w:proofErr w:type="spellStart"/>
      <w:r>
        <w:t>לסלוצק</w:t>
      </w:r>
      <w:proofErr w:type="spellEnd"/>
      <w:r>
        <w:t xml:space="preserve"> – הקמת </w:t>
      </w:r>
      <w:proofErr w:type="spellStart"/>
      <w:r>
        <w:t>סלוצק</w:t>
      </w:r>
      <w:proofErr w:type="spellEnd"/>
      <w:r>
        <w:t xml:space="preserve"> הופכת פרידה ידידותית למחלוקת מרה</w:t>
      </w:r>
    </w:p>
    <w:p w14:paraId="21AB02B3" w14:textId="77777777" w:rsidR="00AB3647" w:rsidRDefault="00000000" w:rsidP="007923E9">
      <w:pPr>
        <w:spacing w:after="120" w:line="276" w:lineRule="auto"/>
        <w:ind w:firstLine="283"/>
        <w:jc w:val="both"/>
      </w:pPr>
      <w:r>
        <w:rPr>
          <w:rtl/>
        </w:rPr>
        <w:t xml:space="preserve">המשמעות העולה מן המשפט </w:t>
      </w:r>
      <w:r>
        <w:rPr>
          <w:b/>
          <w:bCs/>
          <w:rtl/>
        </w:rPr>
        <w:t>השני</w:t>
      </w:r>
      <w:r>
        <w:rPr>
          <w:rtl/>
        </w:rPr>
        <w:t xml:space="preserve"> בדברים שלעיל – שהסבא היה מעביר את ר׳ </w:t>
      </w:r>
      <w:proofErr w:type="spellStart"/>
      <w:r>
        <w:rPr>
          <w:rtl/>
        </w:rPr>
        <w:t>משה־מרדכי</w:t>
      </w:r>
      <w:proofErr w:type="spellEnd"/>
      <w:r>
        <w:rPr>
          <w:rtl/>
        </w:rPr>
        <w:t xml:space="preserve"> אפשטיין </w:t>
      </w:r>
      <w:proofErr w:type="spellStart"/>
      <w:r>
        <w:rPr>
          <w:rtl/>
        </w:rPr>
        <w:t>לסלוצק</w:t>
      </w:r>
      <w:proofErr w:type="spellEnd"/>
      <w:r>
        <w:rPr>
          <w:rtl/>
        </w:rPr>
        <w:t xml:space="preserve"> במקום ר׳ </w:t>
      </w:r>
      <w:proofErr w:type="spellStart"/>
      <w:r>
        <w:rPr>
          <w:rtl/>
        </w:rPr>
        <w:t>איסר־זלמן</w:t>
      </w:r>
      <w:proofErr w:type="spellEnd"/>
      <w:r>
        <w:rPr>
          <w:rtl/>
        </w:rPr>
        <w:t xml:space="preserve"> מלצר אילו ביקש זאת האחרון – מתבארת בדברים נוספים של ר׳ </w:t>
      </w:r>
      <w:proofErr w:type="spellStart"/>
      <w:r>
        <w:rPr>
          <w:rtl/>
        </w:rPr>
        <w:t>איסר־זלמן</w:t>
      </w:r>
      <w:proofErr w:type="spellEnd"/>
      <w:r>
        <w:rPr>
          <w:rtl/>
        </w:rPr>
        <w:t>, המובאים שם</w:t>
      </w:r>
      <w:bookmarkStart w:id="2990" w:name="_fnr2113"/>
      <w:r>
        <w:rPr>
          <w:rStyle w:val="a5"/>
        </w:rPr>
        <w:footnoteReference w:id="2119" w:customMarkFollows="0"/>
      </w:r>
      <w:bookmarkEnd w:id="2990"/>
      <w:r>
        <w:rPr>
          <w:rtl/>
        </w:rPr>
        <w:t xml:space="preserve">: “נראה שהסבא </w:t>
      </w:r>
      <w:proofErr w:type="spellStart"/>
      <w:r>
        <w:rPr>
          <w:rtl/>
        </w:rPr>
        <w:t>מסלבודקה</w:t>
      </w:r>
      <w:proofErr w:type="spellEnd"/>
      <w:r>
        <w:rPr>
          <w:rtl/>
        </w:rPr>
        <w:t xml:space="preserve"> חש שמחלוקת מרה וקשה בין מצדדי תורת המוסר למתנגדיה עומדת להתרחש, ומאחר שידע שאני רך לבב, </w:t>
      </w:r>
      <w:r>
        <w:rPr>
          <w:rtl/>
        </w:rPr>
        <w:lastRenderedPageBreak/>
        <w:t xml:space="preserve">חשש שאהיה בישיבה בזמן המחלוקת. ר׳ </w:t>
      </w:r>
      <w:proofErr w:type="spellStart"/>
      <w:r>
        <w:rPr>
          <w:rtl/>
        </w:rPr>
        <w:t>משה־מרדכי</w:t>
      </w:r>
      <w:proofErr w:type="spellEnd"/>
      <w:r>
        <w:rPr>
          <w:rtl/>
        </w:rPr>
        <w:t xml:space="preserve"> היה בעל אופי חזק ותקיף, והסבא </w:t>
      </w:r>
      <w:proofErr w:type="spellStart"/>
      <w:r>
        <w:rPr>
          <w:rtl/>
        </w:rPr>
        <w:t>מסלבודקה</w:t>
      </w:r>
      <w:proofErr w:type="spellEnd"/>
      <w:r>
        <w:rPr>
          <w:rtl/>
        </w:rPr>
        <w:t xml:space="preserve"> כנראה היה מעוניין שיישאר בישיבה, כדי שיוכל לסייע בימי המחלוקת הקשה.”</w:t>
      </w:r>
    </w:p>
    <w:p w14:paraId="3893546F" w14:textId="77777777" w:rsidR="00AB3647" w:rsidRDefault="00000000" w:rsidP="007923E9">
      <w:pPr>
        <w:spacing w:after="120" w:line="276" w:lineRule="auto"/>
        <w:ind w:firstLine="283"/>
        <w:jc w:val="both"/>
      </w:pPr>
      <w:r>
        <w:rPr>
          <w:rtl/>
        </w:rPr>
        <w:t xml:space="preserve">הדבר מורה בבירור שהסבא הבהיר </w:t>
      </w:r>
      <w:proofErr w:type="spellStart"/>
      <w:r>
        <w:rPr>
          <w:rtl/>
        </w:rPr>
        <w:t>לר</w:t>
      </w:r>
      <w:proofErr w:type="spellEnd"/>
      <w:r>
        <w:rPr>
          <w:rtl/>
        </w:rPr>
        <w:t xml:space="preserve">׳ </w:t>
      </w:r>
      <w:proofErr w:type="spellStart"/>
      <w:r>
        <w:rPr>
          <w:rtl/>
        </w:rPr>
        <w:t>איסר־זלמן</w:t>
      </w:r>
      <w:proofErr w:type="spellEnd"/>
      <w:r>
        <w:rPr>
          <w:rtl/>
        </w:rPr>
        <w:t xml:space="preserve"> מלצר שמבין שני המועמדים למעבר </w:t>
      </w:r>
      <w:proofErr w:type="spellStart"/>
      <w:r>
        <w:rPr>
          <w:rtl/>
        </w:rPr>
        <w:t>לסלוצק</w:t>
      </w:r>
      <w:proofErr w:type="spellEnd"/>
      <w:r>
        <w:rPr>
          <w:rtl/>
        </w:rPr>
        <w:t xml:space="preserve"> בחר בו, ולא בר׳ </w:t>
      </w:r>
      <w:proofErr w:type="spellStart"/>
      <w:r>
        <w:rPr>
          <w:rtl/>
        </w:rPr>
        <w:t>משה־מרדכי</w:t>
      </w:r>
      <w:proofErr w:type="spellEnd"/>
      <w:r>
        <w:rPr>
          <w:rtl/>
        </w:rPr>
        <w:t xml:space="preserve"> אפשטיין; ורק אילו עמד ר׳ </w:t>
      </w:r>
      <w:proofErr w:type="spellStart"/>
      <w:r>
        <w:rPr>
          <w:rtl/>
        </w:rPr>
        <w:t>איסר־זלמן</w:t>
      </w:r>
      <w:proofErr w:type="spellEnd"/>
      <w:r>
        <w:rPr>
          <w:rtl/>
        </w:rPr>
        <w:t xml:space="preserve"> על דעתו, היה הסבא מסכים להשאיר אותו </w:t>
      </w:r>
      <w:proofErr w:type="spellStart"/>
      <w:r>
        <w:rPr>
          <w:rtl/>
        </w:rPr>
        <w:t>בסלבודקה</w:t>
      </w:r>
      <w:proofErr w:type="spellEnd"/>
      <w:r>
        <w:rPr>
          <w:rtl/>
        </w:rPr>
        <w:t xml:space="preserve"> ולשלוח במקומו את ר׳ </w:t>
      </w:r>
      <w:proofErr w:type="spellStart"/>
      <w:r>
        <w:rPr>
          <w:rtl/>
        </w:rPr>
        <w:t>משה־מרדכי</w:t>
      </w:r>
      <w:proofErr w:type="spellEnd"/>
      <w:r>
        <w:rPr>
          <w:rtl/>
        </w:rPr>
        <w:t>.</w:t>
      </w:r>
    </w:p>
    <w:p w14:paraId="071B0423" w14:textId="77777777" w:rsidR="00AB3647" w:rsidRDefault="00000000" w:rsidP="007923E9">
      <w:pPr>
        <w:spacing w:after="120" w:line="276" w:lineRule="auto"/>
        <w:ind w:firstLine="283"/>
        <w:jc w:val="both"/>
      </w:pPr>
      <w:r>
        <w:rPr>
          <w:rtl/>
        </w:rPr>
        <w:t xml:space="preserve">גם אבי ציין שהסבא רצה שדווקא ר׳ </w:t>
      </w:r>
      <w:proofErr w:type="spellStart"/>
      <w:r>
        <w:rPr>
          <w:rtl/>
        </w:rPr>
        <w:t>איסר־זלמן</w:t>
      </w:r>
      <w:proofErr w:type="spellEnd"/>
      <w:r>
        <w:rPr>
          <w:rtl/>
        </w:rPr>
        <w:t xml:space="preserve"> מלצר יעבור </w:t>
      </w:r>
      <w:proofErr w:type="spellStart"/>
      <w:r>
        <w:rPr>
          <w:rtl/>
        </w:rPr>
        <w:t>לסלוצק</w:t>
      </w:r>
      <w:proofErr w:type="spellEnd"/>
      <w:r>
        <w:rPr>
          <w:rtl/>
        </w:rPr>
        <w:t xml:space="preserve">, מסיבה הקשורה </w:t>
      </w:r>
      <w:proofErr w:type="spellStart"/>
      <w:r>
        <w:rPr>
          <w:rtl/>
        </w:rPr>
        <w:t>ב“הבדל</w:t>
      </w:r>
      <w:proofErr w:type="spellEnd"/>
      <w:r>
        <w:rPr>
          <w:rtl/>
        </w:rPr>
        <w:t xml:space="preserve"> באופי בין שני הגיסים”, אבל לא פירט מה היה ההבדל. ר׳ ישראל </w:t>
      </w:r>
      <w:proofErr w:type="spellStart"/>
      <w:r>
        <w:rPr>
          <w:rtl/>
        </w:rPr>
        <w:t>שורין</w:t>
      </w:r>
      <w:proofErr w:type="spellEnd"/>
      <w:r>
        <w:rPr>
          <w:rtl/>
        </w:rPr>
        <w:t>, חתנו המבוגר של רבנו, חזר וסיפר</w:t>
      </w:r>
      <w:bookmarkStart w:id="2991" w:name="_fnr2114"/>
      <w:r>
        <w:rPr>
          <w:rStyle w:val="a5"/>
        </w:rPr>
        <w:footnoteReference w:id="2120" w:customMarkFollows="0"/>
      </w:r>
      <w:bookmarkEnd w:id="2991"/>
      <w:r>
        <w:rPr>
          <w:rtl/>
        </w:rPr>
        <w:t xml:space="preserve"> שיחה מעניינת שהייתה לו עם חותנו. ר׳ ישראל </w:t>
      </w:r>
      <w:proofErr w:type="spellStart"/>
      <w:r>
        <w:rPr>
          <w:rtl/>
        </w:rPr>
        <w:t>שורין</w:t>
      </w:r>
      <w:proofErr w:type="spellEnd"/>
      <w:r>
        <w:rPr>
          <w:rtl/>
        </w:rPr>
        <w:t xml:space="preserve"> ביקר פעמים רבות בבית ר׳ </w:t>
      </w:r>
      <w:proofErr w:type="spellStart"/>
      <w:r>
        <w:rPr>
          <w:rtl/>
        </w:rPr>
        <w:t>איסר־זלמן</w:t>
      </w:r>
      <w:proofErr w:type="spellEnd"/>
      <w:r>
        <w:rPr>
          <w:rtl/>
        </w:rPr>
        <w:t xml:space="preserve"> באמצע שנות </w:t>
      </w:r>
      <w:proofErr w:type="spellStart"/>
      <w:r>
        <w:rPr>
          <w:rtl/>
        </w:rPr>
        <w:t xml:space="preserve">התר״צ</w:t>
      </w:r>
      <w:proofErr w:type="spellEnd"/>
      <w:r>
        <w:rPr>
          <w:rtl/>
        </w:rPr>
        <w:t xml:space="preserve">, וקיבל ממנו סמיכה.</w:t>
      </w:r>
    </w:p>
    <w:p w14:paraId="327A7614"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העלה את הסברה שהסבא חשש שאישיותו הנעימה של ר׳ </w:t>
      </w:r>
      <w:proofErr w:type="spellStart"/>
      <w:r>
        <w:rPr>
          <w:rtl/>
        </w:rPr>
        <w:t>איסר־זלמן</w:t>
      </w:r>
      <w:proofErr w:type="spellEnd"/>
      <w:r>
        <w:rPr>
          <w:rtl/>
        </w:rPr>
        <w:t xml:space="preserve"> תמשוך כל כך את התלמידים, עד שהשפעתו שלו עליהם תצטמצם. הסבא </w:t>
      </w:r>
      <w:proofErr w:type="spellStart"/>
      <w:r>
        <w:rPr>
          <w:rtl/>
        </w:rPr>
        <w:t>מסלבודקה</w:t>
      </w:r>
      <w:proofErr w:type="spellEnd"/>
      <w:r>
        <w:rPr>
          <w:rtl/>
        </w:rPr>
        <w:t xml:space="preserve"> חש ש</w:t>
      </w:r>
      <w:r>
        <w:rPr>
          <w:b/>
          <w:bCs/>
          <w:rtl/>
        </w:rPr>
        <w:t>שליטתו שלו</w:t>
      </w:r>
      <w:r>
        <w:rPr>
          <w:rtl/>
        </w:rPr>
        <w:t xml:space="preserve"> חיונית להצלת עולם התורה ממה שנראה בעיניו דרך של התאבדות – דחיית המוסר. אבי הרהר בהצעה לרגע והשיב: “כך אתה חושב? לא ייתכן [שהסבא יעשה דבר כזה]!” אבל בשנים מאוחרות יותר, כשהציע ר׳ ישראל </w:t>
      </w:r>
      <w:proofErr w:type="spellStart"/>
      <w:r>
        <w:rPr>
          <w:rtl/>
        </w:rPr>
        <w:t>שורין</w:t>
      </w:r>
      <w:proofErr w:type="spellEnd"/>
      <w:r>
        <w:rPr>
          <w:rtl/>
        </w:rPr>
        <w:t xml:space="preserve"> הסבר זה </w:t>
      </w:r>
      <w:proofErr w:type="spellStart"/>
      <w:r>
        <w:rPr>
          <w:rtl/>
        </w:rPr>
        <w:t>לר</w:t>
      </w:r>
      <w:proofErr w:type="spellEnd"/>
      <w:r>
        <w:rPr>
          <w:rtl/>
        </w:rPr>
        <w:t xml:space="preserve">׳ חיים </w:t>
      </w:r>
      <w:proofErr w:type="spellStart"/>
      <w:r>
        <w:rPr>
          <w:rtl/>
        </w:rPr>
        <w:t>סרנא</w:t>
      </w:r>
      <w:proofErr w:type="spellEnd"/>
      <w:r>
        <w:rPr>
          <w:rtl/>
        </w:rPr>
        <w:t xml:space="preserve">, אמר האחרון: “הרעיון שלך אינו חדש. אבי” – ר׳ </w:t>
      </w:r>
      <w:proofErr w:type="spellStart"/>
      <w:r>
        <w:rPr>
          <w:rtl/>
        </w:rPr>
        <w:t>חצקל</w:t>
      </w:r>
      <w:proofErr w:type="spellEnd"/>
      <w:r>
        <w:rPr>
          <w:rtl/>
        </w:rPr>
        <w:t xml:space="preserve"> </w:t>
      </w:r>
      <w:proofErr w:type="spellStart"/>
      <w:r>
        <w:rPr>
          <w:rtl/>
        </w:rPr>
        <w:t>סרנא</w:t>
      </w:r>
      <w:proofErr w:type="spellEnd"/>
      <w:r>
        <w:rPr>
          <w:rtl/>
        </w:rPr>
        <w:t>, שהיה מתלמידי הסבא וכנראה קרוב אליו יותר מרבנו – “תמיד סבר כך.”</w:t>
      </w:r>
    </w:p>
    <w:p w14:paraId="1F109C0F" w14:textId="77777777" w:rsidR="00AB3647" w:rsidRDefault="00000000" w:rsidP="007923E9">
      <w:pPr>
        <w:spacing w:after="120" w:line="276" w:lineRule="auto"/>
        <w:ind w:firstLine="283"/>
        <w:jc w:val="both"/>
      </w:pPr>
      <w:r>
        <w:rPr>
          <w:rtl/>
        </w:rPr>
        <w:t xml:space="preserve">דעתו של אבי על כוונת הסבא מתאמתת אם נכונה טענת “לב איברא” – ראה הפסקה הקודמת – שישיבת </w:t>
      </w:r>
      <w:proofErr w:type="spellStart"/>
      <w:r>
        <w:rPr>
          <w:rtl/>
        </w:rPr>
        <w:t>סלוצק</w:t>
      </w:r>
      <w:proofErr w:type="spellEnd"/>
      <w:r>
        <w:rPr>
          <w:rtl/>
        </w:rPr>
        <w:t xml:space="preserve"> הוכנה כמקום מקלט </w:t>
      </w:r>
      <w:r>
        <w:rPr>
          <w:b/>
          <w:bCs/>
          <w:rtl/>
        </w:rPr>
        <w:t>לכל ישיבת הסבא</w:t>
      </w:r>
      <w:r>
        <w:rPr>
          <w:rtl/>
        </w:rPr>
        <w:t xml:space="preserve">. בניגוד להשערתם של ר׳ ישראל </w:t>
      </w:r>
      <w:proofErr w:type="spellStart"/>
      <w:r>
        <w:rPr>
          <w:rtl/>
        </w:rPr>
        <w:t>שורין</w:t>
      </w:r>
      <w:proofErr w:type="spellEnd"/>
      <w:r>
        <w:rPr>
          <w:rtl/>
        </w:rPr>
        <w:t xml:space="preserve"> ור׳ חיים </w:t>
      </w:r>
      <w:proofErr w:type="spellStart"/>
      <w:r>
        <w:rPr>
          <w:rtl/>
        </w:rPr>
        <w:t>סרנא</w:t>
      </w:r>
      <w:proofErr w:type="spellEnd"/>
      <w:r>
        <w:rPr>
          <w:rtl/>
        </w:rPr>
        <w:t xml:space="preserve">, הסבא לא הגלה את ר׳ </w:t>
      </w:r>
      <w:proofErr w:type="spellStart"/>
      <w:r>
        <w:rPr>
          <w:rtl/>
        </w:rPr>
        <w:t>איסר־זלמן</w:t>
      </w:r>
      <w:proofErr w:type="spellEnd"/>
      <w:r>
        <w:rPr>
          <w:rtl/>
        </w:rPr>
        <w:t xml:space="preserve"> מלצר. דווקא בשל תכונותיו המושכות העדיף אותו על פני ר׳ </w:t>
      </w:r>
      <w:proofErr w:type="spellStart"/>
      <w:r>
        <w:rPr>
          <w:rtl/>
        </w:rPr>
        <w:t>משה־מרדכי</w:t>
      </w:r>
      <w:proofErr w:type="spellEnd"/>
      <w:r>
        <w:rPr>
          <w:rtl/>
        </w:rPr>
        <w:t xml:space="preserve"> אפשטיין</w:t>
      </w:r>
      <w:bookmarkStart w:id="2992" w:name="_fnr2115"/>
      <w:r>
        <w:rPr>
          <w:rStyle w:val="a5"/>
        </w:rPr>
        <w:footnoteReference w:id="2121" w:customMarkFollows="0"/>
      </w:r>
      <w:bookmarkEnd w:id="2992"/>
      <w:r>
        <w:rPr>
          <w:rtl/>
        </w:rPr>
        <w:t xml:space="preserve"> להנהגת הישיבה לאחר העתקתה למקומה החדש.</w:t>
      </w:r>
    </w:p>
    <w:p w14:paraId="5B3FA72A" w14:textId="77777777" w:rsidR="00AB3647" w:rsidRDefault="00000000" w:rsidP="007923E9">
      <w:pPr>
        <w:spacing w:after="120" w:line="276" w:lineRule="auto"/>
        <w:ind w:firstLine="283"/>
        <w:jc w:val="both"/>
      </w:pPr>
      <w:r>
        <w:rPr>
          <w:rtl/>
        </w:rPr>
        <w:t xml:space="preserve">אשר לסברתו של ר׳ </w:t>
      </w:r>
      <w:proofErr w:type="spellStart"/>
      <w:r>
        <w:rPr>
          <w:rtl/>
        </w:rPr>
        <w:t>איסר־זלמן</w:t>
      </w:r>
      <w:proofErr w:type="spellEnd"/>
      <w:r>
        <w:rPr>
          <w:rtl/>
        </w:rPr>
        <w:t xml:space="preserve"> מלצר שהסבא </w:t>
      </w:r>
      <w:proofErr w:type="spellStart"/>
      <w:r>
        <w:rPr>
          <w:rtl/>
        </w:rPr>
        <w:t>מסלבודקה</w:t>
      </w:r>
      <w:proofErr w:type="spellEnd"/>
      <w:r>
        <w:rPr>
          <w:rtl/>
        </w:rPr>
        <w:t xml:space="preserve"> צפה “מחלוקת מרה וקשה... העומדת להתרחש”: ייתכן שהסבא צפה פילוג קרוב, אבל בדרך של פרידה ידידותית בין מחנות המצדדים במוסר והמתנגדים לו; ואילו “המחלוקת המרה והקשה” שהתפתחה כשחל הפילוג בפועל נולדה </w:t>
      </w:r>
      <w:r>
        <w:rPr>
          <w:b/>
          <w:bCs/>
          <w:rtl/>
        </w:rPr>
        <w:t xml:space="preserve">כתוצאה בלתי צפויה של הקמת השלוחה </w:t>
      </w:r>
      <w:proofErr w:type="spellStart"/>
      <w:r>
        <w:rPr>
          <w:b/>
          <w:bCs/>
          <w:rtl/>
        </w:rPr>
        <w:t>בסלוצק</w:t>
      </w:r>
      <w:proofErr w:type="spellEnd"/>
      <w:r>
        <w:rPr>
          <w:rtl/>
        </w:rPr>
        <w:t xml:space="preserve"> – כמבואר בפסקה הראשונה של נספח זה. השווה גם </w:t>
      </w:r>
      <w:proofErr w:type="spellStart"/>
      <w:r>
        <w:rPr>
          <w:rtl/>
        </w:rPr>
        <w:t>דבורץ</w:t>
      </w:r>
      <w:proofErr w:type="spellEnd"/>
      <w:r>
        <w:rPr>
          <w:rtl/>
        </w:rPr>
        <w:t>, “הגאון רבי משה מרדכי אפשטיין”</w:t>
      </w:r>
      <w:bookmarkStart w:id="2993" w:name="_fnr2116"/>
      <w:r>
        <w:rPr>
          <w:rStyle w:val="a5"/>
        </w:rPr>
        <w:footnoteReference w:id="2122" w:customMarkFollows="0"/>
      </w:r>
      <w:bookmarkEnd w:id="2993"/>
      <w:r>
        <w:rPr>
          <w:rtl/>
        </w:rPr>
        <w:t xml:space="preserve">, הטוען שכמה מן התלמידים החשובים </w:t>
      </w:r>
      <w:proofErr w:type="spellStart"/>
      <w:r>
        <w:rPr>
          <w:rtl/>
        </w:rPr>
        <w:t>בסלבודקה</w:t>
      </w:r>
      <w:proofErr w:type="spellEnd"/>
      <w:r>
        <w:rPr>
          <w:rtl/>
        </w:rPr>
        <w:t xml:space="preserve"> קינאו בחבריהם שנבחרו ללכת עם ר׳ </w:t>
      </w:r>
      <w:proofErr w:type="spellStart"/>
      <w:r>
        <w:rPr>
          <w:rtl/>
        </w:rPr>
        <w:t>איסר־זלמן</w:t>
      </w:r>
      <w:proofErr w:type="spellEnd"/>
      <w:r>
        <w:rPr>
          <w:rtl/>
        </w:rPr>
        <w:t xml:space="preserve">, </w:t>
      </w:r>
      <w:r>
        <w:rPr>
          <w:b/>
          <w:bCs/>
          <w:rtl/>
        </w:rPr>
        <w:t>ומתוך כך</w:t>
      </w:r>
      <w:r>
        <w:rPr>
          <w:rtl/>
        </w:rPr>
        <w:t xml:space="preserve"> החלו למצוא דופי בהנהלת הישיבה, ובכך תרמו לאווירה המתנגדת למוסר.</w:t>
      </w:r>
    </w:p>
    <w:bookmarkStart w:id="2994" w:name="b3_excP"/>
    <w:p w14:paraId="33FCED8B" w14:textId="77777777" w:rsidR="00AB3647" w:rsidRDefault="00000000" w:rsidP="007923E9">
      <w:pPr>
        <w:pStyle w:val="3"/>
        <w:spacing w:line="276" w:lineRule="auto"/>
      </w:pPr>
      <w:r>
        <w:lastRenderedPageBreak/>
        <w:fldChar w:fldCharType="begin" w:dirty="true"/>
      </w:r>
      <w:r>
        <w:rPr>
          <w:rtl w:val="0"/>
        </w:rPr>
        <w:instrText>HYPERLINK \l "b3_note45</w:instrText>
      </w:r>
      <w:r>
        <w:instrText>"</w:instrText>
      </w:r>
      <w:r>
        <w:fldChar w:fldCharType="separate"/>
      </w:r>
      <w:r>
        <w:t xml:space="preserve">נספח </w:t>
      </w:r>
      <w:proofErr w:type="spellStart"/>
      <w:r>
        <w:t>טז</w:t>
      </w:r>
      <w:proofErr w:type="spellEnd"/>
      <w:r>
        <w:fldChar w:fldCharType="end"/>
      </w:r>
      <w:bookmarkEnd w:id="2994"/>
    </w:p>
    <w:p w14:paraId="0931CDEF" w14:textId="77777777" w:rsidR="00AB3647" w:rsidRDefault="00000000" w:rsidP="007923E9">
      <w:pPr>
        <w:pStyle w:val="af"/>
        <w:spacing w:line="276" w:lineRule="auto"/>
      </w:pPr>
      <w:r>
        <w:t xml:space="preserve">על הזיקה בין השמות שניתנו לשני חלקיה של ישיבת </w:t>
      </w:r>
      <w:proofErr w:type="spellStart"/>
      <w:r>
        <w:t>סלבודקה</w:t>
      </w:r>
      <w:proofErr w:type="spellEnd"/>
      <w:r>
        <w:t xml:space="preserve"> שהתפלגה, ובין שמותיהם של ישיבת רבנו יצחק אלחנן בניו יורק ושל ישיבת נר ישראל בבולטימור</w:t>
      </w:r>
    </w:p>
    <w:p w14:paraId="56B5F488" w14:textId="77777777" w:rsidR="00AB3647" w:rsidRDefault="00000000" w:rsidP="007923E9">
      <w:pPr>
        <w:pStyle w:val="4"/>
        <w:spacing w:line="276" w:lineRule="auto"/>
      </w:pPr>
      <w:r>
        <w:t>· הפסקה הראשונה ·</w:t>
      </w:r>
    </w:p>
    <w:p w14:paraId="1D72F3C7" w14:textId="77777777" w:rsidR="00AB3647" w:rsidRDefault="00000000" w:rsidP="007923E9">
      <w:pPr>
        <w:pStyle w:val="5"/>
        <w:spacing w:line="276" w:lineRule="auto"/>
      </w:pPr>
      <w:r>
        <w:t xml:space="preserve">ישיבות </w:t>
      </w:r>
      <w:proofErr w:type="spellStart"/>
      <w:r>
        <w:t>סלבודקה</w:t>
      </w:r>
      <w:proofErr w:type="spellEnd"/>
      <w:r>
        <w:t xml:space="preserve"> נקראות על שם מי שנתפסו כיריבים – המתנגדים למוסר טוענים שתורת ר׳ ישראל משתנה – אנשי המוסר נוטרים איבה </w:t>
      </w:r>
      <w:proofErr w:type="spellStart"/>
      <w:r>
        <w:t>לר</w:t>
      </w:r>
      <w:proofErr w:type="spellEnd"/>
      <w:r>
        <w:t>׳ יעקב הלוי ליפשיץ</w:t>
      </w:r>
    </w:p>
    <w:p w14:paraId="5DFEE21F" w14:textId="77777777" w:rsidR="00AB3647" w:rsidRDefault="00000000" w:rsidP="007923E9">
      <w:pPr>
        <w:spacing w:after="120" w:line="276" w:lineRule="auto"/>
        <w:ind w:firstLine="283"/>
        <w:jc w:val="both"/>
      </w:pPr>
      <w:r>
        <w:rPr>
          <w:rtl/>
        </w:rPr>
        <w:t xml:space="preserve">הישיבה הישנה אימצה את שמו של רב קובנה, שנחשב לרב המוביל בליטא ונפטר זמן קצר קודם לכן, כדי לרמוז להתנגדות למוסר שאחזו בה גדולי התורה של הדור הקודם, ובהם ר׳ </w:t>
      </w:r>
      <w:proofErr w:type="spellStart"/>
      <w:r>
        <w:rPr>
          <w:rtl/>
        </w:rPr>
        <w:t>יצחק־אלחנן</w:t>
      </w:r>
      <w:bookmarkStart w:id="2995" w:name="_fnr2117"/>
      <w:proofErr w:type="spellEnd"/>
      <w:r>
        <w:rPr>
          <w:rStyle w:val="a5"/>
        </w:rPr>
        <w:footnoteReference w:id="2123" w:customMarkFollows="0"/>
      </w:r>
      <w:bookmarkEnd w:id="2995"/>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נתפס כמתנגד למוסר, אף שבאיגרתו “עלבונה של תורה”</w:t>
      </w:r>
      <w:bookmarkStart w:id="2996" w:name="_fnr2118"/>
      <w:r>
        <w:rPr>
          <w:rStyle w:val="a5"/>
        </w:rPr>
        <w:footnoteReference w:id="2124" w:customMarkFollows="0"/>
      </w:r>
      <w:bookmarkEnd w:id="2996"/>
      <w:r>
        <w:rPr>
          <w:rtl/>
        </w:rPr>
        <w:t xml:space="preserve"> הגן בלהט על ר׳ </w:t>
      </w:r>
      <w:proofErr w:type="spellStart"/>
      <w:r>
        <w:rPr>
          <w:rtl/>
        </w:rPr>
        <w:t>איצל׳ה</w:t>
      </w:r>
      <w:proofErr w:type="spellEnd"/>
      <w:r>
        <w:rPr>
          <w:rtl/>
        </w:rPr>
        <w:t xml:space="preserve"> </w:t>
      </w:r>
      <w:proofErr w:type="spellStart"/>
      <w:r>
        <w:rPr>
          <w:rtl/>
        </w:rPr>
        <w:t>פטרבורגר</w:t>
      </w:r>
      <w:proofErr w:type="spellEnd"/>
      <w:r>
        <w:rPr>
          <w:rtl/>
        </w:rPr>
        <w:t xml:space="preserve"> מפני האשמות במרמה ובצביעות (מצד חוגים הקרובים למשכילים), ואף שכשנקרא ר׳ ישראל </w:t>
      </w:r>
      <w:proofErr w:type="spellStart"/>
      <w:r>
        <w:rPr>
          <w:rtl/>
        </w:rPr>
        <w:t>סלנטר</w:t>
      </w:r>
      <w:proofErr w:type="spellEnd"/>
      <w:r>
        <w:rPr>
          <w:rtl/>
        </w:rPr>
        <w:t xml:space="preserve"> לקובנה בשנת תרכ״ד והוצעה לו רבנות העיר, הוא שייעץ לעיר לקבל במקומו את ר׳ </w:t>
      </w:r>
      <w:proofErr w:type="spellStart"/>
      <w:r>
        <w:rPr>
          <w:rtl/>
        </w:rPr>
        <w:t>יצחק־אלחנן</w:t>
      </w:r>
      <w:proofErr w:type="spellEnd"/>
      <w:r>
        <w:rPr>
          <w:rtl/>
        </w:rPr>
        <w:t xml:space="preserve"> </w:t>
      </w:r>
      <w:proofErr w:type="spellStart"/>
      <w:r>
        <w:rPr>
          <w:rtl/>
        </w:rPr>
        <w:t>מנובהרדוק</w:t>
      </w:r>
      <w:proofErr w:type="spellEnd"/>
      <w:r>
        <w:rPr>
          <w:rtl/>
        </w:rPr>
        <w:t>.</w:t>
      </w:r>
    </w:p>
    <w:p w14:paraId="1635AE62" w14:textId="77777777" w:rsidR="00AB3647" w:rsidRDefault="00000000" w:rsidP="007923E9">
      <w:pPr>
        <w:spacing w:after="120" w:line="276" w:lineRule="auto"/>
        <w:ind w:firstLine="283"/>
        <w:jc w:val="both"/>
      </w:pPr>
      <w:r>
        <w:rPr>
          <w:rtl/>
        </w:rPr>
        <w:t xml:space="preserve">בדומה לכך, הבחירה לקרוא את ישיבת המוסר החדשה על שמו של מייסד תנועת המוסר, המנוח והנערץ מאוד, נועדה להורות שתורתו של רבם לא השתבשה בידי תלמידיו – בניגוד לטענות מתנגדי המוסר כבר </w:t>
      </w:r>
      <w:proofErr w:type="spellStart"/>
      <w:r>
        <w:rPr>
          <w:rtl/>
        </w:rPr>
        <w:t>מתרמ״ג</w:t>
      </w:r>
      <w:proofErr w:type="spellEnd"/>
      <w:r>
        <w:rPr>
          <w:rtl/>
        </w:rPr>
        <w:t xml:space="preserve">, שנת פטירתו של ר׳ ישראל </w:t>
      </w:r>
      <w:proofErr w:type="spellStart"/>
      <w:r>
        <w:rPr>
          <w:rtl/>
        </w:rPr>
        <w:t>סלנטר</w:t>
      </w:r>
      <w:proofErr w:type="spellEnd"/>
      <w:r>
        <w:rPr>
          <w:rtl/>
        </w:rPr>
        <w:t>.</w:t>
      </w:r>
      <w:bookmarkStart w:id="2997" w:name="_fnr2119"/>
      <w:r>
        <w:rPr>
          <w:rStyle w:val="a5"/>
        </w:rPr>
        <w:footnoteReference w:id="2125" w:customMarkFollows="0"/>
      </w:r>
      <w:bookmarkEnd w:id="2997"/>
    </w:p>
    <w:p w14:paraId="246FA764" w14:textId="77777777" w:rsidR="00AB3647" w:rsidRDefault="00000000" w:rsidP="007923E9">
      <w:pPr>
        <w:spacing w:after="120" w:line="276" w:lineRule="auto"/>
        <w:ind w:firstLine="283"/>
        <w:jc w:val="both"/>
      </w:pPr>
      <w:r>
        <w:rPr>
          <w:rtl/>
        </w:rPr>
        <w:t>ר׳ יעקב הלוי ליפשיץ</w:t>
      </w:r>
      <w:bookmarkStart w:id="2998" w:name="_fnr2120"/>
      <w:r>
        <w:rPr>
          <w:rStyle w:val="a5"/>
        </w:rPr>
        <w:footnoteReference w:id="2126" w:customMarkFollows="0"/>
      </w:r>
      <w:bookmarkEnd w:id="2998"/>
      <w:r>
        <w:rPr>
          <w:rtl/>
        </w:rPr>
        <w:t xml:space="preserve"> מבטא טענה זו נגד המוסר בכרך השלישי של “</w:t>
      </w:r>
      <w:proofErr w:type="spellStart"/>
      <w:r>
        <w:rPr>
          <w:rtl/>
        </w:rPr>
        <w:t>זכרון</w:t>
      </w:r>
      <w:proofErr w:type="spellEnd"/>
      <w:r>
        <w:rPr>
          <w:rtl/>
        </w:rPr>
        <w:t xml:space="preserve"> יעקב”,</w:t>
      </w:r>
      <w:bookmarkStart w:id="2999" w:name="_fnr2121"/>
      <w:r>
        <w:rPr>
          <w:rStyle w:val="a5"/>
        </w:rPr>
        <w:footnoteReference w:id="2127" w:customMarkFollows="0"/>
      </w:r>
      <w:bookmarkEnd w:id="2999"/>
      <w:r>
        <w:rPr>
          <w:rtl/>
        </w:rPr>
        <w:t xml:space="preserve"> כך: “רוב[!] גדולי דורו [של ר׳ ישראל </w:t>
      </w:r>
      <w:proofErr w:type="spellStart"/>
      <w:r>
        <w:rPr>
          <w:rtl/>
        </w:rPr>
        <w:t>סלנטר</w:t>
      </w:r>
      <w:proofErr w:type="spellEnd"/>
      <w:r>
        <w:rPr>
          <w:rtl/>
        </w:rPr>
        <w:t>], אף שהכירו היטב בגדלותו בתורה, בצדקתו העצומה ובכוונתו הטובה, חששו שתורה זו של המוסר, בלהט התלהבותה, עלולה לגרום לפירוד מסוים. במיוחד חששו ש</w:t>
      </w:r>
      <w:r>
        <w:rPr>
          <w:b/>
          <w:bCs/>
          <w:rtl/>
        </w:rPr>
        <w:t>הדורות הבאים, תלמידי תלמידיו של ר׳ ישראל</w:t>
      </w:r>
      <w:r>
        <w:rPr>
          <w:rtl/>
        </w:rPr>
        <w:t xml:space="preserve"> (ההדגשה שלי), לא יראו את האספקלריא המאירה של אותו גאון וצדיק ולא ירדו לעומק דעתו וכוונתו. הם עלולים לשבש את תורתו וליצור סיעה חדשה, שתמעיט ברבות הזמן בחשיבות העיקרית של העלייה במעלות התורה, שהיא העיקר הנצחי.”</w:t>
      </w:r>
    </w:p>
    <w:p w14:paraId="6A756D3C" w14:textId="77777777" w:rsidR="00AB3647" w:rsidRDefault="00000000" w:rsidP="007923E9">
      <w:pPr>
        <w:spacing w:after="120" w:line="276" w:lineRule="auto"/>
        <w:ind w:firstLine="283"/>
        <w:jc w:val="both"/>
      </w:pPr>
      <w:r>
        <w:rPr>
          <w:rtl/>
        </w:rPr>
        <w:t xml:space="preserve">ר׳ יעקב הלוי ליפשיץ כתב דברים אלו בשעה </w:t>
      </w:r>
      <w:proofErr w:type="spellStart"/>
      <w:r>
        <w:rPr>
          <w:rtl/>
        </w:rPr>
        <w:t>ש“תלמידי</w:t>
      </w:r>
      <w:proofErr w:type="spellEnd"/>
      <w:r>
        <w:rPr>
          <w:rtl/>
        </w:rPr>
        <w:t xml:space="preserve"> תלמידיו” של ר׳ ישראל – כגון הסבא </w:t>
      </w:r>
      <w:proofErr w:type="spellStart"/>
      <w:r>
        <w:rPr>
          <w:rtl/>
        </w:rPr>
        <w:t>מסלבודקה</w:t>
      </w:r>
      <w:proofErr w:type="spellEnd"/>
      <w:r>
        <w:rPr>
          <w:rtl/>
        </w:rPr>
        <w:t xml:space="preserve"> – כבר פעלו זה עשרות שנים. אם כן רמז בבירור שלדעתו אכן סטו מכוונתו האמיתית של מייסד תנועתם.</w:t>
      </w:r>
    </w:p>
    <w:p w14:paraId="35EC82B2" w14:textId="77777777" w:rsidR="00AB3647" w:rsidRDefault="00000000" w:rsidP="007923E9">
      <w:pPr>
        <w:spacing w:after="120" w:line="276" w:lineRule="auto"/>
        <w:ind w:firstLine="283"/>
        <w:jc w:val="both"/>
      </w:pPr>
      <w:r>
        <w:rPr>
          <w:rtl/>
        </w:rPr>
        <w:t>ר׳ יעקב הלוי ליפשיץ נפטר בערב ראש השנה תרפ״ב, וכתביו נדפסו אחרי פטירתו בידי בנו ר׳ נטע. הכרך השלישי של “</w:t>
      </w:r>
      <w:proofErr w:type="spellStart"/>
      <w:r>
        <w:rPr>
          <w:rtl/>
        </w:rPr>
        <w:t>זכרון</w:t>
      </w:r>
      <w:proofErr w:type="spellEnd"/>
      <w:r>
        <w:rPr>
          <w:rtl/>
        </w:rPr>
        <w:t xml:space="preserve"> יעקב” נדפס </w:t>
      </w:r>
      <w:proofErr w:type="spellStart"/>
      <w:r>
        <w:rPr>
          <w:rtl/>
        </w:rPr>
        <w:t>בתר״ץ</w:t>
      </w:r>
      <w:proofErr w:type="spellEnd"/>
      <w:r>
        <w:rPr>
          <w:rtl/>
        </w:rPr>
        <w:t xml:space="preserve">, אחרי פטירת הסבא. הסבא לא ידע אם כן שר׳ יעקב הלוי ליפשיץ סבר שהוא משבש את תורת ר׳ ישראל </w:t>
      </w:r>
      <w:proofErr w:type="spellStart"/>
      <w:r>
        <w:rPr>
          <w:rtl/>
        </w:rPr>
        <w:t>סלנטר</w:t>
      </w:r>
      <w:proofErr w:type="spellEnd"/>
      <w:r>
        <w:rPr>
          <w:rtl/>
        </w:rPr>
        <w:t xml:space="preserve">. לפיכך היחסים בינו </w:t>
      </w:r>
      <w:r>
        <w:rPr>
          <w:rtl/>
        </w:rPr>
        <w:lastRenderedPageBreak/>
        <w:t>לבין ר׳ יעקב הלוי ובנו ר׳ נטע, שלושתם תושבי קובנה–</w:t>
      </w:r>
      <w:proofErr w:type="spellStart"/>
      <w:r>
        <w:rPr>
          <w:rtl/>
        </w:rPr>
        <w:t>סלבודקה</w:t>
      </w:r>
      <w:proofErr w:type="spellEnd"/>
      <w:r>
        <w:rPr>
          <w:rtl/>
        </w:rPr>
        <w:t>, מעולם לא נעשו עוינים בגלוי. אפשר לשער שאילו האריך ר׳ יעקב הלוי ליפשיץ ימים עד שהוציא בעצמו את “</w:t>
      </w:r>
      <w:proofErr w:type="spellStart"/>
      <w:r>
        <w:rPr>
          <w:rtl/>
        </w:rPr>
        <w:t>זכרון</w:t>
      </w:r>
      <w:proofErr w:type="spellEnd"/>
      <w:r>
        <w:rPr>
          <w:rtl/>
        </w:rPr>
        <w:t xml:space="preserve"> יעקב”, ובייחוד אילו היה הסבא עדיין בחיים באותה שעה, היה מצנזר את כתביו ולא מפרסם ברבים את הטענה על “תלמידי תלמידיו”.</w:t>
      </w:r>
    </w:p>
    <w:p w14:paraId="4D5EAFB8" w14:textId="77777777" w:rsidR="00AB3647" w:rsidRDefault="00000000" w:rsidP="007923E9">
      <w:pPr>
        <w:spacing w:after="120" w:line="276" w:lineRule="auto"/>
        <w:ind w:firstLine="283"/>
        <w:jc w:val="both"/>
      </w:pPr>
      <w:r>
        <w:rPr>
          <w:rtl/>
        </w:rPr>
        <w:t>עמדתו הכללית של ר׳ יעקב הלוי ליפשיץ נגד המוסר עוררה עליו את איבתם של תלמידי הסבא, כמו שציין נכדו במכתב אליי.</w:t>
      </w:r>
      <w:bookmarkStart w:id="3000" w:name="_fnr2122"/>
      <w:r>
        <w:rPr>
          <w:rStyle w:val="a5"/>
        </w:rPr>
        <w:footnoteReference w:id="2128" w:customMarkFollows="0"/>
      </w:r>
      <w:bookmarkEnd w:id="3000"/>
      <w:r>
        <w:rPr>
          <w:rtl/>
        </w:rPr>
        <w:t xml:space="preserve"> דוגמה לביקורתו של אבי עליו מצויה בהערה שהעיר באוזני בעל נכדתו, ר׳ נתן שטרן:</w:t>
      </w:r>
      <w:bookmarkStart w:id="3001" w:name="_fnr2123"/>
      <w:r>
        <w:rPr>
          <w:rStyle w:val="a5"/>
        </w:rPr>
        <w:footnoteReference w:id="2129" w:customMarkFollows="0"/>
      </w:r>
      <w:bookmarkEnd w:id="3001"/>
      <w:r>
        <w:rPr>
          <w:rtl/>
        </w:rPr>
        <w:t xml:space="preserve"> “הוא הנהיג [מנהיג </w:t>
      </w:r>
      <w:proofErr w:type="spellStart"/>
      <w:r>
        <w:rPr>
          <w:rtl/>
        </w:rPr>
        <w:t>געווען</w:t>
      </w:r>
      <w:proofErr w:type="spellEnd"/>
      <w:r>
        <w:rPr>
          <w:rtl/>
        </w:rPr>
        <w:t xml:space="preserve">] את העולם כולו, </w:t>
      </w:r>
      <w:proofErr w:type="spellStart"/>
      <w:r>
        <w:rPr>
          <w:rtl/>
        </w:rPr>
        <w:t>ו‘עשה</w:t>
      </w:r>
      <w:proofErr w:type="spellEnd"/>
      <w:r>
        <w:rPr>
          <w:rtl/>
        </w:rPr>
        <w:t xml:space="preserve"> גדולים’: היה חותם את שמו של ר׳ </w:t>
      </w:r>
      <w:proofErr w:type="spellStart"/>
      <w:r>
        <w:rPr>
          <w:rtl/>
        </w:rPr>
        <w:t>יצחק־אלחנן</w:t>
      </w:r>
      <w:proofErr w:type="spellEnd"/>
      <w:r>
        <w:rPr>
          <w:rtl/>
        </w:rPr>
        <w:t xml:space="preserve"> על קול קורא, ואחר כך מוסיף שם אחר, של אדם מוכר פחות, וכך גרם לאנשים לומר שגם החותם האחר אדם גדול.”</w:t>
      </w:r>
    </w:p>
    <w:p w14:paraId="44880381" w14:textId="77777777" w:rsidR="00AB3647" w:rsidRDefault="00000000" w:rsidP="007923E9">
      <w:pPr>
        <w:spacing w:after="120" w:line="276" w:lineRule="auto"/>
        <w:ind w:firstLine="283"/>
        <w:jc w:val="both"/>
      </w:pPr>
      <w:r>
        <w:rPr>
          <w:rtl/>
        </w:rPr>
        <w:t xml:space="preserve">אבל באותה שיחה עם ר׳ נתן שטרן גם שיבח אבי את ר׳ יעקב הלוי ליפשיץ, ואמר: “ר׳ יעקב הלוי ליפשיץ היה אדם צנוע. כאשר חלה ר׳ </w:t>
      </w:r>
      <w:proofErr w:type="spellStart"/>
      <w:r>
        <w:rPr>
          <w:rtl/>
        </w:rPr>
        <w:t>אליהו־ברוך</w:t>
      </w:r>
      <w:proofErr w:type="spellEnd"/>
      <w:r>
        <w:rPr>
          <w:rtl/>
        </w:rPr>
        <w:t xml:space="preserve"> קמאי, אחד מגדולי התורה בדורו, ור׳ יעקב הלוי ליפשיץ בא לבקרו” – אני משער שהדבר אירע בזמן מלחמת העולם הראשונה, במינסק</w:t>
      </w:r>
      <w:bookmarkStart w:id="3002" w:name="_fnr2124"/>
      <w:r>
        <w:rPr>
          <w:rStyle w:val="a5"/>
        </w:rPr>
        <w:footnoteReference w:id="2130" w:customMarkFollows="0"/>
      </w:r>
      <w:bookmarkEnd w:id="3002"/>
      <w:r>
        <w:rPr>
          <w:rtl/>
        </w:rPr>
        <w:t xml:space="preserve"> – “עמד ר׳ </w:t>
      </w:r>
      <w:proofErr w:type="spellStart"/>
      <w:r>
        <w:rPr>
          <w:rtl/>
        </w:rPr>
        <w:t>אליהו־ברוך</w:t>
      </w:r>
      <w:proofErr w:type="spellEnd"/>
      <w:r>
        <w:rPr>
          <w:rtl/>
        </w:rPr>
        <w:t xml:space="preserve"> קמאי לפניו מלא קומתו.</w:t>
      </w:r>
      <w:bookmarkStart w:id="3003" w:name="_fnr2125"/>
      <w:r>
        <w:rPr>
          <w:rStyle w:val="a5"/>
        </w:rPr>
        <w:footnoteReference w:id="2131" w:customMarkFollows="0"/>
      </w:r>
      <w:bookmarkEnd w:id="3003"/>
      <w:r>
        <w:rPr>
          <w:rtl/>
        </w:rPr>
        <w:t xml:space="preserve"> עד כדי כך העריכו את ר׳ יעקב הלוי.” רבנו הצמיד את צניעותו של ר׳ יעקב הלוי להערכה הרבה שרחשו לו, ונראה שהתכוון לומר שאילו לא היה צנוע, היה בוודאי מוצא דרכים להודיע לעולם שגדולי התורה מעריכים אותו, עוד לפני שהדבר נודע מתוך אותו אירוע חולף.</w:t>
      </w:r>
      <w:bookmarkStart w:id="3004" w:name="_fnr2126"/>
      <w:r>
        <w:rPr>
          <w:rStyle w:val="a5"/>
        </w:rPr>
        <w:footnoteReference w:id="2132" w:customMarkFollows="0"/>
      </w:r>
      <w:bookmarkEnd w:id="3004"/>
    </w:p>
    <w:p w14:paraId="30FB47A7" w14:textId="77777777" w:rsidR="00AB3647" w:rsidRDefault="00000000" w:rsidP="007923E9">
      <w:pPr>
        <w:spacing w:after="120" w:line="276" w:lineRule="auto"/>
        <w:ind w:firstLine="283"/>
        <w:jc w:val="both"/>
      </w:pPr>
      <w:r>
        <w:rPr>
          <w:rtl/>
        </w:rPr>
        <w:t xml:space="preserve">ר׳ יעקב הלוי ליפשיץ שיתף פעולה באופן מלא עם ר׳ ישראל עצמו במאבקו נגד בית המדרש לרבנים שביקשו אנשי האצולה היהודית להקים ברוסיה בשנות </w:t>
      </w:r>
      <w:proofErr w:type="spellStart"/>
      <w:r>
        <w:rPr>
          <w:rtl/>
        </w:rPr>
        <w:t>התר״מ</w:t>
      </w:r>
      <w:proofErr w:type="spellEnd"/>
      <w:r>
        <w:rPr>
          <w:rtl/>
        </w:rPr>
        <w:t>,</w:t>
      </w:r>
      <w:bookmarkStart w:id="3005" w:name="_fnr2127"/>
      <w:r>
        <w:rPr>
          <w:rStyle w:val="a5"/>
        </w:rPr>
        <w:footnoteReference w:id="2133" w:customMarkFollows="0"/>
      </w:r>
      <w:bookmarkEnd w:id="3005"/>
      <w:r>
        <w:rPr>
          <w:rtl/>
        </w:rPr>
        <w:t xml:space="preserve"> כשם ששיתף עמו פעולה בעניין הכולל בקובנה.</w:t>
      </w:r>
      <w:bookmarkStart w:id="3006" w:name="_fnr2128"/>
      <w:r>
        <w:rPr>
          <w:rStyle w:val="a5"/>
        </w:rPr>
        <w:footnoteReference w:id="2134" w:customMarkFollows="0"/>
      </w:r>
      <w:bookmarkEnd w:id="3006"/>
    </w:p>
    <w:p w14:paraId="32F898B3" w14:textId="77777777" w:rsidR="00AB3647" w:rsidRDefault="00000000" w:rsidP="007923E9">
      <w:pPr>
        <w:pStyle w:val="4"/>
        <w:spacing w:line="276" w:lineRule="auto"/>
      </w:pPr>
      <w:r>
        <w:lastRenderedPageBreak/>
        <w:t>· הפסקה השנייה ·</w:t>
      </w:r>
    </w:p>
    <w:p w14:paraId="0606EC5D" w14:textId="77777777" w:rsidR="00AB3647" w:rsidRDefault="00000000" w:rsidP="007923E9">
      <w:pPr>
        <w:pStyle w:val="5"/>
        <w:spacing w:line="276" w:lineRule="auto"/>
      </w:pPr>
      <w:r>
        <w:t xml:space="preserve">נטען שישיבת רבנו יצחק אלחנן נקראה בשמה מאותו טעם שנקראה כנסת בית יצחק </w:t>
      </w:r>
      <w:proofErr w:type="spellStart"/>
      <w:r>
        <w:t>בסלבודקה</w:t>
      </w:r>
      <w:proofErr w:type="spellEnd"/>
      <w:r>
        <w:t xml:space="preserve"> – ר׳ </w:t>
      </w:r>
      <w:proofErr w:type="spellStart"/>
      <w:r>
        <w:t>ברוך־בער</w:t>
      </w:r>
      <w:proofErr w:type="spellEnd"/>
      <w:r>
        <w:t xml:space="preserve"> מכנה את המוסד האמריקאי באותו שם – הוא מתכתב עם תלמידו של ר׳ חיים בישיבת רבנו יצחק אלחנן על הוצאת ספר רבם לאור – להבנתו נדרשת יגיעה – תפקיד המשגיח בישיבות שאינן ישיבות מוסר – נר ישראל בבולטימור בוחרת את שמה כדי להזדהות עם המוסר</w:t>
      </w:r>
    </w:p>
    <w:p w14:paraId="52A65D63" w14:textId="77777777" w:rsidR="00AB3647" w:rsidRDefault="00000000" w:rsidP="007923E9">
      <w:pPr>
        <w:spacing w:after="120" w:line="276" w:lineRule="auto"/>
        <w:ind w:firstLine="283"/>
        <w:jc w:val="both"/>
      </w:pPr>
      <w:r>
        <w:rPr>
          <w:rtl/>
        </w:rPr>
        <w:t xml:space="preserve">הקורא האמריקאי יתעניין במאמרו של ש. </w:t>
      </w:r>
      <w:proofErr w:type="spellStart"/>
      <w:r>
        <w:rPr>
          <w:rtl/>
        </w:rPr>
        <w:t>דייווידסאן</w:t>
      </w:r>
      <w:bookmarkStart w:id="3007" w:name="_fnr2129"/>
      <w:proofErr w:type="spellEnd"/>
      <w:r>
        <w:rPr>
          <w:rStyle w:val="a5"/>
        </w:rPr>
        <w:footnoteReference w:id="2135" w:customMarkFollows="0"/>
      </w:r>
      <w:bookmarkEnd w:id="3007"/>
      <w:r>
        <w:rPr>
          <w:rtl/>
        </w:rPr>
        <w:t xml:space="preserve"> </w:t>
      </w:r>
      <w:proofErr w:type="spellStart"/>
      <w:r>
        <w:rPr>
          <w:rtl/>
        </w:rPr>
        <w:t>ב“דער</w:t>
      </w:r>
      <w:proofErr w:type="spellEnd"/>
      <w:r>
        <w:rPr>
          <w:rtl/>
        </w:rPr>
        <w:t xml:space="preserve"> איד”,</w:t>
      </w:r>
      <w:bookmarkStart w:id="3008" w:name="_fnr2130"/>
      <w:r>
        <w:rPr>
          <w:rStyle w:val="a5"/>
        </w:rPr>
        <w:footnoteReference w:id="2136" w:customMarkFollows="0"/>
      </w:r>
      <w:bookmarkEnd w:id="3008"/>
      <w:r>
        <w:rPr>
          <w:rtl/>
        </w:rPr>
        <w:t xml:space="preserve"> הטוען שהרמז להתנגדות למוסר שנקשר לשמו של ר׳ </w:t>
      </w:r>
      <w:proofErr w:type="spellStart"/>
      <w:r>
        <w:rPr>
          <w:rtl/>
        </w:rPr>
        <w:t>יצחק־אלחנן</w:t>
      </w:r>
      <w:proofErr w:type="spellEnd"/>
      <w:r>
        <w:rPr>
          <w:rtl/>
        </w:rPr>
        <w:t xml:space="preserve"> השפיע על מתן שמה של הישיבה הראשונה בארצות הברית. במאמר נאמר: “עלתה השאלה אם יש לכלול לימוד מוסר בתוכנית הלימודים, ורוב המייסדים התנגדו לכך. הם קראו לישיבה ישיבת רבנו יצחק אלחנן כדי לציין את ההשקפה נגד המוסר שנרמזה בשמו של הרב מקובנה.” כששאלתי אותו,</w:t>
      </w:r>
      <w:bookmarkStart w:id="3009" w:name="_fnr2131"/>
      <w:r>
        <w:rPr>
          <w:rStyle w:val="a5"/>
        </w:rPr>
        <w:footnoteReference w:id="2137" w:customMarkFollows="0"/>
      </w:r>
      <w:bookmarkEnd w:id="3009"/>
      <w:r>
        <w:rPr>
          <w:rtl/>
        </w:rPr>
        <w:t xml:space="preserve"> אמר </w:t>
      </w:r>
      <w:proofErr w:type="spellStart"/>
      <w:r>
        <w:rPr>
          <w:rtl/>
        </w:rPr>
        <w:t>דייווידסאן</w:t>
      </w:r>
      <w:proofErr w:type="spellEnd"/>
      <w:r>
        <w:rPr>
          <w:rtl/>
        </w:rPr>
        <w:t xml:space="preserve"> ששמע את הסיפור מר׳ יעקב </w:t>
      </w:r>
      <w:proofErr w:type="spellStart"/>
      <w:r>
        <w:rPr>
          <w:rtl/>
        </w:rPr>
        <w:t>קנטרוביץ</w:t>
      </w:r>
      <w:proofErr w:type="spellEnd"/>
      <w:r>
        <w:rPr>
          <w:rtl/>
        </w:rPr>
        <w:t>, שהזכירו בפנייה פומבית לאיסוף כספים למען ישיבת רבנו יצחק אלחנן. אבל הטענה שרגשות נגד המוסר הם שהביאו לבחירת שם הישיבה מופרכת בעליל, כפי שיבואר להלן.</w:t>
      </w:r>
    </w:p>
    <w:p w14:paraId="5359823E" w14:textId="77777777" w:rsidR="00AB3647" w:rsidRDefault="00000000" w:rsidP="007923E9">
      <w:pPr>
        <w:spacing w:after="120" w:line="276" w:lineRule="auto"/>
        <w:ind w:firstLine="283"/>
        <w:jc w:val="both"/>
      </w:pPr>
      <w:r>
        <w:rPr>
          <w:rtl/>
        </w:rPr>
        <w:t xml:space="preserve">את הקשר בין שמה של ישיבת רבנו יצחק אלחנן באמריקה לבין השם שניתן לישיבה </w:t>
      </w:r>
      <w:proofErr w:type="spellStart"/>
      <w:r>
        <w:rPr>
          <w:rtl/>
        </w:rPr>
        <w:t>הישנה־חדשה</w:t>
      </w:r>
      <w:proofErr w:type="spellEnd"/>
      <w:r>
        <w:rPr>
          <w:rtl/>
        </w:rPr>
        <w:t xml:space="preserve"> </w:t>
      </w:r>
      <w:proofErr w:type="spellStart"/>
      <w:r>
        <w:rPr>
          <w:rtl/>
        </w:rPr>
        <w:t>בסלבודקה</w:t>
      </w:r>
      <w:proofErr w:type="spellEnd"/>
      <w:r>
        <w:rPr>
          <w:rtl/>
        </w:rPr>
        <w:t xml:space="preserve">, כנסת בית יצחק, העלה ר׳ </w:t>
      </w:r>
      <w:proofErr w:type="spellStart"/>
      <w:r>
        <w:rPr>
          <w:rtl/>
        </w:rPr>
        <w:t>ברוך־בער</w:t>
      </w:r>
      <w:proofErr w:type="spellEnd"/>
      <w:r>
        <w:rPr>
          <w:rtl/>
        </w:rPr>
        <w:t xml:space="preserve">, אף שלא במתכוון. כראש הישיבה האחרון במקום הולדתה, </w:t>
      </w:r>
      <w:proofErr w:type="spellStart"/>
      <w:r>
        <w:rPr>
          <w:rtl/>
        </w:rPr>
        <w:t>סלבודקה</w:t>
      </w:r>
      <w:proofErr w:type="spellEnd"/>
      <w:r>
        <w:rPr>
          <w:rtl/>
        </w:rPr>
        <w:t xml:space="preserve">, שמר ר׳ </w:t>
      </w:r>
      <w:proofErr w:type="spellStart"/>
      <w:r>
        <w:rPr>
          <w:rtl/>
        </w:rPr>
        <w:t>ברוך־בער</w:t>
      </w:r>
      <w:proofErr w:type="spellEnd"/>
      <w:r>
        <w:rPr>
          <w:rtl/>
        </w:rPr>
        <w:t xml:space="preserve"> על השם “בית יצחק” לישיבה שהקים אחרי מלחמת העולם בווילנה, ושעברה אחר כך </w:t>
      </w:r>
      <w:proofErr w:type="spellStart"/>
      <w:r>
        <w:rPr>
          <w:rtl/>
        </w:rPr>
        <w:t>לקמניץ</w:t>
      </w:r>
      <w:proofErr w:type="spellEnd"/>
      <w:r>
        <w:rPr>
          <w:rtl/>
        </w:rPr>
        <w:t>.</w:t>
      </w:r>
    </w:p>
    <w:p w14:paraId="2BE67837"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כתב מכתב</w:t>
      </w:r>
      <w:bookmarkStart w:id="3010" w:name="_fnr2132"/>
      <w:bookmarkStart w:id="3011" w:name="pr_f_2037"/>
      <w:r>
        <w:rPr>
          <w:rStyle w:val="a5"/>
        </w:rPr>
        <w:footnoteReference w:id="2138" w:customMarkFollows="0"/>
      </w:r>
      <w:bookmarkEnd w:id="3010"/>
      <w:bookmarkEnd w:id="3011"/>
      <w:r>
        <w:rPr>
          <w:rtl/>
        </w:rPr>
        <w:t xml:space="preserve"> </w:t>
      </w:r>
      <w:proofErr w:type="spellStart"/>
      <w:r>
        <w:rPr>
          <w:rtl/>
        </w:rPr>
        <w:t>ל“רב</w:t>
      </w:r>
      <w:proofErr w:type="spellEnd"/>
      <w:r>
        <w:rPr>
          <w:rtl/>
        </w:rPr>
        <w:t xml:space="preserve"> </w:t>
      </w:r>
      <w:proofErr w:type="spellStart"/>
      <w:r>
        <w:rPr>
          <w:rtl/>
        </w:rPr>
        <w:t>בנויארק</w:t>
      </w:r>
      <w:proofErr w:type="spellEnd"/>
      <w:r>
        <w:rPr>
          <w:rtl/>
        </w:rPr>
        <w:t xml:space="preserve">” (כך במקור), ר׳ אהרן </w:t>
      </w:r>
      <w:proofErr w:type="spellStart"/>
      <w:r>
        <w:rPr>
          <w:rtl/>
        </w:rPr>
        <w:t>טייטלבוים</w:t>
      </w:r>
      <w:proofErr w:type="spellEnd"/>
      <w:r>
        <w:rPr>
          <w:rtl/>
        </w:rPr>
        <w:t xml:space="preserve">, ובו ביקש: “רחם על האומה, שים לב לייסוריה, והבא אור לתוך החשכה בכך שתספק את הכספים להוצאת ‘כתבי תורתו [של רבי חיים הלוי </w:t>
      </w:r>
      <w:proofErr w:type="spellStart"/>
      <w:r>
        <w:rPr>
          <w:rtl/>
        </w:rPr>
        <w:t>סולובייצ׳יק</w:t>
      </w:r>
      <w:proofErr w:type="spellEnd"/>
      <w:r>
        <w:rPr>
          <w:rtl/>
        </w:rPr>
        <w:t>] על כל התורה’.”</w:t>
      </w:r>
      <w:bookmarkStart w:id="3012" w:name="_fnr2133"/>
      <w:r>
        <w:rPr>
          <w:rStyle w:val="a5"/>
        </w:rPr>
        <w:footnoteReference w:id="2139" w:customMarkFollows="0"/>
      </w:r>
      <w:bookmarkEnd w:id="3012"/>
    </w:p>
    <w:p w14:paraId="439E9AD7" w14:textId="77777777" w:rsidR="00AB3647" w:rsidRDefault="00000000" w:rsidP="007923E9">
      <w:pPr>
        <w:spacing w:after="120" w:line="276" w:lineRule="auto"/>
        <w:ind w:firstLine="283"/>
        <w:jc w:val="both"/>
      </w:pPr>
      <w:r>
        <w:rPr>
          <w:rtl/>
        </w:rPr>
        <w:t xml:space="preserve">המכתב מסתיים בפסקה המעשית הזאת: “אנא, ידידי הנכבד, יחד עם שאר ידידיו הרבנים הגאונים, עושו חושו גושו... ספקו את הכספים במהירות ושלחום ל[בנו של ר׳ חיים, ר׳ </w:t>
      </w:r>
      <w:proofErr w:type="spellStart"/>
      <w:r>
        <w:rPr>
          <w:rtl/>
        </w:rPr>
        <w:t xml:space="preserve">וועלוול׳ה</w:t>
      </w:r>
      <w:proofErr w:type="spellEnd"/>
      <w:r>
        <w:rPr>
          <w:rtl/>
        </w:rPr>
        <w:t xml:space="preserve">,] הגאון </w:t>
      </w:r>
      <w:proofErr w:type="spellStart"/>
      <w:r>
        <w:rPr>
          <w:rtl/>
        </w:rPr>
        <w:t>מבריסק</w:t>
      </w:r>
      <w:proofErr w:type="spellEnd"/>
      <w:r>
        <w:rPr>
          <w:rtl/>
        </w:rPr>
        <w:t xml:space="preserve">. בטוחני שאתם... תטפלו בעניין. כתבתי גם לידידנו הטוב הגאון הגדול ר׳ שלמה נ״י </w:t>
      </w:r>
      <w:proofErr w:type="spellStart"/>
      <w:r>
        <w:rPr>
          <w:rtl/>
        </w:rPr>
        <w:t>שליט״א</w:t>
      </w:r>
      <w:proofErr w:type="spellEnd"/>
      <w:r>
        <w:rPr>
          <w:rtl/>
        </w:rPr>
        <w:t xml:space="preserve"> [</w:t>
      </w:r>
      <w:proofErr w:type="spellStart"/>
      <w:r>
        <w:rPr>
          <w:rtl/>
        </w:rPr>
        <w:t>פוליצ׳ק</w:t>
      </w:r>
      <w:proofErr w:type="spellEnd"/>
      <w:r>
        <w:rPr>
          <w:rtl/>
        </w:rPr>
        <w:t xml:space="preserve">, העילוי </w:t>
      </w:r>
      <w:proofErr w:type="spellStart"/>
      <w:r>
        <w:rPr>
          <w:rtl/>
        </w:rPr>
        <w:t>ממייצ׳ט</w:t>
      </w:r>
      <w:bookmarkStart w:id="3013" w:name="_fnr2134"/>
      <w:proofErr w:type="spellEnd"/>
      <w:r>
        <w:rPr>
          <w:rStyle w:val="a5"/>
        </w:rPr>
        <w:footnoteReference w:id="2140" w:customMarkFollows="0"/>
      </w:r>
      <w:bookmarkEnd w:id="3013"/>
      <w:r>
        <w:rPr>
          <w:rtl/>
        </w:rPr>
        <w:t xml:space="preserve">], </w:t>
      </w:r>
      <w:proofErr w:type="spellStart"/>
      <w:r>
        <w:rPr>
          <w:rtl/>
        </w:rPr>
        <w:t>הר״מ</w:t>
      </w:r>
      <w:proofErr w:type="spellEnd"/>
      <w:r>
        <w:rPr>
          <w:rtl/>
        </w:rPr>
        <w:t xml:space="preserve"> </w:t>
      </w:r>
      <w:proofErr w:type="spellStart"/>
      <w:r>
        <w:rPr>
          <w:rtl/>
        </w:rPr>
        <w:t>דבית</w:t>
      </w:r>
      <w:proofErr w:type="spellEnd"/>
      <w:r>
        <w:rPr>
          <w:rtl/>
        </w:rPr>
        <w:t xml:space="preserve"> יצחק </w:t>
      </w:r>
      <w:proofErr w:type="spellStart"/>
      <w:r>
        <w:rPr>
          <w:rtl/>
        </w:rPr>
        <w:t>בנויארק</w:t>
      </w:r>
      <w:proofErr w:type="spellEnd"/>
      <w:r>
        <w:rPr>
          <w:rtl/>
        </w:rPr>
        <w:t xml:space="preserve">. פעלו יחד בעניין זה, וה׳ יתברך יביא הצלחה לכבוד שמו.” כאן מכנה ר׳ </w:t>
      </w:r>
      <w:proofErr w:type="spellStart"/>
      <w:r>
        <w:rPr>
          <w:rtl/>
        </w:rPr>
        <w:t>ברוך־בער</w:t>
      </w:r>
      <w:proofErr w:type="spellEnd"/>
      <w:r>
        <w:rPr>
          <w:rtl/>
        </w:rPr>
        <w:t xml:space="preserve"> את ישיבת רבנו יצחק אלחנן, שבראשה עמד ר׳ שלמה </w:t>
      </w:r>
      <w:proofErr w:type="spellStart"/>
      <w:r>
        <w:rPr>
          <w:rtl/>
        </w:rPr>
        <w:t>פוליצ׳ק</w:t>
      </w:r>
      <w:proofErr w:type="spellEnd"/>
      <w:r>
        <w:rPr>
          <w:rtl/>
        </w:rPr>
        <w:t xml:space="preserve"> בשש השנים האחרונות לחייו, בשם (כנסת) בית יצחק.</w:t>
      </w:r>
    </w:p>
    <w:p w14:paraId="36A7012C" w14:textId="77777777" w:rsidR="00AB3647" w:rsidRDefault="00000000" w:rsidP="007923E9">
      <w:pPr>
        <w:spacing w:after="120" w:line="276" w:lineRule="auto"/>
        <w:ind w:firstLine="283"/>
        <w:jc w:val="both"/>
      </w:pPr>
      <w:r>
        <w:rPr>
          <w:rtl/>
        </w:rPr>
        <w:lastRenderedPageBreak/>
        <w:t xml:space="preserve">על התלהבותו של ר׳ </w:t>
      </w:r>
      <w:proofErr w:type="spellStart"/>
      <w:r>
        <w:rPr>
          <w:rtl/>
        </w:rPr>
        <w:t>ברוך־בער</w:t>
      </w:r>
      <w:proofErr w:type="spellEnd"/>
      <w:r>
        <w:rPr>
          <w:rtl/>
        </w:rPr>
        <w:t xml:space="preserve"> להוצאת ספר רבו, שראה אור (</w:t>
      </w:r>
      <w:proofErr w:type="spellStart"/>
      <w:r>
        <w:rPr>
          <w:rtl/>
        </w:rPr>
        <w:t>ו“הביא</w:t>
      </w:r>
      <w:proofErr w:type="spellEnd"/>
      <w:r>
        <w:rPr>
          <w:rtl/>
        </w:rPr>
        <w:t xml:space="preserve"> אור”) רק יותר משמונה שנים אחרי פנייתו לרב </w:t>
      </w:r>
      <w:proofErr w:type="spellStart"/>
      <w:r>
        <w:rPr>
          <w:rtl/>
        </w:rPr>
        <w:t>טייטלבוים</w:t>
      </w:r>
      <w:proofErr w:type="spellEnd"/>
      <w:r>
        <w:rPr>
          <w:rtl/>
        </w:rPr>
        <w:t>, השווה “אש תמיד”.</w:t>
      </w:r>
      <w:bookmarkStart w:id="3014" w:name="_fnr2135"/>
      <w:r>
        <w:rPr>
          <w:rStyle w:val="a5"/>
        </w:rPr>
        <w:footnoteReference w:id="2141" w:customMarkFollows="0"/>
      </w:r>
      <w:bookmarkEnd w:id="3014"/>
      <w:r>
        <w:rPr>
          <w:rtl/>
        </w:rPr>
        <w:t xml:space="preserve"> שם מתואר כיצד הכניס ר׳ </w:t>
      </w:r>
      <w:proofErr w:type="spellStart"/>
      <w:r>
        <w:rPr>
          <w:rtl/>
        </w:rPr>
        <w:t>ברוך־בער</w:t>
      </w:r>
      <w:proofErr w:type="spellEnd"/>
      <w:r>
        <w:rPr>
          <w:rtl/>
        </w:rPr>
        <w:t xml:space="preserve"> את “חידושי רבנו חיים הלוי על הרמב״ם”, שיצא זה עתה לאור, לבניין ישיבתו החדש </w:t>
      </w:r>
      <w:proofErr w:type="spellStart"/>
      <w:r>
        <w:rPr>
          <w:rtl/>
        </w:rPr>
        <w:t>בקמניץ</w:t>
      </w:r>
      <w:proofErr w:type="spellEnd"/>
      <w:r>
        <w:rPr>
          <w:rtl/>
        </w:rPr>
        <w:t xml:space="preserve">, יחד עם תהלוכת הכנסת ספר תורה. אפשר שר׳ </w:t>
      </w:r>
      <w:proofErr w:type="spellStart"/>
      <w:r>
        <w:rPr>
          <w:rtl/>
        </w:rPr>
        <w:t>ברוך־בער</w:t>
      </w:r>
      <w:proofErr w:type="spellEnd"/>
      <w:r>
        <w:rPr>
          <w:rtl/>
        </w:rPr>
        <w:t xml:space="preserve"> ראה בנעוריו דרך זו של הכנסת ספרים חשובים לבית המדרש, כגון גמרות וכרכי הרמב״ם והטור: בימים שבהם היו הספרים נדירים, היו מביאים כרכים בודדים מבית התורם בתהלוכה מיוחדת, והגבאים היו מוכרים את הזכות לשאת כל כרך. תיאור כיצד נעשה הדבר ראה </w:t>
      </w:r>
      <w:proofErr w:type="spellStart"/>
      <w:r>
        <w:rPr>
          <w:rtl/>
        </w:rPr>
        <w:t>ב“זכרון</w:t>
      </w:r>
      <w:proofErr w:type="spellEnd"/>
      <w:r>
        <w:rPr>
          <w:rtl/>
        </w:rPr>
        <w:t xml:space="preserve"> יעקב”.</w:t>
      </w:r>
      <w:bookmarkStart w:id="3015" w:name="_fnr2136"/>
      <w:r>
        <w:rPr>
          <w:rStyle w:val="a5"/>
        </w:rPr>
        <w:footnoteReference w:id="2142" w:customMarkFollows="0"/>
      </w:r>
      <w:bookmarkEnd w:id="3015"/>
    </w:p>
    <w:p w14:paraId="3FE4D15F" w14:textId="77777777" w:rsidR="00AB3647" w:rsidRDefault="00000000" w:rsidP="007923E9">
      <w:pPr>
        <w:spacing w:after="120" w:line="276" w:lineRule="auto"/>
        <w:ind w:firstLine="283"/>
        <w:jc w:val="both"/>
      </w:pPr>
      <w:r>
        <w:rPr>
          <w:rtl/>
        </w:rPr>
        <w:t>השווה גם וקסמן–תלפיות,</w:t>
      </w:r>
      <w:bookmarkStart w:id="3016" w:name="_fnr2137"/>
      <w:r>
        <w:rPr>
          <w:rStyle w:val="a5"/>
        </w:rPr>
        <w:footnoteReference w:id="2143" w:customMarkFollows="0"/>
      </w:r>
      <w:bookmarkEnd w:id="3016"/>
      <w:r>
        <w:rPr>
          <w:rtl/>
        </w:rPr>
        <w:t xml:space="preserve"> המספר </w:t>
      </w:r>
      <w:proofErr w:type="spellStart"/>
      <w:r>
        <w:rPr>
          <w:rtl/>
        </w:rPr>
        <w:t>שבתרפ״ה</w:t>
      </w:r>
      <w:proofErr w:type="spellEnd"/>
      <w:r>
        <w:rPr>
          <w:rtl/>
        </w:rPr>
        <w:t xml:space="preserve">, שנים אחדות לפני מכתב הבקשה הנזכר של ר׳ </w:t>
      </w:r>
      <w:proofErr w:type="spellStart"/>
      <w:r>
        <w:rPr>
          <w:rtl/>
        </w:rPr>
        <w:t>ברוך־בער</w:t>
      </w:r>
      <w:proofErr w:type="spellEnd"/>
      <w:r>
        <w:rPr>
          <w:rtl/>
        </w:rPr>
        <w:t xml:space="preserve">, החל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לעבוד עם ר׳ </w:t>
      </w:r>
      <w:proofErr w:type="spellStart"/>
      <w:r>
        <w:rPr>
          <w:rtl/>
        </w:rPr>
        <w:t>לייזר־יודל</w:t>
      </w:r>
      <w:proofErr w:type="spellEnd"/>
      <w:r>
        <w:rPr>
          <w:rtl/>
        </w:rPr>
        <w:t xml:space="preserve"> </w:t>
      </w:r>
      <w:proofErr w:type="spellStart"/>
      <w:r>
        <w:rPr>
          <w:rtl/>
        </w:rPr>
        <w:t>פינקל</w:t>
      </w:r>
      <w:proofErr w:type="spellEnd"/>
      <w:r>
        <w:rPr>
          <w:rtl/>
        </w:rPr>
        <w:t xml:space="preserve"> ור׳ לייזר </w:t>
      </w:r>
      <w:proofErr w:type="spellStart"/>
      <w:r>
        <w:rPr>
          <w:rtl/>
        </w:rPr>
        <w:t>סילבר</w:t>
      </w:r>
      <w:proofErr w:type="spellEnd"/>
      <w:r>
        <w:rPr>
          <w:rtl/>
        </w:rPr>
        <w:t xml:space="preserve"> על הקמת קרן מיוחדת שתקל את הוצאת הספר. </w:t>
      </w:r>
      <w:proofErr w:type="spellStart"/>
      <w:r>
        <w:rPr>
          <w:rtl/>
        </w:rPr>
        <w:t>בתרפ״ז</w:t>
      </w:r>
      <w:proofErr w:type="spellEnd"/>
      <w:r>
        <w:rPr>
          <w:rtl/>
        </w:rPr>
        <w:t xml:space="preserve"> שלח העילוי </w:t>
      </w:r>
      <w:proofErr w:type="spellStart"/>
      <w:r>
        <w:rPr>
          <w:rtl/>
        </w:rPr>
        <w:t>ממייצ׳ט</w:t>
      </w:r>
      <w:proofErr w:type="spellEnd"/>
      <w:r>
        <w:rPr>
          <w:rtl/>
        </w:rPr>
        <w:t xml:space="preserve"> מסר לבנו האחר של ר׳ חיים, ר׳ משה </w:t>
      </w:r>
      <w:proofErr w:type="spellStart"/>
      <w:r>
        <w:rPr>
          <w:rtl/>
        </w:rPr>
        <w:t>סולובייצ׳יק</w:t>
      </w:r>
      <w:proofErr w:type="spellEnd"/>
      <w:r>
        <w:rPr>
          <w:rtl/>
        </w:rPr>
        <w:t xml:space="preserve">, בידי ר׳ ניסן וקסמן, שנסע לוורשה, שבה התגורר ר׳ משה באותה שעה. במסר הבטיח לו שהוא עצמו קיבל עליו “לעזור במימון במידה ניכרת”. (השווה גם נספח לא להלן: העילוי </w:t>
      </w:r>
      <w:proofErr w:type="spellStart"/>
      <w:r>
        <w:rPr>
          <w:rtl/>
        </w:rPr>
        <w:t>ממייצ׳ט</w:t>
      </w:r>
      <w:proofErr w:type="spellEnd"/>
      <w:r>
        <w:rPr>
          <w:rtl/>
        </w:rPr>
        <w:t xml:space="preserve"> סייע </w:t>
      </w:r>
      <w:proofErr w:type="spellStart"/>
      <w:r>
        <w:rPr>
          <w:rtl/>
        </w:rPr>
        <w:t>לר</w:t>
      </w:r>
      <w:proofErr w:type="spellEnd"/>
      <w:r>
        <w:rPr>
          <w:rtl/>
        </w:rPr>
        <w:t>׳ חיים בעריכת החידושים.)</w:t>
      </w:r>
    </w:p>
    <w:p w14:paraId="484101ED" w14:textId="77777777" w:rsidR="00AB3647" w:rsidRDefault="00000000" w:rsidP="007923E9">
      <w:pPr>
        <w:spacing w:after="120" w:line="276" w:lineRule="auto"/>
        <w:ind w:firstLine="283"/>
        <w:jc w:val="both"/>
      </w:pPr>
      <w:proofErr w:type="spellStart"/>
      <w:r>
        <w:rPr>
          <w:rtl/>
        </w:rPr>
        <w:t>ב“אידנו</w:t>
      </w:r>
      <w:proofErr w:type="spellEnd"/>
      <w:r>
        <w:rPr>
          <w:rtl/>
        </w:rPr>
        <w:t xml:space="preserve">” [אסוננו], עלון שהוציאה ישיבת רבנו יצחק אלחנן עם פטירתו בטרם עת של העילוי </w:t>
      </w:r>
      <w:proofErr w:type="spellStart"/>
      <w:r>
        <w:rPr>
          <w:rtl/>
        </w:rPr>
        <w:t>ממייצ׳ט</w:t>
      </w:r>
      <w:proofErr w:type="spellEnd"/>
      <w:r>
        <w:rPr>
          <w:rtl/>
        </w:rPr>
        <w:t>, כותב גם חתנו משה גולדברג</w:t>
      </w:r>
      <w:bookmarkStart w:id="3017" w:name="_fnr2138"/>
      <w:r>
        <w:rPr>
          <w:rStyle w:val="a5"/>
        </w:rPr>
        <w:footnoteReference w:id="2144" w:customMarkFollows="0"/>
      </w:r>
      <w:bookmarkEnd w:id="3017"/>
      <w:r>
        <w:rPr>
          <w:rtl/>
        </w:rPr>
        <w:t xml:space="preserve"> </w:t>
      </w:r>
      <w:proofErr w:type="spellStart"/>
      <w:r>
        <w:rPr>
          <w:rtl/>
        </w:rPr>
        <w:t>ש“מפעל</w:t>
      </w:r>
      <w:proofErr w:type="spellEnd"/>
      <w:r>
        <w:rPr>
          <w:rtl/>
        </w:rPr>
        <w:t xml:space="preserve"> גדול עמד לנגד עיניו של [חותנו], להוציא לאור את חידושי רבו; הוא עבד על כך במרץ רב”, עד שהשיגו המוות בכ״א בתמוז תרפ״ח.</w:t>
      </w:r>
      <w:bookmarkStart w:id="3018" w:name="_fnr2139"/>
      <w:bookmarkStart w:id="3019" w:name="pr_f_2044"/>
      <w:r>
        <w:rPr>
          <w:rStyle w:val="a5"/>
        </w:rPr>
        <w:footnoteReference w:id="2145" w:customMarkFollows="0"/>
      </w:r>
      <w:bookmarkEnd w:id="3018"/>
      <w:bookmarkEnd w:id="3019"/>
      <w:r>
        <w:rPr>
          <w:rtl/>
        </w:rPr>
        <w:t xml:space="preserve"> מאחר שהעילוי </w:t>
      </w:r>
      <w:proofErr w:type="spellStart"/>
      <w:r>
        <w:rPr>
          <w:rtl/>
        </w:rPr>
        <w:t>ממייצ׳ט</w:t>
      </w:r>
      <w:proofErr w:type="spellEnd"/>
      <w:r>
        <w:rPr>
          <w:rtl/>
        </w:rPr>
        <w:t xml:space="preserve"> פעל לקידום הוצאת כתבי היד לכל המאוחר מאז תרפ״ה, סביר שר׳ </w:t>
      </w:r>
      <w:proofErr w:type="spellStart"/>
      <w:r>
        <w:rPr>
          <w:rtl/>
        </w:rPr>
        <w:t>ברוך־בער</w:t>
      </w:r>
      <w:proofErr w:type="spellEnd"/>
      <w:r>
        <w:rPr>
          <w:rtl/>
        </w:rPr>
        <w:t xml:space="preserve"> התכתב במשך שנים אחדות עם ידידו ר׳ שלמה </w:t>
      </w:r>
      <w:proofErr w:type="spellStart"/>
      <w:r>
        <w:rPr>
          <w:rtl/>
        </w:rPr>
        <w:t>פוליצ׳ק</w:t>
      </w:r>
      <w:proofErr w:type="spellEnd"/>
      <w:r>
        <w:rPr>
          <w:rtl/>
        </w:rPr>
        <w:t xml:space="preserve"> על מפעל זה.</w:t>
      </w:r>
    </w:p>
    <w:p w14:paraId="00F3C7D4" w14:textId="77777777" w:rsidR="00AB3647" w:rsidRDefault="00000000" w:rsidP="007923E9">
      <w:pPr>
        <w:spacing w:after="120" w:line="276" w:lineRule="auto"/>
        <w:ind w:firstLine="283"/>
        <w:jc w:val="both"/>
      </w:pPr>
      <w:r>
        <w:rPr>
          <w:rtl/>
        </w:rPr>
        <w:t>השווה גם וקסמן–תלפיות</w:t>
      </w:r>
      <w:bookmarkStart w:id="3020" w:name="_fnr2140"/>
      <w:r>
        <w:rPr>
          <w:rStyle w:val="a5"/>
        </w:rPr>
        <w:footnoteReference w:id="2146" w:customMarkFollows="0"/>
      </w:r>
      <w:bookmarkEnd w:id="3020"/>
      <w:r>
        <w:rPr>
          <w:rtl/>
        </w:rPr>
        <w:t xml:space="preserve"> על תקוותו של ר׳ שלמה </w:t>
      </w:r>
      <w:proofErr w:type="spellStart"/>
      <w:r>
        <w:rPr>
          <w:rtl/>
        </w:rPr>
        <w:t>פוליצ׳ק</w:t>
      </w:r>
      <w:proofErr w:type="spellEnd"/>
      <w:r>
        <w:rPr>
          <w:rtl/>
        </w:rPr>
        <w:t xml:space="preserve"> </w:t>
      </w:r>
      <w:proofErr w:type="spellStart"/>
      <w:r>
        <w:rPr>
          <w:rtl/>
        </w:rPr>
        <w:t>ש“כאשר</w:t>
      </w:r>
      <w:proofErr w:type="spellEnd"/>
      <w:r>
        <w:rPr>
          <w:rtl/>
        </w:rPr>
        <w:t xml:space="preserve"> יצא הספר לאור, יוחזר כבודו של ר׳ חיים”. הוא הצטער על כך </w:t>
      </w:r>
      <w:proofErr w:type="spellStart"/>
      <w:r>
        <w:rPr>
          <w:rtl/>
        </w:rPr>
        <w:t>ש“מוחות</w:t>
      </w:r>
      <w:proofErr w:type="spellEnd"/>
      <w:r>
        <w:rPr>
          <w:rtl/>
        </w:rPr>
        <w:t xml:space="preserve"> חלשים רבים אימצו רק את </w:t>
      </w:r>
      <w:proofErr w:type="spellStart"/>
      <w:r>
        <w:rPr>
          <w:rtl/>
        </w:rPr>
        <w:t>ה‘צאצקעס</w:t>
      </w:r>
      <w:proofErr w:type="spellEnd"/>
      <w:r>
        <w:rPr>
          <w:rtl/>
        </w:rPr>
        <w:t>’ [צעצועים] שברעיונות רבו, ומנסים לחקותו בדרך זולה. הם לא ירדו לעומק מחשבותיו”.</w:t>
      </w:r>
    </w:p>
    <w:p w14:paraId="2345C49E" w14:textId="77777777" w:rsidR="00AB3647" w:rsidRDefault="00000000" w:rsidP="007923E9">
      <w:pPr>
        <w:spacing w:after="120" w:line="276" w:lineRule="auto"/>
        <w:ind w:firstLine="283"/>
        <w:jc w:val="both"/>
      </w:pPr>
      <w:r>
        <w:rPr>
          <w:rtl/>
        </w:rPr>
        <w:t xml:space="preserve">מחבר וקסמן–תלפיות מספר שאחרי הופעת הספר, שלא זכה לתשומת הלב הראויה לו, ניתח ר׳ </w:t>
      </w:r>
      <w:proofErr w:type="spellStart"/>
      <w:r>
        <w:rPr>
          <w:rtl/>
        </w:rPr>
        <w:t>חיים־עוזר</w:t>
      </w:r>
      <w:proofErr w:type="spellEnd"/>
      <w:r>
        <w:rPr>
          <w:rtl/>
        </w:rPr>
        <w:t xml:space="preserve"> </w:t>
      </w:r>
      <w:proofErr w:type="spellStart"/>
      <w:r>
        <w:rPr>
          <w:rtl/>
        </w:rPr>
        <w:t>גרודזנסקי</w:t>
      </w:r>
      <w:proofErr w:type="spellEnd"/>
      <w:r>
        <w:rPr>
          <w:rtl/>
        </w:rPr>
        <w:t xml:space="preserve"> את המצב בדומה לעילוי </w:t>
      </w:r>
      <w:proofErr w:type="spellStart"/>
      <w:r>
        <w:rPr>
          <w:rtl/>
        </w:rPr>
        <w:t>ממייצ׳ט</w:t>
      </w:r>
      <w:proofErr w:type="spellEnd"/>
      <w:r>
        <w:rPr>
          <w:rtl/>
        </w:rPr>
        <w:t xml:space="preserve">: “רושם ראוי במקצת, אף שפחות בהרבה מן הראוי, נותר רק אצל מבינים יחידים, אך על ההמון, שיכולים להיכלל בו גם גדולים וגאונים, לא עשה את הרושם הרצוי. להפך, הופעתו הייתה אכזבה. הם ציפו שכולו יהיה ‘ברקים’ </w:t>
      </w:r>
      <w:proofErr w:type="spellStart"/>
      <w:r>
        <w:rPr>
          <w:rtl/>
        </w:rPr>
        <w:t>ו‘קלאנג</w:t>
      </w:r>
      <w:proofErr w:type="spellEnd"/>
      <w:r>
        <w:rPr>
          <w:rtl/>
        </w:rPr>
        <w:t xml:space="preserve">’ [צלצול] להנאתם </w:t>
      </w:r>
      <w:proofErr w:type="spellStart"/>
      <w:r>
        <w:rPr>
          <w:rtl/>
        </w:rPr>
        <w:t>ולעונגם</w:t>
      </w:r>
      <w:proofErr w:type="spellEnd"/>
      <w:r>
        <w:rPr>
          <w:rtl/>
        </w:rPr>
        <w:t xml:space="preserve">, והוא נמצא ‘לוחות גרניט’ שצריכים </w:t>
      </w:r>
      <w:r>
        <w:rPr>
          <w:rtl/>
        </w:rPr>
        <w:lastRenderedPageBreak/>
        <w:t xml:space="preserve">עבודה ויגיעה [כדי להבינם], ורק אחרי עבודה רבה יבואו </w:t>
      </w:r>
      <w:proofErr w:type="spellStart"/>
      <w:r>
        <w:rPr>
          <w:rtl/>
        </w:rPr>
        <w:t>ה‘קלאנג</w:t>
      </w:r>
      <w:proofErr w:type="spellEnd"/>
      <w:r>
        <w:rPr>
          <w:rtl/>
        </w:rPr>
        <w:t>’ והעונג. בימינו” – בחברת לומדי התורה הטרודה שלפני מלחמת העולם השנייה – “אין לכך ‘</w:t>
      </w:r>
      <w:proofErr w:type="spellStart"/>
      <w:r>
        <w:rPr>
          <w:rtl/>
        </w:rPr>
        <w:t>בעלנים</w:t>
      </w:r>
      <w:proofErr w:type="spellEnd"/>
      <w:r>
        <w:rPr>
          <w:rtl/>
        </w:rPr>
        <w:t>’ [לקוחות].”</w:t>
      </w:r>
    </w:p>
    <w:p w14:paraId="4694A882" w14:textId="2CCD74FA"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3021" w:name="_fnr2141"/>
      <w:r>
        <w:rPr>
          <w:rStyle w:val="a5"/>
        </w:rPr>
        <w:footnoteReference w:id="2147" w:customMarkFollows="0"/>
      </w:r>
      <w:bookmarkEnd w:id="3021"/>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w:t>
      </w:r>
      <w:proofErr w:type="spellStart"/>
      <w:r>
        <w:rPr>
          <w:rtl/>
        </w:rPr>
        <w:t>חיים־עוזר</w:t>
      </w:r>
      <w:proofErr w:type="spellEnd"/>
      <w:r>
        <w:rPr>
          <w:rtl/>
        </w:rPr>
        <w:t xml:space="preserve"> זירז את אביו ר׳ יצחק־זאב להוציא את חידושי ר׳ חיים, ואמר: “עתה עדיין חיים מקצת תלמידיו של ר׳ חיים מימי </w:t>
      </w:r>
      <w:proofErr w:type="spellStart"/>
      <w:r>
        <w:rPr>
          <w:rtl/>
        </w:rPr>
        <w:t>וולוז׳ין</w:t>
      </w:r>
      <w:proofErr w:type="spellEnd"/>
      <w:r>
        <w:rPr>
          <w:rtl/>
        </w:rPr>
        <w:t xml:space="preserve">, והם יכולים להבין את דבריו; אם תמתינו, כבר לא יהיה בשביל מי להוציא את כתביו.” על תגובתו האישית של ר׳ </w:t>
      </w:r>
      <w:proofErr w:type="spellStart"/>
      <w:r>
        <w:rPr>
          <w:rtl/>
        </w:rPr>
        <w:t>חיים־עוזר</w:t>
      </w:r>
      <w:proofErr w:type="spellEnd"/>
      <w:r>
        <w:rPr>
          <w:rtl/>
        </w:rPr>
        <w:t xml:space="preserve"> להופעת הכרך השווה “ר׳ מנדל </w:t>
      </w:r>
      <w:proofErr w:type="spellStart"/>
      <w:r>
        <w:rPr>
          <w:rtl/>
        </w:rPr>
        <w:t>וחכמתו</w:t>
      </w:r>
      <w:proofErr w:type="spellEnd"/>
      <w:r>
        <w:rPr>
          <w:rtl/>
        </w:rPr>
        <w:t>”,</w:t>
      </w:r>
      <w:bookmarkStart w:id="3022" w:name="_fnr2142"/>
      <w:r>
        <w:rPr>
          <w:rStyle w:val="a5"/>
        </w:rPr>
        <w:footnoteReference w:id="2148" w:customMarkFollows="0"/>
      </w:r>
      <w:bookmarkEnd w:id="3022"/>
      <w:r>
        <w:rPr>
          <w:rtl/>
        </w:rPr>
        <w:t xml:space="preserve"> המצטט “קרוב משפחה”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“כאשר הגיע הספר לביתו, התרגש עד כדי כך שהחל ממש לרקוד מרוב שמחה.” על דעתו של ר׳ </w:t>
      </w:r>
      <w:proofErr w:type="spellStart"/>
      <w:r>
        <w:rPr>
          <w:rtl/>
        </w:rPr>
        <w:t>חיים־עוזר</w:t>
      </w:r>
      <w:proofErr w:type="spellEnd"/>
      <w:r>
        <w:rPr>
          <w:rtl/>
        </w:rPr>
        <w:t xml:space="preserve"> על שכלו העילאי של ר׳ חיים השווה גם פרק 4,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p w14:paraId="501150AA" w14:textId="77777777" w:rsidR="00AB3647" w:rsidRDefault="00000000" w:rsidP="007923E9">
      <w:pPr>
        <w:spacing w:after="120" w:line="276" w:lineRule="auto"/>
        <w:ind w:firstLine="283"/>
        <w:jc w:val="both"/>
      </w:pPr>
      <w:r>
        <w:rPr>
          <w:rtl/>
        </w:rPr>
        <w:t xml:space="preserve">מקריאה </w:t>
      </w:r>
      <w:proofErr w:type="spellStart"/>
      <w:r>
        <w:rPr>
          <w:rtl/>
        </w:rPr>
        <w:t>ב“סיפורה</w:t>
      </w:r>
      <w:proofErr w:type="spellEnd"/>
      <w:r>
        <w:rPr>
          <w:rtl/>
        </w:rPr>
        <w:t xml:space="preserve"> של ישיבה </w:t>
      </w:r>
      <w:proofErr w:type="spellStart"/>
      <w:r>
        <w:rPr>
          <w:rtl/>
        </w:rPr>
        <w:t>יוניברסיטי</w:t>
      </w:r>
      <w:proofErr w:type="spellEnd"/>
      <w:r>
        <w:rPr>
          <w:rtl/>
        </w:rPr>
        <w:t xml:space="preserve">” מאת </w:t>
      </w:r>
      <w:proofErr w:type="spellStart"/>
      <w:r>
        <w:rPr>
          <w:rtl/>
        </w:rPr>
        <w:t>גילברט</w:t>
      </w:r>
      <w:proofErr w:type="spellEnd"/>
      <w:r>
        <w:rPr>
          <w:rtl/>
        </w:rPr>
        <w:t xml:space="preserve"> </w:t>
      </w:r>
      <w:proofErr w:type="spellStart"/>
      <w:r>
        <w:rPr>
          <w:rtl/>
        </w:rPr>
        <w:t>קלפרמן</w:t>
      </w:r>
      <w:bookmarkStart w:id="3023" w:name="_fnr2143"/>
      <w:proofErr w:type="spellEnd"/>
      <w:r>
        <w:rPr>
          <w:rStyle w:val="a5"/>
        </w:rPr>
        <w:footnoteReference w:id="2149" w:customMarkFollows="0"/>
      </w:r>
      <w:bookmarkEnd w:id="3023"/>
      <w:r>
        <w:rPr>
          <w:rtl/>
        </w:rPr>
        <w:t xml:space="preserve"> עולה שישיבת רבנו יצחק אלחנן נוסדה ונרשמה כתאגיד בשם זה </w:t>
      </w:r>
      <w:proofErr w:type="spellStart"/>
      <w:r>
        <w:rPr>
          <w:rtl/>
        </w:rPr>
        <w:t>בתרנ״ז</w:t>
      </w:r>
      <w:proofErr w:type="spellEnd"/>
      <w:r>
        <w:rPr>
          <w:rtl/>
        </w:rPr>
        <w:t xml:space="preserve">, בידי שלושה אנשים, ששניים מהם היו רבנים. האחד, ר׳ משה־מאיר </w:t>
      </w:r>
      <w:proofErr w:type="spellStart"/>
      <w:r>
        <w:rPr>
          <w:rtl/>
        </w:rPr>
        <w:t>מטלין</w:t>
      </w:r>
      <w:proofErr w:type="spellEnd"/>
      <w:r>
        <w:rPr>
          <w:rtl/>
        </w:rPr>
        <w:t xml:space="preserve"> הצדיק, הוסמך בידי ר׳ </w:t>
      </w:r>
      <w:proofErr w:type="spellStart"/>
      <w:r>
        <w:rPr>
          <w:rtl/>
        </w:rPr>
        <w:t>יצחק־אלחנן</w:t>
      </w:r>
      <w:proofErr w:type="spellEnd"/>
      <w:r>
        <w:rPr>
          <w:rtl/>
        </w:rPr>
        <w:t xml:space="preserve"> </w:t>
      </w:r>
      <w:proofErr w:type="spellStart"/>
      <w:r>
        <w:rPr>
          <w:rtl/>
        </w:rPr>
        <w:t>ספקטור</w:t>
      </w:r>
      <w:proofErr w:type="spellEnd"/>
      <w:r>
        <w:rPr>
          <w:rtl/>
        </w:rPr>
        <w:t xml:space="preserve"> ושימש בבית דינו של הרב הכולל של ניו יורק, ר׳ </w:t>
      </w:r>
      <w:proofErr w:type="spellStart"/>
      <w:r>
        <w:rPr>
          <w:rtl/>
        </w:rPr>
        <w:t>יעקב־יוסף</w:t>
      </w:r>
      <w:proofErr w:type="spellEnd"/>
      <w:r>
        <w:rPr>
          <w:rtl/>
        </w:rPr>
        <w:t>.</w:t>
      </w:r>
      <w:bookmarkStart w:id="3024" w:name="_fnr2144"/>
      <w:r>
        <w:rPr>
          <w:rStyle w:val="a5"/>
        </w:rPr>
        <w:footnoteReference w:id="2150" w:customMarkFollows="0"/>
      </w:r>
      <w:bookmarkEnd w:id="3024"/>
      <w:r>
        <w:rPr>
          <w:rtl/>
        </w:rPr>
        <w:t xml:space="preserve"> השני, ר׳ </w:t>
      </w:r>
      <w:proofErr w:type="spellStart"/>
      <w:r>
        <w:rPr>
          <w:rtl/>
        </w:rPr>
        <w:t>יהודה־דוד</w:t>
      </w:r>
      <w:proofErr w:type="spellEnd"/>
      <w:r>
        <w:rPr>
          <w:rtl/>
        </w:rPr>
        <w:t xml:space="preserve"> ברנשטיין הירא, נולד סמוך לקובנה. בעל הבית שבהם היה דוד אברמוביץ, שמקום מוצאו אינו מפורש.</w:t>
      </w:r>
    </w:p>
    <w:p w14:paraId="43506C37" w14:textId="77777777" w:rsidR="00AB3647" w:rsidRDefault="00000000" w:rsidP="007923E9">
      <w:pPr>
        <w:spacing w:after="120" w:line="276" w:lineRule="auto"/>
        <w:ind w:firstLine="283"/>
        <w:jc w:val="both"/>
      </w:pPr>
      <w:r>
        <w:rPr>
          <w:rtl/>
        </w:rPr>
        <w:t>הקשר בין שני הרבנים המייסדים לבין הרב מקובנה הוא טעם מספיק לכך שיעשו זכר לרב שהיה נערץ בעולם כולו, ושנפטר רק שנה קודם לכן, ויקראו את הישיבה החדשה על שמו. כמעט אין אפשרות שמחלוקת המוסר, שהתחוללה בליטא באותה שנה שבה נרשמה הישיבה כתאגיד, השפיעה על מתן השם למוסד שבעולם החדש.</w:t>
      </w:r>
    </w:p>
    <w:p w14:paraId="7F544761" w14:textId="77777777" w:rsidR="00AB3647" w:rsidRDefault="00000000" w:rsidP="007923E9">
      <w:pPr>
        <w:spacing w:after="120" w:line="276" w:lineRule="auto"/>
        <w:ind w:firstLine="283"/>
        <w:jc w:val="both"/>
      </w:pPr>
      <w:r>
        <w:rPr>
          <w:rtl/>
        </w:rPr>
        <w:t xml:space="preserve">אם נקבל את הטענה שבמאמר </w:t>
      </w:r>
      <w:proofErr w:type="spellStart"/>
      <w:r>
        <w:rPr>
          <w:rtl/>
        </w:rPr>
        <w:t>ב“דער</w:t>
      </w:r>
      <w:proofErr w:type="spellEnd"/>
      <w:r>
        <w:rPr>
          <w:rtl/>
        </w:rPr>
        <w:t xml:space="preserve"> איד”, שהשם רמז להתנגדות למוסר, הרי למרות ה</w:t>
      </w:r>
      <w:r>
        <w:rPr>
          <w:b/>
          <w:bCs/>
          <w:rtl/>
        </w:rPr>
        <w:t>משמעות שנקשרה לשם הישיבה</w:t>
      </w:r>
      <w:r>
        <w:rPr>
          <w:rtl/>
        </w:rPr>
        <w:t xml:space="preserve"> נכנס המוסר רשמית בשערי ישיבת רבנו יצחק אלחנן כשנתמנה בה למשגיח, </w:t>
      </w:r>
      <w:proofErr w:type="spellStart"/>
      <w:r>
        <w:rPr>
          <w:rtl/>
        </w:rPr>
        <w:t>בתש״ה</w:t>
      </w:r>
      <w:proofErr w:type="spellEnd"/>
      <w:r>
        <w:rPr>
          <w:rtl/>
        </w:rPr>
        <w:t xml:space="preserve">, ר׳ </w:t>
      </w:r>
      <w:proofErr w:type="spellStart"/>
      <w:r>
        <w:rPr>
          <w:rtl/>
        </w:rPr>
        <w:t>יעקב־משה</w:t>
      </w:r>
      <w:proofErr w:type="spellEnd"/>
      <w:r>
        <w:rPr>
          <w:rtl/>
        </w:rPr>
        <w:t xml:space="preserve"> לסין, תלמידו של הסבא ושותפו של אבי לחדר </w:t>
      </w:r>
      <w:proofErr w:type="spellStart"/>
      <w:r>
        <w:rPr>
          <w:rtl/>
        </w:rPr>
        <w:t>בסלבודקה</w:t>
      </w:r>
      <w:proofErr w:type="spellEnd"/>
      <w:r>
        <w:rPr>
          <w:rtl/>
        </w:rPr>
        <w:t>.</w:t>
      </w:r>
      <w:bookmarkStart w:id="3025" w:name="_fnr2145"/>
      <w:r>
        <w:rPr>
          <w:rStyle w:val="a5"/>
        </w:rPr>
        <w:footnoteReference w:id="2151" w:customMarkFollows="0"/>
      </w:r>
      <w:bookmarkEnd w:id="3025"/>
    </w:p>
    <w:p w14:paraId="5F43466D" w14:textId="77777777" w:rsidR="00AB3647" w:rsidRDefault="00000000" w:rsidP="007923E9">
      <w:pPr>
        <w:spacing w:after="120" w:line="276" w:lineRule="auto"/>
        <w:ind w:firstLine="283"/>
        <w:jc w:val="both"/>
      </w:pPr>
      <w:r>
        <w:rPr>
          <w:rtl/>
        </w:rPr>
        <w:t xml:space="preserve">מעניינת, אך שגויה, הטענה </w:t>
      </w:r>
      <w:proofErr w:type="spellStart"/>
      <w:r>
        <w:rPr>
          <w:rtl/>
        </w:rPr>
        <w:t>שב“ברנרד</w:t>
      </w:r>
      <w:proofErr w:type="spellEnd"/>
      <w:r>
        <w:rPr>
          <w:rtl/>
        </w:rPr>
        <w:t xml:space="preserve"> רוול – בונה האורתודוקסיה היהודית באמריקה” מאת אהרן </w:t>
      </w:r>
      <w:proofErr w:type="spellStart"/>
      <w:r>
        <w:rPr>
          <w:rtl/>
        </w:rPr>
        <w:t>רותקוף</w:t>
      </w:r>
      <w:proofErr w:type="spellEnd"/>
      <w:r>
        <w:rPr>
          <w:rtl/>
        </w:rPr>
        <w:t>,</w:t>
      </w:r>
      <w:bookmarkStart w:id="3026" w:name="_fnr2146"/>
      <w:r>
        <w:rPr>
          <w:rStyle w:val="a5"/>
        </w:rPr>
        <w:footnoteReference w:id="2152" w:customMarkFollows="0"/>
      </w:r>
      <w:bookmarkEnd w:id="3026"/>
      <w:r>
        <w:rPr>
          <w:rtl/>
        </w:rPr>
        <w:t xml:space="preserve"> </w:t>
      </w:r>
      <w:proofErr w:type="spellStart"/>
      <w:r>
        <w:rPr>
          <w:rtl/>
        </w:rPr>
        <w:t>ש“הקשר</w:t>
      </w:r>
      <w:proofErr w:type="spellEnd"/>
      <w:r>
        <w:rPr>
          <w:rtl/>
        </w:rPr>
        <w:t xml:space="preserve">” של ד״ר רוול עם ר׳ </w:t>
      </w:r>
      <w:proofErr w:type="spellStart"/>
      <w:r>
        <w:rPr>
          <w:rtl/>
        </w:rPr>
        <w:t>איצל׳ה</w:t>
      </w:r>
      <w:proofErr w:type="spellEnd"/>
      <w:r>
        <w:rPr>
          <w:rtl/>
        </w:rPr>
        <w:t xml:space="preserve"> </w:t>
      </w:r>
      <w:proofErr w:type="spellStart"/>
      <w:r>
        <w:rPr>
          <w:rtl/>
        </w:rPr>
        <w:t>בלאזר</w:t>
      </w:r>
      <w:proofErr w:type="spellEnd"/>
      <w:r>
        <w:rPr>
          <w:rtl/>
        </w:rPr>
        <w:t xml:space="preserve"> בקובנה, מגיל </w:t>
      </w:r>
      <w:proofErr w:type="spellStart"/>
      <w:r>
        <w:rPr>
          <w:rtl/>
        </w:rPr>
        <w:t>שתים־עשרה</w:t>
      </w:r>
      <w:proofErr w:type="spellEnd"/>
      <w:r>
        <w:rPr>
          <w:rtl/>
        </w:rPr>
        <w:t xml:space="preserve"> עד </w:t>
      </w:r>
      <w:proofErr w:type="spellStart"/>
      <w:r>
        <w:rPr>
          <w:rtl/>
        </w:rPr>
        <w:t>שמונה־עשרה</w:t>
      </w:r>
      <w:proofErr w:type="spellEnd"/>
      <w:r>
        <w:rPr>
          <w:rtl/>
        </w:rPr>
        <w:t xml:space="preserve">, להוציא שנה </w:t>
      </w:r>
      <w:proofErr w:type="spellStart"/>
      <w:r>
        <w:rPr>
          <w:rtl/>
        </w:rPr>
        <w:t>בטלז</w:t>
      </w:r>
      <w:proofErr w:type="spellEnd"/>
      <w:r>
        <w:rPr>
          <w:rtl/>
        </w:rPr>
        <w:t xml:space="preserve">, “השפיע עליו לאורך ימים” עד כדי כך שבמשך רבע המאה שבה הנהיג את ישיבה קולג׳ (תרע״ה–ת״ש) הכניס לצוותו את “חידושה של תנועת המוסר, משגיח”. הרב </w:t>
      </w:r>
      <w:proofErr w:type="spellStart"/>
      <w:r>
        <w:rPr>
          <w:rtl/>
        </w:rPr>
        <w:t>רותקוף</w:t>
      </w:r>
      <w:proofErr w:type="spellEnd"/>
      <w:r>
        <w:rPr>
          <w:rtl/>
        </w:rPr>
        <w:t xml:space="preserve"> הבהיר לי</w:t>
      </w:r>
      <w:bookmarkStart w:id="3027" w:name="_fnr2147"/>
      <w:r>
        <w:rPr>
          <w:rStyle w:val="a5"/>
        </w:rPr>
        <w:footnoteReference w:id="2153" w:customMarkFollows="0"/>
      </w:r>
      <w:bookmarkEnd w:id="3027"/>
      <w:r>
        <w:rPr>
          <w:rtl/>
        </w:rPr>
        <w:t xml:space="preserve"> שהמשגיח שאליו התכוון היה ר׳ יהודה ווייל (יליד תרכ״א), תלמיד ישיבת </w:t>
      </w:r>
      <w:proofErr w:type="spellStart"/>
      <w:r>
        <w:rPr>
          <w:rtl/>
        </w:rPr>
        <w:t>ראדין</w:t>
      </w:r>
      <w:proofErr w:type="spellEnd"/>
      <w:r>
        <w:rPr>
          <w:rtl/>
        </w:rPr>
        <w:t xml:space="preserve">, ששימש משגיח ובוחן בישיבת רבנו יצחק אלחנן מבואו לארצות הברית </w:t>
      </w:r>
      <w:proofErr w:type="spellStart"/>
      <w:r>
        <w:rPr>
          <w:rtl/>
        </w:rPr>
        <w:t>בתרפ״א</w:t>
      </w:r>
      <w:proofErr w:type="spellEnd"/>
      <w:r>
        <w:rPr>
          <w:rtl/>
        </w:rPr>
        <w:t xml:space="preserve"> ועד פטירתו </w:t>
      </w:r>
      <w:proofErr w:type="spellStart"/>
      <w:r>
        <w:rPr>
          <w:rtl/>
        </w:rPr>
        <w:t>בתש״ד</w:t>
      </w:r>
      <w:proofErr w:type="spellEnd"/>
      <w:r>
        <w:rPr>
          <w:rtl/>
        </w:rPr>
        <w:t>.</w:t>
      </w:r>
    </w:p>
    <w:p w14:paraId="32F1BCE8" w14:textId="77777777" w:rsidR="00AB3647" w:rsidRDefault="00000000" w:rsidP="007923E9">
      <w:pPr>
        <w:spacing w:after="120" w:line="276" w:lineRule="auto"/>
        <w:ind w:firstLine="283"/>
        <w:jc w:val="both"/>
      </w:pPr>
      <w:r>
        <w:rPr>
          <w:rtl/>
        </w:rPr>
        <w:lastRenderedPageBreak/>
        <w:t xml:space="preserve">אומנם הרבו לשבח את הרב ווייל </w:t>
      </w:r>
      <w:proofErr w:type="spellStart"/>
      <w:r>
        <w:rPr>
          <w:rtl/>
        </w:rPr>
        <w:t>כ“ענק</w:t>
      </w:r>
      <w:proofErr w:type="spellEnd"/>
      <w:r>
        <w:rPr>
          <w:rtl/>
        </w:rPr>
        <w:t xml:space="preserve"> רוח”, “צדיק תמים” </w:t>
      </w:r>
      <w:proofErr w:type="spellStart"/>
      <w:r>
        <w:rPr>
          <w:rtl/>
        </w:rPr>
        <w:t>ו“החפץ־חיים</w:t>
      </w:r>
      <w:proofErr w:type="spellEnd"/>
      <w:r>
        <w:rPr>
          <w:rtl/>
        </w:rPr>
        <w:t xml:space="preserve"> שלנו” – בגרסאות נוספות של אותו עניין כינהו הרב </w:t>
      </w:r>
      <w:proofErr w:type="spellStart"/>
      <w:r>
        <w:rPr>
          <w:rtl/>
        </w:rPr>
        <w:t>רותקוף</w:t>
      </w:r>
      <w:proofErr w:type="spellEnd"/>
      <w:r>
        <w:rPr>
          <w:rtl/>
        </w:rPr>
        <w:t xml:space="preserve"> “</w:t>
      </w:r>
      <w:proofErr w:type="spellStart"/>
      <w:r>
        <w:rPr>
          <w:rtl/>
        </w:rPr>
        <w:t>החפץ־חיים</w:t>
      </w:r>
      <w:proofErr w:type="spellEnd"/>
      <w:r>
        <w:rPr>
          <w:rtl/>
        </w:rPr>
        <w:t xml:space="preserve"> הקטן”, וד״ר שמואל </w:t>
      </w:r>
      <w:proofErr w:type="spellStart"/>
      <w:r>
        <w:rPr>
          <w:rtl/>
        </w:rPr>
        <w:t>בלקין</w:t>
      </w:r>
      <w:proofErr w:type="spellEnd"/>
      <w:r>
        <w:rPr>
          <w:rtl/>
        </w:rPr>
        <w:t xml:space="preserve"> “</w:t>
      </w:r>
      <w:proofErr w:type="spellStart"/>
      <w:r>
        <w:rPr>
          <w:rtl/>
        </w:rPr>
        <w:t>החפץ־חיים</w:t>
      </w:r>
      <w:proofErr w:type="spellEnd"/>
      <w:r>
        <w:rPr>
          <w:rtl/>
        </w:rPr>
        <w:t xml:space="preserve"> של אמריקה”</w:t>
      </w:r>
      <w:bookmarkStart w:id="3028" w:name="_fnr2148"/>
      <w:r>
        <w:rPr>
          <w:rStyle w:val="a5"/>
        </w:rPr>
        <w:footnoteReference w:id="2154" w:customMarkFollows="0"/>
      </w:r>
      <w:bookmarkEnd w:id="3028"/>
      <w:r>
        <w:rPr>
          <w:rtl/>
        </w:rPr>
        <w:t xml:space="preserve"> – ואמרו עליו </w:t>
      </w:r>
      <w:proofErr w:type="spellStart"/>
      <w:r>
        <w:rPr>
          <w:rtl/>
        </w:rPr>
        <w:t>ש“מעולם</w:t>
      </w:r>
      <w:proofErr w:type="spellEnd"/>
      <w:r>
        <w:rPr>
          <w:rtl/>
        </w:rPr>
        <w:t xml:space="preserve"> לא הרים את קולו”, </w:t>
      </w:r>
      <w:proofErr w:type="spellStart"/>
      <w:r>
        <w:rPr>
          <w:rtl/>
        </w:rPr>
        <w:t>ו“כאשר</w:t>
      </w:r>
      <w:proofErr w:type="spellEnd"/>
      <w:r>
        <w:rPr>
          <w:rtl/>
        </w:rPr>
        <w:t xml:space="preserve"> ראה בחור שיש חור בנעלו, היה מחליק לידו דולר” מתוך “כסף שאסף בכוחות עצמו למען תלמידי ישיבה עניים”. עוד נאמר עליו </w:t>
      </w:r>
      <w:proofErr w:type="spellStart"/>
      <w:r>
        <w:rPr>
          <w:rtl/>
        </w:rPr>
        <w:t>ש“הבנתו</w:t>
      </w:r>
      <w:proofErr w:type="spellEnd"/>
      <w:r>
        <w:rPr>
          <w:rtl/>
        </w:rPr>
        <w:t xml:space="preserve"> את תלמידי הישיבה ואהבתו להם לא ידעו גבול”.</w:t>
      </w:r>
      <w:bookmarkStart w:id="3029" w:name="_fnr2149"/>
      <w:r>
        <w:rPr>
          <w:rStyle w:val="a5"/>
        </w:rPr>
        <w:footnoteReference w:id="2155" w:customMarkFollows="0"/>
      </w:r>
      <w:bookmarkEnd w:id="3029"/>
      <w:r>
        <w:rPr>
          <w:rtl/>
        </w:rPr>
        <w:t xml:space="preserve"> אבל הרב ווייל מעולם לא מסר שיחות מוסר, ורק דיווח לד״ר רוול על מה שראה אצל התלמידים. תפקידו היה דומה לתפקיד המשגיח בישיבות שאינן ישיבות מוסר, ובהן </w:t>
      </w:r>
      <w:proofErr w:type="spellStart"/>
      <w:r>
        <w:rPr>
          <w:rtl/>
        </w:rPr>
        <w:t>וולוז׳ין</w:t>
      </w:r>
      <w:proofErr w:type="spellEnd"/>
      <w:r>
        <w:rPr>
          <w:rtl/>
        </w:rPr>
        <w:t xml:space="preserve">, לכל הפחות מאז שנות </w:t>
      </w:r>
      <w:proofErr w:type="spellStart"/>
      <w:r>
        <w:rPr>
          <w:rtl/>
        </w:rPr>
        <w:t>התק״ע</w:t>
      </w:r>
      <w:proofErr w:type="spellEnd"/>
      <w:r>
        <w:rPr>
          <w:rtl/>
        </w:rPr>
        <w:t>. השווה “</w:t>
      </w:r>
      <w:proofErr w:type="spellStart"/>
      <w:r>
        <w:rPr>
          <w:rtl/>
        </w:rPr>
        <w:t>כבה״ת</w:t>
      </w:r>
      <w:proofErr w:type="spellEnd"/>
      <w:r>
        <w:rPr>
          <w:rtl/>
        </w:rPr>
        <w:t>”:</w:t>
      </w:r>
      <w:bookmarkStart w:id="3030" w:name="_fnr2150"/>
      <w:r>
        <w:rPr>
          <w:rStyle w:val="a5"/>
        </w:rPr>
        <w:footnoteReference w:id="2156" w:customMarkFollows="0"/>
      </w:r>
      <w:bookmarkEnd w:id="3030"/>
      <w:r>
        <w:rPr>
          <w:rtl/>
        </w:rPr>
        <w:t xml:space="preserve"> אחותו למחצה הגדולה של </w:t>
      </w:r>
      <w:proofErr w:type="spellStart"/>
      <w:r>
        <w:rPr>
          <w:rtl/>
        </w:rPr>
        <w:t>החפץ־חיים</w:t>
      </w:r>
      <w:proofErr w:type="spellEnd"/>
      <w:r>
        <w:rPr>
          <w:rtl/>
        </w:rPr>
        <w:t xml:space="preserve"> הייתה כלתו של “ר׳ </w:t>
      </w:r>
      <w:proofErr w:type="spellStart"/>
      <w:r>
        <w:rPr>
          <w:rtl/>
        </w:rPr>
        <w:t>אליקום</w:t>
      </w:r>
      <w:proofErr w:type="spellEnd"/>
      <w:r>
        <w:rPr>
          <w:rtl/>
        </w:rPr>
        <w:t xml:space="preserve">, המשגיח בישיבת </w:t>
      </w:r>
      <w:proofErr w:type="spellStart"/>
      <w:r>
        <w:rPr>
          <w:rtl/>
        </w:rPr>
        <w:t>וולוז׳ין</w:t>
      </w:r>
      <w:proofErr w:type="spellEnd"/>
      <w:r>
        <w:rPr>
          <w:rtl/>
        </w:rPr>
        <w:t xml:space="preserve"> בימי [ראשות הישיבה של] ר׳ יצחק, וככל הנראה כבר בימי אביו... ר׳ חיים”.</w:t>
      </w:r>
      <w:bookmarkStart w:id="3031" w:name="_fnr2151"/>
      <w:r>
        <w:rPr>
          <w:rStyle w:val="a5"/>
        </w:rPr>
        <w:footnoteReference w:id="2157" w:customMarkFollows="0"/>
      </w:r>
      <w:bookmarkEnd w:id="3031"/>
    </w:p>
    <w:p w14:paraId="7EE8ED0A" w14:textId="77777777" w:rsidR="00AB3647" w:rsidRDefault="00000000" w:rsidP="007923E9">
      <w:pPr>
        <w:spacing w:after="120" w:line="276" w:lineRule="auto"/>
        <w:ind w:firstLine="283"/>
        <w:jc w:val="both"/>
      </w:pPr>
      <w:r>
        <w:rPr>
          <w:rtl/>
        </w:rPr>
        <w:t xml:space="preserve">חידושן של ישיבות המוסר היה שהמשגיח אינו רק מפקח המדווח </w:t>
      </w:r>
      <w:r>
        <w:rPr>
          <w:b/>
          <w:bCs/>
          <w:rtl/>
        </w:rPr>
        <w:t>לראש הישיבה</w:t>
      </w:r>
      <w:r>
        <w:rPr>
          <w:rtl/>
        </w:rPr>
        <w:t xml:space="preserve"> אילו תלמידים נוכחים וכיצד הם מתנהגים, אלא אדם המרצה לפני התלמידים ומכוון את התפתחותם הרוחנית. התואר “מנהל רוחני”, הרווח כיום, מתאר ביתר דיוק את תפקידיו של המשגיח בישיבות המוסר. בישיבות אלה היה התואר הסתמי “משגיח” רק שריד לתפקיד הפחות בחשיבותו שנקרא בשם זה בישיבות הקודמות, שאינן ישיבות מוסר. לפיכך אני מציע שרק אחרי שנתמנה ר׳ </w:t>
      </w:r>
      <w:proofErr w:type="spellStart"/>
      <w:r>
        <w:rPr>
          <w:rtl/>
        </w:rPr>
        <w:t>יעקב־משה</w:t>
      </w:r>
      <w:proofErr w:type="spellEnd"/>
      <w:r>
        <w:rPr>
          <w:rtl/>
        </w:rPr>
        <w:t xml:space="preserve"> לסין, איש מוסר מוכר, למסור שיחות מוסר בסבב לכל אחת מן הכיתות בישיבת רבנו יצחק אלחנן, אפשר היה לתאר את הישיבה כנוטה לשיטת המוסר.</w:t>
      </w:r>
    </w:p>
    <w:p w14:paraId="48DA93E4" w14:textId="77777777" w:rsidR="00AB3647" w:rsidRDefault="00000000" w:rsidP="007923E9">
      <w:pPr>
        <w:spacing w:after="120" w:line="276" w:lineRule="auto"/>
        <w:ind w:firstLine="283"/>
        <w:jc w:val="both"/>
      </w:pPr>
      <w:r>
        <w:rPr>
          <w:rtl/>
        </w:rPr>
        <w:t>למעשה, מצאתי בישיבת רבנו יצחק אלחנן עצמה משגיח מן הסוג שהיה בישיבות שאינן ישיבות מוסר עוד לפני הרב ווייל:</w:t>
      </w:r>
      <w:bookmarkStart w:id="3032" w:name="_fnr2152"/>
      <w:r>
        <w:rPr>
          <w:rStyle w:val="a5"/>
        </w:rPr>
        <w:footnoteReference w:id="2158" w:customMarkFollows="0"/>
      </w:r>
      <w:bookmarkEnd w:id="3032"/>
      <w:r>
        <w:rPr>
          <w:rtl/>
        </w:rPr>
        <w:t xml:space="preserve"> ר׳ ישראל </w:t>
      </w:r>
      <w:proofErr w:type="spellStart"/>
      <w:r>
        <w:rPr>
          <w:rtl/>
        </w:rPr>
        <w:t>אייזקסון</w:t>
      </w:r>
      <w:proofErr w:type="spellEnd"/>
      <w:r>
        <w:rPr>
          <w:rtl/>
        </w:rPr>
        <w:t xml:space="preserve">, שהיה רב </w:t>
      </w:r>
      <w:proofErr w:type="spellStart"/>
      <w:r>
        <w:rPr>
          <w:rtl/>
        </w:rPr>
        <w:t>בווילקי</w:t>
      </w:r>
      <w:proofErr w:type="spellEnd"/>
      <w:r>
        <w:rPr>
          <w:rtl/>
        </w:rPr>
        <w:t xml:space="preserve"> שבליטא ואחר כך </w:t>
      </w:r>
      <w:proofErr w:type="spellStart"/>
      <w:r>
        <w:rPr>
          <w:rtl/>
        </w:rPr>
        <w:t>בקוידנוב</w:t>
      </w:r>
      <w:proofErr w:type="spellEnd"/>
      <w:r>
        <w:rPr>
          <w:rtl/>
        </w:rPr>
        <w:t>, בא לניו יורק ב־1907 ונעשה “ר״מ ומשגיח” בישיבה ב־1909.</w:t>
      </w:r>
      <w:bookmarkStart w:id="3033" w:name="_fnr2153"/>
      <w:r>
        <w:rPr>
          <w:rStyle w:val="a5"/>
        </w:rPr>
        <w:footnoteReference w:id="2159" w:customMarkFollows="0"/>
      </w:r>
      <w:bookmarkEnd w:id="3033"/>
      <w:r>
        <w:rPr>
          <w:rtl/>
        </w:rPr>
        <w:t xml:space="preserve"> מובן שבשנות חייו האחרונות של הרב ווייל, כשנותר בתפקיד הבוחן של הכיתות הנמוכות בלבד,</w:t>
      </w:r>
      <w:bookmarkStart w:id="3034" w:name="_fnr2154"/>
      <w:r>
        <w:rPr>
          <w:rStyle w:val="a5"/>
        </w:rPr>
        <w:footnoteReference w:id="2160" w:customMarkFollows="0"/>
      </w:r>
      <w:bookmarkEnd w:id="3034"/>
      <w:r>
        <w:rPr>
          <w:rtl/>
        </w:rPr>
        <w:t xml:space="preserve"> והמשרה שכונתה “משגיח” הייתה בידי ר׳ </w:t>
      </w:r>
      <w:proofErr w:type="spellStart"/>
      <w:r>
        <w:rPr>
          <w:rtl/>
        </w:rPr>
        <w:t>אברהם־יצחק</w:t>
      </w:r>
      <w:proofErr w:type="spellEnd"/>
      <w:r>
        <w:rPr>
          <w:rtl/>
        </w:rPr>
        <w:t xml:space="preserve"> </w:t>
      </w:r>
      <w:proofErr w:type="spellStart"/>
      <w:r>
        <w:rPr>
          <w:rtl/>
        </w:rPr>
        <w:t>סלמנוביץ</w:t>
      </w:r>
      <w:proofErr w:type="spellEnd"/>
      <w:r>
        <w:rPr>
          <w:rtl/>
        </w:rPr>
        <w:t xml:space="preserve"> (תרמ״ז–תש״ו), לא כלל צוות ישיבת רבנו יצחק אלחנן “חידוש של תנועת המוסר”, גם אם נרחיב את המושג ככל האפשר. הרב </w:t>
      </w:r>
      <w:proofErr w:type="spellStart"/>
      <w:r>
        <w:rPr>
          <w:rtl/>
        </w:rPr>
        <w:t>סלמנוביץ</w:t>
      </w:r>
      <w:proofErr w:type="spellEnd"/>
      <w:r>
        <w:rPr>
          <w:rtl/>
        </w:rPr>
        <w:t xml:space="preserve"> היה חסיד מוורשה,</w:t>
      </w:r>
      <w:bookmarkStart w:id="3035" w:name="_fnr2155"/>
      <w:r>
        <w:rPr>
          <w:rStyle w:val="a5"/>
        </w:rPr>
        <w:footnoteReference w:id="2161" w:customMarkFollows="0"/>
      </w:r>
      <w:bookmarkEnd w:id="3035"/>
      <w:r>
        <w:rPr>
          <w:rtl/>
        </w:rPr>
        <w:t xml:space="preserve"> בלי קשר כלשהו למוסר.</w:t>
      </w:r>
    </w:p>
    <w:p w14:paraId="04686407" w14:textId="77777777" w:rsidR="00AB3647" w:rsidRDefault="00000000" w:rsidP="007923E9">
      <w:pPr>
        <w:spacing w:after="120" w:line="276" w:lineRule="auto"/>
        <w:ind w:firstLine="283"/>
        <w:jc w:val="both"/>
      </w:pPr>
      <w:r>
        <w:rPr>
          <w:rtl/>
        </w:rPr>
        <w:lastRenderedPageBreak/>
        <w:t xml:space="preserve">גם בחירתו של ד״ר רוול </w:t>
      </w:r>
      <w:proofErr w:type="spellStart"/>
      <w:r>
        <w:rPr>
          <w:rtl/>
        </w:rPr>
        <w:t>ב“ספר</w:t>
      </w:r>
      <w:proofErr w:type="spellEnd"/>
      <w:r>
        <w:rPr>
          <w:rtl/>
        </w:rPr>
        <w:t xml:space="preserve"> חובות הלבבות” כנושא עבודת הגמר שלו לתואר שני באוניברסיטת ניו יורק אינה ראיה ליחס אוהד למוסר, כטענת הרב </w:t>
      </w:r>
      <w:proofErr w:type="spellStart"/>
      <w:r>
        <w:rPr>
          <w:rtl/>
        </w:rPr>
        <w:t>רותקוף</w:t>
      </w:r>
      <w:proofErr w:type="spellEnd"/>
      <w:r>
        <w:rPr>
          <w:rtl/>
        </w:rPr>
        <w:t>. ייתכן שאותו ספר יסוד רק עורר את עניינו האקדמי של ד״ר רוול.</w:t>
      </w:r>
    </w:p>
    <w:p w14:paraId="33D21DFC" w14:textId="77777777" w:rsidR="00AB3647" w:rsidRDefault="00000000" w:rsidP="007923E9">
      <w:pPr>
        <w:spacing w:after="120" w:line="276" w:lineRule="auto"/>
        <w:ind w:firstLine="283"/>
        <w:jc w:val="both"/>
      </w:pPr>
      <w:r>
        <w:rPr>
          <w:rtl/>
        </w:rPr>
        <w:t xml:space="preserve">לדעתי, הישיבה האמריקאית היחידה שמתן שמה היה קשור לפילוג </w:t>
      </w:r>
      <w:proofErr w:type="spellStart"/>
      <w:r>
        <w:rPr>
          <w:rtl/>
        </w:rPr>
        <w:t>בסלבודקה</w:t>
      </w:r>
      <w:proofErr w:type="spellEnd"/>
      <w:r>
        <w:rPr>
          <w:rtl/>
        </w:rPr>
        <w:t xml:space="preserve"> היא נר ישראל בבולטימור, שנוסדה שלושים ושש שנה אחרי מחלוקת המוסר. תלמידו של הסבא, ר׳ </w:t>
      </w:r>
      <w:proofErr w:type="spellStart"/>
      <w:r>
        <w:rPr>
          <w:rtl/>
        </w:rPr>
        <w:t>יעקב־יצחק</w:t>
      </w:r>
      <w:proofErr w:type="spellEnd"/>
      <w:r>
        <w:rPr>
          <w:rtl/>
        </w:rPr>
        <w:t xml:space="preserve"> </w:t>
      </w:r>
      <w:proofErr w:type="spellStart"/>
      <w:r>
        <w:rPr>
          <w:rtl/>
        </w:rPr>
        <w:t>רודרמן</w:t>
      </w:r>
      <w:proofErr w:type="spellEnd"/>
      <w:r>
        <w:rPr>
          <w:rtl/>
        </w:rPr>
        <w:t xml:space="preserve">, נתן לה את שמה כדי לקשרה לשיטת המוסר של ר׳ ישראל </w:t>
      </w:r>
      <w:proofErr w:type="spellStart"/>
      <w:r>
        <w:rPr>
          <w:rtl/>
        </w:rPr>
        <w:t>סלנטר</w:t>
      </w:r>
      <w:proofErr w:type="spellEnd"/>
      <w:r>
        <w:rPr>
          <w:rtl/>
        </w:rPr>
        <w:t>,</w:t>
      </w:r>
      <w:bookmarkStart w:id="3036" w:name="_fnr2156"/>
      <w:r>
        <w:rPr>
          <w:rStyle w:val="a5"/>
        </w:rPr>
        <w:footnoteReference w:id="2162" w:customMarkFollows="0"/>
      </w:r>
      <w:bookmarkEnd w:id="3036"/>
      <w:r>
        <w:rPr>
          <w:rtl/>
        </w:rPr>
        <w:t xml:space="preserve"> כמו שהתכוון הסבא </w:t>
      </w:r>
      <w:proofErr w:type="spellStart"/>
      <w:r>
        <w:rPr>
          <w:rtl/>
        </w:rPr>
        <w:t>מסלבודקה</w:t>
      </w:r>
      <w:proofErr w:type="spellEnd"/>
      <w:r>
        <w:rPr>
          <w:rtl/>
        </w:rPr>
        <w:t xml:space="preserve"> כשהוא (או ר׳ </w:t>
      </w:r>
      <w:proofErr w:type="spellStart"/>
      <w:r>
        <w:rPr>
          <w:rtl/>
        </w:rPr>
        <w:t>איצל׳ה</w:t>
      </w:r>
      <w:proofErr w:type="spellEnd"/>
      <w:r>
        <w:rPr>
          <w:rtl/>
        </w:rPr>
        <w:t xml:space="preserve"> </w:t>
      </w:r>
      <w:proofErr w:type="spellStart"/>
      <w:r>
        <w:rPr>
          <w:rtl/>
        </w:rPr>
        <w:t>פטרבורגר</w:t>
      </w:r>
      <w:proofErr w:type="spellEnd"/>
      <w:r>
        <w:rPr>
          <w:rtl/>
        </w:rPr>
        <w:t xml:space="preserve">) קרא לישיבה החדשה </w:t>
      </w:r>
      <w:proofErr w:type="spellStart"/>
      <w:r>
        <w:rPr>
          <w:rtl/>
        </w:rPr>
        <w:t>בסלבודקה</w:t>
      </w:r>
      <w:proofErr w:type="spellEnd"/>
      <w:r>
        <w:rPr>
          <w:rtl/>
        </w:rPr>
        <w:t xml:space="preserve"> כנסת ישראל.</w:t>
      </w:r>
    </w:p>
    <w:bookmarkStart w:id="3037" w:name="b3_excQ"/>
    <w:p w14:paraId="1ED5244A" w14:textId="77777777" w:rsidR="00AB3647" w:rsidRDefault="00000000" w:rsidP="007923E9">
      <w:pPr>
        <w:pStyle w:val="3"/>
        <w:spacing w:line="276" w:lineRule="auto"/>
      </w:pPr>
      <w:r>
        <w:lastRenderedPageBreak/>
        <w:fldChar w:fldCharType="begin" w:dirty="true"/>
      </w:r>
      <w:r>
        <w:rPr>
          <w:rtl w:val="0"/>
        </w:rPr>
        <w:instrText>HYPERLINK \l "b3_note47</w:instrText>
      </w:r>
      <w:r>
        <w:instrText>"</w:instrText>
      </w:r>
      <w:r>
        <w:fldChar w:fldCharType="separate"/>
      </w:r>
      <w:r>
        <w:t xml:space="preserve">נספח </w:t>
      </w:r>
      <w:proofErr w:type="spellStart"/>
      <w:r>
        <w:t>יז</w:t>
      </w:r>
      <w:proofErr w:type="spellEnd"/>
      <w:r>
        <w:fldChar w:fldCharType="end"/>
      </w:r>
      <w:bookmarkEnd w:id="3037"/>
    </w:p>
    <w:p w14:paraId="71DDF941" w14:textId="77777777" w:rsidR="00AB3647" w:rsidRDefault="00000000" w:rsidP="007923E9">
      <w:pPr>
        <w:pStyle w:val="af"/>
        <w:spacing w:line="276" w:lineRule="auto"/>
      </w:pPr>
      <w:r>
        <w:t xml:space="preserve">על מאמציו של ר׳ </w:t>
      </w:r>
      <w:proofErr w:type="spellStart"/>
      <w:r>
        <w:t>נתן־צבי</w:t>
      </w:r>
      <w:proofErr w:type="spellEnd"/>
      <w:r>
        <w:t xml:space="preserve"> </w:t>
      </w:r>
      <w:proofErr w:type="spellStart"/>
      <w:r>
        <w:t>פינקל</w:t>
      </w:r>
      <w:proofErr w:type="spellEnd"/>
      <w:r>
        <w:t xml:space="preserve"> בבניין ישיבות ועל יחסו התמוה לבית הספר </w:t>
      </w:r>
      <w:proofErr w:type="spellStart"/>
      <w:r>
        <w:t>בגרובין</w:t>
      </w:r>
      <w:proofErr w:type="spellEnd"/>
    </w:p>
    <w:p w14:paraId="6BB032AA" w14:textId="77777777" w:rsidR="00AB3647" w:rsidRDefault="00000000" w:rsidP="007923E9">
      <w:pPr>
        <w:pStyle w:val="4"/>
        <w:spacing w:line="276" w:lineRule="auto"/>
      </w:pPr>
      <w:r>
        <w:t>· הפסקה הראשונה ·</w:t>
      </w:r>
    </w:p>
    <w:p w14:paraId="61948DEE" w14:textId="77777777" w:rsidR="00AB3647" w:rsidRDefault="00000000" w:rsidP="007923E9">
      <w:pPr>
        <w:pStyle w:val="5"/>
        <w:spacing w:line="276" w:lineRule="auto"/>
      </w:pPr>
      <w:r>
        <w:t>הסבא מגלה את מטרתו</w:t>
      </w:r>
    </w:p>
    <w:p w14:paraId="1B15CC23" w14:textId="77777777" w:rsidR="00AB3647" w:rsidRDefault="00000000" w:rsidP="007923E9">
      <w:pPr>
        <w:spacing w:after="120" w:line="276" w:lineRule="auto"/>
        <w:ind w:firstLine="283"/>
        <w:jc w:val="both"/>
      </w:pPr>
      <w:r>
        <w:rPr>
          <w:rtl/>
        </w:rPr>
        <w:t xml:space="preserve">בהקדמה </w:t>
      </w:r>
      <w:proofErr w:type="spellStart"/>
      <w:r>
        <w:rPr>
          <w:rtl/>
        </w:rPr>
        <w:t>ל“עץ</w:t>
      </w:r>
      <w:proofErr w:type="spellEnd"/>
      <w:r>
        <w:rPr>
          <w:rtl/>
        </w:rPr>
        <w:t xml:space="preserve"> פרי”, שהוציא לאור בעילום שם,</w:t>
      </w:r>
      <w:bookmarkStart w:id="3038" w:name="_fnr2157"/>
      <w:r>
        <w:rPr>
          <w:rStyle w:val="a5"/>
        </w:rPr>
        <w:footnoteReference w:id="2163" w:customMarkFollows="0"/>
      </w:r>
      <w:bookmarkEnd w:id="3038"/>
      <w:r>
        <w:rPr>
          <w:rtl/>
        </w:rPr>
        <w:t xml:space="preserve"> גילה הסבא את תוכנית חייו להפצת תורה. אחרי ששיבח את “הרגשות העדינים המתעוררים בעת הזאת בלב רבים מנאמני ישראל... בקהילות רבות בישראל, שבהן כל אחד מתעורר ומשתוקק להרים קרן התורה”, הוא מצטט את “תנא דבי אליהו”, שלפיו נענשו בני ישראל באובדן נפשות רב בגבעת בנימין</w:t>
      </w:r>
      <w:bookmarkStart w:id="3039" w:name="_fnr2158"/>
      <w:r>
        <w:rPr>
          <w:rStyle w:val="a5"/>
        </w:rPr>
        <w:footnoteReference w:id="2164" w:customMarkFollows="0"/>
      </w:r>
      <w:bookmarkEnd w:id="3039"/>
      <w:r>
        <w:rPr>
          <w:rtl/>
        </w:rPr>
        <w:t xml:space="preserve"> מפני שהסנהדרין לא התמסרה להפצת תורה. הסבא </w:t>
      </w:r>
      <w:proofErr w:type="spellStart"/>
      <w:r>
        <w:rPr>
          <w:rtl/>
        </w:rPr>
        <w:t>מסלבודקה</w:t>
      </w:r>
      <w:proofErr w:type="spellEnd"/>
      <w:r>
        <w:rPr>
          <w:rtl/>
        </w:rPr>
        <w:t xml:space="preserve"> סבר כנראה שקהילות רבות בליטא היו מוכנות לקבל ישיבות, ושעל מנהיגי הדור לנצל את ההזדמנות ולהקימן.</w:t>
      </w:r>
    </w:p>
    <w:p w14:paraId="2E452B0A" w14:textId="77777777" w:rsidR="00AB3647" w:rsidRDefault="00000000" w:rsidP="007923E9">
      <w:pPr>
        <w:pStyle w:val="4"/>
        <w:spacing w:line="276" w:lineRule="auto"/>
      </w:pPr>
      <w:r>
        <w:t>· הפסקה השנייה ·</w:t>
      </w:r>
    </w:p>
    <w:p w14:paraId="2E90EDAF" w14:textId="77777777" w:rsidR="00AB3647" w:rsidRDefault="00000000" w:rsidP="007923E9">
      <w:pPr>
        <w:keepNext/>
        <w:shd w:val="clear" w:color="auto" w:fill="F2F2F2"/>
        <w:spacing w:before="40" w:after="200" w:line="276" w:lineRule="auto"/>
        <w:ind w:left="283" w:right="283"/>
        <w:jc w:val="both"/>
      </w:pPr>
      <w:r>
        <w:rPr>
          <w:color w:val="404040"/>
          <w:sz w:val="22"/>
          <w:szCs w:val="22"/>
          <w:rtl/>
        </w:rPr>
        <w:t xml:space="preserve">ראשית דרכו של הסבא – הוא נשלח בשליחות למינסק – ר׳ </w:t>
      </w:r>
      <w:proofErr w:type="spellStart"/>
      <w:r>
        <w:rPr>
          <w:color w:val="404040"/>
          <w:sz w:val="22"/>
          <w:szCs w:val="22"/>
          <w:rtl/>
        </w:rPr>
        <w:t>שמחה־זיסל</w:t>
      </w:r>
      <w:proofErr w:type="spellEnd"/>
      <w:r>
        <w:rPr>
          <w:color w:val="404040"/>
          <w:sz w:val="22"/>
          <w:szCs w:val="22"/>
          <w:rtl/>
        </w:rPr>
        <w:t xml:space="preserve"> זיו סוגר את בית הספר </w:t>
      </w:r>
      <w:proofErr w:type="spellStart"/>
      <w:r>
        <w:rPr>
          <w:color w:val="404040"/>
          <w:sz w:val="22"/>
          <w:szCs w:val="22"/>
          <w:rtl/>
        </w:rPr>
        <w:t>בגרובין</w:t>
      </w:r>
      <w:proofErr w:type="spellEnd"/>
      <w:r>
        <w:rPr>
          <w:color w:val="404040"/>
          <w:sz w:val="22"/>
          <w:szCs w:val="22"/>
          <w:rtl/>
        </w:rPr>
        <w:t xml:space="preserve"> מחמת בריאותו הרופפת – לפי המסופר, הסבא אינו שבע רצון ממפעל </w:t>
      </w:r>
      <w:proofErr w:type="spellStart"/>
      <w:r>
        <w:rPr>
          <w:color w:val="404040"/>
          <w:sz w:val="22"/>
          <w:szCs w:val="22"/>
          <w:rtl/>
        </w:rPr>
        <w:t>גרובין</w:t>
      </w:r>
      <w:proofErr w:type="spellEnd"/>
      <w:r>
        <w:rPr>
          <w:color w:val="404040"/>
          <w:sz w:val="22"/>
          <w:szCs w:val="22"/>
          <w:rtl/>
        </w:rPr>
        <w:t xml:space="preserve"> – בית ספרו של הסבא מקלם נתקל בקשיים כספיים – הסבא כועס על ר׳ ירוחם </w:t>
      </w:r>
      <w:proofErr w:type="spellStart"/>
      <w:r>
        <w:rPr>
          <w:color w:val="404040"/>
          <w:sz w:val="22"/>
          <w:szCs w:val="22"/>
          <w:rtl/>
        </w:rPr>
        <w:t>ליבוביץ</w:t>
      </w:r>
      <w:proofErr w:type="spellEnd"/>
      <w:r>
        <w:rPr>
          <w:color w:val="404040"/>
          <w:sz w:val="22"/>
          <w:szCs w:val="22"/>
          <w:rtl/>
        </w:rPr>
        <w:t xml:space="preserve"> – ר׳ ירוחם נוטה להקל בהתרת לימודים כלליים בישיבות שלאחר המלחמה – ההשגחה עומדת מאחורי הקמת ישיבת חברון – הסבא מקלם ובנו חלוקים על הסבא </w:t>
      </w:r>
      <w:proofErr w:type="spellStart"/>
      <w:r>
        <w:rPr>
          <w:color w:val="404040"/>
          <w:sz w:val="22"/>
          <w:szCs w:val="22"/>
          <w:rtl/>
        </w:rPr>
        <w:t>מסלבודקה</w:t>
      </w:r>
      <w:proofErr w:type="spellEnd"/>
      <w:r>
        <w:rPr>
          <w:color w:val="404040"/>
          <w:sz w:val="22"/>
          <w:szCs w:val="22"/>
          <w:rtl/>
        </w:rPr>
        <w:t xml:space="preserve"> – הסבא מקבל משרה בישיבתו של ר׳ </w:t>
      </w:r>
      <w:proofErr w:type="spellStart"/>
      <w:r>
        <w:rPr>
          <w:color w:val="404040"/>
          <w:sz w:val="22"/>
          <w:szCs w:val="22"/>
          <w:rtl/>
        </w:rPr>
        <w:t>הירשל׳ה</w:t>
      </w:r>
      <w:proofErr w:type="spellEnd"/>
      <w:r>
        <w:rPr>
          <w:color w:val="404040"/>
          <w:sz w:val="22"/>
          <w:szCs w:val="22"/>
          <w:rtl/>
        </w:rPr>
        <w:t xml:space="preserve"> – הוא מקים ישיבה </w:t>
      </w:r>
      <w:proofErr w:type="spellStart"/>
      <w:r>
        <w:rPr>
          <w:color w:val="404040"/>
          <w:sz w:val="22"/>
          <w:szCs w:val="22"/>
          <w:rtl/>
        </w:rPr>
        <w:t>בטלז</w:t>
      </w:r>
      <w:proofErr w:type="spellEnd"/>
      <w:r>
        <w:rPr>
          <w:color w:val="404040"/>
          <w:sz w:val="22"/>
          <w:szCs w:val="22"/>
          <w:rtl/>
        </w:rPr>
        <w:t xml:space="preserve"> – הוא יוצר אמצעי להפצת תורה</w:t>
      </w:r>
    </w:p>
    <w:p w14:paraId="08FB1E41" w14:textId="610D6094" w:rsidR="00AB3647" w:rsidRDefault="00000000" w:rsidP="007923E9">
      <w:pPr>
        <w:spacing w:after="120" w:line="276" w:lineRule="auto"/>
        <w:ind w:firstLine="283"/>
        <w:jc w:val="both"/>
      </w:pPr>
      <w:r>
        <w:rPr>
          <w:rtl/>
        </w:rPr>
        <w:t xml:space="preserve">פועלו של הסבא בבניית מוסדות תורה ומוסר היה לשם דבר. כבר בשלב מוקדם זה בדרכו היו לזכותו הישגים ניכרים בהפצת לימוד התורה. אחרי ששימש </w:t>
      </w:r>
      <w:proofErr w:type="spellStart"/>
      <w:r>
        <w:rPr>
          <w:rtl/>
        </w:rPr>
        <w:t>בקלם</w:t>
      </w:r>
      <w:proofErr w:type="spellEnd"/>
      <w:r>
        <w:rPr>
          <w:rtl/>
        </w:rPr>
        <w:t xml:space="preserve"> תחת ר׳ </w:t>
      </w:r>
      <w:proofErr w:type="spellStart"/>
      <w:r>
        <w:rPr>
          <w:rtl/>
        </w:rPr>
        <w:t>שמחה־זיסל</w:t>
      </w:r>
      <w:proofErr w:type="spellEnd"/>
      <w:r>
        <w:rPr>
          <w:rtl/>
        </w:rPr>
        <w:t xml:space="preserve"> זיו עבר לקובנה, ושם ייסד קיבוץ של למדנים צעירים בבית מדרש הלוויית המת.</w:t>
      </w:r>
      <w:bookmarkStart w:id="3040" w:name="_fnr2159"/>
      <w:r>
        <w:rPr>
          <w:rStyle w:val="a5"/>
        </w:rPr>
        <w:footnoteReference w:id="2165" w:customMarkFollows="0"/>
      </w:r>
      <w:bookmarkEnd w:id="3040"/>
      <w:r>
        <w:rPr>
          <w:rtl/>
        </w:rPr>
        <w:t xml:space="preserve"> באותה עת הקים – או סייע להקים (השווה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לעיל) – את כולל קובנה. כעבור שנתיים, בן שלושים ואחת, עבר </w:t>
      </w:r>
      <w:proofErr w:type="spellStart"/>
      <w:r>
        <w:rPr>
          <w:rtl/>
        </w:rPr>
        <w:t>לגרובין</w:t>
      </w:r>
      <w:proofErr w:type="spellEnd"/>
      <w:r>
        <w:rPr>
          <w:rtl/>
        </w:rPr>
        <w:t xml:space="preserve"> לשמש עוזרו של ר׳ </w:t>
      </w:r>
      <w:proofErr w:type="spellStart"/>
      <w:r>
        <w:rPr>
          <w:rtl/>
        </w:rPr>
        <w:t>שמחה־זיסל</w:t>
      </w:r>
      <w:proofErr w:type="spellEnd"/>
      <w:r>
        <w:rPr>
          <w:rtl/>
        </w:rPr>
        <w:t xml:space="preserve"> במוסד תורה חדש וחלוצי לנערים מבני המעמד הגבוה, ששילב תורה, מוסר ולימודים כלליים.</w:t>
      </w:r>
      <w:bookmarkStart w:id="3041" w:name="_fnr2160"/>
      <w:r>
        <w:rPr>
          <w:rStyle w:val="a5"/>
        </w:rPr>
        <w:footnoteReference w:id="2166" w:customMarkFollows="0"/>
      </w:r>
      <w:bookmarkEnd w:id="3041"/>
    </w:p>
    <w:p w14:paraId="24C468A0"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bookmarkStart w:id="3042" w:name="_fnr2161"/>
      <w:proofErr w:type="spellEnd"/>
      <w:r>
        <w:rPr>
          <w:rStyle w:val="a5"/>
        </w:rPr>
        <w:footnoteReference w:id="2167" w:customMarkFollows="0"/>
      </w:r>
      <w:bookmarkEnd w:id="3042"/>
      <w:r>
        <w:rPr>
          <w:rtl/>
        </w:rPr>
        <w:t xml:space="preserve"> אמר אבי: “בזמן שהסבא </w:t>
      </w:r>
      <w:proofErr w:type="spellStart"/>
      <w:r>
        <w:rPr>
          <w:rtl/>
        </w:rPr>
        <w:t>מסלבודקה</w:t>
      </w:r>
      <w:proofErr w:type="spellEnd"/>
      <w:r>
        <w:rPr>
          <w:rtl/>
        </w:rPr>
        <w:t xml:space="preserve"> היה בשליחות מטעם רבו להקים מוסד דומה במינסק, בחסות משפחת </w:t>
      </w:r>
      <w:proofErr w:type="spellStart"/>
      <w:r>
        <w:rPr>
          <w:rtl/>
        </w:rPr>
        <w:t>זלדוביץ</w:t>
      </w:r>
      <w:proofErr w:type="spellEnd"/>
      <w:r>
        <w:rPr>
          <w:rtl/>
        </w:rPr>
        <w:t xml:space="preserve"> העשירה, שתמכה ברעיונותיו של </w:t>
      </w:r>
      <w:proofErr w:type="spellStart"/>
      <w:r>
        <w:rPr>
          <w:rtl/>
        </w:rPr>
        <w:t>סלנטר</w:t>
      </w:r>
      <w:proofErr w:type="spellEnd"/>
      <w:r>
        <w:rPr>
          <w:rtl/>
        </w:rPr>
        <w:t>,</w:t>
      </w:r>
      <w:bookmarkStart w:id="3043" w:name="_fnr2162"/>
      <w:r>
        <w:rPr>
          <w:rStyle w:val="a5"/>
        </w:rPr>
        <w:footnoteReference w:id="2168" w:customMarkFollows="0"/>
      </w:r>
      <w:bookmarkEnd w:id="3043"/>
      <w:r>
        <w:rPr>
          <w:rtl/>
        </w:rPr>
        <w:t xml:space="preserve"> שינה הסבא מקלם את דעתו על הרעיון כולו, סגר את </w:t>
      </w:r>
      <w:proofErr w:type="spellStart"/>
      <w:r>
        <w:rPr>
          <w:rtl/>
        </w:rPr>
        <w:t>גרובין</w:t>
      </w:r>
      <w:proofErr w:type="spellEnd"/>
      <w:r>
        <w:rPr>
          <w:rtl/>
        </w:rPr>
        <w:t xml:space="preserve"> והחזיר את הסבא </w:t>
      </w:r>
      <w:proofErr w:type="spellStart"/>
      <w:r>
        <w:rPr>
          <w:rtl/>
        </w:rPr>
        <w:t>מסלבודקה</w:t>
      </w:r>
      <w:proofErr w:type="spellEnd"/>
      <w:r>
        <w:rPr>
          <w:rtl/>
        </w:rPr>
        <w:t xml:space="preserve">; מעתה נזנח הרעיון של שילוב תורה ולימודים כלליים”. לפי כץ, “תנועת </w:t>
      </w:r>
      <w:r>
        <w:rPr>
          <w:rtl/>
        </w:rPr>
        <w:lastRenderedPageBreak/>
        <w:t>המוסר”, כרך ב,</w:t>
      </w:r>
      <w:bookmarkStart w:id="3044" w:name="_fnr2163"/>
      <w:r>
        <w:rPr>
          <w:rStyle w:val="a5"/>
        </w:rPr>
        <w:footnoteReference w:id="2169" w:customMarkFollows="0"/>
      </w:r>
      <w:bookmarkEnd w:id="3044"/>
      <w:r>
        <w:rPr>
          <w:rtl/>
        </w:rPr>
        <w:t xml:space="preserve"> נסגר </w:t>
      </w:r>
      <w:proofErr w:type="spellStart"/>
      <w:r>
        <w:rPr>
          <w:rtl/>
        </w:rPr>
        <w:t>גרובין</w:t>
      </w:r>
      <w:proofErr w:type="spellEnd"/>
      <w:r>
        <w:rPr>
          <w:rtl/>
        </w:rPr>
        <w:t xml:space="preserve"> “</w:t>
      </w:r>
      <w:proofErr w:type="spellStart"/>
      <w:r>
        <w:rPr>
          <w:rtl/>
        </w:rPr>
        <w:t>בתרמ״ו</w:t>
      </w:r>
      <w:proofErr w:type="spellEnd"/>
      <w:r>
        <w:rPr>
          <w:rtl/>
        </w:rPr>
        <w:t>”.</w:t>
      </w:r>
      <w:bookmarkStart w:id="3045" w:name="_fnr2164"/>
      <w:r>
        <w:rPr>
          <w:rStyle w:val="a5"/>
        </w:rPr>
        <w:footnoteReference w:id="2170" w:customMarkFollows="0"/>
      </w:r>
      <w:bookmarkEnd w:id="3045"/>
      <w:r>
        <w:rPr>
          <w:rtl/>
        </w:rPr>
        <w:t xml:space="preserve"> לכן סמיכות הדברים בדברי רבנו, שקשר את הסגירה לשליחות הסבא למינסק, מורה לכאורה שגם אחרי שהקים את הישיבה </w:t>
      </w:r>
      <w:proofErr w:type="spellStart"/>
      <w:r>
        <w:rPr>
          <w:rtl/>
        </w:rPr>
        <w:t>בסלבודקה</w:t>
      </w:r>
      <w:proofErr w:type="spellEnd"/>
      <w:r>
        <w:rPr>
          <w:rtl/>
        </w:rPr>
        <w:t xml:space="preserve"> </w:t>
      </w:r>
      <w:proofErr w:type="spellStart"/>
      <w:r>
        <w:rPr>
          <w:rtl/>
        </w:rPr>
        <w:t>בתרמ״ב</w:t>
      </w:r>
      <w:proofErr w:type="spellEnd"/>
      <w:r>
        <w:rPr>
          <w:rtl/>
        </w:rPr>
        <w:t xml:space="preserve">, עדיין היה הסבא </w:t>
      </w:r>
      <w:proofErr w:type="spellStart"/>
      <w:r>
        <w:rPr>
          <w:rtl/>
        </w:rPr>
        <w:t>מסלבודקה</w:t>
      </w:r>
      <w:proofErr w:type="spellEnd"/>
      <w:r>
        <w:rPr>
          <w:rtl/>
        </w:rPr>
        <w:t xml:space="preserve"> מעורב מקרוב בפעילותו של ר׳ </w:t>
      </w:r>
      <w:proofErr w:type="spellStart"/>
      <w:r>
        <w:rPr>
          <w:rtl/>
        </w:rPr>
        <w:t>שמחה־זיסל</w:t>
      </w:r>
      <w:proofErr w:type="spellEnd"/>
      <w:r>
        <w:rPr>
          <w:rtl/>
        </w:rPr>
        <w:t>.</w:t>
      </w:r>
      <w:bookmarkStart w:id="3046" w:name="_fnr2165"/>
      <w:r>
        <w:rPr>
          <w:rStyle w:val="a5"/>
        </w:rPr>
        <w:footnoteReference w:id="2171" w:customMarkFollows="0"/>
      </w:r>
      <w:bookmarkEnd w:id="3046"/>
    </w:p>
    <w:p w14:paraId="1DEE80C4" w14:textId="593EEBB9" w:rsidR="00AB3647" w:rsidRDefault="00000000" w:rsidP="007923E9">
      <w:pPr>
        <w:spacing w:after="120" w:line="276" w:lineRule="auto"/>
        <w:ind w:firstLine="283"/>
        <w:jc w:val="both"/>
      </w:pPr>
      <w:r>
        <w:rPr>
          <w:rtl/>
        </w:rPr>
        <w:t xml:space="preserve">אבל דברי אבי, שר׳ </w:t>
      </w:r>
      <w:proofErr w:type="spellStart"/>
      <w:r>
        <w:rPr>
          <w:rtl/>
        </w:rPr>
        <w:t>שמחה־זיסל</w:t>
      </w:r>
      <w:proofErr w:type="spellEnd"/>
      <w:r>
        <w:rPr>
          <w:rtl/>
        </w:rPr>
        <w:t xml:space="preserve"> “שינה את דעתו על הרעיון כולו”, כלומר שהגיע למסקנה שתוכנית בית הספר </w:t>
      </w:r>
      <w:proofErr w:type="spellStart"/>
      <w:r>
        <w:rPr>
          <w:rtl/>
        </w:rPr>
        <w:t>בגרובין</w:t>
      </w:r>
      <w:proofErr w:type="spellEnd"/>
      <w:r>
        <w:rPr>
          <w:rtl/>
        </w:rPr>
        <w:t xml:space="preserve"> נכשלה, נדחים מכול וכול בספרו של כץ, “תנועת המוסר”, כרך ב,</w:t>
      </w:r>
      <w:bookmarkStart w:id="3047" w:name="_fnr2166"/>
      <w:r>
        <w:rPr>
          <w:rStyle w:val="a5"/>
        </w:rPr>
        <w:footnoteReference w:id="2172" w:customMarkFollows="0"/>
      </w:r>
      <w:bookmarkEnd w:id="3047"/>
      <w:r>
        <w:rPr>
          <w:rtl/>
        </w:rPr>
        <w:t xml:space="preserve"> שבו נאמר: “יש אשר </w:t>
      </w:r>
      <w:r>
        <w:rPr>
          <w:b/>
          <w:bCs/>
          <w:rtl/>
        </w:rPr>
        <w:t>בדו</w:t>
      </w:r>
      <w:r>
        <w:rPr>
          <w:rtl/>
        </w:rPr>
        <w:t xml:space="preserve"> שכאילו התאכזב מבית תלמודו </w:t>
      </w:r>
      <w:proofErr w:type="spellStart"/>
      <w:r>
        <w:rPr>
          <w:rtl/>
        </w:rPr>
        <w:t>בגרובין</w:t>
      </w:r>
      <w:proofErr w:type="spellEnd"/>
      <w:r>
        <w:rPr>
          <w:rtl/>
        </w:rPr>
        <w:t xml:space="preserve"> ומהשפעתו החינוכית (ההדגשה נוספה לצורך הדיון להלן)”. אחת מראיותיו החזקות ביותר של כץ היא מכתבו של הסבא מקלם, המצוטט בהערה </w:t>
      </w:r>
      <w:r>
        <w:rPr>
          <w:rtl/>
        </w:rPr>
        <w:fldChar w:fldCharType="begin" w:dirty="true"/>
      </w:r>
      <w:r>
        <w:rPr>
          <w:rtl/>
        </w:rPr>
        <w:instrText xml:space="preserve"> REF b3_note109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109</w:t>
      </w:r>
      <w:r>
        <w:rPr>
          <w:rtl/>
        </w:rPr>
        <w:fldChar w:fldCharType="end"/>
      </w:r>
      <w:r>
        <w:rPr>
          <w:rtl/>
        </w:rPr>
        <w:t xml:space="preserve"> לעיל.</w:t>
      </w:r>
      <w:bookmarkStart w:id="3048" w:name="_fnr2167"/>
      <w:r>
        <w:rPr>
          <w:rStyle w:val="a5"/>
        </w:rPr>
        <w:footnoteReference w:id="2173" w:customMarkFollows="0"/>
      </w:r>
      <w:bookmarkEnd w:id="3048"/>
    </w:p>
    <w:p w14:paraId="61CEB359" w14:textId="77777777" w:rsidR="00AB3647" w:rsidRDefault="00000000" w:rsidP="007923E9">
      <w:pPr>
        <w:spacing w:after="120" w:line="276" w:lineRule="auto"/>
        <w:ind w:firstLine="283"/>
        <w:jc w:val="both"/>
      </w:pPr>
      <w:r>
        <w:rPr>
          <w:rtl/>
        </w:rPr>
        <w:t xml:space="preserve">הסבר אחר לסגירת </w:t>
      </w:r>
      <w:proofErr w:type="spellStart"/>
      <w:r>
        <w:rPr>
          <w:rtl/>
        </w:rPr>
        <w:t>גרובין</w:t>
      </w:r>
      <w:proofErr w:type="spellEnd"/>
      <w:r>
        <w:rPr>
          <w:rtl/>
        </w:rPr>
        <w:t xml:space="preserve"> ביוזמת הסבא מקלם – אם כך אכן אירע – הוא הידרדרות בריאותו. שנה אחת בלבד אחרי שהקים את בית הספר החל להתלונן על מצבו הגופני. בשל לחצי ניהול בית הספר התפתחה אצלו מחלת לב, שהחמירה לבסוף עד כדי כך שלדברי כמה רופאים, </w:t>
      </w:r>
      <w:proofErr w:type="spellStart"/>
      <w:r>
        <w:rPr>
          <w:rtl/>
        </w:rPr>
        <w:t>בשלוש־עשרה</w:t>
      </w:r>
      <w:proofErr w:type="spellEnd"/>
      <w:r>
        <w:rPr>
          <w:rtl/>
        </w:rPr>
        <w:t xml:space="preserve"> שנותיו האחרונות, משנת תרמ״ה ואילך, החזיק מעמד “רק בכוחה של רוחו האדירה”.</w:t>
      </w:r>
      <w:bookmarkStart w:id="3049" w:name="_fnr2168"/>
      <w:r>
        <w:rPr>
          <w:rStyle w:val="a5"/>
        </w:rPr>
        <w:footnoteReference w:id="2174" w:customMarkFollows="0"/>
      </w:r>
      <w:bookmarkEnd w:id="3049"/>
      <w:r>
        <w:rPr>
          <w:rtl/>
        </w:rPr>
        <w:t xml:space="preserve"> מפני מחלתו פרש </w:t>
      </w:r>
      <w:proofErr w:type="spellStart"/>
      <w:r>
        <w:rPr>
          <w:rtl/>
        </w:rPr>
        <w:t>לקלם</w:t>
      </w:r>
      <w:proofErr w:type="spellEnd"/>
      <w:r>
        <w:rPr>
          <w:rtl/>
        </w:rPr>
        <w:t xml:space="preserve">, </w:t>
      </w:r>
      <w:proofErr w:type="spellStart"/>
      <w:r>
        <w:rPr>
          <w:rtl/>
        </w:rPr>
        <w:t>ובגרובין</w:t>
      </w:r>
      <w:proofErr w:type="spellEnd"/>
      <w:r>
        <w:rPr>
          <w:rtl/>
        </w:rPr>
        <w:t xml:space="preserve"> ביקר רק מדי פעם.</w:t>
      </w:r>
      <w:bookmarkStart w:id="3050" w:name="_fnr2169"/>
      <w:r>
        <w:rPr>
          <w:rStyle w:val="a5"/>
        </w:rPr>
        <w:footnoteReference w:id="2175" w:customMarkFollows="0"/>
      </w:r>
      <w:bookmarkEnd w:id="3050"/>
    </w:p>
    <w:p w14:paraId="51C3367F" w14:textId="77777777" w:rsidR="00AB3647" w:rsidRDefault="00000000" w:rsidP="007923E9">
      <w:pPr>
        <w:spacing w:after="120" w:line="276" w:lineRule="auto"/>
        <w:ind w:firstLine="283"/>
        <w:jc w:val="both"/>
      </w:pPr>
      <w:r>
        <w:rPr>
          <w:rtl/>
        </w:rPr>
        <w:t xml:space="preserve">ר׳ ישראל </w:t>
      </w:r>
      <w:proofErr w:type="spellStart"/>
      <w:r>
        <w:rPr>
          <w:rtl/>
        </w:rPr>
        <w:t>סלנטר</w:t>
      </w:r>
      <w:proofErr w:type="spellEnd"/>
      <w:r>
        <w:rPr>
          <w:rtl/>
        </w:rPr>
        <w:t xml:space="preserve"> הרשה לתלמידו לפתוח את בית הספר בתנאי שינהל אותו בעצמו, ואף הביע ביטחון שהסבא מקלם יסגור את בית הספר אם לא יוכל לפעול לפי הנחיותיו.</w:t>
      </w:r>
      <w:bookmarkStart w:id="3051" w:name="_fnr2170"/>
      <w:r>
        <w:rPr>
          <w:rStyle w:val="a5"/>
        </w:rPr>
        <w:footnoteReference w:id="2176" w:customMarkFollows="0"/>
      </w:r>
      <w:bookmarkEnd w:id="3051"/>
      <w:r>
        <w:rPr>
          <w:rtl/>
        </w:rPr>
        <w:t xml:space="preserve"> לפיכך ייתכן שהסבא מקלם החליט שמעורבותו הישירה הפוחתת בבית הספר אינה מאפשרת את המשך קיומו, ובוודאי מבטלת את התוכנית לפתוח מוסד מקביל במינסק. מיד כשחלה, כלומר שנה אחרי פתיחת בית הספר, שאל הסבא מקלם את ר׳ ישראל אם לסגור אותו, אבל נאמר לו אז שלא לעשות כן “מפני שהדבר יהיה כחורבן בית המקדש”.</w:t>
      </w:r>
      <w:bookmarkStart w:id="3052" w:name="_fnr2171"/>
      <w:r>
        <w:rPr>
          <w:rStyle w:val="a5"/>
        </w:rPr>
        <w:footnoteReference w:id="2177" w:customMarkFollows="0"/>
      </w:r>
      <w:bookmarkEnd w:id="3052"/>
    </w:p>
    <w:p w14:paraId="490E85D2" w14:textId="77777777" w:rsidR="00AB3647" w:rsidRDefault="00000000" w:rsidP="007923E9">
      <w:pPr>
        <w:spacing w:after="120" w:line="276" w:lineRule="auto"/>
        <w:ind w:firstLine="283"/>
        <w:jc w:val="both"/>
      </w:pPr>
      <w:r>
        <w:rPr>
          <w:rtl/>
        </w:rPr>
        <w:t xml:space="preserve">אולם הסבר זה מעורר קושי: כיצד יכול היה הסבא מקלם אפילו לשקול פתיחת בית ספר שני במינסק </w:t>
      </w:r>
      <w:proofErr w:type="spellStart"/>
      <w:r>
        <w:rPr>
          <w:rtl/>
        </w:rPr>
        <w:t>בתרמ״ו</w:t>
      </w:r>
      <w:proofErr w:type="spellEnd"/>
      <w:r>
        <w:rPr>
          <w:rtl/>
        </w:rPr>
        <w:t xml:space="preserve">, כשבריאותו ההולכת ומידרדרת כבר הפחיתה את מעורבותו האישית במוסד הקיים </w:t>
      </w:r>
      <w:proofErr w:type="spellStart"/>
      <w:r>
        <w:rPr>
          <w:rtl/>
        </w:rPr>
        <w:t>בגרובין</w:t>
      </w:r>
      <w:proofErr w:type="spellEnd"/>
      <w:r>
        <w:rPr>
          <w:rtl/>
        </w:rPr>
        <w:t xml:space="preserve">? אלא שייתכן שכאשר שלח את הסבא </w:t>
      </w:r>
      <w:proofErr w:type="spellStart"/>
      <w:r>
        <w:rPr>
          <w:rtl/>
        </w:rPr>
        <w:t>מסלבודקה</w:t>
      </w:r>
      <w:proofErr w:type="spellEnd"/>
      <w:r>
        <w:rPr>
          <w:rtl/>
        </w:rPr>
        <w:t xml:space="preserve"> למינסק, התכוון שהסבא </w:t>
      </w:r>
      <w:r>
        <w:rPr>
          <w:b/>
          <w:bCs/>
          <w:rtl/>
        </w:rPr>
        <w:t>עצמו</w:t>
      </w:r>
      <w:r>
        <w:rPr>
          <w:rtl/>
        </w:rPr>
        <w:t xml:space="preserve"> ינהל את בית הספר שם. שינוי דעתו של הסבא מקלם </w:t>
      </w:r>
      <w:r>
        <w:rPr>
          <w:b/>
          <w:bCs/>
          <w:rtl/>
        </w:rPr>
        <w:t xml:space="preserve">הן לגבי מינסק הן לגבי </w:t>
      </w:r>
      <w:proofErr w:type="spellStart"/>
      <w:r>
        <w:rPr>
          <w:b/>
          <w:bCs/>
          <w:rtl/>
        </w:rPr>
        <w:lastRenderedPageBreak/>
        <w:t>גרובין</w:t>
      </w:r>
      <w:proofErr w:type="spellEnd"/>
      <w:r>
        <w:rPr>
          <w:rtl/>
        </w:rPr>
        <w:t xml:space="preserve">, כפי שניסח זאת אבי, אולי נבע פשוט מאימוץ פירוש מחמיר יותר לתנאי המגביל שקבע רבו המנוח, ר׳ ישראל: אין די בניהול בית ספר מסוג זה באמצעות שליחים – תלמידיו, כגון הסבא </w:t>
      </w:r>
      <w:proofErr w:type="spellStart"/>
      <w:r>
        <w:rPr>
          <w:rtl/>
        </w:rPr>
        <w:t>מסלבודקה</w:t>
      </w:r>
      <w:proofErr w:type="spellEnd"/>
      <w:r>
        <w:rPr>
          <w:rtl/>
        </w:rPr>
        <w:t xml:space="preserve"> – בניגוד למה שהניח כששלח את הסבא </w:t>
      </w:r>
      <w:proofErr w:type="spellStart"/>
      <w:r>
        <w:rPr>
          <w:rtl/>
        </w:rPr>
        <w:t>מסלבודקה</w:t>
      </w:r>
      <w:proofErr w:type="spellEnd"/>
      <w:r>
        <w:rPr>
          <w:rtl/>
        </w:rPr>
        <w:t xml:space="preserve"> לשליחות. עליו להיות במקום בעצמו, גם אם החלופה היא “כחורבן בית המקדש”. יהא אשר יהא הטעם </w:t>
      </w:r>
      <w:proofErr w:type="spellStart"/>
      <w:r>
        <w:rPr>
          <w:rtl/>
        </w:rPr>
        <w:t>ל“שינוי</w:t>
      </w:r>
      <w:proofErr w:type="spellEnd"/>
      <w:r>
        <w:rPr>
          <w:rtl/>
        </w:rPr>
        <w:t xml:space="preserve"> דעתו” המיוחס </w:t>
      </w:r>
      <w:proofErr w:type="spellStart"/>
      <w:r>
        <w:rPr>
          <w:rtl/>
        </w:rPr>
        <w:t>לר</w:t>
      </w:r>
      <w:proofErr w:type="spellEnd"/>
      <w:r>
        <w:rPr>
          <w:rtl/>
        </w:rPr>
        <w:t xml:space="preserve">׳ </w:t>
      </w:r>
      <w:proofErr w:type="spellStart"/>
      <w:r>
        <w:rPr>
          <w:rtl/>
        </w:rPr>
        <w:t>שמחה־זיסל</w:t>
      </w:r>
      <w:proofErr w:type="spellEnd"/>
      <w:r>
        <w:rPr>
          <w:rtl/>
        </w:rPr>
        <w:t xml:space="preserve">, תמוה שאדם בשיעור קומתו לא השלים את בחינתו המחודשת והמכרעת </w:t>
      </w:r>
      <w:r>
        <w:rPr>
          <w:b/>
          <w:bCs/>
          <w:rtl/>
        </w:rPr>
        <w:t>לפני</w:t>
      </w:r>
      <w:r>
        <w:rPr>
          <w:rtl/>
        </w:rPr>
        <w:t xml:space="preserve"> ששלח את חניכו לשליחות במינסק.</w:t>
      </w:r>
    </w:p>
    <w:p w14:paraId="4D30A167" w14:textId="77777777" w:rsidR="00AB3647" w:rsidRDefault="00000000" w:rsidP="007923E9">
      <w:pPr>
        <w:spacing w:after="120" w:line="276" w:lineRule="auto"/>
        <w:ind w:firstLine="283"/>
        <w:jc w:val="both"/>
      </w:pPr>
      <w:r>
        <w:rPr>
          <w:rtl/>
        </w:rPr>
        <w:t xml:space="preserve">אבל ר׳ שלמה </w:t>
      </w:r>
      <w:proofErr w:type="spellStart"/>
      <w:r>
        <w:rPr>
          <w:rtl/>
        </w:rPr>
        <w:t>איידלשטיין</w:t>
      </w:r>
      <w:bookmarkStart w:id="3053" w:name="_fnr2172"/>
      <w:proofErr w:type="spellEnd"/>
      <w:r>
        <w:rPr>
          <w:rStyle w:val="a5"/>
        </w:rPr>
        <w:footnoteReference w:id="2178" w:customMarkFollows="0"/>
      </w:r>
      <w:bookmarkEnd w:id="3053"/>
      <w:r>
        <w:rPr>
          <w:rtl/>
        </w:rPr>
        <w:t xml:space="preserve"> מסר אמרה מפתיעה של הסבא, שהביאה אותי להציע הבנה שונה לחלוטין של מה שאירע. הסבא הכריז: “נכנסתי </w:t>
      </w:r>
      <w:proofErr w:type="spellStart"/>
      <w:r>
        <w:rPr>
          <w:rtl/>
        </w:rPr>
        <w:t>לגרובין</w:t>
      </w:r>
      <w:proofErr w:type="spellEnd"/>
      <w:r>
        <w:rPr>
          <w:rtl/>
        </w:rPr>
        <w:t xml:space="preserve"> כדי לסוגרו, והצלחתי!” לפי המסופר אמר הסבא </w:t>
      </w:r>
      <w:proofErr w:type="spellStart"/>
      <w:r>
        <w:rPr>
          <w:rtl/>
        </w:rPr>
        <w:t>מסלבודקה</w:t>
      </w:r>
      <w:proofErr w:type="spellEnd"/>
      <w:r>
        <w:rPr>
          <w:rtl/>
        </w:rPr>
        <w:t xml:space="preserve"> את הדברים המדהימים האלה בשיחה פרטית לאביו החורג של המרואיין, ר׳ יוסף </w:t>
      </w:r>
      <w:proofErr w:type="spellStart"/>
      <w:r>
        <w:rPr>
          <w:rtl/>
        </w:rPr>
        <w:t>דינקלס</w:t>
      </w:r>
      <w:proofErr w:type="spellEnd"/>
      <w:r>
        <w:rPr>
          <w:rtl/>
        </w:rPr>
        <w:t xml:space="preserve">, בן דורו של אבי מכולל </w:t>
      </w:r>
      <w:proofErr w:type="spellStart"/>
      <w:r>
        <w:rPr>
          <w:rtl/>
        </w:rPr>
        <w:t>סלבודקה</w:t>
      </w:r>
      <w:proofErr w:type="spellEnd"/>
      <w:r>
        <w:rPr>
          <w:rtl/>
        </w:rPr>
        <w:t>.</w:t>
      </w:r>
      <w:bookmarkStart w:id="3054" w:name="_fnr2173"/>
      <w:r>
        <w:rPr>
          <w:rStyle w:val="a5"/>
        </w:rPr>
        <w:footnoteReference w:id="2179" w:customMarkFollows="0"/>
      </w:r>
      <w:bookmarkEnd w:id="3054"/>
      <w:r>
        <w:rPr>
          <w:rtl/>
        </w:rPr>
        <w:t xml:space="preserve"> כלשון המרואיין: “ר׳ יוסף </w:t>
      </w:r>
      <w:proofErr w:type="spellStart"/>
      <w:r>
        <w:rPr>
          <w:rtl/>
        </w:rPr>
        <w:t>דינקלס</w:t>
      </w:r>
      <w:proofErr w:type="spellEnd"/>
      <w:r>
        <w:rPr>
          <w:rtl/>
        </w:rPr>
        <w:t xml:space="preserve"> היה היחיד מאנשי סודו ששמע זאת ממנו”.</w:t>
      </w:r>
    </w:p>
    <w:p w14:paraId="5DACDDA2" w14:textId="5DE60FDE" w:rsidR="00AB3647" w:rsidRDefault="00000000" w:rsidP="007923E9">
      <w:pPr>
        <w:spacing w:after="120" w:line="276" w:lineRule="auto"/>
        <w:ind w:firstLine="283"/>
        <w:jc w:val="both"/>
      </w:pPr>
      <w:r>
        <w:rPr>
          <w:rtl/>
        </w:rPr>
        <w:t xml:space="preserve">אמרה זו של הסבא מטילה אור חדש ומוזר על סגירת </w:t>
      </w:r>
      <w:proofErr w:type="spellStart"/>
      <w:r>
        <w:rPr>
          <w:rtl/>
        </w:rPr>
        <w:t>גרובין</w:t>
      </w:r>
      <w:proofErr w:type="spellEnd"/>
      <w:r>
        <w:rPr>
          <w:rtl/>
        </w:rPr>
        <w:t>. הסבא ראה היתר באמירת דבר שאינו אמת לצורכי חינוך,</w:t>
      </w:r>
      <w:bookmarkStart w:id="3055" w:name="_fnr2174"/>
      <w:r>
        <w:rPr>
          <w:rStyle w:val="a5"/>
        </w:rPr>
        <w:footnoteReference w:id="2180" w:customMarkFollows="0"/>
      </w:r>
      <w:bookmarkEnd w:id="3055"/>
      <w:r>
        <w:rPr>
          <w:rtl/>
        </w:rPr>
        <w:t xml:space="preserve"> כמובא בפרק 5,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ולכן ייתכן שייחס, שלא כפי האמת, את </w:t>
      </w:r>
      <w:proofErr w:type="spellStart"/>
      <w:r>
        <w:rPr>
          <w:rtl/>
        </w:rPr>
        <w:t>ה“אשמה</w:t>
      </w:r>
      <w:proofErr w:type="spellEnd"/>
      <w:r>
        <w:rPr>
          <w:rtl/>
        </w:rPr>
        <w:t xml:space="preserve">” בסגירה </w:t>
      </w:r>
      <w:proofErr w:type="spellStart"/>
      <w:r>
        <w:rPr>
          <w:rtl/>
        </w:rPr>
        <w:t>לר</w:t>
      </w:r>
      <w:proofErr w:type="spellEnd"/>
      <w:r>
        <w:rPr>
          <w:rtl/>
        </w:rPr>
        <w:t xml:space="preserve">׳ </w:t>
      </w:r>
      <w:proofErr w:type="spellStart"/>
      <w:r>
        <w:rPr>
          <w:rtl/>
        </w:rPr>
        <w:t>שמחה־זיסל</w:t>
      </w:r>
      <w:proofErr w:type="spellEnd"/>
      <w:r>
        <w:rPr>
          <w:rtl/>
        </w:rPr>
        <w:t xml:space="preserve">, במקום לזקוף את </w:t>
      </w:r>
      <w:proofErr w:type="spellStart"/>
      <w:r>
        <w:rPr>
          <w:rtl/>
        </w:rPr>
        <w:t>ה“זכות</w:t>
      </w:r>
      <w:proofErr w:type="spellEnd"/>
      <w:r>
        <w:rPr>
          <w:rtl/>
        </w:rPr>
        <w:t xml:space="preserve">” לעצמו. אם מצרפים את האמרה שמסר לרב </w:t>
      </w:r>
      <w:proofErr w:type="spellStart"/>
      <w:r>
        <w:rPr>
          <w:rtl/>
        </w:rPr>
        <w:t>דינקלס</w:t>
      </w:r>
      <w:proofErr w:type="spellEnd"/>
      <w:r>
        <w:rPr>
          <w:rtl/>
        </w:rPr>
        <w:t xml:space="preserve"> למה שאפשר ללמוד מן הסיפור שסיפר הסבא לרבנו, אפשר לשער שבנסיעתו למינסק הניע הסבא </w:t>
      </w:r>
      <w:proofErr w:type="spellStart"/>
      <w:r>
        <w:rPr>
          <w:rtl/>
        </w:rPr>
        <w:t>מסלבודקה</w:t>
      </w:r>
      <w:proofErr w:type="spellEnd"/>
      <w:r>
        <w:rPr>
          <w:rtl/>
        </w:rPr>
        <w:t xml:space="preserve"> את תומכיו העשירים של </w:t>
      </w:r>
      <w:proofErr w:type="spellStart"/>
      <w:r>
        <w:rPr>
          <w:rtl/>
        </w:rPr>
        <w:t>גרובין</w:t>
      </w:r>
      <w:proofErr w:type="spellEnd"/>
      <w:r>
        <w:rPr>
          <w:rtl/>
        </w:rPr>
        <w:t xml:space="preserve"> </w:t>
      </w:r>
      <w:r>
        <w:rPr>
          <w:b/>
          <w:bCs/>
          <w:rtl/>
        </w:rPr>
        <w:t>לצמצם</w:t>
      </w:r>
      <w:r>
        <w:rPr>
          <w:rtl/>
        </w:rPr>
        <w:t xml:space="preserve"> את תמיכתם הכספית הנחוצה,</w:t>
      </w:r>
      <w:bookmarkStart w:id="3056" w:name="_fnr2175"/>
      <w:r>
        <w:rPr>
          <w:rStyle w:val="a5"/>
        </w:rPr>
        <w:footnoteReference w:id="2181" w:customMarkFollows="0"/>
      </w:r>
      <w:bookmarkEnd w:id="3056"/>
      <w:r>
        <w:rPr>
          <w:rtl/>
        </w:rPr>
        <w:t xml:space="preserve"> ולא </w:t>
      </w:r>
      <w:r>
        <w:rPr>
          <w:b/>
          <w:bCs/>
          <w:rtl/>
        </w:rPr>
        <w:t>להגדילה</w:t>
      </w:r>
      <w:r>
        <w:rPr>
          <w:rtl/>
        </w:rPr>
        <w:t xml:space="preserve">. כנראה לא עשה זאת בבגידה גלויה בשליחותו, אלא בתיאור נטול אהדה, ואולי אף לעגני, של המתרחש בבית הספר </w:t>
      </w:r>
      <w:proofErr w:type="spellStart"/>
      <w:r>
        <w:rPr>
          <w:rtl/>
        </w:rPr>
        <w:t>בגרובין</w:t>
      </w:r>
      <w:proofErr w:type="spellEnd"/>
      <w:r>
        <w:rPr>
          <w:rtl/>
        </w:rPr>
        <w:t xml:space="preserve"> כפי שראה אותו.</w:t>
      </w:r>
    </w:p>
    <w:p w14:paraId="4BBF7B4C" w14:textId="77777777" w:rsidR="00AB3647" w:rsidRDefault="00000000" w:rsidP="007923E9">
      <w:pPr>
        <w:spacing w:after="120" w:line="276" w:lineRule="auto"/>
        <w:ind w:firstLine="283"/>
        <w:jc w:val="both"/>
      </w:pPr>
      <w:r>
        <w:rPr>
          <w:rtl/>
        </w:rPr>
        <w:t xml:space="preserve">יתר על כן, אם תיאור ההתרחשויות שסיפר הסבא לאבי אינו תואם את העובדות, ייתכן מאוד ששליחותו למינסק הייתה זמן מה – אפילו כמה שנים – לפני סגירת </w:t>
      </w:r>
      <w:proofErr w:type="spellStart"/>
      <w:r>
        <w:rPr>
          <w:rtl/>
        </w:rPr>
        <w:t>גרובין</w:t>
      </w:r>
      <w:proofErr w:type="spellEnd"/>
      <w:r>
        <w:rPr>
          <w:rtl/>
        </w:rPr>
        <w:t xml:space="preserve"> </w:t>
      </w:r>
      <w:proofErr w:type="spellStart"/>
      <w:r>
        <w:rPr>
          <w:rtl/>
        </w:rPr>
        <w:t>בתרמ״ו</w:t>
      </w:r>
      <w:proofErr w:type="spellEnd"/>
      <w:r>
        <w:rPr>
          <w:rtl/>
        </w:rPr>
        <w:t xml:space="preserve">, ושהסבא </w:t>
      </w:r>
      <w:proofErr w:type="spellStart"/>
      <w:r>
        <w:rPr>
          <w:rtl/>
        </w:rPr>
        <w:t>מסלבודקה</w:t>
      </w:r>
      <w:proofErr w:type="spellEnd"/>
      <w:r>
        <w:rPr>
          <w:rtl/>
        </w:rPr>
        <w:t xml:space="preserve"> היה מעורב בפעילותו של הסבא מקלם רק </w:t>
      </w:r>
      <w:r>
        <w:rPr>
          <w:b/>
          <w:bCs/>
          <w:rtl/>
        </w:rPr>
        <w:t>קודם</w:t>
      </w:r>
      <w:r>
        <w:rPr>
          <w:rtl/>
        </w:rPr>
        <w:t xml:space="preserve"> להקמת ישיבת </w:t>
      </w:r>
      <w:proofErr w:type="spellStart"/>
      <w:r>
        <w:rPr>
          <w:rtl/>
        </w:rPr>
        <w:t>סלבודקה</w:t>
      </w:r>
      <w:proofErr w:type="spellEnd"/>
      <w:r>
        <w:rPr>
          <w:rtl/>
        </w:rPr>
        <w:t xml:space="preserve">, ואולי רק בתקופה המוקדמת שבה לימד </w:t>
      </w:r>
      <w:proofErr w:type="spellStart"/>
      <w:r>
        <w:rPr>
          <w:rtl/>
        </w:rPr>
        <w:t>בגרובין</w:t>
      </w:r>
      <w:proofErr w:type="spellEnd"/>
      <w:r>
        <w:rPr>
          <w:rtl/>
        </w:rPr>
        <w:t xml:space="preserve">. אמרתו לרב </w:t>
      </w:r>
      <w:proofErr w:type="spellStart"/>
      <w:r>
        <w:rPr>
          <w:rtl/>
        </w:rPr>
        <w:t>דינקלס</w:t>
      </w:r>
      <w:proofErr w:type="spellEnd"/>
      <w:r>
        <w:rPr>
          <w:rtl/>
        </w:rPr>
        <w:t xml:space="preserve"> מורה לכאורה </w:t>
      </w:r>
      <w:proofErr w:type="spellStart"/>
      <w:r>
        <w:rPr>
          <w:rtl/>
        </w:rPr>
        <w:t>ש“סגר</w:t>
      </w:r>
      <w:proofErr w:type="spellEnd"/>
      <w:r>
        <w:rPr>
          <w:rtl/>
        </w:rPr>
        <w:t xml:space="preserve">” את </w:t>
      </w:r>
      <w:proofErr w:type="spellStart"/>
      <w:r>
        <w:rPr>
          <w:rtl/>
        </w:rPr>
        <w:t>גרובין</w:t>
      </w:r>
      <w:proofErr w:type="spellEnd"/>
      <w:r>
        <w:rPr>
          <w:rtl/>
        </w:rPr>
        <w:t xml:space="preserve"> באותו זמן שבו “נכנס” אליו, כלומר שמעורבותו בראשית מפעל </w:t>
      </w:r>
      <w:proofErr w:type="spellStart"/>
      <w:r>
        <w:rPr>
          <w:rtl/>
        </w:rPr>
        <w:t>גרובין</w:t>
      </w:r>
      <w:proofErr w:type="spellEnd"/>
      <w:r>
        <w:rPr>
          <w:rtl/>
        </w:rPr>
        <w:t xml:space="preserve"> היא שגרמה לבסוף לסגירתו. אפשר אפילו לשער שהשליחות למינסק יצאה לדרך זמן לא רב אחרי הקמת </w:t>
      </w:r>
      <w:proofErr w:type="spellStart"/>
      <w:r>
        <w:rPr>
          <w:rtl/>
        </w:rPr>
        <w:t>גרובין</w:t>
      </w:r>
      <w:proofErr w:type="spellEnd"/>
      <w:r>
        <w:rPr>
          <w:rtl/>
        </w:rPr>
        <w:t>.</w:t>
      </w:r>
    </w:p>
    <w:p w14:paraId="0BE9FE96" w14:textId="77777777" w:rsidR="00AB3647" w:rsidRDefault="00000000" w:rsidP="007923E9">
      <w:pPr>
        <w:spacing w:after="120" w:line="276" w:lineRule="auto"/>
        <w:ind w:firstLine="283"/>
        <w:jc w:val="both"/>
      </w:pPr>
      <w:r>
        <w:rPr>
          <w:rtl/>
        </w:rPr>
        <w:t xml:space="preserve">ייתכן שבהתלהבותו מן המפעל החדש העלה הסבא מקלם בדעתו להקים רשת של בתי ספר כאלה ברוסיה – אולי כמספר תלמידיו הנאמנים שיכלו לעמוד בראשם, ולנאמן כזה החשיב את הסבא </w:t>
      </w:r>
      <w:proofErr w:type="spellStart"/>
      <w:r>
        <w:rPr>
          <w:rtl/>
        </w:rPr>
        <w:t>מסלבודקה</w:t>
      </w:r>
      <w:proofErr w:type="spellEnd"/>
      <w:r>
        <w:rPr>
          <w:rtl/>
        </w:rPr>
        <w:t xml:space="preserve">. אם כן, הנסיעה למינסק וסגירת </w:t>
      </w:r>
      <w:proofErr w:type="spellStart"/>
      <w:r>
        <w:rPr>
          <w:rtl/>
        </w:rPr>
        <w:t>גרובין</w:t>
      </w:r>
      <w:proofErr w:type="spellEnd"/>
      <w:r>
        <w:rPr>
          <w:rtl/>
        </w:rPr>
        <w:t xml:space="preserve"> לא התרחשו בעת ובעונה אחת, כפי שהבין רבנו בעקבות המידע המטעה שמסר לו הסבא. בין שני האירועים הפרידו חמש או </w:t>
      </w:r>
      <w:r>
        <w:rPr>
          <w:rtl/>
        </w:rPr>
        <w:lastRenderedPageBreak/>
        <w:t xml:space="preserve">שש שנים, ויחסם היה יחס של סיבה ותוצאה: פעולתו החתרנית של הסבא במינסק הביאה לקשייו הכספיים של </w:t>
      </w:r>
      <w:proofErr w:type="spellStart"/>
      <w:r>
        <w:rPr>
          <w:rtl/>
        </w:rPr>
        <w:t>גרובין</w:t>
      </w:r>
      <w:proofErr w:type="spellEnd"/>
      <w:r>
        <w:rPr>
          <w:rtl/>
        </w:rPr>
        <w:t>, שהכריעו אותו כמה שנים אחר כך.</w:t>
      </w:r>
    </w:p>
    <w:p w14:paraId="2AD86A27" w14:textId="77777777" w:rsidR="00AB3647" w:rsidRDefault="00000000" w:rsidP="007923E9">
      <w:pPr>
        <w:spacing w:after="120" w:line="276" w:lineRule="auto"/>
        <w:ind w:firstLine="283"/>
        <w:jc w:val="both"/>
      </w:pPr>
      <w:r>
        <w:rPr>
          <w:rtl/>
        </w:rPr>
        <w:t xml:space="preserve">מאחר </w:t>
      </w:r>
      <w:proofErr w:type="spellStart"/>
      <w:r>
        <w:rPr>
          <w:rtl/>
        </w:rPr>
        <w:t>שגרובין</w:t>
      </w:r>
      <w:proofErr w:type="spellEnd"/>
      <w:r>
        <w:rPr>
          <w:rtl/>
        </w:rPr>
        <w:t xml:space="preserve"> היה מוסד שלא מצא חן בעיני הסבא אחרי שהכירו מבפנים, סביר שהתפטר ממנו מיד. הדבר היה מתרחש בשעה שתומכי בית הספר במינסק עדיין שקלו את תיאורו של הסבא </w:t>
      </w:r>
      <w:proofErr w:type="spellStart"/>
      <w:r>
        <w:rPr>
          <w:rtl/>
        </w:rPr>
        <w:t>מסלבודקה</w:t>
      </w:r>
      <w:proofErr w:type="spellEnd"/>
      <w:r>
        <w:rPr>
          <w:rtl/>
        </w:rPr>
        <w:t xml:space="preserve"> והחליטו אם להוסיף להושיט לו סיוע. ייתכן גם שהקשיים הכספיים שנזכרו במכתבו של הסבא מקלם </w:t>
      </w:r>
      <w:proofErr w:type="spellStart"/>
      <w:r>
        <w:rPr>
          <w:rtl/>
        </w:rPr>
        <w:t>לר</w:t>
      </w:r>
      <w:proofErr w:type="spellEnd"/>
      <w:r>
        <w:rPr>
          <w:rtl/>
        </w:rPr>
        <w:t xml:space="preserve">׳ ישראל </w:t>
      </w:r>
      <w:proofErr w:type="spellStart"/>
      <w:r>
        <w:rPr>
          <w:rtl/>
        </w:rPr>
        <w:t>בתרמ״א</w:t>
      </w:r>
      <w:proofErr w:type="spellEnd"/>
      <w:r>
        <w:rPr>
          <w:rtl/>
        </w:rPr>
        <w:t>,</w:t>
      </w:r>
      <w:bookmarkStart w:id="3057" w:name="_fnr2176"/>
      <w:r>
        <w:rPr>
          <w:rStyle w:val="a5"/>
        </w:rPr>
        <w:footnoteReference w:id="2182" w:customMarkFollows="0"/>
      </w:r>
      <w:bookmarkEnd w:id="3057"/>
      <w:r>
        <w:rPr>
          <w:rtl/>
        </w:rPr>
        <w:t xml:space="preserve"> שנה אחת בלבד אחרי ייסוד בית הספר, היו התוצאות הראשונות של פעולתו החתרנית של הסבא. אחר כך נדרשו עוד כמה שנים עד שצירוף בעיותיו הכספיות ההולכות וגדלות של </w:t>
      </w:r>
      <w:proofErr w:type="spellStart"/>
      <w:r>
        <w:rPr>
          <w:rtl/>
        </w:rPr>
        <w:t>גרובין</w:t>
      </w:r>
      <w:proofErr w:type="spellEnd"/>
      <w:r>
        <w:rPr>
          <w:rtl/>
        </w:rPr>
        <w:t xml:space="preserve"> עם הידרדרות בריאותו של הסבא מקלם הביא לסגירת שערי בית הספר.</w:t>
      </w:r>
    </w:p>
    <w:p w14:paraId="4B6D33B5" w14:textId="77777777" w:rsidR="00AB3647" w:rsidRDefault="00000000" w:rsidP="007923E9">
      <w:pPr>
        <w:spacing w:after="120" w:line="276" w:lineRule="auto"/>
        <w:ind w:firstLine="283"/>
        <w:jc w:val="both"/>
      </w:pPr>
      <w:proofErr w:type="spellStart"/>
      <w:r>
        <w:rPr>
          <w:rtl/>
        </w:rPr>
        <w:t>ה“בדיה</w:t>
      </w:r>
      <w:proofErr w:type="spellEnd"/>
      <w:r>
        <w:rPr>
          <w:rtl/>
        </w:rPr>
        <w:t xml:space="preserve">” בנוגע לאכזבתו של הסבא מקלם </w:t>
      </w:r>
      <w:proofErr w:type="spellStart"/>
      <w:r>
        <w:rPr>
          <w:rtl/>
        </w:rPr>
        <w:t>מגרובין</w:t>
      </w:r>
      <w:proofErr w:type="spellEnd"/>
      <w:r>
        <w:rPr>
          <w:rtl/>
        </w:rPr>
        <w:t xml:space="preserve">, שכץ מביא ושאבי קיבל כאמת, אולי מקורה </w:t>
      </w:r>
      <w:r>
        <w:rPr>
          <w:b/>
          <w:bCs/>
          <w:rtl/>
        </w:rPr>
        <w:t xml:space="preserve">בסבא </w:t>
      </w:r>
      <w:proofErr w:type="spellStart"/>
      <w:r>
        <w:rPr>
          <w:b/>
          <w:bCs/>
          <w:rtl/>
        </w:rPr>
        <w:t>מסלבודקה</w:t>
      </w:r>
      <w:proofErr w:type="spellEnd"/>
      <w:r>
        <w:rPr>
          <w:rtl/>
        </w:rPr>
        <w:t>, שלא חש בנוח עם הבגידה שבגד ברבו, וייחס את האכזבה לרבו עצמו!</w:t>
      </w:r>
    </w:p>
    <w:p w14:paraId="376582EB" w14:textId="77777777" w:rsidR="00AB3647" w:rsidRDefault="00000000" w:rsidP="007923E9">
      <w:pPr>
        <w:spacing w:after="120" w:line="276" w:lineRule="auto"/>
        <w:ind w:firstLine="283"/>
        <w:jc w:val="both"/>
      </w:pPr>
      <w:bookmarkStart w:id="3058" w:name="pr_b_1310"/>
      <w:bookmarkEnd w:id="3058"/>
      <w:r>
        <w:rPr>
          <w:rtl/>
        </w:rPr>
        <w:t xml:space="preserve">הרב </w:t>
      </w:r>
      <w:proofErr w:type="spellStart"/>
      <w:r>
        <w:rPr>
          <w:rtl/>
        </w:rPr>
        <w:t>איידלשטיין</w:t>
      </w:r>
      <w:proofErr w:type="spellEnd"/>
      <w:r>
        <w:rPr>
          <w:rtl/>
        </w:rPr>
        <w:t xml:space="preserve"> תיאר את הרקע לגילויו הפרטי של הסבא </w:t>
      </w:r>
      <w:proofErr w:type="spellStart"/>
      <w:r>
        <w:rPr>
          <w:rtl/>
        </w:rPr>
        <w:t>מסלבודקה</w:t>
      </w:r>
      <w:proofErr w:type="spellEnd"/>
      <w:r>
        <w:rPr>
          <w:rtl/>
        </w:rPr>
        <w:t xml:space="preserve"> לרב </w:t>
      </w:r>
      <w:proofErr w:type="spellStart"/>
      <w:r>
        <w:rPr>
          <w:rtl/>
        </w:rPr>
        <w:t>דינקלס</w:t>
      </w:r>
      <w:proofErr w:type="spellEnd"/>
      <w:r>
        <w:rPr>
          <w:rtl/>
        </w:rPr>
        <w:t xml:space="preserve">. </w:t>
      </w:r>
      <w:proofErr w:type="spellStart"/>
      <w:r>
        <w:rPr>
          <w:rtl/>
        </w:rPr>
        <w:t>בתרפ״ד</w:t>
      </w:r>
      <w:proofErr w:type="spellEnd"/>
      <w:r>
        <w:rPr>
          <w:rtl/>
        </w:rPr>
        <w:t xml:space="preserve"> פרסמה ממשלת ליטא צו שלפיו תלמידיה של כל ישיבה שאין בה לימודים כלליים לא יהיו זכאים עוד לדחיית הגיוס. באספת רבנים שנקראה לדון בעניין התברר שישיבת </w:t>
      </w:r>
      <w:proofErr w:type="spellStart"/>
      <w:r>
        <w:rPr>
          <w:rtl/>
        </w:rPr>
        <w:t>טלז</w:t>
      </w:r>
      <w:proofErr w:type="spellEnd"/>
      <w:r>
        <w:rPr>
          <w:rtl/>
        </w:rPr>
        <w:t xml:space="preserve"> מוכנה להיכנע לצו, ואילו ישיבת </w:t>
      </w:r>
      <w:proofErr w:type="spellStart"/>
      <w:r>
        <w:rPr>
          <w:rtl/>
        </w:rPr>
        <w:t>סלבודקה</w:t>
      </w:r>
      <w:proofErr w:type="spellEnd"/>
      <w:r>
        <w:rPr>
          <w:rtl/>
        </w:rPr>
        <w:t xml:space="preserve">, שיוצגה באספה בידי ר׳ </w:t>
      </w:r>
      <w:proofErr w:type="spellStart"/>
      <w:r>
        <w:rPr>
          <w:rtl/>
        </w:rPr>
        <w:t>חצקל</w:t>
      </w:r>
      <w:proofErr w:type="spellEnd"/>
      <w:r>
        <w:rPr>
          <w:rtl/>
        </w:rPr>
        <w:t xml:space="preserve"> </w:t>
      </w:r>
      <w:proofErr w:type="spellStart"/>
      <w:r>
        <w:rPr>
          <w:rtl/>
        </w:rPr>
        <w:t>סרנא</w:t>
      </w:r>
      <w:proofErr w:type="spellEnd"/>
      <w:r>
        <w:rPr>
          <w:rtl/>
        </w:rPr>
        <w:t xml:space="preserve">, התנגדה ללא פשרה. ר׳ </w:t>
      </w:r>
      <w:proofErr w:type="spellStart"/>
      <w:r>
        <w:rPr>
          <w:rtl/>
        </w:rPr>
        <w:t>חצקל</w:t>
      </w:r>
      <w:proofErr w:type="spellEnd"/>
      <w:r>
        <w:rPr>
          <w:rtl/>
        </w:rPr>
        <w:t xml:space="preserve"> היה תלמידו הקרוב של הסבא</w:t>
      </w:r>
      <w:bookmarkStart w:id="3059" w:name="_fnr2177"/>
      <w:r>
        <w:rPr>
          <w:rStyle w:val="a5"/>
        </w:rPr>
        <w:footnoteReference w:id="2183" w:customMarkFollows="0"/>
      </w:r>
      <w:bookmarkEnd w:id="3059"/>
      <w:r>
        <w:rPr>
          <w:rtl/>
        </w:rPr>
        <w:t xml:space="preserve"> וחתנו של ראש הישיבה, ר׳ </w:t>
      </w:r>
      <w:proofErr w:type="spellStart"/>
      <w:r>
        <w:rPr>
          <w:rtl/>
        </w:rPr>
        <w:t>משה־מרדכי</w:t>
      </w:r>
      <w:proofErr w:type="spellEnd"/>
      <w:r>
        <w:rPr>
          <w:rtl/>
        </w:rPr>
        <w:t xml:space="preserve"> אפשטיין. ר׳ </w:t>
      </w:r>
      <w:proofErr w:type="spellStart"/>
      <w:r>
        <w:rPr>
          <w:rtl/>
        </w:rPr>
        <w:t>משה־מרדכי</w:t>
      </w:r>
      <w:proofErr w:type="spellEnd"/>
      <w:r>
        <w:rPr>
          <w:rtl/>
        </w:rPr>
        <w:t xml:space="preserve"> עצמו היה באותה עת באמריקה, במשלחת לגיוס כספים למוסדות התורה בכללותם, עם הרב מקובנה,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ועם ר׳ </w:t>
      </w:r>
      <w:proofErr w:type="spellStart"/>
      <w:r>
        <w:rPr>
          <w:rtl/>
        </w:rPr>
        <w:t>אברהם־יצחק</w:t>
      </w:r>
      <w:proofErr w:type="spellEnd"/>
      <w:r>
        <w:rPr>
          <w:rtl/>
        </w:rPr>
        <w:t xml:space="preserve"> קוק מארץ ישראל.</w:t>
      </w:r>
    </w:p>
    <w:p w14:paraId="4C5C34E2" w14:textId="77777777" w:rsidR="00AB3647" w:rsidRDefault="00000000" w:rsidP="007923E9">
      <w:pPr>
        <w:spacing w:after="120" w:line="276" w:lineRule="auto"/>
        <w:ind w:firstLine="283"/>
        <w:jc w:val="both"/>
      </w:pPr>
      <w:r>
        <w:rPr>
          <w:rtl/>
        </w:rPr>
        <w:t xml:space="preserve">בתקופה מכרעת זו ישב הסבא ושוחח עם קבוצת תלמידים. הרב </w:t>
      </w:r>
      <w:proofErr w:type="spellStart"/>
      <w:r>
        <w:rPr>
          <w:rtl/>
        </w:rPr>
        <w:t>איידלשטיין</w:t>
      </w:r>
      <w:proofErr w:type="spellEnd"/>
      <w:r>
        <w:rPr>
          <w:rtl/>
        </w:rPr>
        <w:t xml:space="preserve"> זכר שהרב </w:t>
      </w:r>
      <w:proofErr w:type="spellStart"/>
      <w:r>
        <w:rPr>
          <w:rtl/>
        </w:rPr>
        <w:t>דינקלס</w:t>
      </w:r>
      <w:proofErr w:type="spellEnd"/>
      <w:r>
        <w:rPr>
          <w:rtl/>
        </w:rPr>
        <w:t xml:space="preserve"> הזכיר את עצמו ואת שאר “תלמידיו המושבעים של הסבא”, חברי כולל </w:t>
      </w:r>
      <w:proofErr w:type="spellStart"/>
      <w:r>
        <w:rPr>
          <w:rtl/>
        </w:rPr>
        <w:t>סלבודקה</w:t>
      </w:r>
      <w:proofErr w:type="spellEnd"/>
      <w:r>
        <w:rPr>
          <w:rtl/>
        </w:rPr>
        <w:t xml:space="preserve">: ר׳ זלמן </w:t>
      </w:r>
      <w:proofErr w:type="spellStart"/>
      <w:r>
        <w:rPr>
          <w:rtl/>
        </w:rPr>
        <w:t>אוסובסקי</w:t>
      </w:r>
      <w:proofErr w:type="spellEnd"/>
      <w:r>
        <w:rPr>
          <w:rtl/>
        </w:rPr>
        <w:t xml:space="preserve">, ר׳ זאב </w:t>
      </w:r>
      <w:proofErr w:type="spellStart"/>
      <w:r>
        <w:rPr>
          <w:rtl/>
        </w:rPr>
        <w:t xml:space="preserve">הלר</w:t>
      </w:r>
      <w:proofErr w:type="spellEnd"/>
      <w:r>
        <w:rPr>
          <w:rtl/>
        </w:rPr>
        <w:t xml:space="preserve">, “אולי ר׳ אייזיק (שר), ואולי (רבנו)”. אז פרץ פנימה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הכה שוב ושוב על השולחן וקרא בחריפות: “נאט אייך אייער מוסר [הנה לכם המוסר </w:t>
      </w:r>
      <w:r>
        <w:rPr>
          <w:b/>
          <w:bCs/>
          <w:rtl/>
        </w:rPr>
        <w:t>שלכם</w:t>
      </w:r>
      <w:r>
        <w:rPr>
          <w:rtl/>
        </w:rPr>
        <w:t xml:space="preserve"> (ההדגשה שלי)]!”</w:t>
      </w:r>
      <w:bookmarkStart w:id="3060" w:name="_fnr2178"/>
      <w:r>
        <w:rPr>
          <w:rStyle w:val="a5"/>
        </w:rPr>
        <w:footnoteReference w:id="2184" w:customMarkFollows="0"/>
      </w:r>
      <w:bookmarkEnd w:id="3060"/>
      <w:r>
        <w:rPr>
          <w:rtl/>
        </w:rPr>
        <w:t xml:space="preserve"> הוא זעם משום שר׳ ירוחם </w:t>
      </w:r>
      <w:proofErr w:type="spellStart"/>
      <w:r>
        <w:rPr>
          <w:rtl/>
        </w:rPr>
        <w:t>ליבוביץ</w:t>
      </w:r>
      <w:proofErr w:type="spellEnd"/>
      <w:r>
        <w:rPr>
          <w:rtl/>
        </w:rPr>
        <w:t xml:space="preserve">, </w:t>
      </w:r>
      <w:r>
        <w:rPr>
          <w:rtl/>
        </w:rPr>
        <w:lastRenderedPageBreak/>
        <w:t xml:space="preserve">ששימש אז משגיח בישיבתו </w:t>
      </w:r>
      <w:proofErr w:type="spellStart"/>
      <w:r>
        <w:rPr>
          <w:rtl/>
        </w:rPr>
        <w:t>שבפוניבז</w:t>
      </w:r>
      <w:proofErr w:type="spellEnd"/>
      <w:r>
        <w:rPr>
          <w:rtl/>
        </w:rPr>
        <w:t xml:space="preserve">׳, אמר שבניגוד לתקופה הקודמת של </w:t>
      </w:r>
      <w:proofErr w:type="spellStart"/>
      <w:r>
        <w:rPr>
          <w:rtl/>
        </w:rPr>
        <w:t>וולוז׳ין</w:t>
      </w:r>
      <w:proofErr w:type="spellEnd"/>
      <w:r>
        <w:rPr>
          <w:rtl/>
        </w:rPr>
        <w:t>, בימינו אין לימודי החול מזיקים לישיבות.</w:t>
      </w:r>
    </w:p>
    <w:p w14:paraId="08658ED5" w14:textId="77777777" w:rsidR="00AB3647" w:rsidRDefault="00000000" w:rsidP="007923E9">
      <w:pPr>
        <w:spacing w:after="120" w:line="276" w:lineRule="auto"/>
        <w:ind w:firstLine="283"/>
        <w:jc w:val="both"/>
      </w:pPr>
      <w:r>
        <w:rPr>
          <w:rtl/>
        </w:rPr>
        <w:t xml:space="preserve">הסבא נתקף חמה. לחץ דמו עלה מאוד, והוא לקה בחום של 40 מעלות צלזיוס. הוא שלח לקרוא </w:t>
      </w:r>
      <w:proofErr w:type="spellStart"/>
      <w:r>
        <w:rPr>
          <w:rtl/>
        </w:rPr>
        <w:t>לר</w:t>
      </w:r>
      <w:proofErr w:type="spellEnd"/>
      <w:r>
        <w:rPr>
          <w:rtl/>
        </w:rPr>
        <w:t xml:space="preserve">׳ ירוחם ונזף בו בחריפות כזאת “שהרב </w:t>
      </w:r>
      <w:proofErr w:type="spellStart"/>
      <w:r>
        <w:rPr>
          <w:rtl/>
        </w:rPr>
        <w:t>דינקלס</w:t>
      </w:r>
      <w:proofErr w:type="spellEnd"/>
      <w:r>
        <w:rPr>
          <w:rtl/>
        </w:rPr>
        <w:t xml:space="preserve"> לא רצה לחזור על דבריו”.</w:t>
      </w:r>
      <w:bookmarkStart w:id="3061" w:name="_fnr2179"/>
      <w:r>
        <w:rPr>
          <w:rStyle w:val="a5"/>
        </w:rPr>
        <w:footnoteReference w:id="2185" w:customMarkFollows="0"/>
      </w:r>
      <w:bookmarkEnd w:id="3061"/>
      <w:r>
        <w:rPr>
          <w:rtl/>
        </w:rPr>
        <w:t xml:space="preserve"> אחר כך סיפר הסבא לרב </w:t>
      </w:r>
      <w:proofErr w:type="spellStart"/>
      <w:r>
        <w:rPr>
          <w:rtl/>
        </w:rPr>
        <w:t>דינקלס</w:t>
      </w:r>
      <w:proofErr w:type="spellEnd"/>
      <w:r>
        <w:rPr>
          <w:rtl/>
        </w:rPr>
        <w:t xml:space="preserve"> שאמר </w:t>
      </w:r>
      <w:proofErr w:type="spellStart"/>
      <w:r>
        <w:rPr>
          <w:rtl/>
        </w:rPr>
        <w:t>לר</w:t>
      </w:r>
      <w:proofErr w:type="spellEnd"/>
      <w:r>
        <w:rPr>
          <w:rtl/>
        </w:rPr>
        <w:t xml:space="preserve">׳ ירוחם </w:t>
      </w:r>
      <w:proofErr w:type="spellStart"/>
      <w:r>
        <w:rPr>
          <w:rtl/>
        </w:rPr>
        <w:t>ליבוביץ</w:t>
      </w:r>
      <w:proofErr w:type="spellEnd"/>
      <w:r>
        <w:rPr>
          <w:rtl/>
        </w:rPr>
        <w:t xml:space="preserve"> מה היה יחסו </w:t>
      </w:r>
      <w:proofErr w:type="spellStart"/>
      <w:r>
        <w:rPr>
          <w:rtl/>
        </w:rPr>
        <w:t>לגרובין</w:t>
      </w:r>
      <w:proofErr w:type="spellEnd"/>
      <w:r>
        <w:rPr>
          <w:rtl/>
        </w:rPr>
        <w:t xml:space="preserve"> – הוא הגילוי המזעזע שצוטט לעיל. </w:t>
      </w:r>
      <w:proofErr w:type="spellStart"/>
      <w:r>
        <w:rPr>
          <w:rtl/>
        </w:rPr>
        <w:t>ה“סיבה</w:t>
      </w:r>
      <w:proofErr w:type="spellEnd"/>
      <w:r>
        <w:rPr>
          <w:rtl/>
        </w:rPr>
        <w:t xml:space="preserve">” שנתן הסבא לרבנו </w:t>
      </w:r>
      <w:proofErr w:type="spellStart"/>
      <w:r>
        <w:rPr>
          <w:rtl/>
        </w:rPr>
        <w:t>ל“שינוי</w:t>
      </w:r>
      <w:proofErr w:type="spellEnd"/>
      <w:r>
        <w:rPr>
          <w:rtl/>
        </w:rPr>
        <w:t xml:space="preserve"> דעתו על כל הרעיון” של </w:t>
      </w:r>
      <w:proofErr w:type="spellStart"/>
      <w:r>
        <w:rPr>
          <w:rtl/>
        </w:rPr>
        <w:t>גרובין</w:t>
      </w:r>
      <w:proofErr w:type="spellEnd"/>
      <w:r>
        <w:rPr>
          <w:rtl/>
        </w:rPr>
        <w:t xml:space="preserve"> אצל ר׳ </w:t>
      </w:r>
      <w:proofErr w:type="spellStart"/>
      <w:r>
        <w:rPr>
          <w:rtl/>
        </w:rPr>
        <w:t>שמחה־זיסל</w:t>
      </w:r>
      <w:proofErr w:type="spellEnd"/>
      <w:r>
        <w:rPr>
          <w:rtl/>
        </w:rPr>
        <w:t xml:space="preserve">, בין שהייתה בדויה ובין שלא, הייתה שלילת שילובם של לימודי חול ולימודי קודש, להבדיל – שילוב שהסבא </w:t>
      </w:r>
      <w:proofErr w:type="spellStart"/>
      <w:r>
        <w:rPr>
          <w:rtl/>
        </w:rPr>
        <w:t>מסלבודקה</w:t>
      </w:r>
      <w:proofErr w:type="spellEnd"/>
      <w:r>
        <w:rPr>
          <w:rtl/>
        </w:rPr>
        <w:t xml:space="preserve"> התנגד לו בתקיפות כה רבה בתקופה זו שאחרי מלחמת העולם הראשונה.</w:t>
      </w:r>
      <w:bookmarkStart w:id="3062" w:name="_fnr2180"/>
      <w:r>
        <w:rPr>
          <w:rStyle w:val="a5"/>
        </w:rPr>
        <w:footnoteReference w:id="2186" w:customMarkFollows="0"/>
      </w:r>
      <w:bookmarkEnd w:id="3062"/>
    </w:p>
    <w:p w14:paraId="3B2534DB" w14:textId="77777777" w:rsidR="00AB3647" w:rsidRDefault="00000000" w:rsidP="007923E9">
      <w:pPr>
        <w:spacing w:after="120" w:line="276" w:lineRule="auto"/>
        <w:ind w:firstLine="283"/>
        <w:jc w:val="both"/>
      </w:pPr>
      <w:bookmarkStart w:id="3063" w:name="pr_b_1311"/>
      <w:bookmarkEnd w:id="3063"/>
      <w:r>
        <w:rPr>
          <w:rtl/>
        </w:rPr>
        <w:t xml:space="preserve">אשר לדעתו של ר׳ ירוחם </w:t>
      </w:r>
      <w:proofErr w:type="spellStart"/>
      <w:r>
        <w:rPr>
          <w:rtl/>
        </w:rPr>
        <w:t>ליבוביץ</w:t>
      </w:r>
      <w:proofErr w:type="spellEnd"/>
      <w:r>
        <w:rPr>
          <w:rtl/>
        </w:rPr>
        <w:t xml:space="preserve"> </w:t>
      </w:r>
      <w:proofErr w:type="spellStart"/>
      <w:r>
        <w:rPr>
          <w:rtl/>
        </w:rPr>
        <w:t>בתרפ״ד</w:t>
      </w:r>
      <w:proofErr w:type="spellEnd"/>
      <w:r>
        <w:rPr>
          <w:rtl/>
        </w:rPr>
        <w:t xml:space="preserve">, שהכנסת לימודי חול לתוכנית הלימודים של הישיבות לא תהיה הרת אסון לקיומן, ראוי לציין </w:t>
      </w:r>
      <w:proofErr w:type="spellStart"/>
      <w:r>
        <w:rPr>
          <w:rtl/>
        </w:rPr>
        <w:t>שאחת־עשרה</w:t>
      </w:r>
      <w:proofErr w:type="spellEnd"/>
      <w:r>
        <w:rPr>
          <w:rtl/>
        </w:rPr>
        <w:t xml:space="preserve"> שנה קודם לכן, עוד לפני מלחמת העולם, תיאר ר׳ </w:t>
      </w:r>
      <w:proofErr w:type="spellStart"/>
      <w:r>
        <w:rPr>
          <w:rtl/>
        </w:rPr>
        <w:t>יצחק־אייזיק</w:t>
      </w:r>
      <w:proofErr w:type="spellEnd"/>
      <w:r>
        <w:rPr>
          <w:rtl/>
        </w:rPr>
        <w:t xml:space="preserve"> הלוי שינוי ביחסה של החברה הדתית ברוסיה להשכלה.</w:t>
      </w:r>
    </w:p>
    <w:p w14:paraId="1D69873C" w14:textId="77777777" w:rsidR="00AB3647" w:rsidRDefault="00000000" w:rsidP="007923E9">
      <w:pPr>
        <w:spacing w:after="120" w:line="276" w:lineRule="auto"/>
        <w:ind w:firstLine="283"/>
        <w:jc w:val="both"/>
      </w:pPr>
      <w:r>
        <w:rPr>
          <w:rtl/>
        </w:rPr>
        <w:t xml:space="preserve">במכתב </w:t>
      </w:r>
      <w:proofErr w:type="spellStart"/>
      <w:r>
        <w:rPr>
          <w:rtl/>
        </w:rPr>
        <w:t>לר</w:t>
      </w:r>
      <w:proofErr w:type="spellEnd"/>
      <w:r>
        <w:rPr>
          <w:rtl/>
        </w:rPr>
        <w:t xml:space="preserve">׳ יעקב </w:t>
      </w:r>
      <w:proofErr w:type="spellStart"/>
      <w:r>
        <w:rPr>
          <w:rtl/>
        </w:rPr>
        <w:t>רוזנהיים</w:t>
      </w:r>
      <w:proofErr w:type="spellEnd"/>
      <w:r>
        <w:rPr>
          <w:rtl/>
        </w:rPr>
        <w:t xml:space="preserve">, המובא </w:t>
      </w:r>
      <w:proofErr w:type="spellStart"/>
      <w:r>
        <w:rPr>
          <w:rtl/>
        </w:rPr>
        <w:t>ב“אגרות</w:t>
      </w:r>
      <w:proofErr w:type="spellEnd"/>
      <w:r>
        <w:rPr>
          <w:rtl/>
        </w:rPr>
        <w:t xml:space="preserve"> רבי יצחק אייזיק הלוי”,</w:t>
      </w:r>
      <w:bookmarkStart w:id="3064" w:name="_fnr2181"/>
      <w:r>
        <w:rPr>
          <w:rStyle w:val="a5"/>
        </w:rPr>
        <w:footnoteReference w:id="2187" w:customMarkFollows="0"/>
      </w:r>
      <w:bookmarkEnd w:id="3064"/>
      <w:r>
        <w:rPr>
          <w:rtl/>
        </w:rPr>
        <w:t xml:space="preserve"> כתב הלוי בערב ראש חודש סיוון תרע״ג: “הסיבה היחידה לכך שמקצת בעלי הבתים [המעמד העליון היהודי] ברוסיה אינם שולחים את ילדיהם לבתי הספר התיכוניים הממשלתיים היא שהתלמידים נדרשים לכתוב שם בשבת; והסיבה שעדיין יש נערים רבים מבתים עניים הלומדים בישיבות היא שהקב״ה נתן בלב הממשלה שלא לקבל לבתי הספר יותר מעשרה אחוזים [מכלל התלמידים] מבין היהודים,</w:t>
      </w:r>
      <w:bookmarkStart w:id="3065" w:name="_fnr2182"/>
      <w:r>
        <w:rPr>
          <w:rStyle w:val="a5"/>
        </w:rPr>
        <w:footnoteReference w:id="2188" w:customMarkFollows="0"/>
      </w:r>
      <w:bookmarkEnd w:id="3065"/>
      <w:r>
        <w:rPr>
          <w:rtl/>
        </w:rPr>
        <w:t xml:space="preserve"> ולכן רק בני המעמד העליון יכולים לפלס את דרכם פנימה בשוחד, ואילו העניים נדחים לגמרי [מבתי הספר]. אך מלבד זאת, אין איש שהוא ‘ירא ורך לבב׳</w:t>
      </w:r>
      <w:bookmarkStart w:id="3066" w:name="_fnr2183"/>
      <w:r>
        <w:rPr>
          <w:rStyle w:val="a5"/>
        </w:rPr>
        <w:footnoteReference w:id="2189" w:customMarkFollows="0"/>
      </w:r>
      <w:bookmarkEnd w:id="3066"/>
      <w:r>
        <w:rPr>
          <w:rtl/>
        </w:rPr>
        <w:t xml:space="preserve"> מפני ההשכלה.”</w:t>
      </w:r>
    </w:p>
    <w:p w14:paraId="7475BBD2" w14:textId="77777777" w:rsidR="00AB3647" w:rsidRDefault="00000000" w:rsidP="007923E9">
      <w:pPr>
        <w:spacing w:after="120" w:line="276" w:lineRule="auto"/>
        <w:ind w:firstLine="283"/>
        <w:jc w:val="both"/>
      </w:pPr>
      <w:r>
        <w:rPr>
          <w:rtl/>
        </w:rPr>
        <w:t>הלוי ממשיך: “בימינו יש ספרות... [ש]כל תלמידי הישיבות קוראים, ויודעים [באמצעותה] מה מתרחש בקהילות היהודיות בגרמניה, באנגליה ובאמריקה; בימינו רחוקים נעשו קרובים,</w:t>
      </w:r>
      <w:bookmarkStart w:id="3067" w:name="_fnr2184"/>
      <w:r>
        <w:rPr>
          <w:rStyle w:val="a5"/>
        </w:rPr>
        <w:footnoteReference w:id="2190" w:customMarkFollows="0"/>
      </w:r>
      <w:bookmarkEnd w:id="3067"/>
      <w:r>
        <w:rPr>
          <w:rtl/>
        </w:rPr>
        <w:t xml:space="preserve"> ויהודי רוסיה באים לרבבותיהם לכל הארצות, ורואים ויודעים הכול, ומן הישיבות באים המשולחים; וכל מה שמתרחש בפרנקפורט, </w:t>
      </w:r>
      <w:proofErr w:type="spellStart"/>
      <w:r>
        <w:rPr>
          <w:rtl/>
        </w:rPr>
        <w:t>בהמבורג</w:t>
      </w:r>
      <w:proofErr w:type="spellEnd"/>
      <w:r>
        <w:rPr>
          <w:rtl/>
        </w:rPr>
        <w:t xml:space="preserve">, בלונדון וכיוצא בהן, [תלמידי הישיבות] יודעים כמונו.” ייתכן שר׳ ירוחם </w:t>
      </w:r>
      <w:proofErr w:type="spellStart"/>
      <w:r>
        <w:rPr>
          <w:rtl/>
        </w:rPr>
        <w:t>ליבוביץ</w:t>
      </w:r>
      <w:proofErr w:type="spellEnd"/>
      <w:r>
        <w:rPr>
          <w:rtl/>
        </w:rPr>
        <w:t xml:space="preserve"> הבין, כפי שהבין הלוי, שהישיבות אינן עוד חברה סגורה, ושלימודי החול איבדו את משיכתם </w:t>
      </w:r>
      <w:proofErr w:type="spellStart"/>
      <w:r>
        <w:rPr>
          <w:rtl/>
        </w:rPr>
        <w:t>כ“מים</w:t>
      </w:r>
      <w:proofErr w:type="spellEnd"/>
      <w:r>
        <w:rPr>
          <w:rtl/>
        </w:rPr>
        <w:t xml:space="preserve"> גנובים”,</w:t>
      </w:r>
      <w:bookmarkStart w:id="3068" w:name="_fnr2185"/>
      <w:r>
        <w:rPr>
          <w:rStyle w:val="a5"/>
        </w:rPr>
        <w:footnoteReference w:id="2191" w:customMarkFollows="0"/>
      </w:r>
      <w:bookmarkEnd w:id="3068"/>
      <w:r>
        <w:rPr>
          <w:rtl/>
        </w:rPr>
        <w:t xml:space="preserve"> שהייתה עלולה </w:t>
      </w:r>
      <w:r>
        <w:rPr>
          <w:rtl/>
        </w:rPr>
        <w:lastRenderedPageBreak/>
        <w:t xml:space="preserve">להוביל לנטישת האמונה, כפי שהייתה עשרים שנה קודם לכן, כשנסגרה ישיבת </w:t>
      </w:r>
      <w:proofErr w:type="spellStart"/>
      <w:r>
        <w:rPr>
          <w:rtl/>
        </w:rPr>
        <w:t>וולוז׳ין</w:t>
      </w:r>
      <w:proofErr w:type="spellEnd"/>
      <w:r>
        <w:rPr>
          <w:rtl/>
        </w:rPr>
        <w:t xml:space="preserve"> כדי שלא להתיר לימודים כאלה.</w:t>
      </w:r>
      <w:bookmarkStart w:id="3069" w:name="_fnr2186"/>
      <w:bookmarkStart w:id="3070" w:name="pr_f_2091"/>
      <w:r>
        <w:rPr>
          <w:rStyle w:val="a5"/>
        </w:rPr>
        <w:footnoteReference w:id="2192" w:customMarkFollows="0"/>
      </w:r>
      <w:bookmarkEnd w:id="3069"/>
      <w:bookmarkEnd w:id="3070"/>
    </w:p>
    <w:p w14:paraId="63B35BE0" w14:textId="77777777" w:rsidR="00AB3647" w:rsidRDefault="00000000" w:rsidP="007923E9">
      <w:pPr>
        <w:spacing w:after="120" w:line="276" w:lineRule="auto"/>
        <w:ind w:firstLine="283"/>
        <w:jc w:val="both"/>
      </w:pPr>
      <w:r>
        <w:rPr>
          <w:rtl/>
        </w:rPr>
        <w:t xml:space="preserve">על גזרת ממשלת ליטא כתב ר׳ </w:t>
      </w:r>
      <w:proofErr w:type="spellStart"/>
      <w:r>
        <w:rPr>
          <w:rtl/>
        </w:rPr>
        <w:t>משה־מרדכי</w:t>
      </w:r>
      <w:proofErr w:type="spellEnd"/>
      <w:r>
        <w:rPr>
          <w:rtl/>
        </w:rPr>
        <w:t xml:space="preserve"> אפשטיין בהקדמה </w:t>
      </w:r>
      <w:proofErr w:type="spellStart"/>
      <w:r>
        <w:rPr>
          <w:rtl/>
        </w:rPr>
        <w:t>ל“לבוש</w:t>
      </w:r>
      <w:proofErr w:type="spellEnd"/>
      <w:r>
        <w:rPr>
          <w:rtl/>
        </w:rPr>
        <w:t xml:space="preserve"> מרדכי” על מסכת בבא מציעא:</w:t>
      </w:r>
      <w:bookmarkStart w:id="3071" w:name="_fnr2187"/>
      <w:r>
        <w:rPr>
          <w:rStyle w:val="a5"/>
        </w:rPr>
        <w:footnoteReference w:id="2193" w:customMarkFollows="0"/>
      </w:r>
      <w:bookmarkEnd w:id="3071"/>
      <w:r>
        <w:rPr>
          <w:rtl/>
        </w:rPr>
        <w:t xml:space="preserve"> “בעת שחבריי הגאונים” – כוונתו </w:t>
      </w:r>
      <w:proofErr w:type="spellStart"/>
      <w:r>
        <w:rPr>
          <w:rtl/>
        </w:rPr>
        <w:t>לר</w:t>
      </w:r>
      <w:proofErr w:type="spellEnd"/>
      <w:r>
        <w:rPr>
          <w:rtl/>
        </w:rPr>
        <w:t xml:space="preserve">׳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ולרב קוק – “ואני היינו באמריקה... הגיעה אליי הבשורה הרעה שניתנה גזרה העלולה להחריב את ישיבת </w:t>
      </w:r>
      <w:proofErr w:type="spellStart"/>
      <w:r>
        <w:rPr>
          <w:rtl/>
        </w:rPr>
        <w:t>סלבודקה</w:t>
      </w:r>
      <w:proofErr w:type="spellEnd"/>
      <w:r>
        <w:rPr>
          <w:rtl/>
        </w:rPr>
        <w:t xml:space="preserve">... ולא הייתה ברירה אלא לחפש לה מקום אחר. מאור עינינו, הגאון ביראת ה׳ ובאהבת התורה, המאיר את עיני בני הישיבה במוסר, במידות, באהבת התורה וביראת שמים, הרב והגאון ר׳ </w:t>
      </w:r>
      <w:proofErr w:type="spellStart"/>
      <w:r>
        <w:rPr>
          <w:rtl/>
        </w:rPr>
        <w:t>נתן־צבי</w:t>
      </w:r>
      <w:proofErr w:type="spellEnd"/>
      <w:r>
        <w:rPr>
          <w:rtl/>
        </w:rPr>
        <w:t xml:space="preserve"> </w:t>
      </w:r>
      <w:proofErr w:type="spellStart"/>
      <w:r>
        <w:rPr>
          <w:rtl/>
        </w:rPr>
        <w:t>פינקל</w:t>
      </w:r>
      <w:proofErr w:type="spellEnd"/>
      <w:r>
        <w:rPr>
          <w:rtl/>
        </w:rPr>
        <w:t xml:space="preserve"> זצ״ל, עמוד הישיבה, פנה אליי בידיעה זו ושאל לדעתי. השבתי שלדעתי הכרח הוא </w:t>
      </w:r>
      <w:r>
        <w:rPr>
          <w:b/>
          <w:bCs/>
          <w:rtl/>
        </w:rPr>
        <w:t>לייסד ישיבה</w:t>
      </w:r>
      <w:r>
        <w:rPr>
          <w:rtl/>
        </w:rPr>
        <w:t xml:space="preserve"> בארץ הקודש, ושיש תקווה שאחינו הנדיבים באמריקה יושיטו את ידם למפעל נשגב זה (ההדגשה שלי).”</w:t>
      </w:r>
    </w:p>
    <w:p w14:paraId="72D8927D" w14:textId="77777777" w:rsidR="00AB3647" w:rsidRDefault="00000000" w:rsidP="007923E9">
      <w:pPr>
        <w:spacing w:after="120" w:line="276" w:lineRule="auto"/>
        <w:ind w:firstLine="283"/>
        <w:jc w:val="both"/>
      </w:pPr>
      <w:r>
        <w:rPr>
          <w:rtl/>
        </w:rPr>
        <w:t xml:space="preserve">אף שר׳ </w:t>
      </w:r>
      <w:proofErr w:type="spellStart"/>
      <w:r>
        <w:rPr>
          <w:rtl/>
        </w:rPr>
        <w:t>משה־מרדכי</w:t>
      </w:r>
      <w:proofErr w:type="spellEnd"/>
      <w:r>
        <w:rPr>
          <w:rtl/>
        </w:rPr>
        <w:t xml:space="preserve"> אפשטיין כותב על “ייסוד ישיבה”, כהדגשתו – והוא כותב חמש שנים אחרי האירועים, כשהסכנה שנשקפה לכנסת ישראל מצד ממשלת ליטא כבר חלפה מזמן – ברור מראשית הקטע המצוטט שהתוכנית המקורית הייתה </w:t>
      </w:r>
      <w:r>
        <w:rPr>
          <w:b/>
          <w:bCs/>
          <w:rtl/>
        </w:rPr>
        <w:t xml:space="preserve">להעביר את ישיבת </w:t>
      </w:r>
      <w:proofErr w:type="spellStart"/>
      <w:r>
        <w:rPr>
          <w:b/>
          <w:bCs/>
          <w:rtl/>
        </w:rPr>
        <w:t>סלבודקה</w:t>
      </w:r>
      <w:proofErr w:type="spellEnd"/>
      <w:r>
        <w:rPr>
          <w:b/>
          <w:bCs/>
          <w:rtl/>
        </w:rPr>
        <w:t xml:space="preserve"> לארץ ישראל בשלמותה</w:t>
      </w:r>
      <w:r>
        <w:rPr>
          <w:rtl/>
        </w:rPr>
        <w:t xml:space="preserve">. </w:t>
      </w:r>
      <w:proofErr w:type="spellStart"/>
      <w:r>
        <w:rPr>
          <w:rtl/>
        </w:rPr>
        <w:t>ב“לתבונה</w:t>
      </w:r>
      <w:proofErr w:type="spellEnd"/>
      <w:r>
        <w:rPr>
          <w:rtl/>
        </w:rPr>
        <w:t>”</w:t>
      </w:r>
      <w:bookmarkStart w:id="3072" w:name="_fnr2188"/>
      <w:r>
        <w:rPr>
          <w:rStyle w:val="a5"/>
        </w:rPr>
        <w:footnoteReference w:id="2194" w:customMarkFollows="0"/>
      </w:r>
      <w:bookmarkEnd w:id="3072"/>
      <w:r>
        <w:rPr>
          <w:rtl/>
        </w:rPr>
        <w:t xml:space="preserve"> זוקף ר׳ </w:t>
      </w:r>
      <w:proofErr w:type="spellStart"/>
      <w:r>
        <w:rPr>
          <w:rtl/>
        </w:rPr>
        <w:t>ישראל־זיסל</w:t>
      </w:r>
      <w:proofErr w:type="spellEnd"/>
      <w:r>
        <w:rPr>
          <w:rtl/>
        </w:rPr>
        <w:t xml:space="preserve"> </w:t>
      </w:r>
      <w:proofErr w:type="spellStart"/>
      <w:r>
        <w:rPr>
          <w:rtl/>
        </w:rPr>
        <w:t>דבורץ</w:t>
      </w:r>
      <w:proofErr w:type="spellEnd"/>
      <w:r>
        <w:rPr>
          <w:rtl/>
        </w:rPr>
        <w:t xml:space="preserve"> לזכותו את הרעיון להעביר את הישיבה לארץ ישראל, ואת המכתב שכתב לאחיו ר׳ </w:t>
      </w:r>
      <w:proofErr w:type="spellStart"/>
      <w:r>
        <w:rPr>
          <w:rtl/>
        </w:rPr>
        <w:t>יצחק־אייזיק</w:t>
      </w:r>
      <w:proofErr w:type="spellEnd"/>
      <w:r>
        <w:rPr>
          <w:rtl/>
        </w:rPr>
        <w:t xml:space="preserve">, שליווה את ר׳ </w:t>
      </w:r>
      <w:proofErr w:type="spellStart"/>
      <w:r>
        <w:rPr>
          <w:rtl/>
        </w:rPr>
        <w:t>משה־מרדכי</w:t>
      </w:r>
      <w:proofErr w:type="spellEnd"/>
      <w:r>
        <w:rPr>
          <w:rtl/>
        </w:rPr>
        <w:t xml:space="preserve"> אפשטיין לאמריקה, כדי שיציע זאת לראש הישיבה.</w:t>
      </w:r>
    </w:p>
    <w:p w14:paraId="7978B7BF" w14:textId="77777777"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מציין גם</w:t>
      </w:r>
      <w:bookmarkStart w:id="3073" w:name="_fnr2189"/>
      <w:r>
        <w:rPr>
          <w:rStyle w:val="a5"/>
        </w:rPr>
        <w:footnoteReference w:id="2195" w:customMarkFollows="0"/>
      </w:r>
      <w:bookmarkEnd w:id="3073"/>
      <w:r>
        <w:rPr>
          <w:rtl/>
        </w:rPr>
        <w:t xml:space="preserve"> שהצו הממשלתי בוטל מיד עם ייסודה של ישיבת חברון, </w:t>
      </w:r>
      <w:proofErr w:type="spellStart"/>
      <w:r>
        <w:rPr>
          <w:rtl/>
        </w:rPr>
        <w:t>ו“נראה</w:t>
      </w:r>
      <w:proofErr w:type="spellEnd"/>
      <w:r>
        <w:rPr>
          <w:rtl/>
        </w:rPr>
        <w:t xml:space="preserve"> בבירור שהגזרה של ממשלת ליטא נגזרה [בשמים] רק כדי שתקום בארץ ישראל עוד ישיבה קדושה, המפיצה תורה </w:t>
      </w:r>
      <w:r>
        <w:rPr>
          <w:b/>
          <w:bCs/>
          <w:rtl/>
        </w:rPr>
        <w:t>לכל ישראל</w:t>
      </w:r>
      <w:r>
        <w:rPr>
          <w:rtl/>
        </w:rPr>
        <w:t xml:space="preserve"> (ההדגשה שלי).” ר׳ </w:t>
      </w:r>
      <w:proofErr w:type="spellStart"/>
      <w:r>
        <w:rPr>
          <w:rtl/>
        </w:rPr>
        <w:t>משה־מרדכי</w:t>
      </w:r>
      <w:proofErr w:type="spellEnd"/>
      <w:r>
        <w:rPr>
          <w:rtl/>
        </w:rPr>
        <w:t xml:space="preserve"> אפשטיין רמז שבניגוד לישיבות היישוב הישן, השפעתה של ישיבת חברון התפשטה בחוגים רחבים בארץ. כשכתב את הערכתו להשפעת ישיבת חברון על הקהילה היהודית בארץ ישראל, לא יכול היה לדעת את מלוא היקפה של אותה התערבות שמימית. אחרי שנחרב בשואה המקור שסיפק תלמידי תורה ורבנים לארץ ישראל, הצילה ישיבת חברון ממש את התורה בארץ ישראל, ואחר כך במדינת ישראל.</w:t>
      </w:r>
    </w:p>
    <w:p w14:paraId="272E21C9" w14:textId="5DFB948F" w:rsidR="00AB3647" w:rsidRDefault="00000000" w:rsidP="007923E9">
      <w:pPr>
        <w:spacing w:after="120" w:line="276" w:lineRule="auto"/>
        <w:ind w:firstLine="283"/>
        <w:jc w:val="both"/>
      </w:pPr>
      <w:r>
        <w:rPr>
          <w:rtl/>
        </w:rPr>
        <w:t xml:space="preserve">גילויו של הרב </w:t>
      </w:r>
      <w:proofErr w:type="spellStart"/>
      <w:r>
        <w:rPr>
          <w:rtl/>
        </w:rPr>
        <w:t>איידלשטיין</w:t>
      </w:r>
      <w:proofErr w:type="spellEnd"/>
      <w:r>
        <w:rPr>
          <w:rtl/>
        </w:rPr>
        <w:t xml:space="preserve"> על חלקו של הסבא בסגירת </w:t>
      </w:r>
      <w:proofErr w:type="spellStart"/>
      <w:r>
        <w:rPr>
          <w:rtl/>
        </w:rPr>
        <w:t>גרובין</w:t>
      </w:r>
      <w:proofErr w:type="spellEnd"/>
      <w:r>
        <w:rPr>
          <w:rtl/>
        </w:rPr>
        <w:t xml:space="preserve"> שופך אור חדש על האירועים הסבוכים שסופרו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בדבר המתח בין הסבא למורו ר׳ </w:t>
      </w:r>
      <w:proofErr w:type="spellStart"/>
      <w:r>
        <w:rPr>
          <w:rtl/>
        </w:rPr>
        <w:t>שמחה־זיסל</w:t>
      </w:r>
      <w:proofErr w:type="spellEnd"/>
      <w:r>
        <w:rPr>
          <w:rtl/>
        </w:rPr>
        <w:t xml:space="preserve">. אני סבור שהבעיה לא נגרמה ממחלוקת </w:t>
      </w:r>
      <w:proofErr w:type="spellStart"/>
      <w:r>
        <w:rPr>
          <w:rtl/>
        </w:rPr>
        <w:t>השקפתית</w:t>
      </w:r>
      <w:proofErr w:type="spellEnd"/>
      <w:r>
        <w:rPr>
          <w:rtl/>
        </w:rPr>
        <w:t xml:space="preserve">, אלא מכך שר׳ </w:t>
      </w:r>
      <w:proofErr w:type="spellStart"/>
      <w:r>
        <w:rPr>
          <w:rtl/>
        </w:rPr>
        <w:t>שמחה־זיסל</w:t>
      </w:r>
      <w:proofErr w:type="spellEnd"/>
      <w:r>
        <w:rPr>
          <w:rtl/>
        </w:rPr>
        <w:t xml:space="preserve"> גילה שתלמידו מעל באמונו. העדות המוקדמת ביותר לביקורתו של ר׳ </w:t>
      </w:r>
      <w:proofErr w:type="spellStart"/>
      <w:r>
        <w:rPr>
          <w:rtl/>
        </w:rPr>
        <w:t>שמחה־זיסל</w:t>
      </w:r>
      <w:proofErr w:type="spellEnd"/>
      <w:r>
        <w:rPr>
          <w:rtl/>
        </w:rPr>
        <w:t xml:space="preserve"> על </w:t>
      </w:r>
      <w:proofErr w:type="spellStart"/>
      <w:r>
        <w:rPr>
          <w:rtl/>
        </w:rPr>
        <w:t>סלבודקה</w:t>
      </w:r>
      <w:proofErr w:type="spellEnd"/>
      <w:r>
        <w:rPr>
          <w:rtl/>
        </w:rPr>
        <w:t xml:space="preserve"> היא מסביבות תרנ״ב–תרנ״ג, כפי שצוין באותו נספח, בעמ׳ </w:t>
      </w:r>
      <w:r>
        <w:rPr>
          <w:rtl/>
        </w:rPr>
        <w:fldChar w:fldCharType="begin" w:dirty="true"/>
      </w:r>
      <w:r>
        <w:rPr>
          <w:rtl/>
        </w:rPr>
        <w:instrText xml:space="preserve"> PAGEREF pr_b_1049 \h </w:instrText>
      </w:r>
      <w:r>
        <w:rPr>
          <w:rtl/>
        </w:rPr>
      </w:r>
      <w:r>
        <w:rPr>
          <w:rtl/>
        </w:rPr>
        <w:fldChar w:fldCharType="separate"/>
      </w:r>
      <w:r w:rsidR="007923E9">
        <w:rPr>
          <w:noProof/>
          <w:rtl/>
        </w:rPr>
        <w:t>1</w:t>
      </w:r>
      <w:r>
        <w:rPr>
          <w:rtl/>
        </w:rPr>
        <w:fldChar w:fldCharType="end"/>
      </w:r>
      <w:r>
        <w:rPr>
          <w:rtl/>
        </w:rPr>
        <w:t xml:space="preserve">. לפיכך אני משער שרק אז, עשר שנים אחרי </w:t>
      </w:r>
      <w:r>
        <w:rPr>
          <w:rtl/>
        </w:rPr>
        <w:lastRenderedPageBreak/>
        <w:t xml:space="preserve">הבגידה, נודע לסבא מקלם מה עשה ר׳ </w:t>
      </w:r>
      <w:proofErr w:type="spellStart"/>
      <w:r>
        <w:rPr>
          <w:rtl/>
        </w:rPr>
        <w:t>נתן־צבי</w:t>
      </w:r>
      <w:proofErr w:type="spellEnd"/>
      <w:r>
        <w:rPr>
          <w:rtl/>
        </w:rPr>
        <w:t xml:space="preserve"> כדי לחתור תחת בית הספר </w:t>
      </w:r>
      <w:proofErr w:type="spellStart"/>
      <w:r>
        <w:rPr>
          <w:rtl/>
        </w:rPr>
        <w:t>בגרובין</w:t>
      </w:r>
      <w:proofErr w:type="spellEnd"/>
      <w:r>
        <w:rPr>
          <w:rtl/>
        </w:rPr>
        <w:t xml:space="preserve"> בעת שליחותו למינסק, ואז התנכרו הסבא מקלם וחוגו לסבא </w:t>
      </w:r>
      <w:proofErr w:type="spellStart"/>
      <w:r>
        <w:rPr>
          <w:rtl/>
        </w:rPr>
        <w:t>מסלבודקה</w:t>
      </w:r>
      <w:proofErr w:type="spellEnd"/>
      <w:r>
        <w:rPr>
          <w:rtl/>
        </w:rPr>
        <w:t>.</w:t>
      </w:r>
    </w:p>
    <w:p w14:paraId="2FD2D830" w14:textId="77777777" w:rsidR="00AB3647" w:rsidRDefault="00000000" w:rsidP="007923E9">
      <w:pPr>
        <w:spacing w:after="120" w:line="276" w:lineRule="auto"/>
        <w:ind w:firstLine="283"/>
        <w:jc w:val="both"/>
      </w:pPr>
      <w:r>
        <w:rPr>
          <w:rtl/>
        </w:rPr>
        <w:t xml:space="preserve">בעקבות גילויו סירב ר׳ </w:t>
      </w:r>
      <w:proofErr w:type="spellStart"/>
      <w:r>
        <w:rPr>
          <w:rtl/>
        </w:rPr>
        <w:t>שמחה־זיסל</w:t>
      </w:r>
      <w:proofErr w:type="spellEnd"/>
      <w:r>
        <w:rPr>
          <w:rtl/>
        </w:rPr>
        <w:t xml:space="preserve"> להניח לסבא להתפלל בתלמוד תורה של קלם. תלמידי הסבא מקלם – המעטים הנבחרים שידעו מה עשה הסבא </w:t>
      </w:r>
      <w:proofErr w:type="spellStart"/>
      <w:r>
        <w:rPr>
          <w:rtl/>
        </w:rPr>
        <w:t>מסלבודקה</w:t>
      </w:r>
      <w:proofErr w:type="spellEnd"/>
      <w:r>
        <w:rPr>
          <w:rtl/>
        </w:rPr>
        <w:t xml:space="preserve"> – לא הניחו לו ללון בביתו של איש (“מפני שהיה רודף”). ר׳ </w:t>
      </w:r>
      <w:proofErr w:type="spellStart"/>
      <w:r>
        <w:rPr>
          <w:rtl/>
        </w:rPr>
        <w:t>נחום־זאב</w:t>
      </w:r>
      <w:proofErr w:type="spellEnd"/>
      <w:r>
        <w:rPr>
          <w:rtl/>
        </w:rPr>
        <w:t xml:space="preserve"> זיו, בנו של ר׳ </w:t>
      </w:r>
      <w:proofErr w:type="spellStart"/>
      <w:r>
        <w:rPr>
          <w:rtl/>
        </w:rPr>
        <w:t>שמחה־זיסל</w:t>
      </w:r>
      <w:proofErr w:type="spellEnd"/>
      <w:r>
        <w:rPr>
          <w:rtl/>
        </w:rPr>
        <w:t xml:space="preserve">, סירב אז אפילו לשקול קשרי חיתון עמו. כל זה היה פרי מעילתו של הסבא </w:t>
      </w:r>
      <w:proofErr w:type="spellStart"/>
      <w:r>
        <w:rPr>
          <w:rtl/>
        </w:rPr>
        <w:t>מסלבודקה</w:t>
      </w:r>
      <w:proofErr w:type="spellEnd"/>
      <w:r>
        <w:rPr>
          <w:rtl/>
        </w:rPr>
        <w:t xml:space="preserve">, ולא היה קשור לשאלות חינוך. שלושים השנים שחלפו עד שר׳ </w:t>
      </w:r>
      <w:proofErr w:type="spellStart"/>
      <w:r>
        <w:rPr>
          <w:rtl/>
        </w:rPr>
        <w:t>יחיאל־יעקב</w:t>
      </w:r>
      <w:proofErr w:type="spellEnd"/>
      <w:r>
        <w:rPr>
          <w:rtl/>
        </w:rPr>
        <w:t xml:space="preserve"> ויינברג הציע את השידוך בין בנו של הסבא לבתו של ר׳ </w:t>
      </w:r>
      <w:proofErr w:type="spellStart"/>
      <w:r>
        <w:rPr>
          <w:rtl/>
        </w:rPr>
        <w:t>נחום־זאב</w:t>
      </w:r>
      <w:proofErr w:type="spellEnd"/>
      <w:r>
        <w:rPr>
          <w:rtl/>
        </w:rPr>
        <w:t xml:space="preserve"> נמנות משעת בגידתו של ר׳ </w:t>
      </w:r>
      <w:proofErr w:type="spellStart"/>
      <w:r>
        <w:rPr>
          <w:rtl/>
        </w:rPr>
        <w:t>נתן־צבי</w:t>
      </w:r>
      <w:proofErr w:type="spellEnd"/>
      <w:r>
        <w:rPr>
          <w:rtl/>
        </w:rPr>
        <w:t xml:space="preserve"> בר׳ </w:t>
      </w:r>
      <w:proofErr w:type="spellStart"/>
      <w:r>
        <w:rPr>
          <w:rtl/>
        </w:rPr>
        <w:t>שמחה־זיסל</w:t>
      </w:r>
      <w:proofErr w:type="spellEnd"/>
      <w:r>
        <w:rPr>
          <w:rtl/>
        </w:rPr>
        <w:t>. חלוף הזמן והתחלפות הדורות לא ריפאו את הקרע.</w:t>
      </w:r>
    </w:p>
    <w:p w14:paraId="46BC7DCF" w14:textId="77777777" w:rsidR="00AB3647" w:rsidRDefault="00000000" w:rsidP="007923E9">
      <w:pPr>
        <w:spacing w:after="120" w:line="276" w:lineRule="auto"/>
        <w:ind w:firstLine="283"/>
        <w:jc w:val="both"/>
      </w:pPr>
      <w:r>
        <w:rPr>
          <w:rtl/>
        </w:rPr>
        <w:t xml:space="preserve">אחרי שהותו הקצרה </w:t>
      </w:r>
      <w:proofErr w:type="spellStart"/>
      <w:r>
        <w:rPr>
          <w:rtl/>
        </w:rPr>
        <w:t>בגרובין</w:t>
      </w:r>
      <w:proofErr w:type="spellEnd"/>
      <w:r>
        <w:rPr>
          <w:rtl/>
        </w:rPr>
        <w:t xml:space="preserve"> נעשה הסבא </w:t>
      </w:r>
      <w:proofErr w:type="spellStart"/>
      <w:r>
        <w:rPr>
          <w:rtl/>
        </w:rPr>
        <w:t>מסלבודקה</w:t>
      </w:r>
      <w:proofErr w:type="spellEnd"/>
      <w:r>
        <w:rPr>
          <w:rtl/>
        </w:rPr>
        <w:t xml:space="preserve">, בן שלושים ושתיים, משגיח בישיבת ר׳ </w:t>
      </w:r>
      <w:proofErr w:type="spellStart"/>
      <w:r>
        <w:rPr>
          <w:rtl/>
        </w:rPr>
        <w:t>הירשל׳ה</w:t>
      </w:r>
      <w:proofErr w:type="spellEnd"/>
      <w:r>
        <w:rPr>
          <w:rtl/>
        </w:rPr>
        <w:t xml:space="preserve"> </w:t>
      </w:r>
      <w:proofErr w:type="spellStart"/>
      <w:r>
        <w:rPr>
          <w:rtl/>
        </w:rPr>
        <w:t>שבסלבודקה</w:t>
      </w:r>
      <w:proofErr w:type="spellEnd"/>
      <w:r>
        <w:rPr>
          <w:rtl/>
        </w:rPr>
        <w:t>,</w:t>
      </w:r>
      <w:bookmarkStart w:id="3074" w:name="_fnr2190"/>
      <w:r>
        <w:rPr>
          <w:rStyle w:val="a5"/>
        </w:rPr>
        <w:footnoteReference w:id="2196" w:customMarkFollows="0"/>
      </w:r>
      <w:bookmarkEnd w:id="3074"/>
      <w:r>
        <w:rPr>
          <w:rtl/>
        </w:rPr>
        <w:t xml:space="preserve"> והפך אותה למוסד בר קיימא.</w:t>
      </w:r>
      <w:bookmarkStart w:id="3075" w:name="_fnr2191"/>
      <w:r>
        <w:rPr>
          <w:rStyle w:val="a5"/>
        </w:rPr>
        <w:footnoteReference w:id="2197" w:customMarkFollows="0"/>
      </w:r>
      <w:bookmarkEnd w:id="3075"/>
      <w:r>
        <w:rPr>
          <w:rtl/>
        </w:rPr>
        <w:t xml:space="preserve"> עד שנסגרה </w:t>
      </w:r>
      <w:proofErr w:type="spellStart"/>
      <w:r>
        <w:rPr>
          <w:rtl/>
        </w:rPr>
        <w:t>גרובין</w:t>
      </w:r>
      <w:proofErr w:type="spellEnd"/>
      <w:r>
        <w:rPr>
          <w:rtl/>
        </w:rPr>
        <w:t xml:space="preserve"> </w:t>
      </w:r>
      <w:proofErr w:type="spellStart"/>
      <w:r>
        <w:rPr>
          <w:rtl/>
        </w:rPr>
        <w:t>בתרמ״ו</w:t>
      </w:r>
      <w:proofErr w:type="spellEnd"/>
      <w:r>
        <w:rPr>
          <w:rtl/>
        </w:rPr>
        <w:t xml:space="preserve">, כבר עזב הסבא </w:t>
      </w:r>
      <w:proofErr w:type="spellStart"/>
      <w:r>
        <w:rPr>
          <w:rtl/>
        </w:rPr>
        <w:t>מסלבודקה</w:t>
      </w:r>
      <w:proofErr w:type="spellEnd"/>
      <w:r>
        <w:rPr>
          <w:rtl/>
        </w:rPr>
        <w:t xml:space="preserve"> את ישיבת ר׳ </w:t>
      </w:r>
      <w:proofErr w:type="spellStart"/>
      <w:r>
        <w:rPr>
          <w:rtl/>
        </w:rPr>
        <w:t>הירשל׳ה</w:t>
      </w:r>
      <w:proofErr w:type="spellEnd"/>
      <w:r>
        <w:rPr>
          <w:rtl/>
        </w:rPr>
        <w:t xml:space="preserve"> כדי להקדיש את כל זמנו לישיבת </w:t>
      </w:r>
      <w:proofErr w:type="spellStart"/>
      <w:r>
        <w:rPr>
          <w:rtl/>
        </w:rPr>
        <w:t>סלבודקה</w:t>
      </w:r>
      <w:proofErr w:type="spellEnd"/>
      <w:r>
        <w:rPr>
          <w:rtl/>
        </w:rPr>
        <w:t xml:space="preserve">. בישיבת ר׳ </w:t>
      </w:r>
      <w:proofErr w:type="spellStart"/>
      <w:r>
        <w:rPr>
          <w:rtl/>
        </w:rPr>
        <w:t>הירשל׳ה</w:t>
      </w:r>
      <w:proofErr w:type="spellEnd"/>
      <w:r>
        <w:rPr>
          <w:rtl/>
        </w:rPr>
        <w:t xml:space="preserve"> החליף אותו מי שהיה קודם לכן המשגיח </w:t>
      </w:r>
      <w:proofErr w:type="spellStart"/>
      <w:r>
        <w:rPr>
          <w:rtl/>
        </w:rPr>
        <w:t>בגרובין</w:t>
      </w:r>
      <w:proofErr w:type="spellEnd"/>
      <w:r>
        <w:rPr>
          <w:rtl/>
        </w:rPr>
        <w:t xml:space="preserve">, ר׳ </w:t>
      </w:r>
      <w:proofErr w:type="spellStart"/>
      <w:r>
        <w:rPr>
          <w:rtl/>
        </w:rPr>
        <w:t>אליהו־דוב</w:t>
      </w:r>
      <w:proofErr w:type="spellEnd"/>
      <w:r>
        <w:rPr>
          <w:rtl/>
        </w:rPr>
        <w:t xml:space="preserve"> </w:t>
      </w:r>
      <w:proofErr w:type="spellStart"/>
      <w:r>
        <w:rPr>
          <w:rtl/>
        </w:rPr>
        <w:t>לייזרוביץ</w:t>
      </w:r>
      <w:proofErr w:type="spellEnd"/>
      <w:r>
        <w:rPr>
          <w:rtl/>
        </w:rPr>
        <w:t>.</w:t>
      </w:r>
      <w:bookmarkStart w:id="3076" w:name="_fnr2192"/>
      <w:r>
        <w:rPr>
          <w:rStyle w:val="a5"/>
        </w:rPr>
        <w:footnoteReference w:id="2198" w:customMarkFollows="0"/>
      </w:r>
      <w:bookmarkEnd w:id="3076"/>
    </w:p>
    <w:p w14:paraId="483335E8" w14:textId="77777777" w:rsidR="00AB3647" w:rsidRDefault="00000000" w:rsidP="007923E9">
      <w:pPr>
        <w:spacing w:after="120" w:line="276" w:lineRule="auto"/>
        <w:ind w:firstLine="283"/>
        <w:jc w:val="both"/>
      </w:pPr>
      <w:bookmarkStart w:id="3077" w:name="pr_b_1315"/>
      <w:bookmarkEnd w:id="3077"/>
      <w:proofErr w:type="spellStart"/>
      <w:r>
        <w:rPr>
          <w:rtl/>
        </w:rPr>
        <w:t>בתרמ״א</w:t>
      </w:r>
      <w:proofErr w:type="spellEnd"/>
      <w:r>
        <w:rPr>
          <w:rtl/>
        </w:rPr>
        <w:t xml:space="preserve">, בעת ששימש בישיבת ר׳ </w:t>
      </w:r>
      <w:proofErr w:type="spellStart"/>
      <w:r>
        <w:rPr>
          <w:rtl/>
        </w:rPr>
        <w:t>הירשל׳ה</w:t>
      </w:r>
      <w:proofErr w:type="spellEnd"/>
      <w:r>
        <w:rPr>
          <w:rtl/>
        </w:rPr>
        <w:t>, השתמש הסבא בכספי לחמן</w:t>
      </w:r>
      <w:bookmarkStart w:id="3078" w:name="_fnr2193"/>
      <w:r>
        <w:rPr>
          <w:rStyle w:val="a5"/>
        </w:rPr>
        <w:footnoteReference w:id="2199" w:customMarkFollows="0"/>
      </w:r>
      <w:bookmarkEnd w:id="3078"/>
      <w:r>
        <w:rPr>
          <w:rtl/>
        </w:rPr>
        <w:t xml:space="preserve"> לייסוד ישיבה בעיר </w:t>
      </w:r>
      <w:proofErr w:type="spellStart"/>
      <w:r>
        <w:rPr>
          <w:rtl/>
        </w:rPr>
        <w:t>טלז</w:t>
      </w:r>
      <w:proofErr w:type="spellEnd"/>
      <w:r>
        <w:rPr>
          <w:rtl/>
        </w:rPr>
        <w:t>.</w:t>
      </w:r>
      <w:bookmarkStart w:id="3079" w:name="_fnr2194"/>
      <w:r>
        <w:rPr>
          <w:rStyle w:val="a5"/>
        </w:rPr>
        <w:footnoteReference w:id="2200" w:customMarkFollows="0"/>
      </w:r>
      <w:bookmarkEnd w:id="3079"/>
      <w:r>
        <w:rPr>
          <w:rtl/>
        </w:rPr>
        <w:t xml:space="preserve"> בראשה עמדו אז שלושה אברכים שאכלו על שולחן חותניהם בעיר זו:</w:t>
      </w:r>
      <w:bookmarkStart w:id="3080" w:name="_fnr2195"/>
      <w:r>
        <w:rPr>
          <w:rStyle w:val="a5"/>
        </w:rPr>
        <w:footnoteReference w:id="2201" w:customMarkFollows="0"/>
      </w:r>
      <w:bookmarkEnd w:id="3080"/>
      <w:r>
        <w:rPr>
          <w:rtl/>
        </w:rPr>
        <w:t xml:space="preserve"> ר׳ מאיר אטלס,</w:t>
      </w:r>
      <w:bookmarkStart w:id="3081" w:name="_fnr2196"/>
      <w:r>
        <w:rPr>
          <w:rStyle w:val="a5"/>
        </w:rPr>
        <w:footnoteReference w:id="2202" w:customMarkFollows="0"/>
      </w:r>
      <w:bookmarkEnd w:id="3081"/>
      <w:r>
        <w:rPr>
          <w:rtl/>
        </w:rPr>
        <w:t xml:space="preserve"> ר׳ </w:t>
      </w:r>
      <w:proofErr w:type="spellStart"/>
      <w:r>
        <w:rPr>
          <w:rtl/>
        </w:rPr>
        <w:t>הירש־יעקב</w:t>
      </w:r>
      <w:proofErr w:type="spellEnd"/>
      <w:r>
        <w:rPr>
          <w:rtl/>
        </w:rPr>
        <w:t xml:space="preserve"> </w:t>
      </w:r>
      <w:proofErr w:type="spellStart"/>
      <w:r>
        <w:rPr>
          <w:rtl/>
        </w:rPr>
        <w:t>אופנהיים</w:t>
      </w:r>
      <w:bookmarkStart w:id="3082" w:name="_fnr2197"/>
      <w:proofErr w:type="spellEnd"/>
      <w:r>
        <w:rPr>
          <w:rStyle w:val="a5"/>
        </w:rPr>
        <w:footnoteReference w:id="2203" w:customMarkFollows="0"/>
      </w:r>
      <w:bookmarkEnd w:id="3082"/>
      <w:r>
        <w:rPr>
          <w:rtl/>
        </w:rPr>
        <w:t xml:space="preserve"> ור׳ </w:t>
      </w:r>
      <w:proofErr w:type="spellStart"/>
      <w:r>
        <w:rPr>
          <w:rtl/>
        </w:rPr>
        <w:t>שלמה־זלמן</w:t>
      </w:r>
      <w:proofErr w:type="spellEnd"/>
      <w:r>
        <w:rPr>
          <w:rtl/>
        </w:rPr>
        <w:t xml:space="preserve"> אבל,</w:t>
      </w:r>
      <w:bookmarkStart w:id="3083" w:name="_fnr2198"/>
      <w:r>
        <w:rPr>
          <w:rStyle w:val="a5"/>
        </w:rPr>
        <w:footnoteReference w:id="2204" w:customMarkFollows="0"/>
      </w:r>
      <w:bookmarkEnd w:id="3083"/>
      <w:r>
        <w:rPr>
          <w:rtl/>
        </w:rPr>
        <w:t xml:space="preserve"> “שאחייניתו, בת אחיו ר׳ הירש, נישאה </w:t>
      </w:r>
      <w:proofErr w:type="spellStart"/>
      <w:r>
        <w:rPr>
          <w:rtl/>
        </w:rPr>
        <w:t>לר</w:t>
      </w:r>
      <w:proofErr w:type="spellEnd"/>
      <w:r>
        <w:rPr>
          <w:rtl/>
        </w:rPr>
        <w:t xml:space="preserve">׳ </w:t>
      </w:r>
      <w:proofErr w:type="spellStart"/>
      <w:r>
        <w:rPr>
          <w:rtl/>
        </w:rPr>
        <w:t>אברהם־אליהו</w:t>
      </w:r>
      <w:proofErr w:type="spellEnd"/>
      <w:r>
        <w:rPr>
          <w:rtl/>
        </w:rPr>
        <w:t xml:space="preserve"> קפלן”.</w:t>
      </w:r>
      <w:bookmarkStart w:id="3084" w:name="_fnr2199"/>
      <w:r>
        <w:rPr>
          <w:rStyle w:val="a5"/>
        </w:rPr>
        <w:footnoteReference w:id="2205" w:customMarkFollows="0"/>
      </w:r>
      <w:bookmarkEnd w:id="3084"/>
      <w:r>
        <w:rPr>
          <w:rtl/>
        </w:rPr>
        <w:t xml:space="preserve"> כעבור שלוש שנים עברה הישיבה לידי ר׳ לייזר גורדון,</w:t>
      </w:r>
      <w:bookmarkStart w:id="3085" w:name="_fnr2200"/>
      <w:r>
        <w:rPr>
          <w:rStyle w:val="a5"/>
        </w:rPr>
        <w:footnoteReference w:id="2206" w:customMarkFollows="0"/>
      </w:r>
      <w:bookmarkEnd w:id="3085"/>
      <w:r>
        <w:rPr>
          <w:rtl/>
        </w:rPr>
        <w:t xml:space="preserve"> כשנתמנה לרב העיר.</w:t>
      </w:r>
      <w:bookmarkStart w:id="3086" w:name="_fnr2201"/>
      <w:r>
        <w:rPr>
          <w:rStyle w:val="a5"/>
        </w:rPr>
        <w:footnoteReference w:id="2207" w:customMarkFollows="0"/>
      </w:r>
      <w:bookmarkEnd w:id="3086"/>
    </w:p>
    <w:p w14:paraId="6FA7D899" w14:textId="77777777" w:rsidR="00AB3647" w:rsidRDefault="00000000" w:rsidP="007923E9">
      <w:pPr>
        <w:spacing w:after="120" w:line="276" w:lineRule="auto"/>
        <w:ind w:firstLine="283"/>
        <w:jc w:val="both"/>
      </w:pPr>
      <w:r>
        <w:rPr>
          <w:rtl/>
        </w:rPr>
        <w:t>מלבד שלושת האברכים האלה שהזכיר אבי, “</w:t>
      </w:r>
      <w:proofErr w:type="spellStart"/>
      <w:r>
        <w:rPr>
          <w:rtl/>
        </w:rPr>
        <w:t>טלז</w:t>
      </w:r>
      <w:proofErr w:type="spellEnd"/>
      <w:r>
        <w:rPr>
          <w:rtl/>
        </w:rPr>
        <w:t xml:space="preserve"> הייתה אז מקום תורה לאברכים מגדולי ישראל, שנודעו אחר כך בעולם כגאונים ורועי ישראל, כגון ר׳ </w:t>
      </w:r>
      <w:proofErr w:type="spellStart"/>
      <w:r>
        <w:rPr>
          <w:rtl/>
        </w:rPr>
        <w:t>צבי־יהודה</w:t>
      </w:r>
      <w:proofErr w:type="spellEnd"/>
      <w:r>
        <w:rPr>
          <w:rtl/>
        </w:rPr>
        <w:t xml:space="preserve"> תאומים [אחיו של </w:t>
      </w:r>
      <w:proofErr w:type="spellStart"/>
      <w:r>
        <w:rPr>
          <w:rtl/>
        </w:rPr>
        <w:lastRenderedPageBreak/>
        <w:t>האדר״ת</w:t>
      </w:r>
      <w:bookmarkStart w:id="3087" w:name="_fnr2202"/>
      <w:proofErr w:type="spellEnd"/>
      <w:r>
        <w:rPr>
          <w:rStyle w:val="a5"/>
        </w:rPr>
        <w:footnoteReference w:id="2208" w:customMarkFollows="0"/>
      </w:r>
      <w:bookmarkEnd w:id="3087"/>
      <w:r>
        <w:rPr>
          <w:rtl/>
        </w:rPr>
        <w:t xml:space="preserve"> ולימים רבה של </w:t>
      </w:r>
      <w:proofErr w:type="spellStart"/>
      <w:r>
        <w:rPr>
          <w:rtl/>
        </w:rPr>
        <w:t>רגולה</w:t>
      </w:r>
      <w:proofErr w:type="spellEnd"/>
      <w:r>
        <w:rPr>
          <w:rtl/>
        </w:rPr>
        <w:t>], ור׳ שלמה אלישיב</w:t>
      </w:r>
      <w:bookmarkStart w:id="3088" w:name="_fnr2203"/>
      <w:r>
        <w:rPr>
          <w:rStyle w:val="a5"/>
        </w:rPr>
        <w:footnoteReference w:id="2209" w:customMarkFollows="0"/>
      </w:r>
      <w:bookmarkEnd w:id="3088"/>
      <w:r>
        <w:rPr>
          <w:rtl/>
        </w:rPr>
        <w:t xml:space="preserve"> [שלמד עשר שנים </w:t>
      </w:r>
      <w:proofErr w:type="spellStart"/>
      <w:r>
        <w:rPr>
          <w:rtl/>
        </w:rPr>
        <w:t>בטלז</w:t>
      </w:r>
      <w:proofErr w:type="spellEnd"/>
      <w:r>
        <w:rPr>
          <w:rtl/>
        </w:rPr>
        <w:t xml:space="preserve"> כפרוש]”.</w:t>
      </w:r>
      <w:bookmarkStart w:id="3089" w:name="_fnr2204"/>
      <w:r>
        <w:rPr>
          <w:rStyle w:val="a5"/>
        </w:rPr>
        <w:footnoteReference w:id="2210" w:customMarkFollows="0"/>
      </w:r>
      <w:bookmarkEnd w:id="3089"/>
      <w:r>
        <w:rPr>
          <w:rtl/>
        </w:rPr>
        <w:t xml:space="preserve"> מקצת העשור הזה חופף לפרק הזמן שתיאר רבנו.</w:t>
      </w:r>
    </w:p>
    <w:p w14:paraId="152D6530" w14:textId="77777777" w:rsidR="00AB3647" w:rsidRDefault="00000000" w:rsidP="007923E9">
      <w:pPr>
        <w:spacing w:after="120" w:line="276" w:lineRule="auto"/>
        <w:ind w:firstLine="283"/>
        <w:jc w:val="both"/>
      </w:pPr>
      <w:r>
        <w:rPr>
          <w:rtl/>
        </w:rPr>
        <w:t xml:space="preserve">פריצת הדרך של הסבא בהגשמת תוכניתו להפצת התורה באה שנה אחר כך, כשהיה בן שלושים ושלוש וייסד במסגרת כולל קובנה את ישיבת </w:t>
      </w:r>
      <w:proofErr w:type="spellStart"/>
      <w:r>
        <w:rPr>
          <w:rtl/>
        </w:rPr>
        <w:t>סלבודקה</w:t>
      </w:r>
      <w:proofErr w:type="spellEnd"/>
      <w:r>
        <w:rPr>
          <w:rtl/>
        </w:rPr>
        <w:t>. עתה יצר את הכלי להפצת תורה עם מוסר. כשהייתה הישיבה בשליטת הסבא, ובייחוד אחרי שהייתה לכנסת ישראל המזוהה עם חוג המוסר, נעשתה למשתלה שבה גודלו שתילי תורה לשם נטיעתם בשדות פוריים.</w:t>
      </w:r>
    </w:p>
    <w:p w14:paraId="098FA2CE" w14:textId="77777777" w:rsidR="00AB3647" w:rsidRDefault="00000000" w:rsidP="007923E9">
      <w:pPr>
        <w:spacing w:after="120" w:line="276" w:lineRule="auto"/>
        <w:ind w:firstLine="283"/>
        <w:jc w:val="both"/>
      </w:pPr>
      <w:r>
        <w:rPr>
          <w:rtl/>
        </w:rPr>
        <w:t xml:space="preserve">ישיבת </w:t>
      </w:r>
      <w:proofErr w:type="spellStart"/>
      <w:r>
        <w:rPr>
          <w:rtl/>
        </w:rPr>
        <w:t>סלוצק</w:t>
      </w:r>
      <w:proofErr w:type="spellEnd"/>
      <w:r>
        <w:rPr>
          <w:rtl/>
        </w:rPr>
        <w:t xml:space="preserve"> הייתה הראשונה מבין </w:t>
      </w:r>
      <w:proofErr w:type="spellStart"/>
      <w:r>
        <w:rPr>
          <w:rtl/>
        </w:rPr>
        <w:t>ארבע־עשרה</w:t>
      </w:r>
      <w:proofErr w:type="spellEnd"/>
      <w:r>
        <w:rPr>
          <w:rtl/>
        </w:rPr>
        <w:t xml:space="preserve"> ישיבות שנוסדו או התחזקו באמצעות קבוצות תלמידים </w:t>
      </w:r>
      <w:proofErr w:type="spellStart"/>
      <w:r>
        <w:rPr>
          <w:rtl/>
        </w:rPr>
        <w:t>מסלבודקה</w:t>
      </w:r>
      <w:proofErr w:type="spellEnd"/>
      <w:r>
        <w:rPr>
          <w:rtl/>
        </w:rPr>
        <w:t xml:space="preserve">. האחרות היו: </w:t>
      </w:r>
      <w:proofErr w:type="spellStart"/>
      <w:r>
        <w:rPr>
          <w:rtl/>
        </w:rPr>
        <w:t>מאלטש</w:t>
      </w:r>
      <w:proofErr w:type="spellEnd"/>
      <w:r>
        <w:rPr>
          <w:rtl/>
        </w:rPr>
        <w:t xml:space="preserve">, </w:t>
      </w:r>
      <w:proofErr w:type="spellStart"/>
      <w:r>
        <w:rPr>
          <w:rtl/>
        </w:rPr>
        <w:t>בריינסק</w:t>
      </w:r>
      <w:proofErr w:type="spellEnd"/>
      <w:r>
        <w:rPr>
          <w:rtl/>
        </w:rPr>
        <w:t xml:space="preserve">, </w:t>
      </w:r>
      <w:proofErr w:type="spellStart"/>
      <w:r>
        <w:rPr>
          <w:rtl/>
        </w:rPr>
        <w:t>שטוצ׳ין</w:t>
      </w:r>
      <w:proofErr w:type="spellEnd"/>
      <w:r>
        <w:rPr>
          <w:rtl/>
        </w:rPr>
        <w:t xml:space="preserve">, שקלוב, </w:t>
      </w:r>
      <w:proofErr w:type="spellStart"/>
      <w:r>
        <w:rPr>
          <w:rtl/>
        </w:rPr>
        <w:t>לודז</w:t>
      </w:r>
      <w:proofErr w:type="spellEnd"/>
      <w:r>
        <w:rPr>
          <w:rtl/>
        </w:rPr>
        <w:t xml:space="preserve">׳, </w:t>
      </w:r>
      <w:proofErr w:type="spellStart"/>
      <w:r>
        <w:rPr>
          <w:rtl/>
        </w:rPr>
        <w:t>גרודנא</w:t>
      </w:r>
      <w:proofErr w:type="spellEnd"/>
      <w:r>
        <w:rPr>
          <w:rtl/>
        </w:rPr>
        <w:t xml:space="preserve">, </w:t>
      </w:r>
      <w:proofErr w:type="spellStart"/>
      <w:r>
        <w:rPr>
          <w:rtl/>
        </w:rPr>
        <w:t>טלז</w:t>
      </w:r>
      <w:proofErr w:type="spellEnd"/>
      <w:r>
        <w:rPr>
          <w:rtl/>
        </w:rPr>
        <w:t xml:space="preserve"> (בראשות ר׳ לייזר גורדון), </w:t>
      </w:r>
      <w:proofErr w:type="spellStart"/>
      <w:r>
        <w:rPr>
          <w:rtl/>
        </w:rPr>
        <w:t>מיר</w:t>
      </w:r>
      <w:proofErr w:type="spellEnd"/>
      <w:r>
        <w:rPr>
          <w:rtl/>
        </w:rPr>
        <w:t xml:space="preserve">, שדובה, </w:t>
      </w:r>
      <w:proofErr w:type="spellStart"/>
      <w:r>
        <w:rPr>
          <w:rtl/>
        </w:rPr>
        <w:t>פוניבז</w:t>
      </w:r>
      <w:proofErr w:type="spellEnd"/>
      <w:r>
        <w:rPr>
          <w:rtl/>
        </w:rPr>
        <w:t xml:space="preserve">׳ (כולל ויסוצקי), </w:t>
      </w:r>
      <w:proofErr w:type="spellStart"/>
      <w:r>
        <w:rPr>
          <w:rtl/>
        </w:rPr>
        <w:t>טבריג</w:t>
      </w:r>
      <w:proofErr w:type="spellEnd"/>
      <w:r>
        <w:rPr>
          <w:rtl/>
        </w:rPr>
        <w:t xml:space="preserve"> (כולל), </w:t>
      </w:r>
      <w:proofErr w:type="spellStart"/>
      <w:r>
        <w:rPr>
          <w:rtl/>
        </w:rPr>
        <w:t>ראסיין</w:t>
      </w:r>
      <w:proofErr w:type="spellEnd"/>
      <w:r>
        <w:rPr>
          <w:rtl/>
        </w:rPr>
        <w:t xml:space="preserve"> וכולל </w:t>
      </w:r>
      <w:proofErr w:type="spellStart"/>
      <w:r>
        <w:rPr>
          <w:rtl/>
        </w:rPr>
        <w:t>סלבודקה</w:t>
      </w:r>
      <w:proofErr w:type="spellEnd"/>
      <w:r>
        <w:rPr>
          <w:rtl/>
        </w:rPr>
        <w:t xml:space="preserve"> (אחרי מלחמת העולם הראשונה).</w:t>
      </w:r>
      <w:bookmarkStart w:id="3090" w:name="_fnr2205"/>
      <w:r>
        <w:rPr>
          <w:rStyle w:val="a5"/>
        </w:rPr>
        <w:footnoteReference w:id="2211" w:customMarkFollows="0"/>
      </w:r>
      <w:bookmarkEnd w:id="3090"/>
      <w:r>
        <w:rPr>
          <w:rtl/>
        </w:rPr>
        <w:t xml:space="preserve"> על הישיבה שהסבא שלח את אבי לסייע בייסודה ראה פרק 5.1, ועל הישיבה שנשלח לחזק ראה כרך 2.</w:t>
      </w:r>
    </w:p>
    <w:bookmarkStart w:id="3091" w:name="b3_excR"/>
    <w:p w14:paraId="66656D6F" w14:textId="77777777" w:rsidR="00AB3647" w:rsidRDefault="00000000" w:rsidP="007923E9">
      <w:pPr>
        <w:pStyle w:val="3"/>
        <w:spacing w:line="276" w:lineRule="auto"/>
      </w:pPr>
      <w:r>
        <w:lastRenderedPageBreak/>
        <w:fldChar w:fldCharType="begin" w:dirty="true"/>
      </w:r>
      <w:r>
        <w:rPr>
          <w:rtl w:val="0"/>
        </w:rPr>
        <w:instrText>HYPERLINK \l "b3_note49</w:instrText>
      </w:r>
      <w:r>
        <w:instrText>"</w:instrText>
      </w:r>
      <w:r>
        <w:fldChar w:fldCharType="separate"/>
      </w:r>
      <w:r>
        <w:t xml:space="preserve">נספח </w:t>
      </w:r>
      <w:proofErr w:type="spellStart"/>
      <w:r>
        <w:t>יח</w:t>
      </w:r>
      <w:proofErr w:type="spellEnd"/>
      <w:r>
        <w:fldChar w:fldCharType="end"/>
      </w:r>
      <w:bookmarkEnd w:id="3091"/>
    </w:p>
    <w:p w14:paraId="5C2428CB" w14:textId="77777777" w:rsidR="00AB3647" w:rsidRDefault="00000000" w:rsidP="007923E9">
      <w:pPr>
        <w:pStyle w:val="af"/>
        <w:spacing w:line="276" w:lineRule="auto"/>
      </w:pPr>
      <w:r>
        <w:t xml:space="preserve">על קדושתו של ר׳ </w:t>
      </w:r>
      <w:proofErr w:type="spellStart"/>
      <w:r>
        <w:t>ברוך־בער</w:t>
      </w:r>
      <w:proofErr w:type="spellEnd"/>
      <w:r>
        <w:t xml:space="preserve">; על המאמר </w:t>
      </w:r>
      <w:proofErr w:type="spellStart"/>
      <w:r>
        <w:t>החב״די</w:t>
      </w:r>
      <w:proofErr w:type="spellEnd"/>
      <w:r>
        <w:t xml:space="preserve"> בעניין לימוד מסכת בבא קמא; ועל ועידת הרבנים בפטרבורג </w:t>
      </w:r>
      <w:proofErr w:type="spellStart"/>
      <w:r>
        <w:t>בתר״ע</w:t>
      </w:r>
      <w:proofErr w:type="spellEnd"/>
    </w:p>
    <w:p w14:paraId="723DDC0B" w14:textId="77777777" w:rsidR="00AB3647" w:rsidRDefault="00000000" w:rsidP="007923E9">
      <w:pPr>
        <w:pStyle w:val="4"/>
        <w:spacing w:line="276" w:lineRule="auto"/>
      </w:pPr>
      <w:r>
        <w:t>· הפסקה הראשונה ·</w:t>
      </w:r>
    </w:p>
    <w:p w14:paraId="4A2F8C34" w14:textId="77777777" w:rsidR="00AB3647" w:rsidRDefault="00000000" w:rsidP="007923E9">
      <w:pPr>
        <w:pStyle w:val="5"/>
        <w:spacing w:line="276" w:lineRule="auto"/>
      </w:pPr>
      <w:r>
        <w:t xml:space="preserve">ר׳ </w:t>
      </w:r>
      <w:proofErr w:type="spellStart"/>
      <w:r>
        <w:t>ברוך־בער</w:t>
      </w:r>
      <w:proofErr w:type="spellEnd"/>
      <w:r>
        <w:t xml:space="preserve"> ור׳ </w:t>
      </w:r>
      <w:proofErr w:type="spellStart"/>
      <w:r>
        <w:t>איסר־זלמן</w:t>
      </w:r>
      <w:proofErr w:type="spellEnd"/>
      <w:r>
        <w:t xml:space="preserve"> נפגשים </w:t>
      </w:r>
      <w:proofErr w:type="spellStart"/>
      <w:r>
        <w:t>בבריסק</w:t>
      </w:r>
      <w:proofErr w:type="spellEnd"/>
      <w:r>
        <w:t xml:space="preserve"> – לראשון יש לבסוף רבבות תלמידים – ר׳ חיים </w:t>
      </w:r>
      <w:proofErr w:type="spellStart"/>
      <w:r>
        <w:t>סולובייצ׳יק</w:t>
      </w:r>
      <w:proofErr w:type="spellEnd"/>
      <w:r>
        <w:t xml:space="preserve"> מחבק את תלמידיו – תנוחתו המוזרה בשעת ריכוז – לדעתו ר׳ </w:t>
      </w:r>
      <w:proofErr w:type="spellStart"/>
      <w:r>
        <w:t>איסר־זלמן</w:t>
      </w:r>
      <w:proofErr w:type="spellEnd"/>
      <w:r>
        <w:t xml:space="preserve"> אינו דבק בדרכו לחלוטין</w:t>
      </w:r>
    </w:p>
    <w:p w14:paraId="1D228A9F"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נולד </w:t>
      </w:r>
      <w:proofErr w:type="spellStart"/>
      <w:r>
        <w:rPr>
          <w:rtl/>
        </w:rPr>
        <w:t>בסלוצק</w:t>
      </w:r>
      <w:proofErr w:type="spellEnd"/>
      <w:r>
        <w:rPr>
          <w:rtl/>
        </w:rPr>
        <w:t xml:space="preserve"> בסביבות תרכ״ו, </w:t>
      </w:r>
      <w:proofErr w:type="spellStart"/>
      <w:r>
        <w:rPr>
          <w:rtl/>
        </w:rPr>
        <w:t>ובתרס״ה</w:t>
      </w:r>
      <w:proofErr w:type="spellEnd"/>
      <w:r>
        <w:rPr>
          <w:rtl/>
        </w:rPr>
        <w:t xml:space="preserve"> בא </w:t>
      </w:r>
      <w:proofErr w:type="spellStart"/>
      <w:r>
        <w:rPr>
          <w:rtl/>
        </w:rPr>
        <w:t>לסלבודקה</w:t>
      </w:r>
      <w:proofErr w:type="spellEnd"/>
      <w:r>
        <w:rPr>
          <w:rtl/>
        </w:rPr>
        <w:t xml:space="preserve"> </w:t>
      </w:r>
      <w:proofErr w:type="spellStart"/>
      <w:r>
        <w:rPr>
          <w:rtl/>
        </w:rPr>
        <w:t>מהלוסק</w:t>
      </w:r>
      <w:proofErr w:type="spellEnd"/>
      <w:r>
        <w:rPr>
          <w:rtl/>
        </w:rPr>
        <w:t>, שבה כיהן כרב והחזיק ישיבה קטנה.</w:t>
      </w:r>
      <w:bookmarkStart w:id="3092" w:name="_fnr2206"/>
      <w:r>
        <w:rPr>
          <w:rStyle w:val="a5"/>
        </w:rPr>
        <w:footnoteReference w:id="2212" w:customMarkFollows="0"/>
      </w:r>
      <w:bookmarkEnd w:id="3092"/>
      <w:r>
        <w:rPr>
          <w:rtl/>
        </w:rPr>
        <w:t xml:space="preserve"> בגיל </w:t>
      </w:r>
      <w:proofErr w:type="spellStart"/>
      <w:r>
        <w:rPr>
          <w:rtl/>
        </w:rPr>
        <w:t>שש־עשרה</w:t>
      </w:r>
      <w:proofErr w:type="spellEnd"/>
      <w:r>
        <w:rPr>
          <w:rtl/>
        </w:rPr>
        <w:t xml:space="preserve"> החל, כמו ר׳ </w:t>
      </w:r>
      <w:proofErr w:type="spellStart"/>
      <w:r>
        <w:rPr>
          <w:rtl/>
        </w:rPr>
        <w:t>איסר־זלמן</w:t>
      </w:r>
      <w:proofErr w:type="spellEnd"/>
      <w:r>
        <w:rPr>
          <w:rtl/>
        </w:rPr>
        <w:t xml:space="preserve">, את שנות לימודיו הרבות אצל ר׳ חיים </w:t>
      </w:r>
      <w:proofErr w:type="spellStart"/>
      <w:r>
        <w:rPr>
          <w:rtl/>
        </w:rPr>
        <w:t>סולובייצ׳יק</w:t>
      </w:r>
      <w:proofErr w:type="spellEnd"/>
      <w:r>
        <w:rPr>
          <w:rtl/>
        </w:rPr>
        <w:t xml:space="preserve"> </w:t>
      </w:r>
      <w:proofErr w:type="spellStart"/>
      <w:r>
        <w:rPr>
          <w:rtl/>
        </w:rPr>
        <w:t>בוולוז׳ין</w:t>
      </w:r>
      <w:proofErr w:type="spellEnd"/>
      <w:r>
        <w:rPr>
          <w:rtl/>
        </w:rPr>
        <w:t>,</w:t>
      </w:r>
      <w:bookmarkStart w:id="3093" w:name="_fnr2207"/>
      <w:r>
        <w:rPr>
          <w:rStyle w:val="a5"/>
        </w:rPr>
        <w:footnoteReference w:id="2213" w:customMarkFollows="0"/>
      </w:r>
      <w:bookmarkEnd w:id="3093"/>
      <w:r>
        <w:rPr>
          <w:rtl/>
        </w:rPr>
        <w:t xml:space="preserve"> ובעיני עצמו היה תלמידו האמיתי של ר׳ חיים.</w:t>
      </w:r>
    </w:p>
    <w:p w14:paraId="512CC689" w14:textId="77777777" w:rsidR="00AB3647" w:rsidRDefault="00000000" w:rsidP="007923E9">
      <w:pPr>
        <w:spacing w:after="120" w:line="276" w:lineRule="auto"/>
        <w:ind w:firstLine="283"/>
        <w:jc w:val="both"/>
      </w:pPr>
      <w:r>
        <w:rPr>
          <w:rtl/>
        </w:rPr>
        <w:t xml:space="preserve">כשקיבל ר׳ </w:t>
      </w:r>
      <w:proofErr w:type="spellStart"/>
      <w:r>
        <w:rPr>
          <w:rtl/>
        </w:rPr>
        <w:t>איסר־זלמן</w:t>
      </w:r>
      <w:proofErr w:type="spellEnd"/>
      <w:r>
        <w:rPr>
          <w:rtl/>
        </w:rPr>
        <w:t xml:space="preserve"> את המשרה </w:t>
      </w:r>
      <w:proofErr w:type="spellStart"/>
      <w:r>
        <w:rPr>
          <w:rtl/>
        </w:rPr>
        <w:t>בסלוצק</w:t>
      </w:r>
      <w:proofErr w:type="spellEnd"/>
      <w:r>
        <w:rPr>
          <w:rtl/>
        </w:rPr>
        <w:t xml:space="preserve">, נסע לשם דרך </w:t>
      </w:r>
      <w:proofErr w:type="spellStart"/>
      <w:r>
        <w:rPr>
          <w:rtl/>
        </w:rPr>
        <w:t>בריסק</w:t>
      </w:r>
      <w:proofErr w:type="spellEnd"/>
      <w:r>
        <w:rPr>
          <w:rtl/>
        </w:rPr>
        <w:t xml:space="preserve"> כדי לשוחח עם ר׳ חיים על המינוי החדש. גם ר׳ </w:t>
      </w:r>
      <w:proofErr w:type="spellStart"/>
      <w:r>
        <w:rPr>
          <w:rtl/>
        </w:rPr>
        <w:t>ברוך־בער</w:t>
      </w:r>
      <w:proofErr w:type="spellEnd"/>
      <w:r>
        <w:rPr>
          <w:rtl/>
        </w:rPr>
        <w:t xml:space="preserve"> ביקר שם באותו זמן, והרגיש שרבם מתעניין בישיבתו החדשה של ר׳ </w:t>
      </w:r>
      <w:proofErr w:type="spellStart"/>
      <w:r>
        <w:rPr>
          <w:rtl/>
        </w:rPr>
        <w:t>איסר־זלמן</w:t>
      </w:r>
      <w:proofErr w:type="spellEnd"/>
      <w:r>
        <w:rPr>
          <w:rtl/>
        </w:rPr>
        <w:t xml:space="preserve"> יותר </w:t>
      </w:r>
      <w:proofErr w:type="spellStart"/>
      <w:r>
        <w:rPr>
          <w:rtl/>
        </w:rPr>
        <w:t>מבישיבתו</w:t>
      </w:r>
      <w:proofErr w:type="spellEnd"/>
      <w:r>
        <w:rPr>
          <w:rtl/>
        </w:rPr>
        <w:t xml:space="preserve"> הקיימת </w:t>
      </w:r>
      <w:proofErr w:type="spellStart"/>
      <w:r>
        <w:rPr>
          <w:rtl/>
        </w:rPr>
        <w:t>בהלוסק</w:t>
      </w:r>
      <w:proofErr w:type="spellEnd"/>
      <w:r>
        <w:rPr>
          <w:rtl/>
        </w:rPr>
        <w:t>. כשהזדמן לו, מצא את רבו ביחידות ואמר: “ומה עם תלמידך האמיתי?” – והתכוון לעצמו.</w:t>
      </w:r>
      <w:bookmarkStart w:id="3094" w:name="_fnr2208"/>
      <w:bookmarkStart w:id="3095" w:name="pr_f_2113"/>
      <w:r>
        <w:rPr>
          <w:rStyle w:val="a5"/>
        </w:rPr>
        <w:footnoteReference w:id="2214" w:customMarkFollows="0"/>
      </w:r>
      <w:bookmarkEnd w:id="3094"/>
      <w:bookmarkEnd w:id="3095"/>
      <w:r>
        <w:rPr>
          <w:rtl/>
        </w:rPr>
        <w:t xml:space="preserve"> ר׳ חיים לא השיב עד הפעם הבאה שהיו לבדם. אז אחז בדשי בגדו של תלמידו, טלטל אותו ואמר:</w:t>
      </w:r>
    </w:p>
    <w:p w14:paraId="3DC94844" w14:textId="77777777" w:rsidR="00AB3647" w:rsidRDefault="00000000" w:rsidP="007923E9">
      <w:pPr>
        <w:spacing w:after="120" w:line="276" w:lineRule="auto"/>
        <w:ind w:firstLine="283"/>
        <w:jc w:val="both"/>
      </w:pPr>
      <w:r>
        <w:rPr>
          <w:rtl/>
        </w:rPr>
        <w:t>“אני מבטיח לך שעוד אלפים של תלמידים יאכלו על שולחנך [ישמעו את שיעוריך].”</w:t>
      </w:r>
      <w:bookmarkStart w:id="3096" w:name="_fnr2209"/>
      <w:r>
        <w:rPr>
          <w:rStyle w:val="a5"/>
        </w:rPr>
        <w:footnoteReference w:id="2215" w:customMarkFollows="0"/>
      </w:r>
      <w:bookmarkEnd w:id="3096"/>
      <w:r>
        <w:rPr>
          <w:rtl/>
        </w:rPr>
        <w:t xml:space="preserve"> </w:t>
      </w:r>
      <w:bookmarkStart w:id="3097" w:name="_fnr2210"/>
      <w:bookmarkStart w:id="3098" w:name="pr_f_2115"/>
      <w:r>
        <w:rPr>
          <w:rStyle w:val="a5"/>
        </w:rPr>
        <w:footnoteReference w:id="2216" w:customMarkFollows="0"/>
      </w:r>
      <w:bookmarkEnd w:id="3097"/>
      <w:bookmarkEnd w:id="3098"/>
    </w:p>
    <w:p w14:paraId="6DE63204" w14:textId="77777777" w:rsidR="00AB3647" w:rsidRDefault="00000000" w:rsidP="007923E9">
      <w:pPr>
        <w:spacing w:after="120" w:line="276" w:lineRule="auto"/>
        <w:ind w:firstLine="283"/>
        <w:jc w:val="both"/>
      </w:pPr>
      <w:r>
        <w:rPr>
          <w:rtl/>
        </w:rPr>
        <w:t xml:space="preserve">מינויו של ר׳ </w:t>
      </w:r>
      <w:proofErr w:type="spellStart"/>
      <w:r>
        <w:rPr>
          <w:rtl/>
        </w:rPr>
        <w:t>ברוך־בער</w:t>
      </w:r>
      <w:proofErr w:type="spellEnd"/>
      <w:r>
        <w:rPr>
          <w:rtl/>
        </w:rPr>
        <w:t xml:space="preserve"> לכנסת בית יצחק סימן את תחילת הגשמת תחזיתו של ר׳ חיים, שלתלמידו יהיו תלמידים רבים. עם הוצאת ספרו הראשון של ר׳ </w:t>
      </w:r>
      <w:proofErr w:type="spellStart"/>
      <w:r>
        <w:rPr>
          <w:rtl/>
        </w:rPr>
        <w:t>ברוך־בער</w:t>
      </w:r>
      <w:proofErr w:type="spellEnd"/>
      <w:r>
        <w:rPr>
          <w:rtl/>
        </w:rPr>
        <w:t>, שלוש שנים לפני פטירתו, ועם ספריו הנוספים שהמשיכו לצאת,</w:t>
      </w:r>
      <w:bookmarkStart w:id="3099" w:name="_fnr2211"/>
      <w:r>
        <w:rPr>
          <w:rStyle w:val="a5"/>
        </w:rPr>
        <w:footnoteReference w:id="2217" w:customMarkFollows="0"/>
      </w:r>
      <w:bookmarkEnd w:id="3099"/>
      <w:r>
        <w:rPr>
          <w:rtl/>
        </w:rPr>
        <w:t xml:space="preserve"> הגיע מספר “האוכלים על שולחנו” לאחר פטירתו לרבבות. לפי “ר׳ ברוך בר”,</w:t>
      </w:r>
      <w:bookmarkStart w:id="3100" w:name="_fnr2212"/>
      <w:r>
        <w:rPr>
          <w:rStyle w:val="a5"/>
        </w:rPr>
        <w:footnoteReference w:id="2218" w:customMarkFollows="0"/>
      </w:r>
      <w:bookmarkEnd w:id="3100"/>
      <w:r>
        <w:rPr>
          <w:rtl/>
        </w:rPr>
        <w:t xml:space="preserve"> גם ר׳ חיים עצמו סייע לתלמידו בניהול כנסת בית יצחק, כששניהם גלו עם הישיבה למינסק במלחמת העולם הראשונה.</w:t>
      </w:r>
    </w:p>
    <w:p w14:paraId="3319B113" w14:textId="77777777" w:rsidR="00AB3647" w:rsidRDefault="00000000" w:rsidP="007923E9">
      <w:pPr>
        <w:spacing w:after="120" w:line="276" w:lineRule="auto"/>
        <w:ind w:firstLine="283"/>
        <w:jc w:val="both"/>
      </w:pPr>
      <w:r>
        <w:rPr>
          <w:rtl/>
        </w:rPr>
        <w:lastRenderedPageBreak/>
        <w:t xml:space="preserve">למרות דעתו של ר׳ </w:t>
      </w:r>
      <w:proofErr w:type="spellStart"/>
      <w:r>
        <w:rPr>
          <w:rtl/>
        </w:rPr>
        <w:t>ברוך־בער</w:t>
      </w:r>
      <w:proofErr w:type="spellEnd"/>
      <w:r>
        <w:rPr>
          <w:rtl/>
        </w:rPr>
        <w:t xml:space="preserve"> על עצמו, בעיני אבי היה ר׳ </w:t>
      </w:r>
      <w:proofErr w:type="spellStart"/>
      <w:r>
        <w:rPr>
          <w:rtl/>
        </w:rPr>
        <w:t>איסר־זלמן</w:t>
      </w:r>
      <w:proofErr w:type="spellEnd"/>
      <w:r>
        <w:rPr>
          <w:rtl/>
        </w:rPr>
        <w:t xml:space="preserve"> תלמידו הראשון במעלה של ר׳ חיים </w:t>
      </w:r>
      <w:proofErr w:type="spellStart"/>
      <w:r>
        <w:rPr>
          <w:rtl/>
        </w:rPr>
        <w:t>בוולוז׳ין</w:t>
      </w:r>
      <w:proofErr w:type="spellEnd"/>
      <w:r>
        <w:rPr>
          <w:rtl/>
        </w:rPr>
        <w:t xml:space="preserve">. </w:t>
      </w:r>
      <w:proofErr w:type="spellStart"/>
      <w:r>
        <w:rPr>
          <w:rtl/>
        </w:rPr>
        <w:t>הנצי״ב</w:t>
      </w:r>
      <w:proofErr w:type="spellEnd"/>
      <w:r>
        <w:rPr>
          <w:rtl/>
        </w:rPr>
        <w:t xml:space="preserve"> מתח ביקורת דווקא על כך שר׳ חיים היה פונה תמיד אל ר׳ </w:t>
      </w:r>
      <w:proofErr w:type="spellStart"/>
      <w:r>
        <w:rPr>
          <w:rtl/>
        </w:rPr>
        <w:t>איסר־זלמן</w:t>
      </w:r>
      <w:proofErr w:type="spellEnd"/>
      <w:r>
        <w:rPr>
          <w:rtl/>
        </w:rPr>
        <w:t xml:space="preserve"> – </w:t>
      </w:r>
      <w:r>
        <w:rPr>
          <w:b/>
          <w:bCs/>
          <w:rtl/>
        </w:rPr>
        <w:t xml:space="preserve">ולא אל ר׳ </w:t>
      </w:r>
      <w:proofErr w:type="spellStart"/>
      <w:r>
        <w:rPr>
          <w:b/>
          <w:bCs/>
          <w:rtl/>
        </w:rPr>
        <w:t>ברוך־בער</w:t>
      </w:r>
      <w:proofErr w:type="spellEnd"/>
      <w:r>
        <w:rPr>
          <w:rtl/>
        </w:rPr>
        <w:t xml:space="preserve"> – ומדבר עמו בלימוד. הוא עשה זאת במשחק מילים: “ר׳ חיים </w:t>
      </w:r>
      <w:proofErr w:type="spellStart"/>
      <w:r>
        <w:rPr>
          <w:rtl/>
        </w:rPr>
        <w:t>בצוארו</w:t>
      </w:r>
      <w:proofErr w:type="spellEnd"/>
      <w:r>
        <w:rPr>
          <w:rtl/>
        </w:rPr>
        <w:t xml:space="preserve"> ויעסוק בתורה”?!</w:t>
      </w:r>
      <w:bookmarkStart w:id="3101" w:name="_fnr2213"/>
      <w:r>
        <w:rPr>
          <w:rStyle w:val="a5"/>
        </w:rPr>
        <w:footnoteReference w:id="2219" w:customMarkFollows="0"/>
      </w:r>
      <w:bookmarkEnd w:id="3101"/>
      <w:r>
        <w:rPr>
          <w:rtl/>
        </w:rPr>
        <w:t xml:space="preserve"> כוונת </w:t>
      </w:r>
      <w:proofErr w:type="spellStart"/>
      <w:r>
        <w:rPr>
          <w:rtl/>
        </w:rPr>
        <w:t>הנצי״ב</w:t>
      </w:r>
      <w:proofErr w:type="spellEnd"/>
      <w:r>
        <w:rPr>
          <w:rtl/>
        </w:rPr>
        <w:t xml:space="preserve"> הייתה שר׳ </w:t>
      </w:r>
      <w:proofErr w:type="spellStart"/>
      <w:r>
        <w:rPr>
          <w:rtl/>
        </w:rPr>
        <w:t>איסר־זלמן</w:t>
      </w:r>
      <w:proofErr w:type="spellEnd"/>
      <w:r>
        <w:rPr>
          <w:rtl/>
        </w:rPr>
        <w:t xml:space="preserve"> עסוק כל כך בדיבור עם ר׳ חיים – בלימוד, כמובן – ובשמיעת חידושיו, עד שאין לו פנאי ללמוד בעצמו.</w:t>
      </w:r>
    </w:p>
    <w:p w14:paraId="7BAAF5D9" w14:textId="177F14C8" w:rsidR="00AB3647" w:rsidRDefault="00000000" w:rsidP="007923E9">
      <w:pPr>
        <w:spacing w:after="120" w:line="276" w:lineRule="auto"/>
        <w:ind w:firstLine="283"/>
        <w:jc w:val="both"/>
      </w:pPr>
      <w:r>
        <w:rPr>
          <w:rtl/>
        </w:rPr>
        <w:t xml:space="preserve">השווה גם סוף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להלן, </w:t>
      </w:r>
      <w:proofErr w:type="spellStart"/>
      <w:r>
        <w:rPr>
          <w:rtl/>
        </w:rPr>
        <w:t>ו“ספר</w:t>
      </w:r>
      <w:proofErr w:type="spellEnd"/>
      <w:r>
        <w:rPr>
          <w:rtl/>
        </w:rPr>
        <w:t xml:space="preserve">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proofErr w:type="spellEnd"/>
      <w:r>
        <w:rPr>
          <w:rtl/>
        </w:rPr>
        <w:t>,</w:t>
      </w:r>
      <w:bookmarkStart w:id="3102" w:name="_fnr2214"/>
      <w:r>
        <w:rPr>
          <w:rStyle w:val="a5"/>
        </w:rPr>
        <w:footnoteReference w:id="2220" w:customMarkFollows="0"/>
      </w:r>
      <w:bookmarkEnd w:id="3102"/>
      <w:r>
        <w:rPr>
          <w:rtl/>
        </w:rPr>
        <w:t xml:space="preserve"> המתאר את הרגלו של ר׳ חיים להניח יד אוהבת סביב צווארו של </w:t>
      </w:r>
      <w:proofErr w:type="spellStart"/>
      <w:r>
        <w:rPr>
          <w:rtl/>
        </w:rPr>
        <w:t>בן־שיחו</w:t>
      </w:r>
      <w:proofErr w:type="spellEnd"/>
      <w:r>
        <w:rPr>
          <w:rtl/>
        </w:rPr>
        <w:t xml:space="preserve"> בדיונים תורניים שלושה עשורים לאחר מכן. הספר מצטט את זיכרונות ילדותו של ר׳ </w:t>
      </w:r>
      <w:proofErr w:type="spellStart"/>
      <w:r>
        <w:rPr>
          <w:rtl/>
        </w:rPr>
        <w:t>יעקב־אלחנן</w:t>
      </w:r>
      <w:proofErr w:type="spellEnd"/>
      <w:r>
        <w:rPr>
          <w:rtl/>
        </w:rPr>
        <w:t xml:space="preserve"> </w:t>
      </w:r>
      <w:proofErr w:type="spellStart"/>
      <w:r>
        <w:rPr>
          <w:rtl/>
        </w:rPr>
        <w:t>שולזינגר</w:t>
      </w:r>
      <w:proofErr w:type="spellEnd"/>
      <w:r>
        <w:rPr>
          <w:rtl/>
        </w:rPr>
        <w:t xml:space="preserve"> </w:t>
      </w:r>
      <w:proofErr w:type="spellStart"/>
      <w:r>
        <w:rPr>
          <w:rtl/>
        </w:rPr>
        <w:t>מבריסק</w:t>
      </w:r>
      <w:proofErr w:type="spellEnd"/>
      <w:r>
        <w:rPr>
          <w:rtl/>
        </w:rPr>
        <w:t xml:space="preserve"> שלפני מלחמת העולם הראשונה:</w:t>
      </w:r>
    </w:p>
    <w:p w14:paraId="68A67EC4" w14:textId="77777777" w:rsidR="00AB3647" w:rsidRDefault="00000000" w:rsidP="007923E9">
      <w:pPr>
        <w:spacing w:after="120" w:line="276" w:lineRule="auto"/>
        <w:ind w:firstLine="283"/>
        <w:jc w:val="both"/>
      </w:pPr>
      <w:bookmarkStart w:id="3103" w:name="pr_b_1326"/>
      <w:bookmarkEnd w:id="3103"/>
      <w:r>
        <w:rPr>
          <w:rtl/>
        </w:rPr>
        <w:t>“בכל פעם ששאל מישהו את ר׳ חיים שאלה בלימוד התורה, היה הוא מניח את ידו הקדושה על כתפו או על צווארו של השואל באהבה, בחיבה ובשמחה, ומטייל עמו הלוך ושוב כשני ידידים ותיקים ואוהבים; ובמהלך הטיול הנעים הזה היה משיב על השאלה במתיקות, בנעימות ובחן, בחריפותו הידועה ובהבנתו המיוחדת של ר׳ חיים.</w:t>
      </w:r>
      <w:bookmarkStart w:id="3104" w:name="_fnr2215"/>
      <w:r>
        <w:rPr>
          <w:rStyle w:val="a5"/>
        </w:rPr>
        <w:footnoteReference w:id="2221" w:customMarkFollows="0"/>
      </w:r>
      <w:bookmarkEnd w:id="3104"/>
      <w:r>
        <w:rPr>
          <w:rtl/>
        </w:rPr>
        <w:t xml:space="preserve"> ליבו של השואל היה מתמלא שמחה ועונג על שזכה ליחס מכבד ואוהב תורה כזה מגדול הדור.”</w:t>
      </w:r>
    </w:p>
    <w:p w14:paraId="565A05A3" w14:textId="77777777" w:rsidR="00AB3647" w:rsidRDefault="00000000" w:rsidP="007923E9">
      <w:pPr>
        <w:spacing w:after="120" w:line="276" w:lineRule="auto"/>
        <w:ind w:firstLine="283"/>
        <w:jc w:val="both"/>
      </w:pPr>
      <w:r>
        <w:rPr>
          <w:rtl/>
        </w:rPr>
        <w:t xml:space="preserve">אבא </w:t>
      </w:r>
      <w:proofErr w:type="spellStart"/>
      <w:r>
        <w:rPr>
          <w:rtl/>
        </w:rPr>
        <w:t>בלושר</w:t>
      </w:r>
      <w:proofErr w:type="spellEnd"/>
      <w:r>
        <w:rPr>
          <w:rtl/>
        </w:rPr>
        <w:t xml:space="preserve">, במאמר “ביאליק </w:t>
      </w:r>
      <w:proofErr w:type="spellStart"/>
      <w:r>
        <w:rPr>
          <w:rtl/>
        </w:rPr>
        <w:t>בולוז׳ין</w:t>
      </w:r>
      <w:proofErr w:type="spellEnd"/>
      <w:r>
        <w:rPr>
          <w:rtl/>
        </w:rPr>
        <w:t xml:space="preserve">” </w:t>
      </w:r>
      <w:proofErr w:type="spellStart"/>
      <w:r>
        <w:rPr>
          <w:rtl/>
        </w:rPr>
        <w:t>ב“מאזנים</w:t>
      </w:r>
      <w:proofErr w:type="spellEnd"/>
      <w:r>
        <w:rPr>
          <w:rtl/>
        </w:rPr>
        <w:t>, כרך רביעי”,</w:t>
      </w:r>
      <w:bookmarkStart w:id="3105" w:name="_fnr2216"/>
      <w:r>
        <w:rPr>
          <w:rStyle w:val="a5"/>
        </w:rPr>
        <w:footnoteReference w:id="2222" w:customMarkFollows="0"/>
      </w:r>
      <w:bookmarkEnd w:id="3105"/>
      <w:r>
        <w:rPr>
          <w:rtl/>
        </w:rPr>
        <w:t xml:space="preserve"> מתאר כך את ר׳ חיים בשנתו האחרונה </w:t>
      </w:r>
      <w:proofErr w:type="spellStart"/>
      <w:r>
        <w:rPr>
          <w:rtl/>
        </w:rPr>
        <w:t>בוולוז׳ין</w:t>
      </w:r>
      <w:proofErr w:type="spellEnd"/>
      <w:r>
        <w:rPr>
          <w:rtl/>
        </w:rPr>
        <w:t>: “התלמידים המצוינים, אלה שהכינו עצמם לעשות את התורה אומנותם, היו דבקים בו תמיד וסובבים אותו בכל מקום כדי לשמוע תורה מפיו. הם היו באים גם לביתו לדון עמו בדברי תורה, ובכל פעם יצאו עם דבר הלכה שיש בו חידוש או חריפות. ואם היה בחור שר׳ חיים מצא בו כישרון, היה מתיידד עמו ומראה לו חיבה מיוחדת, מתייחד עמו ומטייל עמו בחוץ, ידו מונחת בחיבה על כתף [התלמיד], באהבה ובחיבוק, ומשפיע עליו תורה בשפע. מי שלא התעתדו להיכנס לרבנות לא נדחקו לחברתו מיוזמתם, אלא באו אליו לפי הזמנת המשגיח, כדי שר׳ חיים יוכל ‘לעמוד על טיבם’. ליבם של אלה לא היה גס בו, והם עמדו לפניו במבוכה המעידה על יראת כבוד. אך גם להם היה מאיר פנים ומשפיע עליהם מטובו, כל אחד לפי מידת הבנתו.”</w:t>
      </w:r>
    </w:p>
    <w:p w14:paraId="56970F49" w14:textId="77777777" w:rsidR="00AB3647" w:rsidRDefault="00000000" w:rsidP="007923E9">
      <w:pPr>
        <w:spacing w:after="120" w:line="276" w:lineRule="auto"/>
        <w:ind w:firstLine="283"/>
        <w:jc w:val="both"/>
      </w:pPr>
      <w:r>
        <w:rPr>
          <w:rtl/>
        </w:rPr>
        <w:t xml:space="preserve">ייתכן שהקורא יתעניין בתנוחתו של ר׳ חיים </w:t>
      </w:r>
      <w:proofErr w:type="spellStart"/>
      <w:r>
        <w:rPr>
          <w:rtl/>
        </w:rPr>
        <w:t>כשלא</w:t>
      </w:r>
      <w:proofErr w:type="spellEnd"/>
      <w:r>
        <w:rPr>
          <w:rtl/>
        </w:rPr>
        <w:t xml:space="preserve"> דיבר בלימוד עם תלמידיו. </w:t>
      </w:r>
      <w:proofErr w:type="spellStart"/>
      <w:r>
        <w:rPr>
          <w:rtl/>
        </w:rPr>
        <w:t>בלושר</w:t>
      </w:r>
      <w:proofErr w:type="spellEnd"/>
      <w:r>
        <w:rPr>
          <w:rtl/>
        </w:rPr>
        <w:t xml:space="preserve"> ממשיך:</w:t>
      </w:r>
      <w:bookmarkStart w:id="3106" w:name="_fnr2217"/>
      <w:r>
        <w:rPr>
          <w:rStyle w:val="a5"/>
        </w:rPr>
        <w:footnoteReference w:id="2223" w:customMarkFollows="0"/>
      </w:r>
      <w:bookmarkEnd w:id="3106"/>
      <w:r>
        <w:rPr>
          <w:rtl/>
        </w:rPr>
        <w:t xml:space="preserve"> “וכשר׳ חיים למד לבדו, העדיף ללמוד בשתיקה ובעל פה, בעמידה או בהליכה. אך לפעמים היה יושב על ספסל כשברכיו זקופות וצמודות זו לזו, והוא אוחז בהן בשתי ידיו. פלג גופו העליון</w:t>
      </w:r>
      <w:r>
        <w:t xml:space="preserve"> </w:t>
      </w:r>
      <w:r>
        <w:rPr>
          <w:rtl/>
        </w:rPr>
        <w:t>היה כפוף מטה, וראשו כמעט נוגע בברכיו – הכול במעגל. כך היה יושב שעות על גבי שעות, שקוע במחשבה ובהתבוננות בענייני תורה.”</w:t>
      </w:r>
    </w:p>
    <w:p w14:paraId="7C3251E3" w14:textId="77777777" w:rsidR="00AB3647" w:rsidRDefault="00000000" w:rsidP="007923E9">
      <w:pPr>
        <w:spacing w:after="120" w:line="276" w:lineRule="auto"/>
        <w:ind w:firstLine="283"/>
        <w:jc w:val="both"/>
      </w:pPr>
      <w:r>
        <w:rPr>
          <w:rtl/>
        </w:rPr>
        <w:lastRenderedPageBreak/>
        <w:t>על תנוחתו של ר׳ חיים ועל ההשפעה הגופנית שחולל ריכוזו השווה גם “תורת חיים”.</w:t>
      </w:r>
      <w:bookmarkStart w:id="3107" w:name="_fnr2218"/>
      <w:r>
        <w:rPr>
          <w:rStyle w:val="a5"/>
        </w:rPr>
        <w:footnoteReference w:id="2224" w:customMarkFollows="0"/>
      </w:r>
      <w:bookmarkEnd w:id="3107"/>
      <w:r>
        <w:rPr>
          <w:rtl/>
        </w:rPr>
        <w:t xml:space="preserve"> ובאשר לנטייתו ללמוד בעל פה, בלי טקסט לנגד עיניו – מעניין שגם בתפילה העדיף ר׳ חיים שלא יהיה הטקסט לפניו [ואפילו בתפילות הימים הנוראים], משום שהדבר הסיח את דעתו מכוונתו.</w:t>
      </w:r>
      <w:bookmarkStart w:id="3108" w:name="_fnr2219"/>
      <w:r>
        <w:rPr>
          <w:rStyle w:val="a5"/>
        </w:rPr>
        <w:footnoteReference w:id="2225" w:customMarkFollows="0"/>
      </w:r>
      <w:bookmarkEnd w:id="3108"/>
    </w:p>
    <w:p w14:paraId="317C60A9" w14:textId="77777777" w:rsidR="00AB3647" w:rsidRDefault="00000000" w:rsidP="007923E9">
      <w:pPr>
        <w:spacing w:after="120" w:line="276" w:lineRule="auto"/>
        <w:ind w:firstLine="283"/>
        <w:jc w:val="both"/>
      </w:pPr>
      <w:r>
        <w:rPr>
          <w:rtl/>
        </w:rPr>
        <w:t xml:space="preserve">באשר לדעת רבנו שר׳ </w:t>
      </w:r>
      <w:proofErr w:type="spellStart"/>
      <w:r>
        <w:rPr>
          <w:rtl/>
        </w:rPr>
        <w:t>איסר־זלמן</w:t>
      </w:r>
      <w:proofErr w:type="spellEnd"/>
      <w:r>
        <w:rPr>
          <w:rtl/>
        </w:rPr>
        <w:t xml:space="preserve"> היה תלמידו הראשון במעלה של ר׳ חיים </w:t>
      </w:r>
      <w:proofErr w:type="spellStart"/>
      <w:r>
        <w:rPr>
          <w:rtl/>
        </w:rPr>
        <w:t>סולובייצ׳יק</w:t>
      </w:r>
      <w:proofErr w:type="spellEnd"/>
      <w:r>
        <w:rPr>
          <w:rtl/>
        </w:rPr>
        <w:t xml:space="preserve"> – ר׳ חיים עצמו סבר, לפי “שמושה של תורה”</w:t>
      </w:r>
      <w:bookmarkStart w:id="3109" w:name="_fnr2220"/>
      <w:r>
        <w:rPr>
          <w:rStyle w:val="a5"/>
        </w:rPr>
        <w:footnoteReference w:id="2226" w:customMarkFollows="0"/>
      </w:r>
      <w:bookmarkEnd w:id="3109"/>
      <w:r>
        <w:rPr>
          <w:rtl/>
        </w:rPr>
        <w:t xml:space="preserve"> (בשם בנו ר׳ יצחק־זאב), שר׳ </w:t>
      </w:r>
      <w:proofErr w:type="spellStart"/>
      <w:r>
        <w:rPr>
          <w:rtl/>
        </w:rPr>
        <w:t>איסר־זלמן</w:t>
      </w:r>
      <w:proofErr w:type="spellEnd"/>
      <w:r>
        <w:rPr>
          <w:rtl/>
        </w:rPr>
        <w:t xml:space="preserve"> לא הלך בדרכו בשלמות: “אחרת היה גאון עולם. יש לו דרך סברה אחרת, שצדקותו מחייבת אותו לומר שכוונתו האמיתית של הרמב״ם שונה מפירושי לפסקו”, אמר ר׳ חיים.</w:t>
      </w:r>
      <w:bookmarkStart w:id="3110" w:name="_fnr2221"/>
      <w:r>
        <w:rPr>
          <w:rStyle w:val="a5"/>
        </w:rPr>
        <w:footnoteReference w:id="2227" w:customMarkFollows="0"/>
      </w:r>
      <w:bookmarkEnd w:id="3110"/>
    </w:p>
    <w:p w14:paraId="0B94FC27" w14:textId="77777777" w:rsidR="00AB3647" w:rsidRDefault="00000000" w:rsidP="007923E9">
      <w:pPr>
        <w:pStyle w:val="4"/>
        <w:spacing w:line="276" w:lineRule="auto"/>
      </w:pPr>
      <w:r>
        <w:t>· הפסקה השנייה ·</w:t>
      </w:r>
    </w:p>
    <w:p w14:paraId="6D9A25F4" w14:textId="77777777" w:rsidR="00AB3647" w:rsidRDefault="00000000" w:rsidP="007923E9">
      <w:pPr>
        <w:pStyle w:val="5"/>
        <w:spacing w:line="276" w:lineRule="auto"/>
      </w:pPr>
      <w:r>
        <w:t xml:space="preserve">ר׳ יעקב הלוי ליפשיץ בעל ההשפעה ממליץ על ר׳ </w:t>
      </w:r>
      <w:proofErr w:type="spellStart"/>
      <w:r>
        <w:t>ברוך־בער</w:t>
      </w:r>
      <w:proofErr w:type="spellEnd"/>
      <w:r>
        <w:t xml:space="preserve"> למשרה </w:t>
      </w:r>
      <w:proofErr w:type="spellStart"/>
      <w:r>
        <w:t>בסלבודקה</w:t>
      </w:r>
      <w:proofErr w:type="spellEnd"/>
    </w:p>
    <w:p w14:paraId="4DAEEDE9" w14:textId="77777777" w:rsidR="00AB3647" w:rsidRDefault="00000000" w:rsidP="007923E9">
      <w:pPr>
        <w:spacing w:after="120" w:line="276" w:lineRule="auto"/>
        <w:ind w:firstLine="283"/>
        <w:jc w:val="both"/>
      </w:pPr>
      <w:r>
        <w:rPr>
          <w:rtl/>
        </w:rPr>
        <w:t>ר׳ יעקב ליפשיץ סיפר לי</w:t>
      </w:r>
      <w:bookmarkStart w:id="3111" w:name="_fnr2222"/>
      <w:r>
        <w:rPr>
          <w:rStyle w:val="a5"/>
        </w:rPr>
        <w:footnoteReference w:id="2228" w:customMarkFollows="0"/>
      </w:r>
      <w:bookmarkEnd w:id="3111"/>
      <w:r>
        <w:rPr>
          <w:rtl/>
        </w:rPr>
        <w:t xml:space="preserve"> שסבו ר׳ יעקב הלוי ליפשיץ,</w:t>
      </w:r>
      <w:bookmarkStart w:id="3112" w:name="_fnr2223"/>
      <w:r>
        <w:rPr>
          <w:rStyle w:val="a5"/>
        </w:rPr>
        <w:footnoteReference w:id="2229" w:customMarkFollows="0"/>
      </w:r>
      <w:bookmarkEnd w:id="3112"/>
      <w:r>
        <w:rPr>
          <w:rtl/>
        </w:rPr>
        <w:t xml:space="preserve"> שעל שמו נקרא, פעל להשגת המשרה </w:t>
      </w:r>
      <w:proofErr w:type="spellStart"/>
      <w:r>
        <w:rPr>
          <w:rtl/>
        </w:rPr>
        <w:t>בסלבודקה</w:t>
      </w:r>
      <w:proofErr w:type="spellEnd"/>
      <w:r>
        <w:rPr>
          <w:rtl/>
        </w:rPr>
        <w:t xml:space="preserve"> </w:t>
      </w:r>
      <w:proofErr w:type="spellStart"/>
      <w:r>
        <w:rPr>
          <w:rtl/>
        </w:rPr>
        <w:t>לר</w:t>
      </w:r>
      <w:proofErr w:type="spellEnd"/>
      <w:r>
        <w:rPr>
          <w:rtl/>
        </w:rPr>
        <w:t xml:space="preserve">׳ </w:t>
      </w:r>
      <w:proofErr w:type="spellStart"/>
      <w:r>
        <w:rPr>
          <w:rtl/>
        </w:rPr>
        <w:t>ברוך־בער</w:t>
      </w:r>
      <w:proofErr w:type="spellEnd"/>
      <w:r>
        <w:rPr>
          <w:rtl/>
        </w:rPr>
        <w:t xml:space="preserve">. ר׳ יצחק </w:t>
      </w:r>
      <w:proofErr w:type="spellStart"/>
      <w:r>
        <w:rPr>
          <w:rtl/>
        </w:rPr>
        <w:t>טורץ</w:t>
      </w:r>
      <w:proofErr w:type="spellEnd"/>
      <w:r>
        <w:rPr>
          <w:rtl/>
        </w:rPr>
        <w:t xml:space="preserve"> סיפר אף הוא </w:t>
      </w:r>
      <w:proofErr w:type="spellStart"/>
      <w:r>
        <w:rPr>
          <w:rtl/>
        </w:rPr>
        <w:t>לר</w:t>
      </w:r>
      <w:proofErr w:type="spellEnd"/>
      <w:r>
        <w:rPr>
          <w:rtl/>
        </w:rPr>
        <w:t xml:space="preserve">׳ יעקב שבכל פעם שפגש חותנו, ר׳ </w:t>
      </w:r>
      <w:proofErr w:type="spellStart"/>
      <w:r>
        <w:rPr>
          <w:rtl/>
        </w:rPr>
        <w:t>ברוך־בער</w:t>
      </w:r>
      <w:proofErr w:type="spellEnd"/>
      <w:r>
        <w:rPr>
          <w:rtl/>
        </w:rPr>
        <w:t>, את ר׳ יעקב הלוי, היה מרעיף עליו חיבוקים ונשיקות, מתוך הכרת טובה עמוקה על שאִפשר לו לעזוב את משרתו ברבנות ולהקדיש עצמו לתלמידים.</w:t>
      </w:r>
      <w:bookmarkStart w:id="3113" w:name="_fnr2224"/>
      <w:r>
        <w:rPr>
          <w:rStyle w:val="a5"/>
        </w:rPr>
        <w:footnoteReference w:id="2230" w:customMarkFollows="0"/>
      </w:r>
      <w:bookmarkEnd w:id="3113"/>
    </w:p>
    <w:p w14:paraId="4AE9EF9E" w14:textId="014D068A" w:rsidR="00AB3647" w:rsidRDefault="00000000" w:rsidP="007923E9">
      <w:pPr>
        <w:spacing w:after="120" w:line="276" w:lineRule="auto"/>
        <w:ind w:firstLine="283"/>
        <w:jc w:val="both"/>
      </w:pPr>
      <w:r>
        <w:rPr>
          <w:rtl/>
        </w:rPr>
        <w:t xml:space="preserve">ר׳ יעקב הלוי ליפשיץ קיים קשר מיוחד עם ר׳ חיים </w:t>
      </w:r>
      <w:proofErr w:type="spellStart"/>
      <w:r>
        <w:rPr>
          <w:rtl/>
        </w:rPr>
        <w:t>סולובייצ׳יק</w:t>
      </w:r>
      <w:proofErr w:type="spellEnd"/>
      <w:r>
        <w:rPr>
          <w:rtl/>
        </w:rPr>
        <w:t>, כמתואר ב</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לעיל. לאור זה אין זו השערה רחוקה שר׳ חיים עצמו עמד מאחורי פעולתו של ר׳ יעקב הלוי ליפשיץ</w:t>
      </w:r>
      <w:r>
        <w:t xml:space="preserve"> </w:t>
      </w:r>
      <w:r>
        <w:rPr>
          <w:rtl/>
        </w:rPr>
        <w:t xml:space="preserve">להמליץ על ר׳ </w:t>
      </w:r>
      <w:proofErr w:type="spellStart"/>
      <w:r>
        <w:rPr>
          <w:rtl/>
        </w:rPr>
        <w:t>ברוך־בער</w:t>
      </w:r>
      <w:proofErr w:type="spellEnd"/>
      <w:r>
        <w:rPr>
          <w:rtl/>
        </w:rPr>
        <w:t xml:space="preserve"> למשרה </w:t>
      </w:r>
      <w:proofErr w:type="spellStart"/>
      <w:r>
        <w:rPr>
          <w:rtl/>
        </w:rPr>
        <w:t>בסלבודקה</w:t>
      </w:r>
      <w:proofErr w:type="spellEnd"/>
      <w:r>
        <w:rPr>
          <w:rtl/>
        </w:rPr>
        <w:t xml:space="preserve">. ר׳ חיים נעזר בהשפעתו של ר׳ יעקב הלוי בכנסת בית יצחק כדי לקיים את תחזיתו שלו, </w:t>
      </w:r>
      <w:proofErr w:type="spellStart"/>
      <w:r>
        <w:rPr>
          <w:rtl/>
        </w:rPr>
        <w:t>ש“עוד</w:t>
      </w:r>
      <w:proofErr w:type="spellEnd"/>
      <w:r>
        <w:rPr>
          <w:rtl/>
        </w:rPr>
        <w:t xml:space="preserve"> אלפים יאכלו על שולחנו של ר׳ </w:t>
      </w:r>
      <w:proofErr w:type="spellStart"/>
      <w:r>
        <w:rPr>
          <w:rtl/>
        </w:rPr>
        <w:t>ברוך־בער</w:t>
      </w:r>
      <w:proofErr w:type="spellEnd"/>
      <w:r>
        <w:rPr>
          <w:rtl/>
        </w:rPr>
        <w:t xml:space="preserve">”. השווה גם הערה 48 בפרק זה, שבה נאמר שר׳ חיים כנראה המליץ קודם לכן על ראש ישיבה אחר לכנסת בית יצחק, קרובו ר׳ </w:t>
      </w:r>
      <w:proofErr w:type="spellStart"/>
      <w:r>
        <w:rPr>
          <w:rtl/>
        </w:rPr>
        <w:t>זלמן־סנדר</w:t>
      </w:r>
      <w:proofErr w:type="spellEnd"/>
      <w:r>
        <w:rPr>
          <w:rtl/>
        </w:rPr>
        <w:t xml:space="preserve"> </w:t>
      </w:r>
      <w:proofErr w:type="spellStart"/>
      <w:r>
        <w:rPr>
          <w:rtl/>
        </w:rPr>
        <w:t>כהנא־שפירא</w:t>
      </w:r>
      <w:proofErr w:type="spellEnd"/>
      <w:r>
        <w:rPr>
          <w:rtl/>
        </w:rPr>
        <w:t>. סביר שגם בזה פעל באמצעות ר׳ יעקב הלוי ליפשיץ.</w:t>
      </w:r>
    </w:p>
    <w:p w14:paraId="0B9A506D" w14:textId="77777777" w:rsidR="00AB3647" w:rsidRDefault="00000000" w:rsidP="007923E9">
      <w:pPr>
        <w:pStyle w:val="4"/>
        <w:spacing w:line="276" w:lineRule="auto"/>
      </w:pPr>
      <w:r>
        <w:lastRenderedPageBreak/>
        <w:t>· הפסקה השלישית ·</w:t>
      </w:r>
    </w:p>
    <w:p w14:paraId="3A0C18C6" w14:textId="77777777" w:rsidR="00AB3647" w:rsidRDefault="00000000" w:rsidP="007923E9">
      <w:pPr>
        <w:pStyle w:val="5"/>
        <w:spacing w:line="276" w:lineRule="auto"/>
      </w:pPr>
      <w:r>
        <w:t xml:space="preserve">ר׳ </w:t>
      </w:r>
      <w:proofErr w:type="spellStart"/>
      <w:r>
        <w:t>ברוך־בער</w:t>
      </w:r>
      <w:proofErr w:type="spellEnd"/>
      <w:r>
        <w:t xml:space="preserve"> נואם בבית העירייה בניו יורק – התפעלותו מיהדות אמריקה – פגישתו עם </w:t>
      </w:r>
      <w:proofErr w:type="spellStart"/>
      <w:r>
        <w:t>חיים־נחמן</w:t>
      </w:r>
      <w:proofErr w:type="spellEnd"/>
      <w:r>
        <w:t xml:space="preserve"> ביאליק – פעמים רבות הוא רואה בדבריו נדרים – הוא משיב על עלבון בטובה</w:t>
      </w:r>
    </w:p>
    <w:p w14:paraId="7D1F4017" w14:textId="4821DEE1" w:rsidR="00AB3647" w:rsidRDefault="00000000" w:rsidP="007923E9">
      <w:pPr>
        <w:spacing w:after="120" w:line="276" w:lineRule="auto"/>
        <w:ind w:firstLine="283"/>
        <w:jc w:val="both"/>
      </w:pPr>
      <w:r>
        <w:rPr>
          <w:rtl/>
        </w:rPr>
        <w:t xml:space="preserve">לתיאור מקיף של צדקותו של ר׳ </w:t>
      </w:r>
      <w:proofErr w:type="spellStart"/>
      <w:r>
        <w:rPr>
          <w:rtl/>
        </w:rPr>
        <w:t>ברוך־בער</w:t>
      </w:r>
      <w:proofErr w:type="spellEnd"/>
      <w:r>
        <w:rPr>
          <w:rtl/>
        </w:rPr>
        <w:t xml:space="preserve">, עיין בהקדמה </w:t>
      </w:r>
      <w:proofErr w:type="spellStart"/>
      <w:r>
        <w:rPr>
          <w:rtl/>
        </w:rPr>
        <w:t>ל“ברכת</w:t>
      </w:r>
      <w:proofErr w:type="spellEnd"/>
      <w:r>
        <w:rPr>
          <w:rtl/>
        </w:rPr>
        <w:t xml:space="preserve"> שמואל, </w:t>
      </w:r>
      <w:proofErr w:type="spellStart"/>
      <w:r>
        <w:rPr>
          <w:rtl/>
        </w:rPr>
        <w:t>ח״ב</w:t>
      </w:r>
      <w:proofErr w:type="spellEnd"/>
      <w:r>
        <w:rPr>
          <w:rtl/>
        </w:rPr>
        <w:t>”,</w:t>
      </w:r>
      <w:bookmarkStart w:id="3114" w:name="_fnr2225"/>
      <w:r>
        <w:rPr>
          <w:rStyle w:val="a5"/>
        </w:rPr>
        <w:footnoteReference w:id="2231" w:customMarkFollows="0"/>
      </w:r>
      <w:bookmarkEnd w:id="3114"/>
      <w:r>
        <w:rPr>
          <w:rtl/>
        </w:rPr>
        <w:t xml:space="preserve"> שכתב חתנו ר׳ ראובן </w:t>
      </w:r>
      <w:proofErr w:type="spellStart"/>
      <w:r>
        <w:rPr>
          <w:rtl/>
        </w:rPr>
        <w:t>גרוזובסקי</w:t>
      </w:r>
      <w:proofErr w:type="spellEnd"/>
      <w:r>
        <w:rPr>
          <w:rtl/>
        </w:rPr>
        <w:t xml:space="preserve">. השווה גם </w:t>
      </w:r>
      <w:r>
        <w:rPr>
          <w:rtl/>
        </w:rPr>
        <w:fldChar w:fldCharType="begin" w:dirty="true"/>
      </w:r>
      <w:r>
        <w:rPr>
          <w:rtl/>
        </w:rPr>
        <w:instrText xml:space="preserve"> REF b3_excI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w:t>
      </w:r>
    </w:p>
    <w:p w14:paraId="32EA9C3B" w14:textId="77777777" w:rsidR="00AB3647" w:rsidRDefault="00000000" w:rsidP="007923E9">
      <w:pPr>
        <w:spacing w:after="120" w:line="276" w:lineRule="auto"/>
        <w:ind w:firstLine="283"/>
        <w:jc w:val="both"/>
      </w:pPr>
      <w:r>
        <w:rPr>
          <w:rtl/>
        </w:rPr>
        <w:t xml:space="preserve">את הקדושה הניכרת בו היטיב לתאר ר׳ אשר </w:t>
      </w:r>
      <w:proofErr w:type="spellStart"/>
      <w:r>
        <w:rPr>
          <w:rtl/>
        </w:rPr>
        <w:t>צ׳צ׳יק</w:t>
      </w:r>
      <w:proofErr w:type="spellEnd"/>
      <w:r>
        <w:rPr>
          <w:rtl/>
        </w:rPr>
        <w:t xml:space="preserve"> באומרו:</w:t>
      </w:r>
      <w:bookmarkStart w:id="3115" w:name="_fnr2226"/>
      <w:r>
        <w:rPr>
          <w:rStyle w:val="a5"/>
        </w:rPr>
        <w:footnoteReference w:id="2232" w:customMarkFollows="0"/>
      </w:r>
      <w:bookmarkEnd w:id="3115"/>
      <w:r>
        <w:rPr>
          <w:rtl/>
        </w:rPr>
        <w:t xml:space="preserve"> “מי שראה את ר׳ </w:t>
      </w:r>
      <w:proofErr w:type="spellStart"/>
      <w:r>
        <w:rPr>
          <w:rtl/>
        </w:rPr>
        <w:t>ברוך־בער</w:t>
      </w:r>
      <w:proofErr w:type="spellEnd"/>
      <w:r>
        <w:rPr>
          <w:rtl/>
        </w:rPr>
        <w:t xml:space="preserve"> לא יכול לצאת מן העולם בלי הרהור תשובה.” הדברים מהדהדים את דבריו של ראש העיר הגוי ג׳ימי ווקר, בשעה שהעניק </w:t>
      </w:r>
      <w:proofErr w:type="spellStart"/>
      <w:r>
        <w:rPr>
          <w:rtl/>
        </w:rPr>
        <w:t>לר</w:t>
      </w:r>
      <w:proofErr w:type="spellEnd"/>
      <w:r>
        <w:rPr>
          <w:rtl/>
        </w:rPr>
        <w:t xml:space="preserve">׳ </w:t>
      </w:r>
      <w:proofErr w:type="spellStart"/>
      <w:r>
        <w:rPr>
          <w:rtl/>
        </w:rPr>
        <w:t>ברוך־בער</w:t>
      </w:r>
      <w:proofErr w:type="spellEnd"/>
      <w:r>
        <w:rPr>
          <w:rtl/>
        </w:rPr>
        <w:t xml:space="preserve"> את מפתח העיר עם בואו לניו יורק באביב תרפ״ח, למסע התרמה באמריקה שארך שנה וחצי: “ר׳ </w:t>
      </w:r>
      <w:proofErr w:type="spellStart"/>
      <w:r>
        <w:rPr>
          <w:rtl/>
        </w:rPr>
        <w:t>ברוך־בער</w:t>
      </w:r>
      <w:proofErr w:type="spellEnd"/>
      <w:r>
        <w:rPr>
          <w:rtl/>
        </w:rPr>
        <w:t xml:space="preserve"> </w:t>
      </w:r>
      <w:proofErr w:type="spellStart"/>
      <w:r>
        <w:rPr>
          <w:rtl/>
        </w:rPr>
        <w:t>ליבוביץ</w:t>
      </w:r>
      <w:proofErr w:type="spellEnd"/>
      <w:r>
        <w:rPr>
          <w:rtl/>
        </w:rPr>
        <w:t xml:space="preserve"> מפריך את תורת האבולוציה של דרווין: אדם קדוש כמותו יכול היה להיברא רק בידי אלוקים.”</w:t>
      </w:r>
      <w:bookmarkStart w:id="3116" w:name="_fnr2227"/>
      <w:r>
        <w:rPr>
          <w:rStyle w:val="a5"/>
        </w:rPr>
        <w:footnoteReference w:id="2233" w:customMarkFollows="0"/>
      </w:r>
      <w:bookmarkEnd w:id="3116"/>
    </w:p>
    <w:p w14:paraId="6D78503C" w14:textId="77777777" w:rsidR="00AB3647" w:rsidRDefault="00000000" w:rsidP="007923E9">
      <w:pPr>
        <w:spacing w:after="120" w:line="276" w:lineRule="auto"/>
        <w:ind w:firstLine="283"/>
        <w:jc w:val="both"/>
      </w:pPr>
      <w:r>
        <w:rPr>
          <w:rtl/>
        </w:rPr>
        <w:t xml:space="preserve">במאמר </w:t>
      </w:r>
      <w:proofErr w:type="spellStart"/>
      <w:r>
        <w:rPr>
          <w:rtl/>
        </w:rPr>
        <w:t>ב“הדואר</w:t>
      </w:r>
      <w:proofErr w:type="spellEnd"/>
      <w:r>
        <w:rPr>
          <w:rtl/>
        </w:rPr>
        <w:t xml:space="preserve"> [תשכ״ה]”</w:t>
      </w:r>
      <w:bookmarkStart w:id="3117" w:name="_fnr2228"/>
      <w:r>
        <w:rPr>
          <w:rStyle w:val="a5"/>
        </w:rPr>
        <w:footnoteReference w:id="2234" w:customMarkFollows="0"/>
      </w:r>
      <w:bookmarkEnd w:id="3117"/>
      <w:r>
        <w:rPr>
          <w:rtl/>
        </w:rPr>
        <w:t xml:space="preserve"> מעיד העיתונאי שאהב את ר׳ </w:t>
      </w:r>
      <w:proofErr w:type="spellStart"/>
      <w:r>
        <w:rPr>
          <w:rtl/>
        </w:rPr>
        <w:t>ברוך־בער</w:t>
      </w:r>
      <w:proofErr w:type="spellEnd"/>
      <w:r>
        <w:rPr>
          <w:rtl/>
        </w:rPr>
        <w:t>:</w:t>
      </w:r>
      <w:bookmarkStart w:id="3118" w:name="_fnr2229"/>
      <w:r>
        <w:rPr>
          <w:rStyle w:val="a5"/>
        </w:rPr>
        <w:footnoteReference w:id="2235" w:customMarkFollows="0"/>
      </w:r>
      <w:bookmarkEnd w:id="3118"/>
      <w:r>
        <w:rPr>
          <w:rtl/>
        </w:rPr>
        <w:t xml:space="preserve"> “כתבתי נאום קצר בעברית לרבי ר׳ </w:t>
      </w:r>
      <w:proofErr w:type="spellStart"/>
      <w:r>
        <w:rPr>
          <w:rtl/>
        </w:rPr>
        <w:t>ברוך־בער</w:t>
      </w:r>
      <w:proofErr w:type="spellEnd"/>
      <w:r>
        <w:rPr>
          <w:rtl/>
        </w:rPr>
        <w:t>, והוא התאמן עליו יום שלם. אך כשעמד על הבמה של בית העירייה, שכח את הנאום.</w:t>
      </w:r>
      <w:bookmarkStart w:id="3119" w:name="_fnr2230"/>
      <w:r>
        <w:rPr>
          <w:rStyle w:val="a5"/>
        </w:rPr>
        <w:footnoteReference w:id="2236" w:customMarkFollows="0"/>
      </w:r>
      <w:bookmarkEnd w:id="3119"/>
      <w:r>
        <w:rPr>
          <w:rtl/>
        </w:rPr>
        <w:t xml:space="preserve"> אבל יישבתי את העניין בכך </w:t>
      </w:r>
      <w:proofErr w:type="spellStart"/>
      <w:r>
        <w:rPr>
          <w:rtl/>
        </w:rPr>
        <w:t>ש‘תרגמתי</w:t>
      </w:r>
      <w:proofErr w:type="spellEnd"/>
      <w:r>
        <w:rPr>
          <w:rtl/>
        </w:rPr>
        <w:t>’ את דבריו המקוטעים באופן שהפליא את ראש העיר.”</w:t>
      </w:r>
    </w:p>
    <w:p w14:paraId="3BAAEE9B" w14:textId="77777777" w:rsidR="00AB3647" w:rsidRDefault="00000000" w:rsidP="007923E9">
      <w:pPr>
        <w:spacing w:after="120" w:line="276" w:lineRule="auto"/>
        <w:ind w:firstLine="283"/>
        <w:jc w:val="both"/>
      </w:pPr>
      <w:r>
        <w:rPr>
          <w:rtl/>
        </w:rPr>
        <w:t xml:space="preserve">הקורא האמריקאי יתעניין לדעת שר׳ </w:t>
      </w:r>
      <w:proofErr w:type="spellStart"/>
      <w:r>
        <w:rPr>
          <w:rtl/>
        </w:rPr>
        <w:t>ברוך־בער</w:t>
      </w:r>
      <w:proofErr w:type="spellEnd"/>
      <w:r>
        <w:rPr>
          <w:rtl/>
        </w:rPr>
        <w:t xml:space="preserve"> התרשם לטובה כל כך מתמימותה</w:t>
      </w:r>
      <w:r>
        <w:t xml:space="preserve"> </w:t>
      </w:r>
      <w:r>
        <w:rPr>
          <w:rtl/>
        </w:rPr>
        <w:t xml:space="preserve">של יהדות אמריקה בסוף שנות </w:t>
      </w:r>
      <w:proofErr w:type="spellStart"/>
      <w:r>
        <w:rPr>
          <w:rtl/>
        </w:rPr>
        <w:t>התר״פ</w:t>
      </w:r>
      <w:proofErr w:type="spellEnd"/>
      <w:r>
        <w:rPr>
          <w:rtl/>
        </w:rPr>
        <w:t>, עד שלפי “ר׳ ברוך בר”</w:t>
      </w:r>
      <w:bookmarkStart w:id="3120" w:name="_fnr2231"/>
      <w:r>
        <w:rPr>
          <w:rStyle w:val="a5"/>
        </w:rPr>
        <w:footnoteReference w:id="2237" w:customMarkFollows="0"/>
      </w:r>
      <w:bookmarkEnd w:id="3120"/>
      <w:r>
        <w:rPr>
          <w:rtl/>
        </w:rPr>
        <w:t xml:space="preserve"> אמר אמירה שכמעט לא תיאמן: “פון </w:t>
      </w:r>
      <w:proofErr w:type="spellStart"/>
      <w:r>
        <w:rPr>
          <w:rtl/>
        </w:rPr>
        <w:t>ניו־יורק</w:t>
      </w:r>
      <w:proofErr w:type="spellEnd"/>
      <w:r>
        <w:rPr>
          <w:rtl/>
        </w:rPr>
        <w:t xml:space="preserve"> </w:t>
      </w:r>
      <w:proofErr w:type="spellStart"/>
      <w:r>
        <w:rPr>
          <w:rtl/>
        </w:rPr>
        <w:t>קען</w:t>
      </w:r>
      <w:proofErr w:type="spellEnd"/>
      <w:r>
        <w:rPr>
          <w:rtl/>
        </w:rPr>
        <w:t xml:space="preserve"> מען </w:t>
      </w:r>
      <w:proofErr w:type="spellStart"/>
      <w:r>
        <w:rPr>
          <w:rtl/>
        </w:rPr>
        <w:t>אויסשניידען</w:t>
      </w:r>
      <w:proofErr w:type="spellEnd"/>
      <w:r>
        <w:rPr>
          <w:rtl/>
        </w:rPr>
        <w:t xml:space="preserve"> </w:t>
      </w:r>
      <w:proofErr w:type="spellStart"/>
      <w:r>
        <w:rPr>
          <w:rtl/>
        </w:rPr>
        <w:t>דאס</w:t>
      </w:r>
      <w:proofErr w:type="spellEnd"/>
      <w:r>
        <w:rPr>
          <w:rtl/>
        </w:rPr>
        <w:t xml:space="preserve"> </w:t>
      </w:r>
      <w:proofErr w:type="spellStart"/>
      <w:r>
        <w:rPr>
          <w:rtl/>
        </w:rPr>
        <w:t>אמאליגע</w:t>
      </w:r>
      <w:proofErr w:type="spellEnd"/>
      <w:r>
        <w:rPr>
          <w:rtl/>
        </w:rPr>
        <w:t xml:space="preserve"> </w:t>
      </w:r>
      <w:proofErr w:type="spellStart"/>
      <w:r>
        <w:rPr>
          <w:rtl/>
        </w:rPr>
        <w:t>ווילנע</w:t>
      </w:r>
      <w:proofErr w:type="spellEnd"/>
      <w:r>
        <w:rPr>
          <w:rtl/>
        </w:rPr>
        <w:t>” [מניו יורק אפשר לחתוך את וילנה של פעם].</w:t>
      </w:r>
    </w:p>
    <w:p w14:paraId="27907DDC" w14:textId="56703464" w:rsidR="00AB3647" w:rsidRDefault="00000000" w:rsidP="007923E9">
      <w:pPr>
        <w:spacing w:after="120" w:line="276" w:lineRule="auto"/>
        <w:ind w:firstLine="283"/>
        <w:jc w:val="both"/>
      </w:pPr>
      <w:r>
        <w:rPr>
          <w:rtl/>
        </w:rPr>
        <w:t xml:space="preserve">עוד מספר “ר׳ ברוך בר” </w:t>
      </w:r>
      <w:proofErr w:type="spellStart"/>
      <w:r>
        <w:rPr>
          <w:rtl/>
        </w:rPr>
        <w:t>ש“כמה</w:t>
      </w:r>
      <w:proofErr w:type="spellEnd"/>
      <w:r>
        <w:rPr>
          <w:rtl/>
        </w:rPr>
        <w:t xml:space="preserve"> מן הרבנים האמריקאים התלוננו על אהבתו הגלויה ליהדות אמריקה ואמרו שהוא ‘משחד’ אותם”. נראה שלא העריכו כראוי את תמימותו שלו, את אהבתו ליהודים בכלל (כמבואר בהערה </w:t>
      </w:r>
      <w:r>
        <w:rPr>
          <w:rtl/>
        </w:rPr>
        <w:fldChar w:fldCharType="begin" w:dirty="true"/>
      </w:r>
      <w:r>
        <w:rPr>
          <w:rtl/>
        </w:rPr>
        <w:instrText xml:space="preserve"> REF b3_note140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140</w:t>
      </w:r>
      <w:r>
        <w:rPr>
          <w:rtl/>
        </w:rPr>
        <w:fldChar w:fldCharType="end"/>
      </w:r>
      <w:r>
        <w:rPr>
          <w:rtl/>
        </w:rPr>
        <w:t xml:space="preserve"> לעיל) ואת קדושתו. השווה גם כרך 2, המביא את לימוד הזכות של ר׳ </w:t>
      </w:r>
      <w:proofErr w:type="spellStart"/>
      <w:r>
        <w:rPr>
          <w:rtl/>
        </w:rPr>
        <w:t>ברוך־בער</w:t>
      </w:r>
      <w:proofErr w:type="spellEnd"/>
      <w:r>
        <w:rPr>
          <w:rtl/>
        </w:rPr>
        <w:t xml:space="preserve"> על חילול השבת באמריקה היהודית שבה ביקר!</w:t>
      </w:r>
    </w:p>
    <w:p w14:paraId="6D393AAF" w14:textId="77777777" w:rsidR="00AB3647" w:rsidRDefault="00000000" w:rsidP="007923E9">
      <w:pPr>
        <w:spacing w:after="120" w:line="276" w:lineRule="auto"/>
        <w:ind w:firstLine="283"/>
        <w:jc w:val="both"/>
      </w:pPr>
      <w:r>
        <w:rPr>
          <w:rtl/>
        </w:rPr>
        <w:t xml:space="preserve">ר׳ לוי </w:t>
      </w:r>
      <w:proofErr w:type="spellStart"/>
      <w:r>
        <w:rPr>
          <w:rtl/>
        </w:rPr>
        <w:t>קרופניה</w:t>
      </w:r>
      <w:proofErr w:type="spellEnd"/>
      <w:r>
        <w:rPr>
          <w:rtl/>
        </w:rPr>
        <w:t xml:space="preserve">, חתנו של ר׳ ראובן </w:t>
      </w:r>
      <w:proofErr w:type="spellStart"/>
      <w:r>
        <w:rPr>
          <w:rtl/>
        </w:rPr>
        <w:t>גרוזובסקי</w:t>
      </w:r>
      <w:proofErr w:type="spellEnd"/>
      <w:r>
        <w:rPr>
          <w:rtl/>
        </w:rPr>
        <w:t>, סיפר</w:t>
      </w:r>
      <w:bookmarkStart w:id="3121" w:name="_fnr2232"/>
      <w:r>
        <w:rPr>
          <w:rStyle w:val="a5"/>
        </w:rPr>
        <w:footnoteReference w:id="2238" w:customMarkFollows="0"/>
      </w:r>
      <w:bookmarkEnd w:id="3121"/>
      <w:r>
        <w:rPr>
          <w:rtl/>
        </w:rPr>
        <w:t xml:space="preserve"> סיפור מופלא </w:t>
      </w:r>
      <w:proofErr w:type="spellStart"/>
      <w:r>
        <w:rPr>
          <w:rtl/>
        </w:rPr>
        <w:t>ש“העולם</w:t>
      </w:r>
      <w:proofErr w:type="spellEnd"/>
      <w:r>
        <w:rPr>
          <w:rtl/>
        </w:rPr>
        <w:t xml:space="preserve"> מספר”, שלדעתי מדגים את טוהרו ותמימותו של ר׳ </w:t>
      </w:r>
      <w:proofErr w:type="spellStart"/>
      <w:r>
        <w:rPr>
          <w:rtl/>
        </w:rPr>
        <w:t>ברוך־בער</w:t>
      </w:r>
      <w:proofErr w:type="spellEnd"/>
      <w:r>
        <w:rPr>
          <w:rtl/>
        </w:rPr>
        <w:t xml:space="preserve">. </w:t>
      </w:r>
      <w:proofErr w:type="spellStart"/>
      <w:r>
        <w:rPr>
          <w:rtl/>
        </w:rPr>
        <w:t>חיים־נחמן</w:t>
      </w:r>
      <w:proofErr w:type="spellEnd"/>
      <w:r>
        <w:rPr>
          <w:rtl/>
        </w:rPr>
        <w:t xml:space="preserve"> ביאליק, המשורר הלאומי של המדינה היהודית המתהווה, ביקר בפולין באלול </w:t>
      </w:r>
      <w:proofErr w:type="spellStart"/>
      <w:r>
        <w:rPr>
          <w:rtl/>
        </w:rPr>
        <w:t>תר״ץ</w:t>
      </w:r>
      <w:proofErr w:type="spellEnd"/>
      <w:r>
        <w:rPr>
          <w:rtl/>
        </w:rPr>
        <w:t xml:space="preserve">, ורצה לפגוש את ר׳ </w:t>
      </w:r>
      <w:proofErr w:type="spellStart"/>
      <w:r>
        <w:rPr>
          <w:rtl/>
        </w:rPr>
        <w:t>ברוך־בער</w:t>
      </w:r>
      <w:proofErr w:type="spellEnd"/>
      <w:r>
        <w:rPr>
          <w:rtl/>
        </w:rPr>
        <w:t xml:space="preserve">, שזכר אותו מן השנה וחצי שלמד בישיבת </w:t>
      </w:r>
      <w:proofErr w:type="spellStart"/>
      <w:r>
        <w:rPr>
          <w:rtl/>
        </w:rPr>
        <w:t>וולוז׳ין</w:t>
      </w:r>
      <w:proofErr w:type="spellEnd"/>
      <w:r>
        <w:rPr>
          <w:rtl/>
        </w:rPr>
        <w:t>, ארבעים שנה קודם לכן.</w:t>
      </w:r>
      <w:bookmarkStart w:id="3122" w:name="_fnr2233"/>
      <w:r>
        <w:rPr>
          <w:rStyle w:val="a5"/>
        </w:rPr>
        <w:footnoteReference w:id="2239" w:customMarkFollows="0"/>
      </w:r>
      <w:bookmarkEnd w:id="3122"/>
      <w:r>
        <w:rPr>
          <w:rtl/>
        </w:rPr>
        <w:t xml:space="preserve"> אחרי שהפצירו בו </w:t>
      </w:r>
      <w:r>
        <w:rPr>
          <w:rtl/>
        </w:rPr>
        <w:lastRenderedPageBreak/>
        <w:t xml:space="preserve">מקורביו, הסכים ר׳ </w:t>
      </w:r>
      <w:proofErr w:type="spellStart"/>
      <w:r>
        <w:rPr>
          <w:rtl/>
        </w:rPr>
        <w:t>ברוך־בער</w:t>
      </w:r>
      <w:proofErr w:type="spellEnd"/>
      <w:r>
        <w:rPr>
          <w:rtl/>
        </w:rPr>
        <w:t xml:space="preserve"> שביאליק יבקר אצלו, בתנאי שהמשורר לא יאמר מילה אלא רק יקשיב.</w:t>
      </w:r>
    </w:p>
    <w:p w14:paraId="478D3CA4" w14:textId="77777777" w:rsidR="00AB3647" w:rsidRDefault="00000000" w:rsidP="007923E9">
      <w:pPr>
        <w:spacing w:after="120" w:line="276" w:lineRule="auto"/>
        <w:ind w:firstLine="283"/>
        <w:jc w:val="both"/>
      </w:pPr>
      <w:r>
        <w:rPr>
          <w:rtl/>
        </w:rPr>
        <w:t xml:space="preserve">למרבה ההפתעה הסכים ביאליק, ובא לביתו של ר׳ </w:t>
      </w:r>
      <w:proofErr w:type="spellStart"/>
      <w:r>
        <w:rPr>
          <w:rtl/>
        </w:rPr>
        <w:t>ברוך־בער</w:t>
      </w:r>
      <w:proofErr w:type="spellEnd"/>
      <w:r>
        <w:rPr>
          <w:rtl/>
        </w:rPr>
        <w:t xml:space="preserve">, וזה אמר לו: “הדבר החשוב ביותר בעולם הזה הוא לימוד התורה, ומבין הבחורים בני התורה הרבים, הטובים ביותר נמצאים </w:t>
      </w:r>
      <w:proofErr w:type="spellStart"/>
      <w:r>
        <w:rPr>
          <w:rtl/>
        </w:rPr>
        <w:t>בקמניץ</w:t>
      </w:r>
      <w:proofErr w:type="spellEnd"/>
      <w:r>
        <w:rPr>
          <w:rtl/>
        </w:rPr>
        <w:t xml:space="preserve">. כאן אני מוסר להם את השיעור, והם שומעים אותו ודנים בו – מפלפלים בסברתי – וכך עבודתי היא ההישג הנעלה ביותר שאפשר להשיג.” את הפגישה סיים ר׳ </w:t>
      </w:r>
      <w:proofErr w:type="spellStart"/>
      <w:r>
        <w:rPr>
          <w:rtl/>
        </w:rPr>
        <w:t>ברוך־בער</w:t>
      </w:r>
      <w:proofErr w:type="spellEnd"/>
      <w:r>
        <w:rPr>
          <w:rtl/>
        </w:rPr>
        <w:t xml:space="preserve"> במילים: “ואתה, מה אתה עושה? אתה מחבר שירים קטנים שילדים וילדות יזמרו. אז מה?!!”</w:t>
      </w:r>
      <w:bookmarkStart w:id="3123" w:name="_fnr2234"/>
      <w:r>
        <w:rPr>
          <w:rStyle w:val="a5"/>
        </w:rPr>
        <w:footnoteReference w:id="2240" w:customMarkFollows="0"/>
      </w:r>
      <w:bookmarkEnd w:id="3123"/>
    </w:p>
    <w:p w14:paraId="105C3D2B"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w:t>
      </w:r>
      <w:bookmarkStart w:id="3124" w:name="_fnr2235"/>
      <w:r>
        <w:rPr>
          <w:rStyle w:val="a5"/>
        </w:rPr>
        <w:footnoteReference w:id="2241" w:customMarkFollows="0"/>
      </w:r>
      <w:bookmarkEnd w:id="3124"/>
      <w:r>
        <w:rPr>
          <w:rtl/>
        </w:rPr>
        <w:t xml:space="preserve"> שהיה תלמידו של ר׳ </w:t>
      </w:r>
      <w:proofErr w:type="spellStart"/>
      <w:r>
        <w:rPr>
          <w:rtl/>
        </w:rPr>
        <w:t>ברוך־בער</w:t>
      </w:r>
      <w:proofErr w:type="spellEnd"/>
      <w:r>
        <w:rPr>
          <w:rtl/>
        </w:rPr>
        <w:t xml:space="preserve"> בשנים תרס״ה–תר״ע, סיפר על צדקותו: “ר׳ </w:t>
      </w:r>
      <w:proofErr w:type="spellStart"/>
      <w:r>
        <w:rPr>
          <w:rtl/>
        </w:rPr>
        <w:t>ברוך־בער</w:t>
      </w:r>
      <w:proofErr w:type="spellEnd"/>
      <w:r>
        <w:rPr>
          <w:rtl/>
        </w:rPr>
        <w:t xml:space="preserve"> היה מתיר נדר פעמיים או שלוש בכל יום. למשל, אם אכל סעודה של בשר עגל ואחר כך אמר לרבנית: ‘עוף מוצא חן בעיניי יותר’, היה מרחיק את צלחתו אם הגישה לו בשר עגל למחרת, וכשאמרה לו ‘</w:t>
      </w:r>
      <w:proofErr w:type="spellStart"/>
      <w:r>
        <w:rPr>
          <w:rtl/>
        </w:rPr>
        <w:t>ברוך־בער</w:t>
      </w:r>
      <w:proofErr w:type="spellEnd"/>
      <w:r>
        <w:rPr>
          <w:rtl/>
        </w:rPr>
        <w:t xml:space="preserve">, אכול!’, היה משיב: ‘אתמול נדרתי שלא לאכול בשר עגל, ועליי להתיר תחילה את נדרי.’ לא הועיל טיעונה של הרבנית שכל שאמר היה שעוף טוב יותר, והוסיפה: ‘ולא צריך להיות ר׳ </w:t>
      </w:r>
      <w:proofErr w:type="spellStart"/>
      <w:r>
        <w:rPr>
          <w:rtl/>
        </w:rPr>
        <w:t>ברוך־בער</w:t>
      </w:r>
      <w:proofErr w:type="spellEnd"/>
      <w:r>
        <w:rPr>
          <w:rtl/>
        </w:rPr>
        <w:t xml:space="preserve"> כדי לדעת שעוף טוב יותר’” – באותן שנים נחשב עוף למאכל משובח יותר (אף שאבי השתדל כל חייו לאכול בשר ולא עוף) – “‘שהרי כולם יודעים זאת; האם זהו נדר?!’ אכסנייתי הייתה מעל דירתו. הוא היה שולח אותי לקרוא לשלמה </w:t>
      </w:r>
      <w:proofErr w:type="spellStart"/>
      <w:r>
        <w:rPr>
          <w:rtl/>
        </w:rPr>
        <w:t>פאריצ׳ער</w:t>
      </w:r>
      <w:proofErr w:type="spellEnd"/>
      <w:r>
        <w:rPr>
          <w:rtl/>
        </w:rPr>
        <w:t xml:space="preserve"> [היימן], </w:t>
      </w:r>
      <w:proofErr w:type="spellStart"/>
      <w:r>
        <w:rPr>
          <w:rtl/>
        </w:rPr>
        <w:t>ללייבל</w:t>
      </w:r>
      <w:proofErr w:type="spellEnd"/>
      <w:r>
        <w:rPr>
          <w:rtl/>
        </w:rPr>
        <w:t xml:space="preserve"> </w:t>
      </w:r>
      <w:proofErr w:type="spellStart"/>
      <w:r>
        <w:rPr>
          <w:rtl/>
        </w:rPr>
        <w:t>סלונימער</w:t>
      </w:r>
      <w:proofErr w:type="spellEnd"/>
      <w:r>
        <w:rPr>
          <w:rtl/>
        </w:rPr>
        <w:t xml:space="preserve"> </w:t>
      </w:r>
      <w:proofErr w:type="spellStart"/>
      <w:r>
        <w:rPr>
          <w:rtl/>
        </w:rPr>
        <w:t>ולר</w:t>
      </w:r>
      <w:proofErr w:type="spellEnd"/>
      <w:r>
        <w:rPr>
          <w:rtl/>
        </w:rPr>
        <w:t xml:space="preserve">׳ משה </w:t>
      </w:r>
      <w:proofErr w:type="spellStart"/>
      <w:r>
        <w:rPr>
          <w:rtl/>
        </w:rPr>
        <w:t>פקרוביץ</w:t>
      </w:r>
      <w:proofErr w:type="spellEnd"/>
      <w:r>
        <w:rPr>
          <w:rtl/>
        </w:rPr>
        <w:t xml:space="preserve"> [המשגיח], כדי שיהיו בית דין של שלושה להתרת הנדר. פעם אמר ‘עשן הסיגריה מייבש את פי׳, ולא עישן עד שהתיר את ‘נדרו’.”</w:t>
      </w:r>
      <w:bookmarkStart w:id="3125" w:name="_fnr2236"/>
      <w:r>
        <w:rPr>
          <w:rStyle w:val="a5"/>
        </w:rPr>
        <w:footnoteReference w:id="2242" w:customMarkFollows="0"/>
      </w:r>
      <w:bookmarkEnd w:id="3125"/>
    </w:p>
    <w:p w14:paraId="3DA34914" w14:textId="77777777" w:rsidR="00AB3647" w:rsidRDefault="00000000" w:rsidP="007923E9">
      <w:pPr>
        <w:spacing w:after="120" w:line="276" w:lineRule="auto"/>
        <w:ind w:firstLine="283"/>
        <w:jc w:val="both"/>
      </w:pPr>
      <w:r>
        <w:rPr>
          <w:rtl/>
        </w:rPr>
        <w:lastRenderedPageBreak/>
        <w:t xml:space="preserve">חששו של ר׳ </w:t>
      </w:r>
      <w:proofErr w:type="spellStart"/>
      <w:r>
        <w:rPr>
          <w:rtl/>
        </w:rPr>
        <w:t>ברוך־בער</w:t>
      </w:r>
      <w:proofErr w:type="spellEnd"/>
      <w:r>
        <w:rPr>
          <w:rtl/>
        </w:rPr>
        <w:t xml:space="preserve"> מנדרים</w:t>
      </w:r>
      <w:r>
        <w:t xml:space="preserve"> </w:t>
      </w:r>
      <w:r>
        <w:rPr>
          <w:rtl/>
        </w:rPr>
        <w:t xml:space="preserve">נמשך עד שנותיו האחרונות, כפי שעולה מסיפור של עד ראייה משנות </w:t>
      </w:r>
      <w:proofErr w:type="spellStart"/>
      <w:r>
        <w:rPr>
          <w:rtl/>
        </w:rPr>
        <w:t xml:space="preserve">התר״צ</w:t>
      </w:r>
      <w:proofErr w:type="spellEnd"/>
      <w:r>
        <w:rPr>
          <w:rtl/>
        </w:rPr>
        <w:t xml:space="preserve">, הרשום </w:t>
      </w:r>
      <w:proofErr w:type="spellStart"/>
      <w:r>
        <w:rPr>
          <w:rtl/>
        </w:rPr>
        <w:t>ב“תורה</w:t>
      </w:r>
      <w:proofErr w:type="spellEnd"/>
      <w:r>
        <w:rPr>
          <w:rtl/>
        </w:rPr>
        <w:t xml:space="preserve"> יבקשו מפיהו” על ר׳ שמעון </w:t>
      </w:r>
      <w:proofErr w:type="spellStart"/>
      <w:r>
        <w:rPr>
          <w:rtl/>
        </w:rPr>
        <w:t>שקופ</w:t>
      </w:r>
      <w:proofErr w:type="spellEnd"/>
      <w:r>
        <w:rPr>
          <w:rtl/>
        </w:rPr>
        <w:t>.</w:t>
      </w:r>
      <w:bookmarkStart w:id="3126" w:name="_fnr2237"/>
      <w:r>
        <w:rPr>
          <w:rStyle w:val="a5"/>
        </w:rPr>
        <w:footnoteReference w:id="2243" w:customMarkFollows="0"/>
      </w:r>
      <w:bookmarkEnd w:id="3126"/>
    </w:p>
    <w:p w14:paraId="3C374F6B" w14:textId="77777777" w:rsidR="00AB3647" w:rsidRDefault="00000000" w:rsidP="007923E9">
      <w:pPr>
        <w:spacing w:after="120" w:line="276" w:lineRule="auto"/>
        <w:ind w:firstLine="283"/>
        <w:jc w:val="both"/>
      </w:pPr>
      <w:r>
        <w:rPr>
          <w:rtl/>
        </w:rPr>
        <w:t xml:space="preserve">“פעם, ביום שלאחר יום הכיפורים”, המשיך ר׳ קופל, “קרא לי לרדת אליו וביקש שאביא שניים </w:t>
      </w:r>
      <w:proofErr w:type="spellStart"/>
      <w:r>
        <w:rPr>
          <w:rtl/>
        </w:rPr>
        <w:t>מ‘דייניו</w:t>
      </w:r>
      <w:proofErr w:type="spellEnd"/>
      <w:r>
        <w:rPr>
          <w:rtl/>
        </w:rPr>
        <w:t>’. אבל לא זזתי ממקומי עד ששאל אותי מדוע אינני הולך, ואמרתי: ‘תמיד אתה מבקש שלושה. מדוע היום רק שניים?’ השיב: ‘לצורך היום אני מונה גם אותך.’ כשישבנו סביב שולחנו, הסביר: בתו</w:t>
      </w:r>
      <w:bookmarkStart w:id="3127" w:name="_fnr2238"/>
      <w:r>
        <w:rPr>
          <w:rStyle w:val="a5"/>
        </w:rPr>
        <w:footnoteReference w:id="2244" w:customMarkFollows="0"/>
      </w:r>
      <w:bookmarkEnd w:id="3127"/>
      <w:r>
        <w:rPr>
          <w:rtl/>
        </w:rPr>
        <w:t xml:space="preserve"> התארסה לבחור מן הישיבה, תלמיד חכם גדול, גבוה ונאה. ר׳ </w:t>
      </w:r>
      <w:proofErr w:type="spellStart"/>
      <w:r>
        <w:rPr>
          <w:rtl/>
        </w:rPr>
        <w:t>ברוך־בער</w:t>
      </w:r>
      <w:proofErr w:type="spellEnd"/>
      <w:r>
        <w:rPr>
          <w:rtl/>
        </w:rPr>
        <w:t xml:space="preserve"> אף קנה לו כובע וחליפה חדשים. למחרת האירוסין קרא לו ר׳ </w:t>
      </w:r>
      <w:proofErr w:type="spellStart"/>
      <w:r>
        <w:rPr>
          <w:rtl/>
        </w:rPr>
        <w:t>ברוך־בער</w:t>
      </w:r>
      <w:proofErr w:type="spellEnd"/>
      <w:r>
        <w:rPr>
          <w:rtl/>
        </w:rPr>
        <w:t xml:space="preserve"> ואמר: ‘ר׳ </w:t>
      </w:r>
      <w:proofErr w:type="spellStart"/>
      <w:r>
        <w:rPr>
          <w:rtl/>
        </w:rPr>
        <w:t>איצ׳ה</w:t>
      </w:r>
      <w:proofErr w:type="spellEnd"/>
      <w:r>
        <w:rPr>
          <w:rtl/>
        </w:rPr>
        <w:t xml:space="preserve">, אין זה ראוי שתישאר באותה עיר עם כלתך. מוטב שתלך לישיבה אחרת עד החתונה.’ הבחור הלך אז לישיבת </w:t>
      </w:r>
      <w:proofErr w:type="spellStart"/>
      <w:r>
        <w:rPr>
          <w:rtl/>
        </w:rPr>
        <w:t>וולוז׳ין</w:t>
      </w:r>
      <w:proofErr w:type="spellEnd"/>
      <w:r>
        <w:rPr>
          <w:rtl/>
        </w:rPr>
        <w:t xml:space="preserve"> [שחידש ר׳ רפאל שפירא], ושם נתן בו עשיר את עיניו והחליט שהוא רוצה בו כחתן לבתו.” (ר׳ קופל הוסיף שגם יופייה הרב יותר של בת העשיר היה שיקול בעיני הצעיר כשעזב את כלתו.)</w:t>
      </w:r>
      <w:bookmarkStart w:id="3128" w:name="_fnr2239"/>
      <w:r>
        <w:rPr>
          <w:rStyle w:val="a5"/>
        </w:rPr>
        <w:footnoteReference w:id="2245" w:customMarkFollows="0"/>
      </w:r>
      <w:bookmarkEnd w:id="3128"/>
    </w:p>
    <w:p w14:paraId="30EE9CD4" w14:textId="77777777" w:rsidR="00AB3647" w:rsidRDefault="00000000" w:rsidP="007923E9">
      <w:pPr>
        <w:spacing w:after="120" w:line="276" w:lineRule="auto"/>
        <w:ind w:firstLine="283"/>
        <w:jc w:val="both"/>
      </w:pPr>
      <w:r>
        <w:rPr>
          <w:rtl/>
        </w:rPr>
        <w:t xml:space="preserve">“בקיצור, הנבל הסכים להצעת העשיר, החזיר את המתנות שנתן לו ר׳ </w:t>
      </w:r>
      <w:proofErr w:type="spellStart"/>
      <w:r>
        <w:rPr>
          <w:rtl/>
        </w:rPr>
        <w:t>ברוך־בער</w:t>
      </w:r>
      <w:proofErr w:type="spellEnd"/>
      <w:r>
        <w:rPr>
          <w:rtl/>
        </w:rPr>
        <w:t>, ובמידה לא קטנה של חוצפה ביקש מרבו מכתב המלצה! אז מה רצה מאיתנו רבנו? הסביר: ‘אתם יודעים את אסוני’, אמר. ‘אבל אני רוצה לשלוח מכתב יפה על הבחור, שהרי הוא תלמיד חכם מופלג. אולם אינני יכול לסמוך על שיקול דעתי מה לכתוב, מפני שאולי בליבי פנימה אני נוטר לו טינה. הכנתי מכתב ואני מבקש מכם לעבור עליו ולראות אם עשיתי עם הבחור צדק.’</w:t>
      </w:r>
    </w:p>
    <w:p w14:paraId="4D034C81" w14:textId="77777777" w:rsidR="00AB3647" w:rsidRDefault="00000000" w:rsidP="007923E9">
      <w:pPr>
        <w:spacing w:after="120" w:line="276" w:lineRule="auto"/>
        <w:ind w:firstLine="283"/>
        <w:jc w:val="both"/>
      </w:pPr>
      <w:r>
        <w:rPr>
          <w:rtl/>
        </w:rPr>
        <w:t xml:space="preserve">הסתכלנו במכתב וראינו שרבנו כתב ‘סיני ועוקר הרים’ </w:t>
      </w:r>
      <w:proofErr w:type="spellStart"/>
      <w:r>
        <w:rPr>
          <w:rtl/>
        </w:rPr>
        <w:t>ו‘בעל</w:t>
      </w:r>
      <w:proofErr w:type="spellEnd"/>
      <w:r>
        <w:rPr>
          <w:rtl/>
        </w:rPr>
        <w:t xml:space="preserve"> מידות’ – דווקא זה! – ושבחים נוספים. הייתי אז רק בן </w:t>
      </w:r>
      <w:proofErr w:type="spellStart"/>
      <w:r>
        <w:rPr>
          <w:rtl/>
        </w:rPr>
        <w:t>שש־עשרה</w:t>
      </w:r>
      <w:proofErr w:type="spellEnd"/>
      <w:r>
        <w:rPr>
          <w:rtl/>
        </w:rPr>
        <w:t xml:space="preserve">, אבל אני זוכר זאת כאילו היה אתמול; זה היה כואב כל כך. בעיניי עמד ר׳ </w:t>
      </w:r>
      <w:proofErr w:type="spellStart"/>
      <w:r>
        <w:rPr>
          <w:rtl/>
        </w:rPr>
        <w:t>ברוך־בער</w:t>
      </w:r>
      <w:proofErr w:type="spellEnd"/>
      <w:r>
        <w:rPr>
          <w:rtl/>
        </w:rPr>
        <w:t xml:space="preserve"> בניסיון כעין עקידת יצחק אבינו – אחרי מה שהבחור</w:t>
      </w:r>
      <w:bookmarkStart w:id="3129" w:name="_fnr2240"/>
      <w:r>
        <w:rPr>
          <w:rStyle w:val="a5"/>
        </w:rPr>
        <w:footnoteReference w:id="2246" w:customMarkFollows="0"/>
      </w:r>
      <w:bookmarkEnd w:id="3129"/>
      <w:r>
        <w:rPr>
          <w:rtl/>
        </w:rPr>
        <w:t xml:space="preserve"> עשה לו, הוא מהרהר אם הוא מכבד אותו דיו!”</w:t>
      </w:r>
    </w:p>
    <w:p w14:paraId="129AC263" w14:textId="77777777" w:rsidR="00AB3647" w:rsidRDefault="00000000" w:rsidP="007923E9">
      <w:pPr>
        <w:spacing w:after="120" w:line="276" w:lineRule="auto"/>
        <w:ind w:firstLine="283"/>
        <w:jc w:val="both"/>
      </w:pPr>
      <w:r>
        <w:rPr>
          <w:rtl/>
        </w:rPr>
        <w:t xml:space="preserve">את מהלך המאורעות שלאחר מכן שחזרתי כך: ר׳ </w:t>
      </w:r>
      <w:proofErr w:type="spellStart"/>
      <w:r>
        <w:rPr>
          <w:rtl/>
        </w:rPr>
        <w:t>ברוך־בער</w:t>
      </w:r>
      <w:proofErr w:type="spellEnd"/>
      <w:r>
        <w:rPr>
          <w:rtl/>
        </w:rPr>
        <w:t xml:space="preserve"> רצה אז שבן הסבא, ר׳ משה </w:t>
      </w:r>
      <w:proofErr w:type="spellStart"/>
      <w:r>
        <w:rPr>
          <w:rtl/>
        </w:rPr>
        <w:t>פינקל</w:t>
      </w:r>
      <w:proofErr w:type="spellEnd"/>
      <w:r>
        <w:rPr>
          <w:rtl/>
        </w:rPr>
        <w:t xml:space="preserve">, יישא את בתו זו – כך לדברי נכדו של שותפו ללימוד של ר׳ משה באותה עת – אך הדבר לא יצא לפועל. לבסוף נישאה </w:t>
      </w:r>
      <w:proofErr w:type="spellStart"/>
      <w:r>
        <w:rPr>
          <w:rtl/>
        </w:rPr>
        <w:t>לר</w:t>
      </w:r>
      <w:proofErr w:type="spellEnd"/>
      <w:r>
        <w:rPr>
          <w:rtl/>
        </w:rPr>
        <w:t xml:space="preserve">׳ יצחק </w:t>
      </w:r>
      <w:proofErr w:type="spellStart"/>
      <w:r>
        <w:rPr>
          <w:rtl/>
        </w:rPr>
        <w:t>טורץ</w:t>
      </w:r>
      <w:proofErr w:type="spellEnd"/>
      <w:r>
        <w:rPr>
          <w:rtl/>
        </w:rPr>
        <w:t xml:space="preserve">, </w:t>
      </w:r>
      <w:proofErr w:type="spellStart"/>
      <w:r>
        <w:rPr>
          <w:rtl/>
        </w:rPr>
        <w:t>בתרע״ט</w:t>
      </w:r>
      <w:proofErr w:type="spellEnd"/>
      <w:r>
        <w:rPr>
          <w:rtl/>
        </w:rPr>
        <w:t xml:space="preserve"> לפי בנם ר׳ שמואל.</w:t>
      </w:r>
      <w:bookmarkStart w:id="3130" w:name="_fnr2241"/>
      <w:bookmarkStart w:id="3131" w:name="pr_f_2146"/>
      <w:r>
        <w:rPr>
          <w:rStyle w:val="a5"/>
        </w:rPr>
        <w:footnoteReference w:id="2247" w:customMarkFollows="0"/>
      </w:r>
      <w:bookmarkEnd w:id="3130"/>
      <w:bookmarkEnd w:id="3131"/>
      <w:r>
        <w:rPr>
          <w:rtl/>
        </w:rPr>
        <w:t xml:space="preserve"> היא נולדה </w:t>
      </w:r>
      <w:proofErr w:type="spellStart"/>
      <w:r>
        <w:rPr>
          <w:rtl/>
        </w:rPr>
        <w:lastRenderedPageBreak/>
        <w:t>בתר״נ</w:t>
      </w:r>
      <w:proofErr w:type="spellEnd"/>
      <w:r>
        <w:rPr>
          <w:rtl/>
        </w:rPr>
        <w:t xml:space="preserve">, ואם </w:t>
      </w:r>
      <w:proofErr w:type="spellStart"/>
      <w:r>
        <w:rPr>
          <w:rtl/>
        </w:rPr>
        <w:t>וולפרט</w:t>
      </w:r>
      <w:proofErr w:type="spellEnd"/>
      <w:r>
        <w:rPr>
          <w:rtl/>
        </w:rPr>
        <w:t xml:space="preserve"> דייק באומרו שהיא “הייתה רק בת </w:t>
      </w:r>
      <w:proofErr w:type="spellStart"/>
      <w:r>
        <w:rPr>
          <w:rtl/>
        </w:rPr>
        <w:t>שש־עשרה</w:t>
      </w:r>
      <w:proofErr w:type="spellEnd"/>
      <w:r>
        <w:rPr>
          <w:rtl/>
        </w:rPr>
        <w:t xml:space="preserve">” בעת ביטול אירוסיה, הרי שלא נישאה עד </w:t>
      </w:r>
      <w:proofErr w:type="spellStart"/>
      <w:r>
        <w:rPr>
          <w:rtl/>
        </w:rPr>
        <w:t>שלוש־עשרה</w:t>
      </w:r>
      <w:proofErr w:type="spellEnd"/>
      <w:r>
        <w:rPr>
          <w:rtl/>
        </w:rPr>
        <w:t xml:space="preserve"> שנה לאחר מכן! ואפילו אם אירע הסיפור לאחר תרס״ו, כפי שסביר יותר, חלף לפחות עשור עד שנישאה.</w:t>
      </w:r>
    </w:p>
    <w:p w14:paraId="56201B6B" w14:textId="77777777" w:rsidR="00AB3647" w:rsidRDefault="00000000" w:rsidP="007923E9">
      <w:pPr>
        <w:spacing w:after="120" w:line="276" w:lineRule="auto"/>
        <w:ind w:firstLine="283"/>
        <w:jc w:val="both"/>
      </w:pPr>
      <w:r>
        <w:rPr>
          <w:rtl/>
        </w:rPr>
        <w:t xml:space="preserve">מעשהו של ר׳ </w:t>
      </w:r>
      <w:proofErr w:type="spellStart"/>
      <w:r>
        <w:rPr>
          <w:rtl/>
        </w:rPr>
        <w:t>ברוך־בער</w:t>
      </w:r>
      <w:proofErr w:type="spellEnd"/>
      <w:r>
        <w:rPr>
          <w:rtl/>
        </w:rPr>
        <w:t xml:space="preserve"> מבטא צדקות יוצאת דופן, והוא לא היה קשור לכך שהיה זה “היום שלאחר יום הכיפורים”, כפי שזכר המרואיין, שהרי סיפור דומה אירע </w:t>
      </w:r>
      <w:proofErr w:type="spellStart"/>
      <w:r>
        <w:rPr>
          <w:rtl/>
        </w:rPr>
        <w:t>לר</w:t>
      </w:r>
      <w:proofErr w:type="spellEnd"/>
      <w:r>
        <w:rPr>
          <w:rtl/>
        </w:rPr>
        <w:t xml:space="preserve">׳ </w:t>
      </w:r>
      <w:proofErr w:type="spellStart"/>
      <w:r>
        <w:rPr>
          <w:rtl/>
        </w:rPr>
        <w:t>ברוך־בער</w:t>
      </w:r>
      <w:proofErr w:type="spellEnd"/>
      <w:r>
        <w:rPr>
          <w:rtl/>
        </w:rPr>
        <w:t xml:space="preserve"> בשנותיו הצעירות.</w:t>
      </w:r>
    </w:p>
    <w:p w14:paraId="28C8AE57" w14:textId="77777777" w:rsidR="00AB3647" w:rsidRDefault="00000000" w:rsidP="007923E9">
      <w:pPr>
        <w:spacing w:after="120" w:line="276" w:lineRule="auto"/>
        <w:ind w:firstLine="283"/>
        <w:jc w:val="both"/>
      </w:pPr>
      <w:r>
        <w:rPr>
          <w:rtl/>
        </w:rPr>
        <w:t>“מגד גבעות עולם”</w:t>
      </w:r>
      <w:bookmarkStart w:id="3132" w:name="_fnr2242"/>
      <w:r>
        <w:rPr>
          <w:rStyle w:val="a5"/>
        </w:rPr>
        <w:footnoteReference w:id="2248" w:customMarkFollows="0"/>
      </w:r>
      <w:bookmarkEnd w:id="3132"/>
      <w:r>
        <w:rPr>
          <w:rtl/>
        </w:rPr>
        <w:t xml:space="preserve"> מספר </w:t>
      </w:r>
      <w:proofErr w:type="spellStart"/>
      <w:r>
        <w:rPr>
          <w:rtl/>
        </w:rPr>
        <w:t>שבהלוסק</w:t>
      </w:r>
      <w:proofErr w:type="spellEnd"/>
      <w:r>
        <w:rPr>
          <w:rtl/>
        </w:rPr>
        <w:t xml:space="preserve">, שבה כיהן כרב לפני מינויו </w:t>
      </w:r>
      <w:proofErr w:type="spellStart"/>
      <w:r>
        <w:rPr>
          <w:rtl/>
        </w:rPr>
        <w:t>לסלבודקה</w:t>
      </w:r>
      <w:proofErr w:type="spellEnd"/>
      <w:r>
        <w:rPr>
          <w:rtl/>
        </w:rPr>
        <w:t>, לא היו התושבים מרוצים מתפקודו והחליטו להביא</w:t>
      </w:r>
      <w:r>
        <w:t xml:space="preserve"> </w:t>
      </w:r>
      <w:r>
        <w:rPr>
          <w:rtl/>
        </w:rPr>
        <w:t xml:space="preserve">רב אחר. (ראה תחילת הפסקה השנייה לעיל, שגם ר׳ </w:t>
      </w:r>
      <w:proofErr w:type="spellStart"/>
      <w:r>
        <w:rPr>
          <w:rtl/>
        </w:rPr>
        <w:t>ברוך־בער</w:t>
      </w:r>
      <w:proofErr w:type="spellEnd"/>
      <w:r>
        <w:rPr>
          <w:rtl/>
        </w:rPr>
        <w:t xml:space="preserve"> לא היה מרוצה מתפקידו כרב.) כשהרב האחר הגיע לעיירה, לבש ר׳ </w:t>
      </w:r>
      <w:proofErr w:type="spellStart"/>
      <w:r>
        <w:rPr>
          <w:rtl/>
        </w:rPr>
        <w:t>ברוך־בער</w:t>
      </w:r>
      <w:proofErr w:type="spellEnd"/>
      <w:r>
        <w:rPr>
          <w:rtl/>
        </w:rPr>
        <w:t xml:space="preserve"> את בגדי השבת שלו ויצא לקבל את פני מי שבא לתפוס את מקומו. הוא הסביר שעליו לכבד תלמיד חכם שהגיע זה עתה, למרות מטרת בואו.</w:t>
      </w:r>
    </w:p>
    <w:p w14:paraId="35D50A9C" w14:textId="77777777" w:rsidR="00AB3647" w:rsidRDefault="00000000" w:rsidP="007923E9">
      <w:pPr>
        <w:pStyle w:val="4"/>
        <w:spacing w:line="276" w:lineRule="auto"/>
      </w:pPr>
      <w:r>
        <w:t>· הפסקה הרביעית ·</w:t>
      </w:r>
    </w:p>
    <w:p w14:paraId="4904D5B1" w14:textId="77777777" w:rsidR="00AB3647" w:rsidRDefault="00000000" w:rsidP="007923E9">
      <w:pPr>
        <w:pStyle w:val="5"/>
        <w:spacing w:line="276" w:lineRule="auto"/>
      </w:pPr>
      <w:r>
        <w:t xml:space="preserve">ר׳ </w:t>
      </w:r>
      <w:proofErr w:type="spellStart"/>
      <w:r>
        <w:t>ברוך־בער</w:t>
      </w:r>
      <w:proofErr w:type="spellEnd"/>
      <w:r>
        <w:t xml:space="preserve"> רואה קדושה במציאות הנידונה בתלמוד – פרסום </w:t>
      </w:r>
      <w:proofErr w:type="spellStart"/>
      <w:r>
        <w:t>חב״די</w:t>
      </w:r>
      <w:proofErr w:type="spellEnd"/>
      <w:r>
        <w:t xml:space="preserve"> מזלזל בחלקים מן הגמרא – חסיד מטעה בשוגג את רבו – הרבי </w:t>
      </w:r>
      <w:proofErr w:type="spellStart"/>
      <w:r>
        <w:t>מליובאוויטש</w:t>
      </w:r>
      <w:proofErr w:type="spellEnd"/>
      <w:r>
        <w:t xml:space="preserve"> יוצא נגד הישיבות “הליטאיות” – תלמידים בלי זקנים נחשבים בלתי ראויים – המאמר </w:t>
      </w:r>
      <w:proofErr w:type="spellStart"/>
      <w:r>
        <w:t>החב״די</w:t>
      </w:r>
      <w:proofErr w:type="spellEnd"/>
      <w:r>
        <w:t xml:space="preserve"> מעורר תרעומת – ר׳ </w:t>
      </w:r>
      <w:proofErr w:type="spellStart"/>
      <w:r>
        <w:t xml:space="preserve">יוסף־דב</w:t>
      </w:r>
      <w:proofErr w:type="spellEnd"/>
      <w:r>
        <w:t xml:space="preserve"> </w:t>
      </w:r>
      <w:proofErr w:type="spellStart"/>
      <w:r>
        <w:t>סולובייצ׳יק</w:t>
      </w:r>
      <w:proofErr w:type="spellEnd"/>
      <w:r>
        <w:t xml:space="preserve"> משיב עליו</w:t>
      </w:r>
    </w:p>
    <w:p w14:paraId="5986CB07" w14:textId="77777777" w:rsidR="00AB3647" w:rsidRDefault="00000000" w:rsidP="007923E9">
      <w:pPr>
        <w:spacing w:after="120" w:line="276" w:lineRule="auto"/>
        <w:ind w:firstLine="283"/>
        <w:jc w:val="both"/>
      </w:pPr>
      <w:r>
        <w:rPr>
          <w:rtl/>
        </w:rPr>
        <w:t xml:space="preserve">דוגמה נוספת לצדקותו של ר׳ </w:t>
      </w:r>
      <w:proofErr w:type="spellStart"/>
      <w:r>
        <w:rPr>
          <w:rtl/>
        </w:rPr>
        <w:t>ברוך־בער</w:t>
      </w:r>
      <w:proofErr w:type="spellEnd"/>
      <w:r>
        <w:rPr>
          <w:rtl/>
        </w:rPr>
        <w:t xml:space="preserve"> הייתה יחסו למציאות הנידונה בתלמוד. אבי סיפר פעמים רבות שלאחר שלמד במסכת חולין</w:t>
      </w:r>
      <w:bookmarkStart w:id="3133" w:name="_fnr2243"/>
      <w:r>
        <w:rPr>
          <w:rStyle w:val="a5"/>
        </w:rPr>
        <w:footnoteReference w:id="2249" w:customMarkFollows="0"/>
      </w:r>
      <w:bookmarkEnd w:id="3133"/>
      <w:r>
        <w:rPr>
          <w:rtl/>
        </w:rPr>
        <w:t xml:space="preserve"> את </w:t>
      </w:r>
      <w:proofErr w:type="spellStart"/>
      <w:r>
        <w:rPr>
          <w:rtl/>
        </w:rPr>
        <w:t>הסוגיה</w:t>
      </w:r>
      <w:proofErr w:type="spellEnd"/>
      <w:r>
        <w:rPr>
          <w:rtl/>
        </w:rPr>
        <w:t xml:space="preserve"> העוסקת בדיני כשרותו של הקורקבן (ביידיש: פופיק), הראו </w:t>
      </w:r>
      <w:proofErr w:type="spellStart"/>
      <w:r>
        <w:rPr>
          <w:rtl/>
        </w:rPr>
        <w:t>לר</w:t>
      </w:r>
      <w:proofErr w:type="spellEnd"/>
      <w:r>
        <w:rPr>
          <w:rtl/>
        </w:rPr>
        <w:t xml:space="preserve">׳ </w:t>
      </w:r>
      <w:proofErr w:type="spellStart"/>
      <w:r>
        <w:rPr>
          <w:rtl/>
        </w:rPr>
        <w:t>ברוך־בער</w:t>
      </w:r>
      <w:proofErr w:type="spellEnd"/>
      <w:r>
        <w:rPr>
          <w:rtl/>
        </w:rPr>
        <w:t xml:space="preserve"> קורקבן ממשי, והוא קרא: “אז זהו הקורקבן </w:t>
      </w:r>
      <w:r>
        <w:rPr>
          <w:b/>
          <w:bCs/>
          <w:rtl/>
        </w:rPr>
        <w:t>הקדוש</w:t>
      </w:r>
      <w:r>
        <w:rPr>
          <w:rtl/>
        </w:rPr>
        <w:t xml:space="preserve">!” בעיני ר׳ </w:t>
      </w:r>
      <w:proofErr w:type="spellStart"/>
      <w:r>
        <w:rPr>
          <w:rtl/>
        </w:rPr>
        <w:t>ברוך־בער</w:t>
      </w:r>
      <w:proofErr w:type="spellEnd"/>
      <w:r>
        <w:rPr>
          <w:rtl/>
        </w:rPr>
        <w:t>, כל דבר שהגמרא דנה בו נעשה חדור קדושה.</w:t>
      </w:r>
      <w:bookmarkStart w:id="3134" w:name="_fnr2244"/>
      <w:r>
        <w:rPr>
          <w:rStyle w:val="a5"/>
        </w:rPr>
        <w:footnoteReference w:id="2250" w:customMarkFollows="0"/>
      </w:r>
      <w:bookmarkEnd w:id="3134"/>
    </w:p>
    <w:p w14:paraId="2327C2AE" w14:textId="77777777" w:rsidR="00AB3647" w:rsidRDefault="00000000" w:rsidP="007923E9">
      <w:pPr>
        <w:spacing w:after="120" w:line="276" w:lineRule="auto"/>
        <w:ind w:firstLine="283"/>
        <w:jc w:val="both"/>
      </w:pPr>
      <w:r>
        <w:rPr>
          <w:rtl/>
        </w:rPr>
        <w:t xml:space="preserve">נראה שסיפור זה הוא גרסה של הסיפור המובא </w:t>
      </w:r>
      <w:proofErr w:type="spellStart"/>
      <w:r>
        <w:rPr>
          <w:rtl/>
        </w:rPr>
        <w:t>ב“פנקס</w:t>
      </w:r>
      <w:proofErr w:type="spellEnd"/>
      <w:r>
        <w:rPr>
          <w:rtl/>
        </w:rPr>
        <w:t xml:space="preserve"> </w:t>
      </w:r>
      <w:proofErr w:type="spellStart"/>
      <w:r>
        <w:rPr>
          <w:rtl/>
        </w:rPr>
        <w:t>סלוצק</w:t>
      </w:r>
      <w:proofErr w:type="spellEnd"/>
      <w:r>
        <w:rPr>
          <w:rtl/>
        </w:rPr>
        <w:t>”,</w:t>
      </w:r>
      <w:bookmarkStart w:id="3135" w:name="_fnr2245"/>
      <w:r>
        <w:rPr>
          <w:rStyle w:val="a5"/>
        </w:rPr>
        <w:footnoteReference w:id="2251" w:customMarkFollows="0"/>
      </w:r>
      <w:bookmarkEnd w:id="3135"/>
      <w:r>
        <w:rPr>
          <w:rtl/>
        </w:rPr>
        <w:t xml:space="preserve"> במאמר “רבה של </w:t>
      </w:r>
      <w:proofErr w:type="spellStart"/>
      <w:r>
        <w:rPr>
          <w:rtl/>
        </w:rPr>
        <w:t>הלוסק</w:t>
      </w:r>
      <w:proofErr w:type="spellEnd"/>
      <w:r>
        <w:rPr>
          <w:rtl/>
        </w:rPr>
        <w:t xml:space="preserve">” מאת הרב נ. וקסמן. בראשית כהונתו ברבנות </w:t>
      </w:r>
      <w:proofErr w:type="spellStart"/>
      <w:r>
        <w:rPr>
          <w:rtl/>
        </w:rPr>
        <w:t>הלוסק</w:t>
      </w:r>
      <w:proofErr w:type="spellEnd"/>
      <w:r>
        <w:rPr>
          <w:rtl/>
        </w:rPr>
        <w:t xml:space="preserve"> הביאה לו אישה תרנגולת והראתה לו שיש מחט באחד מאיבריה, שאותו כינתה פופיק. ר׳ </w:t>
      </w:r>
      <w:proofErr w:type="spellStart"/>
      <w:r>
        <w:rPr>
          <w:rtl/>
        </w:rPr>
        <w:t>ברוך־בער</w:t>
      </w:r>
      <w:proofErr w:type="spellEnd"/>
      <w:r>
        <w:rPr>
          <w:rtl/>
        </w:rPr>
        <w:t xml:space="preserve"> לא ידע מהו פופיק במונחי השולחן ערוך, ושאל על כך אחד מתלמידיו, שהשיב: “זהו הקורקבן.” מיד קפץ ר׳ </w:t>
      </w:r>
      <w:proofErr w:type="spellStart"/>
      <w:r>
        <w:rPr>
          <w:rtl/>
        </w:rPr>
        <w:t>ברוך־בער</w:t>
      </w:r>
      <w:proofErr w:type="spellEnd"/>
      <w:r>
        <w:rPr>
          <w:rtl/>
        </w:rPr>
        <w:t xml:space="preserve"> ואמר: “אז זהו קורקבן! שפופיק הוא קורקבן – זהו דין שלא ידעתי.”</w:t>
      </w:r>
    </w:p>
    <w:p w14:paraId="47645FB5" w14:textId="77777777" w:rsidR="00AB3647" w:rsidRDefault="00000000" w:rsidP="007923E9">
      <w:pPr>
        <w:spacing w:after="120" w:line="276" w:lineRule="auto"/>
        <w:ind w:firstLine="283"/>
        <w:jc w:val="both"/>
      </w:pPr>
      <w:r>
        <w:rPr>
          <w:rtl/>
        </w:rPr>
        <w:t xml:space="preserve">לפי הרב וקסמן, עיקר הסיפור הוא שאצל ר׳ </w:t>
      </w:r>
      <w:proofErr w:type="spellStart"/>
      <w:r>
        <w:rPr>
          <w:rtl/>
        </w:rPr>
        <w:t>ברוך־בער</w:t>
      </w:r>
      <w:proofErr w:type="spellEnd"/>
      <w:r>
        <w:rPr>
          <w:rtl/>
        </w:rPr>
        <w:t xml:space="preserve"> אפילו תרגום פשוט נעשה “דין”; ולפי רבנו, עוקצו הוא שכל חפץ שנידון בתלמוד נעשה חדור קדושה. יש קרבה גדולה בין שני הרעיונות.</w:t>
      </w:r>
    </w:p>
    <w:p w14:paraId="70B87C11" w14:textId="77777777" w:rsidR="00AB3647" w:rsidRDefault="00000000" w:rsidP="007923E9">
      <w:pPr>
        <w:spacing w:after="120" w:line="276" w:lineRule="auto"/>
        <w:ind w:firstLine="283"/>
        <w:jc w:val="both"/>
      </w:pPr>
      <w:r>
        <w:rPr>
          <w:rtl/>
        </w:rPr>
        <w:lastRenderedPageBreak/>
        <w:t xml:space="preserve">הקורא האמריקאי עשוי למצוא ביחסו של ר׳ </w:t>
      </w:r>
      <w:proofErr w:type="spellStart"/>
      <w:r>
        <w:rPr>
          <w:rtl/>
        </w:rPr>
        <w:t>ברוך־בער</w:t>
      </w:r>
      <w:proofErr w:type="spellEnd"/>
      <w:r>
        <w:rPr>
          <w:rtl/>
        </w:rPr>
        <w:t xml:space="preserve"> את המקור לתגובתו של ר׳ שלמה היימן,</w:t>
      </w:r>
      <w:bookmarkStart w:id="3136" w:name="_fnr2246"/>
      <w:r>
        <w:rPr>
          <w:rStyle w:val="a5"/>
        </w:rPr>
        <w:footnoteReference w:id="2252" w:customMarkFollows="0"/>
      </w:r>
      <w:bookmarkEnd w:id="3136"/>
      <w:r>
        <w:rPr>
          <w:rtl/>
        </w:rPr>
        <w:t xml:space="preserve"> שעמד אז בראש ישיבת מתיבתא תורה ודעת, למאמר “תורת חסידות חב״ד” מאת א.י. סגל (לפי המסופר, שם העט של אהרן לוויט). המאמר התפרסם בערב ראש חודש חשוון תש״א, בגיליון השני של “הקריאה והקדושה” – ירחון </w:t>
      </w:r>
      <w:proofErr w:type="spellStart"/>
      <w:r>
        <w:rPr>
          <w:rtl/>
        </w:rPr>
        <w:t>ליובאוויטשי</w:t>
      </w:r>
      <w:proofErr w:type="spellEnd"/>
      <w:r>
        <w:rPr>
          <w:rtl/>
        </w:rPr>
        <w:t xml:space="preserve"> מוקדם ביידיש, שבכותרתו הוכרז כי הוא יוצא “בהסכמת הרבי </w:t>
      </w:r>
      <w:proofErr w:type="spellStart"/>
      <w:r>
        <w:rPr>
          <w:rtl/>
        </w:rPr>
        <w:t>מליובאוויטש</w:t>
      </w:r>
      <w:proofErr w:type="spellEnd"/>
      <w:r>
        <w:rPr>
          <w:rtl/>
        </w:rPr>
        <w:t xml:space="preserve">”. הרבי, ר׳ </w:t>
      </w:r>
      <w:proofErr w:type="spellStart"/>
      <w:r>
        <w:rPr>
          <w:rtl/>
        </w:rPr>
        <w:t>יוסף־יצחק</w:t>
      </w:r>
      <w:proofErr w:type="spellEnd"/>
      <w:r>
        <w:rPr>
          <w:rtl/>
        </w:rPr>
        <w:t xml:space="preserve"> שניאורסון, הגיע לארצות הברית קצת יותר משבעה חודשים קודם לכן, בט׳ באדר ב׳ ת״ש.</w:t>
      </w:r>
    </w:p>
    <w:p w14:paraId="707C85CB" w14:textId="77777777" w:rsidR="00AB3647" w:rsidRDefault="00000000" w:rsidP="007923E9">
      <w:pPr>
        <w:spacing w:after="120" w:line="276" w:lineRule="auto"/>
        <w:ind w:firstLine="283"/>
        <w:jc w:val="both"/>
      </w:pPr>
      <w:r>
        <w:rPr>
          <w:rtl/>
        </w:rPr>
        <w:t xml:space="preserve">המאמר נקט כדוגמה את המשנה הראשונה בפרק החמישי של מסכת בבא קמא, “שור שנגח את הפרה”. לטענתו, מלבד היכולת “להכריע בסכסוך ממוני בין שני בני אדם” – </w:t>
      </w:r>
      <w:proofErr w:type="spellStart"/>
      <w:r>
        <w:rPr>
          <w:rtl/>
        </w:rPr>
        <w:t>ש“חשוב</w:t>
      </w:r>
      <w:proofErr w:type="spellEnd"/>
      <w:r>
        <w:rPr>
          <w:rtl/>
        </w:rPr>
        <w:t xml:space="preserve"> ככל שיהיה, הוא </w:t>
      </w:r>
      <w:r>
        <w:rPr>
          <w:b/>
          <w:bCs/>
          <w:rtl/>
        </w:rPr>
        <w:t>כולו גשמיות</w:t>
      </w:r>
      <w:r>
        <w:rPr>
          <w:rtl/>
        </w:rPr>
        <w:t xml:space="preserve"> (וכשלומדים זאת בעיר גדולה, שאין בה שדות ובהם שוורים ופרות, זהו נושא דל בהשראה אפילו מן הבחינה הגשמית)” – אדם “לא יפיק שום תועלת רוחנית מלימודה”. ועוד טוען המאמר: “בוודאי שלימוד שטחי של משנה זו אין לו קשר עם האלוקות, והוא מזכיר ללומד מעט מאוד את אלוקים: בחלק הנגלה שבתורה לא ניכר שום ניצוץ של אור אלוקי. אך כשהחסידות נוטלת את אותה משנה ומתחילה לחשוף ממנה את פנימיות התורה, את הנסתר, עולה אור חדש, המזכיר ליהודי את נותן התורה ומותיר בלומד ובמשתתף לקח מוסרי עמוק בעל ערך רוחני עצום.” (המאמר ממשיך לפרש את המשנה האמורה לפי “פנימיות על פי חסידות”.)</w:t>
      </w:r>
    </w:p>
    <w:p w14:paraId="7425B30E" w14:textId="77777777" w:rsidR="00AB3647" w:rsidRDefault="00000000" w:rsidP="007923E9">
      <w:pPr>
        <w:spacing w:after="120" w:line="276" w:lineRule="auto"/>
        <w:ind w:firstLine="283"/>
        <w:jc w:val="both"/>
      </w:pPr>
      <w:r>
        <w:rPr>
          <w:rtl/>
        </w:rPr>
        <w:t xml:space="preserve">מעניין שלפני </w:t>
      </w:r>
      <w:proofErr w:type="spellStart"/>
      <w:r>
        <w:rPr>
          <w:rtl/>
        </w:rPr>
        <w:t>שליובאוויטש</w:t>
      </w:r>
      <w:proofErr w:type="spellEnd"/>
      <w:r>
        <w:rPr>
          <w:rtl/>
        </w:rPr>
        <w:t xml:space="preserve"> הקימה את רשת הישיבות שלה, שקראה לה “תומכי תמימים”, והייתה צריכה לשלוח תלמידים לישיבות “ליטאיות”, תוארה ישיבת </w:t>
      </w:r>
      <w:proofErr w:type="spellStart"/>
      <w:r>
        <w:rPr>
          <w:rtl/>
        </w:rPr>
        <w:t>וולוז׳ין</w:t>
      </w:r>
      <w:proofErr w:type="spellEnd"/>
      <w:r>
        <w:rPr>
          <w:rtl/>
        </w:rPr>
        <w:t>, כנראה בחוגים חסידיים, כמוסד</w:t>
      </w:r>
      <w:r>
        <w:t xml:space="preserve"> </w:t>
      </w:r>
      <w:r>
        <w:rPr>
          <w:rtl/>
        </w:rPr>
        <w:t xml:space="preserve">יבש ומתנגדי של “שור שנגח את הפרה” – באמצעות אותה משנה </w:t>
      </w:r>
      <w:proofErr w:type="spellStart"/>
      <w:r>
        <w:rPr>
          <w:rtl/>
        </w:rPr>
        <w:t>שליובאוויטש</w:t>
      </w:r>
      <w:proofErr w:type="spellEnd"/>
      <w:r>
        <w:rPr>
          <w:rtl/>
        </w:rPr>
        <w:t xml:space="preserve"> זלזלה בה במאמר </w:t>
      </w:r>
      <w:proofErr w:type="spellStart"/>
      <w:r>
        <w:rPr>
          <w:rtl/>
        </w:rPr>
        <w:t>ב“הקריאה</w:t>
      </w:r>
      <w:proofErr w:type="spellEnd"/>
      <w:r>
        <w:rPr>
          <w:rtl/>
        </w:rPr>
        <w:t xml:space="preserve"> והקדושה”. ראה יעקב מארק.</w:t>
      </w:r>
      <w:bookmarkStart w:id="3137" w:name="_fnr2247"/>
      <w:r>
        <w:rPr>
          <w:rStyle w:val="a5"/>
        </w:rPr>
        <w:footnoteReference w:id="2253" w:customMarkFollows="0"/>
      </w:r>
      <w:bookmarkEnd w:id="3137"/>
      <w:r>
        <w:rPr>
          <w:rtl/>
        </w:rPr>
        <w:t xml:space="preserve"> השקפה זו על דף גמרא הפוכה בבירור מזו של ר׳ </w:t>
      </w:r>
      <w:proofErr w:type="spellStart"/>
      <w:r>
        <w:rPr>
          <w:rtl/>
        </w:rPr>
        <w:t>ברוך־בער</w:t>
      </w:r>
      <w:proofErr w:type="spellEnd"/>
      <w:r>
        <w:rPr>
          <w:rtl/>
        </w:rPr>
        <w:t>, שלפיה עצם הדיון בגמרא מקנה קדושה אפילו לקורקבן הפשוט.</w:t>
      </w:r>
      <w:bookmarkStart w:id="3138" w:name="_fnr2248"/>
      <w:r>
        <w:rPr>
          <w:rStyle w:val="a5"/>
        </w:rPr>
        <w:footnoteReference w:id="2254" w:customMarkFollows="0"/>
      </w:r>
      <w:bookmarkEnd w:id="3138"/>
    </w:p>
    <w:p w14:paraId="65531918" w14:textId="77777777" w:rsidR="00AB3647" w:rsidRDefault="00000000" w:rsidP="007923E9">
      <w:pPr>
        <w:spacing w:after="120" w:line="276" w:lineRule="auto"/>
        <w:ind w:firstLine="283"/>
        <w:jc w:val="both"/>
      </w:pPr>
      <w:r>
        <w:rPr>
          <w:rtl/>
        </w:rPr>
        <w:t xml:space="preserve">הרב היימן, אחד מתלמידיו המובהקים של ר׳ </w:t>
      </w:r>
      <w:proofErr w:type="spellStart"/>
      <w:r>
        <w:rPr>
          <w:rtl/>
        </w:rPr>
        <w:t>ברוך־בער</w:t>
      </w:r>
      <w:proofErr w:type="spellEnd"/>
      <w:r>
        <w:rPr>
          <w:rtl/>
        </w:rPr>
        <w:t xml:space="preserve"> ובדרך כלל אדם שוחר שלום,</w:t>
      </w:r>
      <w:bookmarkStart w:id="3139" w:name="_fnr2249"/>
      <w:r>
        <w:rPr>
          <w:rStyle w:val="a5"/>
        </w:rPr>
        <w:footnoteReference w:id="2255" w:customMarkFollows="0"/>
      </w:r>
      <w:bookmarkEnd w:id="3139"/>
      <w:r>
        <w:rPr>
          <w:rtl/>
        </w:rPr>
        <w:t xml:space="preserve"> התרגז מאוד על ר׳ </w:t>
      </w:r>
      <w:proofErr w:type="spellStart"/>
      <w:r>
        <w:rPr>
          <w:rtl/>
        </w:rPr>
        <w:t>יוסף־יצחק</w:t>
      </w:r>
      <w:proofErr w:type="spellEnd"/>
      <w:r>
        <w:rPr>
          <w:rtl/>
        </w:rPr>
        <w:t xml:space="preserve"> שניאורסון. הוא פנה </w:t>
      </w:r>
      <w:proofErr w:type="spellStart"/>
      <w:r>
        <w:rPr>
          <w:rtl/>
        </w:rPr>
        <w:t>לר</w:t>
      </w:r>
      <w:proofErr w:type="spellEnd"/>
      <w:r>
        <w:rPr>
          <w:rtl/>
        </w:rPr>
        <w:t xml:space="preserve">׳ משה </w:t>
      </w:r>
      <w:proofErr w:type="spellStart"/>
      <w:r>
        <w:rPr>
          <w:rtl/>
        </w:rPr>
        <w:t>סולובייצ׳יק</w:t>
      </w:r>
      <w:proofErr w:type="spellEnd"/>
      <w:r>
        <w:rPr>
          <w:rtl/>
        </w:rPr>
        <w:t xml:space="preserve">, ראש ישיבת רבנו יצחק אלחנן, והציע שבנו המוכשר, ר׳ </w:t>
      </w:r>
      <w:proofErr w:type="spellStart"/>
      <w:r>
        <w:rPr>
          <w:rtl/>
        </w:rPr>
        <w:t xml:space="preserve">יוסף־דב</w:t>
      </w:r>
      <w:proofErr w:type="spellEnd"/>
      <w:r>
        <w:rPr>
          <w:rtl/>
        </w:rPr>
        <w:t>, יכתוב תשובה הולמת.</w:t>
      </w:r>
    </w:p>
    <w:p w14:paraId="3FF6950C" w14:textId="77777777" w:rsidR="00AB3647" w:rsidRDefault="00000000" w:rsidP="007923E9">
      <w:pPr>
        <w:spacing w:after="120" w:line="276" w:lineRule="auto"/>
        <w:ind w:firstLine="283"/>
        <w:jc w:val="both"/>
      </w:pPr>
      <w:r>
        <w:rPr>
          <w:rtl/>
        </w:rPr>
        <w:t xml:space="preserve">תלמיד של ר׳ יצחק </w:t>
      </w:r>
      <w:proofErr w:type="spellStart"/>
      <w:r>
        <w:rPr>
          <w:rtl/>
        </w:rPr>
        <w:t>הוטנר</w:t>
      </w:r>
      <w:proofErr w:type="spellEnd"/>
      <w:r>
        <w:rPr>
          <w:rtl/>
        </w:rPr>
        <w:t xml:space="preserve"> סיפר לי בשם רבו שביקורתו של הרבי על “שור שנגח את הפרה” נשמעה כבר באירופה, בסוף שנות </w:t>
      </w:r>
      <w:proofErr w:type="spellStart"/>
      <w:r>
        <w:rPr>
          <w:rtl/>
        </w:rPr>
        <w:t xml:space="preserve">התר״צ</w:t>
      </w:r>
      <w:proofErr w:type="spellEnd"/>
      <w:r>
        <w:rPr>
          <w:rtl/>
        </w:rPr>
        <w:t xml:space="preserve">, והגיעה לאוזניו של ר׳ </w:t>
      </w:r>
      <w:proofErr w:type="spellStart"/>
      <w:r>
        <w:rPr>
          <w:rtl/>
        </w:rPr>
        <w:t>ברוך־בער</w:t>
      </w:r>
      <w:proofErr w:type="spellEnd"/>
      <w:r>
        <w:rPr>
          <w:rtl/>
        </w:rPr>
        <w:t>.</w:t>
      </w:r>
      <w:bookmarkStart w:id="3140" w:name="_fnr2250"/>
      <w:r>
        <w:rPr>
          <w:rStyle w:val="a5"/>
        </w:rPr>
        <w:footnoteReference w:id="2256" w:customMarkFollows="0"/>
      </w:r>
      <w:bookmarkEnd w:id="3140"/>
      <w:r>
        <w:rPr>
          <w:rtl/>
        </w:rPr>
        <w:t xml:space="preserve"> ראש הישיבה </w:t>
      </w:r>
      <w:r>
        <w:rPr>
          <w:rtl/>
        </w:rPr>
        <w:lastRenderedPageBreak/>
        <w:t>החיל על הרבי את דברי דוד המלך: “</w:t>
      </w:r>
      <w:proofErr w:type="spellStart"/>
      <w:r>
        <w:rPr>
          <w:rtl/>
        </w:rPr>
        <w:t>יסכר</w:t>
      </w:r>
      <w:proofErr w:type="spellEnd"/>
      <w:r>
        <w:rPr>
          <w:rtl/>
        </w:rPr>
        <w:t xml:space="preserve"> פי דוברי שקר”</w:t>
      </w:r>
      <w:bookmarkStart w:id="3141" w:name="_fnr2251"/>
      <w:r>
        <w:rPr>
          <w:rStyle w:val="a5"/>
        </w:rPr>
        <w:footnoteReference w:id="2257" w:customMarkFollows="0"/>
      </w:r>
      <w:bookmarkEnd w:id="3141"/>
      <w:r>
        <w:rPr>
          <w:rtl/>
        </w:rPr>
        <w:t xml:space="preserve"> – ואז לקה הרבי בשבץ ששיתק חלקית את דיבורו!</w:t>
      </w:r>
    </w:p>
    <w:p w14:paraId="71C0B357" w14:textId="77777777" w:rsidR="00AB3647" w:rsidRDefault="00000000" w:rsidP="007923E9">
      <w:pPr>
        <w:spacing w:after="120" w:line="276" w:lineRule="auto"/>
        <w:ind w:firstLine="283"/>
        <w:jc w:val="both"/>
      </w:pPr>
      <w:r>
        <w:rPr>
          <w:rtl/>
        </w:rPr>
        <w:t xml:space="preserve">אבל אני מציע שר׳ </w:t>
      </w:r>
      <w:proofErr w:type="spellStart"/>
      <w:r>
        <w:rPr>
          <w:rtl/>
        </w:rPr>
        <w:t>ברוך־בער</w:t>
      </w:r>
      <w:proofErr w:type="spellEnd"/>
      <w:r>
        <w:rPr>
          <w:rtl/>
        </w:rPr>
        <w:t xml:space="preserve"> קשר את הפסוק בתהילים למקרה אחר, המתאים יותר לתיאור המקראי של החטא הראוי לקללה. כשמשפחות חסידיות בפולין החלו לשלוח את בניהן ללמוד בישיבת </w:t>
      </w:r>
      <w:proofErr w:type="spellStart"/>
      <w:r>
        <w:rPr>
          <w:rtl/>
        </w:rPr>
        <w:t>מיר</w:t>
      </w:r>
      <w:proofErr w:type="spellEnd"/>
      <w:r>
        <w:rPr>
          <w:rtl/>
        </w:rPr>
        <w:t xml:space="preserve">, שלח הרבי אחד מחסידיו, בן משפחת </w:t>
      </w:r>
      <w:proofErr w:type="spellStart"/>
      <w:r>
        <w:rPr>
          <w:rtl/>
        </w:rPr>
        <w:t>גוראריה</w:t>
      </w:r>
      <w:proofErr w:type="spellEnd"/>
      <w:r>
        <w:rPr>
          <w:rtl/>
        </w:rPr>
        <w:t>, לבדוק את המקום. אחר כך פרסם הרבי את דיווחו של השליח, שתלמידי הישיבות “הליטאיות” אינם מגדלים זקנים – דבר שהיה נכון – ושאינם לובשים טליתות קטנות מתחת לבגדיהם – דבר שלא היה נכון. המידע השגוי נולד כשהחסיד ראה שהתלמידים אינם מוציאים את ציציותיהם מתחת לחולצותיהם בשעת קריאת שמע, ושאל אחד מהם מדוע. במקום לומר בפשטות שבחוגי המוסר נחשב בלתי ראוי להתעסק בסידור הבגדים באמצע התפילה,</w:t>
      </w:r>
      <w:bookmarkStart w:id="3142" w:name="_fnr2252"/>
      <w:r>
        <w:rPr>
          <w:rStyle w:val="a5"/>
        </w:rPr>
        <w:footnoteReference w:id="2258" w:customMarkFollows="0"/>
      </w:r>
      <w:bookmarkEnd w:id="3142"/>
      <w:r>
        <w:rPr>
          <w:rtl/>
        </w:rPr>
        <w:t xml:space="preserve"> השיב הבחור בבדיחות הדעת: “שלא לבייש את מי שאין לו”</w:t>
      </w:r>
      <w:bookmarkStart w:id="3143" w:name="_fnr2253"/>
      <w:r>
        <w:rPr>
          <w:rStyle w:val="a5"/>
        </w:rPr>
        <w:footnoteReference w:id="2259" w:customMarkFollows="0"/>
      </w:r>
      <w:bookmarkEnd w:id="3143"/>
      <w:r>
        <w:rPr>
          <w:rtl/>
        </w:rPr>
        <w:t xml:space="preserve">. הבדיחה התמימה הביאה להודעה פומבית של הרבי, שאין לחסידים לשלוח את בניהם לישיבות “ליטאיות” בשל שני “הפגמים”: שאין מגדלים בהן זקנים ואין לובשים בהן בגדים בעלי ארבע כנפות. על כך החיל ר׳ </w:t>
      </w:r>
      <w:proofErr w:type="spellStart"/>
      <w:r>
        <w:rPr>
          <w:rtl/>
        </w:rPr>
        <w:t>ברוך־בער</w:t>
      </w:r>
      <w:proofErr w:type="spellEnd"/>
      <w:r>
        <w:rPr>
          <w:rtl/>
        </w:rPr>
        <w:t xml:space="preserve"> את הפסוק בתהילים.</w:t>
      </w:r>
    </w:p>
    <w:p w14:paraId="08AD0379" w14:textId="77777777" w:rsidR="00AB3647" w:rsidRDefault="00000000" w:rsidP="007923E9">
      <w:pPr>
        <w:spacing w:after="120" w:line="276" w:lineRule="auto"/>
        <w:ind w:firstLine="283"/>
        <w:jc w:val="both"/>
      </w:pPr>
      <w:r>
        <w:rPr>
          <w:rtl/>
        </w:rPr>
        <w:t>בדיחת “שלא לבייש” נאמרה גם קודם לכן. ראה “הלילה איננו אפל” מאת יהודית גולן</w:t>
      </w:r>
      <w:bookmarkStart w:id="3144" w:name="_fnr2254"/>
      <w:r>
        <w:rPr>
          <w:rStyle w:val="a5"/>
        </w:rPr>
        <w:footnoteReference w:id="2260" w:customMarkFollows="0"/>
      </w:r>
      <w:bookmarkEnd w:id="3144"/>
      <w:r>
        <w:rPr>
          <w:rtl/>
        </w:rPr>
        <w:t xml:space="preserve">, המספר שכאשר תכנן ר׳ מאיר שפירא להקים ישיבה בלובלין, ביקש ללמוד לצורך מפעלו החדש כיצד נראות הישיבות “הליטאיות”. בין הישיבות שביקר בהן הייתה ישיבת </w:t>
      </w:r>
      <w:proofErr w:type="spellStart"/>
      <w:r>
        <w:rPr>
          <w:rtl/>
        </w:rPr>
        <w:t>מיר</w:t>
      </w:r>
      <w:bookmarkStart w:id="3145" w:name="_fnr2255"/>
      <w:proofErr w:type="spellEnd"/>
      <w:r>
        <w:rPr>
          <w:rStyle w:val="a5"/>
        </w:rPr>
        <w:footnoteReference w:id="2261" w:customMarkFollows="0"/>
      </w:r>
      <w:bookmarkEnd w:id="3145"/>
      <w:bookmarkStart w:id="7024" w:name="_TranslatorNote_5387"/>
      <w:r>
        <w:rPr>
          <w:rStyle w:val="a5"/>
          <w:vertAlign w:val="superscript"/>
          <w:rtl/>
        </w:rPr>
        <w:footnoteReference w:id="2262" w:customMarkFollows="1"/>
        <w:t>*</w:t>
      </w:r>
      <w:bookmarkEnd w:id="7024"/>
      <w:r>
        <w:rPr>
          <w:rtl/>
        </w:rPr>
        <w:t xml:space="preserve">, ושם ניתן לו ההסבר המשועשע הזה להצנעת הציציות. כששב ר׳ מאיר שפירא לביתו, שלח לישיבה חבילה גדולה של ציציות “בשביל התלמידים שאין להם”. כשנודע למשגיח ר׳ ירוחם </w:t>
      </w:r>
      <w:proofErr w:type="spellStart"/>
      <w:r>
        <w:rPr>
          <w:rtl/>
        </w:rPr>
        <w:t>ליבוביץ</w:t>
      </w:r>
      <w:proofErr w:type="spellEnd"/>
      <w:r>
        <w:rPr>
          <w:rtl/>
        </w:rPr>
        <w:t xml:space="preserve"> מדוע נשלחה החבילה, נשא שיחה שעיקרה שאפשר להתבדח עם מכר שיבין בדיחה כבדיחה, אך לא עם זר העלול לקבלה ברצינות. מובן שהמתבדח שחזר על החידוד באוזני </w:t>
      </w:r>
      <w:proofErr w:type="spellStart"/>
      <w:r>
        <w:rPr>
          <w:rtl/>
        </w:rPr>
        <w:t>גוראריה</w:t>
      </w:r>
      <w:proofErr w:type="spellEnd"/>
      <w:r>
        <w:rPr>
          <w:rtl/>
        </w:rPr>
        <w:t xml:space="preserve"> לא שמע את שיחת המשגיח, או לא נהג לפיה.</w:t>
      </w:r>
      <w:bookmarkStart w:id="3146" w:name="_fnr2256"/>
      <w:r>
        <w:rPr>
          <w:rStyle w:val="a5"/>
        </w:rPr>
        <w:footnoteReference w:id="2263" w:customMarkFollows="0"/>
      </w:r>
      <w:bookmarkEnd w:id="3146"/>
    </w:p>
    <w:p w14:paraId="706AFDF7" w14:textId="77777777" w:rsidR="00AB3647" w:rsidRDefault="00000000" w:rsidP="007923E9">
      <w:pPr>
        <w:spacing w:after="120" w:line="276" w:lineRule="auto"/>
        <w:ind w:firstLine="283"/>
        <w:jc w:val="both"/>
      </w:pPr>
      <w:r>
        <w:rPr>
          <w:rtl/>
        </w:rPr>
        <w:t xml:space="preserve">ר׳ אברהם </w:t>
      </w:r>
      <w:proofErr w:type="spellStart"/>
      <w:r>
        <w:rPr>
          <w:rtl/>
        </w:rPr>
        <w:t>ורדיגר</w:t>
      </w:r>
      <w:proofErr w:type="spellEnd"/>
      <w:r>
        <w:rPr>
          <w:rtl/>
        </w:rPr>
        <w:t xml:space="preserve"> סיפר</w:t>
      </w:r>
      <w:bookmarkStart w:id="3147" w:name="_fnr2257"/>
      <w:r>
        <w:rPr>
          <w:rStyle w:val="a5"/>
        </w:rPr>
        <w:footnoteReference w:id="2264" w:customMarkFollows="0"/>
      </w:r>
      <w:bookmarkEnd w:id="3147"/>
      <w:r>
        <w:rPr>
          <w:rtl/>
        </w:rPr>
        <w:t xml:space="preserve"> שגם הרבי האחרון מסלונים באירופה, ר׳ </w:t>
      </w:r>
      <w:proofErr w:type="spellStart"/>
      <w:r>
        <w:rPr>
          <w:rtl/>
        </w:rPr>
        <w:t>שלמה־דוד־יהושע</w:t>
      </w:r>
      <w:proofErr w:type="spellEnd"/>
      <w:r>
        <w:rPr>
          <w:rtl/>
        </w:rPr>
        <w:t xml:space="preserve"> ויינברג, שהתגורר </w:t>
      </w:r>
      <w:proofErr w:type="spellStart"/>
      <w:r>
        <w:rPr>
          <w:rtl/>
        </w:rPr>
        <w:t>בברנוביץ</w:t>
      </w:r>
      <w:proofErr w:type="spellEnd"/>
      <w:r>
        <w:rPr>
          <w:rtl/>
        </w:rPr>
        <w:t xml:space="preserve">׳ ונרצח שם עם כל משפחתו על קידוש השם, מתח ביקורת על הישיבות “הליטאיות”. כשביקר אצלו פעם בחור ואמר שהוא לומד </w:t>
      </w:r>
      <w:proofErr w:type="spellStart"/>
      <w:r>
        <w:rPr>
          <w:rtl/>
        </w:rPr>
        <w:t>ב“מיר</w:t>
      </w:r>
      <w:proofErr w:type="spellEnd"/>
      <w:r>
        <w:rPr>
          <w:rtl/>
        </w:rPr>
        <w:t xml:space="preserve">”, נשא הרבי את ידיו </w:t>
      </w:r>
      <w:proofErr w:type="spellStart"/>
      <w:r>
        <w:rPr>
          <w:rtl/>
        </w:rPr>
        <w:t>השמימה</w:t>
      </w:r>
      <w:proofErr w:type="spellEnd"/>
      <w:r>
        <w:rPr>
          <w:rtl/>
        </w:rPr>
        <w:t xml:space="preserve"> ושיחק במילים – ביידיש “</w:t>
      </w:r>
      <w:proofErr w:type="spellStart"/>
      <w:r>
        <w:rPr>
          <w:rtl/>
        </w:rPr>
        <w:t>מיר</w:t>
      </w:r>
      <w:proofErr w:type="spellEnd"/>
      <w:r>
        <w:rPr>
          <w:rtl/>
        </w:rPr>
        <w:t>” פירושו “לי” – וקרא: “ריבונו של עולם, כמה רחוק פון ‘</w:t>
      </w:r>
      <w:proofErr w:type="spellStart"/>
      <w:r>
        <w:rPr>
          <w:rtl/>
        </w:rPr>
        <w:t>מיר</w:t>
      </w:r>
      <w:proofErr w:type="spellEnd"/>
      <w:r>
        <w:rPr>
          <w:rtl/>
        </w:rPr>
        <w:t xml:space="preserve">’ צו דיר [ממני אליך]!” הרב </w:t>
      </w:r>
      <w:proofErr w:type="spellStart"/>
      <w:r>
        <w:rPr>
          <w:rtl/>
        </w:rPr>
        <w:t>ורדיגר</w:t>
      </w:r>
      <w:proofErr w:type="spellEnd"/>
      <w:r>
        <w:rPr>
          <w:rtl/>
        </w:rPr>
        <w:t xml:space="preserve">, שהצטרף לישיבת </w:t>
      </w:r>
      <w:proofErr w:type="spellStart"/>
      <w:r>
        <w:rPr>
          <w:rtl/>
        </w:rPr>
        <w:t>מיר</w:t>
      </w:r>
      <w:proofErr w:type="spellEnd"/>
      <w:r>
        <w:rPr>
          <w:rtl/>
        </w:rPr>
        <w:t xml:space="preserve"> </w:t>
      </w:r>
      <w:proofErr w:type="spellStart"/>
      <w:r>
        <w:rPr>
          <w:rtl/>
        </w:rPr>
        <w:t>בתרצ״ו</w:t>
      </w:r>
      <w:proofErr w:type="spellEnd"/>
      <w:r>
        <w:rPr>
          <w:rtl/>
        </w:rPr>
        <w:t xml:space="preserve">, זכר שהיו </w:t>
      </w:r>
      <w:r>
        <w:rPr>
          <w:rtl/>
        </w:rPr>
        <w:lastRenderedPageBreak/>
        <w:t xml:space="preserve">אז </w:t>
      </w:r>
      <w:proofErr w:type="spellStart"/>
      <w:r>
        <w:rPr>
          <w:rtl/>
        </w:rPr>
        <w:t>במיר</w:t>
      </w:r>
      <w:proofErr w:type="spellEnd"/>
      <w:r>
        <w:rPr>
          <w:rtl/>
        </w:rPr>
        <w:t xml:space="preserve"> כמה בחורים חסידיים: </w:t>
      </w:r>
      <w:proofErr w:type="spellStart"/>
      <w:r>
        <w:rPr>
          <w:rtl/>
        </w:rPr>
        <w:t>חמישה־עשר</w:t>
      </w:r>
      <w:proofErr w:type="spellEnd"/>
      <w:r>
        <w:rPr>
          <w:rtl/>
        </w:rPr>
        <w:t xml:space="preserve"> חסידי גור, שניים מהונגריה, אחד </w:t>
      </w:r>
      <w:proofErr w:type="spellStart"/>
      <w:r>
        <w:rPr>
          <w:rtl/>
        </w:rPr>
        <w:t>ממונקאטש</w:t>
      </w:r>
      <w:proofErr w:type="spellEnd"/>
      <w:r>
        <w:rPr>
          <w:rtl/>
        </w:rPr>
        <w:t xml:space="preserve"> – שהייתה אז בצ׳כוסלובקיה – ואחד מרומניה.</w:t>
      </w:r>
    </w:p>
    <w:p w14:paraId="539DD1BC" w14:textId="77777777" w:rsidR="00AB3647" w:rsidRDefault="00000000" w:rsidP="007923E9">
      <w:pPr>
        <w:spacing w:after="120" w:line="276" w:lineRule="auto"/>
        <w:ind w:firstLine="283"/>
        <w:jc w:val="both"/>
      </w:pPr>
      <w:r>
        <w:rPr>
          <w:rtl/>
        </w:rPr>
        <w:t xml:space="preserve">הרב </w:t>
      </w:r>
      <w:proofErr w:type="spellStart"/>
      <w:r>
        <w:rPr>
          <w:rtl/>
        </w:rPr>
        <w:t>ורדיגר</w:t>
      </w:r>
      <w:proofErr w:type="spellEnd"/>
      <w:r>
        <w:rPr>
          <w:rtl/>
        </w:rPr>
        <w:t xml:space="preserve"> סיפר גם על שני אחים שהגיעו מאוחר יותר </w:t>
      </w:r>
      <w:proofErr w:type="spellStart"/>
      <w:r>
        <w:rPr>
          <w:rtl/>
        </w:rPr>
        <w:t>למיר</w:t>
      </w:r>
      <w:proofErr w:type="spellEnd"/>
      <w:r>
        <w:rPr>
          <w:rtl/>
        </w:rPr>
        <w:t xml:space="preserve"> </w:t>
      </w:r>
      <w:proofErr w:type="spellStart"/>
      <w:r>
        <w:rPr>
          <w:rtl/>
        </w:rPr>
        <w:t>ממונטרה</w:t>
      </w:r>
      <w:proofErr w:type="spellEnd"/>
      <w:r>
        <w:rPr>
          <w:rtl/>
        </w:rPr>
        <w:t xml:space="preserve"> שבשווייץ. אחד היה אירופי מודרני ואלגנטי, ואילו האחר היה חסיד </w:t>
      </w:r>
      <w:proofErr w:type="spellStart"/>
      <w:r>
        <w:rPr>
          <w:rtl/>
        </w:rPr>
        <w:t>מונקאטש</w:t>
      </w:r>
      <w:proofErr w:type="spellEnd"/>
      <w:r>
        <w:rPr>
          <w:rtl/>
        </w:rPr>
        <w:t xml:space="preserve"> בעל פאות ארוכות וזקן. כיצד נעשה חסיד </w:t>
      </w:r>
      <w:proofErr w:type="spellStart"/>
      <w:r>
        <w:rPr>
          <w:rtl/>
        </w:rPr>
        <w:t>במונטרה</w:t>
      </w:r>
      <w:proofErr w:type="spellEnd"/>
      <w:r>
        <w:rPr>
          <w:rtl/>
        </w:rPr>
        <w:t xml:space="preserve">? ר׳ אברהם הסביר: “אח מבוגר יותר נשא את בתו של הרב ד״ר </w:t>
      </w:r>
      <w:proofErr w:type="spellStart"/>
      <w:r>
        <w:rPr>
          <w:rtl/>
        </w:rPr>
        <w:t>שמעון־ישראל</w:t>
      </w:r>
      <w:proofErr w:type="spellEnd"/>
      <w:r>
        <w:rPr>
          <w:rtl/>
        </w:rPr>
        <w:t xml:space="preserve"> </w:t>
      </w:r>
      <w:proofErr w:type="spellStart"/>
      <w:r>
        <w:rPr>
          <w:rtl/>
        </w:rPr>
        <w:t>פוזן</w:t>
      </w:r>
      <w:proofErr w:type="spellEnd"/>
      <w:r>
        <w:rPr>
          <w:rtl/>
        </w:rPr>
        <w:t xml:space="preserve">, הרב משופרון. הרב </w:t>
      </w:r>
      <w:proofErr w:type="spellStart"/>
      <w:r>
        <w:rPr>
          <w:rtl/>
        </w:rPr>
        <w:t>פוזן</w:t>
      </w:r>
      <w:proofErr w:type="spellEnd"/>
      <w:r>
        <w:rPr>
          <w:rtl/>
        </w:rPr>
        <w:t xml:space="preserve">, יליד פרנקפורט, התוודע ליהדות החסידית בשירותו בצבא הגרמני בפולין במלחמת העולם הראשונה. אחר כך התקרב מאוד לרב </w:t>
      </w:r>
      <w:proofErr w:type="spellStart"/>
      <w:r>
        <w:rPr>
          <w:rtl/>
        </w:rPr>
        <w:t>ממונקאטש</w:t>
      </w:r>
      <w:proofErr w:type="spellEnd"/>
      <w:r>
        <w:rPr>
          <w:rtl/>
        </w:rPr>
        <w:t xml:space="preserve">, ר׳ </w:t>
      </w:r>
      <w:proofErr w:type="spellStart"/>
      <w:r>
        <w:rPr>
          <w:rtl/>
        </w:rPr>
        <w:t>חיים־אלעזר</w:t>
      </w:r>
      <w:proofErr w:type="spellEnd"/>
      <w:r>
        <w:rPr>
          <w:rtl/>
        </w:rPr>
        <w:t xml:space="preserve"> שפירא, החזיר את תואר הדוקטור שלו, לבש לבוש חסידי מלא, נעשה מתנגד חריף לציונות כמו הרב, וכיהן כרבה של שופרון שבצ׳כוסלובקיה</w:t>
      </w:r>
      <w:bookmarkStart w:id="3148" w:name="_fnr2258"/>
      <w:bookmarkEnd w:id="3148"/>
      <w:r>
        <w:rPr>
          <w:rStyle w:val="a5"/>
        </w:rPr>
        <w:t/>
      </w:r>
      <w:bookmarkStart w:id="7025" w:name="_TranslatorNote_2257"/>
      <w:r>
        <w:rPr>
          <w:rStyle w:val="a5"/>
          <w:vertAlign w:val="superscript"/>
          <w:rtl/>
        </w:rPr>
        <w:footnoteReference w:id="2265" w:customMarkFollows="1"/>
        <w:t>*</w:t>
      </w:r>
      <w:bookmarkEnd w:id="7025"/>
      <w:r>
        <w:rPr>
          <w:rtl/>
        </w:rPr>
        <w:t xml:space="preserve">. חתנו השפיע על אחד מאחיו להיעשות חסיד </w:t>
      </w:r>
      <w:proofErr w:type="spellStart"/>
      <w:r>
        <w:rPr>
          <w:rtl/>
        </w:rPr>
        <w:t>מונקאטש</w:t>
      </w:r>
      <w:proofErr w:type="spellEnd"/>
      <w:r>
        <w:rPr>
          <w:rtl/>
        </w:rPr>
        <w:t>.”</w:t>
      </w:r>
    </w:p>
    <w:p w14:paraId="6883ED70" w14:textId="77777777" w:rsidR="00AB3647" w:rsidRDefault="00000000" w:rsidP="007923E9">
      <w:pPr>
        <w:spacing w:after="120" w:line="276" w:lineRule="auto"/>
        <w:ind w:firstLine="283"/>
        <w:jc w:val="both"/>
      </w:pPr>
      <w:r>
        <w:rPr>
          <w:rtl/>
        </w:rPr>
        <w:t xml:space="preserve">הרבי </w:t>
      </w:r>
      <w:proofErr w:type="spellStart"/>
      <w:r>
        <w:rPr>
          <w:rtl/>
        </w:rPr>
        <w:t>מליובאוויטש</w:t>
      </w:r>
      <w:proofErr w:type="spellEnd"/>
      <w:r>
        <w:rPr>
          <w:rtl/>
        </w:rPr>
        <w:t xml:space="preserve"> כבר התבטא בחריפות נגד הישיבות “הליטאיות” בראשית שנות </w:t>
      </w:r>
      <w:proofErr w:type="spellStart"/>
      <w:r>
        <w:rPr>
          <w:rtl/>
        </w:rPr>
        <w:t xml:space="preserve">התר״צ</w:t>
      </w:r>
      <w:proofErr w:type="spellEnd"/>
      <w:r>
        <w:rPr>
          <w:rtl/>
        </w:rPr>
        <w:t xml:space="preserve">, כפי שעולה ממכתב שנכתב </w:t>
      </w:r>
      <w:proofErr w:type="spellStart"/>
      <w:r>
        <w:rPr>
          <w:rtl/>
        </w:rPr>
        <w:t>בתרצ״ב</w:t>
      </w:r>
      <w:proofErr w:type="spellEnd"/>
      <w:r>
        <w:rPr>
          <w:rtl/>
        </w:rPr>
        <w:t xml:space="preserve"> ונדפס מחדש </w:t>
      </w:r>
      <w:proofErr w:type="spellStart"/>
      <w:r>
        <w:rPr>
          <w:rtl/>
        </w:rPr>
        <w:t>ב“תומכי</w:t>
      </w:r>
      <w:proofErr w:type="spellEnd"/>
      <w:r>
        <w:rPr>
          <w:rtl/>
        </w:rPr>
        <w:t xml:space="preserve"> תמימים – פרקי יסוד </w:t>
      </w:r>
      <w:proofErr w:type="spellStart"/>
      <w:r>
        <w:rPr>
          <w:rtl/>
        </w:rPr>
        <w:t>מחיי</w:t>
      </w:r>
      <w:proofErr w:type="spellEnd"/>
      <w:r>
        <w:rPr>
          <w:rtl/>
        </w:rPr>
        <w:t xml:space="preserve">” מאת אברהם חנוך </w:t>
      </w:r>
      <w:proofErr w:type="spellStart"/>
      <w:r>
        <w:rPr>
          <w:rtl/>
        </w:rPr>
        <w:t>גליצנשטיין</w:t>
      </w:r>
      <w:bookmarkStart w:id="3149" w:name="_fnr2259"/>
      <w:proofErr w:type="spellEnd"/>
      <w:r>
        <w:rPr>
          <w:rStyle w:val="a5"/>
        </w:rPr>
        <w:footnoteReference w:id="2266" w:customMarkFollows="0"/>
      </w:r>
      <w:bookmarkEnd w:id="3149"/>
      <w:r>
        <w:rPr>
          <w:rtl/>
        </w:rPr>
        <w:t>. בין השאר כתב: “אנו פוגשים כיום אברכים המכונים ‘גאונים עילויים’, בעלי זקנים קצוצים ופאות גזוזות, הבונים מגדלים כדי להקל בכל עניין של מצווה, לנגח בקרניים</w:t>
      </w:r>
      <w:bookmarkStart w:id="3150" w:name="_fnr2260"/>
      <w:r>
        <w:rPr>
          <w:rStyle w:val="a5"/>
        </w:rPr>
        <w:footnoteReference w:id="2267" w:customMarkFollows="0"/>
      </w:r>
      <w:bookmarkEnd w:id="3150"/>
      <w:r>
        <w:rPr>
          <w:rtl/>
        </w:rPr>
        <w:t xml:space="preserve"> את סברות הגאונים</w:t>
      </w:r>
      <w:bookmarkStart w:id="3151" w:name="_fnr2261"/>
      <w:r>
        <w:rPr>
          <w:rStyle w:val="a5"/>
        </w:rPr>
        <w:footnoteReference w:id="2268" w:customMarkFollows="0"/>
      </w:r>
      <w:bookmarkEnd w:id="3151"/>
      <w:r>
        <w:rPr>
          <w:rtl/>
        </w:rPr>
        <w:t xml:space="preserve"> ולשבור את איסורי הראשונים. וכשאנו מתבוננים... אנו רואים שעיקר חסר מן הספר. הם יצרו תורה חדשה; הם עיצבו דרכים חדשות להקל בכל דבר, רק כדי להתאים לדרישות הזמן והחברה. מי שמכיר את תולדות היהודים בגלות ומתבונן במלחמת המשכילים </w:t>
      </w:r>
      <w:proofErr w:type="spellStart"/>
      <w:r>
        <w:rPr>
          <w:rtl/>
        </w:rPr>
        <w:t>הלא־דתיים</w:t>
      </w:r>
      <w:proofErr w:type="spellEnd"/>
      <w:r>
        <w:rPr>
          <w:rtl/>
        </w:rPr>
        <w:t xml:space="preserve"> בתורה וברבנים, יכיר הכרה מלאה שזו הייתה המטרה שאליה שאפו המשכילים. באחת משיחותיי הרבות על החינוך בישיבות, אמרתי במפורש שהישיבות פתחו את חלונות בית המדרש לרשות הרבים. חלונות נועדו להוציא ולהכניס, אך בעת הזאת, הנה, לדאבון לבנו ולמורת רוחנו, חדרו הרוח והבוץ של רשות הרבים לבית המדרש, והתלמידים מושפעים מן האוויר הקר ומריקבון הרחוב...”</w:t>
      </w:r>
    </w:p>
    <w:p w14:paraId="2838E138" w14:textId="77777777" w:rsidR="00AB3647" w:rsidRDefault="00000000" w:rsidP="007923E9">
      <w:pPr>
        <w:spacing w:after="120" w:line="276" w:lineRule="auto"/>
        <w:ind w:firstLine="283"/>
        <w:jc w:val="both"/>
      </w:pPr>
      <w:r>
        <w:rPr>
          <w:rtl/>
        </w:rPr>
        <w:t>לי לא ידוע מה היה הבסיס להתקפתו הארסית של הרבי, ומי היו אלה שתוארו כמקילים בכל עניין של מצווה. עד כמה הייתה השקפתו של הרבי מגמתית – הדבר מתגלה בטענתו האבסורדית, שאפשר להכיר הכרה מלאה כי מטרת המשכילים הייתה להעמיד את תלמיד הישיבה הליטאית שלאחר מלחמת העולם הראשונה!</w:t>
      </w:r>
      <w:bookmarkStart w:id="3152" w:name="_fnr2262"/>
      <w:r>
        <w:rPr>
          <w:rStyle w:val="a5"/>
        </w:rPr>
        <w:footnoteReference w:id="2269" w:customMarkFollows="0"/>
      </w:r>
      <w:bookmarkEnd w:id="3152"/>
    </w:p>
    <w:p w14:paraId="2924DAAA" w14:textId="77777777" w:rsidR="00AB3647" w:rsidRDefault="00000000" w:rsidP="007923E9">
      <w:pPr>
        <w:spacing w:after="120" w:line="276" w:lineRule="auto"/>
        <w:ind w:firstLine="283"/>
        <w:jc w:val="both"/>
      </w:pPr>
      <w:r>
        <w:rPr>
          <w:rtl/>
        </w:rPr>
        <w:t xml:space="preserve">תלמידי הישיבות הליטאיות נהגו שלא לגדל זקן, ומנהג זה שימש את ר׳ שמואל </w:t>
      </w:r>
      <w:proofErr w:type="spellStart"/>
      <w:r>
        <w:rPr>
          <w:rtl/>
        </w:rPr>
        <w:t>גוראריה</w:t>
      </w:r>
      <w:proofErr w:type="spellEnd"/>
      <w:r>
        <w:rPr>
          <w:rtl/>
        </w:rPr>
        <w:t xml:space="preserve">, חסיד </w:t>
      </w:r>
      <w:proofErr w:type="spellStart"/>
      <w:r>
        <w:rPr>
          <w:rtl/>
        </w:rPr>
        <w:t>ליובאוויטש</w:t>
      </w:r>
      <w:proofErr w:type="spellEnd"/>
      <w:r>
        <w:rPr>
          <w:rtl/>
        </w:rPr>
        <w:t xml:space="preserve"> עשיר </w:t>
      </w:r>
      <w:proofErr w:type="spellStart"/>
      <w:r>
        <w:rPr>
          <w:rtl/>
        </w:rPr>
        <w:t>בקרמנצ׳וג</w:t>
      </w:r>
      <w:proofErr w:type="spellEnd"/>
      <w:r>
        <w:rPr>
          <w:rtl/>
        </w:rPr>
        <w:t xml:space="preserve">, להסביר מדוע נתן רק תרומה קטנה כשבאו אליו ר׳ </w:t>
      </w:r>
      <w:proofErr w:type="spellStart"/>
      <w:r>
        <w:rPr>
          <w:rtl/>
        </w:rPr>
        <w:t>משה־מרדכי</w:t>
      </w:r>
      <w:proofErr w:type="spellEnd"/>
      <w:r>
        <w:rPr>
          <w:rtl/>
        </w:rPr>
        <w:t xml:space="preserve"> ור׳ </w:t>
      </w:r>
      <w:proofErr w:type="spellStart"/>
      <w:r>
        <w:rPr>
          <w:rtl/>
        </w:rPr>
        <w:t>ברוך־בער</w:t>
      </w:r>
      <w:proofErr w:type="spellEnd"/>
      <w:r>
        <w:rPr>
          <w:rtl/>
        </w:rPr>
        <w:t xml:space="preserve">. לישיבת </w:t>
      </w:r>
      <w:proofErr w:type="spellStart"/>
      <w:r>
        <w:rPr>
          <w:rtl/>
        </w:rPr>
        <w:t>ליובאוויטש</w:t>
      </w:r>
      <w:proofErr w:type="spellEnd"/>
      <w:r>
        <w:rPr>
          <w:rtl/>
        </w:rPr>
        <w:t xml:space="preserve"> שם, כמובן, פתח את כיסו לרווחה וסיפק את כל </w:t>
      </w:r>
      <w:proofErr w:type="spellStart"/>
      <w:r>
        <w:rPr>
          <w:rtl/>
        </w:rPr>
        <w:lastRenderedPageBreak/>
        <w:t>צורכיה</w:t>
      </w:r>
      <w:proofErr w:type="spellEnd"/>
      <w:r>
        <w:rPr>
          <w:rtl/>
        </w:rPr>
        <w:t>. כשנשאל כיצד שילח מעל פניו תלמידי חכמים גדולים כל כך בסכום זעום כזה, השיב שאילו באה אליו משלחת פחותה מהם לא היה נותן דבר, משום שאינו תומך בישיבות שתלמידיהן אינם מגדלים זקנים. בכנסת ישראל אמרו אז: “אצל אחדים, כל התורה תלויה בשערה.”</w:t>
      </w:r>
      <w:bookmarkStart w:id="3153" w:name="_fnr2263"/>
      <w:r>
        <w:rPr>
          <w:rStyle w:val="a5"/>
        </w:rPr>
        <w:footnoteReference w:id="2270" w:customMarkFollows="0"/>
      </w:r>
      <w:bookmarkStart w:id="3154" w:name="_fnr2264"/>
      <w:bookmarkEnd w:id="3153"/>
      <w:r>
        <w:rPr>
          <w:rStyle w:val="a5"/>
        </w:rPr>
        <w:footnoteReference w:id="2271" w:customMarkFollows="0"/>
      </w:r>
      <w:bookmarkEnd w:id="3154"/>
    </w:p>
    <w:p w14:paraId="05E583E1" w14:textId="77777777" w:rsidR="00AB3647" w:rsidRDefault="00000000" w:rsidP="007923E9">
      <w:pPr>
        <w:spacing w:after="120" w:line="276" w:lineRule="auto"/>
        <w:ind w:firstLine="283"/>
        <w:jc w:val="both"/>
      </w:pPr>
      <w:r>
        <w:rPr>
          <w:rtl/>
        </w:rPr>
        <w:t xml:space="preserve">מן הדיווחים של העורך בגיליונות הבאים של “הקריאה והקדושה”, במדור “תשובות למכתבים”, ברור </w:t>
      </w:r>
      <w:proofErr w:type="spellStart"/>
      <w:r>
        <w:rPr>
          <w:rtl/>
        </w:rPr>
        <w:t>שא.י</w:t>
      </w:r>
      <w:proofErr w:type="spellEnd"/>
      <w:r>
        <w:rPr>
          <w:rtl/>
        </w:rPr>
        <w:t xml:space="preserve">. סגל עורר סערה בחוגים רבים. בגיליון שלאחר פרסום מאמרו, ערב ראש חודש כסלו תש״א, השיב העורך לשני כותבים, הרב מ.ק. ומר ברוך ג. מן התשובה לאחרון עולה </w:t>
      </w:r>
      <w:proofErr w:type="spellStart"/>
      <w:r>
        <w:rPr>
          <w:rtl/>
        </w:rPr>
        <w:t>ש“התקבלו</w:t>
      </w:r>
      <w:proofErr w:type="spellEnd"/>
      <w:r>
        <w:rPr>
          <w:rtl/>
        </w:rPr>
        <w:t xml:space="preserve"> כמה מכתבים המאשימים את הכותב באפיקורסות”.</w:t>
      </w:r>
    </w:p>
    <w:p w14:paraId="5100F33A" w14:textId="77777777" w:rsidR="00AB3647" w:rsidRDefault="00000000" w:rsidP="007923E9">
      <w:pPr>
        <w:spacing w:after="120" w:line="276" w:lineRule="auto"/>
        <w:ind w:firstLine="283"/>
        <w:jc w:val="both"/>
      </w:pPr>
      <w:r>
        <w:rPr>
          <w:rtl/>
        </w:rPr>
        <w:t xml:space="preserve">בגיליון שאחריו, ערב ראש חודש טבת (29 בדצמבר), השיב העורך למר ב.ד.: “אינך טועה בקביעתך שמר ס. [מחבר המאמר, א.י. סגל] והמערכת יודעים בדיוק מיהו הנרגן שהניע בני תורה מסוימים לצאת להגנת כבוד התורה, ואת כוונותיו </w:t>
      </w:r>
      <w:r>
        <w:rPr>
          <w:b/>
          <w:bCs/>
          <w:rtl/>
        </w:rPr>
        <w:t>העדינות והעמוקות</w:t>
      </w:r>
      <w:r>
        <w:rPr>
          <w:rtl/>
        </w:rPr>
        <w:t xml:space="preserve"> (ההדגשה שלי) בכך</w:t>
      </w:r>
      <w:bookmarkStart w:id="3155" w:name="_fnr2265"/>
      <w:bookmarkStart w:id="3156" w:name="pr_f_2169"/>
      <w:r>
        <w:rPr>
          <w:rStyle w:val="a5"/>
        </w:rPr>
        <w:footnoteReference w:id="2272" w:customMarkFollows="0"/>
      </w:r>
      <w:bookmarkEnd w:id="3155"/>
      <w:bookmarkEnd w:id="3156"/>
      <w:r>
        <w:rPr>
          <w:rtl/>
        </w:rPr>
        <w:t>. אולם [שההתנגדות הגיעה] למידה שאתה מתאר כעד ראייה ושמיעה, לא ידענו ולא יכולנו לשער.”</w:t>
      </w:r>
      <w:bookmarkStart w:id="3157" w:name="_fnr2266"/>
      <w:r>
        <w:rPr>
          <w:rStyle w:val="a5"/>
        </w:rPr>
        <w:footnoteReference w:id="2273" w:customMarkFollows="0"/>
      </w:r>
      <w:bookmarkEnd w:id="3157"/>
    </w:p>
    <w:p w14:paraId="2C7FE385" w14:textId="77777777" w:rsidR="00AB3647" w:rsidRDefault="00000000" w:rsidP="007923E9">
      <w:pPr>
        <w:spacing w:after="120" w:line="276" w:lineRule="auto"/>
        <w:ind w:firstLine="283"/>
        <w:jc w:val="both"/>
      </w:pPr>
      <w:r>
        <w:rPr>
          <w:rtl/>
        </w:rPr>
        <w:t>בגיליון הבא, ערב ראש חודש שבט (28 בינואר 1941), השיב העורך לטענת הרב ז.ע. שהמאמר ההוא הכיל “</w:t>
      </w:r>
      <w:proofErr w:type="spellStart"/>
      <w:r>
        <w:rPr>
          <w:rtl/>
        </w:rPr>
        <w:t>חירופין</w:t>
      </w:r>
      <w:proofErr w:type="spellEnd"/>
      <w:r>
        <w:rPr>
          <w:rtl/>
        </w:rPr>
        <w:t xml:space="preserve"> </w:t>
      </w:r>
      <w:proofErr w:type="spellStart"/>
      <w:r>
        <w:rPr>
          <w:rtl/>
        </w:rPr>
        <w:t>וגידופין</w:t>
      </w:r>
      <w:proofErr w:type="spellEnd"/>
      <w:r>
        <w:rPr>
          <w:rtl/>
        </w:rPr>
        <w:t xml:space="preserve"> כלפי הגמרא הקדושה, שיביאו להתאדות המעט מן התורה שספגו המוחות הצעירים עד כה”.</w:t>
      </w:r>
      <w:bookmarkStart w:id="3158" w:name="_fnr2267"/>
      <w:r>
        <w:rPr>
          <w:rStyle w:val="a5"/>
        </w:rPr>
        <w:footnoteReference w:id="2274" w:customMarkFollows="0"/>
      </w:r>
      <w:bookmarkEnd w:id="3158"/>
      <w:r>
        <w:rPr>
          <w:rtl/>
        </w:rPr>
        <w:t xml:space="preserve"> ובגיליון שלאחר מכן, ערב ראש חודש אדר (26 בפברואר), השיב העורך </w:t>
      </w:r>
      <w:proofErr w:type="spellStart"/>
      <w:r>
        <w:rPr>
          <w:rtl/>
        </w:rPr>
        <w:t>ל“מכתב</w:t>
      </w:r>
      <w:proofErr w:type="spellEnd"/>
      <w:r>
        <w:rPr>
          <w:rtl/>
        </w:rPr>
        <w:t xml:space="preserve"> קללה” של “תלמיד ישיבה בברוקלין הטוען שהוא נתון להשפעתם של גדולי מוסר ותורה, שמהם הוא שומע את כעסם על חילול כבוד התורה”.</w:t>
      </w:r>
    </w:p>
    <w:p w14:paraId="41482AED" w14:textId="77777777" w:rsidR="00AB3647" w:rsidRDefault="00000000" w:rsidP="007923E9">
      <w:pPr>
        <w:spacing w:after="120" w:line="276" w:lineRule="auto"/>
        <w:ind w:firstLine="283"/>
        <w:jc w:val="both"/>
      </w:pPr>
      <w:r>
        <w:rPr>
          <w:rtl/>
        </w:rPr>
        <w:lastRenderedPageBreak/>
        <w:t xml:space="preserve">בעקבות פנייתו של הרב היימן כתב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מאמר תשובה בפרסום של ועד הרבנים של בוסטון, שהיה חבר בו, בשם העט י.ד. זמיר – ברוסית “</w:t>
      </w:r>
      <w:proofErr w:type="spellStart"/>
      <w:r>
        <w:rPr>
          <w:rtl/>
        </w:rPr>
        <w:t>סולובייצ׳יק</w:t>
      </w:r>
      <w:proofErr w:type="spellEnd"/>
      <w:r>
        <w:rPr>
          <w:rtl/>
        </w:rPr>
        <w:t>” פירושו “ציפור שיר”, כמו “זמיר” בעברית.</w:t>
      </w:r>
      <w:bookmarkStart w:id="3159" w:name="_fnr2268"/>
      <w:bookmarkStart w:id="3160" w:name="pr_f_2172"/>
      <w:r>
        <w:rPr>
          <w:rStyle w:val="a5"/>
        </w:rPr>
        <w:footnoteReference w:id="2275" w:customMarkFollows="0"/>
      </w:r>
      <w:bookmarkEnd w:id="3159"/>
      <w:bookmarkEnd w:id="3160"/>
    </w:p>
    <w:p w14:paraId="08A39620" w14:textId="77777777" w:rsidR="00AB3647" w:rsidRDefault="00000000" w:rsidP="007923E9">
      <w:pPr>
        <w:pStyle w:val="4"/>
        <w:spacing w:line="276" w:lineRule="auto"/>
      </w:pPr>
      <w:r>
        <w:t>· הפסקה החמישית ·</w:t>
      </w:r>
    </w:p>
    <w:p w14:paraId="06C2FCCE" w14:textId="77777777" w:rsidR="00AB3647" w:rsidRDefault="00000000" w:rsidP="007923E9">
      <w:pPr>
        <w:pStyle w:val="5"/>
        <w:spacing w:line="276" w:lineRule="auto"/>
      </w:pPr>
      <w:r>
        <w:t xml:space="preserve">ר׳ </w:t>
      </w:r>
      <w:proofErr w:type="spellStart"/>
      <w:r>
        <w:t>יוסף־יצחק</w:t>
      </w:r>
      <w:proofErr w:type="spellEnd"/>
      <w:r>
        <w:t xml:space="preserve"> שניאורסון מספר </w:t>
      </w:r>
      <w:proofErr w:type="spellStart"/>
      <w:r>
        <w:t>לר</w:t>
      </w:r>
      <w:proofErr w:type="spellEnd"/>
      <w:r>
        <w:t xml:space="preserve">׳ </w:t>
      </w:r>
      <w:proofErr w:type="spellStart"/>
      <w:r>
        <w:t xml:space="preserve">יוסף־דב</w:t>
      </w:r>
      <w:proofErr w:type="spellEnd"/>
      <w:r>
        <w:t xml:space="preserve"> על ועידת רבנים מן העבר – ר׳ חיים </w:t>
      </w:r>
      <w:proofErr w:type="spellStart"/>
      <w:r>
        <w:t>סולובייצ׳יק</w:t>
      </w:r>
      <w:proofErr w:type="spellEnd"/>
      <w:r>
        <w:t xml:space="preserve"> מטיל את מלוא כובד משקלו נגד החלטה – </w:t>
      </w:r>
      <w:proofErr w:type="spellStart"/>
      <w:r>
        <w:t>החפץ־חיים</w:t>
      </w:r>
      <w:proofErr w:type="spellEnd"/>
      <w:r>
        <w:t xml:space="preserve"> מופיע בלא שהוזמן – הוא מתעמת עם ר׳ </w:t>
      </w:r>
      <w:proofErr w:type="spellStart"/>
      <w:r>
        <w:t>מאיר־שמחה</w:t>
      </w:r>
      <w:proofErr w:type="spellEnd"/>
      <w:r>
        <w:t xml:space="preserve"> כהן ואינו מקבל את פסיקתם של רבנים שאינם ראשי ישיבות – ר׳ חיים </w:t>
      </w:r>
      <w:proofErr w:type="spellStart"/>
      <w:r>
        <w:t>סולובייצ׳יק</w:t>
      </w:r>
      <w:proofErr w:type="spellEnd"/>
      <w:r>
        <w:t xml:space="preserve"> תוקף את מתנגדיו – האור שמח זוכה להערכה רבה מצד ר׳ חיים</w:t>
      </w:r>
    </w:p>
    <w:p w14:paraId="016920A3" w14:textId="77777777" w:rsidR="00AB3647" w:rsidRDefault="00000000" w:rsidP="007923E9">
      <w:pPr>
        <w:spacing w:after="120" w:line="276" w:lineRule="auto"/>
        <w:ind w:firstLine="283"/>
        <w:jc w:val="both"/>
      </w:pPr>
      <w:bookmarkStart w:id="3161" w:name="pr_b_1352"/>
      <w:bookmarkEnd w:id="3161"/>
      <w:r>
        <w:rPr>
          <w:rtl/>
        </w:rPr>
        <w:t xml:space="preserve">ר׳ </w:t>
      </w:r>
      <w:proofErr w:type="spellStart"/>
      <w:r>
        <w:rPr>
          <w:rtl/>
        </w:rPr>
        <w:t>יוסף־יצחק</w:t>
      </w:r>
      <w:proofErr w:type="spellEnd"/>
      <w:r>
        <w:rPr>
          <w:rtl/>
        </w:rPr>
        <w:t xml:space="preserve"> הזמין אליו את ר׳ </w:t>
      </w:r>
      <w:proofErr w:type="spellStart"/>
      <w:r>
        <w:rPr>
          <w:rtl/>
        </w:rPr>
        <w:t xml:space="preserve">יוסף־דב</w:t>
      </w:r>
      <w:proofErr w:type="spellEnd"/>
      <w:r>
        <w:rPr>
          <w:rtl/>
        </w:rPr>
        <w:t>, אך לא אמר מילה ישירה על המאמר.</w:t>
      </w:r>
      <w:bookmarkStart w:id="3162" w:name="_fnr2269"/>
      <w:r>
        <w:rPr>
          <w:rStyle w:val="a5"/>
        </w:rPr>
        <w:footnoteReference w:id="2276" w:customMarkFollows="0"/>
      </w:r>
      <w:bookmarkEnd w:id="3162"/>
      <w:r>
        <w:rPr>
          <w:rtl/>
        </w:rPr>
        <w:t xml:space="preserve"> במקום זאת אמר לו הרבי: “אתה יודע שאבי וסבך היו ידידים אמיתיים; אני מעוניין מאוד שהידידות הזאת תימשך.”</w:t>
      </w:r>
      <w:bookmarkStart w:id="3163" w:name="_fnr2270"/>
      <w:r>
        <w:rPr>
          <w:rStyle w:val="a5"/>
        </w:rPr>
        <w:footnoteReference w:id="2277" w:customMarkFollows="0"/>
      </w:r>
      <w:bookmarkEnd w:id="3163"/>
      <w:r>
        <w:rPr>
          <w:rtl/>
        </w:rPr>
        <w:t xml:space="preserve"> אז סיפר הרבי שני מעשים על הערצתו של אביו, הרבי הקודם </w:t>
      </w:r>
      <w:proofErr w:type="spellStart"/>
      <w:r>
        <w:rPr>
          <w:rtl/>
        </w:rPr>
        <w:t>מליובאוויטש</w:t>
      </w:r>
      <w:proofErr w:type="spellEnd"/>
      <w:r>
        <w:rPr>
          <w:rtl/>
        </w:rPr>
        <w:t xml:space="preserve">, ר׳ </w:t>
      </w:r>
      <w:proofErr w:type="spellStart"/>
      <w:r>
        <w:rPr>
          <w:rtl/>
        </w:rPr>
        <w:t>שלום־בער</w:t>
      </w:r>
      <w:proofErr w:type="spellEnd"/>
      <w:r>
        <w:rPr>
          <w:rtl/>
        </w:rPr>
        <w:t xml:space="preserve"> שניאורסון, </w:t>
      </w:r>
      <w:proofErr w:type="spellStart"/>
      <w:r>
        <w:rPr>
          <w:rtl/>
        </w:rPr>
        <w:t>לר</w:t>
      </w:r>
      <w:proofErr w:type="spellEnd"/>
      <w:r>
        <w:rPr>
          <w:rtl/>
        </w:rPr>
        <w:t xml:space="preserve">׳ חיים </w:t>
      </w:r>
      <w:proofErr w:type="spellStart"/>
      <w:r>
        <w:rPr>
          <w:rtl/>
        </w:rPr>
        <w:t>סולובייצ׳יק</w:t>
      </w:r>
      <w:proofErr w:type="spellEnd"/>
      <w:r>
        <w:rPr>
          <w:rtl/>
        </w:rPr>
        <w:t>. “מעשה אחד”, אמר הרבי, “סימר את שערותיו של אבי, והאחר עשה לו קור תחת הציפורניים.”</w:t>
      </w:r>
    </w:p>
    <w:p w14:paraId="3915D0BA" w14:textId="77777777" w:rsidR="00AB3647" w:rsidRDefault="00000000" w:rsidP="007923E9">
      <w:pPr>
        <w:spacing w:after="120" w:line="276" w:lineRule="auto"/>
        <w:ind w:firstLine="283"/>
        <w:jc w:val="both"/>
      </w:pPr>
      <w:r>
        <w:rPr>
          <w:rtl/>
        </w:rPr>
        <w:t xml:space="preserve">המעשה הראשון אירע כששניהם השתתפו בוועידת רבנים בפטרבורג </w:t>
      </w:r>
      <w:proofErr w:type="spellStart"/>
      <w:r>
        <w:rPr>
          <w:rtl/>
        </w:rPr>
        <w:t>בתר״ע</w:t>
      </w:r>
      <w:proofErr w:type="spellEnd"/>
      <w:r>
        <w:rPr>
          <w:rtl/>
        </w:rPr>
        <w:t xml:space="preserve">, ור׳ </w:t>
      </w:r>
      <w:proofErr w:type="spellStart"/>
      <w:r>
        <w:rPr>
          <w:rtl/>
        </w:rPr>
        <w:t>שלום־בער</w:t>
      </w:r>
      <w:proofErr w:type="spellEnd"/>
      <w:r>
        <w:rPr>
          <w:rtl/>
        </w:rPr>
        <w:t xml:space="preserve"> העמיד לרשות ר׳ חיים אחד מחדריו הפרטיים. בשעת בוקר מוקדמת נצרך ר׳ </w:t>
      </w:r>
      <w:proofErr w:type="spellStart"/>
      <w:r>
        <w:rPr>
          <w:rtl/>
        </w:rPr>
        <w:t>שלום־בער</w:t>
      </w:r>
      <w:proofErr w:type="spellEnd"/>
      <w:r>
        <w:rPr>
          <w:rtl/>
        </w:rPr>
        <w:t xml:space="preserve"> לעבור בחדר, וראה שר׳ חיים ישן על הספה, ואילו שמשו ישן במיטה. הוא ביקש מר׳ חיים להסביר את הסידור המשונה. ר׳ חיים אמר לו שסיכם עם שמשו שמי שהולך לישון מוקדם יותר מקבל את המיטה, והאחר את הספה, ומכיוון שאספת הרבנים בלילה הקודם נמשכה עד שעה מאוחרת, קיבל השמש את המיטה.</w:t>
      </w:r>
      <w:bookmarkStart w:id="3164" w:name="_fnr2271"/>
      <w:r>
        <w:rPr>
          <w:rStyle w:val="a5"/>
        </w:rPr>
        <w:footnoteReference w:id="2278" w:customMarkFollows="0"/>
      </w:r>
      <w:bookmarkEnd w:id="3164"/>
      <w:r>
        <w:rPr>
          <w:rtl/>
        </w:rPr>
        <w:t xml:space="preserve"> “התנהגות זו סימרה את שערותיו של אבי”, סיים ר׳ </w:t>
      </w:r>
      <w:proofErr w:type="spellStart"/>
      <w:r>
        <w:rPr>
          <w:rtl/>
        </w:rPr>
        <w:t>יוסף־יצחק</w:t>
      </w:r>
      <w:proofErr w:type="spellEnd"/>
      <w:r>
        <w:rPr>
          <w:rtl/>
        </w:rPr>
        <w:t xml:space="preserve"> שניאורסון.</w:t>
      </w:r>
      <w:bookmarkStart w:id="3165" w:name="_fnr2272"/>
      <w:r>
        <w:rPr>
          <w:rStyle w:val="a5"/>
        </w:rPr>
        <w:footnoteReference w:id="2279" w:customMarkFollows="0"/>
      </w:r>
      <w:bookmarkEnd w:id="3165"/>
    </w:p>
    <w:p w14:paraId="14F53C4D" w14:textId="77777777" w:rsidR="00AB3647" w:rsidRDefault="00000000" w:rsidP="007923E9">
      <w:pPr>
        <w:spacing w:after="120" w:line="276" w:lineRule="auto"/>
        <w:ind w:firstLine="283"/>
        <w:jc w:val="both"/>
      </w:pPr>
      <w:r>
        <w:rPr>
          <w:rtl/>
        </w:rPr>
        <w:t>המעשה השני נגע לוועידה עצמה. הועלתה הצעה לחייב רבנים בידיעה מעשית של השפה הרוסית.</w:t>
      </w:r>
      <w:bookmarkStart w:id="3166" w:name="_fnr2273"/>
      <w:r>
        <w:rPr>
          <w:rStyle w:val="a5"/>
        </w:rPr>
        <w:footnoteReference w:id="2280" w:customMarkFollows="0"/>
      </w:r>
      <w:bookmarkEnd w:id="3166"/>
      <w:r>
        <w:rPr>
          <w:rtl/>
        </w:rPr>
        <w:t xml:space="preserve"> רוב הרבנים, ובהם ר׳ </w:t>
      </w:r>
      <w:proofErr w:type="spellStart"/>
      <w:r>
        <w:rPr>
          <w:rtl/>
        </w:rPr>
        <w:t>דוד׳ל</w:t>
      </w:r>
      <w:proofErr w:type="spellEnd"/>
      <w:r>
        <w:rPr>
          <w:rtl/>
        </w:rPr>
        <w:t xml:space="preserve"> </w:t>
      </w:r>
      <w:proofErr w:type="spellStart"/>
      <w:r>
        <w:rPr>
          <w:rtl/>
        </w:rPr>
        <w:t>קארלינער</w:t>
      </w:r>
      <w:proofErr w:type="spellEnd"/>
      <w:r>
        <w:rPr>
          <w:rtl/>
        </w:rPr>
        <w:t xml:space="preserve"> ור׳ </w:t>
      </w:r>
      <w:proofErr w:type="spellStart"/>
      <w:r>
        <w:rPr>
          <w:rtl/>
        </w:rPr>
        <w:t>איצל׳ה</w:t>
      </w:r>
      <w:proofErr w:type="spellEnd"/>
      <w:r>
        <w:rPr>
          <w:rtl/>
        </w:rPr>
        <w:t xml:space="preserve"> </w:t>
      </w:r>
      <w:proofErr w:type="spellStart"/>
      <w:r>
        <w:rPr>
          <w:rtl/>
        </w:rPr>
        <w:t>מפוניבז</w:t>
      </w:r>
      <w:proofErr w:type="spellEnd"/>
      <w:r>
        <w:rPr>
          <w:rtl/>
        </w:rPr>
        <w:t>׳</w:t>
      </w:r>
      <w:bookmarkStart w:id="3167" w:name="_fnr2274"/>
      <w:r>
        <w:rPr>
          <w:rStyle w:val="a5"/>
        </w:rPr>
        <w:footnoteReference w:id="2281" w:customMarkFollows="0"/>
      </w:r>
      <w:bookmarkEnd w:id="3167"/>
      <w:r>
        <w:rPr>
          <w:rtl/>
        </w:rPr>
        <w:t xml:space="preserve">, תמכו בר׳ </w:t>
      </w:r>
      <w:proofErr w:type="spellStart"/>
      <w:r>
        <w:rPr>
          <w:rtl/>
        </w:rPr>
        <w:t>מאיר־</w:t>
      </w:r>
      <w:r>
        <w:rPr>
          <w:rtl/>
        </w:rPr>
        <w:lastRenderedPageBreak/>
        <w:t>שמחה</w:t>
      </w:r>
      <w:proofErr w:type="spellEnd"/>
      <w:r>
        <w:rPr>
          <w:rtl/>
        </w:rPr>
        <w:t xml:space="preserve"> כהן, רבה של </w:t>
      </w:r>
      <w:proofErr w:type="spellStart"/>
      <w:r>
        <w:rPr>
          <w:rtl/>
        </w:rPr>
        <w:t>דווינסק</w:t>
      </w:r>
      <w:proofErr w:type="spellEnd"/>
      <w:r>
        <w:rPr>
          <w:rtl/>
        </w:rPr>
        <w:t xml:space="preserve">, שצידד בהצעה כדי לבטל את הצורך </w:t>
      </w:r>
      <w:proofErr w:type="spellStart"/>
      <w:r>
        <w:rPr>
          <w:rtl/>
        </w:rPr>
        <w:t>ב“רבנים</w:t>
      </w:r>
      <w:proofErr w:type="spellEnd"/>
      <w:r>
        <w:rPr>
          <w:rtl/>
        </w:rPr>
        <w:t xml:space="preserve"> מטעם” – פקידים הרושמים לידות, פטירות ונישואין בפנקסי הממשלה. רק שלושה רבנים התנגדו להחלטה: ר׳ </w:t>
      </w:r>
      <w:proofErr w:type="spellStart"/>
      <w:r>
        <w:rPr>
          <w:rtl/>
        </w:rPr>
        <w:t>חיים־עוזר</w:t>
      </w:r>
      <w:proofErr w:type="spellEnd"/>
      <w:r>
        <w:rPr>
          <w:rtl/>
        </w:rPr>
        <w:t xml:space="preserve"> </w:t>
      </w:r>
      <w:proofErr w:type="spellStart"/>
      <w:r>
        <w:rPr>
          <w:rtl/>
        </w:rPr>
        <w:t>גרודזנסקי</w:t>
      </w:r>
      <w:bookmarkStart w:id="3168" w:name="_fnr2275"/>
      <w:proofErr w:type="spellEnd"/>
      <w:r>
        <w:rPr>
          <w:rStyle w:val="a5"/>
        </w:rPr>
        <w:footnoteReference w:id="2282" w:customMarkFollows="0"/>
      </w:r>
      <w:bookmarkEnd w:id="3168"/>
      <w:r>
        <w:rPr>
          <w:rtl/>
        </w:rPr>
        <w:t xml:space="preserve">, ר׳ </w:t>
      </w:r>
      <w:proofErr w:type="spellStart"/>
      <w:r>
        <w:rPr>
          <w:rtl/>
        </w:rPr>
        <w:t>שלום־בער</w:t>
      </w:r>
      <w:proofErr w:type="spellEnd"/>
      <w:r>
        <w:rPr>
          <w:rtl/>
        </w:rPr>
        <w:t xml:space="preserve"> ור׳ חיים </w:t>
      </w:r>
      <w:proofErr w:type="spellStart"/>
      <w:r>
        <w:rPr>
          <w:rtl/>
        </w:rPr>
        <w:t>סולובייצ׳יק</w:t>
      </w:r>
      <w:proofErr w:type="spellEnd"/>
      <w:r>
        <w:rPr>
          <w:rtl/>
        </w:rPr>
        <w:t>.</w:t>
      </w:r>
    </w:p>
    <w:p w14:paraId="1F1714EA" w14:textId="77777777" w:rsidR="00AB3647" w:rsidRDefault="00000000" w:rsidP="007923E9">
      <w:pPr>
        <w:spacing w:after="120" w:line="276" w:lineRule="auto"/>
        <w:ind w:firstLine="283"/>
        <w:jc w:val="both"/>
      </w:pPr>
      <w:r>
        <w:rPr>
          <w:rtl/>
        </w:rPr>
        <w:t xml:space="preserve">ר׳ חיים נכנס לחדריו של הרבי ומצא אותו בוכה, משום שהיה ברור שההצבעה תהיה לטובת ההחלטה. אבל ר׳ חיים אמר לו: “אל תבכה. ההחלטה לא תעבור.” באספה קם ר׳ חיים והודיע: “שמי חיים </w:t>
      </w:r>
      <w:proofErr w:type="spellStart"/>
      <w:r>
        <w:rPr>
          <w:rtl/>
        </w:rPr>
        <w:t>סולובייצ׳יק</w:t>
      </w:r>
      <w:proofErr w:type="spellEnd"/>
      <w:r>
        <w:rPr>
          <w:rtl/>
        </w:rPr>
        <w:t xml:space="preserve">, שם הידוע מקצה העולם ועד קצהו, </w:t>
      </w:r>
      <w:proofErr w:type="spellStart"/>
      <w:r>
        <w:rPr>
          <w:rtl/>
        </w:rPr>
        <w:t>ובכח</w:t>
      </w:r>
      <w:proofErr w:type="spellEnd"/>
      <w:r>
        <w:rPr>
          <w:rtl/>
        </w:rPr>
        <w:t xml:space="preserve"> תורתי אני מכריז שעל הכול להצביע נגד ההחלטה.” וכך עשו הכול. “תעוזתו של ר׳ חיים לדבר על עצמו כך עשתה [</w:t>
      </w:r>
      <w:proofErr w:type="spellStart"/>
      <w:r>
        <w:rPr>
          <w:rtl/>
        </w:rPr>
        <w:t>לר</w:t>
      </w:r>
      <w:proofErr w:type="spellEnd"/>
      <w:r>
        <w:rPr>
          <w:rtl/>
        </w:rPr>
        <w:t xml:space="preserve">׳ </w:t>
      </w:r>
      <w:proofErr w:type="spellStart"/>
      <w:r>
        <w:rPr>
          <w:rtl/>
        </w:rPr>
        <w:t>שלום־בער</w:t>
      </w:r>
      <w:proofErr w:type="spellEnd"/>
      <w:r>
        <w:rPr>
          <w:rtl/>
        </w:rPr>
        <w:t xml:space="preserve">] ‘קור תחת הציפורניים’”, אמר ר׳ </w:t>
      </w:r>
      <w:proofErr w:type="spellStart"/>
      <w:r>
        <w:rPr>
          <w:rtl/>
        </w:rPr>
        <w:t>יוסף־יצחק</w:t>
      </w:r>
      <w:proofErr w:type="spellEnd"/>
      <w:r>
        <w:rPr>
          <w:rtl/>
        </w:rPr>
        <w:t xml:space="preserve"> שניאורסון.</w:t>
      </w:r>
    </w:p>
    <w:p w14:paraId="538A1EA9" w14:textId="2996B8F8" w:rsidR="00AB3647" w:rsidRDefault="00000000" w:rsidP="007923E9">
      <w:pPr>
        <w:spacing w:after="120" w:line="276" w:lineRule="auto"/>
        <w:ind w:firstLine="283"/>
        <w:jc w:val="both"/>
      </w:pPr>
      <w:proofErr w:type="spellStart"/>
      <w:r>
        <w:rPr>
          <w:rtl/>
        </w:rPr>
        <w:t>לר</w:t>
      </w:r>
      <w:proofErr w:type="spellEnd"/>
      <w:r>
        <w:rPr>
          <w:rtl/>
        </w:rPr>
        <w:t xml:space="preserve">׳ חיים בוודאי היה קשה ביותר להכריז כך על עצמו, לאור דמותו בעיני עצמו, כפי שהיא עולה ממכתב שכתב </w:t>
      </w:r>
      <w:proofErr w:type="spellStart"/>
      <w:r>
        <w:rPr>
          <w:rtl/>
        </w:rPr>
        <w:t>לר</w:t>
      </w:r>
      <w:proofErr w:type="spellEnd"/>
      <w:r>
        <w:rPr>
          <w:rtl/>
        </w:rPr>
        <w:t xml:space="preserve">׳ </w:t>
      </w:r>
      <w:proofErr w:type="spellStart"/>
      <w:r>
        <w:rPr>
          <w:rtl/>
        </w:rPr>
        <w:t>יצחק־אייזיק</w:t>
      </w:r>
      <w:proofErr w:type="spellEnd"/>
      <w:r>
        <w:rPr>
          <w:rtl/>
        </w:rPr>
        <w:t xml:space="preserve"> הלוי רק שנה קודם לכן, בי׳ בניסן תרס״ט, המובא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74C7286F" w14:textId="77777777" w:rsidR="00AB3647" w:rsidRDefault="00000000" w:rsidP="007923E9">
      <w:pPr>
        <w:spacing w:after="120" w:line="276" w:lineRule="auto"/>
        <w:ind w:firstLine="283"/>
        <w:jc w:val="both"/>
      </w:pPr>
      <w:r>
        <w:rPr>
          <w:rtl/>
        </w:rPr>
        <w:t xml:space="preserve">לבקשת ר׳ חיים בא </w:t>
      </w:r>
      <w:proofErr w:type="spellStart"/>
      <w:r>
        <w:rPr>
          <w:rtl/>
        </w:rPr>
        <w:t>החפץ־חיים</w:t>
      </w:r>
      <w:proofErr w:type="spellEnd"/>
      <w:r>
        <w:rPr>
          <w:rtl/>
        </w:rPr>
        <w:t xml:space="preserve"> לוועידה, כדי לנסות לשכנע את ר׳ מאיר־שמחה בדבר הסכנה שבהעברת</w:t>
      </w:r>
      <w:proofErr w:type="spellStart"/>
      <w:r>
        <w:rPr>
          <w:rtl/>
        </w:rPr>
        <w:t xml:space="preserve"/>
      </w:r>
      <w:proofErr w:type="spellEnd"/>
      <w:r>
        <w:rPr>
          <w:rtl/>
        </w:rPr>
        <w:t xml:space="preserve"> ההחלטה. לדברי ר׳ ישראל </w:t>
      </w:r>
      <w:proofErr w:type="spellStart"/>
      <w:r>
        <w:rPr>
          <w:rtl/>
        </w:rPr>
        <w:t>שורין</w:t>
      </w:r>
      <w:proofErr w:type="spellEnd"/>
      <w:r>
        <w:rPr>
          <w:rtl/>
        </w:rPr>
        <w:t>, הוא בא עטור טלית ותפילין. “החפץ חיים (ישר)”</w:t>
      </w:r>
      <w:bookmarkStart w:id="3169" w:name="_fnr2276"/>
      <w:r>
        <w:rPr>
          <w:rStyle w:val="a5"/>
        </w:rPr>
        <w:footnoteReference w:id="2283" w:customMarkFollows="0"/>
      </w:r>
      <w:bookmarkEnd w:id="3169"/>
      <w:r>
        <w:rPr>
          <w:rtl/>
        </w:rPr>
        <w:t xml:space="preserve"> כותב שלפני שדיבר עם האור שמח שהה </w:t>
      </w:r>
      <w:proofErr w:type="spellStart"/>
      <w:r>
        <w:rPr>
          <w:rtl/>
        </w:rPr>
        <w:t>החפץ־חיים</w:t>
      </w:r>
      <w:proofErr w:type="spellEnd"/>
      <w:r>
        <w:rPr>
          <w:rtl/>
        </w:rPr>
        <w:t xml:space="preserve"> “כמה ימים בפטרבורג” ושכנע את המשתתפים האחרים לתמוך בר׳ חיים. “תורת חיים”</w:t>
      </w:r>
      <w:bookmarkStart w:id="3170" w:name="_fnr2277"/>
      <w:r>
        <w:rPr>
          <w:rStyle w:val="a5"/>
        </w:rPr>
        <w:footnoteReference w:id="2284" w:customMarkFollows="0"/>
      </w:r>
      <w:bookmarkEnd w:id="3170"/>
      <w:r>
        <w:rPr>
          <w:rtl/>
        </w:rPr>
        <w:t xml:space="preserve">, המספר באריכות על השתתפות ר׳ חיים בוועידת פטרבורג, מציין </w:t>
      </w:r>
      <w:proofErr w:type="spellStart"/>
      <w:r>
        <w:rPr>
          <w:rtl/>
        </w:rPr>
        <w:t>שהחפץ־חיים</w:t>
      </w:r>
      <w:proofErr w:type="spellEnd"/>
      <w:r>
        <w:rPr>
          <w:rtl/>
        </w:rPr>
        <w:t xml:space="preserve"> שהה בפטרבורג “שבוע” לפני שביקר אצל ר׳ </w:t>
      </w:r>
      <w:proofErr w:type="spellStart"/>
      <w:r>
        <w:rPr>
          <w:rtl/>
        </w:rPr>
        <w:t>מאיר־שמחה</w:t>
      </w:r>
      <w:proofErr w:type="spellEnd"/>
      <w:r>
        <w:rPr>
          <w:rtl/>
        </w:rPr>
        <w:t>.</w:t>
      </w:r>
    </w:p>
    <w:p w14:paraId="176731DF" w14:textId="77777777" w:rsidR="00AB3647" w:rsidRDefault="00000000" w:rsidP="007923E9">
      <w:pPr>
        <w:spacing w:after="120" w:line="276" w:lineRule="auto"/>
        <w:ind w:firstLine="283"/>
        <w:jc w:val="both"/>
      </w:pPr>
      <w:r>
        <w:rPr>
          <w:rtl/>
        </w:rPr>
        <w:t xml:space="preserve">כשנפגשו השניים לבסוף, נענה </w:t>
      </w:r>
      <w:proofErr w:type="spellStart"/>
      <w:r>
        <w:rPr>
          <w:rtl/>
        </w:rPr>
        <w:t>החפץ־חיים</w:t>
      </w:r>
      <w:proofErr w:type="spellEnd"/>
      <w:r>
        <w:rPr>
          <w:rtl/>
        </w:rPr>
        <w:t xml:space="preserve"> בגערה: “מי הזמין אותך הנה? אתה רק א </w:t>
      </w:r>
      <w:proofErr w:type="spellStart"/>
      <w:r>
        <w:rPr>
          <w:rtl/>
        </w:rPr>
        <w:t>קליין־שטעטלשער</w:t>
      </w:r>
      <w:proofErr w:type="spellEnd"/>
      <w:r>
        <w:rPr>
          <w:rtl/>
        </w:rPr>
        <w:t xml:space="preserve"> איד [יהודי מעיירה קטנה, שאינו בקי בהוויות העולם]!” התפרצות זו רמזה שהאורח אינו מבין את מורכבות הבעיה שעל הפרק. האור שמח יצא אז מן החדר בריצה. את הגרסה הזאת של התקפת ר׳ </w:t>
      </w:r>
      <w:proofErr w:type="spellStart"/>
      <w:r>
        <w:rPr>
          <w:rtl/>
        </w:rPr>
        <w:t>מאיר־שמחה</w:t>
      </w:r>
      <w:proofErr w:type="spellEnd"/>
      <w:r>
        <w:rPr>
          <w:rtl/>
        </w:rPr>
        <w:t xml:space="preserve"> שמע ר׳ ישראל </w:t>
      </w:r>
      <w:proofErr w:type="spellStart"/>
      <w:r>
        <w:rPr>
          <w:rtl/>
        </w:rPr>
        <w:t>שורין</w:t>
      </w:r>
      <w:proofErr w:type="spellEnd"/>
      <w:r>
        <w:rPr>
          <w:rtl/>
        </w:rPr>
        <w:t xml:space="preserve"> באמריקה מפי ר׳ משה הורוביץ, שהיה רבה של העיירה הליטאית </w:t>
      </w:r>
      <w:proofErr w:type="spellStart"/>
      <w:r>
        <w:rPr>
          <w:rtl/>
        </w:rPr>
        <w:t>ליגום</w:t>
      </w:r>
      <w:proofErr w:type="spellEnd"/>
      <w:r>
        <w:rPr>
          <w:rtl/>
        </w:rPr>
        <w:t xml:space="preserve"> בעת הוועידה, ונכח במפגש.</w:t>
      </w:r>
    </w:p>
    <w:p w14:paraId="6CF1021D" w14:textId="77777777" w:rsidR="00AB3647" w:rsidRDefault="00000000" w:rsidP="007923E9">
      <w:pPr>
        <w:spacing w:after="120" w:line="276" w:lineRule="auto"/>
        <w:ind w:firstLine="283"/>
        <w:jc w:val="both"/>
      </w:pPr>
      <w:r>
        <w:rPr>
          <w:rtl/>
        </w:rPr>
        <w:t xml:space="preserve">לפי מה ששמע ר׳ ישראל </w:t>
      </w:r>
      <w:proofErr w:type="spellStart"/>
      <w:r>
        <w:rPr>
          <w:rtl/>
        </w:rPr>
        <w:t>שורין</w:t>
      </w:r>
      <w:proofErr w:type="spellEnd"/>
      <w:r>
        <w:rPr>
          <w:rtl/>
        </w:rPr>
        <w:t xml:space="preserve"> מר׳ משה־מאיר ישר – ששמע זאת מר׳ משה </w:t>
      </w:r>
      <w:proofErr w:type="spellStart"/>
      <w:r>
        <w:rPr>
          <w:rtl/>
        </w:rPr>
        <w:t>לנדינסקי</w:t>
      </w:r>
      <w:proofErr w:type="spellEnd"/>
      <w:r>
        <w:rPr>
          <w:rtl/>
        </w:rPr>
        <w:t xml:space="preserve">, ראש ישיבת </w:t>
      </w:r>
      <w:proofErr w:type="spellStart"/>
      <w:r>
        <w:rPr>
          <w:rtl/>
        </w:rPr>
        <w:t>ראדין</w:t>
      </w:r>
      <w:proofErr w:type="spellEnd"/>
      <w:r>
        <w:rPr>
          <w:rtl/>
        </w:rPr>
        <w:t xml:space="preserve">, שליווה את </w:t>
      </w:r>
      <w:proofErr w:type="spellStart"/>
      <w:r>
        <w:rPr>
          <w:rtl/>
        </w:rPr>
        <w:t>החפץ־חיים</w:t>
      </w:r>
      <w:proofErr w:type="spellEnd"/>
      <w:r>
        <w:rPr>
          <w:rtl/>
        </w:rPr>
        <w:t xml:space="preserve"> – אמר ר׳ </w:t>
      </w:r>
      <w:proofErr w:type="spellStart"/>
      <w:r>
        <w:rPr>
          <w:rtl/>
        </w:rPr>
        <w:t>מאיר־שמחה</w:t>
      </w:r>
      <w:proofErr w:type="spellEnd"/>
      <w:r>
        <w:rPr>
          <w:rtl/>
        </w:rPr>
        <w:t xml:space="preserve">: “מי הזמין אותך? אתה רק </w:t>
      </w:r>
      <w:r>
        <w:rPr>
          <w:rtl/>
        </w:rPr>
        <w:lastRenderedPageBreak/>
        <w:t>בעל בית [ולא רב עיר כמו הנאספים בוועידה]!”</w:t>
      </w:r>
      <w:bookmarkStart w:id="3171" w:name="_fnr2278"/>
      <w:r>
        <w:rPr>
          <w:rStyle w:val="a5"/>
        </w:rPr>
        <w:footnoteReference w:id="2285" w:customMarkFollows="0"/>
      </w:r>
      <w:bookmarkEnd w:id="3171"/>
      <w:r>
        <w:rPr>
          <w:rtl/>
        </w:rPr>
        <w:t xml:space="preserve"> ויצא בריצה מן החדר. </w:t>
      </w:r>
      <w:proofErr w:type="spellStart"/>
      <w:r>
        <w:rPr>
          <w:rtl/>
        </w:rPr>
        <w:t>החפץ־חיים</w:t>
      </w:r>
      <w:proofErr w:type="spellEnd"/>
      <w:r>
        <w:rPr>
          <w:rtl/>
        </w:rPr>
        <w:t xml:space="preserve"> אמר אז לרב </w:t>
      </w:r>
      <w:proofErr w:type="spellStart"/>
      <w:r>
        <w:rPr>
          <w:rtl/>
        </w:rPr>
        <w:t>לנדינסקי</w:t>
      </w:r>
      <w:proofErr w:type="spellEnd"/>
      <w:r>
        <w:rPr>
          <w:rtl/>
        </w:rPr>
        <w:t xml:space="preserve">: “הבה נצא מיד, כי ר׳ </w:t>
      </w:r>
      <w:proofErr w:type="spellStart"/>
      <w:r>
        <w:rPr>
          <w:rtl/>
        </w:rPr>
        <w:t>מאיר־שמחה</w:t>
      </w:r>
      <w:proofErr w:type="spellEnd"/>
      <w:r>
        <w:rPr>
          <w:rtl/>
        </w:rPr>
        <w:t>, בהיותו כהן, עלול לכעוס</w:t>
      </w:r>
      <w:bookmarkStart w:id="3172" w:name="_fnr2279"/>
      <w:r>
        <w:rPr>
          <w:rStyle w:val="a5"/>
        </w:rPr>
        <w:footnoteReference w:id="2286" w:customMarkFollows="0"/>
      </w:r>
      <w:bookmarkEnd w:id="3172"/>
      <w:r>
        <w:rPr>
          <w:rtl/>
        </w:rPr>
        <w:t xml:space="preserve"> אם נישאר.” לפי “החפץ חיים (ישר)”, </w:t>
      </w:r>
      <w:proofErr w:type="spellStart"/>
      <w:r>
        <w:rPr>
          <w:rtl/>
        </w:rPr>
        <w:t>החפץ־חיים</w:t>
      </w:r>
      <w:proofErr w:type="spellEnd"/>
      <w:r>
        <w:rPr>
          <w:rtl/>
        </w:rPr>
        <w:t xml:space="preserve"> שיבח את ר׳ </w:t>
      </w:r>
      <w:proofErr w:type="spellStart"/>
      <w:r>
        <w:rPr>
          <w:rtl/>
        </w:rPr>
        <w:t>מאיר־שמחה</w:t>
      </w:r>
      <w:proofErr w:type="spellEnd"/>
      <w:r>
        <w:rPr>
          <w:rtl/>
        </w:rPr>
        <w:t xml:space="preserve"> על שיצא, שכן בהיותו כהן וקרוב לכעוס, נמנע ביציאתו מלאבד את קור רוחו.</w:t>
      </w:r>
    </w:p>
    <w:p w14:paraId="74EB0506" w14:textId="77777777" w:rsidR="00AB3647" w:rsidRDefault="00000000" w:rsidP="007923E9">
      <w:pPr>
        <w:spacing w:after="120" w:line="276" w:lineRule="auto"/>
        <w:ind w:firstLine="283"/>
        <w:jc w:val="both"/>
      </w:pPr>
      <w:r>
        <w:rPr>
          <w:rtl/>
        </w:rPr>
        <w:t xml:space="preserve">אומרים </w:t>
      </w:r>
      <w:proofErr w:type="spellStart"/>
      <w:r>
        <w:rPr>
          <w:rtl/>
        </w:rPr>
        <w:t>שהחפץ־חיים</w:t>
      </w:r>
      <w:proofErr w:type="spellEnd"/>
      <w:r>
        <w:rPr>
          <w:rtl/>
        </w:rPr>
        <w:t xml:space="preserve"> הזכיר חידוש של “הגאון </w:t>
      </w:r>
      <w:proofErr w:type="spellStart"/>
      <w:r>
        <w:rPr>
          <w:rtl/>
        </w:rPr>
        <w:t>מהר״ר</w:t>
      </w:r>
      <w:proofErr w:type="spellEnd"/>
      <w:r>
        <w:rPr>
          <w:rtl/>
        </w:rPr>
        <w:t xml:space="preserve"> מאיר שמחה הכהן” </w:t>
      </w:r>
      <w:proofErr w:type="spellStart"/>
      <w:r>
        <w:rPr>
          <w:rtl/>
        </w:rPr>
        <w:t>ב“ביאור</w:t>
      </w:r>
      <w:proofErr w:type="spellEnd"/>
      <w:r>
        <w:rPr>
          <w:rtl/>
        </w:rPr>
        <w:t xml:space="preserve"> הלכה, סי׳ תקפ״ה” – אזכור שאחרת לא היה מתאים להקשר – כדי להראות שאינו נוטר טינה לרבה של </w:t>
      </w:r>
      <w:proofErr w:type="spellStart"/>
      <w:r>
        <w:rPr>
          <w:rtl/>
        </w:rPr>
        <w:t>דווינסק</w:t>
      </w:r>
      <w:proofErr w:type="spellEnd"/>
      <w:r>
        <w:rPr>
          <w:rtl/>
        </w:rPr>
        <w:t>. אבל לפי “שמושה של תורה”</w:t>
      </w:r>
      <w:bookmarkStart w:id="3173" w:name="_fnr2280"/>
      <w:r>
        <w:rPr>
          <w:rStyle w:val="a5"/>
        </w:rPr>
        <w:footnoteReference w:id="2287" w:customMarkFollows="0"/>
      </w:r>
      <w:bookmarkEnd w:id="3173"/>
      <w:r>
        <w:rPr>
          <w:rtl/>
        </w:rPr>
        <w:t>, “</w:t>
      </w:r>
      <w:proofErr w:type="spellStart"/>
      <w:r>
        <w:rPr>
          <w:rtl/>
        </w:rPr>
        <w:t>החפץ־חיים</w:t>
      </w:r>
      <w:proofErr w:type="spellEnd"/>
      <w:r>
        <w:rPr>
          <w:rtl/>
        </w:rPr>
        <w:t xml:space="preserve"> חשש שהתבטא בחריפות מסוימת כלפי האור שמח”, ולכן נדרשו לא רק הבעת רצון טוב אלא גם פיוס ממש.</w:t>
      </w:r>
    </w:p>
    <w:p w14:paraId="772CA5FF" w14:textId="77777777" w:rsidR="00AB3647" w:rsidRDefault="00000000" w:rsidP="007923E9">
      <w:pPr>
        <w:spacing w:after="120" w:line="276" w:lineRule="auto"/>
        <w:ind w:firstLine="283"/>
        <w:jc w:val="both"/>
      </w:pPr>
      <w:r>
        <w:rPr>
          <w:rtl/>
        </w:rPr>
        <w:t xml:space="preserve">אך טבעי הוא שסביב עימות כזה בין גדולי תורה מצויות גרסאות שונות, בגוונים שונים. למשל, מקובל לספר שבמפגשם התנהל בין </w:t>
      </w:r>
      <w:proofErr w:type="spellStart"/>
      <w:r>
        <w:rPr>
          <w:rtl/>
        </w:rPr>
        <w:t>החפץ־חיים</w:t>
      </w:r>
      <w:proofErr w:type="spellEnd"/>
      <w:r>
        <w:rPr>
          <w:rtl/>
        </w:rPr>
        <w:t xml:space="preserve"> </w:t>
      </w:r>
      <w:proofErr w:type="spellStart"/>
      <w:r>
        <w:rPr>
          <w:rtl/>
        </w:rPr>
        <w:t>לר</w:t>
      </w:r>
      <w:proofErr w:type="spellEnd"/>
      <w:r>
        <w:rPr>
          <w:rtl/>
        </w:rPr>
        <w:t xml:space="preserve">׳ </w:t>
      </w:r>
      <w:proofErr w:type="spellStart"/>
      <w:r>
        <w:rPr>
          <w:rtl/>
        </w:rPr>
        <w:t>מאיר־שמחה</w:t>
      </w:r>
      <w:proofErr w:type="spellEnd"/>
      <w:r>
        <w:rPr>
          <w:rtl/>
        </w:rPr>
        <w:t xml:space="preserve"> הדו־שיח הזה:</w:t>
      </w:r>
    </w:p>
    <w:p w14:paraId="06E91A5B"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xml:space="preserve">: מי הזמין אותך </w:t>
      </w:r>
      <w:proofErr w:type="spellStart"/>
      <w:r>
        <w:rPr>
          <w:rtl/>
        </w:rPr>
        <w:t>וכו</w:t>
      </w:r>
      <w:proofErr w:type="spellEnd"/>
      <w:r>
        <w:rPr>
          <w:rtl/>
        </w:rPr>
        <w:t>׳.</w:t>
      </w:r>
    </w:p>
    <w:p w14:paraId="37A4CC22" w14:textId="77777777" w:rsidR="00AB3647" w:rsidRDefault="00000000" w:rsidP="007923E9">
      <w:pPr>
        <w:spacing w:after="120" w:line="276" w:lineRule="auto"/>
        <w:ind w:firstLine="283"/>
        <w:jc w:val="both"/>
      </w:pPr>
      <w:proofErr w:type="spellStart"/>
      <w:r>
        <w:rPr>
          <w:rtl/>
        </w:rPr>
        <w:t>החפץ־חיים</w:t>
      </w:r>
      <w:proofErr w:type="spellEnd"/>
      <w:r>
        <w:rPr>
          <w:rtl/>
        </w:rPr>
        <w:t>: באתי לפטרבורג לטפל באחות חולה.</w:t>
      </w:r>
    </w:p>
    <w:p w14:paraId="4837FB3C" w14:textId="77777777" w:rsidR="00AB3647" w:rsidRDefault="00000000" w:rsidP="007923E9">
      <w:pPr>
        <w:spacing w:after="120" w:line="276" w:lineRule="auto"/>
        <w:ind w:firstLine="283"/>
        <w:jc w:val="both"/>
      </w:pPr>
      <w:r>
        <w:rPr>
          <w:rtl/>
        </w:rPr>
        <w:t xml:space="preserve">ר׳ </w:t>
      </w:r>
      <w:proofErr w:type="spellStart"/>
      <w:r>
        <w:rPr>
          <w:rtl/>
        </w:rPr>
        <w:t>מאיר־שמחה</w:t>
      </w:r>
      <w:proofErr w:type="spellEnd"/>
      <w:r>
        <w:rPr>
          <w:rtl/>
        </w:rPr>
        <w:t>: אם כן, מקומך בבית החולים, ולא בוועידה.</w:t>
      </w:r>
    </w:p>
    <w:p w14:paraId="26AE0032" w14:textId="77777777" w:rsidR="00AB3647" w:rsidRDefault="00000000" w:rsidP="007923E9">
      <w:pPr>
        <w:spacing w:after="120" w:line="276" w:lineRule="auto"/>
        <w:ind w:firstLine="283"/>
        <w:jc w:val="both"/>
      </w:pPr>
      <w:proofErr w:type="spellStart"/>
      <w:r>
        <w:rPr>
          <w:rtl/>
        </w:rPr>
        <w:t>החפץ־חיים</w:t>
      </w:r>
      <w:proofErr w:type="spellEnd"/>
      <w:r>
        <w:rPr>
          <w:rtl/>
        </w:rPr>
        <w:t>: כוונתי לתורה, כמו שנאמר: “אמור לחכמה אחותי את”.</w:t>
      </w:r>
      <w:bookmarkStart w:id="3174" w:name="_fnr2281"/>
      <w:r>
        <w:rPr>
          <w:rStyle w:val="a5"/>
        </w:rPr>
        <w:footnoteReference w:id="2288" w:customMarkFollows="0"/>
      </w:r>
      <w:bookmarkEnd w:id="3174"/>
    </w:p>
    <w:p w14:paraId="7C4A3801" w14:textId="77777777" w:rsidR="00AB3647" w:rsidRDefault="00000000" w:rsidP="007923E9">
      <w:pPr>
        <w:spacing w:after="120" w:line="276" w:lineRule="auto"/>
        <w:ind w:firstLine="283"/>
        <w:jc w:val="both"/>
      </w:pPr>
      <w:r>
        <w:rPr>
          <w:rtl/>
        </w:rPr>
        <w:t xml:space="preserve">לדעתי, הדו־שיח שלעיל, שאינו תואם את אופן דיבורו הישיר של </w:t>
      </w:r>
      <w:proofErr w:type="spellStart"/>
      <w:r>
        <w:rPr>
          <w:rtl/>
        </w:rPr>
        <w:t>החפץ־חיים</w:t>
      </w:r>
      <w:proofErr w:type="spellEnd"/>
      <w:r>
        <w:rPr>
          <w:rtl/>
        </w:rPr>
        <w:t xml:space="preserve">, לא היה ולא נברא. יתר על כן, הן לדברי ר׳ משה הורוביץ והן לדברי ר׳ משה־מאיר ישר, ר׳ </w:t>
      </w:r>
      <w:proofErr w:type="spellStart"/>
      <w:r>
        <w:rPr>
          <w:rtl/>
        </w:rPr>
        <w:t>מאיר־שמחה</w:t>
      </w:r>
      <w:proofErr w:type="spellEnd"/>
      <w:r>
        <w:rPr>
          <w:rtl/>
        </w:rPr>
        <w:t xml:space="preserve"> לא נכנס לשיחה, אלא יצא במהירות מיד לאחר ששאל מי הזמין את האורח. גם בכך יש כדי להטיל ספק בטענת “שמושה של תורה” שהובאה לעיל.</w:t>
      </w:r>
    </w:p>
    <w:p w14:paraId="46538742" w14:textId="77777777" w:rsidR="00AB3647" w:rsidRDefault="00000000" w:rsidP="007923E9">
      <w:pPr>
        <w:spacing w:after="120" w:line="276" w:lineRule="auto"/>
        <w:ind w:firstLine="283"/>
        <w:jc w:val="both"/>
      </w:pPr>
      <w:r>
        <w:rPr>
          <w:rtl/>
        </w:rPr>
        <w:t>לפי “החפץ חיים (ישר)”</w:t>
      </w:r>
      <w:bookmarkStart w:id="3175" w:name="_fnr2282"/>
      <w:r>
        <w:rPr>
          <w:rStyle w:val="a5"/>
        </w:rPr>
        <w:footnoteReference w:id="2289" w:customMarkFollows="0"/>
      </w:r>
      <w:bookmarkEnd w:id="3175"/>
      <w:r>
        <w:rPr>
          <w:rtl/>
        </w:rPr>
        <w:t xml:space="preserve"> </w:t>
      </w:r>
      <w:proofErr w:type="spellStart"/>
      <w:r>
        <w:rPr>
          <w:rtl/>
        </w:rPr>
        <w:t>ו“תורת</w:t>
      </w:r>
      <w:proofErr w:type="spellEnd"/>
      <w:r>
        <w:rPr>
          <w:rtl/>
        </w:rPr>
        <w:t xml:space="preserve"> חיים”</w:t>
      </w:r>
      <w:bookmarkStart w:id="3176" w:name="_fnr2283"/>
      <w:r>
        <w:rPr>
          <w:rStyle w:val="a5"/>
        </w:rPr>
        <w:footnoteReference w:id="2290" w:customMarkFollows="0"/>
      </w:r>
      <w:bookmarkEnd w:id="3176"/>
      <w:r>
        <w:rPr>
          <w:rtl/>
        </w:rPr>
        <w:t xml:space="preserve">, </w:t>
      </w:r>
      <w:proofErr w:type="spellStart"/>
      <w:r>
        <w:rPr>
          <w:rtl/>
        </w:rPr>
        <w:t>החפץ־חיים</w:t>
      </w:r>
      <w:proofErr w:type="spellEnd"/>
      <w:r>
        <w:rPr>
          <w:rtl/>
        </w:rPr>
        <w:t xml:space="preserve"> אכן קשר בין התורה המותקפת לבין אחות חולה, אבל את הדברים אמר למשתתפים אחרים, בימים הספורים או בשבוע שקדמו לפגישתו עם ר׳ </w:t>
      </w:r>
      <w:proofErr w:type="spellStart"/>
      <w:r>
        <w:rPr>
          <w:rtl/>
        </w:rPr>
        <w:t>מאיר־שמחה</w:t>
      </w:r>
      <w:proofErr w:type="spellEnd"/>
      <w:r>
        <w:rPr>
          <w:rtl/>
        </w:rPr>
        <w:t>. טענת “החפץ חיים (ישר)”</w:t>
      </w:r>
      <w:bookmarkStart w:id="3177" w:name="_fnr2284"/>
      <w:r>
        <w:rPr>
          <w:rStyle w:val="a5"/>
        </w:rPr>
        <w:footnoteReference w:id="2291" w:customMarkFollows="0"/>
      </w:r>
      <w:bookmarkEnd w:id="3177"/>
      <w:r>
        <w:rPr>
          <w:rtl/>
        </w:rPr>
        <w:t xml:space="preserve"> שמשל “האחות החולה” נאמר “בידי </w:t>
      </w:r>
      <w:proofErr w:type="spellStart"/>
      <w:r>
        <w:rPr>
          <w:rtl/>
        </w:rPr>
        <w:t>החפץ־חיים</w:t>
      </w:r>
      <w:proofErr w:type="spellEnd"/>
      <w:r>
        <w:rPr>
          <w:rtl/>
        </w:rPr>
        <w:t xml:space="preserve"> בפני הוועידה” מפתיעה, שכן ר׳ </w:t>
      </w:r>
      <w:proofErr w:type="spellStart"/>
      <w:r>
        <w:rPr>
          <w:rtl/>
        </w:rPr>
        <w:t>מאיר־שמחה</w:t>
      </w:r>
      <w:proofErr w:type="spellEnd"/>
      <w:r>
        <w:rPr>
          <w:rtl/>
        </w:rPr>
        <w:t xml:space="preserve"> לא היה מסכים להניח לו לנאום באספה. עם זאת, ייתכן </w:t>
      </w:r>
      <w:proofErr w:type="spellStart"/>
      <w:r>
        <w:rPr>
          <w:rtl/>
        </w:rPr>
        <w:t>שהחפץ־חיים</w:t>
      </w:r>
      <w:proofErr w:type="spellEnd"/>
      <w:r>
        <w:rPr>
          <w:rtl/>
        </w:rPr>
        <w:t xml:space="preserve"> עלה לבימה כשבמקרה לא היה האור שמח בוועידה. ואפשר גם שהצדיק הנודע נפגש עם רבנים יחידים שלא באופן רשמי ומסר להם את המשל.</w:t>
      </w:r>
      <w:bookmarkStart w:id="3178" w:name="_fnr2285"/>
      <w:r>
        <w:rPr>
          <w:rStyle w:val="a5"/>
        </w:rPr>
        <w:footnoteReference w:id="2292" w:customMarkFollows="0"/>
      </w:r>
      <w:bookmarkEnd w:id="3178"/>
    </w:p>
    <w:p w14:paraId="0D78C36D" w14:textId="77777777" w:rsidR="00AB3647" w:rsidRDefault="00000000" w:rsidP="007923E9">
      <w:pPr>
        <w:spacing w:after="120" w:line="276" w:lineRule="auto"/>
        <w:ind w:firstLine="283"/>
        <w:jc w:val="both"/>
      </w:pPr>
      <w:r>
        <w:rPr>
          <w:rtl/>
        </w:rPr>
        <w:lastRenderedPageBreak/>
        <w:t>“תורת חיים”</w:t>
      </w:r>
      <w:bookmarkStart w:id="3179" w:name="_fnr2286"/>
      <w:r>
        <w:rPr>
          <w:rStyle w:val="a5"/>
        </w:rPr>
        <w:footnoteReference w:id="2293" w:customMarkFollows="0"/>
      </w:r>
      <w:bookmarkEnd w:id="3179"/>
      <w:r>
        <w:rPr>
          <w:rtl/>
        </w:rPr>
        <w:t xml:space="preserve"> מספר </w:t>
      </w:r>
      <w:proofErr w:type="spellStart"/>
      <w:r>
        <w:rPr>
          <w:rtl/>
        </w:rPr>
        <w:t>שהחפץ־חיים</w:t>
      </w:r>
      <w:proofErr w:type="spellEnd"/>
      <w:r>
        <w:rPr>
          <w:rtl/>
        </w:rPr>
        <w:t xml:space="preserve">, יחד עם ר׳ משה </w:t>
      </w:r>
      <w:proofErr w:type="spellStart"/>
      <w:r>
        <w:rPr>
          <w:rtl/>
        </w:rPr>
        <w:t>לנדינסקי</w:t>
      </w:r>
      <w:proofErr w:type="spellEnd"/>
      <w:r>
        <w:rPr>
          <w:rtl/>
        </w:rPr>
        <w:t xml:space="preserve">, ניהל שיחה רצינית עם ר׳ </w:t>
      </w:r>
      <w:proofErr w:type="spellStart"/>
      <w:r>
        <w:rPr>
          <w:rtl/>
        </w:rPr>
        <w:t>מאיר־שמחה</w:t>
      </w:r>
      <w:proofErr w:type="spellEnd"/>
      <w:r>
        <w:rPr>
          <w:rtl/>
        </w:rPr>
        <w:t xml:space="preserve">, ובה העלה האור שמח את הנקודות שהוזכרו לעיל בדבר זכותו של הצדיק </w:t>
      </w:r>
      <w:proofErr w:type="spellStart"/>
      <w:r>
        <w:rPr>
          <w:rtl/>
        </w:rPr>
        <w:t>מראדין</w:t>
      </w:r>
      <w:proofErr w:type="spellEnd"/>
      <w:r>
        <w:rPr>
          <w:rtl/>
        </w:rPr>
        <w:t xml:space="preserve"> להביע את דעתו בוועידה. אבל שלא כדיווחיהם של ר׳ משה הורוביץ ור׳ משה־מאיר ישר, ר׳ </w:t>
      </w:r>
      <w:proofErr w:type="spellStart"/>
      <w:r>
        <w:rPr>
          <w:rtl/>
        </w:rPr>
        <w:t>מאיר־שמחה</w:t>
      </w:r>
      <w:proofErr w:type="spellEnd"/>
      <w:r>
        <w:rPr>
          <w:rtl/>
        </w:rPr>
        <w:t xml:space="preserve"> לא הציג אותן לאורחו באופן פוגעני, אלא בדרך מנומקת ומכובדת.</w:t>
      </w:r>
    </w:p>
    <w:p w14:paraId="6CEDD4E8" w14:textId="77777777" w:rsidR="00AB3647" w:rsidRDefault="00000000" w:rsidP="007923E9">
      <w:pPr>
        <w:spacing w:after="120" w:line="276" w:lineRule="auto"/>
        <w:ind w:firstLine="283"/>
        <w:jc w:val="both"/>
      </w:pPr>
      <w:r>
        <w:rPr>
          <w:rtl/>
        </w:rPr>
        <w:t xml:space="preserve">האור שמח פתח והבטיח </w:t>
      </w:r>
      <w:proofErr w:type="spellStart"/>
      <w:r>
        <w:rPr>
          <w:rtl/>
        </w:rPr>
        <w:t>לחפץ־חיים</w:t>
      </w:r>
      <w:proofErr w:type="spellEnd"/>
      <w:r>
        <w:rPr>
          <w:rtl/>
        </w:rPr>
        <w:t xml:space="preserve"> שאין לו לדאוג מן האישור הצפוי של ההחלטה, “כי התורה תישאר תורה, והרבנים יישארו רבנים”. אחר כך הסתמך על מכתבו של ר׳ </w:t>
      </w:r>
      <w:proofErr w:type="spellStart"/>
      <w:r>
        <w:rPr>
          <w:rtl/>
        </w:rPr>
        <w:t>דוד׳ל</w:t>
      </w:r>
      <w:proofErr w:type="spellEnd"/>
      <w:r>
        <w:rPr>
          <w:rtl/>
        </w:rPr>
        <w:t xml:space="preserve"> פרידמן המצדד בהחלטה</w:t>
      </w:r>
      <w:bookmarkStart w:id="3180" w:name="_fnr2287"/>
      <w:r>
        <w:rPr>
          <w:rStyle w:val="a5"/>
        </w:rPr>
        <w:footnoteReference w:id="2294" w:customMarkFollows="0"/>
      </w:r>
      <w:bookmarkEnd w:id="3180"/>
      <w:r>
        <w:rPr>
          <w:rtl/>
        </w:rPr>
        <w:t xml:space="preserve">, ואמר: “מאחר שזקן הגאונים סבור כך, אתה, שאינך משמש ברבנות ומתגורר בעיירה קטנה, שבה אינך יכול לדעת מה מתרחש בעולם הרחב ומה דרישותיו, אינך צריך להתנגד להעברת ההחלטה.” </w:t>
      </w:r>
      <w:proofErr w:type="spellStart"/>
      <w:r>
        <w:rPr>
          <w:rtl/>
        </w:rPr>
        <w:t>החפץ־חיים</w:t>
      </w:r>
      <w:proofErr w:type="spellEnd"/>
      <w:r>
        <w:rPr>
          <w:rtl/>
        </w:rPr>
        <w:t xml:space="preserve"> “לא התרשם מטענת בן שיחו ושאל את האור שמח בנחת אם גם הוא מנהל ישיבה” – </w:t>
      </w:r>
      <w:proofErr w:type="spellStart"/>
      <w:r>
        <w:rPr>
          <w:rtl/>
        </w:rPr>
        <w:t>בדווינסק</w:t>
      </w:r>
      <w:proofErr w:type="spellEnd"/>
      <w:r>
        <w:rPr>
          <w:rtl/>
        </w:rPr>
        <w:t xml:space="preserve"> לא הייתה ישיבה, וגם </w:t>
      </w:r>
      <w:proofErr w:type="spellStart"/>
      <w:r>
        <w:rPr>
          <w:rtl/>
        </w:rPr>
        <w:t>לר</w:t>
      </w:r>
      <w:proofErr w:type="spellEnd"/>
      <w:r>
        <w:rPr>
          <w:rtl/>
        </w:rPr>
        <w:t xml:space="preserve">׳ </w:t>
      </w:r>
      <w:proofErr w:type="spellStart"/>
      <w:r>
        <w:rPr>
          <w:rtl/>
        </w:rPr>
        <w:t>דוד׳ל</w:t>
      </w:r>
      <w:proofErr w:type="spellEnd"/>
      <w:r>
        <w:rPr>
          <w:rtl/>
        </w:rPr>
        <w:t xml:space="preserve"> לא הייתה ישיבה </w:t>
      </w:r>
      <w:proofErr w:type="spellStart"/>
      <w:r>
        <w:rPr>
          <w:rtl/>
        </w:rPr>
        <w:t>בקרלין</w:t>
      </w:r>
      <w:proofErr w:type="spellEnd"/>
      <w:r>
        <w:rPr>
          <w:rtl/>
        </w:rPr>
        <w:t xml:space="preserve"> – וטען </w:t>
      </w:r>
      <w:proofErr w:type="spellStart"/>
      <w:r>
        <w:rPr>
          <w:rtl/>
        </w:rPr>
        <w:t>ש“רק</w:t>
      </w:r>
      <w:proofErr w:type="spellEnd"/>
      <w:r>
        <w:rPr>
          <w:rtl/>
        </w:rPr>
        <w:t xml:space="preserve"> בקשר קרוב עם ישיבה אפשר להרגיש ולצפות את הסכנה הטמונה בהחלטה”.</w:t>
      </w:r>
      <w:bookmarkStart w:id="3181" w:name="_fnr2288"/>
      <w:r>
        <w:rPr>
          <w:rStyle w:val="a5"/>
        </w:rPr>
        <w:footnoteReference w:id="2295" w:customMarkFollows="0"/>
      </w:r>
      <w:bookmarkEnd w:id="3181"/>
    </w:p>
    <w:p w14:paraId="7B0DBDD7" w14:textId="77777777" w:rsidR="00AB3647" w:rsidRDefault="00000000" w:rsidP="007923E9">
      <w:pPr>
        <w:spacing w:after="120" w:line="276" w:lineRule="auto"/>
        <w:ind w:firstLine="283"/>
        <w:jc w:val="both"/>
      </w:pPr>
      <w:bookmarkStart w:id="3182" w:name="pr_b_1362"/>
      <w:bookmarkEnd w:id="3182"/>
      <w:r>
        <w:rPr>
          <w:rtl/>
        </w:rPr>
        <w:t>“תורת חיים”</w:t>
      </w:r>
      <w:bookmarkStart w:id="3183" w:name="_fnr2289"/>
      <w:r>
        <w:rPr>
          <w:rStyle w:val="a5"/>
        </w:rPr>
        <w:footnoteReference w:id="2296" w:customMarkFollows="0"/>
      </w:r>
      <w:bookmarkEnd w:id="3183"/>
      <w:r>
        <w:rPr>
          <w:rtl/>
        </w:rPr>
        <w:t xml:space="preserve"> מדווח גם על נאום שנשא ר׳ חיים בוועידה לאחר שהפצירו בו לומר את דעתו, ובו הסביר שהוא מתנגד להחלטה מטעמים עקרוניים בלבד. ר׳ חיים הכריז: “התורה עומדת בתוקף על כך שילמדוה בדרך שבה ניתנה בסיני ובצורה שבה נמסרה מדור לדור. אין היא זקוקה לרצונו הטוב של איש, משום שהקב״ה הבטיח שלא תישכח לעולם. לפיכך אין היא מתפשרת כלל [לנוכח טענות על מצבים מיוחדים].”</w:t>
      </w:r>
    </w:p>
    <w:p w14:paraId="5938E128"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 אין אישור לסיפורו של ר׳ </w:t>
      </w:r>
      <w:proofErr w:type="spellStart"/>
      <w:r>
        <w:rPr>
          <w:rtl/>
        </w:rPr>
        <w:t>יוסף־יצחק</w:t>
      </w:r>
      <w:proofErr w:type="spellEnd"/>
      <w:r>
        <w:rPr>
          <w:rtl/>
        </w:rPr>
        <w:t xml:space="preserve"> שניאורסון, שלפיו השתמש ר׳ חיים </w:t>
      </w:r>
      <w:proofErr w:type="spellStart"/>
      <w:r>
        <w:rPr>
          <w:rtl/>
        </w:rPr>
        <w:t>ב“כח</w:t>
      </w:r>
      <w:proofErr w:type="spellEnd"/>
      <w:r>
        <w:rPr>
          <w:rtl/>
        </w:rPr>
        <w:t xml:space="preserve"> התורה” שלו כדי לכפות על הרבנים האחרים לקבל את דעתו. לפי “תורת חיים”, הדבר הקרוב ביותר לכפייה מצד ר׳ חיים היה הסברו להצעת אליהו הנביא לעובדי האלילים, שהיו “פסחים על שתי </w:t>
      </w:r>
      <w:proofErr w:type="spellStart"/>
      <w:r>
        <w:rPr>
          <w:rtl/>
        </w:rPr>
        <w:t>הסעפים</w:t>
      </w:r>
      <w:proofErr w:type="spellEnd"/>
      <w:r>
        <w:rPr>
          <w:rtl/>
        </w:rPr>
        <w:t xml:space="preserve">”: “אם ה׳ </w:t>
      </w:r>
      <w:proofErr w:type="spellStart"/>
      <w:r>
        <w:rPr>
          <w:rtl/>
        </w:rPr>
        <w:t>האלהים</w:t>
      </w:r>
      <w:proofErr w:type="spellEnd"/>
      <w:r>
        <w:rPr>
          <w:rtl/>
        </w:rPr>
        <w:t xml:space="preserve"> לכו אחריו ואם הבעל לכו אחריו”.</w:t>
      </w:r>
      <w:bookmarkStart w:id="3184" w:name="_fnr2290"/>
      <w:r>
        <w:rPr>
          <w:rStyle w:val="a5"/>
        </w:rPr>
        <w:footnoteReference w:id="2297" w:customMarkFollows="0"/>
      </w:r>
      <w:bookmarkEnd w:id="3184"/>
      <w:r>
        <w:rPr>
          <w:rtl/>
        </w:rPr>
        <w:t xml:space="preserve"> ר׳ חיים שאל כיצד יכול הנביא להציע שיעבדו לבעל, והשיב שבעיקרי האמונה, כפירה אפילו בעיקר אחד מבטלת את ערך קבלתם של כל השאר. לכן, אם הייתה לשומעי אליהו נטייה קלה לבעל, עבודתם את ה׳ כבר הייתה חסרת תועלת, והוא הציע להם שילכו כבר אחרי הבעל עד הסוף.</w:t>
      </w:r>
    </w:p>
    <w:p w14:paraId="7622A5B4" w14:textId="77777777" w:rsidR="00AB3647" w:rsidRDefault="00000000" w:rsidP="007923E9">
      <w:pPr>
        <w:spacing w:after="120" w:line="276" w:lineRule="auto"/>
        <w:ind w:firstLine="283"/>
        <w:jc w:val="both"/>
      </w:pPr>
      <w:r>
        <w:rPr>
          <w:rtl/>
        </w:rPr>
        <w:t>עוד הוסיף ר׳ חיים ש־850 נביאי הבעל והאשרה</w:t>
      </w:r>
      <w:bookmarkStart w:id="3185" w:name="_fnr2291"/>
      <w:r>
        <w:rPr>
          <w:rStyle w:val="a5"/>
        </w:rPr>
        <w:footnoteReference w:id="2298" w:customMarkFollows="0"/>
      </w:r>
      <w:bookmarkEnd w:id="3185"/>
      <w:r>
        <w:rPr>
          <w:rtl/>
        </w:rPr>
        <w:t xml:space="preserve"> “בוודאי לא היו כמרים או כוהנים של כנסיית הבעל, אלא רבנים שהורו כהלכה בכל מצווה, פרט לכך ששילבו את עבודת הבעל בתורה”, ובכך בטלו כל המעשים הטובים שהטיפו להם ועודדו אותם. בדברים אלה רמז ר׳ </w:t>
      </w:r>
      <w:r>
        <w:rPr>
          <w:rtl/>
        </w:rPr>
        <w:lastRenderedPageBreak/>
        <w:t>חיים שהוא רואה בהחלטה מבחן למשתתפי הוועידה: האם הם רבנים אמיתיים או עובדי אלילים. רק “</w:t>
      </w:r>
      <w:proofErr w:type="spellStart"/>
      <w:r>
        <w:rPr>
          <w:rtl/>
        </w:rPr>
        <w:t>כח</w:t>
      </w:r>
      <w:proofErr w:type="spellEnd"/>
      <w:r>
        <w:rPr>
          <w:rtl/>
        </w:rPr>
        <w:t xml:space="preserve"> התורה” של ר׳ חיים ושמו הנודע “מקצה העולם ועד קצהו” יכלו לתת גיבוי לאמירה תקיפה כל כך, המטילה ספק בעצם מעמדם של הרבנים האחרים. לפיכך, גם אם ר׳ חיים לא השתמש במילים המדויקות שייחס לו הרבי </w:t>
      </w:r>
      <w:proofErr w:type="spellStart"/>
      <w:r>
        <w:rPr>
          <w:rtl/>
        </w:rPr>
        <w:t>מליובאוויטש</w:t>
      </w:r>
      <w:proofErr w:type="spellEnd"/>
      <w:r>
        <w:rPr>
          <w:rtl/>
        </w:rPr>
        <w:t>, תוכן נאומו ביטא בלי ספק אותה תעוזה. למעשה, אילו הסתפק ר׳ חיים בהכרזה המעורפלת על “</w:t>
      </w:r>
      <w:proofErr w:type="spellStart"/>
      <w:r>
        <w:rPr>
          <w:rtl/>
        </w:rPr>
        <w:t>כח</w:t>
      </w:r>
      <w:proofErr w:type="spellEnd"/>
      <w:r>
        <w:rPr>
          <w:rtl/>
        </w:rPr>
        <w:t xml:space="preserve"> התורה”, היה בכך </w:t>
      </w:r>
      <w:r>
        <w:rPr>
          <w:b/>
          <w:bCs/>
          <w:rtl/>
        </w:rPr>
        <w:t>פחות</w:t>
      </w:r>
      <w:r>
        <w:rPr>
          <w:rtl/>
        </w:rPr>
        <w:t xml:space="preserve"> עלבון לרבנים האחרים משהיה בהשוואתם לעובדי הבעל!</w:t>
      </w:r>
    </w:p>
    <w:p w14:paraId="2A3BD2FE" w14:textId="77777777" w:rsidR="00AB3647" w:rsidRDefault="00000000" w:rsidP="007923E9">
      <w:pPr>
        <w:spacing w:after="120" w:line="276" w:lineRule="auto"/>
        <w:ind w:firstLine="283"/>
        <w:jc w:val="both"/>
      </w:pPr>
      <w:r>
        <w:rPr>
          <w:rtl/>
        </w:rPr>
        <w:t xml:space="preserve">למרות חילוקי הדעות ביניהם, רחש ר׳ חיים </w:t>
      </w:r>
      <w:proofErr w:type="spellStart"/>
      <w:r>
        <w:rPr>
          <w:rtl/>
        </w:rPr>
        <w:t>לר</w:t>
      </w:r>
      <w:proofErr w:type="spellEnd"/>
      <w:r>
        <w:rPr>
          <w:rtl/>
        </w:rPr>
        <w:t xml:space="preserve">׳ </w:t>
      </w:r>
      <w:proofErr w:type="spellStart"/>
      <w:r>
        <w:rPr>
          <w:rtl/>
        </w:rPr>
        <w:t>מאיר־שמחה</w:t>
      </w:r>
      <w:proofErr w:type="spellEnd"/>
      <w:r>
        <w:rPr>
          <w:rtl/>
        </w:rPr>
        <w:t xml:space="preserve"> הערכה עליונה. ר׳ מיכל </w:t>
      </w:r>
      <w:proofErr w:type="spellStart"/>
      <w:r>
        <w:rPr>
          <w:rtl/>
        </w:rPr>
        <w:t>שורקין</w:t>
      </w:r>
      <w:proofErr w:type="spellEnd"/>
      <w:r>
        <w:rPr>
          <w:rtl/>
        </w:rPr>
        <w:t xml:space="preserve"> סיפר</w:t>
      </w:r>
      <w:bookmarkStart w:id="3186" w:name="_fnr2292"/>
      <w:r>
        <w:rPr>
          <w:rStyle w:val="a5"/>
        </w:rPr>
        <w:footnoteReference w:id="2299" w:customMarkFollows="0"/>
      </w:r>
      <w:bookmarkEnd w:id="3186"/>
      <w:r>
        <w:rPr>
          <w:rtl/>
        </w:rPr>
        <w:t xml:space="preserve"> שר׳ מיכל </w:t>
      </w:r>
      <w:proofErr w:type="spellStart"/>
      <w:r>
        <w:rPr>
          <w:rtl/>
        </w:rPr>
        <w:t>פיינשטיין</w:t>
      </w:r>
      <w:proofErr w:type="spellEnd"/>
      <w:r>
        <w:rPr>
          <w:rtl/>
        </w:rPr>
        <w:t xml:space="preserve"> אמר לו כי ר׳ חיים כתב את ספרו כשר׳ </w:t>
      </w:r>
      <w:proofErr w:type="spellStart"/>
      <w:r>
        <w:rPr>
          <w:rtl/>
        </w:rPr>
        <w:t>מאיר־שמחה</w:t>
      </w:r>
      <w:proofErr w:type="spellEnd"/>
      <w:r>
        <w:rPr>
          <w:rtl/>
        </w:rPr>
        <w:t xml:space="preserve"> עומד לנגד עיניו. כלומר, הוא העלה על הכתב את הראיות המכריעות שלדעתו יגברו על השגות האור שמח על שיטותיו בעניינים שדן בהם. הדבר תואם את המסופר אצל </w:t>
      </w:r>
      <w:proofErr w:type="spellStart"/>
      <w:r>
        <w:rPr>
          <w:rtl/>
        </w:rPr>
        <w:t>רבינר</w:t>
      </w:r>
      <w:proofErr w:type="spellEnd"/>
      <w:r>
        <w:rPr>
          <w:rtl/>
        </w:rPr>
        <w:t>, “רבינו מאיר שמחה הכהן”</w:t>
      </w:r>
      <w:bookmarkStart w:id="3187" w:name="_fnr2293"/>
      <w:r>
        <w:rPr>
          <w:rStyle w:val="a5"/>
        </w:rPr>
        <w:footnoteReference w:id="2300" w:customMarkFollows="0"/>
      </w:r>
      <w:bookmarkEnd w:id="3187"/>
      <w:r>
        <w:rPr>
          <w:rtl/>
        </w:rPr>
        <w:t>, שכאשר הכין ר׳ חיים את כתב ידו לדפוס</w:t>
      </w:r>
      <w:bookmarkStart w:id="3188" w:name="_fnr2294"/>
      <w:r>
        <w:rPr>
          <w:rStyle w:val="a5"/>
        </w:rPr>
        <w:footnoteReference w:id="2301" w:customMarkFollows="0"/>
      </w:r>
      <w:bookmarkEnd w:id="3188"/>
      <w:r>
        <w:rPr>
          <w:rtl/>
        </w:rPr>
        <w:t xml:space="preserve">, אמר “שישלח [אותו] </w:t>
      </w:r>
      <w:proofErr w:type="spellStart"/>
      <w:r>
        <w:rPr>
          <w:rtl/>
        </w:rPr>
        <w:t>לר</w:t>
      </w:r>
      <w:proofErr w:type="spellEnd"/>
      <w:r>
        <w:rPr>
          <w:rtl/>
        </w:rPr>
        <w:t xml:space="preserve">׳ </w:t>
      </w:r>
      <w:proofErr w:type="spellStart"/>
      <w:r>
        <w:rPr>
          <w:rtl/>
        </w:rPr>
        <w:t>מאיר־שמחה</w:t>
      </w:r>
      <w:proofErr w:type="spellEnd"/>
      <w:r>
        <w:rPr>
          <w:rtl/>
        </w:rPr>
        <w:t xml:space="preserve"> – והחידושים שיאשר יידפסו, ואת האחרים ישמיטו”.</w:t>
      </w:r>
    </w:p>
    <w:p w14:paraId="541A23A1" w14:textId="77777777" w:rsidR="00AB3647" w:rsidRDefault="00000000" w:rsidP="007923E9">
      <w:pPr>
        <w:spacing w:after="120" w:line="276" w:lineRule="auto"/>
        <w:ind w:firstLine="283"/>
        <w:jc w:val="both"/>
      </w:pPr>
      <w:r>
        <w:rPr>
          <w:rtl/>
        </w:rPr>
        <w:t xml:space="preserve">ר׳ חיים </w:t>
      </w:r>
      <w:proofErr w:type="spellStart"/>
      <w:r>
        <w:rPr>
          <w:rtl/>
        </w:rPr>
        <w:t>סרנא</w:t>
      </w:r>
      <w:bookmarkStart w:id="3189" w:name="_fnr2295"/>
      <w:proofErr w:type="spellEnd"/>
      <w:r>
        <w:rPr>
          <w:rStyle w:val="a5"/>
        </w:rPr>
        <w:footnoteReference w:id="2302" w:customMarkFollows="0"/>
      </w:r>
      <w:bookmarkEnd w:id="3189"/>
      <w:r>
        <w:rPr>
          <w:rtl/>
        </w:rPr>
        <w:t xml:space="preserve"> אישר לי שר׳ חיים ייחס חשיבות לכך שכתביו ימצאו חן בעיני קוראיהם. הוא סיפר את ששמע מר׳ </w:t>
      </w:r>
      <w:proofErr w:type="spellStart"/>
      <w:r>
        <w:rPr>
          <w:rtl/>
        </w:rPr>
        <w:t>חיים־יצחק</w:t>
      </w:r>
      <w:proofErr w:type="spellEnd"/>
      <w:r>
        <w:rPr>
          <w:rtl/>
        </w:rPr>
        <w:t xml:space="preserve"> קורב [תרל״ב–תשי״ז], שחי בעשור האחרון לחייו בישראל. בגיל </w:t>
      </w:r>
      <w:proofErr w:type="spellStart"/>
      <w:r>
        <w:rPr>
          <w:rtl/>
        </w:rPr>
        <w:t>שבע־עשרה</w:t>
      </w:r>
      <w:proofErr w:type="spellEnd"/>
      <w:r>
        <w:rPr>
          <w:rtl/>
        </w:rPr>
        <w:t xml:space="preserve"> היה ר׳ </w:t>
      </w:r>
      <w:proofErr w:type="spellStart"/>
      <w:r>
        <w:rPr>
          <w:rtl/>
        </w:rPr>
        <w:t>חיים־יצחק</w:t>
      </w:r>
      <w:proofErr w:type="spellEnd"/>
      <w:r>
        <w:rPr>
          <w:rtl/>
        </w:rPr>
        <w:t xml:space="preserve"> שמשו של ר׳ חיים, כששהה בחופשה בעיר הנופש </w:t>
      </w:r>
      <w:proofErr w:type="spellStart"/>
      <w:r>
        <w:rPr>
          <w:rtl/>
        </w:rPr>
        <w:t>ליבאו</w:t>
      </w:r>
      <w:proofErr w:type="spellEnd"/>
      <w:r>
        <w:rPr>
          <w:rtl/>
        </w:rPr>
        <w:t xml:space="preserve"> שעל חוף לטביה, כ־80 קילומטר </w:t>
      </w:r>
      <w:proofErr w:type="spellStart"/>
      <w:r>
        <w:rPr>
          <w:rtl/>
        </w:rPr>
        <w:t>מפילטן</w:t>
      </w:r>
      <w:proofErr w:type="spellEnd"/>
      <w:r>
        <w:rPr>
          <w:rtl/>
        </w:rPr>
        <w:t>, עיר הולדתו של הרב קורב. פעם נתן לו ר׳ חיים כמה דפים מכתביו, וביקש שיעבור עליהם ויאמר לו מה דעתו. הנער השתומם ואמר: “הרב צריך לשאול אותי?!” ור׳ חיים השיב: “אני רוצה לראות מה יחשוב העולם על חידושיי.”</w:t>
      </w:r>
    </w:p>
    <w:p w14:paraId="09D5AAAA" w14:textId="77777777" w:rsidR="00AB3647" w:rsidRDefault="00000000" w:rsidP="007923E9">
      <w:pPr>
        <w:spacing w:after="120" w:line="276" w:lineRule="auto"/>
        <w:ind w:firstLine="283"/>
        <w:jc w:val="both"/>
      </w:pPr>
      <w:r>
        <w:rPr>
          <w:rtl/>
        </w:rPr>
        <w:t xml:space="preserve">ההערכה הרבה שרחש אביו של ר׳ חיים </w:t>
      </w:r>
      <w:proofErr w:type="spellStart"/>
      <w:r>
        <w:rPr>
          <w:rtl/>
        </w:rPr>
        <w:t>לר</w:t>
      </w:r>
      <w:proofErr w:type="spellEnd"/>
      <w:r>
        <w:rPr>
          <w:rtl/>
        </w:rPr>
        <w:t xml:space="preserve">׳ </w:t>
      </w:r>
      <w:proofErr w:type="spellStart"/>
      <w:r>
        <w:rPr>
          <w:rtl/>
        </w:rPr>
        <w:t>מאיר־שמחה</w:t>
      </w:r>
      <w:proofErr w:type="spellEnd"/>
      <w:r>
        <w:rPr>
          <w:rtl/>
        </w:rPr>
        <w:t xml:space="preserve"> כהן משתקפת במסופר </w:t>
      </w:r>
      <w:proofErr w:type="spellStart"/>
      <w:r>
        <w:rPr>
          <w:rtl/>
        </w:rPr>
        <w:t>ב“תורת</w:t>
      </w:r>
      <w:proofErr w:type="spellEnd"/>
      <w:r>
        <w:rPr>
          <w:rtl/>
        </w:rPr>
        <w:t xml:space="preserve"> חיים”</w:t>
      </w:r>
      <w:bookmarkStart w:id="3190" w:name="_fnr2296"/>
      <w:r>
        <w:rPr>
          <w:rStyle w:val="a5"/>
        </w:rPr>
        <w:footnoteReference w:id="2303" w:customMarkFollows="0"/>
      </w:r>
      <w:bookmarkEnd w:id="3190"/>
      <w:r>
        <w:rPr>
          <w:rtl/>
        </w:rPr>
        <w:t xml:space="preserve">: פעם בא ר׳ </w:t>
      </w:r>
      <w:proofErr w:type="spellStart"/>
      <w:r>
        <w:rPr>
          <w:rtl/>
        </w:rPr>
        <w:t>מאיר־שמחה</w:t>
      </w:r>
      <w:proofErr w:type="spellEnd"/>
      <w:r>
        <w:rPr>
          <w:rtl/>
        </w:rPr>
        <w:t xml:space="preserve"> לבקר את ר׳ יוסף־דב, פגש את ר׳ חיים בחדר המבוא ופתח עמו בשיחה תורנית. ר׳ יוסף־דב הקשיב לשיחתם ואמר: “שלי מסתדר עם כולם!” כלומר: “בני זה יודע לעמוד על שלו מול כל אחד, אפילו מול ענק בתורה כאורחי.” גם ר׳ </w:t>
      </w:r>
      <w:proofErr w:type="spellStart"/>
      <w:r>
        <w:rPr>
          <w:rtl/>
        </w:rPr>
        <w:t>מאיר־שמחה</w:t>
      </w:r>
      <w:proofErr w:type="spellEnd"/>
      <w:r>
        <w:rPr>
          <w:rtl/>
        </w:rPr>
        <w:t xml:space="preserve"> רחש </w:t>
      </w:r>
      <w:proofErr w:type="spellStart"/>
      <w:r>
        <w:rPr>
          <w:rtl/>
        </w:rPr>
        <w:t>לר</w:t>
      </w:r>
      <w:proofErr w:type="spellEnd"/>
      <w:r>
        <w:rPr>
          <w:rtl/>
        </w:rPr>
        <w:t xml:space="preserve">׳ חיים הערכה רבה. לפי </w:t>
      </w:r>
      <w:proofErr w:type="spellStart"/>
      <w:r>
        <w:rPr>
          <w:rtl/>
        </w:rPr>
        <w:t>רבינר</w:t>
      </w:r>
      <w:proofErr w:type="spellEnd"/>
      <w:r>
        <w:rPr>
          <w:rtl/>
        </w:rPr>
        <w:t>, “רבינו מאיר שמחה הכהן”</w:t>
      </w:r>
      <w:bookmarkStart w:id="3191" w:name="_fnr2297"/>
      <w:r>
        <w:rPr>
          <w:rStyle w:val="a5"/>
        </w:rPr>
        <w:footnoteReference w:id="2304" w:customMarkFollows="0"/>
      </w:r>
      <w:bookmarkEnd w:id="3191"/>
      <w:r>
        <w:rPr>
          <w:rtl/>
        </w:rPr>
        <w:t xml:space="preserve">, אמר ר׳ </w:t>
      </w:r>
      <w:proofErr w:type="spellStart"/>
      <w:r>
        <w:rPr>
          <w:rtl/>
        </w:rPr>
        <w:t>מאיר־שמחה</w:t>
      </w:r>
      <w:proofErr w:type="spellEnd"/>
      <w:r>
        <w:rPr>
          <w:rtl/>
        </w:rPr>
        <w:t xml:space="preserve"> לאחד ממקורביו: “דייני שהוצאתי את ספרי ‘אור שמח׳ רק בשביל ר׳ חיים.”</w:t>
      </w:r>
    </w:p>
    <w:p w14:paraId="6500E0B2" w14:textId="77777777" w:rsidR="00AB3647" w:rsidRDefault="00000000" w:rsidP="007923E9">
      <w:pPr>
        <w:spacing w:after="120" w:line="276" w:lineRule="auto"/>
        <w:ind w:firstLine="283"/>
        <w:jc w:val="both"/>
      </w:pPr>
      <w:r>
        <w:rPr>
          <w:rtl/>
        </w:rPr>
        <w:t xml:space="preserve">אבל ביחס לדברי </w:t>
      </w:r>
      <w:proofErr w:type="spellStart"/>
      <w:r>
        <w:rPr>
          <w:rtl/>
        </w:rPr>
        <w:t>רבינר</w:t>
      </w:r>
      <w:proofErr w:type="spellEnd"/>
      <w:r>
        <w:rPr>
          <w:rtl/>
        </w:rPr>
        <w:t xml:space="preserve">, “רבינו מאיר שמחה הכהן” ור׳ מיכל </w:t>
      </w:r>
      <w:proofErr w:type="spellStart"/>
      <w:r>
        <w:rPr>
          <w:rtl/>
        </w:rPr>
        <w:t>פיינשטיין</w:t>
      </w:r>
      <w:proofErr w:type="spellEnd"/>
      <w:r>
        <w:rPr>
          <w:rtl/>
        </w:rPr>
        <w:t xml:space="preserve"> שצוטטו לעיל, שלפיהם חש ר׳ חיים שהוא זקוק לאישור ר׳ </w:t>
      </w:r>
      <w:proofErr w:type="spellStart"/>
      <w:r>
        <w:rPr>
          <w:rtl/>
        </w:rPr>
        <w:t>מאיר־שמחה</w:t>
      </w:r>
      <w:proofErr w:type="spellEnd"/>
      <w:r>
        <w:rPr>
          <w:rtl/>
        </w:rPr>
        <w:t xml:space="preserve"> לחידושיו, מצאתי ברשימותיו של ר׳ משה גרוסמן</w:t>
      </w:r>
      <w:bookmarkStart w:id="3192" w:name="_fnr2298"/>
      <w:r>
        <w:rPr>
          <w:rStyle w:val="a5"/>
        </w:rPr>
        <w:footnoteReference w:id="2305" w:customMarkFollows="0"/>
      </w:r>
      <w:bookmarkEnd w:id="3192"/>
      <w:r>
        <w:rPr>
          <w:rtl/>
        </w:rPr>
        <w:t xml:space="preserve"> שר׳ </w:t>
      </w:r>
      <w:proofErr w:type="spellStart"/>
      <w:r>
        <w:rPr>
          <w:rtl/>
        </w:rPr>
        <w:t>יעקב־יצחק</w:t>
      </w:r>
      <w:proofErr w:type="spellEnd"/>
      <w:r>
        <w:rPr>
          <w:rtl/>
        </w:rPr>
        <w:t xml:space="preserve"> </w:t>
      </w:r>
      <w:proofErr w:type="spellStart"/>
      <w:r>
        <w:rPr>
          <w:rtl/>
        </w:rPr>
        <w:t>רודרמן</w:t>
      </w:r>
      <w:proofErr w:type="spellEnd"/>
      <w:r>
        <w:rPr>
          <w:rtl/>
        </w:rPr>
        <w:t xml:space="preserve"> ציטט “מקורב </w:t>
      </w:r>
      <w:proofErr w:type="spellStart"/>
      <w:r>
        <w:rPr>
          <w:rtl/>
        </w:rPr>
        <w:t>לר</w:t>
      </w:r>
      <w:proofErr w:type="spellEnd"/>
      <w:r>
        <w:rPr>
          <w:rtl/>
        </w:rPr>
        <w:t xml:space="preserve">׳ חיים”. לדבריו, לאחר שראה ר׳ חיים את הכרך הראשון של “אור שמח” [שנדפס </w:t>
      </w:r>
      <w:proofErr w:type="spellStart"/>
      <w:r>
        <w:rPr>
          <w:rtl/>
        </w:rPr>
        <w:t>בתרס״ב</w:t>
      </w:r>
      <w:proofErr w:type="spellEnd"/>
      <w:r>
        <w:rPr>
          <w:rtl/>
        </w:rPr>
        <w:t xml:space="preserve">], חזר בו מכוונתו לשאול את מחברו </w:t>
      </w:r>
      <w:r>
        <w:rPr>
          <w:rtl/>
        </w:rPr>
        <w:lastRenderedPageBreak/>
        <w:t>אילו חידושים להוציא לאור. ברור שר׳ חיים ראה בספרו של האור שמח קטעים שלדעתו לא היו צריכים להידפס.</w:t>
      </w:r>
    </w:p>
    <w:p w14:paraId="6DB8FB8E" w14:textId="77777777" w:rsidR="00AB3647" w:rsidRDefault="00000000" w:rsidP="007923E9">
      <w:pPr>
        <w:spacing w:after="120" w:line="276" w:lineRule="auto"/>
        <w:ind w:firstLine="283"/>
        <w:jc w:val="both"/>
      </w:pPr>
      <w:proofErr w:type="spellStart"/>
      <w:r>
        <w:rPr>
          <w:rtl/>
        </w:rPr>
        <w:t>רבינר</w:t>
      </w:r>
      <w:proofErr w:type="spellEnd"/>
      <w:r>
        <w:rPr>
          <w:rtl/>
        </w:rPr>
        <w:t>, “רבינו מאיר שמחה הכהן”</w:t>
      </w:r>
      <w:bookmarkStart w:id="3193" w:name="_fnr2299"/>
      <w:r>
        <w:rPr>
          <w:rStyle w:val="a5"/>
        </w:rPr>
        <w:footnoteReference w:id="2306" w:customMarkFollows="0"/>
      </w:r>
      <w:bookmarkEnd w:id="3193"/>
      <w:r>
        <w:rPr>
          <w:rtl/>
        </w:rPr>
        <w:t xml:space="preserve"> מספר גם שכאשר תכנן ר׳ חיים את נסיעתו לוועידת הרבנים, שמונה שנים לאחר פרסום הכרך הראשון של “אור שמח”, עבר על ספרו של ר׳ </w:t>
      </w:r>
      <w:proofErr w:type="spellStart"/>
      <w:r>
        <w:rPr>
          <w:rtl/>
        </w:rPr>
        <w:t>מאיר־שמחה</w:t>
      </w:r>
      <w:proofErr w:type="spellEnd"/>
      <w:r>
        <w:rPr>
          <w:rtl/>
        </w:rPr>
        <w:t xml:space="preserve"> “כהכנה לפגישתו עם [המחבר]”. לפי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ייתכן שר׳ חיים בחן את הקטעים שבספר שעליהם רצה לחלוק כשיפגוש את האור שמח. השווה גם שם, שר׳ חיים כתב </w:t>
      </w:r>
      <w:proofErr w:type="spellStart"/>
      <w:r>
        <w:rPr>
          <w:rtl/>
        </w:rPr>
        <w:t>לר</w:t>
      </w:r>
      <w:proofErr w:type="spellEnd"/>
      <w:r>
        <w:rPr>
          <w:rtl/>
        </w:rPr>
        <w:t xml:space="preserve">׳ </w:t>
      </w:r>
      <w:proofErr w:type="spellStart"/>
      <w:r>
        <w:rPr>
          <w:rtl/>
        </w:rPr>
        <w:t>מאיר־שמחה</w:t>
      </w:r>
      <w:proofErr w:type="spellEnd"/>
      <w:r>
        <w:rPr>
          <w:rtl/>
        </w:rPr>
        <w:t xml:space="preserve"> וביקש שיתפלל בעדו בימים הנוראים.</w:t>
      </w:r>
      <w:bookmarkStart w:id="3194" w:name="_fnr2300"/>
      <w:r>
        <w:rPr>
          <w:rStyle w:val="a5"/>
        </w:rPr>
        <w:footnoteReference w:id="2307" w:customMarkFollows="0"/>
      </w:r>
      <w:bookmarkEnd w:id="3194"/>
      <w:r>
        <w:rPr>
          <w:rtl/>
        </w:rPr>
        <w:t xml:space="preserve"> בדומה לכך ביקש ר׳ יוסף־דב אותה בקשה מר׳ </w:t>
      </w:r>
      <w:proofErr w:type="spellStart"/>
      <w:r>
        <w:rPr>
          <w:rtl/>
        </w:rPr>
        <w:t>מאיר־שמחה</w:t>
      </w:r>
      <w:proofErr w:type="spellEnd"/>
      <w:r>
        <w:rPr>
          <w:rtl/>
        </w:rPr>
        <w:t>, שהיה צעיר ממנו בעשרים ושלוש שנה!</w:t>
      </w:r>
      <w:bookmarkStart w:id="3195" w:name="_fnr2301"/>
      <w:r>
        <w:rPr>
          <w:rStyle w:val="a5"/>
        </w:rPr>
        <w:footnoteReference w:id="2308" w:customMarkFollows="0"/>
      </w:r>
      <w:bookmarkEnd w:id="3195"/>
    </w:p>
    <w:p w14:paraId="6C977031" w14:textId="77777777" w:rsidR="00AB3647" w:rsidRDefault="00000000" w:rsidP="007923E9">
      <w:pPr>
        <w:spacing w:after="120" w:line="276" w:lineRule="auto"/>
        <w:ind w:firstLine="283"/>
        <w:jc w:val="both"/>
      </w:pPr>
      <w:r>
        <w:rPr>
          <w:rtl/>
        </w:rPr>
        <w:t xml:space="preserve">עוד מספר </w:t>
      </w:r>
      <w:proofErr w:type="spellStart"/>
      <w:r>
        <w:rPr>
          <w:rtl/>
        </w:rPr>
        <w:t>רבינר</w:t>
      </w:r>
      <w:proofErr w:type="spellEnd"/>
      <w:r>
        <w:rPr>
          <w:rtl/>
        </w:rPr>
        <w:t>, “רבינו מאיר שמחה הכהן”</w:t>
      </w:r>
      <w:bookmarkStart w:id="3196" w:name="_fnr2302"/>
      <w:r>
        <w:rPr>
          <w:rStyle w:val="a5"/>
        </w:rPr>
        <w:footnoteReference w:id="2309" w:customMarkFollows="0"/>
      </w:r>
      <w:bookmarkEnd w:id="3196"/>
      <w:r>
        <w:rPr>
          <w:rtl/>
        </w:rPr>
        <w:t xml:space="preserve"> שבתום הוועידה ביקר ר׳ חיים אצל ר׳ </w:t>
      </w:r>
      <w:proofErr w:type="spellStart"/>
      <w:r>
        <w:rPr>
          <w:rtl/>
        </w:rPr>
        <w:t>מאיר־שמחה</w:t>
      </w:r>
      <w:proofErr w:type="spellEnd"/>
      <w:r>
        <w:rPr>
          <w:rtl/>
        </w:rPr>
        <w:t xml:space="preserve"> ביקור נימוסין, והסביר למלווהו: “רק משום שהיה יריבי בוועידה אין זו סיבה להימנע </w:t>
      </w:r>
      <w:proofErr w:type="spellStart"/>
      <w:r>
        <w:rPr>
          <w:rtl/>
        </w:rPr>
        <w:t>מלכבדו</w:t>
      </w:r>
      <w:proofErr w:type="spellEnd"/>
      <w:r>
        <w:rPr>
          <w:rtl/>
        </w:rPr>
        <w:t xml:space="preserve"> בביקורי, כי איני יכול להכחיש שהוא גדול הדור.”</w:t>
      </w:r>
      <w:bookmarkStart w:id="3197" w:name="_fnr2303"/>
      <w:r>
        <w:rPr>
          <w:rStyle w:val="a5"/>
        </w:rPr>
        <w:footnoteReference w:id="2310" w:customMarkFollows="0"/>
      </w:r>
      <w:bookmarkEnd w:id="3197"/>
      <w:r>
        <w:rPr>
          <w:rtl/>
        </w:rPr>
        <w:t xml:space="preserve"> יתר על כן, בשובו </w:t>
      </w:r>
      <w:proofErr w:type="spellStart"/>
      <w:r>
        <w:rPr>
          <w:rtl/>
        </w:rPr>
        <w:t>לבריסק</w:t>
      </w:r>
      <w:proofErr w:type="spellEnd"/>
      <w:r>
        <w:rPr>
          <w:rtl/>
        </w:rPr>
        <w:t xml:space="preserve"> אמר ר׳ חיים לאנשיו: “ר׳ </w:t>
      </w:r>
      <w:proofErr w:type="spellStart"/>
      <w:r>
        <w:rPr>
          <w:rtl/>
        </w:rPr>
        <w:t>מאיר־שמחה</w:t>
      </w:r>
      <w:proofErr w:type="spellEnd"/>
      <w:r>
        <w:rPr>
          <w:rtl/>
        </w:rPr>
        <w:t xml:space="preserve"> גדול עד מאוד.” מסופר שם</w:t>
      </w:r>
      <w:bookmarkStart w:id="3198" w:name="_fnr2304"/>
      <w:r>
        <w:rPr>
          <w:rStyle w:val="a5"/>
        </w:rPr>
        <w:footnoteReference w:id="2311" w:customMarkFollows="0"/>
      </w:r>
      <w:bookmarkEnd w:id="3198"/>
      <w:r>
        <w:rPr>
          <w:rtl/>
        </w:rPr>
        <w:t xml:space="preserve"> שר׳ חיים – ובעקבותיו ר׳ </w:t>
      </w:r>
      <w:proofErr w:type="spellStart"/>
      <w:r>
        <w:rPr>
          <w:rtl/>
        </w:rPr>
        <w:t>ברוך־בער</w:t>
      </w:r>
      <w:proofErr w:type="spellEnd"/>
      <w:r>
        <w:rPr>
          <w:rtl/>
        </w:rPr>
        <w:t xml:space="preserve"> – כינה את ר׳ </w:t>
      </w:r>
      <w:proofErr w:type="spellStart"/>
      <w:r>
        <w:rPr>
          <w:rtl/>
        </w:rPr>
        <w:t>מאיר־שמחה</w:t>
      </w:r>
      <w:proofErr w:type="spellEnd"/>
      <w:r>
        <w:rPr>
          <w:rtl/>
        </w:rPr>
        <w:t xml:space="preserve"> “שר התורה”.</w:t>
      </w:r>
    </w:p>
    <w:p w14:paraId="08B80084" w14:textId="77777777" w:rsidR="00AB3647" w:rsidRDefault="00000000" w:rsidP="007923E9">
      <w:pPr>
        <w:pStyle w:val="4"/>
        <w:spacing w:line="276" w:lineRule="auto"/>
      </w:pPr>
      <w:r>
        <w:t>· הפסקה השישית ·</w:t>
      </w:r>
    </w:p>
    <w:p w14:paraId="15F86D0C" w14:textId="77777777" w:rsidR="00AB3647" w:rsidRDefault="00000000" w:rsidP="007923E9">
      <w:pPr>
        <w:pStyle w:val="5"/>
        <w:spacing w:line="276" w:lineRule="auto"/>
      </w:pPr>
      <w:r>
        <w:t xml:space="preserve">ר׳ </w:t>
      </w:r>
      <w:proofErr w:type="spellStart"/>
      <w:r>
        <w:t>יוסף־יצחק</w:t>
      </w:r>
      <w:proofErr w:type="spellEnd"/>
      <w:r>
        <w:t xml:space="preserve"> מגלה על הסכם עם ר׳ חיים – הוא טוען שההסכם מופר – משלו של ר׳ חיים על ציד עכברים – יחסי משפחתו המסורתיים עם החסידים – ר׳ </w:t>
      </w:r>
      <w:proofErr w:type="spellStart"/>
      <w:r>
        <w:t xml:space="preserve">יוסף־דב</w:t>
      </w:r>
      <w:proofErr w:type="spellEnd"/>
      <w:r>
        <w:t xml:space="preserve"> משבח רבנים בלשון משל</w:t>
      </w:r>
    </w:p>
    <w:p w14:paraId="767C1576" w14:textId="77777777" w:rsidR="00AB3647" w:rsidRDefault="00000000" w:rsidP="007923E9">
      <w:pPr>
        <w:spacing w:after="120" w:line="276" w:lineRule="auto"/>
        <w:ind w:firstLine="283"/>
        <w:jc w:val="both"/>
      </w:pPr>
      <w:r>
        <w:rPr>
          <w:rtl/>
        </w:rPr>
        <w:t xml:space="preserve">נראה שבשעה שפגש ר׳ </w:t>
      </w:r>
      <w:proofErr w:type="spellStart"/>
      <w:r>
        <w:rPr>
          <w:rtl/>
        </w:rPr>
        <w:t>יוסף־יצחק</w:t>
      </w:r>
      <w:proofErr w:type="spellEnd"/>
      <w:r>
        <w:rPr>
          <w:rtl/>
        </w:rPr>
        <w:t xml:space="preserve"> שניאורסון את ר׳ </w:t>
      </w:r>
      <w:proofErr w:type="spellStart"/>
      <w:r>
        <w:rPr>
          <w:rtl/>
        </w:rPr>
        <w:t xml:space="preserve">יוסף־דב</w:t>
      </w:r>
      <w:proofErr w:type="spellEnd"/>
      <w:r>
        <w:rPr>
          <w:rtl/>
        </w:rPr>
        <w:t>, היה בטוח שהלה כבר קרא בגיליון “הקריאה והקדושה” של ערב ראש חודש טבת את הסיפור שסיפר בחגיגת י״ט בכסלו</w:t>
      </w:r>
      <w:bookmarkStart w:id="3199" w:name="_fnr2305"/>
      <w:r>
        <w:rPr>
          <w:rStyle w:val="a5"/>
        </w:rPr>
        <w:footnoteReference w:id="2312" w:customMarkFollows="0"/>
      </w:r>
      <w:bookmarkEnd w:id="3199"/>
      <w:r>
        <w:rPr>
          <w:rtl/>
        </w:rPr>
        <w:t xml:space="preserve">. הסיפור עסק בהסכם שנעשה, לדבריו, </w:t>
      </w:r>
      <w:proofErr w:type="spellStart"/>
      <w:r>
        <w:rPr>
          <w:rtl/>
        </w:rPr>
        <w:t>בתרנ״ז</w:t>
      </w:r>
      <w:proofErr w:type="spellEnd"/>
      <w:r>
        <w:rPr>
          <w:rtl/>
        </w:rPr>
        <w:t xml:space="preserve">, “במקום מסוים” שלא נתפרש, בין ר׳ חיים </w:t>
      </w:r>
      <w:proofErr w:type="spellStart"/>
      <w:r>
        <w:rPr>
          <w:rtl/>
        </w:rPr>
        <w:t>לר</w:t>
      </w:r>
      <w:proofErr w:type="spellEnd"/>
      <w:r>
        <w:rPr>
          <w:rtl/>
        </w:rPr>
        <w:t xml:space="preserve">׳ </w:t>
      </w:r>
      <w:proofErr w:type="spellStart"/>
      <w:r>
        <w:rPr>
          <w:rtl/>
        </w:rPr>
        <w:t>שלום־בער</w:t>
      </w:r>
      <w:proofErr w:type="spellEnd"/>
      <w:r>
        <w:rPr>
          <w:rtl/>
        </w:rPr>
        <w:t>, לפעול יחד למען היהדות. עוד סופר בו שר׳ חיים מתח ביקורת חריפה על ההתנגדות לשיתוף פעולה עם חסידים, שעורר ההסכם בחוגים מסוימים. שני הסיפורים שסיפר האדמו״ר על פגישת אביו עם ר׳ חיים לא היו אלא המשך לטענתו שהיה הסכם בתוקף בין שני מנהיגי התורה.</w:t>
      </w:r>
    </w:p>
    <w:p w14:paraId="1150413D" w14:textId="77777777" w:rsidR="00AB3647" w:rsidRDefault="00000000" w:rsidP="007923E9">
      <w:pPr>
        <w:spacing w:after="120" w:line="276" w:lineRule="auto"/>
        <w:ind w:firstLine="283"/>
        <w:jc w:val="both"/>
      </w:pPr>
      <w:r>
        <w:rPr>
          <w:rtl/>
        </w:rPr>
        <w:lastRenderedPageBreak/>
        <w:t xml:space="preserve">כפי שנדפס </w:t>
      </w:r>
      <w:proofErr w:type="spellStart"/>
      <w:r>
        <w:rPr>
          <w:rtl/>
        </w:rPr>
        <w:t>ב“הקריאה</w:t>
      </w:r>
      <w:proofErr w:type="spellEnd"/>
      <w:r>
        <w:rPr>
          <w:rtl/>
        </w:rPr>
        <w:t xml:space="preserve"> והקדושה”, סיפר האדמו״ר בחגיגת י״ט בכסלו שלאחר שנודע ההסכם ברבים, “היו מי שעוררו את השנאה הישנה (לחסידים), ובמקום מסוים, סביב אישיות תורנית מסוימת, התלכדה קבוצת מתנגדים על יסוד הימים הראשונים. באספה שהתקיימה אז </w:t>
      </w:r>
      <w:proofErr w:type="spellStart"/>
      <w:r>
        <w:rPr>
          <w:rtl/>
        </w:rPr>
        <w:t>בבריסק</w:t>
      </w:r>
      <w:proofErr w:type="spellEnd"/>
      <w:r>
        <w:rPr>
          <w:rtl/>
        </w:rPr>
        <w:t xml:space="preserve"> אמר ר׳ חיים: ‘אנו באים ממשפחת הטהורים: בשעה שהייתה התנגדות לחסידים, היו שני סוגי מתנגדים; האחד ביקש את האמת במשך כמה עשרות שנים, וכשמצא אותה נחה דעתו; והאחר ביקש עלילות ושקרים והביא לידי </w:t>
      </w:r>
      <w:proofErr w:type="spellStart"/>
      <w:r>
        <w:rPr>
          <w:rtl/>
        </w:rPr>
        <w:t>חרמות</w:t>
      </w:r>
      <w:proofErr w:type="spellEnd"/>
      <w:r>
        <w:rPr>
          <w:rtl/>
        </w:rPr>
        <w:t xml:space="preserve"> ונידויים. הישמרו מנכדיהם של בעלי השקר והמחלוקת!’”</w:t>
      </w:r>
      <w:bookmarkStart w:id="3200" w:name="_fnr2306"/>
      <w:r>
        <w:rPr>
          <w:rStyle w:val="a5"/>
        </w:rPr>
        <w:footnoteReference w:id="2313" w:customMarkFollows="0"/>
      </w:r>
      <w:bookmarkEnd w:id="3200"/>
    </w:p>
    <w:p w14:paraId="4EE36DE4" w14:textId="77777777" w:rsidR="00AB3647" w:rsidRDefault="00000000" w:rsidP="007923E9">
      <w:pPr>
        <w:spacing w:after="120" w:line="276" w:lineRule="auto"/>
        <w:ind w:firstLine="283"/>
        <w:jc w:val="both"/>
      </w:pPr>
      <w:r>
        <w:rPr>
          <w:rtl/>
        </w:rPr>
        <w:t xml:space="preserve">מצאתי הפרכה ברורה לטענתו של ר׳ </w:t>
      </w:r>
      <w:proofErr w:type="spellStart"/>
      <w:r>
        <w:rPr>
          <w:rtl/>
        </w:rPr>
        <w:t>יוסף־יצחק</w:t>
      </w:r>
      <w:proofErr w:type="spellEnd"/>
      <w:r>
        <w:rPr>
          <w:rtl/>
        </w:rPr>
        <w:t xml:space="preserve"> שהשניים נפגשו </w:t>
      </w:r>
      <w:proofErr w:type="spellStart"/>
      <w:r>
        <w:rPr>
          <w:rtl/>
        </w:rPr>
        <w:t>בתרנ״ז</w:t>
      </w:r>
      <w:proofErr w:type="spellEnd"/>
      <w:r>
        <w:rPr>
          <w:rtl/>
        </w:rPr>
        <w:t xml:space="preserve">. המכתב שבאגרות ר׳ </w:t>
      </w:r>
      <w:proofErr w:type="spellStart"/>
      <w:r>
        <w:rPr>
          <w:rtl/>
        </w:rPr>
        <w:t>יצחק־אייזיק</w:t>
      </w:r>
      <w:proofErr w:type="spellEnd"/>
      <w:r>
        <w:rPr>
          <w:rtl/>
        </w:rPr>
        <w:t xml:space="preserve"> הלוי,</w:t>
      </w:r>
      <w:bookmarkStart w:id="3201" w:name="_fnr2307"/>
      <w:r>
        <w:rPr>
          <w:rStyle w:val="a5"/>
        </w:rPr>
        <w:footnoteReference w:id="2314" w:customMarkFollows="0"/>
      </w:r>
      <w:bookmarkEnd w:id="3201"/>
      <w:r>
        <w:rPr>
          <w:rtl/>
        </w:rPr>
        <w:t xml:space="preserve"> שנכתב </w:t>
      </w:r>
      <w:proofErr w:type="spellStart"/>
      <w:r>
        <w:rPr>
          <w:rtl/>
        </w:rPr>
        <w:t>שתים־עשרה</w:t>
      </w:r>
      <w:proofErr w:type="spellEnd"/>
      <w:r>
        <w:rPr>
          <w:rtl/>
        </w:rPr>
        <w:t xml:space="preserve"> שנים אחר כך,</w:t>
      </w:r>
      <w:bookmarkStart w:id="3202" w:name="_fnr2308"/>
      <w:r>
        <w:rPr>
          <w:rStyle w:val="a5"/>
        </w:rPr>
        <w:t/>
      </w:r>
      <w:bookmarkStart w:id="7026" w:name="_TranslatorNote_2307"/>
      <w:r>
        <w:rPr>
          <w:rStyle w:val="a5"/>
          <w:vertAlign w:val="superscript"/>
          <w:rtl/>
        </w:rPr>
        <w:footnoteReference w:id="2315" w:customMarkFollows="1"/>
        <w:t>*</w:t>
      </w:r>
      <w:bookmarkEnd w:id="7026"/>
      <w:bookmarkEnd w:id="3202"/>
      <w:r>
        <w:rPr>
          <w:rtl/>
        </w:rPr>
        <w:t xml:space="preserve"> בד׳ באדר תרס״ט, אומר במפורש: “האדמו״ר </w:t>
      </w:r>
      <w:proofErr w:type="spellStart"/>
      <w:r>
        <w:rPr>
          <w:rtl/>
        </w:rPr>
        <w:t>מליובאוויטש</w:t>
      </w:r>
      <w:proofErr w:type="spellEnd"/>
      <w:r>
        <w:rPr>
          <w:rtl/>
        </w:rPr>
        <w:t xml:space="preserve"> מכיר את הרב </w:t>
      </w:r>
      <w:proofErr w:type="spellStart"/>
      <w:r>
        <w:rPr>
          <w:rtl/>
        </w:rPr>
        <w:t>מבריסק</w:t>
      </w:r>
      <w:proofErr w:type="spellEnd"/>
      <w:r>
        <w:rPr>
          <w:rtl/>
        </w:rPr>
        <w:t xml:space="preserve"> רק מפי השמועה, מפני שמעולם לא ראה אותו.” אומנם יש תיעוד לשתי פגישות שקיימו: האחת בווילנה, חודשיים לאחר תאריך מכתבו של ר׳ </w:t>
      </w:r>
      <w:proofErr w:type="spellStart"/>
      <w:r>
        <w:rPr>
          <w:rtl/>
        </w:rPr>
        <w:t>יצחק־אייזיק</w:t>
      </w:r>
      <w:proofErr w:type="spellEnd"/>
      <w:r>
        <w:rPr>
          <w:rtl/>
        </w:rPr>
        <w:t xml:space="preserve"> הלוי, בהכנה לוועידת פטרבורג; והאחרת בוועידה עצמה, כפי שסופר לעיל, בחורף תר״ע. הייתה גם התקשרות ישירה קודמת בין השניים: מכתב ששלח ר׳ </w:t>
      </w:r>
      <w:proofErr w:type="spellStart"/>
      <w:r>
        <w:rPr>
          <w:rtl/>
        </w:rPr>
        <w:t>שלום־בער</w:t>
      </w:r>
      <w:proofErr w:type="spellEnd"/>
      <w:r>
        <w:rPr>
          <w:rtl/>
        </w:rPr>
        <w:t xml:space="preserve"> </w:t>
      </w:r>
      <w:proofErr w:type="spellStart"/>
      <w:r>
        <w:rPr>
          <w:rtl/>
        </w:rPr>
        <w:t>לר</w:t>
      </w:r>
      <w:proofErr w:type="spellEnd"/>
      <w:r>
        <w:rPr>
          <w:rtl/>
        </w:rPr>
        <w:t xml:space="preserve">׳ חיים בכסלו תרס״ט, שנדפס </w:t>
      </w:r>
      <w:proofErr w:type="spellStart"/>
      <w:r>
        <w:rPr>
          <w:rtl/>
        </w:rPr>
        <w:t>ב“אגרות</w:t>
      </w:r>
      <w:proofErr w:type="spellEnd"/>
      <w:r>
        <w:rPr>
          <w:rtl/>
        </w:rPr>
        <w:t xml:space="preserve"> קודש מאת כ״ק אדמו״ר </w:t>
      </w:r>
      <w:proofErr w:type="spellStart"/>
      <w:r>
        <w:rPr>
          <w:rtl/>
        </w:rPr>
        <w:t>מוהרש״ב</w:t>
      </w:r>
      <w:proofErr w:type="spellEnd"/>
      <w:r>
        <w:rPr>
          <w:rtl/>
        </w:rPr>
        <w:t xml:space="preserve"> נ״ע”.</w:t>
      </w:r>
      <w:bookmarkStart w:id="3203" w:name="_fnr2309"/>
      <w:r>
        <w:rPr>
          <w:rStyle w:val="a5"/>
        </w:rPr>
        <w:footnoteReference w:id="2316" w:customMarkFollows="0"/>
      </w:r>
      <w:bookmarkEnd w:id="3203"/>
    </w:p>
    <w:p w14:paraId="05FBAE88" w14:textId="77777777" w:rsidR="00AB3647" w:rsidRDefault="00000000" w:rsidP="007923E9">
      <w:pPr>
        <w:spacing w:after="120" w:line="276" w:lineRule="auto"/>
        <w:ind w:firstLine="283"/>
        <w:jc w:val="both"/>
      </w:pPr>
      <w:r>
        <w:rPr>
          <w:rtl/>
        </w:rPr>
        <w:t xml:space="preserve">אגב, יש אזכור למכתב אחר שהתכוון האדמו״ר לכתוב </w:t>
      </w:r>
      <w:proofErr w:type="spellStart"/>
      <w:r>
        <w:rPr>
          <w:rtl/>
        </w:rPr>
        <w:t>לר</w:t>
      </w:r>
      <w:proofErr w:type="spellEnd"/>
      <w:r>
        <w:rPr>
          <w:rtl/>
        </w:rPr>
        <w:t xml:space="preserve">׳ חיים זמן רב אחר כך, </w:t>
      </w:r>
      <w:proofErr w:type="spellStart"/>
      <w:r>
        <w:rPr>
          <w:rtl/>
        </w:rPr>
        <w:t>בתרע״ד</w:t>
      </w:r>
      <w:proofErr w:type="spellEnd"/>
      <w:r>
        <w:rPr>
          <w:rtl/>
        </w:rPr>
        <w:t xml:space="preserve">. אזכור מוקדם הרבה יותר של ר׳ חיים בקשר </w:t>
      </w:r>
      <w:proofErr w:type="spellStart"/>
      <w:r>
        <w:rPr>
          <w:rtl/>
        </w:rPr>
        <w:t>לר</w:t>
      </w:r>
      <w:proofErr w:type="spellEnd"/>
      <w:r>
        <w:rPr>
          <w:rtl/>
        </w:rPr>
        <w:t xml:space="preserve">׳ </w:t>
      </w:r>
      <w:proofErr w:type="spellStart"/>
      <w:r>
        <w:rPr>
          <w:rtl/>
        </w:rPr>
        <w:t>שלום־בער</w:t>
      </w:r>
      <w:proofErr w:type="spellEnd"/>
      <w:r>
        <w:rPr>
          <w:rtl/>
        </w:rPr>
        <w:t xml:space="preserve"> הוא מכתב שחתמו עליו שניהם, וכן ר׳ </w:t>
      </w:r>
      <w:proofErr w:type="spellStart"/>
      <w:r>
        <w:rPr>
          <w:rtl/>
        </w:rPr>
        <w:t>אליהו־חיים</w:t>
      </w:r>
      <w:proofErr w:type="spellEnd"/>
      <w:r>
        <w:rPr>
          <w:rtl/>
        </w:rPr>
        <w:t xml:space="preserve"> </w:t>
      </w:r>
      <w:proofErr w:type="spellStart"/>
      <w:r>
        <w:rPr>
          <w:rtl/>
        </w:rPr>
        <w:t>מייזל</w:t>
      </w:r>
      <w:proofErr w:type="spellEnd"/>
      <w:r>
        <w:rPr>
          <w:rtl/>
        </w:rPr>
        <w:t xml:space="preserve"> ור׳ </w:t>
      </w:r>
      <w:proofErr w:type="spellStart"/>
      <w:r>
        <w:rPr>
          <w:rtl/>
        </w:rPr>
        <w:t>חיים־עוזר</w:t>
      </w:r>
      <w:proofErr w:type="spellEnd"/>
      <w:r>
        <w:rPr>
          <w:rtl/>
        </w:rPr>
        <w:t xml:space="preserve"> </w:t>
      </w:r>
      <w:proofErr w:type="spellStart"/>
      <w:r>
        <w:rPr>
          <w:rtl/>
        </w:rPr>
        <w:t>גרודזנסקי</w:t>
      </w:r>
      <w:proofErr w:type="spellEnd"/>
      <w:r>
        <w:rPr>
          <w:rtl/>
        </w:rPr>
        <w:t>, ונדפס שם.</w:t>
      </w:r>
      <w:bookmarkStart w:id="3204" w:name="_fnr2310"/>
      <w:r>
        <w:rPr>
          <w:rStyle w:val="a5"/>
        </w:rPr>
        <w:footnoteReference w:id="2317" w:customMarkFollows="0"/>
      </w:r>
      <w:bookmarkEnd w:id="3204"/>
      <w:r>
        <w:rPr>
          <w:rtl/>
        </w:rPr>
        <w:t xml:space="preserve"> בגוף המכתב אין תאריך, אבל נטען שם שנכתב </w:t>
      </w:r>
      <w:proofErr w:type="spellStart"/>
      <w:r>
        <w:rPr>
          <w:rtl/>
        </w:rPr>
        <w:t>ב“תר״ס</w:t>
      </w:r>
      <w:proofErr w:type="spellEnd"/>
      <w:r>
        <w:rPr>
          <w:rtl/>
        </w:rPr>
        <w:t xml:space="preserve"> או תרס״א”. המכתב נשלח </w:t>
      </w:r>
      <w:proofErr w:type="spellStart"/>
      <w:r>
        <w:rPr>
          <w:rtl/>
        </w:rPr>
        <w:t>ל“יק״א</w:t>
      </w:r>
      <w:proofErr w:type="spellEnd"/>
      <w:r>
        <w:rPr>
          <w:rtl/>
        </w:rPr>
        <w:t>”,</w:t>
      </w:r>
      <w:bookmarkStart w:id="3205" w:name="_fnr2311"/>
      <w:r>
        <w:rPr>
          <w:rStyle w:val="a5"/>
        </w:rPr>
        <w:footnoteReference w:id="2318" w:customMarkFollows="0"/>
      </w:r>
      <w:bookmarkEnd w:id="3205"/>
      <w:r>
        <w:rPr>
          <w:rtl/>
        </w:rPr>
        <w:t xml:space="preserve"> בבקשה להקים בתי חרושת שיספקו פרנסה ליהודים, וגם – לקראת סוף המכתב, כאילו במחשבה שנייה – בתי חולים עם </w:t>
      </w:r>
      <w:r>
        <w:rPr>
          <w:rtl/>
        </w:rPr>
        <w:lastRenderedPageBreak/>
        <w:t>בתי מרקחת.</w:t>
      </w:r>
      <w:bookmarkStart w:id="3206" w:name="_fnr2312"/>
      <w:r>
        <w:rPr>
          <w:rStyle w:val="a5"/>
        </w:rPr>
        <w:footnoteReference w:id="2319" w:customMarkFollows="0"/>
      </w:r>
      <w:bookmarkEnd w:id="3206"/>
      <w:r>
        <w:rPr>
          <w:rtl/>
        </w:rPr>
        <w:t xml:space="preserve"> אבל אין תיעוד לשום התקשרות בין השניים – אפילו לא לקשר עקיף כדוגמת מסמך שחתמו עליו יחד – מן העשור הקודם, כפי שטען האדמו״ר </w:t>
      </w:r>
      <w:proofErr w:type="spellStart"/>
      <w:r>
        <w:rPr>
          <w:rtl/>
        </w:rPr>
        <w:t>מליובאוויטש</w:t>
      </w:r>
      <w:proofErr w:type="spellEnd"/>
      <w:r>
        <w:rPr>
          <w:rtl/>
        </w:rPr>
        <w:t xml:space="preserve"> ר׳ </w:t>
      </w:r>
      <w:proofErr w:type="spellStart"/>
      <w:r>
        <w:rPr>
          <w:rtl/>
        </w:rPr>
        <w:t>יוסף־יצחק</w:t>
      </w:r>
      <w:proofErr w:type="spellEnd"/>
      <w:r>
        <w:rPr>
          <w:rtl/>
        </w:rPr>
        <w:t>.</w:t>
      </w:r>
    </w:p>
    <w:p w14:paraId="23633DB2" w14:textId="77777777" w:rsidR="00AB3647" w:rsidRDefault="00000000" w:rsidP="007923E9">
      <w:pPr>
        <w:spacing w:after="120" w:line="276" w:lineRule="auto"/>
        <w:ind w:firstLine="283"/>
        <w:jc w:val="both"/>
      </w:pPr>
      <w:r>
        <w:rPr>
          <w:rtl/>
        </w:rPr>
        <w:t xml:space="preserve">ר׳ </w:t>
      </w:r>
      <w:proofErr w:type="spellStart"/>
      <w:r>
        <w:rPr>
          <w:rtl/>
        </w:rPr>
        <w:t>יוסף־יצחק</w:t>
      </w:r>
      <w:proofErr w:type="spellEnd"/>
      <w:r>
        <w:rPr>
          <w:rtl/>
        </w:rPr>
        <w:t xml:space="preserve"> סיים את שיחתו בי״ט בכסלו: “אזהרתו של ר׳ חיים עשתה את שלה, וההסכם נשמר </w:t>
      </w:r>
      <w:r>
        <w:rPr>
          <w:b/>
          <w:bCs/>
          <w:rtl/>
        </w:rPr>
        <w:t>במשך עשרות שנים</w:t>
      </w:r>
      <w:r>
        <w:rPr>
          <w:rtl/>
        </w:rPr>
        <w:t xml:space="preserve"> (ההדגשה שלי). תועלת רבה הייתה בו לציבור. הוא נעשה דרך בדוקה לכל הזמנים ולכל הארצות.” איני יודע למה התכוון האדמו״ר במשפט האחרון. אבל במשפט הראשון התכוון בבירור למבקריו החריפים של המאמר “תורת חסידות חב״ד”, וטען שעתה מפרים מבקרים אלה את </w:t>
      </w:r>
      <w:proofErr w:type="spellStart"/>
      <w:r>
        <w:rPr>
          <w:rtl/>
        </w:rPr>
        <w:t>ה“הסכם</w:t>
      </w:r>
      <w:proofErr w:type="spellEnd"/>
      <w:r>
        <w:rPr>
          <w:rtl/>
        </w:rPr>
        <w:t xml:space="preserve">” בין </w:t>
      </w:r>
      <w:proofErr w:type="spellStart"/>
      <w:r>
        <w:rPr>
          <w:rtl/>
        </w:rPr>
        <w:t>ליובאוויטש</w:t>
      </w:r>
      <w:proofErr w:type="spellEnd"/>
      <w:r>
        <w:rPr>
          <w:rtl/>
        </w:rPr>
        <w:t xml:space="preserve"> לחוגי התורה הליטאיים, שקבע ר׳ חיים </w:t>
      </w:r>
      <w:proofErr w:type="spellStart"/>
      <w:r>
        <w:rPr>
          <w:rtl/>
        </w:rPr>
        <w:t>סולובייצ׳יק</w:t>
      </w:r>
      <w:proofErr w:type="spellEnd"/>
      <w:r>
        <w:rPr>
          <w:rtl/>
        </w:rPr>
        <w:t xml:space="preserve"> ושנשמר ארבעים וארבע שנים.</w:t>
      </w:r>
      <w:bookmarkStart w:id="3207" w:name="_fnr2313"/>
      <w:r>
        <w:rPr>
          <w:rStyle w:val="a5"/>
        </w:rPr>
        <w:footnoteReference w:id="2320" w:customMarkFollows="0"/>
      </w:r>
      <w:bookmarkEnd w:id="3207"/>
      <w:r>
        <w:rPr>
          <w:rtl/>
        </w:rPr>
        <w:t xml:space="preserve"> למעשה העמיד האדמו״ר את ר׳ חיים מן הדור הקודם כנגד המתנגד הראשי </w:t>
      </w:r>
      <w:proofErr w:type="spellStart"/>
      <w:r>
        <w:rPr>
          <w:rtl/>
        </w:rPr>
        <w:t>לליובאוויטש</w:t>
      </w:r>
      <w:proofErr w:type="spellEnd"/>
      <w:r>
        <w:rPr>
          <w:rtl/>
        </w:rPr>
        <w:t xml:space="preserve"> בדורו!</w:t>
      </w:r>
      <w:bookmarkStart w:id="3208" w:name="_fnr2314"/>
      <w:r>
        <w:rPr>
          <w:rStyle w:val="a5"/>
        </w:rPr>
        <w:footnoteReference w:id="2321" w:customMarkFollows="0"/>
      </w:r>
      <w:bookmarkEnd w:id="3208"/>
    </w:p>
    <w:p w14:paraId="3142A889" w14:textId="77777777" w:rsidR="00AB3647" w:rsidRDefault="00000000" w:rsidP="007923E9">
      <w:pPr>
        <w:spacing w:after="120" w:line="276" w:lineRule="auto"/>
        <w:ind w:firstLine="283"/>
        <w:jc w:val="both"/>
      </w:pPr>
      <w:r>
        <w:rPr>
          <w:rtl/>
        </w:rPr>
        <w:t xml:space="preserve">בהנחה שהדיווח על חלוקתו של ר׳ חיים את המתנגדים לשני סוגים מהימן, שאלתי את 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w:t>
      </w:r>
      <w:bookmarkStart w:id="3209" w:name="_fnr2315"/>
      <w:r>
        <w:rPr>
          <w:rStyle w:val="a5"/>
        </w:rPr>
        <w:footnoteReference w:id="2322" w:customMarkFollows="0"/>
      </w:r>
      <w:bookmarkEnd w:id="3209"/>
      <w:r>
        <w:rPr>
          <w:rtl/>
        </w:rPr>
        <w:t xml:space="preserve"> אם חלוקה זו קשורה למשלו של ר׳ חיים</w:t>
      </w:r>
      <w:bookmarkStart w:id="3210" w:name="_fnr2316"/>
      <w:r>
        <w:rPr>
          <w:rStyle w:val="a5"/>
        </w:rPr>
        <w:footnoteReference w:id="2323" w:customMarkFollows="0"/>
      </w:r>
      <w:bookmarkEnd w:id="3210"/>
      <w:r>
        <w:rPr>
          <w:rtl/>
        </w:rPr>
        <w:t xml:space="preserve"> על שניים המסלקים עכברים מן הבית, בעלת הבית והחתול: הראשונה פשוט אינה רוצה שיהיו שם עכברים, ואילו השני רוצה שהעכברים ייכנסו אל הבית כדי שיוכל לתפוס אותם ולהשמידם. ר׳ </w:t>
      </w:r>
      <w:proofErr w:type="spellStart"/>
      <w:r>
        <w:rPr>
          <w:rtl/>
        </w:rPr>
        <w:t>אברהם־יהושע</w:t>
      </w:r>
      <w:proofErr w:type="spellEnd"/>
      <w:r>
        <w:rPr>
          <w:rtl/>
        </w:rPr>
        <w:t xml:space="preserve"> השיב שמשל העכברים לא נאמר על סוגי מתנגדים, אלא על ר׳ יעקב הלוי ליפשיץ – “אף על פי שר׳ חיים העריך אותו מאוד”</w:t>
      </w:r>
      <w:bookmarkStart w:id="3211" w:name="_fnr2317"/>
      <w:r>
        <w:rPr>
          <w:rStyle w:val="a5"/>
        </w:rPr>
        <w:footnoteReference w:id="2324" w:customMarkFollows="0"/>
      </w:r>
      <w:bookmarkEnd w:id="3211"/>
      <w:r>
        <w:rPr>
          <w:rtl/>
        </w:rPr>
        <w:t xml:space="preserve"> – שנהנה, כחתול שבמשל, מהימצאותם של אפיקורסים, כדי שיוכל לתקוף אותם.</w:t>
      </w:r>
      <w:bookmarkStart w:id="3212" w:name="_fnr2318"/>
      <w:r>
        <w:rPr>
          <w:rStyle w:val="a5"/>
        </w:rPr>
        <w:footnoteReference w:id="2325" w:customMarkFollows="0"/>
      </w:r>
      <w:bookmarkEnd w:id="3212"/>
    </w:p>
    <w:p w14:paraId="6548658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בנו של ר׳ אהרן, אמר</w:t>
      </w:r>
      <w:bookmarkStart w:id="3213" w:name="_fnr2319"/>
      <w:r>
        <w:rPr>
          <w:rStyle w:val="a5"/>
        </w:rPr>
        <w:footnoteReference w:id="2326" w:customMarkFollows="0"/>
      </w:r>
      <w:bookmarkEnd w:id="3213"/>
      <w:r>
        <w:rPr>
          <w:rtl/>
        </w:rPr>
        <w:t xml:space="preserve"> ששמע מאביו שמשפחתו “מאז ר׳ חיים </w:t>
      </w:r>
      <w:proofErr w:type="spellStart"/>
      <w:r>
        <w:rPr>
          <w:rtl/>
        </w:rPr>
        <w:t>מוולוז׳ין</w:t>
      </w:r>
      <w:proofErr w:type="spellEnd"/>
      <w:r>
        <w:rPr>
          <w:rtl/>
        </w:rPr>
        <w:t xml:space="preserve">” אכן “עשתה שלום עם החסידים: ר׳ </w:t>
      </w:r>
      <w:proofErr w:type="spellStart"/>
      <w:r>
        <w:rPr>
          <w:rtl/>
        </w:rPr>
        <w:t xml:space="preserve">יושע־בער</w:t>
      </w:r>
      <w:proofErr w:type="spellEnd"/>
      <w:r>
        <w:rPr>
          <w:rtl/>
        </w:rPr>
        <w:t xml:space="preserve"> </w:t>
      </w:r>
      <w:proofErr w:type="spellStart"/>
      <w:r>
        <w:rPr>
          <w:rtl/>
        </w:rPr>
        <w:t>מבריסק</w:t>
      </w:r>
      <w:proofErr w:type="spellEnd"/>
      <w:r>
        <w:rPr>
          <w:rtl/>
        </w:rPr>
        <w:t xml:space="preserve"> נשא בת של חסידי חב״ד בזיווגו הראשון, ובזיווגו השני (שממנו נולדו בניו) בת של חסידי סלונים”.</w:t>
      </w:r>
      <w:bookmarkStart w:id="3214" w:name="_fnr2320"/>
      <w:r>
        <w:rPr>
          <w:rStyle w:val="a5"/>
        </w:rPr>
        <w:footnoteReference w:id="2327" w:customMarkFollows="0"/>
      </w:r>
      <w:bookmarkEnd w:id="3214"/>
      <w:r>
        <w:rPr>
          <w:rtl/>
        </w:rPr>
        <w:t xml:space="preserve"> השווה גם יעקב </w:t>
      </w:r>
      <w:r>
        <w:rPr>
          <w:rtl/>
        </w:rPr>
        <w:lastRenderedPageBreak/>
        <w:t>מארק,</w:t>
      </w:r>
      <w:bookmarkStart w:id="3215" w:name="_fnr2321"/>
      <w:r>
        <w:rPr>
          <w:rStyle w:val="a5"/>
        </w:rPr>
        <w:footnoteReference w:id="2328" w:customMarkFollows="0"/>
      </w:r>
      <w:bookmarkEnd w:id="3215"/>
      <w:r>
        <w:rPr>
          <w:rtl/>
        </w:rPr>
        <w:t xml:space="preserve"> המספר על הקרבה בין סבו של ר׳ </w:t>
      </w:r>
      <w:proofErr w:type="spellStart"/>
      <w:r>
        <w:rPr>
          <w:rtl/>
        </w:rPr>
        <w:t>שלום־בער</w:t>
      </w:r>
      <w:proofErr w:type="spellEnd"/>
      <w:r>
        <w:rPr>
          <w:rtl/>
        </w:rPr>
        <w:t xml:space="preserve"> שניאורסון, ר׳ </w:t>
      </w:r>
      <w:proofErr w:type="spellStart"/>
      <w:r>
        <w:rPr>
          <w:rtl/>
        </w:rPr>
        <w:t>מנחם־מנדל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 xml:space="preserve"> (דודו הגדול של אביו של ר׳ חיים </w:t>
      </w:r>
      <w:proofErr w:type="spellStart"/>
      <w:r>
        <w:rPr>
          <w:rtl/>
        </w:rPr>
        <w:t>סולובייצ׳יק</w:t>
      </w:r>
      <w:proofErr w:type="spellEnd"/>
      <w:r>
        <w:rPr>
          <w:rtl/>
        </w:rPr>
        <w:t xml:space="preserve"> ואבי סבה של אשת ר׳ חיים) בשנות </w:t>
      </w:r>
      <w:proofErr w:type="spellStart"/>
      <w:r>
        <w:rPr>
          <w:rtl/>
        </w:rPr>
        <w:t>הת״ר</w:t>
      </w:r>
      <w:proofErr w:type="spellEnd"/>
      <w:r>
        <w:rPr>
          <w:rtl/>
        </w:rPr>
        <w:t xml:space="preserve"> הראשונות: “אם איני טועה, היה ר׳ </w:t>
      </w:r>
      <w:proofErr w:type="spellStart"/>
      <w:r>
        <w:rPr>
          <w:rtl/>
        </w:rPr>
        <w:t>מנדל׳ה</w:t>
      </w:r>
      <w:proofErr w:type="spellEnd"/>
      <w:r>
        <w:rPr>
          <w:rtl/>
        </w:rPr>
        <w:t xml:space="preserve"> האדמו״ר החסידי הראשון שהיה מקורב לגדולי המתנגדים שבדורו. הוא כתב להם שאלות ותשובות, והיה קרוב מאוד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מוולוז׳ין</w:t>
      </w:r>
      <w:proofErr w:type="spellEnd"/>
      <w:r>
        <w:rPr>
          <w:rtl/>
        </w:rPr>
        <w:t>.”</w:t>
      </w:r>
      <w:bookmarkStart w:id="3216" w:name="_fnr2322"/>
      <w:r>
        <w:rPr>
          <w:rStyle w:val="a5"/>
        </w:rPr>
        <w:footnoteReference w:id="2329" w:customMarkFollows="0"/>
      </w:r>
      <w:bookmarkEnd w:id="3216"/>
    </w:p>
    <w:p w14:paraId="256D1E54" w14:textId="77777777" w:rsidR="00AB3647" w:rsidRDefault="00000000" w:rsidP="007923E9">
      <w:pPr>
        <w:spacing w:after="120" w:line="276" w:lineRule="auto"/>
        <w:ind w:firstLine="283"/>
        <w:jc w:val="both"/>
      </w:pPr>
      <w:r>
        <w:rPr>
          <w:rtl/>
        </w:rPr>
        <w:t xml:space="preserve">המשך לפגישתם של ר׳ </w:t>
      </w:r>
      <w:proofErr w:type="spellStart"/>
      <w:r>
        <w:rPr>
          <w:rtl/>
        </w:rPr>
        <w:t>יוסף־יצחק</w:t>
      </w:r>
      <w:proofErr w:type="spellEnd"/>
      <w:r>
        <w:rPr>
          <w:rtl/>
        </w:rPr>
        <w:t xml:space="preserve"> שניאורסון ור׳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אפשר לראות במכתב ששלח הראשון לאחרון בט׳ באייר תש״א. במכתב תיאר חג שבועות שאביו שהה בו יחד עם סבו של האחרון </w:t>
      </w:r>
      <w:proofErr w:type="spellStart"/>
      <w:r>
        <w:rPr>
          <w:rtl/>
        </w:rPr>
        <w:t>בתר״ע</w:t>
      </w:r>
      <w:proofErr w:type="spellEnd"/>
      <w:r>
        <w:rPr>
          <w:rtl/>
        </w:rPr>
        <w:t xml:space="preserve">, אחרי ועידת פטרבורג שנמשכה שבועות רבים. הוא מספר שביום השני של יום טוב אכל ר׳ חיים על שולחנו של ר׳ </w:t>
      </w:r>
      <w:proofErr w:type="spellStart"/>
      <w:r>
        <w:rPr>
          <w:rtl/>
        </w:rPr>
        <w:t>שלום־בער</w:t>
      </w:r>
      <w:proofErr w:type="spellEnd"/>
      <w:r>
        <w:rPr>
          <w:rtl/>
        </w:rPr>
        <w:t xml:space="preserve"> ודרש על הפסוק “תורת ה׳ תמימה משיבת נפש”.</w:t>
      </w:r>
      <w:bookmarkStart w:id="3217" w:name="_fnr2323"/>
      <w:r>
        <w:rPr>
          <w:rStyle w:val="a5"/>
        </w:rPr>
        <w:footnoteReference w:id="2330" w:customMarkFollows="0"/>
      </w:r>
      <w:bookmarkEnd w:id="3217"/>
    </w:p>
    <w:p w14:paraId="66314E43" w14:textId="77777777" w:rsidR="00AB3647" w:rsidRDefault="00000000" w:rsidP="007923E9">
      <w:pPr>
        <w:spacing w:after="120" w:line="276" w:lineRule="auto"/>
        <w:ind w:firstLine="283"/>
        <w:jc w:val="both"/>
      </w:pPr>
      <w:r>
        <w:rPr>
          <w:rtl/>
        </w:rPr>
        <w:t xml:space="preserve">על קשר מעניין בין שני מנהיגי התורה סיפר ר׳ יחזקאל </w:t>
      </w:r>
      <w:proofErr w:type="spellStart"/>
      <w:r>
        <w:rPr>
          <w:rtl/>
        </w:rPr>
        <w:t>אברמסקי</w:t>
      </w:r>
      <w:proofErr w:type="spellEnd"/>
      <w:r>
        <w:rPr>
          <w:rtl/>
        </w:rPr>
        <w:t xml:space="preserve">, כפי שנרשם </w:t>
      </w:r>
      <w:proofErr w:type="spellStart"/>
      <w:r>
        <w:rPr>
          <w:rtl/>
        </w:rPr>
        <w:t>ב“מגד</w:t>
      </w:r>
      <w:proofErr w:type="spellEnd"/>
      <w:r>
        <w:rPr>
          <w:rtl/>
        </w:rPr>
        <w:t xml:space="preserve"> גבעות עולם”:</w:t>
      </w:r>
      <w:bookmarkStart w:id="3218" w:name="_fnr2324"/>
      <w:r>
        <w:rPr>
          <w:rStyle w:val="a5"/>
        </w:rPr>
        <w:footnoteReference w:id="2331" w:customMarkFollows="0"/>
      </w:r>
      <w:bookmarkEnd w:id="3218"/>
      <w:r>
        <w:rPr>
          <w:rtl/>
        </w:rPr>
        <w:t xml:space="preserve"> ר׳ חיים, שגלה למינסק במלחמת העולם הראשונה, נענה לבקשת ר׳ </w:t>
      </w:r>
      <w:proofErr w:type="spellStart"/>
      <w:r>
        <w:rPr>
          <w:rtl/>
        </w:rPr>
        <w:t>שלום־בער</w:t>
      </w:r>
      <w:proofErr w:type="spellEnd"/>
      <w:r>
        <w:rPr>
          <w:rtl/>
        </w:rPr>
        <w:t xml:space="preserve"> למסור שיעורים לתלמידי ישיבת </w:t>
      </w:r>
      <w:proofErr w:type="spellStart"/>
      <w:r>
        <w:rPr>
          <w:rtl/>
        </w:rPr>
        <w:t>ליובאוויטש</w:t>
      </w:r>
      <w:proofErr w:type="spellEnd"/>
      <w:r>
        <w:rPr>
          <w:rtl/>
        </w:rPr>
        <w:t xml:space="preserve"> שם. אבל “זקני החסידים” שכנעו את האדמו״ר לחזור בו מהזמנתו, מפני </w:t>
      </w:r>
      <w:proofErr w:type="spellStart"/>
      <w:r>
        <w:rPr>
          <w:rtl/>
        </w:rPr>
        <w:t>ש“הבחורים</w:t>
      </w:r>
      <w:proofErr w:type="spellEnd"/>
      <w:r>
        <w:rPr>
          <w:rtl/>
        </w:rPr>
        <w:t xml:space="preserve"> יתלהבו כל כך משיטת לימודו הנפלאה של ר׳ חיים וידבקו בה, עד </w:t>
      </w:r>
      <w:proofErr w:type="spellStart"/>
      <w:r>
        <w:rPr>
          <w:rtl/>
        </w:rPr>
        <w:t>שינטשו</w:t>
      </w:r>
      <w:proofErr w:type="spellEnd"/>
      <w:r>
        <w:rPr>
          <w:rtl/>
        </w:rPr>
        <w:t xml:space="preserve"> את לימוד החסידות”. במונחי מאמר סגל: הזקנים חששו </w:t>
      </w:r>
      <w:proofErr w:type="spellStart"/>
      <w:r>
        <w:rPr>
          <w:rtl/>
        </w:rPr>
        <w:t>ש“שור</w:t>
      </w:r>
      <w:proofErr w:type="spellEnd"/>
      <w:r>
        <w:rPr>
          <w:rtl/>
        </w:rPr>
        <w:t xml:space="preserve"> שנגח את הפרה” של ר׳ חיים יאפיל על “פנימיות התורה” שלהם!</w:t>
      </w:r>
    </w:p>
    <w:p w14:paraId="0C9440B3" w14:textId="77777777" w:rsidR="00AB3647" w:rsidRDefault="00000000" w:rsidP="007923E9">
      <w:pPr>
        <w:spacing w:after="120" w:line="276" w:lineRule="auto"/>
        <w:ind w:firstLine="283"/>
        <w:jc w:val="both"/>
      </w:pPr>
      <w:r>
        <w:rPr>
          <w:rtl/>
        </w:rPr>
        <w:t xml:space="preserve">המשך אחר לשיחתו של ר׳ </w:t>
      </w:r>
      <w:proofErr w:type="spellStart"/>
      <w:r>
        <w:rPr>
          <w:rtl/>
        </w:rPr>
        <w:t xml:space="preserve">יוסף־דב</w:t>
      </w:r>
      <w:proofErr w:type="spellEnd"/>
      <w:r>
        <w:rPr>
          <w:rtl/>
        </w:rPr>
        <w:t xml:space="preserve"> עם ר׳ </w:t>
      </w:r>
      <w:proofErr w:type="spellStart"/>
      <w:r>
        <w:rPr>
          <w:rtl/>
        </w:rPr>
        <w:t>יוסף־יצחק</w:t>
      </w:r>
      <w:proofErr w:type="spellEnd"/>
      <w:r>
        <w:rPr>
          <w:rtl/>
        </w:rPr>
        <w:t xml:space="preserve"> אפשר לראות בהסכמתו של ר׳ </w:t>
      </w:r>
      <w:proofErr w:type="spellStart"/>
      <w:r>
        <w:rPr>
          <w:rtl/>
        </w:rPr>
        <w:t xml:space="preserve">יוסף־דב</w:t>
      </w:r>
      <w:proofErr w:type="spellEnd"/>
      <w:r>
        <w:rPr>
          <w:rtl/>
        </w:rPr>
        <w:t xml:space="preserve"> לשמש נואם אורח בסעודת ההתרמה של ישיבות </w:t>
      </w:r>
      <w:proofErr w:type="spellStart"/>
      <w:r>
        <w:rPr>
          <w:rtl/>
        </w:rPr>
        <w:t>ליובאוויטש</w:t>
      </w:r>
      <w:proofErr w:type="spellEnd"/>
      <w:r>
        <w:rPr>
          <w:rtl/>
        </w:rPr>
        <w:t xml:space="preserve"> שנה וחצי אחר כך, כפי שדווח </w:t>
      </w:r>
      <w:proofErr w:type="spellStart"/>
      <w:r>
        <w:rPr>
          <w:rtl/>
        </w:rPr>
        <w:t>ב“הקריאה</w:t>
      </w:r>
      <w:proofErr w:type="spellEnd"/>
      <w:r>
        <w:rPr>
          <w:rtl/>
        </w:rPr>
        <w:t xml:space="preserve"> והקדושה” של ערב ראש חודש אב תש״ב. שם הרבה בשבחו של האדמו״ר </w:t>
      </w:r>
      <w:proofErr w:type="spellStart"/>
      <w:r>
        <w:rPr>
          <w:rtl/>
        </w:rPr>
        <w:t>כ“מנהיג</w:t>
      </w:r>
      <w:proofErr w:type="spellEnd"/>
      <w:r>
        <w:rPr>
          <w:rtl/>
        </w:rPr>
        <w:t xml:space="preserve"> הדור”, והביא השוואות רבות בינו לבין התנא רבי </w:t>
      </w:r>
      <w:proofErr w:type="spellStart"/>
      <w:r>
        <w:rPr>
          <w:rtl/>
        </w:rPr>
        <w:t>חנינא</w:t>
      </w:r>
      <w:proofErr w:type="spellEnd"/>
      <w:r>
        <w:rPr>
          <w:rtl/>
        </w:rPr>
        <w:t xml:space="preserve"> בן </w:t>
      </w:r>
      <w:proofErr w:type="spellStart"/>
      <w:r>
        <w:rPr>
          <w:rtl/>
        </w:rPr>
        <w:t>דוסא</w:t>
      </w:r>
      <w:proofErr w:type="spellEnd"/>
      <w:r>
        <w:rPr>
          <w:rtl/>
        </w:rPr>
        <w:t xml:space="preserve">, כפי שהוא מתואר בתלמוד. הוא השווה גם את ישיבות </w:t>
      </w:r>
      <w:proofErr w:type="spellStart"/>
      <w:r>
        <w:rPr>
          <w:rtl/>
        </w:rPr>
        <w:t>ליובאוויטש</w:t>
      </w:r>
      <w:proofErr w:type="spellEnd"/>
      <w:r>
        <w:rPr>
          <w:rtl/>
        </w:rPr>
        <w:t xml:space="preserve"> ואת </w:t>
      </w:r>
      <w:proofErr w:type="spellStart"/>
      <w:r>
        <w:rPr>
          <w:rtl/>
        </w:rPr>
        <w:t>וולוז׳ין</w:t>
      </w:r>
      <w:proofErr w:type="spellEnd"/>
      <w:r>
        <w:rPr>
          <w:rtl/>
        </w:rPr>
        <w:t xml:space="preserve"> לשתי האבנים היקרות שבחושן הכהן הגדול, שוהם וישפה בהתאמה, המסמלות את השכינה ואת הסנהדרין.</w:t>
      </w:r>
    </w:p>
    <w:p w14:paraId="2E82DD22" w14:textId="77777777" w:rsidR="00AB3647" w:rsidRDefault="00000000" w:rsidP="007923E9">
      <w:pPr>
        <w:spacing w:after="120" w:line="276" w:lineRule="auto"/>
        <w:ind w:firstLine="283"/>
        <w:jc w:val="both"/>
      </w:pPr>
      <w:r>
        <w:rPr>
          <w:rtl/>
        </w:rPr>
        <w:t xml:space="preserve">את השוואתו של ר׳ </w:t>
      </w:r>
      <w:proofErr w:type="spellStart"/>
      <w:r>
        <w:rPr>
          <w:rtl/>
        </w:rPr>
        <w:t xml:space="preserve">יוסף־דב</w:t>
      </w:r>
      <w:proofErr w:type="spellEnd"/>
      <w:r>
        <w:rPr>
          <w:rtl/>
        </w:rPr>
        <w:t xml:space="preserve"> את בני האדם שבזמננו לתנאים ואת המוסדות שבזמננו לכלי המקדש יש לראות רק כדרשנות בסגנון </w:t>
      </w:r>
      <w:proofErr w:type="spellStart"/>
      <w:r>
        <w:rPr>
          <w:rtl/>
        </w:rPr>
        <w:t>סולובייצ׳יק</w:t>
      </w:r>
      <w:proofErr w:type="spellEnd"/>
      <w:r>
        <w:rPr>
          <w:rtl/>
        </w:rPr>
        <w:t xml:space="preserve">. כך יש להבין גם את נאומו של ר׳ </w:t>
      </w:r>
      <w:proofErr w:type="spellStart"/>
      <w:r>
        <w:rPr>
          <w:rtl/>
        </w:rPr>
        <w:t xml:space="preserve">יוסף־דב</w:t>
      </w:r>
      <w:r>
        <w:rPr>
          <w:rtl/>
        </w:rPr>
        <w:lastRenderedPageBreak/>
        <w:t xml:space="preserve"/>
      </w:r>
      <w:proofErr w:type="spellEnd"/>
      <w:r>
        <w:rPr>
          <w:rtl/>
        </w:rPr>
        <w:t xml:space="preserve"> בסעודת התרמה לחינוך עצמאי, המתואר </w:t>
      </w:r>
      <w:proofErr w:type="spellStart"/>
      <w:r>
        <w:rPr>
          <w:rtl/>
        </w:rPr>
        <w:t>ב“ארחות</w:t>
      </w:r>
      <w:proofErr w:type="spellEnd"/>
      <w:r>
        <w:rPr>
          <w:rtl/>
        </w:rPr>
        <w:t xml:space="preserve"> חסידיך”.</w:t>
      </w:r>
      <w:bookmarkStart w:id="3219" w:name="_fnr2325"/>
      <w:r>
        <w:rPr>
          <w:rStyle w:val="a5"/>
        </w:rPr>
        <w:footnoteReference w:id="2332" w:customMarkFollows="0"/>
      </w:r>
      <w:bookmarkEnd w:id="3219"/>
      <w:r>
        <w:rPr>
          <w:rtl/>
        </w:rPr>
        <w:t xml:space="preserve"> ספר זה מספר: “ר׳ אהרן קוטלר היה אורח הכבוד, ואחד הנואמים” – הנואם שלא ננקב בשמו היה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 “אמר: ‘כשאני רואה את ר׳ אהרן קוטלר, אני נזכר בר׳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וב</w:t>
      </w:r>
      <w:proofErr w:type="spellEnd"/>
      <w:r>
        <w:rPr>
          <w:rtl/>
        </w:rPr>
        <w:t xml:space="preserve">[סבי] ר׳ חיים </w:t>
      </w:r>
      <w:proofErr w:type="spellStart"/>
      <w:r>
        <w:rPr>
          <w:rtl/>
        </w:rPr>
        <w:t>סולובייצ׳יק</w:t>
      </w:r>
      <w:proofErr w:type="spellEnd"/>
      <w:r>
        <w:rPr>
          <w:rtl/>
        </w:rPr>
        <w:t>.’</w:t>
      </w:r>
      <w:bookmarkStart w:id="3220" w:name="_fnr2326"/>
      <w:r>
        <w:rPr>
          <w:rStyle w:val="a5"/>
        </w:rPr>
        <w:footnoteReference w:id="2333" w:customMarkFollows="0"/>
      </w:r>
      <w:bookmarkEnd w:id="3220"/>
      <w:r>
        <w:rPr>
          <w:rtl/>
        </w:rPr>
        <w:t xml:space="preserve"> ר׳ אהרן הסמיק, ודמעות זולגות מעיניו, משך בשרוולו של הנואם ואמר: ‘לא נכון, לא נכון!’” ר׳ אהרן נבוך לא מפני שהבין שהנואם משווה אותו לגדולים הקודמים. הוא ודאי הכיר את סגנון הדרשנות של ר׳ </w:t>
      </w:r>
      <w:proofErr w:type="spellStart"/>
      <w:r>
        <w:rPr>
          <w:rtl/>
        </w:rPr>
        <w:t xml:space="preserve">יוסף־דב</w:t>
      </w:r>
      <w:proofErr w:type="spellEnd"/>
      <w:r>
        <w:rPr>
          <w:rtl/>
        </w:rPr>
        <w:t xml:space="preserve"> וידע</w:t>
      </w:r>
      <w:bookmarkStart w:id="3221" w:name="_fnr2327"/>
      <w:r>
        <w:rPr>
          <w:rStyle w:val="a5"/>
        </w:rPr>
        <w:footnoteReference w:id="2334" w:customMarkFollows="0"/>
      </w:r>
      <w:bookmarkEnd w:id="3221"/>
      <w:r>
        <w:rPr>
          <w:rtl/>
        </w:rPr>
        <w:t xml:space="preserve"> שר׳ </w:t>
      </w:r>
      <w:proofErr w:type="spellStart"/>
      <w:r>
        <w:rPr>
          <w:rtl/>
        </w:rPr>
        <w:t xml:space="preserve">יוסף־דב</w:t>
      </w:r>
      <w:proofErr w:type="spellEnd"/>
      <w:r>
        <w:rPr>
          <w:rtl/>
        </w:rPr>
        <w:t xml:space="preserve"> מדבר רק בלשון משל, אבל גם זאת הייתה יותר מכפי שיכול היה לקבל בלא מבוכה.</w:t>
      </w:r>
    </w:p>
    <w:bookmarkStart w:id="3222" w:name="b3_excS"/>
    <w:p w14:paraId="6D6A2D7A" w14:textId="77777777" w:rsidR="00AB3647" w:rsidRDefault="00000000" w:rsidP="007923E9">
      <w:pPr>
        <w:pStyle w:val="3"/>
        <w:spacing w:line="276" w:lineRule="auto"/>
      </w:pPr>
      <w:r>
        <w:lastRenderedPageBreak/>
        <w:fldChar w:fldCharType="begin" w:dirty="true"/>
      </w:r>
      <w:r>
        <w:rPr>
          <w:rtl w:val="0"/>
        </w:rPr>
        <w:instrText>HYPERLINK \l "b3_note58</w:instrText>
      </w:r>
      <w:r>
        <w:instrText>"</w:instrText>
      </w:r>
      <w:r>
        <w:fldChar w:fldCharType="separate"/>
      </w:r>
      <w:r>
        <w:t xml:space="preserve">נספח </w:t>
      </w:r>
      <w:proofErr w:type="spellStart"/>
      <w:r>
        <w:t>יט</w:t>
      </w:r>
      <w:proofErr w:type="spellEnd"/>
      <w:r>
        <w:fldChar w:fldCharType="end"/>
      </w:r>
      <w:bookmarkEnd w:id="3222"/>
    </w:p>
    <w:p w14:paraId="1D5F9024" w14:textId="77777777" w:rsidR="00AB3647" w:rsidRDefault="00000000" w:rsidP="007923E9">
      <w:pPr>
        <w:pStyle w:val="af"/>
        <w:spacing w:line="276" w:lineRule="auto"/>
      </w:pPr>
      <w:r>
        <w:t xml:space="preserve">על תלמידי ר׳ ישראל </w:t>
      </w:r>
      <w:proofErr w:type="spellStart"/>
      <w:r>
        <w:t>סלנטר</w:t>
      </w:r>
      <w:proofErr w:type="spellEnd"/>
      <w:r>
        <w:t xml:space="preserve"> שלמדו באוניברסיטאות ואבדו, ועל ד״ר בנימין </w:t>
      </w:r>
      <w:proofErr w:type="spellStart"/>
      <w:r>
        <w:t>איינהורן</w:t>
      </w:r>
      <w:proofErr w:type="spellEnd"/>
      <w:r>
        <w:t>, שמעד בדרכו חזרה</w:t>
      </w:r>
    </w:p>
    <w:p w14:paraId="7629816D" w14:textId="77777777" w:rsidR="00AB3647" w:rsidRDefault="00000000" w:rsidP="007923E9">
      <w:pPr>
        <w:pStyle w:val="4"/>
        <w:spacing w:line="276" w:lineRule="auto"/>
      </w:pPr>
      <w:r>
        <w:t>· הפסקה הראשונה ·</w:t>
      </w:r>
    </w:p>
    <w:p w14:paraId="31573653" w14:textId="77777777" w:rsidR="00AB3647" w:rsidRDefault="00000000" w:rsidP="007923E9">
      <w:pPr>
        <w:pStyle w:val="5"/>
        <w:spacing w:line="276" w:lineRule="auto"/>
      </w:pPr>
      <w:r>
        <w:t xml:space="preserve">ר׳ </w:t>
      </w:r>
      <w:proofErr w:type="spellStart"/>
      <w:r>
        <w:t>נתן־צבי</w:t>
      </w:r>
      <w:proofErr w:type="spellEnd"/>
      <w:r>
        <w:t xml:space="preserve"> </w:t>
      </w:r>
      <w:proofErr w:type="spellStart"/>
      <w:r>
        <w:t>פינקל</w:t>
      </w:r>
      <w:proofErr w:type="spellEnd"/>
      <w:r>
        <w:t xml:space="preserve"> מאבד בן לסוציאליזם</w:t>
      </w:r>
    </w:p>
    <w:p w14:paraId="79CBCE36" w14:textId="77777777" w:rsidR="00AB3647" w:rsidRDefault="00000000" w:rsidP="007923E9">
      <w:pPr>
        <w:spacing w:after="120" w:line="276" w:lineRule="auto"/>
        <w:ind w:firstLine="283"/>
        <w:jc w:val="both"/>
      </w:pPr>
      <w:r>
        <w:rPr>
          <w:rtl/>
        </w:rPr>
        <w:t>רבים מעושי הצרות נאלצו לעזוב את רוסיה</w:t>
      </w:r>
      <w:bookmarkStart w:id="3223" w:name="_fnr2328"/>
      <w:r>
        <w:rPr>
          <w:rStyle w:val="a5"/>
        </w:rPr>
        <w:footnoteReference w:id="2335" w:customMarkFollows="0"/>
      </w:r>
      <w:bookmarkEnd w:id="3223"/>
      <w:r>
        <w:rPr>
          <w:rtl/>
        </w:rPr>
        <w:t xml:space="preserve">, וכמותם גם בנו שסרח של הסבא, </w:t>
      </w:r>
      <w:proofErr w:type="spellStart"/>
      <w:r>
        <w:rPr>
          <w:rtl/>
        </w:rPr>
        <w:t>רובעל׳ה</w:t>
      </w:r>
      <w:proofErr w:type="spellEnd"/>
      <w:r>
        <w:rPr>
          <w:rtl/>
        </w:rPr>
        <w:t xml:space="preserve">, הצעיר בילדיו. לבסוף הגיע לדטרויט, ונעשה כרטיסן בחשמלית, ולא שמר מצוות. אחיו ר׳ </w:t>
      </w:r>
      <w:proofErr w:type="spellStart"/>
      <w:r>
        <w:rPr>
          <w:rtl/>
        </w:rPr>
        <w:t>לייזר־יודל</w:t>
      </w:r>
      <w:proofErr w:type="spellEnd"/>
      <w:r>
        <w:rPr>
          <w:rtl/>
        </w:rPr>
        <w:t xml:space="preserve"> ור׳ </w:t>
      </w:r>
      <w:proofErr w:type="spellStart"/>
      <w:r>
        <w:rPr>
          <w:rtl/>
        </w:rPr>
        <w:t>אברהם־שמואל</w:t>
      </w:r>
      <w:proofErr w:type="spellEnd"/>
      <w:r>
        <w:rPr>
          <w:rtl/>
        </w:rPr>
        <w:t xml:space="preserve"> וגיסו ר׳ אייזיק שר ניסו ליצור עמו קשר בביקוריהם בעיר זו, אבל הוא דחה את ניסיונותיהם</w:t>
      </w:r>
      <w:bookmarkStart w:id="3224" w:name="_fnr2329"/>
      <w:r>
        <w:rPr>
          <w:rStyle w:val="a5"/>
        </w:rPr>
        <w:footnoteReference w:id="2336" w:customMarkFollows="0"/>
      </w:r>
      <w:bookmarkEnd w:id="3224"/>
      <w:r>
        <w:rPr>
          <w:rtl/>
        </w:rPr>
        <w:t>.</w:t>
      </w:r>
    </w:p>
    <w:p w14:paraId="1AB2F970" w14:textId="77777777" w:rsidR="00AB3647" w:rsidRDefault="00000000" w:rsidP="007923E9">
      <w:pPr>
        <w:pStyle w:val="4"/>
        <w:spacing w:line="276" w:lineRule="auto"/>
      </w:pPr>
      <w:r>
        <w:t>· הפסקה השנייה ·</w:t>
      </w:r>
    </w:p>
    <w:p w14:paraId="5F17EF10" w14:textId="77777777" w:rsidR="00AB3647" w:rsidRDefault="00000000" w:rsidP="007923E9">
      <w:pPr>
        <w:pStyle w:val="5"/>
        <w:spacing w:line="276" w:lineRule="auto"/>
      </w:pPr>
      <w:r>
        <w:t xml:space="preserve">ר׳ ישראל </w:t>
      </w:r>
      <w:proofErr w:type="spellStart"/>
      <w:r>
        <w:t>סלנטר</w:t>
      </w:r>
      <w:proofErr w:type="spellEnd"/>
      <w:r>
        <w:t xml:space="preserve"> מנסה דרכים במלחמה בהשכלה – בנו לומד מתמטיקה – שני תלמידים סוטים מן הדרך ואחד חוזר ומופיע כאיש מוזר – ד״ר </w:t>
      </w:r>
      <w:proofErr w:type="spellStart"/>
      <w:r>
        <w:t>איינהורן</w:t>
      </w:r>
      <w:proofErr w:type="spellEnd"/>
      <w:r>
        <w:t xml:space="preserve"> מופיע ונעלם בעיירות רוסיה – הוא מציג לאנטישמי את שירותו הצבאי – הסיפור המיוחס לחזרתו בתשובה – הוא מפיץ מידע מטעה על עצמו – בלבול בעניין אחיו – שלושה תלמידים עוזבים את </w:t>
      </w:r>
      <w:proofErr w:type="spellStart"/>
      <w:r>
        <w:t>וולוז׳ין</w:t>
      </w:r>
      <w:proofErr w:type="spellEnd"/>
      <w:r>
        <w:t xml:space="preserve"> – ר׳ ישראל נזהר מהשכלה חילונית – ר׳ </w:t>
      </w:r>
      <w:proofErr w:type="spellStart"/>
      <w:r>
        <w:t>שמחה־זיסל</w:t>
      </w:r>
      <w:proofErr w:type="spellEnd"/>
      <w:r>
        <w:t xml:space="preserve"> זיו עורך ניסיון קצר בחינוך בתו לתפילה</w:t>
      </w:r>
    </w:p>
    <w:p w14:paraId="343B2D8D" w14:textId="77777777" w:rsidR="00AB3647" w:rsidRDefault="00000000" w:rsidP="007923E9">
      <w:pPr>
        <w:spacing w:after="120" w:line="276" w:lineRule="auto"/>
        <w:ind w:firstLine="283"/>
        <w:jc w:val="both"/>
      </w:pPr>
      <w:r>
        <w:rPr>
          <w:rtl/>
        </w:rPr>
        <w:t xml:space="preserve">גם </w:t>
      </w:r>
      <w:proofErr w:type="spellStart"/>
      <w:r>
        <w:rPr>
          <w:rtl/>
        </w:rPr>
        <w:t>לר</w:t>
      </w:r>
      <w:proofErr w:type="spellEnd"/>
      <w:r>
        <w:rPr>
          <w:rtl/>
        </w:rPr>
        <w:t xml:space="preserve">׳ ישראל </w:t>
      </w:r>
      <w:proofErr w:type="spellStart"/>
      <w:r>
        <w:rPr>
          <w:rtl/>
        </w:rPr>
        <w:t>סלנטר</w:t>
      </w:r>
      <w:proofErr w:type="spellEnd"/>
      <w:r>
        <w:rPr>
          <w:rtl/>
        </w:rPr>
        <w:t xml:space="preserve"> היה בן, ליפמן, שסטה מדרכי אביו, שכן ר׳ ישראל, כמנהגם של מייסדי תנועת המוסר, ערך ניסיונות בחינוך בנו ובחינוך שני תלמידים, והתיר להם ללמוד באוניברסיטה. “הוא רצה לנסות כל דבר בעולם שנראה שיש בו תקווה להציל את היהדות מן ההשכלה”, אמר אבי</w:t>
      </w:r>
      <w:bookmarkStart w:id="3225" w:name="_fnr2330"/>
      <w:bookmarkStart w:id="3226" w:name="pr_f_2233"/>
      <w:r>
        <w:rPr>
          <w:rStyle w:val="a5"/>
        </w:rPr>
        <w:footnoteReference w:id="2337" w:customMarkFollows="0"/>
      </w:r>
      <w:bookmarkEnd w:id="3225"/>
      <w:bookmarkEnd w:id="3226"/>
      <w:r>
        <w:rPr>
          <w:rtl/>
        </w:rPr>
        <w:t>.</w:t>
      </w:r>
    </w:p>
    <w:p w14:paraId="5D4F53E9" w14:textId="77777777" w:rsidR="00AB3647" w:rsidRDefault="00000000" w:rsidP="007923E9">
      <w:pPr>
        <w:spacing w:after="120" w:line="276" w:lineRule="auto"/>
        <w:ind w:firstLine="283"/>
        <w:jc w:val="both"/>
      </w:pPr>
      <w:r>
        <w:rPr>
          <w:rtl/>
        </w:rPr>
        <w:t xml:space="preserve">השווה “עובדות והנהגות לבית </w:t>
      </w:r>
      <w:proofErr w:type="spellStart"/>
      <w:r>
        <w:rPr>
          <w:rtl/>
        </w:rPr>
        <w:t>בריסק</w:t>
      </w:r>
      <w:proofErr w:type="spellEnd"/>
      <w:r>
        <w:rPr>
          <w:rtl/>
        </w:rPr>
        <w:t>”</w:t>
      </w:r>
      <w:bookmarkStart w:id="3227" w:name="_fnr2331"/>
      <w:r>
        <w:rPr>
          <w:rStyle w:val="a5"/>
        </w:rPr>
        <w:footnoteReference w:id="2338" w:customMarkFollows="0"/>
      </w:r>
      <w:bookmarkEnd w:id="3227"/>
      <w:r>
        <w:rPr>
          <w:rtl/>
        </w:rPr>
        <w:t xml:space="preserve">, המביא בשם ר׳ פנחס </w:t>
      </w:r>
      <w:proofErr w:type="spellStart"/>
      <w:r>
        <w:rPr>
          <w:rtl/>
        </w:rPr>
        <w:t>ביברפלד</w:t>
      </w:r>
      <w:proofErr w:type="spellEnd"/>
      <w:r>
        <w:rPr>
          <w:rtl/>
        </w:rPr>
        <w:t xml:space="preserve"> ששמע מר׳ יצחק־זאב </w:t>
      </w:r>
      <w:proofErr w:type="spellStart"/>
      <w:r>
        <w:rPr>
          <w:rtl/>
        </w:rPr>
        <w:t>סולובייצ׳יק</w:t>
      </w:r>
      <w:proofErr w:type="spellEnd"/>
      <w:r>
        <w:rPr>
          <w:rtl/>
        </w:rPr>
        <w:t>: “ר׳ ישראל ניסה דברים רבים. הוא ניסה גם את דרך החסידות.” זהו דבר שאבי בוודאי היה מזכיר אילו ידע עליו.</w:t>
      </w:r>
    </w:p>
    <w:p w14:paraId="4752FBBE" w14:textId="77777777" w:rsidR="00AB3647" w:rsidRDefault="00000000" w:rsidP="007923E9">
      <w:pPr>
        <w:spacing w:after="120" w:line="276" w:lineRule="auto"/>
        <w:ind w:firstLine="283"/>
        <w:jc w:val="both"/>
      </w:pPr>
      <w:r>
        <w:rPr>
          <w:rtl/>
        </w:rPr>
        <w:t>השווה גם כץ, “תנועת המוסר”, כרך א</w:t>
      </w:r>
      <w:bookmarkStart w:id="3228" w:name="_fnr2332"/>
      <w:r>
        <w:rPr>
          <w:rStyle w:val="a5"/>
        </w:rPr>
        <w:footnoteReference w:id="2339" w:customMarkFollows="0"/>
      </w:r>
      <w:bookmarkEnd w:id="3228"/>
      <w:r>
        <w:rPr>
          <w:rtl/>
        </w:rPr>
        <w:t xml:space="preserve">, האומר: “ר׳ ישראל ראה [בהשכלה], שהתפתחותה הייתה אז בראשיתה, התחלה מסוכנת העלולה להביא את היהדות לקרירות רוח, שממנה יתחיל הרע בדורות הבאים ויסיטם מדרך התורה. הוא היה אומר שאם הסכנה אינה צפויה למאה ה־19 לספירה, הרי היא צפויה למאה ה־20 – וגייס את כל כוחותיו למלחמה </w:t>
      </w:r>
      <w:r>
        <w:rPr>
          <w:rtl/>
        </w:rPr>
        <w:lastRenderedPageBreak/>
        <w:t>בסכנה זו.” לאחר שמנה כמה מפעולותיו של ר׳ ישראל נגד ההשכלה, כתב כץ</w:t>
      </w:r>
      <w:bookmarkStart w:id="3229" w:name="_fnr2333"/>
      <w:r>
        <w:rPr>
          <w:rStyle w:val="a5"/>
        </w:rPr>
        <w:footnoteReference w:id="2340" w:customMarkFollows="0"/>
      </w:r>
      <w:bookmarkEnd w:id="3229"/>
      <w:r>
        <w:rPr>
          <w:rtl/>
        </w:rPr>
        <w:t xml:space="preserve">: “אף שהמשכילים ידעו שר׳ ישראל עומד מאחורי כל הפעולות הללו בעיצומה של המלחמה נגדם, לא העזו להזכירו לגנאי. בשעה שהכפישו את כל הרבנים ואת נאמני הדור וכתבו ספרים מיוחדים ללעוג להם </w:t>
      </w:r>
      <w:proofErr w:type="spellStart"/>
      <w:r>
        <w:rPr>
          <w:rtl/>
        </w:rPr>
        <w:t>ולשימם</w:t>
      </w:r>
      <w:proofErr w:type="spellEnd"/>
      <w:r>
        <w:rPr>
          <w:rtl/>
        </w:rPr>
        <w:t xml:space="preserve"> לחרפה, לא הזכירו את שמו של ר׳ ישראל ולא פגעו בכבודו – כאילו פחדו מזוהרה של אותה שמש גדולה שלא היה בה כתם או רבב.”</w:t>
      </w:r>
    </w:p>
    <w:p w14:paraId="559089A7" w14:textId="77777777" w:rsidR="00AB3647" w:rsidRDefault="00000000" w:rsidP="007923E9">
      <w:pPr>
        <w:spacing w:after="120" w:line="276" w:lineRule="auto"/>
        <w:ind w:firstLine="283"/>
        <w:jc w:val="both"/>
      </w:pPr>
      <w:r>
        <w:rPr>
          <w:rtl/>
        </w:rPr>
        <w:t>היוצא מן הכלל בין המשכילים היה, לפי יעקב מארק</w:t>
      </w:r>
      <w:bookmarkStart w:id="3230" w:name="_fnr2334"/>
      <w:r>
        <w:rPr>
          <w:rStyle w:val="a5"/>
        </w:rPr>
        <w:footnoteReference w:id="2341" w:customMarkFollows="0"/>
      </w:r>
      <w:bookmarkEnd w:id="3230"/>
      <w:r>
        <w:rPr>
          <w:rtl/>
        </w:rPr>
        <w:t>, אברהם מאפו, תושב קובנה, בספרו “עיט צבוע”</w:t>
      </w:r>
      <w:bookmarkStart w:id="3231" w:name="_fnr2335"/>
      <w:r>
        <w:rPr>
          <w:rStyle w:val="a5"/>
        </w:rPr>
        <w:footnoteReference w:id="2342" w:customMarkFollows="0"/>
      </w:r>
      <w:bookmarkEnd w:id="3231"/>
      <w:r>
        <w:rPr>
          <w:rtl/>
        </w:rPr>
        <w:t xml:space="preserve">. אבל השווה מכתב של מאפו שנדפס </w:t>
      </w:r>
      <w:proofErr w:type="spellStart"/>
      <w:r>
        <w:rPr>
          <w:rtl/>
        </w:rPr>
        <w:t>ב“מכתבי</w:t>
      </w:r>
      <w:proofErr w:type="spellEnd"/>
      <w:r>
        <w:rPr>
          <w:rtl/>
        </w:rPr>
        <w:t xml:space="preserve"> אברהם מאפו”</w:t>
      </w:r>
      <w:bookmarkStart w:id="3232" w:name="_fnr2336"/>
      <w:r>
        <w:rPr>
          <w:rStyle w:val="a5"/>
        </w:rPr>
        <w:footnoteReference w:id="2343" w:customMarkFollows="0"/>
      </w:r>
      <w:bookmarkEnd w:id="3232"/>
      <w:r>
        <w:rPr>
          <w:rtl/>
        </w:rPr>
        <w:t xml:space="preserve">, ובו הוא מספר על פירושו של חסידו של ר׳ ישראל </w:t>
      </w:r>
      <w:proofErr w:type="spellStart"/>
      <w:r>
        <w:rPr>
          <w:rtl/>
        </w:rPr>
        <w:t>סלנטר</w:t>
      </w:r>
      <w:proofErr w:type="spellEnd"/>
      <w:r>
        <w:rPr>
          <w:rtl/>
        </w:rPr>
        <w:t xml:space="preserve">, ר׳ אהרן </w:t>
      </w:r>
      <w:proofErr w:type="spellStart"/>
      <w:r>
        <w:rPr>
          <w:rtl/>
        </w:rPr>
        <w:t>נביאזר</w:t>
      </w:r>
      <w:proofErr w:type="spellEnd"/>
      <w:r>
        <w:rPr>
          <w:rtl/>
        </w:rPr>
        <w:t xml:space="preserve"> [</w:t>
      </w:r>
      <w:proofErr w:type="spellStart"/>
      <w:r>
        <w:rPr>
          <w:rtl/>
        </w:rPr>
        <w:t>נוויאצקי</w:t>
      </w:r>
      <w:proofErr w:type="spellEnd"/>
      <w:r>
        <w:rPr>
          <w:rtl/>
        </w:rPr>
        <w:t xml:space="preserve">], שאחת הדמויות המתועבות בספרו של מאפו, “ר׳ </w:t>
      </w:r>
      <w:proofErr w:type="spellStart"/>
      <w:r>
        <w:rPr>
          <w:rtl/>
        </w:rPr>
        <w:t>גדיאל</w:t>
      </w:r>
      <w:proofErr w:type="spellEnd"/>
      <w:r>
        <w:rPr>
          <w:rtl/>
        </w:rPr>
        <w:t xml:space="preserve">”, עוצבה על פי </w:t>
      </w:r>
      <w:proofErr w:type="spellStart"/>
      <w:r>
        <w:rPr>
          <w:rtl/>
        </w:rPr>
        <w:t>סלנטר</w:t>
      </w:r>
      <w:proofErr w:type="spellEnd"/>
      <w:r>
        <w:rPr>
          <w:rtl/>
        </w:rPr>
        <w:t xml:space="preserve"> – דבר שמאפו </w:t>
      </w:r>
      <w:r>
        <w:rPr>
          <w:b/>
          <w:bCs/>
          <w:rtl/>
        </w:rPr>
        <w:t>אינו מאשר</w:t>
      </w:r>
      <w:r>
        <w:rPr>
          <w:rtl/>
        </w:rPr>
        <w:t>.</w:t>
      </w:r>
    </w:p>
    <w:p w14:paraId="24FDBF82" w14:textId="77777777" w:rsidR="00AB3647" w:rsidRDefault="00000000" w:rsidP="007923E9">
      <w:pPr>
        <w:spacing w:after="120" w:line="276" w:lineRule="auto"/>
        <w:ind w:firstLine="283"/>
        <w:jc w:val="both"/>
      </w:pPr>
      <w:bookmarkStart w:id="3233" w:name="pr_b_1383"/>
      <w:bookmarkEnd w:id="3233"/>
      <w:r>
        <w:rPr>
          <w:rtl/>
        </w:rPr>
        <w:t>יעקב מארק</w:t>
      </w:r>
      <w:bookmarkStart w:id="3234" w:name="_fnr2337"/>
      <w:r>
        <w:rPr>
          <w:rStyle w:val="a5"/>
        </w:rPr>
        <w:footnoteReference w:id="2344" w:customMarkFollows="0"/>
      </w:r>
      <w:bookmarkEnd w:id="3234"/>
      <w:r>
        <w:rPr>
          <w:rtl/>
        </w:rPr>
        <w:t xml:space="preserve"> מספר </w:t>
      </w:r>
      <w:proofErr w:type="spellStart"/>
      <w:r>
        <w:rPr>
          <w:rtl/>
        </w:rPr>
        <w:t>ש“מסופר</w:t>
      </w:r>
      <w:proofErr w:type="spellEnd"/>
      <w:r>
        <w:rPr>
          <w:rtl/>
        </w:rPr>
        <w:t xml:space="preserve">” כי בתקופה ששימש ראש ישיבה שני </w:t>
      </w:r>
      <w:proofErr w:type="spellStart"/>
      <w:r>
        <w:rPr>
          <w:rtl/>
        </w:rPr>
        <w:t>בוולוז׳ין</w:t>
      </w:r>
      <w:proofErr w:type="spellEnd"/>
      <w:r>
        <w:rPr>
          <w:rtl/>
        </w:rPr>
        <w:t xml:space="preserve">, התבקש ר׳ יוסף־דב </w:t>
      </w:r>
      <w:proofErr w:type="spellStart"/>
      <w:r>
        <w:rPr>
          <w:rtl/>
        </w:rPr>
        <w:t>סולובייצ׳יק</w:t>
      </w:r>
      <w:proofErr w:type="spellEnd"/>
      <w:r>
        <w:rPr>
          <w:rtl/>
        </w:rPr>
        <w:t xml:space="preserve"> להעניש תלמיד שנתפס קורא “עיט צבוע”, ואמר: “אדרבה, יקראו כל הבחורים בספר ויראו כמה מגוחך הוא, ושוב לא ייקחו בידם ‘</w:t>
      </w:r>
      <w:proofErr w:type="spellStart"/>
      <w:r>
        <w:rPr>
          <w:rtl/>
        </w:rPr>
        <w:t>ביכל</w:t>
      </w:r>
      <w:proofErr w:type="spellEnd"/>
      <w:r>
        <w:rPr>
          <w:rtl/>
        </w:rPr>
        <w:t>’ [ספרון – הכינוי לספרות חילונית].”</w:t>
      </w:r>
    </w:p>
    <w:p w14:paraId="35A8B106" w14:textId="77777777" w:rsidR="00AB3647" w:rsidRDefault="00000000" w:rsidP="007923E9">
      <w:pPr>
        <w:spacing w:after="120" w:line="276" w:lineRule="auto"/>
        <w:ind w:firstLine="283"/>
        <w:jc w:val="both"/>
      </w:pPr>
      <w:r>
        <w:rPr>
          <w:rtl/>
        </w:rPr>
        <w:t xml:space="preserve">כנראה יש סיבה אחרת מזו שנתן כץ לכך שהמשכילים לא גינו את </w:t>
      </w:r>
      <w:proofErr w:type="spellStart"/>
      <w:r>
        <w:rPr>
          <w:rtl/>
        </w:rPr>
        <w:t>סלנטר</w:t>
      </w:r>
      <w:proofErr w:type="spellEnd"/>
      <w:r>
        <w:rPr>
          <w:rtl/>
        </w:rPr>
        <w:t xml:space="preserve">: הם השתעשעו במחשבה לראות במחדש זה אחד משלהם! ראה להלן, והשווה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35" w:name="_fnr2338"/>
      <w:r>
        <w:rPr>
          <w:rStyle w:val="a5"/>
        </w:rPr>
        <w:footnoteReference w:id="2345" w:customMarkFollows="0"/>
      </w:r>
      <w:bookmarkEnd w:id="3235"/>
      <w:r>
        <w:rPr>
          <w:rtl/>
        </w:rPr>
        <w:t xml:space="preserve">, על כך שהמשכילים “העריכו שהאישיות יוצאת הדופן, ובמובן מסוים הבלתי שגרתית [של ר׳ ישראל </w:t>
      </w:r>
      <w:proofErr w:type="spellStart"/>
      <w:r>
        <w:rPr>
          <w:rtl/>
        </w:rPr>
        <w:t>סלנטר</w:t>
      </w:r>
      <w:proofErr w:type="spellEnd"/>
      <w:r>
        <w:rPr>
          <w:rtl/>
        </w:rPr>
        <w:t>], נוטה לדרכיהם”, וכי “סופרים משכילים ניסו שוב ושוב למצוא תמיכה לעמדותיהם בדמותו הבלתי שגרתית והייחודית בנוף ההנהגה הדתית של ר׳ ישראל”</w:t>
      </w:r>
      <w:bookmarkStart w:id="3236" w:name="_fnr2339"/>
      <w:r>
        <w:rPr>
          <w:rStyle w:val="a5"/>
        </w:rPr>
        <w:footnoteReference w:id="2346" w:customMarkFollows="0"/>
      </w:r>
      <w:bookmarkEnd w:id="3236"/>
      <w:r>
        <w:rPr>
          <w:rtl/>
        </w:rPr>
        <w:t>.</w:t>
      </w:r>
    </w:p>
    <w:p w14:paraId="239C0202" w14:textId="77777777" w:rsidR="00AB3647" w:rsidRDefault="00000000" w:rsidP="007923E9">
      <w:pPr>
        <w:spacing w:after="120" w:line="276" w:lineRule="auto"/>
        <w:ind w:firstLine="283"/>
        <w:jc w:val="both"/>
      </w:pPr>
      <w:r>
        <w:rPr>
          <w:rtl/>
        </w:rPr>
        <w:t xml:space="preserve">מבין השלושה שעליהם ערך ר׳ ישראל את ניסיונו, בנו של </w:t>
      </w:r>
      <w:proofErr w:type="spellStart"/>
      <w:r>
        <w:rPr>
          <w:rtl/>
        </w:rPr>
        <w:t>סלנטר</w:t>
      </w:r>
      <w:proofErr w:type="spellEnd"/>
      <w:r>
        <w:rPr>
          <w:rtl/>
        </w:rPr>
        <w:t xml:space="preserve"> נשאר שומר מצוות, אבל לא במידה שהניחה את דעת אביו. כאשר טענו פרסומים התומכים בהשכלה שר׳ ישראל מצדד בשילוב תורה עם השכלה חילונית, כפי שמוכיחים מעשי בנו עצמו, פרסם ר׳ ישראל בשנת תרכ״ה הסתייגות מהתנהגות בנו בן </w:t>
      </w:r>
      <w:proofErr w:type="spellStart"/>
      <w:r>
        <w:rPr>
          <w:rtl/>
        </w:rPr>
        <w:t>התשע־עשרה</w:t>
      </w:r>
      <w:proofErr w:type="spellEnd"/>
      <w:r>
        <w:rPr>
          <w:rtl/>
        </w:rPr>
        <w:t xml:space="preserve">, ופנה </w:t>
      </w:r>
      <w:proofErr w:type="spellStart"/>
      <w:r>
        <w:rPr>
          <w:rtl/>
        </w:rPr>
        <w:t>ל“כל</w:t>
      </w:r>
      <w:proofErr w:type="spellEnd"/>
      <w:r>
        <w:rPr>
          <w:rtl/>
        </w:rPr>
        <w:t xml:space="preserve"> מי שיש לו השפעה” להשיבו אל “האיש שבור הרוח [שהוא אביו] היום”</w:t>
      </w:r>
      <w:bookmarkStart w:id="3237" w:name="_fnr2340"/>
      <w:r>
        <w:rPr>
          <w:rStyle w:val="a5"/>
        </w:rPr>
        <w:footnoteReference w:id="2347" w:customMarkFollows="0"/>
      </w:r>
      <w:bookmarkEnd w:id="3237"/>
      <w:r>
        <w:rPr>
          <w:rtl/>
        </w:rPr>
        <w:t>. אבי תיאר</w:t>
      </w:r>
      <w:bookmarkStart w:id="3238" w:name="_fnr2341"/>
      <w:r>
        <w:rPr>
          <w:rStyle w:val="a5"/>
        </w:rPr>
        <w:footnoteReference w:id="2348" w:customMarkFollows="0"/>
      </w:r>
      <w:bookmarkEnd w:id="3238"/>
      <w:r>
        <w:rPr>
          <w:rtl/>
        </w:rPr>
        <w:t xml:space="preserve"> את מצבו הדתי של הבן במילים: “בסוף ימיו חזר בתשובה.” הוא מת צעיר, בן שלושים</w:t>
      </w:r>
      <w:bookmarkStart w:id="3239" w:name="_fnr2342"/>
      <w:r>
        <w:rPr>
          <w:rStyle w:val="a5"/>
        </w:rPr>
        <w:footnoteReference w:id="2349" w:customMarkFollows="0"/>
      </w:r>
      <w:bookmarkEnd w:id="3239"/>
      <w:r>
        <w:rPr>
          <w:rtl/>
        </w:rPr>
        <w:t>, לאחר שהמציא מכשיר טכני שנקרא על שמו, מנגנון ליפקין.</w:t>
      </w:r>
    </w:p>
    <w:p w14:paraId="3305BD80" w14:textId="77777777" w:rsidR="00AB3647" w:rsidRDefault="00000000" w:rsidP="007923E9">
      <w:pPr>
        <w:spacing w:after="120" w:line="276" w:lineRule="auto"/>
        <w:ind w:firstLine="283"/>
        <w:jc w:val="both"/>
      </w:pPr>
      <w:r>
        <w:rPr>
          <w:rtl/>
        </w:rPr>
        <w:lastRenderedPageBreak/>
        <w:t xml:space="preserve">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240" w:name="_fnr2343"/>
      <w:r>
        <w:rPr>
          <w:rStyle w:val="a5"/>
        </w:rPr>
        <w:footnoteReference w:id="2350" w:customMarkFollows="0"/>
      </w:r>
      <w:bookmarkEnd w:id="3240"/>
      <w:r>
        <w:rPr>
          <w:rtl/>
        </w:rPr>
        <w:t xml:space="preserve">, שליפמן היה בן </w:t>
      </w:r>
      <w:proofErr w:type="spellStart"/>
      <w:r>
        <w:rPr>
          <w:rtl/>
        </w:rPr>
        <w:t>אחת־עשרה</w:t>
      </w:r>
      <w:proofErr w:type="spellEnd"/>
      <w:r>
        <w:rPr>
          <w:rtl/>
        </w:rPr>
        <w:t xml:space="preserve"> בלבד כשעבר אביו לגרמניה והשאיר את משפחתו בליטא. לפי יעקב מארק</w:t>
      </w:r>
      <w:bookmarkStart w:id="3241" w:name="_fnr2344"/>
      <w:r>
        <w:rPr>
          <w:rStyle w:val="a5"/>
        </w:rPr>
        <w:footnoteReference w:id="2351" w:customMarkFollows="0"/>
      </w:r>
      <w:bookmarkEnd w:id="3241"/>
      <w:r>
        <w:rPr>
          <w:rtl/>
        </w:rPr>
        <w:t xml:space="preserve">, הצעיר החליט מדעת עצמו לעזוב את בית </w:t>
      </w:r>
      <w:proofErr w:type="spellStart"/>
      <w:r>
        <w:rPr>
          <w:rtl/>
        </w:rPr>
        <w:t>אמו</w:t>
      </w:r>
      <w:proofErr w:type="spellEnd"/>
      <w:r>
        <w:rPr>
          <w:rtl/>
        </w:rPr>
        <w:t xml:space="preserve"> וללמוד באוניברסיטה; אבל לפי אבי, ר׳ ישראל ידע היטב מה עושה בנו. ניתן לשער שגאונותו הטבעית של ליפמן במתמטיקה, המתוארת שם, הניעה את אביו לנסות ולהשלים עם המשך התפתחותו בתחום זה.</w:t>
      </w:r>
    </w:p>
    <w:p w14:paraId="7E43A8DE" w14:textId="77777777" w:rsidR="00AB3647" w:rsidRDefault="00000000" w:rsidP="007923E9">
      <w:pPr>
        <w:spacing w:after="120" w:line="276" w:lineRule="auto"/>
        <w:ind w:firstLine="283"/>
        <w:jc w:val="both"/>
      </w:pPr>
      <w:r>
        <w:rPr>
          <w:rtl/>
        </w:rPr>
        <w:t xml:space="preserve">שני שפני הניסיון האחרים עזבו לגמרי את היהדות. אבל אחד מהם, רופא צבאי, נמלט מעבר לגבול לרוסיה ונעשה בעל תשובה מוזר, לאחר התקף שיגעון שבו הצית את הבית בווינה שחי בו עם אשתו וילדיו </w:t>
      </w:r>
      <w:proofErr w:type="spellStart"/>
      <w:r>
        <w:rPr>
          <w:rtl/>
        </w:rPr>
        <w:t>הלא־יהודים</w:t>
      </w:r>
      <w:proofErr w:type="spellEnd"/>
      <w:r>
        <w:rPr>
          <w:rtl/>
        </w:rPr>
        <w:t xml:space="preserve">. אבי ראה אותו בבית כנסת במינסק, לבוש טלית ותפילין כל היום. לפי דיווח של ר׳ יצחק </w:t>
      </w:r>
      <w:proofErr w:type="spellStart"/>
      <w:r>
        <w:rPr>
          <w:rtl/>
        </w:rPr>
        <w:t>שורין</w:t>
      </w:r>
      <w:bookmarkStart w:id="3242" w:name="_fnr2345"/>
      <w:proofErr w:type="spellEnd"/>
      <w:r>
        <w:rPr>
          <w:rStyle w:val="a5"/>
        </w:rPr>
        <w:footnoteReference w:id="2352" w:customMarkFollows="0"/>
      </w:r>
      <w:bookmarkEnd w:id="3242"/>
      <w:r>
        <w:rPr>
          <w:rtl/>
        </w:rPr>
        <w:t xml:space="preserve">, אבי סיפר ששמו של האיש היה </w:t>
      </w:r>
      <w:proofErr w:type="spellStart"/>
      <w:r>
        <w:rPr>
          <w:rtl/>
        </w:rPr>
        <w:t>איינהורן</w:t>
      </w:r>
      <w:proofErr w:type="spellEnd"/>
      <w:r>
        <w:rPr>
          <w:rtl/>
        </w:rPr>
        <w:t>, ושלא קיבל שכר בעד שירותיו הרפואיים, אלא ארוחה בלבד.</w:t>
      </w:r>
    </w:p>
    <w:p w14:paraId="04B256E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 גם שבביקור שערך אבי אצל ר׳ </w:t>
      </w:r>
      <w:proofErr w:type="spellStart"/>
      <w:r>
        <w:rPr>
          <w:rtl/>
        </w:rPr>
        <w:t>יעקב־ישראל</w:t>
      </w:r>
      <w:proofErr w:type="spellEnd"/>
      <w:r>
        <w:rPr>
          <w:rtl/>
        </w:rPr>
        <w:t xml:space="preserve"> </w:t>
      </w:r>
      <w:proofErr w:type="spellStart"/>
      <w:r>
        <w:rPr>
          <w:rtl/>
        </w:rPr>
        <w:t xml:space="preserve">קניבסקי</w:t>
      </w:r>
      <w:proofErr w:type="spellEnd"/>
      <w:r>
        <w:rPr>
          <w:rtl/>
        </w:rPr>
        <w:t xml:space="preserve"> בבני ברק בשנת תשכ״ט, הובאה לפני המארח בעיה: צעירה התעוורה בלי סיבה גופנית. אבי אמר למארחו שמקרה כזה בדיוק הובא לפני אותו רופא במינסק, והוא הורה להדליק אור בהיר בחדר החולה בשעה שהייתה שקועה בשינה עמוקה, ואז להעירה פתאום.</w:t>
      </w:r>
    </w:p>
    <w:p w14:paraId="48BC479D" w14:textId="77777777" w:rsidR="00AB3647" w:rsidRDefault="00000000" w:rsidP="007923E9">
      <w:pPr>
        <w:spacing w:after="120" w:line="276" w:lineRule="auto"/>
        <w:ind w:firstLine="283"/>
        <w:jc w:val="both"/>
      </w:pPr>
      <w:r>
        <w:rPr>
          <w:rtl/>
        </w:rPr>
        <w:t xml:space="preserve">אזכור לד״ר </w:t>
      </w:r>
      <w:proofErr w:type="spellStart"/>
      <w:r>
        <w:rPr>
          <w:rtl/>
        </w:rPr>
        <w:t>איינהורן</w:t>
      </w:r>
      <w:proofErr w:type="spellEnd"/>
      <w:r>
        <w:rPr>
          <w:rtl/>
        </w:rPr>
        <w:t xml:space="preserve"> נמצא במאמר של אברהם ליסין </w:t>
      </w:r>
      <w:proofErr w:type="spellStart"/>
      <w:r>
        <w:rPr>
          <w:rtl/>
        </w:rPr>
        <w:t>ב“מינסק</w:t>
      </w:r>
      <w:proofErr w:type="spellEnd"/>
      <w:r>
        <w:rPr>
          <w:rtl/>
        </w:rPr>
        <w:t xml:space="preserve"> עיר ואם” א</w:t>
      </w:r>
      <w:bookmarkStart w:id="3243" w:name="_fnr2346"/>
      <w:r>
        <w:rPr>
          <w:rStyle w:val="a5"/>
        </w:rPr>
        <w:footnoteReference w:id="2353" w:customMarkFollows="0"/>
      </w:r>
      <w:bookmarkEnd w:id="3243"/>
      <w:r>
        <w:rPr>
          <w:rtl/>
        </w:rPr>
        <w:t xml:space="preserve">, ובו הוא מתואר כמי שבילה את ימיו בבית המדרש </w:t>
      </w:r>
      <w:proofErr w:type="spellStart"/>
      <w:r>
        <w:rPr>
          <w:rtl/>
        </w:rPr>
        <w:t>החטאייביצ׳ר</w:t>
      </w:r>
      <w:proofErr w:type="spellEnd"/>
      <w:r>
        <w:rPr>
          <w:rtl/>
        </w:rPr>
        <w:t xml:space="preserve"> בחורף תרמ״ב. ליסין אומר שבבית המדרש במינסק לא ידעו מה הביא לחזרתו בתשובה, אבל “</w:t>
      </w:r>
      <w:r>
        <w:rPr>
          <w:b/>
          <w:bCs/>
          <w:rtl/>
        </w:rPr>
        <w:t>לאחר זמן רב</w:t>
      </w:r>
      <w:r>
        <w:rPr>
          <w:rtl/>
        </w:rPr>
        <w:t>” (ההדגשה שלי) נודע לו (למחבר המאמר, ואולי גם לאחרים) שהייתה זו תוצאה של זעזוע נפשי עמוק כשאחיו המיר את דתו לנצרות.</w:t>
      </w:r>
    </w:p>
    <w:p w14:paraId="7A142341" w14:textId="77777777" w:rsidR="00AB3647" w:rsidRDefault="00000000" w:rsidP="007923E9">
      <w:pPr>
        <w:spacing w:after="120" w:line="276" w:lineRule="auto"/>
        <w:ind w:firstLine="283"/>
        <w:jc w:val="both"/>
      </w:pPr>
      <w:r>
        <w:rPr>
          <w:rtl/>
        </w:rPr>
        <w:t xml:space="preserve">מצאתי גם מאמר שלם על הרופא, שכותרתו “ד״ר בנימין </w:t>
      </w:r>
      <w:proofErr w:type="spellStart"/>
      <w:r>
        <w:rPr>
          <w:rtl/>
        </w:rPr>
        <w:t>איינהארן</w:t>
      </w:r>
      <w:proofErr w:type="spellEnd"/>
      <w:r>
        <w:rPr>
          <w:rtl/>
        </w:rPr>
        <w:t xml:space="preserve">”, מאת יעקב </w:t>
      </w:r>
      <w:proofErr w:type="spellStart"/>
      <w:r>
        <w:rPr>
          <w:rtl/>
        </w:rPr>
        <w:t>גערשאווסקי</w:t>
      </w:r>
      <w:proofErr w:type="spellEnd"/>
      <w:r>
        <w:rPr>
          <w:rtl/>
        </w:rPr>
        <w:t xml:space="preserve">, </w:t>
      </w:r>
      <w:proofErr w:type="spellStart"/>
      <w:r>
        <w:rPr>
          <w:rtl/>
        </w:rPr>
        <w:t>ב“פנקס</w:t>
      </w:r>
      <w:proofErr w:type="spellEnd"/>
      <w:r>
        <w:rPr>
          <w:rtl/>
        </w:rPr>
        <w:t xml:space="preserve"> </w:t>
      </w:r>
      <w:proofErr w:type="spellStart"/>
      <w:r>
        <w:rPr>
          <w:rtl/>
        </w:rPr>
        <w:t>נאווארעדאק</w:t>
      </w:r>
      <w:proofErr w:type="spellEnd"/>
      <w:r>
        <w:rPr>
          <w:rtl/>
        </w:rPr>
        <w:t>”</w:t>
      </w:r>
      <w:bookmarkStart w:id="3244" w:name="_fnr2347"/>
      <w:r>
        <w:rPr>
          <w:rStyle w:val="a5"/>
        </w:rPr>
        <w:footnoteReference w:id="2354" w:customMarkFollows="0"/>
      </w:r>
      <w:bookmarkEnd w:id="3244"/>
      <w:r>
        <w:rPr>
          <w:rtl/>
        </w:rPr>
        <w:t>, עמ׳ 76–78, שיעניין את הקורא ויעמיד את דברי אבי בהקשרם. להלן קטע מאותו מאמר:</w:t>
      </w:r>
    </w:p>
    <w:p w14:paraId="719970EB" w14:textId="77777777" w:rsidR="00AB3647" w:rsidRDefault="00000000" w:rsidP="007923E9">
      <w:pPr>
        <w:spacing w:after="120" w:line="276" w:lineRule="auto"/>
        <w:ind w:firstLine="283"/>
        <w:jc w:val="both"/>
      </w:pPr>
      <w:r>
        <w:rPr>
          <w:rtl/>
        </w:rPr>
        <w:t xml:space="preserve">איזו סנסציה הייתה בראשית שנות </w:t>
      </w:r>
      <w:proofErr w:type="spellStart"/>
      <w:r>
        <w:rPr>
          <w:rtl/>
        </w:rPr>
        <w:t xml:space="preserve">התר״מ</w:t>
      </w:r>
      <w:proofErr w:type="spellEnd"/>
      <w:r>
        <w:rPr>
          <w:rtl/>
        </w:rPr>
        <w:t xml:space="preserve"> [שנות השמונים של המאה ה־19], כשרופא יהודי בגיל העמידה, ולא עוד אלא רופא צבאי, התיישב </w:t>
      </w:r>
      <w:proofErr w:type="spellStart"/>
      <w:r>
        <w:rPr>
          <w:rtl/>
        </w:rPr>
        <w:t>בנובהרדוק</w:t>
      </w:r>
      <w:proofErr w:type="spellEnd"/>
      <w:r>
        <w:rPr>
          <w:rtl/>
        </w:rPr>
        <w:t>... ומיד החל להתפלל בבוקר בטלית צמר גדולה ובתפילין גדולים. היה בא לבית המדרש גם למנחה ולערבית, מתפלל בדבקות ובהתלהבות, ואחרי התפילה היה מתיישב ללמוד דף גמרא בשקידה רבה</w:t>
      </w:r>
      <w:bookmarkStart w:id="3245" w:name="_fnr2348"/>
      <w:r>
        <w:rPr>
          <w:rStyle w:val="a5"/>
        </w:rPr>
        <w:footnoteReference w:id="2355" w:customMarkFollows="0"/>
      </w:r>
      <w:bookmarkEnd w:id="3245"/>
      <w:r>
        <w:rPr>
          <w:rtl/>
        </w:rPr>
        <w:t>.</w:t>
      </w:r>
    </w:p>
    <w:p w14:paraId="268DCE66" w14:textId="77777777" w:rsidR="00AB3647" w:rsidRDefault="00000000" w:rsidP="007923E9">
      <w:pPr>
        <w:spacing w:after="120" w:line="276" w:lineRule="auto"/>
        <w:ind w:firstLine="283"/>
        <w:jc w:val="both"/>
      </w:pPr>
      <w:r>
        <w:rPr>
          <w:rtl/>
        </w:rPr>
        <w:t xml:space="preserve">העיר געשה כקלחת: רופא צבאי בדרגת </w:t>
      </w:r>
      <w:proofErr w:type="spellStart"/>
      <w:r>
        <w:rPr>
          <w:rtl/>
        </w:rPr>
        <w:t>פולקובניק</w:t>
      </w:r>
      <w:proofErr w:type="spellEnd"/>
      <w:r>
        <w:rPr>
          <w:rtl/>
        </w:rPr>
        <w:t xml:space="preserve">, בעל זקן ופאות ארוכות, המתנהג כאדוק שביהודים! הוא התפרסם כרופא עיניים, שריפא חולים שלפני בואו לא הועילו להם אפילו “רפואות” קיצוניות, כגון מי ברז </w:t>
      </w:r>
      <w:proofErr w:type="spellStart"/>
      <w:r>
        <w:rPr>
          <w:rtl/>
        </w:rPr>
        <w:t>מ“המקום</w:t>
      </w:r>
      <w:proofErr w:type="spellEnd"/>
      <w:r>
        <w:rPr>
          <w:rtl/>
        </w:rPr>
        <w:t xml:space="preserve"> הנקי”</w:t>
      </w:r>
      <w:bookmarkStart w:id="3246" w:name="_fnr2349"/>
      <w:r>
        <w:rPr>
          <w:rStyle w:val="a5"/>
        </w:rPr>
        <w:footnoteReference w:id="2356" w:customMarkFollows="0"/>
      </w:r>
      <w:bookmarkEnd w:id="3246"/>
      <w:r>
        <w:rPr>
          <w:rtl/>
        </w:rPr>
        <w:t xml:space="preserve">, או אפילו המים שרחצו בהם </w:t>
      </w:r>
      <w:r>
        <w:rPr>
          <w:rtl/>
        </w:rPr>
        <w:lastRenderedPageBreak/>
        <w:t>מתים. בתחילה משך אליו קהל גדול של מטופלים מפני שלא היה רודף בצע. את העניים החולים ריפא בלי שום תשלום, וגם אצל העשירים לא עמד על שכרו. אך הצלחתו לא ארכה. פרנסתו הלכה ופחתה, עד שלא יכול היה להתקיים ממנה.</w:t>
      </w:r>
    </w:p>
    <w:p w14:paraId="2933EF9B" w14:textId="77777777" w:rsidR="00AB3647" w:rsidRDefault="00000000" w:rsidP="007923E9">
      <w:pPr>
        <w:spacing w:after="120" w:line="276" w:lineRule="auto"/>
        <w:ind w:firstLine="283"/>
        <w:jc w:val="both"/>
      </w:pPr>
      <w:r>
        <w:rPr>
          <w:rtl/>
        </w:rPr>
        <w:t xml:space="preserve">יחסם של היהודים אליו נעשה גס יותר וחסר כבוד – אף שהעשירים ניצלו את העובדה שמעולם לא התמקח ולא ספר את שכרו. הם הבינו שאורח חייו, אדיקותו, אינו הולם את מקצועו. כבר היו שאמרו שאינו נראה שפוי לגמרי. הם החלו לחשוש להפקיד בידו חולים. בסופו של דבר, ככל שחלף הזמן, התמעטה פרנסתו. מאחר שלא מצא את פרנסתו, עבר </w:t>
      </w:r>
      <w:proofErr w:type="spellStart"/>
      <w:r>
        <w:rPr>
          <w:rtl/>
        </w:rPr>
        <w:t>לקורליץ</w:t>
      </w:r>
      <w:proofErr w:type="spellEnd"/>
      <w:r>
        <w:rPr>
          <w:rtl/>
        </w:rPr>
        <w:t xml:space="preserve">. גם </w:t>
      </w:r>
      <w:proofErr w:type="spellStart"/>
      <w:r>
        <w:rPr>
          <w:rtl/>
        </w:rPr>
        <w:t>בקורליץ</w:t>
      </w:r>
      <w:proofErr w:type="spellEnd"/>
      <w:r>
        <w:rPr>
          <w:rtl/>
        </w:rPr>
        <w:t xml:space="preserve"> ניצלו אותו מטופליו ונתנו לו מטבעות נחושת במקום מטבעות כסף; באותו זמן נהגו לתת לרופא את שכרו עטוף בפיסת נייר. מאחר שגם </w:t>
      </w:r>
      <w:proofErr w:type="spellStart"/>
      <w:r>
        <w:rPr>
          <w:rtl/>
        </w:rPr>
        <w:t>בקורליץ</w:t>
      </w:r>
      <w:proofErr w:type="spellEnd"/>
      <w:r>
        <w:rPr>
          <w:rtl/>
        </w:rPr>
        <w:t xml:space="preserve"> לא מצא פרנסה, עבר – כך נדמה לי – לעיירה אחרת, ושם חזרו אותן תופעות.</w:t>
      </w:r>
    </w:p>
    <w:p w14:paraId="487BCAE6" w14:textId="77777777" w:rsidR="00AB3647" w:rsidRDefault="00000000" w:rsidP="007923E9">
      <w:pPr>
        <w:spacing w:after="120" w:line="276" w:lineRule="auto"/>
        <w:ind w:firstLine="283"/>
        <w:jc w:val="both"/>
      </w:pPr>
      <w:r>
        <w:rPr>
          <w:rtl/>
        </w:rPr>
        <w:t xml:space="preserve">ראוי לציין את המאפיין הבא של אורח חייו: כל השנה היה מתבודד מכולם. אפילו כשלמד בבית המדרש נמנע מחברה. התנהג כפרוש, עצוב, מודאג, כמעט </w:t>
      </w:r>
      <w:proofErr w:type="spellStart"/>
      <w:r>
        <w:rPr>
          <w:rtl/>
        </w:rPr>
        <w:t>מרה־שחורה׳דיק</w:t>
      </w:r>
      <w:proofErr w:type="spellEnd"/>
      <w:r>
        <w:rPr>
          <w:rtl/>
        </w:rPr>
        <w:t xml:space="preserve"> [מדוכדך], כאילו </w:t>
      </w:r>
      <w:proofErr w:type="spellStart"/>
      <w:r>
        <w:rPr>
          <w:rtl/>
        </w:rPr>
        <w:t>דבר־מה</w:t>
      </w:r>
      <w:proofErr w:type="spellEnd"/>
      <w:r>
        <w:rPr>
          <w:rtl/>
        </w:rPr>
        <w:t xml:space="preserve"> מעיק עליו. אבל כשהגיעה שמחת תורה, צמח לו עור חדש – כפי שאומרים. אז היה מתמלא שמחה ונעשה צוהל ועליז. אוחז בספר תורה, היה רוקד ושר במעגל המסתובב. לא היה אכפת לו אם הסובבים אותו זקנים או צעירים, ראשי קהל נכבדים או פועלים עניים ועגלונים פשוטים.</w:t>
      </w:r>
    </w:p>
    <w:p w14:paraId="5023BF3B" w14:textId="77777777" w:rsidR="00AB3647" w:rsidRDefault="00000000" w:rsidP="007923E9">
      <w:pPr>
        <w:spacing w:after="120" w:line="276" w:lineRule="auto"/>
        <w:ind w:firstLine="283"/>
        <w:jc w:val="both"/>
      </w:pPr>
      <w:r>
        <w:rPr>
          <w:rtl/>
        </w:rPr>
        <w:t xml:space="preserve">לבסוף נטש את עיסוקו ברפואה ועבר לווילנה, ושם ישב כל היום ולמד </w:t>
      </w:r>
      <w:proofErr w:type="spellStart"/>
      <w:r>
        <w:rPr>
          <w:rtl/>
        </w:rPr>
        <w:t>בקלויז</w:t>
      </w:r>
      <w:proofErr w:type="spellEnd"/>
      <w:r>
        <w:rPr>
          <w:rtl/>
        </w:rPr>
        <w:t xml:space="preserve"> של הגאון, והתפרנס מתמיכת קרוביו. כשפרצה מלחמת העולם הראשונה, נותק מקרוביו, וחי זמן קצר אחר כך לבדו ובדוחק גדול. בסתיו 1914 מת [י״ב בחשוון תרע״ה], </w:t>
      </w:r>
      <w:proofErr w:type="spellStart"/>
      <w:r>
        <w:rPr>
          <w:rtl/>
        </w:rPr>
        <w:t>ו“צדקה</w:t>
      </w:r>
      <w:proofErr w:type="spellEnd"/>
      <w:r>
        <w:rPr>
          <w:rtl/>
        </w:rPr>
        <w:t xml:space="preserve"> גדולה” נתנה לו קבר מכובד בשורה השנייה של בית הקברות.</w:t>
      </w:r>
    </w:p>
    <w:p w14:paraId="066C26EF" w14:textId="77777777" w:rsidR="00AB3647" w:rsidRDefault="00000000" w:rsidP="007923E9">
      <w:pPr>
        <w:spacing w:after="120" w:line="276" w:lineRule="auto"/>
        <w:ind w:firstLine="283"/>
        <w:jc w:val="both"/>
      </w:pPr>
      <w:r>
        <w:rPr>
          <w:rtl/>
        </w:rPr>
        <w:t xml:space="preserve">אותו מאמר אינו מזכיר במפורש את מינסק כאחת מתחנותיו לאחר שעזב את </w:t>
      </w:r>
      <w:proofErr w:type="spellStart"/>
      <w:r>
        <w:rPr>
          <w:rtl/>
        </w:rPr>
        <w:t>נובהרדוק</w:t>
      </w:r>
      <w:proofErr w:type="spellEnd"/>
      <w:r>
        <w:rPr>
          <w:rtl/>
        </w:rPr>
        <w:t xml:space="preserve"> בזמן כלשהו אחרי “ראשית שנות </w:t>
      </w:r>
      <w:proofErr w:type="spellStart"/>
      <w:r>
        <w:rPr>
          <w:rtl/>
        </w:rPr>
        <w:t xml:space="preserve">התר״מ</w:t>
      </w:r>
      <w:proofErr w:type="spellEnd"/>
      <w:r>
        <w:rPr>
          <w:rtl/>
        </w:rPr>
        <w:t xml:space="preserve">”. אבל ייתכן מאוד שבנדודיו לאחר שהותו </w:t>
      </w:r>
      <w:proofErr w:type="spellStart"/>
      <w:r>
        <w:rPr>
          <w:rtl/>
        </w:rPr>
        <w:t>בקורליץ</w:t>
      </w:r>
      <w:proofErr w:type="spellEnd"/>
      <w:r>
        <w:rPr>
          <w:rtl/>
        </w:rPr>
        <w:t xml:space="preserve"> הגיע למינסק “בחורף תרמ״ב”, כפי שמתואר במאמר ליסין </w:t>
      </w:r>
      <w:proofErr w:type="spellStart"/>
      <w:r>
        <w:rPr>
          <w:rtl/>
        </w:rPr>
        <w:t>ב“מינסק</w:t>
      </w:r>
      <w:proofErr w:type="spellEnd"/>
      <w:r>
        <w:rPr>
          <w:rtl/>
        </w:rPr>
        <w:t xml:space="preserve"> עיר ואם”. אם המשיך לעסוק ברפואה במינסק מאותו זמן עד שאבי ראה אותו שם בראשית שנות </w:t>
      </w:r>
      <w:proofErr w:type="spellStart"/>
      <w:r>
        <w:rPr>
          <w:rtl/>
        </w:rPr>
        <w:t xml:space="preserve">התר״ס</w:t>
      </w:r>
      <w:proofErr w:type="spellEnd"/>
      <w:r>
        <w:rPr>
          <w:rtl/>
        </w:rPr>
        <w:t xml:space="preserve"/>
      </w:r>
      <w:bookmarkStart w:id="3247" w:name="_fnr2350"/>
      <w:r>
        <w:rPr>
          <w:rStyle w:val="a5"/>
        </w:rPr>
        <w:footnoteReference w:id="2357" w:customMarkFollows="0"/>
      </w:r>
      <w:bookmarkEnd w:id="3247"/>
      <w:r>
        <w:rPr>
          <w:rtl/>
        </w:rPr>
        <w:t xml:space="preserve"> – כעבור עשרים שנה – הרי זה שבח גדול ליהודי מינסק, שבניגוד לתושבי העיירות ששהה בהן קודם בואו לשם, נהגו בו ביושר ובכבוד.</w:t>
      </w:r>
    </w:p>
    <w:p w14:paraId="7E1E52E5" w14:textId="77777777" w:rsidR="00AB3647" w:rsidRDefault="00000000" w:rsidP="007923E9">
      <w:pPr>
        <w:spacing w:after="120" w:line="276" w:lineRule="auto"/>
        <w:ind w:firstLine="283"/>
        <w:jc w:val="both"/>
      </w:pPr>
      <w:r>
        <w:rPr>
          <w:rtl/>
        </w:rPr>
        <w:t xml:space="preserve">עם זאת, מפליא שמחבר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שעקב אחר מסלולו הכללי של </w:t>
      </w:r>
      <w:proofErr w:type="spellStart"/>
      <w:r>
        <w:rPr>
          <w:rtl/>
        </w:rPr>
        <w:t>איינהורן</w:t>
      </w:r>
      <w:proofErr w:type="spellEnd"/>
      <w:r>
        <w:rPr>
          <w:rtl/>
        </w:rPr>
        <w:t xml:space="preserve"> וידע על פרישתו בווילנה, לא הזכיר את שהותו הארוכה במינסק. לפיכך יש להניח שלא זמן רב אחרי שהותו בבית המדרש </w:t>
      </w:r>
      <w:proofErr w:type="spellStart"/>
      <w:r>
        <w:rPr>
          <w:rtl/>
        </w:rPr>
        <w:t>החטאייביצ׳ר</w:t>
      </w:r>
      <w:proofErr w:type="spellEnd"/>
      <w:r>
        <w:rPr>
          <w:rtl/>
        </w:rPr>
        <w:t xml:space="preserve"> במינסק עזב ד״ר </w:t>
      </w:r>
      <w:proofErr w:type="spellStart"/>
      <w:r>
        <w:rPr>
          <w:rtl/>
        </w:rPr>
        <w:t>איינהורן</w:t>
      </w:r>
      <w:proofErr w:type="spellEnd"/>
      <w:r>
        <w:rPr>
          <w:rtl/>
        </w:rPr>
        <w:t xml:space="preserve"> גם עיר זו, ולאחר נדודים נוספים </w:t>
      </w:r>
      <w:r>
        <w:rPr>
          <w:b/>
          <w:bCs/>
          <w:rtl/>
        </w:rPr>
        <w:t>חזר</w:t>
      </w:r>
      <w:r>
        <w:rPr>
          <w:rtl/>
        </w:rPr>
        <w:t xml:space="preserve"> אליה כעבור שני עשורים, כשאבי ראה אותו. מומחיותו בבעיות עיניים ואדישותו לתשלום על עבודתו, כפי שתוארו בשהותו </w:t>
      </w:r>
      <w:proofErr w:type="spellStart"/>
      <w:r>
        <w:rPr>
          <w:rtl/>
        </w:rPr>
        <w:t>בנובהרדוק</w:t>
      </w:r>
      <w:proofErr w:type="spellEnd"/>
      <w:r>
        <w:rPr>
          <w:rtl/>
        </w:rPr>
        <w:t>, מתאימות לזיכרונות רבנו מימיו המאוחרים יותר של הרופא במינסק.</w:t>
      </w:r>
    </w:p>
    <w:p w14:paraId="6C5F249C" w14:textId="77777777" w:rsidR="00AB3647" w:rsidRDefault="00000000" w:rsidP="007923E9">
      <w:pPr>
        <w:spacing w:after="120" w:line="276" w:lineRule="auto"/>
        <w:ind w:firstLine="283"/>
        <w:jc w:val="both"/>
      </w:pPr>
      <w:r>
        <w:rPr>
          <w:rtl/>
        </w:rPr>
        <w:lastRenderedPageBreak/>
        <w:t xml:space="preserve">“פנקס </w:t>
      </w:r>
      <w:proofErr w:type="spellStart"/>
      <w:r>
        <w:rPr>
          <w:rtl/>
        </w:rPr>
        <w:t>נאווארעדאק</w:t>
      </w:r>
      <w:proofErr w:type="spellEnd"/>
      <w:r>
        <w:rPr>
          <w:rtl/>
        </w:rPr>
        <w:t xml:space="preserve">” מספר גם שד״ר בנימין </w:t>
      </w:r>
      <w:proofErr w:type="spellStart"/>
      <w:r>
        <w:rPr>
          <w:rtl/>
        </w:rPr>
        <w:t>איינהורן</w:t>
      </w:r>
      <w:proofErr w:type="spellEnd"/>
      <w:r>
        <w:rPr>
          <w:rtl/>
        </w:rPr>
        <w:t xml:space="preserve"> טען ששירת בצבא </w:t>
      </w:r>
      <w:r>
        <w:rPr>
          <w:b/>
          <w:bCs/>
          <w:rtl/>
        </w:rPr>
        <w:t>הרוסי</w:t>
      </w:r>
      <w:r>
        <w:rPr>
          <w:rtl/>
        </w:rPr>
        <w:t xml:space="preserve"> (ולא באוסטרי). עוד מסופר שם שפעם התעמת עמו פקיד עירוני אנטישמי, </w:t>
      </w:r>
      <w:proofErr w:type="spellStart"/>
      <w:r>
        <w:rPr>
          <w:rtl/>
        </w:rPr>
        <w:t>פריסטאוו</w:t>
      </w:r>
      <w:proofErr w:type="spellEnd"/>
      <w:r>
        <w:rPr>
          <w:rtl/>
        </w:rPr>
        <w:t xml:space="preserve"> – האיש היה רע כל כך, שתושבי העיר כינו אותו “המן” – שפקפק בטענתו של יהודי דתי שהוא רופא, וביקש לראות את תעודותיו. “[</w:t>
      </w:r>
      <w:proofErr w:type="spellStart"/>
      <w:r>
        <w:rPr>
          <w:rtl/>
        </w:rPr>
        <w:t>איינהורן</w:t>
      </w:r>
      <w:proofErr w:type="spellEnd"/>
      <w:r>
        <w:rPr>
          <w:rtl/>
        </w:rPr>
        <w:t xml:space="preserve"> הראה לו] מסמכים חתומים רשמית ואמר בקול תקיף: ‘איך אתה מעז לנהוג בי כך? אתה יודע עם מי הסתבכת ואיזו דרגה יש לי?’ אחר כך הוציא צרור מדליות שקיבל במלחמת רוסיה–טורקיה” – מלחמת קרים, בשנים 1853–1856, שבה לחמו צרפת ובריטניה לצד טורקיה, </w:t>
      </w:r>
      <w:proofErr w:type="spellStart"/>
      <w:r>
        <w:rPr>
          <w:rtl/>
        </w:rPr>
        <w:t>ואוסטרו־הונגריה</w:t>
      </w:r>
      <w:proofErr w:type="spellEnd"/>
      <w:r>
        <w:rPr>
          <w:rtl/>
        </w:rPr>
        <w:t xml:space="preserve"> צידדה ברוסיה</w:t>
      </w:r>
      <w:bookmarkStart w:id="3248" w:name="_fnr2351"/>
      <w:r>
        <w:rPr>
          <w:rStyle w:val="a5"/>
        </w:rPr>
        <w:footnoteReference w:id="2358" w:customMarkFollows="0"/>
      </w:r>
      <w:bookmarkStart w:id="3249" w:name="_fnr2352"/>
      <w:bookmarkEnd w:id="3248"/>
      <w:r>
        <w:rPr>
          <w:rStyle w:val="a5"/>
        </w:rPr>
        <w:t/>
      </w:r>
      <w:bookmarkStart w:id="7027" w:name="_TranslatorNote_2351"/>
      <w:r>
        <w:rPr>
          <w:rStyle w:val="a5"/>
          <w:vertAlign w:val="superscript"/>
          <w:rtl/>
        </w:rPr>
        <w:footnoteReference w:id="2359" w:customMarkFollows="1"/>
        <w:t>*</w:t>
      </w:r>
      <w:bookmarkEnd w:id="7027"/>
      <w:bookmarkEnd w:id="3249"/>
      <w:r>
        <w:rPr>
          <w:rtl/>
        </w:rPr>
        <w:t xml:space="preserve"> – “והמשיך: ‘אתה רואה איך הממשלה נהגה בי על שירותי במלחמה? לפי דרגתי היית צריך להצדיע לי, ולא לנהוג בי באכזריות ובחוצפה כזאת!’”</w:t>
      </w:r>
    </w:p>
    <w:p w14:paraId="190C539C" w14:textId="77777777" w:rsidR="00AB3647" w:rsidRDefault="00000000" w:rsidP="007923E9">
      <w:pPr>
        <w:spacing w:after="120" w:line="276" w:lineRule="auto"/>
        <w:ind w:firstLine="283"/>
        <w:jc w:val="both"/>
      </w:pPr>
      <w:r>
        <w:rPr>
          <w:rtl/>
        </w:rPr>
        <w:t xml:space="preserve">סתירה לכאורה לגילויו של אבי היא הסיפור על שובו של </w:t>
      </w:r>
      <w:proofErr w:type="spellStart"/>
      <w:r>
        <w:rPr>
          <w:rtl/>
        </w:rPr>
        <w:t>איינהורן</w:t>
      </w:r>
      <w:proofErr w:type="spellEnd"/>
      <w:r>
        <w:rPr>
          <w:rtl/>
        </w:rPr>
        <w:t xml:space="preserve"> לאמונה לפי המאמר </w:t>
      </w:r>
      <w:proofErr w:type="spellStart"/>
      <w:r>
        <w:rPr>
          <w:rtl/>
        </w:rPr>
        <w:t>ב“פנקס</w:t>
      </w:r>
      <w:proofErr w:type="spellEnd"/>
      <w:r>
        <w:rPr>
          <w:rtl/>
        </w:rPr>
        <w:t xml:space="preserve"> </w:t>
      </w:r>
      <w:proofErr w:type="spellStart"/>
      <w:r>
        <w:rPr>
          <w:rtl/>
        </w:rPr>
        <w:t>נאווארעדאק</w:t>
      </w:r>
      <w:proofErr w:type="spellEnd"/>
      <w:r>
        <w:rPr>
          <w:rtl/>
        </w:rPr>
        <w:t>”. בחלקו האחרון נאמר:</w:t>
      </w:r>
    </w:p>
    <w:p w14:paraId="08F0408C" w14:textId="77777777" w:rsidR="00AB3647" w:rsidRDefault="00000000" w:rsidP="007923E9">
      <w:pPr>
        <w:spacing w:after="120" w:line="276" w:lineRule="auto"/>
        <w:ind w:firstLine="283"/>
        <w:jc w:val="both"/>
      </w:pPr>
      <w:r>
        <w:rPr>
          <w:rtl/>
        </w:rPr>
        <w:t xml:space="preserve">גרסאות רבות נפוצו על הסיבה לכך שד״ר בנימין </w:t>
      </w:r>
      <w:proofErr w:type="spellStart"/>
      <w:r>
        <w:rPr>
          <w:rtl/>
        </w:rPr>
        <w:t>איינהורן</w:t>
      </w:r>
      <w:proofErr w:type="spellEnd"/>
      <w:r>
        <w:rPr>
          <w:rtl/>
        </w:rPr>
        <w:t xml:space="preserve">, רופא צבאי בדרגת </w:t>
      </w:r>
      <w:proofErr w:type="spellStart"/>
      <w:r>
        <w:rPr>
          <w:rtl/>
        </w:rPr>
        <w:t>פולקובניק</w:t>
      </w:r>
      <w:proofErr w:type="spellEnd"/>
      <w:r>
        <w:rPr>
          <w:rtl/>
        </w:rPr>
        <w:t xml:space="preserve">, נעשה פתאום בעל תשובה. הוא בא מהורים אדוקים מאוד מעיירה קטנה – </w:t>
      </w:r>
      <w:r>
        <w:rPr>
          <w:b/>
          <w:bCs/>
          <w:rtl/>
        </w:rPr>
        <w:t>נדמה לי איוויה</w:t>
      </w:r>
      <w:r>
        <w:rPr>
          <w:rtl/>
        </w:rPr>
        <w:t xml:space="preserve"> (ההדגשה שלי) – וקיבל, כמובן, חינוך אורתודוקסי. בעת לימודיו בישיבות התערער בהשפעת תנועת ההשכלה. הוא עזב את לימוד התורה ופנה ללימודי חול, תחילה באוניברסיטה ואחר כך באקדמיה הצבאית. בתקופת מלחמת רוסיה–טורקיה הגיע לדרגת </w:t>
      </w:r>
      <w:proofErr w:type="spellStart"/>
      <w:r>
        <w:rPr>
          <w:rtl/>
        </w:rPr>
        <w:t>פולקובניק</w:t>
      </w:r>
      <w:proofErr w:type="spellEnd"/>
      <w:r>
        <w:rPr>
          <w:rtl/>
        </w:rPr>
        <w:t>, והוריו האדוקים הצטערו על כך צער עמוק.</w:t>
      </w:r>
    </w:p>
    <w:p w14:paraId="03E8E92B" w14:textId="77777777" w:rsidR="00AB3647" w:rsidRDefault="00000000" w:rsidP="007923E9">
      <w:pPr>
        <w:spacing w:after="120" w:line="276" w:lineRule="auto"/>
        <w:ind w:firstLine="283"/>
        <w:jc w:val="both"/>
      </w:pPr>
      <w:r>
        <w:rPr>
          <w:rtl/>
        </w:rPr>
        <w:t>באותו זמן שכנע בנימין את אחיו הצעיר לעזוב את הישיבה, ובכך פתח פצעים ישנים אצל הוריו, שצערם היה ללא גבול. בנימין הבטיח להם שישתדל בכל כוחו שאחיו הצעיר יישאר יהודי דתי. אבל האח, שלא הצליח להגשים את שאיפתו לאחר שסיים את לימודיו</w:t>
      </w:r>
      <w:bookmarkStart w:id="3250" w:name="_fnr2353"/>
      <w:r>
        <w:rPr>
          <w:rStyle w:val="a5"/>
        </w:rPr>
        <w:footnoteReference w:id="2360" w:customMarkFollows="0"/>
      </w:r>
      <w:bookmarkEnd w:id="3250"/>
      <w:r>
        <w:rPr>
          <w:rtl/>
        </w:rPr>
        <w:t>, המיר את דתו. הדבר זעזע את הוריו. הם לא יכלו לשאת את הכאב ואת הבושה, ומתו זמן קצר אחר כך. מות הוריו השפיע על בנימין השפעה מחרידה. התחוללה בו התמוטטות פנימית, ומי שהיה רחוק מן היהדות נעשה בעל תשובה. הוא עזב את משרתו הצבאית ועבר לעיירות קטנות, וחי בפרישות מן העולם כבעל תשובה אמיתי.</w:t>
      </w:r>
    </w:p>
    <w:p w14:paraId="1945D3D7" w14:textId="77777777" w:rsidR="00AB3647" w:rsidRDefault="00000000" w:rsidP="007923E9">
      <w:pPr>
        <w:spacing w:after="120" w:line="276" w:lineRule="auto"/>
        <w:ind w:firstLine="283"/>
        <w:jc w:val="both"/>
      </w:pPr>
      <w:r>
        <w:rPr>
          <w:rtl/>
        </w:rPr>
        <w:t xml:space="preserve">גרסה זו הייתה בבירור זו ששמע אברהם ליסין “לאחר זמן רב” ורשם במאמרו הנזכר לעיל </w:t>
      </w:r>
      <w:proofErr w:type="spellStart"/>
      <w:r>
        <w:rPr>
          <w:rtl/>
        </w:rPr>
        <w:t>ב“מינסק</w:t>
      </w:r>
      <w:proofErr w:type="spellEnd"/>
      <w:r>
        <w:rPr>
          <w:rtl/>
        </w:rPr>
        <w:t xml:space="preserve"> עיר ואם” א. ייתכן מאוד שאבי שמע אחת מן הגרסאות האחרות </w:t>
      </w:r>
      <w:proofErr w:type="spellStart"/>
      <w:r>
        <w:rPr>
          <w:rtl/>
        </w:rPr>
        <w:t>ש“פנקס</w:t>
      </w:r>
      <w:proofErr w:type="spellEnd"/>
      <w:r>
        <w:rPr>
          <w:rtl/>
        </w:rPr>
        <w:t xml:space="preserve"> </w:t>
      </w:r>
      <w:proofErr w:type="spellStart"/>
      <w:r>
        <w:rPr>
          <w:rtl/>
        </w:rPr>
        <w:t>נאווארעדאק</w:t>
      </w:r>
      <w:proofErr w:type="spellEnd"/>
      <w:r>
        <w:rPr>
          <w:rtl/>
        </w:rPr>
        <w:t xml:space="preserve">” אומר שהיו רווחות. אבל מאחר שלא מתקבל על הדעת ששמו של </w:t>
      </w:r>
      <w:proofErr w:type="spellStart"/>
      <w:r>
        <w:rPr>
          <w:rtl/>
        </w:rPr>
        <w:t>איינהורן</w:t>
      </w:r>
      <w:proofErr w:type="spellEnd"/>
      <w:r>
        <w:rPr>
          <w:rtl/>
        </w:rPr>
        <w:t xml:space="preserve"> נקשר לשמו של ר׳ ישראל </w:t>
      </w:r>
      <w:proofErr w:type="spellStart"/>
      <w:r>
        <w:rPr>
          <w:rtl/>
        </w:rPr>
        <w:t>סלנטר</w:t>
      </w:r>
      <w:proofErr w:type="spellEnd"/>
      <w:r>
        <w:rPr>
          <w:rtl/>
        </w:rPr>
        <w:t xml:space="preserve"> בלי יסוד, נוטה אני להאמין שגרסת אבי היא הנכונה.</w:t>
      </w:r>
    </w:p>
    <w:p w14:paraId="26DCA1F2" w14:textId="77777777" w:rsidR="00AB3647" w:rsidRDefault="00000000" w:rsidP="007923E9">
      <w:pPr>
        <w:spacing w:after="120" w:line="276" w:lineRule="auto"/>
        <w:ind w:firstLine="283"/>
        <w:jc w:val="both"/>
      </w:pPr>
      <w:r>
        <w:rPr>
          <w:rtl/>
        </w:rPr>
        <w:t xml:space="preserve">בנימין </w:t>
      </w:r>
      <w:proofErr w:type="spellStart"/>
      <w:r>
        <w:rPr>
          <w:rtl/>
        </w:rPr>
        <w:t>איינהורן</w:t>
      </w:r>
      <w:proofErr w:type="spellEnd"/>
      <w:r>
        <w:rPr>
          <w:rtl/>
        </w:rPr>
        <w:t xml:space="preserve"> ודאי למד אצל ר׳ ישראל בזמן כלשהו בשנות הוראתו בווילנה, ת״ר–תר״ט. די היה בכך כדי שיספיק לסיים את לימודי הרפואה ולהגיע לדרגה צבאית שאפשרה לו לשמש במקצועו במלחמת קרים, באמצע שנות </w:t>
      </w:r>
      <w:proofErr w:type="spellStart"/>
      <w:r>
        <w:rPr>
          <w:rtl/>
        </w:rPr>
        <w:t xml:space="preserve">התר״י</w:t>
      </w:r>
      <w:proofErr w:type="spellEnd"/>
      <w:r>
        <w:rPr>
          <w:rtl/>
        </w:rPr>
        <w:t xml:space="preserve">. ייתכן שד״ר </w:t>
      </w:r>
      <w:proofErr w:type="spellStart"/>
      <w:r>
        <w:rPr>
          <w:rtl/>
        </w:rPr>
        <w:t>איינהורן</w:t>
      </w:r>
      <w:proofErr w:type="spellEnd"/>
      <w:r>
        <w:rPr>
          <w:rtl/>
        </w:rPr>
        <w:t xml:space="preserve"> חצה את הגבול </w:t>
      </w:r>
      <w:r>
        <w:rPr>
          <w:rtl/>
        </w:rPr>
        <w:lastRenderedPageBreak/>
        <w:t xml:space="preserve">והתיישב בווינה כאזרח, לאחר שהסתיימה הקריירה הצבאית שלו. אפשר גם ששירת בצבא האוסטרי כשעבר לווינה </w:t>
      </w:r>
      <w:r>
        <w:rPr>
          <w:b/>
          <w:bCs/>
          <w:rtl/>
        </w:rPr>
        <w:t>אחרי</w:t>
      </w:r>
      <w:r>
        <w:rPr>
          <w:rtl/>
        </w:rPr>
        <w:t xml:space="preserve"> מלחמת קרים, או ששירת בצבא האוסטרי </w:t>
      </w:r>
      <w:r>
        <w:rPr>
          <w:b/>
          <w:bCs/>
          <w:rtl/>
        </w:rPr>
        <w:t>לפני</w:t>
      </w:r>
      <w:r>
        <w:rPr>
          <w:rtl/>
        </w:rPr>
        <w:t xml:space="preserve"> המלחמה, ואוסטריה, כבת בריתה של רוסיה באותו עימות,</w:t>
      </w:r>
      <w:bookmarkStart w:id="3251" w:name="_fnr2354"/>
      <w:bookmarkEnd w:id="3251"/>
      <w:r>
        <w:rPr>
          <w:rStyle w:val="a5"/>
        </w:rPr>
        <w:t/>
      </w:r>
      <w:bookmarkStart w:id="7028" w:name="_TranslatorNote_2353"/>
      <w:r>
        <w:rPr>
          <w:rStyle w:val="a5"/>
          <w:vertAlign w:val="superscript"/>
          <w:rtl/>
        </w:rPr>
        <w:footnoteReference w:id="2361" w:customMarkFollows="1"/>
        <w:t>*</w:t>
      </w:r>
      <w:bookmarkEnd w:id="7028"/>
      <w:r>
        <w:rPr>
          <w:rtl/>
        </w:rPr>
        <w:t xml:space="preserve"> “השאילה” את הרופא דובר הרוסית לצבא הרוסי, שהעניק לו אחר כך עיטורים.</w:t>
      </w:r>
    </w:p>
    <w:p w14:paraId="793D7549" w14:textId="77777777" w:rsidR="00AB3647" w:rsidRDefault="00000000" w:rsidP="007923E9">
      <w:pPr>
        <w:spacing w:after="120" w:line="276" w:lineRule="auto"/>
        <w:ind w:firstLine="283"/>
        <w:jc w:val="both"/>
      </w:pPr>
      <w:r>
        <w:rPr>
          <w:rtl/>
        </w:rPr>
        <w:t xml:space="preserve">המידע המטעה שמסר </w:t>
      </w:r>
      <w:proofErr w:type="spellStart"/>
      <w:r>
        <w:rPr>
          <w:rtl/>
        </w:rPr>
        <w:t>איינהורן</w:t>
      </w:r>
      <w:proofErr w:type="spellEnd"/>
      <w:r>
        <w:rPr>
          <w:rtl/>
        </w:rPr>
        <w:t xml:space="preserve"> המסוגר לא רק הסתיר את העובדה שהוא, ולא “אח”, המיר את דתו, ואת העובדה שלמד אצל ר׳ ישראל, אלא גם הותיר את מחבר המאמר </w:t>
      </w:r>
      <w:proofErr w:type="spellStart"/>
      <w:r>
        <w:rPr>
          <w:rtl/>
        </w:rPr>
        <w:t>ב“פנקס</w:t>
      </w:r>
      <w:proofErr w:type="spellEnd"/>
      <w:r>
        <w:rPr>
          <w:rtl/>
        </w:rPr>
        <w:t xml:space="preserve"> </w:t>
      </w:r>
      <w:proofErr w:type="spellStart"/>
      <w:r>
        <w:rPr>
          <w:rtl/>
        </w:rPr>
        <w:t>נאווארעדאק</w:t>
      </w:r>
      <w:proofErr w:type="spellEnd"/>
      <w:r>
        <w:rPr>
          <w:rtl/>
        </w:rPr>
        <w:t xml:space="preserve">” מבולבל בשאלה </w:t>
      </w:r>
      <w:r>
        <w:rPr>
          <w:b/>
          <w:bCs/>
          <w:rtl/>
        </w:rPr>
        <w:t xml:space="preserve">מאיזו עיירה בא </w:t>
      </w:r>
      <w:proofErr w:type="spellStart"/>
      <w:r>
        <w:rPr>
          <w:b/>
          <w:bCs/>
          <w:rtl/>
        </w:rPr>
        <w:t>איינהורן</w:t>
      </w:r>
      <w:proofErr w:type="spellEnd"/>
      <w:r>
        <w:rPr>
          <w:rtl/>
        </w:rPr>
        <w:t>.</w:t>
      </w:r>
    </w:p>
    <w:p w14:paraId="45C97073" w14:textId="77777777" w:rsidR="00AB3647" w:rsidRDefault="00000000" w:rsidP="007923E9">
      <w:pPr>
        <w:spacing w:after="120" w:line="276" w:lineRule="auto"/>
        <w:ind w:firstLine="283"/>
        <w:jc w:val="both"/>
      </w:pPr>
      <w:r>
        <w:rPr>
          <w:rtl/>
        </w:rPr>
        <w:t xml:space="preserve">השווה גם “ספר </w:t>
      </w:r>
      <w:proofErr w:type="spellStart"/>
      <w:r>
        <w:rPr>
          <w:rtl/>
        </w:rPr>
        <w:t>הזכרונות</w:t>
      </w:r>
      <w:proofErr w:type="spellEnd"/>
      <w:r>
        <w:rPr>
          <w:rtl/>
        </w:rPr>
        <w:t>”</w:t>
      </w:r>
      <w:bookmarkStart w:id="3252" w:name="_fnr2355"/>
      <w:r>
        <w:rPr>
          <w:rStyle w:val="a5"/>
        </w:rPr>
        <w:footnoteReference w:id="2362" w:customMarkFollows="0"/>
      </w:r>
      <w:bookmarkEnd w:id="3252"/>
      <w:r>
        <w:rPr>
          <w:rtl/>
        </w:rPr>
        <w:t xml:space="preserve">, הקושר אף הוא את ד״ר </w:t>
      </w:r>
      <w:proofErr w:type="spellStart"/>
      <w:r>
        <w:rPr>
          <w:rtl/>
        </w:rPr>
        <w:t>איינהורן</w:t>
      </w:r>
      <w:proofErr w:type="spellEnd"/>
      <w:r>
        <w:rPr>
          <w:rtl/>
        </w:rPr>
        <w:t xml:space="preserve"> </w:t>
      </w:r>
      <w:proofErr w:type="spellStart"/>
      <w:r>
        <w:rPr>
          <w:rtl/>
        </w:rPr>
        <w:t>לר</w:t>
      </w:r>
      <w:proofErr w:type="spellEnd"/>
      <w:r>
        <w:rPr>
          <w:rtl/>
        </w:rPr>
        <w:t xml:space="preserve">׳ ישראל כשהוא מספר על כישלונו של ר׳ ישראל עם התלמיד שהמיר את דתו, “הרופא, המפורסם בשעתו, גנרל </w:t>
      </w:r>
      <w:proofErr w:type="spellStart"/>
      <w:r>
        <w:rPr>
          <w:rtl/>
        </w:rPr>
        <w:t>איינהורן</w:t>
      </w:r>
      <w:proofErr w:type="spellEnd"/>
      <w:r>
        <w:rPr>
          <w:rtl/>
        </w:rPr>
        <w:t>”, ואומר</w:t>
      </w:r>
      <w:bookmarkStart w:id="3253" w:name="_fnr2356"/>
      <w:r>
        <w:rPr>
          <w:rStyle w:val="a5"/>
        </w:rPr>
        <w:footnoteReference w:id="2363" w:customMarkFollows="0"/>
      </w:r>
      <w:bookmarkEnd w:id="3253"/>
      <w:r>
        <w:rPr>
          <w:rtl/>
        </w:rPr>
        <w:t xml:space="preserve">: “הכרתי את אחיו הצעיר של גנרל זה, גם הוא רופא צבאי, אך אין כמוהו ביראת שמים. הוא ישב </w:t>
      </w:r>
      <w:proofErr w:type="spellStart"/>
      <w:r>
        <w:rPr>
          <w:rtl/>
        </w:rPr>
        <w:t>בקלויז</w:t>
      </w:r>
      <w:proofErr w:type="spellEnd"/>
      <w:r>
        <w:rPr>
          <w:rtl/>
        </w:rPr>
        <w:t xml:space="preserve"> של הגאון בווילנה, לבוש מדי קצין וחרבו לצדו. נראה שעשה לעצמו סייג לסייג כדי שלא ייכשל כאחיו הגדול. כשהיה רופא </w:t>
      </w:r>
      <w:proofErr w:type="spellStart"/>
      <w:r>
        <w:rPr>
          <w:rtl/>
        </w:rPr>
        <w:t>בנובהרדוק</w:t>
      </w:r>
      <w:proofErr w:type="spellEnd"/>
      <w:r>
        <w:rPr>
          <w:rtl/>
        </w:rPr>
        <w:t xml:space="preserve">, לא כתב מרשמים בשבת, אלא הלך לבית המרקחת והורה בעל פה על התרופה. לא נסע בעגלה בשבת וכמעט שלא דיבר שיחת חולין. התפלל שלוש פעמים ביום ובמניין, ולמד בשקידה בכל שעה פנויה. שני האחים היו שני קצוות באורח חייהם. הם אחיה של </w:t>
      </w:r>
      <w:proofErr w:type="spellStart"/>
      <w:r>
        <w:rPr>
          <w:rtl/>
        </w:rPr>
        <w:t>אמו</w:t>
      </w:r>
      <w:proofErr w:type="spellEnd"/>
      <w:r>
        <w:rPr>
          <w:rtl/>
        </w:rPr>
        <w:t xml:space="preserve"> של רב ידוע.”</w:t>
      </w:r>
    </w:p>
    <w:p w14:paraId="5BEBBA3A" w14:textId="77777777" w:rsidR="00AB3647" w:rsidRDefault="00000000" w:rsidP="007923E9">
      <w:pPr>
        <w:spacing w:after="120" w:line="276" w:lineRule="auto"/>
        <w:ind w:firstLine="283"/>
        <w:jc w:val="both"/>
      </w:pPr>
      <w:r>
        <w:rPr>
          <w:rtl/>
        </w:rPr>
        <w:t xml:space="preserve">לפי “ספר </w:t>
      </w:r>
      <w:proofErr w:type="spellStart"/>
      <w:r>
        <w:rPr>
          <w:rtl/>
        </w:rPr>
        <w:t>הזכרונות</w:t>
      </w:r>
      <w:proofErr w:type="spellEnd"/>
      <w:r>
        <w:rPr>
          <w:rtl/>
        </w:rPr>
        <w:t xml:space="preserve">”, האח הצעיר הוא שהיה הרופא האדוק, ולא הבכור, כפי שטוען “פנקס </w:t>
      </w:r>
      <w:proofErr w:type="spellStart"/>
      <w:r>
        <w:rPr>
          <w:rtl/>
        </w:rPr>
        <w:t>נאווארעדאק</w:t>
      </w:r>
      <w:proofErr w:type="spellEnd"/>
      <w:r>
        <w:rPr>
          <w:rtl/>
        </w:rPr>
        <w:t xml:space="preserve">”. נראה שמחבר “ספר </w:t>
      </w:r>
      <w:proofErr w:type="spellStart"/>
      <w:r>
        <w:rPr>
          <w:rtl/>
        </w:rPr>
        <w:t>הזכרונות</w:t>
      </w:r>
      <w:proofErr w:type="spellEnd"/>
      <w:r>
        <w:rPr>
          <w:rtl/>
        </w:rPr>
        <w:t xml:space="preserve">”, כמו תושבי </w:t>
      </w:r>
      <w:proofErr w:type="spellStart"/>
      <w:r>
        <w:rPr>
          <w:rtl/>
        </w:rPr>
        <w:t>נובהרדוק</w:t>
      </w:r>
      <w:proofErr w:type="spellEnd"/>
      <w:r>
        <w:rPr>
          <w:rtl/>
        </w:rPr>
        <w:t xml:space="preserve">, לא ידע שד״ר </w:t>
      </w:r>
      <w:proofErr w:type="spellStart"/>
      <w:r>
        <w:rPr>
          <w:rtl/>
        </w:rPr>
        <w:t>איינהורן</w:t>
      </w:r>
      <w:proofErr w:type="spellEnd"/>
      <w:r>
        <w:rPr>
          <w:rtl/>
        </w:rPr>
        <w:t xml:space="preserve"> שהכיר היה מומר שחזר בתשובה. הוא אף לא ידע, כמו שידע אבי, שלא היו שני אחים לבית </w:t>
      </w:r>
      <w:proofErr w:type="spellStart"/>
      <w:r>
        <w:rPr>
          <w:rtl/>
        </w:rPr>
        <w:t>איינהורן</w:t>
      </w:r>
      <w:proofErr w:type="spellEnd"/>
      <w:r>
        <w:rPr>
          <w:rtl/>
        </w:rPr>
        <w:t xml:space="preserve"> אלא איש אחד, ד״ר </w:t>
      </w:r>
      <w:proofErr w:type="spellStart"/>
      <w:r>
        <w:rPr>
          <w:rtl/>
        </w:rPr>
        <w:t>ג׳קיל</w:t>
      </w:r>
      <w:proofErr w:type="spellEnd"/>
      <w:r>
        <w:rPr>
          <w:rtl/>
        </w:rPr>
        <w:t xml:space="preserve"> ומר הייד.</w:t>
      </w:r>
    </w:p>
    <w:p w14:paraId="7D5423B9" w14:textId="77777777" w:rsidR="00AB3647" w:rsidRDefault="00000000" w:rsidP="007923E9">
      <w:pPr>
        <w:spacing w:after="120" w:line="276" w:lineRule="auto"/>
        <w:ind w:firstLine="283"/>
        <w:jc w:val="both"/>
      </w:pPr>
      <w:r>
        <w:rPr>
          <w:rtl/>
        </w:rPr>
        <w:t>השווה גם כץ, “תנועת המוסר”, כרך א</w:t>
      </w:r>
      <w:bookmarkStart w:id="3254" w:name="_fnr2357"/>
      <w:r>
        <w:rPr>
          <w:rStyle w:val="a5"/>
        </w:rPr>
        <w:footnoteReference w:id="2364" w:customMarkFollows="0"/>
      </w:r>
      <w:bookmarkEnd w:id="3254"/>
      <w:r>
        <w:rPr>
          <w:rtl/>
        </w:rPr>
        <w:t xml:space="preserve">, המזכיר את ניסיונו של </w:t>
      </w:r>
      <w:proofErr w:type="spellStart"/>
      <w:r>
        <w:rPr>
          <w:rtl/>
        </w:rPr>
        <w:t>סלנטר</w:t>
      </w:r>
      <w:proofErr w:type="spellEnd"/>
      <w:r>
        <w:rPr>
          <w:rtl/>
        </w:rPr>
        <w:t xml:space="preserve">, אבל עם תלמיד אחד בלבד, ומשמיט את הסוף הדרמטי. ועיין בהקדמת ר׳ משה בצלאל לוריא אב״ד </w:t>
      </w:r>
      <w:proofErr w:type="spellStart"/>
      <w:r>
        <w:rPr>
          <w:rtl/>
        </w:rPr>
        <w:t xml:space="preserve">סובאלק</w:t>
      </w:r>
      <w:proofErr w:type="spellEnd"/>
      <w:r>
        <w:rPr>
          <w:rtl/>
        </w:rPr>
        <w:t xml:space="preserve"> לספרו עמק סוכות (</w:t>
      </w:r>
      <w:proofErr w:type="spellStart"/>
      <w:r>
        <w:rPr>
          <w:rtl/>
        </w:rPr>
        <w:t>בילגורייא</w:t>
      </w:r>
      <w:proofErr w:type="spellEnd"/>
      <w:r>
        <w:rPr>
          <w:rtl/>
        </w:rPr>
        <w:t xml:space="preserve">, תרס״ט) שכותב “וסופר בזמנינו מגאון וצדיק גדול שנראה לו על אחד מתלמידיו שהוא יר״ש בתכלית ונתן עצתו </w:t>
      </w:r>
      <w:proofErr w:type="spellStart"/>
      <w:r>
        <w:rPr>
          <w:rtl/>
        </w:rPr>
        <w:t>שילמוד</w:t>
      </w:r>
      <w:proofErr w:type="spellEnd"/>
      <w:r>
        <w:rPr>
          <w:rtl/>
        </w:rPr>
        <w:t xml:space="preserve"> חכמת הרפואה בכדי שיהא לתפארת עמינו, </w:t>
      </w:r>
      <w:proofErr w:type="spellStart"/>
      <w:r>
        <w:rPr>
          <w:rtl/>
        </w:rPr>
        <w:t>יר״א</w:t>
      </w:r>
      <w:proofErr w:type="spellEnd"/>
      <w:r>
        <w:rPr>
          <w:rtl/>
        </w:rPr>
        <w:t xml:space="preserve"> מעוטר </w:t>
      </w:r>
      <w:proofErr w:type="spellStart"/>
      <w:r>
        <w:rPr>
          <w:rtl/>
        </w:rPr>
        <w:t>בחכמת</w:t>
      </w:r>
      <w:proofErr w:type="spellEnd"/>
      <w:r>
        <w:rPr>
          <w:rtl/>
        </w:rPr>
        <w:t xml:space="preserve"> הרפואה. ולבסוף נתפקר.” כנראה שהתכוון לסיפור של אבא מארי ז״ל בלי לדעת שהתלמיד חזר בתשובה בסוף</w:t>
      </w:r>
      <w:bookmarkStart w:id="3255" w:name="_fnr2358"/>
      <w:r>
        <w:rPr>
          <w:rStyle w:val="a5"/>
        </w:rPr>
        <w:footnoteReference w:id="2365" w:customMarkFollows="0"/>
      </w:r>
      <w:bookmarkEnd w:id="3255"/>
      <w:r>
        <w:rPr>
          <w:rtl/>
        </w:rPr>
        <w:t>. הרב לוריא חי בשנים תקצ״ה–תרע״ד.</w:t>
      </w:r>
    </w:p>
    <w:p w14:paraId="1FEB7C8D" w14:textId="77777777" w:rsidR="00AB3647" w:rsidRDefault="00000000" w:rsidP="007923E9">
      <w:pPr>
        <w:spacing w:after="120" w:line="276" w:lineRule="auto"/>
        <w:ind w:firstLine="283"/>
        <w:jc w:val="both"/>
      </w:pPr>
      <w:r>
        <w:rPr>
          <w:rtl/>
        </w:rPr>
        <w:t xml:space="preserve">למרבה הפלא, מספר תלמידיו של ר׳ ישראל שנקט אבי תואם לסיפור “שנפוץ בין יהודי ליטא, על שלושה תלמידים שעזבו את ישיבת </w:t>
      </w:r>
      <w:proofErr w:type="spellStart"/>
      <w:r>
        <w:rPr>
          <w:rtl/>
        </w:rPr>
        <w:t>וולוז׳ין</w:t>
      </w:r>
      <w:proofErr w:type="spellEnd"/>
      <w:r>
        <w:rPr>
          <w:rtl/>
        </w:rPr>
        <w:t xml:space="preserve"> בימי מייסדה, ר׳ חיים”</w:t>
      </w:r>
      <w:bookmarkStart w:id="3256" w:name="_fnr2359"/>
      <w:r>
        <w:rPr>
          <w:rStyle w:val="a5"/>
        </w:rPr>
        <w:footnoteReference w:id="2366" w:customMarkFollows="0"/>
      </w:r>
      <w:bookmarkEnd w:id="3256"/>
      <w:r>
        <w:rPr>
          <w:rtl/>
        </w:rPr>
        <w:t xml:space="preserve"> – </w:t>
      </w:r>
      <w:r>
        <w:rPr>
          <w:b/>
          <w:bCs/>
          <w:rtl/>
        </w:rPr>
        <w:t xml:space="preserve">בלי רשות </w:t>
      </w:r>
      <w:r>
        <w:rPr>
          <w:b/>
          <w:bCs/>
          <w:rtl/>
        </w:rPr>
        <w:lastRenderedPageBreak/>
        <w:t>ראש הישיבה</w:t>
      </w:r>
      <w:r>
        <w:rPr>
          <w:rtl/>
        </w:rPr>
        <w:t>, כמובן – “כדי ללמוד באוניברסיטאות: שניים עזבו את היהדות והשלישי חזר לתורה</w:t>
      </w:r>
      <w:bookmarkStart w:id="3257" w:name="_fnr2360"/>
      <w:r>
        <w:rPr>
          <w:rStyle w:val="a5"/>
        </w:rPr>
        <w:footnoteReference w:id="2367" w:customMarkFollows="0"/>
      </w:r>
      <w:bookmarkEnd w:id="3257"/>
      <w:r>
        <w:rPr>
          <w:rtl/>
        </w:rPr>
        <w:t xml:space="preserve">. מסופר שהגאון מווילנה הופיע בחלומו של ר׳ חיים </w:t>
      </w:r>
      <w:proofErr w:type="spellStart"/>
      <w:r>
        <w:rPr>
          <w:rtl/>
        </w:rPr>
        <w:t>מוולוז׳ין</w:t>
      </w:r>
      <w:proofErr w:type="spellEnd"/>
      <w:r>
        <w:rPr>
          <w:rtl/>
        </w:rPr>
        <w:t>, שהיה שרוי אז בצער על נסיעתם לברלין, וניחמו במילים שיש בהן השלמה וגם תועלת: ‘כזה וכזה תאכל חרב ההשכלה’</w:t>
      </w:r>
      <w:bookmarkStart w:id="3258" w:name="_fnr2361"/>
      <w:r>
        <w:rPr>
          <w:rStyle w:val="a5"/>
        </w:rPr>
        <w:footnoteReference w:id="2368" w:customMarkFollows="0"/>
      </w:r>
      <w:bookmarkEnd w:id="3258"/>
      <w:r>
        <w:rPr>
          <w:rtl/>
        </w:rPr>
        <w:t>.”</w:t>
      </w:r>
    </w:p>
    <w:p w14:paraId="2815E8F1" w14:textId="1642D75D" w:rsidR="00AB3647" w:rsidRDefault="00000000" w:rsidP="007923E9">
      <w:pPr>
        <w:spacing w:after="120" w:line="276" w:lineRule="auto"/>
        <w:ind w:firstLine="283"/>
        <w:jc w:val="both"/>
      </w:pPr>
      <w:r>
        <w:rPr>
          <w:rtl/>
        </w:rPr>
        <w:t>השווה גם “</w:t>
      </w:r>
      <w:proofErr w:type="spellStart"/>
      <w:r>
        <w:rPr>
          <w:rtl/>
        </w:rPr>
        <w:t>מכח״ח</w:t>
      </w:r>
      <w:proofErr w:type="spellEnd"/>
      <w:r>
        <w:rPr>
          <w:rtl/>
        </w:rPr>
        <w:t>”</w:t>
      </w:r>
      <w:bookmarkStart w:id="3259" w:name="_fnr2362"/>
      <w:r>
        <w:rPr>
          <w:rStyle w:val="a5"/>
        </w:rPr>
        <w:footnoteReference w:id="2369" w:customMarkFollows="0"/>
      </w:r>
      <w:bookmarkEnd w:id="3259"/>
      <w:r>
        <w:rPr>
          <w:rtl/>
        </w:rPr>
        <w:t>, המסכם בביקורתיות: “בתחילה ניסה ר׳ ישראל [</w:t>
      </w:r>
      <w:proofErr w:type="spellStart"/>
      <w:r>
        <w:rPr>
          <w:rtl/>
        </w:rPr>
        <w:t>סלנטר</w:t>
      </w:r>
      <w:proofErr w:type="spellEnd"/>
      <w:r>
        <w:rPr>
          <w:rtl/>
        </w:rPr>
        <w:t>] לתקן, מייפה זיין</w:t>
      </w:r>
      <w:bookmarkStart w:id="3260" w:name="_fnr2363"/>
      <w:r>
        <w:rPr>
          <w:rStyle w:val="a5"/>
        </w:rPr>
        <w:footnoteReference w:id="2370" w:customMarkFollows="0"/>
      </w:r>
      <w:bookmarkEnd w:id="3260"/>
      <w:r>
        <w:rPr>
          <w:rtl/>
        </w:rPr>
        <w:t xml:space="preserve">, את החילונים, [אך] בשנותיו האחרונות הגיע להכרה שדבר לא יועיל – הם לא יימשכו [ליהדות].” השווה גם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להלן, שלאחר ניסיונותיו שנכשלו נמנע ר׳ ישראל מלאשר אפילו תוכנית בסיסית של לימודי חול – ואפילו בסביבת ישיבה שבפיקוח אחד מתלמידיו שלו!</w:t>
      </w:r>
    </w:p>
    <w:p w14:paraId="6B963679" w14:textId="77777777" w:rsidR="00AB3647" w:rsidRDefault="00000000" w:rsidP="007923E9">
      <w:pPr>
        <w:spacing w:after="120" w:line="276" w:lineRule="auto"/>
        <w:ind w:firstLine="283"/>
        <w:jc w:val="both"/>
      </w:pPr>
      <w:r>
        <w:rPr>
          <w:rtl/>
        </w:rPr>
        <w:t xml:space="preserve">אבי סיפר גם שר׳ </w:t>
      </w:r>
      <w:proofErr w:type="spellStart"/>
      <w:r>
        <w:rPr>
          <w:rtl/>
        </w:rPr>
        <w:t>שמחה־זיסל</w:t>
      </w:r>
      <w:proofErr w:type="spellEnd"/>
      <w:r>
        <w:rPr>
          <w:rtl/>
        </w:rPr>
        <w:t xml:space="preserve"> זיו ערך ניסיון בחינוך בתו הצעירה</w:t>
      </w:r>
      <w:bookmarkStart w:id="3261" w:name="_fnr2364"/>
      <w:r>
        <w:rPr>
          <w:rStyle w:val="a5"/>
        </w:rPr>
        <w:footnoteReference w:id="2371" w:customMarkFollows="0"/>
      </w:r>
      <w:bookmarkEnd w:id="3261"/>
      <w:r>
        <w:rPr>
          <w:rtl/>
        </w:rPr>
        <w:t xml:space="preserve">: הוא לא לימד אותה להתפלל, מתוך ציפייה שמאחר שהיא יודעת שכל צרכיה ניתנים לה מאת הקב״ה, תפנה אליו מעצמה. כשהגיעה לגיל שש ועדיין לא פנתה אל מיטיבה בתפילה, נכנע ר׳ </w:t>
      </w:r>
      <w:proofErr w:type="spellStart"/>
      <w:r>
        <w:rPr>
          <w:rtl/>
        </w:rPr>
        <w:t>שמחה־זיסל</w:t>
      </w:r>
      <w:proofErr w:type="spellEnd"/>
      <w:r>
        <w:rPr>
          <w:rtl/>
        </w:rPr>
        <w:t xml:space="preserve"> והחל ללמדה לומר את התפילות היומיות מתוך הסידור. אבל נראה שכישלונו של הסבא </w:t>
      </w:r>
      <w:proofErr w:type="spellStart"/>
      <w:r>
        <w:rPr>
          <w:rtl/>
        </w:rPr>
        <w:t>מסלבודקה</w:t>
      </w:r>
      <w:proofErr w:type="spellEnd"/>
      <w:r>
        <w:rPr>
          <w:rtl/>
        </w:rPr>
        <w:t xml:space="preserve"> עם בנו הצעיר נבע מחוסר תשומת לב, ולא מעריכת ניסיונות – השווה פרק 4.1 ונספח ג שם.</w:t>
      </w:r>
    </w:p>
    <w:p w14:paraId="7CB4A063" w14:textId="77777777" w:rsidR="00AB3647" w:rsidRDefault="00000000" w:rsidP="007923E9">
      <w:pPr>
        <w:spacing w:after="120" w:line="276" w:lineRule="auto"/>
        <w:ind w:firstLine="283"/>
        <w:jc w:val="both"/>
      </w:pPr>
      <w:r>
        <w:rPr>
          <w:rtl/>
        </w:rPr>
        <w:t xml:space="preserve">רבנו סיפר גם לחתנו ר׳ ישראל </w:t>
      </w:r>
      <w:proofErr w:type="spellStart"/>
      <w:r>
        <w:rPr>
          <w:rtl/>
        </w:rPr>
        <w:t>שורין</w:t>
      </w:r>
      <w:proofErr w:type="spellEnd"/>
      <w:r>
        <w:rPr>
          <w:rtl/>
        </w:rPr>
        <w:t xml:space="preserve">: “פעם, בביקור בביתו </w:t>
      </w:r>
      <w:proofErr w:type="spellStart"/>
      <w:r>
        <w:rPr>
          <w:rtl/>
        </w:rPr>
        <w:t>בקלם</w:t>
      </w:r>
      <w:bookmarkStart w:id="3262" w:name="_fnr2365"/>
      <w:proofErr w:type="spellEnd"/>
      <w:r>
        <w:rPr>
          <w:rStyle w:val="a5"/>
        </w:rPr>
        <w:footnoteReference w:id="2372" w:customMarkFollows="0"/>
      </w:r>
      <w:bookmarkEnd w:id="3262"/>
      <w:r>
        <w:rPr>
          <w:rtl/>
        </w:rPr>
        <w:t xml:space="preserve">, שמעה </w:t>
      </w:r>
      <w:proofErr w:type="spellStart"/>
      <w:r>
        <w:rPr>
          <w:rtl/>
        </w:rPr>
        <w:t>ה‘אלטע</w:t>
      </w:r>
      <w:proofErr w:type="spellEnd"/>
      <w:r>
        <w:rPr>
          <w:rtl/>
        </w:rPr>
        <w:t xml:space="preserve">’” – כך כינו תלמידי </w:t>
      </w:r>
      <w:proofErr w:type="spellStart"/>
      <w:r>
        <w:rPr>
          <w:rtl/>
        </w:rPr>
        <w:t>סלבודקה</w:t>
      </w:r>
      <w:proofErr w:type="spellEnd"/>
      <w:r>
        <w:rPr>
          <w:rtl/>
        </w:rPr>
        <w:t xml:space="preserve"> את הרבנית של הסבא – “אותו מוסר שיחה על עשיית חסד. היא נכנסה בסוף והעירה בעוקצנות: ‘בעלי יודע מהו חסד. הוא שבר מקל כשהכה בו את בנו הקטן – מרוב חסד.’”</w:t>
      </w:r>
    </w:p>
    <w:bookmarkStart w:id="3263" w:name="b3_excT"/>
    <w:p w14:paraId="3879ED7A" w14:textId="77777777" w:rsidR="00AB3647" w:rsidRDefault="00000000" w:rsidP="007923E9">
      <w:pPr>
        <w:pStyle w:val="3"/>
        <w:spacing w:line="276" w:lineRule="auto"/>
      </w:pPr>
      <w:r>
        <w:lastRenderedPageBreak/>
        <w:fldChar w:fldCharType="begin" w:dirty="true"/>
      </w:r>
      <w:r>
        <w:rPr>
          <w:rtl w:val="0"/>
        </w:rPr>
        <w:instrText>HYPERLINK \l "b3_note61</w:instrText>
      </w:r>
      <w:r>
        <w:instrText>"</w:instrText>
      </w:r>
      <w:r>
        <w:fldChar w:fldCharType="separate"/>
      </w:r>
      <w:r>
        <w:t>נספח כ</w:t>
      </w:r>
      <w:r>
        <w:fldChar w:fldCharType="end"/>
      </w:r>
      <w:bookmarkEnd w:id="3263"/>
    </w:p>
    <w:p w14:paraId="3898305F" w14:textId="77777777" w:rsidR="00AB3647" w:rsidRDefault="00000000" w:rsidP="007923E9">
      <w:pPr>
        <w:pStyle w:val="af"/>
        <w:spacing w:line="276" w:lineRule="auto"/>
      </w:pPr>
      <w:r>
        <w:t xml:space="preserve">על הדרך שבה התמודד הסבא </w:t>
      </w:r>
      <w:proofErr w:type="spellStart"/>
      <w:r>
        <w:t>מסלבודקה</w:t>
      </w:r>
      <w:proofErr w:type="spellEnd"/>
      <w:r>
        <w:t xml:space="preserve"> עם המרד נגד המוסר בישיבתו, ועל יכולתו לחזות את עתיד תלמידיו</w:t>
      </w:r>
    </w:p>
    <w:p w14:paraId="41847831" w14:textId="77777777" w:rsidR="00AB3647" w:rsidRDefault="00000000" w:rsidP="007923E9">
      <w:pPr>
        <w:pStyle w:val="4"/>
        <w:spacing w:line="276" w:lineRule="auto"/>
      </w:pPr>
      <w:r>
        <w:t>· הפסקה הראשונה ·</w:t>
      </w:r>
    </w:p>
    <w:p w14:paraId="1203B4D0" w14:textId="77777777" w:rsidR="00AB3647" w:rsidRDefault="00000000" w:rsidP="007923E9">
      <w:pPr>
        <w:pStyle w:val="5"/>
        <w:spacing w:line="276" w:lineRule="auto"/>
      </w:pPr>
      <w:r>
        <w:t>הסבא כופף את עצמו בפני הסערה</w:t>
      </w:r>
    </w:p>
    <w:p w14:paraId="333C4E34" w14:textId="77777777" w:rsidR="00AB3647" w:rsidRDefault="00000000" w:rsidP="007923E9">
      <w:pPr>
        <w:spacing w:after="120" w:line="276" w:lineRule="auto"/>
        <w:ind w:firstLine="283"/>
        <w:jc w:val="both"/>
      </w:pPr>
      <w:r>
        <w:rPr>
          <w:rtl/>
        </w:rPr>
        <w:t xml:space="preserve">ההאשמות כלפי הסבא </w:t>
      </w:r>
      <w:proofErr w:type="spellStart"/>
      <w:r>
        <w:rPr>
          <w:rtl/>
        </w:rPr>
        <w:t>מסלבודקה</w:t>
      </w:r>
      <w:proofErr w:type="spellEnd"/>
      <w:r>
        <w:rPr>
          <w:rtl/>
        </w:rPr>
        <w:t xml:space="preserve"> על עמדתו הפסיבית בשנות המשבר מובאות בספרו של </w:t>
      </w:r>
      <w:proofErr w:type="spellStart"/>
      <w:r>
        <w:rPr>
          <w:rtl/>
        </w:rPr>
        <w:t>דבורץ</w:t>
      </w:r>
      <w:proofErr w:type="spellEnd"/>
      <w:r>
        <w:rPr>
          <w:rtl/>
        </w:rPr>
        <w:t>, “הגאון רבי משה מרדכי אפשטיין”</w:t>
      </w:r>
      <w:bookmarkStart w:id="3264" w:name="_fnr2366"/>
      <w:r>
        <w:rPr>
          <w:rStyle w:val="a5"/>
        </w:rPr>
        <w:footnoteReference w:id="2373" w:customMarkFollows="0"/>
      </w:r>
      <w:bookmarkEnd w:id="3264"/>
      <w:r>
        <w:rPr>
          <w:rtl/>
        </w:rPr>
        <w:t>. הספר מדגיש</w:t>
      </w:r>
      <w:bookmarkStart w:id="3265" w:name="_fnr2367"/>
      <w:r>
        <w:rPr>
          <w:rStyle w:val="a5"/>
        </w:rPr>
        <w:footnoteReference w:id="2374" w:customMarkFollows="0"/>
      </w:r>
      <w:bookmarkEnd w:id="3265"/>
      <w:r>
        <w:rPr>
          <w:rtl/>
        </w:rPr>
        <w:t xml:space="preserve"> שבסופו של דבר הייתה התנהגותו של הסבא, הנכונה מבחינה מוסרית, גם נבונה להפליא, שכן “הצילה את כל ישיבות ליטא”. ברוח הספר זוכה לשבח גם ר׳ </w:t>
      </w:r>
      <w:proofErr w:type="spellStart"/>
      <w:r>
        <w:rPr>
          <w:rtl/>
        </w:rPr>
        <w:t>משה־מרדכי</w:t>
      </w:r>
      <w:proofErr w:type="spellEnd"/>
      <w:r>
        <w:rPr>
          <w:rtl/>
        </w:rPr>
        <w:t>, על “שקיים את ‘פרשת’ ‘</w:t>
      </w:r>
      <w:proofErr w:type="spellStart"/>
      <w:r>
        <w:rPr>
          <w:rtl/>
        </w:rPr>
        <w:t>ויט</w:t>
      </w:r>
      <w:proofErr w:type="spellEnd"/>
      <w:r>
        <w:rPr>
          <w:rtl/>
        </w:rPr>
        <w:t xml:space="preserve"> שכמו לסבול’</w:t>
      </w:r>
      <w:bookmarkStart w:id="3266" w:name="_fnr2368"/>
      <w:r>
        <w:rPr>
          <w:rStyle w:val="a5"/>
        </w:rPr>
        <w:footnoteReference w:id="2375" w:customMarkFollows="0"/>
      </w:r>
      <w:bookmarkEnd w:id="3266"/>
      <w:r>
        <w:rPr>
          <w:rtl/>
        </w:rPr>
        <w:t xml:space="preserve"> בכל היקפה”. כלומר: ר׳ </w:t>
      </w:r>
      <w:proofErr w:type="spellStart"/>
      <w:r>
        <w:rPr>
          <w:rtl/>
        </w:rPr>
        <w:t>משה־מרדכי</w:t>
      </w:r>
      <w:proofErr w:type="spellEnd"/>
      <w:r>
        <w:rPr>
          <w:rtl/>
        </w:rPr>
        <w:t xml:space="preserve"> נשא את משא התנהגותו הבלתי מובנת של הסבא </w:t>
      </w:r>
      <w:proofErr w:type="spellStart"/>
      <w:r>
        <w:rPr>
          <w:rtl/>
        </w:rPr>
        <w:t>מסלבודקה</w:t>
      </w:r>
      <w:proofErr w:type="spellEnd"/>
      <w:r>
        <w:rPr>
          <w:rtl/>
        </w:rPr>
        <w:t xml:space="preserve"> בלי לפקפק בה.</w:t>
      </w:r>
    </w:p>
    <w:p w14:paraId="2B90F509" w14:textId="77777777" w:rsidR="00AB3647" w:rsidRDefault="00000000" w:rsidP="007923E9">
      <w:pPr>
        <w:pStyle w:val="4"/>
        <w:spacing w:line="276" w:lineRule="auto"/>
      </w:pPr>
      <w:r>
        <w:t>· הפסקה השנייה ·</w:t>
      </w:r>
    </w:p>
    <w:p w14:paraId="7315336E" w14:textId="77777777" w:rsidR="00AB3647" w:rsidRDefault="00000000" w:rsidP="007923E9">
      <w:pPr>
        <w:pStyle w:val="5"/>
        <w:spacing w:line="276" w:lineRule="auto"/>
      </w:pPr>
      <w:r>
        <w:t xml:space="preserve">הסבא מגן על שני מתנגדיו הראשיים – האחד נעשה ראש ישיבה והאחר רב בבירת פלך – הרב לעתיד ניצל מן הגיוס בעזרת אנשי המוסר – לימים הוא משנה את דעתו על המוסר – הסבא חוזה שר׳ </w:t>
      </w:r>
      <w:proofErr w:type="spellStart"/>
      <w:r>
        <w:t>יהודה־לייב</w:t>
      </w:r>
      <w:proofErr w:type="spellEnd"/>
      <w:r>
        <w:t xml:space="preserve"> פיין יהיה רב סלונים</w:t>
      </w:r>
    </w:p>
    <w:p w14:paraId="0F630903" w14:textId="77777777" w:rsidR="00AB3647" w:rsidRDefault="00000000" w:rsidP="007923E9">
      <w:pPr>
        <w:spacing w:after="120" w:line="276" w:lineRule="auto"/>
        <w:ind w:firstLine="283"/>
        <w:jc w:val="both"/>
      </w:pPr>
      <w:r>
        <w:rPr>
          <w:rtl/>
        </w:rPr>
        <w:t>שם</w:t>
      </w:r>
      <w:bookmarkStart w:id="3267" w:name="_fnr2369"/>
      <w:r>
        <w:rPr>
          <w:rStyle w:val="a5"/>
        </w:rPr>
        <w:footnoteReference w:id="2376" w:customMarkFollows="0"/>
      </w:r>
      <w:bookmarkEnd w:id="3267"/>
      <w:r>
        <w:rPr>
          <w:rtl/>
        </w:rPr>
        <w:t xml:space="preserve"> מתואר מעשה שאירע בתקופה שבה כמעט בוטל סדר המוסר בישיבה: “אחרי מנחה בבית הסבא, אמר אחד מתומכיו הנאמנים ביותר במרירות: ‘למה שלא ינהגו המתנגדים כפי שהם נוהגים, כשמטפלים בהם בכפפות של משי?!’ הסבא לא השיב, עד שאחר, מן התלמידים השקדנים ביותר בישיבה, פתח את פיו ותבע לדעת מדוע לא סולק התלמיד שהיה עמוד התווך של המתנגדים. הסבא </w:t>
      </w:r>
      <w:proofErr w:type="spellStart"/>
      <w:r>
        <w:rPr>
          <w:rtl/>
        </w:rPr>
        <w:t>מסלבודקה</w:t>
      </w:r>
      <w:proofErr w:type="spellEnd"/>
      <w:r>
        <w:rPr>
          <w:rtl/>
        </w:rPr>
        <w:t xml:space="preserve"> קם כאילו כעס</w:t>
      </w:r>
      <w:bookmarkStart w:id="3268" w:name="_fnr2370"/>
      <w:r>
        <w:rPr>
          <w:rStyle w:val="a5"/>
        </w:rPr>
        <w:footnoteReference w:id="2377" w:customMarkFollows="0"/>
      </w:r>
      <w:bookmarkEnd w:id="3268"/>
      <w:r>
        <w:rPr>
          <w:rtl/>
        </w:rPr>
        <w:t>, ואמר לו: ‘גם אתה מעז לדבר?!’ הסבא החל למנות את מגרעותיו של בן שיחו, בזו אחר זו, והעמידן מול רשימת מעלות שמנה במנהיג המתנגדים. לבסוף צעק: ‘אמור לי, אתה מגיע לקרסוליו?! עליך לבקש את סליחתו על שאתה מתייחס אליו בצורה דוחה שכזאת!’ בכך הסתיימה השיחה.”</w:t>
      </w:r>
    </w:p>
    <w:p w14:paraId="655D69EA" w14:textId="77777777" w:rsidR="00AB3647" w:rsidRDefault="00000000" w:rsidP="007923E9">
      <w:pPr>
        <w:spacing w:after="120" w:line="276" w:lineRule="auto"/>
        <w:ind w:firstLine="283"/>
        <w:jc w:val="both"/>
      </w:pPr>
      <w:bookmarkStart w:id="3269" w:name="pr_b_1409"/>
      <w:bookmarkEnd w:id="3269"/>
      <w:r>
        <w:rPr>
          <w:rtl/>
        </w:rPr>
        <w:t xml:space="preserve">על מעשה זה, או על מעשה דומה, סיפר ר׳ חיים </w:t>
      </w:r>
      <w:proofErr w:type="spellStart"/>
      <w:r>
        <w:rPr>
          <w:rtl/>
        </w:rPr>
        <w:t>סרנא</w:t>
      </w:r>
      <w:bookmarkStart w:id="3270" w:name="_fnr2371"/>
      <w:proofErr w:type="spellEnd"/>
      <w:r>
        <w:rPr>
          <w:rStyle w:val="a5"/>
        </w:rPr>
        <w:footnoteReference w:id="2378" w:customMarkFollows="0"/>
      </w:r>
      <w:bookmarkEnd w:id="3270"/>
      <w:r>
        <w:rPr>
          <w:rtl/>
        </w:rPr>
        <w:t xml:space="preserve"> בשם אביו ר׳ </w:t>
      </w:r>
      <w:proofErr w:type="spellStart"/>
      <w:r>
        <w:rPr>
          <w:rtl/>
        </w:rPr>
        <w:t>חצקל</w:t>
      </w:r>
      <w:proofErr w:type="spellEnd"/>
      <w:r>
        <w:rPr>
          <w:rtl/>
        </w:rPr>
        <w:t xml:space="preserve"> שהומלץ לסלק את שני ראשי המרד</w:t>
      </w:r>
      <w:bookmarkStart w:id="3271" w:name="_fnr2372"/>
      <w:r>
        <w:rPr>
          <w:rStyle w:val="a5"/>
        </w:rPr>
        <w:footnoteReference w:id="2379" w:customMarkFollows="0"/>
      </w:r>
      <w:bookmarkEnd w:id="3271"/>
      <w:r>
        <w:rPr>
          <w:rtl/>
        </w:rPr>
        <w:t xml:space="preserve">, אבל הסבא אמר: “איך אוכל לסלק שני תלמידים כאלה, כשיום אחד יהיה האחד רב בבירת פלך – </w:t>
      </w:r>
      <w:proofErr w:type="spellStart"/>
      <w:r>
        <w:rPr>
          <w:rtl/>
        </w:rPr>
        <w:t>גובערנאצקער</w:t>
      </w:r>
      <w:proofErr w:type="spellEnd"/>
      <w:r>
        <w:rPr>
          <w:rtl/>
        </w:rPr>
        <w:t xml:space="preserve"> רב – והאחר ראש ישיבה גדול?” הראשון </w:t>
      </w:r>
      <w:r>
        <w:rPr>
          <w:rtl/>
        </w:rPr>
        <w:lastRenderedPageBreak/>
        <w:t xml:space="preserve">היה ר׳ יוסף </w:t>
      </w:r>
      <w:proofErr w:type="spellStart"/>
      <w:r>
        <w:rPr>
          <w:rtl/>
        </w:rPr>
        <w:t>יוסלביץ</w:t>
      </w:r>
      <w:proofErr w:type="spellEnd"/>
      <w:r>
        <w:rPr>
          <w:rtl/>
        </w:rPr>
        <w:t xml:space="preserve">, לימים רב אבל, </w:t>
      </w:r>
      <w:proofErr w:type="spellStart"/>
      <w:r>
        <w:rPr>
          <w:rtl/>
        </w:rPr>
        <w:t>טרסטינה</w:t>
      </w:r>
      <w:bookmarkStart w:id="3272" w:name="_fnr2373"/>
      <w:proofErr w:type="spellEnd"/>
      <w:r>
        <w:rPr>
          <w:rStyle w:val="a5"/>
        </w:rPr>
        <w:footnoteReference w:id="2380" w:customMarkFollows="0"/>
      </w:r>
      <w:bookmarkEnd w:id="3272"/>
      <w:r>
        <w:rPr>
          <w:rtl/>
        </w:rPr>
        <w:t xml:space="preserve">, </w:t>
      </w:r>
      <w:proofErr w:type="spellStart"/>
      <w:r>
        <w:rPr>
          <w:rtl/>
        </w:rPr>
        <w:t xml:space="preserve">סמיאטיץ׳</w:t>
      </w:r>
      <w:proofErr w:type="spellEnd"/>
      <w:r>
        <w:rPr>
          <w:rtl/>
        </w:rPr>
        <w:t xml:space="preserve"> ולבסוף בירת הפלך </w:t>
      </w:r>
      <w:proofErr w:type="spellStart"/>
      <w:r>
        <w:rPr>
          <w:rtl/>
        </w:rPr>
        <w:t xml:space="preserve">סובאלק</w:t>
      </w:r>
      <w:proofErr w:type="spellEnd"/>
      <w:r>
        <w:rPr>
          <w:rtl/>
        </w:rPr>
        <w:t xml:space="preserve">. השני, צעיר ממנו בארבע שנים, היה ר׳ שלמה </w:t>
      </w:r>
      <w:proofErr w:type="spellStart"/>
      <w:r>
        <w:rPr>
          <w:rtl/>
        </w:rPr>
        <w:t>גבורין</w:t>
      </w:r>
      <w:proofErr w:type="spellEnd"/>
      <w:r>
        <w:rPr>
          <w:rtl/>
        </w:rPr>
        <w:t xml:space="preserve">, שלימים נעשה ראש ישיבת </w:t>
      </w:r>
      <w:proofErr w:type="spellStart"/>
      <w:r>
        <w:rPr>
          <w:rtl/>
        </w:rPr>
        <w:t>מאלטש</w:t>
      </w:r>
      <w:proofErr w:type="spellEnd"/>
      <w:r>
        <w:rPr>
          <w:rtl/>
        </w:rPr>
        <w:t xml:space="preserve"> בהמלצת הסבא </w:t>
      </w:r>
      <w:proofErr w:type="spellStart"/>
      <w:r>
        <w:rPr>
          <w:rtl/>
        </w:rPr>
        <w:t>מסלבודקה</w:t>
      </w:r>
      <w:bookmarkStart w:id="3273" w:name="_fnr2374"/>
      <w:proofErr w:type="spellEnd"/>
      <w:r>
        <w:rPr>
          <w:rStyle w:val="a5"/>
        </w:rPr>
        <w:footnoteReference w:id="2381" w:customMarkFollows="0"/>
      </w:r>
      <w:bookmarkEnd w:id="3273"/>
      <w:r>
        <w:rPr>
          <w:rtl/>
        </w:rPr>
        <w:t>.</w:t>
      </w:r>
    </w:p>
    <w:p w14:paraId="4BB52E31" w14:textId="77777777" w:rsidR="00AB3647" w:rsidRDefault="00000000" w:rsidP="007923E9">
      <w:pPr>
        <w:spacing w:after="120" w:line="276" w:lineRule="auto"/>
        <w:ind w:firstLine="283"/>
        <w:jc w:val="both"/>
      </w:pPr>
      <w:bookmarkStart w:id="3274" w:name="pr_close_b_2269"/>
      <w:bookmarkEnd w:id="3274"/>
      <w:proofErr w:type="spellStart"/>
      <w:r>
        <w:rPr>
          <w:rtl/>
        </w:rPr>
        <w:t>דבורץ</w:t>
      </w:r>
      <w:proofErr w:type="spellEnd"/>
      <w:r>
        <w:rPr>
          <w:rtl/>
        </w:rPr>
        <w:t>, “הגאון רבי משה מרדכי אפשטיין”</w:t>
      </w:r>
      <w:bookmarkStart w:id="3275" w:name="_fnr2375"/>
      <w:bookmarkStart w:id="3276" w:name="pr_f_2276"/>
      <w:r>
        <w:rPr>
          <w:rStyle w:val="a5"/>
        </w:rPr>
        <w:footnoteReference w:id="2382" w:customMarkFollows="0"/>
      </w:r>
      <w:bookmarkEnd w:id="3275"/>
      <w:bookmarkEnd w:id="3276"/>
      <w:r>
        <w:rPr>
          <w:rtl/>
        </w:rPr>
        <w:t xml:space="preserve">, מתייחס לשניים אלה בלי לנקוב בשמותיהם, אבל משאיר די רמזים כדי לאשר את דיווחו של ר׳ חיים </w:t>
      </w:r>
      <w:proofErr w:type="spellStart"/>
      <w:r>
        <w:rPr>
          <w:rtl/>
        </w:rPr>
        <w:t>סרנא</w:t>
      </w:r>
      <w:proofErr w:type="spellEnd"/>
      <w:r>
        <w:rPr>
          <w:rtl/>
        </w:rPr>
        <w:t>. הוא מציין ש</w:t>
      </w:r>
      <w:r>
        <w:rPr>
          <w:b/>
          <w:bCs/>
          <w:rtl/>
        </w:rPr>
        <w:t>כתוצאה</w:t>
      </w:r>
      <w:r>
        <w:rPr>
          <w:rtl/>
        </w:rPr>
        <w:t xml:space="preserve"> משילוח קבוצת עשרים וחמישה התלמידים המובחרים </w:t>
      </w:r>
      <w:proofErr w:type="spellStart"/>
      <w:r>
        <w:rPr>
          <w:rtl/>
        </w:rPr>
        <w:t>לטלז</w:t>
      </w:r>
      <w:proofErr w:type="spellEnd"/>
      <w:r>
        <w:rPr>
          <w:rtl/>
        </w:rPr>
        <w:t xml:space="preserve"> בידי הסבא</w:t>
      </w:r>
      <w:bookmarkStart w:id="3277" w:name="_fnr2376"/>
      <w:r>
        <w:rPr>
          <w:rStyle w:val="a5"/>
        </w:rPr>
        <w:footnoteReference w:id="2383" w:customMarkFollows="0"/>
      </w:r>
      <w:bookmarkEnd w:id="3277"/>
      <w:r>
        <w:rPr>
          <w:rtl/>
        </w:rPr>
        <w:t xml:space="preserve"> שככה ההתנגדות: “אחד [</w:t>
      </w:r>
      <w:proofErr w:type="spellStart"/>
      <w:r>
        <w:rPr>
          <w:rtl/>
        </w:rPr>
        <w:t>גבורין</w:t>
      </w:r>
      <w:proofErr w:type="spellEnd"/>
      <w:r>
        <w:rPr>
          <w:rtl/>
        </w:rPr>
        <w:t xml:space="preserve">] חזר בו והצטרף לקבוצה היוצאת </w:t>
      </w:r>
      <w:proofErr w:type="spellStart"/>
      <w:r>
        <w:rPr>
          <w:rtl/>
        </w:rPr>
        <w:t>לטלז</w:t>
      </w:r>
      <w:proofErr w:type="spellEnd"/>
      <w:r>
        <w:rPr>
          <w:rtl/>
        </w:rPr>
        <w:t xml:space="preserve"> [לחזק את המוסר שם!], והאחר [</w:t>
      </w:r>
      <w:proofErr w:type="spellStart"/>
      <w:r>
        <w:rPr>
          <w:rtl/>
        </w:rPr>
        <w:t>יוסלביץ</w:t>
      </w:r>
      <w:proofErr w:type="spellEnd"/>
      <w:r>
        <w:rPr>
          <w:rtl/>
        </w:rPr>
        <w:t xml:space="preserve">], בראותו שאנשי המוסר – שנלחם נגד ההכרה [הבלתי מוצדקת] שניתנה להם – יצאו </w:t>
      </w:r>
      <w:proofErr w:type="spellStart"/>
      <w:r>
        <w:rPr>
          <w:rtl/>
        </w:rPr>
        <w:t>לטלז</w:t>
      </w:r>
      <w:proofErr w:type="spellEnd"/>
      <w:r>
        <w:rPr>
          <w:rtl/>
        </w:rPr>
        <w:t xml:space="preserve">, עזב את שדה המערכה וחזר ללימוד בשקידה. זמן קצר אחר כך נשא האחרון את בתו של אחד מגדולי רבני ליטא [ר׳ </w:t>
      </w:r>
      <w:proofErr w:type="spellStart"/>
      <w:r>
        <w:rPr>
          <w:rtl/>
        </w:rPr>
        <w:t>חיים־אברהם</w:t>
      </w:r>
      <w:proofErr w:type="spellEnd"/>
      <w:r>
        <w:rPr>
          <w:rtl/>
        </w:rPr>
        <w:t xml:space="preserve"> שאס, רב </w:t>
      </w:r>
      <w:proofErr w:type="spellStart"/>
      <w:r>
        <w:rPr>
          <w:rtl/>
        </w:rPr>
        <w:t>ז׳וסלה</w:t>
      </w:r>
      <w:proofErr w:type="spellEnd"/>
      <w:r>
        <w:rPr>
          <w:rtl/>
        </w:rPr>
        <w:t>], ונכנס לתחום הרבנות. התקדם מעיר לעיר עד שנתמנה לרב באחת מבירות הפלכים הידועות [</w:t>
      </w:r>
      <w:proofErr w:type="spellStart"/>
      <w:r>
        <w:rPr>
          <w:rtl/>
        </w:rPr>
        <w:t xml:space="preserve">סובאלק</w:t>
      </w:r>
      <w:proofErr w:type="spellEnd"/>
      <w:r>
        <w:rPr>
          <w:rtl/>
        </w:rPr>
        <w:t>].”</w:t>
      </w:r>
    </w:p>
    <w:p w14:paraId="00B9F522" w14:textId="1D4CD963" w:rsidR="00AB3647" w:rsidRDefault="00000000" w:rsidP="007923E9">
      <w:pPr>
        <w:spacing w:after="120" w:line="276" w:lineRule="auto"/>
        <w:ind w:firstLine="283"/>
        <w:jc w:val="both"/>
      </w:pPr>
      <w:r>
        <w:rPr>
          <w:rtl/>
        </w:rPr>
        <w:t xml:space="preserve">רבנו הזכיר בשמו את הרב </w:t>
      </w:r>
      <w:proofErr w:type="spellStart"/>
      <w:r>
        <w:rPr>
          <w:rtl/>
        </w:rPr>
        <w:t>יוסלביץ</w:t>
      </w:r>
      <w:proofErr w:type="spellEnd"/>
      <w:r>
        <w:rPr>
          <w:rtl/>
        </w:rPr>
        <w:t xml:space="preserve"> כמתנגד לסבא, וגם סיפר על הגנת הסבא על מתנגדו ועל התחזית לגביו. אבל מסיבה הנידונה במקום אחר בכרך זה</w:t>
      </w:r>
      <w:bookmarkStart w:id="3278" w:name="_fnr2377"/>
      <w:r>
        <w:rPr>
          <w:rStyle w:val="a5"/>
        </w:rPr>
        <w:footnoteReference w:id="2384" w:customMarkFollows="0"/>
      </w:r>
      <w:bookmarkEnd w:id="3278"/>
      <w:r>
        <w:rPr>
          <w:rtl/>
        </w:rPr>
        <w:t xml:space="preserve"> לא הזכיר את הרב </w:t>
      </w:r>
      <w:proofErr w:type="spellStart"/>
      <w:r>
        <w:rPr>
          <w:rtl/>
        </w:rPr>
        <w:t>גבורין</w:t>
      </w:r>
      <w:proofErr w:type="spellEnd"/>
      <w:r>
        <w:rPr>
          <w:rtl/>
        </w:rPr>
        <w:t xml:space="preserve">. למרבה ההפתעה, אבי, תלמיד מסור של הסבא, הסכים בעיקרו של דבר עם הרב </w:t>
      </w:r>
      <w:proofErr w:type="spellStart"/>
      <w:r>
        <w:rPr>
          <w:rtl/>
        </w:rPr>
        <w:t>יוסלביץ</w:t>
      </w:r>
      <w:bookmarkStart w:id="3279" w:name="_fnr2378"/>
      <w:proofErr w:type="spellEnd"/>
      <w:r>
        <w:rPr>
          <w:rStyle w:val="a5"/>
        </w:rPr>
        <w:footnoteReference w:id="2385" w:customMarkFollows="0"/>
      </w:r>
      <w:bookmarkEnd w:id="3279"/>
      <w:r>
        <w:rPr>
          <w:rtl/>
        </w:rPr>
        <w:t xml:space="preserve"> שהסבא </w:t>
      </w:r>
      <w:proofErr w:type="spellStart"/>
      <w:r>
        <w:rPr>
          <w:rtl/>
        </w:rPr>
        <w:t>מסלבודקה</w:t>
      </w:r>
      <w:proofErr w:type="spellEnd"/>
      <w:r>
        <w:rPr>
          <w:rtl/>
        </w:rPr>
        <w:t xml:space="preserve"> שגה בכך שלא העניק ללומדים את ההכרה שהגיעה להם, כמוזכר בהערה </w:t>
      </w:r>
      <w:r>
        <w:rPr>
          <w:rtl/>
        </w:rPr>
        <w:fldChar w:fldCharType="begin" w:dirty="true"/>
      </w:r>
      <w:r>
        <w:rPr>
          <w:rtl/>
        </w:rPr>
        <w:instrText xml:space="preserve"> REF b3_note55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לעיל.</w:t>
      </w:r>
    </w:p>
    <w:p w14:paraId="78FDB8F8" w14:textId="77777777" w:rsidR="00AB3647" w:rsidRDefault="00000000" w:rsidP="007923E9">
      <w:pPr>
        <w:spacing w:after="120" w:line="276" w:lineRule="auto"/>
        <w:ind w:firstLine="283"/>
        <w:jc w:val="both"/>
      </w:pPr>
      <w:r>
        <w:rPr>
          <w:rtl/>
        </w:rPr>
        <w:t xml:space="preserve">ההצדקה שמצא רבנו להתנהגות הסבא הייתה שהלומדים של אותה תקופה לא נטו אחרי המוסר – כמו שנטו בתקופה שאבי בא </w:t>
      </w:r>
      <w:proofErr w:type="spellStart"/>
      <w:r>
        <w:rPr>
          <w:rtl/>
        </w:rPr>
        <w:t>לסלבודקה</w:t>
      </w:r>
      <w:proofErr w:type="spellEnd"/>
      <w:r>
        <w:rPr>
          <w:rtl/>
        </w:rPr>
        <w:t xml:space="preserve"> ואחריה. כדי לקדם את דרכו במוסר לא נותרה לסבא </w:t>
      </w:r>
      <w:proofErr w:type="spellStart"/>
      <w:r>
        <w:rPr>
          <w:rtl/>
        </w:rPr>
        <w:t>מסלבודקה</w:t>
      </w:r>
      <w:proofErr w:type="spellEnd"/>
      <w:r>
        <w:rPr>
          <w:rtl/>
        </w:rPr>
        <w:t xml:space="preserve"> ברירה אלא להמעיט בערכם של תלמידים אלה, אף שידיעותיהם בתורה היו עדיפות.</w:t>
      </w:r>
    </w:p>
    <w:p w14:paraId="38ADF4F6" w14:textId="77777777" w:rsidR="00AB3647" w:rsidRDefault="00000000" w:rsidP="007923E9">
      <w:pPr>
        <w:spacing w:after="120" w:line="276" w:lineRule="auto"/>
        <w:ind w:firstLine="283"/>
        <w:jc w:val="both"/>
      </w:pPr>
      <w:r>
        <w:rPr>
          <w:rtl/>
        </w:rPr>
        <w:t>נראה שגם המעשה המסופר שם</w:t>
      </w:r>
      <w:bookmarkStart w:id="3280" w:name="_fnr2379"/>
      <w:r>
        <w:rPr>
          <w:rStyle w:val="a5"/>
        </w:rPr>
        <w:footnoteReference w:id="2386" w:customMarkFollows="0"/>
      </w:r>
      <w:bookmarkEnd w:id="3280"/>
      <w:r>
        <w:rPr>
          <w:rtl/>
        </w:rPr>
        <w:t xml:space="preserve"> על שתי “דמויות מרכזיות בין המתנגדים” עוסק בשניים אלה. האחד גויס לצבא בשנת תרס״ג, והסבא הוציא סכום עצום מכספי הישיבה, ובאמצעות תלמידיו גייס כספים נוספים ממקורות פרטיים, כדי לשחררו מן השירות ולהחזירו לישיבה – </w:t>
      </w:r>
      <w:r>
        <w:rPr>
          <w:b/>
          <w:bCs/>
          <w:rtl/>
        </w:rPr>
        <w:t>שם שב לתפקידו כמתנגד</w:t>
      </w:r>
      <w:r>
        <w:rPr>
          <w:rtl/>
        </w:rPr>
        <w:t xml:space="preserve">. עם שובו שוכנע המתנגד האחר בידי חבריו תומכי המוסר לחדול מן המחלוקת. הראשון הוא כנראה ר׳ יוסף </w:t>
      </w:r>
      <w:proofErr w:type="spellStart"/>
      <w:r>
        <w:rPr>
          <w:rtl/>
        </w:rPr>
        <w:t>יוסלביץ</w:t>
      </w:r>
      <w:proofErr w:type="spellEnd"/>
      <w:r>
        <w:rPr>
          <w:rtl/>
        </w:rPr>
        <w:t xml:space="preserve">, שכן חתנו ר׳ דוד ליפשיץ אמר לי: “הוא גויס בשנת תרס״ג לזמן קצר, ואז הובא אליו אוכל כשר מביתו של [איש המוסר המובהק] ר׳ </w:t>
      </w:r>
      <w:proofErr w:type="spellStart"/>
      <w:r>
        <w:rPr>
          <w:rtl/>
        </w:rPr>
        <w:t>איצל׳ה</w:t>
      </w:r>
      <w:proofErr w:type="spellEnd"/>
      <w:r>
        <w:rPr>
          <w:rtl/>
        </w:rPr>
        <w:t xml:space="preserve"> </w:t>
      </w:r>
      <w:proofErr w:type="spellStart"/>
      <w:r>
        <w:rPr>
          <w:rtl/>
        </w:rPr>
        <w:t>בלאזר</w:t>
      </w:r>
      <w:proofErr w:type="spellEnd"/>
      <w:r>
        <w:rPr>
          <w:rtl/>
        </w:rPr>
        <w:t xml:space="preserve">. אחר כך חזר לישיבת </w:t>
      </w:r>
      <w:proofErr w:type="spellStart"/>
      <w:r>
        <w:rPr>
          <w:rtl/>
        </w:rPr>
        <w:t>סלבודקה</w:t>
      </w:r>
      <w:proofErr w:type="spellEnd"/>
      <w:r>
        <w:rPr>
          <w:rtl/>
        </w:rPr>
        <w:t xml:space="preserve">.” והאחר הוא ר׳ שלמה </w:t>
      </w:r>
      <w:proofErr w:type="spellStart"/>
      <w:r>
        <w:rPr>
          <w:rtl/>
        </w:rPr>
        <w:t>גבורין</w:t>
      </w:r>
      <w:proofErr w:type="spellEnd"/>
      <w:r>
        <w:rPr>
          <w:rtl/>
        </w:rPr>
        <w:t>, שכמו שסופר לעיל</w:t>
      </w:r>
      <w:bookmarkStart w:id="3281" w:name="_fnr2380"/>
      <w:r>
        <w:rPr>
          <w:rStyle w:val="a5"/>
        </w:rPr>
        <w:footnoteReference w:id="2387" w:customMarkFollows="0"/>
      </w:r>
      <w:bookmarkEnd w:id="3281"/>
      <w:r>
        <w:rPr>
          <w:rtl/>
        </w:rPr>
        <w:t xml:space="preserve"> “חזר בו”.</w:t>
      </w:r>
    </w:p>
    <w:p w14:paraId="049B51EB" w14:textId="77777777" w:rsidR="00AB3647" w:rsidRDefault="00000000" w:rsidP="007923E9">
      <w:pPr>
        <w:spacing w:after="120" w:line="276" w:lineRule="auto"/>
        <w:ind w:firstLine="283"/>
        <w:jc w:val="both"/>
      </w:pPr>
      <w:r>
        <w:rPr>
          <w:rtl/>
        </w:rPr>
        <w:lastRenderedPageBreak/>
        <w:t xml:space="preserve">למרבה הפלא, גם הרב </w:t>
      </w:r>
      <w:proofErr w:type="spellStart"/>
      <w:r>
        <w:rPr>
          <w:rtl/>
        </w:rPr>
        <w:t>יוסלביץ</w:t>
      </w:r>
      <w:proofErr w:type="spellEnd"/>
      <w:r>
        <w:rPr>
          <w:rtl/>
        </w:rPr>
        <w:t xml:space="preserve"> “חזר בו”. “שערי ציון”</w:t>
      </w:r>
      <w:bookmarkStart w:id="3282" w:name="_fnr2381"/>
      <w:r>
        <w:rPr>
          <w:rStyle w:val="a5"/>
        </w:rPr>
        <w:footnoteReference w:id="2388" w:customMarkFollows="0"/>
      </w:r>
      <w:bookmarkEnd w:id="3282"/>
      <w:r>
        <w:rPr>
          <w:rtl/>
        </w:rPr>
        <w:t xml:space="preserve"> דיווח בגיליון שבט–ניסן </w:t>
      </w:r>
      <w:proofErr w:type="spellStart"/>
      <w:r>
        <w:rPr>
          <w:rtl/>
        </w:rPr>
        <w:t>תר״ץ</w:t>
      </w:r>
      <w:bookmarkStart w:id="3283" w:name="_fnr2382"/>
      <w:proofErr w:type="spellEnd"/>
      <w:r>
        <w:rPr>
          <w:rStyle w:val="a5"/>
        </w:rPr>
        <w:footnoteReference w:id="2389" w:customMarkFollows="0"/>
      </w:r>
      <w:bookmarkEnd w:id="3283"/>
      <w:r>
        <w:rPr>
          <w:rtl/>
        </w:rPr>
        <w:t xml:space="preserve">: “אספה של בוגרי ישיבת </w:t>
      </w:r>
      <w:proofErr w:type="spellStart"/>
      <w:r>
        <w:rPr>
          <w:rtl/>
        </w:rPr>
        <w:t>סלבודקה</w:t>
      </w:r>
      <w:proofErr w:type="spellEnd"/>
      <w:r>
        <w:rPr>
          <w:rtl/>
        </w:rPr>
        <w:t xml:space="preserve"> התקיימה [ביום השנה לפטירת הסבא] באולם ועד הישיבות בווילנה. פתח אותה היושב ראש, ר׳ יוסף </w:t>
      </w:r>
      <w:proofErr w:type="spellStart"/>
      <w:r>
        <w:rPr>
          <w:rtl/>
        </w:rPr>
        <w:t>יוסלביץ</w:t>
      </w:r>
      <w:proofErr w:type="spellEnd"/>
      <w:r>
        <w:rPr>
          <w:rtl/>
        </w:rPr>
        <w:t xml:space="preserve">, רב </w:t>
      </w:r>
      <w:proofErr w:type="spellStart"/>
      <w:r>
        <w:rPr>
          <w:rtl/>
        </w:rPr>
        <w:t xml:space="preserve">סובאלק</w:t>
      </w:r>
      <w:proofErr w:type="spellEnd"/>
      <w:r>
        <w:rPr>
          <w:rtl/>
        </w:rPr>
        <w:t xml:space="preserve">, שהעלה </w:t>
      </w:r>
      <w:r>
        <w:rPr>
          <w:b/>
          <w:bCs/>
          <w:rtl/>
        </w:rPr>
        <w:t xml:space="preserve">זיכרונות מוקדמים מן הסבא, מתקופת לימודיו </w:t>
      </w:r>
      <w:proofErr w:type="spellStart"/>
      <w:r>
        <w:rPr>
          <w:b/>
          <w:bCs/>
          <w:rtl/>
        </w:rPr>
        <w:t>בסלבודקה</w:t>
      </w:r>
      <w:proofErr w:type="spellEnd"/>
      <w:r>
        <w:rPr>
          <w:rtl/>
        </w:rPr>
        <w:t xml:space="preserve"> (ההדגשה שלי), עמד במיוחד על שיטת המוסר של הסבא והציג מבט ברור על דרך המוסר של </w:t>
      </w:r>
      <w:proofErr w:type="spellStart"/>
      <w:r>
        <w:rPr>
          <w:rtl/>
        </w:rPr>
        <w:t>סלבודקה</w:t>
      </w:r>
      <w:proofErr w:type="spellEnd"/>
      <w:r>
        <w:rPr>
          <w:rtl/>
        </w:rPr>
        <w:t xml:space="preserve">. בסיום הציע לייסד ירחון תורני ובו מדור מיוחד למאמרי מוסר לזכר הסבא.” אין זה רחוק לייחס את השינוי בהשקפת הרב </w:t>
      </w:r>
      <w:proofErr w:type="spellStart"/>
      <w:r>
        <w:rPr>
          <w:rtl/>
        </w:rPr>
        <w:t>יוסלביץ</w:t>
      </w:r>
      <w:proofErr w:type="spellEnd"/>
      <w:r>
        <w:rPr>
          <w:rtl/>
        </w:rPr>
        <w:t xml:space="preserve"> למרד של בניו המתבגרים נגד שמירת התורה כחמש שנים קודם לכן, באמצע שנות </w:t>
      </w:r>
      <w:proofErr w:type="spellStart"/>
      <w:r>
        <w:rPr>
          <w:rtl/>
        </w:rPr>
        <w:t>התר״פ</w:t>
      </w:r>
      <w:bookmarkStart w:id="3284" w:name="_fnr2383"/>
      <w:proofErr w:type="spellEnd"/>
      <w:r>
        <w:rPr>
          <w:rStyle w:val="a5"/>
        </w:rPr>
        <w:footnoteReference w:id="2390" w:customMarkFollows="0"/>
      </w:r>
      <w:bookmarkEnd w:id="3284"/>
      <w:r>
        <w:rPr>
          <w:rtl/>
        </w:rPr>
        <w:t>.</w:t>
      </w:r>
    </w:p>
    <w:p w14:paraId="55A261F6" w14:textId="77777777" w:rsidR="00AB3647" w:rsidRDefault="00000000" w:rsidP="007923E9">
      <w:pPr>
        <w:spacing w:after="120" w:line="276" w:lineRule="auto"/>
        <w:ind w:firstLine="283"/>
        <w:jc w:val="both"/>
      </w:pPr>
      <w:r>
        <w:rPr>
          <w:rtl/>
        </w:rPr>
        <w:t xml:space="preserve">באשר לראייתו למרחוק של הסבא, מקרה דומה מסופר אצל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5" w:name="_fnr2384"/>
      <w:r>
        <w:rPr>
          <w:rStyle w:val="a5"/>
        </w:rPr>
        <w:footnoteReference w:id="2391" w:customMarkFollows="0"/>
      </w:r>
      <w:bookmarkEnd w:id="3285"/>
      <w:r>
        <w:rPr>
          <w:rtl/>
        </w:rPr>
        <w:t xml:space="preserve">. כשסיפרו </w:t>
      </w:r>
      <w:proofErr w:type="spellStart"/>
      <w:r>
        <w:rPr>
          <w:rtl/>
        </w:rPr>
        <w:t>לר</w:t>
      </w:r>
      <w:proofErr w:type="spellEnd"/>
      <w:r>
        <w:rPr>
          <w:rtl/>
        </w:rPr>
        <w:t xml:space="preserve">׳ </w:t>
      </w:r>
      <w:proofErr w:type="spellStart"/>
      <w:r>
        <w:rPr>
          <w:rtl/>
        </w:rPr>
        <w:t>נתן־צבי</w:t>
      </w:r>
      <w:proofErr w:type="spellEnd"/>
      <w:r>
        <w:rPr>
          <w:rtl/>
        </w:rPr>
        <w:t xml:space="preserve"> שר׳ </w:t>
      </w:r>
      <w:proofErr w:type="spellStart"/>
      <w:r>
        <w:rPr>
          <w:rtl/>
        </w:rPr>
        <w:t>יהודה־לייב</w:t>
      </w:r>
      <w:proofErr w:type="spellEnd"/>
      <w:r>
        <w:rPr>
          <w:rtl/>
        </w:rPr>
        <w:t xml:space="preserve"> פיין</w:t>
      </w:r>
      <w:bookmarkStart w:id="3286" w:name="_fnr2385"/>
      <w:r>
        <w:rPr>
          <w:rStyle w:val="a5"/>
        </w:rPr>
        <w:footnoteReference w:id="2392" w:customMarkFollows="0"/>
      </w:r>
      <w:bookmarkEnd w:id="3286"/>
      <w:r>
        <w:rPr>
          <w:rtl/>
        </w:rPr>
        <w:t xml:space="preserve"> נתמנה לרב </w:t>
      </w:r>
      <w:proofErr w:type="spellStart"/>
      <w:r>
        <w:rPr>
          <w:rtl/>
        </w:rPr>
        <w:t>בפיאסצ׳נה</w:t>
      </w:r>
      <w:proofErr w:type="spellEnd"/>
      <w:r>
        <w:rPr>
          <w:rtl/>
        </w:rPr>
        <w:t xml:space="preserve"> </w:t>
      </w:r>
      <w:proofErr w:type="spellStart"/>
      <w:r>
        <w:rPr>
          <w:rtl/>
        </w:rPr>
        <w:t>בתרנ״ה</w:t>
      </w:r>
      <w:proofErr w:type="spellEnd"/>
      <w:r>
        <w:rPr>
          <w:rtl/>
        </w:rPr>
        <w:t xml:space="preserve">, העיר: “זאת [משרה קטנה כל כך] בשבילו? הלא כתר הרבנות של [העיר הגדולה והרחוקה] סלונים הולם אותו!” ואכן, כעבור עשרים וחמש שנה נעשה ר׳ </w:t>
      </w:r>
      <w:proofErr w:type="spellStart"/>
      <w:r>
        <w:rPr>
          <w:rtl/>
        </w:rPr>
        <w:t>יהודה־לייב</w:t>
      </w:r>
      <w:proofErr w:type="spellEnd"/>
      <w:r>
        <w:rPr>
          <w:rtl/>
        </w:rPr>
        <w:t xml:space="preserve"> לבסוף רבה של סלונים, לאחר ששימש גם </w:t>
      </w:r>
      <w:proofErr w:type="spellStart"/>
      <w:r>
        <w:rPr>
          <w:rtl/>
        </w:rPr>
        <w:t>בקופישוק</w:t>
      </w:r>
      <w:proofErr w:type="spellEnd"/>
      <w:r>
        <w:rPr>
          <w:rtl/>
        </w:rPr>
        <w:t xml:space="preserve"> </w:t>
      </w:r>
      <w:proofErr w:type="spellStart"/>
      <w:r>
        <w:rPr>
          <w:rtl/>
        </w:rPr>
        <w:t>ובאושמינה</w:t>
      </w:r>
      <w:proofErr w:type="spellEnd"/>
      <w:r>
        <w:rPr>
          <w:rtl/>
        </w:rPr>
        <w:t xml:space="preserve">. השווה גם </w:t>
      </w:r>
      <w:proofErr w:type="spellStart"/>
      <w:r>
        <w:rPr>
          <w:rtl/>
        </w:rPr>
        <w:t>רבינר</w:t>
      </w:r>
      <w:proofErr w:type="spellEnd"/>
      <w:r>
        <w:rPr>
          <w:rtl/>
        </w:rPr>
        <w:t xml:space="preserve"> – ר׳ </w:t>
      </w:r>
      <w:proofErr w:type="spellStart"/>
      <w:r>
        <w:rPr>
          <w:rtl/>
        </w:rPr>
        <w:t>יהודה־לייב</w:t>
      </w:r>
      <w:proofErr w:type="spellEnd"/>
      <w:r>
        <w:rPr>
          <w:rtl/>
        </w:rPr>
        <w:t xml:space="preserve"> פיין</w:t>
      </w:r>
      <w:bookmarkStart w:id="3287" w:name="_fnr2386"/>
      <w:r>
        <w:rPr>
          <w:rStyle w:val="a5"/>
        </w:rPr>
        <w:footnoteReference w:id="2393" w:customMarkFollows="0"/>
      </w:r>
      <w:bookmarkEnd w:id="3287"/>
      <w:r>
        <w:rPr>
          <w:rtl/>
        </w:rPr>
        <w:t xml:space="preserve">, המספר </w:t>
      </w:r>
      <w:proofErr w:type="spellStart"/>
      <w:r>
        <w:rPr>
          <w:rtl/>
        </w:rPr>
        <w:t>שבהיותו</w:t>
      </w:r>
      <w:proofErr w:type="spellEnd"/>
      <w:r>
        <w:rPr>
          <w:rtl/>
        </w:rPr>
        <w:t xml:space="preserve"> </w:t>
      </w:r>
      <w:proofErr w:type="spellStart"/>
      <w:r>
        <w:rPr>
          <w:rtl/>
        </w:rPr>
        <w:t>בקופישוק</w:t>
      </w:r>
      <w:proofErr w:type="spellEnd"/>
      <w:r>
        <w:rPr>
          <w:rtl/>
        </w:rPr>
        <w:t xml:space="preserve"> הוצע לו כיסא הרבנות בפטרבורג, ובהיותו בסלונים – משרות הרבנות של אנטוורפן ושל לונדון. ייתכן שהסבא צפה כי תלמידו ראוי למשרות גדולות אף מזו של סלונים, אבל הבין שר׳ </w:t>
      </w:r>
      <w:proofErr w:type="spellStart"/>
      <w:r>
        <w:rPr>
          <w:rtl/>
        </w:rPr>
        <w:t>יהודה־לייב</w:t>
      </w:r>
      <w:proofErr w:type="spellEnd"/>
      <w:r>
        <w:rPr>
          <w:rtl/>
        </w:rPr>
        <w:t xml:space="preserve"> ידחה אותן, מפני שירצה להישאר בליטא המסורתית.</w:t>
      </w:r>
    </w:p>
    <w:p w14:paraId="5195000B" w14:textId="77777777" w:rsidR="00AB3647" w:rsidRDefault="00000000" w:rsidP="007923E9">
      <w:pPr>
        <w:spacing w:after="120" w:line="276" w:lineRule="auto"/>
        <w:ind w:firstLine="283"/>
        <w:jc w:val="both"/>
      </w:pPr>
      <w:r>
        <w:rPr>
          <w:rtl/>
        </w:rPr>
        <w:t xml:space="preserve">על תפיסתו החודרת של הסבא את כוחותיו של תלמיד סיפר ר׳ חיים </w:t>
      </w:r>
      <w:proofErr w:type="spellStart"/>
      <w:r>
        <w:rPr>
          <w:rtl/>
        </w:rPr>
        <w:t>סרנא</w:t>
      </w:r>
      <w:bookmarkStart w:id="3288" w:name="_fnr2387"/>
      <w:proofErr w:type="spellEnd"/>
      <w:r>
        <w:rPr>
          <w:rStyle w:val="a5"/>
        </w:rPr>
        <w:footnoteReference w:id="2394" w:customMarkFollows="0"/>
      </w:r>
      <w:bookmarkEnd w:id="3288"/>
      <w:r>
        <w:rPr>
          <w:rtl/>
        </w:rPr>
        <w:t xml:space="preserve"> שר׳ </w:t>
      </w:r>
      <w:proofErr w:type="spellStart"/>
      <w:r>
        <w:rPr>
          <w:rtl/>
        </w:rPr>
        <w:t>יחיאל־יעקב</w:t>
      </w:r>
      <w:proofErr w:type="spellEnd"/>
      <w:r>
        <w:rPr>
          <w:rtl/>
        </w:rPr>
        <w:t xml:space="preserve"> ויינברג</w:t>
      </w:r>
      <w:bookmarkStart w:id="3289" w:name="_fnr2388"/>
      <w:r>
        <w:rPr>
          <w:rStyle w:val="a5"/>
        </w:rPr>
        <w:footnoteReference w:id="2395" w:customMarkFollows="0"/>
      </w:r>
      <w:bookmarkEnd w:id="3289"/>
      <w:r>
        <w:rPr>
          <w:rtl/>
        </w:rPr>
        <w:t xml:space="preserve"> אמר לו, בתארו את כישרונו המופלא של הסבא </w:t>
      </w:r>
      <w:proofErr w:type="spellStart"/>
      <w:r>
        <w:rPr>
          <w:rtl/>
        </w:rPr>
        <w:t>מסלבודקה</w:t>
      </w:r>
      <w:proofErr w:type="spellEnd"/>
      <w:r>
        <w:rPr>
          <w:rtl/>
        </w:rPr>
        <w:t xml:space="preserve">: “כשהסבא פגש אדם, היה יכול לצפות מה יהיה אותו אדם עד רגבי העפר האחרונים [שיכסו את קברו] – עד </w:t>
      </w:r>
      <w:proofErr w:type="spellStart"/>
      <w:r>
        <w:rPr>
          <w:rtl/>
        </w:rPr>
        <w:t>זיבולא</w:t>
      </w:r>
      <w:proofErr w:type="spellEnd"/>
      <w:r>
        <w:rPr>
          <w:rtl/>
        </w:rPr>
        <w:t xml:space="preserve"> </w:t>
      </w:r>
      <w:proofErr w:type="spellStart"/>
      <w:r>
        <w:rPr>
          <w:rtl/>
        </w:rPr>
        <w:t>בתרייתא</w:t>
      </w:r>
      <w:bookmarkStart w:id="3290" w:name="_fnr2389"/>
      <w:proofErr w:type="spellEnd"/>
      <w:r>
        <w:rPr>
          <w:rStyle w:val="a5"/>
        </w:rPr>
        <w:footnoteReference w:id="2396" w:customMarkFollows="0"/>
      </w:r>
      <w:bookmarkEnd w:id="3290"/>
      <w:r>
        <w:rPr>
          <w:rtl/>
        </w:rPr>
        <w:t>.”</w:t>
      </w:r>
    </w:p>
    <w:p w14:paraId="5C2F927E" w14:textId="77777777" w:rsidR="00AB3647" w:rsidRDefault="00000000" w:rsidP="007923E9">
      <w:pPr>
        <w:pStyle w:val="4"/>
        <w:spacing w:line="276" w:lineRule="auto"/>
      </w:pPr>
      <w:r>
        <w:t>· הפסקה השלישית ·</w:t>
      </w:r>
    </w:p>
    <w:p w14:paraId="2813C637" w14:textId="77777777" w:rsidR="00AB3647" w:rsidRDefault="00000000" w:rsidP="007923E9">
      <w:pPr>
        <w:pStyle w:val="5"/>
        <w:spacing w:line="276" w:lineRule="auto"/>
      </w:pPr>
      <w:r>
        <w:t xml:space="preserve">שתי גרסאות למועד תחילתה וסיומה של המחלוקת – ר׳ </w:t>
      </w:r>
      <w:proofErr w:type="spellStart"/>
      <w:r>
        <w:t>ישראל־זיסל</w:t>
      </w:r>
      <w:proofErr w:type="spellEnd"/>
      <w:r>
        <w:t xml:space="preserve"> </w:t>
      </w:r>
      <w:proofErr w:type="spellStart"/>
      <w:r>
        <w:t>דבורץ</w:t>
      </w:r>
      <w:proofErr w:type="spellEnd"/>
      <w:r>
        <w:t xml:space="preserve"> נעדר </w:t>
      </w:r>
      <w:proofErr w:type="spellStart"/>
      <w:r>
        <w:t>מסלבודקה</w:t>
      </w:r>
      <w:proofErr w:type="spellEnd"/>
      <w:r>
        <w:t xml:space="preserve"> שנה – כיצד הגיע הנער חסר האמצעים </w:t>
      </w:r>
      <w:proofErr w:type="spellStart"/>
      <w:r>
        <w:t>לסלבודקה</w:t>
      </w:r>
      <w:proofErr w:type="spellEnd"/>
    </w:p>
    <w:p w14:paraId="19A7E8AD" w14:textId="77777777" w:rsidR="00AB3647" w:rsidRDefault="00000000" w:rsidP="007923E9">
      <w:pPr>
        <w:spacing w:after="120" w:line="276" w:lineRule="auto"/>
        <w:ind w:firstLine="283"/>
        <w:jc w:val="both"/>
      </w:pPr>
      <w:proofErr w:type="spellStart"/>
      <w:r>
        <w:rPr>
          <w:rtl/>
        </w:rPr>
        <w:t>דבורץ</w:t>
      </w:r>
      <w:proofErr w:type="spellEnd"/>
      <w:r>
        <w:rPr>
          <w:rtl/>
        </w:rPr>
        <w:t xml:space="preserve">, “הגאון רבי משה מרדכי אפשטיין”, טוען, בקטע המצוטט בעמ׳ </w:t>
      </w:r>
      <w:r>
        <w:rPr>
          <w:rtl/>
        </w:rPr>
        <w:fldChar w:fldCharType="begin" w:dirty="true"/>
      </w:r>
      <w:r>
        <w:rPr>
          <w:rtl/>
        </w:rPr>
        <w:instrText xml:space="preserve"> PAGEREF pr_close_b_2269 \h </w:instrText>
      </w:r>
      <w:r>
        <w:rPr>
          <w:rtl/>
        </w:rPr>
      </w:r>
      <w:r>
        <w:rPr>
          <w:rtl/>
        </w:rPr>
        <w:fldChar w:fldCharType="separate"/>
      </w:r>
      <w:r w:rsidR="007923E9">
        <w:rPr>
          <w:noProof/>
          <w:rtl/>
        </w:rPr>
        <w:t>1</w:t>
      </w:r>
      <w:r>
        <w:rPr>
          <w:rtl/>
        </w:rPr>
        <w:fldChar w:fldCharType="end"/>
      </w:r>
      <w:r>
        <w:rPr>
          <w:rtl/>
        </w:rPr>
        <w:t xml:space="preserve">, שהתנועה נגד המוסר בתוך כנסת ישראל התפוגגה דווקא בעקבות שיגור קבוצת התלמידים המובילה של </w:t>
      </w:r>
      <w:r>
        <w:rPr>
          <w:rtl/>
        </w:rPr>
        <w:lastRenderedPageBreak/>
        <w:t xml:space="preserve">תומכי המוסר </w:t>
      </w:r>
      <w:proofErr w:type="spellStart"/>
      <w:r>
        <w:rPr>
          <w:rtl/>
        </w:rPr>
        <w:t>לטלז</w:t>
      </w:r>
      <w:proofErr w:type="spellEnd"/>
      <w:r>
        <w:rPr>
          <w:rtl/>
        </w:rPr>
        <w:t xml:space="preserve">. טענה זו מוטלת בספק. הקבוצה נשלחה </w:t>
      </w:r>
      <w:proofErr w:type="spellStart"/>
      <w:r>
        <w:rPr>
          <w:rtl/>
        </w:rPr>
        <w:t>לטלז</w:t>
      </w:r>
      <w:proofErr w:type="spellEnd"/>
      <w:r>
        <w:rPr>
          <w:rtl/>
        </w:rPr>
        <w:t xml:space="preserve"> </w:t>
      </w:r>
      <w:proofErr w:type="spellStart"/>
      <w:r>
        <w:rPr>
          <w:rtl/>
        </w:rPr>
        <w:t>בתרס״ה</w:t>
      </w:r>
      <w:bookmarkStart w:id="3291" w:name="_fnr2390"/>
      <w:proofErr w:type="spellEnd"/>
      <w:r>
        <w:rPr>
          <w:rStyle w:val="a5"/>
        </w:rPr>
        <w:footnoteReference w:id="2397" w:customMarkFollows="0"/>
      </w:r>
      <w:bookmarkEnd w:id="3291"/>
      <w:r>
        <w:rPr>
          <w:rtl/>
        </w:rPr>
        <w:t xml:space="preserve">, לאחר שמנהיג המתנגדים, הרב </w:t>
      </w:r>
      <w:proofErr w:type="spellStart"/>
      <w:r>
        <w:rPr>
          <w:rtl/>
        </w:rPr>
        <w:t>יוסלביץ</w:t>
      </w:r>
      <w:proofErr w:type="spellEnd"/>
      <w:r>
        <w:rPr>
          <w:rtl/>
        </w:rPr>
        <w:t xml:space="preserve">, נשא אישה ועזב את הישיבה </w:t>
      </w:r>
      <w:proofErr w:type="spellStart"/>
      <w:r>
        <w:rPr>
          <w:rtl/>
        </w:rPr>
        <w:t>בתרס״ד</w:t>
      </w:r>
      <w:bookmarkStart w:id="3292" w:name="_fnr2391"/>
      <w:proofErr w:type="spellEnd"/>
      <w:r>
        <w:rPr>
          <w:rStyle w:val="a5"/>
        </w:rPr>
        <w:footnoteReference w:id="2398" w:customMarkFollows="0"/>
      </w:r>
      <w:bookmarkEnd w:id="3292"/>
      <w:r>
        <w:rPr>
          <w:rtl/>
        </w:rPr>
        <w:t>.</w:t>
      </w:r>
    </w:p>
    <w:p w14:paraId="5995ED44" w14:textId="77777777" w:rsidR="00AB3647" w:rsidRDefault="00000000" w:rsidP="007923E9">
      <w:pPr>
        <w:spacing w:after="120" w:line="276" w:lineRule="auto"/>
        <w:ind w:firstLine="283"/>
        <w:jc w:val="both"/>
      </w:pPr>
      <w:bookmarkStart w:id="3293" w:name="pr_b_1416"/>
      <w:bookmarkEnd w:id="3293"/>
      <w:r>
        <w:rPr>
          <w:rtl/>
        </w:rPr>
        <w:t xml:space="preserve">לפיכך מסתבר יותר שההתנגדות שככה שנה לפני המועד הנקוב בספרו של </w:t>
      </w:r>
      <w:proofErr w:type="spellStart"/>
      <w:r>
        <w:rPr>
          <w:rtl/>
        </w:rPr>
        <w:t>דבורץ</w:t>
      </w:r>
      <w:proofErr w:type="spellEnd"/>
      <w:r>
        <w:rPr>
          <w:rtl/>
        </w:rPr>
        <w:t xml:space="preserve">, “הגאון רבי משה מרדכי אפשטיין”. שנה זו הספיקה גם למנהיג האחר של המתנגדים למוסר, ר׳ שלמה </w:t>
      </w:r>
      <w:proofErr w:type="spellStart"/>
      <w:r>
        <w:rPr>
          <w:rtl/>
        </w:rPr>
        <w:t>גבורין</w:t>
      </w:r>
      <w:proofErr w:type="spellEnd"/>
      <w:r>
        <w:rPr>
          <w:rtl/>
        </w:rPr>
        <w:t xml:space="preserve">, להוכיח שהשתנה עד כדי כך שאפשר היה לסמוך עליו ולצרפו לשליחות להפצת המוסר </w:t>
      </w:r>
      <w:proofErr w:type="spellStart"/>
      <w:r>
        <w:rPr>
          <w:rtl/>
        </w:rPr>
        <w:t>בטלז</w:t>
      </w:r>
      <w:proofErr w:type="spellEnd"/>
      <w:r>
        <w:rPr>
          <w:rtl/>
        </w:rPr>
        <w:t xml:space="preserve"> </w:t>
      </w:r>
      <w:proofErr w:type="spellStart"/>
      <w:r>
        <w:rPr>
          <w:rtl/>
        </w:rPr>
        <w:t>בתרס״ה</w:t>
      </w:r>
      <w:proofErr w:type="spellEnd"/>
      <w:r>
        <w:rPr>
          <w:rtl/>
        </w:rPr>
        <w:t xml:space="preserve">, כאמור. יתר על כן, </w:t>
      </w:r>
      <w:proofErr w:type="spellStart"/>
      <w:r>
        <w:rPr>
          <w:rtl/>
        </w:rPr>
        <w:t>דבורץ</w:t>
      </w:r>
      <w:bookmarkStart w:id="3294" w:name="_fnr2392"/>
      <w:proofErr w:type="spellEnd"/>
      <w:r>
        <w:rPr>
          <w:rStyle w:val="a5"/>
        </w:rPr>
        <w:footnoteReference w:id="2399" w:customMarkFollows="0"/>
      </w:r>
      <w:bookmarkEnd w:id="3294"/>
      <w:r>
        <w:rPr>
          <w:rtl/>
        </w:rPr>
        <w:t xml:space="preserve"> קובע שהמריבה בין התלמידים תומכי המוסר למתנגדיו פרצה “בסוף תרס״א”, ואילו כץ, “תנועת המוסר”, כרך ג</w:t>
      </w:r>
      <w:bookmarkStart w:id="3295" w:name="_fnr2393"/>
      <w:r>
        <w:rPr>
          <w:rStyle w:val="a5"/>
        </w:rPr>
        <w:footnoteReference w:id="2400" w:customMarkFollows="0"/>
      </w:r>
      <w:bookmarkEnd w:id="3295"/>
      <w:r>
        <w:rPr>
          <w:rtl/>
        </w:rPr>
        <w:t xml:space="preserve">, קובע את זמנה “בסוף תרס״ג”. אם כן, לפי </w:t>
      </w:r>
      <w:proofErr w:type="spellStart"/>
      <w:r>
        <w:rPr>
          <w:rtl/>
        </w:rPr>
        <w:t>דבורץ</w:t>
      </w:r>
      <w:proofErr w:type="spellEnd"/>
      <w:r>
        <w:rPr>
          <w:rtl/>
        </w:rPr>
        <w:t xml:space="preserve"> החלה המחלוקת מוקדם יותר והסתיימה מאוחר יותר ממה שעולה מן המקורות האחרים.</w:t>
      </w:r>
    </w:p>
    <w:p w14:paraId="67BC4149" w14:textId="77777777" w:rsidR="00AB3647" w:rsidRDefault="00000000" w:rsidP="007923E9">
      <w:pPr>
        <w:spacing w:after="120" w:line="276" w:lineRule="auto"/>
        <w:ind w:firstLine="283"/>
        <w:jc w:val="both"/>
      </w:pPr>
      <w:r>
        <w:rPr>
          <w:rtl/>
        </w:rPr>
        <w:t xml:space="preserve">אני נוטה להסכים עם כץ, אף שמחבר סדרה זו לא היה </w:t>
      </w:r>
      <w:proofErr w:type="spellStart"/>
      <w:r>
        <w:rPr>
          <w:rtl/>
        </w:rPr>
        <w:t>בסלבודקה</w:t>
      </w:r>
      <w:proofErr w:type="spellEnd"/>
      <w:r>
        <w:rPr>
          <w:rtl/>
        </w:rPr>
        <w:t xml:space="preserve"> בשנות המריבה הללו, ואילו מחבר “הגאון רבי משה מרדכי אפשטיין” היה שם, אם כי כבחור צעיר יותר. לדברי ר׳ </w:t>
      </w:r>
      <w:proofErr w:type="spellStart"/>
      <w:r>
        <w:rPr>
          <w:rtl/>
        </w:rPr>
        <w:t>שמעון־ראובן</w:t>
      </w:r>
      <w:proofErr w:type="spellEnd"/>
      <w:r>
        <w:rPr>
          <w:rtl/>
        </w:rPr>
        <w:t xml:space="preserve"> </w:t>
      </w:r>
      <w:proofErr w:type="spellStart"/>
      <w:r>
        <w:rPr>
          <w:rtl/>
        </w:rPr>
        <w:t>דבורץ</w:t>
      </w:r>
      <w:bookmarkStart w:id="3296" w:name="_fnr2394"/>
      <w:proofErr w:type="spellEnd"/>
      <w:r>
        <w:rPr>
          <w:rStyle w:val="a5"/>
        </w:rPr>
        <w:footnoteReference w:id="2401" w:customMarkFollows="0"/>
      </w:r>
      <w:bookmarkEnd w:id="3296"/>
      <w:r>
        <w:rPr>
          <w:rtl/>
        </w:rPr>
        <w:t xml:space="preserve">, בנו של מחבר “הגאון רבי משה מרדכי אפשטיין” ר׳ </w:t>
      </w:r>
      <w:proofErr w:type="spellStart"/>
      <w:r>
        <w:rPr>
          <w:rtl/>
        </w:rPr>
        <w:t>ישראל־זיסל</w:t>
      </w:r>
      <w:proofErr w:type="spellEnd"/>
      <w:r>
        <w:rPr>
          <w:rtl/>
        </w:rPr>
        <w:t xml:space="preserve"> </w:t>
      </w:r>
      <w:proofErr w:type="spellStart"/>
      <w:r>
        <w:rPr>
          <w:rtl/>
        </w:rPr>
        <w:t>דבורץ</w:t>
      </w:r>
      <w:proofErr w:type="spellEnd"/>
      <w:r>
        <w:rPr>
          <w:rtl/>
        </w:rPr>
        <w:t xml:space="preserve">, ולפי מאמר הספד שכתב האב </w:t>
      </w:r>
      <w:proofErr w:type="spellStart"/>
      <w:r>
        <w:rPr>
          <w:rtl/>
        </w:rPr>
        <w:t>ב“תבונה</w:t>
      </w:r>
      <w:proofErr w:type="spellEnd"/>
      <w:r>
        <w:rPr>
          <w:rtl/>
        </w:rPr>
        <w:t>”</w:t>
      </w:r>
      <w:bookmarkStart w:id="3297" w:name="_fnr2395"/>
      <w:r>
        <w:rPr>
          <w:rStyle w:val="a5"/>
        </w:rPr>
        <w:footnoteReference w:id="2402" w:customMarkFollows="0"/>
      </w:r>
      <w:bookmarkEnd w:id="3297"/>
      <w:r>
        <w:rPr>
          <w:rtl/>
        </w:rPr>
        <w:t xml:space="preserve"> על אחיו ר׳ </w:t>
      </w:r>
      <w:proofErr w:type="spellStart"/>
      <w:r>
        <w:rPr>
          <w:rtl/>
        </w:rPr>
        <w:t>יצחק־אייזיק</w:t>
      </w:r>
      <w:proofErr w:type="spellEnd"/>
      <w:r>
        <w:rPr>
          <w:rtl/>
        </w:rPr>
        <w:t xml:space="preserve">, נולד ר׳ </w:t>
      </w:r>
      <w:proofErr w:type="spellStart"/>
      <w:r>
        <w:rPr>
          <w:rtl/>
        </w:rPr>
        <w:t>ישראל־זיסל</w:t>
      </w:r>
      <w:proofErr w:type="spellEnd"/>
      <w:r>
        <w:rPr>
          <w:rtl/>
        </w:rPr>
        <w:t xml:space="preserve"> </w:t>
      </w:r>
      <w:proofErr w:type="spellStart"/>
      <w:r>
        <w:rPr>
          <w:rtl/>
        </w:rPr>
        <w:t>בתרמ״ו</w:t>
      </w:r>
      <w:proofErr w:type="spellEnd"/>
      <w:r>
        <w:rPr>
          <w:rtl/>
        </w:rPr>
        <w:t xml:space="preserve"> והגיע לישיבה זמן קצר לאחר שמלאו לו </w:t>
      </w:r>
      <w:proofErr w:type="spellStart"/>
      <w:r>
        <w:rPr>
          <w:rtl/>
        </w:rPr>
        <w:t>ארבע־עשרה</w:t>
      </w:r>
      <w:proofErr w:type="spellEnd"/>
      <w:r>
        <w:rPr>
          <w:rtl/>
        </w:rPr>
        <w:t>.</w:t>
      </w:r>
    </w:p>
    <w:p w14:paraId="3C2189D3" w14:textId="77777777" w:rsidR="00AB3647" w:rsidRDefault="00000000" w:rsidP="007923E9">
      <w:pPr>
        <w:spacing w:after="120" w:line="276" w:lineRule="auto"/>
        <w:ind w:firstLine="283"/>
        <w:jc w:val="both"/>
      </w:pPr>
      <w:r>
        <w:rPr>
          <w:rtl/>
        </w:rPr>
        <w:t xml:space="preserve">ייתכן שהסיבה למסקנתו המוטעית של ר׳ </w:t>
      </w:r>
      <w:proofErr w:type="spellStart"/>
      <w:r>
        <w:rPr>
          <w:rtl/>
        </w:rPr>
        <w:t>ישראל־זיסל</w:t>
      </w:r>
      <w:proofErr w:type="spellEnd"/>
      <w:r>
        <w:rPr>
          <w:rtl/>
        </w:rPr>
        <w:t xml:space="preserve">, לפחות באשר לסיום המחלוקת, נעוצה בכך שלפי המאמר </w:t>
      </w:r>
      <w:proofErr w:type="spellStart"/>
      <w:r>
        <w:rPr>
          <w:rtl/>
        </w:rPr>
        <w:t>ב“תבונה</w:t>
      </w:r>
      <w:proofErr w:type="spellEnd"/>
      <w:r>
        <w:rPr>
          <w:rtl/>
        </w:rPr>
        <w:t xml:space="preserve">” נעדר </w:t>
      </w:r>
      <w:proofErr w:type="spellStart"/>
      <w:r>
        <w:rPr>
          <w:rtl/>
        </w:rPr>
        <w:t>מסלבודקה</w:t>
      </w:r>
      <w:proofErr w:type="spellEnd"/>
      <w:r>
        <w:rPr>
          <w:rtl/>
        </w:rPr>
        <w:t xml:space="preserve"> שנה כדי להסדיר את פטורו מן הגיוס. התלמידים נדרשו להירשם לגיוס בגיל </w:t>
      </w:r>
      <w:proofErr w:type="spellStart"/>
      <w:r>
        <w:rPr>
          <w:rtl/>
        </w:rPr>
        <w:t>שמונה־עשרה</w:t>
      </w:r>
      <w:proofErr w:type="spellEnd"/>
      <w:r>
        <w:rPr>
          <w:rtl/>
        </w:rPr>
        <w:t>, והתגייסו בגיל עשרים ואחת</w:t>
      </w:r>
      <w:bookmarkStart w:id="3298" w:name="_fnr2396"/>
      <w:r>
        <w:rPr>
          <w:rStyle w:val="a5"/>
        </w:rPr>
        <w:footnoteReference w:id="2403" w:customMarkFollows="0"/>
      </w:r>
      <w:bookmarkEnd w:id="3298"/>
      <w:r>
        <w:rPr>
          <w:rtl/>
        </w:rPr>
        <w:t xml:space="preserve">. לכן נעדר ר׳ </w:t>
      </w:r>
      <w:proofErr w:type="spellStart"/>
      <w:r>
        <w:rPr>
          <w:rtl/>
        </w:rPr>
        <w:t>ישראל־זיסל</w:t>
      </w:r>
      <w:proofErr w:type="spellEnd"/>
      <w:r>
        <w:rPr>
          <w:rtl/>
        </w:rPr>
        <w:t xml:space="preserve"> מן הישיבה </w:t>
      </w:r>
      <w:proofErr w:type="spellStart"/>
      <w:r>
        <w:rPr>
          <w:rtl/>
        </w:rPr>
        <w:t>בתרס״ד</w:t>
      </w:r>
      <w:proofErr w:type="spellEnd"/>
      <w:r>
        <w:rPr>
          <w:rtl/>
        </w:rPr>
        <w:t xml:space="preserve">–תרס״ה, בתקופה שבה נשא הרב </w:t>
      </w:r>
      <w:proofErr w:type="spellStart"/>
      <w:r>
        <w:rPr>
          <w:rtl/>
        </w:rPr>
        <w:t>יוסלביץ</w:t>
      </w:r>
      <w:proofErr w:type="spellEnd"/>
      <w:r>
        <w:rPr>
          <w:rtl/>
        </w:rPr>
        <w:t xml:space="preserve"> אישה ונשלחה הקבוצה </w:t>
      </w:r>
      <w:proofErr w:type="spellStart"/>
      <w:r>
        <w:rPr>
          <w:rtl/>
        </w:rPr>
        <w:t>לטלז</w:t>
      </w:r>
      <w:proofErr w:type="spellEnd"/>
      <w:r>
        <w:rPr>
          <w:rtl/>
        </w:rPr>
        <w:t xml:space="preserve">. כשמצא בשובו שגם בכירי בעלי המוסר נעדרים וגם קבוצת המתנגדים למוסר נעלמה, הסיק ששתי התופעות קשורות זו בזו בקשר של סיבה ותוצאה, ושהשליחות </w:t>
      </w:r>
      <w:proofErr w:type="spellStart"/>
      <w:r>
        <w:rPr>
          <w:rtl/>
        </w:rPr>
        <w:t>לטלז</w:t>
      </w:r>
      <w:proofErr w:type="spellEnd"/>
      <w:r>
        <w:rPr>
          <w:rtl/>
        </w:rPr>
        <w:t xml:space="preserve"> היא הסיבה. לפי כץ, ייתכן שהסיבה לסיום המריבה הייתה פשוט נישואיו </w:t>
      </w:r>
      <w:proofErr w:type="spellStart"/>
      <w:r>
        <w:rPr>
          <w:rtl/>
        </w:rPr>
        <w:t>בתרס״ד</w:t>
      </w:r>
      <w:proofErr w:type="spellEnd"/>
      <w:r>
        <w:rPr>
          <w:rtl/>
        </w:rPr>
        <w:t xml:space="preserve"> של מתנגדו הראשי והמוכשר של הסבא. די היה בכך כדי לסלק מן הישיבה את ההתנגדות למוסר.</w:t>
      </w:r>
    </w:p>
    <w:p w14:paraId="6DB14A9A" w14:textId="77777777" w:rsidR="00AB3647" w:rsidRDefault="00000000" w:rsidP="007923E9">
      <w:pPr>
        <w:spacing w:after="120" w:line="276" w:lineRule="auto"/>
        <w:ind w:firstLine="283"/>
        <w:jc w:val="both"/>
      </w:pPr>
      <w:bookmarkStart w:id="3299" w:name="pr_b_1417"/>
      <w:bookmarkEnd w:id="3299"/>
      <w:r>
        <w:rPr>
          <w:rtl/>
        </w:rPr>
        <w:t xml:space="preserve">על בואו של ר׳ </w:t>
      </w:r>
      <w:proofErr w:type="spellStart"/>
      <w:r>
        <w:rPr>
          <w:rtl/>
        </w:rPr>
        <w:t>ישראל־זיסל</w:t>
      </w:r>
      <w:proofErr w:type="spellEnd"/>
      <w:r>
        <w:rPr>
          <w:rtl/>
        </w:rPr>
        <w:t xml:space="preserve"> </w:t>
      </w:r>
      <w:proofErr w:type="spellStart"/>
      <w:r>
        <w:rPr>
          <w:rtl/>
        </w:rPr>
        <w:t>דבורץ</w:t>
      </w:r>
      <w:proofErr w:type="spellEnd"/>
      <w:r>
        <w:rPr>
          <w:rtl/>
        </w:rPr>
        <w:t xml:space="preserve">, יליד </w:t>
      </w:r>
      <w:proofErr w:type="spellStart"/>
      <w:r>
        <w:rPr>
          <w:rtl/>
        </w:rPr>
        <w:t>דווינסק</w:t>
      </w:r>
      <w:proofErr w:type="spellEnd"/>
      <w:r>
        <w:rPr>
          <w:rtl/>
        </w:rPr>
        <w:t xml:space="preserve">, </w:t>
      </w:r>
      <w:proofErr w:type="spellStart"/>
      <w:r>
        <w:rPr>
          <w:rtl/>
        </w:rPr>
        <w:t>לסלבודקה</w:t>
      </w:r>
      <w:proofErr w:type="spellEnd"/>
      <w:r>
        <w:rPr>
          <w:rtl/>
        </w:rPr>
        <w:t xml:space="preserve"> סיפר נכדו ר׳ דוד ויסקי</w:t>
      </w:r>
      <w:bookmarkStart w:id="3300" w:name="_fnr2397"/>
      <w:r>
        <w:rPr>
          <w:rStyle w:val="a5"/>
        </w:rPr>
        <w:footnoteReference w:id="2404" w:customMarkFollows="0"/>
      </w:r>
      <w:bookmarkEnd w:id="3300"/>
      <w:r>
        <w:rPr>
          <w:rtl/>
        </w:rPr>
        <w:t xml:space="preserve"> ששמע מסבו שהיה עני מכדי לקנות זוג תפילין, והשתמש בתפילין של אביו. כשהחליט לנסוע ללמוד </w:t>
      </w:r>
      <w:proofErr w:type="spellStart"/>
      <w:r>
        <w:rPr>
          <w:rtl/>
        </w:rPr>
        <w:t>בסלבודקה</w:t>
      </w:r>
      <w:proofErr w:type="spellEnd"/>
      <w:r>
        <w:rPr>
          <w:rtl/>
        </w:rPr>
        <w:t xml:space="preserve"> – ושם היה על כל תלמיד להחזיק תפילין משלו, ולו מפני שכולם נדרשו להתפלל באותו מניין – נתנה לו </w:t>
      </w:r>
      <w:proofErr w:type="spellStart"/>
      <w:r>
        <w:rPr>
          <w:rtl/>
        </w:rPr>
        <w:t>אמו</w:t>
      </w:r>
      <w:proofErr w:type="spellEnd"/>
      <w:r>
        <w:rPr>
          <w:rtl/>
        </w:rPr>
        <w:t xml:space="preserve"> את כל הכסף שהצליחה לאסוף, תשעים </w:t>
      </w:r>
      <w:proofErr w:type="spellStart"/>
      <w:r>
        <w:rPr>
          <w:rtl/>
        </w:rPr>
        <w:t>קופיקות</w:t>
      </w:r>
      <w:proofErr w:type="spellEnd"/>
      <w:r>
        <w:rPr>
          <w:rtl/>
        </w:rPr>
        <w:t xml:space="preserve">. בכסף זה קנה זוג תפילין ישן, וביתרה נסע חלק מן הדרך לקובנה, עד לעיר שבה התגורר קרוב </w:t>
      </w:r>
      <w:r>
        <w:rPr>
          <w:rtl/>
        </w:rPr>
        <w:lastRenderedPageBreak/>
        <w:t>משפחה. שם נתן לו הקרוב, אוהב התורה, בשמחה את יתרת מחיר הנסיעה ברכבת עד למחוז חפצו.</w:t>
      </w:r>
    </w:p>
    <w:p w14:paraId="4587E5D0" w14:textId="77777777" w:rsidR="00AB3647" w:rsidRDefault="00000000" w:rsidP="007923E9">
      <w:pPr>
        <w:pStyle w:val="4"/>
        <w:spacing w:line="276" w:lineRule="auto"/>
      </w:pPr>
      <w:r>
        <w:t>· הפסקה הרביעית ·</w:t>
      </w:r>
    </w:p>
    <w:p w14:paraId="09883DC0" w14:textId="77777777" w:rsidR="00AB3647" w:rsidRDefault="00000000" w:rsidP="007923E9">
      <w:pPr>
        <w:pStyle w:val="5"/>
        <w:spacing w:line="276" w:lineRule="auto"/>
      </w:pPr>
      <w:r>
        <w:t xml:space="preserve">ר׳ </w:t>
      </w:r>
      <w:proofErr w:type="spellStart"/>
      <w:r>
        <w:t>ישראל־זיסל</w:t>
      </w:r>
      <w:proofErr w:type="spellEnd"/>
      <w:r>
        <w:t xml:space="preserve"> </w:t>
      </w:r>
      <w:proofErr w:type="spellStart"/>
      <w:r>
        <w:t>דבורץ</w:t>
      </w:r>
      <w:proofErr w:type="spellEnd"/>
      <w:r>
        <w:t xml:space="preserve"> עומד בראש ישיבה קטנה – הוא ממלא את מקומו של ר׳ מאיר פאם כרבה של קמאי</w:t>
      </w:r>
    </w:p>
    <w:p w14:paraId="4AB5926A" w14:textId="77777777" w:rsidR="00AB3647" w:rsidRDefault="00000000" w:rsidP="007923E9">
      <w:pPr>
        <w:spacing w:after="120" w:line="276" w:lineRule="auto"/>
        <w:ind w:firstLine="283"/>
        <w:jc w:val="both"/>
      </w:pPr>
      <w:r>
        <w:rPr>
          <w:rtl/>
        </w:rPr>
        <w:t xml:space="preserve">הקורא האמריקאי עשוי למצוא עניין מיוחד בפרשה מחייו של ר׳ </w:t>
      </w:r>
      <w:proofErr w:type="spellStart"/>
      <w:r>
        <w:rPr>
          <w:rtl/>
        </w:rPr>
        <w:t>ישראל־זיסל</w:t>
      </w:r>
      <w:proofErr w:type="spellEnd"/>
      <w:r>
        <w:rPr>
          <w:rtl/>
        </w:rPr>
        <w:t xml:space="preserve">, שסיפר לי בנו ר׳ </w:t>
      </w:r>
      <w:proofErr w:type="spellStart"/>
      <w:r>
        <w:rPr>
          <w:rtl/>
        </w:rPr>
        <w:t>שמעון־ראובן</w:t>
      </w:r>
      <w:proofErr w:type="spellEnd"/>
      <w:r>
        <w:rPr>
          <w:rtl/>
        </w:rPr>
        <w:t xml:space="preserve">, הנזכר לעיל. לאחר שעזב את תפקידו כמזכיר </w:t>
      </w:r>
      <w:proofErr w:type="spellStart"/>
      <w:r>
        <w:rPr>
          <w:rtl/>
        </w:rPr>
        <w:t>בסלבודקה</w:t>
      </w:r>
      <w:bookmarkStart w:id="3301" w:name="_fnr2398"/>
      <w:proofErr w:type="spellEnd"/>
      <w:r>
        <w:rPr>
          <w:rStyle w:val="a5"/>
        </w:rPr>
        <w:footnoteReference w:id="2405" w:customMarkFollows="0"/>
      </w:r>
      <w:bookmarkEnd w:id="3301"/>
      <w:r>
        <w:rPr>
          <w:rtl/>
        </w:rPr>
        <w:t xml:space="preserve">, עמד ר׳ </w:t>
      </w:r>
      <w:proofErr w:type="spellStart"/>
      <w:r>
        <w:rPr>
          <w:rtl/>
        </w:rPr>
        <w:t>ישראל־זיסל</w:t>
      </w:r>
      <w:proofErr w:type="spellEnd"/>
      <w:r>
        <w:rPr>
          <w:rtl/>
        </w:rPr>
        <w:t xml:space="preserve"> בראש ישיבה קטנה בעיר קמאי, שאחי אשתו, ר׳ אליעזר לופט</w:t>
      </w:r>
      <w:bookmarkStart w:id="3302" w:name="_fnr2399"/>
      <w:r>
        <w:rPr>
          <w:rStyle w:val="a5"/>
        </w:rPr>
        <w:footnoteReference w:id="2406" w:customMarkFollows="0"/>
      </w:r>
      <w:bookmarkEnd w:id="3302"/>
      <w:r>
        <w:rPr>
          <w:rtl/>
        </w:rPr>
        <w:t xml:space="preserve">, היה אז רבה. זמן קצר לפני מלחמת העולם נתמנה ר׳ אליעזר לופט לרבה של </w:t>
      </w:r>
      <w:proofErr w:type="spellStart"/>
      <w:r>
        <w:rPr>
          <w:rtl/>
        </w:rPr>
        <w:t>ריבינישיק</w:t>
      </w:r>
      <w:proofErr w:type="spellEnd"/>
      <w:r>
        <w:rPr>
          <w:rtl/>
        </w:rPr>
        <w:t xml:space="preserve"> שבלטביה. במצב כזה היה מקובל למנות במקומו את ר׳ </w:t>
      </w:r>
      <w:proofErr w:type="spellStart"/>
      <w:r>
        <w:rPr>
          <w:rtl/>
        </w:rPr>
        <w:t>ישראל־זיסל</w:t>
      </w:r>
      <w:bookmarkStart w:id="3303" w:name="_fnr2400"/>
      <w:proofErr w:type="spellEnd"/>
      <w:r>
        <w:rPr>
          <w:rStyle w:val="a5"/>
        </w:rPr>
        <w:footnoteReference w:id="2407" w:customMarkFollows="0"/>
      </w:r>
      <w:bookmarkEnd w:id="3303"/>
      <w:r>
        <w:rPr>
          <w:rtl/>
        </w:rPr>
        <w:t xml:space="preserve">, ובייחוד שראש ישיבתו, ר׳ </w:t>
      </w:r>
      <w:proofErr w:type="spellStart"/>
      <w:r>
        <w:rPr>
          <w:rtl/>
        </w:rPr>
        <w:t>משה־מרדכי</w:t>
      </w:r>
      <w:proofErr w:type="spellEnd"/>
      <w:r>
        <w:rPr>
          <w:rtl/>
        </w:rPr>
        <w:t xml:space="preserve"> אפשטיין, שכבר היה אז רבה של </w:t>
      </w:r>
      <w:proofErr w:type="spellStart"/>
      <w:r>
        <w:rPr>
          <w:rtl/>
        </w:rPr>
        <w:t>סלבודקה</w:t>
      </w:r>
      <w:proofErr w:type="spellEnd"/>
      <w:r>
        <w:rPr>
          <w:rtl/>
        </w:rPr>
        <w:t>, כתב אף הוא לבני העיר והמליץ עליו למשרה.</w:t>
      </w:r>
    </w:p>
    <w:p w14:paraId="32BED808" w14:textId="77777777" w:rsidR="00AB3647" w:rsidRDefault="00000000" w:rsidP="007923E9">
      <w:pPr>
        <w:spacing w:after="120" w:line="276" w:lineRule="auto"/>
        <w:ind w:firstLine="283"/>
        <w:jc w:val="both"/>
      </w:pPr>
      <w:r>
        <w:rPr>
          <w:rtl/>
        </w:rPr>
        <w:t xml:space="preserve">אבל אנשי קמאי חשדו שר׳ אליעזר לופט עזב אותם רק כדי לפנות משרה לגיסו, והחליטו לקבל לרב כל אדם פרט </w:t>
      </w:r>
      <w:proofErr w:type="spellStart"/>
      <w:r>
        <w:rPr>
          <w:rtl/>
        </w:rPr>
        <w:t>לר</w:t>
      </w:r>
      <w:proofErr w:type="spellEnd"/>
      <w:r>
        <w:rPr>
          <w:rtl/>
        </w:rPr>
        <w:t xml:space="preserve">׳ </w:t>
      </w:r>
      <w:proofErr w:type="spellStart"/>
      <w:r>
        <w:rPr>
          <w:rtl/>
        </w:rPr>
        <w:t>ישראל־זיסל</w:t>
      </w:r>
      <w:proofErr w:type="spellEnd"/>
      <w:r>
        <w:rPr>
          <w:rtl/>
        </w:rPr>
        <w:t xml:space="preserve"> </w:t>
      </w:r>
      <w:proofErr w:type="spellStart"/>
      <w:r>
        <w:rPr>
          <w:rtl/>
        </w:rPr>
        <w:t>דבורץ</w:t>
      </w:r>
      <w:proofErr w:type="spellEnd"/>
      <w:r>
        <w:rPr>
          <w:rtl/>
        </w:rPr>
        <w:t xml:space="preserve">. הם קיבלו במקומו את ר׳ מאיר פאם, אביו של ר׳ אברהם פאם, לימים ראש ישיבת תורה ודעת. ר׳ </w:t>
      </w:r>
      <w:proofErr w:type="spellStart"/>
      <w:r>
        <w:rPr>
          <w:rtl/>
        </w:rPr>
        <w:t>ישראל־זיסל</w:t>
      </w:r>
      <w:proofErr w:type="spellEnd"/>
      <w:r>
        <w:rPr>
          <w:rtl/>
        </w:rPr>
        <w:t>, בעל מוסר שחשש שהרב החדש לא ירגיש בנוח בנוכחותו בעיר, הרבה לבקר אצל ר׳ מאיר פאם, והשניים נעשו ידידים קרובים מאוד.</w:t>
      </w:r>
    </w:p>
    <w:p w14:paraId="5E72777B" w14:textId="77777777" w:rsidR="00AB3647" w:rsidRDefault="00000000" w:rsidP="007923E9">
      <w:pPr>
        <w:spacing w:after="120" w:line="276" w:lineRule="auto"/>
        <w:ind w:firstLine="283"/>
        <w:jc w:val="both"/>
      </w:pPr>
      <w:proofErr w:type="spellStart"/>
      <w:r>
        <w:rPr>
          <w:rtl/>
        </w:rPr>
        <w:t>בתרע״ו</w:t>
      </w:r>
      <w:proofErr w:type="spellEnd"/>
      <w:r>
        <w:rPr>
          <w:rtl/>
        </w:rPr>
        <w:t xml:space="preserve"> סייע ר׳ מאיר </w:t>
      </w:r>
      <w:proofErr w:type="spellStart"/>
      <w:r>
        <w:rPr>
          <w:rtl/>
        </w:rPr>
        <w:t>לר</w:t>
      </w:r>
      <w:proofErr w:type="spellEnd"/>
      <w:r>
        <w:rPr>
          <w:rtl/>
        </w:rPr>
        <w:t xml:space="preserve">׳ </w:t>
      </w:r>
      <w:proofErr w:type="spellStart"/>
      <w:r>
        <w:rPr>
          <w:rtl/>
        </w:rPr>
        <w:t>ישראל־זיסל</w:t>
      </w:r>
      <w:proofErr w:type="spellEnd"/>
      <w:r>
        <w:rPr>
          <w:rtl/>
        </w:rPr>
        <w:t xml:space="preserve"> לקבל את משרת הרבנות ביוד, עיר שיהודים עברו אליה רק זמן קצר קודם לכן, מפני שלפני כן הייתה מחוץ לתחום המושב. ר׳ </w:t>
      </w:r>
      <w:proofErr w:type="spellStart"/>
      <w:r>
        <w:rPr>
          <w:rtl/>
        </w:rPr>
        <w:t>ישראל־זיסל</w:t>
      </w:r>
      <w:proofErr w:type="spellEnd"/>
      <w:r>
        <w:rPr>
          <w:rtl/>
        </w:rPr>
        <w:t xml:space="preserve"> לא נשאר בה זמן רב, משום שהקומוניסטים אילצו אותו לפנותה; גם ר׳ מאיר עזב את קמאי כשחזית המלחמה התקרבה אליה. לאחר המלחמה נעשה ר׳ מאיר רבה של </w:t>
      </w:r>
      <w:proofErr w:type="spellStart"/>
      <w:r>
        <w:rPr>
          <w:rtl/>
        </w:rPr>
        <w:t>סאלאק</w:t>
      </w:r>
      <w:proofErr w:type="spellEnd"/>
      <w:r>
        <w:rPr>
          <w:rtl/>
        </w:rPr>
        <w:t xml:space="preserve">, ולבסוף עבר לארצות הברית </w:t>
      </w:r>
      <w:proofErr w:type="spellStart"/>
      <w:r>
        <w:rPr>
          <w:rtl/>
        </w:rPr>
        <w:t>בתרפ״ד</w:t>
      </w:r>
      <w:proofErr w:type="spellEnd"/>
      <w:r>
        <w:rPr>
          <w:rtl/>
        </w:rPr>
        <w:t xml:space="preserve"> כדי לשמש ר״מ בכיר בישיבת חיים ברלין שבברוקלין. לאחר המלחמה, </w:t>
      </w:r>
      <w:proofErr w:type="spellStart"/>
      <w:r>
        <w:rPr>
          <w:rtl/>
        </w:rPr>
        <w:t>בתרפ״א</w:t>
      </w:r>
      <w:proofErr w:type="spellEnd"/>
      <w:r>
        <w:rPr>
          <w:rtl/>
        </w:rPr>
        <w:t xml:space="preserve">, שינו אנשי קמאי את דעתם והזמינו את ר׳ </w:t>
      </w:r>
      <w:proofErr w:type="spellStart"/>
      <w:r>
        <w:rPr>
          <w:rtl/>
        </w:rPr>
        <w:t>ישראל־זיסל</w:t>
      </w:r>
      <w:proofErr w:type="spellEnd"/>
      <w:r>
        <w:rPr>
          <w:rtl/>
        </w:rPr>
        <w:t xml:space="preserve"> </w:t>
      </w:r>
      <w:proofErr w:type="spellStart"/>
      <w:r>
        <w:rPr>
          <w:rtl/>
        </w:rPr>
        <w:t>דבורץ</w:t>
      </w:r>
      <w:proofErr w:type="spellEnd"/>
      <w:r>
        <w:rPr>
          <w:rtl/>
        </w:rPr>
        <w:t xml:space="preserve"> להיות רבם</w:t>
      </w:r>
      <w:bookmarkStart w:id="3304" w:name="_fnr2401"/>
      <w:r>
        <w:rPr>
          <w:rStyle w:val="a5"/>
        </w:rPr>
        <w:footnoteReference w:id="2408" w:customMarkFollows="0"/>
      </w:r>
      <w:bookmarkEnd w:id="3304"/>
      <w:r>
        <w:rPr>
          <w:rtl/>
        </w:rPr>
        <w:t>.</w:t>
      </w:r>
    </w:p>
    <w:p w14:paraId="685E9BF2" w14:textId="77777777" w:rsidR="00AB3647" w:rsidRDefault="00000000" w:rsidP="007923E9">
      <w:pPr>
        <w:pStyle w:val="4"/>
        <w:spacing w:line="276" w:lineRule="auto"/>
      </w:pPr>
      <w:r>
        <w:lastRenderedPageBreak/>
        <w:t>· הפסקה החמישית ·</w:t>
      </w:r>
    </w:p>
    <w:p w14:paraId="10919332" w14:textId="77777777" w:rsidR="00AB3647" w:rsidRDefault="00000000" w:rsidP="007923E9">
      <w:pPr>
        <w:pStyle w:val="5"/>
        <w:spacing w:line="276" w:lineRule="auto"/>
      </w:pPr>
      <w:r>
        <w:t>ביזוי המוסר גורם לסבא לפרוש מן הישיבה – הספרים שחוללו זוכים להספדים ואלפים מלווים אותם לקבורה</w:t>
      </w:r>
    </w:p>
    <w:p w14:paraId="3BC89771" w14:textId="77777777"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3305" w:name="_fnr2402"/>
      <w:r>
        <w:rPr>
          <w:rStyle w:val="a5"/>
        </w:rPr>
        <w:footnoteReference w:id="2409" w:customMarkFollows="0"/>
      </w:r>
      <w:bookmarkEnd w:id="3305"/>
      <w:r>
        <w:rPr>
          <w:rtl/>
        </w:rPr>
        <w:t>, מספר: “[לאחר שהשליכו ספרי מוסר לבית הכיסא</w:t>
      </w:r>
      <w:bookmarkStart w:id="3306" w:name="_fnr2403"/>
      <w:r>
        <w:rPr>
          <w:rStyle w:val="a5"/>
        </w:rPr>
        <w:footnoteReference w:id="2410" w:customMarkFollows="0"/>
      </w:r>
      <w:bookmarkEnd w:id="3306"/>
      <w:r>
        <w:rPr>
          <w:rtl/>
        </w:rPr>
        <w:t xml:space="preserve">], חדל הסבא מביקוריו היומיים בישיבה וקבע את ביתו הפרטי כמקומו הקבוע. שם מסר את השיחות </w:t>
      </w:r>
      <w:proofErr w:type="spellStart"/>
      <w:r>
        <w:rPr>
          <w:rtl/>
        </w:rPr>
        <w:t>לנאמניו</w:t>
      </w:r>
      <w:proofErr w:type="spellEnd"/>
      <w:r>
        <w:rPr>
          <w:rtl/>
        </w:rPr>
        <w:t xml:space="preserve">, ושם קיים מניין לתפילה... בעלי המוסר העיקריים שבישיבה שתו בצמא את דבריו [שם], ואחד מבעלי המוסר הוותיקים סיפר לי שבאותה תקופה הגיעו התלמידים הקרובים לסבא, באמצעות שיחותיו וטיפולו בהם, למדרגות הנשגבות ביותר במוסר, עד למעלה </w:t>
      </w:r>
      <w:proofErr w:type="spellStart"/>
      <w:r>
        <w:rPr>
          <w:rtl/>
        </w:rPr>
        <w:t>שסלבודקה</w:t>
      </w:r>
      <w:proofErr w:type="spellEnd"/>
      <w:r>
        <w:rPr>
          <w:rtl/>
        </w:rPr>
        <w:t xml:space="preserve"> לא הגיעה אליה מיום </w:t>
      </w:r>
      <w:proofErr w:type="spellStart"/>
      <w:r>
        <w:rPr>
          <w:rtl/>
        </w:rPr>
        <w:t>היווסדה</w:t>
      </w:r>
      <w:proofErr w:type="spellEnd"/>
      <w:r>
        <w:rPr>
          <w:rtl/>
        </w:rPr>
        <w:t>.”</w:t>
      </w:r>
    </w:p>
    <w:p w14:paraId="19669F52" w14:textId="77777777" w:rsidR="00AB3647" w:rsidRDefault="00000000" w:rsidP="007923E9">
      <w:pPr>
        <w:spacing w:after="120" w:line="276" w:lineRule="auto"/>
        <w:ind w:firstLine="283"/>
        <w:jc w:val="both"/>
      </w:pPr>
      <w:bookmarkStart w:id="3307" w:name="pr_b_1425"/>
      <w:bookmarkEnd w:id="3307"/>
      <w:r>
        <w:rPr>
          <w:rtl/>
        </w:rPr>
        <w:t>עוד מסופר שם</w:t>
      </w:r>
      <w:bookmarkStart w:id="3308" w:name="_fnr2404"/>
      <w:r>
        <w:rPr>
          <w:rStyle w:val="a5"/>
        </w:rPr>
        <w:footnoteReference w:id="2411" w:customMarkFollows="0"/>
      </w:r>
      <w:bookmarkEnd w:id="3308"/>
      <w:r>
        <w:rPr>
          <w:rtl/>
        </w:rPr>
        <w:t xml:space="preserve"> ש־25,000 מתושבי קובנה </w:t>
      </w:r>
      <w:proofErr w:type="spellStart"/>
      <w:r>
        <w:rPr>
          <w:rtl/>
        </w:rPr>
        <w:t>וסלבודקה</w:t>
      </w:r>
      <w:proofErr w:type="spellEnd"/>
      <w:r>
        <w:rPr>
          <w:rtl/>
        </w:rPr>
        <w:t xml:space="preserve"> ליוו את הספרים שחוללו לקבורתם המכובדת. כץ, “תנועת המוסר”, כרך ג</w:t>
      </w:r>
      <w:bookmarkStart w:id="3309" w:name="_fnr2405"/>
      <w:r>
        <w:rPr>
          <w:rStyle w:val="a5"/>
        </w:rPr>
        <w:footnoteReference w:id="2412" w:customMarkFollows="0"/>
      </w:r>
      <w:bookmarkEnd w:id="3309"/>
      <w:r>
        <w:rPr>
          <w:rtl/>
        </w:rPr>
        <w:t xml:space="preserve">, ממעיט בהיקף החרטה של הציבור, שכן הוא מציין רק </w:t>
      </w:r>
      <w:proofErr w:type="spellStart"/>
      <w:r>
        <w:rPr>
          <w:rtl/>
        </w:rPr>
        <w:t>ש“אלפים</w:t>
      </w:r>
      <w:proofErr w:type="spellEnd"/>
      <w:r>
        <w:rPr>
          <w:rtl/>
        </w:rPr>
        <w:t xml:space="preserve">” השתתפו, בלי לנקוב במספרם; אבל הוא מתאר את טקס הקבורה כמרשים יותר כשהוא מספר שהספידו שם “גדולי תורה ובהם [רבה של </w:t>
      </w:r>
      <w:proofErr w:type="spellStart"/>
      <w:r>
        <w:rPr>
          <w:rtl/>
        </w:rPr>
        <w:t>סלבודקה</w:t>
      </w:r>
      <w:proofErr w:type="spellEnd"/>
      <w:r>
        <w:rPr>
          <w:rtl/>
        </w:rPr>
        <w:t xml:space="preserve">] ר׳ משה </w:t>
      </w:r>
      <w:proofErr w:type="spellStart"/>
      <w:r>
        <w:rPr>
          <w:rtl/>
        </w:rPr>
        <w:t>דנישבסקי</w:t>
      </w:r>
      <w:proofErr w:type="spellEnd"/>
      <w:r>
        <w:rPr>
          <w:rtl/>
        </w:rPr>
        <w:t xml:space="preserve">”.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3310" w:name="_fnr2406"/>
      <w:r>
        <w:rPr>
          <w:rStyle w:val="a5"/>
        </w:rPr>
        <w:footnoteReference w:id="2413" w:customMarkFollows="0"/>
      </w:r>
      <w:bookmarkEnd w:id="3310"/>
      <w:r>
        <w:rPr>
          <w:rtl/>
        </w:rPr>
        <w:t xml:space="preserve"> נזכרים שני מספידים נוספים, “שעמדו על הבימה הגבוהה שהוקמה במיוחד באמצע המגרש שלפני בית המדרש הישן [שבו שכנה כנסת בית יצחק!]”: ר׳ </w:t>
      </w:r>
      <w:proofErr w:type="spellStart"/>
      <w:r>
        <w:rPr>
          <w:rtl/>
        </w:rPr>
        <w:t>משה־מרדכי</w:t>
      </w:r>
      <w:proofErr w:type="spellEnd"/>
      <w:r>
        <w:rPr>
          <w:rtl/>
        </w:rPr>
        <w:t xml:space="preserve"> אפשטיין ו[דמות שנראית דמיונית, שצייר הכותב המתנגד למוסר,] “</w:t>
      </w:r>
      <w:proofErr w:type="spellStart"/>
      <w:r>
        <w:rPr>
          <w:rtl/>
        </w:rPr>
        <w:t>יענקל</w:t>
      </w:r>
      <w:proofErr w:type="spellEnd"/>
      <w:r>
        <w:rPr>
          <w:rtl/>
        </w:rPr>
        <w:t xml:space="preserve"> הפרוש, שהיה עטור טלית ותפילין, ללא נעליים, וקרא בקול בלי הפסק מתוך גמרא פתוחה שהחזיק בידיו”.</w:t>
      </w:r>
    </w:p>
    <w:bookmarkStart w:id="3311" w:name="b3_excU"/>
    <w:p w14:paraId="10FADB64" w14:textId="77777777" w:rsidR="00AB3647" w:rsidRDefault="00000000" w:rsidP="007923E9">
      <w:pPr>
        <w:pStyle w:val="3"/>
        <w:spacing w:line="276" w:lineRule="auto"/>
      </w:pPr>
      <w:r>
        <w:lastRenderedPageBreak/>
        <w:fldChar w:fldCharType="begin" w:dirty="true"/>
      </w:r>
      <w:r>
        <w:rPr>
          <w:rtl w:val="0"/>
        </w:rPr>
        <w:instrText>HYPERLINK \l "b3_note62</w:instrText>
      </w:r>
      <w:r>
        <w:instrText>"</w:instrText>
      </w:r>
      <w:r>
        <w:fldChar w:fldCharType="separate"/>
      </w:r>
      <w:r>
        <w:t xml:space="preserve">נספח </w:t>
      </w:r>
      <w:proofErr w:type="spellStart"/>
      <w:r>
        <w:t>כא</w:t>
      </w:r>
      <w:proofErr w:type="spellEnd"/>
      <w:r>
        <w:fldChar w:fldCharType="end"/>
      </w:r>
      <w:bookmarkEnd w:id="3311"/>
    </w:p>
    <w:p w14:paraId="02BF5390" w14:textId="77777777" w:rsidR="00AB3647" w:rsidRDefault="00000000" w:rsidP="007923E9">
      <w:pPr>
        <w:pStyle w:val="af"/>
        <w:spacing w:line="276" w:lineRule="auto"/>
      </w:pPr>
      <w:r>
        <w:t>על המאבקים למען המוסר</w:t>
      </w:r>
    </w:p>
    <w:p w14:paraId="00F572B0" w14:textId="77777777" w:rsidR="00AB3647" w:rsidRDefault="00000000" w:rsidP="007923E9">
      <w:pPr>
        <w:pStyle w:val="4"/>
        <w:spacing w:line="276" w:lineRule="auto"/>
      </w:pPr>
      <w:r>
        <w:t>· הפסקה הראשונה ·</w:t>
      </w:r>
    </w:p>
    <w:p w14:paraId="633D8655" w14:textId="77777777" w:rsidR="00AB3647" w:rsidRDefault="00000000" w:rsidP="007923E9">
      <w:pPr>
        <w:pStyle w:val="5"/>
        <w:spacing w:line="276" w:lineRule="auto"/>
      </w:pPr>
      <w:r>
        <w:t>האווירה הסוציאליסטית השלטת משפיעה על תוכן שיחותיו של הסבא</w:t>
      </w:r>
    </w:p>
    <w:p w14:paraId="4A5744C9" w14:textId="77777777" w:rsidR="00AB3647" w:rsidRDefault="00000000" w:rsidP="007923E9">
      <w:pPr>
        <w:spacing w:after="120" w:line="276" w:lineRule="auto"/>
        <w:ind w:firstLine="283"/>
        <w:jc w:val="both"/>
      </w:pPr>
      <w:r>
        <w:rPr>
          <w:rtl/>
        </w:rPr>
        <w:t>כץ, “תנועת המוסר”, כרך ג</w:t>
      </w:r>
      <w:bookmarkStart w:id="3312" w:name="_fnr2407"/>
      <w:r>
        <w:rPr>
          <w:rStyle w:val="a5"/>
        </w:rPr>
        <w:footnoteReference w:id="2414" w:customMarkFollows="0"/>
      </w:r>
      <w:bookmarkEnd w:id="3312"/>
      <w:r>
        <w:rPr>
          <w:rtl/>
        </w:rPr>
        <w:t xml:space="preserve">, מציין </w:t>
      </w:r>
      <w:proofErr w:type="spellStart"/>
      <w:r>
        <w:rPr>
          <w:rtl/>
        </w:rPr>
        <w:t>ש“בעקבות</w:t>
      </w:r>
      <w:proofErr w:type="spellEnd"/>
      <w:r>
        <w:rPr>
          <w:rtl/>
        </w:rPr>
        <w:t xml:space="preserve"> אירועים אלה [הקשורים למהפכה הסוציאליסטית] שינה ר׳ </w:t>
      </w:r>
      <w:proofErr w:type="spellStart"/>
      <w:r>
        <w:rPr>
          <w:rtl/>
        </w:rPr>
        <w:t>נתן־צבי</w:t>
      </w:r>
      <w:proofErr w:type="spellEnd"/>
      <w:r>
        <w:rPr>
          <w:rtl/>
        </w:rPr>
        <w:t xml:space="preserve"> את שיטותיו החינוכיות שינוי קיצוני”, אבל אינו מציין את הקשר המתבקש לטרגדיה האישית של הסבא, שאיבד את בנו הצעיר, </w:t>
      </w:r>
      <w:proofErr w:type="spellStart"/>
      <w:r>
        <w:rPr>
          <w:rtl/>
        </w:rPr>
        <w:t>רובעל׳ה</w:t>
      </w:r>
      <w:proofErr w:type="spellEnd"/>
      <w:r>
        <w:rPr>
          <w:rtl/>
        </w:rPr>
        <w:t>, שנסחף אחר המהפכנים. כץ</w:t>
      </w:r>
      <w:bookmarkStart w:id="3313" w:name="_fnr2408"/>
      <w:r>
        <w:rPr>
          <w:rStyle w:val="a5"/>
        </w:rPr>
        <w:footnoteReference w:id="2415" w:customMarkFollows="0"/>
      </w:r>
      <w:bookmarkEnd w:id="3313"/>
      <w:r>
        <w:rPr>
          <w:rtl/>
        </w:rPr>
        <w:t xml:space="preserve"> מסביר את השינוי בכך שלאחר כישלון המרד הסוציאליסטי שוב לא עמדו לפני התלמידים מטרות אידאולוגיות נעלות – מוטעות ככל שהיו – כמו לפני בני הדורות הקודמים, אלא הם נמשכו רק לנוחות הגופנית ולמותרות שהציעה החברה המודרנית. ההתמודדות הקודמת חייבה להצביע על חולשותיהם הטבועות של בני האדם ועל חוסר התוחלת שבבניית אידאולוגיות מעשה ידי אדם, ואילו ההתמודדות החדשה חייבה שהיחיד יכיר בערכים הנעלים יותר שמייצגת הרוחניות.</w:t>
      </w:r>
    </w:p>
    <w:p w14:paraId="10F6BEEB" w14:textId="77777777" w:rsidR="00AB3647" w:rsidRDefault="00000000" w:rsidP="007923E9">
      <w:pPr>
        <w:spacing w:after="120" w:line="276" w:lineRule="auto"/>
        <w:ind w:firstLine="283"/>
        <w:jc w:val="both"/>
      </w:pPr>
      <w:r>
        <w:rPr>
          <w:rtl/>
        </w:rPr>
        <w:t xml:space="preserve">גם </w:t>
      </w:r>
      <w:proofErr w:type="spellStart"/>
      <w:r>
        <w:rPr>
          <w:rtl/>
        </w:rPr>
        <w:t>דבורץ</w:t>
      </w:r>
      <w:proofErr w:type="spellEnd"/>
      <w:r>
        <w:rPr>
          <w:rtl/>
        </w:rPr>
        <w:t>, “הגאון רבי משה מרדכי אפשטיין”</w:t>
      </w:r>
      <w:bookmarkStart w:id="3314" w:name="_fnr2409"/>
      <w:r>
        <w:rPr>
          <w:rStyle w:val="a5"/>
        </w:rPr>
        <w:footnoteReference w:id="2416" w:customMarkFollows="0"/>
      </w:r>
      <w:bookmarkEnd w:id="3314"/>
      <w:r>
        <w:rPr>
          <w:rtl/>
        </w:rPr>
        <w:t xml:space="preserve">, טוען ש“[הסבא] הכניס שינויים חשובים בדרכי התנהגותו ובסגנונו ובנושאי שיחותיו”, אבל הוא קושר את המפנה לא לכישלונו החברתי של המרד, אלא להפך – </w:t>
      </w:r>
      <w:proofErr w:type="spellStart"/>
      <w:r>
        <w:rPr>
          <w:rtl/>
        </w:rPr>
        <w:t>ל“ניצחונות</w:t>
      </w:r>
      <w:proofErr w:type="spellEnd"/>
      <w:r>
        <w:rPr>
          <w:rtl/>
        </w:rPr>
        <w:t>” האידאולוגיים שהצליח “להשיג”: “המוסר נדרש להשיב על אידאולוגיה חדשה, שהורידה את האנושות לדרגת הקוף... ולהתנגד לטיפוח האכזריות והנקמה שלה כלפי כל החולקים עליה.”</w:t>
      </w:r>
    </w:p>
    <w:p w14:paraId="6507066D" w14:textId="283C7333" w:rsidR="00AB3647" w:rsidRDefault="00000000" w:rsidP="007923E9">
      <w:pPr>
        <w:spacing w:after="120" w:line="276" w:lineRule="auto"/>
        <w:ind w:firstLine="283"/>
        <w:jc w:val="both"/>
      </w:pPr>
      <w:r>
        <w:rPr>
          <w:rtl/>
        </w:rPr>
        <w:t xml:space="preserve">בהתאם להשקפתו שהשינויים התחוללו לאחר שהועברו התלמידים הבכירים </w:t>
      </w:r>
      <w:proofErr w:type="spellStart"/>
      <w:r>
        <w:rPr>
          <w:rtl/>
        </w:rPr>
        <w:t>לטלז</w:t>
      </w:r>
      <w:bookmarkStart w:id="3315" w:name="_fnr2410"/>
      <w:proofErr w:type="spellEnd"/>
      <w:r>
        <w:rPr>
          <w:rStyle w:val="a5"/>
        </w:rPr>
        <w:footnoteReference w:id="2417" w:customMarkFollows="0"/>
      </w:r>
      <w:bookmarkEnd w:id="3315"/>
      <w:r>
        <w:rPr>
          <w:rtl/>
        </w:rPr>
        <w:t xml:space="preserve">, טוען </w:t>
      </w:r>
      <w:proofErr w:type="spellStart"/>
      <w:r>
        <w:rPr>
          <w:rtl/>
        </w:rPr>
        <w:t>דבורץ</w:t>
      </w:r>
      <w:proofErr w:type="spellEnd"/>
      <w:r>
        <w:rPr>
          <w:rtl/>
        </w:rPr>
        <w:t>, “הגאון רבי משה מרדכי אפשטיין”</w:t>
      </w:r>
      <w:bookmarkStart w:id="3316" w:name="_fnr2411"/>
      <w:r>
        <w:rPr>
          <w:rStyle w:val="a5"/>
        </w:rPr>
        <w:footnoteReference w:id="2418" w:customMarkFollows="0"/>
      </w:r>
      <w:bookmarkEnd w:id="3316"/>
      <w:r>
        <w:rPr>
          <w:rtl/>
        </w:rPr>
        <w:t xml:space="preserve">, גם </w:t>
      </w:r>
      <w:proofErr w:type="spellStart"/>
      <w:r>
        <w:rPr>
          <w:rtl/>
        </w:rPr>
        <w:t>ש“היעדרותם</w:t>
      </w:r>
      <w:proofErr w:type="spellEnd"/>
      <w:r>
        <w:rPr>
          <w:rtl/>
        </w:rPr>
        <w:t xml:space="preserve"> [של תלמידים ותיקים אלה] מן הישיבה </w:t>
      </w:r>
      <w:r>
        <w:rPr>
          <w:b/>
          <w:bCs/>
          <w:rtl/>
        </w:rPr>
        <w:t>סללה את הדרך</w:t>
      </w:r>
      <w:r>
        <w:rPr>
          <w:rtl/>
        </w:rPr>
        <w:t xml:space="preserve"> לסבא </w:t>
      </w:r>
      <w:proofErr w:type="spellStart"/>
      <w:r>
        <w:rPr>
          <w:rtl/>
        </w:rPr>
        <w:t>מסלבודקה</w:t>
      </w:r>
      <w:proofErr w:type="spellEnd"/>
      <w:r>
        <w:rPr>
          <w:rtl/>
        </w:rPr>
        <w:t xml:space="preserve"> </w:t>
      </w:r>
      <w:proofErr w:type="spellStart"/>
      <w:r>
        <w:rPr>
          <w:rtl/>
        </w:rPr>
        <w:t>ול</w:t>
      </w:r>
      <w:proofErr w:type="spellEnd"/>
      <w:r>
        <w:rPr>
          <w:rtl/>
        </w:rPr>
        <w:t xml:space="preserve">[תלמידים] שמילאו את מקומם </w:t>
      </w:r>
      <w:proofErr w:type="spellStart"/>
      <w:r>
        <w:rPr>
          <w:rtl/>
        </w:rPr>
        <w:t>בסלבודקה</w:t>
      </w:r>
      <w:proofErr w:type="spellEnd"/>
      <w:r>
        <w:rPr>
          <w:rtl/>
        </w:rPr>
        <w:t xml:space="preserve"> להכניס שינויים בהנהגת הישיבה, בסגנון השיחות ובתוכנן, וכן </w:t>
      </w:r>
      <w:r>
        <w:rPr>
          <w:b/>
          <w:bCs/>
          <w:rtl/>
        </w:rPr>
        <w:t>בדרכי לימוד התלמוד</w:t>
      </w:r>
      <w:r>
        <w:rPr>
          <w:rtl/>
        </w:rPr>
        <w:t xml:space="preserve"> (ההדגשות שלי</w:t>
      </w:r>
      <w:bookmarkStart w:id="3317" w:name="_fnr2412"/>
      <w:r>
        <w:rPr>
          <w:rStyle w:val="a5"/>
        </w:rPr>
        <w:footnoteReference w:id="2419" w:customMarkFollows="0"/>
      </w:r>
      <w:bookmarkEnd w:id="3317"/>
      <w:r>
        <w:rPr>
          <w:rtl/>
        </w:rPr>
        <w:t xml:space="preserve">). אם קודם לכן שררו </w:t>
      </w:r>
      <w:proofErr w:type="spellStart"/>
      <w:r>
        <w:rPr>
          <w:rtl/>
        </w:rPr>
        <w:t>בסלבודקה</w:t>
      </w:r>
      <w:proofErr w:type="spellEnd"/>
      <w:r>
        <w:rPr>
          <w:rtl/>
        </w:rPr>
        <w:t xml:space="preserve"> כיוונים שונים בדרכי הלימוד, מעתה ואילך שלטו שיטתו של ר׳ </w:t>
      </w:r>
      <w:proofErr w:type="spellStart"/>
      <w:r>
        <w:rPr>
          <w:rtl/>
        </w:rPr>
        <w:t>משה־מרדכי</w:t>
      </w:r>
      <w:proofErr w:type="spellEnd"/>
      <w:r>
        <w:rPr>
          <w:rtl/>
        </w:rPr>
        <w:t xml:space="preserve"> בתלמוד ושיטת ההתבוננות של ר׳ </w:t>
      </w:r>
      <w:proofErr w:type="spellStart"/>
      <w:r>
        <w:rPr>
          <w:rtl/>
        </w:rPr>
        <w:t>נתן־צבי</w:t>
      </w:r>
      <w:proofErr w:type="spellEnd"/>
      <w:r>
        <w:rPr>
          <w:rtl/>
        </w:rPr>
        <w:t xml:space="preserve"> במוסר.” השווה גם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לעיל, להצעה נוספת בדבר הגורם לשינוי בשיטת הסבא.</w:t>
      </w:r>
    </w:p>
    <w:p w14:paraId="598E6142" w14:textId="77777777" w:rsidR="00AB3647" w:rsidRDefault="00000000" w:rsidP="007923E9">
      <w:pPr>
        <w:pStyle w:val="4"/>
        <w:spacing w:line="276" w:lineRule="auto"/>
      </w:pPr>
      <w:r>
        <w:lastRenderedPageBreak/>
        <w:t>· הפסקה השנייה ·</w:t>
      </w:r>
    </w:p>
    <w:p w14:paraId="4635FCC3" w14:textId="77777777" w:rsidR="00AB3647" w:rsidRDefault="00000000" w:rsidP="007923E9">
      <w:pPr>
        <w:pStyle w:val="5"/>
        <w:spacing w:line="276" w:lineRule="auto"/>
      </w:pPr>
      <w:r>
        <w:t xml:space="preserve">הסבא נאבק על עליונות המוסר – השפעות מוסר </w:t>
      </w:r>
      <w:proofErr w:type="spellStart"/>
      <w:r>
        <w:t>בראדין</w:t>
      </w:r>
      <w:proofErr w:type="spellEnd"/>
      <w:r>
        <w:t xml:space="preserve"> – </w:t>
      </w:r>
      <w:proofErr w:type="spellStart"/>
      <w:r>
        <w:t>החפץ־חיים</w:t>
      </w:r>
      <w:proofErr w:type="spellEnd"/>
      <w:r>
        <w:t xml:space="preserve"> מסתייג מגישת המוסר – מחלוקת מוסר </w:t>
      </w:r>
      <w:proofErr w:type="spellStart"/>
      <w:r>
        <w:t>בוולוז׳ין</w:t>
      </w:r>
      <w:proofErr w:type="spellEnd"/>
      <w:r>
        <w:t xml:space="preserve"> המחודשת</w:t>
      </w:r>
    </w:p>
    <w:p w14:paraId="202EB23D" w14:textId="77777777" w:rsidR="00AB3647" w:rsidRDefault="00000000" w:rsidP="007923E9">
      <w:pPr>
        <w:spacing w:after="120" w:line="276" w:lineRule="auto"/>
        <w:ind w:firstLine="283"/>
        <w:jc w:val="both"/>
      </w:pPr>
      <w:r>
        <w:rPr>
          <w:rtl/>
        </w:rPr>
        <w:t xml:space="preserve">בעיני הסבא </w:t>
      </w:r>
      <w:proofErr w:type="spellStart"/>
      <w:r>
        <w:rPr>
          <w:rtl/>
        </w:rPr>
        <w:t>מסלבודקה</w:t>
      </w:r>
      <w:proofErr w:type="spellEnd"/>
      <w:r>
        <w:rPr>
          <w:rtl/>
        </w:rPr>
        <w:t xml:space="preserve">, המוסר לא היה רק פן נוסף וקישוט ליהדות. במכתבו </w:t>
      </w:r>
      <w:proofErr w:type="spellStart"/>
      <w:r>
        <w:rPr>
          <w:rtl/>
        </w:rPr>
        <w:t>לר</w:t>
      </w:r>
      <w:proofErr w:type="spellEnd"/>
      <w:r>
        <w:rPr>
          <w:rtl/>
        </w:rPr>
        <w:t xml:space="preserve">׳ </w:t>
      </w:r>
      <w:proofErr w:type="spellStart"/>
      <w:r>
        <w:rPr>
          <w:rtl/>
        </w:rPr>
        <w:t>ראובן־בער</w:t>
      </w:r>
      <w:proofErr w:type="spellEnd"/>
      <w:r>
        <w:rPr>
          <w:rtl/>
        </w:rPr>
        <w:t xml:space="preserve"> </w:t>
      </w:r>
      <w:proofErr w:type="spellStart"/>
      <w:r>
        <w:rPr>
          <w:rtl/>
        </w:rPr>
        <w:t>דסלר</w:t>
      </w:r>
      <w:proofErr w:type="spellEnd"/>
      <w:r>
        <w:rPr>
          <w:rtl/>
        </w:rPr>
        <w:t xml:space="preserve">, שבו דחה הזמנה לכתוב הקדמה להוצאה המתוכננת של כתבי ר׳ </w:t>
      </w:r>
      <w:proofErr w:type="spellStart"/>
      <w:r>
        <w:rPr>
          <w:rtl/>
        </w:rPr>
        <w:t>שמחה־זיסל</w:t>
      </w:r>
      <w:proofErr w:type="spellEnd"/>
      <w:r>
        <w:rPr>
          <w:rtl/>
        </w:rPr>
        <w:t xml:space="preserve"> זיו</w:t>
      </w:r>
      <w:bookmarkStart w:id="3318" w:name="_fnr2413"/>
      <w:r>
        <w:rPr>
          <w:rStyle w:val="a5"/>
        </w:rPr>
        <w:footnoteReference w:id="2420" w:customMarkFollows="0"/>
      </w:r>
      <w:bookmarkEnd w:id="3318"/>
      <w:r>
        <w:rPr>
          <w:rtl/>
        </w:rPr>
        <w:t>, הוא מתאר במילים אלה את תפיסת היהדות שאחז בה לפני שנעשה בעל מוסר בהשפעת הסבא מקלם: “אור התורה האמיתי לא האיר לי, והחלפתי אמת בשקר וטוב ברע ואת צורת התורה בהפכה.”</w:t>
      </w:r>
    </w:p>
    <w:p w14:paraId="3A788921" w14:textId="77777777" w:rsidR="00AB3647" w:rsidRDefault="00000000" w:rsidP="007923E9">
      <w:pPr>
        <w:spacing w:after="120" w:line="276" w:lineRule="auto"/>
        <w:ind w:firstLine="283"/>
        <w:jc w:val="both"/>
      </w:pPr>
      <w:r>
        <w:rPr>
          <w:rtl/>
        </w:rPr>
        <w:t xml:space="preserve">מאחר שהסבא </w:t>
      </w:r>
      <w:proofErr w:type="spellStart"/>
      <w:r>
        <w:rPr>
          <w:rtl/>
        </w:rPr>
        <w:t>מסלבודקה</w:t>
      </w:r>
      <w:proofErr w:type="spellEnd"/>
      <w:r>
        <w:rPr>
          <w:rtl/>
        </w:rPr>
        <w:t xml:space="preserve"> ראה באור שלילי כל כך את תפיסת התורה הרווחת, שאינה מושתתת על מוסר, אין פלא שנלחם בעוז רב כל כך למען עליונותה של גישת המוסר. נראה שמתוך הכרתו העמוקה שהמוסר הוא ההבנה האמיתית היחידה של היהדות, וכל גישה אחרת היא “הפך” מה שהתורה מבקשת, לא הרפה הסבא מדאגתו להפצת המוסר במבצרי לימוד התורה, אף שכבר ניצח במאבקיו – הן בפולמוס המוסר והן בתקופה זו.</w:t>
      </w:r>
    </w:p>
    <w:p w14:paraId="3D318EF4" w14:textId="321C22E7" w:rsidR="00AB3647" w:rsidRDefault="00000000" w:rsidP="007923E9">
      <w:pPr>
        <w:spacing w:after="120" w:line="276" w:lineRule="auto"/>
        <w:ind w:firstLine="283"/>
        <w:jc w:val="both"/>
      </w:pPr>
      <w:r>
        <w:rPr>
          <w:rtl/>
        </w:rPr>
        <w:t>נראה שהסבא לא הרגיש בטוח בניצחונו עד “בסביבות תר״ע”, כמו שמשתמע מסוף הפסקה השנייה ב</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להלן. גם לאחר מועד זה נשא הסבא את צלקות מאבקיו הקודמים, כמו שעולה מן הבית הבא מתוך “בשמעי”, שירו של אחד מבחירי תלמידיו, ר׳ </w:t>
      </w:r>
      <w:proofErr w:type="spellStart"/>
      <w:r>
        <w:rPr>
          <w:rtl/>
        </w:rPr>
        <w:t>אברהם־אליהו</w:t>
      </w:r>
      <w:proofErr w:type="spellEnd"/>
      <w:r>
        <w:rPr>
          <w:rtl/>
        </w:rPr>
        <w:t xml:space="preserve"> קפלן</w:t>
      </w:r>
      <w:bookmarkStart w:id="3319" w:name="_fnr2414"/>
      <w:r>
        <w:rPr>
          <w:rStyle w:val="a5"/>
        </w:rPr>
        <w:footnoteReference w:id="2421" w:customMarkFollows="0"/>
      </w:r>
      <w:bookmarkEnd w:id="3319"/>
      <w:r>
        <w:rPr>
          <w:rtl/>
        </w:rPr>
        <w:t>, המתאר את הסערה שבה כבש הסבא את לבבות תלמידיו:</w:t>
      </w:r>
    </w:p>
    <w:p w14:paraId="314609EC" w14:textId="77777777" w:rsidR="00AB3647" w:rsidRDefault="00000000" w:rsidP="007923E9">
      <w:pPr>
        <w:spacing w:after="120" w:line="276" w:lineRule="auto"/>
        <w:ind w:firstLine="283"/>
        <w:jc w:val="both"/>
      </w:pPr>
      <w:r>
        <w:rPr>
          <w:rtl/>
        </w:rPr>
        <w:t>ניצוץ לבו של חכם ישראל,</w:t>
      </w:r>
    </w:p>
    <w:p w14:paraId="66F7700F" w14:textId="77777777" w:rsidR="00AB3647" w:rsidRDefault="00000000" w:rsidP="007923E9">
      <w:pPr>
        <w:spacing w:after="120" w:line="276" w:lineRule="auto"/>
        <w:ind w:firstLine="283"/>
        <w:jc w:val="both"/>
      </w:pPr>
      <w:r>
        <w:rPr>
          <w:rtl/>
        </w:rPr>
        <w:t>מלובה בעברו,</w:t>
      </w:r>
    </w:p>
    <w:p w14:paraId="3D92DAAC" w14:textId="77777777" w:rsidR="00AB3647" w:rsidRDefault="00000000" w:rsidP="007923E9">
      <w:pPr>
        <w:spacing w:after="120" w:line="276" w:lineRule="auto"/>
        <w:ind w:firstLine="283"/>
        <w:jc w:val="both"/>
      </w:pPr>
      <w:r>
        <w:rPr>
          <w:rtl/>
        </w:rPr>
        <w:t>מונחה בכוח נוכחותו,</w:t>
      </w:r>
    </w:p>
    <w:p w14:paraId="45DBCF8D" w14:textId="77777777" w:rsidR="00AB3647" w:rsidRDefault="00000000" w:rsidP="007923E9">
      <w:pPr>
        <w:spacing w:after="120" w:line="276" w:lineRule="auto"/>
        <w:ind w:firstLine="283"/>
        <w:jc w:val="both"/>
      </w:pPr>
      <w:r>
        <w:rPr>
          <w:rtl/>
        </w:rPr>
        <w:t>ומתנחם במחרו,</w:t>
      </w:r>
    </w:p>
    <w:p w14:paraId="1CB6309D" w14:textId="77777777" w:rsidR="00AB3647" w:rsidRDefault="00000000" w:rsidP="007923E9">
      <w:pPr>
        <w:spacing w:after="120" w:line="276" w:lineRule="auto"/>
        <w:ind w:firstLine="283"/>
        <w:jc w:val="both"/>
      </w:pPr>
      <w:r>
        <w:rPr>
          <w:rtl/>
        </w:rPr>
        <w:t xml:space="preserve">נרגז במרד </w:t>
      </w:r>
      <w:proofErr w:type="spellStart"/>
      <w:r>
        <w:rPr>
          <w:rtl/>
        </w:rPr>
        <w:t>מתקוממיו</w:t>
      </w:r>
      <w:proofErr w:type="spellEnd"/>
      <w:r>
        <w:rPr>
          <w:rtl/>
        </w:rPr>
        <w:t>,</w:t>
      </w:r>
    </w:p>
    <w:p w14:paraId="1473A917" w14:textId="77777777" w:rsidR="00AB3647" w:rsidRDefault="00000000" w:rsidP="007923E9">
      <w:pPr>
        <w:spacing w:after="120" w:line="276" w:lineRule="auto"/>
        <w:ind w:firstLine="283"/>
        <w:jc w:val="both"/>
      </w:pPr>
      <w:r>
        <w:rPr>
          <w:rtl/>
        </w:rPr>
        <w:t>עצור בזעקת כאבו,</w:t>
      </w:r>
    </w:p>
    <w:p w14:paraId="342A97B8" w14:textId="77777777" w:rsidR="00AB3647" w:rsidRDefault="00000000" w:rsidP="007923E9">
      <w:pPr>
        <w:spacing w:after="120" w:line="276" w:lineRule="auto"/>
        <w:ind w:firstLine="283"/>
        <w:jc w:val="both"/>
      </w:pPr>
      <w:r>
        <w:rPr>
          <w:rtl/>
        </w:rPr>
        <w:t xml:space="preserve">נישא על גבי </w:t>
      </w:r>
      <w:proofErr w:type="spellStart"/>
      <w:r>
        <w:rPr>
          <w:rtl/>
        </w:rPr>
        <w:t>סערתו</w:t>
      </w:r>
      <w:proofErr w:type="spellEnd"/>
    </w:p>
    <w:p w14:paraId="610B48CE" w14:textId="77777777" w:rsidR="00AB3647" w:rsidRDefault="00000000" w:rsidP="007923E9">
      <w:pPr>
        <w:spacing w:after="120" w:line="276" w:lineRule="auto"/>
        <w:ind w:firstLine="283"/>
        <w:jc w:val="both"/>
      </w:pPr>
      <w:r>
        <w:rPr>
          <w:rtl/>
        </w:rPr>
        <w:t>במדבר גלות ונדודים.</w:t>
      </w:r>
    </w:p>
    <w:p w14:paraId="08F4F44F" w14:textId="77777777" w:rsidR="00AB3647" w:rsidRDefault="00000000" w:rsidP="007923E9">
      <w:pPr>
        <w:spacing w:after="120" w:line="276" w:lineRule="auto"/>
        <w:ind w:firstLine="283"/>
        <w:jc w:val="both"/>
      </w:pPr>
      <w:r>
        <w:rPr>
          <w:rtl/>
        </w:rPr>
        <w:t xml:space="preserve">השיר, שאינו נושא תאריך, נדפס </w:t>
      </w:r>
      <w:proofErr w:type="spellStart"/>
      <w:r>
        <w:rPr>
          <w:rtl/>
        </w:rPr>
        <w:t>ב“בעקבות</w:t>
      </w:r>
      <w:proofErr w:type="spellEnd"/>
      <w:r>
        <w:rPr>
          <w:rtl/>
        </w:rPr>
        <w:t xml:space="preserve"> היראה”</w:t>
      </w:r>
      <w:bookmarkStart w:id="3320" w:name="_fnr2415"/>
      <w:r>
        <w:rPr>
          <w:rStyle w:val="a5"/>
        </w:rPr>
        <w:footnoteReference w:id="2422" w:customMarkFollows="0"/>
      </w:r>
      <w:bookmarkEnd w:id="3320"/>
      <w:r>
        <w:rPr>
          <w:rtl/>
        </w:rPr>
        <w:t>, וודאי נכתב בסביבות תרע״ג. השווה “בעקבות היראה”</w:t>
      </w:r>
      <w:bookmarkStart w:id="3321" w:name="_fnr2416"/>
      <w:r>
        <w:rPr>
          <w:rStyle w:val="a5"/>
        </w:rPr>
        <w:footnoteReference w:id="2423" w:customMarkFollows="0"/>
      </w:r>
      <w:bookmarkEnd w:id="3321"/>
      <w:r>
        <w:rPr>
          <w:rtl/>
        </w:rPr>
        <w:t>, המספר שבעקבות “דברי המוסר האדירים” של הסבא שרף הרב קפלן את כל השירים שכתב לפני חשוון תרע״א.</w:t>
      </w:r>
    </w:p>
    <w:p w14:paraId="384D3CA3" w14:textId="77777777" w:rsidR="00AB3647" w:rsidRDefault="00000000" w:rsidP="007923E9">
      <w:pPr>
        <w:spacing w:after="120" w:line="276" w:lineRule="auto"/>
        <w:ind w:firstLine="283"/>
        <w:jc w:val="both"/>
      </w:pPr>
      <w:r>
        <w:rPr>
          <w:rtl/>
        </w:rPr>
        <w:lastRenderedPageBreak/>
        <w:t xml:space="preserve">התפתחות נוספת נגד המוסר אירעה </w:t>
      </w:r>
      <w:proofErr w:type="spellStart"/>
      <w:r>
        <w:rPr>
          <w:rtl/>
        </w:rPr>
        <w:t>בראדין</w:t>
      </w:r>
      <w:proofErr w:type="spellEnd"/>
      <w:r>
        <w:rPr>
          <w:rtl/>
        </w:rPr>
        <w:t xml:space="preserve"> בסביבות תר״ע, כשהמשגיח שם, ר׳ ירוחם </w:t>
      </w:r>
      <w:proofErr w:type="spellStart"/>
      <w:r>
        <w:rPr>
          <w:rtl/>
        </w:rPr>
        <w:t>ליבוביץ</w:t>
      </w:r>
      <w:proofErr w:type="spellEnd"/>
      <w:r>
        <w:rPr>
          <w:rtl/>
        </w:rPr>
        <w:t>, החליט שלא לשוב לישיבה לאחר ביקורו בבית בפסח</w:t>
      </w:r>
      <w:bookmarkStart w:id="3322" w:name="_fnr2417"/>
      <w:bookmarkStart w:id="3323" w:name="pr_f_2318"/>
      <w:r>
        <w:rPr>
          <w:rStyle w:val="a5"/>
        </w:rPr>
        <w:footnoteReference w:id="2424" w:customMarkFollows="0"/>
      </w:r>
      <w:bookmarkEnd w:id="3322"/>
      <w:bookmarkEnd w:id="3323"/>
      <w:r>
        <w:rPr>
          <w:rtl/>
        </w:rPr>
        <w:t xml:space="preserve">, משום שכמה תלמידים הרגישו שהשפעתו מרחיקה תלמידים מכנפי </w:t>
      </w:r>
      <w:proofErr w:type="spellStart"/>
      <w:r>
        <w:rPr>
          <w:rtl/>
        </w:rPr>
        <w:t>החפץ־חיים</w:t>
      </w:r>
      <w:proofErr w:type="spellEnd"/>
      <w:r>
        <w:rPr>
          <w:rtl/>
        </w:rPr>
        <w:t>. אבל ר׳ זליג אפשטיין</w:t>
      </w:r>
      <w:bookmarkStart w:id="3324" w:name="_fnr2418"/>
      <w:r>
        <w:rPr>
          <w:rStyle w:val="a5"/>
        </w:rPr>
        <w:footnoteReference w:id="2425" w:customMarkFollows="0"/>
      </w:r>
      <w:bookmarkEnd w:id="3324"/>
      <w:r>
        <w:rPr>
          <w:rtl/>
        </w:rPr>
        <w:t xml:space="preserve"> גילה </w:t>
      </w:r>
      <w:proofErr w:type="spellStart"/>
      <w:r>
        <w:rPr>
          <w:rtl/>
        </w:rPr>
        <w:t>שהחפץ־חיים</w:t>
      </w:r>
      <w:proofErr w:type="spellEnd"/>
      <w:r>
        <w:rPr>
          <w:rtl/>
        </w:rPr>
        <w:t xml:space="preserve"> עצמו, כרוב גדולי התורה האחרים</w:t>
      </w:r>
      <w:bookmarkStart w:id="3325" w:name="_fnr2419"/>
      <w:r>
        <w:rPr>
          <w:rStyle w:val="a5"/>
        </w:rPr>
        <w:footnoteReference w:id="2426" w:customMarkFollows="0"/>
      </w:r>
      <w:bookmarkEnd w:id="3325"/>
      <w:r>
        <w:rPr>
          <w:rtl/>
        </w:rPr>
        <w:t>, התנגד למוסר: “לא שהיה מן המתנגדים החריפים, אבל לא הסכים עם כל הגישה שלו”</w:t>
      </w:r>
      <w:bookmarkStart w:id="3326" w:name="_fnr2420"/>
      <w:r>
        <w:rPr>
          <w:rStyle w:val="a5"/>
        </w:rPr>
        <w:footnoteReference w:id="2427" w:customMarkFollows="0"/>
      </w:r>
      <w:bookmarkEnd w:id="3326"/>
      <w:r>
        <w:rPr>
          <w:rtl/>
        </w:rPr>
        <w:t>.</w:t>
      </w:r>
    </w:p>
    <w:p w14:paraId="061C0D10" w14:textId="77777777" w:rsidR="00AB3647" w:rsidRDefault="00000000" w:rsidP="007923E9">
      <w:pPr>
        <w:spacing w:after="120" w:line="276" w:lineRule="auto"/>
        <w:ind w:firstLine="283"/>
        <w:jc w:val="both"/>
      </w:pPr>
      <w:r>
        <w:rPr>
          <w:rtl/>
        </w:rPr>
        <w:t xml:space="preserve">השווה גם </w:t>
      </w:r>
      <w:proofErr w:type="spellStart"/>
      <w:r>
        <w:rPr>
          <w:rtl/>
        </w:rPr>
        <w:t>דבורץ</w:t>
      </w:r>
      <w:proofErr w:type="spellEnd"/>
      <w:r>
        <w:rPr>
          <w:rtl/>
        </w:rPr>
        <w:t>, “הגאון רבי משה מרדכי אפשטיין”</w:t>
      </w:r>
      <w:bookmarkStart w:id="3327" w:name="_fnr2421"/>
      <w:r>
        <w:rPr>
          <w:rStyle w:val="a5"/>
        </w:rPr>
        <w:footnoteReference w:id="2428" w:customMarkFollows="0"/>
      </w:r>
      <w:bookmarkEnd w:id="3327"/>
      <w:r>
        <w:rPr>
          <w:rtl/>
        </w:rPr>
        <w:t xml:space="preserve">, המעיר: “[ישיבת </w:t>
      </w:r>
      <w:proofErr w:type="spellStart"/>
      <w:r>
        <w:rPr>
          <w:rtl/>
        </w:rPr>
        <w:t>ראדין</w:t>
      </w:r>
      <w:proofErr w:type="spellEnd"/>
      <w:r>
        <w:rPr>
          <w:rtl/>
        </w:rPr>
        <w:t xml:space="preserve">] התנהלה כל השנים לפי השיטות הישנות של ימי נעוריו של [מייסדה,] </w:t>
      </w:r>
      <w:proofErr w:type="spellStart"/>
      <w:r>
        <w:rPr>
          <w:rtl/>
        </w:rPr>
        <w:t>החפץ־חיים</w:t>
      </w:r>
      <w:proofErr w:type="spellEnd"/>
      <w:r>
        <w:rPr>
          <w:rtl/>
        </w:rPr>
        <w:t xml:space="preserve">. בתמימות לבו האמין שתמיד יצליח לנהל את הישיבה בשיטה זו. אולם הסבא </w:t>
      </w:r>
      <w:proofErr w:type="spellStart"/>
      <w:r>
        <w:rPr>
          <w:rtl/>
        </w:rPr>
        <w:t>מסלבודקה</w:t>
      </w:r>
      <w:proofErr w:type="spellEnd"/>
      <w:r>
        <w:rPr>
          <w:rtl/>
        </w:rPr>
        <w:t xml:space="preserve">, המומחה המחונן בתחום, שעיניו הטהורות סקרו את תבניתן של כל ישיבות ליטא, ראה והבין שהדבר אינו אפשרי. לכן תכנן ללא הרף כיצד להשפיע על הנהלת ישיבת </w:t>
      </w:r>
      <w:proofErr w:type="spellStart"/>
      <w:r>
        <w:rPr>
          <w:rtl/>
        </w:rPr>
        <w:t>ראדין</w:t>
      </w:r>
      <w:proofErr w:type="spellEnd"/>
      <w:r>
        <w:rPr>
          <w:rtl/>
        </w:rPr>
        <w:t xml:space="preserve"> להנהיג את הסדר הנכון [כלומר, שיטת המוסר]. דרכו העיקרית הייתה לשלוח את טובי הכוחות בגדלות התורה והמוסר מקרב חניכיו ללמוד בישיבת </w:t>
      </w:r>
      <w:proofErr w:type="spellStart"/>
      <w:r>
        <w:rPr>
          <w:rtl/>
        </w:rPr>
        <w:t>ראדין</w:t>
      </w:r>
      <w:proofErr w:type="spellEnd"/>
      <w:r>
        <w:rPr>
          <w:rtl/>
        </w:rPr>
        <w:t xml:space="preserve">. הם היו הרוח החיה בישיבה, ושימשו באופן בלתי רשמי ראשי ישיבה ומשפיעים. מובן שמאחר שלא נתמנו באופן רשמי, הייתה השפעתם מוגבלת. עם כל זאת, נמנע </w:t>
      </w:r>
      <w:proofErr w:type="spellStart"/>
      <w:r>
        <w:rPr>
          <w:rtl/>
        </w:rPr>
        <w:t>החפץ־חיים</w:t>
      </w:r>
      <w:proofErr w:type="spellEnd"/>
      <w:r>
        <w:rPr>
          <w:rtl/>
        </w:rPr>
        <w:t xml:space="preserve"> מהכנסת השיטות החדשות, עד ש[רוח המהפכה של 1905] הופיעה וערערה כליל את החיים הרוחניים, וגם חומות ישיבת </w:t>
      </w:r>
      <w:proofErr w:type="spellStart"/>
      <w:r>
        <w:rPr>
          <w:rtl/>
        </w:rPr>
        <w:t>ראדין</w:t>
      </w:r>
      <w:proofErr w:type="spellEnd"/>
      <w:r>
        <w:rPr>
          <w:rtl/>
        </w:rPr>
        <w:t xml:space="preserve"> החלו להתמוטט. אז הסכים </w:t>
      </w:r>
      <w:proofErr w:type="spellStart"/>
      <w:r>
        <w:rPr>
          <w:rtl/>
        </w:rPr>
        <w:t>החפץ־חיים</w:t>
      </w:r>
      <w:proofErr w:type="spellEnd"/>
      <w:r>
        <w:rPr>
          <w:rtl/>
        </w:rPr>
        <w:t xml:space="preserve"> להצעותיו של הסבא ולמינויים שהציע.”</w:t>
      </w:r>
    </w:p>
    <w:p w14:paraId="7D2DDC1A" w14:textId="7C73B44F" w:rsidR="00AB3647" w:rsidRDefault="00000000" w:rsidP="007923E9">
      <w:pPr>
        <w:spacing w:after="120" w:line="276" w:lineRule="auto"/>
        <w:ind w:firstLine="283"/>
        <w:jc w:val="both"/>
      </w:pPr>
      <w:proofErr w:type="spellStart"/>
      <w:r>
        <w:rPr>
          <w:rtl/>
        </w:rPr>
        <w:t>ה“מינויים</w:t>
      </w:r>
      <w:proofErr w:type="spellEnd"/>
      <w:r>
        <w:rPr>
          <w:rtl/>
        </w:rPr>
        <w:t xml:space="preserve">” שאליהם מתייחס </w:t>
      </w:r>
      <w:proofErr w:type="spellStart"/>
      <w:r>
        <w:rPr>
          <w:rtl/>
        </w:rPr>
        <w:t>דבורץ</w:t>
      </w:r>
      <w:proofErr w:type="spellEnd"/>
      <w:r>
        <w:rPr>
          <w:rtl/>
        </w:rPr>
        <w:t xml:space="preserve"> היו העסקתו [קצרת הימים] של ר׳ ירוחם </w:t>
      </w:r>
      <w:proofErr w:type="spellStart"/>
      <w:r>
        <w:rPr>
          <w:rtl/>
        </w:rPr>
        <w:t>ליבוביץ</w:t>
      </w:r>
      <w:proofErr w:type="spellEnd"/>
      <w:r>
        <w:rPr>
          <w:rtl/>
        </w:rPr>
        <w:t xml:space="preserve">, אבל לפי תפיסתו של ר׳ זליג אפשטיין, גם אז לא נמשך </w:t>
      </w:r>
      <w:proofErr w:type="spellStart"/>
      <w:r>
        <w:rPr>
          <w:rtl/>
        </w:rPr>
        <w:t>החפץ־חיים</w:t>
      </w:r>
      <w:proofErr w:type="spellEnd"/>
      <w:r>
        <w:rPr>
          <w:rtl/>
        </w:rPr>
        <w:t xml:space="preserve"> אחר גישת המוסר. [לכן ייתכן שכאשר סייע </w:t>
      </w:r>
      <w:proofErr w:type="spellStart"/>
      <w:r>
        <w:rPr>
          <w:rtl/>
        </w:rPr>
        <w:t>החפץ־חיים</w:t>
      </w:r>
      <w:proofErr w:type="spellEnd"/>
      <w:r>
        <w:rPr>
          <w:rtl/>
        </w:rPr>
        <w:t xml:space="preserve"> לסבא להפריד את ישיבת הבחורים מכולל קובנה</w:t>
      </w:r>
      <w:bookmarkStart w:id="3328" w:name="_fnr2422"/>
      <w:r>
        <w:rPr>
          <w:rStyle w:val="a5"/>
        </w:rPr>
        <w:footnoteReference w:id="2429" w:customMarkFollows="0"/>
      </w:r>
      <w:bookmarkEnd w:id="3328"/>
      <w:r>
        <w:rPr>
          <w:rtl/>
        </w:rPr>
        <w:t xml:space="preserve">, לא הייתה מטרתו לסייע ביצירת מבצר למוסר. היו לו שיקולים אחרים – כגון ניתוק ישיבת </w:t>
      </w:r>
      <w:proofErr w:type="spellStart"/>
      <w:r>
        <w:rPr>
          <w:rtl/>
        </w:rPr>
        <w:t>סלבודקה</w:t>
      </w:r>
      <w:proofErr w:type="spellEnd"/>
      <w:r>
        <w:rPr>
          <w:rtl/>
        </w:rPr>
        <w:t xml:space="preserve"> מכולל קובנה, כדי שהכולל יפעל לטובת אברכים בלבד, כמו שחזה בעת שתרם את מאמרו </w:t>
      </w:r>
      <w:proofErr w:type="spellStart"/>
      <w:r>
        <w:rPr>
          <w:rtl/>
        </w:rPr>
        <w:t>ל“עץ</w:t>
      </w:r>
      <w:proofErr w:type="spellEnd"/>
      <w:r>
        <w:rPr>
          <w:rtl/>
        </w:rPr>
        <w:t xml:space="preserve"> פרי”, כאמור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6361C19C" w14:textId="77777777" w:rsidR="00AB3647" w:rsidRDefault="00000000" w:rsidP="007923E9">
      <w:pPr>
        <w:spacing w:after="120" w:line="276" w:lineRule="auto"/>
        <w:ind w:firstLine="283"/>
        <w:jc w:val="both"/>
      </w:pPr>
      <w:r>
        <w:rPr>
          <w:rtl/>
        </w:rPr>
        <w:t xml:space="preserve">ר׳ זליג סיפר סיפור ששמע מפי ר׳ ירוחם, כדי להמחיש את הבדל הגישה בינו לבין </w:t>
      </w:r>
      <w:proofErr w:type="spellStart"/>
      <w:r>
        <w:rPr>
          <w:rtl/>
        </w:rPr>
        <w:t>החפץ־חיים</w:t>
      </w:r>
      <w:proofErr w:type="spellEnd"/>
      <w:r>
        <w:rPr>
          <w:rtl/>
        </w:rPr>
        <w:t xml:space="preserve">: “המנהג בעיירה הקטנה </w:t>
      </w:r>
      <w:proofErr w:type="spellStart"/>
      <w:r>
        <w:rPr>
          <w:rtl/>
        </w:rPr>
        <w:t>ראדין</w:t>
      </w:r>
      <w:proofErr w:type="spellEnd"/>
      <w:r>
        <w:rPr>
          <w:rtl/>
        </w:rPr>
        <w:t xml:space="preserve"> היה שכאשר נפטר אדם בעיר, נכנסו בני הקהילה לבית המדרש ודפקו על הבימה כדי להודיע מתי תיערך הלוויה, וכל הישיבה השתתפה – אחרת כמעט שלא היו משתתפים בהלוויה כלל. ר׳ ירוחם הרגיש שלא ייתכן שהישיבה תבטל את סדר הלימוד בשביל הלוויה, וביטל את המנהג. בני הקהילה רצו אל </w:t>
      </w:r>
      <w:proofErr w:type="spellStart"/>
      <w:r>
        <w:rPr>
          <w:rtl/>
        </w:rPr>
        <w:t>החפץ־חיים</w:t>
      </w:r>
      <w:proofErr w:type="spellEnd"/>
      <w:r>
        <w:rPr>
          <w:rtl/>
        </w:rPr>
        <w:t xml:space="preserve"> להתלונן שאדם נפטר והישיבה אינה משתתפת בהלוויה. </w:t>
      </w:r>
      <w:proofErr w:type="spellStart"/>
      <w:r>
        <w:rPr>
          <w:rtl/>
        </w:rPr>
        <w:t>החפץ־חיים</w:t>
      </w:r>
      <w:proofErr w:type="spellEnd"/>
      <w:r>
        <w:rPr>
          <w:rtl/>
        </w:rPr>
        <w:t xml:space="preserve"> קרא למשגיח ושאל אותו: ‘מאי האי?’, </w:t>
      </w:r>
      <w:r>
        <w:rPr>
          <w:rtl/>
        </w:rPr>
        <w:lastRenderedPageBreak/>
        <w:t xml:space="preserve">והוא הסביר את דעתו. אולם </w:t>
      </w:r>
      <w:proofErr w:type="spellStart"/>
      <w:r>
        <w:rPr>
          <w:rtl/>
        </w:rPr>
        <w:t>החפץ־חיים</w:t>
      </w:r>
      <w:proofErr w:type="spellEnd"/>
      <w:r>
        <w:rPr>
          <w:rtl/>
        </w:rPr>
        <w:t xml:space="preserve"> השיב: ‘חז״ל אומרים: “חכמים הזהרו בדבריכם”</w:t>
      </w:r>
      <w:bookmarkStart w:id="3329" w:name="_fnr2423"/>
      <w:r>
        <w:rPr>
          <w:rStyle w:val="a5"/>
        </w:rPr>
        <w:footnoteReference w:id="2430" w:customMarkFollows="0"/>
      </w:r>
      <w:bookmarkEnd w:id="3329"/>
      <w:r>
        <w:rPr>
          <w:rtl/>
        </w:rPr>
        <w:t>‘, ור׳ ירוחם נאלץ לחזור בו.”</w:t>
      </w:r>
    </w:p>
    <w:p w14:paraId="384D7ABA" w14:textId="77777777" w:rsidR="00AB3647" w:rsidRDefault="00000000" w:rsidP="007923E9">
      <w:pPr>
        <w:spacing w:after="120" w:line="276" w:lineRule="auto"/>
        <w:ind w:firstLine="283"/>
        <w:jc w:val="both"/>
      </w:pPr>
      <w:r>
        <w:rPr>
          <w:rtl/>
        </w:rPr>
        <w:t xml:space="preserve">ר׳ זליג הסביר: “בעיני בעל מוסר – בין המשגיח של </w:t>
      </w:r>
      <w:proofErr w:type="spellStart"/>
      <w:r>
        <w:rPr>
          <w:rtl/>
        </w:rPr>
        <w:t>מיר</w:t>
      </w:r>
      <w:proofErr w:type="spellEnd"/>
      <w:r>
        <w:rPr>
          <w:rtl/>
        </w:rPr>
        <w:t xml:space="preserve">, בין הסבא </w:t>
      </w:r>
      <w:proofErr w:type="spellStart"/>
      <w:r>
        <w:rPr>
          <w:rtl/>
        </w:rPr>
        <w:t>מסלבודקה</w:t>
      </w:r>
      <w:proofErr w:type="spellEnd"/>
      <w:r>
        <w:rPr>
          <w:rtl/>
        </w:rPr>
        <w:t xml:space="preserve"> ובין הסבא מקלם – דפיקה על הבימה וסגירת הישיבה מפני שיהודי נפטר אינן דרך ראויה לנהוג. מלבד שיקול ביטול התורה – שנראה שההלכה מתירה אותו, שהרי </w:t>
      </w:r>
      <w:proofErr w:type="spellStart"/>
      <w:r>
        <w:rPr>
          <w:rtl/>
        </w:rPr>
        <w:t>החפץ־חיים</w:t>
      </w:r>
      <w:proofErr w:type="spellEnd"/>
      <w:r>
        <w:rPr>
          <w:rtl/>
        </w:rPr>
        <w:t xml:space="preserve"> התירו – מעשה כזה מפקיע לגמרי את כבוד התורה, עניין שתנועת המוסר ראתה בקידומו בדורות אלה את חובתה העיקרית”</w:t>
      </w:r>
      <w:bookmarkStart w:id="3330" w:name="_fnr2424"/>
      <w:r>
        <w:rPr>
          <w:rStyle w:val="a5"/>
        </w:rPr>
        <w:footnoteReference w:id="2431" w:customMarkFollows="0"/>
      </w:r>
      <w:bookmarkEnd w:id="3330"/>
      <w:r>
        <w:rPr>
          <w:rtl/>
        </w:rPr>
        <w:t>.</w:t>
      </w:r>
    </w:p>
    <w:p w14:paraId="0F6A117B" w14:textId="77777777" w:rsidR="00AB3647" w:rsidRDefault="00000000" w:rsidP="007923E9">
      <w:pPr>
        <w:spacing w:after="120" w:line="276" w:lineRule="auto"/>
        <w:ind w:firstLine="283"/>
        <w:jc w:val="both"/>
      </w:pPr>
      <w:r>
        <w:rPr>
          <w:rtl/>
        </w:rPr>
        <w:t>דוגמה נוספת לחוסר ההתאמה בין גישת המוסר של ר׳ ירוחם לבין יראת שמיים פשוטה [</w:t>
      </w:r>
      <w:proofErr w:type="spellStart"/>
      <w:r>
        <w:rPr>
          <w:rtl/>
        </w:rPr>
        <w:t>שהחפץ־חיים</w:t>
      </w:r>
      <w:proofErr w:type="spellEnd"/>
      <w:r>
        <w:rPr>
          <w:rtl/>
        </w:rPr>
        <w:t xml:space="preserve"> מגלם אותה] עולה מסיפור שסיפר ר׳ שלמה לורנץ</w:t>
      </w:r>
      <w:bookmarkStart w:id="3331" w:name="_fnr2425"/>
      <w:r>
        <w:rPr>
          <w:rStyle w:val="a5"/>
        </w:rPr>
        <w:footnoteReference w:id="2432" w:customMarkFollows="0"/>
      </w:r>
      <w:bookmarkEnd w:id="3331"/>
      <w:r>
        <w:rPr>
          <w:rtl/>
        </w:rPr>
        <w:t xml:space="preserve">. בראש השנה הראשון לאחר שנתקבל ר׳ ירוחם למשגיח בישיבת </w:t>
      </w:r>
      <w:proofErr w:type="spellStart"/>
      <w:r>
        <w:rPr>
          <w:rtl/>
        </w:rPr>
        <w:t>מיר</w:t>
      </w:r>
      <w:proofErr w:type="spellEnd"/>
      <w:r>
        <w:rPr>
          <w:rtl/>
        </w:rPr>
        <w:t xml:space="preserve">, אמר לרב קמאי, הרב וראש הישיבה, שהתלמידים יעשו קידוש ויאכלו מזונות לפני תקיעת שופר. הרב התנגד בטענה שאכילה לפני קיום מצוות שופר מנוגדת להלכה. ר׳ ירוחם השיב שיציית לפסקו של הרב, אבל במוצאי ראש השנה יארוז את חפציו ויתפטר ממשרתו. כששמע זאת הרב וראש הישיבה של </w:t>
      </w:r>
      <w:proofErr w:type="spellStart"/>
      <w:r>
        <w:rPr>
          <w:rtl/>
        </w:rPr>
        <w:t>מיר</w:t>
      </w:r>
      <w:proofErr w:type="spellEnd"/>
      <w:r>
        <w:rPr>
          <w:rtl/>
        </w:rPr>
        <w:t xml:space="preserve">, נסוג והניח </w:t>
      </w:r>
      <w:proofErr w:type="spellStart"/>
      <w:r>
        <w:rPr>
          <w:rtl/>
        </w:rPr>
        <w:t>לר</w:t>
      </w:r>
      <w:proofErr w:type="spellEnd"/>
      <w:r>
        <w:rPr>
          <w:rtl/>
        </w:rPr>
        <w:t>׳ ירוחם לנהוג כרצונו</w:t>
      </w:r>
      <w:bookmarkStart w:id="3332" w:name="_fnr2426"/>
      <w:r>
        <w:rPr>
          <w:rStyle w:val="a5"/>
        </w:rPr>
        <w:footnoteReference w:id="2433" w:customMarkFollows="0"/>
      </w:r>
      <w:bookmarkEnd w:id="3332"/>
      <w:r>
        <w:rPr>
          <w:rtl/>
        </w:rPr>
        <w:t>.</w:t>
      </w:r>
    </w:p>
    <w:p w14:paraId="732D6257" w14:textId="77777777" w:rsidR="00AB3647" w:rsidRDefault="00000000" w:rsidP="007923E9">
      <w:pPr>
        <w:spacing w:after="120" w:line="276" w:lineRule="auto"/>
        <w:ind w:firstLine="283"/>
        <w:jc w:val="both"/>
      </w:pPr>
      <w:r>
        <w:rPr>
          <w:rtl/>
        </w:rPr>
        <w:t>לאחר מכן, כשראה הרב קמאי את הלהט שבו התפללו התלמידים את תפילת המוסף הארוכה – והם יכלו לעשות זאת רק מפני שלא נשארו בתענית מן הלילה עד אחרי המוסף ותקיעת השופר – הודה שהמשגיח צדק.</w:t>
      </w:r>
    </w:p>
    <w:p w14:paraId="2F228876" w14:textId="77777777" w:rsidR="00AB3647" w:rsidRDefault="00000000" w:rsidP="007923E9">
      <w:pPr>
        <w:spacing w:after="120" w:line="276" w:lineRule="auto"/>
        <w:ind w:firstLine="283"/>
        <w:jc w:val="both"/>
      </w:pPr>
      <w:r>
        <w:rPr>
          <w:rtl/>
        </w:rPr>
        <w:t xml:space="preserve">[גם ר׳ </w:t>
      </w:r>
      <w:proofErr w:type="spellStart"/>
      <w:r>
        <w:rPr>
          <w:rtl/>
        </w:rPr>
        <w:t>יוסף־אליהו</w:t>
      </w:r>
      <w:proofErr w:type="spellEnd"/>
      <w:r>
        <w:rPr>
          <w:rtl/>
        </w:rPr>
        <w:t xml:space="preserve"> </w:t>
      </w:r>
      <w:proofErr w:type="spellStart"/>
      <w:r>
        <w:rPr>
          <w:rtl/>
        </w:rPr>
        <w:t>הענקין</w:t>
      </w:r>
      <w:proofErr w:type="spellEnd"/>
      <w:r>
        <w:rPr>
          <w:rtl/>
        </w:rPr>
        <w:t xml:space="preserve"> נאבק בחידוש </w:t>
      </w:r>
      <w:proofErr w:type="spellStart"/>
      <w:r>
        <w:rPr>
          <w:rtl/>
        </w:rPr>
        <w:t>הישיבתי</w:t>
      </w:r>
      <w:proofErr w:type="spellEnd"/>
      <w:r>
        <w:rPr>
          <w:rtl/>
        </w:rPr>
        <w:t xml:space="preserve"> של אכילה לפני תקיעת שופר, ופרסם נגדו מאמרים בכתבי עת רבניים. לדברי ר׳ ישראל </w:t>
      </w:r>
      <w:proofErr w:type="spellStart"/>
      <w:r>
        <w:rPr>
          <w:rtl/>
        </w:rPr>
        <w:t>שורין</w:t>
      </w:r>
      <w:bookmarkStart w:id="3333" w:name="_fnr2427"/>
      <w:proofErr w:type="spellEnd"/>
      <w:r>
        <w:rPr>
          <w:rStyle w:val="a5"/>
        </w:rPr>
        <w:footnoteReference w:id="2434" w:customMarkFollows="0"/>
      </w:r>
      <w:bookmarkEnd w:id="3333"/>
      <w:r>
        <w:rPr>
          <w:rtl/>
        </w:rPr>
        <w:t xml:space="preserve">, כשנאמר לרב </w:t>
      </w:r>
      <w:proofErr w:type="spellStart"/>
      <w:r>
        <w:rPr>
          <w:rtl/>
        </w:rPr>
        <w:t>הענקין</w:t>
      </w:r>
      <w:proofErr w:type="spellEnd"/>
      <w:r>
        <w:rPr>
          <w:rtl/>
        </w:rPr>
        <w:t xml:space="preserve"> שהבחורים לא יוכלו להתפלל את תפילת המוסף הארוכה בלי לעשות קידוש תחילה, השיב: “אם כך, שיתפללו מוסף קצר.” התנגדותו לחידוש הייתה כה נחרצת, שלפני ראש השנה תשל״ג אמר </w:t>
      </w:r>
      <w:proofErr w:type="spellStart"/>
      <w:r>
        <w:rPr>
          <w:rtl/>
        </w:rPr>
        <w:t>לר</w:t>
      </w:r>
      <w:proofErr w:type="spellEnd"/>
      <w:r>
        <w:rPr>
          <w:rtl/>
        </w:rPr>
        <w:t xml:space="preserve">׳ שניאור קוטלר שהוא גוזר עליו – גוזר </w:t>
      </w:r>
      <w:proofErr w:type="spellStart"/>
      <w:r>
        <w:rPr>
          <w:rtl/>
        </w:rPr>
        <w:t>אויף</w:t>
      </w:r>
      <w:proofErr w:type="spellEnd"/>
      <w:r>
        <w:rPr>
          <w:rtl/>
        </w:rPr>
        <w:t xml:space="preserve"> </w:t>
      </w:r>
      <w:proofErr w:type="spellStart"/>
      <w:r>
        <w:rPr>
          <w:rtl/>
        </w:rPr>
        <w:t>אים</w:t>
      </w:r>
      <w:proofErr w:type="spellEnd"/>
      <w:r>
        <w:rPr>
          <w:rtl/>
        </w:rPr>
        <w:t xml:space="preserve"> – שלא לעשות קידוש בישיבתו </w:t>
      </w:r>
      <w:proofErr w:type="spellStart"/>
      <w:r>
        <w:rPr>
          <w:rtl/>
        </w:rPr>
        <w:t>בלייקווד</w:t>
      </w:r>
      <w:proofErr w:type="spellEnd"/>
      <w:r>
        <w:rPr>
          <w:rtl/>
        </w:rPr>
        <w:t>. ר׳ שניאור התקשר לרבנו לשאול בעצתו, ואבי אמר לו שמאחר שהיום הראשון של ראש השנה חל באותה שנה בשבת ואין תוקעים בשופר, אין בעיה לעשות קידוש לפני מוסף; וביום השני, שחובת תקיעת השופר בו היא מדרבנן בלבד, יש פחות מקום להתנגד לקידוש תחילה</w:t>
      </w:r>
      <w:bookmarkStart w:id="3334" w:name="_fnr2428"/>
      <w:r>
        <w:rPr>
          <w:rStyle w:val="a5"/>
        </w:rPr>
        <w:footnoteReference w:id="2435" w:customMarkFollows="0"/>
      </w:r>
      <w:bookmarkEnd w:id="3334"/>
      <w:r>
        <w:rPr>
          <w:rtl/>
        </w:rPr>
        <w:t xml:space="preserve">. </w:t>
      </w:r>
      <w:r>
        <w:rPr>
          <w:rtl/>
        </w:rPr>
        <w:lastRenderedPageBreak/>
        <w:t xml:space="preserve">בשנה שלאחר מכן כבר לא היה הרב </w:t>
      </w:r>
      <w:proofErr w:type="spellStart"/>
      <w:r>
        <w:rPr>
          <w:rtl/>
        </w:rPr>
        <w:t>הענקין</w:t>
      </w:r>
      <w:proofErr w:type="spellEnd"/>
      <w:r>
        <w:rPr>
          <w:rtl/>
        </w:rPr>
        <w:t xml:space="preserve"> בחיים, ור׳ שניאור יכול היה לקיים את המנהג שהנהיג אביו עם ייסוד בית מדרש גבוה.]</w:t>
      </w:r>
    </w:p>
    <w:p w14:paraId="5AD9DD39" w14:textId="77777777" w:rsidR="00AB3647" w:rsidRDefault="00000000" w:rsidP="007923E9">
      <w:pPr>
        <w:spacing w:after="120" w:line="276" w:lineRule="auto"/>
        <w:ind w:firstLine="283"/>
        <w:jc w:val="both"/>
      </w:pPr>
      <w:r>
        <w:rPr>
          <w:rtl/>
        </w:rPr>
        <w:t>השווה גם “בעקבות היראה”</w:t>
      </w:r>
      <w:bookmarkStart w:id="3335" w:name="_fnr2429"/>
      <w:r>
        <w:rPr>
          <w:rStyle w:val="a5"/>
        </w:rPr>
        <w:footnoteReference w:id="2436" w:customMarkFollows="0"/>
      </w:r>
      <w:bookmarkEnd w:id="3335"/>
      <w:r>
        <w:rPr>
          <w:rtl/>
        </w:rPr>
        <w:t xml:space="preserve">, שבו ניכרים בשיחת הסבא מיום י״ג באלול תרע״ג, כפי שמביא אותה המחבר, הרב קפלן, הדים ממאבקו המתמשך של ר׳ </w:t>
      </w:r>
      <w:proofErr w:type="spellStart"/>
      <w:r>
        <w:rPr>
          <w:rtl/>
        </w:rPr>
        <w:t>נתן־צבי</w:t>
      </w:r>
      <w:proofErr w:type="spellEnd"/>
      <w:r>
        <w:rPr>
          <w:rtl/>
        </w:rPr>
        <w:t xml:space="preserve"> למען המוסר. ייתכן שהסבא נתעורר לעסוק בנושא בשל מחלוקת המוסר המתמשכת בישיבת </w:t>
      </w:r>
      <w:proofErr w:type="spellStart"/>
      <w:r>
        <w:rPr>
          <w:rtl/>
        </w:rPr>
        <w:t>וולוז׳ין</w:t>
      </w:r>
      <w:proofErr w:type="spellEnd"/>
      <w:r>
        <w:rPr>
          <w:rtl/>
        </w:rPr>
        <w:t xml:space="preserve"> המחודשת, שהתחוללה “בשנים תרע״ב–תרע״ג”, לפי “ספר היובל”</w:t>
      </w:r>
      <w:bookmarkStart w:id="3336" w:name="_fnr2430"/>
      <w:r>
        <w:rPr>
          <w:rStyle w:val="a5"/>
        </w:rPr>
        <w:footnoteReference w:id="2437" w:customMarkFollows="0"/>
      </w:r>
      <w:bookmarkEnd w:id="3336"/>
      <w:r>
        <w:rPr>
          <w:rtl/>
        </w:rPr>
        <w:t>.</w:t>
      </w:r>
    </w:p>
    <w:bookmarkStart w:id="3337" w:name="b3_excV"/>
    <w:p w14:paraId="7308C30C" w14:textId="77777777" w:rsidR="00AB3647" w:rsidRDefault="00000000" w:rsidP="007923E9">
      <w:pPr>
        <w:pStyle w:val="3"/>
        <w:spacing w:line="276" w:lineRule="auto"/>
      </w:pPr>
      <w:r>
        <w:lastRenderedPageBreak/>
        <w:fldChar w:fldCharType="begin" w:dirty="true"/>
      </w:r>
      <w:r>
        <w:rPr>
          <w:rtl w:val="0"/>
        </w:rPr>
        <w:instrText>HYPERLINK \l "b3_note65</w:instrText>
      </w:r>
      <w:r>
        <w:instrText>"</w:instrText>
      </w:r>
      <w:r>
        <w:fldChar w:fldCharType="separate"/>
      </w:r>
      <w:r>
        <w:t xml:space="preserve">נספח </w:t>
      </w:r>
      <w:proofErr w:type="spellStart"/>
      <w:r>
        <w:t>כב</w:t>
      </w:r>
      <w:proofErr w:type="spellEnd"/>
      <w:r>
        <w:fldChar w:fldCharType="end"/>
      </w:r>
      <w:bookmarkEnd w:id="3337"/>
    </w:p>
    <w:p w14:paraId="322FA06A" w14:textId="77777777" w:rsidR="00AB3647" w:rsidRDefault="00000000" w:rsidP="007923E9">
      <w:pPr>
        <w:pStyle w:val="af"/>
        <w:spacing w:line="276" w:lineRule="auto"/>
      </w:pPr>
      <w:r>
        <w:t>כיצד רומם הסבא את כבודם של בחורי הישיבות</w:t>
      </w:r>
    </w:p>
    <w:p w14:paraId="6829E27D" w14:textId="77777777" w:rsidR="00AB3647" w:rsidRDefault="00000000" w:rsidP="007923E9">
      <w:pPr>
        <w:pStyle w:val="4"/>
        <w:spacing w:line="276" w:lineRule="auto"/>
      </w:pPr>
      <w:r>
        <w:t>· הפסקה הראשונה ·</w:t>
      </w:r>
    </w:p>
    <w:p w14:paraId="29E2C967" w14:textId="77777777" w:rsidR="00AB3647" w:rsidRDefault="00000000" w:rsidP="007923E9">
      <w:pPr>
        <w:pStyle w:val="5"/>
        <w:spacing w:line="276" w:lineRule="auto"/>
      </w:pPr>
      <w:r>
        <w:t>הסבא מרומם את הערכתם העצמית של התלמידים</w:t>
      </w:r>
    </w:p>
    <w:p w14:paraId="7C552EC9" w14:textId="77777777" w:rsidR="00AB3647" w:rsidRDefault="00000000" w:rsidP="007923E9">
      <w:pPr>
        <w:spacing w:after="120" w:line="276" w:lineRule="auto"/>
        <w:ind w:firstLine="283"/>
        <w:jc w:val="both"/>
      </w:pPr>
      <w:r>
        <w:rPr>
          <w:rtl/>
        </w:rPr>
        <w:t xml:space="preserve">הקורא ימצא עניין בשיחה הבאה, מאחר שהיא ממחישה את גישתו החדשה של הסבא. חזר עליה ר׳ </w:t>
      </w:r>
      <w:proofErr w:type="spellStart"/>
      <w:r>
        <w:rPr>
          <w:rtl/>
        </w:rPr>
        <w:t>בערל־לייב</w:t>
      </w:r>
      <w:proofErr w:type="spellEnd"/>
      <w:r>
        <w:rPr>
          <w:rtl/>
        </w:rPr>
        <w:t xml:space="preserve"> ברזון</w:t>
      </w:r>
      <w:bookmarkStart w:id="3338" w:name="_fnr2431"/>
      <w:r>
        <w:rPr>
          <w:rStyle w:val="a5"/>
        </w:rPr>
        <w:footnoteReference w:id="2438" w:customMarkFollows="0"/>
      </w:r>
      <w:bookmarkEnd w:id="3338"/>
      <w:r>
        <w:rPr>
          <w:rtl/>
        </w:rPr>
        <w:t xml:space="preserve">, לאחר ששמע אותה מפי ר׳ שמואל </w:t>
      </w:r>
      <w:proofErr w:type="spellStart"/>
      <w:r>
        <w:rPr>
          <w:rtl/>
        </w:rPr>
        <w:t>יאלוב</w:t>
      </w:r>
      <w:proofErr w:type="spellEnd"/>
      <w:r>
        <w:rPr>
          <w:rtl/>
        </w:rPr>
        <w:t xml:space="preserve">, תלמיד </w:t>
      </w:r>
      <w:proofErr w:type="spellStart"/>
      <w:r>
        <w:rPr>
          <w:rtl/>
        </w:rPr>
        <w:t>ראדין</w:t>
      </w:r>
      <w:proofErr w:type="spellEnd"/>
      <w:r>
        <w:rPr>
          <w:rtl/>
        </w:rPr>
        <w:t xml:space="preserve"> ואחר כך </w:t>
      </w:r>
      <w:proofErr w:type="spellStart"/>
      <w:r>
        <w:rPr>
          <w:rtl/>
        </w:rPr>
        <w:t>סלבודקה</w:t>
      </w:r>
      <w:proofErr w:type="spellEnd"/>
      <w:r>
        <w:rPr>
          <w:rtl/>
        </w:rPr>
        <w:t>.</w:t>
      </w:r>
    </w:p>
    <w:p w14:paraId="6AF0C1F7" w14:textId="7DD923F8" w:rsidR="00AB3647" w:rsidRDefault="00000000" w:rsidP="007923E9">
      <w:pPr>
        <w:spacing w:after="120" w:line="276" w:lineRule="auto"/>
        <w:ind w:firstLine="283"/>
        <w:jc w:val="both"/>
      </w:pPr>
      <w:r>
        <w:rPr>
          <w:rtl/>
        </w:rPr>
        <w:t xml:space="preserve">הסבא הוכיח תחילה כמה נעלה העולם הנברא, מתוך שהקב״ה עצמו “טרח” לבראו. בפרקו אותו למרכיביו הראה שהיצור המדבר, האדם, הוא נזר הבריאה; מכל המדברים, הנבחר הוא ישראל; בתוך כלל ישראל, המובחרים הם המקדישים עצמם ללימוד התורה; ומתוך מובחרים אלה, תלמיד ישיבת </w:t>
      </w:r>
      <w:proofErr w:type="spellStart"/>
      <w:r>
        <w:rPr>
          <w:rtl/>
        </w:rPr>
        <w:t>סלבודקה</w:t>
      </w:r>
      <w:proofErr w:type="spellEnd"/>
      <w:r>
        <w:rPr>
          <w:rtl/>
        </w:rPr>
        <w:t>, המקדיש עצמו לתורה ולמוסר, הגיע למעלה הגבוהה ביותר. המסקנה הייתה שעל כל אחד משומעיו לשקול כל מעשה ממעשיו, כדי להבטיח שיישמר כבוד מעמדו הנשגב בראש הבריאה. (השווה גם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כיצד יישם ר׳ </w:t>
      </w:r>
      <w:proofErr w:type="spellStart"/>
      <w:r>
        <w:rPr>
          <w:rtl/>
        </w:rPr>
        <w:t>ברוך־בער</w:t>
      </w:r>
      <w:proofErr w:type="spellEnd"/>
      <w:r>
        <w:rPr>
          <w:rtl/>
        </w:rPr>
        <w:t xml:space="preserve"> מהלך זה ביחס לישיבתו, </w:t>
      </w:r>
      <w:proofErr w:type="spellStart"/>
      <w:r>
        <w:rPr>
          <w:rtl/>
        </w:rPr>
        <w:t>קמניץ</w:t>
      </w:r>
      <w:proofErr w:type="spellEnd"/>
      <w:r>
        <w:rPr>
          <w:rtl/>
        </w:rPr>
        <w:t>.)</w:t>
      </w:r>
    </w:p>
    <w:p w14:paraId="314DFEC4" w14:textId="77777777" w:rsidR="00AB3647" w:rsidRDefault="00000000" w:rsidP="007923E9">
      <w:pPr>
        <w:pStyle w:val="4"/>
        <w:spacing w:line="276" w:lineRule="auto"/>
      </w:pPr>
      <w:r>
        <w:t>· הפסקה השנייה ·</w:t>
      </w:r>
    </w:p>
    <w:p w14:paraId="18337D8C" w14:textId="77777777" w:rsidR="00AB3647" w:rsidRDefault="00000000" w:rsidP="007923E9">
      <w:pPr>
        <w:pStyle w:val="5"/>
        <w:spacing w:line="276" w:lineRule="auto"/>
      </w:pPr>
      <w:proofErr w:type="spellStart"/>
      <w:r>
        <w:t>בסלבודקה</w:t>
      </w:r>
      <w:proofErr w:type="spellEnd"/>
      <w:r>
        <w:t xml:space="preserve"> אין מתירים לפתוח חולצה ברבים – מעמד בחורי הישיבות מתרומם </w:t>
      </w:r>
      <w:proofErr w:type="spellStart"/>
      <w:r>
        <w:t>במיר</w:t>
      </w:r>
      <w:proofErr w:type="spellEnd"/>
      <w:r>
        <w:t xml:space="preserve"> – יש המבקרים את דאגת </w:t>
      </w:r>
      <w:proofErr w:type="spellStart"/>
      <w:r>
        <w:t>סלבודקה</w:t>
      </w:r>
      <w:proofErr w:type="spellEnd"/>
      <w:r>
        <w:t xml:space="preserve"> ללבוש – גם ליציבה יש חשיבות בעיני הסבא</w:t>
      </w:r>
    </w:p>
    <w:p w14:paraId="0A641D42" w14:textId="77777777" w:rsidR="00AB3647" w:rsidRDefault="00000000" w:rsidP="007923E9">
      <w:pPr>
        <w:spacing w:after="120" w:line="276" w:lineRule="auto"/>
        <w:ind w:firstLine="283"/>
        <w:jc w:val="both"/>
      </w:pPr>
      <w:r>
        <w:rPr>
          <w:rtl/>
        </w:rPr>
        <w:t xml:space="preserve">אחד המאפיינים המיוחדים של ישיבת </w:t>
      </w:r>
      <w:proofErr w:type="spellStart"/>
      <w:r>
        <w:rPr>
          <w:rtl/>
        </w:rPr>
        <w:t>סלבודקה</w:t>
      </w:r>
      <w:proofErr w:type="spellEnd"/>
      <w:r>
        <w:rPr>
          <w:rtl/>
        </w:rPr>
        <w:t xml:space="preserve"> היה הדגש על לבוש מכובד. הסבא חש שהופעתם הנאה של תלמידי התורה תרומם את כבוד התורה בעיני בעלי הבתים ותעלה את הערכתם העצמית של התלמידים.</w:t>
      </w:r>
    </w:p>
    <w:p w14:paraId="3DC325B3" w14:textId="77777777" w:rsidR="00AB3647" w:rsidRDefault="00000000" w:rsidP="007923E9">
      <w:pPr>
        <w:spacing w:after="120" w:line="276" w:lineRule="auto"/>
        <w:ind w:firstLine="283"/>
        <w:jc w:val="both"/>
      </w:pPr>
      <w:r>
        <w:rPr>
          <w:rtl/>
        </w:rPr>
        <w:t xml:space="preserve">כך, למשל, תלמיד חדש שטרם הגיע לבר מצווה, מרדכי </w:t>
      </w:r>
      <w:proofErr w:type="spellStart"/>
      <w:r>
        <w:rPr>
          <w:rtl/>
        </w:rPr>
        <w:t>קרלינסקי</w:t>
      </w:r>
      <w:bookmarkStart w:id="3339" w:name="_fnr2432"/>
      <w:proofErr w:type="spellEnd"/>
      <w:r>
        <w:rPr>
          <w:rStyle w:val="a5"/>
        </w:rPr>
        <w:footnoteReference w:id="2439" w:customMarkFollows="0"/>
      </w:r>
      <w:bookmarkEnd w:id="3339"/>
      <w:r>
        <w:rPr>
          <w:rtl/>
        </w:rPr>
        <w:t>, פתח את חולצתו והוציא את ציציותיו כדי לנשקן בעת קריאת שמע. לאחר התפילה נזף בו הסבא ואמר לו: “כאן אין עושים כך: לא נאה לפתוח את החולצה ברבים”</w:t>
      </w:r>
      <w:bookmarkStart w:id="3340" w:name="_fnr2433"/>
      <w:r>
        <w:rPr>
          <w:rStyle w:val="a5"/>
        </w:rPr>
        <w:footnoteReference w:id="2440" w:customMarkFollows="0"/>
      </w:r>
      <w:bookmarkEnd w:id="3340"/>
      <w:r>
        <w:rPr>
          <w:rtl/>
        </w:rPr>
        <w:t xml:space="preserve">. אבא ז״ל לא התיר להשאיר חוץ מהשרוול של המעיל את היד השמאלית העטורה בתפילין של יד, כי אז נראה האדם מרושל בבגדיו. ופעם השים אבא ז״ל את לבי למה שנמצא במעדני יו״ט על </w:t>
      </w:r>
      <w:proofErr w:type="spellStart"/>
      <w:r>
        <w:rPr>
          <w:rtl/>
        </w:rPr>
        <w:t>הרא״ש</w:t>
      </w:r>
      <w:proofErr w:type="spellEnd"/>
      <w:r>
        <w:rPr>
          <w:rtl/>
        </w:rPr>
        <w:t xml:space="preserve"> פ״ב </w:t>
      </w:r>
      <w:proofErr w:type="spellStart"/>
      <w:r>
        <w:rPr>
          <w:rtl/>
        </w:rPr>
        <w:t>דברכות</w:t>
      </w:r>
      <w:proofErr w:type="spellEnd"/>
      <w:r>
        <w:rPr>
          <w:rtl/>
        </w:rPr>
        <w:t xml:space="preserve"> אות ג׳ סוף </w:t>
      </w:r>
      <w:proofErr w:type="spellStart"/>
      <w:r>
        <w:rPr>
          <w:rtl/>
        </w:rPr>
        <w:t>ס״ק</w:t>
      </w:r>
      <w:proofErr w:type="spellEnd"/>
      <w:r>
        <w:rPr>
          <w:rtl/>
        </w:rPr>
        <w:t xml:space="preserve"> נ׳ בטעם למה מכסים את העיניים בקריאת “שמע ישראל </w:t>
      </w:r>
      <w:proofErr w:type="spellStart"/>
      <w:r>
        <w:rPr>
          <w:rtl/>
        </w:rPr>
        <w:t>וכו</w:t>
      </w:r>
      <w:proofErr w:type="spellEnd"/>
      <w:r>
        <w:rPr>
          <w:rtl/>
        </w:rPr>
        <w:t xml:space="preserve">׳” והוא מפני שעל ידי </w:t>
      </w:r>
      <w:proofErr w:type="spellStart"/>
      <w:r>
        <w:rPr>
          <w:rtl/>
        </w:rPr>
        <w:t>העויה</w:t>
      </w:r>
      <w:proofErr w:type="spellEnd"/>
      <w:r>
        <w:rPr>
          <w:rtl/>
        </w:rPr>
        <w:t xml:space="preserve"> של גלגול עיניים הוא יתגנה בפני בני אדם.</w:t>
      </w:r>
    </w:p>
    <w:p w14:paraId="028A0AC4" w14:textId="77777777" w:rsidR="00AB3647" w:rsidRDefault="00000000" w:rsidP="007923E9">
      <w:pPr>
        <w:spacing w:after="120" w:line="276" w:lineRule="auto"/>
        <w:ind w:firstLine="283"/>
        <w:jc w:val="both"/>
      </w:pPr>
      <w:r>
        <w:rPr>
          <w:rtl/>
        </w:rPr>
        <w:lastRenderedPageBreak/>
        <w:t>ר׳ אלעזר לנגזם</w:t>
      </w:r>
      <w:bookmarkStart w:id="3341" w:name="_fnr2434"/>
      <w:r>
        <w:rPr>
          <w:rStyle w:val="a5"/>
        </w:rPr>
        <w:footnoteReference w:id="2441" w:customMarkFollows="0"/>
      </w:r>
      <w:bookmarkEnd w:id="3341"/>
      <w:r>
        <w:rPr>
          <w:rtl/>
        </w:rPr>
        <w:t xml:space="preserve"> סיפר שסבו ר׳ משה גורביץ, שלמד </w:t>
      </w:r>
      <w:proofErr w:type="spellStart"/>
      <w:r>
        <w:rPr>
          <w:rtl/>
        </w:rPr>
        <w:t>בסלבודקה</w:t>
      </w:r>
      <w:proofErr w:type="spellEnd"/>
      <w:r>
        <w:rPr>
          <w:rtl/>
        </w:rPr>
        <w:t>, נכנס פעם לבית המדרש כשבמעילו חסר כפתור, והסבא אמר לו: “עשה לי טובה: אל תבוא לישיבה עד שתתקן את המעיל.” לפי כץ, “תנועת המוסר”, כרך ג</w:t>
      </w:r>
      <w:bookmarkStart w:id="3342" w:name="_fnr2435"/>
      <w:r>
        <w:rPr>
          <w:rStyle w:val="a5"/>
        </w:rPr>
        <w:footnoteReference w:id="2442" w:customMarkFollows="0"/>
      </w:r>
      <w:bookmarkEnd w:id="3342"/>
      <w:r>
        <w:rPr>
          <w:rtl/>
        </w:rPr>
        <w:t xml:space="preserve">, “הישיבה שכרה חייט בשנותיה הראשונות [?] כדי לתקן את בגדי התלמידים. לפעמים ר׳ </w:t>
      </w:r>
      <w:proofErr w:type="spellStart"/>
      <w:r>
        <w:rPr>
          <w:rtl/>
        </w:rPr>
        <w:t>נתן־צבי</w:t>
      </w:r>
      <w:proofErr w:type="spellEnd"/>
      <w:r>
        <w:rPr>
          <w:rtl/>
        </w:rPr>
        <w:t xml:space="preserve"> עצמו היה מלווה תלמיד אל החייט כדי לוודא שהתפירה תיעשה בקפידה. פעם, כשתלמיד הופיע בבגד שחסר בו כפתור, ניגש אליו ר׳ </w:t>
      </w:r>
      <w:proofErr w:type="spellStart"/>
      <w:r>
        <w:rPr>
          <w:rtl/>
        </w:rPr>
        <w:t>נתן־צבי</w:t>
      </w:r>
      <w:proofErr w:type="spellEnd"/>
      <w:r>
        <w:rPr>
          <w:rtl/>
        </w:rPr>
        <w:t xml:space="preserve"> ובידו מחט וחוט לתפור לו כפתור.”</w:t>
      </w:r>
    </w:p>
    <w:p w14:paraId="04CBA04D" w14:textId="0E45E93E" w:rsidR="00AB3647" w:rsidRDefault="00000000" w:rsidP="007923E9">
      <w:pPr>
        <w:spacing w:after="120" w:line="276" w:lineRule="auto"/>
        <w:ind w:firstLine="283"/>
        <w:jc w:val="both"/>
      </w:pPr>
      <w:r>
        <w:rPr>
          <w:rtl/>
        </w:rPr>
        <w:t xml:space="preserve">השווה גם פרק 5,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שבו מוסברת תכלית גילוחם של תלמידי </w:t>
      </w:r>
      <w:proofErr w:type="spellStart"/>
      <w:r>
        <w:rPr>
          <w:rtl/>
        </w:rPr>
        <w:t>סלבודקה</w:t>
      </w:r>
      <w:proofErr w:type="spellEnd"/>
      <w:r>
        <w:rPr>
          <w:rtl/>
        </w:rPr>
        <w:t xml:space="preserve"> כהשגת אותה מטרה. אבל הסתייגותו של הסבא מהופעה מרושלת מוסברת שם בדרך אחרת, באמצעות דבריו: “חור בשרוול הוא חור בראש; כובע מקומט ובלוי מעיד על מוח מבולבל.” לפי זה, לסדר ולהופעה הנאה יש חשיבות עצמית, ולא רק כאמצעי לעורר את הערכת המתבונן.</w:t>
      </w:r>
    </w:p>
    <w:p w14:paraId="12D16C11" w14:textId="77777777" w:rsidR="00AB3647" w:rsidRDefault="00000000" w:rsidP="007923E9">
      <w:pPr>
        <w:spacing w:after="120" w:line="276" w:lineRule="auto"/>
        <w:ind w:firstLine="283"/>
        <w:jc w:val="both"/>
      </w:pPr>
      <w:r>
        <w:rPr>
          <w:rtl/>
        </w:rPr>
        <w:t xml:space="preserve">ר׳ משה </w:t>
      </w:r>
      <w:proofErr w:type="spellStart"/>
      <w:r>
        <w:rPr>
          <w:rtl/>
        </w:rPr>
        <w:t>קרלינסקי</w:t>
      </w:r>
      <w:bookmarkStart w:id="3343" w:name="_fnr2436"/>
      <w:proofErr w:type="spellEnd"/>
      <w:r>
        <w:rPr>
          <w:rStyle w:val="a5"/>
        </w:rPr>
        <w:footnoteReference w:id="2443" w:customMarkFollows="0"/>
      </w:r>
      <w:bookmarkEnd w:id="3343"/>
      <w:r>
        <w:rPr>
          <w:rtl/>
        </w:rPr>
        <w:t xml:space="preserve"> מסר כיצד בואם </w:t>
      </w:r>
      <w:proofErr w:type="spellStart"/>
      <w:r>
        <w:rPr>
          <w:rtl/>
        </w:rPr>
        <w:t>למיר</w:t>
      </w:r>
      <w:bookmarkStart w:id="3344" w:name="_fnr2437"/>
      <w:proofErr w:type="spellEnd"/>
      <w:r>
        <w:rPr>
          <w:rStyle w:val="a5"/>
        </w:rPr>
        <w:footnoteReference w:id="2444" w:customMarkFollows="0"/>
      </w:r>
      <w:bookmarkEnd w:id="3344"/>
      <w:r>
        <w:rPr>
          <w:rtl/>
        </w:rPr>
        <w:t xml:space="preserve"> של עשרה תלמידי </w:t>
      </w:r>
      <w:proofErr w:type="spellStart"/>
      <w:r>
        <w:rPr>
          <w:rtl/>
        </w:rPr>
        <w:t>סלבודקה</w:t>
      </w:r>
      <w:proofErr w:type="spellEnd"/>
      <w:r>
        <w:rPr>
          <w:rtl/>
        </w:rPr>
        <w:t xml:space="preserve"> </w:t>
      </w:r>
      <w:proofErr w:type="spellStart"/>
      <w:r>
        <w:rPr>
          <w:rtl/>
        </w:rPr>
        <w:t>בתרס״ה</w:t>
      </w:r>
      <w:proofErr w:type="spellEnd"/>
      <w:r>
        <w:rPr>
          <w:rtl/>
        </w:rPr>
        <w:t xml:space="preserve"> – ובהם ר׳ אייזיק שר ור׳ </w:t>
      </w:r>
      <w:proofErr w:type="spellStart"/>
      <w:r>
        <w:rPr>
          <w:rtl/>
        </w:rPr>
        <w:t>יחיאל־יעקב</w:t>
      </w:r>
      <w:proofErr w:type="spellEnd"/>
      <w:r>
        <w:rPr>
          <w:rtl/>
        </w:rPr>
        <w:t xml:space="preserve"> ויינברג – שיפר באורח ניכר את יחסם של בני העיר לבחורי ישיבות, בשל לבושם והופעתם של הבאים. הם באו כדי להצטרף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חתנו החדש של רבה וראש ישיבתה של </w:t>
      </w:r>
      <w:proofErr w:type="spellStart"/>
      <w:r>
        <w:rPr>
          <w:rtl/>
        </w:rPr>
        <w:t>מיר</w:t>
      </w:r>
      <w:proofErr w:type="spellEnd"/>
      <w:r>
        <w:rPr>
          <w:rtl/>
        </w:rPr>
        <w:t xml:space="preserve">, ר׳ </w:t>
      </w:r>
      <w:proofErr w:type="spellStart"/>
      <w:r>
        <w:rPr>
          <w:rtl/>
        </w:rPr>
        <w:t>אליהו־ברוך</w:t>
      </w:r>
      <w:proofErr w:type="spellEnd"/>
      <w:r>
        <w:rPr>
          <w:rtl/>
        </w:rPr>
        <w:t xml:space="preserve"> קמאי.</w:t>
      </w:r>
    </w:p>
    <w:p w14:paraId="072B743A" w14:textId="77777777" w:rsidR="00AB3647" w:rsidRDefault="00000000" w:rsidP="007923E9">
      <w:pPr>
        <w:spacing w:after="120" w:line="276" w:lineRule="auto"/>
        <w:ind w:firstLine="283"/>
        <w:jc w:val="both"/>
      </w:pPr>
      <w:r>
        <w:rPr>
          <w:rtl/>
        </w:rPr>
        <w:t xml:space="preserve">את הדבר סיפר לו קרוב משפחה שהתגורר </w:t>
      </w:r>
      <w:proofErr w:type="spellStart"/>
      <w:r>
        <w:rPr>
          <w:rtl/>
        </w:rPr>
        <w:t>במיר</w:t>
      </w:r>
      <w:proofErr w:type="spellEnd"/>
      <w:r>
        <w:rPr>
          <w:rtl/>
        </w:rPr>
        <w:t>. הציבור הכללי ראה את התלמידים החדשים בעין טובה. אבל באשר לממונים הרשמיים, סיפר ר׳ מאיר ליברמן</w:t>
      </w:r>
      <w:bookmarkStart w:id="3345" w:name="_fnr2438"/>
      <w:r>
        <w:rPr>
          <w:rStyle w:val="a5"/>
        </w:rPr>
        <w:footnoteReference w:id="2445" w:customMarkFollows="0"/>
      </w:r>
      <w:bookmarkEnd w:id="3345"/>
      <w:r>
        <w:rPr>
          <w:rtl/>
        </w:rPr>
        <w:t xml:space="preserve"> את הידיעה המדהימה שנדרשו לשכור קצבים תקיפים שיבקרו אצל הגבאים ויאלצו אותם בכוח לוותר על שליטתם בישיבה</w:t>
      </w:r>
      <w:bookmarkStart w:id="3346" w:name="_fnr2439"/>
      <w:r>
        <w:rPr>
          <w:rStyle w:val="a5"/>
        </w:rPr>
        <w:footnoteReference w:id="2446" w:customMarkFollows="0"/>
      </w:r>
      <w:bookmarkEnd w:id="3346"/>
      <w:r>
        <w:rPr>
          <w:rtl/>
        </w:rPr>
        <w:t>.</w:t>
      </w:r>
    </w:p>
    <w:p w14:paraId="2916982C" w14:textId="77777777" w:rsidR="00AB3647" w:rsidRDefault="00000000" w:rsidP="007923E9">
      <w:pPr>
        <w:spacing w:after="120" w:line="276" w:lineRule="auto"/>
        <w:ind w:firstLine="283"/>
        <w:jc w:val="both"/>
      </w:pPr>
      <w:r>
        <w:rPr>
          <w:rtl/>
        </w:rPr>
        <w:t>סיפור שסיפר ר׳ אלי׳ שווי</w:t>
      </w:r>
      <w:bookmarkStart w:id="3347" w:name="_fnr2440"/>
      <w:r>
        <w:rPr>
          <w:rStyle w:val="a5"/>
        </w:rPr>
        <w:footnoteReference w:id="2447" w:customMarkFollows="0"/>
      </w:r>
      <w:bookmarkEnd w:id="3347"/>
      <w:r>
        <w:rPr>
          <w:rtl/>
        </w:rPr>
        <w:t xml:space="preserve"> ממחיש כיצד נודעה ישיבת </w:t>
      </w:r>
      <w:proofErr w:type="spellStart"/>
      <w:r>
        <w:rPr>
          <w:rtl/>
        </w:rPr>
        <w:t>סלבודקה</w:t>
      </w:r>
      <w:proofErr w:type="spellEnd"/>
      <w:r>
        <w:rPr>
          <w:rtl/>
        </w:rPr>
        <w:t xml:space="preserve"> – לטוב או לרע – בהקפדתה על לבוש נאה. לאחר פסח תש״ג, כשעמד ר׳ אליהו לעבור ממתיבתא תורה ודעת לבית מדרש גבוה של ר׳ אהרן קוטלר </w:t>
      </w:r>
      <w:proofErr w:type="spellStart"/>
      <w:r>
        <w:rPr>
          <w:rtl/>
        </w:rPr>
        <w:t>בלייקווד</w:t>
      </w:r>
      <w:proofErr w:type="spellEnd"/>
      <w:r>
        <w:rPr>
          <w:rtl/>
        </w:rPr>
        <w:t xml:space="preserve">, הלך להיפרד מראש ישיבתו ר׳ שלמה היימן, והלה אמר לו: “כשרציתי לעבור מישיבתו של ר׳ </w:t>
      </w:r>
      <w:proofErr w:type="spellStart"/>
      <w:r>
        <w:rPr>
          <w:rtl/>
        </w:rPr>
        <w:t>ברוך־בער</w:t>
      </w:r>
      <w:proofErr w:type="spellEnd"/>
      <w:r>
        <w:rPr>
          <w:rtl/>
        </w:rPr>
        <w:t xml:space="preserve"> </w:t>
      </w:r>
      <w:proofErr w:type="spellStart"/>
      <w:r>
        <w:rPr>
          <w:rtl/>
        </w:rPr>
        <w:t>ליבוביץ</w:t>
      </w:r>
      <w:proofErr w:type="spellEnd"/>
      <w:r>
        <w:rPr>
          <w:rtl/>
        </w:rPr>
        <w:t xml:space="preserve"> </w:t>
      </w:r>
      <w:proofErr w:type="spellStart"/>
      <w:r>
        <w:rPr>
          <w:rtl/>
        </w:rPr>
        <w:t>בהלוסק</w:t>
      </w:r>
      <w:proofErr w:type="spellEnd"/>
      <w:r>
        <w:rPr>
          <w:rtl/>
        </w:rPr>
        <w:t xml:space="preserve"> לכנסת ישראל </w:t>
      </w:r>
      <w:proofErr w:type="spellStart"/>
      <w:r>
        <w:rPr>
          <w:rtl/>
        </w:rPr>
        <w:t>שבסלבודקה</w:t>
      </w:r>
      <w:proofErr w:type="spellEnd"/>
      <w:r>
        <w:rPr>
          <w:rtl/>
        </w:rPr>
        <w:t xml:space="preserve"> לפני יותר מארבעים שנה, שאל אותי רבי: ‘מה ראית </w:t>
      </w:r>
      <w:proofErr w:type="spellStart"/>
      <w:r>
        <w:rPr>
          <w:rtl/>
        </w:rPr>
        <w:t>בסלבודקה</w:t>
      </w:r>
      <w:proofErr w:type="spellEnd"/>
      <w:r>
        <w:rPr>
          <w:rtl/>
        </w:rPr>
        <w:t xml:space="preserve"> [שאין לך כאן]: את שעוני הזהב ואת מקלות ההליכה?’ ושיניתי את תוכניותיי”</w:t>
      </w:r>
      <w:bookmarkStart w:id="3348" w:name="_fnr2441"/>
      <w:r>
        <w:rPr>
          <w:rStyle w:val="a5"/>
        </w:rPr>
        <w:footnoteReference w:id="2448" w:customMarkFollows="0"/>
      </w:r>
      <w:bookmarkEnd w:id="3348"/>
      <w:r>
        <w:rPr>
          <w:rtl/>
        </w:rPr>
        <w:t>.</w:t>
      </w:r>
    </w:p>
    <w:p w14:paraId="62D88991" w14:textId="77777777" w:rsidR="00AB3647" w:rsidRDefault="00000000" w:rsidP="007923E9">
      <w:pPr>
        <w:spacing w:after="120" w:line="276" w:lineRule="auto"/>
        <w:ind w:firstLine="283"/>
        <w:jc w:val="both"/>
      </w:pPr>
      <w:proofErr w:type="spellStart"/>
      <w:r>
        <w:rPr>
          <w:rtl/>
        </w:rPr>
        <w:lastRenderedPageBreak/>
        <w:t>רישל</w:t>
      </w:r>
      <w:proofErr w:type="spellEnd"/>
      <w:r>
        <w:rPr>
          <w:rtl/>
        </w:rPr>
        <w:t xml:space="preserve"> קוטלר הראתה לי</w:t>
      </w:r>
      <w:bookmarkStart w:id="3349" w:name="_fnr2442"/>
      <w:r>
        <w:rPr>
          <w:rStyle w:val="a5"/>
        </w:rPr>
        <w:footnoteReference w:id="2449" w:customMarkFollows="0"/>
      </w:r>
      <w:bookmarkEnd w:id="3349"/>
      <w:r>
        <w:rPr>
          <w:rtl/>
        </w:rPr>
        <w:t xml:space="preserve"> מכתבים ששלח ר׳ </w:t>
      </w:r>
      <w:proofErr w:type="spellStart"/>
      <w:r>
        <w:rPr>
          <w:rtl/>
        </w:rPr>
        <w:t>אברהם־אליהו</w:t>
      </w:r>
      <w:proofErr w:type="spellEnd"/>
      <w:r>
        <w:rPr>
          <w:rtl/>
        </w:rPr>
        <w:t xml:space="preserve"> קפלן לאביה ר׳ </w:t>
      </w:r>
      <w:proofErr w:type="spellStart"/>
      <w:r>
        <w:rPr>
          <w:rtl/>
        </w:rPr>
        <w:t>אריה־מלכיאל</w:t>
      </w:r>
      <w:proofErr w:type="spellEnd"/>
      <w:r>
        <w:rPr>
          <w:rtl/>
        </w:rPr>
        <w:t xml:space="preserve"> פרידמן</w:t>
      </w:r>
      <w:bookmarkStart w:id="3350" w:name="_fnr2443"/>
      <w:r>
        <w:rPr>
          <w:rStyle w:val="a5"/>
        </w:rPr>
        <w:footnoteReference w:id="2450" w:customMarkFollows="0"/>
      </w:r>
      <w:bookmarkEnd w:id="3350"/>
      <w:r>
        <w:rPr>
          <w:rtl/>
        </w:rPr>
        <w:t>. באחד מהם התנצל על שכתב בצדו האחורי של נייר מכתבים, והסביר: “</w:t>
      </w:r>
      <w:proofErr w:type="spellStart"/>
      <w:r>
        <w:rPr>
          <w:rtl/>
        </w:rPr>
        <w:t>הסלבודקאים</w:t>
      </w:r>
      <w:proofErr w:type="spellEnd"/>
      <w:r>
        <w:rPr>
          <w:rtl/>
        </w:rPr>
        <w:t xml:space="preserve"> אמנם מקפידים ביותר על חיצוניות – </w:t>
      </w:r>
      <w:r>
        <w:rPr>
          <w:b/>
          <w:bCs/>
          <w:rtl/>
        </w:rPr>
        <w:t>כמו קלם, חלילה</w:t>
      </w:r>
      <w:r>
        <w:rPr>
          <w:rtl/>
        </w:rPr>
        <w:t xml:space="preserve"> (ההדגשה שלי) – והעיקר הוא הפנימיות.” נראה שההערה המודגשת חושפת את מקור עמידתו של הסבא על הופעה מכובדת – השפעת רבו, ר׳ </w:t>
      </w:r>
      <w:proofErr w:type="spellStart"/>
      <w:r>
        <w:rPr>
          <w:rtl/>
        </w:rPr>
        <w:t>שמחה־זיסל</w:t>
      </w:r>
      <w:proofErr w:type="spellEnd"/>
      <w:r>
        <w:rPr>
          <w:rtl/>
        </w:rPr>
        <w:t>.</w:t>
      </w:r>
    </w:p>
    <w:p w14:paraId="28225D00" w14:textId="77777777" w:rsidR="00AB3647" w:rsidRDefault="00000000" w:rsidP="007923E9">
      <w:pPr>
        <w:spacing w:after="120" w:line="276" w:lineRule="auto"/>
        <w:ind w:firstLine="283"/>
        <w:jc w:val="both"/>
      </w:pPr>
      <w:r>
        <w:rPr>
          <w:rtl/>
        </w:rPr>
        <w:t>כץ</w:t>
      </w:r>
      <w:bookmarkStart w:id="3351" w:name="_fnr2444"/>
      <w:r>
        <w:rPr>
          <w:rStyle w:val="a5"/>
        </w:rPr>
        <w:footnoteReference w:id="2451" w:customMarkFollows="0"/>
      </w:r>
      <w:bookmarkEnd w:id="3351"/>
      <w:r>
        <w:rPr>
          <w:rtl/>
        </w:rPr>
        <w:t xml:space="preserve"> מציין שהסבא השגיח גם על יציבת תלמידיו, ודרש שיעמדו זקופים</w:t>
      </w:r>
      <w:bookmarkStart w:id="3352" w:name="_fnr2445"/>
      <w:r>
        <w:rPr>
          <w:rStyle w:val="a5"/>
        </w:rPr>
        <w:footnoteReference w:id="2452" w:customMarkFollows="0"/>
      </w:r>
      <w:bookmarkEnd w:id="3352"/>
      <w:r>
        <w:rPr>
          <w:rtl/>
        </w:rPr>
        <w:t>. ר׳ שמואל כץ סיפר לי</w:t>
      </w:r>
      <w:bookmarkStart w:id="3353" w:name="_fnr2446"/>
      <w:r>
        <w:rPr>
          <w:rStyle w:val="a5"/>
        </w:rPr>
        <w:footnoteReference w:id="2453" w:customMarkFollows="0"/>
      </w:r>
      <w:bookmarkEnd w:id="3353"/>
      <w:r>
        <w:rPr>
          <w:rtl/>
        </w:rPr>
        <w:t xml:space="preserve"> שר׳ יחזקאל </w:t>
      </w:r>
      <w:proofErr w:type="spellStart"/>
      <w:r>
        <w:rPr>
          <w:rtl/>
        </w:rPr>
        <w:t>ברשטיין</w:t>
      </w:r>
      <w:bookmarkStart w:id="3354" w:name="_fnr2447"/>
      <w:proofErr w:type="spellEnd"/>
      <w:r>
        <w:rPr>
          <w:rStyle w:val="a5"/>
        </w:rPr>
        <w:footnoteReference w:id="2454" w:customMarkFollows="0"/>
      </w:r>
      <w:bookmarkEnd w:id="3354"/>
      <w:r>
        <w:rPr>
          <w:rtl/>
        </w:rPr>
        <w:t xml:space="preserve">, שאצלו למד בישיבה הקטנה אור ישראל </w:t>
      </w:r>
      <w:proofErr w:type="spellStart"/>
      <w:r>
        <w:rPr>
          <w:rtl/>
        </w:rPr>
        <w:t>בסלבודקה</w:t>
      </w:r>
      <w:proofErr w:type="spellEnd"/>
      <w:r>
        <w:rPr>
          <w:rtl/>
        </w:rPr>
        <w:t xml:space="preserve">, סיפר לו שר׳ ראובן </w:t>
      </w:r>
      <w:proofErr w:type="spellStart"/>
      <w:r>
        <w:rPr>
          <w:rtl/>
        </w:rPr>
        <w:t>גרוזובסקי</w:t>
      </w:r>
      <w:proofErr w:type="spellEnd"/>
      <w:r>
        <w:rPr>
          <w:rtl/>
        </w:rPr>
        <w:t xml:space="preserve"> עמד כפוף.</w:t>
      </w:r>
    </w:p>
    <w:p w14:paraId="49569893" w14:textId="77777777" w:rsidR="00AB3647" w:rsidRDefault="00000000" w:rsidP="007923E9">
      <w:pPr>
        <w:spacing w:after="120" w:line="276" w:lineRule="auto"/>
        <w:ind w:firstLine="283"/>
        <w:jc w:val="both"/>
      </w:pPr>
      <w:r>
        <w:rPr>
          <w:rtl/>
        </w:rPr>
        <w:t>לאחר כמה ניסיונות שלא צלחו להביאו לשפר את יציבתו, הורה לו הסבא להרכיב משקפי צבט, שיאלצו אותו לעמוד זקוף לגמרי כדי שלא יישמטו מעל אפו.</w:t>
      </w:r>
    </w:p>
    <w:p w14:paraId="1A28157F" w14:textId="77777777" w:rsidR="00AB3647" w:rsidRDefault="00000000" w:rsidP="007923E9">
      <w:pPr>
        <w:pStyle w:val="4"/>
        <w:spacing w:line="276" w:lineRule="auto"/>
      </w:pPr>
      <w:r>
        <w:t>· הפסקה השלישית ·</w:t>
      </w:r>
    </w:p>
    <w:p w14:paraId="0ECD77AA" w14:textId="77777777" w:rsidR="00AB3647" w:rsidRDefault="00000000" w:rsidP="007923E9">
      <w:pPr>
        <w:pStyle w:val="5"/>
        <w:spacing w:line="276" w:lineRule="auto"/>
      </w:pPr>
      <w:r>
        <w:t>ר׳ מאיר חדש מסביר כיצד מתפתחת תמונה שלמה של מושג במוחות התלמידים</w:t>
      </w:r>
    </w:p>
    <w:p w14:paraId="7B747604" w14:textId="77777777" w:rsidR="00AB3647" w:rsidRDefault="00000000" w:rsidP="007923E9">
      <w:pPr>
        <w:spacing w:after="120" w:line="276" w:lineRule="auto"/>
        <w:ind w:firstLine="283"/>
        <w:jc w:val="both"/>
      </w:pPr>
      <w:r>
        <w:rPr>
          <w:rtl/>
        </w:rPr>
        <w:t xml:space="preserve">“המאיר – ספר </w:t>
      </w:r>
      <w:proofErr w:type="spellStart"/>
      <w:r>
        <w:rPr>
          <w:rtl/>
        </w:rPr>
        <w:t>זכרון</w:t>
      </w:r>
      <w:proofErr w:type="spellEnd"/>
      <w:r>
        <w:rPr>
          <w:rtl/>
        </w:rPr>
        <w:t>”</w:t>
      </w:r>
      <w:bookmarkStart w:id="3355" w:name="_fnr2448"/>
      <w:r>
        <w:rPr>
          <w:rStyle w:val="a5"/>
        </w:rPr>
        <w:footnoteReference w:id="2455" w:customMarkFollows="0"/>
      </w:r>
      <w:bookmarkEnd w:id="3355"/>
      <w:r>
        <w:rPr>
          <w:rtl/>
        </w:rPr>
        <w:t xml:space="preserve"> מספר שכאשר ביקר הסבא אצל תלמידו ר׳ </w:t>
      </w:r>
      <w:proofErr w:type="spellStart"/>
      <w:r>
        <w:rPr>
          <w:rtl/>
        </w:rPr>
        <w:t>יחיאל־יעקב</w:t>
      </w:r>
      <w:proofErr w:type="spellEnd"/>
      <w:r>
        <w:rPr>
          <w:rtl/>
        </w:rPr>
        <w:t xml:space="preserve"> ויינברג בברלין, בלוויית תלמיד אחר מתקופה מאוחרת יותר, ר׳ מאיר חדש – ודאי אירע הדבר במחצית הראשונה של שנות </w:t>
      </w:r>
      <w:proofErr w:type="spellStart"/>
      <w:r>
        <w:rPr>
          <w:rtl/>
        </w:rPr>
        <w:t>התר״פ</w:t>
      </w:r>
      <w:proofErr w:type="spellEnd"/>
      <w:r>
        <w:rPr>
          <w:rtl/>
        </w:rPr>
        <w:t xml:space="preserve"> – שאל ר׳ </w:t>
      </w:r>
      <w:proofErr w:type="spellStart"/>
      <w:r>
        <w:rPr>
          <w:rtl/>
        </w:rPr>
        <w:t>יחיאל־יעקב</w:t>
      </w:r>
      <w:proofErr w:type="spellEnd"/>
      <w:r>
        <w:rPr>
          <w:rtl/>
        </w:rPr>
        <w:t xml:space="preserve"> מדוע יש לתלמידי </w:t>
      </w:r>
      <w:proofErr w:type="spellStart"/>
      <w:r>
        <w:rPr>
          <w:rtl/>
        </w:rPr>
        <w:t>סלבודקה</w:t>
      </w:r>
      <w:proofErr w:type="spellEnd"/>
      <w:r>
        <w:rPr>
          <w:rtl/>
        </w:rPr>
        <w:t xml:space="preserve"> מעט מאוד לומר כשהם באים לעירו והוא מבקש מהם לחזור על דברי רבם בשיחותיו, “והוא יודע שהסבא דורש מוסר יומם ולילה”. ברשות הסבא התנדב ר׳ מאיר להשיב, ואמר </w:t>
      </w:r>
      <w:proofErr w:type="spellStart"/>
      <w:r>
        <w:rPr>
          <w:rtl/>
        </w:rPr>
        <w:t>לר</w:t>
      </w:r>
      <w:proofErr w:type="spellEnd"/>
      <w:r>
        <w:rPr>
          <w:rtl/>
        </w:rPr>
        <w:t xml:space="preserve">׳ </w:t>
      </w:r>
      <w:proofErr w:type="spellStart"/>
      <w:r>
        <w:rPr>
          <w:rtl/>
        </w:rPr>
        <w:t>יחיאל־יעקב</w:t>
      </w:r>
      <w:proofErr w:type="spellEnd"/>
      <w:r>
        <w:rPr>
          <w:rtl/>
        </w:rPr>
        <w:t>: “כשבחור חוזר על מאמר חז״ל שהמלאכים [התרשמו כל כך מאדם הראשון לפני החטא עד ש]ביקשו לומר לפניו ‘קדוש’</w:t>
      </w:r>
      <w:bookmarkStart w:id="3356" w:name="_fnr2449"/>
      <w:r>
        <w:rPr>
          <w:rStyle w:val="a5"/>
        </w:rPr>
        <w:footnoteReference w:id="2456" w:customMarkFollows="0"/>
      </w:r>
      <w:bookmarkEnd w:id="3356"/>
      <w:r>
        <w:rPr>
          <w:rtl/>
        </w:rPr>
        <w:t xml:space="preserve"> – והתלמיד אומר זאת כדבר פשוט – הוא רואה זאת כך רק מכוח השפעתן של שיחות רבות, שהחדירו מושג זה למוחו של הבחור. נמצא שהתלמידים חוזרים בפניך לא על שיחה אחת, אלא על שיחות רבות.”</w:t>
      </w:r>
    </w:p>
    <w:p w14:paraId="3DE07FAC" w14:textId="77777777" w:rsidR="00AB3647" w:rsidRDefault="00000000" w:rsidP="007923E9">
      <w:pPr>
        <w:spacing w:after="120" w:line="276" w:lineRule="auto"/>
        <w:ind w:firstLine="283"/>
        <w:jc w:val="both"/>
      </w:pPr>
      <w:r>
        <w:rPr>
          <w:rtl/>
        </w:rPr>
        <w:t xml:space="preserve">אז שאל ר׳ מאיר את ר׳ </w:t>
      </w:r>
      <w:proofErr w:type="spellStart"/>
      <w:r>
        <w:rPr>
          <w:rtl/>
        </w:rPr>
        <w:t>יחיאל־יעקב</w:t>
      </w:r>
      <w:proofErr w:type="spellEnd"/>
      <w:r>
        <w:rPr>
          <w:rtl/>
        </w:rPr>
        <w:t xml:space="preserve"> ויינברג שאלה משלו: האם הבחין שתלמידי </w:t>
      </w:r>
      <w:proofErr w:type="spellStart"/>
      <w:r>
        <w:rPr>
          <w:rtl/>
        </w:rPr>
        <w:t>סלבודקה</w:t>
      </w:r>
      <w:proofErr w:type="spellEnd"/>
      <w:r>
        <w:rPr>
          <w:rtl/>
        </w:rPr>
        <w:t xml:space="preserve"> המבקרים אצלו “שונים מבחורי ישיבות אחרים”? ר׳ </w:t>
      </w:r>
      <w:proofErr w:type="spellStart"/>
      <w:r>
        <w:rPr>
          <w:rtl/>
        </w:rPr>
        <w:t>יחיאל־יעקב</w:t>
      </w:r>
      <w:proofErr w:type="spellEnd"/>
      <w:r>
        <w:rPr>
          <w:rtl/>
        </w:rPr>
        <w:t xml:space="preserve"> השיב: “בהחלט”, ור׳ מאיר אמר: “גם זה פועלן של שיחות רבות.”</w:t>
      </w:r>
    </w:p>
    <w:bookmarkStart w:id="3357" w:name="b3_excW"/>
    <w:p w14:paraId="688ECC03" w14:textId="77777777" w:rsidR="00AB3647" w:rsidRDefault="00000000" w:rsidP="007923E9">
      <w:pPr>
        <w:pStyle w:val="3"/>
        <w:spacing w:line="276" w:lineRule="auto"/>
      </w:pPr>
      <w:r>
        <w:lastRenderedPageBreak/>
        <w:fldChar w:fldCharType="begin" w:dirty="true"/>
      </w:r>
      <w:r>
        <w:rPr>
          <w:rtl w:val="0"/>
        </w:rPr>
        <w:instrText>HYPERLINK \l "b3_note78</w:instrText>
      </w:r>
      <w:r>
        <w:instrText>"</w:instrText>
      </w:r>
      <w:r>
        <w:fldChar w:fldCharType="separate"/>
      </w:r>
      <w:r>
        <w:t xml:space="preserve">נספח </w:t>
      </w:r>
      <w:proofErr w:type="spellStart"/>
      <w:r>
        <w:t>כג</w:t>
      </w:r>
      <w:proofErr w:type="spellEnd"/>
      <w:r>
        <w:fldChar w:fldCharType="end"/>
      </w:r>
      <w:bookmarkEnd w:id="3357"/>
    </w:p>
    <w:p w14:paraId="493589D2" w14:textId="77777777" w:rsidR="00AB3647" w:rsidRDefault="00000000" w:rsidP="007923E9">
      <w:pPr>
        <w:pStyle w:val="af"/>
        <w:spacing w:line="276" w:lineRule="auto"/>
      </w:pPr>
      <w:r>
        <w:t xml:space="preserve">על חיי הבית של הסבא </w:t>
      </w:r>
      <w:proofErr w:type="spellStart"/>
      <w:r>
        <w:t>מסלבודקה</w:t>
      </w:r>
      <w:proofErr w:type="spellEnd"/>
    </w:p>
    <w:p w14:paraId="25F52B5C" w14:textId="77777777" w:rsidR="00AB3647" w:rsidRDefault="00000000" w:rsidP="007923E9">
      <w:pPr>
        <w:pStyle w:val="4"/>
        <w:spacing w:line="276" w:lineRule="auto"/>
      </w:pPr>
      <w:r>
        <w:t>· הפסקה הראשונה ·</w:t>
      </w:r>
    </w:p>
    <w:p w14:paraId="498D3BBE" w14:textId="77777777" w:rsidR="00AB3647" w:rsidRDefault="00000000" w:rsidP="007923E9">
      <w:pPr>
        <w:pStyle w:val="5"/>
        <w:spacing w:line="276" w:lineRule="auto"/>
      </w:pPr>
      <w:r>
        <w:t xml:space="preserve">נחשבת זכות גדולה לדור עם הסבא – הסבתא עוברת לבסוף </w:t>
      </w:r>
      <w:proofErr w:type="spellStart"/>
      <w:r>
        <w:t>לסלבודקה</w:t>
      </w:r>
      <w:proofErr w:type="spellEnd"/>
      <w:r>
        <w:t xml:space="preserve"> – הוא נוהג במשפחתו לפי הוראה קשה – הדרך הביתה </w:t>
      </w:r>
      <w:proofErr w:type="spellStart"/>
      <w:r>
        <w:t>לקלם</w:t>
      </w:r>
      <w:proofErr w:type="spellEnd"/>
      <w:r>
        <w:t xml:space="preserve"> ארוכה – הסבתא עוברת מבית לבקתה</w:t>
      </w:r>
    </w:p>
    <w:p w14:paraId="4A39C143" w14:textId="77777777" w:rsidR="00AB3647" w:rsidRDefault="00000000" w:rsidP="007923E9">
      <w:pPr>
        <w:spacing w:after="120" w:line="276" w:lineRule="auto"/>
        <w:ind w:firstLine="283"/>
        <w:jc w:val="both"/>
      </w:pPr>
      <w:r>
        <w:rPr>
          <w:rtl/>
        </w:rPr>
        <w:t xml:space="preserve">אשת ר׳ </w:t>
      </w:r>
      <w:proofErr w:type="spellStart"/>
      <w:r>
        <w:rPr>
          <w:rtl/>
        </w:rPr>
        <w:t>נתן־צבי</w:t>
      </w:r>
      <w:proofErr w:type="spellEnd"/>
      <w:r>
        <w:rPr>
          <w:rtl/>
        </w:rPr>
        <w:t xml:space="preserve"> </w:t>
      </w:r>
      <w:proofErr w:type="spellStart"/>
      <w:r>
        <w:rPr>
          <w:rtl/>
        </w:rPr>
        <w:t>פינקל</w:t>
      </w:r>
      <w:proofErr w:type="spellEnd"/>
      <w:r>
        <w:rPr>
          <w:rtl/>
        </w:rPr>
        <w:t xml:space="preserve"> נשארה בעיר הולדתה קלם וניהלה חנות מכולת, ובעלה בילה את חייו במקום אחר בבניין תורה. בתחילה התגורר בעזרת נשים של בית כנסת בקובנה, ולימים </w:t>
      </w:r>
      <w:proofErr w:type="spellStart"/>
      <w:r>
        <w:rPr>
          <w:rtl/>
        </w:rPr>
        <w:t>בסטנציה</w:t>
      </w:r>
      <w:proofErr w:type="spellEnd"/>
      <w:r>
        <w:rPr>
          <w:rtl/>
        </w:rPr>
        <w:t xml:space="preserve"> יחד עם תלמידי ישיבה. “שרידי אש”</w:t>
      </w:r>
      <w:bookmarkStart w:id="3358" w:name="_fnr2450"/>
      <w:r>
        <w:rPr>
          <w:rStyle w:val="a5"/>
        </w:rPr>
        <w:footnoteReference w:id="2457" w:customMarkFollows="0"/>
      </w:r>
      <w:bookmarkEnd w:id="3358"/>
      <w:r>
        <w:rPr>
          <w:rtl/>
        </w:rPr>
        <w:t xml:space="preserve"> מתעד שבעיני התלמידים נחשבה זכות גדולה לגור עם הסבא ולאכול על שולחנו. כבוד זה הוענק רק למי שהיה “עילוי” בתלמוד ובמוסר כאחד.</w:t>
      </w:r>
    </w:p>
    <w:p w14:paraId="24B80DFE" w14:textId="77777777" w:rsidR="00AB3647" w:rsidRDefault="00000000" w:rsidP="007923E9">
      <w:pPr>
        <w:spacing w:after="120" w:line="276" w:lineRule="auto"/>
        <w:ind w:firstLine="283"/>
        <w:jc w:val="both"/>
      </w:pPr>
      <w:r>
        <w:rPr>
          <w:rtl/>
        </w:rPr>
        <w:t>כץ, “תנועת המוסר”, כרך ג</w:t>
      </w:r>
      <w:bookmarkStart w:id="3359" w:name="_fnr2451"/>
      <w:r>
        <w:rPr>
          <w:rStyle w:val="a5"/>
        </w:rPr>
        <w:footnoteReference w:id="2458" w:customMarkFollows="0"/>
      </w:r>
      <w:bookmarkEnd w:id="3359"/>
      <w:r>
        <w:rPr>
          <w:rtl/>
        </w:rPr>
        <w:t xml:space="preserve">, קובע שהסבתא סגרה את חנותה ועברה </w:t>
      </w:r>
      <w:proofErr w:type="spellStart"/>
      <w:r>
        <w:rPr>
          <w:rtl/>
        </w:rPr>
        <w:t>לסלבודקה</w:t>
      </w:r>
      <w:proofErr w:type="spellEnd"/>
      <w:r>
        <w:rPr>
          <w:rtl/>
        </w:rPr>
        <w:t xml:space="preserve"> להיות עם בעלה “בסוף תרס״ו”. אבל נכדתם </w:t>
      </w:r>
      <w:proofErr w:type="spellStart"/>
      <w:r>
        <w:rPr>
          <w:rtl/>
        </w:rPr>
        <w:t>חיה־מרים</w:t>
      </w:r>
      <w:proofErr w:type="spellEnd"/>
      <w:r>
        <w:rPr>
          <w:rtl/>
        </w:rPr>
        <w:t xml:space="preserve"> </w:t>
      </w:r>
      <w:proofErr w:type="spellStart"/>
      <w:r>
        <w:rPr>
          <w:rtl/>
        </w:rPr>
        <w:t>שולמן</w:t>
      </w:r>
      <w:proofErr w:type="spellEnd"/>
      <w:r>
        <w:rPr>
          <w:rtl/>
        </w:rPr>
        <w:t xml:space="preserve"> אמרה</w:t>
      </w:r>
      <w:bookmarkStart w:id="3360" w:name="_fnr2452"/>
      <w:r>
        <w:rPr>
          <w:rStyle w:val="a5"/>
        </w:rPr>
        <w:footnoteReference w:id="2459" w:customMarkFollows="0"/>
      </w:r>
      <w:bookmarkEnd w:id="3360"/>
      <w:r>
        <w:rPr>
          <w:rtl/>
        </w:rPr>
        <w:t xml:space="preserve"> שסיפרו לה שהייתה בת שנה וחצי כשהמעבר התרחש, ולפי זה חל המעבר חצי שנה אחרי המועד של כץ, כלומר בסביבות פסח תרס״ז.</w:t>
      </w:r>
    </w:p>
    <w:p w14:paraId="43FD9D45" w14:textId="77777777" w:rsidR="00AB3647" w:rsidRDefault="00000000" w:rsidP="007923E9">
      <w:pPr>
        <w:spacing w:after="120" w:line="276" w:lineRule="auto"/>
        <w:ind w:firstLine="283"/>
        <w:jc w:val="both"/>
      </w:pPr>
      <w:r>
        <w:rPr>
          <w:rtl/>
        </w:rPr>
        <w:t xml:space="preserve">ואילו אבי מסר כמה פעמים תאריכים שונים למעבר, וכולם תמיד מאוחרים מזה של הרבנית </w:t>
      </w:r>
      <w:proofErr w:type="spellStart"/>
      <w:r>
        <w:rPr>
          <w:rtl/>
        </w:rPr>
        <w:t>שולמן</w:t>
      </w:r>
      <w:proofErr w:type="spellEnd"/>
      <w:r>
        <w:rPr>
          <w:rtl/>
        </w:rPr>
        <w:t>. בשיחה המוקלטת עם אברכי הכולל של ישיבת רבנו ישראל מאיר הכהן</w:t>
      </w:r>
      <w:bookmarkStart w:id="3361" w:name="_fnr2453"/>
      <w:r>
        <w:rPr>
          <w:rStyle w:val="a5"/>
        </w:rPr>
        <w:footnoteReference w:id="2460" w:customMarkFollows="0"/>
      </w:r>
      <w:bookmarkEnd w:id="3361"/>
      <w:r>
        <w:rPr>
          <w:rtl/>
        </w:rPr>
        <w:t xml:space="preserve"> תיארך את המעבר (“אולי”) לשנתיים אחרי המועד של הרבנית </w:t>
      </w:r>
      <w:proofErr w:type="spellStart"/>
      <w:r>
        <w:rPr>
          <w:rtl/>
        </w:rPr>
        <w:t>שולמן</w:t>
      </w:r>
      <w:proofErr w:type="spellEnd"/>
      <w:r>
        <w:rPr>
          <w:rtl/>
        </w:rPr>
        <w:t xml:space="preserve">, כשאמר: “הסבא לא נסע </w:t>
      </w:r>
      <w:proofErr w:type="spellStart"/>
      <w:r>
        <w:rPr>
          <w:rtl/>
        </w:rPr>
        <w:t>לדאצ׳ה</w:t>
      </w:r>
      <w:proofErr w:type="spellEnd"/>
      <w:r>
        <w:rPr>
          <w:rtl/>
        </w:rPr>
        <w:t xml:space="preserve"> [כפרית] עד תרס״ז או תרס״ח, אך הוא ישב ב[עיירה הכפרית] קלם עד אולי תרס״ט.” בריאיון המוקלט על הסבא </w:t>
      </w:r>
      <w:proofErr w:type="spellStart"/>
      <w:r>
        <w:rPr>
          <w:rtl/>
        </w:rPr>
        <w:t>מסלבודקה</w:t>
      </w:r>
      <w:bookmarkStart w:id="3362" w:name="_fnr2454"/>
      <w:proofErr w:type="spellEnd"/>
      <w:r>
        <w:rPr>
          <w:rStyle w:val="a5"/>
        </w:rPr>
        <w:footnoteReference w:id="2461" w:customMarkFollows="0"/>
      </w:r>
      <w:bookmarkEnd w:id="3362"/>
      <w:r>
        <w:rPr>
          <w:rtl/>
        </w:rPr>
        <w:t xml:space="preserve"> קבע תאריך מאוחר עוד יותר, עד שנתיים נוספות, כשאמר: “חיי הבית של הסבא היו </w:t>
      </w:r>
      <w:proofErr w:type="spellStart"/>
      <w:r>
        <w:rPr>
          <w:rtl/>
        </w:rPr>
        <w:t>מאויימ׳דיג</w:t>
      </w:r>
      <w:proofErr w:type="spellEnd"/>
      <w:r>
        <w:rPr>
          <w:rtl/>
        </w:rPr>
        <w:t xml:space="preserve"> [מפחידים]: ר׳ </w:t>
      </w:r>
      <w:proofErr w:type="spellStart"/>
      <w:r>
        <w:rPr>
          <w:rtl/>
        </w:rPr>
        <w:t>שמחה־זיסל</w:t>
      </w:r>
      <w:proofErr w:type="spellEnd"/>
      <w:r>
        <w:rPr>
          <w:rtl/>
        </w:rPr>
        <w:t xml:space="preserve"> נתן לו היתר לחיות בפרישות לאחר שקיבל רשות מאשתו הצדקנית. הוא היה נשאר </w:t>
      </w:r>
      <w:proofErr w:type="spellStart"/>
      <w:r>
        <w:rPr>
          <w:rtl/>
        </w:rPr>
        <w:t>בקלם</w:t>
      </w:r>
      <w:proofErr w:type="spellEnd"/>
      <w:r>
        <w:rPr>
          <w:rtl/>
        </w:rPr>
        <w:t xml:space="preserve"> בחודש ניסן, ומאחר יום כיפור עד ראש חודש חשוון. הוא התחיל לנסוע לחופשת קיץ בשנים האחרונות לפני שאשתו עברה </w:t>
      </w:r>
      <w:proofErr w:type="spellStart"/>
      <w:r>
        <w:rPr>
          <w:rtl/>
        </w:rPr>
        <w:t>לסלבודקה</w:t>
      </w:r>
      <w:proofErr w:type="spellEnd"/>
      <w:r>
        <w:rPr>
          <w:rtl/>
        </w:rPr>
        <w:t xml:space="preserve"> </w:t>
      </w:r>
      <w:proofErr w:type="spellStart"/>
      <w:r>
        <w:rPr>
          <w:rtl/>
        </w:rPr>
        <w:t>בתר״ע</w:t>
      </w:r>
      <w:proofErr w:type="spellEnd"/>
      <w:r>
        <w:rPr>
          <w:rtl/>
        </w:rPr>
        <w:t xml:space="preserve"> או </w:t>
      </w:r>
      <w:proofErr w:type="spellStart"/>
      <w:r>
        <w:rPr>
          <w:rtl/>
        </w:rPr>
        <w:t>בתרע״א</w:t>
      </w:r>
      <w:proofErr w:type="spellEnd"/>
      <w:r>
        <w:rPr>
          <w:rtl/>
        </w:rPr>
        <w:t>.”</w:t>
      </w:r>
    </w:p>
    <w:p w14:paraId="73872B4B" w14:textId="77777777" w:rsidR="00AB3647" w:rsidRDefault="00000000" w:rsidP="007923E9">
      <w:pPr>
        <w:spacing w:after="120" w:line="276" w:lineRule="auto"/>
        <w:ind w:firstLine="283"/>
        <w:jc w:val="both"/>
      </w:pPr>
      <w:r>
        <w:rPr>
          <w:rtl/>
        </w:rPr>
        <w:t>בהערת אגב בשיעור דף יומי עם כמה תלמידים</w:t>
      </w:r>
      <w:bookmarkStart w:id="3363" w:name="_fnr2455"/>
      <w:r>
        <w:rPr>
          <w:rStyle w:val="a5"/>
        </w:rPr>
        <w:footnoteReference w:id="2462" w:customMarkFollows="0"/>
      </w:r>
      <w:bookmarkEnd w:id="3363"/>
      <w:r>
        <w:rPr>
          <w:rtl/>
        </w:rPr>
        <w:t xml:space="preserve"> נראה שדחה את המעבר בשנתיים נוספות, כלומר </w:t>
      </w:r>
      <w:proofErr w:type="spellStart"/>
      <w:r>
        <w:rPr>
          <w:rtl/>
        </w:rPr>
        <w:t>לתרע״ג</w:t>
      </w:r>
      <w:proofErr w:type="spellEnd"/>
      <w:r>
        <w:rPr>
          <w:rtl/>
        </w:rPr>
        <w:t>. הוא הרחיב על המאמר התלמודי “במי אתה מוצא תילי תילים של הלכות במי שמשים עצמו אכזרי על בניו ועל בני ביתו כעורב”</w:t>
      </w:r>
      <w:bookmarkStart w:id="3364" w:name="_fnr2456"/>
      <w:r>
        <w:rPr>
          <w:rStyle w:val="a5"/>
        </w:rPr>
        <w:footnoteReference w:id="2463" w:customMarkFollows="0"/>
      </w:r>
      <w:bookmarkEnd w:id="3364"/>
      <w:r>
        <w:rPr>
          <w:rtl/>
        </w:rPr>
        <w:t xml:space="preserve">, ואמר: “הסבא חי כך. אני זוכר שאחרי שהסבא השיא את הצעיר שבילדים, [אשתו] עדיין הייתה </w:t>
      </w:r>
      <w:proofErr w:type="spellStart"/>
      <w:r>
        <w:rPr>
          <w:rtl/>
        </w:rPr>
        <w:t>בקלם</w:t>
      </w:r>
      <w:proofErr w:type="spellEnd"/>
      <w:r>
        <w:rPr>
          <w:rtl/>
        </w:rPr>
        <w:t>.”</w:t>
      </w:r>
    </w:p>
    <w:p w14:paraId="2394C42C" w14:textId="77777777" w:rsidR="00AB3647" w:rsidRDefault="00000000" w:rsidP="007923E9">
      <w:pPr>
        <w:spacing w:after="120" w:line="276" w:lineRule="auto"/>
        <w:ind w:firstLine="283"/>
        <w:jc w:val="both"/>
      </w:pPr>
      <w:r>
        <w:rPr>
          <w:rtl/>
        </w:rPr>
        <w:lastRenderedPageBreak/>
        <w:t xml:space="preserve">כשמחשבים מתי נישאו ילדי הסבא, נראה שהסבתא לא עברה עד תרע״ג. הצעירים שבילדים, חוץ </w:t>
      </w:r>
      <w:proofErr w:type="spellStart"/>
      <w:r>
        <w:rPr>
          <w:rtl/>
        </w:rPr>
        <w:t>מרובעל׳ה</w:t>
      </w:r>
      <w:proofErr w:type="spellEnd"/>
      <w:r>
        <w:rPr>
          <w:rtl/>
        </w:rPr>
        <w:t xml:space="preserve"> שעזב את אירופה, היו התאומים ר׳ משה ור׳ </w:t>
      </w:r>
      <w:proofErr w:type="spellStart"/>
      <w:r>
        <w:rPr>
          <w:rtl/>
        </w:rPr>
        <w:t>אברהם־שמואל</w:t>
      </w:r>
      <w:proofErr w:type="spellEnd"/>
      <w:r>
        <w:rPr>
          <w:rtl/>
        </w:rPr>
        <w:t xml:space="preserve">, שנישאו </w:t>
      </w:r>
      <w:proofErr w:type="spellStart"/>
      <w:r>
        <w:rPr>
          <w:rtl/>
        </w:rPr>
        <w:t>בתרע״ג</w:t>
      </w:r>
      <w:proofErr w:type="spellEnd"/>
      <w:r>
        <w:rPr>
          <w:rtl/>
        </w:rPr>
        <w:t xml:space="preserve"> </w:t>
      </w:r>
      <w:proofErr w:type="spellStart"/>
      <w:r>
        <w:rPr>
          <w:rtl/>
        </w:rPr>
        <w:t>ובתרע״ב</w:t>
      </w:r>
      <w:proofErr w:type="spellEnd"/>
      <w:r>
        <w:rPr>
          <w:rtl/>
        </w:rPr>
        <w:t xml:space="preserve">, בהתאמה. אבל אבי בוודאי התכוון רק לבנות הסבא: הצעירה שבהן הייתה </w:t>
      </w:r>
      <w:proofErr w:type="spellStart"/>
      <w:r>
        <w:rPr>
          <w:rtl/>
        </w:rPr>
        <w:t>גוטל</w:t>
      </w:r>
      <w:proofErr w:type="spellEnd"/>
      <w:r>
        <w:rPr>
          <w:rtl/>
        </w:rPr>
        <w:t xml:space="preserve">, והיא נישאה </w:t>
      </w:r>
      <w:proofErr w:type="spellStart"/>
      <w:r>
        <w:rPr>
          <w:rtl/>
        </w:rPr>
        <w:t>לר</w:t>
      </w:r>
      <w:proofErr w:type="spellEnd"/>
      <w:r>
        <w:rPr>
          <w:rtl/>
        </w:rPr>
        <w:t xml:space="preserve">׳ אייזיק שר </w:t>
      </w:r>
      <w:proofErr w:type="spellStart"/>
      <w:r>
        <w:rPr>
          <w:rtl/>
        </w:rPr>
        <w:t>בתרס״ד</w:t>
      </w:r>
      <w:proofErr w:type="spellEnd"/>
      <w:r>
        <w:rPr>
          <w:rtl/>
        </w:rPr>
        <w:t xml:space="preserve">, כאמור בהערה 77 בפרק זה. רבנו ביקש להצביע על כך שכל עוד היו עם האם בנות לא נשואות, אפשר שהיה היגיון להרחיקן </w:t>
      </w:r>
      <w:proofErr w:type="spellStart"/>
      <w:r>
        <w:rPr>
          <w:rtl/>
        </w:rPr>
        <w:t>מסלבודקה</w:t>
      </w:r>
      <w:proofErr w:type="spellEnd"/>
      <w:r>
        <w:rPr>
          <w:rtl/>
        </w:rPr>
        <w:t xml:space="preserve">. אבל לאחר שנישאו, הסבתא נשארה </w:t>
      </w:r>
      <w:proofErr w:type="spellStart"/>
      <w:r>
        <w:rPr>
          <w:rtl/>
        </w:rPr>
        <w:t>בקלם</w:t>
      </w:r>
      <w:proofErr w:type="spellEnd"/>
      <w:r>
        <w:rPr>
          <w:rtl/>
        </w:rPr>
        <w:t xml:space="preserve"> בשבע/חמש/שלוש/שתי השנים שלאחר מכן (כפי שעולה מן הדיווחים השונים שהובאו לעיל) רק משום שהסבא ניהל את חייו לפי הוראת חכמי התלמוד.</w:t>
      </w:r>
    </w:p>
    <w:p w14:paraId="1D36A36E" w14:textId="77777777" w:rsidR="00AB3647" w:rsidRDefault="00000000" w:rsidP="007923E9">
      <w:pPr>
        <w:spacing w:after="120" w:line="276" w:lineRule="auto"/>
        <w:ind w:firstLine="283"/>
        <w:jc w:val="both"/>
      </w:pPr>
      <w:r>
        <w:rPr>
          <w:rtl/>
        </w:rPr>
        <w:t xml:space="preserve">“מקובנה”, המשיך אבי בדברי </w:t>
      </w:r>
      <w:proofErr w:type="spellStart"/>
      <w:r>
        <w:rPr>
          <w:rtl/>
        </w:rPr>
        <w:t>האגב</w:t>
      </w:r>
      <w:proofErr w:type="spellEnd"/>
      <w:r>
        <w:rPr>
          <w:rtl/>
        </w:rPr>
        <w:t xml:space="preserve">, “צריך היה לנסוע תחילה ברכבת במשך שעות אחדות, ואחר כך בעגלה בדרך של 50 קילומטר עוד כמה שעות, כדי להגיע </w:t>
      </w:r>
      <w:proofErr w:type="spellStart"/>
      <w:r>
        <w:rPr>
          <w:rtl/>
        </w:rPr>
        <w:t>לקלם</w:t>
      </w:r>
      <w:proofErr w:type="spellEnd"/>
      <w:r>
        <w:rPr>
          <w:rtl/>
        </w:rPr>
        <w:t xml:space="preserve">. הוא היה איש זקן כשהיא עברה אליו. ילדיו נשארו עם </w:t>
      </w:r>
      <w:proofErr w:type="spellStart"/>
      <w:r>
        <w:rPr>
          <w:rtl/>
        </w:rPr>
        <w:t>אמם</w:t>
      </w:r>
      <w:proofErr w:type="spellEnd"/>
      <w:r>
        <w:rPr>
          <w:rtl/>
        </w:rPr>
        <w:t xml:space="preserve"> עד שהיו גדולים דיים להישלח לישיבה</w:t>
      </w:r>
      <w:bookmarkStart w:id="3365" w:name="_fnr2457"/>
      <w:r>
        <w:rPr>
          <w:rStyle w:val="a5"/>
        </w:rPr>
        <w:footnoteReference w:id="2464" w:customMarkFollows="0"/>
      </w:r>
      <w:bookmarkEnd w:id="3365"/>
      <w:r>
        <w:rPr>
          <w:rtl/>
        </w:rPr>
        <w:t xml:space="preserve">; אחד נסע </w:t>
      </w:r>
      <w:proofErr w:type="spellStart"/>
      <w:r>
        <w:rPr>
          <w:rtl/>
        </w:rPr>
        <w:t>לראדין</w:t>
      </w:r>
      <w:proofErr w:type="spellEnd"/>
      <w:r>
        <w:rPr>
          <w:rtl/>
        </w:rPr>
        <w:t xml:space="preserve">, אחר נסע למקום אחר. כאשר בנותיו נישאו, החתנים היו אוכלים </w:t>
      </w:r>
      <w:proofErr w:type="spellStart"/>
      <w:r>
        <w:rPr>
          <w:rtl/>
        </w:rPr>
        <w:t>קעסט</w:t>
      </w:r>
      <w:proofErr w:type="spellEnd"/>
      <w:r>
        <w:rPr>
          <w:rtl/>
        </w:rPr>
        <w:t xml:space="preserve"> </w:t>
      </w:r>
      <w:proofErr w:type="spellStart"/>
      <w:r>
        <w:rPr>
          <w:rtl/>
        </w:rPr>
        <w:t>בקלם</w:t>
      </w:r>
      <w:proofErr w:type="spellEnd"/>
      <w:r>
        <w:rPr>
          <w:rtl/>
        </w:rPr>
        <w:t>. אלו היו חייו.”</w:t>
      </w:r>
    </w:p>
    <w:p w14:paraId="54286576" w14:textId="77777777" w:rsidR="00AB3647" w:rsidRDefault="00000000" w:rsidP="007923E9">
      <w:pPr>
        <w:spacing w:after="120" w:line="276" w:lineRule="auto"/>
        <w:ind w:firstLine="283"/>
        <w:jc w:val="both"/>
      </w:pPr>
      <w:r>
        <w:rPr>
          <w:rtl/>
        </w:rPr>
        <w:t xml:space="preserve">כדי ליישב את מגוון התאריכים יש להסיק שהסבתא סגרה את חנותה </w:t>
      </w:r>
      <w:proofErr w:type="spellStart"/>
      <w:r>
        <w:rPr>
          <w:rtl/>
        </w:rPr>
        <w:t>בתרס״ט</w:t>
      </w:r>
      <w:proofErr w:type="spellEnd"/>
      <w:r>
        <w:rPr>
          <w:rtl/>
        </w:rPr>
        <w:t xml:space="preserve"> או קודם לכן, אבל </w:t>
      </w:r>
      <w:r>
        <w:rPr>
          <w:b/>
          <w:bCs/>
          <w:rtl/>
        </w:rPr>
        <w:t xml:space="preserve">עדיין שמרה על ביתה </w:t>
      </w:r>
      <w:proofErr w:type="spellStart"/>
      <w:r>
        <w:rPr>
          <w:b/>
          <w:bCs/>
          <w:rtl/>
        </w:rPr>
        <w:t>בקלם</w:t>
      </w:r>
      <w:proofErr w:type="spellEnd"/>
      <w:r>
        <w:rPr>
          <w:rtl/>
        </w:rPr>
        <w:t xml:space="preserve"> וביקרה </w:t>
      </w:r>
      <w:proofErr w:type="spellStart"/>
      <w:r>
        <w:rPr>
          <w:rtl/>
        </w:rPr>
        <w:t>בסלבודקה</w:t>
      </w:r>
      <w:proofErr w:type="spellEnd"/>
      <w:r>
        <w:rPr>
          <w:rtl/>
        </w:rPr>
        <w:t xml:space="preserve"> מפעם לפעם. עם הזמן שהתה </w:t>
      </w:r>
      <w:proofErr w:type="spellStart"/>
      <w:r>
        <w:rPr>
          <w:rtl/>
        </w:rPr>
        <w:t>בסלבודקה</w:t>
      </w:r>
      <w:proofErr w:type="spellEnd"/>
      <w:r>
        <w:rPr>
          <w:rtl/>
        </w:rPr>
        <w:t xml:space="preserve"> תקופות ארוכות יותר, עד </w:t>
      </w:r>
      <w:proofErr w:type="spellStart"/>
      <w:r>
        <w:rPr>
          <w:rtl/>
        </w:rPr>
        <w:t>שב“תר״ע</w:t>
      </w:r>
      <w:proofErr w:type="spellEnd"/>
      <w:r>
        <w:rPr>
          <w:rtl/>
        </w:rPr>
        <w:t xml:space="preserve"> או תרע״א” ויתרה גם על ביתה ועברה כליל לבית בעלה. התאריכים השונים שמסר אבי משקפים שלבים במעברה </w:t>
      </w:r>
      <w:proofErr w:type="spellStart"/>
      <w:r>
        <w:rPr>
          <w:rtl/>
        </w:rPr>
        <w:t>לסלבודקה</w:t>
      </w:r>
      <w:proofErr w:type="spellEnd"/>
      <w:r>
        <w:rPr>
          <w:rtl/>
        </w:rPr>
        <w:t>.</w:t>
      </w:r>
    </w:p>
    <w:p w14:paraId="2CC94A0B" w14:textId="2B11A4A6" w:rsidR="00AB3647" w:rsidRDefault="00000000" w:rsidP="007923E9">
      <w:pPr>
        <w:spacing w:after="120" w:line="276" w:lineRule="auto"/>
        <w:ind w:firstLine="283"/>
        <w:jc w:val="both"/>
      </w:pPr>
      <w:r>
        <w:rPr>
          <w:rtl/>
        </w:rPr>
        <w:t xml:space="preserve">ההשערה שנותרה </w:t>
      </w:r>
      <w:proofErr w:type="spellStart"/>
      <w:r>
        <w:rPr>
          <w:rtl/>
        </w:rPr>
        <w:t>בקלם</w:t>
      </w:r>
      <w:proofErr w:type="spellEnd"/>
      <w:r>
        <w:rPr>
          <w:rtl/>
        </w:rPr>
        <w:t xml:space="preserve"> </w:t>
      </w:r>
      <w:r>
        <w:rPr>
          <w:b/>
          <w:bCs/>
          <w:rtl/>
        </w:rPr>
        <w:t>ללא חנות</w:t>
      </w:r>
      <w:r>
        <w:rPr>
          <w:rtl/>
        </w:rPr>
        <w:t xml:space="preserve"> מוצאת סיוע בדבריו של יליד קלם, ר׳ קופל </w:t>
      </w:r>
      <w:proofErr w:type="spellStart"/>
      <w:r>
        <w:rPr>
          <w:rtl/>
        </w:rPr>
        <w:t>וולפרט</w:t>
      </w:r>
      <w:bookmarkStart w:id="3366" w:name="_fnr2458"/>
      <w:proofErr w:type="spellEnd"/>
      <w:r>
        <w:rPr>
          <w:rStyle w:val="a5"/>
        </w:rPr>
        <w:footnoteReference w:id="2465" w:customMarkFollows="0"/>
      </w:r>
      <w:bookmarkEnd w:id="3366"/>
      <w:r>
        <w:rPr>
          <w:rtl/>
        </w:rPr>
        <w:t xml:space="preserve">. כשנאמר לו שאשת הסבא </w:t>
      </w:r>
      <w:proofErr w:type="spellStart"/>
      <w:r>
        <w:rPr>
          <w:rtl/>
        </w:rPr>
        <w:t>מסלבודקה</w:t>
      </w:r>
      <w:proofErr w:type="spellEnd"/>
      <w:r>
        <w:rPr>
          <w:rtl/>
        </w:rPr>
        <w:t xml:space="preserve"> ניהלה חנות, אמר שהוא זוכר את הסבתא מקלם, “אבל לא הייתה לה שם חנות”. הוא זכר את תקופת מגורי הביניים הזאת. השווה גם הפסקה השנייה ב</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על הביקור שערך הסבא </w:t>
      </w:r>
      <w:proofErr w:type="spellStart"/>
      <w:r>
        <w:rPr>
          <w:rtl/>
        </w:rPr>
        <w:t>בקלם</w:t>
      </w:r>
      <w:proofErr w:type="spellEnd"/>
      <w:r>
        <w:rPr>
          <w:rtl/>
        </w:rPr>
        <w:t xml:space="preserve"> בלוויית תלמידו ר׳ </w:t>
      </w:r>
      <w:proofErr w:type="spellStart"/>
      <w:r>
        <w:rPr>
          <w:rtl/>
        </w:rPr>
        <w:t>יחיאל־יעקב</w:t>
      </w:r>
      <w:proofErr w:type="spellEnd"/>
      <w:r>
        <w:rPr>
          <w:rtl/>
        </w:rPr>
        <w:t xml:space="preserve"> ויינברג, לאחר שהסבתא כבר עזבה את העיר. הנכדה </w:t>
      </w:r>
      <w:proofErr w:type="spellStart"/>
      <w:r>
        <w:rPr>
          <w:rtl/>
        </w:rPr>
        <w:t>רבקה־לאה</w:t>
      </w:r>
      <w:proofErr w:type="spellEnd"/>
      <w:r>
        <w:rPr>
          <w:rtl/>
        </w:rPr>
        <w:t xml:space="preserve"> פרבר תיארה כך את המעבר: “סבתי עברה מבית יפה </w:t>
      </w:r>
      <w:proofErr w:type="spellStart"/>
      <w:r>
        <w:rPr>
          <w:rtl/>
        </w:rPr>
        <w:t>בקלם</w:t>
      </w:r>
      <w:proofErr w:type="spellEnd"/>
      <w:r>
        <w:rPr>
          <w:rtl/>
        </w:rPr>
        <w:t xml:space="preserve"> לבקתה </w:t>
      </w:r>
      <w:proofErr w:type="spellStart"/>
      <w:r>
        <w:rPr>
          <w:rtl/>
        </w:rPr>
        <w:t>בסלבודקה</w:t>
      </w:r>
      <w:proofErr w:type="spellEnd"/>
      <w:r>
        <w:rPr>
          <w:rtl/>
        </w:rPr>
        <w:t xml:space="preserve">.” לתיאור מלא של אותה “בקתה </w:t>
      </w:r>
      <w:proofErr w:type="spellStart"/>
      <w:r>
        <w:rPr>
          <w:rtl/>
        </w:rPr>
        <w:t>בסלבודקה</w:t>
      </w:r>
      <w:proofErr w:type="spellEnd"/>
      <w:r>
        <w:rPr>
          <w:rtl/>
        </w:rPr>
        <w:t>” השווה פרק 4.1.</w:t>
      </w:r>
    </w:p>
    <w:p w14:paraId="412A4A3C" w14:textId="77777777" w:rsidR="00AB3647" w:rsidRDefault="00000000" w:rsidP="007923E9">
      <w:pPr>
        <w:pStyle w:val="4"/>
        <w:spacing w:line="276" w:lineRule="auto"/>
      </w:pPr>
      <w:r>
        <w:t>· הפסקה השנייה ·</w:t>
      </w:r>
    </w:p>
    <w:p w14:paraId="0E6EA928" w14:textId="77777777" w:rsidR="00AB3647" w:rsidRDefault="00000000" w:rsidP="007923E9">
      <w:pPr>
        <w:pStyle w:val="5"/>
        <w:spacing w:line="276" w:lineRule="auto"/>
      </w:pPr>
      <w:r>
        <w:t xml:space="preserve">אוצר מסמכים ישנים מתגלה בעליית הישיבה – יש הסבורים שהסבא לא קיבל תמורה על עבודתו – ר׳ </w:t>
      </w:r>
      <w:proofErr w:type="spellStart"/>
      <w:r>
        <w:t>נתן־צבי</w:t>
      </w:r>
      <w:proofErr w:type="spellEnd"/>
      <w:r>
        <w:t xml:space="preserve"> </w:t>
      </w:r>
      <w:proofErr w:type="spellStart"/>
      <w:r>
        <w:t>פינקל</w:t>
      </w:r>
      <w:proofErr w:type="spellEnd"/>
      <w:r>
        <w:t xml:space="preserve"> פוגש במקרה את </w:t>
      </w:r>
      <w:proofErr w:type="spellStart"/>
      <w:r>
        <w:t>האדר״ת</w:t>
      </w:r>
      <w:proofErr w:type="spellEnd"/>
      <w:r>
        <w:t xml:space="preserve"> – הסבא זקוק לכסף להשיא בת – הסבא אינו מקבל הכנסה בשנותיו האחרונות בישיבת הכולל בקובנה – הוא פורש מתפקידו לכמה ימים – </w:t>
      </w:r>
      <w:proofErr w:type="spellStart"/>
      <w:r>
        <w:t>האדר״ת</w:t>
      </w:r>
      <w:proofErr w:type="spellEnd"/>
      <w:r>
        <w:t xml:space="preserve"> מניח תפילין ולומד “שערי תשובה”</w:t>
      </w:r>
    </w:p>
    <w:p w14:paraId="465C1057"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רבנו גם שבעליית בניין הישיבה נמצא ארכיון של ניירות שהושלכו. “היו בו”, אמר, “מכתבים אישיים מאת ר׳ </w:t>
      </w:r>
      <w:proofErr w:type="spellStart"/>
      <w:r>
        <w:rPr>
          <w:rtl/>
        </w:rPr>
        <w:t>משה־מרדכי</w:t>
      </w:r>
      <w:proofErr w:type="spellEnd"/>
      <w:r>
        <w:rPr>
          <w:rtl/>
        </w:rPr>
        <w:t xml:space="preserve">; יומן ההוצאות </w:t>
      </w:r>
      <w:r>
        <w:rPr>
          <w:rtl/>
        </w:rPr>
        <w:lastRenderedPageBreak/>
        <w:t xml:space="preserve">שהוציא ר׳ </w:t>
      </w:r>
      <w:proofErr w:type="spellStart"/>
      <w:r>
        <w:rPr>
          <w:rtl/>
        </w:rPr>
        <w:t>משה־מרדכי</w:t>
      </w:r>
      <w:proofErr w:type="spellEnd"/>
      <w:r>
        <w:rPr>
          <w:rtl/>
        </w:rPr>
        <w:t xml:space="preserve"> אפשטיין בנסיעה בשליחות לארץ ישראל </w:t>
      </w:r>
      <w:proofErr w:type="spellStart"/>
      <w:r>
        <w:rPr>
          <w:rtl/>
        </w:rPr>
        <w:t>בתרנ״א</w:t>
      </w:r>
      <w:bookmarkStart w:id="3367" w:name="_fnr2459"/>
      <w:proofErr w:type="spellEnd"/>
      <w:r>
        <w:rPr>
          <w:rStyle w:val="a5"/>
        </w:rPr>
        <w:footnoteReference w:id="2466" w:customMarkFollows="0"/>
      </w:r>
      <w:bookmarkEnd w:id="3367"/>
      <w:r>
        <w:rPr>
          <w:rtl/>
        </w:rPr>
        <w:t>, כדי לרכוש קרקע עבור אגודה של חובבי ציון – רימו אותם</w:t>
      </w:r>
      <w:bookmarkStart w:id="3368" w:name="_fnr2460"/>
      <w:r>
        <w:rPr>
          <w:rStyle w:val="a5"/>
        </w:rPr>
        <w:footnoteReference w:id="2467" w:customMarkFollows="0"/>
      </w:r>
      <w:bookmarkEnd w:id="3368"/>
      <w:r>
        <w:rPr>
          <w:rtl/>
        </w:rPr>
        <w:t xml:space="preserve"> – ופנקס שבו פירט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שהיה אחראי לחשבונות הישיבה בתקופה מסוימת, את התשלומים. באחרון היה רישום חודשי שנאמר בו: ‘שלחתי </w:t>
      </w:r>
      <w:proofErr w:type="spellStart"/>
      <w:r>
        <w:rPr>
          <w:rtl/>
        </w:rPr>
        <w:t>פערצעהן</w:t>
      </w:r>
      <w:proofErr w:type="spellEnd"/>
      <w:r>
        <w:rPr>
          <w:rtl/>
        </w:rPr>
        <w:t xml:space="preserve"> </w:t>
      </w:r>
      <w:proofErr w:type="spellStart"/>
      <w:r>
        <w:rPr>
          <w:rtl/>
        </w:rPr>
        <w:t>רובעל</w:t>
      </w:r>
      <w:proofErr w:type="spellEnd"/>
      <w:r>
        <w:rPr>
          <w:rtl/>
        </w:rPr>
        <w:t xml:space="preserve"> </w:t>
      </w:r>
      <w:proofErr w:type="spellStart"/>
      <w:r>
        <w:rPr>
          <w:rtl/>
        </w:rPr>
        <w:t>לקעלעם</w:t>
      </w:r>
      <w:proofErr w:type="spellEnd"/>
      <w:r>
        <w:rPr>
          <w:rtl/>
        </w:rPr>
        <w:t xml:space="preserve">’ [שלחתי </w:t>
      </w:r>
      <w:proofErr w:type="spellStart"/>
      <w:r>
        <w:rPr>
          <w:rtl/>
        </w:rPr>
        <w:t>ארבעה־עשר</w:t>
      </w:r>
      <w:proofErr w:type="spellEnd"/>
      <w:r>
        <w:rPr>
          <w:rtl/>
        </w:rPr>
        <w:t xml:space="preserve"> רובל </w:t>
      </w:r>
      <w:proofErr w:type="spellStart"/>
      <w:r>
        <w:rPr>
          <w:rtl/>
        </w:rPr>
        <w:t>לקלם</w:t>
      </w:r>
      <w:proofErr w:type="spellEnd"/>
      <w:r>
        <w:rPr>
          <w:rtl/>
        </w:rPr>
        <w:t>].”</w:t>
      </w:r>
      <w:bookmarkStart w:id="3369" w:name="_fnr2461"/>
      <w:r>
        <w:rPr>
          <w:rStyle w:val="a5"/>
        </w:rPr>
        <w:footnoteReference w:id="2468" w:customMarkFollows="0"/>
      </w:r>
      <w:bookmarkEnd w:id="3369"/>
    </w:p>
    <w:p w14:paraId="54EBA4E8" w14:textId="77777777" w:rsidR="00AB3647" w:rsidRDefault="00000000" w:rsidP="007923E9">
      <w:pPr>
        <w:spacing w:after="120" w:line="276" w:lineRule="auto"/>
        <w:ind w:firstLine="283"/>
        <w:jc w:val="both"/>
      </w:pPr>
      <w:r>
        <w:rPr>
          <w:rtl/>
        </w:rPr>
        <w:t xml:space="preserve">אבי הסביר: “זו הייתה קצבה חודשית לסבתא. באותה תקופה שבה ניתן התשלום הזה, בחור ‘טוב’ רווק קיבל ארבעה רובלים לחודש. גם </w:t>
      </w:r>
      <w:proofErr w:type="spellStart"/>
      <w:r>
        <w:rPr>
          <w:rtl/>
        </w:rPr>
        <w:t>הסטנציה</w:t>
      </w:r>
      <w:proofErr w:type="spellEnd"/>
      <w:r>
        <w:rPr>
          <w:rtl/>
        </w:rPr>
        <w:t xml:space="preserve"> של הסבא שולמה בידי הישיבה. בחור היה ‘</w:t>
      </w:r>
      <w:proofErr w:type="spellStart"/>
      <w:r>
        <w:rPr>
          <w:rtl/>
        </w:rPr>
        <w:t>בסטנציה</w:t>
      </w:r>
      <w:proofErr w:type="spellEnd"/>
      <w:r>
        <w:rPr>
          <w:rtl/>
        </w:rPr>
        <w:t xml:space="preserve">’ עם הסבא כדי שלא יישן לבד, וכדי לעזור – בכל זמן תלמיד אחר – עד שהסבתא הגיעה [עברה </w:t>
      </w:r>
      <w:proofErr w:type="spellStart"/>
      <w:r>
        <w:rPr>
          <w:rtl/>
        </w:rPr>
        <w:t>לסלבודקה</w:t>
      </w:r>
      <w:proofErr w:type="spellEnd"/>
      <w:r>
        <w:rPr>
          <w:rtl/>
        </w:rPr>
        <w:t>].”</w:t>
      </w:r>
    </w:p>
    <w:p w14:paraId="6F22472C" w14:textId="77777777" w:rsidR="00AB3647" w:rsidRDefault="00000000" w:rsidP="007923E9">
      <w:pPr>
        <w:spacing w:after="120" w:line="276" w:lineRule="auto"/>
        <w:ind w:firstLine="283"/>
        <w:jc w:val="both"/>
      </w:pPr>
      <w:r>
        <w:rPr>
          <w:rtl/>
        </w:rPr>
        <w:t>גילוי זה סותר את כץ</w:t>
      </w:r>
      <w:bookmarkStart w:id="3370" w:name="_fnr2462"/>
      <w:r>
        <w:rPr>
          <w:rStyle w:val="a5"/>
        </w:rPr>
        <w:footnoteReference w:id="2469" w:customMarkFollows="0"/>
      </w:r>
      <w:bookmarkEnd w:id="3370"/>
      <w:r>
        <w:rPr>
          <w:rtl/>
        </w:rPr>
        <w:t>, הקובע: “</w:t>
      </w:r>
      <w:r>
        <w:rPr>
          <w:b/>
          <w:bCs/>
          <w:rtl/>
        </w:rPr>
        <w:t>כידוע</w:t>
      </w:r>
      <w:r>
        <w:rPr>
          <w:rtl/>
        </w:rPr>
        <w:t xml:space="preserve"> (ההדגשה שלי), הסבא לא נהנה [כלומר, לא קיבל משכורת] מישיבת כנסת ישראל במשך שנים רבות, והתפרנס מחנותה של אשתו הסבתא. כשהבין שהוא מוכרח ליהנות, נסע במיוחד אל ר׳ חיים </w:t>
      </w:r>
      <w:proofErr w:type="spellStart"/>
      <w:r>
        <w:rPr>
          <w:rtl/>
        </w:rPr>
        <w:t>סולובייצ׳יק</w:t>
      </w:r>
      <w:proofErr w:type="spellEnd"/>
      <w:r>
        <w:rPr>
          <w:rtl/>
        </w:rPr>
        <w:t xml:space="preserve"> </w:t>
      </w:r>
      <w:proofErr w:type="spellStart"/>
      <w:r>
        <w:rPr>
          <w:rtl/>
        </w:rPr>
        <w:t>מבריסק</w:t>
      </w:r>
      <w:proofErr w:type="spellEnd"/>
      <w:r>
        <w:rPr>
          <w:rtl/>
        </w:rPr>
        <w:t>, לשאול אם מותר לו לקבל קצבה מן הישיבה ובאיזה סכום.”</w:t>
      </w:r>
    </w:p>
    <w:p w14:paraId="11115C99" w14:textId="77777777" w:rsidR="00AB3647" w:rsidRDefault="00000000" w:rsidP="007923E9">
      <w:pPr>
        <w:spacing w:after="120" w:line="276" w:lineRule="auto"/>
        <w:ind w:firstLine="283"/>
        <w:jc w:val="both"/>
      </w:pPr>
      <w:r>
        <w:rPr>
          <w:rtl/>
        </w:rPr>
        <w:t xml:space="preserve">אפשר שמאורע שסיפר ר׳ </w:t>
      </w:r>
      <w:proofErr w:type="spellStart"/>
      <w:r>
        <w:rPr>
          <w:rtl/>
        </w:rPr>
        <w:t>יעקב־יצחק</w:t>
      </w:r>
      <w:proofErr w:type="spellEnd"/>
      <w:r>
        <w:rPr>
          <w:rtl/>
        </w:rPr>
        <w:t xml:space="preserve"> </w:t>
      </w:r>
      <w:proofErr w:type="spellStart"/>
      <w:r>
        <w:rPr>
          <w:rtl/>
        </w:rPr>
        <w:t>רודרמן</w:t>
      </w:r>
      <w:proofErr w:type="spellEnd"/>
      <w:r>
        <w:rPr>
          <w:rtl/>
        </w:rPr>
        <w:t>, ותועד ברשימותיו של ר׳ משה גרוסמן</w:t>
      </w:r>
      <w:bookmarkStart w:id="3371" w:name="_fnr2463"/>
      <w:r>
        <w:rPr>
          <w:rStyle w:val="a5"/>
        </w:rPr>
        <w:footnoteReference w:id="2470" w:customMarkFollows="0"/>
      </w:r>
      <w:bookmarkEnd w:id="3371"/>
      <w:r>
        <w:rPr>
          <w:rtl/>
        </w:rPr>
        <w:t xml:space="preserve">, מבהיר הן את מה שהיה “ידוע” למקורו של כץ, הן את השאלה המדויקת ששאל ר׳ </w:t>
      </w:r>
      <w:proofErr w:type="spellStart"/>
      <w:r>
        <w:rPr>
          <w:rtl/>
        </w:rPr>
        <w:t>נתן־צבי</w:t>
      </w:r>
      <w:proofErr w:type="spellEnd"/>
      <w:r>
        <w:rPr>
          <w:rtl/>
        </w:rPr>
        <w:t xml:space="preserve"> את ר׳ חיים ואת תשובתו.</w:t>
      </w:r>
    </w:p>
    <w:p w14:paraId="621A0590" w14:textId="77777777" w:rsidR="00AB3647" w:rsidRDefault="00000000" w:rsidP="007923E9">
      <w:pPr>
        <w:spacing w:after="120" w:line="276" w:lineRule="auto"/>
        <w:ind w:firstLine="283"/>
        <w:jc w:val="both"/>
      </w:pPr>
      <w:r>
        <w:rPr>
          <w:rtl/>
        </w:rPr>
        <w:t xml:space="preserve">וכך סיפר ר׳ </w:t>
      </w:r>
      <w:proofErr w:type="spellStart"/>
      <w:r>
        <w:rPr>
          <w:rtl/>
        </w:rPr>
        <w:t>יעקב־יצחק</w:t>
      </w:r>
      <w:proofErr w:type="spellEnd"/>
      <w:r>
        <w:rPr>
          <w:rtl/>
        </w:rPr>
        <w:t xml:space="preserve"> </w:t>
      </w:r>
      <w:proofErr w:type="spellStart"/>
      <w:r>
        <w:rPr>
          <w:rtl/>
        </w:rPr>
        <w:t>רודרמן</w:t>
      </w:r>
      <w:proofErr w:type="spellEnd"/>
      <w:r>
        <w:rPr>
          <w:rtl/>
        </w:rPr>
        <w:t>: “הסבא נסע פעם ברכבת וראה אדם עטוף בטלית</w:t>
      </w:r>
      <w:bookmarkStart w:id="3372" w:name="_fnr2464"/>
      <w:r>
        <w:rPr>
          <w:rStyle w:val="a5"/>
        </w:rPr>
        <w:footnoteReference w:id="2471" w:customMarkFollows="0"/>
      </w:r>
      <w:bookmarkEnd w:id="3372"/>
      <w:r>
        <w:rPr>
          <w:rtl/>
        </w:rPr>
        <w:t xml:space="preserve"> ומעוטר בתפילין, קורא </w:t>
      </w:r>
      <w:proofErr w:type="spellStart"/>
      <w:r>
        <w:rPr>
          <w:rtl/>
        </w:rPr>
        <w:t>ב‘שערי</w:t>
      </w:r>
      <w:proofErr w:type="spellEnd"/>
      <w:r>
        <w:rPr>
          <w:rtl/>
        </w:rPr>
        <w:t xml:space="preserve"> תשובה’. הסבא חשב ששותפו לנסיעה הוא בעל מוסר, ניגש אליו וגילה שהנוסע האחר הוא </w:t>
      </w:r>
      <w:proofErr w:type="spellStart"/>
      <w:r>
        <w:rPr>
          <w:rtl/>
        </w:rPr>
        <w:t>האדר״ת</w:t>
      </w:r>
      <w:bookmarkStart w:id="3373" w:name="_fnr2465"/>
      <w:proofErr w:type="spellEnd"/>
      <w:r>
        <w:rPr>
          <w:rStyle w:val="a5"/>
        </w:rPr>
        <w:footnoteReference w:id="2472" w:customMarkFollows="0"/>
      </w:r>
      <w:bookmarkEnd w:id="3373"/>
      <w:r>
        <w:rPr>
          <w:rtl/>
        </w:rPr>
        <w:t xml:space="preserve">, שהיה אז רבה של </w:t>
      </w:r>
      <w:proofErr w:type="spellStart"/>
      <w:r>
        <w:rPr>
          <w:rtl/>
        </w:rPr>
        <w:t>מיר</w:t>
      </w:r>
      <w:bookmarkStart w:id="3374" w:name="_fnr2466"/>
      <w:proofErr w:type="spellEnd"/>
      <w:r>
        <w:rPr>
          <w:rStyle w:val="a5"/>
        </w:rPr>
        <w:footnoteReference w:id="2473" w:customMarkFollows="0"/>
      </w:r>
      <w:bookmarkEnd w:id="3374"/>
      <w:r>
        <w:rPr>
          <w:rtl/>
        </w:rPr>
        <w:t xml:space="preserve">. בתשובה לשאלת </w:t>
      </w:r>
      <w:proofErr w:type="spellStart"/>
      <w:r>
        <w:rPr>
          <w:rtl/>
        </w:rPr>
        <w:t>האדר״ת</w:t>
      </w:r>
      <w:proofErr w:type="spellEnd"/>
      <w:r>
        <w:rPr>
          <w:rtl/>
        </w:rPr>
        <w:t xml:space="preserve"> סיפר הסבא שהוא </w:t>
      </w:r>
      <w:proofErr w:type="spellStart"/>
      <w:r>
        <w:rPr>
          <w:rtl/>
        </w:rPr>
        <w:t>מסלבודקה</w:t>
      </w:r>
      <w:proofErr w:type="spellEnd"/>
      <w:r>
        <w:rPr>
          <w:rtl/>
        </w:rPr>
        <w:t xml:space="preserve">. </w:t>
      </w:r>
      <w:proofErr w:type="spellStart"/>
      <w:r>
        <w:rPr>
          <w:rtl/>
        </w:rPr>
        <w:t>האדר״ת</w:t>
      </w:r>
      <w:proofErr w:type="spellEnd"/>
      <w:r>
        <w:rPr>
          <w:rtl/>
        </w:rPr>
        <w:t>, שלא ידע עם מי הוא מדבר, אמר: ‘שמעתי שיש שם מחלוקת גדולה עם המשגיח בעניין המוסר. צריך לפטר את המשגיח.’ הסבא ראה בדברי הרב החשוב</w:t>
      </w:r>
      <w:bookmarkStart w:id="3375" w:name="_fnr2467"/>
      <w:r>
        <w:rPr>
          <w:rStyle w:val="a5"/>
        </w:rPr>
        <w:footnoteReference w:id="2474" w:customMarkFollows="0"/>
      </w:r>
      <w:bookmarkEnd w:id="3375"/>
      <w:r>
        <w:rPr>
          <w:rtl/>
        </w:rPr>
        <w:t xml:space="preserve"> פסק הלכה, והחליט שלא לקבל עוד משכורת. אחרי כמה שנים של עוני מחפיר, נזקק הסבא להשיא את אחד מילדיו ובא אל ר׳ חיים לבקש פסק אם מותר לו לקבל כספים מן הישיבה. נאמר לו שהוא חייב לקחת את הכסף, ‘מפני שאם לא כן תיפגע הישיבה’.”</w:t>
      </w:r>
    </w:p>
    <w:p w14:paraId="1B54570E" w14:textId="77777777" w:rsidR="00AB3647" w:rsidRDefault="00000000" w:rsidP="007923E9">
      <w:pPr>
        <w:spacing w:after="120" w:line="276" w:lineRule="auto"/>
        <w:ind w:firstLine="283"/>
        <w:jc w:val="both"/>
      </w:pPr>
      <w:r>
        <w:rPr>
          <w:rtl/>
        </w:rPr>
        <w:lastRenderedPageBreak/>
        <w:t>לפסקו של ר׳ חיים השווה “צפונות”</w:t>
      </w:r>
      <w:bookmarkStart w:id="3376" w:name="_fnr2468"/>
      <w:r>
        <w:rPr>
          <w:rStyle w:val="a5"/>
        </w:rPr>
        <w:footnoteReference w:id="2475" w:customMarkFollows="0"/>
      </w:r>
      <w:bookmarkEnd w:id="3376"/>
      <w:r>
        <w:rPr>
          <w:rtl/>
        </w:rPr>
        <w:t xml:space="preserve">, שבו נדפס מכתב שלו ובו פסק </w:t>
      </w:r>
      <w:r>
        <w:rPr>
          <w:b/>
          <w:bCs/>
          <w:rtl/>
        </w:rPr>
        <w:t>דומה</w:t>
      </w:r>
      <w:r>
        <w:rPr>
          <w:rtl/>
        </w:rPr>
        <w:t xml:space="preserve">, בנסיבות מקבילות בישיבת </w:t>
      </w:r>
      <w:proofErr w:type="spellStart"/>
      <w:r>
        <w:rPr>
          <w:rtl/>
        </w:rPr>
        <w:t>מיר</w:t>
      </w:r>
      <w:proofErr w:type="spellEnd"/>
      <w:r>
        <w:rPr>
          <w:rtl/>
        </w:rPr>
        <w:t xml:space="preserve">. יש לנו כאן גם רמז לכך </w:t>
      </w:r>
      <w:proofErr w:type="spellStart"/>
      <w:r>
        <w:rPr>
          <w:rtl/>
        </w:rPr>
        <w:t>שהאדר״ת</w:t>
      </w:r>
      <w:proofErr w:type="spellEnd"/>
      <w:r>
        <w:rPr>
          <w:rtl/>
        </w:rPr>
        <w:t>, מחותמי “למען האמת”</w:t>
      </w:r>
      <w:bookmarkStart w:id="3377" w:name="_fnr2469"/>
      <w:r>
        <w:rPr>
          <w:rStyle w:val="a5"/>
        </w:rPr>
        <w:footnoteReference w:id="2476" w:customMarkFollows="0"/>
      </w:r>
      <w:bookmarkEnd w:id="3377"/>
      <w:r>
        <w:rPr>
          <w:rtl/>
        </w:rPr>
        <w:t xml:space="preserve">, </w:t>
      </w:r>
      <w:r>
        <w:rPr>
          <w:b/>
          <w:bCs/>
          <w:rtl/>
        </w:rPr>
        <w:t>לא</w:t>
      </w:r>
      <w:r>
        <w:rPr>
          <w:rtl/>
        </w:rPr>
        <w:t xml:space="preserve"> היה תומך מוסר מצד עצמו.</w:t>
      </w:r>
    </w:p>
    <w:p w14:paraId="0D9C8397" w14:textId="77777777" w:rsidR="00AB3647" w:rsidRDefault="00000000" w:rsidP="007923E9">
      <w:pPr>
        <w:spacing w:after="120" w:line="276" w:lineRule="auto"/>
        <w:ind w:firstLine="283"/>
        <w:jc w:val="both"/>
      </w:pPr>
      <w:r>
        <w:rPr>
          <w:rtl/>
        </w:rPr>
        <w:t xml:space="preserve">לסיפור הזה, כשמנתחים אותו כראוי, יש משמעות היסטורית. הילד המדובר היה ודאי מרים בת הסבא, שהתארסה </w:t>
      </w:r>
      <w:proofErr w:type="spellStart"/>
      <w:r>
        <w:rPr>
          <w:rtl/>
        </w:rPr>
        <w:t>לר</w:t>
      </w:r>
      <w:proofErr w:type="spellEnd"/>
      <w:r>
        <w:rPr>
          <w:rtl/>
        </w:rPr>
        <w:t xml:space="preserve">׳ נפתלי </w:t>
      </w:r>
      <w:proofErr w:type="spellStart"/>
      <w:r>
        <w:rPr>
          <w:rtl/>
        </w:rPr>
        <w:t>טרופ</w:t>
      </w:r>
      <w:bookmarkStart w:id="3378" w:name="_fnr2470"/>
      <w:proofErr w:type="spellEnd"/>
      <w:r>
        <w:rPr>
          <w:rStyle w:val="a5"/>
        </w:rPr>
        <w:footnoteReference w:id="2477" w:customMarkFollows="0"/>
      </w:r>
      <w:bookmarkEnd w:id="3378"/>
      <w:r>
        <w:rPr>
          <w:rtl/>
        </w:rPr>
        <w:t xml:space="preserve"> אבל נפטרה בערב חתונתה. לפי המאמר הביוגרפי על ר׳ נפתלי, שהקדים </w:t>
      </w:r>
      <w:proofErr w:type="spellStart"/>
      <w:r>
        <w:rPr>
          <w:rtl/>
        </w:rPr>
        <w:t>ל“חידושי</w:t>
      </w:r>
      <w:proofErr w:type="spellEnd"/>
      <w:r>
        <w:rPr>
          <w:rtl/>
        </w:rPr>
        <w:t xml:space="preserve"> </w:t>
      </w:r>
      <w:proofErr w:type="spellStart"/>
      <w:r>
        <w:rPr>
          <w:rtl/>
        </w:rPr>
        <w:t>הגרנ״ט</w:t>
      </w:r>
      <w:proofErr w:type="spellEnd"/>
      <w:r>
        <w:rPr>
          <w:rtl/>
        </w:rPr>
        <w:t xml:space="preserve"> השלם”</w:t>
      </w:r>
      <w:bookmarkStart w:id="3379" w:name="_fnr2471"/>
      <w:r>
        <w:rPr>
          <w:rStyle w:val="a5"/>
        </w:rPr>
        <w:footnoteReference w:id="2478" w:customMarkFollows="0"/>
      </w:r>
      <w:bookmarkEnd w:id="3379"/>
      <w:r>
        <w:rPr>
          <w:rtl/>
        </w:rPr>
        <w:t xml:space="preserve"> עורכו ומוציאו לאור, </w:t>
      </w:r>
      <w:proofErr w:type="spellStart"/>
      <w:r>
        <w:rPr>
          <w:rtl/>
        </w:rPr>
        <w:t>מנחם־מענדיל</w:t>
      </w:r>
      <w:proofErr w:type="spellEnd"/>
      <w:r>
        <w:rPr>
          <w:rtl/>
        </w:rPr>
        <w:t xml:space="preserve"> </w:t>
      </w:r>
      <w:proofErr w:type="spellStart"/>
      <w:r>
        <w:rPr>
          <w:rtl/>
        </w:rPr>
        <w:t>גערליץ</w:t>
      </w:r>
      <w:proofErr w:type="spellEnd"/>
      <w:r>
        <w:rPr>
          <w:rtl/>
        </w:rPr>
        <w:t xml:space="preserve">, אירע הדבר </w:t>
      </w:r>
      <w:proofErr w:type="spellStart"/>
      <w:r>
        <w:rPr>
          <w:rtl/>
        </w:rPr>
        <w:t>בתרנ״ג</w:t>
      </w:r>
      <w:bookmarkStart w:id="3380" w:name="_fnr2472"/>
      <w:proofErr w:type="spellEnd"/>
      <w:r>
        <w:rPr>
          <w:rStyle w:val="a5"/>
        </w:rPr>
        <w:footnoteReference w:id="2479" w:customMarkFollows="0"/>
      </w:r>
      <w:bookmarkEnd w:id="3380"/>
      <w:r>
        <w:rPr>
          <w:rtl/>
        </w:rPr>
        <w:t xml:space="preserve"> – בדיוק בשנה שבה קיבל עליו </w:t>
      </w:r>
      <w:proofErr w:type="spellStart"/>
      <w:r>
        <w:rPr>
          <w:rtl/>
        </w:rPr>
        <w:t>האדר״ת</w:t>
      </w:r>
      <w:proofErr w:type="spellEnd"/>
      <w:r>
        <w:rPr>
          <w:rtl/>
        </w:rPr>
        <w:t xml:space="preserve"> את משרת הרבנות </w:t>
      </w:r>
      <w:proofErr w:type="spellStart"/>
      <w:r>
        <w:rPr>
          <w:rtl/>
        </w:rPr>
        <w:t>במיר</w:t>
      </w:r>
      <w:proofErr w:type="spellEnd"/>
      <w:r>
        <w:rPr>
          <w:rtl/>
        </w:rPr>
        <w:t>. הבת הבאה של הסבא שנישאה הייתה שרה (</w:t>
      </w:r>
      <w:proofErr w:type="spellStart"/>
      <w:r>
        <w:rPr>
          <w:rtl/>
        </w:rPr>
        <w:t>פלצ׳ינסקי</w:t>
      </w:r>
      <w:proofErr w:type="spellEnd"/>
      <w:r>
        <w:rPr>
          <w:rtl/>
        </w:rPr>
        <w:t xml:space="preserve">), שחתונתה התקיימה </w:t>
      </w:r>
      <w:proofErr w:type="spellStart"/>
      <w:r>
        <w:rPr>
          <w:rtl/>
        </w:rPr>
        <w:t>בתרנ״ט</w:t>
      </w:r>
      <w:proofErr w:type="spellEnd"/>
      <w:r>
        <w:rPr>
          <w:rtl/>
        </w:rPr>
        <w:t xml:space="preserve">, </w:t>
      </w:r>
      <w:r>
        <w:rPr>
          <w:b/>
          <w:bCs/>
          <w:rtl/>
        </w:rPr>
        <w:t>שנתיים לאחר</w:t>
      </w:r>
      <w:r>
        <w:rPr>
          <w:rtl/>
        </w:rPr>
        <w:t xml:space="preserve"> שייסד ישיבה משלו, כנסת ישראל.</w:t>
      </w:r>
    </w:p>
    <w:p w14:paraId="4870E09E" w14:textId="77777777" w:rsidR="00AB3647" w:rsidRDefault="00000000" w:rsidP="007923E9">
      <w:pPr>
        <w:spacing w:after="120" w:line="276" w:lineRule="auto"/>
        <w:ind w:firstLine="283"/>
        <w:jc w:val="both"/>
      </w:pPr>
      <w:r>
        <w:rPr>
          <w:rtl/>
        </w:rPr>
        <w:t xml:space="preserve">לפיכך לכאורה יש לנו הוכחה שכבר היו </w:t>
      </w:r>
      <w:proofErr w:type="spellStart"/>
      <w:r>
        <w:rPr>
          <w:rtl/>
        </w:rPr>
        <w:t>בסלבודקה</w:t>
      </w:r>
      <w:proofErr w:type="spellEnd"/>
      <w:r>
        <w:rPr>
          <w:rtl/>
        </w:rPr>
        <w:t xml:space="preserve"> פעולות נגד המוסר, חמורות כל כך </w:t>
      </w:r>
      <w:proofErr w:type="spellStart"/>
      <w:r>
        <w:rPr>
          <w:rtl/>
        </w:rPr>
        <w:t>שהאדר״ת</w:t>
      </w:r>
      <w:proofErr w:type="spellEnd"/>
      <w:r>
        <w:rPr>
          <w:rtl/>
        </w:rPr>
        <w:t xml:space="preserve"> ראה בהן הצדקה לפיטורי המשגיח – זמן רב לפני שמחלוקת המוסר פרצה בגלוי </w:t>
      </w:r>
      <w:proofErr w:type="spellStart"/>
      <w:r>
        <w:rPr>
          <w:rtl/>
        </w:rPr>
        <w:t>בתרנ״ז</w:t>
      </w:r>
      <w:bookmarkStart w:id="3381" w:name="_fnr2473"/>
      <w:proofErr w:type="spellEnd"/>
      <w:r>
        <w:rPr>
          <w:rStyle w:val="a5"/>
        </w:rPr>
        <w:footnoteReference w:id="2480" w:customMarkFollows="0"/>
      </w:r>
      <w:bookmarkEnd w:id="3381"/>
      <w:r>
        <w:rPr>
          <w:rtl/>
        </w:rPr>
        <w:t xml:space="preserve">. אבל לפי זה, לשונו של ר׳ </w:t>
      </w:r>
      <w:proofErr w:type="spellStart"/>
      <w:r>
        <w:rPr>
          <w:rtl/>
        </w:rPr>
        <w:t>יעקב־יצחק</w:t>
      </w:r>
      <w:proofErr w:type="spellEnd"/>
      <w:r>
        <w:rPr>
          <w:rtl/>
        </w:rPr>
        <w:t xml:space="preserve"> </w:t>
      </w:r>
      <w:proofErr w:type="spellStart"/>
      <w:r>
        <w:rPr>
          <w:rtl/>
        </w:rPr>
        <w:t>רודרמן</w:t>
      </w:r>
      <w:proofErr w:type="spellEnd"/>
      <w:r>
        <w:rPr>
          <w:rtl/>
        </w:rPr>
        <w:t>, “</w:t>
      </w:r>
      <w:r>
        <w:rPr>
          <w:b/>
          <w:bCs/>
          <w:rtl/>
        </w:rPr>
        <w:t>אחרי כמה שנים</w:t>
      </w:r>
      <w:r>
        <w:rPr>
          <w:rtl/>
        </w:rPr>
        <w:t xml:space="preserve"> של עוני מחפיר”, אינה מדויקת, שהרי מן הפגישה ברכבת ועד שהסבא תכנן להשיא את בתו הראשונה עבר רק זמן קצר, פחות משנה.</w:t>
      </w:r>
    </w:p>
    <w:p w14:paraId="2D65E00C" w14:textId="77777777" w:rsidR="00AB3647" w:rsidRDefault="00000000" w:rsidP="007923E9">
      <w:pPr>
        <w:spacing w:after="120" w:line="276" w:lineRule="auto"/>
        <w:ind w:firstLine="283"/>
        <w:jc w:val="both"/>
      </w:pPr>
      <w:r>
        <w:rPr>
          <w:rtl/>
        </w:rPr>
        <w:t xml:space="preserve">אבל מסתבר שהניתוח שלנו מוטעה, ושאלתו של הסבא </w:t>
      </w:r>
      <w:proofErr w:type="spellStart"/>
      <w:r>
        <w:rPr>
          <w:rtl/>
        </w:rPr>
        <w:t>לר</w:t>
      </w:r>
      <w:proofErr w:type="spellEnd"/>
      <w:r>
        <w:rPr>
          <w:rtl/>
        </w:rPr>
        <w:t xml:space="preserve">׳ חיים לא הייתה קשורה לבתו הבכורה אלא לבתו </w:t>
      </w:r>
      <w:r>
        <w:rPr>
          <w:b/>
          <w:bCs/>
          <w:rtl/>
        </w:rPr>
        <w:t>השנייה</w:t>
      </w:r>
      <w:r>
        <w:rPr>
          <w:rtl/>
        </w:rPr>
        <w:t xml:space="preserve">, ובאמת כבר עברו “כמה שנים” מאז פגישת האקראי. אף שבזמן נישואיה כבר קיבל משכורת מישיבת כנסת ישראל, לא היה בידו לכסות את הוצאות נדונייתה. לא רק ששכרו היה מועט, אלא שלא הייתה לו הכנסה כלל מאז ששמע את “פסקו” של </w:t>
      </w:r>
      <w:proofErr w:type="spellStart"/>
      <w:r>
        <w:rPr>
          <w:rtl/>
        </w:rPr>
        <w:t>האדר״ת</w:t>
      </w:r>
      <w:proofErr w:type="spellEnd"/>
      <w:r>
        <w:rPr>
          <w:rtl/>
        </w:rPr>
        <w:t xml:space="preserve"> (אולי אף שלוש שנים לאחר מינויו </w:t>
      </w:r>
      <w:proofErr w:type="spellStart"/>
      <w:r>
        <w:rPr>
          <w:rtl/>
        </w:rPr>
        <w:t>למיר</w:t>
      </w:r>
      <w:proofErr w:type="spellEnd"/>
      <w:r>
        <w:rPr>
          <w:rtl/>
        </w:rPr>
        <w:t xml:space="preserve">) ועד שנוסדה ישיבתו החדשה של הסבא </w:t>
      </w:r>
      <w:proofErr w:type="spellStart"/>
      <w:r>
        <w:rPr>
          <w:rtl/>
        </w:rPr>
        <w:t>מסלבודקה</w:t>
      </w:r>
      <w:proofErr w:type="spellEnd"/>
      <w:r>
        <w:rPr>
          <w:rtl/>
        </w:rPr>
        <w:t>. משום כך עדיין היה דל אמצעים בזמן חתונת בתו, שנתיים אחרי ייסוד כנסת ישראל.</w:t>
      </w:r>
    </w:p>
    <w:p w14:paraId="3850ED40" w14:textId="77777777" w:rsidR="00AB3647" w:rsidRDefault="00000000" w:rsidP="007923E9">
      <w:pPr>
        <w:spacing w:after="120" w:line="276" w:lineRule="auto"/>
        <w:ind w:firstLine="283"/>
        <w:jc w:val="both"/>
      </w:pPr>
      <w:r>
        <w:rPr>
          <w:rtl/>
        </w:rPr>
        <w:t xml:space="preserve">אם ניתוח זה נכון, הסבא לא שאל את ר׳ חיים אם עליו לקיים את פסק </w:t>
      </w:r>
      <w:proofErr w:type="spellStart"/>
      <w:r>
        <w:rPr>
          <w:rtl/>
        </w:rPr>
        <w:t>האדר״ת</w:t>
      </w:r>
      <w:proofErr w:type="spellEnd"/>
      <w:r>
        <w:rPr>
          <w:rtl/>
        </w:rPr>
        <w:t xml:space="preserve">, שהרי כבר קיים אותו מן המועד (שאינו ידוע) שבו פגש את </w:t>
      </w:r>
      <w:proofErr w:type="spellStart"/>
      <w:r>
        <w:rPr>
          <w:rtl/>
        </w:rPr>
        <w:t>האדר״ת</w:t>
      </w:r>
      <w:proofErr w:type="spellEnd"/>
      <w:r>
        <w:rPr>
          <w:rtl/>
        </w:rPr>
        <w:t xml:space="preserve"> ועד שנוסדה כנסת ישראל. הוא שאל אם מותר לו </w:t>
      </w:r>
      <w:r>
        <w:rPr>
          <w:b/>
          <w:bCs/>
          <w:rtl/>
        </w:rPr>
        <w:t>להוסיף</w:t>
      </w:r>
      <w:r>
        <w:rPr>
          <w:rtl/>
        </w:rPr>
        <w:t xml:space="preserve"> על משכורתו מכנסת ישראל ולקחת סכום חד־פעמי כדי לכסות את ההוצאות הנוספות שנלוו לנישואי ילדו, כגון “</w:t>
      </w:r>
      <w:proofErr w:type="spellStart"/>
      <w:r>
        <w:rPr>
          <w:rtl/>
        </w:rPr>
        <w:t>קעסט</w:t>
      </w:r>
      <w:proofErr w:type="spellEnd"/>
      <w:r>
        <w:rPr>
          <w:rtl/>
        </w:rPr>
        <w:t xml:space="preserve">” לחתנו החדש. זו הייתה </w:t>
      </w:r>
      <w:r>
        <w:rPr>
          <w:b/>
          <w:bCs/>
          <w:rtl/>
        </w:rPr>
        <w:t>בדיוק</w:t>
      </w:r>
      <w:r>
        <w:rPr>
          <w:rtl/>
        </w:rPr>
        <w:t xml:space="preserve"> השאלה במכתב שנדפס </w:t>
      </w:r>
      <w:proofErr w:type="spellStart"/>
      <w:r>
        <w:rPr>
          <w:rtl/>
        </w:rPr>
        <w:t>ב“צפונות</w:t>
      </w:r>
      <w:proofErr w:type="spellEnd"/>
      <w:r>
        <w:rPr>
          <w:rtl/>
        </w:rPr>
        <w:t>” ונזכר לעיל!</w:t>
      </w:r>
    </w:p>
    <w:p w14:paraId="13AA6F45" w14:textId="77777777" w:rsidR="00AB3647" w:rsidRDefault="00000000" w:rsidP="007923E9">
      <w:pPr>
        <w:spacing w:after="120" w:line="276" w:lineRule="auto"/>
        <w:ind w:firstLine="283"/>
        <w:jc w:val="both"/>
      </w:pPr>
      <w:r>
        <w:rPr>
          <w:rtl/>
        </w:rPr>
        <w:t xml:space="preserve">ייתכן שסיפור מעורפל שסיפר בנו של הסבא, ר׳ </w:t>
      </w:r>
      <w:proofErr w:type="spellStart"/>
      <w:r>
        <w:rPr>
          <w:rtl/>
        </w:rPr>
        <w:t>לייזר־יודל</w:t>
      </w:r>
      <w:proofErr w:type="spellEnd"/>
      <w:r>
        <w:rPr>
          <w:rtl/>
        </w:rPr>
        <w:t xml:space="preserve"> </w:t>
      </w:r>
      <w:proofErr w:type="spellStart"/>
      <w:r>
        <w:rPr>
          <w:rtl/>
        </w:rPr>
        <w:t>פינקל</w:t>
      </w:r>
      <w:proofErr w:type="spellEnd"/>
      <w:r>
        <w:rPr>
          <w:rtl/>
        </w:rPr>
        <w:t>, למחבר “תנועת המוסר”</w:t>
      </w:r>
      <w:bookmarkStart w:id="3382" w:name="_fnr2474"/>
      <w:r>
        <w:rPr>
          <w:rStyle w:val="a5"/>
        </w:rPr>
        <w:footnoteReference w:id="2481" w:customMarkFollows="0"/>
      </w:r>
      <w:bookmarkEnd w:id="3382"/>
      <w:r>
        <w:rPr>
          <w:rtl/>
        </w:rPr>
        <w:t xml:space="preserve">, קשור לסיפורו של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לייזר־יודל</w:t>
      </w:r>
      <w:proofErr w:type="spellEnd"/>
      <w:r>
        <w:rPr>
          <w:rtl/>
        </w:rPr>
        <w:t xml:space="preserve"> סיפר: “בתקופה מסוימת, כאשר הופיעה התנגדות לסבא בישיבה, הוא התפטר והעביר את תפקידו </w:t>
      </w:r>
      <w:proofErr w:type="spellStart"/>
      <w:r>
        <w:rPr>
          <w:rtl/>
        </w:rPr>
        <w:t>לר</w:t>
      </w:r>
      <w:proofErr w:type="spellEnd"/>
      <w:r>
        <w:rPr>
          <w:rtl/>
        </w:rPr>
        <w:t xml:space="preserve">׳ נטע </w:t>
      </w:r>
      <w:proofErr w:type="spellStart"/>
      <w:r>
        <w:rPr>
          <w:rtl/>
        </w:rPr>
        <w:t>גינזבורג</w:t>
      </w:r>
      <w:proofErr w:type="spellEnd"/>
      <w:r>
        <w:rPr>
          <w:rtl/>
        </w:rPr>
        <w:t xml:space="preserve"> </w:t>
      </w:r>
      <w:proofErr w:type="spellStart"/>
      <w:r>
        <w:rPr>
          <w:rtl/>
        </w:rPr>
        <w:lastRenderedPageBreak/>
        <w:t>מוואסילישוק</w:t>
      </w:r>
      <w:proofErr w:type="spellEnd"/>
      <w:r>
        <w:rPr>
          <w:rtl/>
        </w:rPr>
        <w:t>, שהיה אחת הדמויות המוכרות של בעלי המוסר בין חברי הכולל. אולם משחלפו ימים אחדים וחילופי האישים לא הצליחו, התבקש הסבא לחזור, ושב לתפקידו.”</w:t>
      </w:r>
    </w:p>
    <w:p w14:paraId="0C7B5454" w14:textId="77777777" w:rsidR="00AB3647" w:rsidRDefault="00000000" w:rsidP="007923E9">
      <w:pPr>
        <w:spacing w:after="120" w:line="276" w:lineRule="auto"/>
        <w:ind w:firstLine="283"/>
        <w:jc w:val="both"/>
      </w:pPr>
      <w:r>
        <w:rPr>
          <w:rtl/>
        </w:rPr>
        <w:t xml:space="preserve">ייתכן שהדבר אירע לאחר שרב </w:t>
      </w:r>
      <w:proofErr w:type="spellStart"/>
      <w:r>
        <w:rPr>
          <w:rtl/>
        </w:rPr>
        <w:t>מיר</w:t>
      </w:r>
      <w:proofErr w:type="spellEnd"/>
      <w:r>
        <w:rPr>
          <w:rtl/>
        </w:rPr>
        <w:t xml:space="preserve"> פסק שצריך לפטר את הסבא. בתחילה ר׳ </w:t>
      </w:r>
      <w:proofErr w:type="spellStart"/>
      <w:r>
        <w:rPr>
          <w:rtl/>
        </w:rPr>
        <w:t>נתן־צבי</w:t>
      </w:r>
      <w:proofErr w:type="spellEnd"/>
      <w:r>
        <w:rPr>
          <w:rtl/>
        </w:rPr>
        <w:t xml:space="preserve"> פשוט התפטר – הוא “פיטר” את עצמו, בדיוק כמו שאמר </w:t>
      </w:r>
      <w:proofErr w:type="spellStart"/>
      <w:r>
        <w:rPr>
          <w:rtl/>
        </w:rPr>
        <w:t>האדר״ת</w:t>
      </w:r>
      <w:proofErr w:type="spellEnd"/>
      <w:r>
        <w:rPr>
          <w:rtl/>
        </w:rPr>
        <w:t xml:space="preserve">. אבל כשראה שר׳ נטע </w:t>
      </w:r>
      <w:proofErr w:type="spellStart"/>
      <w:r>
        <w:rPr>
          <w:rtl/>
        </w:rPr>
        <w:t>גינזבורג</w:t>
      </w:r>
      <w:proofErr w:type="spellEnd"/>
      <w:r>
        <w:rPr>
          <w:rtl/>
        </w:rPr>
        <w:t>, המתאים ביותר לתפקיד אחריו, אינו מתאים דיו, לא נותרה לסבא ברירה</w:t>
      </w:r>
      <w:bookmarkStart w:id="3383" w:name="_fnr2475"/>
      <w:r>
        <w:rPr>
          <w:rStyle w:val="a5"/>
        </w:rPr>
        <w:footnoteReference w:id="2482" w:customMarkFollows="0"/>
      </w:r>
      <w:bookmarkEnd w:id="3383"/>
      <w:r>
        <w:rPr>
          <w:rtl/>
        </w:rPr>
        <w:t xml:space="preserve"> אלא לשוב לתפקיד – אך על סמך הפסק לא קיבל משכורת.</w:t>
      </w:r>
    </w:p>
    <w:p w14:paraId="725EDF13" w14:textId="77777777" w:rsidR="00AB3647" w:rsidRDefault="00000000" w:rsidP="007923E9">
      <w:pPr>
        <w:spacing w:after="120" w:line="276" w:lineRule="auto"/>
        <w:ind w:firstLine="283"/>
        <w:jc w:val="both"/>
      </w:pPr>
      <w:r>
        <w:rPr>
          <w:rtl/>
        </w:rPr>
        <w:t xml:space="preserve">אגב, דבריו של </w:t>
      </w:r>
      <w:proofErr w:type="spellStart"/>
      <w:r>
        <w:rPr>
          <w:rtl/>
        </w:rPr>
        <w:t>האדר״ת</w:t>
      </w:r>
      <w:proofErr w:type="spellEnd"/>
      <w:r>
        <w:rPr>
          <w:rtl/>
        </w:rPr>
        <w:t xml:space="preserve"> עצמו </w:t>
      </w:r>
      <w:proofErr w:type="spellStart"/>
      <w:r>
        <w:rPr>
          <w:rtl/>
        </w:rPr>
        <w:t>ב“סדר</w:t>
      </w:r>
      <w:proofErr w:type="spellEnd"/>
      <w:r>
        <w:rPr>
          <w:rtl/>
        </w:rPr>
        <w:t xml:space="preserve"> אליהו”</w:t>
      </w:r>
      <w:bookmarkStart w:id="3384" w:name="_fnr2476"/>
      <w:r>
        <w:rPr>
          <w:rStyle w:val="a5"/>
        </w:rPr>
        <w:footnoteReference w:id="2483" w:customMarkFollows="0"/>
      </w:r>
      <w:bookmarkEnd w:id="3384"/>
      <w:r>
        <w:rPr>
          <w:rtl/>
        </w:rPr>
        <w:t xml:space="preserve"> תומכים בכך שהיה מעוטר בתפילין ברכבת: “במשך כמה עשרות שנים הרגלתי את עצמי להניח תפילין קטנות כל היום – ובייחוד בהיותי בדרך”. לפי ההקשר שם, לא היה רגיל להתעטף גם בטלית, ואילו ר׳ </w:t>
      </w:r>
      <w:proofErr w:type="spellStart"/>
      <w:r>
        <w:rPr>
          <w:rtl/>
        </w:rPr>
        <w:t>יעקב־יצחק</w:t>
      </w:r>
      <w:proofErr w:type="spellEnd"/>
      <w:r>
        <w:rPr>
          <w:rtl/>
        </w:rPr>
        <w:t xml:space="preserve"> </w:t>
      </w:r>
      <w:proofErr w:type="spellStart"/>
      <w:r>
        <w:rPr>
          <w:rtl/>
        </w:rPr>
        <w:t>רודרמן</w:t>
      </w:r>
      <w:proofErr w:type="spellEnd"/>
      <w:r>
        <w:rPr>
          <w:rtl/>
        </w:rPr>
        <w:t xml:space="preserve"> סיפר שהיה עטוף בה בשעת הנסיעה ברכבת. אולי צירף המספר בשגגה את הטלית לתפילין. קריאתו של </w:t>
      </w:r>
      <w:proofErr w:type="spellStart"/>
      <w:r>
        <w:rPr>
          <w:rtl/>
        </w:rPr>
        <w:t>האדר״ת</w:t>
      </w:r>
      <w:proofErr w:type="spellEnd"/>
      <w:r>
        <w:rPr>
          <w:rtl/>
        </w:rPr>
        <w:t xml:space="preserve"> </w:t>
      </w:r>
      <w:proofErr w:type="spellStart"/>
      <w:r>
        <w:rPr>
          <w:rtl/>
        </w:rPr>
        <w:t>ב“שערי</w:t>
      </w:r>
      <w:proofErr w:type="spellEnd"/>
      <w:r>
        <w:rPr>
          <w:rtl/>
        </w:rPr>
        <w:t xml:space="preserve"> תשובה” אולי הייתה קשורה לא ללימוד מוסר אלא לנטייתו ללמוד את מניין “תרי״ג המצוות”</w:t>
      </w:r>
      <w:bookmarkStart w:id="3385" w:name="_fnr2477"/>
      <w:r>
        <w:rPr>
          <w:rStyle w:val="a5"/>
        </w:rPr>
        <w:footnoteReference w:id="2484" w:customMarkFollows="0"/>
      </w:r>
      <w:bookmarkEnd w:id="3385"/>
      <w:r>
        <w:rPr>
          <w:rtl/>
        </w:rPr>
        <w:t>, שהשער השלישי של החיבור הזה הוא מקור יסודי לו.</w:t>
      </w:r>
    </w:p>
    <w:p w14:paraId="3CA0BD76" w14:textId="77777777" w:rsidR="00AB3647" w:rsidRDefault="00000000" w:rsidP="007923E9">
      <w:pPr>
        <w:pStyle w:val="4"/>
        <w:spacing w:line="276" w:lineRule="auto"/>
      </w:pPr>
      <w:r>
        <w:t>· הפסקה השלישית ·</w:t>
      </w:r>
    </w:p>
    <w:p w14:paraId="7D911E85" w14:textId="77777777" w:rsidR="00AB3647" w:rsidRDefault="00000000" w:rsidP="007923E9">
      <w:pPr>
        <w:pStyle w:val="5"/>
        <w:spacing w:line="276" w:lineRule="auto"/>
      </w:pPr>
      <w:r>
        <w:t xml:space="preserve">הסבא ותלמידו ר׳ אברהם </w:t>
      </w:r>
      <w:proofErr w:type="spellStart"/>
      <w:r>
        <w:t>גרודזינסקי</w:t>
      </w:r>
      <w:proofErr w:type="spellEnd"/>
      <w:r>
        <w:t xml:space="preserve"> חיים שנים רבות בפרישות</w:t>
      </w:r>
    </w:p>
    <w:p w14:paraId="434CDF89" w14:textId="77777777" w:rsidR="00AB3647" w:rsidRDefault="00000000" w:rsidP="007923E9">
      <w:pPr>
        <w:spacing w:after="120" w:line="276" w:lineRule="auto"/>
        <w:ind w:firstLine="283"/>
        <w:jc w:val="both"/>
      </w:pPr>
      <w:r>
        <w:rPr>
          <w:rtl/>
        </w:rPr>
        <w:t xml:space="preserve">אני מאמין שאחת הסיבות לכך שהסבא חי בפרישות הייתה רצונו להימצא, ככל האפשר, במצב דומה לזה של תלמידיו, וכך יזדהו עמו יותר ויקלטו את תורתו בנקל. אותה הקרבה עצמית למטרות חינוכיות משתקפת בהנהגת תלמידו הגדול, ר׳ אברהם </w:t>
      </w:r>
      <w:proofErr w:type="spellStart"/>
      <w:r>
        <w:rPr>
          <w:rtl/>
        </w:rPr>
        <w:t>גרודזינסקי</w:t>
      </w:r>
      <w:proofErr w:type="spellEnd"/>
      <w:r>
        <w:rPr>
          <w:rtl/>
        </w:rPr>
        <w:t xml:space="preserve">, שסירב להינשא שנית לאחר שאשתו נפטרה </w:t>
      </w:r>
      <w:proofErr w:type="spellStart"/>
      <w:r>
        <w:rPr>
          <w:rtl/>
        </w:rPr>
        <w:t>בתרפ״ט</w:t>
      </w:r>
      <w:proofErr w:type="spellEnd"/>
      <w:r>
        <w:rPr>
          <w:rtl/>
        </w:rPr>
        <w:t xml:space="preserve">. הוא היה אז רק בן ארבעים ושבע, וכמה משמונת ילדיהם היו עדיין קטנים מאוד. בנם הצעיר, יצחק, היה רק תינוק, ואמי, אחות המנוחה, אימצה אותו וגידלה אותו יחד אתנו, ילדיה, </w:t>
      </w:r>
      <w:proofErr w:type="spellStart"/>
      <w:r>
        <w:rPr>
          <w:rtl/>
        </w:rPr>
        <w:t>בציטוביאן</w:t>
      </w:r>
      <w:proofErr w:type="spellEnd"/>
      <w:r>
        <w:rPr>
          <w:rtl/>
        </w:rPr>
        <w:t>.</w:t>
      </w:r>
    </w:p>
    <w:p w14:paraId="77285120" w14:textId="77777777" w:rsidR="00AB3647" w:rsidRDefault="00000000" w:rsidP="007923E9">
      <w:pPr>
        <w:spacing w:after="120" w:line="276" w:lineRule="auto"/>
        <w:ind w:firstLine="283"/>
        <w:jc w:val="both"/>
      </w:pPr>
      <w:r>
        <w:rPr>
          <w:rtl/>
        </w:rPr>
        <w:t>בהקדמה שכתבו ילדי ר׳ אברהם לכרך הרצאות המוסר שיצא לאחר מותו, “ספר תורת אברהם”</w:t>
      </w:r>
      <w:bookmarkStart w:id="3386" w:name="_fnr2478"/>
      <w:r>
        <w:rPr>
          <w:rStyle w:val="a5"/>
        </w:rPr>
        <w:footnoteReference w:id="2485" w:customMarkFollows="0"/>
      </w:r>
      <w:bookmarkEnd w:id="3386"/>
      <w:r>
        <w:rPr>
          <w:rtl/>
        </w:rPr>
        <w:t>, נאמר</w:t>
      </w:r>
      <w:bookmarkStart w:id="3387" w:name="_fnr2479"/>
      <w:r>
        <w:rPr>
          <w:rStyle w:val="a5"/>
        </w:rPr>
        <w:footnoteReference w:id="2486" w:customMarkFollows="0"/>
      </w:r>
      <w:bookmarkEnd w:id="3387"/>
      <w:r>
        <w:rPr>
          <w:rtl/>
        </w:rPr>
        <w:t xml:space="preserve">: “הוא בחר לשאת לבדו [בלא בת זוג] את עול הבית וחינוך הילדים – ולכך היה לו טעם והצדקה, שגילה פעם לבתו: כשהתלמידים יראו שהוא </w:t>
      </w:r>
      <w:r>
        <w:rPr>
          <w:b/>
          <w:bCs/>
          <w:rtl/>
        </w:rPr>
        <w:t>בעל ייסורים</w:t>
      </w:r>
      <w:r>
        <w:rPr>
          <w:rtl/>
        </w:rPr>
        <w:t xml:space="preserve"> (ההדגשה שלי), ישפיע בוודאי עמוק יותר על </w:t>
      </w:r>
      <w:proofErr w:type="spellStart"/>
      <w:r>
        <w:rPr>
          <w:rtl/>
        </w:rPr>
        <w:t>לבותיהם</w:t>
      </w:r>
      <w:proofErr w:type="spellEnd"/>
      <w:r>
        <w:rPr>
          <w:rtl/>
        </w:rPr>
        <w:t>.”</w:t>
      </w:r>
      <w:bookmarkStart w:id="3388" w:name="_fnr2480"/>
      <w:r>
        <w:rPr>
          <w:rStyle w:val="a5"/>
        </w:rPr>
        <w:footnoteReference w:id="2487" w:customMarkFollows="0"/>
      </w:r>
      <w:bookmarkEnd w:id="3388"/>
      <w:r>
        <w:rPr>
          <w:rtl/>
        </w:rPr>
        <w:t xml:space="preserve"> סביר שהביטוי שבו השתמש ר׳ אברהם לא היה מפורש כל כך כמו שהודגש לעיל. מה שאמר היה “</w:t>
      </w:r>
      <w:proofErr w:type="spellStart"/>
      <w:r>
        <w:rPr>
          <w:rtl/>
        </w:rPr>
        <w:t>ווען</w:t>
      </w:r>
      <w:proofErr w:type="spellEnd"/>
      <w:r>
        <w:rPr>
          <w:rtl/>
        </w:rPr>
        <w:t xml:space="preserve"> די תלמידים </w:t>
      </w:r>
      <w:proofErr w:type="spellStart"/>
      <w:r>
        <w:rPr>
          <w:rtl/>
        </w:rPr>
        <w:t>וועלען</w:t>
      </w:r>
      <w:proofErr w:type="spellEnd"/>
      <w:r>
        <w:rPr>
          <w:rtl/>
        </w:rPr>
        <w:t xml:space="preserve"> </w:t>
      </w:r>
      <w:proofErr w:type="spellStart"/>
      <w:r>
        <w:rPr>
          <w:rtl/>
        </w:rPr>
        <w:lastRenderedPageBreak/>
        <w:t>זעהן</w:t>
      </w:r>
      <w:proofErr w:type="spellEnd"/>
      <w:r>
        <w:rPr>
          <w:rtl/>
        </w:rPr>
        <w:t xml:space="preserve"> מיין </w:t>
      </w:r>
      <w:r>
        <w:rPr>
          <w:b/>
          <w:bCs/>
          <w:rtl/>
        </w:rPr>
        <w:t>מצב</w:t>
      </w:r>
      <w:r>
        <w:rPr>
          <w:rtl/>
        </w:rPr>
        <w:t>” [כשהתלמידים יראו את מצבי], ובתו האמפתית הבינה את דבריו במשמעות “ייסורי”, אף שפירושם היה פשוט “היותי בלא אישה”.</w:t>
      </w:r>
      <w:bookmarkStart w:id="3389" w:name="_fnr2481"/>
      <w:bookmarkStart w:id="3390" w:name="pr_f_2382"/>
      <w:r>
        <w:rPr>
          <w:rStyle w:val="a5"/>
        </w:rPr>
        <w:footnoteReference w:id="2488" w:customMarkFollows="0"/>
      </w:r>
      <w:bookmarkStart w:id="3391" w:name="_fnr2482"/>
      <w:bookmarkStart w:id="3392" w:name="pr_f_2383"/>
      <w:bookmarkEnd w:id="3389"/>
      <w:bookmarkEnd w:id="3390"/>
      <w:r>
        <w:rPr>
          <w:rStyle w:val="a5"/>
        </w:rPr>
        <w:footnoteReference w:id="2489" w:customMarkFollows="0"/>
      </w:r>
      <w:bookmarkEnd w:id="3391"/>
      <w:bookmarkEnd w:id="3392"/>
    </w:p>
    <w:bookmarkStart w:id="3393" w:name="b3_excX"/>
    <w:p w14:paraId="60BD27F7" w14:textId="77777777" w:rsidR="00AB3647" w:rsidRDefault="00000000" w:rsidP="007923E9">
      <w:pPr>
        <w:pStyle w:val="3"/>
        <w:spacing w:line="276" w:lineRule="auto"/>
      </w:pPr>
      <w:r>
        <w:lastRenderedPageBreak/>
        <w:fldChar w:fldCharType="begin" w:dirty="true"/>
      </w:r>
      <w:r>
        <w:rPr>
          <w:rtl w:val="0"/>
        </w:rPr>
        <w:instrText>HYPERLINK \l "b3_note90</w:instrText>
      </w:r>
      <w:r>
        <w:instrText>"</w:instrText>
      </w:r>
      <w:r>
        <w:fldChar w:fldCharType="separate"/>
      </w:r>
      <w:r>
        <w:t>נספח כד</w:t>
      </w:r>
      <w:r>
        <w:fldChar w:fldCharType="end"/>
      </w:r>
      <w:bookmarkEnd w:id="3393"/>
    </w:p>
    <w:p w14:paraId="53B32BEF" w14:textId="77777777" w:rsidR="00AB3647" w:rsidRDefault="00000000" w:rsidP="007923E9">
      <w:pPr>
        <w:pStyle w:val="af"/>
        <w:spacing w:line="276" w:lineRule="auto"/>
      </w:pPr>
      <w:r>
        <w:t>על היחסים בין בעלי המוסר למתנגדיהם</w:t>
      </w:r>
    </w:p>
    <w:p w14:paraId="1BA95DAC" w14:textId="77777777" w:rsidR="00AB3647" w:rsidRDefault="00000000" w:rsidP="007923E9">
      <w:pPr>
        <w:pStyle w:val="5"/>
        <w:spacing w:line="276" w:lineRule="auto"/>
      </w:pPr>
      <w:r>
        <w:t xml:space="preserve">ר׳ </w:t>
      </w:r>
      <w:proofErr w:type="spellStart"/>
      <w:r>
        <w:t>משה־מרדכי</w:t>
      </w:r>
      <w:proofErr w:type="spellEnd"/>
      <w:r>
        <w:t xml:space="preserve"> מתמנה לרב </w:t>
      </w:r>
      <w:proofErr w:type="spellStart"/>
      <w:r>
        <w:t>סלבודקה</w:t>
      </w:r>
      <w:proofErr w:type="spellEnd"/>
      <w:r>
        <w:t xml:space="preserve"> – בעלי המוסר כועסים על ר׳ </w:t>
      </w:r>
      <w:proofErr w:type="spellStart"/>
      <w:r>
        <w:t>צבי־הירש</w:t>
      </w:r>
      <w:proofErr w:type="spellEnd"/>
      <w:r>
        <w:t xml:space="preserve"> </w:t>
      </w:r>
      <w:proofErr w:type="spellStart"/>
      <w:r>
        <w:t>רבינוביץ</w:t>
      </w:r>
      <w:proofErr w:type="spellEnd"/>
      <w:r>
        <w:t xml:space="preserve"> – הם כועסים ושותקים – מתנגדיהם מבינים בהדרגה את הצורך במוסר – בעלי המוסר משלימים בהדרגה עם ר׳ </w:t>
      </w:r>
      <w:proofErr w:type="spellStart"/>
      <w:r>
        <w:t>צבי־הירש</w:t>
      </w:r>
      <w:proofErr w:type="spellEnd"/>
      <w:r>
        <w:t xml:space="preserve"> </w:t>
      </w:r>
      <w:proofErr w:type="spellStart"/>
      <w:r>
        <w:t>רבינוביץ</w:t>
      </w:r>
      <w:proofErr w:type="spellEnd"/>
    </w:p>
    <w:p w14:paraId="4B7B4DE6" w14:textId="5EE645D3" w:rsidR="00AB3647" w:rsidRDefault="00000000" w:rsidP="007923E9">
      <w:pPr>
        <w:spacing w:after="120" w:line="276" w:lineRule="auto"/>
        <w:ind w:firstLine="283"/>
        <w:jc w:val="both"/>
      </w:pPr>
      <w:r>
        <w:rPr>
          <w:rtl/>
        </w:rPr>
        <w:t xml:space="preserve">ר׳ </w:t>
      </w:r>
      <w:proofErr w:type="spellStart"/>
      <w:r>
        <w:rPr>
          <w:rtl/>
        </w:rPr>
        <w:t>משה־מרדכי</w:t>
      </w:r>
      <w:proofErr w:type="spellEnd"/>
      <w:r>
        <w:rPr>
          <w:rtl/>
        </w:rPr>
        <w:t xml:space="preserve"> מונה </w:t>
      </w:r>
      <w:proofErr w:type="spellStart"/>
      <w:r>
        <w:rPr>
          <w:rtl/>
        </w:rPr>
        <w:t>למ״ץ</w:t>
      </w:r>
      <w:proofErr w:type="spellEnd"/>
      <w:r>
        <w:rPr>
          <w:rtl/>
        </w:rPr>
        <w:t xml:space="preserve"> </w:t>
      </w:r>
      <w:proofErr w:type="spellStart"/>
      <w:r>
        <w:rPr>
          <w:rtl/>
        </w:rPr>
        <w:t>בסלבודקה</w:t>
      </w:r>
      <w:proofErr w:type="spellEnd"/>
      <w:r>
        <w:rPr>
          <w:rtl/>
        </w:rPr>
        <w:t xml:space="preserve"> </w:t>
      </w:r>
      <w:proofErr w:type="spellStart"/>
      <w:r>
        <w:rPr>
          <w:rtl/>
        </w:rPr>
        <w:t>בתר״ס</w:t>
      </w:r>
      <w:proofErr w:type="spellEnd"/>
      <w:r>
        <w:rPr>
          <w:rtl/>
        </w:rPr>
        <w:t xml:space="preserve">, והדבר חייב אותו להתפלל לעיתים בבית הכנסת. כבר שלוש שנים אחרי פולמוס המוסר התבקש ראש ישיבת כנסת ישראל לשמש </w:t>
      </w:r>
      <w:proofErr w:type="spellStart"/>
      <w:r>
        <w:rPr>
          <w:rtl/>
        </w:rPr>
        <w:t>מ״ץ</w:t>
      </w:r>
      <w:proofErr w:type="spellEnd"/>
      <w:r>
        <w:rPr>
          <w:rtl/>
        </w:rPr>
        <w:t xml:space="preserve"> תחת </w:t>
      </w:r>
      <w:proofErr w:type="spellStart"/>
      <w:r>
        <w:rPr>
          <w:rtl/>
        </w:rPr>
        <w:t>רבנותו</w:t>
      </w:r>
      <w:proofErr w:type="spellEnd"/>
      <w:r>
        <w:rPr>
          <w:rtl/>
        </w:rPr>
        <w:t xml:space="preserve"> של ר׳ משה </w:t>
      </w:r>
      <w:proofErr w:type="spellStart"/>
      <w:r>
        <w:rPr>
          <w:rtl/>
        </w:rPr>
        <w:t>דנישבסקי</w:t>
      </w:r>
      <w:proofErr w:type="spellEnd"/>
      <w:r>
        <w:rPr>
          <w:rtl/>
        </w:rPr>
        <w:t xml:space="preserve">, ממנהיגי קבוצת המתנגדים – ועובדה זו מוכיחה ששתי הסיעות פעלו לשם שמים. </w:t>
      </w:r>
      <w:proofErr w:type="spellStart"/>
      <w:r>
        <w:rPr>
          <w:rtl/>
        </w:rPr>
        <w:t>בתר״ע</w:t>
      </w:r>
      <w:proofErr w:type="spellEnd"/>
      <w:r>
        <w:rPr>
          <w:rtl/>
        </w:rPr>
        <w:t xml:space="preserve">, שנה לאחר פטירת ר׳ משה </w:t>
      </w:r>
      <w:proofErr w:type="spellStart"/>
      <w:r>
        <w:rPr>
          <w:rtl/>
        </w:rPr>
        <w:t>דנישבסקי</w:t>
      </w:r>
      <w:proofErr w:type="spellEnd"/>
      <w:r>
        <w:rPr>
          <w:rtl/>
        </w:rPr>
        <w:t xml:space="preserve"> </w:t>
      </w:r>
      <w:proofErr w:type="spellStart"/>
      <w:r>
        <w:rPr>
          <w:rtl/>
        </w:rPr>
        <w:t>ושלוש־עשרה</w:t>
      </w:r>
      <w:proofErr w:type="spellEnd"/>
      <w:r>
        <w:rPr>
          <w:rtl/>
        </w:rPr>
        <w:t xml:space="preserve"> שנה אחרי פולמוס המוסר, כשההתנגדות למוסר כבר שככה ברובה</w:t>
      </w:r>
      <w:bookmarkStart w:id="3394" w:name="_fnr2483"/>
      <w:r>
        <w:rPr>
          <w:rStyle w:val="a5"/>
        </w:rPr>
        <w:footnoteReference w:id="2490" w:customMarkFollows="0"/>
      </w:r>
      <w:bookmarkEnd w:id="3394"/>
      <w:r>
        <w:rPr>
          <w:rtl/>
        </w:rPr>
        <w:t xml:space="preserve">, נתמנה ר׳ </w:t>
      </w:r>
      <w:proofErr w:type="spellStart"/>
      <w:r>
        <w:rPr>
          <w:rtl/>
        </w:rPr>
        <w:t>משה־מרדכי</w:t>
      </w:r>
      <w:proofErr w:type="spellEnd"/>
      <w:r>
        <w:rPr>
          <w:rtl/>
        </w:rPr>
        <w:t xml:space="preserve"> לרב </w:t>
      </w:r>
      <w:proofErr w:type="spellStart"/>
      <w:r>
        <w:rPr>
          <w:rtl/>
        </w:rPr>
        <w:t>סלבודקה</w:t>
      </w:r>
      <w:proofErr w:type="spellEnd"/>
      <w:r>
        <w:rPr>
          <w:rtl/>
        </w:rPr>
        <w:t xml:space="preserve">. השווה גם פרק 4, הערה </w:t>
      </w:r>
      <w:r>
        <w:rPr>
          <w:rtl/>
        </w:rPr>
        <w:fldChar w:fldCharType="begin" w:dirty="true"/>
      </w:r>
      <w:r>
        <w:rPr>
          <w:rtl/>
        </w:rPr>
        <w:instrText xml:space="preserve"> REF b4_note150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150</w:t>
      </w:r>
      <w:r>
        <w:rPr>
          <w:rtl/>
        </w:rPr>
        <w:fldChar w:fldCharType="end"/>
      </w:r>
      <w:r>
        <w:rPr>
          <w:rtl/>
        </w:rPr>
        <w:t>.</w:t>
      </w:r>
    </w:p>
    <w:p w14:paraId="54685628"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הראה לי</w:t>
      </w:r>
      <w:bookmarkStart w:id="3395" w:name="_fnr2484"/>
      <w:r>
        <w:rPr>
          <w:rStyle w:val="a5"/>
        </w:rPr>
        <w:footnoteReference w:id="2491" w:customMarkFollows="0"/>
      </w:r>
      <w:bookmarkEnd w:id="3395"/>
      <w:r>
        <w:rPr>
          <w:rtl/>
        </w:rPr>
        <w:t xml:space="preserve"> מכתב שלא פורסם ושאין עליו תאריך. את המכתב שלח ר׳ הירש </w:t>
      </w:r>
      <w:proofErr w:type="spellStart"/>
      <w:r>
        <w:rPr>
          <w:rtl/>
        </w:rPr>
        <w:t>ברוידא</w:t>
      </w:r>
      <w:proofErr w:type="spellEnd"/>
      <w:r>
        <w:rPr>
          <w:rtl/>
        </w:rPr>
        <w:t xml:space="preserve"> – אחיינו, תלמידו וחתנו של ר׳ </w:t>
      </w:r>
      <w:proofErr w:type="spellStart"/>
      <w:r>
        <w:rPr>
          <w:rtl/>
        </w:rPr>
        <w:t>שמחה־זיסל</w:t>
      </w:r>
      <w:proofErr w:type="spellEnd"/>
      <w:r>
        <w:rPr>
          <w:rtl/>
        </w:rPr>
        <w:t xml:space="preserve"> זיו, וממלא מקומו כמנהל התלמוד תורה </w:t>
      </w:r>
      <w:proofErr w:type="spellStart"/>
      <w:r>
        <w:rPr>
          <w:rtl/>
        </w:rPr>
        <w:t>בקלם</w:t>
      </w:r>
      <w:bookmarkStart w:id="3396" w:name="_fnr2485"/>
      <w:proofErr w:type="spellEnd"/>
      <w:r>
        <w:rPr>
          <w:rStyle w:val="a5"/>
        </w:rPr>
        <w:footnoteReference w:id="2492" w:customMarkFollows="0"/>
      </w:r>
      <w:bookmarkEnd w:id="3396"/>
      <w:r>
        <w:rPr>
          <w:rtl/>
        </w:rPr>
        <w:t xml:space="preserve"> – לתלמיד קלם אחר, ר׳ </w:t>
      </w:r>
      <w:proofErr w:type="spellStart"/>
      <w:r>
        <w:rPr>
          <w:rtl/>
        </w:rPr>
        <w:t>שמואל־הלל</w:t>
      </w:r>
      <w:proofErr w:type="spellEnd"/>
      <w:r>
        <w:rPr>
          <w:rtl/>
        </w:rPr>
        <w:t xml:space="preserve"> שנקר, בנו של ר׳ </w:t>
      </w:r>
      <w:proofErr w:type="spellStart"/>
      <w:r>
        <w:rPr>
          <w:rtl/>
        </w:rPr>
        <w:t>אברמצ׳יק</w:t>
      </w:r>
      <w:proofErr w:type="spellEnd"/>
      <w:r>
        <w:rPr>
          <w:rtl/>
        </w:rPr>
        <w:t xml:space="preserve"> </w:t>
      </w:r>
      <w:proofErr w:type="spellStart"/>
      <w:r>
        <w:rPr>
          <w:rtl/>
        </w:rPr>
        <w:t>טאנס</w:t>
      </w:r>
      <w:bookmarkStart w:id="3397" w:name="_fnr2486"/>
      <w:proofErr w:type="spellEnd"/>
      <w:r>
        <w:rPr>
          <w:rStyle w:val="a5"/>
        </w:rPr>
        <w:footnoteReference w:id="2493" w:customMarkFollows="0"/>
      </w:r>
      <w:bookmarkEnd w:id="3397"/>
      <w:r>
        <w:rPr>
          <w:rtl/>
        </w:rPr>
        <w:t xml:space="preserve">. הכותב מותח ביקורת קשה על ר׳ </w:t>
      </w:r>
      <w:proofErr w:type="spellStart"/>
      <w:r>
        <w:rPr>
          <w:rtl/>
        </w:rPr>
        <w:t>צבי־הירש</w:t>
      </w:r>
      <w:proofErr w:type="spellEnd"/>
      <w:r>
        <w:rPr>
          <w:rtl/>
        </w:rPr>
        <w:t xml:space="preserve"> </w:t>
      </w:r>
      <w:proofErr w:type="spellStart"/>
      <w:r>
        <w:rPr>
          <w:rtl/>
        </w:rPr>
        <w:t>רבינוביץ</w:t>
      </w:r>
      <w:proofErr w:type="spellEnd"/>
      <w:r>
        <w:rPr>
          <w:rtl/>
        </w:rPr>
        <w:t>, רב קובנה ומנהיג המתנגדים, ואינו קורא לו בשמו אלא מכנה אותו “</w:t>
      </w:r>
      <w:proofErr w:type="spellStart"/>
      <w:r>
        <w:rPr>
          <w:rtl/>
        </w:rPr>
        <w:t>הקאוונער</w:t>
      </w:r>
      <w:proofErr w:type="spellEnd"/>
      <w:r>
        <w:rPr>
          <w:rtl/>
        </w:rPr>
        <w:t>”.</w:t>
      </w:r>
    </w:p>
    <w:p w14:paraId="41BE220F" w14:textId="77777777" w:rsidR="00AB3647" w:rsidRDefault="00000000" w:rsidP="007923E9">
      <w:pPr>
        <w:spacing w:after="120" w:line="276" w:lineRule="auto"/>
        <w:ind w:firstLine="283"/>
        <w:jc w:val="both"/>
      </w:pPr>
      <w:r>
        <w:rPr>
          <w:rtl/>
        </w:rPr>
        <w:t xml:space="preserve">הרב </w:t>
      </w:r>
      <w:proofErr w:type="spellStart"/>
      <w:r>
        <w:rPr>
          <w:rtl/>
        </w:rPr>
        <w:t>ברוידא</w:t>
      </w:r>
      <w:proofErr w:type="spellEnd"/>
      <w:r>
        <w:rPr>
          <w:rtl/>
        </w:rPr>
        <w:t xml:space="preserve"> מייעץ לרב שנקר שלא לכתוב מכתבים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ומסביר: “כי יצטרך לתת לו </w:t>
      </w:r>
      <w:proofErr w:type="spellStart"/>
      <w:r>
        <w:rPr>
          <w:rtl/>
        </w:rPr>
        <w:t>תוארים</w:t>
      </w:r>
      <w:proofErr w:type="spellEnd"/>
      <w:r>
        <w:rPr>
          <w:rtl/>
        </w:rPr>
        <w:t xml:space="preserve">, ואיך אפשר זה אחרי כל המעשים הנוראים אשר יצאו מתחת יד </w:t>
      </w:r>
      <w:proofErr w:type="spellStart"/>
      <w:r>
        <w:rPr>
          <w:rtl/>
        </w:rPr>
        <w:t>הקאוונער</w:t>
      </w:r>
      <w:proofErr w:type="spellEnd"/>
      <w:r>
        <w:rPr>
          <w:rtl/>
        </w:rPr>
        <w:t xml:space="preserve"> עם גודל חילול השם </w:t>
      </w:r>
      <w:r>
        <w:rPr>
          <w:b/>
          <w:bCs/>
          <w:rtl/>
        </w:rPr>
        <w:t>והקלקול העצום</w:t>
      </w:r>
      <w:r>
        <w:rPr>
          <w:rtl/>
        </w:rPr>
        <w:t xml:space="preserve">, איך אפשר להוציא שקר כזה מפי עטו ולכתוב תואר אשר יאות לגאון וצדיק מפורסם מדור העבר” (ההדגשה שלי). ייתכן שהרב שנקר היה “נאלץ” לפתוח את מכתביו </w:t>
      </w:r>
      <w:proofErr w:type="spellStart"/>
      <w:r>
        <w:rPr>
          <w:rtl/>
        </w:rPr>
        <w:t>לר</w:t>
      </w:r>
      <w:proofErr w:type="spellEnd"/>
      <w:r>
        <w:rPr>
          <w:rtl/>
        </w:rPr>
        <w:t xml:space="preserve">׳ </w:t>
      </w:r>
      <w:proofErr w:type="spellStart"/>
      <w:r>
        <w:rPr>
          <w:rtl/>
        </w:rPr>
        <w:t>צבי־הירש</w:t>
      </w:r>
      <w:proofErr w:type="spellEnd"/>
      <w:r>
        <w:rPr>
          <w:rtl/>
        </w:rPr>
        <w:t xml:space="preserve"> </w:t>
      </w:r>
      <w:proofErr w:type="spellStart"/>
      <w:r>
        <w:rPr>
          <w:rtl/>
        </w:rPr>
        <w:t>רבינוביץ</w:t>
      </w:r>
      <w:proofErr w:type="spellEnd"/>
      <w:r>
        <w:rPr>
          <w:rtl/>
        </w:rPr>
        <w:t xml:space="preserve"> בתארי שבח מופלגים מפני שאביו של ר׳ </w:t>
      </w:r>
      <w:proofErr w:type="spellStart"/>
      <w:r>
        <w:rPr>
          <w:rtl/>
        </w:rPr>
        <w:t>צבי־הירש</w:t>
      </w:r>
      <w:proofErr w:type="spellEnd"/>
      <w:r>
        <w:rPr>
          <w:rtl/>
        </w:rPr>
        <w:t xml:space="preserve">, ר׳ </w:t>
      </w:r>
      <w:proofErr w:type="spellStart"/>
      <w:r>
        <w:rPr>
          <w:rtl/>
        </w:rPr>
        <w:t>יצחק־אלחנן</w:t>
      </w:r>
      <w:proofErr w:type="spellEnd"/>
      <w:r>
        <w:rPr>
          <w:rtl/>
        </w:rPr>
        <w:t>, שיבח ביותר את אביו של הרב שנקר. לפי המסופר אמר</w:t>
      </w:r>
      <w:bookmarkStart w:id="3398" w:name="_fnr2487"/>
      <w:r>
        <w:rPr>
          <w:rStyle w:val="a5"/>
        </w:rPr>
        <w:footnoteReference w:id="2494" w:customMarkFollows="0"/>
      </w:r>
      <w:bookmarkEnd w:id="3398"/>
      <w:r>
        <w:rPr>
          <w:rtl/>
        </w:rPr>
        <w:t xml:space="preserve"> ר׳ </w:t>
      </w:r>
      <w:proofErr w:type="spellStart"/>
      <w:r>
        <w:rPr>
          <w:rtl/>
        </w:rPr>
        <w:t>יצחק־אלחנן</w:t>
      </w:r>
      <w:proofErr w:type="spellEnd"/>
      <w:r>
        <w:rPr>
          <w:rtl/>
        </w:rPr>
        <w:t xml:space="preserve"> שאילו חי ר׳ </w:t>
      </w:r>
      <w:proofErr w:type="spellStart"/>
      <w:r>
        <w:rPr>
          <w:rtl/>
        </w:rPr>
        <w:t>אברמצ׳יק</w:t>
      </w:r>
      <w:proofErr w:type="spellEnd"/>
      <w:r>
        <w:rPr>
          <w:rtl/>
        </w:rPr>
        <w:t xml:space="preserve"> בימי הגאון מווילנה, גם הוא היה נמנה עם קדושי הדור.</w:t>
      </w:r>
    </w:p>
    <w:p w14:paraId="362D7802" w14:textId="77777777" w:rsidR="00AB3647" w:rsidRDefault="00000000" w:rsidP="007923E9">
      <w:pPr>
        <w:spacing w:after="120" w:line="276" w:lineRule="auto"/>
        <w:ind w:firstLine="283"/>
        <w:jc w:val="both"/>
      </w:pPr>
      <w:r>
        <w:rPr>
          <w:rtl/>
        </w:rPr>
        <w:t>נראה שמיד לאחר פרוץ פולמוס המוסר לא ידעו בעלי המוסר כיצד להגיב: מצד אחד נמנעו מהתקפות נגד גלויות, ומצד אחר בערה בהם חמתם. ר׳ זבולון גרז גילה</w:t>
      </w:r>
      <w:bookmarkStart w:id="3399" w:name="_fnr2488"/>
      <w:r>
        <w:rPr>
          <w:rStyle w:val="a5"/>
        </w:rPr>
        <w:footnoteReference w:id="2495" w:customMarkFollows="0"/>
      </w:r>
      <w:bookmarkEnd w:id="3399"/>
      <w:r>
        <w:rPr>
          <w:rtl/>
        </w:rPr>
        <w:t xml:space="preserve"> שאביו ר׳ </w:t>
      </w:r>
      <w:proofErr w:type="spellStart"/>
      <w:r>
        <w:rPr>
          <w:rtl/>
        </w:rPr>
        <w:t>יוסף־נתנאל</w:t>
      </w:r>
      <w:proofErr w:type="spellEnd"/>
      <w:r>
        <w:rPr>
          <w:rtl/>
        </w:rPr>
        <w:t xml:space="preserve"> – שהיה קרוב </w:t>
      </w:r>
      <w:proofErr w:type="spellStart"/>
      <w:r>
        <w:rPr>
          <w:rtl/>
        </w:rPr>
        <w:t>לר</w:t>
      </w:r>
      <w:proofErr w:type="spellEnd"/>
      <w:r>
        <w:rPr>
          <w:rtl/>
        </w:rPr>
        <w:t xml:space="preserve">׳ </w:t>
      </w:r>
      <w:proofErr w:type="spellStart"/>
      <w:r>
        <w:rPr>
          <w:rtl/>
        </w:rPr>
        <w:t>שמחה־זיסל</w:t>
      </w:r>
      <w:proofErr w:type="spellEnd"/>
      <w:r>
        <w:rPr>
          <w:rtl/>
        </w:rPr>
        <w:t xml:space="preserve"> זיו ותלמיד הסבא </w:t>
      </w:r>
      <w:proofErr w:type="spellStart"/>
      <w:r>
        <w:rPr>
          <w:rtl/>
        </w:rPr>
        <w:t>מסלבודקה</w:t>
      </w:r>
      <w:proofErr w:type="spellEnd"/>
      <w:r>
        <w:rPr>
          <w:rtl/>
        </w:rPr>
        <w:t xml:space="preserve">, וערך ועדים </w:t>
      </w:r>
      <w:proofErr w:type="spellStart"/>
      <w:r>
        <w:rPr>
          <w:rtl/>
        </w:rPr>
        <w:t>בסלבודקה</w:t>
      </w:r>
      <w:proofErr w:type="spellEnd"/>
      <w:r>
        <w:rPr>
          <w:rtl/>
        </w:rPr>
        <w:t xml:space="preserve"> </w:t>
      </w:r>
      <w:proofErr w:type="spellStart"/>
      <w:r>
        <w:rPr>
          <w:rtl/>
        </w:rPr>
        <w:t>בתר״ס</w:t>
      </w:r>
      <w:proofErr w:type="spellEnd"/>
      <w:r>
        <w:rPr>
          <w:rtl/>
        </w:rPr>
        <w:t xml:space="preserve"> – סיפר לו: “פעם באתי לקובנה והתכוונתי לבקר אצל הרב, אבל יעצו לי שלא לעשות זאת, מפני שבאותו זמן דיבר הרב בחריפות נגד המוסר”.</w:t>
      </w:r>
    </w:p>
    <w:p w14:paraId="0961C769" w14:textId="77777777" w:rsidR="00AB3647" w:rsidRDefault="00000000" w:rsidP="007923E9">
      <w:pPr>
        <w:spacing w:after="120" w:line="276" w:lineRule="auto"/>
        <w:ind w:firstLine="283"/>
        <w:jc w:val="both"/>
      </w:pPr>
      <w:r>
        <w:rPr>
          <w:rtl/>
        </w:rPr>
        <w:lastRenderedPageBreak/>
        <w:t xml:space="preserve">ר׳ זבולון לא היה בטוח מתי אירע הדבר, אבל לאור מה שנחשף </w:t>
      </w:r>
      <w:proofErr w:type="spellStart"/>
      <w:r>
        <w:rPr>
          <w:rtl/>
        </w:rPr>
        <w:t>ב“פולמוס</w:t>
      </w:r>
      <w:proofErr w:type="spellEnd"/>
      <w:r>
        <w:rPr>
          <w:rtl/>
        </w:rPr>
        <w:t xml:space="preserve"> המוסר”, כמובא בסוף נספח זה, סביר שהיה זה זמן קצר מאוד אחרי שר׳ </w:t>
      </w:r>
      <w:proofErr w:type="spellStart"/>
      <w:r>
        <w:rPr>
          <w:rtl/>
        </w:rPr>
        <w:t>יוסף־נתנאל</w:t>
      </w:r>
      <w:proofErr w:type="spellEnd"/>
      <w:r>
        <w:rPr>
          <w:rtl/>
        </w:rPr>
        <w:t xml:space="preserve"> עזב את </w:t>
      </w:r>
      <w:proofErr w:type="spellStart"/>
      <w:r>
        <w:rPr>
          <w:rtl/>
        </w:rPr>
        <w:t>סלבודקה</w:t>
      </w:r>
      <w:proofErr w:type="spellEnd"/>
      <w:r>
        <w:rPr>
          <w:rtl/>
        </w:rPr>
        <w:t xml:space="preserve"> </w:t>
      </w:r>
      <w:proofErr w:type="spellStart"/>
      <w:r>
        <w:rPr>
          <w:rtl/>
        </w:rPr>
        <w:t>בתר״ס</w:t>
      </w:r>
      <w:proofErr w:type="spellEnd"/>
      <w:r>
        <w:rPr>
          <w:rtl/>
        </w:rPr>
        <w:t xml:space="preserve">, עשר שנים לפני הולדת ר׳ זבולון, מיד לאחר שנתמנה לרב </w:t>
      </w:r>
      <w:proofErr w:type="spellStart"/>
      <w:r>
        <w:rPr>
          <w:rtl/>
        </w:rPr>
        <w:t>באוזוונט</w:t>
      </w:r>
      <w:proofErr w:type="spellEnd"/>
      <w:r>
        <w:rPr>
          <w:rtl/>
        </w:rPr>
        <w:t xml:space="preserve">. אפשר להניח שהסבא </w:t>
      </w:r>
      <w:proofErr w:type="spellStart"/>
      <w:r>
        <w:rPr>
          <w:rtl/>
        </w:rPr>
        <w:t>מסלבודקה</w:t>
      </w:r>
      <w:proofErr w:type="spellEnd"/>
      <w:r>
        <w:rPr>
          <w:rtl/>
        </w:rPr>
        <w:t xml:space="preserve"> עצמו יעץ לו שלא לבקר אצל ר׳ </w:t>
      </w:r>
      <w:proofErr w:type="spellStart"/>
      <w:r>
        <w:rPr>
          <w:rtl/>
        </w:rPr>
        <w:t>צבי־הירש</w:t>
      </w:r>
      <w:proofErr w:type="spellEnd"/>
      <w:r>
        <w:rPr>
          <w:rtl/>
        </w:rPr>
        <w:t xml:space="preserve"> </w:t>
      </w:r>
      <w:proofErr w:type="spellStart"/>
      <w:r>
        <w:rPr>
          <w:rtl/>
        </w:rPr>
        <w:t>רבינוביץ</w:t>
      </w:r>
      <w:proofErr w:type="spellEnd"/>
      <w:r>
        <w:rPr>
          <w:rtl/>
        </w:rPr>
        <w:t>.</w:t>
      </w:r>
    </w:p>
    <w:p w14:paraId="072BC317" w14:textId="77777777" w:rsidR="00AB3647" w:rsidRDefault="00000000" w:rsidP="007923E9">
      <w:pPr>
        <w:spacing w:after="120" w:line="276" w:lineRule="auto"/>
        <w:ind w:firstLine="283"/>
        <w:jc w:val="both"/>
      </w:pPr>
      <w:r>
        <w:rPr>
          <w:rtl/>
        </w:rPr>
        <w:t xml:space="preserve">השווה גם תכתובת </w:t>
      </w:r>
      <w:proofErr w:type="spellStart"/>
      <w:r>
        <w:rPr>
          <w:rtl/>
        </w:rPr>
        <w:t>ברודא</w:t>
      </w:r>
      <w:proofErr w:type="spellEnd"/>
      <w:r>
        <w:rPr>
          <w:rtl/>
        </w:rPr>
        <w:t xml:space="preserve"> המתנגדת למוסר</w:t>
      </w:r>
      <w:bookmarkStart w:id="3400" w:name="_fnr2489"/>
      <w:r>
        <w:rPr>
          <w:rStyle w:val="a5"/>
        </w:rPr>
        <w:footnoteReference w:id="2496" w:customMarkFollows="0"/>
      </w:r>
      <w:bookmarkEnd w:id="3400"/>
      <w:r>
        <w:rPr>
          <w:rtl/>
        </w:rPr>
        <w:t xml:space="preserve">, האומרת: “נתגלה לנו ששתיקתם של בעלי המוסר – הנובעת מן המוסר ומאכיפתו ומכיבוש היצר – אינה טובה מדיבורם. בעוד הם כאילמים שאינם פותחים את פיהם, בכל זאת ‘שבע תועבות </w:t>
      </w:r>
      <w:proofErr w:type="spellStart"/>
      <w:r>
        <w:rPr>
          <w:rtl/>
        </w:rPr>
        <w:t>בלבם</w:t>
      </w:r>
      <w:proofErr w:type="spellEnd"/>
      <w:r>
        <w:rPr>
          <w:rtl/>
        </w:rPr>
        <w:t>’</w:t>
      </w:r>
      <w:bookmarkStart w:id="3401" w:name="_fnr2490"/>
      <w:r>
        <w:rPr>
          <w:rStyle w:val="a5"/>
        </w:rPr>
        <w:footnoteReference w:id="2497" w:customMarkFollows="0"/>
      </w:r>
      <w:bookmarkEnd w:id="3401"/>
      <w:r>
        <w:rPr>
          <w:rtl/>
        </w:rPr>
        <w:t xml:space="preserve">, וענוותנותם היא גאוותם: כי כל היום הם חושבים מחשבות עמל ואוון על גדולי ישראל </w:t>
      </w:r>
      <w:proofErr w:type="spellStart"/>
      <w:r>
        <w:rPr>
          <w:rtl/>
        </w:rPr>
        <w:t>וגאוניו</w:t>
      </w:r>
      <w:proofErr w:type="spellEnd"/>
      <w:r>
        <w:rPr>
          <w:rtl/>
        </w:rPr>
        <w:t xml:space="preserve"> כדי</w:t>
      </w:r>
      <w:r>
        <w:t xml:space="preserve"> </w:t>
      </w:r>
      <w:r>
        <w:rPr>
          <w:rtl/>
        </w:rPr>
        <w:t>להמעיט בערכם. כי בספרם של בעלי המוסר כולם [החכמים הללו] נכתבים בדברי גנאי וקללה, המבקרים את מעשיהם ופועלם ואת מעשי כל משפחותיהם וצאצאיהם. ובמלחמת ההתגוננות שלהם החלו לשלוח בסתר כתבי פלסתר.”</w:t>
      </w:r>
    </w:p>
    <w:p w14:paraId="34E808D2" w14:textId="77777777" w:rsidR="00AB3647" w:rsidRDefault="00000000" w:rsidP="007923E9">
      <w:pPr>
        <w:spacing w:after="120" w:line="276" w:lineRule="auto"/>
        <w:ind w:firstLine="283"/>
        <w:jc w:val="both"/>
      </w:pPr>
      <w:r>
        <w:rPr>
          <w:rtl/>
        </w:rPr>
        <w:t xml:space="preserve">מכתב </w:t>
      </w:r>
      <w:proofErr w:type="spellStart"/>
      <w:r>
        <w:rPr>
          <w:rtl/>
        </w:rPr>
        <w:t>ברוידא־שנקר</w:t>
      </w:r>
      <w:proofErr w:type="spellEnd"/>
      <w:r>
        <w:rPr>
          <w:rtl/>
        </w:rPr>
        <w:t xml:space="preserve"> נכתב ודאי לא שנים רבות לאחר פולמוס המוסר, לפני שנוכחו בעלי המוסר עד כמה קצרת ימים תהיה השפעתו השלילית של הפולמוס על התפשטות המוסר בעולם הישיבות. אבל הם לא יכלו לחזות את ניצחונם, מפני שלא שינוי בתפיסתם היסודית של מתנגדיהם את המוסר הוא שהביא את המתנגדים לסגת מן הביקורת החריפה. דווקא ההתלהבות הסוציאליסטית הגואה בקרב הנוער היהודי כמה שנים אחרי תחילת שנות </w:t>
      </w:r>
      <w:proofErr w:type="spellStart"/>
      <w:r>
        <w:rPr>
          <w:rtl/>
        </w:rPr>
        <w:t>התר״ס</w:t>
      </w:r>
      <w:proofErr w:type="spellEnd"/>
      <w:r>
        <w:rPr>
          <w:rtl/>
        </w:rPr>
        <w:t>, כמצוין בפסקה שלפני האחרונה בפרק 2.1, היא שהביאה את המתנגדים למסקנה שהמוסר הוא הרע במיעוטו מבין שתי האפשרויות המתחרות על לבם של תלמידי הישיבות.</w:t>
      </w:r>
    </w:p>
    <w:p w14:paraId="44A7345C" w14:textId="4311A178" w:rsidR="00AB3647" w:rsidRDefault="00000000" w:rsidP="007923E9">
      <w:pPr>
        <w:spacing w:after="120" w:line="276" w:lineRule="auto"/>
        <w:ind w:firstLine="283"/>
        <w:jc w:val="both"/>
      </w:pPr>
      <w:r>
        <w:rPr>
          <w:rtl/>
        </w:rPr>
        <w:t xml:space="preserve">לפי אבי, כמובא בראש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לעיל, ר׳ ישראל עצמו היה מוטרד תמיד מן השאלה כיצד להגיב להשקפות המודרניות הצדות את הצעירים היהודים. לנוכח דעת אבי על “מה שר׳ ישראל </w:t>
      </w:r>
      <w:proofErr w:type="spellStart"/>
      <w:r>
        <w:rPr>
          <w:rtl/>
        </w:rPr>
        <w:t>סלנטר</w:t>
      </w:r>
      <w:proofErr w:type="spellEnd"/>
      <w:r>
        <w:rPr>
          <w:rtl/>
        </w:rPr>
        <w:t xml:space="preserve"> עצמו רצה באמת”</w:t>
      </w:r>
      <w:bookmarkStart w:id="3402" w:name="_fnr2491"/>
      <w:r>
        <w:rPr>
          <w:rStyle w:val="a5"/>
        </w:rPr>
        <w:footnoteReference w:id="2498" w:customMarkFollows="0"/>
      </w:r>
      <w:bookmarkEnd w:id="3402"/>
      <w:r>
        <w:rPr>
          <w:rtl/>
        </w:rPr>
        <w:t>, אין זה רחוק להציע שבתהליך התפתחות מחשבתם הגיעו מתנגדי המוסר לאותה מסקנה שאליה הגיע ר׳ ישראל בתבונתו חצי מאה קודם לכן.</w:t>
      </w:r>
    </w:p>
    <w:p w14:paraId="5D907F9E" w14:textId="166C4F10" w:rsidR="00AB3647" w:rsidRDefault="00000000" w:rsidP="007923E9">
      <w:pPr>
        <w:spacing w:after="120" w:line="276" w:lineRule="auto"/>
        <w:ind w:firstLine="283"/>
        <w:jc w:val="both"/>
      </w:pPr>
      <w:r>
        <w:rPr>
          <w:rtl/>
        </w:rPr>
        <w:t>השווה “פולמוס המוסר”</w:t>
      </w:r>
      <w:bookmarkStart w:id="3403" w:name="_fnr2492"/>
      <w:r>
        <w:rPr>
          <w:rStyle w:val="a5"/>
        </w:rPr>
        <w:footnoteReference w:id="2499" w:customMarkFollows="0"/>
      </w:r>
      <w:bookmarkEnd w:id="3403"/>
      <w:r>
        <w:rPr>
          <w:rtl/>
        </w:rPr>
        <w:t xml:space="preserve">, המצטט מכתבים שנשלחו מארץ ישראל בעקבות פולמוס המוסר. את המכתבים שלח ר׳ </w:t>
      </w:r>
      <w:proofErr w:type="spellStart"/>
      <w:r>
        <w:rPr>
          <w:rtl/>
        </w:rPr>
        <w:t>יהושע־לייב</w:t>
      </w:r>
      <w:proofErr w:type="spellEnd"/>
      <w:r>
        <w:rPr>
          <w:rtl/>
        </w:rPr>
        <w:t xml:space="preserve"> דיסקין, שלא נטה לאחד הצדדים, אל ר׳ חיים </w:t>
      </w:r>
      <w:proofErr w:type="spellStart"/>
      <w:r>
        <w:rPr>
          <w:rtl/>
        </w:rPr>
        <w:t>סולובייצ׳יק</w:t>
      </w:r>
      <w:proofErr w:type="spellEnd"/>
      <w:r>
        <w:rPr>
          <w:rtl/>
        </w:rPr>
        <w:t xml:space="preserve"> ואל ר׳ </w:t>
      </w:r>
      <w:proofErr w:type="spellStart"/>
      <w:r>
        <w:rPr>
          <w:rtl/>
        </w:rPr>
        <w:t>אליהו־חיים</w:t>
      </w:r>
      <w:proofErr w:type="spellEnd"/>
      <w:r>
        <w:rPr>
          <w:rtl/>
        </w:rPr>
        <w:t xml:space="preserve"> </w:t>
      </w:r>
      <w:proofErr w:type="spellStart"/>
      <w:r>
        <w:rPr>
          <w:rtl/>
        </w:rPr>
        <w:t>מייזל</w:t>
      </w:r>
      <w:proofErr w:type="spellEnd"/>
      <w:r>
        <w:rPr>
          <w:rtl/>
        </w:rPr>
        <w:t xml:space="preserve">, עמית קרוב של אביו של ר׳ חיים. שניהם לא היו מעורבים בפולמוס, אף שנמנו עם המתנגדים. במכתבים אלה קבל ר׳ </w:t>
      </w:r>
      <w:proofErr w:type="spellStart"/>
      <w:r>
        <w:rPr>
          <w:rtl/>
        </w:rPr>
        <w:t>יהושע־לייב</w:t>
      </w:r>
      <w:proofErr w:type="spellEnd"/>
      <w:r>
        <w:rPr>
          <w:rtl/>
        </w:rPr>
        <w:t xml:space="preserve"> על שהמריבה תביא </w:t>
      </w:r>
      <w:proofErr w:type="spellStart"/>
      <w:r>
        <w:rPr>
          <w:rtl/>
        </w:rPr>
        <w:t>ל“מיעוט</w:t>
      </w:r>
      <w:proofErr w:type="spellEnd"/>
      <w:r>
        <w:rPr>
          <w:rtl/>
        </w:rPr>
        <w:t xml:space="preserve"> כבוד התורה הקדושה וכבוד שמים”. ראה גם סוף הפסקה השלישית ב</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לעיל, על מה שנראה כתגובתו של ר׳ חיים </w:t>
      </w:r>
      <w:proofErr w:type="spellStart"/>
      <w:r>
        <w:rPr>
          <w:rtl/>
        </w:rPr>
        <w:t>סולובייצ׳יק</w:t>
      </w:r>
      <w:proofErr w:type="spellEnd"/>
      <w:r>
        <w:rPr>
          <w:rtl/>
        </w:rPr>
        <w:t xml:space="preserve"> למכתבים.</w:t>
      </w:r>
    </w:p>
    <w:p w14:paraId="0B7CB435" w14:textId="77777777" w:rsidR="00AB3647" w:rsidRDefault="00000000" w:rsidP="007923E9">
      <w:pPr>
        <w:spacing w:after="120" w:line="276" w:lineRule="auto"/>
        <w:ind w:firstLine="283"/>
        <w:jc w:val="both"/>
      </w:pPr>
      <w:r>
        <w:rPr>
          <w:rtl/>
        </w:rPr>
        <w:t xml:space="preserve">השווה גם את הניתוח של התפתחות הפולמוס </w:t>
      </w:r>
      <w:proofErr w:type="spellStart"/>
      <w:r>
        <w:rPr>
          <w:rtl/>
        </w:rPr>
        <w:t>ב“ר</w:t>
      </w:r>
      <w:proofErr w:type="spellEnd"/>
      <w:r>
        <w:rPr>
          <w:rtl/>
        </w:rPr>
        <w:t>׳ משה שמואל ודורו”</w:t>
      </w:r>
      <w:bookmarkStart w:id="3404" w:name="_fnr2493"/>
      <w:r>
        <w:rPr>
          <w:rStyle w:val="a5"/>
        </w:rPr>
        <w:footnoteReference w:id="2500" w:customMarkFollows="0"/>
      </w:r>
      <w:bookmarkEnd w:id="3404"/>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סבל רבות מהתנגדותו [למוסר], מפני שכמה מתלמידי המוסר פגעו בכבודו בגסות, אך כאדם בעל עקרונות לא</w:t>
      </w:r>
      <w:r>
        <w:t xml:space="preserve"> </w:t>
      </w:r>
      <w:r>
        <w:rPr>
          <w:rtl/>
        </w:rPr>
        <w:t xml:space="preserve">נסוג מן המאבק. לבסוף, כששכך הסכסוך ונרגעו הרוחות, </w:t>
      </w:r>
      <w:r>
        <w:rPr>
          <w:rtl/>
        </w:rPr>
        <w:lastRenderedPageBreak/>
        <w:t xml:space="preserve">החלו הצדדים להבין זה את זה טוב יותר. מרירותם של בעלי המוסר כלפי ר׳ </w:t>
      </w:r>
      <w:proofErr w:type="spellStart"/>
      <w:r>
        <w:rPr>
          <w:rtl/>
        </w:rPr>
        <w:t>צבי־הירש</w:t>
      </w:r>
      <w:proofErr w:type="spellEnd"/>
      <w:r>
        <w:rPr>
          <w:rtl/>
        </w:rPr>
        <w:t xml:space="preserve"> התפוגגה, ובהדרגה החלו לראות בו אדם גדול שעשה הכול רק מתוך תפיסת האמת שלו, בלי מניעים זרים. כשהספיד את [ר׳ </w:t>
      </w:r>
      <w:proofErr w:type="spellStart"/>
      <w:r>
        <w:rPr>
          <w:rtl/>
        </w:rPr>
        <w:t>שמעון־וולף</w:t>
      </w:r>
      <w:proofErr w:type="spellEnd"/>
      <w:r>
        <w:rPr>
          <w:rtl/>
        </w:rPr>
        <w:t>, שנודע גם כברון וילהלם קרל פון] רוטשילד, [הנדבן הצדיק] מפרנקפורט דמיין [תקפ״ח–תרס״א]</w:t>
      </w:r>
      <w:bookmarkStart w:id="3405" w:name="_fnr2494"/>
      <w:r>
        <w:rPr>
          <w:rStyle w:val="a5"/>
        </w:rPr>
        <w:footnoteReference w:id="2501" w:customMarkFollows="0"/>
      </w:r>
      <w:bookmarkEnd w:id="3405"/>
      <w:r>
        <w:rPr>
          <w:rtl/>
        </w:rPr>
        <w:t xml:space="preserve">, באו כל תלמידי ישיבת כנסת ישראל, והסבא בראשם, לשמוע את ההספד [של ר׳ </w:t>
      </w:r>
      <w:proofErr w:type="spellStart"/>
      <w:r>
        <w:rPr>
          <w:rtl/>
        </w:rPr>
        <w:t>צבי־הירש</w:t>
      </w:r>
      <w:proofErr w:type="spellEnd"/>
      <w:r>
        <w:rPr>
          <w:rtl/>
        </w:rPr>
        <w:t xml:space="preserve"> </w:t>
      </w:r>
      <w:proofErr w:type="spellStart"/>
      <w:r>
        <w:rPr>
          <w:rtl/>
        </w:rPr>
        <w:t>רבינוביץ</w:t>
      </w:r>
      <w:proofErr w:type="spellEnd"/>
      <w:r>
        <w:rPr>
          <w:rtl/>
        </w:rPr>
        <w:t>], ושיבחו מאוד את המספיד.”</w:t>
      </w:r>
    </w:p>
    <w:bookmarkStart w:id="3406" w:name="b3_excY"/>
    <w:p w14:paraId="4A1A06A2" w14:textId="77777777" w:rsidR="00AB3647" w:rsidRDefault="00000000" w:rsidP="007923E9">
      <w:pPr>
        <w:pStyle w:val="3"/>
        <w:spacing w:line="276" w:lineRule="auto"/>
      </w:pPr>
      <w:r>
        <w:lastRenderedPageBreak/>
        <w:fldChar w:fldCharType="begin" w:dirty="true"/>
      </w:r>
      <w:r>
        <w:rPr>
          <w:rtl w:val="0"/>
        </w:rPr>
        <w:instrText>HYPERLINK \l "b3_note107</w:instrText>
      </w:r>
      <w:r>
        <w:instrText>"</w:instrText>
      </w:r>
      <w:r>
        <w:fldChar w:fldCharType="separate"/>
      </w:r>
      <w:r>
        <w:t>נספח כה</w:t>
      </w:r>
      <w:r>
        <w:fldChar w:fldCharType="end"/>
      </w:r>
      <w:bookmarkEnd w:id="3406"/>
    </w:p>
    <w:p w14:paraId="637D433A" w14:textId="77777777" w:rsidR="00AB3647" w:rsidRDefault="00000000" w:rsidP="007923E9">
      <w:pPr>
        <w:pStyle w:val="af"/>
        <w:spacing w:line="276" w:lineRule="auto"/>
      </w:pPr>
      <w:r>
        <w:t xml:space="preserve">על תוכנית החינוך המשולשת בתלמוד תורה המקורי </w:t>
      </w:r>
      <w:proofErr w:type="spellStart"/>
      <w:r>
        <w:t>בקלם</w:t>
      </w:r>
      <w:proofErr w:type="spellEnd"/>
      <w:r>
        <w:t xml:space="preserve"> </w:t>
      </w:r>
      <w:proofErr w:type="spellStart"/>
      <w:r>
        <w:t>ובגרובין</w:t>
      </w:r>
      <w:proofErr w:type="spellEnd"/>
      <w:r>
        <w:t>, ועל הקשיים שניצבו בפני בתי הספר; על השפעת היהדות האורתודוקסית הגרמנית על יהודי רוסיה; ועל שנותיו האחרונות של ר׳ עובדיה לחמן וצוואתו</w:t>
      </w:r>
    </w:p>
    <w:p w14:paraId="5788E1C2" w14:textId="77777777" w:rsidR="00AB3647" w:rsidRDefault="00000000" w:rsidP="007923E9">
      <w:pPr>
        <w:pStyle w:val="4"/>
        <w:spacing w:line="276" w:lineRule="auto"/>
      </w:pPr>
      <w:r>
        <w:t>· הפסקה הראשונה ·</w:t>
      </w:r>
    </w:p>
    <w:p w14:paraId="3949B993" w14:textId="77777777" w:rsidR="00AB3647" w:rsidRDefault="00000000" w:rsidP="007923E9">
      <w:pPr>
        <w:pStyle w:val="5"/>
        <w:spacing w:line="276" w:lineRule="auto"/>
      </w:pPr>
      <w:r>
        <w:t xml:space="preserve">ר׳ </w:t>
      </w:r>
      <w:proofErr w:type="spellStart"/>
      <w:r>
        <w:t>שמחה־זיסל</w:t>
      </w:r>
      <w:proofErr w:type="spellEnd"/>
      <w:r>
        <w:t xml:space="preserve"> משנה את תוכנית התלמוד תורה </w:t>
      </w:r>
      <w:proofErr w:type="spellStart"/>
      <w:r>
        <w:t>בקלם</w:t>
      </w:r>
      <w:proofErr w:type="spellEnd"/>
      <w:r>
        <w:t xml:space="preserve"> – הוא מקבל בצעירותו השכלה רחבה – התלמוד תורה נאלץ לעבור </w:t>
      </w:r>
      <w:proofErr w:type="spellStart"/>
      <w:r>
        <w:t>לגרובין</w:t>
      </w:r>
      <w:proofErr w:type="spellEnd"/>
      <w:r>
        <w:t xml:space="preserve"> – הניסיון בתוכנית לימוד לפני עלות השחר – התלמידים מכבדים את השפה הרוסית – הסבא מקלם מרוצה מתוכנית החינוך שלו – הסופר ישראל אלישיב מותח ביקורת על חוויותיו </w:t>
      </w:r>
      <w:proofErr w:type="spellStart"/>
      <w:r>
        <w:t>בגרובין</w:t>
      </w:r>
      <w:proofErr w:type="spellEnd"/>
      <w:r>
        <w:t xml:space="preserve"> – הוא נכשל כתלמיד שם</w:t>
      </w:r>
    </w:p>
    <w:p w14:paraId="5C611E08" w14:textId="77777777" w:rsidR="00AB3647" w:rsidRDefault="00000000" w:rsidP="007923E9">
      <w:pPr>
        <w:spacing w:after="120" w:line="276" w:lineRule="auto"/>
        <w:ind w:firstLine="283"/>
        <w:jc w:val="both"/>
      </w:pPr>
      <w:proofErr w:type="spellStart"/>
      <w:r>
        <w:rPr>
          <w:rtl/>
        </w:rPr>
        <w:t>בתרכ״ו</w:t>
      </w:r>
      <w:proofErr w:type="spellEnd"/>
      <w:r>
        <w:rPr>
          <w:rtl/>
        </w:rPr>
        <w:t xml:space="preserve"> קיבל ר׳ </w:t>
      </w:r>
      <w:proofErr w:type="spellStart"/>
      <w:r>
        <w:rPr>
          <w:rtl/>
        </w:rPr>
        <w:t>שמחה־זיסל</w:t>
      </w:r>
      <w:proofErr w:type="spellEnd"/>
      <w:r>
        <w:rPr>
          <w:rtl/>
        </w:rPr>
        <w:t xml:space="preserve"> זיו לידיו את בית הספר לילדים צעירים בעיירת מגוריו קלם. הוא נקרא תלמוד תורה, כמו כל בתי הספר לילדים צעירים אז</w:t>
      </w:r>
      <w:bookmarkStart w:id="3407" w:name="_fnr2495"/>
      <w:r>
        <w:rPr>
          <w:rStyle w:val="a5"/>
        </w:rPr>
        <w:footnoteReference w:id="2502" w:customMarkFollows="0"/>
      </w:r>
      <w:bookmarkEnd w:id="3407"/>
      <w:r>
        <w:rPr>
          <w:rtl/>
        </w:rPr>
        <w:t>. הוא שינה את תוכנית הלימודים והוסיף לה לימודי חול, כלומר רוסית, וכן תרגילים לעיצוב המידות על יסוד שיטת המוסר.</w:t>
      </w:r>
      <w:bookmarkStart w:id="3408" w:name="_fnr2496"/>
      <w:r>
        <w:rPr>
          <w:rStyle w:val="a5"/>
        </w:rPr>
        <w:footnoteReference w:id="2503" w:customMarkFollows="0"/>
      </w:r>
      <w:bookmarkEnd w:id="3408"/>
    </w:p>
    <w:p w14:paraId="14CA0CC0" w14:textId="77777777" w:rsidR="00AB3647" w:rsidRDefault="00000000" w:rsidP="007923E9">
      <w:pPr>
        <w:spacing w:after="120" w:line="276" w:lineRule="auto"/>
        <w:ind w:firstLine="283"/>
        <w:jc w:val="both"/>
      </w:pPr>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09" w:name="_fnr2497"/>
      <w:r>
        <w:rPr>
          <w:rStyle w:val="a5"/>
        </w:rPr>
        <w:footnoteReference w:id="2504" w:customMarkFollows="0"/>
      </w:r>
      <w:bookmarkEnd w:id="3409"/>
      <w:r>
        <w:rPr>
          <w:rtl/>
        </w:rPr>
        <w:t xml:space="preserve">, ר׳ </w:t>
      </w:r>
      <w:proofErr w:type="spellStart"/>
      <w:r>
        <w:rPr>
          <w:rtl/>
        </w:rPr>
        <w:t>שמחה־זיסל</w:t>
      </w:r>
      <w:proofErr w:type="spellEnd"/>
      <w:r>
        <w:rPr>
          <w:rtl/>
        </w:rPr>
        <w:t xml:space="preserve"> עצמו נחשף ללימודי חול אצל אביו </w:t>
      </w:r>
      <w:proofErr w:type="spellStart"/>
      <w:r>
        <w:rPr>
          <w:rtl/>
        </w:rPr>
        <w:t>ה“מודרני</w:t>
      </w:r>
      <w:proofErr w:type="spellEnd"/>
      <w:r>
        <w:rPr>
          <w:rtl/>
        </w:rPr>
        <w:t xml:space="preserve">”. נאמר שם: “הלמדן הגדול ר׳ ישראל </w:t>
      </w:r>
      <w:proofErr w:type="spellStart"/>
      <w:r>
        <w:rPr>
          <w:rtl/>
        </w:rPr>
        <w:t>ברוידא</w:t>
      </w:r>
      <w:proofErr w:type="spellEnd"/>
      <w:r>
        <w:rPr>
          <w:rtl/>
        </w:rPr>
        <w:t xml:space="preserve">, סוחר אמיד </w:t>
      </w:r>
      <w:proofErr w:type="spellStart"/>
      <w:r>
        <w:rPr>
          <w:rtl/>
        </w:rPr>
        <w:t>בקלם</w:t>
      </w:r>
      <w:proofErr w:type="spellEnd"/>
      <w:r>
        <w:rPr>
          <w:rtl/>
        </w:rPr>
        <w:t>, נתמנה לדיין לאחר שאיבד את רכושו. הוא נעל נעליים במקום מגפי העור הגבוהים המקובלים” – דבר שנחשב מודרני – “ושכר מורה לבנו לדקדוק, לתנ״ך ולשפה הגרמנית”.</w:t>
      </w:r>
    </w:p>
    <w:p w14:paraId="2657CE2F" w14:textId="77777777" w:rsidR="00AB3647" w:rsidRDefault="00000000" w:rsidP="007923E9">
      <w:pPr>
        <w:spacing w:after="120" w:line="276" w:lineRule="auto"/>
        <w:ind w:firstLine="283"/>
        <w:jc w:val="both"/>
      </w:pPr>
      <w:r>
        <w:rPr>
          <w:rtl/>
        </w:rPr>
        <w:t>השווה גם כץ, “תנועת המוסר”, כרך ב</w:t>
      </w:r>
      <w:bookmarkStart w:id="3410" w:name="_fnr2498"/>
      <w:r>
        <w:rPr>
          <w:rStyle w:val="a5"/>
        </w:rPr>
        <w:footnoteReference w:id="2505" w:customMarkFollows="0"/>
      </w:r>
      <w:bookmarkEnd w:id="3410"/>
      <w:r>
        <w:rPr>
          <w:rtl/>
        </w:rPr>
        <w:t xml:space="preserve">, שם סיפר הסבא מקלם עצמו שבילדותו היה “שובב ביותר”, אף שכבר בגיל שמונה או תשע היה חומק מחבריו כדי לקרוא ברמב״ם או </w:t>
      </w:r>
      <w:proofErr w:type="spellStart"/>
      <w:r>
        <w:rPr>
          <w:rtl/>
        </w:rPr>
        <w:t>ב“חובות</w:t>
      </w:r>
      <w:proofErr w:type="spellEnd"/>
      <w:r>
        <w:rPr>
          <w:rtl/>
        </w:rPr>
        <w:t xml:space="preserve"> הלבבות” “שעות על גבי שעות”</w:t>
      </w:r>
      <w:bookmarkStart w:id="3411" w:name="_fnr2499"/>
      <w:r>
        <w:rPr>
          <w:rStyle w:val="a5"/>
        </w:rPr>
        <w:footnoteReference w:id="2506" w:customMarkFollows="0"/>
      </w:r>
      <w:bookmarkEnd w:id="3411"/>
      <w:r>
        <w:rPr>
          <w:rtl/>
        </w:rPr>
        <w:t xml:space="preserve">. לבסוף נפרד מחבריו: הוא עלה על עז ורכב אל השוק, חילק לחבריו כעכים למשחק והודיע להם שהוא פותח דף חדש ורציני בחייו. ר׳ ישראל </w:t>
      </w:r>
      <w:proofErr w:type="spellStart"/>
      <w:r>
        <w:rPr>
          <w:rtl/>
        </w:rPr>
        <w:t>שורין</w:t>
      </w:r>
      <w:bookmarkStart w:id="3412" w:name="_fnr2500"/>
      <w:proofErr w:type="spellEnd"/>
      <w:r>
        <w:rPr>
          <w:rStyle w:val="a5"/>
        </w:rPr>
        <w:footnoteReference w:id="2507" w:customMarkFollows="0"/>
      </w:r>
      <w:bookmarkEnd w:id="3412"/>
      <w:r>
        <w:rPr>
          <w:rtl/>
        </w:rPr>
        <w:t xml:space="preserve"> סיפר ששמע מר׳ ישראל </w:t>
      </w:r>
      <w:proofErr w:type="spellStart"/>
      <w:r>
        <w:rPr>
          <w:rtl/>
        </w:rPr>
        <w:t>סטאם</w:t>
      </w:r>
      <w:bookmarkStart w:id="3413" w:name="_fnr2501"/>
      <w:proofErr w:type="spellEnd"/>
      <w:r>
        <w:rPr>
          <w:rStyle w:val="a5"/>
        </w:rPr>
        <w:footnoteReference w:id="2508" w:customMarkFollows="0"/>
      </w:r>
      <w:bookmarkEnd w:id="3413"/>
      <w:r>
        <w:rPr>
          <w:rtl/>
        </w:rPr>
        <w:t xml:space="preserve">, תלמידו של ר׳ </w:t>
      </w:r>
      <w:proofErr w:type="spellStart"/>
      <w:r>
        <w:rPr>
          <w:rtl/>
        </w:rPr>
        <w:t>נחום־זאב</w:t>
      </w:r>
      <w:proofErr w:type="spellEnd"/>
      <w:r>
        <w:rPr>
          <w:rtl/>
        </w:rPr>
        <w:t xml:space="preserve"> זיו</w:t>
      </w:r>
      <w:bookmarkStart w:id="3414" w:name="_fnr2502"/>
      <w:r>
        <w:rPr>
          <w:rStyle w:val="a5"/>
        </w:rPr>
        <w:footnoteReference w:id="2509" w:customMarkFollows="0"/>
      </w:r>
      <w:bookmarkEnd w:id="3414"/>
      <w:r>
        <w:rPr>
          <w:rtl/>
        </w:rPr>
        <w:t xml:space="preserve">, </w:t>
      </w:r>
      <w:proofErr w:type="spellStart"/>
      <w:r>
        <w:rPr>
          <w:rtl/>
        </w:rPr>
        <w:t>ששמחה־זיסל</w:t>
      </w:r>
      <w:proofErr w:type="spellEnd"/>
      <w:r>
        <w:rPr>
          <w:rtl/>
        </w:rPr>
        <w:t xml:space="preserve"> נפרד מחבריו בחגיגה המתוארת כשנעשה בר מצווה.</w:t>
      </w:r>
    </w:p>
    <w:p w14:paraId="118DAFE7" w14:textId="77777777" w:rsidR="00AB3647" w:rsidRDefault="00000000" w:rsidP="007923E9">
      <w:pPr>
        <w:spacing w:after="120" w:line="276" w:lineRule="auto"/>
        <w:ind w:firstLine="283"/>
        <w:jc w:val="both"/>
      </w:pPr>
      <w:r>
        <w:rPr>
          <w:rtl/>
        </w:rPr>
        <w:lastRenderedPageBreak/>
        <w:t xml:space="preserve">בזכות שמו הטוב התפתח התלמוד תורה למסגרת לבני נוער עד גיל </w:t>
      </w:r>
      <w:proofErr w:type="spellStart"/>
      <w:r>
        <w:rPr>
          <w:rtl/>
        </w:rPr>
        <w:t>שש־עשרה</w:t>
      </w:r>
      <w:proofErr w:type="spellEnd"/>
      <w:r>
        <w:rPr>
          <w:rtl/>
        </w:rPr>
        <w:t xml:space="preserve"> או </w:t>
      </w:r>
      <w:proofErr w:type="spellStart"/>
      <w:r>
        <w:rPr>
          <w:rtl/>
        </w:rPr>
        <w:t>שבע־עשרה</w:t>
      </w:r>
      <w:proofErr w:type="spellEnd"/>
      <w:r>
        <w:rPr>
          <w:rtl/>
        </w:rPr>
        <w:t xml:space="preserve"> – ישיבה קטנה, לפי המינוח האירופי והמינוח המקובל בישראל כיום – אבל שמר על שמו הישן, “תלמוד תורה”. הוא נותר מוסד שאינו מיועד לחוג מצומצם בלבד, וכמקובל בכל הישיבות, התלמידים שבאו מחוץ לעיר גרו באכסניות </w:t>
      </w:r>
      <w:proofErr w:type="spellStart"/>
      <w:r>
        <w:rPr>
          <w:rtl/>
        </w:rPr>
        <w:t>ו“אכלו</w:t>
      </w:r>
      <w:proofErr w:type="spellEnd"/>
      <w:r>
        <w:rPr>
          <w:rtl/>
        </w:rPr>
        <w:t xml:space="preserve"> ימים”. ההבדל הגלוי היחיד בין ישיבה קטנה זו לבין שאר הישיבות הקטנות בליטא היה שתוכניתה כללה לימודי חול.</w:t>
      </w:r>
    </w:p>
    <w:p w14:paraId="03A1E7B2" w14:textId="77777777" w:rsidR="00AB3647" w:rsidRDefault="00000000" w:rsidP="007923E9">
      <w:pPr>
        <w:spacing w:after="120" w:line="276" w:lineRule="auto"/>
        <w:ind w:firstLine="283"/>
        <w:jc w:val="both"/>
      </w:pPr>
      <w:bookmarkStart w:id="3415" w:name="pr_b_1509"/>
      <w:bookmarkEnd w:id="3415"/>
      <w:r>
        <w:rPr>
          <w:rtl/>
        </w:rPr>
        <w:t xml:space="preserve">לפי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המוסד נאלץ לעזוב את קלם בגלל “סערת המחאות” שהקימו רבנים ליטאים שמרניים רבים נגד שיטותיו המודרניות. כץ, “תנועת המוסר”, כרך ב</w:t>
      </w:r>
      <w:bookmarkStart w:id="3416" w:name="_fnr2503"/>
      <w:r>
        <w:rPr>
          <w:rStyle w:val="a5"/>
        </w:rPr>
        <w:footnoteReference w:id="2510" w:customMarkFollows="0"/>
      </w:r>
      <w:bookmarkEnd w:id="3416"/>
      <w:r>
        <w:rPr>
          <w:rtl/>
        </w:rPr>
        <w:t>, כותב כי</w:t>
      </w:r>
      <w:r>
        <w:t xml:space="preserve"> </w:t>
      </w:r>
      <w:r>
        <w:rPr>
          <w:rtl/>
        </w:rPr>
        <w:t xml:space="preserve">עבר בעקבות חקירה ממשלתית שנפתחה לאחר עלילת שווא שהוא מתסיס למהפכה, ואין בכך בהכרח סתירה למאמרו של </w:t>
      </w:r>
      <w:proofErr w:type="spellStart"/>
      <w:r>
        <w:rPr>
          <w:rtl/>
        </w:rPr>
        <w:t>קרלינסקי</w:t>
      </w:r>
      <w:proofErr w:type="spellEnd"/>
      <w:r>
        <w:rPr>
          <w:rtl/>
        </w:rPr>
        <w:t>.</w:t>
      </w:r>
    </w:p>
    <w:p w14:paraId="754242AC" w14:textId="77777777" w:rsidR="00AB3647" w:rsidRDefault="00000000" w:rsidP="007923E9">
      <w:pPr>
        <w:spacing w:after="120" w:line="276" w:lineRule="auto"/>
        <w:ind w:firstLine="283"/>
        <w:jc w:val="both"/>
      </w:pPr>
      <w:r>
        <w:rPr>
          <w:rtl/>
        </w:rPr>
        <w:t xml:space="preserve">איגרת קצרה ששלח באותו זמן ר׳ ישראל </w:t>
      </w:r>
      <w:proofErr w:type="spellStart"/>
      <w:r>
        <w:rPr>
          <w:rtl/>
        </w:rPr>
        <w:t>סלנטר</w:t>
      </w:r>
      <w:proofErr w:type="spellEnd"/>
      <w:r>
        <w:rPr>
          <w:rtl/>
        </w:rPr>
        <w:t xml:space="preserve"> מממל לבנו ר׳ יצחק נראית כרומזת בעקיפין לצרותיו של ר׳ </w:t>
      </w:r>
      <w:proofErr w:type="spellStart"/>
      <w:r>
        <w:rPr>
          <w:rtl/>
        </w:rPr>
        <w:t>שמחה־זיסל</w:t>
      </w:r>
      <w:proofErr w:type="spellEnd"/>
      <w:r>
        <w:rPr>
          <w:rtl/>
        </w:rPr>
        <w:t xml:space="preserve"> </w:t>
      </w:r>
      <w:proofErr w:type="spellStart"/>
      <w:r>
        <w:rPr>
          <w:rtl/>
        </w:rPr>
        <w:t>בקלם</w:t>
      </w:r>
      <w:proofErr w:type="spellEnd"/>
      <w:r>
        <w:rPr>
          <w:rtl/>
        </w:rPr>
        <w:t xml:space="preserve">. היא נדפסה בהקדמה </w:t>
      </w:r>
      <w:proofErr w:type="spellStart"/>
      <w:r>
        <w:rPr>
          <w:rtl/>
        </w:rPr>
        <w:t>ל“חוט</w:t>
      </w:r>
      <w:proofErr w:type="spellEnd"/>
      <w:r>
        <w:rPr>
          <w:rtl/>
        </w:rPr>
        <w:t xml:space="preserve"> המשולש”</w:t>
      </w:r>
      <w:bookmarkStart w:id="3417" w:name="_fnr2504"/>
      <w:r>
        <w:rPr>
          <w:rStyle w:val="a5"/>
        </w:rPr>
        <w:footnoteReference w:id="2511" w:customMarkFollows="0"/>
      </w:r>
      <w:bookmarkEnd w:id="3417"/>
      <w:r>
        <w:rPr>
          <w:rtl/>
        </w:rPr>
        <w:t xml:space="preserve">, ותאריכה ערב ראש חודש תמוז תרל״ח. נאמר בה: “שמעתי כי נעשה התחדשות בלימוד </w:t>
      </w:r>
      <w:proofErr w:type="spellStart"/>
      <w:r>
        <w:rPr>
          <w:rtl/>
        </w:rPr>
        <w:t>קעלעם</w:t>
      </w:r>
      <w:proofErr w:type="spellEnd"/>
      <w:r>
        <w:rPr>
          <w:rtl/>
        </w:rPr>
        <w:t>, וראיתי זאת כהרף עין ממכתבך. נא סלח לי וכתוב לי בדואר החוזר על העניין בפרוטרוט, ואם אין שברון לב</w:t>
      </w:r>
      <w:bookmarkStart w:id="3418" w:name="_fnr2505"/>
      <w:r>
        <w:rPr>
          <w:rStyle w:val="a5"/>
        </w:rPr>
        <w:footnoteReference w:id="2512" w:customMarkFollows="0"/>
      </w:r>
      <w:bookmarkEnd w:id="3418"/>
      <w:r>
        <w:rPr>
          <w:rtl/>
        </w:rPr>
        <w:t>, חלילה, לידידי הנכבד ר׳ שמחה[־</w:t>
      </w:r>
      <w:proofErr w:type="spellStart"/>
      <w:r>
        <w:rPr>
          <w:rtl/>
        </w:rPr>
        <w:t>זיסל</w:t>
      </w:r>
      <w:proofErr w:type="spellEnd"/>
      <w:r>
        <w:rPr>
          <w:rtl/>
        </w:rPr>
        <w:t>] – והגם שאין בידי מה להושיעו, אכן לבי הומה עליו”.</w:t>
      </w:r>
    </w:p>
    <w:p w14:paraId="0A04A45E" w14:textId="77777777" w:rsidR="00AB3647" w:rsidRDefault="00000000" w:rsidP="007923E9">
      <w:pPr>
        <w:spacing w:after="120" w:line="276" w:lineRule="auto"/>
        <w:ind w:firstLine="283"/>
        <w:jc w:val="both"/>
      </w:pPr>
      <w:r>
        <w:rPr>
          <w:rtl/>
        </w:rPr>
        <w:t xml:space="preserve">עם העברת התלמוד תורה </w:t>
      </w:r>
      <w:proofErr w:type="spellStart"/>
      <w:r>
        <w:rPr>
          <w:rtl/>
        </w:rPr>
        <w:t>לגרובין</w:t>
      </w:r>
      <w:proofErr w:type="spellEnd"/>
      <w:r>
        <w:rPr>
          <w:rtl/>
        </w:rPr>
        <w:t xml:space="preserve"> הוא הפך ממוסד חינוך ייחודי בלבד לפנימייה יקרה שנועדה להכשיר הנהגה של בעלי בתים שומרי מצוות. במפגש ירוחם</w:t>
      </w:r>
      <w:bookmarkStart w:id="3419" w:name="_fnr2506"/>
      <w:r>
        <w:rPr>
          <w:rStyle w:val="a5"/>
        </w:rPr>
        <w:footnoteReference w:id="2513" w:customMarkFollows="0"/>
      </w:r>
      <w:bookmarkEnd w:id="3419"/>
      <w:r>
        <w:rPr>
          <w:rtl/>
        </w:rPr>
        <w:t xml:space="preserve"> אמר אבי: “</w:t>
      </w:r>
      <w:proofErr w:type="spellStart"/>
      <w:r>
        <w:rPr>
          <w:rtl/>
        </w:rPr>
        <w:t>גרובין</w:t>
      </w:r>
      <w:proofErr w:type="spellEnd"/>
      <w:r>
        <w:rPr>
          <w:rtl/>
        </w:rPr>
        <w:t xml:space="preserve"> ביקשה להכשיר לא לומדים אלא יהודים חרדים – בעלי מוסר – מתוך אותם חוגים שבהם הייתה ההשכלה מזיקה ביותר: השכבה העליונה של החברה היהודית, העשירים”. המעבר היה </w:t>
      </w:r>
      <w:proofErr w:type="spellStart"/>
      <w:r>
        <w:rPr>
          <w:rtl/>
        </w:rPr>
        <w:t>בתר״ם</w:t>
      </w:r>
      <w:bookmarkStart w:id="3420" w:name="_fnr2507"/>
      <w:bookmarkStart w:id="3421" w:name="pr_f_2408"/>
      <w:proofErr w:type="spellEnd"/>
      <w:r>
        <w:rPr>
          <w:rStyle w:val="a5"/>
        </w:rPr>
        <w:footnoteReference w:id="2514" w:customMarkFollows="0"/>
      </w:r>
      <w:bookmarkEnd w:id="3420"/>
      <w:bookmarkEnd w:id="3421"/>
      <w:r>
        <w:rPr>
          <w:rtl/>
        </w:rPr>
        <w:t>.</w:t>
      </w:r>
    </w:p>
    <w:p w14:paraId="6F226291" w14:textId="77777777" w:rsidR="00AB3647" w:rsidRDefault="00000000" w:rsidP="007923E9">
      <w:pPr>
        <w:spacing w:after="120" w:line="276" w:lineRule="auto"/>
        <w:ind w:firstLine="283"/>
        <w:jc w:val="both"/>
      </w:pPr>
      <w:r>
        <w:rPr>
          <w:rtl/>
        </w:rPr>
        <w:t xml:space="preserve">תוכנית החינוך הייחודית </w:t>
      </w:r>
      <w:proofErr w:type="spellStart"/>
      <w:r>
        <w:rPr>
          <w:rtl/>
        </w:rPr>
        <w:t>בגרובין</w:t>
      </w:r>
      <w:proofErr w:type="spellEnd"/>
      <w:r>
        <w:rPr>
          <w:rtl/>
        </w:rPr>
        <w:t xml:space="preserve"> מתוארת בהרחבה בספרו של כץ, “תנועת המוסר”, כרך ב</w:t>
      </w:r>
      <w:bookmarkStart w:id="3422" w:name="_fnr2508"/>
      <w:r>
        <w:rPr>
          <w:rStyle w:val="a5"/>
        </w:rPr>
        <w:footnoteReference w:id="2515" w:customMarkFollows="0"/>
      </w:r>
      <w:bookmarkEnd w:id="3422"/>
      <w:r>
        <w:rPr>
          <w:rtl/>
        </w:rPr>
        <w:t>. הן כץ והן יעקב מארק</w:t>
      </w:r>
      <w:bookmarkStart w:id="3423" w:name="_fnr2509"/>
      <w:r>
        <w:rPr>
          <w:rStyle w:val="a5"/>
        </w:rPr>
        <w:footnoteReference w:id="2516" w:customMarkFollows="0"/>
      </w:r>
      <w:bookmarkEnd w:id="3423"/>
      <w:r>
        <w:rPr>
          <w:rtl/>
        </w:rPr>
        <w:t xml:space="preserve"> אומרים: “אפילו התעמלות נכללה [בתוכנית]”. בריאיון </w:t>
      </w:r>
      <w:r>
        <w:rPr>
          <w:rtl/>
        </w:rPr>
        <w:lastRenderedPageBreak/>
        <w:t xml:space="preserve">המוקלט על הסבא </w:t>
      </w:r>
      <w:proofErr w:type="spellStart"/>
      <w:r>
        <w:rPr>
          <w:rtl/>
        </w:rPr>
        <w:t>מסלבודקה</w:t>
      </w:r>
      <w:bookmarkStart w:id="3424" w:name="_fnr2510"/>
      <w:proofErr w:type="spellEnd"/>
      <w:r>
        <w:rPr>
          <w:rStyle w:val="a5"/>
        </w:rPr>
        <w:footnoteReference w:id="2517" w:customMarkFollows="0"/>
      </w:r>
      <w:bookmarkEnd w:id="3424"/>
      <w:r>
        <w:rPr>
          <w:rtl/>
        </w:rPr>
        <w:t xml:space="preserve"> הוסיף אבי</w:t>
      </w:r>
      <w:r>
        <w:t xml:space="preserve"> </w:t>
      </w:r>
      <w:r>
        <w:rPr>
          <w:rtl/>
        </w:rPr>
        <w:t xml:space="preserve">את הדברים הבאים: “כל תפילת </w:t>
      </w:r>
      <w:proofErr w:type="spellStart"/>
      <w:r>
        <w:rPr>
          <w:rtl/>
        </w:rPr>
        <w:t>שמונה־עשרה</w:t>
      </w:r>
      <w:proofErr w:type="spellEnd"/>
      <w:r>
        <w:rPr>
          <w:rtl/>
        </w:rPr>
        <w:t xml:space="preserve"> של ר׳ </w:t>
      </w:r>
      <w:proofErr w:type="spellStart"/>
      <w:r>
        <w:rPr>
          <w:rtl/>
        </w:rPr>
        <w:t>שמחה־זיסל</w:t>
      </w:r>
      <w:proofErr w:type="spellEnd"/>
      <w:r>
        <w:rPr>
          <w:rtl/>
        </w:rPr>
        <w:t xml:space="preserve"> נמשכה מחמישים וחמש דקות עד שעה, והתלמידים, שסיימו הרבה קודם, היו עומדים בשתיקה ומעיינים בספר עד שיסיים הסבא מקלם. התלמידים אכלו ארוחת בוקר לפני שחרית משום שהיו נערים צעירים מבתים עשירים”.</w:t>
      </w:r>
    </w:p>
    <w:p w14:paraId="152C4C44" w14:textId="77777777" w:rsidR="00AB3647" w:rsidRDefault="00000000" w:rsidP="007923E9">
      <w:pPr>
        <w:spacing w:after="120" w:line="276" w:lineRule="auto"/>
        <w:ind w:firstLine="283"/>
        <w:jc w:val="both"/>
      </w:pPr>
      <w:r>
        <w:rPr>
          <w:rtl/>
        </w:rPr>
        <w:t>אבל כץ</w:t>
      </w:r>
      <w:bookmarkStart w:id="3425" w:name="_fnr2511"/>
      <w:r>
        <w:rPr>
          <w:rStyle w:val="a5"/>
        </w:rPr>
        <w:footnoteReference w:id="2518" w:customMarkFollows="0"/>
      </w:r>
      <w:bookmarkEnd w:id="3425"/>
      <w:r>
        <w:rPr>
          <w:rtl/>
        </w:rPr>
        <w:t xml:space="preserve"> מספר סיפור אחר על הארוחה שלפני התפילה, ובכך נמנע מן הקושי ההלכתי הנראה לעין שבאכילה לפני התפילה</w:t>
      </w:r>
      <w:bookmarkStart w:id="3426" w:name="_fnr2512"/>
      <w:r>
        <w:rPr>
          <w:rStyle w:val="a5"/>
        </w:rPr>
        <w:footnoteReference w:id="2519" w:customMarkFollows="0"/>
      </w:r>
      <w:bookmarkEnd w:id="3426"/>
      <w:r>
        <w:rPr>
          <w:rtl/>
        </w:rPr>
        <w:t xml:space="preserve">: “בזמן מסוים הורה ר׳ </w:t>
      </w:r>
      <w:proofErr w:type="spellStart"/>
      <w:r>
        <w:rPr>
          <w:rtl/>
        </w:rPr>
        <w:t>שמחה־זיסל</w:t>
      </w:r>
      <w:proofErr w:type="spellEnd"/>
      <w:r>
        <w:rPr>
          <w:rtl/>
        </w:rPr>
        <w:t xml:space="preserve"> לנערים לקום בשלוש וחצי לפנות בוקר, לאכול ארוחת בוקר וללמוד מארבע עד שבע וחצי, ואז התפללו. מטרת סדר זה הייתה להתרגל למידת הזריזות ולתרגל קביעת עתים לתורה גם בשעות בלתי רגילות ביום”.</w:t>
      </w:r>
    </w:p>
    <w:p w14:paraId="5F767C48" w14:textId="77777777" w:rsidR="00AB3647" w:rsidRDefault="00000000" w:rsidP="007923E9">
      <w:pPr>
        <w:spacing w:after="120" w:line="276" w:lineRule="auto"/>
        <w:ind w:firstLine="283"/>
        <w:jc w:val="both"/>
      </w:pPr>
      <w:r>
        <w:rPr>
          <w:rtl/>
        </w:rPr>
        <w:t>ד״ר ישראל אלישיב, סופר ששם העט שלו היה “בעל מחשבות”</w:t>
      </w:r>
      <w:bookmarkStart w:id="3427" w:name="_fnr2513"/>
      <w:r>
        <w:rPr>
          <w:rStyle w:val="a5"/>
        </w:rPr>
        <w:footnoteReference w:id="2520" w:customMarkFollows="0"/>
      </w:r>
      <w:bookmarkEnd w:id="3427"/>
      <w:r>
        <w:rPr>
          <w:rtl/>
        </w:rPr>
        <w:t xml:space="preserve">, שהה </w:t>
      </w:r>
      <w:proofErr w:type="spellStart"/>
      <w:r>
        <w:rPr>
          <w:rtl/>
        </w:rPr>
        <w:t>בגרובין</w:t>
      </w:r>
      <w:proofErr w:type="spellEnd"/>
      <w:r>
        <w:rPr>
          <w:rtl/>
        </w:rPr>
        <w:t xml:space="preserve"> מעט יותר משנתיים “ברבע הראשון של שנות </w:t>
      </w:r>
      <w:proofErr w:type="spellStart"/>
      <w:r>
        <w:rPr>
          <w:rtl/>
        </w:rPr>
        <w:t>התר״ם</w:t>
      </w:r>
      <w:proofErr w:type="spellEnd"/>
      <w:r>
        <w:rPr>
          <w:rtl/>
        </w:rPr>
        <w:t xml:space="preserve">”. במאמרו הביקורתי </w:t>
      </w:r>
      <w:proofErr w:type="spellStart"/>
      <w:r>
        <w:rPr>
          <w:rtl/>
        </w:rPr>
        <w:t>ב“העבר</w:t>
      </w:r>
      <w:proofErr w:type="spellEnd"/>
      <w:r>
        <w:rPr>
          <w:rtl/>
        </w:rPr>
        <w:t>”</w:t>
      </w:r>
      <w:bookmarkStart w:id="3428" w:name="_fnr2514"/>
      <w:r>
        <w:rPr>
          <w:rStyle w:val="a5"/>
        </w:rPr>
        <w:footnoteReference w:id="2521" w:customMarkFollows="0"/>
      </w:r>
      <w:bookmarkEnd w:id="3428"/>
      <w:r>
        <w:rPr>
          <w:rtl/>
        </w:rPr>
        <w:t xml:space="preserve"> הוא נזכר שסדר לימוד בלתי רגיל זה התקיים בחורף אחד בלבד. לפי זה אכלו הנערים בשעות שלפני עלות השחר, כשהאכילה מותרת על פי ההלכה.</w:t>
      </w:r>
    </w:p>
    <w:p w14:paraId="5F8ABD1B" w14:textId="77777777" w:rsidR="00AB3647" w:rsidRDefault="00000000" w:rsidP="007923E9">
      <w:pPr>
        <w:spacing w:after="120" w:line="276" w:lineRule="auto"/>
        <w:ind w:firstLine="283"/>
        <w:jc w:val="both"/>
      </w:pPr>
      <w:r>
        <w:rPr>
          <w:rtl/>
        </w:rPr>
        <w:t xml:space="preserve">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 xml:space="preserve">” נאמר </w:t>
      </w:r>
      <w:proofErr w:type="spellStart"/>
      <w:r>
        <w:rPr>
          <w:rtl/>
        </w:rPr>
        <w:t>שבגרובין</w:t>
      </w:r>
      <w:proofErr w:type="spellEnd"/>
      <w:r>
        <w:rPr>
          <w:rtl/>
        </w:rPr>
        <w:t xml:space="preserve"> התלמידים “למדו גרמנית וגם רוסית, ולא בכובעים אלא </w:t>
      </w:r>
      <w:proofErr w:type="spellStart"/>
      <w:r>
        <w:rPr>
          <w:rtl/>
        </w:rPr>
        <w:t>דוקא</w:t>
      </w:r>
      <w:proofErr w:type="spellEnd"/>
      <w:r>
        <w:rPr>
          <w:rtl/>
        </w:rPr>
        <w:t xml:space="preserve"> בכיפות”. את משמעות הסיפא הסביר גיסי ר׳ ישראל </w:t>
      </w:r>
      <w:proofErr w:type="spellStart"/>
      <w:r>
        <w:rPr>
          <w:rtl/>
        </w:rPr>
        <w:t>שורין</w:t>
      </w:r>
      <w:proofErr w:type="spellEnd"/>
      <w:r>
        <w:rPr>
          <w:rtl/>
        </w:rPr>
        <w:t xml:space="preserve"> (שנולד בליטא </w:t>
      </w:r>
      <w:proofErr w:type="spellStart"/>
      <w:r>
        <w:rPr>
          <w:rtl/>
        </w:rPr>
        <w:t>בתרע״ח</w:t>
      </w:r>
      <w:proofErr w:type="spellEnd"/>
      <w:r>
        <w:rPr>
          <w:rtl/>
        </w:rPr>
        <w:t xml:space="preserve">): ברוסיה, וכן ביורשתה שלאחר מלחמת העולם הראשונה, ליטא העצמאית, הסרת הכובע הייתה אות כבוד. הוא זכר שכאשר נדרש רבה של </w:t>
      </w:r>
      <w:proofErr w:type="spellStart"/>
      <w:r>
        <w:rPr>
          <w:rtl/>
        </w:rPr>
        <w:t>טלז</w:t>
      </w:r>
      <w:proofErr w:type="spellEnd"/>
      <w:r>
        <w:rPr>
          <w:rtl/>
        </w:rPr>
        <w:t xml:space="preserve">, ר׳ </w:t>
      </w:r>
      <w:proofErr w:type="spellStart"/>
      <w:r>
        <w:rPr>
          <w:rtl/>
        </w:rPr>
        <w:t>אברהם־יצחק</w:t>
      </w:r>
      <w:proofErr w:type="spellEnd"/>
      <w:r>
        <w:rPr>
          <w:rtl/>
        </w:rPr>
        <w:t xml:space="preserve"> בלוך, להשתתף באירוע ציבורי שבו נוגן ההמנון הלאומי, הסיר את כובעו והחזיק אותו באוויר מעל ראשו. מלכה </w:t>
      </w:r>
      <w:proofErr w:type="spellStart"/>
      <w:r>
        <w:rPr>
          <w:rtl/>
        </w:rPr>
        <w:t>שורין</w:t>
      </w:r>
      <w:proofErr w:type="spellEnd"/>
      <w:r>
        <w:rPr>
          <w:rtl/>
        </w:rPr>
        <w:t xml:space="preserve"> זכרה </w:t>
      </w:r>
      <w:proofErr w:type="spellStart"/>
      <w:r>
        <w:rPr>
          <w:rtl/>
        </w:rPr>
        <w:t>שבציטוביאן</w:t>
      </w:r>
      <w:proofErr w:type="spellEnd"/>
      <w:r>
        <w:rPr>
          <w:rtl/>
        </w:rPr>
        <w:t>, כשנכנס אבינו לבית הדואר המעוטר בדגל ליטא, הסיר את כובעו.</w:t>
      </w:r>
    </w:p>
    <w:p w14:paraId="6885A4AD" w14:textId="77777777" w:rsidR="00AB3647" w:rsidRDefault="00000000" w:rsidP="007923E9">
      <w:pPr>
        <w:spacing w:after="120" w:line="276" w:lineRule="auto"/>
        <w:ind w:firstLine="283"/>
        <w:jc w:val="both"/>
      </w:pPr>
      <w:r>
        <w:rPr>
          <w:rtl/>
        </w:rPr>
        <w:t xml:space="preserve">כוונת הרב חיים </w:t>
      </w:r>
      <w:proofErr w:type="spellStart"/>
      <w:r>
        <w:rPr>
          <w:rtl/>
        </w:rPr>
        <w:t>קרלינסקי</w:t>
      </w:r>
      <w:proofErr w:type="spellEnd"/>
      <w:r>
        <w:rPr>
          <w:rtl/>
        </w:rPr>
        <w:t xml:space="preserve"> הייתה שלימודי הרוסית </w:t>
      </w:r>
      <w:proofErr w:type="spellStart"/>
      <w:r>
        <w:rPr>
          <w:rtl/>
        </w:rPr>
        <w:t>בגרובין</w:t>
      </w:r>
      <w:proofErr w:type="spellEnd"/>
      <w:r>
        <w:rPr>
          <w:rtl/>
        </w:rPr>
        <w:t xml:space="preserve"> התקיימו מתוך כבוד לשפה הלאומית, כבוד שחייב את התלמידים להסיר את כובעיהם, שאותם חבשו בדרך כלל כל היום בלי כיפות תחתיהם. כדי שלא לשבת בגילוי ראש במשך שיעור שלם – ולא לדקות ספורות, כמו במקרה של ר׳ </w:t>
      </w:r>
      <w:proofErr w:type="spellStart"/>
      <w:r>
        <w:rPr>
          <w:rtl/>
        </w:rPr>
        <w:t>אברהם־יצחק</w:t>
      </w:r>
      <w:proofErr w:type="spellEnd"/>
      <w:r>
        <w:rPr>
          <w:rtl/>
        </w:rPr>
        <w:t xml:space="preserve"> בלוך ושל</w:t>
      </w:r>
      <w:r>
        <w:t xml:space="preserve"> </w:t>
      </w:r>
      <w:r>
        <w:rPr>
          <w:rtl/>
        </w:rPr>
        <w:t>רבנו – חבשו כיפות.</w:t>
      </w:r>
    </w:p>
    <w:p w14:paraId="6A0B61F4" w14:textId="77777777" w:rsidR="00AB3647" w:rsidRDefault="00000000" w:rsidP="007923E9">
      <w:pPr>
        <w:spacing w:after="120" w:line="276" w:lineRule="auto"/>
        <w:ind w:firstLine="283"/>
        <w:jc w:val="both"/>
      </w:pPr>
      <w:r>
        <w:rPr>
          <w:rtl/>
        </w:rPr>
        <w:t>כץ, “תנועת המוסר”, כרך ב</w:t>
      </w:r>
      <w:bookmarkStart w:id="3429" w:name="_fnr2515"/>
      <w:r>
        <w:rPr>
          <w:rStyle w:val="a5"/>
        </w:rPr>
        <w:footnoteReference w:id="2522" w:customMarkFollows="0"/>
      </w:r>
      <w:bookmarkEnd w:id="3429"/>
      <w:r>
        <w:rPr>
          <w:rtl/>
        </w:rPr>
        <w:t xml:space="preserve">, מביא איגרת שכתב ר׳ </w:t>
      </w:r>
      <w:proofErr w:type="spellStart"/>
      <w:r>
        <w:rPr>
          <w:rtl/>
        </w:rPr>
        <w:t>שמחה־זיסל</w:t>
      </w:r>
      <w:proofErr w:type="spellEnd"/>
      <w:r>
        <w:rPr>
          <w:rtl/>
        </w:rPr>
        <w:t xml:space="preserve"> בעודו </w:t>
      </w:r>
      <w:proofErr w:type="spellStart"/>
      <w:r>
        <w:rPr>
          <w:rtl/>
        </w:rPr>
        <w:t>בקלם</w:t>
      </w:r>
      <w:proofErr w:type="spellEnd"/>
      <w:r>
        <w:rPr>
          <w:rtl/>
        </w:rPr>
        <w:t xml:space="preserve">, לפני המעבר </w:t>
      </w:r>
      <w:proofErr w:type="spellStart"/>
      <w:r>
        <w:rPr>
          <w:rtl/>
        </w:rPr>
        <w:t>לגרובין</w:t>
      </w:r>
      <w:proofErr w:type="spellEnd"/>
      <w:r>
        <w:rPr>
          <w:rtl/>
        </w:rPr>
        <w:t>, ובה הוא מתאר ברגש רב את יעילות תוכניתו: “נערים רבים שהיו נגועים בעליל בנגעי הקמצנות, השנאה והקנאה שינו את מידותיהם והפכו לנדיבים, לאוהבים ולמחבבים איש את רעהו”.</w:t>
      </w:r>
    </w:p>
    <w:p w14:paraId="51B9B710" w14:textId="77777777" w:rsidR="00AB3647" w:rsidRDefault="00000000" w:rsidP="007923E9">
      <w:pPr>
        <w:spacing w:after="120" w:line="276" w:lineRule="auto"/>
        <w:ind w:firstLine="283"/>
        <w:jc w:val="both"/>
      </w:pPr>
      <w:r>
        <w:rPr>
          <w:rtl/>
        </w:rPr>
        <w:lastRenderedPageBreak/>
        <w:t>מקור זה</w:t>
      </w:r>
      <w:bookmarkStart w:id="3430" w:name="_fnr2516"/>
      <w:r>
        <w:rPr>
          <w:rStyle w:val="a5"/>
        </w:rPr>
        <w:footnoteReference w:id="2523" w:customMarkFollows="0"/>
      </w:r>
      <w:bookmarkEnd w:id="3430"/>
      <w:r>
        <w:rPr>
          <w:rtl/>
        </w:rPr>
        <w:t xml:space="preserve"> מביא גם מאמר שבח על בית הספר </w:t>
      </w:r>
      <w:proofErr w:type="spellStart"/>
      <w:r>
        <w:rPr>
          <w:rtl/>
        </w:rPr>
        <w:t>בגרובין</w:t>
      </w:r>
      <w:proofErr w:type="spellEnd"/>
      <w:r>
        <w:rPr>
          <w:rtl/>
        </w:rPr>
        <w:t xml:space="preserve"> מן “הצפירה” (תרמ״ה)</w:t>
      </w:r>
      <w:bookmarkStart w:id="3431" w:name="_fnr2517"/>
      <w:r>
        <w:rPr>
          <w:rStyle w:val="a5"/>
        </w:rPr>
        <w:footnoteReference w:id="2524" w:customMarkFollows="0"/>
      </w:r>
      <w:bookmarkEnd w:id="3431"/>
      <w:r>
        <w:rPr>
          <w:rtl/>
        </w:rPr>
        <w:t xml:space="preserve">, המתאר “את עבודתם המסורה של המורים והמשגיחים בהשרשת יראת ה׳ צרופה ורגשי טוהר בלב הנערים”, את תשומת הלב שנתן ר׳ </w:t>
      </w:r>
      <w:proofErr w:type="spellStart"/>
      <w:r>
        <w:rPr>
          <w:rtl/>
        </w:rPr>
        <w:t>שמחה־זיסל</w:t>
      </w:r>
      <w:proofErr w:type="spellEnd"/>
      <w:r>
        <w:rPr>
          <w:rtl/>
        </w:rPr>
        <w:t xml:space="preserve"> לכל תנועה של חניכיו, ואת בקיאות הבוגרים “בענייני הש״ס ככל הלומדים המצוינים [בישיבות הרגילות], בצירוף שיעור ניכר של מדע, תבונה וידע בן הזמן”. שלוש שעות בכל יום הוקדשו ללימודי חול, שכללו רוסית, מתמטיקה, היסטוריה וגאוגרפיה</w:t>
      </w:r>
      <w:bookmarkStart w:id="3432" w:name="_fnr2518"/>
      <w:r>
        <w:rPr>
          <w:rStyle w:val="a5"/>
        </w:rPr>
        <w:footnoteReference w:id="2525" w:customMarkFollows="0"/>
      </w:r>
      <w:bookmarkEnd w:id="3432"/>
      <w:r>
        <w:rPr>
          <w:rtl/>
        </w:rPr>
        <w:t>, וכן הנהלת חשבונות לבחירה</w:t>
      </w:r>
      <w:bookmarkStart w:id="3433" w:name="_fnr2519"/>
      <w:r>
        <w:rPr>
          <w:rStyle w:val="a5"/>
        </w:rPr>
        <w:footnoteReference w:id="2526" w:customMarkFollows="0"/>
      </w:r>
      <w:bookmarkEnd w:id="3433"/>
      <w:r>
        <w:rPr>
          <w:rtl/>
        </w:rPr>
        <w:t>.</w:t>
      </w:r>
    </w:p>
    <w:p w14:paraId="5CB0D074" w14:textId="5421E3D1" w:rsidR="00AB3647" w:rsidRDefault="00000000" w:rsidP="007923E9">
      <w:pPr>
        <w:spacing w:after="120" w:line="276" w:lineRule="auto"/>
        <w:ind w:firstLine="283"/>
        <w:jc w:val="both"/>
      </w:pPr>
      <w:r>
        <w:rPr>
          <w:rtl/>
        </w:rPr>
        <w:t>זיכרונו של אלישיב ודאי בגד בו כשכתב</w:t>
      </w:r>
      <w:bookmarkStart w:id="3434" w:name="_fnr2520"/>
      <w:r>
        <w:rPr>
          <w:rStyle w:val="a5"/>
        </w:rPr>
        <w:footnoteReference w:id="2527" w:customMarkFollows="0"/>
      </w:r>
      <w:bookmarkEnd w:id="3434"/>
      <w:r>
        <w:rPr>
          <w:rtl/>
        </w:rPr>
        <w:t xml:space="preserve">, שלושים ושש שנים לאחר המאורעות, שלמדו גרמנית, ולא הזכיר כלל לימודי רוסית. הוא אף אינו מזכיר את תוכנית ההתעמלות שעליה מספרים כץ ויעקב מארק, ורק מציין שבימי קיץ חמים במיוחד נלקחו כל הנערים לרחוץ ליד חורבות טירה עתיקה </w:t>
      </w:r>
      <w:proofErr w:type="spellStart"/>
      <w:r>
        <w:rPr>
          <w:rtl/>
        </w:rPr>
        <w:t>ורדופת</w:t>
      </w:r>
      <w:proofErr w:type="spellEnd"/>
      <w:r>
        <w:rPr>
          <w:rtl/>
        </w:rPr>
        <w:t xml:space="preserve"> רוחות</w:t>
      </w:r>
      <w:bookmarkStart w:id="3435" w:name="_fnr2521"/>
      <w:r>
        <w:rPr>
          <w:rStyle w:val="a5"/>
        </w:rPr>
        <w:footnoteReference w:id="2528" w:customMarkFollows="0"/>
      </w:r>
      <w:bookmarkEnd w:id="3435"/>
      <w:r>
        <w:rPr>
          <w:rtl/>
        </w:rPr>
        <w:t>. גם אמירתו</w:t>
      </w:r>
      <w:bookmarkStart w:id="3436" w:name="_fnr2522"/>
      <w:r>
        <w:rPr>
          <w:rStyle w:val="a5"/>
        </w:rPr>
        <w:footnoteReference w:id="2529" w:customMarkFollows="0"/>
      </w:r>
      <w:bookmarkEnd w:id="3436"/>
      <w:r>
        <w:rPr>
          <w:rtl/>
        </w:rPr>
        <w:t xml:space="preserve"> שלא למדו מקרא מוטעית, שהרי ר׳ </w:t>
      </w:r>
      <w:proofErr w:type="spellStart"/>
      <w:r>
        <w:rPr>
          <w:rtl/>
        </w:rPr>
        <w:t>נתן־צבי</w:t>
      </w:r>
      <w:proofErr w:type="spellEnd"/>
      <w:r>
        <w:rPr>
          <w:rtl/>
        </w:rPr>
        <w:t xml:space="preserve"> </w:t>
      </w:r>
      <w:proofErr w:type="spellStart"/>
      <w:r>
        <w:rPr>
          <w:rtl/>
        </w:rPr>
        <w:t>פינקל</w:t>
      </w:r>
      <w:proofErr w:type="spellEnd"/>
      <w:r>
        <w:rPr>
          <w:rtl/>
        </w:rPr>
        <w:t xml:space="preserve"> עצמו לימד שם תנ״ך, כמסופר בפרק 4, בפסקה השנייה ב</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639E4B6" w14:textId="77777777" w:rsidR="00AB3647" w:rsidRDefault="00000000" w:rsidP="007923E9">
      <w:pPr>
        <w:spacing w:after="120" w:line="276" w:lineRule="auto"/>
        <w:ind w:firstLine="283"/>
        <w:jc w:val="both"/>
      </w:pPr>
      <w:r>
        <w:rPr>
          <w:rtl/>
        </w:rPr>
        <w:t>קביעתו של אלישיב</w:t>
      </w:r>
      <w:bookmarkStart w:id="3437" w:name="_fnr2523"/>
      <w:r>
        <w:rPr>
          <w:rStyle w:val="a5"/>
        </w:rPr>
        <w:footnoteReference w:id="2530" w:customMarkFollows="0"/>
      </w:r>
      <w:bookmarkEnd w:id="3437"/>
      <w:r>
        <w:rPr>
          <w:rtl/>
        </w:rPr>
        <w:t xml:space="preserve"> </w:t>
      </w:r>
      <w:proofErr w:type="spellStart"/>
      <w:r>
        <w:rPr>
          <w:rtl/>
        </w:rPr>
        <w:t>ש“בגרובין</w:t>
      </w:r>
      <w:proofErr w:type="spellEnd"/>
      <w:r>
        <w:rPr>
          <w:rtl/>
        </w:rPr>
        <w:t xml:space="preserve"> לא יוחס ערך מיוחד ללימוד הגמרא” נסתרת במאמר בן התקופה </w:t>
      </w:r>
      <w:proofErr w:type="spellStart"/>
      <w:r>
        <w:rPr>
          <w:rtl/>
        </w:rPr>
        <w:t>ב“הצפירה</w:t>
      </w:r>
      <w:proofErr w:type="spellEnd"/>
      <w:r>
        <w:rPr>
          <w:rtl/>
        </w:rPr>
        <w:t>” שהובא לעיל, שבו נאמר: “התלמידים משתתפים [בשיעורי] גפ״ת, לאחר ארוחת הבוקר ועד הצהריים, בהתלהבות עזה, ומטים אוזן לשמוע את</w:t>
      </w:r>
      <w:r>
        <w:t xml:space="preserve"> </w:t>
      </w:r>
      <w:r>
        <w:rPr>
          <w:rtl/>
        </w:rPr>
        <w:t xml:space="preserve">קול מוריהם כדי להבין ‘דברי חכמים </w:t>
      </w:r>
      <w:proofErr w:type="spellStart"/>
      <w:r>
        <w:rPr>
          <w:rtl/>
        </w:rPr>
        <w:t>וחידותם</w:t>
      </w:r>
      <w:proofErr w:type="spellEnd"/>
      <w:r>
        <w:rPr>
          <w:rtl/>
        </w:rPr>
        <w:t>’</w:t>
      </w:r>
      <w:bookmarkStart w:id="3438" w:name="_fnr2524"/>
      <w:r>
        <w:rPr>
          <w:rStyle w:val="a5"/>
        </w:rPr>
        <w:footnoteReference w:id="2531" w:customMarkFollows="0"/>
      </w:r>
      <w:bookmarkEnd w:id="3438"/>
      <w:r>
        <w:rPr>
          <w:rtl/>
        </w:rPr>
        <w:t>, ואין מילים יוצאות מפיהם בעוד לבם רחוק</w:t>
      </w:r>
      <w:bookmarkStart w:id="3439" w:name="_fnr2525"/>
      <w:r>
        <w:rPr>
          <w:rStyle w:val="a5"/>
        </w:rPr>
        <w:footnoteReference w:id="2532" w:customMarkFollows="0"/>
      </w:r>
      <w:bookmarkEnd w:id="3439"/>
      <w:r>
        <w:rPr>
          <w:rtl/>
        </w:rPr>
        <w:t>”.</w:t>
      </w:r>
    </w:p>
    <w:p w14:paraId="7607C32D" w14:textId="77777777" w:rsidR="00AB3647" w:rsidRDefault="00000000" w:rsidP="007923E9">
      <w:pPr>
        <w:spacing w:after="120" w:line="276" w:lineRule="auto"/>
        <w:ind w:firstLine="283"/>
        <w:jc w:val="both"/>
      </w:pPr>
      <w:r>
        <w:rPr>
          <w:rtl/>
        </w:rPr>
        <w:t>הפנייה הארוכה של אלישיב בסיום מאמרו</w:t>
      </w:r>
      <w:bookmarkStart w:id="3440" w:name="_fnr2526"/>
      <w:r>
        <w:rPr>
          <w:rStyle w:val="a5"/>
        </w:rPr>
        <w:footnoteReference w:id="2533" w:customMarkFollows="0"/>
      </w:r>
      <w:bookmarkEnd w:id="3440"/>
      <w:r>
        <w:rPr>
          <w:rtl/>
        </w:rPr>
        <w:t xml:space="preserve"> – מוטב לומר: התחנונים – לתלמידים לשעבר אחרים שישלחו גם הם את זיכרונותיהם, מגלה שלא היה בטוח אם תיאור חווייתו האומללה היה ענייני ועובדתי. גם בחלקו המוקדם של המאמר</w:t>
      </w:r>
      <w:bookmarkStart w:id="3441" w:name="_fnr2527"/>
      <w:r>
        <w:rPr>
          <w:rStyle w:val="a5"/>
        </w:rPr>
        <w:footnoteReference w:id="2534" w:customMarkFollows="0"/>
      </w:r>
      <w:bookmarkEnd w:id="3441"/>
      <w:r>
        <w:rPr>
          <w:rtl/>
        </w:rPr>
        <w:t xml:space="preserve"> הוא מוסיף משפט בסוגריים המעדן את הודאתו בחוסר מהימנותו, וזה לשונו: “ראוי היה שעוד אחרים מאותם מעטים [בקרבנו, התלמידים, שעֵרנותם היתרה גברה על קסמיה המהפנטים של </w:t>
      </w:r>
      <w:proofErr w:type="spellStart"/>
      <w:r>
        <w:rPr>
          <w:rtl/>
        </w:rPr>
        <w:t>גרובין</w:t>
      </w:r>
      <w:proofErr w:type="spellEnd"/>
      <w:r>
        <w:rPr>
          <w:rtl/>
        </w:rPr>
        <w:t xml:space="preserve">] יפרסמו את זיכרונותיהם, כדי שתמונת חיי בעלי המוסר שם </w:t>
      </w:r>
      <w:r>
        <w:rPr>
          <w:b/>
          <w:bCs/>
          <w:rtl/>
        </w:rPr>
        <w:t>תהיה שלמה יותר</w:t>
      </w:r>
      <w:r>
        <w:rPr>
          <w:rtl/>
        </w:rPr>
        <w:t xml:space="preserve"> (ההדגשה שלי)”.</w:t>
      </w:r>
    </w:p>
    <w:p w14:paraId="22D783DE" w14:textId="77777777" w:rsidR="00AB3647" w:rsidRDefault="00000000" w:rsidP="007923E9">
      <w:pPr>
        <w:spacing w:after="120" w:line="276" w:lineRule="auto"/>
        <w:ind w:firstLine="283"/>
        <w:jc w:val="both"/>
      </w:pPr>
      <w:r>
        <w:rPr>
          <w:rtl/>
        </w:rPr>
        <w:t>מסתבר שאלישיב חשד שהזיכרונות המציפים אותו מגמתיים ומשובשים, בשל דבר שהודה בו בעצמו</w:t>
      </w:r>
      <w:bookmarkStart w:id="3442" w:name="_fnr2528"/>
      <w:r>
        <w:rPr>
          <w:rStyle w:val="a5"/>
        </w:rPr>
        <w:footnoteReference w:id="2535" w:customMarkFollows="0"/>
      </w:r>
      <w:bookmarkEnd w:id="3442"/>
      <w:r>
        <w:rPr>
          <w:rtl/>
        </w:rPr>
        <w:t xml:space="preserve">: “כאשר </w:t>
      </w:r>
      <w:r>
        <w:rPr>
          <w:b/>
          <w:bCs/>
          <w:rtl/>
        </w:rPr>
        <w:t>עזב בפעם האחרונה</w:t>
      </w:r>
      <w:r>
        <w:rPr>
          <w:rtl/>
        </w:rPr>
        <w:t xml:space="preserve"> (ההדגשה שלי), נמחקו </w:t>
      </w:r>
      <w:proofErr w:type="spellStart"/>
      <w:r>
        <w:rPr>
          <w:rtl/>
        </w:rPr>
        <w:t>מלבו</w:t>
      </w:r>
      <w:proofErr w:type="spellEnd"/>
      <w:r>
        <w:rPr>
          <w:rtl/>
        </w:rPr>
        <w:t xml:space="preserve"> החיים </w:t>
      </w:r>
      <w:proofErr w:type="spellStart"/>
      <w:r>
        <w:rPr>
          <w:rtl/>
        </w:rPr>
        <w:t>בגרובין</w:t>
      </w:r>
      <w:proofErr w:type="spellEnd"/>
      <w:r>
        <w:rPr>
          <w:rtl/>
        </w:rPr>
        <w:t xml:space="preserve"> </w:t>
      </w:r>
      <w:r>
        <w:rPr>
          <w:rtl/>
        </w:rPr>
        <w:lastRenderedPageBreak/>
        <w:t>והתעלולים שחווה שם, והיו כלא היו – כחלום יעוף – ורק כעבור חמש או שש שנים החל לתעב את מי שגזלו ממנו שנתיים יפות של נעורים”.</w:t>
      </w:r>
    </w:p>
    <w:p w14:paraId="40EAB27E" w14:textId="77777777" w:rsidR="00AB3647" w:rsidRDefault="00000000" w:rsidP="007923E9">
      <w:pPr>
        <w:spacing w:after="120" w:line="276" w:lineRule="auto"/>
        <w:ind w:firstLine="283"/>
        <w:jc w:val="both"/>
      </w:pPr>
      <w:r>
        <w:rPr>
          <w:rtl/>
        </w:rPr>
        <w:t>המילים “כאשר עזב בפעם האחרונה” במשפט הקודם הודגשו משום שאלישיב לא עזב (מרצונו), אלא גורש (סוף סוף) כעבור שישה שבועות מתחילת הזמן</w:t>
      </w:r>
      <w:bookmarkStart w:id="3443" w:name="_fnr2529"/>
      <w:r>
        <w:rPr>
          <w:rStyle w:val="a5"/>
        </w:rPr>
        <w:footnoteReference w:id="2536" w:customMarkFollows="0"/>
      </w:r>
      <w:bookmarkEnd w:id="3443"/>
      <w:r>
        <w:rPr>
          <w:rtl/>
        </w:rPr>
        <w:t>. גם בסוף הזמן הקודם נתבקש שלא לחזור מחופשת הימים הנוראים וסוכות בביתו, משום שפיתח, לפי תיאורו שלו</w:t>
      </w:r>
      <w:bookmarkStart w:id="3444" w:name="_fnr2530"/>
      <w:r>
        <w:rPr>
          <w:rStyle w:val="a5"/>
        </w:rPr>
        <w:footnoteReference w:id="2537" w:customMarkFollows="0"/>
      </w:r>
      <w:bookmarkEnd w:id="3444"/>
      <w:r>
        <w:rPr>
          <w:rtl/>
        </w:rPr>
        <w:t xml:space="preserve">, הפרעה כפייתית. את ההפרעה ייחס למצבו הגופני הירוד, שגם בו האשים את בית הספר. רק בעקבות </w:t>
      </w:r>
      <w:proofErr w:type="spellStart"/>
      <w:r>
        <w:rPr>
          <w:rtl/>
        </w:rPr>
        <w:t>ה“עמל</w:t>
      </w:r>
      <w:proofErr w:type="spellEnd"/>
      <w:r>
        <w:rPr>
          <w:rtl/>
        </w:rPr>
        <w:t xml:space="preserve"> הרב” שהשקיע אביו ר׳ </w:t>
      </w:r>
      <w:proofErr w:type="spellStart"/>
      <w:r>
        <w:rPr>
          <w:rtl/>
        </w:rPr>
        <w:t>שלמה־זלקינד</w:t>
      </w:r>
      <w:proofErr w:type="spellEnd"/>
      <w:r>
        <w:rPr>
          <w:rtl/>
        </w:rPr>
        <w:t xml:space="preserve"> אלישיב</w:t>
      </w:r>
      <w:bookmarkStart w:id="3445" w:name="_fnr2531"/>
      <w:r>
        <w:rPr>
          <w:rStyle w:val="a5"/>
        </w:rPr>
        <w:footnoteReference w:id="2538" w:customMarkFollows="0"/>
      </w:r>
      <w:bookmarkEnd w:id="3445"/>
      <w:r>
        <w:rPr>
          <w:rtl/>
        </w:rPr>
        <w:t xml:space="preserve"> בחליפת איגרות מטרידה עם ר׳ </w:t>
      </w:r>
      <w:proofErr w:type="spellStart"/>
      <w:r>
        <w:rPr>
          <w:rtl/>
        </w:rPr>
        <w:t>שמחה־זיסל</w:t>
      </w:r>
      <w:bookmarkStart w:id="3446" w:name="_fnr2532"/>
      <w:proofErr w:type="spellEnd"/>
      <w:r>
        <w:rPr>
          <w:rStyle w:val="a5"/>
        </w:rPr>
        <w:footnoteReference w:id="2539" w:customMarkFollows="0"/>
      </w:r>
      <w:bookmarkEnd w:id="3446"/>
      <w:r>
        <w:rPr>
          <w:rtl/>
        </w:rPr>
        <w:t xml:space="preserve"> הורשה לחזור בתחילת הזמן הבא.</w:t>
      </w:r>
    </w:p>
    <w:p w14:paraId="06CE5342" w14:textId="332D9BF3" w:rsidR="00AB3647" w:rsidRDefault="00000000" w:rsidP="007923E9">
      <w:pPr>
        <w:spacing w:after="120" w:line="276" w:lineRule="auto"/>
        <w:ind w:firstLine="283"/>
        <w:jc w:val="both"/>
      </w:pPr>
      <w:r>
        <w:rPr>
          <w:rtl/>
        </w:rPr>
        <w:t xml:space="preserve">השווה גם פרק 4, הערה </w:t>
      </w:r>
      <w:r>
        <w:rPr>
          <w:rtl/>
        </w:rPr>
        <w:fldChar w:fldCharType="begin" w:dirty="true"/>
      </w:r>
      <w:r>
        <w:rPr>
          <w:rtl/>
        </w:rPr>
        <w:instrText xml:space="preserve"> REF b4_note139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139</w:t>
      </w:r>
      <w:r>
        <w:rPr>
          <w:rtl/>
        </w:rPr>
        <w:fldChar w:fldCharType="end"/>
      </w:r>
      <w:r>
        <w:rPr>
          <w:rtl/>
        </w:rPr>
        <w:t xml:space="preserve">, על זיקתם של אביו של ד״ר אלישיב (ושל </w:t>
      </w:r>
      <w:proofErr w:type="spellStart"/>
      <w:r>
        <w:rPr>
          <w:rtl/>
        </w:rPr>
        <w:t>אמו</w:t>
      </w:r>
      <w:proofErr w:type="spellEnd"/>
      <w:r>
        <w:rPr>
          <w:rtl/>
        </w:rPr>
        <w:t>) לתנועת המוסר. אף</w:t>
      </w:r>
      <w:r>
        <w:t xml:space="preserve"> </w:t>
      </w:r>
      <w:r>
        <w:rPr>
          <w:rtl/>
        </w:rPr>
        <w:t xml:space="preserve">שאותו מקור מדבר על דבקותו של ר׳ </w:t>
      </w:r>
      <w:proofErr w:type="spellStart"/>
      <w:r>
        <w:rPr>
          <w:rtl/>
        </w:rPr>
        <w:t>שלמה־זלקינד</w:t>
      </w:r>
      <w:proofErr w:type="spellEnd"/>
      <w:r>
        <w:rPr>
          <w:rtl/>
        </w:rPr>
        <w:t xml:space="preserve"> במוסר </w:t>
      </w:r>
      <w:proofErr w:type="spellStart"/>
      <w:r>
        <w:rPr>
          <w:rtl/>
        </w:rPr>
        <w:t>חמש־עשרה</w:t>
      </w:r>
      <w:proofErr w:type="spellEnd"/>
      <w:r>
        <w:rPr>
          <w:rtl/>
        </w:rPr>
        <w:t xml:space="preserve"> שנה לאחר שבנו למד </w:t>
      </w:r>
      <w:proofErr w:type="spellStart"/>
      <w:r>
        <w:rPr>
          <w:rtl/>
        </w:rPr>
        <w:t>בגרובין</w:t>
      </w:r>
      <w:proofErr w:type="spellEnd"/>
      <w:r>
        <w:rPr>
          <w:rtl/>
        </w:rPr>
        <w:t>, רשאים אנו להניח שכבר היה בעל מוסר כששלח את בנו ללמוד במוסד המוסר החשוב ביותר. לפיכך אפשר לשער שקשריו עם תנועת המוסר היו מכריעים בהסכמת הסבא מקלם להחזיר את הנער, אף שהיה זה על תנאי. כבעל מוסר אמיתי</w:t>
      </w:r>
      <w:bookmarkStart w:id="3447" w:name="_fnr2533"/>
      <w:r>
        <w:rPr>
          <w:rStyle w:val="a5"/>
        </w:rPr>
        <w:footnoteReference w:id="2540" w:customMarkFollows="0"/>
      </w:r>
      <w:bookmarkEnd w:id="3447"/>
      <w:r>
        <w:rPr>
          <w:rtl/>
        </w:rPr>
        <w:t xml:space="preserve"> המשיך האב לגלות נאמנות לתנועה גם עשור וחצי לאחר הבושה האישית שספג בעקבות גירושו הסופי של בנו.</w:t>
      </w:r>
    </w:p>
    <w:p w14:paraId="345CC965" w14:textId="77777777" w:rsidR="00AB3647" w:rsidRDefault="00000000" w:rsidP="007923E9">
      <w:pPr>
        <w:pStyle w:val="4"/>
        <w:spacing w:line="276" w:lineRule="auto"/>
      </w:pPr>
      <w:r>
        <w:t>· הפסקה השנייה ·</w:t>
      </w:r>
    </w:p>
    <w:p w14:paraId="66A6E6EE" w14:textId="77777777" w:rsidR="00AB3647" w:rsidRDefault="00000000" w:rsidP="007923E9">
      <w:pPr>
        <w:pStyle w:val="5"/>
        <w:spacing w:line="276" w:lineRule="auto"/>
      </w:pPr>
      <w:r>
        <w:t xml:space="preserve">תוכניתו של הסבא מקלם נתקלת בהתנגדות – ר׳ ישראל </w:t>
      </w:r>
      <w:proofErr w:type="spellStart"/>
      <w:r>
        <w:t>סלנטר</w:t>
      </w:r>
      <w:proofErr w:type="spellEnd"/>
      <w:r>
        <w:t xml:space="preserve"> נזהר מלתת לה את אישורו – ר׳ </w:t>
      </w:r>
      <w:proofErr w:type="spellStart"/>
      <w:r>
        <w:t>שמחה־זיסל</w:t>
      </w:r>
      <w:proofErr w:type="spellEnd"/>
      <w:r>
        <w:t xml:space="preserve"> חש מנודה – ר׳ שמשון רפאל הירש סבור שבכולל קובנה מתקיימים לימודי חול – </w:t>
      </w:r>
      <w:proofErr w:type="spellStart"/>
      <w:r>
        <w:t>אי־ההבנה</w:t>
      </w:r>
      <w:proofErr w:type="spellEnd"/>
      <w:r>
        <w:t xml:space="preserve"> בין ר׳ רפאל הירש ובין מבקרו ר׳ </w:t>
      </w:r>
      <w:proofErr w:type="spellStart"/>
      <w:r>
        <w:t>אברמצ׳יק</w:t>
      </w:r>
      <w:proofErr w:type="spellEnd"/>
      <w:r>
        <w:t xml:space="preserve"> </w:t>
      </w:r>
      <w:proofErr w:type="spellStart"/>
      <w:r>
        <w:t>טאנס</w:t>
      </w:r>
      <w:proofErr w:type="spellEnd"/>
      <w:r>
        <w:t xml:space="preserve"> – המשכילים מאשימים את בעלי המוסר בהשפעה חסרת מצפון על אמיל לחמן – שיטות האורתודוקסיה הגרמנית נחשבות בלתי מתאימות לרוסיה</w:t>
      </w:r>
    </w:p>
    <w:p w14:paraId="2BF61DFE" w14:textId="77777777" w:rsidR="00AB3647" w:rsidRDefault="00000000" w:rsidP="007923E9">
      <w:pPr>
        <w:spacing w:after="120" w:line="276" w:lineRule="auto"/>
        <w:ind w:firstLine="283"/>
        <w:jc w:val="both"/>
      </w:pPr>
      <w:r>
        <w:rPr>
          <w:rtl/>
        </w:rPr>
        <w:t>תוכנית חינוך מהפכנית כזאת הייתה עתידה לעורר מחלוקת, כמו שהודה הסבא מקלם באיגרת לתלמידיו המובאת בספרו של כץ, “תנועת המוסר”, כרך ב</w:t>
      </w:r>
      <w:bookmarkStart w:id="3448" w:name="_fnr2534"/>
      <w:r>
        <w:rPr>
          <w:rStyle w:val="a5"/>
        </w:rPr>
        <w:footnoteReference w:id="2541" w:customMarkFollows="0"/>
      </w:r>
      <w:bookmarkEnd w:id="3448"/>
      <w:r>
        <w:rPr>
          <w:rtl/>
        </w:rPr>
        <w:t xml:space="preserve">: “היודעים אתם, ילדים יקרים, את העמל והסבל הרבים שנשא בית לימוד זה מיום </w:t>
      </w:r>
      <w:proofErr w:type="spellStart"/>
      <w:r>
        <w:rPr>
          <w:rtl/>
        </w:rPr>
        <w:t>היווסדו</w:t>
      </w:r>
      <w:proofErr w:type="spellEnd"/>
      <w:r>
        <w:rPr>
          <w:rtl/>
        </w:rPr>
        <w:t xml:space="preserve">, מבפנים ומבחוץ? מי לא יבין כי חידוש דבר </w:t>
      </w:r>
      <w:r>
        <w:rPr>
          <w:b/>
          <w:bCs/>
          <w:rtl/>
        </w:rPr>
        <w:t>שלא הורגלו בו זמן רב כל כך</w:t>
      </w:r>
      <w:r>
        <w:rPr>
          <w:rtl/>
        </w:rPr>
        <w:t xml:space="preserve"> גורר מטבעו התנגדות גדולה?! כי לא רבים יחכמו</w:t>
      </w:r>
      <w:bookmarkStart w:id="3449" w:name="_fnr2535"/>
      <w:r>
        <w:rPr>
          <w:rStyle w:val="a5"/>
        </w:rPr>
        <w:footnoteReference w:id="2542" w:customMarkFollows="0"/>
      </w:r>
      <w:bookmarkEnd w:id="3449"/>
      <w:r>
        <w:rPr>
          <w:rtl/>
        </w:rPr>
        <w:t xml:space="preserve"> לדעת מתי השעה כשרה לכך, וגם לראות את הנולד ממנו. ובייחוד עם קדוש, בני ישראל – שסבל רבות מן החידושים – רגיל לומר: ‘חדש אסור מן התורה’. והצדק עמו: מי שאינו יודע צריך לחשוש. אכן יש אצלנו דברים רבים שלא היינו מתקנים או מתירים בבית הקדוש הזה, בבית מדרשנו היקר והנעים, בשנים כתיקונם. אבל עשינו זאת בגדר ‘עת לעשות </w:t>
      </w:r>
      <w:r>
        <w:rPr>
          <w:rtl/>
        </w:rPr>
        <w:lastRenderedPageBreak/>
        <w:t>לה׳ הפרו תורתך’</w:t>
      </w:r>
      <w:bookmarkStart w:id="3450" w:name="_fnr2536"/>
      <w:r>
        <w:rPr>
          <w:rStyle w:val="a5"/>
        </w:rPr>
        <w:footnoteReference w:id="2543" w:customMarkFollows="0"/>
      </w:r>
      <w:bookmarkEnd w:id="3450"/>
      <w:r>
        <w:rPr>
          <w:rtl/>
        </w:rPr>
        <w:t xml:space="preserve">. כל הנזק בטל ברוב הטובה. לכן, אם מישהו אינו יודע זאת, אין להאשימו כלל, כי מדובר במציאות שגם דעתנו אינה נוחה ממנה, ורק כדי שהעניין יתקיים היא מוצדקת. למי שאינו עוסק בכך עצם הרעיון זר, ובייחוד לאור מה שכתב </w:t>
      </w:r>
      <w:proofErr w:type="spellStart"/>
      <w:r>
        <w:rPr>
          <w:rtl/>
        </w:rPr>
        <w:t>הרא״ש</w:t>
      </w:r>
      <w:bookmarkStart w:id="3451" w:name="_fnr2537"/>
      <w:proofErr w:type="spellEnd"/>
      <w:r>
        <w:rPr>
          <w:rStyle w:val="a5"/>
        </w:rPr>
        <w:footnoteReference w:id="2544" w:customMarkFollows="0"/>
      </w:r>
      <w:bookmarkEnd w:id="3451"/>
      <w:r>
        <w:rPr>
          <w:rtl/>
        </w:rPr>
        <w:t xml:space="preserve">: ‘דרך בני אדם להסתיר הטוב ולגלות הרע’. משום כך אין פלא שבית זה עבר מאורעות קשים רבים, </w:t>
      </w:r>
      <w:r>
        <w:rPr>
          <w:b/>
          <w:bCs/>
          <w:rtl/>
        </w:rPr>
        <w:t>רבים מכדי לספר</w:t>
      </w:r>
      <w:r>
        <w:rPr>
          <w:rtl/>
        </w:rPr>
        <w:t xml:space="preserve"> (ההדגשות שלי)”.</w:t>
      </w:r>
    </w:p>
    <w:p w14:paraId="1BE95179" w14:textId="77777777" w:rsidR="00AB3647" w:rsidRDefault="00000000" w:rsidP="007923E9">
      <w:pPr>
        <w:spacing w:after="120" w:line="276" w:lineRule="auto"/>
        <w:ind w:firstLine="283"/>
        <w:jc w:val="both"/>
      </w:pPr>
      <w:r>
        <w:rPr>
          <w:rtl/>
        </w:rPr>
        <w:t>ייתכן שבמילים האחרונות, המודגשות, רמז הסבא מקלם שבית ספרו נאלץ לעזוב את קלם מפני שמישהו הלשין עליו לממשלה שהוא מתסיס למהפכה, כמו שנזכר</w:t>
      </w:r>
      <w:bookmarkStart w:id="3452" w:name="_fnr2538"/>
      <w:r>
        <w:rPr>
          <w:rStyle w:val="a5"/>
        </w:rPr>
        <w:footnoteReference w:id="2545" w:customMarkFollows="0"/>
      </w:r>
      <w:bookmarkEnd w:id="3452"/>
      <w:r>
        <w:rPr>
          <w:rtl/>
        </w:rPr>
        <w:t xml:space="preserve"> בפסקה הראשונה לעיל. השווה גם “כתבי הסבא”</w:t>
      </w:r>
      <w:bookmarkStart w:id="3453" w:name="_fnr2539"/>
      <w:r>
        <w:rPr>
          <w:rStyle w:val="a5"/>
        </w:rPr>
        <w:footnoteReference w:id="2546" w:customMarkFollows="0"/>
      </w:r>
      <w:bookmarkEnd w:id="3453"/>
      <w:r>
        <w:rPr>
          <w:rtl/>
        </w:rPr>
        <w:t>, שם משווה הסבא מקלם את ההתנגדות שנתקל בה למה שאירע עם “ספר מורה נבוכים” לרמב״ם. הוא גם מדמה את התוכנית שהנהיג בתלמוד תורה למה שקידם הרמב״ם בתשובה המובאת שם (“תשובות הרמב״ם”)</w:t>
      </w:r>
      <w:bookmarkStart w:id="3454" w:name="_fnr2540"/>
      <w:r>
        <w:rPr>
          <w:rStyle w:val="a5"/>
        </w:rPr>
        <w:footnoteReference w:id="2547" w:customMarkFollows="0"/>
      </w:r>
      <w:bookmarkEnd w:id="3454"/>
      <w:r>
        <w:rPr>
          <w:rtl/>
        </w:rPr>
        <w:t>.</w:t>
      </w:r>
    </w:p>
    <w:p w14:paraId="60E74B46" w14:textId="77C476A4" w:rsidR="00AB3647" w:rsidRDefault="00000000" w:rsidP="007923E9">
      <w:pPr>
        <w:spacing w:after="120" w:line="276" w:lineRule="auto"/>
        <w:ind w:firstLine="283"/>
        <w:jc w:val="both"/>
      </w:pPr>
      <w:bookmarkStart w:id="3455" w:name="pr_b_1519"/>
      <w:bookmarkEnd w:id="3455"/>
      <w:r>
        <w:rPr>
          <w:rtl/>
        </w:rPr>
        <w:t xml:space="preserve">ר׳ ישראל </w:t>
      </w:r>
      <w:proofErr w:type="spellStart"/>
      <w:r>
        <w:rPr>
          <w:rtl/>
        </w:rPr>
        <w:t>סלנטר</w:t>
      </w:r>
      <w:proofErr w:type="spellEnd"/>
      <w:r>
        <w:rPr>
          <w:rtl/>
        </w:rPr>
        <w:t xml:space="preserve"> מעולם לא ביקר בבתי הספר של תלמידו, לא </w:t>
      </w:r>
      <w:proofErr w:type="spellStart"/>
      <w:r>
        <w:rPr>
          <w:rtl/>
        </w:rPr>
        <w:t>בקלם</w:t>
      </w:r>
      <w:proofErr w:type="spellEnd"/>
      <w:r>
        <w:rPr>
          <w:rtl/>
        </w:rPr>
        <w:t xml:space="preserve"> ולא </w:t>
      </w:r>
      <w:proofErr w:type="spellStart"/>
      <w:r>
        <w:rPr>
          <w:rtl/>
        </w:rPr>
        <w:t>בגרובין</w:t>
      </w:r>
      <w:proofErr w:type="spellEnd"/>
      <w:r>
        <w:rPr>
          <w:rtl/>
        </w:rPr>
        <w:t xml:space="preserve">. כל עוד היה בית הספר </w:t>
      </w:r>
      <w:proofErr w:type="spellStart"/>
      <w:r>
        <w:rPr>
          <w:rtl/>
        </w:rPr>
        <w:t>בקלם</w:t>
      </w:r>
      <w:proofErr w:type="spellEnd"/>
      <w:r>
        <w:rPr>
          <w:rtl/>
        </w:rPr>
        <w:t>, נמנע בכוונה מלבוא לעיר, כדי שלא יידרש להיכנס אליו – שמא יתפרש הדבר כגושפנקה למוסד חינוך המשלב לימודי קודש וחול</w:t>
      </w:r>
      <w:bookmarkStart w:id="3456" w:name="_fnr2541"/>
      <w:r>
        <w:rPr>
          <w:rStyle w:val="a5"/>
        </w:rPr>
        <w:footnoteReference w:id="2548" w:customMarkFollows="0"/>
      </w:r>
      <w:bookmarkEnd w:id="3456"/>
      <w:r>
        <w:rPr>
          <w:rtl/>
        </w:rPr>
        <w:t xml:space="preserve">. במאמרו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457" w:name="_fnr2542"/>
      <w:r>
        <w:rPr>
          <w:rStyle w:val="a5"/>
        </w:rPr>
        <w:footnoteReference w:id="2549" w:customMarkFollows="0"/>
      </w:r>
      <w:bookmarkEnd w:id="3457"/>
      <w:r>
        <w:rPr>
          <w:rtl/>
        </w:rPr>
        <w:t xml:space="preserve"> נאמר </w:t>
      </w:r>
      <w:proofErr w:type="spellStart"/>
      <w:r>
        <w:rPr>
          <w:rtl/>
        </w:rPr>
        <w:t>ש“ר</w:t>
      </w:r>
      <w:proofErr w:type="spellEnd"/>
      <w:r>
        <w:rPr>
          <w:rtl/>
        </w:rPr>
        <w:t xml:space="preserve">׳ לייב חסיד המקומי התערב במחלוקת [על ירושת הרבנות </w:t>
      </w:r>
      <w:proofErr w:type="spellStart"/>
      <w:r>
        <w:rPr>
          <w:rtl/>
        </w:rPr>
        <w:t>בקלם</w:t>
      </w:r>
      <w:proofErr w:type="spellEnd"/>
      <w:r>
        <w:rPr>
          <w:rtl/>
        </w:rPr>
        <w:t xml:space="preserve"> </w:t>
      </w:r>
      <w:proofErr w:type="spellStart"/>
      <w:r>
        <w:rPr>
          <w:rtl/>
        </w:rPr>
        <w:t>בתרל״ג</w:t>
      </w:r>
      <w:proofErr w:type="spellEnd"/>
      <w:r>
        <w:rPr>
          <w:rtl/>
        </w:rPr>
        <w:t xml:space="preserve"> או </w:t>
      </w:r>
      <w:proofErr w:type="spellStart"/>
      <w:r>
        <w:rPr>
          <w:rtl/>
        </w:rPr>
        <w:t>בתרל״ד</w:t>
      </w:r>
      <w:proofErr w:type="spellEnd"/>
      <w:r>
        <w:rPr>
          <w:rtl/>
        </w:rPr>
        <w:t xml:space="preserve">] ובצירוף התערבותו של ר׳ ישראל </w:t>
      </w:r>
      <w:proofErr w:type="spellStart"/>
      <w:r>
        <w:rPr>
          <w:rtl/>
        </w:rPr>
        <w:t>סלנטר</w:t>
      </w:r>
      <w:proofErr w:type="spellEnd"/>
      <w:r>
        <w:rPr>
          <w:rtl/>
        </w:rPr>
        <w:t xml:space="preserve"> הצליח ליישר את ההדורים בין הצדדים”, אבל אין בכך כדי ללמד שר׳ ישראל בא בפועל לעיר. ייתכן שפעל באמצעות הוראות לתלמידו הסבא מקלם, או בדרך יעילה אחרת. גם עם ר׳ לייב לא נפגש ר׳ ישראל אלא כעבור שמונה שנים, כפי שכתבתי בפסקה החמישית</w:t>
      </w:r>
      <w:r>
        <w:t xml:space="preserve"> </w:t>
      </w:r>
      <w:r>
        <w:rPr>
          <w:rtl/>
        </w:rPr>
        <w:t>ב</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להלן.</w:t>
      </w:r>
    </w:p>
    <w:p w14:paraId="243F9EBD" w14:textId="77777777" w:rsidR="00AB3647" w:rsidRDefault="00000000" w:rsidP="007923E9">
      <w:pPr>
        <w:spacing w:after="120" w:line="276" w:lineRule="auto"/>
        <w:ind w:firstLine="283"/>
        <w:jc w:val="both"/>
      </w:pPr>
      <w:bookmarkStart w:id="3458" w:name="pr_close_b_2417"/>
      <w:bookmarkEnd w:id="3458"/>
      <w:r>
        <w:rPr>
          <w:rtl/>
        </w:rPr>
        <w:t xml:space="preserve">אבל נראה שתלמידו של ר׳ ישראל, ר׳ </w:t>
      </w:r>
      <w:proofErr w:type="spellStart"/>
      <w:r>
        <w:rPr>
          <w:rtl/>
        </w:rPr>
        <w:t>איצל׳ה</w:t>
      </w:r>
      <w:proofErr w:type="spellEnd"/>
      <w:r>
        <w:rPr>
          <w:rtl/>
        </w:rPr>
        <w:t xml:space="preserve"> </w:t>
      </w:r>
      <w:proofErr w:type="spellStart"/>
      <w:r>
        <w:rPr>
          <w:rtl/>
        </w:rPr>
        <w:t>בלאזר</w:t>
      </w:r>
      <w:proofErr w:type="spellEnd"/>
      <w:r>
        <w:rPr>
          <w:rtl/>
        </w:rPr>
        <w:t xml:space="preserve">, אכן ביקר בבית הספר של ידידו הקרוב – </w:t>
      </w:r>
      <w:proofErr w:type="spellStart"/>
      <w:r>
        <w:rPr>
          <w:rtl/>
        </w:rPr>
        <w:t>בקלם</w:t>
      </w:r>
      <w:proofErr w:type="spellEnd"/>
      <w:r>
        <w:rPr>
          <w:rtl/>
        </w:rPr>
        <w:t xml:space="preserve"> או </w:t>
      </w:r>
      <w:proofErr w:type="spellStart"/>
      <w:r>
        <w:rPr>
          <w:rtl/>
        </w:rPr>
        <w:t>בגרובין</w:t>
      </w:r>
      <w:proofErr w:type="spellEnd"/>
      <w:r>
        <w:rPr>
          <w:rtl/>
        </w:rPr>
        <w:t xml:space="preserve">, או בשניהם. בהקדמה </w:t>
      </w:r>
      <w:proofErr w:type="spellStart"/>
      <w:r>
        <w:rPr>
          <w:rtl/>
        </w:rPr>
        <w:t>ל“ספר</w:t>
      </w:r>
      <w:proofErr w:type="spellEnd"/>
      <w:r>
        <w:rPr>
          <w:rtl/>
        </w:rPr>
        <w:t xml:space="preserve"> פקוח נפש”</w:t>
      </w:r>
      <w:bookmarkStart w:id="3459" w:name="_fnr2543"/>
      <w:r>
        <w:rPr>
          <w:rStyle w:val="a5"/>
        </w:rPr>
        <w:footnoteReference w:id="2550" w:customMarkFollows="0"/>
      </w:r>
      <w:bookmarkEnd w:id="3459"/>
      <w:r>
        <w:rPr>
          <w:rtl/>
        </w:rPr>
        <w:t xml:space="preserve"> מתוארים ביקורו של ר׳ </w:t>
      </w:r>
      <w:proofErr w:type="spellStart"/>
      <w:r>
        <w:rPr>
          <w:rtl/>
        </w:rPr>
        <w:t>איצל׳ה</w:t>
      </w:r>
      <w:proofErr w:type="spellEnd"/>
      <w:r>
        <w:rPr>
          <w:rtl/>
        </w:rPr>
        <w:t xml:space="preserve"> ומבחן שערך לתלמידים במוסד שבו למד מחבר הספר קודם לבר מצווה. בית הספר היחיד שבו למד המחבר בילדותו ושבו יכול היה ר׳ </w:t>
      </w:r>
      <w:proofErr w:type="spellStart"/>
      <w:r>
        <w:rPr>
          <w:rtl/>
        </w:rPr>
        <w:t>איצל׳ה</w:t>
      </w:r>
      <w:proofErr w:type="spellEnd"/>
      <w:r>
        <w:rPr>
          <w:rtl/>
        </w:rPr>
        <w:t xml:space="preserve"> להופיע הוא התלמוד תורה של ר׳ </w:t>
      </w:r>
      <w:proofErr w:type="spellStart"/>
      <w:r>
        <w:rPr>
          <w:rtl/>
        </w:rPr>
        <w:t>שמחה־זיסל</w:t>
      </w:r>
      <w:proofErr w:type="spellEnd"/>
      <w:r>
        <w:rPr>
          <w:rtl/>
        </w:rPr>
        <w:t xml:space="preserve"> </w:t>
      </w:r>
      <w:proofErr w:type="spellStart"/>
      <w:r>
        <w:rPr>
          <w:rtl/>
        </w:rPr>
        <w:t>בקלם</w:t>
      </w:r>
      <w:proofErr w:type="spellEnd"/>
      <w:r>
        <w:rPr>
          <w:rtl/>
        </w:rPr>
        <w:t>. שם</w:t>
      </w:r>
      <w:bookmarkStart w:id="3460" w:name="_fnr2544"/>
      <w:r>
        <w:rPr>
          <w:rStyle w:val="a5"/>
        </w:rPr>
        <w:footnoteReference w:id="2551" w:customMarkFollows="0"/>
      </w:r>
      <w:bookmarkEnd w:id="3460"/>
      <w:r>
        <w:rPr>
          <w:rtl/>
        </w:rPr>
        <w:t xml:space="preserve"> למד המחבר, שנולד </w:t>
      </w:r>
      <w:proofErr w:type="spellStart"/>
      <w:r>
        <w:rPr>
          <w:rtl/>
        </w:rPr>
        <w:t>בתרכ״ז</w:t>
      </w:r>
      <w:proofErr w:type="spellEnd"/>
      <w:r>
        <w:rPr>
          <w:rtl/>
        </w:rPr>
        <w:t xml:space="preserve">, כשהיה בן תשע וכשהיה בן </w:t>
      </w:r>
      <w:proofErr w:type="spellStart"/>
      <w:r>
        <w:rPr>
          <w:rtl/>
        </w:rPr>
        <w:t>שתים־עשרה</w:t>
      </w:r>
      <w:proofErr w:type="spellEnd"/>
      <w:r>
        <w:rPr>
          <w:rtl/>
        </w:rPr>
        <w:t>.</w:t>
      </w:r>
    </w:p>
    <w:p w14:paraId="37B97820" w14:textId="77777777" w:rsidR="00AB3647" w:rsidRDefault="00000000" w:rsidP="007923E9">
      <w:pPr>
        <w:spacing w:after="120" w:line="276" w:lineRule="auto"/>
        <w:ind w:firstLine="283"/>
        <w:jc w:val="both"/>
      </w:pPr>
      <w:r>
        <w:rPr>
          <w:rtl/>
        </w:rPr>
        <w:t xml:space="preserve">עמדתו של ר׳ ישראל </w:t>
      </w:r>
      <w:proofErr w:type="spellStart"/>
      <w:r>
        <w:rPr>
          <w:rtl/>
        </w:rPr>
        <w:t>סלנטר</w:t>
      </w:r>
      <w:proofErr w:type="spellEnd"/>
      <w:r>
        <w:rPr>
          <w:rtl/>
        </w:rPr>
        <w:t xml:space="preserve"> עצמו מוגדרת בבירור באיגרת נוספת של הסבא מקלם, המובאת בספרו של כץ, “תנועת המוסר”, כרך ב</w:t>
      </w:r>
      <w:bookmarkStart w:id="3461" w:name="_fnr2545"/>
      <w:r>
        <w:rPr>
          <w:rStyle w:val="a5"/>
        </w:rPr>
        <w:footnoteReference w:id="2552" w:customMarkFollows="0"/>
      </w:r>
      <w:bookmarkEnd w:id="3461"/>
      <w:r>
        <w:rPr>
          <w:rtl/>
        </w:rPr>
        <w:t xml:space="preserve">: “הייתי מוכרח להרבות בלימוד המוסר, </w:t>
      </w:r>
      <w:r>
        <w:rPr>
          <w:rtl/>
        </w:rPr>
        <w:lastRenderedPageBreak/>
        <w:t xml:space="preserve">שכן היה הכרח ללמוד עניינים אחרים – כמה חכמות [חול], אשר, כפי שלימדנו הניסיון וכידוע, הנערים תמיד התקלקלו מהן – עד כדי כך שר׳ ישראל לא רצה לבקר בבית הלימוד ולהיקרא עליו, כדי שלא תצא ממנו הוראה שהוא ציווה ללמוד חכמות אחרות. הוא אמר לי במפורש שרק </w:t>
      </w:r>
      <w:r>
        <w:rPr>
          <w:b/>
          <w:bCs/>
          <w:rtl/>
        </w:rPr>
        <w:t>כאשר אני שם</w:t>
      </w:r>
      <w:r>
        <w:rPr>
          <w:rtl/>
        </w:rPr>
        <w:t xml:space="preserve"> (ההדגשה שלי) ומנהל את העניין על פי המוסר ויראת ה׳, הדבר ראוי; אבל חס ושלום בלי הנהגה כזאת, חס ושלום, יצא עגל</w:t>
      </w:r>
      <w:bookmarkStart w:id="3462" w:name="_fnr2546"/>
      <w:r>
        <w:rPr>
          <w:rStyle w:val="a5"/>
        </w:rPr>
        <w:footnoteReference w:id="2553" w:customMarkFollows="0"/>
      </w:r>
      <w:bookmarkEnd w:id="3462"/>
      <w:r>
        <w:rPr>
          <w:rtl/>
        </w:rPr>
        <w:t>. לכן הייתי מוכרח להרבות במוסר”.</w:t>
      </w:r>
    </w:p>
    <w:p w14:paraId="614237B1" w14:textId="77777777" w:rsidR="00AB3647" w:rsidRDefault="00000000" w:rsidP="007923E9">
      <w:pPr>
        <w:spacing w:after="120" w:line="276" w:lineRule="auto"/>
        <w:ind w:firstLine="283"/>
        <w:jc w:val="both"/>
      </w:pPr>
      <w:r>
        <w:rPr>
          <w:rtl/>
        </w:rPr>
        <w:t xml:space="preserve">בדרך מחוכמת ממשיך ר׳ </w:t>
      </w:r>
      <w:proofErr w:type="spellStart"/>
      <w:r>
        <w:rPr>
          <w:rtl/>
        </w:rPr>
        <w:t>שמחה־זיסל</w:t>
      </w:r>
      <w:proofErr w:type="spellEnd"/>
      <w:r>
        <w:rPr>
          <w:rtl/>
        </w:rPr>
        <w:t xml:space="preserve"> ומחיל על תוכניתו החינוכית גישה שהנחתה את חז״ל בהלכות פרה אדומה</w:t>
      </w:r>
      <w:bookmarkStart w:id="3463" w:name="_fnr2547"/>
      <w:r>
        <w:rPr>
          <w:rStyle w:val="a5"/>
        </w:rPr>
        <w:footnoteReference w:id="2554" w:customMarkFollows="0"/>
      </w:r>
      <w:bookmarkEnd w:id="3463"/>
      <w:r>
        <w:rPr>
          <w:rtl/>
        </w:rPr>
        <w:t>. המשנה</w:t>
      </w:r>
      <w:bookmarkStart w:id="3464" w:name="_fnr2548"/>
      <w:r>
        <w:rPr>
          <w:rStyle w:val="a5"/>
        </w:rPr>
        <w:footnoteReference w:id="2555" w:customMarkFollows="0"/>
      </w:r>
      <w:bookmarkEnd w:id="3464"/>
      <w:r>
        <w:rPr>
          <w:rtl/>
        </w:rPr>
        <w:t xml:space="preserve"> אומרת שהצדוקים החמירו מאוד ואסרו על כהן שנטמא וטבל במקווה להשתתף בעבודת הפרה האדומה עד למחרת, כי לדעתם לא היה כהן כזה טהור די צורכו – כשם שהוא נחשב טמא לעניין אכילת תרומה ונגיעה בה. כדי “להוציא מלבן של צדוקים”, היו חז״ל מטמאים דווקא את הכהן שנבחר לעבודת הפרה, מטבילים אותו במקווה, ועושים את העבודה באותו יום</w:t>
      </w:r>
      <w:bookmarkStart w:id="3465" w:name="_fnr2549"/>
      <w:r>
        <w:rPr>
          <w:rStyle w:val="a5"/>
        </w:rPr>
        <w:footnoteReference w:id="2556" w:customMarkFollows="0"/>
      </w:r>
      <w:bookmarkEnd w:id="3465"/>
      <w:r>
        <w:rPr>
          <w:rtl/>
        </w:rPr>
        <w:t>. אבל מאחר שהעבודה נעשתה עתה מתוך “זלזול” בטהרה – אף שלא היה בו פסול – הטילו חז״ל באותה שעה גם חומרות אחרות, שלא היו</w:t>
      </w:r>
      <w:r>
        <w:t xml:space="preserve"> </w:t>
      </w:r>
      <w:r>
        <w:rPr>
          <w:rtl/>
        </w:rPr>
        <w:t>נחוצות, בעבודת הפרה האדומה</w:t>
      </w:r>
      <w:bookmarkStart w:id="3466" w:name="_fnr2550"/>
      <w:r>
        <w:rPr>
          <w:rStyle w:val="a5"/>
        </w:rPr>
        <w:footnoteReference w:id="2557" w:customMarkFollows="0"/>
      </w:r>
      <w:bookmarkEnd w:id="3466"/>
      <w:r>
        <w:rPr>
          <w:rtl/>
        </w:rPr>
        <w:t xml:space="preserve">. בדומה לכך, אומר הסבא מקלם: מפני </w:t>
      </w:r>
      <w:proofErr w:type="spellStart"/>
      <w:r>
        <w:rPr>
          <w:rtl/>
        </w:rPr>
        <w:t>ה“זלזול</w:t>
      </w:r>
      <w:proofErr w:type="spellEnd"/>
      <w:r>
        <w:rPr>
          <w:rtl/>
        </w:rPr>
        <w:t xml:space="preserve">” בתוכנית החינוך האידיאלית, שלא היו נכללים בה לימודי חול כלל – זלזול שראה בו צורך, מכל טעם שהוא, בתלמוד תורה </w:t>
      </w:r>
      <w:proofErr w:type="spellStart"/>
      <w:r>
        <w:rPr>
          <w:rtl/>
        </w:rPr>
        <w:t>בקלם</w:t>
      </w:r>
      <w:proofErr w:type="spellEnd"/>
      <w:r>
        <w:rPr>
          <w:rtl/>
        </w:rPr>
        <w:t xml:space="preserve"> (“משום </w:t>
      </w:r>
      <w:proofErr w:type="spellStart"/>
      <w:r>
        <w:rPr>
          <w:rtl/>
        </w:rPr>
        <w:t>ה‘זלזול</w:t>
      </w:r>
      <w:proofErr w:type="spellEnd"/>
      <w:r>
        <w:rPr>
          <w:rtl/>
        </w:rPr>
        <w:t xml:space="preserve">’ של הכנסת לימודי חול”) – “היה צריך להרבות במוסר יתר על </w:t>
      </w:r>
      <w:proofErr w:type="spellStart"/>
      <w:r>
        <w:rPr>
          <w:rtl/>
        </w:rPr>
        <w:t>המדה</w:t>
      </w:r>
      <w:proofErr w:type="spellEnd"/>
      <w:r>
        <w:rPr>
          <w:rtl/>
        </w:rPr>
        <w:t>”</w:t>
      </w:r>
      <w:bookmarkStart w:id="3467" w:name="_fnr2551"/>
      <w:r>
        <w:rPr>
          <w:rStyle w:val="a5"/>
        </w:rPr>
        <w:footnoteReference w:id="2558" w:customMarkFollows="0"/>
      </w:r>
      <w:bookmarkEnd w:id="3467"/>
      <w:r>
        <w:rPr>
          <w:rtl/>
        </w:rPr>
        <w:t>.</w:t>
      </w:r>
    </w:p>
    <w:p w14:paraId="445F79DC" w14:textId="77777777" w:rsidR="00AB3647" w:rsidRDefault="00000000" w:rsidP="007923E9">
      <w:pPr>
        <w:spacing w:after="120" w:line="276" w:lineRule="auto"/>
        <w:ind w:firstLine="283"/>
        <w:jc w:val="both"/>
      </w:pPr>
      <w:r>
        <w:rPr>
          <w:rtl/>
        </w:rPr>
        <w:t xml:space="preserve">באיגרת מיום כ״ד באלול תשנ״ד כתב לי פרופ׳ מרדכי </w:t>
      </w:r>
      <w:proofErr w:type="spellStart"/>
      <w:r>
        <w:rPr>
          <w:rtl/>
        </w:rPr>
        <w:t>ברויאר</w:t>
      </w:r>
      <w:proofErr w:type="spellEnd"/>
      <w:r>
        <w:rPr>
          <w:rtl/>
        </w:rPr>
        <w:t xml:space="preserve"> </w:t>
      </w:r>
      <w:proofErr w:type="spellStart"/>
      <w:r>
        <w:rPr>
          <w:rtl/>
        </w:rPr>
        <w:t>ש“פרופסור</w:t>
      </w:r>
      <w:proofErr w:type="spellEnd"/>
      <w:r>
        <w:rPr>
          <w:rtl/>
        </w:rPr>
        <w:t xml:space="preserve"> דוב היימן, הבקי מאוד בישיבות הליטאיות”, סיפר לו </w:t>
      </w:r>
      <w:proofErr w:type="spellStart"/>
      <w:r>
        <w:rPr>
          <w:rtl/>
        </w:rPr>
        <w:t>ש“ר</w:t>
      </w:r>
      <w:proofErr w:type="spellEnd"/>
      <w:r>
        <w:rPr>
          <w:rtl/>
        </w:rPr>
        <w:t xml:space="preserve">׳ </w:t>
      </w:r>
      <w:proofErr w:type="spellStart"/>
      <w:r>
        <w:rPr>
          <w:rtl/>
        </w:rPr>
        <w:t>שמחה־זיסל</w:t>
      </w:r>
      <w:proofErr w:type="spellEnd"/>
      <w:r>
        <w:rPr>
          <w:rtl/>
        </w:rPr>
        <w:t xml:space="preserve"> אמר פעם למישהו: ‘אין </w:t>
      </w:r>
      <w:proofErr w:type="spellStart"/>
      <w:r>
        <w:rPr>
          <w:rtl/>
        </w:rPr>
        <w:t>דעם</w:t>
      </w:r>
      <w:proofErr w:type="spellEnd"/>
      <w:r>
        <w:rPr>
          <w:rtl/>
        </w:rPr>
        <w:t xml:space="preserve"> עולם האמת </w:t>
      </w:r>
      <w:proofErr w:type="spellStart"/>
      <w:r>
        <w:rPr>
          <w:rtl/>
        </w:rPr>
        <w:t>וועט</w:t>
      </w:r>
      <w:proofErr w:type="spellEnd"/>
      <w:r>
        <w:rPr>
          <w:rtl/>
        </w:rPr>
        <w:t xml:space="preserve"> מען </w:t>
      </w:r>
      <w:proofErr w:type="spellStart"/>
      <w:r>
        <w:rPr>
          <w:rtl/>
        </w:rPr>
        <w:t>מיר</w:t>
      </w:r>
      <w:proofErr w:type="spellEnd"/>
      <w:r>
        <w:rPr>
          <w:rtl/>
        </w:rPr>
        <w:t xml:space="preserve"> </w:t>
      </w:r>
      <w:proofErr w:type="spellStart"/>
      <w:r>
        <w:rPr>
          <w:rtl/>
        </w:rPr>
        <w:t>שמייסען</w:t>
      </w:r>
      <w:proofErr w:type="spellEnd"/>
      <w:r>
        <w:rPr>
          <w:rtl/>
        </w:rPr>
        <w:t xml:space="preserve"> פאר </w:t>
      </w:r>
      <w:proofErr w:type="spellStart"/>
      <w:r>
        <w:rPr>
          <w:rtl/>
        </w:rPr>
        <w:t>דעם</w:t>
      </w:r>
      <w:proofErr w:type="spellEnd"/>
      <w:r>
        <w:rPr>
          <w:rtl/>
        </w:rPr>
        <w:t xml:space="preserve"> </w:t>
      </w:r>
      <w:proofErr w:type="spellStart"/>
      <w:r>
        <w:rPr>
          <w:rtl/>
        </w:rPr>
        <w:t>וואס</w:t>
      </w:r>
      <w:proofErr w:type="spellEnd"/>
      <w:r>
        <w:rPr>
          <w:rtl/>
        </w:rPr>
        <w:t xml:space="preserve"> איך האב </w:t>
      </w:r>
      <w:proofErr w:type="spellStart"/>
      <w:r>
        <w:rPr>
          <w:rtl/>
        </w:rPr>
        <w:t>געטאהן</w:t>
      </w:r>
      <w:proofErr w:type="spellEnd"/>
      <w:r>
        <w:rPr>
          <w:rtl/>
        </w:rPr>
        <w:t xml:space="preserve"> אין </w:t>
      </w:r>
      <w:proofErr w:type="spellStart"/>
      <w:r>
        <w:rPr>
          <w:rtl/>
        </w:rPr>
        <w:t>קעלעם</w:t>
      </w:r>
      <w:proofErr w:type="spellEnd"/>
      <w:r>
        <w:rPr>
          <w:rtl/>
        </w:rPr>
        <w:t xml:space="preserve"> און אין </w:t>
      </w:r>
      <w:proofErr w:type="spellStart"/>
      <w:r>
        <w:rPr>
          <w:rtl/>
        </w:rPr>
        <w:t>גרובין</w:t>
      </w:r>
      <w:proofErr w:type="spellEnd"/>
      <w:r>
        <w:rPr>
          <w:rtl/>
        </w:rPr>
        <w:t xml:space="preserve">’ [בעולם האמת ילקו אותי על מה שעשיתי </w:t>
      </w:r>
      <w:proofErr w:type="spellStart"/>
      <w:r>
        <w:rPr>
          <w:rtl/>
        </w:rPr>
        <w:t>בקלם</w:t>
      </w:r>
      <w:proofErr w:type="spellEnd"/>
      <w:r>
        <w:rPr>
          <w:rtl/>
        </w:rPr>
        <w:t xml:space="preserve"> </w:t>
      </w:r>
      <w:proofErr w:type="spellStart"/>
      <w:r>
        <w:rPr>
          <w:rtl/>
        </w:rPr>
        <w:t>ובגרובין</w:t>
      </w:r>
      <w:proofErr w:type="spellEnd"/>
      <w:r>
        <w:rPr>
          <w:rtl/>
        </w:rPr>
        <w:t xml:space="preserve">]”. ר׳ דוב נפטר בטרם הייתה לי הזדמנות לשאול אותו היכן שמע זאת, אבל ייתכן בהחלט שהסבא מקלם לא היה שלם לגמרי עם </w:t>
      </w:r>
      <w:proofErr w:type="spellStart"/>
      <w:r>
        <w:rPr>
          <w:rtl/>
        </w:rPr>
        <w:t>ה“זלזול</w:t>
      </w:r>
      <w:proofErr w:type="spellEnd"/>
      <w:r>
        <w:rPr>
          <w:rtl/>
        </w:rPr>
        <w:t>” שהודה בו – הכנסת לימודי חול לתוכניתו החינוכית</w:t>
      </w:r>
      <w:bookmarkStart w:id="3468" w:name="_fnr2552"/>
      <w:r>
        <w:rPr>
          <w:rStyle w:val="a5"/>
        </w:rPr>
        <w:footnoteReference w:id="2559" w:customMarkFollows="0"/>
      </w:r>
      <w:bookmarkEnd w:id="3468"/>
      <w:r>
        <w:rPr>
          <w:rtl/>
        </w:rPr>
        <w:t>.</w:t>
      </w:r>
    </w:p>
    <w:p w14:paraId="1DD2D0BB" w14:textId="77777777" w:rsidR="00AB3647" w:rsidRDefault="00000000" w:rsidP="007923E9">
      <w:pPr>
        <w:spacing w:after="120" w:line="276" w:lineRule="auto"/>
        <w:ind w:firstLine="283"/>
        <w:jc w:val="both"/>
      </w:pPr>
      <w:r>
        <w:rPr>
          <w:rtl/>
        </w:rPr>
        <w:t xml:space="preserve">הסתייגותו של ר׳ ישראל מבית הספר החדשני אולי אף הביאה אותו להימנע מלהדריך את הסבא מקלם בבעיות שהתעוררו במוסד. השווה את איגרת ר׳ </w:t>
      </w:r>
      <w:proofErr w:type="spellStart"/>
      <w:r>
        <w:rPr>
          <w:rtl/>
        </w:rPr>
        <w:t>שמחה־זיסל</w:t>
      </w:r>
      <w:proofErr w:type="spellEnd"/>
      <w:r>
        <w:rPr>
          <w:rtl/>
        </w:rPr>
        <w:t xml:space="preserve">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ולר</w:t>
      </w:r>
      <w:proofErr w:type="spellEnd"/>
      <w:r>
        <w:rPr>
          <w:rtl/>
        </w:rPr>
        <w:t xml:space="preserve">׳ </w:t>
      </w:r>
      <w:proofErr w:type="spellStart"/>
      <w:r>
        <w:rPr>
          <w:rtl/>
        </w:rPr>
        <w:t>אברמצ׳יק</w:t>
      </w:r>
      <w:proofErr w:type="spellEnd"/>
      <w:r>
        <w:rPr>
          <w:rtl/>
        </w:rPr>
        <w:t xml:space="preserve"> שנקר (</w:t>
      </w:r>
      <w:proofErr w:type="spellStart"/>
      <w:r>
        <w:rPr>
          <w:rtl/>
        </w:rPr>
        <w:t>טאנס</w:t>
      </w:r>
      <w:proofErr w:type="spellEnd"/>
      <w:r>
        <w:rPr>
          <w:rtl/>
        </w:rPr>
        <w:t xml:space="preserve">), המובאת </w:t>
      </w:r>
      <w:proofErr w:type="spellStart"/>
      <w:r>
        <w:rPr>
          <w:rtl/>
        </w:rPr>
        <w:t>ב“כוכבי</w:t>
      </w:r>
      <w:proofErr w:type="spellEnd"/>
      <w:r>
        <w:rPr>
          <w:rtl/>
        </w:rPr>
        <w:t xml:space="preserve"> אור”</w:t>
      </w:r>
      <w:bookmarkStart w:id="3469" w:name="_fnr2553"/>
      <w:r>
        <w:rPr>
          <w:rStyle w:val="a5"/>
        </w:rPr>
        <w:footnoteReference w:id="2560" w:customMarkFollows="0"/>
      </w:r>
      <w:bookmarkEnd w:id="3469"/>
      <w:r>
        <w:rPr>
          <w:rtl/>
        </w:rPr>
        <w:t xml:space="preserve">. בה הוא מתלונן במרירות שר׳ ישראל לא השיב לשאלות על המוסד שהפנה אליו בפריז, “ונראה” היה </w:t>
      </w:r>
      <w:proofErr w:type="spellStart"/>
      <w:r>
        <w:rPr>
          <w:rtl/>
        </w:rPr>
        <w:t>לר</w:t>
      </w:r>
      <w:proofErr w:type="spellEnd"/>
      <w:r>
        <w:rPr>
          <w:rtl/>
        </w:rPr>
        <w:t xml:space="preserve">׳ </w:t>
      </w:r>
      <w:proofErr w:type="spellStart"/>
      <w:r>
        <w:rPr>
          <w:rtl/>
        </w:rPr>
        <w:t>שמחה־זיסל</w:t>
      </w:r>
      <w:proofErr w:type="spellEnd"/>
      <w:r>
        <w:rPr>
          <w:rtl/>
        </w:rPr>
        <w:t xml:space="preserve"> “שר׳ </w:t>
      </w:r>
      <w:r>
        <w:rPr>
          <w:rtl/>
        </w:rPr>
        <w:lastRenderedPageBreak/>
        <w:t xml:space="preserve">ישראל אינו רוצה להיפגש עמו, והסבא מקלם חושש שיש [לרבו] איזו ביקורת ש[ר׳ </w:t>
      </w:r>
      <w:proofErr w:type="spellStart"/>
      <w:r>
        <w:rPr>
          <w:rtl/>
        </w:rPr>
        <w:t>איצל׳ה</w:t>
      </w:r>
      <w:proofErr w:type="spellEnd"/>
      <w:r>
        <w:rPr>
          <w:rtl/>
        </w:rPr>
        <w:t xml:space="preserve"> </w:t>
      </w:r>
      <w:proofErr w:type="spellStart"/>
      <w:r>
        <w:rPr>
          <w:rtl/>
        </w:rPr>
        <w:t>בלאזר</w:t>
      </w:r>
      <w:proofErr w:type="spellEnd"/>
      <w:r>
        <w:rPr>
          <w:rtl/>
        </w:rPr>
        <w:t xml:space="preserve"> והרב שנקר] מעלימים ממנו”. הוא מפציר בהם להודיע לו מה המצב בשבוע הבא, “בעוד [הוא, זיו] </w:t>
      </w:r>
      <w:proofErr w:type="spellStart"/>
      <w:r>
        <w:rPr>
          <w:rtl/>
        </w:rPr>
        <w:t>בגרובין</w:t>
      </w:r>
      <w:proofErr w:type="spellEnd"/>
      <w:r>
        <w:rPr>
          <w:rtl/>
        </w:rPr>
        <w:t xml:space="preserve"> (ולא חזר לביתו [</w:t>
      </w:r>
      <w:proofErr w:type="spellStart"/>
      <w:r>
        <w:rPr>
          <w:rtl/>
        </w:rPr>
        <w:t>בקלם</w:t>
      </w:r>
      <w:proofErr w:type="spellEnd"/>
      <w:r>
        <w:rPr>
          <w:rtl/>
        </w:rPr>
        <w:t>], בשעה שבית הספר בחופשה</w:t>
      </w:r>
      <w:r>
        <w:t xml:space="preserve"> </w:t>
      </w:r>
      <w:r>
        <w:rPr>
          <w:rtl/>
        </w:rPr>
        <w:t>עד לאחר סוכות)”, ולא להסתיר ממנו דבר.</w:t>
      </w:r>
    </w:p>
    <w:p w14:paraId="3B9E4750" w14:textId="77777777" w:rsidR="00AB3647" w:rsidRDefault="00000000" w:rsidP="007923E9">
      <w:pPr>
        <w:spacing w:after="120" w:line="276" w:lineRule="auto"/>
        <w:ind w:firstLine="283"/>
        <w:jc w:val="both"/>
      </w:pPr>
      <w:r>
        <w:rPr>
          <w:rtl/>
        </w:rPr>
        <w:t>השווה גם כץ, “תנועת המוסר”, כרך ב</w:t>
      </w:r>
      <w:bookmarkStart w:id="3470" w:name="_fnr2554"/>
      <w:r>
        <w:rPr>
          <w:rStyle w:val="a5"/>
        </w:rPr>
        <w:footnoteReference w:id="2561" w:customMarkFollows="0"/>
      </w:r>
      <w:bookmarkEnd w:id="3470"/>
      <w:r>
        <w:rPr>
          <w:rtl/>
        </w:rPr>
        <w:t xml:space="preserve">, על </w:t>
      </w:r>
      <w:r>
        <w:rPr>
          <w:b/>
          <w:bCs/>
          <w:rtl/>
        </w:rPr>
        <w:t>מסורת</w:t>
      </w:r>
      <w:r>
        <w:rPr>
          <w:rtl/>
        </w:rPr>
        <w:t xml:space="preserve"> שלפיה אמר ר׳ ישראל: “אפשר לסמוך על ר׳ </w:t>
      </w:r>
      <w:proofErr w:type="spellStart"/>
      <w:r>
        <w:rPr>
          <w:rtl/>
        </w:rPr>
        <w:t>שמחה־זיסל</w:t>
      </w:r>
      <w:proofErr w:type="spellEnd"/>
      <w:r>
        <w:rPr>
          <w:rtl/>
        </w:rPr>
        <w:t xml:space="preserve"> שיסגור את המוסד בלי היסוס אם יראה שאינו מצליח”</w:t>
      </w:r>
      <w:bookmarkStart w:id="3471" w:name="_fnr2555"/>
      <w:r>
        <w:rPr>
          <w:rStyle w:val="a5"/>
        </w:rPr>
        <w:footnoteReference w:id="2562" w:customMarkFollows="0"/>
      </w:r>
      <w:bookmarkEnd w:id="3471"/>
      <w:r>
        <w:rPr>
          <w:rtl/>
        </w:rPr>
        <w:t xml:space="preserve">. המסורת אינה מבהירה אם ר׳ ישראל התנה את היתרו לפתוח את בית הספר באפשרות זו של סגירתו, או שר׳ </w:t>
      </w:r>
      <w:proofErr w:type="spellStart"/>
      <w:r>
        <w:rPr>
          <w:rtl/>
        </w:rPr>
        <w:t>שמחה־זיסל</w:t>
      </w:r>
      <w:proofErr w:type="spellEnd"/>
      <w:r>
        <w:rPr>
          <w:rtl/>
        </w:rPr>
        <w:t xml:space="preserve"> הציע זאת מעצמו.</w:t>
      </w:r>
    </w:p>
    <w:p w14:paraId="42229670" w14:textId="77777777" w:rsidR="00AB3647" w:rsidRDefault="00000000" w:rsidP="007923E9">
      <w:pPr>
        <w:spacing w:after="120" w:line="276" w:lineRule="auto"/>
        <w:ind w:firstLine="283"/>
        <w:jc w:val="both"/>
      </w:pPr>
      <w:r>
        <w:rPr>
          <w:rtl/>
        </w:rPr>
        <w:t>על עמדתו של ר׳ ישראל כלפי בית ספרו של הסבא מקלם התעוררה כמעט מחלוקת בת זמננו. ר׳ זאב לב סיפר</w:t>
      </w:r>
      <w:bookmarkStart w:id="3472" w:name="_fnr2556"/>
      <w:r>
        <w:rPr>
          <w:rStyle w:val="a5"/>
        </w:rPr>
        <w:footnoteReference w:id="2563" w:customMarkFollows="0"/>
      </w:r>
      <w:bookmarkEnd w:id="3472"/>
      <w:r>
        <w:rPr>
          <w:rtl/>
        </w:rPr>
        <w:t xml:space="preserve"> שכאשר תכנן לפתוח את בית הספר הגבוה לטכנולוגיה בירושלים, בתחילת תש״ל, הביא לו ר׳ </w:t>
      </w:r>
      <w:proofErr w:type="spellStart"/>
      <w:r>
        <w:rPr>
          <w:rtl/>
        </w:rPr>
        <w:t>אלעזר־מנחם־מן</w:t>
      </w:r>
      <w:proofErr w:type="spellEnd"/>
      <w:r>
        <w:rPr>
          <w:rtl/>
        </w:rPr>
        <w:t xml:space="preserve"> שך את סירובו של ר׳ ישראל </w:t>
      </w:r>
      <w:proofErr w:type="spellStart"/>
      <w:r>
        <w:rPr>
          <w:rtl/>
        </w:rPr>
        <w:t>סלנטר</w:t>
      </w:r>
      <w:proofErr w:type="spellEnd"/>
      <w:r>
        <w:rPr>
          <w:rtl/>
        </w:rPr>
        <w:t xml:space="preserve"> לבקר בתלמוד תורה </w:t>
      </w:r>
      <w:proofErr w:type="spellStart"/>
      <w:r>
        <w:rPr>
          <w:rtl/>
        </w:rPr>
        <w:t>בגרובין</w:t>
      </w:r>
      <w:proofErr w:type="spellEnd"/>
      <w:r>
        <w:rPr>
          <w:rtl/>
        </w:rPr>
        <w:t xml:space="preserve"> כראיה שיש לאסור בית ספר שתוכניתו משלבת קודש וחול. אבל הרב שך הודה לדבריו כשהשיב הרב לב שעצם העובדה שהסבא מקלם </w:t>
      </w:r>
      <w:r>
        <w:rPr>
          <w:b/>
          <w:bCs/>
          <w:rtl/>
        </w:rPr>
        <w:t>פתח</w:t>
      </w:r>
      <w:r>
        <w:rPr>
          <w:rtl/>
        </w:rPr>
        <w:t xml:space="preserve"> את המוסד מלמדת שר׳ ישראל </w:t>
      </w:r>
      <w:r>
        <w:rPr>
          <w:b/>
          <w:bCs/>
          <w:rtl/>
        </w:rPr>
        <w:t>הסכים</w:t>
      </w:r>
      <w:r>
        <w:rPr>
          <w:rtl/>
        </w:rPr>
        <w:t xml:space="preserve"> למפעל כזה כשהוא נתון בידיים טובות</w:t>
      </w:r>
      <w:bookmarkStart w:id="3473" w:name="_fnr2557"/>
      <w:r>
        <w:rPr>
          <w:rStyle w:val="a5"/>
        </w:rPr>
        <w:footnoteReference w:id="2564" w:customMarkFollows="0"/>
      </w:r>
      <w:bookmarkEnd w:id="3473"/>
      <w:r>
        <w:rPr>
          <w:rtl/>
        </w:rPr>
        <w:t>.</w:t>
      </w:r>
    </w:p>
    <w:p w14:paraId="43F22060" w14:textId="77777777" w:rsidR="00AB3647" w:rsidRDefault="00000000" w:rsidP="007923E9">
      <w:pPr>
        <w:spacing w:after="120" w:line="276" w:lineRule="auto"/>
        <w:ind w:firstLine="283"/>
        <w:jc w:val="both"/>
      </w:pPr>
      <w:r>
        <w:rPr>
          <w:rtl/>
        </w:rPr>
        <w:t xml:space="preserve">לסיכום, ר׳ ישראל הסכים לבית הספר </w:t>
      </w:r>
      <w:proofErr w:type="spellStart"/>
      <w:r>
        <w:rPr>
          <w:rtl/>
        </w:rPr>
        <w:t>בגרובין</w:t>
      </w:r>
      <w:proofErr w:type="spellEnd"/>
      <w:r>
        <w:rPr>
          <w:rtl/>
        </w:rPr>
        <w:t xml:space="preserve"> כל עוד היה בידי אדם נאמן כר׳ </w:t>
      </w:r>
      <w:proofErr w:type="spellStart"/>
      <w:r>
        <w:rPr>
          <w:rtl/>
        </w:rPr>
        <w:t>שמחה־זיסל</w:t>
      </w:r>
      <w:proofErr w:type="spellEnd"/>
      <w:r>
        <w:rPr>
          <w:rtl/>
        </w:rPr>
        <w:t>, אבל בכל זאת לא רצה לתת לו אישור פומבי. הוא גם לא רצה להיות מעורב בפתרון בעיות מסוימות שהתעוררו לאחר הקמת בית הספר – בהנחה שהתעלמותו משאלות הסבא מקלם בקיץ האחרון לחייו הייתה מכוונת.</w:t>
      </w:r>
    </w:p>
    <w:p w14:paraId="3AD0ECF9" w14:textId="77777777" w:rsidR="00AB3647" w:rsidRDefault="00000000" w:rsidP="007923E9">
      <w:pPr>
        <w:spacing w:after="120" w:line="276" w:lineRule="auto"/>
        <w:ind w:firstLine="283"/>
        <w:jc w:val="both"/>
      </w:pPr>
      <w:r>
        <w:rPr>
          <w:rtl/>
        </w:rPr>
        <w:t xml:space="preserve">נראה שהסכמת בעלי המוסר לשילוב לימודי חול בתוכנית ישיבה, כפי שנעשה </w:t>
      </w:r>
      <w:proofErr w:type="spellStart"/>
      <w:r>
        <w:rPr>
          <w:rtl/>
        </w:rPr>
        <w:t>בגרובין</w:t>
      </w:r>
      <w:proofErr w:type="spellEnd"/>
      <w:r>
        <w:rPr>
          <w:rtl/>
        </w:rPr>
        <w:t xml:space="preserve"> למרות המחלוקת שעורר הדבר, עומדת ברקע איגרת בלתי מובנת של ר׳ שמשון רפאל הירש. הוא כתב אותה </w:t>
      </w:r>
      <w:proofErr w:type="spellStart"/>
      <w:r>
        <w:rPr>
          <w:rtl/>
        </w:rPr>
        <w:t>בתרמ״א</w:t>
      </w:r>
      <w:proofErr w:type="spellEnd"/>
      <w:r>
        <w:rPr>
          <w:rtl/>
        </w:rPr>
        <w:t xml:space="preserve"> – שנה לאחר שבית הספר </w:t>
      </w:r>
      <w:proofErr w:type="spellStart"/>
      <w:r>
        <w:rPr>
          <w:rtl/>
        </w:rPr>
        <w:t>בגרובין</w:t>
      </w:r>
      <w:proofErr w:type="spellEnd"/>
      <w:r>
        <w:rPr>
          <w:rtl/>
        </w:rPr>
        <w:t xml:space="preserve"> החל לפעול – לאחד מתומכי התורה, למען</w:t>
      </w:r>
      <w:r>
        <w:t xml:space="preserve"> </w:t>
      </w:r>
      <w:r>
        <w:rPr>
          <w:rtl/>
        </w:rPr>
        <w:t xml:space="preserve">מסע ההתרמה לכולל קובנה שניהל ר׳ </w:t>
      </w:r>
      <w:proofErr w:type="spellStart"/>
      <w:r>
        <w:rPr>
          <w:rtl/>
        </w:rPr>
        <w:t>אברמצ׳יק</w:t>
      </w:r>
      <w:proofErr w:type="spellEnd"/>
      <w:r>
        <w:rPr>
          <w:rtl/>
        </w:rPr>
        <w:t xml:space="preserve"> שנקר [</w:t>
      </w:r>
      <w:proofErr w:type="spellStart"/>
      <w:r>
        <w:rPr>
          <w:rtl/>
        </w:rPr>
        <w:t>טאנס</w:t>
      </w:r>
      <w:proofErr w:type="spellEnd"/>
      <w:r>
        <w:rPr>
          <w:rtl/>
        </w:rPr>
        <w:t>]</w:t>
      </w:r>
      <w:bookmarkStart w:id="3474" w:name="_fnr2558"/>
      <w:r>
        <w:rPr>
          <w:rStyle w:val="a5"/>
        </w:rPr>
        <w:footnoteReference w:id="2565" w:customMarkFollows="0"/>
      </w:r>
      <w:bookmarkEnd w:id="3474"/>
      <w:r>
        <w:rPr>
          <w:rtl/>
        </w:rPr>
        <w:t xml:space="preserve"> בפרנקפורט. ר׳ שמשון כתב: “מוסד זה מכשיר צעירים מובחרים להיות למדנים מצטיינים בתורה, ובו בזמן מקנה להם בקיאות בלשון הארץ ובענפי דעת אחרים החשובים להשכלתם הכללית. מוסד זה נראה ממש כישועת האמונה, שהייתה במשך שנים במצב של </w:t>
      </w:r>
      <w:r>
        <w:rPr>
          <w:b/>
          <w:bCs/>
          <w:rtl/>
        </w:rPr>
        <w:t>נסיגה מהירה באותה ממלכה גדולה</w:t>
      </w:r>
      <w:r>
        <w:rPr>
          <w:rtl/>
        </w:rPr>
        <w:t xml:space="preserve"> [ההדגשה שלי]</w:t>
      </w:r>
      <w:bookmarkStart w:id="3475" w:name="_fnr2559"/>
      <w:r>
        <w:rPr>
          <w:rStyle w:val="a5"/>
        </w:rPr>
        <w:footnoteReference w:id="2566" w:customMarkFollows="0"/>
      </w:r>
      <w:bookmarkEnd w:id="3475"/>
      <w:r>
        <w:rPr>
          <w:rtl/>
        </w:rPr>
        <w:t xml:space="preserve">. עם זאת, זהו המקרה הראשון, ועד עתה היחיד מסוגו, שבו גדולי הפוסקים והמצוינים בתורה וביראת ה׳, כרבנים אלה, מכריזים שלימוד לשון הארץ והמדע </w:t>
      </w:r>
      <w:r>
        <w:rPr>
          <w:rtl/>
        </w:rPr>
        <w:lastRenderedPageBreak/>
        <w:t>הכללי הוא דבר מותר ואף דבר שיש לשאוף אליו. בכך מתחזק היסוד שעליו מיוסדת גם קהילתנו, מול ההתקפות הניתכות עליה מכיוונים שונים, ובייחוד מאחינו במזרח אירופה”.</w:t>
      </w:r>
    </w:p>
    <w:p w14:paraId="7C1FEE16" w14:textId="77777777" w:rsidR="00AB3647" w:rsidRDefault="00000000" w:rsidP="007923E9">
      <w:pPr>
        <w:spacing w:after="120" w:line="276" w:lineRule="auto"/>
        <w:ind w:firstLine="283"/>
        <w:jc w:val="both"/>
      </w:pPr>
      <w:r>
        <w:rPr>
          <w:rtl/>
        </w:rPr>
        <w:t xml:space="preserve">את האיגרת הזאת תרגם מרדכי </w:t>
      </w:r>
      <w:proofErr w:type="spellStart"/>
      <w:r>
        <w:rPr>
          <w:rtl/>
        </w:rPr>
        <w:t>ברויאר</w:t>
      </w:r>
      <w:proofErr w:type="spellEnd"/>
      <w:r>
        <w:rPr>
          <w:rtl/>
        </w:rPr>
        <w:t xml:space="preserve"> מגרמנית לעברית והביאה </w:t>
      </w:r>
      <w:proofErr w:type="spellStart"/>
      <w:r>
        <w:rPr>
          <w:rtl/>
        </w:rPr>
        <w:t>ב“המעין</w:t>
      </w:r>
      <w:proofErr w:type="spellEnd"/>
      <w:r>
        <w:rPr>
          <w:rtl/>
        </w:rPr>
        <w:t>”</w:t>
      </w:r>
      <w:bookmarkStart w:id="3476" w:name="_fnr2560"/>
      <w:r>
        <w:rPr>
          <w:rStyle w:val="a5"/>
        </w:rPr>
        <w:footnoteReference w:id="2567" w:customMarkFollows="0"/>
      </w:r>
      <w:bookmarkEnd w:id="3476"/>
      <w:r>
        <w:rPr>
          <w:rtl/>
        </w:rPr>
        <w:t xml:space="preserve">, במאמר “שיטת תורה עם דרך ארץ במשנתו של </w:t>
      </w:r>
      <w:proofErr w:type="spellStart"/>
      <w:r>
        <w:rPr>
          <w:rtl/>
        </w:rPr>
        <w:t>רשר״ה</w:t>
      </w:r>
      <w:proofErr w:type="spellEnd"/>
      <w:r>
        <w:rPr>
          <w:rtl/>
        </w:rPr>
        <w:t xml:space="preserve">”, ושם הוא תמה על תיאורו המופלא של ר׳ רפאל הירש את תוכנית כולל קובנה. נושא שליחותו של הרב שנקר צדדי לעניין שבו עוסק ד״ר </w:t>
      </w:r>
      <w:proofErr w:type="spellStart"/>
      <w:r>
        <w:rPr>
          <w:rtl/>
        </w:rPr>
        <w:t>ברויאר</w:t>
      </w:r>
      <w:proofErr w:type="spellEnd"/>
      <w:r>
        <w:rPr>
          <w:rtl/>
        </w:rPr>
        <w:t xml:space="preserve">, ולכן הוא חותם את הדיון בהשערה </w:t>
      </w:r>
      <w:proofErr w:type="spellStart"/>
      <w:r>
        <w:rPr>
          <w:rtl/>
        </w:rPr>
        <w:t>ש“אפשר</w:t>
      </w:r>
      <w:proofErr w:type="spellEnd"/>
      <w:r>
        <w:rPr>
          <w:rtl/>
        </w:rPr>
        <w:t xml:space="preserve"> שהייתה כאן </w:t>
      </w:r>
      <w:proofErr w:type="spellStart"/>
      <w:r>
        <w:rPr>
          <w:rtl/>
        </w:rPr>
        <w:t>אי־הבנה</w:t>
      </w:r>
      <w:proofErr w:type="spellEnd"/>
      <w:r>
        <w:rPr>
          <w:rtl/>
        </w:rPr>
        <w:t>, ואולי גם ייפוי מצד ר׳ שמשון... בעקבות רמזים עמומים מצד הרב שנקר”.</w:t>
      </w:r>
    </w:p>
    <w:p w14:paraId="6FFDB5D4" w14:textId="77777777" w:rsidR="00AB3647" w:rsidRDefault="00000000" w:rsidP="007923E9">
      <w:pPr>
        <w:spacing w:after="120" w:line="276" w:lineRule="auto"/>
        <w:ind w:firstLine="283"/>
        <w:jc w:val="both"/>
      </w:pPr>
      <w:r>
        <w:rPr>
          <w:rtl/>
        </w:rPr>
        <w:t xml:space="preserve">ברוח הצעתו של ד״ר </w:t>
      </w:r>
      <w:proofErr w:type="spellStart"/>
      <w:r>
        <w:rPr>
          <w:rtl/>
        </w:rPr>
        <w:t>ברויאר</w:t>
      </w:r>
      <w:proofErr w:type="spellEnd"/>
      <w:r>
        <w:rPr>
          <w:rtl/>
        </w:rPr>
        <w:t xml:space="preserve"> – שדבר שאמר ר׳ </w:t>
      </w:r>
      <w:proofErr w:type="spellStart"/>
      <w:r>
        <w:rPr>
          <w:rtl/>
        </w:rPr>
        <w:t>אברמצ׳יק</w:t>
      </w:r>
      <w:proofErr w:type="spellEnd"/>
      <w:r>
        <w:rPr>
          <w:rtl/>
        </w:rPr>
        <w:t xml:space="preserve"> </w:t>
      </w:r>
      <w:r>
        <w:rPr>
          <w:b/>
          <w:bCs/>
          <w:rtl/>
        </w:rPr>
        <w:t>לא הובן</w:t>
      </w:r>
      <w:bookmarkStart w:id="3477" w:name="_fnr2561"/>
      <w:r>
        <w:rPr>
          <w:rStyle w:val="a5"/>
        </w:rPr>
        <w:footnoteReference w:id="2568" w:customMarkFollows="0"/>
      </w:r>
      <w:bookmarkEnd w:id="3477"/>
      <w:r>
        <w:rPr>
          <w:rtl/>
        </w:rPr>
        <w:t xml:space="preserve"> בידי ר׳ שמשון – נוכל להציע תיאור משוער של מה שאירע בפועל. ר׳ רפאל הירש הזכיר משום מה בשיחתו עם הרב שנקר לימודי חול, מתוך</w:t>
      </w:r>
      <w:r>
        <w:t xml:space="preserve"> </w:t>
      </w:r>
      <w:r>
        <w:rPr>
          <w:rtl/>
        </w:rPr>
        <w:t xml:space="preserve">הסכמה. ר׳ </w:t>
      </w:r>
      <w:proofErr w:type="spellStart"/>
      <w:r>
        <w:rPr>
          <w:rtl/>
        </w:rPr>
        <w:t>אברמצ׳יק</w:t>
      </w:r>
      <w:proofErr w:type="spellEnd"/>
      <w:r>
        <w:rPr>
          <w:rtl/>
        </w:rPr>
        <w:t xml:space="preserve"> תיאר אז את תוכנית </w:t>
      </w:r>
      <w:proofErr w:type="spellStart"/>
      <w:r>
        <w:rPr>
          <w:rtl/>
        </w:rPr>
        <w:t>גרובין</w:t>
      </w:r>
      <w:proofErr w:type="spellEnd"/>
      <w:r>
        <w:rPr>
          <w:rtl/>
        </w:rPr>
        <w:t xml:space="preserve">, והדגיש שלימודי החול שם זוכים לתמיכת </w:t>
      </w:r>
      <w:r>
        <w:rPr>
          <w:b/>
          <w:bCs/>
          <w:rtl/>
        </w:rPr>
        <w:t>אותם בעלי מוסר</w:t>
      </w:r>
      <w:r>
        <w:rPr>
          <w:rtl/>
        </w:rPr>
        <w:t xml:space="preserve">, “המצוינים בתורה וביראת ה׳”, העומדים בראש כולל קובנה, </w:t>
      </w:r>
      <w:r>
        <w:rPr>
          <w:b/>
          <w:bCs/>
          <w:rtl/>
        </w:rPr>
        <w:t>שלמענו הוא מתרים</w:t>
      </w:r>
      <w:r>
        <w:rPr>
          <w:rtl/>
        </w:rPr>
        <w:t xml:space="preserve">. ייתכן שהזכיר גם שאחד הפעילים החשובים בכולל, הסבא </w:t>
      </w:r>
      <w:proofErr w:type="spellStart"/>
      <w:r>
        <w:rPr>
          <w:rtl/>
        </w:rPr>
        <w:t>מסלבודקה</w:t>
      </w:r>
      <w:proofErr w:type="spellEnd"/>
      <w:r>
        <w:rPr>
          <w:rtl/>
        </w:rPr>
        <w:t xml:space="preserve">, לימד פעם </w:t>
      </w:r>
      <w:proofErr w:type="spellStart"/>
      <w:r>
        <w:rPr>
          <w:rtl/>
        </w:rPr>
        <w:t>בגרובין</w:t>
      </w:r>
      <w:proofErr w:type="spellEnd"/>
      <w:r>
        <w:rPr>
          <w:rtl/>
        </w:rPr>
        <w:t xml:space="preserve">, ושהרב </w:t>
      </w:r>
      <w:proofErr w:type="spellStart"/>
      <w:r>
        <w:rPr>
          <w:rtl/>
        </w:rPr>
        <w:t>בלאזר</w:t>
      </w:r>
      <w:proofErr w:type="spellEnd"/>
      <w:r>
        <w:rPr>
          <w:rtl/>
        </w:rPr>
        <w:t xml:space="preserve">, דמות מוסר חשובה נוספת, ביקר שם, ובכך רמז להסכמתו לתוכניתה – אם אכן ביקר ר׳ </w:t>
      </w:r>
      <w:proofErr w:type="spellStart"/>
      <w:r>
        <w:rPr>
          <w:rtl/>
        </w:rPr>
        <w:t>איצל׳ה</w:t>
      </w:r>
      <w:proofErr w:type="spellEnd"/>
      <w:r>
        <w:rPr>
          <w:rtl/>
        </w:rPr>
        <w:t xml:space="preserve"> </w:t>
      </w:r>
      <w:proofErr w:type="spellStart"/>
      <w:r>
        <w:rPr>
          <w:rtl/>
        </w:rPr>
        <w:t>בלאזר</w:t>
      </w:r>
      <w:proofErr w:type="spellEnd"/>
      <w:r>
        <w:rPr>
          <w:rtl/>
        </w:rPr>
        <w:t xml:space="preserve"> לא רק בתלמוד תורה </w:t>
      </w:r>
      <w:proofErr w:type="spellStart"/>
      <w:r>
        <w:rPr>
          <w:rtl/>
        </w:rPr>
        <w:t>בקלם</w:t>
      </w:r>
      <w:proofErr w:type="spellEnd"/>
      <w:r>
        <w:rPr>
          <w:rtl/>
        </w:rPr>
        <w:t xml:space="preserve"> אלא גם בבית הספר </w:t>
      </w:r>
      <w:proofErr w:type="spellStart"/>
      <w:r>
        <w:rPr>
          <w:rtl/>
        </w:rPr>
        <w:t>בגרובין</w:t>
      </w:r>
      <w:proofErr w:type="spellEnd"/>
      <w:r>
        <w:rPr>
          <w:rtl/>
        </w:rPr>
        <w:t xml:space="preserve">, כפי שהוצע לעיל (עמ׳ </w:t>
      </w:r>
      <w:r>
        <w:rPr>
          <w:rtl/>
        </w:rPr>
        <w:fldChar w:fldCharType="begin" w:dirty="true"/>
      </w:r>
      <w:r>
        <w:rPr>
          <w:rtl/>
        </w:rPr>
        <w:instrText xml:space="preserve"> PAGEREF pr_close_b_2417 \h </w:instrText>
      </w:r>
      <w:r>
        <w:rPr>
          <w:rtl/>
        </w:rPr>
      </w:r>
      <w:r>
        <w:rPr>
          <w:rtl/>
        </w:rPr>
        <w:fldChar w:fldCharType="separate"/>
      </w:r>
      <w:r w:rsidR="007923E9">
        <w:rPr>
          <w:noProof/>
          <w:rtl/>
        </w:rPr>
        <w:t>1</w:t>
      </w:r>
      <w:r>
        <w:rPr>
          <w:rtl/>
        </w:rPr>
        <w:fldChar w:fldCharType="end"/>
      </w:r>
      <w:r>
        <w:rPr>
          <w:rtl/>
        </w:rPr>
        <w:t>).</w:t>
      </w:r>
    </w:p>
    <w:p w14:paraId="73357F52" w14:textId="77777777" w:rsidR="00AB3647" w:rsidRDefault="00000000" w:rsidP="007923E9">
      <w:pPr>
        <w:spacing w:after="120" w:line="276" w:lineRule="auto"/>
        <w:ind w:firstLine="283"/>
        <w:jc w:val="both"/>
      </w:pPr>
      <w:r>
        <w:rPr>
          <w:rtl/>
        </w:rPr>
        <w:t xml:space="preserve">מסתבר שהרב שנקר ציין גם שהיו חוגים ליטאיים שהתנגדו לתוכנית </w:t>
      </w:r>
      <w:proofErr w:type="spellStart"/>
      <w:r>
        <w:rPr>
          <w:rtl/>
        </w:rPr>
        <w:t>גרובין</w:t>
      </w:r>
      <w:proofErr w:type="spellEnd"/>
      <w:r>
        <w:rPr>
          <w:rtl/>
        </w:rPr>
        <w:t xml:space="preserve">, ור׳ שמשון ראה בכך מקבילה להתנגדות שהוא עצמו נתקל בה בגרמניה. מכאן ועד למסקנה המוטעית של ר׳ רפאל הירש, שבכולל קובנה נלמדים לימודי חול, היה המרחק קטן – מסקנה שר׳ </w:t>
      </w:r>
      <w:proofErr w:type="spellStart"/>
      <w:r>
        <w:rPr>
          <w:rtl/>
        </w:rPr>
        <w:t>אברמצ׳יק</w:t>
      </w:r>
      <w:proofErr w:type="spellEnd"/>
      <w:r>
        <w:rPr>
          <w:rtl/>
        </w:rPr>
        <w:t xml:space="preserve"> </w:t>
      </w:r>
      <w:proofErr w:type="spellStart"/>
      <w:r>
        <w:rPr>
          <w:rtl/>
        </w:rPr>
        <w:t>טאנס</w:t>
      </w:r>
      <w:proofErr w:type="spellEnd"/>
      <w:r>
        <w:rPr>
          <w:rtl/>
        </w:rPr>
        <w:t xml:space="preserve"> הקדוש לא רמז לה ביודעין. ר׳ </w:t>
      </w:r>
      <w:proofErr w:type="spellStart"/>
      <w:r>
        <w:rPr>
          <w:rtl/>
        </w:rPr>
        <w:t>אברמצ׳יק</w:t>
      </w:r>
      <w:proofErr w:type="spellEnd"/>
      <w:r>
        <w:rPr>
          <w:rtl/>
        </w:rPr>
        <w:t xml:space="preserve">, שידע שאין בליטא בית ספר המשלב לימודי קודש וחול </w:t>
      </w:r>
      <w:r>
        <w:rPr>
          <w:b/>
          <w:bCs/>
          <w:rtl/>
        </w:rPr>
        <w:t>אפילו לצעירים</w:t>
      </w:r>
      <w:r>
        <w:rPr>
          <w:rtl/>
        </w:rPr>
        <w:t xml:space="preserve">, מלבד </w:t>
      </w:r>
      <w:proofErr w:type="spellStart"/>
      <w:r>
        <w:rPr>
          <w:rtl/>
        </w:rPr>
        <w:t>גרובין</w:t>
      </w:r>
      <w:proofErr w:type="spellEnd"/>
      <w:r>
        <w:rPr>
          <w:rtl/>
        </w:rPr>
        <w:t xml:space="preserve">, לא העלה על דעתו שבן שיחו יסיק מדבריו שאנשים מבוגרים יתחילו, לראשונה בחייהם, ללמוד לימודי חול בכולל </w:t>
      </w:r>
      <w:r>
        <w:rPr>
          <w:b/>
          <w:bCs/>
          <w:rtl/>
        </w:rPr>
        <w:t>לאחר נישואיהם</w:t>
      </w:r>
      <w:r>
        <w:rPr>
          <w:rtl/>
        </w:rPr>
        <w:t>.</w:t>
      </w:r>
    </w:p>
    <w:p w14:paraId="66626FFD" w14:textId="77777777" w:rsidR="00AB3647" w:rsidRDefault="00000000" w:rsidP="007923E9">
      <w:pPr>
        <w:spacing w:after="120" w:line="276" w:lineRule="auto"/>
        <w:ind w:firstLine="283"/>
        <w:jc w:val="both"/>
      </w:pPr>
      <w:r>
        <w:rPr>
          <w:rtl/>
        </w:rPr>
        <w:t>לעומתו, ר׳ רפאל הירש, שראה לנגד עיניו את המצב בגרמניה – שם כל הנוער מקבל השכלה כללית כדבר מובן מאליו – הניח שהמחלוקת בליטא שעליה דיבר הרב שנקר אינה נוגעת ליסודות הנלמדים אצל נערים, אלא ללימודי חול מתקדמים לאנשים המבוגרים שמוכשרים לרבנות בכולל קובנה. מתוך הנחה שגם נערים יודעים לדבר ולקרוא רוסית, התכוון ר׳ שמשון כנראה לספרות הרוסית כשכתב שבצד לימודיהם התורניים רוכשים חברי הכולל “בקיאות בלשון הארץ”</w:t>
      </w:r>
      <w:bookmarkStart w:id="3478" w:name="_fnr2562"/>
      <w:r>
        <w:rPr>
          <w:rStyle w:val="a5"/>
        </w:rPr>
        <w:footnoteReference w:id="2569" w:customMarkFollows="0"/>
      </w:r>
      <w:bookmarkEnd w:id="3478"/>
      <w:r>
        <w:rPr>
          <w:rtl/>
        </w:rPr>
        <w:t>.</w:t>
      </w:r>
    </w:p>
    <w:p w14:paraId="696F18D8" w14:textId="77777777" w:rsidR="00AB3647" w:rsidRDefault="00000000" w:rsidP="007923E9">
      <w:pPr>
        <w:spacing w:after="120" w:line="276" w:lineRule="auto"/>
        <w:ind w:firstLine="283"/>
        <w:jc w:val="both"/>
      </w:pPr>
      <w:r>
        <w:rPr>
          <w:rtl/>
        </w:rPr>
        <w:lastRenderedPageBreak/>
        <w:t>מעניין שגם ד״ר ישראל אלישיב קושר בין לימודי החול שבהם תמכו בעלי המוסר לבין מנהיגי האורתודוקסיה הגרמנית. הוא כותב</w:t>
      </w:r>
      <w:bookmarkStart w:id="3479" w:name="_fnr2563"/>
      <w:r>
        <w:rPr>
          <w:rStyle w:val="a5"/>
        </w:rPr>
        <w:footnoteReference w:id="2570" w:customMarkFollows="0"/>
      </w:r>
      <w:bookmarkEnd w:id="3479"/>
      <w:r>
        <w:rPr>
          <w:rtl/>
        </w:rPr>
        <w:t xml:space="preserve">: “בעלי המוסר הראשונים – שהיו נתונים להשפעת החרדים בגרמניה, כגון ר׳ הירש, </w:t>
      </w:r>
      <w:r>
        <w:rPr>
          <w:b/>
          <w:bCs/>
          <w:rtl/>
        </w:rPr>
        <w:t>לחמן</w:t>
      </w:r>
      <w:r>
        <w:rPr>
          <w:rtl/>
        </w:rPr>
        <w:t xml:space="preserve"> (ההדגשה שלי), ד״ר [עזריאל] </w:t>
      </w:r>
      <w:proofErr w:type="spellStart"/>
      <w:r>
        <w:rPr>
          <w:rtl/>
        </w:rPr>
        <w:t>הילדסהיימר</w:t>
      </w:r>
      <w:proofErr w:type="spellEnd"/>
      <w:r>
        <w:rPr>
          <w:rtl/>
        </w:rPr>
        <w:t xml:space="preserve"> הזקן וכיוצא בהם – ראו והשתכנעו שמעט השכלה כללית אינה מזיקה”. בדומה לכך סבור יעקב מארק</w:t>
      </w:r>
      <w:bookmarkStart w:id="3480" w:name="_fnr2564"/>
      <w:r>
        <w:rPr>
          <w:rStyle w:val="a5"/>
        </w:rPr>
        <w:footnoteReference w:id="2571" w:customMarkFollows="0"/>
      </w:r>
      <w:bookmarkEnd w:id="3480"/>
      <w:r>
        <w:rPr>
          <w:rtl/>
        </w:rPr>
        <w:t xml:space="preserve"> </w:t>
      </w:r>
      <w:proofErr w:type="spellStart"/>
      <w:r>
        <w:rPr>
          <w:rtl/>
        </w:rPr>
        <w:t>ש“ישיבת</w:t>
      </w:r>
      <w:proofErr w:type="spellEnd"/>
      <w:r>
        <w:rPr>
          <w:rtl/>
        </w:rPr>
        <w:t xml:space="preserve">” </w:t>
      </w:r>
      <w:proofErr w:type="spellStart"/>
      <w:r>
        <w:rPr>
          <w:rtl/>
        </w:rPr>
        <w:t>גרובין</w:t>
      </w:r>
      <w:proofErr w:type="spellEnd"/>
      <w:r>
        <w:rPr>
          <w:rtl/>
        </w:rPr>
        <w:t xml:space="preserve"> “נוסדה בעיקר לפי הדגם של מוסד לימוד חרדי בפרנקפורט”.</w:t>
      </w:r>
    </w:p>
    <w:p w14:paraId="661911CC" w14:textId="77777777" w:rsidR="00AB3647" w:rsidRDefault="00000000" w:rsidP="007923E9">
      <w:pPr>
        <w:spacing w:after="120" w:line="276" w:lineRule="auto"/>
        <w:ind w:firstLine="283"/>
        <w:jc w:val="both"/>
      </w:pPr>
      <w:r>
        <w:rPr>
          <w:rtl/>
        </w:rPr>
        <w:t xml:space="preserve">כשכתב אלישיב “לחמן” (שהודגש לעיל), התכוון בבירור לרבה של </w:t>
      </w:r>
      <w:proofErr w:type="spellStart"/>
      <w:r>
        <w:rPr>
          <w:rtl/>
        </w:rPr>
        <w:t>מיינץ</w:t>
      </w:r>
      <w:proofErr w:type="spellEnd"/>
      <w:r>
        <w:rPr>
          <w:rtl/>
        </w:rPr>
        <w:t xml:space="preserve">, ר׳ מאיר (מרקוס) להמן. שכן באשר לאיש העסקים ר׳ עובדיה (אמיל) לחמן, כל השפעה שעברה ביניהם פעלה בכיוון ההפוך בלבד – מבעלי המוסר אל אמיל לחמן – עד כדי כך שהמשכילים המציאו האשמה מופרכת: מחשש שאישה תחסום את תרומותיו למוסדותיהם, השפיעו עליו </w:t>
      </w:r>
      <w:proofErr w:type="spellStart"/>
      <w:r>
        <w:rPr>
          <w:rtl/>
        </w:rPr>
        <w:t>המוסרניקים</w:t>
      </w:r>
      <w:proofErr w:type="spellEnd"/>
      <w:r>
        <w:rPr>
          <w:rtl/>
        </w:rPr>
        <w:t xml:space="preserve"> שלא יישא אישה.</w:t>
      </w:r>
      <w:bookmarkStart w:id="3481" w:name="_fnr2565"/>
      <w:r>
        <w:rPr>
          <w:rStyle w:val="a5"/>
        </w:rPr>
        <w:footnoteReference w:id="2572" w:customMarkFollows="0"/>
      </w:r>
      <w:bookmarkEnd w:id="3481"/>
      <w:r>
        <w:rPr>
          <w:rtl/>
        </w:rPr>
        <w:t xml:space="preserve"> השאלה מדוע לא נישא ר׳ עובדיה נדונה בפסקה הבאה של נספח זה.</w:t>
      </w:r>
    </w:p>
    <w:p w14:paraId="6ACCBE8F" w14:textId="77777777" w:rsidR="00AB3647" w:rsidRDefault="00000000" w:rsidP="007923E9">
      <w:pPr>
        <w:spacing w:after="120" w:line="276" w:lineRule="auto"/>
        <w:ind w:firstLine="283"/>
        <w:jc w:val="both"/>
      </w:pPr>
      <w:r>
        <w:rPr>
          <w:rtl/>
        </w:rPr>
        <w:t xml:space="preserve">באשר להשערה שהיהדות החרדית בגרמניה השפיעה על בעלי המוסר, השווה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3482" w:name="_fnr2566"/>
      <w:r>
        <w:rPr>
          <w:rStyle w:val="a5"/>
        </w:rPr>
        <w:footnoteReference w:id="2573" w:customMarkFollows="0"/>
      </w:r>
      <w:bookmarkEnd w:id="3482"/>
      <w:r>
        <w:rPr>
          <w:rtl/>
        </w:rPr>
        <w:t xml:space="preserve">, שלפיו התנגד ר׳ ישראל </w:t>
      </w:r>
      <w:proofErr w:type="spellStart"/>
      <w:r>
        <w:rPr>
          <w:rtl/>
        </w:rPr>
        <w:t>סלנטר</w:t>
      </w:r>
      <w:proofErr w:type="spellEnd"/>
      <w:r>
        <w:rPr>
          <w:rtl/>
        </w:rPr>
        <w:t xml:space="preserve"> להחלת אמות מידה זהות על יהודי גרמניה ועל יהודי רוסיה</w:t>
      </w:r>
      <w:bookmarkStart w:id="3483" w:name="_fnr2567"/>
      <w:r>
        <w:rPr>
          <w:rStyle w:val="a5"/>
        </w:rPr>
        <w:footnoteReference w:id="2574" w:customMarkFollows="0"/>
      </w:r>
      <w:bookmarkEnd w:id="3483"/>
      <w:r>
        <w:rPr>
          <w:rtl/>
        </w:rPr>
        <w:t>. עם זאת, בשהותו הארוכה בגרמניה למד ללא ספק את דרכי האורתודוקסיה הגרמנית בשמירת האמונה, מתוך כוונה לבחור מהן את המתאים לצורכי יהודי ארץ מולדתו ולהחילו כשיתייצב המצב.</w:t>
      </w:r>
    </w:p>
    <w:p w14:paraId="4BB77307" w14:textId="77777777" w:rsidR="00AB3647" w:rsidRDefault="00000000" w:rsidP="007923E9">
      <w:pPr>
        <w:spacing w:after="120" w:line="276" w:lineRule="auto"/>
        <w:ind w:firstLine="283"/>
        <w:jc w:val="both"/>
      </w:pPr>
      <w:r>
        <w:rPr>
          <w:rtl/>
        </w:rPr>
        <w:t>יעקב מארק</w:t>
      </w:r>
      <w:bookmarkStart w:id="3484" w:name="_fnr2568"/>
      <w:r>
        <w:rPr>
          <w:rStyle w:val="a5"/>
        </w:rPr>
        <w:footnoteReference w:id="2575" w:customMarkFollows="0"/>
      </w:r>
      <w:bookmarkEnd w:id="3484"/>
      <w:r>
        <w:rPr>
          <w:rtl/>
        </w:rPr>
        <w:t xml:space="preserve"> מוסר את המשל המפורסם של ר׳ ישראל, שבו הסביר מדוע העתיק את פעילותו לגרמניה: סוס הדוהר במורד, כיהדות רוסיה, אי אפשר לרסן, ואילו סוס שהגיע למישור, כיהדות מערב אירופה, אפשר לכוון בדרך הנכונה. המשל מרמז שר׳ ישראל</w:t>
      </w:r>
      <w:r>
        <w:t xml:space="preserve"> </w:t>
      </w:r>
      <w:r>
        <w:rPr>
          <w:rtl/>
        </w:rPr>
        <w:t>סבר שיום אחד (לאו דווקא בימי חייו) תעמוד יהדות מזרח אירופה, לאחר שתתייצב, מול תנאים דומים לאלה ששררו בגרמניה בזמנו. השווה גם “שרי המאה”</w:t>
      </w:r>
      <w:bookmarkStart w:id="3485" w:name="_fnr2569"/>
      <w:r>
        <w:rPr>
          <w:rStyle w:val="a5"/>
        </w:rPr>
        <w:footnoteReference w:id="2576" w:customMarkFollows="0"/>
      </w:r>
      <w:bookmarkEnd w:id="3485"/>
      <w:r>
        <w:rPr>
          <w:rtl/>
        </w:rPr>
        <w:t xml:space="preserve">, שם נאמר שר׳ ישראל שיבח את ר׳ עזריאל </w:t>
      </w:r>
      <w:proofErr w:type="spellStart"/>
      <w:r>
        <w:rPr>
          <w:rtl/>
        </w:rPr>
        <w:t>הילדסהיימר</w:t>
      </w:r>
      <w:proofErr w:type="spellEnd"/>
      <w:r>
        <w:rPr>
          <w:rtl/>
        </w:rPr>
        <w:t xml:space="preserve"> בפני תלמידיו </w:t>
      </w:r>
      <w:proofErr w:type="spellStart"/>
      <w:r>
        <w:rPr>
          <w:rtl/>
        </w:rPr>
        <w:t>כ“אדם</w:t>
      </w:r>
      <w:proofErr w:type="spellEnd"/>
      <w:r>
        <w:rPr>
          <w:rtl/>
        </w:rPr>
        <w:t xml:space="preserve"> המעלה והשלימות”.</w:t>
      </w:r>
    </w:p>
    <w:p w14:paraId="57C4AFC7" w14:textId="77777777" w:rsidR="00AB3647" w:rsidRDefault="00000000" w:rsidP="007923E9">
      <w:pPr>
        <w:pStyle w:val="4"/>
        <w:spacing w:line="276" w:lineRule="auto"/>
      </w:pPr>
      <w:r>
        <w:lastRenderedPageBreak/>
        <w:t>· הפסקה השלישית ·</w:t>
      </w:r>
    </w:p>
    <w:p w14:paraId="2F985623" w14:textId="77777777" w:rsidR="00AB3647" w:rsidRDefault="00000000" w:rsidP="007923E9">
      <w:pPr>
        <w:pStyle w:val="5"/>
        <w:spacing w:line="276" w:lineRule="auto"/>
      </w:pPr>
      <w:r>
        <w:t xml:space="preserve">לחמן נתפס בעיני אחדים כעקשן – ניסיונות למצוא שידוך לרווק הזקן – הוא מפסיק לתמוך בישיבת </w:t>
      </w:r>
      <w:proofErr w:type="spellStart"/>
      <w:r>
        <w:t>סלבודקה</w:t>
      </w:r>
      <w:proofErr w:type="spellEnd"/>
      <w:r>
        <w:t xml:space="preserve"> לזמן מה – הפיאסקו המצער עם צוואתו</w:t>
      </w:r>
    </w:p>
    <w:p w14:paraId="022D4553" w14:textId="77777777" w:rsidR="00AB3647" w:rsidRDefault="00000000" w:rsidP="007923E9">
      <w:pPr>
        <w:spacing w:after="120" w:line="276" w:lineRule="auto"/>
        <w:ind w:firstLine="283"/>
        <w:jc w:val="both"/>
      </w:pPr>
      <w:r>
        <w:rPr>
          <w:rtl/>
        </w:rPr>
        <w:t xml:space="preserve">תלמידי </w:t>
      </w:r>
      <w:proofErr w:type="spellStart"/>
      <w:r>
        <w:rPr>
          <w:rtl/>
        </w:rPr>
        <w:t>סלבודקה</w:t>
      </w:r>
      <w:proofErr w:type="spellEnd"/>
      <w:r>
        <w:rPr>
          <w:rtl/>
        </w:rPr>
        <w:t xml:space="preserve"> התפלאו על כך שלחמן לא נישא מעולם. אבי העיר</w:t>
      </w:r>
      <w:bookmarkStart w:id="3486" w:name="_fnr2570"/>
      <w:r>
        <w:rPr>
          <w:rStyle w:val="a5"/>
        </w:rPr>
        <w:footnoteReference w:id="2577" w:customMarkFollows="0"/>
      </w:r>
      <w:bookmarkEnd w:id="3486"/>
      <w:r>
        <w:rPr>
          <w:rtl/>
        </w:rPr>
        <w:t xml:space="preserve">: “אולי לא הורשה לחמן להינשא; איני יודע.” רבנו לא הבהיר מה בדיוק היה טיבה של המגבלה המשוערת. אבל המאמר האלמוני </w:t>
      </w:r>
      <w:proofErr w:type="spellStart"/>
      <w:r>
        <w:rPr>
          <w:rtl/>
        </w:rPr>
        <w:t>ב“הזמן</w:t>
      </w:r>
      <w:proofErr w:type="spellEnd"/>
      <w:r>
        <w:rPr>
          <w:rtl/>
        </w:rPr>
        <w:t xml:space="preserve">” טוען שלחמן היה פעם מאורס, ולאחר </w:t>
      </w:r>
      <w:proofErr w:type="spellStart"/>
      <w:r>
        <w:rPr>
          <w:rtl/>
        </w:rPr>
        <w:t>ש“בגדי</w:t>
      </w:r>
      <w:proofErr w:type="spellEnd"/>
      <w:r>
        <w:rPr>
          <w:rtl/>
        </w:rPr>
        <w:t xml:space="preserve"> החתונה הוכנו והטבחים המובחרים הכינו את סעודת החתונה”, ביטל את העניין. אם הסיפור הזה נכון, יש בו רמז שלא היה איסור ממשי על נישואיו.</w:t>
      </w:r>
    </w:p>
    <w:p w14:paraId="1DC93501" w14:textId="77777777" w:rsidR="00AB3647" w:rsidRDefault="00000000" w:rsidP="007923E9">
      <w:pPr>
        <w:spacing w:after="120" w:line="276" w:lineRule="auto"/>
        <w:ind w:firstLine="283"/>
        <w:jc w:val="both"/>
      </w:pPr>
      <w:r>
        <w:rPr>
          <w:rtl/>
        </w:rPr>
        <w:t xml:space="preserve">השווה גם “אגרות רבי עזריאל </w:t>
      </w:r>
      <w:proofErr w:type="spellStart"/>
      <w:r>
        <w:rPr>
          <w:rtl/>
        </w:rPr>
        <w:t>הילדסהיימר</w:t>
      </w:r>
      <w:proofErr w:type="spellEnd"/>
      <w:r>
        <w:rPr>
          <w:rtl/>
        </w:rPr>
        <w:t>”</w:t>
      </w:r>
      <w:bookmarkStart w:id="3487" w:name="_fnr2571"/>
      <w:r>
        <w:rPr>
          <w:rStyle w:val="a5"/>
        </w:rPr>
        <w:footnoteReference w:id="2578" w:customMarkFollows="0"/>
      </w:r>
      <w:bookmarkEnd w:id="3487"/>
      <w:r>
        <w:rPr>
          <w:rtl/>
        </w:rPr>
        <w:t xml:space="preserve">, המפרסם את תשובתו של ר׳ עזריאל </w:t>
      </w:r>
      <w:proofErr w:type="spellStart"/>
      <w:r>
        <w:rPr>
          <w:rtl/>
        </w:rPr>
        <w:t>הילדסהיימר</w:t>
      </w:r>
      <w:proofErr w:type="spellEnd"/>
      <w:r>
        <w:rPr>
          <w:rtl/>
        </w:rPr>
        <w:t xml:space="preserve"> לדיין בלייפציג בעניין שידוך בין בתו ללחמן, שהיה אז בן 47. מתברר ממנה שלחמן עקשן שאין לתקנו, והיא מצטטת מכתב שהתקבל מאדם נכבד המנהל את השקעתו למטרות צדקה בארץ ישראל, </w:t>
      </w:r>
      <w:proofErr w:type="spellStart"/>
      <w:r>
        <w:rPr>
          <w:rtl/>
        </w:rPr>
        <w:t>ש“לשאת</w:t>
      </w:r>
      <w:proofErr w:type="spellEnd"/>
      <w:r>
        <w:rPr>
          <w:rtl/>
        </w:rPr>
        <w:t xml:space="preserve"> את דרכיו (של לחמן) קשה מעבדות בסיביר”. אפשר שתכונה זו מנעה מר׳ עובדיה למצוא אישה. קשה לקבוע מקריאת תשובת </w:t>
      </w:r>
      <w:proofErr w:type="spellStart"/>
      <w:r>
        <w:rPr>
          <w:rtl/>
        </w:rPr>
        <w:t>הילדסהיימר</w:t>
      </w:r>
      <w:proofErr w:type="spellEnd"/>
      <w:r>
        <w:rPr>
          <w:rtl/>
        </w:rPr>
        <w:t xml:space="preserve"> אם הדיין ניסה לגייס את עזרתו ב</w:t>
      </w:r>
      <w:r>
        <w:rPr>
          <w:b/>
          <w:bCs/>
          <w:rtl/>
        </w:rPr>
        <w:t>סידור</w:t>
      </w:r>
      <w:r>
        <w:rPr>
          <w:rtl/>
        </w:rPr>
        <w:t xml:space="preserve"> השידוך, או בשכנוע לחמן </w:t>
      </w:r>
      <w:r>
        <w:rPr>
          <w:b/>
          <w:bCs/>
          <w:rtl/>
        </w:rPr>
        <w:t>שלא לבטלו</w:t>
      </w:r>
      <w:r>
        <w:rPr>
          <w:rtl/>
        </w:rPr>
        <w:t>. אם ההבנה השנייה נכונה, טענת המאמר שלחמן היה פעם מאורס מוצאת בסיס עובדתי, אף שהפרידה לא הייתה פתאומית כפי שהמאמר מתאר.</w:t>
      </w:r>
    </w:p>
    <w:p w14:paraId="4B033584" w14:textId="470868B7" w:rsidR="00AB3647" w:rsidRDefault="00000000" w:rsidP="007923E9">
      <w:pPr>
        <w:spacing w:after="120" w:line="276" w:lineRule="auto"/>
        <w:ind w:firstLine="283"/>
        <w:jc w:val="both"/>
      </w:pPr>
      <w:r>
        <w:rPr>
          <w:rtl/>
        </w:rPr>
        <w:t>ר׳ ישעיה זינגר סיפר</w:t>
      </w:r>
      <w:bookmarkStart w:id="3488" w:name="_fnr2572"/>
      <w:r>
        <w:rPr>
          <w:rStyle w:val="a5"/>
        </w:rPr>
        <w:footnoteReference w:id="2579" w:customMarkFollows="0"/>
      </w:r>
      <w:bookmarkEnd w:id="3488"/>
      <w:r>
        <w:rPr>
          <w:rtl/>
        </w:rPr>
        <w:t xml:space="preserve"> שלחמן ביקש מר׳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את יד בתו, “ו(ר׳ </w:t>
      </w:r>
      <w:proofErr w:type="spellStart"/>
      <w:r>
        <w:rPr>
          <w:rtl/>
        </w:rPr>
        <w:t>לייזר־יעקב</w:t>
      </w:r>
      <w:proofErr w:type="spellEnd"/>
      <w:r>
        <w:rPr>
          <w:rtl/>
        </w:rPr>
        <w:t xml:space="preserve">) השתמש בתירוץ שאם (הם) יתחתנו, לא יוכל עוד לבקש תרומות גדולות משום שירגיש שהוא לוקח את כספה של בתו”. לאור יחסו של ר׳ </w:t>
      </w:r>
      <w:proofErr w:type="spellStart"/>
      <w:r>
        <w:rPr>
          <w:rtl/>
        </w:rPr>
        <w:t>לייזר־יעקב</w:t>
      </w:r>
      <w:proofErr w:type="spellEnd"/>
      <w:r>
        <w:rPr>
          <w:rtl/>
        </w:rPr>
        <w:t xml:space="preserve"> הן לילדיו והן להפצת התורה, כמובא מתוך “לפרקים” ב</w:t>
      </w:r>
      <w:r>
        <w:rPr>
          <w:rtl/>
        </w:rPr>
        <w:fldChar w:fldCharType="begin" w:dirty="true"/>
      </w:r>
      <w:r>
        <w:rPr>
          <w:rtl/>
        </w:rPr>
        <w:instrText xml:space="preserve"> REF b3_excC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לעיל, הסיבה שהציע הייתה תירוץ קלוש.</w:t>
      </w:r>
    </w:p>
    <w:p w14:paraId="5528E4BD" w14:textId="77777777" w:rsidR="00AB3647" w:rsidRDefault="00000000" w:rsidP="007923E9">
      <w:pPr>
        <w:spacing w:after="120" w:line="276" w:lineRule="auto"/>
        <w:ind w:firstLine="283"/>
        <w:jc w:val="both"/>
      </w:pPr>
      <w:r>
        <w:rPr>
          <w:rtl/>
        </w:rPr>
        <w:t>השווה גם “חידושי ושיעורי רבי ברוך בער”</w:t>
      </w:r>
      <w:bookmarkStart w:id="3489" w:name="_fnr2573"/>
      <w:r>
        <w:rPr>
          <w:rStyle w:val="a5"/>
        </w:rPr>
        <w:footnoteReference w:id="2580" w:customMarkFollows="0"/>
      </w:r>
      <w:bookmarkEnd w:id="3489"/>
      <w:r>
        <w:rPr>
          <w:rtl/>
        </w:rPr>
        <w:t xml:space="preserve">, המצטט את ר׳ </w:t>
      </w:r>
      <w:proofErr w:type="spellStart"/>
      <w:r>
        <w:rPr>
          <w:rtl/>
        </w:rPr>
        <w:t>ברוך־בער</w:t>
      </w:r>
      <w:proofErr w:type="spellEnd"/>
      <w:r>
        <w:rPr>
          <w:rtl/>
        </w:rPr>
        <w:t xml:space="preserve"> המספר בשיחה לתלמידיו שהציע שידוך לאדם שלא נקב בשמו – בלי ספק היה זה אמיל לחמן: “</w:t>
      </w:r>
      <w:proofErr w:type="spellStart"/>
      <w:r>
        <w:rPr>
          <w:rtl/>
        </w:rPr>
        <w:t>ושדכתיו</w:t>
      </w:r>
      <w:proofErr w:type="spellEnd"/>
      <w:r>
        <w:rPr>
          <w:rtl/>
        </w:rPr>
        <w:t xml:space="preserve"> עם [בת] איש בעל הבית חרד... הלא צדקותיו נוראות ופעולותיו כבירות מאד”. ר׳ </w:t>
      </w:r>
      <w:proofErr w:type="spellStart"/>
      <w:r>
        <w:rPr>
          <w:rtl/>
        </w:rPr>
        <w:t>ברוך־בער</w:t>
      </w:r>
      <w:proofErr w:type="spellEnd"/>
      <w:r>
        <w:rPr>
          <w:rtl/>
        </w:rPr>
        <w:t xml:space="preserve"> סיפר לתלמידיו </w:t>
      </w:r>
      <w:proofErr w:type="spellStart"/>
      <w:r>
        <w:rPr>
          <w:rtl/>
        </w:rPr>
        <w:t>ש“הרבי</w:t>
      </w:r>
      <w:proofErr w:type="spellEnd"/>
      <w:r>
        <w:rPr>
          <w:rtl/>
        </w:rPr>
        <w:t xml:space="preserve">”, ר׳ חיים </w:t>
      </w:r>
      <w:proofErr w:type="spellStart"/>
      <w:r>
        <w:rPr>
          <w:rtl/>
        </w:rPr>
        <w:t>סולובייצ׳יק</w:t>
      </w:r>
      <w:proofErr w:type="spellEnd"/>
      <w:r>
        <w:rPr>
          <w:rtl/>
        </w:rPr>
        <w:t xml:space="preserve">, כעס עליו על שהציע את השידוך, ואמר: “מה בכך שיש לו [ללחמן] מצוות... </w:t>
      </w:r>
      <w:proofErr w:type="spellStart"/>
      <w:r>
        <w:rPr>
          <w:rtl/>
        </w:rPr>
        <w:t>צריכין</w:t>
      </w:r>
      <w:proofErr w:type="spellEnd"/>
      <w:r>
        <w:rPr>
          <w:rtl/>
        </w:rPr>
        <w:t xml:space="preserve"> לדעת אם הוא כזה שיעמוד על המשמר כל ימיו כל חייו”.</w:t>
      </w:r>
    </w:p>
    <w:p w14:paraId="1CDC140F" w14:textId="046C3DE1" w:rsidR="00AB3647" w:rsidRDefault="00000000" w:rsidP="007923E9">
      <w:pPr>
        <w:spacing w:after="120" w:line="276" w:lineRule="auto"/>
        <w:ind w:firstLine="283"/>
        <w:jc w:val="both"/>
      </w:pPr>
      <w:r>
        <w:rPr>
          <w:rtl/>
        </w:rPr>
        <w:t xml:space="preserve">אין ספק שר׳ </w:t>
      </w:r>
      <w:proofErr w:type="spellStart"/>
      <w:r>
        <w:rPr>
          <w:rtl/>
        </w:rPr>
        <w:t>ברוך־בער</w:t>
      </w:r>
      <w:proofErr w:type="spellEnd"/>
      <w:r>
        <w:rPr>
          <w:rtl/>
        </w:rPr>
        <w:t xml:space="preserve"> הציע זאת כשכבר כיהן בתפקיד בולט </w:t>
      </w:r>
      <w:proofErr w:type="spellStart"/>
      <w:r>
        <w:rPr>
          <w:rtl/>
        </w:rPr>
        <w:t>בסלבודקה</w:t>
      </w:r>
      <w:proofErr w:type="spellEnd"/>
      <w:r>
        <w:rPr>
          <w:rtl/>
        </w:rPr>
        <w:t xml:space="preserve">, ועד אז כבר עבר לחמן </w:t>
      </w:r>
      <w:r>
        <w:rPr>
          <w:b/>
          <w:bCs/>
          <w:rtl/>
        </w:rPr>
        <w:t>את</w:t>
      </w:r>
      <w:r>
        <w:rPr>
          <w:rtl/>
        </w:rPr>
        <w:t xml:space="preserve"> גיל “בערך” 64! סביר שהעלה את הצעת השידוך כשלחמן בא </w:t>
      </w:r>
      <w:proofErr w:type="spellStart"/>
      <w:r>
        <w:rPr>
          <w:rtl/>
        </w:rPr>
        <w:t>לסלבודקה</w:t>
      </w:r>
      <w:proofErr w:type="spellEnd"/>
      <w:r>
        <w:rPr>
          <w:rtl/>
        </w:rPr>
        <w:t xml:space="preserve"> לבקר בישיבה, כמו שמדווח ר׳ </w:t>
      </w:r>
      <w:proofErr w:type="spellStart"/>
      <w:r>
        <w:rPr>
          <w:rtl/>
        </w:rPr>
        <w:t>יחיאל־יעקב</w:t>
      </w:r>
      <w:proofErr w:type="spellEnd"/>
      <w:r>
        <w:rPr>
          <w:rtl/>
        </w:rPr>
        <w:t xml:space="preserve"> ויינברג (המובא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לפי המאמר האלמוני </w:t>
      </w:r>
      <w:proofErr w:type="spellStart"/>
      <w:r>
        <w:rPr>
          <w:rtl/>
        </w:rPr>
        <w:t>ב“הזמן</w:t>
      </w:r>
      <w:proofErr w:type="spellEnd"/>
      <w:r>
        <w:rPr>
          <w:rtl/>
        </w:rPr>
        <w:t xml:space="preserve">” חי לחמן עד “בערך יום הולדתו השבעים”, ולכן לא נותרו לו אחרי השידוך המוצע “ימי חייו” רבים מדי שבהם נזקק “לעמוד על המשמר”. חששו של ר׳ חיים מפני זקן שיש לזכותו יותר מרבע מאה של “צדקות נוראות ומעשים עצומים” מפתיע. אפשר להבינו – אך </w:t>
      </w:r>
      <w:r>
        <w:rPr>
          <w:rtl/>
        </w:rPr>
        <w:lastRenderedPageBreak/>
        <w:t xml:space="preserve">לא עד תום – אם לחמן לא היה דתי </w:t>
      </w:r>
      <w:proofErr w:type="spellStart"/>
      <w:r>
        <w:rPr>
          <w:rtl/>
        </w:rPr>
        <w:t>בשלושים־ומשהו</w:t>
      </w:r>
      <w:proofErr w:type="spellEnd"/>
      <w:r>
        <w:rPr>
          <w:rtl/>
        </w:rPr>
        <w:t xml:space="preserve"> שנותיו הראשונות, כמו שעולה מדברי אבי המובאים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w:t>
      </w:r>
    </w:p>
    <w:p w14:paraId="41FA3E6B" w14:textId="77777777" w:rsidR="00AB3647" w:rsidRDefault="00000000" w:rsidP="007923E9">
      <w:pPr>
        <w:spacing w:after="120" w:line="276" w:lineRule="auto"/>
        <w:ind w:firstLine="283"/>
        <w:jc w:val="both"/>
      </w:pPr>
      <w:r>
        <w:rPr>
          <w:rtl/>
        </w:rPr>
        <w:t xml:space="preserve">אבל לאור כמה עובדות שאספתי, אפשר להבין את חששו של ר׳ חיים עד תום.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490" w:name="_fnr2574"/>
      <w:proofErr w:type="spellEnd"/>
      <w:r>
        <w:rPr>
          <w:rStyle w:val="a5"/>
        </w:rPr>
        <w:footnoteReference w:id="2581" w:customMarkFollows="0"/>
      </w:r>
      <w:bookmarkEnd w:id="3490"/>
      <w:r>
        <w:rPr>
          <w:rtl/>
        </w:rPr>
        <w:t xml:space="preserve"> קובע שבמהלך חצי העשור הראשון שהחל בשנת תר״ס לחמן “איבד את הונו, והתמיכה הכספית (בישיבת כנסת ישראל) כמעט פסקה”. אם זה נכון, מוזר למדי שר׳ </w:t>
      </w:r>
      <w:proofErr w:type="spellStart"/>
      <w:r>
        <w:rPr>
          <w:rtl/>
        </w:rPr>
        <w:t>ברוך־בער</w:t>
      </w:r>
      <w:proofErr w:type="spellEnd"/>
      <w:r>
        <w:rPr>
          <w:rtl/>
        </w:rPr>
        <w:t xml:space="preserve"> יציע שידוך, בוודאי עם צעירה מחוגי ליטא, למי שהתגורר בברלין ואינו עשיר עוד. אני מפקפק גם בכך שלחמן איבד את הונו, לא רק בשל גודל הסכום שהוריש לישיבת </w:t>
      </w:r>
      <w:proofErr w:type="spellStart"/>
      <w:r>
        <w:rPr>
          <w:rtl/>
        </w:rPr>
        <w:t>סלבודקה</w:t>
      </w:r>
      <w:proofErr w:type="spellEnd"/>
      <w:r>
        <w:rPr>
          <w:rtl/>
        </w:rPr>
        <w:t xml:space="preserve">, כאמור להלן, אלא משום שאילו איבד את עושרו, בוודאי היה המאמר האלמוני </w:t>
      </w:r>
      <w:proofErr w:type="spellStart"/>
      <w:r>
        <w:rPr>
          <w:rtl/>
        </w:rPr>
        <w:t>ב“הזמן</w:t>
      </w:r>
      <w:proofErr w:type="spellEnd"/>
      <w:r>
        <w:rPr>
          <w:rtl/>
        </w:rPr>
        <w:t xml:space="preserve">”, המכפיש את לחמן, מזכיר את נפילתו הכלכלית – ובדרך כלשהי מאשים בה את </w:t>
      </w:r>
      <w:proofErr w:type="spellStart"/>
      <w:r>
        <w:rPr>
          <w:rtl/>
        </w:rPr>
        <w:t>המוסרניקים</w:t>
      </w:r>
      <w:proofErr w:type="spellEnd"/>
      <w:r>
        <w:rPr>
          <w:rtl/>
        </w:rPr>
        <w:t>.</w:t>
      </w:r>
    </w:p>
    <w:p w14:paraId="383966D6" w14:textId="77777777" w:rsidR="00AB3647" w:rsidRDefault="00000000" w:rsidP="007923E9">
      <w:pPr>
        <w:spacing w:after="120" w:line="276" w:lineRule="auto"/>
        <w:ind w:firstLine="283"/>
        <w:jc w:val="both"/>
      </w:pPr>
      <w:r>
        <w:rPr>
          <w:rtl/>
        </w:rPr>
        <w:t xml:space="preserve">ספר הזיכרון ודאי צודק שתרומותיו לכנסת ישראל פחתו מאוד. גם מאמרו המקדים של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3491" w:name="_fnr2575"/>
      <w:r>
        <w:rPr>
          <w:rStyle w:val="a5"/>
        </w:rPr>
        <w:footnoteReference w:id="2582" w:customMarkFollows="0"/>
      </w:r>
      <w:bookmarkEnd w:id="3491"/>
      <w:r>
        <w:rPr>
          <w:rtl/>
        </w:rPr>
        <w:t xml:space="preserve"> מציין </w:t>
      </w:r>
      <w:proofErr w:type="spellStart"/>
      <w:r>
        <w:rPr>
          <w:rtl/>
        </w:rPr>
        <w:t>ש“התמיכה</w:t>
      </w:r>
      <w:proofErr w:type="spellEnd"/>
      <w:r>
        <w:rPr>
          <w:rtl/>
        </w:rPr>
        <w:t xml:space="preserve"> (בישיבה) פחתה במידה ניכרת” באותו עשור, אבל מייחס את הסיבה במעורפל </w:t>
      </w:r>
      <w:proofErr w:type="spellStart"/>
      <w:r>
        <w:rPr>
          <w:rtl/>
        </w:rPr>
        <w:t>ל“אירועי</w:t>
      </w:r>
      <w:proofErr w:type="spellEnd"/>
      <w:r>
        <w:rPr>
          <w:rtl/>
        </w:rPr>
        <w:t xml:space="preserve"> השעה”. לכן בוודאי הייתה סיבה אחרת לתמיכתו המופחתת של לחמן. אפשר לשער שמסיבה זו או אחרת – אולי בשל שמועות שהפיצו המשכילים הזדוניים – החל לחמן לחשוד </w:t>
      </w:r>
      <w:proofErr w:type="spellStart"/>
      <w:r>
        <w:rPr>
          <w:rtl/>
        </w:rPr>
        <w:t>שה“מוסרניקים</w:t>
      </w:r>
      <w:proofErr w:type="spellEnd"/>
      <w:r>
        <w:rPr>
          <w:rtl/>
        </w:rPr>
        <w:t>” מרמים אותו</w:t>
      </w:r>
      <w:bookmarkStart w:id="3492" w:name="_fnr2576"/>
      <w:r>
        <w:rPr>
          <w:rStyle w:val="a5"/>
        </w:rPr>
        <w:footnoteReference w:id="2583" w:customMarkFollows="0"/>
      </w:r>
      <w:bookmarkEnd w:id="3492"/>
      <w:r>
        <w:rPr>
          <w:rtl/>
        </w:rPr>
        <w:t>.</w:t>
      </w:r>
    </w:p>
    <w:p w14:paraId="0D2B0307" w14:textId="77777777" w:rsidR="00AB3647" w:rsidRDefault="00000000" w:rsidP="007923E9">
      <w:pPr>
        <w:spacing w:after="120" w:line="276" w:lineRule="auto"/>
        <w:ind w:firstLine="283"/>
        <w:jc w:val="both"/>
      </w:pPr>
      <w:r>
        <w:rPr>
          <w:rtl/>
        </w:rPr>
        <w:t xml:space="preserve">אפשר לחשב שביקורו של לחמן </w:t>
      </w:r>
      <w:proofErr w:type="spellStart"/>
      <w:r>
        <w:rPr>
          <w:rtl/>
        </w:rPr>
        <w:t>בסלבודקה</w:t>
      </w:r>
      <w:proofErr w:type="spellEnd"/>
      <w:r>
        <w:rPr>
          <w:rtl/>
        </w:rPr>
        <w:t xml:space="preserve">, שר׳ </w:t>
      </w:r>
      <w:proofErr w:type="spellStart"/>
      <w:r>
        <w:rPr>
          <w:rtl/>
        </w:rPr>
        <w:t>יחיאל־יעקב</w:t>
      </w:r>
      <w:proofErr w:type="spellEnd"/>
      <w:r>
        <w:rPr>
          <w:rtl/>
        </w:rPr>
        <w:t xml:space="preserve"> ויינברג ידע עליו אך לא היה עד לו, התרחש לאחר שר׳ </w:t>
      </w:r>
      <w:proofErr w:type="spellStart"/>
      <w:r>
        <w:rPr>
          <w:rtl/>
        </w:rPr>
        <w:t>יחיאל־יעקב</w:t>
      </w:r>
      <w:proofErr w:type="spellEnd"/>
      <w:r>
        <w:rPr>
          <w:rtl/>
        </w:rPr>
        <w:t xml:space="preserve"> עזב את </w:t>
      </w:r>
      <w:proofErr w:type="spellStart"/>
      <w:r>
        <w:rPr>
          <w:rtl/>
        </w:rPr>
        <w:t>סלבודקה</w:t>
      </w:r>
      <w:proofErr w:type="spellEnd"/>
      <w:r>
        <w:rPr>
          <w:rtl/>
        </w:rPr>
        <w:t xml:space="preserve"> לישיבת </w:t>
      </w:r>
      <w:proofErr w:type="spellStart"/>
      <w:r>
        <w:rPr>
          <w:rtl/>
        </w:rPr>
        <w:t>מיר</w:t>
      </w:r>
      <w:proofErr w:type="spellEnd"/>
      <w:r>
        <w:rPr>
          <w:rtl/>
        </w:rPr>
        <w:t xml:space="preserve">, אחרי פסח תרס״ה, ולפני שהגיע רבנו – שמעולם לא הזכיר שראה את הנדבן בישיבה – אחרי פסח תרס״ו. לאחר שביקר </w:t>
      </w:r>
      <w:proofErr w:type="spellStart"/>
      <w:r>
        <w:rPr>
          <w:rtl/>
        </w:rPr>
        <w:t>בסלבודקה</w:t>
      </w:r>
      <w:proofErr w:type="spellEnd"/>
      <w:r>
        <w:rPr>
          <w:rtl/>
        </w:rPr>
        <w:t xml:space="preserve"> באחד מ־12 החודשים האלה, חידש לחמן, שהתחרט, את תמיכתו בכנסת ישראל, ור׳ </w:t>
      </w:r>
      <w:proofErr w:type="spellStart"/>
      <w:r>
        <w:rPr>
          <w:rtl/>
        </w:rPr>
        <w:t>ברוך־בער</w:t>
      </w:r>
      <w:proofErr w:type="spellEnd"/>
      <w:r>
        <w:rPr>
          <w:rtl/>
        </w:rPr>
        <w:t xml:space="preserve"> הרגיש שר׳ עובדיה ראוי כעת לשידוך עם [בת] “איש בעל הבית חרד”. מאחר שהצעת השידוך באה אחרי הפסקה של כמה שנים בתמיכתו של לחמן בתורה, חששו של ר׳ חיים שלא “יעמוד על המשמר” כל שארית חייו התבסס על עובדה מן העבר הקרוב</w:t>
      </w:r>
      <w:bookmarkStart w:id="3493" w:name="_fnr2577"/>
      <w:r>
        <w:rPr>
          <w:rStyle w:val="a5"/>
        </w:rPr>
        <w:footnoteReference w:id="2584" w:customMarkFollows="0"/>
      </w:r>
      <w:bookmarkEnd w:id="3493"/>
      <w:r>
        <w:rPr>
          <w:rtl/>
        </w:rPr>
        <w:t>.</w:t>
      </w:r>
    </w:p>
    <w:p w14:paraId="461FCA81" w14:textId="77777777" w:rsidR="00AB3647" w:rsidRDefault="00000000" w:rsidP="007923E9">
      <w:pPr>
        <w:spacing w:after="120" w:line="276" w:lineRule="auto"/>
        <w:ind w:firstLine="283"/>
        <w:jc w:val="both"/>
      </w:pPr>
      <w:r>
        <w:rPr>
          <w:rtl/>
        </w:rPr>
        <w:t xml:space="preserve">הסיבה שלא נאמרה, שבגללה דחה ר׳ </w:t>
      </w:r>
      <w:proofErr w:type="spellStart"/>
      <w:r>
        <w:rPr>
          <w:rtl/>
        </w:rPr>
        <w:t>לייזר־יעקב</w:t>
      </w:r>
      <w:proofErr w:type="spellEnd"/>
      <w:r>
        <w:rPr>
          <w:rtl/>
        </w:rPr>
        <w:t xml:space="preserve"> את בקשת ידה של בתו לפני 10 שנים, לא הייתה בהכרח חשש שמא המחזר לא “יעמוד על המשמר”, אלא פשוט הפרש הגילים בין בני הזוג – עניין שלא נחשב מכשול בחברה היהודית של גרמניה</w:t>
      </w:r>
      <w:bookmarkStart w:id="3494" w:name="_fnr2578"/>
      <w:r>
        <w:rPr>
          <w:rStyle w:val="a5"/>
        </w:rPr>
        <w:footnoteReference w:id="2585" w:customMarkFollows="0"/>
      </w:r>
      <w:bookmarkEnd w:id="3494"/>
      <w:r>
        <w:rPr>
          <w:rtl/>
        </w:rPr>
        <w:t xml:space="preserve"> כפי שנחשב בקרב יהודי מזרח אירופה. חתנו של ר׳ </w:t>
      </w:r>
      <w:proofErr w:type="spellStart"/>
      <w:r>
        <w:rPr>
          <w:rtl/>
        </w:rPr>
        <w:t>לייזר־יעקב</w:t>
      </w:r>
      <w:proofErr w:type="spellEnd"/>
      <w:r>
        <w:rPr>
          <w:rtl/>
        </w:rPr>
        <w:t xml:space="preserve"> </w:t>
      </w:r>
      <w:proofErr w:type="spellStart"/>
      <w:r>
        <w:rPr>
          <w:rtl/>
        </w:rPr>
        <w:t xml:space="preserve">חווס</w:t>
      </w:r>
      <w:proofErr w:type="spellEnd"/>
      <w:r>
        <w:rPr>
          <w:rtl/>
        </w:rPr>
        <w:t xml:space="preserve">, ר׳ נפתלי </w:t>
      </w:r>
      <w:proofErr w:type="spellStart"/>
      <w:r>
        <w:rPr>
          <w:rtl/>
        </w:rPr>
        <w:t>טרופ</w:t>
      </w:r>
      <w:proofErr w:type="spellEnd"/>
      <w:r>
        <w:rPr>
          <w:rtl/>
        </w:rPr>
        <w:t xml:space="preserve">, היה צעיר מלחמן ב־30 שנה! ר׳ </w:t>
      </w:r>
      <w:proofErr w:type="spellStart"/>
      <w:r>
        <w:rPr>
          <w:rtl/>
        </w:rPr>
        <w:t>לייזר־יעקב</w:t>
      </w:r>
      <w:proofErr w:type="spellEnd"/>
      <w:r>
        <w:rPr>
          <w:rtl/>
        </w:rPr>
        <w:t xml:space="preserve"> היה גם מסוג האנשים שהיו מתנגדים בכלל לכך שבתם תינשא לבית עשיר.</w:t>
      </w:r>
      <w:bookmarkStart w:id="3495" w:name="_fnr2579"/>
      <w:r>
        <w:rPr>
          <w:rStyle w:val="a5"/>
        </w:rPr>
        <w:footnoteReference w:id="2586" w:customMarkFollows="0"/>
      </w:r>
      <w:bookmarkEnd w:id="3495"/>
    </w:p>
    <w:p w14:paraId="4CA8A216" w14:textId="77777777" w:rsidR="00AB3647" w:rsidRDefault="00000000" w:rsidP="007923E9">
      <w:pPr>
        <w:spacing w:after="120" w:line="276" w:lineRule="auto"/>
        <w:ind w:firstLine="283"/>
        <w:jc w:val="both"/>
      </w:pPr>
      <w:r>
        <w:rPr>
          <w:rtl/>
        </w:rPr>
        <w:lastRenderedPageBreak/>
        <w:t xml:space="preserve">חששותיו של ר׳ חיים שלחמן יחדל “לעמוד על המשמר” לא קלעו בדיוק למטרה, אבל היו קרובים אליה. במותו אכן הניח לחמן בצוואתו “קרוב למיליון מרקים לישיבת </w:t>
      </w:r>
      <w:proofErr w:type="spellStart"/>
      <w:r>
        <w:rPr>
          <w:rtl/>
        </w:rPr>
        <w:t>סלבודקה</w:t>
      </w:r>
      <w:proofErr w:type="spellEnd"/>
      <w:r>
        <w:rPr>
          <w:rtl/>
        </w:rPr>
        <w:t>”, אבל הדבר לא יצא אל הפועל! השווה כץ, “תנועת המוסר”, כרך ג</w:t>
      </w:r>
      <w:bookmarkStart w:id="3496" w:name="_fnr2580"/>
      <w:r>
        <w:rPr>
          <w:rStyle w:val="a5"/>
        </w:rPr>
        <w:footnoteReference w:id="2587" w:customMarkFollows="0"/>
      </w:r>
      <w:bookmarkEnd w:id="3496"/>
      <w:r>
        <w:rPr>
          <w:rtl/>
        </w:rPr>
        <w:t xml:space="preserve">, שם נאמר </w:t>
      </w:r>
      <w:proofErr w:type="spellStart"/>
      <w:r>
        <w:rPr>
          <w:rtl/>
        </w:rPr>
        <w:t>ש“ר</w:t>
      </w:r>
      <w:proofErr w:type="spellEnd"/>
      <w:r>
        <w:rPr>
          <w:rtl/>
        </w:rPr>
        <w:t xml:space="preserve">׳ </w:t>
      </w:r>
      <w:proofErr w:type="spellStart"/>
      <w:r>
        <w:rPr>
          <w:rtl/>
        </w:rPr>
        <w:t>משה־מרדכי</w:t>
      </w:r>
      <w:proofErr w:type="spellEnd"/>
      <w:r>
        <w:rPr>
          <w:rtl/>
        </w:rPr>
        <w:t xml:space="preserve"> נסע לגרמניה לקבל את הירושה, </w:t>
      </w:r>
      <w:r>
        <w:rPr>
          <w:b/>
          <w:bCs/>
          <w:rtl/>
        </w:rPr>
        <w:t>אבל היורשים ערערו על הצוואה והצליחו להעביר את כל העיזבון לידיהם</w:t>
      </w:r>
      <w:r>
        <w:rPr>
          <w:rtl/>
        </w:rPr>
        <w:t xml:space="preserve"> (ההדגשה שלי)”.</w:t>
      </w:r>
    </w:p>
    <w:p w14:paraId="7C5EFD0E" w14:textId="77777777" w:rsidR="00AB3647" w:rsidRDefault="00000000" w:rsidP="007923E9">
      <w:pPr>
        <w:spacing w:after="120" w:line="276" w:lineRule="auto"/>
        <w:ind w:firstLine="283"/>
        <w:jc w:val="both"/>
      </w:pPr>
      <w:r>
        <w:rPr>
          <w:rtl/>
        </w:rPr>
        <w:t>ר׳ יחיאל פר</w:t>
      </w:r>
      <w:bookmarkStart w:id="3497" w:name="_fnr2581"/>
      <w:r>
        <w:rPr>
          <w:rStyle w:val="a5"/>
        </w:rPr>
        <w:footnoteReference w:id="2588" w:customMarkFollows="0"/>
      </w:r>
      <w:bookmarkEnd w:id="3497"/>
      <w:r>
        <w:rPr>
          <w:rtl/>
        </w:rPr>
        <w:t xml:space="preserve"> מסר גרסה אחרת של מה שאירע. תחילה, כשנפתחה הצוואה, טענה אחותו של לחמן שאחיה היה מעורער בנפשו, ושנוכלים הטעו אותו לחשוב שקיים בליטא בית ספר בשם ישיבת </w:t>
      </w:r>
      <w:proofErr w:type="spellStart"/>
      <w:r>
        <w:rPr>
          <w:rtl/>
        </w:rPr>
        <w:t>סלבודקה</w:t>
      </w:r>
      <w:proofErr w:type="spellEnd"/>
      <w:r>
        <w:rPr>
          <w:rtl/>
        </w:rPr>
        <w:t xml:space="preserve">, בעוד שלמעשה לא היה בית ספר כזה. המאמר האלמוני </w:t>
      </w:r>
      <w:proofErr w:type="spellStart"/>
      <w:r>
        <w:rPr>
          <w:rtl/>
        </w:rPr>
        <w:t>ב“הזמן</w:t>
      </w:r>
      <w:proofErr w:type="spellEnd"/>
      <w:r>
        <w:rPr>
          <w:rtl/>
        </w:rPr>
        <w:t xml:space="preserve">” [הבלתי מהימן], שנכתב </w:t>
      </w:r>
      <w:proofErr w:type="spellStart"/>
      <w:r>
        <w:rPr>
          <w:rtl/>
        </w:rPr>
        <w:t>אחד־עשר</w:t>
      </w:r>
      <w:proofErr w:type="spellEnd"/>
      <w:r>
        <w:rPr>
          <w:rtl/>
        </w:rPr>
        <w:t xml:space="preserve"> חודש לפני מות לחמן, תומך במקרה בטענתה המאוחרת של האחות שחל שינוי במצבו הנפשי של אחיה. נאמר בו: “בשנותיו האחרונות ירד ענן של עצבות על רוחו של לחמן; האיש הטוב ורב הצדקה הזה נעשה מלנכולי, חולה בגוף ובנפש”.</w:t>
      </w:r>
    </w:p>
    <w:p w14:paraId="631F04D6" w14:textId="77777777" w:rsidR="00AB3647" w:rsidRDefault="00000000" w:rsidP="007923E9">
      <w:pPr>
        <w:spacing w:after="120" w:line="276" w:lineRule="auto"/>
        <w:ind w:firstLine="283"/>
        <w:jc w:val="both"/>
      </w:pPr>
      <w:r>
        <w:rPr>
          <w:rtl/>
        </w:rPr>
        <w:t>בית המשפט הגרמני פנה למִנהל מחוז קובנה לברר אם קיים שם בית ספר יהודי. מאחר שהישיבה התנהלה שלא כחוק</w:t>
      </w:r>
      <w:bookmarkStart w:id="3498" w:name="_fnr2582"/>
      <w:r>
        <w:rPr>
          <w:rStyle w:val="a5"/>
        </w:rPr>
        <w:footnoteReference w:id="2589" w:customMarkFollows="0"/>
      </w:r>
      <w:bookmarkEnd w:id="3498"/>
      <w:r>
        <w:rPr>
          <w:rtl/>
        </w:rPr>
        <w:t xml:space="preserve">, נתן ר׳ </w:t>
      </w:r>
      <w:proofErr w:type="spellStart"/>
      <w:r>
        <w:rPr>
          <w:rtl/>
        </w:rPr>
        <w:t>משה־מרדכי</w:t>
      </w:r>
      <w:proofErr w:type="spellEnd"/>
      <w:r>
        <w:rPr>
          <w:rtl/>
        </w:rPr>
        <w:t xml:space="preserve"> אפשטיין שוחד למפקד המשטרה שבא לערוך את הבירור, ואמר לו: “אם ישאל מישהו על ישיבה </w:t>
      </w:r>
      <w:proofErr w:type="spellStart"/>
      <w:r>
        <w:rPr>
          <w:rtl/>
        </w:rPr>
        <w:t>בסלבודקה</w:t>
      </w:r>
      <w:proofErr w:type="spellEnd"/>
      <w:r>
        <w:rPr>
          <w:rtl/>
        </w:rPr>
        <w:t xml:space="preserve">, הכחש את קיומה”; וכך בדיוק עשה. בית המשפט הגרמני קיבל את דברי משטרת קובנה וביטל את צוואת לחמן. טענתו של כץ שר׳ </w:t>
      </w:r>
      <w:proofErr w:type="spellStart"/>
      <w:r>
        <w:rPr>
          <w:rtl/>
        </w:rPr>
        <w:t>משה־מרדכי</w:t>
      </w:r>
      <w:proofErr w:type="spellEnd"/>
      <w:r>
        <w:rPr>
          <w:rtl/>
        </w:rPr>
        <w:t xml:space="preserve"> אפשטיין נסע לברלין “לקבל את הירושה” עשויה להיות נכונה – אבל לא לפני שהיורשים “ערערו” עליה. ר׳ </w:t>
      </w:r>
      <w:proofErr w:type="spellStart"/>
      <w:r>
        <w:rPr>
          <w:rtl/>
        </w:rPr>
        <w:t>משה־מרדכי</w:t>
      </w:r>
      <w:proofErr w:type="spellEnd"/>
      <w:r>
        <w:rPr>
          <w:rtl/>
        </w:rPr>
        <w:t xml:space="preserve"> נסע לברלין רק אחר כך, כשהבין שהחקירה המשטרתית נועדה לבירור צוואת לחמן. למרבה הצער לא הועילה נסיעתו לברלין. כפי שמסכם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 “הצדיק ר׳ עובדיה לחמן, משענתה האיתנה של הישיבה, נפטר ולא הוריש לישיבה אלא את הזיכרון החי של שמו המכובד ואת רגשי ההודיה והברכה על מפעלי הצדקה המופלאים שלו, שלא יישכחו לעולם”</w:t>
      </w:r>
      <w:bookmarkStart w:id="3499" w:name="_fnr2583"/>
      <w:r>
        <w:rPr>
          <w:rStyle w:val="a5"/>
        </w:rPr>
        <w:footnoteReference w:id="2590" w:customMarkFollows="0"/>
      </w:r>
      <w:bookmarkEnd w:id="3499"/>
      <w:r>
        <w:rPr>
          <w:rtl/>
        </w:rPr>
        <w:t>.</w:t>
      </w:r>
    </w:p>
    <w:p w14:paraId="38095E3C" w14:textId="77777777" w:rsidR="00AB3647" w:rsidRDefault="00000000" w:rsidP="007923E9">
      <w:pPr>
        <w:pStyle w:val="4"/>
        <w:spacing w:line="276" w:lineRule="auto"/>
      </w:pPr>
      <w:r>
        <w:t>· הפסקה הרביעית ·</w:t>
      </w:r>
    </w:p>
    <w:p w14:paraId="5A70EB21" w14:textId="77777777" w:rsidR="00AB3647" w:rsidRDefault="00000000" w:rsidP="007923E9">
      <w:pPr>
        <w:pStyle w:val="5"/>
        <w:spacing w:line="276" w:lineRule="auto"/>
      </w:pPr>
      <w:r>
        <w:t xml:space="preserve">מפקח בתי הספר הרוסי מציין את ניקיונה של </w:t>
      </w:r>
      <w:proofErr w:type="spellStart"/>
      <w:r>
        <w:t>גרובין</w:t>
      </w:r>
      <w:proofErr w:type="spellEnd"/>
    </w:p>
    <w:p w14:paraId="38F927D5"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סיפר אבי פרט קטן זה: מפקחים מטעם משרד ההשכלה הרוסי ביקרו </w:t>
      </w:r>
      <w:proofErr w:type="spellStart"/>
      <w:r>
        <w:rPr>
          <w:rtl/>
        </w:rPr>
        <w:t>בגרובין</w:t>
      </w:r>
      <w:proofErr w:type="spellEnd"/>
      <w:r>
        <w:rPr>
          <w:rtl/>
        </w:rPr>
        <w:t xml:space="preserve">, ואחד מהם ציין בדוח כתוב שבכל ניסיונו המקצועי בבתי ספר היה זה בית הספר היחיד שמעולם לא מצא בו כתובות על קירות בית הכיסא. </w:t>
      </w:r>
      <w:proofErr w:type="spellStart"/>
      <w:r>
        <w:rPr>
          <w:rtl/>
        </w:rPr>
        <w:t>ב“הצפירה</w:t>
      </w:r>
      <w:proofErr w:type="spellEnd"/>
      <w:r>
        <w:rPr>
          <w:rtl/>
        </w:rPr>
        <w:t>”</w:t>
      </w:r>
      <w:bookmarkStart w:id="3500" w:name="_fnr2584"/>
      <w:r>
        <w:rPr>
          <w:rStyle w:val="a5"/>
        </w:rPr>
        <w:footnoteReference w:id="2591" w:customMarkFollows="0"/>
      </w:r>
      <w:bookmarkEnd w:id="3500"/>
      <w:r>
        <w:rPr>
          <w:rtl/>
        </w:rPr>
        <w:t xml:space="preserve"> נאמר: “המפקח הראשי, היושב בעיר </w:t>
      </w:r>
      <w:proofErr w:type="spellStart"/>
      <w:r>
        <w:rPr>
          <w:rtl/>
        </w:rPr>
        <w:t>דורפט</w:t>
      </w:r>
      <w:proofErr w:type="spellEnd"/>
      <w:r>
        <w:rPr>
          <w:rtl/>
        </w:rPr>
        <w:t xml:space="preserve">, מבקר בבית הספר מדי שנה כדי לבחון את התלמידים במקצועות החול מטעם הממשלה”. יש להבין שהממשלה הרוסית לא ביקשה </w:t>
      </w:r>
      <w:r>
        <w:rPr>
          <w:rtl/>
        </w:rPr>
        <w:lastRenderedPageBreak/>
        <w:t>להבטיח שאזרחיה היהודים יזכו להשכלה טובה, אלא להשגיח על בתי הגידול למהפכנים – בתי הספר</w:t>
      </w:r>
      <w:bookmarkStart w:id="3501" w:name="_fnr2585"/>
      <w:r>
        <w:rPr>
          <w:rStyle w:val="a5"/>
        </w:rPr>
        <w:footnoteReference w:id="2592" w:customMarkFollows="0"/>
      </w:r>
      <w:bookmarkEnd w:id="3501"/>
      <w:r>
        <w:rPr>
          <w:rtl/>
        </w:rPr>
        <w:t>.</w:t>
      </w:r>
    </w:p>
    <w:p w14:paraId="4979DDDC"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3502" w:name="_fnr2586"/>
      <w:r>
        <w:rPr>
          <w:rStyle w:val="a5"/>
        </w:rPr>
        <w:footnoteReference w:id="2593" w:customMarkFollows="0"/>
      </w:r>
      <w:bookmarkEnd w:id="3502"/>
      <w:r>
        <w:rPr>
          <w:rtl/>
        </w:rPr>
        <w:t xml:space="preserve"> סיפור ששמע מר׳ ישראל </w:t>
      </w:r>
      <w:proofErr w:type="spellStart"/>
      <w:r>
        <w:rPr>
          <w:rtl/>
        </w:rPr>
        <w:t>סטאם</w:t>
      </w:r>
      <w:proofErr w:type="spellEnd"/>
      <w:r>
        <w:rPr>
          <w:rtl/>
        </w:rPr>
        <w:t xml:space="preserve"> על </w:t>
      </w:r>
      <w:proofErr w:type="spellStart"/>
      <w:r>
        <w:rPr>
          <w:rtl/>
        </w:rPr>
        <w:t>אמו</w:t>
      </w:r>
      <w:proofErr w:type="spellEnd"/>
      <w:r>
        <w:rPr>
          <w:rtl/>
        </w:rPr>
        <w:t xml:space="preserve"> של תלמיד מבית עשיר </w:t>
      </w:r>
      <w:proofErr w:type="spellStart"/>
      <w:r>
        <w:rPr>
          <w:rtl/>
        </w:rPr>
        <w:t>בביאליסטוק</w:t>
      </w:r>
      <w:proofErr w:type="spellEnd"/>
      <w:r>
        <w:rPr>
          <w:rtl/>
        </w:rPr>
        <w:t xml:space="preserve">, שבאה לבקר את בנה </w:t>
      </w:r>
      <w:proofErr w:type="spellStart"/>
      <w:r>
        <w:rPr>
          <w:rtl/>
        </w:rPr>
        <w:t>בגרובין</w:t>
      </w:r>
      <w:proofErr w:type="spellEnd"/>
      <w:r>
        <w:rPr>
          <w:rtl/>
        </w:rPr>
        <w:t xml:space="preserve">. לתדהמתה מצאה אותו מטאטא את רצפת בית המדרש. היא סיפרה </w:t>
      </w:r>
      <w:proofErr w:type="spellStart"/>
      <w:r>
        <w:rPr>
          <w:rtl/>
        </w:rPr>
        <w:t>לר</w:t>
      </w:r>
      <w:proofErr w:type="spellEnd"/>
      <w:r>
        <w:rPr>
          <w:rtl/>
        </w:rPr>
        <w:t xml:space="preserve">׳ </w:t>
      </w:r>
      <w:proofErr w:type="spellStart"/>
      <w:r>
        <w:rPr>
          <w:rtl/>
        </w:rPr>
        <w:t>שמחה־זיסל</w:t>
      </w:r>
      <w:proofErr w:type="spellEnd"/>
      <w:r>
        <w:rPr>
          <w:rtl/>
        </w:rPr>
        <w:t xml:space="preserve"> עד כמה הדבר מכעיס אותה: בביתה אפילו היא עצמה אינה מטאטאת את הרצפה אלא משרתת, וכאן, במקום שאליו נשלח בנה ללמוד, הוא עושה עבודה שחורה ושפלה כזאת. הסבא מקלם השיב: “</w:t>
      </w:r>
      <w:proofErr w:type="spellStart"/>
      <w:r>
        <w:rPr>
          <w:rtl/>
        </w:rPr>
        <w:t>וואס</w:t>
      </w:r>
      <w:proofErr w:type="spellEnd"/>
      <w:r>
        <w:rPr>
          <w:rtl/>
        </w:rPr>
        <w:t xml:space="preserve"> </w:t>
      </w:r>
      <w:proofErr w:type="spellStart"/>
      <w:r>
        <w:rPr>
          <w:rtl/>
        </w:rPr>
        <w:t>קעהרט</w:t>
      </w:r>
      <w:proofErr w:type="spellEnd"/>
      <w:r>
        <w:rPr>
          <w:rtl/>
        </w:rPr>
        <w:t xml:space="preserve"> </w:t>
      </w:r>
      <w:proofErr w:type="spellStart"/>
      <w:r>
        <w:rPr>
          <w:rtl/>
        </w:rPr>
        <w:t>אויס</w:t>
      </w:r>
      <w:proofErr w:type="spellEnd"/>
      <w:r>
        <w:rPr>
          <w:rtl/>
        </w:rPr>
        <w:t xml:space="preserve"> דא [מי שמטאטא כאן] </w:t>
      </w:r>
      <w:proofErr w:type="spellStart"/>
      <w:r>
        <w:rPr>
          <w:rtl/>
        </w:rPr>
        <w:t>וועט</w:t>
      </w:r>
      <w:proofErr w:type="spellEnd"/>
      <w:r>
        <w:rPr>
          <w:rtl/>
        </w:rPr>
        <w:t xml:space="preserve"> ניט </w:t>
      </w:r>
      <w:proofErr w:type="spellStart"/>
      <w:r>
        <w:rPr>
          <w:rtl/>
        </w:rPr>
        <w:t>איבערקעהרען</w:t>
      </w:r>
      <w:proofErr w:type="spellEnd"/>
      <w:r>
        <w:rPr>
          <w:rtl/>
        </w:rPr>
        <w:t xml:space="preserve"> [לא יהפוך] את העולם” – משחק מילים על הפועל היידי “</w:t>
      </w:r>
      <w:proofErr w:type="spellStart"/>
      <w:r>
        <w:rPr>
          <w:rtl/>
        </w:rPr>
        <w:t>קעהרען</w:t>
      </w:r>
      <w:proofErr w:type="spellEnd"/>
      <w:r>
        <w:rPr>
          <w:rtl/>
        </w:rPr>
        <w:t xml:space="preserve">”, שפירושו הן “לטאטא” והן “להפוך”. ר׳ </w:t>
      </w:r>
      <w:proofErr w:type="spellStart"/>
      <w:r>
        <w:rPr>
          <w:rtl/>
        </w:rPr>
        <w:t>שמחה־זיסל</w:t>
      </w:r>
      <w:proofErr w:type="spellEnd"/>
      <w:r>
        <w:rPr>
          <w:rtl/>
        </w:rPr>
        <w:t xml:space="preserve"> אמר לאם שעליה להתעלם</w:t>
      </w:r>
      <w:r>
        <w:t xml:space="preserve"> </w:t>
      </w:r>
      <w:r>
        <w:rPr>
          <w:rtl/>
        </w:rPr>
        <w:t xml:space="preserve">מזוטות כאלה, ולשמוח על כך שבזכות החינוך שבנה מקבל </w:t>
      </w:r>
      <w:proofErr w:type="spellStart"/>
      <w:r>
        <w:rPr>
          <w:rtl/>
        </w:rPr>
        <w:t>בגרובין</w:t>
      </w:r>
      <w:proofErr w:type="spellEnd"/>
      <w:r>
        <w:rPr>
          <w:rtl/>
        </w:rPr>
        <w:t xml:space="preserve"> לא יהיה מהפכן.</w:t>
      </w:r>
    </w:p>
    <w:p w14:paraId="634125B3" w14:textId="77777777" w:rsidR="00AB3647" w:rsidRDefault="00000000" w:rsidP="007923E9">
      <w:pPr>
        <w:spacing w:after="120" w:line="276" w:lineRule="auto"/>
        <w:ind w:firstLine="283"/>
        <w:jc w:val="both"/>
      </w:pPr>
      <w:r>
        <w:rPr>
          <w:rtl/>
        </w:rPr>
        <w:t xml:space="preserve">ר׳ ישראל </w:t>
      </w:r>
      <w:proofErr w:type="spellStart"/>
      <w:r>
        <w:rPr>
          <w:rtl/>
        </w:rPr>
        <w:t>סטאם</w:t>
      </w:r>
      <w:proofErr w:type="spellEnd"/>
      <w:r>
        <w:rPr>
          <w:rtl/>
        </w:rPr>
        <w:t xml:space="preserve"> למד אצל תלמיד </w:t>
      </w:r>
      <w:proofErr w:type="spellStart"/>
      <w:r>
        <w:rPr>
          <w:rtl/>
        </w:rPr>
        <w:t>גרובין</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w:t>
      </w:r>
      <w:bookmarkStart w:id="3503" w:name="_fnr2587"/>
      <w:proofErr w:type="spellEnd"/>
      <w:r>
        <w:rPr>
          <w:rStyle w:val="a5"/>
        </w:rPr>
        <w:footnoteReference w:id="2594" w:customMarkFollows="0"/>
      </w:r>
      <w:bookmarkEnd w:id="3503"/>
      <w:r>
        <w:rPr>
          <w:rtl/>
        </w:rPr>
        <w:t xml:space="preserve">. לאחר שנישא והתיישב </w:t>
      </w:r>
      <w:proofErr w:type="spellStart"/>
      <w:r>
        <w:rPr>
          <w:rtl/>
        </w:rPr>
        <w:t>בקלם</w:t>
      </w:r>
      <w:proofErr w:type="spellEnd"/>
      <w:r>
        <w:rPr>
          <w:rtl/>
        </w:rPr>
        <w:t xml:space="preserve"> למד בתלמוד תורה אצל ר׳ </w:t>
      </w:r>
      <w:proofErr w:type="spellStart"/>
      <w:r>
        <w:rPr>
          <w:rtl/>
        </w:rPr>
        <w:t>שמחה־זיסל</w:t>
      </w:r>
      <w:proofErr w:type="spellEnd"/>
      <w:r>
        <w:rPr>
          <w:rtl/>
        </w:rPr>
        <w:t xml:space="preserve"> זיו זמן קצר לפני פטירתו, ואחר כך אצל ממשיכיו. בנו של ר׳ </w:t>
      </w:r>
      <w:proofErr w:type="spellStart"/>
      <w:r>
        <w:rPr>
          <w:rtl/>
        </w:rPr>
        <w:t>שמחה־זיסל</w:t>
      </w:r>
      <w:proofErr w:type="spellEnd"/>
      <w:r>
        <w:rPr>
          <w:rtl/>
        </w:rPr>
        <w:t xml:space="preserve">, ר׳ </w:t>
      </w:r>
      <w:proofErr w:type="spellStart"/>
      <w:r>
        <w:rPr>
          <w:rtl/>
        </w:rPr>
        <w:t>נחום־זאב</w:t>
      </w:r>
      <w:proofErr w:type="spellEnd"/>
      <w:r>
        <w:rPr>
          <w:rtl/>
        </w:rPr>
        <w:t xml:space="preserve">, ציווה לפני מותו שרק הרב </w:t>
      </w:r>
      <w:proofErr w:type="spellStart"/>
      <w:r>
        <w:rPr>
          <w:rtl/>
        </w:rPr>
        <w:t>סטאם</w:t>
      </w:r>
      <w:proofErr w:type="spellEnd"/>
      <w:r>
        <w:rPr>
          <w:rtl/>
        </w:rPr>
        <w:t xml:space="preserve"> יספידו</w:t>
      </w:r>
      <w:bookmarkStart w:id="3504" w:name="_fnr2588"/>
      <w:r>
        <w:rPr>
          <w:rStyle w:val="a5"/>
        </w:rPr>
        <w:footnoteReference w:id="2595" w:customMarkFollows="0"/>
      </w:r>
      <w:bookmarkEnd w:id="3504"/>
      <w:r>
        <w:rPr>
          <w:rtl/>
        </w:rPr>
        <w:t>. כץ, “תנועת המוסר”, כרך ב</w:t>
      </w:r>
      <w:bookmarkStart w:id="3505" w:name="_fnr2589"/>
      <w:r>
        <w:rPr>
          <w:rStyle w:val="a5"/>
        </w:rPr>
        <w:footnoteReference w:id="2596" w:customMarkFollows="0"/>
      </w:r>
      <w:bookmarkEnd w:id="3505"/>
      <w:r>
        <w:rPr>
          <w:rtl/>
        </w:rPr>
        <w:t xml:space="preserve">, כותב שר׳ </w:t>
      </w:r>
      <w:proofErr w:type="spellStart"/>
      <w:r>
        <w:rPr>
          <w:rtl/>
        </w:rPr>
        <w:t>נחום־זאב</w:t>
      </w:r>
      <w:proofErr w:type="spellEnd"/>
      <w:r>
        <w:rPr>
          <w:rtl/>
        </w:rPr>
        <w:t xml:space="preserve"> ביקש שבהספד ייאמר שבח אחד בלבד – “היה לו הרצון להתקרב לאמונה”.</w:t>
      </w:r>
    </w:p>
    <w:bookmarkStart w:id="3506" w:name="b3_excZ"/>
    <w:p w14:paraId="555029A1" w14:textId="77777777" w:rsidR="00AB3647" w:rsidRDefault="00000000" w:rsidP="007923E9">
      <w:pPr>
        <w:pStyle w:val="3"/>
        <w:spacing w:line="276" w:lineRule="auto"/>
      </w:pPr>
      <w:r>
        <w:lastRenderedPageBreak/>
        <w:fldChar w:fldCharType="begin" w:dirty="true"/>
      </w:r>
      <w:r>
        <w:rPr>
          <w:rtl w:val="0"/>
        </w:rPr>
        <w:instrText>HYPERLINK \l "b3_note111</w:instrText>
      </w:r>
      <w:r>
        <w:instrText>"</w:instrText>
      </w:r>
      <w:r>
        <w:fldChar w:fldCharType="separate"/>
      </w:r>
      <w:r>
        <w:t xml:space="preserve">נספח </w:t>
      </w:r>
      <w:proofErr w:type="spellStart"/>
      <w:r>
        <w:t>כו</w:t>
      </w:r>
      <w:proofErr w:type="spellEnd"/>
      <w:r>
        <w:fldChar w:fldCharType="end"/>
      </w:r>
      <w:bookmarkEnd w:id="3506"/>
    </w:p>
    <w:p w14:paraId="7F59EB03" w14:textId="77777777" w:rsidR="00AB3647" w:rsidRDefault="00000000" w:rsidP="007923E9">
      <w:pPr>
        <w:pStyle w:val="af"/>
        <w:spacing w:line="276" w:lineRule="auto"/>
      </w:pPr>
      <w:r>
        <w:t xml:space="preserve">כיצד פירשו ר׳ ישראל </w:t>
      </w:r>
      <w:proofErr w:type="spellStart"/>
      <w:r>
        <w:t>סלנטר</w:t>
      </w:r>
      <w:proofErr w:type="spellEnd"/>
      <w:r>
        <w:t xml:space="preserve"> ור׳ לייב החסיד מקלם שרפות יוצאות דופן; כיצד התייחס רבנו לדיונים על הגולם ועל דיבוקים; ועל אמונות טפלות</w:t>
      </w:r>
    </w:p>
    <w:p w14:paraId="3799D703" w14:textId="77777777" w:rsidR="00AB3647" w:rsidRDefault="00000000" w:rsidP="007923E9">
      <w:pPr>
        <w:pStyle w:val="4"/>
        <w:spacing w:line="276" w:lineRule="auto"/>
      </w:pPr>
      <w:r>
        <w:t>· הפסקה הראשונה ·</w:t>
      </w:r>
    </w:p>
    <w:p w14:paraId="23DA70EC" w14:textId="77777777" w:rsidR="00AB3647" w:rsidRDefault="00000000" w:rsidP="007923E9">
      <w:pPr>
        <w:pStyle w:val="5"/>
        <w:spacing w:line="276" w:lineRule="auto"/>
      </w:pPr>
      <w:r>
        <w:t xml:space="preserve">ביקורו הראשון של ר׳ </w:t>
      </w:r>
      <w:proofErr w:type="spellStart"/>
      <w:r>
        <w:t xml:space="preserve">בער־הירש</w:t>
      </w:r>
      <w:proofErr w:type="spellEnd"/>
      <w:r>
        <w:t xml:space="preserve"> אצל ר׳ לייב החסיד – כיצד הוא מתקבל בביקורו השני – ר׳ לייב הוא סמל האמת, החסד, החסידות והפיקחות – ר׳ לייב מת </w:t>
      </w:r>
      <w:proofErr w:type="spellStart"/>
      <w:r>
        <w:t>בציטוביאן</w:t>
      </w:r>
      <w:proofErr w:type="spellEnd"/>
      <w:r>
        <w:t xml:space="preserve"> – מה מספרים ילדי החדר </w:t>
      </w:r>
      <w:proofErr w:type="spellStart"/>
      <w:r>
        <w:t>בציטוביאן</w:t>
      </w:r>
      <w:proofErr w:type="spellEnd"/>
      <w:r>
        <w:t xml:space="preserve"> על ר׳ לייב – גוי מספר </w:t>
      </w:r>
      <w:proofErr w:type="spellStart"/>
      <w:r>
        <w:t>לר</w:t>
      </w:r>
      <w:proofErr w:type="spellEnd"/>
      <w:r>
        <w:t xml:space="preserve">׳ משה </w:t>
      </w:r>
      <w:proofErr w:type="spellStart"/>
      <w:r>
        <w:t>ברלוביץ</w:t>
      </w:r>
      <w:proofErr w:type="spellEnd"/>
      <w:r>
        <w:t xml:space="preserve"> עושה הזפת, מארחו של החסיד בימות הקיץ, על התנגשותו הרת האסון עם ר׳ לייב</w:t>
      </w:r>
    </w:p>
    <w:p w14:paraId="0E2AD79E" w14:textId="77777777" w:rsidR="00AB3647" w:rsidRDefault="00000000" w:rsidP="007923E9">
      <w:pPr>
        <w:spacing w:after="120" w:line="276" w:lineRule="auto"/>
        <w:ind w:firstLine="283"/>
        <w:jc w:val="both"/>
      </w:pPr>
      <w:r>
        <w:rPr>
          <w:rtl/>
        </w:rPr>
        <w:t xml:space="preserve">אבי סיפר שבדרכו חזרה </w:t>
      </w:r>
      <w:proofErr w:type="spellStart"/>
      <w:r>
        <w:rPr>
          <w:rtl/>
        </w:rPr>
        <w:t>מגרובין</w:t>
      </w:r>
      <w:proofErr w:type="spellEnd"/>
      <w:r>
        <w:rPr>
          <w:rtl/>
        </w:rPr>
        <w:t xml:space="preserve"> לעיר מולדתו שילל, שבה היה אביו שמש, עצר ר׳ </w:t>
      </w:r>
      <w:proofErr w:type="spellStart"/>
      <w:r>
        <w:rPr>
          <w:rtl/>
        </w:rPr>
        <w:t xml:space="preserve">בער־הירש</w:t>
      </w:r>
      <w:proofErr w:type="spellEnd"/>
      <w:r>
        <w:rPr>
          <w:rtl/>
        </w:rPr>
        <w:t xml:space="preserve"> </w:t>
      </w:r>
      <w:proofErr w:type="spellStart"/>
      <w:r>
        <w:rPr>
          <w:rtl/>
        </w:rPr>
        <w:t>בקלם</w:t>
      </w:r>
      <w:proofErr w:type="spellEnd"/>
      <w:r>
        <w:rPr>
          <w:rtl/>
        </w:rPr>
        <w:t xml:space="preserve"> כדי לפגוש את ר׳ לייב </w:t>
      </w:r>
      <w:proofErr w:type="spellStart"/>
      <w:r>
        <w:rPr>
          <w:rtl/>
        </w:rPr>
        <w:t>ציגלר</w:t>
      </w:r>
      <w:proofErr w:type="spellEnd"/>
      <w:r>
        <w:rPr>
          <w:rtl/>
        </w:rPr>
        <w:t>, הידוע בשם ר׳ לייב חסיד. השווה כץ, “תנועת המוסר”, כרך ב</w:t>
      </w:r>
      <w:bookmarkStart w:id="3507" w:name="_fnr2590"/>
      <w:r>
        <w:rPr>
          <w:rStyle w:val="a5"/>
        </w:rPr>
        <w:footnoteReference w:id="2597" w:customMarkFollows="0"/>
      </w:r>
      <w:bookmarkEnd w:id="3507"/>
      <w:r>
        <w:rPr>
          <w:rtl/>
        </w:rPr>
        <w:t xml:space="preserve">, שלפיו בא ר׳ לייזר </w:t>
      </w:r>
      <w:proofErr w:type="spellStart"/>
      <w:r>
        <w:rPr>
          <w:rtl/>
        </w:rPr>
        <w:t>שולביץ</w:t>
      </w:r>
      <w:proofErr w:type="spellEnd"/>
      <w:r>
        <w:rPr>
          <w:rtl/>
        </w:rPr>
        <w:t xml:space="preserve"> </w:t>
      </w:r>
      <w:proofErr w:type="spellStart"/>
      <w:r>
        <w:rPr>
          <w:rtl/>
        </w:rPr>
        <w:t>מאיישישוק</w:t>
      </w:r>
      <w:proofErr w:type="spellEnd"/>
      <w:r>
        <w:rPr>
          <w:rtl/>
        </w:rPr>
        <w:t xml:space="preserve"> </w:t>
      </w:r>
      <w:proofErr w:type="spellStart"/>
      <w:r>
        <w:rPr>
          <w:rtl/>
        </w:rPr>
        <w:t>לקלם</w:t>
      </w:r>
      <w:proofErr w:type="spellEnd"/>
      <w:r>
        <w:rPr>
          <w:rtl/>
        </w:rPr>
        <w:t xml:space="preserve"> כדי לשהות בקרבת ר׳ לייב, ובאותה עת פגש את ר׳ </w:t>
      </w:r>
      <w:proofErr w:type="spellStart"/>
      <w:r>
        <w:rPr>
          <w:rtl/>
        </w:rPr>
        <w:t>שמחה־זיסל</w:t>
      </w:r>
      <w:proofErr w:type="spellEnd"/>
      <w:r>
        <w:rPr>
          <w:rtl/>
        </w:rPr>
        <w:t xml:space="preserve"> זיו, נעשה דבק במוסר, ולימים הלך בעקבות הסבא מקלם </w:t>
      </w:r>
      <w:proofErr w:type="spellStart"/>
      <w:r>
        <w:rPr>
          <w:rtl/>
        </w:rPr>
        <w:t>לגרובין</w:t>
      </w:r>
      <w:bookmarkStart w:id="3508" w:name="_fnr2591"/>
      <w:proofErr w:type="spellEnd"/>
      <w:r>
        <w:rPr>
          <w:rStyle w:val="a5"/>
        </w:rPr>
        <w:footnoteReference w:id="2598" w:customMarkFollows="0"/>
      </w:r>
      <w:bookmarkEnd w:id="3508"/>
      <w:r>
        <w:rPr>
          <w:rtl/>
        </w:rPr>
        <w:t xml:space="preserve">. ייתכן מאוד </w:t>
      </w:r>
      <w:proofErr w:type="spellStart"/>
      <w:r>
        <w:rPr>
          <w:rtl/>
        </w:rPr>
        <w:t>שבגרובין</w:t>
      </w:r>
      <w:proofErr w:type="spellEnd"/>
      <w:r>
        <w:rPr>
          <w:rtl/>
        </w:rPr>
        <w:t xml:space="preserve"> סיפר ר׳ לייזר </w:t>
      </w:r>
      <w:proofErr w:type="spellStart"/>
      <w:r>
        <w:rPr>
          <w:rtl/>
        </w:rPr>
        <w:t>לר</w:t>
      </w:r>
      <w:proofErr w:type="spellEnd"/>
      <w:r>
        <w:rPr>
          <w:rtl/>
        </w:rPr>
        <w:t xml:space="preserve">׳ </w:t>
      </w:r>
      <w:proofErr w:type="spellStart"/>
      <w:r>
        <w:rPr>
          <w:rtl/>
        </w:rPr>
        <w:t xml:space="preserve">בער־הירש</w:t>
      </w:r>
      <w:proofErr w:type="spellEnd"/>
      <w:r>
        <w:rPr>
          <w:rtl/>
        </w:rPr>
        <w:t xml:space="preserve"> על ר׳ לייב, ועורר בו את הרצון להכיר אדם מיוחד זה.</w:t>
      </w:r>
    </w:p>
    <w:p w14:paraId="1C9E7FA0" w14:textId="77777777" w:rsidR="00AB3647" w:rsidRDefault="00000000" w:rsidP="007923E9">
      <w:pPr>
        <w:spacing w:after="120" w:line="276" w:lineRule="auto"/>
        <w:ind w:firstLine="283"/>
        <w:jc w:val="both"/>
      </w:pPr>
      <w:r>
        <w:rPr>
          <w:rtl/>
        </w:rPr>
        <w:t xml:space="preserve">כשנכנס ר׳ </w:t>
      </w:r>
      <w:proofErr w:type="spellStart"/>
      <w:r>
        <w:rPr>
          <w:rtl/>
        </w:rPr>
        <w:t xml:space="preserve">בער־הירש</w:t>
      </w:r>
      <w:proofErr w:type="spellEnd"/>
      <w:r>
        <w:rPr>
          <w:rtl/>
        </w:rPr>
        <w:t xml:space="preserve"> לביתו של ר׳ לייב, קיבלו בעל הבית במאור פנים כזה, עד שסבר שחושבים אותו לקרוב משפחה. כששאל אותו ר׳ לייב אחר כך לשמו, הבין שכך מקבל החסיד את כל אורחיו. השווה </w:t>
      </w:r>
      <w:proofErr w:type="spellStart"/>
      <w:r>
        <w:rPr>
          <w:rtl/>
        </w:rPr>
        <w:t>ידעאל</w:t>
      </w:r>
      <w:proofErr w:type="spellEnd"/>
      <w:r>
        <w:rPr>
          <w:rtl/>
        </w:rPr>
        <w:t xml:space="preserve"> מלצר, “בדרך עץ החיים”</w:t>
      </w:r>
      <w:bookmarkStart w:id="3509" w:name="_fnr2592"/>
      <w:r>
        <w:rPr>
          <w:rStyle w:val="a5"/>
        </w:rPr>
        <w:footnoteReference w:id="2599" w:customMarkFollows="0"/>
      </w:r>
      <w:bookmarkEnd w:id="3509"/>
      <w:r>
        <w:rPr>
          <w:rtl/>
        </w:rPr>
        <w:t xml:space="preserve">, שכך אירע גם לאורח אחר של ר׳ לייב, ר׳ ראובן </w:t>
      </w:r>
      <w:proofErr w:type="spellStart"/>
      <w:r>
        <w:rPr>
          <w:rtl/>
        </w:rPr>
        <w:t>מילצקי</w:t>
      </w:r>
      <w:bookmarkStart w:id="3510" w:name="_fnr2593"/>
      <w:proofErr w:type="spellEnd"/>
      <w:r>
        <w:rPr>
          <w:rStyle w:val="a5"/>
        </w:rPr>
        <w:footnoteReference w:id="2600" w:customMarkFollows="0"/>
      </w:r>
      <w:bookmarkEnd w:id="3510"/>
      <w:r>
        <w:rPr>
          <w:rtl/>
        </w:rPr>
        <w:t>. השווה גם כץ, שם</w:t>
      </w:r>
      <w:bookmarkStart w:id="3511" w:name="_fnr2594"/>
      <w:r>
        <w:rPr>
          <w:rStyle w:val="a5"/>
        </w:rPr>
        <w:footnoteReference w:id="2601" w:customMarkFollows="0"/>
      </w:r>
      <w:bookmarkEnd w:id="3511"/>
      <w:r>
        <w:rPr>
          <w:rtl/>
        </w:rPr>
        <w:t xml:space="preserve">, שלפיו ר׳ משה </w:t>
      </w:r>
      <w:proofErr w:type="spellStart"/>
      <w:r>
        <w:rPr>
          <w:rtl/>
        </w:rPr>
        <w:t>רוזנשטיין</w:t>
      </w:r>
      <w:proofErr w:type="spellEnd"/>
      <w:r>
        <w:rPr>
          <w:rtl/>
        </w:rPr>
        <w:t xml:space="preserve">, לימים משגיח בישיבת </w:t>
      </w:r>
      <w:proofErr w:type="spellStart"/>
      <w:r>
        <w:rPr>
          <w:rtl/>
        </w:rPr>
        <w:t>לומז׳ה</w:t>
      </w:r>
      <w:proofErr w:type="spellEnd"/>
      <w:r>
        <w:rPr>
          <w:rtl/>
        </w:rPr>
        <w:t xml:space="preserve">, ביקר בתלמוד תורה </w:t>
      </w:r>
      <w:proofErr w:type="spellStart"/>
      <w:r>
        <w:rPr>
          <w:rtl/>
        </w:rPr>
        <w:t>בקלם</w:t>
      </w:r>
      <w:proofErr w:type="spellEnd"/>
      <w:r>
        <w:rPr>
          <w:rtl/>
        </w:rPr>
        <w:t xml:space="preserve"> שנים אחדות לאחר מותו של ר׳ לייב, ומצא כי נראה שהתלמידים אימצו את הנהגתו של החסיד.</w:t>
      </w:r>
    </w:p>
    <w:p w14:paraId="0792CB96"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שאל את מארחו מה יעשה כדי שלא להרגיש גאווה. התשובה שקיבל הרב </w:t>
      </w:r>
      <w:proofErr w:type="spellStart"/>
      <w:r>
        <w:rPr>
          <w:rtl/>
        </w:rPr>
        <w:t xml:space="preserve">הלר</w:t>
      </w:r>
      <w:proofErr w:type="spellEnd"/>
      <w:r>
        <w:rPr>
          <w:rtl/>
        </w:rPr>
        <w:t xml:space="preserve"> הספיקה לשכנעו שר׳ לייב עומד במדרגת חסידות שאין הוא יכול להגיע אליה. “כיצד יכול אתה להרגיש גאווה”, שאל ר׳ לייב שאלה רטורית, “כאשר הכתוב אומר בפירוש ‘תועבת ה׳ כל גבה לב׳ [משלי </w:t>
      </w:r>
      <w:proofErr w:type="spellStart"/>
      <w:r>
        <w:rPr>
          <w:rtl/>
        </w:rPr>
        <w:t>טז</w:t>
      </w:r>
      <w:proofErr w:type="spellEnd"/>
      <w:r>
        <w:rPr>
          <w:rtl/>
        </w:rPr>
        <w:t>, ה]?”</w:t>
      </w:r>
      <w:bookmarkStart w:id="3512" w:name="_fnr2595"/>
      <w:r>
        <w:rPr>
          <w:rStyle w:val="a5"/>
        </w:rPr>
        <w:footnoteReference w:id="2602" w:customMarkFollows="0"/>
      </w:r>
      <w:bookmarkEnd w:id="3512"/>
    </w:p>
    <w:p w14:paraId="2598DE49" w14:textId="77777777" w:rsidR="00AB3647" w:rsidRDefault="00000000" w:rsidP="007923E9">
      <w:pPr>
        <w:spacing w:after="120" w:line="276" w:lineRule="auto"/>
        <w:ind w:firstLine="283"/>
        <w:jc w:val="both"/>
      </w:pPr>
      <w:r>
        <w:rPr>
          <w:rtl/>
        </w:rPr>
        <w:t xml:space="preserve">ר׳ אשר </w:t>
      </w:r>
      <w:proofErr w:type="spellStart"/>
      <w:r>
        <w:rPr>
          <w:rtl/>
        </w:rPr>
        <w:t>קצמן</w:t>
      </w:r>
      <w:proofErr w:type="spellEnd"/>
      <w:r>
        <w:rPr>
          <w:rtl/>
        </w:rPr>
        <w:t xml:space="preserve"> סיפר</w:t>
      </w:r>
      <w:bookmarkStart w:id="3513" w:name="_fnr2596"/>
      <w:r>
        <w:rPr>
          <w:rStyle w:val="a5"/>
        </w:rPr>
        <w:footnoteReference w:id="2603" w:customMarkFollows="0"/>
      </w:r>
      <w:bookmarkEnd w:id="3513"/>
      <w:r>
        <w:rPr>
          <w:rtl/>
        </w:rPr>
        <w:t xml:space="preserve"> בשם אבי שר׳ </w:t>
      </w:r>
      <w:proofErr w:type="spellStart"/>
      <w:r>
        <w:rPr>
          <w:rtl/>
        </w:rPr>
        <w:t xml:space="preserve">בער־הירש</w:t>
      </w:r>
      <w:proofErr w:type="spellEnd"/>
      <w:r>
        <w:rPr>
          <w:rtl/>
        </w:rPr>
        <w:t xml:space="preserve"> ביקר אצל ר׳ לייב פעם שנייה, בדרכו חזרה </w:t>
      </w:r>
      <w:proofErr w:type="spellStart"/>
      <w:r>
        <w:rPr>
          <w:rtl/>
        </w:rPr>
        <w:t>לגרובין</w:t>
      </w:r>
      <w:proofErr w:type="spellEnd"/>
      <w:r>
        <w:rPr>
          <w:rtl/>
        </w:rPr>
        <w:t xml:space="preserve">. הפעם קיבל ר׳ לייב את פני אורחו, שכבר ציפה לבואו, בנרות דולקים שהכין על שולחנו. כששאל הרב </w:t>
      </w:r>
      <w:proofErr w:type="spellStart"/>
      <w:r>
        <w:rPr>
          <w:rtl/>
        </w:rPr>
        <w:t xml:space="preserve">הלר</w:t>
      </w:r>
      <w:proofErr w:type="spellEnd"/>
      <w:r>
        <w:rPr>
          <w:rtl/>
        </w:rPr>
        <w:t xml:space="preserve"> מדוע הוא מתקבל כך, נאמר לו: “מכיוון שגדולה הכנסת </w:t>
      </w:r>
      <w:r>
        <w:rPr>
          <w:rtl/>
        </w:rPr>
        <w:lastRenderedPageBreak/>
        <w:t>אורחים מהקבלת פני השכינה</w:t>
      </w:r>
      <w:bookmarkStart w:id="3514" w:name="_fnr2597"/>
      <w:r>
        <w:rPr>
          <w:rStyle w:val="a5"/>
        </w:rPr>
        <w:footnoteReference w:id="2604" w:customMarkFollows="0"/>
      </w:r>
      <w:bookmarkEnd w:id="3514"/>
      <w:r>
        <w:rPr>
          <w:rtl/>
        </w:rPr>
        <w:t>, עלינו לכבד אורח, בקל וחומר, בכל כבוד שאנו חייבים לכבד בו את השכינה – והטור</w:t>
      </w:r>
      <w:bookmarkStart w:id="3515" w:name="_fnr2598"/>
      <w:r>
        <w:rPr>
          <w:rStyle w:val="a5"/>
        </w:rPr>
        <w:footnoteReference w:id="2605" w:customMarkFollows="0"/>
      </w:r>
      <w:bookmarkEnd w:id="3515"/>
      <w:r>
        <w:rPr>
          <w:rtl/>
        </w:rPr>
        <w:t xml:space="preserve"> מחייב להדליק נרות לכבוד השכינה”.</w:t>
      </w:r>
    </w:p>
    <w:p w14:paraId="7494511C" w14:textId="77777777" w:rsidR="00AB3647" w:rsidRDefault="00000000" w:rsidP="007923E9">
      <w:pPr>
        <w:spacing w:after="120" w:line="276" w:lineRule="auto"/>
        <w:ind w:firstLine="283"/>
        <w:jc w:val="both"/>
      </w:pPr>
      <w:bookmarkStart w:id="3516" w:name="pr_b_1543"/>
      <w:bookmarkEnd w:id="3516"/>
      <w:r>
        <w:rPr>
          <w:rtl/>
        </w:rPr>
        <w:t xml:space="preserve">הפרטים הביוגרפיים הבאים על ר׳ לייב לקוחים ממאמרו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3517" w:name="_fnr2599"/>
      <w:r>
        <w:rPr>
          <w:rStyle w:val="a5"/>
        </w:rPr>
        <w:footnoteReference w:id="2606" w:customMarkFollows="0"/>
      </w:r>
      <w:bookmarkEnd w:id="3517"/>
      <w:r>
        <w:rPr>
          <w:rtl/>
        </w:rPr>
        <w:t xml:space="preserve">: ר׳ לייב היה בנו של טוחן בכפר </w:t>
      </w:r>
      <w:proofErr w:type="spellStart"/>
      <w:r>
        <w:rPr>
          <w:rtl/>
        </w:rPr>
        <w:t>ורפיאן</w:t>
      </w:r>
      <w:proofErr w:type="spellEnd"/>
      <w:r>
        <w:rPr>
          <w:rtl/>
        </w:rPr>
        <w:t xml:space="preserve">, סמוך </w:t>
      </w:r>
      <w:proofErr w:type="spellStart"/>
      <w:r>
        <w:rPr>
          <w:rtl/>
        </w:rPr>
        <w:t>לקלם</w:t>
      </w:r>
      <w:proofErr w:type="spellEnd"/>
      <w:r>
        <w:rPr>
          <w:rtl/>
        </w:rPr>
        <w:t xml:space="preserve">, ועזר לאביו בעבודה הקשה עד נישואיו; אז החל ללמוד תורה בשקידה. הוא נעשה בקי בש״ס ובפוסקים, אבל נשאר בעל בית </w:t>
      </w:r>
      <w:proofErr w:type="spellStart"/>
      <w:r>
        <w:rPr>
          <w:rtl/>
        </w:rPr>
        <w:t>בקלם</w:t>
      </w:r>
      <w:proofErr w:type="spellEnd"/>
      <w:r>
        <w:rPr>
          <w:rtl/>
        </w:rPr>
        <w:t xml:space="preserve">. הוא לא הסכים שיקראו לו רב, ואמר: “אני לייב </w:t>
      </w:r>
      <w:proofErr w:type="spellStart"/>
      <w:r>
        <w:rPr>
          <w:rtl/>
        </w:rPr>
        <w:t>ציגלר</w:t>
      </w:r>
      <w:proofErr w:type="spellEnd"/>
      <w:r>
        <w:rPr>
          <w:rtl/>
        </w:rPr>
        <w:t>, לא רב”. כשהתעקשו בני העיר לנהוג בו בכבוד הראוי לרב, חדל לבוא לבית הכנסת</w:t>
      </w:r>
      <w:bookmarkStart w:id="3518" w:name="_fnr2600"/>
      <w:r>
        <w:rPr>
          <w:rStyle w:val="a5"/>
        </w:rPr>
        <w:footnoteReference w:id="2607" w:customMarkFollows="0"/>
      </w:r>
      <w:bookmarkEnd w:id="3518"/>
      <w:r>
        <w:rPr>
          <w:rtl/>
        </w:rPr>
        <w:t>.</w:t>
      </w:r>
    </w:p>
    <w:p w14:paraId="78F8A105" w14:textId="77777777" w:rsidR="00AB3647" w:rsidRDefault="00000000" w:rsidP="007923E9">
      <w:pPr>
        <w:spacing w:after="120" w:line="276" w:lineRule="auto"/>
        <w:ind w:firstLine="283"/>
        <w:jc w:val="both"/>
      </w:pPr>
      <w:bookmarkStart w:id="3519" w:name="pr_close_b_2462"/>
      <w:bookmarkEnd w:id="3519"/>
      <w:r>
        <w:rPr>
          <w:rtl/>
        </w:rPr>
        <w:t xml:space="preserve">מעניין </w:t>
      </w:r>
      <w:proofErr w:type="spellStart"/>
      <w:r>
        <w:rPr>
          <w:rtl/>
        </w:rPr>
        <w:t>ששמונה־עשרה</w:t>
      </w:r>
      <w:proofErr w:type="spellEnd"/>
      <w:r>
        <w:rPr>
          <w:rtl/>
        </w:rPr>
        <w:t xml:space="preserve"> מן התשובות </w:t>
      </w:r>
      <w:proofErr w:type="spellStart"/>
      <w:r>
        <w:rPr>
          <w:rtl/>
        </w:rPr>
        <w:t>בשו״ת</w:t>
      </w:r>
      <w:proofErr w:type="spellEnd"/>
      <w:r>
        <w:rPr>
          <w:rtl/>
        </w:rPr>
        <w:t xml:space="preserve"> “זכר </w:t>
      </w:r>
      <w:proofErr w:type="spellStart"/>
      <w:r>
        <w:rPr>
          <w:rtl/>
        </w:rPr>
        <w:t>יהוסף</w:t>
      </w:r>
      <w:proofErr w:type="spellEnd"/>
      <w:r>
        <w:rPr>
          <w:rtl/>
        </w:rPr>
        <w:t xml:space="preserve">” על אורח חיים, מאת הגאון הגדול ר׳ </w:t>
      </w:r>
      <w:proofErr w:type="spellStart"/>
      <w:r>
        <w:rPr>
          <w:rtl/>
        </w:rPr>
        <w:t>יוסף־זכריה</w:t>
      </w:r>
      <w:proofErr w:type="spellEnd"/>
      <w:r>
        <w:rPr>
          <w:rtl/>
        </w:rPr>
        <w:t xml:space="preserve"> שטרן, רבה של שאוול – כמעט שביעית מכלל התשובות – מופנות אל “הרב יהודה ליב </w:t>
      </w:r>
      <w:proofErr w:type="spellStart"/>
      <w:r>
        <w:rPr>
          <w:rtl/>
        </w:rPr>
        <w:t>מקעלם</w:t>
      </w:r>
      <w:proofErr w:type="spellEnd"/>
      <w:r>
        <w:rPr>
          <w:rtl/>
        </w:rPr>
        <w:t xml:space="preserve">”, והן משתרעות על עשור, בין תרל״ה </w:t>
      </w:r>
      <w:proofErr w:type="spellStart"/>
      <w:r>
        <w:rPr>
          <w:rtl/>
        </w:rPr>
        <w:t>לתרמ״ה</w:t>
      </w:r>
      <w:proofErr w:type="spellEnd"/>
      <w:r>
        <w:rPr>
          <w:rtl/>
        </w:rPr>
        <w:t xml:space="preserve">. בראשונה שבהן פונים אל ר׳ לייב בתואר הרב יהודה ליב בן מורנו מרדכי. באותה שנה פרסם ר׳ </w:t>
      </w:r>
      <w:proofErr w:type="spellStart"/>
      <w:r>
        <w:rPr>
          <w:rtl/>
        </w:rPr>
        <w:t>יוסף־זכריה</w:t>
      </w:r>
      <w:proofErr w:type="spellEnd"/>
      <w:r>
        <w:rPr>
          <w:rtl/>
        </w:rPr>
        <w:t xml:space="preserve"> שטרן “פירוש חדש על מגילת רות”</w:t>
      </w:r>
      <w:bookmarkStart w:id="3520" w:name="_fnr2601"/>
      <w:r>
        <w:rPr>
          <w:rStyle w:val="a5"/>
        </w:rPr>
        <w:footnoteReference w:id="2608" w:customMarkFollows="0"/>
      </w:r>
      <w:bookmarkEnd w:id="3520"/>
      <w:r>
        <w:rPr>
          <w:rtl/>
        </w:rPr>
        <w:t xml:space="preserve">, ובו הוא מצטט שאלה של ר׳ לייב על הנהגתו של בועז, גיבור מגילת רות, ומכנה את השואל “הרב המופלג החסיד המפורסם </w:t>
      </w:r>
      <w:proofErr w:type="spellStart"/>
      <w:r>
        <w:rPr>
          <w:rtl/>
        </w:rPr>
        <w:t>כמוה״ר</w:t>
      </w:r>
      <w:proofErr w:type="spellEnd"/>
      <w:r>
        <w:rPr>
          <w:rtl/>
        </w:rPr>
        <w:t xml:space="preserve"> יהודה ליב </w:t>
      </w:r>
      <w:proofErr w:type="spellStart"/>
      <w:r>
        <w:rPr>
          <w:rtl/>
        </w:rPr>
        <w:t>מקעלם</w:t>
      </w:r>
      <w:proofErr w:type="spellEnd"/>
      <w:r>
        <w:rPr>
          <w:rtl/>
        </w:rPr>
        <w:t xml:space="preserve">”. גם הסכמה נדירה מאת “ר׳ </w:t>
      </w:r>
      <w:proofErr w:type="spellStart"/>
      <w:r>
        <w:rPr>
          <w:rtl/>
        </w:rPr>
        <w:t>לייבל׳ה</w:t>
      </w:r>
      <w:proofErr w:type="spellEnd"/>
      <w:r>
        <w:rPr>
          <w:rtl/>
        </w:rPr>
        <w:t xml:space="preserve"> חסיד מקלם” נכללת ברשימה הארוכה של הסכמות רבנים ליטאים מפורסמים מאוד לספר “מנהגי ישראל”</w:t>
      </w:r>
      <w:bookmarkStart w:id="3521" w:name="_fnr2602"/>
      <w:r>
        <w:rPr>
          <w:rStyle w:val="a5"/>
        </w:rPr>
        <w:footnoteReference w:id="2609" w:customMarkFollows="0"/>
      </w:r>
      <w:bookmarkEnd w:id="3521"/>
      <w:r>
        <w:rPr>
          <w:rtl/>
        </w:rPr>
        <w:t>.</w:t>
      </w:r>
    </w:p>
    <w:p w14:paraId="754634C6" w14:textId="77777777" w:rsidR="00AB3647" w:rsidRDefault="00000000" w:rsidP="007923E9">
      <w:pPr>
        <w:spacing w:after="120" w:line="276" w:lineRule="auto"/>
        <w:ind w:firstLine="283"/>
        <w:jc w:val="both"/>
      </w:pPr>
      <w:r>
        <w:rPr>
          <w:rtl/>
        </w:rPr>
        <w:t xml:space="preserve">מאמרו של </w:t>
      </w:r>
      <w:proofErr w:type="spellStart"/>
      <w:r>
        <w:rPr>
          <w:rtl/>
        </w:rPr>
        <w:t>קרלינסקי</w:t>
      </w:r>
      <w:proofErr w:type="spellEnd"/>
      <w:r>
        <w:rPr>
          <w:rtl/>
        </w:rPr>
        <w:t xml:space="preserve"> מכריז: “העם הפשוט העריצו וקידשו, והוא נעשה דמות אגדית עוד בחייו. אף גדולי הדור הכירו בו כצדיק תמים. הוא מת </w:t>
      </w:r>
      <w:proofErr w:type="spellStart"/>
      <w:r>
        <w:rPr>
          <w:rtl/>
        </w:rPr>
        <w:t>בציטוביאן</w:t>
      </w:r>
      <w:proofErr w:type="spellEnd"/>
      <w:r>
        <w:rPr>
          <w:rtl/>
        </w:rPr>
        <w:t xml:space="preserve"> בגיל שבעים </w:t>
      </w:r>
      <w:proofErr w:type="spellStart"/>
      <w:r>
        <w:rPr>
          <w:rtl/>
        </w:rPr>
        <w:t>בתרנ״ד</w:t>
      </w:r>
      <w:proofErr w:type="spellEnd"/>
      <w:r>
        <w:rPr>
          <w:rtl/>
        </w:rPr>
        <w:t xml:space="preserve">, ו־4,000 איש, ובהם </w:t>
      </w:r>
      <w:proofErr w:type="spellStart"/>
      <w:r>
        <w:rPr>
          <w:rtl/>
        </w:rPr>
        <w:t>שנים־עשר</w:t>
      </w:r>
      <w:proofErr w:type="spellEnd"/>
      <w:r>
        <w:rPr>
          <w:rtl/>
        </w:rPr>
        <w:t xml:space="preserve"> רבנים מכל הערים והכפרים שבסביבה, ליווהו לקברו [</w:t>
      </w:r>
      <w:proofErr w:type="spellStart"/>
      <w:r>
        <w:rPr>
          <w:rtl/>
        </w:rPr>
        <w:t>בקלם</w:t>
      </w:r>
      <w:proofErr w:type="spellEnd"/>
      <w:r>
        <w:rPr>
          <w:rtl/>
        </w:rPr>
        <w:t>]. לאחר ההספדים על קברו ניגש רופאו הנוכרי אל הקבר ונדר שבמשך שנת האבל ירפא חינם את כל העניים, יהודים ולא יהודים, לזכר נשמתו של הצדיק. בדברי ההספד שבעיתונות הכללית כונה ר׳ לייב סמל האמת והחסד, החסידות והפיקחות”.</w:t>
      </w:r>
    </w:p>
    <w:p w14:paraId="216388CB" w14:textId="77777777" w:rsidR="00AB3647" w:rsidRDefault="00000000" w:rsidP="007923E9">
      <w:pPr>
        <w:spacing w:after="120" w:line="276" w:lineRule="auto"/>
        <w:ind w:firstLine="283"/>
        <w:jc w:val="both"/>
      </w:pPr>
      <w:r>
        <w:rPr>
          <w:rtl/>
        </w:rPr>
        <w:t xml:space="preserve">שני הספדים </w:t>
      </w:r>
      <w:proofErr w:type="spellStart"/>
      <w:r>
        <w:rPr>
          <w:rtl/>
        </w:rPr>
        <w:t>ב“עיתונות</w:t>
      </w:r>
      <w:proofErr w:type="spellEnd"/>
      <w:r>
        <w:rPr>
          <w:rtl/>
        </w:rPr>
        <w:t xml:space="preserve"> הכללית” הנזכרת לעיל מעניינים במיוחד. אחד מהם, </w:t>
      </w:r>
      <w:proofErr w:type="spellStart"/>
      <w:r>
        <w:rPr>
          <w:rtl/>
        </w:rPr>
        <w:t>ב“תלפיות</w:t>
      </w:r>
      <w:proofErr w:type="spellEnd"/>
      <w:r>
        <w:rPr>
          <w:rtl/>
        </w:rPr>
        <w:t>” (תרנ״ה)</w:t>
      </w:r>
      <w:bookmarkStart w:id="3522" w:name="_fnr2603"/>
      <w:r>
        <w:rPr>
          <w:rStyle w:val="a5"/>
        </w:rPr>
        <w:footnoteReference w:id="2610" w:customMarkFollows="0"/>
      </w:r>
      <w:bookmarkEnd w:id="3522"/>
      <w:r>
        <w:rPr>
          <w:rtl/>
        </w:rPr>
        <w:t xml:space="preserve">, יסקרן את הקורא בשל החבורה שבה מציב הכותב את ר׳ לייב. נאמר בו: “מן הצדיקים המפורסמים בחסידות ובפרישות, עמודי האמונה הפורשים את כנפי חסידותם על עדת </w:t>
      </w:r>
      <w:r>
        <w:rPr>
          <w:b/>
          <w:bCs/>
          <w:rtl/>
        </w:rPr>
        <w:t>חסידים רבים</w:t>
      </w:r>
      <w:r>
        <w:rPr>
          <w:rtl/>
        </w:rPr>
        <w:t xml:space="preserve"> (ההדגשה שלי), שהלכו לעולמם בשנה האחרונה, נזכיר: הצדיק המפורסם </w:t>
      </w:r>
      <w:r>
        <w:rPr>
          <w:rtl/>
        </w:rPr>
        <w:lastRenderedPageBreak/>
        <w:t xml:space="preserve">בפלכי </w:t>
      </w:r>
      <w:proofErr w:type="spellStart"/>
      <w:r>
        <w:rPr>
          <w:rtl/>
        </w:rPr>
        <w:t>ראסיין</w:t>
      </w:r>
      <w:proofErr w:type="spellEnd"/>
      <w:r>
        <w:rPr>
          <w:rtl/>
        </w:rPr>
        <w:t xml:space="preserve">, שאוויל, </w:t>
      </w:r>
      <w:proofErr w:type="spellStart"/>
      <w:r>
        <w:rPr>
          <w:rtl/>
        </w:rPr>
        <w:t>טלז</w:t>
      </w:r>
      <w:proofErr w:type="spellEnd"/>
      <w:r>
        <w:rPr>
          <w:rtl/>
        </w:rPr>
        <w:t xml:space="preserve"> ובכל ערי </w:t>
      </w:r>
      <w:proofErr w:type="spellStart"/>
      <w:r>
        <w:rPr>
          <w:rtl/>
        </w:rPr>
        <w:t>ז׳אמוט</w:t>
      </w:r>
      <w:proofErr w:type="spellEnd"/>
      <w:r>
        <w:rPr>
          <w:rtl/>
        </w:rPr>
        <w:t xml:space="preserve">, ר׳ לייב חסיד מקלם, המתקדש בעדת מעריציו הרבים בזכות הנהגותיו הישרות ויושר דרכיו...; הרה״ג הצדיק רבי יהושע אב״ד </w:t>
      </w:r>
      <w:proofErr w:type="spellStart"/>
      <w:r>
        <w:rPr>
          <w:rtl/>
        </w:rPr>
        <w:t>דק״ק</w:t>
      </w:r>
      <w:proofErr w:type="spellEnd"/>
      <w:r>
        <w:rPr>
          <w:rtl/>
        </w:rPr>
        <w:t xml:space="preserve"> </w:t>
      </w:r>
      <w:proofErr w:type="spellStart"/>
      <w:r>
        <w:rPr>
          <w:rtl/>
        </w:rPr>
        <w:t>בעלזא</w:t>
      </w:r>
      <w:proofErr w:type="spellEnd"/>
      <w:r>
        <w:rPr>
          <w:rtl/>
        </w:rPr>
        <w:t xml:space="preserve">, </w:t>
      </w:r>
      <w:proofErr w:type="spellStart"/>
      <w:r>
        <w:rPr>
          <w:rtl/>
        </w:rPr>
        <w:t>שבצלו</w:t>
      </w:r>
      <w:proofErr w:type="spellEnd"/>
      <w:r>
        <w:rPr>
          <w:rtl/>
        </w:rPr>
        <w:t xml:space="preserve"> הסתופפו רבבות חסידים מכל קצות תבל; הרב הקדוש, המפורסם הר׳ מרדכי שרגא </w:t>
      </w:r>
      <w:proofErr w:type="spellStart"/>
      <w:r>
        <w:rPr>
          <w:rtl/>
        </w:rPr>
        <w:t>פרידמאן</w:t>
      </w:r>
      <w:proofErr w:type="spellEnd"/>
      <w:r>
        <w:rPr>
          <w:rtl/>
        </w:rPr>
        <w:t xml:space="preserve"> רב לחסידים בק״ק </w:t>
      </w:r>
      <w:proofErr w:type="spellStart"/>
      <w:r>
        <w:rPr>
          <w:rtl/>
        </w:rPr>
        <w:t>הוסאטין</w:t>
      </w:r>
      <w:proofErr w:type="spellEnd"/>
      <w:r>
        <w:rPr>
          <w:rtl/>
        </w:rPr>
        <w:t xml:space="preserve">, בנו של הצדיק המפורסם ר׳ ישראל </w:t>
      </w:r>
      <w:proofErr w:type="spellStart"/>
      <w:r>
        <w:rPr>
          <w:rtl/>
        </w:rPr>
        <w:t>מרוז׳ין</w:t>
      </w:r>
      <w:proofErr w:type="spellEnd"/>
      <w:r>
        <w:rPr>
          <w:rtl/>
        </w:rPr>
        <w:t xml:space="preserve"> ולימים </w:t>
      </w:r>
      <w:proofErr w:type="spellStart"/>
      <w:r>
        <w:rPr>
          <w:rtl/>
        </w:rPr>
        <w:t>מסדיגורה</w:t>
      </w:r>
      <w:proofErr w:type="spellEnd"/>
      <w:r>
        <w:rPr>
          <w:rtl/>
        </w:rPr>
        <w:t xml:space="preserve"> שבגליציה”. </w:t>
      </w:r>
      <w:proofErr w:type="spellStart"/>
      <w:r>
        <w:rPr>
          <w:rtl/>
        </w:rPr>
        <w:t>בברדיצ׳ב</w:t>
      </w:r>
      <w:proofErr w:type="spellEnd"/>
      <w:r>
        <w:rPr>
          <w:rtl/>
        </w:rPr>
        <w:t xml:space="preserve"> הרחוקה, שבה יצא “תלפיות”, דימו העורכים שר׳ לייב נמנה עם האדמו״רים, שסביבם “חסידים רבים” – כפי שהודגש לעיל. שני האדמו״רים נפטרו בכ״ג בשבט [30 בינואר] ובכ״ב באייר [28 במאי] תרנ״ד, בהתאמה, ואף על פי כן עומד בראש הרשימה ר׳ לייב, שנפטר אחרון, בכ״א בתמוז [25 ביולי].</w:t>
      </w:r>
    </w:p>
    <w:p w14:paraId="028386C7" w14:textId="77777777" w:rsidR="00AB3647" w:rsidRDefault="00000000" w:rsidP="007923E9">
      <w:pPr>
        <w:spacing w:after="120" w:line="276" w:lineRule="auto"/>
        <w:ind w:firstLine="283"/>
        <w:jc w:val="both"/>
      </w:pPr>
      <w:r>
        <w:rPr>
          <w:rtl/>
        </w:rPr>
        <w:t xml:space="preserve">ההספד האחר, </w:t>
      </w:r>
      <w:proofErr w:type="spellStart"/>
      <w:r>
        <w:rPr>
          <w:rtl/>
        </w:rPr>
        <w:t>ב“אחיאסף</w:t>
      </w:r>
      <w:proofErr w:type="spellEnd"/>
      <w:r>
        <w:rPr>
          <w:rtl/>
        </w:rPr>
        <w:t xml:space="preserve"> – לוח עם”</w:t>
      </w:r>
      <w:bookmarkStart w:id="3523" w:name="_fnr2604"/>
      <w:r>
        <w:rPr>
          <w:rStyle w:val="a5"/>
        </w:rPr>
        <w:footnoteReference w:id="2611" w:customMarkFollows="0"/>
      </w:r>
      <w:bookmarkEnd w:id="3523"/>
      <w:r>
        <w:rPr>
          <w:rtl/>
        </w:rPr>
        <w:t>, תחת הכותרת “הזכרת נשמות”, מגלה פרטים נוספים על ר׳ לייב חסיד: “לכל אדם הייתה עצתו כמי ששאל בדבר אלוקים”; “כל מר נפש ועשוק פנה אליו, והוא קיבלם בסבר פנים יפות ודיבר על ליבם דברים טובים ומנחמים, לנחמם ולעודדם”; “בסביבת העיר שבה התגורר מתהלכים סיפורים רבים ו</w:t>
      </w:r>
      <w:r>
        <w:rPr>
          <w:b/>
          <w:bCs/>
          <w:rtl/>
        </w:rPr>
        <w:t>אגדות</w:t>
      </w:r>
      <w:r>
        <w:rPr>
          <w:rtl/>
        </w:rPr>
        <w:t xml:space="preserve"> (ההדגשה שלי; ראה להלן) על מידת חסדו ועל טובו לבריות”; וכן “הוא היה חולני כל ימיו, ושבועות אחדים לפני מותו בא לעיירה הקטנה </w:t>
      </w:r>
      <w:proofErr w:type="spellStart"/>
      <w:r>
        <w:rPr>
          <w:rtl/>
        </w:rPr>
        <w:t>ציטרוויאן</w:t>
      </w:r>
      <w:proofErr w:type="spellEnd"/>
      <w:r>
        <w:rPr>
          <w:rtl/>
        </w:rPr>
        <w:t xml:space="preserve"> (כך במקור), המוקפת יערות וחורשות, לשהות בה ולשאוף אוויר צח, אך לקה בדלקת ריאות, ועמלם של הרופאים הרבים, שדאגו ובאו לרפאו, היה לשווא”</w:t>
      </w:r>
      <w:bookmarkStart w:id="3524" w:name="_fnr2605"/>
      <w:r>
        <w:rPr>
          <w:rStyle w:val="a5"/>
        </w:rPr>
        <w:footnoteReference w:id="2612" w:customMarkFollows="0"/>
      </w:r>
      <w:bookmarkEnd w:id="3524"/>
      <w:r>
        <w:rPr>
          <w:rtl/>
        </w:rPr>
        <w:t>.</w:t>
      </w:r>
    </w:p>
    <w:p w14:paraId="0AD62829" w14:textId="77777777" w:rsidR="00AB3647" w:rsidRDefault="00000000" w:rsidP="007923E9">
      <w:pPr>
        <w:spacing w:after="120" w:line="276" w:lineRule="auto"/>
        <w:ind w:firstLine="283"/>
        <w:jc w:val="both"/>
      </w:pPr>
      <w:r>
        <w:rPr>
          <w:rtl/>
        </w:rPr>
        <w:t>אחי ר׳ בנימין</w:t>
      </w:r>
      <w:bookmarkStart w:id="3525" w:name="_fnr2606"/>
      <w:r>
        <w:rPr>
          <w:rStyle w:val="a5"/>
        </w:rPr>
        <w:footnoteReference w:id="2613" w:customMarkFollows="0"/>
      </w:r>
      <w:bookmarkEnd w:id="3525"/>
      <w:r>
        <w:rPr>
          <w:rtl/>
        </w:rPr>
        <w:t xml:space="preserve">, שנולד כמעט שלושה עשורים לאחר פטירת ר׳ לייב, זכר שלושה פלאים שסיפרו עליו ילדי </w:t>
      </w:r>
      <w:proofErr w:type="spellStart"/>
      <w:r>
        <w:rPr>
          <w:rtl/>
        </w:rPr>
        <w:t>ציטוביאן</w:t>
      </w:r>
      <w:proofErr w:type="spellEnd"/>
      <w:r>
        <w:rPr>
          <w:rtl/>
        </w:rPr>
        <w:t xml:space="preserve"> בימיו – עיירתנו חיבבה במיוחד את הצדיק, ותושביה כינו אותו ר׳ </w:t>
      </w:r>
      <w:proofErr w:type="spellStart"/>
      <w:r>
        <w:rPr>
          <w:rtl/>
        </w:rPr>
        <w:t>לייבל׳ה</w:t>
      </w:r>
      <w:bookmarkStart w:id="3526" w:name="_fnr2607"/>
      <w:proofErr w:type="spellEnd"/>
      <w:r>
        <w:rPr>
          <w:rStyle w:val="a5"/>
        </w:rPr>
        <w:footnoteReference w:id="2614" w:customMarkFollows="0"/>
      </w:r>
      <w:bookmarkEnd w:id="3526"/>
      <w:r>
        <w:rPr>
          <w:rtl/>
        </w:rPr>
        <w:t xml:space="preserve">: בהליכתו מקלם </w:t>
      </w:r>
      <w:proofErr w:type="spellStart"/>
      <w:r>
        <w:rPr>
          <w:rtl/>
        </w:rPr>
        <w:t>לציטוביאן</w:t>
      </w:r>
      <w:proofErr w:type="spellEnd"/>
      <w:r>
        <w:rPr>
          <w:rtl/>
        </w:rPr>
        <w:t xml:space="preserve"> זכה לקפיצת הדרך (קיצור המסע בדרך הנס הנזכרת באגדה</w:t>
      </w:r>
      <w:bookmarkStart w:id="3527" w:name="_fnr2608"/>
      <w:r>
        <w:rPr>
          <w:rStyle w:val="a5"/>
        </w:rPr>
        <w:footnoteReference w:id="2615" w:customMarkFollows="0"/>
      </w:r>
      <w:bookmarkEnd w:id="3527"/>
      <w:r>
        <w:rPr>
          <w:rtl/>
        </w:rPr>
        <w:t>); כשהתרומם לעבר הירח באומרו “כשם שאני רוקד כנגדך ואיני יכול לנגוע בך” בקידוש לבנה, היה מתרומם מעל הקרקע בשיעור מלוא קומתו</w:t>
      </w:r>
      <w:bookmarkStart w:id="3528" w:name="_fnr2609"/>
      <w:r>
        <w:rPr>
          <w:rStyle w:val="a5"/>
        </w:rPr>
        <w:footnoteReference w:id="2616" w:customMarkFollows="0"/>
      </w:r>
      <w:bookmarkEnd w:id="3528"/>
      <w:r>
        <w:rPr>
          <w:rtl/>
        </w:rPr>
        <w:t xml:space="preserve">; וכשירד ברד </w:t>
      </w:r>
      <w:proofErr w:type="spellStart"/>
      <w:r>
        <w:rPr>
          <w:rtl/>
        </w:rPr>
        <w:t>בציטוביאן</w:t>
      </w:r>
      <w:proofErr w:type="spellEnd"/>
      <w:r>
        <w:rPr>
          <w:rtl/>
        </w:rPr>
        <w:t xml:space="preserve"> בעת ששהה בה, פגעו אבני הברד בכל גגות הקש חוץ מגג הבית שבו התארח.</w:t>
      </w:r>
    </w:p>
    <w:p w14:paraId="54CF5249" w14:textId="77777777" w:rsidR="00AB3647" w:rsidRDefault="00000000" w:rsidP="007923E9">
      <w:pPr>
        <w:spacing w:after="120" w:line="276" w:lineRule="auto"/>
        <w:ind w:firstLine="283"/>
        <w:jc w:val="both"/>
      </w:pPr>
      <w:bookmarkStart w:id="3529" w:name="pr_b_1546"/>
      <w:bookmarkEnd w:id="3529"/>
      <w:r>
        <w:rPr>
          <w:rtl/>
        </w:rPr>
        <w:t xml:space="preserve">ר׳ </w:t>
      </w:r>
      <w:proofErr w:type="spellStart"/>
      <w:r>
        <w:rPr>
          <w:rtl/>
        </w:rPr>
        <w:t>יאשה־לייזר</w:t>
      </w:r>
      <w:proofErr w:type="spellEnd"/>
      <w:r>
        <w:rPr>
          <w:rtl/>
        </w:rPr>
        <w:t xml:space="preserve"> </w:t>
      </w:r>
      <w:proofErr w:type="spellStart"/>
      <w:r>
        <w:rPr>
          <w:rtl/>
        </w:rPr>
        <w:t>סנסוליס</w:t>
      </w:r>
      <w:bookmarkStart w:id="3530" w:name="_fnr2610"/>
      <w:proofErr w:type="spellEnd"/>
      <w:r>
        <w:rPr>
          <w:rStyle w:val="a5"/>
        </w:rPr>
        <w:footnoteReference w:id="2617" w:customMarkFollows="0"/>
      </w:r>
      <w:bookmarkEnd w:id="3530"/>
      <w:r>
        <w:rPr>
          <w:rtl/>
        </w:rPr>
        <w:t xml:space="preserve"> גילה שתי אגדות שמסרו המבוגרים </w:t>
      </w:r>
      <w:proofErr w:type="spellStart"/>
      <w:r>
        <w:rPr>
          <w:rtl/>
        </w:rPr>
        <w:t>בציטוביאן</w:t>
      </w:r>
      <w:proofErr w:type="spellEnd"/>
      <w:r>
        <w:rPr>
          <w:rtl/>
        </w:rPr>
        <w:t xml:space="preserve">, עיר מולדתו – על מאורעות </w:t>
      </w:r>
      <w:proofErr w:type="spellStart"/>
      <w:r>
        <w:rPr>
          <w:rtl/>
        </w:rPr>
        <w:t>על־טבעיים</w:t>
      </w:r>
      <w:proofErr w:type="spellEnd"/>
      <w:r>
        <w:rPr>
          <w:rtl/>
        </w:rPr>
        <w:t xml:space="preserve"> שחולל ר׳ לייב, ולא על מידותיו. ר׳ לייב היה הולך את </w:t>
      </w:r>
      <w:proofErr w:type="spellStart"/>
      <w:r>
        <w:rPr>
          <w:rtl/>
        </w:rPr>
        <w:t>תשע־עשרה</w:t>
      </w:r>
      <w:proofErr w:type="spellEnd"/>
      <w:r>
        <w:rPr>
          <w:rtl/>
        </w:rPr>
        <w:t xml:space="preserve"> </w:t>
      </w:r>
      <w:proofErr w:type="spellStart"/>
      <w:r>
        <w:rPr>
          <w:rtl/>
        </w:rPr>
        <w:t>הוורסט</w:t>
      </w:r>
      <w:proofErr w:type="spellEnd"/>
      <w:r>
        <w:rPr>
          <w:rtl/>
        </w:rPr>
        <w:t xml:space="preserve"> מקלם למקום נופש הקיץ שלו עטוף בטלית ומוכתר בתפילין. פעם אחת, כשגוי נטפל אליו, אמר ביידיש: “</w:t>
      </w:r>
      <w:proofErr w:type="spellStart"/>
      <w:r>
        <w:rPr>
          <w:rtl/>
        </w:rPr>
        <w:t>פארברענט</w:t>
      </w:r>
      <w:proofErr w:type="spellEnd"/>
      <w:r>
        <w:rPr>
          <w:rtl/>
        </w:rPr>
        <w:t xml:space="preserve"> </w:t>
      </w:r>
      <w:proofErr w:type="spellStart"/>
      <w:r>
        <w:rPr>
          <w:rtl/>
        </w:rPr>
        <w:t>זאלסטו</w:t>
      </w:r>
      <w:proofErr w:type="spellEnd"/>
      <w:r>
        <w:rPr>
          <w:rtl/>
        </w:rPr>
        <w:t xml:space="preserve"> </w:t>
      </w:r>
      <w:proofErr w:type="spellStart"/>
      <w:r>
        <w:rPr>
          <w:rtl/>
        </w:rPr>
        <w:t>ווערען</w:t>
      </w:r>
      <w:proofErr w:type="spellEnd"/>
      <w:r>
        <w:rPr>
          <w:rtl/>
        </w:rPr>
        <w:t xml:space="preserve"> [שתישרף]”, והגוי הפנה את ראשו וראה את ביתו עולה באש.</w:t>
      </w:r>
    </w:p>
    <w:p w14:paraId="30949D7E" w14:textId="77777777" w:rsidR="00AB3647" w:rsidRDefault="00000000" w:rsidP="007923E9">
      <w:pPr>
        <w:spacing w:after="120" w:line="276" w:lineRule="auto"/>
        <w:ind w:firstLine="283"/>
        <w:jc w:val="both"/>
      </w:pPr>
      <w:r>
        <w:rPr>
          <w:rtl/>
        </w:rPr>
        <w:lastRenderedPageBreak/>
        <w:t xml:space="preserve">כששאלוהו שכניו כיצד פרצה השרפה, אמר הגוי שר׳ </w:t>
      </w:r>
      <w:proofErr w:type="spellStart"/>
      <w:r>
        <w:rPr>
          <w:rtl/>
        </w:rPr>
        <w:t>לייבל׳ה</w:t>
      </w:r>
      <w:proofErr w:type="spellEnd"/>
      <w:r>
        <w:rPr>
          <w:rtl/>
        </w:rPr>
        <w:t xml:space="preserve"> הוציא מפיו מה שהגוי הבין כלחש, וכינה אותו “</w:t>
      </w:r>
      <w:proofErr w:type="spellStart"/>
      <w:r>
        <w:rPr>
          <w:rtl/>
        </w:rPr>
        <w:t>ברנצל׳ה</w:t>
      </w:r>
      <w:proofErr w:type="spellEnd"/>
      <w:r>
        <w:rPr>
          <w:rtl/>
        </w:rPr>
        <w:t xml:space="preserve">” – בשיבוש המילים שאמר ר׳ לייב. ר׳ משה </w:t>
      </w:r>
      <w:proofErr w:type="spellStart"/>
      <w:r>
        <w:rPr>
          <w:rtl/>
        </w:rPr>
        <w:t>ברלוביץ</w:t>
      </w:r>
      <w:proofErr w:type="spellEnd"/>
      <w:r>
        <w:rPr>
          <w:rtl/>
        </w:rPr>
        <w:t xml:space="preserve">, יהודי פשוט שנודע בעיר בשם משה </w:t>
      </w:r>
      <w:proofErr w:type="spellStart"/>
      <w:r>
        <w:rPr>
          <w:rtl/>
        </w:rPr>
        <w:t>דער</w:t>
      </w:r>
      <w:proofErr w:type="spellEnd"/>
      <w:r>
        <w:rPr>
          <w:rtl/>
        </w:rPr>
        <w:t xml:space="preserve"> </w:t>
      </w:r>
      <w:proofErr w:type="spellStart"/>
      <w:r>
        <w:rPr>
          <w:rtl/>
        </w:rPr>
        <w:t>סמאליער</w:t>
      </w:r>
      <w:proofErr w:type="spellEnd"/>
      <w:r>
        <w:rPr>
          <w:rtl/>
        </w:rPr>
        <w:t xml:space="preserve"> [משה עושה הזפת], סיפר זאת בעיר; בביתו שביער היה ר׳ לייב שוהה בקיץ, והוא שמע את המעשה מן הגוי.</w:t>
      </w:r>
    </w:p>
    <w:p w14:paraId="506AB34E" w14:textId="77777777" w:rsidR="00AB3647" w:rsidRDefault="00000000" w:rsidP="007923E9">
      <w:pPr>
        <w:spacing w:after="120" w:line="276" w:lineRule="auto"/>
        <w:ind w:firstLine="283"/>
        <w:jc w:val="both"/>
      </w:pPr>
      <w:r>
        <w:rPr>
          <w:rtl/>
        </w:rPr>
        <w:t>ר׳ בנימין זכר</w:t>
      </w:r>
      <w:bookmarkStart w:id="3531" w:name="_fnr2611"/>
      <w:r>
        <w:rPr>
          <w:rStyle w:val="a5"/>
        </w:rPr>
        <w:footnoteReference w:id="2618" w:customMarkFollows="0"/>
      </w:r>
      <w:bookmarkEnd w:id="3531"/>
      <w:r>
        <w:rPr>
          <w:rtl/>
        </w:rPr>
        <w:t xml:space="preserve"> שכאשר חזר מלימודיו בעיר הגדולה שאוול והביא עמו חפץ שלא היה מוכר </w:t>
      </w:r>
      <w:proofErr w:type="spellStart"/>
      <w:r>
        <w:rPr>
          <w:rtl/>
        </w:rPr>
        <w:t>בציטוביאן</w:t>
      </w:r>
      <w:proofErr w:type="spellEnd"/>
      <w:r>
        <w:rPr>
          <w:rtl/>
        </w:rPr>
        <w:t xml:space="preserve"> – פנס – החל ר׳ משה לצעוק: “זה כישוף; אסור להשתמש בזה!” אבל אחותי רבקה זכרה</w:t>
      </w:r>
      <w:bookmarkStart w:id="3532" w:name="_fnr2612"/>
      <w:r>
        <w:rPr>
          <w:rStyle w:val="a5"/>
        </w:rPr>
        <w:footnoteReference w:id="2619" w:customMarkFollows="0"/>
      </w:r>
      <w:bookmarkEnd w:id="3532"/>
      <w:r>
        <w:rPr>
          <w:rtl/>
        </w:rPr>
        <w:t xml:space="preserve"> שבמוצאי שבת אחד בקיץ, לאחר שר׳ משה, שהיה אז אלמן, אכל בביתנו, ביקש שאחד מאחינו הגדולים ילווהו לביתו בלילה החשוך כעין הפחם “עם מכשיר הכישוף” [במקום פנס נפט]. מן הסתם השלים עם ההמצאה החדישה.</w:t>
      </w:r>
    </w:p>
    <w:p w14:paraId="286D8A95" w14:textId="77777777" w:rsidR="00AB3647" w:rsidRDefault="00000000" w:rsidP="007923E9">
      <w:pPr>
        <w:spacing w:after="120" w:line="276" w:lineRule="auto"/>
        <w:ind w:firstLine="283"/>
        <w:jc w:val="both"/>
      </w:pPr>
      <w:r>
        <w:rPr>
          <w:rtl/>
        </w:rPr>
        <w:t xml:space="preserve">ר׳ משה מת ברעב בגטו שאוול בגיל תשעים ושתיים, </w:t>
      </w:r>
      <w:proofErr w:type="spellStart"/>
      <w:r>
        <w:rPr>
          <w:rtl/>
        </w:rPr>
        <w:t>בתש״ב</w:t>
      </w:r>
      <w:proofErr w:type="spellEnd"/>
      <w:r>
        <w:rPr>
          <w:rtl/>
        </w:rPr>
        <w:t xml:space="preserve">. נכדתו </w:t>
      </w:r>
      <w:proofErr w:type="spellStart"/>
      <w:r>
        <w:rPr>
          <w:rtl/>
        </w:rPr>
        <w:t>גיטל־טובה</w:t>
      </w:r>
      <w:proofErr w:type="spellEnd"/>
      <w:r>
        <w:rPr>
          <w:rtl/>
        </w:rPr>
        <w:t xml:space="preserve"> </w:t>
      </w:r>
      <w:proofErr w:type="spellStart"/>
      <w:r>
        <w:rPr>
          <w:rtl/>
        </w:rPr>
        <w:t>הימלפרב</w:t>
      </w:r>
      <w:proofErr w:type="spellEnd"/>
      <w:r>
        <w:rPr>
          <w:rtl/>
        </w:rPr>
        <w:t>, ששרדה את מחנה הריכוז הגרמני שאליו נלקחה כשחוסל הגטו, סיפרה</w:t>
      </w:r>
      <w:bookmarkStart w:id="3533" w:name="_fnr2613"/>
      <w:r>
        <w:rPr>
          <w:rStyle w:val="a5"/>
        </w:rPr>
        <w:footnoteReference w:id="2620" w:customMarkFollows="0"/>
      </w:r>
      <w:bookmarkEnd w:id="3533"/>
      <w:r>
        <w:rPr>
          <w:rtl/>
        </w:rPr>
        <w:t xml:space="preserve"> שסירב לאכול בגטו אוכל לא כשר. היא זכרה שאמה, בתו של ר׳ משה שנולדה </w:t>
      </w:r>
      <w:proofErr w:type="spellStart"/>
      <w:r>
        <w:rPr>
          <w:rtl/>
        </w:rPr>
        <w:t>בתרע״א</w:t>
      </w:r>
      <w:proofErr w:type="spellEnd"/>
      <w:r>
        <w:rPr>
          <w:rtl/>
        </w:rPr>
        <w:t>, התקשתה להכניס את הזקן לגטו תחת עיניהם הפקוחות של הגרמנים ומשתפי הפעולה שלהם, כשנאלצה המשפחה לעזוב את ביתה שבחלק אחר של העיר. בני משפחתו נאלצו להבריחו כשהוא מוסתר מתחת לבגדיהם, בעגלה שבה הכניסו את חפציהם.</w:t>
      </w:r>
    </w:p>
    <w:p w14:paraId="0D6A4867" w14:textId="77777777" w:rsidR="00AB3647" w:rsidRDefault="00000000" w:rsidP="007923E9">
      <w:pPr>
        <w:pStyle w:val="4"/>
        <w:spacing w:line="276" w:lineRule="auto"/>
      </w:pPr>
      <w:r>
        <w:t>· הפסקה השנייה ·</w:t>
      </w:r>
    </w:p>
    <w:p w14:paraId="41685BD4" w14:textId="77777777" w:rsidR="00AB3647" w:rsidRDefault="00000000" w:rsidP="007923E9">
      <w:pPr>
        <w:pStyle w:val="5"/>
        <w:spacing w:line="276" w:lineRule="auto"/>
      </w:pPr>
      <w:r>
        <w:t xml:space="preserve">נדמה כי ר׳ ישראל </w:t>
      </w:r>
      <w:proofErr w:type="spellStart"/>
      <w:r>
        <w:t>סלנטר</w:t>
      </w:r>
      <w:proofErr w:type="spellEnd"/>
      <w:r>
        <w:t xml:space="preserve"> מבקר את ר׳ לייב החסיד – לשונו הטהורה של ר׳ ישראל רק מברכת – מה אירע באמת כשנתקל הגוי בר׳ לייב – ר׳ ישראל דואג לזכויות הזולת – הוא מקשה על אחד הדינים שקבע </w:t>
      </w:r>
      <w:proofErr w:type="spellStart"/>
      <w:r>
        <w:t>החפץ־חיים</w:t>
      </w:r>
      <w:proofErr w:type="spellEnd"/>
      <w:r>
        <w:t xml:space="preserve"> בספרו “שמירת הלשון” – ר׳ ישראל מסרב לתת הסכמה להוצאתו לאור</w:t>
      </w:r>
    </w:p>
    <w:p w14:paraId="5B97A7A2" w14:textId="77777777" w:rsidR="00AB3647" w:rsidRDefault="00000000" w:rsidP="007923E9">
      <w:pPr>
        <w:spacing w:after="120" w:line="276" w:lineRule="auto"/>
        <w:ind w:firstLine="283"/>
        <w:jc w:val="both"/>
      </w:pPr>
      <w:r>
        <w:rPr>
          <w:rtl/>
        </w:rPr>
        <w:t xml:space="preserve">הסיפור על הקללה המיוחסת </w:t>
      </w:r>
      <w:proofErr w:type="spellStart"/>
      <w:r>
        <w:rPr>
          <w:rtl/>
        </w:rPr>
        <w:t>לר</w:t>
      </w:r>
      <w:proofErr w:type="spellEnd"/>
      <w:r>
        <w:rPr>
          <w:rtl/>
        </w:rPr>
        <w:t xml:space="preserve">׳ לייב פתר קושי שהטריד אותי במעשה שנרשם </w:t>
      </w:r>
      <w:proofErr w:type="spellStart"/>
      <w:r>
        <w:rPr>
          <w:rtl/>
        </w:rPr>
        <w:t>ב“חבר</w:t>
      </w:r>
      <w:proofErr w:type="spellEnd"/>
      <w:r>
        <w:rPr>
          <w:rtl/>
        </w:rPr>
        <w:t xml:space="preserve"> מאמרים דעת חכמה ומוסר” – השיחות שמסר מרן ירוחם הלוי </w:t>
      </w:r>
      <w:proofErr w:type="spellStart"/>
      <w:r>
        <w:rPr>
          <w:rtl/>
        </w:rPr>
        <w:t>ליוואוויץ</w:t>
      </w:r>
      <w:proofErr w:type="spellEnd"/>
      <w:r>
        <w:rPr>
          <w:rtl/>
        </w:rPr>
        <w:t xml:space="preserve"> בישיבת </w:t>
      </w:r>
      <w:proofErr w:type="spellStart"/>
      <w:r>
        <w:rPr>
          <w:rtl/>
        </w:rPr>
        <w:t>מיר</w:t>
      </w:r>
      <w:proofErr w:type="spellEnd"/>
      <w:r>
        <w:rPr>
          <w:rtl/>
        </w:rPr>
        <w:t xml:space="preserve"> בשנים תרצ״ד–תרצ״ה, כפי שרשמו אותן תלמידים</w:t>
      </w:r>
      <w:bookmarkStart w:id="3534" w:name="_fnr2614"/>
      <w:r>
        <w:rPr>
          <w:rStyle w:val="a5"/>
        </w:rPr>
        <w:footnoteReference w:id="2621" w:customMarkFollows="0"/>
      </w:r>
      <w:bookmarkEnd w:id="3534"/>
      <w:r>
        <w:rPr>
          <w:rtl/>
        </w:rPr>
        <w:t xml:space="preserve">. המשגיח סיפר “מעשה שמספרים על ר׳ ישראל </w:t>
      </w:r>
      <w:proofErr w:type="spellStart"/>
      <w:r>
        <w:rPr>
          <w:rtl/>
        </w:rPr>
        <w:t>סלנטר</w:t>
      </w:r>
      <w:proofErr w:type="spellEnd"/>
      <w:r>
        <w:rPr>
          <w:rtl/>
        </w:rPr>
        <w:t xml:space="preserve">, שכאשר </w:t>
      </w:r>
      <w:r>
        <w:rPr>
          <w:b/>
          <w:bCs/>
          <w:rtl/>
        </w:rPr>
        <w:t>שמע</w:t>
      </w:r>
      <w:r>
        <w:rPr>
          <w:rtl/>
        </w:rPr>
        <w:t xml:space="preserve"> ר׳ ישראל על ר׳ לייב חסיד, קודם שפגשו פנים אל פנים</w:t>
      </w:r>
      <w:bookmarkStart w:id="3535" w:name="_fnr2615"/>
      <w:r>
        <w:rPr>
          <w:rStyle w:val="a5"/>
        </w:rPr>
        <w:footnoteReference w:id="2622" w:customMarkFollows="0"/>
      </w:r>
      <w:bookmarkEnd w:id="3535"/>
      <w:r>
        <w:rPr>
          <w:rtl/>
        </w:rPr>
        <w:t>, ו</w:t>
      </w:r>
      <w:r>
        <w:rPr>
          <w:b/>
          <w:bCs/>
          <w:rtl/>
        </w:rPr>
        <w:t>שאל על מידותיו</w:t>
      </w:r>
      <w:r>
        <w:rPr>
          <w:rtl/>
        </w:rPr>
        <w:t xml:space="preserve"> (ההדגשה שלי), הייתה אחת משאלותיו אם אירע אי פעם שר׳ לייב הלך לחנווני והציע לו להתחלף עימו למשך יום אחד, כדי שר׳ לייב יוכל לשבת בחנות והחנווני ילך לבית המדרש וילמד תורה”. בשאלתו קבע ר׳ ישראל לתלמידיו את אמת המידה לחסיד אמיתי</w:t>
      </w:r>
      <w:bookmarkStart w:id="3536" w:name="_fnr2616"/>
      <w:r>
        <w:rPr>
          <w:rStyle w:val="a5"/>
        </w:rPr>
        <w:footnoteReference w:id="2623" w:customMarkFollows="0"/>
      </w:r>
      <w:bookmarkEnd w:id="3536"/>
      <w:r>
        <w:rPr>
          <w:rtl/>
        </w:rPr>
        <w:t>, ובשיחתו דן המשגיח במקורות חז״ל למעשה כזה של דאגה לזולת.</w:t>
      </w:r>
    </w:p>
    <w:p w14:paraId="6406E6F6" w14:textId="77777777" w:rsidR="00AB3647" w:rsidRDefault="00000000" w:rsidP="007923E9">
      <w:pPr>
        <w:spacing w:after="120" w:line="276" w:lineRule="auto"/>
        <w:ind w:firstLine="283"/>
        <w:jc w:val="both"/>
      </w:pPr>
      <w:r>
        <w:rPr>
          <w:rtl/>
        </w:rPr>
        <w:lastRenderedPageBreak/>
        <w:t>אבל נדמה לי שבעצם הצגת השאלה דווקא על ר׳ לייב חסיד מתח ר׳ ישראל ביקורת על אדם שמעולם לא פגש. עלינו גם לברר את הנקודות שהודגשו לעיל: מה “שמע” ר׳ ישראל על ר׳ לייב שגרם לו “לשאול על מידותיו”?</w:t>
      </w:r>
    </w:p>
    <w:p w14:paraId="77D767E5" w14:textId="77777777" w:rsidR="00AB3647" w:rsidRDefault="00000000" w:rsidP="007923E9">
      <w:pPr>
        <w:spacing w:after="120" w:line="276" w:lineRule="auto"/>
        <w:ind w:firstLine="283"/>
        <w:jc w:val="both"/>
      </w:pPr>
      <w:r>
        <w:rPr>
          <w:rtl/>
        </w:rPr>
        <w:t xml:space="preserve">אפשר להציע שמעשה אחר בר׳ ישראל, שרשם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בחלק “נתיבות אור” </w:t>
      </w:r>
      <w:proofErr w:type="spellStart"/>
      <w:r>
        <w:rPr>
          <w:rtl/>
        </w:rPr>
        <w:t>שב“אור</w:t>
      </w:r>
      <w:proofErr w:type="spellEnd"/>
      <w:r>
        <w:rPr>
          <w:rtl/>
        </w:rPr>
        <w:t xml:space="preserve"> ישראל”</w:t>
      </w:r>
      <w:bookmarkStart w:id="3537" w:name="_fnr2617"/>
      <w:r>
        <w:rPr>
          <w:rStyle w:val="a5"/>
        </w:rPr>
        <w:footnoteReference w:id="2624" w:customMarkFollows="0"/>
      </w:r>
      <w:bookmarkEnd w:id="3537"/>
      <w:r>
        <w:rPr>
          <w:rtl/>
        </w:rPr>
        <w:t>, שופך אור על קשיים אלה. מסופר בו: “פעם אחת, בעת שישב עם תלמידיו, עלה נושא הצדיקים שדבריהם מתקבלים בשמיים. אחד התלמידים אמר שהוא מכיר צדיק שכל דבריו מתקיימים בלי שייפול מהם צרור ארצה [עד הפרט הקטן ביותר]. אמר רבנו על כך בצחות, שכאשר אדם עומד במדרגה גבוהה כל כך שדבריו עושים רושם [בשמיים], עליו להיזהר לשמור את לשונו ושפתיו מלהוציא כל דבר רע, שכן בנקל עלול הוא להיעשות אדם המזיק. ומה ההבדל אם אדם מזיק בידיו או בשוט לשונו, ומכה את רעהו בסתר בכוח גזרת עליון?”</w:t>
      </w:r>
    </w:p>
    <w:p w14:paraId="1DB9B80D"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ממשיך ומשווה בין מי שמתירים לעצמם לעורר זעם שמיים על יריביהם – “אף יראי אלוקים, ש[אף ש]כעסם בוער, לא היו מרימים אפילו את אצבעם הקטנה להזיק למי שהכעיסם ופגע בהם” – לבין תגובותיו של רבו, “שעל ידו לא ראינו פלאים כאלה [של עוררות זעם שמיים על יריבים], כי לשונו הייתה כזהב מזוקק, והוא נזהר מאוד שלא להוציא מפיו, חלילה, שום דבר רע גם כנגד מי שהציק לו וייסר אותו. אבל פלא </w:t>
      </w:r>
      <w:r>
        <w:rPr>
          <w:b/>
          <w:bCs/>
          <w:rtl/>
        </w:rPr>
        <w:t>זה</w:t>
      </w:r>
      <w:r>
        <w:rPr>
          <w:rtl/>
        </w:rPr>
        <w:t xml:space="preserve"> ראינו אצלו: בכל פעם שמישהו פגע בו והציק לו, היה מנהגו להשתדל למצוא דרך </w:t>
      </w:r>
      <w:r>
        <w:rPr>
          <w:b/>
          <w:bCs/>
          <w:rtl/>
        </w:rPr>
        <w:t>לשלם לו טובה תחת רעה</w:t>
      </w:r>
      <w:r>
        <w:rPr>
          <w:rtl/>
        </w:rPr>
        <w:t xml:space="preserve"> (ההדגשה שלי)”</w:t>
      </w:r>
      <w:bookmarkStart w:id="3538" w:name="_fnr2618"/>
      <w:bookmarkStart w:id="3539" w:name="pr_f_2519"/>
      <w:r>
        <w:rPr>
          <w:rStyle w:val="a5"/>
        </w:rPr>
        <w:footnoteReference w:id="2625" w:customMarkFollows="0"/>
      </w:r>
      <w:bookmarkEnd w:id="3538"/>
      <w:bookmarkEnd w:id="3539"/>
      <w:r>
        <w:rPr>
          <w:rtl/>
        </w:rPr>
        <w:t>.</w:t>
      </w:r>
    </w:p>
    <w:p w14:paraId="78D687F0" w14:textId="77777777" w:rsidR="00AB3647" w:rsidRDefault="00000000" w:rsidP="007923E9">
      <w:pPr>
        <w:spacing w:after="120" w:line="276" w:lineRule="auto"/>
        <w:ind w:firstLine="283"/>
        <w:jc w:val="both"/>
      </w:pPr>
      <w:r>
        <w:rPr>
          <w:rtl/>
        </w:rPr>
        <w:t xml:space="preserve">אפשר לשער </w:t>
      </w:r>
      <w:proofErr w:type="spellStart"/>
      <w:r>
        <w:rPr>
          <w:rtl/>
        </w:rPr>
        <w:t>שה“צדיק</w:t>
      </w:r>
      <w:proofErr w:type="spellEnd"/>
      <w:r>
        <w:rPr>
          <w:rtl/>
        </w:rPr>
        <w:t xml:space="preserve">” שעליו נאמר </w:t>
      </w:r>
      <w:proofErr w:type="spellStart"/>
      <w:r>
        <w:rPr>
          <w:rtl/>
        </w:rPr>
        <w:t>לר</w:t>
      </w:r>
      <w:proofErr w:type="spellEnd"/>
      <w:r>
        <w:rPr>
          <w:rtl/>
        </w:rPr>
        <w:t xml:space="preserve">׳ ישראל </w:t>
      </w:r>
      <w:proofErr w:type="spellStart"/>
      <w:r>
        <w:rPr>
          <w:rtl/>
        </w:rPr>
        <w:t>סלנטר</w:t>
      </w:r>
      <w:proofErr w:type="spellEnd"/>
      <w:r>
        <w:rPr>
          <w:rtl/>
        </w:rPr>
        <w:t xml:space="preserve"> </w:t>
      </w:r>
      <w:proofErr w:type="spellStart"/>
      <w:r>
        <w:rPr>
          <w:rtl/>
        </w:rPr>
        <w:t>ש“דבריו</w:t>
      </w:r>
      <w:proofErr w:type="spellEnd"/>
      <w:r>
        <w:rPr>
          <w:rtl/>
        </w:rPr>
        <w:t xml:space="preserve"> מתקבלים בשמיים” אינו אלא ר׳ לייב חסיד, ושהסיפור כיצד היכה הצדיק “בשוט לשונו” את מי </w:t>
      </w:r>
      <w:proofErr w:type="spellStart"/>
      <w:r>
        <w:rPr>
          <w:rtl/>
        </w:rPr>
        <w:t>ש“הציקו</w:t>
      </w:r>
      <w:proofErr w:type="spellEnd"/>
      <w:r>
        <w:rPr>
          <w:rtl/>
        </w:rPr>
        <w:t xml:space="preserve"> לו וייסרו אותו” הוא המעשה שהפיץ עושה הזפת הפשוט </w:t>
      </w:r>
      <w:proofErr w:type="spellStart"/>
      <w:r>
        <w:rPr>
          <w:rtl/>
        </w:rPr>
        <w:t>מציטוביאן</w:t>
      </w:r>
      <w:proofErr w:type="spellEnd"/>
      <w:r>
        <w:rPr>
          <w:rtl/>
        </w:rPr>
        <w:t>, בניסיון “להבין” את מה שסיפר לו הגוי. אם נניח שהסיפור על כוחותיו המופלאים של ר׳ לייב נכון, הרי שר׳ ישראל הביע את מורת רוחו ממנו. הוא ביקש הן להפחית מערכם של המעשים האלה בעיני תלמידיו, בהגדירו את מי שעושה אותם “אדם המזיק”, והן להראות להם מה צריכה להיות אמת המידה לחסידות אמיתית.</w:t>
      </w:r>
    </w:p>
    <w:p w14:paraId="5929EB63" w14:textId="77777777" w:rsidR="00AB3647" w:rsidRDefault="00000000" w:rsidP="007923E9">
      <w:pPr>
        <w:spacing w:after="120" w:line="276" w:lineRule="auto"/>
        <w:ind w:firstLine="283"/>
        <w:jc w:val="both"/>
      </w:pPr>
      <w:r>
        <w:rPr>
          <w:rtl/>
        </w:rPr>
        <w:t xml:space="preserve">אם נניח בצד את פירושו של עושה הזפת למעשה, נוכל לשער מה אירע באמת. בשעה שהתעמת הגוי עם ר׳ לייב, ראה ר׳ לייב מאחורי גבו של הגוי שביתו החל לבעור. מתוך </w:t>
      </w:r>
      <w:r>
        <w:rPr>
          <w:b/>
          <w:bCs/>
          <w:rtl/>
        </w:rPr>
        <w:t>דאגה</w:t>
      </w:r>
      <w:r>
        <w:rPr>
          <w:rtl/>
        </w:rPr>
        <w:t xml:space="preserve"> למי שהציק לו – כפי שאף ר׳ ישראל עשוי היה לעשות, על פי עדותו של ר׳ </w:t>
      </w:r>
      <w:proofErr w:type="spellStart"/>
      <w:r>
        <w:rPr>
          <w:rtl/>
        </w:rPr>
        <w:t>איצל׳ה</w:t>
      </w:r>
      <w:proofErr w:type="spellEnd"/>
      <w:r>
        <w:rPr>
          <w:rtl/>
        </w:rPr>
        <w:t xml:space="preserve"> שרבו שילם “טובה תחת רעה” [כמודגש לעיל] – כל שקרא החסיד האמיתי היה: “</w:t>
      </w:r>
      <w:proofErr w:type="spellStart"/>
      <w:r>
        <w:rPr>
          <w:rtl/>
        </w:rPr>
        <w:t>ס׳ברענט</w:t>
      </w:r>
      <w:proofErr w:type="spellEnd"/>
      <w:r>
        <w:rPr>
          <w:rtl/>
        </w:rPr>
        <w:t xml:space="preserve"> די </w:t>
      </w:r>
      <w:proofErr w:type="spellStart"/>
      <w:r>
        <w:rPr>
          <w:rtl/>
        </w:rPr>
        <w:t>הויז</w:t>
      </w:r>
      <w:proofErr w:type="spellEnd"/>
      <w:r>
        <w:rPr>
          <w:rtl/>
        </w:rPr>
        <w:t xml:space="preserve"> [הבית בוער]!”, או משהו קרוב עוד יותר </w:t>
      </w:r>
      <w:proofErr w:type="spellStart"/>
      <w:r>
        <w:rPr>
          <w:rtl/>
        </w:rPr>
        <w:t>ל“ברנצל׳ה</w:t>
      </w:r>
      <w:proofErr w:type="spellEnd"/>
      <w:r>
        <w:rPr>
          <w:rtl/>
        </w:rPr>
        <w:t>” ששמע הגוי, כגון “</w:t>
      </w:r>
      <w:proofErr w:type="spellStart"/>
      <w:r>
        <w:rPr>
          <w:rtl/>
        </w:rPr>
        <w:t>ס׳ברענט</w:t>
      </w:r>
      <w:proofErr w:type="spellEnd"/>
      <w:r>
        <w:rPr>
          <w:rtl/>
        </w:rPr>
        <w:t xml:space="preserve"> </w:t>
      </w:r>
      <w:proofErr w:type="spellStart"/>
      <w:r>
        <w:rPr>
          <w:rtl/>
        </w:rPr>
        <w:t>ד׳ס׳הייזאלע</w:t>
      </w:r>
      <w:proofErr w:type="spellEnd"/>
      <w:r>
        <w:rPr>
          <w:rtl/>
        </w:rPr>
        <w:t xml:space="preserve"> [הבקתה בוערת]!”</w:t>
      </w:r>
      <w:bookmarkStart w:id="3540" w:name="_fnr2619"/>
      <w:r>
        <w:rPr>
          <w:rStyle w:val="a5"/>
        </w:rPr>
        <w:footnoteReference w:id="2626" w:customMarkFollows="0"/>
      </w:r>
      <w:bookmarkEnd w:id="3540"/>
      <w:r>
        <w:rPr>
          <w:rtl/>
        </w:rPr>
        <w:t>.</w:t>
      </w:r>
    </w:p>
    <w:p w14:paraId="38380FB4" w14:textId="77777777" w:rsidR="00AB3647" w:rsidRDefault="00000000" w:rsidP="007923E9">
      <w:pPr>
        <w:spacing w:after="120" w:line="276" w:lineRule="auto"/>
        <w:ind w:firstLine="283"/>
        <w:jc w:val="both"/>
      </w:pPr>
      <w:r>
        <w:rPr>
          <w:rtl/>
        </w:rPr>
        <w:lastRenderedPageBreak/>
        <w:t xml:space="preserve">הגוי, שהרגיש שהוא ראוי לקללה, חשב שדברי החסיד הם קללה שנאמרה באמצעות מילת </w:t>
      </w:r>
      <w:proofErr w:type="spellStart"/>
      <w:r>
        <w:rPr>
          <w:rtl/>
        </w:rPr>
        <w:t>ה“כישוף</w:t>
      </w:r>
      <w:proofErr w:type="spellEnd"/>
      <w:r>
        <w:rPr>
          <w:rtl/>
        </w:rPr>
        <w:t>” “</w:t>
      </w:r>
      <w:proofErr w:type="spellStart"/>
      <w:r>
        <w:rPr>
          <w:rtl/>
        </w:rPr>
        <w:t>ברנצל׳ה</w:t>
      </w:r>
      <w:proofErr w:type="spellEnd"/>
      <w:r>
        <w:rPr>
          <w:rtl/>
        </w:rPr>
        <w:t xml:space="preserve">”. כששמע ר׳ משה </w:t>
      </w:r>
      <w:proofErr w:type="spellStart"/>
      <w:r>
        <w:rPr>
          <w:rtl/>
        </w:rPr>
        <w:t>ברלוביץ</w:t>
      </w:r>
      <w:proofErr w:type="spellEnd"/>
      <w:r>
        <w:rPr>
          <w:rtl/>
        </w:rPr>
        <w:t xml:space="preserve"> את המעשה מפי הגוי, ידע שצדיק אינו אומר לחשים, ולכן סבר </w:t>
      </w:r>
      <w:proofErr w:type="spellStart"/>
      <w:r>
        <w:rPr>
          <w:rtl/>
        </w:rPr>
        <w:t>ש“ברנצל׳ה</w:t>
      </w:r>
      <w:proofErr w:type="spellEnd"/>
      <w:r>
        <w:rPr>
          <w:rtl/>
        </w:rPr>
        <w:t xml:space="preserve">” היא שיבוש של תפילתו של ר׳ לייב שנאמרה ביידיש, “שתישרף”. ודאי אין זה רחוק להניח שיהודי שכעבור </w:t>
      </w:r>
      <w:r>
        <w:rPr>
          <w:b/>
          <w:bCs/>
          <w:rtl/>
        </w:rPr>
        <w:t>חמישים שנה</w:t>
      </w:r>
      <w:r>
        <w:rPr>
          <w:rtl/>
        </w:rPr>
        <w:t xml:space="preserve"> האמין שסוללה חשמלית היא כישוף, יראה בשרפה בבית הגוי מאורע שמקורו </w:t>
      </w:r>
      <w:proofErr w:type="spellStart"/>
      <w:r>
        <w:rPr>
          <w:rtl/>
        </w:rPr>
        <w:t>על־טבעי</w:t>
      </w:r>
      <w:proofErr w:type="spellEnd"/>
      <w:r>
        <w:rPr>
          <w:rtl/>
        </w:rPr>
        <w:t xml:space="preserve"> – הכישוף הלבן של </w:t>
      </w:r>
      <w:proofErr w:type="spellStart"/>
      <w:r>
        <w:rPr>
          <w:rtl/>
        </w:rPr>
        <w:t>תפילת־קללת</w:t>
      </w:r>
      <w:proofErr w:type="spellEnd"/>
      <w:r>
        <w:rPr>
          <w:rtl/>
        </w:rPr>
        <w:t xml:space="preserve"> החסיד. אבי העריץ את ר׳ לייב ואהב לספר עליו, ובוודאי שמע </w:t>
      </w:r>
      <w:proofErr w:type="spellStart"/>
      <w:r>
        <w:rPr>
          <w:rtl/>
        </w:rPr>
        <w:t>בציטוביאן</w:t>
      </w:r>
      <w:proofErr w:type="spellEnd"/>
      <w:r>
        <w:rPr>
          <w:rtl/>
        </w:rPr>
        <w:t xml:space="preserve"> על העונש </w:t>
      </w:r>
      <w:proofErr w:type="spellStart"/>
      <w:r>
        <w:rPr>
          <w:rtl/>
        </w:rPr>
        <w:t>ה“ניסי</w:t>
      </w:r>
      <w:proofErr w:type="spellEnd"/>
      <w:r>
        <w:rPr>
          <w:rtl/>
        </w:rPr>
        <w:t xml:space="preserve">” הזה – ומעולם לא שמענו ממנו את הסיפור. גם עובדה זו מוכיחה שדחה את </w:t>
      </w:r>
      <w:proofErr w:type="spellStart"/>
      <w:r>
        <w:rPr>
          <w:rtl/>
        </w:rPr>
        <w:t>אמיתותו</w:t>
      </w:r>
      <w:proofErr w:type="spellEnd"/>
      <w:r>
        <w:rPr>
          <w:rtl/>
        </w:rPr>
        <w:t>.</w:t>
      </w:r>
    </w:p>
    <w:p w14:paraId="59BF44F4" w14:textId="77777777" w:rsidR="00AB3647" w:rsidRDefault="00000000" w:rsidP="007923E9">
      <w:pPr>
        <w:spacing w:after="120" w:line="276" w:lineRule="auto"/>
        <w:ind w:firstLine="283"/>
        <w:jc w:val="both"/>
      </w:pPr>
      <w:r>
        <w:rPr>
          <w:rtl/>
        </w:rPr>
        <w:t xml:space="preserve">אבל עדיין נותרת שאלה: אם מתח ר׳ ישראל </w:t>
      </w:r>
      <w:proofErr w:type="spellStart"/>
      <w:r>
        <w:rPr>
          <w:rtl/>
        </w:rPr>
        <w:t>סלנטר</w:t>
      </w:r>
      <w:proofErr w:type="spellEnd"/>
      <w:r>
        <w:rPr>
          <w:rtl/>
        </w:rPr>
        <w:t xml:space="preserve"> ביקורת על ר׳ לייב, מדוע ביקש להיפגש עימו? נראה לי, כפי שיוסבר עוד להלן, שר׳ ישראל לא האמין לידיעה שהשרפה ניצתה מכוח קללה. הוא החליט לפגוש את ר׳ לייב כדי לעמוד על טיבו ולהיווכח בעצמו שהחסיד </w:t>
      </w:r>
      <w:r>
        <w:rPr>
          <w:b/>
          <w:bCs/>
          <w:rtl/>
        </w:rPr>
        <w:t>אינו</w:t>
      </w:r>
      <w:r>
        <w:rPr>
          <w:rtl/>
        </w:rPr>
        <w:t xml:space="preserve"> מסוג האנשים המקללים אחרים, ואפילו לא גויים שמציקים להם – ואכן לא היה כזה. במקום להתווכח עם תלמידיו ולטעון שאפשר שלא קללה היא שהעלתה את בית הגוי באש, ניצל את הנחתם המוטעית לצורך חינוכי: ללמדם את גישתו הכללית בדבר המגבלות שזכויות בין אדם לחברו מטילות על בעלי כוחות </w:t>
      </w:r>
      <w:proofErr w:type="spellStart"/>
      <w:r>
        <w:rPr>
          <w:rtl/>
        </w:rPr>
        <w:t>על־טבעיים</w:t>
      </w:r>
      <w:proofErr w:type="spellEnd"/>
      <w:r>
        <w:rPr>
          <w:rtl/>
        </w:rPr>
        <w:t>.</w:t>
      </w:r>
    </w:p>
    <w:p w14:paraId="19C5394E" w14:textId="77777777" w:rsidR="00AB3647" w:rsidRDefault="00000000" w:rsidP="007923E9">
      <w:pPr>
        <w:spacing w:after="120" w:line="276" w:lineRule="auto"/>
        <w:ind w:firstLine="283"/>
        <w:jc w:val="both"/>
      </w:pPr>
      <w:r>
        <w:rPr>
          <w:rtl/>
        </w:rPr>
        <w:t xml:space="preserve">מחלוקת מעניינת בין ר׳ ישראל </w:t>
      </w:r>
      <w:proofErr w:type="spellStart"/>
      <w:r>
        <w:rPr>
          <w:rtl/>
        </w:rPr>
        <w:t>סלנטר</w:t>
      </w:r>
      <w:proofErr w:type="spellEnd"/>
      <w:r>
        <w:rPr>
          <w:rtl/>
        </w:rPr>
        <w:t xml:space="preserve"> </w:t>
      </w:r>
      <w:proofErr w:type="spellStart"/>
      <w:r>
        <w:rPr>
          <w:rtl/>
        </w:rPr>
        <w:t>לחפץ־חיים</w:t>
      </w:r>
      <w:proofErr w:type="spellEnd"/>
      <w:r>
        <w:rPr>
          <w:rtl/>
        </w:rPr>
        <w:t xml:space="preserve"> מדגישה את אמונתו העמוקה של ר׳ ישראל במגבלות שהיחסים שבין אדם לחברו מטילים על הנהגתו הדתית של אדם. השווה “כל כתבי </w:t>
      </w:r>
      <w:proofErr w:type="spellStart"/>
      <w:r>
        <w:rPr>
          <w:rtl/>
        </w:rPr>
        <w:t>ח״ח</w:t>
      </w:r>
      <w:proofErr w:type="spellEnd"/>
      <w:r>
        <w:rPr>
          <w:rtl/>
        </w:rPr>
        <w:t>”:</w:t>
      </w:r>
      <w:bookmarkStart w:id="3541" w:name="_fnr2620"/>
      <w:r>
        <w:rPr>
          <w:rStyle w:val="a5"/>
        </w:rPr>
        <w:footnoteReference w:id="2627" w:customMarkFollows="0"/>
      </w:r>
      <w:bookmarkEnd w:id="3541"/>
      <w:r>
        <w:rPr>
          <w:rtl/>
        </w:rPr>
        <w:t xml:space="preserve"> שם מספר תלמידו ר׳ </w:t>
      </w:r>
      <w:proofErr w:type="spellStart"/>
      <w:r>
        <w:rPr>
          <w:rtl/>
        </w:rPr>
        <w:t>אברהם־אבא</w:t>
      </w:r>
      <w:proofErr w:type="spellEnd"/>
      <w:r>
        <w:rPr>
          <w:rtl/>
        </w:rPr>
        <w:t xml:space="preserve"> </w:t>
      </w:r>
      <w:proofErr w:type="spellStart"/>
      <w:r>
        <w:rPr>
          <w:rtl/>
        </w:rPr>
        <w:t>קוסובסקי</w:t>
      </w:r>
      <w:proofErr w:type="spellEnd"/>
      <w:r>
        <w:rPr>
          <w:rtl/>
        </w:rPr>
        <w:t xml:space="preserve"> </w:t>
      </w:r>
      <w:proofErr w:type="spellStart"/>
      <w:r>
        <w:rPr>
          <w:rtl/>
        </w:rPr>
        <w:t>שהחפץ־חיים</w:t>
      </w:r>
      <w:proofErr w:type="spellEnd"/>
      <w:r>
        <w:rPr>
          <w:rtl/>
        </w:rPr>
        <w:t xml:space="preserve"> אמר לו שהביא </w:t>
      </w:r>
      <w:proofErr w:type="spellStart"/>
      <w:r>
        <w:rPr>
          <w:rtl/>
        </w:rPr>
        <w:t>לר</w:t>
      </w:r>
      <w:proofErr w:type="spellEnd"/>
      <w:r>
        <w:rPr>
          <w:rtl/>
        </w:rPr>
        <w:t>׳ ישראל עותק של כתב היד של “שמירת הלשון” לעיון</w:t>
      </w:r>
      <w:bookmarkStart w:id="3542" w:name="_fnr2621"/>
      <w:bookmarkStart w:id="3543" w:name="pr_f_2522"/>
      <w:r>
        <w:rPr>
          <w:rStyle w:val="a5"/>
        </w:rPr>
        <w:footnoteReference w:id="2628" w:customMarkFollows="0"/>
      </w:r>
      <w:bookmarkEnd w:id="3542"/>
      <w:bookmarkEnd w:id="3543"/>
      <w:r>
        <w:rPr>
          <w:rtl/>
        </w:rPr>
        <w:t xml:space="preserve">. כשחזר </w:t>
      </w:r>
      <w:proofErr w:type="spellStart"/>
      <w:r>
        <w:rPr>
          <w:rtl/>
        </w:rPr>
        <w:t>החפץ־חיים</w:t>
      </w:r>
      <w:proofErr w:type="spellEnd"/>
      <w:r>
        <w:rPr>
          <w:rtl/>
        </w:rPr>
        <w:t xml:space="preserve"> אל ר׳ ישראל (וציפה לקבל הסכמה</w:t>
      </w:r>
      <w:bookmarkStart w:id="3544" w:name="_fnr2622"/>
      <w:r>
        <w:rPr>
          <w:rStyle w:val="a5"/>
        </w:rPr>
        <w:footnoteReference w:id="2629" w:customMarkFollows="0"/>
      </w:r>
      <w:bookmarkEnd w:id="3544"/>
      <w:r>
        <w:rPr>
          <w:rtl/>
        </w:rPr>
        <w:t>), אמר לו ר׳ ישראל שיש לו “קושיא עצומה” על אחת מפסיקותיו</w:t>
      </w:r>
      <w:bookmarkStart w:id="3545" w:name="_fnr2623"/>
      <w:r>
        <w:rPr>
          <w:rStyle w:val="a5"/>
        </w:rPr>
        <w:footnoteReference w:id="2630" w:customMarkFollows="0"/>
      </w:r>
      <w:bookmarkEnd w:id="3545"/>
      <w:r>
        <w:rPr>
          <w:rtl/>
        </w:rPr>
        <w:t>: מי שדיבר לשון הרע על חברו, וחברו אינו יודע על כך, צריך לגלות לו את דברי הגנאי שאמר עליו ולבקש את מחילתו. מאחר שהנפגע אינו יודע דבר, והידיעה תצער אותו, שאל ר׳ ישראל: באיזו זכות יפגע החוטא בחברו רק כדי לספק את צורכו האישי בתשובה</w:t>
      </w:r>
      <w:bookmarkStart w:id="3546" w:name="_fnr2624"/>
      <w:r>
        <w:rPr>
          <w:rStyle w:val="a5"/>
        </w:rPr>
        <w:footnoteReference w:id="2631" w:customMarkFollows="0"/>
      </w:r>
      <w:bookmarkEnd w:id="3546"/>
      <w:r>
        <w:rPr>
          <w:rtl/>
        </w:rPr>
        <w:t xml:space="preserve">? </w:t>
      </w:r>
      <w:proofErr w:type="spellStart"/>
      <w:r>
        <w:rPr>
          <w:rtl/>
        </w:rPr>
        <w:t>לחפץ־חיים</w:t>
      </w:r>
      <w:proofErr w:type="spellEnd"/>
      <w:r>
        <w:rPr>
          <w:rtl/>
        </w:rPr>
        <w:t xml:space="preserve"> </w:t>
      </w:r>
      <w:r>
        <w:rPr>
          <w:rtl/>
        </w:rPr>
        <w:lastRenderedPageBreak/>
        <w:t xml:space="preserve">הייתה תשובה מוכנה: הוא העתיק דין זה </w:t>
      </w:r>
      <w:proofErr w:type="spellStart"/>
      <w:r>
        <w:rPr>
          <w:rtl/>
        </w:rPr>
        <w:t>מ“שערי</w:t>
      </w:r>
      <w:proofErr w:type="spellEnd"/>
      <w:r>
        <w:rPr>
          <w:rtl/>
        </w:rPr>
        <w:t xml:space="preserve"> תשובה” לרבנו יונה. אבל התשובה לא הניחה את דעתו של ר׳ ישראל</w:t>
      </w:r>
      <w:bookmarkStart w:id="3547" w:name="_fnr2625"/>
      <w:bookmarkStart w:id="3548" w:name="pr_f_2526"/>
      <w:r>
        <w:rPr>
          <w:rStyle w:val="a5"/>
        </w:rPr>
        <w:footnoteReference w:id="2632" w:customMarkFollows="0"/>
      </w:r>
      <w:bookmarkEnd w:id="3547"/>
      <w:bookmarkEnd w:id="3548"/>
      <w:r>
        <w:rPr>
          <w:rtl/>
        </w:rPr>
        <w:t xml:space="preserve">, ולא זיכתה את </w:t>
      </w:r>
      <w:proofErr w:type="spellStart"/>
      <w:r>
        <w:rPr>
          <w:rtl/>
        </w:rPr>
        <w:t>החפץ־חיים</w:t>
      </w:r>
      <w:proofErr w:type="spellEnd"/>
      <w:r>
        <w:rPr>
          <w:rtl/>
        </w:rPr>
        <w:t xml:space="preserve"> בהסכמה לספר שכתב</w:t>
      </w:r>
      <w:bookmarkStart w:id="3549" w:name="_fnr2626"/>
      <w:r>
        <w:rPr>
          <w:rStyle w:val="a5"/>
        </w:rPr>
        <w:footnoteReference w:id="2633" w:customMarkFollows="0"/>
      </w:r>
      <w:bookmarkEnd w:id="3549"/>
      <w:r>
        <w:rPr>
          <w:rtl/>
        </w:rPr>
        <w:t>.</w:t>
      </w:r>
    </w:p>
    <w:p w14:paraId="3E34380F" w14:textId="77777777" w:rsidR="00AB3647" w:rsidRDefault="00000000" w:rsidP="007923E9">
      <w:pPr>
        <w:spacing w:after="120" w:line="276" w:lineRule="auto"/>
        <w:ind w:firstLine="283"/>
        <w:jc w:val="both"/>
      </w:pPr>
      <w:r>
        <w:rPr>
          <w:rtl/>
        </w:rPr>
        <w:t>לפנינו דוגמה ברורה לדרכו של ר׳ ישראל: חובת התשובה הדתית אינה יכולה לדחות את חובותיו של אדם כלפי זולתו. גישה זו מתיישבת עם עקרונו של ר׳ ישראל, ששיקולי בין אדם למקום לעולם אינם באים על חשבון בין אדם לחברו. לפי אמרתו, “צרכי הגוף של האחר הם עניני הנשמה שלי”</w:t>
      </w:r>
      <w:bookmarkStart w:id="3550" w:name="_fnr2627"/>
      <w:r>
        <w:rPr>
          <w:rStyle w:val="a5"/>
        </w:rPr>
        <w:footnoteReference w:id="2634" w:customMarkFollows="0"/>
      </w:r>
      <w:bookmarkEnd w:id="3550"/>
      <w:r>
        <w:rPr>
          <w:rtl/>
        </w:rPr>
        <w:t xml:space="preserve">, היחסים שבין אדם לחברו הם במהותם </w:t>
      </w:r>
      <w:r>
        <w:rPr>
          <w:b/>
          <w:bCs/>
          <w:rtl/>
        </w:rPr>
        <w:t>גם</w:t>
      </w:r>
      <w:r>
        <w:rPr>
          <w:rtl/>
        </w:rPr>
        <w:t xml:space="preserve"> בין אדם למקום, ולכן אין חיובים [אחרים] של בין אדם למקום יכולים לדחותם. בדיון עם תלמידיו ניצל ר׳ ישראל את </w:t>
      </w:r>
      <w:r>
        <w:rPr>
          <w:b/>
          <w:bCs/>
          <w:rtl/>
        </w:rPr>
        <w:t>הנחתם</w:t>
      </w:r>
      <w:r>
        <w:rPr>
          <w:rtl/>
        </w:rPr>
        <w:t xml:space="preserve"> שהמקלל עומד במדרגה גבוהה בבין אדם למקום, כלומר שזכה לכוחות נסתרים ממרומים, כדי להראות שגם אם כך הוא, אין הדבר מקנה לו זכות לפגוע באחרים.</w:t>
      </w:r>
    </w:p>
    <w:p w14:paraId="74575F4D" w14:textId="478E9FC1" w:rsidR="00AB3647" w:rsidRDefault="00000000" w:rsidP="007923E9">
      <w:pPr>
        <w:spacing w:after="120" w:line="276" w:lineRule="auto"/>
        <w:ind w:firstLine="283"/>
        <w:jc w:val="both"/>
      </w:pPr>
      <w:r>
        <w:rPr>
          <w:rtl/>
        </w:rPr>
        <w:t xml:space="preserve">באשר לתוצאת פגישתם של ר׳ ישראל </w:t>
      </w:r>
      <w:proofErr w:type="spellStart"/>
      <w:r>
        <w:rPr>
          <w:rtl/>
        </w:rPr>
        <w:t>והחפץ־חיים</w:t>
      </w:r>
      <w:proofErr w:type="spellEnd"/>
      <w:r>
        <w:rPr>
          <w:rtl/>
        </w:rPr>
        <w:t xml:space="preserve"> בעניין ספרו החדש של האחרון, השווה את הציטוט </w:t>
      </w:r>
      <w:proofErr w:type="spellStart"/>
      <w:r>
        <w:rPr>
          <w:rtl/>
        </w:rPr>
        <w:t>מ“מאיר</w:t>
      </w:r>
      <w:proofErr w:type="spellEnd"/>
      <w:r>
        <w:rPr>
          <w:rtl/>
        </w:rPr>
        <w:t xml:space="preserve"> עיני ישראל” ב</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לעיל, בשם ר׳ מאיר </w:t>
      </w:r>
      <w:proofErr w:type="spellStart"/>
      <w:r>
        <w:rPr>
          <w:rtl/>
        </w:rPr>
        <w:t>קרליץ</w:t>
      </w:r>
      <w:proofErr w:type="spellEnd"/>
      <w:r>
        <w:rPr>
          <w:rtl/>
        </w:rPr>
        <w:t xml:space="preserve">, שלפיו יעץ ר׳ ישראל </w:t>
      </w:r>
      <w:proofErr w:type="spellStart"/>
      <w:r>
        <w:rPr>
          <w:rtl/>
        </w:rPr>
        <w:t>לחפץ־חיים</w:t>
      </w:r>
      <w:proofErr w:type="spellEnd"/>
      <w:r>
        <w:rPr>
          <w:rtl/>
        </w:rPr>
        <w:t xml:space="preserve"> לפרסם את ספרו. אבל לפי “פרח מטה אהרן”</w:t>
      </w:r>
      <w:bookmarkStart w:id="3551" w:name="_fnr2628"/>
      <w:r>
        <w:rPr>
          <w:rStyle w:val="a5"/>
        </w:rPr>
        <w:footnoteReference w:id="2635" w:customMarkFollows="0"/>
      </w:r>
      <w:bookmarkEnd w:id="3551"/>
      <w:r>
        <w:rPr>
          <w:rtl/>
        </w:rPr>
        <w:t xml:space="preserve">, בשם ר׳ יצחק </w:t>
      </w:r>
      <w:proofErr w:type="spellStart"/>
      <w:r>
        <w:rPr>
          <w:rtl/>
        </w:rPr>
        <w:t>הוטנר</w:t>
      </w:r>
      <w:proofErr w:type="spellEnd"/>
      <w:r>
        <w:rPr>
          <w:rtl/>
        </w:rPr>
        <w:t xml:space="preserve">, ר׳ ישראל לא רק סירב לתת לספר הסכמה בלתי מסויגת, בשל ביקורתו הנזכרת לעיל, אלא אף סירב לכתוב הסכמה מסויגת שתכלול הסתייגות מפורשת מן ההלכה שעליה הקשה. הוא נימק את סירובו בכך </w:t>
      </w:r>
      <w:proofErr w:type="spellStart"/>
      <w:r>
        <w:rPr>
          <w:rtl/>
        </w:rPr>
        <w:t>ש“אנשים</w:t>
      </w:r>
      <w:proofErr w:type="spellEnd"/>
      <w:r>
        <w:rPr>
          <w:rtl/>
        </w:rPr>
        <w:t xml:space="preserve"> רבים קוראים ספר בלי לעיין בהסכמות”, ואם יעודד בדרך כלשהי את הוצאת הספר לאור, יעבור על האיסור “לפני עור לא </w:t>
      </w:r>
      <w:proofErr w:type="spellStart"/>
      <w:r>
        <w:rPr>
          <w:rtl/>
        </w:rPr>
        <w:t>תתן</w:t>
      </w:r>
      <w:proofErr w:type="spellEnd"/>
      <w:r>
        <w:rPr>
          <w:rtl/>
        </w:rPr>
        <w:t xml:space="preserve"> מכשול”</w:t>
      </w:r>
      <w:bookmarkStart w:id="3552" w:name="_fnr2629"/>
      <w:r>
        <w:rPr>
          <w:rStyle w:val="a5"/>
        </w:rPr>
        <w:footnoteReference w:id="2636" w:customMarkFollows="0"/>
      </w:r>
      <w:bookmarkEnd w:id="3552"/>
      <w:r>
        <w:rPr>
          <w:rtl/>
        </w:rPr>
        <w:t xml:space="preserve">, בכך </w:t>
      </w:r>
      <w:proofErr w:type="spellStart"/>
      <w:r>
        <w:rPr>
          <w:rtl/>
        </w:rPr>
        <w:t>ש“יכשיל</w:t>
      </w:r>
      <w:proofErr w:type="spellEnd"/>
      <w:r>
        <w:rPr>
          <w:rtl/>
        </w:rPr>
        <w:t xml:space="preserve"> אותם [לפגוע ברגשות הזולת בעת בקשת מחילה]”.</w:t>
      </w:r>
    </w:p>
    <w:p w14:paraId="56F01498" w14:textId="77777777" w:rsidR="00AB3647" w:rsidRDefault="00000000" w:rsidP="007923E9">
      <w:pPr>
        <w:spacing w:after="120" w:line="276" w:lineRule="auto"/>
        <w:ind w:firstLine="283"/>
        <w:jc w:val="both"/>
      </w:pPr>
      <w:r>
        <w:rPr>
          <w:rtl/>
        </w:rPr>
        <w:t xml:space="preserve">מנגד, השווה את עדות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xml:space="preserve"> </w:t>
      </w:r>
      <w:proofErr w:type="spellStart"/>
      <w:r>
        <w:rPr>
          <w:rtl/>
        </w:rPr>
        <w:t>ב“החפץ</w:t>
      </w:r>
      <w:proofErr w:type="spellEnd"/>
      <w:r>
        <w:rPr>
          <w:rtl/>
        </w:rPr>
        <w:t xml:space="preserve"> חיים (ישר)”</w:t>
      </w:r>
      <w:bookmarkStart w:id="3553" w:name="_fnr2630"/>
      <w:r>
        <w:rPr>
          <w:rStyle w:val="a5"/>
        </w:rPr>
        <w:footnoteReference w:id="2637" w:customMarkFollows="0"/>
      </w:r>
      <w:bookmarkEnd w:id="3553"/>
      <w:r>
        <w:rPr>
          <w:rtl/>
        </w:rPr>
        <w:t xml:space="preserve">: חתנו של ר׳ ישראל </w:t>
      </w:r>
      <w:proofErr w:type="spellStart"/>
      <w:r>
        <w:rPr>
          <w:rtl/>
        </w:rPr>
        <w:t>סלנטר</w:t>
      </w:r>
      <w:proofErr w:type="spellEnd"/>
      <w:r>
        <w:rPr>
          <w:rtl/>
        </w:rPr>
        <w:t xml:space="preserve"> בווילנה, ר׳ </w:t>
      </w:r>
      <w:proofErr w:type="spellStart"/>
      <w:r>
        <w:rPr>
          <w:rtl/>
        </w:rPr>
        <w:t>אליהו־לייזר</w:t>
      </w:r>
      <w:proofErr w:type="spellEnd"/>
      <w:r>
        <w:rPr>
          <w:rtl/>
        </w:rPr>
        <w:t xml:space="preserve"> </w:t>
      </w:r>
      <w:proofErr w:type="spellStart"/>
      <w:r>
        <w:rPr>
          <w:rtl/>
        </w:rPr>
        <w:t xml:space="preserve">גרודננסקי</w:t>
      </w:r>
      <w:proofErr w:type="spellEnd"/>
      <w:r>
        <w:rPr>
          <w:rtl/>
        </w:rPr>
        <w:t xml:space="preserve">, שלח </w:t>
      </w:r>
      <w:proofErr w:type="spellStart"/>
      <w:r>
        <w:rPr>
          <w:rtl/>
        </w:rPr>
        <w:t>לחפץ־חיים</w:t>
      </w:r>
      <w:proofErr w:type="spellEnd"/>
      <w:r>
        <w:rPr>
          <w:rtl/>
        </w:rPr>
        <w:t xml:space="preserve"> מכתב “שנים אחדות לאחר הוצאת ספר שמירת הלשון </w:t>
      </w:r>
      <w:proofErr w:type="spellStart"/>
      <w:r>
        <w:rPr>
          <w:rtl/>
        </w:rPr>
        <w:t>בתרל״ג</w:t>
      </w:r>
      <w:proofErr w:type="spellEnd"/>
      <w:r>
        <w:rPr>
          <w:rtl/>
        </w:rPr>
        <w:t>”</w:t>
      </w:r>
      <w:bookmarkStart w:id="3554" w:name="_fnr2631"/>
      <w:bookmarkEnd w:id="3554"/>
      <w:r>
        <w:rPr>
          <w:rStyle w:val="a5"/>
        </w:rPr>
        <w:t/>
      </w:r>
      <w:bookmarkStart w:id="7029" w:name="_TranslatorNote_2630"/>
      <w:r>
        <w:rPr>
          <w:rStyle w:val="a5"/>
          <w:vertAlign w:val="superscript"/>
          <w:rtl/>
        </w:rPr>
        <w:footnoteReference w:id="2638" w:customMarkFollows="1"/>
        <w:t>*</w:t>
      </w:r>
      <w:bookmarkEnd w:id="7029"/>
      <w:r>
        <w:rPr>
          <w:rtl/>
        </w:rPr>
        <w:t xml:space="preserve">, ובו נאמר שר׳ ישראל מבקש את הספר. </w:t>
      </w:r>
      <w:proofErr w:type="spellStart"/>
      <w:r>
        <w:rPr>
          <w:rtl/>
        </w:rPr>
        <w:t>החפץ־חיים</w:t>
      </w:r>
      <w:proofErr w:type="spellEnd"/>
      <w:r>
        <w:rPr>
          <w:rtl/>
        </w:rPr>
        <w:t xml:space="preserve"> שלח לו עותק, “ולפי עדות תלמידיו הגדולים של ר׳ ישראל, היה הספר מונח תמיד על שולחנו בשנות חייו האחרונות”. עולה מכאן שאף אם לא רצה ר׳ ישראל </w:t>
      </w:r>
      <w:r>
        <w:rPr>
          <w:b/>
          <w:bCs/>
          <w:rtl/>
        </w:rPr>
        <w:t>לעודד</w:t>
      </w:r>
      <w:r>
        <w:rPr>
          <w:rtl/>
        </w:rPr>
        <w:t xml:space="preserve"> את הוצאת “שמירת הלשון” לאור, הוא הסכים לו בדיעבד.</w:t>
      </w:r>
    </w:p>
    <w:p w14:paraId="5352DC5E" w14:textId="77777777" w:rsidR="00AB3647" w:rsidRDefault="00000000" w:rsidP="007923E9">
      <w:pPr>
        <w:pStyle w:val="4"/>
        <w:spacing w:line="276" w:lineRule="auto"/>
      </w:pPr>
      <w:r>
        <w:lastRenderedPageBreak/>
        <w:t>· הפסקה השלישית ·</w:t>
      </w:r>
    </w:p>
    <w:p w14:paraId="2CDCD120"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מוולוז׳ין</w:t>
      </w:r>
      <w:proofErr w:type="spellEnd"/>
      <w:r>
        <w:rPr>
          <w:color w:val="404040"/>
          <w:sz w:val="22"/>
          <w:szCs w:val="22"/>
          <w:rtl/>
        </w:rPr>
        <w:t xml:space="preserve"> מחליט להנהיג ברכת כהנים בימות החול ואסון מתרחש – רבנו מסביר כיצד אירע האסון – אפילו תיקון מנהגים מעורר קושי – הימנעות ממחלוקת בעת שינוי מנהגים – שינוי מנהג בצנעה בלבד – תפוצת “משנה ברורה” מביאה לכך שבווילנה מקבלים שבת בשקיעה – גם אבי נוהג כדעת הגאון בצנעה – הגאון מווילנה מבקש להימנע ממנהגים שאינם לרוחו – המצית דואג להגביל את הנזק – הגאון מווילנה נכלא – ר׳ חיים </w:t>
      </w:r>
      <w:proofErr w:type="spellStart"/>
      <w:r>
        <w:rPr>
          <w:color w:val="404040"/>
          <w:sz w:val="22"/>
          <w:szCs w:val="22"/>
          <w:rtl/>
        </w:rPr>
        <w:t>מוולוז׳ין</w:t>
      </w:r>
      <w:proofErr w:type="spellEnd"/>
      <w:r>
        <w:rPr>
          <w:color w:val="404040"/>
          <w:sz w:val="22"/>
          <w:szCs w:val="22"/>
          <w:rtl/>
        </w:rPr>
        <w:t xml:space="preserve"> מורה לתלמידיו ללמוד בליל ניטל מסוים – התנגשות רגשות בליל הושענא רבה – המוות מפריע לניסיונו של הגאון מווילנה להנהיג ברכת כהנים</w:t>
      </w:r>
    </w:p>
    <w:p w14:paraId="2E4F7D56" w14:textId="77777777" w:rsidR="00AB3647" w:rsidRDefault="00000000" w:rsidP="007923E9">
      <w:pPr>
        <w:spacing w:after="120" w:line="276" w:lineRule="auto"/>
        <w:ind w:firstLine="283"/>
        <w:jc w:val="both"/>
      </w:pPr>
      <w:bookmarkStart w:id="3555" w:name="pr_b_1558"/>
      <w:bookmarkEnd w:id="3555"/>
      <w:r>
        <w:rPr>
          <w:rtl/>
        </w:rPr>
        <w:t xml:space="preserve">הדעה שר׳ ישראל לא האמין שקללתו של ר׳ לייב חסיד גרמה לשרפה בביתו של הגוי מבוססת על דברים שאמר אבי בנוגע למאורעות ששמע ר׳ </w:t>
      </w:r>
      <w:proofErr w:type="spellStart"/>
      <w:r>
        <w:rPr>
          <w:rtl/>
        </w:rPr>
        <w:t>אברהם־שמחה</w:t>
      </w:r>
      <w:proofErr w:type="spellEnd"/>
      <w:r>
        <w:rPr>
          <w:rtl/>
        </w:rPr>
        <w:t xml:space="preserve"> </w:t>
      </w:r>
      <w:proofErr w:type="spellStart"/>
      <w:r>
        <w:rPr>
          <w:rtl/>
        </w:rPr>
        <w:t>מאמצ׳יסלב</w:t>
      </w:r>
      <w:proofErr w:type="spellEnd"/>
      <w:r>
        <w:rPr>
          <w:rtl/>
        </w:rPr>
        <w:t xml:space="preserve"> מפי דודו ר׳ חיים </w:t>
      </w:r>
      <w:proofErr w:type="spellStart"/>
      <w:r>
        <w:rPr>
          <w:rtl/>
        </w:rPr>
        <w:t>מוולוז׳ין</w:t>
      </w:r>
      <w:proofErr w:type="spellEnd"/>
      <w:r>
        <w:rPr>
          <w:rtl/>
        </w:rPr>
        <w:t xml:space="preserve">. את המאורעות האלה רשם הרב יהושע </w:t>
      </w:r>
      <w:proofErr w:type="spellStart"/>
      <w:r>
        <w:rPr>
          <w:rtl/>
        </w:rPr>
        <w:t>העשיל</w:t>
      </w:r>
      <w:proofErr w:type="spellEnd"/>
      <w:r>
        <w:rPr>
          <w:rtl/>
        </w:rPr>
        <w:t xml:space="preserve"> </w:t>
      </w:r>
      <w:proofErr w:type="spellStart"/>
      <w:r>
        <w:rPr>
          <w:rtl/>
        </w:rPr>
        <w:t>לעווין</w:t>
      </w:r>
      <w:proofErr w:type="spellEnd"/>
      <w:r>
        <w:rPr>
          <w:rtl/>
        </w:rPr>
        <w:t xml:space="preserve">, חתן </w:t>
      </w:r>
      <w:proofErr w:type="spellStart"/>
      <w:r>
        <w:rPr>
          <w:rtl/>
        </w:rPr>
        <w:t>נינו</w:t>
      </w:r>
      <w:proofErr w:type="spellEnd"/>
      <w:r>
        <w:rPr>
          <w:rtl/>
        </w:rPr>
        <w:t xml:space="preserve"> של ר׳ חיים, בספרו “עליות אליהו”</w:t>
      </w:r>
      <w:bookmarkStart w:id="3556" w:name="_fnr2632"/>
      <w:r>
        <w:rPr>
          <w:rStyle w:val="a5"/>
        </w:rPr>
        <w:footnoteReference w:id="2639" w:customMarkFollows="0"/>
      </w:r>
      <w:bookmarkEnd w:id="3556"/>
      <w:r>
        <w:rPr>
          <w:rtl/>
        </w:rPr>
        <w:t xml:space="preserve">. ר׳ חיים ניסה להנהיג ברכת כהנים בימות החול </w:t>
      </w:r>
      <w:proofErr w:type="spellStart"/>
      <w:r>
        <w:rPr>
          <w:rtl/>
        </w:rPr>
        <w:t>בוולוז׳ין</w:t>
      </w:r>
      <w:proofErr w:type="spellEnd"/>
      <w:r>
        <w:rPr>
          <w:rtl/>
        </w:rPr>
        <w:t xml:space="preserve">, כמו שהגאון מווילנה “השתוקק מאוד לעשות בבית מדרשו” בווילנה שנים רבות קודם לכן</w:t>
      </w:r>
      <w:bookmarkStart w:id="3557" w:name="_fnr2633"/>
      <w:r>
        <w:rPr>
          <w:rStyle w:val="a5"/>
        </w:rPr>
        <w:footnoteReference w:id="2640" w:customMarkFollows="0"/>
      </w:r>
      <w:bookmarkEnd w:id="3557"/>
      <w:r>
        <w:rPr>
          <w:rtl/>
        </w:rPr>
        <w:t xml:space="preserve">. עד אותה עת נהגו </w:t>
      </w:r>
      <w:proofErr w:type="spellStart"/>
      <w:r>
        <w:rPr>
          <w:rtl/>
        </w:rPr>
        <w:t>בוולוז׳ין</w:t>
      </w:r>
      <w:proofErr w:type="spellEnd"/>
      <w:r>
        <w:rPr>
          <w:rtl/>
        </w:rPr>
        <w:t xml:space="preserve">, כבכל ארצות צפון אירופה, לעלות לדוכן רק בימים טובים. לאחר שגמר בדעתו לשנות את המנהג המקובל, החליט ר׳ חיים להכריז שלמחרת בבוקר, ביום חול, תיאמר ברכת כהנים בבית הכנסת. אבל “בלילה </w:t>
      </w:r>
      <w:r>
        <w:rPr>
          <w:b/>
          <w:bCs/>
          <w:rtl/>
        </w:rPr>
        <w:t>כילתה שרפה את בית המדרש</w:t>
      </w:r>
      <w:r>
        <w:rPr>
          <w:rtl/>
        </w:rPr>
        <w:t xml:space="preserve"> (ההדגשה שלי)”, ור׳ חיים ביטל את תוכניתו לחדש ברכת כהנים בכל יום – אף שסבר שההלכה מחייבת אותה. ר׳ </w:t>
      </w:r>
      <w:proofErr w:type="spellStart"/>
      <w:r>
        <w:rPr>
          <w:rtl/>
        </w:rPr>
        <w:t>אברהם־שמחה</w:t>
      </w:r>
      <w:proofErr w:type="spellEnd"/>
      <w:r>
        <w:rPr>
          <w:rtl/>
        </w:rPr>
        <w:t xml:space="preserve"> סיים: “אפשר שמפני כבוד קודמינו [שלא אמרו ברכת כהנים בימות החול באירופה], לא עלה הדבר בידו”.</w:t>
      </w:r>
    </w:p>
    <w:p w14:paraId="3A88155F" w14:textId="77777777" w:rsidR="00AB3647" w:rsidRDefault="00000000" w:rsidP="007923E9">
      <w:pPr>
        <w:spacing w:after="120" w:line="276" w:lineRule="auto"/>
        <w:ind w:firstLine="283"/>
        <w:jc w:val="both"/>
      </w:pPr>
      <w:r>
        <w:rPr>
          <w:rtl/>
        </w:rPr>
        <w:t xml:space="preserve">גם </w:t>
      </w:r>
      <w:proofErr w:type="spellStart"/>
      <w:r>
        <w:rPr>
          <w:rtl/>
        </w:rPr>
        <w:t>הנצי״ב</w:t>
      </w:r>
      <w:proofErr w:type="spellEnd"/>
      <w:r>
        <w:rPr>
          <w:rtl/>
        </w:rPr>
        <w:t xml:space="preserve"> כותב בתשובותיו</w:t>
      </w:r>
      <w:bookmarkStart w:id="3558" w:name="_fnr2634"/>
      <w:r>
        <w:rPr>
          <w:rStyle w:val="a5"/>
        </w:rPr>
        <w:footnoteReference w:id="2641" w:customMarkFollows="0"/>
      </w:r>
      <w:bookmarkEnd w:id="3558"/>
      <w:r>
        <w:rPr>
          <w:rtl/>
        </w:rPr>
        <w:t xml:space="preserve"> על מאורע זה, שעליו “שמע, כמדומה”, מפי חותנו, בנו של ר׳ חיים </w:t>
      </w:r>
      <w:proofErr w:type="spellStart"/>
      <w:r>
        <w:rPr>
          <w:rtl/>
        </w:rPr>
        <w:t>מוולוז׳ין</w:t>
      </w:r>
      <w:proofErr w:type="spellEnd"/>
      <w:r>
        <w:rPr>
          <w:rtl/>
        </w:rPr>
        <w:t xml:space="preserve">: “ר׳ חיים החליט שלמחרת יצווה על נשיאת כפיים; באותו לילה נשרפו </w:t>
      </w:r>
      <w:r>
        <w:rPr>
          <w:b/>
          <w:bCs/>
          <w:rtl/>
        </w:rPr>
        <w:t>חצי העיר ובית הכנסת</w:t>
      </w:r>
      <w:r>
        <w:rPr>
          <w:rtl/>
        </w:rPr>
        <w:t xml:space="preserve"> (ההדגשה שלי). ראו והבינו שיש איזה סוד בסתרי ירידת השפע הבא על ידי ברכת כהנים בחוץ לארץ [בארץ ישראל אכן מברכים בכל יום], ואין אנו יודעים [מה מונע שם ברכת כהנים בימות החול]”</w:t>
      </w:r>
      <w:bookmarkStart w:id="3559" w:name="_fnr2635"/>
      <w:r>
        <w:rPr>
          <w:rStyle w:val="a5"/>
        </w:rPr>
        <w:footnoteReference w:id="2642" w:customMarkFollows="0"/>
      </w:r>
      <w:bookmarkEnd w:id="3559"/>
      <w:r>
        <w:rPr>
          <w:rtl/>
        </w:rPr>
        <w:t>.</w:t>
      </w:r>
    </w:p>
    <w:p w14:paraId="11A8C225"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סיפר</w:t>
      </w:r>
      <w:bookmarkStart w:id="3560" w:name="_fnr2636"/>
      <w:r>
        <w:rPr>
          <w:rStyle w:val="a5"/>
        </w:rPr>
        <w:footnoteReference w:id="2643" w:customMarkFollows="0"/>
      </w:r>
      <w:bookmarkEnd w:id="3560"/>
      <w:r>
        <w:rPr>
          <w:rtl/>
        </w:rPr>
        <w:t xml:space="preserve"> מפי רבנו שר׳ ישראל </w:t>
      </w:r>
      <w:proofErr w:type="spellStart"/>
      <w:r>
        <w:rPr>
          <w:rtl/>
        </w:rPr>
        <w:t>סלנטר</w:t>
      </w:r>
      <w:proofErr w:type="spellEnd"/>
      <w:r>
        <w:rPr>
          <w:rtl/>
        </w:rPr>
        <w:t xml:space="preserve"> הכריז שאילו סבר כר׳ חיים </w:t>
      </w:r>
      <w:proofErr w:type="spellStart"/>
      <w:r>
        <w:rPr>
          <w:rtl/>
        </w:rPr>
        <w:t>מוולוז׳ין</w:t>
      </w:r>
      <w:proofErr w:type="spellEnd"/>
      <w:r>
        <w:rPr>
          <w:rtl/>
        </w:rPr>
        <w:t xml:space="preserve"> שההלכה מחייבת נשיאת כפיים בכל יום, היה בונה מחדש את בית הכנסת ושוב מנהיג אותה – למרות השרפה. בצעירותו שמע אבי שמתנגדי תנועת המוסר של ר׳ ישראל </w:t>
      </w:r>
      <w:proofErr w:type="spellStart"/>
      <w:r>
        <w:rPr>
          <w:rtl/>
        </w:rPr>
        <w:t>סלנטר</w:t>
      </w:r>
      <w:proofErr w:type="spellEnd"/>
      <w:r>
        <w:rPr>
          <w:rtl/>
        </w:rPr>
        <w:t xml:space="preserve"> </w:t>
      </w:r>
      <w:r>
        <w:rPr>
          <w:rtl/>
        </w:rPr>
        <w:lastRenderedPageBreak/>
        <w:t xml:space="preserve">הביאו הכרזה זו של ר׳ ישראל כדי להראות כיצד העז מחדש זה בחוצפתו לחלוק על גדול תלמידיו של הגאון מווילנה, ר׳ חיים </w:t>
      </w:r>
      <w:proofErr w:type="spellStart"/>
      <w:r>
        <w:rPr>
          <w:rtl/>
        </w:rPr>
        <w:t>מוולוז׳ין</w:t>
      </w:r>
      <w:proofErr w:type="spellEnd"/>
      <w:r>
        <w:rPr>
          <w:rtl/>
        </w:rPr>
        <w:t xml:space="preserve"> – “שהיה בקי הרבה יותר ממנו </w:t>
      </w:r>
      <w:proofErr w:type="spellStart"/>
      <w:r>
        <w:rPr>
          <w:rtl/>
        </w:rPr>
        <w:t>ב‘ענייני</w:t>
      </w:r>
      <w:proofErr w:type="spellEnd"/>
      <w:r>
        <w:rPr>
          <w:rtl/>
        </w:rPr>
        <w:t xml:space="preserve"> שמיים’”</w:t>
      </w:r>
      <w:bookmarkStart w:id="3561" w:name="_fnr2637"/>
      <w:r>
        <w:rPr>
          <w:rStyle w:val="a5"/>
        </w:rPr>
        <w:footnoteReference w:id="2644" w:customMarkFollows="0"/>
      </w:r>
      <w:bookmarkEnd w:id="3561"/>
      <w:r>
        <w:rPr>
          <w:rtl/>
        </w:rPr>
        <w:t xml:space="preserve"> – בעניין כוחם של אותות מן השמיים.</w:t>
      </w:r>
    </w:p>
    <w:p w14:paraId="122CB6BF" w14:textId="77777777" w:rsidR="00AB3647" w:rsidRDefault="00000000" w:rsidP="007923E9">
      <w:pPr>
        <w:spacing w:after="120" w:line="276" w:lineRule="auto"/>
        <w:ind w:firstLine="283"/>
        <w:jc w:val="both"/>
      </w:pPr>
      <w:r>
        <w:rPr>
          <w:rtl/>
        </w:rPr>
        <w:t xml:space="preserve">על מידת ההתנגדות לתנועת המוסר אמר רבנו, לפי ר׳ </w:t>
      </w:r>
      <w:proofErr w:type="spellStart"/>
      <w:r>
        <w:rPr>
          <w:rtl/>
        </w:rPr>
        <w:t>בן־ציון</w:t>
      </w:r>
      <w:proofErr w:type="spellEnd"/>
      <w:r>
        <w:rPr>
          <w:rtl/>
        </w:rPr>
        <w:t xml:space="preserve"> סובל</w:t>
      </w:r>
      <w:bookmarkStart w:id="3562" w:name="_fnr2638"/>
      <w:r>
        <w:rPr>
          <w:rStyle w:val="a5"/>
        </w:rPr>
        <w:footnoteReference w:id="2645" w:customMarkFollows="0"/>
      </w:r>
      <w:bookmarkEnd w:id="3562"/>
      <w:r>
        <w:rPr>
          <w:rtl/>
        </w:rPr>
        <w:t xml:space="preserve">, שאפילו בזמנו היו מי שהשליכו לבית הכיסא את ספרו של ר׳ </w:t>
      </w:r>
      <w:proofErr w:type="spellStart"/>
      <w:r>
        <w:rPr>
          <w:rtl/>
        </w:rPr>
        <w:t>איצל׳ה</w:t>
      </w:r>
      <w:proofErr w:type="spellEnd"/>
      <w:r>
        <w:rPr>
          <w:rtl/>
        </w:rPr>
        <w:t xml:space="preserve"> </w:t>
      </w:r>
      <w:proofErr w:type="spellStart"/>
      <w:r>
        <w:rPr>
          <w:rtl/>
        </w:rPr>
        <w:t>בלאזר</w:t>
      </w:r>
      <w:proofErr w:type="spellEnd"/>
      <w:r>
        <w:rPr>
          <w:rtl/>
        </w:rPr>
        <w:t xml:space="preserve"> “אור ישראל”, המגן על המוסר</w:t>
      </w:r>
      <w:bookmarkStart w:id="3563" w:name="_fnr2639"/>
      <w:r>
        <w:rPr>
          <w:rStyle w:val="a5"/>
        </w:rPr>
        <w:footnoteReference w:id="2646" w:customMarkFollows="0"/>
      </w:r>
      <w:bookmarkEnd w:id="3563"/>
      <w:r>
        <w:rPr>
          <w:rtl/>
        </w:rPr>
        <w:t xml:space="preserve">. ובריאיון המוקלט על הסבא </w:t>
      </w:r>
      <w:proofErr w:type="spellStart"/>
      <w:r>
        <w:rPr>
          <w:rtl/>
        </w:rPr>
        <w:t>מסלבודקה</w:t>
      </w:r>
      <w:proofErr w:type="spellEnd"/>
      <w:r>
        <w:rPr>
          <w:rtl/>
        </w:rPr>
        <w:t xml:space="preserve"> סיפר אבי: “כשביקר חותני אצל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 ושאלו מדוע הוא מתנגד למוסר, השיב: ‘האם אתה מאמין בביאת המשיח?’ – והדבר כאב מאוד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לשמוע (</w:t>
      </w:r>
      <w:proofErr w:type="spellStart"/>
      <w:r>
        <w:rPr>
          <w:rtl/>
        </w:rPr>
        <w:t>עס</w:t>
      </w:r>
      <w:proofErr w:type="spellEnd"/>
      <w:r>
        <w:rPr>
          <w:rtl/>
        </w:rPr>
        <w:t xml:space="preserve"> האט </w:t>
      </w:r>
      <w:proofErr w:type="spellStart"/>
      <w:r>
        <w:rPr>
          <w:rtl/>
        </w:rPr>
        <w:t>אים</w:t>
      </w:r>
      <w:proofErr w:type="spellEnd"/>
      <w:r>
        <w:rPr>
          <w:rtl/>
        </w:rPr>
        <w:t xml:space="preserve"> </w:t>
      </w:r>
      <w:proofErr w:type="spellStart"/>
      <w:r>
        <w:rPr>
          <w:rtl/>
        </w:rPr>
        <w:t>זעהר</w:t>
      </w:r>
      <w:proofErr w:type="spellEnd"/>
      <w:r>
        <w:rPr>
          <w:rtl/>
        </w:rPr>
        <w:t xml:space="preserve"> </w:t>
      </w:r>
      <w:proofErr w:type="spellStart"/>
      <w:r>
        <w:rPr>
          <w:rtl/>
        </w:rPr>
        <w:t>שטארק</w:t>
      </w:r>
      <w:proofErr w:type="spellEnd"/>
      <w:r>
        <w:rPr>
          <w:rtl/>
        </w:rPr>
        <w:t xml:space="preserve"> </w:t>
      </w:r>
      <w:proofErr w:type="spellStart"/>
      <w:r>
        <w:rPr>
          <w:rtl/>
        </w:rPr>
        <w:t>פארדראסען</w:t>
      </w:r>
      <w:proofErr w:type="spellEnd"/>
      <w:r>
        <w:rPr>
          <w:rtl/>
        </w:rPr>
        <w:t xml:space="preserve"> [הדבר ציער אותו מאוד])]. מסתבר שסיפרו </w:t>
      </w:r>
      <w:proofErr w:type="spellStart"/>
      <w:r>
        <w:rPr>
          <w:rtl/>
        </w:rPr>
        <w:t>לר</w:t>
      </w:r>
      <w:proofErr w:type="spellEnd"/>
      <w:r>
        <w:rPr>
          <w:rtl/>
        </w:rPr>
        <w:t xml:space="preserve">׳ </w:t>
      </w:r>
      <w:proofErr w:type="spellStart"/>
      <w:r>
        <w:rPr>
          <w:rtl/>
        </w:rPr>
        <w:t>דוד׳ל</w:t>
      </w:r>
      <w:proofErr w:type="spellEnd"/>
      <w:r>
        <w:rPr>
          <w:rtl/>
        </w:rPr>
        <w:t xml:space="preserve"> שבעלי המוסר היו </w:t>
      </w:r>
      <w:proofErr w:type="spellStart"/>
      <w:r>
        <w:rPr>
          <w:rtl/>
        </w:rPr>
        <w:t>אנגעשמעקט</w:t>
      </w:r>
      <w:proofErr w:type="spellEnd"/>
      <w:r>
        <w:rPr>
          <w:rtl/>
        </w:rPr>
        <w:t xml:space="preserve"> מיט שבתאות [נגועים בשבתאות]”.</w:t>
      </w:r>
    </w:p>
    <w:p w14:paraId="586B84CB" w14:textId="77777777" w:rsidR="00AB3647" w:rsidRDefault="00000000" w:rsidP="007923E9">
      <w:pPr>
        <w:spacing w:after="120" w:line="276" w:lineRule="auto"/>
        <w:ind w:firstLine="283"/>
        <w:jc w:val="both"/>
      </w:pPr>
      <w:r>
        <w:rPr>
          <w:rtl/>
        </w:rPr>
        <w:t xml:space="preserve">אבי דחה את הטענה שר׳ ישראל חולק על ר׳ חיים </w:t>
      </w:r>
      <w:proofErr w:type="spellStart"/>
      <w:r>
        <w:rPr>
          <w:rtl/>
        </w:rPr>
        <w:t>מוולוז׳ין</w:t>
      </w:r>
      <w:proofErr w:type="spellEnd"/>
      <w:r>
        <w:rPr>
          <w:rtl/>
        </w:rPr>
        <w:t xml:space="preserve"> בענייני שמיים, באומרו שר׳ חיים הסכים בעיקרו של דבר עם ר׳ ישראל שאותות מן השמיים אינם יכולים לערער הלכה. “אבל”, אמר רבנו, “ר׳ חיים חשש שאם ינסה שוב לברך ברכת כהנים, הם [המציתים] יציתו שוב את בית הכנסת שייבנה מחדש; אם כן, מה התועלת?!”</w:t>
      </w:r>
    </w:p>
    <w:p w14:paraId="2FD23D8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סובל, שגם הוא שמע מאבי הסבר חדש זה לסיבת השרפה, סיפר שאבי התבטא במפורש יותר: “הבה נבין: וכי סבורים אתם שירדה אש מן השמיים והעלתה את בית הכנסת באש? לא כך היה. יהודי זקן, שהתנגד לשינוי מנהג שנהג ככל שזכר, החליט לעשות דין לעצמו ולהצית את השרפה!” מסקנתו של ר׳ </w:t>
      </w:r>
      <w:proofErr w:type="spellStart"/>
      <w:r>
        <w:rPr>
          <w:rtl/>
        </w:rPr>
        <w:t>אברהם־שמחה</w:t>
      </w:r>
      <w:proofErr w:type="spellEnd"/>
      <w:r>
        <w:rPr>
          <w:rtl/>
        </w:rPr>
        <w:t xml:space="preserve"> שהובאה לעיל, “אפשר שמפני כבוד קודמינו לא עלה הדבר בידו”, עשויה לרמוז להסבר זה לפרוץ השרפה. רבנו הוסיף אז, לפי הרב סובל, שגם ר׳ ישראל סבר שמצית הצית את השרפה, ואף על פי כן סבר שיש לנסות שוב להנהיג ברכת כהנים.</w:t>
      </w:r>
    </w:p>
    <w:p w14:paraId="2F905A50" w14:textId="77777777" w:rsidR="00AB3647" w:rsidRDefault="00000000" w:rsidP="007923E9">
      <w:pPr>
        <w:spacing w:after="120" w:line="276" w:lineRule="auto"/>
        <w:ind w:firstLine="283"/>
        <w:jc w:val="both"/>
      </w:pPr>
      <w:r>
        <w:rPr>
          <w:rtl/>
        </w:rPr>
        <w:t xml:space="preserve">“המחלוקת בין שני המנהיגים הגדולים הייתה”, אמר אבי, “אם בעת </w:t>
      </w:r>
      <w:r>
        <w:rPr>
          <w:b/>
          <w:bCs/>
          <w:rtl/>
        </w:rPr>
        <w:t>תיקונו</w:t>
      </w:r>
      <w:r>
        <w:rPr>
          <w:rtl/>
        </w:rPr>
        <w:t xml:space="preserve"> של מנהג מקובל יש להיכנע לאוחזים בקנאות במנהג הישן אם לאו – ר׳ חיים סבר שבמקרה של התנגדות עזה יש להניח למנהג הישן לעמוד בעינו, ור׳ ישראל סבר שיש להילחם בנחישות למען התיקון. בשאלה מסוג זה אפשר לחלוק על ר׳ חיים </w:t>
      </w:r>
      <w:proofErr w:type="spellStart"/>
      <w:r>
        <w:rPr>
          <w:rtl/>
        </w:rPr>
        <w:t>מוולוז׳ין</w:t>
      </w:r>
      <w:proofErr w:type="spellEnd"/>
      <w:r>
        <w:rPr>
          <w:rtl/>
        </w:rPr>
        <w:t xml:space="preserve">”. אבי קשר הבדל זה לשתי דרכים של התייחסות למנהגים בכלל: דרכו של הגאון מווילנה, שלא היסס לשנות מנהג כשהראה שהמקורות תומכים בשינוי – כגון חלוקת קריאת התורה בראש חודש – ודרכו של </w:t>
      </w:r>
      <w:proofErr w:type="spellStart"/>
      <w:r>
        <w:rPr>
          <w:rtl/>
        </w:rPr>
        <w:t>החתם־סופר</w:t>
      </w:r>
      <w:proofErr w:type="spellEnd"/>
      <w:r>
        <w:rPr>
          <w:rtl/>
        </w:rPr>
        <w:t xml:space="preserve">, שלפיה כל “חדש” הוא “אסור מן התורה”. לפי זה היה ר׳ ישראל, כגאון מווילנה, </w:t>
      </w:r>
      <w:r>
        <w:rPr>
          <w:b/>
          <w:bCs/>
          <w:rtl/>
        </w:rPr>
        <w:t>בעד</w:t>
      </w:r>
      <w:r>
        <w:rPr>
          <w:rtl/>
        </w:rPr>
        <w:t xml:space="preserve"> כפיית השינוי, ואילו ר׳ חיים, </w:t>
      </w:r>
      <w:proofErr w:type="spellStart"/>
      <w:r>
        <w:rPr>
          <w:rtl/>
        </w:rPr>
        <w:t>כחתם־סופר</w:t>
      </w:r>
      <w:proofErr w:type="spellEnd"/>
      <w:r>
        <w:rPr>
          <w:rtl/>
        </w:rPr>
        <w:t xml:space="preserve">, היה </w:t>
      </w:r>
      <w:r>
        <w:rPr>
          <w:b/>
          <w:bCs/>
          <w:rtl/>
        </w:rPr>
        <w:t>נגד</w:t>
      </w:r>
      <w:bookmarkStart w:id="3564" w:name="_fnr2640"/>
      <w:r>
        <w:rPr>
          <w:rStyle w:val="a5"/>
        </w:rPr>
        <w:footnoteReference w:id="2647" w:customMarkFollows="0"/>
      </w:r>
      <w:bookmarkEnd w:id="3564"/>
      <w:r>
        <w:rPr>
          <w:rtl/>
        </w:rPr>
        <w:t>.</w:t>
      </w:r>
    </w:p>
    <w:p w14:paraId="4FE56DDA" w14:textId="77777777" w:rsidR="00AB3647" w:rsidRDefault="00000000" w:rsidP="007923E9">
      <w:pPr>
        <w:spacing w:after="120" w:line="276" w:lineRule="auto"/>
        <w:ind w:firstLine="283"/>
        <w:jc w:val="both"/>
      </w:pPr>
      <w:r>
        <w:rPr>
          <w:rtl/>
        </w:rPr>
        <w:lastRenderedPageBreak/>
        <w:t>השווה גם “עליות אליהו”</w:t>
      </w:r>
      <w:bookmarkStart w:id="3565" w:name="_fnr2641"/>
      <w:r>
        <w:rPr>
          <w:rStyle w:val="a5"/>
        </w:rPr>
        <w:footnoteReference w:id="2648" w:customMarkFollows="0"/>
      </w:r>
      <w:bookmarkEnd w:id="3565"/>
      <w:r>
        <w:rPr>
          <w:rtl/>
        </w:rPr>
        <w:t xml:space="preserve">, הקושר את ההתנגדות לתיקון מנהגים קיימים לחשש שיראו בשינוי הסכמה שבשתיקה לתנועת הרפורמה (“המחדשים”). ובלשונו של אבי בנושא: “‘רפורמה’ כוללת גם </w:t>
      </w:r>
      <w:r>
        <w:rPr>
          <w:b/>
          <w:bCs/>
          <w:rtl/>
        </w:rPr>
        <w:t>תיקון</w:t>
      </w:r>
      <w:r>
        <w:rPr>
          <w:rtl/>
        </w:rPr>
        <w:t xml:space="preserve"> של מנהגים; אסור לנו להיות אדוקים יותר מסבינו ומסבתותינו”</w:t>
      </w:r>
      <w:bookmarkStart w:id="3566" w:name="_fnr2642"/>
      <w:r>
        <w:rPr>
          <w:rStyle w:val="a5"/>
        </w:rPr>
        <w:footnoteReference w:id="2649" w:customMarkFollows="0"/>
      </w:r>
      <w:bookmarkEnd w:id="3566"/>
      <w:r>
        <w:rPr>
          <w:rtl/>
        </w:rPr>
        <w:t xml:space="preserve">. “עליות אליהו” מספר כיצד ביטל גדול בתורה את שינוי מנהג קריאת התורה בראש חודש לנוסח </w:t>
      </w:r>
      <w:proofErr w:type="spellStart"/>
      <w:r>
        <w:rPr>
          <w:rtl/>
        </w:rPr>
        <w:t>ה“נכון</w:t>
      </w:r>
      <w:proofErr w:type="spellEnd"/>
      <w:r>
        <w:rPr>
          <w:rtl/>
        </w:rPr>
        <w:t>” בשל איסור לא תתגודדו</w:t>
      </w:r>
      <w:bookmarkStart w:id="3567" w:name="_fnr2643"/>
      <w:r>
        <w:rPr>
          <w:rStyle w:val="a5"/>
        </w:rPr>
        <w:footnoteReference w:id="2650" w:customMarkFollows="0"/>
      </w:r>
      <w:bookmarkEnd w:id="3567"/>
      <w:r>
        <w:rPr>
          <w:rtl/>
        </w:rPr>
        <w:t xml:space="preserve"> – אף שבעיקרו של דבר הסכים להוכחת הגאון </w:t>
      </w:r>
      <w:proofErr w:type="spellStart"/>
      <w:r>
        <w:rPr>
          <w:rtl/>
        </w:rPr>
        <w:t>ש“חידושו</w:t>
      </w:r>
      <w:proofErr w:type="spellEnd"/>
      <w:r>
        <w:rPr>
          <w:rtl/>
        </w:rPr>
        <w:t xml:space="preserve">” הוא בעצם דרך הקריאה המקורית. מכאן שגדולי התורה סברו שלא יהיה אפשר להביא קהילות </w:t>
      </w:r>
      <w:r>
        <w:rPr>
          <w:b/>
          <w:bCs/>
          <w:rtl/>
        </w:rPr>
        <w:t>שלמות</w:t>
      </w:r>
      <w:r>
        <w:rPr>
          <w:rtl/>
        </w:rPr>
        <w:t xml:space="preserve"> לידי השינוי. כמו במקרה של ברכת כהנים, תמיד יימצא אותו “יהודי זקן” שלא יזוז מדרך קריאת התורה שהורגל בה, גם אם רבו, גדול ככל שיהיה, יפסוק אחרת.</w:t>
      </w:r>
    </w:p>
    <w:p w14:paraId="2FB42647" w14:textId="77777777" w:rsidR="00AB3647" w:rsidRDefault="00000000" w:rsidP="007923E9">
      <w:pPr>
        <w:spacing w:after="120" w:line="276" w:lineRule="auto"/>
        <w:ind w:firstLine="283"/>
        <w:jc w:val="both"/>
      </w:pPr>
      <w:r>
        <w:rPr>
          <w:rtl/>
        </w:rPr>
        <w:t xml:space="preserve">כדי להוכיח עד כמה קשה לשנות מנהגים, היה אבי חוזר ואומר שהגאון מווילנה נחשב </w:t>
      </w:r>
      <w:r>
        <w:rPr>
          <w:b/>
          <w:bCs/>
          <w:rtl/>
        </w:rPr>
        <w:t>בכל ליטא</w:t>
      </w:r>
      <w:r>
        <w:rPr>
          <w:rtl/>
        </w:rPr>
        <w:t xml:space="preserve"> גדול בהרבה מכל חכם בדורות רבים שקדמו לו, ובכל זאת רק שתי קהילות קטנות אימצו את כל תיקוניו של ענק התורה במנהגים </w:t>
      </w:r>
      <w:r>
        <w:rPr>
          <w:b/>
          <w:bCs/>
          <w:rtl/>
        </w:rPr>
        <w:t>בשלמותם</w:t>
      </w:r>
      <w:r>
        <w:rPr>
          <w:rtl/>
        </w:rPr>
        <w:t>. איני זוכר אם הזכיר שתי עיירות</w:t>
      </w:r>
      <w:bookmarkStart w:id="3568" w:name="_fnr2644"/>
      <w:r>
        <w:rPr>
          <w:rStyle w:val="a5"/>
        </w:rPr>
        <w:footnoteReference w:id="2651" w:customMarkFollows="0"/>
      </w:r>
      <w:bookmarkEnd w:id="3568"/>
      <w:r>
        <w:rPr>
          <w:rtl/>
        </w:rPr>
        <w:t xml:space="preserve"> או שתי קבוצות, כגון </w:t>
      </w:r>
      <w:proofErr w:type="spellStart"/>
      <w:r>
        <w:rPr>
          <w:rtl/>
        </w:rPr>
        <w:t>קלויז</w:t>
      </w:r>
      <w:proofErr w:type="spellEnd"/>
      <w:r>
        <w:rPr>
          <w:rtl/>
        </w:rPr>
        <w:t xml:space="preserve"> הגאון בווילנה ובית הרב (צאצאי תלמידו הגדול של הגאון, ר׳ חיים </w:t>
      </w:r>
      <w:proofErr w:type="spellStart"/>
      <w:r>
        <w:rPr>
          <w:rtl/>
        </w:rPr>
        <w:t>מוולוז׳ין</w:t>
      </w:r>
      <w:proofErr w:type="spellEnd"/>
      <w:r>
        <w:rPr>
          <w:rtl/>
        </w:rPr>
        <w:t>)</w:t>
      </w:r>
      <w:bookmarkStart w:id="3569" w:name="_fnr2645"/>
      <w:r>
        <w:rPr>
          <w:rStyle w:val="a5"/>
        </w:rPr>
        <w:footnoteReference w:id="2652" w:customMarkFollows="0"/>
      </w:r>
      <w:bookmarkEnd w:id="3569"/>
      <w:r>
        <w:rPr>
          <w:rtl/>
        </w:rPr>
        <w:t>.</w:t>
      </w:r>
    </w:p>
    <w:p w14:paraId="2D2D42B8" w14:textId="77777777" w:rsidR="00AB3647" w:rsidRDefault="00000000" w:rsidP="007923E9">
      <w:pPr>
        <w:spacing w:after="120" w:line="276" w:lineRule="auto"/>
        <w:ind w:firstLine="283"/>
        <w:jc w:val="both"/>
      </w:pPr>
      <w:r>
        <w:rPr>
          <w:rtl/>
        </w:rPr>
        <w:t xml:space="preserve">אגב, מספרים שר׳ </w:t>
      </w:r>
      <w:proofErr w:type="spellStart"/>
      <w:r>
        <w:rPr>
          <w:rtl/>
        </w:rPr>
        <w:t>ישראל־זאב</w:t>
      </w:r>
      <w:proofErr w:type="spellEnd"/>
      <w:r>
        <w:rPr>
          <w:rtl/>
        </w:rPr>
        <w:t xml:space="preserve"> </w:t>
      </w:r>
      <w:proofErr w:type="spellStart"/>
      <w:r>
        <w:rPr>
          <w:rtl/>
        </w:rPr>
        <w:t>גוסטמן</w:t>
      </w:r>
      <w:proofErr w:type="spellEnd"/>
      <w:r>
        <w:rPr>
          <w:rtl/>
        </w:rPr>
        <w:t xml:space="preserve">, חבר בית הדין האחרון בווילנה שלפני השואה</w:t>
      </w:r>
      <w:bookmarkStart w:id="3570" w:name="_fnr2646"/>
      <w:r>
        <w:rPr>
          <w:rStyle w:val="a5"/>
        </w:rPr>
        <w:footnoteReference w:id="2653" w:customMarkFollows="0"/>
      </w:r>
      <w:bookmarkEnd w:id="3570"/>
      <w:r>
        <w:rPr>
          <w:rtl/>
        </w:rPr>
        <w:t xml:space="preserve">, אמר שבזמנו כבר זנח אפילו </w:t>
      </w:r>
      <w:proofErr w:type="spellStart"/>
      <w:r>
        <w:rPr>
          <w:rtl/>
        </w:rPr>
        <w:t>הקלויז</w:t>
      </w:r>
      <w:proofErr w:type="spellEnd"/>
      <w:r>
        <w:rPr>
          <w:rtl/>
        </w:rPr>
        <w:t xml:space="preserve"> את המנהגים המיוחדים לגאון מווילנה. ייתכן שכאשר התיישבו מחדש בווילנה יהודי ליטא שגלו במלחמת העולם הראשונה</w:t>
      </w:r>
      <w:bookmarkStart w:id="3571" w:name="_fnr2647"/>
      <w:r>
        <w:rPr>
          <w:rStyle w:val="a5"/>
        </w:rPr>
        <w:footnoteReference w:id="2654" w:customMarkFollows="0"/>
      </w:r>
      <w:bookmarkEnd w:id="3571"/>
      <w:r>
        <w:rPr>
          <w:rtl/>
        </w:rPr>
        <w:t xml:space="preserve">, שמוצאם בעיירות רבות אחרות, חזר </w:t>
      </w:r>
      <w:proofErr w:type="spellStart"/>
      <w:r>
        <w:rPr>
          <w:rtl/>
        </w:rPr>
        <w:t>הקלויז</w:t>
      </w:r>
      <w:proofErr w:type="spellEnd"/>
      <w:r>
        <w:rPr>
          <w:rtl/>
        </w:rPr>
        <w:t xml:space="preserve"> לדרך ההנהגה הליטאית הרגילה.</w:t>
      </w:r>
    </w:p>
    <w:p w14:paraId="3C6546EA" w14:textId="77777777" w:rsidR="00AB3647" w:rsidRDefault="00000000" w:rsidP="007923E9">
      <w:pPr>
        <w:spacing w:after="120" w:line="276" w:lineRule="auto"/>
        <w:ind w:firstLine="283"/>
        <w:jc w:val="both"/>
      </w:pPr>
      <w:r>
        <w:rPr>
          <w:rtl/>
        </w:rPr>
        <w:t>השווה גם “הצדיק רבי שלמה”</w:t>
      </w:r>
      <w:bookmarkStart w:id="3572" w:name="_fnr2648"/>
      <w:r>
        <w:rPr>
          <w:rStyle w:val="a5"/>
        </w:rPr>
        <w:footnoteReference w:id="2655" w:customMarkFollows="0"/>
      </w:r>
      <w:bookmarkEnd w:id="3572"/>
      <w:r>
        <w:rPr>
          <w:rtl/>
        </w:rPr>
        <w:t xml:space="preserve">, המביא את דברי ר׳ </w:t>
      </w:r>
      <w:proofErr w:type="spellStart"/>
      <w:r>
        <w:rPr>
          <w:rtl/>
        </w:rPr>
        <w:t>שלמה־זלמן</w:t>
      </w:r>
      <w:proofErr w:type="spellEnd"/>
      <w:r>
        <w:rPr>
          <w:rtl/>
        </w:rPr>
        <w:t xml:space="preserve"> בלוך, תלמיד </w:t>
      </w:r>
      <w:proofErr w:type="spellStart"/>
      <w:r>
        <w:rPr>
          <w:rtl/>
        </w:rPr>
        <w:t>החפץ־חיים</w:t>
      </w:r>
      <w:proofErr w:type="spellEnd"/>
      <w:r>
        <w:rPr>
          <w:rtl/>
        </w:rPr>
        <w:t xml:space="preserve">, כך: “משום שרבו של מורי היה תלמיד של ר׳ חיים </w:t>
      </w:r>
      <w:proofErr w:type="spellStart"/>
      <w:r>
        <w:rPr>
          <w:rtl/>
        </w:rPr>
        <w:t>מוולוז׳ין</w:t>
      </w:r>
      <w:bookmarkStart w:id="3573" w:name="_fnr2649"/>
      <w:proofErr w:type="spellEnd"/>
      <w:r>
        <w:rPr>
          <w:rStyle w:val="a5"/>
        </w:rPr>
        <w:footnoteReference w:id="2656" w:customMarkFollows="0"/>
      </w:r>
      <w:bookmarkEnd w:id="3573"/>
      <w:r>
        <w:rPr>
          <w:rtl/>
        </w:rPr>
        <w:t xml:space="preserve">, ראה את עצמו כשייך </w:t>
      </w:r>
      <w:r>
        <w:rPr>
          <w:rtl/>
        </w:rPr>
        <w:lastRenderedPageBreak/>
        <w:t>לבית מדרשו [‘</w:t>
      </w:r>
      <w:proofErr w:type="spellStart"/>
      <w:r>
        <w:rPr>
          <w:rtl/>
        </w:rPr>
        <w:t>אסכולתו</w:t>
      </w:r>
      <w:proofErr w:type="spellEnd"/>
      <w:r>
        <w:rPr>
          <w:rtl/>
        </w:rPr>
        <w:t xml:space="preserve">’] של הגאון, ונהג כדעת הגאון מווילנה – אך רק בצנעה. כפי </w:t>
      </w:r>
      <w:proofErr w:type="spellStart"/>
      <w:r>
        <w:rPr>
          <w:rtl/>
        </w:rPr>
        <w:t>ש‘מנחת</w:t>
      </w:r>
      <w:proofErr w:type="spellEnd"/>
      <w:r>
        <w:rPr>
          <w:rtl/>
        </w:rPr>
        <w:t xml:space="preserve"> שמואל’, שחיבר תלמיד של ר׳ חיים </w:t>
      </w:r>
      <w:proofErr w:type="spellStart"/>
      <w:r>
        <w:rPr>
          <w:rtl/>
        </w:rPr>
        <w:t>מוולוז׳ין</w:t>
      </w:r>
      <w:bookmarkStart w:id="3574" w:name="_fnr2650"/>
      <w:proofErr w:type="spellEnd"/>
      <w:r>
        <w:rPr>
          <w:rStyle w:val="a5"/>
        </w:rPr>
        <w:footnoteReference w:id="2657" w:customMarkFollows="0"/>
      </w:r>
      <w:bookmarkEnd w:id="3574"/>
      <w:r>
        <w:rPr>
          <w:rtl/>
        </w:rPr>
        <w:t>, כותב</w:t>
      </w:r>
      <w:bookmarkStart w:id="3575" w:name="_fnr2651"/>
      <w:r>
        <w:rPr>
          <w:rStyle w:val="a5"/>
        </w:rPr>
        <w:footnoteReference w:id="2658" w:customMarkFollows="0"/>
      </w:r>
      <w:bookmarkEnd w:id="3575"/>
      <w:r>
        <w:rPr>
          <w:rtl/>
        </w:rPr>
        <w:t xml:space="preserve">: ‘רבנו ר׳ חיים לימדנו שכל הרוצה לנהוג כפסקי הגאון מווילנה יעשה זאת בצנעה בלבד’”.</w:t>
      </w:r>
    </w:p>
    <w:p w14:paraId="145E5015" w14:textId="77777777" w:rsidR="00AB3647" w:rsidRDefault="00000000" w:rsidP="007923E9">
      <w:pPr>
        <w:spacing w:after="120" w:line="276" w:lineRule="auto"/>
        <w:ind w:firstLine="283"/>
        <w:jc w:val="both"/>
      </w:pPr>
      <w:r>
        <w:rPr>
          <w:rtl/>
        </w:rPr>
        <w:t xml:space="preserve">דברי “מנחת שמואל” עולים בקנה אחד עם ההוראה </w:t>
      </w:r>
      <w:proofErr w:type="spellStart"/>
      <w:r>
        <w:rPr>
          <w:rtl/>
        </w:rPr>
        <w:t>שב“כתר</w:t>
      </w:r>
      <w:proofErr w:type="spellEnd"/>
      <w:r>
        <w:rPr>
          <w:rtl/>
        </w:rPr>
        <w:t xml:space="preserve"> ראש”</w:t>
      </w:r>
      <w:bookmarkStart w:id="3576" w:name="_fnr2652"/>
      <w:r>
        <w:rPr>
          <w:rStyle w:val="a5"/>
        </w:rPr>
        <w:footnoteReference w:id="2659" w:customMarkFollows="0"/>
      </w:r>
      <w:bookmarkEnd w:id="3576"/>
      <w:r>
        <w:rPr>
          <w:rtl/>
        </w:rPr>
        <w:t>: “</w:t>
      </w:r>
      <w:proofErr w:type="spellStart"/>
      <w:r>
        <w:rPr>
          <w:rtl/>
        </w:rPr>
        <w:t>לז</w:t>
      </w:r>
      <w:proofErr w:type="spellEnd"/>
      <w:r>
        <w:rPr>
          <w:rtl/>
        </w:rPr>
        <w:t xml:space="preserve">: [בעניין] תפלה, נוסחאות והנהגות, הכלל ללכת אחר הרוב ולא לשנות את מנהגיו, משום א) [איסור] לא תתגודדו; ב) שינוי במנהגים גורם לפירוד ביחסים. לח: [בעניין] דיני רבנו הגאון מווילנה, בדברים שבפרהסיה ושיש בהם מחלוקת הפוסקים – כגון בציעת שתי הכיכרות [שצריך להניח על שולחן השבת] – יש להקפיד [לנהוג כדעת הגאון] בצנעה. כאשר אין הדבר אפשרי, ראוי שלא לעשות כן במצב של מחלוקת – ואפילו אם דעה זו מבוססת על [הבנתו של הגאון ב]גמרא – משום ‘גדול השלום’ </w:t>
      </w:r>
      <w:proofErr w:type="spellStart"/>
      <w:r>
        <w:rPr>
          <w:rtl/>
        </w:rPr>
        <w:t>וכו</w:t>
      </w:r>
      <w:proofErr w:type="spellEnd"/>
      <w:r>
        <w:rPr>
          <w:rtl/>
        </w:rPr>
        <w:t>׳”</w:t>
      </w:r>
      <w:bookmarkStart w:id="3577" w:name="_fnr2653"/>
      <w:r>
        <w:rPr>
          <w:rStyle w:val="a5"/>
        </w:rPr>
        <w:footnoteReference w:id="2660" w:customMarkFollows="0"/>
      </w:r>
      <w:bookmarkEnd w:id="3577"/>
      <w:r>
        <w:rPr>
          <w:rtl/>
        </w:rPr>
        <w:t>.</w:t>
      </w:r>
    </w:p>
    <w:p w14:paraId="0132FDA4" w14:textId="77777777" w:rsidR="00AB3647" w:rsidRDefault="00000000" w:rsidP="007923E9">
      <w:pPr>
        <w:spacing w:after="120" w:line="276" w:lineRule="auto"/>
        <w:ind w:firstLine="283"/>
        <w:jc w:val="both"/>
      </w:pPr>
      <w:r>
        <w:rPr>
          <w:rtl/>
        </w:rPr>
        <w:t xml:space="preserve">ר׳ יהושע </w:t>
      </w:r>
      <w:proofErr w:type="spellStart"/>
      <w:r>
        <w:rPr>
          <w:rtl/>
        </w:rPr>
        <w:t>גלדצהלר</w:t>
      </w:r>
      <w:proofErr w:type="spellEnd"/>
      <w:r>
        <w:rPr>
          <w:rtl/>
        </w:rPr>
        <w:t xml:space="preserve"> הביא בשם אבי שאפילו בשמירת שבת, ואפילו בווילנה עירו של הגאון, רק </w:t>
      </w:r>
      <w:proofErr w:type="spellStart"/>
      <w:r>
        <w:rPr>
          <w:rtl/>
        </w:rPr>
        <w:t>ה“פרומע</w:t>
      </w:r>
      <w:proofErr w:type="spellEnd"/>
      <w:r>
        <w:rPr>
          <w:rtl/>
        </w:rPr>
        <w:t xml:space="preserve"> [המדקדקים ביותר]” נמנעו מהדלקת נרות לאחר השקיעה, כדעת הגאון המבוססת על דעת הגאונים. הציבור הרחב, לעומתם, סבר שקבלת השבת אינה חובה עד ארבעים ושתיים דקות אחרי השקיעה, כדעת רבנו תם, והדליק נרות זמן רב לאחר השקיעה. אבי הוסיף: “רק תפוצת ‘משנה ברורה’ [שנדפס לראשונה </w:t>
      </w:r>
      <w:proofErr w:type="spellStart"/>
      <w:r>
        <w:rPr>
          <w:rtl/>
        </w:rPr>
        <w:t>בתרנ״ב</w:t>
      </w:r>
      <w:proofErr w:type="spellEnd"/>
      <w:r>
        <w:rPr>
          <w:rtl/>
        </w:rPr>
        <w:t>, תשעים ושש שנים לאחר פטירת הגאון</w:t>
      </w:r>
      <w:bookmarkStart w:id="3578" w:name="_fnr2654"/>
      <w:bookmarkEnd w:id="3578"/>
      <w:r>
        <w:rPr>
          <w:rStyle w:val="a5"/>
        </w:rPr>
        <w:t/>
      </w:r>
      <w:bookmarkStart w:id="7030" w:name="_TranslatorNote_5388"/>
      <w:r>
        <w:rPr>
          <w:rStyle w:val="a5"/>
          <w:vertAlign w:val="superscript"/>
          <w:rtl/>
        </w:rPr>
        <w:footnoteReference w:id="2661" w:customMarkFollows="1"/>
        <w:t>*</w:t>
      </w:r>
      <w:bookmarkEnd w:id="7030"/>
      <w:r>
        <w:rPr>
          <w:rtl/>
        </w:rPr>
        <w:t>!], שפסק</w:t>
      </w:r>
      <w:bookmarkStart w:id="3579" w:name="_fnr2655"/>
      <w:bookmarkStart w:id="3580" w:name="pr_f_2554"/>
      <w:r>
        <w:rPr>
          <w:rStyle w:val="a5"/>
        </w:rPr>
        <w:footnoteReference w:id="2662" w:customMarkFollows="0"/>
      </w:r>
      <w:bookmarkEnd w:id="3579"/>
      <w:bookmarkEnd w:id="3580"/>
      <w:r>
        <w:rPr>
          <w:rtl/>
        </w:rPr>
        <w:t xml:space="preserve"> </w:t>
      </w:r>
      <w:proofErr w:type="spellStart"/>
      <w:r>
        <w:rPr>
          <w:rtl/>
        </w:rPr>
        <w:t>ש‘יש</w:t>
      </w:r>
      <w:proofErr w:type="spellEnd"/>
      <w:r>
        <w:rPr>
          <w:rtl/>
        </w:rPr>
        <w:t xml:space="preserve"> ליזהר מאד להימנע מכל מלאכה מיד לאחר השקיעה’, הביאה לקבלה כללית של פסק הגאון”</w:t>
      </w:r>
      <w:bookmarkStart w:id="3581" w:name="_fnr2656"/>
      <w:r>
        <w:rPr>
          <w:rStyle w:val="a5"/>
        </w:rPr>
        <w:footnoteReference w:id="2663" w:customMarkFollows="0"/>
      </w:r>
      <w:bookmarkEnd w:id="3581"/>
      <w:r>
        <w:rPr>
          <w:rtl/>
        </w:rPr>
        <w:t>.</w:t>
      </w:r>
    </w:p>
    <w:p w14:paraId="1C391F0C" w14:textId="77777777" w:rsidR="00AB3647" w:rsidRDefault="00000000" w:rsidP="007923E9">
      <w:pPr>
        <w:spacing w:after="120" w:line="276" w:lineRule="auto"/>
        <w:ind w:firstLine="283"/>
        <w:jc w:val="both"/>
      </w:pPr>
      <w:r>
        <w:rPr>
          <w:rtl/>
        </w:rPr>
        <w:lastRenderedPageBreak/>
        <w:t xml:space="preserve">אבי אמר לנכדו ר׳ יצחק </w:t>
      </w:r>
      <w:proofErr w:type="spellStart"/>
      <w:r>
        <w:rPr>
          <w:rtl/>
        </w:rPr>
        <w:t>שורין</w:t>
      </w:r>
      <w:bookmarkStart w:id="3582" w:name="_fnr2657"/>
      <w:proofErr w:type="spellEnd"/>
      <w:r>
        <w:rPr>
          <w:rStyle w:val="a5"/>
        </w:rPr>
        <w:footnoteReference w:id="2664" w:customMarkFollows="0"/>
      </w:r>
      <w:bookmarkEnd w:id="3582"/>
      <w:r>
        <w:rPr>
          <w:rtl/>
        </w:rPr>
        <w:t xml:space="preserve"> שהשפעתו של הגאון מווילנה הייתה גדולה בהרבה מכפי שנראה, שכן יחידים רבים נהגו על פי </w:t>
      </w:r>
      <w:proofErr w:type="spellStart"/>
      <w:r>
        <w:rPr>
          <w:rtl/>
        </w:rPr>
        <w:t>פסקיו</w:t>
      </w:r>
      <w:proofErr w:type="spellEnd"/>
      <w:r>
        <w:rPr>
          <w:rtl/>
        </w:rPr>
        <w:t xml:space="preserve"> – אך רק שלא לעיני הציבור. הוא הזכיר רב מסוים</w:t>
      </w:r>
      <w:bookmarkStart w:id="3583" w:name="_fnr2658"/>
      <w:r>
        <w:rPr>
          <w:rStyle w:val="a5"/>
        </w:rPr>
        <w:footnoteReference w:id="2665" w:customMarkFollows="0"/>
      </w:r>
      <w:bookmarkEnd w:id="3583"/>
      <w:r>
        <w:rPr>
          <w:rtl/>
        </w:rPr>
        <w:t xml:space="preserve"> שציווה בצוואתו לבדוק את זוג התפילין הנוסף שנהג להניח בזמנים מיוחדים, קודם שישתמש בו אדם אחר. לאחר מותו מצאו שהתפילין שהיה מניח רק בחול המועד היו ריקות מפרשיות: הוא נהג כפסק הגאון שאין להניח תפילין בחול המועד, ואיש לא ידע זאת בחייו.</w:t>
      </w:r>
    </w:p>
    <w:p w14:paraId="5668D81D" w14:textId="77777777" w:rsidR="00AB3647" w:rsidRDefault="00000000" w:rsidP="007923E9">
      <w:pPr>
        <w:spacing w:after="120" w:line="276" w:lineRule="auto"/>
        <w:ind w:firstLine="283"/>
        <w:jc w:val="both"/>
      </w:pPr>
      <w:r>
        <w:rPr>
          <w:rtl/>
        </w:rPr>
        <w:t>בני ר׳ יוסף סיפר שאבי אמר לו ששלוש המילים “כי הוא יום” בקידוש של ליל שבת מיותרות, כפי שנקבע בליקוט הנהגות הגאון, “מעשה רב”</w:t>
      </w:r>
      <w:bookmarkStart w:id="3584" w:name="_fnr2659"/>
      <w:r>
        <w:rPr>
          <w:rStyle w:val="a5"/>
        </w:rPr>
        <w:footnoteReference w:id="2666" w:customMarkFollows="0"/>
      </w:r>
      <w:bookmarkEnd w:id="3584"/>
      <w:r>
        <w:rPr>
          <w:rtl/>
        </w:rPr>
        <w:t>, ושהיה משמיט אותן – אלמלא העובדה שהנשים מכירות את נוסח הקידוש, ורעייתו הייתה סבורה שאין זה נכון לדלג עליהן. הוא לא היה אומר לה שהוא סוטה מן המנהג הכללי ונוהג כדעת הגאון.</w:t>
      </w:r>
    </w:p>
    <w:p w14:paraId="0F37C431" w14:textId="77777777" w:rsidR="00AB3647" w:rsidRDefault="00000000" w:rsidP="007923E9">
      <w:pPr>
        <w:spacing w:after="120" w:line="276" w:lineRule="auto"/>
        <w:ind w:firstLine="283"/>
        <w:jc w:val="both"/>
      </w:pPr>
      <w:r>
        <w:rPr>
          <w:rtl/>
        </w:rPr>
        <w:t xml:space="preserve">דוגמה נוספת לזהירותו של רבנו שלא לעקור מנהג מקובל היא השאלה אם לברך ברכה אחת או שתיים בהנחת תפילין, שבה מנהג האשכנזים לברך שתיים. כשאבי הראה לי כיצד להניח תפילין, בהיותי בן </w:t>
      </w:r>
      <w:proofErr w:type="spellStart"/>
      <w:r>
        <w:rPr>
          <w:rtl/>
        </w:rPr>
        <w:t>שתים־עשרה</w:t>
      </w:r>
      <w:proofErr w:type="spellEnd"/>
      <w:r>
        <w:rPr>
          <w:rtl/>
        </w:rPr>
        <w:t>, לימד אותי לברך שתי ברכות; אבל אחי ר׳ שמואל סיפר לי כעבור שנים רבות</w:t>
      </w:r>
      <w:bookmarkStart w:id="3585" w:name="_fnr2660"/>
      <w:r>
        <w:rPr>
          <w:rStyle w:val="a5"/>
        </w:rPr>
        <w:footnoteReference w:id="2667" w:customMarkFollows="0"/>
      </w:r>
      <w:bookmarkEnd w:id="3585"/>
      <w:r>
        <w:rPr>
          <w:rtl/>
        </w:rPr>
        <w:t xml:space="preserve"> שאבינו עצמו בירך ברכה אחת – כדעת הגאון מווילנה </w:t>
      </w:r>
      <w:proofErr w:type="spellStart"/>
      <w:r>
        <w:rPr>
          <w:rtl/>
        </w:rPr>
        <w:t>ב“מעשה</w:t>
      </w:r>
      <w:proofErr w:type="spellEnd"/>
      <w:r>
        <w:rPr>
          <w:rtl/>
        </w:rPr>
        <w:t xml:space="preserve"> רב”</w:t>
      </w:r>
      <w:bookmarkStart w:id="3586" w:name="_fnr2661"/>
      <w:r>
        <w:rPr>
          <w:rStyle w:val="a5"/>
        </w:rPr>
        <w:footnoteReference w:id="2668" w:customMarkFollows="0"/>
      </w:r>
      <w:bookmarkEnd w:id="3586"/>
      <w:r>
        <w:rPr>
          <w:rtl/>
        </w:rPr>
        <w:t xml:space="preserve">. שאלתי את ר׳ פרץ </w:t>
      </w:r>
      <w:proofErr w:type="spellStart"/>
      <w:r>
        <w:rPr>
          <w:rtl/>
        </w:rPr>
        <w:t>פוזן</w:t>
      </w:r>
      <w:proofErr w:type="spellEnd"/>
      <w:r>
        <w:rPr>
          <w:rtl/>
        </w:rPr>
        <w:t>, מתלמידיו הקרובים של אבי</w:t>
      </w:r>
      <w:bookmarkStart w:id="3587" w:name="_fnr2662"/>
      <w:r>
        <w:rPr>
          <w:rStyle w:val="a5"/>
        </w:rPr>
        <w:footnoteReference w:id="2669" w:customMarkFollows="0"/>
      </w:r>
      <w:bookmarkEnd w:id="3587"/>
      <w:r>
        <w:rPr>
          <w:rtl/>
        </w:rPr>
        <w:t>, אם הבחין אם רבנו בירך ברכה אחת או שתיים, והוא השיב: “אם אביך סטה מן המנהג המקובל, היה עושה זאת באופן שאיש לא יבחין בו. לכן, אם בירך ברכה אחת בלבד, איני חושב שמישהו ידע על כך”.</w:t>
      </w:r>
    </w:p>
    <w:p w14:paraId="696E39F4" w14:textId="77777777" w:rsidR="00AB3647" w:rsidRDefault="00000000" w:rsidP="007923E9">
      <w:pPr>
        <w:spacing w:after="120" w:line="276" w:lineRule="auto"/>
        <w:ind w:firstLine="283"/>
        <w:jc w:val="both"/>
      </w:pPr>
      <w:r>
        <w:rPr>
          <w:rtl/>
        </w:rPr>
        <w:t xml:space="preserve">אנו יכולים להיות בטוחים שגילויו של ר׳ </w:t>
      </w:r>
      <w:proofErr w:type="spellStart"/>
      <w:r>
        <w:rPr>
          <w:rtl/>
        </w:rPr>
        <w:t>שלמה־זלמן</w:t>
      </w:r>
      <w:proofErr w:type="spellEnd"/>
      <w:r>
        <w:rPr>
          <w:rtl/>
        </w:rPr>
        <w:t xml:space="preserve"> בלוך, </w:t>
      </w:r>
      <w:proofErr w:type="spellStart"/>
      <w:r>
        <w:rPr>
          <w:rtl/>
        </w:rPr>
        <w:t>שהחפץ־חיים</w:t>
      </w:r>
      <w:proofErr w:type="spellEnd"/>
      <w:r>
        <w:rPr>
          <w:rtl/>
        </w:rPr>
        <w:t xml:space="preserve"> נהג כפסקי הגאון מווילנה, הפתיע את הציבור הרחב, שכן גם דבקותו האישית של </w:t>
      </w:r>
      <w:proofErr w:type="spellStart"/>
      <w:r>
        <w:rPr>
          <w:rtl/>
        </w:rPr>
        <w:t>החפץ־חיים</w:t>
      </w:r>
      <w:proofErr w:type="spellEnd"/>
      <w:r>
        <w:rPr>
          <w:rtl/>
        </w:rPr>
        <w:t xml:space="preserve"> בדרכי הגאון הייתה בצנעה. בספרו “משנה ברורה” מוצג הגאון מווילנה, רשמית, רק כאחד הפוסקים מני רבים – אף שבין השורות אפשר להבחין שהמחבר מעדיף אותו.</w:t>
      </w:r>
    </w:p>
    <w:p w14:paraId="44B241A6" w14:textId="77777777" w:rsidR="00AB3647" w:rsidRDefault="00000000" w:rsidP="007923E9">
      <w:pPr>
        <w:spacing w:after="120" w:line="276" w:lineRule="auto"/>
        <w:ind w:firstLine="283"/>
        <w:jc w:val="both"/>
      </w:pPr>
      <w:r>
        <w:rPr>
          <w:rtl/>
        </w:rPr>
        <w:t>אפילו הגאון עצמו לא היה יכול להשתחרר לגמרי מן המנהגים הרווחים. כך מעיד אחד מחשובי תלמידיו, ר׳ יעקב כהנא, ששמע אותו אומר</w:t>
      </w:r>
      <w:bookmarkStart w:id="3588" w:name="_fnr2663"/>
      <w:r>
        <w:rPr>
          <w:rStyle w:val="a5"/>
        </w:rPr>
        <w:footnoteReference w:id="2670" w:customMarkFollows="0"/>
      </w:r>
      <w:bookmarkEnd w:id="3588"/>
      <w:r>
        <w:rPr>
          <w:rtl/>
        </w:rPr>
        <w:t xml:space="preserve"> שהוא חפץ להשתקע בארץ ישראל, “וכדאי זאת כדי להפטר עכ״פ ממנהגי </w:t>
      </w:r>
      <w:proofErr w:type="spellStart"/>
      <w:r>
        <w:rPr>
          <w:rtl/>
        </w:rPr>
        <w:t>פויליש</w:t>
      </w:r>
      <w:proofErr w:type="spellEnd"/>
      <w:r>
        <w:rPr>
          <w:rtl/>
        </w:rPr>
        <w:t xml:space="preserve">”. הוא הדגיש “עכ״פ ממנהגי </w:t>
      </w:r>
      <w:proofErr w:type="spellStart"/>
      <w:r>
        <w:rPr>
          <w:rtl/>
        </w:rPr>
        <w:t>פויליש</w:t>
      </w:r>
      <w:proofErr w:type="spellEnd"/>
      <w:r>
        <w:rPr>
          <w:rtl/>
        </w:rPr>
        <w:t xml:space="preserve">”, משום שידע שגם בארץ ישראל ייתקל במנהגים שלא יוכל להסכים עמם. ואכן, “הגאון החסיד </w:t>
      </w:r>
      <w:proofErr w:type="spellStart"/>
      <w:r>
        <w:rPr>
          <w:rtl/>
        </w:rPr>
        <w:t>מווילנא</w:t>
      </w:r>
      <w:proofErr w:type="spellEnd"/>
      <w:r>
        <w:rPr>
          <w:rtl/>
        </w:rPr>
        <w:t>”</w:t>
      </w:r>
      <w:bookmarkStart w:id="3589" w:name="_fnr2664"/>
      <w:r>
        <w:rPr>
          <w:rStyle w:val="a5"/>
        </w:rPr>
        <w:footnoteReference w:id="2671" w:customMarkFollows="0"/>
      </w:r>
      <w:bookmarkEnd w:id="3589"/>
      <w:r>
        <w:rPr>
          <w:rtl/>
        </w:rPr>
        <w:t xml:space="preserve"> מביא דעה ששיקול זה הוא שגרם לגאון לחזור בו מן התוכנית לעלות לארץ ישראל; אבל המנהגים </w:t>
      </w:r>
      <w:proofErr w:type="spellStart"/>
      <w:r>
        <w:rPr>
          <w:rtl/>
        </w:rPr>
        <w:t>ה“פולניים</w:t>
      </w:r>
      <w:proofErr w:type="spellEnd"/>
      <w:r>
        <w:rPr>
          <w:rtl/>
        </w:rPr>
        <w:t xml:space="preserve">” היו פסולים בעיניו יותר. כמובן, ייתכן </w:t>
      </w:r>
      <w:proofErr w:type="spellStart"/>
      <w:r>
        <w:rPr>
          <w:rtl/>
        </w:rPr>
        <w:t>ש“מנהגי</w:t>
      </w:r>
      <w:proofErr w:type="spellEnd"/>
      <w:r>
        <w:rPr>
          <w:rtl/>
        </w:rPr>
        <w:t xml:space="preserve"> </w:t>
      </w:r>
      <w:proofErr w:type="spellStart"/>
      <w:r>
        <w:rPr>
          <w:rtl/>
        </w:rPr>
        <w:t>פויליש</w:t>
      </w:r>
      <w:proofErr w:type="spellEnd"/>
      <w:r>
        <w:rPr>
          <w:rtl/>
        </w:rPr>
        <w:t xml:space="preserve">” </w:t>
      </w:r>
      <w:r>
        <w:rPr>
          <w:rtl/>
        </w:rPr>
        <w:lastRenderedPageBreak/>
        <w:t xml:space="preserve">הללו היו פשוט ביטול מצוות העשה היומית של נשיאת כפיים, שלא עלה בידו להשיבה על כנה בווילנה, אך נהגה בארץ ישראל.</w:t>
      </w:r>
    </w:p>
    <w:p w14:paraId="058D4863" w14:textId="77777777" w:rsidR="00AB3647" w:rsidRDefault="00000000" w:rsidP="007923E9">
      <w:pPr>
        <w:spacing w:after="120" w:line="276" w:lineRule="auto"/>
        <w:ind w:firstLine="283"/>
        <w:jc w:val="both"/>
      </w:pPr>
      <w:r>
        <w:rPr>
          <w:rtl/>
        </w:rPr>
        <w:t>יציאתו לארץ ישראל הייתה</w:t>
      </w:r>
      <w:bookmarkStart w:id="3590" w:name="_fnr2665"/>
      <w:r>
        <w:rPr>
          <w:rStyle w:val="a5"/>
        </w:rPr>
        <w:footnoteReference w:id="2672" w:customMarkFollows="0"/>
      </w:r>
      <w:bookmarkEnd w:id="3590"/>
      <w:r>
        <w:rPr>
          <w:rtl/>
        </w:rPr>
        <w:t xml:space="preserve"> – “ייתכן שבסביבות תקל״ב” – </w:t>
      </w:r>
      <w:proofErr w:type="spellStart"/>
      <w:r>
        <w:rPr>
          <w:rtl/>
        </w:rPr>
        <w:t>שש־עשרה</w:t>
      </w:r>
      <w:proofErr w:type="spellEnd"/>
      <w:r>
        <w:rPr>
          <w:rtl/>
        </w:rPr>
        <w:t xml:space="preserve"> שנה לפני ניסיונו להנהיג את המצווה היומית </w:t>
      </w:r>
      <w:proofErr w:type="spellStart"/>
      <w:r>
        <w:rPr>
          <w:rtl/>
        </w:rPr>
        <w:t>בקלויז</w:t>
      </w:r>
      <w:proofErr w:type="spellEnd"/>
      <w:r>
        <w:rPr>
          <w:rtl/>
        </w:rPr>
        <w:t xml:space="preserve"> שלו, ובכל זאת כבר אז ידע שיצטרך להיאבק קשות כדי שהבריות יקבלו את השינוי – אף שלא יכול היה לצפות שיהיה מעורב בבעיה קהילתית שמתנגדי השינוי ישתמשו בה כתירוץ לכליאתו, כמובא להלן.</w:t>
      </w:r>
    </w:p>
    <w:p w14:paraId="181EB198" w14:textId="77777777" w:rsidR="00AB3647" w:rsidRDefault="00000000" w:rsidP="007923E9">
      <w:pPr>
        <w:spacing w:after="120" w:line="276" w:lineRule="auto"/>
        <w:ind w:firstLine="283"/>
        <w:jc w:val="both"/>
      </w:pPr>
      <w:r>
        <w:rPr>
          <w:rtl/>
        </w:rPr>
        <w:t xml:space="preserve">תמיכה בהשערה שר׳ חיים </w:t>
      </w:r>
      <w:proofErr w:type="spellStart"/>
      <w:r>
        <w:rPr>
          <w:rtl/>
        </w:rPr>
        <w:t>מוולוז׳ין</w:t>
      </w:r>
      <w:proofErr w:type="spellEnd"/>
      <w:r>
        <w:rPr>
          <w:rtl/>
        </w:rPr>
        <w:t xml:space="preserve"> לא ראה יד שמים בשרפה </w:t>
      </w:r>
      <w:proofErr w:type="spellStart"/>
      <w:r>
        <w:rPr>
          <w:rtl/>
        </w:rPr>
        <w:t>בוולוז׳ין</w:t>
      </w:r>
      <w:proofErr w:type="spellEnd"/>
      <w:r>
        <w:rPr>
          <w:rtl/>
        </w:rPr>
        <w:t xml:space="preserve"> אפשר למצוא בדברים שאמר לאחר השרפה, על פי צאצאו ר׳ </w:t>
      </w:r>
      <w:proofErr w:type="spellStart"/>
      <w:r>
        <w:rPr>
          <w:rtl/>
        </w:rPr>
        <w:t xml:space="preserve">יוסף־דב</w:t>
      </w:r>
      <w:proofErr w:type="spellEnd"/>
      <w:r>
        <w:rPr>
          <w:rtl/>
        </w:rPr>
        <w:t xml:space="preserve"> </w:t>
      </w:r>
      <w:proofErr w:type="spellStart"/>
      <w:r>
        <w:rPr>
          <w:rtl/>
        </w:rPr>
        <w:t>סולובייצ׳יק</w:t>
      </w:r>
      <w:bookmarkStart w:id="3591" w:name="_fnr2666"/>
      <w:proofErr w:type="spellEnd"/>
      <w:r>
        <w:rPr>
          <w:rStyle w:val="a5"/>
        </w:rPr>
        <w:footnoteReference w:id="2673" w:customMarkFollows="0"/>
      </w:r>
      <w:bookmarkEnd w:id="3591"/>
      <w:r>
        <w:rPr>
          <w:rtl/>
        </w:rPr>
        <w:t>: “</w:t>
      </w:r>
      <w:proofErr w:type="spellStart"/>
      <w:r>
        <w:rPr>
          <w:rtl/>
        </w:rPr>
        <w:t>דער</w:t>
      </w:r>
      <w:proofErr w:type="spellEnd"/>
      <w:r>
        <w:rPr>
          <w:rtl/>
        </w:rPr>
        <w:t xml:space="preserve"> דין </w:t>
      </w:r>
      <w:proofErr w:type="spellStart"/>
      <w:r>
        <w:rPr>
          <w:rtl/>
        </w:rPr>
        <w:t>בלייבט</w:t>
      </w:r>
      <w:proofErr w:type="spellEnd"/>
      <w:r>
        <w:rPr>
          <w:rtl/>
        </w:rPr>
        <w:t xml:space="preserve"> </w:t>
      </w:r>
      <w:proofErr w:type="spellStart"/>
      <w:r>
        <w:rPr>
          <w:rtl/>
        </w:rPr>
        <w:t>אזוי</w:t>
      </w:r>
      <w:proofErr w:type="spellEnd"/>
      <w:r>
        <w:rPr>
          <w:rtl/>
        </w:rPr>
        <w:t xml:space="preserve">, אבער אז מען </w:t>
      </w:r>
      <w:proofErr w:type="spellStart"/>
      <w:r>
        <w:rPr>
          <w:rtl/>
        </w:rPr>
        <w:t>קען</w:t>
      </w:r>
      <w:proofErr w:type="spellEnd"/>
      <w:r>
        <w:rPr>
          <w:rtl/>
        </w:rPr>
        <w:t xml:space="preserve"> ניט, </w:t>
      </w:r>
      <w:proofErr w:type="spellStart"/>
      <w:r>
        <w:rPr>
          <w:rtl/>
        </w:rPr>
        <w:t>קען</w:t>
      </w:r>
      <w:proofErr w:type="spellEnd"/>
      <w:r>
        <w:rPr>
          <w:rtl/>
        </w:rPr>
        <w:t xml:space="preserve"> מען ניט” [הדין נשאר כך – שיש לשאת כפיים בימות החול – אבל כשאי אפשר, אי אפשר]. דברים אלה רומזים להסברו של רבנו לכך שר׳ חיים לא המשיך לעסוק בעניין לאחר המקרה. נראה שאבי הניח שהיקף השרפה היה כפי שתואר </w:t>
      </w:r>
      <w:proofErr w:type="spellStart"/>
      <w:r>
        <w:rPr>
          <w:rtl/>
        </w:rPr>
        <w:t>ב“עליות</w:t>
      </w:r>
      <w:proofErr w:type="spellEnd"/>
      <w:r>
        <w:rPr>
          <w:rtl/>
        </w:rPr>
        <w:t xml:space="preserve"> אליהו”, כלומר שהצטמצמה לבית הכנסת (כפי שהודגש לעיל בעמ׳ </w:t>
      </w:r>
      <w:r>
        <w:rPr>
          <w:rtl/>
        </w:rPr>
        <w:fldChar w:fldCharType="begin" w:dirty="true"/>
      </w:r>
      <w:r>
        <w:rPr>
          <w:rtl/>
        </w:rPr>
        <w:instrText xml:space="preserve"> PAGEREF pr_b_1558 \h </w:instrText>
      </w:r>
      <w:r>
        <w:rPr>
          <w:rtl/>
        </w:rPr>
      </w:r>
      <w:r>
        <w:rPr>
          <w:rtl/>
        </w:rPr>
        <w:fldChar w:fldCharType="separate"/>
      </w:r>
      <w:r w:rsidR="007923E9">
        <w:rPr>
          <w:noProof/>
          <w:rtl/>
        </w:rPr>
        <w:t>1</w:t>
      </w:r>
      <w:r>
        <w:rPr>
          <w:rtl/>
        </w:rPr>
        <w:fldChar w:fldCharType="end"/>
      </w:r>
      <w:r>
        <w:rPr>
          <w:rtl/>
        </w:rPr>
        <w:t xml:space="preserve">). הרי לא יעלה על הדעת שמצית, בלהיטותו לשמר מנהג קיים, יסכן את העיר כולה – כפי שאירע לפי תיאור השרפה של </w:t>
      </w:r>
      <w:proofErr w:type="spellStart"/>
      <w:r>
        <w:rPr>
          <w:rtl/>
        </w:rPr>
        <w:t>הנצי״ב</w:t>
      </w:r>
      <w:proofErr w:type="spellEnd"/>
      <w:r>
        <w:rPr>
          <w:rtl/>
        </w:rPr>
        <w:t xml:space="preserve"> בתשובתו המצוטטת לעיל.</w:t>
      </w:r>
    </w:p>
    <w:p w14:paraId="6C8FCD76" w14:textId="77777777" w:rsidR="00AB3647" w:rsidRDefault="00000000" w:rsidP="007923E9">
      <w:pPr>
        <w:spacing w:after="120" w:line="276" w:lineRule="auto"/>
        <w:ind w:firstLine="283"/>
        <w:jc w:val="both"/>
      </w:pPr>
      <w:r>
        <w:rPr>
          <w:rtl/>
        </w:rPr>
        <w:t xml:space="preserve">ייתכן </w:t>
      </w:r>
      <w:proofErr w:type="spellStart"/>
      <w:r>
        <w:rPr>
          <w:rtl/>
        </w:rPr>
        <w:t>שהנצי״ב</w:t>
      </w:r>
      <w:proofErr w:type="spellEnd"/>
      <w:r>
        <w:rPr>
          <w:rtl/>
        </w:rPr>
        <w:t xml:space="preserve"> החליף את השרפה שפרצה בעקבות הניסיון לשאת כפיים בשרפה אחרת, שאירעה שש שנים לפני פטירת ר׳ חיים. את השרפה המאוחרת תיאר אותו מקור שממנו “כמדומה” </w:t>
      </w:r>
      <w:proofErr w:type="spellStart"/>
      <w:r>
        <w:rPr>
          <w:rtl/>
        </w:rPr>
        <w:t>לנצי״ב</w:t>
      </w:r>
      <w:proofErr w:type="spellEnd"/>
      <w:r>
        <w:rPr>
          <w:rtl/>
        </w:rPr>
        <w:t xml:space="preserve"> </w:t>
      </w:r>
      <w:proofErr w:type="spellStart"/>
      <w:r>
        <w:rPr>
          <w:rtl/>
        </w:rPr>
        <w:t>ש“שמע</w:t>
      </w:r>
      <w:proofErr w:type="spellEnd"/>
      <w:r>
        <w:rPr>
          <w:rtl/>
        </w:rPr>
        <w:t xml:space="preserve">” על שרפת נשיאת הכפיים – חותנו ר׳ </w:t>
      </w:r>
      <w:proofErr w:type="spellStart"/>
      <w:r>
        <w:rPr>
          <w:rtl/>
        </w:rPr>
        <w:t>איצל׳ה</w:t>
      </w:r>
      <w:proofErr w:type="spellEnd"/>
      <w:r>
        <w:rPr>
          <w:rtl/>
        </w:rPr>
        <w:t xml:space="preserve"> – בהקדמתו </w:t>
      </w:r>
      <w:proofErr w:type="spellStart"/>
      <w:r>
        <w:rPr>
          <w:rtl/>
        </w:rPr>
        <w:t>ל“נפש</w:t>
      </w:r>
      <w:proofErr w:type="spellEnd"/>
      <w:r>
        <w:rPr>
          <w:rtl/>
        </w:rPr>
        <w:t xml:space="preserve"> החיים” של אביו, במילים: “אש שולח ממרום</w:t>
      </w:r>
      <w:bookmarkStart w:id="3592" w:name="_fnr2667"/>
      <w:r>
        <w:rPr>
          <w:rStyle w:val="a5"/>
        </w:rPr>
        <w:footnoteReference w:id="2674" w:customMarkFollows="0"/>
      </w:r>
      <w:bookmarkEnd w:id="3592"/>
      <w:r>
        <w:rPr>
          <w:rtl/>
        </w:rPr>
        <w:t xml:space="preserve"> ביום י״ד באייר תקע״ה, ונשרף ר״ל כחצי העיר”. אפשר לשער שבשרפת נשיאת הכפיים דאג המצית לא רק שהלהבות לא יתפשטו לעיר, אלא גם שספרי התורה והספרים שבבית המדרש לא יינזקו. “היהודי הזקן” הגביל את האש לבימה שעליה התכוננו הכוהנים לעמוד למחרת בבוקר – ובכך סיפק שלא במתכוון חיזוק לאמונה שהשרפה הייתה אות משמים שלא לקיים נשיאת כפיים בימות החול!</w:t>
      </w:r>
    </w:p>
    <w:p w14:paraId="63CA1F60" w14:textId="77777777" w:rsidR="00AB3647" w:rsidRDefault="00000000" w:rsidP="007923E9">
      <w:pPr>
        <w:spacing w:after="120" w:line="276" w:lineRule="auto"/>
        <w:ind w:firstLine="283"/>
        <w:jc w:val="both"/>
      </w:pPr>
      <w:r>
        <w:rPr>
          <w:rtl/>
        </w:rPr>
        <w:t xml:space="preserve">הערכתו של אבי בדבר מה שאירע באמת בימי ר׳ חיים פותחת פתח להיסטוריונים לברר את האירועים סביב כליאתו שלא בצדק של הגאון מווילנה, בעת המחלוקת על רבנות עירו בחורף תקמ״ח. שכן “עליות אליהו”</w:t>
      </w:r>
      <w:bookmarkStart w:id="3593" w:name="_fnr2668"/>
      <w:r>
        <w:rPr>
          <w:rStyle w:val="a5"/>
        </w:rPr>
        <w:footnoteReference w:id="2675" w:customMarkFollows="0"/>
      </w:r>
      <w:bookmarkEnd w:id="3593"/>
      <w:r>
        <w:rPr>
          <w:rtl/>
        </w:rPr>
        <w:t xml:space="preserve"> מציין בשם ר׳ חיים </w:t>
      </w:r>
      <w:proofErr w:type="spellStart"/>
      <w:r>
        <w:rPr>
          <w:rtl/>
        </w:rPr>
        <w:t>מוולוז׳ין</w:t>
      </w:r>
      <w:proofErr w:type="spellEnd"/>
      <w:r>
        <w:rPr>
          <w:rtl/>
        </w:rPr>
        <w:t xml:space="preserve"> שהמעצר אירע ביום שבו החליט רבו להתחיל לשאת כפיים למחרת בבוקר, ומעשה זה סיפר אף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3594" w:name="_fnr2669"/>
      <w:r>
        <w:rPr>
          <w:rStyle w:val="a5"/>
        </w:rPr>
        <w:footnoteReference w:id="2676" w:customMarkFollows="0"/>
      </w:r>
      <w:bookmarkEnd w:id="3594"/>
      <w:r>
        <w:rPr>
          <w:rtl/>
        </w:rPr>
        <w:t xml:space="preserve">. “עליות אליהו” מסביר את ביטול תוכניתו של הגאון בעקבות זאת באומרו: “כנראה שמן השמים עכבו בדבר”; </w:t>
      </w:r>
      <w:proofErr w:type="spellStart"/>
      <w:r>
        <w:rPr>
          <w:rtl/>
        </w:rPr>
        <w:t>ו“שו״ת</w:t>
      </w:r>
      <w:proofErr w:type="spellEnd"/>
      <w:r>
        <w:rPr>
          <w:rtl/>
        </w:rPr>
        <w:t xml:space="preserve"> משיב דבר” מביע אותו רעיון בלשון החלטית יותר: “עיכבוהו מן השמים”.</w:t>
      </w:r>
    </w:p>
    <w:p w14:paraId="5C229B49" w14:textId="77777777" w:rsidR="00AB3647" w:rsidRDefault="00000000" w:rsidP="007923E9">
      <w:pPr>
        <w:spacing w:after="120" w:line="276" w:lineRule="auto"/>
        <w:ind w:firstLine="283"/>
        <w:jc w:val="both"/>
      </w:pPr>
      <w:r>
        <w:rPr>
          <w:rtl/>
        </w:rPr>
        <w:lastRenderedPageBreak/>
        <w:t>השווה גם “ערוך השולחן”</w:t>
      </w:r>
      <w:bookmarkStart w:id="3595" w:name="_fnr2670"/>
      <w:r>
        <w:rPr>
          <w:rStyle w:val="a5"/>
        </w:rPr>
        <w:footnoteReference w:id="2677" w:customMarkFollows="0"/>
      </w:r>
      <w:bookmarkEnd w:id="3595"/>
      <w:r>
        <w:rPr>
          <w:rtl/>
        </w:rPr>
        <w:t xml:space="preserve">, האומר: “מנהגנו [האשכנזי באירופה] שלא </w:t>
      </w:r>
      <w:proofErr w:type="spellStart"/>
      <w:r>
        <w:rPr>
          <w:rtl/>
        </w:rPr>
        <w:t>לישא</w:t>
      </w:r>
      <w:proofErr w:type="spellEnd"/>
      <w:r>
        <w:rPr>
          <w:rtl/>
        </w:rPr>
        <w:t xml:space="preserve"> כפים בכל יום הוא מנהג גרוע</w:t>
      </w:r>
      <w:bookmarkStart w:id="3596" w:name="_fnr2671"/>
      <w:r>
        <w:rPr>
          <w:rStyle w:val="a5"/>
        </w:rPr>
        <w:footnoteReference w:id="2678" w:customMarkFollows="0"/>
      </w:r>
      <w:bookmarkEnd w:id="3596"/>
      <w:r>
        <w:rPr>
          <w:rtl/>
        </w:rPr>
        <w:t xml:space="preserve">, אבל מה נעשה וכאלו בת קול יצא שלא להניח לנו </w:t>
      </w:r>
      <w:proofErr w:type="spellStart"/>
      <w:r>
        <w:rPr>
          <w:rtl/>
        </w:rPr>
        <w:t>לישא</w:t>
      </w:r>
      <w:proofErr w:type="spellEnd"/>
      <w:r>
        <w:rPr>
          <w:rtl/>
        </w:rPr>
        <w:t xml:space="preserve"> כפים בכל יום. ומקובלני ששני גדולי הדור בדורות שלפנינו הגאון ור׳ חיים, כל אחד במקומו, רצה להנהיג נשיאת כפים בכל יום, וכשהגבילו יום המוגבל לזה נתבלבל </w:t>
      </w:r>
      <w:proofErr w:type="spellStart"/>
      <w:r>
        <w:rPr>
          <w:rtl/>
        </w:rPr>
        <w:t>הענין</w:t>
      </w:r>
      <w:proofErr w:type="spellEnd"/>
      <w:r>
        <w:rPr>
          <w:rtl/>
        </w:rPr>
        <w:t xml:space="preserve"> ולא עלה להם, ואמרו שרואים כי מן השמים נגזרה כן”.</w:t>
      </w:r>
    </w:p>
    <w:p w14:paraId="36AC3190" w14:textId="77777777" w:rsidR="00AB3647" w:rsidRDefault="00000000" w:rsidP="007923E9">
      <w:pPr>
        <w:spacing w:after="120" w:line="276" w:lineRule="auto"/>
        <w:ind w:firstLine="283"/>
        <w:jc w:val="both"/>
      </w:pPr>
      <w:r>
        <w:rPr>
          <w:rtl/>
        </w:rPr>
        <w:t xml:space="preserve">לפי סברתו של אבי, הסיבה היחידה שהגאון לא חזר והנהיג נשיאת כפיים יומית </w:t>
      </w:r>
      <w:r>
        <w:rPr>
          <w:b/>
          <w:bCs/>
          <w:rtl/>
        </w:rPr>
        <w:t>לאחר שחרורו מן הכלא</w:t>
      </w:r>
      <w:r>
        <w:rPr>
          <w:rtl/>
        </w:rPr>
        <w:t xml:space="preserve"> הייתה חששו, ובפרפרזה על דברי אבי בדבר ניסיונו הדומה של ר׳ חיים </w:t>
      </w:r>
      <w:proofErr w:type="spellStart"/>
      <w:r>
        <w:rPr>
          <w:rtl/>
        </w:rPr>
        <w:t>מוולוז׳ין</w:t>
      </w:r>
      <w:proofErr w:type="spellEnd"/>
      <w:r>
        <w:rPr>
          <w:rtl/>
        </w:rPr>
        <w:t>: “הם [המלשינים] היו מביאים למעצרו שוב; אז מה התועלת?!” עובדה היא שההמונים שתמכו בר׳ שמואל בן אביגדור נלחמו בהנהגת הקהילה, שלכאורה נהנתה מתמיכת הגאון, באמצעות הלשנה עליה לשלטונות – ובכלל זה הטענה שהמנהיגים משלמים קצבה שבועית לאחד, ר׳ אליהו הגאון, “שאינו עושה דבר”</w:t>
      </w:r>
      <w:bookmarkStart w:id="3597" w:name="_fnr2672"/>
      <w:r>
        <w:rPr>
          <w:rStyle w:val="a5"/>
        </w:rPr>
        <w:footnoteReference w:id="2679" w:customMarkFollows="0"/>
      </w:r>
      <w:bookmarkEnd w:id="3597"/>
      <w:r>
        <w:rPr>
          <w:rtl/>
        </w:rPr>
        <w:t xml:space="preserve">. ניסיונו של ר׳ חיים </w:t>
      </w:r>
      <w:proofErr w:type="spellStart"/>
      <w:r>
        <w:rPr>
          <w:rtl/>
        </w:rPr>
        <w:t>מוולוז׳ין</w:t>
      </w:r>
      <w:proofErr w:type="spellEnd"/>
      <w:r>
        <w:rPr>
          <w:rtl/>
        </w:rPr>
        <w:t xml:space="preserve"> לחדש את נשיאת הכפיים בימות החול, </w:t>
      </w:r>
      <w:r>
        <w:rPr>
          <w:b/>
          <w:bCs/>
          <w:rtl/>
        </w:rPr>
        <w:t xml:space="preserve">לאחר שהגאון מווילנה ניסה ונכשל</w:t>
      </w:r>
      <w:r>
        <w:rPr>
          <w:rtl/>
        </w:rPr>
        <w:t>, מוכיח שר׳ חיים לא ראה בהתערבות שמים את סיבת כישלונו של הגאון, או שלא נרתע מלהתעמת עם שמים כשההלכה חייבה זאת!</w:t>
      </w:r>
    </w:p>
    <w:p w14:paraId="06F62653" w14:textId="77777777" w:rsidR="00AB3647" w:rsidRDefault="00000000" w:rsidP="007923E9">
      <w:pPr>
        <w:spacing w:after="120" w:line="276" w:lineRule="auto"/>
        <w:ind w:firstLine="283"/>
        <w:jc w:val="both"/>
      </w:pPr>
      <w:r>
        <w:rPr>
          <w:rtl/>
        </w:rPr>
        <w:t xml:space="preserve">(ועיין בים של שלמה </w:t>
      </w:r>
      <w:proofErr w:type="spellStart"/>
      <w:r>
        <w:rPr>
          <w:rtl/>
        </w:rPr>
        <w:t>ב״ק</w:t>
      </w:r>
      <w:proofErr w:type="spellEnd"/>
      <w:r>
        <w:rPr>
          <w:rtl/>
        </w:rPr>
        <w:t xml:space="preserve"> פ׳ מרובה סי׳ ל״ז שכ׳ שפעם הורה הלכה למעשה לברך “שהשמחה במעונו” בסיום מסכת “ונתבלבל השמחה במהומות גדולות ע״י סיבות קשות, ותליתי הסרחון בי שעברתי על דברי רבותי שלא שמעו מעולם דבר זה”.)</w:t>
      </w:r>
    </w:p>
    <w:p w14:paraId="2C28FCCB" w14:textId="77777777" w:rsidR="00AB3647" w:rsidRDefault="00000000" w:rsidP="007923E9">
      <w:pPr>
        <w:spacing w:after="120" w:line="276" w:lineRule="auto"/>
        <w:ind w:firstLine="283"/>
        <w:jc w:val="both"/>
      </w:pPr>
      <w:r>
        <w:rPr>
          <w:rtl/>
        </w:rPr>
        <w:t xml:space="preserve">השווה גם </w:t>
      </w:r>
      <w:proofErr w:type="spellStart"/>
      <w:r>
        <w:rPr>
          <w:rtl/>
        </w:rPr>
        <w:t>אלזט</w:t>
      </w:r>
      <w:proofErr w:type="spellEnd"/>
      <w:r>
        <w:rPr>
          <w:rtl/>
        </w:rPr>
        <w:t xml:space="preserve"> </w:t>
      </w:r>
      <w:proofErr w:type="spellStart"/>
      <w:r>
        <w:rPr>
          <w:rtl/>
        </w:rPr>
        <w:t>ב“רשומות</w:t>
      </w:r>
      <w:proofErr w:type="spellEnd"/>
      <w:r>
        <w:rPr>
          <w:rtl/>
        </w:rPr>
        <w:t xml:space="preserve"> ב”</w:t>
      </w:r>
      <w:bookmarkStart w:id="3598" w:name="_fnr2673"/>
      <w:r>
        <w:rPr>
          <w:rStyle w:val="a5"/>
        </w:rPr>
        <w:footnoteReference w:id="2680" w:customMarkFollows="0"/>
      </w:r>
      <w:bookmarkEnd w:id="3598"/>
      <w:r>
        <w:rPr>
          <w:rtl/>
        </w:rPr>
        <w:t xml:space="preserve">, המציג את ר׳ חיים </w:t>
      </w:r>
      <w:proofErr w:type="spellStart"/>
      <w:r>
        <w:rPr>
          <w:rtl/>
        </w:rPr>
        <w:t>מוולוז׳ין</w:t>
      </w:r>
      <w:proofErr w:type="spellEnd"/>
      <w:r>
        <w:rPr>
          <w:rtl/>
        </w:rPr>
        <w:t xml:space="preserve"> כמאמין באותות משמים בכיוון ההפוך, כלומר כדי לבטל מנהג ולחזק את עיקר ההלכה. נאמר שם: “מסופר שפעם אחת, כשהגיע ליל ניטל, לקח מייסד ישיבת </w:t>
      </w:r>
      <w:proofErr w:type="spellStart"/>
      <w:r>
        <w:rPr>
          <w:rtl/>
        </w:rPr>
        <w:t>וולוז׳ין</w:t>
      </w:r>
      <w:proofErr w:type="spellEnd"/>
      <w:r>
        <w:rPr>
          <w:rtl/>
        </w:rPr>
        <w:t xml:space="preserve">, ר׳ חיים, את כרך הגמרא שלו ורצה להניחו בארון, והוא נפל ארצה; החזירו, והוא נפל שוב. אז נכנס לישיבה ואמר לתלמידים: ‘קחו את הגמרות ולמדו. מן השמים אין מניחים לכם </w:t>
      </w:r>
      <w:proofErr w:type="spellStart"/>
      <w:r>
        <w:rPr>
          <w:rtl/>
        </w:rPr>
        <w:t>להיבטל</w:t>
      </w:r>
      <w:proofErr w:type="spellEnd"/>
      <w:r>
        <w:rPr>
          <w:rtl/>
        </w:rPr>
        <w:t>’”</w:t>
      </w:r>
      <w:bookmarkStart w:id="3599" w:name="_fnr2674"/>
      <w:bookmarkStart w:id="3600" w:name="pr_f_2573"/>
      <w:r>
        <w:rPr>
          <w:rStyle w:val="a5"/>
        </w:rPr>
        <w:footnoteReference w:id="2681" w:customMarkFollows="0"/>
      </w:r>
      <w:bookmarkEnd w:id="3599"/>
      <w:bookmarkEnd w:id="3600"/>
      <w:r>
        <w:rPr>
          <w:rtl/>
        </w:rPr>
        <w:t xml:space="preserve">. כמובן, ייתכן שסיפור הגמרא </w:t>
      </w:r>
      <w:r>
        <w:rPr>
          <w:rtl/>
        </w:rPr>
        <w:lastRenderedPageBreak/>
        <w:t xml:space="preserve">שסירבה להיכנס לארון הומצא כדי להפיג את חששותיהם של תלמידים שפחדו שלימודם באותו לילה עלול להיגזל בידי כוח הטומאה – חשש המשתמע </w:t>
      </w:r>
      <w:proofErr w:type="spellStart"/>
      <w:r>
        <w:rPr>
          <w:rtl/>
        </w:rPr>
        <w:t>ב“טעמי</w:t>
      </w:r>
      <w:proofErr w:type="spellEnd"/>
      <w:r>
        <w:rPr>
          <w:rtl/>
        </w:rPr>
        <w:t xml:space="preserve"> המנהגים ומקורי הדינים”</w:t>
      </w:r>
      <w:bookmarkStart w:id="3601" w:name="_fnr2675"/>
      <w:r>
        <w:rPr>
          <w:rStyle w:val="a5"/>
        </w:rPr>
        <w:footnoteReference w:id="2682" w:customMarkFollows="0"/>
      </w:r>
      <w:bookmarkEnd w:id="3601"/>
      <w:r>
        <w:rPr>
          <w:rtl/>
        </w:rPr>
        <w:t xml:space="preserve">. חשש זה מפורש </w:t>
      </w:r>
      <w:proofErr w:type="spellStart"/>
      <w:r>
        <w:rPr>
          <w:rtl/>
        </w:rPr>
        <w:t>ב“ליקוטי</w:t>
      </w:r>
      <w:proofErr w:type="spellEnd"/>
      <w:r>
        <w:rPr>
          <w:rtl/>
        </w:rPr>
        <w:t xml:space="preserve"> פרדס”</w:t>
      </w:r>
      <w:bookmarkStart w:id="3602" w:name="_fnr2676"/>
      <w:r>
        <w:rPr>
          <w:rStyle w:val="a5"/>
        </w:rPr>
        <w:footnoteReference w:id="2683" w:customMarkFollows="0"/>
      </w:r>
      <w:bookmarkEnd w:id="3602"/>
      <w:r>
        <w:rPr>
          <w:rtl/>
        </w:rPr>
        <w:t>, האומר: “העולם אומרים שעל ידי ביטול לימוד התורה [בליל הולדת ישו] אנו מבטיחים שלא תעמוד לו זכות התורה שלמד”.</w:t>
      </w:r>
    </w:p>
    <w:p w14:paraId="3B76CBE4" w14:textId="77777777" w:rsidR="00AB3647" w:rsidRDefault="00000000" w:rsidP="007923E9">
      <w:pPr>
        <w:spacing w:after="120" w:line="276" w:lineRule="auto"/>
        <w:ind w:firstLine="283"/>
        <w:jc w:val="both"/>
      </w:pPr>
      <w:r>
        <w:rPr>
          <w:rtl/>
        </w:rPr>
        <w:t xml:space="preserve">לשונו של “ליקוטי פרדס” מאפשרת לנו להבין כיצד תורה יכולה “להיגזל בידי </w:t>
      </w:r>
      <w:proofErr w:type="spellStart"/>
      <w:r>
        <w:rPr>
          <w:rtl/>
        </w:rPr>
        <w:t>כח</w:t>
      </w:r>
      <w:proofErr w:type="spellEnd"/>
      <w:r>
        <w:rPr>
          <w:rtl/>
        </w:rPr>
        <w:t xml:space="preserve"> הטומאה”: מאחר שישו למד תורה כלשהי בימי חייו, אנו מבטלים, באמצעות ביטול התורה הנרחב </w:t>
      </w:r>
      <w:r>
        <w:rPr>
          <w:b/>
          <w:bCs/>
          <w:rtl/>
        </w:rPr>
        <w:t>שהביא</w:t>
      </w:r>
      <w:r>
        <w:rPr>
          <w:rtl/>
        </w:rPr>
        <w:t xml:space="preserve"> במאות השנים שלאחר מכן, את הזכויות שצבר בשעתו [הוא, </w:t>
      </w:r>
      <w:proofErr w:type="spellStart"/>
      <w:r>
        <w:rPr>
          <w:rtl/>
        </w:rPr>
        <w:t>כח</w:t>
      </w:r>
      <w:proofErr w:type="spellEnd"/>
      <w:r>
        <w:rPr>
          <w:rtl/>
        </w:rPr>
        <w:t xml:space="preserve"> הטומאה]. ראה גם “אגרות סופרים”</w:t>
      </w:r>
      <w:bookmarkStart w:id="3603" w:name="_fnr2677"/>
      <w:r>
        <w:rPr>
          <w:rStyle w:val="a5"/>
        </w:rPr>
        <w:footnoteReference w:id="2684" w:customMarkFollows="0"/>
      </w:r>
      <w:bookmarkEnd w:id="3603"/>
      <w:r>
        <w:rPr>
          <w:rtl/>
        </w:rPr>
        <w:t xml:space="preserve">, ובו מכתב </w:t>
      </w:r>
      <w:proofErr w:type="spellStart"/>
      <w:r>
        <w:rPr>
          <w:rtl/>
        </w:rPr>
        <w:t>מהחתם־סופר</w:t>
      </w:r>
      <w:proofErr w:type="spellEnd"/>
      <w:r>
        <w:rPr>
          <w:rtl/>
        </w:rPr>
        <w:t xml:space="preserve"> האומר בלשון סתומה: “טעם מקובל לא שמעתי בזה, אבל נראה לי משום שלא ליתן לשטן לקטרג”. ייתכן שהתכוון להסברנו. (ראה להלן כיצד אפשר להטיל על ישו את האשמה בביטול התורה שלנו.)</w:t>
      </w:r>
    </w:p>
    <w:p w14:paraId="5778C2FE" w14:textId="77777777" w:rsidR="00AB3647" w:rsidRDefault="00000000" w:rsidP="007923E9">
      <w:pPr>
        <w:spacing w:after="120" w:line="276" w:lineRule="auto"/>
        <w:ind w:firstLine="283"/>
        <w:jc w:val="both"/>
      </w:pPr>
      <w:r>
        <w:rPr>
          <w:rtl/>
        </w:rPr>
        <w:t>השווה גם “טעמי המנהגים”</w:t>
      </w:r>
      <w:bookmarkStart w:id="3604" w:name="_fnr2678"/>
      <w:r>
        <w:rPr>
          <w:rStyle w:val="a5"/>
        </w:rPr>
        <w:footnoteReference w:id="2685" w:customMarkFollows="0"/>
      </w:r>
      <w:bookmarkEnd w:id="3604"/>
      <w:r>
        <w:rPr>
          <w:rtl/>
        </w:rPr>
        <w:t xml:space="preserve"> [בשם “ליקוטי פרדס”], המביא את הטעם הבא לביטול הלימוד בליל חג המולד: “מפני שבימים הקדמונים היו צוררי היהודים אורבים להם בלילה ההוא, ומכים אותם מכות אכזריות בכל עת שמצאום ברחובות – ולפעמים מתו היהודים בידיהם, שכן ההמון ראה בכך מצווה [לתקוף יהודים] – לכן תיקנו גדולי התורה שהמלמדים והתלמידים ובני הישיבות יישארו בבתיהם באותו לילה ולא יסתובבו בחוץ”.</w:t>
      </w:r>
    </w:p>
    <w:p w14:paraId="4EDD69F5"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3605" w:name="_fnr2679"/>
      <w:r>
        <w:rPr>
          <w:rStyle w:val="a5"/>
        </w:rPr>
        <w:footnoteReference w:id="2686" w:customMarkFollows="0"/>
      </w:r>
      <w:bookmarkEnd w:id="3605"/>
      <w:r>
        <w:rPr>
          <w:rtl/>
        </w:rPr>
        <w:t xml:space="preserve"> שסבו, רבנו, אמר לו שמתקני המנהג שלא ללמוד בניטל התכוונו רק שלא ייצאו לרחובות; ומאחר שספרי קודש נמצאו רק בבתי המדרש, היה הדבר שקול לאיסור לימוד תורה באותו לילה. גם הטעם הקודם, כלומר </w:t>
      </w:r>
      <w:proofErr w:type="spellStart"/>
      <w:r>
        <w:rPr>
          <w:rtl/>
        </w:rPr>
        <w:t>גזילת</w:t>
      </w:r>
      <w:proofErr w:type="spellEnd"/>
      <w:r>
        <w:rPr>
          <w:rtl/>
        </w:rPr>
        <w:t xml:space="preserve"> התורה בידי כוח הטומאה, נסמך על הסכנה שארבה ברחובות: יכולנו למנוע את ביטול התורה באמצעות הכנת ספרים בבית, אבל כדי לתלות בישו את האשמה בביטול התורה, איננו יוצאים מגדרנו. לפי הבנה זו, שני הטעמים </w:t>
      </w:r>
      <w:proofErr w:type="spellStart"/>
      <w:r>
        <w:rPr>
          <w:rtl/>
        </w:rPr>
        <w:t>לאי־לימוד</w:t>
      </w:r>
      <w:proofErr w:type="spellEnd"/>
      <w:r>
        <w:rPr>
          <w:rtl/>
        </w:rPr>
        <w:t xml:space="preserve"> תורה באותו לילה משלימים זה את זה: אין לומדים בבתי המדרש משום הסכנה שביציאה החוצה, ואין נוקטים אמצעים מיוחדים להבטיח לימוד תורה בבית, כדי שהאשמה בביטול התורה תוכל לבטל את זכויותיו של ישו.</w:t>
      </w:r>
    </w:p>
    <w:p w14:paraId="1F36B41F" w14:textId="77777777" w:rsidR="00AB3647" w:rsidRDefault="00000000" w:rsidP="007923E9">
      <w:pPr>
        <w:spacing w:after="120" w:line="276" w:lineRule="auto"/>
        <w:ind w:firstLine="283"/>
        <w:jc w:val="both"/>
      </w:pPr>
      <w:r>
        <w:rPr>
          <w:rtl/>
        </w:rPr>
        <w:t xml:space="preserve">ייתכן מאוד שהמעשה בגמרא </w:t>
      </w:r>
      <w:proofErr w:type="spellStart"/>
      <w:r>
        <w:rPr>
          <w:rtl/>
        </w:rPr>
        <w:t>בוולוז׳ין</w:t>
      </w:r>
      <w:proofErr w:type="spellEnd"/>
      <w:r>
        <w:rPr>
          <w:rtl/>
        </w:rPr>
        <w:t xml:space="preserve">, אם אכן אירע, התרחש כשמשמרת הלימוד בישיבה עמדה להסתיים [והמשמרת הבאה לא הייתה צפויה להגיע בשל מנהג ליל ניטל]. בישיבת </w:t>
      </w:r>
      <w:proofErr w:type="spellStart"/>
      <w:r>
        <w:rPr>
          <w:rtl/>
        </w:rPr>
        <w:t>וולוז׳ין</w:t>
      </w:r>
      <w:proofErr w:type="spellEnd"/>
      <w:r>
        <w:rPr>
          <w:rtl/>
        </w:rPr>
        <w:t xml:space="preserve"> לא הייתה הפסקה בלימוד: לפי “מקור ברוך”</w:t>
      </w:r>
      <w:bookmarkStart w:id="3606" w:name="_fnr2680"/>
      <w:r>
        <w:rPr>
          <w:rStyle w:val="a5"/>
        </w:rPr>
        <w:footnoteReference w:id="2687" w:customMarkFollows="0"/>
      </w:r>
      <w:bookmarkEnd w:id="3606"/>
      <w:r>
        <w:rPr>
          <w:rtl/>
        </w:rPr>
        <w:t xml:space="preserve">, משמרת אחר הצהריים הסתיימה בשעה תשע בערב, ואז החליפה אותה משמרת ערב עד חצות, ובשעה זו באה משמרת הלילה </w:t>
      </w:r>
      <w:r>
        <w:rPr>
          <w:rtl/>
        </w:rPr>
        <w:lastRenderedPageBreak/>
        <w:t>המאוחרת להמשיך בלימוד עד עלות השחר</w:t>
      </w:r>
      <w:bookmarkStart w:id="3607" w:name="_fnr2681"/>
      <w:bookmarkStart w:id="3608" w:name="pr_f_2580"/>
      <w:r>
        <w:rPr>
          <w:rStyle w:val="a5"/>
        </w:rPr>
        <w:footnoteReference w:id="2688" w:customMarkFollows="0"/>
      </w:r>
      <w:bookmarkEnd w:id="3607"/>
      <w:bookmarkEnd w:id="3608"/>
      <w:r>
        <w:rPr>
          <w:rtl/>
        </w:rPr>
        <w:t xml:space="preserve">. ר׳ חיים </w:t>
      </w:r>
      <w:proofErr w:type="spellStart"/>
      <w:r>
        <w:rPr>
          <w:rtl/>
        </w:rPr>
        <w:t>מוולוז׳ין</w:t>
      </w:r>
      <w:proofErr w:type="spellEnd"/>
      <w:r>
        <w:rPr>
          <w:rtl/>
        </w:rPr>
        <w:t xml:space="preserve"> פירש את הגמרא הסרבנית כאות אזהרה שסכנה מן הגויים אורבת; וכשהורה למשמרת להמשיך ללמוד, הבטיח שלא ייצאו אל הרחובות המסוכנים.</w:t>
      </w:r>
    </w:p>
    <w:p w14:paraId="10A8D41E" w14:textId="77777777" w:rsidR="00AB3647" w:rsidRDefault="00000000" w:rsidP="007923E9">
      <w:pPr>
        <w:spacing w:after="120" w:line="276" w:lineRule="auto"/>
        <w:ind w:firstLine="283"/>
        <w:jc w:val="both"/>
      </w:pPr>
      <w:r>
        <w:rPr>
          <w:rtl/>
        </w:rPr>
        <w:t>השווה גם “עליות אליהו” המצוטט לעיל</w:t>
      </w:r>
      <w:bookmarkStart w:id="3609" w:name="_fnr2682"/>
      <w:r>
        <w:rPr>
          <w:rStyle w:val="a5"/>
        </w:rPr>
        <w:footnoteReference w:id="2689" w:customMarkFollows="0"/>
      </w:r>
      <w:bookmarkEnd w:id="3609"/>
      <w:r>
        <w:rPr>
          <w:rtl/>
        </w:rPr>
        <w:t xml:space="preserve">, המספר שהגאון ביקש לבטל את אמירת הסליחות בליל הושענא רבה, שנהגה בווילנה, שכן “שמחת בית השואבה</w:t>
      </w:r>
      <w:bookmarkStart w:id="3610" w:name="_fnr2683"/>
      <w:r>
        <w:rPr>
          <w:rStyle w:val="a5"/>
        </w:rPr>
        <w:footnoteReference w:id="2690" w:customMarkFollows="0"/>
      </w:r>
      <w:bookmarkEnd w:id="3610"/>
      <w:r>
        <w:rPr>
          <w:rtl/>
        </w:rPr>
        <w:t xml:space="preserve"> הייתה נחוגה בביתו בשמחה יתרה בכל ליל הושענא רבה. אלא ששמחתו הועמה כשאדם אחד מת פתאום באותו לילה בביתו במהלך החגיגה, ומאז חדל [לבטל את הסליחות] וחזר בו”. לפי מה שסיפר ר׳ יעקב </w:t>
      </w:r>
      <w:proofErr w:type="spellStart"/>
      <w:r>
        <w:rPr>
          <w:rtl/>
        </w:rPr>
        <w:t>יופן</w:t>
      </w:r>
      <w:proofErr w:type="spellEnd"/>
      <w:r>
        <w:rPr>
          <w:rtl/>
        </w:rPr>
        <w:t xml:space="preserve"> בשם אביו</w:t>
      </w:r>
      <w:bookmarkStart w:id="3611" w:name="_fnr2684"/>
      <w:r>
        <w:rPr>
          <w:rStyle w:val="a5"/>
        </w:rPr>
        <w:footnoteReference w:id="2691" w:customMarkFollows="0"/>
      </w:r>
      <w:bookmarkEnd w:id="3611"/>
      <w:r>
        <w:rPr>
          <w:rtl/>
        </w:rPr>
        <w:t xml:space="preserve"> – “הייתה מסורת אצל זקני ליטא שהגאון סבר ששמחת בית השואבה היא מדאורייתא אפילו בזמן הזה [כשאין מקדש בירושלים]” – עולה שיש להרחיק את אווירת יום הדין שאמירת הסליחות משרה.</w:t>
      </w:r>
    </w:p>
    <w:p w14:paraId="37DE47FC" w14:textId="77777777" w:rsidR="00AB3647" w:rsidRDefault="00000000" w:rsidP="007923E9">
      <w:pPr>
        <w:spacing w:after="120" w:line="276" w:lineRule="auto"/>
        <w:ind w:firstLine="283"/>
        <w:jc w:val="both"/>
      </w:pPr>
      <w:r>
        <w:rPr>
          <w:rtl/>
        </w:rPr>
        <w:t>בעניין זה השווה “לעיתים”</w:t>
      </w:r>
      <w:bookmarkStart w:id="3612" w:name="_fnr2685"/>
      <w:r>
        <w:rPr>
          <w:rStyle w:val="a5"/>
        </w:rPr>
        <w:footnoteReference w:id="2692" w:customMarkFollows="0"/>
      </w:r>
      <w:bookmarkEnd w:id="3612"/>
      <w:r>
        <w:rPr>
          <w:rtl/>
        </w:rPr>
        <w:t xml:space="preserve">, שבו מסביר אבי מדוע הידיעה שהושענא רבה הוא יום דין נמסרה רק ליודעי חכמת הקבלה, והושמטה הן מן הבבלי הן מן הירושלמי, שמהם היה כל יהודי יודע אותה. הוא נוקט את אותו טעם שנתן הגאון להשמטת הסליחות: שלא </w:t>
      </w:r>
      <w:proofErr w:type="spellStart"/>
      <w:r>
        <w:rPr>
          <w:rtl/>
        </w:rPr>
        <w:t>תתמעט</w:t>
      </w:r>
      <w:proofErr w:type="spellEnd"/>
      <w:r>
        <w:rPr>
          <w:rtl/>
        </w:rPr>
        <w:t xml:space="preserve"> שמחת החג מחמת פחד הדין. עוד הוא מסביר שבדורות מאוחרים, בשל הירידה הרוחנית, התמעט פחד ימי הדין עד כדי כך שידיעת מעמדו האמיתי של הושענא רבה כבר לא הייתה מעיבה על שמחת החג, ולכן לא נותר טעם לשמור את הדבר בסוד. רבנו מביא שם דוגמאות לשינויים שעשו חכמי התלמוד כשהדורות נעשו פחות יראי שמים.</w:t>
      </w:r>
    </w:p>
    <w:p w14:paraId="657C5427" w14:textId="77777777" w:rsidR="00AB3647" w:rsidRDefault="00000000" w:rsidP="007923E9">
      <w:pPr>
        <w:spacing w:after="120" w:line="276" w:lineRule="auto"/>
        <w:ind w:firstLine="283"/>
        <w:jc w:val="both"/>
      </w:pPr>
      <w:r>
        <w:rPr>
          <w:rtl/>
        </w:rPr>
        <w:t>השווה גם כרך 2 של “</w:t>
      </w:r>
      <w:proofErr w:type="spellStart"/>
      <w:r>
        <w:rPr>
          <w:rtl/>
        </w:rPr>
        <w:t>דאס</w:t>
      </w:r>
      <w:proofErr w:type="spellEnd"/>
      <w:r>
        <w:rPr>
          <w:rtl/>
        </w:rPr>
        <w:t xml:space="preserve"> </w:t>
      </w:r>
      <w:proofErr w:type="spellStart"/>
      <w:r>
        <w:rPr>
          <w:rtl/>
        </w:rPr>
        <w:t>לעבען</w:t>
      </w:r>
      <w:proofErr w:type="spellEnd"/>
      <w:r>
        <w:rPr>
          <w:rtl/>
        </w:rPr>
        <w:t xml:space="preserve"> און </w:t>
      </w:r>
      <w:proofErr w:type="spellStart"/>
      <w:r>
        <w:rPr>
          <w:rtl/>
        </w:rPr>
        <w:t>שאפען</w:t>
      </w:r>
      <w:proofErr w:type="spellEnd"/>
      <w:r>
        <w:rPr>
          <w:rtl/>
        </w:rPr>
        <w:t xml:space="preserve"> פון חפץ חיים” [חייו ופועלו של </w:t>
      </w:r>
      <w:proofErr w:type="spellStart"/>
      <w:r>
        <w:rPr>
          <w:rtl/>
        </w:rPr>
        <w:t>החפץ־חיים</w:t>
      </w:r>
      <w:proofErr w:type="spellEnd"/>
      <w:r>
        <w:rPr>
          <w:rtl/>
        </w:rPr>
        <w:t>]</w:t>
      </w:r>
      <w:bookmarkStart w:id="3613" w:name="_fnr2686"/>
      <w:r>
        <w:rPr>
          <w:rStyle w:val="a5"/>
        </w:rPr>
        <w:footnoteReference w:id="2693" w:customMarkFollows="0"/>
      </w:r>
      <w:bookmarkEnd w:id="3613"/>
      <w:r>
        <w:rPr>
          <w:rtl/>
        </w:rPr>
        <w:t xml:space="preserve">, האומר: “ר׳ </w:t>
      </w:r>
      <w:proofErr w:type="spellStart"/>
      <w:r>
        <w:rPr>
          <w:rtl/>
        </w:rPr>
        <w:t>יצחק־אייזיק</w:t>
      </w:r>
      <w:proofErr w:type="spellEnd"/>
      <w:r>
        <w:rPr>
          <w:rtl/>
        </w:rPr>
        <w:t xml:space="preserve"> הרצוג מארץ ישראל סיפר לי [הרב משה מאיר ישר], ששמע כי </w:t>
      </w:r>
      <w:r>
        <w:rPr>
          <w:b/>
          <w:bCs/>
          <w:rtl/>
        </w:rPr>
        <w:t>בפעם השנייה</w:t>
      </w:r>
      <w:bookmarkStart w:id="3614" w:name="_fnr2687"/>
      <w:r>
        <w:rPr>
          <w:rStyle w:val="a5"/>
        </w:rPr>
        <w:footnoteReference w:id="2694" w:customMarkFollows="0"/>
      </w:r>
      <w:bookmarkEnd w:id="3614"/>
      <w:r>
        <w:rPr>
          <w:rtl/>
        </w:rPr>
        <w:t xml:space="preserve"> קרא הגאון מווילנה </w:t>
      </w:r>
      <w:proofErr w:type="spellStart"/>
      <w:r>
        <w:rPr>
          <w:rtl/>
        </w:rPr>
        <w:t>לר</w:t>
      </w:r>
      <w:proofErr w:type="spellEnd"/>
      <w:r>
        <w:rPr>
          <w:rtl/>
        </w:rPr>
        <w:t xml:space="preserve">׳ מרדכי כהן, אחד מבני משפחת מיוחסי כהונה בווילנה, והורה לו להיות מוכן לשאת כפיים למחרת בבוקר </w:t>
      </w:r>
      <w:proofErr w:type="spellStart"/>
      <w:r>
        <w:rPr>
          <w:rtl/>
        </w:rPr>
        <w:t>בקלויז</w:t>
      </w:r>
      <w:proofErr w:type="spellEnd"/>
      <w:r>
        <w:rPr>
          <w:rtl/>
        </w:rPr>
        <w:t xml:space="preserve">. אלא שעיכבוהו מן השמים </w:t>
      </w:r>
      <w:r>
        <w:rPr>
          <w:b/>
          <w:bCs/>
          <w:rtl/>
        </w:rPr>
        <w:t>גם הפעם</w:t>
      </w:r>
      <w:r>
        <w:rPr>
          <w:rtl/>
        </w:rPr>
        <w:t xml:space="preserve">, שכן הכוהן מת באותו לילה. מאחר שהדין היה ברור לגאון, שחובה לשאת </w:t>
      </w:r>
      <w:r>
        <w:rPr>
          <w:rtl/>
        </w:rPr>
        <w:lastRenderedPageBreak/>
        <w:t xml:space="preserve">כפיים, הביע ר׳ ישראל </w:t>
      </w:r>
      <w:proofErr w:type="spellStart"/>
      <w:r>
        <w:rPr>
          <w:rtl/>
        </w:rPr>
        <w:t>סלנטר</w:t>
      </w:r>
      <w:proofErr w:type="spellEnd"/>
      <w:r>
        <w:rPr>
          <w:rtl/>
        </w:rPr>
        <w:t xml:space="preserve"> את פליאתו על שחדל מלנסות שוב נוכח [בגלל] האותות שהראוהו מן השמים – שהרי ‘לא בשמיים היא’</w:t>
      </w:r>
      <w:bookmarkStart w:id="3615" w:name="_fnr2688"/>
      <w:r>
        <w:rPr>
          <w:rStyle w:val="a5"/>
        </w:rPr>
        <w:footnoteReference w:id="2695" w:customMarkFollows="0"/>
      </w:r>
      <w:bookmarkEnd w:id="3615"/>
      <w:r>
        <w:rPr>
          <w:rtl/>
        </w:rPr>
        <w:t>”.</w:t>
      </w:r>
    </w:p>
    <w:p w14:paraId="6DB5528D" w14:textId="77777777" w:rsidR="00AB3647" w:rsidRDefault="00000000" w:rsidP="007923E9">
      <w:pPr>
        <w:spacing w:after="120" w:line="276" w:lineRule="auto"/>
        <w:ind w:firstLine="283"/>
        <w:jc w:val="both"/>
      </w:pPr>
      <w:r>
        <w:rPr>
          <w:rtl/>
        </w:rPr>
        <w:t xml:space="preserve">את השרפה שמנעה את נשיאת הכפיים אפשר להבין כמעשה מציתים, וכך אכן הבין אותה אבי. לא כן פרשת מותו של הכוהן, כפי שהיא מצטיירת במסורת הרצוג: אותה יש בהחלט להבין כיד שמים המפריעה לקיום המצווה. ברור שרבנו לא הכיר את סיפור הרצוג. יתרה מזו, אילו ביקר ר׳ ישראל </w:t>
      </w:r>
      <w:proofErr w:type="spellStart"/>
      <w:r>
        <w:rPr>
          <w:rtl/>
        </w:rPr>
        <w:t>סלנטר</w:t>
      </w:r>
      <w:proofErr w:type="spellEnd"/>
      <w:r>
        <w:rPr>
          <w:rtl/>
        </w:rPr>
        <w:t xml:space="preserve"> את הגאון על שנמנע מלפעול לאחר המאורע, כסיפורו של הרב הרצוג, היו מתנגדי המוסר בזמנו של אבי יכולים להביא ראיה חזקה יותר לחוצפתו של </w:t>
      </w:r>
      <w:proofErr w:type="spellStart"/>
      <w:r>
        <w:rPr>
          <w:rtl/>
        </w:rPr>
        <w:t>סלנטר</w:t>
      </w:r>
      <w:proofErr w:type="spellEnd"/>
      <w:r>
        <w:rPr>
          <w:rtl/>
        </w:rPr>
        <w:t xml:space="preserve">, שכן חלק על הגאון מווילנה עצמו, ולא רק על תלמידו ר׳ חיים </w:t>
      </w:r>
      <w:proofErr w:type="spellStart"/>
      <w:r>
        <w:rPr>
          <w:rtl/>
        </w:rPr>
        <w:t>מוולוז׳ין</w:t>
      </w:r>
      <w:proofErr w:type="spellEnd"/>
      <w:r>
        <w:rPr>
          <w:rtl/>
        </w:rPr>
        <w:t>, כפי שמסרה המסורת מימי נעוריו של אבי.</w:t>
      </w:r>
    </w:p>
    <w:p w14:paraId="602CEB20" w14:textId="77777777" w:rsidR="00AB3647" w:rsidRDefault="00000000" w:rsidP="007923E9">
      <w:pPr>
        <w:spacing w:after="120" w:line="276" w:lineRule="auto"/>
        <w:ind w:firstLine="283"/>
        <w:jc w:val="both"/>
      </w:pPr>
      <w:r>
        <w:rPr>
          <w:rtl/>
        </w:rPr>
        <w:t xml:space="preserve">אך סיפור כזה מחזק את ההשערה שהועלתה לעיל. ר׳ חיים התכוון להנהיג נשיאת כפיים בימות החול </w:t>
      </w:r>
      <w:r>
        <w:rPr>
          <w:b/>
          <w:bCs/>
          <w:rtl/>
        </w:rPr>
        <w:t>לאחר</w:t>
      </w:r>
      <w:r>
        <w:rPr>
          <w:rtl/>
        </w:rPr>
        <w:t xml:space="preserve"> שהגאון מווילנה ניסה זאת [לא פעם אחת אלא פעמיים] ונכשל; לכן ודאי הסכים ר׳ חיים עם דעת ר׳ ישראל שהתערבות שמים אינה יכולה למנוע הלכה – אפילו אם רבו הגאון מווילנה סבר אחרת! אם אכן היו לגאון </w:t>
      </w:r>
      <w:r>
        <w:rPr>
          <w:b/>
          <w:bCs/>
          <w:rtl/>
        </w:rPr>
        <w:t>שני</w:t>
      </w:r>
      <w:r>
        <w:rPr>
          <w:rtl/>
        </w:rPr>
        <w:t xml:space="preserve"> ניסיונות להנהיג נשיאת כפיים בימות החול, אפשר להציע [שלא כדיווחו של הרב הרצוג] שהניסיון </w:t>
      </w:r>
      <w:r>
        <w:rPr>
          <w:b/>
          <w:bCs/>
          <w:rtl/>
        </w:rPr>
        <w:t>הראשון</w:t>
      </w:r>
      <w:r>
        <w:rPr>
          <w:rtl/>
        </w:rPr>
        <w:t xml:space="preserve"> הוא שסוכל בידי מלאך המוות, ואחריו ניסה הגאון </w:t>
      </w:r>
      <w:r>
        <w:rPr>
          <w:b/>
          <w:bCs/>
          <w:rtl/>
        </w:rPr>
        <w:t>פעם שנייה</w:t>
      </w:r>
      <w:r>
        <w:rPr>
          <w:rtl/>
        </w:rPr>
        <w:t xml:space="preserve"> – דווקא מפני </w:t>
      </w:r>
      <w:proofErr w:type="spellStart"/>
      <w:r>
        <w:rPr>
          <w:rtl/>
        </w:rPr>
        <w:t>ש“לא</w:t>
      </w:r>
      <w:proofErr w:type="spellEnd"/>
      <w:r>
        <w:rPr>
          <w:rtl/>
        </w:rPr>
        <w:t xml:space="preserve"> בשמיים היא”. לאחר הניסיון </w:t>
      </w:r>
      <w:r>
        <w:rPr>
          <w:b/>
          <w:bCs/>
          <w:rtl/>
        </w:rPr>
        <w:t>השני</w:t>
      </w:r>
      <w:r>
        <w:rPr>
          <w:rtl/>
        </w:rPr>
        <w:t xml:space="preserve"> נעצר הגאון, ואחר כך לא הסתכן בניסיון שלישי, מחשש שהמלשינים “היו מביאים למעצרו שוב”.</w:t>
      </w:r>
    </w:p>
    <w:p w14:paraId="364506DD" w14:textId="77777777" w:rsidR="00AB3647" w:rsidRDefault="00000000" w:rsidP="007923E9">
      <w:pPr>
        <w:spacing w:after="120" w:line="276" w:lineRule="auto"/>
        <w:ind w:firstLine="283"/>
        <w:jc w:val="both"/>
      </w:pPr>
      <w:r>
        <w:rPr>
          <w:rtl/>
        </w:rPr>
        <w:t xml:space="preserve">אבל בשל הסתירה בין מסורת אבי לזו של הרב הרצוג, עלינו להניח שגרסת רבנו נכונה – במיוחד מפני שהסיפור נוגע גם </w:t>
      </w:r>
      <w:proofErr w:type="spellStart"/>
      <w:r>
        <w:rPr>
          <w:rtl/>
        </w:rPr>
        <w:t>לר</w:t>
      </w:r>
      <w:proofErr w:type="spellEnd"/>
      <w:r>
        <w:rPr>
          <w:rtl/>
        </w:rPr>
        <w:t xml:space="preserve">׳ ישראל </w:t>
      </w:r>
      <w:proofErr w:type="spellStart"/>
      <w:r>
        <w:rPr>
          <w:rtl/>
        </w:rPr>
        <w:t>סלנטר</w:t>
      </w:r>
      <w:proofErr w:type="spellEnd"/>
      <w:r>
        <w:rPr>
          <w:rtl/>
        </w:rPr>
        <w:t xml:space="preserve">, ואבי, איש אסכולת המוסר, ידע עליו יותר מהרב הרצוג. אפשר שסיפור הרצוג הוא פשוט שיבוש של סיפור אבי בשתי החלפות פשוטות: הגאון מווילנה בא במקום ר׳ חיים </w:t>
      </w:r>
      <w:proofErr w:type="spellStart"/>
      <w:r>
        <w:rPr>
          <w:rtl/>
        </w:rPr>
        <w:t>מוולוז׳ין</w:t>
      </w:r>
      <w:proofErr w:type="spellEnd"/>
      <w:r>
        <w:rPr>
          <w:rtl/>
        </w:rPr>
        <w:t>, ומלאך המוות במקום האש מן השמים.</w:t>
      </w:r>
    </w:p>
    <w:p w14:paraId="112516C4" w14:textId="77777777" w:rsidR="00AB3647" w:rsidRDefault="00000000" w:rsidP="007923E9">
      <w:pPr>
        <w:pStyle w:val="4"/>
        <w:spacing w:line="276" w:lineRule="auto"/>
      </w:pPr>
      <w:r>
        <w:t>· הפסקה הרביעית ·</w:t>
      </w:r>
    </w:p>
    <w:p w14:paraId="56E725CF" w14:textId="77777777" w:rsidR="00AB3647" w:rsidRDefault="00000000" w:rsidP="007923E9">
      <w:pPr>
        <w:pStyle w:val="5"/>
        <w:spacing w:line="276" w:lineRule="auto"/>
      </w:pPr>
      <w:r>
        <w:t>ר׳ ישראל מקדש את המנהג הרווח</w:t>
      </w:r>
    </w:p>
    <w:p w14:paraId="7CA25069" w14:textId="77777777" w:rsidR="00AB3647" w:rsidRDefault="00000000" w:rsidP="007923E9">
      <w:pPr>
        <w:spacing w:after="120" w:line="276" w:lineRule="auto"/>
        <w:ind w:firstLine="283"/>
        <w:jc w:val="both"/>
      </w:pPr>
      <w:r>
        <w:rPr>
          <w:rtl/>
        </w:rPr>
        <w:t xml:space="preserve">אני מציע שר׳ ישראל כלל לא התכוון לחלוק על ר׳ חיים </w:t>
      </w:r>
      <w:proofErr w:type="spellStart"/>
      <w:r>
        <w:rPr>
          <w:rtl/>
        </w:rPr>
        <w:t>מוולוז׳ין</w:t>
      </w:r>
      <w:proofErr w:type="spellEnd"/>
      <w:r>
        <w:rPr>
          <w:rtl/>
        </w:rPr>
        <w:t xml:space="preserve">, רבו של מורו ר׳ </w:t>
      </w:r>
      <w:proofErr w:type="spellStart"/>
      <w:r>
        <w:rPr>
          <w:rtl/>
        </w:rPr>
        <w:t>יוסף־זונדל</w:t>
      </w:r>
      <w:bookmarkStart w:id="3616" w:name="_fnr2689"/>
      <w:proofErr w:type="spellEnd"/>
      <w:r>
        <w:rPr>
          <w:rStyle w:val="a5"/>
        </w:rPr>
        <w:footnoteReference w:id="2696" w:customMarkFollows="0"/>
      </w:r>
      <w:bookmarkEnd w:id="3616"/>
      <w:r>
        <w:rPr>
          <w:rtl/>
        </w:rPr>
        <w:t xml:space="preserve">, ושאף הוא סבר שאין לשנות מנהגים קיימים. למעשה, ר׳ ישראל החשיב את המנהגים – לפחות בימיו – למקודשים </w:t>
      </w:r>
      <w:r>
        <w:rPr>
          <w:b/>
          <w:bCs/>
          <w:rtl/>
        </w:rPr>
        <w:t>יותר</w:t>
      </w:r>
      <w:r>
        <w:rPr>
          <w:rtl/>
        </w:rPr>
        <w:t xml:space="preserve"> משהחשיב אותם ר׳ חיים. כפי שאמר </w:t>
      </w:r>
      <w:proofErr w:type="spellStart"/>
      <w:r>
        <w:rPr>
          <w:rtl/>
        </w:rPr>
        <w:t>סלנטר</w:t>
      </w:r>
      <w:bookmarkStart w:id="3617" w:name="_fnr2690"/>
      <w:proofErr w:type="spellEnd"/>
      <w:r>
        <w:rPr>
          <w:rStyle w:val="a5"/>
        </w:rPr>
        <w:footnoteReference w:id="2697" w:customMarkFollows="0"/>
      </w:r>
      <w:bookmarkEnd w:id="3617"/>
      <w:r>
        <w:rPr>
          <w:rtl/>
        </w:rPr>
        <w:t xml:space="preserve">: “מה נשאר לנו מן היהדות מלבד מנהגים?!” בהתאם לכך, ר׳ ישראל, </w:t>
      </w:r>
      <w:r>
        <w:rPr>
          <w:b/>
          <w:bCs/>
          <w:rtl/>
        </w:rPr>
        <w:t>שלא כגאון</w:t>
      </w:r>
      <w:r>
        <w:rPr>
          <w:rtl/>
        </w:rPr>
        <w:t xml:space="preserve">, </w:t>
      </w:r>
      <w:r>
        <w:rPr>
          <w:b/>
          <w:bCs/>
          <w:rtl/>
        </w:rPr>
        <w:t>לא היה משפר מנהגים, אפילו במקרים שבהם לא הייתה מתעוררת התנגדות</w:t>
      </w:r>
      <w:bookmarkStart w:id="3618" w:name="_fnr2691"/>
      <w:r>
        <w:rPr>
          <w:rStyle w:val="a5"/>
        </w:rPr>
        <w:footnoteReference w:id="2698" w:customMarkFollows="0"/>
      </w:r>
      <w:bookmarkEnd w:id="3618"/>
      <w:r>
        <w:rPr>
          <w:rtl/>
        </w:rPr>
        <w:t xml:space="preserve">. לכן, כשאמר ר׳ ישראל שאילו סבר שעל פי הדין כוהנים חייבים לעלות לדוכן מדי יום, לא היה שולל את הנהגת הדבר </w:t>
      </w:r>
      <w:r>
        <w:rPr>
          <w:b/>
          <w:bCs/>
          <w:rtl/>
        </w:rPr>
        <w:t>למרות השרפה</w:t>
      </w:r>
      <w:r>
        <w:rPr>
          <w:rtl/>
        </w:rPr>
        <w:t xml:space="preserve"> – ביטא בכך כיצד </w:t>
      </w:r>
      <w:r>
        <w:rPr>
          <w:b/>
          <w:bCs/>
          <w:rtl/>
        </w:rPr>
        <w:t>היה</w:t>
      </w:r>
      <w:r>
        <w:rPr>
          <w:rtl/>
        </w:rPr>
        <w:t xml:space="preserve"> מתייחס לאותות משמים במקרה כזה: אפילו אם אדם </w:t>
      </w:r>
      <w:r>
        <w:rPr>
          <w:b/>
          <w:bCs/>
          <w:rtl/>
        </w:rPr>
        <w:lastRenderedPageBreak/>
        <w:t>מאמין</w:t>
      </w:r>
      <w:r>
        <w:rPr>
          <w:rtl/>
        </w:rPr>
        <w:t xml:space="preserve"> שהשמים מתערבים בהלכה, יש לקיים את ההלכה ולהתעלם מן האות משמים</w:t>
      </w:r>
      <w:bookmarkStart w:id="3619" w:name="_fnr2692"/>
      <w:r>
        <w:rPr>
          <w:rStyle w:val="a5"/>
        </w:rPr>
        <w:footnoteReference w:id="2699" w:customMarkFollows="0"/>
      </w:r>
      <w:bookmarkEnd w:id="3619"/>
      <w:r>
        <w:rPr>
          <w:rtl/>
        </w:rPr>
        <w:t xml:space="preserve">. כך גם לא ירא ר׳ ישראל מפני אנשים שהיו מסוגלים להזיק </w:t>
      </w:r>
      <w:proofErr w:type="spellStart"/>
      <w:r>
        <w:rPr>
          <w:rtl/>
        </w:rPr>
        <w:t>למציקיהם</w:t>
      </w:r>
      <w:proofErr w:type="spellEnd"/>
      <w:r>
        <w:rPr>
          <w:rtl/>
        </w:rPr>
        <w:t xml:space="preserve"> באמצעות קללות, אלא ביקר אותם על כך, כאמור לעיל בפסקה השנייה.</w:t>
      </w:r>
    </w:p>
    <w:p w14:paraId="79F3C0A8" w14:textId="77777777" w:rsidR="00AB3647" w:rsidRDefault="00000000" w:rsidP="007923E9">
      <w:pPr>
        <w:spacing w:after="120" w:line="276" w:lineRule="auto"/>
        <w:ind w:firstLine="283"/>
        <w:jc w:val="both"/>
      </w:pPr>
      <w:r>
        <w:rPr>
          <w:rtl/>
        </w:rPr>
        <w:t xml:space="preserve">בפועל, גם הוא ייחס את השרפה לא לאות שנשלח משמים, אלא למציתים שהתנגדו לשינוי – בדיוק כפי שייחס אותה ר׳ חיים </w:t>
      </w:r>
      <w:proofErr w:type="spellStart"/>
      <w:r>
        <w:rPr>
          <w:rtl/>
        </w:rPr>
        <w:t>מוולוז׳ין</w:t>
      </w:r>
      <w:proofErr w:type="spellEnd"/>
      <w:r>
        <w:rPr>
          <w:rtl/>
        </w:rPr>
        <w:t xml:space="preserve">, לדעת אבי. ולא זו בלבד שר׳ ישראל הסכים עם ר׳ חיים שאין לכפות שינוי מנהג לנוכח התנגדות; למעשה הסכים גם עם “היהודי הזקן” שהתנגד בתוקף לשינוי המנהג הרווח – אף שבוודאי לא הסכים עם האמצעי האלים שבו הביע “היהודי הזקן” את התנגדותו! גם בסיפור על ר׳ לייב חסיד עלה בדעת ר׳ ישראל </w:t>
      </w:r>
      <w:proofErr w:type="spellStart"/>
      <w:r>
        <w:rPr>
          <w:rtl/>
        </w:rPr>
        <w:t>סלנטר</w:t>
      </w:r>
      <w:proofErr w:type="spellEnd"/>
      <w:r>
        <w:rPr>
          <w:rtl/>
        </w:rPr>
        <w:t xml:space="preserve"> שהשרפה לא נגרמה בידי צדיק שנעשה לו עוול וביקש שהשמים יתערבו למענו. ביקורו האישי של </w:t>
      </w:r>
      <w:proofErr w:type="spellStart"/>
      <w:r>
        <w:rPr>
          <w:rtl/>
        </w:rPr>
        <w:t>סלנטר</w:t>
      </w:r>
      <w:proofErr w:type="spellEnd"/>
      <w:r>
        <w:rPr>
          <w:rtl/>
        </w:rPr>
        <w:t xml:space="preserve"> אצלו לאחר מכן הוכיח לו שר׳ לייב לעולם לא יקלל איש – אפילו גוי גס רוח.</w:t>
      </w:r>
    </w:p>
    <w:p w14:paraId="1732D842" w14:textId="77777777" w:rsidR="00AB3647" w:rsidRDefault="00000000" w:rsidP="007923E9">
      <w:pPr>
        <w:pStyle w:val="4"/>
        <w:spacing w:line="276" w:lineRule="auto"/>
      </w:pPr>
      <w:r>
        <w:t>· הפסקה החמישית ·</w:t>
      </w:r>
    </w:p>
    <w:p w14:paraId="149F0CC2" w14:textId="77777777" w:rsidR="00AB3647" w:rsidRDefault="00000000" w:rsidP="007923E9">
      <w:pPr>
        <w:pStyle w:val="5"/>
        <w:spacing w:line="276" w:lineRule="auto"/>
      </w:pPr>
      <w:r>
        <w:t xml:space="preserve">חצי שנה לפני פטירתו מבקר ר׳ ישראל אצל ר׳ לייב </w:t>
      </w:r>
      <w:proofErr w:type="spellStart"/>
      <w:r>
        <w:t>בקלם</w:t>
      </w:r>
      <w:proofErr w:type="spellEnd"/>
      <w:r>
        <w:t xml:space="preserve"> – </w:t>
      </w:r>
      <w:proofErr w:type="spellStart"/>
      <w:r>
        <w:t>אי־הבנה</w:t>
      </w:r>
      <w:proofErr w:type="spellEnd"/>
      <w:r>
        <w:t xml:space="preserve"> קלה בין השניים – ר׳ לייב שובר ומפנה את הקרח מסביב לבאר הציבורית – הוא מלווה סנדלר אל מחוץ לביתו</w:t>
      </w:r>
    </w:p>
    <w:p w14:paraId="34B92B78" w14:textId="77777777" w:rsidR="00AB3647" w:rsidRDefault="00000000" w:rsidP="007923E9">
      <w:pPr>
        <w:spacing w:after="120" w:line="276" w:lineRule="auto"/>
        <w:ind w:firstLine="283"/>
        <w:jc w:val="both"/>
      </w:pPr>
      <w:r>
        <w:rPr>
          <w:rtl/>
        </w:rPr>
        <w:t xml:space="preserve">בגיליון “שערי ציון” שהוקדש </w:t>
      </w:r>
      <w:proofErr w:type="spellStart"/>
      <w:r>
        <w:rPr>
          <w:rtl/>
        </w:rPr>
        <w:t>לר</w:t>
      </w:r>
      <w:proofErr w:type="spellEnd"/>
      <w:r>
        <w:rPr>
          <w:rtl/>
        </w:rPr>
        <w:t xml:space="preserve">׳ ישראל </w:t>
      </w:r>
      <w:proofErr w:type="spellStart"/>
      <w:r>
        <w:rPr>
          <w:rtl/>
        </w:rPr>
        <w:t>סלנטר</w:t>
      </w:r>
      <w:proofErr w:type="spellEnd"/>
      <w:r>
        <w:rPr>
          <w:rtl/>
        </w:rPr>
        <w:t xml:space="preserve"> במלאות חמישים שנה לפטירתו</w:t>
      </w:r>
      <w:bookmarkStart w:id="3620" w:name="_fnr2693"/>
      <w:r>
        <w:rPr>
          <w:rStyle w:val="a5"/>
        </w:rPr>
        <w:footnoteReference w:id="2700" w:customMarkFollows="0"/>
      </w:r>
      <w:bookmarkEnd w:id="3620"/>
      <w:r>
        <w:rPr>
          <w:rtl/>
        </w:rPr>
        <w:t xml:space="preserve">, מספר ר׳ </w:t>
      </w:r>
      <w:proofErr w:type="spellStart"/>
      <w:r>
        <w:rPr>
          <w:rtl/>
        </w:rPr>
        <w:t>בן־ציון</w:t>
      </w:r>
      <w:proofErr w:type="spellEnd"/>
      <w:r>
        <w:rPr>
          <w:rtl/>
        </w:rPr>
        <w:t xml:space="preserve"> אלפס על ביקורו של </w:t>
      </w:r>
      <w:proofErr w:type="spellStart"/>
      <w:r>
        <w:rPr>
          <w:rtl/>
        </w:rPr>
        <w:t>סלנטר</w:t>
      </w:r>
      <w:proofErr w:type="spellEnd"/>
      <w:r>
        <w:rPr>
          <w:rtl/>
        </w:rPr>
        <w:t xml:space="preserve"> </w:t>
      </w:r>
      <w:proofErr w:type="spellStart"/>
      <w:r>
        <w:rPr>
          <w:rtl/>
        </w:rPr>
        <w:t>בקלם</w:t>
      </w:r>
      <w:proofErr w:type="spellEnd"/>
      <w:r>
        <w:rPr>
          <w:rtl/>
        </w:rPr>
        <w:t xml:space="preserve"> לפגוש את ר׳ לייב חסיד. לפי תיאור העורך, ר׳ </w:t>
      </w:r>
      <w:proofErr w:type="spellStart"/>
      <w:r>
        <w:rPr>
          <w:rtl/>
        </w:rPr>
        <w:t>בן־ציון</w:t>
      </w:r>
      <w:proofErr w:type="spellEnd"/>
      <w:r>
        <w:rPr>
          <w:rtl/>
        </w:rPr>
        <w:t xml:space="preserve"> היה “מזקני הדור שזכה לראות את פני ר׳ ישראל וליהנות מזיו קדושתו </w:t>
      </w:r>
      <w:proofErr w:type="spellStart"/>
      <w:r>
        <w:rPr>
          <w:rtl/>
        </w:rPr>
        <w:t>וחכמתו</w:t>
      </w:r>
      <w:proofErr w:type="spellEnd"/>
      <w:r>
        <w:rPr>
          <w:rtl/>
        </w:rPr>
        <w:t xml:space="preserve">”. את זמן הפגישה אפשר לקבוע בדרך השלילה. היא לא הייתה יכולה להתרחש בין תרכ״ו </w:t>
      </w:r>
      <w:proofErr w:type="spellStart"/>
      <w:r>
        <w:rPr>
          <w:rtl/>
        </w:rPr>
        <w:t>לתר״מ</w:t>
      </w:r>
      <w:proofErr w:type="spellEnd"/>
      <w:r>
        <w:rPr>
          <w:rtl/>
        </w:rPr>
        <w:t xml:space="preserve">, משום שר׳ ישראל לא ביקר </w:t>
      </w:r>
      <w:proofErr w:type="spellStart"/>
      <w:r>
        <w:rPr>
          <w:rtl/>
        </w:rPr>
        <w:t>בקלם</w:t>
      </w:r>
      <w:proofErr w:type="spellEnd"/>
      <w:r>
        <w:rPr>
          <w:rtl/>
        </w:rPr>
        <w:t xml:space="preserve"> בשנים שבהן היה שם בית מדרשו של ר׳ </w:t>
      </w:r>
      <w:proofErr w:type="spellStart"/>
      <w:r>
        <w:rPr>
          <w:rtl/>
        </w:rPr>
        <w:t>שמחה־זיסל</w:t>
      </w:r>
      <w:bookmarkStart w:id="3621" w:name="_fnr2694"/>
      <w:proofErr w:type="spellEnd"/>
      <w:r>
        <w:rPr>
          <w:rStyle w:val="a5"/>
        </w:rPr>
        <w:footnoteReference w:id="2701" w:customMarkFollows="0"/>
      </w:r>
      <w:bookmarkEnd w:id="3621"/>
      <w:r>
        <w:rPr>
          <w:rtl/>
        </w:rPr>
        <w:t xml:space="preserve">. גם </w:t>
      </w:r>
      <w:r>
        <w:rPr>
          <w:b/>
          <w:bCs/>
          <w:rtl/>
        </w:rPr>
        <w:t>לפני</w:t>
      </w:r>
      <w:r>
        <w:rPr>
          <w:rtl/>
        </w:rPr>
        <w:t xml:space="preserve"> תרכ״ו לא הייתה יכולה להתרחש: ר׳ לייב היה אז לכל היותר בן ארבעים ושתיים [ולא התחיל ללמוד תורה ברצינות עד לאחר נישואיו, כאמור לעיל בפסקה הראשונה] ועוד לא עשה לו שם, ור׳ ישראל לא היה יוצא </w:t>
      </w:r>
      <w:proofErr w:type="spellStart"/>
      <w:r>
        <w:rPr>
          <w:rtl/>
        </w:rPr>
        <w:t>לפגשו</w:t>
      </w:r>
      <w:proofErr w:type="spellEnd"/>
      <w:r>
        <w:rPr>
          <w:rtl/>
        </w:rPr>
        <w:t xml:space="preserve">. גם תשובותיו של ר׳ </w:t>
      </w:r>
      <w:proofErr w:type="spellStart"/>
      <w:r>
        <w:rPr>
          <w:rtl/>
        </w:rPr>
        <w:t>יוסף־זכריה</w:t>
      </w:r>
      <w:proofErr w:type="spellEnd"/>
      <w:r>
        <w:rPr>
          <w:rtl/>
        </w:rPr>
        <w:t xml:space="preserve"> שטרן אליו, שנזכרו לעיל בפסקה הראשונה, מתחילות רק </w:t>
      </w:r>
      <w:proofErr w:type="spellStart"/>
      <w:r>
        <w:rPr>
          <w:rtl/>
        </w:rPr>
        <w:t>אחת־עשרה</w:t>
      </w:r>
      <w:proofErr w:type="spellEnd"/>
      <w:r>
        <w:rPr>
          <w:rtl/>
        </w:rPr>
        <w:t xml:space="preserve"> שנים לאחר מכן, </w:t>
      </w:r>
      <w:proofErr w:type="spellStart"/>
      <w:r>
        <w:rPr>
          <w:rtl/>
        </w:rPr>
        <w:t>בתרל״ה</w:t>
      </w:r>
      <w:bookmarkStart w:id="3622" w:name="_fnr2695"/>
      <w:bookmarkEnd w:id="3622"/>
      <w:proofErr w:type="spellEnd"/>
      <w:r>
        <w:rPr>
          <w:rStyle w:val="a5"/>
        </w:rPr>
        <w:t/>
      </w:r>
      <w:bookmarkStart w:id="7031" w:name="_TranslatorNote_2694"/>
      <w:r>
        <w:rPr>
          <w:rStyle w:val="a5"/>
          <w:vertAlign w:val="superscript"/>
          <w:rtl/>
        </w:rPr>
        <w:footnoteReference w:id="2702" w:customMarkFollows="1"/>
        <w:t>*</w:t>
      </w:r>
      <w:bookmarkEnd w:id="7031"/>
      <w:r>
        <w:rPr>
          <w:rtl/>
        </w:rPr>
        <w:t>.</w:t>
      </w:r>
    </w:p>
    <w:p w14:paraId="3EC56EE3" w14:textId="77777777" w:rsidR="00AB3647" w:rsidRDefault="00000000" w:rsidP="007923E9">
      <w:pPr>
        <w:spacing w:after="120" w:line="276" w:lineRule="auto"/>
        <w:ind w:firstLine="283"/>
        <w:jc w:val="both"/>
      </w:pPr>
      <w:r>
        <w:rPr>
          <w:rtl/>
        </w:rPr>
        <w:t xml:space="preserve">הפגישה ודאי הייתה </w:t>
      </w:r>
      <w:r>
        <w:rPr>
          <w:b/>
          <w:bCs/>
          <w:rtl/>
        </w:rPr>
        <w:t>לאחר</w:t>
      </w:r>
      <w:r>
        <w:rPr>
          <w:rtl/>
        </w:rPr>
        <w:t xml:space="preserve"> תר״מ. אז היה ר׳ משה </w:t>
      </w:r>
      <w:proofErr w:type="spellStart"/>
      <w:r>
        <w:rPr>
          <w:rtl/>
        </w:rPr>
        <w:t>ברלוביץ</w:t>
      </w:r>
      <w:proofErr w:type="spellEnd"/>
      <w:r>
        <w:rPr>
          <w:rtl/>
        </w:rPr>
        <w:t xml:space="preserve">, מארחו של ר׳ לייב </w:t>
      </w:r>
      <w:proofErr w:type="spellStart"/>
      <w:r>
        <w:rPr>
          <w:rtl/>
        </w:rPr>
        <w:t>בציטוביאן</w:t>
      </w:r>
      <w:proofErr w:type="spellEnd"/>
      <w:r>
        <w:rPr>
          <w:rtl/>
        </w:rPr>
        <w:t xml:space="preserve"> בקיץ, בן שלושים, ואשתו </w:t>
      </w:r>
      <w:proofErr w:type="spellStart"/>
      <w:r>
        <w:rPr>
          <w:rtl/>
        </w:rPr>
        <w:t>גוטל</w:t>
      </w:r>
      <w:proofErr w:type="spellEnd"/>
      <w:r>
        <w:rPr>
          <w:rtl/>
        </w:rPr>
        <w:t xml:space="preserve"> – שהייתה צעירה דיה כדי ללדת את בתה הצעירה ביותר שלושים ואחת שנים אחר כך, </w:t>
      </w:r>
      <w:proofErr w:type="spellStart"/>
      <w:r>
        <w:rPr>
          <w:rtl/>
        </w:rPr>
        <w:t>בתרע״א</w:t>
      </w:r>
      <w:proofErr w:type="spellEnd"/>
      <w:r>
        <w:rPr>
          <w:rtl/>
        </w:rPr>
        <w:t xml:space="preserve"> – הייתה אז צעירה, אך בגיל נישואין: בת </w:t>
      </w:r>
      <w:proofErr w:type="spellStart"/>
      <w:r>
        <w:rPr>
          <w:rtl/>
        </w:rPr>
        <w:t>שש־עשרה</w:t>
      </w:r>
      <w:proofErr w:type="spellEnd"/>
      <w:r>
        <w:rPr>
          <w:rtl/>
        </w:rPr>
        <w:t xml:space="preserve"> או </w:t>
      </w:r>
      <w:proofErr w:type="spellStart"/>
      <w:r>
        <w:rPr>
          <w:rtl/>
        </w:rPr>
        <w:t>שבע־עשרה</w:t>
      </w:r>
      <w:bookmarkStart w:id="3623" w:name="_fnr2696"/>
      <w:proofErr w:type="spellEnd"/>
      <w:r>
        <w:rPr>
          <w:rStyle w:val="a5"/>
        </w:rPr>
        <w:footnoteReference w:id="2703" w:customMarkFollows="0"/>
      </w:r>
      <w:bookmarkEnd w:id="3623"/>
      <w:r>
        <w:rPr>
          <w:rtl/>
        </w:rPr>
        <w:t xml:space="preserve">. ר׳ ישראל חי בפריז למעלה משנתיים החל </w:t>
      </w:r>
      <w:proofErr w:type="spellStart"/>
      <w:r>
        <w:rPr>
          <w:rtl/>
        </w:rPr>
        <w:t>מתר״מ</w:t>
      </w:r>
      <w:proofErr w:type="spellEnd"/>
      <w:r>
        <w:rPr>
          <w:rtl/>
        </w:rPr>
        <w:t>, חזר לליטא לפגישות בקובנה עם בני משפחה, תלמידים ואישי ציבור</w:t>
      </w:r>
      <w:bookmarkStart w:id="3624" w:name="_fnr2697"/>
      <w:r>
        <w:rPr>
          <w:rStyle w:val="a5"/>
        </w:rPr>
        <w:footnoteReference w:id="2704" w:customMarkFollows="0"/>
      </w:r>
      <w:bookmarkEnd w:id="3624"/>
      <w:r>
        <w:rPr>
          <w:rtl/>
        </w:rPr>
        <w:t xml:space="preserve"> בקיץ תרמ״ב, ואחר כך, לפני ראש השנה </w:t>
      </w:r>
      <w:r>
        <w:rPr>
          <w:rtl/>
        </w:rPr>
        <w:lastRenderedPageBreak/>
        <w:t>תרמ״ג</w:t>
      </w:r>
      <w:bookmarkStart w:id="3625" w:name="_fnr2698"/>
      <w:r>
        <w:rPr>
          <w:rStyle w:val="a5"/>
        </w:rPr>
        <w:footnoteReference w:id="2705" w:customMarkFollows="0"/>
      </w:r>
      <w:bookmarkEnd w:id="3625"/>
      <w:r>
        <w:rPr>
          <w:rtl/>
        </w:rPr>
        <w:t xml:space="preserve">, יצא לקניגסברג [שם נפטר באותו חורף]. מכאן אפשר להסיק שהפגישה </w:t>
      </w:r>
      <w:proofErr w:type="spellStart"/>
      <w:r>
        <w:rPr>
          <w:rtl/>
        </w:rPr>
        <w:t>בקלם</w:t>
      </w:r>
      <w:proofErr w:type="spellEnd"/>
      <w:r>
        <w:rPr>
          <w:rtl/>
        </w:rPr>
        <w:t xml:space="preserve"> בין שני הצדיקים התרחשה בשלהי קיץ תרמ״ב, בדרכו של ר׳ ישראל מקובנה לקניגסברג.</w:t>
      </w:r>
    </w:p>
    <w:p w14:paraId="373BE191" w14:textId="45937FBC" w:rsidR="00AB3647" w:rsidRDefault="00000000" w:rsidP="007923E9">
      <w:pPr>
        <w:spacing w:after="120" w:line="276" w:lineRule="auto"/>
        <w:ind w:firstLine="283"/>
        <w:jc w:val="both"/>
      </w:pPr>
      <w:r>
        <w:rPr>
          <w:rtl/>
        </w:rPr>
        <w:t xml:space="preserve">כפי שהוסבר, פגישה זו באה </w:t>
      </w:r>
      <w:r>
        <w:rPr>
          <w:b/>
          <w:bCs/>
          <w:rtl/>
        </w:rPr>
        <w:t>בעקבות</w:t>
      </w:r>
      <w:r>
        <w:rPr>
          <w:rtl/>
        </w:rPr>
        <w:t xml:space="preserve"> שיחותיו עם תלמידיו בקובנה בעניין קללתו של ר׳ לייב, שלכאורה פעלה את פעולתה, כמתועד </w:t>
      </w:r>
      <w:proofErr w:type="spellStart"/>
      <w:r>
        <w:rPr>
          <w:rtl/>
        </w:rPr>
        <w:t>ב“אור</w:t>
      </w:r>
      <w:proofErr w:type="spellEnd"/>
      <w:r>
        <w:rPr>
          <w:rtl/>
        </w:rPr>
        <w:t xml:space="preserve"> ישראל” – </w:t>
      </w:r>
      <w:r>
        <w:rPr>
          <w:b/>
          <w:bCs/>
          <w:rtl/>
        </w:rPr>
        <w:t>ומיד לאחר השיחות הללו</w:t>
      </w:r>
      <w:r>
        <w:rPr>
          <w:rtl/>
        </w:rPr>
        <w:t>.</w:t>
      </w:r>
      <w:bookmarkStart w:id="3626" w:name="_fnr2699"/>
      <w:r>
        <w:rPr>
          <w:rStyle w:val="a5"/>
        </w:rPr>
        <w:footnoteReference w:id="2706" w:customMarkFollows="0"/>
      </w:r>
      <w:bookmarkEnd w:id="3626"/>
      <w:r>
        <w:rPr>
          <w:rtl/>
        </w:rPr>
        <w:t xml:space="preserve"> השרפה שיוחסה לקללה אירעה בקיץ תרמ״א, כשהיה ר׳ משה </w:t>
      </w:r>
      <w:proofErr w:type="spellStart"/>
      <w:r>
        <w:rPr>
          <w:rtl/>
        </w:rPr>
        <w:t>ברלוביץ</w:t>
      </w:r>
      <w:proofErr w:type="spellEnd"/>
      <w:r>
        <w:rPr>
          <w:rtl/>
        </w:rPr>
        <w:t xml:space="preserve"> בן שלושים ואחת, או – מסתבר יותר – בקיץ תרמ״ב, </w:t>
      </w:r>
      <w:r>
        <w:rPr>
          <w:b/>
          <w:bCs/>
          <w:rtl/>
        </w:rPr>
        <w:t>ממש בעת</w:t>
      </w:r>
      <w:r>
        <w:rPr>
          <w:rtl/>
        </w:rPr>
        <w:t xml:space="preserve"> בואו של ר׳ ישראל לקובנה. אז היה </w:t>
      </w:r>
      <w:proofErr w:type="spellStart"/>
      <w:r>
        <w:rPr>
          <w:rtl/>
        </w:rPr>
        <w:t>ה“נס</w:t>
      </w:r>
      <w:proofErr w:type="spellEnd"/>
      <w:r>
        <w:rPr>
          <w:rtl/>
        </w:rPr>
        <w:t xml:space="preserve">” שגילה ר׳ משה הפשוט, עושה הזפת, חדשות טריות ונושא לשיחה! השווה גם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שבקיץ תרמ״ב פגש הסבא </w:t>
      </w:r>
      <w:proofErr w:type="spellStart"/>
      <w:r>
        <w:rPr>
          <w:rtl/>
        </w:rPr>
        <w:t>מסלבודקה</w:t>
      </w:r>
      <w:proofErr w:type="spellEnd"/>
      <w:r>
        <w:rPr>
          <w:rtl/>
        </w:rPr>
        <w:t xml:space="preserve"> את ר׳ ישראל בפעם היחידה.</w:t>
      </w:r>
    </w:p>
    <w:p w14:paraId="0F494F1F" w14:textId="77777777" w:rsidR="00AB3647" w:rsidRDefault="00000000" w:rsidP="007923E9">
      <w:pPr>
        <w:spacing w:after="120" w:line="276" w:lineRule="auto"/>
        <w:ind w:firstLine="283"/>
        <w:jc w:val="both"/>
      </w:pPr>
      <w:r>
        <w:rPr>
          <w:rtl/>
        </w:rPr>
        <w:t xml:space="preserve">ר׳ </w:t>
      </w:r>
      <w:proofErr w:type="spellStart"/>
      <w:r>
        <w:rPr>
          <w:rtl/>
        </w:rPr>
        <w:t>בן־ציון</w:t>
      </w:r>
      <w:proofErr w:type="spellEnd"/>
      <w:r>
        <w:rPr>
          <w:rtl/>
        </w:rPr>
        <w:t xml:space="preserve"> אלפס מתאר את ראשית המפגש בין שני הצדיקים כך: “החסיד ר׳ לייב, שלא הכיר את מראהו של רבנו ר׳ ישראל, הכין את עצמו ללכת לקבל את פני רבנו; אלא שרבנו הקדימו ובא [לביתו] לראותו תחילה. החסיד התנצל לפני אורחו [שלא זוהה] שאינו יכול להקדיש לו זמן רב, שכן הוא מתכונן ללכת לקבל את פני ‘הגאון הגדול ר׳ ישראל </w:t>
      </w:r>
      <w:proofErr w:type="spellStart"/>
      <w:r>
        <w:rPr>
          <w:rtl/>
        </w:rPr>
        <w:t>מסלנט</w:t>
      </w:r>
      <w:proofErr w:type="spellEnd"/>
      <w:r>
        <w:rPr>
          <w:rtl/>
        </w:rPr>
        <w:t>’. כששמע רבנו שהחסיד מכנה אותו ‘גאון גדול’, מלמל לעצמו: ‘גאון? ועוד גדול?!’ החסיד שמע זאת והתחנן בפניו שלא ידבר כך, שכן הוא פוגע בכבוד רבנו”.</w:t>
      </w:r>
    </w:p>
    <w:p w14:paraId="0A6D0AC4" w14:textId="77777777" w:rsidR="00AB3647" w:rsidRDefault="00000000" w:rsidP="007923E9">
      <w:pPr>
        <w:spacing w:after="120" w:line="276" w:lineRule="auto"/>
        <w:ind w:firstLine="283"/>
        <w:jc w:val="both"/>
      </w:pPr>
      <w:r>
        <w:rPr>
          <w:rtl/>
        </w:rPr>
        <w:t xml:space="preserve">סיפור דומה על ר׳ לייב סיפר ר׳ קופל </w:t>
      </w:r>
      <w:proofErr w:type="spellStart"/>
      <w:r>
        <w:rPr>
          <w:rtl/>
        </w:rPr>
        <w:t>וולפרט</w:t>
      </w:r>
      <w:bookmarkStart w:id="3627" w:name="_fnr2700"/>
      <w:proofErr w:type="spellEnd"/>
      <w:r>
        <w:rPr>
          <w:rStyle w:val="a5"/>
        </w:rPr>
        <w:footnoteReference w:id="2707" w:customMarkFollows="0"/>
      </w:r>
      <w:bookmarkEnd w:id="3627"/>
      <w:r>
        <w:rPr>
          <w:rtl/>
        </w:rPr>
        <w:t xml:space="preserve">. שאלתי את ר׳ קופל, יליד קלם, אם הוא מכיר סיפורים על ר׳ לייב, והוא סיפר שלושה סיפורים על “ר׳ </w:t>
      </w:r>
      <w:proofErr w:type="spellStart"/>
      <w:r>
        <w:rPr>
          <w:rtl/>
        </w:rPr>
        <w:t>לייבל׳ה</w:t>
      </w:r>
      <w:proofErr w:type="spellEnd"/>
      <w:r>
        <w:rPr>
          <w:rtl/>
        </w:rPr>
        <w:t xml:space="preserve">”: אחד שסיפר לו אבי, ושניים מפי אביו שלו, “שהכיר את ר׳ </w:t>
      </w:r>
      <w:proofErr w:type="spellStart"/>
      <w:r>
        <w:rPr>
          <w:rtl/>
        </w:rPr>
        <w:t>לייבל׳ה</w:t>
      </w:r>
      <w:proofErr w:type="spellEnd"/>
      <w:r>
        <w:rPr>
          <w:rtl/>
        </w:rPr>
        <w:t xml:space="preserve"> אישית”.</w:t>
      </w:r>
    </w:p>
    <w:p w14:paraId="1442C504" w14:textId="77777777" w:rsidR="00AB3647" w:rsidRDefault="00000000" w:rsidP="007923E9">
      <w:pPr>
        <w:spacing w:after="120" w:line="276" w:lineRule="auto"/>
        <w:ind w:firstLine="283"/>
        <w:jc w:val="both"/>
      </w:pPr>
      <w:r>
        <w:rPr>
          <w:rtl/>
        </w:rPr>
        <w:t xml:space="preserve">סיפורו של אבי היה שר׳ </w:t>
      </w:r>
      <w:proofErr w:type="spellStart"/>
      <w:r>
        <w:rPr>
          <w:rtl/>
        </w:rPr>
        <w:t>מאיר־שמחה</w:t>
      </w:r>
      <w:proofErr w:type="spellEnd"/>
      <w:r>
        <w:rPr>
          <w:rtl/>
        </w:rPr>
        <w:t xml:space="preserve"> כהן, רב </w:t>
      </w:r>
      <w:proofErr w:type="spellStart"/>
      <w:r>
        <w:rPr>
          <w:rtl/>
        </w:rPr>
        <w:t>דווינסק</w:t>
      </w:r>
      <w:proofErr w:type="spellEnd"/>
      <w:r>
        <w:rPr>
          <w:rtl/>
        </w:rPr>
        <w:t xml:space="preserve"> לאחר תרמ״ח, בא לבקר את ר׳ לייב. החסיד, שציפה לאורחו בשעה מסוימת, לבש את בגדי יום טוב שלו וניקה את ביתו זמן רב מראש, ור׳ </w:t>
      </w:r>
      <w:proofErr w:type="spellStart"/>
      <w:r>
        <w:rPr>
          <w:rtl/>
        </w:rPr>
        <w:t>מאיר־שמחה</w:t>
      </w:r>
      <w:proofErr w:type="spellEnd"/>
      <w:r>
        <w:rPr>
          <w:rtl/>
        </w:rPr>
        <w:t xml:space="preserve"> הגיע מוקדם. עוד לפני שהציג המבקר את עצמו, שאל את מארחו מדוע הוא לבוש בהידור כזה. ר׳ לייב השיב: “הגאון </w:t>
      </w:r>
      <w:proofErr w:type="spellStart"/>
      <w:r>
        <w:rPr>
          <w:rtl/>
        </w:rPr>
        <w:t>מדווינסק</w:t>
      </w:r>
      <w:proofErr w:type="spellEnd"/>
      <w:r>
        <w:rPr>
          <w:rtl/>
        </w:rPr>
        <w:t xml:space="preserve"> בא לבקרני”. האורח השיב: “כוונתך </w:t>
      </w:r>
      <w:proofErr w:type="spellStart"/>
      <w:r>
        <w:rPr>
          <w:rtl/>
        </w:rPr>
        <w:t>לר</w:t>
      </w:r>
      <w:proofErr w:type="spellEnd"/>
      <w:r>
        <w:rPr>
          <w:rtl/>
        </w:rPr>
        <w:t xml:space="preserve">׳ </w:t>
      </w:r>
      <w:proofErr w:type="spellStart"/>
      <w:r>
        <w:rPr>
          <w:rtl/>
        </w:rPr>
        <w:t>מאיר־שמחה</w:t>
      </w:r>
      <w:proofErr w:type="spellEnd"/>
      <w:r>
        <w:rPr>
          <w:rtl/>
        </w:rPr>
        <w:t xml:space="preserve">?! הוא אינו גאון גדול כל כך”. ר׳ לייב הגיב בחריפות: “ניט איך </w:t>
      </w:r>
      <w:proofErr w:type="spellStart"/>
      <w:r>
        <w:rPr>
          <w:rtl/>
        </w:rPr>
        <w:t>קען</w:t>
      </w:r>
      <w:proofErr w:type="spellEnd"/>
      <w:r>
        <w:rPr>
          <w:rtl/>
        </w:rPr>
        <w:t xml:space="preserve"> אייך, ניט איך ווייס אייך [איני מכיר אותך ואיני יודע מי אתה]; אבל אם אתה מעז להמעיט בערכו של הגאון </w:t>
      </w:r>
      <w:proofErr w:type="spellStart"/>
      <w:r>
        <w:rPr>
          <w:rtl/>
        </w:rPr>
        <w:t>מדווינסק</w:t>
      </w:r>
      <w:proofErr w:type="spellEnd"/>
      <w:r>
        <w:rPr>
          <w:rtl/>
        </w:rPr>
        <w:t>, איני רוצה לדבר אתך!” בדיוק אז נכנס אדם שהכיר את האור שמח וברכו לשלום, ור׳ לייב כרע על ברכיו לבקש מחילה.</w:t>
      </w:r>
    </w:p>
    <w:p w14:paraId="608CECB0" w14:textId="77777777" w:rsidR="00AB3647" w:rsidRDefault="00000000" w:rsidP="007923E9">
      <w:pPr>
        <w:spacing w:after="120" w:line="276" w:lineRule="auto"/>
        <w:ind w:firstLine="283"/>
        <w:jc w:val="both"/>
      </w:pPr>
      <w:r>
        <w:rPr>
          <w:rtl/>
        </w:rPr>
        <w:t xml:space="preserve">נראה שר׳ </w:t>
      </w:r>
      <w:proofErr w:type="spellStart"/>
      <w:r>
        <w:rPr>
          <w:rtl/>
        </w:rPr>
        <w:t>בן־ציון</w:t>
      </w:r>
      <w:proofErr w:type="spellEnd"/>
      <w:r>
        <w:rPr>
          <w:rtl/>
        </w:rPr>
        <w:t xml:space="preserve"> אלפס לא ידע מה אירע </w:t>
      </w:r>
      <w:r>
        <w:rPr>
          <w:b/>
          <w:bCs/>
          <w:rtl/>
        </w:rPr>
        <w:t>לאחר</w:t>
      </w:r>
      <w:r>
        <w:rPr>
          <w:rtl/>
        </w:rPr>
        <w:t xml:space="preserve"> </w:t>
      </w:r>
      <w:proofErr w:type="spellStart"/>
      <w:r>
        <w:rPr>
          <w:rtl/>
        </w:rPr>
        <w:t>אי־ההבנה</w:t>
      </w:r>
      <w:proofErr w:type="spellEnd"/>
      <w:r>
        <w:rPr>
          <w:rtl/>
        </w:rPr>
        <w:t xml:space="preserve"> הראשונית בין ר׳ ישראל </w:t>
      </w:r>
      <w:proofErr w:type="spellStart"/>
      <w:r>
        <w:rPr>
          <w:rtl/>
        </w:rPr>
        <w:t>לר</w:t>
      </w:r>
      <w:proofErr w:type="spellEnd"/>
      <w:r>
        <w:rPr>
          <w:rtl/>
        </w:rPr>
        <w:t xml:space="preserve">׳ לייב. אבל אני בטוח שר׳ ישראל חיבב את ר׳ לייב, הן בשל גישתו המקורית לקבלת אורחים, שתוארה בראש נספח זה [ובביקורו של ר׳ </w:t>
      </w:r>
      <w:proofErr w:type="spellStart"/>
      <w:r>
        <w:rPr>
          <w:rtl/>
        </w:rPr>
        <w:t>מאיר־שמחה</w:t>
      </w:r>
      <w:proofErr w:type="spellEnd"/>
      <w:r>
        <w:rPr>
          <w:rtl/>
        </w:rPr>
        <w:t>], הן בשל התחשבותו המופלגת בבריות ואחריותו הציבורית.</w:t>
      </w:r>
    </w:p>
    <w:p w14:paraId="19610BA9" w14:textId="77777777" w:rsidR="00AB3647" w:rsidRDefault="00000000" w:rsidP="007923E9">
      <w:pPr>
        <w:spacing w:after="120" w:line="276" w:lineRule="auto"/>
        <w:ind w:firstLine="283"/>
        <w:jc w:val="both"/>
      </w:pPr>
      <w:r>
        <w:rPr>
          <w:rtl/>
        </w:rPr>
        <w:lastRenderedPageBreak/>
        <w:t xml:space="preserve">את התחשבותו ואחריותו ממחיש אחד משני הסיפורים על ר׳ לייב חסיד שסיפר ר׳ קופל </w:t>
      </w:r>
      <w:proofErr w:type="spellStart"/>
      <w:r>
        <w:rPr>
          <w:rtl/>
        </w:rPr>
        <w:t>וולפרט</w:t>
      </w:r>
      <w:proofErr w:type="spellEnd"/>
      <w:r>
        <w:rPr>
          <w:rtl/>
        </w:rPr>
        <w:t xml:space="preserve"> בשם אביו. וזה לשונו: “ר׳ </w:t>
      </w:r>
      <w:proofErr w:type="spellStart"/>
      <w:r>
        <w:rPr>
          <w:rtl/>
        </w:rPr>
        <w:t>לייבל׳ה</w:t>
      </w:r>
      <w:proofErr w:type="spellEnd"/>
      <w:r>
        <w:rPr>
          <w:rtl/>
        </w:rPr>
        <w:t xml:space="preserve"> גר ברחוב בית הכנסת. למי שהלך משם אל בית המדרש הגדול, הייתה באר העיר משמאל. בערב היו נערים מביאים חביות מכוסות בסדינים, והמים שנשאבו מן הבאר נשפכו לחביות דרך הסדינים כדי לסננם מחרקים, שיהיו מוכנים בבוקר להובלה לבתי התושבים בידי </w:t>
      </w:r>
      <w:proofErr w:type="spellStart"/>
      <w:r>
        <w:rPr>
          <w:rtl/>
        </w:rPr>
        <w:t>הוואסערטרעגער</w:t>
      </w:r>
      <w:proofErr w:type="spellEnd"/>
      <w:r>
        <w:rPr>
          <w:rtl/>
        </w:rPr>
        <w:t xml:space="preserve"> [נושאי המים]. בליל חורף אחד היה הכפור כה קשה, שאצבע שנרטבה הייתה קופאת. ר׳ </w:t>
      </w:r>
      <w:proofErr w:type="spellStart"/>
      <w:r>
        <w:rPr>
          <w:rtl/>
        </w:rPr>
        <w:t>לייבל׳ה</w:t>
      </w:r>
      <w:proofErr w:type="spellEnd"/>
      <w:r>
        <w:rPr>
          <w:rtl/>
        </w:rPr>
        <w:t xml:space="preserve"> חסיד יצא מביתו עם עלות השחר ובידו גרזן, ושבר את הקרח שהצטבר סביב הבאר עקב מילוי המים, כדי שאיש לא יחליק”.</w:t>
      </w:r>
    </w:p>
    <w:p w14:paraId="3B08FF34" w14:textId="77777777" w:rsidR="00AB3647" w:rsidRDefault="00000000" w:rsidP="007923E9">
      <w:pPr>
        <w:spacing w:after="120" w:line="276" w:lineRule="auto"/>
        <w:ind w:firstLine="283"/>
        <w:jc w:val="both"/>
      </w:pPr>
      <w:r>
        <w:rPr>
          <w:rtl/>
        </w:rPr>
        <w:t xml:space="preserve">ודאי נהנה ר׳ ישראל גם מהבנתו הדקה של ר׳ לייב בטבע האדם, תכונה נוספת של ר׳ ישראל עצמו. כך ממחיש הסיפור הבא, שגם אותו סיפר ר׳ קופל בשם אביו: “ביתו של ר׳ </w:t>
      </w:r>
      <w:proofErr w:type="spellStart"/>
      <w:r>
        <w:rPr>
          <w:rtl/>
        </w:rPr>
        <w:t>לייבל׳ה</w:t>
      </w:r>
      <w:proofErr w:type="spellEnd"/>
      <w:r>
        <w:rPr>
          <w:rtl/>
        </w:rPr>
        <w:t xml:space="preserve"> היה מלא תמיד אורחים ותלמידי חכמים גדולים. פעם, כשכמה מבני המקום ישבו לשולחנו, הביא הסנדלר </w:t>
      </w:r>
      <w:proofErr w:type="spellStart"/>
      <w:r>
        <w:rPr>
          <w:rtl/>
        </w:rPr>
        <w:t>ברוך־מאיר</w:t>
      </w:r>
      <w:proofErr w:type="spellEnd"/>
      <w:r>
        <w:rPr>
          <w:rtl/>
        </w:rPr>
        <w:t xml:space="preserve"> </w:t>
      </w:r>
      <w:proofErr w:type="spellStart"/>
      <w:r>
        <w:rPr>
          <w:rtl/>
        </w:rPr>
        <w:t>לר</w:t>
      </w:r>
      <w:proofErr w:type="spellEnd"/>
      <w:r>
        <w:rPr>
          <w:rtl/>
        </w:rPr>
        <w:t xml:space="preserve">׳ </w:t>
      </w:r>
      <w:proofErr w:type="spellStart"/>
      <w:r>
        <w:rPr>
          <w:rtl/>
        </w:rPr>
        <w:t>לייבל׳ה</w:t>
      </w:r>
      <w:proofErr w:type="spellEnd"/>
      <w:r>
        <w:rPr>
          <w:rtl/>
        </w:rPr>
        <w:t xml:space="preserve"> זוג מגפיים שהזמין. ר׳ </w:t>
      </w:r>
      <w:proofErr w:type="spellStart"/>
      <w:r>
        <w:rPr>
          <w:rtl/>
        </w:rPr>
        <w:t>לייבל׳ה</w:t>
      </w:r>
      <w:proofErr w:type="spellEnd"/>
      <w:r>
        <w:rPr>
          <w:rtl/>
        </w:rPr>
        <w:t xml:space="preserve"> מדד אותם ושילם לו, וליווהו אל מחוץ לבית. כשחזר ר׳ </w:t>
      </w:r>
      <w:proofErr w:type="spellStart"/>
      <w:r>
        <w:rPr>
          <w:rtl/>
        </w:rPr>
        <w:t>לייבל׳ה</w:t>
      </w:r>
      <w:proofErr w:type="spellEnd"/>
      <w:r>
        <w:rPr>
          <w:rtl/>
        </w:rPr>
        <w:t xml:space="preserve"> לשולחן, אמר אחד האורחים: ‘רבי, תורה היא וללמוד אני צריך</w:t>
      </w:r>
      <w:bookmarkStart w:id="3628" w:name="_fnr2701"/>
      <w:r>
        <w:rPr>
          <w:rStyle w:val="a5"/>
        </w:rPr>
        <w:footnoteReference w:id="2708" w:customMarkFollows="0"/>
      </w:r>
      <w:bookmarkEnd w:id="3628"/>
      <w:r>
        <w:rPr>
          <w:rtl/>
        </w:rPr>
        <w:t xml:space="preserve">. אילו היה הסנדלר למדן או אדם מבוגר, הייתי מבין מדוע ליווית אותו. אך במה זכה </w:t>
      </w:r>
      <w:proofErr w:type="spellStart"/>
      <w:r>
        <w:rPr>
          <w:rtl/>
        </w:rPr>
        <w:t>ברוך־מאיר</w:t>
      </w:r>
      <w:proofErr w:type="spellEnd"/>
      <w:r>
        <w:rPr>
          <w:rtl/>
        </w:rPr>
        <w:t xml:space="preserve"> לכבוד כזה?’ השיב: ‘בפרוזדור יש ערמה של עצי הסקה מבוקעים. כשהחורף יגיע ויחסרו לי עצים, עלול לעבור במחשבתי חשד </w:t>
      </w:r>
      <w:proofErr w:type="spellStart"/>
      <w:r>
        <w:rPr>
          <w:rtl/>
        </w:rPr>
        <w:t>שברוך־מאיר</w:t>
      </w:r>
      <w:proofErr w:type="spellEnd"/>
      <w:r>
        <w:rPr>
          <w:rtl/>
        </w:rPr>
        <w:t xml:space="preserve"> נטל לעצמו חתיכה כשעבר בפרוזדור לבדו. לכן ליוויתי אותו החוצה’”.</w:t>
      </w:r>
    </w:p>
    <w:p w14:paraId="63333931" w14:textId="77777777" w:rsidR="00AB3647" w:rsidRDefault="00000000" w:rsidP="007923E9">
      <w:pPr>
        <w:spacing w:after="120" w:line="276" w:lineRule="auto"/>
        <w:ind w:firstLine="283"/>
        <w:jc w:val="both"/>
      </w:pPr>
      <w:r>
        <w:rPr>
          <w:rtl/>
        </w:rPr>
        <w:t>זהו יישום מדויק של המאמר בסוף מסכת דרך ארץ</w:t>
      </w:r>
      <w:bookmarkStart w:id="3629" w:name="_fnr2702"/>
      <w:r>
        <w:rPr>
          <w:rStyle w:val="a5"/>
        </w:rPr>
        <w:footnoteReference w:id="2709" w:customMarkFollows="0"/>
      </w:r>
      <w:bookmarkEnd w:id="3629"/>
      <w:r>
        <w:rPr>
          <w:rtl/>
        </w:rPr>
        <w:t xml:space="preserve">: “לעולם יהיו כל בני אדם בעיניך כליסטים </w:t>
      </w:r>
      <w:proofErr w:type="spellStart"/>
      <w:r>
        <w:rPr>
          <w:rtl/>
        </w:rPr>
        <w:t>והוי</w:t>
      </w:r>
      <w:proofErr w:type="spellEnd"/>
      <w:r>
        <w:rPr>
          <w:rtl/>
        </w:rPr>
        <w:t xml:space="preserve"> מכבדן כרבן גמליאל”. חשדו של ר׳ לייב </w:t>
      </w:r>
      <w:proofErr w:type="spellStart"/>
      <w:r>
        <w:rPr>
          <w:rtl/>
        </w:rPr>
        <w:t>בברוך־מאיר</w:t>
      </w:r>
      <w:proofErr w:type="spellEnd"/>
      <w:r>
        <w:rPr>
          <w:rtl/>
        </w:rPr>
        <w:t xml:space="preserve"> מזכיר אמירה של ר׳ ישראל </w:t>
      </w:r>
      <w:proofErr w:type="spellStart"/>
      <w:r>
        <w:rPr>
          <w:rtl/>
        </w:rPr>
        <w:t>סלנטר</w:t>
      </w:r>
      <w:proofErr w:type="spellEnd"/>
      <w:r>
        <w:rPr>
          <w:rtl/>
        </w:rPr>
        <w:t xml:space="preserve"> שרבנו חזר עליה: “אילו הייתי נוכח כשאסרו חכמים ייחוד עם אשת איש, הייתי אוסר ביתר שאת ייחוד עם ממונו של אחר – מפני שרוב בני האדם חשודים על הגזל, ורק מיעוטם על העריות [רוב בגזל ומיעוט בעריות]”</w:t>
      </w:r>
      <w:bookmarkStart w:id="3630" w:name="_fnr2703"/>
      <w:r>
        <w:rPr>
          <w:rStyle w:val="a5"/>
        </w:rPr>
        <w:footnoteReference w:id="2710" w:customMarkFollows="0"/>
      </w:r>
      <w:bookmarkEnd w:id="3630"/>
      <w:r>
        <w:rPr>
          <w:rtl/>
        </w:rPr>
        <w:t>.</w:t>
      </w:r>
    </w:p>
    <w:p w14:paraId="3F25FBB2" w14:textId="77777777" w:rsidR="00AB3647" w:rsidRDefault="00000000" w:rsidP="007923E9">
      <w:pPr>
        <w:spacing w:after="120" w:line="276" w:lineRule="auto"/>
        <w:ind w:firstLine="283"/>
        <w:jc w:val="both"/>
      </w:pPr>
      <w:r>
        <w:rPr>
          <w:rtl/>
        </w:rPr>
        <w:t xml:space="preserve">חריפותו של ר׳ לייב חסיד מתגלה גם בסיפור שסיפר עליו אבי, כפי שחזר עליו תלמידו ר׳ יצחק </w:t>
      </w:r>
      <w:proofErr w:type="spellStart"/>
      <w:r>
        <w:rPr>
          <w:rtl/>
        </w:rPr>
        <w:t>ביניק</w:t>
      </w:r>
      <w:bookmarkStart w:id="3631" w:name="_fnr2704"/>
      <w:proofErr w:type="spellEnd"/>
      <w:r>
        <w:rPr>
          <w:rStyle w:val="a5"/>
        </w:rPr>
        <w:footnoteReference w:id="2711" w:customMarkFollows="0"/>
      </w:r>
      <w:bookmarkEnd w:id="3631"/>
      <w:r>
        <w:rPr>
          <w:rtl/>
        </w:rPr>
        <w:t>. כששמע ר׳ לייב על אדם שהתכוון להיות שוחט, אמר לו: “שוחט! האינך יודע שאבות דרבי נתן מונה שוחט בין השבעה שאין להם חלק לעולם הבא</w:t>
      </w:r>
      <w:bookmarkStart w:id="3632" w:name="_fnr2705"/>
      <w:r>
        <w:rPr>
          <w:rStyle w:val="a5"/>
        </w:rPr>
        <w:footnoteReference w:id="2712" w:customMarkFollows="0"/>
      </w:r>
      <w:bookmarkEnd w:id="3632"/>
      <w:r>
        <w:rPr>
          <w:rtl/>
        </w:rPr>
        <w:t xml:space="preserve">?!” האיש האומלל אמר אז שיהיה עליו לחפש עיסוק אחר. אלא שר׳ לייב עצרו ואמר: “לא, לא, לך ושאל את הרב. עוד אחד מן השבעה הוא רב, והוא בוודאי מצא היתר כלשהו שאולי יחול גם עליך”. תלמיד אחר של אבי, שהיה נוכח אז, שאל את אבי מהו אם כן ההיתר להיות רב, והוא השיב: “כשקיבלתי את המשרה </w:t>
      </w:r>
      <w:proofErr w:type="spellStart"/>
      <w:r>
        <w:rPr>
          <w:rtl/>
        </w:rPr>
        <w:t>בציטוביאן</w:t>
      </w:r>
      <w:proofErr w:type="spellEnd"/>
      <w:r>
        <w:rPr>
          <w:rtl/>
        </w:rPr>
        <w:t xml:space="preserve"> חשבתי </w:t>
      </w:r>
      <w:proofErr w:type="spellStart"/>
      <w:r>
        <w:rPr>
          <w:rtl/>
        </w:rPr>
        <w:t>בלבי</w:t>
      </w:r>
      <w:proofErr w:type="spellEnd"/>
      <w:r>
        <w:rPr>
          <w:rtl/>
        </w:rPr>
        <w:t xml:space="preserve">, שאם יש בעיירה מישהו שמסוגל לפסוק </w:t>
      </w:r>
      <w:r>
        <w:rPr>
          <w:rtl/>
        </w:rPr>
        <w:lastRenderedPageBreak/>
        <w:t xml:space="preserve">בשאלות הלכתיות טוב ממני, אתפטר; ואם לא, אני </w:t>
      </w:r>
      <w:r>
        <w:rPr>
          <w:b/>
          <w:bCs/>
          <w:rtl/>
        </w:rPr>
        <w:t>מחויב</w:t>
      </w:r>
      <w:r>
        <w:rPr>
          <w:rtl/>
        </w:rPr>
        <w:t xml:space="preserve"> להיות הרב</w:t>
      </w:r>
      <w:bookmarkStart w:id="3633" w:name="_fnr2706"/>
      <w:r>
        <w:rPr>
          <w:rStyle w:val="a5"/>
        </w:rPr>
        <w:footnoteReference w:id="2713" w:customMarkFollows="0"/>
      </w:r>
      <w:bookmarkEnd w:id="3633"/>
      <w:r>
        <w:rPr>
          <w:rtl/>
        </w:rPr>
        <w:t>”. אבי התכוון לומר שחיוב גובר על שיקול העולם הבא.</w:t>
      </w:r>
    </w:p>
    <w:p w14:paraId="2F35AEE9" w14:textId="77777777" w:rsidR="00AB3647" w:rsidRDefault="00000000" w:rsidP="007923E9">
      <w:pPr>
        <w:pStyle w:val="4"/>
        <w:spacing w:line="276" w:lineRule="auto"/>
      </w:pPr>
      <w:r>
        <w:t>· הפסקה השישית ·</w:t>
      </w:r>
    </w:p>
    <w:p w14:paraId="3983F2EB" w14:textId="77777777" w:rsidR="00AB3647" w:rsidRDefault="00000000" w:rsidP="007923E9">
      <w:pPr>
        <w:pStyle w:val="5"/>
        <w:spacing w:line="276" w:lineRule="auto"/>
      </w:pPr>
      <w:r>
        <w:t xml:space="preserve">רבנו סבור שיש להצניע סיפורים על הנסתר – סיפור </w:t>
      </w:r>
      <w:proofErr w:type="spellStart"/>
      <w:r>
        <w:t>החפץ־חיים</w:t>
      </w:r>
      <w:proofErr w:type="spellEnd"/>
      <w:r>
        <w:t xml:space="preserve"> והדיבוק מתפרסם בישראל – מסתבר שרבנו התנגד לפרסום הסיפור – עיסוק במלחמה המתקרבת </w:t>
      </w:r>
      <w:proofErr w:type="spellStart"/>
      <w:r>
        <w:t>ובעל־טבעי</w:t>
      </w:r>
      <w:proofErr w:type="spellEnd"/>
      <w:r>
        <w:t xml:space="preserve"> – תיאור מעשה הדיבוק מפי ר׳ אלחנן וסרמן מופקד </w:t>
      </w:r>
      <w:proofErr w:type="spellStart"/>
      <w:r>
        <w:t>בקלם</w:t>
      </w:r>
      <w:proofErr w:type="spellEnd"/>
      <w:r>
        <w:t xml:space="preserve"> – ר׳ אלחנן אינו חוזר ומספר את המעשה לאחר </w:t>
      </w:r>
      <w:proofErr w:type="spellStart"/>
      <w:r>
        <w:t>שהחפץ־חיים</w:t>
      </w:r>
      <w:proofErr w:type="spellEnd"/>
      <w:r>
        <w:t xml:space="preserve"> נעשה חסר אונים – רבים פוסלים את סיפור הדיבוק – ר׳ אלחנן מספר את הסיפור לא רק בפורים</w:t>
      </w:r>
    </w:p>
    <w:p w14:paraId="160AE5C9" w14:textId="77777777" w:rsidR="00AB3647" w:rsidRDefault="00000000" w:rsidP="007923E9">
      <w:pPr>
        <w:spacing w:after="120" w:line="276" w:lineRule="auto"/>
        <w:ind w:firstLine="283"/>
        <w:jc w:val="both"/>
      </w:pPr>
      <w:r>
        <w:rPr>
          <w:rtl/>
        </w:rPr>
        <w:t xml:space="preserve">השקפת רבנו, שלא ר׳ חיים </w:t>
      </w:r>
      <w:proofErr w:type="spellStart"/>
      <w:r>
        <w:rPr>
          <w:rtl/>
        </w:rPr>
        <w:t>מוולוז׳ין</w:t>
      </w:r>
      <w:proofErr w:type="spellEnd"/>
      <w:r>
        <w:rPr>
          <w:rtl/>
        </w:rPr>
        <w:t xml:space="preserve"> ולא ר׳ ישראל </w:t>
      </w:r>
      <w:proofErr w:type="spellStart"/>
      <w:r>
        <w:rPr>
          <w:rtl/>
        </w:rPr>
        <w:t>סלנטר</w:t>
      </w:r>
      <w:proofErr w:type="spellEnd"/>
      <w:r>
        <w:rPr>
          <w:rtl/>
        </w:rPr>
        <w:t xml:space="preserve"> ראו בשרפת </w:t>
      </w:r>
      <w:proofErr w:type="spellStart"/>
      <w:r>
        <w:rPr>
          <w:rtl/>
        </w:rPr>
        <w:t>וולוז׳ין</w:t>
      </w:r>
      <w:proofErr w:type="spellEnd"/>
      <w:r>
        <w:rPr>
          <w:rtl/>
        </w:rPr>
        <w:t xml:space="preserve"> אות משמים, מתיישבת עם התנגדותו להפצת סיפורים על </w:t>
      </w:r>
      <w:proofErr w:type="spellStart"/>
      <w:r>
        <w:rPr>
          <w:rtl/>
        </w:rPr>
        <w:t>העל־טבעי</w:t>
      </w:r>
      <w:proofErr w:type="spellEnd"/>
      <w:r>
        <w:rPr>
          <w:rtl/>
        </w:rPr>
        <w:t xml:space="preserve">. הוא עצמו – לפחות בשנותיו הצעירות – היה כנראה מרותק </w:t>
      </w:r>
      <w:proofErr w:type="spellStart"/>
      <w:r>
        <w:rPr>
          <w:rtl/>
        </w:rPr>
        <w:t>לעל־טבעי</w:t>
      </w:r>
      <w:proofErr w:type="spellEnd"/>
      <w:r>
        <w:rPr>
          <w:rtl/>
        </w:rPr>
        <w:t>, כפי שהעיד ר׳ דוד פאם</w:t>
      </w:r>
      <w:bookmarkStart w:id="3634" w:name="_fnr2707"/>
      <w:r>
        <w:rPr>
          <w:rStyle w:val="a5"/>
        </w:rPr>
        <w:footnoteReference w:id="2714" w:customMarkFollows="0"/>
      </w:r>
      <w:bookmarkEnd w:id="3634"/>
      <w:r>
        <w:rPr>
          <w:rtl/>
        </w:rPr>
        <w:t xml:space="preserve">. אבי סיפר לו שתכנן להעתיק את סיפור הוצאת הדיבוק המיוחסת </w:t>
      </w:r>
      <w:proofErr w:type="spellStart"/>
      <w:r>
        <w:rPr>
          <w:rtl/>
        </w:rPr>
        <w:t>לחפץ־חיים</w:t>
      </w:r>
      <w:proofErr w:type="spellEnd"/>
      <w:r>
        <w:rPr>
          <w:rtl/>
        </w:rPr>
        <w:t xml:space="preserve">, מפי תלמידו ר׳ אלחנן וסרמן, שהועלה על הכתב ונשמר בתלמוד תורה של קלם; אבל דחה זאת מפעם לפעם, עד שהיה מאוחר מדי. ייתכן שהתעניינותו בסיפור התעוררה בעקבות חותנו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ששמעו מר׳ אלחנן. הרב אהרן </w:t>
      </w:r>
      <w:proofErr w:type="spellStart"/>
      <w:r>
        <w:rPr>
          <w:rtl/>
        </w:rPr>
        <w:t>סורסקי</w:t>
      </w:r>
      <w:proofErr w:type="spellEnd"/>
      <w:r>
        <w:rPr>
          <w:rtl/>
        </w:rPr>
        <w:t xml:space="preserve"> מספר </w:t>
      </w:r>
      <w:proofErr w:type="spellStart"/>
      <w:r>
        <w:rPr>
          <w:rtl/>
        </w:rPr>
        <w:t>ב“אור</w:t>
      </w:r>
      <w:proofErr w:type="spellEnd"/>
      <w:r>
        <w:rPr>
          <w:rtl/>
        </w:rPr>
        <w:t xml:space="preserve"> אלחנן”</w:t>
      </w:r>
      <w:bookmarkStart w:id="3635" w:name="_fnr2708"/>
      <w:r>
        <w:rPr>
          <w:rStyle w:val="a5"/>
        </w:rPr>
        <w:footnoteReference w:id="2715" w:customMarkFollows="0"/>
      </w:r>
      <w:bookmarkEnd w:id="3635"/>
      <w:r>
        <w:rPr>
          <w:rtl/>
        </w:rPr>
        <w:t xml:space="preserve">: “תלמידו מתקופת </w:t>
      </w:r>
      <w:proofErr w:type="spellStart"/>
      <w:r>
        <w:rPr>
          <w:rtl/>
        </w:rPr>
        <w:t>סמילוביץ</w:t>
      </w:r>
      <w:proofErr w:type="spellEnd"/>
      <w:r>
        <w:rPr>
          <w:rtl/>
        </w:rPr>
        <w:t xml:space="preserve">׳ רבי דוב </w:t>
      </w:r>
      <w:proofErr w:type="spellStart"/>
      <w:r>
        <w:rPr>
          <w:rtl/>
        </w:rPr>
        <w:t>לאפין</w:t>
      </w:r>
      <w:proofErr w:type="spellEnd"/>
      <w:r>
        <w:rPr>
          <w:rtl/>
        </w:rPr>
        <w:t xml:space="preserve"> (חתנו של </w:t>
      </w:r>
      <w:proofErr w:type="spellStart"/>
      <w:r>
        <w:rPr>
          <w:rtl/>
        </w:rPr>
        <w:t>הגרח״י</w:t>
      </w:r>
      <w:proofErr w:type="spellEnd"/>
      <w:r>
        <w:rPr>
          <w:rtl/>
        </w:rPr>
        <w:t xml:space="preserve"> מישקובסקי אב״ד </w:t>
      </w:r>
      <w:proofErr w:type="spellStart"/>
      <w:r>
        <w:rPr>
          <w:rtl/>
        </w:rPr>
        <w:t>קרינקי</w:t>
      </w:r>
      <w:proofErr w:type="spellEnd"/>
      <w:r>
        <w:rPr>
          <w:rtl/>
        </w:rPr>
        <w:t xml:space="preserve">) מעיד שנוכח במינסק בתקופת מלחמת העולם א׳ כשעשה רבי אלחנן בביתו של רבי דוב צבי הלר (משגיח רוחני </w:t>
      </w:r>
      <w:proofErr w:type="spellStart"/>
      <w:r>
        <w:rPr>
          <w:rtl/>
        </w:rPr>
        <w:t>דישיבת</w:t>
      </w:r>
      <w:proofErr w:type="spellEnd"/>
      <w:r>
        <w:rPr>
          <w:rtl/>
        </w:rPr>
        <w:t xml:space="preserve"> </w:t>
      </w:r>
      <w:proofErr w:type="spellStart"/>
      <w:r>
        <w:rPr>
          <w:rtl/>
        </w:rPr>
        <w:t>סלובודקה</w:t>
      </w:r>
      <w:proofErr w:type="spellEnd"/>
      <w:r>
        <w:rPr>
          <w:rtl/>
        </w:rPr>
        <w:t xml:space="preserve">) וסיפר אז באימה וביראה את מעשה </w:t>
      </w:r>
      <w:proofErr w:type="spellStart"/>
      <w:r>
        <w:rPr>
          <w:rtl/>
        </w:rPr>
        <w:t>ה‘דיבוק</w:t>
      </w:r>
      <w:proofErr w:type="spellEnd"/>
      <w:r>
        <w:rPr>
          <w:rtl/>
        </w:rPr>
        <w:t>’ לכל פרטיו, וכל השומעים נתמלאו פחד גדול”.</w:t>
      </w:r>
    </w:p>
    <w:p w14:paraId="3B1DFD47" w14:textId="77777777" w:rsidR="00AB3647" w:rsidRDefault="00000000" w:rsidP="007923E9">
      <w:pPr>
        <w:spacing w:after="120" w:line="276" w:lineRule="auto"/>
        <w:ind w:firstLine="283"/>
        <w:jc w:val="both"/>
      </w:pPr>
      <w:r>
        <w:rPr>
          <w:rtl/>
        </w:rPr>
        <w:t xml:space="preserve">תלמיד אחר של אבי, ר׳ אהרן </w:t>
      </w:r>
      <w:proofErr w:type="spellStart"/>
      <w:r>
        <w:rPr>
          <w:rtl/>
        </w:rPr>
        <w:t>ברפמן</w:t>
      </w:r>
      <w:bookmarkStart w:id="3636" w:name="_fnr2709"/>
      <w:proofErr w:type="spellEnd"/>
      <w:r>
        <w:rPr>
          <w:rStyle w:val="a5"/>
        </w:rPr>
        <w:footnoteReference w:id="2716" w:customMarkFollows="0"/>
      </w:r>
      <w:bookmarkEnd w:id="3636"/>
      <w:r>
        <w:rPr>
          <w:rtl/>
        </w:rPr>
        <w:t>, סיפר: “ראש הישיבה רבנו התנגד נחרצות לעיסוק בשנות תש״כ בגלגולים ובעניינים מיסטיים אחרים, והצטער על שסיפור הגולם שברא המהר״ל</w:t>
      </w:r>
      <w:bookmarkStart w:id="3637" w:name="_fnr2710"/>
      <w:r>
        <w:rPr>
          <w:rStyle w:val="a5"/>
        </w:rPr>
        <w:footnoteReference w:id="2717" w:customMarkFollows="0"/>
      </w:r>
      <w:bookmarkEnd w:id="3637"/>
      <w:r>
        <w:rPr>
          <w:rtl/>
        </w:rPr>
        <w:t xml:space="preserve"> תורגם ופורסם. הוא אמר שדורנו אינו מבין דברים כאלה, וכל מה שייצא מכך הוא שאנשים יראו בתורה מעין אמונה תפלה”. בעת הריאיון לא הבהיר הרב </w:t>
      </w:r>
      <w:proofErr w:type="spellStart"/>
      <w:r>
        <w:rPr>
          <w:rtl/>
        </w:rPr>
        <w:t>ברפמן</w:t>
      </w:r>
      <w:proofErr w:type="spellEnd"/>
      <w:r>
        <w:rPr>
          <w:rtl/>
        </w:rPr>
        <w:t xml:space="preserve"> אם נאמר לרבנו שהספר על הגולם כלל מבוא מרשים שדן בחשש זה. ייתכן שאבי התנגד לפרסום הספר למרות זאת.</w:t>
      </w:r>
    </w:p>
    <w:p w14:paraId="088A5B8C" w14:textId="77777777" w:rsidR="00AB3647" w:rsidRDefault="00000000" w:rsidP="007923E9">
      <w:pPr>
        <w:spacing w:after="120" w:line="276" w:lineRule="auto"/>
        <w:ind w:firstLine="283"/>
        <w:jc w:val="both"/>
      </w:pPr>
      <w:r>
        <w:rPr>
          <w:rtl/>
        </w:rPr>
        <w:t xml:space="preserve">לפי “אור אלחנן”, “כפי שמוסרים בני משפחת רבי אריה מלכיאל פרידמן, מארחו בעיר ממל... סיפר רבי אלחנן את מעשה </w:t>
      </w:r>
      <w:proofErr w:type="spellStart"/>
      <w:r>
        <w:rPr>
          <w:rtl/>
        </w:rPr>
        <w:t>ה‘דיבוק</w:t>
      </w:r>
      <w:proofErr w:type="spellEnd"/>
      <w:r>
        <w:rPr>
          <w:rtl/>
        </w:rPr>
        <w:t xml:space="preserve">’ כשסעד על שולחנם ואמר לאביהם שיכתוב את הדברים אבל הזהיר שלא יספרו המעשה באזני אנשים שאין להם אמונה שלמה בסיפורים מסוג זה”. את סייגו של “אור אלחנן” אישר חתנו של ר׳ </w:t>
      </w:r>
      <w:proofErr w:type="spellStart"/>
      <w:r>
        <w:rPr>
          <w:rtl/>
        </w:rPr>
        <w:t>אריה־מלכיאל</w:t>
      </w:r>
      <w:proofErr w:type="spellEnd"/>
      <w:r>
        <w:rPr>
          <w:rtl/>
        </w:rPr>
        <w:t xml:space="preserve">, ר׳ חיים </w:t>
      </w:r>
      <w:proofErr w:type="spellStart"/>
      <w:r>
        <w:rPr>
          <w:rtl/>
        </w:rPr>
        <w:t>סרנא</w:t>
      </w:r>
      <w:proofErr w:type="spellEnd"/>
      <w:r>
        <w:rPr>
          <w:rtl/>
        </w:rPr>
        <w:t>, כשציין</w:t>
      </w:r>
      <w:bookmarkStart w:id="3638" w:name="_fnr2711"/>
      <w:r>
        <w:rPr>
          <w:rStyle w:val="a5"/>
        </w:rPr>
        <w:footnoteReference w:id="2718" w:customMarkFollows="0"/>
      </w:r>
      <w:bookmarkEnd w:id="3638"/>
      <w:r>
        <w:rPr>
          <w:rtl/>
        </w:rPr>
        <w:t xml:space="preserve"> </w:t>
      </w:r>
      <w:r>
        <w:rPr>
          <w:rtl/>
        </w:rPr>
        <w:lastRenderedPageBreak/>
        <w:t xml:space="preserve">שבטרם סיפר ר׳ אלחנן את המעשה, הזהיר גם את מארחו שלא להזמין שומעים אלא אם יש להם “אמונה שלמה </w:t>
      </w:r>
      <w:proofErr w:type="spellStart"/>
      <w:r>
        <w:rPr>
          <w:rtl/>
        </w:rPr>
        <w:t>וכו</w:t>
      </w:r>
      <w:proofErr w:type="spellEnd"/>
      <w:r>
        <w:rPr>
          <w:rtl/>
        </w:rPr>
        <w:t>׳”.</w:t>
      </w:r>
    </w:p>
    <w:p w14:paraId="3EE6B9AA" w14:textId="77777777" w:rsidR="00AB3647" w:rsidRDefault="00000000" w:rsidP="007923E9">
      <w:pPr>
        <w:spacing w:after="120" w:line="276" w:lineRule="auto"/>
        <w:ind w:firstLine="283"/>
        <w:jc w:val="both"/>
      </w:pPr>
      <w:r>
        <w:rPr>
          <w:rtl/>
        </w:rPr>
        <w:t xml:space="preserve">למרות הסייג החליט מחבר “אור אלחנן”, הרב אהרן </w:t>
      </w:r>
      <w:proofErr w:type="spellStart"/>
      <w:r>
        <w:rPr>
          <w:rtl/>
        </w:rPr>
        <w:t>סורסקי</w:t>
      </w:r>
      <w:proofErr w:type="spellEnd"/>
      <w:r>
        <w:rPr>
          <w:rtl/>
        </w:rPr>
        <w:t>, לכתוב את הסיפור במלואו</w:t>
      </w:r>
      <w:bookmarkStart w:id="3639" w:name="_fnr2712"/>
      <w:r>
        <w:rPr>
          <w:rStyle w:val="a5"/>
        </w:rPr>
        <w:footnoteReference w:id="2719" w:customMarkFollows="0"/>
      </w:r>
      <w:bookmarkEnd w:id="3639"/>
      <w:r>
        <w:rPr>
          <w:rtl/>
        </w:rPr>
        <w:t>, ובדברי המבוא לסיפור</w:t>
      </w:r>
      <w:bookmarkStart w:id="3640" w:name="_fnr2713"/>
      <w:r>
        <w:rPr>
          <w:rStyle w:val="a5"/>
        </w:rPr>
        <w:footnoteReference w:id="2720" w:customMarkFollows="0"/>
      </w:r>
      <w:bookmarkEnd w:id="3640"/>
      <w:r>
        <w:rPr>
          <w:rtl/>
        </w:rPr>
        <w:t xml:space="preserve"> הצדיק זאת כך: “כוונתו בסיפור הדברים </w:t>
      </w:r>
      <w:proofErr w:type="spellStart"/>
      <w:r>
        <w:rPr>
          <w:rtl/>
        </w:rPr>
        <w:t>היתה</w:t>
      </w:r>
      <w:proofErr w:type="spellEnd"/>
      <w:r>
        <w:rPr>
          <w:rtl/>
        </w:rPr>
        <w:t xml:space="preserve"> לחזק </w:t>
      </w:r>
      <w:proofErr w:type="spellStart"/>
      <w:r>
        <w:rPr>
          <w:rtl/>
        </w:rPr>
        <w:t>בלבם</w:t>
      </w:r>
      <w:proofErr w:type="spellEnd"/>
      <w:r>
        <w:rPr>
          <w:rtl/>
        </w:rPr>
        <w:t xml:space="preserve"> את האמונה </w:t>
      </w:r>
      <w:proofErr w:type="spellStart"/>
      <w:r>
        <w:rPr>
          <w:rtl/>
        </w:rPr>
        <w:t>באלקים</w:t>
      </w:r>
      <w:proofErr w:type="spellEnd"/>
      <w:r>
        <w:rPr>
          <w:rtl/>
        </w:rPr>
        <w:t xml:space="preserve"> </w:t>
      </w:r>
      <w:proofErr w:type="spellStart"/>
      <w:r>
        <w:rPr>
          <w:rtl/>
        </w:rPr>
        <w:t>במדות</w:t>
      </w:r>
      <w:proofErr w:type="spellEnd"/>
      <w:r>
        <w:rPr>
          <w:rtl/>
        </w:rPr>
        <w:t xml:space="preserve"> שמנהג בהן עולמו. מהאי טעמא תיכתב זאת לדור אחרון</w:t>
      </w:r>
      <w:bookmarkStart w:id="3641" w:name="_fnr2714"/>
      <w:r>
        <w:rPr>
          <w:rStyle w:val="a5"/>
        </w:rPr>
        <w:footnoteReference w:id="2721" w:customMarkFollows="0"/>
      </w:r>
      <w:bookmarkEnd w:id="3641"/>
      <w:r>
        <w:rPr>
          <w:rtl/>
        </w:rPr>
        <w:t>, ויחקקו הדברים גם פה בספר, לפי הנוסח המקורי שרשם מפיו מלה במלה בנו הצעיר רבי צבי יהודה לייב”. במכתב</w:t>
      </w:r>
      <w:bookmarkStart w:id="3642" w:name="_fnr2715"/>
      <w:r>
        <w:rPr>
          <w:rStyle w:val="a5"/>
        </w:rPr>
        <w:footnoteReference w:id="2722" w:customMarkFollows="0"/>
      </w:r>
      <w:bookmarkEnd w:id="3642"/>
      <w:r>
        <w:rPr>
          <w:rtl/>
        </w:rPr>
        <w:t xml:space="preserve"> אליי כתב הרב </w:t>
      </w:r>
      <w:proofErr w:type="spellStart"/>
      <w:r>
        <w:rPr>
          <w:rtl/>
        </w:rPr>
        <w:t>סורסקי</w:t>
      </w:r>
      <w:proofErr w:type="spellEnd"/>
      <w:r>
        <w:rPr>
          <w:rtl/>
        </w:rPr>
        <w:t xml:space="preserve"> שקיבל את המסמך מר׳ שמחה וסרמן, אחיו של ר׳ </w:t>
      </w:r>
      <w:proofErr w:type="spellStart"/>
      <w:r>
        <w:rPr>
          <w:rtl/>
        </w:rPr>
        <w:t>צבי־יהודה־לייב</w:t>
      </w:r>
      <w:proofErr w:type="spellEnd"/>
      <w:r>
        <w:rPr>
          <w:rtl/>
        </w:rPr>
        <w:t xml:space="preserve">. ברור שלדעת הרב </w:t>
      </w:r>
      <w:proofErr w:type="spellStart"/>
      <w:r>
        <w:rPr>
          <w:rtl/>
        </w:rPr>
        <w:t>סורסקי</w:t>
      </w:r>
      <w:proofErr w:type="spellEnd"/>
      <w:r>
        <w:rPr>
          <w:rtl/>
        </w:rPr>
        <w:t xml:space="preserve"> עמד ציבור קוראי העברית בתנאי של ר׳ אלחנן </w:t>
      </w:r>
      <w:proofErr w:type="spellStart"/>
      <w:r>
        <w:rPr>
          <w:rtl/>
        </w:rPr>
        <w:t>ל“הזמנה</w:t>
      </w:r>
      <w:proofErr w:type="spellEnd"/>
      <w:r>
        <w:rPr>
          <w:rtl/>
        </w:rPr>
        <w:t>” לקריאת המעשה.</w:t>
      </w:r>
    </w:p>
    <w:p w14:paraId="346D8441" w14:textId="77777777" w:rsidR="00AB3647" w:rsidRDefault="00000000" w:rsidP="007923E9">
      <w:pPr>
        <w:spacing w:after="120" w:line="276" w:lineRule="auto"/>
        <w:ind w:firstLine="283"/>
        <w:jc w:val="both"/>
      </w:pPr>
      <w:r>
        <w:rPr>
          <w:rtl/>
        </w:rPr>
        <w:t xml:space="preserve">ספר </w:t>
      </w:r>
      <w:proofErr w:type="spellStart"/>
      <w:r>
        <w:rPr>
          <w:rtl/>
        </w:rPr>
        <w:t>ארטסקרול</w:t>
      </w:r>
      <w:proofErr w:type="spellEnd"/>
      <w:r>
        <w:rPr>
          <w:rtl/>
        </w:rPr>
        <w:t xml:space="preserve"> “ר׳ אלחנן”</w:t>
      </w:r>
      <w:bookmarkStart w:id="3643" w:name="_fnr2716"/>
      <w:r>
        <w:rPr>
          <w:rStyle w:val="a5"/>
        </w:rPr>
        <w:footnoteReference w:id="2723" w:customMarkFollows="0"/>
      </w:r>
      <w:bookmarkEnd w:id="3643"/>
      <w:r>
        <w:rPr>
          <w:rtl/>
        </w:rPr>
        <w:t xml:space="preserve"> משמיט כל אזכור של מעשה הדיבוק, אף שבעמוד הפתיחה שלו נאמר שהוא “עיבוד מן הביוגרפיה העברית של אהרן </w:t>
      </w:r>
      <w:proofErr w:type="spellStart"/>
      <w:r>
        <w:rPr>
          <w:rtl/>
        </w:rPr>
        <w:t>סורסקי</w:t>
      </w:r>
      <w:proofErr w:type="spellEnd"/>
      <w:r>
        <w:rPr>
          <w:rtl/>
        </w:rPr>
        <w:t xml:space="preserve">: ‘אור אלחנן’”. בירור עם המוציאים לאור העלה שמקורו של הרב </w:t>
      </w:r>
      <w:proofErr w:type="spellStart"/>
      <w:r>
        <w:rPr>
          <w:rtl/>
        </w:rPr>
        <w:t>סורסקי</w:t>
      </w:r>
      <w:proofErr w:type="spellEnd"/>
      <w:r>
        <w:rPr>
          <w:rtl/>
        </w:rPr>
        <w:t>, ר׳ שמחה עצמו</w:t>
      </w:r>
      <w:bookmarkStart w:id="3644" w:name="_fnr2717"/>
      <w:r>
        <w:rPr>
          <w:rStyle w:val="a5"/>
        </w:rPr>
        <w:footnoteReference w:id="2724" w:customMarkFollows="0"/>
      </w:r>
      <w:bookmarkEnd w:id="3644"/>
      <w:r>
        <w:rPr>
          <w:rtl/>
        </w:rPr>
        <w:t xml:space="preserve">, הורה על השמטה זו, מסיבה שלא פורטה. אפשר לשער שסבר שקהל קוראי האנגלית </w:t>
      </w:r>
      <w:r>
        <w:rPr>
          <w:b/>
          <w:bCs/>
          <w:rtl/>
        </w:rPr>
        <w:t>אינו</w:t>
      </w:r>
      <w:r>
        <w:rPr>
          <w:rtl/>
        </w:rPr>
        <w:t xml:space="preserve"> עומד בתנאו של ר׳ אלחנן</w:t>
      </w:r>
      <w:bookmarkStart w:id="3645" w:name="_fnr2718"/>
      <w:bookmarkStart w:id="3646" w:name="pr_f_2615"/>
      <w:r>
        <w:rPr>
          <w:rStyle w:val="a5"/>
        </w:rPr>
        <w:footnoteReference w:id="2725" w:customMarkFollows="0"/>
      </w:r>
      <w:bookmarkEnd w:id="3645"/>
      <w:bookmarkEnd w:id="3646"/>
      <w:r>
        <w:rPr>
          <w:rtl/>
        </w:rPr>
        <w:t>.</w:t>
      </w:r>
    </w:p>
    <w:p w14:paraId="68776EC1" w14:textId="77777777" w:rsidR="00AB3647" w:rsidRDefault="00000000" w:rsidP="007923E9">
      <w:pPr>
        <w:spacing w:after="120" w:line="276" w:lineRule="auto"/>
        <w:ind w:firstLine="283"/>
        <w:jc w:val="both"/>
      </w:pPr>
      <w:r>
        <w:rPr>
          <w:rtl/>
        </w:rPr>
        <w:t xml:space="preserve">לא ברור אם יחסו של אבי עצמו לנסתר השתנה מאז ימי צעירותו, או שסבר שבארבעים השנים שלאחר מכן השתנו </w:t>
      </w:r>
      <w:r>
        <w:rPr>
          <w:b/>
          <w:bCs/>
          <w:rtl/>
        </w:rPr>
        <w:t>האנשים</w:t>
      </w:r>
      <w:r>
        <w:rPr>
          <w:rtl/>
        </w:rPr>
        <w:t xml:space="preserve"> ונעשו נוטים יותר להבין בטעות. להלן יוכח שכאשר ראה </w:t>
      </w:r>
      <w:proofErr w:type="spellStart"/>
      <w:r>
        <w:rPr>
          <w:rtl/>
        </w:rPr>
        <w:t>בקלם</w:t>
      </w:r>
      <w:proofErr w:type="spellEnd"/>
      <w:r>
        <w:rPr>
          <w:rtl/>
        </w:rPr>
        <w:t xml:space="preserve"> את כתב היד של ר׳ אלחנן על הוצאת הדיבוק, היה שם אברך כולל חדש, בן שלושים בקושי. כך או כך, מסתבר שאבי היה מתנגד גם לפרסום סיפורי הוצאת דיבוקים, כגון “דיבוק”, שנכתב ופורסם בידי אותו אדם ובאותה הוצאה</w:t>
      </w:r>
      <w:bookmarkStart w:id="3647" w:name="_fnr2719"/>
      <w:r>
        <w:rPr>
          <w:rStyle w:val="a5"/>
        </w:rPr>
        <w:footnoteReference w:id="2726" w:customMarkFollows="0"/>
      </w:r>
      <w:bookmarkEnd w:id="3647"/>
      <w:r>
        <w:rPr>
          <w:rtl/>
        </w:rPr>
        <w:t xml:space="preserve"> כמו “הגולם מפראג”, שנה קודם לכן – אף שאין לי על כך עדות ישירה, כמו שיש לי בנוגע לספר הגולם</w:t>
      </w:r>
      <w:bookmarkStart w:id="3648" w:name="_fnr2720"/>
      <w:r>
        <w:rPr>
          <w:rStyle w:val="a5"/>
        </w:rPr>
        <w:footnoteReference w:id="2727" w:customMarkFollows="0"/>
      </w:r>
      <w:bookmarkEnd w:id="3648"/>
      <w:r>
        <w:rPr>
          <w:rtl/>
        </w:rPr>
        <w:t>.</w:t>
      </w:r>
    </w:p>
    <w:p w14:paraId="48E0C458" w14:textId="77777777" w:rsidR="00AB3647" w:rsidRDefault="00000000" w:rsidP="007923E9">
      <w:pPr>
        <w:spacing w:after="120" w:line="276" w:lineRule="auto"/>
        <w:ind w:firstLine="283"/>
        <w:jc w:val="both"/>
      </w:pPr>
      <w:r>
        <w:rPr>
          <w:rtl/>
        </w:rPr>
        <w:t xml:space="preserve">הסיפור כיצד הוציא </w:t>
      </w:r>
      <w:proofErr w:type="spellStart"/>
      <w:r>
        <w:rPr>
          <w:rtl/>
        </w:rPr>
        <w:t>החפץ־חיים</w:t>
      </w:r>
      <w:proofErr w:type="spellEnd"/>
      <w:r>
        <w:rPr>
          <w:rtl/>
        </w:rPr>
        <w:t xml:space="preserve"> את הדיבוק מובא בספר “דיבוק” הנזכר</w:t>
      </w:r>
      <w:bookmarkStart w:id="3649" w:name="_fnr2721"/>
      <w:r>
        <w:rPr>
          <w:rStyle w:val="a5"/>
        </w:rPr>
        <w:footnoteReference w:id="2728" w:customMarkFollows="0"/>
      </w:r>
      <w:bookmarkEnd w:id="3649"/>
      <w:r>
        <w:rPr>
          <w:rtl/>
        </w:rPr>
        <w:t xml:space="preserve">, וההקדמה לו אומרת: “תיאור אמיתי ומתועד המבוסס על עדויות ראייה שאומתו ונאספו בידי הרב אשר </w:t>
      </w:r>
      <w:proofErr w:type="spellStart"/>
      <w:r>
        <w:rPr>
          <w:rtl/>
        </w:rPr>
        <w:lastRenderedPageBreak/>
        <w:t>קצמן</w:t>
      </w:r>
      <w:proofErr w:type="spellEnd"/>
      <w:r>
        <w:rPr>
          <w:rtl/>
        </w:rPr>
        <w:t xml:space="preserve">, [אשר] שמע את הסיפור ממקור ראשון מפי... הרב אלחנן וסרמן באספת תלמידי ישיבת </w:t>
      </w:r>
      <w:proofErr w:type="spellStart"/>
      <w:r>
        <w:rPr>
          <w:rtl/>
        </w:rPr>
        <w:t>ברנוביץ</w:t>
      </w:r>
      <w:proofErr w:type="spellEnd"/>
      <w:r>
        <w:rPr>
          <w:rtl/>
        </w:rPr>
        <w:t>׳ ביום... פורים, תרצ״ב”.</w:t>
      </w:r>
    </w:p>
    <w:p w14:paraId="71D942D3" w14:textId="77777777" w:rsidR="00AB3647" w:rsidRDefault="00000000" w:rsidP="007923E9">
      <w:pPr>
        <w:spacing w:after="120" w:line="276" w:lineRule="auto"/>
        <w:ind w:firstLine="283"/>
        <w:jc w:val="both"/>
      </w:pPr>
      <w:bookmarkStart w:id="3650" w:name="pr_b_1585"/>
      <w:bookmarkEnd w:id="3650"/>
      <w:r>
        <w:rPr>
          <w:rtl/>
        </w:rPr>
        <w:t xml:space="preserve">בקשר לסיפור הדיבוק שמעתי הערה נוקבת מפי רבנו: “הסיפור נכתב והונח במגירה של שידה שעמדה בפרוזדור בניין התלמוד תורה </w:t>
      </w:r>
      <w:proofErr w:type="spellStart"/>
      <w:r>
        <w:rPr>
          <w:rtl/>
        </w:rPr>
        <w:t>בקלם</w:t>
      </w:r>
      <w:proofErr w:type="spellEnd"/>
      <w:r>
        <w:rPr>
          <w:rtl/>
        </w:rPr>
        <w:t xml:space="preserve">; אלא שלא ידעו שכל התלמוד תורה ייחרב [בשואה]”. נראה שהתכוון שבמקום לעסוק במאורעות </w:t>
      </w:r>
      <w:proofErr w:type="spellStart"/>
      <w:r>
        <w:rPr>
          <w:rtl/>
        </w:rPr>
        <w:t>על־טבעיים</w:t>
      </w:r>
      <w:proofErr w:type="spellEnd"/>
      <w:r>
        <w:rPr>
          <w:rtl/>
        </w:rPr>
        <w:t xml:space="preserve">, היה עליהם לחשוב על ענייני </w:t>
      </w:r>
      <w:r>
        <w:rPr>
          <w:b/>
          <w:bCs/>
          <w:rtl/>
        </w:rPr>
        <w:t>העולם הזה</w:t>
      </w:r>
      <w:r>
        <w:rPr>
          <w:rtl/>
        </w:rPr>
        <w:t>, כגון האם בטוח להישאר בליטא.</w:t>
      </w:r>
    </w:p>
    <w:p w14:paraId="36E59735" w14:textId="77777777" w:rsidR="00AB3647" w:rsidRDefault="00000000" w:rsidP="007923E9">
      <w:pPr>
        <w:spacing w:after="120" w:line="276" w:lineRule="auto"/>
        <w:ind w:firstLine="283"/>
        <w:jc w:val="both"/>
      </w:pPr>
      <w:r>
        <w:rPr>
          <w:rtl/>
        </w:rPr>
        <w:t xml:space="preserve">דברים אלו תואמים את דבריו ערב צאתו מליטא </w:t>
      </w:r>
      <w:proofErr w:type="spellStart"/>
      <w:r>
        <w:rPr>
          <w:rtl/>
        </w:rPr>
        <w:t>בתרצ״ז</w:t>
      </w:r>
      <w:proofErr w:type="spellEnd"/>
      <w:r>
        <w:rPr>
          <w:rtl/>
        </w:rPr>
        <w:t xml:space="preserve">, שמסר ר׳ שלמה </w:t>
      </w:r>
      <w:proofErr w:type="spellStart"/>
      <w:r>
        <w:rPr>
          <w:rtl/>
        </w:rPr>
        <w:t>איידלשטיין</w:t>
      </w:r>
      <w:bookmarkStart w:id="3651" w:name="_fnr2722"/>
      <w:proofErr w:type="spellEnd"/>
      <w:r>
        <w:rPr>
          <w:rStyle w:val="a5"/>
        </w:rPr>
        <w:footnoteReference w:id="2729" w:customMarkFollows="0"/>
      </w:r>
      <w:bookmarkEnd w:id="3651"/>
      <w:r>
        <w:rPr>
          <w:rtl/>
        </w:rPr>
        <w:t xml:space="preserve"> [ששמעם </w:t>
      </w:r>
      <w:proofErr w:type="spellStart"/>
      <w:r>
        <w:rPr>
          <w:rtl/>
        </w:rPr>
        <w:t>מחיה־מרים</w:t>
      </w:r>
      <w:proofErr w:type="spellEnd"/>
      <w:r>
        <w:rPr>
          <w:rtl/>
        </w:rPr>
        <w:t xml:space="preserve"> </w:t>
      </w:r>
      <w:proofErr w:type="spellStart"/>
      <w:r>
        <w:rPr>
          <w:rtl/>
        </w:rPr>
        <w:t>שולמן</w:t>
      </w:r>
      <w:proofErr w:type="spellEnd"/>
      <w:r>
        <w:rPr>
          <w:rtl/>
        </w:rPr>
        <w:t xml:space="preserve">, נכדת הסבא </w:t>
      </w:r>
      <w:proofErr w:type="spellStart"/>
      <w:r>
        <w:rPr>
          <w:rtl/>
        </w:rPr>
        <w:t>מסלבודקה</w:t>
      </w:r>
      <w:proofErr w:type="spellEnd"/>
      <w:r>
        <w:rPr>
          <w:rtl/>
        </w:rPr>
        <w:t xml:space="preserve">]. כשנשאל אבי לסיבת נסיעתו הקרובה, אמר להנהלת ישיבת </w:t>
      </w:r>
      <w:proofErr w:type="spellStart"/>
      <w:r>
        <w:rPr>
          <w:rtl/>
        </w:rPr>
        <w:t>סלבודקה</w:t>
      </w:r>
      <w:proofErr w:type="spellEnd"/>
      <w:r>
        <w:rPr>
          <w:rtl/>
        </w:rPr>
        <w:t>: “אינני הרב והפוסק שלכם, אבל למשפחתי שלי אני כן. ואני פוסק שאסור להישאר בחלק זה של העולם בגלל המלחמה המאיימת”</w:t>
      </w:r>
      <w:bookmarkStart w:id="3652" w:name="_fnr2723"/>
      <w:r>
        <w:rPr>
          <w:rStyle w:val="a5"/>
        </w:rPr>
        <w:footnoteReference w:id="2730" w:customMarkFollows="0"/>
      </w:r>
      <w:bookmarkEnd w:id="3652"/>
      <w:r>
        <w:rPr>
          <w:rtl/>
        </w:rPr>
        <w:t xml:space="preserve">. הדבר אינו ברור כלל, אבל ייתכן שאבי רמז שמנהיגי התלמוד תורה </w:t>
      </w:r>
      <w:proofErr w:type="spellStart"/>
      <w:r>
        <w:rPr>
          <w:rtl/>
        </w:rPr>
        <w:t>בקלם</w:t>
      </w:r>
      <w:proofErr w:type="spellEnd"/>
      <w:r>
        <w:rPr>
          <w:rtl/>
        </w:rPr>
        <w:t xml:space="preserve"> לא הכירו בסכנות שריחפו מעליהם </w:t>
      </w:r>
      <w:r>
        <w:rPr>
          <w:b/>
          <w:bCs/>
          <w:rtl/>
        </w:rPr>
        <w:t>מפני</w:t>
      </w:r>
      <w:r>
        <w:rPr>
          <w:rtl/>
        </w:rPr>
        <w:t xml:space="preserve"> שלא ראו את מצבם נכוחה – כפי שסימלה שמירת מעשה הדיבוק כמין אוצר מקודש במגירת השידה.</w:t>
      </w:r>
    </w:p>
    <w:p w14:paraId="20E69E27" w14:textId="46983A38" w:rsidR="00AB3647" w:rsidRDefault="00000000" w:rsidP="007923E9">
      <w:pPr>
        <w:spacing w:after="120" w:line="276" w:lineRule="auto"/>
        <w:ind w:firstLine="283"/>
        <w:jc w:val="both"/>
      </w:pPr>
      <w:r>
        <w:rPr>
          <w:rtl/>
        </w:rPr>
        <w:t xml:space="preserve">נתקלתי בדוגמה נוספת לאמונה עיוורת בביטחונם של מקומות תורה בזמן מלחמה, במעשה אחר שמסרה </w:t>
      </w:r>
      <w:proofErr w:type="spellStart"/>
      <w:r>
        <w:rPr>
          <w:rtl/>
        </w:rPr>
        <w:t>חיה־מרים</w:t>
      </w:r>
      <w:proofErr w:type="spellEnd"/>
      <w:r>
        <w:rPr>
          <w:rtl/>
        </w:rPr>
        <w:t xml:space="preserve"> </w:t>
      </w:r>
      <w:proofErr w:type="spellStart"/>
      <w:r>
        <w:rPr>
          <w:rtl/>
        </w:rPr>
        <w:t>שולמן</w:t>
      </w:r>
      <w:proofErr w:type="spellEnd"/>
      <w:r>
        <w:rPr>
          <w:rtl/>
        </w:rPr>
        <w:t>. היא סיפרה</w:t>
      </w:r>
      <w:bookmarkStart w:id="3653" w:name="_fnr2724"/>
      <w:r>
        <w:rPr>
          <w:rStyle w:val="a5"/>
        </w:rPr>
        <w:footnoteReference w:id="2731" w:customMarkFollows="0"/>
      </w:r>
      <w:bookmarkEnd w:id="3653"/>
      <w:r>
        <w:rPr>
          <w:rtl/>
        </w:rPr>
        <w:t xml:space="preserve"> שאביה, ר׳ אייזיק שר, ור׳ </w:t>
      </w:r>
      <w:proofErr w:type="spellStart"/>
      <w:r>
        <w:rPr>
          <w:rtl/>
        </w:rPr>
        <w:t>משה־מרדכי</w:t>
      </w:r>
      <w:proofErr w:type="spellEnd"/>
      <w:r>
        <w:rPr>
          <w:rtl/>
        </w:rPr>
        <w:t xml:space="preserve"> אפשטיין לא האמינו שתפרוץ מלחמת העולם הראשונה, משום </w:t>
      </w:r>
      <w:proofErr w:type="spellStart"/>
      <w:r>
        <w:rPr>
          <w:rtl/>
        </w:rPr>
        <w:t>ש“לא</w:t>
      </w:r>
      <w:proofErr w:type="spellEnd"/>
      <w:r>
        <w:rPr>
          <w:rtl/>
        </w:rPr>
        <w:t xml:space="preserve"> יכלו להעלות על דעתם את פירוקו של כותל מערבי</w:t>
      </w:r>
      <w:bookmarkStart w:id="3654" w:name="_fnr2725"/>
      <w:r>
        <w:rPr>
          <w:rStyle w:val="a5"/>
        </w:rPr>
        <w:footnoteReference w:id="2732" w:customMarkFollows="0"/>
      </w:r>
      <w:bookmarkEnd w:id="3654"/>
      <w:r>
        <w:rPr>
          <w:rtl/>
        </w:rPr>
        <w:t xml:space="preserve">, די קדושה </w:t>
      </w:r>
      <w:proofErr w:type="spellStart"/>
      <w:r>
        <w:rPr>
          <w:rtl/>
        </w:rPr>
        <w:t>אליין</w:t>
      </w:r>
      <w:proofErr w:type="spellEnd"/>
      <w:r>
        <w:rPr>
          <w:rtl/>
        </w:rPr>
        <w:t xml:space="preserve"> [עצם הקדושה] שהישיבה [</w:t>
      </w:r>
      <w:proofErr w:type="spellStart"/>
      <w:r>
        <w:rPr>
          <w:rtl/>
        </w:rPr>
        <w:t>בסלבודקה</w:t>
      </w:r>
      <w:proofErr w:type="spellEnd"/>
      <w:r>
        <w:rPr>
          <w:rtl/>
        </w:rPr>
        <w:t xml:space="preserve">] ייצגה”. השקפה זו מזכירה את הקינה לתשעה באב שפתיחתה “זכור את אשר עש’”, המתארת “בחורים מבחוץ צגו מחוזקים” [מחוץ לקודש הקודשים, שאליו נכנס טיטוס], “ותרו כי </w:t>
      </w:r>
      <w:proofErr w:type="spellStart"/>
      <w:r>
        <w:rPr>
          <w:rtl/>
        </w:rPr>
        <w:t>יזק</w:t>
      </w:r>
      <w:proofErr w:type="spellEnd"/>
      <w:r>
        <w:rPr>
          <w:rtl/>
        </w:rPr>
        <w:t xml:space="preserve"> בששים </w:t>
      </w:r>
      <w:proofErr w:type="spellStart"/>
      <w:r>
        <w:rPr>
          <w:rtl/>
        </w:rPr>
        <w:t>רבוא</w:t>
      </w:r>
      <w:proofErr w:type="spellEnd"/>
      <w:r>
        <w:rPr>
          <w:rtl/>
        </w:rPr>
        <w:t xml:space="preserve"> מזיקים” – כלומר, ציפו שטיטוס [ייפול אז ו]יושמד בידי שישים ריבוא שדים</w:t>
      </w:r>
      <w:bookmarkStart w:id="3655" w:name="_fnr2726"/>
      <w:r>
        <w:rPr>
          <w:rStyle w:val="a5"/>
        </w:rPr>
        <w:footnoteReference w:id="2733" w:customMarkFollows="0"/>
      </w:r>
      <w:bookmarkEnd w:id="3655"/>
      <w:r>
        <w:rPr>
          <w:rtl/>
        </w:rPr>
        <w:t xml:space="preserve">. הרבנית </w:t>
      </w:r>
      <w:proofErr w:type="spellStart"/>
      <w:r>
        <w:rPr>
          <w:rtl/>
        </w:rPr>
        <w:t>שולמן</w:t>
      </w:r>
      <w:proofErr w:type="spellEnd"/>
      <w:r>
        <w:rPr>
          <w:rtl/>
        </w:rPr>
        <w:t xml:space="preserve"> הוסיפה שכאשר אמר אביה שמלחמה תהיה מעשה שוטים, השיבה לו אמה, בתו של הסבא: “ומי לדעתך מקבל את ההחלטות – חכמים? רק שוטים עומדים בראש. הם נתקפים חמת זעם ומחוללים סכסוך”.</w:t>
      </w:r>
      <w:bookmarkStart w:id="3656" w:name="_fnr2727"/>
      <w:r>
        <w:rPr>
          <w:rStyle w:val="a5"/>
        </w:rPr>
        <w:footnoteReference w:id="2734" w:customMarkFollows="0"/>
      </w:r>
      <w:bookmarkEnd w:id="3656"/>
      <w:r>
        <w:rPr>
          <w:rtl/>
        </w:rPr>
        <w:t xml:space="preserve"> השווה גם הערה </w:t>
      </w:r>
      <w:r>
        <w:rPr>
          <w:rtl/>
        </w:rPr>
        <w:fldChar w:fldCharType="begin" w:dirty="true"/>
      </w:r>
      <w:r>
        <w:rPr>
          <w:rtl/>
        </w:rPr>
        <w:instrText xml:space="preserve"> NOTEREF pr_f_2857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1904</w:t>
      </w:r>
      <w:r>
        <w:rPr>
          <w:rtl/>
        </w:rPr>
        <w:fldChar w:fldCharType="end"/>
      </w:r>
      <w:r>
        <w:rPr>
          <w:rtl/>
        </w:rPr>
        <w:t xml:space="preserve"> (עמ׳ </w:t>
      </w:r>
      <w:r>
        <w:rPr>
          <w:rtl/>
        </w:rPr>
        <w:fldChar w:fldCharType="begin" w:dirty="true"/>
      </w:r>
      <w:r>
        <w:rPr>
          <w:rtl/>
        </w:rPr>
        <w:instrText xml:space="preserve"> PAGEREF pr_f_2857 \h </w:instrText>
      </w:r>
      <w:r>
        <w:rPr>
          <w:rtl/>
        </w:rPr>
      </w:r>
      <w:r>
        <w:rPr>
          <w:rtl/>
        </w:rPr>
        <w:fldChar w:fldCharType="separate"/>
      </w:r>
      <w:r w:rsidR="007923E9">
        <w:rPr>
          <w:noProof/>
          <w:rtl/>
        </w:rPr>
        <w:t>1</w:t>
      </w:r>
      <w:r>
        <w:rPr>
          <w:rtl/>
        </w:rPr>
        <w:fldChar w:fldCharType="end"/>
      </w:r>
      <w:r>
        <w:rPr>
          <w:rtl/>
        </w:rPr>
        <w:t xml:space="preserve">) בעניין ניבויו של ר׳ </w:t>
      </w:r>
      <w:proofErr w:type="spellStart"/>
      <w:r>
        <w:rPr>
          <w:rtl/>
        </w:rPr>
        <w:t>מאיר־שמחה</w:t>
      </w:r>
      <w:proofErr w:type="spellEnd"/>
      <w:r>
        <w:rPr>
          <w:rtl/>
        </w:rPr>
        <w:t xml:space="preserve"> על פרוץ המלחמה לאחר פגישתו עם הקיסר פרנץ יוזף </w:t>
      </w:r>
      <w:proofErr w:type="spellStart"/>
      <w:r>
        <w:rPr>
          <w:rtl/>
        </w:rPr>
        <w:t>בקרלסבד</w:t>
      </w:r>
      <w:proofErr w:type="spellEnd"/>
      <w:r>
        <w:rPr>
          <w:rtl/>
        </w:rPr>
        <w:t>.</w:t>
      </w:r>
    </w:p>
    <w:p w14:paraId="4A4E0619" w14:textId="77777777" w:rsidR="00AB3647" w:rsidRDefault="00000000" w:rsidP="007923E9">
      <w:pPr>
        <w:spacing w:after="120" w:line="276" w:lineRule="auto"/>
        <w:ind w:firstLine="283"/>
        <w:jc w:val="both"/>
      </w:pPr>
      <w:r>
        <w:rPr>
          <w:rtl/>
        </w:rPr>
        <w:lastRenderedPageBreak/>
        <w:t xml:space="preserve">למרות הביקורת המרומזת שיוחסה לאבי על הנהלת התלמוד תורה, יש לציין שאנשי הצוות לא עשו עניין מסיפור הדיבוק, אף שהופקד בישיבה. שאלתי את ר׳ שמואל שכטר, תלמיד קנדי שלמד </w:t>
      </w:r>
      <w:proofErr w:type="spellStart"/>
      <w:r>
        <w:rPr>
          <w:rtl/>
        </w:rPr>
        <w:t>בקלם</w:t>
      </w:r>
      <w:proofErr w:type="spellEnd"/>
      <w:r>
        <w:rPr>
          <w:rtl/>
        </w:rPr>
        <w:t xml:space="preserve"> שנתיים וחצי בתקופה האחרונה לקיומו של התלמוד תורה, </w:t>
      </w:r>
      <w:proofErr w:type="spellStart"/>
      <w:r>
        <w:rPr>
          <w:rtl/>
        </w:rPr>
        <w:t>מתרצ״ח</w:t>
      </w:r>
      <w:proofErr w:type="spellEnd"/>
      <w:r>
        <w:rPr>
          <w:rtl/>
        </w:rPr>
        <w:t xml:space="preserve"> ועד ת״ש, אם ידע על קיומו של מסמך כזה, והוא השיב לי בשלילה.</w:t>
      </w:r>
      <w:bookmarkStart w:id="3657" w:name="_fnr2728"/>
      <w:r>
        <w:rPr>
          <w:rStyle w:val="a5"/>
        </w:rPr>
        <w:footnoteReference w:id="2735" w:customMarkFollows="0"/>
      </w:r>
      <w:bookmarkEnd w:id="3657"/>
    </w:p>
    <w:p w14:paraId="2E4CD54F" w14:textId="77777777" w:rsidR="00AB3647" w:rsidRDefault="00000000" w:rsidP="007923E9">
      <w:pPr>
        <w:spacing w:after="120" w:line="276" w:lineRule="auto"/>
        <w:ind w:firstLine="283"/>
        <w:jc w:val="both"/>
      </w:pPr>
      <w:r>
        <w:rPr>
          <w:rtl/>
        </w:rPr>
        <w:t xml:space="preserve">כפי שנאמר בראש הפסקה הבאה, ר׳ אלחנן וסרמן עצמו, הדמות המרכזית בהוצאת הדיבוק, הוא שהעלה את הסיפור על הכתב למען התלמוד תורה </w:t>
      </w:r>
      <w:proofErr w:type="spellStart"/>
      <w:r>
        <w:rPr>
          <w:rtl/>
        </w:rPr>
        <w:t>בקלם</w:t>
      </w:r>
      <w:proofErr w:type="spellEnd"/>
      <w:r>
        <w:rPr>
          <w:rtl/>
        </w:rPr>
        <w:t xml:space="preserve">. הוא העריך את מוסד המוסר המעולה הזה עד כדי כך, שלאחר פטירת </w:t>
      </w:r>
      <w:proofErr w:type="spellStart"/>
      <w:r>
        <w:rPr>
          <w:rtl/>
        </w:rPr>
        <w:t>החפץ־חיים</w:t>
      </w:r>
      <w:proofErr w:type="spellEnd"/>
      <w:r>
        <w:rPr>
          <w:rtl/>
        </w:rPr>
        <w:t xml:space="preserve">, כששוב לא נמשך </w:t>
      </w:r>
      <w:proofErr w:type="spellStart"/>
      <w:r>
        <w:rPr>
          <w:rtl/>
        </w:rPr>
        <w:t>לראדין</w:t>
      </w:r>
      <w:proofErr w:type="spellEnd"/>
      <w:r>
        <w:rPr>
          <w:rtl/>
        </w:rPr>
        <w:t xml:space="preserve">, היה מבלה </w:t>
      </w:r>
      <w:proofErr w:type="spellStart"/>
      <w:r>
        <w:rPr>
          <w:rtl/>
        </w:rPr>
        <w:t>בקלם</w:t>
      </w:r>
      <w:proofErr w:type="spellEnd"/>
      <w:r>
        <w:rPr>
          <w:rtl/>
        </w:rPr>
        <w:t xml:space="preserve"> את החודש שלפני ראש השנה. אבל אין זה סביר שר׳ אלחנן כתב את הסיפור כשהחל לשהות שם בימים הנוראים, כלומר לאחר תרצ״ג, מאותו הטעם – יהא אשר יהא – שבגללו חדל לספר את הסיפור לאחר תרצ״ב, כמובא להלן. לכן ודאי הכין את כתב היד להפקדה כשעצר שם באחת הפעמים בדרכו מפולין לבקר את חותנו ר׳ מאיר אטלס (שנפטר </w:t>
      </w:r>
      <w:proofErr w:type="spellStart"/>
      <w:r>
        <w:rPr>
          <w:rtl/>
        </w:rPr>
        <w:t>בתרפ״ו</w:t>
      </w:r>
      <w:proofErr w:type="spellEnd"/>
      <w:r>
        <w:rPr>
          <w:rtl/>
        </w:rPr>
        <w:t>), רבה של שאוול, העיר השנייה בגודלה בליטא לאחר מלחמת העולם הראשונה,</w:t>
      </w:r>
      <w:bookmarkStart w:id="3658" w:name="_fnr2729"/>
      <w:r>
        <w:rPr>
          <w:rStyle w:val="a5"/>
        </w:rPr>
        <w:footnoteReference w:id="2736" w:customMarkFollows="0"/>
      </w:r>
      <w:bookmarkEnd w:id="3658"/>
      <w:r>
        <w:rPr>
          <w:rtl/>
        </w:rPr>
        <w:t xml:space="preserve"> במרחק 45 קילומטר מקלם.</w:t>
      </w:r>
      <w:bookmarkStart w:id="3659" w:name="_fnr2730"/>
      <w:r>
        <w:rPr>
          <w:rStyle w:val="a5"/>
        </w:rPr>
        <w:footnoteReference w:id="2737" w:customMarkFollows="0"/>
      </w:r>
      <w:bookmarkEnd w:id="3659"/>
    </w:p>
    <w:p w14:paraId="54A00493" w14:textId="77777777" w:rsidR="00AB3647" w:rsidRDefault="00000000" w:rsidP="007923E9">
      <w:pPr>
        <w:spacing w:after="120" w:line="276" w:lineRule="auto"/>
        <w:ind w:firstLine="283"/>
        <w:jc w:val="both"/>
      </w:pPr>
      <w:r>
        <w:rPr>
          <w:rtl/>
        </w:rPr>
        <w:t xml:space="preserve">ר׳ אלחנן זכה להערכה רבה מאוד </w:t>
      </w:r>
      <w:proofErr w:type="spellStart"/>
      <w:r>
        <w:rPr>
          <w:rtl/>
        </w:rPr>
        <w:t>בקלם</w:t>
      </w:r>
      <w:proofErr w:type="spellEnd"/>
      <w:r>
        <w:rPr>
          <w:rtl/>
        </w:rPr>
        <w:t>, כפי שהעיד תלמיד קלם ר׳ מרדכי צוקרמן,</w:t>
      </w:r>
      <w:bookmarkStart w:id="3660" w:name="_fnr2731"/>
      <w:r>
        <w:rPr>
          <w:rStyle w:val="a5"/>
        </w:rPr>
        <w:footnoteReference w:id="2738" w:customMarkFollows="0"/>
      </w:r>
      <w:bookmarkEnd w:id="3660"/>
      <w:r>
        <w:rPr>
          <w:rtl/>
        </w:rPr>
        <w:t xml:space="preserve"> שאמר כי היחידים שהורשו לדבר לפני ציבור התלמידים בתלמוד תורה </w:t>
      </w:r>
      <w:proofErr w:type="spellStart"/>
      <w:r>
        <w:rPr>
          <w:rtl/>
        </w:rPr>
        <w:t>בקלם</w:t>
      </w:r>
      <w:proofErr w:type="spellEnd"/>
      <w:r>
        <w:rPr>
          <w:rtl/>
        </w:rPr>
        <w:t xml:space="preserve"> היו ר׳ אלחנן וסרמן ורבה של שאוול הסמוכה, ר׳ </w:t>
      </w:r>
      <w:proofErr w:type="spellStart"/>
      <w:r>
        <w:rPr>
          <w:rtl/>
        </w:rPr>
        <w:t>ארצ׳יק</w:t>
      </w:r>
      <w:proofErr w:type="spellEnd"/>
      <w:r>
        <w:rPr>
          <w:rtl/>
        </w:rPr>
        <w:t xml:space="preserve"> בקשט, תלמידו של ר׳ </w:t>
      </w:r>
      <w:proofErr w:type="spellStart"/>
      <w:r>
        <w:rPr>
          <w:rtl/>
        </w:rPr>
        <w:t>שמחה־זיסל</w:t>
      </w:r>
      <w:proofErr w:type="spellEnd"/>
      <w:r>
        <w:rPr>
          <w:rtl/>
        </w:rPr>
        <w:t xml:space="preserve"> וממלא מקומו של ר׳ מאיר אטלס.</w:t>
      </w:r>
      <w:bookmarkStart w:id="3661" w:name="_fnr2732"/>
      <w:r>
        <w:rPr>
          <w:rStyle w:val="a5"/>
        </w:rPr>
        <w:footnoteReference w:id="2739" w:customMarkFollows="0"/>
      </w:r>
      <w:bookmarkEnd w:id="3661"/>
      <w:r>
        <w:rPr>
          <w:rtl/>
        </w:rPr>
        <w:t xml:space="preserve"> מכל מקום, מן האמור יש להניח שההזדמנות (שהוחמצה) של רבנו להעתיק את הסיפור הייתה בזמן שלמד </w:t>
      </w:r>
      <w:proofErr w:type="spellStart"/>
      <w:r>
        <w:rPr>
          <w:rtl/>
        </w:rPr>
        <w:t>בקלם</w:t>
      </w:r>
      <w:proofErr w:type="spellEnd"/>
      <w:r>
        <w:rPr>
          <w:rtl/>
        </w:rPr>
        <w:t xml:space="preserve"> </w:t>
      </w:r>
      <w:proofErr w:type="spellStart"/>
      <w:r>
        <w:rPr>
          <w:rtl/>
        </w:rPr>
        <w:t>בתרפ״א</w:t>
      </w:r>
      <w:proofErr w:type="spellEnd"/>
      <w:r>
        <w:rPr>
          <w:rtl/>
        </w:rPr>
        <w:t xml:space="preserve">, כשהיה בן פחות משלושים – ולא באחד מביקוריו הרבים שם לאחר שהחל לכהן כרב בעיירה הסמוכה </w:t>
      </w:r>
      <w:proofErr w:type="spellStart"/>
      <w:r>
        <w:rPr>
          <w:rtl/>
        </w:rPr>
        <w:t>ציטוביאן</w:t>
      </w:r>
      <w:proofErr w:type="spellEnd"/>
      <w:r>
        <w:rPr>
          <w:rtl/>
        </w:rPr>
        <w:t>, בשנים תרפ״ו–תרצ״ז.</w:t>
      </w:r>
      <w:bookmarkStart w:id="3662" w:name="_fnr2733"/>
      <w:r>
        <w:rPr>
          <w:rStyle w:val="a5"/>
        </w:rPr>
        <w:footnoteReference w:id="2740" w:customMarkFollows="0"/>
      </w:r>
      <w:bookmarkEnd w:id="3662"/>
      <w:r>
        <w:rPr>
          <w:rtl/>
        </w:rPr>
        <w:t xml:space="preserve"> השווה גם ציטוט מספרו של רבנו “עיונים”, המובא בראש הפסקה הבאה, שבו הוא מזכיר כי “</w:t>
      </w:r>
      <w:r>
        <w:rPr>
          <w:b/>
          <w:bCs/>
          <w:rtl/>
        </w:rPr>
        <w:t xml:space="preserve">בהיותי </w:t>
      </w:r>
      <w:proofErr w:type="spellStart"/>
      <w:r>
        <w:rPr>
          <w:b/>
          <w:bCs/>
          <w:rtl/>
        </w:rPr>
        <w:t>בקלם</w:t>
      </w:r>
      <w:proofErr w:type="spellEnd"/>
      <w:r>
        <w:rPr>
          <w:rtl/>
        </w:rPr>
        <w:t xml:space="preserve"> ראיתי” הערה מסוימת שכתב ר׳ אלחנן וסרמן בנוגע </w:t>
      </w:r>
      <w:proofErr w:type="spellStart"/>
      <w:r>
        <w:rPr>
          <w:rtl/>
        </w:rPr>
        <w:t>ל“מעשה</w:t>
      </w:r>
      <w:proofErr w:type="spellEnd"/>
      <w:r>
        <w:rPr>
          <w:rtl/>
        </w:rPr>
        <w:t xml:space="preserve"> הדיבוק המפורסם”. הביטוי (המודגש) שבחר בו, במקום “ראיתי </w:t>
      </w:r>
      <w:proofErr w:type="spellStart"/>
      <w:r>
        <w:rPr>
          <w:rtl/>
        </w:rPr>
        <w:t>בקלם</w:t>
      </w:r>
      <w:proofErr w:type="spellEnd"/>
      <w:r>
        <w:rPr>
          <w:rtl/>
        </w:rPr>
        <w:t xml:space="preserve">” בלבד, מורה שאבי ראה את הערתו של ר׳ אלחנן </w:t>
      </w:r>
      <w:r>
        <w:rPr>
          <w:b/>
          <w:bCs/>
          <w:rtl/>
        </w:rPr>
        <w:t xml:space="preserve">בשעה שלמד </w:t>
      </w:r>
      <w:proofErr w:type="spellStart"/>
      <w:r>
        <w:rPr>
          <w:b/>
          <w:bCs/>
          <w:rtl/>
        </w:rPr>
        <w:t>בקלם</w:t>
      </w:r>
      <w:proofErr w:type="spellEnd"/>
      <w:r>
        <w:rPr>
          <w:rtl/>
        </w:rPr>
        <w:t>, כפי שאני טוען.</w:t>
      </w:r>
      <w:bookmarkStart w:id="3663" w:name="_fnr2734"/>
      <w:r>
        <w:rPr>
          <w:rStyle w:val="a5"/>
        </w:rPr>
        <w:footnoteReference w:id="2741" w:customMarkFollows="0"/>
      </w:r>
      <w:bookmarkEnd w:id="3663"/>
    </w:p>
    <w:p w14:paraId="19DC632E" w14:textId="77777777" w:rsidR="00AB3647" w:rsidRDefault="00000000" w:rsidP="007923E9">
      <w:pPr>
        <w:spacing w:after="120" w:line="276" w:lineRule="auto"/>
        <w:ind w:firstLine="283"/>
        <w:jc w:val="both"/>
      </w:pPr>
      <w:r>
        <w:rPr>
          <w:rtl/>
        </w:rPr>
        <w:t xml:space="preserve">הרב </w:t>
      </w:r>
      <w:proofErr w:type="spellStart"/>
      <w:r>
        <w:rPr>
          <w:rtl/>
        </w:rPr>
        <w:t>קצמן</w:t>
      </w:r>
      <w:proofErr w:type="spellEnd"/>
      <w:r>
        <w:rPr>
          <w:rtl/>
        </w:rPr>
        <w:t xml:space="preserve"> מציין</w:t>
      </w:r>
      <w:bookmarkStart w:id="3664" w:name="_fnr2735"/>
      <w:r>
        <w:rPr>
          <w:rStyle w:val="a5"/>
        </w:rPr>
        <w:footnoteReference w:id="2742" w:customMarkFollows="0"/>
      </w:r>
      <w:bookmarkEnd w:id="3664"/>
      <w:r>
        <w:rPr>
          <w:rtl/>
        </w:rPr>
        <w:t xml:space="preserve"> כי ר׳ אלחנן שב וסיפר את הסיפור “בפורים בלבד, משום שבפורים הושלמה סוף סוף הוצאת הדיבוק”; כי</w:t>
      </w:r>
      <w:bookmarkStart w:id="3665" w:name="_fnr2736"/>
      <w:r>
        <w:rPr>
          <w:rStyle w:val="a5"/>
        </w:rPr>
        <w:footnoteReference w:id="2743" w:customMarkFollows="0"/>
      </w:r>
      <w:bookmarkEnd w:id="3665"/>
      <w:r>
        <w:rPr>
          <w:rtl/>
        </w:rPr>
        <w:t xml:space="preserve"> תרצ״ב הייתה השנה האחרונה שבה אמר ר׳ אלחנן את הקדיש השנתי לעילוי נשמתה של הרוח האובדת (“איש לא פקפק בכך שהנשמה מצאה </w:t>
      </w:r>
      <w:r>
        <w:rPr>
          <w:rtl/>
        </w:rPr>
        <w:lastRenderedPageBreak/>
        <w:t>סוף סוף מנוחת עולמים וחזרה לחיק [כך במקור] בוראה”); וכי</w:t>
      </w:r>
      <w:bookmarkStart w:id="3666" w:name="_fnr2737"/>
      <w:r>
        <w:rPr>
          <w:rStyle w:val="a5"/>
        </w:rPr>
        <w:footnoteReference w:id="2744" w:customMarkFollows="0"/>
      </w:r>
      <w:bookmarkEnd w:id="3666"/>
      <w:r>
        <w:rPr>
          <w:rtl/>
        </w:rPr>
        <w:t xml:space="preserve"> ר׳ אלחנן לא סיפר את הסיפור שוב לאחר אותה שנה. הרב </w:t>
      </w:r>
      <w:proofErr w:type="spellStart"/>
      <w:r>
        <w:rPr>
          <w:rtl/>
        </w:rPr>
        <w:t>קצמן</w:t>
      </w:r>
      <w:proofErr w:type="spellEnd"/>
      <w:r>
        <w:rPr>
          <w:rtl/>
        </w:rPr>
        <w:t xml:space="preserve"> אינו נותן טעם להפסקה, אבל ייתכן מאוד שר׳ אלחנן החליט שאין עוד טעם לספר את הסיפור משעה </w:t>
      </w:r>
      <w:proofErr w:type="spellStart"/>
      <w:r>
        <w:rPr>
          <w:rtl/>
        </w:rPr>
        <w:t>שהחפץ־חיים</w:t>
      </w:r>
      <w:proofErr w:type="spellEnd"/>
      <w:r>
        <w:rPr>
          <w:rtl/>
        </w:rPr>
        <w:t xml:space="preserve"> חדל לתפקד בשנת חייו האחרונה.</w:t>
      </w:r>
      <w:bookmarkStart w:id="3667" w:name="_fnr2738"/>
      <w:r>
        <w:rPr>
          <w:rStyle w:val="a5"/>
        </w:rPr>
        <w:footnoteReference w:id="2745" w:customMarkFollows="0"/>
      </w:r>
      <w:bookmarkEnd w:id="3667"/>
      <w:r>
        <w:rPr>
          <w:rtl/>
        </w:rPr>
        <w:t xml:space="preserve"> הרי ר׳ אלחנן זקף את כל זכות הוצאת הדיבוק לרבו </w:t>
      </w:r>
      <w:proofErr w:type="spellStart"/>
      <w:r>
        <w:rPr>
          <w:rtl/>
        </w:rPr>
        <w:t>החפץ־חיים</w:t>
      </w:r>
      <w:proofErr w:type="spellEnd"/>
      <w:r>
        <w:rPr>
          <w:rtl/>
        </w:rPr>
        <w:t xml:space="preserve">, למרות </w:t>
      </w:r>
      <w:proofErr w:type="spellStart"/>
      <w:r>
        <w:rPr>
          <w:rtl/>
        </w:rPr>
        <w:t>ה“עובדה</w:t>
      </w:r>
      <w:proofErr w:type="spellEnd"/>
      <w:r>
        <w:rPr>
          <w:rtl/>
        </w:rPr>
        <w:t xml:space="preserve">” שהוא, ולא </w:t>
      </w:r>
      <w:proofErr w:type="spellStart"/>
      <w:r>
        <w:rPr>
          <w:rtl/>
        </w:rPr>
        <w:t>החפץ־חיים</w:t>
      </w:r>
      <w:proofErr w:type="spellEnd"/>
      <w:r>
        <w:rPr>
          <w:rtl/>
        </w:rPr>
        <w:t xml:space="preserve">, עסק בדיבוק כל הזמן. ר׳ אלחנן היה מסיים את סיפורו במילים “מכאן יכולים אנו ללמוד עד כמה גדולה קדושתו של </w:t>
      </w:r>
      <w:proofErr w:type="spellStart"/>
      <w:r>
        <w:rPr>
          <w:rtl/>
        </w:rPr>
        <w:t>החפץ־חיים</w:t>
      </w:r>
      <w:proofErr w:type="spellEnd"/>
      <w:r>
        <w:rPr>
          <w:rtl/>
        </w:rPr>
        <w:t>”,</w:t>
      </w:r>
      <w:bookmarkStart w:id="3668" w:name="_fnr2739"/>
      <w:r>
        <w:rPr>
          <w:rStyle w:val="a5"/>
        </w:rPr>
        <w:footnoteReference w:id="2746" w:customMarkFollows="0"/>
      </w:r>
      <w:bookmarkEnd w:id="3668"/>
      <w:r>
        <w:rPr>
          <w:rtl/>
        </w:rPr>
        <w:t xml:space="preserve"> והרב וסרמן אמר</w:t>
      </w:r>
      <w:bookmarkStart w:id="3669" w:name="_fnr2740"/>
      <w:r>
        <w:rPr>
          <w:rStyle w:val="a5"/>
        </w:rPr>
        <w:footnoteReference w:id="2747" w:customMarkFollows="0"/>
      </w:r>
      <w:bookmarkEnd w:id="3669"/>
      <w:r>
        <w:rPr>
          <w:rtl/>
        </w:rPr>
        <w:t xml:space="preserve"> </w:t>
      </w:r>
      <w:proofErr w:type="spellStart"/>
      <w:r>
        <w:rPr>
          <w:rtl/>
        </w:rPr>
        <w:t>לר</w:t>
      </w:r>
      <w:proofErr w:type="spellEnd"/>
      <w:r>
        <w:rPr>
          <w:rtl/>
        </w:rPr>
        <w:t xml:space="preserve">׳ מנדל זקס, חתנו של </w:t>
      </w:r>
      <w:proofErr w:type="spellStart"/>
      <w:r>
        <w:rPr>
          <w:rtl/>
        </w:rPr>
        <w:t>החפץ־חיים</w:t>
      </w:r>
      <w:proofErr w:type="spellEnd"/>
      <w:r>
        <w:rPr>
          <w:rtl/>
        </w:rPr>
        <w:t>, שלא קיבל תשובה כששאל את חותנו על הוצאת הדיבוק,</w:t>
      </w:r>
      <w:bookmarkStart w:id="3670" w:name="_fnr2741"/>
      <w:bookmarkStart w:id="3671" w:name="pr_f_2638"/>
      <w:r>
        <w:rPr>
          <w:rStyle w:val="a5"/>
        </w:rPr>
        <w:footnoteReference w:id="2748" w:customMarkFollows="0"/>
      </w:r>
      <w:bookmarkEnd w:id="3670"/>
      <w:bookmarkEnd w:id="3671"/>
      <w:r>
        <w:rPr>
          <w:rtl/>
        </w:rPr>
        <w:t xml:space="preserve"> שהחכם “מחפש דרכים להסתיר את קדושתו </w:t>
      </w:r>
      <w:proofErr w:type="spellStart"/>
      <w:r>
        <w:rPr>
          <w:rtl/>
        </w:rPr>
        <w:t>וטהרתו</w:t>
      </w:r>
      <w:proofErr w:type="spellEnd"/>
      <w:r>
        <w:rPr>
          <w:rtl/>
        </w:rPr>
        <w:t>”.</w:t>
      </w:r>
      <w:bookmarkStart w:id="3672" w:name="_fnr2742"/>
      <w:r>
        <w:rPr>
          <w:rStyle w:val="a5"/>
        </w:rPr>
        <w:footnoteReference w:id="2749" w:customMarkFollows="0"/>
      </w:r>
      <w:bookmarkEnd w:id="3672"/>
    </w:p>
    <w:p w14:paraId="36D5A524" w14:textId="77777777" w:rsidR="00AB3647" w:rsidRDefault="00000000" w:rsidP="007923E9">
      <w:pPr>
        <w:spacing w:after="120" w:line="276" w:lineRule="auto"/>
        <w:ind w:firstLine="283"/>
        <w:jc w:val="both"/>
      </w:pPr>
      <w:r>
        <w:rPr>
          <w:rtl/>
        </w:rPr>
        <w:t xml:space="preserve">וייתכן שיש טעם נוסף לכך שר׳ אלחנן חדל לספר את סיפור הדיבוק בזמן שחדל, והוא קשור בדיווחו של ר׳ ישראל </w:t>
      </w:r>
      <w:proofErr w:type="spellStart"/>
      <w:r>
        <w:rPr>
          <w:rtl/>
        </w:rPr>
        <w:t>צ׳צ׳יק</w:t>
      </w:r>
      <w:proofErr w:type="spellEnd"/>
      <w:r>
        <w:rPr>
          <w:rtl/>
        </w:rPr>
        <w:t>.</w:t>
      </w:r>
      <w:bookmarkStart w:id="3673" w:name="_fnr2743"/>
      <w:r>
        <w:rPr>
          <w:rStyle w:val="a5"/>
        </w:rPr>
        <w:footnoteReference w:id="2750" w:customMarkFollows="0"/>
      </w:r>
      <w:bookmarkEnd w:id="3673"/>
      <w:r>
        <w:rPr>
          <w:rtl/>
        </w:rPr>
        <w:t xml:space="preserve"> אחיו המנוח ר׳ משה, שלמד </w:t>
      </w:r>
      <w:proofErr w:type="spellStart"/>
      <w:r>
        <w:rPr>
          <w:rtl/>
        </w:rPr>
        <w:t>בראדין</w:t>
      </w:r>
      <w:proofErr w:type="spellEnd"/>
      <w:r>
        <w:rPr>
          <w:rtl/>
        </w:rPr>
        <w:t xml:space="preserve"> </w:t>
      </w:r>
      <w:proofErr w:type="spellStart"/>
      <w:r>
        <w:rPr>
          <w:rtl/>
        </w:rPr>
        <w:t>מתרפ״ט</w:t>
      </w:r>
      <w:proofErr w:type="spellEnd"/>
      <w:r>
        <w:rPr>
          <w:rtl/>
        </w:rPr>
        <w:t xml:space="preserve"> ועד תרצ״ה, סיפר לו שבפורים אחד – לא זכר באיזו שנה – ביקשו כמה בחורים </w:t>
      </w:r>
      <w:proofErr w:type="spellStart"/>
      <w:r>
        <w:rPr>
          <w:rtl/>
        </w:rPr>
        <w:t>מהחפץ־חיים</w:t>
      </w:r>
      <w:proofErr w:type="spellEnd"/>
      <w:r>
        <w:rPr>
          <w:rtl/>
        </w:rPr>
        <w:t xml:space="preserve"> לספר להם את סיפור הדיבוק “כדי שתעלה [רמת] הרוחניות [שלהם]”. הוא סירב ואמר: “המנוף הדרוש להעלאת הרוחניות מצוי דיו בהוראות התורה”. אולי הובאה תשובת </w:t>
      </w:r>
      <w:proofErr w:type="spellStart"/>
      <w:r>
        <w:rPr>
          <w:rtl/>
        </w:rPr>
        <w:t>החפץ־חיים</w:t>
      </w:r>
      <w:proofErr w:type="spellEnd"/>
      <w:r>
        <w:rPr>
          <w:rtl/>
        </w:rPr>
        <w:t xml:space="preserve"> לידיעתו של ר׳ אלחנן, והוא החליט לאמץ את איפוקו של רבו. ואף ייתכן שמעשה </w:t>
      </w:r>
      <w:proofErr w:type="spellStart"/>
      <w:r>
        <w:rPr>
          <w:rtl/>
        </w:rPr>
        <w:t>צ׳צ׳יק</w:t>
      </w:r>
      <w:proofErr w:type="spellEnd"/>
      <w:r>
        <w:rPr>
          <w:rtl/>
        </w:rPr>
        <w:t xml:space="preserve"> התרחש בפורים תרצ״ב, ור׳ אלחנן שמע עליו במהלך השנה שלאחר מכן, ולכן לא חזר על הסיפור בפורים הבא, כפי שמדווח הרב </w:t>
      </w:r>
      <w:proofErr w:type="spellStart"/>
      <w:r>
        <w:rPr>
          <w:rtl/>
        </w:rPr>
        <w:t>קצמן</w:t>
      </w:r>
      <w:proofErr w:type="spellEnd"/>
      <w:r>
        <w:rPr>
          <w:rtl/>
        </w:rPr>
        <w:t>.</w:t>
      </w:r>
      <w:bookmarkStart w:id="3674" w:name="_fnr2744"/>
      <w:r>
        <w:rPr>
          <w:rStyle w:val="a5"/>
        </w:rPr>
        <w:footnoteReference w:id="2751" w:customMarkFollows="0"/>
      </w:r>
      <w:bookmarkEnd w:id="3674"/>
    </w:p>
    <w:p w14:paraId="3D2D3038" w14:textId="77777777" w:rsidR="00AB3647" w:rsidRDefault="00000000" w:rsidP="007923E9">
      <w:pPr>
        <w:spacing w:after="120" w:line="276" w:lineRule="auto"/>
        <w:ind w:firstLine="283"/>
        <w:jc w:val="both"/>
      </w:pPr>
      <w:r>
        <w:rPr>
          <w:rtl/>
        </w:rPr>
        <w:t xml:space="preserve">ודאי שבני משפחתו של </w:t>
      </w:r>
      <w:proofErr w:type="spellStart"/>
      <w:r>
        <w:rPr>
          <w:rtl/>
        </w:rPr>
        <w:t>החפץ־חיים</w:t>
      </w:r>
      <w:proofErr w:type="spellEnd"/>
      <w:r>
        <w:rPr>
          <w:rtl/>
        </w:rPr>
        <w:t xml:space="preserve"> ביטלו את סיפור הדיבוק כולו. שוחחתי עם צאצאים בני זמננו</w:t>
      </w:r>
      <w:bookmarkStart w:id="3675" w:name="_fnr2745"/>
      <w:r>
        <w:rPr>
          <w:rStyle w:val="a5"/>
        </w:rPr>
        <w:footnoteReference w:id="2752" w:customMarkFollows="0"/>
      </w:r>
      <w:bookmarkEnd w:id="3675"/>
      <w:r>
        <w:rPr>
          <w:rtl/>
        </w:rPr>
        <w:t xml:space="preserve"> המפקפקים </w:t>
      </w:r>
      <w:proofErr w:type="spellStart"/>
      <w:r>
        <w:rPr>
          <w:rtl/>
        </w:rPr>
        <w:t>באמיתותו</w:t>
      </w:r>
      <w:proofErr w:type="spellEnd"/>
      <w:r>
        <w:rPr>
          <w:rtl/>
        </w:rPr>
        <w:t xml:space="preserve">. ר׳ שלמה פישר דיווח כי מחותנו המנוח ר׳ הירש זקס, נכדו של </w:t>
      </w:r>
      <w:proofErr w:type="spellStart"/>
      <w:r>
        <w:rPr>
          <w:rtl/>
        </w:rPr>
        <w:t>החפץ־חיים</w:t>
      </w:r>
      <w:proofErr w:type="spellEnd"/>
      <w:r>
        <w:rPr>
          <w:rtl/>
        </w:rPr>
        <w:t>,</w:t>
      </w:r>
      <w:bookmarkStart w:id="3676" w:name="_fnr2746"/>
      <w:r>
        <w:rPr>
          <w:rStyle w:val="a5"/>
        </w:rPr>
        <w:footnoteReference w:id="2753" w:customMarkFollows="0"/>
      </w:r>
      <w:bookmarkEnd w:id="3676"/>
      <w:r>
        <w:rPr>
          <w:rtl/>
        </w:rPr>
        <w:t xml:space="preserve"> ביטל את הסיפור. ר׳ דוד </w:t>
      </w:r>
      <w:proofErr w:type="spellStart"/>
      <w:r>
        <w:rPr>
          <w:rtl/>
        </w:rPr>
        <w:t>מוסטופסקי</w:t>
      </w:r>
      <w:proofErr w:type="spellEnd"/>
      <w:r>
        <w:rPr>
          <w:rtl/>
        </w:rPr>
        <w:t xml:space="preserve"> גילה</w:t>
      </w:r>
      <w:bookmarkStart w:id="3677" w:name="_fnr2747"/>
      <w:r>
        <w:rPr>
          <w:rStyle w:val="a5"/>
        </w:rPr>
        <w:footnoteReference w:id="2754" w:customMarkFollows="0"/>
      </w:r>
      <w:bookmarkEnd w:id="3677"/>
      <w:r>
        <w:rPr>
          <w:rtl/>
        </w:rPr>
        <w:t xml:space="preserve"> כי ר׳ מנדל זקס, הבוחן </w:t>
      </w:r>
      <w:r>
        <w:rPr>
          <w:rtl/>
        </w:rPr>
        <w:lastRenderedPageBreak/>
        <w:t xml:space="preserve">בישיבה שבה למד, ישיבת רבנו יצחק אלחנן, לעג לסיפור. ר׳ </w:t>
      </w:r>
      <w:proofErr w:type="spellStart"/>
      <w:r>
        <w:rPr>
          <w:rtl/>
        </w:rPr>
        <w:t>בן־ציון</w:t>
      </w:r>
      <w:proofErr w:type="spellEnd"/>
      <w:r>
        <w:rPr>
          <w:rtl/>
        </w:rPr>
        <w:t xml:space="preserve"> סובל מסר</w:t>
      </w:r>
      <w:bookmarkStart w:id="3678" w:name="_fnr2748"/>
      <w:r>
        <w:rPr>
          <w:rStyle w:val="a5"/>
        </w:rPr>
        <w:footnoteReference w:id="2755" w:customMarkFollows="0"/>
      </w:r>
      <w:bookmarkEnd w:id="3678"/>
      <w:r>
        <w:rPr>
          <w:rtl/>
        </w:rPr>
        <w:t xml:space="preserve"> כי ר׳ רפאל ולרשטיין, “מי שהיה מקורב מאוד </w:t>
      </w:r>
      <w:proofErr w:type="spellStart"/>
      <w:r>
        <w:rPr>
          <w:rtl/>
        </w:rPr>
        <w:t>לר</w:t>
      </w:r>
      <w:proofErr w:type="spellEnd"/>
      <w:r>
        <w:rPr>
          <w:rtl/>
        </w:rPr>
        <w:t xml:space="preserve">׳ מנדל זקס”, הודיע לו שר׳ מנדל הכחיש את הסיפור כולו. כשר׳ </w:t>
      </w:r>
      <w:proofErr w:type="spellStart"/>
      <w:r>
        <w:rPr>
          <w:rtl/>
        </w:rPr>
        <w:t>בן־ציון</w:t>
      </w:r>
      <w:proofErr w:type="spellEnd"/>
      <w:r>
        <w:rPr>
          <w:rtl/>
        </w:rPr>
        <w:t xml:space="preserve"> שאל את ר׳ מנדל במישרין אם הסיפור התרחש באמת, השיב לו: “מי הוא כביכול שסיפר את הסיפור?” וכשהשיב ר׳ </w:t>
      </w:r>
      <w:proofErr w:type="spellStart"/>
      <w:r>
        <w:rPr>
          <w:rtl/>
        </w:rPr>
        <w:t>בן־ציון</w:t>
      </w:r>
      <w:proofErr w:type="spellEnd"/>
      <w:r>
        <w:rPr>
          <w:rtl/>
        </w:rPr>
        <w:t xml:space="preserve"> “ר׳ אלחנן”, הרב זקס פשוט שתק. מכאן שאף שהכחיש את הסיפור, לא רצה ר׳ מנדל להתעמת במישרין עם ר׳ אלחנן.</w:t>
      </w:r>
    </w:p>
    <w:p w14:paraId="099F9B87" w14:textId="77777777" w:rsidR="00AB3647" w:rsidRDefault="00000000" w:rsidP="007923E9">
      <w:pPr>
        <w:spacing w:after="120" w:line="276" w:lineRule="auto"/>
        <w:ind w:firstLine="283"/>
        <w:jc w:val="both"/>
      </w:pPr>
      <w:r>
        <w:rPr>
          <w:rtl/>
        </w:rPr>
        <w:t xml:space="preserve">בנו הבכור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proofErr w:type="spellEnd"/>
      <w:r>
        <w:rPr>
          <w:rtl/>
        </w:rPr>
        <w:t>, הדפיס מחדש בספרו “כל כתבי החפץ חיים”</w:t>
      </w:r>
      <w:bookmarkStart w:id="3679" w:name="_fnr2749"/>
      <w:r>
        <w:rPr>
          <w:rStyle w:val="a5"/>
        </w:rPr>
        <w:footnoteReference w:id="2756" w:customMarkFollows="0"/>
      </w:r>
      <w:bookmarkEnd w:id="3679"/>
      <w:r>
        <w:rPr>
          <w:rtl/>
        </w:rPr>
        <w:t xml:space="preserve"> מאמר שהתפרסם בעיתון “הדרך” חודש לאחר פטירת אביו. את המאמר כתב, בשם העט “מחר הלוי”, אדם שהעיד על עצמו שהיה “מקורב לבית </w:t>
      </w:r>
      <w:proofErr w:type="spellStart"/>
      <w:r>
        <w:rPr>
          <w:rtl/>
        </w:rPr>
        <w:t>החפץ־חיים</w:t>
      </w:r>
      <w:proofErr w:type="spellEnd"/>
      <w:r>
        <w:rPr>
          <w:rtl/>
        </w:rPr>
        <w:t xml:space="preserve">”. הרב </w:t>
      </w:r>
      <w:proofErr w:type="spellStart"/>
      <w:r>
        <w:rPr>
          <w:rtl/>
        </w:rPr>
        <w:t>פופקו</w:t>
      </w:r>
      <w:proofErr w:type="spellEnd"/>
      <w:r>
        <w:rPr>
          <w:rtl/>
        </w:rPr>
        <w:t xml:space="preserve"> מקדים למאמר דברי שבח: “הדברים והתיאורים [שבמאמר] אינם מוגזמים. הם </w:t>
      </w:r>
      <w:r>
        <w:rPr>
          <w:b/>
          <w:bCs/>
          <w:rtl/>
        </w:rPr>
        <w:t>נעלה ונשגב</w:t>
      </w:r>
      <w:r>
        <w:rPr>
          <w:rtl/>
        </w:rPr>
        <w:t>, והם אמת”. בין השאר מספר המאמר</w:t>
      </w:r>
      <w:bookmarkStart w:id="3680" w:name="_fnr2750"/>
      <w:r>
        <w:rPr>
          <w:rStyle w:val="a5"/>
        </w:rPr>
        <w:footnoteReference w:id="2757" w:customMarkFollows="0"/>
      </w:r>
      <w:bookmarkEnd w:id="3680"/>
      <w:r>
        <w:rPr>
          <w:rtl/>
        </w:rPr>
        <w:t xml:space="preserve">: “השקפתו של </w:t>
      </w:r>
      <w:proofErr w:type="spellStart"/>
      <w:r>
        <w:rPr>
          <w:rtl/>
        </w:rPr>
        <w:t>החפץ־חיים</w:t>
      </w:r>
      <w:proofErr w:type="spellEnd"/>
      <w:r>
        <w:rPr>
          <w:rtl/>
        </w:rPr>
        <w:t xml:space="preserve"> הייתה רציונלית בעליל, בלי ערפול מיסטי </w:t>
      </w:r>
      <w:proofErr w:type="spellStart"/>
      <w:r>
        <w:rPr>
          <w:rtl/>
        </w:rPr>
        <w:t>ו‘השתלבות</w:t>
      </w:r>
      <w:proofErr w:type="spellEnd"/>
      <w:r>
        <w:rPr>
          <w:rtl/>
        </w:rPr>
        <w:t xml:space="preserve"> על </w:t>
      </w:r>
      <w:proofErr w:type="spellStart"/>
      <w:r>
        <w:rPr>
          <w:rtl/>
        </w:rPr>
        <w:t>סולמים</w:t>
      </w:r>
      <w:proofErr w:type="spellEnd"/>
      <w:r>
        <w:rPr>
          <w:rtl/>
        </w:rPr>
        <w:t>’ [טיפוס על סולמות]</w:t>
      </w:r>
      <w:bookmarkStart w:id="3681" w:name="_fnr2751"/>
      <w:r>
        <w:rPr>
          <w:rStyle w:val="a5"/>
        </w:rPr>
        <w:footnoteReference w:id="2758" w:customMarkFollows="0"/>
      </w:r>
      <w:bookmarkEnd w:id="3681"/>
      <w:r>
        <w:rPr>
          <w:rtl/>
        </w:rPr>
        <w:t xml:space="preserve">, בלי אשליות, בלי אמונות טפלות. מספרים כיצד יהודים כואבים ושבורים הביאו לפניו נערה צעירה שקראה כתרנגול והשמיעה קולות משונים. ‘רבנו הקדוש’, זעקו היהודים בבכי והתחננו לפניו, ‘הושיעה לנו! דיבוק נכנס בנערה – רחמנא ליצלן – ואתה, רבנו, חייב לגרשו מתוכה’. </w:t>
      </w:r>
      <w:proofErr w:type="spellStart"/>
      <w:r>
        <w:rPr>
          <w:rtl/>
        </w:rPr>
        <w:t>החפץ־חיים</w:t>
      </w:r>
      <w:proofErr w:type="spellEnd"/>
      <w:r>
        <w:rPr>
          <w:rtl/>
        </w:rPr>
        <w:t xml:space="preserve"> השתתף בצערם, ניחם אותם, דיבר על לבם: ‘אין זה דיבוק’, אמר. ‘זו מעין מחלה. לכו אל הרופא – הוא יהיה שליחו של הקדוש ברוך הוא וירפא אותה...’” ברור מן ההקשר </w:t>
      </w:r>
      <w:proofErr w:type="spellStart"/>
      <w:r>
        <w:rPr>
          <w:rtl/>
        </w:rPr>
        <w:t>ש“מחר</w:t>
      </w:r>
      <w:proofErr w:type="spellEnd"/>
      <w:r>
        <w:rPr>
          <w:rtl/>
        </w:rPr>
        <w:t xml:space="preserve"> הלוי” שלל את כל סיפורי הנסתר הנוגעים </w:t>
      </w:r>
      <w:proofErr w:type="spellStart"/>
      <w:r>
        <w:rPr>
          <w:rtl/>
        </w:rPr>
        <w:t>לחפץ־חיים</w:t>
      </w:r>
      <w:proofErr w:type="spellEnd"/>
      <w:r>
        <w:rPr>
          <w:rtl/>
        </w:rPr>
        <w:t xml:space="preserve">, ומהסכמתו של הרב </w:t>
      </w:r>
      <w:proofErr w:type="spellStart"/>
      <w:r>
        <w:rPr>
          <w:rtl/>
        </w:rPr>
        <w:t>פופקו</w:t>
      </w:r>
      <w:proofErr w:type="spellEnd"/>
      <w:r>
        <w:rPr>
          <w:rtl/>
        </w:rPr>
        <w:t xml:space="preserve"> ברור שהסכים עמו.</w:t>
      </w:r>
    </w:p>
    <w:p w14:paraId="4B1E52F3" w14:textId="77777777" w:rsidR="00AB3647" w:rsidRDefault="00000000" w:rsidP="007923E9">
      <w:pPr>
        <w:spacing w:after="120" w:line="276" w:lineRule="auto"/>
        <w:ind w:firstLine="283"/>
        <w:jc w:val="both"/>
      </w:pPr>
      <w:r>
        <w:rPr>
          <w:rtl/>
        </w:rPr>
        <w:t xml:space="preserve">ר׳ שלמה </w:t>
      </w:r>
      <w:proofErr w:type="spellStart"/>
      <w:r>
        <w:rPr>
          <w:rtl/>
        </w:rPr>
        <w:t>וולבה</w:t>
      </w:r>
      <w:proofErr w:type="spellEnd"/>
      <w:r>
        <w:rPr>
          <w:rtl/>
        </w:rPr>
        <w:t xml:space="preserve"> סיפר</w:t>
      </w:r>
      <w:bookmarkStart w:id="3682" w:name="_fnr2752"/>
      <w:r>
        <w:rPr>
          <w:rStyle w:val="a5"/>
        </w:rPr>
        <w:footnoteReference w:id="2759" w:customMarkFollows="0"/>
      </w:r>
      <w:bookmarkEnd w:id="3682"/>
      <w:r>
        <w:rPr>
          <w:rtl/>
        </w:rPr>
        <w:t xml:space="preserve"> שר׳ ירוחם </w:t>
      </w:r>
      <w:proofErr w:type="spellStart"/>
      <w:r>
        <w:rPr>
          <w:rtl/>
        </w:rPr>
        <w:t>ליבוביץ</w:t>
      </w:r>
      <w:proofErr w:type="spellEnd"/>
      <w:r>
        <w:rPr>
          <w:rtl/>
        </w:rPr>
        <w:t xml:space="preserve">, המשגיח של </w:t>
      </w:r>
      <w:proofErr w:type="spellStart"/>
      <w:r>
        <w:rPr>
          <w:rtl/>
        </w:rPr>
        <w:t>מיר</w:t>
      </w:r>
      <w:proofErr w:type="spellEnd"/>
      <w:r>
        <w:rPr>
          <w:rtl/>
        </w:rPr>
        <w:t>, שהיה שותף בסיפור הדיבוק</w:t>
      </w:r>
      <w:bookmarkStart w:id="3683" w:name="_fnr2753"/>
      <w:r>
        <w:rPr>
          <w:rStyle w:val="a5"/>
        </w:rPr>
        <w:footnoteReference w:id="2760" w:customMarkFollows="0"/>
      </w:r>
      <w:bookmarkEnd w:id="3683"/>
      <w:r>
        <w:rPr>
          <w:rtl/>
        </w:rPr>
        <w:t>, סבר שלא דיבוק נכנס בנערה הצעירה, אלא שהיא סבלה ממחלת נפש</w:t>
      </w:r>
      <w:bookmarkStart w:id="3684" w:name="_fnr2754"/>
      <w:r>
        <w:rPr>
          <w:rStyle w:val="a5"/>
        </w:rPr>
        <w:footnoteReference w:id="2761" w:customMarkFollows="0"/>
      </w:r>
      <w:bookmarkEnd w:id="3684"/>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רב </w:t>
      </w:r>
      <w:proofErr w:type="spellStart"/>
      <w:r>
        <w:rPr>
          <w:rtl/>
        </w:rPr>
        <w:t>פוניבז</w:t>
      </w:r>
      <w:proofErr w:type="spellEnd"/>
      <w:r>
        <w:rPr>
          <w:rtl/>
        </w:rPr>
        <w:t>׳, שהיה אחד מן המשתתפים בשיחה עם הנערה</w:t>
      </w:r>
      <w:bookmarkStart w:id="3685" w:name="_fnr2755"/>
      <w:r>
        <w:rPr>
          <w:rStyle w:val="a5"/>
        </w:rPr>
        <w:footnoteReference w:id="2762" w:customMarkFollows="0"/>
      </w:r>
      <w:bookmarkEnd w:id="3685"/>
      <w:r>
        <w:rPr>
          <w:rtl/>
        </w:rPr>
        <w:t xml:space="preserve">, אמר לתלמידו המקורב בלונדון ר׳ יעקב </w:t>
      </w:r>
      <w:proofErr w:type="spellStart"/>
      <w:r>
        <w:rPr>
          <w:rtl/>
        </w:rPr>
        <w:t>לויסון</w:t>
      </w:r>
      <w:proofErr w:type="spellEnd"/>
      <w:r>
        <w:rPr>
          <w:rtl/>
        </w:rPr>
        <w:t xml:space="preserve"> שהיא – “בתו של ר׳ נחום </w:t>
      </w:r>
      <w:proofErr w:type="spellStart"/>
      <w:r>
        <w:rPr>
          <w:rtl/>
        </w:rPr>
        <w:t>סטרלצר</w:t>
      </w:r>
      <w:proofErr w:type="spellEnd"/>
      <w:r>
        <w:rPr>
          <w:rtl/>
        </w:rPr>
        <w:t xml:space="preserve"> מן הכפר הפולני הקטן </w:t>
      </w:r>
      <w:proofErr w:type="spellStart"/>
      <w:r>
        <w:rPr>
          <w:rtl/>
        </w:rPr>
        <w:t>פסקולי</w:t>
      </w:r>
      <w:proofErr w:type="spellEnd"/>
      <w:r>
        <w:rPr>
          <w:rtl/>
        </w:rPr>
        <w:t xml:space="preserve">” – השתמשה בלשון גסה בשעת ההתקף, ועובדה זו מעידה שלא “נכנס” בה יצור רוחני. רב </w:t>
      </w:r>
      <w:proofErr w:type="spellStart"/>
      <w:r>
        <w:rPr>
          <w:rtl/>
        </w:rPr>
        <w:t>פוניבז</w:t>
      </w:r>
      <w:proofErr w:type="spellEnd"/>
      <w:r>
        <w:rPr>
          <w:rtl/>
        </w:rPr>
        <w:t xml:space="preserve">׳ הוסיף שנראה אפשרי שרוח תשמיע דברי כפירה וגידוף, עניינים בעלי אופי פילוסופי, אך לא ניבול פה. ר׳ </w:t>
      </w:r>
      <w:proofErr w:type="spellStart"/>
      <w:r>
        <w:rPr>
          <w:rtl/>
        </w:rPr>
        <w:t>יוסף־שלמה</w:t>
      </w:r>
      <w:proofErr w:type="spellEnd"/>
      <w:r>
        <w:rPr>
          <w:rtl/>
        </w:rPr>
        <w:t xml:space="preserve"> טען </w:t>
      </w:r>
      <w:proofErr w:type="spellStart"/>
      <w:r>
        <w:rPr>
          <w:rtl/>
        </w:rPr>
        <w:t>שהחפץ־חיים</w:t>
      </w:r>
      <w:proofErr w:type="spellEnd"/>
      <w:r>
        <w:rPr>
          <w:rtl/>
        </w:rPr>
        <w:t xml:space="preserve"> חייך בהסכמה כשנאמרה דעה זו, ובכך יצר את הרושם שגם הרב לא האמין שדיבוק השתלט על הצעירה</w:t>
      </w:r>
      <w:bookmarkStart w:id="3686" w:name="_fnr2756"/>
      <w:r>
        <w:rPr>
          <w:rStyle w:val="a5"/>
        </w:rPr>
        <w:footnoteReference w:id="2763" w:customMarkFollows="0"/>
      </w:r>
      <w:bookmarkEnd w:id="3686"/>
      <w:r>
        <w:rPr>
          <w:rtl/>
        </w:rPr>
        <w:t xml:space="preserve">. לדעת ר׳ </w:t>
      </w:r>
      <w:proofErr w:type="spellStart"/>
      <w:r>
        <w:rPr>
          <w:rtl/>
        </w:rPr>
        <w:t>יוסף־</w:t>
      </w:r>
      <w:r>
        <w:rPr>
          <w:rtl/>
        </w:rPr>
        <w:lastRenderedPageBreak/>
        <w:t>שלמה</w:t>
      </w:r>
      <w:proofErr w:type="spellEnd"/>
      <w:r>
        <w:rPr>
          <w:rtl/>
        </w:rPr>
        <w:t xml:space="preserve"> </w:t>
      </w:r>
      <w:proofErr w:type="spellStart"/>
      <w:r>
        <w:rPr>
          <w:rtl/>
        </w:rPr>
        <w:t>כהנמן</w:t>
      </w:r>
      <w:proofErr w:type="spellEnd"/>
      <w:r>
        <w:rPr>
          <w:rtl/>
        </w:rPr>
        <w:t xml:space="preserve">, </w:t>
      </w:r>
      <w:proofErr w:type="spellStart"/>
      <w:r>
        <w:rPr>
          <w:rtl/>
        </w:rPr>
        <w:t>החפץ־חיים</w:t>
      </w:r>
      <w:proofErr w:type="spellEnd"/>
      <w:r>
        <w:rPr>
          <w:rtl/>
        </w:rPr>
        <w:t xml:space="preserve"> לא הכריז בגלוי שאין בנערה דיבוק אלא מצב נפשי, כדי שלא להכתים את שמה הטוב של הצעירה ושל כל משפחת </w:t>
      </w:r>
      <w:proofErr w:type="spellStart"/>
      <w:r>
        <w:rPr>
          <w:rtl/>
        </w:rPr>
        <w:t>סטרלצר</w:t>
      </w:r>
      <w:bookmarkStart w:id="3687" w:name="_fnr2757"/>
      <w:bookmarkStart w:id="3688" w:name="pr_f_2654"/>
      <w:proofErr w:type="spellEnd"/>
      <w:r>
        <w:rPr>
          <w:rStyle w:val="a5"/>
        </w:rPr>
        <w:footnoteReference w:id="2764" w:customMarkFollows="0"/>
      </w:r>
      <w:bookmarkEnd w:id="3687"/>
      <w:bookmarkEnd w:id="3688"/>
      <w:r>
        <w:rPr>
          <w:rtl/>
        </w:rPr>
        <w:t>.</w:t>
      </w:r>
    </w:p>
    <w:p w14:paraId="65610400" w14:textId="77777777" w:rsidR="00AB3647" w:rsidRDefault="00000000" w:rsidP="007923E9">
      <w:pPr>
        <w:spacing w:after="120" w:line="276" w:lineRule="auto"/>
        <w:ind w:firstLine="283"/>
        <w:jc w:val="both"/>
      </w:pPr>
      <w:r>
        <w:rPr>
          <w:rtl/>
        </w:rPr>
        <w:t>בני ר׳ יוסף סיפר</w:t>
      </w:r>
      <w:bookmarkStart w:id="3689" w:name="_fnr2758"/>
      <w:r>
        <w:rPr>
          <w:rStyle w:val="a5"/>
        </w:rPr>
        <w:footnoteReference w:id="2765" w:customMarkFollows="0"/>
      </w:r>
      <w:bookmarkEnd w:id="3689"/>
      <w:r>
        <w:rPr>
          <w:rtl/>
        </w:rPr>
        <w:t xml:space="preserve"> כי לדברי ר׳ נתן </w:t>
      </w:r>
      <w:proofErr w:type="spellStart"/>
      <w:r>
        <w:rPr>
          <w:rtl/>
        </w:rPr>
        <w:t>שולמן</w:t>
      </w:r>
      <w:proofErr w:type="spellEnd"/>
      <w:r>
        <w:rPr>
          <w:rtl/>
        </w:rPr>
        <w:t xml:space="preserve">, ר׳ נפתלי </w:t>
      </w:r>
      <w:proofErr w:type="spellStart"/>
      <w:r>
        <w:rPr>
          <w:rtl/>
        </w:rPr>
        <w:t>טרופ</w:t>
      </w:r>
      <w:proofErr w:type="spellEnd"/>
      <w:r>
        <w:rPr>
          <w:rtl/>
        </w:rPr>
        <w:t xml:space="preserve"> הכחיש את סיפור הדיבוק – אף ששמו נקשר בסיפור.</w:t>
      </w:r>
      <w:bookmarkStart w:id="3690" w:name="_fnr2759"/>
      <w:r>
        <w:rPr>
          <w:rStyle w:val="a5"/>
        </w:rPr>
        <w:footnoteReference w:id="2766" w:customMarkFollows="0"/>
      </w:r>
      <w:bookmarkEnd w:id="3690"/>
      <w:r>
        <w:rPr>
          <w:rtl/>
        </w:rPr>
        <w:t xml:space="preserve"> דודו של ר׳ נתן, ר׳ בנימין </w:t>
      </w:r>
      <w:proofErr w:type="spellStart"/>
      <w:r>
        <w:rPr>
          <w:rtl/>
        </w:rPr>
        <w:t>שולמן</w:t>
      </w:r>
      <w:proofErr w:type="spellEnd"/>
      <w:r>
        <w:rPr>
          <w:rtl/>
        </w:rPr>
        <w:t xml:space="preserve">, שלמד </w:t>
      </w:r>
      <w:proofErr w:type="spellStart"/>
      <w:r>
        <w:rPr>
          <w:rtl/>
        </w:rPr>
        <w:t>בראדין</w:t>
      </w:r>
      <w:proofErr w:type="spellEnd"/>
      <w:r>
        <w:rPr>
          <w:rtl/>
        </w:rPr>
        <w:t xml:space="preserve"> מאמצע שנות </w:t>
      </w:r>
      <w:proofErr w:type="spellStart"/>
      <w:r>
        <w:rPr>
          <w:rtl/>
        </w:rPr>
        <w:t>התר״פ</w:t>
      </w:r>
      <w:proofErr w:type="spellEnd"/>
      <w:r>
        <w:rPr>
          <w:rtl/>
        </w:rPr>
        <w:t xml:space="preserve">, היה נוכח כשאחיינו אמר זאת, והקשה שסיפור הדיבוק היה ידוע לכול בישיבת </w:t>
      </w:r>
      <w:proofErr w:type="spellStart"/>
      <w:r>
        <w:rPr>
          <w:rtl/>
        </w:rPr>
        <w:t>ראדין</w:t>
      </w:r>
      <w:proofErr w:type="spellEnd"/>
      <w:r>
        <w:rPr>
          <w:rtl/>
        </w:rPr>
        <w:t xml:space="preserve"> בימיו. ר׳ נתן השיב בבדיחות הדעת שאין זה המקרה הראשון שבו דודו חולק על דברי ר׳ נפתלי.</w:t>
      </w:r>
    </w:p>
    <w:p w14:paraId="55E35807" w14:textId="77777777" w:rsidR="00AB3647" w:rsidRDefault="00000000" w:rsidP="007923E9">
      <w:pPr>
        <w:spacing w:after="120" w:line="276" w:lineRule="auto"/>
        <w:ind w:firstLine="283"/>
        <w:jc w:val="both"/>
      </w:pPr>
      <w:r>
        <w:rPr>
          <w:rtl/>
        </w:rPr>
        <w:t>השווה גם “ספר מאיר עיני ישראל”,</w:t>
      </w:r>
      <w:bookmarkStart w:id="3691" w:name="_fnr2760"/>
      <w:r>
        <w:rPr>
          <w:rStyle w:val="a5"/>
        </w:rPr>
        <w:footnoteReference w:id="2767" w:customMarkFollows="0"/>
      </w:r>
      <w:bookmarkEnd w:id="3691"/>
      <w:r>
        <w:rPr>
          <w:rtl/>
        </w:rPr>
        <w:t xml:space="preserve"> שבו מדווח תלמיד </w:t>
      </w:r>
      <w:proofErr w:type="spellStart"/>
      <w:r>
        <w:rPr>
          <w:rtl/>
        </w:rPr>
        <w:t>ראדין</w:t>
      </w:r>
      <w:proofErr w:type="spellEnd"/>
      <w:r>
        <w:rPr>
          <w:rtl/>
        </w:rPr>
        <w:t xml:space="preserve"> אחר, ר׳ קלמן פרבר, שהגיע לישיבה מעט אחרי הרב </w:t>
      </w:r>
      <w:proofErr w:type="spellStart"/>
      <w:r>
        <w:rPr>
          <w:rtl/>
        </w:rPr>
        <w:t>שולמן</w:t>
      </w:r>
      <w:proofErr w:type="spellEnd"/>
      <w:r>
        <w:rPr>
          <w:rtl/>
        </w:rPr>
        <w:t>: “[אנשי הישיבה] נמנעו מלדבר על סיפור [הדיבוק] והשתדלו שלא לפרסמו, מפני שחששו שאנשים לא יאמינו בו וילעגו לו”. השווה גם שם,</w:t>
      </w:r>
      <w:bookmarkStart w:id="3692" w:name="_fnr2761"/>
      <w:r>
        <w:rPr>
          <w:rStyle w:val="a5"/>
        </w:rPr>
        <w:footnoteReference w:id="2768" w:customMarkFollows="0"/>
      </w:r>
      <w:bookmarkEnd w:id="3692"/>
      <w:r>
        <w:rPr>
          <w:rtl/>
        </w:rPr>
        <w:t xml:space="preserve"> שם מרחיק לכת בתיאורו תלמיד </w:t>
      </w:r>
      <w:proofErr w:type="spellStart"/>
      <w:r>
        <w:rPr>
          <w:rtl/>
        </w:rPr>
        <w:t>ראדין</w:t>
      </w:r>
      <w:proofErr w:type="spellEnd"/>
      <w:r>
        <w:rPr>
          <w:rtl/>
        </w:rPr>
        <w:t xml:space="preserve"> אחר, שהגיע מאוחר עוד יותר, ר׳ שלמה אפשטיין, שהצטרף לישיבה </w:t>
      </w:r>
      <w:proofErr w:type="spellStart"/>
      <w:r>
        <w:rPr>
          <w:rtl/>
        </w:rPr>
        <w:t>בתר״ץ</w:t>
      </w:r>
      <w:proofErr w:type="spellEnd"/>
      <w:r>
        <w:rPr>
          <w:rtl/>
        </w:rPr>
        <w:t>: “</w:t>
      </w:r>
      <w:proofErr w:type="spellStart"/>
      <w:r>
        <w:rPr>
          <w:rtl/>
        </w:rPr>
        <w:t>החפץ־חיים</w:t>
      </w:r>
      <w:proofErr w:type="spellEnd"/>
      <w:r>
        <w:rPr>
          <w:rtl/>
        </w:rPr>
        <w:t xml:space="preserve"> </w:t>
      </w:r>
      <w:r>
        <w:rPr>
          <w:b/>
          <w:bCs/>
          <w:rtl/>
        </w:rPr>
        <w:t>לא הרשה</w:t>
      </w:r>
      <w:r>
        <w:rPr>
          <w:rtl/>
        </w:rPr>
        <w:t xml:space="preserve"> (ההדגשה שלי) לדבר על סיפור הדיבוק – למעשה, איני זוכר שדיברו עליו בכל הזמן שהייתי בישיבה, ומלבד ר׳ אלחנן וסרמן איש מאיתנו לא ידע את כל פרטיו. </w:t>
      </w:r>
      <w:proofErr w:type="spellStart"/>
      <w:r>
        <w:rPr>
          <w:rtl/>
        </w:rPr>
        <w:t>החפץ־חיים</w:t>
      </w:r>
      <w:proofErr w:type="spellEnd"/>
      <w:r>
        <w:rPr>
          <w:rtl/>
        </w:rPr>
        <w:t xml:space="preserve"> ידע את הסיפור האמיתי, אך לא התיר לדבר עליו”. נראה שעם חלוף הזמן הלך וגבר דיכויו של סיפור הדיבוק </w:t>
      </w:r>
      <w:proofErr w:type="spellStart"/>
      <w:r>
        <w:rPr>
          <w:rtl/>
        </w:rPr>
        <w:t>בראדין</w:t>
      </w:r>
      <w:proofErr w:type="spellEnd"/>
      <w:r>
        <w:rPr>
          <w:rtl/>
        </w:rPr>
        <w:t>.</w:t>
      </w:r>
    </w:p>
    <w:p w14:paraId="0DB4F131" w14:textId="77777777" w:rsidR="00AB3647" w:rsidRDefault="00000000" w:rsidP="007923E9">
      <w:pPr>
        <w:spacing w:after="120" w:line="276" w:lineRule="auto"/>
        <w:ind w:firstLine="283"/>
        <w:jc w:val="both"/>
      </w:pPr>
      <w:r>
        <w:rPr>
          <w:rtl/>
        </w:rPr>
        <w:t xml:space="preserve">אבל ר׳ לייב </w:t>
      </w:r>
      <w:proofErr w:type="spellStart"/>
      <w:r>
        <w:rPr>
          <w:rtl/>
        </w:rPr>
        <w:t>גרוסנס</w:t>
      </w:r>
      <w:proofErr w:type="spellEnd"/>
      <w:r>
        <w:rPr>
          <w:rtl/>
        </w:rPr>
        <w:t xml:space="preserve"> ציין</w:t>
      </w:r>
      <w:bookmarkStart w:id="3693" w:name="_fnr2762"/>
      <w:r>
        <w:rPr>
          <w:rStyle w:val="a5"/>
        </w:rPr>
        <w:footnoteReference w:id="2769" w:customMarkFollows="0"/>
      </w:r>
      <w:bookmarkEnd w:id="3693"/>
      <w:r>
        <w:rPr>
          <w:rtl/>
        </w:rPr>
        <w:t xml:space="preserve"> ששמע את הרב וסרמן מספר את הסיפור </w:t>
      </w:r>
      <w:r>
        <w:rPr>
          <w:b/>
          <w:bCs/>
          <w:rtl/>
        </w:rPr>
        <w:t>בסוכות</w:t>
      </w:r>
      <w:r>
        <w:rPr>
          <w:rtl/>
        </w:rPr>
        <w:t xml:space="preserve"> תרפ״ו – בניגוד לעדותו של הרב </w:t>
      </w:r>
      <w:proofErr w:type="spellStart"/>
      <w:r>
        <w:rPr>
          <w:rtl/>
        </w:rPr>
        <w:t>קצמן</w:t>
      </w:r>
      <w:proofErr w:type="spellEnd"/>
      <w:r>
        <w:rPr>
          <w:rtl/>
        </w:rPr>
        <w:t xml:space="preserve"> שר׳ אלחנן חזר על הסיפור בפורים בלבד.</w:t>
      </w:r>
    </w:p>
    <w:p w14:paraId="7195A6CF" w14:textId="77777777" w:rsidR="00AB3647" w:rsidRDefault="00000000" w:rsidP="007923E9">
      <w:pPr>
        <w:spacing w:after="120" w:line="276" w:lineRule="auto"/>
        <w:ind w:firstLine="283"/>
        <w:jc w:val="both"/>
      </w:pPr>
      <w:r>
        <w:rPr>
          <w:rtl/>
        </w:rPr>
        <w:t xml:space="preserve">הרב </w:t>
      </w:r>
      <w:proofErr w:type="spellStart"/>
      <w:r>
        <w:rPr>
          <w:rtl/>
        </w:rPr>
        <w:t>גרוסנס</w:t>
      </w:r>
      <w:proofErr w:type="spellEnd"/>
      <w:r>
        <w:rPr>
          <w:rtl/>
        </w:rPr>
        <w:t xml:space="preserve"> נולד בלייפציג </w:t>
      </w:r>
      <w:proofErr w:type="spellStart"/>
      <w:r>
        <w:rPr>
          <w:rtl/>
        </w:rPr>
        <w:t>בתרע״א</w:t>
      </w:r>
      <w:proofErr w:type="spellEnd"/>
      <w:r>
        <w:rPr>
          <w:rtl/>
        </w:rPr>
        <w:t xml:space="preserve">, והצטרף לישיבת </w:t>
      </w:r>
      <w:proofErr w:type="spellStart"/>
      <w:r>
        <w:rPr>
          <w:rtl/>
        </w:rPr>
        <w:t>ראדין</w:t>
      </w:r>
      <w:proofErr w:type="spellEnd"/>
      <w:r>
        <w:rPr>
          <w:rtl/>
        </w:rPr>
        <w:t xml:space="preserve"> בגיל </w:t>
      </w:r>
      <w:proofErr w:type="spellStart"/>
      <w:r>
        <w:rPr>
          <w:rtl/>
        </w:rPr>
        <w:t>שלוש־עשרה</w:t>
      </w:r>
      <w:proofErr w:type="spellEnd"/>
      <w:r>
        <w:rPr>
          <w:rtl/>
        </w:rPr>
        <w:t xml:space="preserve">. הוא אמר: “כעבור שנתיים, בעשרת ימי תשובה, העזתי לגשת אל ר׳ אלחנן, שהיה בא אז מדי שנה </w:t>
      </w:r>
      <w:proofErr w:type="spellStart"/>
      <w:r>
        <w:rPr>
          <w:rtl/>
        </w:rPr>
        <w:t>לראדין</w:t>
      </w:r>
      <w:proofErr w:type="spellEnd"/>
      <w:r>
        <w:rPr>
          <w:rtl/>
        </w:rPr>
        <w:t xml:space="preserve"> לימים הנוראים, וביקשתי לשמוע את סיפור הדיבוק, מפני שהוא יחזק את אמונתי. באותו רגע ר׳ אלחנן רק ‘נתן בי מבט׳. אבל בשמחת בית השואבה, כשהזמין כמה בחורים מבוגרים לשמוע את הסיפור, שלח שליח לחפש את ‘הילד’ ולהזמינו לשמוע גם הוא”.</w:t>
      </w:r>
      <w:bookmarkStart w:id="3694" w:name="_fnr2763"/>
      <w:r>
        <w:rPr>
          <w:rStyle w:val="a5"/>
        </w:rPr>
        <w:footnoteReference w:id="2770" w:customMarkFollows="0"/>
      </w:r>
      <w:bookmarkEnd w:id="3694"/>
      <w:r>
        <w:rPr>
          <w:rtl/>
        </w:rPr>
        <w:t xml:space="preserve"> גם שני קהלים אחרים </w:t>
      </w:r>
      <w:r>
        <w:rPr>
          <w:rtl/>
        </w:rPr>
        <w:lastRenderedPageBreak/>
        <w:t xml:space="preserve">שנזכרו לעיל כמי ששמעו את הסיפור מפי ר׳ אלחנן – משפחת פרידמן בממל ור׳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במינסק – לא שמעו אותו בפורים.</w:t>
      </w:r>
    </w:p>
    <w:p w14:paraId="152D5461" w14:textId="77777777" w:rsidR="00AB3647" w:rsidRDefault="00000000" w:rsidP="007923E9">
      <w:pPr>
        <w:pStyle w:val="4"/>
        <w:spacing w:line="276" w:lineRule="auto"/>
      </w:pPr>
      <w:r>
        <w:t>· הפסקה השביעית ·</w:t>
      </w:r>
    </w:p>
    <w:p w14:paraId="070AC66A" w14:textId="77777777" w:rsidR="00AB3647" w:rsidRDefault="00000000" w:rsidP="007923E9">
      <w:pPr>
        <w:pStyle w:val="5"/>
        <w:spacing w:line="276" w:lineRule="auto"/>
      </w:pPr>
      <w:r>
        <w:t>היעלמות הדיבוקים בעת החדשה</w:t>
      </w:r>
    </w:p>
    <w:p w14:paraId="436A7453" w14:textId="77777777" w:rsidR="00AB3647" w:rsidRDefault="00000000" w:rsidP="007923E9">
      <w:pPr>
        <w:spacing w:after="120" w:line="276" w:lineRule="auto"/>
        <w:ind w:firstLine="283"/>
        <w:jc w:val="both"/>
      </w:pPr>
      <w:r>
        <w:rPr>
          <w:rtl/>
        </w:rPr>
        <w:t>את יחסו של רבנו לתופעות כאלה אפשר ללמוד לא רק מהתנגדותו להאריך בדברים על הנסתר ולחקור אותו, אלא גם מספרו “עיונים”,</w:t>
      </w:r>
      <w:bookmarkStart w:id="3695" w:name="_fnr2764"/>
      <w:r>
        <w:rPr>
          <w:rStyle w:val="a5"/>
        </w:rPr>
        <w:footnoteReference w:id="2771" w:customMarkFollows="0"/>
      </w:r>
      <w:bookmarkEnd w:id="3695"/>
      <w:r>
        <w:rPr>
          <w:rtl/>
        </w:rPr>
        <w:t xml:space="preserve"> שבו הוא דן בכוחם של חרטומי מצרים הקדומים ובשאלה מדוע אין עוד מכשפים כאלה. הוא כותב שכל זמן שהתקיים כוח הקדושה </w:t>
      </w:r>
      <w:proofErr w:type="spellStart"/>
      <w:r>
        <w:rPr>
          <w:rtl/>
        </w:rPr>
        <w:t>העל־טבעי</w:t>
      </w:r>
      <w:proofErr w:type="spellEnd"/>
      <w:r>
        <w:rPr>
          <w:rtl/>
        </w:rPr>
        <w:t>, התקיים גם כוח הכישוף. מהדורה מאוחרת יותר של “עיונים במקרא” לאבי</w:t>
      </w:r>
      <w:bookmarkStart w:id="3696" w:name="_fnr2765"/>
      <w:r>
        <w:rPr>
          <w:rStyle w:val="a5"/>
        </w:rPr>
        <w:footnoteReference w:id="2772" w:customMarkFollows="0"/>
      </w:r>
      <w:bookmarkEnd w:id="3696"/>
      <w:r>
        <w:rPr>
          <w:rtl/>
        </w:rPr>
        <w:t xml:space="preserve"> מוסיפה, “מפי השמועה”, התייחסות מפורשת לסיפור הדיבוק: “בהיותי </w:t>
      </w:r>
      <w:proofErr w:type="spellStart"/>
      <w:r>
        <w:rPr>
          <w:rtl/>
        </w:rPr>
        <w:t>בקלם</w:t>
      </w:r>
      <w:proofErr w:type="spellEnd"/>
      <w:r>
        <w:rPr>
          <w:rtl/>
        </w:rPr>
        <w:t xml:space="preserve"> ראיתי שר׳ אלחנן וסרמן כתב בשם </w:t>
      </w:r>
      <w:proofErr w:type="spellStart"/>
      <w:r>
        <w:rPr>
          <w:rtl/>
        </w:rPr>
        <w:t>החפץ־חיים</w:t>
      </w:r>
      <w:proofErr w:type="spellEnd"/>
      <w:r>
        <w:rPr>
          <w:rtl/>
        </w:rPr>
        <w:t xml:space="preserve"> כי מעשה הדיבוק המפורסם שאירע בזמנו יהיה כנראה האחרון, שכן ככל שנחלש כוח התורה והרוחניות, כך ייחלש גם כוח הטומאה”. אבי הוסיף:</w:t>
      </w:r>
      <w:bookmarkStart w:id="3697" w:name="_fnr2766"/>
      <w:r>
        <w:rPr>
          <w:rStyle w:val="a5"/>
        </w:rPr>
        <w:footnoteReference w:id="2773" w:customMarkFollows="0"/>
      </w:r>
      <w:bookmarkEnd w:id="3697"/>
      <w:r>
        <w:rPr>
          <w:rtl/>
        </w:rPr>
        <w:t xml:space="preserve"> “אכן, ייתכן שגם בימינו, במקומות שיהודים עדיין חדורים באמונה וטהורים במעשיהם, יתחזק גם כוח הטומאה, מפני </w:t>
      </w:r>
      <w:proofErr w:type="spellStart"/>
      <w:r>
        <w:rPr>
          <w:rtl/>
        </w:rPr>
        <w:t>ש‘גם</w:t>
      </w:r>
      <w:proofErr w:type="spellEnd"/>
      <w:r>
        <w:rPr>
          <w:rtl/>
        </w:rPr>
        <w:t xml:space="preserve"> את זה לעומת זה עשה </w:t>
      </w:r>
      <w:proofErr w:type="spellStart"/>
      <w:r>
        <w:rPr>
          <w:rtl/>
        </w:rPr>
        <w:t>הא־להים</w:t>
      </w:r>
      <w:proofErr w:type="spellEnd"/>
      <w:r>
        <w:rPr>
          <w:rtl/>
        </w:rPr>
        <w:t>’”.</w:t>
      </w:r>
      <w:bookmarkStart w:id="3698" w:name="_fnr2767"/>
      <w:r>
        <w:rPr>
          <w:rStyle w:val="a5"/>
        </w:rPr>
        <w:footnoteReference w:id="2774" w:customMarkFollows="0"/>
      </w:r>
      <w:bookmarkEnd w:id="3698"/>
    </w:p>
    <w:p w14:paraId="65FD673F" w14:textId="77777777" w:rsidR="00AB3647" w:rsidRDefault="00000000" w:rsidP="007923E9">
      <w:pPr>
        <w:spacing w:after="120" w:line="276" w:lineRule="auto"/>
        <w:ind w:firstLine="283"/>
        <w:jc w:val="both"/>
      </w:pPr>
      <w:r>
        <w:rPr>
          <w:rtl/>
        </w:rPr>
        <w:t>השווה גם “אבי הישיבות”,</w:t>
      </w:r>
      <w:bookmarkStart w:id="3699" w:name="_fnr2768"/>
      <w:r>
        <w:rPr>
          <w:rStyle w:val="a5"/>
        </w:rPr>
        <w:footnoteReference w:id="2775" w:customMarkFollows="0"/>
      </w:r>
      <w:bookmarkEnd w:id="3699"/>
      <w:r>
        <w:rPr>
          <w:rtl/>
        </w:rPr>
        <w:t xml:space="preserve"> שבו נאמר שר׳ יצחק־זאב </w:t>
      </w:r>
      <w:proofErr w:type="spellStart"/>
      <w:r>
        <w:rPr>
          <w:rtl/>
        </w:rPr>
        <w:t>סולובייצ׳יק</w:t>
      </w:r>
      <w:proofErr w:type="spellEnd"/>
      <w:r>
        <w:rPr>
          <w:rtl/>
        </w:rPr>
        <w:t xml:space="preserve"> אמר בשם ר׳ חיים </w:t>
      </w:r>
      <w:proofErr w:type="spellStart"/>
      <w:r>
        <w:rPr>
          <w:rtl/>
        </w:rPr>
        <w:t>מוולוז׳ין</w:t>
      </w:r>
      <w:proofErr w:type="spellEnd"/>
      <w:r>
        <w:rPr>
          <w:rtl/>
        </w:rPr>
        <w:t xml:space="preserve"> שלא יהיה עוד דיבוק</w:t>
      </w:r>
      <w:bookmarkStart w:id="3700" w:name="_fnr2769"/>
      <w:r>
        <w:rPr>
          <w:rStyle w:val="a5"/>
        </w:rPr>
        <w:footnoteReference w:id="2776" w:customMarkFollows="0"/>
      </w:r>
      <w:bookmarkEnd w:id="3700"/>
      <w:r>
        <w:rPr>
          <w:rtl/>
        </w:rPr>
        <w:t xml:space="preserve"> (אחרי זה שהיה בזמנו של ר׳ חיים, </w:t>
      </w:r>
      <w:proofErr w:type="spellStart"/>
      <w:r>
        <w:rPr>
          <w:rtl/>
        </w:rPr>
        <w:t>ש“גילה</w:t>
      </w:r>
      <w:proofErr w:type="spellEnd"/>
      <w:r>
        <w:rPr>
          <w:rtl/>
        </w:rPr>
        <w:t xml:space="preserve"> פרטים מופלאים ומעניינים ביותר על עולם העליון”), אך מטעם אחר: “מפני שהסתר פנים</w:t>
      </w:r>
      <w:bookmarkStart w:id="3701" w:name="_fnr2770"/>
      <w:r>
        <w:rPr>
          <w:rStyle w:val="a5"/>
        </w:rPr>
        <w:footnoteReference w:id="2777" w:customMarkFollows="0"/>
      </w:r>
      <w:bookmarkEnd w:id="3701"/>
      <w:r>
        <w:rPr>
          <w:rtl/>
        </w:rPr>
        <w:t xml:space="preserve"> הולך ומתגבר”.</w:t>
      </w:r>
      <w:bookmarkStart w:id="3702" w:name="_fnr2771"/>
      <w:r>
        <w:rPr>
          <w:rStyle w:val="a5"/>
        </w:rPr>
        <w:footnoteReference w:id="2778" w:customMarkFollows="0"/>
      </w:r>
      <w:bookmarkEnd w:id="3702"/>
    </w:p>
    <w:p w14:paraId="456EC696" w14:textId="77777777" w:rsidR="00AB3647" w:rsidRDefault="00000000" w:rsidP="007923E9">
      <w:pPr>
        <w:pStyle w:val="4"/>
        <w:spacing w:line="276" w:lineRule="auto"/>
      </w:pPr>
      <w:r>
        <w:t>· הפסקה השמינית ·</w:t>
      </w:r>
    </w:p>
    <w:p w14:paraId="45C53525" w14:textId="77777777" w:rsidR="00AB3647" w:rsidRDefault="00000000" w:rsidP="007923E9">
      <w:pPr>
        <w:pStyle w:val="5"/>
        <w:spacing w:line="276" w:lineRule="auto"/>
      </w:pPr>
      <w:r>
        <w:t xml:space="preserve">מסופר סיפור על ראיית הנסתר – ר׳ </w:t>
      </w:r>
      <w:proofErr w:type="spellStart"/>
      <w:r>
        <w:t>מרדכי־מנחם־מנדל</w:t>
      </w:r>
      <w:proofErr w:type="spellEnd"/>
      <w:r>
        <w:t xml:space="preserve"> </w:t>
      </w:r>
      <w:proofErr w:type="spellStart"/>
      <w:r>
        <w:t>אברמצ׳יק</w:t>
      </w:r>
      <w:proofErr w:type="spellEnd"/>
      <w:r>
        <w:t xml:space="preserve"> נקרא בשם שגוי – רבנו לא הסיק שהרבי </w:t>
      </w:r>
      <w:proofErr w:type="spellStart"/>
      <w:r>
        <w:t>מליובאוויטש</w:t>
      </w:r>
      <w:proofErr w:type="spellEnd"/>
      <w:r>
        <w:t xml:space="preserve"> יודע שמטוס יתרסק – רבנו מכין בחור לחזרה ממתיבתא תורה ודעת לאורוגוואי</w:t>
      </w:r>
    </w:p>
    <w:p w14:paraId="39949F50" w14:textId="77777777" w:rsidR="00AB3647" w:rsidRDefault="00000000" w:rsidP="007923E9">
      <w:pPr>
        <w:spacing w:after="120" w:line="276" w:lineRule="auto"/>
        <w:ind w:firstLine="283"/>
        <w:jc w:val="both"/>
      </w:pPr>
      <w:r>
        <w:rPr>
          <w:rtl/>
        </w:rPr>
        <w:t xml:space="preserve">לכאורה, מאחר שאבי ייחס לנסתר מידה מוגבלת של אמינות, אפשר להסביר כך את תגובתו לעצה יוצאת דופן שניתנה </w:t>
      </w:r>
      <w:proofErr w:type="spellStart"/>
      <w:r>
        <w:rPr>
          <w:rtl/>
        </w:rPr>
        <w:t>לר</w:t>
      </w:r>
      <w:proofErr w:type="spellEnd"/>
      <w:r>
        <w:rPr>
          <w:rtl/>
        </w:rPr>
        <w:t xml:space="preserve">׳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מאורוגוואי, תלמיד מתיבתא תורה ודעת בשנים תשי״א–</w:t>
      </w:r>
      <w:proofErr w:type="spellStart"/>
      <w:r>
        <w:rPr>
          <w:rtl/>
        </w:rPr>
        <w:t>תש״ך</w:t>
      </w:r>
      <w:proofErr w:type="spellEnd"/>
      <w:r>
        <w:rPr>
          <w:rtl/>
        </w:rPr>
        <w:t>.</w:t>
      </w:r>
    </w:p>
    <w:p w14:paraId="15B095DC" w14:textId="77777777" w:rsidR="00AB3647" w:rsidRDefault="00000000" w:rsidP="007923E9">
      <w:pPr>
        <w:spacing w:after="120" w:line="276" w:lineRule="auto"/>
        <w:ind w:firstLine="283"/>
        <w:jc w:val="both"/>
      </w:pPr>
      <w:r>
        <w:rPr>
          <w:rtl/>
        </w:rPr>
        <w:lastRenderedPageBreak/>
        <w:t xml:space="preserve">מאמר בכתב העת </w:t>
      </w:r>
      <w:proofErr w:type="spellStart"/>
      <w:r>
        <w:rPr>
          <w:rtl/>
        </w:rPr>
        <w:t>החב״די</w:t>
      </w:r>
      <w:proofErr w:type="spellEnd"/>
      <w:r>
        <w:rPr>
          <w:rtl/>
        </w:rPr>
        <w:t xml:space="preserve"> “פנימיות (ירחון לבני ישיבות)”</w:t>
      </w:r>
      <w:bookmarkStart w:id="3703" w:name="_fnr2772"/>
      <w:r>
        <w:rPr>
          <w:rStyle w:val="a5"/>
        </w:rPr>
        <w:footnoteReference w:id="2779" w:customMarkFollows="0"/>
      </w:r>
      <w:bookmarkEnd w:id="3703"/>
      <w:r>
        <w:rPr>
          <w:rtl/>
        </w:rPr>
        <w:t xml:space="preserve"> מספר:</w:t>
      </w:r>
      <w:bookmarkStart w:id="3704" w:name="_fnr2773"/>
      <w:r>
        <w:rPr>
          <w:rStyle w:val="a5"/>
        </w:rPr>
        <w:footnoteReference w:id="2780" w:customMarkFollows="0"/>
      </w:r>
      <w:bookmarkEnd w:id="3704"/>
      <w:r>
        <w:rPr>
          <w:rtl/>
        </w:rPr>
        <w:t xml:space="preserve"> “יש סיפור על בחור בשם הרב </w:t>
      </w:r>
      <w:proofErr w:type="spellStart"/>
      <w:r>
        <w:rPr>
          <w:rtl/>
        </w:rPr>
        <w:t>אורלנצ׳יק</w:t>
      </w:r>
      <w:proofErr w:type="spellEnd"/>
      <w:r>
        <w:rPr>
          <w:rtl/>
        </w:rPr>
        <w:t xml:space="preserve">, שהתיישב באורוגוואי לאחר שניצל מן השואה. שמחתו הייתה רבה כשגילה שרבו לשעבר, רבנו, הגיע לארצות הברית, והרב </w:t>
      </w:r>
      <w:proofErr w:type="spellStart"/>
      <w:r>
        <w:rPr>
          <w:rtl/>
        </w:rPr>
        <w:t>אורלנצ׳יק</w:t>
      </w:r>
      <w:proofErr w:type="spellEnd"/>
      <w:r>
        <w:rPr>
          <w:rtl/>
        </w:rPr>
        <w:t xml:space="preserve"> אמר לעצמו: ‘עתה אוכל לשוחח עם מישהו בעניינים רוחניים’. הוא נסע לשם מיד... ו... הביע את רצונו לנצל את ההזדמנות כדי לבקר אצל גדולי התורה שם ולשמוע דברי חיזוק [רוחניים]... אחרי חוויותיו [שערערו את אמונתו] בשואה. ראש הישיבה רבנו המליץ על כמה רבנים מפורסמים, ובהם [ר׳ </w:t>
      </w:r>
      <w:proofErr w:type="spellStart"/>
      <w:r>
        <w:rPr>
          <w:rtl/>
        </w:rPr>
        <w:t>מנחם־מנדל</w:t>
      </w:r>
      <w:proofErr w:type="spellEnd"/>
      <w:r>
        <w:rPr>
          <w:rtl/>
        </w:rPr>
        <w:t xml:space="preserve"> שניאורסון], שזה עתה נתמנה לרבי, והוסיף: ‘מאחר שאומרים עליו שהוא אדם גדול, כדאי לשוחח גם </w:t>
      </w:r>
      <w:proofErr w:type="spellStart"/>
      <w:r>
        <w:rPr>
          <w:rtl/>
        </w:rPr>
        <w:t>איתו</w:t>
      </w:r>
      <w:proofErr w:type="spellEnd"/>
      <w:r>
        <w:rPr>
          <w:rtl/>
        </w:rPr>
        <w:t>’. כשנכנס [</w:t>
      </w:r>
      <w:proofErr w:type="spellStart"/>
      <w:r>
        <w:rPr>
          <w:rtl/>
        </w:rPr>
        <w:t>אורלנצ׳יק</w:t>
      </w:r>
      <w:proofErr w:type="spellEnd"/>
      <w:r>
        <w:rPr>
          <w:rtl/>
        </w:rPr>
        <w:t xml:space="preserve">] לשיחה פרטית </w:t>
      </w:r>
      <w:proofErr w:type="spellStart"/>
      <w:r>
        <w:rPr>
          <w:rtl/>
        </w:rPr>
        <w:t>איתו</w:t>
      </w:r>
      <w:proofErr w:type="spellEnd"/>
      <w:r>
        <w:rPr>
          <w:rtl/>
        </w:rPr>
        <w:t xml:space="preserve">, שאל אותו הרבי </w:t>
      </w:r>
      <w:proofErr w:type="spellStart"/>
      <w:r>
        <w:rPr>
          <w:rtl/>
        </w:rPr>
        <w:t>מליובאוויטש</w:t>
      </w:r>
      <w:proofErr w:type="spellEnd"/>
      <w:r>
        <w:rPr>
          <w:rtl/>
        </w:rPr>
        <w:t xml:space="preserve"> בסוף השיחה מתי ישוב לאורוגוואי. כשהשיב הרב </w:t>
      </w:r>
      <w:proofErr w:type="spellStart"/>
      <w:r>
        <w:rPr>
          <w:rtl/>
        </w:rPr>
        <w:t>אורלנצ׳יק</w:t>
      </w:r>
      <w:proofErr w:type="spellEnd"/>
      <w:r>
        <w:rPr>
          <w:rtl/>
        </w:rPr>
        <w:t xml:space="preserve"> שבקרוב יש לו טיסה, אמר הרבי: ‘מדוע אתה ממהר כל כך עד שאתה צריך לטוס במטוס? להפך, חזור באונייה. אין אתה צריך למהר כל כך. הדבר יארך עוד כמה ימים, אבל עליך לנסוע באונייה’. הרב </w:t>
      </w:r>
      <w:proofErr w:type="spellStart"/>
      <w:r>
        <w:rPr>
          <w:rtl/>
        </w:rPr>
        <w:t>אורלנצ׳יק</w:t>
      </w:r>
      <w:proofErr w:type="spellEnd"/>
      <w:r>
        <w:rPr>
          <w:rtl/>
        </w:rPr>
        <w:t xml:space="preserve"> הופתע מאוד מהתערבותו של הרבי בעניין שלא נשאל עליו, ובייחוד מעצתו, שנראתה תמוהה וחסרת היגיון. כשבא להיפרד מ[ראש ישיבתו] וסיפר לו שהרבי אמר... שייסע באונייה ולא במטוס, ושאל אם לשמוע בקולו, השיב רבו: ‘גם אני איני מבין מה רצה בזה ומה הייתה כוונתו. על פני הדברים נראה שאין לכך בסיס, ובכל זאת, מאחר שאמר לך זאת במפורש, כדאי לנהוג כך. לפחות “</w:t>
      </w:r>
      <w:proofErr w:type="spellStart"/>
      <w:r>
        <w:rPr>
          <w:rtl/>
        </w:rPr>
        <w:t>למיחש</w:t>
      </w:r>
      <w:proofErr w:type="spellEnd"/>
      <w:r>
        <w:rPr>
          <w:rtl/>
        </w:rPr>
        <w:t xml:space="preserve"> בעי”‘.</w:t>
      </w:r>
      <w:bookmarkStart w:id="3705" w:name="_fnr2774"/>
      <w:r>
        <w:rPr>
          <w:rStyle w:val="a5"/>
        </w:rPr>
        <w:footnoteReference w:id="2781" w:customMarkFollows="0"/>
      </w:r>
      <w:bookmarkEnd w:id="3705"/>
      <w:r>
        <w:rPr>
          <w:rtl/>
        </w:rPr>
        <w:t xml:space="preserve"> בסופו של דבר קיים הרב </w:t>
      </w:r>
      <w:proofErr w:type="spellStart"/>
      <w:r>
        <w:rPr>
          <w:rtl/>
        </w:rPr>
        <w:t>אורלנצ׳יק</w:t>
      </w:r>
      <w:proofErr w:type="spellEnd"/>
      <w:r>
        <w:rPr>
          <w:rtl/>
        </w:rPr>
        <w:t xml:space="preserve"> את ההוראה התמוהה... וכשהגיע לביתו דיברו כולם על התרסקותו של המטוס שבו היה אמור הרב </w:t>
      </w:r>
      <w:proofErr w:type="spellStart"/>
      <w:r>
        <w:rPr>
          <w:rtl/>
        </w:rPr>
        <w:t>אורלנצ׳יק</w:t>
      </w:r>
      <w:proofErr w:type="spellEnd"/>
      <w:r>
        <w:rPr>
          <w:rtl/>
        </w:rPr>
        <w:t xml:space="preserve"> לטוס – שלא היו ממנה ניצולים... מאז אומר הרב </w:t>
      </w:r>
      <w:proofErr w:type="spellStart"/>
      <w:r>
        <w:rPr>
          <w:rtl/>
        </w:rPr>
        <w:t>אורלנצ׳יק</w:t>
      </w:r>
      <w:proofErr w:type="spellEnd"/>
      <w:r>
        <w:rPr>
          <w:rtl/>
        </w:rPr>
        <w:t xml:space="preserve"> לעיתים קרובות: ‘הרבי </w:t>
      </w:r>
      <w:proofErr w:type="spellStart"/>
      <w:r>
        <w:rPr>
          <w:rtl/>
        </w:rPr>
        <w:t>מליובאוויטש</w:t>
      </w:r>
      <w:proofErr w:type="spellEnd"/>
      <w:r>
        <w:rPr>
          <w:rtl/>
        </w:rPr>
        <w:t xml:space="preserve"> הציל את חיי’. הרב </w:t>
      </w:r>
      <w:proofErr w:type="spellStart"/>
      <w:r>
        <w:rPr>
          <w:rtl/>
        </w:rPr>
        <w:t>אורלנצ׳יק</w:t>
      </w:r>
      <w:proofErr w:type="spellEnd"/>
      <w:r>
        <w:rPr>
          <w:rtl/>
        </w:rPr>
        <w:t xml:space="preserve"> ובני משפחתו הם ‘ליטאים’ טיפוסיים, וילדיו הם בוגרי </w:t>
      </w:r>
      <w:proofErr w:type="spellStart"/>
      <w:r>
        <w:rPr>
          <w:rtl/>
        </w:rPr>
        <w:t>ה‘ישיבות</w:t>
      </w:r>
      <w:proofErr w:type="spellEnd"/>
      <w:r>
        <w:rPr>
          <w:rtl/>
        </w:rPr>
        <w:t xml:space="preserve"> קדושות’ הליטאיות. בנו, תלמיד ישיבת תורה אור בירושלים, מגלה שאביו אינו מתיר לדבר נגד </w:t>
      </w:r>
      <w:proofErr w:type="spellStart"/>
      <w:r>
        <w:rPr>
          <w:rtl/>
        </w:rPr>
        <w:t>ליובאוויטש</w:t>
      </w:r>
      <w:proofErr w:type="spellEnd"/>
      <w:r>
        <w:rPr>
          <w:rtl/>
        </w:rPr>
        <w:t xml:space="preserve"> בבית, וכשידידיו אומרים: ‘ראה את הדברים התמוהים השונים [שעושה] הרבי </w:t>
      </w:r>
      <w:proofErr w:type="spellStart"/>
      <w:r>
        <w:rPr>
          <w:rtl/>
        </w:rPr>
        <w:t>מליובאוויטש</w:t>
      </w:r>
      <w:proofErr w:type="spellEnd"/>
      <w:r>
        <w:rPr>
          <w:rtl/>
        </w:rPr>
        <w:t>’, הוא משיב להם: ‘כשהורה לי לנסוע באונייה ולא במטוס, גם זה היה תמוה מאוד וחסר היגיון לחלוטין. ובכל זאת, עם הזמן התברר שהוא ראה דברים שלא ראינו והביא בחשבון דברים שלא הבאנו בחשבון’”.</w:t>
      </w:r>
    </w:p>
    <w:p w14:paraId="3271CB93" w14:textId="77777777" w:rsidR="00AB3647" w:rsidRDefault="00000000" w:rsidP="007923E9">
      <w:pPr>
        <w:spacing w:after="120" w:line="276" w:lineRule="auto"/>
        <w:ind w:firstLine="283"/>
        <w:jc w:val="both"/>
      </w:pPr>
      <w:r>
        <w:rPr>
          <w:rtl/>
        </w:rPr>
        <w:t xml:space="preserve">הקורא ודאי יבחין שפסקה זו נפתחה באדם ששמו </w:t>
      </w:r>
      <w:proofErr w:type="spellStart"/>
      <w:r>
        <w:rPr>
          <w:rtl/>
        </w:rPr>
        <w:t>אברמצ׳יק</w:t>
      </w:r>
      <w:proofErr w:type="spellEnd"/>
      <w:r>
        <w:rPr>
          <w:rtl/>
        </w:rPr>
        <w:t xml:space="preserve"> – ויש לו, כמו לכל אדם, לא רק שם משפחה אלא גם שם פרטי – ואחר כך ציטטה באריכות מאמר על אדם ששמו הרב </w:t>
      </w:r>
      <w:proofErr w:type="spellStart"/>
      <w:r>
        <w:rPr>
          <w:rtl/>
        </w:rPr>
        <w:t>אורלנצ׳יק</w:t>
      </w:r>
      <w:proofErr w:type="spellEnd"/>
      <w:r>
        <w:rPr>
          <w:rtl/>
        </w:rPr>
        <w:t xml:space="preserve">, בלי שם פרטי. אסביר. את עיקר הסיפור שנדפס שמעתי מחברותא של אחד מבניו של הרב </w:t>
      </w:r>
      <w:proofErr w:type="spellStart"/>
      <w:r>
        <w:rPr>
          <w:rtl/>
        </w:rPr>
        <w:t>אברמצ׳יק</w:t>
      </w:r>
      <w:proofErr w:type="spellEnd"/>
      <w:r>
        <w:rPr>
          <w:rtl/>
        </w:rPr>
        <w:t xml:space="preserve">, הלומד בישיבת תורה אור – בלי דברי חבריו של הרב </w:t>
      </w:r>
      <w:proofErr w:type="spellStart"/>
      <w:r>
        <w:rPr>
          <w:rtl/>
        </w:rPr>
        <w:t>אורלנצ׳יק</w:t>
      </w:r>
      <w:proofErr w:type="spellEnd"/>
      <w:r>
        <w:rPr>
          <w:rtl/>
        </w:rPr>
        <w:t xml:space="preserve"> המתנגדים לדרכיו הסתומות של הרבי, ובלי שהגן על הרבי בראיה מראיית הנסתר של הרבי. מאחר שאבי היה מעורב בסיפור, כתבתי מיד, בכ׳ בכסלו תשנ״ה, מכתב לאורוגוואי וביקשתי מהרב </w:t>
      </w:r>
      <w:proofErr w:type="spellStart"/>
      <w:r>
        <w:rPr>
          <w:rtl/>
        </w:rPr>
        <w:t>אברמצ׳יק</w:t>
      </w:r>
      <w:proofErr w:type="spellEnd"/>
      <w:r>
        <w:rPr>
          <w:rtl/>
        </w:rPr>
        <w:t xml:space="preserve"> פרטים. אבל בטעות פניתי אליו בשם “הרב </w:t>
      </w:r>
      <w:proofErr w:type="spellStart"/>
      <w:r>
        <w:rPr>
          <w:rtl/>
        </w:rPr>
        <w:t>אורלנצ׳יק</w:t>
      </w:r>
      <w:proofErr w:type="spellEnd"/>
      <w:r>
        <w:rPr>
          <w:rtl/>
        </w:rPr>
        <w:t xml:space="preserve">”, ולא השתמשתי בשמו הפרטי בהתכתבותי. נשגב מבינתי כיצד הגיע מכתבי, ובו שם מוטעה וחסר, לידי חסידי </w:t>
      </w:r>
      <w:proofErr w:type="spellStart"/>
      <w:r>
        <w:rPr>
          <w:rtl/>
        </w:rPr>
        <w:t>ליובאוויטש</w:t>
      </w:r>
      <w:proofErr w:type="spellEnd"/>
      <w:r>
        <w:rPr>
          <w:rtl/>
        </w:rPr>
        <w:t>, שיצרו על סמך הסיפור הזה מאמר שלם וצבעו אותו בגוונים שונים.</w:t>
      </w:r>
    </w:p>
    <w:p w14:paraId="529B9826" w14:textId="77777777" w:rsidR="00AB3647" w:rsidRDefault="00000000" w:rsidP="007923E9">
      <w:pPr>
        <w:spacing w:after="120" w:line="276" w:lineRule="auto"/>
        <w:ind w:firstLine="283"/>
        <w:jc w:val="both"/>
      </w:pPr>
      <w:r>
        <w:rPr>
          <w:b/>
          <w:bCs/>
          <w:rtl/>
        </w:rPr>
        <w:lastRenderedPageBreak/>
        <w:t>העובדות</w:t>
      </w:r>
      <w:r>
        <w:rPr>
          <w:rtl/>
        </w:rPr>
        <w:t xml:space="preserve">, לפי ראיונות עם שני בניו של הרב </w:t>
      </w:r>
      <w:proofErr w:type="spellStart"/>
      <w:r>
        <w:rPr>
          <w:rtl/>
        </w:rPr>
        <w:t>אברמצ׳יק</w:t>
      </w:r>
      <w:proofErr w:type="spellEnd"/>
      <w:r>
        <w:rPr>
          <w:rtl/>
        </w:rPr>
        <w:t xml:space="preserve"> הלומדים בירושלים ולפי מכתב ארוך מאביהם שתאריכו “יום חמישי לסדר ויחי יעקב תשנ״ה”, הן אלה: </w:t>
      </w:r>
      <w:proofErr w:type="spellStart"/>
      <w:r>
        <w:rPr>
          <w:rtl/>
        </w:rPr>
        <w:t>אברמצ׳יק־אורלנצ׳יק</w:t>
      </w:r>
      <w:proofErr w:type="spellEnd"/>
      <w:r>
        <w:rPr>
          <w:rtl/>
        </w:rPr>
        <w:t xml:space="preserve"> נולד </w:t>
      </w:r>
      <w:proofErr w:type="spellStart"/>
      <w:r>
        <w:rPr>
          <w:rtl/>
        </w:rPr>
        <w:t>בת״ש</w:t>
      </w:r>
      <w:proofErr w:type="spellEnd"/>
      <w:r>
        <w:rPr>
          <w:rtl/>
        </w:rPr>
        <w:t xml:space="preserve"> להורים שהגיעו למונטווידאו, בירת אורוגוואי, </w:t>
      </w:r>
      <w:proofErr w:type="spellStart"/>
      <w:r>
        <w:rPr>
          <w:rtl/>
        </w:rPr>
        <w:t>בתרצ״ד</w:t>
      </w:r>
      <w:proofErr w:type="spellEnd"/>
      <w:r>
        <w:rPr>
          <w:rtl/>
        </w:rPr>
        <w:t xml:space="preserve">, לפני השואה. אביו היה ממשפחת חסידי </w:t>
      </w:r>
      <w:proofErr w:type="spellStart"/>
      <w:r>
        <w:rPr>
          <w:rtl/>
        </w:rPr>
        <w:t>אמשינוב</w:t>
      </w:r>
      <w:proofErr w:type="spellEnd"/>
      <w:r>
        <w:rPr>
          <w:rtl/>
        </w:rPr>
        <w:t xml:space="preserve">, </w:t>
      </w:r>
      <w:proofErr w:type="spellStart"/>
      <w:r>
        <w:rPr>
          <w:rtl/>
        </w:rPr>
        <w:t>ואמו</w:t>
      </w:r>
      <w:proofErr w:type="spellEnd"/>
      <w:r>
        <w:rPr>
          <w:rtl/>
        </w:rPr>
        <w:t xml:space="preserve"> ממשפחת חסידי גור.</w:t>
      </w:r>
      <w:bookmarkStart w:id="3706" w:name="_fnr2775"/>
      <w:r>
        <w:rPr>
          <w:rStyle w:val="a5"/>
        </w:rPr>
        <w:footnoteReference w:id="2782" w:customMarkFollows="0"/>
      </w:r>
      <w:bookmarkEnd w:id="3706"/>
      <w:r>
        <w:rPr>
          <w:rtl/>
        </w:rPr>
        <w:t xml:space="preserve"> כשראו ההורים שבניהם הגדולים חדלים לשמור מצוות, שלחו את בנם הצעיר, </w:t>
      </w:r>
      <w:proofErr w:type="spellStart"/>
      <w:r>
        <w:rPr>
          <w:rtl/>
        </w:rPr>
        <w:t>מרדכי־מנחם־מנדל</w:t>
      </w:r>
      <w:proofErr w:type="spellEnd"/>
      <w:r>
        <w:rPr>
          <w:rtl/>
        </w:rPr>
        <w:t xml:space="preserve">, למתיבתא תורה ודעת, על פי עצת רבה של מונטווידאו ר׳ אהרן </w:t>
      </w:r>
      <w:proofErr w:type="spellStart"/>
      <w:r>
        <w:rPr>
          <w:rtl/>
        </w:rPr>
        <w:t>מילבסקי</w:t>
      </w:r>
      <w:proofErr w:type="spellEnd"/>
      <w:r>
        <w:rPr>
          <w:rtl/>
        </w:rPr>
        <w:t xml:space="preserve">, חברו של אבי </w:t>
      </w:r>
      <w:proofErr w:type="spellStart"/>
      <w:r>
        <w:rPr>
          <w:rtl/>
        </w:rPr>
        <w:t>בסלבודקה</w:t>
      </w:r>
      <w:proofErr w:type="spellEnd"/>
      <w:r>
        <w:rPr>
          <w:rtl/>
        </w:rPr>
        <w:t>. הנער פגש את רבנו לראשונה בצפון אמריקה, בישיבה בברוקלין, ושהה בה עד גיל עשרים בלי לבקר בביתו כלל. אחיו שאינם שומרי מצוות סייעו לפרנסו במשך תשע שנות שהותו בישיבה!</w:t>
      </w:r>
    </w:p>
    <w:p w14:paraId="3628CA2A" w14:textId="77777777" w:rsidR="00AB3647" w:rsidRDefault="00000000" w:rsidP="007923E9">
      <w:pPr>
        <w:spacing w:after="120" w:line="276" w:lineRule="auto"/>
        <w:ind w:firstLine="283"/>
        <w:jc w:val="both"/>
      </w:pPr>
      <w:r>
        <w:rPr>
          <w:rtl/>
        </w:rPr>
        <w:t xml:space="preserve">אבי לא המליץ לו לבקר אצל הרבי </w:t>
      </w:r>
      <w:proofErr w:type="spellStart"/>
      <w:r>
        <w:rPr>
          <w:rtl/>
        </w:rPr>
        <w:t>מליובאוויטש</w:t>
      </w:r>
      <w:proofErr w:type="spellEnd"/>
      <w:r>
        <w:rPr>
          <w:rtl/>
        </w:rPr>
        <w:t xml:space="preserve">, אלא התיר לו לעשות זאת. בין תלמידי המתיבתא נחשב בילוי מעניין, ולעיתים אף מועיל ברוחניות, להשתתף בליל שבת או בסעודה שלישית </w:t>
      </w:r>
      <w:proofErr w:type="spellStart"/>
      <w:r>
        <w:rPr>
          <w:rtl/>
        </w:rPr>
        <w:t>בטיש</w:t>
      </w:r>
      <w:proofErr w:type="spellEnd"/>
      <w:r>
        <w:rPr>
          <w:rtl/>
        </w:rPr>
        <w:t xml:space="preserve"> של הרבי </w:t>
      </w:r>
      <w:proofErr w:type="spellStart"/>
      <w:r>
        <w:rPr>
          <w:rtl/>
        </w:rPr>
        <w:t>מסאטמר</w:t>
      </w:r>
      <w:proofErr w:type="spellEnd"/>
      <w:r>
        <w:rPr>
          <w:rtl/>
        </w:rPr>
        <w:t xml:space="preserve">, </w:t>
      </w:r>
      <w:proofErr w:type="spellStart"/>
      <w:r>
        <w:rPr>
          <w:rtl/>
        </w:rPr>
        <w:t>מקלויזנבורג</w:t>
      </w:r>
      <w:proofErr w:type="spellEnd"/>
      <w:r>
        <w:rPr>
          <w:rtl/>
        </w:rPr>
        <w:t xml:space="preserve">, </w:t>
      </w:r>
      <w:proofErr w:type="spellStart"/>
      <w:r>
        <w:rPr>
          <w:rtl/>
        </w:rPr>
        <w:t>מבובוב</w:t>
      </w:r>
      <w:proofErr w:type="spellEnd"/>
      <w:r>
        <w:rPr>
          <w:rtl/>
        </w:rPr>
        <w:t xml:space="preserve"> או של רבי אחר. </w:t>
      </w:r>
      <w:proofErr w:type="spellStart"/>
      <w:r>
        <w:rPr>
          <w:rtl/>
        </w:rPr>
        <w:t>מרדכי־מנחם־מנדל</w:t>
      </w:r>
      <w:proofErr w:type="spellEnd"/>
      <w:r>
        <w:rPr>
          <w:rtl/>
        </w:rPr>
        <w:t xml:space="preserve"> </w:t>
      </w:r>
      <w:proofErr w:type="spellStart"/>
      <w:r>
        <w:rPr>
          <w:rtl/>
        </w:rPr>
        <w:t>אברמצ׳יק</w:t>
      </w:r>
      <w:proofErr w:type="spellEnd"/>
      <w:r>
        <w:rPr>
          <w:rtl/>
        </w:rPr>
        <w:t xml:space="preserve"> מצא עבודה לקיץ במחנה “גן ישראל” של </w:t>
      </w:r>
      <w:proofErr w:type="spellStart"/>
      <w:r>
        <w:rPr>
          <w:rtl/>
        </w:rPr>
        <w:t>ליובאוויטש</w:t>
      </w:r>
      <w:proofErr w:type="spellEnd"/>
      <w:r>
        <w:rPr>
          <w:rtl/>
        </w:rPr>
        <w:t xml:space="preserve">, ומשום כך התקרב לחסידי </w:t>
      </w:r>
      <w:proofErr w:type="spellStart"/>
      <w:r>
        <w:rPr>
          <w:rtl/>
        </w:rPr>
        <w:t>ליובאוויטש</w:t>
      </w:r>
      <w:proofErr w:type="spellEnd"/>
      <w:r>
        <w:rPr>
          <w:rtl/>
        </w:rPr>
        <w:t xml:space="preserve"> במידה שהספיקה כדי לבקר אצל רבם, בין שאר האדמו״רים שביקר אצלם מפעם לפעם. כשהמליץ לו הרבי </w:t>
      </w:r>
      <w:proofErr w:type="spellStart"/>
      <w:r>
        <w:rPr>
          <w:rtl/>
        </w:rPr>
        <w:t>מליובאוויטש</w:t>
      </w:r>
      <w:proofErr w:type="spellEnd"/>
      <w:r>
        <w:rPr>
          <w:rtl/>
        </w:rPr>
        <w:t xml:space="preserve"> להתחיל ללמוד את ספר היסוד </w:t>
      </w:r>
      <w:proofErr w:type="spellStart"/>
      <w:r>
        <w:rPr>
          <w:rtl/>
        </w:rPr>
        <w:t>החב״די</w:t>
      </w:r>
      <w:proofErr w:type="spellEnd"/>
      <w:r>
        <w:rPr>
          <w:rtl/>
        </w:rPr>
        <w:t xml:space="preserve"> “תניא [ליקוטי אמרים]”, נהג תחת זאת לפי עצת ראש ישיבתו: “דחה זאת עד שתהיה מבוגר יותר ובקי יותר בתורה”.</w:t>
      </w:r>
    </w:p>
    <w:p w14:paraId="55E0775C" w14:textId="77777777" w:rsidR="00AB3647" w:rsidRDefault="00000000" w:rsidP="007923E9">
      <w:pPr>
        <w:spacing w:after="120" w:line="276" w:lineRule="auto"/>
        <w:ind w:firstLine="283"/>
        <w:jc w:val="both"/>
      </w:pPr>
      <w:r>
        <w:rPr>
          <w:rtl/>
        </w:rPr>
        <w:t xml:space="preserve">לאחר מחשבה נוספת הגעתי למסקנה שאילו אירע עיקר הסיפור כפי שנדפס במאמר הנזכר, לא היה אבי מאשר לתלמידו לנסוע באונייה. שכן כיצד ייתכן שאדם שהשקפתו שכלית עד כדי כך שפקפק באופייה הנסתר של השרפה בימי ר׳ חיים </w:t>
      </w:r>
      <w:proofErr w:type="spellStart"/>
      <w:r>
        <w:rPr>
          <w:rtl/>
        </w:rPr>
        <w:t>מוולוז׳ין</w:t>
      </w:r>
      <w:proofErr w:type="spellEnd"/>
      <w:r>
        <w:rPr>
          <w:rtl/>
        </w:rPr>
        <w:t xml:space="preserve"> – אף שהמקורות מכנים אותה אות משמים – יקבל כאמינה, ולו רק לשם זהירות, תחזית חסרת היגיון בעניינו של ר׳ </w:t>
      </w:r>
      <w:proofErr w:type="spellStart"/>
      <w:r>
        <w:rPr>
          <w:rtl/>
        </w:rPr>
        <w:t>מרדכי־מנחם־מנדל</w:t>
      </w:r>
      <w:proofErr w:type="spellEnd"/>
      <w:r>
        <w:rPr>
          <w:rtl/>
        </w:rPr>
        <w:t xml:space="preserve"> </w:t>
      </w:r>
      <w:proofErr w:type="spellStart"/>
      <w:r>
        <w:rPr>
          <w:rtl/>
        </w:rPr>
        <w:t>אברמצ׳יק</w:t>
      </w:r>
      <w:proofErr w:type="spellEnd"/>
      <w:r>
        <w:rPr>
          <w:rtl/>
        </w:rPr>
        <w:t>?</w:t>
      </w:r>
    </w:p>
    <w:p w14:paraId="1F4FF6EA" w14:textId="77777777" w:rsidR="00AB3647" w:rsidRDefault="00000000" w:rsidP="007923E9">
      <w:pPr>
        <w:spacing w:after="120" w:line="276" w:lineRule="auto"/>
        <w:ind w:firstLine="283"/>
        <w:jc w:val="both"/>
      </w:pPr>
      <w:r>
        <w:rPr>
          <w:rtl/>
        </w:rPr>
        <w:t xml:space="preserve">כדי להקביל את היחס שיוחס לרבנו במקרה זה לפירושו את סיבת השרפה בבית מדרשו של ר׳ חיים </w:t>
      </w:r>
      <w:proofErr w:type="spellStart"/>
      <w:r>
        <w:rPr>
          <w:rtl/>
        </w:rPr>
        <w:t>מוולוז׳ין</w:t>
      </w:r>
      <w:proofErr w:type="spellEnd"/>
      <w:r>
        <w:rPr>
          <w:rtl/>
        </w:rPr>
        <w:t xml:space="preserve">, היינו מוכרחים להגיע למסקנה הרחוקה שאבי חשש שחסידי </w:t>
      </w:r>
      <w:proofErr w:type="spellStart"/>
      <w:r>
        <w:rPr>
          <w:rtl/>
        </w:rPr>
        <w:t>ליובאוויטש</w:t>
      </w:r>
      <w:proofErr w:type="spellEnd"/>
      <w:r>
        <w:rPr>
          <w:rtl/>
        </w:rPr>
        <w:t xml:space="preserve"> יודעים על מזימת חבלה הנוגעת לטיסות לדרום אמריקה באותה שעה, וסבר שמוטב לשמוע לעצת רבם – “</w:t>
      </w:r>
      <w:proofErr w:type="spellStart"/>
      <w:r>
        <w:rPr>
          <w:rtl/>
        </w:rPr>
        <w:t>למיחש</w:t>
      </w:r>
      <w:proofErr w:type="spellEnd"/>
      <w:r>
        <w:rPr>
          <w:rtl/>
        </w:rPr>
        <w:t xml:space="preserve"> בעי”. אבל אין ספק שאין להעלות על הדעת שאבי חשש חששות כאלה!</w:t>
      </w:r>
    </w:p>
    <w:p w14:paraId="59C03776" w14:textId="77777777" w:rsidR="00AB3647" w:rsidRDefault="00000000" w:rsidP="007923E9">
      <w:pPr>
        <w:spacing w:after="120" w:line="276" w:lineRule="auto"/>
        <w:ind w:firstLine="283"/>
        <w:jc w:val="both"/>
      </w:pPr>
      <w:r>
        <w:rPr>
          <w:rtl/>
        </w:rPr>
        <w:t xml:space="preserve">הבעיה נפתרה לבסוף בשיחת טלפון </w:t>
      </w:r>
      <w:proofErr w:type="spellStart"/>
      <w:r>
        <w:rPr>
          <w:rtl/>
        </w:rPr>
        <w:t>בין־לאומית</w:t>
      </w:r>
      <w:proofErr w:type="spellEnd"/>
      <w:r>
        <w:rPr>
          <w:rtl/>
        </w:rPr>
        <w:t xml:space="preserve"> לאורוגוואי,</w:t>
      </w:r>
      <w:bookmarkStart w:id="3707" w:name="_fnr2776"/>
      <w:r>
        <w:rPr>
          <w:rStyle w:val="a5"/>
        </w:rPr>
        <w:footnoteReference w:id="2783" w:customMarkFollows="0"/>
      </w:r>
      <w:bookmarkEnd w:id="3707"/>
      <w:r>
        <w:rPr>
          <w:rtl/>
        </w:rPr>
        <w:t xml:space="preserve"> ובה התבררו הפרטים הבאים. אבי הכין את הרב </w:t>
      </w:r>
      <w:proofErr w:type="spellStart"/>
      <w:r>
        <w:rPr>
          <w:rtl/>
        </w:rPr>
        <w:t>אברמצ׳יק</w:t>
      </w:r>
      <w:proofErr w:type="spellEnd"/>
      <w:r>
        <w:rPr>
          <w:rtl/>
        </w:rPr>
        <w:t xml:space="preserve"> לכל מה שהיה עתיד להתמודד </w:t>
      </w:r>
      <w:proofErr w:type="spellStart"/>
      <w:r>
        <w:rPr>
          <w:rtl/>
        </w:rPr>
        <w:t>איתו</w:t>
      </w:r>
      <w:proofErr w:type="spellEnd"/>
      <w:r>
        <w:rPr>
          <w:rtl/>
        </w:rPr>
        <w:t xml:space="preserve"> בשובו לאורוגוואי. ראשית, רבנו הביא את תלמידו ללמוד שחיטה, וסידר שר׳ משה </w:t>
      </w:r>
      <w:proofErr w:type="spellStart"/>
      <w:r>
        <w:rPr>
          <w:rtl/>
        </w:rPr>
        <w:t>פיינשטיין</w:t>
      </w:r>
      <w:proofErr w:type="spellEnd"/>
      <w:r>
        <w:rPr>
          <w:rtl/>
        </w:rPr>
        <w:t xml:space="preserve"> ייתן לו הרשאה, כדי שיחזור לביתו ופרנסתו בידו. ואכן, הרב </w:t>
      </w:r>
      <w:proofErr w:type="spellStart"/>
      <w:r>
        <w:rPr>
          <w:rtl/>
        </w:rPr>
        <w:t>אברמצ׳יק</w:t>
      </w:r>
      <w:proofErr w:type="spellEnd"/>
      <w:r>
        <w:rPr>
          <w:rtl/>
        </w:rPr>
        <w:t xml:space="preserve"> נעשה שוחט ועסק במקצוע מכובד זה עד פטירתו בטרם עת </w:t>
      </w:r>
      <w:proofErr w:type="spellStart"/>
      <w:r>
        <w:rPr>
          <w:rtl/>
        </w:rPr>
        <w:t>בתשנ״ז</w:t>
      </w:r>
      <w:proofErr w:type="spellEnd"/>
      <w:r>
        <w:rPr>
          <w:rtl/>
        </w:rPr>
        <w:t>.</w:t>
      </w:r>
    </w:p>
    <w:p w14:paraId="3E1C9C82" w14:textId="77777777" w:rsidR="00AB3647" w:rsidRDefault="00000000" w:rsidP="007923E9">
      <w:pPr>
        <w:spacing w:after="120" w:line="276" w:lineRule="auto"/>
        <w:ind w:firstLine="283"/>
        <w:jc w:val="both"/>
      </w:pPr>
      <w:r>
        <w:rPr>
          <w:rtl/>
        </w:rPr>
        <w:t xml:space="preserve">שנית, כשבא הבחור להיפרד ממנו, שוחח </w:t>
      </w:r>
      <w:proofErr w:type="spellStart"/>
      <w:r>
        <w:rPr>
          <w:rtl/>
        </w:rPr>
        <w:t>איתו</w:t>
      </w:r>
      <w:proofErr w:type="spellEnd"/>
      <w:r>
        <w:rPr>
          <w:rtl/>
        </w:rPr>
        <w:t xml:space="preserve"> אבי שעתיים על הנהגתו לאחר שיחזור לביתו, ובכלל זה איזו נערה עליו לשאת לאישה. בעניין זה היה התלמיד הצעיר תמים דיו להציע </w:t>
      </w:r>
      <w:r>
        <w:rPr>
          <w:rtl/>
        </w:rPr>
        <w:lastRenderedPageBreak/>
        <w:t xml:space="preserve">שאולי מוטב לו לשאת נערה </w:t>
      </w:r>
      <w:proofErr w:type="spellStart"/>
      <w:r>
        <w:rPr>
          <w:rtl/>
        </w:rPr>
        <w:t>לא־חרדית</w:t>
      </w:r>
      <w:proofErr w:type="spellEnd"/>
      <w:r>
        <w:rPr>
          <w:rtl/>
        </w:rPr>
        <w:t xml:space="preserve">, שאותה יוכל לחנך לדת, מאשר נערה שכבר הוטמעו בה רעיונות מוטעים על “יידישקייט”, כמו תלמידי בתי הספר היהודיים היחידים במונטווידאו, הציוניים </w:t>
      </w:r>
      <w:proofErr w:type="spellStart"/>
      <w:r>
        <w:rPr>
          <w:rtl/>
        </w:rPr>
        <w:t>והיידישיסטיים</w:t>
      </w:r>
      <w:proofErr w:type="spellEnd"/>
      <w:r>
        <w:rPr>
          <w:rtl/>
        </w:rPr>
        <w:t>. בסופו של דבר נשא נערה מבואנוס איירס שקיבלה שם חינוך מעולה של בית יעקב.</w:t>
      </w:r>
    </w:p>
    <w:p w14:paraId="6AACFD9E" w14:textId="77777777" w:rsidR="00AB3647" w:rsidRDefault="00000000" w:rsidP="007923E9">
      <w:pPr>
        <w:spacing w:after="120" w:line="276" w:lineRule="auto"/>
        <w:ind w:firstLine="283"/>
        <w:jc w:val="both"/>
      </w:pPr>
      <w:r>
        <w:rPr>
          <w:rtl/>
        </w:rPr>
        <w:t>כשאישר אבי את עצת הרבי לנסוע באונייה ולא במטוס, הוא מעולם לא השתמש במילים “</w:t>
      </w:r>
      <w:proofErr w:type="spellStart"/>
      <w:r>
        <w:rPr>
          <w:rtl/>
        </w:rPr>
        <w:t>למיחש</w:t>
      </w:r>
      <w:proofErr w:type="spellEnd"/>
      <w:r>
        <w:rPr>
          <w:rtl/>
        </w:rPr>
        <w:t xml:space="preserve"> בעי”! הוא הסכים עם הרבי שעל תלמידו להפליג לביתו באונייה איטית, כדי – כך רשאים אנו לשער – שיהיה לו זמן לחשוב ולהסתגל לשינוי העצום שיהיה מוכרח להתמודד </w:t>
      </w:r>
      <w:proofErr w:type="spellStart"/>
      <w:r>
        <w:rPr>
          <w:rtl/>
        </w:rPr>
        <w:t>איתו</w:t>
      </w:r>
      <w:proofErr w:type="spellEnd"/>
      <w:r>
        <w:rPr>
          <w:rtl/>
        </w:rPr>
        <w:t xml:space="preserve"> בשובו למונטווידאו, אחרי ששהה בישיבה בברוקלין את כל שנות נעוריו מאז גיל </w:t>
      </w:r>
      <w:proofErr w:type="spellStart"/>
      <w:r>
        <w:rPr>
          <w:rtl/>
        </w:rPr>
        <w:t>אחת־עשרה</w:t>
      </w:r>
      <w:proofErr w:type="spellEnd"/>
      <w:r>
        <w:rPr>
          <w:rtl/>
        </w:rPr>
        <w:t>. אבי רצה לוודא שהבחור יצעד אל עתידו בביתו בלי ליצור רושם ראשוני מוטעה בהתנהגות שהתאימה לסביבתו בישיבה.</w:t>
      </w:r>
      <w:bookmarkStart w:id="3708" w:name="_fnr2777"/>
      <w:r>
        <w:rPr>
          <w:rStyle w:val="a5"/>
        </w:rPr>
        <w:footnoteReference w:id="2784" w:customMarkFollows="0"/>
      </w:r>
      <w:bookmarkEnd w:id="3708"/>
    </w:p>
    <w:p w14:paraId="098A80CD" w14:textId="77777777" w:rsidR="00AB3647" w:rsidRDefault="00000000" w:rsidP="007923E9">
      <w:pPr>
        <w:spacing w:after="120" w:line="276" w:lineRule="auto"/>
        <w:ind w:firstLine="283"/>
        <w:jc w:val="both"/>
      </w:pPr>
      <w:r>
        <w:rPr>
          <w:rtl/>
        </w:rPr>
        <w:t xml:space="preserve">כנראה גם עצתו הטובה של הרבי הייתה מבוססת על שיקול זה, ולא על ראיית הנסתר – שאם לא כן היה אומר לו לטוס בטיסה אחרת, בלי שיצטרך לשהות </w:t>
      </w:r>
      <w:r>
        <w:rPr>
          <w:b/>
          <w:bCs/>
          <w:rtl/>
        </w:rPr>
        <w:t>שלושה שבועות</w:t>
      </w:r>
      <w:r>
        <w:rPr>
          <w:rtl/>
        </w:rPr>
        <w:t xml:space="preserve"> באונייה בלי אוכל כשר, כפי שסיפר הרב </w:t>
      </w:r>
      <w:proofErr w:type="spellStart"/>
      <w:r>
        <w:rPr>
          <w:rtl/>
        </w:rPr>
        <w:t>אברמצ׳יק</w:t>
      </w:r>
      <w:proofErr w:type="spellEnd"/>
      <w:r>
        <w:rPr>
          <w:rtl/>
        </w:rPr>
        <w:t xml:space="preserve"> שנאלץ לסבול!</w:t>
      </w:r>
    </w:p>
    <w:p w14:paraId="217BE941" w14:textId="77777777" w:rsidR="00AB3647" w:rsidRDefault="00000000" w:rsidP="007923E9">
      <w:pPr>
        <w:pStyle w:val="4"/>
        <w:spacing w:line="276" w:lineRule="auto"/>
      </w:pPr>
      <w:r>
        <w:t>· הפסקה התשיעית ·</w:t>
      </w:r>
    </w:p>
    <w:p w14:paraId="29B01F9B" w14:textId="77777777" w:rsidR="00AB3647" w:rsidRDefault="00000000" w:rsidP="007923E9">
      <w:pPr>
        <w:pStyle w:val="5"/>
        <w:spacing w:line="276" w:lineRule="auto"/>
      </w:pPr>
      <w:r>
        <w:t>רבנו נרתע מהפצת אמונות טפלות ומסרב להשתמש במחזור בעל חשיבות היסטורית – גנב פונה לעזרתו של רבי שנפטר – נסיעה לעמוקה</w:t>
      </w:r>
    </w:p>
    <w:p w14:paraId="64B9519A" w14:textId="77777777" w:rsidR="00AB3647" w:rsidRDefault="00000000" w:rsidP="007923E9">
      <w:pPr>
        <w:spacing w:after="120" w:line="276" w:lineRule="auto"/>
        <w:ind w:firstLine="283"/>
        <w:jc w:val="both"/>
      </w:pPr>
      <w:r>
        <w:rPr>
          <w:rtl/>
        </w:rPr>
        <w:t xml:space="preserve">כבר </w:t>
      </w:r>
      <w:proofErr w:type="spellStart"/>
      <w:r>
        <w:rPr>
          <w:rtl/>
        </w:rPr>
        <w:t>ב“מורה</w:t>
      </w:r>
      <w:proofErr w:type="spellEnd"/>
      <w:r>
        <w:rPr>
          <w:rtl/>
        </w:rPr>
        <w:t xml:space="preserve"> נבוכים” לרמב״ם</w:t>
      </w:r>
      <w:bookmarkStart w:id="3709" w:name="_fnr2778"/>
      <w:r>
        <w:rPr>
          <w:rStyle w:val="a5"/>
        </w:rPr>
        <w:footnoteReference w:id="2785" w:customMarkFollows="0"/>
      </w:r>
      <w:bookmarkEnd w:id="3709"/>
      <w:r>
        <w:rPr>
          <w:rtl/>
        </w:rPr>
        <w:t xml:space="preserve"> נאמר שאמונות טפלות רווחות, ובלשונו: “כי הרבה יטה ההמון להאמין בהבלים”.</w:t>
      </w:r>
      <w:bookmarkStart w:id="3710" w:name="_fnr2779"/>
      <w:bookmarkStart w:id="3711" w:name="pr_f_2676"/>
      <w:r>
        <w:rPr>
          <w:rStyle w:val="a5"/>
        </w:rPr>
        <w:footnoteReference w:id="2786" w:customMarkFollows="0"/>
      </w:r>
      <w:bookmarkEnd w:id="3710"/>
      <w:bookmarkEnd w:id="3711"/>
      <w:r>
        <w:rPr>
          <w:rtl/>
        </w:rPr>
        <w:t xml:space="preserve"> אבי הקפיד במיוחד שלא להזין את ילדיו בסיפורים על </w:t>
      </w:r>
      <w:proofErr w:type="spellStart"/>
      <w:r>
        <w:rPr>
          <w:rtl/>
        </w:rPr>
        <w:t>העל־טבעי</w:t>
      </w:r>
      <w:proofErr w:type="spellEnd"/>
      <w:r>
        <w:rPr>
          <w:rtl/>
        </w:rPr>
        <w:t>. דוגמה קטנה: בכל שנות ילדותנו לא שמענו מעולם שאליהו הנביא נכנס לבתי יהודים בליל הסדר ושותה מן הכוס</w:t>
      </w:r>
      <w:bookmarkStart w:id="3712" w:name="_fnr2780"/>
      <w:r>
        <w:rPr>
          <w:rStyle w:val="a5"/>
        </w:rPr>
        <w:footnoteReference w:id="2787" w:customMarkFollows="0"/>
      </w:r>
      <w:bookmarkEnd w:id="3712"/>
      <w:r>
        <w:rPr>
          <w:rtl/>
        </w:rPr>
        <w:t xml:space="preserve"> הקרויה על שמו [</w:t>
      </w:r>
      <w:r>
        <w:rPr>
          <w:b/>
          <w:bCs/>
          <w:rtl/>
        </w:rPr>
        <w:t>מטעם הלכתי</w:t>
      </w:r>
      <w:r>
        <w:rPr>
          <w:rtl/>
        </w:rPr>
        <w:t>].</w:t>
      </w:r>
    </w:p>
    <w:p w14:paraId="347C680C"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3713" w:name="_fnr2781"/>
      <w:proofErr w:type="spellEnd"/>
      <w:r>
        <w:rPr>
          <w:rStyle w:val="a5"/>
        </w:rPr>
        <w:footnoteReference w:id="2788" w:customMarkFollows="0"/>
      </w:r>
      <w:bookmarkEnd w:id="3713"/>
      <w:r>
        <w:rPr>
          <w:rtl/>
        </w:rPr>
        <w:t xml:space="preserve"> סיפר שלפני יום הכיפורים נמצא בספריית מתיבתא תורה ודעת מחזור שהיה שייך </w:t>
      </w:r>
      <w:r>
        <w:rPr>
          <w:b/>
          <w:bCs/>
          <w:rtl/>
        </w:rPr>
        <w:t>לתלמיד של</w:t>
      </w:r>
      <w:r>
        <w:rPr>
          <w:rtl/>
        </w:rPr>
        <w:t xml:space="preserve"> הגאון מווילנה, והציעו לאבי להתפלל בו. “לא”, השיב, “לי די במחזור שיש לי”. אחר כך הסביר </w:t>
      </w:r>
      <w:proofErr w:type="spellStart"/>
      <w:r>
        <w:rPr>
          <w:rtl/>
        </w:rPr>
        <w:t>לר</w:t>
      </w:r>
      <w:proofErr w:type="spellEnd"/>
      <w:r>
        <w:rPr>
          <w:rtl/>
        </w:rPr>
        <w:t xml:space="preserve">׳ </w:t>
      </w:r>
      <w:proofErr w:type="spellStart"/>
      <w:r>
        <w:rPr>
          <w:rtl/>
        </w:rPr>
        <w:t>לייבל</w:t>
      </w:r>
      <w:proofErr w:type="spellEnd"/>
      <w:r>
        <w:rPr>
          <w:rtl/>
        </w:rPr>
        <w:t xml:space="preserve">: “מי שיתפלל במחזור הזה, מן הסתם לא </w:t>
      </w:r>
      <w:r>
        <w:rPr>
          <w:rtl/>
        </w:rPr>
        <w:lastRenderedPageBreak/>
        <w:t>תיענינה תפילותיו, מפני שיחשוב [מתוך אמונה טפלה] שתשובה טובה מלמעלה מובטחת לו, ולא יעשה תשובה כלל”.</w:t>
      </w:r>
      <w:bookmarkStart w:id="3714" w:name="_fnr2782"/>
      <w:r>
        <w:rPr>
          <w:rStyle w:val="a5"/>
        </w:rPr>
        <w:footnoteReference w:id="2789" w:customMarkFollows="0"/>
      </w:r>
      <w:bookmarkEnd w:id="3714"/>
    </w:p>
    <w:p w14:paraId="23B06BCE" w14:textId="77777777" w:rsidR="00AB3647" w:rsidRDefault="00000000" w:rsidP="007923E9">
      <w:pPr>
        <w:spacing w:after="120" w:line="276" w:lineRule="auto"/>
        <w:ind w:firstLine="283"/>
        <w:jc w:val="both"/>
      </w:pPr>
      <w:r>
        <w:rPr>
          <w:rtl/>
        </w:rPr>
        <w:t>נתקלתי במקרה שבו חששו בעלי מוסר שאמונה טפלה תבוא במקום תשובה. השווה כץ, “תנועת המוסר”, כרך ב,</w:t>
      </w:r>
      <w:bookmarkStart w:id="3715" w:name="_fnr2783"/>
      <w:r>
        <w:rPr>
          <w:rStyle w:val="a5"/>
        </w:rPr>
        <w:footnoteReference w:id="2790" w:customMarkFollows="0"/>
      </w:r>
      <w:bookmarkEnd w:id="3715"/>
      <w:r>
        <w:rPr>
          <w:rtl/>
        </w:rPr>
        <w:t xml:space="preserve"> המציין שהתלמוד תורה </w:t>
      </w:r>
      <w:proofErr w:type="spellStart"/>
      <w:r>
        <w:rPr>
          <w:rtl/>
        </w:rPr>
        <w:t>בקלם</w:t>
      </w:r>
      <w:proofErr w:type="spellEnd"/>
      <w:r>
        <w:rPr>
          <w:rtl/>
        </w:rPr>
        <w:t xml:space="preserve"> ביטל את מנהג תשליך – </w:t>
      </w:r>
      <w:proofErr w:type="spellStart"/>
      <w:r>
        <w:rPr>
          <w:rtl/>
        </w:rPr>
        <w:t>שהרמ״א</w:t>
      </w:r>
      <w:proofErr w:type="spellEnd"/>
      <w:r>
        <w:rPr>
          <w:rtl/>
        </w:rPr>
        <w:t xml:space="preserve"> ממליץ עליו</w:t>
      </w:r>
      <w:bookmarkStart w:id="3716" w:name="_fnr2784"/>
      <w:r>
        <w:rPr>
          <w:rStyle w:val="a5"/>
        </w:rPr>
        <w:footnoteReference w:id="2791" w:customMarkFollows="0"/>
      </w:r>
      <w:bookmarkEnd w:id="3716"/>
      <w:r>
        <w:rPr>
          <w:rtl/>
        </w:rPr>
        <w:t xml:space="preserve"> – כדי לשלול את האמונה הטפלה שאפשר להסיר את העוונות ולהשליכם לנהר. השווה גם “כוכבי אור”,</w:t>
      </w:r>
      <w:bookmarkStart w:id="3717" w:name="_fnr2785"/>
      <w:r>
        <w:rPr>
          <w:rStyle w:val="a5"/>
        </w:rPr>
        <w:footnoteReference w:id="2792" w:customMarkFollows="0"/>
      </w:r>
      <w:bookmarkEnd w:id="3717"/>
      <w:r>
        <w:rPr>
          <w:rtl/>
        </w:rPr>
        <w:t xml:space="preserve"> הכותב שכאשר שהה ר׳ </w:t>
      </w:r>
      <w:proofErr w:type="spellStart"/>
      <w:r>
        <w:rPr>
          <w:rtl/>
        </w:rPr>
        <w:t>איצל׳ה</w:t>
      </w:r>
      <w:proofErr w:type="spellEnd"/>
      <w:r>
        <w:rPr>
          <w:rtl/>
        </w:rPr>
        <w:t xml:space="preserve"> </w:t>
      </w:r>
      <w:proofErr w:type="spellStart"/>
      <w:r>
        <w:rPr>
          <w:rtl/>
        </w:rPr>
        <w:t>בלאזר</w:t>
      </w:r>
      <w:proofErr w:type="spellEnd"/>
      <w:r>
        <w:rPr>
          <w:rtl/>
        </w:rPr>
        <w:t xml:space="preserve"> בראש השנה </w:t>
      </w:r>
      <w:proofErr w:type="spellStart"/>
      <w:r>
        <w:rPr>
          <w:rtl/>
        </w:rPr>
        <w:t>בקלם</w:t>
      </w:r>
      <w:proofErr w:type="spellEnd"/>
      <w:r>
        <w:rPr>
          <w:rtl/>
        </w:rPr>
        <w:t xml:space="preserve"> – כפי שנהג לעשות אחרי פטירת ר׳ </w:t>
      </w:r>
      <w:proofErr w:type="spellStart"/>
      <w:r>
        <w:rPr>
          <w:rtl/>
        </w:rPr>
        <w:t>שמחה־זיסל</w:t>
      </w:r>
      <w:bookmarkStart w:id="3718" w:name="_fnr2786"/>
      <w:proofErr w:type="spellEnd"/>
      <w:r>
        <w:rPr>
          <w:rStyle w:val="a5"/>
        </w:rPr>
        <w:footnoteReference w:id="2793" w:customMarkFollows="0"/>
      </w:r>
      <w:bookmarkEnd w:id="3718"/>
      <w:r>
        <w:rPr>
          <w:rtl/>
        </w:rPr>
        <w:t xml:space="preserve"> – הוא אכן קיים את מנהג תשליך. מסופר שם: “פעם אחת שאל אותו אחד התלמידים מדוע אינו נוהג כמנהג המקום [שלא לומר תשליך], והשיב: ‘אם אהיה פיקח מדי, חושש אני שכשאבוא לדין לאחר מאה ועשרים שנה, יבדקו עד כמה אני באמת חכם. לכן מוטב שאנהג לפי פסק </w:t>
      </w:r>
      <w:proofErr w:type="spellStart"/>
      <w:r>
        <w:rPr>
          <w:rtl/>
        </w:rPr>
        <w:t>הרמ״א</w:t>
      </w:r>
      <w:proofErr w:type="spellEnd"/>
      <w:r>
        <w:rPr>
          <w:rtl/>
        </w:rPr>
        <w:t xml:space="preserve">׳. ר׳ </w:t>
      </w:r>
      <w:proofErr w:type="spellStart"/>
      <w:r>
        <w:rPr>
          <w:rtl/>
        </w:rPr>
        <w:t>איצל׳ה</w:t>
      </w:r>
      <w:proofErr w:type="spellEnd"/>
      <w:r>
        <w:rPr>
          <w:rtl/>
        </w:rPr>
        <w:t xml:space="preserve"> הוסיף גם [לכאורה כדי שלא להתעמת עם מי שביטל מלכתחילה את מנהג תשליך </w:t>
      </w:r>
      <w:proofErr w:type="spellStart"/>
      <w:r>
        <w:rPr>
          <w:rtl/>
        </w:rPr>
        <w:t>בקלם</w:t>
      </w:r>
      <w:proofErr w:type="spellEnd"/>
      <w:r>
        <w:rPr>
          <w:rtl/>
        </w:rPr>
        <w:t>]: ‘הכול לפי הכוונה’”.</w:t>
      </w:r>
      <w:bookmarkStart w:id="3719" w:name="_fnr2787"/>
      <w:r>
        <w:rPr>
          <w:rStyle w:val="a5"/>
        </w:rPr>
        <w:footnoteReference w:id="2794" w:customMarkFollows="0"/>
      </w:r>
      <w:bookmarkEnd w:id="3719"/>
    </w:p>
    <w:p w14:paraId="42247056" w14:textId="77777777" w:rsidR="00AB3647" w:rsidRDefault="00000000" w:rsidP="007923E9">
      <w:pPr>
        <w:spacing w:after="120" w:line="276" w:lineRule="auto"/>
        <w:ind w:firstLine="283"/>
        <w:jc w:val="both"/>
      </w:pPr>
      <w:r>
        <w:rPr>
          <w:rtl/>
        </w:rPr>
        <w:t xml:space="preserve">ברור לי שכאשר הציעו לאבי את המחזור הישן, לא היה לו, מתוך אמונה טפלה, שום עניין להתפלל בו. את “הסברו” – שתפילה במחזור תסיח את הדעת מן הצורך בתשובה – הוסיף אחר כך רק כדי שחוסר עניינו במחזור העתיק לא יזעזע תלמידים שחונכו כפי שתיאר </w:t>
      </w:r>
      <w:proofErr w:type="spellStart"/>
      <w:r>
        <w:rPr>
          <w:rtl/>
        </w:rPr>
        <w:t>ה“מורה</w:t>
      </w:r>
      <w:proofErr w:type="spellEnd"/>
      <w:r>
        <w:rPr>
          <w:rtl/>
        </w:rPr>
        <w:t xml:space="preserve"> נבוכים” המצוטט בראש פסקה זו.</w:t>
      </w:r>
    </w:p>
    <w:p w14:paraId="0AF67D6B" w14:textId="77777777" w:rsidR="00AB3647" w:rsidRDefault="00000000" w:rsidP="007923E9">
      <w:pPr>
        <w:spacing w:after="120" w:line="276" w:lineRule="auto"/>
        <w:ind w:firstLine="283"/>
        <w:jc w:val="both"/>
      </w:pPr>
      <w:r>
        <w:rPr>
          <w:rtl/>
        </w:rPr>
        <w:t xml:space="preserve">שתי דוגמאות לאמונות טפלות שהתגלו בימינו הגיעו לידיעתי. בספרייה הלאומית בירושלים היה עותק שלם של המהדורה הראשונה של “נועם אלימלך”. יום אחד שאל אותו אדם כדי “לקרוא” בו בחדר הקריאה ליהדות, והחזיר אותו כשחסרים בו שני עמודי השער – וכך פחת ערכו של הספר בחמישים אלף דולר מערכו בשעה שהוכנס לחדר. </w:t>
      </w:r>
      <w:proofErr w:type="spellStart"/>
      <w:r>
        <w:rPr>
          <w:rtl/>
        </w:rPr>
        <w:t>ה“קורא</w:t>
      </w:r>
      <w:proofErr w:type="spellEnd"/>
      <w:r>
        <w:rPr>
          <w:rtl/>
        </w:rPr>
        <w:t xml:space="preserve">” קרע את העמודים כדי להניחם מתחת לכריות של יולדות המקשות ללדת, שכן לפי אמונה עתיקה ר׳ אלימלך </w:t>
      </w:r>
      <w:proofErr w:type="spellStart"/>
      <w:r>
        <w:rPr>
          <w:rtl/>
        </w:rPr>
        <w:t>מליז׳נסק</w:t>
      </w:r>
      <w:proofErr w:type="spellEnd"/>
      <w:r>
        <w:rPr>
          <w:rtl/>
        </w:rPr>
        <w:t>, מחבר “נועם אלימלך”, מליץ טוב בעדן כשדפי השער של ספרו מונחים מתחת לראשיהן</w:t>
      </w:r>
      <w:bookmarkStart w:id="3720" w:name="_fnr2788"/>
      <w:r>
        <w:rPr>
          <w:rStyle w:val="a5"/>
        </w:rPr>
        <w:footnoteReference w:id="2795" w:customMarkFollows="0"/>
      </w:r>
      <w:bookmarkEnd w:id="3720"/>
      <w:bookmarkStart w:id="7032" w:name="_TranslatorNote_5389"/>
      <w:r>
        <w:rPr>
          <w:rStyle w:val="a5"/>
          <w:vertAlign w:val="superscript"/>
          <w:rtl/>
        </w:rPr>
        <w:footnoteReference w:id="2796" w:customMarkFollows="1"/>
        <w:t>*</w:t>
      </w:r>
      <w:bookmarkEnd w:id="7032"/>
      <w:r>
        <w:rPr>
          <w:rtl/>
        </w:rPr>
        <w:t>.</w:t>
      </w:r>
    </w:p>
    <w:p w14:paraId="2D36341C" w14:textId="77777777" w:rsidR="00AB3647" w:rsidRDefault="00000000" w:rsidP="007923E9">
      <w:pPr>
        <w:spacing w:after="120" w:line="276" w:lineRule="auto"/>
        <w:ind w:firstLine="283"/>
        <w:jc w:val="both"/>
      </w:pPr>
      <w:r>
        <w:rPr>
          <w:rtl/>
        </w:rPr>
        <w:lastRenderedPageBreak/>
        <w:t>אילו סבר העבריין שתפילות לקב״ה הן הגורמות לתועלת, ודאי היה מבין שהקב״ה לא ישמע תפילה שבאה בעקבות גזל. הנבל ודאי האמין באמונה טפלה שבדפי “נועם אלימלך” גלומים כוחות קסם מרפאים כשלעצמם.</w:t>
      </w:r>
    </w:p>
    <w:p w14:paraId="1379DF88" w14:textId="77777777" w:rsidR="00AB3647" w:rsidRDefault="00000000" w:rsidP="007923E9">
      <w:pPr>
        <w:spacing w:after="120" w:line="276" w:lineRule="auto"/>
        <w:ind w:firstLine="283"/>
        <w:jc w:val="both"/>
      </w:pPr>
      <w:r>
        <w:rPr>
          <w:rtl/>
        </w:rPr>
        <w:t>מקרה נוסף של אמונה טפלה הגיע לידיעתי מתוך ביקורת על הספר “אור הגליל” בעיתון “הצופה”</w:t>
      </w:r>
      <w:bookmarkStart w:id="3721" w:name="_fnr2789"/>
      <w:r>
        <w:rPr>
          <w:rStyle w:val="a5"/>
        </w:rPr>
        <w:footnoteReference w:id="2797" w:customMarkFollows="0"/>
      </w:r>
      <w:bookmarkEnd w:id="3721"/>
      <w:r>
        <w:rPr>
          <w:rtl/>
        </w:rPr>
        <w:t xml:space="preserve">. המבקר, ר׳ מאיר וונדר, חקר וגילה שהאמונה בכוחה של התפילה בקברו של התנא יונתן בן עוזיאל בעמוקה לא הייתה קיימת עד שחברת תיירות בירושלים המציאה את </w:t>
      </w:r>
      <w:proofErr w:type="spellStart"/>
      <w:r>
        <w:rPr>
          <w:rtl/>
        </w:rPr>
        <w:t>ה“מסורת</w:t>
      </w:r>
      <w:proofErr w:type="spellEnd"/>
      <w:r>
        <w:rPr>
          <w:rtl/>
        </w:rPr>
        <w:t>” בסביבות תשי״ג. ר׳ מאיר סיפר לי מה הביא אותו לחקירה: מכרה רווקה נסעה במונית פרטית עם נהג זר בדרך הארוכה והבודדה בין הרי הגליל ויערותיו, כדי לבקר בקבר – מקום שהתפילה בו על מציאת זיווג נחשבה יעילה במיוחד</w:t>
      </w:r>
      <w:bookmarkStart w:id="3722" w:name="_fnr2790"/>
      <w:bookmarkStart w:id="3723" w:name="pr_f_2687"/>
      <w:r>
        <w:rPr>
          <w:rStyle w:val="a5"/>
        </w:rPr>
        <w:footnoteReference w:id="2798" w:customMarkFollows="0"/>
      </w:r>
      <w:bookmarkEnd w:id="3722"/>
      <w:bookmarkEnd w:id="3723"/>
      <w:r>
        <w:rPr>
          <w:rtl/>
        </w:rPr>
        <w:t>.</w:t>
      </w:r>
    </w:p>
    <w:p w14:paraId="45811137" w14:textId="77777777" w:rsidR="00AB3647" w:rsidRDefault="00000000" w:rsidP="007923E9">
      <w:pPr>
        <w:spacing w:after="120" w:line="276" w:lineRule="auto"/>
        <w:ind w:firstLine="283"/>
        <w:jc w:val="both"/>
      </w:pPr>
      <w:r>
        <w:rPr>
          <w:rtl/>
        </w:rPr>
        <w:t>האישה הרווקה שדרבנה את המבקר למחקרו סיכנה את עצמה כדי להגיע לעמוקה. נראה בעליל שהאמינה אמונה טפלה במעשה שעשתה, עד שחשה מוגנת כבתוך רשת ביטחון קסומה בשעת הנסיעה המסוכנת עם הזר (וכנראה אף האסורה על פי ההלכה). הנסיעה לגליל לא הביאה עליה אסון, אבל גם לא שמחה.</w:t>
      </w:r>
    </w:p>
    <w:p w14:paraId="037E364A" w14:textId="77777777" w:rsidR="00AB3647" w:rsidRDefault="00000000" w:rsidP="007923E9">
      <w:pPr>
        <w:pStyle w:val="4"/>
        <w:spacing w:line="276" w:lineRule="auto"/>
      </w:pPr>
      <w:r>
        <w:t>· הפסקה העשירית ·</w:t>
      </w:r>
    </w:p>
    <w:p w14:paraId="1BF5570D" w14:textId="77777777" w:rsidR="00AB3647" w:rsidRDefault="00000000" w:rsidP="007923E9">
      <w:pPr>
        <w:pStyle w:val="5"/>
        <w:spacing w:line="276" w:lineRule="auto"/>
      </w:pPr>
      <w:r>
        <w:t xml:space="preserve">ר׳ לייב חסיד מסייע </w:t>
      </w:r>
      <w:proofErr w:type="spellStart"/>
      <w:r>
        <w:t>ב“טהרה</w:t>
      </w:r>
      <w:proofErr w:type="spellEnd"/>
      <w:r>
        <w:t>” של עצמו</w:t>
      </w:r>
    </w:p>
    <w:p w14:paraId="2E1960F8" w14:textId="77777777" w:rsidR="00AB3647" w:rsidRDefault="00000000" w:rsidP="007923E9">
      <w:pPr>
        <w:spacing w:after="120" w:line="276" w:lineRule="auto"/>
        <w:ind w:firstLine="283"/>
        <w:jc w:val="both"/>
      </w:pPr>
      <w:bookmarkStart w:id="3724" w:name="pr_b_1607"/>
      <w:bookmarkEnd w:id="3724"/>
      <w:r>
        <w:rPr>
          <w:rtl/>
        </w:rPr>
        <w:t xml:space="preserve">מלבד האגדה </w:t>
      </w:r>
      <w:proofErr w:type="spellStart"/>
      <w:r>
        <w:rPr>
          <w:rtl/>
        </w:rPr>
        <w:t>הציטוביאנית</w:t>
      </w:r>
      <w:proofErr w:type="spellEnd"/>
      <w:r>
        <w:rPr>
          <w:rtl/>
        </w:rPr>
        <w:t xml:space="preserve"> על ר׳ לייב חסיד שנרשמה בעמ׳ </w:t>
      </w:r>
      <w:r>
        <w:rPr>
          <w:rtl/>
        </w:rPr>
        <w:fldChar w:fldCharType="begin" w:dirty="true"/>
      </w:r>
      <w:r>
        <w:rPr>
          <w:rtl/>
        </w:rPr>
        <w:instrText xml:space="preserve"> PAGEREF pr_b_1546 \h </w:instrText>
      </w:r>
      <w:r>
        <w:rPr>
          <w:rtl/>
        </w:rPr>
      </w:r>
      <w:r>
        <w:rPr>
          <w:rtl/>
        </w:rPr>
        <w:fldChar w:fldCharType="separate"/>
      </w:r>
      <w:r w:rsidR="007923E9">
        <w:rPr>
          <w:noProof/>
          <w:rtl/>
        </w:rPr>
        <w:t>1</w:t>
      </w:r>
      <w:r>
        <w:rPr>
          <w:rtl/>
        </w:rPr>
        <w:fldChar w:fldCharType="end"/>
      </w:r>
      <w:r>
        <w:rPr>
          <w:rtl/>
        </w:rPr>
        <w:t xml:space="preserve"> לעיל, מסר ר׳ </w:t>
      </w:r>
      <w:proofErr w:type="spellStart"/>
      <w:r>
        <w:rPr>
          <w:rtl/>
        </w:rPr>
        <w:t>יאשה־לייזר</w:t>
      </w:r>
      <w:proofErr w:type="spellEnd"/>
      <w:r>
        <w:rPr>
          <w:rtl/>
        </w:rPr>
        <w:t xml:space="preserve"> </w:t>
      </w:r>
      <w:proofErr w:type="spellStart"/>
      <w:r>
        <w:rPr>
          <w:rtl/>
        </w:rPr>
        <w:t>סנסוליס</w:t>
      </w:r>
      <w:proofErr w:type="spellEnd"/>
      <w:r>
        <w:rPr>
          <w:rtl/>
        </w:rPr>
        <w:t xml:space="preserve">, ניצול השואה </w:t>
      </w:r>
      <w:proofErr w:type="spellStart"/>
      <w:r>
        <w:rPr>
          <w:rtl/>
        </w:rPr>
        <w:t>מציטוביאן</w:t>
      </w:r>
      <w:proofErr w:type="spellEnd"/>
      <w:r>
        <w:rPr>
          <w:rtl/>
        </w:rPr>
        <w:t xml:space="preserve">, עוד סיפור </w:t>
      </w:r>
      <w:proofErr w:type="spellStart"/>
      <w:r>
        <w:rPr>
          <w:rtl/>
        </w:rPr>
        <w:t>על־טבעי</w:t>
      </w:r>
      <w:proofErr w:type="spellEnd"/>
      <w:r>
        <w:rPr>
          <w:rtl/>
        </w:rPr>
        <w:t xml:space="preserve"> על הצדיק. כשנפטר ר׳ לייב, נשאו יהודי </w:t>
      </w:r>
      <w:proofErr w:type="spellStart"/>
      <w:r>
        <w:rPr>
          <w:rtl/>
        </w:rPr>
        <w:t>ציטוביאן</w:t>
      </w:r>
      <w:proofErr w:type="spellEnd"/>
      <w:r>
        <w:rPr>
          <w:rtl/>
        </w:rPr>
        <w:t xml:space="preserve"> את גופתו עד מחצית הדרך לעיר הולדתו, קלם, ומשם נשאו אותה יהודי קלם את יתרת הדרך. כשהונחה הגופה במקווה לטהרה, דיווחו אנשי החברה קדישא שהיא שקעה במים ואחר כך עלתה מעצמה. ביקרתי בבית העלמין של קלם</w:t>
      </w:r>
      <w:bookmarkStart w:id="3725" w:name="_fnr2791"/>
      <w:r>
        <w:rPr>
          <w:rStyle w:val="a5"/>
        </w:rPr>
        <w:footnoteReference w:id="2799" w:customMarkFollows="0"/>
      </w:r>
      <w:bookmarkEnd w:id="3725"/>
      <w:r>
        <w:rPr>
          <w:rtl/>
        </w:rPr>
        <w:t xml:space="preserve"> וראיתי בו שני אוהלים בלי ציון. לדברי ר׳ </w:t>
      </w:r>
      <w:proofErr w:type="spellStart"/>
      <w:r>
        <w:rPr>
          <w:rtl/>
        </w:rPr>
        <w:t>יאשה־לייזר</w:t>
      </w:r>
      <w:proofErr w:type="spellEnd"/>
      <w:r>
        <w:rPr>
          <w:rtl/>
        </w:rPr>
        <w:t>, אחד מהם עומד על קברו של ר׳ לייב חסיד, והשני על קברו של רב לא מזוהה מקלם.</w:t>
      </w:r>
    </w:p>
    <w:bookmarkStart w:id="3726" w:name="b3_excAA"/>
    <w:p w14:paraId="1EA9DC5E" w14:textId="77777777" w:rsidR="00AB3647" w:rsidRDefault="00000000" w:rsidP="007923E9">
      <w:pPr>
        <w:pStyle w:val="3"/>
        <w:spacing w:line="276" w:lineRule="auto"/>
      </w:pPr>
      <w:r>
        <w:lastRenderedPageBreak/>
        <w:fldChar w:fldCharType="begin" w:dirty="true"/>
      </w:r>
      <w:r>
        <w:rPr>
          <w:rtl w:val="0"/>
        </w:rPr>
        <w:instrText>HYPERLINK \l "b3_note116</w:instrText>
      </w:r>
      <w:r>
        <w:instrText>"</w:instrText>
      </w:r>
      <w:r>
        <w:fldChar w:fldCharType="separate"/>
      </w:r>
      <w:r>
        <w:t xml:space="preserve">נספח </w:t>
      </w:r>
      <w:proofErr w:type="spellStart"/>
      <w:r>
        <w:t>כז</w:t>
      </w:r>
      <w:proofErr w:type="spellEnd"/>
      <w:r>
        <w:fldChar w:fldCharType="end"/>
      </w:r>
      <w:bookmarkEnd w:id="3726"/>
    </w:p>
    <w:p w14:paraId="7577C68E" w14:textId="77777777" w:rsidR="00AB3647" w:rsidRDefault="00000000" w:rsidP="007923E9">
      <w:pPr>
        <w:pStyle w:val="af"/>
        <w:spacing w:line="276" w:lineRule="auto"/>
      </w:pPr>
      <w:r>
        <w:t xml:space="preserve">על תפקידיו ואופיו של ר׳ </w:t>
      </w:r>
      <w:proofErr w:type="spellStart"/>
      <w:r>
        <w:t xml:space="preserve">בער־הירש</w:t>
      </w:r>
      <w:proofErr w:type="spellEnd"/>
      <w:r>
        <w:t xml:space="preserve"> </w:t>
      </w:r>
      <w:proofErr w:type="spellStart"/>
      <w:r>
        <w:t xml:space="preserve">הלר</w:t>
      </w:r>
      <w:proofErr w:type="spellEnd"/>
    </w:p>
    <w:p w14:paraId="0F092F93" w14:textId="77777777" w:rsidR="00AB3647" w:rsidRDefault="00000000" w:rsidP="007923E9">
      <w:pPr>
        <w:pStyle w:val="4"/>
        <w:spacing w:line="276" w:lineRule="auto"/>
      </w:pPr>
      <w:r>
        <w:t>· הפסקה הראשונה ·</w:t>
      </w:r>
    </w:p>
    <w:p w14:paraId="6E72C2C9" w14:textId="77777777" w:rsidR="00AB3647" w:rsidRDefault="00000000" w:rsidP="007923E9">
      <w:pPr>
        <w:pStyle w:val="5"/>
        <w:spacing w:line="276" w:lineRule="auto"/>
      </w:pPr>
      <w:r>
        <w:t xml:space="preserve">תלמידים ותיקים מתארים את ר׳ </w:t>
      </w:r>
      <w:proofErr w:type="spellStart"/>
      <w:r>
        <w:t xml:space="preserve">בער־הירש</w:t>
      </w:r>
      <w:proofErr w:type="spellEnd"/>
      <w:r>
        <w:t xml:space="preserve"> – השפעתו על ציבור התלמידים</w:t>
      </w:r>
    </w:p>
    <w:p w14:paraId="43A7958D" w14:textId="77777777" w:rsidR="00AB3647" w:rsidRDefault="00000000" w:rsidP="007923E9">
      <w:pPr>
        <w:spacing w:after="120" w:line="276" w:lineRule="auto"/>
        <w:ind w:firstLine="283"/>
        <w:jc w:val="both"/>
      </w:pPr>
      <w:r>
        <w:rPr>
          <w:rtl/>
        </w:rPr>
        <w:t xml:space="preserve">הציטוטים הבאים, מפי כמה מרואיינים ומסודרים לפי נושא, מתארים כיצד מילא ר׳ </w:t>
      </w:r>
      <w:proofErr w:type="spellStart"/>
      <w:r>
        <w:rPr>
          <w:rtl/>
        </w:rPr>
        <w:t xml:space="preserve">בער־הירש</w:t>
      </w:r>
      <w:proofErr w:type="spellEnd"/>
      <w:r>
        <w:rPr>
          <w:rtl/>
        </w:rPr>
        <w:t xml:space="preserve"> את תפקידו. (1) ר׳ מרדכי </w:t>
      </w:r>
      <w:proofErr w:type="spellStart"/>
      <w:r>
        <w:rPr>
          <w:rtl/>
        </w:rPr>
        <w:t>קרלינסקי</w:t>
      </w:r>
      <w:bookmarkStart w:id="3727" w:name="_fnr2792"/>
      <w:proofErr w:type="spellEnd"/>
      <w:r>
        <w:rPr>
          <w:rStyle w:val="a5"/>
        </w:rPr>
        <w:footnoteReference w:id="2800" w:customMarkFollows="0"/>
      </w:r>
      <w:bookmarkEnd w:id="3727"/>
      <w:r>
        <w:rPr>
          <w:rtl/>
        </w:rPr>
        <w:t xml:space="preserve">: “קשה לתפוס איזה משגיח היה ר׳ </w:t>
      </w:r>
      <w:proofErr w:type="spellStart"/>
      <w:r>
        <w:rPr>
          <w:rtl/>
        </w:rPr>
        <w:t xml:space="preserve">בער־הירש</w:t>
      </w:r>
      <w:proofErr w:type="spellEnd"/>
      <w:r>
        <w:rPr>
          <w:rtl/>
        </w:rPr>
        <w:t xml:space="preserve">. לא היה בחור, גדול או קטן, שלא היה נתון להשגחת עינו. לא היה דבר שלא ידע.” (2) ר׳ </w:t>
      </w:r>
      <w:proofErr w:type="spellStart"/>
      <w:r>
        <w:rPr>
          <w:rtl/>
        </w:rPr>
        <w:t>אלעזר־מנחם־מן</w:t>
      </w:r>
      <w:proofErr w:type="spellEnd"/>
      <w:r>
        <w:rPr>
          <w:rtl/>
        </w:rPr>
        <w:t xml:space="preserve"> שך</w:t>
      </w:r>
      <w:bookmarkStart w:id="3728" w:name="_fnr2793"/>
      <w:r>
        <w:rPr>
          <w:rStyle w:val="a5"/>
        </w:rPr>
        <w:footnoteReference w:id="2801" w:customMarkFollows="0"/>
      </w:r>
      <w:bookmarkEnd w:id="3728"/>
      <w:r>
        <w:rPr>
          <w:rtl/>
        </w:rPr>
        <w:t>: “</w:t>
      </w:r>
      <w:proofErr w:type="spellStart"/>
      <w:r>
        <w:rPr>
          <w:rtl/>
        </w:rPr>
        <w:t>לר</w:t>
      </w:r>
      <w:proofErr w:type="spellEnd"/>
      <w:r>
        <w:rPr>
          <w:rtl/>
        </w:rPr>
        <w:t xml:space="preserve">׳ </w:t>
      </w:r>
      <w:proofErr w:type="spellStart"/>
      <w:r>
        <w:rPr>
          <w:rtl/>
        </w:rPr>
        <w:t xml:space="preserve">בער־הירש</w:t>
      </w:r>
      <w:proofErr w:type="spellEnd"/>
      <w:r>
        <w:rPr>
          <w:rtl/>
        </w:rPr>
        <w:t xml:space="preserve"> היו מודיעים אילו בחורים חולים, והוא היה שולח תלמיד לעמוד לומר פרק תהילים.”</w:t>
      </w:r>
    </w:p>
    <w:p w14:paraId="0F2117DE" w14:textId="77777777" w:rsidR="00AB3647" w:rsidRDefault="00000000" w:rsidP="007923E9">
      <w:pPr>
        <w:spacing w:after="120" w:line="276" w:lineRule="auto"/>
        <w:ind w:firstLine="283"/>
        <w:jc w:val="both"/>
      </w:pPr>
      <w:r>
        <w:rPr>
          <w:rtl/>
        </w:rPr>
        <w:t xml:space="preserve">(3) ר׳ אליהו </w:t>
      </w:r>
      <w:proofErr w:type="spellStart"/>
      <w:r>
        <w:rPr>
          <w:rtl/>
        </w:rPr>
        <w:t>קושלבסקי</w:t>
      </w:r>
      <w:bookmarkStart w:id="3729" w:name="_fnr2794"/>
      <w:proofErr w:type="spellEnd"/>
      <w:r>
        <w:rPr>
          <w:rStyle w:val="a5"/>
        </w:rPr>
        <w:footnoteReference w:id="2802" w:customMarkFollows="0"/>
      </w:r>
      <w:bookmarkEnd w:id="3729"/>
      <w:r>
        <w:rPr>
          <w:rtl/>
        </w:rPr>
        <w:t xml:space="preserve">: “כשלמדתי </w:t>
      </w:r>
      <w:proofErr w:type="spellStart"/>
      <w:r>
        <w:rPr>
          <w:rtl/>
        </w:rPr>
        <w:t>בסלבודקה</w:t>
      </w:r>
      <w:proofErr w:type="spellEnd"/>
      <w:r>
        <w:rPr>
          <w:rtl/>
        </w:rPr>
        <w:t xml:space="preserve"> הייתי צעיר מכדי להעריך את ר׳ </w:t>
      </w:r>
      <w:proofErr w:type="spellStart"/>
      <w:r>
        <w:rPr>
          <w:rtl/>
        </w:rPr>
        <w:t xml:space="preserve">בער־הירש</w:t>
      </w:r>
      <w:proofErr w:type="spellEnd"/>
      <w:r>
        <w:rPr>
          <w:rtl/>
        </w:rPr>
        <w:t xml:space="preserve"> במלואו, אבל הוא היה אדם אהוב מאוד. אינני זוכר שהטיח דברים באיש; הוא ראה הכול והניד בראשו – זו הייתה דרכו להוכיח תלמיד. הוא ישב במרכז בית המדרש, על ספסל סמוך לבימה שממנו נשקפה הכניסה, ומשם יכול היה לראות אם מישהו נכנס באיחור.</w:t>
      </w:r>
      <w:bookmarkStart w:id="3730" w:name="_fnr2795"/>
      <w:r>
        <w:rPr>
          <w:rStyle w:val="a5"/>
        </w:rPr>
        <w:footnoteReference w:id="2803" w:customMarkFollows="0"/>
      </w:r>
      <w:bookmarkEnd w:id="3730"/>
      <w:r>
        <w:rPr>
          <w:rtl/>
        </w:rPr>
        <w:t xml:space="preserve"> אם לא היה לתלמיד מקום לישון, היה ר׳ </w:t>
      </w:r>
      <w:proofErr w:type="spellStart"/>
      <w:r>
        <w:rPr>
          <w:rtl/>
        </w:rPr>
        <w:t xml:space="preserve">בער־הירש</w:t>
      </w:r>
      <w:proofErr w:type="spellEnd"/>
      <w:r>
        <w:rPr>
          <w:rtl/>
        </w:rPr>
        <w:t xml:space="preserve"> מכניס אותו לביתו – כפי שאירע לי: הייתי צריך לישון בביתו למעלה משבוע. היו </w:t>
      </w:r>
      <w:proofErr w:type="spellStart"/>
      <w:r>
        <w:rPr>
          <w:rtl/>
        </w:rPr>
        <w:t>סטנציות</w:t>
      </w:r>
      <w:proofErr w:type="spellEnd"/>
      <w:r>
        <w:rPr>
          <w:rtl/>
        </w:rPr>
        <w:t xml:space="preserve"> מיוחדות לאכילה בלבד, כשם שהיו כאלה שסיפקו גם לינה וגם מזון. בתקופה שבה ישנתי בבית ר׳ </w:t>
      </w:r>
      <w:proofErr w:type="spellStart"/>
      <w:r>
        <w:rPr>
          <w:rtl/>
        </w:rPr>
        <w:t xml:space="preserve">בער־הירש</w:t>
      </w:r>
      <w:proofErr w:type="spellEnd"/>
      <w:r>
        <w:rPr>
          <w:rtl/>
        </w:rPr>
        <w:t xml:space="preserve"> אכלתי </w:t>
      </w:r>
      <w:proofErr w:type="spellStart"/>
      <w:r>
        <w:rPr>
          <w:rtl/>
        </w:rPr>
        <w:t>ב‘סטנציה</w:t>
      </w:r>
      <w:proofErr w:type="spellEnd"/>
      <w:r>
        <w:rPr>
          <w:rtl/>
        </w:rPr>
        <w:t xml:space="preserve"> לאכילה’.”</w:t>
      </w:r>
    </w:p>
    <w:p w14:paraId="039D6ABB" w14:textId="77777777" w:rsidR="00AB3647" w:rsidRDefault="00000000" w:rsidP="007923E9">
      <w:pPr>
        <w:spacing w:after="120" w:line="276" w:lineRule="auto"/>
        <w:ind w:firstLine="283"/>
        <w:jc w:val="both"/>
      </w:pPr>
      <w:r>
        <w:rPr>
          <w:rtl/>
        </w:rPr>
        <w:t xml:space="preserve">(4) ר׳ קופל </w:t>
      </w:r>
      <w:proofErr w:type="spellStart"/>
      <w:r>
        <w:rPr>
          <w:rtl/>
        </w:rPr>
        <w:t>וולפרט</w:t>
      </w:r>
      <w:bookmarkStart w:id="3731" w:name="_fnr2796"/>
      <w:proofErr w:type="spellEnd"/>
      <w:r>
        <w:rPr>
          <w:rStyle w:val="a5"/>
        </w:rPr>
        <w:footnoteReference w:id="2804" w:customMarkFollows="0"/>
      </w:r>
      <w:bookmarkEnd w:id="3731"/>
      <w:r>
        <w:rPr>
          <w:rtl/>
        </w:rPr>
        <w:t xml:space="preserve">: “הוא היה ספר תורה; נהג כבוד בכל אדם ודיבר בענווה. הוא פעל כמשגיח בכוח האהבה שהקרין ולא בהטלת פחד. הוא היה אדם תמים כל כך, ועם זאת אדם גדול. ניחן בכוח משיכה עצום; כל תלמיד הרגיש כאילו הוא הבחור היחיד בישיבה. ר׳ </w:t>
      </w:r>
      <w:proofErr w:type="spellStart"/>
      <w:r>
        <w:rPr>
          <w:rtl/>
        </w:rPr>
        <w:t xml:space="preserve">בער־הירש</w:t>
      </w:r>
      <w:proofErr w:type="spellEnd"/>
      <w:r>
        <w:rPr>
          <w:rtl/>
        </w:rPr>
        <w:t xml:space="preserve"> הקשיב לתלונותיו של כל אחד. היה אדם שקט מאוד ומכובד, שהכול כיבדוהו בלי גבול. אינני יודע אם הרצה אי פעם בפני התלמידים,</w:t>
      </w:r>
      <w:bookmarkStart w:id="3732" w:name="_fnr2797"/>
      <w:r>
        <w:rPr>
          <w:rStyle w:val="a5"/>
        </w:rPr>
        <w:footnoteReference w:id="2805" w:customMarkFollows="0"/>
      </w:r>
      <w:bookmarkEnd w:id="3732"/>
      <w:r>
        <w:rPr>
          <w:rtl/>
        </w:rPr>
        <w:t xml:space="preserve"> אבל אם בחור נעדר יומיים או שלושה, היה עליו לדעת מה קרה. הוא היה שם כדי לייעץ לבחורים ולהשגיח עליהם.”</w:t>
      </w:r>
    </w:p>
    <w:p w14:paraId="49143B8F" w14:textId="77777777" w:rsidR="00AB3647" w:rsidRDefault="00000000" w:rsidP="007923E9">
      <w:pPr>
        <w:spacing w:after="120" w:line="276" w:lineRule="auto"/>
        <w:ind w:firstLine="283"/>
        <w:jc w:val="both"/>
      </w:pPr>
      <w:r>
        <w:rPr>
          <w:rtl/>
        </w:rPr>
        <w:t>(5) ר׳ שמואל כץ</w:t>
      </w:r>
      <w:bookmarkStart w:id="3733" w:name="_fnr2798"/>
      <w:r>
        <w:rPr>
          <w:rStyle w:val="a5"/>
        </w:rPr>
        <w:footnoteReference w:id="2806" w:customMarkFollows="0"/>
      </w:r>
      <w:bookmarkEnd w:id="3733"/>
      <w:r>
        <w:rPr>
          <w:rtl/>
        </w:rPr>
        <w:t xml:space="preserve">: “הוא דיבר בחמלה רבה כל כך, שהיו מוכרחים לציית לו. בדבריו היה רגש רב כל כך, שהתלמידים ראו שהוא עצמו נפגע כשבחור נהג שלא כראוי. למשל, הוא </w:t>
      </w:r>
      <w:r>
        <w:rPr>
          <w:rtl/>
        </w:rPr>
        <w:lastRenderedPageBreak/>
        <w:t>אמר: ‘למה הגעת מאוחר אמש?’ כאב המרחם על ילדו. הוא היה מן הצדיקים שאינם קיימים עוד.”</w:t>
      </w:r>
    </w:p>
    <w:p w14:paraId="283DBC8F" w14:textId="77777777" w:rsidR="00AB3647" w:rsidRDefault="00000000" w:rsidP="007923E9">
      <w:pPr>
        <w:spacing w:after="120" w:line="276" w:lineRule="auto"/>
        <w:ind w:firstLine="283"/>
        <w:jc w:val="both"/>
      </w:pPr>
      <w:r>
        <w:rPr>
          <w:rtl/>
        </w:rPr>
        <w:t xml:space="preserve">(6) ר׳ אהרן </w:t>
      </w:r>
      <w:proofErr w:type="spellStart"/>
      <w:r>
        <w:rPr>
          <w:rtl/>
        </w:rPr>
        <w:t>לופיאנסקי</w:t>
      </w:r>
      <w:bookmarkStart w:id="3734" w:name="_fnr2799"/>
      <w:proofErr w:type="spellEnd"/>
      <w:r>
        <w:rPr>
          <w:rStyle w:val="a5"/>
        </w:rPr>
        <w:footnoteReference w:id="2807" w:customMarkFollows="0"/>
      </w:r>
      <w:bookmarkEnd w:id="3734"/>
      <w:r>
        <w:rPr>
          <w:rtl/>
        </w:rPr>
        <w:t xml:space="preserve">: “באמצע הקיץ, כשסוף זמן קריאת שמע חייב את הישיבה להתחיל בתפילה מוקדם במיוחד, היו המעטים שאיחרו לקום הולכים למניין </w:t>
      </w:r>
      <w:proofErr w:type="spellStart"/>
      <w:r>
        <w:rPr>
          <w:rtl/>
        </w:rPr>
        <w:t>בקלויז</w:t>
      </w:r>
      <w:proofErr w:type="spellEnd"/>
      <w:r>
        <w:rPr>
          <w:rtl/>
        </w:rPr>
        <w:t xml:space="preserve"> בשמונה בבוקר. ר׳ </w:t>
      </w:r>
      <w:proofErr w:type="spellStart"/>
      <w:r>
        <w:rPr>
          <w:rtl/>
        </w:rPr>
        <w:t xml:space="preserve">בער־הירש</w:t>
      </w:r>
      <w:proofErr w:type="spellEnd"/>
      <w:r>
        <w:rPr>
          <w:rtl/>
        </w:rPr>
        <w:t xml:space="preserve"> היה עובר ליד </w:t>
      </w:r>
      <w:proofErr w:type="spellStart"/>
      <w:r>
        <w:rPr>
          <w:rtl/>
        </w:rPr>
        <w:t>הקלויז</w:t>
      </w:r>
      <w:proofErr w:type="spellEnd"/>
      <w:r>
        <w:rPr>
          <w:rtl/>
        </w:rPr>
        <w:t>, ובעודו מעמיד פנים שהוא משווה את שעון הכיס שלו לשעון שעל הקיר, היה סוקר במבטו את הקהל. במהלך אותו יום היה ניגש המשגיח אל הבחור שנתפס ושואל: ‘קשה לך לעמוד בסדרי הישיבה?’ די היה בכך כדי להביא את התלמיד לקום מוקדם למחרת.”</w:t>
      </w:r>
    </w:p>
    <w:p w14:paraId="63778B18" w14:textId="77777777" w:rsidR="00AB3647" w:rsidRDefault="00000000" w:rsidP="007923E9">
      <w:pPr>
        <w:spacing w:after="120" w:line="276" w:lineRule="auto"/>
        <w:ind w:firstLine="283"/>
        <w:jc w:val="both"/>
      </w:pPr>
      <w:r>
        <w:rPr>
          <w:rtl/>
        </w:rPr>
        <w:t xml:space="preserve">עדויותיהם של מרואיינים אלה מקיפות תקופה של עשרים וחמש שנה, </w:t>
      </w:r>
      <w:proofErr w:type="spellStart"/>
      <w:r>
        <w:rPr>
          <w:rtl/>
        </w:rPr>
        <w:t>מתרס״ח</w:t>
      </w:r>
      <w:proofErr w:type="spellEnd"/>
      <w:r>
        <w:rPr>
          <w:rtl/>
        </w:rPr>
        <w:t xml:space="preserve"> עד תרצ״ג. לפי תיאורו של כץ, “תנועת המוסר”, כרך ג</w:t>
      </w:r>
      <w:bookmarkStart w:id="3735" w:name="_fnr2800"/>
      <w:r>
        <w:rPr>
          <w:rStyle w:val="a5"/>
        </w:rPr>
        <w:footnoteReference w:id="2808" w:customMarkFollows="0"/>
      </w:r>
      <w:bookmarkEnd w:id="3735"/>
      <w:r>
        <w:rPr>
          <w:rtl/>
        </w:rPr>
        <w:t xml:space="preserve">, פעילות ההשגחה של הרב </w:t>
      </w:r>
      <w:proofErr w:type="spellStart"/>
      <w:r>
        <w:rPr>
          <w:rtl/>
        </w:rPr>
        <w:t xml:space="preserve">הלר</w:t>
      </w:r>
      <w:proofErr w:type="spellEnd"/>
      <w:r>
        <w:rPr>
          <w:rtl/>
        </w:rPr>
        <w:t xml:space="preserve"> בשנים תרמ״ה–תרנ״ה הייתה נעימה לא פחות.</w:t>
      </w:r>
    </w:p>
    <w:p w14:paraId="7C200D0E" w14:textId="77777777" w:rsidR="00AB3647" w:rsidRDefault="00000000" w:rsidP="007923E9">
      <w:pPr>
        <w:spacing w:after="120" w:line="276" w:lineRule="auto"/>
        <w:ind w:firstLine="283"/>
        <w:jc w:val="both"/>
      </w:pPr>
      <w:r>
        <w:rPr>
          <w:rtl/>
        </w:rPr>
        <w:t xml:space="preserve">בספר “ואמונתך בלילות” מאת רבקה </w:t>
      </w:r>
      <w:proofErr w:type="spellStart"/>
      <w:r>
        <w:rPr>
          <w:rtl/>
        </w:rPr>
        <w:t>וולבה</w:t>
      </w:r>
      <w:proofErr w:type="spellEnd"/>
      <w:r>
        <w:rPr>
          <w:rtl/>
        </w:rPr>
        <w:t>,</w:t>
      </w:r>
      <w:bookmarkStart w:id="3736" w:name="_fnr2801"/>
      <w:r>
        <w:rPr>
          <w:rStyle w:val="a5"/>
        </w:rPr>
        <w:footnoteReference w:id="2809" w:customMarkFollows="0"/>
      </w:r>
      <w:bookmarkEnd w:id="3736"/>
      <w:r>
        <w:rPr>
          <w:rtl/>
        </w:rPr>
        <w:t xml:space="preserve"> נכדתו של הרב </w:t>
      </w:r>
      <w:proofErr w:type="spellStart"/>
      <w:r>
        <w:rPr>
          <w:rtl/>
        </w:rPr>
        <w:t xml:space="preserve">הלר</w:t>
      </w:r>
      <w:proofErr w:type="spellEnd"/>
      <w:r>
        <w:rPr>
          <w:rtl/>
        </w:rPr>
        <w:t>, מופיע מתחת לתמונתו הכיתוב: “בישיבה קראו לו ‘</w:t>
      </w:r>
      <w:proofErr w:type="spellStart"/>
      <w:r>
        <w:rPr>
          <w:rtl/>
        </w:rPr>
        <w:t>גולפשטראם</w:t>
      </w:r>
      <w:proofErr w:type="spellEnd"/>
      <w:r>
        <w:rPr>
          <w:rtl/>
        </w:rPr>
        <w:t xml:space="preserve">’ [זרם הגולף ביידיש], בגלל טוב ליבו וחיוכו התמידי.” כינוי יוצא דופן זה הוא משנותיו האחרונות </w:t>
      </w:r>
      <w:proofErr w:type="spellStart"/>
      <w:r>
        <w:rPr>
          <w:rtl/>
        </w:rPr>
        <w:t>בסלבודקה</w:t>
      </w:r>
      <w:proofErr w:type="spellEnd"/>
      <w:r>
        <w:rPr>
          <w:rtl/>
        </w:rPr>
        <w:t xml:space="preserve">, כשהמחברת, שנולדה </w:t>
      </w:r>
      <w:proofErr w:type="spellStart"/>
      <w:r>
        <w:rPr>
          <w:rtl/>
        </w:rPr>
        <w:t>בתרפ״ב</w:t>
      </w:r>
      <w:proofErr w:type="spellEnd"/>
      <w:r>
        <w:rPr>
          <w:rtl/>
        </w:rPr>
        <w:t xml:space="preserve">, כבר הייתה גדולה דיה לשמוע אותו. הכינוי מתאר לא רק את המשגיח אלא גם את הישיבה כולה: בעיני תלמידיה הייתה מאיימת וסוערת כאוקיינוס האטלנטי, ודמותו של ר׳ </w:t>
      </w:r>
      <w:proofErr w:type="spellStart"/>
      <w:r>
        <w:rPr>
          <w:rtl/>
        </w:rPr>
        <w:t xml:space="preserve">בער־הירש</w:t>
      </w:r>
      <w:proofErr w:type="spellEnd"/>
      <w:r>
        <w:rPr>
          <w:rtl/>
        </w:rPr>
        <w:t xml:space="preserve"> הייתה בתוכה זרם מרגיע ומשקיט.</w:t>
      </w:r>
    </w:p>
    <w:p w14:paraId="74A1BD28" w14:textId="77777777" w:rsidR="00AB3647" w:rsidRDefault="00000000" w:rsidP="007923E9">
      <w:pPr>
        <w:spacing w:after="120" w:line="276" w:lineRule="auto"/>
        <w:ind w:firstLine="283"/>
        <w:jc w:val="both"/>
      </w:pPr>
      <w:r>
        <w:rPr>
          <w:rtl/>
        </w:rPr>
        <w:t xml:space="preserve">מסירותו של ר׳ </w:t>
      </w:r>
      <w:proofErr w:type="spellStart"/>
      <w:r>
        <w:rPr>
          <w:rtl/>
        </w:rPr>
        <w:t xml:space="preserve">בער־הירש</w:t>
      </w:r>
      <w:proofErr w:type="spellEnd"/>
      <w:r>
        <w:rPr>
          <w:rtl/>
        </w:rPr>
        <w:t xml:space="preserve"> לישיבה הייתה בלי גבול. מסורת במשפחתנו מספרת שהוא צם למען תלמידים שמצבם הרוחני היה נתון בסכנה. ראה גם בסוף הפסקה השלישית בנספח הבא, שבה מתועדים שני סיפורים על נדיבותו למען הישיבה.</w:t>
      </w:r>
    </w:p>
    <w:p w14:paraId="7BE29719" w14:textId="77777777" w:rsidR="00AB3647" w:rsidRDefault="00000000" w:rsidP="007923E9">
      <w:pPr>
        <w:pStyle w:val="4"/>
        <w:spacing w:line="276" w:lineRule="auto"/>
      </w:pPr>
      <w:r>
        <w:t>· הפסקה השנייה ·</w:t>
      </w:r>
    </w:p>
    <w:p w14:paraId="3ECB85C1" w14:textId="77777777" w:rsidR="00AB3647" w:rsidRDefault="00000000" w:rsidP="007923E9">
      <w:pPr>
        <w:pStyle w:val="5"/>
        <w:spacing w:line="276" w:lineRule="auto"/>
      </w:pPr>
      <w:r>
        <w:t xml:space="preserve">ר׳ </w:t>
      </w:r>
      <w:proofErr w:type="spellStart"/>
      <w:r>
        <w:t xml:space="preserve">בער־הירש</w:t>
      </w:r>
      <w:proofErr w:type="spellEnd"/>
      <w:r>
        <w:t xml:space="preserve"> מגייס כספים מתומכי תורה עשירים – הוא אוסף גם סכומים קטנים </w:t>
      </w:r>
      <w:proofErr w:type="spellStart"/>
      <w:r>
        <w:t>בקובנה־סלבודקה</w:t>
      </w:r>
      <w:proofErr w:type="spellEnd"/>
      <w:r>
        <w:t xml:space="preserve"> – מחלק כספים אלה לצרכים חריגים של התלמידים – מעניק לרבנו את עטו המיוחד</w:t>
      </w:r>
    </w:p>
    <w:p w14:paraId="20D717B4" w14:textId="77777777" w:rsidR="00AB3647" w:rsidRDefault="00000000" w:rsidP="007923E9">
      <w:pPr>
        <w:spacing w:after="120" w:line="276" w:lineRule="auto"/>
        <w:ind w:firstLine="283"/>
        <w:jc w:val="both"/>
      </w:pPr>
      <w:r>
        <w:rPr>
          <w:rtl/>
        </w:rPr>
        <w:t xml:space="preserve">מלבד תפקידי ההשגחה שלו, הוטל על הרב </w:t>
      </w:r>
      <w:proofErr w:type="spellStart"/>
      <w:r>
        <w:rPr>
          <w:rtl/>
        </w:rPr>
        <w:t xml:space="preserve">הלר</w:t>
      </w:r>
      <w:proofErr w:type="spellEnd"/>
      <w:r>
        <w:rPr>
          <w:rtl/>
        </w:rPr>
        <w:t xml:space="preserve"> לחלק לבחורים את ההקצבות. ר׳ מאיר חדש</w:t>
      </w:r>
      <w:bookmarkStart w:id="3737" w:name="_fnr2802"/>
      <w:r>
        <w:rPr>
          <w:rStyle w:val="a5"/>
        </w:rPr>
        <w:footnoteReference w:id="2810" w:customMarkFollows="0"/>
      </w:r>
      <w:bookmarkEnd w:id="3737"/>
      <w:r>
        <w:rPr>
          <w:rtl/>
        </w:rPr>
        <w:t xml:space="preserve"> כינה אותו בבדיחות הדעת “שר האוצר”. ר׳ </w:t>
      </w:r>
      <w:proofErr w:type="spellStart"/>
      <w:r>
        <w:rPr>
          <w:rtl/>
        </w:rPr>
        <w:t xml:space="preserve">בער־הירש</w:t>
      </w:r>
      <w:proofErr w:type="spellEnd"/>
      <w:r>
        <w:rPr>
          <w:rtl/>
        </w:rPr>
        <w:t xml:space="preserve"> השתתף מפעם לפעם גם בגיוס הכספים. רחל חדש</w:t>
      </w:r>
      <w:bookmarkStart w:id="3738" w:name="_fnr2803"/>
      <w:r>
        <w:rPr>
          <w:rStyle w:val="a5"/>
        </w:rPr>
        <w:footnoteReference w:id="2811" w:customMarkFollows="0"/>
      </w:r>
      <w:bookmarkEnd w:id="3738"/>
      <w:r>
        <w:rPr>
          <w:rtl/>
        </w:rPr>
        <w:t xml:space="preserve"> זכרה שלפני מלחמת העולם הראשונה התארח כמה פעמים בבית </w:t>
      </w:r>
      <w:r>
        <w:rPr>
          <w:rtl/>
        </w:rPr>
        <w:lastRenderedPageBreak/>
        <w:t xml:space="preserve">הוריה במינסק, כשבא לגייס כספים מתומכי התורה העשירים בעיר. ר׳ מאיר חדש סיפר שר׳ </w:t>
      </w:r>
      <w:proofErr w:type="spellStart"/>
      <w:r>
        <w:rPr>
          <w:rtl/>
        </w:rPr>
        <w:t xml:space="preserve">בער־הירש</w:t>
      </w:r>
      <w:proofErr w:type="spellEnd"/>
      <w:r>
        <w:rPr>
          <w:rtl/>
        </w:rPr>
        <w:t xml:space="preserve"> נסע עד מוסקבה כדי לאסוף כספים לישיבה.</w:t>
      </w:r>
      <w:bookmarkStart w:id="3739" w:name="_fnr2804"/>
      <w:r>
        <w:rPr>
          <w:rStyle w:val="a5"/>
        </w:rPr>
        <w:footnoteReference w:id="2812" w:customMarkFollows="0"/>
      </w:r>
      <w:bookmarkEnd w:id="3739"/>
    </w:p>
    <w:p w14:paraId="76B51F04" w14:textId="77777777" w:rsidR="00AB3647" w:rsidRDefault="00000000" w:rsidP="007923E9">
      <w:pPr>
        <w:spacing w:after="120" w:line="276" w:lineRule="auto"/>
        <w:ind w:firstLine="283"/>
        <w:jc w:val="both"/>
      </w:pPr>
      <w:r>
        <w:rPr>
          <w:rtl/>
        </w:rPr>
        <w:t xml:space="preserve">אבל מלבד מסעות רחוקים אלה, אסף הרב </w:t>
      </w:r>
      <w:proofErr w:type="spellStart"/>
      <w:r>
        <w:rPr>
          <w:rtl/>
        </w:rPr>
        <w:t xml:space="preserve">הלר</w:t>
      </w:r>
      <w:proofErr w:type="spellEnd"/>
      <w:r>
        <w:rPr>
          <w:rtl/>
        </w:rPr>
        <w:t xml:space="preserve"> בקביעות תרומות קטנות לישיבה מסוחרי קובנה.</w:t>
      </w:r>
      <w:bookmarkStart w:id="3740" w:name="_fnr2805"/>
      <w:r>
        <w:rPr>
          <w:rStyle w:val="a5"/>
        </w:rPr>
        <w:footnoteReference w:id="2813" w:customMarkFollows="0"/>
      </w:r>
      <w:bookmarkEnd w:id="3740"/>
      <w:r>
        <w:rPr>
          <w:rtl/>
        </w:rPr>
        <w:t xml:space="preserve"> נראה שפעילות זו, שוודאי לא הייתה מוטלת עליו מתוקף תפקידו כמשגיח, ביטאה את דאגתו האישית לרווחת תלמידיו. שכן מלבד מתן ההקצבה הקבועה שקבע הסבא לכל תלמיד, קיבל עליו הרב </w:t>
      </w:r>
      <w:proofErr w:type="spellStart"/>
      <w:r>
        <w:rPr>
          <w:rtl/>
        </w:rPr>
        <w:t xml:space="preserve">הלר</w:t>
      </w:r>
      <w:proofErr w:type="spellEnd"/>
      <w:r>
        <w:rPr>
          <w:rtl/>
        </w:rPr>
        <w:t xml:space="preserve"> אחריות לכספים לצרכים דחופים, שאותם גייס </w:t>
      </w:r>
      <w:proofErr w:type="spellStart"/>
      <w:r>
        <w:rPr>
          <w:rtl/>
        </w:rPr>
        <w:t>בקובנה־סלבודקה</w:t>
      </w:r>
      <w:proofErr w:type="spellEnd"/>
      <w:r>
        <w:rPr>
          <w:rtl/>
        </w:rPr>
        <w:t xml:space="preserve"> בכוחות עצמו והוציא לפי שיקול דעתו. לשם ההקצבה הקבועה קיבל כספים מר׳ </w:t>
      </w:r>
      <w:proofErr w:type="spellStart"/>
      <w:r>
        <w:rPr>
          <w:rtl/>
        </w:rPr>
        <w:t>משה־מרדכי</w:t>
      </w:r>
      <w:proofErr w:type="spellEnd"/>
      <w:r>
        <w:rPr>
          <w:rtl/>
        </w:rPr>
        <w:t>,</w:t>
      </w:r>
      <w:bookmarkStart w:id="3741" w:name="_fnr2806"/>
      <w:r>
        <w:rPr>
          <w:rStyle w:val="a5"/>
        </w:rPr>
        <w:footnoteReference w:id="2814" w:customMarkFollows="0"/>
      </w:r>
      <w:bookmarkEnd w:id="3741"/>
      <w:r>
        <w:rPr>
          <w:rtl/>
        </w:rPr>
        <w:t xml:space="preserve"> ולשמה מסר לראש הישיבה (או, כפי שסביר יותר, לסבא)</w:t>
      </w:r>
      <w:bookmarkStart w:id="3742" w:name="_fnr2807"/>
      <w:r>
        <w:rPr>
          <w:rStyle w:val="a5"/>
        </w:rPr>
        <w:footnoteReference w:id="2815" w:customMarkFollows="0"/>
      </w:r>
      <w:bookmarkEnd w:id="3742"/>
      <w:r>
        <w:rPr>
          <w:rtl/>
        </w:rPr>
        <w:t xml:space="preserve"> את הסכומים הגדולים יותר שגייס בנסיעותיו הרחוקות.</w:t>
      </w:r>
    </w:p>
    <w:p w14:paraId="1D73D95C" w14:textId="77777777" w:rsidR="00AB3647" w:rsidRDefault="00000000" w:rsidP="007923E9">
      <w:pPr>
        <w:spacing w:after="120" w:line="276" w:lineRule="auto"/>
        <w:ind w:firstLine="283"/>
        <w:jc w:val="both"/>
      </w:pPr>
      <w:r>
        <w:rPr>
          <w:rtl/>
        </w:rPr>
        <w:t xml:space="preserve">סברה זו נתמכת בכך שכאשר החליטו ר׳ </w:t>
      </w:r>
      <w:proofErr w:type="spellStart"/>
      <w:r>
        <w:rPr>
          <w:rtl/>
        </w:rPr>
        <w:t xml:space="preserve">בער־הירש</w:t>
      </w:r>
      <w:proofErr w:type="spellEnd"/>
      <w:r>
        <w:rPr>
          <w:rtl/>
        </w:rPr>
        <w:t xml:space="preserve"> ורבניתו לפרוש לארץ ישראל בחורף תרצ״ד, שמרו את ההחלטה בסוד אפילו מנכדיהם שלהם. רק פסק של הרב מקובנה</w:t>
      </w:r>
      <w:bookmarkStart w:id="3743" w:name="_fnr2808"/>
      <w:r>
        <w:rPr>
          <w:rStyle w:val="a5"/>
        </w:rPr>
        <w:footnoteReference w:id="2816" w:customMarkFollows="0"/>
      </w:r>
      <w:bookmarkEnd w:id="3743"/>
      <w:r>
        <w:rPr>
          <w:rtl/>
        </w:rPr>
        <w:t xml:space="preserve"> התיר לו להעביר את החובות להנהלת הישיבה</w:t>
      </w:r>
      <w:bookmarkStart w:id="3744" w:name="_fnr2809"/>
      <w:r>
        <w:rPr>
          <w:rStyle w:val="a5"/>
        </w:rPr>
        <w:footnoteReference w:id="2817" w:customMarkFollows="0"/>
      </w:r>
      <w:bookmarkEnd w:id="3744"/>
      <w:r>
        <w:rPr>
          <w:rtl/>
        </w:rPr>
        <w:t xml:space="preserve"> ולצאת בחשאי. ר׳ </w:t>
      </w:r>
      <w:proofErr w:type="spellStart"/>
      <w:r>
        <w:rPr>
          <w:rtl/>
        </w:rPr>
        <w:t xml:space="preserve">בער־הירש</w:t>
      </w:r>
      <w:proofErr w:type="spellEnd"/>
      <w:r>
        <w:rPr>
          <w:rtl/>
        </w:rPr>
        <w:t xml:space="preserve"> חשש שאם לא כן, ימנעו ממנו לעזוב בעלי החנויות שהיה חייב להם כסף על הוצאות התלמידים.</w:t>
      </w:r>
      <w:bookmarkStart w:id="3745" w:name="_fnr2810"/>
      <w:r>
        <w:rPr>
          <w:rStyle w:val="a5"/>
        </w:rPr>
        <w:footnoteReference w:id="2818" w:customMarkFollows="0"/>
      </w:r>
      <w:bookmarkEnd w:id="3745"/>
      <w:r>
        <w:rPr>
          <w:rtl/>
        </w:rPr>
        <w:t xml:space="preserve"> אחותי הבכורה מלכה, שלמדה אז בקובנה, זוכרת שהורינו באו </w:t>
      </w:r>
      <w:proofErr w:type="spellStart"/>
      <w:r>
        <w:rPr>
          <w:rtl/>
        </w:rPr>
        <w:t>לסלבודקה</w:t>
      </w:r>
      <w:proofErr w:type="spellEnd"/>
      <w:r>
        <w:rPr>
          <w:rtl/>
        </w:rPr>
        <w:t xml:space="preserve"> </w:t>
      </w:r>
      <w:proofErr w:type="spellStart"/>
      <w:r>
        <w:rPr>
          <w:rtl/>
        </w:rPr>
        <w:t>מציטוביאן</w:t>
      </w:r>
      <w:proofErr w:type="spellEnd"/>
      <w:r>
        <w:rPr>
          <w:rtl/>
        </w:rPr>
        <w:t xml:space="preserve"> למטרה חשאית, שהתבררה כפרידה מסבנו וסבתנו.</w:t>
      </w:r>
    </w:p>
    <w:p w14:paraId="00667079" w14:textId="77777777" w:rsidR="00AB3647" w:rsidRDefault="00000000" w:rsidP="007923E9">
      <w:pPr>
        <w:spacing w:after="120" w:line="276" w:lineRule="auto"/>
        <w:ind w:firstLine="283"/>
        <w:jc w:val="both"/>
      </w:pPr>
      <w:r>
        <w:rPr>
          <w:rtl/>
        </w:rPr>
        <w:t>בניגוד למנהגו להשתתף מדי ערב בסדר המוסר ובתפילת ערבית בישיבה, לפני צאתו החשאית מן העיר בלילה נכנס לישיבה, הביט סביבו בערגה ויצא.</w:t>
      </w:r>
      <w:bookmarkStart w:id="3746" w:name="_fnr2811"/>
      <w:r>
        <w:rPr>
          <w:rStyle w:val="a5"/>
        </w:rPr>
        <w:footnoteReference w:id="2819" w:customMarkFollows="0"/>
      </w:r>
      <w:bookmarkEnd w:id="3746"/>
      <w:r>
        <w:rPr>
          <w:rtl/>
        </w:rPr>
        <w:t xml:space="preserve"> ר׳ יצחק </w:t>
      </w:r>
      <w:proofErr w:type="spellStart"/>
      <w:r>
        <w:rPr>
          <w:rtl/>
        </w:rPr>
        <w:t>גרודזינסקי</w:t>
      </w:r>
      <w:proofErr w:type="spellEnd"/>
      <w:r>
        <w:rPr>
          <w:rtl/>
        </w:rPr>
        <w:t xml:space="preserve">, בנו של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w:t>
      </w:r>
      <w:bookmarkStart w:id="3747" w:name="_fnr2812"/>
      <w:r>
        <w:rPr>
          <w:rStyle w:val="a5"/>
        </w:rPr>
        <w:footnoteReference w:id="2820" w:customMarkFollows="0"/>
      </w:r>
      <w:bookmarkEnd w:id="3747"/>
      <w:r>
        <w:rPr>
          <w:rtl/>
        </w:rPr>
        <w:t xml:space="preserve"> סיפר</w:t>
      </w:r>
      <w:bookmarkStart w:id="3748" w:name="_fnr2813"/>
      <w:r>
        <w:rPr>
          <w:rStyle w:val="a5"/>
        </w:rPr>
        <w:footnoteReference w:id="2821" w:customMarkFollows="0"/>
      </w:r>
      <w:bookmarkEnd w:id="3748"/>
      <w:r>
        <w:rPr>
          <w:rtl/>
        </w:rPr>
        <w:t xml:space="preserve"> שסבנו אף הקיש על הבימה להכריז על תחילת זמן המוסר לפני שיצא.</w:t>
      </w:r>
    </w:p>
    <w:p w14:paraId="74F58175" w14:textId="77777777" w:rsidR="00AB3647" w:rsidRDefault="00000000" w:rsidP="007923E9">
      <w:pPr>
        <w:spacing w:after="120" w:line="276" w:lineRule="auto"/>
        <w:ind w:firstLine="283"/>
        <w:jc w:val="both"/>
      </w:pPr>
      <w:r>
        <w:rPr>
          <w:rtl/>
        </w:rPr>
        <w:t xml:space="preserve">ר׳ </w:t>
      </w:r>
      <w:proofErr w:type="spellStart"/>
      <w:r>
        <w:rPr>
          <w:rtl/>
        </w:rPr>
        <w:t xml:space="preserve">בער־הירש</w:t>
      </w:r>
      <w:proofErr w:type="spellEnd"/>
      <w:r>
        <w:rPr>
          <w:rtl/>
        </w:rPr>
        <w:t xml:space="preserve"> נאלץ להתגנב מן העיר כגנב בלילה, וזו ראיה ברורה לכך שמעורבותו האישית בלקיחת ההלוואות הביאה את הנושים הללו לחוש שהחוב מוטל עליו ולא על הישיבה. ר׳ יצחק סיפר גם</w:t>
      </w:r>
      <w:bookmarkStart w:id="3749" w:name="_fnr2814"/>
      <w:r>
        <w:rPr>
          <w:rStyle w:val="a5"/>
        </w:rPr>
        <w:footnoteReference w:id="2822" w:customMarkFollows="0"/>
      </w:r>
      <w:bookmarkEnd w:id="3749"/>
      <w:r>
        <w:rPr>
          <w:rtl/>
        </w:rPr>
        <w:t xml:space="preserve"> שסבו וסבתו עלו לארץ ישראל משום שחששו שר׳ אברהם, שהיה כבר חמש שנים אלמן, אינו נושא אישה אחרת מפני שהוא חושש שייפגעו כשיראו אישה </w:t>
      </w:r>
      <w:r>
        <w:rPr>
          <w:rtl/>
        </w:rPr>
        <w:lastRenderedPageBreak/>
        <w:t xml:space="preserve">אחרת תופסת את מקום בתם. זו דוגמה נוגעת ללב הן לקדושתו של ר׳ אברהם והן לאופיו </w:t>
      </w:r>
      <w:proofErr w:type="spellStart"/>
      <w:r>
        <w:rPr>
          <w:rtl/>
        </w:rPr>
        <w:t>ה“משיי</w:t>
      </w:r>
      <w:proofErr w:type="spellEnd"/>
      <w:r>
        <w:rPr>
          <w:rtl/>
        </w:rPr>
        <w:t xml:space="preserve">” של ר׳ </w:t>
      </w:r>
      <w:proofErr w:type="spellStart"/>
      <w:r>
        <w:rPr>
          <w:rtl/>
        </w:rPr>
        <w:t xml:space="preserve">בער־הירש</w:t>
      </w:r>
      <w:bookmarkStart w:id="3750" w:name="_fnr2815"/>
      <w:proofErr w:type="spellEnd"/>
      <w:r>
        <w:rPr>
          <w:rStyle w:val="a5"/>
        </w:rPr>
        <w:footnoteReference w:id="2823" w:customMarkFollows="0"/>
      </w:r>
      <w:bookmarkEnd w:id="3750"/>
      <w:r>
        <w:rPr>
          <w:rtl/>
        </w:rPr>
        <w:t>!</w:t>
      </w:r>
    </w:p>
    <w:p w14:paraId="09746BDB" w14:textId="77777777" w:rsidR="00AB3647" w:rsidRDefault="00000000" w:rsidP="007923E9">
      <w:pPr>
        <w:spacing w:after="120" w:line="276" w:lineRule="auto"/>
        <w:ind w:firstLine="283"/>
        <w:jc w:val="both"/>
      </w:pPr>
      <w:r>
        <w:rPr>
          <w:rtl/>
        </w:rPr>
        <w:t xml:space="preserve">בהשגחה עליונה הגיע ר׳ אברהם לארץ ישראל בקיץ תרצ״ה כדי לבדוק הצעת שידוך – שלא עלתה יפה – והיה בארץ כשנפטר ר׳ </w:t>
      </w:r>
      <w:proofErr w:type="spellStart"/>
      <w:r>
        <w:rPr>
          <w:rtl/>
        </w:rPr>
        <w:t xml:space="preserve">בער־הירש</w:t>
      </w:r>
      <w:proofErr w:type="spellEnd"/>
      <w:r>
        <w:rPr>
          <w:rtl/>
        </w:rPr>
        <w:t xml:space="preserve">. הוא חזר מטבריה לירושלים בעוד מועד כדי להספיד את חמיו, יחד עם ר׳ </w:t>
      </w:r>
      <w:proofErr w:type="spellStart"/>
      <w:r>
        <w:rPr>
          <w:rtl/>
        </w:rPr>
        <w:t>איסר־זלמן</w:t>
      </w:r>
      <w:proofErr w:type="spellEnd"/>
      <w:r>
        <w:rPr>
          <w:rtl/>
        </w:rPr>
        <w:t xml:space="preserve"> מלצר, ר׳ ראובן כץ, ר׳ </w:t>
      </w:r>
      <w:proofErr w:type="spellStart"/>
      <w:r>
        <w:rPr>
          <w:rtl/>
        </w:rPr>
        <w:t>חצקל</w:t>
      </w:r>
      <w:proofErr w:type="spellEnd"/>
      <w:r>
        <w:rPr>
          <w:rtl/>
        </w:rPr>
        <w:t xml:space="preserve"> </w:t>
      </w:r>
      <w:proofErr w:type="spellStart"/>
      <w:r>
        <w:rPr>
          <w:rtl/>
        </w:rPr>
        <w:t>סרנא</w:t>
      </w:r>
      <w:proofErr w:type="spellEnd"/>
      <w:r>
        <w:rPr>
          <w:rtl/>
        </w:rPr>
        <w:t xml:space="preserve">, ר׳ אברהם </w:t>
      </w:r>
      <w:proofErr w:type="spellStart"/>
      <w:r>
        <w:rPr>
          <w:rtl/>
        </w:rPr>
        <w:t>יופן</w:t>
      </w:r>
      <w:proofErr w:type="spellEnd"/>
      <w:r>
        <w:rPr>
          <w:rtl/>
        </w:rPr>
        <w:t xml:space="preserve"> ור׳ ראובן </w:t>
      </w:r>
      <w:proofErr w:type="spellStart"/>
      <w:r>
        <w:rPr>
          <w:rtl/>
        </w:rPr>
        <w:t>מילצקי</w:t>
      </w:r>
      <w:bookmarkStart w:id="3751" w:name="_fnr2816"/>
      <w:proofErr w:type="spellEnd"/>
      <w:r>
        <w:rPr>
          <w:rStyle w:val="a5"/>
        </w:rPr>
        <w:footnoteReference w:id="2824" w:customMarkFollows="0"/>
      </w:r>
      <w:bookmarkEnd w:id="3751"/>
      <w:r>
        <w:rPr>
          <w:rtl/>
        </w:rPr>
        <w:t>.</w:t>
      </w:r>
    </w:p>
    <w:p w14:paraId="525A6648" w14:textId="77777777" w:rsidR="00AB3647" w:rsidRDefault="00000000" w:rsidP="007923E9">
      <w:pPr>
        <w:spacing w:after="120" w:line="276" w:lineRule="auto"/>
        <w:ind w:firstLine="283"/>
        <w:jc w:val="both"/>
      </w:pPr>
      <w:r>
        <w:rPr>
          <w:rtl/>
        </w:rPr>
        <w:t xml:space="preserve">להלן דוגמאות להוצאות חריגות של תלמידים שהרב </w:t>
      </w:r>
      <w:proofErr w:type="spellStart"/>
      <w:r>
        <w:rPr>
          <w:rtl/>
        </w:rPr>
        <w:t xml:space="preserve">הלר</w:t>
      </w:r>
      <w:proofErr w:type="spellEnd"/>
      <w:r>
        <w:rPr>
          <w:rtl/>
        </w:rPr>
        <w:t xml:space="preserve"> מימן: (1) ר׳ </w:t>
      </w:r>
      <w:proofErr w:type="spellStart"/>
      <w:r>
        <w:rPr>
          <w:rtl/>
        </w:rPr>
        <w:t>שמעון־ראובן</w:t>
      </w:r>
      <w:proofErr w:type="spellEnd"/>
      <w:r>
        <w:rPr>
          <w:rtl/>
        </w:rPr>
        <w:t xml:space="preserve"> </w:t>
      </w:r>
      <w:proofErr w:type="spellStart"/>
      <w:r>
        <w:rPr>
          <w:rtl/>
        </w:rPr>
        <w:t>דבורץ</w:t>
      </w:r>
      <w:proofErr w:type="spellEnd"/>
      <w:r>
        <w:rPr>
          <w:rtl/>
        </w:rPr>
        <w:t xml:space="preserve">, בנו של ר׳ </w:t>
      </w:r>
      <w:proofErr w:type="spellStart"/>
      <w:r>
        <w:rPr>
          <w:rtl/>
        </w:rPr>
        <w:t>ישראל־זיסל</w:t>
      </w:r>
      <w:proofErr w:type="spellEnd"/>
      <w:r>
        <w:rPr>
          <w:rtl/>
        </w:rPr>
        <w:t xml:space="preserve"> – המוציא לאור הידוע של כתבי עת ומחברם של ספרים ומאמרים רבים על מוסר –</w:t>
      </w:r>
      <w:bookmarkStart w:id="3752" w:name="_fnr2817"/>
      <w:r>
        <w:rPr>
          <w:rStyle w:val="a5"/>
        </w:rPr>
        <w:footnoteReference w:id="2825" w:customMarkFollows="0"/>
      </w:r>
      <w:bookmarkEnd w:id="3752"/>
      <w:r>
        <w:rPr>
          <w:rtl/>
        </w:rPr>
        <w:t xml:space="preserve"> סיפר:</w:t>
      </w:r>
      <w:bookmarkStart w:id="3753" w:name="_fnr2818"/>
      <w:r>
        <w:rPr>
          <w:rStyle w:val="a5"/>
        </w:rPr>
        <w:footnoteReference w:id="2826" w:customMarkFollows="0"/>
      </w:r>
      <w:bookmarkEnd w:id="3753"/>
      <w:r>
        <w:rPr>
          <w:rtl/>
        </w:rPr>
        <w:t xml:space="preserve"> “ר׳ </w:t>
      </w:r>
      <w:proofErr w:type="spellStart"/>
      <w:r>
        <w:rPr>
          <w:rtl/>
        </w:rPr>
        <w:t xml:space="preserve">בער־הירש</w:t>
      </w:r>
      <w:proofErr w:type="spellEnd"/>
      <w:r>
        <w:rPr>
          <w:rtl/>
        </w:rPr>
        <w:t xml:space="preserve"> היה צדיק, ‘</w:t>
      </w:r>
      <w:proofErr w:type="spellStart"/>
      <w:r>
        <w:rPr>
          <w:rtl/>
        </w:rPr>
        <w:t>חפץ־חיים</w:t>
      </w:r>
      <w:proofErr w:type="spellEnd"/>
      <w:r>
        <w:rPr>
          <w:rtl/>
        </w:rPr>
        <w:t>’;</w:t>
      </w:r>
      <w:bookmarkStart w:id="3754" w:name="_fnr2819"/>
      <w:r>
        <w:rPr>
          <w:rStyle w:val="a5"/>
        </w:rPr>
        <w:footnoteReference w:id="2827" w:customMarkFollows="0"/>
      </w:r>
      <w:bookmarkEnd w:id="3754"/>
      <w:r>
        <w:rPr>
          <w:rtl/>
        </w:rPr>
        <w:t xml:space="preserve"> הוא כונה ‘אם הישיבה’. הוא היה יכול לגשת לבחור ולשאול אם יש חורים בנעליו, ולתת לו פתק לסנדלר כדי שיתקן אותן על חשבון הישיבה.” ר׳ שמואל כץ אמר שהסבא עצמו אמר פעם </w:t>
      </w:r>
      <w:proofErr w:type="spellStart"/>
      <w:r>
        <w:rPr>
          <w:rtl/>
        </w:rPr>
        <w:t>לר</w:t>
      </w:r>
      <w:proofErr w:type="spellEnd"/>
      <w:r>
        <w:rPr>
          <w:rtl/>
        </w:rPr>
        <w:t xml:space="preserve">׳ </w:t>
      </w:r>
      <w:proofErr w:type="spellStart"/>
      <w:r>
        <w:rPr>
          <w:rtl/>
        </w:rPr>
        <w:t xml:space="preserve">בער־הירש</w:t>
      </w:r>
      <w:proofErr w:type="spellEnd"/>
      <w:r>
        <w:rPr>
          <w:rtl/>
        </w:rPr>
        <w:t xml:space="preserve"> שהוא אם הישיבה, ור׳ </w:t>
      </w:r>
      <w:proofErr w:type="spellStart"/>
      <w:r>
        <w:rPr>
          <w:rtl/>
        </w:rPr>
        <w:t xml:space="preserve">בער־הירש</w:t>
      </w:r>
      <w:proofErr w:type="spellEnd"/>
      <w:r>
        <w:rPr>
          <w:rtl/>
        </w:rPr>
        <w:t>, מוצף רגש, פרץ בבכי. השיב לו הסבא: “בדיוק כפי שאמרתי לך: אתה כמו אם [המביעה את רגשותיה בדמעות].”</w:t>
      </w:r>
    </w:p>
    <w:p w14:paraId="7112BB0F" w14:textId="77777777" w:rsidR="00AB3647" w:rsidRDefault="00000000" w:rsidP="007923E9">
      <w:pPr>
        <w:spacing w:after="120" w:line="276" w:lineRule="auto"/>
        <w:ind w:firstLine="283"/>
        <w:jc w:val="both"/>
      </w:pPr>
      <w:r>
        <w:rPr>
          <w:rtl/>
        </w:rPr>
        <w:t xml:space="preserve">(2) הספר “כי אם... – ציוני דרך בחיי רבי </w:t>
      </w:r>
      <w:proofErr w:type="spellStart"/>
      <w:r>
        <w:rPr>
          <w:rtl/>
        </w:rPr>
        <w:t>מרדכי־זאב</w:t>
      </w:r>
      <w:proofErr w:type="spellEnd"/>
      <w:r>
        <w:rPr>
          <w:rtl/>
        </w:rPr>
        <w:t xml:space="preserve"> </w:t>
      </w:r>
      <w:proofErr w:type="spellStart"/>
      <w:r>
        <w:rPr>
          <w:rtl/>
        </w:rPr>
        <w:t>שולמן</w:t>
      </w:r>
      <w:proofErr w:type="spellEnd"/>
      <w:r>
        <w:rPr>
          <w:rtl/>
        </w:rPr>
        <w:t>” מאת ראובן גרוסמן</w:t>
      </w:r>
      <w:bookmarkStart w:id="3755" w:name="_fnr2820"/>
      <w:r>
        <w:rPr>
          <w:rStyle w:val="a5"/>
        </w:rPr>
        <w:footnoteReference w:id="2828" w:customMarkFollows="0"/>
      </w:r>
      <w:bookmarkEnd w:id="3755"/>
      <w:r>
        <w:rPr>
          <w:rtl/>
        </w:rPr>
        <w:t xml:space="preserve"> מספר שכאשר הצטרף </w:t>
      </w:r>
      <w:proofErr w:type="spellStart"/>
      <w:r>
        <w:rPr>
          <w:rtl/>
        </w:rPr>
        <w:t>מרדכי־זאב</w:t>
      </w:r>
      <w:proofErr w:type="spellEnd"/>
      <w:r>
        <w:rPr>
          <w:rtl/>
        </w:rPr>
        <w:t xml:space="preserve">, בן </w:t>
      </w:r>
      <w:proofErr w:type="spellStart"/>
      <w:r>
        <w:rPr>
          <w:rtl/>
        </w:rPr>
        <w:t>חמש־עשרה</w:t>
      </w:r>
      <w:proofErr w:type="spellEnd"/>
      <w:r>
        <w:rPr>
          <w:rtl/>
        </w:rPr>
        <w:t xml:space="preserve">, לישיבת </w:t>
      </w:r>
      <w:proofErr w:type="spellStart"/>
      <w:r>
        <w:rPr>
          <w:rtl/>
        </w:rPr>
        <w:t>סלבודקה</w:t>
      </w:r>
      <w:proofErr w:type="spellEnd"/>
      <w:r>
        <w:rPr>
          <w:rtl/>
        </w:rPr>
        <w:t xml:space="preserve"> בעת גלותה במינסק, נפגמו התפילין שלו בנדודיו, והסבא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שתפקידו להשיג לנער זוג “מהודרות בתכלית ההידור”. כשטען ר׳ </w:t>
      </w:r>
      <w:proofErr w:type="spellStart"/>
      <w:r>
        <w:rPr>
          <w:rtl/>
        </w:rPr>
        <w:t xml:space="preserve">בער־הירש</w:t>
      </w:r>
      <w:proofErr w:type="spellEnd"/>
      <w:r>
        <w:rPr>
          <w:rtl/>
        </w:rPr>
        <w:t xml:space="preserve"> שהן יהיו יקרות מדי, אמר הסבא שהישיבה קיבלה עליה את תפקידו של אביו המנוח של הנער, בוגר </w:t>
      </w:r>
      <w:proofErr w:type="spellStart"/>
      <w:r>
        <w:rPr>
          <w:rtl/>
        </w:rPr>
        <w:t>סלבודקה</w:t>
      </w:r>
      <w:proofErr w:type="spellEnd"/>
      <w:r>
        <w:rPr>
          <w:rtl/>
        </w:rPr>
        <w:t>, שהיה נותן לבנו תפילין באיכות שאינה נופלת מזו.</w:t>
      </w:r>
    </w:p>
    <w:p w14:paraId="769F25A8" w14:textId="77777777" w:rsidR="00AB3647" w:rsidRDefault="00000000" w:rsidP="007923E9">
      <w:pPr>
        <w:spacing w:after="120" w:line="276" w:lineRule="auto"/>
        <w:ind w:firstLine="283"/>
        <w:jc w:val="both"/>
      </w:pPr>
      <w:r>
        <w:rPr>
          <w:rtl/>
        </w:rPr>
        <w:t xml:space="preserve">(3) ר׳ </w:t>
      </w:r>
      <w:proofErr w:type="spellStart"/>
      <w:r>
        <w:rPr>
          <w:rtl/>
        </w:rPr>
        <w:t>אלעזר־מנחם־מן</w:t>
      </w:r>
      <w:proofErr w:type="spellEnd"/>
      <w:r>
        <w:rPr>
          <w:rtl/>
        </w:rPr>
        <w:t xml:space="preserve"> שך סיפר</w:t>
      </w:r>
      <w:bookmarkStart w:id="3756" w:name="_fnr2821"/>
      <w:r>
        <w:rPr>
          <w:rStyle w:val="a5"/>
        </w:rPr>
        <w:footnoteReference w:id="2829" w:customMarkFollows="0"/>
      </w:r>
      <w:bookmarkEnd w:id="3756"/>
      <w:r>
        <w:rPr>
          <w:rtl/>
        </w:rPr>
        <w:t xml:space="preserve"> </w:t>
      </w:r>
      <w:proofErr w:type="spellStart"/>
      <w:r>
        <w:rPr>
          <w:rtl/>
        </w:rPr>
        <w:t>שבהיותו</w:t>
      </w:r>
      <w:proofErr w:type="spellEnd"/>
      <w:r>
        <w:rPr>
          <w:rtl/>
        </w:rPr>
        <w:t xml:space="preserve"> נער בן </w:t>
      </w:r>
      <w:proofErr w:type="spellStart"/>
      <w:r>
        <w:rPr>
          <w:rtl/>
        </w:rPr>
        <w:t>שלוש־עשרה</w:t>
      </w:r>
      <w:proofErr w:type="spellEnd"/>
      <w:r>
        <w:rPr>
          <w:rtl/>
        </w:rPr>
        <w:t xml:space="preserve"> היה נוטה להצטנן. בוקר שבת אחד, אחרי שישן על ספסל בבית מדרש בקובנה בתקופה שבה נסחף הגשר המחבר את העיר </w:t>
      </w:r>
      <w:proofErr w:type="spellStart"/>
      <w:r>
        <w:rPr>
          <w:rtl/>
        </w:rPr>
        <w:t>לסלבודקה</w:t>
      </w:r>
      <w:proofErr w:type="spellEnd"/>
      <w:r>
        <w:rPr>
          <w:rtl/>
        </w:rPr>
        <w:t>,</w:t>
      </w:r>
      <w:bookmarkStart w:id="3757" w:name="_fnr2822"/>
      <w:r>
        <w:rPr>
          <w:rStyle w:val="a5"/>
        </w:rPr>
        <w:footnoteReference w:id="2830" w:customMarkFollows="0"/>
      </w:r>
      <w:bookmarkEnd w:id="3757"/>
      <w:r>
        <w:rPr>
          <w:rtl/>
        </w:rPr>
        <w:t xml:space="preserve"> התעורר בעיניים כואבות ובנזלת. בשבוע שלאחר מכן אמר </w:t>
      </w:r>
      <w:proofErr w:type="spellStart"/>
      <w:r>
        <w:rPr>
          <w:rtl/>
        </w:rPr>
        <w:t>לר</w:t>
      </w:r>
      <w:proofErr w:type="spellEnd"/>
      <w:r>
        <w:rPr>
          <w:rtl/>
        </w:rPr>
        <w:t xml:space="preserve">׳ </w:t>
      </w:r>
      <w:proofErr w:type="spellStart"/>
      <w:r>
        <w:rPr>
          <w:rtl/>
        </w:rPr>
        <w:t xml:space="preserve">בער־הירש</w:t>
      </w:r>
      <w:proofErr w:type="spellEnd"/>
      <w:r>
        <w:rPr>
          <w:rtl/>
        </w:rPr>
        <w:t xml:space="preserve"> שאינו יכול להישאר בקובנה בשבת. ר׳ </w:t>
      </w:r>
      <w:proofErr w:type="spellStart"/>
      <w:r>
        <w:rPr>
          <w:rtl/>
        </w:rPr>
        <w:t xml:space="preserve">בער־הירש</w:t>
      </w:r>
      <w:proofErr w:type="spellEnd"/>
      <w:r>
        <w:rPr>
          <w:rtl/>
        </w:rPr>
        <w:t xml:space="preserve"> אמר שידבר עם ראש הישיבה, ואחר כך נתן לו חצי רובל לשלם לבעלת הבית שלו בימות החול בעבור סעודות השבת הנוספות; כך נמשך הדבר עד שנבנה הגשר מחדש. סביר שמתוך “הצנע לכת” העמיד הרב </w:t>
      </w:r>
      <w:proofErr w:type="spellStart"/>
      <w:r>
        <w:rPr>
          <w:rtl/>
        </w:rPr>
        <w:t xml:space="preserve">הלר</w:t>
      </w:r>
      <w:proofErr w:type="spellEnd"/>
      <w:r>
        <w:rPr>
          <w:rtl/>
        </w:rPr>
        <w:t xml:space="preserve"> פנים שהוא פונה </w:t>
      </w:r>
      <w:proofErr w:type="spellStart"/>
      <w:r>
        <w:rPr>
          <w:rtl/>
        </w:rPr>
        <w:t>לר</w:t>
      </w:r>
      <w:proofErr w:type="spellEnd"/>
      <w:r>
        <w:rPr>
          <w:rtl/>
        </w:rPr>
        <w:t xml:space="preserve">׳ </w:t>
      </w:r>
      <w:proofErr w:type="spellStart"/>
      <w:r>
        <w:rPr>
          <w:rtl/>
        </w:rPr>
        <w:t>משה־מרדכי</w:t>
      </w:r>
      <w:proofErr w:type="spellEnd"/>
      <w:r>
        <w:rPr>
          <w:rtl/>
        </w:rPr>
        <w:t>, ובאמת שילם את ההוצאה מן הסכומים הקטנים שגייס, כפי שתואר לעיל.</w:t>
      </w:r>
    </w:p>
    <w:p w14:paraId="52749DEF" w14:textId="77777777" w:rsidR="00AB3647" w:rsidRDefault="00000000" w:rsidP="007923E9">
      <w:pPr>
        <w:spacing w:after="120" w:line="276" w:lineRule="auto"/>
        <w:ind w:firstLine="283"/>
        <w:jc w:val="both"/>
      </w:pPr>
      <w:r>
        <w:rPr>
          <w:rtl/>
        </w:rPr>
        <w:lastRenderedPageBreak/>
        <w:t xml:space="preserve">על סיפור חצאי הרובלים שנתן ר׳ </w:t>
      </w:r>
      <w:proofErr w:type="spellStart"/>
      <w:r>
        <w:rPr>
          <w:rtl/>
        </w:rPr>
        <w:t xml:space="preserve">בער־הירש</w:t>
      </w:r>
      <w:proofErr w:type="spellEnd"/>
      <w:r>
        <w:rPr>
          <w:rtl/>
        </w:rPr>
        <w:t xml:space="preserve"> הוסיף ר׳ </w:t>
      </w:r>
      <w:proofErr w:type="spellStart"/>
      <w:r>
        <w:rPr>
          <w:rtl/>
        </w:rPr>
        <w:t>אלעזר־מנחם־מן</w:t>
      </w:r>
      <w:proofErr w:type="spellEnd"/>
      <w:r>
        <w:rPr>
          <w:rtl/>
        </w:rPr>
        <w:t xml:space="preserve"> שך</w:t>
      </w:r>
      <w:bookmarkStart w:id="3758" w:name="_fnr2823"/>
      <w:r>
        <w:rPr>
          <w:rStyle w:val="a5"/>
        </w:rPr>
        <w:footnoteReference w:id="2831" w:customMarkFollows="0"/>
      </w:r>
      <w:bookmarkEnd w:id="3758"/>
      <w:r>
        <w:rPr>
          <w:rtl/>
        </w:rPr>
        <w:t xml:space="preserve">: “באביב חזרתי אל </w:t>
      </w:r>
      <w:proofErr w:type="spellStart"/>
      <w:r>
        <w:rPr>
          <w:rtl/>
        </w:rPr>
        <w:t>השבת־בעל־הבית</w:t>
      </w:r>
      <w:proofErr w:type="spellEnd"/>
      <w:r>
        <w:rPr>
          <w:rtl/>
        </w:rPr>
        <w:t xml:space="preserve"> שלי [מארחי בשבת] בקובנה, שהיה לו בן בישיבת </w:t>
      </w:r>
      <w:proofErr w:type="spellStart"/>
      <w:r>
        <w:rPr>
          <w:rtl/>
        </w:rPr>
        <w:t>סלבודקה</w:t>
      </w:r>
      <w:proofErr w:type="spellEnd"/>
      <w:r>
        <w:rPr>
          <w:rtl/>
        </w:rPr>
        <w:t xml:space="preserve"> – אף שהוא עצמו התפלל בבית הכנסת הכוראלי המודרני.</w:t>
      </w:r>
      <w:bookmarkStart w:id="3759" w:name="_fnr2824"/>
      <w:r>
        <w:rPr>
          <w:rStyle w:val="a5"/>
        </w:rPr>
        <w:footnoteReference w:id="2832" w:customMarkFollows="0"/>
      </w:r>
      <w:bookmarkEnd w:id="3759"/>
      <w:r>
        <w:rPr>
          <w:rtl/>
        </w:rPr>
        <w:t xml:space="preserve"> שבת אחת ראיתי שהצ׳ולנט עומד על פרימוס [כירה נמוכה בעלת להבה אחת ושלוש רגליים], והאש גלויה. לכן לא אכלתי ולא הלכתי לשם עוד. כשהבן שאל מדוע חדלתי לבוא לביתו, אמרתי לו: ‘כי אצלכם בבית מבשלים בשבת.’ הבחור אמר שהצ׳ולנט כבר היה מבושל לגמרי בתנור, והניחו אותו על הפרימוס ממש לפני ההגשה כדי להגישו חם יותר, אבל עדיין סירבתי לחזור. ר׳ </w:t>
      </w:r>
      <w:proofErr w:type="spellStart"/>
      <w:r>
        <w:rPr>
          <w:rtl/>
        </w:rPr>
        <w:t xml:space="preserve">בער־הירש</w:t>
      </w:r>
      <w:proofErr w:type="spellEnd"/>
      <w:r>
        <w:rPr>
          <w:rtl/>
        </w:rPr>
        <w:t xml:space="preserve"> נתן לי אז חצי רובל מדי שבוע. חמישים </w:t>
      </w:r>
      <w:proofErr w:type="spellStart"/>
      <w:r>
        <w:rPr>
          <w:rtl/>
        </w:rPr>
        <w:t>הקופיקות</w:t>
      </w:r>
      <w:proofErr w:type="spellEnd"/>
      <w:r>
        <w:rPr>
          <w:rtl/>
        </w:rPr>
        <w:t xml:space="preserve"> שקיבלתי בכל שבוע הכפילו למעשה את הקצבתי, משום שבאותה תקופה קיבל כל תלמיד רובל אחד או שניים לחודש – ורק מעטים נבחרים קיבלו שלושה. ר׳ </w:t>
      </w:r>
      <w:proofErr w:type="spellStart"/>
      <w:r>
        <w:rPr>
          <w:rtl/>
        </w:rPr>
        <w:t>משה־מרדכי</w:t>
      </w:r>
      <w:proofErr w:type="spellEnd"/>
      <w:r>
        <w:rPr>
          <w:rtl/>
        </w:rPr>
        <w:t xml:space="preserve"> קבע כמה לתת לכל תלמיד – אף שלסבא היו כספים משלו, שמהם נתן עוד רובל או שניים למי שחפץ ביקרם.” הרב שך, שהיה אז בחור צעיר, לא ידע שגם הסכום שר׳ </w:t>
      </w:r>
      <w:proofErr w:type="spellStart"/>
      <w:r>
        <w:rPr>
          <w:rtl/>
        </w:rPr>
        <w:t>משה־מרדכי</w:t>
      </w:r>
      <w:proofErr w:type="spellEnd"/>
      <w:r>
        <w:rPr>
          <w:rtl/>
        </w:rPr>
        <w:t xml:space="preserve"> נתן לכל תלמיד נקבע בידי הסבא.</w:t>
      </w:r>
      <w:bookmarkStart w:id="3760" w:name="_fnr2825"/>
      <w:r>
        <w:rPr>
          <w:rStyle w:val="a5"/>
        </w:rPr>
        <w:footnoteReference w:id="2833" w:customMarkFollows="0"/>
      </w:r>
      <w:bookmarkEnd w:id="3760"/>
    </w:p>
    <w:p w14:paraId="5EDBB60F" w14:textId="77777777" w:rsidR="00AB3647" w:rsidRDefault="00000000" w:rsidP="007923E9">
      <w:pPr>
        <w:spacing w:after="120" w:line="276" w:lineRule="auto"/>
        <w:ind w:firstLine="283"/>
        <w:jc w:val="both"/>
      </w:pPr>
      <w:r>
        <w:rPr>
          <w:rtl/>
        </w:rPr>
        <w:t xml:space="preserve">(4) ר׳ זליג סטאר, שבדרך כלל מתח ביקורת על ישיבת </w:t>
      </w:r>
      <w:proofErr w:type="spellStart"/>
      <w:r>
        <w:rPr>
          <w:rtl/>
        </w:rPr>
        <w:t>סלבודקה</w:t>
      </w:r>
      <w:proofErr w:type="spellEnd"/>
      <w:r>
        <w:rPr>
          <w:rtl/>
        </w:rPr>
        <w:t xml:space="preserve">, זכר אף הוא: “מסירותו האגדית של ר׳ </w:t>
      </w:r>
      <w:proofErr w:type="spellStart"/>
      <w:r>
        <w:rPr>
          <w:rtl/>
        </w:rPr>
        <w:t xml:space="preserve">בער־הירש</w:t>
      </w:r>
      <w:proofErr w:type="spellEnd"/>
      <w:r>
        <w:rPr>
          <w:rtl/>
        </w:rPr>
        <w:t xml:space="preserve"> לבחורים התבטאה במטבעות הקטנים שנתן להם לצורכיהם הנוספים.”</w:t>
      </w:r>
    </w:p>
    <w:p w14:paraId="2DE44E4B" w14:textId="77777777" w:rsidR="00AB3647" w:rsidRDefault="00000000" w:rsidP="007923E9">
      <w:pPr>
        <w:spacing w:after="120" w:line="276" w:lineRule="auto"/>
        <w:ind w:firstLine="283"/>
        <w:jc w:val="both"/>
      </w:pPr>
      <w:r>
        <w:rPr>
          <w:rtl/>
        </w:rPr>
        <w:t xml:space="preserve">פן נוסף בעיסוקו של ר׳ </w:t>
      </w:r>
      <w:proofErr w:type="spellStart"/>
      <w:r>
        <w:rPr>
          <w:rtl/>
        </w:rPr>
        <w:t xml:space="preserve">בער־הירש</w:t>
      </w:r>
      <w:proofErr w:type="spellEnd"/>
      <w:r>
        <w:rPr>
          <w:rtl/>
        </w:rPr>
        <w:t xml:space="preserve"> בענייני כספים התגלה כשחתנו של רבנו, ר׳ ישראל </w:t>
      </w:r>
      <w:proofErr w:type="spellStart"/>
      <w:r>
        <w:rPr>
          <w:rtl/>
        </w:rPr>
        <w:t>שורין</w:t>
      </w:r>
      <w:proofErr w:type="spellEnd"/>
      <w:r>
        <w:rPr>
          <w:rtl/>
        </w:rPr>
        <w:t>, סיפר</w:t>
      </w:r>
      <w:bookmarkStart w:id="3761" w:name="_fnr2826"/>
      <w:r>
        <w:rPr>
          <w:rStyle w:val="a5"/>
        </w:rPr>
        <w:footnoteReference w:id="2834" w:customMarkFollows="0"/>
      </w:r>
      <w:bookmarkEnd w:id="3761"/>
      <w:r>
        <w:rPr>
          <w:rtl/>
        </w:rPr>
        <w:t xml:space="preserve"> שבסוף שנות </w:t>
      </w:r>
      <w:proofErr w:type="spellStart"/>
      <w:r>
        <w:rPr>
          <w:rtl/>
        </w:rPr>
        <w:t>התר״פ</w:t>
      </w:r>
      <w:proofErr w:type="spellEnd"/>
      <w:r>
        <w:rPr>
          <w:rtl/>
        </w:rPr>
        <w:t xml:space="preserve"> חתם ר׳ </w:t>
      </w:r>
      <w:proofErr w:type="spellStart"/>
      <w:r>
        <w:rPr>
          <w:rtl/>
        </w:rPr>
        <w:t xml:space="preserve">בער־הירש</w:t>
      </w:r>
      <w:proofErr w:type="spellEnd"/>
      <w:r>
        <w:rPr>
          <w:rtl/>
        </w:rPr>
        <w:t xml:space="preserve"> על ערבויות </w:t>
      </w:r>
      <w:proofErr w:type="spellStart"/>
      <w:r>
        <w:rPr>
          <w:rtl/>
        </w:rPr>
        <w:t>ל“השקעות</w:t>
      </w:r>
      <w:proofErr w:type="spellEnd"/>
      <w:r>
        <w:rPr>
          <w:rtl/>
        </w:rPr>
        <w:t xml:space="preserve">” – הלוואות למעשה – שנטלה הישיבה מאנשים פרטיים לצורכי תקציבה הרגיל. “השקעות” אלו הסתיימו באסון כשתמיכתם של יהודי אמריקה במוסדות שבאירופה הצטמצמה בעקבות מפולת הבורסה ב־1929. הישיבה לא יכלה להחזיר לעשרות המשקיעים האומללים אפילו את הקרן, והכריזה על פשיטת רגל. לפני שעזב ר׳ </w:t>
      </w:r>
      <w:proofErr w:type="spellStart"/>
      <w:r>
        <w:rPr>
          <w:rtl/>
        </w:rPr>
        <w:t xml:space="preserve">בער־הירש</w:t>
      </w:r>
      <w:proofErr w:type="spellEnd"/>
      <w:r>
        <w:rPr>
          <w:rtl/>
        </w:rPr>
        <w:t xml:space="preserve"> את ליטא, נתן לאבי, חתנו,</w:t>
      </w:r>
      <w:bookmarkStart w:id="3762" w:name="_fnr2827"/>
      <w:r>
        <w:rPr>
          <w:rStyle w:val="a5"/>
        </w:rPr>
        <w:footnoteReference w:id="2835" w:customMarkFollows="0"/>
      </w:r>
      <w:bookmarkEnd w:id="3762"/>
      <w:r>
        <w:rPr>
          <w:rtl/>
        </w:rPr>
        <w:t xml:space="preserve"> את העט שבו חתם על הערבויות, ואמר לו שישתמש בו לכתיבת חידושיו, משום שכבר שימש להחזקת תורה רבה כל כך. אבי השתמש אז בעט לכתיבת חידושיו </w:t>
      </w:r>
      <w:proofErr w:type="spellStart"/>
      <w:r>
        <w:rPr>
          <w:rtl/>
        </w:rPr>
        <w:t>בציטוביאן</w:t>
      </w:r>
      <w:proofErr w:type="spellEnd"/>
      <w:r>
        <w:rPr>
          <w:rtl/>
        </w:rPr>
        <w:t xml:space="preserve"> ובעולם החדש.</w:t>
      </w:r>
    </w:p>
    <w:p w14:paraId="2A9C5BDA" w14:textId="77777777" w:rsidR="00AB3647" w:rsidRDefault="00000000" w:rsidP="007923E9">
      <w:pPr>
        <w:spacing w:after="120" w:line="276" w:lineRule="auto"/>
        <w:ind w:firstLine="283"/>
        <w:jc w:val="both"/>
      </w:pPr>
      <w:r>
        <w:rPr>
          <w:rtl/>
        </w:rPr>
        <w:t>בקיץ תש״ה, אחרי שהחל רבנו את כהונתו במתיבתא תורה ודעת ובעוד משפחתו בקנדה</w:t>
      </w:r>
      <w:bookmarkStart w:id="3763" w:name="_fnr2828"/>
      <w:r>
        <w:rPr>
          <w:rStyle w:val="a5"/>
        </w:rPr>
        <w:footnoteReference w:id="2836" w:customMarkFollows="0"/>
      </w:r>
      <w:bookmarkEnd w:id="3763"/>
      <w:r>
        <w:rPr>
          <w:rtl/>
        </w:rPr>
        <w:t xml:space="preserve">, אבד לו העט. הוא אמר </w:t>
      </w:r>
      <w:proofErr w:type="spellStart"/>
      <w:r>
        <w:rPr>
          <w:rtl/>
        </w:rPr>
        <w:t>לר</w:t>
      </w:r>
      <w:proofErr w:type="spellEnd"/>
      <w:r>
        <w:rPr>
          <w:rtl/>
        </w:rPr>
        <w:t xml:space="preserve">׳ ישראל </w:t>
      </w:r>
      <w:proofErr w:type="spellStart"/>
      <w:r>
        <w:rPr>
          <w:rtl/>
        </w:rPr>
        <w:t>שורין</w:t>
      </w:r>
      <w:proofErr w:type="spellEnd"/>
      <w:r>
        <w:rPr>
          <w:rtl/>
        </w:rPr>
        <w:t xml:space="preserve">, שהיה אז מאורס לבתו, שרבניתו תתייסר כשתגיע לארצות הברית ותגלה שאינו משתמש עוד בעט המצווה של אביה. אבי ירד אז עם חתנו לעתיד לחנויות המשכון </w:t>
      </w:r>
      <w:proofErr w:type="spellStart"/>
      <w:r>
        <w:rPr>
          <w:rtl/>
        </w:rPr>
        <w:t>בבאוורי</w:t>
      </w:r>
      <w:proofErr w:type="spellEnd"/>
      <w:r>
        <w:rPr>
          <w:rtl/>
        </w:rPr>
        <w:t xml:space="preserve"> שבלואר </w:t>
      </w:r>
      <w:proofErr w:type="spellStart"/>
      <w:r>
        <w:rPr>
          <w:rtl/>
        </w:rPr>
        <w:t>איסט</w:t>
      </w:r>
      <w:proofErr w:type="spellEnd"/>
      <w:r>
        <w:rPr>
          <w:rtl/>
        </w:rPr>
        <w:t xml:space="preserve"> סייד, וקנה עט ישן שכמעט אין להבדיל בינו לבין העט שאבד לו. לימים נמצא העט האבוד!</w:t>
      </w:r>
    </w:p>
    <w:p w14:paraId="4B7C9469" w14:textId="58FE57E6" w:rsidR="00AB3647" w:rsidRDefault="00000000" w:rsidP="007923E9">
      <w:pPr>
        <w:spacing w:after="120" w:line="276" w:lineRule="auto"/>
        <w:ind w:firstLine="283"/>
        <w:jc w:val="both"/>
      </w:pPr>
      <w:r>
        <w:rPr>
          <w:rtl/>
        </w:rPr>
        <w:t>השווה גם תחילת הפסקה השנייה ב</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לעיל, שם מסר אבי שבתקופה מסוימת בשנותיה הראשונות של ישיבת </w:t>
      </w:r>
      <w:proofErr w:type="spellStart"/>
      <w:r>
        <w:rPr>
          <w:rtl/>
        </w:rPr>
        <w:t>סלבודקה</w:t>
      </w:r>
      <w:proofErr w:type="spellEnd"/>
      <w:r>
        <w:rPr>
          <w:rtl/>
        </w:rPr>
        <w:t xml:space="preserve"> ניהל ר׳ </w:t>
      </w:r>
      <w:proofErr w:type="spellStart"/>
      <w:r>
        <w:rPr>
          <w:rtl/>
        </w:rPr>
        <w:t xml:space="preserve">בער־הירש</w:t>
      </w:r>
      <w:proofErr w:type="spellEnd"/>
      <w:r>
        <w:rPr>
          <w:rtl/>
        </w:rPr>
        <w:t xml:space="preserve"> את חשבונות הישיבה.</w:t>
      </w:r>
    </w:p>
    <w:p w14:paraId="05564E4C" w14:textId="77777777" w:rsidR="00AB3647" w:rsidRDefault="00000000" w:rsidP="007923E9">
      <w:pPr>
        <w:pStyle w:val="4"/>
        <w:spacing w:line="276" w:lineRule="auto"/>
      </w:pPr>
      <w:r>
        <w:lastRenderedPageBreak/>
        <w:t>· הפסקה השלישית ·</w:t>
      </w:r>
    </w:p>
    <w:p w14:paraId="5B067E64" w14:textId="77777777" w:rsidR="00AB3647" w:rsidRDefault="00000000" w:rsidP="007923E9">
      <w:pPr>
        <w:pStyle w:val="5"/>
        <w:spacing w:line="276" w:lineRule="auto"/>
      </w:pPr>
      <w:r>
        <w:t xml:space="preserve">ר׳ </w:t>
      </w:r>
      <w:proofErr w:type="spellStart"/>
      <w:r>
        <w:t xml:space="preserve">בער־הירש</w:t>
      </w:r>
      <w:proofErr w:type="spellEnd"/>
      <w:r>
        <w:t xml:space="preserve"> תופס גנב יהודי – </w:t>
      </w:r>
      <w:proofErr w:type="spellStart"/>
      <w:r>
        <w:t>החפץ־חיים</w:t>
      </w:r>
      <w:proofErr w:type="spellEnd"/>
      <w:r>
        <w:t xml:space="preserve"> נשדד בידי יהודי</w:t>
      </w:r>
    </w:p>
    <w:p w14:paraId="232BB8CB" w14:textId="77777777" w:rsidR="00AB3647" w:rsidRDefault="00000000" w:rsidP="007923E9">
      <w:pPr>
        <w:spacing w:after="120" w:line="276" w:lineRule="auto"/>
        <w:ind w:firstLine="283"/>
        <w:jc w:val="both"/>
      </w:pPr>
      <w:r>
        <w:rPr>
          <w:rtl/>
        </w:rPr>
        <w:t xml:space="preserve">הסיפור המובהק על ר׳ </w:t>
      </w:r>
      <w:proofErr w:type="spellStart"/>
      <w:r>
        <w:rPr>
          <w:rtl/>
        </w:rPr>
        <w:t xml:space="preserve">בער־הירש</w:t>
      </w:r>
      <w:proofErr w:type="spellEnd"/>
      <w:r>
        <w:rPr>
          <w:rtl/>
        </w:rPr>
        <w:t xml:space="preserve">, המזכיר את הנהגת </w:t>
      </w:r>
      <w:proofErr w:type="spellStart"/>
      <w:r>
        <w:rPr>
          <w:rtl/>
        </w:rPr>
        <w:t>החפץ־חיים</w:t>
      </w:r>
      <w:proofErr w:type="spellEnd"/>
      <w:r>
        <w:rPr>
          <w:rtl/>
        </w:rPr>
        <w:t>, סופר בידי אחד מנכדיו, אחי ר׳ שמואל.</w:t>
      </w:r>
      <w:bookmarkStart w:id="3764" w:name="_fnr2829"/>
      <w:r>
        <w:rPr>
          <w:rStyle w:val="a5"/>
        </w:rPr>
        <w:footnoteReference w:id="2837" w:customMarkFollows="0"/>
      </w:r>
      <w:bookmarkEnd w:id="3764"/>
      <w:r>
        <w:rPr>
          <w:rtl/>
        </w:rPr>
        <w:t xml:space="preserve"> בוקר שבת אחד גנב אדם את הצ׳ולנט מן התנור בביתו של ר׳ </w:t>
      </w:r>
      <w:proofErr w:type="spellStart"/>
      <w:r>
        <w:rPr>
          <w:rtl/>
        </w:rPr>
        <w:t xml:space="preserve">בער־הירש</w:t>
      </w:r>
      <w:proofErr w:type="spellEnd"/>
      <w:r>
        <w:rPr>
          <w:rtl/>
        </w:rPr>
        <w:t xml:space="preserve">. ר׳ </w:t>
      </w:r>
      <w:proofErr w:type="spellStart"/>
      <w:r>
        <w:rPr>
          <w:rtl/>
        </w:rPr>
        <w:t xml:space="preserve">בער־הירש</w:t>
      </w:r>
      <w:proofErr w:type="spellEnd"/>
      <w:r>
        <w:rPr>
          <w:rtl/>
        </w:rPr>
        <w:t xml:space="preserve"> שמע את ההמולה במטבח, רץ אחר הגנב ותפס אותו. הוא אילץ את האיש, שניכר בו שהוא רעב, לשוב עימו לבית, ושם הושיב אותו ליד שולחן השבת לאכול מן הצ׳ולנט יחד עם המשפחה שממנה נגנב.</w:t>
      </w:r>
      <w:bookmarkStart w:id="3765" w:name="_fnr2830"/>
      <w:r>
        <w:rPr>
          <w:rStyle w:val="a5"/>
        </w:rPr>
        <w:footnoteReference w:id="2838" w:customMarkFollows="0"/>
      </w:r>
      <w:bookmarkEnd w:id="3765"/>
    </w:p>
    <w:p w14:paraId="5F5CFDE4" w14:textId="77777777" w:rsidR="00AB3647" w:rsidRDefault="00000000" w:rsidP="007923E9">
      <w:pPr>
        <w:spacing w:after="120" w:line="276" w:lineRule="auto"/>
        <w:ind w:firstLine="283"/>
        <w:jc w:val="both"/>
      </w:pPr>
      <w:r>
        <w:rPr>
          <w:rtl/>
        </w:rPr>
        <w:t>אל יתפלא הקורא על כך שאוכל נגנב בליטא. אחי ר׳ בנימין סיפר</w:t>
      </w:r>
      <w:bookmarkStart w:id="3766" w:name="_fnr2831"/>
      <w:r>
        <w:rPr>
          <w:rStyle w:val="a5"/>
        </w:rPr>
        <w:footnoteReference w:id="2839" w:customMarkFollows="0"/>
      </w:r>
      <w:bookmarkEnd w:id="3766"/>
      <w:r>
        <w:rPr>
          <w:rtl/>
        </w:rPr>
        <w:t xml:space="preserve"> שביום טוב של סוכות נגנבו סירי האוכל שלנו מסוכתנו </w:t>
      </w:r>
      <w:proofErr w:type="spellStart"/>
      <w:r>
        <w:rPr>
          <w:rtl/>
        </w:rPr>
        <w:t>בציטוביאן</w:t>
      </w:r>
      <w:proofErr w:type="spellEnd"/>
      <w:r>
        <w:rPr>
          <w:rtl/>
        </w:rPr>
        <w:t>. אבינו אמר: “אני יודע מי ודאי גנב אותם – וגם הוא צריך שמחת יום טוב. ואשר לסירים, אני בטוח שנקבל אותם בחזרה.” כעבור זמן מה בא מישהו – הגנב עצמו – ואמר שמצא כמה סירים בדרך. אבינו לקח אותם ואמר: “אחזיר אותם לבעליהם.”</w:t>
      </w:r>
    </w:p>
    <w:p w14:paraId="0D84EBDF" w14:textId="77777777" w:rsidR="00AB3647" w:rsidRDefault="00000000" w:rsidP="007923E9">
      <w:pPr>
        <w:spacing w:after="120" w:line="276" w:lineRule="auto"/>
        <w:ind w:firstLine="283"/>
        <w:jc w:val="both"/>
      </w:pPr>
      <w:r>
        <w:rPr>
          <w:rtl/>
        </w:rPr>
        <w:t xml:space="preserve">הסיפור הדומה על </w:t>
      </w:r>
      <w:proofErr w:type="spellStart"/>
      <w:r>
        <w:rPr>
          <w:rtl/>
        </w:rPr>
        <w:t>החפץ־חיים</w:t>
      </w:r>
      <w:proofErr w:type="spellEnd"/>
      <w:r>
        <w:rPr>
          <w:rtl/>
        </w:rPr>
        <w:t xml:space="preserve"> נרשם בכתב העת הירושלמי “שערי ציון”.</w:t>
      </w:r>
      <w:bookmarkStart w:id="3767" w:name="_fnr2832"/>
      <w:r>
        <w:rPr>
          <w:rStyle w:val="a5"/>
        </w:rPr>
        <w:footnoteReference w:id="2840" w:customMarkFollows="0"/>
      </w:r>
      <w:bookmarkEnd w:id="3767"/>
      <w:r>
        <w:rPr>
          <w:rtl/>
        </w:rPr>
        <w:t xml:space="preserve"> מובא שם</w:t>
      </w:r>
      <w:bookmarkStart w:id="3768" w:name="_fnr2833"/>
      <w:r>
        <w:rPr>
          <w:rStyle w:val="a5"/>
        </w:rPr>
        <w:footnoteReference w:id="2841" w:customMarkFollows="0"/>
      </w:r>
      <w:bookmarkEnd w:id="3768"/>
      <w:r>
        <w:rPr>
          <w:rtl/>
        </w:rPr>
        <w:t xml:space="preserve"> מאמר מתוך “היסוד” מאת מ. </w:t>
      </w:r>
      <w:proofErr w:type="spellStart"/>
      <w:r>
        <w:rPr>
          <w:rtl/>
        </w:rPr>
        <w:t>ליזרוביץ</w:t>
      </w:r>
      <w:proofErr w:type="spellEnd"/>
      <w:r>
        <w:rPr>
          <w:rtl/>
        </w:rPr>
        <w:t xml:space="preserve">: </w:t>
      </w:r>
      <w:proofErr w:type="spellStart"/>
      <w:r>
        <w:rPr>
          <w:rtl/>
        </w:rPr>
        <w:t>החפץ־חיים</w:t>
      </w:r>
      <w:proofErr w:type="spellEnd"/>
      <w:r>
        <w:rPr>
          <w:rtl/>
        </w:rPr>
        <w:t xml:space="preserve"> שהה פעם בוורשה והלך להתפלל בבית כנסת. אדם ניגש לברכו, הוציא שטר של חמישה רובלים ואמר שהוא חייב רובל בעבור ספר. כשאמר </w:t>
      </w:r>
      <w:proofErr w:type="spellStart"/>
      <w:r>
        <w:rPr>
          <w:rtl/>
        </w:rPr>
        <w:t>החפץ־חיים</w:t>
      </w:r>
      <w:proofErr w:type="spellEnd"/>
      <w:r>
        <w:rPr>
          <w:rtl/>
        </w:rPr>
        <w:t xml:space="preserve"> שאינו יכול לקבל את הכסף בלי חשבון, ושחתנו מטפל בכך, “הודה” האיש שהוא רק רוצה לתת לחכם רובל במתנה. כשאמר </w:t>
      </w:r>
      <w:proofErr w:type="spellStart"/>
      <w:r>
        <w:rPr>
          <w:rtl/>
        </w:rPr>
        <w:t>החפץ־חיים</w:t>
      </w:r>
      <w:proofErr w:type="spellEnd"/>
      <w:r>
        <w:rPr>
          <w:rtl/>
        </w:rPr>
        <w:t xml:space="preserve"> שאינו מקבל מתנות, אבל יכול לקבל את הכסף כתרומה לישיבתו, “הסכים” האיש. כשהוציא </w:t>
      </w:r>
      <w:proofErr w:type="spellStart"/>
      <w:r>
        <w:rPr>
          <w:rtl/>
        </w:rPr>
        <w:t>החפץ־חיים</w:t>
      </w:r>
      <w:proofErr w:type="spellEnd"/>
      <w:r>
        <w:rPr>
          <w:rtl/>
        </w:rPr>
        <w:t xml:space="preserve"> את ארנקו כדי לתת לו עודף על השטר, נמלט הלה עם הארנק – ובו כ־400 רובלים. האנשים רצו לרדוף אחרי הגנב, אבל </w:t>
      </w:r>
      <w:proofErr w:type="spellStart"/>
      <w:r>
        <w:rPr>
          <w:rtl/>
        </w:rPr>
        <w:t>החפץ־חיים</w:t>
      </w:r>
      <w:proofErr w:type="spellEnd"/>
      <w:r>
        <w:rPr>
          <w:rtl/>
        </w:rPr>
        <w:t xml:space="preserve"> התחנן שלא יעשו זאת, ואמר: “מי יודע אם אותו יהודי אינו זקוק לכסף כדי להשיא בת שכבר אינה צעירה?!”</w:t>
      </w:r>
    </w:p>
    <w:p w14:paraId="3F598DE6" w14:textId="77777777" w:rsidR="00AB3647" w:rsidRDefault="00000000" w:rsidP="007923E9">
      <w:pPr>
        <w:spacing w:after="120" w:line="276" w:lineRule="auto"/>
        <w:ind w:firstLine="283"/>
        <w:jc w:val="both"/>
      </w:pPr>
      <w:r>
        <w:rPr>
          <w:rtl/>
        </w:rPr>
        <w:t xml:space="preserve">ייתכן שהקורא יזדעזע מכך שגנב יהודי העז לשדוד את </w:t>
      </w:r>
      <w:proofErr w:type="spellStart"/>
      <w:r>
        <w:rPr>
          <w:rtl/>
        </w:rPr>
        <w:t>החפץ־חיים</w:t>
      </w:r>
      <w:proofErr w:type="spellEnd"/>
      <w:r>
        <w:rPr>
          <w:rtl/>
        </w:rPr>
        <w:t xml:space="preserve">, אבל מצאתי מקרה נוסף כזה </w:t>
      </w:r>
      <w:proofErr w:type="spellStart"/>
      <w:r>
        <w:rPr>
          <w:rtl/>
        </w:rPr>
        <w:t>ב“מינסק</w:t>
      </w:r>
      <w:proofErr w:type="spellEnd"/>
      <w:r>
        <w:rPr>
          <w:rtl/>
        </w:rPr>
        <w:t xml:space="preserve"> עיר ואם”, כרך א,</w:t>
      </w:r>
      <w:bookmarkStart w:id="3769" w:name="_fnr2834"/>
      <w:r>
        <w:rPr>
          <w:rStyle w:val="a5"/>
        </w:rPr>
        <w:footnoteReference w:id="2842" w:customMarkFollows="0"/>
      </w:r>
      <w:bookmarkEnd w:id="3769"/>
      <w:r>
        <w:rPr>
          <w:rtl/>
        </w:rPr>
        <w:t xml:space="preserve"> במאמר מאת רחל חדש. בימי מלחמת העולם הראשונה, </w:t>
      </w:r>
      <w:proofErr w:type="spellStart"/>
      <w:r>
        <w:rPr>
          <w:rtl/>
        </w:rPr>
        <w:t>כשהחפץ־חיים</w:t>
      </w:r>
      <w:proofErr w:type="spellEnd"/>
      <w:r>
        <w:rPr>
          <w:rtl/>
        </w:rPr>
        <w:t xml:space="preserve"> גלה למינסק, ליווה אותו אבי המחברת, המגיד ממינסק ר׳ בנימין </w:t>
      </w:r>
      <w:proofErr w:type="spellStart"/>
      <w:r>
        <w:rPr>
          <w:rtl/>
        </w:rPr>
        <w:t>שוקוביצקי</w:t>
      </w:r>
      <w:proofErr w:type="spellEnd"/>
      <w:r>
        <w:rPr>
          <w:rtl/>
        </w:rPr>
        <w:t xml:space="preserve">, לקבל תרומה לישיבה מאדם שזכה ב־200,000 רובלים בהגרלה, והם יצאו מביתו עם תרומה עצומה של 500 רובלים. אחרי שנפרדו </w:t>
      </w:r>
      <w:proofErr w:type="spellStart"/>
      <w:r>
        <w:rPr>
          <w:rtl/>
        </w:rPr>
        <w:t>החפץ־חיים</w:t>
      </w:r>
      <w:proofErr w:type="spellEnd"/>
      <w:r>
        <w:rPr>
          <w:rtl/>
        </w:rPr>
        <w:t xml:space="preserve"> והמגיד, </w:t>
      </w:r>
      <w:proofErr w:type="spellStart"/>
      <w:r>
        <w:rPr>
          <w:rtl/>
        </w:rPr>
        <w:t>והחפץ־חיים</w:t>
      </w:r>
      <w:proofErr w:type="spellEnd"/>
      <w:r>
        <w:rPr>
          <w:rtl/>
        </w:rPr>
        <w:t xml:space="preserve"> המשיך בדרכו, התחכך בו “שלא במתכוון” יהודי שנשא שק קמח. יהודי אחר ניגש </w:t>
      </w:r>
      <w:proofErr w:type="spellStart"/>
      <w:r>
        <w:rPr>
          <w:rtl/>
        </w:rPr>
        <w:t>לחפץ־חיים</w:t>
      </w:r>
      <w:proofErr w:type="spellEnd"/>
      <w:r>
        <w:rPr>
          <w:rtl/>
        </w:rPr>
        <w:t xml:space="preserve"> ואמר: “רבי, התלכלכת בקמח”, והחל לנער אותו מעליו. עוד לפני שהבין </w:t>
      </w:r>
      <w:proofErr w:type="spellStart"/>
      <w:r>
        <w:rPr>
          <w:rtl/>
        </w:rPr>
        <w:t>החפץ־חיים</w:t>
      </w:r>
      <w:proofErr w:type="spellEnd"/>
      <w:r>
        <w:rPr>
          <w:rtl/>
        </w:rPr>
        <w:t xml:space="preserve"> מה קורה, נגנבו ממנו 500 הרובלים.</w:t>
      </w:r>
    </w:p>
    <w:bookmarkStart w:id="3770" w:name="b3_excBB"/>
    <w:p w14:paraId="69A579C2" w14:textId="77777777" w:rsidR="00AB3647" w:rsidRDefault="00000000" w:rsidP="007923E9">
      <w:pPr>
        <w:pStyle w:val="3"/>
        <w:spacing w:line="276" w:lineRule="auto"/>
      </w:pPr>
      <w:r>
        <w:lastRenderedPageBreak/>
        <w:fldChar w:fldCharType="begin" w:dirty="true"/>
      </w:r>
      <w:r>
        <w:rPr>
          <w:rtl w:val="0"/>
        </w:rPr>
        <w:instrText>HYPERLINK \l "b3_note117</w:instrText>
      </w:r>
      <w:r>
        <w:instrText>"</w:instrText>
      </w:r>
      <w:r>
        <w:fldChar w:fldCharType="separate"/>
      </w:r>
      <w:r>
        <w:t xml:space="preserve">נספח </w:t>
      </w:r>
      <w:proofErr w:type="spellStart"/>
      <w:r>
        <w:t>כח</w:t>
      </w:r>
      <w:proofErr w:type="spellEnd"/>
      <w:r>
        <w:fldChar w:fldCharType="end"/>
      </w:r>
      <w:bookmarkEnd w:id="3770"/>
    </w:p>
    <w:p w14:paraId="0C3CF314" w14:textId="77777777" w:rsidR="00AB3647" w:rsidRDefault="00000000" w:rsidP="007923E9">
      <w:pPr>
        <w:pStyle w:val="af"/>
        <w:spacing w:line="276" w:lineRule="auto"/>
      </w:pPr>
      <w:r>
        <w:t xml:space="preserve">על אישיותו של ר׳ </w:t>
      </w:r>
      <w:proofErr w:type="spellStart"/>
      <w:r>
        <w:t xml:space="preserve">בער־הירש</w:t>
      </w:r>
      <w:proofErr w:type="spellEnd"/>
      <w:r>
        <w:t xml:space="preserve"> </w:t>
      </w:r>
      <w:proofErr w:type="spellStart"/>
      <w:r>
        <w:t xml:space="preserve">הלר</w:t>
      </w:r>
      <w:proofErr w:type="spellEnd"/>
      <w:r>
        <w:t xml:space="preserve"> ועל בנו שסָר מן הדרך</w:t>
      </w:r>
    </w:p>
    <w:p w14:paraId="1945F373" w14:textId="77777777" w:rsidR="00AB3647" w:rsidRDefault="00000000" w:rsidP="007923E9">
      <w:pPr>
        <w:pStyle w:val="4"/>
        <w:spacing w:line="276" w:lineRule="auto"/>
      </w:pPr>
      <w:r>
        <w:t>· הפסקה הראשונה ·</w:t>
      </w:r>
    </w:p>
    <w:p w14:paraId="2B994A8F" w14:textId="77777777" w:rsidR="00AB3647" w:rsidRDefault="00000000" w:rsidP="007923E9">
      <w:pPr>
        <w:pStyle w:val="5"/>
        <w:spacing w:line="276" w:lineRule="auto"/>
      </w:pPr>
      <w:r>
        <w:t xml:space="preserve">ר׳ </w:t>
      </w:r>
      <w:proofErr w:type="spellStart"/>
      <w:r>
        <w:t xml:space="preserve">בער־הירש</w:t>
      </w:r>
      <w:proofErr w:type="spellEnd"/>
      <w:r>
        <w:t xml:space="preserve"> מתחשב במיוחד בזולת – הוא מופת למוסר – חתנו ר׳ אברהם </w:t>
      </w:r>
      <w:proofErr w:type="spellStart"/>
      <w:r>
        <w:t>גרודזינסקי</w:t>
      </w:r>
      <w:proofErr w:type="spellEnd"/>
      <w:r>
        <w:t xml:space="preserve"> מספיד אותו בישיבה</w:t>
      </w:r>
    </w:p>
    <w:p w14:paraId="32CE2A3D" w14:textId="77777777" w:rsidR="00AB3647" w:rsidRDefault="00000000" w:rsidP="007923E9">
      <w:pPr>
        <w:spacing w:after="120" w:line="276" w:lineRule="auto"/>
        <w:ind w:firstLine="283"/>
        <w:jc w:val="both"/>
      </w:pPr>
      <w:r>
        <w:rPr>
          <w:rtl/>
        </w:rPr>
        <w:t>ר׳ זבולון גרז</w:t>
      </w:r>
      <w:bookmarkStart w:id="3771" w:name="_fnr2835"/>
      <w:r>
        <w:rPr>
          <w:rStyle w:val="a5"/>
        </w:rPr>
        <w:footnoteReference w:id="2843" w:customMarkFollows="0"/>
      </w:r>
      <w:bookmarkEnd w:id="3771"/>
      <w:r>
        <w:rPr>
          <w:rtl/>
        </w:rPr>
        <w:t xml:space="preserve"> הצהיר: “ר׳ </w:t>
      </w:r>
      <w:proofErr w:type="spellStart"/>
      <w:r>
        <w:rPr>
          <w:rtl/>
        </w:rPr>
        <w:t xml:space="preserve">בער־הירש</w:t>
      </w:r>
      <w:proofErr w:type="spellEnd"/>
      <w:r>
        <w:rPr>
          <w:rtl/>
        </w:rPr>
        <w:t xml:space="preserve"> פעל למען הישיבה במעשים.” כוונתו הייתה שר׳ </w:t>
      </w:r>
      <w:proofErr w:type="spellStart"/>
      <w:r>
        <w:rPr>
          <w:rtl/>
        </w:rPr>
        <w:t xml:space="preserve">בער־הירש</w:t>
      </w:r>
      <w:proofErr w:type="spellEnd"/>
      <w:r>
        <w:rPr>
          <w:rtl/>
        </w:rPr>
        <w:t xml:space="preserve"> פעל במישור המעשי. הוא הסביר: “אני זוכר איך הנהיג להאריך באמירת ‘עזרת’ בתפילת הבוקר, כדי שהבחורים המאחרים יוכלו להתפלל תפילת עמידה בלחש יחד עם כולם – הישיבה, כמובן, התחילה להתפלל מוקדם דיו כדי לקרוא את שמע לפי השעה המוקדמת יותר, המחמירה.”</w:t>
      </w:r>
      <w:bookmarkStart w:id="3772" w:name="_fnr2836"/>
      <w:r>
        <w:rPr>
          <w:rStyle w:val="a5"/>
        </w:rPr>
        <w:footnoteReference w:id="2844" w:customMarkFollows="0"/>
      </w:r>
      <w:bookmarkEnd w:id="3772"/>
      <w:r>
        <w:rPr>
          <w:rtl/>
        </w:rPr>
        <w:t xml:space="preserve"> כשהערתי שאולי ההארכה </w:t>
      </w:r>
      <w:proofErr w:type="spellStart"/>
      <w:r>
        <w:rPr>
          <w:rtl/>
        </w:rPr>
        <w:t>ב“עזרת</w:t>
      </w:r>
      <w:proofErr w:type="spellEnd"/>
      <w:r>
        <w:rPr>
          <w:rtl/>
        </w:rPr>
        <w:t xml:space="preserve">” עודדה איחורים, אמר הרב גרז: “ראשית, זה היה חסד עם התלמידים, שיוכלו להתפלל עם כולם, משום שתפילה משנה את האדם; ושנית, עצם העובדה שר׳ </w:t>
      </w:r>
      <w:proofErr w:type="spellStart"/>
      <w:r>
        <w:rPr>
          <w:rtl/>
        </w:rPr>
        <w:t xml:space="preserve">בער־הירש</w:t>
      </w:r>
      <w:proofErr w:type="spellEnd"/>
      <w:r>
        <w:rPr>
          <w:rtl/>
        </w:rPr>
        <w:t xml:space="preserve"> המתין בתפילת העמידה שלו המריצה את הבחורים לבוא בזמן.”</w:t>
      </w:r>
    </w:p>
    <w:p w14:paraId="2A373B48" w14:textId="77777777" w:rsidR="00AB3647" w:rsidRDefault="00000000" w:rsidP="007923E9">
      <w:pPr>
        <w:spacing w:after="120" w:line="276" w:lineRule="auto"/>
        <w:ind w:firstLine="283"/>
        <w:jc w:val="both"/>
      </w:pPr>
      <w:r>
        <w:rPr>
          <w:rtl/>
        </w:rPr>
        <w:t xml:space="preserve">“נישאתי”, המשיך ר׳ זבולון, “בכובע צילינדר ובמקל הליכה שהושאלו לי מתלמיד מן העיר </w:t>
      </w:r>
      <w:proofErr w:type="spellStart"/>
      <w:r>
        <w:rPr>
          <w:rtl/>
        </w:rPr>
        <w:t>וולוז׳ין</w:t>
      </w:r>
      <w:proofErr w:type="spellEnd"/>
      <w:r>
        <w:rPr>
          <w:rtl/>
        </w:rPr>
        <w:t xml:space="preserve">. אני מאמין שמנהג לבוש זה נקבע בידי ר׳ </w:t>
      </w:r>
      <w:proofErr w:type="spellStart"/>
      <w:r>
        <w:rPr>
          <w:rtl/>
        </w:rPr>
        <w:t xml:space="preserve">בער־הירש</w:t>
      </w:r>
      <w:proofErr w:type="spellEnd"/>
      <w:r>
        <w:rPr>
          <w:rtl/>
        </w:rPr>
        <w:t xml:space="preserve"> כדי להעניק לחתן יותר ‘מעמד’.” ר׳ שמואל ויציק אמר:</w:t>
      </w:r>
      <w:bookmarkStart w:id="3773" w:name="_fnr2837"/>
      <w:r>
        <w:rPr>
          <w:rStyle w:val="a5"/>
        </w:rPr>
        <w:footnoteReference w:id="2845" w:customMarkFollows="0"/>
      </w:r>
      <w:bookmarkEnd w:id="3773"/>
      <w:r>
        <w:rPr>
          <w:rtl/>
        </w:rPr>
        <w:t xml:space="preserve"> “ר׳ </w:t>
      </w:r>
      <w:proofErr w:type="spellStart"/>
      <w:r>
        <w:rPr>
          <w:rtl/>
        </w:rPr>
        <w:t xml:space="preserve">בער־הירש</w:t>
      </w:r>
      <w:proofErr w:type="spellEnd"/>
      <w:r>
        <w:rPr>
          <w:rtl/>
        </w:rPr>
        <w:t xml:space="preserve"> אהב את כולם, והיה א </w:t>
      </w:r>
      <w:proofErr w:type="spellStart"/>
      <w:r>
        <w:rPr>
          <w:rtl/>
        </w:rPr>
        <w:t>מורא׳דיגער</w:t>
      </w:r>
      <w:proofErr w:type="spellEnd"/>
      <w:r>
        <w:rPr>
          <w:rtl/>
        </w:rPr>
        <w:t xml:space="preserve"> עניו [עניו להפליא]. בתפקידו כמשגיח הקרין חסד שכל בחור הרגיש בו.”</w:t>
      </w:r>
    </w:p>
    <w:p w14:paraId="23E9F9D2" w14:textId="77777777" w:rsidR="00AB3647" w:rsidRDefault="00000000" w:rsidP="007923E9">
      <w:pPr>
        <w:spacing w:after="120" w:line="276" w:lineRule="auto"/>
        <w:ind w:firstLine="283"/>
        <w:jc w:val="both"/>
      </w:pPr>
      <w:r>
        <w:rPr>
          <w:rtl/>
        </w:rPr>
        <w:t xml:space="preserve">יהודית </w:t>
      </w:r>
      <w:proofErr w:type="spellStart"/>
      <w:r>
        <w:rPr>
          <w:rtl/>
        </w:rPr>
        <w:t>נויברגר</w:t>
      </w:r>
      <w:proofErr w:type="spellEnd"/>
      <w:r>
        <w:rPr>
          <w:rtl/>
        </w:rPr>
        <w:t xml:space="preserve">, נכדתו של ר׳ </w:t>
      </w:r>
      <w:proofErr w:type="spellStart"/>
      <w:r>
        <w:rPr>
          <w:rtl/>
        </w:rPr>
        <w:t>פייבל</w:t>
      </w:r>
      <w:proofErr w:type="spellEnd"/>
      <w:r>
        <w:rPr>
          <w:rtl/>
        </w:rPr>
        <w:t xml:space="preserve"> </w:t>
      </w:r>
      <w:proofErr w:type="spellStart"/>
      <w:r>
        <w:rPr>
          <w:rtl/>
        </w:rPr>
        <w:t>פרנקס</w:t>
      </w:r>
      <w:proofErr w:type="spellEnd"/>
      <w:r>
        <w:rPr>
          <w:rtl/>
        </w:rPr>
        <w:t>,</w:t>
      </w:r>
      <w:bookmarkStart w:id="3774" w:name="_fnr2838"/>
      <w:r>
        <w:rPr>
          <w:rStyle w:val="a5"/>
        </w:rPr>
        <w:footnoteReference w:id="2846" w:customMarkFollows="0"/>
      </w:r>
      <w:bookmarkEnd w:id="3774"/>
      <w:r>
        <w:rPr>
          <w:rtl/>
        </w:rPr>
        <w:t xml:space="preserve"> סיפרה:</w:t>
      </w:r>
      <w:bookmarkStart w:id="3775" w:name="_fnr2839"/>
      <w:r>
        <w:rPr>
          <w:rStyle w:val="a5"/>
        </w:rPr>
        <w:footnoteReference w:id="2847" w:customMarkFollows="0"/>
      </w:r>
      <w:bookmarkEnd w:id="3775"/>
      <w:r>
        <w:rPr>
          <w:rtl/>
        </w:rPr>
        <w:t xml:space="preserve"> “אנשים בצרה, רובם קשורים לישיבה, היו באים </w:t>
      </w:r>
      <w:proofErr w:type="spellStart"/>
      <w:r>
        <w:rPr>
          <w:rtl/>
        </w:rPr>
        <w:t>לר</w:t>
      </w:r>
      <w:proofErr w:type="spellEnd"/>
      <w:r>
        <w:rPr>
          <w:rtl/>
        </w:rPr>
        <w:t xml:space="preserve">׳ </w:t>
      </w:r>
      <w:proofErr w:type="spellStart"/>
      <w:r>
        <w:rPr>
          <w:rtl/>
        </w:rPr>
        <w:t xml:space="preserve">בער־הירש</w:t>
      </w:r>
      <w:proofErr w:type="spellEnd"/>
      <w:r>
        <w:rPr>
          <w:rtl/>
        </w:rPr>
        <w:t xml:space="preserve"> לשטוח לפניו את בעיותיהם. הוא היה מקשיב להם ומייעץ להם. מעניין היה לראות כיצד ניחן הצדיק בכישרון להסיר את האבנים הכבדות מליבות האנשים.” רחל חדש,</w:t>
      </w:r>
      <w:bookmarkStart w:id="3776" w:name="_fnr2840"/>
      <w:r>
        <w:rPr>
          <w:rStyle w:val="a5"/>
        </w:rPr>
        <w:footnoteReference w:id="2848" w:customMarkFollows="0"/>
      </w:r>
      <w:bookmarkEnd w:id="3776"/>
      <w:r>
        <w:rPr>
          <w:rtl/>
        </w:rPr>
        <w:t xml:space="preserve"> שזכרה את ביקוריו של הרב </w:t>
      </w:r>
      <w:proofErr w:type="spellStart"/>
      <w:r>
        <w:rPr>
          <w:rtl/>
        </w:rPr>
        <w:t xml:space="preserve">הלר</w:t>
      </w:r>
      <w:proofErr w:type="spellEnd"/>
      <w:r>
        <w:rPr>
          <w:rtl/>
        </w:rPr>
        <w:t xml:space="preserve"> בעיר הולדתה מינסק, אמרה: “הוא היה אדם מתוק מאוד, ואהב אותנו הילדים מאוד. הוא היה איש ‘משי׳,</w:t>
      </w:r>
      <w:bookmarkStart w:id="3777" w:name="_fnr2841"/>
      <w:r>
        <w:rPr>
          <w:rStyle w:val="a5"/>
        </w:rPr>
        <w:footnoteReference w:id="2849" w:customMarkFollows="0"/>
      </w:r>
      <w:bookmarkEnd w:id="3777"/>
      <w:r>
        <w:rPr>
          <w:rtl/>
        </w:rPr>
        <w:t xml:space="preserve"> נפש עדינה וטובה.”</w:t>
      </w:r>
    </w:p>
    <w:p w14:paraId="6221BDC3" w14:textId="77777777" w:rsidR="00AB3647" w:rsidRDefault="00000000" w:rsidP="007923E9">
      <w:pPr>
        <w:spacing w:after="120" w:line="276" w:lineRule="auto"/>
        <w:ind w:firstLine="283"/>
        <w:jc w:val="both"/>
      </w:pPr>
      <w:r>
        <w:rPr>
          <w:rtl/>
        </w:rPr>
        <w:t xml:space="preserve">בעניין עדינותו של ר׳ </w:t>
      </w:r>
      <w:proofErr w:type="spellStart"/>
      <w:r>
        <w:rPr>
          <w:rtl/>
        </w:rPr>
        <w:t xml:space="preserve">בער־הירש</w:t>
      </w:r>
      <w:proofErr w:type="spellEnd"/>
      <w:r>
        <w:rPr>
          <w:rtl/>
        </w:rPr>
        <w:t xml:space="preserve"> מסר ר׳ ישראל </w:t>
      </w:r>
      <w:proofErr w:type="spellStart"/>
      <w:r>
        <w:rPr>
          <w:rtl/>
        </w:rPr>
        <w:t>שורין</w:t>
      </w:r>
      <w:bookmarkStart w:id="3778" w:name="_fnr2842"/>
      <w:proofErr w:type="spellEnd"/>
      <w:r>
        <w:rPr>
          <w:rStyle w:val="a5"/>
        </w:rPr>
        <w:footnoteReference w:id="2850" w:customMarkFollows="0"/>
      </w:r>
      <w:bookmarkEnd w:id="3778"/>
      <w:r>
        <w:rPr>
          <w:rtl/>
        </w:rPr>
        <w:t xml:space="preserve"> שהיה בארץ ישראל בשעה שנפטר הרב </w:t>
      </w:r>
      <w:proofErr w:type="spellStart"/>
      <w:r>
        <w:rPr>
          <w:rtl/>
        </w:rPr>
        <w:t xml:space="preserve">הלר</w:t>
      </w:r>
      <w:proofErr w:type="spellEnd"/>
      <w:r>
        <w:rPr>
          <w:rtl/>
        </w:rPr>
        <w:t xml:space="preserve"> – באלול תרצ״ה, פחות משנה וחצי אחרי בואו מליטא – ואנשים אמרו אז שמת מרעב. לדברי ר׳ יצחק </w:t>
      </w:r>
      <w:proofErr w:type="spellStart"/>
      <w:r>
        <w:rPr>
          <w:rtl/>
        </w:rPr>
        <w:t>גרודזינסקי</w:t>
      </w:r>
      <w:proofErr w:type="spellEnd"/>
      <w:r>
        <w:rPr>
          <w:rtl/>
        </w:rPr>
        <w:t xml:space="preserve">, נכדו של ר׳ </w:t>
      </w:r>
      <w:proofErr w:type="spellStart"/>
      <w:r>
        <w:rPr>
          <w:rtl/>
        </w:rPr>
        <w:t xml:space="preserve">בער־הירש</w:t>
      </w:r>
      <w:proofErr w:type="spellEnd"/>
      <w:r>
        <w:rPr>
          <w:rtl/>
        </w:rPr>
        <w:t>,</w:t>
      </w:r>
      <w:bookmarkStart w:id="3779" w:name="_fnr2843"/>
      <w:r>
        <w:rPr>
          <w:rStyle w:val="a5"/>
        </w:rPr>
        <w:footnoteReference w:id="2851" w:customMarkFollows="0"/>
      </w:r>
      <w:bookmarkEnd w:id="3779"/>
      <w:r>
        <w:rPr>
          <w:rtl/>
        </w:rPr>
        <w:t xml:space="preserve"> אמר ר׳ </w:t>
      </w:r>
      <w:proofErr w:type="spellStart"/>
      <w:r>
        <w:rPr>
          <w:rtl/>
        </w:rPr>
        <w:t>חצקל</w:t>
      </w:r>
      <w:proofErr w:type="spellEnd"/>
      <w:r>
        <w:rPr>
          <w:rtl/>
        </w:rPr>
        <w:t xml:space="preserve"> </w:t>
      </w:r>
      <w:proofErr w:type="spellStart"/>
      <w:r>
        <w:rPr>
          <w:rtl/>
        </w:rPr>
        <w:t>סרנא</w:t>
      </w:r>
      <w:proofErr w:type="spellEnd"/>
      <w:r>
        <w:rPr>
          <w:rtl/>
        </w:rPr>
        <w:t xml:space="preserve">: “ר׳ </w:t>
      </w:r>
      <w:proofErr w:type="spellStart"/>
      <w:r>
        <w:rPr>
          <w:rtl/>
        </w:rPr>
        <w:lastRenderedPageBreak/>
        <w:t xml:space="preserve">בער־הירש</w:t>
      </w:r>
      <w:proofErr w:type="spellEnd"/>
      <w:r>
        <w:rPr>
          <w:rtl/>
        </w:rPr>
        <w:t xml:space="preserve"> לא היה ‘תובע’” – כלומר לא היה אדם בעל דרישות – </w:t>
      </w:r>
      <w:proofErr w:type="spellStart"/>
      <w:r>
        <w:rPr>
          <w:rtl/>
        </w:rPr>
        <w:t>וכשלא</w:t>
      </w:r>
      <w:proofErr w:type="spellEnd"/>
      <w:r>
        <w:rPr>
          <w:rtl/>
        </w:rPr>
        <w:t xml:space="preserve"> היה לו די מזון, איש לא ידע על כך.</w:t>
      </w:r>
    </w:p>
    <w:p w14:paraId="4379BED3" w14:textId="77777777" w:rsidR="00AB3647" w:rsidRDefault="00000000" w:rsidP="007923E9">
      <w:pPr>
        <w:spacing w:after="120" w:line="276" w:lineRule="auto"/>
        <w:ind w:firstLine="283"/>
        <w:jc w:val="both"/>
      </w:pPr>
      <w:r>
        <w:rPr>
          <w:rtl/>
        </w:rPr>
        <w:t xml:space="preserve">השאלה והתשובה הבאות, שמסר ר׳ אליהו </w:t>
      </w:r>
      <w:proofErr w:type="spellStart"/>
      <w:r>
        <w:rPr>
          <w:rtl/>
        </w:rPr>
        <w:t>באומוולשפינר</w:t>
      </w:r>
      <w:proofErr w:type="spellEnd"/>
      <w:r>
        <w:rPr>
          <w:rtl/>
        </w:rPr>
        <w:t>,</w:t>
      </w:r>
      <w:bookmarkStart w:id="3780" w:name="_fnr2844"/>
      <w:r>
        <w:rPr>
          <w:rStyle w:val="a5"/>
        </w:rPr>
        <w:footnoteReference w:id="2852" w:customMarkFollows="0"/>
      </w:r>
      <w:bookmarkEnd w:id="3780"/>
      <w:r>
        <w:rPr>
          <w:rtl/>
        </w:rPr>
        <w:t xml:space="preserve"> מסכמות את שיעור קומתו של הרב </w:t>
      </w:r>
      <w:proofErr w:type="spellStart"/>
      <w:r>
        <w:rPr>
          <w:rtl/>
        </w:rPr>
        <w:t xml:space="preserve">הלר</w:t>
      </w:r>
      <w:proofErr w:type="spellEnd"/>
      <w:r>
        <w:rPr>
          <w:rtl/>
        </w:rPr>
        <w:t xml:space="preserve">: “כששאלתי פעם את ראש הישיבה רבנו: ‘איך נראה בעל מוסר – מהי מטרת המוסר?’ השיב: ‘שאלה כזו ראוי היה להפנות אל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w:t>
      </w:r>
      <w:bookmarkStart w:id="3781" w:name="_fnr2845"/>
      <w:r>
        <w:rPr>
          <w:rStyle w:val="a5"/>
        </w:rPr>
        <w:footnoteReference w:id="2853" w:customMarkFollows="0"/>
      </w:r>
      <w:bookmarkEnd w:id="3781"/>
      <w:r>
        <w:rPr>
          <w:rtl/>
        </w:rPr>
        <w:t xml:space="preserve"> שליטה בכל מידה ומידה היא מטרת המוסר: חותני, זכרונו לברכה, היה בעל מוסר אמיתי, שכל מידה ממידותיו הייתה במקומה הראוי.’”</w:t>
      </w:r>
      <w:bookmarkStart w:id="3782" w:name="_fnr2846"/>
      <w:r>
        <w:rPr>
          <w:rStyle w:val="a5"/>
        </w:rPr>
        <w:footnoteReference w:id="2854" w:customMarkFollows="0"/>
      </w:r>
      <w:bookmarkEnd w:id="3782"/>
    </w:p>
    <w:p w14:paraId="309A8E74" w14:textId="77777777" w:rsidR="00AB3647" w:rsidRDefault="00000000" w:rsidP="007923E9">
      <w:pPr>
        <w:spacing w:after="120" w:line="276" w:lineRule="auto"/>
        <w:ind w:firstLine="283"/>
        <w:jc w:val="both"/>
      </w:pPr>
      <w:r>
        <w:rPr>
          <w:rtl/>
        </w:rPr>
        <w:t xml:space="preserve">גם חתנו הבכור של ר׳ </w:t>
      </w:r>
      <w:proofErr w:type="spellStart"/>
      <w:r>
        <w:rPr>
          <w:rtl/>
        </w:rPr>
        <w:t xml:space="preserve">בער־הירש</w:t>
      </w:r>
      <w:proofErr w:type="spellEnd"/>
      <w:r>
        <w:rPr>
          <w:rtl/>
        </w:rPr>
        <w:t xml:space="preserve">, ר׳ אברהם </w:t>
      </w:r>
      <w:proofErr w:type="spellStart"/>
      <w:r>
        <w:rPr>
          <w:rtl/>
        </w:rPr>
        <w:t>גרודזינסקי</w:t>
      </w:r>
      <w:proofErr w:type="spellEnd"/>
      <w:r>
        <w:rPr>
          <w:rtl/>
        </w:rPr>
        <w:t xml:space="preserve">, העריך אותו הערכה מופלגת, כפי שסיפר תלמיד </w:t>
      </w:r>
      <w:proofErr w:type="spellStart"/>
      <w:r>
        <w:rPr>
          <w:rtl/>
        </w:rPr>
        <w:t>סלבודקה</w:t>
      </w:r>
      <w:proofErr w:type="spellEnd"/>
      <w:r>
        <w:rPr>
          <w:rtl/>
        </w:rPr>
        <w:t xml:space="preserve"> ר׳ עזריאל קרמר:</w:t>
      </w:r>
      <w:bookmarkStart w:id="3783" w:name="_fnr2847"/>
      <w:r>
        <w:rPr>
          <w:rStyle w:val="a5"/>
        </w:rPr>
        <w:footnoteReference w:id="2855" w:customMarkFollows="0"/>
      </w:r>
      <w:bookmarkEnd w:id="3783"/>
      <w:r>
        <w:rPr>
          <w:rtl/>
        </w:rPr>
        <w:t xml:space="preserve"> “כשחזר ר׳ אברהם </w:t>
      </w:r>
      <w:proofErr w:type="spellStart"/>
      <w:r>
        <w:rPr>
          <w:rtl/>
        </w:rPr>
        <w:t>לסלבודקה</w:t>
      </w:r>
      <w:proofErr w:type="spellEnd"/>
      <w:r>
        <w:rPr>
          <w:rtl/>
        </w:rPr>
        <w:t xml:space="preserve"> מביקורו בארץ ישראל </w:t>
      </w:r>
      <w:proofErr w:type="spellStart"/>
      <w:r>
        <w:rPr>
          <w:rtl/>
        </w:rPr>
        <w:t>בתרצ״ה</w:t>
      </w:r>
      <w:proofErr w:type="spellEnd"/>
      <w:r>
        <w:rPr>
          <w:rtl/>
        </w:rPr>
        <w:t>, הספיד את חותנו בשיחה, ואמר שלא נמצא בנפטר שום פגם, ושהוא ודאי מת רק בעטיו של נחש!”</w:t>
      </w:r>
      <w:bookmarkStart w:id="3784" w:name="_fnr2848"/>
      <w:r>
        <w:rPr>
          <w:rStyle w:val="a5"/>
        </w:rPr>
        <w:footnoteReference w:id="2856" w:customMarkFollows="0"/>
      </w:r>
      <w:bookmarkEnd w:id="3784"/>
    </w:p>
    <w:p w14:paraId="3457BDE6" w14:textId="77777777" w:rsidR="00AB3647" w:rsidRDefault="00000000" w:rsidP="007923E9">
      <w:pPr>
        <w:pStyle w:val="4"/>
        <w:spacing w:line="276" w:lineRule="auto"/>
      </w:pPr>
      <w:r>
        <w:t>· הפסקה השנייה ·</w:t>
      </w:r>
    </w:p>
    <w:p w14:paraId="251CFE84" w14:textId="77777777" w:rsidR="00AB3647" w:rsidRDefault="00000000" w:rsidP="007923E9">
      <w:pPr>
        <w:pStyle w:val="5"/>
        <w:spacing w:line="276" w:lineRule="auto"/>
      </w:pPr>
      <w:r>
        <w:t xml:space="preserve">בנו היחיד של ר׳ </w:t>
      </w:r>
      <w:proofErr w:type="spellStart"/>
      <w:r>
        <w:t xml:space="preserve">בער־הירש</w:t>
      </w:r>
      <w:proofErr w:type="spellEnd"/>
      <w:r>
        <w:t xml:space="preserve"> מפנה עורף לשמירת התורה</w:t>
      </w:r>
    </w:p>
    <w:p w14:paraId="645CDF40" w14:textId="77777777" w:rsidR="00AB3647" w:rsidRDefault="00000000" w:rsidP="007923E9">
      <w:pPr>
        <w:spacing w:after="120" w:line="276" w:lineRule="auto"/>
        <w:ind w:firstLine="283"/>
        <w:jc w:val="both"/>
      </w:pPr>
      <w:r>
        <w:rPr>
          <w:rtl/>
        </w:rPr>
        <w:t xml:space="preserve">לאחר פטירת הרב </w:t>
      </w:r>
      <w:proofErr w:type="spellStart"/>
      <w:r>
        <w:rPr>
          <w:rtl/>
        </w:rPr>
        <w:t xml:space="preserve">הלר</w:t>
      </w:r>
      <w:proofErr w:type="spellEnd"/>
      <w:r>
        <w:rPr>
          <w:rtl/>
        </w:rPr>
        <w:t xml:space="preserve"> פרסם מ׳ </w:t>
      </w:r>
      <w:proofErr w:type="spellStart"/>
      <w:r>
        <w:rPr>
          <w:rtl/>
        </w:rPr>
        <w:t>גרץ</w:t>
      </w:r>
      <w:bookmarkStart w:id="3785" w:name="_fnr2849"/>
      <w:proofErr w:type="spellEnd"/>
      <w:r>
        <w:rPr>
          <w:rStyle w:val="a5"/>
        </w:rPr>
        <w:footnoteReference w:id="2857" w:customMarkFollows="0"/>
      </w:r>
      <w:bookmarkEnd w:id="3785"/>
      <w:r>
        <w:rPr>
          <w:rtl/>
        </w:rPr>
        <w:t xml:space="preserve"> מאמר שבח בעיתון היידי </w:t>
      </w:r>
      <w:proofErr w:type="spellStart"/>
      <w:r>
        <w:rPr>
          <w:rtl/>
        </w:rPr>
        <w:t>הניו־יורקי</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w:t>
      </w:r>
      <w:bookmarkStart w:id="3786" w:name="_fnr2850"/>
      <w:r>
        <w:rPr>
          <w:rStyle w:val="a5"/>
        </w:rPr>
        <w:footnoteReference w:id="2858" w:customMarkFollows="0"/>
      </w:r>
      <w:bookmarkEnd w:id="3786"/>
      <w:r>
        <w:rPr>
          <w:rtl/>
        </w:rPr>
        <w:t xml:space="preserve"> הוא תיאר בו את הצדיק רך הדיבור, אבל ביקש לחשוף גם צד הפוך באופיו, כפי שיצוטט בתחילת הפסקה השלישית להלן. ילדו הבכור ובנו היחיד של ר׳ </w:t>
      </w:r>
      <w:proofErr w:type="spellStart"/>
      <w:r>
        <w:rPr>
          <w:rtl/>
        </w:rPr>
        <w:t xml:space="preserve">בער־הירש</w:t>
      </w:r>
      <w:proofErr w:type="spellEnd"/>
      <w:r>
        <w:rPr>
          <w:rtl/>
        </w:rPr>
        <w:t xml:space="preserve">, </w:t>
      </w:r>
      <w:proofErr w:type="spellStart"/>
      <w:r>
        <w:rPr>
          <w:rtl/>
        </w:rPr>
        <w:t>אברהם־מאיר</w:t>
      </w:r>
      <w:proofErr w:type="spellEnd"/>
      <w:r>
        <w:rPr>
          <w:rtl/>
        </w:rPr>
        <w:t xml:space="preserve">, עזב את ליטא </w:t>
      </w:r>
      <w:proofErr w:type="spellStart"/>
      <w:r>
        <w:rPr>
          <w:rtl/>
        </w:rPr>
        <w:t>בתרס״ו</w:t>
      </w:r>
      <w:proofErr w:type="spellEnd"/>
      <w:r>
        <w:rPr>
          <w:rtl/>
        </w:rPr>
        <w:t xml:space="preserve">, בן </w:t>
      </w:r>
      <w:proofErr w:type="spellStart"/>
      <w:r>
        <w:rPr>
          <w:rtl/>
        </w:rPr>
        <w:t>תשע־עשרה</w:t>
      </w:r>
      <w:proofErr w:type="spellEnd"/>
      <w:r>
        <w:rPr>
          <w:rtl/>
        </w:rPr>
        <w:t xml:space="preserve">, יחד עם בנו של הסבא </w:t>
      </w:r>
      <w:proofErr w:type="spellStart"/>
      <w:r>
        <w:rPr>
          <w:rtl/>
        </w:rPr>
        <w:t>מסלבודקה</w:t>
      </w:r>
      <w:proofErr w:type="spellEnd"/>
      <w:r>
        <w:rPr>
          <w:rtl/>
        </w:rPr>
        <w:t>,</w:t>
      </w:r>
      <w:bookmarkStart w:id="3787" w:name="_fnr2851"/>
      <w:r>
        <w:rPr>
          <w:rStyle w:val="a5"/>
        </w:rPr>
        <w:footnoteReference w:id="2859" w:customMarkFollows="0"/>
      </w:r>
      <w:bookmarkEnd w:id="3787"/>
      <w:r>
        <w:rPr>
          <w:rtl/>
        </w:rPr>
        <w:t xml:space="preserve"> ונטש את מסורת התורה. אמי, אחותו של הבן שסרח, סיפרה גם שכשעזב את הבית נתנה לו </w:t>
      </w:r>
      <w:proofErr w:type="spellStart"/>
      <w:r>
        <w:rPr>
          <w:rtl/>
        </w:rPr>
        <w:t>אמם</w:t>
      </w:r>
      <w:proofErr w:type="spellEnd"/>
      <w:r>
        <w:rPr>
          <w:rtl/>
        </w:rPr>
        <w:t xml:space="preserve"> ספר “מסילת ישרים” לקחת עמו. יותר משלושים שנה אחר כך פגשה אמי את אחיה בצפון אמריקה, והוא מסר לה את הספר, שלא היה לו בו צורך.</w:t>
      </w:r>
    </w:p>
    <w:p w14:paraId="59ED7729" w14:textId="77777777" w:rsidR="00AB3647" w:rsidRDefault="00000000" w:rsidP="007923E9">
      <w:pPr>
        <w:spacing w:after="120" w:line="276" w:lineRule="auto"/>
        <w:ind w:firstLine="283"/>
        <w:jc w:val="both"/>
      </w:pPr>
      <w:r>
        <w:rPr>
          <w:rtl/>
        </w:rPr>
        <w:t xml:space="preserve">בריאיון המוקלט על הסבא </w:t>
      </w:r>
      <w:proofErr w:type="spellStart"/>
      <w:r>
        <w:rPr>
          <w:rtl/>
        </w:rPr>
        <w:t>מסלבודקה</w:t>
      </w:r>
      <w:proofErr w:type="spellEnd"/>
      <w:r>
        <w:rPr>
          <w:rtl/>
        </w:rPr>
        <w:t xml:space="preserve"> ייחס אבי את פריקת העול של </w:t>
      </w:r>
      <w:proofErr w:type="spellStart"/>
      <w:r>
        <w:rPr>
          <w:rtl/>
        </w:rPr>
        <w:t>אברהם־מאיר</w:t>
      </w:r>
      <w:proofErr w:type="spellEnd"/>
      <w:r>
        <w:rPr>
          <w:rtl/>
        </w:rPr>
        <w:t xml:space="preserve"> לעוני המחפיר בביתו, ואמר: “</w:t>
      </w:r>
      <w:proofErr w:type="spellStart"/>
      <w:r>
        <w:rPr>
          <w:rtl/>
        </w:rPr>
        <w:t>ב׳ארמון</w:t>
      </w:r>
      <w:proofErr w:type="spellEnd"/>
      <w:r>
        <w:rPr>
          <w:rtl/>
        </w:rPr>
        <w:t>’ של הוריו לא הייתה לו אפילו מיטה לישון עליה.”</w:t>
      </w:r>
      <w:bookmarkStart w:id="3788" w:name="_fnr2852"/>
      <w:r>
        <w:rPr>
          <w:rStyle w:val="a5"/>
        </w:rPr>
        <w:footnoteReference w:id="2860" w:customMarkFollows="0"/>
      </w:r>
      <w:bookmarkEnd w:id="3788"/>
      <w:r>
        <w:rPr>
          <w:rtl/>
        </w:rPr>
        <w:t xml:space="preserve"> בהזדמנות אחרת טען רבנו שחותנו נהג שלא כראוי בחינוך בנו. “הוא לקח מבנו את הצעצועים כשהיה בן חמש בלבד”, אמר אבי, “וכשהילד גילה מרדנות של גיל הנעורים, שלח אותו ר׳ </w:t>
      </w:r>
      <w:proofErr w:type="spellStart"/>
      <w:r>
        <w:rPr>
          <w:rtl/>
        </w:rPr>
        <w:lastRenderedPageBreak/>
        <w:t xml:space="preserve">בער־הירש</w:t>
      </w:r>
      <w:proofErr w:type="spellEnd"/>
      <w:r>
        <w:rPr>
          <w:rtl/>
        </w:rPr>
        <w:t xml:space="preserve"> לישיבת </w:t>
      </w:r>
      <w:proofErr w:type="spellStart"/>
      <w:r>
        <w:rPr>
          <w:rtl/>
        </w:rPr>
        <w:t>נובהרדוק</w:t>
      </w:r>
      <w:proofErr w:type="spellEnd"/>
      <w:r>
        <w:rPr>
          <w:rtl/>
        </w:rPr>
        <w:t>.</w:t>
      </w:r>
      <w:bookmarkStart w:id="3789" w:name="_fnr2853"/>
      <w:r>
        <w:rPr>
          <w:rStyle w:val="a5"/>
        </w:rPr>
        <w:footnoteReference w:id="2861" w:customMarkFollows="0"/>
      </w:r>
      <w:bookmarkEnd w:id="3789"/>
      <w:r>
        <w:rPr>
          <w:rtl/>
        </w:rPr>
        <w:t xml:space="preserve"> כשאביו החליט לבסוף לשלחו לתיקון אל חברו הוותיק ללימודים </w:t>
      </w:r>
      <w:proofErr w:type="spellStart"/>
      <w:r>
        <w:rPr>
          <w:rtl/>
        </w:rPr>
        <w:t>בגרובין</w:t>
      </w:r>
      <w:proofErr w:type="spellEnd"/>
      <w:r>
        <w:rPr>
          <w:rtl/>
        </w:rPr>
        <w:t xml:space="preserve">, אחד מבחירי תלמידיו של ר׳ </w:t>
      </w:r>
      <w:proofErr w:type="spellStart"/>
      <w:r>
        <w:rPr>
          <w:rtl/>
        </w:rPr>
        <w:t>שמחה־זיסל</w:t>
      </w:r>
      <w:proofErr w:type="spellEnd"/>
      <w:r>
        <w:rPr>
          <w:rtl/>
        </w:rPr>
        <w:t xml:space="preserve">, ר׳ </w:t>
      </w:r>
      <w:proofErr w:type="spellStart"/>
      <w:r>
        <w:rPr>
          <w:rtl/>
        </w:rPr>
        <w:t xml:space="preserve">בנצה־וועלוול</w:t>
      </w:r>
      <w:proofErr w:type="spellEnd"/>
      <w:r>
        <w:rPr>
          <w:rtl/>
        </w:rPr>
        <w:t xml:space="preserve"> </w:t>
      </w:r>
      <w:proofErr w:type="spellStart"/>
      <w:r>
        <w:rPr>
          <w:rtl/>
        </w:rPr>
        <w:t>קרניץ־רוזאניס</w:t>
      </w:r>
      <w:proofErr w:type="spellEnd"/>
      <w:r>
        <w:rPr>
          <w:rtl/>
        </w:rPr>
        <w:t xml:space="preserve">, רבה של </w:t>
      </w:r>
      <w:proofErr w:type="spellStart"/>
      <w:r>
        <w:rPr>
          <w:rtl/>
        </w:rPr>
        <w:t>שווקשנה</w:t>
      </w:r>
      <w:proofErr w:type="spellEnd"/>
      <w:r>
        <w:rPr>
          <w:rtl/>
        </w:rPr>
        <w:t>,</w:t>
      </w:r>
      <w:bookmarkStart w:id="3790" w:name="_fnr2854"/>
      <w:r>
        <w:rPr>
          <w:rStyle w:val="a5"/>
        </w:rPr>
        <w:footnoteReference w:id="2862" w:customMarkFollows="0"/>
      </w:r>
      <w:bookmarkEnd w:id="3790"/>
      <w:r>
        <w:rPr>
          <w:rtl/>
        </w:rPr>
        <w:t xml:space="preserve"> כבר היה מאוחר מדי.”</w:t>
      </w:r>
    </w:p>
    <w:p w14:paraId="060142BB" w14:textId="307EFF6D" w:rsidR="00AB3647" w:rsidRDefault="00000000" w:rsidP="007923E9">
      <w:pPr>
        <w:spacing w:after="120" w:line="276" w:lineRule="auto"/>
        <w:ind w:firstLine="283"/>
        <w:jc w:val="both"/>
      </w:pPr>
      <w:r>
        <w:rPr>
          <w:rtl/>
        </w:rPr>
        <w:t xml:space="preserve">גם בנו הבכור של </w:t>
      </w:r>
      <w:proofErr w:type="spellStart"/>
      <w:r>
        <w:rPr>
          <w:rtl/>
        </w:rPr>
        <w:t>אברהם־מאיר</w:t>
      </w:r>
      <w:proofErr w:type="spellEnd"/>
      <w:r>
        <w:rPr>
          <w:rtl/>
        </w:rPr>
        <w:t xml:space="preserve">, ד״ר דייוויד ה. </w:t>
      </w:r>
      <w:proofErr w:type="spellStart"/>
      <w:r>
        <w:rPr>
          <w:rtl/>
        </w:rPr>
        <w:t>העלר</w:t>
      </w:r>
      <w:proofErr w:type="spellEnd"/>
      <w:r>
        <w:rPr>
          <w:rtl/>
        </w:rPr>
        <w:t>,</w:t>
      </w:r>
      <w:bookmarkStart w:id="3791" w:name="_fnr2855"/>
      <w:r>
        <w:rPr>
          <w:rStyle w:val="a5"/>
        </w:rPr>
        <w:footnoteReference w:id="2863" w:customMarkFollows="0"/>
      </w:r>
      <w:bookmarkEnd w:id="3791"/>
      <w:r>
        <w:rPr>
          <w:rtl/>
        </w:rPr>
        <w:t xml:space="preserve"> מזכיר במכתבו, המצוטט בחלקו להלן, שאביו עזב את הבית “בהיותו בן שמונה בערך” כדי ללמוד </w:t>
      </w:r>
      <w:proofErr w:type="spellStart"/>
      <w:r>
        <w:rPr>
          <w:rtl/>
        </w:rPr>
        <w:t>בטלז</w:t>
      </w:r>
      <w:proofErr w:type="spellEnd"/>
      <w:r>
        <w:rPr>
          <w:rtl/>
        </w:rPr>
        <w:t>, בישיבה קטנה.</w:t>
      </w:r>
      <w:bookmarkStart w:id="3792" w:name="_fnr2856"/>
      <w:r>
        <w:rPr>
          <w:rStyle w:val="a5"/>
        </w:rPr>
        <w:footnoteReference w:id="2864" w:customMarkFollows="0"/>
      </w:r>
      <w:bookmarkEnd w:id="3792"/>
      <w:r>
        <w:rPr>
          <w:rtl/>
        </w:rPr>
        <w:t xml:space="preserve"> כפי שסיפר </w:t>
      </w:r>
      <w:proofErr w:type="spellStart"/>
      <w:r>
        <w:rPr>
          <w:rtl/>
        </w:rPr>
        <w:t>אברהם־מאיר</w:t>
      </w:r>
      <w:proofErr w:type="spellEnd"/>
      <w:r>
        <w:rPr>
          <w:rtl/>
        </w:rPr>
        <w:t xml:space="preserve"> לבנו הצעיר יוג׳ין</w:t>
      </w:r>
      <w:bookmarkStart w:id="3793" w:name="_fnr2857"/>
      <w:r>
        <w:rPr>
          <w:rStyle w:val="a5"/>
        </w:rPr>
        <w:footnoteReference w:id="2865" w:customMarkFollows="0"/>
      </w:r>
      <w:bookmarkEnd w:id="3793"/>
      <w:r>
        <w:rPr>
          <w:rtl/>
        </w:rPr>
        <w:t xml:space="preserve">, באותה תקופה ראה את אביו רק פעמיים בשנה, משום שר׳ </w:t>
      </w:r>
      <w:proofErr w:type="spellStart"/>
      <w:r>
        <w:rPr>
          <w:rtl/>
        </w:rPr>
        <w:t xml:space="preserve">בער־הירש</w:t>
      </w:r>
      <w:proofErr w:type="spellEnd"/>
      <w:r>
        <w:rPr>
          <w:rtl/>
        </w:rPr>
        <w:t xml:space="preserve"> שהה כל השנה </w:t>
      </w:r>
      <w:proofErr w:type="spellStart"/>
      <w:r>
        <w:rPr>
          <w:rtl/>
        </w:rPr>
        <w:t>בסלבודקה</w:t>
      </w:r>
      <w:proofErr w:type="spellEnd"/>
      <w:r>
        <w:rPr>
          <w:rtl/>
        </w:rPr>
        <w:t xml:space="preserve">, הרחק מביתו </w:t>
      </w:r>
      <w:proofErr w:type="spellStart"/>
      <w:r>
        <w:rPr>
          <w:rtl/>
        </w:rPr>
        <w:t>בשילל</w:t>
      </w:r>
      <w:proofErr w:type="spellEnd"/>
      <w:r>
        <w:rPr>
          <w:rtl/>
        </w:rPr>
        <w:t xml:space="preserve"> (כמסופר בהערה </w:t>
      </w:r>
      <w:r>
        <w:rPr>
          <w:rtl/>
        </w:rPr>
        <w:fldChar w:fldCharType="begin" w:dirty="true"/>
      </w:r>
      <w:r>
        <w:rPr>
          <w:rtl/>
        </w:rPr>
        <w:instrText xml:space="preserve"> REF b3_note115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115</w:t>
      </w:r>
      <w:r>
        <w:rPr>
          <w:rtl/>
        </w:rPr>
        <w:fldChar w:fldCharType="end"/>
      </w:r>
      <w:r>
        <w:rPr>
          <w:rtl/>
        </w:rPr>
        <w:t xml:space="preserve"> לעיל).</w:t>
      </w:r>
    </w:p>
    <w:p w14:paraId="7969A372" w14:textId="77777777" w:rsidR="00AB3647" w:rsidRDefault="00000000" w:rsidP="007923E9">
      <w:pPr>
        <w:spacing w:after="120" w:line="276" w:lineRule="auto"/>
        <w:ind w:firstLine="283"/>
        <w:jc w:val="both"/>
      </w:pPr>
      <w:r>
        <w:rPr>
          <w:rtl/>
        </w:rPr>
        <w:t xml:space="preserve">דייוויד מתאר כך את עזיבת אביו את הישיבה, ואת שיבת צאצאיו ליהדות: “כשעזב אבי את הישיבה ואת הוריו לצמיתות, נסע תחילה לאנגליה. שם התגורר אצל אחות אביו, שפרה </w:t>
      </w:r>
      <w:proofErr w:type="spellStart"/>
      <w:r>
        <w:rPr>
          <w:rtl/>
        </w:rPr>
        <w:t>לייבוביץ</w:t>
      </w:r>
      <w:proofErr w:type="spellEnd"/>
      <w:r>
        <w:rPr>
          <w:rtl/>
        </w:rPr>
        <w:t>, במנצ׳סטר. ב־1909 הפליג לארצות הברית.</w:t>
      </w:r>
      <w:bookmarkStart w:id="3794" w:name="_fnr2858"/>
      <w:r>
        <w:rPr>
          <w:rStyle w:val="a5"/>
        </w:rPr>
        <w:footnoteReference w:id="2866" w:customMarkFollows="0"/>
      </w:r>
      <w:bookmarkEnd w:id="3794"/>
      <w:r>
        <w:rPr>
          <w:rtl/>
        </w:rPr>
        <w:t xml:space="preserve"> בן עשרים ושתיים, גובהו כ־157 ס״מ, בעל עיניים כחולות, עור חיוור ושיער שחור, בחור ישיבה לשעבר לבוש בקפידה, פועל בעל הכשרה חלקית, רציונליסט, תמים, חסר פרוטה ובלא נחמת הדת – נכנס לארץ הזהב. מי יכול היה לצפות שבעוד שמונים שנה יהיה אחד מבניו נשיא בית כנסת בטנסי</w:t>
      </w:r>
      <w:bookmarkStart w:id="3795" w:name="_fnr2859"/>
      <w:r>
        <w:rPr>
          <w:rStyle w:val="a5"/>
        </w:rPr>
        <w:footnoteReference w:id="2867" w:customMarkFollows="0"/>
      </w:r>
      <w:bookmarkEnd w:id="3795"/>
      <w:r>
        <w:rPr>
          <w:rtl/>
        </w:rPr>
        <w:t xml:space="preserve"> או שלבן אחר יהיו שתי בנות השומרות כשרות, קוראות עברית ומנסות בנימוס להסתיר את אכזבתן מכך שאביהן אינו אדוק כמותן?” דייוויד ה. </w:t>
      </w:r>
      <w:proofErr w:type="spellStart"/>
      <w:r>
        <w:rPr>
          <w:rtl/>
        </w:rPr>
        <w:t>העלר</w:t>
      </w:r>
      <w:proofErr w:type="spellEnd"/>
      <w:r>
        <w:rPr>
          <w:rtl/>
        </w:rPr>
        <w:t xml:space="preserve"> מסיים את מכתבו במילים: “[</w:t>
      </w:r>
      <w:proofErr w:type="spellStart"/>
      <w:r>
        <w:rPr>
          <w:rtl/>
        </w:rPr>
        <w:t>אברהם־מאיר</w:t>
      </w:r>
      <w:proofErr w:type="spellEnd"/>
      <w:r>
        <w:rPr>
          <w:rtl/>
        </w:rPr>
        <w:t>] אולי לא הבין לגמרי שרמת ההתנהגות המוסרית שהקפיד עליה כל חייו הייתה כמעט בדיוק זו שחונך עליה בנעוריו.”</w:t>
      </w:r>
    </w:p>
    <w:p w14:paraId="64B0505C" w14:textId="77777777" w:rsidR="00AB3647" w:rsidRDefault="00000000" w:rsidP="007923E9">
      <w:pPr>
        <w:pStyle w:val="4"/>
        <w:spacing w:line="276" w:lineRule="auto"/>
      </w:pPr>
      <w:r>
        <w:t>· הפסקה השלישית ·</w:t>
      </w:r>
    </w:p>
    <w:p w14:paraId="5B07D4AD" w14:textId="77777777" w:rsidR="00AB3647" w:rsidRDefault="00000000" w:rsidP="007923E9">
      <w:pPr>
        <w:pStyle w:val="5"/>
        <w:spacing w:line="276" w:lineRule="auto"/>
      </w:pPr>
      <w:proofErr w:type="spellStart"/>
      <w:r>
        <w:t>אברהם־מאיר</w:t>
      </w:r>
      <w:proofErr w:type="spellEnd"/>
      <w:r>
        <w:t xml:space="preserve"> </w:t>
      </w:r>
      <w:proofErr w:type="spellStart"/>
      <w:r>
        <w:t xml:space="preserve">הלר</w:t>
      </w:r>
      <w:proofErr w:type="spellEnd"/>
      <w:r>
        <w:t xml:space="preserve"> כותב </w:t>
      </w:r>
      <w:proofErr w:type="spellStart"/>
      <w:r>
        <w:t>לאמו</w:t>
      </w:r>
      <w:proofErr w:type="spellEnd"/>
      <w:r>
        <w:t xml:space="preserve"> – ר׳ </w:t>
      </w:r>
      <w:proofErr w:type="spellStart"/>
      <w:r>
        <w:t xml:space="preserve">בער־הירש</w:t>
      </w:r>
      <w:proofErr w:type="spellEnd"/>
      <w:r>
        <w:t xml:space="preserve"> מתואר שלא בצדק כמי שמסרב לקרוא את מכתבי בנו מחוץ לארץ – ר׳ </w:t>
      </w:r>
      <w:proofErr w:type="spellStart"/>
      <w:r>
        <w:t xml:space="preserve">בער־הירש</w:t>
      </w:r>
      <w:proofErr w:type="spellEnd"/>
      <w:r>
        <w:t xml:space="preserve"> אינו יודע על עזיבת בנו את הדת – הוא סבור שאין התורה יכולה לשכון אצל אדם חסר מוסר – הוא תורם הכול לישיבת </w:t>
      </w:r>
      <w:proofErr w:type="spellStart"/>
      <w:r>
        <w:t>סלבודקה</w:t>
      </w:r>
      <w:proofErr w:type="spellEnd"/>
    </w:p>
    <w:p w14:paraId="5676E955" w14:textId="77777777" w:rsidR="00AB3647" w:rsidRDefault="00000000" w:rsidP="007923E9">
      <w:pPr>
        <w:spacing w:after="120" w:line="276" w:lineRule="auto"/>
        <w:ind w:firstLine="283"/>
        <w:jc w:val="both"/>
      </w:pPr>
      <w:r>
        <w:rPr>
          <w:rtl/>
        </w:rPr>
        <w:t xml:space="preserve">במאמר השבח של מ׳ </w:t>
      </w:r>
      <w:proofErr w:type="spellStart"/>
      <w:r>
        <w:rPr>
          <w:rtl/>
        </w:rPr>
        <w:t>גרץ</w:t>
      </w:r>
      <w:proofErr w:type="spellEnd"/>
      <w:r>
        <w:rPr>
          <w:rtl/>
        </w:rPr>
        <w:t xml:space="preserve"> נטען שכאשר קיבלה הרבנית את מכתבי </w:t>
      </w:r>
      <w:proofErr w:type="spellStart"/>
      <w:r>
        <w:rPr>
          <w:rtl/>
        </w:rPr>
        <w:t>אברהם־מאיר</w:t>
      </w:r>
      <w:proofErr w:type="spellEnd"/>
      <w:r>
        <w:rPr>
          <w:rtl/>
        </w:rPr>
        <w:t xml:space="preserve"> מחוץ לארץ, סירב בעלה לקרוא אותם למרות הפצרותיה. לאחר מכן מתואר שם הצד האחר באופיו של ר׳ </w:t>
      </w:r>
      <w:proofErr w:type="spellStart"/>
      <w:r>
        <w:rPr>
          <w:rtl/>
        </w:rPr>
        <w:t xml:space="preserve">בער־הירש</w:t>
      </w:r>
      <w:proofErr w:type="spellEnd"/>
      <w:r>
        <w:rPr>
          <w:rtl/>
        </w:rPr>
        <w:t xml:space="preserve">, </w:t>
      </w:r>
      <w:proofErr w:type="spellStart"/>
      <w:r>
        <w:rPr>
          <w:rtl/>
        </w:rPr>
        <w:t>וגרץ</w:t>
      </w:r>
      <w:proofErr w:type="spellEnd"/>
      <w:r>
        <w:rPr>
          <w:rtl/>
        </w:rPr>
        <w:t xml:space="preserve"> כותב בלשון פיוטית: “היהודי המשיי, הנשמה העדינה והאצילה, </w:t>
      </w:r>
      <w:r>
        <w:rPr>
          <w:rtl/>
        </w:rPr>
        <w:lastRenderedPageBreak/>
        <w:t>נעשה קשה כסלע. הוא היה כפי שלימד הסבא: אדם צריך להיות כדוד המלך על שני צדדיו – עדין כמחבר תהילים, וחסר רחמים כלוחם”.</w:t>
      </w:r>
    </w:p>
    <w:p w14:paraId="2AE23EB7" w14:textId="77777777" w:rsidR="00AB3647" w:rsidRDefault="00000000" w:rsidP="007923E9">
      <w:pPr>
        <w:spacing w:after="120" w:line="276" w:lineRule="auto"/>
        <w:ind w:firstLine="283"/>
        <w:jc w:val="both"/>
      </w:pPr>
      <w:proofErr w:type="spellStart"/>
      <w:r>
        <w:rPr>
          <w:rtl/>
        </w:rPr>
        <w:t>גרץ</w:t>
      </w:r>
      <w:proofErr w:type="spellEnd"/>
      <w:r>
        <w:rPr>
          <w:rtl/>
        </w:rPr>
        <w:t xml:space="preserve"> בוודאי צודק בכך </w:t>
      </w:r>
      <w:proofErr w:type="spellStart"/>
      <w:r>
        <w:rPr>
          <w:rtl/>
        </w:rPr>
        <w:t>שאברהם־מאיר</w:t>
      </w:r>
      <w:proofErr w:type="spellEnd"/>
      <w:r>
        <w:rPr>
          <w:rtl/>
        </w:rPr>
        <w:t xml:space="preserve"> כתב </w:t>
      </w:r>
      <w:proofErr w:type="spellStart"/>
      <w:r>
        <w:rPr>
          <w:rtl/>
        </w:rPr>
        <w:t>לאמו</w:t>
      </w:r>
      <w:proofErr w:type="spellEnd"/>
      <w:r>
        <w:rPr>
          <w:rtl/>
        </w:rPr>
        <w:t xml:space="preserve">. למעשה המשיך הבן שסרח להתכתב עמה עד מותה. כך עולה מגלויה ששלחה, כשכבר הייתה אלמנה, מארץ ישראל אל בתה – אמי, שעדיין הייתה </w:t>
      </w:r>
      <w:proofErr w:type="spellStart"/>
      <w:r>
        <w:rPr>
          <w:rtl/>
        </w:rPr>
        <w:t>בציטוביאן</w:t>
      </w:r>
      <w:proofErr w:type="spellEnd"/>
      <w:r>
        <w:rPr>
          <w:rtl/>
        </w:rPr>
        <w:t xml:space="preserve"> – ביום “א׳ ויקרא תרצ״ח”</w:t>
      </w:r>
      <w:bookmarkStart w:id="3796" w:name="_fnr2860"/>
      <w:r>
        <w:rPr>
          <w:rStyle w:val="a5"/>
        </w:rPr>
        <w:footnoteReference w:id="2868" w:customMarkFollows="0"/>
      </w:r>
      <w:bookmarkEnd w:id="3796"/>
      <w:r>
        <w:rPr>
          <w:rtl/>
        </w:rPr>
        <w:t>. היא כתבה בה: “</w:t>
      </w:r>
      <w:proofErr w:type="spellStart"/>
      <w:r>
        <w:rPr>
          <w:rtl/>
        </w:rPr>
        <w:t>מאברהם־מאיר</w:t>
      </w:r>
      <w:proofErr w:type="spellEnd"/>
      <w:r>
        <w:rPr>
          <w:rtl/>
        </w:rPr>
        <w:t xml:space="preserve"> קיבלתי מכתב ובו דרישת שלום מפורשת</w:t>
      </w:r>
      <w:bookmarkStart w:id="3797" w:name="_fnr2861"/>
      <w:r>
        <w:rPr>
          <w:rStyle w:val="a5"/>
        </w:rPr>
        <w:footnoteReference w:id="2869" w:customMarkFollows="0"/>
      </w:r>
      <w:bookmarkEnd w:id="3797"/>
      <w:r>
        <w:rPr>
          <w:rtl/>
        </w:rPr>
        <w:t>; הוא, אשתו ושני בניו, ברוך השם, בריאים. הוא דורש [בשלומכם] בחום”.</w:t>
      </w:r>
    </w:p>
    <w:p w14:paraId="448CCE58" w14:textId="77777777" w:rsidR="00AB3647" w:rsidRDefault="00000000" w:rsidP="007923E9">
      <w:pPr>
        <w:spacing w:after="120" w:line="276" w:lineRule="auto"/>
        <w:ind w:firstLine="283"/>
        <w:jc w:val="both"/>
      </w:pPr>
      <w:r>
        <w:rPr>
          <w:rtl/>
        </w:rPr>
        <w:t xml:space="preserve">אף שייתכן שיחסיו של </w:t>
      </w:r>
      <w:proofErr w:type="spellStart"/>
      <w:r>
        <w:rPr>
          <w:rtl/>
        </w:rPr>
        <w:t>אברהם־מאיר</w:t>
      </w:r>
      <w:proofErr w:type="spellEnd"/>
      <w:r>
        <w:rPr>
          <w:rtl/>
        </w:rPr>
        <w:t xml:space="preserve"> עם </w:t>
      </w:r>
      <w:proofErr w:type="spellStart"/>
      <w:r>
        <w:rPr>
          <w:rtl/>
        </w:rPr>
        <w:t>אמו</w:t>
      </w:r>
      <w:proofErr w:type="spellEnd"/>
      <w:r>
        <w:rPr>
          <w:rtl/>
        </w:rPr>
        <w:t xml:space="preserve"> היו טובים יותר, </w:t>
      </w:r>
      <w:proofErr w:type="spellStart"/>
      <w:r>
        <w:rPr>
          <w:rtl/>
        </w:rPr>
        <w:t>גרץ</w:t>
      </w:r>
      <w:proofErr w:type="spellEnd"/>
      <w:r>
        <w:rPr>
          <w:rtl/>
        </w:rPr>
        <w:t xml:space="preserve"> טועה בטענתו שאיבד את הקשר עם אביו. הוכחה מכרעת לכך היא שתי אגרות ברכת מזל טוב שכתב ר׳ </w:t>
      </w:r>
      <w:proofErr w:type="spellStart"/>
      <w:r>
        <w:rPr>
          <w:rtl/>
        </w:rPr>
        <w:t xml:space="preserve">בער־הירש</w:t>
      </w:r>
      <w:proofErr w:type="spellEnd"/>
      <w:r>
        <w:rPr>
          <w:rtl/>
        </w:rPr>
        <w:t xml:space="preserve"> בראשית שנות </w:t>
      </w:r>
      <w:proofErr w:type="spellStart"/>
      <w:r>
        <w:rPr>
          <w:rtl/>
        </w:rPr>
        <w:t xml:space="preserve">התר״צ</w:t>
      </w:r>
      <w:proofErr w:type="spellEnd"/>
      <w:r>
        <w:rPr>
          <w:rtl/>
        </w:rPr>
        <w:t xml:space="preserve">. את העתקי האגרות מסר</w:t>
      </w:r>
      <w:bookmarkStart w:id="3798" w:name="_fnr2862"/>
      <w:r>
        <w:rPr>
          <w:rStyle w:val="a5"/>
        </w:rPr>
        <w:footnoteReference w:id="2870" w:customMarkFollows="0"/>
      </w:r>
      <w:bookmarkEnd w:id="3798"/>
      <w:r>
        <w:rPr>
          <w:rtl/>
        </w:rPr>
        <w:t xml:space="preserve"> ר׳ </w:t>
      </w:r>
      <w:proofErr w:type="spellStart"/>
      <w:r>
        <w:rPr>
          <w:rtl/>
        </w:rPr>
        <w:t>אליהו־יהודה</w:t>
      </w:r>
      <w:proofErr w:type="spellEnd"/>
      <w:r>
        <w:rPr>
          <w:rtl/>
        </w:rPr>
        <w:t xml:space="preserve"> שוחט, קרוב משפחת </w:t>
      </w:r>
      <w:proofErr w:type="spellStart"/>
      <w:r>
        <w:rPr>
          <w:rtl/>
        </w:rPr>
        <w:t xml:space="preserve">הלר</w:t>
      </w:r>
      <w:proofErr w:type="spellEnd"/>
      <w:r>
        <w:rPr>
          <w:rtl/>
        </w:rPr>
        <w:t xml:space="preserve"> שבקליפורניה. הוא מצא אותן באוסף מסמכים שהשאיר אביו המנוח ר׳ יעקב, שהיה נכד מצד אביו של אחי </w:t>
      </w:r>
      <w:proofErr w:type="spellStart"/>
      <w:r>
        <w:rPr>
          <w:rtl/>
        </w:rPr>
        <w:t>אמו</w:t>
      </w:r>
      <w:proofErr w:type="spellEnd"/>
      <w:r>
        <w:rPr>
          <w:rtl/>
        </w:rPr>
        <w:t xml:space="preserve"> של ר׳ </w:t>
      </w:r>
      <w:proofErr w:type="spellStart"/>
      <w:r>
        <w:rPr>
          <w:rtl/>
        </w:rPr>
        <w:t xml:space="preserve">בער־הירש</w:t>
      </w:r>
      <w:bookmarkStart w:id="3799" w:name="_fnr2863"/>
      <w:proofErr w:type="spellEnd"/>
      <w:r>
        <w:rPr>
          <w:rStyle w:val="a5"/>
        </w:rPr>
        <w:footnoteReference w:id="2871" w:customMarkFollows="0"/>
      </w:r>
      <w:bookmarkEnd w:id="3799"/>
      <w:r>
        <w:rPr>
          <w:rtl/>
        </w:rPr>
        <w:t xml:space="preserve">. ר׳ יעקב היה תלמיד ישיבת </w:t>
      </w:r>
      <w:proofErr w:type="spellStart"/>
      <w:r>
        <w:rPr>
          <w:rtl/>
        </w:rPr>
        <w:t>סלבודקה</w:t>
      </w:r>
      <w:proofErr w:type="spellEnd"/>
      <w:r>
        <w:rPr>
          <w:rtl/>
        </w:rPr>
        <w:t xml:space="preserve">, ובשנת 1913 קיבל את סמיכתו מר׳ </w:t>
      </w:r>
      <w:proofErr w:type="spellStart"/>
      <w:r>
        <w:rPr>
          <w:rtl/>
        </w:rPr>
        <w:t>חיים־אברהם</w:t>
      </w:r>
      <w:proofErr w:type="spellEnd"/>
      <w:r>
        <w:rPr>
          <w:rtl/>
        </w:rPr>
        <w:t xml:space="preserve"> </w:t>
      </w:r>
      <w:proofErr w:type="spellStart"/>
      <w:r>
        <w:rPr>
          <w:rtl/>
        </w:rPr>
        <w:t>שס</w:t>
      </w:r>
      <w:bookmarkStart w:id="3800" w:name="_fnr2864"/>
      <w:proofErr w:type="spellEnd"/>
      <w:r>
        <w:rPr>
          <w:rStyle w:val="a5"/>
        </w:rPr>
        <w:footnoteReference w:id="2872" w:customMarkFollows="0"/>
      </w:r>
      <w:bookmarkEnd w:id="3800"/>
      <w:r>
        <w:rPr>
          <w:rtl/>
        </w:rPr>
        <w:t>.</w:t>
      </w:r>
    </w:p>
    <w:p w14:paraId="68D4D3F8" w14:textId="77777777" w:rsidR="00AB3647" w:rsidRDefault="00000000" w:rsidP="007923E9">
      <w:pPr>
        <w:spacing w:after="120" w:line="276" w:lineRule="auto"/>
        <w:ind w:firstLine="283"/>
        <w:jc w:val="both"/>
      </w:pPr>
      <w:r>
        <w:rPr>
          <w:rtl/>
        </w:rPr>
        <w:t>אגרת אחת נשלחה לשיקגו אל ר׳ יעקב לרגל אירוסיו, והיא נושאת את התאריך “עש״ק לסדר ושמחת בכל הטוב תרצ״ב” (יום שישי, י״ד באלול תרצ״ב</w:t>
      </w:r>
      <w:bookmarkStart w:id="3801" w:name="_fnr2865"/>
      <w:bookmarkEnd w:id="3801"/>
      <w:r>
        <w:rPr>
          <w:rStyle w:val="a5"/>
        </w:rPr>
        <w:t/>
      </w:r>
      <w:bookmarkStart w:id="7033" w:name="_TranslatorNote_5390"/>
      <w:r>
        <w:rPr>
          <w:rStyle w:val="a5"/>
          <w:vertAlign w:val="superscript"/>
          <w:rtl/>
        </w:rPr>
        <w:footnoteReference w:id="2873" w:customMarkFollows="1"/>
        <w:t>*</w:t>
      </w:r>
      <w:bookmarkEnd w:id="7033"/>
      <w:r>
        <w:rPr>
          <w:rtl/>
        </w:rPr>
        <w:t xml:space="preserve">). בין השאר נאמר בה: “כתוב לי יותר על מצב בני </w:t>
      </w:r>
      <w:proofErr w:type="spellStart"/>
      <w:r>
        <w:rPr>
          <w:rtl/>
        </w:rPr>
        <w:t>אברהם־מאיר</w:t>
      </w:r>
      <w:proofErr w:type="spellEnd"/>
      <w:r>
        <w:rPr>
          <w:rtl/>
        </w:rPr>
        <w:t>, נרו יאיר. מדוע הוא מצער אותנו ואינו כותב מאומה זמן רב כל כך? אין כדבר הזה, לגרום צער כה רב!</w:t>
      </w:r>
      <w:bookmarkStart w:id="3802" w:name="_fnr2866"/>
      <w:r>
        <w:rPr>
          <w:rStyle w:val="a5"/>
        </w:rPr>
        <w:footnoteReference w:id="2874" w:customMarkFollows="0"/>
      </w:r>
      <w:bookmarkEnd w:id="3802"/>
      <w:r>
        <w:rPr>
          <w:rtl/>
        </w:rPr>
        <w:t xml:space="preserve"> רציתי לכתוב אגרת גם לבני, אך היום, מחמת הטרדה בשבת קודש, זוגתי אינה יכולה לכתוב, ולא רציתי לשלוח [אגרת] בלי [דבריה ו]חתימתה. תוכל לומר לו כי ברוך השם השתפרה בריאותנו, אבל המצב בישיבה הקדושה נורא </w:t>
      </w:r>
      <w:r>
        <w:rPr>
          <w:rtl/>
        </w:rPr>
        <w:lastRenderedPageBreak/>
        <w:t>ומבהיל, השם ישמור [אותה]. תקוותנו חזקה שבזכות התורה ישלח את עזרתו בקרב עם ישראל, הזקוק לרחמים גדולים לקראת השנה הבאה לטובה</w:t>
      </w:r>
      <w:bookmarkStart w:id="3803" w:name="_fnr2867"/>
      <w:r>
        <w:rPr>
          <w:rStyle w:val="a5"/>
        </w:rPr>
        <w:footnoteReference w:id="2875" w:customMarkFollows="0"/>
      </w:r>
      <w:bookmarkEnd w:id="3803"/>
      <w:r>
        <w:rPr>
          <w:rtl/>
        </w:rPr>
        <w:t>”.</w:t>
      </w:r>
    </w:p>
    <w:p w14:paraId="47D4AE4E" w14:textId="77777777" w:rsidR="00AB3647" w:rsidRDefault="00000000" w:rsidP="007923E9">
      <w:pPr>
        <w:spacing w:after="120" w:line="276" w:lineRule="auto"/>
        <w:ind w:firstLine="283"/>
        <w:jc w:val="both"/>
      </w:pPr>
      <w:r>
        <w:rPr>
          <w:rtl/>
        </w:rPr>
        <w:t xml:space="preserve">האגרת השנייה אינה מתוארכת, ובה בירך ר׳ </w:t>
      </w:r>
      <w:proofErr w:type="spellStart"/>
      <w:r>
        <w:rPr>
          <w:rtl/>
        </w:rPr>
        <w:t xml:space="preserve">בער־הירש</w:t>
      </w:r>
      <w:proofErr w:type="spellEnd"/>
      <w:r>
        <w:rPr>
          <w:rtl/>
        </w:rPr>
        <w:t xml:space="preserve"> את ר׳ יעקב לרגל נישואיו. אליה צורפה אגרת נפרדת </w:t>
      </w:r>
      <w:proofErr w:type="spellStart"/>
      <w:r>
        <w:rPr>
          <w:rtl/>
        </w:rPr>
        <w:t>לאברהם־מאיר</w:t>
      </w:r>
      <w:proofErr w:type="spellEnd"/>
      <w:r>
        <w:rPr>
          <w:rtl/>
        </w:rPr>
        <w:t xml:space="preserve">, והרב </w:t>
      </w:r>
      <w:proofErr w:type="spellStart"/>
      <w:r>
        <w:rPr>
          <w:rtl/>
        </w:rPr>
        <w:t xml:space="preserve">הלר</w:t>
      </w:r>
      <w:proofErr w:type="spellEnd"/>
      <w:r>
        <w:rPr>
          <w:rtl/>
        </w:rPr>
        <w:t xml:space="preserve"> כותב בהערה בשולי אגרתו </w:t>
      </w:r>
      <w:proofErr w:type="spellStart"/>
      <w:r>
        <w:rPr>
          <w:rtl/>
        </w:rPr>
        <w:t>לר</w:t>
      </w:r>
      <w:proofErr w:type="spellEnd"/>
      <w:r>
        <w:rPr>
          <w:rtl/>
        </w:rPr>
        <w:t xml:space="preserve">׳ יעקב: “אבקשך לטרוח ולהעביר את האגרת המצורפת לבני </w:t>
      </w:r>
      <w:proofErr w:type="spellStart"/>
      <w:r>
        <w:rPr>
          <w:rtl/>
        </w:rPr>
        <w:t>אברהם־מאיר</w:t>
      </w:r>
      <w:proofErr w:type="spellEnd"/>
      <w:r>
        <w:rPr>
          <w:rtl/>
        </w:rPr>
        <w:t>, נרו יאיר”.</w:t>
      </w:r>
    </w:p>
    <w:p w14:paraId="452FBEAD" w14:textId="77777777" w:rsidR="00AB3647" w:rsidRDefault="00000000" w:rsidP="007923E9">
      <w:pPr>
        <w:spacing w:after="120" w:line="276" w:lineRule="auto"/>
        <w:ind w:firstLine="283"/>
        <w:jc w:val="both"/>
      </w:pPr>
      <w:r>
        <w:rPr>
          <w:rtl/>
        </w:rPr>
        <w:t>יתרה מזו, לדברי אחי הגדול ר׳ בנימין</w:t>
      </w:r>
      <w:bookmarkStart w:id="3804" w:name="_fnr2868"/>
      <w:r>
        <w:rPr>
          <w:rStyle w:val="a5"/>
        </w:rPr>
        <w:footnoteReference w:id="2876" w:customMarkFollows="0"/>
      </w:r>
      <w:bookmarkEnd w:id="3804"/>
      <w:r>
        <w:rPr>
          <w:rtl/>
        </w:rPr>
        <w:t xml:space="preserve">, לא הייתה </w:t>
      </w:r>
      <w:proofErr w:type="spellStart"/>
      <w:r>
        <w:rPr>
          <w:rtl/>
        </w:rPr>
        <w:t>לר</w:t>
      </w:r>
      <w:proofErr w:type="spellEnd"/>
      <w:r>
        <w:rPr>
          <w:rtl/>
        </w:rPr>
        <w:t xml:space="preserve">׳ </w:t>
      </w:r>
      <w:proofErr w:type="spellStart"/>
      <w:r>
        <w:rPr>
          <w:rtl/>
        </w:rPr>
        <w:t xml:space="preserve">בער־הירש</w:t>
      </w:r>
      <w:proofErr w:type="spellEnd"/>
      <w:r>
        <w:rPr>
          <w:rtl/>
        </w:rPr>
        <w:t xml:space="preserve"> סיבה לנתק את הקשר עם בנו. אחי סיפר שכמה שנים לפני פטירתו בפועל חשש סבנו שימיו ספורים</w:t>
      </w:r>
      <w:bookmarkStart w:id="3805" w:name="_fnr2869"/>
      <w:r>
        <w:rPr>
          <w:rStyle w:val="a5"/>
        </w:rPr>
        <w:footnoteReference w:id="2877" w:customMarkFollows="0"/>
      </w:r>
      <w:bookmarkEnd w:id="3805"/>
      <w:r>
        <w:rPr>
          <w:rtl/>
        </w:rPr>
        <w:t xml:space="preserve">, והכין צוואה שבה הורה </w:t>
      </w:r>
      <w:proofErr w:type="spellStart"/>
      <w:r>
        <w:rPr>
          <w:rtl/>
        </w:rPr>
        <w:t>ש“ביום</w:t>
      </w:r>
      <w:proofErr w:type="spellEnd"/>
      <w:r>
        <w:rPr>
          <w:rtl/>
        </w:rPr>
        <w:t xml:space="preserve"> שבו [בנו] אינו לומד תורה, לא יאמר קדיש”. הוראה זו מלמדת ללא ספק שר׳ </w:t>
      </w:r>
      <w:proofErr w:type="spellStart"/>
      <w:r>
        <w:rPr>
          <w:rtl/>
        </w:rPr>
        <w:t xml:space="preserve">בער־הירש</w:t>
      </w:r>
      <w:proofErr w:type="spellEnd"/>
      <w:r>
        <w:rPr>
          <w:rtl/>
        </w:rPr>
        <w:t xml:space="preserve"> לא ידע שבנו עזב את הדת לחלוטין.</w:t>
      </w:r>
    </w:p>
    <w:p w14:paraId="53B2D29B" w14:textId="77777777" w:rsidR="00AB3647" w:rsidRDefault="00000000" w:rsidP="007923E9">
      <w:pPr>
        <w:spacing w:after="120" w:line="276" w:lineRule="auto"/>
        <w:ind w:firstLine="283"/>
        <w:jc w:val="both"/>
      </w:pPr>
      <w:r>
        <w:rPr>
          <w:rtl/>
        </w:rPr>
        <w:t xml:space="preserve">חתן נכדתו של רבנו, ר׳ יצחק </w:t>
      </w:r>
      <w:proofErr w:type="spellStart"/>
      <w:r>
        <w:rPr>
          <w:rtl/>
        </w:rPr>
        <w:t>קנובל</w:t>
      </w:r>
      <w:proofErr w:type="spellEnd"/>
      <w:r>
        <w:rPr>
          <w:rtl/>
        </w:rPr>
        <w:t>, אמר</w:t>
      </w:r>
      <w:bookmarkStart w:id="3806" w:name="_fnr2870"/>
      <w:r>
        <w:rPr>
          <w:rStyle w:val="a5"/>
        </w:rPr>
        <w:footnoteReference w:id="2878" w:customMarkFollows="0"/>
      </w:r>
      <w:bookmarkEnd w:id="3806"/>
      <w:r>
        <w:rPr>
          <w:rtl/>
        </w:rPr>
        <w:t xml:space="preserve"> שאבי סיפר שכאשר חשב ר׳ </w:t>
      </w:r>
      <w:proofErr w:type="spellStart"/>
      <w:r>
        <w:rPr>
          <w:rtl/>
        </w:rPr>
        <w:t xml:space="preserve">בער־הירש</w:t>
      </w:r>
      <w:proofErr w:type="spellEnd"/>
      <w:r>
        <w:rPr>
          <w:rtl/>
        </w:rPr>
        <w:t xml:space="preserve"> שהוא עומד למות, ביקש שיזמינו את תכריכיו מאדם עשיר שהיה ידוע כקמצן מופלג. הוא הסביר שאותו אדם, על אף קמצנותו, הוציא ביד רחבה על הוצאות שבת ויום טוב, ולכן ודאי הייתה לו אמונה שלמה בדברי חכמים</w:t>
      </w:r>
      <w:bookmarkStart w:id="3807" w:name="_fnr2871"/>
      <w:r>
        <w:rPr>
          <w:rStyle w:val="a5"/>
        </w:rPr>
        <w:footnoteReference w:id="2879" w:customMarkFollows="0"/>
      </w:r>
      <w:bookmarkEnd w:id="3807"/>
      <w:r>
        <w:rPr>
          <w:rtl/>
        </w:rPr>
        <w:t xml:space="preserve"> </w:t>
      </w:r>
      <w:proofErr w:type="spellStart"/>
      <w:r>
        <w:rPr>
          <w:rtl/>
        </w:rPr>
        <w:t>ש“כל</w:t>
      </w:r>
      <w:proofErr w:type="spellEnd"/>
      <w:r>
        <w:rPr>
          <w:rtl/>
        </w:rPr>
        <w:t xml:space="preserve"> מזונותיו של אדם </w:t>
      </w:r>
      <w:proofErr w:type="spellStart"/>
      <w:r>
        <w:rPr>
          <w:rtl/>
        </w:rPr>
        <w:t>קצובין</w:t>
      </w:r>
      <w:proofErr w:type="spellEnd"/>
      <w:r>
        <w:rPr>
          <w:rtl/>
        </w:rPr>
        <w:t xml:space="preserve"> לו וכו׳ חוץ מהוצאת שבתות ויו״ט” (משמים לכל השנה). הקמצן המאמין חשש שכל הוצאה נגרעת מן ההכנסה שנקצבה לו משמים, ולכן חסך בדרך כלל; אבל בשבתות פתח את ידו מתוך ביטחון מלא שרכושו לא יפחת בשל כך.</w:t>
      </w:r>
    </w:p>
    <w:p w14:paraId="0E466365" w14:textId="77777777" w:rsidR="00AB3647" w:rsidRDefault="00000000" w:rsidP="007923E9">
      <w:pPr>
        <w:spacing w:after="120" w:line="276" w:lineRule="auto"/>
        <w:ind w:firstLine="283"/>
        <w:jc w:val="both"/>
      </w:pPr>
      <w:r>
        <w:rPr>
          <w:rtl/>
        </w:rPr>
        <w:t xml:space="preserve">גם </w:t>
      </w:r>
      <w:proofErr w:type="spellStart"/>
      <w:r>
        <w:rPr>
          <w:rtl/>
        </w:rPr>
        <w:t>אמו</w:t>
      </w:r>
      <w:proofErr w:type="spellEnd"/>
      <w:r>
        <w:rPr>
          <w:rtl/>
        </w:rPr>
        <w:t xml:space="preserve"> של </w:t>
      </w:r>
      <w:proofErr w:type="spellStart"/>
      <w:r>
        <w:rPr>
          <w:rtl/>
        </w:rPr>
        <w:t>אברהם־מאיר</w:t>
      </w:r>
      <w:proofErr w:type="spellEnd"/>
      <w:r>
        <w:rPr>
          <w:rtl/>
        </w:rPr>
        <w:t xml:space="preserve"> כנראה לא ידעה שעזב את היהדות, </w:t>
      </w:r>
      <w:proofErr w:type="spellStart"/>
      <w:r>
        <w:rPr>
          <w:rtl/>
        </w:rPr>
        <w:t>ו“מסילת</w:t>
      </w:r>
      <w:proofErr w:type="spellEnd"/>
      <w:r>
        <w:rPr>
          <w:rtl/>
        </w:rPr>
        <w:t xml:space="preserve"> ישרים” ניתן לו לא מתוך תקווה מופרזת שהספר הטוב ישיב אותו, אלא רק כדי לחזק בבן – שסברו בטעות שהוא שומר מצוות – את עניינו במוסר.</w:t>
      </w:r>
    </w:p>
    <w:p w14:paraId="3D5FE06D" w14:textId="77777777" w:rsidR="00AB3647" w:rsidRDefault="00000000" w:rsidP="007923E9">
      <w:pPr>
        <w:spacing w:after="120" w:line="276" w:lineRule="auto"/>
        <w:ind w:firstLine="283"/>
        <w:jc w:val="both"/>
      </w:pPr>
      <w:r>
        <w:rPr>
          <w:rtl/>
        </w:rPr>
        <w:t xml:space="preserve">יוג׳ין </w:t>
      </w:r>
      <w:proofErr w:type="spellStart"/>
      <w:r>
        <w:rPr>
          <w:rtl/>
        </w:rPr>
        <w:t>העלר</w:t>
      </w:r>
      <w:proofErr w:type="spellEnd"/>
      <w:r>
        <w:rPr>
          <w:rtl/>
        </w:rPr>
        <w:t xml:space="preserve"> נולד </w:t>
      </w:r>
      <w:proofErr w:type="spellStart"/>
      <w:r>
        <w:rPr>
          <w:rtl/>
        </w:rPr>
        <w:t>בתרפ״ב</w:t>
      </w:r>
      <w:proofErr w:type="spellEnd"/>
      <w:r>
        <w:rPr>
          <w:rtl/>
        </w:rPr>
        <w:t xml:space="preserve">, ונקרא </w:t>
      </w:r>
      <w:proofErr w:type="spellStart"/>
      <w:r>
        <w:rPr>
          <w:rtl/>
        </w:rPr>
        <w:t>אליעזר־יצחק</w:t>
      </w:r>
      <w:proofErr w:type="spellEnd"/>
      <w:r>
        <w:rPr>
          <w:rtl/>
        </w:rPr>
        <w:t xml:space="preserve"> על שם סבו של </w:t>
      </w:r>
      <w:proofErr w:type="spellStart"/>
      <w:r>
        <w:rPr>
          <w:rtl/>
        </w:rPr>
        <w:t>אברהם־מאיר</w:t>
      </w:r>
      <w:proofErr w:type="spellEnd"/>
      <w:r>
        <w:rPr>
          <w:rtl/>
        </w:rPr>
        <w:t xml:space="preserve"> מצד </w:t>
      </w:r>
      <w:proofErr w:type="spellStart"/>
      <w:r>
        <w:rPr>
          <w:rtl/>
        </w:rPr>
        <w:t>אמו</w:t>
      </w:r>
      <w:proofErr w:type="spellEnd"/>
      <w:r>
        <w:rPr>
          <w:rtl/>
        </w:rPr>
        <w:t>. הוא זוכר שאביו קיבל מהוריו שתי כיפות עבור שני בניו. עוד סיפר יוג׳ין שאביו אמר לו שכתב להוריו רק לעיתים ולא התכתב עמם בקביעות, כדי שלא יצטרך להשיב על שאלותיהם בדבר שמירת המצוות שלו – למשל אם הוא מקפיד להניח תפילין מדי יום ואם הוא שומר שבת כהלכתה. ברור אם כן שלהוריו לא היה מושג עד כמה התרחק, והוא לא רצה להונות אותם.</w:t>
      </w:r>
    </w:p>
    <w:p w14:paraId="22317B0F" w14:textId="77777777" w:rsidR="00AB3647" w:rsidRDefault="00000000" w:rsidP="007923E9">
      <w:pPr>
        <w:spacing w:after="120" w:line="276" w:lineRule="auto"/>
        <w:ind w:firstLine="283"/>
        <w:jc w:val="both"/>
      </w:pPr>
      <w:r>
        <w:rPr>
          <w:rtl/>
        </w:rPr>
        <w:lastRenderedPageBreak/>
        <w:t xml:space="preserve">צוואתו של ר׳ </w:t>
      </w:r>
      <w:proofErr w:type="spellStart"/>
      <w:r>
        <w:rPr>
          <w:rtl/>
        </w:rPr>
        <w:t xml:space="preserve">בער־הירש</w:t>
      </w:r>
      <w:proofErr w:type="spellEnd"/>
      <w:r>
        <w:rPr>
          <w:rtl/>
        </w:rPr>
        <w:t xml:space="preserve"> בעניין הקדיש קובעת את השקפתו שתפילה בלי לימוד תורה היא חסרת ערך. השווה גם “הראשון לשושלת </w:t>
      </w:r>
      <w:proofErr w:type="spellStart"/>
      <w:r>
        <w:rPr>
          <w:rtl/>
        </w:rPr>
        <w:t>בריסק</w:t>
      </w:r>
      <w:proofErr w:type="spellEnd"/>
      <w:r>
        <w:rPr>
          <w:rtl/>
        </w:rPr>
        <w:t>”</w:t>
      </w:r>
      <w:bookmarkStart w:id="3808" w:name="_fnr2872"/>
      <w:r>
        <w:rPr>
          <w:rStyle w:val="a5"/>
        </w:rPr>
        <w:footnoteReference w:id="2880" w:customMarkFollows="0"/>
      </w:r>
      <w:bookmarkEnd w:id="3808"/>
      <w:r>
        <w:rPr>
          <w:rtl/>
        </w:rPr>
        <w:t xml:space="preserve">, שלפיו הורה ר׳ יוסף־דב </w:t>
      </w:r>
      <w:proofErr w:type="spellStart"/>
      <w:r>
        <w:rPr>
          <w:rtl/>
        </w:rPr>
        <w:t>סולובייצ׳יק</w:t>
      </w:r>
      <w:proofErr w:type="spellEnd"/>
      <w:r>
        <w:rPr>
          <w:rtl/>
        </w:rPr>
        <w:t xml:space="preserve"> לבנו ר׳ חיים שלא יאמר קדיש ביום שבו לא למד משניות לעילוי נשמת אביו. לעומת זאת, הוראתו של הרב </w:t>
      </w:r>
      <w:proofErr w:type="spellStart"/>
      <w:r>
        <w:rPr>
          <w:rtl/>
        </w:rPr>
        <w:t xml:space="preserve">הלר</w:t>
      </w:r>
      <w:proofErr w:type="spellEnd"/>
      <w:r>
        <w:rPr>
          <w:rtl/>
        </w:rPr>
        <w:t>, אם נמסרה במדויק, התייחסה ללימוד תורה בכלל.</w:t>
      </w:r>
    </w:p>
    <w:p w14:paraId="5F4AB089" w14:textId="77777777" w:rsidR="00AB3647" w:rsidRDefault="00000000" w:rsidP="007923E9">
      <w:pPr>
        <w:spacing w:after="120" w:line="276" w:lineRule="auto"/>
        <w:ind w:firstLine="283"/>
        <w:jc w:val="both"/>
      </w:pPr>
      <w:r>
        <w:rPr>
          <w:rtl/>
        </w:rPr>
        <w:t xml:space="preserve">בדומה לכך, בעיני ר׳ </w:t>
      </w:r>
      <w:proofErr w:type="spellStart"/>
      <w:r>
        <w:rPr>
          <w:rtl/>
        </w:rPr>
        <w:t xml:space="preserve">בער־הירש</w:t>
      </w:r>
      <w:proofErr w:type="spellEnd"/>
      <w:r>
        <w:rPr>
          <w:rtl/>
        </w:rPr>
        <w:t xml:space="preserve"> תורה בלי התנהגות מוסרית ראויה לא הייתה מתקבלת על הדעת. כך עולה ממעשה שסיפר עליו אבי וחזר עליו ר׳ ישראל </w:t>
      </w:r>
      <w:proofErr w:type="spellStart"/>
      <w:r>
        <w:rPr>
          <w:rtl/>
        </w:rPr>
        <w:t>שורין</w:t>
      </w:r>
      <w:bookmarkStart w:id="3809" w:name="_fnr2873"/>
      <w:proofErr w:type="spellEnd"/>
      <w:r>
        <w:rPr>
          <w:rStyle w:val="a5"/>
        </w:rPr>
        <w:footnoteReference w:id="2881" w:customMarkFollows="0"/>
      </w:r>
      <w:bookmarkEnd w:id="3809"/>
      <w:r>
        <w:rPr>
          <w:rtl/>
        </w:rPr>
        <w:t xml:space="preserve">. בשנות </w:t>
      </w:r>
      <w:proofErr w:type="spellStart"/>
      <w:r>
        <w:rPr>
          <w:rtl/>
        </w:rPr>
        <w:t xml:space="preserve">התר״פ</w:t>
      </w:r>
      <w:proofErr w:type="spellEnd"/>
      <w:r>
        <w:rPr>
          <w:rtl/>
        </w:rPr>
        <w:t xml:space="preserve"> בחן הרב </w:t>
      </w:r>
      <w:proofErr w:type="spellStart"/>
      <w:r>
        <w:rPr>
          <w:rtl/>
        </w:rPr>
        <w:t xml:space="preserve">הלר</w:t>
      </w:r>
      <w:proofErr w:type="spellEnd"/>
      <w:r>
        <w:rPr>
          <w:rtl/>
        </w:rPr>
        <w:t xml:space="preserve"> אדם שביקש להתקבל לישיבה. כשהבחין שהתנהגותו של המועמד אינה ראויה, אמר ר׳ </w:t>
      </w:r>
      <w:proofErr w:type="spellStart"/>
      <w:r>
        <w:rPr>
          <w:rtl/>
        </w:rPr>
        <w:t xml:space="preserve">בער־הירש</w:t>
      </w:r>
      <w:proofErr w:type="spellEnd"/>
      <w:r>
        <w:rPr>
          <w:rtl/>
        </w:rPr>
        <w:t xml:space="preserve"> למנהל – ככל הנראה חתנו ר׳ אברהם </w:t>
      </w:r>
      <w:proofErr w:type="spellStart"/>
      <w:r>
        <w:rPr>
          <w:rtl/>
        </w:rPr>
        <w:t>גרודזינסקי</w:t>
      </w:r>
      <w:proofErr w:type="spellEnd"/>
      <w:r>
        <w:rPr>
          <w:rtl/>
        </w:rPr>
        <w:t xml:space="preserve"> – </w:t>
      </w:r>
      <w:proofErr w:type="spellStart"/>
      <w:r>
        <w:rPr>
          <w:rtl/>
        </w:rPr>
        <w:t>ש“אסור</w:t>
      </w:r>
      <w:proofErr w:type="spellEnd"/>
      <w:r>
        <w:rPr>
          <w:rtl/>
        </w:rPr>
        <w:t xml:space="preserve">” לקבל את התלמיד. כשנשאל מדוע, השיב הרב </w:t>
      </w:r>
      <w:proofErr w:type="spellStart"/>
      <w:r>
        <w:rPr>
          <w:rtl/>
        </w:rPr>
        <w:t xml:space="preserve">הלר</w:t>
      </w:r>
      <w:proofErr w:type="spellEnd"/>
      <w:r>
        <w:rPr>
          <w:rtl/>
        </w:rPr>
        <w:t>: “מפני שאינו יודע ללמוד”. “אבל הוא כן יודע ללמוד”, טען האחר. “</w:t>
      </w:r>
      <w:r>
        <w:rPr>
          <w:b/>
          <w:bCs/>
          <w:rtl/>
        </w:rPr>
        <w:t>לא ייתכן</w:t>
      </w:r>
      <w:r>
        <w:rPr>
          <w:rtl/>
        </w:rPr>
        <w:t xml:space="preserve"> שהוא יודע ללמוד!” השיב ר׳ </w:t>
      </w:r>
      <w:proofErr w:type="spellStart"/>
      <w:r>
        <w:rPr>
          <w:rtl/>
        </w:rPr>
        <w:t xml:space="preserve">בער־הירש</w:t>
      </w:r>
      <w:proofErr w:type="spellEnd"/>
      <w:r>
        <w:rPr>
          <w:rtl/>
        </w:rPr>
        <w:t>.</w:t>
      </w:r>
    </w:p>
    <w:p w14:paraId="4F63598D" w14:textId="77777777" w:rsidR="00AB3647" w:rsidRDefault="00000000" w:rsidP="007923E9">
      <w:pPr>
        <w:spacing w:after="120" w:line="276" w:lineRule="auto"/>
        <w:ind w:firstLine="283"/>
        <w:jc w:val="both"/>
      </w:pPr>
      <w:r>
        <w:rPr>
          <w:rtl/>
        </w:rPr>
        <w:t xml:space="preserve">ועם זאת, אף שהמוסר תפס מקום עליון בסולם ערכיו, מסירותו ללימוד התורה עמדה בראש. זאת ממחיש תיאור של האופן שבו היה דופק על הבימה בישיבת </w:t>
      </w:r>
      <w:proofErr w:type="spellStart"/>
      <w:r>
        <w:rPr>
          <w:rtl/>
        </w:rPr>
        <w:t>סלבודקה</w:t>
      </w:r>
      <w:proofErr w:type="spellEnd"/>
      <w:r>
        <w:rPr>
          <w:rtl/>
        </w:rPr>
        <w:t xml:space="preserve"> כדי להודיע שסדר המוסר שלפני ערבית עומד להתחיל, אף שמידת מהימנותו של התיאור אינה ברורה. הוא היה מתחיל להוריד את זרועו לעבר הבימה, ולפתע עוצר את ידו. לא היה לו לב להפסיק את התלמידים מלימוד התורה. כמה ניסיונות מהוססים כאלה נדרשו </w:t>
      </w:r>
      <w:proofErr w:type="spellStart"/>
      <w:r>
        <w:rPr>
          <w:rtl/>
        </w:rPr>
        <w:t>לר</w:t>
      </w:r>
      <w:proofErr w:type="spellEnd"/>
      <w:r>
        <w:rPr>
          <w:rtl/>
        </w:rPr>
        <w:t xml:space="preserve">׳ </w:t>
      </w:r>
      <w:proofErr w:type="spellStart"/>
      <w:r>
        <w:rPr>
          <w:rtl/>
        </w:rPr>
        <w:t xml:space="preserve">בער־הירש</w:t>
      </w:r>
      <w:proofErr w:type="spellEnd"/>
      <w:r>
        <w:rPr>
          <w:rtl/>
        </w:rPr>
        <w:t xml:space="preserve"> עד שהצליח לגייס את הנחישות הדרושה ולמלא את חובתו כמשגיח. לבסוף התגבר על היסוסו, ידו ירדה על הבימה, והאות לפתיחת ספרי המוסר הדהד בכל בית המדרש</w:t>
      </w:r>
      <w:bookmarkStart w:id="3810" w:name="_fnr2874"/>
      <w:r>
        <w:rPr>
          <w:rStyle w:val="a5"/>
        </w:rPr>
        <w:footnoteReference w:id="2882" w:customMarkFollows="0"/>
      </w:r>
      <w:bookmarkEnd w:id="3810"/>
      <w:r>
        <w:rPr>
          <w:rtl/>
        </w:rPr>
        <w:t>.</w:t>
      </w:r>
    </w:p>
    <w:p w14:paraId="316F51A3" w14:textId="77777777" w:rsidR="00AB3647" w:rsidRDefault="00000000" w:rsidP="007923E9">
      <w:pPr>
        <w:spacing w:after="120" w:line="276" w:lineRule="auto"/>
        <w:ind w:firstLine="283"/>
        <w:jc w:val="both"/>
      </w:pPr>
      <w:r>
        <w:rPr>
          <w:rtl/>
        </w:rPr>
        <w:t xml:space="preserve">ייתכן שהיסוסו של ר׳ </w:t>
      </w:r>
      <w:proofErr w:type="spellStart"/>
      <w:r>
        <w:rPr>
          <w:rtl/>
        </w:rPr>
        <w:t xml:space="preserve">בער־הירש</w:t>
      </w:r>
      <w:proofErr w:type="spellEnd"/>
      <w:r>
        <w:rPr>
          <w:rtl/>
        </w:rPr>
        <w:t xml:space="preserve"> כשהתנגשו לימוד ההלכה ולימוד המוסר נבע מחינוכו המוקדם בישיבת </w:t>
      </w:r>
      <w:proofErr w:type="spellStart"/>
      <w:r>
        <w:rPr>
          <w:rtl/>
        </w:rPr>
        <w:t>וולוז׳ין</w:t>
      </w:r>
      <w:proofErr w:type="spellEnd"/>
      <w:r>
        <w:rPr>
          <w:rtl/>
        </w:rPr>
        <w:t>, שהתנגדה למוסר</w:t>
      </w:r>
      <w:bookmarkStart w:id="3811" w:name="_fnr2875"/>
      <w:r>
        <w:rPr>
          <w:rStyle w:val="a5"/>
        </w:rPr>
        <w:footnoteReference w:id="2883" w:customMarkFollows="0"/>
      </w:r>
      <w:bookmarkEnd w:id="3811"/>
      <w:r>
        <w:rPr>
          <w:rtl/>
        </w:rPr>
        <w:t xml:space="preserve">. אילו הוטל על הסבא </w:t>
      </w:r>
      <w:proofErr w:type="spellStart"/>
      <w:r>
        <w:rPr>
          <w:rtl/>
        </w:rPr>
        <w:t>מסלבודקה</w:t>
      </w:r>
      <w:proofErr w:type="spellEnd"/>
      <w:r>
        <w:rPr>
          <w:rtl/>
        </w:rPr>
        <w:t xml:space="preserve"> עצמו להכריז על הפסקת סדר הלימוד הרגיל לטובת המוסר, סביר שהיה עושה זאת בהתלהבות בלתי מרוסנת</w:t>
      </w:r>
      <w:bookmarkStart w:id="3812" w:name="_fnr2876"/>
      <w:r>
        <w:rPr>
          <w:rStyle w:val="a5"/>
        </w:rPr>
        <w:footnoteReference w:id="2884" w:customMarkFollows="0"/>
      </w:r>
      <w:bookmarkEnd w:id="3812"/>
      <w:r>
        <w:rPr>
          <w:rtl/>
        </w:rPr>
        <w:t>.</w:t>
      </w:r>
    </w:p>
    <w:p w14:paraId="169BA4C5" w14:textId="77777777" w:rsidR="00AB3647" w:rsidRDefault="00000000" w:rsidP="007923E9">
      <w:pPr>
        <w:spacing w:after="120" w:line="276" w:lineRule="auto"/>
        <w:ind w:firstLine="283"/>
        <w:jc w:val="both"/>
      </w:pPr>
      <w:r>
        <w:rPr>
          <w:rtl/>
        </w:rPr>
        <w:t xml:space="preserve">באגרתו הנזכרת לעיל גילה ד״ר </w:t>
      </w:r>
      <w:proofErr w:type="spellStart"/>
      <w:r>
        <w:rPr>
          <w:rtl/>
        </w:rPr>
        <w:t>העלר</w:t>
      </w:r>
      <w:proofErr w:type="spellEnd"/>
      <w:r>
        <w:rPr>
          <w:rtl/>
        </w:rPr>
        <w:t xml:space="preserve"> גם את הדברים הבאים: “אבי סיפר לי </w:t>
      </w:r>
      <w:proofErr w:type="spellStart"/>
      <w:r>
        <w:rPr>
          <w:rtl/>
        </w:rPr>
        <w:t>שאמו</w:t>
      </w:r>
      <w:proofErr w:type="spellEnd"/>
      <w:r>
        <w:rPr>
          <w:rtl/>
        </w:rPr>
        <w:t xml:space="preserve"> קיבלה פעם ירושה קטנה, ולמרות המחסור החמור בבית תרם אביו את כולה לישיבה”. מאמר השבח של מ׳ </w:t>
      </w:r>
      <w:proofErr w:type="spellStart"/>
      <w:r>
        <w:rPr>
          <w:rtl/>
        </w:rPr>
        <w:t>גרץ</w:t>
      </w:r>
      <w:proofErr w:type="spellEnd"/>
      <w:r>
        <w:rPr>
          <w:rtl/>
        </w:rPr>
        <w:t xml:space="preserve"> </w:t>
      </w:r>
      <w:proofErr w:type="spellStart"/>
      <w:r>
        <w:rPr>
          <w:rtl/>
        </w:rPr>
        <w:t>ב“ג׳ואיש</w:t>
      </w:r>
      <w:proofErr w:type="spellEnd"/>
      <w:r>
        <w:rPr>
          <w:rtl/>
        </w:rPr>
        <w:t xml:space="preserve"> </w:t>
      </w:r>
      <w:proofErr w:type="spellStart"/>
      <w:r>
        <w:rPr>
          <w:rtl/>
        </w:rPr>
        <w:t>מורנינג</w:t>
      </w:r>
      <w:proofErr w:type="spellEnd"/>
      <w:r>
        <w:rPr>
          <w:rtl/>
        </w:rPr>
        <w:t xml:space="preserve"> </w:t>
      </w:r>
      <w:proofErr w:type="spellStart"/>
      <w:r>
        <w:rPr>
          <w:rtl/>
        </w:rPr>
        <w:t>ג׳ורנל</w:t>
      </w:r>
      <w:proofErr w:type="spellEnd"/>
      <w:r>
        <w:rPr>
          <w:rtl/>
        </w:rPr>
        <w:t xml:space="preserve">” מספר גם סיפור מעניין, העולה בקנה אחד עם רוח הגילוי של ד״ר </w:t>
      </w:r>
      <w:proofErr w:type="spellStart"/>
      <w:r>
        <w:rPr>
          <w:rtl/>
        </w:rPr>
        <w:t>העלר</w:t>
      </w:r>
      <w:proofErr w:type="spellEnd"/>
      <w:r>
        <w:rPr>
          <w:rtl/>
        </w:rPr>
        <w:t xml:space="preserve">: “ב־1905 ניסו המשכילים למשוך אליהם תלמיד מבריק מאוד מן הישיבה, העשקה </w:t>
      </w:r>
      <w:proofErr w:type="spellStart"/>
      <w:r>
        <w:rPr>
          <w:rtl/>
        </w:rPr>
        <w:t>סומיאטיצ׳ר</w:t>
      </w:r>
      <w:proofErr w:type="spellEnd"/>
      <w:r>
        <w:rPr>
          <w:rtl/>
        </w:rPr>
        <w:t xml:space="preserve">. ר׳ </w:t>
      </w:r>
      <w:proofErr w:type="spellStart"/>
      <w:r>
        <w:rPr>
          <w:rtl/>
        </w:rPr>
        <w:t xml:space="preserve">בער־הירש</w:t>
      </w:r>
      <w:proofErr w:type="spellEnd"/>
      <w:r>
        <w:rPr>
          <w:rtl/>
        </w:rPr>
        <w:t xml:space="preserve"> החליט להילחם בהם בכליהם החומרניים שלהם. הוא מסר לבחור את כרו האחרון, ובפרוטותיו האחרונות קנה לו מאכלים יקרים”.</w:t>
      </w:r>
    </w:p>
    <w:p w14:paraId="6C0CE923" w14:textId="77777777" w:rsidR="00AB3647" w:rsidRDefault="00000000" w:rsidP="007923E9">
      <w:pPr>
        <w:spacing w:after="120" w:line="276" w:lineRule="auto"/>
        <w:ind w:firstLine="283"/>
        <w:jc w:val="both"/>
      </w:pPr>
      <w:r>
        <w:rPr>
          <w:rtl/>
        </w:rPr>
        <w:t xml:space="preserve">ברוח זו הוסיף ר׳ </w:t>
      </w:r>
      <w:proofErr w:type="spellStart"/>
      <w:r>
        <w:rPr>
          <w:rtl/>
        </w:rPr>
        <w:t xml:space="preserve">בער־הירש</w:t>
      </w:r>
      <w:proofErr w:type="spellEnd"/>
      <w:r>
        <w:rPr>
          <w:rtl/>
        </w:rPr>
        <w:t xml:space="preserve"> בסוף האגרת שכתב לבן בן דודו ר׳ יעקב שוחט לאחר נישואיו: “אבקשך גם להודיעני כמה נדוניה לקחת [כך במקור] ומה תעשה כעת. דרך אגב </w:t>
      </w:r>
      <w:r>
        <w:rPr>
          <w:rtl/>
        </w:rPr>
        <w:lastRenderedPageBreak/>
        <w:t>אזכיר [לך] – אולי תרצה להפריש מעשר מן הנדוניה, כי זו סגולה לקיום ממונך ולהצלחתך. אם תסכים, אבקשך להודיעני”</w:t>
      </w:r>
      <w:bookmarkStart w:id="3813" w:name="_fnr2877"/>
      <w:r>
        <w:rPr>
          <w:rStyle w:val="a5"/>
        </w:rPr>
        <w:footnoteReference w:id="2885" w:customMarkFollows="0"/>
      </w:r>
      <w:bookmarkEnd w:id="3813"/>
      <w:r>
        <w:rPr>
          <w:rtl/>
        </w:rPr>
        <w:t xml:space="preserve"> – כלשון [חכמינו]</w:t>
      </w:r>
      <w:bookmarkStart w:id="3814" w:name="_fnr2878"/>
      <w:r>
        <w:rPr>
          <w:rStyle w:val="a5"/>
        </w:rPr>
        <w:footnoteReference w:id="2886" w:customMarkFollows="0"/>
      </w:r>
      <w:bookmarkEnd w:id="3814"/>
      <w:r>
        <w:rPr>
          <w:rtl/>
        </w:rPr>
        <w:t>: “מלח כסף חסר; ואמרי לה חסד”</w:t>
      </w:r>
      <w:bookmarkStart w:id="3815" w:name="_fnr2879"/>
      <w:r>
        <w:rPr>
          <w:rStyle w:val="a5"/>
        </w:rPr>
        <w:footnoteReference w:id="2887" w:customMarkFollows="0"/>
      </w:r>
      <w:bookmarkEnd w:id="3815"/>
      <w:r>
        <w:rPr>
          <w:rtl/>
        </w:rPr>
        <w:t>.</w:t>
      </w:r>
    </w:p>
    <w:p w14:paraId="4658E02C" w14:textId="77777777" w:rsidR="00AB3647" w:rsidRDefault="00000000" w:rsidP="007923E9">
      <w:pPr>
        <w:pStyle w:val="4"/>
        <w:spacing w:line="276" w:lineRule="auto"/>
      </w:pPr>
      <w:r>
        <w:t>· הפסקה הרביעית ·</w:t>
      </w:r>
    </w:p>
    <w:p w14:paraId="5A9CC695" w14:textId="77777777" w:rsidR="00AB3647" w:rsidRDefault="00000000" w:rsidP="007923E9">
      <w:pPr>
        <w:pStyle w:val="5"/>
        <w:spacing w:line="276" w:lineRule="auto"/>
      </w:pPr>
      <w:r>
        <w:t>ר׳ אהרן קוטלר אוכל על שולחנו של הסבא</w:t>
      </w:r>
    </w:p>
    <w:p w14:paraId="4B7B30B9" w14:textId="77777777" w:rsidR="00AB3647" w:rsidRDefault="00000000" w:rsidP="007923E9">
      <w:pPr>
        <w:spacing w:after="120" w:line="276" w:lineRule="auto"/>
        <w:ind w:firstLine="283"/>
        <w:jc w:val="both"/>
      </w:pPr>
      <w:r>
        <w:rPr>
          <w:rtl/>
        </w:rPr>
        <w:t xml:space="preserve">חברו של רבנו ממינסק, אהרן </w:t>
      </w:r>
      <w:proofErr w:type="spellStart"/>
      <w:r>
        <w:rPr>
          <w:rtl/>
        </w:rPr>
        <w:t>סיסלוביצ׳ר</w:t>
      </w:r>
      <w:proofErr w:type="spellEnd"/>
      <w:r>
        <w:rPr>
          <w:rtl/>
        </w:rPr>
        <w:t xml:space="preserve"> (קוטלר), שובץ לשולחן שבת מובחר עוד יותר. על פי ריאיון שערך ר׳ דב כץ עם ר׳ אהרן</w:t>
      </w:r>
      <w:bookmarkStart w:id="3816" w:name="_fnr2880"/>
      <w:r>
        <w:rPr>
          <w:rStyle w:val="a5"/>
        </w:rPr>
        <w:footnoteReference w:id="2888" w:customMarkFollows="0"/>
      </w:r>
      <w:bookmarkEnd w:id="3816"/>
      <w:r>
        <w:rPr>
          <w:rtl/>
        </w:rPr>
        <w:t xml:space="preserve">, הוא “אכל שנים רבות על שולחן הסבא בשבתות ובחגים”. רבנו היה מוגן מהשפעת ההשכלה לאחר שהגיע </w:t>
      </w:r>
      <w:proofErr w:type="spellStart"/>
      <w:r>
        <w:rPr>
          <w:rtl/>
        </w:rPr>
        <w:t>לסלבודקה</w:t>
      </w:r>
      <w:proofErr w:type="spellEnd"/>
      <w:r>
        <w:rPr>
          <w:rtl/>
        </w:rPr>
        <w:t>, אבל ר׳ אהרן עדיין היה בסכנה</w:t>
      </w:r>
      <w:bookmarkStart w:id="3817" w:name="_fnr2881"/>
      <w:r>
        <w:rPr>
          <w:rStyle w:val="a5"/>
        </w:rPr>
        <w:footnoteReference w:id="2889" w:customMarkFollows="0"/>
      </w:r>
      <w:bookmarkEnd w:id="3817"/>
      <w:r>
        <w:rPr>
          <w:rtl/>
        </w:rPr>
        <w:t>, ואפשר שהסבא רצה לפקוח עליו עין ביתר שאת.</w:t>
      </w:r>
    </w:p>
    <w:bookmarkStart w:id="3818" w:name="b3_excCC"/>
    <w:p w14:paraId="500906F1" w14:textId="77777777" w:rsidR="00AB3647" w:rsidRDefault="00000000" w:rsidP="007923E9">
      <w:pPr>
        <w:pStyle w:val="3"/>
        <w:spacing w:line="276" w:lineRule="auto"/>
      </w:pPr>
      <w:r>
        <w:lastRenderedPageBreak/>
        <w:fldChar w:fldCharType="begin" w:dirty="true"/>
      </w:r>
      <w:r>
        <w:rPr>
          <w:rtl w:val="0"/>
        </w:rPr>
        <w:instrText>HYPERLINK \l "b3_note122</w:instrText>
      </w:r>
      <w:r>
        <w:instrText>"</w:instrText>
      </w:r>
      <w:r>
        <w:fldChar w:fldCharType="separate"/>
      </w:r>
      <w:r>
        <w:t xml:space="preserve">נספח </w:t>
      </w:r>
      <w:proofErr w:type="spellStart"/>
      <w:r>
        <w:t>כט</w:t>
      </w:r>
      <w:proofErr w:type="spellEnd"/>
      <w:r>
        <w:fldChar w:fldCharType="end"/>
      </w:r>
      <w:bookmarkEnd w:id="3818"/>
    </w:p>
    <w:p w14:paraId="055C2E4F" w14:textId="77777777" w:rsidR="00AB3647" w:rsidRDefault="00000000" w:rsidP="007923E9">
      <w:pPr>
        <w:pStyle w:val="af"/>
        <w:spacing w:line="276" w:lineRule="auto"/>
      </w:pPr>
      <w:r>
        <w:t xml:space="preserve">על צדקותו של ר׳ </w:t>
      </w:r>
      <w:proofErr w:type="spellStart"/>
      <w:r>
        <w:t>משה־מרדכי</w:t>
      </w:r>
      <w:proofErr w:type="spellEnd"/>
      <w:r>
        <w:t xml:space="preserve"> ועל </w:t>
      </w:r>
      <w:proofErr w:type="spellStart"/>
      <w:r>
        <w:t>אי־השתתפות</w:t>
      </w:r>
      <w:proofErr w:type="spellEnd"/>
      <w:r>
        <w:t xml:space="preserve"> בשיעורים </w:t>
      </w:r>
      <w:proofErr w:type="spellStart"/>
      <w:r>
        <w:t>בוולוז׳ין</w:t>
      </w:r>
      <w:proofErr w:type="spellEnd"/>
    </w:p>
    <w:p w14:paraId="3C694F9C" w14:textId="77777777" w:rsidR="00AB3647" w:rsidRDefault="00000000" w:rsidP="007923E9">
      <w:pPr>
        <w:pStyle w:val="4"/>
        <w:spacing w:line="276" w:lineRule="auto"/>
      </w:pPr>
      <w:r>
        <w:t>· הפסקה הראשונה ·</w:t>
      </w:r>
    </w:p>
    <w:p w14:paraId="2F1FF561" w14:textId="77777777" w:rsidR="00AB3647" w:rsidRDefault="00000000" w:rsidP="007923E9">
      <w:pPr>
        <w:pStyle w:val="5"/>
        <w:spacing w:line="276" w:lineRule="auto"/>
      </w:pPr>
      <w:r>
        <w:t xml:space="preserve">ר׳ </w:t>
      </w:r>
      <w:proofErr w:type="spellStart"/>
      <w:r>
        <w:t>משה־מרדכי</w:t>
      </w:r>
      <w:proofErr w:type="spellEnd"/>
      <w:r>
        <w:t xml:space="preserve"> אפשטיין מותיר לאחרים את הוצאת הכסף שהוא מגייס – הוא מקבל תרומות קטנות אך “כשרות” – הוא נחשב צדיק מופלג</w:t>
      </w:r>
    </w:p>
    <w:p w14:paraId="78155EAE" w14:textId="1319CF84" w:rsidR="00AB3647" w:rsidRDefault="00000000" w:rsidP="007923E9">
      <w:pPr>
        <w:spacing w:after="120" w:line="276" w:lineRule="auto"/>
        <w:ind w:firstLine="283"/>
        <w:jc w:val="both"/>
      </w:pPr>
      <w:r>
        <w:rPr>
          <w:rtl/>
        </w:rPr>
        <w:t xml:space="preserve">השווה הערה </w:t>
      </w:r>
      <w:r>
        <w:rPr>
          <w:rtl/>
        </w:rPr>
        <w:fldChar w:fldCharType="begin" w:dirty="true"/>
      </w:r>
      <w:r>
        <w:rPr>
          <w:rtl/>
        </w:rPr>
        <w:instrText xml:space="preserve"> REF b3_note133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133</w:t>
      </w:r>
      <w:r>
        <w:rPr>
          <w:rtl/>
        </w:rPr>
        <w:fldChar w:fldCharType="end"/>
      </w:r>
      <w:r>
        <w:rPr>
          <w:rtl/>
        </w:rPr>
        <w:t xml:space="preserve"> לעיל. השווה גם “לפרקים”</w:t>
      </w:r>
      <w:bookmarkStart w:id="3819" w:name="_fnr2882"/>
      <w:r>
        <w:rPr>
          <w:rStyle w:val="a5"/>
        </w:rPr>
        <w:footnoteReference w:id="2890" w:customMarkFollows="0"/>
      </w:r>
      <w:bookmarkEnd w:id="3819"/>
      <w:r>
        <w:rPr>
          <w:rtl/>
        </w:rPr>
        <w:t xml:space="preserve">, שבו ר׳ </w:t>
      </w:r>
      <w:proofErr w:type="spellStart"/>
      <w:r>
        <w:rPr>
          <w:rtl/>
        </w:rPr>
        <w:t>יחיאל־יעקב</w:t>
      </w:r>
      <w:proofErr w:type="spellEnd"/>
      <w:r>
        <w:rPr>
          <w:rtl/>
        </w:rPr>
        <w:t xml:space="preserve"> ויינברג מבכה את כישלונו ואת כישלון חבריו “לספוג את כל השפע שביקש ר׳ </w:t>
      </w:r>
      <w:proofErr w:type="spellStart"/>
      <w:r>
        <w:rPr>
          <w:rtl/>
        </w:rPr>
        <w:t>משה־מרדכי</w:t>
      </w:r>
      <w:proofErr w:type="spellEnd"/>
      <w:r>
        <w:rPr>
          <w:rtl/>
        </w:rPr>
        <w:t xml:space="preserve"> להניק [להם]”, ומסביר: “כשישבנו על ספסלי הישיבה, הילדותיות גרמה לנו שלא להטות אוזן לכל הגה שיצא מפיו הקדוש”.</w:t>
      </w:r>
    </w:p>
    <w:p w14:paraId="66DE2E3F" w14:textId="77777777" w:rsidR="00AB3647" w:rsidRDefault="00000000" w:rsidP="007923E9">
      <w:pPr>
        <w:spacing w:after="120" w:line="276" w:lineRule="auto"/>
        <w:ind w:firstLine="283"/>
        <w:jc w:val="both"/>
      </w:pPr>
      <w:proofErr w:type="spellStart"/>
      <w:r>
        <w:rPr>
          <w:rtl/>
        </w:rPr>
        <w:t>חיה־מרים</w:t>
      </w:r>
      <w:proofErr w:type="spellEnd"/>
      <w:r>
        <w:rPr>
          <w:rtl/>
        </w:rPr>
        <w:t xml:space="preserve"> </w:t>
      </w:r>
      <w:proofErr w:type="spellStart"/>
      <w:r>
        <w:rPr>
          <w:rtl/>
        </w:rPr>
        <w:t>שולמן</w:t>
      </w:r>
      <w:proofErr w:type="spellEnd"/>
      <w:r>
        <w:rPr>
          <w:rtl/>
        </w:rPr>
        <w:t xml:space="preserve"> סיפרה: “פעם אחת עצר סבי הסבא כמה בחורים שיצאו מבית המדרש לפני השיעור ואמר: ‘האם אתם חושבים שאם אינכם שומעים את שיעורו, יחדל להיות הגאון שהוא? ודאי אתם יודעים איזה גאון הוא, אבל יידרשו לכם עשרות שנים להבין איזה צדיק הוא!’ הסבא הביא דוגמה לצדקותו [של ר׳ </w:t>
      </w:r>
      <w:proofErr w:type="spellStart"/>
      <w:r>
        <w:rPr>
          <w:rtl/>
        </w:rPr>
        <w:t>משה־מרדכי</w:t>
      </w:r>
      <w:proofErr w:type="spellEnd"/>
      <w:r>
        <w:rPr>
          <w:rtl/>
        </w:rPr>
        <w:t xml:space="preserve"> אפשטיין]: ר׳ אברהם </w:t>
      </w:r>
      <w:proofErr w:type="spellStart"/>
      <w:r>
        <w:rPr>
          <w:rtl/>
        </w:rPr>
        <w:t>גרודזינסקי</w:t>
      </w:r>
      <w:proofErr w:type="spellEnd"/>
      <w:r>
        <w:rPr>
          <w:rtl/>
        </w:rPr>
        <w:t xml:space="preserve"> נהג להגיש לו חשבון בלתי מפורט [‘א </w:t>
      </w:r>
      <w:proofErr w:type="spellStart"/>
      <w:r>
        <w:rPr>
          <w:rtl/>
        </w:rPr>
        <w:t>דייטשער</w:t>
      </w:r>
      <w:proofErr w:type="spellEnd"/>
      <w:r>
        <w:rPr>
          <w:rtl/>
        </w:rPr>
        <w:t xml:space="preserve"> </w:t>
      </w:r>
      <w:proofErr w:type="spellStart"/>
      <w:r>
        <w:rPr>
          <w:rtl/>
        </w:rPr>
        <w:t>צעטיל</w:t>
      </w:r>
      <w:proofErr w:type="spellEnd"/>
      <w:r>
        <w:rPr>
          <w:rtl/>
        </w:rPr>
        <w:t xml:space="preserve">’ – פתק גרמני] על כביסת הישיבה, ור׳ </w:t>
      </w:r>
      <w:proofErr w:type="spellStart"/>
      <w:r>
        <w:rPr>
          <w:rtl/>
        </w:rPr>
        <w:t>משה־מרדכי</w:t>
      </w:r>
      <w:proofErr w:type="spellEnd"/>
      <w:r>
        <w:rPr>
          <w:rtl/>
        </w:rPr>
        <w:t xml:space="preserve"> היה נותן </w:t>
      </w:r>
      <w:proofErr w:type="spellStart"/>
      <w:r>
        <w:rPr>
          <w:rtl/>
        </w:rPr>
        <w:t>לר</w:t>
      </w:r>
      <w:proofErr w:type="spellEnd"/>
      <w:r>
        <w:rPr>
          <w:rtl/>
        </w:rPr>
        <w:t>׳ אברהם את הכסף. ‘מי נותן כסף בלי חשבון למה הוא מיועד?!’ שאל הסבא כשאלה רטורית”.</w:t>
      </w:r>
    </w:p>
    <w:p w14:paraId="74A11C99" w14:textId="77777777" w:rsidR="00AB3647" w:rsidRDefault="00000000" w:rsidP="007923E9">
      <w:pPr>
        <w:spacing w:after="120" w:line="276" w:lineRule="auto"/>
        <w:ind w:firstLine="283"/>
        <w:jc w:val="both"/>
      </w:pPr>
      <w:r>
        <w:rPr>
          <w:rtl/>
        </w:rPr>
        <w:t xml:space="preserve">נכדו של ר׳ </w:t>
      </w:r>
      <w:proofErr w:type="spellStart"/>
      <w:r>
        <w:rPr>
          <w:rtl/>
        </w:rPr>
        <w:t>משה־מרדכי</w:t>
      </w:r>
      <w:proofErr w:type="spellEnd"/>
      <w:r>
        <w:rPr>
          <w:rtl/>
        </w:rPr>
        <w:t xml:space="preserve">, ר׳ חיים </w:t>
      </w:r>
      <w:proofErr w:type="spellStart"/>
      <w:r>
        <w:rPr>
          <w:rtl/>
        </w:rPr>
        <w:t>סרנא</w:t>
      </w:r>
      <w:bookmarkStart w:id="3820" w:name="_fnr2883"/>
      <w:proofErr w:type="spellEnd"/>
      <w:r>
        <w:rPr>
          <w:rStyle w:val="a5"/>
        </w:rPr>
        <w:footnoteReference w:id="2891" w:customMarkFollows="0"/>
      </w:r>
      <w:bookmarkEnd w:id="3820"/>
      <w:r>
        <w:rPr>
          <w:rtl/>
        </w:rPr>
        <w:t xml:space="preserve">, סיפר בשם אביו ר׳ </w:t>
      </w:r>
      <w:proofErr w:type="spellStart"/>
      <w:r>
        <w:rPr>
          <w:rtl/>
        </w:rPr>
        <w:t>חצקל</w:t>
      </w:r>
      <w:proofErr w:type="spellEnd"/>
      <w:r>
        <w:rPr>
          <w:rtl/>
        </w:rPr>
        <w:t xml:space="preserve"> דוגמה דומה לצדקות מסוג זה, אך רחבה יותר: “במשך עשרות שנים ר׳ </w:t>
      </w:r>
      <w:proofErr w:type="spellStart"/>
      <w:r>
        <w:rPr>
          <w:rtl/>
        </w:rPr>
        <w:t>משה־מרדכי</w:t>
      </w:r>
      <w:proofErr w:type="spellEnd"/>
      <w:r>
        <w:rPr>
          <w:rtl/>
        </w:rPr>
        <w:t xml:space="preserve"> אפשטיין הוא שגייס את כל הכספים לישיבה, והוא נתן את כולם לסבא שינהל אותם, בלי להשאיר לעצמו שום זכות לקבוע כיצד יחולקו”. הסבא הביא כנראה רק את הדוגמה המצומצמת של הוצאות הכביסה, מפני שנמנע מלפרסם שגם הכספים שחילק כהקצבות לתלמידים היו הכספים שגייס ר׳ </w:t>
      </w:r>
      <w:proofErr w:type="spellStart"/>
      <w:r>
        <w:rPr>
          <w:rtl/>
        </w:rPr>
        <w:t>משה־מרדכי</w:t>
      </w:r>
      <w:proofErr w:type="spellEnd"/>
      <w:r>
        <w:rPr>
          <w:rtl/>
        </w:rPr>
        <w:t xml:space="preserve"> – אף שאנשים יכלו להסיק זאת בנקל.</w:t>
      </w:r>
    </w:p>
    <w:p w14:paraId="63D30122" w14:textId="77777777" w:rsidR="00AB3647" w:rsidRDefault="00000000" w:rsidP="007923E9">
      <w:pPr>
        <w:spacing w:after="120" w:line="276" w:lineRule="auto"/>
        <w:ind w:firstLine="283"/>
        <w:jc w:val="both"/>
      </w:pPr>
      <w:r>
        <w:rPr>
          <w:rtl/>
        </w:rPr>
        <w:t xml:space="preserve">“לאחר מלחמת העולם הראשונה”, המשיך ר׳ חיים </w:t>
      </w:r>
      <w:proofErr w:type="spellStart"/>
      <w:r>
        <w:rPr>
          <w:rtl/>
        </w:rPr>
        <w:t>סרנא</w:t>
      </w:r>
      <w:proofErr w:type="spellEnd"/>
      <w:r>
        <w:rPr>
          <w:rtl/>
        </w:rPr>
        <w:t xml:space="preserve">, “נסע ר׳ </w:t>
      </w:r>
      <w:proofErr w:type="spellStart"/>
      <w:r>
        <w:rPr>
          <w:rtl/>
        </w:rPr>
        <w:t>משה־מרדכי</w:t>
      </w:r>
      <w:proofErr w:type="spellEnd"/>
      <w:r>
        <w:rPr>
          <w:rtl/>
        </w:rPr>
        <w:t xml:space="preserve"> כמה פעמים לאמריקה ולמערב אירופה לגייס את תקציב הישיבה, ונעדר </w:t>
      </w:r>
      <w:proofErr w:type="spellStart"/>
      <w:r>
        <w:rPr>
          <w:rtl/>
        </w:rPr>
        <w:t>מסלבודקה</w:t>
      </w:r>
      <w:proofErr w:type="spellEnd"/>
      <w:r>
        <w:rPr>
          <w:rtl/>
        </w:rPr>
        <w:t xml:space="preserve"> שנים בכל פעם. כשביקרו אותו על קבלת תרומות קטנות – ‘הוא אוהב מטבעות של רבע דולר’, אמרו – אמר לסבא: ‘אני זקוק ל־3,000 דולר בחודש, ולא אכפת לי אם 12,000 נשים יהודיות באמריקה יספקו אותם, ובלבד שהכסף יהיה כשר׳. כוונתו הייתה: ובלבד שמטבעות רבע הדולר ניתנו מתוך הערכה אמיתית ללימוד התורה – כגון כסף שנחסך ממאכל נוסף שהתורמות היו מגישות על שולחנן אלמלא התרומה – ולפיכך נתרמו ‘בכל לבבך ובכל נפשך’</w:t>
      </w:r>
      <w:bookmarkStart w:id="3821" w:name="_fnr2884"/>
      <w:r>
        <w:rPr>
          <w:rStyle w:val="a5"/>
        </w:rPr>
        <w:footnoteReference w:id="2892" w:customMarkFollows="0"/>
      </w:r>
      <w:bookmarkEnd w:id="3821"/>
      <w:r>
        <w:rPr>
          <w:rtl/>
        </w:rPr>
        <w:t>”.</w:t>
      </w:r>
    </w:p>
    <w:p w14:paraId="30DF5064" w14:textId="77777777" w:rsidR="00AB3647" w:rsidRDefault="00000000" w:rsidP="007923E9">
      <w:pPr>
        <w:spacing w:after="120" w:line="276" w:lineRule="auto"/>
        <w:ind w:firstLine="283"/>
        <w:jc w:val="both"/>
      </w:pPr>
      <w:r>
        <w:rPr>
          <w:rtl/>
        </w:rPr>
        <w:lastRenderedPageBreak/>
        <w:t xml:space="preserve">דוגמה נוספת שנתן הסבא לצדקותו של ר׳ </w:t>
      </w:r>
      <w:proofErr w:type="spellStart"/>
      <w:r>
        <w:rPr>
          <w:rtl/>
        </w:rPr>
        <w:t>משה־מרדכי</w:t>
      </w:r>
      <w:proofErr w:type="spellEnd"/>
      <w:r>
        <w:rPr>
          <w:rtl/>
        </w:rPr>
        <w:t xml:space="preserve"> אפשטיין</w:t>
      </w:r>
      <w:bookmarkStart w:id="3822" w:name="_fnr2885"/>
      <w:r>
        <w:rPr>
          <w:rStyle w:val="a5"/>
        </w:rPr>
        <w:footnoteReference w:id="2893" w:customMarkFollows="0"/>
      </w:r>
      <w:bookmarkEnd w:id="3822"/>
      <w:r>
        <w:rPr>
          <w:rtl/>
        </w:rPr>
        <w:t xml:space="preserve"> קשורה לבריחה משיעוריו. פעם, כשהבחורים רצו החוצה, העיר ר׳ </w:t>
      </w:r>
      <w:proofErr w:type="spellStart"/>
      <w:r>
        <w:rPr>
          <w:rtl/>
        </w:rPr>
        <w:t>משה־מרדכי</w:t>
      </w:r>
      <w:proofErr w:type="spellEnd"/>
      <w:r>
        <w:rPr>
          <w:rtl/>
        </w:rPr>
        <w:t xml:space="preserve">: “האם אתם יודעים מדוע הם רצים החוצה? אני נענש על שברחתי משיעוריו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הסבא אמר אז: “מרוב חיפושו של ר׳ </w:t>
      </w:r>
      <w:proofErr w:type="spellStart"/>
      <w:r>
        <w:rPr>
          <w:rtl/>
        </w:rPr>
        <w:t>משה־מרדכי</w:t>
      </w:r>
      <w:proofErr w:type="spellEnd"/>
      <w:r>
        <w:rPr>
          <w:rtl/>
        </w:rPr>
        <w:t>, בצדקותו, אחר גילוי הכלל של גמול שמים, ‘מידה כנגד מידה’</w:t>
      </w:r>
      <w:bookmarkStart w:id="3823" w:name="_fnr2886"/>
      <w:r>
        <w:rPr>
          <w:rStyle w:val="a5"/>
        </w:rPr>
        <w:footnoteReference w:id="2894" w:customMarkFollows="0"/>
      </w:r>
      <w:bookmarkEnd w:id="3823"/>
      <w:r>
        <w:rPr>
          <w:rtl/>
        </w:rPr>
        <w:t>, בכל מה שקורה בחייו, הוא מתעלם מן האפשרות שהבחורים רצים החוצה פשוט מפני ששיעורו אינו מעניין דיו למשוך אותם”.</w:t>
      </w:r>
    </w:p>
    <w:p w14:paraId="021BDA68" w14:textId="603AC967" w:rsidR="00AB3647" w:rsidRDefault="00000000" w:rsidP="007923E9">
      <w:pPr>
        <w:spacing w:after="120" w:line="276" w:lineRule="auto"/>
        <w:ind w:firstLine="283"/>
        <w:jc w:val="both"/>
      </w:pPr>
      <w:r>
        <w:rPr>
          <w:rtl/>
        </w:rPr>
        <w:t xml:space="preserve">סמוך לאחר פטירת ר׳ </w:t>
      </w:r>
      <w:proofErr w:type="spellStart"/>
      <w:r>
        <w:rPr>
          <w:rtl/>
        </w:rPr>
        <w:t>משה־מרדכי</w:t>
      </w:r>
      <w:proofErr w:type="spellEnd"/>
      <w:r>
        <w:rPr>
          <w:rtl/>
        </w:rPr>
        <w:t xml:space="preserve"> כתב חתנו ר׳ </w:t>
      </w:r>
      <w:proofErr w:type="spellStart"/>
      <w:r>
        <w:rPr>
          <w:rtl/>
        </w:rPr>
        <w:t>חצקל</w:t>
      </w:r>
      <w:proofErr w:type="spellEnd"/>
      <w:r>
        <w:rPr>
          <w:rtl/>
        </w:rPr>
        <w:t xml:space="preserve"> </w:t>
      </w:r>
      <w:proofErr w:type="spellStart"/>
      <w:r>
        <w:rPr>
          <w:rtl/>
        </w:rPr>
        <w:t>סרנא</w:t>
      </w:r>
      <w:proofErr w:type="spellEnd"/>
      <w:r>
        <w:rPr>
          <w:rtl/>
        </w:rPr>
        <w:t xml:space="preserve"> אגרת אל אחי הנפטר ר׳ </w:t>
      </w:r>
      <w:proofErr w:type="spellStart"/>
      <w:r>
        <w:rPr>
          <w:rtl/>
        </w:rPr>
        <w:t>אפרים־פישל</w:t>
      </w:r>
      <w:proofErr w:type="spellEnd"/>
      <w:r>
        <w:rPr>
          <w:rtl/>
        </w:rPr>
        <w:t xml:space="preserve"> אפשטיין</w:t>
      </w:r>
      <w:bookmarkStart w:id="3824" w:name="_fnr2887"/>
      <w:r>
        <w:rPr>
          <w:rStyle w:val="a5"/>
        </w:rPr>
        <w:footnoteReference w:id="2895" w:customMarkFollows="0"/>
      </w:r>
      <w:bookmarkEnd w:id="3824"/>
      <w:r>
        <w:rPr>
          <w:rtl/>
        </w:rPr>
        <w:t xml:space="preserve">, ובה השווה את דרגת צדקותו של ר׳ </w:t>
      </w:r>
      <w:proofErr w:type="spellStart"/>
      <w:r>
        <w:rPr>
          <w:rtl/>
        </w:rPr>
        <w:t>משה־מרדכי</w:t>
      </w:r>
      <w:proofErr w:type="spellEnd"/>
      <w:r>
        <w:rPr>
          <w:rtl/>
        </w:rPr>
        <w:t xml:space="preserve"> </w:t>
      </w:r>
      <w:proofErr w:type="spellStart"/>
      <w:r>
        <w:rPr>
          <w:rtl/>
        </w:rPr>
        <w:t>ל“זו</w:t>
      </w:r>
      <w:proofErr w:type="spellEnd"/>
      <w:r>
        <w:rPr>
          <w:rtl/>
        </w:rPr>
        <w:t xml:space="preserve"> של דורות קדמונים”. בנו של ר׳ </w:t>
      </w:r>
      <w:proofErr w:type="spellStart"/>
      <w:r>
        <w:rPr>
          <w:rtl/>
        </w:rPr>
        <w:t>חצקל</w:t>
      </w:r>
      <w:proofErr w:type="spellEnd"/>
      <w:r>
        <w:rPr>
          <w:rtl/>
        </w:rPr>
        <w:t>, ר׳ חיים, גילה</w:t>
      </w:r>
      <w:bookmarkStart w:id="3825" w:name="_fnr2888"/>
      <w:r>
        <w:rPr>
          <w:rStyle w:val="a5"/>
        </w:rPr>
        <w:footnoteReference w:id="2896" w:customMarkFollows="0"/>
      </w:r>
      <w:bookmarkEnd w:id="3825"/>
      <w:r>
        <w:rPr>
          <w:rtl/>
        </w:rPr>
        <w:t xml:space="preserve"> שר׳ חיים </w:t>
      </w:r>
      <w:proofErr w:type="spellStart"/>
      <w:r>
        <w:rPr>
          <w:rtl/>
        </w:rPr>
        <w:t>סולובייצ׳יק</w:t>
      </w:r>
      <w:proofErr w:type="spellEnd"/>
      <w:r>
        <w:rPr>
          <w:rtl/>
        </w:rPr>
        <w:t xml:space="preserve"> היה שולח אנשים אל תלמידו ר׳ </w:t>
      </w:r>
      <w:proofErr w:type="spellStart"/>
      <w:r>
        <w:rPr>
          <w:rtl/>
        </w:rPr>
        <w:t>משה־מרדכי</w:t>
      </w:r>
      <w:proofErr w:type="spellEnd"/>
      <w:r>
        <w:rPr>
          <w:rtl/>
        </w:rPr>
        <w:t xml:space="preserve"> לקבל את ברכותיו, ואומר שהן מועילות משום שהוא לומד “תורה לשמה”. השווה גם פרק 4, סוף הפסקה הרביעית ב</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 xml:space="preserve"> וסוף נספח ב. צדקותו של ר׳ </w:t>
      </w:r>
      <w:proofErr w:type="spellStart"/>
      <w:r>
        <w:rPr>
          <w:rtl/>
        </w:rPr>
        <w:t>משה־מרדכי</w:t>
      </w:r>
      <w:proofErr w:type="spellEnd"/>
      <w:r>
        <w:rPr>
          <w:rtl/>
        </w:rPr>
        <w:t xml:space="preserve"> מתוארת גם ביד אמן בספרו של </w:t>
      </w:r>
      <w:proofErr w:type="spellStart"/>
      <w:r>
        <w:rPr>
          <w:rtl/>
        </w:rPr>
        <w:t>דבורץ</w:t>
      </w:r>
      <w:proofErr w:type="spellEnd"/>
      <w:r>
        <w:rPr>
          <w:rtl/>
        </w:rPr>
        <w:t>, “הגאון רבי משה מרדכי אפשטיין”, בניתוח מה שנאלץ לסבול בעומדו לצד הסבא בכל התהפוכות של העשור הראשון לכנסת ישראל</w:t>
      </w:r>
      <w:bookmarkStart w:id="3826" w:name="_fnr2889"/>
      <w:r>
        <w:rPr>
          <w:rStyle w:val="a5"/>
        </w:rPr>
        <w:footnoteReference w:id="2897" w:customMarkFollows="0"/>
      </w:r>
      <w:bookmarkEnd w:id="3826"/>
      <w:r>
        <w:rPr>
          <w:rtl/>
        </w:rPr>
        <w:t>.</w:t>
      </w:r>
    </w:p>
    <w:p w14:paraId="0196859A" w14:textId="77777777" w:rsidR="00AB3647" w:rsidRDefault="00000000" w:rsidP="007923E9">
      <w:pPr>
        <w:pStyle w:val="4"/>
        <w:spacing w:line="276" w:lineRule="auto"/>
      </w:pPr>
      <w:r>
        <w:t>· הפסקה השנייה ·</w:t>
      </w:r>
    </w:p>
    <w:p w14:paraId="069012CF" w14:textId="77777777" w:rsidR="00AB3647" w:rsidRDefault="00000000" w:rsidP="007923E9">
      <w:pPr>
        <w:pStyle w:val="5"/>
        <w:spacing w:line="276" w:lineRule="auto"/>
      </w:pPr>
      <w:proofErr w:type="spellStart"/>
      <w:r>
        <w:t>בוולוז׳ין</w:t>
      </w:r>
      <w:proofErr w:type="spellEnd"/>
      <w:r>
        <w:t xml:space="preserve"> כמה בחורים מתחמקים משיעורי ר׳ חיים </w:t>
      </w:r>
      <w:proofErr w:type="spellStart"/>
      <w:r>
        <w:t>סולובייצ׳יק</w:t>
      </w:r>
      <w:proofErr w:type="spellEnd"/>
      <w:r>
        <w:t xml:space="preserve"> – ר׳ ראובן </w:t>
      </w:r>
      <w:proofErr w:type="spellStart"/>
      <w:r>
        <w:t>בנגיס</w:t>
      </w:r>
      <w:proofErr w:type="spellEnd"/>
      <w:r>
        <w:t xml:space="preserve"> נמנע מר׳ חיים – הנסיבות מאלצות את ר׳ שמעון </w:t>
      </w:r>
      <w:proofErr w:type="spellStart"/>
      <w:r>
        <w:t>שקופ</w:t>
      </w:r>
      <w:proofErr w:type="spellEnd"/>
      <w:r>
        <w:t xml:space="preserve"> להשתתף בשיעור והוא נהנה ממנו – בתקופה מסוימת יכולים התלמידים להיעדר מן השיעורים כרצונם</w:t>
      </w:r>
    </w:p>
    <w:p w14:paraId="602E399A" w14:textId="77777777" w:rsidR="00AB3647" w:rsidRDefault="00000000" w:rsidP="007923E9">
      <w:pPr>
        <w:spacing w:after="120" w:line="276" w:lineRule="auto"/>
        <w:ind w:firstLine="283"/>
        <w:jc w:val="both"/>
      </w:pPr>
      <w:r>
        <w:rPr>
          <w:rtl/>
        </w:rPr>
        <w:t xml:space="preserve">כאמור בפסקה הקודמת, גם בישיבת </w:t>
      </w:r>
      <w:proofErr w:type="spellStart"/>
      <w:r>
        <w:rPr>
          <w:rtl/>
        </w:rPr>
        <w:t>וולוז׳ין</w:t>
      </w:r>
      <w:proofErr w:type="spellEnd"/>
      <w:r>
        <w:rPr>
          <w:rtl/>
        </w:rPr>
        <w:t xml:space="preserve"> היו בחורים בורחים משיעורי ראשי הישיבה שלהם: התלמידים הצעירים נמנעו מראש הישיבה המבוגר, </w:t>
      </w:r>
      <w:proofErr w:type="spellStart"/>
      <w:r>
        <w:rPr>
          <w:rtl/>
        </w:rPr>
        <w:t>הנצי״ב</w:t>
      </w:r>
      <w:proofErr w:type="spellEnd"/>
      <w:r>
        <w:rPr>
          <w:rtl/>
        </w:rPr>
        <w:t xml:space="preserve">, והמבוגרים נמנעו מעוזרו הצעיר, ר׳ חיים </w:t>
      </w:r>
      <w:proofErr w:type="spellStart"/>
      <w:r>
        <w:rPr>
          <w:rtl/>
        </w:rPr>
        <w:t>סולובייצ׳יק</w:t>
      </w:r>
      <w:proofErr w:type="spellEnd"/>
      <w:r>
        <w:rPr>
          <w:rtl/>
        </w:rPr>
        <w:t>. ר׳ שלמה פישר</w:t>
      </w:r>
      <w:bookmarkStart w:id="3827" w:name="_fnr2890"/>
      <w:r>
        <w:rPr>
          <w:rStyle w:val="a5"/>
        </w:rPr>
        <w:footnoteReference w:id="2898" w:customMarkFollows="0"/>
      </w:r>
      <w:bookmarkEnd w:id="3827"/>
      <w:r>
        <w:rPr>
          <w:rtl/>
        </w:rPr>
        <w:t xml:space="preserve"> שמע זאת מר׳ ראובן </w:t>
      </w:r>
      <w:proofErr w:type="spellStart"/>
      <w:r>
        <w:rPr>
          <w:rtl/>
        </w:rPr>
        <w:t>בנגיס</w:t>
      </w:r>
      <w:proofErr w:type="spellEnd"/>
      <w:r>
        <w:rPr>
          <w:rtl/>
        </w:rPr>
        <w:t xml:space="preserve">. ר׳ ראובן היה “הבחור המבוגר” שהוטל עליו ללמוד עם ר׳ </w:t>
      </w:r>
      <w:proofErr w:type="spellStart"/>
      <w:r>
        <w:rPr>
          <w:rtl/>
        </w:rPr>
        <w:t>איסר־זלמן</w:t>
      </w:r>
      <w:proofErr w:type="spellEnd"/>
      <w:r>
        <w:rPr>
          <w:rtl/>
        </w:rPr>
        <w:t xml:space="preserve"> מלצר, הצעיר ממנו בשש שנים, כשהגיע ר׳ </w:t>
      </w:r>
      <w:proofErr w:type="spellStart"/>
      <w:r>
        <w:rPr>
          <w:rtl/>
        </w:rPr>
        <w:t>איסר־זלמן</w:t>
      </w:r>
      <w:proofErr w:type="spellEnd"/>
      <w:r>
        <w:rPr>
          <w:rtl/>
        </w:rPr>
        <w:t xml:space="preserve"> </w:t>
      </w:r>
      <w:proofErr w:type="spellStart"/>
      <w:r>
        <w:rPr>
          <w:rtl/>
        </w:rPr>
        <w:t>לוולוז׳ין</w:t>
      </w:r>
      <w:proofErr w:type="spellEnd"/>
      <w:r>
        <w:rPr>
          <w:rtl/>
        </w:rPr>
        <w:t xml:space="preserve"> בן </w:t>
      </w:r>
      <w:proofErr w:type="spellStart"/>
      <w:r>
        <w:rPr>
          <w:rtl/>
        </w:rPr>
        <w:t>שלוש־עשרה</w:t>
      </w:r>
      <w:proofErr w:type="spellEnd"/>
      <w:r>
        <w:rPr>
          <w:rtl/>
        </w:rPr>
        <w:t>. לפי “אהבת חסדיך”</w:t>
      </w:r>
      <w:bookmarkStart w:id="3828" w:name="_fnr2891"/>
      <w:r>
        <w:rPr>
          <w:rStyle w:val="a5"/>
        </w:rPr>
        <w:footnoteReference w:id="2899" w:customMarkFollows="0"/>
      </w:r>
      <w:bookmarkEnd w:id="3828"/>
      <w:r>
        <w:rPr>
          <w:rtl/>
        </w:rPr>
        <w:t xml:space="preserve">, ר׳ חיים הוא שקבע את </w:t>
      </w:r>
      <w:proofErr w:type="spellStart"/>
      <w:r>
        <w:rPr>
          <w:rtl/>
        </w:rPr>
        <w:t>החברותות</w:t>
      </w:r>
      <w:proofErr w:type="spellEnd"/>
      <w:r>
        <w:rPr>
          <w:rtl/>
        </w:rPr>
        <w:t xml:space="preserve"> </w:t>
      </w:r>
      <w:proofErr w:type="spellStart"/>
      <w:r>
        <w:rPr>
          <w:rtl/>
        </w:rPr>
        <w:t>בוולוז׳ין</w:t>
      </w:r>
      <w:proofErr w:type="spellEnd"/>
      <w:r>
        <w:rPr>
          <w:rtl/>
        </w:rPr>
        <w:t xml:space="preserve"> בכלל, ואת זו בפרט.</w:t>
      </w:r>
    </w:p>
    <w:p w14:paraId="6864AEAD" w14:textId="4A4D5513" w:rsidR="00AB3647" w:rsidRDefault="00000000" w:rsidP="007923E9">
      <w:pPr>
        <w:spacing w:after="120" w:line="276" w:lineRule="auto"/>
        <w:ind w:firstLine="283"/>
        <w:jc w:val="both"/>
      </w:pPr>
      <w:r>
        <w:rPr>
          <w:rtl/>
        </w:rPr>
        <w:t xml:space="preserve">עם זאת נראה שגם כמה מן הבחורים “הצעירים” נמנעו משיעורו של ר׳ חיים, שכן ר׳ </w:t>
      </w:r>
      <w:proofErr w:type="spellStart"/>
      <w:r>
        <w:rPr>
          <w:rtl/>
        </w:rPr>
        <w:t>משה־מרדכי</w:t>
      </w:r>
      <w:proofErr w:type="spellEnd"/>
      <w:r>
        <w:rPr>
          <w:rtl/>
        </w:rPr>
        <w:t xml:space="preserve"> אפשטיין היה רק בן </w:t>
      </w:r>
      <w:proofErr w:type="spellStart"/>
      <w:r>
        <w:rPr>
          <w:rtl/>
        </w:rPr>
        <w:t>שש־עשרה</w:t>
      </w:r>
      <w:proofErr w:type="spellEnd"/>
      <w:r>
        <w:rPr>
          <w:rtl/>
        </w:rPr>
        <w:t xml:space="preserve"> כשבא </w:t>
      </w:r>
      <w:proofErr w:type="spellStart"/>
      <w:r>
        <w:rPr>
          <w:rtl/>
        </w:rPr>
        <w:t>לוולוז׳ין</w:t>
      </w:r>
      <w:proofErr w:type="spellEnd"/>
      <w:r>
        <w:rPr>
          <w:rtl/>
        </w:rPr>
        <w:t xml:space="preserve">, וגם הוא ברח משיעור זה, כמסופר לעיל. ייתכן שהתמדתו המופלגת של ר׳ </w:t>
      </w:r>
      <w:proofErr w:type="spellStart"/>
      <w:r>
        <w:rPr>
          <w:rtl/>
        </w:rPr>
        <w:t>משה־מרדכי</w:t>
      </w:r>
      <w:proofErr w:type="spellEnd"/>
      <w:r>
        <w:rPr>
          <w:rtl/>
        </w:rPr>
        <w:t xml:space="preserve"> (ראה תחילת נספח י והערה </w:t>
      </w:r>
      <w:r>
        <w:rPr>
          <w:rtl/>
        </w:rPr>
        <w:fldChar w:fldCharType="begin" w:dirty="true"/>
      </w:r>
      <w:r>
        <w:rPr>
          <w:rtl/>
        </w:rPr>
        <w:instrText xml:space="preserve"> REF b3_note119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119</w:t>
      </w:r>
      <w:r>
        <w:rPr>
          <w:rtl/>
        </w:rPr>
        <w:fldChar w:fldCharType="end"/>
      </w:r>
      <w:r>
        <w:rPr>
          <w:rtl/>
        </w:rPr>
        <w:t xml:space="preserve"> לעיל) הניעה אותו ללמוד בכוחות עצמו במקום להקשיב לשיעורו של מישהו.</w:t>
      </w:r>
    </w:p>
    <w:p w14:paraId="798E1E2D" w14:textId="77777777" w:rsidR="00AB3647" w:rsidRDefault="00000000" w:rsidP="007923E9">
      <w:pPr>
        <w:spacing w:after="120" w:line="276" w:lineRule="auto"/>
        <w:ind w:firstLine="283"/>
        <w:jc w:val="both"/>
      </w:pPr>
      <w:r>
        <w:rPr>
          <w:rtl/>
        </w:rPr>
        <w:lastRenderedPageBreak/>
        <w:t xml:space="preserve">ר׳ ראובן </w:t>
      </w:r>
      <w:proofErr w:type="spellStart"/>
      <w:r>
        <w:rPr>
          <w:rtl/>
        </w:rPr>
        <w:t>בנגיס</w:t>
      </w:r>
      <w:proofErr w:type="spellEnd"/>
      <w:r>
        <w:rPr>
          <w:rtl/>
        </w:rPr>
        <w:t xml:space="preserve"> סיפר לרב פישר גם שר׳ חיים </w:t>
      </w:r>
      <w:proofErr w:type="spellStart"/>
      <w:r>
        <w:rPr>
          <w:rtl/>
        </w:rPr>
        <w:t>סולובייצ׳יק</w:t>
      </w:r>
      <w:proofErr w:type="spellEnd"/>
      <w:r>
        <w:rPr>
          <w:rtl/>
        </w:rPr>
        <w:t xml:space="preserve"> היה מבלה כמעט את כל היום </w:t>
      </w:r>
      <w:proofErr w:type="spellStart"/>
      <w:r>
        <w:rPr>
          <w:rtl/>
        </w:rPr>
        <w:t>ב“דיבור</w:t>
      </w:r>
      <w:proofErr w:type="spellEnd"/>
      <w:r>
        <w:rPr>
          <w:rtl/>
        </w:rPr>
        <w:t xml:space="preserve"> בלימוד” עם הבחורים</w:t>
      </w:r>
      <w:bookmarkStart w:id="3829" w:name="_fnr2892"/>
      <w:r>
        <w:rPr>
          <w:rStyle w:val="a5"/>
        </w:rPr>
        <w:footnoteReference w:id="2900" w:customMarkFollows="0"/>
      </w:r>
      <w:bookmarkEnd w:id="3829"/>
      <w:r>
        <w:rPr>
          <w:rtl/>
        </w:rPr>
        <w:t xml:space="preserve">, ושהוא עצמו, </w:t>
      </w:r>
      <w:proofErr w:type="spellStart"/>
      <w:r>
        <w:rPr>
          <w:rtl/>
        </w:rPr>
        <w:t>בנגיס</w:t>
      </w:r>
      <w:proofErr w:type="spellEnd"/>
      <w:r>
        <w:rPr>
          <w:rtl/>
        </w:rPr>
        <w:t>, היה בא בכוונה לבית המדרש סמוך לחצות הלילה, אחרי שר׳ חיים הלך לביתו, כדי שלא ייתפס על ידו.</w:t>
      </w:r>
    </w:p>
    <w:p w14:paraId="5C28A3CD" w14:textId="77777777" w:rsidR="00AB3647" w:rsidRDefault="00000000" w:rsidP="007923E9">
      <w:pPr>
        <w:spacing w:after="120" w:line="276" w:lineRule="auto"/>
        <w:ind w:firstLine="283"/>
        <w:jc w:val="both"/>
      </w:pPr>
      <w:r>
        <w:rPr>
          <w:rtl/>
        </w:rPr>
        <w:t xml:space="preserve">עם זאת, ר׳ ראובן </w:t>
      </w:r>
      <w:proofErr w:type="spellStart"/>
      <w:r>
        <w:rPr>
          <w:rtl/>
        </w:rPr>
        <w:t>בנגיס</w:t>
      </w:r>
      <w:proofErr w:type="spellEnd"/>
      <w:r>
        <w:rPr>
          <w:rtl/>
        </w:rPr>
        <w:t xml:space="preserve"> ראה בר׳ חיים מורה שהשפיע השפעה מכרעת על דרכו. השווה “ספר פניני רבנו </w:t>
      </w:r>
      <w:proofErr w:type="spellStart"/>
      <w:r>
        <w:rPr>
          <w:rtl/>
        </w:rPr>
        <w:t>הגרי״ז</w:t>
      </w:r>
      <w:proofErr w:type="spellEnd"/>
      <w:r>
        <w:rPr>
          <w:rtl/>
        </w:rPr>
        <w:t xml:space="preserve"> </w:t>
      </w:r>
      <w:proofErr w:type="spellStart"/>
      <w:r>
        <w:rPr>
          <w:rtl/>
        </w:rPr>
        <w:t>הגאב״ד</w:t>
      </w:r>
      <w:proofErr w:type="spellEnd"/>
      <w:r>
        <w:rPr>
          <w:rtl/>
        </w:rPr>
        <w:t xml:space="preserve"> </w:t>
      </w:r>
      <w:proofErr w:type="spellStart"/>
      <w:r>
        <w:rPr>
          <w:rtl/>
        </w:rPr>
        <w:t>מבריסק</w:t>
      </w:r>
      <w:proofErr w:type="spellEnd"/>
      <w:r>
        <w:rPr>
          <w:rtl/>
        </w:rPr>
        <w:t xml:space="preserve">”, מאת משה מרדכי הלוי </w:t>
      </w:r>
      <w:proofErr w:type="spellStart"/>
      <w:r>
        <w:rPr>
          <w:rtl/>
        </w:rPr>
        <w:t>שולזינגר</w:t>
      </w:r>
      <w:bookmarkStart w:id="3830" w:name="_fnr2893"/>
      <w:proofErr w:type="spellEnd"/>
      <w:r>
        <w:rPr>
          <w:rStyle w:val="a5"/>
        </w:rPr>
        <w:footnoteReference w:id="2901" w:customMarkFollows="0"/>
      </w:r>
      <w:bookmarkEnd w:id="3830"/>
      <w:r>
        <w:rPr>
          <w:rtl/>
        </w:rPr>
        <w:t xml:space="preserve">, המביא בשם ר׳ ראובן </w:t>
      </w:r>
      <w:proofErr w:type="spellStart"/>
      <w:r>
        <w:rPr>
          <w:rtl/>
        </w:rPr>
        <w:t>בנגיס</w:t>
      </w:r>
      <w:proofErr w:type="spellEnd"/>
      <w:r>
        <w:rPr>
          <w:rtl/>
        </w:rPr>
        <w:t xml:space="preserve">: “באתי </w:t>
      </w:r>
      <w:proofErr w:type="spellStart"/>
      <w:r>
        <w:rPr>
          <w:rtl/>
        </w:rPr>
        <w:t>לוולוז׳ין</w:t>
      </w:r>
      <w:proofErr w:type="spellEnd"/>
      <w:r>
        <w:rPr>
          <w:rtl/>
        </w:rPr>
        <w:t xml:space="preserve"> סמוך לגיל בר מצווה. עד אז כבר למדתי 300[!] ספרים, ישרים ועקומים, וכשבאתי </w:t>
      </w:r>
      <w:proofErr w:type="spellStart"/>
      <w:r>
        <w:rPr>
          <w:rtl/>
        </w:rPr>
        <w:t>לר</w:t>
      </w:r>
      <w:proofErr w:type="spellEnd"/>
      <w:r>
        <w:rPr>
          <w:rtl/>
        </w:rPr>
        <w:t xml:space="preserve">׳ חיים הוא ‘יישר אותי’ מעט”. כשהחל ר׳ חיים למסור שיעורים </w:t>
      </w:r>
      <w:proofErr w:type="spellStart"/>
      <w:r>
        <w:rPr>
          <w:rtl/>
        </w:rPr>
        <w:t>בוולוז׳ין</w:t>
      </w:r>
      <w:proofErr w:type="spellEnd"/>
      <w:r>
        <w:rPr>
          <w:rtl/>
        </w:rPr>
        <w:t xml:space="preserve">, כבר היה ר׳ ראובן </w:t>
      </w:r>
      <w:proofErr w:type="spellStart"/>
      <w:r>
        <w:rPr>
          <w:rtl/>
        </w:rPr>
        <w:t>בנגיס</w:t>
      </w:r>
      <w:proofErr w:type="spellEnd"/>
      <w:r>
        <w:rPr>
          <w:rtl/>
        </w:rPr>
        <w:t xml:space="preserve"> בן </w:t>
      </w:r>
      <w:proofErr w:type="spellStart"/>
      <w:r>
        <w:rPr>
          <w:rtl/>
        </w:rPr>
        <w:t>שבע־עשרה</w:t>
      </w:r>
      <w:proofErr w:type="spellEnd"/>
      <w:r>
        <w:rPr>
          <w:rtl/>
        </w:rPr>
        <w:t>.</w:t>
      </w:r>
    </w:p>
    <w:p w14:paraId="1E20C844" w14:textId="77777777" w:rsidR="00AB3647" w:rsidRDefault="00000000" w:rsidP="007923E9">
      <w:pPr>
        <w:spacing w:after="120" w:line="276" w:lineRule="auto"/>
        <w:ind w:firstLine="283"/>
        <w:jc w:val="both"/>
      </w:pPr>
      <w:r>
        <w:rPr>
          <w:rtl/>
        </w:rPr>
        <w:t xml:space="preserve">ר׳ שמעון </w:t>
      </w:r>
      <w:proofErr w:type="spellStart"/>
      <w:r>
        <w:rPr>
          <w:rtl/>
        </w:rPr>
        <w:t>שקופ</w:t>
      </w:r>
      <w:proofErr w:type="spellEnd"/>
      <w:r>
        <w:rPr>
          <w:rtl/>
        </w:rPr>
        <w:t xml:space="preserve">, הצעיר מר׳ חיים </w:t>
      </w:r>
      <w:proofErr w:type="spellStart"/>
      <w:r>
        <w:rPr>
          <w:rtl/>
        </w:rPr>
        <w:t>סולובייצ׳יק</w:t>
      </w:r>
      <w:proofErr w:type="spellEnd"/>
      <w:r>
        <w:rPr>
          <w:rtl/>
        </w:rPr>
        <w:t xml:space="preserve"> בשבע שנים בלבד, היה בורח משיעוריו ברגע האחרון האפשרי, כדי לחטוף עוד מעט תורה בבית המדרש. כך נמשך הדבר עד שבעיה מעשית הפריעה. ר׳ שמעון בא ממשפחה ענייה, וכשהתנתקה הסוליה של נעלו, לא היה בידו לשלם על תיקונה. הוא קשר את הסוליה לחלקה העליון של הנעל בחוט</w:t>
      </w:r>
      <w:bookmarkStart w:id="3831" w:name="_fnr2894"/>
      <w:r>
        <w:rPr>
          <w:rStyle w:val="a5"/>
        </w:rPr>
        <w:footnoteReference w:id="2902" w:customMarkFollows="0"/>
      </w:r>
      <w:bookmarkEnd w:id="3831"/>
      <w:r>
        <w:rPr>
          <w:rtl/>
        </w:rPr>
        <w:t xml:space="preserve">, והדבר מנע ממנו לרוץ. מכיוון שלא העלה על דעתו לפגוע בר׳ חיים בכך שייצא </w:t>
      </w:r>
      <w:r>
        <w:rPr>
          <w:b/>
          <w:bCs/>
          <w:rtl/>
        </w:rPr>
        <w:t>בהליכה</w:t>
      </w:r>
      <w:r>
        <w:rPr>
          <w:rtl/>
        </w:rPr>
        <w:t xml:space="preserve"> בנוכחותו, נשאר לשיעור. באותו יום מצא השיעור חן בעיניו, והוא ניסה עוד אחד... ואחריו עוד אחד ועוד אחד.</w:t>
      </w:r>
    </w:p>
    <w:p w14:paraId="6AAF958B" w14:textId="13C59FE2" w:rsidR="00AB3647" w:rsidRDefault="00000000" w:rsidP="007923E9">
      <w:pPr>
        <w:spacing w:after="120" w:line="276" w:lineRule="auto"/>
        <w:ind w:firstLine="283"/>
        <w:jc w:val="both"/>
      </w:pPr>
      <w:r>
        <w:rPr>
          <w:rtl/>
        </w:rPr>
        <w:t xml:space="preserve">הדבר אירע כחצי שנה לפני שעזב ר׳ שמעון את </w:t>
      </w:r>
      <w:proofErr w:type="spellStart"/>
      <w:r>
        <w:rPr>
          <w:rtl/>
        </w:rPr>
        <w:t>וולוז׳ין</w:t>
      </w:r>
      <w:proofErr w:type="spellEnd"/>
      <w:r>
        <w:rPr>
          <w:rtl/>
        </w:rPr>
        <w:t xml:space="preserve">, ואחר כך אמר שהוא מצטער שלא ניצל את נוכחותו של ר׳ חיים </w:t>
      </w:r>
      <w:proofErr w:type="spellStart"/>
      <w:r>
        <w:rPr>
          <w:rtl/>
        </w:rPr>
        <w:t>בוולוז׳ין</w:t>
      </w:r>
      <w:proofErr w:type="spellEnd"/>
      <w:r>
        <w:rPr>
          <w:rtl/>
        </w:rPr>
        <w:t xml:space="preserve"> בשנים הקודמות</w:t>
      </w:r>
      <w:bookmarkStart w:id="3832" w:name="_fnr2895"/>
      <w:r>
        <w:rPr>
          <w:rStyle w:val="a5"/>
        </w:rPr>
        <w:footnoteReference w:id="2903" w:customMarkFollows="0"/>
      </w:r>
      <w:bookmarkEnd w:id="3832"/>
      <w:r>
        <w:rPr>
          <w:rtl/>
        </w:rPr>
        <w:t>. השווה גם פרק 4, הפסקה הרביעית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שמאז שהחל ר׳ שמעון להעריך את דרך לימודו הייחודית של ר׳ חיים, “דיבר בלימוד” עמו ללא הרף. לדברי ר׳ זליג אפשטיין, שנשא את נכדת ר׳ שמעון, מסורת המשפחה היא שר׳ שמעון לא ראה בעצמו תלמיד של ר׳ חיים אלא </w:t>
      </w:r>
      <w:proofErr w:type="spellStart"/>
      <w:r>
        <w:rPr>
          <w:rtl/>
        </w:rPr>
        <w:t>תלמיד־חבר</w:t>
      </w:r>
      <w:proofErr w:type="spellEnd"/>
      <w:r>
        <w:rPr>
          <w:rtl/>
        </w:rPr>
        <w:t>.</w:t>
      </w:r>
    </w:p>
    <w:p w14:paraId="6D08E237" w14:textId="77777777" w:rsidR="00AB3647" w:rsidRDefault="00000000" w:rsidP="007923E9">
      <w:pPr>
        <w:spacing w:after="120" w:line="276" w:lineRule="auto"/>
        <w:ind w:firstLine="283"/>
        <w:jc w:val="both"/>
      </w:pPr>
      <w:r>
        <w:rPr>
          <w:rtl/>
        </w:rPr>
        <w:t xml:space="preserve">השווה גם “עלי </w:t>
      </w:r>
      <w:proofErr w:type="spellStart"/>
      <w:r>
        <w:rPr>
          <w:rtl/>
        </w:rPr>
        <w:t>חלדי</w:t>
      </w:r>
      <w:proofErr w:type="spellEnd"/>
      <w:r>
        <w:rPr>
          <w:rtl/>
        </w:rPr>
        <w:t>”</w:t>
      </w:r>
      <w:bookmarkStart w:id="3833" w:name="_fnr2896"/>
      <w:r>
        <w:rPr>
          <w:rStyle w:val="a5"/>
        </w:rPr>
        <w:footnoteReference w:id="2904" w:customMarkFollows="0"/>
      </w:r>
      <w:bookmarkEnd w:id="3833"/>
      <w:r>
        <w:rPr>
          <w:rtl/>
        </w:rPr>
        <w:t xml:space="preserve">. לכאורה משתמע ממנו, בניגוד למעשה בסולייתו הקרועה של ר׳ שמעון, שהתלמידים לא היו צריכים להיעדר מן השיעורים בהיחבא. אבל ייתכן שזה היה המצב רק מאמצע שנות </w:t>
      </w:r>
      <w:proofErr w:type="spellStart"/>
      <w:r>
        <w:rPr>
          <w:rtl/>
        </w:rPr>
        <w:t xml:space="preserve">התר״מ</w:t>
      </w:r>
      <w:proofErr w:type="spellEnd"/>
      <w:r>
        <w:rPr>
          <w:rtl/>
        </w:rPr>
        <w:t xml:space="preserve">, כשלמד </w:t>
      </w:r>
      <w:proofErr w:type="spellStart"/>
      <w:r>
        <w:rPr>
          <w:rtl/>
        </w:rPr>
        <w:t>בוולוז׳ין</w:t>
      </w:r>
      <w:proofErr w:type="spellEnd"/>
      <w:r>
        <w:rPr>
          <w:rtl/>
        </w:rPr>
        <w:t xml:space="preserve"> מחבר זיכרונות אלה, ר׳ יצחק </w:t>
      </w:r>
      <w:proofErr w:type="spellStart"/>
      <w:r>
        <w:rPr>
          <w:rtl/>
        </w:rPr>
        <w:t>ניסנבוים</w:t>
      </w:r>
      <w:proofErr w:type="spellEnd"/>
      <w:r>
        <w:rPr>
          <w:rtl/>
        </w:rPr>
        <w:t>.</w:t>
      </w:r>
    </w:p>
    <w:p w14:paraId="08DB4754" w14:textId="77777777" w:rsidR="00AB3647" w:rsidRDefault="00000000" w:rsidP="007923E9">
      <w:pPr>
        <w:spacing w:after="120" w:line="276" w:lineRule="auto"/>
        <w:ind w:firstLine="283"/>
        <w:jc w:val="both"/>
      </w:pPr>
      <w:r>
        <w:rPr>
          <w:rtl/>
        </w:rPr>
        <w:t xml:space="preserve">“עלי </w:t>
      </w:r>
      <w:proofErr w:type="spellStart"/>
      <w:r>
        <w:rPr>
          <w:rtl/>
        </w:rPr>
        <w:t>חלדי</w:t>
      </w:r>
      <w:proofErr w:type="spellEnd"/>
      <w:r>
        <w:rPr>
          <w:rtl/>
        </w:rPr>
        <w:t xml:space="preserve">” אומר: “שמיעת השיעורים לא הייתה חובה על התלמידים. </w:t>
      </w:r>
      <w:proofErr w:type="spellStart"/>
      <w:r>
        <w:rPr>
          <w:rtl/>
        </w:rPr>
        <w:t>כשהנצי״ב</w:t>
      </w:r>
      <w:proofErr w:type="spellEnd"/>
      <w:r>
        <w:rPr>
          <w:rtl/>
        </w:rPr>
        <w:t xml:space="preserve"> או ר׳ חיים נכנסו למסור את השיעור – תמיד בשעה הראשונה שלאחר חצות היום – דפק מישהו על הגמרא שלו כדי להודיע שמוסר השיעור הגיע. אז מי שלא רצה לשמוע את השיעור יצא מן הישיבה והלך לאכול את ארוחת הצהריים שלו, ומי שרצה לשמוע מיהר אל השולחן שבו נמסר השיעור”.</w:t>
      </w:r>
    </w:p>
    <w:bookmarkStart w:id="3834" w:name="b3_excDD"/>
    <w:p w14:paraId="5F4C11FE" w14:textId="77777777" w:rsidR="00AB3647" w:rsidRDefault="00000000" w:rsidP="007923E9">
      <w:pPr>
        <w:pStyle w:val="3"/>
        <w:spacing w:line="276" w:lineRule="auto"/>
      </w:pPr>
      <w:r>
        <w:lastRenderedPageBreak/>
        <w:fldChar w:fldCharType="begin" w:dirty="true"/>
      </w:r>
      <w:r>
        <w:rPr>
          <w:rtl w:val="0"/>
        </w:rPr>
        <w:instrText>HYPERLINK \l "b3_note128</w:instrText>
      </w:r>
      <w:r>
        <w:instrText>"</w:instrText>
      </w:r>
      <w:r>
        <w:fldChar w:fldCharType="separate"/>
      </w:r>
      <w:r>
        <w:t>נספח ל</w:t>
      </w:r>
      <w:r>
        <w:fldChar w:fldCharType="end"/>
      </w:r>
      <w:bookmarkEnd w:id="3834"/>
    </w:p>
    <w:p w14:paraId="045B2B1F" w14:textId="77777777" w:rsidR="00AB3647" w:rsidRDefault="00000000" w:rsidP="007923E9">
      <w:pPr>
        <w:pStyle w:val="af"/>
        <w:spacing w:line="276" w:lineRule="auto"/>
      </w:pPr>
      <w:r>
        <w:t xml:space="preserve">כיצד ראו התלמידים את הסבא </w:t>
      </w:r>
      <w:proofErr w:type="spellStart"/>
      <w:r>
        <w:t>מסלבודקה</w:t>
      </w:r>
      <w:proofErr w:type="spellEnd"/>
      <w:r>
        <w:t xml:space="preserve">, ועל הדרכת תלמידים בידי ר׳ חיים </w:t>
      </w:r>
      <w:proofErr w:type="spellStart"/>
      <w:r>
        <w:t>סולובייצ׳יק</w:t>
      </w:r>
      <w:proofErr w:type="spellEnd"/>
      <w:r>
        <w:t xml:space="preserve"> </w:t>
      </w:r>
      <w:proofErr w:type="spellStart"/>
      <w:r>
        <w:t>בוולוז׳ין</w:t>
      </w:r>
      <w:proofErr w:type="spellEnd"/>
    </w:p>
    <w:p w14:paraId="389202AE" w14:textId="77777777" w:rsidR="00AB3647" w:rsidRDefault="00000000" w:rsidP="007923E9">
      <w:pPr>
        <w:pStyle w:val="4"/>
        <w:spacing w:line="276" w:lineRule="auto"/>
      </w:pPr>
      <w:r>
        <w:t>· הפסקה הראשונה ·</w:t>
      </w:r>
    </w:p>
    <w:p w14:paraId="547D8C73" w14:textId="77777777" w:rsidR="00AB3647" w:rsidRDefault="00000000" w:rsidP="007923E9">
      <w:pPr>
        <w:pStyle w:val="5"/>
        <w:spacing w:line="276" w:lineRule="auto"/>
      </w:pPr>
      <w:r>
        <w:t>ריבוי פניו של הסבא משתקף בתלמידיו</w:t>
      </w:r>
    </w:p>
    <w:p w14:paraId="6F81FD4D" w14:textId="77777777" w:rsidR="00AB3647" w:rsidRDefault="00000000" w:rsidP="007923E9">
      <w:pPr>
        <w:spacing w:after="120" w:line="276" w:lineRule="auto"/>
        <w:ind w:firstLine="283"/>
        <w:jc w:val="both"/>
      </w:pPr>
      <w:r>
        <w:rPr>
          <w:rtl/>
        </w:rPr>
        <w:t xml:space="preserve">ר׳ דוד </w:t>
      </w:r>
      <w:proofErr w:type="spellStart"/>
      <w:r>
        <w:rPr>
          <w:rtl/>
        </w:rPr>
        <w:t>קמינצקי</w:t>
      </w:r>
      <w:bookmarkStart w:id="3835" w:name="_fnr2897"/>
      <w:proofErr w:type="spellEnd"/>
      <w:r>
        <w:rPr>
          <w:rStyle w:val="a5"/>
        </w:rPr>
        <w:footnoteReference w:id="2905" w:customMarkFollows="0"/>
      </w:r>
      <w:bookmarkEnd w:id="3835"/>
      <w:r>
        <w:rPr>
          <w:rtl/>
        </w:rPr>
        <w:t xml:space="preserve">. מסתבר שהסבא העדיף דווקא את ר׳ </w:t>
      </w:r>
      <w:proofErr w:type="spellStart"/>
      <w:r>
        <w:rPr>
          <w:rtl/>
        </w:rPr>
        <w:t>משה־מרדכי</w:t>
      </w:r>
      <w:proofErr w:type="spellEnd"/>
      <w:r>
        <w:rPr>
          <w:rtl/>
        </w:rPr>
        <w:t xml:space="preserve"> כראש ישיבת כנסת ישראל, מפני שכך יכול היה להחיל על התלמידים את שיטתו החינוכית, שעודדה אותם להתפתח בדרכים שונות, איש לפי כישרונותיו המיוחדים. יתר על כן, כל תלמיד ראה את עצמו מתפתח בדמותו של הסבא עצמו!</w:t>
      </w:r>
    </w:p>
    <w:p w14:paraId="68DF77E5" w14:textId="77777777" w:rsidR="00AB3647" w:rsidRDefault="00000000" w:rsidP="007923E9">
      <w:pPr>
        <w:spacing w:after="120" w:line="276" w:lineRule="auto"/>
        <w:ind w:firstLine="283"/>
        <w:jc w:val="both"/>
      </w:pPr>
      <w:r>
        <w:rPr>
          <w:rtl/>
        </w:rPr>
        <w:t xml:space="preserve">אבי הסביר זאת </w:t>
      </w:r>
      <w:proofErr w:type="spellStart"/>
      <w:r>
        <w:rPr>
          <w:rtl/>
        </w:rPr>
        <w:t>לר</w:t>
      </w:r>
      <w:proofErr w:type="spellEnd"/>
      <w:r>
        <w:rPr>
          <w:rtl/>
        </w:rPr>
        <w:t xml:space="preserve">׳ ישעיה </w:t>
      </w:r>
      <w:proofErr w:type="spellStart"/>
      <w:r>
        <w:rPr>
          <w:rtl/>
        </w:rPr>
        <w:t>פורטנוי</w:t>
      </w:r>
      <w:proofErr w:type="spellEnd"/>
      <w:r>
        <w:rPr>
          <w:rtl/>
        </w:rPr>
        <w:t>, כשבא עם איש צוות נוסף מישיבת קול תורה לשאול לדעתו על העסקתו של משגיח מסוים בישיבתם</w:t>
      </w:r>
      <w:bookmarkStart w:id="3836" w:name="_fnr2898"/>
      <w:r>
        <w:rPr>
          <w:rStyle w:val="a5"/>
        </w:rPr>
        <w:footnoteReference w:id="2906" w:customMarkFollows="0"/>
      </w:r>
      <w:bookmarkEnd w:id="3836"/>
      <w:r>
        <w:rPr>
          <w:rtl/>
        </w:rPr>
        <w:t xml:space="preserve">. לפני שנתן את עצתו תיאר אבי את כוחו של הסבא בחינוך תלמידים, ואמר: “לסבא היו חמישה תלמידים, וכל אחד היה שונה מחברו: ר׳ אהרן קוטלר – כולו תורה; ר׳ מאיר חדש – כולו מוסר; ר׳ </w:t>
      </w:r>
      <w:proofErr w:type="spellStart"/>
      <w:r>
        <w:rPr>
          <w:rtl/>
        </w:rPr>
        <w:t>חצקל</w:t>
      </w:r>
      <w:proofErr w:type="spellEnd"/>
      <w:r>
        <w:rPr>
          <w:rtl/>
        </w:rPr>
        <w:t xml:space="preserve"> </w:t>
      </w:r>
      <w:proofErr w:type="spellStart"/>
      <w:r>
        <w:rPr>
          <w:rtl/>
        </w:rPr>
        <w:t>סרנא</w:t>
      </w:r>
      <w:proofErr w:type="spellEnd"/>
      <w:r>
        <w:rPr>
          <w:rtl/>
        </w:rPr>
        <w:t xml:space="preserve"> – חריפות, המשלבת תורה ומחשבה; ר׳ יצחק </w:t>
      </w:r>
      <w:proofErr w:type="spellStart"/>
      <w:r>
        <w:rPr>
          <w:rtl/>
        </w:rPr>
        <w:t>הוטנר</w:t>
      </w:r>
      <w:proofErr w:type="spellEnd"/>
      <w:r>
        <w:rPr>
          <w:rtl/>
        </w:rPr>
        <w:t xml:space="preserve"> – מאמרים </w:t>
      </w:r>
      <w:proofErr w:type="spellStart"/>
      <w:r>
        <w:rPr>
          <w:rtl/>
        </w:rPr>
        <w:t>וענינים</w:t>
      </w:r>
      <w:proofErr w:type="spellEnd"/>
      <w:r>
        <w:rPr>
          <w:rtl/>
        </w:rPr>
        <w:t xml:space="preserve">; אני – </w:t>
      </w:r>
      <w:proofErr w:type="spellStart"/>
      <w:r>
        <w:rPr>
          <w:rtl/>
        </w:rPr>
        <w:t>פארקראכען</w:t>
      </w:r>
      <w:proofErr w:type="spellEnd"/>
      <w:r>
        <w:rPr>
          <w:rtl/>
        </w:rPr>
        <w:t xml:space="preserve"> [תעיתי] לעניינים צדדיים, [כגון] דקדוק והיסטוריה. וכל אחד יאמר לך שאת התחום שבחר הוא מייחס לסבא, וממנו לקח אותו. אילו היו לאב חמישה ילדים, אחד </w:t>
      </w:r>
      <w:proofErr w:type="spellStart"/>
      <w:r>
        <w:rPr>
          <w:rtl/>
        </w:rPr>
        <w:t>סאטמרי</w:t>
      </w:r>
      <w:proofErr w:type="spellEnd"/>
      <w:r>
        <w:rPr>
          <w:rtl/>
        </w:rPr>
        <w:t xml:space="preserve">, אחד ליטאי, אחד איש המזרחי, אחד חסיד גור </w:t>
      </w:r>
      <w:proofErr w:type="spellStart"/>
      <w:r>
        <w:rPr>
          <w:rtl/>
        </w:rPr>
        <w:t>וכו</w:t>
      </w:r>
      <w:proofErr w:type="spellEnd"/>
      <w:r>
        <w:rPr>
          <w:rtl/>
        </w:rPr>
        <w:t>׳, היית אומר שאין לאב חוט השדרה הדרוש לחינוך ילדיו; אבל אצל הסבא היה הדבר שונה. כל תלמיד התבונן בפן אחר של הסבא. אחד ראה אותו ‘</w:t>
      </w:r>
      <w:proofErr w:type="spellStart"/>
      <w:r>
        <w:rPr>
          <w:rtl/>
        </w:rPr>
        <w:t>מלאחריו</w:t>
      </w:r>
      <w:proofErr w:type="spellEnd"/>
      <w:r>
        <w:rPr>
          <w:rtl/>
        </w:rPr>
        <w:t>’</w:t>
      </w:r>
      <w:bookmarkStart w:id="3837" w:name="_fnr2899"/>
      <w:r>
        <w:rPr>
          <w:rStyle w:val="a5"/>
        </w:rPr>
        <w:footnoteReference w:id="2907" w:customMarkFollows="0"/>
      </w:r>
      <w:bookmarkEnd w:id="3837"/>
      <w:r>
        <w:rPr>
          <w:rtl/>
        </w:rPr>
        <w:t>, אחר ראה אותו ‘מלפניו’</w:t>
      </w:r>
      <w:bookmarkStart w:id="3838" w:name="_fnr2900"/>
      <w:r>
        <w:rPr>
          <w:rStyle w:val="a5"/>
        </w:rPr>
        <w:footnoteReference w:id="2908" w:customMarkFollows="0"/>
      </w:r>
      <w:bookmarkEnd w:id="3838"/>
      <w:r>
        <w:rPr>
          <w:rtl/>
        </w:rPr>
        <w:t xml:space="preserve">, ואחר ראה אותו מן הצד הימני </w:t>
      </w:r>
      <w:proofErr w:type="spellStart"/>
      <w:r>
        <w:rPr>
          <w:rtl/>
        </w:rPr>
        <w:t>וכו</w:t>
      </w:r>
      <w:proofErr w:type="spellEnd"/>
      <w:r>
        <w:rPr>
          <w:rtl/>
        </w:rPr>
        <w:t>׳.” לעניין שאלתם של ר׳ ישעיה ועמיתו הסיק רבנו שאישיותו של המועמד צרה מכדי להתאים לתפקיד.</w:t>
      </w:r>
    </w:p>
    <w:p w14:paraId="60076F05" w14:textId="77777777" w:rsidR="00AB3647" w:rsidRDefault="00000000" w:rsidP="007923E9">
      <w:pPr>
        <w:pStyle w:val="4"/>
        <w:spacing w:line="276" w:lineRule="auto"/>
      </w:pPr>
      <w:r>
        <w:t>· הפסקה השנייה ·</w:t>
      </w:r>
    </w:p>
    <w:p w14:paraId="183B0310" w14:textId="77777777" w:rsidR="00AB3647" w:rsidRDefault="00000000" w:rsidP="007923E9">
      <w:pPr>
        <w:pStyle w:val="5"/>
        <w:spacing w:line="276" w:lineRule="auto"/>
      </w:pPr>
      <w:r>
        <w:t xml:space="preserve">רבנו מציע שר׳ </w:t>
      </w:r>
      <w:proofErr w:type="spellStart"/>
      <w:r>
        <w:t>ברוך־בער</w:t>
      </w:r>
      <w:proofErr w:type="spellEnd"/>
      <w:r>
        <w:t xml:space="preserve"> יכול היה להיות גדול מכפי שהיה – ר׳ </w:t>
      </w:r>
      <w:proofErr w:type="spellStart"/>
      <w:r>
        <w:t>ברוך־בער</w:t>
      </w:r>
      <w:proofErr w:type="spellEnd"/>
      <w:r>
        <w:t xml:space="preserve"> לא עקר לגמרי את דרכו הטבעית – ר׳ חיים </w:t>
      </w:r>
      <w:proofErr w:type="spellStart"/>
      <w:r>
        <w:t>סולובייצ׳יק</w:t>
      </w:r>
      <w:proofErr w:type="spellEnd"/>
      <w:r>
        <w:t xml:space="preserve"> משבח ייחודיות מוגבלת</w:t>
      </w:r>
    </w:p>
    <w:p w14:paraId="2AF13409" w14:textId="77777777" w:rsidR="00AB3647" w:rsidRDefault="00000000" w:rsidP="007923E9">
      <w:pPr>
        <w:spacing w:after="120" w:line="276" w:lineRule="auto"/>
        <w:ind w:firstLine="283"/>
        <w:jc w:val="both"/>
      </w:pPr>
      <w:r>
        <w:rPr>
          <w:rtl/>
        </w:rPr>
        <w:t>רבנו דגל בהתלהבות בתורת החינוך של הסבא, ולכן הגיע למסקנה הנועזת שהשמיע בפומבי בשיחה בישיבת פילדלפיה</w:t>
      </w:r>
      <w:bookmarkStart w:id="3839" w:name="_fnr2901"/>
      <w:r>
        <w:rPr>
          <w:rStyle w:val="a5"/>
        </w:rPr>
        <w:footnoteReference w:id="2909" w:customMarkFollows="0"/>
      </w:r>
      <w:bookmarkEnd w:id="3839"/>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תלמידו המובהק והמסור כליל של ר׳ חיים </w:t>
      </w:r>
      <w:proofErr w:type="spellStart"/>
      <w:r>
        <w:rPr>
          <w:rtl/>
        </w:rPr>
        <w:t>סולובייצ׳יק</w:t>
      </w:r>
      <w:bookmarkStart w:id="3840" w:name="_fnr2902"/>
      <w:proofErr w:type="spellEnd"/>
      <w:r>
        <w:rPr>
          <w:rStyle w:val="a5"/>
        </w:rPr>
        <w:footnoteReference w:id="2910" w:customMarkFollows="0"/>
      </w:r>
      <w:bookmarkEnd w:id="3840"/>
      <w:r>
        <w:rPr>
          <w:rtl/>
        </w:rPr>
        <w:t xml:space="preserve">, היה נעשה גדול יותר אילו לא דחק את דרך הלימוד </w:t>
      </w:r>
      <w:r>
        <w:rPr>
          <w:b/>
          <w:bCs/>
          <w:rtl/>
        </w:rPr>
        <w:t>שאליה נטה מטבעו</w:t>
      </w:r>
      <w:r>
        <w:rPr>
          <w:rtl/>
        </w:rPr>
        <w:t xml:space="preserve"> מפני שיטת רבו.</w:t>
      </w:r>
    </w:p>
    <w:p w14:paraId="02661218" w14:textId="77777777" w:rsidR="00AB3647" w:rsidRDefault="00000000" w:rsidP="007923E9">
      <w:pPr>
        <w:spacing w:after="120" w:line="276" w:lineRule="auto"/>
        <w:ind w:firstLine="283"/>
        <w:jc w:val="both"/>
      </w:pPr>
      <w:r>
        <w:rPr>
          <w:rtl/>
        </w:rPr>
        <w:lastRenderedPageBreak/>
        <w:t>“ר׳ ברוך בר”</w:t>
      </w:r>
      <w:bookmarkStart w:id="3841" w:name="_fnr2903"/>
      <w:r>
        <w:rPr>
          <w:rStyle w:val="a5"/>
        </w:rPr>
        <w:footnoteReference w:id="2911" w:customMarkFollows="0"/>
      </w:r>
      <w:bookmarkEnd w:id="3841"/>
      <w:r>
        <w:rPr>
          <w:rtl/>
        </w:rPr>
        <w:t xml:space="preserve"> מספר שכאשר בא ר׳ </w:t>
      </w:r>
      <w:proofErr w:type="spellStart"/>
      <w:r>
        <w:rPr>
          <w:rtl/>
        </w:rPr>
        <w:t>ברוך־בער</w:t>
      </w:r>
      <w:proofErr w:type="spellEnd"/>
      <w:r>
        <w:rPr>
          <w:rtl/>
        </w:rPr>
        <w:t xml:space="preserve"> </w:t>
      </w:r>
      <w:proofErr w:type="spellStart"/>
      <w:r>
        <w:rPr>
          <w:rtl/>
        </w:rPr>
        <w:t>מסלוצק</w:t>
      </w:r>
      <w:proofErr w:type="spellEnd"/>
      <w:r>
        <w:rPr>
          <w:rtl/>
        </w:rPr>
        <w:t xml:space="preserve"> עיר הולדתו </w:t>
      </w:r>
      <w:proofErr w:type="spellStart"/>
      <w:r>
        <w:rPr>
          <w:rtl/>
        </w:rPr>
        <w:t>ו“הציף</w:t>
      </w:r>
      <w:proofErr w:type="spellEnd"/>
      <w:r>
        <w:rPr>
          <w:rtl/>
        </w:rPr>
        <w:t xml:space="preserve">” את </w:t>
      </w:r>
      <w:proofErr w:type="spellStart"/>
      <w:r>
        <w:rPr>
          <w:rtl/>
        </w:rPr>
        <w:t>וולוז׳ין</w:t>
      </w:r>
      <w:proofErr w:type="spellEnd"/>
      <w:r>
        <w:rPr>
          <w:rtl/>
        </w:rPr>
        <w:t xml:space="preserve"> בפלפוליו, לעגו לו חבריו. כשהתלונן בפני ר׳ חיים, אמר לו הלה בגלוי: “אבל </w:t>
      </w:r>
      <w:proofErr w:type="spellStart"/>
      <w:r>
        <w:rPr>
          <w:rtl/>
        </w:rPr>
        <w:t>סלוצקאי</w:t>
      </w:r>
      <w:proofErr w:type="spellEnd"/>
      <w:r>
        <w:rPr>
          <w:rtl/>
        </w:rPr>
        <w:t xml:space="preserve"> קטן, הם צודקים!” לאחר ששינה את דרך לימודו והתאים אותה לדרך רבו, ושוב לעגו לו, אמר לו ר׳ חיים: “</w:t>
      </w:r>
      <w:proofErr w:type="spellStart"/>
      <w:r>
        <w:rPr>
          <w:rtl/>
        </w:rPr>
        <w:t>סלוצקאי</w:t>
      </w:r>
      <w:proofErr w:type="spellEnd"/>
      <w:r>
        <w:rPr>
          <w:rtl/>
        </w:rPr>
        <w:t xml:space="preserve"> קטן, אל תשים לב, מפני שאתה צודק!”</w:t>
      </w:r>
    </w:p>
    <w:p w14:paraId="20D0C783" w14:textId="77777777" w:rsidR="00AB3647" w:rsidRDefault="00000000" w:rsidP="007923E9">
      <w:pPr>
        <w:spacing w:after="120" w:line="276" w:lineRule="auto"/>
        <w:ind w:firstLine="283"/>
        <w:jc w:val="both"/>
      </w:pPr>
      <w:r>
        <w:rPr>
          <w:rtl/>
        </w:rPr>
        <w:t xml:space="preserve">אחיינו של ר׳ </w:t>
      </w:r>
      <w:proofErr w:type="spellStart"/>
      <w:r>
        <w:rPr>
          <w:rtl/>
        </w:rPr>
        <w:t>ברוך־בער</w:t>
      </w:r>
      <w:proofErr w:type="spellEnd"/>
      <w:r>
        <w:rPr>
          <w:rtl/>
        </w:rPr>
        <w:t>, ר׳ ישראל גרבר, סיפר</w:t>
      </w:r>
      <w:bookmarkStart w:id="3842" w:name="_fnr2904"/>
      <w:r>
        <w:rPr>
          <w:rStyle w:val="a5"/>
        </w:rPr>
        <w:footnoteReference w:id="2912" w:customMarkFollows="0"/>
      </w:r>
      <w:bookmarkEnd w:id="3842"/>
      <w:r>
        <w:rPr>
          <w:rtl/>
        </w:rPr>
        <w:t xml:space="preserve"> שדודו אמר כי בבואו </w:t>
      </w:r>
      <w:proofErr w:type="spellStart"/>
      <w:r>
        <w:rPr>
          <w:rtl/>
        </w:rPr>
        <w:t>לוולוז׳ין</w:t>
      </w:r>
      <w:proofErr w:type="spellEnd"/>
      <w:r>
        <w:rPr>
          <w:rtl/>
        </w:rPr>
        <w:t xml:space="preserve"> נהג ללכת לבית ר׳ חיים אחרי סעודה שלישית, בשעה שהיו שם כמה תלמידים מבוגרים. ר׳ חיים היה שואל: “</w:t>
      </w:r>
      <w:proofErr w:type="spellStart"/>
      <w:r>
        <w:rPr>
          <w:rtl/>
        </w:rPr>
        <w:t>סלוצקאי</w:t>
      </w:r>
      <w:proofErr w:type="spellEnd"/>
      <w:r>
        <w:rPr>
          <w:rtl/>
        </w:rPr>
        <w:t xml:space="preserve"> קטן, איזו ‘סחורה’ יש לך לומר?” והוא היה מתחיל לומר פלפולים. כשאחד הבחורים הפסיקו בשאלה, ניסה ר׳ </w:t>
      </w:r>
      <w:proofErr w:type="spellStart"/>
      <w:r>
        <w:rPr>
          <w:rtl/>
        </w:rPr>
        <w:t>ברוך־בער</w:t>
      </w:r>
      <w:proofErr w:type="spellEnd"/>
      <w:r>
        <w:rPr>
          <w:rtl/>
        </w:rPr>
        <w:t xml:space="preserve"> לדלג עליה כדי להמשיך לבנות את המבנה המענג של פלפולו, אבל ר׳ חיים היה עוצר אותו ואומר: “אבל הוא שואל שאלה טובה!” “אז הבנתי”, סיים ר׳ </w:t>
      </w:r>
      <w:proofErr w:type="spellStart"/>
      <w:r>
        <w:rPr>
          <w:rtl/>
        </w:rPr>
        <w:t>ברוך־בער</w:t>
      </w:r>
      <w:proofErr w:type="spellEnd"/>
      <w:r>
        <w:rPr>
          <w:rtl/>
        </w:rPr>
        <w:t xml:space="preserve">, “שעלי לחדול מאמירת פלפולים ולהתרכז </w:t>
      </w:r>
      <w:proofErr w:type="spellStart"/>
      <w:r>
        <w:rPr>
          <w:rtl/>
        </w:rPr>
        <w:t>ב‘דברים</w:t>
      </w:r>
      <w:proofErr w:type="spellEnd"/>
      <w:r>
        <w:rPr>
          <w:rtl/>
        </w:rPr>
        <w:t>’ קצרים וקולעים, שעליהם יאמר ר׳ חיים: ‘זה טוב!’”</w:t>
      </w:r>
    </w:p>
    <w:p w14:paraId="0482A731" w14:textId="77777777" w:rsidR="00AB3647" w:rsidRDefault="00000000" w:rsidP="007923E9">
      <w:pPr>
        <w:spacing w:after="120" w:line="276" w:lineRule="auto"/>
        <w:ind w:firstLine="283"/>
        <w:jc w:val="both"/>
      </w:pPr>
      <w:r>
        <w:rPr>
          <w:rtl/>
        </w:rPr>
        <w:t xml:space="preserve">על הסתייגותו של ר׳ חיים </w:t>
      </w:r>
      <w:proofErr w:type="spellStart"/>
      <w:r>
        <w:rPr>
          <w:rtl/>
        </w:rPr>
        <w:t>סולובייצ׳יק</w:t>
      </w:r>
      <w:proofErr w:type="spellEnd"/>
      <w:r>
        <w:rPr>
          <w:rtl/>
        </w:rPr>
        <w:t xml:space="preserve"> מפלפול סיפר ר׳ לייב בקשט</w:t>
      </w:r>
      <w:bookmarkStart w:id="3843" w:name="_fnr2905"/>
      <w:r>
        <w:rPr>
          <w:rStyle w:val="a5"/>
        </w:rPr>
        <w:footnoteReference w:id="2913" w:customMarkFollows="0"/>
      </w:r>
      <w:bookmarkEnd w:id="3843"/>
      <w:r>
        <w:rPr>
          <w:rtl/>
        </w:rPr>
        <w:t xml:space="preserve"> שכאשר חזר ר׳ </w:t>
      </w:r>
      <w:proofErr w:type="spellStart"/>
      <w:r>
        <w:rPr>
          <w:rtl/>
        </w:rPr>
        <w:t>משה־מרדכי</w:t>
      </w:r>
      <w:proofErr w:type="spellEnd"/>
      <w:r>
        <w:rPr>
          <w:rtl/>
        </w:rPr>
        <w:t xml:space="preserve"> בפני רבו במינסק על פלפול, אמר ר׳ חיים על הפלפולים: “אם ניקח את הגמרא ביד, בנינים שלמים מתפרקים.” בלשונו של ר׳ חיים, “לקחת את הגמרא ביד” פירושו היה להבין את הפשט הנכון בסוגיה.</w:t>
      </w:r>
    </w:p>
    <w:p w14:paraId="2354A891" w14:textId="77777777" w:rsidR="00AB3647" w:rsidRDefault="00000000" w:rsidP="007923E9">
      <w:pPr>
        <w:spacing w:after="120" w:line="276" w:lineRule="auto"/>
        <w:ind w:firstLine="283"/>
        <w:jc w:val="both"/>
      </w:pPr>
      <w:r>
        <w:rPr>
          <w:rtl/>
        </w:rPr>
        <w:t>מסופר שם</w:t>
      </w:r>
      <w:bookmarkStart w:id="3844" w:name="_fnr2906"/>
      <w:r>
        <w:rPr>
          <w:rStyle w:val="a5"/>
        </w:rPr>
        <w:footnoteReference w:id="2914" w:customMarkFollows="0"/>
      </w:r>
      <w:bookmarkEnd w:id="3844"/>
      <w:r>
        <w:rPr>
          <w:rtl/>
        </w:rPr>
        <w:t xml:space="preserve"> שר׳ </w:t>
      </w:r>
      <w:proofErr w:type="spellStart"/>
      <w:r>
        <w:rPr>
          <w:rtl/>
        </w:rPr>
        <w:t>ברוך־בער</w:t>
      </w:r>
      <w:proofErr w:type="spellEnd"/>
      <w:r>
        <w:rPr>
          <w:rtl/>
        </w:rPr>
        <w:t xml:space="preserve"> “היה רגיל לומר (בשנים שכבר שימש ראש ישיבה) שהיה מחבר עשרים כרכים, אלמלא (אימץ את דרך הלימוד של) רבו”. בשנותיו </w:t>
      </w:r>
      <w:proofErr w:type="spellStart"/>
      <w:r>
        <w:rPr>
          <w:rtl/>
        </w:rPr>
        <w:t>בוולוז׳ין</w:t>
      </w:r>
      <w:proofErr w:type="spellEnd"/>
      <w:r>
        <w:rPr>
          <w:rtl/>
        </w:rPr>
        <w:t xml:space="preserve">, ולאחר מכן </w:t>
      </w:r>
      <w:proofErr w:type="spellStart"/>
      <w:r>
        <w:rPr>
          <w:rtl/>
        </w:rPr>
        <w:t>בהלוסק</w:t>
      </w:r>
      <w:proofErr w:type="spellEnd"/>
      <w:r>
        <w:rPr>
          <w:rtl/>
        </w:rPr>
        <w:t xml:space="preserve">, לא עקר ר׳ </w:t>
      </w:r>
      <w:proofErr w:type="spellStart"/>
      <w:r>
        <w:rPr>
          <w:rtl/>
        </w:rPr>
        <w:t>ברוך־בער</w:t>
      </w:r>
      <w:proofErr w:type="spellEnd"/>
      <w:r>
        <w:rPr>
          <w:rtl/>
        </w:rPr>
        <w:t xml:space="preserve"> לגמרי את דרך לימודו הטבעית. הדבר מוכח מכך שכאשר נתמנה לראש ישיבת כנסת בית יצחק </w:t>
      </w:r>
      <w:proofErr w:type="spellStart"/>
      <w:r>
        <w:rPr>
          <w:rtl/>
        </w:rPr>
        <w:t>בסלבודקה</w:t>
      </w:r>
      <w:proofErr w:type="spellEnd"/>
      <w:r>
        <w:rPr>
          <w:rtl/>
        </w:rPr>
        <w:t xml:space="preserve">, בחר לשיעורו הראשון חידוש שחידש עשרים ושתיים שנים קודם לכן, כשהיה בן </w:t>
      </w:r>
      <w:proofErr w:type="spellStart"/>
      <w:r>
        <w:rPr>
          <w:rtl/>
        </w:rPr>
        <w:t>שש־עשרה</w:t>
      </w:r>
      <w:proofErr w:type="spellEnd"/>
      <w:r>
        <w:rPr>
          <w:rtl/>
        </w:rPr>
        <w:t>. הוא הסביר שלמעמד כזה בחר דבר שבו חש נינוח ביותר. “</w:t>
      </w:r>
      <w:proofErr w:type="spellStart"/>
      <w:r>
        <w:rPr>
          <w:rtl/>
        </w:rPr>
        <w:t>זיי</w:t>
      </w:r>
      <w:proofErr w:type="spellEnd"/>
      <w:r>
        <w:rPr>
          <w:rtl/>
        </w:rPr>
        <w:t xml:space="preserve"> </w:t>
      </w:r>
      <w:proofErr w:type="spellStart"/>
      <w:r>
        <w:rPr>
          <w:rtl/>
        </w:rPr>
        <w:t>זיינען</w:t>
      </w:r>
      <w:proofErr w:type="spellEnd"/>
      <w:r>
        <w:rPr>
          <w:rtl/>
        </w:rPr>
        <w:t xml:space="preserve"> </w:t>
      </w:r>
      <w:proofErr w:type="spellStart"/>
      <w:r>
        <w:rPr>
          <w:rtl/>
        </w:rPr>
        <w:t>אהן</w:t>
      </w:r>
      <w:proofErr w:type="spellEnd"/>
      <w:r>
        <w:rPr>
          <w:rtl/>
        </w:rPr>
        <w:t xml:space="preserve"> </w:t>
      </w:r>
      <w:proofErr w:type="spellStart"/>
      <w:r>
        <w:rPr>
          <w:rtl/>
        </w:rPr>
        <w:t>נערווען</w:t>
      </w:r>
      <w:proofErr w:type="spellEnd"/>
      <w:r>
        <w:rPr>
          <w:rtl/>
        </w:rPr>
        <w:t xml:space="preserve"> [אלה [החידושים] [טבעיים לי, ו]אין בהם עצבנות]”, אמר</w:t>
      </w:r>
      <w:bookmarkStart w:id="3845" w:name="_fnr2907"/>
      <w:r>
        <w:rPr>
          <w:rStyle w:val="a5"/>
        </w:rPr>
        <w:footnoteReference w:id="2915" w:customMarkFollows="0"/>
      </w:r>
      <w:bookmarkEnd w:id="3845"/>
      <w:r>
        <w:rPr>
          <w:rtl/>
        </w:rPr>
        <w:t>.</w:t>
      </w:r>
    </w:p>
    <w:p w14:paraId="01D38B23" w14:textId="77777777" w:rsidR="00AB3647" w:rsidRDefault="00000000" w:rsidP="007923E9">
      <w:pPr>
        <w:spacing w:after="120" w:line="276" w:lineRule="auto"/>
        <w:ind w:firstLine="283"/>
        <w:jc w:val="both"/>
      </w:pPr>
      <w:r>
        <w:rPr>
          <w:rtl/>
        </w:rPr>
        <w:t xml:space="preserve">נראה שאף שזמן קצר לאחר שהצטרף לישיבת </w:t>
      </w:r>
      <w:proofErr w:type="spellStart"/>
      <w:r>
        <w:rPr>
          <w:rtl/>
        </w:rPr>
        <w:t>וולוז׳ין</w:t>
      </w:r>
      <w:proofErr w:type="spellEnd"/>
      <w:r>
        <w:rPr>
          <w:rtl/>
        </w:rPr>
        <w:t xml:space="preserve"> בגיל </w:t>
      </w:r>
      <w:proofErr w:type="spellStart"/>
      <w:r>
        <w:rPr>
          <w:rtl/>
        </w:rPr>
        <w:t>שש־עשרה</w:t>
      </w:r>
      <w:bookmarkStart w:id="3846" w:name="_fnr2908"/>
      <w:proofErr w:type="spellEnd"/>
      <w:r>
        <w:rPr>
          <w:rStyle w:val="a5"/>
        </w:rPr>
        <w:footnoteReference w:id="2916" w:customMarkFollows="0"/>
      </w:r>
      <w:bookmarkEnd w:id="3846"/>
      <w:r>
        <w:rPr>
          <w:rtl/>
        </w:rPr>
        <w:t xml:space="preserve"> התבטל בפני רבו ביטול שאין דומה לו, נשארו תפיסותיו הפנימיות ביותר – אלה שצפו ועלו בשעת לחץ – רעיונותיו הטבעיים, שקדמו ללימודו אצל ר׳ חיים!</w:t>
      </w:r>
    </w:p>
    <w:p w14:paraId="2B8D63A1"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חיים”</w:t>
      </w:r>
      <w:bookmarkStart w:id="3847" w:name="_fnr2909"/>
      <w:r>
        <w:rPr>
          <w:rStyle w:val="a5"/>
        </w:rPr>
        <w:footnoteReference w:id="2917" w:customMarkFollows="0"/>
      </w:r>
      <w:bookmarkEnd w:id="3847"/>
      <w:r>
        <w:rPr>
          <w:rtl/>
        </w:rPr>
        <w:t xml:space="preserve"> מסופר שר׳ חיים אמר פעם לאחד הבחורים: “אינני רוצה שתלמד ותחשוב כפי שאני לומד וחושב; אני רוצה שתלמד ותחשוב כפי שאתה צריך ויכול לחשוב...” בהמשך מסופר: “פעם אחת, אחרי שיעורו של ר׳ חיים, התאספו ר׳ </w:t>
      </w:r>
      <w:proofErr w:type="spellStart"/>
      <w:r>
        <w:rPr>
          <w:rtl/>
        </w:rPr>
        <w:t>ברוך־בער</w:t>
      </w:r>
      <w:proofErr w:type="spellEnd"/>
      <w:r>
        <w:rPr>
          <w:rtl/>
        </w:rPr>
        <w:t xml:space="preserve">, ר׳ שמעון </w:t>
      </w:r>
      <w:proofErr w:type="spellStart"/>
      <w:r>
        <w:rPr>
          <w:rtl/>
        </w:rPr>
        <w:t>שקופ</w:t>
      </w:r>
      <w:proofErr w:type="spellEnd"/>
      <w:r>
        <w:rPr>
          <w:rtl/>
        </w:rPr>
        <w:t xml:space="preserve"> ואחרים כדי לדון במה שאמר ר׳ חיים ומה הייתה כוונתו, אבל לא הגיעו להסכמה. החליטו </w:t>
      </w:r>
      <w:r>
        <w:rPr>
          <w:rtl/>
        </w:rPr>
        <w:lastRenderedPageBreak/>
        <w:t>לשאול את ר׳ חיים עצמו למה התכוון, והוא השיב: ‘באמת, התכוונתי לכל ההסברים, כדי שכל אחד יוכל להבין בשכלו ובהבנתו שלו.’”</w:t>
      </w:r>
    </w:p>
    <w:p w14:paraId="6A33EDE1" w14:textId="77777777" w:rsidR="00AB3647" w:rsidRDefault="00000000" w:rsidP="007923E9">
      <w:pPr>
        <w:spacing w:after="120" w:line="276" w:lineRule="auto"/>
        <w:ind w:firstLine="283"/>
        <w:jc w:val="both"/>
      </w:pPr>
      <w:r>
        <w:rPr>
          <w:rtl/>
        </w:rPr>
        <w:t xml:space="preserve">מסתבר שר׳ חיים לא הביע כאן את אותה השקפה שהביע רבנו. הוא דיבר רק על </w:t>
      </w:r>
      <w:r>
        <w:rPr>
          <w:b/>
          <w:bCs/>
          <w:rtl/>
        </w:rPr>
        <w:t>הגדרת הרעיונות</w:t>
      </w:r>
      <w:r>
        <w:rPr>
          <w:rtl/>
        </w:rPr>
        <w:t>: כל אדם מבין עניין אחרת, ועליו להסבירו במילים ובמונחים המיוחדים לו. אבל הוא שלל כל מידה של הסכמה לדרך לימוד שאינה דרכו שלו.</w:t>
      </w:r>
    </w:p>
    <w:p w14:paraId="6539D223" w14:textId="77777777" w:rsidR="00AB3647" w:rsidRDefault="00000000" w:rsidP="007923E9">
      <w:pPr>
        <w:spacing w:after="120" w:line="276" w:lineRule="auto"/>
        <w:ind w:firstLine="283"/>
        <w:jc w:val="both"/>
      </w:pPr>
      <w:r>
        <w:rPr>
          <w:rtl/>
        </w:rPr>
        <w:t xml:space="preserve">הבחנה זו מיישבת את הסתירה הנראית בין השקפתו של ר׳ חיים על תלמידו ר׳ </w:t>
      </w:r>
      <w:proofErr w:type="spellStart"/>
      <w:r>
        <w:rPr>
          <w:rtl/>
        </w:rPr>
        <w:t>איסר־זלמן</w:t>
      </w:r>
      <w:proofErr w:type="spellEnd"/>
      <w:r>
        <w:rPr>
          <w:rtl/>
        </w:rPr>
        <w:t xml:space="preserve"> לבין העצה שנתן לו. מצד אחד סבר ר׳ חיים שר׳ </w:t>
      </w:r>
      <w:proofErr w:type="spellStart"/>
      <w:r>
        <w:rPr>
          <w:rtl/>
        </w:rPr>
        <w:t>איסר־זלמן</w:t>
      </w:r>
      <w:proofErr w:type="spellEnd"/>
      <w:r>
        <w:rPr>
          <w:rtl/>
        </w:rPr>
        <w:t xml:space="preserve"> לא נעשה “גאון עולם” מפני שלא אימץ במלואה את שיטתו שלו, של ר׳ חיים, בלימוד – אומנם מחמת חסידותו</w:t>
      </w:r>
      <w:bookmarkStart w:id="3848" w:name="_fnr2910"/>
      <w:r>
        <w:rPr>
          <w:rStyle w:val="a5"/>
        </w:rPr>
        <w:footnoteReference w:id="2918" w:customMarkFollows="0"/>
      </w:r>
      <w:bookmarkEnd w:id="3848"/>
      <w:r>
        <w:rPr>
          <w:rtl/>
        </w:rPr>
        <w:t xml:space="preserve">. מצד שני, ממעשה שאירע בינו לבין רבו הסיק ר׳ </w:t>
      </w:r>
      <w:proofErr w:type="spellStart"/>
      <w:r>
        <w:rPr>
          <w:rtl/>
        </w:rPr>
        <w:t>איסר־זלמן</w:t>
      </w:r>
      <w:proofErr w:type="spellEnd"/>
      <w:r>
        <w:rPr>
          <w:rtl/>
        </w:rPr>
        <w:t xml:space="preserve"> שר׳ חיים מייעץ לו “שלא יחקה את ר׳ חיים, אלא יסלול את דרכו שלו”</w:t>
      </w:r>
      <w:bookmarkStart w:id="3849" w:name="_fnr2911"/>
      <w:r>
        <w:rPr>
          <w:rStyle w:val="a5"/>
        </w:rPr>
        <w:footnoteReference w:id="2919" w:customMarkFollows="0"/>
      </w:r>
      <w:bookmarkEnd w:id="3849"/>
      <w:r>
        <w:rPr>
          <w:rtl/>
        </w:rPr>
        <w:t>. אין סתירה בין שני העקרונות: את ההבנה הנכונה והשלמה של הנושא יש לקבל מן הרב, ואילו דרך הגדרת המושג צריכה להיות של התלמיד עצמו.</w:t>
      </w:r>
    </w:p>
    <w:bookmarkStart w:id="3850" w:name="b3_excEE"/>
    <w:p w14:paraId="763F7D27" w14:textId="77777777" w:rsidR="00AB3647" w:rsidRDefault="00000000" w:rsidP="007923E9">
      <w:pPr>
        <w:pStyle w:val="3"/>
        <w:spacing w:line="276" w:lineRule="auto"/>
      </w:pPr>
      <w:r>
        <w:lastRenderedPageBreak/>
        <w:fldChar w:fldCharType="begin" w:dirty="true"/>
      </w:r>
      <w:r>
        <w:rPr>
          <w:rtl w:val="0"/>
        </w:rPr>
        <w:instrText>HYPERLINK \l "b3_note132</w:instrText>
      </w:r>
      <w:r>
        <w:instrText>"</w:instrText>
      </w:r>
      <w:r>
        <w:fldChar w:fldCharType="separate"/>
      </w:r>
      <w:r>
        <w:t>נספח לא</w:t>
      </w:r>
      <w:r>
        <w:fldChar w:fldCharType="end"/>
      </w:r>
      <w:bookmarkEnd w:id="3850"/>
    </w:p>
    <w:p w14:paraId="7CB12558" w14:textId="77777777" w:rsidR="00AB3647" w:rsidRDefault="00000000" w:rsidP="007923E9">
      <w:pPr>
        <w:pStyle w:val="af"/>
        <w:spacing w:line="276" w:lineRule="auto"/>
      </w:pPr>
      <w:r>
        <w:t xml:space="preserve">על הקפדתו של ר׳ חיים </w:t>
      </w:r>
      <w:proofErr w:type="spellStart"/>
      <w:r>
        <w:t>סולובייצ׳יק</w:t>
      </w:r>
      <w:proofErr w:type="spellEnd"/>
      <w:r>
        <w:t xml:space="preserve"> על דיוק בדיבור ובדפוס</w:t>
      </w:r>
    </w:p>
    <w:p w14:paraId="32F29BA1" w14:textId="77777777" w:rsidR="00AB3647" w:rsidRDefault="00000000" w:rsidP="007923E9">
      <w:pPr>
        <w:pStyle w:val="5"/>
        <w:spacing w:line="276" w:lineRule="auto"/>
      </w:pPr>
      <w:r>
        <w:t xml:space="preserve">ר׳ חיים </w:t>
      </w:r>
      <w:proofErr w:type="spellStart"/>
      <w:r>
        <w:t>סולובייצ׳יק</w:t>
      </w:r>
      <w:proofErr w:type="spellEnd"/>
      <w:r>
        <w:t xml:space="preserve"> מתנער ממסורות שאינן מדויקות – הוא נוסע ברכבת בלי להזדהות – שני תלמידי </w:t>
      </w:r>
      <w:proofErr w:type="spellStart"/>
      <w:r>
        <w:t>סלבודקה</w:t>
      </w:r>
      <w:proofErr w:type="spellEnd"/>
      <w:r>
        <w:t xml:space="preserve"> חוזרים על חידושים המיוחסים לו – ר׳ </w:t>
      </w:r>
      <w:proofErr w:type="spellStart"/>
      <w:r>
        <w:t>ברוך־בער</w:t>
      </w:r>
      <w:proofErr w:type="spellEnd"/>
      <w:r>
        <w:t xml:space="preserve"> מופתע שרבו מכחיש את בעלותו עליהם – ר׳ חיים שוקל כל מילה לקראת הדפוס – ר׳ </w:t>
      </w:r>
      <w:proofErr w:type="spellStart"/>
      <w:r>
        <w:t>ברוך־בער</w:t>
      </w:r>
      <w:proofErr w:type="spellEnd"/>
      <w:r>
        <w:t xml:space="preserve"> בוחן כל תגובה של רבו – ר׳ חיים ממליץ על ר׳ ראובן </w:t>
      </w:r>
      <w:proofErr w:type="spellStart"/>
      <w:r>
        <w:t>גרוזובסקי</w:t>
      </w:r>
      <w:proofErr w:type="spellEnd"/>
      <w:r>
        <w:t xml:space="preserve"> בפני תלמידו</w:t>
      </w:r>
    </w:p>
    <w:p w14:paraId="2049304E" w14:textId="77777777" w:rsidR="00AB3647" w:rsidRDefault="00000000" w:rsidP="007923E9">
      <w:pPr>
        <w:spacing w:after="120" w:line="276" w:lineRule="auto"/>
        <w:ind w:firstLine="283"/>
        <w:jc w:val="both"/>
      </w:pPr>
      <w:r>
        <w:rPr>
          <w:rtl/>
        </w:rPr>
        <w:t>ר׳ יצחק פרמן סיפר</w:t>
      </w:r>
      <w:bookmarkStart w:id="3851" w:name="_fnr2912"/>
      <w:r>
        <w:rPr>
          <w:rStyle w:val="a5"/>
        </w:rPr>
        <w:footnoteReference w:id="2920" w:customMarkFollows="0"/>
      </w:r>
      <w:bookmarkEnd w:id="3851"/>
      <w:r>
        <w:rPr>
          <w:rtl/>
        </w:rPr>
        <w:t xml:space="preserve">: “כשמכרי ר׳ </w:t>
      </w:r>
      <w:proofErr w:type="spellStart"/>
      <w:r>
        <w:rPr>
          <w:rtl/>
        </w:rPr>
        <w:t>שלמה־פייבל</w:t>
      </w:r>
      <w:proofErr w:type="spellEnd"/>
      <w:r>
        <w:rPr>
          <w:rtl/>
        </w:rPr>
        <w:t xml:space="preserve"> </w:t>
      </w:r>
      <w:proofErr w:type="spellStart"/>
      <w:r>
        <w:rPr>
          <w:rtl/>
        </w:rPr>
        <w:t>שוסטל</w:t>
      </w:r>
      <w:proofErr w:type="spellEnd"/>
      <w:r>
        <w:rPr>
          <w:rtl/>
        </w:rPr>
        <w:t xml:space="preserve"> עמד לצאת </w:t>
      </w:r>
      <w:proofErr w:type="spellStart"/>
      <w:r>
        <w:rPr>
          <w:rtl/>
        </w:rPr>
        <w:t>ממונסי</w:t>
      </w:r>
      <w:proofErr w:type="spellEnd"/>
      <w:r>
        <w:rPr>
          <w:rtl/>
        </w:rPr>
        <w:t xml:space="preserve"> לארץ ישראל כדי ללמוד אצל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הלך להיפרד מראש הישיבה רבנו. הלה אמר לו: ‘אחת ממעלותיה של </w:t>
      </w:r>
      <w:proofErr w:type="spellStart"/>
      <w:r>
        <w:rPr>
          <w:rtl/>
        </w:rPr>
        <w:t>בריסק</w:t>
      </w:r>
      <w:proofErr w:type="spellEnd"/>
      <w:r>
        <w:rPr>
          <w:rtl/>
        </w:rPr>
        <w:t xml:space="preserve"> היא שהיא מלמדת דיוק. היו לי חברים </w:t>
      </w:r>
      <w:proofErr w:type="spellStart"/>
      <w:r>
        <w:rPr>
          <w:rtl/>
        </w:rPr>
        <w:t>בסלבודקה</w:t>
      </w:r>
      <w:proofErr w:type="spellEnd"/>
      <w:r>
        <w:rPr>
          <w:rtl/>
        </w:rPr>
        <w:t xml:space="preserve"> שפגשו פעם את ר׳ חיים </w:t>
      </w:r>
      <w:proofErr w:type="spellStart"/>
      <w:r>
        <w:rPr>
          <w:rtl/>
        </w:rPr>
        <w:t>סולובייצ׳יק</w:t>
      </w:r>
      <w:proofErr w:type="spellEnd"/>
      <w:r>
        <w:rPr>
          <w:rtl/>
        </w:rPr>
        <w:t xml:space="preserve"> בנסיעה ברכבת. הם התיישבו לצדו ושאלו אם יסודות מסוימים שחזרו עליהם בשמו בישיבה נכונים – אז הכול היה מפי השמועה, [בלי דברים שבכתב]. ניסו יסוד אחד, ור׳ חיים אמר: “מעולם לא אמרתי זאת”; ניסו יסוד אחר וקיבלו אותה תשובה.’ ‘מה הפשט?!’, סיים ראש הישיבה. ‘האם המציאו את היסודות האלה </w:t>
      </w:r>
      <w:proofErr w:type="spellStart"/>
      <w:r>
        <w:rPr>
          <w:rtl/>
        </w:rPr>
        <w:t>בסלבודקה</w:t>
      </w:r>
      <w:proofErr w:type="spellEnd"/>
      <w:r>
        <w:rPr>
          <w:rtl/>
        </w:rPr>
        <w:t>? לא, אלא שאם לא חזרו על היסוד במדויק, ר׳ חיים התנער ממנו.’”</w:t>
      </w:r>
    </w:p>
    <w:p w14:paraId="32CED862" w14:textId="77777777" w:rsidR="00AB3647" w:rsidRDefault="00000000" w:rsidP="007923E9">
      <w:pPr>
        <w:spacing w:after="120" w:line="276" w:lineRule="auto"/>
        <w:ind w:firstLine="283"/>
        <w:jc w:val="both"/>
      </w:pPr>
      <w:r>
        <w:rPr>
          <w:rtl/>
        </w:rPr>
        <w:t xml:space="preserve">באמצעות ר׳ בנימין </w:t>
      </w:r>
      <w:proofErr w:type="spellStart"/>
      <w:r>
        <w:rPr>
          <w:rtl/>
        </w:rPr>
        <w:t>קורלנסקי</w:t>
      </w:r>
      <w:bookmarkStart w:id="3852" w:name="_fnr2913"/>
      <w:proofErr w:type="spellEnd"/>
      <w:r>
        <w:rPr>
          <w:rStyle w:val="a5"/>
        </w:rPr>
        <w:footnoteReference w:id="2921" w:customMarkFollows="0"/>
      </w:r>
      <w:bookmarkEnd w:id="3852"/>
      <w:r>
        <w:rPr>
          <w:rtl/>
        </w:rPr>
        <w:t xml:space="preserve"> גיליתי מי היו אותם “חברים </w:t>
      </w:r>
      <w:proofErr w:type="spellStart"/>
      <w:r>
        <w:rPr>
          <w:rtl/>
        </w:rPr>
        <w:t>בסלבודקה</w:t>
      </w:r>
      <w:proofErr w:type="spellEnd"/>
      <w:r>
        <w:rPr>
          <w:rtl/>
        </w:rPr>
        <w:t>”, ולמדתי פרטים נוספים על פגישתם עם ר׳ חיים. אחד מהם היה ר׳ מנדל שוק</w:t>
      </w:r>
      <w:bookmarkStart w:id="3853" w:name="_fnr2914"/>
      <w:r>
        <w:rPr>
          <w:rStyle w:val="a5"/>
        </w:rPr>
        <w:footnoteReference w:id="2922" w:customMarkFollows="0"/>
      </w:r>
      <w:bookmarkEnd w:id="3853"/>
      <w:r>
        <w:rPr>
          <w:rtl/>
        </w:rPr>
        <w:t xml:space="preserve">, שסיפר לרב </w:t>
      </w:r>
      <w:proofErr w:type="spellStart"/>
      <w:r>
        <w:rPr>
          <w:rtl/>
        </w:rPr>
        <w:t>קורלנסקי</w:t>
      </w:r>
      <w:proofErr w:type="spellEnd"/>
      <w:r>
        <w:rPr>
          <w:rtl/>
        </w:rPr>
        <w:t xml:space="preserve"> את המעשה לפרטיו, והאחר היה ר׳ ראובן </w:t>
      </w:r>
      <w:proofErr w:type="spellStart"/>
      <w:r>
        <w:rPr>
          <w:rtl/>
        </w:rPr>
        <w:t>גרוזובסקי</w:t>
      </w:r>
      <w:proofErr w:type="spellEnd"/>
      <w:r>
        <w:rPr>
          <w:rtl/>
        </w:rPr>
        <w:t>. בהיותם ברכבת ראו את ר׳ חיים מנמנם.</w:t>
      </w:r>
    </w:p>
    <w:p w14:paraId="444FFC58" w14:textId="1F935CBF" w:rsidR="00AB3647" w:rsidRDefault="00000000" w:rsidP="007923E9">
      <w:pPr>
        <w:spacing w:after="120" w:line="276" w:lineRule="auto"/>
        <w:ind w:firstLine="283"/>
        <w:jc w:val="both"/>
      </w:pPr>
      <w:r>
        <w:rPr>
          <w:rtl/>
        </w:rPr>
        <w:t>“</w:t>
      </w:r>
      <w:proofErr w:type="spellStart"/>
      <w:r>
        <w:rPr>
          <w:rtl/>
        </w:rPr>
        <w:t>וולוז׳ין</w:t>
      </w:r>
      <w:proofErr w:type="spellEnd"/>
      <w:r>
        <w:rPr>
          <w:rtl/>
        </w:rPr>
        <w:t xml:space="preserve"> – ספרה של העיר ושל ישיבת עץ חיים”</w:t>
      </w:r>
      <w:bookmarkStart w:id="3854" w:name="_fnr2915"/>
      <w:r>
        <w:rPr>
          <w:rStyle w:val="a5"/>
        </w:rPr>
        <w:footnoteReference w:id="2923" w:customMarkFollows="0"/>
      </w:r>
      <w:bookmarkEnd w:id="3854"/>
      <w:r>
        <w:rPr>
          <w:rtl/>
        </w:rPr>
        <w:t xml:space="preserve"> מספר [על התקופה שבה היה ר׳ חיים </w:t>
      </w:r>
      <w:proofErr w:type="spellStart"/>
      <w:r>
        <w:rPr>
          <w:rtl/>
        </w:rPr>
        <w:t>סולובייצ׳יק</w:t>
      </w:r>
      <w:proofErr w:type="spellEnd"/>
      <w:r>
        <w:rPr>
          <w:rtl/>
        </w:rPr>
        <w:t xml:space="preserve"> עדיין </w:t>
      </w:r>
      <w:proofErr w:type="spellStart"/>
      <w:r>
        <w:rPr>
          <w:rtl/>
        </w:rPr>
        <w:t>בוולוז׳ין</w:t>
      </w:r>
      <w:proofErr w:type="spellEnd"/>
      <w:r>
        <w:rPr>
          <w:rtl/>
        </w:rPr>
        <w:t xml:space="preserve">]: “על אף שכלו הגדול ובקיאותו הרחבה, נהג ר׳ חיים בהצנע לכת. כשיצא לנסיעה הסתיר את פאותיו וחבש כובע פשוט כאדם מן הרחוב, ולא את הכובע בעל השוליים שחבש </w:t>
      </w:r>
      <w:proofErr w:type="spellStart"/>
      <w:r>
        <w:rPr>
          <w:rtl/>
        </w:rPr>
        <w:t>בוולוז׳ין</w:t>
      </w:r>
      <w:proofErr w:type="spellEnd"/>
      <w:r>
        <w:rPr>
          <w:rtl/>
        </w:rPr>
        <w:t xml:space="preserve">. כשישב ברכבת לא קרא בספר, וכשנכנס לבית כנסת לא עמד </w:t>
      </w:r>
      <w:proofErr w:type="spellStart"/>
      <w:r>
        <w:rPr>
          <w:rtl/>
        </w:rPr>
        <w:t>ב‘מזרח</w:t>
      </w:r>
      <w:proofErr w:type="spellEnd"/>
      <w:r>
        <w:rPr>
          <w:rtl/>
        </w:rPr>
        <w:t>’. כשישב בחברת זרים שוחח עמם על ענייניהם, על מסחר, על ‘פכים קטנים’ – שיחתו הפשוטה של אדם מן הרחוב.”</w:t>
      </w:r>
      <w:bookmarkStart w:id="3855" w:name="_fnr2916"/>
      <w:r>
        <w:rPr>
          <w:rStyle w:val="a5"/>
        </w:rPr>
        <w:footnoteReference w:id="2924" w:customMarkFollows="0"/>
      </w:r>
      <w:bookmarkEnd w:id="3855"/>
      <w:r>
        <w:rPr>
          <w:rtl/>
        </w:rPr>
        <w:t xml:space="preserve"> ר׳ חיים העדיף ללמוד בעל פה, כמו שנזכר בסוף הפסקה הראשונה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ולכן אין פלא שישב ברכבת בלי ספר בידו.</w:t>
      </w:r>
    </w:p>
    <w:p w14:paraId="4B90A684" w14:textId="585A4F28" w:rsidR="00AB3647" w:rsidRDefault="00000000" w:rsidP="007923E9">
      <w:pPr>
        <w:spacing w:after="120" w:line="276" w:lineRule="auto"/>
        <w:ind w:firstLine="283"/>
        <w:jc w:val="both"/>
      </w:pPr>
      <w:r>
        <w:rPr>
          <w:rtl/>
        </w:rPr>
        <w:t xml:space="preserve">תהיתי אילו מן ההרגלים המתוארים שם המשיך ר׳ חיים לקיים לאחר שהתמנה לרב </w:t>
      </w:r>
      <w:proofErr w:type="spellStart"/>
      <w:r>
        <w:rPr>
          <w:rtl/>
        </w:rPr>
        <w:t>בריסק</w:t>
      </w:r>
      <w:proofErr w:type="spellEnd"/>
      <w:r>
        <w:rPr>
          <w:rtl/>
        </w:rPr>
        <w:t>. ודאי חבש כובע שאינו כובע רבני בכל פעם ששהה מחוץ לעיר, ו</w:t>
      </w:r>
      <w:r>
        <w:rPr>
          <w:b/>
          <w:bCs/>
          <w:rtl/>
        </w:rPr>
        <w:t>לא רק</w:t>
      </w:r>
      <w:r>
        <w:rPr>
          <w:rtl/>
        </w:rPr>
        <w:t xml:space="preserve"> בשנים הראשונות לאחר מינויו, כמו שמעיד הציטוט המובא בפרק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אלא גם בנסיעה ברכבת המתוארת </w:t>
      </w:r>
      <w:r>
        <w:rPr>
          <w:rtl/>
        </w:rPr>
        <w:lastRenderedPageBreak/>
        <w:t xml:space="preserve">כאן, כמעט שני עשורים לאחר מכן. מכל מקום, לא היה קשה לזהות את ר׳ חיים בשל תווי פניו המיוחדים (השווה פרק 5,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0750FB09" w14:textId="77777777" w:rsidR="00AB3647" w:rsidRDefault="00000000" w:rsidP="007923E9">
      <w:pPr>
        <w:spacing w:after="120" w:line="276" w:lineRule="auto"/>
        <w:ind w:firstLine="283"/>
        <w:jc w:val="both"/>
      </w:pPr>
      <w:r>
        <w:rPr>
          <w:rtl/>
        </w:rPr>
        <w:t xml:space="preserve">“הם לא יכלו להתאפק”, המשיך הרב </w:t>
      </w:r>
      <w:proofErr w:type="spellStart"/>
      <w:r>
        <w:rPr>
          <w:rtl/>
        </w:rPr>
        <w:t>קורלנסקי</w:t>
      </w:r>
      <w:proofErr w:type="spellEnd"/>
      <w:r>
        <w:rPr>
          <w:rtl/>
        </w:rPr>
        <w:t xml:space="preserve">, “מלעשות רעש כדי להעירו ולדבר עמו. כשאמרו לו שהם לומדים אצל ר׳ </w:t>
      </w:r>
      <w:proofErr w:type="spellStart"/>
      <w:r>
        <w:rPr>
          <w:rtl/>
        </w:rPr>
        <w:t>אליהו־ברוך</w:t>
      </w:r>
      <w:proofErr w:type="spellEnd"/>
      <w:r>
        <w:rPr>
          <w:rtl/>
        </w:rPr>
        <w:t xml:space="preserve"> קמאי </w:t>
      </w:r>
      <w:proofErr w:type="spellStart"/>
      <w:r>
        <w:rPr>
          <w:rtl/>
        </w:rPr>
        <w:t>במיר</w:t>
      </w:r>
      <w:proofErr w:type="spellEnd"/>
      <w:r>
        <w:rPr>
          <w:rtl/>
        </w:rPr>
        <w:t xml:space="preserve"> – הם היו מן הקבוצה שנשלחה לשם </w:t>
      </w:r>
      <w:proofErr w:type="spellStart"/>
      <w:r>
        <w:rPr>
          <w:rtl/>
        </w:rPr>
        <w:t>מסלבודקה</w:t>
      </w:r>
      <w:proofErr w:type="spellEnd"/>
      <w:r>
        <w:rPr>
          <w:rtl/>
        </w:rPr>
        <w:t xml:space="preserve"> באותה עת – זכו לתנועת זרוע ולהנהון ראש של ר׳ חיים לאות הסכמה. אז ביקשו ממנו לומר להם דבר תורה. כשאמר שאין לו מה לומר להם, אך ישמח לשמוע מהם, הציעו לחזור בפניו על מה שנאמר בשמו בישיבות. תחילה אמר לו ר׳ ראובן </w:t>
      </w:r>
      <w:proofErr w:type="spellStart"/>
      <w:r>
        <w:rPr>
          <w:rtl/>
        </w:rPr>
        <w:t>דבר־מה</w:t>
      </w:r>
      <w:bookmarkStart w:id="3856" w:name="_fnr2917"/>
      <w:proofErr w:type="spellEnd"/>
      <w:r>
        <w:rPr>
          <w:rStyle w:val="a5"/>
        </w:rPr>
        <w:footnoteReference w:id="2925" w:customMarkFollows="0"/>
      </w:r>
      <w:bookmarkEnd w:id="3856"/>
      <w:r>
        <w:rPr>
          <w:rtl/>
        </w:rPr>
        <w:t>, ור׳ חיים העיר שמעולם לא אמר דבר כזה. אחר כך אמר לו ר׳ מנדל שוק את התשובה שחזרו עליה בשמו לשאלה מדוע חוגגים את חנוכה שמונה ימים מלאים, אף שבפך שנמצא היה די שמן ליום אחד בלי נס</w:t>
      </w:r>
      <w:bookmarkStart w:id="3857" w:name="_fnr2918"/>
      <w:r>
        <w:rPr>
          <w:rStyle w:val="a5"/>
        </w:rPr>
        <w:footnoteReference w:id="2926" w:customMarkFollows="0"/>
      </w:r>
      <w:bookmarkEnd w:id="3857"/>
      <w:r>
        <w:rPr>
          <w:rtl/>
        </w:rPr>
        <w:t xml:space="preserve">. תשובתו של ר׳ חיים </w:t>
      </w:r>
      <w:proofErr w:type="spellStart"/>
      <w:r>
        <w:rPr>
          <w:rtl/>
        </w:rPr>
        <w:t>לר</w:t>
      </w:r>
      <w:proofErr w:type="spellEnd"/>
      <w:r>
        <w:rPr>
          <w:rtl/>
        </w:rPr>
        <w:t>׳ מנדל הייתה: ‘</w:t>
      </w:r>
      <w:proofErr w:type="spellStart"/>
      <w:r>
        <w:rPr>
          <w:rtl/>
        </w:rPr>
        <w:t>זעהר</w:t>
      </w:r>
      <w:proofErr w:type="spellEnd"/>
      <w:r>
        <w:rPr>
          <w:rtl/>
        </w:rPr>
        <w:t xml:space="preserve"> </w:t>
      </w:r>
      <w:proofErr w:type="spellStart"/>
      <w:r>
        <w:rPr>
          <w:rtl/>
        </w:rPr>
        <w:t>גוט</w:t>
      </w:r>
      <w:proofErr w:type="spellEnd"/>
      <w:r>
        <w:rPr>
          <w:rtl/>
        </w:rPr>
        <w:t xml:space="preserve">, אבער איך האב </w:t>
      </w:r>
      <w:proofErr w:type="spellStart"/>
      <w:r>
        <w:rPr>
          <w:rtl/>
        </w:rPr>
        <w:t>דאס</w:t>
      </w:r>
      <w:proofErr w:type="spellEnd"/>
      <w:r>
        <w:rPr>
          <w:rtl/>
        </w:rPr>
        <w:t xml:space="preserve"> ניט </w:t>
      </w:r>
      <w:proofErr w:type="spellStart"/>
      <w:r>
        <w:rPr>
          <w:rtl/>
        </w:rPr>
        <w:t>געזאגט</w:t>
      </w:r>
      <w:proofErr w:type="spellEnd"/>
      <w:r>
        <w:rPr>
          <w:rtl/>
        </w:rPr>
        <w:t xml:space="preserve"> [טוב מאוד, אבל אני לא אמרתי זאת].’”</w:t>
      </w:r>
    </w:p>
    <w:p w14:paraId="48BB3D05" w14:textId="77777777" w:rsidR="00AB3647" w:rsidRDefault="00000000" w:rsidP="007923E9">
      <w:pPr>
        <w:spacing w:after="120" w:line="276" w:lineRule="auto"/>
        <w:ind w:firstLine="283"/>
        <w:jc w:val="both"/>
      </w:pPr>
      <w:r>
        <w:rPr>
          <w:rtl/>
        </w:rPr>
        <w:t xml:space="preserve">הרב </w:t>
      </w:r>
      <w:proofErr w:type="spellStart"/>
      <w:r>
        <w:rPr>
          <w:rtl/>
        </w:rPr>
        <w:t>קורלנסקי</w:t>
      </w:r>
      <w:proofErr w:type="spellEnd"/>
      <w:r>
        <w:rPr>
          <w:rtl/>
        </w:rPr>
        <w:t xml:space="preserve"> סיים את סיפורו כך: “כששני הנוסעים הגיעו </w:t>
      </w:r>
      <w:proofErr w:type="spellStart"/>
      <w:r>
        <w:rPr>
          <w:rtl/>
        </w:rPr>
        <w:t>לסלבודקה</w:t>
      </w:r>
      <w:proofErr w:type="spellEnd"/>
      <w:r>
        <w:rPr>
          <w:rtl/>
        </w:rPr>
        <w:t>, שבה גרו הוריו של ר׳ מנדל</w:t>
      </w:r>
      <w:bookmarkStart w:id="3858" w:name="_fnr2919"/>
      <w:r>
        <w:rPr>
          <w:rStyle w:val="a5"/>
        </w:rPr>
        <w:footnoteReference w:id="2927" w:customMarkFollows="0"/>
      </w:r>
      <w:bookmarkEnd w:id="3858"/>
      <w:r>
        <w:rPr>
          <w:rtl/>
        </w:rPr>
        <w:t xml:space="preserve">, סיפר לאביו שנפגשו במקרה עם ר׳ חיים </w:t>
      </w:r>
      <w:proofErr w:type="spellStart"/>
      <w:r>
        <w:rPr>
          <w:rtl/>
        </w:rPr>
        <w:t>סולובייצ׳יק</w:t>
      </w:r>
      <w:proofErr w:type="spellEnd"/>
      <w:r>
        <w:rPr>
          <w:rtl/>
        </w:rPr>
        <w:t xml:space="preserve"> ברכבת. האב העביר את המידע </w:t>
      </w:r>
      <w:proofErr w:type="spellStart"/>
      <w:r>
        <w:rPr>
          <w:rtl/>
        </w:rPr>
        <w:t>לר</w:t>
      </w:r>
      <w:proofErr w:type="spellEnd"/>
      <w:r>
        <w:rPr>
          <w:rtl/>
        </w:rPr>
        <w:t xml:space="preserve">׳ </w:t>
      </w:r>
      <w:proofErr w:type="spellStart"/>
      <w:r>
        <w:rPr>
          <w:rtl/>
        </w:rPr>
        <w:t>ברוך־בער</w:t>
      </w:r>
      <w:proofErr w:type="spellEnd"/>
      <w:r>
        <w:rPr>
          <w:rtl/>
        </w:rPr>
        <w:t xml:space="preserve">, שביקש מיד שישלחו אליו את הבחור שדיבר עם רבו. כשר׳ </w:t>
      </w:r>
      <w:proofErr w:type="spellStart"/>
      <w:r>
        <w:rPr>
          <w:rtl/>
        </w:rPr>
        <w:t>ברוך־בער</w:t>
      </w:r>
      <w:proofErr w:type="spellEnd"/>
      <w:r>
        <w:rPr>
          <w:rtl/>
        </w:rPr>
        <w:t xml:space="preserve"> חקר אותו על מה שאמר </w:t>
      </w:r>
      <w:proofErr w:type="spellStart"/>
      <w:r>
        <w:rPr>
          <w:rtl/>
        </w:rPr>
        <w:t>ל‘רבי</w:t>
      </w:r>
      <w:proofErr w:type="spellEnd"/>
      <w:r>
        <w:rPr>
          <w:rtl/>
        </w:rPr>
        <w:t xml:space="preserve">’, חזר במדויק על חילופי הדברים. אז אמר ר׳ </w:t>
      </w:r>
      <w:proofErr w:type="spellStart"/>
      <w:r>
        <w:rPr>
          <w:rtl/>
        </w:rPr>
        <w:t>ברוך־בער</w:t>
      </w:r>
      <w:proofErr w:type="spellEnd"/>
      <w:r>
        <w:rPr>
          <w:rtl/>
        </w:rPr>
        <w:t>: ‘</w:t>
      </w:r>
      <w:proofErr w:type="spellStart"/>
      <w:r>
        <w:rPr>
          <w:rtl/>
        </w:rPr>
        <w:t>וואס</w:t>
      </w:r>
      <w:proofErr w:type="spellEnd"/>
      <w:r>
        <w:rPr>
          <w:rtl/>
        </w:rPr>
        <w:t xml:space="preserve"> </w:t>
      </w:r>
      <w:proofErr w:type="spellStart"/>
      <w:r>
        <w:rPr>
          <w:rtl/>
        </w:rPr>
        <w:t>הייסט</w:t>
      </w:r>
      <w:proofErr w:type="spellEnd"/>
      <w:r>
        <w:rPr>
          <w:rtl/>
        </w:rPr>
        <w:t xml:space="preserve"> [מה זאת אומרת]?! אני עצמי שמעתי את הרבי אומר את התשובה הזאת!’”</w:t>
      </w:r>
    </w:p>
    <w:p w14:paraId="5220BDDC" w14:textId="77777777" w:rsidR="00AB3647" w:rsidRDefault="00000000" w:rsidP="007923E9">
      <w:pPr>
        <w:spacing w:after="120" w:line="276" w:lineRule="auto"/>
        <w:ind w:firstLine="283"/>
        <w:jc w:val="both"/>
      </w:pPr>
      <w:r>
        <w:rPr>
          <w:rtl/>
        </w:rPr>
        <w:t xml:space="preserve">הסברו של אבי יישב את תמיהת ר׳ </w:t>
      </w:r>
      <w:proofErr w:type="spellStart"/>
      <w:r>
        <w:rPr>
          <w:rtl/>
        </w:rPr>
        <w:t>ברוך־בער</w:t>
      </w:r>
      <w:proofErr w:type="spellEnd"/>
      <w:r>
        <w:rPr>
          <w:rtl/>
        </w:rPr>
        <w:t>: אם לא חזרו על יסודו של ר׳ חיים בלשונו המדויקת, הרי הוא “מעולם לא אמר אותו”.</w:t>
      </w:r>
    </w:p>
    <w:p w14:paraId="4D2080FB" w14:textId="77777777" w:rsidR="00AB3647" w:rsidRDefault="00000000" w:rsidP="007923E9">
      <w:pPr>
        <w:spacing w:after="120" w:line="276" w:lineRule="auto"/>
        <w:ind w:firstLine="283"/>
        <w:jc w:val="both"/>
      </w:pPr>
      <w:r>
        <w:rPr>
          <w:rtl/>
        </w:rPr>
        <w:t>השווה גם את הקדמת “חידושי רבנו חיים הלוי”</w:t>
      </w:r>
      <w:bookmarkStart w:id="3859" w:name="_fnr2920"/>
      <w:r>
        <w:rPr>
          <w:rStyle w:val="a5"/>
        </w:rPr>
        <w:footnoteReference w:id="2928" w:customMarkFollows="0"/>
      </w:r>
      <w:bookmarkEnd w:id="3859"/>
      <w:r>
        <w:rPr>
          <w:rtl/>
        </w:rPr>
        <w:t xml:space="preserve">, הספר היחיד שר׳ חיים הכין לדפוס, שיצא לאחר פטירתו. בהקדמה כותבים “בני הגאון המחבר”, </w:t>
      </w:r>
      <w:proofErr w:type="spellStart"/>
      <w:r>
        <w:rPr>
          <w:rtl/>
        </w:rPr>
        <w:t>ש“חותמים</w:t>
      </w:r>
      <w:proofErr w:type="spellEnd"/>
      <w:r>
        <w:rPr>
          <w:rtl/>
        </w:rPr>
        <w:t xml:space="preserve"> ברעדה ביום כ״א באב תרצ״ו”</w:t>
      </w:r>
      <w:bookmarkStart w:id="3860" w:name="_fnr2921"/>
      <w:r>
        <w:rPr>
          <w:rStyle w:val="a5"/>
        </w:rPr>
        <w:footnoteReference w:id="2929" w:customMarkFollows="0"/>
      </w:r>
      <w:bookmarkEnd w:id="3860"/>
      <w:r>
        <w:rPr>
          <w:rtl/>
        </w:rPr>
        <w:t xml:space="preserve">, לאמור: “כשם שדרכו של </w:t>
      </w:r>
      <w:proofErr w:type="spellStart"/>
      <w:r>
        <w:rPr>
          <w:rtl/>
        </w:rPr>
        <w:t>אאמו״ר</w:t>
      </w:r>
      <w:proofErr w:type="spellEnd"/>
      <w:r>
        <w:rPr>
          <w:rtl/>
        </w:rPr>
        <w:t xml:space="preserve"> בעניין דרך הלימוד והחידוש הייתה מופלאה, בעמלו בהם עמל עצום בשכלו הכביר והמופלא, כדי שהכול יהיה מכוון לאמיתה של תורה בעומק עצום, כך ממש נהג בעניין כתיבת חידושיו והעלאתם על הכתב – שגם זו הייתה אצלו חלק מן הלימוד. הוא השקיע בכך את שכלו כמו בלימוד עצמו, ובמאזני הבנתו הנעלה </w:t>
      </w:r>
      <w:r>
        <w:rPr>
          <w:rtl/>
        </w:rPr>
        <w:lastRenderedPageBreak/>
        <w:t>והעמוקה שקל ממש כל מילה ומילה וזיקק אותה שבעתיים, כדי שיהיו הדברים מדויקים ומכוונים עד כחוט השערה.”</w:t>
      </w:r>
    </w:p>
    <w:p w14:paraId="7300F1C6" w14:textId="77777777" w:rsidR="00AB3647" w:rsidRDefault="00000000" w:rsidP="007923E9">
      <w:pPr>
        <w:spacing w:after="120" w:line="276" w:lineRule="auto"/>
        <w:ind w:firstLine="283"/>
        <w:jc w:val="both"/>
      </w:pPr>
      <w:r>
        <w:rPr>
          <w:rtl/>
        </w:rPr>
        <w:t xml:space="preserve">ר׳ גבריאל </w:t>
      </w:r>
      <w:proofErr w:type="spellStart"/>
      <w:r>
        <w:rPr>
          <w:rtl/>
        </w:rPr>
        <w:t>גינזבורג</w:t>
      </w:r>
      <w:proofErr w:type="spellEnd"/>
      <w:r>
        <w:rPr>
          <w:rtl/>
        </w:rPr>
        <w:t xml:space="preserve"> סיפר</w:t>
      </w:r>
      <w:bookmarkStart w:id="3861" w:name="_fnr2922"/>
      <w:r>
        <w:rPr>
          <w:rStyle w:val="a5"/>
        </w:rPr>
        <w:footnoteReference w:id="2930" w:customMarkFollows="0"/>
      </w:r>
      <w:bookmarkEnd w:id="3861"/>
      <w:r>
        <w:rPr>
          <w:rtl/>
        </w:rPr>
        <w:t xml:space="preserve"> שר׳ אליעזר </w:t>
      </w:r>
      <w:proofErr w:type="spellStart"/>
      <w:r>
        <w:rPr>
          <w:rtl/>
        </w:rPr>
        <w:t>סילבר</w:t>
      </w:r>
      <w:proofErr w:type="spellEnd"/>
      <w:r>
        <w:rPr>
          <w:rtl/>
        </w:rPr>
        <w:t xml:space="preserve"> אמר לו: “ר׳ חיים הכתיב את חידושיו מילה במילה לעילוי </w:t>
      </w:r>
      <w:proofErr w:type="spellStart"/>
      <w:r>
        <w:rPr>
          <w:rtl/>
        </w:rPr>
        <w:t>ממייצ׳ט</w:t>
      </w:r>
      <w:proofErr w:type="spellEnd"/>
      <w:r>
        <w:rPr>
          <w:rtl/>
        </w:rPr>
        <w:t xml:space="preserve">, ר׳ שלמה </w:t>
      </w:r>
      <w:proofErr w:type="spellStart"/>
      <w:r>
        <w:rPr>
          <w:rtl/>
        </w:rPr>
        <w:t>פוליצ׳ק</w:t>
      </w:r>
      <w:proofErr w:type="spellEnd"/>
      <w:r>
        <w:rPr>
          <w:rtl/>
        </w:rPr>
        <w:t>, היחיד שהשיג את מלוא עומקה של תורת ר׳ חיים. אבל ר׳ שלמה לא יכול היה להעלותם כראוי על הכתב בכוחות עצמו. לאחר שר׳ שלמה כתב אותם, לקח ר׳ חיים את הנייר, עיין בו – וקרע אותו. הדבר חזר ארבע פעמים, עד שנחה דעתו של ר׳ חיים.”</w:t>
      </w:r>
      <w:bookmarkStart w:id="3862" w:name="_fnr2923"/>
      <w:r>
        <w:rPr>
          <w:rStyle w:val="a5"/>
        </w:rPr>
        <w:footnoteReference w:id="2931" w:customMarkFollows="0"/>
      </w:r>
      <w:bookmarkEnd w:id="3862"/>
    </w:p>
    <w:p w14:paraId="06483BE8" w14:textId="77777777" w:rsidR="00AB3647" w:rsidRDefault="00000000" w:rsidP="007923E9">
      <w:pPr>
        <w:spacing w:after="120" w:line="276" w:lineRule="auto"/>
        <w:ind w:firstLine="283"/>
        <w:jc w:val="both"/>
      </w:pPr>
      <w:r>
        <w:rPr>
          <w:rtl/>
        </w:rPr>
        <w:t xml:space="preserve">ר׳ חיים </w:t>
      </w:r>
      <w:proofErr w:type="spellStart"/>
      <w:r>
        <w:rPr>
          <w:rtl/>
        </w:rPr>
        <w:t>גרוזובסקי</w:t>
      </w:r>
      <w:bookmarkStart w:id="3863" w:name="_fnr2924"/>
      <w:proofErr w:type="spellEnd"/>
      <w:r>
        <w:rPr>
          <w:rStyle w:val="a5"/>
        </w:rPr>
        <w:footnoteReference w:id="2932" w:customMarkFollows="0"/>
      </w:r>
      <w:bookmarkEnd w:id="3863"/>
      <w:r>
        <w:rPr>
          <w:rtl/>
        </w:rPr>
        <w:t xml:space="preserve"> השלים את סיפורו של הרב </w:t>
      </w:r>
      <w:proofErr w:type="spellStart"/>
      <w:r>
        <w:rPr>
          <w:rtl/>
        </w:rPr>
        <w:t>קורלנסקי</w:t>
      </w:r>
      <w:proofErr w:type="spellEnd"/>
      <w:r>
        <w:rPr>
          <w:rtl/>
        </w:rPr>
        <w:t xml:space="preserve">: הוא סיפר מה חזר לפני ר׳ חיים ר׳ ראובן, חברו של ר׳ מנדל שוק לנסיעה – ור׳ חיים התנער ממנו. ר׳ ראובן, אביו של ר׳ חיים </w:t>
      </w:r>
      <w:proofErr w:type="spellStart"/>
      <w:r>
        <w:rPr>
          <w:rtl/>
        </w:rPr>
        <w:t>גרוזובסקי</w:t>
      </w:r>
      <w:proofErr w:type="spellEnd"/>
      <w:r>
        <w:rPr>
          <w:rtl/>
        </w:rPr>
        <w:t xml:space="preserve">, חזר על אחד החידושים ששמע מר׳ </w:t>
      </w:r>
      <w:proofErr w:type="spellStart"/>
      <w:r>
        <w:rPr>
          <w:rtl/>
        </w:rPr>
        <w:t>ברוך־בער</w:t>
      </w:r>
      <w:proofErr w:type="spellEnd"/>
      <w:r>
        <w:rPr>
          <w:rtl/>
        </w:rPr>
        <w:t xml:space="preserve"> </w:t>
      </w:r>
      <w:r>
        <w:rPr>
          <w:b/>
          <w:bCs/>
          <w:rtl/>
        </w:rPr>
        <w:t>בשם ר׳ חיים</w:t>
      </w:r>
      <w:bookmarkStart w:id="3864" w:name="_fnr2925"/>
      <w:r>
        <w:rPr>
          <w:rStyle w:val="a5"/>
        </w:rPr>
        <w:footnoteReference w:id="2933" w:customMarkFollows="0"/>
      </w:r>
      <w:bookmarkEnd w:id="3864"/>
      <w:r>
        <w:rPr>
          <w:rtl/>
        </w:rPr>
        <w:t xml:space="preserve">. כשהגיעו הנוסעים </w:t>
      </w:r>
      <w:proofErr w:type="spellStart"/>
      <w:r>
        <w:rPr>
          <w:rtl/>
        </w:rPr>
        <w:t>לסלבודקה</w:t>
      </w:r>
      <w:proofErr w:type="spellEnd"/>
      <w:r>
        <w:rPr>
          <w:rtl/>
        </w:rPr>
        <w:t xml:space="preserve"> וסיפר ר׳ ראובן </w:t>
      </w:r>
      <w:proofErr w:type="spellStart"/>
      <w:r>
        <w:rPr>
          <w:rtl/>
        </w:rPr>
        <w:t>לר</w:t>
      </w:r>
      <w:proofErr w:type="spellEnd"/>
      <w:r>
        <w:rPr>
          <w:rtl/>
        </w:rPr>
        <w:t xml:space="preserve">׳ </w:t>
      </w:r>
      <w:proofErr w:type="spellStart"/>
      <w:r>
        <w:rPr>
          <w:rtl/>
        </w:rPr>
        <w:t>ברוך־בער</w:t>
      </w:r>
      <w:proofErr w:type="spellEnd"/>
      <w:r>
        <w:rPr>
          <w:rtl/>
        </w:rPr>
        <w:t xml:space="preserve"> מאיזה ביאור התנער ר׳ חיים, הסביר ר׳ </w:t>
      </w:r>
      <w:proofErr w:type="spellStart"/>
      <w:r>
        <w:rPr>
          <w:rtl/>
        </w:rPr>
        <w:t>ברוך־בער</w:t>
      </w:r>
      <w:proofErr w:type="spellEnd"/>
      <w:r>
        <w:rPr>
          <w:rtl/>
        </w:rPr>
        <w:t xml:space="preserve"> שר׳ ראובן לא חזר עליו בעמקות מספקת</w:t>
      </w:r>
      <w:bookmarkStart w:id="3865" w:name="_fnr2926"/>
      <w:r>
        <w:rPr>
          <w:rStyle w:val="a5"/>
        </w:rPr>
        <w:footnoteReference w:id="2934" w:customMarkFollows="0"/>
      </w:r>
      <w:bookmarkEnd w:id="3865"/>
      <w:r>
        <w:rPr>
          <w:rtl/>
        </w:rPr>
        <w:t>.</w:t>
      </w:r>
    </w:p>
    <w:p w14:paraId="1C2EFA3E" w14:textId="77777777" w:rsidR="00AB3647" w:rsidRDefault="00000000" w:rsidP="007923E9">
      <w:pPr>
        <w:spacing w:after="120" w:line="276" w:lineRule="auto"/>
        <w:ind w:firstLine="283"/>
        <w:jc w:val="both"/>
      </w:pPr>
      <w:r>
        <w:rPr>
          <w:rtl/>
        </w:rPr>
        <w:t xml:space="preserve">על מה שנחשב אצל ר׳ </w:t>
      </w:r>
      <w:proofErr w:type="spellStart"/>
      <w:r>
        <w:rPr>
          <w:rtl/>
        </w:rPr>
        <w:t>ברוך־בער</w:t>
      </w:r>
      <w:proofErr w:type="spellEnd"/>
      <w:r>
        <w:rPr>
          <w:rtl/>
        </w:rPr>
        <w:t xml:space="preserve"> “ביאור מעמיק יותר” השווה הקדמת “שיעורי וזכר רבי ברוך דוב זצ״ל </w:t>
      </w:r>
      <w:proofErr w:type="spellStart"/>
      <w:r>
        <w:rPr>
          <w:rtl/>
        </w:rPr>
        <w:t>ליבוביץ</w:t>
      </w:r>
      <w:proofErr w:type="spellEnd"/>
      <w:r>
        <w:rPr>
          <w:rtl/>
        </w:rPr>
        <w:t>”</w:t>
      </w:r>
      <w:bookmarkStart w:id="3866" w:name="_fnr2927"/>
      <w:r>
        <w:rPr>
          <w:rStyle w:val="a5"/>
        </w:rPr>
        <w:footnoteReference w:id="2935" w:customMarkFollows="0"/>
      </w:r>
      <w:bookmarkEnd w:id="3866"/>
      <w:r>
        <w:rPr>
          <w:rtl/>
        </w:rPr>
        <w:t xml:space="preserve">. ר׳ </w:t>
      </w:r>
      <w:proofErr w:type="spellStart"/>
      <w:r>
        <w:rPr>
          <w:rtl/>
        </w:rPr>
        <w:t>ישראל־זאב</w:t>
      </w:r>
      <w:proofErr w:type="spellEnd"/>
      <w:r>
        <w:rPr>
          <w:rtl/>
        </w:rPr>
        <w:t xml:space="preserve"> </w:t>
      </w:r>
      <w:proofErr w:type="spellStart"/>
      <w:r>
        <w:rPr>
          <w:rtl/>
        </w:rPr>
        <w:t>גוסטמן</w:t>
      </w:r>
      <w:proofErr w:type="spellEnd"/>
      <w:r>
        <w:rPr>
          <w:rtl/>
        </w:rPr>
        <w:t xml:space="preserve"> סיפר שם שר׳ </w:t>
      </w:r>
      <w:proofErr w:type="spellStart"/>
      <w:r>
        <w:rPr>
          <w:rtl/>
        </w:rPr>
        <w:t>ברוך־בער</w:t>
      </w:r>
      <w:proofErr w:type="spellEnd"/>
      <w:r>
        <w:rPr>
          <w:rtl/>
        </w:rPr>
        <w:t xml:space="preserve"> חזר על אותו שיעור פעמיים, מילה במילה, אבל הסביר שבפעם השנייה היה הביאור טוב יותר בזכות תנועותיו ומחוותיו השונות: בפעם הראשונה היו עיניו פתוחות ובשנייה עצומות, ובפעם הראשונה היו ידיו שקטות ובשנייה נעו – או להפך. השווה גם “ר׳ ברוך בר”</w:t>
      </w:r>
      <w:bookmarkStart w:id="3867" w:name="_fnr2928"/>
      <w:r>
        <w:rPr>
          <w:rStyle w:val="a5"/>
        </w:rPr>
        <w:footnoteReference w:id="2936" w:customMarkFollows="0"/>
      </w:r>
      <w:bookmarkEnd w:id="3867"/>
      <w:r>
        <w:rPr>
          <w:rtl/>
        </w:rPr>
        <w:t xml:space="preserve">: “ר׳ </w:t>
      </w:r>
      <w:proofErr w:type="spellStart"/>
      <w:r>
        <w:rPr>
          <w:rtl/>
        </w:rPr>
        <w:t>ברוך־בער</w:t>
      </w:r>
      <w:proofErr w:type="spellEnd"/>
      <w:r>
        <w:rPr>
          <w:rtl/>
        </w:rPr>
        <w:t xml:space="preserve"> ניסה תמיד להבין את תגובת רבו – את תנועותיו ואת דבריו – לחידושים שהרצה לפניו. על חידושים מסוימים שתק הרב, ועל אחרים חייך. חידושים שעליהם אמר הרב שהם ‘הגיוניים’ לא ראה ר׳ </w:t>
      </w:r>
      <w:proofErr w:type="spellStart"/>
      <w:r>
        <w:rPr>
          <w:rtl/>
        </w:rPr>
        <w:t>ברוך־בער</w:t>
      </w:r>
      <w:proofErr w:type="spellEnd"/>
      <w:r>
        <w:rPr>
          <w:rtl/>
        </w:rPr>
        <w:t xml:space="preserve"> ראויים להיכלל </w:t>
      </w:r>
      <w:proofErr w:type="spellStart"/>
      <w:r>
        <w:rPr>
          <w:rtl/>
        </w:rPr>
        <w:t>ב‘ספר</w:t>
      </w:r>
      <w:proofErr w:type="spellEnd"/>
      <w:r>
        <w:rPr>
          <w:rtl/>
        </w:rPr>
        <w:t xml:space="preserve"> ברכת שמואל’.”</w:t>
      </w:r>
    </w:p>
    <w:p w14:paraId="5142D086" w14:textId="77777777" w:rsidR="00AB3647" w:rsidRDefault="00000000" w:rsidP="007923E9">
      <w:pPr>
        <w:spacing w:after="120" w:line="276" w:lineRule="auto"/>
        <w:ind w:firstLine="283"/>
        <w:jc w:val="both"/>
      </w:pPr>
      <w:r>
        <w:rPr>
          <w:rtl/>
        </w:rPr>
        <w:t xml:space="preserve">גם שנים רבות לאחר מכן זכר ר׳ חיים לפחות אחד משני התלמידים שפגש בנסיעה ברכבת. ר׳ חיים </w:t>
      </w:r>
      <w:proofErr w:type="spellStart"/>
      <w:r>
        <w:rPr>
          <w:rtl/>
        </w:rPr>
        <w:t>גרוזובסקי</w:t>
      </w:r>
      <w:proofErr w:type="spellEnd"/>
      <w:r>
        <w:rPr>
          <w:rtl/>
        </w:rPr>
        <w:t xml:space="preserve"> סיפר</w:t>
      </w:r>
      <w:bookmarkStart w:id="3868" w:name="_fnr2929"/>
      <w:r>
        <w:rPr>
          <w:rStyle w:val="a5"/>
        </w:rPr>
        <w:footnoteReference w:id="2937" w:customMarkFollows="0"/>
      </w:r>
      <w:bookmarkEnd w:id="3868"/>
      <w:r>
        <w:rPr>
          <w:rtl/>
        </w:rPr>
        <w:t xml:space="preserve">, בעניין נישואי הוריו </w:t>
      </w:r>
      <w:proofErr w:type="spellStart"/>
      <w:r>
        <w:rPr>
          <w:rtl/>
        </w:rPr>
        <w:t>בקרמנצ׳וג</w:t>
      </w:r>
      <w:proofErr w:type="spellEnd"/>
      <w:r>
        <w:rPr>
          <w:rtl/>
        </w:rPr>
        <w:t xml:space="preserve"> </w:t>
      </w:r>
      <w:proofErr w:type="spellStart"/>
      <w:r>
        <w:rPr>
          <w:rtl/>
        </w:rPr>
        <w:t>בתרע״ט</w:t>
      </w:r>
      <w:proofErr w:type="spellEnd"/>
      <w:r>
        <w:rPr>
          <w:rtl/>
        </w:rPr>
        <w:t xml:space="preserve">, שכאשר דן ר׳ </w:t>
      </w:r>
      <w:proofErr w:type="spellStart"/>
      <w:r>
        <w:rPr>
          <w:rtl/>
        </w:rPr>
        <w:t>ברוך־בער</w:t>
      </w:r>
      <w:proofErr w:type="spellEnd"/>
      <w:r>
        <w:rPr>
          <w:rtl/>
        </w:rPr>
        <w:t xml:space="preserve"> </w:t>
      </w:r>
      <w:r>
        <w:rPr>
          <w:rtl/>
        </w:rPr>
        <w:lastRenderedPageBreak/>
        <w:t xml:space="preserve">עם רבו בבחירת חתן לבתו השנייה, הציע ר׳ חיים “את ר׳ ראובן </w:t>
      </w:r>
      <w:proofErr w:type="spellStart"/>
      <w:r>
        <w:rPr>
          <w:rtl/>
        </w:rPr>
        <w:t>מינסקר</w:t>
      </w:r>
      <w:proofErr w:type="spellEnd"/>
      <w:r>
        <w:rPr>
          <w:rtl/>
        </w:rPr>
        <w:t xml:space="preserve"> (</w:t>
      </w:r>
      <w:proofErr w:type="spellStart"/>
      <w:r>
        <w:rPr>
          <w:rtl/>
        </w:rPr>
        <w:t>גרוזובסקי</w:t>
      </w:r>
      <w:proofErr w:type="spellEnd"/>
      <w:r>
        <w:rPr>
          <w:rtl/>
        </w:rPr>
        <w:t>), שהכרתיו מן הפגישה המקרית ברכבת”.</w:t>
      </w:r>
    </w:p>
    <w:p w14:paraId="0B4680C5" w14:textId="77777777" w:rsidR="00AB3647" w:rsidRDefault="00000000" w:rsidP="007923E9">
      <w:pPr>
        <w:spacing w:after="120" w:line="276" w:lineRule="auto"/>
        <w:ind w:firstLine="283"/>
        <w:jc w:val="both"/>
      </w:pPr>
      <w:r>
        <w:rPr>
          <w:rtl/>
        </w:rPr>
        <w:t xml:space="preserve">בנישואין אלה ודאי פעל ר׳ </w:t>
      </w:r>
      <w:proofErr w:type="spellStart"/>
      <w:r>
        <w:rPr>
          <w:rtl/>
        </w:rPr>
        <w:t>ברוך־בער</w:t>
      </w:r>
      <w:proofErr w:type="spellEnd"/>
      <w:r>
        <w:rPr>
          <w:rtl/>
        </w:rPr>
        <w:t xml:space="preserve"> על פי עצה שקיבל מר׳ חיים זמן רב קודם לכן. ההזדמנות האחרונה של השניים לשוחח בעניינים הייתה בשנת תרע״ה, כשעזב ר׳ </w:t>
      </w:r>
      <w:proofErr w:type="spellStart"/>
      <w:r>
        <w:rPr>
          <w:rtl/>
        </w:rPr>
        <w:t>ברוך־בער</w:t>
      </w:r>
      <w:proofErr w:type="spellEnd"/>
      <w:r>
        <w:rPr>
          <w:rtl/>
        </w:rPr>
        <w:t xml:space="preserve"> את מינסק – שאליה נמלט ר׳ חיים קודם לכן </w:t>
      </w:r>
      <w:proofErr w:type="spellStart"/>
      <w:r>
        <w:rPr>
          <w:rtl/>
        </w:rPr>
        <w:t>מבריסק</w:t>
      </w:r>
      <w:proofErr w:type="spellEnd"/>
      <w:r>
        <w:rPr>
          <w:rtl/>
        </w:rPr>
        <w:t xml:space="preserve"> – ויצא </w:t>
      </w:r>
      <w:proofErr w:type="spellStart"/>
      <w:r>
        <w:rPr>
          <w:rtl/>
        </w:rPr>
        <w:t>לקרמנצ׳וג</w:t>
      </w:r>
      <w:proofErr w:type="spellEnd"/>
      <w:r>
        <w:rPr>
          <w:rtl/>
        </w:rPr>
        <w:t xml:space="preserve">. באותה עת הייתה בתו בת </w:t>
      </w:r>
      <w:proofErr w:type="spellStart"/>
      <w:r>
        <w:rPr>
          <w:rtl/>
        </w:rPr>
        <w:t>שבע־עשרה</w:t>
      </w:r>
      <w:proofErr w:type="spellEnd"/>
      <w:r>
        <w:rPr>
          <w:rtl/>
        </w:rPr>
        <w:t xml:space="preserve"> בלבד. מאז פרוץ המלחמה באב תרע״ד, שנה קודם לכן, ועד שנפגשו כפליטים במינסק, ודאי לא היה קשר ביניהם, ולפני כן לא היה ר׳ </w:t>
      </w:r>
      <w:proofErr w:type="spellStart"/>
      <w:r>
        <w:rPr>
          <w:rtl/>
        </w:rPr>
        <w:t>ברוך־בער</w:t>
      </w:r>
      <w:proofErr w:type="spellEnd"/>
      <w:r>
        <w:rPr>
          <w:rtl/>
        </w:rPr>
        <w:t xml:space="preserve"> מודאג משידוך לבתו בת </w:t>
      </w:r>
      <w:proofErr w:type="spellStart"/>
      <w:r>
        <w:rPr>
          <w:rtl/>
        </w:rPr>
        <w:t>החמש־עשרה</w:t>
      </w:r>
      <w:proofErr w:type="spellEnd"/>
      <w:r>
        <w:rPr>
          <w:rtl/>
        </w:rPr>
        <w:t xml:space="preserve"> או </w:t>
      </w:r>
      <w:proofErr w:type="spellStart"/>
      <w:r>
        <w:rPr>
          <w:rtl/>
        </w:rPr>
        <w:t>השש־עשרה</w:t>
      </w:r>
      <w:proofErr w:type="spellEnd"/>
      <w:r>
        <w:rPr>
          <w:rtl/>
        </w:rPr>
        <w:t>.</w:t>
      </w:r>
    </w:p>
    <w:p w14:paraId="2AC6C21C" w14:textId="1B9BA8BF" w:rsidR="00AB3647" w:rsidRDefault="00000000" w:rsidP="007923E9">
      <w:pPr>
        <w:spacing w:after="120" w:line="276" w:lineRule="auto"/>
        <w:ind w:firstLine="283"/>
        <w:jc w:val="both"/>
      </w:pPr>
      <w:r>
        <w:rPr>
          <w:rtl/>
        </w:rPr>
        <w:t xml:space="preserve">עד שהגיע ר׳ חיים למינסק </w:t>
      </w:r>
      <w:proofErr w:type="spellStart"/>
      <w:r>
        <w:rPr>
          <w:rtl/>
        </w:rPr>
        <w:t>בתרע״ה</w:t>
      </w:r>
      <w:proofErr w:type="spellEnd"/>
      <w:r>
        <w:rPr>
          <w:rtl/>
        </w:rPr>
        <w:t xml:space="preserve">, כבר נמלט ר׳ ראובן לווילנה, ושם הסתתר מהגיוס הרוסי בבית אחותו המבוגרת ממנו, שרה </w:t>
      </w:r>
      <w:proofErr w:type="spellStart"/>
      <w:r>
        <w:rPr>
          <w:rtl/>
        </w:rPr>
        <w:t>שטופלר</w:t>
      </w:r>
      <w:bookmarkStart w:id="3869" w:name="_fnr2930"/>
      <w:proofErr w:type="spellEnd"/>
      <w:r>
        <w:rPr>
          <w:rStyle w:val="a5"/>
        </w:rPr>
        <w:footnoteReference w:id="2938" w:customMarkFollows="0"/>
      </w:r>
      <w:bookmarkEnd w:id="3869"/>
      <w:r>
        <w:rPr>
          <w:rtl/>
        </w:rPr>
        <w:t xml:space="preserve">. לכן אי אפשר היה לפעול על פי הצעת רבו עד שתמה המלחמה ברוסיה וחזר ר׳ ראובן לישיבת </w:t>
      </w:r>
      <w:proofErr w:type="spellStart"/>
      <w:r>
        <w:rPr>
          <w:rtl/>
        </w:rPr>
        <w:t>סלבודקה</w:t>
      </w:r>
      <w:proofErr w:type="spellEnd"/>
      <w:r>
        <w:rPr>
          <w:rtl/>
        </w:rPr>
        <w:t xml:space="preserve">, שהייתה אז </w:t>
      </w:r>
      <w:proofErr w:type="spellStart"/>
      <w:r>
        <w:rPr>
          <w:rtl/>
        </w:rPr>
        <w:t>בקרמנצ׳וג</w:t>
      </w:r>
      <w:proofErr w:type="spellEnd"/>
      <w:r>
        <w:rPr>
          <w:rtl/>
        </w:rPr>
        <w:t xml:space="preserve">. מתברר אם כן שעצתו של ר׳ חיים ניתנה כארבע שנים לפני החתונה, ויושמה לאחר שנפטר ר׳ חיים </w:t>
      </w:r>
      <w:proofErr w:type="spellStart"/>
      <w:r>
        <w:rPr>
          <w:rtl/>
        </w:rPr>
        <w:t>בתרע״ח</w:t>
      </w:r>
      <w:proofErr w:type="spellEnd"/>
      <w:r>
        <w:rPr>
          <w:rtl/>
        </w:rPr>
        <w:t xml:space="preserve">. מעניין גם שר׳ </w:t>
      </w:r>
      <w:proofErr w:type="spellStart"/>
      <w:r>
        <w:rPr>
          <w:rtl/>
        </w:rPr>
        <w:t>ברוך־בער</w:t>
      </w:r>
      <w:proofErr w:type="spellEnd"/>
      <w:r>
        <w:rPr>
          <w:rtl/>
        </w:rPr>
        <w:t xml:space="preserve"> ביקש עצה מר׳ חיים בעניין בתו השנייה, בשעה שבתו הבכורה, שכבר הייתה בת 25 </w:t>
      </w:r>
      <w:proofErr w:type="spellStart"/>
      <w:r>
        <w:rPr>
          <w:rtl/>
        </w:rPr>
        <w:t>בתרע״ה</w:t>
      </w:r>
      <w:proofErr w:type="spellEnd"/>
      <w:r>
        <w:rPr>
          <w:rtl/>
        </w:rPr>
        <w:t>, עדיין לא נישאה. אבל השווה סוף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לעיל, בעניין המצב המיוחד של הבת הבכורה.</w:t>
      </w:r>
    </w:p>
    <w:bookmarkStart w:id="3870" w:name="b3_excFF"/>
    <w:p w14:paraId="26117D05" w14:textId="77777777" w:rsidR="00AB3647" w:rsidRDefault="00000000" w:rsidP="007923E9">
      <w:pPr>
        <w:pStyle w:val="3"/>
        <w:spacing w:line="276" w:lineRule="auto"/>
      </w:pPr>
      <w:r>
        <w:lastRenderedPageBreak/>
        <w:fldChar w:fldCharType="begin" w:dirty="true"/>
      </w:r>
      <w:r>
        <w:rPr>
          <w:rtl w:val="0"/>
        </w:rPr>
        <w:instrText>HYPERLINK \l "b3_note136</w:instrText>
      </w:r>
      <w:r>
        <w:instrText>"</w:instrText>
      </w:r>
      <w:r>
        <w:fldChar w:fldCharType="separate"/>
      </w:r>
      <w:r>
        <w:t>נספח לב</w:t>
      </w:r>
      <w:r>
        <w:fldChar w:fldCharType="end"/>
      </w:r>
      <w:bookmarkEnd w:id="3870"/>
    </w:p>
    <w:p w14:paraId="07F60249" w14:textId="77777777" w:rsidR="00AB3647" w:rsidRDefault="00000000" w:rsidP="007923E9">
      <w:pPr>
        <w:pStyle w:val="af"/>
        <w:spacing w:line="276" w:lineRule="auto"/>
      </w:pPr>
      <w:r>
        <w:t xml:space="preserve">על דירוג גדולי התורה בנעוריו של רבנו ועל התמודדותו של ר׳ חיים </w:t>
      </w:r>
      <w:proofErr w:type="spellStart"/>
      <w:r>
        <w:t>סולובייצ׳יק</w:t>
      </w:r>
      <w:proofErr w:type="spellEnd"/>
      <w:r>
        <w:t xml:space="preserve"> עם ר׳ יוסף </w:t>
      </w:r>
      <w:proofErr w:type="spellStart"/>
      <w:r>
        <w:t>רוזין</w:t>
      </w:r>
      <w:proofErr w:type="spellEnd"/>
      <w:r>
        <w:t xml:space="preserve">, הגאון </w:t>
      </w:r>
      <w:proofErr w:type="spellStart"/>
      <w:r>
        <w:t>הרוגצ׳ובר</w:t>
      </w:r>
      <w:proofErr w:type="spellEnd"/>
    </w:p>
    <w:p w14:paraId="03C2595B" w14:textId="77777777" w:rsidR="00AB3647" w:rsidRDefault="00000000" w:rsidP="007923E9">
      <w:pPr>
        <w:pStyle w:val="5"/>
        <w:spacing w:line="276" w:lineRule="auto"/>
      </w:pPr>
      <w:r>
        <w:t xml:space="preserve">תלמידי </w:t>
      </w:r>
      <w:proofErr w:type="spellStart"/>
      <w:r>
        <w:t>סלבודקה</w:t>
      </w:r>
      <w:proofErr w:type="spellEnd"/>
      <w:r>
        <w:t xml:space="preserve"> מדרגים את </w:t>
      </w:r>
      <w:proofErr w:type="spellStart"/>
      <w:r>
        <w:t>ה“גדולים</w:t>
      </w:r>
      <w:proofErr w:type="spellEnd"/>
      <w:r>
        <w:t xml:space="preserve">” – ר׳ חיים </w:t>
      </w:r>
      <w:proofErr w:type="spellStart"/>
      <w:r>
        <w:t>סולובייצ׳יק</w:t>
      </w:r>
      <w:proofErr w:type="spellEnd"/>
      <w:r>
        <w:t xml:space="preserve"> אינו מתפעל מר׳ יוסף </w:t>
      </w:r>
      <w:proofErr w:type="spellStart"/>
      <w:r>
        <w:t>רוזין</w:t>
      </w:r>
      <w:proofErr w:type="spellEnd"/>
      <w:r>
        <w:t xml:space="preserve"> – הלה מקבל אורחים מאמריקה – הראשון מפריך את ראיותיו של האחרון – ר׳ </w:t>
      </w:r>
      <w:proofErr w:type="spellStart"/>
      <w:r>
        <w:t>מנדל׳ה</w:t>
      </w:r>
      <w:proofErr w:type="spellEnd"/>
      <w:r>
        <w:t xml:space="preserve"> אפשטיין מלמד את שניהם בנעוריהם </w:t>
      </w:r>
      <w:proofErr w:type="spellStart"/>
      <w:r>
        <w:t>בסלוצק</w:t>
      </w:r>
      <w:proofErr w:type="spellEnd"/>
      <w:r>
        <w:t xml:space="preserve"> – </w:t>
      </w:r>
      <w:proofErr w:type="spellStart"/>
      <w:r>
        <w:t>הרוגצ׳ובר</w:t>
      </w:r>
      <w:proofErr w:type="spellEnd"/>
      <w:r>
        <w:t xml:space="preserve"> שוהה זמן קצר </w:t>
      </w:r>
      <w:proofErr w:type="spellStart"/>
      <w:r>
        <w:t>בסלוצק</w:t>
      </w:r>
      <w:proofErr w:type="spellEnd"/>
    </w:p>
    <w:p w14:paraId="51EA9953" w14:textId="77777777" w:rsidR="00AB3647" w:rsidRDefault="00000000" w:rsidP="007923E9">
      <w:pPr>
        <w:spacing w:after="120" w:line="276" w:lineRule="auto"/>
        <w:ind w:firstLine="283"/>
        <w:jc w:val="both"/>
      </w:pPr>
      <w:r>
        <w:rPr>
          <w:rtl/>
        </w:rPr>
        <w:t xml:space="preserve">אבי אמר שבימיו </w:t>
      </w:r>
      <w:proofErr w:type="spellStart"/>
      <w:r>
        <w:rPr>
          <w:rtl/>
        </w:rPr>
        <w:t>בסלבודקה</w:t>
      </w:r>
      <w:proofErr w:type="spellEnd"/>
      <w:r>
        <w:rPr>
          <w:rtl/>
        </w:rPr>
        <w:t xml:space="preserve"> נחשבו ארבעה לגדולי הדור: ר׳ </w:t>
      </w:r>
      <w:proofErr w:type="spellStart"/>
      <w:r>
        <w:rPr>
          <w:rtl/>
        </w:rPr>
        <w:t>מאיר־שמחה</w:t>
      </w:r>
      <w:proofErr w:type="spellEnd"/>
      <w:r>
        <w:rPr>
          <w:rtl/>
        </w:rPr>
        <w:t xml:space="preserve"> כהן, ר׳ </w:t>
      </w:r>
      <w:proofErr w:type="spellStart"/>
      <w:r>
        <w:rPr>
          <w:rtl/>
        </w:rPr>
        <w:t>דוד׳ל</w:t>
      </w:r>
      <w:proofErr w:type="spellEnd"/>
      <w:r>
        <w:rPr>
          <w:rtl/>
        </w:rPr>
        <w:t xml:space="preserve"> פרידמן (</w:t>
      </w:r>
      <w:proofErr w:type="spellStart"/>
      <w:r>
        <w:rPr>
          <w:rtl/>
        </w:rPr>
        <w:t>קארלינער</w:t>
      </w:r>
      <w:proofErr w:type="spellEnd"/>
      <w:r>
        <w:rPr>
          <w:rtl/>
        </w:rPr>
        <w:t xml:space="preserve">), ר׳ יוסף </w:t>
      </w:r>
      <w:proofErr w:type="spellStart"/>
      <w:r>
        <w:rPr>
          <w:rtl/>
        </w:rPr>
        <w:t>רוזין</w:t>
      </w:r>
      <w:proofErr w:type="spellEnd"/>
      <w:r>
        <w:rPr>
          <w:rtl/>
        </w:rPr>
        <w:t xml:space="preserve"> (הגאון </w:t>
      </w:r>
      <w:proofErr w:type="spellStart"/>
      <w:r>
        <w:rPr>
          <w:rtl/>
        </w:rPr>
        <w:t>הרוגצ׳ובר</w:t>
      </w:r>
      <w:proofErr w:type="spellEnd"/>
      <w:r>
        <w:rPr>
          <w:rtl/>
        </w:rPr>
        <w:t xml:space="preserve">) ור׳ חיים </w:t>
      </w:r>
      <w:proofErr w:type="spellStart"/>
      <w:r>
        <w:rPr>
          <w:rtl/>
        </w:rPr>
        <w:t>סולובייצ׳יק</w:t>
      </w:r>
      <w:proofErr w:type="spellEnd"/>
      <w:r>
        <w:rPr>
          <w:rtl/>
        </w:rPr>
        <w:t xml:space="preserve">. בהזדמנויות אחרות חילק את הארבעה לשתי דרגות, והוסיף שמות של “גדולים מן הדרגה השלישית”. הוא אמר שר׳ חיים ור׳ </w:t>
      </w:r>
      <w:proofErr w:type="spellStart"/>
      <w:r>
        <w:rPr>
          <w:rtl/>
        </w:rPr>
        <w:t>דוד׳ל</w:t>
      </w:r>
      <w:proofErr w:type="spellEnd"/>
      <w:r>
        <w:rPr>
          <w:rtl/>
        </w:rPr>
        <w:t xml:space="preserve"> היו בדרגה הראשונה, ור׳ </w:t>
      </w:r>
      <w:proofErr w:type="spellStart"/>
      <w:r>
        <w:rPr>
          <w:rtl/>
        </w:rPr>
        <w:t>מאיר־שמחה</w:t>
      </w:r>
      <w:proofErr w:type="spellEnd"/>
      <w:r>
        <w:rPr>
          <w:rtl/>
        </w:rPr>
        <w:t xml:space="preserve"> </w:t>
      </w:r>
      <w:proofErr w:type="spellStart"/>
      <w:r>
        <w:rPr>
          <w:rtl/>
        </w:rPr>
        <w:t>והרוגצ׳ובר</w:t>
      </w:r>
      <w:proofErr w:type="spellEnd"/>
      <w:r>
        <w:rPr>
          <w:rtl/>
        </w:rPr>
        <w:t xml:space="preserve"> בשנייה. בריאיון על הסבא אמר על ר׳ </w:t>
      </w:r>
      <w:proofErr w:type="spellStart"/>
      <w:r>
        <w:rPr>
          <w:rtl/>
        </w:rPr>
        <w:t>איצל׳ה</w:t>
      </w:r>
      <w:proofErr w:type="spellEnd"/>
      <w:r>
        <w:rPr>
          <w:rtl/>
        </w:rPr>
        <w:t xml:space="preserve"> </w:t>
      </w:r>
      <w:proofErr w:type="spellStart"/>
      <w:r>
        <w:rPr>
          <w:rtl/>
        </w:rPr>
        <w:t>הפוניבז׳ער</w:t>
      </w:r>
      <w:proofErr w:type="spellEnd"/>
      <w:r>
        <w:rPr>
          <w:rtl/>
        </w:rPr>
        <w:t xml:space="preserve">: “הוא היה גאון עצום, אבל לא בדרגתו של ר׳ חיים </w:t>
      </w:r>
      <w:proofErr w:type="spellStart"/>
      <w:r>
        <w:rPr>
          <w:rtl/>
        </w:rPr>
        <w:t>סולובייצ׳יק</w:t>
      </w:r>
      <w:proofErr w:type="spellEnd"/>
      <w:r>
        <w:rPr>
          <w:rtl/>
        </w:rPr>
        <w:t>: הוא היה מן הדרגה השלישית של גדולי התורה, אבל היה גדול.”</w:t>
      </w:r>
    </w:p>
    <w:p w14:paraId="3008F7DE" w14:textId="77777777" w:rsidR="00AB3647" w:rsidRDefault="00000000" w:rsidP="007923E9">
      <w:pPr>
        <w:spacing w:after="120" w:line="276" w:lineRule="auto"/>
        <w:ind w:firstLine="283"/>
        <w:jc w:val="both"/>
      </w:pPr>
      <w:r>
        <w:rPr>
          <w:rtl/>
        </w:rPr>
        <w:t xml:space="preserve">בהספד על ר׳ </w:t>
      </w:r>
      <w:proofErr w:type="spellStart"/>
      <w:r>
        <w:rPr>
          <w:rtl/>
        </w:rPr>
        <w:t>לייזר־יודל</w:t>
      </w:r>
      <w:proofErr w:type="spellEnd"/>
      <w:r>
        <w:rPr>
          <w:rtl/>
        </w:rPr>
        <w:t xml:space="preserve"> </w:t>
      </w:r>
      <w:proofErr w:type="spellStart"/>
      <w:r>
        <w:rPr>
          <w:rtl/>
        </w:rPr>
        <w:t>פינקל</w:t>
      </w:r>
      <w:proofErr w:type="spellEnd"/>
      <w:r>
        <w:rPr>
          <w:rtl/>
        </w:rPr>
        <w:t xml:space="preserve">, ראש ישיבת </w:t>
      </w:r>
      <w:proofErr w:type="spellStart"/>
      <w:r>
        <w:rPr>
          <w:rtl/>
        </w:rPr>
        <w:t>מיר</w:t>
      </w:r>
      <w:proofErr w:type="spellEnd"/>
      <w:r>
        <w:rPr>
          <w:rtl/>
        </w:rPr>
        <w:t xml:space="preserve"> וחתנו של ר׳ </w:t>
      </w:r>
      <w:proofErr w:type="spellStart"/>
      <w:r>
        <w:rPr>
          <w:rtl/>
        </w:rPr>
        <w:t>אליהו־ברוך</w:t>
      </w:r>
      <w:proofErr w:type="spellEnd"/>
      <w:r>
        <w:rPr>
          <w:rtl/>
        </w:rPr>
        <w:t xml:space="preserve"> קמאי, אמר אבי שר׳ </w:t>
      </w:r>
      <w:proofErr w:type="spellStart"/>
      <w:r>
        <w:rPr>
          <w:rtl/>
        </w:rPr>
        <w:t>אליהו־ברוך</w:t>
      </w:r>
      <w:proofErr w:type="spellEnd"/>
      <w:r>
        <w:rPr>
          <w:rtl/>
        </w:rPr>
        <w:t xml:space="preserve"> היה מן “הדרגה השלישית”. על גדולתו של ר׳ </w:t>
      </w:r>
      <w:proofErr w:type="spellStart"/>
      <w:r>
        <w:rPr>
          <w:rtl/>
        </w:rPr>
        <w:t>אליהו־ברוך</w:t>
      </w:r>
      <w:proofErr w:type="spellEnd"/>
      <w:r>
        <w:rPr>
          <w:rtl/>
        </w:rPr>
        <w:t xml:space="preserve"> אמר רבנו באותה הזדמנות שהיה בקי כל כך בגדולי התורה של הדורות הקודמים, עד שכינה את מחבר “נתיבות המשפט” הנודע לא על שם ספרו אלא על שם העיר שבה כיהן: “הרב </w:t>
      </w:r>
      <w:proofErr w:type="spellStart"/>
      <w:r>
        <w:rPr>
          <w:rtl/>
        </w:rPr>
        <w:t>מליסא</w:t>
      </w:r>
      <w:proofErr w:type="spellEnd"/>
      <w:r>
        <w:rPr>
          <w:rtl/>
        </w:rPr>
        <w:t xml:space="preserve">”. עוד אמר שר׳ </w:t>
      </w:r>
      <w:proofErr w:type="spellStart"/>
      <w:r>
        <w:rPr>
          <w:rtl/>
        </w:rPr>
        <w:t>אליהו־ברוך</w:t>
      </w:r>
      <w:proofErr w:type="spellEnd"/>
      <w:r>
        <w:rPr>
          <w:rtl/>
        </w:rPr>
        <w:t xml:space="preserve"> לגלג על ספריו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וחלק עליהם. “הוא היה </w:t>
      </w:r>
      <w:proofErr w:type="spellStart"/>
      <w:r>
        <w:rPr>
          <w:rtl/>
        </w:rPr>
        <w:t>אויסלאכען</w:t>
      </w:r>
      <w:proofErr w:type="spellEnd"/>
      <w:r>
        <w:rPr>
          <w:rtl/>
        </w:rPr>
        <w:t xml:space="preserve"> [מלגלג על] הספרים האלה”, אמר אבי, “וכששאל אותו מישהו: ‘ומה עם שלך?’ היה משיב: ‘בלי שלי, </w:t>
      </w:r>
      <w:proofErr w:type="spellStart"/>
      <w:r>
        <w:rPr>
          <w:rtl/>
        </w:rPr>
        <w:t>קען</w:t>
      </w:r>
      <w:proofErr w:type="spellEnd"/>
      <w:r>
        <w:rPr>
          <w:rtl/>
        </w:rPr>
        <w:t xml:space="preserve"> מען דאך קיין פשט ניט </w:t>
      </w:r>
      <w:proofErr w:type="spellStart"/>
      <w:r>
        <w:rPr>
          <w:rtl/>
        </w:rPr>
        <w:t>לערנען</w:t>
      </w:r>
      <w:proofErr w:type="spellEnd"/>
      <w:r>
        <w:rPr>
          <w:rtl/>
        </w:rPr>
        <w:t xml:space="preserve"> [הרי אי אפשר ללמוד שום פשט].’”</w:t>
      </w:r>
    </w:p>
    <w:p w14:paraId="6319DD02" w14:textId="77777777" w:rsidR="00AB3647" w:rsidRDefault="00000000" w:rsidP="007923E9">
      <w:pPr>
        <w:spacing w:after="120" w:line="276" w:lineRule="auto"/>
        <w:ind w:firstLine="283"/>
        <w:jc w:val="both"/>
      </w:pPr>
      <w:r>
        <w:rPr>
          <w:rtl/>
        </w:rPr>
        <w:t xml:space="preserve">בריאיון על ר׳ ישראל </w:t>
      </w:r>
      <w:proofErr w:type="spellStart"/>
      <w:r>
        <w:rPr>
          <w:rtl/>
        </w:rPr>
        <w:t>סלנטר</w:t>
      </w:r>
      <w:bookmarkStart w:id="3871" w:name="_fnr2931"/>
      <w:proofErr w:type="spellEnd"/>
      <w:r>
        <w:rPr>
          <w:rStyle w:val="a5"/>
        </w:rPr>
        <w:footnoteReference w:id="2939" w:customMarkFollows="0"/>
      </w:r>
      <w:bookmarkEnd w:id="3871"/>
      <w:r>
        <w:rPr>
          <w:rtl/>
        </w:rPr>
        <w:t xml:space="preserve"> העיר המראיין ששמע כי אחד מארבעת חכמי הדור הקודם שנחשבו מעין ראשונים שמנה ר׳ חיים</w:t>
      </w:r>
      <w:bookmarkStart w:id="3872" w:name="_fnr2932"/>
      <w:r>
        <w:rPr>
          <w:rStyle w:val="a5"/>
        </w:rPr>
        <w:footnoteReference w:id="2940" w:customMarkFollows="0"/>
      </w:r>
      <w:bookmarkEnd w:id="3872"/>
      <w:r>
        <w:rPr>
          <w:rtl/>
        </w:rPr>
        <w:t xml:space="preserve"> היה ר׳ </w:t>
      </w:r>
      <w:proofErr w:type="spellStart"/>
      <w:r>
        <w:rPr>
          <w:rtl/>
        </w:rPr>
        <w:t>דוד׳ל</w:t>
      </w:r>
      <w:proofErr w:type="spellEnd"/>
      <w:r>
        <w:rPr>
          <w:rtl/>
        </w:rPr>
        <w:t xml:space="preserve"> </w:t>
      </w:r>
      <w:proofErr w:type="spellStart"/>
      <w:r>
        <w:rPr>
          <w:rtl/>
        </w:rPr>
        <w:t>קארלינער</w:t>
      </w:r>
      <w:proofErr w:type="spellEnd"/>
      <w:r>
        <w:rPr>
          <w:rtl/>
        </w:rPr>
        <w:t xml:space="preserve">, המבוגר מר׳ חיים בעשרים וחמש שנה. השיב אבי: “אלה שטויות. ר׳ חיים לא היה נתפעל מר׳ </w:t>
      </w:r>
      <w:proofErr w:type="spellStart"/>
      <w:r>
        <w:rPr>
          <w:rtl/>
        </w:rPr>
        <w:t>דוד׳ל</w:t>
      </w:r>
      <w:proofErr w:type="spellEnd"/>
      <w:r>
        <w:rPr>
          <w:rtl/>
        </w:rPr>
        <w:t xml:space="preserve">.” ובכל זאת בירך תלמידו המובהק של ר׳ חיים, ר׳ </w:t>
      </w:r>
      <w:proofErr w:type="spellStart"/>
      <w:r>
        <w:rPr>
          <w:rtl/>
        </w:rPr>
        <w:t>ברוך־בער</w:t>
      </w:r>
      <w:proofErr w:type="spellEnd"/>
      <w:r>
        <w:rPr>
          <w:rtl/>
        </w:rPr>
        <w:t xml:space="preserve">, את ברכת הכבוד לחכמי ישראל, “שחלק מכבודו </w:t>
      </w:r>
      <w:proofErr w:type="spellStart"/>
      <w:r>
        <w:rPr>
          <w:rtl/>
        </w:rPr>
        <w:t>ליראיו</w:t>
      </w:r>
      <w:proofErr w:type="spellEnd"/>
      <w:r>
        <w:rPr>
          <w:rtl/>
        </w:rPr>
        <w:t xml:space="preserve">”, כשראה את ר׳ </w:t>
      </w:r>
      <w:proofErr w:type="spellStart"/>
      <w:r>
        <w:rPr>
          <w:rtl/>
        </w:rPr>
        <w:t>דוד׳ל</w:t>
      </w:r>
      <w:bookmarkStart w:id="3873" w:name="_fnr2933"/>
      <w:bookmarkEnd w:id="3873"/>
      <w:proofErr w:type="spellEnd"/>
      <w:r>
        <w:rPr>
          <w:rStyle w:val="a5"/>
        </w:rPr>
        <w:t/>
      </w:r>
      <w:bookmarkStart w:id="7034" w:name="_TranslatorNote_5391"/>
      <w:r>
        <w:rPr>
          <w:rStyle w:val="a5"/>
          <w:vertAlign w:val="superscript"/>
          <w:rtl/>
        </w:rPr>
        <w:footnoteReference w:id="2941" w:customMarkFollows="1"/>
        <w:t>*</w:t>
      </w:r>
      <w:bookmarkEnd w:id="7034"/>
      <w:bookmarkStart w:id="3874" w:name="_fnr2934"/>
      <w:r>
        <w:rPr>
          <w:rStyle w:val="a5"/>
        </w:rPr>
        <w:footnoteReference w:id="2942" w:customMarkFollows="0"/>
      </w:r>
      <w:bookmarkEnd w:id="3874"/>
      <w:r>
        <w:rPr>
          <w:rtl/>
        </w:rPr>
        <w:t xml:space="preserve">. אם ר׳ חיים לא היה נתפעל מר׳ </w:t>
      </w:r>
      <w:proofErr w:type="spellStart"/>
      <w:r>
        <w:rPr>
          <w:rtl/>
        </w:rPr>
        <w:t>דוד׳ל</w:t>
      </w:r>
      <w:proofErr w:type="spellEnd"/>
      <w:r>
        <w:rPr>
          <w:rtl/>
        </w:rPr>
        <w:t xml:space="preserve"> </w:t>
      </w:r>
      <w:proofErr w:type="spellStart"/>
      <w:r>
        <w:rPr>
          <w:rtl/>
        </w:rPr>
        <w:t>קארלינער</w:t>
      </w:r>
      <w:proofErr w:type="spellEnd"/>
      <w:r>
        <w:rPr>
          <w:rtl/>
        </w:rPr>
        <w:t xml:space="preserve">, ודאי לא היה נתפעל </w:t>
      </w:r>
      <w:proofErr w:type="spellStart"/>
      <w:r>
        <w:rPr>
          <w:rtl/>
        </w:rPr>
        <w:t>מהרוגצ׳ובר</w:t>
      </w:r>
      <w:proofErr w:type="spellEnd"/>
      <w:r>
        <w:rPr>
          <w:rtl/>
        </w:rPr>
        <w:t>, שדורג בדרגה השנייה.</w:t>
      </w:r>
    </w:p>
    <w:p w14:paraId="72407C00" w14:textId="77777777" w:rsidR="00AB3647" w:rsidRDefault="00000000" w:rsidP="007923E9">
      <w:pPr>
        <w:spacing w:after="120" w:line="276" w:lineRule="auto"/>
        <w:ind w:firstLine="283"/>
        <w:jc w:val="both"/>
      </w:pPr>
      <w:r>
        <w:rPr>
          <w:rtl/>
        </w:rPr>
        <w:t>הדבר מתברר ממעשה שסיפר ר׳ מאיר ליברמן</w:t>
      </w:r>
      <w:bookmarkStart w:id="3875" w:name="_fnr2935"/>
      <w:r>
        <w:rPr>
          <w:rStyle w:val="a5"/>
        </w:rPr>
        <w:footnoteReference w:id="2943" w:customMarkFollows="0"/>
      </w:r>
      <w:bookmarkEnd w:id="3875"/>
      <w:r>
        <w:rPr>
          <w:rtl/>
        </w:rPr>
        <w:t xml:space="preserve"> בשם ר׳ יצחק־זאב </w:t>
      </w:r>
      <w:proofErr w:type="spellStart"/>
      <w:r>
        <w:rPr>
          <w:rtl/>
        </w:rPr>
        <w:t>סולובייצ׳יק</w:t>
      </w:r>
      <w:proofErr w:type="spellEnd"/>
      <w:r>
        <w:rPr>
          <w:rtl/>
        </w:rPr>
        <w:t xml:space="preserve">: בוורשה התקיים דין תורה מפורסם מאוד על סכום כסף גדול. בעלי הדין בחרו, כל אחד מצדו, את ר׳ חיים ואת </w:t>
      </w:r>
      <w:proofErr w:type="spellStart"/>
      <w:r>
        <w:rPr>
          <w:rtl/>
        </w:rPr>
        <w:t>הרוגצ׳ובר</w:t>
      </w:r>
      <w:proofErr w:type="spellEnd"/>
      <w:r>
        <w:rPr>
          <w:rtl/>
        </w:rPr>
        <w:t xml:space="preserve"> לדיינים, ומאחר שר׳ </w:t>
      </w:r>
      <w:proofErr w:type="spellStart"/>
      <w:r>
        <w:rPr>
          <w:rtl/>
        </w:rPr>
        <w:t>דוד׳ל</w:t>
      </w:r>
      <w:proofErr w:type="spellEnd"/>
      <w:r>
        <w:rPr>
          <w:rtl/>
        </w:rPr>
        <w:t xml:space="preserve"> </w:t>
      </w:r>
      <w:proofErr w:type="spellStart"/>
      <w:r>
        <w:rPr>
          <w:rtl/>
        </w:rPr>
        <w:t>קארלינער</w:t>
      </w:r>
      <w:proofErr w:type="spellEnd"/>
      <w:r>
        <w:rPr>
          <w:rtl/>
        </w:rPr>
        <w:t xml:space="preserve"> כבר היה זקן, נלקח ר׳ </w:t>
      </w:r>
      <w:proofErr w:type="spellStart"/>
      <w:r>
        <w:rPr>
          <w:rtl/>
        </w:rPr>
        <w:t>חיים־עוזר</w:t>
      </w:r>
      <w:proofErr w:type="spellEnd"/>
      <w:r>
        <w:rPr>
          <w:rtl/>
        </w:rPr>
        <w:t xml:space="preserve"> </w:t>
      </w:r>
      <w:proofErr w:type="spellStart"/>
      <w:r>
        <w:rPr>
          <w:rtl/>
        </w:rPr>
        <w:lastRenderedPageBreak/>
        <w:t>גרודזנסקי</w:t>
      </w:r>
      <w:proofErr w:type="spellEnd"/>
      <w:r>
        <w:rPr>
          <w:rtl/>
        </w:rPr>
        <w:t xml:space="preserve"> כשליש. בתוך עשרים וארבע שעות פילסו ר׳ חיים ור׳ </w:t>
      </w:r>
      <w:proofErr w:type="spellStart"/>
      <w:r>
        <w:rPr>
          <w:rtl/>
        </w:rPr>
        <w:t>חיים־עוזר</w:t>
      </w:r>
      <w:proofErr w:type="spellEnd"/>
      <w:r>
        <w:rPr>
          <w:rtl/>
        </w:rPr>
        <w:t xml:space="preserve"> את דרכם בסבך ההתדיינות המורכבת והכריעו איזה צד צודק, אבל לכבודו של </w:t>
      </w:r>
      <w:proofErr w:type="spellStart"/>
      <w:r>
        <w:rPr>
          <w:rtl/>
        </w:rPr>
        <w:t>הרוגצ׳ובר</w:t>
      </w:r>
      <w:proofErr w:type="spellEnd"/>
      <w:r>
        <w:rPr>
          <w:rtl/>
        </w:rPr>
        <w:t>, שטרם עמד על הדברים, הניחו לדין התורה להימשך שבועיים.</w:t>
      </w:r>
    </w:p>
    <w:p w14:paraId="2EE209E2" w14:textId="3DA55A7D" w:rsidR="00AB3647" w:rsidRDefault="00000000" w:rsidP="007923E9">
      <w:pPr>
        <w:spacing w:after="120" w:line="276" w:lineRule="auto"/>
        <w:ind w:firstLine="283"/>
        <w:jc w:val="both"/>
      </w:pPr>
      <w:r>
        <w:rPr>
          <w:rtl/>
        </w:rPr>
        <w:t xml:space="preserve">אין ללמוד מכך </w:t>
      </w:r>
      <w:proofErr w:type="spellStart"/>
      <w:r>
        <w:rPr>
          <w:rtl/>
        </w:rPr>
        <w:t>שהרוגצ׳ובר</w:t>
      </w:r>
      <w:proofErr w:type="spellEnd"/>
      <w:r>
        <w:rPr>
          <w:rtl/>
        </w:rPr>
        <w:t xml:space="preserve"> לא הצליח לתפוס את המקרה כמותם שכוחות שכלו היו חלשים משל ר׳ חיים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פשוט, </w:t>
      </w:r>
      <w:proofErr w:type="spellStart"/>
      <w:r>
        <w:rPr>
          <w:rtl/>
        </w:rPr>
        <w:t>לר</w:t>
      </w:r>
      <w:proofErr w:type="spellEnd"/>
      <w:r>
        <w:rPr>
          <w:rtl/>
        </w:rPr>
        <w:t xml:space="preserve">׳ חיים </w:t>
      </w:r>
      <w:proofErr w:type="spellStart"/>
      <w:r>
        <w:rPr>
          <w:rtl/>
        </w:rPr>
        <w:t>ולר</w:t>
      </w:r>
      <w:proofErr w:type="spellEnd"/>
      <w:r>
        <w:rPr>
          <w:rtl/>
        </w:rPr>
        <w:t xml:space="preserve">׳ </w:t>
      </w:r>
      <w:proofErr w:type="spellStart"/>
      <w:r>
        <w:rPr>
          <w:rtl/>
        </w:rPr>
        <w:t>חיים־עוזר</w:t>
      </w:r>
      <w:proofErr w:type="spellEnd"/>
      <w:r>
        <w:rPr>
          <w:rtl/>
        </w:rPr>
        <w:t xml:space="preserve"> הייתה הבנה רבה יותר בבני אדם מאשר לרב </w:t>
      </w:r>
      <w:proofErr w:type="spellStart"/>
      <w:r>
        <w:rPr>
          <w:rtl/>
        </w:rPr>
        <w:t>רוזין</w:t>
      </w:r>
      <w:bookmarkStart w:id="3876" w:name="_fnr2936"/>
      <w:proofErr w:type="spellEnd"/>
      <w:r>
        <w:rPr>
          <w:rStyle w:val="a5"/>
        </w:rPr>
        <w:footnoteReference w:id="2944" w:customMarkFollows="0"/>
      </w:r>
      <w:bookmarkEnd w:id="3876"/>
      <w:r>
        <w:rPr>
          <w:rtl/>
        </w:rPr>
        <w:t xml:space="preserve"> – ראה פרק 4, הפסקה החמישית ב</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ר׳ חיים, ונספח ט בפרקנו על היות ר׳ </w:t>
      </w:r>
      <w:proofErr w:type="spellStart"/>
      <w:r>
        <w:rPr>
          <w:rtl/>
        </w:rPr>
        <w:t>חיים־עוזר</w:t>
      </w:r>
      <w:proofErr w:type="spellEnd"/>
      <w:r>
        <w:rPr>
          <w:rtl/>
        </w:rPr>
        <w:t xml:space="preserve"> מופת </w:t>
      </w:r>
      <w:proofErr w:type="spellStart"/>
      <w:r>
        <w:rPr>
          <w:rtl/>
        </w:rPr>
        <w:t>לחכמת</w:t>
      </w:r>
      <w:proofErr w:type="spellEnd"/>
      <w:r>
        <w:rPr>
          <w:rtl/>
        </w:rPr>
        <w:t xml:space="preserve"> המעשה.</w:t>
      </w:r>
    </w:p>
    <w:p w14:paraId="30A1DC93" w14:textId="77777777" w:rsidR="00AB3647" w:rsidRDefault="00000000" w:rsidP="007923E9">
      <w:pPr>
        <w:spacing w:after="120" w:line="276" w:lineRule="auto"/>
        <w:ind w:firstLine="283"/>
        <w:jc w:val="both"/>
      </w:pPr>
      <w:r>
        <w:rPr>
          <w:rtl/>
        </w:rPr>
        <w:t xml:space="preserve">כולם התאכסנו באותו מלון, ומובן שכינוסם של שלושה גאונים כאלה חולל סערת ברקים, כשכל אחד ממטיר את ראיותיו ממקורות שונים בש״ס ובפוסקים. בכל פעם שהתחיל </w:t>
      </w:r>
      <w:proofErr w:type="spellStart"/>
      <w:r>
        <w:rPr>
          <w:rtl/>
        </w:rPr>
        <w:t>הרוגצ׳ובר</w:t>
      </w:r>
      <w:proofErr w:type="spellEnd"/>
      <w:r>
        <w:rPr>
          <w:rtl/>
        </w:rPr>
        <w:t xml:space="preserve"> לדבר, היה ר׳ חיים מפסיקו ואומר: “אתה מתכוון </w:t>
      </w:r>
      <w:proofErr w:type="spellStart"/>
      <w:r>
        <w:rPr>
          <w:rtl/>
        </w:rPr>
        <w:t>לתוספתא</w:t>
      </w:r>
      <w:proofErr w:type="spellEnd"/>
      <w:r>
        <w:rPr>
          <w:rtl/>
        </w:rPr>
        <w:t xml:space="preserve"> פלונית, לירושלמי פלוני – אבל משם הראיה היא </w:t>
      </w:r>
      <w:proofErr w:type="spellStart"/>
      <w:r>
        <w:rPr>
          <w:rtl/>
        </w:rPr>
        <w:t>פארקערט</w:t>
      </w:r>
      <w:proofErr w:type="spellEnd"/>
      <w:r>
        <w:rPr>
          <w:rtl/>
        </w:rPr>
        <w:t xml:space="preserve"> [להפך].” לאחר שבועיים הרים </w:t>
      </w:r>
      <w:proofErr w:type="spellStart"/>
      <w:r>
        <w:rPr>
          <w:rtl/>
        </w:rPr>
        <w:t>הרוגצ׳ובר</w:t>
      </w:r>
      <w:proofErr w:type="spellEnd"/>
      <w:r>
        <w:rPr>
          <w:rtl/>
        </w:rPr>
        <w:t xml:space="preserve"> ידיים ואמר </w:t>
      </w:r>
      <w:r>
        <w:rPr>
          <w:b/>
          <w:bCs/>
          <w:rtl/>
        </w:rPr>
        <w:t xml:space="preserve">בפני ר׳ </w:t>
      </w:r>
      <w:proofErr w:type="spellStart"/>
      <w:r>
        <w:rPr>
          <w:b/>
          <w:bCs/>
          <w:rtl/>
        </w:rPr>
        <w:t>חיים־עוזר</w:t>
      </w:r>
      <w:proofErr w:type="spellEnd"/>
      <w:r>
        <w:rPr>
          <w:rtl/>
        </w:rPr>
        <w:t xml:space="preserve">: “מילא ר׳ חיים [מסוגל לתפוס את העניין טוב ממני], אבל ראו איך ‘המזכיר’ מתערב!” הרב </w:t>
      </w:r>
      <w:proofErr w:type="spellStart"/>
      <w:r>
        <w:rPr>
          <w:rtl/>
        </w:rPr>
        <w:t>רוזין</w:t>
      </w:r>
      <w:proofErr w:type="spellEnd"/>
      <w:r>
        <w:rPr>
          <w:rtl/>
        </w:rPr>
        <w:t xml:space="preserve"> כינה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“מזכיר”, מפני שהלה הקדיש זמן רב כל כך לעזרה לנזקקים</w:t>
      </w:r>
      <w:bookmarkStart w:id="3877" w:name="_fnr2937"/>
      <w:bookmarkStart w:id="3878" w:name="pr_f_2832"/>
      <w:r>
        <w:rPr>
          <w:rStyle w:val="a5"/>
        </w:rPr>
        <w:footnoteReference w:id="2945" w:customMarkFollows="0"/>
      </w:r>
      <w:bookmarkEnd w:id="3877"/>
      <w:bookmarkEnd w:id="3878"/>
      <w:r>
        <w:rPr>
          <w:rtl/>
        </w:rPr>
        <w:t xml:space="preserve"> ולרישום ההכנסות וההוצאות של הכספים שאסף וחילק לצדקה, עד </w:t>
      </w:r>
      <w:proofErr w:type="spellStart"/>
      <w:r>
        <w:rPr>
          <w:rtl/>
        </w:rPr>
        <w:t>שהרוגצ׳ובר</w:t>
      </w:r>
      <w:proofErr w:type="spellEnd"/>
      <w:r>
        <w:rPr>
          <w:rtl/>
        </w:rPr>
        <w:t xml:space="preserve"> לא החשיבו לבר סמכא בתורה.</w:t>
      </w:r>
    </w:p>
    <w:p w14:paraId="4C97B317" w14:textId="77777777" w:rsidR="00AB3647" w:rsidRDefault="00000000" w:rsidP="007923E9">
      <w:pPr>
        <w:spacing w:after="120" w:line="276" w:lineRule="auto"/>
        <w:ind w:firstLine="283"/>
        <w:jc w:val="both"/>
      </w:pPr>
      <w:r>
        <w:rPr>
          <w:rtl/>
        </w:rPr>
        <w:t xml:space="preserve">ר׳ מאיר ליברמן סיים: “העולם אומר בשם ר׳ </w:t>
      </w:r>
      <w:proofErr w:type="spellStart"/>
      <w:r>
        <w:rPr>
          <w:rtl/>
        </w:rPr>
        <w:t>מאיר־שמחה</w:t>
      </w:r>
      <w:proofErr w:type="spellEnd"/>
      <w:r>
        <w:rPr>
          <w:rtl/>
        </w:rPr>
        <w:t xml:space="preserve"> </w:t>
      </w:r>
      <w:proofErr w:type="spellStart"/>
      <w:r>
        <w:rPr>
          <w:rtl/>
        </w:rPr>
        <w:t>שלרוגצ׳ובר</w:t>
      </w:r>
      <w:proofErr w:type="spellEnd"/>
      <w:r>
        <w:rPr>
          <w:rtl/>
        </w:rPr>
        <w:t xml:space="preserve"> היו </w:t>
      </w:r>
      <w:proofErr w:type="spellStart"/>
      <w:r>
        <w:rPr>
          <w:rtl/>
        </w:rPr>
        <w:t>שמונה־עשרה</w:t>
      </w:r>
      <w:proofErr w:type="spellEnd"/>
      <w:r>
        <w:rPr>
          <w:rtl/>
        </w:rPr>
        <w:t xml:space="preserve"> ראיות לכל דבר: שש היו ‘</w:t>
      </w:r>
      <w:proofErr w:type="spellStart"/>
      <w:r>
        <w:rPr>
          <w:rtl/>
        </w:rPr>
        <w:t>אייזען</w:t>
      </w:r>
      <w:proofErr w:type="spellEnd"/>
      <w:r>
        <w:rPr>
          <w:rtl/>
        </w:rPr>
        <w:t xml:space="preserve"> [ברזל, איתנות ובלתי ניתנות לערעור]’; על שש </w:t>
      </w:r>
      <w:proofErr w:type="spellStart"/>
      <w:r>
        <w:rPr>
          <w:rtl/>
        </w:rPr>
        <w:t>קען</w:t>
      </w:r>
      <w:proofErr w:type="spellEnd"/>
      <w:r>
        <w:rPr>
          <w:rtl/>
        </w:rPr>
        <w:t xml:space="preserve"> מען </w:t>
      </w:r>
      <w:proofErr w:type="spellStart"/>
      <w:r>
        <w:rPr>
          <w:rtl/>
        </w:rPr>
        <w:t>זיך</w:t>
      </w:r>
      <w:proofErr w:type="spellEnd"/>
      <w:r>
        <w:rPr>
          <w:rtl/>
        </w:rPr>
        <w:t xml:space="preserve"> </w:t>
      </w:r>
      <w:proofErr w:type="spellStart"/>
      <w:r>
        <w:rPr>
          <w:rtl/>
        </w:rPr>
        <w:t>דינגען</w:t>
      </w:r>
      <w:proofErr w:type="spellEnd"/>
      <w:r>
        <w:rPr>
          <w:rtl/>
        </w:rPr>
        <w:t xml:space="preserve"> [אפשר להתווכח]; ושש היו קיין שייכות [בלי שום שייכות] לנושא הנידון.” לפי סיפורו של ר׳ אביגדור אפן, הביקורת הייתה הדדית. הוא סיפר</w:t>
      </w:r>
      <w:bookmarkStart w:id="3879" w:name="_fnr2938"/>
      <w:r>
        <w:rPr>
          <w:rStyle w:val="a5"/>
        </w:rPr>
        <w:footnoteReference w:id="2946" w:customMarkFollows="0"/>
      </w:r>
      <w:bookmarkEnd w:id="3879"/>
      <w:r>
        <w:rPr>
          <w:rtl/>
        </w:rPr>
        <w:t xml:space="preserve"> מעשה מפי יהודי זקן </w:t>
      </w:r>
      <w:proofErr w:type="spellStart"/>
      <w:r>
        <w:rPr>
          <w:rtl/>
        </w:rPr>
        <w:t>מדווינסק</w:t>
      </w:r>
      <w:proofErr w:type="spellEnd"/>
      <w:r>
        <w:rPr>
          <w:rtl/>
        </w:rPr>
        <w:t xml:space="preserve">, שהיה נוכח בבית </w:t>
      </w:r>
      <w:proofErr w:type="spellStart"/>
      <w:r>
        <w:rPr>
          <w:rtl/>
        </w:rPr>
        <w:t>הרוגצ׳ובר</w:t>
      </w:r>
      <w:proofErr w:type="spellEnd"/>
      <w:r>
        <w:rPr>
          <w:rtl/>
        </w:rPr>
        <w:t xml:space="preserve"> כשבא ר׳ </w:t>
      </w:r>
      <w:proofErr w:type="spellStart"/>
      <w:r>
        <w:rPr>
          <w:rtl/>
        </w:rPr>
        <w:t>מאיר־שמחה</w:t>
      </w:r>
      <w:proofErr w:type="spellEnd"/>
      <w:r>
        <w:rPr>
          <w:rtl/>
        </w:rPr>
        <w:t xml:space="preserve"> לבקש הסכמה </w:t>
      </w:r>
      <w:proofErr w:type="spellStart"/>
      <w:r>
        <w:rPr>
          <w:rtl/>
        </w:rPr>
        <w:t>ל“אור</w:t>
      </w:r>
      <w:proofErr w:type="spellEnd"/>
      <w:r>
        <w:rPr>
          <w:rtl/>
        </w:rPr>
        <w:t xml:space="preserve"> שמח”. </w:t>
      </w:r>
      <w:proofErr w:type="spellStart"/>
      <w:r>
        <w:rPr>
          <w:rtl/>
        </w:rPr>
        <w:t>הרוגצ׳ובר</w:t>
      </w:r>
      <w:proofErr w:type="spellEnd"/>
      <w:r>
        <w:rPr>
          <w:rtl/>
        </w:rPr>
        <w:t xml:space="preserve"> אמר לו בחרוזים בעברית: “</w:t>
      </w:r>
      <w:proofErr w:type="spellStart"/>
      <w:r>
        <w:rPr>
          <w:rtl/>
        </w:rPr>
        <w:t>ה׳אור</w:t>
      </w:r>
      <w:proofErr w:type="spellEnd"/>
      <w:r>
        <w:rPr>
          <w:rtl/>
        </w:rPr>
        <w:t xml:space="preserve"> שמח׳ שלך / </w:t>
      </w:r>
      <w:proofErr w:type="spellStart"/>
      <w:r>
        <w:rPr>
          <w:rtl/>
        </w:rPr>
        <w:t>וה‘צפנת</w:t>
      </w:r>
      <w:proofErr w:type="spellEnd"/>
      <w:r>
        <w:rPr>
          <w:rtl/>
        </w:rPr>
        <w:t xml:space="preserve"> פענח’ שלי</w:t>
      </w:r>
      <w:bookmarkStart w:id="3880" w:name="_fnr2939"/>
      <w:r>
        <w:rPr>
          <w:rStyle w:val="a5"/>
        </w:rPr>
        <w:footnoteReference w:id="2947" w:customMarkFollows="0"/>
      </w:r>
      <w:bookmarkEnd w:id="3880"/>
      <w:r>
        <w:rPr>
          <w:rtl/>
        </w:rPr>
        <w:t xml:space="preserve"> / אין בהם טעם / ואין בהם ריח.”</w:t>
      </w:r>
    </w:p>
    <w:p w14:paraId="72BE6254" w14:textId="77777777" w:rsidR="00AB3647" w:rsidRDefault="00000000" w:rsidP="007923E9">
      <w:pPr>
        <w:spacing w:after="120" w:line="276" w:lineRule="auto"/>
        <w:ind w:firstLine="283"/>
        <w:jc w:val="both"/>
      </w:pPr>
      <w:r>
        <w:rPr>
          <w:rtl/>
        </w:rPr>
        <w:lastRenderedPageBreak/>
        <w:t>ר׳ שלמה שטרן</w:t>
      </w:r>
      <w:bookmarkStart w:id="3881" w:name="_fnr2940"/>
      <w:r>
        <w:rPr>
          <w:rStyle w:val="a5"/>
        </w:rPr>
        <w:footnoteReference w:id="2948" w:customMarkFollows="0"/>
      </w:r>
      <w:bookmarkEnd w:id="3881"/>
      <w:r>
        <w:rPr>
          <w:rtl/>
        </w:rPr>
        <w:t xml:space="preserve"> הוסיף פרט ששמע מר׳ יוסף מרמלשטיין</w:t>
      </w:r>
      <w:bookmarkStart w:id="3882" w:name="_fnr2941"/>
      <w:r>
        <w:rPr>
          <w:rStyle w:val="a5"/>
        </w:rPr>
        <w:footnoteReference w:id="2949" w:customMarkFollows="0"/>
      </w:r>
      <w:bookmarkEnd w:id="3882"/>
      <w:r>
        <w:rPr>
          <w:rtl/>
        </w:rPr>
        <w:t xml:space="preserve">: ר׳ </w:t>
      </w:r>
      <w:proofErr w:type="spellStart"/>
      <w:r>
        <w:rPr>
          <w:rtl/>
        </w:rPr>
        <w:t>חיים־עוזר</w:t>
      </w:r>
      <w:proofErr w:type="spellEnd"/>
      <w:r>
        <w:rPr>
          <w:rtl/>
        </w:rPr>
        <w:t xml:space="preserve"> לא היה מסוגל לצפות מראש את הראיות שהתכוון </w:t>
      </w:r>
      <w:proofErr w:type="spellStart"/>
      <w:r>
        <w:rPr>
          <w:rtl/>
        </w:rPr>
        <w:t>הרוגצ׳ובר</w:t>
      </w:r>
      <w:proofErr w:type="spellEnd"/>
      <w:r>
        <w:rPr>
          <w:rtl/>
        </w:rPr>
        <w:t xml:space="preserve"> להביא, כמו שעשה ר׳ חיים, שדחה אותן עוד בטרם יצאו לדרך. ר׳ </w:t>
      </w:r>
      <w:proofErr w:type="spellStart"/>
      <w:r>
        <w:rPr>
          <w:rtl/>
        </w:rPr>
        <w:t>חיים־עוזר</w:t>
      </w:r>
      <w:proofErr w:type="spellEnd"/>
      <w:r>
        <w:rPr>
          <w:rtl/>
        </w:rPr>
        <w:t xml:space="preserve"> שאל את ר׳ חיים כיצד יתמודד עם אותו גאון כשר׳ חיים ייצא מן החדר מסיבה כלשהי. ר׳ חיים אמר לו לומר תחילה: “אין גמרא כזאת”, ואז, עד שיפרוש </w:t>
      </w:r>
      <w:proofErr w:type="spellStart"/>
      <w:r>
        <w:rPr>
          <w:rtl/>
        </w:rPr>
        <w:t>הרוגצ׳ובר</w:t>
      </w:r>
      <w:proofErr w:type="spellEnd"/>
      <w:r>
        <w:rPr>
          <w:rtl/>
        </w:rPr>
        <w:t xml:space="preserve"> את הבנתו במקור ואת “הראיה” ממנו, יהיה גם </w:t>
      </w:r>
      <w:proofErr w:type="spellStart"/>
      <w:r>
        <w:rPr>
          <w:rtl/>
        </w:rPr>
        <w:t>לר</w:t>
      </w:r>
      <w:proofErr w:type="spellEnd"/>
      <w:r>
        <w:rPr>
          <w:rtl/>
        </w:rPr>
        <w:t xml:space="preserve">׳ </w:t>
      </w:r>
      <w:proofErr w:type="spellStart"/>
      <w:r>
        <w:rPr>
          <w:rtl/>
        </w:rPr>
        <w:t>חיים־עוזר</w:t>
      </w:r>
      <w:proofErr w:type="spellEnd"/>
      <w:r>
        <w:rPr>
          <w:rtl/>
        </w:rPr>
        <w:t xml:space="preserve"> די זמן לעמוד על כך שאין לה שייכות לעניין. הרב מרמלשטיין סיים </w:t>
      </w:r>
      <w:proofErr w:type="spellStart"/>
      <w:r>
        <w:rPr>
          <w:rtl/>
        </w:rPr>
        <w:t>שהרוגצ׳ובר</w:t>
      </w:r>
      <w:proofErr w:type="spellEnd"/>
      <w:r>
        <w:rPr>
          <w:rtl/>
        </w:rPr>
        <w:t xml:space="preserve"> כעס כל כך על ר׳ </w:t>
      </w:r>
      <w:proofErr w:type="spellStart"/>
      <w:r>
        <w:rPr>
          <w:rtl/>
        </w:rPr>
        <w:t>חיים־עוזר</w:t>
      </w:r>
      <w:proofErr w:type="spellEnd"/>
      <w:r>
        <w:rPr>
          <w:rtl/>
        </w:rPr>
        <w:t xml:space="preserve"> עד </w:t>
      </w:r>
      <w:proofErr w:type="spellStart"/>
      <w:r>
        <w:rPr>
          <w:rtl/>
        </w:rPr>
        <w:t>ש“זרק</w:t>
      </w:r>
      <w:proofErr w:type="spellEnd"/>
      <w:r>
        <w:rPr>
          <w:rtl/>
        </w:rPr>
        <w:t xml:space="preserve"> עליו כיסאות”</w:t>
      </w:r>
      <w:bookmarkStart w:id="3883" w:name="_fnr2942"/>
      <w:bookmarkStart w:id="3884" w:name="pr_f_2837"/>
      <w:r>
        <w:rPr>
          <w:rStyle w:val="a5"/>
        </w:rPr>
        <w:footnoteReference w:id="2950" w:customMarkFollows="0"/>
      </w:r>
      <w:bookmarkEnd w:id="3883"/>
      <w:bookmarkEnd w:id="3884"/>
      <w:r>
        <w:rPr>
          <w:rtl/>
        </w:rPr>
        <w:t>.</w:t>
      </w:r>
    </w:p>
    <w:p w14:paraId="0CCF1CB7" w14:textId="77777777" w:rsidR="00AB3647" w:rsidRDefault="00000000" w:rsidP="007923E9">
      <w:pPr>
        <w:spacing w:after="120" w:line="276" w:lineRule="auto"/>
        <w:ind w:firstLine="283"/>
        <w:jc w:val="both"/>
      </w:pPr>
      <w:r>
        <w:rPr>
          <w:rtl/>
        </w:rPr>
        <w:t xml:space="preserve">מעשה השייך לעניין סיפר ר׳ אשר </w:t>
      </w:r>
      <w:proofErr w:type="spellStart"/>
      <w:r>
        <w:rPr>
          <w:rtl/>
        </w:rPr>
        <w:t>פסמן</w:t>
      </w:r>
      <w:bookmarkStart w:id="3885" w:name="_fnr2943"/>
      <w:proofErr w:type="spellEnd"/>
      <w:r>
        <w:rPr>
          <w:rStyle w:val="a5"/>
        </w:rPr>
        <w:footnoteReference w:id="2951" w:customMarkFollows="0"/>
      </w:r>
      <w:bookmarkEnd w:id="3885"/>
      <w:r>
        <w:rPr>
          <w:rtl/>
        </w:rPr>
        <w:t xml:space="preserve">, שיצא עם ר׳ אורי מילר בקיץ תרצ״ד למסע של עשרה שבועות באירופה ובארץ ישראל. בצום </w:t>
      </w:r>
      <w:proofErr w:type="spellStart"/>
      <w:r>
        <w:rPr>
          <w:rtl/>
        </w:rPr>
        <w:t>שבעה־עשר</w:t>
      </w:r>
      <w:proofErr w:type="spellEnd"/>
      <w:r>
        <w:rPr>
          <w:rtl/>
        </w:rPr>
        <w:t xml:space="preserve"> בתמוז ביקרו את </w:t>
      </w:r>
      <w:proofErr w:type="spellStart"/>
      <w:r>
        <w:rPr>
          <w:rtl/>
        </w:rPr>
        <w:t>הרוגצ׳ובר</w:t>
      </w:r>
      <w:proofErr w:type="spellEnd"/>
      <w:r>
        <w:rPr>
          <w:rtl/>
        </w:rPr>
        <w:t xml:space="preserve"> בבית קיץ סמוך לווילנה, ומצאו שאינו מתענה: הרופאים אמרו שעדיין הוא חולה, אחרי שחזר מניתוח בווינה. כשהציגו עצמם כרבנים מאמריקה – הרב </w:t>
      </w:r>
      <w:proofErr w:type="spellStart"/>
      <w:r>
        <w:rPr>
          <w:rtl/>
        </w:rPr>
        <w:t>פסמן</w:t>
      </w:r>
      <w:proofErr w:type="spellEnd"/>
      <w:r>
        <w:rPr>
          <w:rtl/>
        </w:rPr>
        <w:t xml:space="preserve"> היה אז רבה של </w:t>
      </w:r>
      <w:proofErr w:type="spellStart"/>
      <w:r>
        <w:rPr>
          <w:rtl/>
        </w:rPr>
        <w:t>טולסה</w:t>
      </w:r>
      <w:proofErr w:type="spellEnd"/>
      <w:r>
        <w:rPr>
          <w:rtl/>
        </w:rPr>
        <w:t xml:space="preserve"> שבאוקלהומה, ור׳ אורי מילר רבה של ניו אורלינס שבלואיזיאנה – קידם אותם הרב </w:t>
      </w:r>
      <w:proofErr w:type="spellStart"/>
      <w:r>
        <w:rPr>
          <w:rtl/>
        </w:rPr>
        <w:t>רוזין</w:t>
      </w:r>
      <w:proofErr w:type="spellEnd"/>
      <w:r>
        <w:rPr>
          <w:rtl/>
        </w:rPr>
        <w:t xml:space="preserve"> במילים: “אמריקה?! זה עתה קיבלתי משם שאלה אם מותר להנהיג לימודי חול בישיבה אם הממשלה מחייבת זאת</w:t>
      </w:r>
      <w:bookmarkStart w:id="3886" w:name="_fnr2944"/>
      <w:r>
        <w:rPr>
          <w:rStyle w:val="a5"/>
        </w:rPr>
        <w:footnoteReference w:id="2952" w:customMarkFollows="0"/>
      </w:r>
      <w:bookmarkEnd w:id="3886"/>
      <w:r>
        <w:rPr>
          <w:rtl/>
        </w:rPr>
        <w:t>; שבו!”</w:t>
      </w:r>
    </w:p>
    <w:p w14:paraId="008D570D" w14:textId="77777777" w:rsidR="00AB3647" w:rsidRDefault="00000000" w:rsidP="007923E9">
      <w:pPr>
        <w:spacing w:after="120" w:line="276" w:lineRule="auto"/>
        <w:ind w:firstLine="283"/>
        <w:jc w:val="both"/>
      </w:pPr>
      <w:r>
        <w:rPr>
          <w:rtl/>
        </w:rPr>
        <w:t xml:space="preserve">“אז”, סיפר ר׳ אשר, “במשך שעה וחצי המטיר </w:t>
      </w:r>
      <w:proofErr w:type="spellStart"/>
      <w:r>
        <w:rPr>
          <w:rtl/>
        </w:rPr>
        <w:t>הרוגצ׳ובר</w:t>
      </w:r>
      <w:proofErr w:type="spellEnd"/>
      <w:r>
        <w:rPr>
          <w:rtl/>
        </w:rPr>
        <w:t xml:space="preserve"> מקורות לתשובתו על השאלה האמריקאית. אחר כך נסענו לווילנה לראות את ר׳ </w:t>
      </w:r>
      <w:proofErr w:type="spellStart"/>
      <w:r>
        <w:rPr>
          <w:rtl/>
        </w:rPr>
        <w:t>חיים־עוזר</w:t>
      </w:r>
      <w:proofErr w:type="spellEnd"/>
      <w:r>
        <w:rPr>
          <w:rtl/>
        </w:rPr>
        <w:t>.” (ר׳ אשר הוסיף שלא היה להם כסף למלונות, ולכן נסעו בלילה וישנו ברכבות</w:t>
      </w:r>
      <w:bookmarkStart w:id="3887" w:name="_fnr2945"/>
      <w:r>
        <w:rPr>
          <w:rStyle w:val="a5"/>
        </w:rPr>
        <w:footnoteReference w:id="2953" w:customMarkFollows="0"/>
      </w:r>
      <w:bookmarkEnd w:id="3887"/>
      <w:r>
        <w:rPr>
          <w:rtl/>
        </w:rPr>
        <w:t xml:space="preserve">.) “כשהצגנו עצמנו לפני ר׳ </w:t>
      </w:r>
      <w:proofErr w:type="spellStart"/>
      <w:r>
        <w:rPr>
          <w:rtl/>
        </w:rPr>
        <w:t>חיים־עוזר</w:t>
      </w:r>
      <w:proofErr w:type="spellEnd"/>
      <w:r>
        <w:rPr>
          <w:rtl/>
        </w:rPr>
        <w:t xml:space="preserve"> והתחלנו לשאול שאלה על תוספות, אמר: ‘נדבר קודם על אמריקה’, ושאל אותנו שאלות רבות על מצבן של קהילות קטנות כשלנו מבחינת היהדות. כשאמרנו שבאנו </w:t>
      </w:r>
      <w:proofErr w:type="spellStart"/>
      <w:r>
        <w:rPr>
          <w:rtl/>
        </w:rPr>
        <w:t>מהרוגצ׳ובר</w:t>
      </w:r>
      <w:proofErr w:type="spellEnd"/>
      <w:r>
        <w:rPr>
          <w:rtl/>
        </w:rPr>
        <w:t xml:space="preserve">, שאל לשלומו; וכשאמרנו שלא התענה, אמר ר׳ </w:t>
      </w:r>
      <w:proofErr w:type="spellStart"/>
      <w:r>
        <w:rPr>
          <w:rtl/>
        </w:rPr>
        <w:t>חיים־עוזר</w:t>
      </w:r>
      <w:proofErr w:type="spellEnd"/>
      <w:r>
        <w:rPr>
          <w:rtl/>
        </w:rPr>
        <w:t xml:space="preserve">: ‘אמרו לי: כשדיבר איתכם בלימוד, ישב או התרוצץ?’ כשהשבנו שישב, אמר ר׳ </w:t>
      </w:r>
      <w:proofErr w:type="spellStart"/>
      <w:r>
        <w:rPr>
          <w:rtl/>
        </w:rPr>
        <w:t>חיים־עוזר</w:t>
      </w:r>
      <w:proofErr w:type="spellEnd"/>
      <w:r>
        <w:rPr>
          <w:rtl/>
        </w:rPr>
        <w:t>: ‘אם כך, הוא עדיין אינו בריא.’”</w:t>
      </w:r>
    </w:p>
    <w:p w14:paraId="49513489" w14:textId="77777777" w:rsidR="00AB3647" w:rsidRDefault="00000000" w:rsidP="007923E9">
      <w:pPr>
        <w:spacing w:after="120" w:line="276" w:lineRule="auto"/>
        <w:ind w:firstLine="283"/>
        <w:jc w:val="both"/>
      </w:pPr>
      <w:r>
        <w:rPr>
          <w:rtl/>
        </w:rPr>
        <w:t>השווה גם “תורת חיים”</w:t>
      </w:r>
      <w:bookmarkStart w:id="3888" w:name="_fnr2946"/>
      <w:r>
        <w:rPr>
          <w:rStyle w:val="a5"/>
        </w:rPr>
        <w:footnoteReference w:id="2954" w:customMarkFollows="0"/>
      </w:r>
      <w:bookmarkEnd w:id="3888"/>
      <w:r>
        <w:rPr>
          <w:rtl/>
        </w:rPr>
        <w:t xml:space="preserve">: ר׳ חיים הכשיל את </w:t>
      </w:r>
      <w:proofErr w:type="spellStart"/>
      <w:r>
        <w:rPr>
          <w:rtl/>
        </w:rPr>
        <w:t>הרוגצ׳ובר</w:t>
      </w:r>
      <w:proofErr w:type="spellEnd"/>
      <w:r>
        <w:rPr>
          <w:rtl/>
        </w:rPr>
        <w:t xml:space="preserve"> בתחום שנחשב לכוחו המיוחד, הבקיאות, מפני שהרב </w:t>
      </w:r>
      <w:proofErr w:type="spellStart"/>
      <w:r>
        <w:rPr>
          <w:rtl/>
        </w:rPr>
        <w:t>רוזין</w:t>
      </w:r>
      <w:proofErr w:type="spellEnd"/>
      <w:r>
        <w:rPr>
          <w:rtl/>
        </w:rPr>
        <w:t xml:space="preserve"> פגע </w:t>
      </w:r>
      <w:proofErr w:type="spellStart"/>
      <w:r>
        <w:rPr>
          <w:rtl/>
        </w:rPr>
        <w:t>ב“ריתחא</w:t>
      </w:r>
      <w:proofErr w:type="spellEnd"/>
      <w:r>
        <w:rPr>
          <w:rtl/>
        </w:rPr>
        <w:t xml:space="preserve"> דאורייתא” באביו של ר׳ חיים, ר׳ יוסף־דב. רק לאחר שנאמר </w:t>
      </w:r>
      <w:proofErr w:type="spellStart"/>
      <w:r>
        <w:rPr>
          <w:rtl/>
        </w:rPr>
        <w:t>לרוגצ׳ובר</w:t>
      </w:r>
      <w:proofErr w:type="spellEnd"/>
      <w:r>
        <w:rPr>
          <w:rtl/>
        </w:rPr>
        <w:t xml:space="preserve"> שר׳ חיים ציפה שלא ידע את התשובה הנכונה, התאמץ למצוא את המקור הנסתר שהתבקש.</w:t>
      </w:r>
    </w:p>
    <w:p w14:paraId="4B59490E"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שורין</w:t>
      </w:r>
      <w:proofErr w:type="spellEnd"/>
      <w:r>
        <w:rPr>
          <w:rtl/>
        </w:rPr>
        <w:t xml:space="preserve"> סיפר</w:t>
      </w:r>
      <w:bookmarkStart w:id="3889" w:name="_fnr2947"/>
      <w:r>
        <w:rPr>
          <w:rStyle w:val="a5"/>
        </w:rPr>
        <w:footnoteReference w:id="2955" w:customMarkFollows="0"/>
      </w:r>
      <w:bookmarkEnd w:id="3889"/>
      <w:r>
        <w:rPr>
          <w:rtl/>
        </w:rPr>
        <w:t xml:space="preserve"> מעשה דומה על הרב </w:t>
      </w:r>
      <w:proofErr w:type="spellStart"/>
      <w:r>
        <w:rPr>
          <w:rtl/>
        </w:rPr>
        <w:t>רוזין</w:t>
      </w:r>
      <w:proofErr w:type="spellEnd"/>
      <w:r>
        <w:rPr>
          <w:rtl/>
        </w:rPr>
        <w:t xml:space="preserve">, שסיפר רבנו, אבל עם אדם אחר: עמיתו ברבנות </w:t>
      </w:r>
      <w:proofErr w:type="spellStart"/>
      <w:r>
        <w:rPr>
          <w:rtl/>
        </w:rPr>
        <w:t>דווינסק</w:t>
      </w:r>
      <w:proofErr w:type="spellEnd"/>
      <w:r>
        <w:rPr>
          <w:rtl/>
        </w:rPr>
        <w:t xml:space="preserve">, ר׳ </w:t>
      </w:r>
      <w:proofErr w:type="spellStart"/>
      <w:r>
        <w:rPr>
          <w:rtl/>
        </w:rPr>
        <w:t>מאיר־שמחה</w:t>
      </w:r>
      <w:proofErr w:type="spellEnd"/>
      <w:r>
        <w:rPr>
          <w:rtl/>
        </w:rPr>
        <w:t xml:space="preserve"> כהן. ר׳ </w:t>
      </w:r>
      <w:proofErr w:type="spellStart"/>
      <w:r>
        <w:rPr>
          <w:rtl/>
        </w:rPr>
        <w:t>מאיר־שמחה</w:t>
      </w:r>
      <w:proofErr w:type="spellEnd"/>
      <w:r>
        <w:rPr>
          <w:rtl/>
        </w:rPr>
        <w:t xml:space="preserve"> שלח פעם אדם שביקר בעיר לבחון בחשאי את </w:t>
      </w:r>
      <w:proofErr w:type="spellStart"/>
      <w:r>
        <w:rPr>
          <w:rtl/>
        </w:rPr>
        <w:t>הרוגצ׳ובר</w:t>
      </w:r>
      <w:proofErr w:type="spellEnd"/>
      <w:r>
        <w:rPr>
          <w:rtl/>
        </w:rPr>
        <w:t xml:space="preserve">, אם יוכל למצוא מקור לפתרון בעיה מסוימת. </w:t>
      </w:r>
      <w:proofErr w:type="spellStart"/>
      <w:r>
        <w:rPr>
          <w:rtl/>
        </w:rPr>
        <w:t>הרוגצ׳ובר</w:t>
      </w:r>
      <w:proofErr w:type="spellEnd"/>
      <w:r>
        <w:rPr>
          <w:rtl/>
        </w:rPr>
        <w:t xml:space="preserve"> לא מצא את המקור, ונתן למבקר שרשרת עקיפה של ראיות. כשחזר השליח, אמר ר׳ </w:t>
      </w:r>
      <w:proofErr w:type="spellStart"/>
      <w:r>
        <w:rPr>
          <w:rtl/>
        </w:rPr>
        <w:t>מאיר־שמחה</w:t>
      </w:r>
      <w:proofErr w:type="spellEnd"/>
      <w:r>
        <w:rPr>
          <w:rtl/>
        </w:rPr>
        <w:t xml:space="preserve">: “זה בפירוש בספרי; חזור ואמור לו.” כשפתח המבקר את דלתו של </w:t>
      </w:r>
      <w:proofErr w:type="spellStart"/>
      <w:r>
        <w:rPr>
          <w:rtl/>
        </w:rPr>
        <w:t>הרוגצ׳ובר</w:t>
      </w:r>
      <w:proofErr w:type="spellEnd"/>
      <w:r>
        <w:rPr>
          <w:rtl/>
        </w:rPr>
        <w:t xml:space="preserve">, התנפל עליו הרב </w:t>
      </w:r>
      <w:proofErr w:type="spellStart"/>
      <w:r>
        <w:rPr>
          <w:rtl/>
        </w:rPr>
        <w:t>רוזין</w:t>
      </w:r>
      <w:proofErr w:type="spellEnd"/>
      <w:r>
        <w:rPr>
          <w:rtl/>
        </w:rPr>
        <w:t xml:space="preserve"> במילים: “אה, נוכחתי לאחר שיצאת שזה בפירוש בספרי.”</w:t>
      </w:r>
    </w:p>
    <w:p w14:paraId="3B5488DC" w14:textId="77777777" w:rsidR="00AB3647" w:rsidRDefault="00000000" w:rsidP="007923E9">
      <w:pPr>
        <w:spacing w:after="120" w:line="276" w:lineRule="auto"/>
        <w:ind w:firstLine="283"/>
        <w:jc w:val="both"/>
      </w:pPr>
      <w:r>
        <w:rPr>
          <w:rtl/>
        </w:rPr>
        <w:t xml:space="preserve">מעשה אחר – שעשוי להיות נוסח שונה של המעשה המובא </w:t>
      </w:r>
      <w:proofErr w:type="spellStart"/>
      <w:r>
        <w:rPr>
          <w:rtl/>
        </w:rPr>
        <w:t>ב“תורת</w:t>
      </w:r>
      <w:proofErr w:type="spellEnd"/>
      <w:r>
        <w:rPr>
          <w:rtl/>
        </w:rPr>
        <w:t xml:space="preserve"> חיים” – סיפר אבי: </w:t>
      </w:r>
      <w:proofErr w:type="spellStart"/>
      <w:r>
        <w:rPr>
          <w:rtl/>
        </w:rPr>
        <w:t>הרוגצ׳ובר</w:t>
      </w:r>
      <w:proofErr w:type="spellEnd"/>
      <w:r>
        <w:rPr>
          <w:rtl/>
        </w:rPr>
        <w:t xml:space="preserve"> אמר </w:t>
      </w:r>
      <w:proofErr w:type="spellStart"/>
      <w:r>
        <w:rPr>
          <w:rtl/>
        </w:rPr>
        <w:t>לר</w:t>
      </w:r>
      <w:proofErr w:type="spellEnd"/>
      <w:r>
        <w:rPr>
          <w:rtl/>
        </w:rPr>
        <w:t xml:space="preserve">׳ חיים </w:t>
      </w:r>
      <w:proofErr w:type="spellStart"/>
      <w:r>
        <w:rPr>
          <w:rtl/>
        </w:rPr>
        <w:t>סולובייצ׳יק</w:t>
      </w:r>
      <w:proofErr w:type="spellEnd"/>
      <w:r>
        <w:rPr>
          <w:rtl/>
        </w:rPr>
        <w:t xml:space="preserve"> שאביו, ר׳ יוסף־דב (שממנו קיבל </w:t>
      </w:r>
      <w:proofErr w:type="spellStart"/>
      <w:r>
        <w:rPr>
          <w:rtl/>
        </w:rPr>
        <w:t>הרוגצ׳ובר</w:t>
      </w:r>
      <w:proofErr w:type="spellEnd"/>
      <w:r>
        <w:rPr>
          <w:rtl/>
        </w:rPr>
        <w:t xml:space="preserve"> את סמיכתו), החמיץ בספרו “בית הלוי” כמה מקורות בתלמוד הירושלמי</w:t>
      </w:r>
      <w:bookmarkStart w:id="3890" w:name="_fnr2948"/>
      <w:bookmarkStart w:id="3891" w:name="pr_f_2843"/>
      <w:r>
        <w:rPr>
          <w:rStyle w:val="a5"/>
        </w:rPr>
        <w:footnoteReference w:id="2956" w:customMarkFollows="0"/>
      </w:r>
      <w:bookmarkEnd w:id="3890"/>
      <w:bookmarkEnd w:id="3891"/>
      <w:r>
        <w:rPr>
          <w:rtl/>
        </w:rPr>
        <w:t xml:space="preserve">. הדבר הכעיס את ר׳ חיים, והוא אמר: “אשמע נא מהם המקורות האלה.” על כל מקור שהביא הרב </w:t>
      </w:r>
      <w:proofErr w:type="spellStart"/>
      <w:r>
        <w:rPr>
          <w:rtl/>
        </w:rPr>
        <w:t>רוזין</w:t>
      </w:r>
      <w:proofErr w:type="spellEnd"/>
      <w:r>
        <w:rPr>
          <w:rtl/>
        </w:rPr>
        <w:t xml:space="preserve"> הראה ר׳ חיים שאינו נוגע לעניין. </w:t>
      </w:r>
      <w:proofErr w:type="spellStart"/>
      <w:r>
        <w:rPr>
          <w:rtl/>
        </w:rPr>
        <w:t>הרוגצ׳ובר</w:t>
      </w:r>
      <w:proofErr w:type="spellEnd"/>
      <w:r>
        <w:rPr>
          <w:rtl/>
        </w:rPr>
        <w:t xml:space="preserve"> כעס כל כך עד ש</w:t>
      </w:r>
      <w:r>
        <w:rPr>
          <w:b/>
          <w:bCs/>
          <w:rtl/>
        </w:rPr>
        <w:t>רצה</w:t>
      </w:r>
      <w:bookmarkStart w:id="3892" w:name="_fnr2949"/>
      <w:r>
        <w:rPr>
          <w:rStyle w:val="a5"/>
        </w:rPr>
        <w:footnoteReference w:id="2957" w:customMarkFollows="0"/>
      </w:r>
      <w:bookmarkEnd w:id="3892"/>
      <w:r>
        <w:rPr>
          <w:rtl/>
        </w:rPr>
        <w:t xml:space="preserve"> לזרוק כיסא על ר׳ חיים</w:t>
      </w:r>
      <w:bookmarkStart w:id="3893" w:name="_fnr2950"/>
      <w:r>
        <w:rPr>
          <w:rStyle w:val="a5"/>
        </w:rPr>
        <w:footnoteReference w:id="2958" w:customMarkFollows="0"/>
      </w:r>
      <w:bookmarkEnd w:id="3893"/>
      <w:r>
        <w:rPr>
          <w:rtl/>
        </w:rPr>
        <w:t>!</w:t>
      </w:r>
    </w:p>
    <w:p w14:paraId="3513338B" w14:textId="77777777" w:rsidR="00AB3647" w:rsidRDefault="00000000" w:rsidP="007923E9">
      <w:pPr>
        <w:spacing w:after="120" w:line="276" w:lineRule="auto"/>
        <w:ind w:firstLine="283"/>
        <w:jc w:val="both"/>
      </w:pPr>
      <w:r>
        <w:rPr>
          <w:rtl/>
        </w:rPr>
        <w:t>ר׳ אורי אשר סיפר</w:t>
      </w:r>
      <w:bookmarkStart w:id="3894" w:name="_fnr2951"/>
      <w:r>
        <w:rPr>
          <w:rStyle w:val="a5"/>
        </w:rPr>
        <w:footnoteReference w:id="2959" w:customMarkFollows="0"/>
      </w:r>
      <w:bookmarkEnd w:id="3894"/>
      <w:r>
        <w:rPr>
          <w:rtl/>
        </w:rPr>
        <w:t xml:space="preserve"> שאביו, ר׳ שמעון אשר, סיים </w:t>
      </w:r>
      <w:proofErr w:type="spellStart"/>
      <w:r>
        <w:rPr>
          <w:rtl/>
        </w:rPr>
        <w:t>בתרצ״א</w:t>
      </w:r>
      <w:proofErr w:type="spellEnd"/>
      <w:r>
        <w:rPr>
          <w:rtl/>
        </w:rPr>
        <w:t xml:space="preserve"> שש שנות לימוד בישיבת </w:t>
      </w:r>
      <w:proofErr w:type="spellStart"/>
      <w:r>
        <w:rPr>
          <w:rtl/>
        </w:rPr>
        <w:t>טלז</w:t>
      </w:r>
      <w:proofErr w:type="spellEnd"/>
      <w:r>
        <w:rPr>
          <w:rtl/>
        </w:rPr>
        <w:t xml:space="preserve">, ולפני ששב לביתו בשווייץ ביקר אצל </w:t>
      </w:r>
      <w:proofErr w:type="spellStart"/>
      <w:r>
        <w:rPr>
          <w:rtl/>
        </w:rPr>
        <w:t>הרוגצ׳ובר</w:t>
      </w:r>
      <w:proofErr w:type="spellEnd"/>
      <w:r>
        <w:rPr>
          <w:rtl/>
        </w:rPr>
        <w:t xml:space="preserve">. ביודעו שהגאון אינו לומד אחרונים, שאל המבקר שאלה שמקשה ר׳ עקיבא איגר. </w:t>
      </w:r>
      <w:proofErr w:type="spellStart"/>
      <w:r>
        <w:rPr>
          <w:rtl/>
        </w:rPr>
        <w:t>הרוגצ׳ובר</w:t>
      </w:r>
      <w:proofErr w:type="spellEnd"/>
      <w:r>
        <w:rPr>
          <w:rtl/>
        </w:rPr>
        <w:t xml:space="preserve"> השיב </w:t>
      </w:r>
      <w:proofErr w:type="spellStart"/>
      <w:r>
        <w:rPr>
          <w:rtl/>
        </w:rPr>
        <w:t>לר</w:t>
      </w:r>
      <w:proofErr w:type="spellEnd"/>
      <w:r>
        <w:rPr>
          <w:rtl/>
        </w:rPr>
        <w:t>׳ שמעון תשובה שונה מתשובתו של ר׳ עקיבא איגר, ונתן לבן העשרים וחמש סטירת לחי בלי שום גינונים על ששאל שאלה חלשה כל כך!</w:t>
      </w:r>
    </w:p>
    <w:p w14:paraId="3CAD2A3F" w14:textId="77777777" w:rsidR="00AB3647" w:rsidRDefault="00000000" w:rsidP="007923E9">
      <w:pPr>
        <w:spacing w:after="120" w:line="276" w:lineRule="auto"/>
        <w:ind w:firstLine="283"/>
        <w:jc w:val="both"/>
      </w:pPr>
      <w:r>
        <w:rPr>
          <w:rtl/>
        </w:rPr>
        <w:t xml:space="preserve">לפי מאמרו של הרב ניסן וקסמן, “אכסניה של תורה”, </w:t>
      </w:r>
      <w:proofErr w:type="spellStart"/>
      <w:r>
        <w:rPr>
          <w:rtl/>
        </w:rPr>
        <w:t>ב“פנקס</w:t>
      </w:r>
      <w:proofErr w:type="spellEnd"/>
      <w:r>
        <w:rPr>
          <w:rtl/>
        </w:rPr>
        <w:t xml:space="preserve"> </w:t>
      </w:r>
      <w:proofErr w:type="spellStart"/>
      <w:r>
        <w:rPr>
          <w:rtl/>
        </w:rPr>
        <w:t>סלוצק</w:t>
      </w:r>
      <w:proofErr w:type="spellEnd"/>
      <w:r>
        <w:rPr>
          <w:rtl/>
        </w:rPr>
        <w:t>”</w:t>
      </w:r>
      <w:bookmarkStart w:id="3895" w:name="_fnr2952"/>
      <w:r>
        <w:rPr>
          <w:rStyle w:val="a5"/>
        </w:rPr>
        <w:footnoteReference w:id="2960" w:customMarkFollows="0"/>
      </w:r>
      <w:bookmarkEnd w:id="3895"/>
      <w:r>
        <w:rPr>
          <w:rtl/>
        </w:rPr>
        <w:t xml:space="preserve">, ר׳ יוסף־דב </w:t>
      </w:r>
      <w:proofErr w:type="spellStart"/>
      <w:r>
        <w:rPr>
          <w:rtl/>
        </w:rPr>
        <w:t>סולובייצ׳יק</w:t>
      </w:r>
      <w:proofErr w:type="spellEnd"/>
      <w:r>
        <w:rPr>
          <w:rtl/>
        </w:rPr>
        <w:t xml:space="preserve"> התמנה לרב </w:t>
      </w:r>
      <w:proofErr w:type="spellStart"/>
      <w:r>
        <w:rPr>
          <w:rtl/>
        </w:rPr>
        <w:t>סלוצק</w:t>
      </w:r>
      <w:proofErr w:type="spellEnd"/>
      <w:r>
        <w:rPr>
          <w:rtl/>
        </w:rPr>
        <w:t xml:space="preserve"> </w:t>
      </w:r>
      <w:proofErr w:type="spellStart"/>
      <w:r>
        <w:rPr>
          <w:rtl/>
        </w:rPr>
        <w:t>בתרכ״ה</w:t>
      </w:r>
      <w:proofErr w:type="spellEnd"/>
      <w:r>
        <w:rPr>
          <w:rtl/>
        </w:rPr>
        <w:t xml:space="preserve">, ושנה אחר כך סידר לבנו חיים, בן </w:t>
      </w:r>
      <w:proofErr w:type="spellStart"/>
      <w:r>
        <w:rPr>
          <w:rtl/>
        </w:rPr>
        <w:t>האחת־עשרה</w:t>
      </w:r>
      <w:proofErr w:type="spellEnd"/>
      <w:r>
        <w:rPr>
          <w:rtl/>
        </w:rPr>
        <w:t xml:space="preserve">, ללמוד שם אצל הגאון ר׳ </w:t>
      </w:r>
      <w:proofErr w:type="spellStart"/>
      <w:r>
        <w:rPr>
          <w:rtl/>
        </w:rPr>
        <w:t>מנדל׳ה</w:t>
      </w:r>
      <w:proofErr w:type="spellEnd"/>
      <w:r>
        <w:rPr>
          <w:rtl/>
        </w:rPr>
        <w:t xml:space="preserve"> אפשטיין, תלמידו של ר׳ חיים </w:t>
      </w:r>
      <w:proofErr w:type="spellStart"/>
      <w:r>
        <w:rPr>
          <w:rtl/>
        </w:rPr>
        <w:t>מוולוז׳ין</w:t>
      </w:r>
      <w:proofErr w:type="spellEnd"/>
      <w:r>
        <w:rPr>
          <w:rtl/>
        </w:rPr>
        <w:t xml:space="preserve">. אל הילד הצטרף תלמיד אחר, יוסף </w:t>
      </w:r>
      <w:proofErr w:type="spellStart"/>
      <w:r>
        <w:rPr>
          <w:rtl/>
        </w:rPr>
        <w:t>רוזין</w:t>
      </w:r>
      <w:proofErr w:type="spellEnd"/>
      <w:r>
        <w:rPr>
          <w:rtl/>
        </w:rPr>
        <w:t xml:space="preserve">, שאביו, חסיד חב״ד, הביאו </w:t>
      </w:r>
      <w:proofErr w:type="spellStart"/>
      <w:r>
        <w:rPr>
          <w:rtl/>
        </w:rPr>
        <w:t>מרוגצ׳וב</w:t>
      </w:r>
      <w:proofErr w:type="spellEnd"/>
      <w:r>
        <w:rPr>
          <w:rtl/>
        </w:rPr>
        <w:t xml:space="preserve"> ללמוד אצל ר׳ </w:t>
      </w:r>
      <w:proofErr w:type="spellStart"/>
      <w:r>
        <w:rPr>
          <w:rtl/>
        </w:rPr>
        <w:t>מנדל׳ה</w:t>
      </w:r>
      <w:proofErr w:type="spellEnd"/>
      <w:r>
        <w:rPr>
          <w:rtl/>
        </w:rPr>
        <w:t xml:space="preserve"> </w:t>
      </w:r>
      <w:proofErr w:type="spellStart"/>
      <w:r>
        <w:rPr>
          <w:rtl/>
        </w:rPr>
        <w:t>בסלוצק</w:t>
      </w:r>
      <w:proofErr w:type="spellEnd"/>
      <w:r>
        <w:rPr>
          <w:rtl/>
        </w:rPr>
        <w:t xml:space="preserve"> </w:t>
      </w:r>
      <w:proofErr w:type="spellStart"/>
      <w:r>
        <w:rPr>
          <w:rtl/>
        </w:rPr>
        <w:t>המתנגדית</w:t>
      </w:r>
      <w:bookmarkStart w:id="3896" w:name="_fnr2953"/>
      <w:proofErr w:type="spellEnd"/>
      <w:r>
        <w:rPr>
          <w:rStyle w:val="a5"/>
        </w:rPr>
        <w:footnoteReference w:id="2961" w:customMarkFollows="0"/>
      </w:r>
      <w:bookmarkEnd w:id="3896"/>
      <w:r>
        <w:rPr>
          <w:rtl/>
        </w:rPr>
        <w:t xml:space="preserve">. אבל יוסף נשאר ללמוד אצל ר׳ </w:t>
      </w:r>
      <w:proofErr w:type="spellStart"/>
      <w:r>
        <w:rPr>
          <w:rtl/>
        </w:rPr>
        <w:t>מנדל׳ה</w:t>
      </w:r>
      <w:proofErr w:type="spellEnd"/>
      <w:r>
        <w:rPr>
          <w:rtl/>
        </w:rPr>
        <w:t xml:space="preserve"> שנה אחת בלבד, ואילו חיים נשאר כמה שנים, עד שעבר </w:t>
      </w:r>
      <w:proofErr w:type="spellStart"/>
      <w:r>
        <w:rPr>
          <w:rtl/>
        </w:rPr>
        <w:t>לוולוז׳ין</w:t>
      </w:r>
      <w:proofErr w:type="spellEnd"/>
      <w:r>
        <w:rPr>
          <w:rtl/>
        </w:rPr>
        <w:t xml:space="preserve">. הרב וקסמן כותב: “ויש להניח שמרבי מנדלי רכש ר׳ חיים את יסודי שיטת לימודו בהפרדת עיקרי ההלכה ושרשיה לגורמיהם היסודיים, אותה שיטה שחוללה פלאים בעולם התורה וכבשה רוב מבצריה תחת דגלה... בלי ספק הטביע רבי מנדלי את חותמו, </w:t>
      </w:r>
      <w:r>
        <w:rPr>
          <w:rtl/>
        </w:rPr>
        <w:lastRenderedPageBreak/>
        <w:t xml:space="preserve">אם כי </w:t>
      </w:r>
      <w:proofErr w:type="spellStart"/>
      <w:r>
        <w:rPr>
          <w:rtl/>
        </w:rPr>
        <w:t>במדה</w:t>
      </w:r>
      <w:proofErr w:type="spellEnd"/>
      <w:r>
        <w:rPr>
          <w:rtl/>
        </w:rPr>
        <w:t xml:space="preserve"> יותר מצומצמת, גם על תלמידו השני שנודע במשך הימים לאחד מגדולי הדורות הגאון </w:t>
      </w:r>
      <w:proofErr w:type="spellStart"/>
      <w:r>
        <w:rPr>
          <w:rtl/>
        </w:rPr>
        <w:t>הרוגצ׳ובר</w:t>
      </w:r>
      <w:proofErr w:type="spellEnd"/>
      <w:r>
        <w:rPr>
          <w:rtl/>
        </w:rPr>
        <w:t xml:space="preserve">, רבה של עדת החסידים </w:t>
      </w:r>
      <w:proofErr w:type="spellStart"/>
      <w:r>
        <w:rPr>
          <w:rtl/>
        </w:rPr>
        <w:t>בדווינסק</w:t>
      </w:r>
      <w:proofErr w:type="spellEnd"/>
      <w:r>
        <w:rPr>
          <w:rtl/>
        </w:rPr>
        <w:t>.”</w:t>
      </w:r>
    </w:p>
    <w:p w14:paraId="5A3A890E" w14:textId="77777777" w:rsidR="00AB3647" w:rsidRDefault="00000000" w:rsidP="007923E9">
      <w:pPr>
        <w:spacing w:after="120" w:line="276" w:lineRule="auto"/>
        <w:ind w:firstLine="283"/>
        <w:jc w:val="both"/>
      </w:pPr>
      <w:r>
        <w:rPr>
          <w:rtl/>
        </w:rPr>
        <w:t>והנה בס׳ “נפש הרב”</w:t>
      </w:r>
      <w:bookmarkStart w:id="3897" w:name="_fnr2954"/>
      <w:r>
        <w:rPr>
          <w:rStyle w:val="a5"/>
        </w:rPr>
        <w:footnoteReference w:id="2962" w:customMarkFollows="0"/>
      </w:r>
      <w:bookmarkEnd w:id="3897"/>
      <w:r>
        <w:rPr>
          <w:rtl/>
        </w:rPr>
        <w:t xml:space="preserve"> הובא בשמו של ר׳ </w:t>
      </w:r>
      <w:proofErr w:type="spellStart"/>
      <w:r>
        <w:rPr>
          <w:rtl/>
        </w:rPr>
        <w:t xml:space="preserve">יוסף־דב</w:t>
      </w:r>
      <w:proofErr w:type="spellEnd"/>
      <w:r>
        <w:rPr>
          <w:rtl/>
        </w:rPr>
        <w:t xml:space="preserve"> הלוי </w:t>
      </w:r>
      <w:proofErr w:type="spellStart"/>
      <w:r>
        <w:rPr>
          <w:rtl/>
        </w:rPr>
        <w:t>סולובייצ׳יק</w:t>
      </w:r>
      <w:proofErr w:type="spellEnd"/>
      <w:r>
        <w:rPr>
          <w:rtl/>
        </w:rPr>
        <w:t xml:space="preserve"> מבוסטון שסבו ר׳ חיים אמר בפירוש שאת שיטתו בהבנת הגמרא רכש מאת ר׳ מנדלי – וזה אינו סותר מה שיש בספר “תורת חיים”, עמ׳ </w:t>
      </w:r>
      <w:proofErr w:type="spellStart"/>
      <w:r>
        <w:rPr>
          <w:rtl/>
        </w:rPr>
        <w:t>קפב</w:t>
      </w:r>
      <w:proofErr w:type="spellEnd"/>
      <w:r>
        <w:rPr>
          <w:rtl/>
        </w:rPr>
        <w:t xml:space="preserve">, שר׳ חיים אמר שכבר בגיל שלש הי׳ לו דרך בלימוד, עיי״ש. ואם צדק ר׳ </w:t>
      </w:r>
      <w:proofErr w:type="spellStart"/>
      <w:r>
        <w:rPr>
          <w:rtl/>
        </w:rPr>
        <w:t>מאיר־שמחה</w:t>
      </w:r>
      <w:proofErr w:type="spellEnd"/>
      <w:r>
        <w:rPr>
          <w:rtl/>
        </w:rPr>
        <w:t xml:space="preserve"> במה שהעריך את ראיותיו של </w:t>
      </w:r>
      <w:proofErr w:type="spellStart"/>
      <w:r>
        <w:rPr>
          <w:rtl/>
        </w:rPr>
        <w:t>הרוגצ׳ובר</w:t>
      </w:r>
      <w:proofErr w:type="spellEnd"/>
      <w:r>
        <w:rPr>
          <w:rtl/>
        </w:rPr>
        <w:t xml:space="preserve">, כנ״ל, יכולים אנו לומר שר׳ יוסף </w:t>
      </w:r>
      <w:proofErr w:type="spellStart"/>
      <w:r>
        <w:rPr>
          <w:rtl/>
        </w:rPr>
        <w:t>רוזין</w:t>
      </w:r>
      <w:proofErr w:type="spellEnd"/>
      <w:r>
        <w:rPr>
          <w:rtl/>
        </w:rPr>
        <w:t xml:space="preserve"> לא למד מאת ר׳ מנדלי </w:t>
      </w:r>
      <w:r>
        <w:rPr>
          <w:b/>
          <w:bCs/>
          <w:rtl/>
        </w:rPr>
        <w:t>מה שלא לומר</w:t>
      </w:r>
      <w:r>
        <w:rPr>
          <w:rtl/>
        </w:rPr>
        <w:t>, דבר שאצל ר׳ חיים היה חשוב במיוחד</w:t>
      </w:r>
      <w:bookmarkStart w:id="3898" w:name="_fnr2955"/>
      <w:r>
        <w:rPr>
          <w:rStyle w:val="a5"/>
        </w:rPr>
        <w:footnoteReference w:id="2963" w:customMarkFollows="0"/>
      </w:r>
      <w:bookmarkEnd w:id="3898"/>
      <w:r>
        <w:rPr>
          <w:rtl/>
        </w:rPr>
        <w:t>.</w:t>
      </w:r>
    </w:p>
    <w:p w14:paraId="12A8B395" w14:textId="77777777" w:rsidR="00AB3647" w:rsidRDefault="00000000" w:rsidP="007923E9">
      <w:pPr>
        <w:spacing w:after="120" w:line="276" w:lineRule="auto"/>
        <w:ind w:firstLine="283"/>
        <w:jc w:val="both"/>
      </w:pPr>
      <w:r>
        <w:rPr>
          <w:rtl/>
        </w:rPr>
        <w:t xml:space="preserve">השווה גם “הראשון לשושלת </w:t>
      </w:r>
      <w:proofErr w:type="spellStart"/>
      <w:r>
        <w:rPr>
          <w:rtl/>
        </w:rPr>
        <w:t>בריסק</w:t>
      </w:r>
      <w:proofErr w:type="spellEnd"/>
      <w:r>
        <w:rPr>
          <w:rtl/>
        </w:rPr>
        <w:t>”</w:t>
      </w:r>
      <w:bookmarkStart w:id="3899" w:name="_fnr2956"/>
      <w:r>
        <w:rPr>
          <w:rStyle w:val="a5"/>
        </w:rPr>
        <w:footnoteReference w:id="2964" w:customMarkFollows="0"/>
      </w:r>
      <w:bookmarkEnd w:id="3899"/>
      <w:r>
        <w:rPr>
          <w:rtl/>
        </w:rPr>
        <w:t xml:space="preserve">: כשהוצעה </w:t>
      </w:r>
      <w:proofErr w:type="spellStart"/>
      <w:r>
        <w:rPr>
          <w:rtl/>
        </w:rPr>
        <w:t>לר</w:t>
      </w:r>
      <w:proofErr w:type="spellEnd"/>
      <w:r>
        <w:rPr>
          <w:rtl/>
        </w:rPr>
        <w:t xml:space="preserve">׳ יוסף־דב רבנות </w:t>
      </w:r>
      <w:proofErr w:type="spellStart"/>
      <w:r>
        <w:rPr>
          <w:rtl/>
        </w:rPr>
        <w:t>סלוצק</w:t>
      </w:r>
      <w:proofErr w:type="spellEnd"/>
      <w:r>
        <w:rPr>
          <w:rtl/>
        </w:rPr>
        <w:t xml:space="preserve">, אמר על ר׳ </w:t>
      </w:r>
      <w:proofErr w:type="spellStart"/>
      <w:r>
        <w:rPr>
          <w:rtl/>
        </w:rPr>
        <w:t>מנדל׳ה</w:t>
      </w:r>
      <w:proofErr w:type="spellEnd"/>
      <w:r>
        <w:rPr>
          <w:rtl/>
        </w:rPr>
        <w:t xml:space="preserve">: “אריה שוכן </w:t>
      </w:r>
      <w:proofErr w:type="spellStart"/>
      <w:r>
        <w:rPr>
          <w:rtl/>
        </w:rPr>
        <w:t>בסלוצק</w:t>
      </w:r>
      <w:proofErr w:type="spellEnd"/>
      <w:r>
        <w:rPr>
          <w:rtl/>
        </w:rPr>
        <w:t xml:space="preserve">, ואתם באים אל שועל </w:t>
      </w:r>
      <w:proofErr w:type="spellStart"/>
      <w:r>
        <w:rPr>
          <w:rtl/>
        </w:rPr>
        <w:t>בוולוז׳ין</w:t>
      </w:r>
      <w:proofErr w:type="spellEnd"/>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3900" w:name="_fnr2957"/>
      <w:r>
        <w:rPr>
          <w:rStyle w:val="a5"/>
        </w:rPr>
        <w:footnoteReference w:id="2965" w:customMarkFollows="0"/>
      </w:r>
      <w:bookmarkEnd w:id="3900"/>
      <w:r>
        <w:rPr>
          <w:rtl/>
        </w:rPr>
        <w:t xml:space="preserve"> דבריו של הבית הלוי חדים יותר, והם מובאים כך: “אריה רובץ בבית מדרשו של הרב </w:t>
      </w:r>
      <w:proofErr w:type="spellStart"/>
      <w:r>
        <w:rPr>
          <w:rtl/>
        </w:rPr>
        <w:t>איסרלין</w:t>
      </w:r>
      <w:proofErr w:type="spellEnd"/>
      <w:r>
        <w:rPr>
          <w:rtl/>
        </w:rPr>
        <w:t xml:space="preserve"> העשיר [</w:t>
      </w:r>
      <w:proofErr w:type="spellStart"/>
      <w:r>
        <w:rPr>
          <w:rtl/>
        </w:rPr>
        <w:t>בסלוצק</w:t>
      </w:r>
      <w:proofErr w:type="spellEnd"/>
      <w:r>
        <w:rPr>
          <w:rtl/>
        </w:rPr>
        <w:t>], ואתם קוראים לשועל למשול בכם</w:t>
      </w:r>
      <w:bookmarkStart w:id="3901" w:name="_fnr2958"/>
      <w:r>
        <w:rPr>
          <w:rStyle w:val="a5"/>
        </w:rPr>
        <w:footnoteReference w:id="2966" w:customMarkFollows="0"/>
      </w:r>
      <w:bookmarkEnd w:id="3901"/>
      <w:r>
        <w:rPr>
          <w:rtl/>
        </w:rPr>
        <w:t xml:space="preserve">?!” השווה גם “הראשון לשושלת </w:t>
      </w:r>
      <w:proofErr w:type="spellStart"/>
      <w:r>
        <w:rPr>
          <w:rtl/>
        </w:rPr>
        <w:t>בריסק</w:t>
      </w:r>
      <w:proofErr w:type="spellEnd"/>
      <w:r>
        <w:rPr>
          <w:rtl/>
        </w:rPr>
        <w:t>”</w:t>
      </w:r>
      <w:bookmarkStart w:id="3902" w:name="_fnr2959"/>
      <w:r>
        <w:rPr>
          <w:rStyle w:val="a5"/>
        </w:rPr>
        <w:footnoteReference w:id="2967" w:customMarkFollows="0"/>
      </w:r>
      <w:bookmarkEnd w:id="3902"/>
      <w:r>
        <w:rPr>
          <w:rtl/>
        </w:rPr>
        <w:t xml:space="preserve"> לפרטים נוספים על ר׳ </w:t>
      </w:r>
      <w:proofErr w:type="spellStart"/>
      <w:r>
        <w:rPr>
          <w:rtl/>
        </w:rPr>
        <w:t>מנדל׳ה</w:t>
      </w:r>
      <w:proofErr w:type="spellEnd"/>
      <w:r>
        <w:rPr>
          <w:rtl/>
        </w:rPr>
        <w:t xml:space="preserve">, ובהם שמסר שיעורים </w:t>
      </w:r>
      <w:proofErr w:type="spellStart"/>
      <w:r>
        <w:rPr>
          <w:rtl/>
        </w:rPr>
        <w:t>לשנים־עשר</w:t>
      </w:r>
      <w:proofErr w:type="spellEnd"/>
      <w:r>
        <w:rPr>
          <w:rtl/>
        </w:rPr>
        <w:t xml:space="preserve"> אברכים שהחזיקו אב ובנו ממשפחת </w:t>
      </w:r>
      <w:proofErr w:type="spellStart"/>
      <w:r>
        <w:rPr>
          <w:rtl/>
        </w:rPr>
        <w:t>איסרלין</w:t>
      </w:r>
      <w:proofErr w:type="spellEnd"/>
      <w:r>
        <w:rPr>
          <w:rtl/>
        </w:rPr>
        <w:t xml:space="preserve"> העשירה</w:t>
      </w:r>
      <w:bookmarkStart w:id="3903" w:name="_fnr2960"/>
      <w:r>
        <w:rPr>
          <w:rStyle w:val="a5"/>
        </w:rPr>
        <w:footnoteReference w:id="2968" w:customMarkFollows="0"/>
      </w:r>
      <w:bookmarkEnd w:id="3903"/>
      <w:r>
        <w:rPr>
          <w:rtl/>
        </w:rPr>
        <w:t>.</w:t>
      </w:r>
    </w:p>
    <w:p w14:paraId="6CFE1845" w14:textId="77777777" w:rsidR="00AB3647" w:rsidRDefault="00000000" w:rsidP="007923E9">
      <w:pPr>
        <w:spacing w:after="120" w:line="276" w:lineRule="auto"/>
        <w:ind w:firstLine="283"/>
        <w:jc w:val="both"/>
      </w:pPr>
      <w:r>
        <w:rPr>
          <w:rtl/>
        </w:rPr>
        <w:t xml:space="preserve">על שהותו של </w:t>
      </w:r>
      <w:proofErr w:type="spellStart"/>
      <w:r>
        <w:rPr>
          <w:rtl/>
        </w:rPr>
        <w:t>הרוגצ׳ובר</w:t>
      </w:r>
      <w:proofErr w:type="spellEnd"/>
      <w:r>
        <w:rPr>
          <w:rtl/>
        </w:rPr>
        <w:t xml:space="preserve"> </w:t>
      </w:r>
      <w:proofErr w:type="spellStart"/>
      <w:r>
        <w:rPr>
          <w:rtl/>
        </w:rPr>
        <w:t>בסלוצק</w:t>
      </w:r>
      <w:proofErr w:type="spellEnd"/>
      <w:r>
        <w:rPr>
          <w:rtl/>
        </w:rPr>
        <w:t xml:space="preserve"> סיפר ר׳ חיים </w:t>
      </w:r>
      <w:proofErr w:type="spellStart"/>
      <w:r>
        <w:rPr>
          <w:rtl/>
        </w:rPr>
        <w:t>זוננפלד</w:t>
      </w:r>
      <w:bookmarkStart w:id="3904" w:name="_fnr2961"/>
      <w:proofErr w:type="spellEnd"/>
      <w:r>
        <w:rPr>
          <w:rStyle w:val="a5"/>
        </w:rPr>
        <w:footnoteReference w:id="2969" w:customMarkFollows="0"/>
      </w:r>
      <w:bookmarkEnd w:id="3904"/>
      <w:r>
        <w:rPr>
          <w:rtl/>
        </w:rPr>
        <w:t xml:space="preserve"> את המעשה הבא מפי חותנו ר׳ שפטיה סגל, יליד </w:t>
      </w:r>
      <w:proofErr w:type="spellStart"/>
      <w:r>
        <w:rPr>
          <w:rtl/>
        </w:rPr>
        <w:t>ינישקל</w:t>
      </w:r>
      <w:proofErr w:type="spellEnd"/>
      <w:r>
        <w:rPr>
          <w:rtl/>
        </w:rPr>
        <w:t xml:space="preserve"> (הרב </w:t>
      </w:r>
      <w:proofErr w:type="spellStart"/>
      <w:r>
        <w:rPr>
          <w:rtl/>
        </w:rPr>
        <w:t>מפוניבז</w:t>
      </w:r>
      <w:proofErr w:type="spellEnd"/>
      <w:r>
        <w:rPr>
          <w:rtl/>
        </w:rPr>
        <w:t xml:space="preserve">׳ כינהו “העילוי </w:t>
      </w:r>
      <w:proofErr w:type="spellStart"/>
      <w:r>
        <w:rPr>
          <w:rtl/>
        </w:rPr>
        <w:t>מינישקל</w:t>
      </w:r>
      <w:proofErr w:type="spellEnd"/>
      <w:r>
        <w:rPr>
          <w:rtl/>
        </w:rPr>
        <w:t xml:space="preserve">”), שהיה מצוי בביתו של ר׳ </w:t>
      </w:r>
      <w:proofErr w:type="spellStart"/>
      <w:r>
        <w:rPr>
          <w:rtl/>
        </w:rPr>
        <w:t>מאיר־שמחה</w:t>
      </w:r>
      <w:proofErr w:type="spellEnd"/>
      <w:r>
        <w:rPr>
          <w:rtl/>
        </w:rPr>
        <w:t xml:space="preserve"> כהן </w:t>
      </w:r>
      <w:proofErr w:type="spellStart"/>
      <w:r>
        <w:rPr>
          <w:rtl/>
        </w:rPr>
        <w:t>בדווינסק</w:t>
      </w:r>
      <w:bookmarkStart w:id="3905" w:name="_fnr2962"/>
      <w:bookmarkStart w:id="3906" w:name="pr_f_2857"/>
      <w:proofErr w:type="spellEnd"/>
      <w:r>
        <w:rPr>
          <w:rStyle w:val="a5"/>
        </w:rPr>
        <w:footnoteReference w:id="2970" w:customMarkFollows="0"/>
      </w:r>
      <w:bookmarkEnd w:id="3905"/>
      <w:bookmarkEnd w:id="3906"/>
      <w:r>
        <w:rPr>
          <w:rtl/>
        </w:rPr>
        <w:t xml:space="preserve">. ר׳ שפטיה שמע מר׳ </w:t>
      </w:r>
      <w:proofErr w:type="spellStart"/>
      <w:r>
        <w:rPr>
          <w:rtl/>
        </w:rPr>
        <w:t>צבי־הירש</w:t>
      </w:r>
      <w:proofErr w:type="spellEnd"/>
      <w:r>
        <w:rPr>
          <w:rtl/>
        </w:rPr>
        <w:t xml:space="preserve"> </w:t>
      </w:r>
      <w:proofErr w:type="spellStart"/>
      <w:r>
        <w:rPr>
          <w:rtl/>
        </w:rPr>
        <w:t>מסליאנסקי</w:t>
      </w:r>
      <w:bookmarkStart w:id="3907" w:name="_fnr2963"/>
      <w:proofErr w:type="spellEnd"/>
      <w:r>
        <w:rPr>
          <w:rStyle w:val="a5"/>
        </w:rPr>
        <w:footnoteReference w:id="2971" w:customMarkFollows="0"/>
      </w:r>
      <w:bookmarkEnd w:id="3907"/>
      <w:r>
        <w:rPr>
          <w:rtl/>
        </w:rPr>
        <w:t xml:space="preserve">, יליד </w:t>
      </w:r>
      <w:proofErr w:type="spellStart"/>
      <w:r>
        <w:rPr>
          <w:rtl/>
        </w:rPr>
        <w:t>סלוצק</w:t>
      </w:r>
      <w:proofErr w:type="spellEnd"/>
      <w:r>
        <w:rPr>
          <w:rtl/>
        </w:rPr>
        <w:t xml:space="preserve">, שבכל יום שישי היה רב העיר, ר׳ יוסף־דב, בוחן את התלמידים הצעירים. כשבא יוסף בן </w:t>
      </w:r>
      <w:proofErr w:type="spellStart"/>
      <w:r>
        <w:rPr>
          <w:rtl/>
        </w:rPr>
        <w:t>השתים־עשרה</w:t>
      </w:r>
      <w:proofErr w:type="spellEnd"/>
      <w:r>
        <w:rPr>
          <w:rtl/>
        </w:rPr>
        <w:t xml:space="preserve"> לעיר, “במכנסיים קצרים, מושך את גרביו כלפי מעלה”, הלך מיד אל הרב להציג את עצמו ולהודיע שבא ללמוד בעירו אצל ר׳ </w:t>
      </w:r>
      <w:proofErr w:type="spellStart"/>
      <w:r>
        <w:rPr>
          <w:rtl/>
        </w:rPr>
        <w:t>מנדל׳ה</w:t>
      </w:r>
      <w:proofErr w:type="spellEnd"/>
      <w:r>
        <w:rPr>
          <w:rtl/>
        </w:rPr>
        <w:t xml:space="preserve">. כששאל אותו ר׳ יוסף־דב מה הוא יודע, </w:t>
      </w:r>
      <w:r>
        <w:rPr>
          <w:rtl/>
        </w:rPr>
        <w:lastRenderedPageBreak/>
        <w:t xml:space="preserve">השיב הנער: “חצי ש״ס”; וכששאל הרב: “איזה חצי?”, השיב: “איזה חצי שהרב מעדיף.” לאחר שבחן את הנער אמר ר׳ יוסף־דב: “צי ער </w:t>
      </w:r>
      <w:proofErr w:type="spellStart"/>
      <w:r>
        <w:rPr>
          <w:rtl/>
        </w:rPr>
        <w:t>פארשטעהט</w:t>
      </w:r>
      <w:proofErr w:type="spellEnd"/>
      <w:r>
        <w:rPr>
          <w:rtl/>
        </w:rPr>
        <w:t xml:space="preserve"> יא, צי ער </w:t>
      </w:r>
      <w:proofErr w:type="spellStart"/>
      <w:r>
        <w:rPr>
          <w:rtl/>
        </w:rPr>
        <w:t>פארשטעהט</w:t>
      </w:r>
      <w:proofErr w:type="spellEnd"/>
      <w:r>
        <w:rPr>
          <w:rtl/>
        </w:rPr>
        <w:t xml:space="preserve"> ניט – אבער ער </w:t>
      </w:r>
      <w:proofErr w:type="spellStart"/>
      <w:r>
        <w:rPr>
          <w:rtl/>
        </w:rPr>
        <w:t>זאגט</w:t>
      </w:r>
      <w:proofErr w:type="spellEnd"/>
      <w:r>
        <w:rPr>
          <w:rtl/>
        </w:rPr>
        <w:t xml:space="preserve"> דאך! [בין שהוא מבין ובין שאינו מבין – אבל הרי הוא אומר!]”</w:t>
      </w:r>
    </w:p>
    <w:p w14:paraId="6AF5F14C" w14:textId="77777777" w:rsidR="00AB3647" w:rsidRDefault="00000000" w:rsidP="007923E9">
      <w:pPr>
        <w:spacing w:after="120" w:line="276" w:lineRule="auto"/>
        <w:ind w:firstLine="283"/>
        <w:jc w:val="both"/>
      </w:pPr>
      <w:r>
        <w:rPr>
          <w:rtl/>
        </w:rPr>
        <w:t xml:space="preserve">לטובת חינוכו של הילד הורה ר׳ יוסף־דב לשמש לספק לנער את כל הגמרות שיבקש, אבל לנעול את כרכי הרמב״ם. כשבא השמש לבית המדרש, מצא את הנער כבר יושב ליד שולחן ועליו ערמת גמרות ורמב״ם. כשניסה השמש לקחת ממנו את הרמב״ם, חטף הנער את הספר וברח, ובעוד השמש רודף אחריו, מיהר אל עזרת הנשים ומשם קפץ אל התנור הגבוה. כשירד השמש וראה את הילד מעיין ברמב״ם, ורגליו מתנדנדות בסכנה מעבר לשפת התנור, הלך אל הרב ואמר לו: “איך האב </w:t>
      </w:r>
      <w:proofErr w:type="spellStart"/>
      <w:r>
        <w:rPr>
          <w:rtl/>
        </w:rPr>
        <w:t>נישט</w:t>
      </w:r>
      <w:proofErr w:type="spellEnd"/>
      <w:r>
        <w:rPr>
          <w:rtl/>
        </w:rPr>
        <w:t xml:space="preserve"> קיין </w:t>
      </w:r>
      <w:proofErr w:type="spellStart"/>
      <w:r>
        <w:rPr>
          <w:rtl/>
        </w:rPr>
        <w:t>כח</w:t>
      </w:r>
      <w:proofErr w:type="spellEnd"/>
      <w:r>
        <w:rPr>
          <w:rtl/>
        </w:rPr>
        <w:t xml:space="preserve"> [אין בי כוח]” לסכן את חייו של בן </w:t>
      </w:r>
      <w:proofErr w:type="spellStart"/>
      <w:r>
        <w:rPr>
          <w:rtl/>
        </w:rPr>
        <w:t>השתים־עשרה</w:t>
      </w:r>
      <w:proofErr w:type="spellEnd"/>
      <w:r>
        <w:rPr>
          <w:rtl/>
        </w:rPr>
        <w:t>, ושאינו יכול לקיים את ההוראה.</w:t>
      </w:r>
    </w:p>
    <w:p w14:paraId="7836CF8A" w14:textId="77777777" w:rsidR="00AB3647" w:rsidRDefault="00000000" w:rsidP="007923E9">
      <w:pPr>
        <w:spacing w:after="120" w:line="276" w:lineRule="auto"/>
        <w:ind w:firstLine="283"/>
        <w:jc w:val="both"/>
      </w:pPr>
      <w:r>
        <w:rPr>
          <w:rtl/>
        </w:rPr>
        <w:t xml:space="preserve">“ר׳ יוסף לא שהה </w:t>
      </w:r>
      <w:proofErr w:type="spellStart"/>
      <w:r>
        <w:rPr>
          <w:rtl/>
        </w:rPr>
        <w:t>בסלוצק</w:t>
      </w:r>
      <w:proofErr w:type="spellEnd"/>
      <w:r>
        <w:rPr>
          <w:rtl/>
        </w:rPr>
        <w:t xml:space="preserve"> זמן רב”, סיפר </w:t>
      </w:r>
      <w:proofErr w:type="spellStart"/>
      <w:r>
        <w:rPr>
          <w:rtl/>
        </w:rPr>
        <w:t>מסליאנסקי</w:t>
      </w:r>
      <w:proofErr w:type="spellEnd"/>
      <w:r>
        <w:rPr>
          <w:rtl/>
        </w:rPr>
        <w:t>. “כשביקרתי באירופה לאחר המלחמה כחבר משלחת של ארגון סיוע אמריקאי</w:t>
      </w:r>
      <w:bookmarkStart w:id="3908" w:name="_fnr2964"/>
      <w:bookmarkStart w:id="3909" w:name="pr_f_2859"/>
      <w:r>
        <w:rPr>
          <w:rStyle w:val="a5"/>
        </w:rPr>
        <w:footnoteReference w:id="2972" w:customMarkFollows="0"/>
      </w:r>
      <w:bookmarkEnd w:id="3908"/>
      <w:bookmarkEnd w:id="3909"/>
      <w:r>
        <w:rPr>
          <w:rtl/>
        </w:rPr>
        <w:t xml:space="preserve">, החלטתי לבקר אצל הגאון </w:t>
      </w:r>
      <w:proofErr w:type="spellStart"/>
      <w:r>
        <w:rPr>
          <w:rtl/>
        </w:rPr>
        <w:t>הרוגצ׳ובר</w:t>
      </w:r>
      <w:proofErr w:type="spellEnd"/>
      <w:r>
        <w:rPr>
          <w:rtl/>
        </w:rPr>
        <w:t xml:space="preserve"> המפורסם בלי שידעתי מיהו. אך מיד כשנכנסתי לחדרו זיהה אותי</w:t>
      </w:r>
      <w:bookmarkStart w:id="3910" w:name="_fnr2965"/>
      <w:r>
        <w:rPr>
          <w:rStyle w:val="a5"/>
        </w:rPr>
        <w:footnoteReference w:id="2973" w:customMarkFollows="0"/>
      </w:r>
      <w:bookmarkEnd w:id="3910"/>
      <w:r>
        <w:rPr>
          <w:rtl/>
        </w:rPr>
        <w:t xml:space="preserve"> ואמר: ‘</w:t>
      </w:r>
      <w:proofErr w:type="spellStart"/>
      <w:r>
        <w:rPr>
          <w:rtl/>
        </w:rPr>
        <w:t>הירשקה</w:t>
      </w:r>
      <w:proofErr w:type="spellEnd"/>
      <w:r>
        <w:rPr>
          <w:rtl/>
        </w:rPr>
        <w:t xml:space="preserve">, מה אתה עושה כאן? אני זוכר שכשבאתי </w:t>
      </w:r>
      <w:proofErr w:type="spellStart"/>
      <w:r>
        <w:rPr>
          <w:rtl/>
        </w:rPr>
        <w:t>לסלוצק</w:t>
      </w:r>
      <w:proofErr w:type="spellEnd"/>
      <w:r>
        <w:rPr>
          <w:rtl/>
        </w:rPr>
        <w:t xml:space="preserve"> להיבחן אצל הרב, ישבת שלישי בשורת הבחורים לימינו’”, סיים </w:t>
      </w:r>
      <w:proofErr w:type="spellStart"/>
      <w:r>
        <w:rPr>
          <w:rtl/>
        </w:rPr>
        <w:t>מסליאנסקי</w:t>
      </w:r>
      <w:proofErr w:type="spellEnd"/>
      <w:r>
        <w:rPr>
          <w:rtl/>
        </w:rPr>
        <w:t xml:space="preserve"> – לפי הרב סגל.</w:t>
      </w:r>
    </w:p>
    <w:p w14:paraId="69C4E6BA"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גילה</w:t>
      </w:r>
      <w:bookmarkStart w:id="3911" w:name="_fnr2966"/>
      <w:r>
        <w:rPr>
          <w:rStyle w:val="a5"/>
        </w:rPr>
        <w:footnoteReference w:id="2974" w:customMarkFollows="0"/>
      </w:r>
      <w:bookmarkEnd w:id="3911"/>
      <w:r>
        <w:rPr>
          <w:rtl/>
        </w:rPr>
        <w:t xml:space="preserve"> ששמע מר׳ ראובן כץ, רב פתח תקווה, </w:t>
      </w:r>
      <w:proofErr w:type="spellStart"/>
      <w:r>
        <w:rPr>
          <w:rtl/>
        </w:rPr>
        <w:t>שמסליאנסקי</w:t>
      </w:r>
      <w:proofErr w:type="spellEnd"/>
      <w:r>
        <w:rPr>
          <w:rtl/>
        </w:rPr>
        <w:t xml:space="preserve"> סיפר לו</w:t>
      </w:r>
      <w:bookmarkStart w:id="3912" w:name="_fnr2967"/>
      <w:r>
        <w:rPr>
          <w:rStyle w:val="a5"/>
        </w:rPr>
        <w:footnoteReference w:id="2975" w:customMarkFollows="0"/>
      </w:r>
      <w:bookmarkEnd w:id="3912"/>
      <w:r>
        <w:rPr>
          <w:rtl/>
        </w:rPr>
        <w:t xml:space="preserve"> </w:t>
      </w:r>
      <w:proofErr w:type="spellStart"/>
      <w:r>
        <w:rPr>
          <w:rtl/>
        </w:rPr>
        <w:t>שהרוגצ׳ובר</w:t>
      </w:r>
      <w:proofErr w:type="spellEnd"/>
      <w:r>
        <w:rPr>
          <w:rtl/>
        </w:rPr>
        <w:t xml:space="preserve"> הוסיף פרט נוסף מיד לאחר שזיהה את מבקרו, “שלא ראה למעלה מארבעים </w:t>
      </w:r>
      <w:r>
        <w:rPr>
          <w:rtl/>
        </w:rPr>
        <w:lastRenderedPageBreak/>
        <w:t>שנה</w:t>
      </w:r>
      <w:bookmarkStart w:id="3913" w:name="_fnr2968"/>
      <w:bookmarkStart w:id="3914" w:name="pr_f_2863"/>
      <w:r>
        <w:rPr>
          <w:rStyle w:val="a5"/>
        </w:rPr>
        <w:footnoteReference w:id="2976" w:customMarkFollows="0"/>
      </w:r>
      <w:bookmarkEnd w:id="3913"/>
      <w:bookmarkEnd w:id="3914"/>
      <w:r>
        <w:rPr>
          <w:rtl/>
        </w:rPr>
        <w:t xml:space="preserve">”, ואמר כך: “ואתה חושב שהוא [ר׳ </w:t>
      </w:r>
      <w:proofErr w:type="spellStart"/>
      <w:r>
        <w:rPr>
          <w:rtl/>
        </w:rPr>
        <w:t xml:space="preserve">יושע־בער</w:t>
      </w:r>
      <w:proofErr w:type="spellEnd"/>
      <w:r>
        <w:rPr>
          <w:rtl/>
        </w:rPr>
        <w:t>] ידע ללמוד? לא הרבה</w:t>
      </w:r>
      <w:bookmarkStart w:id="3915" w:name="_fnr2969"/>
      <w:bookmarkStart w:id="3916" w:name="pr_f_2864"/>
      <w:r>
        <w:rPr>
          <w:rStyle w:val="a5"/>
        </w:rPr>
        <w:footnoteReference w:id="2977" w:customMarkFollows="0"/>
      </w:r>
      <w:bookmarkEnd w:id="3915"/>
      <w:bookmarkEnd w:id="3916"/>
      <w:r>
        <w:rPr>
          <w:rtl/>
        </w:rPr>
        <w:t>!” ראה “אישים ושיטות”</w:t>
      </w:r>
      <w:bookmarkStart w:id="3917" w:name="_fnr2970"/>
      <w:r>
        <w:rPr>
          <w:rStyle w:val="a5"/>
        </w:rPr>
        <w:footnoteReference w:id="2978" w:customMarkFollows="0"/>
      </w:r>
      <w:bookmarkEnd w:id="3917"/>
      <w:r>
        <w:rPr>
          <w:rtl/>
        </w:rPr>
        <w:t xml:space="preserve">, שר׳ </w:t>
      </w:r>
      <w:proofErr w:type="spellStart"/>
      <w:r>
        <w:rPr>
          <w:rtl/>
        </w:rPr>
        <w:t>מאיר־שמחה</w:t>
      </w:r>
      <w:proofErr w:type="spellEnd"/>
      <w:r>
        <w:rPr>
          <w:rtl/>
        </w:rPr>
        <w:t xml:space="preserve"> אמר: “אומרים </w:t>
      </w:r>
      <w:proofErr w:type="spellStart"/>
      <w:r>
        <w:rPr>
          <w:rtl/>
        </w:rPr>
        <w:t>שלרוגצ׳ובר</w:t>
      </w:r>
      <w:proofErr w:type="spellEnd"/>
      <w:r>
        <w:rPr>
          <w:rtl/>
        </w:rPr>
        <w:t xml:space="preserve"> זיכרון מופלא, אבל אין זה כך... [הוא לומד תמיד, ו]אין דבר בתורה שלא חזר עליו ממש לאחרונה.” אבל המעשה שסיפר </w:t>
      </w:r>
      <w:proofErr w:type="spellStart"/>
      <w:r>
        <w:rPr>
          <w:rtl/>
        </w:rPr>
        <w:t>מסליאנסקי</w:t>
      </w:r>
      <w:proofErr w:type="spellEnd"/>
      <w:r>
        <w:rPr>
          <w:rtl/>
        </w:rPr>
        <w:t xml:space="preserve"> מורה שזיכרונו של </w:t>
      </w:r>
      <w:proofErr w:type="spellStart"/>
      <w:r>
        <w:rPr>
          <w:rtl/>
        </w:rPr>
        <w:t>הרוגצ׳ובר</w:t>
      </w:r>
      <w:proofErr w:type="spellEnd"/>
      <w:r>
        <w:rPr>
          <w:rtl/>
        </w:rPr>
        <w:t xml:space="preserve"> אכן היה יוצא מן הכלל.</w:t>
      </w:r>
    </w:p>
    <w:bookmarkStart w:id="3918" w:name="b3_excGG"/>
    <w:p w14:paraId="41D468AD" w14:textId="77777777" w:rsidR="00AB3647" w:rsidRDefault="00000000" w:rsidP="007923E9">
      <w:pPr>
        <w:pStyle w:val="3"/>
        <w:spacing w:line="276" w:lineRule="auto"/>
      </w:pPr>
      <w:r>
        <w:lastRenderedPageBreak/>
        <w:fldChar w:fldCharType="begin" w:dirty="true"/>
      </w:r>
      <w:r>
        <w:rPr>
          <w:rtl w:val="0"/>
        </w:rPr>
        <w:instrText>HYPERLINK \l "b3_note142</w:instrText>
      </w:r>
      <w:r>
        <w:instrText>"</w:instrText>
      </w:r>
      <w:r>
        <w:fldChar w:fldCharType="separate"/>
      </w:r>
      <w:r>
        <w:t>נספח לג</w:t>
      </w:r>
      <w:r>
        <w:fldChar w:fldCharType="end"/>
      </w:r>
      <w:bookmarkEnd w:id="3918"/>
    </w:p>
    <w:p w14:paraId="0CC09F66" w14:textId="77777777" w:rsidR="00AB3647" w:rsidRDefault="00000000" w:rsidP="007923E9">
      <w:pPr>
        <w:pStyle w:val="af"/>
        <w:spacing w:line="276" w:lineRule="auto"/>
      </w:pPr>
      <w:r>
        <w:t>על השתתפות תלמידי כנסת בית יצחק בשיחות הסבא</w:t>
      </w:r>
    </w:p>
    <w:p w14:paraId="54AFCAC5" w14:textId="77777777" w:rsidR="00AB3647" w:rsidRDefault="00000000" w:rsidP="007923E9">
      <w:pPr>
        <w:pStyle w:val="4"/>
        <w:spacing w:line="276" w:lineRule="auto"/>
      </w:pPr>
      <w:r>
        <w:t>· הפסקה הראשונה ·</w:t>
      </w:r>
    </w:p>
    <w:p w14:paraId="7702C2AD" w14:textId="77777777" w:rsidR="00AB3647" w:rsidRDefault="00000000" w:rsidP="007923E9">
      <w:pPr>
        <w:pStyle w:val="5"/>
        <w:spacing w:line="276" w:lineRule="auto"/>
      </w:pPr>
      <w:r>
        <w:t xml:space="preserve">קופל </w:t>
      </w:r>
      <w:proofErr w:type="spellStart"/>
      <w:r>
        <w:t>וולפרט</w:t>
      </w:r>
      <w:proofErr w:type="spellEnd"/>
      <w:r>
        <w:t xml:space="preserve"> הצעיר מגיע </w:t>
      </w:r>
      <w:proofErr w:type="spellStart"/>
      <w:r>
        <w:t>לסלבודקה</w:t>
      </w:r>
      <w:proofErr w:type="spellEnd"/>
      <w:r>
        <w:t xml:space="preserve"> – הוא מצטרף לכנסת בית יצחק</w:t>
      </w:r>
    </w:p>
    <w:p w14:paraId="3FF36241" w14:textId="77777777" w:rsidR="00AB3647" w:rsidRDefault="00000000" w:rsidP="007923E9">
      <w:pPr>
        <w:spacing w:after="120" w:line="276" w:lineRule="auto"/>
        <w:ind w:firstLine="283"/>
        <w:jc w:val="both"/>
      </w:pPr>
      <w:r>
        <w:rPr>
          <w:rtl/>
        </w:rPr>
        <w:t xml:space="preserve">הקורא ימצא עניין בסיפורו של אחד מתלמידי בית יצחק האלה, ר׳ קופל </w:t>
      </w:r>
      <w:proofErr w:type="spellStart"/>
      <w:r>
        <w:rPr>
          <w:rtl/>
        </w:rPr>
        <w:t>וולפרט</w:t>
      </w:r>
      <w:bookmarkStart w:id="3919" w:name="_fnr2971"/>
      <w:proofErr w:type="spellEnd"/>
      <w:r>
        <w:rPr>
          <w:rStyle w:val="a5"/>
        </w:rPr>
        <w:footnoteReference w:id="2979" w:customMarkFollows="0"/>
      </w:r>
      <w:bookmarkEnd w:id="3919"/>
      <w:r>
        <w:rPr>
          <w:rtl/>
        </w:rPr>
        <w:t>: “הייתי יליד קלם, שבה התגוררה הסבתא, והסבא היה מבקר בה חודשיים בכל שנה</w:t>
      </w:r>
      <w:bookmarkStart w:id="3920" w:name="_fnr2972"/>
      <w:r>
        <w:rPr>
          <w:rStyle w:val="a5"/>
        </w:rPr>
        <w:footnoteReference w:id="2980" w:customMarkFollows="0"/>
      </w:r>
      <w:bookmarkEnd w:id="3920"/>
      <w:r>
        <w:rPr>
          <w:rtl/>
        </w:rPr>
        <w:t xml:space="preserve"> כאדם פרטי</w:t>
      </w:r>
      <w:bookmarkStart w:id="3921" w:name="_fnr2973"/>
      <w:r>
        <w:rPr>
          <w:rStyle w:val="a5"/>
        </w:rPr>
        <w:footnoteReference w:id="2981" w:customMarkFollows="0"/>
      </w:r>
      <w:bookmarkEnd w:id="3921"/>
      <w:r>
        <w:rPr>
          <w:rtl/>
        </w:rPr>
        <w:t xml:space="preserve">, אך כשבאתי ללמוד </w:t>
      </w:r>
      <w:proofErr w:type="spellStart"/>
      <w:r>
        <w:rPr>
          <w:rtl/>
        </w:rPr>
        <w:t>בסלבודקה</w:t>
      </w:r>
      <w:proofErr w:type="spellEnd"/>
      <w:r>
        <w:rPr>
          <w:rtl/>
        </w:rPr>
        <w:t xml:space="preserve"> בגיל </w:t>
      </w:r>
      <w:proofErr w:type="spellStart"/>
      <w:r>
        <w:rPr>
          <w:rtl/>
        </w:rPr>
        <w:t>ארבע־עשרה</w:t>
      </w:r>
      <w:proofErr w:type="spellEnd"/>
      <w:r>
        <w:rPr>
          <w:rtl/>
        </w:rPr>
        <w:t xml:space="preserve">, לא ידעתי שהסבא </w:t>
      </w:r>
      <w:proofErr w:type="spellStart"/>
      <w:r>
        <w:rPr>
          <w:rtl/>
        </w:rPr>
        <w:t>מסלבודקה</w:t>
      </w:r>
      <w:proofErr w:type="spellEnd"/>
      <w:r>
        <w:rPr>
          <w:rtl/>
        </w:rPr>
        <w:t xml:space="preserve"> הוא מישהו מיוחד. העגלון שביקשתי ממנו בתחנת הרכבת להביאני אל ‘הישיבה שבעיר’ הביא אותי לכנסת ישראל. תחילה ראיתי את ר׳ משה </w:t>
      </w:r>
      <w:proofErr w:type="spellStart"/>
      <w:r>
        <w:rPr>
          <w:rtl/>
        </w:rPr>
        <w:t>פינקל</w:t>
      </w:r>
      <w:proofErr w:type="spellEnd"/>
      <w:r>
        <w:rPr>
          <w:rtl/>
        </w:rPr>
        <w:t xml:space="preserve">, שגם אותו הכרתי מקלם – הוא היה גאון עולם, ולימים נעשה חתנו של ר׳ </w:t>
      </w:r>
      <w:proofErr w:type="spellStart"/>
      <w:r>
        <w:rPr>
          <w:rtl/>
        </w:rPr>
        <w:t>משה־מרדכי</w:t>
      </w:r>
      <w:proofErr w:type="spellEnd"/>
      <w:r>
        <w:rPr>
          <w:rtl/>
        </w:rPr>
        <w:t xml:space="preserve"> אפשטיין</w:t>
      </w:r>
      <w:bookmarkStart w:id="3922" w:name="_fnr2974"/>
      <w:r>
        <w:rPr>
          <w:rStyle w:val="a5"/>
        </w:rPr>
        <w:footnoteReference w:id="2982" w:customMarkFollows="0"/>
      </w:r>
      <w:bookmarkEnd w:id="3922"/>
      <w:r>
        <w:rPr>
          <w:rtl/>
        </w:rPr>
        <w:t xml:space="preserve"> – ואמרתי: ‘מה שלומך, משה?’ אחר כך, כשראיתי את הסבא, אמרתי: ‘מה שלומך, </w:t>
      </w:r>
      <w:proofErr w:type="spellStart"/>
      <w:r>
        <w:rPr>
          <w:rtl/>
        </w:rPr>
        <w:t>נטע־הירש</w:t>
      </w:r>
      <w:proofErr w:type="spellEnd"/>
      <w:r>
        <w:rPr>
          <w:rtl/>
        </w:rPr>
        <w:t xml:space="preserve">?’ – אפילו ‘רב’ לא אמרתי! </w:t>
      </w:r>
      <w:proofErr w:type="spellStart"/>
      <w:r>
        <w:rPr>
          <w:rtl/>
        </w:rPr>
        <w:t>בקלם</w:t>
      </w:r>
      <w:proofErr w:type="spellEnd"/>
      <w:r>
        <w:rPr>
          <w:rtl/>
        </w:rPr>
        <w:t xml:space="preserve"> לא הכירו את התואר שכבר כינו אותו בו </w:t>
      </w:r>
      <w:proofErr w:type="spellStart"/>
      <w:r>
        <w:rPr>
          <w:rtl/>
        </w:rPr>
        <w:t>בסלבודקה</w:t>
      </w:r>
      <w:proofErr w:type="spellEnd"/>
      <w:r>
        <w:rPr>
          <w:rtl/>
        </w:rPr>
        <w:t>, ‘הסבא’, או ‘המחזק’ [כינוי ששימש אז למי שמסר את השיחות]</w:t>
      </w:r>
      <w:bookmarkStart w:id="3923" w:name="_fnr2975"/>
      <w:r>
        <w:rPr>
          <w:rStyle w:val="a5"/>
        </w:rPr>
        <w:footnoteReference w:id="2983" w:customMarkFollows="0"/>
      </w:r>
      <w:bookmarkEnd w:id="3923"/>
      <w:r>
        <w:rPr>
          <w:rtl/>
        </w:rPr>
        <w:t xml:space="preserve">. </w:t>
      </w:r>
      <w:proofErr w:type="spellStart"/>
      <w:r>
        <w:rPr>
          <w:rtl/>
        </w:rPr>
        <w:t>בקלם</w:t>
      </w:r>
      <w:proofErr w:type="spellEnd"/>
      <w:r>
        <w:rPr>
          <w:rtl/>
        </w:rPr>
        <w:t xml:space="preserve"> חשבנו שהסבא הוא משולח של איזו ישיבה</w:t>
      </w:r>
      <w:bookmarkStart w:id="3924" w:name="_fnr2976"/>
      <w:r>
        <w:rPr>
          <w:rStyle w:val="a5"/>
        </w:rPr>
        <w:footnoteReference w:id="2984" w:customMarkFollows="0"/>
      </w:r>
      <w:bookmarkEnd w:id="3924"/>
      <w:r>
        <w:rPr>
          <w:rtl/>
        </w:rPr>
        <w:t>. ר׳ משה אחז בדשי בגדי וטלטל אותי, באומרו: ‘אתה יודע כמה גדול אבא שלי?!’ השתחררתי מאחיזתו, אך חששתי שצפויות לי צרות בכנסת ישראל אחרי מעידתי הראשונה.”</w:t>
      </w:r>
    </w:p>
    <w:p w14:paraId="770D37BE" w14:textId="77777777" w:rsidR="00AB3647" w:rsidRDefault="00000000" w:rsidP="007923E9">
      <w:pPr>
        <w:spacing w:after="120" w:line="276" w:lineRule="auto"/>
        <w:ind w:firstLine="283"/>
        <w:jc w:val="both"/>
      </w:pPr>
      <w:r>
        <w:rPr>
          <w:rtl/>
        </w:rPr>
        <w:t xml:space="preserve">ר׳ קופל המשיך: “כשיצאתי לרחוב ראיתי בחור וגמרא תחת זרועו, מתרחק מן הישיבה. כששאלתי לאן הוא הולך והשיב ‘לישיבה’, והקשיתי עליו ‘אבל הישיבה בכיוון הזה’, גיליתי שיש שתי ישיבות </w:t>
      </w:r>
      <w:proofErr w:type="spellStart"/>
      <w:r>
        <w:rPr>
          <w:rtl/>
        </w:rPr>
        <w:t>בסלבודקה</w:t>
      </w:r>
      <w:proofErr w:type="spellEnd"/>
      <w:r>
        <w:rPr>
          <w:rtl/>
        </w:rPr>
        <w:t xml:space="preserve">. הוא אמר לי שכנסת בית יצחק סמוכה לנהר </w:t>
      </w:r>
      <w:proofErr w:type="spellStart"/>
      <w:r>
        <w:rPr>
          <w:rtl/>
        </w:rPr>
        <w:t>וויליה</w:t>
      </w:r>
      <w:proofErr w:type="spellEnd"/>
      <w:r>
        <w:rPr>
          <w:rtl/>
        </w:rPr>
        <w:t xml:space="preserve">, והצטרפתי אליו לשם. אולם לא עבר זמן רב ור׳ משה ביקר אצלי ובפיו הודעה מאביו: ‘בוא לבקר ואל תהיה </w:t>
      </w:r>
      <w:proofErr w:type="spellStart"/>
      <w:r>
        <w:rPr>
          <w:rtl/>
        </w:rPr>
        <w:t>אפגעפרעמדט</w:t>
      </w:r>
      <w:proofErr w:type="spellEnd"/>
      <w:r>
        <w:rPr>
          <w:rtl/>
        </w:rPr>
        <w:t xml:space="preserve"> [מרוחק].’ נעניתי להזמנה והשתתפתי בשיחות הסבא.”</w:t>
      </w:r>
    </w:p>
    <w:p w14:paraId="512075F3" w14:textId="77777777" w:rsidR="00AB3647" w:rsidRDefault="00000000" w:rsidP="007923E9">
      <w:pPr>
        <w:pStyle w:val="4"/>
        <w:spacing w:line="276" w:lineRule="auto"/>
      </w:pPr>
      <w:r>
        <w:lastRenderedPageBreak/>
        <w:t>· הפסקה השנייה ·</w:t>
      </w:r>
    </w:p>
    <w:p w14:paraId="6559C3EA" w14:textId="77777777" w:rsidR="00AB3647" w:rsidRDefault="00000000" w:rsidP="007923E9">
      <w:pPr>
        <w:pStyle w:val="5"/>
        <w:spacing w:line="276" w:lineRule="auto"/>
      </w:pPr>
      <w:proofErr w:type="spellStart"/>
      <w:r>
        <w:t>וולפרט</w:t>
      </w:r>
      <w:proofErr w:type="spellEnd"/>
      <w:r>
        <w:t xml:space="preserve"> מתאר שיחה של הסבא – רבנו מלמד אותו רעיון ממקור אחר</w:t>
      </w:r>
    </w:p>
    <w:p w14:paraId="3FBDE3A4" w14:textId="77777777" w:rsidR="00AB3647" w:rsidRDefault="00000000" w:rsidP="007923E9">
      <w:pPr>
        <w:spacing w:after="120" w:line="276" w:lineRule="auto"/>
        <w:ind w:firstLine="283"/>
        <w:jc w:val="both"/>
      </w:pPr>
      <w:r>
        <w:rPr>
          <w:rtl/>
        </w:rPr>
        <w:t>“הסבא פתח את שיחתו בקול נמוך שכמעט אי אפשר היה לשמוע. הוא היה מאריך לשעתיים סיפור שהיה צריך להימשך חמש דקות – אבל הקהל הצפוף הקשיב לכל מילה שלו. השקט היה מוחלט; אפשר היה לשמוע סיכה נופלת. הקהל היה תלוי בכל מילה שהוציא מפיו, מצפה בדריכות למילה הבאה. איש לא הסיח את דעתו ואיש לא שמט את ראשו בנמנום. כדי שהתלמידים יעמדו על הניגוד, היה הסבא מרומם דמות אחת עד השמים ומשפיל את הדמות שכנגדה עד התהום. שיחה אחת שאני זוכר עסקה בגמרא במסכת שבת</w:t>
      </w:r>
      <w:bookmarkStart w:id="3925" w:name="_fnr2977"/>
      <w:r>
        <w:rPr>
          <w:rStyle w:val="a5"/>
        </w:rPr>
        <w:footnoteReference w:id="2985" w:customMarkFollows="0"/>
      </w:r>
      <w:bookmarkEnd w:id="3925"/>
      <w:r>
        <w:rPr>
          <w:rtl/>
        </w:rPr>
        <w:t>. הוא ציטט את הגמרא באריכות. היא מספרת על שתי שאלות ששאל שלמה המלך בעת ובעונה אחת: כיצד מותר בשבת לטלטל את גופת אביו (מן השמש החמה), וכיצד להאכיל את כלביו הרעבים? והסבא שאל: ‘שלמה המלך, חכם מכל אדם</w:t>
      </w:r>
      <w:bookmarkStart w:id="3926" w:name="_fnr2978"/>
      <w:r>
        <w:rPr>
          <w:rStyle w:val="a5"/>
        </w:rPr>
        <w:footnoteReference w:id="2986" w:customMarkFollows="0"/>
      </w:r>
      <w:bookmarkEnd w:id="3926"/>
      <w:r>
        <w:rPr>
          <w:rtl/>
        </w:rPr>
        <w:t xml:space="preserve">, איך אתה מזכיר את אביך יחד עם הכלבים?’ והשיב: ‘אבל זו החכמה! כשאסון פוקד אנשים, הם מאבדים את השליטה ואינם יודעים מה קורה. הם עלולים אז לעשות דברים נוראים. אבל שלמה המלך חשב </w:t>
      </w:r>
      <w:proofErr w:type="spellStart"/>
      <w:r>
        <w:rPr>
          <w:rtl/>
        </w:rPr>
        <w:t>בלבו</w:t>
      </w:r>
      <w:proofErr w:type="spellEnd"/>
      <w:r>
        <w:rPr>
          <w:rtl/>
        </w:rPr>
        <w:t>: “נכון, אבי מת, והוא דוד המלך, אבל עדיין עליי לחשוב על כלבים רעבים, על צער בעלי חיים.”‘”</w:t>
      </w:r>
    </w:p>
    <w:p w14:paraId="72D2D92D" w14:textId="77777777" w:rsidR="00AB3647" w:rsidRDefault="00000000" w:rsidP="007923E9">
      <w:pPr>
        <w:spacing w:after="120" w:line="276" w:lineRule="auto"/>
        <w:ind w:firstLine="283"/>
        <w:jc w:val="both"/>
      </w:pPr>
      <w:r>
        <w:rPr>
          <w:rtl/>
        </w:rPr>
        <w:t xml:space="preserve">ר׳ שמעון </w:t>
      </w:r>
      <w:proofErr w:type="spellStart"/>
      <w:r>
        <w:rPr>
          <w:rtl/>
        </w:rPr>
        <w:t>קצמן</w:t>
      </w:r>
      <w:bookmarkStart w:id="3927" w:name="_fnr2979"/>
      <w:proofErr w:type="spellEnd"/>
      <w:r>
        <w:rPr>
          <w:rStyle w:val="a5"/>
        </w:rPr>
        <w:footnoteReference w:id="2987" w:customMarkFollows="0"/>
      </w:r>
      <w:bookmarkEnd w:id="3927"/>
      <w:r>
        <w:rPr>
          <w:rtl/>
        </w:rPr>
        <w:t xml:space="preserve"> סיפר שבאחת משיחותיו בתורה ודעת לימד אבי את אותו רעיון, אבל ביסס אותו על מקור אחר. הוא קבע שהתורה מפרטת כל צד של המשא ומתן בין אברהם אבינו לבני חת על קניית מערת המכפלה, כדי ללמדנו: “אף שאברהם היה אונן ופטור מן החיוב לקיים מצוות, היה עליו להישאר אדם הגון – א </w:t>
      </w:r>
      <w:proofErr w:type="spellStart"/>
      <w:r>
        <w:rPr>
          <w:rtl/>
        </w:rPr>
        <w:t>מענש</w:t>
      </w:r>
      <w:proofErr w:type="spellEnd"/>
      <w:r>
        <w:rPr>
          <w:rtl/>
        </w:rPr>
        <w:t xml:space="preserve"> מוז מען זיין [אדם צריך להיות] – ישר ולא מבולבל. התורה רוצה ללמדנו”, אמר, “שבכל מצב שבו יימצא האדם, עליו להיות ‘מענטש’.” ר׳ קופל סיפר גם </w:t>
      </w:r>
      <w:proofErr w:type="spellStart"/>
      <w:r>
        <w:rPr>
          <w:rtl/>
        </w:rPr>
        <w:t>ש“פעמים</w:t>
      </w:r>
      <w:proofErr w:type="spellEnd"/>
      <w:r>
        <w:rPr>
          <w:rtl/>
        </w:rPr>
        <w:t xml:space="preserve"> רבות בחר הסבא כנושא לשיחתו עניין מפרשת השבוע”.</w:t>
      </w:r>
    </w:p>
    <w:p w14:paraId="1DE281F2" w14:textId="77777777" w:rsidR="00AB3647" w:rsidRDefault="00000000" w:rsidP="007923E9">
      <w:pPr>
        <w:pStyle w:val="4"/>
        <w:spacing w:line="276" w:lineRule="auto"/>
      </w:pPr>
      <w:r>
        <w:t>· הפסקה השלישית ·</w:t>
      </w:r>
    </w:p>
    <w:p w14:paraId="159FD84A" w14:textId="77777777" w:rsidR="00AB3647" w:rsidRDefault="00000000" w:rsidP="007923E9">
      <w:pPr>
        <w:pStyle w:val="5"/>
        <w:spacing w:line="276" w:lineRule="auto"/>
      </w:pPr>
      <w:r>
        <w:t xml:space="preserve">תלמיד אחר של כנסת בית יצחק טוען שהיו מריבות בעיר בין תלמידי המוסר למתנגדיו – הוא אינו יודע שתלמידים שבאו עם ר׳ </w:t>
      </w:r>
      <w:proofErr w:type="spellStart"/>
      <w:r>
        <w:t>ברוך־בער</w:t>
      </w:r>
      <w:proofErr w:type="spellEnd"/>
      <w:r>
        <w:t xml:space="preserve"> הקשיבו לשיחות</w:t>
      </w:r>
    </w:p>
    <w:p w14:paraId="30394B47" w14:textId="77777777" w:rsidR="00AB3647" w:rsidRDefault="00000000" w:rsidP="007923E9">
      <w:pPr>
        <w:spacing w:after="120" w:line="276" w:lineRule="auto"/>
        <w:ind w:firstLine="283"/>
        <w:jc w:val="both"/>
      </w:pPr>
      <w:r>
        <w:rPr>
          <w:rtl/>
        </w:rPr>
        <w:t xml:space="preserve">תלמיד אחר בכנסת בית יצחק, מחבר המאמר המתנגד למוסר </w:t>
      </w:r>
      <w:proofErr w:type="spellStart"/>
      <w:r>
        <w:rPr>
          <w:rtl/>
        </w:rPr>
        <w:t>ב“הדואר</w:t>
      </w:r>
      <w:proofErr w:type="spellEnd"/>
      <w:r>
        <w:rPr>
          <w:rtl/>
        </w:rPr>
        <w:t>” (תשכ״ה)</w:t>
      </w:r>
      <w:bookmarkStart w:id="3928" w:name="_fnr2980"/>
      <w:r>
        <w:rPr>
          <w:rStyle w:val="a5"/>
        </w:rPr>
        <w:footnoteReference w:id="2988" w:customMarkFollows="0"/>
      </w:r>
      <w:bookmarkEnd w:id="3928"/>
      <w:r>
        <w:rPr>
          <w:rtl/>
        </w:rPr>
        <w:t>, טועה בזיכרונותיו</w:t>
      </w:r>
      <w:bookmarkStart w:id="3929" w:name="_fnr2981"/>
      <w:r>
        <w:rPr>
          <w:rStyle w:val="a5"/>
        </w:rPr>
        <w:footnoteReference w:id="2989" w:customMarkFollows="0"/>
      </w:r>
      <w:bookmarkEnd w:id="3929"/>
      <w:r>
        <w:rPr>
          <w:rtl/>
        </w:rPr>
        <w:t xml:space="preserve">: “אמנם אחרי שעזבתי את ישיבת ר׳ </w:t>
      </w:r>
      <w:proofErr w:type="spellStart"/>
      <w:r>
        <w:rPr>
          <w:rtl/>
        </w:rPr>
        <w:t>הירשל׳ה</w:t>
      </w:r>
      <w:proofErr w:type="spellEnd"/>
      <w:r>
        <w:rPr>
          <w:rtl/>
        </w:rPr>
        <w:t xml:space="preserve"> ונכנסתי לכנסת בית יצחק, לימוד המוסר כבר לא היה חלק מתוכנית לימודיי</w:t>
      </w:r>
      <w:bookmarkStart w:id="3930" w:name="_fnr2982"/>
      <w:r>
        <w:rPr>
          <w:rStyle w:val="a5"/>
        </w:rPr>
        <w:footnoteReference w:id="2990" w:customMarkFollows="0"/>
      </w:r>
      <w:bookmarkEnd w:id="3930"/>
      <w:r>
        <w:rPr>
          <w:rtl/>
        </w:rPr>
        <w:t xml:space="preserve">, אבל לא ניתקתי את קשריי עם תלמידי ישיבת המוסר שלמדו בכנסת ישראל, מרכז תנועת המוסר בכל ליטא. הייתי בא לעיתים קרובות לישיבה זו בערבים ונפגש עם כמה מן הבחורים </w:t>
      </w:r>
      <w:proofErr w:type="spellStart"/>
      <w:r>
        <w:rPr>
          <w:rtl/>
        </w:rPr>
        <w:t>המוסרניקים</w:t>
      </w:r>
      <w:proofErr w:type="spellEnd"/>
      <w:r>
        <w:rPr>
          <w:rtl/>
        </w:rPr>
        <w:t xml:space="preserve">, ואגב כך, כמשקיף מן החוץ, </w:t>
      </w:r>
      <w:r>
        <w:rPr>
          <w:rtl/>
        </w:rPr>
        <w:lastRenderedPageBreak/>
        <w:t xml:space="preserve">הייתי מתבונן מקרוב במעשיהם ובהתנהגותם. בתקופת כהונתו של ר׳ </w:t>
      </w:r>
      <w:proofErr w:type="spellStart"/>
      <w:r>
        <w:rPr>
          <w:rtl/>
        </w:rPr>
        <w:t>ברוך־בער</w:t>
      </w:r>
      <w:proofErr w:type="spellEnd"/>
      <w:r>
        <w:rPr>
          <w:rtl/>
        </w:rPr>
        <w:t xml:space="preserve"> כראש ישיבת כנסת בית יצחק – שהתנגדה ביסודה לתנועת המוסר וללימוד מוסר בישיבות – היטשטשו במקצת הגבולות החיצוניים בין </w:t>
      </w:r>
      <w:proofErr w:type="spellStart"/>
      <w:r>
        <w:rPr>
          <w:rtl/>
        </w:rPr>
        <w:t>המוסרניקים</w:t>
      </w:r>
      <w:proofErr w:type="spellEnd"/>
      <w:r>
        <w:rPr>
          <w:rtl/>
        </w:rPr>
        <w:t xml:space="preserve"> למתנגדיהם, משום שהיה נוח לבריות והתרחק ממחלוקת. כלפי חוץ נראה כאילו פסקה המריבה ושככו הרוחות, וקנאי תנועת המוסר חדלו מתעמולתם ומהטפותיהם; אבל למעשה נמשך הקרע, והמאבקים והמריבות בין הצדדים לא פסקו.”</w:t>
      </w:r>
    </w:p>
    <w:p w14:paraId="2109A5B5" w14:textId="77777777" w:rsidR="00AB3647" w:rsidRDefault="00000000" w:rsidP="007923E9">
      <w:pPr>
        <w:spacing w:after="120" w:line="276" w:lineRule="auto"/>
        <w:ind w:firstLine="283"/>
        <w:jc w:val="both"/>
      </w:pPr>
      <w:r>
        <w:rPr>
          <w:rtl/>
        </w:rPr>
        <w:t>מאבקו המתמשך של אותו כותב נגד המוסר ניכר בבירור</w:t>
      </w:r>
      <w:bookmarkStart w:id="3931" w:name="_fnr2983"/>
      <w:r>
        <w:rPr>
          <w:rStyle w:val="a5"/>
        </w:rPr>
        <w:footnoteReference w:id="2991" w:customMarkFollows="0"/>
      </w:r>
      <w:bookmarkEnd w:id="3931"/>
      <w:r>
        <w:rPr>
          <w:rtl/>
        </w:rPr>
        <w:t xml:space="preserve"> כשהוא מאשים את ר׳ דב כץ </w:t>
      </w:r>
      <w:proofErr w:type="spellStart"/>
      <w:r>
        <w:rPr>
          <w:rtl/>
        </w:rPr>
        <w:t>ב“סילוף</w:t>
      </w:r>
      <w:proofErr w:type="spellEnd"/>
      <w:r>
        <w:rPr>
          <w:rtl/>
        </w:rPr>
        <w:t xml:space="preserve"> (ההיסטוריה)”, על שקבע </w:t>
      </w:r>
      <w:proofErr w:type="spellStart"/>
      <w:r>
        <w:rPr>
          <w:rtl/>
        </w:rPr>
        <w:t>ב“תנועת</w:t>
      </w:r>
      <w:proofErr w:type="spellEnd"/>
      <w:r>
        <w:rPr>
          <w:rtl/>
        </w:rPr>
        <w:t xml:space="preserve"> המוסר”</w:t>
      </w:r>
      <w:bookmarkStart w:id="3932" w:name="_fnr2984"/>
      <w:r>
        <w:rPr>
          <w:rStyle w:val="a5"/>
        </w:rPr>
        <w:footnoteReference w:id="2992" w:customMarkFollows="0"/>
      </w:r>
      <w:bookmarkEnd w:id="3932"/>
      <w:r>
        <w:rPr>
          <w:rtl/>
        </w:rPr>
        <w:t xml:space="preserve"> </w:t>
      </w:r>
      <w:proofErr w:type="spellStart"/>
      <w:r>
        <w:rPr>
          <w:rtl/>
        </w:rPr>
        <w:t>ש“רבים</w:t>
      </w:r>
      <w:proofErr w:type="spellEnd"/>
      <w:r>
        <w:rPr>
          <w:rtl/>
        </w:rPr>
        <w:t xml:space="preserve"> מתלמידי ר׳ </w:t>
      </w:r>
      <w:proofErr w:type="spellStart"/>
      <w:r>
        <w:rPr>
          <w:rtl/>
        </w:rPr>
        <w:t>ברוך־בער</w:t>
      </w:r>
      <w:proofErr w:type="spellEnd"/>
      <w:r>
        <w:rPr>
          <w:rtl/>
        </w:rPr>
        <w:t xml:space="preserve"> (שבאו עמו </w:t>
      </w:r>
      <w:proofErr w:type="spellStart"/>
      <w:r>
        <w:rPr>
          <w:rtl/>
        </w:rPr>
        <w:t>לסלבודקה</w:t>
      </w:r>
      <w:proofErr w:type="spellEnd"/>
      <w:r>
        <w:rPr>
          <w:rtl/>
        </w:rPr>
        <w:t xml:space="preserve">) מן הישיבה </w:t>
      </w:r>
      <w:proofErr w:type="spellStart"/>
      <w:r>
        <w:rPr>
          <w:rtl/>
        </w:rPr>
        <w:t>בהלוסק</w:t>
      </w:r>
      <w:proofErr w:type="spellEnd"/>
      <w:r>
        <w:rPr>
          <w:rtl/>
        </w:rPr>
        <w:t xml:space="preserve"> – </w:t>
      </w:r>
      <w:r>
        <w:rPr>
          <w:b/>
          <w:bCs/>
          <w:rtl/>
        </w:rPr>
        <w:t>שהתנהלה בהשפעת שיטת המוסר</w:t>
      </w:r>
      <w:r>
        <w:rPr>
          <w:rtl/>
        </w:rPr>
        <w:t xml:space="preserve"> (ההדגשה שלי) – היו באים לבית הסבא לשם השפעה והדרכה”. הכותב קובע נחרצות: “שום תלמידים של ר׳ </w:t>
      </w:r>
      <w:proofErr w:type="spellStart"/>
      <w:r>
        <w:rPr>
          <w:rtl/>
        </w:rPr>
        <w:t>ברוך־בער</w:t>
      </w:r>
      <w:proofErr w:type="spellEnd"/>
      <w:r>
        <w:rPr>
          <w:rtl/>
        </w:rPr>
        <w:t xml:space="preserve"> לא הלכו </w:t>
      </w:r>
      <w:proofErr w:type="spellStart"/>
      <w:r>
        <w:rPr>
          <w:rtl/>
        </w:rPr>
        <w:t>לר</w:t>
      </w:r>
      <w:proofErr w:type="spellEnd"/>
      <w:r>
        <w:rPr>
          <w:rtl/>
        </w:rPr>
        <w:t xml:space="preserve">׳ </w:t>
      </w:r>
      <w:proofErr w:type="spellStart"/>
      <w:r>
        <w:rPr>
          <w:rtl/>
        </w:rPr>
        <w:t>נתן־צבי</w:t>
      </w:r>
      <w:proofErr w:type="spellEnd"/>
      <w:r>
        <w:rPr>
          <w:rtl/>
        </w:rPr>
        <w:t xml:space="preserve"> כדי לקבל השפעה והדרכה. רק תלמידי כנסת בית [כך במקור] ישראל באו אלינו לשמוע עמנו את שיעוריו של ר׳ </w:t>
      </w:r>
      <w:proofErr w:type="spellStart"/>
      <w:r>
        <w:rPr>
          <w:rtl/>
        </w:rPr>
        <w:t>ברוך־בער</w:t>
      </w:r>
      <w:proofErr w:type="spellEnd"/>
      <w:r>
        <w:rPr>
          <w:rtl/>
        </w:rPr>
        <w:t xml:space="preserve"> – שהיה ירא שמים ולא הסכים לבזבז אפילו רגע אחד של לימוד תורה על לימוד מוסר.”</w:t>
      </w:r>
    </w:p>
    <w:p w14:paraId="0A26CC1A" w14:textId="77777777" w:rsidR="00AB3647" w:rsidRDefault="00000000" w:rsidP="007923E9">
      <w:pPr>
        <w:spacing w:after="120" w:line="276" w:lineRule="auto"/>
        <w:ind w:firstLine="283"/>
        <w:jc w:val="both"/>
      </w:pPr>
      <w:r>
        <w:rPr>
          <w:rtl/>
        </w:rPr>
        <w:t xml:space="preserve">ייתכן שיש מקום לדיון בשאלה אם ישיבת </w:t>
      </w:r>
      <w:proofErr w:type="spellStart"/>
      <w:r>
        <w:rPr>
          <w:rtl/>
        </w:rPr>
        <w:t>הלוסק</w:t>
      </w:r>
      <w:proofErr w:type="spellEnd"/>
      <w:r>
        <w:rPr>
          <w:rtl/>
        </w:rPr>
        <w:t xml:space="preserve"> “התנהלה בהשפעת שיטת המוסר” (כמודגש) – קשה באמת להבין כיצד ייתכן הדבר, כשמייסד אותו קיבוץ היה ר׳ </w:t>
      </w:r>
      <w:proofErr w:type="spellStart"/>
      <w:r>
        <w:rPr>
          <w:rtl/>
        </w:rPr>
        <w:t>ברוך־בער</w:t>
      </w:r>
      <w:proofErr w:type="spellEnd"/>
      <w:r>
        <w:rPr>
          <w:rtl/>
        </w:rPr>
        <w:t xml:space="preserve">. אבל אין ספק שתלמידי כנסת בית יצחק באו אל הסבא – קופל </w:t>
      </w:r>
      <w:proofErr w:type="spellStart"/>
      <w:r>
        <w:rPr>
          <w:rtl/>
        </w:rPr>
        <w:t>וולפרט</w:t>
      </w:r>
      <w:proofErr w:type="spellEnd"/>
      <w:r>
        <w:rPr>
          <w:rtl/>
        </w:rPr>
        <w:t xml:space="preserve">, למשל – ובכללם היו כמה תלמידים מצוינים שהביא ר׳ </w:t>
      </w:r>
      <w:proofErr w:type="spellStart"/>
      <w:r>
        <w:rPr>
          <w:rtl/>
        </w:rPr>
        <w:t>ברוך־בער</w:t>
      </w:r>
      <w:proofErr w:type="spellEnd"/>
      <w:r>
        <w:rPr>
          <w:rtl/>
        </w:rPr>
        <w:t xml:space="preserve"> עמו </w:t>
      </w:r>
      <w:proofErr w:type="spellStart"/>
      <w:r>
        <w:rPr>
          <w:rtl/>
        </w:rPr>
        <w:t>מהלוסק</w:t>
      </w:r>
      <w:proofErr w:type="spellEnd"/>
      <w:r>
        <w:rPr>
          <w:rtl/>
        </w:rPr>
        <w:t xml:space="preserve">, כפי שמוכח בנספח הבא. אפשר לסלוח </w:t>
      </w:r>
      <w:proofErr w:type="spellStart"/>
      <w:r>
        <w:rPr>
          <w:rtl/>
        </w:rPr>
        <w:t>להירש־לייב</w:t>
      </w:r>
      <w:proofErr w:type="spellEnd"/>
      <w:r>
        <w:rPr>
          <w:rtl/>
        </w:rPr>
        <w:t xml:space="preserve"> גורדון, מחבר המאמר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 xml:space="preserve">”, על שלא ידע עובדה זו, מפני שהיה צעיר מאוד כשנכנס לכנסת בית יצחק – בן </w:t>
      </w:r>
      <w:proofErr w:type="spellStart"/>
      <w:r>
        <w:rPr>
          <w:rtl/>
        </w:rPr>
        <w:t>שלוש־עשרה</w:t>
      </w:r>
      <w:proofErr w:type="spellEnd"/>
      <w:r>
        <w:rPr>
          <w:rtl/>
        </w:rPr>
        <w:t xml:space="preserve"> בלבד. אבל אילו ניגש לעניין בהגינות, יכול היה למצוא בקלות אישור לטענתו של כץ. השווה גם הנספח הבא.</w:t>
      </w:r>
    </w:p>
    <w:bookmarkStart w:id="3933" w:name="b3_excHH"/>
    <w:p w14:paraId="0D70AF88" w14:textId="77777777" w:rsidR="00AB3647" w:rsidRDefault="00000000" w:rsidP="007923E9">
      <w:pPr>
        <w:pStyle w:val="3"/>
        <w:spacing w:line="276" w:lineRule="auto"/>
      </w:pPr>
      <w:r>
        <w:lastRenderedPageBreak/>
        <w:fldChar w:fldCharType="begin" w:dirty="true"/>
      </w:r>
      <w:r>
        <w:rPr>
          <w:rtl w:val="0"/>
        </w:rPr>
        <w:instrText>HYPERLINK \l "b3_note143</w:instrText>
      </w:r>
      <w:r>
        <w:instrText>"</w:instrText>
      </w:r>
      <w:r>
        <w:fldChar w:fldCharType="separate"/>
      </w:r>
      <w:r>
        <w:t>נספח לד</w:t>
      </w:r>
      <w:r>
        <w:fldChar w:fldCharType="end"/>
      </w:r>
      <w:bookmarkEnd w:id="3933"/>
    </w:p>
    <w:p w14:paraId="370A9CB8" w14:textId="77777777" w:rsidR="00AB3647" w:rsidRDefault="00000000" w:rsidP="007923E9">
      <w:pPr>
        <w:pStyle w:val="af"/>
        <w:spacing w:line="276" w:lineRule="auto"/>
      </w:pPr>
      <w:r>
        <w:t xml:space="preserve">על יחסו של ר׳ </w:t>
      </w:r>
      <w:proofErr w:type="spellStart"/>
      <w:r>
        <w:t>ברוך־בער</w:t>
      </w:r>
      <w:proofErr w:type="spellEnd"/>
      <w:r>
        <w:t xml:space="preserve"> למוסר</w:t>
      </w:r>
    </w:p>
    <w:p w14:paraId="2D2B0E0B" w14:textId="77777777" w:rsidR="00AB3647" w:rsidRDefault="00000000" w:rsidP="007923E9">
      <w:pPr>
        <w:pStyle w:val="5"/>
        <w:spacing w:line="276" w:lineRule="auto"/>
      </w:pPr>
      <w:r>
        <w:t xml:space="preserve">ר׳ קופל </w:t>
      </w:r>
      <w:proofErr w:type="spellStart"/>
      <w:r>
        <w:t>וולפרט</w:t>
      </w:r>
      <w:proofErr w:type="spellEnd"/>
      <w:r>
        <w:t xml:space="preserve"> נשלח לוועד מוסר – בחורים טובים מכנסת בית יצחק משתתפים בשיחות – ר׳ </w:t>
      </w:r>
      <w:proofErr w:type="spellStart"/>
      <w:r>
        <w:t>ברוך־בער</w:t>
      </w:r>
      <w:proofErr w:type="spellEnd"/>
      <w:r>
        <w:t xml:space="preserve"> משבח מאוד את כנסת ישראל – יחסו למוסר משתנה</w:t>
      </w:r>
    </w:p>
    <w:p w14:paraId="67C6959C" w14:textId="77777777" w:rsidR="00AB3647" w:rsidRDefault="00000000" w:rsidP="007923E9">
      <w:pPr>
        <w:spacing w:after="120" w:line="276" w:lineRule="auto"/>
        <w:ind w:firstLine="283"/>
        <w:jc w:val="both"/>
      </w:pPr>
      <w:r>
        <w:rPr>
          <w:rtl/>
        </w:rPr>
        <w:t xml:space="preserve">ר׳ קופל </w:t>
      </w:r>
      <w:proofErr w:type="spellStart"/>
      <w:r>
        <w:rPr>
          <w:rtl/>
        </w:rPr>
        <w:t>וולפרט</w:t>
      </w:r>
      <w:proofErr w:type="spellEnd"/>
      <w:r>
        <w:rPr>
          <w:rtl/>
        </w:rPr>
        <w:t xml:space="preserve"> סיפר: “פעם אמר לי הסבא שעליי להשתתף בכל ליל חמישי בשיחה של ר׳ זלמן </w:t>
      </w:r>
      <w:proofErr w:type="spellStart"/>
      <w:r>
        <w:rPr>
          <w:rtl/>
        </w:rPr>
        <w:t>ראדינער</w:t>
      </w:r>
      <w:bookmarkStart w:id="3934" w:name="_fnr2985"/>
      <w:proofErr w:type="spellEnd"/>
      <w:r>
        <w:rPr>
          <w:rStyle w:val="a5"/>
        </w:rPr>
        <w:footnoteReference w:id="2993" w:customMarkFollows="0"/>
      </w:r>
      <w:bookmarkEnd w:id="3934"/>
      <w:r>
        <w:rPr>
          <w:rtl/>
        </w:rPr>
        <w:t xml:space="preserve"> – היה זה כאילו אמר לי: ‘אתה רוצה לבוא לשיחות שלי? לך לשלו במקום זאת.’ ואף על פי כן הלכתי.”</w:t>
      </w:r>
    </w:p>
    <w:p w14:paraId="486664CD" w14:textId="77777777" w:rsidR="00AB3647" w:rsidRDefault="00000000" w:rsidP="007923E9">
      <w:pPr>
        <w:spacing w:after="120" w:line="276" w:lineRule="auto"/>
        <w:ind w:firstLine="283"/>
        <w:jc w:val="both"/>
      </w:pPr>
      <w:r>
        <w:rPr>
          <w:rtl/>
        </w:rPr>
        <w:t>במעמד “ירום”</w:t>
      </w:r>
      <w:bookmarkStart w:id="3935" w:name="_fnr2986"/>
      <w:r>
        <w:rPr>
          <w:rStyle w:val="a5"/>
        </w:rPr>
        <w:footnoteReference w:id="2994" w:customMarkFollows="0"/>
      </w:r>
      <w:bookmarkEnd w:id="3935"/>
      <w:r>
        <w:rPr>
          <w:rtl/>
        </w:rPr>
        <w:t xml:space="preserve"> אמר אבי: “ר׳ </w:t>
      </w:r>
      <w:proofErr w:type="spellStart"/>
      <w:r>
        <w:rPr>
          <w:rtl/>
        </w:rPr>
        <w:t>ברוך־בער</w:t>
      </w:r>
      <w:proofErr w:type="spellEnd"/>
      <w:r>
        <w:rPr>
          <w:rtl/>
        </w:rPr>
        <w:t xml:space="preserve"> היה מתנגד למוסר, מפני שהרבי [ר׳ חיים </w:t>
      </w:r>
      <w:proofErr w:type="spellStart"/>
      <w:r>
        <w:rPr>
          <w:rtl/>
        </w:rPr>
        <w:t>סולובייצ׳יק</w:t>
      </w:r>
      <w:proofErr w:type="spellEnd"/>
      <w:r>
        <w:rPr>
          <w:rtl/>
        </w:rPr>
        <w:t xml:space="preserve">] האט ניט </w:t>
      </w:r>
      <w:proofErr w:type="spellStart"/>
      <w:r>
        <w:rPr>
          <w:rtl/>
        </w:rPr>
        <w:t>געהייסען</w:t>
      </w:r>
      <w:proofErr w:type="spellEnd"/>
      <w:r>
        <w:rPr>
          <w:rtl/>
        </w:rPr>
        <w:t xml:space="preserve"> [לא הורה ללמוד מוסר]</w:t>
      </w:r>
      <w:bookmarkStart w:id="3936" w:name="_fnr2987"/>
      <w:r>
        <w:rPr>
          <w:rStyle w:val="a5"/>
        </w:rPr>
        <w:footnoteReference w:id="2995" w:customMarkFollows="0"/>
      </w:r>
      <w:bookmarkEnd w:id="3936"/>
      <w:r>
        <w:rPr>
          <w:rtl/>
        </w:rPr>
        <w:t xml:space="preserve">. ר׳ </w:t>
      </w:r>
      <w:proofErr w:type="spellStart"/>
      <w:r>
        <w:rPr>
          <w:rtl/>
        </w:rPr>
        <w:t>ברוך־בער</w:t>
      </w:r>
      <w:proofErr w:type="spellEnd"/>
      <w:r>
        <w:rPr>
          <w:rtl/>
        </w:rPr>
        <w:t xml:space="preserve"> לא הרשה ללמוד מוסר בתוך בית המדרש, אלא בחדר צדדי בלבד. מיטב תלמידיו באו לשיחות של הסבא. לסבא היה ועד עם תלמידיו של ר׳ </w:t>
      </w:r>
      <w:proofErr w:type="spellStart"/>
      <w:r>
        <w:rPr>
          <w:rtl/>
        </w:rPr>
        <w:t>ברוך־בער</w:t>
      </w:r>
      <w:proofErr w:type="spellEnd"/>
      <w:r>
        <w:rPr>
          <w:rtl/>
        </w:rPr>
        <w:t xml:space="preserve">, וכל העולם [של כנסת בית יצחק] היה משתתף בו – כלומר, כל הבחורים הטובים, ובהם ר׳ שלמה </w:t>
      </w:r>
      <w:proofErr w:type="spellStart"/>
      <w:r>
        <w:rPr>
          <w:rtl/>
        </w:rPr>
        <w:t>פאריצ׳ר</w:t>
      </w:r>
      <w:proofErr w:type="spellEnd"/>
      <w:r>
        <w:rPr>
          <w:rtl/>
        </w:rPr>
        <w:t xml:space="preserve"> [היימן]</w:t>
      </w:r>
      <w:bookmarkStart w:id="3937" w:name="_fnr2988"/>
      <w:r>
        <w:rPr>
          <w:rStyle w:val="a5"/>
        </w:rPr>
        <w:footnoteReference w:id="2996" w:customMarkFollows="0"/>
      </w:r>
      <w:bookmarkEnd w:id="3937"/>
      <w:r>
        <w:rPr>
          <w:rtl/>
        </w:rPr>
        <w:t xml:space="preserve">. העובדה שר׳ </w:t>
      </w:r>
      <w:proofErr w:type="spellStart"/>
      <w:r>
        <w:rPr>
          <w:rtl/>
        </w:rPr>
        <w:t>ברוך־בער</w:t>
      </w:r>
      <w:proofErr w:type="spellEnd"/>
      <w:r>
        <w:rPr>
          <w:rtl/>
        </w:rPr>
        <w:t xml:space="preserve"> לקח את ר׳ ראובן </w:t>
      </w:r>
      <w:proofErr w:type="spellStart"/>
      <w:r>
        <w:rPr>
          <w:rtl/>
        </w:rPr>
        <w:t>גרוזובסקי</w:t>
      </w:r>
      <w:proofErr w:type="spellEnd"/>
      <w:r>
        <w:rPr>
          <w:rtl/>
        </w:rPr>
        <w:t xml:space="preserve"> מכנסת ישראל לחתן מעידה שיחסו לישיבת המוסר השתנה.” בריאיון על הסבא</w:t>
      </w:r>
      <w:bookmarkStart w:id="3938" w:name="_fnr2989"/>
      <w:r>
        <w:rPr>
          <w:rStyle w:val="a5"/>
        </w:rPr>
        <w:footnoteReference w:id="2997" w:customMarkFollows="0"/>
      </w:r>
      <w:bookmarkEnd w:id="3938"/>
      <w:r>
        <w:rPr>
          <w:rtl/>
        </w:rPr>
        <w:t xml:space="preserve"> הוסיף אבי: “ר׳ שלמה </w:t>
      </w:r>
      <w:proofErr w:type="spellStart"/>
      <w:r>
        <w:rPr>
          <w:rtl/>
        </w:rPr>
        <w:t>פאריצ׳ר</w:t>
      </w:r>
      <w:proofErr w:type="spellEnd"/>
      <w:r>
        <w:rPr>
          <w:rtl/>
        </w:rPr>
        <w:t xml:space="preserve"> היה מושפע מאוד מן הסבא.” </w:t>
      </w:r>
      <w:proofErr w:type="spellStart"/>
      <w:r>
        <w:rPr>
          <w:rtl/>
        </w:rPr>
        <w:t>דבורץ</w:t>
      </w:r>
      <w:proofErr w:type="spellEnd"/>
      <w:r>
        <w:rPr>
          <w:rtl/>
        </w:rPr>
        <w:t>, “הגאון רבי משה מרדכי אפשטיין”</w:t>
      </w:r>
      <w:bookmarkStart w:id="3939" w:name="_fnr2990"/>
      <w:r>
        <w:rPr>
          <w:rStyle w:val="a5"/>
        </w:rPr>
        <w:footnoteReference w:id="2998" w:customMarkFollows="0"/>
      </w:r>
      <w:bookmarkEnd w:id="3939"/>
      <w:r>
        <w:rPr>
          <w:rtl/>
        </w:rPr>
        <w:t xml:space="preserve">, מצטט מכתב שכתב ר׳ שלמה </w:t>
      </w:r>
      <w:proofErr w:type="spellStart"/>
      <w:r>
        <w:rPr>
          <w:rtl/>
        </w:rPr>
        <w:t>בתרצ״ט</w:t>
      </w:r>
      <w:proofErr w:type="spellEnd"/>
      <w:r>
        <w:rPr>
          <w:rtl/>
        </w:rPr>
        <w:t xml:space="preserve">, שבו הוא מזכיר את שיחותיו של הרב </w:t>
      </w:r>
      <w:proofErr w:type="spellStart"/>
      <w:r>
        <w:rPr>
          <w:rtl/>
        </w:rPr>
        <w:t>דולינסקי</w:t>
      </w:r>
      <w:proofErr w:type="spellEnd"/>
      <w:r>
        <w:rPr>
          <w:rtl/>
        </w:rPr>
        <w:t xml:space="preserve"> ומצהיר שהן הותירו על תלמידי בית יצחק “רושם בל יימחה”.</w:t>
      </w:r>
    </w:p>
    <w:p w14:paraId="1B35F23A" w14:textId="77777777" w:rsidR="00AB3647" w:rsidRDefault="00000000" w:rsidP="007923E9">
      <w:pPr>
        <w:spacing w:after="120" w:line="276" w:lineRule="auto"/>
        <w:ind w:firstLine="283"/>
        <w:jc w:val="both"/>
      </w:pPr>
      <w:r>
        <w:rPr>
          <w:rtl/>
        </w:rPr>
        <w:t xml:space="preserve">על דברי אבי האחרונים </w:t>
      </w:r>
      <w:proofErr w:type="spellStart"/>
      <w:r>
        <w:rPr>
          <w:rtl/>
        </w:rPr>
        <w:t>ב“מעמד</w:t>
      </w:r>
      <w:proofErr w:type="spellEnd"/>
      <w:r>
        <w:rPr>
          <w:rtl/>
        </w:rPr>
        <w:t xml:space="preserve"> ירום” – שלקיחתו של ר׳ ראובן לחתן מעידה על התקרבותו של ר׳ </w:t>
      </w:r>
      <w:proofErr w:type="spellStart"/>
      <w:r>
        <w:rPr>
          <w:rtl/>
        </w:rPr>
        <w:t>ברוך־בער</w:t>
      </w:r>
      <w:proofErr w:type="spellEnd"/>
      <w:r>
        <w:rPr>
          <w:rtl/>
        </w:rPr>
        <w:t xml:space="preserve"> למוסר – שמעתי מפי </w:t>
      </w:r>
      <w:proofErr w:type="spellStart"/>
      <w:r>
        <w:rPr>
          <w:rtl/>
        </w:rPr>
        <w:t>חיה־מרים</w:t>
      </w:r>
      <w:proofErr w:type="spellEnd"/>
      <w:r>
        <w:rPr>
          <w:rtl/>
        </w:rPr>
        <w:t xml:space="preserve"> </w:t>
      </w:r>
      <w:proofErr w:type="spellStart"/>
      <w:r>
        <w:rPr>
          <w:rtl/>
        </w:rPr>
        <w:t>שולמן</w:t>
      </w:r>
      <w:proofErr w:type="spellEnd"/>
      <w:r>
        <w:rPr>
          <w:rtl/>
        </w:rPr>
        <w:t xml:space="preserve"> סיפור מעניין מאוד</w:t>
      </w:r>
      <w:bookmarkStart w:id="3940" w:name="_fnr2991"/>
      <w:r>
        <w:rPr>
          <w:rStyle w:val="a5"/>
        </w:rPr>
        <w:footnoteReference w:id="2999" w:customMarkFollows="0"/>
      </w:r>
      <w:bookmarkEnd w:id="3940"/>
      <w:r>
        <w:rPr>
          <w:rtl/>
        </w:rPr>
        <w:t xml:space="preserve">: “כשהייתי ילדה קטנה </w:t>
      </w:r>
      <w:proofErr w:type="spellStart"/>
      <w:r>
        <w:rPr>
          <w:rtl/>
        </w:rPr>
        <w:t>בקרמנצ׳וג</w:t>
      </w:r>
      <w:proofErr w:type="spellEnd"/>
      <w:r>
        <w:rPr>
          <w:rtl/>
        </w:rPr>
        <w:t xml:space="preserve">, נישאה שרה, בתו של ר׳ </w:t>
      </w:r>
      <w:proofErr w:type="spellStart"/>
      <w:r>
        <w:rPr>
          <w:rtl/>
        </w:rPr>
        <w:t>ברוך־בער</w:t>
      </w:r>
      <w:proofErr w:type="spellEnd"/>
      <w:r>
        <w:rPr>
          <w:rtl/>
        </w:rPr>
        <w:t xml:space="preserve">, </w:t>
      </w:r>
      <w:proofErr w:type="spellStart"/>
      <w:r>
        <w:rPr>
          <w:rtl/>
        </w:rPr>
        <w:t>לר</w:t>
      </w:r>
      <w:proofErr w:type="spellEnd"/>
      <w:r>
        <w:rPr>
          <w:rtl/>
        </w:rPr>
        <w:t xml:space="preserve">׳ ראובן </w:t>
      </w:r>
      <w:proofErr w:type="spellStart"/>
      <w:r>
        <w:rPr>
          <w:rtl/>
        </w:rPr>
        <w:t>גרוזובסקי</w:t>
      </w:r>
      <w:proofErr w:type="spellEnd"/>
      <w:r>
        <w:rPr>
          <w:rtl/>
        </w:rPr>
        <w:t xml:space="preserve">. פעם אחת שלח אותי ר׳ </w:t>
      </w:r>
      <w:proofErr w:type="spellStart"/>
      <w:r>
        <w:rPr>
          <w:rtl/>
        </w:rPr>
        <w:t>ברוך־בער</w:t>
      </w:r>
      <w:proofErr w:type="spellEnd"/>
      <w:r>
        <w:rPr>
          <w:rtl/>
        </w:rPr>
        <w:t xml:space="preserve"> אל אבי ואמר: ‘האם תמסרי הודעה [</w:t>
      </w:r>
      <w:proofErr w:type="spellStart"/>
      <w:r>
        <w:rPr>
          <w:rtl/>
        </w:rPr>
        <w:t>ווילסט</w:t>
      </w:r>
      <w:proofErr w:type="spellEnd"/>
      <w:r>
        <w:rPr>
          <w:rtl/>
        </w:rPr>
        <w:t xml:space="preserve"> </w:t>
      </w:r>
      <w:proofErr w:type="spellStart"/>
      <w:r>
        <w:rPr>
          <w:rtl/>
        </w:rPr>
        <w:t>גיין</w:t>
      </w:r>
      <w:proofErr w:type="spellEnd"/>
      <w:r>
        <w:rPr>
          <w:rtl/>
        </w:rPr>
        <w:t xml:space="preserve"> א </w:t>
      </w:r>
      <w:proofErr w:type="spellStart"/>
      <w:r>
        <w:rPr>
          <w:rtl/>
        </w:rPr>
        <w:t>גאנג</w:t>
      </w:r>
      <w:proofErr w:type="spellEnd"/>
      <w:r>
        <w:rPr>
          <w:rtl/>
        </w:rPr>
        <w:t xml:space="preserve">]? לכי ואמרי לאביך [ר׳ אייזיק שר] את הדברים האלה: אומרים עליי שאני מתנגד למוסר, אבל אני אומר שבחור כר׳ ראובן </w:t>
      </w:r>
      <w:proofErr w:type="spellStart"/>
      <w:r>
        <w:rPr>
          <w:rtl/>
        </w:rPr>
        <w:t>מינסקער</w:t>
      </w:r>
      <w:proofErr w:type="spellEnd"/>
      <w:r>
        <w:rPr>
          <w:rtl/>
        </w:rPr>
        <w:t xml:space="preserve"> [</w:t>
      </w:r>
      <w:proofErr w:type="spellStart"/>
      <w:r>
        <w:rPr>
          <w:rtl/>
        </w:rPr>
        <w:t>גרוזובסקי</w:t>
      </w:r>
      <w:proofErr w:type="spellEnd"/>
      <w:r>
        <w:rPr>
          <w:rtl/>
        </w:rPr>
        <w:t xml:space="preserve">] אי אפשר להצמיח באף ישיבה בעולם מלבד בכנסת ישראל.’ התחלתי לרוץ ברחוב </w:t>
      </w:r>
      <w:proofErr w:type="spellStart"/>
      <w:r>
        <w:rPr>
          <w:rtl/>
        </w:rPr>
        <w:t>דוקטורסקה</w:t>
      </w:r>
      <w:proofErr w:type="spellEnd"/>
      <w:r>
        <w:rPr>
          <w:rtl/>
        </w:rPr>
        <w:t xml:space="preserve">, אך חזרתי לשאול אם אוכל לומר זאת גם לסבי [הסבא], והוא השיב בחיוב. כשהגעתי הביתה למסור את ההודעה, ישבתי תחילה על הרצפה בחדרו של סבי, במקום שממנו יכולתי להבחין בתגובת אבי – היה לו מבט מסוים בעיניים כשהיה מרוצה, שאותו אפשר היה לראות רק מתחת למשקפיו. אבי אכן שאל אותי </w:t>
      </w:r>
      <w:r>
        <w:rPr>
          <w:rtl/>
        </w:rPr>
        <w:lastRenderedPageBreak/>
        <w:t>מדוע אני יושבת על הרצפה, ואמרתי שאספר לו אחר כך. ראיתי שגם אבי וגם סבי שמחו מאוד ושבעו נחת מן המסר. הם קראו: ‘כך הוא אמר?!’”</w:t>
      </w:r>
    </w:p>
    <w:p w14:paraId="7F9A682B" w14:textId="77777777" w:rsidR="00AB3647" w:rsidRDefault="00000000" w:rsidP="007923E9">
      <w:pPr>
        <w:spacing w:after="120" w:line="276" w:lineRule="auto"/>
        <w:ind w:firstLine="283"/>
        <w:jc w:val="both"/>
      </w:pPr>
      <w:proofErr w:type="spellStart"/>
      <w:r>
        <w:rPr>
          <w:rtl/>
        </w:rPr>
        <w:t>ב“ר</w:t>
      </w:r>
      <w:proofErr w:type="spellEnd"/>
      <w:r>
        <w:rPr>
          <w:rtl/>
        </w:rPr>
        <w:t>׳ ברוך בר”</w:t>
      </w:r>
      <w:bookmarkStart w:id="3941" w:name="_fnr2992"/>
      <w:r>
        <w:rPr>
          <w:rStyle w:val="a5"/>
        </w:rPr>
        <w:footnoteReference w:id="3000" w:customMarkFollows="0"/>
      </w:r>
      <w:bookmarkEnd w:id="3941"/>
      <w:r>
        <w:rPr>
          <w:rtl/>
        </w:rPr>
        <w:t xml:space="preserve"> מובאת אמרתו של ר׳ </w:t>
      </w:r>
      <w:proofErr w:type="spellStart"/>
      <w:r>
        <w:rPr>
          <w:rtl/>
        </w:rPr>
        <w:t>ברוך־בער</w:t>
      </w:r>
      <w:proofErr w:type="spellEnd"/>
      <w:r>
        <w:rPr>
          <w:rtl/>
        </w:rPr>
        <w:t xml:space="preserve">: “ספר המוסר הטוב ביותר הוא דף גמרא.” שם מובאות אמרות נוספות שלו ברוח זו, כגון: “לדבר היטב בלימוד – זהו המוסר הטוב ביותר”, “אם מבינים סברה של ר׳ עקיבא איגר, נעשים </w:t>
      </w:r>
      <w:proofErr w:type="spellStart"/>
      <w:r>
        <w:rPr>
          <w:rtl/>
        </w:rPr>
        <w:t>ערליכער</w:t>
      </w:r>
      <w:proofErr w:type="spellEnd"/>
      <w:r>
        <w:rPr>
          <w:rtl/>
        </w:rPr>
        <w:t xml:space="preserve"> איד [יהודי ירא שמים]”, </w:t>
      </w:r>
      <w:proofErr w:type="spellStart"/>
      <w:r>
        <w:rPr>
          <w:rtl/>
        </w:rPr>
        <w:t>ו“אם</w:t>
      </w:r>
      <w:proofErr w:type="spellEnd"/>
      <w:r>
        <w:rPr>
          <w:rtl/>
        </w:rPr>
        <w:t xml:space="preserve"> לומדים שור שנגח את הפרה, רואים את האמת של היהדות מול העיניים”.</w:t>
      </w:r>
    </w:p>
    <w:p w14:paraId="619B364D" w14:textId="77777777" w:rsidR="00AB3647" w:rsidRDefault="00000000" w:rsidP="007923E9">
      <w:pPr>
        <w:spacing w:after="120" w:line="276" w:lineRule="auto"/>
        <w:ind w:firstLine="283"/>
        <w:jc w:val="both"/>
      </w:pPr>
      <w:r>
        <w:rPr>
          <w:rtl/>
        </w:rPr>
        <w:t>“</w:t>
      </w:r>
      <w:proofErr w:type="spellStart"/>
      <w:r>
        <w:rPr>
          <w:rtl/>
        </w:rPr>
        <w:t>שמוש</w:t>
      </w:r>
      <w:proofErr w:type="spellEnd"/>
      <w:r>
        <w:rPr>
          <w:rtl/>
        </w:rPr>
        <w:t xml:space="preserve"> חכמים”</w:t>
      </w:r>
      <w:bookmarkStart w:id="3942" w:name="_fnr2993"/>
      <w:r>
        <w:rPr>
          <w:rStyle w:val="a5"/>
        </w:rPr>
        <w:footnoteReference w:id="3001" w:customMarkFollows="0"/>
      </w:r>
      <w:bookmarkEnd w:id="3942"/>
      <w:r>
        <w:rPr>
          <w:rtl/>
        </w:rPr>
        <w:t xml:space="preserve"> מעיד על שינוי חלקי ביחסו של ר׳ </w:t>
      </w:r>
      <w:proofErr w:type="spellStart"/>
      <w:r>
        <w:rPr>
          <w:rtl/>
        </w:rPr>
        <w:t>ברוך־בער</w:t>
      </w:r>
      <w:proofErr w:type="spellEnd"/>
      <w:r>
        <w:rPr>
          <w:rtl/>
        </w:rPr>
        <w:t xml:space="preserve"> למוסר, ומצטט את ר׳ זאב </w:t>
      </w:r>
      <w:proofErr w:type="spellStart"/>
      <w:r>
        <w:rPr>
          <w:rtl/>
        </w:rPr>
        <w:t>איידלמן</w:t>
      </w:r>
      <w:proofErr w:type="spellEnd"/>
      <w:r>
        <w:rPr>
          <w:rtl/>
        </w:rPr>
        <w:t xml:space="preserve">, “יליד </w:t>
      </w:r>
      <w:proofErr w:type="spellStart"/>
      <w:r>
        <w:rPr>
          <w:rtl/>
        </w:rPr>
        <w:t>בריסק</w:t>
      </w:r>
      <w:proofErr w:type="spellEnd"/>
      <w:r>
        <w:rPr>
          <w:rtl/>
        </w:rPr>
        <w:t xml:space="preserve"> ומן התלמידים הנאמנים של ר׳ </w:t>
      </w:r>
      <w:proofErr w:type="spellStart"/>
      <w:r>
        <w:rPr>
          <w:rtl/>
        </w:rPr>
        <w:t>ברוך־בער</w:t>
      </w:r>
      <w:proofErr w:type="spellEnd"/>
      <w:r>
        <w:rPr>
          <w:rtl/>
        </w:rPr>
        <w:t xml:space="preserve">”, שסיפר כי כמה תלמידים דיברו בלימוד בהפסקה שלפני נעילה, עד שרבם “אמר להם: ‘עכשיו הזמן ללמוד ספרי יראים.’ ואז הוסיף: ‘מאחר </w:t>
      </w:r>
      <w:proofErr w:type="spellStart"/>
      <w:r>
        <w:rPr>
          <w:rtl/>
        </w:rPr>
        <w:t>שהחפץ־חיים</w:t>
      </w:r>
      <w:proofErr w:type="spellEnd"/>
      <w:r>
        <w:rPr>
          <w:rtl/>
        </w:rPr>
        <w:t xml:space="preserve"> אמר שצריך ללמוד מוסר, הרי זו חובה. ואף שאין דבר המשתווה ללימוד גמרא, הקב״ה ישלם לכם פי כמה על הזמן שאתם גורעים מלימוד הגמרא כדי ללמוד מוסר.’” אבל “ר׳ ברוך בר”</w:t>
      </w:r>
      <w:bookmarkStart w:id="3943" w:name="_fnr2994"/>
      <w:r>
        <w:rPr>
          <w:rStyle w:val="a5"/>
        </w:rPr>
        <w:footnoteReference w:id="3002" w:customMarkFollows="0"/>
      </w:r>
      <w:bookmarkEnd w:id="3943"/>
      <w:r>
        <w:rPr>
          <w:rtl/>
        </w:rPr>
        <w:t xml:space="preserve"> אינו מסתפק בכך שהוא מייחס </w:t>
      </w:r>
      <w:proofErr w:type="spellStart"/>
      <w:r>
        <w:rPr>
          <w:rtl/>
        </w:rPr>
        <w:t>לר</w:t>
      </w:r>
      <w:proofErr w:type="spellEnd"/>
      <w:r>
        <w:rPr>
          <w:rtl/>
        </w:rPr>
        <w:t xml:space="preserve">׳ </w:t>
      </w:r>
      <w:proofErr w:type="spellStart"/>
      <w:r>
        <w:rPr>
          <w:rtl/>
        </w:rPr>
        <w:t>ברוך־בער</w:t>
      </w:r>
      <w:proofErr w:type="spellEnd"/>
      <w:r>
        <w:rPr>
          <w:rtl/>
        </w:rPr>
        <w:t xml:space="preserve"> דברי הצטדקות בלבד בעניין לימוד המוסר, אלא מצטט את שיחתו לתלמידיו בליל ראש השנה אחד: “בעצם לא היינו צריכים להפסיק מלימוד תורה אפילו לתפילה, אבל איך [בלעדיה] נשיג יראת ה׳ ואהבת ה׳?!”</w:t>
      </w:r>
    </w:p>
    <w:p w14:paraId="1A7F0B68" w14:textId="77777777" w:rsidR="00AB3647" w:rsidRDefault="00000000" w:rsidP="007923E9">
      <w:pPr>
        <w:spacing w:after="120" w:line="276" w:lineRule="auto"/>
        <w:ind w:firstLine="283"/>
        <w:jc w:val="both"/>
      </w:pPr>
      <w:r>
        <w:rPr>
          <w:rtl/>
        </w:rPr>
        <w:t xml:space="preserve">על התקופה האחרונה בחייו של ר׳ </w:t>
      </w:r>
      <w:proofErr w:type="spellStart"/>
      <w:r>
        <w:rPr>
          <w:rtl/>
        </w:rPr>
        <w:t>ברוך־בער</w:t>
      </w:r>
      <w:proofErr w:type="spellEnd"/>
      <w:r>
        <w:rPr>
          <w:rtl/>
        </w:rPr>
        <w:t xml:space="preserve"> אמר אבי</w:t>
      </w:r>
      <w:bookmarkStart w:id="3944" w:name="_fnr2995"/>
      <w:r>
        <w:rPr>
          <w:rStyle w:val="a5"/>
        </w:rPr>
        <w:footnoteReference w:id="3003" w:customMarkFollows="0"/>
      </w:r>
      <w:bookmarkEnd w:id="3944"/>
      <w:r>
        <w:rPr>
          <w:rtl/>
        </w:rPr>
        <w:t xml:space="preserve">: “בסוף ימיו סבר ר׳ </w:t>
      </w:r>
      <w:proofErr w:type="spellStart"/>
      <w:r>
        <w:rPr>
          <w:rtl/>
        </w:rPr>
        <w:t>ברוך־בער</w:t>
      </w:r>
      <w:proofErr w:type="spellEnd"/>
      <w:r>
        <w:rPr>
          <w:rtl/>
        </w:rPr>
        <w:t xml:space="preserve"> שצריך ללמוד מוסר. עד אז סבר שאפשר ללמוד מוסר מתוך הגמרא עצמה, אבל עם ירידת הדור נעשה המוסר נחוץ כמקצוע בפני עצמו.” נמצא שר׳ </w:t>
      </w:r>
      <w:proofErr w:type="spellStart"/>
      <w:r>
        <w:rPr>
          <w:rtl/>
        </w:rPr>
        <w:t>ברוך־בער</w:t>
      </w:r>
      <w:proofErr w:type="spellEnd"/>
      <w:r>
        <w:rPr>
          <w:rtl/>
        </w:rPr>
        <w:t xml:space="preserve"> עבר שינוי הדרגתי ביחסו למוסר: מהתנגדות לסובלנות, לקבלה, לאהדה ולתמיכה</w:t>
      </w:r>
      <w:bookmarkStart w:id="3945" w:name="_fnr2996"/>
      <w:r>
        <w:rPr>
          <w:rStyle w:val="a5"/>
        </w:rPr>
        <w:footnoteReference w:id="3004" w:customMarkFollows="0"/>
      </w:r>
      <w:bookmarkEnd w:id="3945"/>
      <w:r>
        <w:rPr>
          <w:rtl/>
        </w:rPr>
        <w:t>.</w:t>
      </w:r>
    </w:p>
    <w:p w14:paraId="16E549AF" w14:textId="77777777" w:rsidR="00AB3647" w:rsidRDefault="00000000" w:rsidP="007923E9">
      <w:pPr>
        <w:spacing w:after="120" w:line="276" w:lineRule="auto"/>
        <w:ind w:firstLine="283"/>
        <w:jc w:val="both"/>
      </w:pPr>
      <w:r>
        <w:rPr>
          <w:rtl/>
        </w:rPr>
        <w:t>“תורת חיים”</w:t>
      </w:r>
      <w:bookmarkStart w:id="3946" w:name="_fnr2997"/>
      <w:r>
        <w:rPr>
          <w:rStyle w:val="a5"/>
        </w:rPr>
        <w:footnoteReference w:id="3005" w:customMarkFollows="0"/>
      </w:r>
      <w:bookmarkEnd w:id="3946"/>
      <w:r>
        <w:rPr>
          <w:rtl/>
        </w:rPr>
        <w:t xml:space="preserve"> מספר: “פעם באו כמה בחורים לשכנע את ר׳ </w:t>
      </w:r>
      <w:proofErr w:type="spellStart"/>
      <w:r>
        <w:rPr>
          <w:rtl/>
        </w:rPr>
        <w:t>ברוך־בער</w:t>
      </w:r>
      <w:proofErr w:type="spellEnd"/>
      <w:r>
        <w:rPr>
          <w:rtl/>
        </w:rPr>
        <w:t xml:space="preserve"> בחשיבות לימוד המוסר – עד שהציעו לו שאולי ילמד [מוסר] ויראה את התועלת המופלאה שבו, והוא הסכים. באותו ערב ישב ולמד מוסר בדרכו הנלהבת. בבוקר, כשבאו הבחורים לשאול אותו: ‘נו, מה אומר הרבי עכשיו?’, השיב: ‘רק עכשיו אני רואה באמת כמה חשוב </w:t>
      </w:r>
      <w:r>
        <w:rPr>
          <w:b/>
          <w:bCs/>
          <w:rtl/>
        </w:rPr>
        <w:t>לא</w:t>
      </w:r>
      <w:r>
        <w:rPr>
          <w:rtl/>
        </w:rPr>
        <w:t xml:space="preserve"> ללמוד מוסר. כל הלילה לא יכולתי לישון מרוב הרהורים ודאגות על גן עדן </w:t>
      </w:r>
      <w:proofErr w:type="spellStart"/>
      <w:r>
        <w:rPr>
          <w:rtl/>
        </w:rPr>
        <w:t>וגיהנם</w:t>
      </w:r>
      <w:proofErr w:type="spellEnd"/>
      <w:r>
        <w:rPr>
          <w:rtl/>
        </w:rPr>
        <w:t xml:space="preserve">, ומרוב פחד לא יכולתי ללמוד ולהתפלל כראוי אחר כך. לא כך צריכים בחורים ללמוד תורה...’” אם סיפור זה מוסמך, נראה שהמעשה אירע </w:t>
      </w:r>
      <w:proofErr w:type="spellStart"/>
      <w:r>
        <w:rPr>
          <w:rtl/>
        </w:rPr>
        <w:t>זמן־מה</w:t>
      </w:r>
      <w:proofErr w:type="spellEnd"/>
      <w:r>
        <w:rPr>
          <w:rtl/>
        </w:rPr>
        <w:t xml:space="preserve"> לאחר שהחל השינוי בר׳ </w:t>
      </w:r>
      <w:proofErr w:type="spellStart"/>
      <w:r>
        <w:rPr>
          <w:rtl/>
        </w:rPr>
        <w:t>ברוך־בער</w:t>
      </w:r>
      <w:proofErr w:type="spellEnd"/>
      <w:r>
        <w:rPr>
          <w:rtl/>
        </w:rPr>
        <w:t xml:space="preserve">, </w:t>
      </w:r>
      <w:proofErr w:type="spellStart"/>
      <w:r>
        <w:rPr>
          <w:rtl/>
        </w:rPr>
        <w:t>כשנתעוררו</w:t>
      </w:r>
      <w:proofErr w:type="spellEnd"/>
      <w:r>
        <w:rPr>
          <w:rtl/>
        </w:rPr>
        <w:t xml:space="preserve"> בליבו ספקות אם </w:t>
      </w:r>
      <w:r>
        <w:rPr>
          <w:rtl/>
        </w:rPr>
        <w:lastRenderedPageBreak/>
        <w:t>איסורו של רבו עדיין עומד בתוקפו. מן הסתם ביקש לבחון ולגלות מה היה במוסר שר׳ חיים התנגד לו.</w:t>
      </w:r>
    </w:p>
    <w:p w14:paraId="75487B30" w14:textId="77777777" w:rsidR="00AB3647" w:rsidRDefault="00000000" w:rsidP="007923E9">
      <w:pPr>
        <w:spacing w:after="120" w:line="276" w:lineRule="auto"/>
        <w:ind w:firstLine="283"/>
        <w:jc w:val="both"/>
      </w:pPr>
      <w:r>
        <w:rPr>
          <w:rtl/>
        </w:rPr>
        <w:t>אבל “</w:t>
      </w:r>
      <w:proofErr w:type="spellStart"/>
      <w:r>
        <w:rPr>
          <w:rtl/>
        </w:rPr>
        <w:t>שמוש</w:t>
      </w:r>
      <w:proofErr w:type="spellEnd"/>
      <w:r>
        <w:rPr>
          <w:rtl/>
        </w:rPr>
        <w:t xml:space="preserve"> חכמים”</w:t>
      </w:r>
      <w:bookmarkStart w:id="3947" w:name="_fnr2998"/>
      <w:r>
        <w:rPr>
          <w:rStyle w:val="a5"/>
        </w:rPr>
        <w:footnoteReference w:id="3006" w:customMarkFollows="0"/>
      </w:r>
      <w:bookmarkEnd w:id="3947"/>
      <w:r>
        <w:rPr>
          <w:rtl/>
        </w:rPr>
        <w:t xml:space="preserve"> קובע שמעשה כזה אירע </w:t>
      </w:r>
      <w:proofErr w:type="spellStart"/>
      <w:r>
        <w:rPr>
          <w:rtl/>
        </w:rPr>
        <w:t>בהלוסק</w:t>
      </w:r>
      <w:proofErr w:type="spellEnd"/>
      <w:r>
        <w:rPr>
          <w:rtl/>
        </w:rPr>
        <w:t xml:space="preserve">, לפני שבא ר׳ </w:t>
      </w:r>
      <w:proofErr w:type="spellStart"/>
      <w:r>
        <w:rPr>
          <w:rtl/>
        </w:rPr>
        <w:t>ברוך־בער</w:t>
      </w:r>
      <w:proofErr w:type="spellEnd"/>
      <w:r>
        <w:rPr>
          <w:rtl/>
        </w:rPr>
        <w:t xml:space="preserve"> </w:t>
      </w:r>
      <w:proofErr w:type="spellStart"/>
      <w:r>
        <w:rPr>
          <w:rtl/>
        </w:rPr>
        <w:t>לסלבודקה</w:t>
      </w:r>
      <w:proofErr w:type="spellEnd"/>
      <w:r>
        <w:rPr>
          <w:rtl/>
        </w:rPr>
        <w:t xml:space="preserve">, ושהתלמיד שהציע לו לנסות את המוסר היה ר׳ אייזיק שר, יליד המקום שלמד אצלו שם, “שנטה למוסר עוד לפני שפגש את הסבא </w:t>
      </w:r>
      <w:proofErr w:type="spellStart"/>
      <w:r>
        <w:rPr>
          <w:rtl/>
        </w:rPr>
        <w:t>מסלבודקה</w:t>
      </w:r>
      <w:bookmarkStart w:id="3948" w:name="_fnr2999"/>
      <w:proofErr w:type="spellEnd"/>
      <w:r>
        <w:rPr>
          <w:rStyle w:val="a5"/>
        </w:rPr>
        <w:footnoteReference w:id="3007" w:customMarkFollows="0"/>
      </w:r>
      <w:bookmarkEnd w:id="3948"/>
      <w:r>
        <w:rPr>
          <w:rtl/>
        </w:rPr>
        <w:t xml:space="preserve"> ונעשה חתנו”. הספר שהציע ר׳ אייזיק היה “שערי תשובה” לרבנו יונה, ולאחר שלמד בו חמש דקות בלבד סבל ר׳ ברוך מן ההשפעה הרעה בלילה.</w:t>
      </w:r>
    </w:p>
    <w:p w14:paraId="78AADE9D" w14:textId="77777777" w:rsidR="00AB3647" w:rsidRDefault="00000000" w:rsidP="007923E9">
      <w:pPr>
        <w:spacing w:after="120" w:line="276" w:lineRule="auto"/>
        <w:ind w:firstLine="283"/>
        <w:jc w:val="both"/>
      </w:pPr>
      <w:r>
        <w:rPr>
          <w:rtl/>
        </w:rPr>
        <w:t>“במשך היובל”</w:t>
      </w:r>
      <w:bookmarkStart w:id="3949" w:name="_fnr3000"/>
      <w:r>
        <w:rPr>
          <w:rStyle w:val="a5"/>
        </w:rPr>
        <w:footnoteReference w:id="3008" w:customMarkFollows="0"/>
      </w:r>
      <w:bookmarkEnd w:id="3949"/>
      <w:r>
        <w:rPr>
          <w:rtl/>
        </w:rPr>
        <w:t xml:space="preserve"> מצטט את ר׳ </w:t>
      </w:r>
      <w:proofErr w:type="spellStart"/>
      <w:r>
        <w:rPr>
          <w:rtl/>
        </w:rPr>
        <w:t>חצקל</w:t>
      </w:r>
      <w:proofErr w:type="spellEnd"/>
      <w:r>
        <w:rPr>
          <w:rtl/>
        </w:rPr>
        <w:t xml:space="preserve"> </w:t>
      </w:r>
      <w:proofErr w:type="spellStart"/>
      <w:r>
        <w:rPr>
          <w:rtl/>
        </w:rPr>
        <w:t>סרנא</w:t>
      </w:r>
      <w:proofErr w:type="spellEnd"/>
      <w:r>
        <w:rPr>
          <w:rtl/>
        </w:rPr>
        <w:t xml:space="preserve">, שר׳ </w:t>
      </w:r>
      <w:proofErr w:type="spellStart"/>
      <w:r>
        <w:rPr>
          <w:rtl/>
        </w:rPr>
        <w:t>ברוך־בער</w:t>
      </w:r>
      <w:proofErr w:type="spellEnd"/>
      <w:r>
        <w:rPr>
          <w:rtl/>
        </w:rPr>
        <w:t xml:space="preserve"> אמר: “כשעברתי ליד ישיבת כנסת ישראל [</w:t>
      </w:r>
      <w:proofErr w:type="spellStart"/>
      <w:r>
        <w:rPr>
          <w:rtl/>
        </w:rPr>
        <w:t>בסלבודקה</w:t>
      </w:r>
      <w:proofErr w:type="spellEnd"/>
      <w:r>
        <w:rPr>
          <w:rtl/>
        </w:rPr>
        <w:t xml:space="preserve"> שלפני מלחמת העולם הראשונה], נעצרתי והרמתי את שתי ידיי ואמרתי: ‘</w:t>
      </w:r>
      <w:proofErr w:type="spellStart"/>
      <w:r>
        <w:rPr>
          <w:rtl/>
        </w:rPr>
        <w:t>דאס</w:t>
      </w:r>
      <w:proofErr w:type="spellEnd"/>
      <w:r>
        <w:rPr>
          <w:rtl/>
        </w:rPr>
        <w:t xml:space="preserve"> </w:t>
      </w:r>
      <w:proofErr w:type="spellStart"/>
      <w:r>
        <w:rPr>
          <w:rtl/>
        </w:rPr>
        <w:t>איז</w:t>
      </w:r>
      <w:proofErr w:type="spellEnd"/>
      <w:r>
        <w:rPr>
          <w:rtl/>
        </w:rPr>
        <w:t xml:space="preserve"> דאך א בית המקדש [הרי זה בית מקדש ממש]!’” אבל באותה עת כינה ר׳ </w:t>
      </w:r>
      <w:proofErr w:type="spellStart"/>
      <w:r>
        <w:rPr>
          <w:rtl/>
        </w:rPr>
        <w:t>ברוך־בער</w:t>
      </w:r>
      <w:proofErr w:type="spellEnd"/>
      <w:r>
        <w:rPr>
          <w:rtl/>
        </w:rPr>
        <w:t xml:space="preserve"> ישיבה זו “בית המקדש” רק בשל התורה שנלמדה בה ורמת תלמידיה – שאותם פגש כשבאו לשמוע את שיעוריו ולדבר עמו בלימוד – ולא בשל המוסר שנלמד בה, או נכון יותר: </w:t>
      </w:r>
      <w:r>
        <w:rPr>
          <w:b/>
          <w:bCs/>
          <w:rtl/>
        </w:rPr>
        <w:t>למרות המוסר</w:t>
      </w:r>
      <w:r>
        <w:rPr>
          <w:rtl/>
        </w:rPr>
        <w:t>.</w:t>
      </w:r>
    </w:p>
    <w:bookmarkStart w:id="3950" w:name="b3_excII"/>
    <w:p w14:paraId="4E2B28BE" w14:textId="77777777" w:rsidR="00AB3647" w:rsidRDefault="00000000" w:rsidP="007923E9">
      <w:pPr>
        <w:pStyle w:val="3"/>
        <w:spacing w:line="276" w:lineRule="auto"/>
      </w:pPr>
      <w:r>
        <w:lastRenderedPageBreak/>
        <w:fldChar w:fldCharType="begin" w:dirty="true"/>
      </w:r>
      <w:r>
        <w:rPr>
          <w:rtl w:val="0"/>
        </w:rPr>
        <w:instrText>HYPERLINK \l "b3_note144</w:instrText>
      </w:r>
      <w:r>
        <w:instrText>"</w:instrText>
      </w:r>
      <w:r>
        <w:fldChar w:fldCharType="separate"/>
      </w:r>
      <w:r>
        <w:t>נספח לה</w:t>
      </w:r>
      <w:r>
        <w:fldChar w:fldCharType="end"/>
      </w:r>
      <w:bookmarkEnd w:id="3950"/>
    </w:p>
    <w:p w14:paraId="68C6D6AA" w14:textId="77777777" w:rsidR="00AB3647" w:rsidRDefault="00000000" w:rsidP="007923E9">
      <w:pPr>
        <w:pStyle w:val="af"/>
        <w:spacing w:line="276" w:lineRule="auto"/>
      </w:pPr>
      <w:r>
        <w:t xml:space="preserve">על היחסים בין שתי הישיבות </w:t>
      </w:r>
      <w:proofErr w:type="spellStart"/>
      <w:r>
        <w:t>בסלבודקה</w:t>
      </w:r>
      <w:proofErr w:type="spellEnd"/>
    </w:p>
    <w:p w14:paraId="2F262933" w14:textId="77777777" w:rsidR="00AB3647" w:rsidRDefault="00000000" w:rsidP="007923E9">
      <w:pPr>
        <w:pStyle w:val="4"/>
        <w:spacing w:line="276" w:lineRule="auto"/>
      </w:pPr>
      <w:r>
        <w:t>· הפסקה הראשונה ·</w:t>
      </w:r>
    </w:p>
    <w:p w14:paraId="66076384" w14:textId="77777777" w:rsidR="00AB3647" w:rsidRDefault="00000000" w:rsidP="007923E9">
      <w:pPr>
        <w:pStyle w:val="5"/>
        <w:spacing w:line="276" w:lineRule="auto"/>
      </w:pPr>
      <w:r>
        <w:t>בחורים אינם רשאים לעבור מישיבה אחת לחברתה</w:t>
      </w:r>
    </w:p>
    <w:p w14:paraId="44819E90" w14:textId="77777777" w:rsidR="00AB3647" w:rsidRDefault="00000000" w:rsidP="007923E9">
      <w:pPr>
        <w:spacing w:after="120" w:line="276" w:lineRule="auto"/>
        <w:ind w:firstLine="283"/>
        <w:jc w:val="both"/>
      </w:pPr>
      <w:r>
        <w:rPr>
          <w:rtl/>
        </w:rPr>
        <w:t xml:space="preserve">לפי ר׳ קופל </w:t>
      </w:r>
      <w:proofErr w:type="spellStart"/>
      <w:r>
        <w:rPr>
          <w:rtl/>
        </w:rPr>
        <w:t>וולפרט</w:t>
      </w:r>
      <w:bookmarkStart w:id="3951" w:name="_fnr3001"/>
      <w:proofErr w:type="spellEnd"/>
      <w:r>
        <w:rPr>
          <w:rStyle w:val="a5"/>
        </w:rPr>
        <w:footnoteReference w:id="3009" w:customMarkFollows="0"/>
      </w:r>
      <w:bookmarkEnd w:id="3951"/>
      <w:r>
        <w:rPr>
          <w:rtl/>
        </w:rPr>
        <w:t>, היו אז בכנסת בית יצחק יותר מ־300 תלמידים. אבי סיפר שלא זו בלבד ששום ישיבה לא ניסתה למשוך אליה תלמידים מן האחרת, אלא אף תלמיד שביקש לעבור מרצונו לא התקבל – אלא אם למד בינתיים במקום אחר</w:t>
      </w:r>
      <w:bookmarkStart w:id="3952" w:name="_fnr3002"/>
      <w:bookmarkStart w:id="3953" w:name="pr_f_2896"/>
      <w:r>
        <w:rPr>
          <w:rStyle w:val="a5"/>
        </w:rPr>
        <w:footnoteReference w:id="3010" w:customMarkFollows="0"/>
      </w:r>
      <w:bookmarkEnd w:id="3952"/>
      <w:bookmarkEnd w:id="3953"/>
      <w:r>
        <w:rPr>
          <w:rtl/>
        </w:rPr>
        <w:t>.</w:t>
      </w:r>
    </w:p>
    <w:p w14:paraId="3BACCB76" w14:textId="77777777" w:rsidR="00AB3647" w:rsidRDefault="00000000" w:rsidP="007923E9">
      <w:pPr>
        <w:pStyle w:val="4"/>
        <w:spacing w:line="276" w:lineRule="auto"/>
      </w:pPr>
      <w:r>
        <w:lastRenderedPageBreak/>
        <w:t>· הפסקה השנייה ·</w:t>
      </w:r>
    </w:p>
    <w:p w14:paraId="6F063CD7" w14:textId="77777777" w:rsidR="00AB3647" w:rsidRDefault="00000000" w:rsidP="007923E9">
      <w:pPr>
        <w:pStyle w:val="5"/>
        <w:spacing w:line="276" w:lineRule="auto"/>
      </w:pPr>
      <w:r>
        <w:t xml:space="preserve">הסבא מזמין את </w:t>
      </w:r>
      <w:proofErr w:type="spellStart"/>
      <w:r>
        <w:t>לייבל</w:t>
      </w:r>
      <w:proofErr w:type="spellEnd"/>
      <w:r>
        <w:t xml:space="preserve"> שווי לעבור לישיבתו – ר׳ לייב מניח את חפציו בקומה העליונה בבית ר׳ </w:t>
      </w:r>
      <w:proofErr w:type="spellStart"/>
      <w:r>
        <w:t>ברוך־בער</w:t>
      </w:r>
      <w:proofErr w:type="spellEnd"/>
      <w:r>
        <w:t xml:space="preserve"> – שווי נרשם לכנסת בית יצחק כששני אחיו הגדולים סרים מן הדרך – נעשה ניסיון להשיבו לכנסת ישראל</w:t>
      </w:r>
    </w:p>
    <w:p w14:paraId="5D58EF2D" w14:textId="77777777" w:rsidR="00AB3647" w:rsidRDefault="00000000" w:rsidP="007923E9">
      <w:pPr>
        <w:spacing w:after="120" w:line="276" w:lineRule="auto"/>
        <w:ind w:firstLine="283"/>
        <w:jc w:val="both"/>
      </w:pPr>
      <w:r>
        <w:rPr>
          <w:rtl/>
        </w:rPr>
        <w:t>מקרה שנראה כיוצא מן הכלל, הן מן העיקרון הן מן הנוהל, נודע לי מפי ר׳ אלי׳ שווי</w:t>
      </w:r>
      <w:bookmarkStart w:id="3954" w:name="_fnr3003"/>
      <w:r>
        <w:rPr>
          <w:rStyle w:val="a5"/>
        </w:rPr>
        <w:footnoteReference w:id="3011" w:customMarkFollows="0"/>
      </w:r>
      <w:bookmarkEnd w:id="3954"/>
      <w:r>
        <w:rPr>
          <w:rtl/>
        </w:rPr>
        <w:t xml:space="preserve">, בנו של התלמיד הנידון. בסביבות תר״ע, בליל חורף אחד, ניגש ר׳ משה </w:t>
      </w:r>
      <w:proofErr w:type="spellStart"/>
      <w:r>
        <w:rPr>
          <w:rtl/>
        </w:rPr>
        <w:t>פינקל</w:t>
      </w:r>
      <w:proofErr w:type="spellEnd"/>
      <w:r>
        <w:rPr>
          <w:rtl/>
        </w:rPr>
        <w:t xml:space="preserve"> אל ר׳ </w:t>
      </w:r>
      <w:proofErr w:type="spellStart"/>
      <w:r>
        <w:rPr>
          <w:rtl/>
        </w:rPr>
        <w:t>שמואל־לייב</w:t>
      </w:r>
      <w:proofErr w:type="spellEnd"/>
      <w:r>
        <w:rPr>
          <w:rtl/>
        </w:rPr>
        <w:t xml:space="preserve"> שווי, שנודע אז </w:t>
      </w:r>
      <w:proofErr w:type="spellStart"/>
      <w:r>
        <w:rPr>
          <w:rtl/>
        </w:rPr>
        <w:t>כלייבל</w:t>
      </w:r>
      <w:proofErr w:type="spellEnd"/>
      <w:r>
        <w:rPr>
          <w:rtl/>
        </w:rPr>
        <w:t xml:space="preserve"> </w:t>
      </w:r>
      <w:proofErr w:type="spellStart"/>
      <w:r>
        <w:rPr>
          <w:rtl/>
        </w:rPr>
        <w:t>דווינסקער</w:t>
      </w:r>
      <w:proofErr w:type="spellEnd"/>
      <w:r>
        <w:rPr>
          <w:rtl/>
        </w:rPr>
        <w:t xml:space="preserve"> המבריק</w:t>
      </w:r>
      <w:bookmarkStart w:id="3955" w:name="_fnr3004"/>
      <w:r>
        <w:rPr>
          <w:rStyle w:val="a5"/>
        </w:rPr>
        <w:footnoteReference w:id="3012" w:customMarkFollows="0"/>
      </w:r>
      <w:bookmarkEnd w:id="3955"/>
      <w:r>
        <w:rPr>
          <w:rtl/>
        </w:rPr>
        <w:t xml:space="preserve">, בישיבתו, כנסת בית יצחק, ואמר לו שאביו, הסבא, מבקש לראותו. “הסבא, שהכיר את אבי מביקוריו החוזרים, אמר לו אז שעליו לעבור לכנסת ישראל בזמן הבא, ולכן עליו לסיים את זמן החורף </w:t>
      </w:r>
      <w:proofErr w:type="spellStart"/>
      <w:r>
        <w:rPr>
          <w:rtl/>
        </w:rPr>
        <w:t>בראדין</w:t>
      </w:r>
      <w:proofErr w:type="spellEnd"/>
      <w:r>
        <w:rPr>
          <w:rtl/>
        </w:rPr>
        <w:t xml:space="preserve">”, סיפר ר׳ אליהו. “כשאבי הסביר בכנות שאינו מעלה על דעתו לנסוע </w:t>
      </w:r>
      <w:proofErr w:type="spellStart"/>
      <w:r>
        <w:rPr>
          <w:rtl/>
        </w:rPr>
        <w:t>לראדין</w:t>
      </w:r>
      <w:proofErr w:type="spellEnd"/>
      <w:r>
        <w:rPr>
          <w:rtl/>
        </w:rPr>
        <w:t xml:space="preserve"> הרחוקה, ויתר ר׳ </w:t>
      </w:r>
      <w:proofErr w:type="spellStart"/>
      <w:r>
        <w:rPr>
          <w:rtl/>
        </w:rPr>
        <w:t>נתן־צבי</w:t>
      </w:r>
      <w:proofErr w:type="spellEnd"/>
      <w:r>
        <w:rPr>
          <w:rtl/>
        </w:rPr>
        <w:t xml:space="preserve"> </w:t>
      </w:r>
      <w:proofErr w:type="spellStart"/>
      <w:r>
        <w:rPr>
          <w:rtl/>
        </w:rPr>
        <w:t>פינקל</w:t>
      </w:r>
      <w:proofErr w:type="spellEnd"/>
      <w:r>
        <w:rPr>
          <w:rtl/>
        </w:rPr>
        <w:t xml:space="preserve"> ואמר לו לעבור לכנסת ישראל אחרי פסח בכל זאת.”</w:t>
      </w:r>
    </w:p>
    <w:p w14:paraId="37DC80EB" w14:textId="77777777" w:rsidR="00AB3647" w:rsidRDefault="00000000" w:rsidP="007923E9">
      <w:pPr>
        <w:spacing w:after="120" w:line="276" w:lineRule="auto"/>
        <w:ind w:firstLine="283"/>
        <w:jc w:val="both"/>
      </w:pPr>
      <w:r>
        <w:rPr>
          <w:rtl/>
        </w:rPr>
        <w:t>מעניין שהמעבר מעולם לא יצא לפועל, מפני שכשבא ר׳ לייב אל הסבא לאחר פסח ונשאל היכן הניח את חפציו, השיב: “</w:t>
      </w:r>
      <w:proofErr w:type="spellStart"/>
      <w:r>
        <w:rPr>
          <w:rtl/>
        </w:rPr>
        <w:t>באכסניה</w:t>
      </w:r>
      <w:proofErr w:type="spellEnd"/>
      <w:r>
        <w:rPr>
          <w:rtl/>
        </w:rPr>
        <w:t xml:space="preserve"> שבה התגוררתי עד עכשיו, בקומה העליונה בביתו של ר׳ </w:t>
      </w:r>
      <w:proofErr w:type="spellStart"/>
      <w:r>
        <w:rPr>
          <w:rtl/>
        </w:rPr>
        <w:t>ברוך־בער</w:t>
      </w:r>
      <w:proofErr w:type="spellEnd"/>
      <w:r>
        <w:rPr>
          <w:rtl/>
        </w:rPr>
        <w:t xml:space="preserve">.” אז קרא הסבא: “עברת לביתו של ר׳ </w:t>
      </w:r>
      <w:proofErr w:type="spellStart"/>
      <w:r>
        <w:rPr>
          <w:rtl/>
        </w:rPr>
        <w:t>ברוך־בער</w:t>
      </w:r>
      <w:proofErr w:type="spellEnd"/>
      <w:r>
        <w:rPr>
          <w:rtl/>
        </w:rPr>
        <w:t>? אם כן, עליך להישאר בישיבתו!</w:t>
      </w:r>
      <w:bookmarkStart w:id="3956" w:name="_fnr3005"/>
      <w:r>
        <w:rPr>
          <w:rStyle w:val="a5"/>
        </w:rPr>
        <w:footnoteReference w:id="3013" w:customMarkFollows="0"/>
      </w:r>
      <w:bookmarkEnd w:id="3956"/>
      <w:r>
        <w:rPr>
          <w:rtl/>
        </w:rPr>
        <w:t>”</w:t>
      </w:r>
    </w:p>
    <w:p w14:paraId="214A7C9B" w14:textId="77777777" w:rsidR="00AB3647" w:rsidRDefault="00000000" w:rsidP="007923E9">
      <w:pPr>
        <w:spacing w:after="120" w:line="276" w:lineRule="auto"/>
        <w:ind w:firstLine="283"/>
        <w:jc w:val="both"/>
      </w:pPr>
      <w:r>
        <w:rPr>
          <w:rtl/>
        </w:rPr>
        <w:t xml:space="preserve">כשסופר מעשה זה </w:t>
      </w:r>
      <w:proofErr w:type="spellStart"/>
      <w:r>
        <w:rPr>
          <w:rtl/>
        </w:rPr>
        <w:t>לר</w:t>
      </w:r>
      <w:proofErr w:type="spellEnd"/>
      <w:r>
        <w:rPr>
          <w:rtl/>
        </w:rPr>
        <w:t xml:space="preserve">׳ קופל </w:t>
      </w:r>
      <w:proofErr w:type="spellStart"/>
      <w:r>
        <w:rPr>
          <w:rtl/>
        </w:rPr>
        <w:t>וולפרט</w:t>
      </w:r>
      <w:bookmarkStart w:id="3957" w:name="_fnr3006"/>
      <w:proofErr w:type="spellEnd"/>
      <w:r>
        <w:rPr>
          <w:rStyle w:val="a5"/>
        </w:rPr>
        <w:footnoteReference w:id="3014" w:customMarkFollows="0"/>
      </w:r>
      <w:bookmarkEnd w:id="3957"/>
      <w:r>
        <w:rPr>
          <w:rtl/>
        </w:rPr>
        <w:t xml:space="preserve">, הוא נדהם ומחה: “זו לא הייתה הדרך שבה נהגו – אפילו מלמד בחדר לא ניסה לקחת תלמיד ממתחרהו – ולסבא היו דברים אחרים לחשוב עליהם! ובכל זאת, עליי לומר שמאחר שר׳ לייב שווי סיפר זאת לבנו, ודאי הדבר אמת. ר׳ </w:t>
      </w:r>
      <w:proofErr w:type="spellStart"/>
      <w:r>
        <w:rPr>
          <w:rtl/>
        </w:rPr>
        <w:t>שמואל־לייב</w:t>
      </w:r>
      <w:proofErr w:type="spellEnd"/>
      <w:r>
        <w:rPr>
          <w:rtl/>
        </w:rPr>
        <w:t xml:space="preserve"> היה מן הסתם יוצא מן הכלל.”</w:t>
      </w:r>
    </w:p>
    <w:p w14:paraId="419B19DB" w14:textId="77777777" w:rsidR="00AB3647" w:rsidRDefault="00000000" w:rsidP="007923E9">
      <w:pPr>
        <w:spacing w:after="120" w:line="276" w:lineRule="auto"/>
        <w:ind w:firstLine="283"/>
        <w:jc w:val="both"/>
      </w:pPr>
      <w:r>
        <w:rPr>
          <w:rtl/>
        </w:rPr>
        <w:t xml:space="preserve">השווה גם זיכרונותיו של </w:t>
      </w:r>
      <w:proofErr w:type="spellStart"/>
      <w:r>
        <w:rPr>
          <w:rtl/>
        </w:rPr>
        <w:t>יהושע־לייב</w:t>
      </w:r>
      <w:proofErr w:type="spellEnd"/>
      <w:r>
        <w:rPr>
          <w:rtl/>
        </w:rPr>
        <w:t xml:space="preserve"> </w:t>
      </w:r>
      <w:proofErr w:type="spellStart"/>
      <w:r>
        <w:rPr>
          <w:rtl/>
        </w:rPr>
        <w:t>ראדוס</w:t>
      </w:r>
      <w:bookmarkStart w:id="3958" w:name="_fnr3007"/>
      <w:proofErr w:type="spellEnd"/>
      <w:r>
        <w:rPr>
          <w:rStyle w:val="a5"/>
        </w:rPr>
        <w:footnoteReference w:id="3015" w:customMarkFollows="0"/>
      </w:r>
      <w:bookmarkEnd w:id="3958"/>
      <w:r>
        <w:rPr>
          <w:rtl/>
        </w:rPr>
        <w:t xml:space="preserve">. מחברם טוען – אומנם על תקופה מוקדמת בהרבה בחיי הסבא, זמן קצר לאחר שייסד את הישיבה </w:t>
      </w:r>
      <w:proofErr w:type="spellStart"/>
      <w:r>
        <w:rPr>
          <w:rtl/>
        </w:rPr>
        <w:t>בסלבודקה</w:t>
      </w:r>
      <w:proofErr w:type="spellEnd"/>
      <w:r>
        <w:rPr>
          <w:rtl/>
        </w:rPr>
        <w:t xml:space="preserve"> – שלמחרת בואו לקובנה שלח ר׳ </w:t>
      </w:r>
      <w:proofErr w:type="spellStart"/>
      <w:r>
        <w:rPr>
          <w:rtl/>
        </w:rPr>
        <w:t>נתן־צבי</w:t>
      </w:r>
      <w:proofErr w:type="spellEnd"/>
      <w:r>
        <w:rPr>
          <w:rtl/>
        </w:rPr>
        <w:t xml:space="preserve"> שני נערים </w:t>
      </w:r>
      <w:proofErr w:type="spellStart"/>
      <w:r>
        <w:rPr>
          <w:rtl/>
        </w:rPr>
        <w:t>מדווינסק</w:t>
      </w:r>
      <w:proofErr w:type="spellEnd"/>
      <w:r>
        <w:rPr>
          <w:rtl/>
        </w:rPr>
        <w:t>, עיר הולדתו של המחבר, לשכנעו לעבור מן הישיבה בקובנה, שבראשה עמד ר׳ שלמה מסוים</w:t>
      </w:r>
      <w:bookmarkStart w:id="3959" w:name="_fnr3008"/>
      <w:r>
        <w:rPr>
          <w:rStyle w:val="a5"/>
        </w:rPr>
        <w:footnoteReference w:id="3016" w:customMarkFollows="0"/>
      </w:r>
      <w:bookmarkEnd w:id="3959"/>
      <w:r>
        <w:rPr>
          <w:rtl/>
        </w:rPr>
        <w:t xml:space="preserve">, לישיבת הסבא </w:t>
      </w:r>
      <w:proofErr w:type="spellStart"/>
      <w:r>
        <w:rPr>
          <w:rtl/>
        </w:rPr>
        <w:t>בסלבודקה</w:t>
      </w:r>
      <w:proofErr w:type="spellEnd"/>
      <w:r>
        <w:rPr>
          <w:rtl/>
        </w:rPr>
        <w:t xml:space="preserve">. את זה עשו הנערים במרמה: אמרו לו שהם פועלים בשליחות אביו. אך אין </w:t>
      </w:r>
      <w:proofErr w:type="spellStart"/>
      <w:r>
        <w:rPr>
          <w:rtl/>
        </w:rPr>
        <w:t>לראדוס</w:t>
      </w:r>
      <w:proofErr w:type="spellEnd"/>
      <w:r>
        <w:rPr>
          <w:rtl/>
        </w:rPr>
        <w:t xml:space="preserve"> ראיה מוחלטת שהסבא עמד מאחורי פעולת הנערים, מלבד </w:t>
      </w:r>
      <w:proofErr w:type="spellStart"/>
      <w:r>
        <w:rPr>
          <w:rtl/>
        </w:rPr>
        <w:t>ש“נודע</w:t>
      </w:r>
      <w:proofErr w:type="spellEnd"/>
      <w:r>
        <w:rPr>
          <w:rtl/>
        </w:rPr>
        <w:t xml:space="preserve"> [למחבר] הדבר ממקור מהימן”</w:t>
      </w:r>
      <w:bookmarkStart w:id="3960" w:name="_fnr3009"/>
      <w:r>
        <w:rPr>
          <w:rStyle w:val="a5"/>
        </w:rPr>
        <w:footnoteReference w:id="3017" w:customMarkFollows="0"/>
      </w:r>
      <w:bookmarkEnd w:id="3960"/>
      <w:r>
        <w:rPr>
          <w:rtl/>
        </w:rPr>
        <w:t>.</w:t>
      </w:r>
    </w:p>
    <w:p w14:paraId="763BAE56" w14:textId="77777777" w:rsidR="00AB3647" w:rsidRDefault="00000000" w:rsidP="007923E9">
      <w:pPr>
        <w:spacing w:after="120" w:line="276" w:lineRule="auto"/>
        <w:ind w:firstLine="283"/>
        <w:jc w:val="both"/>
      </w:pPr>
      <w:r>
        <w:rPr>
          <w:rtl/>
        </w:rPr>
        <w:t xml:space="preserve">ר׳ אליהו הסביר שהיה לסבא עניין מיוחד להביא את התלמיד </w:t>
      </w:r>
      <w:proofErr w:type="spellStart"/>
      <w:r>
        <w:rPr>
          <w:rtl/>
        </w:rPr>
        <w:t>מדווינסק</w:t>
      </w:r>
      <w:proofErr w:type="spellEnd"/>
      <w:r>
        <w:rPr>
          <w:rtl/>
        </w:rPr>
        <w:t xml:space="preserve"> לכנסת ישראל: </w:t>
      </w:r>
      <w:proofErr w:type="spellStart"/>
      <w:r>
        <w:rPr>
          <w:rtl/>
        </w:rPr>
        <w:t>לר</w:t>
      </w:r>
      <w:proofErr w:type="spellEnd"/>
      <w:r>
        <w:rPr>
          <w:rtl/>
        </w:rPr>
        <w:t xml:space="preserve">׳ </w:t>
      </w:r>
      <w:proofErr w:type="spellStart"/>
      <w:r>
        <w:rPr>
          <w:rtl/>
        </w:rPr>
        <w:t>שמואל־לייב</w:t>
      </w:r>
      <w:proofErr w:type="spellEnd"/>
      <w:r>
        <w:rPr>
          <w:rtl/>
        </w:rPr>
        <w:t xml:space="preserve"> היו שני אחים גדולים שלמדו בכנסת ישראל וסרו מן הדרך בשנות המהפכה הכושלת</w:t>
      </w:r>
      <w:bookmarkStart w:id="3961" w:name="_fnr3010"/>
      <w:r>
        <w:rPr>
          <w:rStyle w:val="a5"/>
        </w:rPr>
        <w:footnoteReference w:id="3018" w:customMarkFollows="0"/>
      </w:r>
      <w:bookmarkEnd w:id="3961"/>
      <w:r>
        <w:rPr>
          <w:rtl/>
        </w:rPr>
        <w:t xml:space="preserve">, ומשום כך שלחו אותו הוריו </w:t>
      </w:r>
      <w:proofErr w:type="spellStart"/>
      <w:r>
        <w:rPr>
          <w:rtl/>
        </w:rPr>
        <w:t>ל“ישיבה</w:t>
      </w:r>
      <w:proofErr w:type="spellEnd"/>
      <w:r>
        <w:rPr>
          <w:rtl/>
        </w:rPr>
        <w:t xml:space="preserve"> האחרת, החרדית” </w:t>
      </w:r>
      <w:proofErr w:type="spellStart"/>
      <w:r>
        <w:rPr>
          <w:rtl/>
        </w:rPr>
        <w:t>בסלבודקה</w:t>
      </w:r>
      <w:proofErr w:type="spellEnd"/>
      <w:r>
        <w:rPr>
          <w:rtl/>
        </w:rPr>
        <w:t xml:space="preserve">. בהבאת </w:t>
      </w:r>
      <w:r>
        <w:rPr>
          <w:rtl/>
        </w:rPr>
        <w:lastRenderedPageBreak/>
        <w:t xml:space="preserve">תלמיד זה לכנסת ישראל היה הסבא מוכיח שאין עוד חשש שתלמידים יסורו מן הדרך בישיבתו. קשה לקבל שטעם זה הספיק כדי שהסבא יחרוג הן מן הכלל הן מן “הדרך”, וירשה </w:t>
      </w:r>
      <w:proofErr w:type="spellStart"/>
      <w:r>
        <w:rPr>
          <w:rtl/>
        </w:rPr>
        <w:t>לר</w:t>
      </w:r>
      <w:proofErr w:type="spellEnd"/>
      <w:r>
        <w:rPr>
          <w:rtl/>
        </w:rPr>
        <w:t xml:space="preserve">׳ </w:t>
      </w:r>
      <w:proofErr w:type="spellStart"/>
      <w:r>
        <w:rPr>
          <w:rtl/>
        </w:rPr>
        <w:t>שמואל־לייב</w:t>
      </w:r>
      <w:proofErr w:type="spellEnd"/>
      <w:r>
        <w:rPr>
          <w:rtl/>
        </w:rPr>
        <w:t xml:space="preserve"> לעבור במישרין.</w:t>
      </w:r>
    </w:p>
    <w:p w14:paraId="6A9C19E4" w14:textId="0B8D429B" w:rsidR="00AB3647" w:rsidRDefault="00000000" w:rsidP="007923E9">
      <w:pPr>
        <w:spacing w:after="120" w:line="276" w:lineRule="auto"/>
        <w:ind w:firstLine="283"/>
        <w:jc w:val="both"/>
      </w:pPr>
      <w:r>
        <w:rPr>
          <w:rtl/>
        </w:rPr>
        <w:t xml:space="preserve">אבל ייתכן שנכונה ההשערה שבהערה </w:t>
      </w:r>
      <w:r>
        <w:rPr>
          <w:rtl/>
        </w:rPr>
        <w:fldChar w:fldCharType="begin" w:dirty="true"/>
      </w:r>
      <w:r>
        <w:rPr>
          <w:rtl/>
        </w:rPr>
        <w:instrText xml:space="preserve"> REF b3_note50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לעיל: שר׳ </w:t>
      </w:r>
      <w:proofErr w:type="spellStart"/>
      <w:r>
        <w:rPr>
          <w:rtl/>
        </w:rPr>
        <w:t>שמואל־לייב</w:t>
      </w:r>
      <w:proofErr w:type="spellEnd"/>
      <w:r>
        <w:rPr>
          <w:rtl/>
        </w:rPr>
        <w:t xml:space="preserve"> בא </w:t>
      </w:r>
      <w:proofErr w:type="spellStart"/>
      <w:r>
        <w:rPr>
          <w:rtl/>
        </w:rPr>
        <w:t>מדווינסק</w:t>
      </w:r>
      <w:proofErr w:type="spellEnd"/>
      <w:r>
        <w:rPr>
          <w:rtl/>
        </w:rPr>
        <w:t xml:space="preserve"> היישר לכנסת ישראל </w:t>
      </w:r>
      <w:r>
        <w:rPr>
          <w:b/>
          <w:bCs/>
          <w:rtl/>
        </w:rPr>
        <w:t>כשמונה שנים קודם לכן</w:t>
      </w:r>
      <w:r>
        <w:rPr>
          <w:rtl/>
        </w:rPr>
        <w:t xml:space="preserve">, בעוד אחיו הגדולים שם, והוריו העבירוהו לכנסת בית יצחק כשבא ר׳ </w:t>
      </w:r>
      <w:proofErr w:type="spellStart"/>
      <w:r>
        <w:rPr>
          <w:rtl/>
        </w:rPr>
        <w:t>ברוך־בער</w:t>
      </w:r>
      <w:proofErr w:type="spellEnd"/>
      <w:r>
        <w:rPr>
          <w:rtl/>
        </w:rPr>
        <w:t xml:space="preserve"> לעיר ואחיו סרו מן הדרך. אם כך, הסבא רק השיב לעצמו אחד מתלמידיו שלו. לפיכך לא חל כאן כלל המעבר, ואף לא היה הדבר מנוגד כלל </w:t>
      </w:r>
      <w:proofErr w:type="spellStart"/>
      <w:r>
        <w:rPr>
          <w:rtl/>
        </w:rPr>
        <w:t>ל“דרך</w:t>
      </w:r>
      <w:proofErr w:type="spellEnd"/>
      <w:r>
        <w:rPr>
          <w:rtl/>
        </w:rPr>
        <w:t>”</w:t>
      </w:r>
      <w:bookmarkStart w:id="3962" w:name="_fnr3011"/>
      <w:r>
        <w:rPr>
          <w:rStyle w:val="a5"/>
        </w:rPr>
        <w:footnoteReference w:id="3019" w:customMarkFollows="0"/>
      </w:r>
      <w:bookmarkEnd w:id="3962"/>
      <w:r>
        <w:rPr>
          <w:rtl/>
        </w:rPr>
        <w:t>.</w:t>
      </w:r>
    </w:p>
    <w:p w14:paraId="019A3B64" w14:textId="77777777" w:rsidR="00AB3647" w:rsidRDefault="00000000" w:rsidP="007923E9">
      <w:pPr>
        <w:spacing w:after="120" w:line="276" w:lineRule="auto"/>
        <w:ind w:firstLine="283"/>
        <w:jc w:val="both"/>
      </w:pPr>
      <w:r>
        <w:rPr>
          <w:rtl/>
        </w:rPr>
        <w:t xml:space="preserve">לפי זה היה על ר׳ אלי׳ שווי להוסיף כמה מילים כשאמר: “הסבא... הכיר את אבי מביקוריו החוזרים...”. היה עליו לומר: “הסבא... ידע מביקוריו החוזרים </w:t>
      </w:r>
      <w:r>
        <w:rPr>
          <w:b/>
          <w:bCs/>
          <w:rtl/>
        </w:rPr>
        <w:t>כיצד התפתח אבי</w:t>
      </w:r>
      <w:r>
        <w:rPr>
          <w:rtl/>
        </w:rPr>
        <w:t xml:space="preserve"> [שאותו הכיר שנים רבות קודם לכן].” סביר שהסבא ביקש להחזיר את </w:t>
      </w:r>
      <w:proofErr w:type="spellStart"/>
      <w:r>
        <w:rPr>
          <w:rtl/>
        </w:rPr>
        <w:t>לייבל</w:t>
      </w:r>
      <w:proofErr w:type="spellEnd"/>
      <w:r>
        <w:rPr>
          <w:rtl/>
        </w:rPr>
        <w:t xml:space="preserve"> </w:t>
      </w:r>
      <w:proofErr w:type="spellStart"/>
      <w:r>
        <w:rPr>
          <w:rtl/>
        </w:rPr>
        <w:t>דווינסקער</w:t>
      </w:r>
      <w:proofErr w:type="spellEnd"/>
      <w:r>
        <w:rPr>
          <w:rtl/>
        </w:rPr>
        <w:t xml:space="preserve"> לכנסת ישראל בהזדמנות המוקדמת ביותר, אך עד סביבות תר״ע לא ראו הוריו של ר׳ </w:t>
      </w:r>
      <w:proofErr w:type="spellStart"/>
      <w:r>
        <w:rPr>
          <w:rtl/>
        </w:rPr>
        <w:t>שמואל־לייב</w:t>
      </w:r>
      <w:proofErr w:type="spellEnd"/>
      <w:r>
        <w:rPr>
          <w:rtl/>
        </w:rPr>
        <w:t xml:space="preserve"> שווי, כרבים אחרים, בכנסת ישראל ישיבה “חרדית” דיה.</w:t>
      </w:r>
    </w:p>
    <w:p w14:paraId="14E50C99" w14:textId="77777777" w:rsidR="00AB3647" w:rsidRDefault="00000000" w:rsidP="007923E9">
      <w:pPr>
        <w:pStyle w:val="4"/>
        <w:spacing w:line="276" w:lineRule="auto"/>
      </w:pPr>
      <w:r>
        <w:t>· הפסקה השלישית ·</w:t>
      </w:r>
    </w:p>
    <w:p w14:paraId="322115F0" w14:textId="77777777" w:rsidR="00AB3647" w:rsidRDefault="00000000" w:rsidP="007923E9">
      <w:pPr>
        <w:pStyle w:val="5"/>
        <w:spacing w:line="276" w:lineRule="auto"/>
      </w:pPr>
      <w:r>
        <w:t>מתח בין תלמידי שתי הישיבות</w:t>
      </w:r>
    </w:p>
    <w:p w14:paraId="3A535AB0" w14:textId="77777777" w:rsidR="00AB3647" w:rsidRDefault="00000000" w:rsidP="007923E9">
      <w:pPr>
        <w:spacing w:after="120" w:line="276" w:lineRule="auto"/>
        <w:ind w:firstLine="283"/>
        <w:jc w:val="both"/>
      </w:pPr>
      <w:r>
        <w:rPr>
          <w:rtl/>
        </w:rPr>
        <w:t xml:space="preserve">למרות הידידות בין הנהלות שתי הישיבות </w:t>
      </w:r>
      <w:proofErr w:type="spellStart"/>
      <w:r>
        <w:rPr>
          <w:rtl/>
        </w:rPr>
        <w:t>בסלבודקה</w:t>
      </w:r>
      <w:proofErr w:type="spellEnd"/>
      <w:r>
        <w:rPr>
          <w:rtl/>
        </w:rPr>
        <w:t xml:space="preserve">, תלמידי כנסת בית יצחק לא תמיד שיתפו פעולה עם תלמידי כנסת ישראל. לעיתים סירבו תלמידי ר׳ </w:t>
      </w:r>
      <w:proofErr w:type="spellStart"/>
      <w:r>
        <w:rPr>
          <w:rtl/>
        </w:rPr>
        <w:t>ברוך־בער</w:t>
      </w:r>
      <w:proofErr w:type="spellEnd"/>
      <w:r>
        <w:rPr>
          <w:rtl/>
        </w:rPr>
        <w:t xml:space="preserve"> להכניס את תלמידי כנסת ישראל לשמוע את שיעורו של ראש הישיבה, בטענה: “אם השיעורים בישיבתנו מוצאים חן בעיניכם כל כך, מדוע אינכם מצטרפים אלינו לגמרי?!” פעם נעלו את הדלתות לפני זמן השיעור, ואהרן </w:t>
      </w:r>
      <w:proofErr w:type="spellStart"/>
      <w:r>
        <w:rPr>
          <w:rtl/>
        </w:rPr>
        <w:t>סיסלוביצ׳ר</w:t>
      </w:r>
      <w:proofErr w:type="spellEnd"/>
      <w:r>
        <w:rPr>
          <w:rtl/>
        </w:rPr>
        <w:t xml:space="preserve"> (קוטלר) טיפס דרך החלון כדי לשמוע את ר׳ </w:t>
      </w:r>
      <w:proofErr w:type="spellStart"/>
      <w:r>
        <w:rPr>
          <w:rtl/>
        </w:rPr>
        <w:t>ברוך־בער</w:t>
      </w:r>
      <w:bookmarkStart w:id="3963" w:name="_fnr3012"/>
      <w:proofErr w:type="spellEnd"/>
      <w:r>
        <w:rPr>
          <w:rStyle w:val="a5"/>
        </w:rPr>
        <w:footnoteReference w:id="3020" w:customMarkFollows="0"/>
      </w:r>
      <w:bookmarkEnd w:id="3963"/>
      <w:r>
        <w:rPr>
          <w:rtl/>
        </w:rPr>
        <w:t>. תלמידי שתי הישיבות גם היו מטיילים בשבת ברחובות שונים</w:t>
      </w:r>
      <w:bookmarkStart w:id="3964" w:name="_fnr3013"/>
      <w:r>
        <w:rPr>
          <w:rStyle w:val="a5"/>
        </w:rPr>
        <w:footnoteReference w:id="3021" w:customMarkFollows="0"/>
      </w:r>
      <w:bookmarkEnd w:id="3964"/>
      <w:r>
        <w:rPr>
          <w:rtl/>
        </w:rPr>
        <w:t>.</w:t>
      </w:r>
    </w:p>
    <w:bookmarkStart w:id="3965" w:name="b3_excJJ"/>
    <w:p w14:paraId="2ACAE080" w14:textId="77777777" w:rsidR="00AB3647" w:rsidRDefault="00000000" w:rsidP="007923E9">
      <w:pPr>
        <w:pStyle w:val="3"/>
        <w:spacing w:line="276" w:lineRule="auto"/>
      </w:pPr>
      <w:r>
        <w:lastRenderedPageBreak/>
        <w:fldChar w:fldCharType="begin" w:dirty="true"/>
      </w:r>
      <w:r>
        <w:rPr>
          <w:rtl w:val="0"/>
        </w:rPr>
        <w:instrText>HYPERLINK \l "b3_note147</w:instrText>
      </w:r>
      <w:r>
        <w:instrText>"</w:instrText>
      </w:r>
      <w:r>
        <w:fldChar w:fldCharType="separate"/>
      </w:r>
      <w:r>
        <w:t>נספח לו</w:t>
      </w:r>
      <w:r>
        <w:fldChar w:fldCharType="end"/>
      </w:r>
      <w:bookmarkEnd w:id="3965"/>
    </w:p>
    <w:p w14:paraId="44136677" w14:textId="77777777" w:rsidR="00AB3647" w:rsidRDefault="00000000" w:rsidP="007923E9">
      <w:pPr>
        <w:pStyle w:val="af"/>
        <w:spacing w:line="276" w:lineRule="auto"/>
      </w:pPr>
      <w:r>
        <w:t xml:space="preserve">על ר׳ זלמן </w:t>
      </w:r>
      <w:proofErr w:type="spellStart"/>
      <w:r>
        <w:t>דולינסקי</w:t>
      </w:r>
      <w:proofErr w:type="spellEnd"/>
      <w:r>
        <w:t xml:space="preserve">, שניהל ועדים בהדרכת הסבא </w:t>
      </w:r>
      <w:proofErr w:type="spellStart"/>
      <w:r>
        <w:t>מסלבודקה</w:t>
      </w:r>
      <w:proofErr w:type="spellEnd"/>
    </w:p>
    <w:p w14:paraId="374EC683" w14:textId="77777777" w:rsidR="00AB3647" w:rsidRDefault="00000000" w:rsidP="007923E9">
      <w:pPr>
        <w:pStyle w:val="4"/>
        <w:spacing w:line="276" w:lineRule="auto"/>
      </w:pPr>
      <w:r>
        <w:t>· הפסקה הראשונה ·</w:t>
      </w:r>
    </w:p>
    <w:p w14:paraId="64225CEA" w14:textId="77777777" w:rsidR="00AB3647" w:rsidRDefault="00000000" w:rsidP="007923E9">
      <w:pPr>
        <w:pStyle w:val="5"/>
        <w:spacing w:line="276" w:lineRule="auto"/>
      </w:pPr>
      <w:r>
        <w:t xml:space="preserve">ר׳ זלמן </w:t>
      </w:r>
      <w:proofErr w:type="spellStart"/>
      <w:r>
        <w:t>דולינסקי</w:t>
      </w:r>
      <w:proofErr w:type="spellEnd"/>
      <w:r>
        <w:t xml:space="preserve"> פועל למען המוסר</w:t>
      </w:r>
    </w:p>
    <w:p w14:paraId="1553683C" w14:textId="4540FBF1" w:rsidR="00AB3647" w:rsidRDefault="00000000" w:rsidP="007923E9">
      <w:pPr>
        <w:spacing w:after="120" w:line="276" w:lineRule="auto"/>
        <w:ind w:firstLine="283"/>
        <w:jc w:val="both"/>
      </w:pPr>
      <w:r>
        <w:rPr>
          <w:rtl/>
        </w:rPr>
        <w:t xml:space="preserve">“הוא היה תלמיד קלם שסייע לסבא </w:t>
      </w:r>
      <w:proofErr w:type="spellStart"/>
      <w:r>
        <w:rPr>
          <w:rtl/>
        </w:rPr>
        <w:t>בסלבודקה</w:t>
      </w:r>
      <w:proofErr w:type="spellEnd"/>
      <w:r>
        <w:rPr>
          <w:rtl/>
        </w:rPr>
        <w:t xml:space="preserve"> עוד מלפני פולמוס המוסר ואילך. הוא היה מן התומכים המשפיעים ביותר של המוסר בימיו – חכם מופלג ומחנך מבריק, שהלהיב תלמידים בשיחות מלאות אש”</w:t>
      </w:r>
      <w:bookmarkStart w:id="3966" w:name="_fnr3014"/>
      <w:r>
        <w:rPr>
          <w:rStyle w:val="a5"/>
        </w:rPr>
        <w:footnoteReference w:id="3022" w:customMarkFollows="0"/>
      </w:r>
      <w:bookmarkEnd w:id="3966"/>
      <w:r>
        <w:rPr>
          <w:rtl/>
        </w:rPr>
        <w:t xml:space="preserve">. </w:t>
      </w:r>
      <w:proofErr w:type="spellStart"/>
      <w:r>
        <w:rPr>
          <w:rtl/>
        </w:rPr>
        <w:t>בתרס״ז</w:t>
      </w:r>
      <w:proofErr w:type="spellEnd"/>
      <w:r>
        <w:rPr>
          <w:rtl/>
        </w:rPr>
        <w:t xml:space="preserve"> נשלח לחזק את ישיבת </w:t>
      </w:r>
      <w:proofErr w:type="spellStart"/>
      <w:r>
        <w:rPr>
          <w:rtl/>
        </w:rPr>
        <w:t>מיר</w:t>
      </w:r>
      <w:proofErr w:type="spellEnd"/>
      <w:r>
        <w:rPr>
          <w:rtl/>
        </w:rPr>
        <w:t xml:space="preserve">. אחרי שסידר את הישיבה בדרך המוסר חזר </w:t>
      </w:r>
      <w:proofErr w:type="spellStart"/>
      <w:r>
        <w:rPr>
          <w:rtl/>
        </w:rPr>
        <w:t>לסלבודקה</w:t>
      </w:r>
      <w:proofErr w:type="spellEnd"/>
      <w:r>
        <w:rPr>
          <w:rtl/>
        </w:rPr>
        <w:t xml:space="preserve"> באותה שנה, ובשנה שלאחריה שב </w:t>
      </w:r>
      <w:proofErr w:type="spellStart"/>
      <w:r>
        <w:rPr>
          <w:rtl/>
        </w:rPr>
        <w:t>למיר</w:t>
      </w:r>
      <w:proofErr w:type="spellEnd"/>
      <w:r>
        <w:rPr>
          <w:rtl/>
        </w:rPr>
        <w:t xml:space="preserve"> עם תגבורת של תלמידים</w:t>
      </w:r>
      <w:bookmarkStart w:id="3967" w:name="_fnr3015"/>
      <w:r>
        <w:rPr>
          <w:rStyle w:val="a5"/>
        </w:rPr>
        <w:footnoteReference w:id="3023" w:customMarkFollows="0"/>
      </w:r>
      <w:bookmarkEnd w:id="3967"/>
      <w:r>
        <w:rPr>
          <w:rtl/>
        </w:rPr>
        <w:t xml:space="preserve">. ר׳ זלמן חלה במחלה אנושה </w:t>
      </w:r>
      <w:proofErr w:type="spellStart"/>
      <w:r>
        <w:rPr>
          <w:rtl/>
        </w:rPr>
        <w:t>בתרס״ח</w:t>
      </w:r>
      <w:proofErr w:type="spellEnd"/>
      <w:r>
        <w:rPr>
          <w:rtl/>
        </w:rPr>
        <w:t>, ונפטר שלוש שנים לאחר מכן</w:t>
      </w:r>
      <w:bookmarkStart w:id="3968" w:name="_fnr3016"/>
      <w:r>
        <w:rPr>
          <w:rStyle w:val="a5"/>
        </w:rPr>
        <w:footnoteReference w:id="3024" w:customMarkFollows="0"/>
      </w:r>
      <w:bookmarkEnd w:id="3968"/>
      <w:r>
        <w:rPr>
          <w:rtl/>
        </w:rPr>
        <w:t xml:space="preserve">. כשכבר לא היה יכול לתפקד, הובא ר׳ ירוחם </w:t>
      </w:r>
      <w:proofErr w:type="spellStart"/>
      <w:r>
        <w:rPr>
          <w:rtl/>
        </w:rPr>
        <w:t>ליבוביץ</w:t>
      </w:r>
      <w:bookmarkStart w:id="3969" w:name="_fnr3017"/>
      <w:proofErr w:type="spellEnd"/>
      <w:r>
        <w:rPr>
          <w:rStyle w:val="a5"/>
        </w:rPr>
        <w:footnoteReference w:id="3025" w:customMarkFollows="0"/>
      </w:r>
      <w:bookmarkEnd w:id="3969"/>
      <w:r>
        <w:rPr>
          <w:rtl/>
        </w:rPr>
        <w:t xml:space="preserve"> לישיבת </w:t>
      </w:r>
      <w:proofErr w:type="spellStart"/>
      <w:r>
        <w:rPr>
          <w:rtl/>
        </w:rPr>
        <w:t>מיר</w:t>
      </w:r>
      <w:proofErr w:type="spellEnd"/>
      <w:r>
        <w:rPr>
          <w:rtl/>
        </w:rPr>
        <w:t xml:space="preserve"> כמשגיח בפעם הראשונה. השווה גם תחילת </w:t>
      </w:r>
      <w:r>
        <w:rPr>
          <w:rtl/>
        </w:rPr>
        <w:fldChar w:fldCharType="begin" w:dirty="true"/>
      </w:r>
      <w:r>
        <w:rPr>
          <w:rtl/>
        </w:rPr>
        <w:instrText xml:space="preserve"> REF b3_excHH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לד</w:t>
      </w:r>
      <w:r>
        <w:rPr>
          <w:rtl/>
        </w:rPr>
        <w:fldChar w:fldCharType="end"/>
      </w:r>
      <w:r>
        <w:rPr>
          <w:rtl/>
        </w:rPr>
        <w:t xml:space="preserve"> לעיל.</w:t>
      </w:r>
    </w:p>
    <w:p w14:paraId="3BD27680" w14:textId="77777777" w:rsidR="00AB3647" w:rsidRDefault="00000000" w:rsidP="007923E9">
      <w:pPr>
        <w:pStyle w:val="4"/>
        <w:spacing w:line="276" w:lineRule="auto"/>
      </w:pPr>
      <w:r>
        <w:t>· הפסקה השנייה ·</w:t>
      </w:r>
    </w:p>
    <w:p w14:paraId="1418E8E4" w14:textId="77777777" w:rsidR="00AB3647" w:rsidRDefault="00000000" w:rsidP="007923E9">
      <w:pPr>
        <w:pStyle w:val="5"/>
        <w:spacing w:line="276" w:lineRule="auto"/>
      </w:pPr>
      <w:r>
        <w:t xml:space="preserve">המוסר של הרב </w:t>
      </w:r>
      <w:proofErr w:type="spellStart"/>
      <w:r>
        <w:t>דולינסקי</w:t>
      </w:r>
      <w:proofErr w:type="spellEnd"/>
      <w:r>
        <w:t xml:space="preserve"> מדליק את לבבות הצעירים – נסיעתו </w:t>
      </w:r>
      <w:proofErr w:type="spellStart"/>
      <w:r>
        <w:t>לקלם</w:t>
      </w:r>
      <w:proofErr w:type="spellEnd"/>
      <w:r>
        <w:t xml:space="preserve"> עם קופל </w:t>
      </w:r>
      <w:proofErr w:type="spellStart"/>
      <w:r>
        <w:t>וולפרט</w:t>
      </w:r>
      <w:proofErr w:type="spellEnd"/>
      <w:r>
        <w:t xml:space="preserve"> – </w:t>
      </w:r>
      <w:proofErr w:type="spellStart"/>
      <w:r>
        <w:t>בסלבודקה</w:t>
      </w:r>
      <w:proofErr w:type="spellEnd"/>
      <w:r>
        <w:t xml:space="preserve"> החכמה קודמת ליראת שמים – גדולים רואים בחכמה תנאי יסודי</w:t>
      </w:r>
    </w:p>
    <w:p w14:paraId="1AAB24E2" w14:textId="77777777" w:rsidR="00AB3647" w:rsidRDefault="00000000" w:rsidP="007923E9">
      <w:pPr>
        <w:spacing w:after="120" w:line="276" w:lineRule="auto"/>
        <w:ind w:firstLine="283"/>
        <w:jc w:val="both"/>
      </w:pPr>
      <w:r>
        <w:rPr>
          <w:rtl/>
        </w:rPr>
        <w:t>הפרק השמיני בספרו של כץ, “תנועת המוסר”, כרך ה</w:t>
      </w:r>
      <w:bookmarkStart w:id="3970" w:name="_fnr3018"/>
      <w:r>
        <w:rPr>
          <w:rStyle w:val="a5"/>
        </w:rPr>
        <w:footnoteReference w:id="3026" w:customMarkFollows="0"/>
      </w:r>
      <w:bookmarkEnd w:id="3970"/>
      <w:r>
        <w:rPr>
          <w:rtl/>
        </w:rPr>
        <w:t xml:space="preserve">, מוקדש לרב </w:t>
      </w:r>
      <w:proofErr w:type="spellStart"/>
      <w:r>
        <w:rPr>
          <w:rtl/>
        </w:rPr>
        <w:t>דולינסקי</w:t>
      </w:r>
      <w:proofErr w:type="spellEnd"/>
      <w:r>
        <w:rPr>
          <w:rtl/>
        </w:rPr>
        <w:t xml:space="preserve">. הפרק מביא דוגמאות של מוסר מוועדיו, ומסתיים בהספד פיוטי שפרסם בוגר </w:t>
      </w:r>
      <w:proofErr w:type="spellStart"/>
      <w:r>
        <w:rPr>
          <w:rtl/>
        </w:rPr>
        <w:t>סלבודקה</w:t>
      </w:r>
      <w:proofErr w:type="spellEnd"/>
      <w:r>
        <w:rPr>
          <w:rtl/>
        </w:rPr>
        <w:t xml:space="preserve"> ר׳ </w:t>
      </w:r>
      <w:proofErr w:type="spellStart"/>
      <w:r>
        <w:rPr>
          <w:rtl/>
        </w:rPr>
        <w:t>יחיאל־יעקב</w:t>
      </w:r>
      <w:proofErr w:type="spellEnd"/>
      <w:r>
        <w:rPr>
          <w:rtl/>
        </w:rPr>
        <w:t xml:space="preserve"> ויינברג, גאון בעל כישרונות יוצאי דופן ורב־גוניים (לימים מחבר שו״ת “שרידי אש” </w:t>
      </w:r>
      <w:proofErr w:type="spellStart"/>
      <w:r>
        <w:rPr>
          <w:rtl/>
        </w:rPr>
        <w:t>ו“לפרקים</w:t>
      </w:r>
      <w:proofErr w:type="spellEnd"/>
      <w:r>
        <w:rPr>
          <w:rtl/>
        </w:rPr>
        <w:t xml:space="preserve">”). וכך הוא מתאר את הרב </w:t>
      </w:r>
      <w:proofErr w:type="spellStart"/>
      <w:r>
        <w:rPr>
          <w:rtl/>
        </w:rPr>
        <w:t>דולינסקי</w:t>
      </w:r>
      <w:proofErr w:type="spellEnd"/>
      <w:r>
        <w:rPr>
          <w:rtl/>
        </w:rPr>
        <w:t>: “להבה בוערת; בלפיד השזור וארוג מעורקי ליבו הבוער, הדליק את הנר בלבבות הנערים.”</w:t>
      </w:r>
    </w:p>
    <w:p w14:paraId="32B2B277" w14:textId="77777777" w:rsidR="00AB3647" w:rsidRDefault="00000000" w:rsidP="007923E9">
      <w:pPr>
        <w:spacing w:after="120" w:line="276" w:lineRule="auto"/>
        <w:ind w:firstLine="283"/>
        <w:jc w:val="both"/>
      </w:pPr>
      <w:r>
        <w:rPr>
          <w:rtl/>
        </w:rPr>
        <w:t xml:space="preserve">ר׳ קופל </w:t>
      </w:r>
      <w:proofErr w:type="spellStart"/>
      <w:r>
        <w:rPr>
          <w:rtl/>
        </w:rPr>
        <w:t>וולפרט</w:t>
      </w:r>
      <w:bookmarkStart w:id="3971" w:name="_fnr3019"/>
      <w:proofErr w:type="spellEnd"/>
      <w:r>
        <w:rPr>
          <w:rStyle w:val="a5"/>
        </w:rPr>
        <w:footnoteReference w:id="3027" w:customMarkFollows="0"/>
      </w:r>
      <w:bookmarkEnd w:id="3971"/>
      <w:r>
        <w:rPr>
          <w:rtl/>
        </w:rPr>
        <w:t xml:space="preserve"> סיפר סיפור מעניין המאפיין את האיש יוצא הדופן הזה. פעם נסע ר׳ קופל </w:t>
      </w:r>
      <w:proofErr w:type="spellStart"/>
      <w:r>
        <w:rPr>
          <w:rtl/>
        </w:rPr>
        <w:t>לקלם</w:t>
      </w:r>
      <w:proofErr w:type="spellEnd"/>
      <w:r>
        <w:rPr>
          <w:rtl/>
        </w:rPr>
        <w:t xml:space="preserve"> באותה רכבת עם ר׳ זלמן – ר׳ קופל התגורר </w:t>
      </w:r>
      <w:proofErr w:type="spellStart"/>
      <w:r>
        <w:rPr>
          <w:rtl/>
        </w:rPr>
        <w:t>בקלם</w:t>
      </w:r>
      <w:proofErr w:type="spellEnd"/>
      <w:r>
        <w:rPr>
          <w:rtl/>
        </w:rPr>
        <w:t xml:space="preserve">, ולחמותו של הרב </w:t>
      </w:r>
      <w:proofErr w:type="spellStart"/>
      <w:r>
        <w:rPr>
          <w:rtl/>
        </w:rPr>
        <w:t>דולינסקי</w:t>
      </w:r>
      <w:proofErr w:type="spellEnd"/>
      <w:r>
        <w:rPr>
          <w:rtl/>
        </w:rPr>
        <w:t xml:space="preserve"> הייתה שם אכסניה. בתחילת הנסיעה שאל אותו הרב </w:t>
      </w:r>
      <w:proofErr w:type="spellStart"/>
      <w:r>
        <w:rPr>
          <w:rtl/>
        </w:rPr>
        <w:t>דולינסקי</w:t>
      </w:r>
      <w:proofErr w:type="spellEnd"/>
      <w:r>
        <w:rPr>
          <w:rtl/>
        </w:rPr>
        <w:t>: “מה עדיף: חכם או ירא שמים [</w:t>
      </w:r>
      <w:proofErr w:type="spellStart"/>
      <w:r>
        <w:rPr>
          <w:rtl/>
        </w:rPr>
        <w:t>קלוג</w:t>
      </w:r>
      <w:proofErr w:type="spellEnd"/>
      <w:r>
        <w:rPr>
          <w:rtl/>
        </w:rPr>
        <w:t xml:space="preserve"> צי פרום]?” קופל הצעיר, שהיה אז בן </w:t>
      </w:r>
      <w:proofErr w:type="spellStart"/>
      <w:r>
        <w:rPr>
          <w:rtl/>
        </w:rPr>
        <w:t>חמש־עשרה</w:t>
      </w:r>
      <w:proofErr w:type="spellEnd"/>
      <w:r>
        <w:rPr>
          <w:rtl/>
        </w:rPr>
        <w:t xml:space="preserve">, ניסה להתחמק מתשובה ואמר ששניהם חשובים. אמר לו הרב </w:t>
      </w:r>
      <w:proofErr w:type="spellStart"/>
      <w:r>
        <w:rPr>
          <w:rtl/>
        </w:rPr>
        <w:t>דולינסקי</w:t>
      </w:r>
      <w:proofErr w:type="spellEnd"/>
      <w:r>
        <w:rPr>
          <w:rtl/>
        </w:rPr>
        <w:t>: “אתה מזכיר לי את הילד העונה כך כששואלים אותו מי מהוריו חביב עליו יותר. ציפיתי ממך לתשובה טובה יותר.”</w:t>
      </w:r>
    </w:p>
    <w:p w14:paraId="0C755A32" w14:textId="77777777" w:rsidR="00AB3647" w:rsidRDefault="00000000" w:rsidP="007923E9">
      <w:pPr>
        <w:spacing w:after="120" w:line="276" w:lineRule="auto"/>
        <w:ind w:firstLine="283"/>
        <w:jc w:val="both"/>
      </w:pPr>
      <w:r>
        <w:rPr>
          <w:rtl/>
        </w:rPr>
        <w:lastRenderedPageBreak/>
        <w:t xml:space="preserve">ככל שהתקדמה הנסיעה נהג ר׳ זלמן באופן </w:t>
      </w:r>
      <w:proofErr w:type="spellStart"/>
      <w:r>
        <w:rPr>
          <w:rtl/>
        </w:rPr>
        <w:t>שוולפרט</w:t>
      </w:r>
      <w:proofErr w:type="spellEnd"/>
      <w:r>
        <w:rPr>
          <w:rtl/>
        </w:rPr>
        <w:t xml:space="preserve"> חש שאינו הולם בן תורה: תחילה שוחח על ספרות רוסית עם אב ובתו שאינם דתיים, ואחר כך שר יחד עם כמה חיילים רוסים שיכורים שעלו לרכבת. קופל, כמובן, שמר את ביקורתו על ר׳ זלמן לעצמו.</w:t>
      </w:r>
    </w:p>
    <w:p w14:paraId="0D11F746" w14:textId="77777777" w:rsidR="00AB3647" w:rsidRDefault="00000000" w:rsidP="007923E9">
      <w:pPr>
        <w:spacing w:after="120" w:line="276" w:lineRule="auto"/>
        <w:ind w:firstLine="283"/>
        <w:jc w:val="both"/>
      </w:pPr>
      <w:r>
        <w:rPr>
          <w:rtl/>
        </w:rPr>
        <w:t xml:space="preserve">אך כשהגיעו </w:t>
      </w:r>
      <w:proofErr w:type="spellStart"/>
      <w:r>
        <w:rPr>
          <w:rtl/>
        </w:rPr>
        <w:t>לקלם</w:t>
      </w:r>
      <w:proofErr w:type="spellEnd"/>
      <w:r>
        <w:rPr>
          <w:rtl/>
        </w:rPr>
        <w:t xml:space="preserve"> וישבו לסעוד </w:t>
      </w:r>
      <w:proofErr w:type="spellStart"/>
      <w:r>
        <w:rPr>
          <w:rtl/>
        </w:rPr>
        <w:t>באכסניה</w:t>
      </w:r>
      <w:proofErr w:type="spellEnd"/>
      <w:r>
        <w:rPr>
          <w:rtl/>
        </w:rPr>
        <w:t xml:space="preserve"> – ר׳ אליהו </w:t>
      </w:r>
      <w:proofErr w:type="spellStart"/>
      <w:r>
        <w:rPr>
          <w:rtl/>
        </w:rPr>
        <w:t>לופיאן</w:t>
      </w:r>
      <w:proofErr w:type="spellEnd"/>
      <w:r>
        <w:rPr>
          <w:rtl/>
        </w:rPr>
        <w:t xml:space="preserve">, שהיה אז </w:t>
      </w:r>
      <w:proofErr w:type="spellStart"/>
      <w:r>
        <w:rPr>
          <w:rtl/>
        </w:rPr>
        <w:t>בקלם</w:t>
      </w:r>
      <w:proofErr w:type="spellEnd"/>
      <w:r>
        <w:rPr>
          <w:rtl/>
        </w:rPr>
        <w:t xml:space="preserve">, נזדמן להיות השלישי במזומן שלהם – פתח ר׳ זלמן, כאילו קרא את מחשבותיו של בן לווייתו הצעיר, והסביר מדוע נהג ברכבת כפי שנהג. הוא נאלץ לפייס את האב ובתו הלא־דתיים</w:t>
      </w:r>
      <w:proofErr w:type="spellStart"/>
      <w:r>
        <w:rPr>
          <w:rtl/>
        </w:rPr>
        <w:t xml:space="preserve"/>
      </w:r>
      <w:proofErr w:type="spellEnd"/>
      <w:r>
        <w:rPr>
          <w:rtl/>
        </w:rPr>
        <w:t>, כדי ליישר את ההדורים אחרי שאילץ את האב לצמצם את מקום ישיבתו בנסיעה הארוכה, כדי שיהיה מקום לשבת גם לו. והיה עליו לוודא שהשיכורים לא יחליטו להתנפל על שני היהודים הדתיים בעליל, עליו ועל בן לווייתו הצעיר. ר׳ זלמן סיכם בניצחון: “עכשיו, משידעת מדוע נהגתי כפי שנהגתי, מצאת גם את התשובה לשאלה ששאלתי בתחילת נסיעתנו. צריך להיות חכם כדי להיות פרום [ירא שמים].”</w:t>
      </w:r>
    </w:p>
    <w:p w14:paraId="0547FA5F" w14:textId="77777777" w:rsidR="00AB3647" w:rsidRDefault="00000000" w:rsidP="007923E9">
      <w:pPr>
        <w:spacing w:after="120" w:line="276" w:lineRule="auto"/>
        <w:ind w:firstLine="283"/>
        <w:jc w:val="both"/>
      </w:pPr>
      <w:r>
        <w:rPr>
          <w:rtl/>
        </w:rPr>
        <w:t>רעיון זה הוא אחד מעקרונות היסוד של המוסר, ופרק</w:t>
      </w:r>
      <w:bookmarkStart w:id="3972" w:name="_fnr3020"/>
      <w:r>
        <w:rPr>
          <w:rStyle w:val="a5"/>
        </w:rPr>
        <w:footnoteReference w:id="3028" w:customMarkFollows="0"/>
      </w:r>
      <w:bookmarkEnd w:id="3972"/>
      <w:r>
        <w:rPr>
          <w:rtl/>
        </w:rPr>
        <w:t xml:space="preserve"> </w:t>
      </w:r>
      <w:proofErr w:type="spellStart"/>
      <w:r>
        <w:rPr>
          <w:rtl/>
        </w:rPr>
        <w:t>ב“מסילת</w:t>
      </w:r>
      <w:proofErr w:type="spellEnd"/>
      <w:r>
        <w:rPr>
          <w:rtl/>
        </w:rPr>
        <w:t xml:space="preserve"> ישרים” מוקדש לו</w:t>
      </w:r>
      <w:bookmarkStart w:id="3973" w:name="_fnr3021"/>
      <w:r>
        <w:rPr>
          <w:rStyle w:val="a5"/>
        </w:rPr>
        <w:footnoteReference w:id="3029" w:customMarkFollows="0"/>
      </w:r>
      <w:bookmarkEnd w:id="3973"/>
      <w:r>
        <w:rPr>
          <w:rtl/>
        </w:rPr>
        <w:t xml:space="preserve">. וריאציה על נושא זה מצויה </w:t>
      </w:r>
      <w:proofErr w:type="spellStart"/>
      <w:r>
        <w:rPr>
          <w:rtl/>
        </w:rPr>
        <w:t>ב“יתד</w:t>
      </w:r>
      <w:proofErr w:type="spellEnd"/>
      <w:r>
        <w:rPr>
          <w:rtl/>
        </w:rPr>
        <w:t xml:space="preserve"> נאמן”</w:t>
      </w:r>
      <w:bookmarkStart w:id="3974" w:name="_fnr3022"/>
      <w:r>
        <w:rPr>
          <w:rStyle w:val="a5"/>
        </w:rPr>
        <w:footnoteReference w:id="3030" w:customMarkFollows="0"/>
      </w:r>
      <w:bookmarkEnd w:id="3974"/>
      <w:r>
        <w:rPr>
          <w:rtl/>
        </w:rPr>
        <w:t>, במאמר “</w:t>
      </w:r>
      <w:proofErr w:type="spellStart"/>
      <w:r>
        <w:rPr>
          <w:rtl/>
        </w:rPr>
        <w:t>מזכרונותיו</w:t>
      </w:r>
      <w:proofErr w:type="spellEnd"/>
      <w:r>
        <w:rPr>
          <w:rtl/>
        </w:rPr>
        <w:t xml:space="preserve"> של רבי בנימין </w:t>
      </w:r>
      <w:proofErr w:type="spellStart"/>
      <w:r>
        <w:rPr>
          <w:rtl/>
        </w:rPr>
        <w:t>גרודקה</w:t>
      </w:r>
      <w:proofErr w:type="spellEnd"/>
      <w:r>
        <w:rPr>
          <w:rtl/>
        </w:rPr>
        <w:t xml:space="preserve">”. שם מובאים דברי ר׳ </w:t>
      </w:r>
      <w:proofErr w:type="spellStart"/>
      <w:r>
        <w:rPr>
          <w:rtl/>
        </w:rPr>
        <w:t>יהודה־לייב</w:t>
      </w:r>
      <w:proofErr w:type="spellEnd"/>
      <w:r>
        <w:rPr>
          <w:rtl/>
        </w:rPr>
        <w:t xml:space="preserve"> ברנשטיין, רבה האחרון של </w:t>
      </w:r>
      <w:proofErr w:type="spellStart"/>
      <w:r>
        <w:rPr>
          <w:rtl/>
        </w:rPr>
        <w:t>בירז</w:t>
      </w:r>
      <w:proofErr w:type="spellEnd"/>
      <w:r>
        <w:rPr>
          <w:rtl/>
        </w:rPr>
        <w:t xml:space="preserve">׳, שנהרג על קידוש השם, שאמר בשם הסבא: “תחילה היה מענטש [אדם], ואחר כך </w:t>
      </w:r>
      <w:proofErr w:type="spellStart"/>
      <w:r>
        <w:rPr>
          <w:rtl/>
        </w:rPr>
        <w:t>פרומער</w:t>
      </w:r>
      <w:proofErr w:type="spellEnd"/>
      <w:r>
        <w:rPr>
          <w:rtl/>
        </w:rPr>
        <w:t xml:space="preserve"> [ירא שמים].” ר׳ </w:t>
      </w:r>
      <w:proofErr w:type="spellStart"/>
      <w:r>
        <w:rPr>
          <w:rtl/>
        </w:rPr>
        <w:t>יהודה־לייב</w:t>
      </w:r>
      <w:proofErr w:type="spellEnd"/>
      <w:r>
        <w:rPr>
          <w:rtl/>
        </w:rPr>
        <w:t xml:space="preserve"> נולד </w:t>
      </w:r>
      <w:proofErr w:type="spellStart"/>
      <w:r>
        <w:rPr>
          <w:rtl/>
        </w:rPr>
        <w:t>בתרמ״ז</w:t>
      </w:r>
      <w:proofErr w:type="spellEnd"/>
      <w:r>
        <w:rPr>
          <w:rtl/>
        </w:rPr>
        <w:t xml:space="preserve">, </w:t>
      </w:r>
      <w:proofErr w:type="spellStart"/>
      <w:r>
        <w:rPr>
          <w:rtl/>
        </w:rPr>
        <w:t>ובסלבודקה</w:t>
      </w:r>
      <w:proofErr w:type="spellEnd"/>
      <w:r>
        <w:rPr>
          <w:rtl/>
        </w:rPr>
        <w:t xml:space="preserve">, שם היה מקורב מאוד לסבא, נודע כמוטל </w:t>
      </w:r>
      <w:proofErr w:type="spellStart"/>
      <w:r>
        <w:rPr>
          <w:rtl/>
        </w:rPr>
        <w:t>מינסקער</w:t>
      </w:r>
      <w:proofErr w:type="spellEnd"/>
      <w:r>
        <w:rPr>
          <w:rtl/>
        </w:rPr>
        <w:t>.</w:t>
      </w:r>
    </w:p>
    <w:p w14:paraId="355CBBFF" w14:textId="77777777" w:rsidR="00AB3647" w:rsidRDefault="00000000" w:rsidP="007923E9">
      <w:pPr>
        <w:spacing w:after="120" w:line="276" w:lineRule="auto"/>
        <w:ind w:firstLine="283"/>
        <w:jc w:val="both"/>
      </w:pPr>
      <w:r>
        <w:rPr>
          <w:rtl/>
        </w:rPr>
        <w:t xml:space="preserve">ר׳ </w:t>
      </w:r>
      <w:proofErr w:type="spellStart"/>
      <w:r>
        <w:rPr>
          <w:rtl/>
        </w:rPr>
        <w:t>הירשל</w:t>
      </w:r>
      <w:proofErr w:type="spellEnd"/>
      <w:r>
        <w:rPr>
          <w:rtl/>
        </w:rPr>
        <w:t xml:space="preserve"> פריד סיפר</w:t>
      </w:r>
      <w:bookmarkStart w:id="3975" w:name="_fnr3023"/>
      <w:r>
        <w:rPr>
          <w:rStyle w:val="a5"/>
        </w:rPr>
        <w:footnoteReference w:id="3031" w:customMarkFollows="0"/>
      </w:r>
      <w:bookmarkEnd w:id="3975"/>
      <w:r>
        <w:rPr>
          <w:rtl/>
        </w:rPr>
        <w:t xml:space="preserve"> שאבי אמר לו כי בביקורו בארץ ישראל </w:t>
      </w:r>
      <w:proofErr w:type="spellStart"/>
      <w:r>
        <w:rPr>
          <w:rtl/>
        </w:rPr>
        <w:t>בתשמ״ב</w:t>
      </w:r>
      <w:proofErr w:type="spellEnd"/>
      <w:r>
        <w:rPr>
          <w:rtl/>
        </w:rPr>
        <w:t xml:space="preserve"> – ביקורו האחרון – פגש חבר מימי החדר, ששאל שאלה מעניינת: “כשהייתי בן </w:t>
      </w:r>
      <w:proofErr w:type="spellStart"/>
      <w:r>
        <w:rPr>
          <w:rtl/>
        </w:rPr>
        <w:t>אחת־עשרה</w:t>
      </w:r>
      <w:proofErr w:type="spellEnd"/>
      <w:r>
        <w:rPr>
          <w:rtl/>
        </w:rPr>
        <w:t xml:space="preserve"> ואתה היית בן עשר, הייתי פרום יותר ממך. היו לי פאות ארוכות משלך, והתפללתי </w:t>
      </w:r>
      <w:proofErr w:type="spellStart"/>
      <w:r>
        <w:rPr>
          <w:rtl/>
        </w:rPr>
        <w:t>בגארטל</w:t>
      </w:r>
      <w:proofErr w:type="spellEnd"/>
      <w:r>
        <w:rPr>
          <w:rtl/>
        </w:rPr>
        <w:t xml:space="preserve"> ואתה לא. ואף על פי כן איני שומר שבת לגמרי כיום, ואילו אתה כן. כיצד קרה הדבר?” התשובה שקיבל הייתה: “זה פשוט: אתה היית יותר פרום, אבל אני הייתי יותר חכם.”</w:t>
      </w:r>
    </w:p>
    <w:p w14:paraId="41A4E2EE" w14:textId="77777777" w:rsidR="00AB3647" w:rsidRDefault="00000000" w:rsidP="007923E9">
      <w:pPr>
        <w:spacing w:after="120" w:line="276" w:lineRule="auto"/>
        <w:ind w:firstLine="283"/>
        <w:jc w:val="both"/>
      </w:pPr>
      <w:r>
        <w:rPr>
          <w:rtl/>
        </w:rPr>
        <w:t>השווה גם כץ, “תנועת המוסר”, כרך ג</w:t>
      </w:r>
      <w:bookmarkStart w:id="3976" w:name="_fnr3024"/>
      <w:r>
        <w:rPr>
          <w:rStyle w:val="a5"/>
        </w:rPr>
        <w:footnoteReference w:id="3032" w:customMarkFollows="0"/>
      </w:r>
      <w:bookmarkEnd w:id="3976"/>
      <w:r>
        <w:rPr>
          <w:rtl/>
        </w:rPr>
        <w:t xml:space="preserve">, המספר שכאשר באו כמה משכילים לישיבה ושאלו את הסבא מה חידושו, אמר להם: “מען </w:t>
      </w:r>
      <w:proofErr w:type="spellStart"/>
      <w:r>
        <w:rPr>
          <w:rtl/>
        </w:rPr>
        <w:t>זאל</w:t>
      </w:r>
      <w:proofErr w:type="spellEnd"/>
      <w:r>
        <w:rPr>
          <w:rtl/>
        </w:rPr>
        <w:t xml:space="preserve"> זיין </w:t>
      </w:r>
      <w:proofErr w:type="spellStart"/>
      <w:r>
        <w:rPr>
          <w:rtl/>
        </w:rPr>
        <w:t>קלוג</w:t>
      </w:r>
      <w:proofErr w:type="spellEnd"/>
      <w:r>
        <w:rPr>
          <w:rtl/>
        </w:rPr>
        <w:t xml:space="preserve"> און </w:t>
      </w:r>
      <w:proofErr w:type="spellStart"/>
      <w:r>
        <w:rPr>
          <w:rtl/>
        </w:rPr>
        <w:t>גוט</w:t>
      </w:r>
      <w:proofErr w:type="spellEnd"/>
      <w:r>
        <w:rPr>
          <w:rtl/>
        </w:rPr>
        <w:t xml:space="preserve"> [שיהיו חכמים וטובים]”. בהזדמנות אחרת אמר שמטרתו “להפוך כסילים לחכמים, עמי ארצות ללמדנים, וחסרי דרך ארץ לבני תרבות”. תמיד העמיד את החכמה בראש מעייניו.</w:t>
      </w:r>
    </w:p>
    <w:p w14:paraId="6DA28E43" w14:textId="77777777" w:rsidR="00AB3647" w:rsidRDefault="00000000" w:rsidP="007923E9">
      <w:pPr>
        <w:spacing w:after="120" w:line="276" w:lineRule="auto"/>
        <w:ind w:firstLine="283"/>
        <w:jc w:val="both"/>
      </w:pPr>
      <w:r>
        <w:rPr>
          <w:rtl/>
        </w:rPr>
        <w:t xml:space="preserve">האדמו״ר ר׳ </w:t>
      </w:r>
      <w:proofErr w:type="spellStart"/>
      <w:r>
        <w:rPr>
          <w:rtl/>
        </w:rPr>
        <w:t>יחזקאל־שרגא</w:t>
      </w:r>
      <w:proofErr w:type="spellEnd"/>
      <w:r>
        <w:rPr>
          <w:rtl/>
        </w:rPr>
        <w:t xml:space="preserve"> </w:t>
      </w:r>
      <w:proofErr w:type="spellStart"/>
      <w:r>
        <w:rPr>
          <w:rtl/>
        </w:rPr>
        <w:t>הלברשטם</w:t>
      </w:r>
      <w:proofErr w:type="spellEnd"/>
      <w:r>
        <w:rPr>
          <w:rtl/>
        </w:rPr>
        <w:t xml:space="preserve">, רבה של </w:t>
      </w:r>
      <w:proofErr w:type="spellStart"/>
      <w:r>
        <w:rPr>
          <w:rtl/>
        </w:rPr>
        <w:t>שינאווא</w:t>
      </w:r>
      <w:proofErr w:type="spellEnd"/>
      <w:r>
        <w:rPr>
          <w:rtl/>
        </w:rPr>
        <w:t xml:space="preserve">, אמר שעל יהודי להיות טוב, ירא שמים וחכם: טוב כמידת החסד של אברהם אבינו, ירא שמים כמידת הגבורה של יצחק אבינו, </w:t>
      </w:r>
      <w:r>
        <w:rPr>
          <w:rtl/>
        </w:rPr>
        <w:lastRenderedPageBreak/>
        <w:t xml:space="preserve">וחכם כדי לדעת כיצד ליישב את שני ההפכים – וזוהי מידת התפארת של יעקב אבינו. בעיקרו של דבר זו גישת המוסר עצמה, אלא </w:t>
      </w:r>
      <w:r>
        <w:rPr>
          <w:b/>
          <w:bCs/>
          <w:rtl/>
        </w:rPr>
        <w:t>בסדר שונה</w:t>
      </w:r>
      <w:bookmarkStart w:id="3977" w:name="_fnr3025"/>
      <w:r>
        <w:rPr>
          <w:rStyle w:val="a5"/>
        </w:rPr>
        <w:footnoteReference w:id="3033" w:customMarkFollows="0"/>
      </w:r>
      <w:bookmarkEnd w:id="3977"/>
      <w:r>
        <w:rPr>
          <w:rtl/>
        </w:rPr>
        <w:t>.</w:t>
      </w:r>
    </w:p>
    <w:p w14:paraId="10389D53" w14:textId="77777777" w:rsidR="00AB3647" w:rsidRDefault="00000000" w:rsidP="007923E9">
      <w:pPr>
        <w:spacing w:after="120" w:line="276" w:lineRule="auto"/>
        <w:ind w:firstLine="283"/>
        <w:jc w:val="both"/>
      </w:pPr>
      <w:r>
        <w:rPr>
          <w:rtl/>
        </w:rPr>
        <w:t xml:space="preserve">השווה גם מאמר הזיכרון במלאות חמישים שנה לפטירת ר׳ דוד </w:t>
      </w:r>
      <w:proofErr w:type="spellStart"/>
      <w:r>
        <w:rPr>
          <w:rtl/>
        </w:rPr>
        <w:t>ליבוביץ</w:t>
      </w:r>
      <w:bookmarkStart w:id="3978" w:name="_fnr3026"/>
      <w:proofErr w:type="spellEnd"/>
      <w:r>
        <w:rPr>
          <w:rStyle w:val="a5"/>
        </w:rPr>
        <w:footnoteReference w:id="3034" w:customMarkFollows="0"/>
      </w:r>
      <w:bookmarkEnd w:id="3978"/>
      <w:r>
        <w:rPr>
          <w:rtl/>
        </w:rPr>
        <w:t xml:space="preserve">, מאת ר׳ יצחק </w:t>
      </w:r>
      <w:proofErr w:type="spellStart"/>
      <w:r>
        <w:rPr>
          <w:rtl/>
        </w:rPr>
        <w:t>ברנדריס</w:t>
      </w:r>
      <w:proofErr w:type="spellEnd"/>
      <w:r>
        <w:rPr>
          <w:rtl/>
        </w:rPr>
        <w:t xml:space="preserve"> </w:t>
      </w:r>
      <w:proofErr w:type="spellStart"/>
      <w:r>
        <w:rPr>
          <w:rtl/>
        </w:rPr>
        <w:t>בג׳ואיש</w:t>
      </w:r>
      <w:proofErr w:type="spellEnd"/>
      <w:r>
        <w:rPr>
          <w:rtl/>
        </w:rPr>
        <w:t xml:space="preserve"> </w:t>
      </w:r>
      <w:proofErr w:type="spellStart"/>
      <w:r>
        <w:rPr>
          <w:rtl/>
        </w:rPr>
        <w:t>אובזרבר</w:t>
      </w:r>
      <w:bookmarkStart w:id="3979" w:name="_fnr3027"/>
      <w:proofErr w:type="spellEnd"/>
      <w:r>
        <w:rPr>
          <w:rStyle w:val="a5"/>
        </w:rPr>
        <w:footnoteReference w:id="3035" w:customMarkFollows="0"/>
      </w:r>
      <w:bookmarkEnd w:id="3979"/>
      <w:r>
        <w:rPr>
          <w:rtl/>
        </w:rPr>
        <w:t>. המאמר מספר</w:t>
      </w:r>
      <w:bookmarkStart w:id="3980" w:name="_fnr3028"/>
      <w:r>
        <w:rPr>
          <w:rStyle w:val="a5"/>
        </w:rPr>
        <w:footnoteReference w:id="3036" w:customMarkFollows="0"/>
      </w:r>
      <w:bookmarkEnd w:id="3980"/>
      <w:r>
        <w:rPr>
          <w:rtl/>
        </w:rPr>
        <w:t xml:space="preserve"> על ויכוח בין ר׳ דוד לבין </w:t>
      </w:r>
      <w:proofErr w:type="spellStart"/>
      <w:r>
        <w:rPr>
          <w:rtl/>
        </w:rPr>
        <w:t>בר־פלוגתו</w:t>
      </w:r>
      <w:proofErr w:type="spellEnd"/>
      <w:r>
        <w:rPr>
          <w:rtl/>
        </w:rPr>
        <w:t xml:space="preserve"> על סדר הקדימה בין טוּב ליראת שמים, ומביא את דברי ר׳ </w:t>
      </w:r>
      <w:proofErr w:type="spellStart"/>
      <w:r>
        <w:rPr>
          <w:rtl/>
        </w:rPr>
        <w:t>מנחם־מנדל</w:t>
      </w:r>
      <w:proofErr w:type="spellEnd"/>
      <w:r>
        <w:rPr>
          <w:rtl/>
        </w:rPr>
        <w:t xml:space="preserve"> מורגנשטרן, הרבי </w:t>
      </w:r>
      <w:proofErr w:type="spellStart"/>
      <w:r>
        <w:rPr>
          <w:rtl/>
        </w:rPr>
        <w:t>מקוצק</w:t>
      </w:r>
      <w:proofErr w:type="spellEnd"/>
      <w:r>
        <w:rPr>
          <w:rtl/>
        </w:rPr>
        <w:t xml:space="preserve">, שהוסיף את המידה השלישית, חכמה – וככל הנראה באותו סדר שבו מנה אותן הרב </w:t>
      </w:r>
      <w:proofErr w:type="spellStart"/>
      <w:r>
        <w:rPr>
          <w:rtl/>
        </w:rPr>
        <w:t>משינאווא</w:t>
      </w:r>
      <w:proofErr w:type="spellEnd"/>
      <w:r>
        <w:rPr>
          <w:rtl/>
        </w:rPr>
        <w:t>. השווה גם “כל כתבי החפץ חיים”</w:t>
      </w:r>
      <w:bookmarkStart w:id="3981" w:name="_fnr3029"/>
      <w:r>
        <w:rPr>
          <w:rStyle w:val="a5"/>
        </w:rPr>
        <w:footnoteReference w:id="3037" w:customMarkFollows="0"/>
      </w:r>
      <w:bookmarkEnd w:id="3981"/>
      <w:r>
        <w:rPr>
          <w:rtl/>
        </w:rPr>
        <w:t xml:space="preserve">, המביא אמרה של </w:t>
      </w:r>
      <w:proofErr w:type="spellStart"/>
      <w:r>
        <w:rPr>
          <w:rtl/>
        </w:rPr>
        <w:t>החפץ־חיים</w:t>
      </w:r>
      <w:proofErr w:type="spellEnd"/>
      <w:r>
        <w:rPr>
          <w:rtl/>
        </w:rPr>
        <w:t>: “על אדם להיות ירא שמים, טוב וחכם” – סדר השונה הן מזה של בעלי המוסר הן מזה של האדמו״רים החסידיים</w:t>
      </w:r>
      <w:bookmarkStart w:id="3982" w:name="_fnr3030"/>
      <w:r>
        <w:rPr>
          <w:rStyle w:val="a5"/>
        </w:rPr>
        <w:footnoteReference w:id="3038" w:customMarkFollows="0"/>
      </w:r>
      <w:bookmarkEnd w:id="3982"/>
      <w:r>
        <w:rPr>
          <w:rtl/>
        </w:rPr>
        <w:t>.</w:t>
      </w:r>
    </w:p>
    <w:p w14:paraId="66F82BBA" w14:textId="77777777" w:rsidR="00AB3647" w:rsidRDefault="00AB3647" w:rsidP="007923E9">
      <w:pPr>
        <w:spacing w:line="276" w:lineRule="auto"/>
        <w:sectPr w:rsidR="00AB3647">
          <w:footerReference w:type="default" r:id="rId14"/>
          <w:footnotePr>
            <w:pos w:val="pageBottom"/>
            <w:numRestart w:val="eachSect"/>
          </w:footnotePr>
          <w:pgSz w:w="9638" w:h="13606"/>
          <w:pgMar w:top="1134" w:right="1077" w:bottom="1134" w:left="1077" w:header="567" w:footer="567" w:gutter="0"/>
          <w:cols w:space="720"/>
          <w:bidi/>
          <w:docGrid w:linePitch="360"/>
        </w:sectPr>
      </w:pPr>
    </w:p>
    <w:p w14:paraId="59B26FB6" w14:textId="77777777" w:rsidR="00AB3647" w:rsidRDefault="00000000" w:rsidP="007923E9">
      <w:pPr>
        <w:pStyle w:val="ae"/>
        <w:spacing w:after="160" w:line="276" w:lineRule="auto"/>
      </w:pPr>
      <w:bookmarkStart w:id="3983" w:name="b4_chapter"/>
      <w:r>
        <w:lastRenderedPageBreak/>
        <w:t>פרק רביעי</w:t>
      </w:r>
      <w:bookmarkEnd w:id="3983"/>
    </w:p>
    <w:p w14:paraId="2D747D99" w14:textId="77777777" w:rsidR="00AB3647" w:rsidRDefault="00000000" w:rsidP="007923E9">
      <w:pPr>
        <w:pStyle w:val="1"/>
        <w:spacing w:after="160" w:line="276" w:lineRule="auto"/>
      </w:pPr>
      <w:r>
        <w:t xml:space="preserve">העשור השני – ג: ישיבת </w:t>
      </w:r>
      <w:proofErr w:type="spellStart"/>
      <w:r>
        <w:t>סלבודקה</w:t>
      </w:r>
      <w:proofErr w:type="spellEnd"/>
    </w:p>
    <w:p w14:paraId="6903204F" w14:textId="77777777" w:rsidR="00AB3647" w:rsidRDefault="00000000" w:rsidP="007923E9">
      <w:pPr>
        <w:pStyle w:val="2"/>
        <w:spacing w:after="160" w:line="276" w:lineRule="auto"/>
      </w:pPr>
      <w:bookmarkStart w:id="3984" w:name="b4_notes"/>
      <w:r>
        <w:rPr>
          <w:sz w:val="36"/>
          <w:szCs w:val="36"/>
        </w:rPr>
        <w:t>הסיפור וההערות</w:t>
      </w:r>
      <w:bookmarkEnd w:id="3984"/>
    </w:p>
    <w:p w14:paraId="37FB6CB6" w14:textId="77777777" w:rsidR="00AB3647" w:rsidRDefault="00000000" w:rsidP="007923E9">
      <w:pPr>
        <w:pStyle w:val="2"/>
        <w:spacing w:after="160" w:line="276" w:lineRule="auto"/>
      </w:pPr>
      <w:bookmarkStart w:id="3985" w:name="b4_sec1"/>
      <w:r>
        <w:rPr>
          <w:sz w:val="26"/>
          <w:szCs w:val="26"/>
        </w:rPr>
        <w:t>1.</w:t>
      </w:r>
      <w:bookmarkEnd w:id="3985"/>
    </w:p>
    <w:p w14:paraId="43865F2E" w14:textId="5362111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אף שכל היום עסק בעשרות תלמידים, נשאר הסבא </w:t>
      </w:r>
      <w:proofErr w:type="spellStart"/>
      <w:r>
        <w:rPr>
          <w:rtl/>
        </w:rPr>
        <w:t>מסלבודקה</w:t>
      </w:r>
      <w:proofErr w:type="spellEnd"/>
      <w:r>
        <w:rPr>
          <w:rtl/>
        </w:rPr>
        <w:t xml:space="preserve"> דמות נסתרת. הוא עשה כל שביכולתו להסתיר את עבודתו הרוחנית</w:t>
      </w:r>
      <w:bookmarkStart w:id="3986" w:name="b4_text1"/>
      <w:bookmarkEnd w:id="3986"/>
      <w:r>
        <w:rPr>
          <w:sz w:val="18"/>
          <w:szCs w:val="18"/>
          <w:vertAlign w:val="superscript"/>
          <w:rtl/>
        </w:rPr>
        <w:fldChar w:fldCharType="begin" w:dirty="true"/>
      </w:r>
      <w:r>
        <w:rPr>
          <w:sz w:val="18"/>
          <w:szCs w:val="18"/>
          <w:vertAlign w:val="superscript"/>
          <w:rtl/>
        </w:rPr>
        <w:instrText xml:space="preserve"> REF b4_note1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w:t>
      </w:r>
      <w:r>
        <w:rPr>
          <w:sz w:val="18"/>
          <w:szCs w:val="18"/>
          <w:vertAlign w:val="superscript"/>
          <w:rtl/>
        </w:rPr>
        <w:fldChar w:fldCharType="end"/>
      </w:r>
      <w:r>
        <w:rPr>
          <w:rtl/>
        </w:rPr>
        <w:t>. תלמידיו מעולם לא ראוהו לומד</w:t>
      </w:r>
      <w:bookmarkStart w:id="3987" w:name="b4_text2"/>
      <w:bookmarkEnd w:id="3987"/>
      <w:r>
        <w:rPr>
          <w:sz w:val="18"/>
          <w:szCs w:val="18"/>
          <w:vertAlign w:val="superscript"/>
          <w:rtl/>
        </w:rPr>
        <w:fldChar w:fldCharType="begin" w:dirty="true"/>
      </w:r>
      <w:r>
        <w:rPr>
          <w:sz w:val="18"/>
          <w:szCs w:val="18"/>
          <w:vertAlign w:val="superscript"/>
          <w:rtl/>
        </w:rPr>
        <w:instrText xml:space="preserve"> REF b4_note2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w:t>
      </w:r>
      <w:r>
        <w:rPr>
          <w:sz w:val="18"/>
          <w:szCs w:val="18"/>
          <w:vertAlign w:val="superscript"/>
          <w:rtl/>
        </w:rPr>
        <w:fldChar w:fldCharType="end"/>
      </w:r>
      <w:r>
        <w:rPr>
          <w:rtl/>
        </w:rPr>
        <w:t xml:space="preserve">, ואלמלא ביקש מהם מפעם לפעם לחזור לפניו על השיעור ועל החידושים ששמעו מפי ר׳ </w:t>
      </w:r>
      <w:proofErr w:type="spellStart"/>
      <w:r>
        <w:rPr>
          <w:rtl/>
        </w:rPr>
        <w:t>ברוך־בער</w:t>
      </w:r>
      <w:proofErr w:type="spellEnd"/>
      <w:r>
        <w:rPr>
          <w:rtl/>
        </w:rPr>
        <w:t xml:space="preserve"> בישיבה האחרת, היו סבורים שאין לו כל ידיעה בתלמוד ובהלכה</w:t>
      </w:r>
      <w:bookmarkStart w:id="3988" w:name="b4_text3"/>
      <w:bookmarkEnd w:id="3988"/>
      <w:r>
        <w:rPr>
          <w:sz w:val="18"/>
          <w:szCs w:val="18"/>
          <w:vertAlign w:val="superscript"/>
          <w:rtl/>
        </w:rPr>
        <w:fldChar w:fldCharType="begin" w:dirty="true"/>
      </w:r>
      <w:r>
        <w:rPr>
          <w:sz w:val="18"/>
          <w:szCs w:val="18"/>
          <w:vertAlign w:val="superscript"/>
          <w:rtl/>
        </w:rPr>
        <w:instrText xml:space="preserve"> REF b4_note3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w:t>
      </w:r>
      <w:r>
        <w:rPr>
          <w:sz w:val="18"/>
          <w:szCs w:val="18"/>
          <w:vertAlign w:val="superscript"/>
          <w:rtl/>
        </w:rPr>
        <w:fldChar w:fldCharType="end"/>
      </w:r>
      <w:r>
        <w:rPr>
          <w:rtl/>
        </w:rPr>
        <w:t>.</w:t>
      </w:r>
    </w:p>
    <w:bookmarkStart w:id="3989" w:name="b4_note1"/>
    <w:p w14:paraId="14FE321E" w14:textId="77777777" w:rsidR="00AB3647" w:rsidRDefault="00000000" w:rsidP="007923E9">
      <w:pPr>
        <w:spacing w:before="120" w:after="100" w:line="276" w:lineRule="auto"/>
        <w:jc w:val="both"/>
      </w:pPr>
      <w:r>
        <w:fldChar w:fldCharType="begin" w:dirty="true"/>
      </w:r>
      <w:r>
        <w:instrText>HYPERLINK \l "b4_text1" \h</w:instrText>
      </w:r>
      <w:r>
        <w:fldChar w:fldCharType="separate"/>
      </w:r>
      <w:r>
        <w:rPr>
          <w:b/>
          <w:bCs/>
          <w:rtl/>
        </w:rPr>
        <w:t>1</w:t>
      </w:r>
      <w:r>
        <w:rPr>
          <w:b/>
          <w:bCs/>
        </w:rPr>
        <w:fldChar w:fldCharType="end"/>
      </w:r>
      <w:bookmarkEnd w:id="3989"/>
      <w:r>
        <w:rPr>
          <w:rtl/>
        </w:rPr>
        <w:t xml:space="preserve"> השווה פרק 3, הפסקה הראשונה של נספח לג.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3990" w:name="_fnr3031"/>
      <w:proofErr w:type="spellEnd"/>
      <w:r>
        <w:rPr>
          <w:vertAlign w:val="superscript"/>
          <w:rtl/>
        </w:rPr>
        <w:footnoteReference w:id="3039" w:customMarkFollows="0"/>
      </w:r>
      <w:bookmarkEnd w:id="3990"/>
      <w:r>
        <w:rPr>
          <w:rtl/>
        </w:rPr>
        <w:t xml:space="preserve"> נאמר: “בחיצוניותו לא היה דבר שהבדיל אותו מאחרים. הוא היה ממש כאחד מאתנו – לא ניכרו על פניו סימנים לפנימיותו. מעולם לא השתרר ולא התנשא על איש בחייו. תמיד התהלך בצניעות שאין דוגמתה”</w:t>
      </w:r>
      <w:bookmarkStart w:id="3991" w:name="_fnr3032"/>
      <w:r>
        <w:rPr>
          <w:vertAlign w:val="superscript"/>
          <w:rtl/>
        </w:rPr>
        <w:footnoteReference w:id="3040" w:customMarkFollows="0"/>
      </w:r>
      <w:bookmarkEnd w:id="3991"/>
      <w:r>
        <w:rPr>
          <w:rtl/>
        </w:rPr>
        <w:t>. העורך כותב שם</w:t>
      </w:r>
      <w:bookmarkStart w:id="3992" w:name="_fnr3033"/>
      <w:r>
        <w:rPr>
          <w:vertAlign w:val="superscript"/>
          <w:rtl/>
        </w:rPr>
        <w:footnoteReference w:id="3041" w:customMarkFollows="0"/>
      </w:r>
      <w:bookmarkEnd w:id="3992"/>
      <w:r>
        <w:rPr>
          <w:rtl/>
        </w:rPr>
        <w:t>: “הוא היה אמן בהסתרה גמורה של גדולת תורתו ועליונות שכלו, מפני שלא ראה בגילוין תועלת לפעולותיו”. עוד מעיר העורך</w:t>
      </w:r>
      <w:bookmarkStart w:id="3993" w:name="_fnr3034"/>
      <w:r>
        <w:rPr>
          <w:vertAlign w:val="superscript"/>
          <w:rtl/>
        </w:rPr>
        <w:footnoteReference w:id="3042" w:customMarkFollows="0"/>
      </w:r>
      <w:bookmarkEnd w:id="3993"/>
      <w:r>
        <w:rPr>
          <w:rtl/>
        </w:rPr>
        <w:t xml:space="preserve"> שהפסוק “ואת צנועים חכמה”</w:t>
      </w:r>
      <w:bookmarkStart w:id="3994" w:name="_fnr3035"/>
      <w:r>
        <w:rPr>
          <w:vertAlign w:val="superscript"/>
          <w:rtl/>
        </w:rPr>
        <w:footnoteReference w:id="3043" w:customMarkFollows="0"/>
      </w:r>
      <w:bookmarkEnd w:id="3994"/>
      <w:r>
        <w:rPr>
          <w:rtl/>
        </w:rPr>
        <w:t xml:space="preserve"> היה שגור בפיו</w:t>
      </w:r>
      <w:bookmarkStart w:id="3995" w:name="_fnr3036"/>
      <w:r>
        <w:rPr>
          <w:vertAlign w:val="superscript"/>
          <w:rtl/>
        </w:rPr>
        <w:footnoteReference w:id="3044" w:customMarkFollows="0"/>
      </w:r>
      <w:bookmarkEnd w:id="3995"/>
      <w:r>
        <w:rPr>
          <w:rtl/>
        </w:rPr>
        <w:t>.</w:t>
      </w:r>
    </w:p>
    <w:p w14:paraId="76D56A88" w14:textId="77777777" w:rsidR="00AB3647" w:rsidRDefault="00000000" w:rsidP="007923E9">
      <w:pPr>
        <w:spacing w:before="120" w:after="100" w:line="276" w:lineRule="auto"/>
        <w:jc w:val="both"/>
      </w:pPr>
      <w:r>
        <w:rPr>
          <w:rtl/>
        </w:rPr>
        <w:lastRenderedPageBreak/>
        <w:t xml:space="preserve">השווה גם שיר המדגיש את התכסותו של הסבא, בספר “הדת והחיים” מאת תלמיד </w:t>
      </w:r>
      <w:proofErr w:type="spellStart"/>
      <w:r>
        <w:rPr>
          <w:rtl/>
        </w:rPr>
        <w:t>סלבודקה</w:t>
      </w:r>
      <w:proofErr w:type="spellEnd"/>
      <w:r>
        <w:rPr>
          <w:rtl/>
        </w:rPr>
        <w:t xml:space="preserve"> הרב אלעזר ראובן </w:t>
      </w:r>
      <w:proofErr w:type="spellStart"/>
      <w:r>
        <w:rPr>
          <w:rtl/>
        </w:rPr>
        <w:t>מושקין</w:t>
      </w:r>
      <w:proofErr w:type="spellEnd"/>
      <w:r>
        <w:rPr>
          <w:rtl/>
        </w:rPr>
        <w:t>, שכותרתו “הסבא”</w:t>
      </w:r>
      <w:bookmarkStart w:id="3996" w:name="_fnr3037"/>
      <w:r>
        <w:rPr>
          <w:vertAlign w:val="superscript"/>
          <w:rtl/>
        </w:rPr>
        <w:footnoteReference w:id="3045" w:customMarkFollows="0"/>
      </w:r>
      <w:bookmarkEnd w:id="3996"/>
      <w:r>
        <w:rPr>
          <w:rtl/>
        </w:rPr>
        <w:t xml:space="preserve">. נראה שהשיר נכתב בעת פטירת הסבא </w:t>
      </w:r>
      <w:proofErr w:type="spellStart"/>
      <w:r>
        <w:rPr>
          <w:rtl/>
        </w:rPr>
        <w:t>מסלבודקה</w:t>
      </w:r>
      <w:proofErr w:type="spellEnd"/>
      <w:r>
        <w:rPr>
          <w:rtl/>
        </w:rPr>
        <w:t>, שמונה שנים אחרי שמחברו עבר לאמריקה. וזו לשונו</w:t>
      </w:r>
      <w:bookmarkStart w:id="3997" w:name="_fnr3038"/>
      <w:r>
        <w:rPr>
          <w:rStyle w:val="a5"/>
        </w:rPr>
        <w:t/>
      </w:r>
      <w:bookmarkStart w:id="7035" w:name="_TranslatorNote_3037"/>
      <w:r>
        <w:rPr>
          <w:rStyle w:val="a5"/>
          <w:vertAlign w:val="superscript"/>
          <w:rtl/>
        </w:rPr>
        <w:footnoteReference w:id="3046" w:customMarkFollows="1"/>
        <w:t>*</w:t>
      </w:r>
      <w:bookmarkEnd w:id="7035"/>
      <w:bookmarkEnd w:id="3997"/>
      <w:r>
        <w:rPr>
          <w:rtl/>
        </w:rPr>
        <w:t>:</w:t>
      </w:r>
    </w:p>
    <w:p w14:paraId="7464E81A" w14:textId="77777777" w:rsidR="00AB3647" w:rsidRDefault="00000000" w:rsidP="007923E9">
      <w:pPr>
        <w:pStyle w:val="af1"/>
        <w:keepNext/>
        <w:spacing w:line="276" w:lineRule="auto"/>
      </w:pPr>
      <w:r>
        <w:rPr>
          <w:sz w:val="26"/>
          <w:szCs w:val="26"/>
        </w:rPr>
        <w:t>עטוף, בקרב בני הנביאים,</w:t>
      </w:r>
    </w:p>
    <w:p w14:paraId="5E2921A8" w14:textId="77777777" w:rsidR="00AB3647" w:rsidRDefault="00000000" w:rsidP="007923E9">
      <w:pPr>
        <w:pStyle w:val="af1"/>
        <w:keepNext/>
        <w:spacing w:line="276" w:lineRule="auto"/>
      </w:pPr>
      <w:r>
        <w:rPr>
          <w:sz w:val="26"/>
          <w:szCs w:val="26"/>
        </w:rPr>
        <w:t>יצא הסבא בצנעה,</w:t>
      </w:r>
    </w:p>
    <w:p w14:paraId="6AFD1FBE" w14:textId="77777777" w:rsidR="00AB3647" w:rsidRDefault="00000000" w:rsidP="007923E9">
      <w:pPr>
        <w:pStyle w:val="af1"/>
        <w:keepNext/>
        <w:spacing w:line="276" w:lineRule="auto"/>
      </w:pPr>
      <w:r>
        <w:rPr>
          <w:sz w:val="26"/>
          <w:szCs w:val="26"/>
        </w:rPr>
        <w:t xml:space="preserve">מסווה על פניו ורוחו מגעת </w:t>
      </w:r>
      <w:proofErr w:type="spellStart"/>
      <w:r>
        <w:rPr>
          <w:sz w:val="26"/>
          <w:szCs w:val="26"/>
        </w:rPr>
        <w:t>השמימה</w:t>
      </w:r>
      <w:proofErr w:type="spellEnd"/>
      <w:r>
        <w:rPr>
          <w:sz w:val="26"/>
          <w:szCs w:val="26"/>
        </w:rPr>
        <w:t>.</w:t>
      </w:r>
    </w:p>
    <w:p w14:paraId="0BB7A394" w14:textId="77777777" w:rsidR="00AB3647" w:rsidRDefault="00000000" w:rsidP="007923E9">
      <w:pPr>
        <w:pStyle w:val="af1"/>
        <w:keepNext/>
        <w:spacing w:line="276" w:lineRule="auto"/>
      </w:pPr>
      <w:r>
        <w:rPr>
          <w:sz w:val="26"/>
          <w:szCs w:val="26"/>
        </w:rPr>
        <w:t>צללים מסתוריים וסודות עולם</w:t>
      </w:r>
    </w:p>
    <w:p w14:paraId="1F0B1971" w14:textId="77777777" w:rsidR="00AB3647" w:rsidRDefault="00000000" w:rsidP="007923E9">
      <w:pPr>
        <w:pStyle w:val="af1"/>
        <w:keepNext/>
        <w:spacing w:line="276" w:lineRule="auto"/>
      </w:pPr>
      <w:r>
        <w:rPr>
          <w:sz w:val="26"/>
          <w:szCs w:val="26"/>
        </w:rPr>
        <w:t>הקיפוהו בדממה,</w:t>
      </w:r>
    </w:p>
    <w:p w14:paraId="07DBD221" w14:textId="77777777" w:rsidR="00AB3647" w:rsidRDefault="00000000" w:rsidP="007923E9">
      <w:pPr>
        <w:pStyle w:val="af1"/>
        <w:keepNext/>
        <w:spacing w:line="276" w:lineRule="auto"/>
      </w:pPr>
      <w:r>
        <w:rPr>
          <w:sz w:val="26"/>
          <w:szCs w:val="26"/>
        </w:rPr>
        <w:t>ורק מעיניו הבוערות הבזיק הוד</w:t>
      </w:r>
    </w:p>
    <w:p w14:paraId="1718F9CF" w14:textId="77777777" w:rsidR="00AB3647" w:rsidRDefault="00000000" w:rsidP="007923E9">
      <w:pPr>
        <w:pStyle w:val="af1"/>
        <w:keepNext/>
        <w:spacing w:line="276" w:lineRule="auto"/>
      </w:pPr>
      <w:r>
        <w:rPr>
          <w:sz w:val="26"/>
          <w:szCs w:val="26"/>
        </w:rPr>
        <w:t>מראה הנשמה;</w:t>
      </w:r>
    </w:p>
    <w:p w14:paraId="3434280E" w14:textId="77777777" w:rsidR="00AB3647" w:rsidRDefault="00000000" w:rsidP="007923E9">
      <w:pPr>
        <w:pStyle w:val="af1"/>
        <w:keepNext/>
        <w:spacing w:line="276" w:lineRule="auto"/>
      </w:pPr>
      <w:r>
        <w:rPr>
          <w:sz w:val="26"/>
          <w:szCs w:val="26"/>
        </w:rPr>
        <w:t>לבו הרוגש, נהר האש המלא סער</w:t>
      </w:r>
    </w:p>
    <w:p w14:paraId="4FF18138" w14:textId="77777777" w:rsidR="00AB3647" w:rsidRDefault="00000000" w:rsidP="007923E9">
      <w:pPr>
        <w:pStyle w:val="af1"/>
        <w:keepNext/>
        <w:spacing w:line="276" w:lineRule="auto"/>
      </w:pPr>
      <w:r>
        <w:rPr>
          <w:sz w:val="26"/>
          <w:szCs w:val="26"/>
        </w:rPr>
        <w:t>וסופה,</w:t>
      </w:r>
    </w:p>
    <w:p w14:paraId="7EF71CE7" w14:textId="77777777" w:rsidR="00AB3647" w:rsidRDefault="00000000" w:rsidP="007923E9">
      <w:pPr>
        <w:pStyle w:val="af1"/>
        <w:keepNext/>
        <w:spacing w:line="276" w:lineRule="auto"/>
      </w:pPr>
      <w:r>
        <w:rPr>
          <w:sz w:val="26"/>
          <w:szCs w:val="26"/>
        </w:rPr>
        <w:t>נרגע בהשפעת שכלו הצלול, הבהיר והקר.</w:t>
      </w:r>
    </w:p>
    <w:p w14:paraId="691CC8C5" w14:textId="77777777" w:rsidR="00AB3647" w:rsidRDefault="00000000" w:rsidP="007923E9">
      <w:pPr>
        <w:pStyle w:val="af1"/>
        <w:keepNext/>
        <w:spacing w:line="276" w:lineRule="auto"/>
      </w:pPr>
      <w:r>
        <w:rPr>
          <w:sz w:val="26"/>
          <w:szCs w:val="26"/>
        </w:rPr>
        <w:t>וחי חיי סתר, חיי זוהר,</w:t>
      </w:r>
    </w:p>
    <w:p w14:paraId="104F1B57" w14:textId="77777777" w:rsidR="00AB3647" w:rsidRDefault="00000000" w:rsidP="007923E9">
      <w:pPr>
        <w:pStyle w:val="af1"/>
        <w:keepNext/>
        <w:spacing w:line="276" w:lineRule="auto"/>
      </w:pPr>
      <w:r>
        <w:rPr>
          <w:sz w:val="26"/>
          <w:szCs w:val="26"/>
        </w:rPr>
        <w:t>חיי רז,</w:t>
      </w:r>
    </w:p>
    <w:p w14:paraId="45D8900D" w14:textId="77777777" w:rsidR="00AB3647" w:rsidRDefault="00000000" w:rsidP="007923E9">
      <w:pPr>
        <w:pStyle w:val="af1"/>
        <w:keepNext/>
        <w:spacing w:line="276" w:lineRule="auto"/>
      </w:pPr>
      <w:r>
        <w:rPr>
          <w:sz w:val="26"/>
          <w:szCs w:val="26"/>
        </w:rPr>
        <w:t>ואיש לא הבחין בו מעולם</w:t>
      </w:r>
    </w:p>
    <w:p w14:paraId="201B2C73" w14:textId="77777777" w:rsidR="00AB3647" w:rsidRDefault="00000000" w:rsidP="007923E9">
      <w:pPr>
        <w:pStyle w:val="af1"/>
        <w:keepNext/>
        <w:spacing w:line="276" w:lineRule="auto"/>
      </w:pPr>
      <w:r>
        <w:rPr>
          <w:sz w:val="26"/>
          <w:szCs w:val="26"/>
        </w:rPr>
        <w:t>בנועם אותו הוד.</w:t>
      </w:r>
    </w:p>
    <w:p w14:paraId="4D84F691" w14:textId="77777777" w:rsidR="00AB3647" w:rsidRDefault="00000000" w:rsidP="007923E9">
      <w:pPr>
        <w:pStyle w:val="af1"/>
        <w:keepNext/>
        <w:spacing w:line="276" w:lineRule="auto"/>
      </w:pPr>
      <w:r>
        <w:rPr>
          <w:sz w:val="26"/>
          <w:szCs w:val="26"/>
        </w:rPr>
        <w:t>בסתר פעל ובנה</w:t>
      </w:r>
    </w:p>
    <w:p w14:paraId="00F3FAC3" w14:textId="77777777" w:rsidR="00AB3647" w:rsidRDefault="00000000" w:rsidP="007923E9">
      <w:pPr>
        <w:pStyle w:val="af1"/>
        <w:keepNext/>
        <w:spacing w:line="276" w:lineRule="auto"/>
      </w:pPr>
      <w:r>
        <w:rPr>
          <w:sz w:val="26"/>
          <w:szCs w:val="26"/>
        </w:rPr>
        <w:t>מגדל אדיר ונפלא,</w:t>
      </w:r>
    </w:p>
    <w:p w14:paraId="2AE7B567" w14:textId="77777777" w:rsidR="00AB3647" w:rsidRDefault="00000000" w:rsidP="007923E9">
      <w:pPr>
        <w:pStyle w:val="af1"/>
        <w:keepNext/>
        <w:spacing w:line="276" w:lineRule="auto"/>
      </w:pPr>
      <w:r>
        <w:rPr>
          <w:sz w:val="26"/>
          <w:szCs w:val="26"/>
        </w:rPr>
        <w:t>והאיר את העולם במוסר האדם,</w:t>
      </w:r>
    </w:p>
    <w:p w14:paraId="1626EA7E" w14:textId="77777777" w:rsidR="00AB3647" w:rsidRDefault="00000000" w:rsidP="007923E9">
      <w:pPr>
        <w:pStyle w:val="af1"/>
        <w:keepNext/>
        <w:spacing w:line="276" w:lineRule="auto"/>
      </w:pPr>
      <w:r>
        <w:rPr>
          <w:sz w:val="26"/>
          <w:szCs w:val="26"/>
        </w:rPr>
        <w:t>בקדושת התורה.</w:t>
      </w:r>
    </w:p>
    <w:p w14:paraId="6DFE99FB" w14:textId="77777777" w:rsidR="00AB3647" w:rsidRDefault="00000000" w:rsidP="007923E9">
      <w:pPr>
        <w:pStyle w:val="af1"/>
        <w:keepNext/>
        <w:spacing w:line="276" w:lineRule="auto"/>
      </w:pPr>
      <w:r>
        <w:rPr>
          <w:sz w:val="26"/>
          <w:szCs w:val="26"/>
        </w:rPr>
        <w:t xml:space="preserve">והסתיר את מעשיו, את </w:t>
      </w:r>
      <w:proofErr w:type="spellStart"/>
      <w:r>
        <w:rPr>
          <w:sz w:val="26"/>
          <w:szCs w:val="26"/>
        </w:rPr>
        <w:t>חכמתו</w:t>
      </w:r>
      <w:proofErr w:type="spellEnd"/>
    </w:p>
    <w:p w14:paraId="5B662F33" w14:textId="77777777" w:rsidR="00AB3647" w:rsidRDefault="00000000" w:rsidP="007923E9">
      <w:pPr>
        <w:pStyle w:val="af1"/>
        <w:keepNext/>
        <w:spacing w:line="276" w:lineRule="auto"/>
      </w:pPr>
      <w:r>
        <w:rPr>
          <w:sz w:val="26"/>
          <w:szCs w:val="26"/>
        </w:rPr>
        <w:t>ואת אמונתו המזוככת,</w:t>
      </w:r>
    </w:p>
    <w:p w14:paraId="7A2DA73E" w14:textId="77777777" w:rsidR="00AB3647" w:rsidRDefault="00000000" w:rsidP="007923E9">
      <w:pPr>
        <w:pStyle w:val="af1"/>
        <w:keepNext/>
        <w:spacing w:line="276" w:lineRule="auto"/>
      </w:pPr>
      <w:r>
        <w:rPr>
          <w:sz w:val="26"/>
          <w:szCs w:val="26"/>
        </w:rPr>
        <w:t>ונאסף אל עמיו</w:t>
      </w:r>
    </w:p>
    <w:p w14:paraId="4475EF0F" w14:textId="77777777" w:rsidR="00AB3647" w:rsidRDefault="00000000" w:rsidP="007923E9">
      <w:pPr>
        <w:pStyle w:val="af1"/>
        <w:keepNext/>
        <w:spacing w:line="276" w:lineRule="auto"/>
      </w:pPr>
      <w:r>
        <w:rPr>
          <w:sz w:val="26"/>
          <w:szCs w:val="26"/>
        </w:rPr>
        <w:t>ברוממותו העטופה...</w:t>
      </w:r>
    </w:p>
    <w:p w14:paraId="7B60DDE6" w14:textId="77777777" w:rsidR="00AB3647" w:rsidRDefault="00000000" w:rsidP="007923E9">
      <w:pPr>
        <w:spacing w:after="120" w:line="276" w:lineRule="auto"/>
        <w:jc w:val="both"/>
      </w:pPr>
      <w:r>
        <w:rPr>
          <w:rtl/>
        </w:rPr>
        <w:t>הסבא חתם את שמו “הצפן”: ראשי התיבות של שמו</w:t>
      </w:r>
      <w:bookmarkStart w:id="3998" w:name="_fnr3039"/>
      <w:r>
        <w:rPr>
          <w:vertAlign w:val="superscript"/>
          <w:rtl/>
        </w:rPr>
        <w:footnoteReference w:id="3047" w:customMarkFollows="0"/>
      </w:r>
      <w:bookmarkEnd w:id="3998"/>
      <w:r>
        <w:rPr>
          <w:rtl/>
        </w:rPr>
        <w:t xml:space="preserve"> בתוספת ה״א הידיעה</w:t>
      </w:r>
      <w:bookmarkStart w:id="3999" w:name="_fnr3040"/>
      <w:r>
        <w:rPr>
          <w:vertAlign w:val="superscript"/>
          <w:rtl/>
        </w:rPr>
        <w:footnoteReference w:id="3048" w:customMarkFollows="0"/>
      </w:r>
      <w:bookmarkEnd w:id="3999"/>
      <w:r>
        <w:rPr>
          <w:rtl/>
        </w:rPr>
        <w:t>, בסדר שמשמעותו “הנסתר”</w:t>
      </w:r>
      <w:bookmarkStart w:id="4000" w:name="_fnr3041"/>
      <w:r>
        <w:rPr>
          <w:vertAlign w:val="superscript"/>
          <w:rtl/>
        </w:rPr>
        <w:footnoteReference w:id="3049" w:customMarkFollows="0"/>
      </w:r>
      <w:bookmarkEnd w:id="4000"/>
      <w:r>
        <w:rPr>
          <w:rtl/>
        </w:rPr>
        <w:t xml:space="preserve">. כשנתמנה אבי לרבה של </w:t>
      </w:r>
      <w:proofErr w:type="spellStart"/>
      <w:r>
        <w:rPr>
          <w:rtl/>
        </w:rPr>
        <w:t>ציטוביאן</w:t>
      </w:r>
      <w:bookmarkStart w:id="4001" w:name="_fnr3042"/>
      <w:proofErr w:type="spellEnd"/>
      <w:r>
        <w:rPr>
          <w:vertAlign w:val="superscript"/>
          <w:rtl/>
        </w:rPr>
        <w:footnoteReference w:id="3050" w:customMarkFollows="0"/>
      </w:r>
      <w:bookmarkEnd w:id="4001"/>
      <w:r>
        <w:rPr>
          <w:rtl/>
        </w:rPr>
        <w:t xml:space="preserve">, קיבל ממנו מכתב ברכה שנכתב </w:t>
      </w:r>
      <w:proofErr w:type="spellStart"/>
      <w:r>
        <w:rPr>
          <w:rtl/>
        </w:rPr>
        <w:t>בתרפ״ו</w:t>
      </w:r>
      <w:proofErr w:type="spellEnd"/>
      <w:r>
        <w:rPr>
          <w:rtl/>
        </w:rPr>
        <w:t xml:space="preserve">, חמישה חודשים לפני פטירתו, ובו חתם בשמו המלא. בריאיון המוקלט על הסבא </w:t>
      </w:r>
      <w:proofErr w:type="spellStart"/>
      <w:r>
        <w:rPr>
          <w:rtl/>
        </w:rPr>
        <w:t>מסלבודקה</w:t>
      </w:r>
      <w:bookmarkStart w:id="4002" w:name="_fnr3043"/>
      <w:proofErr w:type="spellEnd"/>
      <w:r>
        <w:rPr>
          <w:vertAlign w:val="superscript"/>
          <w:rtl/>
        </w:rPr>
        <w:footnoteReference w:id="3051" w:customMarkFollows="0"/>
      </w:r>
      <w:bookmarkEnd w:id="4002"/>
      <w:r>
        <w:rPr>
          <w:rtl/>
        </w:rPr>
        <w:t xml:space="preserve"> ייחס רבנו שינוי זה, בלשון סתומה, לכך שר׳ </w:t>
      </w:r>
      <w:proofErr w:type="spellStart"/>
      <w:r>
        <w:rPr>
          <w:rtl/>
        </w:rPr>
        <w:t>נתן־צבי</w:t>
      </w:r>
      <w:proofErr w:type="spellEnd"/>
      <w:r>
        <w:rPr>
          <w:rtl/>
        </w:rPr>
        <w:t xml:space="preserve"> כבר היה “בשנותיו </w:t>
      </w:r>
      <w:r>
        <w:rPr>
          <w:rtl/>
        </w:rPr>
        <w:lastRenderedPageBreak/>
        <w:t xml:space="preserve">האחרונות”. נראה שכוונת אבי הייתה שהסבא </w:t>
      </w:r>
      <w:proofErr w:type="spellStart"/>
      <w:r>
        <w:rPr>
          <w:rtl/>
        </w:rPr>
        <w:t>מסלבודקה</w:t>
      </w:r>
      <w:proofErr w:type="spellEnd"/>
      <w:r>
        <w:rPr>
          <w:rtl/>
        </w:rPr>
        <w:t xml:space="preserve"> המציא את החתימה הסתומה כדי להתרחק מן הפרסום, אבל בזקנותו כבר לא חש בכך צורך, משום שחדל לתת דעתו למה שהבריות חושבות עליו.</w:t>
      </w:r>
    </w:p>
    <w:p w14:paraId="4E2DBD62" w14:textId="77777777" w:rsidR="00AB3647" w:rsidRDefault="00000000" w:rsidP="007923E9">
      <w:pPr>
        <w:spacing w:after="12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03" w:name="_fnr3044"/>
      <w:proofErr w:type="spellEnd"/>
      <w:r>
        <w:rPr>
          <w:vertAlign w:val="superscript"/>
          <w:rtl/>
        </w:rPr>
        <w:footnoteReference w:id="3052" w:customMarkFollows="0"/>
      </w:r>
      <w:bookmarkEnd w:id="4003"/>
      <w:r>
        <w:rPr>
          <w:rtl/>
        </w:rPr>
        <w:t xml:space="preserve"> מתואר שינוי זה בהנהגת הסבא כך: “במעשיו הציבוריים הסתתר מאחורי מסווה של אחרים, וטיכס תחבולות מורכבות כדי להעלים את שמו, </w:t>
      </w:r>
      <w:r>
        <w:rPr>
          <w:b/>
          <w:bCs/>
          <w:rtl/>
        </w:rPr>
        <w:t>עד שנותיו האחרונות, שבהן הגיע למידת ההשתוות הגמורה</w:t>
      </w:r>
      <w:r>
        <w:rPr>
          <w:rtl/>
        </w:rPr>
        <w:t>” (ההדגשה שלי). אולם השווה בספרו של כץ, “תנועת המוסר”, כרך ג</w:t>
      </w:r>
      <w:bookmarkStart w:id="4004" w:name="_fnr3045"/>
      <w:r>
        <w:rPr>
          <w:vertAlign w:val="superscript"/>
          <w:rtl/>
        </w:rPr>
        <w:footnoteReference w:id="3053" w:customMarkFollows="0"/>
      </w:r>
      <w:bookmarkEnd w:id="4004"/>
      <w:r>
        <w:rPr>
          <w:rtl/>
        </w:rPr>
        <w:t xml:space="preserve">, תצלום מכתב שכתב הסבא בדרכו לארץ ישראל אל תלמיד </w:t>
      </w:r>
      <w:proofErr w:type="spellStart"/>
      <w:r>
        <w:rPr>
          <w:rtl/>
        </w:rPr>
        <w:t>בסלבודקה</w:t>
      </w:r>
      <w:proofErr w:type="spellEnd"/>
      <w:r>
        <w:rPr>
          <w:rtl/>
        </w:rPr>
        <w:t xml:space="preserve">, וחתם בו “הצפן” – אף שתאריכו מוקדם בשנה אחת בלבד מן המכתב שנשלח לאבי, כשר׳ </w:t>
      </w:r>
      <w:proofErr w:type="spellStart"/>
      <w:r>
        <w:rPr>
          <w:rtl/>
        </w:rPr>
        <w:t>נתן־צבי</w:t>
      </w:r>
      <w:proofErr w:type="spellEnd"/>
      <w:r>
        <w:rPr>
          <w:rtl/>
        </w:rPr>
        <w:t xml:space="preserve"> כבר היה “בשנותיו האחרונות”.</w:t>
      </w:r>
    </w:p>
    <w:p w14:paraId="4BC74A1E" w14:textId="77777777" w:rsidR="00AB3647" w:rsidRDefault="00000000" w:rsidP="007923E9">
      <w:pPr>
        <w:spacing w:after="120" w:line="276" w:lineRule="auto"/>
        <w:jc w:val="both"/>
      </w:pPr>
      <w:r>
        <w:rPr>
          <w:rtl/>
        </w:rPr>
        <w:t>אפשר לשער שהחתימה המוצפנת של הסבא, שפירושה “הנסתר”, לא הייתה אלא ביטוי לנטייתו לכתוב בצורות סתומות: (א) מילות צופן שהמציא בעצמו</w:t>
      </w:r>
      <w:bookmarkStart w:id="4005" w:name="_fnr3046"/>
      <w:r>
        <w:rPr>
          <w:vertAlign w:val="superscript"/>
          <w:rtl/>
        </w:rPr>
        <w:footnoteReference w:id="3054" w:customMarkFollows="0"/>
      </w:r>
      <w:bookmarkEnd w:id="4005"/>
      <w:r>
        <w:rPr>
          <w:rtl/>
        </w:rPr>
        <w:t>; (ב) ראשי תיבות נדירים</w:t>
      </w:r>
      <w:bookmarkStart w:id="4006" w:name="_fnr3047"/>
      <w:r>
        <w:rPr>
          <w:vertAlign w:val="superscript"/>
          <w:rtl/>
        </w:rPr>
        <w:footnoteReference w:id="3055" w:customMarkFollows="0"/>
      </w:r>
      <w:bookmarkEnd w:id="4006"/>
      <w:r>
        <w:rPr>
          <w:rtl/>
        </w:rPr>
        <w:t xml:space="preserve">; ו(ג) אותיות </w:t>
      </w:r>
      <w:proofErr w:type="spellStart"/>
      <w:r>
        <w:rPr>
          <w:rtl/>
        </w:rPr>
        <w:t>שגימטרייתן</w:t>
      </w:r>
      <w:proofErr w:type="spellEnd"/>
      <w:r>
        <w:rPr>
          <w:rtl/>
        </w:rPr>
        <w:t xml:space="preserve"> כשנת הכתיבה</w:t>
      </w:r>
      <w:bookmarkStart w:id="4007" w:name="_fnr3048"/>
      <w:r>
        <w:rPr>
          <w:vertAlign w:val="superscript"/>
          <w:rtl/>
        </w:rPr>
        <w:footnoteReference w:id="3056" w:customMarkFollows="0"/>
      </w:r>
      <w:bookmarkEnd w:id="4007"/>
      <w:r>
        <w:rPr>
          <w:rtl/>
        </w:rPr>
        <w:t xml:space="preserve">. לפי זה דרוש טעם אחר מזה שנתן אבי, כדי להסביר מדוע חתם הסבא </w:t>
      </w:r>
      <w:proofErr w:type="spellStart"/>
      <w:r>
        <w:rPr>
          <w:rtl/>
        </w:rPr>
        <w:t>מסלבודקה</w:t>
      </w:r>
      <w:proofErr w:type="spellEnd"/>
      <w:r>
        <w:rPr>
          <w:rtl/>
        </w:rPr>
        <w:t xml:space="preserve"> בשמו המלא על המכתב </w:t>
      </w:r>
      <w:proofErr w:type="spellStart"/>
      <w:r>
        <w:rPr>
          <w:rtl/>
        </w:rPr>
        <w:t>לציטוביאן</w:t>
      </w:r>
      <w:proofErr w:type="spellEnd"/>
      <w:r>
        <w:rPr>
          <w:rtl/>
        </w:rPr>
        <w:t>.</w:t>
      </w:r>
    </w:p>
    <w:p w14:paraId="377341DB" w14:textId="77777777" w:rsidR="00AB3647" w:rsidRDefault="00000000" w:rsidP="007923E9">
      <w:pPr>
        <w:spacing w:after="120" w:line="276" w:lineRule="auto"/>
        <w:jc w:val="both"/>
      </w:pPr>
      <w:r>
        <w:rPr>
          <w:rtl/>
        </w:rPr>
        <w:t xml:space="preserve">אפשר להציע שהסבא רצה שאבי, שהיה אז רב שנתמנה זה מקרוב, יוכל להראות את המכתב לבני </w:t>
      </w:r>
      <w:proofErr w:type="spellStart"/>
      <w:r>
        <w:rPr>
          <w:rtl/>
        </w:rPr>
        <w:t>ציטוביאן</w:t>
      </w:r>
      <w:proofErr w:type="spellEnd"/>
      <w:r>
        <w:rPr>
          <w:rtl/>
        </w:rPr>
        <w:t>. בלי כותרת המזהה את הכותב</w:t>
      </w:r>
      <w:bookmarkStart w:id="4008" w:name="_fnr3049"/>
      <w:r>
        <w:rPr>
          <w:vertAlign w:val="superscript"/>
          <w:rtl/>
        </w:rPr>
        <w:footnoteReference w:id="3057" w:customMarkFollows="0"/>
      </w:r>
      <w:bookmarkEnd w:id="4008"/>
      <w:r>
        <w:rPr>
          <w:rtl/>
        </w:rPr>
        <w:t xml:space="preserve"> לא היו יכולים לזהות את מחברו, שכבר היה מפורסם, אילו חתם בחתימתו הרגילה והבלתי מובנת. אבי לא היה מן האנשים המראים לאחרים מכתב שנשלח אליהם</w:t>
      </w:r>
      <w:bookmarkStart w:id="4009" w:name="_fnr3050"/>
      <w:r>
        <w:rPr>
          <w:vertAlign w:val="superscript"/>
          <w:rtl/>
        </w:rPr>
        <w:footnoteReference w:id="3058" w:customMarkFollows="0"/>
      </w:r>
      <w:bookmarkEnd w:id="4009"/>
      <w:r>
        <w:rPr>
          <w:rtl/>
        </w:rPr>
        <w:t>, ובייחוד כשנכתבו בו דברי שבח עליהם</w:t>
      </w:r>
      <w:bookmarkStart w:id="4010" w:name="_fnr3051"/>
      <w:r>
        <w:rPr>
          <w:vertAlign w:val="superscript"/>
          <w:rtl/>
        </w:rPr>
        <w:footnoteReference w:id="3059" w:customMarkFollows="0"/>
      </w:r>
      <w:bookmarkEnd w:id="4010"/>
      <w:r>
        <w:rPr>
          <w:rtl/>
        </w:rPr>
        <w:t>, ולכן מצא הסבר אחר לכך שרבו חתם בשמו המלא.</w:t>
      </w:r>
    </w:p>
    <w:bookmarkStart w:id="4011" w:name="b4_note2"/>
    <w:p w14:paraId="5BB24A0B" w14:textId="77777777" w:rsidR="00AB3647" w:rsidRDefault="00000000" w:rsidP="007923E9">
      <w:pPr>
        <w:spacing w:before="120" w:after="100" w:line="276" w:lineRule="auto"/>
        <w:jc w:val="both"/>
      </w:pPr>
      <w:r>
        <w:fldChar w:fldCharType="begin" w:dirty="true"/>
      </w:r>
      <w:r>
        <w:instrText>HYPERLINK \l "b4_text2" \h</w:instrText>
      </w:r>
      <w:r>
        <w:fldChar w:fldCharType="separate"/>
      </w:r>
      <w:r>
        <w:rPr>
          <w:b/>
          <w:bCs/>
          <w:rtl/>
        </w:rPr>
        <w:t>2</w:t>
      </w:r>
      <w:r>
        <w:rPr>
          <w:b/>
          <w:bCs/>
        </w:rPr>
        <w:fldChar w:fldCharType="end"/>
      </w:r>
      <w:bookmarkEnd w:id="4011"/>
      <w:r>
        <w:rPr>
          <w:rtl/>
        </w:rPr>
        <w:t xml:space="preserve"> מובן מאליו שידיעת הסבא במאמרי חז״ל ובאגדה בכלל הייתה מקיפה ביותר. השווה כץ, “תנועת המוסר”, כרך ג</w:t>
      </w:r>
      <w:bookmarkStart w:id="4012" w:name="_fnr3052"/>
      <w:r>
        <w:rPr>
          <w:vertAlign w:val="superscript"/>
          <w:rtl/>
        </w:rPr>
        <w:footnoteReference w:id="3060" w:customMarkFollows="0"/>
      </w:r>
      <w:bookmarkEnd w:id="4012"/>
      <w:r>
        <w:rPr>
          <w:rtl/>
        </w:rPr>
        <w:t>, וכן קטע משיחה בהערה 11 להלן, המדגים את הדרך המופלאה שבה צירף מאמרי חז״ל רבים ממקורות שונים כדי לבנות את שיחות המוסר שלו.</w:t>
      </w:r>
    </w:p>
    <w:p w14:paraId="61CF7FE1" w14:textId="77777777" w:rsidR="00AB3647" w:rsidRDefault="00000000" w:rsidP="007923E9">
      <w:pPr>
        <w:spacing w:before="120" w:after="100" w:line="276" w:lineRule="auto"/>
        <w:jc w:val="both"/>
      </w:pPr>
      <w:r>
        <w:rPr>
          <w:rtl/>
        </w:rPr>
        <w:t>ר׳ צבי ברקוביץ סיפר</w:t>
      </w:r>
      <w:bookmarkStart w:id="4013" w:name="_fnr3053"/>
      <w:r>
        <w:rPr>
          <w:vertAlign w:val="superscript"/>
          <w:rtl/>
        </w:rPr>
        <w:footnoteReference w:id="3061" w:customMarkFollows="0"/>
      </w:r>
      <w:bookmarkEnd w:id="4013"/>
      <w:r>
        <w:rPr>
          <w:rtl/>
        </w:rPr>
        <w:t xml:space="preserve"> ששמע הן מרבנו הן מר׳ </w:t>
      </w:r>
      <w:proofErr w:type="spellStart"/>
      <w:r>
        <w:rPr>
          <w:rtl/>
        </w:rPr>
        <w:t>יעקב־יצחק</w:t>
      </w:r>
      <w:proofErr w:type="spellEnd"/>
      <w:r>
        <w:rPr>
          <w:rtl/>
        </w:rPr>
        <w:t xml:space="preserve"> </w:t>
      </w:r>
      <w:proofErr w:type="spellStart"/>
      <w:r>
        <w:rPr>
          <w:rtl/>
        </w:rPr>
        <w:t>רודרמן</w:t>
      </w:r>
      <w:proofErr w:type="spellEnd"/>
      <w:r>
        <w:rPr>
          <w:rtl/>
        </w:rPr>
        <w:t xml:space="preserve"> שהתלמידים מעולם לא ראו את הסבא לומד. פעם טען ר׳ צבי שראה כתב עת שהוציאו בוגרי </w:t>
      </w:r>
      <w:proofErr w:type="spellStart"/>
      <w:r>
        <w:rPr>
          <w:rtl/>
        </w:rPr>
        <w:t>סלבודקה</w:t>
      </w:r>
      <w:proofErr w:type="spellEnd"/>
      <w:r>
        <w:rPr>
          <w:rtl/>
        </w:rPr>
        <w:t xml:space="preserve">, ובו כתב אחד מהם שנכנס פעם לחדרו של הסבא וראה אותו לומד מסכת סוכה, והסבא ביקש ממנו אז לבאר </w:t>
      </w:r>
      <w:r>
        <w:rPr>
          <w:rtl/>
        </w:rPr>
        <w:lastRenderedPageBreak/>
        <w:t xml:space="preserve">דבר בתוספות. ר׳ </w:t>
      </w:r>
      <w:proofErr w:type="spellStart"/>
      <w:r>
        <w:rPr>
          <w:rtl/>
        </w:rPr>
        <w:t>יעקב־יצחק</w:t>
      </w:r>
      <w:proofErr w:type="spellEnd"/>
      <w:r>
        <w:rPr>
          <w:rtl/>
        </w:rPr>
        <w:t xml:space="preserve"> </w:t>
      </w:r>
      <w:proofErr w:type="spellStart"/>
      <w:r>
        <w:rPr>
          <w:rtl/>
        </w:rPr>
        <w:t>רודרמן</w:t>
      </w:r>
      <w:proofErr w:type="spellEnd"/>
      <w:r>
        <w:rPr>
          <w:rtl/>
        </w:rPr>
        <w:t xml:space="preserve"> ביקש מיד לראות את המאמר</w:t>
      </w:r>
      <w:bookmarkStart w:id="4014" w:name="_fnr3054"/>
      <w:r>
        <w:rPr>
          <w:vertAlign w:val="superscript"/>
          <w:rtl/>
        </w:rPr>
        <w:footnoteReference w:id="3062" w:customMarkFollows="0"/>
      </w:r>
      <w:bookmarkEnd w:id="4014"/>
      <w:r>
        <w:rPr>
          <w:rtl/>
        </w:rPr>
        <w:t xml:space="preserve">, שהרי ר׳ </w:t>
      </w:r>
      <w:proofErr w:type="spellStart"/>
      <w:r>
        <w:rPr>
          <w:rtl/>
        </w:rPr>
        <w:t>נתן־צבי</w:t>
      </w:r>
      <w:proofErr w:type="spellEnd"/>
      <w:r>
        <w:rPr>
          <w:rtl/>
        </w:rPr>
        <w:t xml:space="preserve"> היה ידוע כמי שמעולם לא נראה כשגמרא בידו.</w:t>
      </w:r>
    </w:p>
    <w:p w14:paraId="7069CC8D" w14:textId="77777777" w:rsidR="00AB3647" w:rsidRDefault="00000000" w:rsidP="007923E9">
      <w:pPr>
        <w:spacing w:after="120" w:line="276" w:lineRule="auto"/>
        <w:jc w:val="both"/>
      </w:pPr>
      <w:r>
        <w:rPr>
          <w:rtl/>
        </w:rPr>
        <w:t>כץ, “תנועת המוסר”, כרך ג</w:t>
      </w:r>
      <w:bookmarkStart w:id="4015" w:name="_fnr3055"/>
      <w:r>
        <w:rPr>
          <w:vertAlign w:val="superscript"/>
          <w:rtl/>
        </w:rPr>
        <w:footnoteReference w:id="3063" w:customMarkFollows="0"/>
      </w:r>
      <w:bookmarkEnd w:id="4015"/>
      <w:r>
        <w:rPr>
          <w:rtl/>
        </w:rPr>
        <w:t xml:space="preserve">, מביא דוגמה מופלאה להסתרת לימודו. לאחר שאשתו עברה מקלם אל בניין ישיבת </w:t>
      </w:r>
      <w:proofErr w:type="spellStart"/>
      <w:r>
        <w:rPr>
          <w:rtl/>
        </w:rPr>
        <w:t>סלבודקה</w:t>
      </w:r>
      <w:bookmarkStart w:id="4016" w:name="_fnr3056"/>
      <w:proofErr w:type="spellEnd"/>
      <w:r>
        <w:rPr>
          <w:vertAlign w:val="superscript"/>
          <w:rtl/>
        </w:rPr>
        <w:footnoteReference w:id="3064" w:customMarkFollows="0"/>
      </w:r>
      <w:bookmarkEnd w:id="4016"/>
      <w:r>
        <w:rPr>
          <w:rtl/>
        </w:rPr>
        <w:t xml:space="preserve">, הייתה מזמינה לעיתים את הבחורים שלמדו במשך כל ליל חמישי לדירת משפחת </w:t>
      </w:r>
      <w:proofErr w:type="spellStart"/>
      <w:r>
        <w:rPr>
          <w:rtl/>
        </w:rPr>
        <w:t>פינקל</w:t>
      </w:r>
      <w:proofErr w:type="spellEnd"/>
      <w:r>
        <w:rPr>
          <w:rtl/>
        </w:rPr>
        <w:t>, לשתות תה ולאכול עוגה. בבואם מצאו את הסבא מכוסה במיטתו, ונזהרו שלא להרעיש, שמא יפריעו לשנתו. פעם גילתה הסבתא באקראי שאין להם מה לחשוש: גם הוא לומד כמותם, אלא שבדיוק כשהיא מזמינה אותם להיכנס, הוא נכנס למיטתו ומעמיד פנים שהוא ישן.</w:t>
      </w:r>
    </w:p>
    <w:p w14:paraId="25D93A0E" w14:textId="77777777" w:rsidR="00AB3647" w:rsidRDefault="00000000" w:rsidP="007923E9">
      <w:pPr>
        <w:spacing w:after="120" w:line="276" w:lineRule="auto"/>
        <w:jc w:val="both"/>
      </w:pPr>
      <w:r>
        <w:rPr>
          <w:rtl/>
        </w:rPr>
        <w:t xml:space="preserve">סיפור זה של כץ אינו עולה בקנה אחד עם מה שסיפר לי </w:t>
      </w:r>
      <w:proofErr w:type="spellStart"/>
      <w:r>
        <w:rPr>
          <w:rtl/>
        </w:rPr>
        <w:t>נינו</w:t>
      </w:r>
      <w:proofErr w:type="spellEnd"/>
      <w:r>
        <w:rPr>
          <w:rtl/>
        </w:rPr>
        <w:t xml:space="preserve"> של הסבא, ר׳ רפאל </w:t>
      </w:r>
      <w:proofErr w:type="spellStart"/>
      <w:r>
        <w:rPr>
          <w:rtl/>
        </w:rPr>
        <w:t>שמואלביץ</w:t>
      </w:r>
      <w:proofErr w:type="spellEnd"/>
      <w:r>
        <w:rPr>
          <w:rtl/>
        </w:rPr>
        <w:t xml:space="preserve">: הסבתא אמרה פעם לבעלה שהיא מאוכזבת ממנו, מפני </w:t>
      </w:r>
      <w:proofErr w:type="spellStart"/>
      <w:r>
        <w:rPr>
          <w:rtl/>
        </w:rPr>
        <w:t>ש“זה</w:t>
      </w:r>
      <w:proofErr w:type="spellEnd"/>
      <w:r>
        <w:rPr>
          <w:rtl/>
        </w:rPr>
        <w:t xml:space="preserve"> שלושים שנה לא פתח ספר” – ומכאן שהסתיר את לימודו אפילו ממנה. אבל אני חושד שהסבא עצמו המציא את השיחה הזאת – “אשתי אמרה לי: ‘זה שלושים שנה לא פתחת ספר’, </w:t>
      </w:r>
      <w:proofErr w:type="spellStart"/>
      <w:r>
        <w:rPr>
          <w:rtl/>
        </w:rPr>
        <w:t>וכו</w:t>
      </w:r>
      <w:proofErr w:type="spellEnd"/>
      <w:r>
        <w:rPr>
          <w:rtl/>
        </w:rPr>
        <w:t xml:space="preserve">׳” – כדי לטפח את השמועה שאינו לומד כלל. התחבולה הצליחה כל כך, שאפילו בני משפחתו קיבלו את הסיפור כפשוטו! (ועי׳ </w:t>
      </w:r>
      <w:proofErr w:type="spellStart"/>
      <w:r>
        <w:rPr>
          <w:rtl/>
        </w:rPr>
        <w:t>ב״מ</w:t>
      </w:r>
      <w:proofErr w:type="spellEnd"/>
      <w:r>
        <w:rPr>
          <w:rtl/>
        </w:rPr>
        <w:t xml:space="preserve"> כ״ג </w:t>
      </w:r>
      <w:proofErr w:type="spellStart"/>
      <w:r>
        <w:rPr>
          <w:rtl/>
        </w:rPr>
        <w:t>סע״ב</w:t>
      </w:r>
      <w:proofErr w:type="spellEnd"/>
      <w:r>
        <w:rPr>
          <w:rtl/>
        </w:rPr>
        <w:t xml:space="preserve"> רש״י, ד״ה במסכת.)</w:t>
      </w:r>
      <w:bookmarkStart w:id="4017" w:name="_fnr3057"/>
      <w:r>
        <w:rPr>
          <w:vertAlign w:val="superscript"/>
          <w:rtl/>
        </w:rPr>
        <w:footnoteReference w:id="3065" w:customMarkFollows="0"/>
      </w:r>
      <w:bookmarkEnd w:id="4017"/>
    </w:p>
    <w:bookmarkStart w:id="4018" w:name="b4_note3"/>
    <w:p w14:paraId="1994F63E" w14:textId="7435B70D" w:rsidR="00AB3647" w:rsidRDefault="00000000" w:rsidP="007923E9">
      <w:pPr>
        <w:spacing w:before="120" w:after="100" w:line="276" w:lineRule="auto"/>
        <w:jc w:val="both"/>
      </w:pPr>
      <w:r>
        <w:fldChar w:fldCharType="begin" w:dirty="true"/>
      </w:r>
      <w:r>
        <w:instrText>HYPERLINK \l "b4_text3" \h</w:instrText>
      </w:r>
      <w:r>
        <w:fldChar w:fldCharType="separate"/>
      </w:r>
      <w:r>
        <w:rPr>
          <w:b/>
          <w:bCs/>
          <w:rtl/>
        </w:rPr>
        <w:t>3</w:t>
      </w:r>
      <w:r>
        <w:rPr>
          <w:b/>
          <w:bCs/>
        </w:rPr>
        <w:fldChar w:fldCharType="end"/>
      </w:r>
      <w:bookmarkEnd w:id="4018"/>
      <w:r>
        <w:rPr>
          <w:rtl/>
        </w:rPr>
        <w:t xml:space="preserve"> ראה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02B7631F" w14:textId="04C5CC1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גם על כל פרט ופרט בהלכה הקפיד לא רק בלא פרסום, אלא מתוך מאמץ מכוון להסתיר את הקפדתו מן העין</w:t>
      </w:r>
      <w:bookmarkStart w:id="4019" w:name="b4_text4"/>
      <w:bookmarkEnd w:id="4019"/>
      <w:r>
        <w:rPr>
          <w:sz w:val="18"/>
          <w:szCs w:val="18"/>
          <w:vertAlign w:val="superscript"/>
          <w:rtl/>
        </w:rPr>
        <w:fldChar w:fldCharType="begin" w:dirty="true"/>
      </w:r>
      <w:r>
        <w:rPr>
          <w:sz w:val="18"/>
          <w:szCs w:val="18"/>
          <w:vertAlign w:val="superscript"/>
          <w:rtl/>
        </w:rPr>
        <w:instrText xml:space="preserve"> REF b4_note4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w:t>
      </w:r>
      <w:r>
        <w:rPr>
          <w:sz w:val="18"/>
          <w:szCs w:val="18"/>
          <w:vertAlign w:val="superscript"/>
          <w:rtl/>
        </w:rPr>
        <w:fldChar w:fldCharType="end"/>
      </w:r>
      <w:r>
        <w:rPr>
          <w:rtl/>
        </w:rPr>
        <w:t>. ואף על פי כן העריכו התלמידים את הסבא במלוא ערכו</w:t>
      </w:r>
      <w:bookmarkStart w:id="4020" w:name="b4_text5"/>
      <w:bookmarkEnd w:id="4020"/>
      <w:r>
        <w:rPr>
          <w:sz w:val="18"/>
          <w:szCs w:val="18"/>
          <w:vertAlign w:val="superscript"/>
          <w:rtl/>
        </w:rPr>
        <w:fldChar w:fldCharType="begin" w:dirty="true"/>
      </w:r>
      <w:r>
        <w:rPr>
          <w:sz w:val="18"/>
          <w:szCs w:val="18"/>
          <w:vertAlign w:val="superscript"/>
          <w:rtl/>
        </w:rPr>
        <w:instrText xml:space="preserve"> REF b4_note5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w:t>
      </w:r>
      <w:r>
        <w:rPr>
          <w:sz w:val="18"/>
          <w:szCs w:val="18"/>
          <w:vertAlign w:val="superscript"/>
          <w:rtl/>
        </w:rPr>
        <w:fldChar w:fldCharType="end"/>
      </w:r>
      <w:r>
        <w:rPr>
          <w:rtl/>
        </w:rPr>
        <w:t>. הם ראו בבירור שמטרתו היחידה בחיים היא לחנכם להיות תלמידי חכמים, להעלותם למדרגת בני אדם נעלים ולהוציא את שמם לתהילה, בעוד הוא עצמו מסתפק בעמידה ברקע</w:t>
      </w:r>
      <w:bookmarkStart w:id="4021" w:name="b4_text6"/>
      <w:bookmarkEnd w:id="4021"/>
      <w:r>
        <w:rPr>
          <w:sz w:val="18"/>
          <w:szCs w:val="18"/>
          <w:vertAlign w:val="superscript"/>
          <w:rtl/>
        </w:rPr>
        <w:fldChar w:fldCharType="begin" w:dirty="true"/>
      </w:r>
      <w:r>
        <w:rPr>
          <w:sz w:val="18"/>
          <w:szCs w:val="18"/>
          <w:vertAlign w:val="superscript"/>
          <w:rtl/>
        </w:rPr>
        <w:instrText xml:space="preserve"> REF b4_note6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w:t>
      </w:r>
      <w:r>
        <w:rPr>
          <w:sz w:val="18"/>
          <w:szCs w:val="18"/>
          <w:vertAlign w:val="superscript"/>
          <w:rtl/>
        </w:rPr>
        <w:fldChar w:fldCharType="end"/>
      </w:r>
      <w:r>
        <w:rPr>
          <w:rtl/>
        </w:rPr>
        <w:t>.</w:t>
      </w:r>
    </w:p>
    <w:bookmarkStart w:id="4022" w:name="b4_note4"/>
    <w:p w14:paraId="50625163" w14:textId="77777777" w:rsidR="00AB3647" w:rsidRDefault="00000000" w:rsidP="007923E9">
      <w:pPr>
        <w:spacing w:before="120" w:after="100" w:line="276" w:lineRule="auto"/>
        <w:jc w:val="both"/>
      </w:pPr>
      <w:r>
        <w:fldChar w:fldCharType="begin" w:dirty="true"/>
      </w:r>
      <w:r>
        <w:instrText>HYPERLINK \l "b4_text4" \h</w:instrText>
      </w:r>
      <w:r>
        <w:fldChar w:fldCharType="separate"/>
      </w:r>
      <w:r>
        <w:rPr>
          <w:b/>
          <w:bCs/>
          <w:rtl/>
        </w:rPr>
        <w:t>4</w:t>
      </w:r>
      <w:r>
        <w:rPr>
          <w:b/>
          <w:bCs/>
        </w:rPr>
        <w:fldChar w:fldCharType="end"/>
      </w:r>
      <w:bookmarkEnd w:id="4022"/>
      <w:r>
        <w:rPr>
          <w:rtl/>
        </w:rPr>
        <w:t xml:space="preserve"> השווה כץ, “תנועת המוסר”, כרך ג</w:t>
      </w:r>
      <w:bookmarkStart w:id="4023" w:name="_fnr3058"/>
      <w:r>
        <w:rPr>
          <w:vertAlign w:val="superscript"/>
          <w:rtl/>
        </w:rPr>
        <w:footnoteReference w:id="3066" w:customMarkFollows="0"/>
      </w:r>
      <w:bookmarkEnd w:id="4023"/>
      <w:r>
        <w:rPr>
          <w:rtl/>
        </w:rPr>
        <w:t xml:space="preserve">: על יסוד פסק </w:t>
      </w:r>
      <w:proofErr w:type="spellStart"/>
      <w:r>
        <w:rPr>
          <w:rtl/>
        </w:rPr>
        <w:t>הרא״ש</w:t>
      </w:r>
      <w:bookmarkStart w:id="4024" w:name="_fnr3059"/>
      <w:proofErr w:type="spellEnd"/>
      <w:r>
        <w:rPr>
          <w:vertAlign w:val="superscript"/>
          <w:rtl/>
        </w:rPr>
        <w:footnoteReference w:id="3067" w:customMarkFollows="0"/>
      </w:r>
      <w:bookmarkEnd w:id="4024"/>
      <w:r>
        <w:rPr>
          <w:rtl/>
        </w:rPr>
        <w:t xml:space="preserve"> בעניין ברכות השתדל הסבא </w:t>
      </w:r>
      <w:proofErr w:type="spellStart"/>
      <w:r>
        <w:rPr>
          <w:rtl/>
        </w:rPr>
        <w:t>מסלבודקה</w:t>
      </w:r>
      <w:proofErr w:type="spellEnd"/>
      <w:r>
        <w:rPr>
          <w:rtl/>
        </w:rPr>
        <w:t xml:space="preserve"> לעשות “את כל מעשי המצוות שלו מלמדים לתלמידיו – אך בפשטות ובישרות, באופן שנראה בעיניהם כדבר הרגיל”. אבי אמר בשיחה המוקלטת במלאות חמישים שנה לפטירת הסבא</w:t>
      </w:r>
      <w:bookmarkStart w:id="4025" w:name="_fnr3060"/>
      <w:r>
        <w:rPr>
          <w:vertAlign w:val="superscript"/>
          <w:rtl/>
        </w:rPr>
        <w:footnoteReference w:id="3068" w:customMarkFollows="0"/>
      </w:r>
      <w:bookmarkEnd w:id="4025"/>
      <w:r>
        <w:rPr>
          <w:rtl/>
        </w:rPr>
        <w:t xml:space="preserve"> שכאשר היה הסבא צריך לעשות דבר שהרואים היו מבחינים בו בדקדוק מצוות יוצא מגדר הרגיל, היה עושה אותו בסתר. רבנו סיפר מעשה להמחשת הדבר: אורח שלן בדירת הסבא בליל חמישי התעורר באמצע הלילה לקול חריקה. הוא סבר שיש עכברים </w:t>
      </w:r>
      <w:r>
        <w:rPr>
          <w:rtl/>
        </w:rPr>
        <w:lastRenderedPageBreak/>
        <w:t>במטבחון, הציץ החוצה וראה את מארחו משחיז סכין. הסבא קיים באין רואים מנהג של כבוד שבת המובא בשולחן ערוך</w:t>
      </w:r>
      <w:bookmarkStart w:id="4026" w:name="_fnr3061"/>
      <w:r>
        <w:rPr>
          <w:vertAlign w:val="superscript"/>
          <w:rtl/>
        </w:rPr>
        <w:footnoteReference w:id="3069" w:customMarkFollows="0"/>
      </w:r>
      <w:bookmarkEnd w:id="4026"/>
      <w:r>
        <w:rPr>
          <w:rtl/>
        </w:rPr>
        <w:t>, שהכול מתעלמים ממנו.</w:t>
      </w:r>
    </w:p>
    <w:bookmarkStart w:id="4027" w:name="b4_note5"/>
    <w:p w14:paraId="66D9147D" w14:textId="77777777" w:rsidR="00AB3647" w:rsidRDefault="00000000" w:rsidP="007923E9">
      <w:pPr>
        <w:spacing w:before="120" w:after="100" w:line="276" w:lineRule="auto"/>
        <w:jc w:val="both"/>
      </w:pPr>
      <w:r>
        <w:fldChar w:fldCharType="begin" w:dirty="true"/>
      </w:r>
      <w:r>
        <w:instrText>HYPERLINK \l "b4_text5" \h</w:instrText>
      </w:r>
      <w:r>
        <w:fldChar w:fldCharType="separate"/>
      </w:r>
      <w:r>
        <w:rPr>
          <w:b/>
          <w:bCs/>
          <w:rtl/>
        </w:rPr>
        <w:t>5</w:t>
      </w:r>
      <w:r>
        <w:rPr>
          <w:b/>
          <w:bCs/>
        </w:rPr>
        <w:fldChar w:fldCharType="end"/>
      </w:r>
      <w:bookmarkEnd w:id="4027"/>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28" w:name="_fnr3062"/>
      <w:proofErr w:type="spellEnd"/>
      <w:r>
        <w:rPr>
          <w:vertAlign w:val="superscript"/>
          <w:rtl/>
        </w:rPr>
        <w:footnoteReference w:id="3070" w:customMarkFollows="0"/>
      </w:r>
      <w:bookmarkEnd w:id="4028"/>
      <w:r>
        <w:rPr>
          <w:rtl/>
        </w:rPr>
        <w:t xml:space="preserve"> נאמר: “רק אנשי הישיבה ידעו להעריך את חסידותו הגדולה ואת פרישותו, וראו בו איש קדוש ומנהיג הדור... הם היו קשורים אליו בעבותות אהבה נאמנה”. ר׳ </w:t>
      </w:r>
      <w:proofErr w:type="spellStart"/>
      <w:r>
        <w:rPr>
          <w:rtl/>
        </w:rPr>
        <w:t>לייבל</w:t>
      </w:r>
      <w:proofErr w:type="spellEnd"/>
      <w:r>
        <w:rPr>
          <w:rtl/>
        </w:rPr>
        <w:t xml:space="preserve"> </w:t>
      </w:r>
      <w:proofErr w:type="spellStart"/>
      <w:r>
        <w:rPr>
          <w:rtl/>
        </w:rPr>
        <w:t>פרלשטיין</w:t>
      </w:r>
      <w:bookmarkStart w:id="4029" w:name="_fnr3063"/>
      <w:proofErr w:type="spellEnd"/>
      <w:r>
        <w:rPr>
          <w:vertAlign w:val="superscript"/>
          <w:rtl/>
        </w:rPr>
        <w:footnoteReference w:id="3071" w:customMarkFollows="0"/>
      </w:r>
      <w:bookmarkEnd w:id="4029"/>
      <w:r>
        <w:rPr>
          <w:rtl/>
        </w:rPr>
        <w:t xml:space="preserve"> סיפר בשם אבי שלא זו בלבד שהסבא דאג לטובתו של כל בחור, אלא שהייתה בו היכולת להשרות על כל תלמיד את התחושה שטובתו שלו היא הדבר היחיד שמחנכו נותן עליו את דעתו.</w:t>
      </w:r>
    </w:p>
    <w:bookmarkStart w:id="4030" w:name="b4_note6"/>
    <w:p w14:paraId="30F3E1DE" w14:textId="77777777" w:rsidR="00AB3647" w:rsidRDefault="00000000" w:rsidP="007923E9">
      <w:pPr>
        <w:spacing w:before="120" w:after="100" w:line="276" w:lineRule="auto"/>
        <w:jc w:val="both"/>
      </w:pPr>
      <w:r>
        <w:fldChar w:fldCharType="begin" w:dirty="true"/>
      </w:r>
      <w:r>
        <w:instrText>HYPERLINK \l "b4_text6" \h</w:instrText>
      </w:r>
      <w:r>
        <w:fldChar w:fldCharType="separate"/>
      </w:r>
      <w:r>
        <w:rPr>
          <w:b/>
          <w:bCs/>
          <w:rtl/>
        </w:rPr>
        <w:t>6</w:t>
      </w:r>
      <w:r>
        <w:rPr>
          <w:b/>
          <w:bCs/>
        </w:rPr>
        <w:fldChar w:fldCharType="end"/>
      </w:r>
      <w:bookmarkEnd w:id="4030"/>
      <w:r>
        <w:rPr>
          <w:rtl/>
        </w:rPr>
        <w:t xml:space="preserve"> משפט זה הוא מובאה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31" w:name="_fnr3064"/>
      <w:proofErr w:type="spellEnd"/>
      <w:r>
        <w:rPr>
          <w:vertAlign w:val="superscript"/>
          <w:rtl/>
        </w:rPr>
        <w:footnoteReference w:id="3072" w:customMarkFollows="0"/>
      </w:r>
      <w:bookmarkEnd w:id="4031"/>
      <w:r>
        <w:rPr>
          <w:rtl/>
        </w:rPr>
        <w:t xml:space="preserve">. בשונה מן היחסים המקובלים בין רב לתלמיד, דרך חינוכו של הסבא </w:t>
      </w:r>
      <w:proofErr w:type="spellStart"/>
      <w:r>
        <w:rPr>
          <w:rtl/>
        </w:rPr>
        <w:t>מסלבודקה</w:t>
      </w:r>
      <w:proofErr w:type="spellEnd"/>
      <w:r>
        <w:rPr>
          <w:rtl/>
        </w:rPr>
        <w:t xml:space="preserve"> לא חייבה אותו לגלות את עצמו לתלמידיו, משום שלימדם לפתח את כוחותיהם שלהם ולא לחקות את רבם</w:t>
      </w:r>
      <w:bookmarkStart w:id="4032" w:name="_fnr3065"/>
      <w:r>
        <w:rPr>
          <w:vertAlign w:val="superscript"/>
          <w:rtl/>
        </w:rPr>
        <w:footnoteReference w:id="3073" w:customMarkFollows="0"/>
      </w:r>
      <w:bookmarkEnd w:id="4032"/>
      <w:r>
        <w:rPr>
          <w:rtl/>
        </w:rPr>
        <w:t>. ראה גם הערה 38 להלן. להרחבה על גישתו של הסבא בחינוך כל תלמיד לפי ייחודו, השווה כץ, “תנועת המוסר”, כרך ג</w:t>
      </w:r>
      <w:bookmarkStart w:id="4033" w:name="_fnr3066"/>
      <w:r>
        <w:rPr>
          <w:vertAlign w:val="superscript"/>
          <w:rtl/>
        </w:rPr>
        <w:footnoteReference w:id="3074" w:customMarkFollows="0"/>
      </w:r>
      <w:bookmarkEnd w:id="4033"/>
      <w:r>
        <w:rPr>
          <w:rtl/>
        </w:rPr>
        <w:t>.</w:t>
      </w:r>
    </w:p>
    <w:p w14:paraId="172CCF0D" w14:textId="3333035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דבר אחד לא יכול היה ר׳ </w:t>
      </w:r>
      <w:proofErr w:type="spellStart"/>
      <w:r>
        <w:rPr>
          <w:rtl/>
        </w:rPr>
        <w:t>נתן־צבי</w:t>
      </w:r>
      <w:proofErr w:type="spellEnd"/>
      <w:r>
        <w:rPr>
          <w:rtl/>
        </w:rPr>
        <w:t xml:space="preserve"> </w:t>
      </w:r>
      <w:proofErr w:type="spellStart"/>
      <w:r>
        <w:rPr>
          <w:rtl/>
        </w:rPr>
        <w:t>פינקל</w:t>
      </w:r>
      <w:proofErr w:type="spellEnd"/>
      <w:r>
        <w:rPr>
          <w:rtl/>
        </w:rPr>
        <w:t xml:space="preserve"> להסתיר מתלמידיו: ידיעתו המקיפה באגדות התלמוד והמדרשים ובמסורות על הנהגות התנאים והאמוראים, הפזורות בתלמוד ובספרות הקשורה בו. אלו היו כלי הוראתו, הלבנים והטיט של שיחות המוסר שלו</w:t>
      </w:r>
      <w:bookmarkStart w:id="4034" w:name="b4_text7"/>
      <w:bookmarkEnd w:id="4034"/>
      <w:r>
        <w:rPr>
          <w:sz w:val="18"/>
          <w:szCs w:val="18"/>
          <w:vertAlign w:val="superscript"/>
          <w:rtl/>
        </w:rPr>
        <w:fldChar w:fldCharType="begin" w:dirty="true"/>
      </w:r>
      <w:r>
        <w:rPr>
          <w:sz w:val="18"/>
          <w:szCs w:val="18"/>
          <w:vertAlign w:val="superscript"/>
          <w:rtl/>
        </w:rPr>
        <w:instrText xml:space="preserve"> REF b4_note7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w:t>
      </w:r>
      <w:r>
        <w:rPr>
          <w:sz w:val="18"/>
          <w:szCs w:val="18"/>
          <w:vertAlign w:val="superscript"/>
          <w:rtl/>
        </w:rPr>
        <w:fldChar w:fldCharType="end"/>
      </w:r>
      <w:r>
        <w:rPr>
          <w:rtl/>
        </w:rPr>
        <w:t>.</w:t>
      </w:r>
    </w:p>
    <w:bookmarkStart w:id="4035" w:name="b4_note7"/>
    <w:p w14:paraId="2D0FF18D" w14:textId="471405E9" w:rsidR="00AB3647" w:rsidRDefault="00000000" w:rsidP="007923E9">
      <w:pPr>
        <w:spacing w:before="120" w:after="100" w:line="276" w:lineRule="auto"/>
        <w:jc w:val="both"/>
      </w:pPr>
      <w:r>
        <w:fldChar w:fldCharType="begin" w:dirty="true"/>
      </w:r>
      <w:r>
        <w:instrText>HYPERLINK \l "b4_text7" \h</w:instrText>
      </w:r>
      <w:r>
        <w:fldChar w:fldCharType="separate"/>
      </w:r>
      <w:r>
        <w:rPr>
          <w:b/>
          <w:bCs/>
          <w:rtl/>
        </w:rPr>
        <w:t>7</w:t>
      </w:r>
      <w:r>
        <w:rPr>
          <w:b/>
          <w:bCs/>
        </w:rPr>
        <w:fldChar w:fldCharType="end"/>
      </w:r>
      <w:bookmarkEnd w:id="4035"/>
      <w:r>
        <w:rPr>
          <w:rtl/>
        </w:rPr>
        <w:t xml:space="preserve"> מעקרונות היסוד של תנועת המוסר הוא שגם בענייני מידות יש דיני הלכה, שמקורותיהם נמצאים לעיתים קרובות בתיאורי התלמוד את מעשי החכמים. השווה כץ, “תנועת המוסר”, כרך ב</w:t>
      </w:r>
      <w:bookmarkStart w:id="4036" w:name="_fnr3067"/>
      <w:r>
        <w:rPr>
          <w:vertAlign w:val="superscript"/>
          <w:rtl/>
        </w:rPr>
        <w:footnoteReference w:id="3075" w:customMarkFollows="0"/>
      </w:r>
      <w:bookmarkEnd w:id="4036"/>
      <w:r>
        <w:rPr>
          <w:rtl/>
        </w:rPr>
        <w:t xml:space="preserve">, המביא מכתב של הסבא </w:t>
      </w:r>
      <w:proofErr w:type="spellStart"/>
      <w:r>
        <w:rPr>
          <w:rtl/>
        </w:rPr>
        <w:t>מסלבודקה</w:t>
      </w:r>
      <w:proofErr w:type="spellEnd"/>
      <w:r>
        <w:rPr>
          <w:rtl/>
        </w:rPr>
        <w:t xml:space="preserve">: “[המוסר] פקח עיניים עיוורות לדרכי הלכות התורה בדברים העומדים ברומו של עולם, שבמשך עשרות שנים קודם לכן לא העלו אותם על הדעת; חידש חידושי תורה בהלכות דרך ארץ ובין אדם לחברו, ובייחוד בהלכות יראה, שהיא צורת התורה כולה – דברים שנעלמו מחוגי הגדולים ביותר”. 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והערה 10 להלן</w:t>
      </w:r>
      <w:bookmarkStart w:id="4037" w:name="_fnr3068"/>
      <w:r>
        <w:rPr>
          <w:vertAlign w:val="superscript"/>
          <w:rtl/>
        </w:rPr>
        <w:footnoteReference w:id="3076" w:customMarkFollows="0"/>
      </w:r>
      <w:bookmarkEnd w:id="4037"/>
      <w:r>
        <w:rPr>
          <w:rtl/>
        </w:rPr>
        <w:t>.</w:t>
      </w:r>
    </w:p>
    <w:p w14:paraId="57B2812B" w14:textId="77777777" w:rsidR="00AB3647" w:rsidRDefault="00000000" w:rsidP="007923E9">
      <w:pPr>
        <w:spacing w:after="120" w:line="276" w:lineRule="auto"/>
        <w:jc w:val="both"/>
      </w:pPr>
      <w:r>
        <w:rPr>
          <w:rtl/>
        </w:rPr>
        <w:t>הוא אף היה “בקי להפליא” בתנ״ך עם פירושים</w:t>
      </w:r>
      <w:bookmarkStart w:id="4038" w:name="_fnr3069"/>
      <w:r>
        <w:rPr>
          <w:vertAlign w:val="superscript"/>
          <w:rtl/>
        </w:rPr>
        <w:footnoteReference w:id="3077" w:customMarkFollows="0"/>
      </w:r>
      <w:bookmarkEnd w:id="4038"/>
      <w:r>
        <w:rPr>
          <w:rtl/>
        </w:rPr>
        <w:t xml:space="preserve">, מקצוע שלימד </w:t>
      </w:r>
      <w:proofErr w:type="spellStart"/>
      <w:r>
        <w:rPr>
          <w:rtl/>
        </w:rPr>
        <w:t>בגרובין</w:t>
      </w:r>
      <w:bookmarkStart w:id="4039" w:name="_fnr3070"/>
      <w:proofErr w:type="spellEnd"/>
      <w:r>
        <w:rPr>
          <w:vertAlign w:val="superscript"/>
          <w:rtl/>
        </w:rPr>
        <w:footnoteReference w:id="3078" w:customMarkFollows="0"/>
      </w:r>
      <w:bookmarkEnd w:id="4039"/>
      <w:r>
        <w:rPr>
          <w:rtl/>
        </w:rPr>
        <w:t>.</w:t>
      </w:r>
    </w:p>
    <w:p w14:paraId="76122B61" w14:textId="5EC85B3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אף שמעולם לא נראה שהוא מכין את שיחותיו מראש, היו מלאות רעיונות מבריקים</w:t>
      </w:r>
      <w:bookmarkStart w:id="4040" w:name="b4_text8"/>
      <w:bookmarkEnd w:id="4040"/>
      <w:r>
        <w:rPr>
          <w:sz w:val="18"/>
          <w:szCs w:val="18"/>
          <w:vertAlign w:val="superscript"/>
          <w:rtl/>
        </w:rPr>
        <w:fldChar w:fldCharType="begin" w:dirty="true"/>
      </w:r>
      <w:r>
        <w:rPr>
          <w:sz w:val="18"/>
          <w:szCs w:val="18"/>
          <w:vertAlign w:val="superscript"/>
          <w:rtl/>
        </w:rPr>
        <w:instrText xml:space="preserve"> REF b4_note8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w:t>
      </w:r>
      <w:r>
        <w:rPr>
          <w:sz w:val="18"/>
          <w:szCs w:val="18"/>
          <w:vertAlign w:val="superscript"/>
          <w:rtl/>
        </w:rPr>
        <w:fldChar w:fldCharType="end"/>
      </w:r>
      <w:r>
        <w:rPr>
          <w:rtl/>
        </w:rPr>
        <w:t>. הוא דיבר בשקט ונזהר שלא להוציא מפיו מילה מיותרת או בלתי שקולה</w:t>
      </w:r>
      <w:bookmarkStart w:id="4041" w:name="b4_text9"/>
      <w:bookmarkEnd w:id="4041"/>
      <w:r>
        <w:rPr>
          <w:sz w:val="18"/>
          <w:szCs w:val="18"/>
          <w:vertAlign w:val="superscript"/>
          <w:rtl/>
        </w:rPr>
        <w:fldChar w:fldCharType="begin" w:dirty="true"/>
      </w:r>
      <w:r>
        <w:rPr>
          <w:sz w:val="18"/>
          <w:szCs w:val="18"/>
          <w:vertAlign w:val="superscript"/>
          <w:rtl/>
        </w:rPr>
        <w:instrText xml:space="preserve"> REF b4_note9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w:t>
      </w:r>
      <w:r>
        <w:rPr>
          <w:sz w:val="18"/>
          <w:szCs w:val="18"/>
          <w:vertAlign w:val="superscript"/>
          <w:rtl/>
        </w:rPr>
        <w:fldChar w:fldCharType="end"/>
      </w:r>
      <w:r>
        <w:rPr>
          <w:rtl/>
        </w:rPr>
        <w:t>. בדיבורו לא שילב שום אמצעי רטורי – לא הרמת קול, לא הכאה באגרוף ולא מעבר לניגון – ודבריו נמסרו בלי גינוני נואם. הוא היה קוטע את שיחתו בפתאומיות ומשאיר משפטים בלתי גמורים</w:t>
      </w:r>
      <w:bookmarkStart w:id="4042" w:name="b4_text10"/>
      <w:bookmarkEnd w:id="4042"/>
      <w:r>
        <w:rPr>
          <w:sz w:val="18"/>
          <w:szCs w:val="18"/>
          <w:vertAlign w:val="superscript"/>
          <w:rtl/>
        </w:rPr>
        <w:fldChar w:fldCharType="begin" w:dirty="true"/>
      </w:r>
      <w:r>
        <w:rPr>
          <w:sz w:val="18"/>
          <w:szCs w:val="18"/>
          <w:vertAlign w:val="superscript"/>
          <w:rtl/>
        </w:rPr>
        <w:instrText xml:space="preserve"> REF b4_note10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w:t>
      </w:r>
      <w:r>
        <w:rPr>
          <w:sz w:val="18"/>
          <w:szCs w:val="18"/>
          <w:vertAlign w:val="superscript"/>
          <w:rtl/>
        </w:rPr>
        <w:fldChar w:fldCharType="end"/>
      </w:r>
      <w:r>
        <w:rPr>
          <w:rtl/>
        </w:rPr>
        <w:t>. כל שיחתו הייתה רמזים, פסוקים ומאמרים, שהשומעים היו צריכים לצרף בדעתם ליחידה אחת רצופה</w:t>
      </w:r>
      <w:bookmarkStart w:id="4043" w:name="b4_text11"/>
      <w:bookmarkEnd w:id="4043"/>
      <w:r>
        <w:rPr>
          <w:sz w:val="18"/>
          <w:szCs w:val="18"/>
          <w:vertAlign w:val="superscript"/>
          <w:rtl/>
        </w:rPr>
        <w:fldChar w:fldCharType="begin" w:dirty="true"/>
      </w:r>
      <w:r>
        <w:rPr>
          <w:sz w:val="18"/>
          <w:szCs w:val="18"/>
          <w:vertAlign w:val="superscript"/>
          <w:rtl/>
        </w:rPr>
        <w:instrText xml:space="preserve"> REF b4_note11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w:t>
      </w:r>
      <w:r>
        <w:rPr>
          <w:sz w:val="18"/>
          <w:szCs w:val="18"/>
          <w:vertAlign w:val="superscript"/>
          <w:rtl/>
        </w:rPr>
        <w:fldChar w:fldCharType="end"/>
      </w:r>
      <w:r>
        <w:rPr>
          <w:rtl/>
        </w:rPr>
        <w:t>.</w:t>
      </w:r>
    </w:p>
    <w:bookmarkStart w:id="4044" w:name="b4_note8"/>
    <w:p w14:paraId="3217237F" w14:textId="77777777" w:rsidR="00AB3647" w:rsidRDefault="00000000" w:rsidP="007923E9">
      <w:pPr>
        <w:spacing w:before="120" w:after="100" w:line="276" w:lineRule="auto"/>
        <w:jc w:val="both"/>
      </w:pPr>
      <w:r>
        <w:fldChar w:fldCharType="begin" w:dirty="true"/>
      </w:r>
      <w:r>
        <w:instrText>HYPERLINK \l "b4_text8" \h</w:instrText>
      </w:r>
      <w:r>
        <w:fldChar w:fldCharType="separate"/>
      </w:r>
      <w:r>
        <w:rPr>
          <w:b/>
          <w:bCs/>
          <w:rtl/>
        </w:rPr>
        <w:t>8</w:t>
      </w:r>
      <w:r>
        <w:rPr>
          <w:b/>
          <w:bCs/>
        </w:rPr>
        <w:fldChar w:fldCharType="end"/>
      </w:r>
      <w:bookmarkEnd w:id="4044"/>
      <w:r>
        <w:rPr>
          <w:rtl/>
        </w:rPr>
        <w:t xml:space="preserve"> כץ, “תנועת המוסר”, כרך ג</w:t>
      </w:r>
      <w:bookmarkStart w:id="4045" w:name="_fnr3071"/>
      <w:r>
        <w:rPr>
          <w:vertAlign w:val="superscript"/>
          <w:rtl/>
        </w:rPr>
        <w:footnoteReference w:id="3079" w:customMarkFollows="0"/>
      </w:r>
      <w:bookmarkEnd w:id="4045"/>
      <w:r>
        <w:rPr>
          <w:rtl/>
        </w:rPr>
        <w:t xml:space="preserve">. על הרושם שהותירו שיחות הסבא בתלמידים בדבר גדולתו, כותב אלעזר ראובן </w:t>
      </w:r>
      <w:proofErr w:type="spellStart"/>
      <w:r>
        <w:rPr>
          <w:rtl/>
        </w:rPr>
        <w:t>מושקין</w:t>
      </w:r>
      <w:proofErr w:type="spellEnd"/>
      <w:r>
        <w:rPr>
          <w:rtl/>
        </w:rPr>
        <w:t>, תרמ״ח–תש״י</w:t>
      </w:r>
      <w:bookmarkStart w:id="4046" w:name="_fnr3072"/>
      <w:r>
        <w:rPr>
          <w:vertAlign w:val="superscript"/>
          <w:rtl/>
        </w:rPr>
        <w:footnoteReference w:id="3080" w:customMarkFollows="0"/>
      </w:r>
      <w:bookmarkEnd w:id="4046"/>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47" w:name="_fnr3073"/>
      <w:proofErr w:type="spellEnd"/>
      <w:r>
        <w:rPr>
          <w:vertAlign w:val="superscript"/>
          <w:rtl/>
        </w:rPr>
        <w:footnoteReference w:id="3081" w:customMarkFollows="0"/>
      </w:r>
      <w:bookmarkEnd w:id="4047"/>
      <w:r>
        <w:rPr>
          <w:rtl/>
        </w:rPr>
        <w:t xml:space="preserve">: “רבים שהתנגדו למוסר קודם בואם </w:t>
      </w:r>
      <w:proofErr w:type="spellStart"/>
      <w:r>
        <w:rPr>
          <w:rtl/>
        </w:rPr>
        <w:t>לסלבודקה</w:t>
      </w:r>
      <w:proofErr w:type="spellEnd"/>
      <w:r>
        <w:rPr>
          <w:rtl/>
        </w:rPr>
        <w:t xml:space="preserve"> והתביישו להעלות את הדבר, היו מחפים על התנגדותם בזלזול בסבא, ואומרים: יודעים אנו שהוא גדול במוסר, אבל בראש מוסד תורה כזה צריך לעמוד גאון גדול. ואולם המבקרים הללו היו באים גם הם לשיחותיו המופלאות, ונעשו גדולי מעריציו ומשבחיו, אף שבתחילה זלזלו בו. נוצרה אמרה: אי אפשר להיות ממעריצי הסבא בלי להיות תחילה </w:t>
      </w:r>
      <w:proofErr w:type="spellStart"/>
      <w:r>
        <w:rPr>
          <w:rtl/>
        </w:rPr>
        <w:t>ממקטרגיו</w:t>
      </w:r>
      <w:proofErr w:type="spellEnd"/>
      <w:r>
        <w:rPr>
          <w:rtl/>
        </w:rPr>
        <w:t>... ידוע שהסבא לא היה בעל לשון מלוטשת – ומכאן שההכרה שזכה לה לא באה מצחות לשון שיחותיו, אלא מתוכנן העמוק”.</w:t>
      </w:r>
    </w:p>
    <w:p w14:paraId="3CB99155" w14:textId="77777777" w:rsidR="00AB3647" w:rsidRDefault="00000000" w:rsidP="007923E9">
      <w:pPr>
        <w:spacing w:after="120" w:line="276" w:lineRule="auto"/>
        <w:jc w:val="both"/>
      </w:pPr>
      <w:r>
        <w:rPr>
          <w:rtl/>
        </w:rPr>
        <w:t>אבי ראה בסבא עילוי</w:t>
      </w:r>
      <w:bookmarkStart w:id="4048" w:name="_fnr3074"/>
      <w:r>
        <w:rPr>
          <w:vertAlign w:val="superscript"/>
          <w:rtl/>
        </w:rPr>
        <w:footnoteReference w:id="3082" w:customMarkFollows="0"/>
      </w:r>
      <w:bookmarkEnd w:id="4048"/>
      <w:r>
        <w:rPr>
          <w:rtl/>
        </w:rPr>
        <w:t>. בשיחה המוקלטת במלאות חמישים שנה לפטירת הסבא</w:t>
      </w:r>
      <w:bookmarkStart w:id="4049" w:name="_fnr3075"/>
      <w:r>
        <w:rPr>
          <w:vertAlign w:val="superscript"/>
          <w:rtl/>
        </w:rPr>
        <w:footnoteReference w:id="3083" w:customMarkFollows="0"/>
      </w:r>
      <w:bookmarkEnd w:id="4049"/>
      <w:r>
        <w:rPr>
          <w:rtl/>
        </w:rPr>
        <w:t xml:space="preserve"> המחיש רבנו את גאונות ר׳ </w:t>
      </w:r>
      <w:proofErr w:type="spellStart"/>
      <w:r>
        <w:rPr>
          <w:rtl/>
        </w:rPr>
        <w:t>נתן־צבי</w:t>
      </w:r>
      <w:proofErr w:type="spellEnd"/>
      <w:r>
        <w:rPr>
          <w:rtl/>
        </w:rPr>
        <w:t xml:space="preserve"> בזיכרונו היוצא מן הכלל. אבי סיפר כמה נדהם כשהסבא הזכיר לו </w:t>
      </w:r>
      <w:proofErr w:type="spellStart"/>
      <w:r>
        <w:rPr>
          <w:rtl/>
        </w:rPr>
        <w:t>בתרע״ח</w:t>
      </w:r>
      <w:proofErr w:type="spellEnd"/>
      <w:r>
        <w:rPr>
          <w:rtl/>
        </w:rPr>
        <w:t xml:space="preserve"> – בשובו לישיבה אחרי שלוש שנים רבות מאורעות של מלחמת עולם</w:t>
      </w:r>
      <w:bookmarkStart w:id="4050" w:name="_fnr3076"/>
      <w:r>
        <w:rPr>
          <w:vertAlign w:val="superscript"/>
          <w:rtl/>
        </w:rPr>
        <w:footnoteReference w:id="3084" w:customMarkFollows="0"/>
      </w:r>
      <w:bookmarkEnd w:id="4050"/>
      <w:r>
        <w:rPr>
          <w:rtl/>
        </w:rPr>
        <w:t xml:space="preserve"> – דבר ביקורת שאמר על פלוני שש שנים קודם לכן. רבנו אמר: “דיברתי אז לשון הרע על אדם מסוים ואמרתי שאינו מאמין. עתה הוכיח הסבא שאין הערכתי נכונה, שכן 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נתן לאותו אדם מכתב המלצה למשרת רבנות”. אבי הוסיף שלא ידע אם לכנות כוח זה של הסבא “</w:t>
      </w:r>
      <w:proofErr w:type="spellStart"/>
      <w:r>
        <w:rPr>
          <w:rtl/>
        </w:rPr>
        <w:t>עילויות</w:t>
      </w:r>
      <w:proofErr w:type="spellEnd"/>
      <w:r>
        <w:rPr>
          <w:rtl/>
        </w:rPr>
        <w:t>” או “סייעתא דשמיא”, ונטה לאפשרות השנייה.</w:t>
      </w:r>
    </w:p>
    <w:p w14:paraId="36094DAF" w14:textId="77777777" w:rsidR="00AB3647" w:rsidRDefault="00000000" w:rsidP="007923E9">
      <w:pPr>
        <w:spacing w:after="120" w:line="276" w:lineRule="auto"/>
        <w:jc w:val="both"/>
      </w:pPr>
      <w:r>
        <w:rPr>
          <w:rtl/>
        </w:rPr>
        <w:t xml:space="preserve">ר׳ </w:t>
      </w:r>
      <w:proofErr w:type="spellStart"/>
      <w:r>
        <w:rPr>
          <w:rtl/>
        </w:rPr>
        <w:t>בן־ציון</w:t>
      </w:r>
      <w:proofErr w:type="spellEnd"/>
      <w:r>
        <w:rPr>
          <w:rtl/>
        </w:rPr>
        <w:t xml:space="preserve"> </w:t>
      </w:r>
      <w:proofErr w:type="spellStart"/>
      <w:r>
        <w:rPr>
          <w:rtl/>
        </w:rPr>
        <w:t>בילסקר</w:t>
      </w:r>
      <w:proofErr w:type="spellEnd"/>
      <w:r>
        <w:rPr>
          <w:rtl/>
        </w:rPr>
        <w:t xml:space="preserve"> [</w:t>
      </w:r>
      <w:proofErr w:type="spellStart"/>
      <w:r>
        <w:rPr>
          <w:rtl/>
        </w:rPr>
        <w:t>שטרנפלד</w:t>
      </w:r>
      <w:proofErr w:type="spellEnd"/>
      <w:r>
        <w:rPr>
          <w:rtl/>
        </w:rPr>
        <w:t>], אחד מראשי כולל קובנה בעת ייסודו</w:t>
      </w:r>
      <w:bookmarkStart w:id="4051" w:name="_fnr3077"/>
      <w:r>
        <w:rPr>
          <w:vertAlign w:val="superscript"/>
          <w:rtl/>
        </w:rPr>
        <w:footnoteReference w:id="3085" w:customMarkFollows="0"/>
      </w:r>
      <w:bookmarkEnd w:id="4051"/>
      <w:r>
        <w:rPr>
          <w:rtl/>
        </w:rPr>
        <w:t xml:space="preserve">, כתב את ההסכמה העיקרית </w:t>
      </w:r>
      <w:proofErr w:type="spellStart"/>
      <w:r>
        <w:rPr>
          <w:rtl/>
        </w:rPr>
        <w:t>ל“משנה</w:t>
      </w:r>
      <w:proofErr w:type="spellEnd"/>
      <w:r>
        <w:rPr>
          <w:rtl/>
        </w:rPr>
        <w:t xml:space="preserve"> ברורה”, ונתן את הסכמתו גם </w:t>
      </w:r>
      <w:proofErr w:type="spellStart"/>
      <w:r>
        <w:rPr>
          <w:rtl/>
        </w:rPr>
        <w:t>ל“ספר</w:t>
      </w:r>
      <w:proofErr w:type="spellEnd"/>
      <w:r>
        <w:rPr>
          <w:rtl/>
        </w:rPr>
        <w:t xml:space="preserve"> ליקוטי הלכות” של אותו מחבר</w:t>
      </w:r>
      <w:bookmarkStart w:id="4052" w:name="_fnr3078"/>
      <w:r>
        <w:rPr>
          <w:vertAlign w:val="superscript"/>
          <w:rtl/>
        </w:rPr>
        <w:footnoteReference w:id="3086" w:customMarkFollows="0"/>
      </w:r>
      <w:bookmarkEnd w:id="4052"/>
      <w:r>
        <w:rPr>
          <w:rtl/>
        </w:rPr>
        <w:t xml:space="preserve">. </w:t>
      </w:r>
      <w:proofErr w:type="spellStart"/>
      <w:r>
        <w:rPr>
          <w:rtl/>
        </w:rPr>
        <w:t>החפץ־חיים</w:t>
      </w:r>
      <w:proofErr w:type="spellEnd"/>
      <w:r>
        <w:rPr>
          <w:rtl/>
        </w:rPr>
        <w:t xml:space="preserve"> אמר שכאשר חיפש לעצמו רב, שקל להסתופף אצל ר׳ </w:t>
      </w:r>
      <w:proofErr w:type="spellStart"/>
      <w:r>
        <w:rPr>
          <w:rtl/>
        </w:rPr>
        <w:t>בן־ציון</w:t>
      </w:r>
      <w:proofErr w:type="spellEnd"/>
      <w:r>
        <w:rPr>
          <w:rtl/>
        </w:rPr>
        <w:t xml:space="preserve">, אצל ר׳ </w:t>
      </w:r>
      <w:proofErr w:type="spellStart"/>
      <w:r>
        <w:rPr>
          <w:rtl/>
        </w:rPr>
        <w:t>חיים־לייב</w:t>
      </w:r>
      <w:proofErr w:type="spellEnd"/>
      <w:r>
        <w:rPr>
          <w:rtl/>
        </w:rPr>
        <w:t xml:space="preserve"> </w:t>
      </w:r>
      <w:proofErr w:type="spellStart"/>
      <w:r>
        <w:rPr>
          <w:rtl/>
        </w:rPr>
        <w:lastRenderedPageBreak/>
        <w:t>סטוויסקר</w:t>
      </w:r>
      <w:proofErr w:type="spellEnd"/>
      <w:r>
        <w:rPr>
          <w:rtl/>
        </w:rPr>
        <w:t xml:space="preserve"> [מישקובסקי] או אצל ר׳ </w:t>
      </w:r>
      <w:proofErr w:type="spellStart"/>
      <w:r>
        <w:rPr>
          <w:rtl/>
        </w:rPr>
        <w:t>נחומק׳ה</w:t>
      </w:r>
      <w:proofErr w:type="spellEnd"/>
      <w:r>
        <w:rPr>
          <w:rtl/>
        </w:rPr>
        <w:t xml:space="preserve"> </w:t>
      </w:r>
      <w:proofErr w:type="spellStart"/>
      <w:r>
        <w:rPr>
          <w:rtl/>
        </w:rPr>
        <w:t>הורודנר</w:t>
      </w:r>
      <w:proofErr w:type="spellEnd"/>
      <w:r>
        <w:rPr>
          <w:rtl/>
        </w:rPr>
        <w:t xml:space="preserve"> [קפלן], ולבסוף בחר באחרון</w:t>
      </w:r>
      <w:bookmarkStart w:id="4053" w:name="_fnr3079"/>
      <w:r>
        <w:rPr>
          <w:vertAlign w:val="superscript"/>
          <w:rtl/>
        </w:rPr>
        <w:footnoteReference w:id="3087" w:customMarkFollows="0"/>
      </w:r>
      <w:bookmarkEnd w:id="4053"/>
      <w:r>
        <w:rPr>
          <w:rtl/>
        </w:rPr>
        <w:t xml:space="preserve">. 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w:t>
      </w:r>
      <w:proofErr w:type="spellStart"/>
      <w:r>
        <w:rPr>
          <w:rtl/>
        </w:rPr>
        <w:t>פופקו</w:t>
      </w:r>
      <w:bookmarkStart w:id="4054" w:name="_fnr3080"/>
      <w:proofErr w:type="spellEnd"/>
      <w:r>
        <w:rPr>
          <w:vertAlign w:val="superscript"/>
          <w:rtl/>
        </w:rPr>
        <w:footnoteReference w:id="3088" w:customMarkFollows="0"/>
      </w:r>
      <w:bookmarkEnd w:id="4054"/>
      <w:r>
        <w:rPr>
          <w:rtl/>
        </w:rPr>
        <w:t xml:space="preserve">, מתאר את אביו ואת ר׳ </w:t>
      </w:r>
      <w:proofErr w:type="spellStart"/>
      <w:r>
        <w:rPr>
          <w:rtl/>
        </w:rPr>
        <w:t>בן־ציון</w:t>
      </w:r>
      <w:proofErr w:type="spellEnd"/>
      <w:r>
        <w:rPr>
          <w:rtl/>
        </w:rPr>
        <w:t xml:space="preserve"> </w:t>
      </w:r>
      <w:proofErr w:type="spellStart"/>
      <w:r>
        <w:rPr>
          <w:rtl/>
        </w:rPr>
        <w:t>כ“קרובים</w:t>
      </w:r>
      <w:proofErr w:type="spellEnd"/>
      <w:r>
        <w:rPr>
          <w:rtl/>
        </w:rPr>
        <w:t xml:space="preserve"> מאוד”.</w:t>
      </w:r>
    </w:p>
    <w:p w14:paraId="1DF60A51" w14:textId="4760853B" w:rsidR="00AB3647" w:rsidRDefault="00000000" w:rsidP="007923E9">
      <w:pPr>
        <w:spacing w:after="120" w:line="276" w:lineRule="auto"/>
        <w:jc w:val="both"/>
      </w:pPr>
      <w:r>
        <w:rPr>
          <w:rtl/>
        </w:rPr>
        <w:t xml:space="preserve">השווה גם הערה </w:t>
      </w:r>
      <w:r>
        <w:rPr>
          <w:rtl/>
        </w:rPr>
        <w:fldChar w:fldCharType="begin" w:dirty="true"/>
      </w:r>
      <w:r>
        <w:rPr>
          <w:rtl/>
        </w:rPr>
        <w:instrText xml:space="preserve"> REF b4_note48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להלן לדוגמה נוספת לזיכרונו המצוין של הסבא </w:t>
      </w:r>
      <w:proofErr w:type="spellStart"/>
      <w:r>
        <w:rPr>
          <w:rtl/>
        </w:rPr>
        <w:t>מסלבודקה</w:t>
      </w:r>
      <w:proofErr w:type="spellEnd"/>
      <w:r>
        <w:rPr>
          <w:rtl/>
        </w:rPr>
        <w:t xml:space="preserve">, וכן את מאמרו הנזכר לעיל של אלעזר ראובן </w:t>
      </w:r>
      <w:proofErr w:type="spellStart"/>
      <w:r>
        <w:rPr>
          <w:rtl/>
        </w:rPr>
        <w:t>מושקין</w:t>
      </w:r>
      <w:proofErr w:type="spellEnd"/>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55" w:name="_fnr3081"/>
      <w:proofErr w:type="spellEnd"/>
      <w:r>
        <w:rPr>
          <w:vertAlign w:val="superscript"/>
          <w:rtl/>
        </w:rPr>
        <w:footnoteReference w:id="3089" w:customMarkFollows="0"/>
      </w:r>
      <w:bookmarkEnd w:id="4055"/>
      <w:r>
        <w:rPr>
          <w:rtl/>
        </w:rPr>
        <w:t>, המציין את “זיכרונו המופלא” במעשי התלמידים, “גם שנים רבות אחרי שעזבו את הישיבה”. המאמר מספר: “לעיתים קרובות היה מזכיר לאנשים שלמדו בישיבה רק זמן קצר, שנים אחדות, מה עשו בזמן שהותם בה, ומדגיש את המעשים והפעולות שהשפיעו על תלמידים אחרים באותה תקופה”.</w:t>
      </w:r>
    </w:p>
    <w:bookmarkStart w:id="4056" w:name="b4_note9"/>
    <w:p w14:paraId="02F693CE" w14:textId="77777777" w:rsidR="00AB3647" w:rsidRDefault="00000000" w:rsidP="007923E9">
      <w:pPr>
        <w:spacing w:before="120" w:after="100" w:line="276" w:lineRule="auto"/>
        <w:jc w:val="both"/>
      </w:pPr>
      <w:r>
        <w:fldChar w:fldCharType="begin" w:dirty="true"/>
      </w:r>
      <w:r>
        <w:instrText>HYPERLINK \l "b4_text9" \h</w:instrText>
      </w:r>
      <w:r>
        <w:fldChar w:fldCharType="separate"/>
      </w:r>
      <w:r>
        <w:rPr>
          <w:b/>
          <w:bCs/>
          <w:rtl/>
        </w:rPr>
        <w:t>9</w:t>
      </w:r>
      <w:r>
        <w:rPr>
          <w:b/>
          <w:bCs/>
        </w:rPr>
        <w:fldChar w:fldCharType="end"/>
      </w:r>
      <w:bookmarkEnd w:id="4056"/>
      <w:r>
        <w:rPr>
          <w:rtl/>
        </w:rPr>
        <w:t xml:space="preserve"> “בעקבות היראה”</w:t>
      </w:r>
      <w:bookmarkStart w:id="4057" w:name="_fnr3082"/>
      <w:r>
        <w:rPr>
          <w:vertAlign w:val="superscript"/>
          <w:rtl/>
        </w:rPr>
        <w:footnoteReference w:id="3090" w:customMarkFollows="0"/>
      </w:r>
      <w:bookmarkEnd w:id="4057"/>
      <w:r>
        <w:rPr>
          <w:rtl/>
        </w:rPr>
        <w:t xml:space="preserve"> מתאר את דרך מסירת השיחה בערב שבו שב המחבר </w:t>
      </w:r>
      <w:proofErr w:type="spellStart"/>
      <w:r>
        <w:rPr>
          <w:rtl/>
        </w:rPr>
        <w:t>לסלבודקה</w:t>
      </w:r>
      <w:proofErr w:type="spellEnd"/>
      <w:r>
        <w:rPr>
          <w:rtl/>
        </w:rPr>
        <w:t xml:space="preserve"> מן החופשה, ביום שני, י״ג באלול תרע״ג: “כל דבר פשוט, כל מחשבה קצרה וכל תנועה נשקלים ונמדדים, ואתה חש רוגע וביטחון”.</w:t>
      </w:r>
    </w:p>
    <w:bookmarkStart w:id="4058" w:name="b4_note10"/>
    <w:p w14:paraId="4890F929" w14:textId="77777777" w:rsidR="00AB3647" w:rsidRDefault="00000000" w:rsidP="007923E9">
      <w:pPr>
        <w:spacing w:before="120" w:after="100" w:line="276" w:lineRule="auto"/>
        <w:jc w:val="both"/>
      </w:pPr>
      <w:r>
        <w:fldChar w:fldCharType="begin" w:dirty="true"/>
      </w:r>
      <w:r>
        <w:instrText>HYPERLINK \l "b4_text10" \h</w:instrText>
      </w:r>
      <w:r>
        <w:fldChar w:fldCharType="separate"/>
      </w:r>
      <w:r>
        <w:rPr>
          <w:b/>
          <w:bCs/>
          <w:rtl/>
        </w:rPr>
        <w:t>10</w:t>
      </w:r>
      <w:r>
        <w:rPr>
          <w:b/>
          <w:bCs/>
        </w:rPr>
        <w:fldChar w:fldCharType="end"/>
      </w:r>
      <w:bookmarkEnd w:id="4058"/>
      <w:r>
        <w:rPr>
          <w:rtl/>
        </w:rPr>
        <w:t xml:space="preserve"> כץ, “תנועת המוסר”, כרך ג</w:t>
      </w:r>
      <w:bookmarkStart w:id="4059" w:name="_fnr3083"/>
      <w:r>
        <w:rPr>
          <w:vertAlign w:val="superscript"/>
          <w:rtl/>
        </w:rPr>
        <w:footnoteReference w:id="3091" w:customMarkFollows="0"/>
      </w:r>
      <w:bookmarkEnd w:id="4059"/>
      <w:r>
        <w:rPr>
          <w:rtl/>
        </w:rPr>
        <w:t>. שם מוסברת דרך המסירה המיוחדת ברצונו של הסבא לתת לדבריו אופי של התבוננות שכלית, נקייה מהתלהבות, כאופיו של שיעור הלכתי</w:t>
      </w:r>
      <w:bookmarkStart w:id="4060" w:name="_fnr3084"/>
      <w:r>
        <w:rPr>
          <w:vertAlign w:val="superscript"/>
          <w:rtl/>
        </w:rPr>
        <w:footnoteReference w:id="3092" w:customMarkFollows="0"/>
      </w:r>
      <w:bookmarkEnd w:id="4060"/>
      <w:r>
        <w:rPr>
          <w:rtl/>
        </w:rPr>
        <w:t>. אבל נראה שעם כל מאמציו לא הצליח הסבא ליישב לגמרי בין שיחת המוסר לשיעור ההלכה. השווה שם</w:t>
      </w:r>
      <w:bookmarkStart w:id="4061" w:name="_fnr3085"/>
      <w:r>
        <w:rPr>
          <w:vertAlign w:val="superscript"/>
          <w:rtl/>
        </w:rPr>
        <w:footnoteReference w:id="3093" w:customMarkFollows="0"/>
      </w:r>
      <w:bookmarkEnd w:id="4061"/>
      <w:r>
        <w:rPr>
          <w:rtl/>
        </w:rPr>
        <w:t>: “שיחותיו היו משפיעות עליו מאוד – ואף שנאבק לרסן את התלהבותו, לא תמיד הצליח בכך. לפעמים היו פניו מאדימות, מצחו מבהיק ועיניו נוצצות, וניכר היה שהוא מלא להט... [השומעים] הרגישו פעמים רבות שהוא נחנק בדמעות של התרוממות רוח, עד שלעיתים היה מתחיל לנשוך את שפתיו ולהקיש באצבעותיו כדי לעצור אותן”.</w:t>
      </w:r>
    </w:p>
    <w:bookmarkStart w:id="4062" w:name="b4_note11"/>
    <w:p w14:paraId="7CB383FE" w14:textId="77777777" w:rsidR="00AB3647" w:rsidRDefault="00000000" w:rsidP="007923E9">
      <w:pPr>
        <w:spacing w:before="120" w:after="100" w:line="276" w:lineRule="auto"/>
        <w:jc w:val="both"/>
      </w:pPr>
      <w:r>
        <w:fldChar w:fldCharType="begin" w:dirty="true"/>
      </w:r>
      <w:r>
        <w:instrText>HYPERLINK \l "b4_text11" \h</w:instrText>
      </w:r>
      <w:r>
        <w:fldChar w:fldCharType="separate"/>
      </w:r>
      <w:r>
        <w:rPr>
          <w:b/>
          <w:bCs/>
          <w:rtl/>
        </w:rPr>
        <w:t>11</w:t>
      </w:r>
      <w:r>
        <w:rPr>
          <w:b/>
          <w:bCs/>
        </w:rPr>
        <w:fldChar w:fldCharType="end"/>
      </w:r>
      <w:bookmarkEnd w:id="4062"/>
      <w:r>
        <w:rPr>
          <w:rtl/>
        </w:rPr>
        <w:t xml:space="preserve"> כץ, “תנועת המוסר”, כרך ג</w:t>
      </w:r>
      <w:bookmarkStart w:id="4063" w:name="_fnr3086"/>
      <w:r>
        <w:rPr>
          <w:vertAlign w:val="superscript"/>
          <w:rtl/>
        </w:rPr>
        <w:footnoteReference w:id="3094" w:customMarkFollows="0"/>
      </w:r>
      <w:bookmarkEnd w:id="4063"/>
      <w:r>
        <w:rPr>
          <w:rtl/>
        </w:rPr>
        <w:t xml:space="preserve">. השווה גם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064" w:name="_fnr3087"/>
      <w:r>
        <w:rPr>
          <w:vertAlign w:val="superscript"/>
          <w:rtl/>
        </w:rPr>
        <w:footnoteReference w:id="3095" w:customMarkFollows="0"/>
      </w:r>
      <w:bookmarkEnd w:id="4064"/>
      <w:r>
        <w:rPr>
          <w:rtl/>
        </w:rPr>
        <w:t>. מחבר המאמר, המתנגד למוסר, טוען שם שהוא זוכר את צורתו המדויקת של “</w:t>
      </w:r>
      <w:r>
        <w:rPr>
          <w:b/>
          <w:bCs/>
          <w:rtl/>
        </w:rPr>
        <w:t>חלק</w:t>
      </w:r>
      <w:r>
        <w:rPr>
          <w:rtl/>
        </w:rPr>
        <w:t xml:space="preserve"> (ההדגשה שלי) משיחה אחת שנאמרה בחודש אלול”. הוא תרגם את הדברים מיידיש לעברית, והם מובאים כאן [ברובם] בתרגום חוזר מן האנגלית: “תשובה... תשובה ומעשים טובים... קשה להשיגם... ואף על פי כן צריך להשתדל... אין דבר עומד בפני בעלי תשובה... פתחה של </w:t>
      </w:r>
      <w:proofErr w:type="spellStart"/>
      <w:r>
        <w:rPr>
          <w:rtl/>
        </w:rPr>
        <w:t>גיהנם</w:t>
      </w:r>
      <w:proofErr w:type="spellEnd"/>
      <w:r>
        <w:rPr>
          <w:rtl/>
        </w:rPr>
        <w:t xml:space="preserve">... כל המרבה שיחה עם </w:t>
      </w:r>
      <w:proofErr w:type="spellStart"/>
      <w:r>
        <w:rPr>
          <w:rtl/>
        </w:rPr>
        <w:t>האשה</w:t>
      </w:r>
      <w:proofErr w:type="spellEnd"/>
      <w:r>
        <w:rPr>
          <w:rtl/>
        </w:rPr>
        <w:t xml:space="preserve"> יורש </w:t>
      </w:r>
      <w:proofErr w:type="spellStart"/>
      <w:r>
        <w:rPr>
          <w:rtl/>
        </w:rPr>
        <w:t>גיהנם</w:t>
      </w:r>
      <w:proofErr w:type="spellEnd"/>
      <w:r>
        <w:rPr>
          <w:rtl/>
        </w:rPr>
        <w:t xml:space="preserve">... המנבל את פיו... כל הכועס... מי שיש בו חנופה... גסות הרוח... כל הפורש מדברי תורה נופל </w:t>
      </w:r>
      <w:proofErr w:type="spellStart"/>
      <w:r>
        <w:rPr>
          <w:rtl/>
        </w:rPr>
        <w:t>בגיהנם</w:t>
      </w:r>
      <w:proofErr w:type="spellEnd"/>
      <w:r>
        <w:rPr>
          <w:rtl/>
        </w:rPr>
        <w:t xml:space="preserve">... אבל הקורא שמע ומדקדק באותיותיה </w:t>
      </w:r>
      <w:proofErr w:type="spellStart"/>
      <w:r>
        <w:rPr>
          <w:rtl/>
        </w:rPr>
        <w:t>מצננין</w:t>
      </w:r>
      <w:proofErr w:type="spellEnd"/>
      <w:r>
        <w:rPr>
          <w:rtl/>
        </w:rPr>
        <w:t xml:space="preserve"> לו </w:t>
      </w:r>
      <w:proofErr w:type="spellStart"/>
      <w:r>
        <w:rPr>
          <w:rtl/>
        </w:rPr>
        <w:t>גיהנם</w:t>
      </w:r>
      <w:proofErr w:type="spellEnd"/>
      <w:r>
        <w:rPr>
          <w:rtl/>
        </w:rPr>
        <w:t xml:space="preserve">... כל זמן שאדם חי יש לו תקווה... היום </w:t>
      </w:r>
      <w:r>
        <w:rPr>
          <w:rtl/>
        </w:rPr>
        <w:lastRenderedPageBreak/>
        <w:t>עדיין יש זמן, אבל מי יודע אם מחר...? כל הבוכה בלילה קולו נשמע... כאן פרץ כל הקהל בבכי, והניגש לפני התיבה לערבית היה כשליח ציבור המתפלל כל נדרי: כאילו העולם כולו הגיע אל קצו בלא תקווה”.</w:t>
      </w:r>
    </w:p>
    <w:p w14:paraId="0DDB9FE9" w14:textId="77777777" w:rsidR="00AB3647" w:rsidRDefault="00000000" w:rsidP="007923E9">
      <w:pPr>
        <w:spacing w:before="120" w:after="100" w:line="276" w:lineRule="auto"/>
        <w:jc w:val="both"/>
      </w:pPr>
      <w:r>
        <w:rPr>
          <w:rtl/>
        </w:rPr>
        <w:t xml:space="preserve">המשפט האחרון מוטה ואינו אמת. מחבר המאמר מצייר את השפעתה של שיחת מוסר בקווים משכיליים טיפוסיים, ובוודאי לא כפי שהיה </w:t>
      </w:r>
      <w:proofErr w:type="spellStart"/>
      <w:r>
        <w:rPr>
          <w:rtl/>
        </w:rPr>
        <w:t>בסלבודקה</w:t>
      </w:r>
      <w:proofErr w:type="spellEnd"/>
      <w:r>
        <w:rPr>
          <w:rtl/>
        </w:rPr>
        <w:t>, שבה הוא טוען שחווה אותה. אולם תיאורו את צורת מסירת הדברים של הסבא, המתיישב עם דברי כץ התומך במוסר, מסתבר שהוא נאמן.</w:t>
      </w:r>
    </w:p>
    <w:p w14:paraId="3D927234" w14:textId="77777777" w:rsidR="00AB3647" w:rsidRDefault="00000000" w:rsidP="007923E9">
      <w:pPr>
        <w:spacing w:before="120" w:after="100" w:line="276" w:lineRule="auto"/>
        <w:jc w:val="both"/>
      </w:pPr>
      <w:r>
        <w:rPr>
          <w:rtl/>
        </w:rPr>
        <w:t xml:space="preserve">בשיחה זו – שהכותב מודה שהיא רק חלק משיחה, כפי שהודגש לעיל – הביא הסבא בזה אחר זה </w:t>
      </w:r>
      <w:proofErr w:type="spellStart"/>
      <w:r>
        <w:rPr>
          <w:rtl/>
        </w:rPr>
        <w:t>שנים־עשר</w:t>
      </w:r>
      <w:proofErr w:type="spellEnd"/>
      <w:r>
        <w:rPr>
          <w:rtl/>
        </w:rPr>
        <w:t xml:space="preserve"> מאמרי חז״ל ממקורות שונים: ברכות </w:t>
      </w:r>
      <w:proofErr w:type="spellStart"/>
      <w:r>
        <w:rPr>
          <w:rtl/>
        </w:rPr>
        <w:t>יז</w:t>
      </w:r>
      <w:proofErr w:type="spellEnd"/>
      <w:r>
        <w:rPr>
          <w:rtl/>
        </w:rPr>
        <w:t xml:space="preserve"> ע״א; ירושלמי פאה פ״א ה״א; עירובין </w:t>
      </w:r>
      <w:proofErr w:type="spellStart"/>
      <w:r>
        <w:rPr>
          <w:rtl/>
        </w:rPr>
        <w:t>יט</w:t>
      </w:r>
      <w:proofErr w:type="spellEnd"/>
      <w:r>
        <w:rPr>
          <w:rtl/>
        </w:rPr>
        <w:t xml:space="preserve"> ע״א; אבות פ״א מ״ה; שבת לג ע״א; נדרים </w:t>
      </w:r>
      <w:proofErr w:type="spellStart"/>
      <w:r>
        <w:rPr>
          <w:rtl/>
        </w:rPr>
        <w:t>כב</w:t>
      </w:r>
      <w:proofErr w:type="spellEnd"/>
      <w:r>
        <w:rPr>
          <w:rtl/>
        </w:rPr>
        <w:t xml:space="preserve"> ע״א; סוטה </w:t>
      </w:r>
      <w:proofErr w:type="spellStart"/>
      <w:r>
        <w:rPr>
          <w:rtl/>
        </w:rPr>
        <w:t>מא</w:t>
      </w:r>
      <w:proofErr w:type="spellEnd"/>
      <w:r>
        <w:rPr>
          <w:rtl/>
        </w:rPr>
        <w:t xml:space="preserve"> ע״ב; ב״ב י ע״ב; ושם עט ע״א; ברכות טו ע״ב; שבת </w:t>
      </w:r>
      <w:proofErr w:type="spellStart"/>
      <w:r>
        <w:rPr>
          <w:rtl/>
        </w:rPr>
        <w:t>קנג</w:t>
      </w:r>
      <w:proofErr w:type="spellEnd"/>
      <w:r>
        <w:rPr>
          <w:rtl/>
        </w:rPr>
        <w:t xml:space="preserve"> ע״א; סנהדרין קד ע״ב. המאזין, שעקב אחר סדרם, צירף אותם לשיחה רצופה אחת.</w:t>
      </w:r>
    </w:p>
    <w:p w14:paraId="36341673" w14:textId="5CE3F5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התלמידים היו מצטופפים סביבו, רוכנים ומטים אוזן במאמץ שלא להחמיץ מילה או צליל</w:t>
      </w:r>
      <w:bookmarkStart w:id="4065" w:name="b4_text12"/>
      <w:bookmarkEnd w:id="4065"/>
      <w:r>
        <w:rPr>
          <w:sz w:val="18"/>
          <w:szCs w:val="18"/>
          <w:vertAlign w:val="superscript"/>
          <w:rtl/>
        </w:rPr>
        <w:fldChar w:fldCharType="begin" w:dirty="true"/>
      </w:r>
      <w:r>
        <w:rPr>
          <w:sz w:val="18"/>
          <w:szCs w:val="18"/>
          <w:vertAlign w:val="superscript"/>
          <w:rtl/>
        </w:rPr>
        <w:instrText xml:space="preserve"> REF b4_note12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w:t>
      </w:r>
      <w:r>
        <w:rPr>
          <w:sz w:val="18"/>
          <w:szCs w:val="18"/>
          <w:vertAlign w:val="superscript"/>
          <w:rtl/>
        </w:rPr>
        <w:fldChar w:fldCharType="end"/>
      </w:r>
      <w:r>
        <w:rPr>
          <w:rtl/>
        </w:rPr>
        <w:t>.</w:t>
      </w:r>
    </w:p>
    <w:bookmarkStart w:id="4066" w:name="b4_note12"/>
    <w:p w14:paraId="074E004A" w14:textId="77777777" w:rsidR="00AB3647" w:rsidRDefault="00000000" w:rsidP="007923E9">
      <w:pPr>
        <w:spacing w:before="120" w:after="100" w:line="276" w:lineRule="auto"/>
        <w:jc w:val="both"/>
      </w:pPr>
      <w:r>
        <w:fldChar w:fldCharType="begin" w:dirty="true"/>
      </w:r>
      <w:r>
        <w:instrText>HYPERLINK \l "b4_text12" \h</w:instrText>
      </w:r>
      <w:r>
        <w:fldChar w:fldCharType="separate"/>
      </w:r>
      <w:r>
        <w:rPr>
          <w:b/>
          <w:bCs/>
          <w:rtl/>
        </w:rPr>
        <w:t>12</w:t>
      </w:r>
      <w:r>
        <w:rPr>
          <w:b/>
          <w:bCs/>
        </w:rPr>
        <w:fldChar w:fldCharType="end"/>
      </w:r>
      <w:bookmarkEnd w:id="4066"/>
      <w:r>
        <w:rPr>
          <w:rtl/>
        </w:rPr>
        <w:t xml:space="preserve"> כץ, “תנועת המוסר”, כרך ג</w:t>
      </w:r>
      <w:bookmarkStart w:id="4067" w:name="_fnr3088"/>
      <w:r>
        <w:rPr>
          <w:vertAlign w:val="superscript"/>
          <w:rtl/>
        </w:rPr>
        <w:footnoteReference w:id="3096" w:customMarkFollows="0"/>
      </w:r>
      <w:bookmarkEnd w:id="4067"/>
      <w:r>
        <w:rPr>
          <w:rtl/>
        </w:rPr>
        <w:t>. המתח שהצליח הסבא ליצור סביב שיחותיו מיוחס לדרכי הוראתו: “מפני שדיבר בשקט ובלא בהירות”, ניצב השומע בפני האתגר “לתפוס מילה, להשיג מחשבה, להבין משהו”. ר׳ זבולון גרז</w:t>
      </w:r>
      <w:bookmarkStart w:id="4068" w:name="_fnr3089"/>
      <w:r>
        <w:rPr>
          <w:vertAlign w:val="superscript"/>
          <w:rtl/>
        </w:rPr>
        <w:footnoteReference w:id="3097" w:customMarkFollows="0"/>
      </w:r>
      <w:bookmarkEnd w:id="4068"/>
      <w:r>
        <w:rPr>
          <w:rtl/>
        </w:rPr>
        <w:t xml:space="preserve"> תיאר זאת כך: “הסבא דיבר בקול נמוך – למיטב זיכרוני – לפחות שעה</w:t>
      </w:r>
      <w:bookmarkStart w:id="4069" w:name="_fnr3090"/>
      <w:r>
        <w:rPr>
          <w:vertAlign w:val="superscript"/>
          <w:rtl/>
        </w:rPr>
        <w:footnoteReference w:id="3098" w:customMarkFollows="0"/>
      </w:r>
      <w:bookmarkEnd w:id="4069"/>
      <w:r>
        <w:rPr>
          <w:rtl/>
        </w:rPr>
        <w:t>, והתלמידים היו מאזינים בדריכות ובלהיטות לכל מילה. כל מילה הייתה נטעמת ונבלעת”. השווה גם פרק 3, הפסקה השנייה של נספח לג.</w:t>
      </w:r>
    </w:p>
    <w:p w14:paraId="566DC76F" w14:textId="2856831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אחרי כל שיחה היו דנים ביניהם למה בדיוק התכוון רבם, ולעיתים קרובות פנו אליו לבקש הבהרה</w:t>
      </w:r>
      <w:bookmarkStart w:id="4070" w:name="b4_text13"/>
      <w:bookmarkEnd w:id="4070"/>
      <w:r>
        <w:rPr>
          <w:sz w:val="18"/>
          <w:szCs w:val="18"/>
          <w:vertAlign w:val="superscript"/>
          <w:rtl/>
        </w:rPr>
        <w:fldChar w:fldCharType="begin" w:dirty="true"/>
      </w:r>
      <w:r>
        <w:rPr>
          <w:sz w:val="18"/>
          <w:szCs w:val="18"/>
          <w:vertAlign w:val="superscript"/>
          <w:rtl/>
        </w:rPr>
        <w:instrText xml:space="preserve"> REF b4_note13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w:t>
      </w:r>
      <w:r>
        <w:rPr>
          <w:sz w:val="18"/>
          <w:szCs w:val="18"/>
          <w:vertAlign w:val="superscript"/>
          <w:rtl/>
        </w:rPr>
        <w:fldChar w:fldCharType="end"/>
      </w:r>
      <w:r>
        <w:rPr>
          <w:rtl/>
        </w:rPr>
        <w:t xml:space="preserve">. כשפנה ר׳ </w:t>
      </w:r>
      <w:proofErr w:type="spellStart"/>
      <w:r>
        <w:rPr>
          <w:rtl/>
        </w:rPr>
        <w:t>נתן־צבי</w:t>
      </w:r>
      <w:proofErr w:type="spellEnd"/>
      <w:r>
        <w:rPr>
          <w:rtl/>
        </w:rPr>
        <w:t xml:space="preserve"> אל קבוצה, או אפילו אל יחיד שלא הכיר היטב, נהג הנהגה משונה: בשעת דיבורו היה משפיל את מבטו אל ציפורניו, מסובב את מפרקי ידיו ומכופף ופושט את אצבעותיו, כדי שלא להסיר את עיניו מן הציפורניים</w:t>
      </w:r>
      <w:bookmarkStart w:id="4071" w:name="b4_text14"/>
      <w:bookmarkEnd w:id="4071"/>
      <w:r>
        <w:rPr>
          <w:sz w:val="18"/>
          <w:szCs w:val="18"/>
          <w:vertAlign w:val="superscript"/>
          <w:rtl/>
        </w:rPr>
        <w:fldChar w:fldCharType="begin" w:dirty="true"/>
      </w:r>
      <w:r>
        <w:rPr>
          <w:sz w:val="18"/>
          <w:szCs w:val="18"/>
          <w:vertAlign w:val="superscript"/>
          <w:rtl/>
        </w:rPr>
        <w:instrText xml:space="preserve"> REF b4_note14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w:t>
      </w:r>
      <w:r>
        <w:rPr>
          <w:sz w:val="18"/>
          <w:szCs w:val="18"/>
          <w:vertAlign w:val="superscript"/>
          <w:rtl/>
        </w:rPr>
        <w:fldChar w:fldCharType="end"/>
      </w:r>
      <w:r>
        <w:rPr>
          <w:rtl/>
        </w:rPr>
        <w:t>. הוא חשש להסתכל בפני שומעיו</w:t>
      </w:r>
      <w:bookmarkStart w:id="4072" w:name="b4_text15"/>
      <w:bookmarkEnd w:id="4072"/>
      <w:r>
        <w:rPr>
          <w:sz w:val="18"/>
          <w:szCs w:val="18"/>
          <w:vertAlign w:val="superscript"/>
          <w:rtl/>
        </w:rPr>
        <w:fldChar w:fldCharType="begin" w:dirty="true"/>
      </w:r>
      <w:r>
        <w:rPr>
          <w:sz w:val="18"/>
          <w:szCs w:val="18"/>
          <w:vertAlign w:val="superscript"/>
          <w:rtl/>
        </w:rPr>
        <w:instrText xml:space="preserve"> REF b4_note15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w:t>
      </w:r>
      <w:r>
        <w:rPr>
          <w:sz w:val="18"/>
          <w:szCs w:val="18"/>
          <w:vertAlign w:val="superscript"/>
          <w:rtl/>
        </w:rPr>
        <w:fldChar w:fldCharType="end"/>
      </w:r>
      <w:r>
        <w:rPr>
          <w:rtl/>
        </w:rPr>
        <w:t>.</w:t>
      </w:r>
    </w:p>
    <w:bookmarkStart w:id="4073" w:name="b4_note13"/>
    <w:p w14:paraId="4C88E223" w14:textId="77777777" w:rsidR="00AB3647" w:rsidRDefault="00000000" w:rsidP="007923E9">
      <w:pPr>
        <w:spacing w:before="120" w:after="100" w:line="276" w:lineRule="auto"/>
        <w:jc w:val="both"/>
      </w:pPr>
      <w:r>
        <w:fldChar w:fldCharType="begin" w:dirty="true"/>
      </w:r>
      <w:r>
        <w:instrText>HYPERLINK \l "b4_text13" \h</w:instrText>
      </w:r>
      <w:r>
        <w:fldChar w:fldCharType="separate"/>
      </w:r>
      <w:r>
        <w:rPr>
          <w:b/>
          <w:bCs/>
          <w:rtl/>
        </w:rPr>
        <w:t>13</w:t>
      </w:r>
      <w:r>
        <w:rPr>
          <w:b/>
          <w:bCs/>
        </w:rPr>
        <w:fldChar w:fldCharType="end"/>
      </w:r>
      <w:bookmarkEnd w:id="4073"/>
      <w:r>
        <w:rPr>
          <w:rtl/>
        </w:rPr>
        <w:t xml:space="preserve"> ר׳ זבולון גרז אמר: “כל מילה מן השיחה הייתה נידונה ומתבררת – ממש כמו שיעור – והיו מבקשים מן הסבא לבאר נקודות מסוימות, והוא שמח מאוד לעשות כן”. “תורת אברהם”</w:t>
      </w:r>
      <w:bookmarkStart w:id="4074" w:name="_fnr3091"/>
      <w:r>
        <w:rPr>
          <w:vertAlign w:val="superscript"/>
          <w:rtl/>
        </w:rPr>
        <w:footnoteReference w:id="3099" w:customMarkFollows="0"/>
      </w:r>
      <w:bookmarkEnd w:id="4074"/>
      <w:r>
        <w:rPr>
          <w:rtl/>
        </w:rPr>
        <w:t xml:space="preserve"> מוסיף: “גדולי העילויים והבקיאים ביותר נמשכו אל המשא ומתן המחודד, בייחוד מפני שהדיון ההלכתי הזה עסק בנושאים חדשים – נושאים שהציבור בכללו ראה בהם אגדה – ואילו אצל רבנו </w:t>
      </w:r>
      <w:proofErr w:type="spellStart"/>
      <w:r>
        <w:rPr>
          <w:rtl/>
        </w:rPr>
        <w:t>נתברר</w:t>
      </w:r>
      <w:proofErr w:type="spellEnd"/>
      <w:r>
        <w:rPr>
          <w:rtl/>
        </w:rPr>
        <w:t xml:space="preserve"> להם שכולם ענייני הלכה, מן הגדולים והקשים שבש״ס. תפיסה </w:t>
      </w:r>
      <w:r>
        <w:rPr>
          <w:rtl/>
        </w:rPr>
        <w:lastRenderedPageBreak/>
        <w:t xml:space="preserve">חדשה זו גרמה [לאנשים] להרהר בעניינים הללו יותר ויותר – לשאול ולהשיב, לסתור ולבנות. כך </w:t>
      </w:r>
      <w:proofErr w:type="spellStart"/>
      <w:r>
        <w:rPr>
          <w:rtl/>
        </w:rPr>
        <w:t>נתלבנו</w:t>
      </w:r>
      <w:proofErr w:type="spellEnd"/>
      <w:r>
        <w:rPr>
          <w:rtl/>
        </w:rPr>
        <w:t xml:space="preserve"> הנושאים </w:t>
      </w:r>
      <w:proofErr w:type="spellStart"/>
      <w:r>
        <w:rPr>
          <w:rtl/>
        </w:rPr>
        <w:t>ונתרחבו</w:t>
      </w:r>
      <w:proofErr w:type="spellEnd"/>
      <w:r>
        <w:rPr>
          <w:rtl/>
        </w:rPr>
        <w:t>”.</w:t>
      </w:r>
    </w:p>
    <w:p w14:paraId="3A58395F" w14:textId="77777777" w:rsidR="00AB3647" w:rsidRDefault="00000000" w:rsidP="007923E9">
      <w:pPr>
        <w:spacing w:before="120" w:after="100" w:line="276" w:lineRule="auto"/>
        <w:jc w:val="both"/>
      </w:pPr>
      <w:r>
        <w:rPr>
          <w:rtl/>
        </w:rPr>
        <w:t>מחבר “תורת אברהם” מנתח את הדבר שם</w:t>
      </w:r>
      <w:bookmarkStart w:id="4075" w:name="_fnr3092"/>
      <w:r>
        <w:rPr>
          <w:vertAlign w:val="superscript"/>
          <w:rtl/>
        </w:rPr>
        <w:footnoteReference w:id="3100" w:customMarkFollows="0"/>
      </w:r>
      <w:bookmarkEnd w:id="4075"/>
      <w:r>
        <w:rPr>
          <w:rtl/>
        </w:rPr>
        <w:t>: “אילו היו שיחות המוסר לשם התעוררות והתחזקות, לא היה מקום למשא ומתן כדרך ההלכה, אלא להקשבה בלבד – לשמוע ולציית. אולם מאחר שהתוכן והדרך</w:t>
      </w:r>
      <w:bookmarkStart w:id="4076" w:name="_fnr3093"/>
      <w:r>
        <w:rPr>
          <w:vertAlign w:val="superscript"/>
          <w:rtl/>
        </w:rPr>
        <w:footnoteReference w:id="3101" w:customMarkFollows="0"/>
      </w:r>
      <w:bookmarkEnd w:id="4076"/>
      <w:r>
        <w:rPr>
          <w:rtl/>
        </w:rPr>
        <w:t xml:space="preserve"> היו עניין של תורה, כלומר עניין הלכתי, היה המשא ומתן מרכיב מרכזי”.</w:t>
      </w:r>
    </w:p>
    <w:p w14:paraId="659DD77D" w14:textId="77777777" w:rsidR="00AB3647" w:rsidRDefault="00000000" w:rsidP="007923E9">
      <w:pPr>
        <w:spacing w:before="120" w:after="100" w:line="276" w:lineRule="auto"/>
        <w:jc w:val="both"/>
      </w:pPr>
      <w:r>
        <w:rPr>
          <w:rtl/>
        </w:rPr>
        <w:t xml:space="preserve">לדברי ר׳ שלמה </w:t>
      </w:r>
      <w:proofErr w:type="spellStart"/>
      <w:r>
        <w:rPr>
          <w:rtl/>
        </w:rPr>
        <w:t>איידלשטיין</w:t>
      </w:r>
      <w:bookmarkStart w:id="4077" w:name="_fnr3094"/>
      <w:proofErr w:type="spellEnd"/>
      <w:r>
        <w:rPr>
          <w:vertAlign w:val="superscript"/>
          <w:rtl/>
        </w:rPr>
        <w:footnoteReference w:id="3102" w:customMarkFollows="0"/>
      </w:r>
      <w:bookmarkEnd w:id="4077"/>
      <w:r>
        <w:rPr>
          <w:rtl/>
        </w:rPr>
        <w:t xml:space="preserve">, אמר ר׳ יוסף </w:t>
      </w:r>
      <w:proofErr w:type="spellStart"/>
      <w:r>
        <w:rPr>
          <w:rtl/>
        </w:rPr>
        <w:t>דינקלס</w:t>
      </w:r>
      <w:proofErr w:type="spellEnd"/>
      <w:r>
        <w:rPr>
          <w:rtl/>
        </w:rPr>
        <w:t xml:space="preserve">: “את החריפות שהראה ר׳ </w:t>
      </w:r>
      <w:proofErr w:type="spellStart"/>
      <w:r>
        <w:rPr>
          <w:rtl/>
        </w:rPr>
        <w:t>איצל׳ה</w:t>
      </w:r>
      <w:proofErr w:type="spellEnd"/>
      <w:r>
        <w:rPr>
          <w:rtl/>
        </w:rPr>
        <w:t xml:space="preserve"> [</w:t>
      </w:r>
      <w:proofErr w:type="spellStart"/>
      <w:r>
        <w:rPr>
          <w:rtl/>
        </w:rPr>
        <w:t>פוניבז׳ר</w:t>
      </w:r>
      <w:proofErr w:type="spellEnd"/>
      <w:r>
        <w:rPr>
          <w:rtl/>
        </w:rPr>
        <w:t xml:space="preserve">] בלמדנות, הראה הסבא במוסר”. הרב </w:t>
      </w:r>
      <w:proofErr w:type="spellStart"/>
      <w:r>
        <w:rPr>
          <w:rtl/>
        </w:rPr>
        <w:t>דינקלס</w:t>
      </w:r>
      <w:proofErr w:type="spellEnd"/>
      <w:r>
        <w:rPr>
          <w:rtl/>
        </w:rPr>
        <w:t xml:space="preserve"> למד חצי שנה אצל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במריופול</w:t>
      </w:r>
      <w:proofErr w:type="spellEnd"/>
      <w:r>
        <w:rPr>
          <w:rtl/>
        </w:rPr>
        <w:t xml:space="preserve"> שבאוקראינה, בקיץ תרע״ז</w:t>
      </w:r>
      <w:bookmarkStart w:id="4078" w:name="_fnr3095"/>
      <w:r>
        <w:rPr>
          <w:vertAlign w:val="superscript"/>
          <w:rtl/>
        </w:rPr>
        <w:footnoteReference w:id="3103" w:customMarkFollows="0"/>
      </w:r>
      <w:bookmarkEnd w:id="4078"/>
      <w:r>
        <w:rPr>
          <w:rtl/>
        </w:rPr>
        <w:t xml:space="preserve">, ואצל הסבא – אחרי ששב </w:t>
      </w:r>
      <w:proofErr w:type="spellStart"/>
      <w:r>
        <w:rPr>
          <w:rtl/>
        </w:rPr>
        <w:t>לסלבודקה</w:t>
      </w:r>
      <w:proofErr w:type="spellEnd"/>
      <w:r>
        <w:rPr>
          <w:rtl/>
        </w:rPr>
        <w:t xml:space="preserve"> </w:t>
      </w:r>
      <w:proofErr w:type="spellStart"/>
      <w:r>
        <w:rPr>
          <w:rtl/>
        </w:rPr>
        <w:t>מקרמנצ׳וג</w:t>
      </w:r>
      <w:proofErr w:type="spellEnd"/>
      <w:r>
        <w:rPr>
          <w:rtl/>
        </w:rPr>
        <w:t>.</w:t>
      </w:r>
    </w:p>
    <w:bookmarkStart w:id="4079" w:name="b4_note14"/>
    <w:p w14:paraId="7360B86A" w14:textId="77777777" w:rsidR="00AB3647" w:rsidRDefault="00000000" w:rsidP="007923E9">
      <w:pPr>
        <w:spacing w:before="120" w:after="100" w:line="276" w:lineRule="auto"/>
        <w:jc w:val="both"/>
      </w:pPr>
      <w:r>
        <w:fldChar w:fldCharType="begin" w:dirty="true"/>
      </w:r>
      <w:r>
        <w:instrText>HYPERLINK \l "b4_text14" \h</w:instrText>
      </w:r>
      <w:r>
        <w:fldChar w:fldCharType="separate"/>
      </w:r>
      <w:r>
        <w:rPr>
          <w:b/>
          <w:bCs/>
          <w:rtl/>
        </w:rPr>
        <w:t>14</w:t>
      </w:r>
      <w:r>
        <w:rPr>
          <w:b/>
          <w:bCs/>
        </w:rPr>
        <w:fldChar w:fldCharType="end"/>
      </w:r>
      <w:bookmarkEnd w:id="4079"/>
      <w:r>
        <w:rPr>
          <w:rtl/>
        </w:rPr>
        <w:t xml:space="preserve"> במסורת היהודית קשורה הנהגה זו ברגש אחר מזה שהניע את הסבא – בכובד ראש. כך </w:t>
      </w:r>
      <w:proofErr w:type="spellStart"/>
      <w:r>
        <w:rPr>
          <w:rtl/>
        </w:rPr>
        <w:t>ב“ספר</w:t>
      </w:r>
      <w:proofErr w:type="spellEnd"/>
      <w:r>
        <w:rPr>
          <w:rtl/>
        </w:rPr>
        <w:t xml:space="preserve"> הבדיחה והחידוד”</w:t>
      </w:r>
      <w:bookmarkStart w:id="4080" w:name="_fnr3096"/>
      <w:r>
        <w:rPr>
          <w:vertAlign w:val="superscript"/>
          <w:rtl/>
        </w:rPr>
        <w:footnoteReference w:id="3104" w:customMarkFollows="0"/>
      </w:r>
      <w:bookmarkEnd w:id="4080"/>
      <w:r>
        <w:rPr>
          <w:rtl/>
        </w:rPr>
        <w:t xml:space="preserve">: “מי שנתקף בצחוק ורוצה להפסיק ואינו יכול, יסתכל בציפורניו ומיד יחדל מלצחוק”. אולם לדברי עורך הספר, אלתר </w:t>
      </w:r>
      <w:proofErr w:type="spellStart"/>
      <w:r>
        <w:rPr>
          <w:rtl/>
        </w:rPr>
        <w:t>דרויאנוב</w:t>
      </w:r>
      <w:proofErr w:type="spellEnd"/>
      <w:r>
        <w:rPr>
          <w:rtl/>
        </w:rPr>
        <w:t xml:space="preserve">, דווקא אותה תכונה של אימת הציבור – תחושת ההשפלה – היא המביאה לכובד ראש, על פי הקשר שהוא יוצר. בהערת שוליים שם הוא כותב: “ניתן ‘טעם’ לכך [שההסתכלות בציפורניים מפסיקה את הצחוק]. כאשר כעס הקדוש ברוך הוא על אדם </w:t>
      </w:r>
      <w:proofErr w:type="spellStart"/>
      <w:r>
        <w:rPr>
          <w:rtl/>
        </w:rPr>
        <w:t>וחוה</w:t>
      </w:r>
      <w:proofErr w:type="spellEnd"/>
      <w:r>
        <w:rPr>
          <w:rtl/>
        </w:rPr>
        <w:t xml:space="preserve"> על שאכלו מעץ הדעת, התביישו ו</w:t>
      </w:r>
      <w:r>
        <w:rPr>
          <w:b/>
          <w:bCs/>
          <w:rtl/>
        </w:rPr>
        <w:t>השפילו מבטם אל ציפורניהם, כדרך בני אדם המתביישים ומרגישים מושפלים</w:t>
      </w:r>
      <w:r>
        <w:rPr>
          <w:rtl/>
        </w:rPr>
        <w:t xml:space="preserve"> (ההדגשה שלי). מאז והלאה מזכירה ההסתכלות בציפורניים את חטא האדם הראשון [שבו אירעה ההשפלה הראשונה], ומשביתה כל צחוק ועליצות”.</w:t>
      </w:r>
    </w:p>
    <w:p w14:paraId="608FAAD3" w14:textId="77777777" w:rsidR="00AB3647" w:rsidRDefault="00000000" w:rsidP="007923E9">
      <w:pPr>
        <w:spacing w:before="120" w:after="100" w:line="276" w:lineRule="auto"/>
        <w:jc w:val="both"/>
      </w:pPr>
      <w:r>
        <w:rPr>
          <w:rtl/>
        </w:rPr>
        <w:t xml:space="preserve">הסברו של </w:t>
      </w:r>
      <w:proofErr w:type="spellStart"/>
      <w:r>
        <w:rPr>
          <w:rtl/>
        </w:rPr>
        <w:t>דרויאנוב</w:t>
      </w:r>
      <w:proofErr w:type="spellEnd"/>
      <w:r>
        <w:rPr>
          <w:rtl/>
        </w:rPr>
        <w:t xml:space="preserve"> לקוי. אם עליו להסביר מדוע ההסתכלות בציפורניים מביאה לכובד ראש, אינו מרוויח דבר מקישורה לאנשים המשפילים מבטם אל ציפורניהם כשהם מתביישים ומושפלים, שכן כשם שההרגל הנידון טעון הסבר, כך גם ההרגל האחר – והעורך אינו מסבירו! ובכל זאת יש תועלת בדברי </w:t>
      </w:r>
      <w:proofErr w:type="spellStart"/>
      <w:r>
        <w:rPr>
          <w:rtl/>
        </w:rPr>
        <w:t>דרויאנוב</w:t>
      </w:r>
      <w:proofErr w:type="spellEnd"/>
      <w:r>
        <w:rPr>
          <w:rtl/>
        </w:rPr>
        <w:t xml:space="preserve">: הציפורניים מזכירות במישרין את חטא אדם הראשון, כמובא </w:t>
      </w:r>
      <w:proofErr w:type="spellStart"/>
      <w:r>
        <w:rPr>
          <w:rtl/>
        </w:rPr>
        <w:t>ב“ספר</w:t>
      </w:r>
      <w:proofErr w:type="spellEnd"/>
      <w:r>
        <w:rPr>
          <w:rtl/>
        </w:rPr>
        <w:t xml:space="preserve"> טעמי המנהגים ומקורי הדינים”</w:t>
      </w:r>
      <w:bookmarkStart w:id="4081" w:name="_fnr3097"/>
      <w:r>
        <w:rPr>
          <w:vertAlign w:val="superscript"/>
          <w:rtl/>
        </w:rPr>
        <w:footnoteReference w:id="3105" w:customMarkFollows="0"/>
      </w:r>
      <w:bookmarkEnd w:id="4081"/>
      <w:r>
        <w:rPr>
          <w:rtl/>
        </w:rPr>
        <w:t>, מפני שבתחילה היה כל גופו מכוסה בחומר הציפורן, והחטא הסיר כיסוי זה והותירו ערום, מלבד קצות אצבעותיו.</w:t>
      </w:r>
    </w:p>
    <w:p w14:paraId="02994549" w14:textId="77777777" w:rsidR="00AB3647" w:rsidRDefault="00000000" w:rsidP="007923E9">
      <w:pPr>
        <w:spacing w:before="120" w:after="100" w:line="276" w:lineRule="auto"/>
        <w:jc w:val="both"/>
      </w:pPr>
      <w:r>
        <w:rPr>
          <w:rtl/>
        </w:rPr>
        <w:t xml:space="preserve">לפיכך ההסתכלות בציפורניים, וההבחנה שרק קצות האצבעות מכוסים עתה בחומר קרני, מזכירות את אותו חטא ומביאות לכובד ראש. ההסתכלות בציפורניים היא גם הרגל הקשור </w:t>
      </w:r>
      <w:r>
        <w:rPr>
          <w:rtl/>
        </w:rPr>
        <w:lastRenderedPageBreak/>
        <w:t>בתחושת השפלה, ובאימת הציבור הכרוכה בה, מאז ימי האדם הראשון, שהושפל כשנוכח, מתוך ראיית ציפורניו, שאיבד את כיסוי שאר גופו</w:t>
      </w:r>
      <w:bookmarkStart w:id="4082" w:name="_fnr3098"/>
      <w:r>
        <w:rPr>
          <w:vertAlign w:val="superscript"/>
          <w:rtl/>
        </w:rPr>
        <w:footnoteReference w:id="3106" w:customMarkFollows="0"/>
      </w:r>
      <w:bookmarkEnd w:id="4082"/>
      <w:r>
        <w:rPr>
          <w:rtl/>
        </w:rPr>
        <w:t>.</w:t>
      </w:r>
    </w:p>
    <w:bookmarkStart w:id="4083" w:name="b4_note15"/>
    <w:p w14:paraId="4D03B2D2" w14:textId="19EF6B9D" w:rsidR="00AB3647" w:rsidRDefault="00000000" w:rsidP="007923E9">
      <w:pPr>
        <w:spacing w:before="120" w:after="100" w:line="276" w:lineRule="auto"/>
        <w:jc w:val="both"/>
      </w:pPr>
      <w:r>
        <w:fldChar w:fldCharType="begin" w:dirty="true"/>
      </w:r>
      <w:r>
        <w:instrText>HYPERLINK \l "b4_text15" \h</w:instrText>
      </w:r>
      <w:r>
        <w:fldChar w:fldCharType="separate"/>
      </w:r>
      <w:r>
        <w:rPr>
          <w:b/>
          <w:bCs/>
          <w:rtl/>
        </w:rPr>
        <w:t>15</w:t>
      </w:r>
      <w:r>
        <w:rPr>
          <w:b/>
          <w:bCs/>
        </w:rPr>
        <w:fldChar w:fldCharType="end"/>
      </w:r>
      <w:bookmarkEnd w:id="4083"/>
      <w:r>
        <w:rPr>
          <w:rtl/>
        </w:rPr>
        <w:t xml:space="preserve"> ראה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21F01010" w14:textId="1100153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כשדיבר ביחידות עם תלמיד מוכר, פג חששו של הסבא. אחרי שהסתכל </w:t>
      </w:r>
      <w:proofErr w:type="spellStart"/>
      <w:r>
        <w:rPr>
          <w:rtl/>
        </w:rPr>
        <w:t>זמן־מה</w:t>
      </w:r>
      <w:proofErr w:type="spellEnd"/>
      <w:r>
        <w:rPr>
          <w:rtl/>
        </w:rPr>
        <w:t xml:space="preserve"> בשולחן שלפניו, היה מפנה לפתע אל בן שיחו מבט חודר, שדקר בכוח הבחנתו ועם זאת ליטף באהבה</w:t>
      </w:r>
      <w:bookmarkStart w:id="4084" w:name="b4_text16"/>
      <w:bookmarkEnd w:id="4084"/>
      <w:r>
        <w:rPr>
          <w:sz w:val="18"/>
          <w:szCs w:val="18"/>
          <w:vertAlign w:val="superscript"/>
          <w:rtl/>
        </w:rPr>
        <w:fldChar w:fldCharType="begin" w:dirty="true"/>
      </w:r>
      <w:r>
        <w:rPr>
          <w:sz w:val="18"/>
          <w:szCs w:val="18"/>
          <w:vertAlign w:val="superscript"/>
          <w:rtl/>
        </w:rPr>
        <w:instrText xml:space="preserve"> REF b4_note16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w:t>
      </w:r>
      <w:r>
        <w:rPr>
          <w:sz w:val="18"/>
          <w:szCs w:val="18"/>
          <w:vertAlign w:val="superscript"/>
          <w:rtl/>
        </w:rPr>
        <w:fldChar w:fldCharType="end"/>
      </w:r>
      <w:r>
        <w:rPr>
          <w:rtl/>
        </w:rPr>
        <w:t>. הוא התעמק בהתקדמותו של כל תלמיד בלימוד, ביראת שמים ובהנהגה, ופתח את מעיינות נפשו. אם התלמיד לא בא מעצמו אל המשגיח, הוזמן לשיחה שפתחה את לבו, חשפה את שאיפותיו וכיוונה את חלומותיו לאפיקים פוריים.</w:t>
      </w:r>
    </w:p>
    <w:bookmarkStart w:id="4085" w:name="b4_note16"/>
    <w:p w14:paraId="11A50444" w14:textId="77777777" w:rsidR="00AB3647" w:rsidRDefault="00000000" w:rsidP="007923E9">
      <w:pPr>
        <w:spacing w:before="120" w:after="100" w:line="276" w:lineRule="auto"/>
        <w:jc w:val="both"/>
      </w:pPr>
      <w:r>
        <w:fldChar w:fldCharType="begin" w:dirty="true"/>
      </w:r>
      <w:r>
        <w:instrText>HYPERLINK \l "b4_text16" \h</w:instrText>
      </w:r>
      <w:r>
        <w:fldChar w:fldCharType="separate"/>
      </w:r>
      <w:r>
        <w:rPr>
          <w:b/>
          <w:bCs/>
          <w:rtl/>
        </w:rPr>
        <w:t>16</w:t>
      </w:r>
      <w:r>
        <w:rPr>
          <w:b/>
          <w:bCs/>
        </w:rPr>
        <w:fldChar w:fldCharType="end"/>
      </w:r>
      <w:bookmarkEnd w:id="4085"/>
      <w:r>
        <w:rPr>
          <w:rtl/>
        </w:rPr>
        <w:t xml:space="preserve"> מתיאורו של ר׳ </w:t>
      </w:r>
      <w:proofErr w:type="spellStart"/>
      <w:r>
        <w:rPr>
          <w:rtl/>
        </w:rPr>
        <w:t>אברהם־אליהו</w:t>
      </w:r>
      <w:proofErr w:type="spellEnd"/>
      <w:r>
        <w:rPr>
          <w:rtl/>
        </w:rPr>
        <w:t xml:space="preserve"> קפלן את שיחתו הפרטית עם הסבא </w:t>
      </w:r>
      <w:proofErr w:type="spellStart"/>
      <w:r>
        <w:rPr>
          <w:rtl/>
        </w:rPr>
        <w:t>מסלבודקה</w:t>
      </w:r>
      <w:proofErr w:type="spellEnd"/>
      <w:r>
        <w:rPr>
          <w:rtl/>
        </w:rPr>
        <w:t xml:space="preserve"> ביום רביעי, ט״ו באלול תרע״ג</w:t>
      </w:r>
      <w:bookmarkStart w:id="4086" w:name="_fnr3099"/>
      <w:r>
        <w:rPr>
          <w:vertAlign w:val="superscript"/>
          <w:rtl/>
        </w:rPr>
        <w:footnoteReference w:id="3107" w:customMarkFollows="0"/>
      </w:r>
      <w:bookmarkEnd w:id="4086"/>
      <w:r>
        <w:rPr>
          <w:rtl/>
        </w:rPr>
        <w:t>. הרב קפלן ממשיך ומתאר את השפעת השיחה: “באותו רגע אתה מרגיש שהוא מוציא ממך את הביקורת והמחאה כלפי דבריו, ומעלה לאור באמצעות מבטיו את כל מה שאתה חושב עליו. עוד רגע של שתיקה חולף במהירות, והוא ממשיך לדבר בתוקף ובאהבה נסתרת. השיחה נסתיימה באמירה שנאמרה בכוח רב כל כך, עד שנדמה היה שהיא קורעת את האוויר לגזרים”.</w:t>
      </w:r>
    </w:p>
    <w:p w14:paraId="02A15F00" w14:textId="4B3BAFA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לעיתים, כשנרתע התלמיד מלגלות את מחשבותיו הפנימיות, נקט הסבא דרכים עקיפות כדי להתגבר על מחסומי חוסר האמון. הוא אף היה מעמיד פנים שהוא מבקש מן התלמיד עצה בבעיה שבדה, כאילו ניצבה בפניו, ומתוך שמיעת פתרונו של הצעיר עמד על מדרגתו הרוחנית. אי אפשר להפריז בתיאור השמחה שגילה הסבא כשראה שתלמיד תיקן את דרכיו: הסבא </w:t>
      </w:r>
      <w:proofErr w:type="spellStart"/>
      <w:r>
        <w:rPr>
          <w:rtl/>
        </w:rPr>
        <w:t>מסלבודקה</w:t>
      </w:r>
      <w:proofErr w:type="spellEnd"/>
      <w:r>
        <w:rPr>
          <w:rtl/>
        </w:rPr>
        <w:t xml:space="preserve"> נהג כאילו עשה לו התלמיד את הטובה הגדולה ביותר</w:t>
      </w:r>
      <w:bookmarkStart w:id="4087" w:name="b4_text17"/>
      <w:bookmarkEnd w:id="4087"/>
      <w:r>
        <w:rPr>
          <w:sz w:val="18"/>
          <w:szCs w:val="18"/>
          <w:vertAlign w:val="superscript"/>
          <w:rtl/>
        </w:rPr>
        <w:fldChar w:fldCharType="begin" w:dirty="true"/>
      </w:r>
      <w:r>
        <w:rPr>
          <w:sz w:val="18"/>
          <w:szCs w:val="18"/>
          <w:vertAlign w:val="superscript"/>
          <w:rtl/>
        </w:rPr>
        <w:instrText xml:space="preserve"> REF b4_note17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17</w:t>
      </w:r>
      <w:r>
        <w:rPr>
          <w:sz w:val="18"/>
          <w:szCs w:val="18"/>
          <w:vertAlign w:val="superscript"/>
          <w:rtl/>
        </w:rPr>
        <w:fldChar w:fldCharType="end"/>
      </w:r>
      <w:r>
        <w:rPr>
          <w:rtl/>
        </w:rPr>
        <w:t>.</w:t>
      </w:r>
    </w:p>
    <w:bookmarkStart w:id="4088" w:name="b4_note17"/>
    <w:p w14:paraId="03C6429E" w14:textId="77777777" w:rsidR="00AB3647" w:rsidRDefault="00000000" w:rsidP="007923E9">
      <w:pPr>
        <w:spacing w:before="120" w:after="100" w:line="276" w:lineRule="auto"/>
        <w:jc w:val="both"/>
      </w:pPr>
      <w:r>
        <w:fldChar w:fldCharType="begin" w:dirty="true"/>
      </w:r>
      <w:r>
        <w:instrText>HYPERLINK \l "b4_text17" \h</w:instrText>
      </w:r>
      <w:r>
        <w:fldChar w:fldCharType="separate"/>
      </w:r>
      <w:r>
        <w:rPr>
          <w:b/>
          <w:bCs/>
          <w:rtl/>
        </w:rPr>
        <w:t>17</w:t>
      </w:r>
      <w:r>
        <w:rPr>
          <w:b/>
          <w:bCs/>
        </w:rPr>
        <w:fldChar w:fldCharType="end"/>
      </w:r>
      <w:bookmarkEnd w:id="4088"/>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089" w:name="_fnr3100"/>
      <w:proofErr w:type="spellEnd"/>
      <w:r>
        <w:rPr>
          <w:vertAlign w:val="superscript"/>
          <w:rtl/>
        </w:rPr>
        <w:footnoteReference w:id="3108" w:customMarkFollows="0"/>
      </w:r>
      <w:bookmarkEnd w:id="4089"/>
      <w:r>
        <w:rPr>
          <w:rtl/>
        </w:rPr>
        <w:t>.</w:t>
      </w:r>
    </w:p>
    <w:p w14:paraId="67F6630B" w14:textId="4BCDB7F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בישיבה בגודלה של כנסת ישראל לא היה ביכולתו של אדם יחיד זה לקיים קשר אישי עם כל התלמידים</w:t>
      </w:r>
      <w:bookmarkStart w:id="4090" w:name="b4_text18"/>
      <w:bookmarkEnd w:id="4090"/>
      <w:r>
        <w:rPr>
          <w:sz w:val="18"/>
          <w:szCs w:val="18"/>
          <w:vertAlign w:val="superscript"/>
          <w:rtl/>
        </w:rPr>
        <w:fldChar w:fldCharType="begin" w:dirty="true"/>
      </w:r>
      <w:r>
        <w:rPr>
          <w:sz w:val="18"/>
          <w:szCs w:val="18"/>
          <w:vertAlign w:val="superscript"/>
          <w:rtl/>
        </w:rPr>
        <w:instrText xml:space="preserve"> REF b4_note18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18</w:t>
      </w:r>
      <w:r>
        <w:rPr>
          <w:sz w:val="18"/>
          <w:szCs w:val="18"/>
          <w:vertAlign w:val="superscript"/>
          <w:rtl/>
        </w:rPr>
        <w:fldChar w:fldCharType="end"/>
      </w:r>
      <w:r>
        <w:rPr>
          <w:rtl/>
        </w:rPr>
        <w:t>.</w:t>
      </w:r>
    </w:p>
    <w:bookmarkStart w:id="4091" w:name="b4_note18"/>
    <w:p w14:paraId="72427DF1" w14:textId="2E17379A" w:rsidR="00AB3647" w:rsidRDefault="00000000" w:rsidP="007923E9">
      <w:pPr>
        <w:spacing w:before="120" w:after="100" w:line="276" w:lineRule="auto"/>
        <w:jc w:val="both"/>
      </w:pPr>
      <w:r>
        <w:lastRenderedPageBreak/>
        <w:fldChar w:fldCharType="begin" w:dirty="true"/>
      </w:r>
      <w:r>
        <w:instrText>HYPERLINK \l "b4_text18" \h</w:instrText>
      </w:r>
      <w:r>
        <w:fldChar w:fldCharType="separate"/>
      </w:r>
      <w:r>
        <w:rPr>
          <w:b/>
          <w:bCs/>
          <w:rtl/>
        </w:rPr>
        <w:t>18</w:t>
      </w:r>
      <w:r>
        <w:rPr>
          <w:b/>
          <w:bCs/>
        </w:rPr>
        <w:fldChar w:fldCharType="end"/>
      </w:r>
      <w:bookmarkEnd w:id="4091"/>
      <w:r>
        <w:rPr>
          <w:rtl/>
        </w:rPr>
        <w:t xml:space="preserve"> עורך ספר הזיכרון לסבא </w:t>
      </w:r>
      <w:proofErr w:type="spellStart"/>
      <w:r>
        <w:rPr>
          <w:rtl/>
        </w:rPr>
        <w:t>מסלבודקה</w:t>
      </w:r>
      <w:bookmarkStart w:id="4092" w:name="_fnr3101"/>
      <w:proofErr w:type="spellEnd"/>
      <w:r>
        <w:rPr>
          <w:vertAlign w:val="superscript"/>
          <w:rtl/>
        </w:rPr>
        <w:footnoteReference w:id="3109" w:customMarkFollows="0"/>
      </w:r>
      <w:bookmarkEnd w:id="4092"/>
      <w:r>
        <w:rPr>
          <w:rtl/>
        </w:rPr>
        <w:t xml:space="preserve"> כותב דבר מפתיע: “חלק גדול מתלמידי הישיבה לא הכיר כראוי את התפקיד שמילא הסבא בה”. בריאיון עם ר׳ קופל </w:t>
      </w:r>
      <w:proofErr w:type="spellStart"/>
      <w:r>
        <w:rPr>
          <w:rtl/>
        </w:rPr>
        <w:t>וולפרט</w:t>
      </w:r>
      <w:bookmarkStart w:id="4093" w:name="_fnr3102"/>
      <w:proofErr w:type="spellEnd"/>
      <w:r>
        <w:rPr>
          <w:vertAlign w:val="superscript"/>
          <w:rtl/>
        </w:rPr>
        <w:footnoteReference w:id="3110" w:customMarkFollows="0"/>
      </w:r>
      <w:bookmarkEnd w:id="4093"/>
      <w:r>
        <w:rPr>
          <w:rtl/>
        </w:rPr>
        <w:t xml:space="preserve"> שאלתי אם לדעתו הכיר הסבא את כל תלמידי כנסת ישראל. הוא השיב בלשון סתומה: “את מי שהיה צריך להכיר, הכיר; עם האחרים נהג כעם זרים ושאל אותם: ‘מי אתה?’” (השווה גם סוף הערה </w:t>
      </w:r>
      <w:r>
        <w:rPr>
          <w:rtl/>
        </w:rPr>
        <w:fldChar w:fldCharType="begin" w:dirty="true"/>
      </w:r>
      <w:r>
        <w:rPr>
          <w:rtl/>
        </w:rPr>
        <w:instrText xml:space="preserve"> REF b4_note23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23</w:t>
      </w:r>
      <w:r>
        <w:rPr>
          <w:rtl/>
        </w:rPr>
        <w:fldChar w:fldCharType="end"/>
      </w:r>
      <w:r>
        <w:rPr>
          <w:rtl/>
        </w:rPr>
        <w:t xml:space="preserve"> להלן: שאלה כזאת מפי הסבא לא לימדה בהכרח שלא ידע מיהו התלמיד.) “איך יכול היה להכיר את כולם?”, סיים </w:t>
      </w:r>
      <w:proofErr w:type="spellStart"/>
      <w:r>
        <w:rPr>
          <w:rtl/>
        </w:rPr>
        <w:t>וולפרט</w:t>
      </w:r>
      <w:proofErr w:type="spellEnd"/>
      <w:r>
        <w:rPr>
          <w:rtl/>
        </w:rPr>
        <w:t>. “אלא שאלו שהחזיקו מן הסבא עשו ממנו מלאך”.</w:t>
      </w:r>
    </w:p>
    <w:p w14:paraId="7BE6791D" w14:textId="77777777" w:rsidR="00AB3647" w:rsidRDefault="00000000" w:rsidP="007923E9">
      <w:pPr>
        <w:spacing w:after="120" w:line="276" w:lineRule="auto"/>
        <w:jc w:val="both"/>
      </w:pPr>
      <w:r>
        <w:rPr>
          <w:rtl/>
        </w:rPr>
        <w:t xml:space="preserve">הוא המשיך וסיפר את המעשה הבא, כדי להראות שלא כל הבחורים שהסבא השתדל להשפיע עליהם נמשכו אליו: “זכור לי”, אמר, “שפעם באתי לשמוע את הסבא, והוא אמר: ‘אם הבחורים יניחו את הסטנדרים שלהם על הספסלים כשהם הולכים לאכול בשעה שתיים, יהיה קל יותר לשמש לטאטא את בית המדרש’. ראובן </w:t>
      </w:r>
      <w:proofErr w:type="spellStart"/>
      <w:r>
        <w:rPr>
          <w:rtl/>
        </w:rPr>
        <w:t>לאצקעווער</w:t>
      </w:r>
      <w:proofErr w:type="spellEnd"/>
      <w:r>
        <w:rPr>
          <w:rtl/>
        </w:rPr>
        <w:t xml:space="preserve">, תלמיד טוב אבל בבירור לא מחסידי הסבא, התערב ואמר: ‘אם יוסיפו לשכר השמש רק </w:t>
      </w:r>
      <w:proofErr w:type="spellStart"/>
      <w:r>
        <w:rPr>
          <w:rtl/>
        </w:rPr>
        <w:t>ליט</w:t>
      </w:r>
      <w:proofErr w:type="spellEnd"/>
      <w:r>
        <w:rPr>
          <w:rtl/>
        </w:rPr>
        <w:t xml:space="preserve"> אחד בשבוע, ישמח מאוד להעלות בעצמו את הסטנדרים’. פעם קרא לו הסבא, ובהסתכלו בציפורניו – כדרך שמסתכלים בהן בברכת בורא מאורי האש במוצאי שבת, וכפי שנהג כשהיה מדבר עם אנשים – אמר: ‘כשצריך להגיע לקובנה, צריך לעבור את נהר </w:t>
      </w:r>
      <w:proofErr w:type="spellStart"/>
      <w:r>
        <w:rPr>
          <w:rtl/>
        </w:rPr>
        <w:t>הוויליה</w:t>
      </w:r>
      <w:proofErr w:type="spellEnd"/>
      <w:r>
        <w:rPr>
          <w:rtl/>
        </w:rPr>
        <w:t>. יש גשר שעוברים בו. אבל כשאי אפשר להשתמש בגשר מחמת הקרח</w:t>
      </w:r>
      <w:bookmarkStart w:id="4094" w:name="_fnr3103"/>
      <w:r>
        <w:rPr>
          <w:vertAlign w:val="superscript"/>
          <w:rtl/>
        </w:rPr>
        <w:footnoteReference w:id="3111" w:customMarkFollows="0"/>
      </w:r>
      <w:bookmarkEnd w:id="4094"/>
      <w:r>
        <w:rPr>
          <w:rtl/>
        </w:rPr>
        <w:t xml:space="preserve">, הדרך היחידה לעבור היא במעבורות, שהגויים גובים עליהן סכום זעום. הייתי צריך לנסוע לקובנה, אבל שקלתי בדעתי אם לסכן את חיי ולמסור את עצמי בידי גוי. אז ראיתי שהוא מעביר קבוצה אחת, ואחר כך עוד קבוצה, והחלטתי שגם אני אניח לו להעביר אותי. ראובן, אינני גרוע מן הגוי. מדוע אינך מניח גם לי להעביר אותך?’ הבחור השיב בחוצפה: ‘אתה ראית שהגוי העביר את האחרים. אני עדיין אינני רואה שהעברת מישהו’. לבסוף נאלץ ראובן לעזוב את </w:t>
      </w:r>
      <w:proofErr w:type="spellStart"/>
      <w:r>
        <w:rPr>
          <w:rtl/>
        </w:rPr>
        <w:t>סלבודקה</w:t>
      </w:r>
      <w:proofErr w:type="spellEnd"/>
      <w:r>
        <w:rPr>
          <w:rtl/>
        </w:rPr>
        <w:t xml:space="preserve"> – כנראה </w:t>
      </w:r>
      <w:proofErr w:type="spellStart"/>
      <w:r>
        <w:rPr>
          <w:rtl/>
        </w:rPr>
        <w:t>למיר</w:t>
      </w:r>
      <w:proofErr w:type="spellEnd"/>
      <w:r>
        <w:rPr>
          <w:rtl/>
        </w:rPr>
        <w:t>”.</w:t>
      </w:r>
    </w:p>
    <w:p w14:paraId="53C14365" w14:textId="27002D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שכל תלמידי הישיבה היו בעלי כישרון</w:t>
      </w:r>
      <w:bookmarkStart w:id="4095" w:name="b4_text19"/>
      <w:bookmarkEnd w:id="4095"/>
      <w:r>
        <w:rPr>
          <w:sz w:val="18"/>
          <w:szCs w:val="18"/>
          <w:vertAlign w:val="superscript"/>
          <w:rtl/>
        </w:rPr>
        <w:fldChar w:fldCharType="begin" w:dirty="true"/>
      </w:r>
      <w:r>
        <w:rPr>
          <w:sz w:val="18"/>
          <w:szCs w:val="18"/>
          <w:vertAlign w:val="superscript"/>
          <w:rtl/>
        </w:rPr>
        <w:instrText xml:space="preserve"> REF b4_note19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19</w:t>
      </w:r>
      <w:r>
        <w:rPr>
          <w:sz w:val="18"/>
          <w:szCs w:val="18"/>
          <w:vertAlign w:val="superscript"/>
          <w:rtl/>
        </w:rPr>
        <w:fldChar w:fldCharType="end"/>
      </w:r>
      <w:r>
        <w:rPr>
          <w:rtl/>
        </w:rPr>
        <w:t xml:space="preserve">, בחר ר׳ </w:t>
      </w:r>
      <w:proofErr w:type="spellStart"/>
      <w:r>
        <w:rPr>
          <w:rtl/>
        </w:rPr>
        <w:t>נתן־צבי</w:t>
      </w:r>
      <w:proofErr w:type="spellEnd"/>
      <w:r>
        <w:rPr>
          <w:rtl/>
        </w:rPr>
        <w:t xml:space="preserve"> לרכז את מאמציו במוכשרים ביותר</w:t>
      </w:r>
      <w:bookmarkStart w:id="4096" w:name="b4_text20"/>
      <w:bookmarkEnd w:id="4096"/>
      <w:r>
        <w:rPr>
          <w:sz w:val="18"/>
          <w:szCs w:val="18"/>
          <w:vertAlign w:val="superscript"/>
          <w:rtl/>
        </w:rPr>
        <w:fldChar w:fldCharType="begin" w:dirty="true"/>
      </w:r>
      <w:r>
        <w:rPr>
          <w:sz w:val="18"/>
          <w:szCs w:val="18"/>
          <w:vertAlign w:val="superscript"/>
          <w:rtl/>
        </w:rPr>
        <w:instrText xml:space="preserve"> REF b4_note20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20</w:t>
      </w:r>
      <w:r>
        <w:rPr>
          <w:sz w:val="18"/>
          <w:szCs w:val="18"/>
          <w:vertAlign w:val="superscript"/>
          <w:rtl/>
        </w:rPr>
        <w:fldChar w:fldCharType="end"/>
      </w:r>
      <w:r>
        <w:rPr>
          <w:rtl/>
        </w:rPr>
        <w:t>. לא זו בלבד שמכוח גאונותו שלו מצא עמם שפה משותפת טובה יותר, אלא שבאמצעות תלמידים כאלה יכול היה להגשים על הצד הטוב ביותר את מטרתו הסופית – לשרת את עם ישראל</w:t>
      </w:r>
      <w:bookmarkStart w:id="4097" w:name="b4_text21"/>
      <w:bookmarkEnd w:id="4097"/>
      <w:r>
        <w:rPr>
          <w:sz w:val="18"/>
          <w:szCs w:val="18"/>
          <w:vertAlign w:val="superscript"/>
          <w:rtl/>
        </w:rPr>
        <w:fldChar w:fldCharType="begin" w:dirty="true"/>
      </w:r>
      <w:r>
        <w:rPr>
          <w:sz w:val="18"/>
          <w:szCs w:val="18"/>
          <w:vertAlign w:val="superscript"/>
          <w:rtl/>
        </w:rPr>
        <w:instrText xml:space="preserve"> REF b4_note21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21</w:t>
      </w:r>
      <w:r>
        <w:rPr>
          <w:sz w:val="18"/>
          <w:szCs w:val="18"/>
          <w:vertAlign w:val="superscript"/>
          <w:rtl/>
        </w:rPr>
        <w:fldChar w:fldCharType="end"/>
      </w:r>
      <w:r>
        <w:rPr>
          <w:rtl/>
        </w:rPr>
        <w:t>.</w:t>
      </w:r>
    </w:p>
    <w:bookmarkStart w:id="4098" w:name="b4_note19"/>
    <w:p w14:paraId="38436F41" w14:textId="77777777" w:rsidR="00AB3647" w:rsidRDefault="00000000" w:rsidP="007923E9">
      <w:pPr>
        <w:spacing w:before="120" w:after="100" w:line="276" w:lineRule="auto"/>
        <w:jc w:val="both"/>
      </w:pPr>
      <w:r>
        <w:fldChar w:fldCharType="begin" w:dirty="true"/>
      </w:r>
      <w:r>
        <w:instrText>HYPERLINK \l "b4_text19" \h</w:instrText>
      </w:r>
      <w:r>
        <w:fldChar w:fldCharType="separate"/>
      </w:r>
      <w:r>
        <w:rPr>
          <w:b/>
          <w:bCs/>
          <w:rtl/>
        </w:rPr>
        <w:t>19</w:t>
      </w:r>
      <w:r>
        <w:rPr>
          <w:b/>
          <w:bCs/>
        </w:rPr>
        <w:fldChar w:fldCharType="end"/>
      </w:r>
      <w:bookmarkEnd w:id="4098"/>
      <w:r>
        <w:rPr>
          <w:rtl/>
        </w:rPr>
        <w:t xml:space="preserve"> לדברי ר׳ </w:t>
      </w:r>
      <w:proofErr w:type="spellStart"/>
      <w:r>
        <w:rPr>
          <w:rtl/>
        </w:rPr>
        <w:t>לייבל</w:t>
      </w:r>
      <w:proofErr w:type="spellEnd"/>
      <w:r>
        <w:rPr>
          <w:rtl/>
        </w:rPr>
        <w:t xml:space="preserve"> </w:t>
      </w:r>
      <w:proofErr w:type="spellStart"/>
      <w:r>
        <w:rPr>
          <w:rtl/>
        </w:rPr>
        <w:t>פרלשטיין</w:t>
      </w:r>
      <w:bookmarkStart w:id="4099" w:name="_fnr3104"/>
      <w:proofErr w:type="spellEnd"/>
      <w:r>
        <w:rPr>
          <w:vertAlign w:val="superscript"/>
          <w:rtl/>
        </w:rPr>
        <w:footnoteReference w:id="3112" w:customMarkFollows="0"/>
      </w:r>
      <w:bookmarkEnd w:id="4099"/>
      <w:r>
        <w:rPr>
          <w:rtl/>
        </w:rPr>
        <w:t xml:space="preserve">, </w:t>
      </w:r>
      <w:proofErr w:type="spellStart"/>
      <w:r>
        <w:rPr>
          <w:rtl/>
        </w:rPr>
        <w:t>בסלבודקה</w:t>
      </w:r>
      <w:proofErr w:type="spellEnd"/>
      <w:r>
        <w:rPr>
          <w:rtl/>
        </w:rPr>
        <w:t xml:space="preserve"> התקבלו רק בעלי כישרון, “מפני שהסבא לא רצה שיהיו סביבו תלמידים שאינם בעלי כישרון” – אולם השווה פרק 3, הערה 1.</w:t>
      </w:r>
    </w:p>
    <w:bookmarkStart w:id="4100" w:name="b4_note20"/>
    <w:p w14:paraId="0E0FEA3B" w14:textId="77777777" w:rsidR="00AB3647" w:rsidRDefault="00000000" w:rsidP="007923E9">
      <w:pPr>
        <w:spacing w:before="120" w:after="100" w:line="276" w:lineRule="auto"/>
        <w:jc w:val="both"/>
      </w:pPr>
      <w:r>
        <w:fldChar w:fldCharType="begin" w:dirty="true"/>
      </w:r>
      <w:r>
        <w:instrText>HYPERLINK \l "b4_text20" \h</w:instrText>
      </w:r>
      <w:r>
        <w:fldChar w:fldCharType="separate"/>
      </w:r>
      <w:r>
        <w:rPr>
          <w:b/>
          <w:bCs/>
          <w:rtl/>
        </w:rPr>
        <w:t>20</w:t>
      </w:r>
      <w:r>
        <w:rPr>
          <w:b/>
          <w:bCs/>
        </w:rPr>
        <w:fldChar w:fldCharType="end"/>
      </w:r>
      <w:bookmarkEnd w:id="4100"/>
      <w:r>
        <w:rPr>
          <w:rtl/>
        </w:rPr>
        <w:t xml:space="preserve"> כץ, “תנועת המוסר”, כרך ג</w:t>
      </w:r>
      <w:bookmarkStart w:id="4101" w:name="_fnr3105"/>
      <w:r>
        <w:rPr>
          <w:vertAlign w:val="superscript"/>
          <w:rtl/>
        </w:rPr>
        <w:footnoteReference w:id="3113" w:customMarkFollows="0"/>
      </w:r>
      <w:bookmarkEnd w:id="4101"/>
      <w:r>
        <w:rPr>
          <w:rtl/>
        </w:rPr>
        <w:t xml:space="preserve">, כותב: “הסבא הקדיש תשומת לב מיוחדת לבעלי הכישרונות הגדולים. כשהרגיש שיש בתלמיד אפשרות לגדלות, לא הניח לו. הוא התמסר [לאותו תלמיד] בכל נפשו. אפילו לא הצטיין התלמיד במידותיו, או שהשקפתו הייתה מוטעית, תלה הסבא </w:t>
      </w:r>
      <w:r>
        <w:rPr>
          <w:rtl/>
        </w:rPr>
        <w:lastRenderedPageBreak/>
        <w:t xml:space="preserve">תקווה להעלותו לגדלות מכוח שכלו המעולה. בכל תקופות הישיבה הקיף עצמו ר׳ </w:t>
      </w:r>
      <w:proofErr w:type="spellStart"/>
      <w:r>
        <w:rPr>
          <w:rtl/>
        </w:rPr>
        <w:t>נתן־צבי</w:t>
      </w:r>
      <w:proofErr w:type="spellEnd"/>
      <w:r>
        <w:rPr>
          <w:rtl/>
        </w:rPr>
        <w:t xml:space="preserve"> בקבוצה של עילויים או צעירים חריפים במיוחד, שלהם הקדיש את רוב זמנו”.</w:t>
      </w:r>
    </w:p>
    <w:p w14:paraId="13999634" w14:textId="77777777" w:rsidR="00AB3647" w:rsidRDefault="00000000" w:rsidP="007923E9">
      <w:pPr>
        <w:spacing w:before="120" w:after="100" w:line="276" w:lineRule="auto"/>
        <w:jc w:val="both"/>
      </w:pPr>
      <w:r>
        <w:rPr>
          <w:rtl/>
        </w:rPr>
        <w:t>ברשימותיו של ר׳ משה גרוסמן</w:t>
      </w:r>
      <w:bookmarkStart w:id="4102" w:name="_fnr3106"/>
      <w:r>
        <w:rPr>
          <w:vertAlign w:val="superscript"/>
          <w:rtl/>
        </w:rPr>
        <w:footnoteReference w:id="3114" w:customMarkFollows="0"/>
      </w:r>
      <w:bookmarkEnd w:id="4102"/>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שאם בחור שהסבא הוכיחו בחריפות השיב לו תוך כדי כך תשובה מחוכמת, היה הסבא מנשקו וסולח לו</w:t>
      </w:r>
      <w:bookmarkStart w:id="4103" w:name="_fnr3107"/>
      <w:r>
        <w:rPr>
          <w:vertAlign w:val="superscript"/>
          <w:rtl/>
        </w:rPr>
        <w:footnoteReference w:id="3115" w:customMarkFollows="0"/>
      </w:r>
      <w:bookmarkEnd w:id="4103"/>
      <w:r>
        <w:rPr>
          <w:rtl/>
        </w:rPr>
        <w:t xml:space="preserve">. </w:t>
      </w:r>
      <w:proofErr w:type="spellStart"/>
      <w:r>
        <w:rPr>
          <w:rtl/>
        </w:rPr>
        <w:t>ב“פרקי</w:t>
      </w:r>
      <w:proofErr w:type="spellEnd"/>
      <w:r>
        <w:rPr>
          <w:rtl/>
        </w:rPr>
        <w:t xml:space="preserve"> חיים” שבפתח “חידושי בעל שרידי אש”</w:t>
      </w:r>
      <w:bookmarkStart w:id="4104" w:name="_fnr3108"/>
      <w:r>
        <w:rPr>
          <w:vertAlign w:val="superscript"/>
          <w:rtl/>
        </w:rPr>
        <w:footnoteReference w:id="3116" w:customMarkFollows="0"/>
      </w:r>
      <w:bookmarkEnd w:id="4104"/>
      <w:r>
        <w:rPr>
          <w:rtl/>
        </w:rPr>
        <w:t xml:space="preserve"> מספר ר׳ </w:t>
      </w:r>
      <w:proofErr w:type="spellStart"/>
      <w:r>
        <w:rPr>
          <w:rtl/>
        </w:rPr>
        <w:t>יחיאל־יעקב</w:t>
      </w:r>
      <w:proofErr w:type="spellEnd"/>
      <w:r>
        <w:rPr>
          <w:rtl/>
        </w:rPr>
        <w:t xml:space="preserve"> ויינברג שכאשר תיאר באריכות את סדר אפיית המצות של ר׳ </w:t>
      </w:r>
      <w:proofErr w:type="spellStart"/>
      <w:r>
        <w:rPr>
          <w:rtl/>
        </w:rPr>
        <w:t>איצל׳ה</w:t>
      </w:r>
      <w:proofErr w:type="spellEnd"/>
      <w:r>
        <w:rPr>
          <w:rtl/>
        </w:rPr>
        <w:t xml:space="preserve"> </w:t>
      </w:r>
      <w:proofErr w:type="spellStart"/>
      <w:r>
        <w:rPr>
          <w:rtl/>
        </w:rPr>
        <w:t>בלאזר</w:t>
      </w:r>
      <w:proofErr w:type="spellEnd"/>
      <w:r>
        <w:rPr>
          <w:rtl/>
        </w:rPr>
        <w:t>, הסבא “נתפעל ונשק לי בידי’”. חתן נכדתו של הסבא, ר׳ לייזר גולדשמידט, אמר</w:t>
      </w:r>
      <w:bookmarkStart w:id="4105" w:name="_fnr3109"/>
      <w:r>
        <w:rPr>
          <w:vertAlign w:val="superscript"/>
          <w:rtl/>
        </w:rPr>
        <w:footnoteReference w:id="3117" w:customMarkFollows="0"/>
      </w:r>
      <w:bookmarkEnd w:id="4105"/>
      <w:r>
        <w:rPr>
          <w:rtl/>
        </w:rPr>
        <w:t xml:space="preserve"> שסב אשתו ראה את מסירותו לבעלי הכישרון כמופרזת. הסבא </w:t>
      </w:r>
      <w:proofErr w:type="spellStart"/>
      <w:r>
        <w:rPr>
          <w:rtl/>
        </w:rPr>
        <w:t>מסלבודקה</w:t>
      </w:r>
      <w:proofErr w:type="spellEnd"/>
      <w:r>
        <w:rPr>
          <w:rtl/>
        </w:rPr>
        <w:t xml:space="preserve"> הודה: “יש לי חולשה לתלמיד בעל כישרון”. </w:t>
      </w:r>
      <w:proofErr w:type="spellStart"/>
      <w:r>
        <w:rPr>
          <w:rtl/>
        </w:rPr>
        <w:t>ב“שרידי</w:t>
      </w:r>
      <w:proofErr w:type="spellEnd"/>
      <w:r>
        <w:rPr>
          <w:rtl/>
        </w:rPr>
        <w:t xml:space="preserve"> אש”</w:t>
      </w:r>
      <w:bookmarkStart w:id="4106" w:name="_fnr3110"/>
      <w:r>
        <w:rPr>
          <w:vertAlign w:val="superscript"/>
          <w:rtl/>
        </w:rPr>
        <w:footnoteReference w:id="3118" w:customMarkFollows="0"/>
      </w:r>
      <w:bookmarkEnd w:id="4106"/>
      <w:r>
        <w:rPr>
          <w:rtl/>
        </w:rPr>
        <w:t xml:space="preserve"> נמסר שרבה של קובנה, ר׳ </w:t>
      </w:r>
      <w:proofErr w:type="spellStart"/>
      <w:r>
        <w:rPr>
          <w:rtl/>
        </w:rPr>
        <w:t>אברהם־דובער</w:t>
      </w:r>
      <w:proofErr w:type="spellEnd"/>
      <w:r>
        <w:rPr>
          <w:rtl/>
        </w:rPr>
        <w:t xml:space="preserve"> </w:t>
      </w:r>
      <w:proofErr w:type="spellStart"/>
      <w:r>
        <w:rPr>
          <w:rtl/>
        </w:rPr>
        <w:t>כהנא־שפירא</w:t>
      </w:r>
      <w:bookmarkStart w:id="4107" w:name="_fnr3111"/>
      <w:proofErr w:type="spellEnd"/>
      <w:r>
        <w:rPr>
          <w:vertAlign w:val="superscript"/>
          <w:rtl/>
        </w:rPr>
        <w:footnoteReference w:id="3119" w:customMarkFollows="0"/>
      </w:r>
      <w:bookmarkEnd w:id="4107"/>
      <w:r>
        <w:rPr>
          <w:rtl/>
        </w:rPr>
        <w:t xml:space="preserve">, אמר בהספדו על הסבא </w:t>
      </w:r>
      <w:proofErr w:type="spellStart"/>
      <w:r>
        <w:rPr>
          <w:rtl/>
        </w:rPr>
        <w:t>מסלבודקה</w:t>
      </w:r>
      <w:proofErr w:type="spellEnd"/>
      <w:r>
        <w:rPr>
          <w:rtl/>
        </w:rPr>
        <w:t xml:space="preserve"> דבר מפתיע: שאהב בעל כישרון יותר משאב אוהב את בנו יחידו.</w:t>
      </w:r>
    </w:p>
    <w:p w14:paraId="06240849" w14:textId="77777777" w:rsidR="00AB3647" w:rsidRDefault="00000000" w:rsidP="007923E9">
      <w:pPr>
        <w:spacing w:after="120" w:line="276" w:lineRule="auto"/>
        <w:jc w:val="both"/>
      </w:pPr>
      <w:r>
        <w:rPr>
          <w:rtl/>
        </w:rPr>
        <w:t xml:space="preserve">אפשר שהסבא למד לנתח את שכלו ואופיו של כל תלמיד בתקופת לימודו אצל ר׳ </w:t>
      </w:r>
      <w:proofErr w:type="spellStart"/>
      <w:r>
        <w:rPr>
          <w:rtl/>
        </w:rPr>
        <w:t>שמחה־זיסל</w:t>
      </w:r>
      <w:proofErr w:type="spellEnd"/>
      <w:r>
        <w:rPr>
          <w:rtl/>
        </w:rPr>
        <w:t xml:space="preserve"> </w:t>
      </w:r>
      <w:proofErr w:type="spellStart"/>
      <w:r>
        <w:rPr>
          <w:rtl/>
        </w:rPr>
        <w:t>בקלם</w:t>
      </w:r>
      <w:proofErr w:type="spellEnd"/>
      <w:r>
        <w:rPr>
          <w:rtl/>
        </w:rPr>
        <w:t xml:space="preserve"> </w:t>
      </w:r>
      <w:proofErr w:type="spellStart"/>
      <w:r>
        <w:rPr>
          <w:rtl/>
        </w:rPr>
        <w:t>ובגרובין</w:t>
      </w:r>
      <w:proofErr w:type="spellEnd"/>
      <w:r>
        <w:rPr>
          <w:rtl/>
        </w:rPr>
        <w:t xml:space="preserve">. השווה פרק 3, הפסקה השנייה של נספח </w:t>
      </w:r>
      <w:proofErr w:type="spellStart"/>
      <w:r>
        <w:rPr>
          <w:rtl/>
        </w:rPr>
        <w:t>יז</w:t>
      </w:r>
      <w:proofErr w:type="spellEnd"/>
      <w:r>
        <w:rPr>
          <w:rtl/>
        </w:rPr>
        <w:t xml:space="preserve">, </w:t>
      </w:r>
      <w:proofErr w:type="spellStart"/>
      <w:r>
        <w:rPr>
          <w:rtl/>
        </w:rPr>
        <w:t>ו“כתבי</w:t>
      </w:r>
      <w:proofErr w:type="spellEnd"/>
      <w:r>
        <w:rPr>
          <w:rtl/>
        </w:rPr>
        <w:t xml:space="preserve"> הסבא”</w:t>
      </w:r>
      <w:bookmarkStart w:id="4108" w:name="_fnr3112"/>
      <w:r>
        <w:rPr>
          <w:vertAlign w:val="superscript"/>
          <w:rtl/>
        </w:rPr>
        <w:footnoteReference w:id="3120" w:customMarkFollows="0"/>
      </w:r>
      <w:bookmarkEnd w:id="4108"/>
      <w:r>
        <w:rPr>
          <w:rtl/>
        </w:rPr>
        <w:t xml:space="preserve">. שם מביא ר׳ גרשון </w:t>
      </w:r>
      <w:proofErr w:type="spellStart"/>
      <w:r>
        <w:rPr>
          <w:rtl/>
        </w:rPr>
        <w:t>מיאדניק</w:t>
      </w:r>
      <w:bookmarkStart w:id="4109" w:name="_fnr3113"/>
      <w:proofErr w:type="spellEnd"/>
      <w:r>
        <w:rPr>
          <w:vertAlign w:val="superscript"/>
          <w:rtl/>
        </w:rPr>
        <w:footnoteReference w:id="3121" w:customMarkFollows="0"/>
      </w:r>
      <w:bookmarkEnd w:id="4109"/>
      <w:r>
        <w:rPr>
          <w:rtl/>
        </w:rPr>
        <w:t xml:space="preserve"> בשם ר׳ נפתלי אמסטרדם </w:t>
      </w:r>
      <w:proofErr w:type="spellStart"/>
      <w:r>
        <w:rPr>
          <w:rtl/>
        </w:rPr>
        <w:t>שבגרובין</w:t>
      </w:r>
      <w:proofErr w:type="spellEnd"/>
      <w:r>
        <w:rPr>
          <w:rtl/>
        </w:rPr>
        <w:t xml:space="preserve"> היה הסבא מקלם “מקדיש חמש או שש שעות להתבוננות בצעיר אחד, כדי לדעת את כוחותיו, את טבעו ואת תכונותיו”, וללמוד כיצד להשפיע עליו בדרך הטובה ביותר. “הדבר היה ידוע למכירי ישיבת </w:t>
      </w:r>
      <w:proofErr w:type="spellStart"/>
      <w:r>
        <w:rPr>
          <w:rtl/>
        </w:rPr>
        <w:t>גרובין</w:t>
      </w:r>
      <w:proofErr w:type="spellEnd"/>
      <w:r>
        <w:rPr>
          <w:rtl/>
        </w:rPr>
        <w:t>”, אמר ר׳ נפתלי.</w:t>
      </w:r>
    </w:p>
    <w:p w14:paraId="2F5E7F42" w14:textId="77777777" w:rsidR="00AB3647" w:rsidRDefault="00000000" w:rsidP="007923E9">
      <w:pPr>
        <w:spacing w:after="120" w:line="276" w:lineRule="auto"/>
        <w:jc w:val="both"/>
      </w:pPr>
      <w:r>
        <w:rPr>
          <w:rtl/>
        </w:rPr>
        <w:t xml:space="preserve">ר׳ </w:t>
      </w:r>
      <w:proofErr w:type="spellStart"/>
      <w:r>
        <w:rPr>
          <w:rtl/>
        </w:rPr>
        <w:t>לייבל</w:t>
      </w:r>
      <w:proofErr w:type="spellEnd"/>
      <w:r>
        <w:rPr>
          <w:rtl/>
        </w:rPr>
        <w:t xml:space="preserve"> </w:t>
      </w:r>
      <w:proofErr w:type="spellStart"/>
      <w:r>
        <w:rPr>
          <w:rtl/>
        </w:rPr>
        <w:t>פרלשטיין</w:t>
      </w:r>
      <w:proofErr w:type="spellEnd"/>
      <w:r>
        <w:rPr>
          <w:rtl/>
        </w:rPr>
        <w:t xml:space="preserve"> שאל את אבי: “האם כוונתך שהסבא הבין תלמיד כפי שפרויד הבין אנשים?” ואבי השיב: “אח, אין שום השוואה. הסבא הבין אדם הרבה יותר טוב. הוא הכיר את תכונותיו של כל אחד – מה ייעודו של זה ומה ייעודו של האחר. בלעדיו לא היה ר׳ אהרן [קוטלר] נעשה ‘ר׳ אהרן’</w:t>
      </w:r>
      <w:bookmarkStart w:id="4110" w:name="_fnr3114"/>
      <w:bookmarkStart w:id="4111" w:name="pr_f_3006"/>
      <w:r>
        <w:rPr>
          <w:vertAlign w:val="superscript"/>
          <w:rtl/>
        </w:rPr>
        <w:footnoteReference w:id="3122" w:customMarkFollows="0"/>
      </w:r>
      <w:bookmarkEnd w:id="4110"/>
      <w:bookmarkEnd w:id="4111"/>
      <w:r>
        <w:rPr>
          <w:rtl/>
        </w:rPr>
        <w:t>; איש לא היה נעשה מה שנעשה”. באמירה האחרונה לא הוציא את עצמו מן הכלל, ואפשר שזו הייתה דרכו המיוחדת לרמוז על עצמו. (בעניין ר׳ אהרן השווה הערה 42 להלן ופרק 2, הערה 106.)</w:t>
      </w:r>
    </w:p>
    <w:p w14:paraId="5744DD4B" w14:textId="77777777" w:rsidR="00AB3647" w:rsidRDefault="00000000" w:rsidP="007923E9">
      <w:pPr>
        <w:spacing w:after="120" w:line="276" w:lineRule="auto"/>
        <w:jc w:val="both"/>
      </w:pPr>
      <w:r>
        <w:rPr>
          <w:rtl/>
        </w:rPr>
        <w:t xml:space="preserve">מקרה שבו נשתמרה לדורות הבחנת הסבא באופיו של תלמיד מובא </w:t>
      </w:r>
      <w:proofErr w:type="spellStart"/>
      <w:r>
        <w:rPr>
          <w:rtl/>
        </w:rPr>
        <w:t>ב“יתד</w:t>
      </w:r>
      <w:proofErr w:type="spellEnd"/>
      <w:r>
        <w:rPr>
          <w:rtl/>
        </w:rPr>
        <w:t xml:space="preserve"> נאמן”</w:t>
      </w:r>
      <w:bookmarkStart w:id="4112" w:name="_fnr3115"/>
      <w:r>
        <w:rPr>
          <w:vertAlign w:val="superscript"/>
          <w:rtl/>
        </w:rPr>
        <w:footnoteReference w:id="3123" w:customMarkFollows="0"/>
      </w:r>
      <w:bookmarkEnd w:id="4112"/>
      <w:r>
        <w:rPr>
          <w:rtl/>
        </w:rPr>
        <w:t xml:space="preserve">: כשחלה ר׳ </w:t>
      </w:r>
      <w:proofErr w:type="spellStart"/>
      <w:r>
        <w:rPr>
          <w:rtl/>
        </w:rPr>
        <w:t>ישראל־זיסל</w:t>
      </w:r>
      <w:proofErr w:type="spellEnd"/>
      <w:r>
        <w:rPr>
          <w:rtl/>
        </w:rPr>
        <w:t xml:space="preserve"> </w:t>
      </w:r>
      <w:proofErr w:type="spellStart"/>
      <w:r>
        <w:rPr>
          <w:rtl/>
        </w:rPr>
        <w:t>דבורץ</w:t>
      </w:r>
      <w:bookmarkStart w:id="4113" w:name="_fnr3116"/>
      <w:proofErr w:type="spellEnd"/>
      <w:r>
        <w:rPr>
          <w:vertAlign w:val="superscript"/>
          <w:rtl/>
        </w:rPr>
        <w:footnoteReference w:id="3124" w:customMarkFollows="0"/>
      </w:r>
      <w:bookmarkEnd w:id="4113"/>
      <w:r>
        <w:rPr>
          <w:rtl/>
        </w:rPr>
        <w:t xml:space="preserve"> מחלה קשה ביותר בעת לימודו בכנסת ישראל, והוחלט לשנות את </w:t>
      </w:r>
      <w:r>
        <w:rPr>
          <w:rtl/>
        </w:rPr>
        <w:lastRenderedPageBreak/>
        <w:t>שמו</w:t>
      </w:r>
      <w:bookmarkStart w:id="4114" w:name="_fnr3117"/>
      <w:r>
        <w:rPr>
          <w:vertAlign w:val="superscript"/>
          <w:rtl/>
        </w:rPr>
        <w:footnoteReference w:id="3125" w:customMarkFollows="0"/>
      </w:r>
      <w:bookmarkEnd w:id="4114"/>
      <w:r>
        <w:rPr>
          <w:rtl/>
        </w:rPr>
        <w:t xml:space="preserve">, פסק הסבא להוסיף את השם “כלב”, “מפני שהצעיר כולו לב”. ר׳ </w:t>
      </w:r>
      <w:proofErr w:type="spellStart"/>
      <w:r>
        <w:rPr>
          <w:rtl/>
        </w:rPr>
        <w:t>ישראל־זיסל</w:t>
      </w:r>
      <w:proofErr w:type="spellEnd"/>
      <w:r>
        <w:rPr>
          <w:rtl/>
        </w:rPr>
        <w:t xml:space="preserve"> נשא שם זה כל ימיו. השווה גם פרק 3, הפסקה השנייה של נספח כ.</w:t>
      </w:r>
    </w:p>
    <w:bookmarkStart w:id="4115" w:name="b4_note21"/>
    <w:p w14:paraId="07EA69AE" w14:textId="77777777" w:rsidR="00AB3647" w:rsidRDefault="00000000" w:rsidP="007923E9">
      <w:pPr>
        <w:spacing w:before="120" w:after="100" w:line="276" w:lineRule="auto"/>
        <w:jc w:val="both"/>
      </w:pPr>
      <w:r>
        <w:fldChar w:fldCharType="begin" w:dirty="true"/>
      </w:r>
      <w:r>
        <w:instrText>HYPERLINK \l "b4_text21" \h</w:instrText>
      </w:r>
      <w:r>
        <w:fldChar w:fldCharType="separate"/>
      </w:r>
      <w:r>
        <w:rPr>
          <w:b/>
          <w:bCs/>
          <w:rtl/>
        </w:rPr>
        <w:t>21</w:t>
      </w:r>
      <w:r>
        <w:rPr>
          <w:b/>
          <w:bCs/>
        </w:rPr>
        <w:fldChar w:fldCharType="end"/>
      </w:r>
      <w:bookmarkEnd w:id="4115"/>
      <w:r>
        <w:rPr>
          <w:rtl/>
        </w:rPr>
        <w:t xml:space="preserve"> כץ, “תנועת המוסר”, כרך ג, שם: “הוא טען שחינוך בעלי הכישרון הוא תכלית הישיבה, ולמענם בלבד כדאי כל המאמץ והעמל. בתקופה מסוימת, כשמצב ציבור התלמידים היה רופף, העיר מישהו שמספר התלמידים קטן. כששאל ר׳ </w:t>
      </w:r>
      <w:proofErr w:type="spellStart"/>
      <w:r>
        <w:rPr>
          <w:rtl/>
        </w:rPr>
        <w:t>נתן־צבי</w:t>
      </w:r>
      <w:proofErr w:type="spellEnd"/>
      <w:r>
        <w:rPr>
          <w:rtl/>
        </w:rPr>
        <w:t xml:space="preserve"> אם בחור מסוים נמצא בישיבה ונענה בחיוב, אמר הסבא שבעבור אותו תלמיד כדאי לקיים את הישיבה כולה”. רבנו סיפר שהסבא אמר פעם שהוא זקוק לישיבה של 400 תלמידים כדי להוציא מתוכה את האחד שאליו הוא מכוון; האחרים נחוצים לשמש </w:t>
      </w:r>
      <w:proofErr w:type="spellStart"/>
      <w:r>
        <w:rPr>
          <w:rtl/>
        </w:rPr>
        <w:t>חברותות</w:t>
      </w:r>
      <w:proofErr w:type="spellEnd"/>
      <w:r>
        <w:rPr>
          <w:rtl/>
        </w:rPr>
        <w:t xml:space="preserve">, </w:t>
      </w:r>
      <w:proofErr w:type="spellStart"/>
      <w:r>
        <w:rPr>
          <w:rtl/>
        </w:rPr>
        <w:t>וחברותות</w:t>
      </w:r>
      <w:proofErr w:type="spellEnd"/>
      <w:r>
        <w:rPr>
          <w:rtl/>
        </w:rPr>
        <w:t xml:space="preserve"> של </w:t>
      </w:r>
      <w:proofErr w:type="spellStart"/>
      <w:r>
        <w:rPr>
          <w:rtl/>
        </w:rPr>
        <w:t>החברותות</w:t>
      </w:r>
      <w:proofErr w:type="spellEnd"/>
      <w:r>
        <w:rPr>
          <w:rtl/>
        </w:rPr>
        <w:t>, וכן הלאה</w:t>
      </w:r>
      <w:bookmarkStart w:id="4116" w:name="_fnr3118"/>
      <w:r>
        <w:rPr>
          <w:vertAlign w:val="superscript"/>
          <w:rtl/>
        </w:rPr>
        <w:footnoteReference w:id="3126" w:customMarkFollows="0"/>
      </w:r>
      <w:bookmarkEnd w:id="4116"/>
      <w:r>
        <w:rPr>
          <w:rtl/>
        </w:rPr>
        <w:t>.</w:t>
      </w:r>
    </w:p>
    <w:p w14:paraId="46E4ED1C" w14:textId="77777777" w:rsidR="00AB3647" w:rsidRDefault="00000000" w:rsidP="007923E9">
      <w:pPr>
        <w:spacing w:before="120" w:after="100" w:line="276" w:lineRule="auto"/>
        <w:jc w:val="both"/>
      </w:pPr>
      <w:r>
        <w:rPr>
          <w:rtl/>
        </w:rPr>
        <w:t>אבי מעולם לא זיהה את “האחד” שאליו כיוון הסבא – אם אומנם חשב על מישהו מסוים בשעת אמירת הדברים. השווה כרך 2, שבו נדונים ארבעת הבחורים המעולים בישיבה והמחלוקת בשאלה מי מהם היה הגדול ביותר.</w:t>
      </w:r>
    </w:p>
    <w:p w14:paraId="57692E27" w14:textId="74410A8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הסבא </w:t>
      </w:r>
      <w:proofErr w:type="spellStart"/>
      <w:r>
        <w:rPr>
          <w:rtl/>
        </w:rPr>
        <w:t>מסלבודקה</w:t>
      </w:r>
      <w:proofErr w:type="spellEnd"/>
      <w:r>
        <w:rPr>
          <w:rtl/>
        </w:rPr>
        <w:t xml:space="preserve"> סבר שבעל שכל טוב יצטיין בשני היעדים של ישיבת כנסת ישראל: תורה ומוסר</w:t>
      </w:r>
      <w:bookmarkStart w:id="4117" w:name="b4_text22"/>
      <w:bookmarkEnd w:id="4117"/>
      <w:r>
        <w:rPr>
          <w:sz w:val="18"/>
          <w:szCs w:val="18"/>
          <w:vertAlign w:val="superscript"/>
          <w:rtl/>
        </w:rPr>
        <w:fldChar w:fldCharType="begin" w:dirty="true"/>
      </w:r>
      <w:r>
        <w:rPr>
          <w:sz w:val="18"/>
          <w:szCs w:val="18"/>
          <w:vertAlign w:val="superscript"/>
          <w:rtl/>
        </w:rPr>
        <w:instrText xml:space="preserve"> REF b4_note22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22</w:t>
      </w:r>
      <w:r>
        <w:rPr>
          <w:sz w:val="18"/>
          <w:szCs w:val="18"/>
          <w:vertAlign w:val="superscript"/>
          <w:rtl/>
        </w:rPr>
        <w:fldChar w:fldCharType="end"/>
      </w:r>
      <w:r>
        <w:rPr>
          <w:rtl/>
        </w:rPr>
        <w:t>. אם חיבב הסבא תלמיד בתחילה, ואחר כך גילה שאינו רוצה או אינו מסוגל למצוא עניין בשני התחומים הללו, היה זונח אותו</w:t>
      </w:r>
      <w:bookmarkStart w:id="4118" w:name="b4_text23"/>
      <w:bookmarkEnd w:id="4118"/>
      <w:r>
        <w:rPr>
          <w:sz w:val="18"/>
          <w:szCs w:val="18"/>
          <w:vertAlign w:val="superscript"/>
          <w:rtl/>
        </w:rPr>
        <w:fldChar w:fldCharType="begin" w:dirty="true"/>
      </w:r>
      <w:r>
        <w:rPr>
          <w:sz w:val="18"/>
          <w:szCs w:val="18"/>
          <w:vertAlign w:val="superscript"/>
          <w:rtl/>
        </w:rPr>
        <w:instrText xml:space="preserve"> REF b4_note23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23</w:t>
      </w:r>
      <w:r>
        <w:rPr>
          <w:sz w:val="18"/>
          <w:szCs w:val="18"/>
          <w:vertAlign w:val="superscript"/>
          <w:rtl/>
        </w:rPr>
        <w:fldChar w:fldCharType="end"/>
      </w:r>
      <w:r>
        <w:rPr>
          <w:rtl/>
        </w:rPr>
        <w:t>. התלמידים הרבים שנשארו חביבים על הסבא וזכו לתשומת לבו המיוחדת הבינו שהוא אוהב אותם כשם שהוא אוהב את ילדיו</w:t>
      </w:r>
      <w:bookmarkStart w:id="4119" w:name="b4_text24"/>
      <w:bookmarkEnd w:id="4119"/>
      <w:r>
        <w:rPr>
          <w:sz w:val="18"/>
          <w:szCs w:val="18"/>
          <w:vertAlign w:val="superscript"/>
          <w:rtl/>
        </w:rPr>
        <w:fldChar w:fldCharType="begin" w:dirty="true"/>
      </w:r>
      <w:r>
        <w:rPr>
          <w:sz w:val="18"/>
          <w:szCs w:val="18"/>
          <w:vertAlign w:val="superscript"/>
          <w:rtl/>
        </w:rPr>
        <w:instrText xml:space="preserve"> REF b4_note24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24</w:t>
      </w:r>
      <w:r>
        <w:rPr>
          <w:sz w:val="18"/>
          <w:szCs w:val="18"/>
          <w:vertAlign w:val="superscript"/>
          <w:rtl/>
        </w:rPr>
        <w:fldChar w:fldCharType="end"/>
      </w:r>
      <w:r>
        <w:rPr>
          <w:rtl/>
        </w:rPr>
        <w:t>.</w:t>
      </w:r>
    </w:p>
    <w:bookmarkStart w:id="4120" w:name="b4_note22"/>
    <w:p w14:paraId="791C65FB" w14:textId="77777777" w:rsidR="00AB3647" w:rsidRDefault="00000000" w:rsidP="007923E9">
      <w:pPr>
        <w:spacing w:before="120" w:after="100" w:line="276" w:lineRule="auto"/>
        <w:jc w:val="both"/>
      </w:pPr>
      <w:r>
        <w:fldChar w:fldCharType="begin" w:dirty="true"/>
      </w:r>
      <w:r>
        <w:instrText>HYPERLINK \l "b4_text22" \h</w:instrText>
      </w:r>
      <w:r>
        <w:fldChar w:fldCharType="separate"/>
      </w:r>
      <w:r>
        <w:rPr>
          <w:b/>
          <w:bCs/>
          <w:rtl/>
        </w:rPr>
        <w:t>22</w:t>
      </w:r>
      <w:r>
        <w:rPr>
          <w:b/>
          <w:bCs/>
        </w:rPr>
        <w:fldChar w:fldCharType="end"/>
      </w:r>
      <w:bookmarkEnd w:id="4120"/>
      <w:r>
        <w:rPr>
          <w:rtl/>
        </w:rPr>
        <w:t xml:space="preserve"> כץ, “תנועת המוסר”, כרך ג</w:t>
      </w:r>
      <w:bookmarkStart w:id="4121" w:name="_fnr3119"/>
      <w:r>
        <w:rPr>
          <w:vertAlign w:val="superscript"/>
          <w:rtl/>
        </w:rPr>
        <w:footnoteReference w:id="3127" w:customMarkFollows="0"/>
      </w:r>
      <w:bookmarkEnd w:id="4121"/>
      <w:r>
        <w:rPr>
          <w:rtl/>
        </w:rPr>
        <w:t>, מביא בשם הסבא: “מי שיש לו טעם בפלפול ההלכה, יש לו טעם במוסר; ומי שיש לו טעם במוסר, יש לו טעם בפלפול ההלכה”</w:t>
      </w:r>
      <w:bookmarkStart w:id="4122" w:name="_fnr3120"/>
      <w:r>
        <w:rPr>
          <w:vertAlign w:val="superscript"/>
          <w:rtl/>
        </w:rPr>
        <w:footnoteReference w:id="3128" w:customMarkFollows="0"/>
      </w:r>
      <w:bookmarkEnd w:id="4122"/>
      <w:r>
        <w:rPr>
          <w:rtl/>
        </w:rPr>
        <w:t>.</w:t>
      </w:r>
    </w:p>
    <w:bookmarkStart w:id="4123" w:name="b4_note23"/>
    <w:p w14:paraId="518149E4" w14:textId="77777777" w:rsidR="00AB3647" w:rsidRDefault="00000000" w:rsidP="007923E9">
      <w:pPr>
        <w:spacing w:before="120" w:after="100" w:line="276" w:lineRule="auto"/>
        <w:jc w:val="both"/>
      </w:pPr>
      <w:r>
        <w:fldChar w:fldCharType="begin" w:dirty="true"/>
      </w:r>
      <w:r>
        <w:instrText>HYPERLINK \l "b4_text23" \h</w:instrText>
      </w:r>
      <w:r>
        <w:fldChar w:fldCharType="separate"/>
      </w:r>
      <w:r>
        <w:rPr>
          <w:b/>
          <w:bCs/>
          <w:rtl/>
        </w:rPr>
        <w:t>23</w:t>
      </w:r>
      <w:r>
        <w:rPr>
          <w:b/>
          <w:bCs/>
        </w:rPr>
        <w:fldChar w:fldCharType="end"/>
      </w:r>
      <w:bookmarkEnd w:id="4123"/>
      <w:r>
        <w:rPr>
          <w:rtl/>
        </w:rPr>
        <w:t xml:space="preserve">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24" w:name="_fnr3121"/>
      <w:proofErr w:type="spellEnd"/>
      <w:r>
        <w:rPr>
          <w:vertAlign w:val="superscript"/>
          <w:rtl/>
        </w:rPr>
        <w:footnoteReference w:id="3129" w:customMarkFollows="0"/>
      </w:r>
      <w:bookmarkEnd w:id="4124"/>
      <w:r>
        <w:rPr>
          <w:rtl/>
        </w:rPr>
        <w:t xml:space="preserve"> נאמר: “כשראה הסבא שטעה בתלמידים שהיה מחשיבם, היה משליכם ועוזבם”. נראה שהכותב מכוון למאורע מסוים. ר׳ זבולון גרז</w:t>
      </w:r>
      <w:bookmarkStart w:id="4125" w:name="_fnr3122"/>
      <w:r>
        <w:rPr>
          <w:vertAlign w:val="superscript"/>
          <w:rtl/>
        </w:rPr>
        <w:footnoteReference w:id="3130" w:customMarkFollows="0"/>
      </w:r>
      <w:bookmarkEnd w:id="4125"/>
      <w:r>
        <w:rPr>
          <w:rtl/>
        </w:rPr>
        <w:t xml:space="preserve"> אמר אף הוא כך, והוסיף שדחיית תלמיד בידי הסבא ניכרה בדרך פנייתו אליו: הוא היה פונה אליו בצורה הרשמית, בגוף שני רבים, “איר”, במקום בצורת היחיד </w:t>
      </w:r>
      <w:proofErr w:type="spellStart"/>
      <w:r>
        <w:rPr>
          <w:rtl/>
        </w:rPr>
        <w:t>הלא־רשמית</w:t>
      </w:r>
      <w:proofErr w:type="spellEnd"/>
      <w:r>
        <w:rPr>
          <w:rtl/>
        </w:rPr>
        <w:t>, “דו”. “אם שמע תלמיד ‘</w:t>
      </w:r>
      <w:proofErr w:type="spellStart"/>
      <w:r>
        <w:rPr>
          <w:rtl/>
        </w:rPr>
        <w:t>וואס</w:t>
      </w:r>
      <w:proofErr w:type="spellEnd"/>
      <w:r>
        <w:rPr>
          <w:rtl/>
        </w:rPr>
        <w:t xml:space="preserve"> </w:t>
      </w:r>
      <w:proofErr w:type="spellStart"/>
      <w:r>
        <w:rPr>
          <w:rtl/>
        </w:rPr>
        <w:t>מאכט</w:t>
      </w:r>
      <w:proofErr w:type="spellEnd"/>
      <w:r>
        <w:rPr>
          <w:rtl/>
        </w:rPr>
        <w:t xml:space="preserve"> איר?’ [מה שלומכם?], במקום ‘</w:t>
      </w:r>
      <w:proofErr w:type="spellStart"/>
      <w:r>
        <w:rPr>
          <w:rtl/>
        </w:rPr>
        <w:t>וואס</w:t>
      </w:r>
      <w:proofErr w:type="spellEnd"/>
      <w:r>
        <w:rPr>
          <w:rtl/>
        </w:rPr>
        <w:t xml:space="preserve"> </w:t>
      </w:r>
      <w:proofErr w:type="spellStart"/>
      <w:r>
        <w:rPr>
          <w:rtl/>
        </w:rPr>
        <w:t>מאכסט</w:t>
      </w:r>
      <w:proofErr w:type="spellEnd"/>
      <w:r>
        <w:rPr>
          <w:rtl/>
        </w:rPr>
        <w:t xml:space="preserve"> דו?’ [מה שלומך?], יכול היה להתעלף”, אמר ר׳ זבולון.</w:t>
      </w:r>
    </w:p>
    <w:p w14:paraId="67FC8578" w14:textId="77777777" w:rsidR="00AB3647" w:rsidRDefault="00000000" w:rsidP="007923E9">
      <w:pPr>
        <w:spacing w:before="120" w:after="100" w:line="276" w:lineRule="auto"/>
        <w:jc w:val="both"/>
      </w:pPr>
      <w:r>
        <w:rPr>
          <w:rtl/>
        </w:rPr>
        <w:t>גם כץ, “תנועת המוסר”, כרך ג</w:t>
      </w:r>
      <w:bookmarkStart w:id="4126" w:name="_fnr3123"/>
      <w:r>
        <w:rPr>
          <w:vertAlign w:val="superscript"/>
          <w:rtl/>
        </w:rPr>
        <w:footnoteReference w:id="3131" w:customMarkFollows="0"/>
      </w:r>
      <w:bookmarkEnd w:id="4126"/>
      <w:r>
        <w:rPr>
          <w:rtl/>
        </w:rPr>
        <w:t>, מזכיר שינוי זה בברכה כאות למורת רוח. שם מוזכר גם אות משונה יותר: “היה יכול לקרות שהסבא יושיט לפתע את ידו לתלמיד ותיק ויאמר: ‘שלום עליכם. מי אתם? מאין אתם? מתי באתם לכאן?’ בברכה זו רמז הסבא לתלמיד שמעתה אינו אלא אורח בישיבה”.</w:t>
      </w:r>
    </w:p>
    <w:bookmarkStart w:id="4127" w:name="b4_note24"/>
    <w:p w14:paraId="5D993E09" w14:textId="7E3E4937" w:rsidR="00AB3647" w:rsidRDefault="00000000" w:rsidP="007923E9">
      <w:pPr>
        <w:spacing w:before="120" w:after="100" w:line="276" w:lineRule="auto"/>
        <w:jc w:val="both"/>
      </w:pPr>
      <w:r>
        <w:lastRenderedPageBreak/>
        <w:fldChar w:fldCharType="begin" w:dirty="true"/>
      </w:r>
      <w:r>
        <w:instrText>HYPERLINK \l "b4_text24" \h</w:instrText>
      </w:r>
      <w:r>
        <w:fldChar w:fldCharType="separate"/>
      </w:r>
      <w:r>
        <w:rPr>
          <w:b/>
          <w:bCs/>
          <w:rtl/>
        </w:rPr>
        <w:t>24</w:t>
      </w:r>
      <w:r>
        <w:rPr>
          <w:b/>
          <w:bCs/>
        </w:rPr>
        <w:fldChar w:fldCharType="end"/>
      </w:r>
      <w:bookmarkEnd w:id="4127"/>
      <w:r>
        <w:rPr>
          <w:rtl/>
        </w:rPr>
        <w:t xml:space="preserve"> ראה </w:t>
      </w:r>
      <w:r>
        <w:rPr>
          <w:rtl/>
        </w:rPr>
        <w:fldChar w:fldCharType="begin" w:dirty="true"/>
      </w:r>
      <w:r>
        <w:rPr>
          <w:rtl/>
        </w:rPr>
        <w:instrText xml:space="preserve"> REF b4_excC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5AEDB942" w14:textId="368BB1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הוא התעניין בכל פרט של טובת התלמיד, בבעיותיו ובמכאוביו. לעיתים קרובות היה מרטיב את כריתו בדמעות דאגה על תלמיד שנקרא להתייצב בפני ועדת גיוס או ששכב על מיטת חוליו</w:t>
      </w:r>
      <w:bookmarkStart w:id="4128" w:name="b4_text25"/>
      <w:bookmarkEnd w:id="4128"/>
      <w:r>
        <w:rPr>
          <w:sz w:val="18"/>
          <w:szCs w:val="18"/>
          <w:vertAlign w:val="superscript"/>
          <w:rtl/>
        </w:rPr>
        <w:fldChar w:fldCharType="begin" w:dirty="true"/>
      </w:r>
      <w:r>
        <w:rPr>
          <w:sz w:val="18"/>
          <w:szCs w:val="18"/>
          <w:vertAlign w:val="superscript"/>
          <w:rtl/>
        </w:rPr>
        <w:instrText xml:space="preserve"> REF b4_note25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25</w:t>
      </w:r>
      <w:r>
        <w:rPr>
          <w:sz w:val="18"/>
          <w:szCs w:val="18"/>
          <w:vertAlign w:val="superscript"/>
          <w:rtl/>
        </w:rPr>
        <w:fldChar w:fldCharType="end"/>
      </w:r>
      <w:r>
        <w:rPr>
          <w:rtl/>
        </w:rPr>
        <w:t>.</w:t>
      </w:r>
    </w:p>
    <w:bookmarkStart w:id="4129" w:name="b4_note25"/>
    <w:p w14:paraId="6CE8F895" w14:textId="77777777" w:rsidR="00AB3647" w:rsidRDefault="00000000" w:rsidP="007923E9">
      <w:pPr>
        <w:spacing w:before="120" w:after="100" w:line="276" w:lineRule="auto"/>
        <w:jc w:val="both"/>
      </w:pPr>
      <w:r>
        <w:fldChar w:fldCharType="begin" w:dirty="true"/>
      </w:r>
      <w:r>
        <w:instrText>HYPERLINK \l "b4_text25" \h</w:instrText>
      </w:r>
      <w:r>
        <w:fldChar w:fldCharType="separate"/>
      </w:r>
      <w:r>
        <w:rPr>
          <w:b/>
          <w:bCs/>
          <w:rtl/>
        </w:rPr>
        <w:t>25</w:t>
      </w:r>
      <w:r>
        <w:rPr>
          <w:b/>
          <w:bCs/>
        </w:rPr>
        <w:fldChar w:fldCharType="end"/>
      </w:r>
      <w:bookmarkEnd w:id="4129"/>
      <w:r>
        <w:rPr>
          <w:rtl/>
        </w:rPr>
        <w:t xml:space="preserve">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30" w:name="_fnr3124"/>
      <w:proofErr w:type="spellEnd"/>
      <w:r>
        <w:rPr>
          <w:vertAlign w:val="superscript"/>
          <w:rtl/>
        </w:rPr>
        <w:footnoteReference w:id="3132" w:customMarkFollows="0"/>
      </w:r>
      <w:bookmarkEnd w:id="4130"/>
      <w:r>
        <w:rPr>
          <w:rtl/>
        </w:rPr>
        <w:t>. עוד נאמר בו</w:t>
      </w:r>
      <w:bookmarkStart w:id="4131" w:name="_fnr3125"/>
      <w:r>
        <w:rPr>
          <w:vertAlign w:val="superscript"/>
          <w:rtl/>
        </w:rPr>
        <w:footnoteReference w:id="3133" w:customMarkFollows="0"/>
      </w:r>
      <w:bookmarkEnd w:id="4131"/>
      <w:r>
        <w:rPr>
          <w:rtl/>
        </w:rPr>
        <w:t xml:space="preserve"> שהסבא </w:t>
      </w:r>
      <w:proofErr w:type="spellStart"/>
      <w:r>
        <w:rPr>
          <w:rtl/>
        </w:rPr>
        <w:t>מסלבודקה</w:t>
      </w:r>
      <w:proofErr w:type="spellEnd"/>
      <w:r>
        <w:rPr>
          <w:rtl/>
        </w:rPr>
        <w:t xml:space="preserve"> “דאג במיוחד שבחורים מבוגרים לא ייפלו למעמסה על הוריהם”. כץ, “תנועת המוסר”, כרך ג</w:t>
      </w:r>
      <w:bookmarkStart w:id="4132" w:name="_fnr3126"/>
      <w:r>
        <w:rPr>
          <w:vertAlign w:val="superscript"/>
          <w:rtl/>
        </w:rPr>
        <w:footnoteReference w:id="3134" w:customMarkFollows="0"/>
      </w:r>
      <w:bookmarkEnd w:id="4132"/>
      <w:r>
        <w:rPr>
          <w:rtl/>
        </w:rPr>
        <w:t xml:space="preserve">, מציין שהסבא השתדל להכניס את תלמידיו למשרות רבנות פנויות, אבל הוא מייחס זאת הן לכוונת ר׳ </w:t>
      </w:r>
      <w:proofErr w:type="spellStart"/>
      <w:r>
        <w:rPr>
          <w:rtl/>
        </w:rPr>
        <w:t>נתן־צבי</w:t>
      </w:r>
      <w:proofErr w:type="spellEnd"/>
      <w:r>
        <w:rPr>
          <w:rtl/>
        </w:rPr>
        <w:t xml:space="preserve"> להפיץ את השפעת המוסר, הן לרצונו “לספק </w:t>
      </w:r>
      <w:proofErr w:type="spellStart"/>
      <w:r>
        <w:rPr>
          <w:rtl/>
        </w:rPr>
        <w:t>לתלמידיו־בניו</w:t>
      </w:r>
      <w:proofErr w:type="spellEnd"/>
      <w:r>
        <w:rPr>
          <w:rtl/>
        </w:rPr>
        <w:t xml:space="preserve"> מקומות להתפתחותם הגשמית והרוחנית”.</w:t>
      </w:r>
    </w:p>
    <w:p w14:paraId="409563A4" w14:textId="2819D2D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לא רב אחרי בואו </w:t>
      </w:r>
      <w:proofErr w:type="spellStart"/>
      <w:r>
        <w:rPr>
          <w:rtl/>
        </w:rPr>
        <w:t>לסלבודקה</w:t>
      </w:r>
      <w:proofErr w:type="spellEnd"/>
      <w:r>
        <w:rPr>
          <w:rtl/>
        </w:rPr>
        <w:t xml:space="preserve"> קרא הסבא </w:t>
      </w:r>
      <w:proofErr w:type="spellStart"/>
      <w:r>
        <w:rPr>
          <w:rtl/>
        </w:rPr>
        <w:t>לדולהינובר</w:t>
      </w:r>
      <w:proofErr w:type="spellEnd"/>
      <w:r>
        <w:rPr>
          <w:rtl/>
        </w:rPr>
        <w:t xml:space="preserve"> לשיחה אישית בדירתו הזעירה, שנבנתה מאחורי הקיר המערבי של בית המדרש, בפינה </w:t>
      </w:r>
      <w:proofErr w:type="spellStart"/>
      <w:r>
        <w:rPr>
          <w:rtl/>
        </w:rPr>
        <w:t>הצפונית־מערבית</w:t>
      </w:r>
      <w:proofErr w:type="spellEnd"/>
      <w:r>
        <w:rPr>
          <w:rtl/>
        </w:rPr>
        <w:t xml:space="preserve"> של בניין הישיבה</w:t>
      </w:r>
      <w:bookmarkStart w:id="4133" w:name="b4_text26"/>
      <w:bookmarkEnd w:id="4133"/>
      <w:r>
        <w:rPr>
          <w:sz w:val="18"/>
          <w:szCs w:val="18"/>
          <w:vertAlign w:val="superscript"/>
          <w:rtl/>
        </w:rPr>
        <w:fldChar w:fldCharType="begin" w:dirty="true"/>
      </w:r>
      <w:r>
        <w:rPr>
          <w:sz w:val="18"/>
          <w:szCs w:val="18"/>
          <w:vertAlign w:val="superscript"/>
          <w:rtl/>
        </w:rPr>
        <w:instrText xml:space="preserve"> REF b4_note26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26</w:t>
      </w:r>
      <w:r>
        <w:rPr>
          <w:sz w:val="18"/>
          <w:szCs w:val="18"/>
          <w:vertAlign w:val="superscript"/>
          <w:rtl/>
        </w:rPr>
        <w:fldChar w:fldCharType="end"/>
      </w:r>
      <w:r>
        <w:rPr>
          <w:rtl/>
        </w:rPr>
        <w:t>. צדו הארוך של הבניין, הקיר הצפוני, היה מקביל לרחוב גלזר, ולא הייתה בו כניסה. ארון הקודש ניצב בקיר המזרחי, ולכן הייתה כניסת הישיבה בקיר המערבי, מול ארון הקודש. כדי להגיע אליה היו פונים מן הרחוב דרומה, אל החצר שלפני הכניסה, ואחר כך שמאלה, מזרחה. הנכנס לחצר ראה מיד את מעונו של הסבא, שבלט מן הבניין לכיוונו.</w:t>
      </w:r>
    </w:p>
    <w:bookmarkStart w:id="4134" w:name="b4_note26"/>
    <w:p w14:paraId="3E1C59A1" w14:textId="77777777" w:rsidR="00AB3647" w:rsidRDefault="00000000" w:rsidP="007923E9">
      <w:pPr>
        <w:spacing w:before="120" w:after="100" w:line="276" w:lineRule="auto"/>
        <w:jc w:val="both"/>
      </w:pPr>
      <w:r>
        <w:fldChar w:fldCharType="begin" w:dirty="true"/>
      </w:r>
      <w:r>
        <w:instrText>HYPERLINK \l "b4_text26" \h</w:instrText>
      </w:r>
      <w:r>
        <w:fldChar w:fldCharType="separate"/>
      </w:r>
      <w:r>
        <w:rPr>
          <w:b/>
          <w:bCs/>
          <w:rtl/>
        </w:rPr>
        <w:t>26</w:t>
      </w:r>
      <w:r>
        <w:rPr>
          <w:b/>
          <w:bCs/>
        </w:rPr>
        <w:fldChar w:fldCharType="end"/>
      </w:r>
      <w:bookmarkEnd w:id="4134"/>
      <w:r>
        <w:rPr>
          <w:rtl/>
        </w:rPr>
        <w:t xml:space="preserve"> ר׳ </w:t>
      </w:r>
      <w:proofErr w:type="spellStart"/>
      <w:r>
        <w:rPr>
          <w:rtl/>
        </w:rPr>
        <w:t xml:space="preserve">בער־הירש</w:t>
      </w:r>
      <w:proofErr w:type="spellEnd"/>
      <w:r>
        <w:rPr>
          <w:rtl/>
        </w:rPr>
        <w:t xml:space="preserve">, שאשתו עברה </w:t>
      </w:r>
      <w:proofErr w:type="spellStart"/>
      <w:r>
        <w:rPr>
          <w:rtl/>
        </w:rPr>
        <w:t>לסלבודקה</w:t>
      </w:r>
      <w:bookmarkStart w:id="4135" w:name="_fnr3127"/>
      <w:proofErr w:type="spellEnd"/>
      <w:r>
        <w:rPr>
          <w:vertAlign w:val="superscript"/>
          <w:rtl/>
        </w:rPr>
        <w:footnoteReference w:id="3135" w:customMarkFollows="0"/>
      </w:r>
      <w:bookmarkEnd w:id="4135"/>
      <w:r>
        <w:rPr>
          <w:rtl/>
        </w:rPr>
        <w:t xml:space="preserve"> לפני אשת הסבא </w:t>
      </w:r>
      <w:proofErr w:type="spellStart"/>
      <w:r>
        <w:rPr>
          <w:rtl/>
        </w:rPr>
        <w:t>מסלבודקה</w:t>
      </w:r>
      <w:proofErr w:type="spellEnd"/>
      <w:r>
        <w:rPr>
          <w:rtl/>
        </w:rPr>
        <w:t xml:space="preserve">, התגורר בדירה הזאת </w:t>
      </w:r>
      <w:proofErr w:type="spellStart"/>
      <w:r>
        <w:rPr>
          <w:rtl/>
        </w:rPr>
        <w:t>זמן־מה</w:t>
      </w:r>
      <w:proofErr w:type="spellEnd"/>
      <w:r>
        <w:rPr>
          <w:rtl/>
        </w:rPr>
        <w:t xml:space="preserve"> קודם לכן</w:t>
      </w:r>
      <w:bookmarkStart w:id="4136" w:name="_fnr3128"/>
      <w:r>
        <w:rPr>
          <w:vertAlign w:val="superscript"/>
          <w:rtl/>
        </w:rPr>
        <w:footnoteReference w:id="3136" w:customMarkFollows="0"/>
      </w:r>
      <w:bookmarkEnd w:id="4136"/>
      <w:r>
        <w:rPr>
          <w:rtl/>
        </w:rPr>
        <w:t xml:space="preserve">. לפי נכדת הסבא </w:t>
      </w:r>
      <w:proofErr w:type="spellStart"/>
      <w:r>
        <w:rPr>
          <w:rtl/>
        </w:rPr>
        <w:t>מסלבודקה</w:t>
      </w:r>
      <w:proofErr w:type="spellEnd"/>
      <w:r>
        <w:rPr>
          <w:rtl/>
        </w:rPr>
        <w:t xml:space="preserve"> </w:t>
      </w:r>
      <w:proofErr w:type="spellStart"/>
      <w:r>
        <w:rPr>
          <w:rtl/>
        </w:rPr>
        <w:t>רבקה־לאה</w:t>
      </w:r>
      <w:proofErr w:type="spellEnd"/>
      <w:r>
        <w:rPr>
          <w:rtl/>
        </w:rPr>
        <w:t xml:space="preserve"> פרבר</w:t>
      </w:r>
      <w:bookmarkStart w:id="4137" w:name="_fnr3129"/>
      <w:r>
        <w:rPr>
          <w:vertAlign w:val="superscript"/>
          <w:rtl/>
        </w:rPr>
        <w:footnoteReference w:id="3137" w:customMarkFollows="0"/>
      </w:r>
      <w:bookmarkEnd w:id="4137"/>
      <w:r>
        <w:rPr>
          <w:rtl/>
        </w:rPr>
        <w:t xml:space="preserve">, הסבא עבר לבניין הישיבה לפני שאשתו עברה מקלם </w:t>
      </w:r>
      <w:proofErr w:type="spellStart"/>
      <w:r>
        <w:rPr>
          <w:rtl/>
        </w:rPr>
        <w:t>לסלבודקה</w:t>
      </w:r>
      <w:proofErr w:type="spellEnd"/>
      <w:r>
        <w:rPr>
          <w:rtl/>
        </w:rPr>
        <w:t>, וקיבלתי זאת כעובדה, למרות הסתירה שבדברי כץ</w:t>
      </w:r>
      <w:bookmarkStart w:id="4138" w:name="_fnr3130"/>
      <w:r>
        <w:rPr>
          <w:vertAlign w:val="superscript"/>
          <w:rtl/>
        </w:rPr>
        <w:footnoteReference w:id="3138" w:customMarkFollows="0"/>
      </w:r>
      <w:bookmarkEnd w:id="4138"/>
      <w:r>
        <w:rPr>
          <w:rtl/>
        </w:rPr>
        <w:t xml:space="preserve">. לדעתי יצא ר׳ </w:t>
      </w:r>
      <w:proofErr w:type="spellStart"/>
      <w:r>
        <w:rPr>
          <w:rtl/>
        </w:rPr>
        <w:t xml:space="preserve">בער־הירש</w:t>
      </w:r>
      <w:proofErr w:type="spellEnd"/>
      <w:r>
        <w:rPr>
          <w:rtl/>
        </w:rPr>
        <w:t xml:space="preserve"> מבניין הישיבה בסביבות תרס״ד, כשבתו הבכורה מבין שלוש בנותיו התבגרה, ומגוריה סמוך לבית המדרש לא היו הולמים עוד. אפשר גם שיצא במועד אחר, כשקיבל בית משלו לא הרחק מן הישיבה, בפינת רחוב </w:t>
      </w:r>
      <w:proofErr w:type="spellStart"/>
      <w:r>
        <w:rPr>
          <w:rtl/>
        </w:rPr>
        <w:t>פנריו</w:t>
      </w:r>
      <w:proofErr w:type="spellEnd"/>
      <w:r>
        <w:rPr>
          <w:rtl/>
        </w:rPr>
        <w:t xml:space="preserve"> ורחוב קטן שכונה “סמטת הגויים”.</w:t>
      </w:r>
    </w:p>
    <w:p w14:paraId="60A7412A" w14:textId="77777777" w:rsidR="00AB3647" w:rsidRDefault="00000000" w:rsidP="007923E9">
      <w:pPr>
        <w:spacing w:before="120" w:after="100" w:line="276" w:lineRule="auto"/>
        <w:jc w:val="both"/>
      </w:pPr>
      <w:r>
        <w:rPr>
          <w:rtl/>
        </w:rPr>
        <w:t xml:space="preserve">לפי </w:t>
      </w:r>
      <w:proofErr w:type="spellStart"/>
      <w:r>
        <w:rPr>
          <w:rtl/>
        </w:rPr>
        <w:t>חיה־מרים</w:t>
      </w:r>
      <w:proofErr w:type="spellEnd"/>
      <w:r>
        <w:rPr>
          <w:rtl/>
        </w:rPr>
        <w:t xml:space="preserve"> </w:t>
      </w:r>
      <w:proofErr w:type="spellStart"/>
      <w:r>
        <w:rPr>
          <w:rtl/>
        </w:rPr>
        <w:t>שולמן</w:t>
      </w:r>
      <w:bookmarkStart w:id="4139" w:name="_fnr3131"/>
      <w:proofErr w:type="spellEnd"/>
      <w:r>
        <w:rPr>
          <w:vertAlign w:val="superscript"/>
          <w:rtl/>
        </w:rPr>
        <w:footnoteReference w:id="3139" w:customMarkFollows="0"/>
      </w:r>
      <w:bookmarkEnd w:id="4139"/>
      <w:r>
        <w:rPr>
          <w:rtl/>
        </w:rPr>
        <w:t xml:space="preserve">, היה ידוע בחוגי הישיבה שחמותו של ר׳ </w:t>
      </w:r>
      <w:proofErr w:type="spellStart"/>
      <w:r>
        <w:rPr>
          <w:rtl/>
        </w:rPr>
        <w:t xml:space="preserve">בער־הירש</w:t>
      </w:r>
      <w:proofErr w:type="spellEnd"/>
      <w:r>
        <w:rPr>
          <w:rtl/>
        </w:rPr>
        <w:t xml:space="preserve"> קנתה לו את הבית – ייתכן שעשתה זאת מפני בנותיו הגדלות. הרבנית </w:t>
      </w:r>
      <w:proofErr w:type="spellStart"/>
      <w:r>
        <w:rPr>
          <w:rtl/>
        </w:rPr>
        <w:t>שולמן</w:t>
      </w:r>
      <w:proofErr w:type="spellEnd"/>
      <w:r>
        <w:rPr>
          <w:rtl/>
        </w:rPr>
        <w:t xml:space="preserve"> סיפרה גם שכשכבשו הרוסים </w:t>
      </w:r>
      <w:r>
        <w:rPr>
          <w:rtl/>
        </w:rPr>
        <w:lastRenderedPageBreak/>
        <w:t xml:space="preserve">את ליטא </w:t>
      </w:r>
      <w:proofErr w:type="spellStart"/>
      <w:r>
        <w:rPr>
          <w:rtl/>
        </w:rPr>
        <w:t>בת״ש</w:t>
      </w:r>
      <w:proofErr w:type="spellEnd"/>
      <w:r>
        <w:rPr>
          <w:rtl/>
        </w:rPr>
        <w:t xml:space="preserve">, סגרו את הישיבה והחרימו את בניינה, ולקחו גם את בית ר׳ </w:t>
      </w:r>
      <w:proofErr w:type="spellStart"/>
      <w:r>
        <w:rPr>
          <w:rtl/>
        </w:rPr>
        <w:t xml:space="preserve">בער־הירש</w:t>
      </w:r>
      <w:proofErr w:type="spellEnd"/>
      <w:r>
        <w:rPr>
          <w:rtl/>
        </w:rPr>
        <w:t xml:space="preserve"> בטענה: “זה אותו ארגון [כמו הישיבה]”. באותה עת התגורר בבית חתנו ר׳ אברהם </w:t>
      </w:r>
      <w:proofErr w:type="spellStart"/>
      <w:r>
        <w:rPr>
          <w:rtl/>
        </w:rPr>
        <w:t>גרודזינסקי</w:t>
      </w:r>
      <w:proofErr w:type="spellEnd"/>
      <w:r>
        <w:rPr>
          <w:rtl/>
        </w:rPr>
        <w:t>.</w:t>
      </w:r>
    </w:p>
    <w:p w14:paraId="0B7BD3A2" w14:textId="77777777" w:rsidR="00AB3647" w:rsidRDefault="00000000" w:rsidP="007923E9">
      <w:pPr>
        <w:spacing w:after="120" w:line="276" w:lineRule="auto"/>
        <w:jc w:val="both"/>
      </w:pPr>
      <w:r>
        <w:rPr>
          <w:rtl/>
        </w:rPr>
        <w:t xml:space="preserve">ר׳ </w:t>
      </w:r>
      <w:proofErr w:type="spellStart"/>
      <w:r>
        <w:rPr>
          <w:rtl/>
        </w:rPr>
        <w:t>משה־מרדכי</w:t>
      </w:r>
      <w:proofErr w:type="spellEnd"/>
      <w:r>
        <w:rPr>
          <w:rtl/>
        </w:rPr>
        <w:t xml:space="preserve"> ומשפחתו התגוררו בדירה אחרת, צמודה לקיר הישיבה, מעל דירת הסבא. לפי הרבנית </w:t>
      </w:r>
      <w:proofErr w:type="spellStart"/>
      <w:r>
        <w:rPr>
          <w:rtl/>
        </w:rPr>
        <w:t>שולמן</w:t>
      </w:r>
      <w:proofErr w:type="spellEnd"/>
      <w:r>
        <w:rPr>
          <w:rtl/>
        </w:rPr>
        <w:t>, אמיל [עובדיה] לחמן</w:t>
      </w:r>
      <w:bookmarkStart w:id="4140" w:name="_fnr3132"/>
      <w:r>
        <w:rPr>
          <w:vertAlign w:val="superscript"/>
          <w:rtl/>
        </w:rPr>
        <w:footnoteReference w:id="3140" w:customMarkFollows="0"/>
      </w:r>
      <w:bookmarkEnd w:id="4140"/>
      <w:r>
        <w:rPr>
          <w:rtl/>
        </w:rPr>
        <w:t xml:space="preserve"> מימן את בניית הדירות, וייעד אותן </w:t>
      </w:r>
      <w:proofErr w:type="spellStart"/>
      <w:r>
        <w:rPr>
          <w:rtl/>
        </w:rPr>
        <w:t>ל“ראש</w:t>
      </w:r>
      <w:proofErr w:type="spellEnd"/>
      <w:r>
        <w:rPr>
          <w:rtl/>
        </w:rPr>
        <w:t xml:space="preserve"> הישיבה”. לחמן התכוון לסבא, אבל הסבא </w:t>
      </w:r>
      <w:proofErr w:type="spellStart"/>
      <w:r>
        <w:rPr>
          <w:rtl/>
        </w:rPr>
        <w:t>מסלבודקה</w:t>
      </w:r>
      <w:proofErr w:type="spellEnd"/>
      <w:r>
        <w:rPr>
          <w:rtl/>
        </w:rPr>
        <w:t xml:space="preserve"> אמר שראש הישיבה הוא ר׳ </w:t>
      </w:r>
      <w:proofErr w:type="spellStart"/>
      <w:r>
        <w:rPr>
          <w:rtl/>
        </w:rPr>
        <w:t>משה־מרדכי</w:t>
      </w:r>
      <w:proofErr w:type="spellEnd"/>
      <w:r>
        <w:rPr>
          <w:rtl/>
        </w:rPr>
        <w:t xml:space="preserve"> ולא הוא, ומשום כך יש לתת </w:t>
      </w:r>
      <w:proofErr w:type="spellStart"/>
      <w:r>
        <w:rPr>
          <w:rtl/>
        </w:rPr>
        <w:t>לר</w:t>
      </w:r>
      <w:proofErr w:type="spellEnd"/>
      <w:r>
        <w:rPr>
          <w:rtl/>
        </w:rPr>
        <w:t xml:space="preserve">׳ </w:t>
      </w:r>
      <w:proofErr w:type="spellStart"/>
      <w:r>
        <w:rPr>
          <w:rtl/>
        </w:rPr>
        <w:t>משה־מרדכי</w:t>
      </w:r>
      <w:proofErr w:type="spellEnd"/>
      <w:r>
        <w:rPr>
          <w:rtl/>
        </w:rPr>
        <w:t xml:space="preserve"> אפשטיין את הדירה הטובה יותר, שבקומה העליונה. אפשר שטעם זה לא היה אלא אמתלה שנתן הסבא לבני משפחתו על שקיבל את הדירה הגרועה יותר. השווה כץ, “תנועת המוסר”, כרך ג</w:t>
      </w:r>
      <w:bookmarkStart w:id="4141" w:name="_fnr3133"/>
      <w:r>
        <w:rPr>
          <w:vertAlign w:val="superscript"/>
          <w:rtl/>
        </w:rPr>
        <w:footnoteReference w:id="3141" w:customMarkFollows="0"/>
      </w:r>
      <w:bookmarkEnd w:id="4141"/>
      <w:r>
        <w:rPr>
          <w:rtl/>
        </w:rPr>
        <w:t>, על הימנעותו מלקחת לעצמו מאכלים או חפצים טובים מאלה שהיו לאחרים.</w:t>
      </w:r>
    </w:p>
    <w:p w14:paraId="2872AC7E" w14:textId="01DCFC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דירת הסבא – וליתר דיוק צריפו – הייתה חדר יחיד, קטן, נמוך תקרה וכמעט מרובע, שקירו הרחוק היה משותף לצריף ולישיבה</w:t>
      </w:r>
      <w:bookmarkStart w:id="4142" w:name="b4_text27"/>
      <w:bookmarkEnd w:id="4142"/>
      <w:r>
        <w:rPr>
          <w:sz w:val="18"/>
          <w:szCs w:val="18"/>
          <w:vertAlign w:val="superscript"/>
          <w:rtl/>
        </w:rPr>
        <w:fldChar w:fldCharType="begin" w:dirty="true"/>
      </w:r>
      <w:r>
        <w:rPr>
          <w:sz w:val="18"/>
          <w:szCs w:val="18"/>
          <w:vertAlign w:val="superscript"/>
          <w:rtl/>
        </w:rPr>
        <w:instrText xml:space="preserve"> REF b4_note27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27</w:t>
      </w:r>
      <w:r>
        <w:rPr>
          <w:sz w:val="18"/>
          <w:szCs w:val="18"/>
          <w:vertAlign w:val="superscript"/>
          <w:rtl/>
        </w:rPr>
        <w:fldChar w:fldCharType="end"/>
      </w:r>
      <w:r>
        <w:rPr>
          <w:rtl/>
        </w:rPr>
        <w:t>. גבוה בקיר זה, סמוך לתקרה, היה פתח קטן. מי שעמד על סולם מדרגות יכול היה להציץ דרכו אל בית המדרש ולראותו לכל אורכו, מן הספסלים האחוריים ועד ארון הקודש</w:t>
      </w:r>
      <w:bookmarkStart w:id="4143" w:name="b4_text28"/>
      <w:bookmarkEnd w:id="4143"/>
      <w:r>
        <w:rPr>
          <w:sz w:val="18"/>
          <w:szCs w:val="18"/>
          <w:vertAlign w:val="superscript"/>
          <w:rtl/>
        </w:rPr>
        <w:fldChar w:fldCharType="begin" w:dirty="true"/>
      </w:r>
      <w:r>
        <w:rPr>
          <w:sz w:val="18"/>
          <w:szCs w:val="18"/>
          <w:vertAlign w:val="superscript"/>
          <w:rtl/>
        </w:rPr>
        <w:instrText xml:space="preserve"> REF b4_note28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28</w:t>
      </w:r>
      <w:r>
        <w:rPr>
          <w:sz w:val="18"/>
          <w:szCs w:val="18"/>
          <w:vertAlign w:val="superscript"/>
          <w:rtl/>
        </w:rPr>
        <w:fldChar w:fldCharType="end"/>
      </w:r>
      <w:r>
        <w:rPr>
          <w:rtl/>
        </w:rPr>
        <w:t>.</w:t>
      </w:r>
    </w:p>
    <w:bookmarkStart w:id="4144" w:name="b4_note27"/>
    <w:p w14:paraId="525031EB" w14:textId="77777777" w:rsidR="00AB3647" w:rsidRDefault="00000000" w:rsidP="007923E9">
      <w:pPr>
        <w:spacing w:before="120" w:after="100" w:line="276" w:lineRule="auto"/>
        <w:jc w:val="both"/>
      </w:pPr>
      <w:r>
        <w:fldChar w:fldCharType="begin" w:dirty="true"/>
      </w:r>
      <w:r>
        <w:instrText>HYPERLINK \l "b4_text27" \h</w:instrText>
      </w:r>
      <w:r>
        <w:fldChar w:fldCharType="separate"/>
      </w:r>
      <w:r>
        <w:rPr>
          <w:b/>
          <w:bCs/>
          <w:rtl/>
        </w:rPr>
        <w:t>27</w:t>
      </w:r>
      <w:r>
        <w:rPr>
          <w:b/>
          <w:bCs/>
        </w:rPr>
        <w:fldChar w:fldCharType="end"/>
      </w:r>
      <w:bookmarkEnd w:id="4144"/>
      <w:r>
        <w:rPr>
          <w:rtl/>
        </w:rPr>
        <w:t xml:space="preserve"> תיאור הדירה הורכב מראיונות עם ארבע מנכדות הסבא: </w:t>
      </w:r>
      <w:proofErr w:type="spellStart"/>
      <w:r>
        <w:rPr>
          <w:rtl/>
        </w:rPr>
        <w:t>חיה־מרים</w:t>
      </w:r>
      <w:proofErr w:type="spellEnd"/>
      <w:r>
        <w:rPr>
          <w:rtl/>
        </w:rPr>
        <w:t xml:space="preserve"> </w:t>
      </w:r>
      <w:proofErr w:type="spellStart"/>
      <w:r>
        <w:rPr>
          <w:rtl/>
        </w:rPr>
        <w:t>שר־שולמן</w:t>
      </w:r>
      <w:proofErr w:type="spellEnd"/>
      <w:r>
        <w:rPr>
          <w:rtl/>
        </w:rPr>
        <w:t>, ילידת תרס״ו</w:t>
      </w:r>
      <w:bookmarkStart w:id="4145" w:name="_fnr3134"/>
      <w:r>
        <w:rPr>
          <w:vertAlign w:val="superscript"/>
          <w:rtl/>
        </w:rPr>
        <w:footnoteReference w:id="3142" w:customMarkFollows="0"/>
      </w:r>
      <w:bookmarkEnd w:id="4145"/>
      <w:r>
        <w:rPr>
          <w:rtl/>
        </w:rPr>
        <w:t xml:space="preserve">; </w:t>
      </w:r>
      <w:proofErr w:type="spellStart"/>
      <w:r>
        <w:rPr>
          <w:rtl/>
        </w:rPr>
        <w:t>רבקה־לאה</w:t>
      </w:r>
      <w:proofErr w:type="spellEnd"/>
      <w:r>
        <w:rPr>
          <w:rtl/>
        </w:rPr>
        <w:t xml:space="preserve"> </w:t>
      </w:r>
      <w:proofErr w:type="spellStart"/>
      <w:r>
        <w:rPr>
          <w:rtl/>
        </w:rPr>
        <w:t>פלצ׳ינסקי־פרבר</w:t>
      </w:r>
      <w:proofErr w:type="spellEnd"/>
      <w:r>
        <w:rPr>
          <w:rtl/>
        </w:rPr>
        <w:t>, ילידת תר״ס</w:t>
      </w:r>
      <w:bookmarkStart w:id="4146" w:name="_fnr3135"/>
      <w:r>
        <w:rPr>
          <w:vertAlign w:val="superscript"/>
          <w:rtl/>
        </w:rPr>
        <w:footnoteReference w:id="3143" w:customMarkFollows="0"/>
      </w:r>
      <w:bookmarkEnd w:id="4146"/>
      <w:r>
        <w:rPr>
          <w:rtl/>
        </w:rPr>
        <w:t xml:space="preserve">; מרים </w:t>
      </w:r>
      <w:proofErr w:type="spellStart"/>
      <w:r>
        <w:rPr>
          <w:rtl/>
        </w:rPr>
        <w:t>פלצ׳ינסקי־גולדשמידט</w:t>
      </w:r>
      <w:proofErr w:type="spellEnd"/>
      <w:r>
        <w:rPr>
          <w:rtl/>
        </w:rPr>
        <w:t>, ילידת תרע״ד</w:t>
      </w:r>
      <w:bookmarkStart w:id="4147" w:name="_fnr3136"/>
      <w:r>
        <w:rPr>
          <w:vertAlign w:val="superscript"/>
          <w:rtl/>
        </w:rPr>
        <w:footnoteReference w:id="3144" w:customMarkFollows="0"/>
      </w:r>
      <w:bookmarkEnd w:id="4147"/>
      <w:r>
        <w:rPr>
          <w:rtl/>
        </w:rPr>
        <w:t xml:space="preserve">; </w:t>
      </w:r>
      <w:proofErr w:type="spellStart"/>
      <w:r>
        <w:rPr>
          <w:rtl/>
        </w:rPr>
        <w:t>וחנה־מרים</w:t>
      </w:r>
      <w:proofErr w:type="spellEnd"/>
      <w:r>
        <w:rPr>
          <w:rtl/>
        </w:rPr>
        <w:t xml:space="preserve"> </w:t>
      </w:r>
      <w:proofErr w:type="spellStart"/>
      <w:r>
        <w:rPr>
          <w:rtl/>
        </w:rPr>
        <w:t>פינקל־שמואלביץ</w:t>
      </w:r>
      <w:bookmarkStart w:id="4148" w:name="_fnr3137"/>
      <w:proofErr w:type="spellEnd"/>
      <w:r>
        <w:rPr>
          <w:vertAlign w:val="superscript"/>
          <w:rtl/>
        </w:rPr>
        <w:footnoteReference w:id="3145" w:customMarkFollows="0"/>
      </w:r>
      <w:bookmarkEnd w:id="4148"/>
      <w:r>
        <w:rPr>
          <w:rtl/>
        </w:rPr>
        <w:t>, ילידת תרס״ז</w:t>
      </w:r>
      <w:bookmarkStart w:id="4149" w:name="_fnr3138"/>
      <w:r>
        <w:rPr>
          <w:vertAlign w:val="superscript"/>
          <w:rtl/>
        </w:rPr>
        <w:footnoteReference w:id="3146" w:customMarkFollows="0"/>
      </w:r>
      <w:bookmarkEnd w:id="4149"/>
      <w:r>
        <w:rPr>
          <w:rtl/>
        </w:rPr>
        <w:t>.</w:t>
      </w:r>
    </w:p>
    <w:bookmarkStart w:id="4150" w:name="b4_note28"/>
    <w:p w14:paraId="6997DD89" w14:textId="77777777" w:rsidR="00AB3647" w:rsidRDefault="00000000" w:rsidP="007923E9">
      <w:pPr>
        <w:spacing w:before="120" w:after="100" w:line="276" w:lineRule="auto"/>
        <w:jc w:val="both"/>
      </w:pPr>
      <w:r>
        <w:fldChar w:fldCharType="begin" w:dirty="true"/>
      </w:r>
      <w:r>
        <w:instrText>HYPERLINK \l "b4_text28" \h</w:instrText>
      </w:r>
      <w:r>
        <w:fldChar w:fldCharType="separate"/>
      </w:r>
      <w:r>
        <w:rPr>
          <w:b/>
          <w:bCs/>
          <w:rtl/>
        </w:rPr>
        <w:t>28</w:t>
      </w:r>
      <w:r>
        <w:rPr>
          <w:b/>
          <w:bCs/>
        </w:rPr>
        <w:fldChar w:fldCharType="end"/>
      </w:r>
      <w:bookmarkEnd w:id="4150"/>
      <w:r>
        <w:rPr>
          <w:rtl/>
        </w:rPr>
        <w:t xml:space="preserve"> הסבתא הייתה מגישה דרך הפתח הזה</w:t>
      </w:r>
      <w:bookmarkStart w:id="4151" w:name="_fnr3139"/>
      <w:r>
        <w:rPr>
          <w:vertAlign w:val="superscript"/>
          <w:rtl/>
        </w:rPr>
        <w:footnoteReference w:id="3147" w:customMarkFollows="0"/>
      </w:r>
      <w:bookmarkEnd w:id="4151"/>
      <w:r>
        <w:rPr>
          <w:rtl/>
        </w:rPr>
        <w:t xml:space="preserve"> תה לתלמידים שלמדו עד שעה מאוחרת בלילות חמישי. מרוב אהבתה לתורה</w:t>
      </w:r>
      <w:bookmarkStart w:id="4152" w:name="_fnr3140"/>
      <w:r>
        <w:rPr>
          <w:vertAlign w:val="superscript"/>
          <w:rtl/>
        </w:rPr>
        <w:footnoteReference w:id="3148" w:customMarkFollows="0"/>
      </w:r>
      <w:bookmarkEnd w:id="4152"/>
      <w:r>
        <w:rPr>
          <w:rtl/>
        </w:rPr>
        <w:t xml:space="preserve"> לא היה לה קשה מדי לעלות בסולם המדרגות עם התה החם – כך סיפרה </w:t>
      </w:r>
      <w:proofErr w:type="spellStart"/>
      <w:r>
        <w:rPr>
          <w:rtl/>
        </w:rPr>
        <w:t>חנה־מרים</w:t>
      </w:r>
      <w:proofErr w:type="spellEnd"/>
      <w:r>
        <w:rPr>
          <w:rtl/>
        </w:rPr>
        <w:t xml:space="preserve"> </w:t>
      </w:r>
      <w:proofErr w:type="spellStart"/>
      <w:r>
        <w:rPr>
          <w:rtl/>
        </w:rPr>
        <w:t>שמואלביץ</w:t>
      </w:r>
      <w:bookmarkStart w:id="4153" w:name="_fnr3141"/>
      <w:proofErr w:type="spellEnd"/>
      <w:r>
        <w:rPr>
          <w:vertAlign w:val="superscript"/>
          <w:rtl/>
        </w:rPr>
        <w:footnoteReference w:id="3149" w:customMarkFollows="0"/>
      </w:r>
      <w:bookmarkEnd w:id="4153"/>
      <w:r>
        <w:rPr>
          <w:rtl/>
        </w:rPr>
        <w:t xml:space="preserve">. כשהזכרתי את הדבר לפני בת דודתה </w:t>
      </w:r>
      <w:proofErr w:type="spellStart"/>
      <w:r>
        <w:rPr>
          <w:rtl/>
        </w:rPr>
        <w:t>חיה־מרים</w:t>
      </w:r>
      <w:proofErr w:type="spellEnd"/>
      <w:r>
        <w:rPr>
          <w:rtl/>
        </w:rPr>
        <w:t xml:space="preserve"> </w:t>
      </w:r>
      <w:proofErr w:type="spellStart"/>
      <w:r>
        <w:rPr>
          <w:rtl/>
        </w:rPr>
        <w:t>שולמן</w:t>
      </w:r>
      <w:proofErr w:type="spellEnd"/>
      <w:r>
        <w:rPr>
          <w:rtl/>
        </w:rPr>
        <w:t>, הוסיפה זו</w:t>
      </w:r>
      <w:bookmarkStart w:id="4154" w:name="_fnr3142"/>
      <w:r>
        <w:rPr>
          <w:vertAlign w:val="superscript"/>
          <w:rtl/>
        </w:rPr>
        <w:footnoteReference w:id="3150" w:customMarkFollows="0"/>
      </w:r>
      <w:bookmarkEnd w:id="4154"/>
      <w:r>
        <w:rPr>
          <w:rtl/>
        </w:rPr>
        <w:t xml:space="preserve"> שלפעמים הגישה הסבתא דרך הפתח גם בשר ותוספות. “סבתי הייתה לפעמים ‘מקבלת’ בחורים לישיבה”, אמרה הרבנית </w:t>
      </w:r>
      <w:proofErr w:type="spellStart"/>
      <w:r>
        <w:rPr>
          <w:rtl/>
        </w:rPr>
        <w:t>שולמן</w:t>
      </w:r>
      <w:proofErr w:type="spellEnd"/>
      <w:r>
        <w:rPr>
          <w:rtl/>
        </w:rPr>
        <w:t>. “למועמדים שנדחו אמרה: ‘קחו גמרא לבית המדרש ושבו ללמוד. מלגה מן הישיבה לא תקבלו, אבל אני אאכיל אתכם’”. וכך עשתה, דרך אותו פתח.</w:t>
      </w:r>
    </w:p>
    <w:p w14:paraId="021AB075" w14:textId="15D8F8B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כשנכנס אבי לצריף, ראה לפניו חבית מים נמוכה, המכוסה במכסה עשוי עשב קלוע, גדול דיו לשבת עליו. מעבר לה ניצב תנור הסקה ארוך, שהשתרע לעבר הקצה הרחוק של החדר. התנור היה עיקרו של המעון, שכן חילק את החדר לשניים: ברצועת החלל הארוכה שמשמאל לתנור המתין הסבא לקבלו, ומימין היה מטבח קטן. במטבחון היו שני חלונות</w:t>
      </w:r>
      <w:bookmarkStart w:id="4155" w:name="b4_text29"/>
      <w:bookmarkEnd w:id="4155"/>
      <w:r>
        <w:rPr>
          <w:sz w:val="18"/>
          <w:szCs w:val="18"/>
          <w:vertAlign w:val="superscript"/>
          <w:rtl/>
        </w:rPr>
        <w:fldChar w:fldCharType="begin" w:dirty="true"/>
      </w:r>
      <w:r>
        <w:rPr>
          <w:sz w:val="18"/>
          <w:szCs w:val="18"/>
          <w:vertAlign w:val="superscript"/>
          <w:rtl/>
        </w:rPr>
        <w:instrText xml:space="preserve"> REF b4_note29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29</w:t>
      </w:r>
      <w:r>
        <w:rPr>
          <w:sz w:val="18"/>
          <w:szCs w:val="18"/>
          <w:vertAlign w:val="superscript"/>
          <w:rtl/>
        </w:rPr>
        <w:fldChar w:fldCharType="end"/>
      </w:r>
      <w:r>
        <w:rPr>
          <w:rtl/>
        </w:rPr>
        <w:t xml:space="preserve"> בחזית, שמהם נראו הבחורים העוברים ליד דלת הצריף בדרכם לכניסת הישיבה.</w:t>
      </w:r>
    </w:p>
    <w:bookmarkStart w:id="4156" w:name="b4_note29"/>
    <w:p w14:paraId="54F02A41" w14:textId="77777777" w:rsidR="00AB3647" w:rsidRDefault="00000000" w:rsidP="007923E9">
      <w:pPr>
        <w:spacing w:before="120" w:after="100" w:line="276" w:lineRule="auto"/>
        <w:jc w:val="both"/>
      </w:pPr>
      <w:r>
        <w:fldChar w:fldCharType="begin" w:dirty="true"/>
      </w:r>
      <w:r>
        <w:instrText>HYPERLINK \l "b4_text29" \h</w:instrText>
      </w:r>
      <w:r>
        <w:fldChar w:fldCharType="separate"/>
      </w:r>
      <w:r>
        <w:rPr>
          <w:b/>
          <w:bCs/>
          <w:rtl/>
        </w:rPr>
        <w:t>29</w:t>
      </w:r>
      <w:r>
        <w:rPr>
          <w:b/>
          <w:bCs/>
        </w:rPr>
        <w:fldChar w:fldCharType="end"/>
      </w:r>
      <w:bookmarkEnd w:id="4156"/>
      <w:r>
        <w:rPr>
          <w:rtl/>
        </w:rPr>
        <w:t xml:space="preserve"> “כשסבתי עברה מקלם, הועמדה מחיצה [ממערב למזרח] בין החלונות, ונוצר ‘חדר הסבתא’ נפרד, בעל חלון אחד, קרוב יותר לפינת הצריף מן המטבח שנותר, שגם בו היה חלון אחד”, אמרה </w:t>
      </w:r>
      <w:proofErr w:type="spellStart"/>
      <w:r>
        <w:rPr>
          <w:rtl/>
        </w:rPr>
        <w:t>חיה־מרים</w:t>
      </w:r>
      <w:proofErr w:type="spellEnd"/>
      <w:r>
        <w:rPr>
          <w:rtl/>
        </w:rPr>
        <w:t xml:space="preserve"> </w:t>
      </w:r>
      <w:proofErr w:type="spellStart"/>
      <w:r>
        <w:rPr>
          <w:rtl/>
        </w:rPr>
        <w:t>שולמן</w:t>
      </w:r>
      <w:bookmarkStart w:id="4157" w:name="_fnr3143"/>
      <w:proofErr w:type="spellEnd"/>
      <w:r>
        <w:rPr>
          <w:vertAlign w:val="superscript"/>
          <w:rtl/>
        </w:rPr>
        <w:footnoteReference w:id="3151" w:customMarkFollows="0"/>
      </w:r>
      <w:bookmarkEnd w:id="4157"/>
      <w:r>
        <w:rPr>
          <w:rtl/>
        </w:rPr>
        <w:t>.</w:t>
      </w:r>
    </w:p>
    <w:p w14:paraId="1C91F0D6" w14:textId="3FCA60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סמוך לאמצע אורכו של התנור עברה מחיצה לרוחב צד המטבח של החדר, והפרידה את חלקו האחורי של הצריף, ששימש כנראה לשינה. בצד הסבא, “חדרו”, היו שני חלונות בצד הפונה לרחוב גלזר</w:t>
      </w:r>
      <w:bookmarkStart w:id="4158" w:name="b4_text30"/>
      <w:bookmarkEnd w:id="4158"/>
      <w:r>
        <w:rPr>
          <w:sz w:val="18"/>
          <w:szCs w:val="18"/>
          <w:vertAlign w:val="superscript"/>
          <w:rtl/>
        </w:rPr>
        <w:fldChar w:fldCharType="begin" w:dirty="true"/>
      </w:r>
      <w:r>
        <w:rPr>
          <w:sz w:val="18"/>
          <w:szCs w:val="18"/>
          <w:vertAlign w:val="superscript"/>
          <w:rtl/>
        </w:rPr>
        <w:instrText xml:space="preserve"> REF b4_note30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30</w:t>
      </w:r>
      <w:r>
        <w:rPr>
          <w:sz w:val="18"/>
          <w:szCs w:val="18"/>
          <w:vertAlign w:val="superscript"/>
          <w:rtl/>
        </w:rPr>
        <w:fldChar w:fldCharType="end"/>
      </w:r>
      <w:r>
        <w:rPr>
          <w:rtl/>
        </w:rPr>
        <w:t xml:space="preserve">, ושולחן </w:t>
      </w:r>
      <w:proofErr w:type="spellStart"/>
      <w:r>
        <w:rPr>
          <w:rtl/>
        </w:rPr>
        <w:t>ולצדו</w:t>
      </w:r>
      <w:proofErr w:type="spellEnd"/>
      <w:r>
        <w:rPr>
          <w:rtl/>
        </w:rPr>
        <w:t xml:space="preserve"> ספסלים, שנמשך לאורך החדר והסתיים סמוך לקיר המשותף לצריף ולבניין הישיבה.</w:t>
      </w:r>
    </w:p>
    <w:bookmarkStart w:id="4159" w:name="b4_note30"/>
    <w:p w14:paraId="25D0F778" w14:textId="77777777" w:rsidR="00AB3647" w:rsidRDefault="00000000" w:rsidP="007923E9">
      <w:pPr>
        <w:spacing w:before="120" w:after="100" w:line="276" w:lineRule="auto"/>
        <w:jc w:val="both"/>
      </w:pPr>
      <w:r>
        <w:fldChar w:fldCharType="begin" w:dirty="true"/>
      </w:r>
      <w:r>
        <w:instrText>HYPERLINK \l "b4_text30" \h</w:instrText>
      </w:r>
      <w:r>
        <w:fldChar w:fldCharType="separate"/>
      </w:r>
      <w:r>
        <w:rPr>
          <w:b/>
          <w:bCs/>
          <w:rtl/>
        </w:rPr>
        <w:t>30</w:t>
      </w:r>
      <w:r>
        <w:rPr>
          <w:b/>
          <w:bCs/>
        </w:rPr>
        <w:fldChar w:fldCharType="end"/>
      </w:r>
      <w:bookmarkEnd w:id="4159"/>
      <w:r>
        <w:rPr>
          <w:rtl/>
        </w:rPr>
        <w:t xml:space="preserve"> </w:t>
      </w:r>
      <w:proofErr w:type="spellStart"/>
      <w:r>
        <w:rPr>
          <w:rtl/>
        </w:rPr>
        <w:t>חיה־מרים</w:t>
      </w:r>
      <w:proofErr w:type="spellEnd"/>
      <w:r>
        <w:rPr>
          <w:rtl/>
        </w:rPr>
        <w:t xml:space="preserve"> </w:t>
      </w:r>
      <w:proofErr w:type="spellStart"/>
      <w:r>
        <w:rPr>
          <w:rtl/>
        </w:rPr>
        <w:t>שולמן</w:t>
      </w:r>
      <w:bookmarkStart w:id="4160" w:name="_fnr3144"/>
      <w:proofErr w:type="spellEnd"/>
      <w:r>
        <w:rPr>
          <w:vertAlign w:val="superscript"/>
          <w:rtl/>
        </w:rPr>
        <w:footnoteReference w:id="3152" w:customMarkFollows="0"/>
      </w:r>
      <w:bookmarkEnd w:id="4160"/>
      <w:r>
        <w:rPr>
          <w:rtl/>
        </w:rPr>
        <w:t xml:space="preserve"> סיפרה לי מעשה נאה הקשור למיקום החלונות, הן במטבחון הן בחדר הסבא. ביום שישי בחנוכה, אחר הצהריים, רצתה הסבתא להדליק נרות שבת מוקדם, כמנהגה בכל שבוע. אבל הסבא אמר שמוקדם מדי בשבילו להדליק נרות חנוכה, ואותם צריך להדליק תחילה. אבי המרואיינת היה גאה בכך שהשיב את שלום הבית: הוא הציע לסבתא להדליק נרות חנוכה לעצמה.</w:t>
      </w:r>
    </w:p>
    <w:p w14:paraId="5CB27322" w14:textId="77777777" w:rsidR="00AB3647" w:rsidRDefault="00000000" w:rsidP="007923E9">
      <w:pPr>
        <w:spacing w:before="120" w:after="100" w:line="276" w:lineRule="auto"/>
        <w:jc w:val="both"/>
      </w:pPr>
      <w:r>
        <w:rPr>
          <w:rtl/>
        </w:rPr>
        <w:t xml:space="preserve">הסבתא קיבלה את עצתו ואמרה: “איזה רעיון מצוין. ידליק הסבא את נרותיו בחלונותיו הפונים לרחוב גלזר, ויעבור שם זגג אחד או שניים ויראה אותם; אני אדליק את נרותיי בחלון חדרי, ששם עוברים ששים </w:t>
      </w:r>
      <w:proofErr w:type="spellStart"/>
      <w:r>
        <w:rPr>
          <w:rtl/>
        </w:rPr>
        <w:t>רבוא</w:t>
      </w:r>
      <w:proofErr w:type="spellEnd"/>
      <w:r>
        <w:rPr>
          <w:rtl/>
        </w:rPr>
        <w:t>”. אהבתה לתורה הייתה גדולה כל כך, עד שתלמידי הישיבה העוברים ורואים את נרות החנוכה שלה היו בעיניה ציבור שמספרו אינו פחות ממספר היהודים שקיבלו את התורה בהר סיני</w:t>
      </w:r>
      <w:bookmarkStart w:id="4161" w:name="_fnr3145"/>
      <w:r>
        <w:rPr>
          <w:vertAlign w:val="superscript"/>
          <w:rtl/>
        </w:rPr>
        <w:footnoteReference w:id="3153" w:customMarkFollows="0"/>
      </w:r>
      <w:bookmarkEnd w:id="4161"/>
      <w:r>
        <w:rPr>
          <w:rtl/>
        </w:rPr>
        <w:t>.</w:t>
      </w:r>
    </w:p>
    <w:p w14:paraId="44F7D690" w14:textId="671217A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כשקרא לאורחו להיכנס, ישב הסבא על כיסא פשוט סמוך לכניסת חדרו, בקצה השולחן. סמוך לקצה הרחוק של השולחן, לעבר ראשו, הבחין </w:t>
      </w:r>
      <w:proofErr w:type="spellStart"/>
      <w:r>
        <w:rPr>
          <w:rtl/>
        </w:rPr>
        <w:t>הדולהינובר</w:t>
      </w:r>
      <w:proofErr w:type="spellEnd"/>
      <w:r>
        <w:rPr>
          <w:rtl/>
        </w:rPr>
        <w:t xml:space="preserve"> בסדין התלוי מאמצע קצהו האחורי של התנור</w:t>
      </w:r>
      <w:bookmarkStart w:id="4162" w:name="b4_text31"/>
      <w:bookmarkEnd w:id="4162"/>
      <w:r>
        <w:rPr>
          <w:sz w:val="18"/>
          <w:szCs w:val="18"/>
          <w:vertAlign w:val="superscript"/>
          <w:rtl/>
        </w:rPr>
        <w:fldChar w:fldCharType="begin" w:dirty="true"/>
      </w:r>
      <w:r>
        <w:rPr>
          <w:sz w:val="18"/>
          <w:szCs w:val="18"/>
          <w:vertAlign w:val="superscript"/>
          <w:rtl/>
        </w:rPr>
        <w:instrText xml:space="preserve"> REF b4_note31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31</w:t>
      </w:r>
      <w:r>
        <w:rPr>
          <w:sz w:val="18"/>
          <w:szCs w:val="18"/>
          <w:vertAlign w:val="superscript"/>
          <w:rtl/>
        </w:rPr>
        <w:fldChar w:fldCharType="end"/>
      </w:r>
      <w:r>
        <w:rPr>
          <w:rtl/>
        </w:rPr>
        <w:t xml:space="preserve"> ועד הקיר האחורי, כדי להפריד בין קצה מקום השינה</w:t>
      </w:r>
      <w:bookmarkStart w:id="4163" w:name="b4_text32"/>
      <w:bookmarkEnd w:id="4163"/>
      <w:r>
        <w:rPr>
          <w:sz w:val="18"/>
          <w:szCs w:val="18"/>
          <w:vertAlign w:val="superscript"/>
          <w:rtl/>
        </w:rPr>
        <w:fldChar w:fldCharType="begin" w:dirty="true"/>
      </w:r>
      <w:r>
        <w:rPr>
          <w:sz w:val="18"/>
          <w:szCs w:val="18"/>
          <w:vertAlign w:val="superscript"/>
          <w:rtl/>
        </w:rPr>
        <w:instrText xml:space="preserve"> REF b4_note32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32</w:t>
      </w:r>
      <w:r>
        <w:rPr>
          <w:sz w:val="18"/>
          <w:szCs w:val="18"/>
          <w:vertAlign w:val="superscript"/>
          <w:rtl/>
        </w:rPr>
        <w:fldChar w:fldCharType="end"/>
      </w:r>
      <w:r>
        <w:rPr>
          <w:rtl/>
        </w:rPr>
        <w:t xml:space="preserve"> ובין קצה “חדר הסבא”.</w:t>
      </w:r>
    </w:p>
    <w:bookmarkStart w:id="4164" w:name="b4_note31"/>
    <w:p w14:paraId="72EF2BC6" w14:textId="77777777" w:rsidR="00AB3647" w:rsidRDefault="00000000" w:rsidP="007923E9">
      <w:pPr>
        <w:spacing w:before="120" w:after="100" w:line="276" w:lineRule="auto"/>
        <w:jc w:val="both"/>
      </w:pPr>
      <w:r>
        <w:lastRenderedPageBreak/>
        <w:fldChar w:fldCharType="begin" w:dirty="true"/>
      </w:r>
      <w:r>
        <w:instrText>HYPERLINK \l "b4_text31" \h</w:instrText>
      </w:r>
      <w:r>
        <w:fldChar w:fldCharType="separate"/>
      </w:r>
      <w:r>
        <w:rPr>
          <w:b/>
          <w:bCs/>
          <w:rtl/>
        </w:rPr>
        <w:t>31</w:t>
      </w:r>
      <w:r>
        <w:rPr>
          <w:b/>
          <w:bCs/>
        </w:rPr>
        <w:fldChar w:fldCharType="end"/>
      </w:r>
      <w:bookmarkEnd w:id="4164"/>
      <w:r>
        <w:rPr>
          <w:rtl/>
        </w:rPr>
        <w:t xml:space="preserve"> “במשך היובל”</w:t>
      </w:r>
      <w:bookmarkStart w:id="4165" w:name="_fnr3146"/>
      <w:r>
        <w:rPr>
          <w:vertAlign w:val="superscript"/>
          <w:rtl/>
        </w:rPr>
        <w:footnoteReference w:id="3154" w:customMarkFollows="0"/>
      </w:r>
      <w:bookmarkEnd w:id="4165"/>
      <w:r>
        <w:rPr>
          <w:rtl/>
        </w:rPr>
        <w:t xml:space="preserve"> קובע שרק בקצה הרחוק הזה של “חדר הסבא”, מאחורי התנור, יכול היה הסבא לדבר עם תלמיד ביחידות: בפינה הקטנה והמשוקעת, שתחמו אותה משלושה צדדים אחורי התנור, הסדין התלוי וקיר הבניין.</w:t>
      </w:r>
    </w:p>
    <w:bookmarkStart w:id="4166" w:name="b4_note32"/>
    <w:p w14:paraId="5C6F467C" w14:textId="77777777" w:rsidR="00AB3647" w:rsidRDefault="00000000" w:rsidP="007923E9">
      <w:pPr>
        <w:spacing w:before="120" w:after="100" w:line="276" w:lineRule="auto"/>
        <w:jc w:val="both"/>
      </w:pPr>
      <w:r>
        <w:fldChar w:fldCharType="begin" w:dirty="true"/>
      </w:r>
      <w:r>
        <w:instrText>HYPERLINK \l "b4_text32" \h</w:instrText>
      </w:r>
      <w:r>
        <w:fldChar w:fldCharType="separate"/>
      </w:r>
      <w:r>
        <w:rPr>
          <w:b/>
          <w:bCs/>
          <w:rtl/>
        </w:rPr>
        <w:t>32</w:t>
      </w:r>
      <w:r>
        <w:rPr>
          <w:b/>
          <w:bCs/>
        </w:rPr>
        <w:fldChar w:fldCharType="end"/>
      </w:r>
      <w:bookmarkEnd w:id="4166"/>
      <w:r>
        <w:rPr>
          <w:rtl/>
        </w:rPr>
        <w:t xml:space="preserve"> לפי </w:t>
      </w:r>
      <w:proofErr w:type="spellStart"/>
      <w:r>
        <w:rPr>
          <w:rtl/>
        </w:rPr>
        <w:t>חיה־מרים</w:t>
      </w:r>
      <w:proofErr w:type="spellEnd"/>
      <w:r>
        <w:rPr>
          <w:rtl/>
        </w:rPr>
        <w:t xml:space="preserve"> </w:t>
      </w:r>
      <w:proofErr w:type="spellStart"/>
      <w:r>
        <w:rPr>
          <w:rtl/>
        </w:rPr>
        <w:t>שולמן</w:t>
      </w:r>
      <w:bookmarkStart w:id="4167" w:name="_fnr3147"/>
      <w:proofErr w:type="spellEnd"/>
      <w:r>
        <w:rPr>
          <w:vertAlign w:val="superscript"/>
          <w:rtl/>
        </w:rPr>
        <w:footnoteReference w:id="3155" w:customMarkFollows="0"/>
      </w:r>
      <w:bookmarkEnd w:id="4167"/>
      <w:r>
        <w:rPr>
          <w:rtl/>
        </w:rPr>
        <w:t>, היה מקום לשתי מיטות, שהוצבו בניצב זו לזו: אחת לאורך הקיר המשותף עם הישיבה, שכיוונו מצפון לדרום, והאחרת לאורך הקיר שממזרח למערב, מול הסדין.</w:t>
      </w:r>
    </w:p>
    <w:p w14:paraId="33EFF11E" w14:textId="548F229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הנער, שנכנס למעון הזה בפעם הראשונה, לא התרשם מן המראה – בחייו הצעירים כבר ראה די בקתות דלות. אבל נשבה בהקשבתו המרוכזת של מארחו לדבריו על עצמו, ובהבנתו החודרת של הסבא </w:t>
      </w:r>
      <w:proofErr w:type="spellStart"/>
      <w:r>
        <w:rPr>
          <w:rtl/>
        </w:rPr>
        <w:t>מסלבודקה</w:t>
      </w:r>
      <w:proofErr w:type="spellEnd"/>
      <w:r>
        <w:rPr>
          <w:rtl/>
        </w:rPr>
        <w:t xml:space="preserve"> את רעיונותיו ומחשבותיו. מראה הסבא לא הטיל מורא</w:t>
      </w:r>
      <w:bookmarkStart w:id="4168" w:name="b4_text33"/>
      <w:bookmarkEnd w:id="4168"/>
      <w:r>
        <w:rPr>
          <w:sz w:val="18"/>
          <w:szCs w:val="18"/>
          <w:vertAlign w:val="superscript"/>
          <w:rtl/>
        </w:rPr>
        <w:fldChar w:fldCharType="begin" w:dirty="true"/>
      </w:r>
      <w:r>
        <w:rPr>
          <w:sz w:val="18"/>
          <w:szCs w:val="18"/>
          <w:vertAlign w:val="superscript"/>
          <w:rtl/>
        </w:rPr>
        <w:instrText xml:space="preserve"> REF b4_note33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33</w:t>
      </w:r>
      <w:r>
        <w:rPr>
          <w:sz w:val="18"/>
          <w:szCs w:val="18"/>
          <w:vertAlign w:val="superscript"/>
          <w:rtl/>
        </w:rPr>
        <w:fldChar w:fldCharType="end"/>
      </w:r>
      <w:r>
        <w:rPr>
          <w:rtl/>
        </w:rPr>
        <w:t>, והנהגתו השרתה נינוחות על מבקרו; אבל אבי הבין מיד שהוא יושב במחיצת אדם שיוכל להיות רבו ומדריכו</w:t>
      </w:r>
      <w:bookmarkStart w:id="4169" w:name="b4_text34"/>
      <w:bookmarkEnd w:id="4169"/>
      <w:r>
        <w:rPr>
          <w:sz w:val="18"/>
          <w:szCs w:val="18"/>
          <w:vertAlign w:val="superscript"/>
          <w:rtl/>
        </w:rPr>
        <w:fldChar w:fldCharType="begin" w:dirty="true"/>
      </w:r>
      <w:r>
        <w:rPr>
          <w:sz w:val="18"/>
          <w:szCs w:val="18"/>
          <w:vertAlign w:val="superscript"/>
          <w:rtl/>
        </w:rPr>
        <w:instrText xml:space="preserve"> REF b4_note34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34</w:t>
      </w:r>
      <w:r>
        <w:rPr>
          <w:sz w:val="18"/>
          <w:szCs w:val="18"/>
          <w:vertAlign w:val="superscript"/>
          <w:rtl/>
        </w:rPr>
        <w:fldChar w:fldCharType="end"/>
      </w:r>
      <w:r>
        <w:rPr>
          <w:rtl/>
        </w:rPr>
        <w:t>. גם הסבא הכיר בשכלו המהיר ובאופיו העדין של הצעיר, וידע שנזדמן לו עוד תלמיד הראוי ליחס מועדף</w:t>
      </w:r>
      <w:bookmarkStart w:id="4170" w:name="b4_text35"/>
      <w:bookmarkEnd w:id="4170"/>
      <w:r>
        <w:rPr>
          <w:sz w:val="18"/>
          <w:szCs w:val="18"/>
          <w:vertAlign w:val="superscript"/>
          <w:rtl/>
        </w:rPr>
        <w:fldChar w:fldCharType="begin" w:dirty="true"/>
      </w:r>
      <w:r>
        <w:rPr>
          <w:sz w:val="18"/>
          <w:szCs w:val="18"/>
          <w:vertAlign w:val="superscript"/>
          <w:rtl/>
        </w:rPr>
        <w:instrText xml:space="preserve"> REF b4_note35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35</w:t>
      </w:r>
      <w:r>
        <w:rPr>
          <w:sz w:val="18"/>
          <w:szCs w:val="18"/>
          <w:vertAlign w:val="superscript"/>
          <w:rtl/>
        </w:rPr>
        <w:fldChar w:fldCharType="end"/>
      </w:r>
      <w:r>
        <w:rPr>
          <w:rtl/>
        </w:rPr>
        <w:t>.</w:t>
      </w:r>
    </w:p>
    <w:bookmarkStart w:id="4171" w:name="b4_note33"/>
    <w:p w14:paraId="1701DF39" w14:textId="77777777" w:rsidR="00AB3647" w:rsidRDefault="00000000" w:rsidP="007923E9">
      <w:pPr>
        <w:spacing w:before="120" w:after="100" w:line="276" w:lineRule="auto"/>
        <w:jc w:val="both"/>
      </w:pPr>
      <w:r>
        <w:fldChar w:fldCharType="begin" w:dirty="true"/>
      </w:r>
      <w:r>
        <w:instrText>HYPERLINK \l "b4_text33" \h</w:instrText>
      </w:r>
      <w:r>
        <w:fldChar w:fldCharType="separate"/>
      </w:r>
      <w:r>
        <w:rPr>
          <w:b/>
          <w:bCs/>
          <w:rtl/>
        </w:rPr>
        <w:t>33</w:t>
      </w:r>
      <w:r>
        <w:rPr>
          <w:b/>
          <w:bCs/>
        </w:rPr>
        <w:fldChar w:fldCharType="end"/>
      </w:r>
      <w:bookmarkEnd w:id="4171"/>
      <w:r>
        <w:rPr>
          <w:rtl/>
        </w:rPr>
        <w:t xml:space="preserve"> בשיחה המוקלטת במלאות חמישים שנה לפטירת הסבא</w:t>
      </w:r>
      <w:bookmarkStart w:id="4172" w:name="_fnr3148"/>
      <w:r>
        <w:rPr>
          <w:vertAlign w:val="superscript"/>
          <w:rtl/>
        </w:rPr>
        <w:footnoteReference w:id="3156" w:customMarkFollows="0"/>
      </w:r>
      <w:bookmarkEnd w:id="4172"/>
      <w:r>
        <w:rPr>
          <w:rtl/>
        </w:rPr>
        <w:t xml:space="preserve"> אמר אבי: “הסבא חבש כובע פשוט – לא כמו </w:t>
      </w:r>
      <w:proofErr w:type="spellStart"/>
      <w:r>
        <w:rPr>
          <w:rtl/>
        </w:rPr>
        <w:t>החפץ־חיים</w:t>
      </w:r>
      <w:proofErr w:type="spellEnd"/>
      <w:r>
        <w:rPr>
          <w:rtl/>
        </w:rPr>
        <w:t xml:space="preserve">, שגם הוא חבש כובע שאינו רבני, אלא כמו חנווני – עד תרע״ג, כשבנו ר׳ משה התארס עם בתו של רב </w:t>
      </w:r>
      <w:proofErr w:type="spellStart"/>
      <w:r>
        <w:rPr>
          <w:rtl/>
        </w:rPr>
        <w:t>סלבודקה</w:t>
      </w:r>
      <w:proofErr w:type="spellEnd"/>
      <w:r>
        <w:rPr>
          <w:rtl/>
        </w:rPr>
        <w:t xml:space="preserve"> וראש הישיבה, ר׳ </w:t>
      </w:r>
      <w:proofErr w:type="spellStart"/>
      <w:r>
        <w:rPr>
          <w:rtl/>
        </w:rPr>
        <w:t>משה־מרדכי</w:t>
      </w:r>
      <w:proofErr w:type="spellEnd"/>
      <w:r>
        <w:rPr>
          <w:rtl/>
        </w:rPr>
        <w:t xml:space="preserve"> אפשטיין, והרגיש הסבא </w:t>
      </w:r>
      <w:proofErr w:type="spellStart"/>
      <w:r>
        <w:rPr>
          <w:rtl/>
        </w:rPr>
        <w:t>מסלבודקה</w:t>
      </w:r>
      <w:proofErr w:type="spellEnd"/>
      <w:r>
        <w:rPr>
          <w:rtl/>
        </w:rPr>
        <w:t xml:space="preserve"> שלבושו כיהודי פשוט יפגע בכבוד מחותנו”. גם שלושה ממחותניו הקודמים של הסבא היו רבנים, אבל הם גרו בעיירות רחוקות </w:t>
      </w:r>
      <w:proofErr w:type="spellStart"/>
      <w:r>
        <w:rPr>
          <w:rtl/>
        </w:rPr>
        <w:t>מסלבודקה</w:t>
      </w:r>
      <w:proofErr w:type="spellEnd"/>
      <w:r>
        <w:rPr>
          <w:rtl/>
        </w:rPr>
        <w:t>.</w:t>
      </w:r>
    </w:p>
    <w:p w14:paraId="3DDD4095" w14:textId="77777777" w:rsidR="00AB3647" w:rsidRDefault="00000000" w:rsidP="007923E9">
      <w:pPr>
        <w:spacing w:before="120" w:after="100" w:line="276" w:lineRule="auto"/>
        <w:jc w:val="both"/>
      </w:pPr>
      <w:r>
        <w:rPr>
          <w:rtl/>
        </w:rPr>
        <w:t xml:space="preserve">לבוש הסבא כבעל בית מזכיר חילופי דברים מפורסמים בין ר׳ אליעזר </w:t>
      </w:r>
      <w:proofErr w:type="spellStart"/>
      <w:r>
        <w:rPr>
          <w:rtl/>
        </w:rPr>
        <w:t>סילבר</w:t>
      </w:r>
      <w:proofErr w:type="spellEnd"/>
      <w:r>
        <w:rPr>
          <w:rtl/>
        </w:rPr>
        <w:t xml:space="preserve">, נשיא אגודת הרבנים </w:t>
      </w:r>
      <w:proofErr w:type="spellStart"/>
      <w:r>
        <w:rPr>
          <w:rtl/>
        </w:rPr>
        <w:t>דארה״ב</w:t>
      </w:r>
      <w:proofErr w:type="spellEnd"/>
      <w:r>
        <w:rPr>
          <w:rtl/>
        </w:rPr>
        <w:t xml:space="preserve"> וקנדה, לבין </w:t>
      </w:r>
      <w:proofErr w:type="spellStart"/>
      <w:r>
        <w:rPr>
          <w:rtl/>
        </w:rPr>
        <w:t>החזון־איש</w:t>
      </w:r>
      <w:proofErr w:type="spellEnd"/>
      <w:r>
        <w:rPr>
          <w:rtl/>
        </w:rPr>
        <w:t xml:space="preserve">. הרב </w:t>
      </w:r>
      <w:proofErr w:type="spellStart"/>
      <w:r>
        <w:rPr>
          <w:rtl/>
        </w:rPr>
        <w:t>סילבר</w:t>
      </w:r>
      <w:proofErr w:type="spellEnd"/>
      <w:r>
        <w:rPr>
          <w:rtl/>
        </w:rPr>
        <w:t xml:space="preserve"> אמר: “</w:t>
      </w:r>
      <w:proofErr w:type="spellStart"/>
      <w:r>
        <w:rPr>
          <w:rtl/>
        </w:rPr>
        <w:t>החפץ־חיים</w:t>
      </w:r>
      <w:proofErr w:type="spellEnd"/>
      <w:r>
        <w:rPr>
          <w:rtl/>
        </w:rPr>
        <w:t xml:space="preserve"> היה, אחרי הכול, רק </w:t>
      </w:r>
      <w:proofErr w:type="spellStart"/>
      <w:r>
        <w:rPr>
          <w:rtl/>
        </w:rPr>
        <w:t>בעל־הבית</w:t>
      </w:r>
      <w:proofErr w:type="spellEnd"/>
      <w:r>
        <w:rPr>
          <w:rtl/>
        </w:rPr>
        <w:t>”</w:t>
      </w:r>
      <w:bookmarkStart w:id="4173" w:name="_fnr3149"/>
      <w:r>
        <w:rPr>
          <w:vertAlign w:val="superscript"/>
          <w:rtl/>
        </w:rPr>
        <w:footnoteReference w:id="3157" w:customMarkFollows="0"/>
      </w:r>
      <w:bookmarkEnd w:id="4173"/>
      <w:r>
        <w:rPr>
          <w:rtl/>
        </w:rPr>
        <w:t xml:space="preserve"> [לעומת רב שמשרת הרבנות היא עיסוקו]</w:t>
      </w:r>
      <w:bookmarkStart w:id="4174" w:name="_fnr3150"/>
      <w:r>
        <w:rPr>
          <w:vertAlign w:val="superscript"/>
          <w:rtl/>
        </w:rPr>
        <w:footnoteReference w:id="3158" w:customMarkFollows="0"/>
      </w:r>
      <w:bookmarkEnd w:id="4174"/>
      <w:r>
        <w:rPr>
          <w:rtl/>
        </w:rPr>
        <w:t xml:space="preserve">. השיב לו </w:t>
      </w:r>
      <w:proofErr w:type="spellStart"/>
      <w:r>
        <w:rPr>
          <w:rtl/>
        </w:rPr>
        <w:t>החזון־איש</w:t>
      </w:r>
      <w:proofErr w:type="spellEnd"/>
      <w:r>
        <w:rPr>
          <w:rtl/>
        </w:rPr>
        <w:t xml:space="preserve">, שאף הוא לא כיהן כרב במשרה רשמית: “כן, </w:t>
      </w:r>
      <w:proofErr w:type="spellStart"/>
      <w:r>
        <w:rPr>
          <w:rtl/>
        </w:rPr>
        <w:t>בעל־הבית</w:t>
      </w:r>
      <w:bookmarkStart w:id="4175" w:name="_fnr3151"/>
      <w:proofErr w:type="spellEnd"/>
      <w:r>
        <w:rPr>
          <w:vertAlign w:val="superscript"/>
          <w:rtl/>
        </w:rPr>
        <w:footnoteReference w:id="3159" w:customMarkFollows="0"/>
      </w:r>
      <w:bookmarkEnd w:id="4175"/>
      <w:r>
        <w:rPr>
          <w:rtl/>
        </w:rPr>
        <w:t xml:space="preserve"> בש״ס, </w:t>
      </w:r>
      <w:proofErr w:type="spellStart"/>
      <w:r>
        <w:rPr>
          <w:rtl/>
        </w:rPr>
        <w:t>בעל־הבית</w:t>
      </w:r>
      <w:proofErr w:type="spellEnd"/>
      <w:r>
        <w:rPr>
          <w:rtl/>
        </w:rPr>
        <w:t xml:space="preserve"> בשולחן ערוך, </w:t>
      </w:r>
      <w:proofErr w:type="spellStart"/>
      <w:r>
        <w:rPr>
          <w:rtl/>
        </w:rPr>
        <w:t>בעל־הבית</w:t>
      </w:r>
      <w:proofErr w:type="spellEnd"/>
      <w:r>
        <w:rPr>
          <w:rtl/>
        </w:rPr>
        <w:t xml:space="preserve"> בראשונים </w:t>
      </w:r>
      <w:proofErr w:type="spellStart"/>
      <w:r>
        <w:rPr>
          <w:rtl/>
        </w:rPr>
        <w:t>ובעל־הבית</w:t>
      </w:r>
      <w:proofErr w:type="spellEnd"/>
      <w:r>
        <w:rPr>
          <w:rtl/>
        </w:rPr>
        <w:t xml:space="preserve"> באחרונים”</w:t>
      </w:r>
      <w:bookmarkStart w:id="4176" w:name="_fnr3152"/>
      <w:r>
        <w:rPr>
          <w:vertAlign w:val="superscript"/>
          <w:rtl/>
        </w:rPr>
        <w:footnoteReference w:id="3160" w:customMarkFollows="0"/>
      </w:r>
      <w:bookmarkEnd w:id="4176"/>
      <w:r>
        <w:rPr>
          <w:rtl/>
        </w:rPr>
        <w:t xml:space="preserve">. לפי השקפת </w:t>
      </w:r>
      <w:proofErr w:type="spellStart"/>
      <w:r>
        <w:rPr>
          <w:rtl/>
        </w:rPr>
        <w:t>החזון־איש</w:t>
      </w:r>
      <w:proofErr w:type="spellEnd"/>
      <w:r>
        <w:rPr>
          <w:rtl/>
        </w:rPr>
        <w:t xml:space="preserve"> על מקומו של </w:t>
      </w:r>
      <w:proofErr w:type="spellStart"/>
      <w:r>
        <w:rPr>
          <w:rtl/>
        </w:rPr>
        <w:t>החפץ־חיים</w:t>
      </w:r>
      <w:proofErr w:type="spellEnd"/>
      <w:r>
        <w:rPr>
          <w:rtl/>
        </w:rPr>
        <w:t xml:space="preserve"> במסורת הרבנית, לא יכול היה הרב </w:t>
      </w:r>
      <w:proofErr w:type="spellStart"/>
      <w:r>
        <w:rPr>
          <w:rtl/>
        </w:rPr>
        <w:t>סילבר</w:t>
      </w:r>
      <w:proofErr w:type="spellEnd"/>
      <w:r>
        <w:rPr>
          <w:rtl/>
        </w:rPr>
        <w:t xml:space="preserve"> לבחור אדם פחות מתאים להמעטת ערכו. השווה “פאר הדור”, חלק א, עמ׳ </w:t>
      </w:r>
      <w:proofErr w:type="spellStart"/>
      <w:r>
        <w:rPr>
          <w:rtl/>
        </w:rPr>
        <w:t>רמב</w:t>
      </w:r>
      <w:proofErr w:type="spellEnd"/>
      <w:r>
        <w:rPr>
          <w:rtl/>
        </w:rPr>
        <w:t xml:space="preserve">, המביא מכתב מן </w:t>
      </w:r>
      <w:proofErr w:type="spellStart"/>
      <w:r>
        <w:rPr>
          <w:rtl/>
        </w:rPr>
        <w:t>החזון־איש</w:t>
      </w:r>
      <w:proofErr w:type="spellEnd"/>
      <w:r>
        <w:rPr>
          <w:rtl/>
        </w:rPr>
        <w:t xml:space="preserve">: “פסק היוצא מפי רבותינו המחזיקים אותנו, כגון רבותינו [מחברי] ‘בית יוסף’, ‘מגן אברהם’ </w:t>
      </w:r>
      <w:proofErr w:type="spellStart"/>
      <w:r>
        <w:rPr>
          <w:rtl/>
        </w:rPr>
        <w:t>ו‘משנה</w:t>
      </w:r>
      <w:proofErr w:type="spellEnd"/>
      <w:r>
        <w:rPr>
          <w:rtl/>
        </w:rPr>
        <w:t xml:space="preserve"> ברורה’, מוחזק כאילו יצא מפי הסנהדרין בלשכת הגזית, ואינו מניח מקום להקל [או לחלוק]”.</w:t>
      </w:r>
    </w:p>
    <w:p w14:paraId="6C037AC7" w14:textId="77777777" w:rsidR="00AB3647" w:rsidRDefault="00000000" w:rsidP="007923E9">
      <w:pPr>
        <w:spacing w:after="120" w:line="276" w:lineRule="auto"/>
        <w:jc w:val="both"/>
      </w:pPr>
      <w:r>
        <w:rPr>
          <w:rtl/>
        </w:rPr>
        <w:lastRenderedPageBreak/>
        <w:t xml:space="preserve">העיתונאי מ׳ </w:t>
      </w:r>
      <w:proofErr w:type="spellStart"/>
      <w:r>
        <w:rPr>
          <w:rtl/>
        </w:rPr>
        <w:t>גרץ</w:t>
      </w:r>
      <w:proofErr w:type="spellEnd"/>
      <w:r>
        <w:rPr>
          <w:rtl/>
        </w:rPr>
        <w:t xml:space="preserve"> מתאר את הסבא כמי שהיה רגיל לתחוב את זקנו הארוך למדי לתוך צווארון חולצתו</w:t>
      </w:r>
      <w:bookmarkStart w:id="4177" w:name="_fnr3153"/>
      <w:r>
        <w:rPr>
          <w:vertAlign w:val="superscript"/>
          <w:rtl/>
        </w:rPr>
        <w:footnoteReference w:id="3161" w:customMarkFollows="0"/>
      </w:r>
      <w:bookmarkEnd w:id="4177"/>
      <w:r>
        <w:rPr>
          <w:rtl/>
        </w:rPr>
        <w:t xml:space="preserve">. מסתבר שהוא מתאר את הסבא בתקופה שקדמה מעט לבוא אבי, שאם לא כן לא היה אבי משמיט פרט מיוחד זה. מן המובאות שהבאתי בפרק 3, הערה 56 ונספח </w:t>
      </w:r>
      <w:proofErr w:type="spellStart"/>
      <w:r>
        <w:rPr>
          <w:rtl/>
        </w:rPr>
        <w:t>כח</w:t>
      </w:r>
      <w:proofErr w:type="spellEnd"/>
      <w:r>
        <w:rPr>
          <w:rtl/>
        </w:rPr>
        <w:t xml:space="preserve">, נראה </w:t>
      </w:r>
      <w:proofErr w:type="spellStart"/>
      <w:r>
        <w:rPr>
          <w:rtl/>
        </w:rPr>
        <w:t>שגרץ</w:t>
      </w:r>
      <w:proofErr w:type="spellEnd"/>
      <w:r>
        <w:rPr>
          <w:rtl/>
        </w:rPr>
        <w:t xml:space="preserve"> למד </w:t>
      </w:r>
      <w:proofErr w:type="spellStart"/>
      <w:r>
        <w:rPr>
          <w:rtl/>
        </w:rPr>
        <w:t>בסלבודקה</w:t>
      </w:r>
      <w:proofErr w:type="spellEnd"/>
      <w:r>
        <w:rPr>
          <w:rtl/>
        </w:rPr>
        <w:t xml:space="preserve"> בשנים הסוערות תרס״ד–תרס״ה, אף שהיה צעיר מרבנו בשנה.</w:t>
      </w:r>
    </w:p>
    <w:p w14:paraId="5C8A1EA6" w14:textId="77777777" w:rsidR="00AB3647" w:rsidRDefault="00000000" w:rsidP="007923E9">
      <w:pPr>
        <w:spacing w:after="120" w:line="276" w:lineRule="auto"/>
        <w:jc w:val="both"/>
      </w:pPr>
      <w:r>
        <w:rPr>
          <w:rtl/>
        </w:rPr>
        <w:t xml:space="preserve">נראה שזקנו של הסבא היה תו בולט במראהו. ברור שגם </w:t>
      </w:r>
      <w:proofErr w:type="spellStart"/>
      <w:r>
        <w:rPr>
          <w:rtl/>
        </w:rPr>
        <w:t>יהושע־לייב</w:t>
      </w:r>
      <w:proofErr w:type="spellEnd"/>
      <w:r>
        <w:rPr>
          <w:rtl/>
        </w:rPr>
        <w:t xml:space="preserve"> </w:t>
      </w:r>
      <w:proofErr w:type="spellStart"/>
      <w:r>
        <w:rPr>
          <w:rtl/>
        </w:rPr>
        <w:t>ראדוס</w:t>
      </w:r>
      <w:proofErr w:type="spellEnd"/>
      <w:r>
        <w:rPr>
          <w:rtl/>
        </w:rPr>
        <w:t>, מחבר “</w:t>
      </w:r>
      <w:proofErr w:type="spellStart"/>
      <w:r>
        <w:rPr>
          <w:rtl/>
        </w:rPr>
        <w:t>זכרונות</w:t>
      </w:r>
      <w:proofErr w:type="spellEnd"/>
      <w:r>
        <w:rPr>
          <w:rtl/>
        </w:rPr>
        <w:t>”</w:t>
      </w:r>
      <w:bookmarkStart w:id="4178" w:name="_fnr3154"/>
      <w:r>
        <w:rPr>
          <w:vertAlign w:val="superscript"/>
          <w:rtl/>
        </w:rPr>
        <w:footnoteReference w:id="3162" w:customMarkFollows="0"/>
      </w:r>
      <w:bookmarkEnd w:id="4178"/>
      <w:r>
        <w:rPr>
          <w:rtl/>
        </w:rPr>
        <w:t xml:space="preserve">, התרשם ממנו מאוד: לאחר שלמד רק חצי שנה </w:t>
      </w:r>
      <w:proofErr w:type="spellStart"/>
      <w:r>
        <w:rPr>
          <w:rtl/>
        </w:rPr>
        <w:t>בצלו</w:t>
      </w:r>
      <w:proofErr w:type="spellEnd"/>
      <w:r>
        <w:rPr>
          <w:rtl/>
        </w:rPr>
        <w:t xml:space="preserve"> של הסבא בישיבת </w:t>
      </w:r>
      <w:proofErr w:type="spellStart"/>
      <w:r>
        <w:rPr>
          <w:rtl/>
        </w:rPr>
        <w:t>סלבודקה</w:t>
      </w:r>
      <w:proofErr w:type="spellEnd"/>
      <w:r>
        <w:rPr>
          <w:rtl/>
        </w:rPr>
        <w:t xml:space="preserve"> בראשית ימיה, תיאר אותו כעבור יותר מחמישים שנה </w:t>
      </w:r>
      <w:proofErr w:type="spellStart"/>
      <w:r>
        <w:rPr>
          <w:rtl/>
        </w:rPr>
        <w:t>כ“אדם</w:t>
      </w:r>
      <w:proofErr w:type="spellEnd"/>
      <w:r>
        <w:rPr>
          <w:rtl/>
        </w:rPr>
        <w:t xml:space="preserve"> שגובהו מעט מעל הממוצע, פניו עגולות, זקנו שחור ושערותיו חדות כמסמרי ברזל, ועיניו גדולות ופקוחות לרווחה”</w:t>
      </w:r>
      <w:bookmarkStart w:id="4179" w:name="_fnr3155"/>
      <w:r>
        <w:rPr>
          <w:vertAlign w:val="superscript"/>
          <w:rtl/>
        </w:rPr>
        <w:footnoteReference w:id="3163" w:customMarkFollows="0"/>
      </w:r>
      <w:bookmarkEnd w:id="4179"/>
      <w:r>
        <w:rPr>
          <w:rtl/>
        </w:rPr>
        <w:t>.</w:t>
      </w:r>
    </w:p>
    <w:bookmarkStart w:id="4180" w:name="b4_note34"/>
    <w:p w14:paraId="39C6B7F9" w14:textId="77777777" w:rsidR="00AB3647" w:rsidRDefault="00000000" w:rsidP="007923E9">
      <w:pPr>
        <w:spacing w:before="120" w:after="100" w:line="276" w:lineRule="auto"/>
        <w:jc w:val="both"/>
      </w:pPr>
      <w:r>
        <w:fldChar w:fldCharType="begin" w:dirty="true"/>
      </w:r>
      <w:r>
        <w:instrText>HYPERLINK \l "b4_text34" \h</w:instrText>
      </w:r>
      <w:r>
        <w:fldChar w:fldCharType="separate"/>
      </w:r>
      <w:r>
        <w:rPr>
          <w:b/>
          <w:bCs/>
          <w:rtl/>
        </w:rPr>
        <w:t>34</w:t>
      </w:r>
      <w:r>
        <w:rPr>
          <w:b/>
          <w:bCs/>
        </w:rPr>
        <w:fldChar w:fldCharType="end"/>
      </w:r>
      <w:bookmarkEnd w:id="4180"/>
      <w:r>
        <w:rPr>
          <w:rtl/>
        </w:rPr>
        <w:t xml:space="preserve"> השווה פרק 3, סוף הערה 69 והערה 127.</w:t>
      </w:r>
    </w:p>
    <w:bookmarkStart w:id="4181" w:name="b4_note35"/>
    <w:p w14:paraId="178C93FE" w14:textId="77777777" w:rsidR="00AB3647" w:rsidRDefault="00000000" w:rsidP="007923E9">
      <w:pPr>
        <w:spacing w:before="120" w:after="100" w:line="276" w:lineRule="auto"/>
        <w:jc w:val="both"/>
      </w:pPr>
      <w:r>
        <w:fldChar w:fldCharType="begin" w:dirty="true"/>
      </w:r>
      <w:r>
        <w:instrText>HYPERLINK \l "b4_text35" \h</w:instrText>
      </w:r>
      <w:r>
        <w:fldChar w:fldCharType="separate"/>
      </w:r>
      <w:r>
        <w:rPr>
          <w:b/>
          <w:bCs/>
          <w:rtl/>
        </w:rPr>
        <w:t>35</w:t>
      </w:r>
      <w:r>
        <w:rPr>
          <w:b/>
          <w:bCs/>
        </w:rPr>
        <w:fldChar w:fldCharType="end"/>
      </w:r>
      <w:bookmarkEnd w:id="4181"/>
      <w:r>
        <w:rPr>
          <w:rtl/>
        </w:rPr>
        <w:t xml:space="preserve"> ר׳ אייזיק </w:t>
      </w:r>
      <w:proofErr w:type="spellStart"/>
      <w:r>
        <w:rPr>
          <w:rtl/>
        </w:rPr>
        <w:t>הנדלר</w:t>
      </w:r>
      <w:proofErr w:type="spellEnd"/>
      <w:r>
        <w:rPr>
          <w:rtl/>
        </w:rPr>
        <w:t xml:space="preserve"> סיפר</w:t>
      </w:r>
      <w:bookmarkStart w:id="4182" w:name="_fnr3156"/>
      <w:r>
        <w:rPr>
          <w:vertAlign w:val="superscript"/>
          <w:rtl/>
        </w:rPr>
        <w:footnoteReference w:id="3164" w:customMarkFollows="0"/>
      </w:r>
      <w:bookmarkEnd w:id="4182"/>
      <w:r>
        <w:rPr>
          <w:rtl/>
        </w:rPr>
        <w:t xml:space="preserve"> שאבי אמר לו שר׳ ראובן </w:t>
      </w:r>
      <w:proofErr w:type="spellStart"/>
      <w:r>
        <w:rPr>
          <w:rtl/>
        </w:rPr>
        <w:t>גרוזובסקי</w:t>
      </w:r>
      <w:proofErr w:type="spellEnd"/>
      <w:r>
        <w:rPr>
          <w:rtl/>
        </w:rPr>
        <w:t xml:space="preserve"> ביקש מן הסבא לתת לתלמיד החדש שהביא ממינסק – רבנו – מלגה חודשית גדולה מן הרגיל. אפשר להניח שר׳ ראובן, בן מינסק, ידע שהורי אבי עניים מאוד ואינם יכולים לשלוח לו כסף. אבל הסבא, שהיה אחראי להשקיע את כספי הישיבה רק בתלמידים מבטיחים, לא רצה להסתמך על דברי השבח של תלמידו ר׳ ראובן על הבחור החדש, עד שיבדוק את התלמיד בעצמו.</w:t>
      </w:r>
    </w:p>
    <w:p w14:paraId="07162429" w14:textId="35A7C9E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נתן־צבי</w:t>
      </w:r>
      <w:proofErr w:type="spellEnd"/>
      <w:r>
        <w:rPr>
          <w:rtl/>
        </w:rPr>
        <w:t xml:space="preserve"> היה מסור כולו לתלמידיו. את שיחותיו האישיות עמם היה מתחיל בעשר בבוקר ומסיים בחצות הלילה</w:t>
      </w:r>
      <w:bookmarkStart w:id="4183" w:name="b4_text36"/>
      <w:bookmarkEnd w:id="4183"/>
      <w:r>
        <w:rPr>
          <w:sz w:val="18"/>
          <w:szCs w:val="18"/>
          <w:vertAlign w:val="superscript"/>
          <w:rtl/>
        </w:rPr>
        <w:fldChar w:fldCharType="begin" w:dirty="true"/>
      </w:r>
      <w:r>
        <w:rPr>
          <w:sz w:val="18"/>
          <w:szCs w:val="18"/>
          <w:vertAlign w:val="superscript"/>
          <w:rtl/>
        </w:rPr>
        <w:instrText xml:space="preserve"> REF b4_note36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36</w:t>
      </w:r>
      <w:r>
        <w:rPr>
          <w:sz w:val="18"/>
          <w:szCs w:val="18"/>
          <w:vertAlign w:val="superscript"/>
          <w:rtl/>
        </w:rPr>
        <w:fldChar w:fldCharType="end"/>
      </w:r>
      <w:r>
        <w:rPr>
          <w:rtl/>
        </w:rPr>
        <w:t>. אם חשש האורח המאוחר ללכת לבדו לאכסנייתו, היה הסבא מלווהו</w:t>
      </w:r>
      <w:bookmarkStart w:id="4184" w:name="b4_text37"/>
      <w:bookmarkEnd w:id="4184"/>
      <w:r>
        <w:rPr>
          <w:sz w:val="18"/>
          <w:szCs w:val="18"/>
          <w:vertAlign w:val="superscript"/>
          <w:rtl/>
        </w:rPr>
        <w:fldChar w:fldCharType="begin" w:dirty="true"/>
      </w:r>
      <w:r>
        <w:rPr>
          <w:sz w:val="18"/>
          <w:szCs w:val="18"/>
          <w:vertAlign w:val="superscript"/>
          <w:rtl/>
        </w:rPr>
        <w:instrText xml:space="preserve"> REF b4_note37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37</w:t>
      </w:r>
      <w:r>
        <w:rPr>
          <w:sz w:val="18"/>
          <w:szCs w:val="18"/>
          <w:vertAlign w:val="superscript"/>
          <w:rtl/>
        </w:rPr>
        <w:fldChar w:fldCharType="end"/>
      </w:r>
      <w:r>
        <w:rPr>
          <w:rtl/>
        </w:rPr>
        <w:t>. הסבא נהג תמיד בתלמיד בכבוד</w:t>
      </w:r>
      <w:bookmarkStart w:id="4185" w:name="b4_text38"/>
      <w:bookmarkEnd w:id="4185"/>
      <w:r>
        <w:rPr>
          <w:sz w:val="18"/>
          <w:szCs w:val="18"/>
          <w:vertAlign w:val="superscript"/>
          <w:rtl/>
        </w:rPr>
        <w:fldChar w:fldCharType="begin" w:dirty="true"/>
      </w:r>
      <w:r>
        <w:rPr>
          <w:sz w:val="18"/>
          <w:szCs w:val="18"/>
          <w:vertAlign w:val="superscript"/>
          <w:rtl/>
        </w:rPr>
        <w:instrText xml:space="preserve"> REF b4_note38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38</w:t>
      </w:r>
      <w:r>
        <w:rPr>
          <w:sz w:val="18"/>
          <w:szCs w:val="18"/>
          <w:vertAlign w:val="superscript"/>
          <w:rtl/>
        </w:rPr>
        <w:fldChar w:fldCharType="end"/>
      </w:r>
      <w:r>
        <w:rPr>
          <w:rtl/>
        </w:rPr>
        <w:t>, ומעולם לא נתן לו להרגיש שמצווים עליו לנהוג כך או אחרת. הוא הודרך בעדינות להגיע למסקנה שדרך הסבא היא הדרך הנכונה והטובה ביותר בשבילו. הדרך התקיפה ביותר שבה היה הסבא מצווה על תלמיד הייתה לומר לו: “כך נוהגים בישיבה”</w:t>
      </w:r>
      <w:bookmarkStart w:id="4186" w:name="b4_text39"/>
      <w:bookmarkEnd w:id="4186"/>
      <w:r>
        <w:rPr>
          <w:sz w:val="18"/>
          <w:szCs w:val="18"/>
          <w:vertAlign w:val="superscript"/>
          <w:rtl/>
        </w:rPr>
        <w:fldChar w:fldCharType="begin" w:dirty="true"/>
      </w:r>
      <w:r>
        <w:rPr>
          <w:sz w:val="18"/>
          <w:szCs w:val="18"/>
          <w:vertAlign w:val="superscript"/>
          <w:rtl/>
        </w:rPr>
        <w:instrText xml:space="preserve"> REF b4_note39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39</w:t>
      </w:r>
      <w:r>
        <w:rPr>
          <w:sz w:val="18"/>
          <w:szCs w:val="18"/>
          <w:vertAlign w:val="superscript"/>
          <w:rtl/>
        </w:rPr>
        <w:fldChar w:fldCharType="end"/>
      </w:r>
      <w:r>
        <w:rPr>
          <w:rtl/>
        </w:rPr>
        <w:t>.</w:t>
      </w:r>
    </w:p>
    <w:bookmarkStart w:id="4187" w:name="b4_note36"/>
    <w:p w14:paraId="7775E4CD" w14:textId="77777777" w:rsidR="00AB3647" w:rsidRDefault="00000000" w:rsidP="007923E9">
      <w:pPr>
        <w:spacing w:before="120" w:after="100" w:line="276" w:lineRule="auto"/>
        <w:jc w:val="both"/>
      </w:pPr>
      <w:r>
        <w:fldChar w:fldCharType="begin" w:dirty="true"/>
      </w:r>
      <w:r>
        <w:instrText>HYPERLINK \l "b4_text36" \h</w:instrText>
      </w:r>
      <w:r>
        <w:fldChar w:fldCharType="separate"/>
      </w:r>
      <w:r>
        <w:rPr>
          <w:b/>
          <w:bCs/>
          <w:rtl/>
        </w:rPr>
        <w:t>36</w:t>
      </w:r>
      <w:r>
        <w:rPr>
          <w:b/>
          <w:bCs/>
        </w:rPr>
        <w:fldChar w:fldCharType="end"/>
      </w:r>
      <w:bookmarkEnd w:id="4187"/>
      <w:r>
        <w:rPr>
          <w:rtl/>
        </w:rPr>
        <w:t xml:space="preserve"> רשימותיו של ר׳ משה גרוסמן</w:t>
      </w:r>
      <w:bookmarkStart w:id="4188" w:name="_fnr3157"/>
      <w:r>
        <w:rPr>
          <w:vertAlign w:val="superscript"/>
          <w:rtl/>
        </w:rPr>
        <w:footnoteReference w:id="3165" w:customMarkFollows="0"/>
      </w:r>
      <w:bookmarkEnd w:id="4188"/>
      <w:r>
        <w:rPr>
          <w:rtl/>
        </w:rPr>
        <w:t>. כץ, “תנועת המוסר”, כרך ג</w:t>
      </w:r>
      <w:bookmarkStart w:id="4189" w:name="_fnr3158"/>
      <w:r>
        <w:rPr>
          <w:vertAlign w:val="superscript"/>
          <w:rtl/>
        </w:rPr>
        <w:footnoteReference w:id="3166" w:customMarkFollows="0"/>
      </w:r>
      <w:bookmarkEnd w:id="4189"/>
      <w:r>
        <w:rPr>
          <w:rtl/>
        </w:rPr>
        <w:t>, כותב: “[הסבא] היה משוחח עם תלמידים מסוימים כל הלילה, כדי לגלות להם את אור התורה... דרכו הייתה על פי רוב להביא את בן שיחו, באמצעות שאלות ובירורים שונים, להגיע למסקנות בעצמו ולשוב אל יסודות האמונה”.</w:t>
      </w:r>
    </w:p>
    <w:p w14:paraId="00D77740" w14:textId="77777777" w:rsidR="00AB3647" w:rsidRDefault="00000000" w:rsidP="007923E9">
      <w:pPr>
        <w:spacing w:before="120" w:after="100" w:line="276" w:lineRule="auto"/>
        <w:jc w:val="both"/>
      </w:pPr>
      <w:r>
        <w:rPr>
          <w:rtl/>
        </w:rPr>
        <w:t xml:space="preserve">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190" w:name="_fnr3159"/>
      <w:proofErr w:type="spellEnd"/>
      <w:r>
        <w:rPr>
          <w:vertAlign w:val="superscript"/>
          <w:rtl/>
        </w:rPr>
        <w:footnoteReference w:id="3167" w:customMarkFollows="0"/>
      </w:r>
      <w:bookmarkEnd w:id="4190"/>
      <w:r>
        <w:rPr>
          <w:rtl/>
        </w:rPr>
        <w:t xml:space="preserve"> נאמר שהסבא </w:t>
      </w:r>
      <w:proofErr w:type="spellStart"/>
      <w:r>
        <w:rPr>
          <w:rtl/>
        </w:rPr>
        <w:t>מסלבודקה</w:t>
      </w:r>
      <w:proofErr w:type="spellEnd"/>
      <w:r>
        <w:rPr>
          <w:rtl/>
        </w:rPr>
        <w:t xml:space="preserve"> התעניין גם ברווחתם הגשמית של התלמידים: “הוא ידע על כל סבל ומחלה, וחיפש דרכים </w:t>
      </w:r>
      <w:r>
        <w:rPr>
          <w:rtl/>
        </w:rPr>
        <w:lastRenderedPageBreak/>
        <w:t xml:space="preserve">להקל עליהם או להיטיב את מצבם”. במאמרו של ר׳ אפרים אשרי </w:t>
      </w:r>
      <w:proofErr w:type="spellStart"/>
      <w:r>
        <w:rPr>
          <w:rtl/>
        </w:rPr>
        <w:t>ב“מוסדות</w:t>
      </w:r>
      <w:proofErr w:type="spellEnd"/>
      <w:r>
        <w:rPr>
          <w:rtl/>
        </w:rPr>
        <w:t xml:space="preserve"> תורה באירופה”</w:t>
      </w:r>
      <w:bookmarkStart w:id="4191" w:name="_fnr3160"/>
      <w:r>
        <w:rPr>
          <w:vertAlign w:val="superscript"/>
          <w:rtl/>
        </w:rPr>
        <w:footnoteReference w:id="3168" w:customMarkFollows="0"/>
      </w:r>
      <w:bookmarkEnd w:id="4191"/>
      <w:r>
        <w:rPr>
          <w:rtl/>
        </w:rPr>
        <w:t xml:space="preserve"> מובאות דוגמאות מוחשיות לעזרתו לתלמידים. כשתלמיד היה עסוק בשידוך, התעניין הסבא וברר בדיוק מי הבחורה ומי הוריה, ודאג להביא את האירוסין לידי גמר ולספק את הבגדים ואת שאר צורכי החתן. כשתלמיד חלה, חיפש הסבא רופאים והביא תרופות עד שהבריא. כשהוצעה לתלמיד משרת רבנות, בירר הסבא את טיב הקהילה ואם היא מתאימה לבן תורה ומוסר. כשתלמיד הוזמן לגיוס, לא נח הסבא עד שהושג שחרור</w:t>
      </w:r>
      <w:bookmarkStart w:id="4192" w:name="_fnr3161"/>
      <w:r>
        <w:rPr>
          <w:vertAlign w:val="superscript"/>
          <w:rtl/>
        </w:rPr>
        <w:footnoteReference w:id="3169" w:customMarkFollows="0"/>
      </w:r>
      <w:bookmarkEnd w:id="4192"/>
      <w:r>
        <w:rPr>
          <w:rtl/>
        </w:rPr>
        <w:t>.</w:t>
      </w:r>
    </w:p>
    <w:p w14:paraId="65067F94" w14:textId="77777777" w:rsidR="00AB3647" w:rsidRDefault="00000000" w:rsidP="007923E9">
      <w:pPr>
        <w:spacing w:before="120" w:after="100" w:line="276" w:lineRule="auto"/>
        <w:jc w:val="both"/>
      </w:pPr>
      <w:r>
        <w:rPr>
          <w:rtl/>
        </w:rPr>
        <w:t>ר׳ דוד ויסקי</w:t>
      </w:r>
      <w:bookmarkStart w:id="4193" w:name="_fnr3162"/>
      <w:r>
        <w:rPr>
          <w:vertAlign w:val="superscript"/>
          <w:rtl/>
        </w:rPr>
        <w:footnoteReference w:id="3170" w:customMarkFollows="0"/>
      </w:r>
      <w:bookmarkEnd w:id="4193"/>
      <w:r>
        <w:rPr>
          <w:rtl/>
        </w:rPr>
        <w:t xml:space="preserve"> סיפר שסבו ר׳ </w:t>
      </w:r>
      <w:proofErr w:type="spellStart"/>
      <w:r>
        <w:rPr>
          <w:rtl/>
        </w:rPr>
        <w:t>ישראל־זיסל</w:t>
      </w:r>
      <w:proofErr w:type="spellEnd"/>
      <w:r>
        <w:rPr>
          <w:rtl/>
        </w:rPr>
        <w:t xml:space="preserve"> </w:t>
      </w:r>
      <w:proofErr w:type="spellStart"/>
      <w:r>
        <w:rPr>
          <w:rtl/>
        </w:rPr>
        <w:t>דבורץ</w:t>
      </w:r>
      <w:proofErr w:type="spellEnd"/>
      <w:r>
        <w:rPr>
          <w:rtl/>
        </w:rPr>
        <w:t xml:space="preserve"> סיפר לו כיצד נעשה שידוכו: ר׳ אליעזר לופט</w:t>
      </w:r>
      <w:bookmarkStart w:id="4194" w:name="_fnr3163"/>
      <w:r>
        <w:rPr>
          <w:vertAlign w:val="superscript"/>
          <w:rtl/>
        </w:rPr>
        <w:footnoteReference w:id="3171" w:customMarkFollows="0"/>
      </w:r>
      <w:bookmarkEnd w:id="4194"/>
      <w:r>
        <w:rPr>
          <w:rtl/>
        </w:rPr>
        <w:t xml:space="preserve"> כתב לסבא וביקש שידוך לאחותו. הסבא </w:t>
      </w:r>
      <w:proofErr w:type="spellStart"/>
      <w:r>
        <w:rPr>
          <w:rtl/>
        </w:rPr>
        <w:t>מסלבודקה</w:t>
      </w:r>
      <w:proofErr w:type="spellEnd"/>
      <w:r>
        <w:rPr>
          <w:rtl/>
        </w:rPr>
        <w:t xml:space="preserve"> קרא </w:t>
      </w:r>
      <w:proofErr w:type="spellStart"/>
      <w:r>
        <w:rPr>
          <w:rtl/>
        </w:rPr>
        <w:t>לר</w:t>
      </w:r>
      <w:proofErr w:type="spellEnd"/>
      <w:r>
        <w:rPr>
          <w:rtl/>
        </w:rPr>
        <w:t xml:space="preserve">׳ </w:t>
      </w:r>
      <w:proofErr w:type="spellStart"/>
      <w:r>
        <w:rPr>
          <w:rtl/>
        </w:rPr>
        <w:t>ישראל־זיסל</w:t>
      </w:r>
      <w:proofErr w:type="spellEnd"/>
      <w:r>
        <w:rPr>
          <w:rtl/>
        </w:rPr>
        <w:t>, הציע לו את השידוך, הוציא מיד גלויה ואמר לו לכתוב שהוא מעוניין.</w:t>
      </w:r>
    </w:p>
    <w:bookmarkStart w:id="4195" w:name="b4_note37"/>
    <w:p w14:paraId="45594CD9" w14:textId="77777777" w:rsidR="00AB3647" w:rsidRDefault="00000000" w:rsidP="007923E9">
      <w:pPr>
        <w:spacing w:before="120" w:after="100" w:line="276" w:lineRule="auto"/>
        <w:jc w:val="both"/>
      </w:pPr>
      <w:r>
        <w:fldChar w:fldCharType="begin" w:dirty="true"/>
      </w:r>
      <w:r>
        <w:instrText>HYPERLINK \l "b4_text37" \h</w:instrText>
      </w:r>
      <w:r>
        <w:fldChar w:fldCharType="separate"/>
      </w:r>
      <w:r>
        <w:rPr>
          <w:b/>
          <w:bCs/>
          <w:rtl/>
        </w:rPr>
        <w:t>37</w:t>
      </w:r>
      <w:r>
        <w:rPr>
          <w:b/>
          <w:bCs/>
        </w:rPr>
        <w:fldChar w:fldCharType="end"/>
      </w:r>
      <w:bookmarkEnd w:id="4195"/>
      <w:r>
        <w:rPr>
          <w:rtl/>
        </w:rPr>
        <w:t xml:space="preserve"> ר׳ אהרן קוטלר סיפר זאת </w:t>
      </w:r>
      <w:proofErr w:type="spellStart"/>
      <w:r>
        <w:rPr>
          <w:rtl/>
        </w:rPr>
        <w:t>לר</w:t>
      </w:r>
      <w:proofErr w:type="spellEnd"/>
      <w:r>
        <w:rPr>
          <w:rtl/>
        </w:rPr>
        <w:t>׳ דב כץ מניסיונו האישי, כפי שנרשם בספרו של כץ, “תנועת המוסר”, כרך ג</w:t>
      </w:r>
      <w:bookmarkStart w:id="4196" w:name="_fnr3164"/>
      <w:r>
        <w:rPr>
          <w:vertAlign w:val="superscript"/>
          <w:rtl/>
        </w:rPr>
        <w:footnoteReference w:id="3172" w:customMarkFollows="0"/>
      </w:r>
      <w:bookmarkEnd w:id="4196"/>
      <w:r>
        <w:rPr>
          <w:rtl/>
        </w:rPr>
        <w:t>.</w:t>
      </w:r>
    </w:p>
    <w:bookmarkStart w:id="4197" w:name="b4_note38"/>
    <w:p w14:paraId="0DE5FE59" w14:textId="77777777" w:rsidR="00AB3647" w:rsidRDefault="00000000" w:rsidP="007923E9">
      <w:pPr>
        <w:spacing w:before="120" w:after="100" w:line="276" w:lineRule="auto"/>
        <w:jc w:val="both"/>
      </w:pPr>
      <w:r>
        <w:fldChar w:fldCharType="begin" w:dirty="true"/>
      </w:r>
      <w:r>
        <w:instrText>HYPERLINK \l "b4_text38" \h</w:instrText>
      </w:r>
      <w:r>
        <w:fldChar w:fldCharType="separate"/>
      </w:r>
      <w:r>
        <w:rPr>
          <w:b/>
          <w:bCs/>
          <w:rtl/>
        </w:rPr>
        <w:t>38</w:t>
      </w:r>
      <w:r>
        <w:rPr>
          <w:b/>
          <w:bCs/>
        </w:rPr>
        <w:fldChar w:fldCharType="end"/>
      </w:r>
      <w:bookmarkEnd w:id="4197"/>
      <w:r>
        <w:rPr>
          <w:rtl/>
        </w:rPr>
        <w:t xml:space="preserve"> יש להדגיש שכבוד הסבא לתלמידיו לא הביא לריחוק ביחסו אליהם – השווה הערה 23 לעיל. בריאיון המוקלט עם ר׳ </w:t>
      </w:r>
      <w:proofErr w:type="spellStart"/>
      <w:r>
        <w:rPr>
          <w:rtl/>
        </w:rPr>
        <w:t>יעקב־יצחק</w:t>
      </w:r>
      <w:proofErr w:type="spellEnd"/>
      <w:r>
        <w:rPr>
          <w:rtl/>
        </w:rPr>
        <w:t xml:space="preserve"> </w:t>
      </w:r>
      <w:proofErr w:type="spellStart"/>
      <w:r>
        <w:rPr>
          <w:rtl/>
        </w:rPr>
        <w:t>רודרמן</w:t>
      </w:r>
      <w:bookmarkStart w:id="4198" w:name="_fnr3165"/>
      <w:proofErr w:type="spellEnd"/>
      <w:r>
        <w:rPr>
          <w:vertAlign w:val="superscript"/>
          <w:rtl/>
        </w:rPr>
        <w:footnoteReference w:id="3173" w:customMarkFollows="0"/>
      </w:r>
      <w:bookmarkEnd w:id="4198"/>
      <w:r>
        <w:rPr>
          <w:rtl/>
        </w:rPr>
        <w:t xml:space="preserve"> שאל אחד המראיינים אם הסבא היה דומה לאדמו״ר חסידי, ור׳ </w:t>
      </w:r>
      <w:proofErr w:type="spellStart"/>
      <w:r>
        <w:rPr>
          <w:rtl/>
        </w:rPr>
        <w:t>יעקב־יצחק</w:t>
      </w:r>
      <w:proofErr w:type="spellEnd"/>
      <w:r>
        <w:rPr>
          <w:rtl/>
        </w:rPr>
        <w:t xml:space="preserve"> השיב: “היפך בתכלית: אם מישהו קרא לו ‘רבי’, היה מתנגד. יכולת להתווכח עמו, יכולת לומר שאינך מסכים</w:t>
      </w:r>
      <w:bookmarkStart w:id="4199" w:name="_fnr3166"/>
      <w:r>
        <w:rPr>
          <w:vertAlign w:val="superscript"/>
          <w:rtl/>
        </w:rPr>
        <w:footnoteReference w:id="3174" w:customMarkFollows="0"/>
      </w:r>
      <w:bookmarkEnd w:id="4199"/>
      <w:r>
        <w:rPr>
          <w:rtl/>
        </w:rPr>
        <w:t>. הוא לימד את התלמיד להיות עצמאי – אפילו כלפיו”.</w:t>
      </w:r>
    </w:p>
    <w:bookmarkStart w:id="4200" w:name="b4_note39"/>
    <w:p w14:paraId="4B5B43D2" w14:textId="00F98168" w:rsidR="00AB3647" w:rsidRDefault="00000000" w:rsidP="007923E9">
      <w:pPr>
        <w:spacing w:before="120" w:after="100" w:line="276" w:lineRule="auto"/>
        <w:jc w:val="both"/>
      </w:pPr>
      <w:r>
        <w:fldChar w:fldCharType="begin" w:dirty="true"/>
      </w:r>
      <w:r>
        <w:instrText>HYPERLINK \l "b4_text39" \h</w:instrText>
      </w:r>
      <w:r>
        <w:fldChar w:fldCharType="separate"/>
      </w:r>
      <w:r>
        <w:rPr>
          <w:b/>
          <w:bCs/>
          <w:rtl/>
        </w:rPr>
        <w:t>39</w:t>
      </w:r>
      <w:r>
        <w:rPr>
          <w:b/>
          <w:bCs/>
        </w:rPr>
        <w:fldChar w:fldCharType="end"/>
      </w:r>
      <w:bookmarkEnd w:id="4200"/>
      <w:r>
        <w:rPr>
          <w:rtl/>
        </w:rPr>
        <w:t xml:space="preserve"> ראה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7459E91" w14:textId="3092F03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העריך כל אחד מתלמידיו, והחליט איזו מן הדרכים המגוונות להפליא תניב את התוצאות הטובות ביותר: תלמיד זה יתקדם רק אם יקבל כבוד</w:t>
      </w:r>
      <w:bookmarkStart w:id="4201" w:name="b4_text40"/>
      <w:bookmarkEnd w:id="4201"/>
      <w:r>
        <w:rPr>
          <w:sz w:val="18"/>
          <w:szCs w:val="18"/>
          <w:vertAlign w:val="superscript"/>
          <w:rtl/>
        </w:rPr>
        <w:fldChar w:fldCharType="begin" w:dirty="true"/>
      </w:r>
      <w:r>
        <w:rPr>
          <w:sz w:val="18"/>
          <w:szCs w:val="18"/>
          <w:vertAlign w:val="superscript"/>
          <w:rtl/>
        </w:rPr>
        <w:instrText xml:space="preserve"> REF b4_note40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40</w:t>
      </w:r>
      <w:r>
        <w:rPr>
          <w:sz w:val="18"/>
          <w:szCs w:val="18"/>
          <w:vertAlign w:val="superscript"/>
          <w:rtl/>
        </w:rPr>
        <w:fldChar w:fldCharType="end"/>
      </w:r>
      <w:r>
        <w:rPr>
          <w:rtl/>
        </w:rPr>
        <w:t>; האחר זקוק לתוכחה</w:t>
      </w:r>
      <w:bookmarkStart w:id="4202" w:name="b4_text41"/>
      <w:bookmarkEnd w:id="4202"/>
      <w:r>
        <w:rPr>
          <w:sz w:val="18"/>
          <w:szCs w:val="18"/>
          <w:vertAlign w:val="superscript"/>
          <w:rtl/>
        </w:rPr>
        <w:fldChar w:fldCharType="begin" w:dirty="true"/>
      </w:r>
      <w:r>
        <w:rPr>
          <w:sz w:val="18"/>
          <w:szCs w:val="18"/>
          <w:vertAlign w:val="superscript"/>
          <w:rtl/>
        </w:rPr>
        <w:instrText xml:space="preserve"> REF b4_note41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41</w:t>
      </w:r>
      <w:r>
        <w:rPr>
          <w:sz w:val="18"/>
          <w:szCs w:val="18"/>
          <w:vertAlign w:val="superscript"/>
          <w:rtl/>
        </w:rPr>
        <w:fldChar w:fldCharType="end"/>
      </w:r>
      <w:r>
        <w:rPr>
          <w:rtl/>
        </w:rPr>
        <w:t>; השלישי יפיק את מרב התועלת מעידוד בשבחים</w:t>
      </w:r>
      <w:bookmarkStart w:id="4203" w:name="b4_text42"/>
      <w:bookmarkEnd w:id="4203"/>
      <w:r>
        <w:rPr>
          <w:sz w:val="18"/>
          <w:szCs w:val="18"/>
          <w:vertAlign w:val="superscript"/>
          <w:rtl/>
        </w:rPr>
        <w:fldChar w:fldCharType="begin" w:dirty="true"/>
      </w:r>
      <w:r>
        <w:rPr>
          <w:sz w:val="18"/>
          <w:szCs w:val="18"/>
          <w:vertAlign w:val="superscript"/>
          <w:rtl/>
        </w:rPr>
        <w:instrText xml:space="preserve"> REF b4_note42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42</w:t>
      </w:r>
      <w:r>
        <w:rPr>
          <w:sz w:val="18"/>
          <w:szCs w:val="18"/>
          <w:vertAlign w:val="superscript"/>
          <w:rtl/>
        </w:rPr>
        <w:fldChar w:fldCharType="end"/>
      </w:r>
      <w:r>
        <w:rPr>
          <w:rtl/>
        </w:rPr>
        <w:t>; וברביעי יש לנהוג בעדינות רבה</w:t>
      </w:r>
      <w:bookmarkStart w:id="4204" w:name="b4_text43"/>
      <w:bookmarkEnd w:id="4204"/>
      <w:r>
        <w:rPr>
          <w:sz w:val="18"/>
          <w:szCs w:val="18"/>
          <w:vertAlign w:val="superscript"/>
          <w:rtl/>
        </w:rPr>
        <w:fldChar w:fldCharType="begin" w:dirty="true"/>
      </w:r>
      <w:r>
        <w:rPr>
          <w:sz w:val="18"/>
          <w:szCs w:val="18"/>
          <w:vertAlign w:val="superscript"/>
          <w:rtl/>
        </w:rPr>
        <w:instrText xml:space="preserve"> REF b4_note43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43</w:t>
      </w:r>
      <w:r>
        <w:rPr>
          <w:sz w:val="18"/>
          <w:szCs w:val="18"/>
          <w:vertAlign w:val="superscript"/>
          <w:rtl/>
        </w:rPr>
        <w:fldChar w:fldCharType="end"/>
      </w:r>
      <w:r>
        <w:rPr>
          <w:rtl/>
        </w:rPr>
        <w:t>. לפעמים היו נותנים לתלמיד להרגיש חסר ערך ודוחים אותו</w:t>
      </w:r>
      <w:bookmarkStart w:id="4205" w:name="b4_text44"/>
      <w:bookmarkEnd w:id="4205"/>
      <w:r>
        <w:rPr>
          <w:sz w:val="18"/>
          <w:szCs w:val="18"/>
          <w:vertAlign w:val="superscript"/>
          <w:rtl/>
        </w:rPr>
        <w:fldChar w:fldCharType="begin" w:dirty="true"/>
      </w:r>
      <w:r>
        <w:rPr>
          <w:sz w:val="18"/>
          <w:szCs w:val="18"/>
          <w:vertAlign w:val="superscript"/>
          <w:rtl/>
        </w:rPr>
        <w:instrText xml:space="preserve"> REF b4_note44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44</w:t>
      </w:r>
      <w:r>
        <w:rPr>
          <w:sz w:val="18"/>
          <w:szCs w:val="18"/>
          <w:vertAlign w:val="superscript"/>
          <w:rtl/>
        </w:rPr>
        <w:fldChar w:fldCharType="end"/>
      </w:r>
      <w:r>
        <w:rPr>
          <w:rtl/>
        </w:rPr>
        <w:t>. אבל גם במקרים שבהם לא הייתה זו תחבולה חינוכית בלבד, מעולם לא סילק הסבא תלמיד במפורש</w:t>
      </w:r>
      <w:bookmarkStart w:id="4206" w:name="b4_text45"/>
      <w:bookmarkEnd w:id="4206"/>
      <w:r>
        <w:rPr>
          <w:sz w:val="18"/>
          <w:szCs w:val="18"/>
          <w:vertAlign w:val="superscript"/>
          <w:rtl/>
        </w:rPr>
        <w:fldChar w:fldCharType="begin" w:dirty="true"/>
      </w:r>
      <w:r>
        <w:rPr>
          <w:sz w:val="18"/>
          <w:szCs w:val="18"/>
          <w:vertAlign w:val="superscript"/>
          <w:rtl/>
        </w:rPr>
        <w:instrText xml:space="preserve"> REF b4_note45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45</w:t>
      </w:r>
      <w:r>
        <w:rPr>
          <w:sz w:val="18"/>
          <w:szCs w:val="18"/>
          <w:vertAlign w:val="superscript"/>
          <w:rtl/>
        </w:rPr>
        <w:fldChar w:fldCharType="end"/>
      </w:r>
      <w:r>
        <w:rPr>
          <w:rtl/>
        </w:rPr>
        <w:t>.</w:t>
      </w:r>
    </w:p>
    <w:bookmarkStart w:id="4207" w:name="b4_note40"/>
    <w:p w14:paraId="14E0DAE6" w14:textId="77777777" w:rsidR="00AB3647" w:rsidRDefault="00000000" w:rsidP="007923E9">
      <w:pPr>
        <w:keepLines/>
        <w:spacing w:before="120" w:after="100" w:line="276" w:lineRule="auto"/>
        <w:jc w:val="both"/>
      </w:pPr>
      <w:r>
        <w:lastRenderedPageBreak/>
        <w:fldChar w:fldCharType="begin" w:dirty="true"/>
      </w:r>
      <w:r>
        <w:instrText>HYPERLINK \l "b4_text40" \h</w:instrText>
      </w:r>
      <w:r>
        <w:fldChar w:fldCharType="separate"/>
      </w:r>
      <w:r>
        <w:rPr>
          <w:b/>
          <w:bCs/>
          <w:rtl/>
        </w:rPr>
        <w:t>40</w:t>
      </w:r>
      <w:r>
        <w:rPr>
          <w:b/>
          <w:bCs/>
        </w:rPr>
        <w:fldChar w:fldCharType="end"/>
      </w:r>
      <w:bookmarkEnd w:id="4207"/>
      <w:r>
        <w:rPr>
          <w:rtl/>
        </w:rPr>
        <w:t xml:space="preserve"> לפי כץ, “תנועת המוסר”, כרך ג</w:t>
      </w:r>
      <w:bookmarkStart w:id="4208" w:name="_fnr3167"/>
      <w:r>
        <w:rPr>
          <w:vertAlign w:val="superscript"/>
          <w:rtl/>
        </w:rPr>
        <w:footnoteReference w:id="3175" w:customMarkFollows="0"/>
      </w:r>
      <w:bookmarkEnd w:id="4208"/>
      <w:r>
        <w:rPr>
          <w:rtl/>
        </w:rPr>
        <w:t xml:space="preserve">, הסבא – למרבה הפלא – היה קם מלוא קומתו בפני כמה מן התלמידים, מכנה אותם “גאון” </w:t>
      </w:r>
      <w:proofErr w:type="spellStart"/>
      <w:r>
        <w:rPr>
          <w:rtl/>
        </w:rPr>
        <w:t>ו“צדיק</w:t>
      </w:r>
      <w:proofErr w:type="spellEnd"/>
      <w:r>
        <w:rPr>
          <w:rtl/>
        </w:rPr>
        <w:t xml:space="preserve">”, מבקש את ברכתם ואומר לתלמידים אחרים לעשות כן. ר׳ חיים </w:t>
      </w:r>
      <w:proofErr w:type="spellStart"/>
      <w:r>
        <w:rPr>
          <w:rtl/>
        </w:rPr>
        <w:t>סרנא</w:t>
      </w:r>
      <w:bookmarkStart w:id="4209" w:name="_fnr3168"/>
      <w:proofErr w:type="spellEnd"/>
      <w:r>
        <w:rPr>
          <w:vertAlign w:val="superscript"/>
          <w:rtl/>
        </w:rPr>
        <w:footnoteReference w:id="3176" w:customMarkFollows="0"/>
      </w:r>
      <w:bookmarkEnd w:id="4209"/>
      <w:r>
        <w:rPr>
          <w:rtl/>
        </w:rPr>
        <w:t xml:space="preserve"> הביא דוגמה ממשית להנהגה זו: כשאביו ר׳ </w:t>
      </w:r>
      <w:proofErr w:type="spellStart"/>
      <w:r>
        <w:rPr>
          <w:rtl/>
        </w:rPr>
        <w:t>חצקל</w:t>
      </w:r>
      <w:proofErr w:type="spellEnd"/>
      <w:r>
        <w:rPr>
          <w:rtl/>
        </w:rPr>
        <w:t xml:space="preserve"> ערך קידוש לרגל הולדת בתו ואמר דברי תורה, ניגש אליו הסבא, נשק לו וקרא: “רבי ומורי!” השווה גם “שרידי אש”</w:t>
      </w:r>
      <w:bookmarkStart w:id="4210" w:name="_fnr3169"/>
      <w:r>
        <w:rPr>
          <w:vertAlign w:val="superscript"/>
          <w:rtl/>
        </w:rPr>
        <w:footnoteReference w:id="3177" w:customMarkFollows="0"/>
      </w:r>
      <w:bookmarkEnd w:id="4210"/>
      <w:r>
        <w:rPr>
          <w:rtl/>
        </w:rPr>
        <w:t>: רק עילויים שהסבא עצמו הכיר בהם ככאלה היו יושבים לאורך כותל המזרח המכובד של בית המדרש.</w:t>
      </w:r>
    </w:p>
    <w:bookmarkStart w:id="4211" w:name="b4_note41"/>
    <w:p w14:paraId="113A6234" w14:textId="77777777" w:rsidR="00AB3647" w:rsidRDefault="00000000" w:rsidP="007923E9">
      <w:pPr>
        <w:spacing w:before="120" w:after="100" w:line="276" w:lineRule="auto"/>
        <w:jc w:val="both"/>
      </w:pPr>
      <w:r>
        <w:fldChar w:fldCharType="begin" w:dirty="true"/>
      </w:r>
      <w:r>
        <w:instrText>HYPERLINK \l "b4_text41" \h</w:instrText>
      </w:r>
      <w:r>
        <w:fldChar w:fldCharType="separate"/>
      </w:r>
      <w:r>
        <w:rPr>
          <w:b/>
          <w:bCs/>
          <w:rtl/>
        </w:rPr>
        <w:t>41</w:t>
      </w:r>
      <w:r>
        <w:rPr>
          <w:b/>
          <w:bCs/>
        </w:rPr>
        <w:fldChar w:fldCharType="end"/>
      </w:r>
      <w:bookmarkEnd w:id="4211"/>
      <w:r>
        <w:rPr>
          <w:rtl/>
        </w:rPr>
        <w:t xml:space="preserve"> לפי ר׳ שפטל </w:t>
      </w:r>
      <w:proofErr w:type="spellStart"/>
      <w:r>
        <w:rPr>
          <w:rtl/>
        </w:rPr>
        <w:t>נויברגר</w:t>
      </w:r>
      <w:bookmarkStart w:id="4212" w:name="_fnr3170"/>
      <w:proofErr w:type="spellEnd"/>
      <w:r>
        <w:rPr>
          <w:vertAlign w:val="superscript"/>
          <w:rtl/>
        </w:rPr>
        <w:footnoteReference w:id="3178" w:customMarkFollows="0"/>
      </w:r>
      <w:bookmarkEnd w:id="4212"/>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שהסבא היה מטיח בר׳ ירוחם </w:t>
      </w:r>
      <w:proofErr w:type="spellStart"/>
      <w:r>
        <w:rPr>
          <w:rtl/>
        </w:rPr>
        <w:t>ליבוביץ</w:t>
      </w:r>
      <w:proofErr w:type="spellEnd"/>
      <w:r>
        <w:rPr>
          <w:rtl/>
        </w:rPr>
        <w:t xml:space="preserve"> ברבים, גם לאחר שכבר היה משגיח בישיבת </w:t>
      </w:r>
      <w:proofErr w:type="spellStart"/>
      <w:r>
        <w:rPr>
          <w:rtl/>
        </w:rPr>
        <w:t>מיר</w:t>
      </w:r>
      <w:proofErr w:type="spellEnd"/>
      <w:r>
        <w:rPr>
          <w:rtl/>
        </w:rPr>
        <w:t xml:space="preserve">: “איזו מין הנהגה זו עם תלמידים? אתה הופך אותם </w:t>
      </w:r>
      <w:proofErr w:type="spellStart"/>
      <w:r>
        <w:rPr>
          <w:rtl/>
        </w:rPr>
        <w:t>לגולמים</w:t>
      </w:r>
      <w:proofErr w:type="spellEnd"/>
      <w:r>
        <w:rPr>
          <w:rtl/>
        </w:rPr>
        <w:t xml:space="preserve"> [דו </w:t>
      </w:r>
      <w:proofErr w:type="spellStart"/>
      <w:r>
        <w:rPr>
          <w:rtl/>
        </w:rPr>
        <w:t>פאר׳גולפ׳סט</w:t>
      </w:r>
      <w:proofErr w:type="spellEnd"/>
      <w:r>
        <w:rPr>
          <w:rtl/>
        </w:rPr>
        <w:t xml:space="preserve"> </w:t>
      </w:r>
      <w:proofErr w:type="spellStart"/>
      <w:r>
        <w:rPr>
          <w:rtl/>
        </w:rPr>
        <w:t>זיי</w:t>
      </w:r>
      <w:proofErr w:type="spellEnd"/>
      <w:r>
        <w:rPr>
          <w:rtl/>
        </w:rPr>
        <w:t xml:space="preserve">]”. וכך תיאר ר׳ </w:t>
      </w:r>
      <w:proofErr w:type="spellStart"/>
      <w:r>
        <w:rPr>
          <w:rtl/>
        </w:rPr>
        <w:t>יעקב־יצחק</w:t>
      </w:r>
      <w:proofErr w:type="spellEnd"/>
      <w:r>
        <w:rPr>
          <w:rtl/>
        </w:rPr>
        <w:t xml:space="preserve"> </w:t>
      </w:r>
      <w:proofErr w:type="spellStart"/>
      <w:r>
        <w:rPr>
          <w:rtl/>
        </w:rPr>
        <w:t>רודרמן</w:t>
      </w:r>
      <w:proofErr w:type="spellEnd"/>
      <w:r>
        <w:rPr>
          <w:rtl/>
        </w:rPr>
        <w:t xml:space="preserve"> את הנהגת הסבא עם ר׳ ירוחם: “אילו הייתי מדבר אל בחור כפי שהסבא דיבר אל ר׳ ירוחם, יכולתי לסגור את ישיבתי בן רגע, מפני שכולם היו בורחים מיד”. בתארו כך את החינוך שקיבלו תלמידי ר׳ ירוחם, התכוון הסבא כנראה לכך שאינם מפתחים את כוחותיהם האישיים, וכולם נוצקים בתבנית אחת. השווה הפסקה השלישית בנספח ה להלן, על כך שהסבא נמנע מלעצב את תלמידיו לפי דגם אחיד.</w:t>
      </w:r>
    </w:p>
    <w:p w14:paraId="07D624A9" w14:textId="77777777" w:rsidR="00AB3647" w:rsidRDefault="00000000" w:rsidP="007923E9">
      <w:pPr>
        <w:spacing w:after="120" w:line="276" w:lineRule="auto"/>
        <w:jc w:val="both"/>
      </w:pPr>
      <w:bookmarkStart w:id="4213" w:name="pr_b_1855"/>
      <w:bookmarkEnd w:id="4213"/>
      <w:r>
        <w:rPr>
          <w:rtl/>
        </w:rPr>
        <w:t xml:space="preserve">ר׳ ירוחם שימש בישיבת </w:t>
      </w:r>
      <w:proofErr w:type="spellStart"/>
      <w:r>
        <w:rPr>
          <w:rtl/>
        </w:rPr>
        <w:t>מיר</w:t>
      </w:r>
      <w:proofErr w:type="spellEnd"/>
      <w:r>
        <w:rPr>
          <w:rtl/>
        </w:rPr>
        <w:t xml:space="preserve"> כארבע שנים לפני מלחמת העולם הראשונה, ובזמן המלחמה שהה כמה שנים עם הישיבה בגלותה, </w:t>
      </w:r>
      <w:proofErr w:type="spellStart"/>
      <w:r>
        <w:rPr>
          <w:rtl/>
        </w:rPr>
        <w:t>בפולטבה</w:t>
      </w:r>
      <w:proofErr w:type="spellEnd"/>
      <w:r>
        <w:rPr>
          <w:rtl/>
        </w:rPr>
        <w:t xml:space="preserve"> שבאוקראינה. לאחר המלחמה שימש משגיח בישיבה שהקים </w:t>
      </w:r>
      <w:proofErr w:type="spellStart"/>
      <w:r>
        <w:rPr>
          <w:rtl/>
        </w:rPr>
        <w:t>בפוניבז</w:t>
      </w:r>
      <w:proofErr w:type="spellEnd"/>
      <w:r>
        <w:rPr>
          <w:rtl/>
        </w:rPr>
        <w:t xml:space="preserve">׳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ואחר כך חזר </w:t>
      </w:r>
      <w:proofErr w:type="spellStart"/>
      <w:r>
        <w:rPr>
          <w:rtl/>
        </w:rPr>
        <w:t>למיר</w:t>
      </w:r>
      <w:proofErr w:type="spellEnd"/>
      <w:r>
        <w:rPr>
          <w:rtl/>
        </w:rPr>
        <w:t xml:space="preserve"> </w:t>
      </w:r>
      <w:proofErr w:type="spellStart"/>
      <w:r>
        <w:rPr>
          <w:rtl/>
        </w:rPr>
        <w:t>בתרפ״ג</w:t>
      </w:r>
      <w:bookmarkStart w:id="4214" w:name="_fnr3171"/>
      <w:proofErr w:type="spellEnd"/>
      <w:r>
        <w:rPr>
          <w:vertAlign w:val="superscript"/>
          <w:rtl/>
        </w:rPr>
        <w:footnoteReference w:id="3179" w:customMarkFollows="0"/>
      </w:r>
      <w:bookmarkEnd w:id="4214"/>
      <w:r>
        <w:rPr>
          <w:rtl/>
        </w:rPr>
        <w:t xml:space="preserve">, עד פטירתו </w:t>
      </w:r>
      <w:proofErr w:type="spellStart"/>
      <w:r>
        <w:rPr>
          <w:rtl/>
        </w:rPr>
        <w:t>בתרצ״ו</w:t>
      </w:r>
      <w:proofErr w:type="spellEnd"/>
      <w:r>
        <w:rPr>
          <w:rtl/>
        </w:rPr>
        <w:t>.</w:t>
      </w:r>
    </w:p>
    <w:p w14:paraId="3D490A9C" w14:textId="77777777" w:rsidR="00AB3647" w:rsidRDefault="00000000" w:rsidP="007923E9">
      <w:pPr>
        <w:spacing w:after="120" w:line="276" w:lineRule="auto"/>
        <w:jc w:val="both"/>
      </w:pPr>
      <w:r>
        <w:rPr>
          <w:rtl/>
        </w:rPr>
        <w:t xml:space="preserve">מסתבר שהמעשה, או המעשים, שעליהם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אירעו בתקופת כהונתו הראשונה של ר׳ ירוחם </w:t>
      </w:r>
      <w:proofErr w:type="spellStart"/>
      <w:r>
        <w:rPr>
          <w:rtl/>
        </w:rPr>
        <w:t>במיר</w:t>
      </w:r>
      <w:proofErr w:type="spellEnd"/>
      <w:r>
        <w:rPr>
          <w:rtl/>
        </w:rPr>
        <w:t xml:space="preserve">, כלומר לפני מלחמת העולם. שהרי לאחר המלחמה, כשחזר ר׳ ירוחם לישיבת </w:t>
      </w:r>
      <w:proofErr w:type="spellStart"/>
      <w:r>
        <w:rPr>
          <w:rtl/>
        </w:rPr>
        <w:t>מיר</w:t>
      </w:r>
      <w:proofErr w:type="spellEnd"/>
      <w:r>
        <w:rPr>
          <w:rtl/>
        </w:rPr>
        <w:t xml:space="preserve">, כמעט לא הייתה אפשרות לנסוע בין </w:t>
      </w:r>
      <w:proofErr w:type="spellStart"/>
      <w:r>
        <w:rPr>
          <w:rtl/>
        </w:rPr>
        <w:t>מיר</w:t>
      </w:r>
      <w:proofErr w:type="spellEnd"/>
      <w:r>
        <w:rPr>
          <w:rtl/>
        </w:rPr>
        <w:t xml:space="preserve"> שבפולין </w:t>
      </w:r>
      <w:proofErr w:type="spellStart"/>
      <w:r>
        <w:rPr>
          <w:rtl/>
        </w:rPr>
        <w:t>לסלבודקה</w:t>
      </w:r>
      <w:proofErr w:type="spellEnd"/>
      <w:r>
        <w:rPr>
          <w:rtl/>
        </w:rPr>
        <w:t xml:space="preserve"> שבליטא, בשל סגירת הגבול </w:t>
      </w:r>
      <w:proofErr w:type="spellStart"/>
      <w:r>
        <w:rPr>
          <w:rtl/>
        </w:rPr>
        <w:t>הבין־לאומי</w:t>
      </w:r>
      <w:proofErr w:type="spellEnd"/>
      <w:r>
        <w:rPr>
          <w:rtl/>
        </w:rPr>
        <w:t xml:space="preserve">; ומסתבר שהסבא לא היה יודע כיצד מחנך ר׳ ירוחם את תלמידיו. השווה גם פרק 3, הפסקה השנייה של נספח </w:t>
      </w:r>
      <w:proofErr w:type="spellStart"/>
      <w:r>
        <w:rPr>
          <w:rtl/>
        </w:rPr>
        <w:t>יז</w:t>
      </w:r>
      <w:proofErr w:type="spellEnd"/>
      <w:r>
        <w:rPr>
          <w:rtl/>
        </w:rPr>
        <w:t xml:space="preserve">, על מקרה של עימות בין הסבא </w:t>
      </w:r>
      <w:proofErr w:type="spellStart"/>
      <w:r>
        <w:rPr>
          <w:rtl/>
        </w:rPr>
        <w:t>לר</w:t>
      </w:r>
      <w:proofErr w:type="spellEnd"/>
      <w:r>
        <w:rPr>
          <w:rtl/>
        </w:rPr>
        <w:t xml:space="preserve">׳ ירוחם, שנראה שאירע בזמן ששימש </w:t>
      </w:r>
      <w:proofErr w:type="spellStart"/>
      <w:r>
        <w:rPr>
          <w:rtl/>
        </w:rPr>
        <w:t>בפוניבז</w:t>
      </w:r>
      <w:proofErr w:type="spellEnd"/>
      <w:r>
        <w:rPr>
          <w:rtl/>
        </w:rPr>
        <w:t>׳.</w:t>
      </w:r>
    </w:p>
    <w:p w14:paraId="3628EAC0" w14:textId="77777777" w:rsidR="00AB3647" w:rsidRDefault="00000000" w:rsidP="007923E9">
      <w:pPr>
        <w:spacing w:after="120" w:line="276" w:lineRule="auto"/>
        <w:jc w:val="both"/>
      </w:pPr>
      <w:bookmarkStart w:id="4215" w:name="pr_close_b_2966"/>
      <w:bookmarkEnd w:id="4215"/>
      <w:r>
        <w:rPr>
          <w:rtl/>
        </w:rPr>
        <w:t xml:space="preserve">לפי בנו ר׳ </w:t>
      </w:r>
      <w:proofErr w:type="spellStart"/>
      <w:r>
        <w:rPr>
          <w:rtl/>
        </w:rPr>
        <w:t>שמחה־זיסל</w:t>
      </w:r>
      <w:proofErr w:type="spellEnd"/>
      <w:r>
        <w:rPr>
          <w:rtl/>
        </w:rPr>
        <w:t xml:space="preserve">, בא ר׳ ירוחם </w:t>
      </w:r>
      <w:proofErr w:type="spellStart"/>
      <w:r>
        <w:rPr>
          <w:rtl/>
        </w:rPr>
        <w:t>ליבוביץ</w:t>
      </w:r>
      <w:proofErr w:type="spellEnd"/>
      <w:r>
        <w:rPr>
          <w:rtl/>
        </w:rPr>
        <w:t xml:space="preserve"> לראשונה לישיבת </w:t>
      </w:r>
      <w:proofErr w:type="spellStart"/>
      <w:r>
        <w:rPr>
          <w:rtl/>
        </w:rPr>
        <w:t>מיר</w:t>
      </w:r>
      <w:proofErr w:type="spellEnd"/>
      <w:r>
        <w:rPr>
          <w:rtl/>
        </w:rPr>
        <w:t xml:space="preserve"> בעצת הסבא, כדי שיעמיד בה ישיבה מן השורה הראשונה יחד עם בן הסבא ר׳ </w:t>
      </w:r>
      <w:proofErr w:type="spellStart"/>
      <w:r>
        <w:rPr>
          <w:rtl/>
        </w:rPr>
        <w:t>לייזר־יודל</w:t>
      </w:r>
      <w:proofErr w:type="spellEnd"/>
      <w:r>
        <w:rPr>
          <w:rtl/>
        </w:rPr>
        <w:t xml:space="preserve">, חתנו של ראש ישיבת </w:t>
      </w:r>
      <w:proofErr w:type="spellStart"/>
      <w:r>
        <w:rPr>
          <w:rtl/>
        </w:rPr>
        <w:t>מיר</w:t>
      </w:r>
      <w:proofErr w:type="spellEnd"/>
      <w:r>
        <w:rPr>
          <w:rtl/>
        </w:rPr>
        <w:t xml:space="preserve"> באותה עת</w:t>
      </w:r>
      <w:bookmarkStart w:id="4216" w:name="_fnr3172"/>
      <w:r>
        <w:rPr>
          <w:vertAlign w:val="superscript"/>
          <w:rtl/>
        </w:rPr>
        <w:footnoteReference w:id="3180" w:customMarkFollows="0"/>
      </w:r>
      <w:bookmarkEnd w:id="4216"/>
      <w:r>
        <w:rPr>
          <w:rtl/>
        </w:rPr>
        <w:t xml:space="preserve">. ר׳ </w:t>
      </w:r>
      <w:proofErr w:type="spellStart"/>
      <w:r>
        <w:rPr>
          <w:rtl/>
        </w:rPr>
        <w:t>נתן־מאיר</w:t>
      </w:r>
      <w:proofErr w:type="spellEnd"/>
      <w:r>
        <w:rPr>
          <w:rtl/>
        </w:rPr>
        <w:t xml:space="preserve"> </w:t>
      </w:r>
      <w:proofErr w:type="spellStart"/>
      <w:r>
        <w:rPr>
          <w:rtl/>
        </w:rPr>
        <w:t>וכטפוגל</w:t>
      </w:r>
      <w:proofErr w:type="spellEnd"/>
      <w:r>
        <w:rPr>
          <w:rtl/>
        </w:rPr>
        <w:t xml:space="preserve">, שלמד אצל ר׳ ירוחם </w:t>
      </w:r>
      <w:proofErr w:type="spellStart"/>
      <w:r>
        <w:rPr>
          <w:rtl/>
        </w:rPr>
        <w:t>במיר</w:t>
      </w:r>
      <w:proofErr w:type="spellEnd"/>
      <w:r>
        <w:rPr>
          <w:rtl/>
        </w:rPr>
        <w:t xml:space="preserve"> שבע שנים, גילה</w:t>
      </w:r>
      <w:bookmarkStart w:id="4217" w:name="_fnr3173"/>
      <w:bookmarkStart w:id="4218" w:name="pr_f_3065"/>
      <w:r>
        <w:rPr>
          <w:vertAlign w:val="superscript"/>
          <w:rtl/>
        </w:rPr>
        <w:footnoteReference w:id="3181" w:customMarkFollows="0"/>
      </w:r>
      <w:bookmarkEnd w:id="4217"/>
      <w:bookmarkEnd w:id="4218"/>
      <w:r>
        <w:rPr>
          <w:rtl/>
        </w:rPr>
        <w:t xml:space="preserve"> שרבו אמר </w:t>
      </w:r>
      <w:r>
        <w:rPr>
          <w:rtl/>
        </w:rPr>
        <w:lastRenderedPageBreak/>
        <w:t xml:space="preserve">על עצמו: “כל מה שהשגתי בא לי מן הסבא </w:t>
      </w:r>
      <w:proofErr w:type="spellStart"/>
      <w:r>
        <w:rPr>
          <w:rtl/>
        </w:rPr>
        <w:t>מסלבודקה</w:t>
      </w:r>
      <w:proofErr w:type="spellEnd"/>
      <w:r>
        <w:rPr>
          <w:rtl/>
        </w:rPr>
        <w:t xml:space="preserve">”. ר׳ ירוחם היה תלמיד הסבא שש שנים, </w:t>
      </w:r>
      <w:proofErr w:type="spellStart"/>
      <w:r>
        <w:rPr>
          <w:rtl/>
        </w:rPr>
        <w:t>מתרנ״א</w:t>
      </w:r>
      <w:proofErr w:type="spellEnd"/>
      <w:r>
        <w:rPr>
          <w:rtl/>
        </w:rPr>
        <w:t xml:space="preserve">, כשהיה בן </w:t>
      </w:r>
      <w:proofErr w:type="spellStart"/>
      <w:r>
        <w:rPr>
          <w:rtl/>
        </w:rPr>
        <w:t>שש־עשרה</w:t>
      </w:r>
      <w:proofErr w:type="spellEnd"/>
      <w:r>
        <w:rPr>
          <w:rtl/>
        </w:rPr>
        <w:t>, עד תרנ״ז</w:t>
      </w:r>
      <w:bookmarkStart w:id="4219" w:name="_fnr3174"/>
      <w:r>
        <w:rPr>
          <w:vertAlign w:val="superscript"/>
          <w:rtl/>
        </w:rPr>
        <w:footnoteReference w:id="3182" w:customMarkFollows="0"/>
      </w:r>
      <w:bookmarkEnd w:id="4219"/>
      <w:r>
        <w:rPr>
          <w:rtl/>
        </w:rPr>
        <w:t>, שאז סייע לרבו במחלוקת המוסר</w:t>
      </w:r>
      <w:bookmarkStart w:id="4220" w:name="_fnr3175"/>
      <w:r>
        <w:rPr>
          <w:vertAlign w:val="superscript"/>
          <w:rtl/>
        </w:rPr>
        <w:footnoteReference w:id="3183" w:customMarkFollows="0"/>
      </w:r>
      <w:bookmarkEnd w:id="4220"/>
      <w:r>
        <w:rPr>
          <w:rtl/>
        </w:rPr>
        <w:t>.</w:t>
      </w:r>
    </w:p>
    <w:bookmarkStart w:id="4221" w:name="b4_note42"/>
    <w:p w14:paraId="5AC286B0" w14:textId="77777777" w:rsidR="00AB3647" w:rsidRDefault="00000000" w:rsidP="007923E9">
      <w:pPr>
        <w:spacing w:before="120" w:after="100" w:line="276" w:lineRule="auto"/>
        <w:jc w:val="both"/>
      </w:pPr>
      <w:r>
        <w:fldChar w:fldCharType="begin" w:dirty="true"/>
      </w:r>
      <w:r>
        <w:instrText>HYPERLINK \l "b4_text42" \h</w:instrText>
      </w:r>
      <w:r>
        <w:fldChar w:fldCharType="separate"/>
      </w:r>
      <w:r>
        <w:rPr>
          <w:b/>
          <w:bCs/>
          <w:rtl/>
        </w:rPr>
        <w:t>42</w:t>
      </w:r>
      <w:r>
        <w:rPr>
          <w:b/>
          <w:bCs/>
        </w:rPr>
        <w:fldChar w:fldCharType="end"/>
      </w:r>
      <w:bookmarkEnd w:id="4221"/>
      <w:r>
        <w:rPr>
          <w:rtl/>
        </w:rPr>
        <w:t xml:space="preserve"> הוא היה משבח כמה מן הבחורים בלשון מופלגת, ואומר שהם יכולים להיות רבי עקיבא איגר שני, שאגת אריה שני, ושהם עתידים להיות רשכבה״ג</w:t>
      </w:r>
      <w:bookmarkStart w:id="4222" w:name="_fnr3176"/>
      <w:r>
        <w:rPr>
          <w:vertAlign w:val="superscript"/>
          <w:rtl/>
        </w:rPr>
        <w:footnoteReference w:id="3184" w:customMarkFollows="0"/>
      </w:r>
      <w:bookmarkEnd w:id="4222"/>
      <w:r>
        <w:rPr>
          <w:rtl/>
        </w:rPr>
        <w:t>.</w:t>
      </w:r>
    </w:p>
    <w:p w14:paraId="73B5FDF4" w14:textId="77777777" w:rsidR="00AB3647" w:rsidRDefault="00000000" w:rsidP="007923E9">
      <w:pPr>
        <w:spacing w:before="120" w:after="100" w:line="276" w:lineRule="auto"/>
        <w:jc w:val="both"/>
      </w:pPr>
      <w:r>
        <w:rPr>
          <w:rtl/>
        </w:rPr>
        <w:t>ר׳ זאב לב סיפר</w:t>
      </w:r>
      <w:bookmarkStart w:id="4223" w:name="_fnr3177"/>
      <w:r>
        <w:rPr>
          <w:vertAlign w:val="superscript"/>
          <w:rtl/>
        </w:rPr>
        <w:footnoteReference w:id="3185" w:customMarkFollows="0"/>
      </w:r>
      <w:bookmarkEnd w:id="4223"/>
      <w:r>
        <w:rPr>
          <w:rtl/>
        </w:rPr>
        <w:t xml:space="preserve"> שכדי להמחיש את ההבדל בין מחנך חכם למחנך בינוני, אמר לו אבי שפעם גילה הסבא </w:t>
      </w:r>
      <w:proofErr w:type="spellStart"/>
      <w:r>
        <w:rPr>
          <w:rtl/>
        </w:rPr>
        <w:t>בסלבודקה</w:t>
      </w:r>
      <w:proofErr w:type="spellEnd"/>
      <w:r>
        <w:rPr>
          <w:rtl/>
        </w:rPr>
        <w:t xml:space="preserve"> שאהרן פינס הצעיר (קוטלר) חוזר על רעיונות שקלט מאחותו הקומוניסטית</w:t>
      </w:r>
      <w:bookmarkStart w:id="4224" w:name="_fnr3178"/>
      <w:r>
        <w:rPr>
          <w:vertAlign w:val="superscript"/>
          <w:rtl/>
        </w:rPr>
        <w:footnoteReference w:id="3186" w:customMarkFollows="0"/>
      </w:r>
      <w:bookmarkEnd w:id="4224"/>
      <w:r>
        <w:rPr>
          <w:rtl/>
        </w:rPr>
        <w:t xml:space="preserve">. במקום לגעור בו, ביקר הסבא אצל ר׳ אהרן באכסנייתו כמה ערבים כדי לשבח את לימודו. “‘אתה הרי לומד כל כך טוב [דו </w:t>
      </w:r>
      <w:proofErr w:type="spellStart"/>
      <w:r>
        <w:rPr>
          <w:rtl/>
        </w:rPr>
        <w:t>לערנסט</w:t>
      </w:r>
      <w:proofErr w:type="spellEnd"/>
      <w:r>
        <w:rPr>
          <w:rtl/>
        </w:rPr>
        <w:t xml:space="preserve"> דאך </w:t>
      </w:r>
      <w:proofErr w:type="spellStart"/>
      <w:r>
        <w:rPr>
          <w:rtl/>
        </w:rPr>
        <w:t>אזוי</w:t>
      </w:r>
      <w:proofErr w:type="spellEnd"/>
      <w:r>
        <w:rPr>
          <w:rtl/>
        </w:rPr>
        <w:t xml:space="preserve"> </w:t>
      </w:r>
      <w:proofErr w:type="spellStart"/>
      <w:r>
        <w:rPr>
          <w:rtl/>
        </w:rPr>
        <w:t>גוט</w:t>
      </w:r>
      <w:proofErr w:type="spellEnd"/>
      <w:r>
        <w:rPr>
          <w:rtl/>
        </w:rPr>
        <w:t xml:space="preserve">]’, אמר לו”, סיפר אבי, וסיכם: “אילו אמר לו הסבא אז מילה חריפה, מי יודע מה היה נעשה מר׳ אהרן?” השווה גם סוף הערה 20 לעיל והפסקה השלישית של נספח ו להלן, על מידת דאגתו של ר׳ </w:t>
      </w:r>
      <w:proofErr w:type="spellStart"/>
      <w:r>
        <w:rPr>
          <w:rtl/>
        </w:rPr>
        <w:t>נתן־צבי</w:t>
      </w:r>
      <w:proofErr w:type="spellEnd"/>
      <w:r>
        <w:rPr>
          <w:rtl/>
        </w:rPr>
        <w:t xml:space="preserve"> </w:t>
      </w:r>
      <w:proofErr w:type="spellStart"/>
      <w:r>
        <w:rPr>
          <w:rtl/>
        </w:rPr>
        <w:t>פינקל</w:t>
      </w:r>
      <w:proofErr w:type="spellEnd"/>
      <w:r>
        <w:rPr>
          <w:rtl/>
        </w:rPr>
        <w:t xml:space="preserve"> להתפתחות ר׳ אהרן; וכן פרק 2, הערה 106, על הפעם שבה הציל אותו הסבא מעזיבת הישיבה כליל.</w:t>
      </w:r>
    </w:p>
    <w:bookmarkStart w:id="4225" w:name="b4_note43"/>
    <w:p w14:paraId="27DC68B0" w14:textId="77777777" w:rsidR="00AB3647" w:rsidRDefault="00000000" w:rsidP="007923E9">
      <w:pPr>
        <w:spacing w:before="120" w:after="100" w:line="276" w:lineRule="auto"/>
        <w:jc w:val="both"/>
      </w:pPr>
      <w:r>
        <w:fldChar w:fldCharType="begin" w:dirty="true"/>
      </w:r>
      <w:r>
        <w:instrText>HYPERLINK \l "b4_text43" \h</w:instrText>
      </w:r>
      <w:r>
        <w:fldChar w:fldCharType="separate"/>
      </w:r>
      <w:r>
        <w:rPr>
          <w:b/>
          <w:bCs/>
          <w:rtl/>
        </w:rPr>
        <w:t>43</w:t>
      </w:r>
      <w:r>
        <w:rPr>
          <w:b/>
          <w:bCs/>
        </w:rPr>
        <w:fldChar w:fldCharType="end"/>
      </w:r>
      <w:bookmarkEnd w:id="4225"/>
      <w:r>
        <w:rPr>
          <w:rtl/>
        </w:rPr>
        <w:t xml:space="preserve"> ר׳ שפטל </w:t>
      </w:r>
      <w:proofErr w:type="spellStart"/>
      <w:r>
        <w:rPr>
          <w:rtl/>
        </w:rPr>
        <w:t>נויברגר</w:t>
      </w:r>
      <w:proofErr w:type="spellEnd"/>
      <w:r>
        <w:rPr>
          <w:rtl/>
        </w:rPr>
        <w:t xml:space="preserve">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אמר שהיו בחורים שהסבא מעולם לא השמיע באוזניהם דבר ביקורת. פעם שמע במקרה את הסבא אומר לתלמיד כזה: “האם יש לי רשות להזכיר לך </w:t>
      </w:r>
      <w:proofErr w:type="spellStart"/>
      <w:r>
        <w:rPr>
          <w:rtl/>
        </w:rPr>
        <w:t>דבר־מה</w:t>
      </w:r>
      <w:proofErr w:type="spellEnd"/>
      <w:r>
        <w:rPr>
          <w:rtl/>
        </w:rPr>
        <w:t>...?”</w:t>
      </w:r>
    </w:p>
    <w:bookmarkStart w:id="4226" w:name="b4_note44"/>
    <w:p w14:paraId="4DA8E2E8" w14:textId="10158EC0" w:rsidR="00AB3647" w:rsidRDefault="00000000" w:rsidP="007923E9">
      <w:pPr>
        <w:spacing w:before="120" w:after="100" w:line="276" w:lineRule="auto"/>
        <w:jc w:val="both"/>
      </w:pPr>
      <w:r>
        <w:fldChar w:fldCharType="begin" w:dirty="true"/>
      </w:r>
      <w:r>
        <w:instrText>HYPERLINK \l "b4_text44" \h</w:instrText>
      </w:r>
      <w:r>
        <w:fldChar w:fldCharType="separate"/>
      </w:r>
      <w:r>
        <w:rPr>
          <w:b/>
          <w:bCs/>
          <w:rtl/>
        </w:rPr>
        <w:t>44</w:t>
      </w:r>
      <w:r>
        <w:rPr>
          <w:b/>
          <w:bCs/>
        </w:rPr>
        <w:fldChar w:fldCharType="end"/>
      </w:r>
      <w:bookmarkEnd w:id="4226"/>
      <w:r>
        <w:rPr>
          <w:rtl/>
        </w:rPr>
        <w:t xml:space="preserve"> ראה </w:t>
      </w:r>
      <w:r>
        <w:rPr>
          <w:rtl/>
        </w:rPr>
        <w:fldChar w:fldCharType="begin" w:dirty="true"/>
      </w:r>
      <w:r>
        <w:rPr>
          <w:rtl/>
        </w:rPr>
        <w:instrText xml:space="preserve"> REF b4_excE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bookmarkStart w:id="4227" w:name="b4_note45"/>
    <w:p w14:paraId="6315B63F" w14:textId="26121466" w:rsidR="00AB3647" w:rsidRDefault="00000000" w:rsidP="007923E9">
      <w:pPr>
        <w:spacing w:before="120" w:after="100" w:line="276" w:lineRule="auto"/>
        <w:jc w:val="both"/>
      </w:pPr>
      <w:r>
        <w:fldChar w:fldCharType="begin" w:dirty="true"/>
      </w:r>
      <w:r>
        <w:instrText>HYPERLINK \l "b4_text45" \h</w:instrText>
      </w:r>
      <w:r>
        <w:fldChar w:fldCharType="separate"/>
      </w:r>
      <w:r>
        <w:rPr>
          <w:b/>
          <w:bCs/>
          <w:rtl/>
        </w:rPr>
        <w:t>45</w:t>
      </w:r>
      <w:r>
        <w:rPr>
          <w:b/>
          <w:bCs/>
        </w:rPr>
        <w:fldChar w:fldCharType="end"/>
      </w:r>
      <w:bookmarkEnd w:id="4227"/>
      <w:r>
        <w:rPr>
          <w:rtl/>
        </w:rPr>
        <w:t xml:space="preserve"> ראה </w:t>
      </w:r>
      <w:r>
        <w:rPr>
          <w:rtl/>
        </w:rPr>
        <w:fldChar w:fldCharType="begin" w:dirty="true"/>
      </w:r>
      <w:r>
        <w:rPr>
          <w:rtl/>
        </w:rPr>
        <w:instrText xml:space="preserve"> REF b4_excF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2FD722A" w14:textId="58CC75B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שם לב לכל פרט במעשי תלמידו – כיצד הלך, כיצד עמד, כיצד ישב</w:t>
      </w:r>
      <w:bookmarkStart w:id="4228" w:name="b4_text46"/>
      <w:bookmarkEnd w:id="4228"/>
      <w:r>
        <w:rPr>
          <w:sz w:val="18"/>
          <w:szCs w:val="18"/>
          <w:vertAlign w:val="superscript"/>
          <w:rtl/>
        </w:rPr>
        <w:fldChar w:fldCharType="begin" w:dirty="true"/>
      </w:r>
      <w:r>
        <w:rPr>
          <w:sz w:val="18"/>
          <w:szCs w:val="18"/>
          <w:vertAlign w:val="superscript"/>
          <w:rtl/>
        </w:rPr>
        <w:instrText xml:space="preserve"> REF b4_note46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46</w:t>
      </w:r>
      <w:r>
        <w:rPr>
          <w:sz w:val="18"/>
          <w:szCs w:val="18"/>
          <w:vertAlign w:val="superscript"/>
          <w:rtl/>
        </w:rPr>
        <w:fldChar w:fldCharType="end"/>
      </w:r>
      <w:r>
        <w:rPr>
          <w:rtl/>
        </w:rPr>
        <w:t>. כל מילה, כל אמירה</w:t>
      </w:r>
      <w:bookmarkStart w:id="4229" w:name="b4_text47"/>
      <w:bookmarkEnd w:id="4229"/>
      <w:r>
        <w:rPr>
          <w:sz w:val="18"/>
          <w:szCs w:val="18"/>
          <w:vertAlign w:val="superscript"/>
          <w:rtl/>
        </w:rPr>
        <w:fldChar w:fldCharType="begin" w:dirty="true"/>
      </w:r>
      <w:r>
        <w:rPr>
          <w:sz w:val="18"/>
          <w:szCs w:val="18"/>
          <w:vertAlign w:val="superscript"/>
          <w:rtl/>
        </w:rPr>
        <w:instrText xml:space="preserve"> REF b4_note47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47</w:t>
      </w:r>
      <w:r>
        <w:rPr>
          <w:sz w:val="18"/>
          <w:szCs w:val="18"/>
          <w:vertAlign w:val="superscript"/>
          <w:rtl/>
        </w:rPr>
        <w:fldChar w:fldCharType="end"/>
      </w:r>
      <w:r>
        <w:rPr>
          <w:rtl/>
        </w:rPr>
        <w:t>, כל מצמוץ עין וכל כיווץ שפתיים</w:t>
      </w:r>
      <w:bookmarkStart w:id="4230" w:name="b4_text48"/>
      <w:bookmarkEnd w:id="4230"/>
      <w:r>
        <w:rPr>
          <w:sz w:val="18"/>
          <w:szCs w:val="18"/>
          <w:vertAlign w:val="superscript"/>
          <w:rtl/>
        </w:rPr>
        <w:fldChar w:fldCharType="begin" w:dirty="true"/>
      </w:r>
      <w:r>
        <w:rPr>
          <w:sz w:val="18"/>
          <w:szCs w:val="18"/>
          <w:vertAlign w:val="superscript"/>
          <w:rtl/>
        </w:rPr>
        <w:instrText xml:space="preserve"> REF b4_note48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48</w:t>
      </w:r>
      <w:r>
        <w:rPr>
          <w:sz w:val="18"/>
          <w:szCs w:val="18"/>
          <w:vertAlign w:val="superscript"/>
          <w:rtl/>
        </w:rPr>
        <w:fldChar w:fldCharType="end"/>
      </w:r>
      <w:r>
        <w:rPr>
          <w:rtl/>
        </w:rPr>
        <w:t xml:space="preserve"> עברו תחת ביקורתו. שום דבר במעשי תלמיד לא היה חסר משמעות, ובכל פגישה עבר התלמיד בחינה מחודשת. בעיני ר׳ </w:t>
      </w:r>
      <w:proofErr w:type="spellStart"/>
      <w:r>
        <w:rPr>
          <w:rtl/>
        </w:rPr>
        <w:t>נתן־צבי</w:t>
      </w:r>
      <w:proofErr w:type="spellEnd"/>
      <w:r>
        <w:rPr>
          <w:rtl/>
        </w:rPr>
        <w:t xml:space="preserve"> </w:t>
      </w:r>
      <w:proofErr w:type="spellStart"/>
      <w:r>
        <w:rPr>
          <w:rtl/>
        </w:rPr>
        <w:t>פינקל</w:t>
      </w:r>
      <w:proofErr w:type="spellEnd"/>
      <w:r>
        <w:rPr>
          <w:rtl/>
        </w:rPr>
        <w:t xml:space="preserve"> האדם מעולם לא היה קבוע ועומד, אלא יצור בעל בחירה חופשית, המסוגל להשתנות.</w:t>
      </w:r>
    </w:p>
    <w:bookmarkStart w:id="4231" w:name="b4_note46"/>
    <w:p w14:paraId="6011A8F2" w14:textId="77777777" w:rsidR="00AB3647" w:rsidRDefault="00000000" w:rsidP="007923E9">
      <w:pPr>
        <w:spacing w:before="120" w:after="100" w:line="276" w:lineRule="auto"/>
        <w:jc w:val="both"/>
      </w:pPr>
      <w:r>
        <w:fldChar w:fldCharType="begin" w:dirty="true"/>
      </w:r>
      <w:r>
        <w:instrText>HYPERLINK \l "b4_text46" \h</w:instrText>
      </w:r>
      <w:r>
        <w:fldChar w:fldCharType="separate"/>
      </w:r>
      <w:r>
        <w:rPr>
          <w:b/>
          <w:bCs/>
          <w:rtl/>
        </w:rPr>
        <w:t>46</w:t>
      </w:r>
      <w:r>
        <w:rPr>
          <w:b/>
          <w:bCs/>
        </w:rPr>
        <w:fldChar w:fldCharType="end"/>
      </w:r>
      <w:bookmarkEnd w:id="4231"/>
      <w:r>
        <w:rPr>
          <w:rtl/>
        </w:rPr>
        <w:t xml:space="preserve"> כץ, “תנועת המוסר”, כרך ג</w:t>
      </w:r>
      <w:bookmarkStart w:id="4232" w:name="_fnr3179"/>
      <w:r>
        <w:rPr>
          <w:vertAlign w:val="superscript"/>
          <w:rtl/>
        </w:rPr>
        <w:footnoteReference w:id="3187" w:customMarkFollows="0"/>
      </w:r>
      <w:bookmarkEnd w:id="4232"/>
      <w:r>
        <w:rPr>
          <w:rtl/>
        </w:rPr>
        <w:t>, כותב: “אוי לו לבחור ששיחק בשולי המפה או התנדנד בכיסאו בשעת שיחתו. הסבא ראה בכל תנועה חסרת תכלית מעשה רשלנות”.</w:t>
      </w:r>
    </w:p>
    <w:bookmarkStart w:id="4233" w:name="b4_note47"/>
    <w:p w14:paraId="208B3724" w14:textId="77777777" w:rsidR="00AB3647" w:rsidRDefault="00000000" w:rsidP="007923E9">
      <w:pPr>
        <w:spacing w:before="120" w:after="100" w:line="276" w:lineRule="auto"/>
        <w:jc w:val="both"/>
      </w:pPr>
      <w:r>
        <w:fldChar w:fldCharType="begin" w:dirty="true"/>
      </w:r>
      <w:r>
        <w:instrText>HYPERLINK \l "b4_text47" \h</w:instrText>
      </w:r>
      <w:r>
        <w:fldChar w:fldCharType="separate"/>
      </w:r>
      <w:r>
        <w:rPr>
          <w:b/>
          <w:bCs/>
          <w:rtl/>
        </w:rPr>
        <w:t>47</w:t>
      </w:r>
      <w:r>
        <w:rPr>
          <w:b/>
          <w:bCs/>
        </w:rPr>
        <w:fldChar w:fldCharType="end"/>
      </w:r>
      <w:bookmarkEnd w:id="4233"/>
      <w:r>
        <w:rPr>
          <w:rtl/>
        </w:rPr>
        <w:t xml:space="preserve"> כדי להעריך את אופיו של התלמיד הערכה מקיפה, היה על הסבא להקדיש תשומת לב מלאה לכל גוון דק. מאותו טעם התעקש אבי, שייעץ לאלפי אנשים בעניינים שונים בשנותיו המאוחרות, לשמוע את דברי בן שיחו בדיוק מוחלט לפני שייתן עצה.</w:t>
      </w:r>
    </w:p>
    <w:p w14:paraId="17CF10C9" w14:textId="77777777" w:rsidR="00AB3647" w:rsidRDefault="00000000" w:rsidP="007923E9">
      <w:pPr>
        <w:spacing w:before="120" w:after="100" w:line="276" w:lineRule="auto"/>
        <w:jc w:val="both"/>
      </w:pPr>
      <w:r>
        <w:rPr>
          <w:rtl/>
        </w:rPr>
        <w:lastRenderedPageBreak/>
        <w:t>בהספד על רבנו</w:t>
      </w:r>
      <w:bookmarkStart w:id="4234" w:name="_fnr3180"/>
      <w:r>
        <w:rPr>
          <w:vertAlign w:val="superscript"/>
          <w:rtl/>
        </w:rPr>
        <w:footnoteReference w:id="3188" w:customMarkFollows="0"/>
      </w:r>
      <w:bookmarkEnd w:id="4234"/>
      <w:r>
        <w:rPr>
          <w:rtl/>
        </w:rPr>
        <w:t xml:space="preserve"> הזכיר חתן נכדתו ר׳ יצחק </w:t>
      </w:r>
      <w:proofErr w:type="spellStart"/>
      <w:r>
        <w:rPr>
          <w:rtl/>
        </w:rPr>
        <w:t>קנובל</w:t>
      </w:r>
      <w:proofErr w:type="spellEnd"/>
      <w:r>
        <w:rPr>
          <w:rtl/>
        </w:rPr>
        <w:t xml:space="preserve"> מקרה שבו בא לבקש עצה מאבי אדם שעמד על פרשת דרכים בחייו. אבל לא ניתנה לו האפשרות לדון בבעייתו, מפני שדיבר אנגלית בלבד, ואבי, אף שהבין את השפה, לא היה בקי בדיבורה. הפצרותיו לדבר באמצעות מתורגמן לא הועילו. אבי הסביר שאינו נותן תשובות שגרתיות, ולא יוכל לעמוד על טיבו של אותו אדם ועל מה שטוב לו ביותר, אלא אם ישמע כל גוון דק בשיחה – ואת זה תרגום אינו יכול למסור.</w:t>
      </w:r>
    </w:p>
    <w:bookmarkStart w:id="4235" w:name="b4_note48"/>
    <w:p w14:paraId="7DC3A50A" w14:textId="77777777" w:rsidR="00AB3647" w:rsidRDefault="00000000" w:rsidP="007923E9">
      <w:pPr>
        <w:spacing w:before="120" w:after="100" w:line="276" w:lineRule="auto"/>
        <w:jc w:val="both"/>
      </w:pPr>
      <w:r>
        <w:fldChar w:fldCharType="begin" w:dirty="true"/>
      </w:r>
      <w:r>
        <w:instrText>HYPERLINK \l "b4_text48" \h</w:instrText>
      </w:r>
      <w:r>
        <w:fldChar w:fldCharType="separate"/>
      </w:r>
      <w:r>
        <w:rPr>
          <w:b/>
          <w:bCs/>
          <w:rtl/>
        </w:rPr>
        <w:t>48</w:t>
      </w:r>
      <w:r>
        <w:rPr>
          <w:b/>
          <w:bCs/>
        </w:rPr>
        <w:fldChar w:fldCharType="end"/>
      </w:r>
      <w:bookmarkEnd w:id="4235"/>
      <w:r>
        <w:rPr>
          <w:rtl/>
        </w:rPr>
        <w:t xml:space="preserve"> ר׳ שפטל </w:t>
      </w:r>
      <w:proofErr w:type="spellStart"/>
      <w:r>
        <w:rPr>
          <w:rtl/>
        </w:rPr>
        <w:t>נויברגר</w:t>
      </w:r>
      <w:bookmarkStart w:id="4236" w:name="_fnr3181"/>
      <w:proofErr w:type="spellEnd"/>
      <w:r>
        <w:rPr>
          <w:vertAlign w:val="superscript"/>
          <w:rtl/>
        </w:rPr>
        <w:footnoteReference w:id="3189" w:customMarkFollows="0"/>
      </w:r>
      <w:bookmarkEnd w:id="4236"/>
      <w:r>
        <w:rPr>
          <w:rtl/>
        </w:rPr>
        <w:t xml:space="preserve"> סיפר את הדוגמה הבאה להבחנתו החדה של הסבא בהנהגה. הוא שמע אותה מנכד הסבא ר׳ לייזר </w:t>
      </w:r>
      <w:proofErr w:type="spellStart"/>
      <w:r>
        <w:rPr>
          <w:rtl/>
        </w:rPr>
        <w:t>פלצ׳ינסקי</w:t>
      </w:r>
      <w:proofErr w:type="spellEnd"/>
      <w:r>
        <w:rPr>
          <w:rtl/>
        </w:rPr>
        <w:t xml:space="preserve">, ששמע אותה מבעל המעשה, מזכיר ישיבת כנסת ישראל ר׳ </w:t>
      </w:r>
      <w:proofErr w:type="spellStart"/>
      <w:r>
        <w:rPr>
          <w:rtl/>
        </w:rPr>
        <w:t>יעקב־שלמה</w:t>
      </w:r>
      <w:proofErr w:type="spellEnd"/>
      <w:r>
        <w:rPr>
          <w:rtl/>
        </w:rPr>
        <w:t xml:space="preserve"> הורביץ:</w:t>
      </w:r>
    </w:p>
    <w:p w14:paraId="559F6F69" w14:textId="77777777" w:rsidR="00AB3647" w:rsidRDefault="00000000" w:rsidP="007923E9">
      <w:pPr>
        <w:spacing w:before="120" w:after="100" w:line="276" w:lineRule="auto"/>
        <w:jc w:val="both"/>
      </w:pPr>
      <w:r>
        <w:rPr>
          <w:rtl/>
        </w:rPr>
        <w:t xml:space="preserve">“בשבת אחת קראו לי לתורה </w:t>
      </w:r>
      <w:proofErr w:type="spellStart"/>
      <w:r>
        <w:rPr>
          <w:rtl/>
        </w:rPr>
        <w:t>ל‘חמישי</w:t>
      </w:r>
      <w:proofErr w:type="spellEnd"/>
      <w:r>
        <w:rPr>
          <w:rtl/>
        </w:rPr>
        <w:t xml:space="preserve">’ חלש. ערכה של עלייה לתורה נקבע לא רק לפי מקומה בין שבע העליות של שבת, אלא גם לפי חשיבות שאר העולים – ככל שהאדם שקיבל את העלייה השלישית, המכובדת ביותר, היה חשוב יותר, כך גם </w:t>
      </w:r>
      <w:proofErr w:type="spellStart"/>
      <w:r>
        <w:rPr>
          <w:rtl/>
        </w:rPr>
        <w:t>ה‘חמישי</w:t>
      </w:r>
      <w:proofErr w:type="spellEnd"/>
      <w:r>
        <w:rPr>
          <w:rtl/>
        </w:rPr>
        <w:t xml:space="preserve">’ נחשב יותר. באותה שבת ניתנה עליית שלישי לאדם חסר משקל, ולפיכך היה החמישי, שבדרך כלל לא היה מזהיר, </w:t>
      </w:r>
      <w:proofErr w:type="spellStart"/>
      <w:r>
        <w:rPr>
          <w:rtl/>
        </w:rPr>
        <w:t>ב‘חולשתו</w:t>
      </w:r>
      <w:proofErr w:type="spellEnd"/>
      <w:r>
        <w:rPr>
          <w:rtl/>
        </w:rPr>
        <w:t>’ המרבית. מכאן הבנתי שבקריאתי לעלות הוכיחו אותי... אבל על מה? לאחר התפילה ניגשתי לסבא ושאלתי מה עשיתי. הסבא השיב: ‘אתה מצפה לכבוד? אדם המתכבד בקלון חברו</w:t>
      </w:r>
      <w:bookmarkStart w:id="4237" w:name="_fnr3182"/>
      <w:r>
        <w:rPr>
          <w:vertAlign w:val="superscript"/>
          <w:rtl/>
        </w:rPr>
        <w:footnoteReference w:id="3190" w:customMarkFollows="0"/>
      </w:r>
      <w:bookmarkEnd w:id="4237"/>
      <w:r>
        <w:rPr>
          <w:rtl/>
        </w:rPr>
        <w:t xml:space="preserve"> מבקש שיכירו בכבודו?!’ כשעניתי שאיני יודע לאיזה ממעשיי הוא מתכוון, הזכיר לי שעשר שנים קודם לכן נכנס ראובן </w:t>
      </w:r>
      <w:proofErr w:type="spellStart"/>
      <w:r>
        <w:rPr>
          <w:rtl/>
        </w:rPr>
        <w:t>מינסקער</w:t>
      </w:r>
      <w:proofErr w:type="spellEnd"/>
      <w:r>
        <w:rPr>
          <w:rtl/>
        </w:rPr>
        <w:t xml:space="preserve"> [</w:t>
      </w:r>
      <w:proofErr w:type="spellStart"/>
      <w:r>
        <w:rPr>
          <w:rtl/>
        </w:rPr>
        <w:t>גרוזובסקי</w:t>
      </w:r>
      <w:proofErr w:type="spellEnd"/>
      <w:r>
        <w:rPr>
          <w:rtl/>
        </w:rPr>
        <w:t>], שהיה שקוע במחשבות, לבית המדרש בבוקר שבת אחד. הוא הוציא את זרועו השמאלית משרוול מעילו כדי להניח תפילין. הסבא סימן לי במהירות לגשת אל ר׳ ראובן ולהזכיר לו איזה יום היום. עשיתי בדיוק כך – אבל בחיוך קל של לעג שלא נעלם מעיני הסבא. על אותו חיוך ענש אותי הסבא בחמישי כעבור עשור”</w:t>
      </w:r>
      <w:bookmarkStart w:id="4238" w:name="_fnr3183"/>
      <w:r>
        <w:rPr>
          <w:vertAlign w:val="superscript"/>
          <w:rtl/>
        </w:rPr>
        <w:footnoteReference w:id="3191" w:customMarkFollows="0"/>
      </w:r>
      <w:bookmarkEnd w:id="4238"/>
      <w:r>
        <w:rPr>
          <w:rtl/>
        </w:rPr>
        <w:t>.</w:t>
      </w:r>
    </w:p>
    <w:p w14:paraId="6081F5DF" w14:textId="77777777" w:rsidR="00AB3647" w:rsidRDefault="00000000" w:rsidP="007923E9">
      <w:pPr>
        <w:spacing w:before="120" w:after="100" w:line="276" w:lineRule="auto"/>
        <w:jc w:val="both"/>
      </w:pPr>
      <w:r>
        <w:rPr>
          <w:rtl/>
        </w:rPr>
        <w:t>על כמה מן הפרטים לעיל השווה את המקורות הבאים: כץ, “תנועת המוסר”, כרך ג</w:t>
      </w:r>
      <w:bookmarkStart w:id="4239" w:name="_fnr3184"/>
      <w:r>
        <w:rPr>
          <w:vertAlign w:val="superscript"/>
          <w:rtl/>
        </w:rPr>
        <w:footnoteReference w:id="3192" w:customMarkFollows="0"/>
      </w:r>
      <w:bookmarkEnd w:id="4239"/>
      <w:r>
        <w:rPr>
          <w:rtl/>
        </w:rPr>
        <w:t xml:space="preserve">, שהסבא השתמש בדרך כלל בחלוקת העליות, שבה טיפל בעצמו, כדי לרומם תלמיד או להוריד את מעמדו; הערה 8 לעיל, על זיכרונו המופלא של ר׳ </w:t>
      </w:r>
      <w:proofErr w:type="spellStart"/>
      <w:r>
        <w:rPr>
          <w:rtl/>
        </w:rPr>
        <w:t>נתן־צבי</w:t>
      </w:r>
      <w:proofErr w:type="spellEnd"/>
      <w:r>
        <w:rPr>
          <w:rtl/>
        </w:rPr>
        <w:t xml:space="preserve"> </w:t>
      </w:r>
      <w:proofErr w:type="spellStart"/>
      <w:r>
        <w:rPr>
          <w:rtl/>
        </w:rPr>
        <w:t>פינקל</w:t>
      </w:r>
      <w:proofErr w:type="spellEnd"/>
      <w:r>
        <w:rPr>
          <w:rtl/>
        </w:rPr>
        <w:t>; וכץ, שם</w:t>
      </w:r>
      <w:bookmarkStart w:id="4240" w:name="_fnr3185"/>
      <w:r>
        <w:rPr>
          <w:vertAlign w:val="superscript"/>
          <w:rtl/>
        </w:rPr>
        <w:footnoteReference w:id="3193" w:customMarkFollows="0"/>
      </w:r>
      <w:bookmarkEnd w:id="4240"/>
      <w:r>
        <w:rPr>
          <w:rtl/>
        </w:rPr>
        <w:t>, על רגישותו למתכבד בקלון חברו, כפי שניכרה במעשה מעניין בחודשי חייו האחרונים</w:t>
      </w:r>
      <w:bookmarkStart w:id="4241" w:name="_fnr3186"/>
      <w:r>
        <w:rPr>
          <w:vertAlign w:val="superscript"/>
          <w:rtl/>
        </w:rPr>
        <w:footnoteReference w:id="3194" w:customMarkFollows="0"/>
      </w:r>
      <w:bookmarkEnd w:id="4241"/>
      <w:r>
        <w:rPr>
          <w:rtl/>
        </w:rPr>
        <w:t>.</w:t>
      </w:r>
    </w:p>
    <w:p w14:paraId="74C246F9" w14:textId="77777777" w:rsidR="00AB3647" w:rsidRDefault="00000000" w:rsidP="007923E9">
      <w:pPr>
        <w:spacing w:before="120" w:after="100" w:line="276" w:lineRule="auto"/>
        <w:jc w:val="both"/>
      </w:pPr>
      <w:r>
        <w:rPr>
          <w:rtl/>
        </w:rPr>
        <w:t xml:space="preserve">על השימוש בעליות כדי לדרג תלמידים סיפר ר׳ אהרן </w:t>
      </w:r>
      <w:proofErr w:type="spellStart"/>
      <w:r>
        <w:rPr>
          <w:rtl/>
        </w:rPr>
        <w:t>לופיאנסקי</w:t>
      </w:r>
      <w:bookmarkStart w:id="4242" w:name="_fnr3187"/>
      <w:proofErr w:type="spellEnd"/>
      <w:r>
        <w:rPr>
          <w:vertAlign w:val="superscript"/>
          <w:rtl/>
        </w:rPr>
        <w:footnoteReference w:id="3195" w:customMarkFollows="0"/>
      </w:r>
      <w:bookmarkEnd w:id="4242"/>
      <w:r>
        <w:rPr>
          <w:rtl/>
        </w:rPr>
        <w:t xml:space="preserve"> ששמע מאביו ר׳ </w:t>
      </w:r>
      <w:proofErr w:type="spellStart"/>
      <w:r>
        <w:rPr>
          <w:rtl/>
        </w:rPr>
        <w:t>בן־ציון</w:t>
      </w:r>
      <w:proofErr w:type="spellEnd"/>
      <w:r>
        <w:rPr>
          <w:rtl/>
        </w:rPr>
        <w:t xml:space="preserve"> – תושב קובנה לאחר מלחמת העולם הראשונה, שהיה מקורב לחוגי ישיבת </w:t>
      </w:r>
      <w:proofErr w:type="spellStart"/>
      <w:r>
        <w:rPr>
          <w:rtl/>
        </w:rPr>
        <w:t>סלבודקה</w:t>
      </w:r>
      <w:proofErr w:type="spellEnd"/>
      <w:r>
        <w:rPr>
          <w:rtl/>
        </w:rPr>
        <w:t xml:space="preserve"> – שבכל שבת, לפני קריאת התורה, היו מנהלי הישיבה מתכנסים ליד הבימה לעין כול. הם היו מביטים סביב לראות מי נוכח, ומחליטים בדיון בלחש את מי לכבד ובאיזו עלייה.</w:t>
      </w:r>
    </w:p>
    <w:p w14:paraId="5C29ABED" w14:textId="77777777" w:rsidR="00AB3647" w:rsidRDefault="00000000" w:rsidP="007923E9">
      <w:pPr>
        <w:spacing w:after="120" w:line="276" w:lineRule="auto"/>
        <w:jc w:val="both"/>
      </w:pPr>
      <w:r>
        <w:rPr>
          <w:rtl/>
        </w:rPr>
        <w:lastRenderedPageBreak/>
        <w:t xml:space="preserve">ר׳ ראובן </w:t>
      </w:r>
      <w:proofErr w:type="spellStart"/>
      <w:r>
        <w:rPr>
          <w:rtl/>
        </w:rPr>
        <w:t>גרוזובסקי</w:t>
      </w:r>
      <w:proofErr w:type="spellEnd"/>
      <w:r>
        <w:rPr>
          <w:rtl/>
        </w:rPr>
        <w:t xml:space="preserve"> שכח ששבת היא מפני שהיה שקוע בתורה, במידה המתוארת בעירובין נד ע״ב על האמורא ר׳ אלעזר בן </w:t>
      </w:r>
      <w:proofErr w:type="spellStart"/>
      <w:r>
        <w:rPr>
          <w:rtl/>
        </w:rPr>
        <w:t>פדת</w:t>
      </w:r>
      <w:bookmarkStart w:id="4243" w:name="_fnr3188"/>
      <w:proofErr w:type="spellEnd"/>
      <w:r>
        <w:rPr>
          <w:vertAlign w:val="superscript"/>
          <w:rtl/>
        </w:rPr>
        <w:footnoteReference w:id="3196" w:customMarkFollows="0"/>
      </w:r>
      <w:bookmarkEnd w:id="4243"/>
      <w:r>
        <w:rPr>
          <w:rtl/>
        </w:rPr>
        <w:t xml:space="preserve">. בשנים המאוחרות יותר, כששימש ראש ישיבת בית מדרש עליון </w:t>
      </w:r>
      <w:proofErr w:type="spellStart"/>
      <w:r>
        <w:rPr>
          <w:rtl/>
        </w:rPr>
        <w:t>במונסי</w:t>
      </w:r>
      <w:proofErr w:type="spellEnd"/>
      <w:r>
        <w:rPr>
          <w:rtl/>
        </w:rPr>
        <w:t xml:space="preserve"> (שבה למדתי אצלו), היה ר׳ ראובן שקוע כך בלימוד, ולפעמים נשמע מערבב את הברכות בתפילת </w:t>
      </w:r>
      <w:proofErr w:type="spellStart"/>
      <w:r>
        <w:rPr>
          <w:rtl/>
        </w:rPr>
        <w:t>שמונה־עשרה</w:t>
      </w:r>
      <w:proofErr w:type="spellEnd"/>
      <w:r>
        <w:rPr>
          <w:rtl/>
        </w:rPr>
        <w:t xml:space="preserve">. בפעמים אחרות, מפני שמחשבתו הייתה נתונה כולה לסוגיה שלמד, היה נכנס לבית המדרש בחולצתו, בלי הקפוטה הרבנית הארוכה שלו. השווה גם </w:t>
      </w:r>
      <w:proofErr w:type="spellStart"/>
      <w:r>
        <w:rPr>
          <w:rtl/>
        </w:rPr>
        <w:t>רבינר</w:t>
      </w:r>
      <w:proofErr w:type="spellEnd"/>
      <w:r>
        <w:rPr>
          <w:rtl/>
        </w:rPr>
        <w:t>, “הגאון רבי אליעזר גורדון”</w:t>
      </w:r>
      <w:bookmarkStart w:id="4244" w:name="_fnr3189"/>
      <w:r>
        <w:rPr>
          <w:vertAlign w:val="superscript"/>
          <w:rtl/>
        </w:rPr>
        <w:footnoteReference w:id="3197" w:customMarkFollows="0"/>
      </w:r>
      <w:bookmarkEnd w:id="4244"/>
      <w:r>
        <w:rPr>
          <w:rtl/>
        </w:rPr>
        <w:t>, על מאבקו הנמרץ של ר׳ לייזר גורדון לדחות את מחשבות התורה שהשתלטו עליו, כדי לקרוא קריאת שמע בכוונה; וכן פרק 3</w:t>
      </w:r>
      <w:bookmarkStart w:id="4245" w:name="_fnr3190"/>
      <w:r>
        <w:rPr>
          <w:vertAlign w:val="superscript"/>
          <w:rtl/>
        </w:rPr>
        <w:footnoteReference w:id="3198" w:customMarkFollows="0"/>
      </w:r>
      <w:bookmarkEnd w:id="4245"/>
      <w:r>
        <w:rPr>
          <w:rtl/>
        </w:rPr>
        <w:t xml:space="preserve"> בכרך זה, על ר׳ </w:t>
      </w:r>
      <w:proofErr w:type="spellStart"/>
      <w:r>
        <w:rPr>
          <w:rtl/>
        </w:rPr>
        <w:t>איצל׳ה</w:t>
      </w:r>
      <w:proofErr w:type="spellEnd"/>
      <w:r>
        <w:rPr>
          <w:rtl/>
        </w:rPr>
        <w:t xml:space="preserve"> </w:t>
      </w:r>
      <w:proofErr w:type="spellStart"/>
      <w:r>
        <w:rPr>
          <w:rtl/>
        </w:rPr>
        <w:t>פוניבז׳ר</w:t>
      </w:r>
      <w:proofErr w:type="spellEnd"/>
      <w:r>
        <w:rPr>
          <w:rtl/>
        </w:rPr>
        <w:t xml:space="preserve"> שהדחיק את מחשבותיו כדי להקשיב לקריאת התורה.</w:t>
      </w:r>
    </w:p>
    <w:p w14:paraId="45B58B79" w14:textId="36CD1F8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מפליא היה כיצד חש הסבא בכל נטייה קלה של התלמיד להתקדמות או לירידה. הוא היה עשוי לשנות לפתע את דעתו על תלמיד, עוד לפני שהבחינו אחרים אפילו ברמז של שינוי בו. אבל תהיה הערכתו את האדם אשר תהיה, מעולם לא הגיע אליה באמצעות הכללות. הוא הביא בחשבון את כל הצדדים שיכול היה לזהות כפועלים באישיותו של היחיד, ואיש לא נראה בעיניו שחור או לבן לגמרי. הוא הבחין במידותיו הטובות של אדם לצד מידותיו הרעות, ולהפך. לפיכך לא שלל שום אדם: גם במי שנראו כפחותים שבבני אדם ראה נבראים “בצלם אלוהים”, וממילא בעלי יכולת להגיע למדרגות הגבוהות ביותר</w:t>
      </w:r>
      <w:bookmarkStart w:id="4246" w:name="b4_text49"/>
      <w:bookmarkEnd w:id="4246"/>
      <w:r>
        <w:rPr>
          <w:sz w:val="18"/>
          <w:szCs w:val="18"/>
          <w:vertAlign w:val="superscript"/>
          <w:rtl/>
        </w:rPr>
        <w:fldChar w:fldCharType="begin" w:dirty="true"/>
      </w:r>
      <w:r>
        <w:rPr>
          <w:sz w:val="18"/>
          <w:szCs w:val="18"/>
          <w:vertAlign w:val="superscript"/>
          <w:rtl/>
        </w:rPr>
        <w:instrText xml:space="preserve"> REF b4_note49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49</w:t>
      </w:r>
      <w:r>
        <w:rPr>
          <w:sz w:val="18"/>
          <w:szCs w:val="18"/>
          <w:vertAlign w:val="superscript"/>
          <w:rtl/>
        </w:rPr>
        <w:fldChar w:fldCharType="end"/>
      </w:r>
      <w:r>
        <w:rPr>
          <w:rtl/>
        </w:rPr>
        <w:t>.</w:t>
      </w:r>
    </w:p>
    <w:bookmarkStart w:id="4247" w:name="b4_note49"/>
    <w:p w14:paraId="60B47BC5" w14:textId="77777777" w:rsidR="00AB3647" w:rsidRDefault="00000000" w:rsidP="007923E9">
      <w:pPr>
        <w:keepLines/>
        <w:spacing w:before="120" w:after="100" w:line="276" w:lineRule="auto"/>
        <w:jc w:val="both"/>
      </w:pPr>
      <w:r>
        <w:fldChar w:fldCharType="begin" w:dirty="true"/>
      </w:r>
      <w:r>
        <w:instrText>HYPERLINK \l "b4_text49" \h</w:instrText>
      </w:r>
      <w:r>
        <w:fldChar w:fldCharType="separate"/>
      </w:r>
      <w:r>
        <w:rPr>
          <w:b/>
          <w:bCs/>
          <w:rtl/>
        </w:rPr>
        <w:t>49</w:t>
      </w:r>
      <w:r>
        <w:rPr>
          <w:b/>
          <w:bCs/>
        </w:rPr>
        <w:fldChar w:fldCharType="end"/>
      </w:r>
      <w:bookmarkEnd w:id="4247"/>
      <w:r>
        <w:rPr>
          <w:rtl/>
        </w:rPr>
        <w:t xml:space="preserve"> פסקה זו מבוססת על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48" w:name="_fnr3191"/>
      <w:proofErr w:type="spellEnd"/>
      <w:r>
        <w:rPr>
          <w:vertAlign w:val="superscript"/>
          <w:rtl/>
        </w:rPr>
        <w:footnoteReference w:id="3199" w:customMarkFollows="0"/>
      </w:r>
      <w:bookmarkEnd w:id="4248"/>
      <w:r>
        <w:rPr>
          <w:rtl/>
        </w:rPr>
        <w:t>. לפי כץ, “תנועת המוסר”, כרך ג</w:t>
      </w:r>
      <w:bookmarkStart w:id="4249" w:name="_fnr3192"/>
      <w:r>
        <w:rPr>
          <w:vertAlign w:val="superscript"/>
          <w:rtl/>
        </w:rPr>
        <w:footnoteReference w:id="3200" w:customMarkFollows="0"/>
      </w:r>
      <w:bookmarkEnd w:id="4249"/>
      <w:r>
        <w:rPr>
          <w:rtl/>
        </w:rPr>
        <w:t>, ייחס הסבא חשיבות רבה לשורשי התלמיד – לייחוסו ולמקום מוצאו – על יסוד דברי חכמי התלמוד. הוא התקשה למצוא פגם בתלמידים שמוצאם ממשפחות טובות או מעיירות טובות, ולהפך: התקשה לראות בעין טובה תלמידים שרקעם היה רצוי פחות. את שורש הגנֵבה – נאמר, גנֵבת תפוח מעגלה – ראה בסבו של הגנב. הסב מוכרח היה להיות גונב דעת, כגון מי שמעמיד פני עניו ובאמת הוא בעל גאווה. בנו, אבי הגנב, כבר התקדם מן הסתם צעד נוסף, וגנב דבר תורה כדי לפרסמו בשמו. כל דור שבא אחר כך רק קירב את גנֵבת קודמו לתוצאתה הסופית בדור השלישי – גנֵבת תפוחים מעגלה.</w:t>
      </w:r>
    </w:p>
    <w:p w14:paraId="06FD141B" w14:textId="77777777" w:rsidR="00AB3647" w:rsidRDefault="00000000" w:rsidP="007923E9">
      <w:pPr>
        <w:keepLines/>
        <w:spacing w:before="120" w:after="100" w:line="276" w:lineRule="auto"/>
        <w:jc w:val="both"/>
      </w:pPr>
      <w:r>
        <w:rPr>
          <w:rtl/>
        </w:rPr>
        <w:lastRenderedPageBreak/>
        <w:t>השווה גם “תורת חיים”</w:t>
      </w:r>
      <w:bookmarkStart w:id="4250" w:name="_fnr3193"/>
      <w:r>
        <w:rPr>
          <w:vertAlign w:val="superscript"/>
          <w:rtl/>
        </w:rPr>
        <w:footnoteReference w:id="3201" w:customMarkFollows="0"/>
      </w:r>
      <w:bookmarkEnd w:id="4250"/>
      <w:r>
        <w:rPr>
          <w:rtl/>
        </w:rPr>
        <w:t xml:space="preserve">: ר׳ חיים </w:t>
      </w:r>
      <w:proofErr w:type="spellStart"/>
      <w:r>
        <w:rPr>
          <w:rtl/>
        </w:rPr>
        <w:t>סולובייצ׳יק</w:t>
      </w:r>
      <w:proofErr w:type="spellEnd"/>
      <w:r>
        <w:rPr>
          <w:rtl/>
        </w:rPr>
        <w:t xml:space="preserve"> אמר אמירה מפתיעה, ואחר כך ביאר אותה. הוא אמר: “לפעמים יכול לקרות שדווקא מפני שאב קיים מצוות בכל כוחו, יפרוץ בנו לחנותו של אדם כדי לגנוב את הסחורה”. והסביר שאם האב הונע מתאווה לשכר, אף שהשיג אותו באמצעות קיום מצוות, עשוי הבן לבקש שכר בדרכים אחרות. גישה זו נראית כמאשרת את דעת הסבא על ר׳ חיים, כפי שנרשמה בפרק 3, סוף הפסקה השלישית של נספח יד, שהוא בעל מוסר “שאינו יודע זאת”.</w:t>
      </w:r>
    </w:p>
    <w:p w14:paraId="35F8F3A0" w14:textId="77777777" w:rsidR="00AB3647" w:rsidRDefault="00000000" w:rsidP="007923E9">
      <w:pPr>
        <w:spacing w:after="120" w:line="276" w:lineRule="auto"/>
        <w:jc w:val="both"/>
      </w:pPr>
      <w:r>
        <w:rPr>
          <w:rtl/>
        </w:rPr>
        <w:t xml:space="preserve">בריאיון המוקלט עם ר׳ </w:t>
      </w:r>
      <w:proofErr w:type="spellStart"/>
      <w:r>
        <w:rPr>
          <w:rtl/>
        </w:rPr>
        <w:t>יעקב־יצחק</w:t>
      </w:r>
      <w:proofErr w:type="spellEnd"/>
      <w:r>
        <w:rPr>
          <w:rtl/>
        </w:rPr>
        <w:t xml:space="preserve"> </w:t>
      </w:r>
      <w:proofErr w:type="spellStart"/>
      <w:r>
        <w:rPr>
          <w:rtl/>
        </w:rPr>
        <w:t>רודרמן</w:t>
      </w:r>
      <w:bookmarkStart w:id="4251" w:name="_fnr3194"/>
      <w:proofErr w:type="spellEnd"/>
      <w:r>
        <w:rPr>
          <w:vertAlign w:val="superscript"/>
          <w:rtl/>
        </w:rPr>
        <w:footnoteReference w:id="3202" w:customMarkFollows="0"/>
      </w:r>
      <w:bookmarkEnd w:id="4251"/>
      <w:r>
        <w:rPr>
          <w:rtl/>
        </w:rPr>
        <w:t xml:space="preserve"> אמר המרואיין: “הסבא כמעט לא דיבר על תיקון המידות, מפני שלא האמין שאדם יכול לשנות את אופיו – </w:t>
      </w:r>
      <w:proofErr w:type="spellStart"/>
      <w:r>
        <w:rPr>
          <w:rtl/>
        </w:rPr>
        <w:t>בקלם</w:t>
      </w:r>
      <w:proofErr w:type="spellEnd"/>
      <w:r>
        <w:rPr>
          <w:rtl/>
        </w:rPr>
        <w:t xml:space="preserve"> סברו אחרת. הוא לא חיבב במיוחד את לימוד ספר חשבון הנפש</w:t>
      </w:r>
      <w:bookmarkStart w:id="4252" w:name="_fnr3195"/>
      <w:r>
        <w:rPr>
          <w:vertAlign w:val="superscript"/>
          <w:rtl/>
        </w:rPr>
        <w:footnoteReference w:id="3203" w:customMarkFollows="0"/>
      </w:r>
      <w:bookmarkEnd w:id="4252"/>
      <w:r>
        <w:rPr>
          <w:rtl/>
        </w:rPr>
        <w:t>. ר׳ אייזיק שר הוציאו לאור [</w:t>
      </w:r>
      <w:proofErr w:type="spellStart"/>
      <w:r>
        <w:rPr>
          <w:rtl/>
        </w:rPr>
        <w:t>בתרצ״ז</w:t>
      </w:r>
      <w:proofErr w:type="spellEnd"/>
      <w:r>
        <w:rPr>
          <w:rtl/>
        </w:rPr>
        <w:t xml:space="preserve">, ללימוד בישיבת </w:t>
      </w:r>
      <w:proofErr w:type="spellStart"/>
      <w:r>
        <w:rPr>
          <w:rtl/>
        </w:rPr>
        <w:t>סלבודקה</w:t>
      </w:r>
      <w:proofErr w:type="spellEnd"/>
      <w:r>
        <w:rPr>
          <w:rtl/>
        </w:rPr>
        <w:t xml:space="preserve"> שעמד אז בראשה], מפני שלא היה תלמיד הסבא במובן המדויק</w:t>
      </w:r>
      <w:bookmarkStart w:id="4253" w:name="_fnr3196"/>
      <w:r>
        <w:rPr>
          <w:vertAlign w:val="superscript"/>
          <w:rtl/>
        </w:rPr>
        <w:footnoteReference w:id="3204" w:customMarkFollows="0"/>
      </w:r>
      <w:bookmarkEnd w:id="4253"/>
      <w:r>
        <w:rPr>
          <w:rtl/>
        </w:rPr>
        <w:t xml:space="preserve">. הסבא סבר שאדם יכול לרסן את מידותיו הרעות רק באמצעות יראת שמים”. נראה שדעה זו אינה תואמת את דעת ר׳ אברהם </w:t>
      </w:r>
      <w:proofErr w:type="spellStart"/>
      <w:r>
        <w:rPr>
          <w:rtl/>
        </w:rPr>
        <w:t>גרודזינסקי</w:t>
      </w:r>
      <w:proofErr w:type="spellEnd"/>
      <w:r>
        <w:rPr>
          <w:rtl/>
        </w:rPr>
        <w:t>, המובאת בתחילת נספח ז.</w:t>
      </w:r>
    </w:p>
    <w:p w14:paraId="2AA71439" w14:textId="01C324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הסבא היה מחנך מעולה</w:t>
      </w:r>
      <w:bookmarkStart w:id="4254" w:name="b4_text50"/>
      <w:bookmarkEnd w:id="4254"/>
      <w:r>
        <w:rPr>
          <w:sz w:val="18"/>
          <w:szCs w:val="18"/>
          <w:vertAlign w:val="superscript"/>
          <w:rtl/>
        </w:rPr>
        <w:fldChar w:fldCharType="begin" w:dirty="true"/>
      </w:r>
      <w:r>
        <w:rPr>
          <w:sz w:val="18"/>
          <w:szCs w:val="18"/>
          <w:vertAlign w:val="superscript"/>
          <w:rtl/>
        </w:rPr>
        <w:instrText xml:space="preserve"> REF b4_note50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50</w:t>
      </w:r>
      <w:r>
        <w:rPr>
          <w:sz w:val="18"/>
          <w:szCs w:val="18"/>
          <w:vertAlign w:val="superscript"/>
          <w:rtl/>
        </w:rPr>
        <w:fldChar w:fldCharType="end"/>
      </w:r>
      <w:r>
        <w:rPr>
          <w:rtl/>
        </w:rPr>
        <w:t>, מפני שהתקדמותו שלו לא פסקה אף לרגע</w:t>
      </w:r>
      <w:bookmarkStart w:id="4255" w:name="b4_text51"/>
      <w:bookmarkEnd w:id="4255"/>
      <w:r>
        <w:rPr>
          <w:sz w:val="18"/>
          <w:szCs w:val="18"/>
          <w:vertAlign w:val="superscript"/>
          <w:rtl/>
        </w:rPr>
        <w:fldChar w:fldCharType="begin" w:dirty="true"/>
      </w:r>
      <w:r>
        <w:rPr>
          <w:sz w:val="18"/>
          <w:szCs w:val="18"/>
          <w:vertAlign w:val="superscript"/>
          <w:rtl/>
        </w:rPr>
        <w:instrText xml:space="preserve"> REF b4_note51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51</w:t>
      </w:r>
      <w:r>
        <w:rPr>
          <w:sz w:val="18"/>
          <w:szCs w:val="18"/>
          <w:vertAlign w:val="superscript"/>
          <w:rtl/>
        </w:rPr>
        <w:fldChar w:fldCharType="end"/>
      </w:r>
      <w:r>
        <w:rPr>
          <w:rtl/>
        </w:rPr>
        <w:t>. הוא נשאר צעיר ומתפתח תמיד. ביסודו</w:t>
      </w:r>
      <w:bookmarkStart w:id="4256" w:name="b4_text52"/>
      <w:bookmarkEnd w:id="4256"/>
      <w:r>
        <w:rPr>
          <w:sz w:val="18"/>
          <w:szCs w:val="18"/>
          <w:vertAlign w:val="superscript"/>
          <w:rtl/>
        </w:rPr>
        <w:fldChar w:fldCharType="begin" w:dirty="true"/>
      </w:r>
      <w:r>
        <w:rPr>
          <w:sz w:val="18"/>
          <w:szCs w:val="18"/>
          <w:vertAlign w:val="superscript"/>
          <w:rtl/>
        </w:rPr>
        <w:instrText xml:space="preserve"> REF b4_note52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52</w:t>
      </w:r>
      <w:r>
        <w:rPr>
          <w:sz w:val="18"/>
          <w:szCs w:val="18"/>
          <w:vertAlign w:val="superscript"/>
          <w:rtl/>
        </w:rPr>
        <w:fldChar w:fldCharType="end"/>
      </w:r>
      <w:r>
        <w:rPr>
          <w:rtl/>
        </w:rPr>
        <w:t xml:space="preserve"> היה רך ונעים, נוח לבריות, נבהל מכל דבר קטן</w:t>
      </w:r>
      <w:bookmarkStart w:id="4257" w:name="b4_text53"/>
      <w:bookmarkEnd w:id="4257"/>
      <w:r>
        <w:rPr>
          <w:sz w:val="18"/>
          <w:szCs w:val="18"/>
          <w:vertAlign w:val="superscript"/>
          <w:rtl/>
        </w:rPr>
        <w:fldChar w:fldCharType="begin" w:dirty="true"/>
      </w:r>
      <w:r>
        <w:rPr>
          <w:sz w:val="18"/>
          <w:szCs w:val="18"/>
          <w:vertAlign w:val="superscript"/>
          <w:rtl/>
        </w:rPr>
        <w:instrText xml:space="preserve"> REF b4_note53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53</w:t>
      </w:r>
      <w:r>
        <w:rPr>
          <w:sz w:val="18"/>
          <w:szCs w:val="18"/>
          <w:vertAlign w:val="superscript"/>
          <w:rtl/>
        </w:rPr>
        <w:fldChar w:fldCharType="end"/>
      </w:r>
      <w:r>
        <w:rPr>
          <w:rtl/>
        </w:rPr>
        <w:t xml:space="preserve"> ודואג לכל מאורע קל</w:t>
      </w:r>
      <w:bookmarkStart w:id="4258" w:name="b4_text54"/>
      <w:bookmarkEnd w:id="4258"/>
      <w:r>
        <w:rPr>
          <w:sz w:val="18"/>
          <w:szCs w:val="18"/>
          <w:vertAlign w:val="superscript"/>
          <w:rtl/>
        </w:rPr>
        <w:fldChar w:fldCharType="begin" w:dirty="true"/>
      </w:r>
      <w:r>
        <w:rPr>
          <w:sz w:val="18"/>
          <w:szCs w:val="18"/>
          <w:vertAlign w:val="superscript"/>
          <w:rtl/>
        </w:rPr>
        <w:instrText xml:space="preserve"> REF b4_note54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54</w:t>
      </w:r>
      <w:r>
        <w:rPr>
          <w:sz w:val="18"/>
          <w:szCs w:val="18"/>
          <w:vertAlign w:val="superscript"/>
          <w:rtl/>
        </w:rPr>
        <w:fldChar w:fldCharType="end"/>
      </w:r>
      <w:r>
        <w:rPr>
          <w:rtl/>
        </w:rPr>
        <w:t>.</w:t>
      </w:r>
    </w:p>
    <w:bookmarkStart w:id="4259" w:name="b4_note50"/>
    <w:p w14:paraId="66BF930A" w14:textId="365F3588" w:rsidR="00AB3647" w:rsidRDefault="00000000" w:rsidP="007923E9">
      <w:pPr>
        <w:spacing w:before="120" w:after="100" w:line="276" w:lineRule="auto"/>
        <w:jc w:val="both"/>
      </w:pPr>
      <w:r>
        <w:fldChar w:fldCharType="begin" w:dirty="true"/>
      </w:r>
      <w:r>
        <w:instrText>HYPERLINK \l "b4_text50" \h</w:instrText>
      </w:r>
      <w:r>
        <w:fldChar w:fldCharType="separate"/>
      </w:r>
      <w:r>
        <w:rPr>
          <w:b/>
          <w:bCs/>
          <w:rtl/>
        </w:rPr>
        <w:t>50</w:t>
      </w:r>
      <w:r>
        <w:rPr>
          <w:b/>
          <w:bCs/>
        </w:rPr>
        <w:fldChar w:fldCharType="end"/>
      </w:r>
      <w:bookmarkEnd w:id="4259"/>
      <w:r>
        <w:rPr>
          <w:rtl/>
        </w:rPr>
        <w:t xml:space="preserve"> ראה </w:t>
      </w:r>
      <w:r>
        <w:rPr>
          <w:rtl/>
        </w:rPr>
        <w:fldChar w:fldCharType="begin" w:dirty="true"/>
      </w:r>
      <w:r>
        <w:rPr>
          <w:rtl/>
        </w:rPr>
        <w:instrText xml:space="preserve"> REF b4_excG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4260" w:name="b4_note51"/>
    <w:p w14:paraId="5E78D9A5" w14:textId="77777777" w:rsidR="00AB3647" w:rsidRDefault="00000000" w:rsidP="007923E9">
      <w:pPr>
        <w:spacing w:before="120" w:after="100" w:line="276" w:lineRule="auto"/>
        <w:jc w:val="both"/>
      </w:pPr>
      <w:r>
        <w:fldChar w:fldCharType="begin" w:dirty="true"/>
      </w:r>
      <w:r>
        <w:instrText>HYPERLINK \l "b4_text51" \h</w:instrText>
      </w:r>
      <w:r>
        <w:fldChar w:fldCharType="separate"/>
      </w:r>
      <w:r>
        <w:rPr>
          <w:b/>
          <w:bCs/>
          <w:rtl/>
        </w:rPr>
        <w:t>51</w:t>
      </w:r>
      <w:r>
        <w:rPr>
          <w:b/>
          <w:bCs/>
        </w:rPr>
        <w:fldChar w:fldCharType="end"/>
      </w:r>
      <w:bookmarkEnd w:id="4260"/>
      <w:r>
        <w:rPr>
          <w:rtl/>
        </w:rPr>
        <w:t xml:space="preserve"> השווה את תחילת דברי ר׳ אברהם </w:t>
      </w:r>
      <w:proofErr w:type="spellStart"/>
      <w:r>
        <w:rPr>
          <w:rtl/>
        </w:rPr>
        <w:t>גרודזינסקי</w:t>
      </w:r>
      <w:proofErr w:type="spellEnd"/>
      <w:r>
        <w:rPr>
          <w:rtl/>
        </w:rPr>
        <w:t xml:space="preserve"> שהובאו בפסקה הראשונה של נספח ז, וכן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1" w:name="_fnr3197"/>
      <w:proofErr w:type="spellEnd"/>
      <w:r>
        <w:rPr>
          <w:vertAlign w:val="superscript"/>
          <w:rtl/>
        </w:rPr>
        <w:footnoteReference w:id="3205" w:customMarkFollows="0"/>
      </w:r>
      <w:bookmarkEnd w:id="4261"/>
      <w:r>
        <w:rPr>
          <w:rtl/>
        </w:rPr>
        <w:t xml:space="preserve">. ר׳ ניסן וקסמן מביא בספרו של </w:t>
      </w:r>
      <w:proofErr w:type="spellStart"/>
      <w:r>
        <w:rPr>
          <w:rtl/>
        </w:rPr>
        <w:t>רבינר</w:t>
      </w:r>
      <w:proofErr w:type="spellEnd"/>
      <w:r>
        <w:rPr>
          <w:rtl/>
        </w:rPr>
        <w:t xml:space="preserve"> על ר׳ </w:t>
      </w:r>
      <w:proofErr w:type="spellStart"/>
      <w:r>
        <w:rPr>
          <w:rtl/>
        </w:rPr>
        <w:t>יהודה־לייב</w:t>
      </w:r>
      <w:proofErr w:type="spellEnd"/>
      <w:r>
        <w:rPr>
          <w:rtl/>
        </w:rPr>
        <w:t xml:space="preserve"> פיין את דברי ר׳ </w:t>
      </w:r>
      <w:proofErr w:type="spellStart"/>
      <w:r>
        <w:rPr>
          <w:rtl/>
        </w:rPr>
        <w:t>יהודה־לייב</w:t>
      </w:r>
      <w:proofErr w:type="spellEnd"/>
      <w:r>
        <w:rPr>
          <w:rtl/>
        </w:rPr>
        <w:t xml:space="preserve">, שהיה תלמיד בסוף שנות </w:t>
      </w:r>
      <w:proofErr w:type="spellStart"/>
      <w:r>
        <w:rPr>
          <w:rtl/>
        </w:rPr>
        <w:t>התר״מ</w:t>
      </w:r>
      <w:proofErr w:type="spellEnd"/>
      <w:r>
        <w:rPr>
          <w:rtl/>
        </w:rPr>
        <w:t>:</w:t>
      </w:r>
      <w:bookmarkStart w:id="4262" w:name="_fnr3198"/>
      <w:r>
        <w:rPr>
          <w:vertAlign w:val="superscript"/>
          <w:rtl/>
        </w:rPr>
        <w:footnoteReference w:id="3206" w:customMarkFollows="0"/>
      </w:r>
      <w:bookmarkEnd w:id="4262"/>
      <w:r>
        <w:rPr>
          <w:rtl/>
        </w:rPr>
        <w:t xml:space="preserve"> “התבוננתי בדרכיו של הסבא ועיינתי בו היטב, ומצאתי שיותר משהיה מוכיח את תלמידיו – וזאת, כמובן, עשה תמיד – היה מוכיח את עצמו ובודק את כל מעשיו באופן מופלא”.</w:t>
      </w:r>
    </w:p>
    <w:bookmarkStart w:id="4263" w:name="b4_note52"/>
    <w:p w14:paraId="5D42882D" w14:textId="77777777" w:rsidR="00AB3647" w:rsidRDefault="00000000" w:rsidP="007923E9">
      <w:pPr>
        <w:spacing w:before="120" w:after="100" w:line="276" w:lineRule="auto"/>
        <w:jc w:val="both"/>
      </w:pPr>
      <w:r>
        <w:fldChar w:fldCharType="begin" w:dirty="true"/>
      </w:r>
      <w:r>
        <w:instrText>HYPERLINK \l "b4_text52" \h</w:instrText>
      </w:r>
      <w:r>
        <w:fldChar w:fldCharType="separate"/>
      </w:r>
      <w:r>
        <w:rPr>
          <w:b/>
          <w:bCs/>
          <w:rtl/>
        </w:rPr>
        <w:t>52</w:t>
      </w:r>
      <w:r>
        <w:rPr>
          <w:b/>
          <w:bCs/>
        </w:rPr>
        <w:fldChar w:fldCharType="end"/>
      </w:r>
      <w:bookmarkEnd w:id="4263"/>
      <w:r>
        <w:rPr>
          <w:rtl/>
        </w:rPr>
        <w:t xml:space="preserve"> משפט זה לקוח מספר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264" w:name="_fnr3199"/>
      <w:proofErr w:type="spellEnd"/>
      <w:r>
        <w:rPr>
          <w:vertAlign w:val="superscript"/>
          <w:rtl/>
        </w:rPr>
        <w:footnoteReference w:id="3207" w:customMarkFollows="0"/>
      </w:r>
      <w:bookmarkEnd w:id="4264"/>
      <w:r>
        <w:rPr>
          <w:rtl/>
        </w:rPr>
        <w:t>.</w:t>
      </w:r>
    </w:p>
    <w:bookmarkStart w:id="4265" w:name="b4_note53"/>
    <w:p w14:paraId="5C6EFC24" w14:textId="77777777" w:rsidR="00AB3647" w:rsidRDefault="00000000" w:rsidP="007923E9">
      <w:pPr>
        <w:spacing w:before="120" w:after="100" w:line="276" w:lineRule="auto"/>
        <w:jc w:val="both"/>
      </w:pPr>
      <w:r>
        <w:fldChar w:fldCharType="begin" w:dirty="true"/>
      </w:r>
      <w:r>
        <w:instrText>HYPERLINK \l "b4_text53" \h</w:instrText>
      </w:r>
      <w:r>
        <w:fldChar w:fldCharType="separate"/>
      </w:r>
      <w:r>
        <w:rPr>
          <w:b/>
          <w:bCs/>
          <w:rtl/>
        </w:rPr>
        <w:t>53</w:t>
      </w:r>
      <w:r>
        <w:rPr>
          <w:b/>
          <w:bCs/>
        </w:rPr>
        <w:fldChar w:fldCharType="end"/>
      </w:r>
      <w:bookmarkEnd w:id="4265"/>
      <w:r>
        <w:rPr>
          <w:rtl/>
        </w:rPr>
        <w:t xml:space="preserve"> הוא היה רגיש ביותר. </w:t>
      </w:r>
      <w:proofErr w:type="spellStart"/>
      <w:r>
        <w:rPr>
          <w:rtl/>
        </w:rPr>
        <w:t>ב“מינסק</w:t>
      </w:r>
      <w:proofErr w:type="spellEnd"/>
      <w:r>
        <w:rPr>
          <w:rtl/>
        </w:rPr>
        <w:t xml:space="preserve"> עיר ואם” א</w:t>
      </w:r>
      <w:bookmarkStart w:id="4266" w:name="_fnr3200"/>
      <w:r>
        <w:rPr>
          <w:vertAlign w:val="superscript"/>
          <w:rtl/>
        </w:rPr>
        <w:footnoteReference w:id="3208" w:customMarkFollows="0"/>
      </w:r>
      <w:bookmarkEnd w:id="4266"/>
      <w:r>
        <w:rPr>
          <w:rtl/>
        </w:rPr>
        <w:t xml:space="preserve"> מספר צבי גורדון בשם אחיו </w:t>
      </w:r>
      <w:proofErr w:type="spellStart"/>
      <w:r>
        <w:rPr>
          <w:rtl/>
        </w:rPr>
        <w:t>ישראל־שלמה</w:t>
      </w:r>
      <w:proofErr w:type="spellEnd"/>
      <w:r>
        <w:rPr>
          <w:rtl/>
        </w:rPr>
        <w:t xml:space="preserve"> גורדון ממינסק, תלמיד </w:t>
      </w:r>
      <w:proofErr w:type="spellStart"/>
      <w:r>
        <w:rPr>
          <w:rtl/>
        </w:rPr>
        <w:t>סלבודקה</w:t>
      </w:r>
      <w:proofErr w:type="spellEnd"/>
      <w:r>
        <w:rPr>
          <w:rtl/>
        </w:rPr>
        <w:t xml:space="preserve"> (תרס״ה–תרע״ב), שהסבא ביקש פעם </w:t>
      </w:r>
      <w:proofErr w:type="spellStart"/>
      <w:r>
        <w:rPr>
          <w:rtl/>
        </w:rPr>
        <w:t>מישראל־שלמה</w:t>
      </w:r>
      <w:proofErr w:type="spellEnd"/>
      <w:r>
        <w:rPr>
          <w:rtl/>
        </w:rPr>
        <w:t xml:space="preserve"> לשיר ניגון מאת ר׳ יעקב </w:t>
      </w:r>
      <w:proofErr w:type="spellStart"/>
      <w:r>
        <w:rPr>
          <w:rtl/>
        </w:rPr>
        <w:t>טלחנר</w:t>
      </w:r>
      <w:proofErr w:type="spellEnd"/>
      <w:r>
        <w:rPr>
          <w:rtl/>
        </w:rPr>
        <w:t xml:space="preserve">, מלחין חסידי. הסבא ישב כשמרפקיו נשענים על השולחן וכפות </w:t>
      </w:r>
      <w:r>
        <w:rPr>
          <w:rtl/>
        </w:rPr>
        <w:lastRenderedPageBreak/>
        <w:t xml:space="preserve">ידיו מכסות את פניו, </w:t>
      </w:r>
      <w:proofErr w:type="spellStart"/>
      <w:r>
        <w:rPr>
          <w:rtl/>
        </w:rPr>
        <w:t>וישראל־שלמה</w:t>
      </w:r>
      <w:proofErr w:type="spellEnd"/>
      <w:r>
        <w:rPr>
          <w:rtl/>
        </w:rPr>
        <w:t xml:space="preserve"> שר ניגון מרגש מאוד. כשסיים, חשף הסבא פנים רטובות מדמעות.</w:t>
      </w:r>
    </w:p>
    <w:p w14:paraId="28CBCA18" w14:textId="77777777" w:rsidR="00AB3647" w:rsidRDefault="00000000" w:rsidP="007923E9">
      <w:pPr>
        <w:spacing w:before="120" w:after="100" w:line="276" w:lineRule="auto"/>
        <w:jc w:val="both"/>
      </w:pPr>
      <w:r>
        <w:rPr>
          <w:rtl/>
        </w:rPr>
        <w:t xml:space="preserve">ר׳ </w:t>
      </w:r>
      <w:proofErr w:type="spellStart"/>
      <w:r>
        <w:rPr>
          <w:rtl/>
        </w:rPr>
        <w:t>ישראל־שלמה</w:t>
      </w:r>
      <w:proofErr w:type="spellEnd"/>
      <w:r>
        <w:rPr>
          <w:rtl/>
        </w:rPr>
        <w:t xml:space="preserve"> גורדון היה ממשפחה של חסידי </w:t>
      </w:r>
      <w:proofErr w:type="spellStart"/>
      <w:r>
        <w:rPr>
          <w:rtl/>
        </w:rPr>
        <w:t>קוידנוב</w:t>
      </w:r>
      <w:proofErr w:type="spellEnd"/>
      <w:r>
        <w:rPr>
          <w:rtl/>
        </w:rPr>
        <w:t>. הוא כתב על הסבא מאמר בכתב העת “היסוד”</w:t>
      </w:r>
      <w:bookmarkStart w:id="4267" w:name="_fnr3201"/>
      <w:r>
        <w:rPr>
          <w:vertAlign w:val="superscript"/>
          <w:rtl/>
        </w:rPr>
        <w:footnoteReference w:id="3209" w:customMarkFollows="0"/>
      </w:r>
      <w:bookmarkEnd w:id="4267"/>
      <w:r>
        <w:rPr>
          <w:rtl/>
        </w:rPr>
        <w:t>, המעיד על נטיית מחברו למוזיקה, שכן הוא מתאר בו את רבו במונחים פיוטיים ומוזיקליים: כינורו של דוד; הצלילים המהדהדים של ניגוני הסבא, שהרעידו את מיתרי לב תלמידיו; שירת מלאכים שהסבא ידע לקלוט; הוא שמע את השירה שבה ביקשו מלאכי השרת לשבח את אדם הראשון; ועוד</w:t>
      </w:r>
      <w:bookmarkStart w:id="4268" w:name="_fnr3202"/>
      <w:r>
        <w:rPr>
          <w:vertAlign w:val="superscript"/>
          <w:rtl/>
        </w:rPr>
        <w:footnoteReference w:id="3210" w:customMarkFollows="0"/>
      </w:r>
      <w:bookmarkEnd w:id="4268"/>
      <w:r>
        <w:rPr>
          <w:rtl/>
        </w:rPr>
        <w:t xml:space="preserve">. דוגמה נוספת לרגישותו המופלגת של ר׳ </w:t>
      </w:r>
      <w:proofErr w:type="spellStart"/>
      <w:r>
        <w:rPr>
          <w:rtl/>
        </w:rPr>
        <w:t>נתן־צבי</w:t>
      </w:r>
      <w:proofErr w:type="spellEnd"/>
      <w:r>
        <w:rPr>
          <w:rtl/>
        </w:rPr>
        <w:t xml:space="preserve"> </w:t>
      </w:r>
      <w:proofErr w:type="spellStart"/>
      <w:r>
        <w:rPr>
          <w:rtl/>
        </w:rPr>
        <w:t>פינקל</w:t>
      </w:r>
      <w:proofErr w:type="spellEnd"/>
      <w:r>
        <w:rPr>
          <w:rtl/>
        </w:rPr>
        <w:t xml:space="preserve"> הייתה שבחודשי חייו האחרונים בארץ ישראל לא היה מסוגל להוציא את לשונו בפני הרופא בשעת בדיקות רפואיות (!)</w:t>
      </w:r>
      <w:bookmarkStart w:id="4269" w:name="_fnr3203"/>
      <w:r>
        <w:rPr>
          <w:vertAlign w:val="superscript"/>
          <w:rtl/>
        </w:rPr>
        <w:footnoteReference w:id="3211" w:customMarkFollows="0"/>
      </w:r>
      <w:bookmarkEnd w:id="4269"/>
      <w:r>
        <w:rPr>
          <w:rtl/>
        </w:rPr>
        <w:t>.</w:t>
      </w:r>
    </w:p>
    <w:bookmarkStart w:id="4270" w:name="b4_note54"/>
    <w:p w14:paraId="2D14CC78" w14:textId="7D956E3C" w:rsidR="00AB3647" w:rsidRDefault="00000000" w:rsidP="007923E9">
      <w:pPr>
        <w:spacing w:before="120" w:after="100" w:line="276" w:lineRule="auto"/>
        <w:jc w:val="both"/>
      </w:pPr>
      <w:r>
        <w:fldChar w:fldCharType="begin" w:dirty="true"/>
      </w:r>
      <w:r>
        <w:instrText>HYPERLINK \l "b4_text54" \h</w:instrText>
      </w:r>
      <w:r>
        <w:fldChar w:fldCharType="separate"/>
      </w:r>
      <w:r>
        <w:rPr>
          <w:b/>
          <w:bCs/>
          <w:rtl/>
        </w:rPr>
        <w:t>54</w:t>
      </w:r>
      <w:r>
        <w:rPr>
          <w:b/>
          <w:bCs/>
        </w:rPr>
        <w:fldChar w:fldCharType="end"/>
      </w:r>
      <w:bookmarkEnd w:id="4270"/>
      <w:r>
        <w:rPr>
          <w:rtl/>
        </w:rPr>
        <w:t xml:space="preserve"> ראה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p w14:paraId="11F4D197" w14:textId="30F1BC3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מלחמתו הבלתי פוסקת למען האמת וחתירתו הנועזת אל מעמקי הנפש היו ביטויים של אומץ הנעורים שגילה כשעמד מול אתגרים להתפתחותו שלו. בהשתאות של צעיר התבונן בהישגיו והשווה אותם למה שהיה עשוי להיות לולא זכה לפגוש את מוריו</w:t>
      </w:r>
      <w:bookmarkStart w:id="4271" w:name="b4_text55"/>
      <w:bookmarkEnd w:id="4271"/>
      <w:r>
        <w:rPr>
          <w:sz w:val="18"/>
          <w:szCs w:val="18"/>
          <w:vertAlign w:val="superscript"/>
          <w:rtl/>
        </w:rPr>
        <w:fldChar w:fldCharType="begin" w:dirty="true"/>
      </w:r>
      <w:r>
        <w:rPr>
          <w:sz w:val="18"/>
          <w:szCs w:val="18"/>
          <w:vertAlign w:val="superscript"/>
          <w:rtl/>
        </w:rPr>
        <w:instrText xml:space="preserve"> REF b4_note55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55</w:t>
      </w:r>
      <w:r>
        <w:rPr>
          <w:sz w:val="18"/>
          <w:szCs w:val="18"/>
          <w:vertAlign w:val="superscript"/>
          <w:rtl/>
        </w:rPr>
        <w:fldChar w:fldCharType="end"/>
      </w:r>
      <w:r>
        <w:rPr>
          <w:rtl/>
        </w:rPr>
        <w:t>. לעיתים היה נכנס למצב רוח רע</w:t>
      </w:r>
      <w:bookmarkStart w:id="4272" w:name="b4_text56"/>
      <w:bookmarkEnd w:id="4272"/>
      <w:r>
        <w:rPr>
          <w:sz w:val="18"/>
          <w:szCs w:val="18"/>
          <w:vertAlign w:val="superscript"/>
          <w:rtl/>
        </w:rPr>
        <w:fldChar w:fldCharType="begin" w:dirty="true"/>
      </w:r>
      <w:r>
        <w:rPr>
          <w:sz w:val="18"/>
          <w:szCs w:val="18"/>
          <w:vertAlign w:val="superscript"/>
          <w:rtl/>
        </w:rPr>
        <w:instrText xml:space="preserve"> REF b4_note56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56</w:t>
      </w:r>
      <w:r>
        <w:rPr>
          <w:sz w:val="18"/>
          <w:szCs w:val="18"/>
          <w:vertAlign w:val="superscript"/>
          <w:rtl/>
        </w:rPr>
        <w:fldChar w:fldCharType="end"/>
      </w:r>
      <w:r>
        <w:rPr>
          <w:rtl/>
        </w:rPr>
        <w:t xml:space="preserve">, חסר סבלנות לשטחיותו של תלמיד או להתקדמותו הלקויה – בהשוואה להתקדמותו של הסבא עצמו. לפיכך יכול היה </w:t>
      </w:r>
      <w:proofErr w:type="spellStart"/>
      <w:r>
        <w:rPr>
          <w:rtl/>
        </w:rPr>
        <w:t>הדולהינובר</w:t>
      </w:r>
      <w:proofErr w:type="spellEnd"/>
      <w:r>
        <w:rPr>
          <w:rtl/>
        </w:rPr>
        <w:t xml:space="preserve"> </w:t>
      </w:r>
      <w:proofErr w:type="spellStart"/>
      <w:r>
        <w:rPr>
          <w:rtl/>
        </w:rPr>
        <w:t>לאמוד</w:t>
      </w:r>
      <w:proofErr w:type="spellEnd"/>
      <w:r>
        <w:rPr>
          <w:rtl/>
        </w:rPr>
        <w:t xml:space="preserve"> את התקדמותו </w:t>
      </w:r>
      <w:proofErr w:type="spellStart"/>
      <w:r>
        <w:rPr>
          <w:rtl/>
        </w:rPr>
        <w:t>בסלבודקה</w:t>
      </w:r>
      <w:proofErr w:type="spellEnd"/>
      <w:r>
        <w:rPr>
          <w:rtl/>
        </w:rPr>
        <w:t xml:space="preserve"> לפי יחסו של הסבא אליו.</w:t>
      </w:r>
    </w:p>
    <w:bookmarkStart w:id="4273" w:name="b4_note55"/>
    <w:p w14:paraId="781957F5" w14:textId="77777777" w:rsidR="00AB3647" w:rsidRDefault="00000000" w:rsidP="007923E9">
      <w:pPr>
        <w:spacing w:before="120" w:after="100" w:line="276" w:lineRule="auto"/>
        <w:jc w:val="both"/>
      </w:pPr>
      <w:r>
        <w:fldChar w:fldCharType="begin" w:dirty="true"/>
      </w:r>
      <w:r>
        <w:instrText>HYPERLINK \l "b4_text55" \h</w:instrText>
      </w:r>
      <w:r>
        <w:fldChar w:fldCharType="separate"/>
      </w:r>
      <w:r>
        <w:rPr>
          <w:b/>
          <w:bCs/>
          <w:rtl/>
        </w:rPr>
        <w:t>55</w:t>
      </w:r>
      <w:r>
        <w:rPr>
          <w:b/>
          <w:bCs/>
        </w:rPr>
        <w:fldChar w:fldCharType="end"/>
      </w:r>
      <w:bookmarkEnd w:id="4273"/>
      <w:r>
        <w:rPr>
          <w:rtl/>
        </w:rPr>
        <w:t xml:space="preserve"> </w:t>
      </w:r>
      <w:proofErr w:type="spellStart"/>
      <w:r>
        <w:rPr>
          <w:rtl/>
        </w:rPr>
        <w:t>ב“אור</w:t>
      </w:r>
      <w:proofErr w:type="spellEnd"/>
      <w:r>
        <w:rPr>
          <w:rtl/>
        </w:rPr>
        <w:t xml:space="preserve"> הצפון”</w:t>
      </w:r>
      <w:bookmarkStart w:id="4274" w:name="_fnr3204"/>
      <w:r>
        <w:rPr>
          <w:vertAlign w:val="superscript"/>
          <w:rtl/>
        </w:rPr>
        <w:footnoteReference w:id="3212" w:customMarkFollows="0"/>
      </w:r>
      <w:bookmarkEnd w:id="4274"/>
      <w:r>
        <w:rPr>
          <w:rtl/>
        </w:rPr>
        <w:t xml:space="preserve"> מובא אחד </w:t>
      </w:r>
      <w:proofErr w:type="spellStart"/>
      <w:r>
        <w:rPr>
          <w:rtl/>
        </w:rPr>
        <w:t>מ“שני</w:t>
      </w:r>
      <w:proofErr w:type="spellEnd"/>
      <w:r>
        <w:rPr>
          <w:rtl/>
        </w:rPr>
        <w:t xml:space="preserve"> מכתבים בלבד מאת הסבא שנודע על קיומם”</w:t>
      </w:r>
      <w:bookmarkStart w:id="4275" w:name="_fnr3205"/>
      <w:bookmarkStart w:id="4276" w:name="pr_f_3097"/>
      <w:r>
        <w:rPr>
          <w:vertAlign w:val="superscript"/>
          <w:rtl/>
        </w:rPr>
        <w:footnoteReference w:id="3213" w:customMarkFollows="0"/>
      </w:r>
      <w:bookmarkEnd w:id="4275"/>
      <w:bookmarkEnd w:id="4276"/>
      <w:r>
        <w:rPr>
          <w:rtl/>
        </w:rPr>
        <w:t>, וכך גם בספרו של כץ, “תנועת המוסר”, כרך ג</w:t>
      </w:r>
      <w:bookmarkStart w:id="4277" w:name="_fnr3206"/>
      <w:r>
        <w:rPr>
          <w:vertAlign w:val="superscript"/>
          <w:rtl/>
        </w:rPr>
        <w:footnoteReference w:id="3214" w:customMarkFollows="0"/>
      </w:r>
      <w:bookmarkEnd w:id="4277"/>
      <w:r>
        <w:rPr>
          <w:rtl/>
        </w:rPr>
        <w:t xml:space="preserve">. במכתב זה דחה ר׳ </w:t>
      </w:r>
      <w:proofErr w:type="spellStart"/>
      <w:r>
        <w:rPr>
          <w:rtl/>
        </w:rPr>
        <w:t>נתן־צבי</w:t>
      </w:r>
      <w:proofErr w:type="spellEnd"/>
      <w:r>
        <w:rPr>
          <w:rtl/>
        </w:rPr>
        <w:t xml:space="preserve"> </w:t>
      </w:r>
      <w:proofErr w:type="spellStart"/>
      <w:r>
        <w:rPr>
          <w:rtl/>
        </w:rPr>
        <w:t>פינקל</w:t>
      </w:r>
      <w:proofErr w:type="spellEnd"/>
      <w:r>
        <w:rPr>
          <w:rtl/>
        </w:rPr>
        <w:t xml:space="preserve"> בקשה לכתוב הקדמה לאוסף כתבי ר׳ </w:t>
      </w:r>
      <w:proofErr w:type="spellStart"/>
      <w:r>
        <w:rPr>
          <w:rtl/>
        </w:rPr>
        <w:t>שמחה־זיסל</w:t>
      </w:r>
      <w:proofErr w:type="spellEnd"/>
      <w:r>
        <w:rPr>
          <w:rtl/>
        </w:rPr>
        <w:t xml:space="preserve"> זיו, וכתב בין השאר: “ואני, בעת שזכות </w:t>
      </w:r>
      <w:proofErr w:type="spellStart"/>
      <w:r>
        <w:rPr>
          <w:rtl/>
        </w:rPr>
        <w:t>אבותי</w:t>
      </w:r>
      <w:proofErr w:type="spellEnd"/>
      <w:r>
        <w:rPr>
          <w:rtl/>
        </w:rPr>
        <w:t xml:space="preserve"> עמדה לי להתוודע אל אדמו״ר </w:t>
      </w:r>
      <w:proofErr w:type="spellStart"/>
      <w:r>
        <w:rPr>
          <w:rtl/>
        </w:rPr>
        <w:t>זצללה״ה</w:t>
      </w:r>
      <w:proofErr w:type="spellEnd"/>
      <w:r>
        <w:rPr>
          <w:rtl/>
        </w:rPr>
        <w:t xml:space="preserve"> ר׳ </w:t>
      </w:r>
      <w:proofErr w:type="spellStart"/>
      <w:r>
        <w:rPr>
          <w:rtl/>
        </w:rPr>
        <w:t>שמחה־זיסל</w:t>
      </w:r>
      <w:proofErr w:type="spellEnd"/>
      <w:r>
        <w:rPr>
          <w:rtl/>
        </w:rPr>
        <w:t xml:space="preserve"> זיו, בתחילה ראיתי בעיני החלשות, ככל גדולים רבים, עולם הפוך; אולם לאחר שנים אחדות התחלתי לראות במקצת כי כולנו תעינו מדרך השכל הישר. אור התורה האמיתי לא האיר לי, והמרתי אמת בשקר וטוב ברע, ואת צורת התורה בהפכה. אז התחלתי להבין כי האיש הזה, הדגול מרבבה, איננו אדם, אלא רוח ה׳ הי׳ דובר בו, בזכות שקיעתו הגדולה בתורה לשמה וההתבוננות בה, שעל ידה “זוכה לדברים הרבה”</w:t>
      </w:r>
      <w:bookmarkStart w:id="4278" w:name="_fnr3207"/>
      <w:r>
        <w:rPr>
          <w:vertAlign w:val="superscript"/>
          <w:rtl/>
        </w:rPr>
        <w:footnoteReference w:id="3215" w:customMarkFollows="0"/>
      </w:r>
      <w:bookmarkEnd w:id="4278"/>
      <w:r>
        <w:rPr>
          <w:rtl/>
        </w:rPr>
        <w:t>”.</w:t>
      </w:r>
    </w:p>
    <w:p w14:paraId="7F50447E" w14:textId="77777777" w:rsidR="00AB3647" w:rsidRDefault="00000000" w:rsidP="007923E9">
      <w:pPr>
        <w:spacing w:before="120" w:after="100" w:line="276" w:lineRule="auto"/>
        <w:jc w:val="both"/>
      </w:pPr>
      <w:r>
        <w:rPr>
          <w:rtl/>
        </w:rPr>
        <w:lastRenderedPageBreak/>
        <w:t xml:space="preserve">הסבא ייחס את פגישתו עם ר׳ </w:t>
      </w:r>
      <w:proofErr w:type="spellStart"/>
      <w:r>
        <w:rPr>
          <w:rtl/>
        </w:rPr>
        <w:t>שמחה־זיסל</w:t>
      </w:r>
      <w:proofErr w:type="spellEnd"/>
      <w:r>
        <w:rPr>
          <w:rtl/>
        </w:rPr>
        <w:t xml:space="preserve"> זיו </w:t>
      </w:r>
      <w:proofErr w:type="spellStart"/>
      <w:r>
        <w:rPr>
          <w:rtl/>
        </w:rPr>
        <w:t>ל“זכות</w:t>
      </w:r>
      <w:proofErr w:type="spellEnd"/>
      <w:r>
        <w:rPr>
          <w:rtl/>
        </w:rPr>
        <w:t xml:space="preserve"> אבותיו”, משום שנודע לאותו חכם בדרך עקיפה, בהשגחה פרטית</w:t>
      </w:r>
      <w:bookmarkStart w:id="4279" w:name="_fnr3208"/>
      <w:r>
        <w:rPr>
          <w:vertAlign w:val="superscript"/>
          <w:rtl/>
        </w:rPr>
        <w:footnoteReference w:id="3216" w:customMarkFollows="0"/>
      </w:r>
      <w:bookmarkEnd w:id="4279"/>
      <w:r>
        <w:rPr>
          <w:rtl/>
        </w:rPr>
        <w:t>. ר׳ לייזר לוין, תלמיד התלמוד תורה ותושב קלם במשך שנים רבות, מסר</w:t>
      </w:r>
      <w:bookmarkStart w:id="4280" w:name="_fnr3209"/>
      <w:r>
        <w:rPr>
          <w:vertAlign w:val="superscript"/>
          <w:rtl/>
        </w:rPr>
        <w:footnoteReference w:id="3217" w:customMarkFollows="0"/>
      </w:r>
      <w:bookmarkEnd w:id="4280"/>
      <w:r>
        <w:rPr>
          <w:rtl/>
        </w:rPr>
        <w:t xml:space="preserve"> מסורת מקלם על צעדיו הראשונים של ר׳ </w:t>
      </w:r>
      <w:proofErr w:type="spellStart"/>
      <w:r>
        <w:rPr>
          <w:rtl/>
        </w:rPr>
        <w:t>נתן־צבי</w:t>
      </w:r>
      <w:proofErr w:type="spellEnd"/>
      <w:r>
        <w:rPr>
          <w:rtl/>
        </w:rPr>
        <w:t xml:space="preserve"> </w:t>
      </w:r>
      <w:proofErr w:type="spellStart"/>
      <w:r>
        <w:rPr>
          <w:rtl/>
        </w:rPr>
        <w:t>פינקל</w:t>
      </w:r>
      <w:proofErr w:type="spellEnd"/>
      <w:r>
        <w:rPr>
          <w:rtl/>
        </w:rPr>
        <w:t xml:space="preserve"> שם, ומסורת זו מעידה על היבט נוסף בהשגחה שהוליכה אותו להיות תלמידו של ר׳ </w:t>
      </w:r>
      <w:proofErr w:type="spellStart"/>
      <w:r>
        <w:rPr>
          <w:rtl/>
        </w:rPr>
        <w:t>שמחה־זיסל</w:t>
      </w:r>
      <w:proofErr w:type="spellEnd"/>
      <w:r>
        <w:rPr>
          <w:rtl/>
        </w:rPr>
        <w:t xml:space="preserve"> זיו.</w:t>
      </w:r>
    </w:p>
    <w:p w14:paraId="45608498" w14:textId="77777777" w:rsidR="00AB3647" w:rsidRDefault="00000000" w:rsidP="007923E9">
      <w:pPr>
        <w:spacing w:after="120" w:line="276" w:lineRule="auto"/>
        <w:jc w:val="both"/>
      </w:pPr>
      <w:r>
        <w:rPr>
          <w:rtl/>
        </w:rPr>
        <w:t xml:space="preserve">כשבא ר׳ </w:t>
      </w:r>
      <w:proofErr w:type="spellStart"/>
      <w:r>
        <w:rPr>
          <w:rtl/>
        </w:rPr>
        <w:t>נתן־צבי</w:t>
      </w:r>
      <w:proofErr w:type="spellEnd"/>
      <w:r>
        <w:rPr>
          <w:rtl/>
        </w:rPr>
        <w:t xml:space="preserve"> הצעיר </w:t>
      </w:r>
      <w:proofErr w:type="spellStart"/>
      <w:r>
        <w:rPr>
          <w:rtl/>
        </w:rPr>
        <w:t>לקלם</w:t>
      </w:r>
      <w:proofErr w:type="spellEnd"/>
      <w:r>
        <w:rPr>
          <w:rtl/>
        </w:rPr>
        <w:t xml:space="preserve">, סברו תלמידיו הקרובים של ר׳ </w:t>
      </w:r>
      <w:proofErr w:type="spellStart"/>
      <w:r>
        <w:rPr>
          <w:rtl/>
        </w:rPr>
        <w:t>שמחה־זיסל</w:t>
      </w:r>
      <w:proofErr w:type="spellEnd"/>
      <w:r>
        <w:rPr>
          <w:rtl/>
        </w:rPr>
        <w:t xml:space="preserve"> שהוא “ארצי ומודרני מדי” מכדי להתאים להיות תלמיד במקום. אף על פי כן, מפני שהכירו בכישרונותיו הגדולים, החליטו לנסות, ושכנעו אותו לבקש רשות – תנאי מוקדם באותם ימים – להאזין לשיחת מוסר. שיחתו של ר׳ </w:t>
      </w:r>
      <w:proofErr w:type="spellStart"/>
      <w:r>
        <w:rPr>
          <w:rtl/>
        </w:rPr>
        <w:t>שמחה־זיסל</w:t>
      </w:r>
      <w:proofErr w:type="spellEnd"/>
      <w:r>
        <w:rPr>
          <w:rtl/>
        </w:rPr>
        <w:t xml:space="preserve"> זיו השפיעה עליו בעוצמה כה רבה, עד ששינה את דרך מחשבתו, וכך נפתחה לפניו הדרך להיות תלמידו.</w:t>
      </w:r>
    </w:p>
    <w:p w14:paraId="22CB8793" w14:textId="77777777" w:rsidR="00AB3647" w:rsidRDefault="00000000" w:rsidP="007923E9">
      <w:pPr>
        <w:spacing w:after="120" w:line="276" w:lineRule="auto"/>
        <w:jc w:val="both"/>
      </w:pPr>
      <w:r>
        <w:rPr>
          <w:rtl/>
        </w:rPr>
        <w:t xml:space="preserve">על כוחן של שיחות המוסר של ר׳ </w:t>
      </w:r>
      <w:proofErr w:type="spellStart"/>
      <w:r>
        <w:rPr>
          <w:rtl/>
        </w:rPr>
        <w:t>שמחה־זיסל</w:t>
      </w:r>
      <w:proofErr w:type="spellEnd"/>
      <w:r>
        <w:rPr>
          <w:rtl/>
        </w:rPr>
        <w:t xml:space="preserve"> סיפר המרואיין משל שהשמיע חתנו וממלא מקומו ר׳ הירש </w:t>
      </w:r>
      <w:proofErr w:type="spellStart"/>
      <w:r>
        <w:rPr>
          <w:rtl/>
        </w:rPr>
        <w:t>ברוידא</w:t>
      </w:r>
      <w:proofErr w:type="spellEnd"/>
      <w:r>
        <w:rPr>
          <w:rtl/>
        </w:rPr>
        <w:t xml:space="preserve">, כדי להמחיש את ההבדל בין “קלם” של חותנו לבין זו שלו. אמר ר׳ הירש: “כשקיבתו של אדם חולה, יכול מנתח לרפאו על ידי כריתת שלושה רבעים ממנה. אם אין בנמצא מומחה, ירשום הרופא הרגיל דיאטה מחמירה מאוד, שתאפשר לחולה להמשיך לחיות במצבו. הסבא ר׳ </w:t>
      </w:r>
      <w:proofErr w:type="spellStart"/>
      <w:r>
        <w:rPr>
          <w:rtl/>
        </w:rPr>
        <w:t>שמחה־זיסל</w:t>
      </w:r>
      <w:proofErr w:type="spellEnd"/>
      <w:r>
        <w:rPr>
          <w:rtl/>
        </w:rPr>
        <w:t xml:space="preserve"> זיו יכול היה בשיחה אחת לעקור את הרע מתוך האדם; כיום אנו לומדים תורה ומוסר ושומעים שיחות – והתלמוד תורה הוא כעין דיאטה, המחזיקה אותנו בחיים על אף חוליינו”.</w:t>
      </w:r>
    </w:p>
    <w:bookmarkStart w:id="4281" w:name="b4_note56"/>
    <w:p w14:paraId="751CC966" w14:textId="77777777" w:rsidR="00AB3647" w:rsidRDefault="00000000" w:rsidP="007923E9">
      <w:pPr>
        <w:spacing w:before="120" w:after="100" w:line="276" w:lineRule="auto"/>
        <w:jc w:val="both"/>
      </w:pPr>
      <w:r>
        <w:fldChar w:fldCharType="begin" w:dirty="true"/>
      </w:r>
      <w:r>
        <w:instrText>HYPERLINK \l "b4_text56" \h</w:instrText>
      </w:r>
      <w:r>
        <w:fldChar w:fldCharType="separate"/>
      </w:r>
      <w:r>
        <w:rPr>
          <w:b/>
          <w:bCs/>
          <w:rtl/>
        </w:rPr>
        <w:t>56</w:t>
      </w:r>
      <w:r>
        <w:rPr>
          <w:b/>
          <w:bCs/>
        </w:rPr>
        <w:fldChar w:fldCharType="end"/>
      </w:r>
      <w:bookmarkEnd w:id="4281"/>
      <w:r>
        <w:rPr>
          <w:rtl/>
        </w:rPr>
        <w:t xml:space="preserve"> ריאיון עם ר׳ </w:t>
      </w:r>
      <w:proofErr w:type="spellStart"/>
      <w:r>
        <w:rPr>
          <w:rtl/>
        </w:rPr>
        <w:t>יוסף־דוד</w:t>
      </w:r>
      <w:proofErr w:type="spellEnd"/>
      <w:r>
        <w:rPr>
          <w:rtl/>
        </w:rPr>
        <w:t xml:space="preserve"> אפשטיין, שאבי סיפר לו את העובדה המפתיעה הזאת</w:t>
      </w:r>
      <w:bookmarkStart w:id="4282" w:name="_fnr3210"/>
      <w:r>
        <w:rPr>
          <w:vertAlign w:val="superscript"/>
          <w:rtl/>
        </w:rPr>
        <w:footnoteReference w:id="3218" w:customMarkFollows="0"/>
      </w:r>
      <w:bookmarkEnd w:id="4282"/>
      <w:r>
        <w:rPr>
          <w:rtl/>
        </w:rPr>
        <w:t>. השווה גם פרק 3, תחילת הפסקה השנייה של נספח ד, לדוגמה למקרה שבו כעס הסבא – אבל מסיבה אחרת מזו המתוארת כאן.</w:t>
      </w:r>
    </w:p>
    <w:p w14:paraId="6C673454" w14:textId="77777777" w:rsidR="00AB3647" w:rsidRDefault="00000000" w:rsidP="007923E9">
      <w:pPr>
        <w:pStyle w:val="2"/>
        <w:spacing w:after="160" w:line="276" w:lineRule="auto"/>
      </w:pPr>
      <w:bookmarkStart w:id="4283" w:name="b4_sec2"/>
      <w:r>
        <w:rPr>
          <w:sz w:val="26"/>
          <w:szCs w:val="26"/>
        </w:rPr>
        <w:t>2.</w:t>
      </w:r>
      <w:bookmarkEnd w:id="4283"/>
    </w:p>
    <w:p w14:paraId="4E4F7878" w14:textId="7098468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עם תחילת זמן הקיץ משכו שקידתו יוצאת הדופן של גיבור סיפורנו, חריפותו הבלתי מתבלטת ואופיו הנעים את תשומת לבם של שאר הבחורים בישיבה, ובהם גם התלמידים המבוגרים. מקומו של הסבא בבית המדרש לא היה בחזית, ליד הקיר המזרחי שבו עמד ראש הישיבה, אלא באמצע, לאורך הקיר הצפוני</w:t>
      </w:r>
      <w:bookmarkStart w:id="4284" w:name="b4_text57"/>
      <w:bookmarkEnd w:id="4284"/>
      <w:r>
        <w:rPr>
          <w:sz w:val="18"/>
          <w:szCs w:val="18"/>
          <w:vertAlign w:val="superscript"/>
          <w:rtl/>
        </w:rPr>
        <w:fldChar w:fldCharType="begin" w:dirty="true"/>
      </w:r>
      <w:r>
        <w:rPr>
          <w:sz w:val="18"/>
          <w:szCs w:val="18"/>
          <w:vertAlign w:val="superscript"/>
          <w:rtl/>
        </w:rPr>
        <w:instrText xml:space="preserve"> REF b4_note57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57</w:t>
      </w:r>
      <w:r>
        <w:rPr>
          <w:sz w:val="18"/>
          <w:szCs w:val="18"/>
          <w:vertAlign w:val="superscript"/>
          <w:rtl/>
        </w:rPr>
        <w:fldChar w:fldCharType="end"/>
      </w:r>
      <w:r>
        <w:rPr>
          <w:rtl/>
        </w:rPr>
        <w:t xml:space="preserve">. למרבה מזלו זכה </w:t>
      </w:r>
      <w:proofErr w:type="spellStart"/>
      <w:r>
        <w:rPr>
          <w:rtl/>
        </w:rPr>
        <w:t>הדולהינובר</w:t>
      </w:r>
      <w:proofErr w:type="spellEnd"/>
      <w:r>
        <w:rPr>
          <w:rtl/>
        </w:rPr>
        <w:t xml:space="preserve"> למקום ישיבה לא רחוק מן הסבא, והיה מתבונן בריכוז במשגיח בשעת תפילתו ועוקב אחר כל תנועה שלו. הוא ראה כיצד הסבא מרכז את כל ישותו בתפילה</w:t>
      </w:r>
      <w:bookmarkStart w:id="4285" w:name="b4_text58"/>
      <w:bookmarkEnd w:id="4285"/>
      <w:r>
        <w:rPr>
          <w:sz w:val="18"/>
          <w:szCs w:val="18"/>
          <w:vertAlign w:val="superscript"/>
          <w:rtl/>
        </w:rPr>
        <w:fldChar w:fldCharType="begin" w:dirty="true"/>
      </w:r>
      <w:r>
        <w:rPr>
          <w:sz w:val="18"/>
          <w:szCs w:val="18"/>
          <w:vertAlign w:val="superscript"/>
          <w:rtl/>
        </w:rPr>
        <w:instrText xml:space="preserve"> REF b4_note58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58</w:t>
      </w:r>
      <w:r>
        <w:rPr>
          <w:sz w:val="18"/>
          <w:szCs w:val="18"/>
          <w:vertAlign w:val="superscript"/>
          <w:rtl/>
        </w:rPr>
        <w:fldChar w:fldCharType="end"/>
      </w:r>
      <w:r>
        <w:rPr>
          <w:rtl/>
        </w:rPr>
        <w:t>, ומקיים לא רק כל דרישה הלכתית</w:t>
      </w:r>
      <w:bookmarkStart w:id="4286" w:name="b4_text59"/>
      <w:bookmarkEnd w:id="4286"/>
      <w:r>
        <w:rPr>
          <w:sz w:val="18"/>
          <w:szCs w:val="18"/>
          <w:vertAlign w:val="superscript"/>
          <w:rtl/>
        </w:rPr>
        <w:fldChar w:fldCharType="begin" w:dirty="true"/>
      </w:r>
      <w:r>
        <w:rPr>
          <w:sz w:val="18"/>
          <w:szCs w:val="18"/>
          <w:vertAlign w:val="superscript"/>
          <w:rtl/>
        </w:rPr>
        <w:instrText xml:space="preserve"> REF b4_note59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59</w:t>
      </w:r>
      <w:r>
        <w:rPr>
          <w:sz w:val="18"/>
          <w:szCs w:val="18"/>
          <w:vertAlign w:val="superscript"/>
          <w:rtl/>
        </w:rPr>
        <w:fldChar w:fldCharType="end"/>
      </w:r>
      <w:r>
        <w:rPr>
          <w:rtl/>
        </w:rPr>
        <w:t xml:space="preserve"> אלא גם כל מה שמשתמע ממנה.</w:t>
      </w:r>
    </w:p>
    <w:bookmarkStart w:id="4287" w:name="b4_note57"/>
    <w:p w14:paraId="59CD7A78" w14:textId="77777777" w:rsidR="00AB3647" w:rsidRDefault="00000000" w:rsidP="007923E9">
      <w:pPr>
        <w:spacing w:before="120" w:after="100" w:line="276" w:lineRule="auto"/>
        <w:jc w:val="both"/>
      </w:pPr>
      <w:r>
        <w:lastRenderedPageBreak/>
        <w:fldChar w:fldCharType="begin" w:dirty="true"/>
      </w:r>
      <w:r>
        <w:instrText>HYPERLINK \l "b4_text57" \h</w:instrText>
      </w:r>
      <w:r>
        <w:fldChar w:fldCharType="separate"/>
      </w:r>
      <w:r>
        <w:rPr>
          <w:b/>
          <w:bCs/>
          <w:rtl/>
        </w:rPr>
        <w:t>57</w:t>
      </w:r>
      <w:r>
        <w:rPr>
          <w:b/>
          <w:bCs/>
        </w:rPr>
        <w:fldChar w:fldCharType="end"/>
      </w:r>
      <w:bookmarkEnd w:id="4287"/>
      <w:r>
        <w:rPr>
          <w:rtl/>
        </w:rPr>
        <w:t xml:space="preserve"> לדברי ר׳ אביגדור מילר</w:t>
      </w:r>
      <w:bookmarkStart w:id="4288" w:name="_fnr3211"/>
      <w:r>
        <w:rPr>
          <w:vertAlign w:val="superscript"/>
          <w:rtl/>
        </w:rPr>
        <w:footnoteReference w:id="3219" w:customMarkFollows="0"/>
      </w:r>
      <w:bookmarkEnd w:id="4288"/>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לא עמד בחזית קהל התלמידים. המרואיין לא ידע לקבוע את מקומו המדויק, משום שבא </w:t>
      </w:r>
      <w:proofErr w:type="spellStart"/>
      <w:r>
        <w:rPr>
          <w:rtl/>
        </w:rPr>
        <w:t>לסלבודקה</w:t>
      </w:r>
      <w:proofErr w:type="spellEnd"/>
      <w:r>
        <w:rPr>
          <w:rtl/>
        </w:rPr>
        <w:t xml:space="preserve"> בשנת תרצ״ב, שש שנים אחרי שר׳ </w:t>
      </w:r>
      <w:proofErr w:type="spellStart"/>
      <w:r>
        <w:rPr>
          <w:rtl/>
        </w:rPr>
        <w:t>נתן־צבי</w:t>
      </w:r>
      <w:proofErr w:type="spellEnd"/>
      <w:r>
        <w:rPr>
          <w:rtl/>
        </w:rPr>
        <w:t xml:space="preserve"> עבר לארץ ישראל וחמש שנים אחרי פטירתו שם. ר׳ </w:t>
      </w:r>
      <w:proofErr w:type="spellStart"/>
      <w:r>
        <w:rPr>
          <w:rtl/>
        </w:rPr>
        <w:t>אלעזר־מנחם־מן</w:t>
      </w:r>
      <w:proofErr w:type="spellEnd"/>
      <w:r>
        <w:rPr>
          <w:rtl/>
        </w:rPr>
        <w:t xml:space="preserve"> שך</w:t>
      </w:r>
      <w:bookmarkStart w:id="4289" w:name="_fnr3212"/>
      <w:r>
        <w:rPr>
          <w:vertAlign w:val="superscript"/>
          <w:rtl/>
        </w:rPr>
        <w:footnoteReference w:id="3220" w:customMarkFollows="0"/>
      </w:r>
      <w:bookmarkEnd w:id="4289"/>
      <w:r>
        <w:rPr>
          <w:rtl/>
        </w:rPr>
        <w:t xml:space="preserve">, לעומת זאת, מסר את מקומו המדויק, וסיפר שבמוצאי שבת היה ר׳ </w:t>
      </w:r>
      <w:proofErr w:type="spellStart"/>
      <w:r>
        <w:rPr>
          <w:rtl/>
        </w:rPr>
        <w:t>נתן־צבי</w:t>
      </w:r>
      <w:proofErr w:type="spellEnd"/>
      <w:r>
        <w:rPr>
          <w:rtl/>
        </w:rPr>
        <w:t xml:space="preserve"> </w:t>
      </w:r>
      <w:proofErr w:type="spellStart"/>
      <w:r>
        <w:rPr>
          <w:rtl/>
        </w:rPr>
        <w:t>פינקל</w:t>
      </w:r>
      <w:proofErr w:type="spellEnd"/>
      <w:r>
        <w:rPr>
          <w:rtl/>
        </w:rPr>
        <w:t xml:space="preserve"> עובר בכל בית המדרש ומברך כל אחד ב“אַ </w:t>
      </w:r>
      <w:proofErr w:type="spellStart"/>
      <w:r>
        <w:rPr>
          <w:rtl/>
        </w:rPr>
        <w:t>גוטע</w:t>
      </w:r>
      <w:proofErr w:type="spellEnd"/>
      <w:r>
        <w:rPr>
          <w:rtl/>
        </w:rPr>
        <w:t xml:space="preserve"> </w:t>
      </w:r>
      <w:proofErr w:type="spellStart"/>
      <w:r>
        <w:rPr>
          <w:rtl/>
        </w:rPr>
        <w:t>וואָך</w:t>
      </w:r>
      <w:proofErr w:type="spellEnd"/>
      <w:r>
        <w:rPr>
          <w:rtl/>
        </w:rPr>
        <w:t>” – שבוע טוב. אם היו תלמידים עסוקים בשיחה, המתין מן הצד עד שיכול היה להשתלב ולברך אותם.</w:t>
      </w:r>
    </w:p>
    <w:p w14:paraId="3AE0367E" w14:textId="77777777" w:rsidR="00AB3647" w:rsidRDefault="00000000" w:rsidP="007923E9">
      <w:pPr>
        <w:spacing w:after="120" w:line="276" w:lineRule="auto"/>
        <w:jc w:val="both"/>
      </w:pPr>
      <w:r>
        <w:rPr>
          <w:rtl/>
        </w:rPr>
        <w:t xml:space="preserve">ר׳ </w:t>
      </w:r>
      <w:proofErr w:type="spellStart"/>
      <w:r>
        <w:rPr>
          <w:rtl/>
        </w:rPr>
        <w:t>אלעזר־מנחם־מן</w:t>
      </w:r>
      <w:proofErr w:type="spellEnd"/>
      <w:r>
        <w:rPr>
          <w:rtl/>
        </w:rPr>
        <w:t xml:space="preserve"> שך לא ידע לספר כיצד נהג הסבא בברכות “</w:t>
      </w:r>
      <w:proofErr w:type="spellStart"/>
      <w:r>
        <w:rPr>
          <w:rtl/>
        </w:rPr>
        <w:t>גוט</w:t>
      </w:r>
      <w:proofErr w:type="spellEnd"/>
      <w:r>
        <w:rPr>
          <w:rtl/>
        </w:rPr>
        <w:t xml:space="preserve"> שבת” בליל שבת ובשבת בבוקר. עדותו סותרת בשני פרטים – שהבחורים הם שעברו לפני הסבא, ושהם שהקדימו לברכו – את התיאור </w:t>
      </w:r>
      <w:proofErr w:type="spellStart"/>
      <w:r>
        <w:rPr>
          <w:rtl/>
        </w:rPr>
        <w:t>ב“שמושה</w:t>
      </w:r>
      <w:proofErr w:type="spellEnd"/>
      <w:r>
        <w:rPr>
          <w:rtl/>
        </w:rPr>
        <w:t xml:space="preserve"> של תורה”</w:t>
      </w:r>
      <w:bookmarkStart w:id="4290" w:name="_fnr3213"/>
      <w:r>
        <w:rPr>
          <w:vertAlign w:val="superscript"/>
          <w:rtl/>
        </w:rPr>
        <w:footnoteReference w:id="3221" w:customMarkFollows="0"/>
      </w:r>
      <w:bookmarkEnd w:id="4290"/>
      <w:r>
        <w:rPr>
          <w:rtl/>
        </w:rPr>
        <w:t xml:space="preserve">. לפי תיאור זה, במוצאי שבת, כאשר </w:t>
      </w:r>
      <w:r>
        <w:rPr>
          <w:b/>
          <w:bCs/>
          <w:rtl/>
        </w:rPr>
        <w:t>עברו</w:t>
      </w:r>
      <w:r>
        <w:rPr>
          <w:rtl/>
        </w:rPr>
        <w:t xml:space="preserve"> הבחורים לפני הסבא לברכו ולהתברך ב“</w:t>
      </w:r>
      <w:r>
        <w:rPr>
          <w:b/>
          <w:bCs/>
          <w:rtl/>
        </w:rPr>
        <w:t xml:space="preserve">אַ </w:t>
      </w:r>
      <w:proofErr w:type="spellStart"/>
      <w:r>
        <w:rPr>
          <w:b/>
          <w:bCs/>
          <w:rtl/>
        </w:rPr>
        <w:t>גוטע</w:t>
      </w:r>
      <w:proofErr w:type="spellEnd"/>
      <w:r>
        <w:rPr>
          <w:b/>
          <w:bCs/>
          <w:rtl/>
        </w:rPr>
        <w:t xml:space="preserve"> </w:t>
      </w:r>
      <w:proofErr w:type="spellStart"/>
      <w:r>
        <w:rPr>
          <w:b/>
          <w:bCs/>
          <w:rtl/>
        </w:rPr>
        <w:t>וואָך</w:t>
      </w:r>
      <w:proofErr w:type="spellEnd"/>
      <w:r>
        <w:rPr>
          <w:rtl/>
        </w:rPr>
        <w:t>”, עמד על כך ש</w:t>
      </w:r>
      <w:r>
        <w:rPr>
          <w:b/>
          <w:bCs/>
          <w:rtl/>
        </w:rPr>
        <w:t>הבחורים יקדימו לברך אותו</w:t>
      </w:r>
      <w:r>
        <w:rPr>
          <w:rtl/>
        </w:rPr>
        <w:t>, ורק אחר כך השיב להם, כדי לחנכם לדרך ארץ ולמנהג “להיות מקדים בשלום”</w:t>
      </w:r>
      <w:bookmarkStart w:id="4291" w:name="_fnr3214"/>
      <w:r>
        <w:rPr>
          <w:vertAlign w:val="superscript"/>
          <w:rtl/>
        </w:rPr>
        <w:footnoteReference w:id="3222" w:customMarkFollows="0"/>
      </w:r>
      <w:bookmarkEnd w:id="4291"/>
      <w:r>
        <w:rPr>
          <w:rtl/>
        </w:rPr>
        <w:t>.</w:t>
      </w:r>
    </w:p>
    <w:p w14:paraId="46976500" w14:textId="77777777" w:rsidR="00AB3647" w:rsidRDefault="00000000" w:rsidP="007923E9">
      <w:pPr>
        <w:spacing w:after="120" w:line="276" w:lineRule="auto"/>
        <w:jc w:val="both"/>
      </w:pPr>
      <w:r>
        <w:rPr>
          <w:rtl/>
        </w:rPr>
        <w:t xml:space="preserve">מצאתי גם מקור כתוב נוסף למקומו של הסבא בבית המדרש: במאמר הספד מאת הרב מנחם מנדל שוק </w:t>
      </w:r>
      <w:proofErr w:type="spellStart"/>
      <w:r>
        <w:rPr>
          <w:rtl/>
        </w:rPr>
        <w:t>ב“הדואר</w:t>
      </w:r>
      <w:proofErr w:type="spellEnd"/>
      <w:r>
        <w:rPr>
          <w:rtl/>
        </w:rPr>
        <w:t>”</w:t>
      </w:r>
      <w:bookmarkStart w:id="4292" w:name="_fnr3215"/>
      <w:r>
        <w:rPr>
          <w:vertAlign w:val="superscript"/>
          <w:rtl/>
        </w:rPr>
        <w:footnoteReference w:id="3223" w:customMarkFollows="0"/>
      </w:r>
      <w:bookmarkEnd w:id="4292"/>
      <w:r>
        <w:rPr>
          <w:rtl/>
        </w:rPr>
        <w:t xml:space="preserve">, שהתפרסם עשרים ותשע שנים אחרי פטירת הסבא, נאמר: “מעולם לא ישב </w:t>
      </w:r>
      <w:proofErr w:type="spellStart"/>
      <w:r>
        <w:rPr>
          <w:rtl/>
        </w:rPr>
        <w:t>ב‘מזרח</w:t>
      </w:r>
      <w:proofErr w:type="spellEnd"/>
      <w:r>
        <w:rPr>
          <w:rtl/>
        </w:rPr>
        <w:t xml:space="preserve">’ [השורה שליד הקיר המזרחי, בחזית קהל התלמידים]; מקומו היה בפינה, על אחד הספסלים שבצד הצפוני”</w:t>
      </w:r>
      <w:bookmarkStart w:id="4293" w:name="_fnr3216"/>
      <w:r>
        <w:rPr>
          <w:vertAlign w:val="superscript"/>
          <w:rtl/>
        </w:rPr>
        <w:footnoteReference w:id="3224" w:customMarkFollows="0"/>
      </w:r>
      <w:bookmarkEnd w:id="4293"/>
      <w:r>
        <w:rPr>
          <w:rtl/>
        </w:rPr>
        <w:t>.</w:t>
      </w:r>
    </w:p>
    <w:bookmarkStart w:id="4294" w:name="b4_note58"/>
    <w:p w14:paraId="390A9A0D" w14:textId="77777777" w:rsidR="00AB3647" w:rsidRDefault="00000000" w:rsidP="007923E9">
      <w:pPr>
        <w:spacing w:before="120" w:after="100" w:line="276" w:lineRule="auto"/>
        <w:jc w:val="both"/>
      </w:pPr>
      <w:r>
        <w:fldChar w:fldCharType="begin" w:dirty="true"/>
      </w:r>
      <w:r>
        <w:instrText>HYPERLINK \l "b4_text58" \h</w:instrText>
      </w:r>
      <w:r>
        <w:fldChar w:fldCharType="separate"/>
      </w:r>
      <w:r>
        <w:rPr>
          <w:b/>
          <w:bCs/>
          <w:rtl/>
        </w:rPr>
        <w:t>58</w:t>
      </w:r>
      <w:r>
        <w:rPr>
          <w:b/>
          <w:bCs/>
        </w:rPr>
        <w:fldChar w:fldCharType="end"/>
      </w:r>
      <w:bookmarkEnd w:id="4294"/>
      <w:r>
        <w:rPr>
          <w:rtl/>
        </w:rPr>
        <w:t xml:space="preserve"> בריאיון המוקלט על הסבא </w:t>
      </w:r>
      <w:proofErr w:type="spellStart"/>
      <w:r>
        <w:rPr>
          <w:rtl/>
        </w:rPr>
        <w:t>מסלבודקה</w:t>
      </w:r>
      <w:bookmarkStart w:id="4295" w:name="_fnr3217"/>
      <w:proofErr w:type="spellEnd"/>
      <w:r>
        <w:rPr>
          <w:vertAlign w:val="superscript"/>
          <w:rtl/>
        </w:rPr>
        <w:footnoteReference w:id="3225" w:customMarkFollows="0"/>
      </w:r>
      <w:bookmarkEnd w:id="4295"/>
      <w:r>
        <w:rPr>
          <w:rtl/>
        </w:rPr>
        <w:t xml:space="preserve"> סיפר אבי שני מעשים הממחישים את ריכוזו של הסבא בתפילה</w:t>
      </w:r>
      <w:bookmarkStart w:id="4296" w:name="_fnr3218"/>
      <w:r>
        <w:rPr>
          <w:vertAlign w:val="superscript"/>
          <w:rtl/>
        </w:rPr>
        <w:footnoteReference w:id="3226" w:customMarkFollows="0"/>
      </w:r>
      <w:bookmarkEnd w:id="4296"/>
      <w:r>
        <w:rPr>
          <w:rtl/>
        </w:rPr>
        <w:t xml:space="preserve">. הראשון אירע ביער </w:t>
      </w:r>
      <w:proofErr w:type="spellStart"/>
      <w:r>
        <w:rPr>
          <w:rtl/>
        </w:rPr>
        <w:t>רומשישוק</w:t>
      </w:r>
      <w:proofErr w:type="spellEnd"/>
      <w:r>
        <w:rPr>
          <w:rtl/>
        </w:rPr>
        <w:t xml:space="preserve">, שאליו נסע הסבא לנפוש בקיץ שלפני המלחמה. בשעה שעמד בתפילת </w:t>
      </w:r>
      <w:proofErr w:type="spellStart"/>
      <w:r>
        <w:rPr>
          <w:rtl/>
        </w:rPr>
        <w:t>שמונה־עשרה</w:t>
      </w:r>
      <w:proofErr w:type="spellEnd"/>
      <w:r>
        <w:rPr>
          <w:rtl/>
        </w:rPr>
        <w:t>, ניגש אל קבוצתם גוי שיכור ובידו בקבוק, והחל לצעוק. כולם ברחו חוץ מן הסבא, שהתנתק מן ההמולה סביבו והמשיך בתפילתו. המאורע הסתיים בלי אסון: כשהגיע השיכור אל היהודי היחיד שנשאר, התבלבל נוכח נענועיו של המתפלל, שלא הבחין בו כלל, והלך לדרכו.</w:t>
      </w:r>
    </w:p>
    <w:p w14:paraId="66C4B186" w14:textId="77777777" w:rsidR="00AB3647" w:rsidRDefault="00000000" w:rsidP="007923E9">
      <w:pPr>
        <w:spacing w:after="120" w:line="276" w:lineRule="auto"/>
        <w:jc w:val="both"/>
      </w:pPr>
      <w:r>
        <w:rPr>
          <w:rtl/>
        </w:rPr>
        <w:t xml:space="preserve">המעשה השני אירע בשנת תרע״ט, כשהישיבה שהתה </w:t>
      </w:r>
      <w:proofErr w:type="spellStart"/>
      <w:r>
        <w:rPr>
          <w:rtl/>
        </w:rPr>
        <w:t>בקרמנצ׳וג</w:t>
      </w:r>
      <w:bookmarkStart w:id="4297" w:name="_fnr3219"/>
      <w:proofErr w:type="spellEnd"/>
      <w:r>
        <w:rPr>
          <w:vertAlign w:val="superscript"/>
          <w:rtl/>
        </w:rPr>
        <w:footnoteReference w:id="3227" w:customMarkFollows="0"/>
      </w:r>
      <w:bookmarkEnd w:id="4297"/>
      <w:r>
        <w:rPr>
          <w:rtl/>
        </w:rPr>
        <w:t xml:space="preserve">, והסבא והסבתא התגוררו עם חתנם ר׳ אייזיק שר. העיר, שהייתה נתונה בקרבות בין הלבנים לאדומים, עברה מיד ליד כמה פעמים. יום אחד, בזמן שהתנהלו קרבות ברחובות, התפללו בבית, בחדר אוכל שלא היו בו חלונות, והאור חדר אליו דרך צוהר בתקרה מעל השולחן. הדף של פגז מתפוצץ ניפץ את זכוכית הצוהר, ורסיסים נפלו על השולחן. הסבא היה אז באמצע תפילת </w:t>
      </w:r>
      <w:proofErr w:type="spellStart"/>
      <w:r>
        <w:rPr>
          <w:rtl/>
        </w:rPr>
        <w:t>שמונה־עשרה</w:t>
      </w:r>
      <w:proofErr w:type="spellEnd"/>
      <w:r>
        <w:rPr>
          <w:rtl/>
        </w:rPr>
        <w:t xml:space="preserve">. כשסיים </w:t>
      </w:r>
      <w:r>
        <w:rPr>
          <w:rtl/>
        </w:rPr>
        <w:lastRenderedPageBreak/>
        <w:t>את תפילתו וראה את השברים, לא ידע מניין באו, ושאל את ר׳ יצחק מי פיזר זכוכית שבורה על השולחן.</w:t>
      </w:r>
    </w:p>
    <w:bookmarkStart w:id="4298" w:name="b4_note59"/>
    <w:p w14:paraId="22DB427D" w14:textId="1CD5E888" w:rsidR="00AB3647" w:rsidRDefault="00000000" w:rsidP="007923E9">
      <w:pPr>
        <w:spacing w:before="120" w:after="100" w:line="276" w:lineRule="auto"/>
        <w:jc w:val="both"/>
      </w:pPr>
      <w:r>
        <w:fldChar w:fldCharType="begin" w:dirty="true"/>
      </w:r>
      <w:r>
        <w:instrText>HYPERLINK \l "b4_text59" \h</w:instrText>
      </w:r>
      <w:r>
        <w:fldChar w:fldCharType="separate"/>
      </w:r>
      <w:r>
        <w:rPr>
          <w:b/>
          <w:bCs/>
          <w:rtl/>
        </w:rPr>
        <w:t>59</w:t>
      </w:r>
      <w:r>
        <w:rPr>
          <w:b/>
          <w:bCs/>
        </w:rPr>
        <w:fldChar w:fldCharType="end"/>
      </w:r>
      <w:bookmarkEnd w:id="4298"/>
      <w:r>
        <w:rPr>
          <w:rtl/>
        </w:rPr>
        <w:t xml:space="preserve"> השווה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להלן.</w:t>
      </w:r>
    </w:p>
    <w:p w14:paraId="509282F6" w14:textId="5546744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זמן קצר לאחר מכן העיר לו ר׳ </w:t>
      </w:r>
      <w:proofErr w:type="spellStart"/>
      <w:r>
        <w:rPr>
          <w:rtl/>
        </w:rPr>
        <w:t>נתן־צבי</w:t>
      </w:r>
      <w:proofErr w:type="spellEnd"/>
      <w:r>
        <w:rPr>
          <w:rtl/>
        </w:rPr>
        <w:t xml:space="preserve"> </w:t>
      </w:r>
      <w:proofErr w:type="spellStart"/>
      <w:r>
        <w:rPr>
          <w:rtl/>
        </w:rPr>
        <w:t>פינקל</w:t>
      </w:r>
      <w:proofErr w:type="spellEnd"/>
      <w:r>
        <w:rPr>
          <w:rtl/>
        </w:rPr>
        <w:t xml:space="preserve"> בחביבות: “שמתי לב שאתה מסתכל בי במשך כל התפילה; האם אתה בודק שאני מתפלל כראוי?”</w:t>
      </w:r>
      <w:bookmarkStart w:id="4299" w:name="b4_text60"/>
      <w:bookmarkEnd w:id="4299"/>
      <w:r>
        <w:rPr>
          <w:sz w:val="18"/>
          <w:szCs w:val="18"/>
          <w:vertAlign w:val="superscript"/>
          <w:rtl/>
        </w:rPr>
        <w:fldChar w:fldCharType="begin" w:dirty="true"/>
      </w:r>
      <w:r>
        <w:rPr>
          <w:sz w:val="18"/>
          <w:szCs w:val="18"/>
          <w:vertAlign w:val="superscript"/>
          <w:rtl/>
        </w:rPr>
        <w:instrText xml:space="preserve"> REF b4_note60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60</w:t>
      </w:r>
      <w:r>
        <w:rPr>
          <w:sz w:val="18"/>
          <w:szCs w:val="18"/>
          <w:vertAlign w:val="superscript"/>
          <w:rtl/>
        </w:rPr>
        <w:fldChar w:fldCharType="end"/>
      </w:r>
    </w:p>
    <w:bookmarkStart w:id="4300" w:name="b4_note60"/>
    <w:p w14:paraId="1FB6F122" w14:textId="77777777" w:rsidR="00AB3647" w:rsidRDefault="00000000" w:rsidP="007923E9">
      <w:pPr>
        <w:spacing w:before="120" w:after="100" w:line="276" w:lineRule="auto"/>
        <w:jc w:val="both"/>
      </w:pPr>
      <w:r>
        <w:fldChar w:fldCharType="begin" w:dirty="true"/>
      </w:r>
      <w:r>
        <w:instrText>HYPERLINK \l "b4_text60" \h</w:instrText>
      </w:r>
      <w:r>
        <w:fldChar w:fldCharType="separate"/>
      </w:r>
      <w:r>
        <w:rPr>
          <w:b/>
          <w:bCs/>
          <w:rtl/>
        </w:rPr>
        <w:t>60</w:t>
      </w:r>
      <w:r>
        <w:rPr>
          <w:b/>
          <w:bCs/>
        </w:rPr>
        <w:fldChar w:fldCharType="end"/>
      </w:r>
      <w:bookmarkEnd w:id="4300"/>
      <w:r>
        <w:rPr>
          <w:rtl/>
        </w:rPr>
        <w:t xml:space="preserve"> ר׳ יצחק </w:t>
      </w:r>
      <w:proofErr w:type="spellStart"/>
      <w:r>
        <w:rPr>
          <w:rtl/>
        </w:rPr>
        <w:t>קנובל</w:t>
      </w:r>
      <w:bookmarkStart w:id="4301" w:name="_fnr3220"/>
      <w:proofErr w:type="spellEnd"/>
      <w:r>
        <w:rPr>
          <w:vertAlign w:val="superscript"/>
          <w:rtl/>
        </w:rPr>
        <w:footnoteReference w:id="3228" w:customMarkFollows="0"/>
      </w:r>
      <w:bookmarkEnd w:id="4301"/>
      <w:r>
        <w:rPr>
          <w:rtl/>
        </w:rPr>
        <w:t xml:space="preserve">. שמעתי פעם מאבי שהסבא היה בוחן אם תלמידיו אומרים את מילות התפילה בכוונה: הוא שאל אותם היכן מופיעה בהן לשון המשנה ולא לשון המקרא. </w:t>
      </w:r>
      <w:proofErr w:type="spellStart"/>
      <w:r>
        <w:rPr>
          <w:rtl/>
        </w:rPr>
        <w:t>כשלא</w:t>
      </w:r>
      <w:proofErr w:type="spellEnd"/>
      <w:r>
        <w:rPr>
          <w:rtl/>
        </w:rPr>
        <w:t xml:space="preserve"> ידעו להשיב, הצביע על המילה “אלא” שבסוף “ברוך ה׳ לעולם” – הברכה האחרונה בברכות קריאת שמע של ערבית</w:t>
      </w:r>
      <w:bookmarkStart w:id="4302" w:name="_fnr3221"/>
      <w:r>
        <w:rPr>
          <w:vertAlign w:val="superscript"/>
          <w:rtl/>
        </w:rPr>
        <w:footnoteReference w:id="3229" w:customMarkFollows="0"/>
      </w:r>
      <w:bookmarkEnd w:id="4302"/>
      <w:r>
        <w:rPr>
          <w:rtl/>
        </w:rPr>
        <w:t xml:space="preserve"> – שבמקרא הייתה נאמרת במקומה “רק” או “בלעדי”.</w:t>
      </w:r>
    </w:p>
    <w:p w14:paraId="484D700E" w14:textId="77777777" w:rsidR="00AB3647" w:rsidRDefault="00000000" w:rsidP="007923E9">
      <w:pPr>
        <w:spacing w:after="120" w:line="276" w:lineRule="auto"/>
        <w:jc w:val="both"/>
      </w:pPr>
      <w:r>
        <w:rPr>
          <w:rtl/>
        </w:rPr>
        <w:t>אבי סבר שבישיבה חייבים הרבנים ושליח הציבור לדקדק בכל דרישה הלכתית, גם בזו שמשקלה כשלעצמה מועט ביותר, משום שכל מעשה הנעשה בפומבי בישיבה הוא הוראה – לימוד תורה – ועל כן הוא מקבל חשיבות של מצוות תורה מדאורייתא. הוא הביא לכך ראיה מלימוד מסכת עירובין, העוסקת כמעט כולה בדינים מדרבנן: אין ספק שהלומד אותה מקיים את מצוות תלמוד תורה מן התורה, שהרי לימוד הלכות דרבנן מחויב מן התורה כלימוד שאר חלקי התורה.</w:t>
      </w:r>
    </w:p>
    <w:p w14:paraId="5DD0A698" w14:textId="77777777" w:rsidR="00AB3647" w:rsidRDefault="00000000" w:rsidP="007923E9">
      <w:pPr>
        <w:spacing w:after="120" w:line="276" w:lineRule="auto"/>
        <w:jc w:val="both"/>
      </w:pPr>
      <w:r>
        <w:rPr>
          <w:rtl/>
        </w:rPr>
        <w:t xml:space="preserve">בשנת האבל על אבי התלבטתי כיצד יש לומר קדיש בדקדוק בישיבה. כשהצגתי את השאלה לפני הפוסק הירושלמי הנודע ר׳ שלמה זלמן </w:t>
      </w:r>
      <w:proofErr w:type="spellStart"/>
      <w:r>
        <w:rPr>
          <w:rtl/>
        </w:rPr>
        <w:t xml:space="preserve">אוירבך</w:t>
      </w:r>
      <w:proofErr w:type="spellEnd"/>
      <w:r>
        <w:rPr>
          <w:rtl/>
        </w:rPr>
        <w:t>, הסכים הלה עם עיקר סברת אבי – שזו שאלה של דאורייתא – אף שעצם אמירת הקדיש אינה חובה גמורה אפילו מדרבנן.</w:t>
      </w:r>
    </w:p>
    <w:p w14:paraId="2894096F" w14:textId="5915623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תשעה באב יצאו מקצת התלמידים, וכן הסבא, מן העיר לחופשה קצרה בעיירות מוקפות יערות מחטניים או בקרבת חוף הים. אבל התלמיד החדש נשאר </w:t>
      </w:r>
      <w:proofErr w:type="spellStart"/>
      <w:r>
        <w:rPr>
          <w:rtl/>
        </w:rPr>
        <w:t>בסלבודקה</w:t>
      </w:r>
      <w:proofErr w:type="spellEnd"/>
      <w:r>
        <w:rPr>
          <w:rtl/>
        </w:rPr>
        <w:t>, ומדי פעם התרענן במשחק שחמט</w:t>
      </w:r>
      <w:bookmarkStart w:id="4303" w:name="b4_text61"/>
      <w:bookmarkEnd w:id="4303"/>
      <w:r>
        <w:rPr>
          <w:sz w:val="18"/>
          <w:szCs w:val="18"/>
          <w:vertAlign w:val="superscript"/>
          <w:rtl/>
        </w:rPr>
        <w:fldChar w:fldCharType="begin" w:dirty="true"/>
      </w:r>
      <w:r>
        <w:rPr>
          <w:sz w:val="18"/>
          <w:szCs w:val="18"/>
          <w:vertAlign w:val="superscript"/>
          <w:rtl/>
        </w:rPr>
        <w:instrText xml:space="preserve"> REF b4_note61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61</w:t>
      </w:r>
      <w:r>
        <w:rPr>
          <w:sz w:val="18"/>
          <w:szCs w:val="18"/>
          <w:vertAlign w:val="superscript"/>
          <w:rtl/>
        </w:rPr>
        <w:fldChar w:fldCharType="end"/>
      </w:r>
      <w:r>
        <w:rPr>
          <w:rtl/>
        </w:rPr>
        <w:t xml:space="preserve"> או בטבילה מצננת</w:t>
      </w:r>
      <w:bookmarkStart w:id="4304" w:name="b4_text62"/>
      <w:bookmarkEnd w:id="4304"/>
      <w:r>
        <w:rPr>
          <w:sz w:val="18"/>
          <w:szCs w:val="18"/>
          <w:vertAlign w:val="superscript"/>
          <w:rtl/>
        </w:rPr>
        <w:fldChar w:fldCharType="begin" w:dirty="true"/>
      </w:r>
      <w:r>
        <w:rPr>
          <w:sz w:val="18"/>
          <w:szCs w:val="18"/>
          <w:vertAlign w:val="superscript"/>
          <w:rtl/>
        </w:rPr>
        <w:instrText xml:space="preserve"> REF b4_note62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62</w:t>
      </w:r>
      <w:r>
        <w:rPr>
          <w:sz w:val="18"/>
          <w:szCs w:val="18"/>
          <w:vertAlign w:val="superscript"/>
          <w:rtl/>
        </w:rPr>
        <w:fldChar w:fldCharType="end"/>
      </w:r>
      <w:r>
        <w:rPr>
          <w:rtl/>
        </w:rPr>
        <w:t xml:space="preserve"> בנהר </w:t>
      </w:r>
      <w:proofErr w:type="spellStart"/>
      <w:r>
        <w:rPr>
          <w:rtl/>
        </w:rPr>
        <w:t>וויליה</w:t>
      </w:r>
      <w:proofErr w:type="spellEnd"/>
      <w:r>
        <w:rPr>
          <w:rtl/>
        </w:rPr>
        <w:t>.</w:t>
      </w:r>
    </w:p>
    <w:bookmarkStart w:id="4305" w:name="b4_note61"/>
    <w:p w14:paraId="523AB699" w14:textId="24655B48" w:rsidR="00AB3647" w:rsidRDefault="00000000" w:rsidP="007923E9">
      <w:pPr>
        <w:spacing w:before="120" w:after="100" w:line="276" w:lineRule="auto"/>
        <w:jc w:val="both"/>
      </w:pPr>
      <w:r>
        <w:fldChar w:fldCharType="begin" w:dirty="true"/>
      </w:r>
      <w:r>
        <w:instrText>HYPERLINK \l "b4_text61" \h</w:instrText>
      </w:r>
      <w:r>
        <w:fldChar w:fldCharType="separate"/>
      </w:r>
      <w:r>
        <w:rPr>
          <w:b/>
          <w:bCs/>
          <w:rtl/>
        </w:rPr>
        <w:t>61</w:t>
      </w:r>
      <w:r>
        <w:rPr>
          <w:b/>
          <w:bCs/>
        </w:rPr>
        <w:fldChar w:fldCharType="end"/>
      </w:r>
      <w:bookmarkEnd w:id="4305"/>
      <w:r>
        <w:rPr>
          <w:rtl/>
        </w:rPr>
        <w:t xml:space="preserve"> השווה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להלן. ר׳ זאב לב מסר</w:t>
      </w:r>
      <w:bookmarkStart w:id="4306" w:name="_fnr3222"/>
      <w:r>
        <w:rPr>
          <w:vertAlign w:val="superscript"/>
          <w:rtl/>
        </w:rPr>
        <w:footnoteReference w:id="3230" w:customMarkFollows="0"/>
      </w:r>
      <w:bookmarkEnd w:id="4306"/>
      <w:r>
        <w:rPr>
          <w:rtl/>
        </w:rPr>
        <w:t xml:space="preserve"> בשם אבי שכאשר הוא ור׳ אהרן קוטלר היו </w:t>
      </w:r>
      <w:proofErr w:type="spellStart"/>
      <w:r>
        <w:rPr>
          <w:rtl/>
        </w:rPr>
        <w:t>בסלבודקה</w:t>
      </w:r>
      <w:proofErr w:type="spellEnd"/>
      <w:r>
        <w:rPr>
          <w:rtl/>
        </w:rPr>
        <w:t xml:space="preserve">, בני </w:t>
      </w:r>
      <w:proofErr w:type="spellStart"/>
      <w:r>
        <w:rPr>
          <w:rtl/>
        </w:rPr>
        <w:t>שבע־עשרה</w:t>
      </w:r>
      <w:proofErr w:type="spellEnd"/>
      <w:r>
        <w:rPr>
          <w:rtl/>
        </w:rPr>
        <w:t xml:space="preserve"> </w:t>
      </w:r>
      <w:proofErr w:type="spellStart"/>
      <w:r>
        <w:rPr>
          <w:rtl/>
        </w:rPr>
        <w:t>ושש־עשרה</w:t>
      </w:r>
      <w:proofErr w:type="spellEnd"/>
      <w:r>
        <w:rPr>
          <w:rtl/>
        </w:rPr>
        <w:t xml:space="preserve"> בהתאמה, הזמין אבי את ר׳ אהרן למשחק שחמט וניצח אותו. שניהם היו שקועים כל כך ברצון לנצח, עד שהמפסיד פרץ בבכי מאליו, ומשנפתח מעיין דמעותיו המשיך לבכות כחצי שעה. אגב, אחיינו של אבי, יעקב</w:t>
      </w:r>
      <w:bookmarkStart w:id="4307" w:name="_fnr3223"/>
      <w:r>
        <w:rPr>
          <w:vertAlign w:val="superscript"/>
          <w:rtl/>
        </w:rPr>
        <w:footnoteReference w:id="3231" w:customMarkFollows="0"/>
      </w:r>
      <w:bookmarkEnd w:id="4307"/>
      <w:r>
        <w:rPr>
          <w:rtl/>
        </w:rPr>
        <w:t>, היה שחמטאי מקצועי וכתב טור שבועי בענייני שחמט בעיתון במינסק. בפגישתו עמי במינסק</w:t>
      </w:r>
      <w:bookmarkStart w:id="4308" w:name="_fnr3224"/>
      <w:r>
        <w:rPr>
          <w:vertAlign w:val="superscript"/>
          <w:rtl/>
        </w:rPr>
        <w:footnoteReference w:id="3232" w:customMarkFollows="0"/>
      </w:r>
      <w:bookmarkEnd w:id="4308"/>
      <w:r>
        <w:rPr>
          <w:rtl/>
        </w:rPr>
        <w:t xml:space="preserve"> טען שאלוף העולם גארי </w:t>
      </w:r>
      <w:proofErr w:type="spellStart"/>
      <w:r>
        <w:rPr>
          <w:rtl/>
        </w:rPr>
        <w:t>קספרוב</w:t>
      </w:r>
      <w:proofErr w:type="spellEnd"/>
      <w:r>
        <w:rPr>
          <w:rtl/>
        </w:rPr>
        <w:t xml:space="preserve"> – שנולד בשם </w:t>
      </w:r>
      <w:proofErr w:type="spellStart"/>
      <w:r>
        <w:rPr>
          <w:rtl/>
        </w:rPr>
        <w:t>ויינשטיין</w:t>
      </w:r>
      <w:proofErr w:type="spellEnd"/>
      <w:r>
        <w:rPr>
          <w:rtl/>
        </w:rPr>
        <w:t xml:space="preserve"> – </w:t>
      </w:r>
      <w:proofErr w:type="spellStart"/>
      <w:r>
        <w:rPr>
          <w:rtl/>
        </w:rPr>
        <w:t>ורב־האמן</w:t>
      </w:r>
      <w:proofErr w:type="spellEnd"/>
      <w:r>
        <w:rPr>
          <w:rtl/>
        </w:rPr>
        <w:t xml:space="preserve"> בוריס </w:t>
      </w:r>
      <w:proofErr w:type="spellStart"/>
      <w:r>
        <w:rPr>
          <w:rtl/>
        </w:rPr>
        <w:t>גלפנד</w:t>
      </w:r>
      <w:proofErr w:type="spellEnd"/>
      <w:r>
        <w:rPr>
          <w:rtl/>
        </w:rPr>
        <w:t xml:space="preserve"> למדו אצלו.</w:t>
      </w:r>
    </w:p>
    <w:bookmarkStart w:id="4309" w:name="b4_note62"/>
    <w:p w14:paraId="317BEC2A" w14:textId="5F6B8C55" w:rsidR="00AB3647" w:rsidRDefault="00000000" w:rsidP="007923E9">
      <w:pPr>
        <w:spacing w:before="120" w:after="100" w:line="276" w:lineRule="auto"/>
        <w:jc w:val="both"/>
      </w:pPr>
      <w:r>
        <w:lastRenderedPageBreak/>
        <w:fldChar w:fldCharType="begin" w:dirty="true"/>
      </w:r>
      <w:r>
        <w:instrText>HYPERLINK \l "b4_text62" \h</w:instrText>
      </w:r>
      <w:r>
        <w:fldChar w:fldCharType="separate"/>
      </w:r>
      <w:r>
        <w:rPr>
          <w:b/>
          <w:bCs/>
          <w:rtl/>
        </w:rPr>
        <w:t>62</w:t>
      </w:r>
      <w:r>
        <w:rPr>
          <w:b/>
          <w:bCs/>
        </w:rPr>
        <w:fldChar w:fldCharType="end"/>
      </w:r>
      <w:bookmarkEnd w:id="4309"/>
      <w:r>
        <w:rPr>
          <w:rtl/>
        </w:rPr>
        <w:t xml:space="preserve"> ראה פרק 5, סוף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 xml:space="preserve">. ר׳ ישעיה </w:t>
      </w:r>
      <w:proofErr w:type="spellStart"/>
      <w:r>
        <w:rPr>
          <w:rtl/>
        </w:rPr>
        <w:t>פורטנוי</w:t>
      </w:r>
      <w:proofErr w:type="spellEnd"/>
      <w:r>
        <w:rPr>
          <w:rtl/>
        </w:rPr>
        <w:t xml:space="preserve"> סיפר</w:t>
      </w:r>
      <w:bookmarkStart w:id="4310" w:name="_fnr3225"/>
      <w:r>
        <w:rPr>
          <w:vertAlign w:val="superscript"/>
          <w:rtl/>
        </w:rPr>
        <w:footnoteReference w:id="3233" w:customMarkFollows="0"/>
      </w:r>
      <w:bookmarkEnd w:id="4310"/>
      <w:r>
        <w:rPr>
          <w:rtl/>
        </w:rPr>
        <w:t xml:space="preserve"> בשם אבי שעל הקיר החיצוני של בניין הישיבה </w:t>
      </w:r>
      <w:proofErr w:type="spellStart"/>
      <w:r>
        <w:rPr>
          <w:rtl/>
        </w:rPr>
        <w:t>בסלבודקה</w:t>
      </w:r>
      <w:proofErr w:type="spellEnd"/>
      <w:r>
        <w:rPr>
          <w:rtl/>
        </w:rPr>
        <w:t xml:space="preserve"> נותרו מאז בנייתו שני מוטות מתכת. אחדים מן הבחורים השתמשו בהם לתרגילי מתח, ואחרים היו מתלוננים על כך לפני הסבא. הסבא גילה לאבי בסוד שכשהושלמה בניית הבית, הוא עצמו אמר לבנאים “לשכוח” להסיר את המוטות, דווקא לשימוש זה. “הבחורים שמרגישים צורך לעשות מתח צריכים להשתמש במוטות; והתלמידים </w:t>
      </w:r>
      <w:proofErr w:type="spellStart"/>
      <w:r>
        <w:rPr>
          <w:rtl/>
        </w:rPr>
        <w:t>ה‘פרומע</w:t>
      </w:r>
      <w:proofErr w:type="spellEnd"/>
      <w:r>
        <w:rPr>
          <w:rtl/>
        </w:rPr>
        <w:t>’ צריכים להתלונן”, סיכם. אבי אימץ פעמים רבות גישה זו של הסבא: סובלנות, ואף הסכמה, לשתי עמדות סותרות, מתוך ראייה שכל אחת מהן מתאימה לקבוצת אנשים אחרת.</w:t>
      </w:r>
    </w:p>
    <w:p w14:paraId="7A1FE643" w14:textId="3BF3750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עם תחילת אלול הופתע </w:t>
      </w:r>
      <w:proofErr w:type="spellStart"/>
      <w:r>
        <w:rPr>
          <w:rtl/>
        </w:rPr>
        <w:t>הדולהינובר</w:t>
      </w:r>
      <w:proofErr w:type="spellEnd"/>
      <w:r>
        <w:rPr>
          <w:rtl/>
        </w:rPr>
        <w:t xml:space="preserve"> לראות זרם של אנשים עטורי טלית ובעלי זקנים – אנשים נשואים, ובהם רבנים – המצטרפים אל ציבור הישיבה. התברר לו שאלו תלמידים לשעבר של סלבודקה</w:t>
      </w:r>
      <w:bookmarkStart w:id="4311" w:name="b4_text63"/>
      <w:bookmarkEnd w:id="4311"/>
      <w:r>
        <w:rPr>
          <w:sz w:val="18"/>
          <w:szCs w:val="18"/>
          <w:vertAlign w:val="superscript"/>
          <w:rtl/>
        </w:rPr>
        <w:fldChar w:fldCharType="begin" w:dirty="true"/>
      </w:r>
      <w:r>
        <w:rPr>
          <w:sz w:val="18"/>
          <w:szCs w:val="18"/>
          <w:vertAlign w:val="superscript"/>
          <w:rtl/>
        </w:rPr>
        <w:instrText xml:space="preserve"> REF b4_note63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63</w:t>
      </w:r>
      <w:r>
        <w:rPr>
          <w:sz w:val="18"/>
          <w:szCs w:val="18"/>
          <w:vertAlign w:val="superscript"/>
          <w:rtl/>
        </w:rPr>
        <w:fldChar w:fldCharType="end"/>
      </w:r>
      <w:r>
        <w:rPr>
          <w:rtl/>
        </w:rPr>
        <w:t xml:space="preserve">, שעזבו את בתיהם ואת עיסוקיהם כדי לשהות בישיבה במשך החודש ולהתכונן לימים הנוראים. הישיבה התמלאה עד אפס מקום, וחדרו של הסבא היה גדוש בוגרים שנדחקו סביבו לשמוע את שיחות המוסר שלו. התלמידים הנוכחיים נהגו בבוגרים דרך כבוד, ואפשרו להם לעמוד קרוב יותר למשגיח.</w:t>
      </w:r>
    </w:p>
    <w:bookmarkStart w:id="4312" w:name="b4_note63"/>
    <w:p w14:paraId="34D1A4D5" w14:textId="05DDEA83" w:rsidR="00AB3647" w:rsidRDefault="00000000" w:rsidP="007923E9">
      <w:pPr>
        <w:spacing w:before="120" w:after="100" w:line="276" w:lineRule="auto"/>
        <w:jc w:val="both"/>
      </w:pPr>
      <w:r>
        <w:fldChar w:fldCharType="begin" w:dirty="true"/>
      </w:r>
      <w:r>
        <w:instrText>HYPERLINK \l "b4_text63" \h</w:instrText>
      </w:r>
      <w:r>
        <w:fldChar w:fldCharType="separate"/>
      </w:r>
      <w:r>
        <w:rPr>
          <w:b/>
          <w:bCs/>
          <w:rtl/>
        </w:rPr>
        <w:t>63</w:t>
      </w:r>
      <w:r>
        <w:rPr>
          <w:b/>
          <w:bCs/>
        </w:rPr>
        <w:fldChar w:fldCharType="end"/>
      </w:r>
      <w:bookmarkEnd w:id="4312"/>
      <w:r>
        <w:rPr>
          <w:rtl/>
        </w:rPr>
        <w:t xml:space="preserve"> בין האורחים היו בוגרי כנסת ישראל וגם בוגרי כנסת בית יצחק</w:t>
      </w:r>
      <w:bookmarkStart w:id="4313" w:name="_fnr3226"/>
      <w:r>
        <w:rPr>
          <w:vertAlign w:val="superscript"/>
          <w:rtl/>
        </w:rPr>
        <w:footnoteReference w:id="3234" w:customMarkFollows="0"/>
      </w:r>
      <w:bookmarkEnd w:id="4313"/>
      <w:r>
        <w:rPr>
          <w:rtl/>
        </w:rPr>
        <w:t xml:space="preserve">. מקצת בוגרי כנסת בית יצחק, שבאו ללמוד זמן קצר בכנסת ישראל באלול, שכרו חדרים בבית שבו גר ר׳ </w:t>
      </w:r>
      <w:proofErr w:type="spellStart"/>
      <w:r>
        <w:rPr>
          <w:rtl/>
        </w:rPr>
        <w:t>ברוך־בער</w:t>
      </w:r>
      <w:proofErr w:type="spellEnd"/>
      <w:r>
        <w:rPr>
          <w:rtl/>
        </w:rPr>
        <w:t xml:space="preserve">. לכן סבר ר׳ </w:t>
      </w:r>
      <w:proofErr w:type="spellStart"/>
      <w:r>
        <w:rPr>
          <w:rtl/>
        </w:rPr>
        <w:t>שמואל־לייב</w:t>
      </w:r>
      <w:proofErr w:type="spellEnd"/>
      <w:r>
        <w:rPr>
          <w:rtl/>
        </w:rPr>
        <w:t xml:space="preserve"> שווי שגם הוא יוכל להמשיך לגור שם, אף שהתכוון לעבור לכנסת ישראל – השווה פרק 3, הפסקה השנייה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כך הסביר זאת לבנו ר׳ אליהו, כשנשאל על חוסר הטקט, הבולט לכאורה, שלא כדרכו.</w:t>
      </w:r>
    </w:p>
    <w:p w14:paraId="69AD4908" w14:textId="45B713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בראש השנה, בשעה שראש הישיבה נשא דברים לפני התקיעות</w:t>
      </w:r>
      <w:bookmarkStart w:id="4314" w:name="b4_text64"/>
      <w:bookmarkEnd w:id="4314"/>
      <w:r>
        <w:rPr>
          <w:sz w:val="18"/>
          <w:szCs w:val="18"/>
          <w:vertAlign w:val="superscript"/>
          <w:rtl/>
        </w:rPr>
        <w:fldChar w:fldCharType="begin" w:dirty="true"/>
      </w:r>
      <w:r>
        <w:rPr>
          <w:sz w:val="18"/>
          <w:szCs w:val="18"/>
          <w:vertAlign w:val="superscript"/>
          <w:rtl/>
        </w:rPr>
        <w:instrText xml:space="preserve"> REF b4_note64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64</w:t>
      </w:r>
      <w:r>
        <w:rPr>
          <w:sz w:val="18"/>
          <w:szCs w:val="18"/>
          <w:vertAlign w:val="superscript"/>
          <w:rtl/>
        </w:rPr>
        <w:fldChar w:fldCharType="end"/>
      </w:r>
      <w:r>
        <w:rPr>
          <w:rtl/>
        </w:rPr>
        <w:t>, הגיעה ההתעוררות הדתית בישיבה לרמה גבוהה, ושיאה היה ביום הכיפורים. הסבא בחר באבי וזיכה אותו בכבוד לעמוד לצדו בשעת אמירת “כל נדרי”</w:t>
      </w:r>
      <w:bookmarkStart w:id="4315" w:name="b4_text65"/>
      <w:bookmarkEnd w:id="4315"/>
      <w:r>
        <w:rPr>
          <w:sz w:val="18"/>
          <w:szCs w:val="18"/>
          <w:vertAlign w:val="superscript"/>
          <w:rtl/>
        </w:rPr>
        <w:fldChar w:fldCharType="begin" w:dirty="true"/>
      </w:r>
      <w:r>
        <w:rPr>
          <w:sz w:val="18"/>
          <w:szCs w:val="18"/>
          <w:vertAlign w:val="superscript"/>
          <w:rtl/>
        </w:rPr>
        <w:instrText xml:space="preserve"> REF b4_note65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65</w:t>
      </w:r>
      <w:r>
        <w:rPr>
          <w:sz w:val="18"/>
          <w:szCs w:val="18"/>
          <w:vertAlign w:val="superscript"/>
          <w:rtl/>
        </w:rPr>
        <w:fldChar w:fldCharType="end"/>
      </w:r>
      <w:r>
        <w:rPr>
          <w:rtl/>
        </w:rPr>
        <w:t>. הנער התבונן מרותק בפניו המאירות של הזקן כשבירך “שהחיינו”, מתוך ציפייה למחילת העוונות המבושרת בבוא היום הקדוש ביותר</w:t>
      </w:r>
      <w:bookmarkStart w:id="4316" w:name="b4_text66"/>
      <w:bookmarkEnd w:id="4316"/>
      <w:r>
        <w:rPr>
          <w:sz w:val="18"/>
          <w:szCs w:val="18"/>
          <w:vertAlign w:val="superscript"/>
          <w:rtl/>
        </w:rPr>
        <w:fldChar w:fldCharType="begin" w:dirty="true"/>
      </w:r>
      <w:r>
        <w:rPr>
          <w:sz w:val="18"/>
          <w:szCs w:val="18"/>
          <w:vertAlign w:val="superscript"/>
          <w:rtl/>
        </w:rPr>
        <w:instrText xml:space="preserve"> REF b4_note66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66</w:t>
      </w:r>
      <w:r>
        <w:rPr>
          <w:sz w:val="18"/>
          <w:szCs w:val="18"/>
          <w:vertAlign w:val="superscript"/>
          <w:rtl/>
        </w:rPr>
        <w:fldChar w:fldCharType="end"/>
      </w:r>
      <w:r>
        <w:rPr>
          <w:rtl/>
        </w:rPr>
        <w:t>.</w:t>
      </w:r>
    </w:p>
    <w:bookmarkStart w:id="4317" w:name="b4_note64"/>
    <w:p w14:paraId="37D7A6F3" w14:textId="77777777" w:rsidR="00AB3647" w:rsidRDefault="00000000" w:rsidP="007923E9">
      <w:pPr>
        <w:spacing w:before="120" w:after="100" w:line="276" w:lineRule="auto"/>
        <w:jc w:val="both"/>
      </w:pPr>
      <w:r>
        <w:fldChar w:fldCharType="begin" w:dirty="true"/>
      </w:r>
      <w:r>
        <w:instrText>HYPERLINK \l "b4_text64" \h</w:instrText>
      </w:r>
      <w:r>
        <w:fldChar w:fldCharType="separate"/>
      </w:r>
      <w:r>
        <w:rPr>
          <w:b/>
          <w:bCs/>
          <w:rtl/>
        </w:rPr>
        <w:t>64</w:t>
      </w:r>
      <w:r>
        <w:rPr>
          <w:b/>
          <w:bCs/>
        </w:rPr>
        <w:fldChar w:fldCharType="end"/>
      </w:r>
      <w:bookmarkEnd w:id="4317"/>
      <w:r>
        <w:rPr>
          <w:rtl/>
        </w:rPr>
        <w:t xml:space="preserve"> שעת תקיעת השופר מחייבת התעוררות</w:t>
      </w:r>
      <w:bookmarkStart w:id="4318" w:name="_fnr3227"/>
      <w:r>
        <w:rPr>
          <w:vertAlign w:val="superscript"/>
          <w:rtl/>
        </w:rPr>
        <w:footnoteReference w:id="3235" w:customMarkFollows="0"/>
      </w:r>
      <w:bookmarkEnd w:id="4318"/>
      <w:r>
        <w:rPr>
          <w:rtl/>
        </w:rPr>
        <w:t>, ולא דרך דיבורו של הסבא ולא תוכן שיחותיו התאימו לכך</w:t>
      </w:r>
      <w:bookmarkStart w:id="4319" w:name="_fnr3228"/>
      <w:r>
        <w:rPr>
          <w:vertAlign w:val="superscript"/>
          <w:rtl/>
        </w:rPr>
        <w:footnoteReference w:id="3236" w:customMarkFollows="0"/>
      </w:r>
      <w:bookmarkEnd w:id="4319"/>
      <w:r>
        <w:rPr>
          <w:rtl/>
        </w:rPr>
        <w:t xml:space="preserve">. לכן ביקש מר׳ </w:t>
      </w:r>
      <w:proofErr w:type="spellStart"/>
      <w:r>
        <w:rPr>
          <w:rtl/>
        </w:rPr>
        <w:t>משה־מרדכי</w:t>
      </w:r>
      <w:proofErr w:type="spellEnd"/>
      <w:r>
        <w:rPr>
          <w:rtl/>
        </w:rPr>
        <w:t xml:space="preserve"> אפשטיין</w:t>
      </w:r>
      <w:bookmarkStart w:id="4320" w:name="_fnr3229"/>
      <w:r>
        <w:rPr>
          <w:vertAlign w:val="superscript"/>
          <w:rtl/>
        </w:rPr>
        <w:footnoteReference w:id="3237" w:customMarkFollows="0"/>
      </w:r>
      <w:bookmarkEnd w:id="4320"/>
      <w:r>
        <w:rPr>
          <w:rtl/>
        </w:rPr>
        <w:t xml:space="preserve"> לשאת את שיחת ההתעוררות במקומו. כך מסר </w:t>
      </w:r>
      <w:proofErr w:type="spellStart"/>
      <w:r>
        <w:rPr>
          <w:rtl/>
        </w:rPr>
        <w:t>נכדו־חתנו</w:t>
      </w:r>
      <w:proofErr w:type="spellEnd"/>
      <w:r>
        <w:rPr>
          <w:rtl/>
        </w:rPr>
        <w:t xml:space="preserve"> של ר׳ </w:t>
      </w:r>
      <w:proofErr w:type="spellStart"/>
      <w:r>
        <w:rPr>
          <w:rtl/>
        </w:rPr>
        <w:t>משה־מרדכי</w:t>
      </w:r>
      <w:proofErr w:type="spellEnd"/>
      <w:r>
        <w:rPr>
          <w:rtl/>
        </w:rPr>
        <w:t>, ר׳ אהרן יפה</w:t>
      </w:r>
      <w:bookmarkStart w:id="4321" w:name="_fnr3230"/>
      <w:r>
        <w:rPr>
          <w:vertAlign w:val="superscript"/>
          <w:rtl/>
        </w:rPr>
        <w:footnoteReference w:id="3238" w:customMarkFollows="0"/>
      </w:r>
      <w:bookmarkEnd w:id="4321"/>
      <w:r>
        <w:rPr>
          <w:rtl/>
        </w:rPr>
        <w:t>.</w:t>
      </w:r>
    </w:p>
    <w:bookmarkStart w:id="4322" w:name="b4_note65"/>
    <w:p w14:paraId="672C9975" w14:textId="77777777" w:rsidR="00AB3647" w:rsidRDefault="00000000" w:rsidP="007923E9">
      <w:pPr>
        <w:spacing w:before="120" w:after="100" w:line="276" w:lineRule="auto"/>
        <w:jc w:val="both"/>
      </w:pPr>
      <w:r>
        <w:lastRenderedPageBreak/>
        <w:fldChar w:fldCharType="begin" w:dirty="true"/>
      </w:r>
      <w:r>
        <w:instrText>HYPERLINK \l "b4_text65" \h</w:instrText>
      </w:r>
      <w:r>
        <w:fldChar w:fldCharType="separate"/>
      </w:r>
      <w:r>
        <w:rPr>
          <w:b/>
          <w:bCs/>
          <w:rtl/>
        </w:rPr>
        <w:t>65</w:t>
      </w:r>
      <w:r>
        <w:rPr>
          <w:b/>
          <w:bCs/>
        </w:rPr>
        <w:fldChar w:fldCharType="end"/>
      </w:r>
      <w:bookmarkEnd w:id="4322"/>
      <w:r>
        <w:rPr>
          <w:rtl/>
        </w:rPr>
        <w:t xml:space="preserve"> ר׳ יצחק </w:t>
      </w:r>
      <w:proofErr w:type="spellStart"/>
      <w:r>
        <w:rPr>
          <w:rtl/>
        </w:rPr>
        <w:t>שורין</w:t>
      </w:r>
      <w:bookmarkStart w:id="4323" w:name="_fnr3231"/>
      <w:proofErr w:type="spellEnd"/>
      <w:r>
        <w:rPr>
          <w:vertAlign w:val="superscript"/>
          <w:rtl/>
        </w:rPr>
        <w:footnoteReference w:id="3239" w:customMarkFollows="0"/>
      </w:r>
      <w:bookmarkEnd w:id="4323"/>
      <w:r>
        <w:rPr>
          <w:rtl/>
        </w:rPr>
        <w:t xml:space="preserve"> סיפר שאבי, שהגיע </w:t>
      </w:r>
      <w:proofErr w:type="spellStart"/>
      <w:r>
        <w:rPr>
          <w:rtl/>
        </w:rPr>
        <w:t>לסלבודקה</w:t>
      </w:r>
      <w:proofErr w:type="spellEnd"/>
      <w:r>
        <w:rPr>
          <w:rtl/>
        </w:rPr>
        <w:t xml:space="preserve"> פחות משישה חודשים קודם לכן, הוזמן לעמוד ליד הסבא במעמד זה. ייתכן שכך גמל רבו לתלמיד הצעיר על תשומת הלב הרבה שהקדיש לתפילתו של המשגיח.</w:t>
      </w:r>
    </w:p>
    <w:bookmarkStart w:id="4324" w:name="b4_note66"/>
    <w:p w14:paraId="35080DE6" w14:textId="77777777" w:rsidR="00AB3647" w:rsidRDefault="00000000" w:rsidP="007923E9">
      <w:pPr>
        <w:spacing w:before="120" w:after="100" w:line="276" w:lineRule="auto"/>
        <w:jc w:val="both"/>
      </w:pPr>
      <w:r>
        <w:fldChar w:fldCharType="begin" w:dirty="true"/>
      </w:r>
      <w:r>
        <w:instrText>HYPERLINK \l "b4_text66" \h</w:instrText>
      </w:r>
      <w:r>
        <w:fldChar w:fldCharType="separate"/>
      </w:r>
      <w:r>
        <w:rPr>
          <w:b/>
          <w:bCs/>
          <w:rtl/>
        </w:rPr>
        <w:t>66</w:t>
      </w:r>
      <w:r>
        <w:rPr>
          <w:b/>
          <w:bCs/>
        </w:rPr>
        <w:fldChar w:fldCharType="end"/>
      </w:r>
      <w:bookmarkEnd w:id="4324"/>
      <w:r>
        <w:rPr>
          <w:rtl/>
        </w:rPr>
        <w:t xml:space="preserve"> ר׳ יצחק </w:t>
      </w:r>
      <w:proofErr w:type="spellStart"/>
      <w:r>
        <w:rPr>
          <w:rtl/>
        </w:rPr>
        <w:t>קנובל</w:t>
      </w:r>
      <w:bookmarkStart w:id="4325" w:name="_fnr3232"/>
      <w:proofErr w:type="spellEnd"/>
      <w:r>
        <w:rPr>
          <w:vertAlign w:val="superscript"/>
          <w:rtl/>
        </w:rPr>
        <w:footnoteReference w:id="3240" w:customMarkFollows="0"/>
      </w:r>
      <w:bookmarkEnd w:id="4325"/>
      <w:r>
        <w:rPr>
          <w:rtl/>
        </w:rPr>
        <w:t xml:space="preserve">. אבי ראה במעשהו של הסבא רוממות שכמעט אי אפשר להשיגה בדורות המאוחרים. בשבת פרשת חיי שרה, כ״ז בחשוון </w:t>
      </w:r>
      <w:proofErr w:type="spellStart"/>
      <w:r>
        <w:rPr>
          <w:rtl/>
        </w:rPr>
        <w:t>תש״ם</w:t>
      </w:r>
      <w:proofErr w:type="spellEnd"/>
      <w:r>
        <w:rPr>
          <w:rtl/>
        </w:rPr>
        <w:t xml:space="preserve">, העלה אבי זיכרונות עם ר׳ לייזר לוין </w:t>
      </w:r>
      <w:proofErr w:type="spellStart"/>
      <w:r>
        <w:rPr>
          <w:rtl/>
        </w:rPr>
        <w:t>במונסי</w:t>
      </w:r>
      <w:proofErr w:type="spellEnd"/>
      <w:r>
        <w:rPr>
          <w:rtl/>
        </w:rPr>
        <w:t xml:space="preserve">. כשניסה ר׳ יצחק </w:t>
      </w:r>
      <w:proofErr w:type="spellStart"/>
      <w:r>
        <w:rPr>
          <w:rtl/>
        </w:rPr>
        <w:t>קנובל</w:t>
      </w:r>
      <w:proofErr w:type="spellEnd"/>
      <w:r>
        <w:rPr>
          <w:rtl/>
        </w:rPr>
        <w:t xml:space="preserve"> להתערב, קטע אותו אבי ושאלו: “האם ראית פעם את הסבא אומר שהחיינו בליל יום הכיפורים?” כלומר: לא ראית כמעט מאומה מן הגדולה שראינו אנחנו, שני המשוחחים; מוטב שתאזין, והרי לפניך דוגמה לגדולה של ימים עברו.</w:t>
      </w:r>
    </w:p>
    <w:p w14:paraId="1109F5B7" w14:textId="77777777" w:rsidR="00AB3647" w:rsidRDefault="00000000" w:rsidP="007923E9">
      <w:pPr>
        <w:spacing w:after="120" w:line="276" w:lineRule="auto"/>
        <w:jc w:val="both"/>
      </w:pPr>
      <w:r>
        <w:rPr>
          <w:rtl/>
        </w:rPr>
        <w:t xml:space="preserve">ר׳ יוסף </w:t>
      </w:r>
      <w:proofErr w:type="spellStart"/>
      <w:r>
        <w:rPr>
          <w:rtl/>
        </w:rPr>
        <w:t>וולק</w:t>
      </w:r>
      <w:proofErr w:type="spellEnd"/>
      <w:r>
        <w:rPr>
          <w:rtl/>
        </w:rPr>
        <w:t xml:space="preserve"> סיפר</w:t>
      </w:r>
      <w:bookmarkStart w:id="4326" w:name="_fnr3233"/>
      <w:r>
        <w:rPr>
          <w:vertAlign w:val="superscript"/>
          <w:rtl/>
        </w:rPr>
        <w:footnoteReference w:id="3241" w:customMarkFollows="0"/>
      </w:r>
      <w:bookmarkEnd w:id="4326"/>
      <w:r>
        <w:rPr>
          <w:rtl/>
        </w:rPr>
        <w:t xml:space="preserve"> שאבי הזכיר את המעשה הזה </w:t>
      </w:r>
      <w:proofErr w:type="spellStart"/>
      <w:r>
        <w:rPr>
          <w:rtl/>
        </w:rPr>
        <w:t>כשלא</w:t>
      </w:r>
      <w:proofErr w:type="spellEnd"/>
      <w:r>
        <w:rPr>
          <w:rtl/>
        </w:rPr>
        <w:t xml:space="preserve"> הסכים לריקוד שערכו בנות בית יעקב בבולטימור בין יום הכיפורים לסוכות. הוא אמר: “אין זו השמחה של הימים האלה”. כשנשאל מהי אותה שמחה, השיב בלשון חידתית: “מי שראה את הסבא ממש רוקד מרוב שמחה באמירת שהחיינו בליל יום הכיפורים לא היה שואל שאלה כזאת”. נראה שהתכוון לומר ששמחת מחילת העוונות היא שמחה אישית ופנימית לחלוטין, ואינה יכולה לבוא לידי ביטוי בשמחה ציבורית.</w:t>
      </w:r>
    </w:p>
    <w:p w14:paraId="46243A0F" w14:textId="74EA010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זמן הקיץ הסתיים. לרוב התלמידים, כמו </w:t>
      </w:r>
      <w:proofErr w:type="spellStart"/>
      <w:r>
        <w:rPr>
          <w:rtl/>
        </w:rPr>
        <w:t>לדולהינובר</w:t>
      </w:r>
      <w:proofErr w:type="spellEnd"/>
      <w:r>
        <w:rPr>
          <w:rtl/>
        </w:rPr>
        <w:t>, לא היה הכסף הדרוש לנסוע לביתם לחג הסוכות, וגם לא רצו להפסיד את רוח השמחה שפיעמה בישיבה בימי בין הזמנים</w:t>
      </w:r>
      <w:bookmarkStart w:id="4327" w:name="b4_text67"/>
      <w:bookmarkEnd w:id="4327"/>
      <w:r>
        <w:rPr>
          <w:sz w:val="18"/>
          <w:szCs w:val="18"/>
          <w:vertAlign w:val="superscript"/>
          <w:rtl/>
        </w:rPr>
        <w:fldChar w:fldCharType="begin" w:dirty="true"/>
      </w:r>
      <w:r>
        <w:rPr>
          <w:sz w:val="18"/>
          <w:szCs w:val="18"/>
          <w:vertAlign w:val="superscript"/>
          <w:rtl/>
        </w:rPr>
        <w:instrText xml:space="preserve"> REF b4_note67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67</w:t>
      </w:r>
      <w:r>
        <w:rPr>
          <w:sz w:val="18"/>
          <w:szCs w:val="18"/>
          <w:vertAlign w:val="superscript"/>
          <w:rtl/>
        </w:rPr>
        <w:fldChar w:fldCharType="end"/>
      </w:r>
      <w:r>
        <w:rPr>
          <w:rtl/>
        </w:rPr>
        <w:t xml:space="preserve">. בעלי התפילה נבחרו לפי כישרונם לשתף את הציבור בשירת החג. ניגון המבוצע כראוי ביום טוב נחשב לעבודת ה׳, </w:t>
      </w:r>
      <w:proofErr w:type="spellStart"/>
      <w:r>
        <w:rPr>
          <w:rtl/>
        </w:rPr>
        <w:t>וכשלא</w:t>
      </w:r>
      <w:proofErr w:type="spellEnd"/>
      <w:r>
        <w:rPr>
          <w:rtl/>
        </w:rPr>
        <w:t xml:space="preserve"> היה בקהל אבל המחויב באמירת קדיש, הורה הסבא לציבור לפתוח בשירה במקומו</w:t>
      </w:r>
      <w:bookmarkStart w:id="4328" w:name="b4_text68"/>
      <w:bookmarkEnd w:id="4328"/>
      <w:r>
        <w:rPr>
          <w:sz w:val="18"/>
          <w:szCs w:val="18"/>
          <w:vertAlign w:val="superscript"/>
          <w:rtl/>
        </w:rPr>
        <w:fldChar w:fldCharType="begin" w:dirty="true"/>
      </w:r>
      <w:r>
        <w:rPr>
          <w:sz w:val="18"/>
          <w:szCs w:val="18"/>
          <w:vertAlign w:val="superscript"/>
          <w:rtl/>
        </w:rPr>
        <w:instrText xml:space="preserve"> REF b4_note68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68</w:t>
      </w:r>
      <w:r>
        <w:rPr>
          <w:sz w:val="18"/>
          <w:szCs w:val="18"/>
          <w:vertAlign w:val="superscript"/>
          <w:rtl/>
        </w:rPr>
        <w:fldChar w:fldCharType="end"/>
      </w:r>
      <w:r>
        <w:rPr>
          <w:rtl/>
        </w:rPr>
        <w:t>.</w:t>
      </w:r>
    </w:p>
    <w:bookmarkStart w:id="4329" w:name="b4_note67"/>
    <w:p w14:paraId="76D41D59" w14:textId="77777777" w:rsidR="00AB3647" w:rsidRDefault="00000000" w:rsidP="007923E9">
      <w:pPr>
        <w:spacing w:before="120" w:after="100" w:line="276" w:lineRule="auto"/>
        <w:jc w:val="both"/>
      </w:pPr>
      <w:r>
        <w:fldChar w:fldCharType="begin" w:dirty="true"/>
      </w:r>
      <w:r>
        <w:instrText>HYPERLINK \l "b4_text67" \h</w:instrText>
      </w:r>
      <w:r>
        <w:fldChar w:fldCharType="separate"/>
      </w:r>
      <w:r>
        <w:rPr>
          <w:b/>
          <w:bCs/>
          <w:rtl/>
        </w:rPr>
        <w:t>67</w:t>
      </w:r>
      <w:r>
        <w:rPr>
          <w:b/>
          <w:bCs/>
        </w:rPr>
        <w:fldChar w:fldCharType="end"/>
      </w:r>
      <w:bookmarkEnd w:id="4329"/>
      <w:r>
        <w:rPr>
          <w:rtl/>
        </w:rPr>
        <w:t xml:space="preserve"> בהערותיו </w:t>
      </w:r>
      <w:proofErr w:type="spellStart"/>
      <w:r>
        <w:rPr>
          <w:rtl/>
        </w:rPr>
        <w:t>לאלזט</w:t>
      </w:r>
      <w:bookmarkStart w:id="4330" w:name="_fnr3234"/>
      <w:proofErr w:type="spellEnd"/>
      <w:r>
        <w:rPr>
          <w:vertAlign w:val="superscript"/>
          <w:rtl/>
        </w:rPr>
        <w:footnoteReference w:id="3242" w:customMarkFollows="0"/>
      </w:r>
      <w:bookmarkEnd w:id="4330"/>
      <w:r>
        <w:rPr>
          <w:rtl/>
        </w:rPr>
        <w:t xml:space="preserve"> נזכר העורך </w:t>
      </w:r>
      <w:proofErr w:type="spellStart"/>
      <w:r>
        <w:rPr>
          <w:rtl/>
        </w:rPr>
        <w:t>דרויאנוב</w:t>
      </w:r>
      <w:proofErr w:type="spellEnd"/>
      <w:r>
        <w:rPr>
          <w:rtl/>
        </w:rPr>
        <w:t xml:space="preserve">: “בשמחת בית השואבה </w:t>
      </w:r>
      <w:proofErr w:type="spellStart"/>
      <w:r>
        <w:rPr>
          <w:rtl/>
        </w:rPr>
        <w:t>בוולוז׳ין</w:t>
      </w:r>
      <w:bookmarkStart w:id="4331" w:name="_fnr3235"/>
      <w:proofErr w:type="spellEnd"/>
      <w:r>
        <w:rPr>
          <w:vertAlign w:val="superscript"/>
          <w:rtl/>
        </w:rPr>
        <w:footnoteReference w:id="3243" w:customMarkFollows="0"/>
      </w:r>
      <w:bookmarkEnd w:id="4331"/>
      <w:r>
        <w:rPr>
          <w:rtl/>
        </w:rPr>
        <w:t xml:space="preserve"> היו בני הישיבה שמחים, משתעשעים, רוקדים ואף שותים עד שעה מאוחרת מאוד בלילה, לעיתים עד אור הבוקר. גם </w:t>
      </w:r>
      <w:proofErr w:type="spellStart"/>
      <w:r>
        <w:rPr>
          <w:rtl/>
        </w:rPr>
        <w:t>הנצי״ב</w:t>
      </w:r>
      <w:bookmarkStart w:id="4332" w:name="_fnr3236"/>
      <w:proofErr w:type="spellEnd"/>
      <w:r>
        <w:rPr>
          <w:vertAlign w:val="superscript"/>
          <w:rtl/>
        </w:rPr>
        <w:footnoteReference w:id="3244" w:customMarkFollows="0"/>
      </w:r>
      <w:bookmarkEnd w:id="4332"/>
      <w:r>
        <w:rPr>
          <w:rtl/>
        </w:rPr>
        <w:t xml:space="preserve"> היה משתתף בשמחתם ונשאר עמם ער כל הלילה. לאחר שתש כוחם של החוגגים והרוקדים ושמחתם דעכה מרוב עייפות, היה </w:t>
      </w:r>
      <w:proofErr w:type="spellStart"/>
      <w:r>
        <w:rPr>
          <w:rtl/>
        </w:rPr>
        <w:t>הנצי״ב</w:t>
      </w:r>
      <w:proofErr w:type="spellEnd"/>
      <w:r>
        <w:rPr>
          <w:rtl/>
        </w:rPr>
        <w:t xml:space="preserve"> פותח את ארון הקודש, ובני הישיבה היו שרים ‘עלינו’ בניגון של הימים הנוראים. כשהגיעו </w:t>
      </w:r>
      <w:proofErr w:type="spellStart"/>
      <w:r>
        <w:rPr>
          <w:rtl/>
        </w:rPr>
        <w:t>ל‘ואנחנו</w:t>
      </w:r>
      <w:proofErr w:type="spellEnd"/>
      <w:r>
        <w:rPr>
          <w:rtl/>
        </w:rPr>
        <w:t xml:space="preserve"> כורעים’, היו כורעים ומשתחווים כפי שעושים בימים הנוראים, </w:t>
      </w:r>
      <w:proofErr w:type="spellStart"/>
      <w:r>
        <w:rPr>
          <w:rtl/>
        </w:rPr>
        <w:t>והנצי״ב</w:t>
      </w:r>
      <w:proofErr w:type="spellEnd"/>
      <w:r>
        <w:rPr>
          <w:rtl/>
        </w:rPr>
        <w:t xml:space="preserve"> עמם. מנהג זה מסתמך כנראה על הפסוק באיוב א, ה: ‘ויהי כי הקיפו ימי המשתה וישלח איוב ויקדשם... כי אמר איוב אולי חטאו בניי’”.</w:t>
      </w:r>
    </w:p>
    <w:bookmarkStart w:id="4333" w:name="b4_note68"/>
    <w:p w14:paraId="4276DF9C" w14:textId="50354F1D" w:rsidR="00AB3647" w:rsidRDefault="00000000" w:rsidP="007923E9">
      <w:pPr>
        <w:spacing w:before="120" w:after="100" w:line="276" w:lineRule="auto"/>
        <w:jc w:val="both"/>
      </w:pPr>
      <w:r>
        <w:lastRenderedPageBreak/>
        <w:fldChar w:fldCharType="begin" w:dirty="true"/>
      </w:r>
      <w:r>
        <w:instrText>HYPERLINK \l "b4_text68" \h</w:instrText>
      </w:r>
      <w:r>
        <w:fldChar w:fldCharType="separate"/>
      </w:r>
      <w:r>
        <w:rPr>
          <w:b/>
          <w:bCs/>
          <w:rtl/>
        </w:rPr>
        <w:t>68</w:t>
      </w:r>
      <w:r>
        <w:rPr>
          <w:b/>
          <w:bCs/>
        </w:rPr>
        <w:fldChar w:fldCharType="end"/>
      </w:r>
      <w:bookmarkEnd w:id="4333"/>
      <w:r>
        <w:rPr>
          <w:rtl/>
        </w:rPr>
        <w:t xml:space="preserve"> כץ, “תנועת המוסר”, כרך ג</w:t>
      </w:r>
      <w:bookmarkStart w:id="4334" w:name="_fnr3237"/>
      <w:r>
        <w:rPr>
          <w:vertAlign w:val="superscript"/>
          <w:rtl/>
        </w:rPr>
        <w:footnoteReference w:id="3245" w:customMarkFollows="0"/>
      </w:r>
      <w:bookmarkEnd w:id="4334"/>
      <w:r>
        <w:rPr>
          <w:rtl/>
        </w:rPr>
        <w:t>. עוד מסופר שם</w:t>
      </w:r>
      <w:bookmarkStart w:id="4335" w:name="_fnr3238"/>
      <w:r>
        <w:rPr>
          <w:vertAlign w:val="superscript"/>
          <w:rtl/>
        </w:rPr>
        <w:footnoteReference w:id="3246" w:customMarkFollows="0"/>
      </w:r>
      <w:bookmarkEnd w:id="4335"/>
      <w:r>
        <w:rPr>
          <w:rtl/>
        </w:rPr>
        <w:t xml:space="preserve"> שהישיבה “</w:t>
      </w:r>
      <w:proofErr w:type="spellStart"/>
      <w:r>
        <w:rPr>
          <w:rtl/>
        </w:rPr>
        <w:t>נתפרסמה</w:t>
      </w:r>
      <w:proofErr w:type="spellEnd"/>
      <w:r>
        <w:rPr>
          <w:rtl/>
        </w:rPr>
        <w:t xml:space="preserve"> בסביבותיה בשיריה העליזים ובריקודיה מלאי השמחה, ורבים מבעלי הבתים היו באים להצטרף לתלמידים בשמחתם”. גם בשבתות היה שולחנו של הסבא מלא שירה, וכן חדרי מגורי הבחורים. למרות המתח המתמיד והחרדה שלא הרפתה ממנו, יצר הסבא אווירה שבה חשו תלמידיו ואורחיו שמחים ונינוחים. בכלל השתדל להכניס לישיבה רוח של שמחה ואף עליצות, מפני שראה בהן אמצעי לעורר את השכל לערנות ולבהירות. השווה גם הערה </w:t>
      </w:r>
      <w:r>
        <w:rPr>
          <w:rtl/>
        </w:rPr>
        <w:fldChar w:fldCharType="begin" w:dirty="true"/>
      </w:r>
      <w:r>
        <w:rPr>
          <w:rtl/>
        </w:rPr>
        <w:instrText xml:space="preserve"> REF b4_note53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על יחסו האישי של הסבא למוזיקה.</w:t>
      </w:r>
    </w:p>
    <w:p w14:paraId="656D3C4F" w14:textId="5A1378F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336" w:name="pr_b_1769"/>
      <w:bookmarkEnd w:id="4336"/>
      <w:r>
        <w:rPr>
          <w:rtl/>
        </w:rPr>
        <w:t>בעיני רבנו, גולת הכותרת של החג הייתה ההזדמנות לפגוש את ר׳ נפתלי אמסטרדם ולשהות במחיצתו. ר׳ נפתלי היה בעל מוסר מן הדור שקדם לדורו של הסבא ומבכירי תלמידיו של ר׳ ישראל סלנטר</w:t>
      </w:r>
      <w:bookmarkStart w:id="4337" w:name="b4_text69"/>
      <w:bookmarkEnd w:id="4337"/>
      <w:r>
        <w:rPr>
          <w:sz w:val="18"/>
          <w:szCs w:val="18"/>
          <w:vertAlign w:val="superscript"/>
          <w:rtl/>
        </w:rPr>
        <w:fldChar w:fldCharType="begin" w:dirty="true"/>
      </w:r>
      <w:r>
        <w:rPr>
          <w:sz w:val="18"/>
          <w:szCs w:val="18"/>
          <w:vertAlign w:val="superscript"/>
          <w:rtl/>
        </w:rPr>
        <w:instrText xml:space="preserve"> REF b4_note69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69</w:t>
      </w:r>
      <w:r>
        <w:rPr>
          <w:sz w:val="18"/>
          <w:szCs w:val="18"/>
          <w:vertAlign w:val="superscript"/>
          <w:rtl/>
        </w:rPr>
        <w:fldChar w:fldCharType="end"/>
      </w:r>
      <w:r>
        <w:rPr>
          <w:rtl/>
        </w:rPr>
        <w:t>. הוא נולד בשנת תקצ״ב</w:t>
      </w:r>
      <w:bookmarkStart w:id="4338" w:name="b4_text70"/>
      <w:bookmarkEnd w:id="4338"/>
      <w:r>
        <w:rPr>
          <w:sz w:val="18"/>
          <w:szCs w:val="18"/>
          <w:vertAlign w:val="superscript"/>
          <w:rtl/>
        </w:rPr>
        <w:fldChar w:fldCharType="begin" w:dirty="true"/>
      </w:r>
      <w:r>
        <w:rPr>
          <w:sz w:val="18"/>
          <w:szCs w:val="18"/>
          <w:vertAlign w:val="superscript"/>
          <w:rtl/>
        </w:rPr>
        <w:instrText xml:space="preserve"> REF b4_note70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70</w:t>
      </w:r>
      <w:r>
        <w:rPr>
          <w:sz w:val="18"/>
          <w:szCs w:val="18"/>
          <w:vertAlign w:val="superscript"/>
          <w:rtl/>
        </w:rPr>
        <w:fldChar w:fldCharType="end"/>
      </w:r>
      <w:r>
        <w:rPr>
          <w:rtl/>
        </w:rPr>
        <w:t>, התיישב בקובנה והתמסר ללימוד התורה בשקידה גדולה. כבר בנעוריו דבק בו הכינוי “נפתלי מתמיד”</w:t>
      </w:r>
      <w:bookmarkStart w:id="4339" w:name="b4_text71"/>
      <w:bookmarkEnd w:id="4339"/>
      <w:r>
        <w:rPr>
          <w:sz w:val="18"/>
          <w:szCs w:val="18"/>
          <w:vertAlign w:val="superscript"/>
          <w:rtl/>
        </w:rPr>
        <w:fldChar w:fldCharType="begin" w:dirty="true"/>
      </w:r>
      <w:r>
        <w:rPr>
          <w:sz w:val="18"/>
          <w:szCs w:val="18"/>
          <w:vertAlign w:val="superscript"/>
          <w:rtl/>
        </w:rPr>
        <w:instrText xml:space="preserve"> REF b4_note71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71</w:t>
      </w:r>
      <w:r>
        <w:rPr>
          <w:sz w:val="18"/>
          <w:szCs w:val="18"/>
          <w:vertAlign w:val="superscript"/>
          <w:rtl/>
        </w:rPr>
        <w:fldChar w:fldCharType="end"/>
      </w:r>
      <w:r>
        <w:rPr>
          <w:rtl/>
        </w:rPr>
        <w:t>, ואילו אשתו התפרנסה בדוחק ממכירת מאפים. הוא היה בקי מופלג בש״ס ובפוסקים</w:t>
      </w:r>
      <w:bookmarkStart w:id="4340" w:name="b4_text72"/>
      <w:bookmarkEnd w:id="4340"/>
      <w:r>
        <w:rPr>
          <w:sz w:val="18"/>
          <w:szCs w:val="18"/>
          <w:vertAlign w:val="superscript"/>
          <w:rtl/>
        </w:rPr>
        <w:fldChar w:fldCharType="begin" w:dirty="true"/>
      </w:r>
      <w:r>
        <w:rPr>
          <w:sz w:val="18"/>
          <w:szCs w:val="18"/>
          <w:vertAlign w:val="superscript"/>
          <w:rtl/>
        </w:rPr>
        <w:instrText xml:space="preserve"> REF b4_note72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72</w:t>
      </w:r>
      <w:r>
        <w:rPr>
          <w:sz w:val="18"/>
          <w:szCs w:val="18"/>
          <w:vertAlign w:val="superscript"/>
          <w:rtl/>
        </w:rPr>
        <w:fldChar w:fldCharType="end"/>
      </w:r>
      <w:r>
        <w:rPr>
          <w:rtl/>
        </w:rPr>
        <w:t>.</w:t>
      </w:r>
    </w:p>
    <w:bookmarkStart w:id="4341" w:name="b4_note69"/>
    <w:p w14:paraId="2AAF9E55" w14:textId="3815231B" w:rsidR="00AB3647" w:rsidRDefault="00000000" w:rsidP="007923E9">
      <w:pPr>
        <w:spacing w:before="120" w:after="100" w:line="276" w:lineRule="auto"/>
        <w:jc w:val="both"/>
      </w:pPr>
      <w:r>
        <w:fldChar w:fldCharType="begin" w:dirty="true"/>
      </w:r>
      <w:r>
        <w:instrText>HYPERLINK \l "b4_text69" \h</w:instrText>
      </w:r>
      <w:r>
        <w:fldChar w:fldCharType="separate"/>
      </w:r>
      <w:r>
        <w:rPr>
          <w:b/>
          <w:bCs/>
          <w:rtl/>
        </w:rPr>
        <w:t>69</w:t>
      </w:r>
      <w:r>
        <w:rPr>
          <w:b/>
          <w:bCs/>
        </w:rPr>
        <w:fldChar w:fldCharType="end"/>
      </w:r>
      <w:bookmarkEnd w:id="4341"/>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ר׳ דוד </w:t>
      </w:r>
      <w:proofErr w:type="spellStart"/>
      <w:r>
        <w:rPr>
          <w:rtl/>
        </w:rPr>
        <w:t>צימט</w:t>
      </w:r>
      <w:bookmarkStart w:id="4342" w:name="_fnr3239"/>
      <w:proofErr w:type="spellEnd"/>
      <w:r>
        <w:rPr>
          <w:vertAlign w:val="superscript"/>
          <w:rtl/>
        </w:rPr>
        <w:footnoteReference w:id="3247" w:customMarkFollows="0"/>
      </w:r>
      <w:bookmarkEnd w:id="4342"/>
      <w:r>
        <w:rPr>
          <w:rtl/>
        </w:rPr>
        <w:t xml:space="preserve"> סיפר ששאל את אבי, שקרא אז את “תנועת המוסר” שראה אור זה מקרוב, מי היה הגדול בתלמידי ר׳ ישראל </w:t>
      </w:r>
      <w:proofErr w:type="spellStart"/>
      <w:r>
        <w:rPr>
          <w:rtl/>
        </w:rPr>
        <w:t>סלנטר</w:t>
      </w:r>
      <w:proofErr w:type="spellEnd"/>
      <w:r>
        <w:rPr>
          <w:rtl/>
        </w:rPr>
        <w:t>, ואבי השיב ללא היסוס: “ר׳ נפתלי אמסטרדם”. לרמזים אפשריים למה שהביא את רבנו למסקנה זו השווה את הפסקאות הראשונות של הערות 77 ו־78 להלן. כץ, “תנועת המוסר”, כרך ב</w:t>
      </w:r>
      <w:bookmarkStart w:id="4343" w:name="_fnr3240"/>
      <w:r>
        <w:rPr>
          <w:vertAlign w:val="superscript"/>
          <w:rtl/>
        </w:rPr>
        <w:footnoteReference w:id="3248" w:customMarkFollows="0"/>
      </w:r>
      <w:bookmarkEnd w:id="4343"/>
      <w:r>
        <w:rPr>
          <w:rtl/>
        </w:rPr>
        <w:t xml:space="preserve"> וכרך א</w:t>
      </w:r>
      <w:bookmarkStart w:id="4344" w:name="_fnr3241"/>
      <w:r>
        <w:rPr>
          <w:vertAlign w:val="superscript"/>
          <w:rtl/>
        </w:rPr>
        <w:footnoteReference w:id="3249" w:customMarkFollows="0"/>
      </w:r>
      <w:bookmarkEnd w:id="4344"/>
      <w:r>
        <w:rPr>
          <w:rtl/>
        </w:rPr>
        <w:t xml:space="preserve">, מונה אותו עם תלמידי ר׳ ישראל </w:t>
      </w:r>
      <w:proofErr w:type="spellStart"/>
      <w:r>
        <w:rPr>
          <w:rtl/>
        </w:rPr>
        <w:t>בקלויז</w:t>
      </w:r>
      <w:proofErr w:type="spellEnd"/>
      <w:r>
        <w:rPr>
          <w:rtl/>
        </w:rPr>
        <w:t xml:space="preserve"> </w:t>
      </w:r>
      <w:proofErr w:type="spellStart"/>
      <w:r>
        <w:rPr>
          <w:rtl/>
        </w:rPr>
        <w:t>נביאזר</w:t>
      </w:r>
      <w:proofErr w:type="spellEnd"/>
      <w:r>
        <w:rPr>
          <w:rtl/>
        </w:rPr>
        <w:t xml:space="preserve"> בקובנה</w:t>
      </w:r>
      <w:bookmarkStart w:id="4345" w:name="_fnr3242"/>
      <w:r>
        <w:rPr>
          <w:vertAlign w:val="superscript"/>
          <w:rtl/>
        </w:rPr>
        <w:footnoteReference w:id="3250" w:customMarkFollows="0"/>
      </w:r>
      <w:bookmarkEnd w:id="4345"/>
      <w:r>
        <w:rPr>
          <w:rtl/>
        </w:rPr>
        <w:t xml:space="preserve">, בגיל </w:t>
      </w:r>
      <w:proofErr w:type="spellStart"/>
      <w:r>
        <w:rPr>
          <w:rtl/>
        </w:rPr>
        <w:t>שבע־עשרה</w:t>
      </w:r>
      <w:proofErr w:type="spellEnd"/>
      <w:r>
        <w:rPr>
          <w:rtl/>
        </w:rPr>
        <w:t xml:space="preserve">. המקור הראשון אומר: “משערים שכבר למד לפני כן אצל ר׳ ישראל ב[בית המדרש שבאחוזת] </w:t>
      </w:r>
      <w:proofErr w:type="spellStart"/>
      <w:r>
        <w:rPr>
          <w:rtl/>
        </w:rPr>
        <w:t>זארעטשע</w:t>
      </w:r>
      <w:proofErr w:type="spellEnd"/>
      <w:r>
        <w:rPr>
          <w:rtl/>
        </w:rPr>
        <w:t xml:space="preserve"> בווילנה</w:t>
      </w:r>
      <w:bookmarkStart w:id="4346" w:name="_fnr3243"/>
      <w:r>
        <w:rPr>
          <w:vertAlign w:val="superscript"/>
          <w:rtl/>
        </w:rPr>
        <w:footnoteReference w:id="3251" w:customMarkFollows="0"/>
      </w:r>
      <w:bookmarkEnd w:id="4346"/>
      <w:r>
        <w:rPr>
          <w:rtl/>
        </w:rPr>
        <w:t>”.</w:t>
      </w:r>
    </w:p>
    <w:bookmarkStart w:id="4347" w:name="b4_note70"/>
    <w:p w14:paraId="2E59F17B" w14:textId="77777777" w:rsidR="00AB3647" w:rsidRDefault="00000000" w:rsidP="007923E9">
      <w:pPr>
        <w:spacing w:before="120" w:after="100" w:line="276" w:lineRule="auto"/>
        <w:jc w:val="both"/>
      </w:pPr>
      <w:r>
        <w:fldChar w:fldCharType="begin" w:dirty="true"/>
      </w:r>
      <w:r>
        <w:instrText>HYPERLINK \l "b4_text70" \h</w:instrText>
      </w:r>
      <w:r>
        <w:fldChar w:fldCharType="separate"/>
      </w:r>
      <w:r>
        <w:rPr>
          <w:b/>
          <w:bCs/>
          <w:rtl/>
        </w:rPr>
        <w:t>70</w:t>
      </w:r>
      <w:r>
        <w:rPr>
          <w:b/>
          <w:bCs/>
        </w:rPr>
        <w:fldChar w:fldCharType="end"/>
      </w:r>
      <w:bookmarkEnd w:id="4347"/>
      <w:r>
        <w:rPr>
          <w:rtl/>
        </w:rPr>
        <w:t xml:space="preserve"> כץ, “תנועת המוסר”, כרך ב</w:t>
      </w:r>
      <w:bookmarkStart w:id="4348" w:name="_fnr3244"/>
      <w:r>
        <w:rPr>
          <w:vertAlign w:val="superscript"/>
          <w:rtl/>
        </w:rPr>
        <w:footnoteReference w:id="3252" w:customMarkFollows="0"/>
      </w:r>
      <w:bookmarkEnd w:id="4348"/>
      <w:r>
        <w:rPr>
          <w:rtl/>
        </w:rPr>
        <w:t xml:space="preserve">. בשנותיו האחרונות התגורר בירושלים. לפי עדות אבי בריאיון המוקלט על הסבא </w:t>
      </w:r>
      <w:proofErr w:type="spellStart"/>
      <w:r>
        <w:rPr>
          <w:rtl/>
        </w:rPr>
        <w:t>מסלבודקה</w:t>
      </w:r>
      <w:bookmarkStart w:id="4349" w:name="_fnr3245"/>
      <w:proofErr w:type="spellEnd"/>
      <w:r>
        <w:rPr>
          <w:vertAlign w:val="superscript"/>
          <w:rtl/>
        </w:rPr>
        <w:footnoteReference w:id="3253" w:customMarkFollows="0"/>
      </w:r>
      <w:bookmarkEnd w:id="4349"/>
      <w:r>
        <w:rPr>
          <w:rtl/>
        </w:rPr>
        <w:t xml:space="preserve">, עבר לשם “אחרי פסח תרס״ז, כשרבנו היה בן </w:t>
      </w:r>
      <w:proofErr w:type="spellStart"/>
      <w:r>
        <w:rPr>
          <w:rtl/>
        </w:rPr>
        <w:t>שש־עשרה</w:t>
      </w:r>
      <w:proofErr w:type="spellEnd"/>
      <w:r>
        <w:rPr>
          <w:rtl/>
        </w:rPr>
        <w:t>”</w:t>
      </w:r>
      <w:bookmarkStart w:id="4350" w:name="_fnr3246"/>
      <w:r>
        <w:rPr>
          <w:vertAlign w:val="superscript"/>
          <w:rtl/>
        </w:rPr>
        <w:footnoteReference w:id="3254" w:customMarkFollows="0"/>
      </w:r>
      <w:bookmarkEnd w:id="4350"/>
      <w:r>
        <w:rPr>
          <w:rtl/>
        </w:rPr>
        <w:t>. ר׳ נפתלי נפטר בירושלים בשנת תרע״ו.</w:t>
      </w:r>
    </w:p>
    <w:bookmarkStart w:id="4351" w:name="b4_note71"/>
    <w:p w14:paraId="4B91C3EA" w14:textId="77777777" w:rsidR="00AB3647" w:rsidRDefault="00000000" w:rsidP="007923E9">
      <w:pPr>
        <w:spacing w:before="120" w:after="100" w:line="276" w:lineRule="auto"/>
        <w:jc w:val="both"/>
      </w:pPr>
      <w:r>
        <w:fldChar w:fldCharType="begin" w:dirty="true"/>
      </w:r>
      <w:r>
        <w:instrText>HYPERLINK \l "b4_text71" \h</w:instrText>
      </w:r>
      <w:r>
        <w:fldChar w:fldCharType="separate"/>
      </w:r>
      <w:r>
        <w:rPr>
          <w:b/>
          <w:bCs/>
          <w:rtl/>
        </w:rPr>
        <w:t>71</w:t>
      </w:r>
      <w:r>
        <w:rPr>
          <w:b/>
          <w:bCs/>
        </w:rPr>
        <w:fldChar w:fldCharType="end"/>
      </w:r>
      <w:bookmarkEnd w:id="4351"/>
      <w:r>
        <w:rPr>
          <w:rtl/>
        </w:rPr>
        <w:t xml:space="preserve"> כץ, “תנועת המוסר”, כרך ב</w:t>
      </w:r>
      <w:bookmarkStart w:id="4352" w:name="_fnr3247"/>
      <w:r>
        <w:rPr>
          <w:vertAlign w:val="superscript"/>
          <w:rtl/>
        </w:rPr>
        <w:footnoteReference w:id="3255" w:customMarkFollows="0"/>
      </w:r>
      <w:bookmarkEnd w:id="4352"/>
      <w:r>
        <w:rPr>
          <w:rtl/>
        </w:rPr>
        <w:t>. השווה גם “כתבי הסבא”</w:t>
      </w:r>
      <w:bookmarkStart w:id="4353" w:name="_fnr3248"/>
      <w:r>
        <w:rPr>
          <w:vertAlign w:val="superscript"/>
          <w:rtl/>
        </w:rPr>
        <w:footnoteReference w:id="3256" w:customMarkFollows="0"/>
      </w:r>
      <w:bookmarkEnd w:id="4353"/>
      <w:r>
        <w:rPr>
          <w:rtl/>
        </w:rPr>
        <w:t xml:space="preserve">, המצטט את ר׳ גרשון </w:t>
      </w:r>
      <w:proofErr w:type="spellStart"/>
      <w:r>
        <w:rPr>
          <w:rtl/>
        </w:rPr>
        <w:t>מיאדניק</w:t>
      </w:r>
      <w:proofErr w:type="spellEnd"/>
      <w:r>
        <w:rPr>
          <w:rtl/>
        </w:rPr>
        <w:t xml:space="preserve"> בשם ר׳ נפתלי. ר׳ נפתלי סיפר עד כמה העריך ר׳ ישראל את מידת ההתמדה: פעם אמר לו רבו: </w:t>
      </w:r>
      <w:r>
        <w:rPr>
          <w:rtl/>
        </w:rPr>
        <w:lastRenderedPageBreak/>
        <w:t xml:space="preserve">“היודע אתה שיש לך דבר שאפשר לקנא בו? הרי יש לך כוח ההתמדה! יש לך ממש </w:t>
      </w:r>
      <w:proofErr w:type="spellStart"/>
      <w:r>
        <w:rPr>
          <w:rtl/>
        </w:rPr>
        <w:t>מאיאנטעק</w:t>
      </w:r>
      <w:proofErr w:type="spellEnd"/>
      <w:r>
        <w:rPr>
          <w:rtl/>
        </w:rPr>
        <w:t xml:space="preserve"> [אוצר]!” לפי כץ, שם</w:t>
      </w:r>
      <w:bookmarkStart w:id="4354" w:name="_fnr3249"/>
      <w:r>
        <w:rPr>
          <w:vertAlign w:val="superscript"/>
          <w:rtl/>
        </w:rPr>
        <w:footnoteReference w:id="3257" w:customMarkFollows="0"/>
      </w:r>
      <w:bookmarkEnd w:id="4354"/>
      <w:r>
        <w:rPr>
          <w:rtl/>
        </w:rPr>
        <w:t xml:space="preserve">, אמר ר׳ </w:t>
      </w:r>
      <w:proofErr w:type="spellStart"/>
      <w:r>
        <w:rPr>
          <w:rtl/>
        </w:rPr>
        <w:t>איצל׳ה</w:t>
      </w:r>
      <w:proofErr w:type="spellEnd"/>
      <w:r>
        <w:rPr>
          <w:rtl/>
        </w:rPr>
        <w:t xml:space="preserve"> </w:t>
      </w:r>
      <w:proofErr w:type="spellStart"/>
      <w:r>
        <w:rPr>
          <w:rtl/>
        </w:rPr>
        <w:t>בלאזר</w:t>
      </w:r>
      <w:proofErr w:type="spellEnd"/>
      <w:r>
        <w:rPr>
          <w:rtl/>
        </w:rPr>
        <w:t xml:space="preserve"> שר׳ נפתלי יכול היה לתת לפני הקב״ה דין וחשבון על זמן לימוד התורה שביטל.</w:t>
      </w:r>
    </w:p>
    <w:p w14:paraId="3215C5BF" w14:textId="77777777" w:rsidR="00AB3647" w:rsidRDefault="00000000" w:rsidP="007923E9">
      <w:pPr>
        <w:spacing w:before="120" w:after="100" w:line="276" w:lineRule="auto"/>
        <w:jc w:val="both"/>
      </w:pPr>
      <w:r>
        <w:rPr>
          <w:rtl/>
        </w:rPr>
        <w:t xml:space="preserve">מצאתי לכך דוגמה מעניינת משנותיו האחרונות בארץ ישראל. ר׳ שלום </w:t>
      </w:r>
      <w:proofErr w:type="spellStart"/>
      <w:r>
        <w:rPr>
          <w:rtl/>
        </w:rPr>
        <w:t>גלבר</w:t>
      </w:r>
      <w:bookmarkStart w:id="4355" w:name="_fnr3250"/>
      <w:proofErr w:type="spellEnd"/>
      <w:r>
        <w:rPr>
          <w:vertAlign w:val="superscript"/>
          <w:rtl/>
        </w:rPr>
        <w:footnoteReference w:id="3258" w:customMarkFollows="0"/>
      </w:r>
      <w:bookmarkEnd w:id="4355"/>
      <w:r>
        <w:rPr>
          <w:rtl/>
        </w:rPr>
        <w:t xml:space="preserve"> סיפר בשם ר׳ שמואל </w:t>
      </w:r>
      <w:proofErr w:type="spellStart"/>
      <w:r>
        <w:rPr>
          <w:rtl/>
        </w:rPr>
        <w:t xml:space="preserve">אוירבך</w:t>
      </w:r>
      <w:proofErr w:type="spellEnd"/>
      <w:r>
        <w:rPr>
          <w:rtl/>
        </w:rPr>
        <w:t xml:space="preserve"> שבכל פעם שהשתתף ר׳ נפתלי בלוויה בירושלים, היה נמנע מלימוד מוסר במשך שלושת השבועות שאחריה. הוא אמר: “לימוד המוסר מיותר כל עוד רושם המפגש עם המוות שרוי עליי, ויכול אני לנצל את שעת המוסר היומית ללימוד הלכה”. כץ, שם</w:t>
      </w:r>
      <w:bookmarkStart w:id="4356" w:name="_fnr3251"/>
      <w:r>
        <w:rPr>
          <w:vertAlign w:val="superscript"/>
          <w:rtl/>
        </w:rPr>
        <w:footnoteReference w:id="3259" w:customMarkFollows="0"/>
      </w:r>
      <w:bookmarkEnd w:id="4356"/>
      <w:r>
        <w:rPr>
          <w:rtl/>
        </w:rPr>
        <w:t>, מזכיר גם כינוי נעורים נוסף: “נפתלי הגלוק” – הפעמון – שביטא את שקידתו הנלהבת</w:t>
      </w:r>
      <w:bookmarkStart w:id="4357" w:name="_fnr3252"/>
      <w:r>
        <w:rPr>
          <w:vertAlign w:val="superscript"/>
          <w:rtl/>
        </w:rPr>
        <w:footnoteReference w:id="3260" w:customMarkFollows="0"/>
      </w:r>
      <w:bookmarkEnd w:id="4357"/>
      <w:r>
        <w:rPr>
          <w:rtl/>
        </w:rPr>
        <w:t>.</w:t>
      </w:r>
    </w:p>
    <w:bookmarkStart w:id="4358" w:name="b4_note72"/>
    <w:p w14:paraId="084FECC8" w14:textId="1DF08832" w:rsidR="00AB3647" w:rsidRDefault="00000000" w:rsidP="007923E9">
      <w:pPr>
        <w:spacing w:before="120" w:after="100" w:line="276" w:lineRule="auto"/>
        <w:jc w:val="both"/>
      </w:pPr>
      <w:r>
        <w:fldChar w:fldCharType="begin" w:dirty="true"/>
      </w:r>
      <w:r>
        <w:instrText>HYPERLINK \l "b4_text72" \h</w:instrText>
      </w:r>
      <w:r>
        <w:fldChar w:fldCharType="separate"/>
      </w:r>
      <w:r>
        <w:rPr>
          <w:b/>
          <w:bCs/>
          <w:rtl/>
        </w:rPr>
        <w:t>72</w:t>
      </w:r>
      <w:r>
        <w:rPr>
          <w:b/>
          <w:bCs/>
        </w:rPr>
        <w:fldChar w:fldCharType="end"/>
      </w:r>
      <w:bookmarkEnd w:id="4358"/>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7D3B7790" w14:textId="46B2737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בשנת תרכ״ז נתמנה לרבה של הלסינקי שבפינלנד, וכיהן שם שמונה שנים. אחרי ששב לשנה לקובנה, שימש שנתיים מורה צדק בפטרבורג, תחת </w:t>
      </w:r>
      <w:proofErr w:type="spellStart"/>
      <w:r>
        <w:rPr>
          <w:rtl/>
        </w:rPr>
        <w:t>רבנותו</w:t>
      </w:r>
      <w:proofErr w:type="spellEnd"/>
      <w:r>
        <w:rPr>
          <w:rtl/>
        </w:rPr>
        <w:t xml:space="preserve"> של חברו הוותיק ר׳ </w:t>
      </w:r>
      <w:proofErr w:type="spellStart"/>
      <w:r>
        <w:rPr>
          <w:rtl/>
        </w:rPr>
        <w:t>איצל׳ה</w:t>
      </w:r>
      <w:proofErr w:type="spellEnd"/>
      <w:r>
        <w:rPr>
          <w:rtl/>
        </w:rPr>
        <w:t xml:space="preserve"> בלאזר</w:t>
      </w:r>
      <w:bookmarkStart w:id="4359" w:name="b4_text73"/>
      <w:bookmarkEnd w:id="4359"/>
      <w:r>
        <w:rPr>
          <w:sz w:val="18"/>
          <w:szCs w:val="18"/>
          <w:vertAlign w:val="superscript"/>
          <w:rtl/>
        </w:rPr>
        <w:fldChar w:fldCharType="begin" w:dirty="true"/>
      </w:r>
      <w:r>
        <w:rPr>
          <w:sz w:val="18"/>
          <w:szCs w:val="18"/>
          <w:vertAlign w:val="superscript"/>
          <w:rtl/>
        </w:rPr>
        <w:instrText xml:space="preserve"> REF b4_note73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73</w:t>
      </w:r>
      <w:r>
        <w:rPr>
          <w:sz w:val="18"/>
          <w:szCs w:val="18"/>
          <w:vertAlign w:val="superscript"/>
          <w:rtl/>
        </w:rPr>
        <w:fldChar w:fldCharType="end"/>
      </w:r>
      <w:r>
        <w:rPr>
          <w:rtl/>
        </w:rPr>
        <w:t>. הוא ניסה עוד לכהן ברבנות לתקופות קצרות במוסקבה</w:t>
      </w:r>
      <w:bookmarkStart w:id="4360" w:name="b4_text74"/>
      <w:bookmarkEnd w:id="4360"/>
      <w:r>
        <w:rPr>
          <w:sz w:val="18"/>
          <w:szCs w:val="18"/>
          <w:vertAlign w:val="superscript"/>
          <w:rtl/>
        </w:rPr>
        <w:fldChar w:fldCharType="begin" w:dirty="true"/>
      </w:r>
      <w:r>
        <w:rPr>
          <w:sz w:val="18"/>
          <w:szCs w:val="18"/>
          <w:vertAlign w:val="superscript"/>
          <w:rtl/>
        </w:rPr>
        <w:instrText xml:space="preserve"> REF b4_note74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74</w:t>
      </w:r>
      <w:r>
        <w:rPr>
          <w:sz w:val="18"/>
          <w:szCs w:val="18"/>
          <w:vertAlign w:val="superscript"/>
          <w:rtl/>
        </w:rPr>
        <w:fldChar w:fldCharType="end"/>
      </w:r>
      <w:r>
        <w:rPr>
          <w:rtl/>
        </w:rPr>
        <w:t xml:space="preserve">, וכן בעיירות הליטאיות </w:t>
      </w:r>
      <w:proofErr w:type="spellStart"/>
      <w:r>
        <w:rPr>
          <w:rtl/>
        </w:rPr>
        <w:t>יאסווען</w:t>
      </w:r>
      <w:proofErr w:type="spellEnd"/>
      <w:r>
        <w:rPr>
          <w:rtl/>
        </w:rPr>
        <w:t xml:space="preserve"> שליד </w:t>
      </w:r>
      <w:proofErr w:type="spellStart"/>
      <w:r>
        <w:rPr>
          <w:rtl/>
        </w:rPr>
        <w:t>קיידאן</w:t>
      </w:r>
      <w:proofErr w:type="spellEnd"/>
      <w:r>
        <w:rPr>
          <w:rtl/>
        </w:rPr>
        <w:t xml:space="preserve"> </w:t>
      </w:r>
      <w:proofErr w:type="spellStart"/>
      <w:r>
        <w:rPr>
          <w:rtl/>
        </w:rPr>
        <w:t>ואלקסוט</w:t>
      </w:r>
      <w:proofErr w:type="spellEnd"/>
      <w:r>
        <w:rPr>
          <w:rtl/>
        </w:rPr>
        <w:t xml:space="preserve"> התחתית שליד קובנה. בעשרים השנים הבאות שב להתגורר בקובנה, ושוב התבססה פרנסת המשפחה על מומחיותה של אשתו באפייה</w:t>
      </w:r>
      <w:bookmarkStart w:id="4361" w:name="b4_text75"/>
      <w:bookmarkEnd w:id="4361"/>
      <w:r>
        <w:rPr>
          <w:sz w:val="18"/>
          <w:szCs w:val="18"/>
          <w:vertAlign w:val="superscript"/>
          <w:rtl/>
        </w:rPr>
        <w:fldChar w:fldCharType="begin" w:dirty="true"/>
      </w:r>
      <w:r>
        <w:rPr>
          <w:sz w:val="18"/>
          <w:szCs w:val="18"/>
          <w:vertAlign w:val="superscript"/>
          <w:rtl/>
        </w:rPr>
        <w:instrText xml:space="preserve"> REF b4_note75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75</w:t>
      </w:r>
      <w:r>
        <w:rPr>
          <w:sz w:val="18"/>
          <w:szCs w:val="18"/>
          <w:vertAlign w:val="superscript"/>
          <w:rtl/>
        </w:rPr>
        <w:fldChar w:fldCharType="end"/>
      </w:r>
      <w:r>
        <w:rPr>
          <w:rtl/>
        </w:rPr>
        <w:t>.</w:t>
      </w:r>
    </w:p>
    <w:bookmarkStart w:id="4362" w:name="b4_note73"/>
    <w:p w14:paraId="6D66D761" w14:textId="77777777" w:rsidR="00AB3647" w:rsidRDefault="00000000" w:rsidP="007923E9">
      <w:pPr>
        <w:spacing w:before="120" w:after="100" w:line="276" w:lineRule="auto"/>
        <w:jc w:val="both"/>
      </w:pPr>
      <w:r>
        <w:fldChar w:fldCharType="begin" w:dirty="true"/>
      </w:r>
      <w:r>
        <w:instrText>HYPERLINK \l "b4_text73" \h</w:instrText>
      </w:r>
      <w:r>
        <w:fldChar w:fldCharType="separate"/>
      </w:r>
      <w:r>
        <w:rPr>
          <w:b/>
          <w:bCs/>
          <w:rtl/>
        </w:rPr>
        <w:t>73</w:t>
      </w:r>
      <w:r>
        <w:rPr>
          <w:b/>
          <w:bCs/>
        </w:rPr>
        <w:fldChar w:fldCharType="end"/>
      </w:r>
      <w:bookmarkEnd w:id="4362"/>
      <w:r>
        <w:rPr>
          <w:rtl/>
        </w:rPr>
        <w:t xml:space="preserve"> שם. לפי כץ, “תנועת המוסר”, כרך א</w:t>
      </w:r>
      <w:bookmarkStart w:id="4363" w:name="_fnr3253"/>
      <w:r>
        <w:rPr>
          <w:vertAlign w:val="superscript"/>
          <w:rtl/>
        </w:rPr>
        <w:footnoteReference w:id="3261" w:customMarkFollows="0"/>
      </w:r>
      <w:bookmarkEnd w:id="4363"/>
      <w:r>
        <w:rPr>
          <w:rtl/>
        </w:rPr>
        <w:t xml:space="preserve">, ר׳ נפתלי ור׳ </w:t>
      </w:r>
      <w:proofErr w:type="spellStart"/>
      <w:r>
        <w:rPr>
          <w:rtl/>
        </w:rPr>
        <w:t>איצל׳ה</w:t>
      </w:r>
      <w:proofErr w:type="spellEnd"/>
      <w:r>
        <w:rPr>
          <w:rtl/>
        </w:rPr>
        <w:t xml:space="preserve"> למדו שניהם </w:t>
      </w:r>
      <w:proofErr w:type="spellStart"/>
      <w:r>
        <w:rPr>
          <w:rtl/>
        </w:rPr>
        <w:t>בקלויז</w:t>
      </w:r>
      <w:proofErr w:type="spellEnd"/>
      <w:r>
        <w:rPr>
          <w:rtl/>
        </w:rPr>
        <w:t xml:space="preserve"> </w:t>
      </w:r>
      <w:proofErr w:type="spellStart"/>
      <w:r>
        <w:rPr>
          <w:rtl/>
        </w:rPr>
        <w:t>נביאזר</w:t>
      </w:r>
      <w:proofErr w:type="spellEnd"/>
      <w:r>
        <w:rPr>
          <w:rtl/>
        </w:rPr>
        <w:t xml:space="preserve">, וגם ר׳ </w:t>
      </w:r>
      <w:proofErr w:type="spellStart"/>
      <w:r>
        <w:rPr>
          <w:rtl/>
        </w:rPr>
        <w:t>שמחה־זיסל</w:t>
      </w:r>
      <w:proofErr w:type="spellEnd"/>
      <w:r>
        <w:rPr>
          <w:rtl/>
        </w:rPr>
        <w:t xml:space="preserve"> זיו למד שם</w:t>
      </w:r>
      <w:bookmarkStart w:id="4364" w:name="_fnr3254"/>
      <w:r>
        <w:rPr>
          <w:vertAlign w:val="superscript"/>
          <w:rtl/>
        </w:rPr>
        <w:footnoteReference w:id="3262" w:customMarkFollows="0"/>
      </w:r>
      <w:bookmarkEnd w:id="4364"/>
      <w:r>
        <w:rPr>
          <w:rtl/>
        </w:rPr>
        <w:t xml:space="preserve">. ר׳ </w:t>
      </w:r>
      <w:proofErr w:type="spellStart"/>
      <w:r>
        <w:rPr>
          <w:rtl/>
        </w:rPr>
        <w:t>איצל׳ה</w:t>
      </w:r>
      <w:proofErr w:type="spellEnd"/>
      <w:r>
        <w:rPr>
          <w:rtl/>
        </w:rPr>
        <w:t xml:space="preserve"> התחיל ללמוד שם אחרי נישואיו, בגיל </w:t>
      </w:r>
      <w:proofErr w:type="spellStart"/>
      <w:r>
        <w:rPr>
          <w:rtl/>
        </w:rPr>
        <w:t>חמש־עשרה</w:t>
      </w:r>
      <w:bookmarkStart w:id="4365" w:name="_fnr3255"/>
      <w:proofErr w:type="spellEnd"/>
      <w:r>
        <w:rPr>
          <w:vertAlign w:val="superscript"/>
          <w:rtl/>
        </w:rPr>
        <w:footnoteReference w:id="3263" w:customMarkFollows="0"/>
      </w:r>
      <w:bookmarkEnd w:id="4365"/>
      <w:r>
        <w:rPr>
          <w:rtl/>
        </w:rPr>
        <w:t>. ר׳ נפתלי כבר היה אז בן עשרים, ולמד שם שלוש שנים</w:t>
      </w:r>
      <w:bookmarkStart w:id="4366" w:name="_fnr3256"/>
      <w:r>
        <w:rPr>
          <w:vertAlign w:val="superscript"/>
          <w:rtl/>
        </w:rPr>
        <w:footnoteReference w:id="3264" w:customMarkFollows="0"/>
      </w:r>
      <w:bookmarkEnd w:id="4366"/>
      <w:r>
        <w:rPr>
          <w:rtl/>
        </w:rPr>
        <w:t>. לפי כץ, כרך ב</w:t>
      </w:r>
      <w:bookmarkStart w:id="4367" w:name="_fnr3257"/>
      <w:r>
        <w:rPr>
          <w:vertAlign w:val="superscript"/>
          <w:rtl/>
        </w:rPr>
        <w:footnoteReference w:id="3265" w:customMarkFollows="0"/>
      </w:r>
      <w:bookmarkEnd w:id="4367"/>
      <w:r>
        <w:rPr>
          <w:rtl/>
        </w:rPr>
        <w:t>, היכרותם התחילה עוד קודם לכן.</w:t>
      </w:r>
    </w:p>
    <w:bookmarkStart w:id="4368" w:name="b4_note74"/>
    <w:p w14:paraId="1D619F0C" w14:textId="4705507D" w:rsidR="00AB3647" w:rsidRDefault="00000000" w:rsidP="007923E9">
      <w:pPr>
        <w:spacing w:before="120" w:after="100" w:line="276" w:lineRule="auto"/>
        <w:jc w:val="both"/>
      </w:pPr>
      <w:r>
        <w:fldChar w:fldCharType="begin" w:dirty="true"/>
      </w:r>
      <w:r>
        <w:instrText>HYPERLINK \l "b4_text74" \h</w:instrText>
      </w:r>
      <w:r>
        <w:fldChar w:fldCharType="separate"/>
      </w:r>
      <w:r>
        <w:rPr>
          <w:b/>
          <w:bCs/>
          <w:rtl/>
        </w:rPr>
        <w:t>74</w:t>
      </w:r>
      <w:r>
        <w:rPr>
          <w:b/>
          <w:bCs/>
        </w:rPr>
        <w:fldChar w:fldCharType="end"/>
      </w:r>
      <w:bookmarkEnd w:id="4368"/>
      <w:r>
        <w:rPr>
          <w:rtl/>
        </w:rPr>
        <w:t xml:space="preserve"> </w:t>
      </w:r>
      <w:proofErr w:type="spellStart"/>
      <w:r>
        <w:rPr>
          <w:rtl/>
        </w:rPr>
        <w:t>ב“כוכבי</w:t>
      </w:r>
      <w:proofErr w:type="spellEnd"/>
      <w:r>
        <w:rPr>
          <w:rtl/>
        </w:rPr>
        <w:t xml:space="preserve"> אור”</w:t>
      </w:r>
      <w:bookmarkStart w:id="4369" w:name="_fnr3258"/>
      <w:r>
        <w:rPr>
          <w:vertAlign w:val="superscript"/>
          <w:rtl/>
        </w:rPr>
        <w:footnoteReference w:id="3266" w:customMarkFollows="0"/>
      </w:r>
      <w:bookmarkEnd w:id="4369"/>
      <w:r>
        <w:rPr>
          <w:rtl/>
        </w:rPr>
        <w:t xml:space="preserve"> נדפס מכתב ששלח ר׳ נפתלי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זמן קצר לפני התמנותו לרב בהלסינקי. מן המכתב עולה שר׳ ישראל פעל לכך שכמה אנשים יפנו במכתבים אל אנשי הקהילה היהודית במוסקבה – ובהם “ידידם ר׳ </w:t>
      </w:r>
      <w:proofErr w:type="spellStart"/>
      <w:r>
        <w:rPr>
          <w:rtl/>
        </w:rPr>
        <w:t>קלמן־וולף</w:t>
      </w:r>
      <w:proofErr w:type="spellEnd"/>
      <w:r>
        <w:rPr>
          <w:rtl/>
        </w:rPr>
        <w:t xml:space="preserve"> [ויסוצקי]” – ויבקשו שימנו שם את ר׳ נפתלי. נראה שחלפו שנים רבות עד שהשתדלות זו נשאה פרי. ר׳ נפתלי מתלונן במכתב שאין לו פרנסה, ומציין שהיה יכול לפתור את הבעיה אילו עזר לאשתו באפיית הלחם, “שהיא מלאכה קשה מאוד, שאין כוח באישה אחת לעמול בה בלי עזרת בעלה”; אלא שר׳ ישראל “הסיר ממנו מחשבות אלה”. על “מקצוע” זה של ר׳ נפתלי השווה גם הערה </w:t>
      </w:r>
      <w:r>
        <w:rPr>
          <w:rtl/>
        </w:rPr>
        <w:fldChar w:fldCharType="begin" w:dirty="true"/>
      </w:r>
      <w:r>
        <w:rPr>
          <w:rtl/>
        </w:rPr>
        <w:instrText xml:space="preserve"> REF b4_note77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77</w:t>
      </w:r>
      <w:r>
        <w:rPr>
          <w:rtl/>
        </w:rPr>
        <w:fldChar w:fldCharType="end"/>
      </w:r>
      <w:r>
        <w:rPr>
          <w:rtl/>
        </w:rPr>
        <w:t xml:space="preserve"> להלן.</w:t>
      </w:r>
    </w:p>
    <w:bookmarkStart w:id="4370" w:name="b4_note75"/>
    <w:p w14:paraId="451F5E1C" w14:textId="77777777" w:rsidR="00AB3647" w:rsidRDefault="00000000" w:rsidP="007923E9">
      <w:pPr>
        <w:spacing w:before="120" w:after="100" w:line="276" w:lineRule="auto"/>
        <w:jc w:val="both"/>
      </w:pPr>
      <w:r>
        <w:lastRenderedPageBreak/>
        <w:fldChar w:fldCharType="begin" w:dirty="true"/>
      </w:r>
      <w:r>
        <w:instrText>HYPERLINK \l "b4_text75" \h</w:instrText>
      </w:r>
      <w:r>
        <w:fldChar w:fldCharType="separate"/>
      </w:r>
      <w:r>
        <w:rPr>
          <w:b/>
          <w:bCs/>
          <w:rtl/>
        </w:rPr>
        <w:t>75</w:t>
      </w:r>
      <w:r>
        <w:rPr>
          <w:b/>
          <w:bCs/>
        </w:rPr>
        <w:fldChar w:fldCharType="end"/>
      </w:r>
      <w:bookmarkEnd w:id="4370"/>
      <w:r>
        <w:rPr>
          <w:rtl/>
        </w:rPr>
        <w:t xml:space="preserve"> פרטי נדודיו, מלבד פרשת מוסקבה, לקוחים מספרו של כץ, “תנועת המוסר”, כרך ב</w:t>
      </w:r>
      <w:bookmarkStart w:id="4371" w:name="_fnr3259"/>
      <w:r>
        <w:rPr>
          <w:vertAlign w:val="superscript"/>
          <w:rtl/>
        </w:rPr>
        <w:footnoteReference w:id="3267" w:customMarkFollows="0"/>
      </w:r>
      <w:bookmarkEnd w:id="4371"/>
      <w:r>
        <w:rPr>
          <w:rtl/>
        </w:rPr>
        <w:t xml:space="preserve">. </w:t>
      </w:r>
      <w:proofErr w:type="spellStart"/>
      <w:r>
        <w:rPr>
          <w:rtl/>
        </w:rPr>
        <w:t>ב“כתבי</w:t>
      </w:r>
      <w:proofErr w:type="spellEnd"/>
      <w:r>
        <w:rPr>
          <w:rtl/>
        </w:rPr>
        <w:t xml:space="preserve"> הסבא”</w:t>
      </w:r>
      <w:bookmarkStart w:id="4372" w:name="_fnr3260"/>
      <w:r>
        <w:rPr>
          <w:vertAlign w:val="superscript"/>
          <w:rtl/>
        </w:rPr>
        <w:footnoteReference w:id="3268" w:customMarkFollows="0"/>
      </w:r>
      <w:bookmarkEnd w:id="4372"/>
      <w:r>
        <w:rPr>
          <w:rtl/>
        </w:rPr>
        <w:t xml:space="preserve"> מובא שר׳ גרשון </w:t>
      </w:r>
      <w:proofErr w:type="spellStart"/>
      <w:r>
        <w:rPr>
          <w:rtl/>
        </w:rPr>
        <w:t>מיאדניק</w:t>
      </w:r>
      <w:proofErr w:type="spellEnd"/>
      <w:r>
        <w:rPr>
          <w:rtl/>
        </w:rPr>
        <w:t xml:space="preserve"> שמע מפי ר׳ נפתלי עצמו שר׳ ישראל </w:t>
      </w:r>
      <w:proofErr w:type="spellStart"/>
      <w:r>
        <w:rPr>
          <w:rtl/>
        </w:rPr>
        <w:t>סלנטר</w:t>
      </w:r>
      <w:proofErr w:type="spellEnd"/>
      <w:r>
        <w:rPr>
          <w:rtl/>
        </w:rPr>
        <w:t xml:space="preserve"> שלחו להיות רב במוסקבה. ר׳ נפתלי כיהן שם כשלושת רבעי שנה, עד שקראו ר׳ ישראל לחזור לקובנה. עוד מסופר שם: “לאחר זמן שאלו ר׳ ישראל: ‘נו, נפתלי, האם אתה מצטער שלא נשארת רב במוסקבה? הרי כבר היה לך עכשיו שק מלא כסף!’ כשסיפר ר׳ נפתלי את הדברים, היה מצחקק ואומר שרבו ביטא ‘שק מלא כסף’ באותו ניגון כאילו אמר ‘שק מלא בצלים רקובים’.” מאחר שכץ, “תנועת המוסר”, כרך ב, השמיט את השהות במוסקבה, ברור שלא ידע עליה.</w:t>
      </w:r>
      <w:bookmarkStart w:id="4373" w:name="_fnr3261"/>
      <w:r>
        <w:rPr>
          <w:vertAlign w:val="superscript"/>
          <w:rtl/>
        </w:rPr>
        <w:footnoteReference w:id="3269" w:customMarkFollows="0"/>
      </w:r>
      <w:bookmarkEnd w:id="4373"/>
    </w:p>
    <w:p w14:paraId="5F6A2E56" w14:textId="77777777" w:rsidR="00AB3647" w:rsidRDefault="00000000" w:rsidP="007923E9">
      <w:pPr>
        <w:spacing w:before="120" w:after="100" w:line="276" w:lineRule="auto"/>
        <w:jc w:val="both"/>
      </w:pPr>
      <w:r>
        <w:rPr>
          <w:rtl/>
        </w:rPr>
        <w:t>כץ, כרך ג</w:t>
      </w:r>
      <w:bookmarkStart w:id="4374" w:name="_fnr3262"/>
      <w:r>
        <w:rPr>
          <w:vertAlign w:val="superscript"/>
          <w:rtl/>
        </w:rPr>
        <w:footnoteReference w:id="3270" w:customMarkFollows="0"/>
      </w:r>
      <w:bookmarkEnd w:id="4374"/>
      <w:r>
        <w:rPr>
          <w:rtl/>
        </w:rPr>
        <w:t>, מונה את ר׳ נפתלי עם עשרת חברי המניין הראשונים של כולל קובנה, שנוסד ב־1879</w:t>
      </w:r>
      <w:bookmarkStart w:id="4375" w:name="_fnr3263"/>
      <w:bookmarkEnd w:id="4375"/>
      <w:r>
        <w:rPr>
          <w:rStyle w:val="a5"/>
        </w:rPr>
        <w:t/>
      </w:r>
      <w:bookmarkStart w:id="7036" w:name="_TranslatorNote_5392"/>
      <w:r>
        <w:rPr>
          <w:rStyle w:val="a5"/>
          <w:vertAlign w:val="superscript"/>
          <w:rtl/>
        </w:rPr>
        <w:footnoteReference w:id="3271" w:customMarkFollows="1"/>
        <w:t>*</w:t>
      </w:r>
      <w:bookmarkEnd w:id="7036"/>
      <w:r>
        <w:rPr>
          <w:rtl/>
        </w:rPr>
        <w:t xml:space="preserve">. מבחינה כרונולוגית, הדבר היה אמור להתרחש בין כהונתו </w:t>
      </w:r>
      <w:proofErr w:type="spellStart"/>
      <w:r>
        <w:rPr>
          <w:rtl/>
        </w:rPr>
        <w:t>כמ״ץ</w:t>
      </w:r>
      <w:proofErr w:type="spellEnd"/>
      <w:r>
        <w:rPr>
          <w:rtl/>
        </w:rPr>
        <w:t xml:space="preserve"> לבין חזרתו למשרת רבנות. אולם מסתבר יותר שלא היה רק חבר מן המניין בכולל, אלא מילא בו תפקיד – כנראה מעין “משפיע”. שהרי בגיל ארבעים וחמש, אחרי שהפנה עורף לרבנות, היה מבוגר מדי ובעל אופי אחר מכדי להימנות עם תלמידי כולל שנועד להכשיר צעירים לרבנות.</w:t>
      </w:r>
      <w:bookmarkStart w:id="4376" w:name="_fnr3264"/>
      <w:r>
        <w:rPr>
          <w:vertAlign w:val="superscript"/>
          <w:rtl/>
        </w:rPr>
        <w:footnoteReference w:id="3272" w:customMarkFollows="0"/>
      </w:r>
      <w:bookmarkEnd w:id="4376"/>
    </w:p>
    <w:p w14:paraId="0780951A" w14:textId="31ED979D" w:rsidR="00AB3647" w:rsidRDefault="00000000" w:rsidP="007923E9">
      <w:pPr>
        <w:spacing w:before="120" w:after="100" w:line="276" w:lineRule="auto"/>
        <w:jc w:val="both"/>
      </w:pPr>
      <w:r>
        <w:rPr>
          <w:rtl/>
        </w:rPr>
        <w:t>לפי כץ, כרך ב</w:t>
      </w:r>
      <w:bookmarkStart w:id="4377" w:name="_fnr3265"/>
      <w:r>
        <w:rPr>
          <w:vertAlign w:val="superscript"/>
          <w:rtl/>
        </w:rPr>
        <w:footnoteReference w:id="3273" w:customMarkFollows="0"/>
      </w:r>
      <w:bookmarkEnd w:id="4377"/>
      <w:r>
        <w:rPr>
          <w:rtl/>
        </w:rPr>
        <w:t xml:space="preserve">, אשתו של ר׳ נפתלי נשארה בקובנה בזמן כהונתו כרב בהלסינקי, וכנראה גם בזמן מסעותיו המאוחרים יותר. ראה פרק 3, </w:t>
      </w:r>
      <w:r>
        <w:rPr>
          <w:rtl/>
        </w:rPr>
        <w:fldChar w:fldCharType="begin" w:dirty="true"/>
      </w:r>
      <w:r>
        <w:rPr>
          <w:rtl/>
        </w:rPr>
        <w:instrText xml:space="preserve"> REF b3_excW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כג</w:t>
      </w:r>
      <w:proofErr w:type="spellEnd"/>
      <w:r>
        <w:rPr>
          <w:rtl/>
        </w:rPr>
        <w:fldChar w:fldCharType="end"/>
      </w:r>
      <w:r>
        <w:rPr>
          <w:rtl/>
        </w:rPr>
        <w:t xml:space="preserve">: גם הסבא </w:t>
      </w:r>
      <w:proofErr w:type="spellStart"/>
      <w:r>
        <w:rPr>
          <w:rtl/>
        </w:rPr>
        <w:t>מסלבודקה</w:t>
      </w:r>
      <w:proofErr w:type="spellEnd"/>
      <w:r>
        <w:rPr>
          <w:rtl/>
        </w:rPr>
        <w:t>, שהעריץ מאוד את ר׳ נפתלי אמסטרדם, היה רחוק מאשתו פרקי זמן ממושכים – צורת חיי משפחה שרבנו כינה “</w:t>
      </w:r>
      <w:proofErr w:type="spellStart"/>
      <w:r>
        <w:rPr>
          <w:rtl/>
        </w:rPr>
        <w:t>מאיימדיג</w:t>
      </w:r>
      <w:proofErr w:type="spellEnd"/>
      <w:r>
        <w:rPr>
          <w:rtl/>
        </w:rPr>
        <w:t>”, מעוררת אימה.</w:t>
      </w:r>
    </w:p>
    <w:p w14:paraId="6AE4C396" w14:textId="2C0498C1"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עזב את קובנה שנתיים לפני בואו של רבנו </w:t>
      </w:r>
      <w:proofErr w:type="spellStart"/>
      <w:r>
        <w:rPr>
          <w:rtl/>
        </w:rPr>
        <w:t>לסלבודקה</w:t>
      </w:r>
      <w:proofErr w:type="spellEnd"/>
      <w:r>
        <w:rPr>
          <w:rtl/>
        </w:rPr>
        <w:t xml:space="preserve">. במשך רבע מאה עסק ר׳ </w:t>
      </w:r>
      <w:proofErr w:type="spellStart"/>
      <w:r>
        <w:rPr>
          <w:rtl/>
        </w:rPr>
        <w:t>איצל׳ה</w:t>
      </w:r>
      <w:proofErr w:type="spellEnd"/>
      <w:r>
        <w:rPr>
          <w:rtl/>
        </w:rPr>
        <w:t xml:space="preserve"> במרץ בהפצת רעיון המוסר בקובנה ובסביבותיה</w:t>
      </w:r>
      <w:bookmarkStart w:id="4378" w:name="b4_text76"/>
      <w:bookmarkEnd w:id="4378"/>
      <w:r>
        <w:rPr>
          <w:sz w:val="18"/>
          <w:szCs w:val="18"/>
          <w:vertAlign w:val="superscript"/>
          <w:rtl/>
        </w:rPr>
        <w:fldChar w:fldCharType="begin" w:dirty="true"/>
      </w:r>
      <w:r>
        <w:rPr>
          <w:sz w:val="18"/>
          <w:szCs w:val="18"/>
          <w:vertAlign w:val="superscript"/>
          <w:rtl/>
        </w:rPr>
        <w:instrText xml:space="preserve"> REF b4_note76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76</w:t>
      </w:r>
      <w:r>
        <w:rPr>
          <w:sz w:val="18"/>
          <w:szCs w:val="18"/>
          <w:vertAlign w:val="superscript"/>
          <w:rtl/>
        </w:rPr>
        <w:fldChar w:fldCharType="end"/>
      </w:r>
      <w:r>
        <w:rPr>
          <w:rtl/>
        </w:rPr>
        <w:t>, ואחר כך עקר משם לארץ ישראל. אבל ר׳ נפתלי חי בצנעה</w:t>
      </w:r>
      <w:bookmarkStart w:id="4379" w:name="b4_text77"/>
      <w:bookmarkEnd w:id="4379"/>
      <w:r>
        <w:rPr>
          <w:sz w:val="18"/>
          <w:szCs w:val="18"/>
          <w:vertAlign w:val="superscript"/>
          <w:rtl/>
        </w:rPr>
        <w:fldChar w:fldCharType="begin" w:dirty="true"/>
      </w:r>
      <w:r>
        <w:rPr>
          <w:sz w:val="18"/>
          <w:szCs w:val="18"/>
          <w:vertAlign w:val="superscript"/>
          <w:rtl/>
        </w:rPr>
        <w:instrText xml:space="preserve"> REF b4_note77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77</w:t>
      </w:r>
      <w:r>
        <w:rPr>
          <w:sz w:val="18"/>
          <w:szCs w:val="18"/>
          <w:vertAlign w:val="superscript"/>
          <w:rtl/>
        </w:rPr>
        <w:fldChar w:fldCharType="end"/>
      </w:r>
      <w:r>
        <w:rPr>
          <w:rtl/>
        </w:rPr>
        <w:t>, ורק גילם באישיותו את אידיאל המוסר</w:t>
      </w:r>
      <w:bookmarkStart w:id="4380" w:name="b4_text78"/>
      <w:bookmarkEnd w:id="4380"/>
      <w:r>
        <w:rPr>
          <w:sz w:val="18"/>
          <w:szCs w:val="18"/>
          <w:vertAlign w:val="superscript"/>
          <w:rtl/>
        </w:rPr>
        <w:fldChar w:fldCharType="begin" w:dirty="true"/>
      </w:r>
      <w:r>
        <w:rPr>
          <w:sz w:val="18"/>
          <w:szCs w:val="18"/>
          <w:vertAlign w:val="superscript"/>
          <w:rtl/>
        </w:rPr>
        <w:instrText xml:space="preserve"> REF b4_note78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78</w:t>
      </w:r>
      <w:r>
        <w:rPr>
          <w:sz w:val="18"/>
          <w:szCs w:val="18"/>
          <w:vertAlign w:val="superscript"/>
          <w:rtl/>
        </w:rPr>
        <w:fldChar w:fldCharType="end"/>
      </w:r>
      <w:r>
        <w:rPr>
          <w:rtl/>
        </w:rPr>
        <w:t>. אף על פי כן, בחול המועד</w:t>
      </w:r>
      <w:bookmarkStart w:id="4381" w:name="b4_text79"/>
      <w:bookmarkEnd w:id="4381"/>
      <w:r>
        <w:rPr>
          <w:sz w:val="18"/>
          <w:szCs w:val="18"/>
          <w:vertAlign w:val="superscript"/>
          <w:rtl/>
        </w:rPr>
        <w:fldChar w:fldCharType="begin" w:dirty="true"/>
      </w:r>
      <w:r>
        <w:rPr>
          <w:sz w:val="18"/>
          <w:szCs w:val="18"/>
          <w:vertAlign w:val="superscript"/>
          <w:rtl/>
        </w:rPr>
        <w:instrText xml:space="preserve"> REF b4_note79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79</w:t>
      </w:r>
      <w:r>
        <w:rPr>
          <w:sz w:val="18"/>
          <w:szCs w:val="18"/>
          <w:vertAlign w:val="superscript"/>
          <w:rtl/>
        </w:rPr>
        <w:fldChar w:fldCharType="end"/>
      </w:r>
      <w:r>
        <w:rPr>
          <w:rtl/>
        </w:rPr>
        <w:t xml:space="preserve"> יצא ר׳ נפתלי אל הציבור: הוא קיבל תלמידי כנסת ישראל וסיפר להם סיפורים</w:t>
      </w:r>
      <w:bookmarkStart w:id="4382" w:name="b4_text80"/>
      <w:bookmarkEnd w:id="4382"/>
      <w:r>
        <w:rPr>
          <w:sz w:val="18"/>
          <w:szCs w:val="18"/>
          <w:vertAlign w:val="superscript"/>
          <w:rtl/>
        </w:rPr>
        <w:fldChar w:fldCharType="begin" w:dirty="true"/>
      </w:r>
      <w:r>
        <w:rPr>
          <w:sz w:val="18"/>
          <w:szCs w:val="18"/>
          <w:vertAlign w:val="superscript"/>
          <w:rtl/>
        </w:rPr>
        <w:instrText xml:space="preserve"> REF b4_note80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80</w:t>
      </w:r>
      <w:r>
        <w:rPr>
          <w:sz w:val="18"/>
          <w:szCs w:val="18"/>
          <w:vertAlign w:val="superscript"/>
          <w:rtl/>
        </w:rPr>
        <w:fldChar w:fldCharType="end"/>
      </w:r>
      <w:r>
        <w:rPr>
          <w:rtl/>
        </w:rPr>
        <w:t xml:space="preserve"> על רבו ועל שאר גדולי העבר</w:t>
      </w:r>
      <w:bookmarkStart w:id="4383" w:name="b4_text81"/>
      <w:bookmarkEnd w:id="4383"/>
      <w:r>
        <w:rPr>
          <w:sz w:val="18"/>
          <w:szCs w:val="18"/>
          <w:vertAlign w:val="superscript"/>
          <w:rtl/>
        </w:rPr>
        <w:fldChar w:fldCharType="begin" w:dirty="true"/>
      </w:r>
      <w:r>
        <w:rPr>
          <w:sz w:val="18"/>
          <w:szCs w:val="18"/>
          <w:vertAlign w:val="superscript"/>
          <w:rtl/>
        </w:rPr>
        <w:instrText xml:space="preserve"> REF b4_note81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81</w:t>
      </w:r>
      <w:r>
        <w:rPr>
          <w:sz w:val="18"/>
          <w:szCs w:val="18"/>
          <w:vertAlign w:val="superscript"/>
          <w:rtl/>
        </w:rPr>
        <w:fldChar w:fldCharType="end"/>
      </w:r>
      <w:r>
        <w:rPr>
          <w:rtl/>
        </w:rPr>
        <w:t xml:space="preserve">. </w:t>
      </w:r>
      <w:proofErr w:type="spellStart"/>
      <w:r>
        <w:rPr>
          <w:rtl/>
        </w:rPr>
        <w:t>הדולהינובר</w:t>
      </w:r>
      <w:proofErr w:type="spellEnd"/>
      <w:r>
        <w:rPr>
          <w:rtl/>
        </w:rPr>
        <w:t xml:space="preserve"> שאף כל מילה שהוציא מפיו החכם, שהיה בשנות השבעים לחייו. הן דמותו של החכם</w:t>
      </w:r>
      <w:bookmarkStart w:id="4384" w:name="b4_text82"/>
      <w:bookmarkEnd w:id="4384"/>
      <w:r>
        <w:rPr>
          <w:sz w:val="18"/>
          <w:szCs w:val="18"/>
          <w:vertAlign w:val="superscript"/>
          <w:rtl/>
        </w:rPr>
        <w:fldChar w:fldCharType="begin" w:dirty="true"/>
      </w:r>
      <w:r>
        <w:rPr>
          <w:sz w:val="18"/>
          <w:szCs w:val="18"/>
          <w:vertAlign w:val="superscript"/>
          <w:rtl/>
        </w:rPr>
        <w:instrText xml:space="preserve"> REF b4_note82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82</w:t>
      </w:r>
      <w:r>
        <w:rPr>
          <w:sz w:val="18"/>
          <w:szCs w:val="18"/>
          <w:vertAlign w:val="superscript"/>
          <w:rtl/>
        </w:rPr>
        <w:fldChar w:fldCharType="end"/>
      </w:r>
      <w:r>
        <w:rPr>
          <w:rtl/>
        </w:rPr>
        <w:t xml:space="preserve"> והן דבריו השפיעו עליו השפעה מתמשכת</w:t>
      </w:r>
      <w:bookmarkStart w:id="4385" w:name="b4_text83"/>
      <w:bookmarkEnd w:id="4385"/>
      <w:r>
        <w:rPr>
          <w:sz w:val="18"/>
          <w:szCs w:val="18"/>
          <w:vertAlign w:val="superscript"/>
          <w:rtl/>
        </w:rPr>
        <w:fldChar w:fldCharType="begin" w:dirty="true"/>
      </w:r>
      <w:r>
        <w:rPr>
          <w:sz w:val="18"/>
          <w:szCs w:val="18"/>
          <w:vertAlign w:val="superscript"/>
          <w:rtl/>
        </w:rPr>
        <w:instrText xml:space="preserve"> REF b4_note83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83</w:t>
      </w:r>
      <w:r>
        <w:rPr>
          <w:sz w:val="18"/>
          <w:szCs w:val="18"/>
          <w:vertAlign w:val="superscript"/>
          <w:rtl/>
        </w:rPr>
        <w:fldChar w:fldCharType="end"/>
      </w:r>
      <w:r>
        <w:rPr>
          <w:rtl/>
        </w:rPr>
        <w:t>.</w:t>
      </w:r>
    </w:p>
    <w:bookmarkStart w:id="4386" w:name="b4_note76"/>
    <w:p w14:paraId="653033B9" w14:textId="4764E2AE" w:rsidR="00AB3647" w:rsidRDefault="00000000" w:rsidP="007923E9">
      <w:pPr>
        <w:spacing w:before="120" w:after="100" w:line="276" w:lineRule="auto"/>
        <w:jc w:val="both"/>
      </w:pPr>
      <w:r>
        <w:fldChar w:fldCharType="begin" w:dirty="true"/>
      </w:r>
      <w:r>
        <w:instrText>HYPERLINK \l "b4_text76" \h</w:instrText>
      </w:r>
      <w:r>
        <w:fldChar w:fldCharType="separate"/>
      </w:r>
      <w:r>
        <w:rPr>
          <w:b/>
          <w:bCs/>
          <w:rtl/>
        </w:rPr>
        <w:t>76</w:t>
      </w:r>
      <w:r>
        <w:rPr>
          <w:b/>
          <w:bCs/>
        </w:rPr>
        <w:fldChar w:fldCharType="end"/>
      </w:r>
      <w:bookmarkEnd w:id="4386"/>
      <w:r>
        <w:rPr>
          <w:rtl/>
        </w:rPr>
        <w:t xml:space="preserve"> ראה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bookmarkStart w:id="4387" w:name="pr_b_1900"/>
    <w:bookmarkStart w:id="4388" w:name="b4_note77"/>
    <w:bookmarkEnd w:id="4387"/>
    <w:p w14:paraId="053D1F25" w14:textId="77777777" w:rsidR="00AB3647" w:rsidRDefault="00000000" w:rsidP="007923E9">
      <w:pPr>
        <w:spacing w:before="120" w:after="100" w:line="276" w:lineRule="auto"/>
        <w:jc w:val="both"/>
      </w:pPr>
      <w:r>
        <w:lastRenderedPageBreak/>
        <w:fldChar w:fldCharType="begin" w:dirty="true"/>
      </w:r>
      <w:r>
        <w:instrText>HYPERLINK \l "b4_text77" \h</w:instrText>
      </w:r>
      <w:r>
        <w:fldChar w:fldCharType="separate"/>
      </w:r>
      <w:r>
        <w:rPr>
          <w:b/>
          <w:bCs/>
          <w:rtl/>
        </w:rPr>
        <w:t>77</w:t>
      </w:r>
      <w:r>
        <w:rPr>
          <w:b/>
          <w:bCs/>
        </w:rPr>
        <w:fldChar w:fldCharType="end"/>
      </w:r>
      <w:bookmarkEnd w:id="4388"/>
      <w:r>
        <w:rPr>
          <w:rtl/>
        </w:rPr>
        <w:t xml:space="preserve"> בריאיון המוקלט על הסבא </w:t>
      </w:r>
      <w:proofErr w:type="spellStart"/>
      <w:r>
        <w:rPr>
          <w:rtl/>
        </w:rPr>
        <w:t>מסלבודקה</w:t>
      </w:r>
      <w:bookmarkStart w:id="4389" w:name="_fnr3266"/>
      <w:proofErr w:type="spellEnd"/>
      <w:r>
        <w:rPr>
          <w:vertAlign w:val="superscript"/>
          <w:rtl/>
        </w:rPr>
        <w:footnoteReference w:id="3274" w:customMarkFollows="0"/>
      </w:r>
      <w:bookmarkEnd w:id="4389"/>
      <w:r>
        <w:rPr>
          <w:rtl/>
        </w:rPr>
        <w:t xml:space="preserve"> אמר אבי בלשון זו: “הוא לא נהג להשפיע [ער האט ניט </w:t>
      </w:r>
      <w:proofErr w:type="spellStart"/>
      <w:r>
        <w:rPr>
          <w:rtl/>
        </w:rPr>
        <w:t>געפראוועט</w:t>
      </w:r>
      <w:proofErr w:type="spellEnd"/>
      <w:r>
        <w:rPr>
          <w:rtl/>
        </w:rPr>
        <w:t xml:space="preserve"> </w:t>
      </w:r>
      <w:proofErr w:type="spellStart"/>
      <w:r>
        <w:rPr>
          <w:rtl/>
        </w:rPr>
        <w:t>קיינע</w:t>
      </w:r>
      <w:proofErr w:type="spellEnd"/>
      <w:r>
        <w:rPr>
          <w:rtl/>
        </w:rPr>
        <w:t xml:space="preserve"> השפעות]”. כלומר, ר׳ נפתלי לא ניסה להשפיע על אחרים במכוון, ולא העמיד את עצמו בתפקיד הכרוך ביחס אבהי כלפיהם. בהזדמנות אחרת</w:t>
      </w:r>
      <w:bookmarkStart w:id="4390" w:name="_fnr3267"/>
      <w:r>
        <w:rPr>
          <w:vertAlign w:val="superscript"/>
          <w:rtl/>
        </w:rPr>
        <w:footnoteReference w:id="3275" w:customMarkFollows="0"/>
      </w:r>
      <w:bookmarkEnd w:id="4390"/>
      <w:r>
        <w:rPr>
          <w:rtl/>
        </w:rPr>
        <w:t xml:space="preserve"> אמר אבי: “על ר׳ נפתלי לא היה אפשר לראות דבר [של פעילות להפצת מוסר].” עם זאת, ר׳ נפתלי הרבה לכתוב מאמרי מוסר בפרסומים שונים</w:t>
      </w:r>
      <w:bookmarkStart w:id="4391" w:name="_fnr3268"/>
      <w:r>
        <w:rPr>
          <w:vertAlign w:val="superscript"/>
          <w:rtl/>
        </w:rPr>
        <w:footnoteReference w:id="3276" w:customMarkFollows="0"/>
      </w:r>
      <w:bookmarkEnd w:id="4391"/>
      <w:r>
        <w:rPr>
          <w:rtl/>
        </w:rPr>
        <w:t>.</w:t>
      </w:r>
    </w:p>
    <w:p w14:paraId="14E0873D" w14:textId="77777777" w:rsidR="00AB3647" w:rsidRDefault="00000000" w:rsidP="007923E9">
      <w:pPr>
        <w:spacing w:after="120" w:line="276" w:lineRule="auto"/>
        <w:jc w:val="both"/>
      </w:pPr>
      <w:r>
        <w:rPr>
          <w:rtl/>
        </w:rPr>
        <w:t>כץ, “תנועת המוסר”, כרך ב</w:t>
      </w:r>
      <w:bookmarkStart w:id="4392" w:name="_fnr3269"/>
      <w:r>
        <w:rPr>
          <w:vertAlign w:val="superscript"/>
          <w:rtl/>
        </w:rPr>
        <w:footnoteReference w:id="3277" w:customMarkFollows="0"/>
      </w:r>
      <w:bookmarkEnd w:id="4392"/>
      <w:r>
        <w:rPr>
          <w:rtl/>
        </w:rPr>
        <w:t xml:space="preserve">, מספר שאחרי חתונתו רצה ר׳ נפתלי ללמוד אפייה ולהיות לעוזר אשתו, אבל ר׳ ישראל </w:t>
      </w:r>
      <w:proofErr w:type="spellStart"/>
      <w:r>
        <w:rPr>
          <w:rtl/>
        </w:rPr>
        <w:t>סלנטר</w:t>
      </w:r>
      <w:proofErr w:type="spellEnd"/>
      <w:r>
        <w:rPr>
          <w:rtl/>
        </w:rPr>
        <w:t xml:space="preserve"> לא התיר לו זאת</w:t>
      </w:r>
      <w:bookmarkStart w:id="4393" w:name="_fnr3270"/>
      <w:r>
        <w:rPr>
          <w:vertAlign w:val="superscript"/>
          <w:rtl/>
        </w:rPr>
        <w:footnoteReference w:id="3278" w:customMarkFollows="0"/>
      </w:r>
      <w:bookmarkEnd w:id="4393"/>
      <w:r>
        <w:rPr>
          <w:rtl/>
        </w:rPr>
        <w:t>. ר׳ נפתלי גם התלבש כפועל פשוט, עד שאשתו התלוננה לפני ר׳ ישראל, וזה חייב אותו ללבוש בגדי רב, ולו רק כדי לרצותה</w:t>
      </w:r>
      <w:bookmarkStart w:id="4394" w:name="_fnr3271"/>
      <w:r>
        <w:rPr>
          <w:vertAlign w:val="superscript"/>
          <w:rtl/>
        </w:rPr>
        <w:footnoteReference w:id="3279" w:customMarkFollows="0"/>
      </w:r>
      <w:bookmarkEnd w:id="4394"/>
      <w:r>
        <w:rPr>
          <w:rtl/>
        </w:rPr>
        <w:t xml:space="preserve">. נראה שר׳ ישראל חזה שר׳ נפתלי יהיה לבסוף לרב, ולו רק משום שהכנסתה של אשתו לא תספיק לפרנסת המשפחה. זו אכן הייתה הסיבה שנכנס אחר כך לרבנות. ר׳ ישראל דאג שתלמידו ילמד רוסית, כמו שעשה עם ר׳ </w:t>
      </w:r>
      <w:proofErr w:type="spellStart"/>
      <w:r>
        <w:rPr>
          <w:rtl/>
        </w:rPr>
        <w:t>איצל׳ה</w:t>
      </w:r>
      <w:proofErr w:type="spellEnd"/>
      <w:r>
        <w:rPr>
          <w:rtl/>
        </w:rPr>
        <w:t>, ושניהם השתמשו בידיעה זו בכהונתם ברבנות</w:t>
      </w:r>
      <w:bookmarkStart w:id="4395" w:name="_fnr3272"/>
      <w:r>
        <w:rPr>
          <w:vertAlign w:val="superscript"/>
          <w:rtl/>
        </w:rPr>
        <w:footnoteReference w:id="3280" w:customMarkFollows="0"/>
      </w:r>
      <w:bookmarkEnd w:id="4395"/>
      <w:r>
        <w:rPr>
          <w:rtl/>
        </w:rPr>
        <w:t>.</w:t>
      </w:r>
    </w:p>
    <w:p w14:paraId="04B0FCDD" w14:textId="77777777" w:rsidR="00AB3647" w:rsidRDefault="00000000" w:rsidP="007923E9">
      <w:pPr>
        <w:spacing w:after="120" w:line="276" w:lineRule="auto"/>
        <w:jc w:val="both"/>
      </w:pPr>
      <w:r>
        <w:rPr>
          <w:rtl/>
        </w:rPr>
        <w:t>מעניין שגם אחרי ששימש במשרות נכבדות, ראה ר׳ נפתלי את עצמו כאופה בלבד – או כעוזר אופה, ואשתו היא האופה המומחית – ואת דרכו ברבנות כמקרה בלתי צפוי. כץ, שם</w:t>
      </w:r>
      <w:bookmarkStart w:id="4396" w:name="_fnr3273"/>
      <w:r>
        <w:rPr>
          <w:vertAlign w:val="superscript"/>
          <w:rtl/>
        </w:rPr>
        <w:footnoteReference w:id="3281" w:customMarkFollows="0"/>
      </w:r>
      <w:bookmarkEnd w:id="4396"/>
      <w:r>
        <w:rPr>
          <w:rtl/>
        </w:rPr>
        <w:t xml:space="preserve">, מספר שאחרי שעלה לארץ ישראל בשנותיו האחרונות, נפגש עם ר׳ </w:t>
      </w:r>
      <w:proofErr w:type="spellStart"/>
      <w:r>
        <w:rPr>
          <w:rtl/>
        </w:rPr>
        <w:t>יעקב־משה</w:t>
      </w:r>
      <w:proofErr w:type="spellEnd"/>
      <w:r>
        <w:rPr>
          <w:rtl/>
        </w:rPr>
        <w:t xml:space="preserve"> חרל״פ בעניין ציבורי כלשהו, והציג את עצמו לפניו במילים: “הייתי אופה פשוט; אחר כך חשקתי להיות רב. אבל כשראו שאיני מוכשר דיי לכך, פיטרו אותי.”</w:t>
      </w:r>
    </w:p>
    <w:p w14:paraId="14E16BA0" w14:textId="77777777" w:rsidR="00AB3647" w:rsidRDefault="00000000" w:rsidP="007923E9">
      <w:pPr>
        <w:spacing w:after="120" w:line="276" w:lineRule="auto"/>
        <w:jc w:val="both"/>
      </w:pPr>
      <w:r>
        <w:rPr>
          <w:rtl/>
        </w:rPr>
        <w:t xml:space="preserve">חלילה </w:t>
      </w:r>
      <w:proofErr w:type="spellStart"/>
      <w:r>
        <w:rPr>
          <w:rtl/>
        </w:rPr>
        <w:t>לר</w:t>
      </w:r>
      <w:proofErr w:type="spellEnd"/>
      <w:r>
        <w:rPr>
          <w:rtl/>
        </w:rPr>
        <w:t xml:space="preserve">׳ נפתלי החסיד, אפילו מתוך ענווה רבה, להמציא סיפור כזה. אני סבור שהבסיס המציאותי למשפט האחרון היה התפטרותו ממשרת הרבנות האחרונה שכיהן בה, רב </w:t>
      </w:r>
      <w:proofErr w:type="spellStart"/>
      <w:r>
        <w:rPr>
          <w:rtl/>
        </w:rPr>
        <w:t>אלקסוט</w:t>
      </w:r>
      <w:proofErr w:type="spellEnd"/>
      <w:r>
        <w:rPr>
          <w:rtl/>
        </w:rPr>
        <w:t xml:space="preserve"> התחתית. הוא נקרא לערוך חתונה ביום שישי אחר הצהריים, כמו שהיה מקובל, והורה שלא להמתין לאורח שאיחר לבוא, מפני ששעת כניסת השבת מתקרבת. </w:t>
      </w:r>
      <w:proofErr w:type="spellStart"/>
      <w:r>
        <w:rPr>
          <w:rtl/>
        </w:rPr>
        <w:t>משלא</w:t>
      </w:r>
      <w:proofErr w:type="spellEnd"/>
      <w:r>
        <w:rPr>
          <w:rtl/>
        </w:rPr>
        <w:t xml:space="preserve"> שמעו להוראתו, ראה בכך ר׳ נפתלי דחייה של סמכותו, והתפטר למחרת</w:t>
      </w:r>
      <w:bookmarkStart w:id="4397" w:name="_fnr3274"/>
      <w:r>
        <w:rPr>
          <w:vertAlign w:val="superscript"/>
          <w:rtl/>
        </w:rPr>
        <w:footnoteReference w:id="3282" w:customMarkFollows="0"/>
      </w:r>
      <w:bookmarkEnd w:id="4397"/>
      <w:r>
        <w:rPr>
          <w:rtl/>
        </w:rPr>
        <w:t>. הוא כינה את שאירע “פיטורים”.</w:t>
      </w:r>
    </w:p>
    <w:bookmarkStart w:id="4398" w:name="b4_note78"/>
    <w:p w14:paraId="26EA9B97" w14:textId="77777777" w:rsidR="00AB3647" w:rsidRDefault="00000000" w:rsidP="007923E9">
      <w:pPr>
        <w:spacing w:before="120" w:after="100" w:line="276" w:lineRule="auto"/>
        <w:jc w:val="both"/>
      </w:pPr>
      <w:r>
        <w:fldChar w:fldCharType="begin" w:dirty="true"/>
      </w:r>
      <w:r>
        <w:instrText>HYPERLINK \l "b4_text78" \h</w:instrText>
      </w:r>
      <w:r>
        <w:fldChar w:fldCharType="separate"/>
      </w:r>
      <w:r>
        <w:rPr>
          <w:b/>
          <w:bCs/>
          <w:rtl/>
        </w:rPr>
        <w:t>78</w:t>
      </w:r>
      <w:r>
        <w:rPr>
          <w:b/>
          <w:bCs/>
        </w:rPr>
        <w:fldChar w:fldCharType="end"/>
      </w:r>
      <w:bookmarkEnd w:id="4398"/>
      <w:r>
        <w:rPr>
          <w:rtl/>
        </w:rPr>
        <w:t xml:space="preserve"> הוא הצטיין בענווה. בהיותו בהלסינקי מעולם לא נכנס לבית הכנסת בלי ספר קודש תחת זרועו, שאם לא כן חש שלא בנוח כשראה אנשים קמים, לכאורה לכבודו</w:t>
      </w:r>
      <w:bookmarkStart w:id="4399" w:name="_fnr3275"/>
      <w:r>
        <w:rPr>
          <w:vertAlign w:val="superscript"/>
          <w:rtl/>
        </w:rPr>
        <w:footnoteReference w:id="3283" w:customMarkFollows="0"/>
      </w:r>
      <w:bookmarkEnd w:id="4399"/>
      <w:r>
        <w:rPr>
          <w:rtl/>
        </w:rPr>
        <w:t>. כשערערו על דבריו שהוא רק יהודי בור, והזכירו לו ששימש רב של עיר בירה, היה משיב: “</w:t>
      </w:r>
      <w:proofErr w:type="spellStart"/>
      <w:r>
        <w:rPr>
          <w:rtl/>
        </w:rPr>
        <w:t>בובט</w:t>
      </w:r>
      <w:proofErr w:type="spellEnd"/>
      <w:r>
        <w:rPr>
          <w:rtl/>
        </w:rPr>
        <w:t xml:space="preserve"> [כפר ליד קובנה] היא [משרת רבנות] חשובה יותר מהלסינקי</w:t>
      </w:r>
      <w:bookmarkStart w:id="4400" w:name="_fnr3276"/>
      <w:r>
        <w:rPr>
          <w:vertAlign w:val="superscript"/>
          <w:rtl/>
        </w:rPr>
        <w:footnoteReference w:id="3284" w:customMarkFollows="0"/>
      </w:r>
      <w:bookmarkEnd w:id="4400"/>
      <w:r>
        <w:rPr>
          <w:rtl/>
        </w:rPr>
        <w:t>”. וכך מוכרח היה להיות, שאם לא כן לא היה ר׳ נפתלי הקדוש אומר זאת.</w:t>
      </w:r>
    </w:p>
    <w:p w14:paraId="115FA7C1" w14:textId="77777777" w:rsidR="00AB3647" w:rsidRDefault="00000000" w:rsidP="007923E9">
      <w:pPr>
        <w:spacing w:before="120" w:after="100" w:line="276" w:lineRule="auto"/>
        <w:jc w:val="both"/>
      </w:pPr>
      <w:r>
        <w:rPr>
          <w:rtl/>
        </w:rPr>
        <w:lastRenderedPageBreak/>
        <w:t xml:space="preserve">ר׳ </w:t>
      </w:r>
      <w:proofErr w:type="spellStart"/>
      <w:r>
        <w:rPr>
          <w:rtl/>
        </w:rPr>
        <w:t>איצל׳ה</w:t>
      </w:r>
      <w:proofErr w:type="spellEnd"/>
      <w:r>
        <w:rPr>
          <w:rtl/>
        </w:rPr>
        <w:t xml:space="preserve"> </w:t>
      </w:r>
      <w:proofErr w:type="spellStart"/>
      <w:r>
        <w:rPr>
          <w:rtl/>
        </w:rPr>
        <w:t>בלאזר</w:t>
      </w:r>
      <w:proofErr w:type="spellEnd"/>
      <w:r>
        <w:rPr>
          <w:rtl/>
        </w:rPr>
        <w:t xml:space="preserve"> נפטר בירושלים זמן קצר אחרי בואו של ר׳ נפתלי. כשגילה ר׳ נפתלי שעמיתו הורה שלא יספידוהו, היה נבוך ואמר: “רבנו [ר׳ ישראל </w:t>
      </w:r>
      <w:proofErr w:type="spellStart"/>
      <w:r>
        <w:rPr>
          <w:rtl/>
        </w:rPr>
        <w:t>סלנטר</w:t>
      </w:r>
      <w:proofErr w:type="spellEnd"/>
      <w:r>
        <w:rPr>
          <w:rtl/>
        </w:rPr>
        <w:t xml:space="preserve">] לא נהג כך.” ובכל זאת הורה שגם במותו שלו לא יספידוהו. כשנשאל מדוע ביקורתו על ר׳ </w:t>
      </w:r>
      <w:proofErr w:type="spellStart"/>
      <w:r>
        <w:rPr>
          <w:rtl/>
        </w:rPr>
        <w:t>איצל׳ה</w:t>
      </w:r>
      <w:proofErr w:type="spellEnd"/>
      <w:r>
        <w:rPr>
          <w:rtl/>
        </w:rPr>
        <w:t xml:space="preserve"> אינה חלה באותה מידה עליו עצמו, השיב: “הלא ר׳ </w:t>
      </w:r>
      <w:proofErr w:type="spellStart"/>
      <w:r>
        <w:rPr>
          <w:rtl/>
        </w:rPr>
        <w:t>איצל׳ה</w:t>
      </w:r>
      <w:proofErr w:type="spellEnd"/>
      <w:r>
        <w:rPr>
          <w:rtl/>
        </w:rPr>
        <w:t xml:space="preserve"> היה ראוי להספד, אבל עליי באמת אין מה לומר</w:t>
      </w:r>
      <w:bookmarkStart w:id="4401" w:name="_fnr3277"/>
      <w:r>
        <w:rPr>
          <w:vertAlign w:val="superscript"/>
          <w:rtl/>
        </w:rPr>
        <w:footnoteReference w:id="3285" w:customMarkFollows="0"/>
      </w:r>
      <w:bookmarkEnd w:id="4401"/>
      <w:r>
        <w:rPr>
          <w:rtl/>
        </w:rPr>
        <w:t>.”</w:t>
      </w:r>
    </w:p>
    <w:p w14:paraId="1DB35DEC" w14:textId="77777777" w:rsidR="00AB3647" w:rsidRDefault="00000000" w:rsidP="007923E9">
      <w:pPr>
        <w:spacing w:after="120" w:line="276" w:lineRule="auto"/>
        <w:jc w:val="both"/>
      </w:pPr>
      <w:r>
        <w:rPr>
          <w:rtl/>
        </w:rPr>
        <w:t>בשיחת יום השנה</w:t>
      </w:r>
      <w:bookmarkStart w:id="4402" w:name="_fnr3278"/>
      <w:r>
        <w:rPr>
          <w:vertAlign w:val="superscript"/>
          <w:rtl/>
        </w:rPr>
        <w:footnoteReference w:id="3286" w:customMarkFollows="0"/>
      </w:r>
      <w:bookmarkEnd w:id="4402"/>
      <w:r>
        <w:rPr>
          <w:rtl/>
        </w:rPr>
        <w:t xml:space="preserve"> סיפר אבי: “זכיתי לשמוע דרשה אחת מר׳ נפתלי, בבית המוסר </w:t>
      </w:r>
      <w:proofErr w:type="spellStart"/>
      <w:r>
        <w:rPr>
          <w:rtl/>
        </w:rPr>
        <w:t>שבקלויז</w:t>
      </w:r>
      <w:proofErr w:type="spellEnd"/>
      <w:r>
        <w:rPr>
          <w:rtl/>
        </w:rPr>
        <w:t xml:space="preserve"> </w:t>
      </w:r>
      <w:proofErr w:type="spellStart"/>
      <w:r>
        <w:rPr>
          <w:rtl/>
        </w:rPr>
        <w:t>זגרשה</w:t>
      </w:r>
      <w:proofErr w:type="spellEnd"/>
      <w:r>
        <w:rPr>
          <w:rtl/>
        </w:rPr>
        <w:t>, בצום גדליה”. דוגמה לניתוח המוסרי של ר׳ נפתלי היא הערתו ליהודי שבא אליו לקבל היתר מאה רבנים, והתחיל לספר על מעשיה הרעים של אשתו. ר׳ נפתלי עצרו מיד בשאלה: “האם כבר קיבלת היתר מאה רבנים לדבר לשון הרע</w:t>
      </w:r>
      <w:bookmarkStart w:id="4403" w:name="_fnr3279"/>
      <w:r>
        <w:rPr>
          <w:vertAlign w:val="superscript"/>
          <w:rtl/>
        </w:rPr>
        <w:footnoteReference w:id="3287" w:customMarkFollows="0"/>
      </w:r>
      <w:bookmarkEnd w:id="4403"/>
      <w:r>
        <w:rPr>
          <w:rtl/>
        </w:rPr>
        <w:t>?”</w:t>
      </w:r>
    </w:p>
    <w:bookmarkStart w:id="4404" w:name="b4_note79"/>
    <w:p w14:paraId="0526F32A" w14:textId="77777777" w:rsidR="00AB3647" w:rsidRDefault="00000000" w:rsidP="007923E9">
      <w:pPr>
        <w:spacing w:before="120" w:after="100" w:line="276" w:lineRule="auto"/>
        <w:jc w:val="both"/>
      </w:pPr>
      <w:r>
        <w:fldChar w:fldCharType="begin" w:dirty="true"/>
      </w:r>
      <w:r>
        <w:instrText>HYPERLINK \l "b4_text79" \h</w:instrText>
      </w:r>
      <w:r>
        <w:fldChar w:fldCharType="separate"/>
      </w:r>
      <w:r>
        <w:rPr>
          <w:b/>
          <w:bCs/>
          <w:rtl/>
        </w:rPr>
        <w:t>79</w:t>
      </w:r>
      <w:r>
        <w:rPr>
          <w:b/>
          <w:bCs/>
        </w:rPr>
        <w:fldChar w:fldCharType="end"/>
      </w:r>
      <w:bookmarkEnd w:id="4404"/>
      <w:r>
        <w:rPr>
          <w:rtl/>
        </w:rPr>
        <w:t xml:space="preserve"> בריאיון המוקלט על הסבא </w:t>
      </w:r>
      <w:proofErr w:type="spellStart"/>
      <w:r>
        <w:rPr>
          <w:rtl/>
        </w:rPr>
        <w:t>מסלבודקה</w:t>
      </w:r>
      <w:proofErr w:type="spellEnd"/>
      <w:r>
        <w:rPr>
          <w:rtl/>
        </w:rPr>
        <w:t xml:space="preserve"> הזכיר אבי רק את חול המועד כמועד שבו קיבל ר׳ נפתלי תלמידים. אבל בשיחת יום השנה הזכיר שני מועדים לביקורים: שמחת בית השואבה ופורים. ר׳ יצחק </w:t>
      </w:r>
      <w:proofErr w:type="spellStart"/>
      <w:r>
        <w:rPr>
          <w:rtl/>
        </w:rPr>
        <w:t>שורין</w:t>
      </w:r>
      <w:proofErr w:type="spellEnd"/>
      <w:r>
        <w:rPr>
          <w:rtl/>
        </w:rPr>
        <w:t xml:space="preserve"> סיפר</w:t>
      </w:r>
      <w:bookmarkStart w:id="4405" w:name="_fnr3280"/>
      <w:r>
        <w:rPr>
          <w:vertAlign w:val="superscript"/>
          <w:rtl/>
        </w:rPr>
        <w:footnoteReference w:id="3288" w:customMarkFollows="0"/>
      </w:r>
      <w:bookmarkEnd w:id="4405"/>
      <w:r>
        <w:rPr>
          <w:rtl/>
        </w:rPr>
        <w:t xml:space="preserve"> שסבו, רבנו, הזכיר – מלבד פורים – שהביקור בסוכות התקיים רק באחד מימי חול המועד, כלומר ביום האחרון, הושענא רבה. לוח מועדים זה מאומת בדברי כץ, “תנועת המוסר”, כרך ב</w:t>
      </w:r>
      <w:bookmarkStart w:id="4406" w:name="_fnr3281"/>
      <w:r>
        <w:rPr>
          <w:vertAlign w:val="superscript"/>
          <w:rtl/>
        </w:rPr>
        <w:footnoteReference w:id="3289" w:customMarkFollows="0"/>
      </w:r>
      <w:bookmarkEnd w:id="4406"/>
      <w:r>
        <w:rPr>
          <w:rtl/>
        </w:rPr>
        <w:t xml:space="preserve">: “רבים מדברים במיוחד על </w:t>
      </w:r>
      <w:r>
        <w:rPr>
          <w:b/>
          <w:bCs/>
          <w:rtl/>
        </w:rPr>
        <w:t>המנהג הקבוע</w:t>
      </w:r>
      <w:r>
        <w:rPr>
          <w:rtl/>
        </w:rPr>
        <w:t xml:space="preserve"> (ההדגשה שלי</w:t>
      </w:r>
      <w:bookmarkStart w:id="4407" w:name="_fnr3282"/>
      <w:r>
        <w:rPr>
          <w:vertAlign w:val="superscript"/>
          <w:rtl/>
        </w:rPr>
        <w:footnoteReference w:id="3290" w:customMarkFollows="0"/>
      </w:r>
      <w:bookmarkEnd w:id="4407"/>
      <w:r>
        <w:rPr>
          <w:rtl/>
        </w:rPr>
        <w:t xml:space="preserve">) לבקר את [ר׳ נפתלי] בהושענא רבה ובפורים.” לפיכך, אחרי היכרותם הראשונה בתשרי הראשון של אבי </w:t>
      </w:r>
      <w:proofErr w:type="spellStart"/>
      <w:r>
        <w:rPr>
          <w:rtl/>
        </w:rPr>
        <w:t>בסלבודקה</w:t>
      </w:r>
      <w:proofErr w:type="spellEnd"/>
      <w:r>
        <w:rPr>
          <w:rtl/>
        </w:rPr>
        <w:t>, הייתה לו הזדמנות נוספת לבקר את ר׳ נפתלי, בפורים</w:t>
      </w:r>
      <w:bookmarkStart w:id="4408" w:name="_fnr3283"/>
      <w:r>
        <w:rPr>
          <w:vertAlign w:val="superscript"/>
          <w:rtl/>
        </w:rPr>
        <w:footnoteReference w:id="3291" w:customMarkFollows="0"/>
      </w:r>
      <w:bookmarkEnd w:id="4408"/>
      <w:r>
        <w:rPr>
          <w:rtl/>
        </w:rPr>
        <w:t xml:space="preserve">. אך זו הייתה ההזדמנות הנוספת היחידה, שכן כששב רבנו </w:t>
      </w:r>
      <w:proofErr w:type="spellStart"/>
      <w:r>
        <w:rPr>
          <w:rtl/>
        </w:rPr>
        <w:t>לסלבודקה</w:t>
      </w:r>
      <w:proofErr w:type="spellEnd"/>
      <w:r>
        <w:rPr>
          <w:rtl/>
        </w:rPr>
        <w:t xml:space="preserve"> מבית הוריו במינסק אחרי פסח תרס״ז, עמד ר׳ נפתלי לצאת לארץ ישראל</w:t>
      </w:r>
      <w:bookmarkStart w:id="4409" w:name="_fnr3284"/>
      <w:r>
        <w:rPr>
          <w:vertAlign w:val="superscript"/>
          <w:rtl/>
        </w:rPr>
        <w:footnoteReference w:id="3292" w:customMarkFollows="0"/>
      </w:r>
      <w:bookmarkEnd w:id="4409"/>
      <w:r>
        <w:rPr>
          <w:rtl/>
        </w:rPr>
        <w:t>.</w:t>
      </w:r>
    </w:p>
    <w:p w14:paraId="424B5039" w14:textId="77777777" w:rsidR="00AB3647" w:rsidRDefault="00000000" w:rsidP="007923E9">
      <w:pPr>
        <w:spacing w:before="120" w:after="100" w:line="276" w:lineRule="auto"/>
        <w:jc w:val="both"/>
      </w:pPr>
      <w:r>
        <w:rPr>
          <w:rtl/>
        </w:rPr>
        <w:t>מלבד שיחות לקבוצות תלמידים בחגים, שוחח ר׳ נפתלי עם בחורים יחידים שפנו אליו כשהלך מדי יום מביתו לבית המוסר ובחזרה</w:t>
      </w:r>
      <w:bookmarkStart w:id="4410" w:name="_fnr3285"/>
      <w:bookmarkStart w:id="4411" w:name="pr_f_3176"/>
      <w:r>
        <w:rPr>
          <w:vertAlign w:val="superscript"/>
          <w:rtl/>
        </w:rPr>
        <w:footnoteReference w:id="3293" w:customMarkFollows="0"/>
      </w:r>
      <w:bookmarkEnd w:id="4410"/>
      <w:bookmarkEnd w:id="4411"/>
      <w:r>
        <w:rPr>
          <w:rtl/>
        </w:rPr>
        <w:t xml:space="preserve">. מי שזכה יכול היה לשהות עמו בשעת לימודו במוצאי שבת, כשלמד “קצות החושן” – מנהג ששמר עליו מימיו אצל ר׳ ישראל </w:t>
      </w:r>
      <w:proofErr w:type="spellStart"/>
      <w:r>
        <w:rPr>
          <w:rtl/>
        </w:rPr>
        <w:t>סלנטר</w:t>
      </w:r>
      <w:proofErr w:type="spellEnd"/>
      <w:r>
        <w:rPr>
          <w:rtl/>
        </w:rPr>
        <w:t>, ובהוראת ר׳ ישראל. לשם כך סיפק לו הסבא חברותא מבין תלמידי הישיבה.</w:t>
      </w:r>
    </w:p>
    <w:p w14:paraId="5E517CDD" w14:textId="77777777" w:rsidR="00AB3647" w:rsidRDefault="00000000" w:rsidP="007923E9">
      <w:pPr>
        <w:spacing w:before="120" w:after="100" w:line="276" w:lineRule="auto"/>
        <w:jc w:val="both"/>
      </w:pPr>
      <w:proofErr w:type="spellStart"/>
      <w:r>
        <w:rPr>
          <w:rtl/>
        </w:rPr>
        <w:lastRenderedPageBreak/>
        <w:t>ב“שרידי</w:t>
      </w:r>
      <w:proofErr w:type="spellEnd"/>
      <w:r>
        <w:rPr>
          <w:rtl/>
        </w:rPr>
        <w:t xml:space="preserve"> אש”</w:t>
      </w:r>
      <w:bookmarkStart w:id="4412" w:name="_fnr3286"/>
      <w:r>
        <w:rPr>
          <w:vertAlign w:val="superscript"/>
          <w:rtl/>
        </w:rPr>
        <w:footnoteReference w:id="3294" w:customMarkFollows="0"/>
      </w:r>
      <w:bookmarkEnd w:id="4412"/>
      <w:r>
        <w:rPr>
          <w:rtl/>
        </w:rPr>
        <w:t xml:space="preserve"> מספר ר׳ </w:t>
      </w:r>
      <w:proofErr w:type="spellStart"/>
      <w:r>
        <w:rPr>
          <w:rtl/>
        </w:rPr>
        <w:t>יחיאל־יעקב</w:t>
      </w:r>
      <w:proofErr w:type="spellEnd"/>
      <w:r>
        <w:rPr>
          <w:rtl/>
        </w:rPr>
        <w:t xml:space="preserve"> ויינברג שבמשך זמן חורף אחד הוטלה עליו “זכות וכבוד גדולים אלה”. הוא מספר: “אני, נער צעיר, לא יכולתי להבין כיצד חכם זקן יכול לנהוג בי כאילו הייתי רבו! לא זו בלבד שלא הניח לי לשרת אותו, אלא כשנדרש ספר מאחד המדפים העליונים של ארון ספריו, היה עולה בסולם ומוסרו לידי. בסוף הערב היה מודה לי בחום רב על שסייעתי לו להתקדם בלימוד התורה, ומלווה אותי אל מחוץ לבית.”</w:t>
      </w:r>
    </w:p>
    <w:p w14:paraId="7730022C" w14:textId="77777777" w:rsidR="00AB3647" w:rsidRDefault="00000000" w:rsidP="007923E9">
      <w:pPr>
        <w:spacing w:before="120" w:after="100" w:line="276" w:lineRule="auto"/>
        <w:jc w:val="both"/>
      </w:pPr>
      <w:r>
        <w:rPr>
          <w:rtl/>
        </w:rPr>
        <w:t xml:space="preserve">ר׳ </w:t>
      </w:r>
      <w:proofErr w:type="spellStart"/>
      <w:r>
        <w:rPr>
          <w:rtl/>
        </w:rPr>
        <w:t>ליפא</w:t>
      </w:r>
      <w:proofErr w:type="spellEnd"/>
      <w:r>
        <w:rPr>
          <w:rtl/>
        </w:rPr>
        <w:t xml:space="preserve"> </w:t>
      </w:r>
      <w:proofErr w:type="spellStart"/>
      <w:r>
        <w:rPr>
          <w:rtl/>
        </w:rPr>
        <w:t>גלדווערט</w:t>
      </w:r>
      <w:proofErr w:type="spellEnd"/>
      <w:r>
        <w:rPr>
          <w:rtl/>
        </w:rPr>
        <w:t xml:space="preserve"> הוסיף</w:t>
      </w:r>
      <w:bookmarkStart w:id="4413" w:name="_fnr3287"/>
      <w:r>
        <w:rPr>
          <w:vertAlign w:val="superscript"/>
          <w:rtl/>
        </w:rPr>
        <w:footnoteReference w:id="3295" w:customMarkFollows="0"/>
      </w:r>
      <w:bookmarkEnd w:id="4413"/>
      <w:r>
        <w:rPr>
          <w:rtl/>
        </w:rPr>
        <w:t xml:space="preserve"> שבריאיון המוקלט על תנועת המוסר</w:t>
      </w:r>
      <w:bookmarkStart w:id="4414" w:name="_fnr3288"/>
      <w:r>
        <w:rPr>
          <w:vertAlign w:val="superscript"/>
          <w:rtl/>
        </w:rPr>
        <w:footnoteReference w:id="3296" w:customMarkFollows="0"/>
      </w:r>
      <w:bookmarkEnd w:id="4414"/>
      <w:r>
        <w:rPr>
          <w:rtl/>
        </w:rPr>
        <w:t xml:space="preserve"> אמר לו אבי שהוא זוכר שיחת מוסר ששמע מר׳ נפתלי. אבי לא אמר אז באיזו הזדמנות נמסרה, אבל כנראה הייתה זו “הדרשה האחת” ששמע “בבית המוסר... בצום גדליה”, שהוזכרה בהערה הקודמת.</w:t>
      </w:r>
    </w:p>
    <w:p w14:paraId="07D054AA" w14:textId="77777777" w:rsidR="00AB3647" w:rsidRDefault="00000000" w:rsidP="007923E9">
      <w:pPr>
        <w:spacing w:before="120" w:after="100" w:line="276" w:lineRule="auto"/>
        <w:jc w:val="both"/>
      </w:pPr>
      <w:r>
        <w:rPr>
          <w:rtl/>
        </w:rPr>
        <w:t xml:space="preserve">המראיין ציין לפני אבי שידוע לו ממקורות מסוימים שר׳ ישראל </w:t>
      </w:r>
      <w:proofErr w:type="spellStart"/>
      <w:r>
        <w:rPr>
          <w:rtl/>
        </w:rPr>
        <w:t>סלנטר</w:t>
      </w:r>
      <w:proofErr w:type="spellEnd"/>
      <w:r>
        <w:rPr>
          <w:rtl/>
        </w:rPr>
        <w:t xml:space="preserve"> שהה בבית משפחת פרנק בזמן שהיה בקובנה. רבנו העיר בלשון סתומה שר׳ נפתלי אמסטרדם אמר לו שר׳ ישראל שהה שם, ושפעם, בתענית אסתר, כשמסר שם התעוררות, הפריעו לו – ור׳ ישראל נפגע מכך. אפשר לשער שר׳ נפתלי הזכיר את המעשה כשגם שיחת המוסר שלו עצמו הופרעה, מסיבה כלשהי. היה מעניין ומלמד גם יחד לדעת בדיוק כיצד ביטאו בעלי המוסר הגדולים את “פגיעתם” – בוודאי לא בכעס, כמו שהייתי עושה אני [ואולי גם הקורא] – אבל אבי לא הרחיב.</w:t>
      </w:r>
    </w:p>
    <w:bookmarkStart w:id="4415" w:name="b4_note80"/>
    <w:p w14:paraId="5E4CA8D7" w14:textId="0458FA64" w:rsidR="00AB3647" w:rsidRDefault="00000000" w:rsidP="007923E9">
      <w:pPr>
        <w:spacing w:before="120" w:after="100" w:line="276" w:lineRule="auto"/>
        <w:jc w:val="both"/>
      </w:pPr>
      <w:r>
        <w:fldChar w:fldCharType="begin" w:dirty="true"/>
      </w:r>
      <w:r>
        <w:instrText>HYPERLINK \l "b4_text80" \h</w:instrText>
      </w:r>
      <w:r>
        <w:fldChar w:fldCharType="separate"/>
      </w:r>
      <w:r>
        <w:rPr>
          <w:b/>
          <w:bCs/>
          <w:rtl/>
        </w:rPr>
        <w:t>80</w:t>
      </w:r>
      <w:r>
        <w:rPr>
          <w:b/>
          <w:bCs/>
        </w:rPr>
        <w:fldChar w:fldCharType="end"/>
      </w:r>
      <w:bookmarkEnd w:id="4415"/>
      <w:r>
        <w:rPr>
          <w:rtl/>
        </w:rPr>
        <w:t xml:space="preserve"> ראה </w:t>
      </w:r>
      <w:r>
        <w:rPr>
          <w:rtl/>
        </w:rPr>
        <w:fldChar w:fldCharType="begin" w:dirty="true"/>
      </w:r>
      <w:r>
        <w:rPr>
          <w:rtl/>
        </w:rPr>
        <w:instrText xml:space="preserve"> REF b4_excJ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416" w:name="b4_note81"/>
    <w:p w14:paraId="3DF62AF4" w14:textId="77777777" w:rsidR="00AB3647" w:rsidRDefault="00000000" w:rsidP="007923E9">
      <w:pPr>
        <w:spacing w:before="120" w:after="100" w:line="276" w:lineRule="auto"/>
        <w:jc w:val="both"/>
      </w:pPr>
      <w:r>
        <w:fldChar w:fldCharType="begin" w:dirty="true"/>
      </w:r>
      <w:r>
        <w:instrText>HYPERLINK \l "b4_text81" \h</w:instrText>
      </w:r>
      <w:r>
        <w:fldChar w:fldCharType="separate"/>
      </w:r>
      <w:r>
        <w:rPr>
          <w:b/>
          <w:bCs/>
          <w:rtl/>
        </w:rPr>
        <w:t>81</w:t>
      </w:r>
      <w:r>
        <w:rPr>
          <w:b/>
          <w:bCs/>
        </w:rPr>
        <w:fldChar w:fldCharType="end"/>
      </w:r>
      <w:bookmarkEnd w:id="4416"/>
      <w:r>
        <w:rPr>
          <w:rtl/>
        </w:rPr>
        <w:t xml:space="preserve"> </w:t>
      </w:r>
      <w:proofErr w:type="spellStart"/>
      <w:r>
        <w:rPr>
          <w:rtl/>
        </w:rPr>
        <w:t>ב“אור</w:t>
      </w:r>
      <w:proofErr w:type="spellEnd"/>
      <w:r>
        <w:rPr>
          <w:rtl/>
        </w:rPr>
        <w:t xml:space="preserve"> ישראל” מצטט</w:t>
      </w:r>
      <w:bookmarkStart w:id="4417" w:name="_fnr3289"/>
      <w:r>
        <w:rPr>
          <w:vertAlign w:val="superscript"/>
          <w:rtl/>
        </w:rPr>
        <w:footnoteReference w:id="3297" w:customMarkFollows="0"/>
      </w:r>
      <w:bookmarkEnd w:id="4417"/>
      <w:r>
        <w:rPr>
          <w:rtl/>
        </w:rPr>
        <w:t xml:space="preserve"> המחבר מכתב מאת ר׳ נפתלי אמסטרדם, ובו סיפורים על ר׳ </w:t>
      </w:r>
      <w:proofErr w:type="spellStart"/>
      <w:r>
        <w:rPr>
          <w:rtl/>
        </w:rPr>
        <w:t>יוסף־זונדל</w:t>
      </w:r>
      <w:proofErr w:type="spellEnd"/>
      <w:r>
        <w:rPr>
          <w:rtl/>
        </w:rPr>
        <w:t xml:space="preserve"> ששמע מפי ר׳ ישראל. נראה שר׳ נפתלי הצטיין בקליטת סיפורים על גדולי הדורות הקודמים ובהעברתם, ולכן פנה אליו ר׳ </w:t>
      </w:r>
      <w:proofErr w:type="spellStart"/>
      <w:r>
        <w:rPr>
          <w:rtl/>
        </w:rPr>
        <w:t>איצל׳ה</w:t>
      </w:r>
      <w:proofErr w:type="spellEnd"/>
      <w:r>
        <w:rPr>
          <w:rtl/>
        </w:rPr>
        <w:t xml:space="preserve"> כשביקש חומר ביוגרפי. השווה גם שם</w:t>
      </w:r>
      <w:bookmarkStart w:id="4418" w:name="_fnr3290"/>
      <w:r>
        <w:rPr>
          <w:vertAlign w:val="superscript"/>
          <w:rtl/>
        </w:rPr>
        <w:footnoteReference w:id="3298" w:customMarkFollows="0"/>
      </w:r>
      <w:bookmarkEnd w:id="4418"/>
      <w:r>
        <w:rPr>
          <w:rtl/>
        </w:rPr>
        <w:t>: שם מובאת גישתו הכללית של ר׳ ישראל להישאר “נסתר”, כפי שנרשמה בתחילת נספח י, אך בלי התוספת הסיפורית של ר׳ נפתלי.</w:t>
      </w:r>
    </w:p>
    <w:p w14:paraId="27DAAD3B" w14:textId="77777777" w:rsidR="00AB3647" w:rsidRDefault="00000000" w:rsidP="007923E9">
      <w:pPr>
        <w:spacing w:after="120" w:line="276" w:lineRule="auto"/>
        <w:jc w:val="both"/>
      </w:pPr>
      <w:r>
        <w:rPr>
          <w:rtl/>
        </w:rPr>
        <w:t xml:space="preserve">מלבד הסיפורים המסוימים ששמע אבי מר׳ נפתלי, למד ממנו עד כמה רב הלקח שאפשר להפיק מסיפורי הדורות הקודמים. בשנותיו המאוחרות גם הוא הרבה לספר סיפורים על תלמידי חכמים ששמע עליהם מאחרים או שהשתתף בהם בעצמו, ודיבר על החשיבות שבהעברת הסיפורים לדורות הבאים</w:t>
      </w:r>
      <w:bookmarkStart w:id="4419" w:name="_fnr3291"/>
      <w:r>
        <w:rPr>
          <w:vertAlign w:val="superscript"/>
          <w:rtl/>
        </w:rPr>
        <w:footnoteReference w:id="3299" w:customMarkFollows="0"/>
      </w:r>
      <w:bookmarkEnd w:id="4419"/>
      <w:r>
        <w:rPr>
          <w:rtl/>
        </w:rPr>
        <w:t>.</w:t>
      </w:r>
    </w:p>
    <w:bookmarkStart w:id="4420" w:name="b4_note82"/>
    <w:p w14:paraId="0B347B11" w14:textId="77777777" w:rsidR="00AB3647" w:rsidRDefault="00000000" w:rsidP="007923E9">
      <w:pPr>
        <w:spacing w:before="120" w:after="100" w:line="276" w:lineRule="auto"/>
        <w:jc w:val="both"/>
      </w:pPr>
      <w:r>
        <w:fldChar w:fldCharType="begin" w:dirty="true"/>
      </w:r>
      <w:r>
        <w:instrText>HYPERLINK \l "b4_text82" \h</w:instrText>
      </w:r>
      <w:r>
        <w:fldChar w:fldCharType="separate"/>
      </w:r>
      <w:r>
        <w:rPr>
          <w:b/>
          <w:bCs/>
          <w:rtl/>
        </w:rPr>
        <w:t>82</w:t>
      </w:r>
      <w:r>
        <w:rPr>
          <w:b/>
          <w:bCs/>
        </w:rPr>
        <w:fldChar w:fldCharType="end"/>
      </w:r>
      <w:bookmarkEnd w:id="4420"/>
      <w:r>
        <w:rPr>
          <w:rtl/>
        </w:rPr>
        <w:t xml:space="preserve"> אף שהזמן לשיחה עם ר׳ נפתלי היה מוגבל, הצליח אבי לראותו במועדים אחרים בשנה – אולי בדרכו לבית המוסר</w:t>
      </w:r>
      <w:bookmarkStart w:id="4421" w:name="_fnr3292"/>
      <w:r>
        <w:rPr>
          <w:vertAlign w:val="superscript"/>
          <w:rtl/>
        </w:rPr>
        <w:footnoteReference w:id="3300" w:customMarkFollows="0"/>
      </w:r>
      <w:bookmarkEnd w:id="4421"/>
      <w:r>
        <w:rPr>
          <w:rtl/>
        </w:rPr>
        <w:t xml:space="preserve">. ר׳ אשר </w:t>
      </w:r>
      <w:proofErr w:type="spellStart"/>
      <w:r>
        <w:rPr>
          <w:rtl/>
        </w:rPr>
        <w:t>קצמן</w:t>
      </w:r>
      <w:bookmarkStart w:id="4422" w:name="_fnr3293"/>
      <w:proofErr w:type="spellEnd"/>
      <w:r>
        <w:rPr>
          <w:vertAlign w:val="superscript"/>
          <w:rtl/>
        </w:rPr>
        <w:footnoteReference w:id="3301" w:customMarkFollows="0"/>
      </w:r>
      <w:bookmarkEnd w:id="4422"/>
      <w:r>
        <w:rPr>
          <w:rtl/>
        </w:rPr>
        <w:t xml:space="preserve"> סיפר שאבי תיאר את ר׳ נפתלי </w:t>
      </w:r>
      <w:proofErr w:type="spellStart"/>
      <w:r>
        <w:rPr>
          <w:rtl/>
        </w:rPr>
        <w:t>כ“עטוף</w:t>
      </w:r>
      <w:proofErr w:type="spellEnd"/>
      <w:r>
        <w:rPr>
          <w:rtl/>
        </w:rPr>
        <w:t xml:space="preserve"> באימה ופחד נוראים בראש השנה”, וכמי </w:t>
      </w:r>
      <w:proofErr w:type="spellStart"/>
      <w:r>
        <w:rPr>
          <w:rtl/>
        </w:rPr>
        <w:t>ש“לא</w:t>
      </w:r>
      <w:proofErr w:type="spellEnd"/>
      <w:r>
        <w:rPr>
          <w:rtl/>
        </w:rPr>
        <w:t xml:space="preserve"> היה אפשר להכירו [מען האט </w:t>
      </w:r>
      <w:proofErr w:type="spellStart"/>
      <w:r>
        <w:rPr>
          <w:rtl/>
        </w:rPr>
        <w:t>אים</w:t>
      </w:r>
      <w:proofErr w:type="spellEnd"/>
      <w:r>
        <w:rPr>
          <w:rtl/>
        </w:rPr>
        <w:t xml:space="preserve"> ניט </w:t>
      </w:r>
      <w:proofErr w:type="spellStart"/>
      <w:r>
        <w:rPr>
          <w:rtl/>
        </w:rPr>
        <w:t>געקענט</w:t>
      </w:r>
      <w:proofErr w:type="spellEnd"/>
      <w:r>
        <w:rPr>
          <w:rtl/>
        </w:rPr>
        <w:t xml:space="preserve"> </w:t>
      </w:r>
      <w:proofErr w:type="spellStart"/>
      <w:r>
        <w:rPr>
          <w:rtl/>
        </w:rPr>
        <w:t>דערקענען</w:t>
      </w:r>
      <w:proofErr w:type="spellEnd"/>
      <w:r>
        <w:rPr>
          <w:rtl/>
        </w:rPr>
        <w:t xml:space="preserve">] בין ראש השנה לשמחת תורה”. ברשימותיו של ר׳ אשר </w:t>
      </w:r>
      <w:proofErr w:type="spellStart"/>
      <w:r>
        <w:rPr>
          <w:rtl/>
        </w:rPr>
        <w:t>קצמן</w:t>
      </w:r>
      <w:proofErr w:type="spellEnd"/>
      <w:r>
        <w:rPr>
          <w:rtl/>
        </w:rPr>
        <w:t xml:space="preserve"> משיחותיו עם אבי </w:t>
      </w:r>
      <w:r>
        <w:rPr>
          <w:rtl/>
        </w:rPr>
        <w:lastRenderedPageBreak/>
        <w:t>בפלורידה</w:t>
      </w:r>
      <w:bookmarkStart w:id="4423" w:name="_fnr3294"/>
      <w:r>
        <w:rPr>
          <w:vertAlign w:val="superscript"/>
          <w:rtl/>
        </w:rPr>
        <w:footnoteReference w:id="3302" w:customMarkFollows="0"/>
      </w:r>
      <w:bookmarkEnd w:id="4423"/>
      <w:r>
        <w:rPr>
          <w:rtl/>
        </w:rPr>
        <w:t xml:space="preserve"> סיפר אבי שר׳ נפתלי, כמו עמיתו ר׳ </w:t>
      </w:r>
      <w:proofErr w:type="spellStart"/>
      <w:r>
        <w:rPr>
          <w:rtl/>
        </w:rPr>
        <w:t>איצל׳ה</w:t>
      </w:r>
      <w:proofErr w:type="spellEnd"/>
      <w:r>
        <w:rPr>
          <w:rtl/>
        </w:rPr>
        <w:t xml:space="preserve"> </w:t>
      </w:r>
      <w:proofErr w:type="spellStart"/>
      <w:r>
        <w:rPr>
          <w:rtl/>
        </w:rPr>
        <w:t>פטרבורגר</w:t>
      </w:r>
      <w:proofErr w:type="spellEnd"/>
      <w:r>
        <w:rPr>
          <w:rtl/>
        </w:rPr>
        <w:t xml:space="preserve"> (</w:t>
      </w:r>
      <w:proofErr w:type="spellStart"/>
      <w:r>
        <w:rPr>
          <w:rtl/>
        </w:rPr>
        <w:t>בלאזר</w:t>
      </w:r>
      <w:proofErr w:type="spellEnd"/>
      <w:r>
        <w:rPr>
          <w:rtl/>
        </w:rPr>
        <w:t>), לא הוציא מפיו מילה שאינה תורה מראשית אלול ועד אחרי יום הכיפורים. אבי הוסיף: “מלבד צום גדליה, כאשר באו אנשים לביתו והוא מסר שיחה – אבל אלה היו דברי תורה, שמהם לא נמנע, כמובן.”</w:t>
      </w:r>
    </w:p>
    <w:p w14:paraId="7761EB5A" w14:textId="77777777" w:rsidR="00AB3647" w:rsidRDefault="00000000" w:rsidP="007923E9">
      <w:pPr>
        <w:spacing w:before="120" w:after="100" w:line="276" w:lineRule="auto"/>
        <w:jc w:val="both"/>
      </w:pPr>
      <w:r>
        <w:rPr>
          <w:rtl/>
        </w:rPr>
        <w:t>החכם סיפר פעם</w:t>
      </w:r>
      <w:bookmarkStart w:id="4424" w:name="_fnr3295"/>
      <w:r>
        <w:rPr>
          <w:vertAlign w:val="superscript"/>
          <w:rtl/>
        </w:rPr>
        <w:footnoteReference w:id="3303" w:customMarkFollows="0"/>
      </w:r>
      <w:bookmarkEnd w:id="4424"/>
      <w:r>
        <w:rPr>
          <w:rtl/>
        </w:rPr>
        <w:t xml:space="preserve"> שרבו, ר׳ ישראל, הגיע לקובנה פעם אחת באלול ובירכו </w:t>
      </w:r>
      <w:proofErr w:type="spellStart"/>
      <w:r>
        <w:rPr>
          <w:rtl/>
        </w:rPr>
        <w:t>ב“שלום</w:t>
      </w:r>
      <w:proofErr w:type="spellEnd"/>
      <w:r>
        <w:rPr>
          <w:rtl/>
        </w:rPr>
        <w:t xml:space="preserve"> עליכם”, והוא לא השיב. אז אמר ר׳ ישראל: “נפתלי, מותר לך להשיב לברכתי אפילו באמצע קריאת שמע</w:t>
      </w:r>
      <w:bookmarkStart w:id="4425" w:name="_fnr3296"/>
      <w:r>
        <w:rPr>
          <w:vertAlign w:val="superscript"/>
          <w:rtl/>
        </w:rPr>
        <w:footnoteReference w:id="3304" w:customMarkFollows="0"/>
      </w:r>
      <w:bookmarkEnd w:id="4425"/>
      <w:r>
        <w:rPr>
          <w:rtl/>
        </w:rPr>
        <w:t>” – אבל ר׳ נפתלי שמר על שתיקתו.</w:t>
      </w:r>
    </w:p>
    <w:p w14:paraId="028ED409" w14:textId="77777777" w:rsidR="00AB3647" w:rsidRDefault="00000000" w:rsidP="007923E9">
      <w:pPr>
        <w:spacing w:before="120" w:after="100" w:line="276" w:lineRule="auto"/>
        <w:jc w:val="both"/>
      </w:pPr>
      <w:r>
        <w:rPr>
          <w:rtl/>
        </w:rPr>
        <w:t xml:space="preserve">ר׳ שלמה </w:t>
      </w:r>
      <w:proofErr w:type="spellStart"/>
      <w:r>
        <w:rPr>
          <w:rtl/>
        </w:rPr>
        <w:t>פרשווטר</w:t>
      </w:r>
      <w:proofErr w:type="spellEnd"/>
      <w:r>
        <w:rPr>
          <w:rtl/>
        </w:rPr>
        <w:t xml:space="preserve"> סיפר</w:t>
      </w:r>
      <w:bookmarkStart w:id="4426" w:name="_fnr3297"/>
      <w:r>
        <w:rPr>
          <w:vertAlign w:val="superscript"/>
          <w:rtl/>
        </w:rPr>
        <w:footnoteReference w:id="3305" w:customMarkFollows="0"/>
      </w:r>
      <w:bookmarkEnd w:id="4426"/>
      <w:r>
        <w:rPr>
          <w:rtl/>
        </w:rPr>
        <w:t xml:space="preserve"> שאבי סיפר לו את הסיפור בשבת שבה שהו יחד בבר מצווה בטורונטו, </w:t>
      </w:r>
      <w:proofErr w:type="spellStart"/>
      <w:r>
        <w:rPr>
          <w:rtl/>
        </w:rPr>
        <w:t>בתש״ם</w:t>
      </w:r>
      <w:proofErr w:type="spellEnd"/>
      <w:r>
        <w:rPr>
          <w:rtl/>
        </w:rPr>
        <w:t>. ר׳ שלמה היה באמצע קריאת הפרשה</w:t>
      </w:r>
      <w:bookmarkStart w:id="4427" w:name="_fnr3298"/>
      <w:r>
        <w:rPr>
          <w:vertAlign w:val="superscript"/>
          <w:rtl/>
        </w:rPr>
        <w:footnoteReference w:id="3306" w:customMarkFollows="0"/>
      </w:r>
      <w:bookmarkEnd w:id="4427"/>
      <w:r>
        <w:rPr>
          <w:rtl/>
        </w:rPr>
        <w:t xml:space="preserve"> כששאלה אותו </w:t>
      </w:r>
      <w:proofErr w:type="spellStart"/>
      <w:r>
        <w:rPr>
          <w:rtl/>
        </w:rPr>
        <w:t>אמו</w:t>
      </w:r>
      <w:proofErr w:type="spellEnd"/>
      <w:r>
        <w:rPr>
          <w:rtl/>
        </w:rPr>
        <w:t xml:space="preserve"> שאלה, ורבנו ראה אותו מסמן לה שאינו יכול להפסיק את קריאת התורה</w:t>
      </w:r>
      <w:bookmarkStart w:id="4428" w:name="_fnr3299"/>
      <w:r>
        <w:rPr>
          <w:vertAlign w:val="superscript"/>
          <w:rtl/>
        </w:rPr>
        <w:footnoteReference w:id="3307" w:customMarkFollows="0"/>
      </w:r>
      <w:bookmarkEnd w:id="4428"/>
      <w:r>
        <w:rPr>
          <w:rtl/>
        </w:rPr>
        <w:t xml:space="preserve"> כדי להשיב. אחר כך סיפר לו אבי את הסיפור הזה על ר׳ נפתלי ועל תוכחת ר׳ ישראל, ופתח בהתנצלות: “אני אדם זקן ויודע סיפורים רבים.” אבי הוסיף </w:t>
      </w:r>
      <w:proofErr w:type="spellStart"/>
      <w:r>
        <w:rPr>
          <w:rtl/>
        </w:rPr>
        <w:t>שאי־הפסקת</w:t>
      </w:r>
      <w:proofErr w:type="spellEnd"/>
      <w:r>
        <w:rPr>
          <w:rtl/>
        </w:rPr>
        <w:t xml:space="preserve"> קריאת הפרשה אינה חובה</w:t>
      </w:r>
      <w:bookmarkStart w:id="4429" w:name="_fnr3300"/>
      <w:r>
        <w:rPr>
          <w:vertAlign w:val="superscript"/>
          <w:rtl/>
        </w:rPr>
        <w:footnoteReference w:id="3308" w:customMarkFollows="0"/>
      </w:r>
      <w:bookmarkEnd w:id="4429"/>
      <w:r>
        <w:rPr>
          <w:rtl/>
        </w:rPr>
        <w:t>, אלא רק חומרה נוספת</w:t>
      </w:r>
      <w:bookmarkStart w:id="4430" w:name="_fnr3301"/>
      <w:r>
        <w:rPr>
          <w:vertAlign w:val="superscript"/>
          <w:rtl/>
        </w:rPr>
        <w:footnoteReference w:id="3309" w:customMarkFollows="0"/>
      </w:r>
      <w:bookmarkEnd w:id="4430"/>
      <w:r>
        <w:rPr>
          <w:rtl/>
        </w:rPr>
        <w:t>.</w:t>
      </w:r>
    </w:p>
    <w:p w14:paraId="3C6905F5" w14:textId="77777777" w:rsidR="00AB3647" w:rsidRDefault="00000000" w:rsidP="007923E9">
      <w:pPr>
        <w:spacing w:after="120" w:line="276" w:lineRule="auto"/>
        <w:jc w:val="both"/>
      </w:pPr>
      <w:r>
        <w:rPr>
          <w:rtl/>
        </w:rPr>
        <w:t>אבי גם סיפר</w:t>
      </w:r>
      <w:bookmarkStart w:id="4431" w:name="_fnr3302"/>
      <w:r>
        <w:rPr>
          <w:vertAlign w:val="superscript"/>
          <w:rtl/>
        </w:rPr>
        <w:footnoteReference w:id="3310" w:customMarkFollows="0"/>
      </w:r>
      <w:bookmarkEnd w:id="4431"/>
      <w:r>
        <w:rPr>
          <w:rtl/>
        </w:rPr>
        <w:t xml:space="preserve"> – ככל הנראה מניסיונו האישי – שר׳ נפתלי היה אומר למבקרו לא “שב”, אלא “שב </w:t>
      </w:r>
      <w:r>
        <w:rPr>
          <w:b/>
          <w:bCs/>
          <w:rtl/>
        </w:rPr>
        <w:t>אם תרצה</w:t>
      </w:r>
      <w:r>
        <w:rPr>
          <w:rtl/>
        </w:rPr>
        <w:t>”. הוא חש שאם ישמיט את ההסתייגות המודגשת, תחייב הזמנתו לשבת את המבקר להיענות, על פי הכלל “כל מה שיאמר לך בעל הבית, עשה”</w:t>
      </w:r>
      <w:bookmarkStart w:id="4432" w:name="_fnr3303"/>
      <w:r>
        <w:rPr>
          <w:vertAlign w:val="superscript"/>
          <w:rtl/>
        </w:rPr>
        <w:footnoteReference w:id="3311" w:customMarkFollows="0"/>
      </w:r>
      <w:bookmarkEnd w:id="4432"/>
      <w:r>
        <w:rPr>
          <w:rtl/>
        </w:rPr>
        <w:t>, גם אם אינו חש בנוח לעשות זאת.</w:t>
      </w:r>
    </w:p>
    <w:bookmarkStart w:id="4433" w:name="b4_note83"/>
    <w:p w14:paraId="241653B0" w14:textId="77777777" w:rsidR="00AB3647" w:rsidRDefault="00000000" w:rsidP="007923E9">
      <w:pPr>
        <w:spacing w:before="120" w:after="100" w:line="276" w:lineRule="auto"/>
        <w:jc w:val="both"/>
      </w:pPr>
      <w:r>
        <w:fldChar w:fldCharType="begin" w:dirty="true"/>
      </w:r>
      <w:r>
        <w:instrText>HYPERLINK \l "b4_text83" \h</w:instrText>
      </w:r>
      <w:r>
        <w:fldChar w:fldCharType="separate"/>
      </w:r>
      <w:r>
        <w:rPr>
          <w:b/>
          <w:bCs/>
          <w:rtl/>
        </w:rPr>
        <w:t>83</w:t>
      </w:r>
      <w:r>
        <w:rPr>
          <w:b/>
          <w:bCs/>
        </w:rPr>
        <w:fldChar w:fldCharType="end"/>
      </w:r>
      <w:bookmarkEnd w:id="4433"/>
      <w:r>
        <w:rPr>
          <w:rtl/>
        </w:rPr>
        <w:t xml:space="preserve"> מן הפעמים הרבות שבהן דיבר אבי על פגישתו עם ר׳ נפתלי נראה כך: רבו של רבנו היה ונשאר תמיד הסבא </w:t>
      </w:r>
      <w:proofErr w:type="spellStart"/>
      <w:r>
        <w:rPr>
          <w:rtl/>
        </w:rPr>
        <w:t>מסלבודקה</w:t>
      </w:r>
      <w:proofErr w:type="spellEnd"/>
      <w:r>
        <w:rPr>
          <w:rtl/>
        </w:rPr>
        <w:t>, איש הדור השני למוסר. אף על פי כן, המגע של אבי עם ר׳ נפתלי, בן הדור הראשון, תרם תרומה ניכרת להטבעת תורת המוסר במצפונו – וליתר דיוק, להפנמת המוסר כדרך חיים, כפי שהתגלם באותו חכם.</w:t>
      </w:r>
    </w:p>
    <w:p w14:paraId="07953C97" w14:textId="648A8540" w:rsidR="00AB3647" w:rsidRDefault="00000000" w:rsidP="007923E9">
      <w:pPr>
        <w:spacing w:after="120" w:line="276" w:lineRule="auto"/>
        <w:jc w:val="both"/>
      </w:pPr>
      <w:r>
        <w:rPr>
          <w:rtl/>
        </w:rPr>
        <w:t xml:space="preserve">אבי חיקה בעניין זה את רבו, ר׳ </w:t>
      </w:r>
      <w:proofErr w:type="spellStart"/>
      <w:r>
        <w:rPr>
          <w:rtl/>
        </w:rPr>
        <w:t>נתן־צבי</w:t>
      </w:r>
      <w:proofErr w:type="spellEnd"/>
      <w:r>
        <w:rPr>
          <w:rtl/>
        </w:rPr>
        <w:t xml:space="preserve"> </w:t>
      </w:r>
      <w:proofErr w:type="spellStart"/>
      <w:r>
        <w:rPr>
          <w:rtl/>
        </w:rPr>
        <w:t>פינקל</w:t>
      </w:r>
      <w:proofErr w:type="spellEnd"/>
      <w:r>
        <w:rPr>
          <w:rtl/>
        </w:rPr>
        <w:t xml:space="preserve">. הסבא, תלמידו של ר׳ </w:t>
      </w:r>
      <w:proofErr w:type="spellStart"/>
      <w:r>
        <w:rPr>
          <w:rtl/>
        </w:rPr>
        <w:t>שמחה־זיסל</w:t>
      </w:r>
      <w:proofErr w:type="spellEnd"/>
      <w:r>
        <w:rPr>
          <w:rtl/>
        </w:rPr>
        <w:t xml:space="preserve"> זיו מן הדור הראשון למוסר, נזקק לפגישה אישית עם קודמו ורבו של רבו, ר׳ ישראל </w:t>
      </w:r>
      <w:proofErr w:type="spellStart"/>
      <w:r>
        <w:rPr>
          <w:rtl/>
        </w:rPr>
        <w:t>סלנטר</w:t>
      </w:r>
      <w:proofErr w:type="spellEnd"/>
      <w:r>
        <w:rPr>
          <w:rtl/>
        </w:rPr>
        <w:t xml:space="preserve">, כדי להפנים את מסר המוסר – השווה פרק 3, הפסקה השלישית של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0342226F" w14:textId="1148DCD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lastRenderedPageBreak/>
        <w:t>בתחילת זמן החורף של תרס״ז שקל הסבא לשלוח את אבי, יחד עם תלמידים אחרים מבוגרים ממנו</w:t>
      </w:r>
      <w:bookmarkStart w:id="4434" w:name="b4_text84"/>
      <w:bookmarkEnd w:id="4434"/>
      <w:r>
        <w:rPr>
          <w:sz w:val="18"/>
          <w:szCs w:val="18"/>
          <w:vertAlign w:val="superscript"/>
          <w:rtl/>
        </w:rPr>
        <w:fldChar w:fldCharType="begin" w:dirty="true"/>
      </w:r>
      <w:r>
        <w:rPr>
          <w:sz w:val="18"/>
          <w:szCs w:val="18"/>
          <w:vertAlign w:val="superscript"/>
          <w:rtl/>
        </w:rPr>
        <w:instrText xml:space="preserve"> REF b4_note84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84</w:t>
      </w:r>
      <w:r>
        <w:rPr>
          <w:sz w:val="18"/>
          <w:szCs w:val="18"/>
          <w:vertAlign w:val="superscript"/>
          <w:rtl/>
        </w:rPr>
        <w:fldChar w:fldCharType="end"/>
      </w:r>
      <w:r>
        <w:rPr>
          <w:rtl/>
        </w:rPr>
        <w:t xml:space="preserve">, בשליחות לחזק את קבוצת </w:t>
      </w:r>
      <w:proofErr w:type="spellStart"/>
      <w:r>
        <w:rPr>
          <w:rtl/>
        </w:rPr>
        <w:t>סלבודקה</w:t>
      </w:r>
      <w:proofErr w:type="spellEnd"/>
      <w:r>
        <w:rPr>
          <w:rtl/>
        </w:rPr>
        <w:t xml:space="preserve"> בהנהגת ר׳ שמואל </w:t>
      </w:r>
      <w:proofErr w:type="spellStart"/>
      <w:r>
        <w:rPr>
          <w:rtl/>
        </w:rPr>
        <w:t>פונדילער</w:t>
      </w:r>
      <w:proofErr w:type="spellEnd"/>
      <w:r>
        <w:rPr>
          <w:rtl/>
        </w:rPr>
        <w:t xml:space="preserve">, שיצאה לחזק את ישיבת </w:t>
      </w:r>
      <w:proofErr w:type="spellStart"/>
      <w:r>
        <w:rPr>
          <w:rtl/>
        </w:rPr>
        <w:t>טלז</w:t>
      </w:r>
      <w:proofErr w:type="spellEnd"/>
      <w:r>
        <w:rPr>
          <w:rtl/>
        </w:rPr>
        <w:t xml:space="preserve"> חצי שנה קודם לכן</w:t>
      </w:r>
      <w:bookmarkStart w:id="4435" w:name="b4_text85"/>
      <w:bookmarkEnd w:id="4435"/>
      <w:r>
        <w:rPr>
          <w:sz w:val="18"/>
          <w:szCs w:val="18"/>
          <w:vertAlign w:val="superscript"/>
          <w:rtl/>
        </w:rPr>
        <w:fldChar w:fldCharType="begin" w:dirty="true"/>
      </w:r>
      <w:r>
        <w:rPr>
          <w:sz w:val="18"/>
          <w:szCs w:val="18"/>
          <w:vertAlign w:val="superscript"/>
          <w:rtl/>
        </w:rPr>
        <w:instrText xml:space="preserve"> REF b4_note85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85</w:t>
      </w:r>
      <w:r>
        <w:rPr>
          <w:sz w:val="18"/>
          <w:szCs w:val="18"/>
          <w:vertAlign w:val="superscript"/>
          <w:rtl/>
        </w:rPr>
        <w:fldChar w:fldCharType="end"/>
      </w:r>
      <w:r>
        <w:rPr>
          <w:rtl/>
        </w:rPr>
        <w:t>. אבל הסבא החליט</w:t>
      </w:r>
      <w:bookmarkStart w:id="4436" w:name="b4_text86"/>
      <w:bookmarkEnd w:id="4436"/>
      <w:r>
        <w:rPr>
          <w:sz w:val="18"/>
          <w:szCs w:val="18"/>
          <w:vertAlign w:val="superscript"/>
          <w:rtl/>
        </w:rPr>
        <w:fldChar w:fldCharType="begin" w:dirty="true"/>
      </w:r>
      <w:r>
        <w:rPr>
          <w:sz w:val="18"/>
          <w:szCs w:val="18"/>
          <w:vertAlign w:val="superscript"/>
          <w:rtl/>
        </w:rPr>
        <w:instrText xml:space="preserve"> REF b4_note86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86</w:t>
      </w:r>
      <w:r>
        <w:rPr>
          <w:sz w:val="18"/>
          <w:szCs w:val="18"/>
          <w:vertAlign w:val="superscript"/>
          <w:rtl/>
        </w:rPr>
        <w:fldChar w:fldCharType="end"/>
      </w:r>
      <w:r>
        <w:rPr>
          <w:rtl/>
        </w:rPr>
        <w:t xml:space="preserve"> </w:t>
      </w:r>
      <w:proofErr w:type="spellStart"/>
      <w:r>
        <w:rPr>
          <w:rtl/>
        </w:rPr>
        <w:t>שהדולהינובר</w:t>
      </w:r>
      <w:proofErr w:type="spellEnd"/>
      <w:r>
        <w:rPr>
          <w:rtl/>
        </w:rPr>
        <w:t xml:space="preserve">, בגלל גילו הצעיר, לא יתקבל יפה </w:t>
      </w:r>
      <w:proofErr w:type="spellStart"/>
      <w:r>
        <w:rPr>
          <w:rtl/>
        </w:rPr>
        <w:t>בטלז</w:t>
      </w:r>
      <w:proofErr w:type="spellEnd"/>
      <w:r>
        <w:rPr>
          <w:rtl/>
        </w:rPr>
        <w:t xml:space="preserve">, והוא נשאר </w:t>
      </w:r>
      <w:proofErr w:type="spellStart"/>
      <w:r>
        <w:rPr>
          <w:rtl/>
        </w:rPr>
        <w:t>בסלבודקה</w:t>
      </w:r>
      <w:proofErr w:type="spellEnd"/>
      <w:r>
        <w:rPr>
          <w:rtl/>
        </w:rPr>
        <w:t>, שבה נלמדה באותו זמן מסכת בבא בתרא</w:t>
      </w:r>
      <w:bookmarkStart w:id="4437" w:name="b4_text87"/>
      <w:bookmarkEnd w:id="4437"/>
      <w:r>
        <w:rPr>
          <w:sz w:val="18"/>
          <w:szCs w:val="18"/>
          <w:vertAlign w:val="superscript"/>
          <w:rtl/>
        </w:rPr>
        <w:fldChar w:fldCharType="begin" w:dirty="true"/>
      </w:r>
      <w:r>
        <w:rPr>
          <w:sz w:val="18"/>
          <w:szCs w:val="18"/>
          <w:vertAlign w:val="superscript"/>
          <w:rtl/>
        </w:rPr>
        <w:instrText xml:space="preserve"> REF b4_note87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87</w:t>
      </w:r>
      <w:r>
        <w:rPr>
          <w:sz w:val="18"/>
          <w:szCs w:val="18"/>
          <w:vertAlign w:val="superscript"/>
          <w:rtl/>
        </w:rPr>
        <w:fldChar w:fldCharType="end"/>
      </w:r>
      <w:r>
        <w:rPr>
          <w:rtl/>
        </w:rPr>
        <w:t xml:space="preserve">. בזמן החדש כבר לא נזקק רבנו לעזרה במציאת </w:t>
      </w:r>
      <w:proofErr w:type="spellStart"/>
      <w:r>
        <w:rPr>
          <w:rtl/>
        </w:rPr>
        <w:t>חברותות</w:t>
      </w:r>
      <w:proofErr w:type="spellEnd"/>
      <w:r>
        <w:rPr>
          <w:rtl/>
        </w:rPr>
        <w:t>; להפך, היה עליו להחליט אילו מן ההצעות הרבות לחברותא ידחה.</w:t>
      </w:r>
    </w:p>
    <w:bookmarkStart w:id="4438" w:name="b4_note84"/>
    <w:p w14:paraId="1B2FAAEF" w14:textId="77777777" w:rsidR="00AB3647" w:rsidRDefault="00000000" w:rsidP="007923E9">
      <w:pPr>
        <w:spacing w:before="120" w:after="100" w:line="276" w:lineRule="auto"/>
        <w:jc w:val="both"/>
      </w:pPr>
      <w:r>
        <w:fldChar w:fldCharType="begin" w:dirty="true"/>
      </w:r>
      <w:r>
        <w:instrText>HYPERLINK \l "b4_text84" \h</w:instrText>
      </w:r>
      <w:r>
        <w:fldChar w:fldCharType="separate"/>
      </w:r>
      <w:r>
        <w:rPr>
          <w:b/>
          <w:bCs/>
          <w:rtl/>
        </w:rPr>
        <w:t>84</w:t>
      </w:r>
      <w:r>
        <w:rPr>
          <w:b/>
          <w:bCs/>
        </w:rPr>
        <w:fldChar w:fldCharType="end"/>
      </w:r>
      <w:bookmarkEnd w:id="4438"/>
      <w:r>
        <w:rPr>
          <w:rtl/>
        </w:rPr>
        <w:t xml:space="preserve"> את הידיעה שאבי כמעט נשלח </w:t>
      </w:r>
      <w:proofErr w:type="spellStart"/>
      <w:r>
        <w:rPr>
          <w:rtl/>
        </w:rPr>
        <w:t>לטלז</w:t>
      </w:r>
      <w:proofErr w:type="spellEnd"/>
      <w:r>
        <w:rPr>
          <w:rtl/>
        </w:rPr>
        <w:t xml:space="preserve"> זמן קצר כל כך אחרי בואו, ואת הסיבה שהדבר בוטל, מסר ר׳ </w:t>
      </w:r>
      <w:proofErr w:type="spellStart"/>
      <w:r>
        <w:rPr>
          <w:rtl/>
        </w:rPr>
        <w:t>לייבל</w:t>
      </w:r>
      <w:proofErr w:type="spellEnd"/>
      <w:r>
        <w:rPr>
          <w:rtl/>
        </w:rPr>
        <w:t xml:space="preserve"> </w:t>
      </w:r>
      <w:proofErr w:type="spellStart"/>
      <w:r>
        <w:rPr>
          <w:rtl/>
        </w:rPr>
        <w:t>פרלשטיין</w:t>
      </w:r>
      <w:proofErr w:type="spellEnd"/>
      <w:r>
        <w:rPr>
          <w:rtl/>
        </w:rPr>
        <w:t>, ששמע זאת מפי רבנו</w:t>
      </w:r>
      <w:bookmarkStart w:id="4439" w:name="_fnr3304"/>
      <w:r>
        <w:rPr>
          <w:vertAlign w:val="superscript"/>
          <w:rtl/>
        </w:rPr>
        <w:footnoteReference w:id="3312" w:customMarkFollows="0"/>
      </w:r>
      <w:bookmarkEnd w:id="4439"/>
      <w:r>
        <w:rPr>
          <w:rtl/>
        </w:rPr>
        <w:t>.</w:t>
      </w:r>
    </w:p>
    <w:bookmarkStart w:id="4440" w:name="b4_note85"/>
    <w:p w14:paraId="0EBD458E" w14:textId="77777777" w:rsidR="00AB3647" w:rsidRDefault="00000000" w:rsidP="007923E9">
      <w:pPr>
        <w:spacing w:before="120" w:after="100" w:line="276" w:lineRule="auto"/>
        <w:jc w:val="both"/>
      </w:pPr>
      <w:r>
        <w:fldChar w:fldCharType="begin" w:dirty="true"/>
      </w:r>
      <w:r>
        <w:instrText>HYPERLINK \l "b4_text85" \h</w:instrText>
      </w:r>
      <w:r>
        <w:fldChar w:fldCharType="separate"/>
      </w:r>
      <w:r>
        <w:rPr>
          <w:b/>
          <w:bCs/>
          <w:rtl/>
        </w:rPr>
        <w:t>85</w:t>
      </w:r>
      <w:r>
        <w:rPr>
          <w:b/>
          <w:bCs/>
        </w:rPr>
        <w:fldChar w:fldCharType="end"/>
      </w:r>
      <w:bookmarkEnd w:id="4440"/>
      <w:r>
        <w:rPr>
          <w:rtl/>
        </w:rPr>
        <w:t xml:space="preserve"> ראה בסעיף 2 בפרק זה, בפסקה הפותחת “איזה כאב היה על ר׳ לייזר לשאת”, על שליחת הקבוצה בראשות ר׳ שמואל </w:t>
      </w:r>
      <w:proofErr w:type="spellStart"/>
      <w:r>
        <w:rPr>
          <w:rtl/>
        </w:rPr>
        <w:t>פונדילער</w:t>
      </w:r>
      <w:proofErr w:type="spellEnd"/>
      <w:r>
        <w:rPr>
          <w:rtl/>
        </w:rPr>
        <w:t>.</w:t>
      </w:r>
    </w:p>
    <w:bookmarkStart w:id="4441" w:name="b4_note86"/>
    <w:p w14:paraId="0E2221F2" w14:textId="77777777" w:rsidR="00AB3647" w:rsidRDefault="00000000" w:rsidP="007923E9">
      <w:pPr>
        <w:spacing w:before="120" w:after="100" w:line="276" w:lineRule="auto"/>
        <w:jc w:val="both"/>
      </w:pPr>
      <w:r>
        <w:fldChar w:fldCharType="begin" w:dirty="true"/>
      </w:r>
      <w:r>
        <w:instrText>HYPERLINK \l "b4_text86" \h</w:instrText>
      </w:r>
      <w:r>
        <w:fldChar w:fldCharType="separate"/>
      </w:r>
      <w:r>
        <w:rPr>
          <w:b/>
          <w:bCs/>
          <w:rtl/>
        </w:rPr>
        <w:t>86</w:t>
      </w:r>
      <w:r>
        <w:rPr>
          <w:b/>
          <w:bCs/>
        </w:rPr>
        <w:fldChar w:fldCharType="end"/>
      </w:r>
      <w:bookmarkEnd w:id="4441"/>
      <w:r>
        <w:rPr>
          <w:rtl/>
        </w:rPr>
        <w:t xml:space="preserve"> לפי ר׳ </w:t>
      </w:r>
      <w:proofErr w:type="spellStart"/>
      <w:r>
        <w:rPr>
          <w:rtl/>
        </w:rPr>
        <w:t>לייבל</w:t>
      </w:r>
      <w:proofErr w:type="spellEnd"/>
      <w:r>
        <w:rPr>
          <w:rtl/>
        </w:rPr>
        <w:t xml:space="preserve"> </w:t>
      </w:r>
      <w:proofErr w:type="spellStart"/>
      <w:r>
        <w:rPr>
          <w:rtl/>
        </w:rPr>
        <w:t>פרלשטיין</w:t>
      </w:r>
      <w:proofErr w:type="spellEnd"/>
      <w:r>
        <w:rPr>
          <w:rtl/>
        </w:rPr>
        <w:t>, שינה הסבא את דעתו כשאבי כבר היה באמצע ההכנות לצאת עם האחרים. אבי השתמש בלשון התלמוד ושאל את הסבא: “מעיקרא מאי סברת?</w:t>
      </w:r>
      <w:bookmarkStart w:id="4442" w:name="_fnr3305"/>
      <w:r>
        <w:rPr>
          <w:vertAlign w:val="superscript"/>
          <w:rtl/>
        </w:rPr>
        <w:footnoteReference w:id="3313" w:customMarkFollows="0"/>
      </w:r>
      <w:bookmarkEnd w:id="444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השיב: “חשבתי עליך למרות גילך, משום שאתה </w:t>
      </w:r>
      <w:proofErr w:type="spellStart"/>
      <w:r>
        <w:rPr>
          <w:rtl/>
        </w:rPr>
        <w:t>מוסטער</w:t>
      </w:r>
      <w:proofErr w:type="spellEnd"/>
      <w:r>
        <w:rPr>
          <w:rtl/>
        </w:rPr>
        <w:t xml:space="preserve"> [דגם] של מוסר</w:t>
      </w:r>
      <w:bookmarkStart w:id="4443" w:name="_fnr3306"/>
      <w:r>
        <w:rPr>
          <w:vertAlign w:val="superscript"/>
          <w:rtl/>
        </w:rPr>
        <w:footnoteReference w:id="3314" w:customMarkFollows="0"/>
      </w:r>
      <w:bookmarkEnd w:id="4443"/>
      <w:r>
        <w:rPr>
          <w:rtl/>
        </w:rPr>
        <w:t>.”</w:t>
      </w:r>
    </w:p>
    <w:bookmarkStart w:id="4444" w:name="b4_note87"/>
    <w:p w14:paraId="4E7CEDB8" w14:textId="77777777" w:rsidR="00AB3647" w:rsidRDefault="00000000" w:rsidP="007923E9">
      <w:pPr>
        <w:spacing w:before="120" w:after="100" w:line="276" w:lineRule="auto"/>
        <w:jc w:val="both"/>
      </w:pPr>
      <w:r>
        <w:fldChar w:fldCharType="begin" w:dirty="true"/>
      </w:r>
      <w:r>
        <w:instrText>HYPERLINK \l "b4_text87" \h</w:instrText>
      </w:r>
      <w:r>
        <w:fldChar w:fldCharType="separate"/>
      </w:r>
      <w:r>
        <w:rPr>
          <w:b/>
          <w:bCs/>
          <w:rtl/>
        </w:rPr>
        <w:t>87</w:t>
      </w:r>
      <w:r>
        <w:rPr>
          <w:b/>
          <w:bCs/>
        </w:rPr>
        <w:fldChar w:fldCharType="end"/>
      </w:r>
      <w:bookmarkEnd w:id="4444"/>
      <w:r>
        <w:rPr>
          <w:rtl/>
        </w:rPr>
        <w:t xml:space="preserve"> מתוך רשימות ביוגרפיות</w:t>
      </w:r>
      <w:bookmarkStart w:id="4445" w:name="_fnr3307"/>
      <w:r>
        <w:rPr>
          <w:vertAlign w:val="superscript"/>
          <w:rtl/>
        </w:rPr>
        <w:footnoteReference w:id="3315" w:customMarkFollows="0"/>
      </w:r>
      <w:bookmarkEnd w:id="4445"/>
      <w:r>
        <w:rPr>
          <w:rtl/>
        </w:rPr>
        <w:t>.</w:t>
      </w:r>
    </w:p>
    <w:p w14:paraId="29B89D83" w14:textId="334D6E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באותו סתיו גילה שהוא קצר רואי: בלילה זרוע כוכבים הציע לו חבר, לשם שעשוע, לנסות את משקפיו, וכשהרכיב אותם ראה כוכבים רבים יותר מכפי שראה בכל חייו</w:t>
      </w:r>
      <w:bookmarkStart w:id="4446" w:name="b4_text88"/>
      <w:bookmarkEnd w:id="4446"/>
      <w:r>
        <w:rPr>
          <w:sz w:val="18"/>
          <w:szCs w:val="18"/>
          <w:vertAlign w:val="superscript"/>
          <w:rtl/>
        </w:rPr>
        <w:fldChar w:fldCharType="begin" w:dirty="true"/>
      </w:r>
      <w:r>
        <w:rPr>
          <w:sz w:val="18"/>
          <w:szCs w:val="18"/>
          <w:vertAlign w:val="superscript"/>
          <w:rtl/>
        </w:rPr>
        <w:instrText xml:space="preserve"> REF b4_note88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88</w:t>
      </w:r>
      <w:r>
        <w:rPr>
          <w:sz w:val="18"/>
          <w:szCs w:val="18"/>
          <w:vertAlign w:val="superscript"/>
          <w:rtl/>
        </w:rPr>
        <w:fldChar w:fldCharType="end"/>
      </w:r>
      <w:r>
        <w:rPr>
          <w:rtl/>
        </w:rPr>
        <w:t>. הוא הבין שסבל מקוצר ראייה מאז ינקותו, אבל לא היה בידו לעשות דבר לתיקון ראייתו עד שיבקר אצל הוריו במינסק בפסח.</w:t>
      </w:r>
    </w:p>
    <w:bookmarkStart w:id="4447" w:name="pr_b_1916"/>
    <w:bookmarkStart w:id="4448" w:name="b4_note88"/>
    <w:bookmarkEnd w:id="4447"/>
    <w:p w14:paraId="2A7F731F" w14:textId="77777777" w:rsidR="00AB3647" w:rsidRDefault="00000000" w:rsidP="007923E9">
      <w:pPr>
        <w:spacing w:before="120" w:after="100" w:line="276" w:lineRule="auto"/>
        <w:jc w:val="both"/>
      </w:pPr>
      <w:r>
        <w:fldChar w:fldCharType="begin" w:dirty="true"/>
      </w:r>
      <w:r>
        <w:instrText>HYPERLINK \l "b4_text88" \h</w:instrText>
      </w:r>
      <w:r>
        <w:fldChar w:fldCharType="separate"/>
      </w:r>
      <w:r>
        <w:rPr>
          <w:b/>
          <w:bCs/>
          <w:rtl/>
        </w:rPr>
        <w:t>88</w:t>
      </w:r>
      <w:r>
        <w:rPr>
          <w:b/>
          <w:bCs/>
        </w:rPr>
        <w:fldChar w:fldCharType="end"/>
      </w:r>
      <w:bookmarkEnd w:id="4448"/>
      <w:r>
        <w:rPr>
          <w:rtl/>
        </w:rPr>
        <w:t xml:space="preserve"> בביקורו בקריית נוער בירושלים בחורף תשמ״א הוצג אבי לפני אופטיקאי שהיה מעורב בתוכנית לבדיקות עיניים לתלמידי ישיבות. אבי סיפר לו כיצד עמד מניסיונו שלו על הצורך בכך, ותיאר את תחושתו כשניסה את משקפי חברו: “הייתה בהירות כזאת, חשבתי שאני רואה חזיון</w:t>
      </w:r>
      <w:bookmarkStart w:id="4449" w:name="_fnr3308"/>
      <w:r>
        <w:rPr>
          <w:vertAlign w:val="superscript"/>
          <w:rtl/>
        </w:rPr>
        <w:footnoteReference w:id="3316" w:customMarkFollows="0"/>
      </w:r>
      <w:bookmarkEnd w:id="4449"/>
      <w:r>
        <w:rPr>
          <w:rtl/>
        </w:rPr>
        <w:t>.”</w:t>
      </w:r>
    </w:p>
    <w:p w14:paraId="76703F81" w14:textId="40AAC42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בעונות הסתיו והחורף התרחב הבוץ </w:t>
      </w:r>
      <w:proofErr w:type="spellStart"/>
      <w:r>
        <w:rPr>
          <w:rtl/>
        </w:rPr>
        <w:t>בסלבודקה</w:t>
      </w:r>
      <w:proofErr w:type="spellEnd"/>
      <w:r>
        <w:rPr>
          <w:rtl/>
        </w:rPr>
        <w:t xml:space="preserve"> והעמיק, עד שלא היה אפשר לעבור ברחובות</w:t>
      </w:r>
      <w:bookmarkStart w:id="4450" w:name="b4_text89"/>
      <w:bookmarkEnd w:id="4450"/>
      <w:r>
        <w:rPr>
          <w:sz w:val="18"/>
          <w:szCs w:val="18"/>
          <w:vertAlign w:val="superscript"/>
          <w:rtl/>
        </w:rPr>
        <w:fldChar w:fldCharType="begin" w:dirty="true"/>
      </w:r>
      <w:r>
        <w:rPr>
          <w:sz w:val="18"/>
          <w:szCs w:val="18"/>
          <w:vertAlign w:val="superscript"/>
          <w:rtl/>
        </w:rPr>
        <w:instrText xml:space="preserve"> REF b4_note89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89</w:t>
      </w:r>
      <w:r>
        <w:rPr>
          <w:sz w:val="18"/>
          <w:szCs w:val="18"/>
          <w:vertAlign w:val="superscript"/>
          <w:rtl/>
        </w:rPr>
        <w:fldChar w:fldCharType="end"/>
      </w:r>
      <w:r>
        <w:rPr>
          <w:rtl/>
        </w:rPr>
        <w:t>. אבל בתקופה זו של השנה נהנו בחורי הישיבה לראות שני מבקרים נכבדים. האחד היה ר׳ לייזר גורדון</w:t>
      </w:r>
      <w:bookmarkStart w:id="4451" w:name="b4_text90"/>
      <w:bookmarkEnd w:id="4451"/>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שאהבתו ללימוד התורה הייתה לשם דבר</w:t>
      </w:r>
      <w:bookmarkStart w:id="4452" w:name="b4_text91"/>
      <w:bookmarkEnd w:id="4452"/>
      <w:r>
        <w:rPr>
          <w:sz w:val="18"/>
          <w:szCs w:val="18"/>
          <w:vertAlign w:val="superscript"/>
          <w:rtl/>
        </w:rPr>
        <w:fldChar w:fldCharType="begin" w:dirty="true"/>
      </w:r>
      <w:r>
        <w:rPr>
          <w:sz w:val="18"/>
          <w:szCs w:val="18"/>
          <w:vertAlign w:val="superscript"/>
          <w:rtl/>
        </w:rPr>
        <w:instrText xml:space="preserve"> REF b4_note91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91</w:t>
      </w:r>
      <w:r>
        <w:rPr>
          <w:sz w:val="18"/>
          <w:szCs w:val="18"/>
          <w:vertAlign w:val="superscript"/>
          <w:rtl/>
        </w:rPr>
        <w:fldChar w:fldCharType="end"/>
      </w:r>
      <w:r>
        <w:rPr>
          <w:rtl/>
        </w:rPr>
        <w:t xml:space="preserve">. הוא היה בדרכו לווילנה לפגוש את ר׳ </w:t>
      </w:r>
      <w:proofErr w:type="spellStart"/>
      <w:r>
        <w:rPr>
          <w:rtl/>
        </w:rPr>
        <w:t>חיים־עוזר</w:t>
      </w:r>
      <w:proofErr w:type="spellEnd"/>
      <w:r>
        <w:rPr>
          <w:rtl/>
        </w:rPr>
        <w:t xml:space="preserve"> </w:t>
      </w:r>
      <w:proofErr w:type="spellStart"/>
      <w:r>
        <w:rPr>
          <w:rtl/>
        </w:rPr>
        <w:t>גרודזנסקי</w:t>
      </w:r>
      <w:proofErr w:type="spellEnd"/>
      <w:r>
        <w:rPr>
          <w:rtl/>
        </w:rPr>
        <w:t>, וניצל את מעברו בעיר</w:t>
      </w:r>
      <w:r>
        <w:rPr>
          <w:sz w:val="18"/>
          <w:szCs w:val="18"/>
          <w:vertAlign w:val="superscript"/>
          <w:rtl/>
        </w:rPr>
        <w:fldChar w:fldCharType="begin" w:dirty="true"/>
      </w:r>
      <w:r>
        <w:rPr>
          <w:sz w:val="18"/>
          <w:szCs w:val="18"/>
          <w:vertAlign w:val="superscript"/>
          <w:rtl/>
        </w:rPr>
        <w:instrText xml:space="preserve"> REF b4_note90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90</w:t>
      </w:r>
      <w:r>
        <w:rPr>
          <w:sz w:val="18"/>
          <w:szCs w:val="18"/>
          <w:vertAlign w:val="superscript"/>
          <w:rtl/>
        </w:rPr>
        <w:fldChar w:fldCharType="end"/>
      </w:r>
      <w:r>
        <w:rPr>
          <w:rtl/>
        </w:rPr>
        <w:t xml:space="preserve"> כדי לעדכן את ר׳ </w:t>
      </w:r>
      <w:proofErr w:type="spellStart"/>
      <w:r>
        <w:rPr>
          <w:rtl/>
        </w:rPr>
        <w:t>נתן־צבי</w:t>
      </w:r>
      <w:proofErr w:type="spellEnd"/>
      <w:r>
        <w:rPr>
          <w:rtl/>
        </w:rPr>
        <w:t xml:space="preserve"> </w:t>
      </w:r>
      <w:proofErr w:type="spellStart"/>
      <w:r>
        <w:rPr>
          <w:rtl/>
        </w:rPr>
        <w:t>פינקל</w:t>
      </w:r>
      <w:proofErr w:type="spellEnd"/>
      <w:r>
        <w:rPr>
          <w:rtl/>
        </w:rPr>
        <w:t xml:space="preserve"> </w:t>
      </w:r>
      <w:r>
        <w:rPr>
          <w:rtl/>
        </w:rPr>
        <w:lastRenderedPageBreak/>
        <w:t xml:space="preserve">במצב ישיבת </w:t>
      </w:r>
      <w:proofErr w:type="spellStart"/>
      <w:r>
        <w:rPr>
          <w:rtl/>
        </w:rPr>
        <w:t>טלז</w:t>
      </w:r>
      <w:proofErr w:type="spellEnd"/>
      <w:r>
        <w:rPr>
          <w:rtl/>
        </w:rPr>
        <w:t xml:space="preserve">. הישיבה </w:t>
      </w:r>
      <w:proofErr w:type="spellStart"/>
      <w:r>
        <w:rPr>
          <w:rtl/>
        </w:rPr>
        <w:t>בטלז</w:t>
      </w:r>
      <w:proofErr w:type="spellEnd"/>
      <w:r>
        <w:rPr>
          <w:rtl/>
        </w:rPr>
        <w:t xml:space="preserve"> עברה מאורעות דרמטיים רבים מאז נעשה ר׳ לייזר לרב ולראש ישיבה שם, עשרים ושלוש שנה קודם לכן.</w:t>
      </w:r>
    </w:p>
    <w:bookmarkStart w:id="4453" w:name="b4_note89"/>
    <w:p w14:paraId="4B41307F" w14:textId="7233109C" w:rsidR="00AB3647" w:rsidRDefault="00000000" w:rsidP="007923E9">
      <w:pPr>
        <w:spacing w:before="120" w:after="100" w:line="276" w:lineRule="auto"/>
        <w:jc w:val="both"/>
      </w:pPr>
      <w:r>
        <w:fldChar w:fldCharType="begin" w:dirty="true"/>
      </w:r>
      <w:r>
        <w:instrText>HYPERLINK \l "b4_text89" \h</w:instrText>
      </w:r>
      <w:r>
        <w:fldChar w:fldCharType="separate"/>
      </w:r>
      <w:r>
        <w:rPr>
          <w:b/>
          <w:bCs/>
          <w:rtl/>
        </w:rPr>
        <w:t>89</w:t>
      </w:r>
      <w:r>
        <w:rPr>
          <w:b/>
          <w:bCs/>
        </w:rPr>
        <w:fldChar w:fldCharType="end"/>
      </w:r>
      <w:bookmarkEnd w:id="4453"/>
      <w:r>
        <w:rPr>
          <w:rtl/>
        </w:rPr>
        <w:t xml:space="preserve"> התיאור הזה לקוח ממאמרו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454" w:name="_fnr3309"/>
      <w:r>
        <w:rPr>
          <w:vertAlign w:val="superscript"/>
          <w:rtl/>
        </w:rPr>
        <w:footnoteReference w:id="3317" w:customMarkFollows="0"/>
      </w:r>
      <w:bookmarkEnd w:id="4454"/>
      <w:r>
        <w:rPr>
          <w:rtl/>
        </w:rPr>
        <w:t xml:space="preserve">. (ראה פרק 3, הערה </w:t>
      </w:r>
      <w:r>
        <w:rPr>
          <w:rtl/>
        </w:rPr>
        <w:fldChar w:fldCharType="begin" w:dirty="true"/>
      </w:r>
      <w:r>
        <w:rPr>
          <w:rtl/>
        </w:rPr>
        <w:instrText xml:space="preserve"> REF b3_note72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72</w:t>
      </w:r>
      <w:r>
        <w:rPr>
          <w:rtl/>
        </w:rPr>
        <w:fldChar w:fldCharType="end"/>
      </w:r>
      <w:r>
        <w:rPr>
          <w:rtl/>
        </w:rPr>
        <w:t>.)</w:t>
      </w:r>
    </w:p>
    <w:bookmarkStart w:id="4455" w:name="b4_note90"/>
    <w:p w14:paraId="1EEE6310" w14:textId="2C111CB8" w:rsidR="00AB3647" w:rsidRDefault="00000000" w:rsidP="007923E9">
      <w:pPr>
        <w:spacing w:before="120" w:after="100" w:line="276" w:lineRule="auto"/>
        <w:jc w:val="both"/>
      </w:pPr>
      <w:r>
        <w:fldChar w:fldCharType="begin" w:dirty="true"/>
      </w:r>
      <w:r>
        <w:instrText>HYPERLINK \l "b4_text90" \h</w:instrText>
      </w:r>
      <w:r>
        <w:fldChar w:fldCharType="separate"/>
      </w:r>
      <w:r>
        <w:rPr>
          <w:b/>
          <w:bCs/>
          <w:rtl/>
        </w:rPr>
        <w:t>90</w:t>
      </w:r>
      <w:r>
        <w:rPr>
          <w:b/>
          <w:bCs/>
        </w:rPr>
        <w:fldChar w:fldCharType="end"/>
      </w:r>
      <w:bookmarkEnd w:id="4455"/>
      <w:r>
        <w:rPr>
          <w:rtl/>
        </w:rPr>
        <w:t xml:space="preserve"> ראה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w:t>
      </w:r>
    </w:p>
    <w:bookmarkStart w:id="4456" w:name="b4_note91"/>
    <w:p w14:paraId="3A5B1802" w14:textId="77777777" w:rsidR="00AB3647" w:rsidRDefault="00000000" w:rsidP="007923E9">
      <w:pPr>
        <w:spacing w:before="120" w:after="100" w:line="276" w:lineRule="auto"/>
        <w:jc w:val="both"/>
      </w:pPr>
      <w:r>
        <w:fldChar w:fldCharType="begin" w:dirty="true"/>
      </w:r>
      <w:r>
        <w:instrText>HYPERLINK \l "b4_text91" \h</w:instrText>
      </w:r>
      <w:r>
        <w:fldChar w:fldCharType="separate"/>
      </w:r>
      <w:r>
        <w:rPr>
          <w:b/>
          <w:bCs/>
          <w:rtl/>
        </w:rPr>
        <w:t>91</w:t>
      </w:r>
      <w:r>
        <w:rPr>
          <w:b/>
          <w:bCs/>
        </w:rPr>
        <w:fldChar w:fldCharType="end"/>
      </w:r>
      <w:bookmarkEnd w:id="4456"/>
      <w:r>
        <w:rPr>
          <w:rtl/>
        </w:rPr>
        <w:t xml:space="preserve"> </w:t>
      </w:r>
      <w:proofErr w:type="spellStart"/>
      <w:r>
        <w:rPr>
          <w:rtl/>
        </w:rPr>
        <w:t>רבינר</w:t>
      </w:r>
      <w:proofErr w:type="spellEnd"/>
      <w:r>
        <w:rPr>
          <w:rtl/>
        </w:rPr>
        <w:t>, “הגאון רבי אליעזר גורדון”</w:t>
      </w:r>
      <w:bookmarkStart w:id="4457" w:name="_fnr3310"/>
      <w:r>
        <w:rPr>
          <w:vertAlign w:val="superscript"/>
          <w:rtl/>
        </w:rPr>
        <w:footnoteReference w:id="3318" w:customMarkFollows="0"/>
      </w:r>
      <w:bookmarkEnd w:id="4457"/>
      <w:r>
        <w:rPr>
          <w:rtl/>
        </w:rPr>
        <w:t xml:space="preserve"> מביא מכתב ששלח ר׳ </w:t>
      </w:r>
      <w:proofErr w:type="spellStart"/>
      <w:r>
        <w:rPr>
          <w:rtl/>
        </w:rPr>
        <w:t>יחיאל־יעקב</w:t>
      </w:r>
      <w:proofErr w:type="spellEnd"/>
      <w:r>
        <w:rPr>
          <w:rtl/>
        </w:rPr>
        <w:t xml:space="preserve"> ויינברג</w:t>
      </w:r>
      <w:bookmarkStart w:id="4458" w:name="_fnr3311"/>
      <w:r>
        <w:rPr>
          <w:vertAlign w:val="superscript"/>
          <w:rtl/>
        </w:rPr>
        <w:footnoteReference w:id="3319" w:customMarkFollows="0"/>
      </w:r>
      <w:bookmarkEnd w:id="4458"/>
      <w:r>
        <w:rPr>
          <w:rtl/>
        </w:rPr>
        <w:t xml:space="preserve"> </w:t>
      </w:r>
      <w:proofErr w:type="spellStart"/>
      <w:r>
        <w:rPr>
          <w:rtl/>
        </w:rPr>
        <w:t>לר</w:t>
      </w:r>
      <w:proofErr w:type="spellEnd"/>
      <w:r>
        <w:rPr>
          <w:rtl/>
        </w:rPr>
        <w:t xml:space="preserve">׳ </w:t>
      </w:r>
      <w:proofErr w:type="spellStart"/>
      <w:r>
        <w:rPr>
          <w:rtl/>
        </w:rPr>
        <w:t>זאב־אריה</w:t>
      </w:r>
      <w:proofErr w:type="spellEnd"/>
      <w:r>
        <w:rPr>
          <w:rtl/>
        </w:rPr>
        <w:t xml:space="preserve"> </w:t>
      </w:r>
      <w:proofErr w:type="spellStart"/>
      <w:r>
        <w:rPr>
          <w:rtl/>
        </w:rPr>
        <w:t>רבינר</w:t>
      </w:r>
      <w:proofErr w:type="spellEnd"/>
      <w:r>
        <w:rPr>
          <w:rtl/>
        </w:rPr>
        <w:t xml:space="preserve">, מחבר הספר. ר׳ </w:t>
      </w:r>
      <w:proofErr w:type="spellStart"/>
      <w:r>
        <w:rPr>
          <w:rtl/>
        </w:rPr>
        <w:t>יחיאל־יעקב</w:t>
      </w:r>
      <w:proofErr w:type="spellEnd"/>
      <w:r>
        <w:rPr>
          <w:rtl/>
        </w:rPr>
        <w:t xml:space="preserve"> מתאר בו פגישה אחת שהייתה לו עם ר׳ לייזר גורדון, כשפגש במקרה את הגאון הגדול בתחנת הרכבת בקניגסברג. ר׳ לייזר אמר לו: “שמעתי שיש לך </w:t>
      </w:r>
      <w:proofErr w:type="spellStart"/>
      <w:r>
        <w:rPr>
          <w:rtl/>
        </w:rPr>
        <w:t>גוטע</w:t>
      </w:r>
      <w:proofErr w:type="spellEnd"/>
      <w:r>
        <w:rPr>
          <w:rtl/>
        </w:rPr>
        <w:t xml:space="preserve"> </w:t>
      </w:r>
      <w:proofErr w:type="spellStart"/>
      <w:r>
        <w:rPr>
          <w:rtl/>
        </w:rPr>
        <w:t>קעפל</w:t>
      </w:r>
      <w:proofErr w:type="spellEnd"/>
      <w:r>
        <w:rPr>
          <w:rtl/>
        </w:rPr>
        <w:t xml:space="preserve"> [ראש טוב]; אשאל אותך שאלה [תלמודית].” כשהציע ר׳ </w:t>
      </w:r>
      <w:proofErr w:type="spellStart"/>
      <w:r>
        <w:rPr>
          <w:rtl/>
        </w:rPr>
        <w:t>יחיאל־יעקב</w:t>
      </w:r>
      <w:proofErr w:type="spellEnd"/>
      <w:r>
        <w:rPr>
          <w:rtl/>
        </w:rPr>
        <w:t xml:space="preserve"> ויינברג תשובה, ר׳ לייזר “נישק [אותו] באהבה על מצחו”. הכותב מסיים במילים: “אהבתו [של ר׳ לייזר גורדון] לתורה וללומדיה הייתה ללא גבול.” אבי כינה את ר׳ לייזר “אוהב התורה” הגדול בדורו. לפי ר׳ אברהם שושנה</w:t>
      </w:r>
      <w:bookmarkStart w:id="4459" w:name="_fnr3312"/>
      <w:r>
        <w:rPr>
          <w:vertAlign w:val="superscript"/>
          <w:rtl/>
        </w:rPr>
        <w:footnoteReference w:id="3320" w:customMarkFollows="0"/>
      </w:r>
      <w:bookmarkEnd w:id="4459"/>
      <w:r>
        <w:rPr>
          <w:rtl/>
        </w:rPr>
        <w:t xml:space="preserve">, “מסופר” שר׳ חיים </w:t>
      </w:r>
      <w:proofErr w:type="spellStart"/>
      <w:r>
        <w:rPr>
          <w:rtl/>
        </w:rPr>
        <w:t>סולובייצ׳יק</w:t>
      </w:r>
      <w:proofErr w:type="spellEnd"/>
      <w:r>
        <w:rPr>
          <w:rtl/>
        </w:rPr>
        <w:t xml:space="preserve"> העניק </w:t>
      </w:r>
      <w:proofErr w:type="spellStart"/>
      <w:r>
        <w:rPr>
          <w:rtl/>
        </w:rPr>
        <w:t>לר</w:t>
      </w:r>
      <w:proofErr w:type="spellEnd"/>
      <w:r>
        <w:rPr>
          <w:rtl/>
        </w:rPr>
        <w:t xml:space="preserve">׳ לייזר גורדון את התואר הזה </w:t>
      </w:r>
      <w:proofErr w:type="spellStart"/>
      <w:r>
        <w:rPr>
          <w:rtl/>
        </w:rPr>
        <w:t>בתרס״א</w:t>
      </w:r>
      <w:proofErr w:type="spellEnd"/>
      <w:r>
        <w:rPr>
          <w:rtl/>
        </w:rPr>
        <w:t xml:space="preserve">, כשהסביר מדוע בחר בו, מבין כל הרבנים הגדולים שנכחו, לכבוד סידור הקידושין בחתונת בנו ר׳ משה </w:t>
      </w:r>
      <w:proofErr w:type="spellStart"/>
      <w:r>
        <w:rPr>
          <w:rtl/>
        </w:rPr>
        <w:t>בפרוז׳ני</w:t>
      </w:r>
      <w:proofErr w:type="spellEnd"/>
      <w:r>
        <w:rPr>
          <w:rtl/>
        </w:rPr>
        <w:t>.</w:t>
      </w:r>
    </w:p>
    <w:p w14:paraId="53B4CB3C" w14:textId="77777777" w:rsidR="00AB3647" w:rsidRDefault="00000000" w:rsidP="007923E9">
      <w:pPr>
        <w:spacing w:before="120" w:after="100" w:line="276" w:lineRule="auto"/>
        <w:jc w:val="both"/>
      </w:pPr>
      <w:r>
        <w:rPr>
          <w:rtl/>
        </w:rPr>
        <w:t xml:space="preserve">ר׳ חיים </w:t>
      </w:r>
      <w:proofErr w:type="spellStart"/>
      <w:r>
        <w:rPr>
          <w:rtl/>
        </w:rPr>
        <w:t>וולקין</w:t>
      </w:r>
      <w:proofErr w:type="spellEnd"/>
      <w:r>
        <w:rPr>
          <w:rtl/>
        </w:rPr>
        <w:t xml:space="preserve"> סיפר</w:t>
      </w:r>
      <w:bookmarkStart w:id="4460" w:name="_fnr3313"/>
      <w:r>
        <w:rPr>
          <w:vertAlign w:val="superscript"/>
          <w:rtl/>
        </w:rPr>
        <w:footnoteReference w:id="3321" w:customMarkFollows="0"/>
      </w:r>
      <w:bookmarkEnd w:id="4460"/>
      <w:r>
        <w:rPr>
          <w:rtl/>
        </w:rPr>
        <w:t xml:space="preserve"> ששמע מאביו, ששמע מאביו שלו, ר׳ אהרן </w:t>
      </w:r>
      <w:proofErr w:type="spellStart"/>
      <w:r>
        <w:rPr>
          <w:rtl/>
        </w:rPr>
        <w:t>וולקין</w:t>
      </w:r>
      <w:proofErr w:type="spellEnd"/>
      <w:r>
        <w:rPr>
          <w:rtl/>
        </w:rPr>
        <w:t>, שר׳ לייזר הופיע באופן בלתי צפוי בקבלת הפנים שלפני החתונה. הוא בא לאירוע מפני שידע שרבנים רבים יהיו שם, וקיווה לעורר בהם עניין להשתתף בכתבי עת תורניים</w:t>
      </w:r>
      <w:bookmarkStart w:id="4461" w:name="_fnr3314"/>
      <w:r>
        <w:rPr>
          <w:vertAlign w:val="superscript"/>
          <w:rtl/>
        </w:rPr>
        <w:footnoteReference w:id="3322" w:customMarkFollows="0"/>
      </w:r>
      <w:bookmarkEnd w:id="4461"/>
      <w:r>
        <w:rPr>
          <w:rtl/>
        </w:rPr>
        <w:t>, שאת פרסומם קידם יחד עם מנהיגים רבניים אחרים. כששמע ר׳ חיים מה הייתה מטרת בואו של ר׳ לייזר, קיצר את העניין באומרו: “בני משה [החתן, וצעירים אחרים לומדי תורה כמוהו] ממילא לא יקרא דברים כאלה [כספרות יפה]</w:t>
      </w:r>
      <w:bookmarkStart w:id="4462" w:name="_fnr3315"/>
      <w:r>
        <w:rPr>
          <w:vertAlign w:val="superscript"/>
          <w:rtl/>
        </w:rPr>
        <w:footnoteReference w:id="3323" w:customMarkFollows="0"/>
      </w:r>
      <w:bookmarkEnd w:id="4462"/>
      <w:r>
        <w:rPr>
          <w:rtl/>
        </w:rPr>
        <w:t>.”</w:t>
      </w:r>
    </w:p>
    <w:p w14:paraId="59E593B6" w14:textId="77777777" w:rsidR="00AB3647" w:rsidRDefault="00000000" w:rsidP="007923E9">
      <w:pPr>
        <w:spacing w:after="120" w:line="276" w:lineRule="auto"/>
        <w:jc w:val="both"/>
      </w:pPr>
      <w:r>
        <w:rPr>
          <w:rtl/>
        </w:rPr>
        <w:t xml:space="preserve">הביוגרפיה שבפתח “ליקוטי תשובות ר׳ אליעזר וחידושיו” מספרת שפעם אחת, בזמן כהונתו הקצרה כרב </w:t>
      </w:r>
      <w:proofErr w:type="spellStart"/>
      <w:r>
        <w:rPr>
          <w:rtl/>
        </w:rPr>
        <w:t>בסלבודקה</w:t>
      </w:r>
      <w:bookmarkStart w:id="4463" w:name="_fnr3316"/>
      <w:proofErr w:type="spellEnd"/>
      <w:r>
        <w:rPr>
          <w:vertAlign w:val="superscript"/>
          <w:rtl/>
        </w:rPr>
        <w:footnoteReference w:id="3324" w:customMarkFollows="0"/>
      </w:r>
      <w:bookmarkEnd w:id="4463"/>
      <w:r>
        <w:rPr>
          <w:rtl/>
        </w:rPr>
        <w:t xml:space="preserve">, עבר ר׳ לייזר גורדון ליד בית כנסת ושמע צעיר שואל את חברו </w:t>
      </w:r>
      <w:r>
        <w:rPr>
          <w:rtl/>
        </w:rPr>
        <w:lastRenderedPageBreak/>
        <w:t>שאלה תלמודית מסקרנת. ר׳ לייזר מצא מיד תשובה למסור להם, ודפק על הדלת הנעולה כדי להיכנס. התלמידים שבפנים לא ידעו מי עומד ליד הדלת, והתעלמו מדפיקותיו. לכן טיפס ונכנס דרך חלון פתוח כדי לדון בשאלה ששמע.</w:t>
      </w:r>
    </w:p>
    <w:p w14:paraId="5760A1EE" w14:textId="77777777" w:rsidR="00AB3647" w:rsidRDefault="00000000" w:rsidP="007923E9">
      <w:pPr>
        <w:spacing w:after="120" w:line="276" w:lineRule="auto"/>
        <w:jc w:val="both"/>
      </w:pPr>
      <w:proofErr w:type="spellStart"/>
      <w:r>
        <w:rPr>
          <w:rtl/>
        </w:rPr>
        <w:t>רבינר</w:t>
      </w:r>
      <w:proofErr w:type="spellEnd"/>
      <w:r>
        <w:rPr>
          <w:rtl/>
        </w:rPr>
        <w:t>, “הגאון רבי אליעזר גורדון”</w:t>
      </w:r>
      <w:bookmarkStart w:id="4464" w:name="_fnr3317"/>
      <w:r>
        <w:rPr>
          <w:vertAlign w:val="superscript"/>
          <w:rtl/>
        </w:rPr>
        <w:footnoteReference w:id="3325" w:customMarkFollows="0"/>
      </w:r>
      <w:bookmarkEnd w:id="4464"/>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סיפור שאולי הוא חלק מאותו מעשה: ר׳ לייזר גורדון היה בדרכו לשמש סנדק כשעבר ליד בית כנסת </w:t>
      </w:r>
      <w:proofErr w:type="spellStart"/>
      <w:r>
        <w:rPr>
          <w:rtl/>
        </w:rPr>
        <w:t>בסלבודקה</w:t>
      </w:r>
      <w:proofErr w:type="spellEnd"/>
      <w:r>
        <w:rPr>
          <w:rtl/>
        </w:rPr>
        <w:t xml:space="preserve"> ושמע תלמיד שואל את חברו שאלה. ר׳ לייזר עמד ליד החלון ומסר את תשובתו. התשובה הביאה לוויכוח, ותלמידים נוספים הצטרפו לדיון. אחרי שהמתינו שעתיים, יצאו אורחי הברית לחפשו “ומצאוהו בבית המדרש מוקף בחורים הדנים בלהט בדברי תורה. ר׳ לייזר, שהיה נבוך מעט, התנצל לפניהם ואמר: ‘האם יכול שיכור להימנע מוויסקי שמניחים לפניו?! כך איני יכול להתאפק מלפתור קושי תלמודי.’”</w:t>
      </w:r>
    </w:p>
    <w:p w14:paraId="3131081F" w14:textId="77777777" w:rsidR="00AB3647" w:rsidRDefault="00000000" w:rsidP="007923E9">
      <w:pPr>
        <w:spacing w:after="120" w:line="276" w:lineRule="auto"/>
        <w:jc w:val="both"/>
      </w:pPr>
      <w:r>
        <w:rPr>
          <w:rtl/>
        </w:rPr>
        <w:t>כץ, “תנועת המוסר”, כרך ב</w:t>
      </w:r>
      <w:bookmarkStart w:id="4465" w:name="_fnr3318"/>
      <w:r>
        <w:rPr>
          <w:vertAlign w:val="superscript"/>
          <w:rtl/>
        </w:rPr>
        <w:footnoteReference w:id="3326" w:customMarkFollows="0"/>
      </w:r>
      <w:bookmarkEnd w:id="4465"/>
      <w:r>
        <w:rPr>
          <w:rtl/>
        </w:rPr>
        <w:t xml:space="preserve">, מספר את המעשה הבא מתקופה מאוחרת יותר. שני תושבי </w:t>
      </w:r>
      <w:proofErr w:type="spellStart"/>
      <w:r>
        <w:rPr>
          <w:rtl/>
        </w:rPr>
        <w:t>טלז</w:t>
      </w:r>
      <w:proofErr w:type="spellEnd"/>
      <w:r>
        <w:rPr>
          <w:rtl/>
        </w:rPr>
        <w:t xml:space="preserve"> באו </w:t>
      </w:r>
      <w:proofErr w:type="spellStart"/>
      <w:r>
        <w:rPr>
          <w:rtl/>
        </w:rPr>
        <w:t>לר</w:t>
      </w:r>
      <w:proofErr w:type="spellEnd"/>
      <w:r>
        <w:rPr>
          <w:rtl/>
        </w:rPr>
        <w:t xml:space="preserve">׳ לייזר להתדיין. הוא דחה אותם למועד אחר ואמר שהוא עסוק כרגע בעניין ציבורי כלשהו. בדיוק אז ניגש אליו תלמיד עם שאלה, והוא נכנס לדיון שנמשך שעות. כשבני הקהילה הביעו לפניו את השתוממותם, הסביר </w:t>
      </w:r>
      <w:proofErr w:type="spellStart"/>
      <w:r>
        <w:rPr>
          <w:rtl/>
        </w:rPr>
        <w:t>ש“באשר</w:t>
      </w:r>
      <w:proofErr w:type="spellEnd"/>
      <w:r>
        <w:rPr>
          <w:rtl/>
        </w:rPr>
        <w:t xml:space="preserve"> לפלפולי אורייתא, הוא דומה לאלכוהוליסט שאינו יכול לשלוט בעצמו כשהוא רואה משקה חריף</w:t>
      </w:r>
      <w:bookmarkStart w:id="4466" w:name="_fnr3319"/>
      <w:r>
        <w:rPr>
          <w:vertAlign w:val="superscript"/>
          <w:rtl/>
        </w:rPr>
        <w:footnoteReference w:id="3327" w:customMarkFollows="0"/>
      </w:r>
      <w:bookmarkEnd w:id="4466"/>
      <w:r>
        <w:rPr>
          <w:rtl/>
        </w:rPr>
        <w:t>”.</w:t>
      </w:r>
    </w:p>
    <w:p w14:paraId="41114CE0" w14:textId="278795FD" w:rsidR="00AB3647" w:rsidRDefault="00000000" w:rsidP="007923E9">
      <w:pPr>
        <w:spacing w:after="120" w:line="276" w:lineRule="auto"/>
        <w:jc w:val="both"/>
      </w:pPr>
      <w:r>
        <w:rPr>
          <w:rtl/>
        </w:rPr>
        <w:t>ר׳ נחמן קליין סיפר</w:t>
      </w:r>
      <w:bookmarkStart w:id="4467" w:name="_fnr3320"/>
      <w:r>
        <w:rPr>
          <w:vertAlign w:val="superscript"/>
          <w:rtl/>
        </w:rPr>
        <w:footnoteReference w:id="3328" w:customMarkFollows="0"/>
      </w:r>
      <w:bookmarkEnd w:id="4467"/>
      <w:r>
        <w:rPr>
          <w:rtl/>
        </w:rPr>
        <w:t xml:space="preserve"> בשם ר׳ יהודה </w:t>
      </w:r>
      <w:proofErr w:type="spellStart"/>
      <w:r>
        <w:rPr>
          <w:rtl/>
        </w:rPr>
        <w:t>הלפנד</w:t>
      </w:r>
      <w:proofErr w:type="spellEnd"/>
      <w:r>
        <w:rPr>
          <w:rtl/>
        </w:rPr>
        <w:t xml:space="preserve">, תושב בולטימור הוותיק: כשבא ר׳ יהודה ללמוד </w:t>
      </w:r>
      <w:proofErr w:type="spellStart"/>
      <w:r>
        <w:rPr>
          <w:rtl/>
        </w:rPr>
        <w:t>בטלז</w:t>
      </w:r>
      <w:proofErr w:type="spellEnd"/>
      <w:r>
        <w:rPr>
          <w:rtl/>
        </w:rPr>
        <w:t xml:space="preserve"> “עם כמה עילויים”, בחן אותם ר׳ לייזר </w:t>
      </w:r>
      <w:proofErr w:type="spellStart"/>
      <w:r>
        <w:rPr>
          <w:rtl/>
        </w:rPr>
        <w:t>בקושיה</w:t>
      </w:r>
      <w:proofErr w:type="spellEnd"/>
      <w:r>
        <w:rPr>
          <w:rtl/>
        </w:rPr>
        <w:t xml:space="preserve"> שהיה עליהם לפתור. ר׳ לייזר גורדון אמר להם שאם תהיה להם תשובה, יוכלו לבוא לביתו בכל שעה ולמסור לו אותה. ר׳ יהודה עמל על הקושיה, ובשעה שתיים וחצי לפנות בוקר מצא תשובה “מיניה וביה”, והלך מיד לבית ראש הישיבה למסור לו אותה. אפילו תלמידים חדשים ידעו שר׳ לייזר גורדון יעריך דבר תורה מחוכם בכל שעה ביום או בלילה. ראה גם הערה </w:t>
      </w:r>
      <w:r>
        <w:rPr>
          <w:rtl/>
        </w:rPr>
        <w:fldChar w:fldCharType="begin" w:dirty="true"/>
      </w:r>
      <w:r>
        <w:rPr>
          <w:rtl/>
        </w:rPr>
        <w:instrText xml:space="preserve"> REF b4_note97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97</w:t>
      </w:r>
      <w:r>
        <w:rPr>
          <w:rtl/>
        </w:rPr>
        <w:fldChar w:fldCharType="end"/>
      </w:r>
      <w:r>
        <w:rPr>
          <w:rtl/>
        </w:rPr>
        <w:t xml:space="preserve"> להלן, על מידת מעורבותו הגופנית של ר׳ לייזר בשעת דיון בתורה ועל התעלמותו אז מכל כללי הנימוס.</w:t>
      </w:r>
    </w:p>
    <w:p w14:paraId="4FBF0F61" w14:textId="5B38154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שמו כמגיד שיעור מצטיין</w:t>
      </w:r>
      <w:bookmarkStart w:id="4468" w:name="b4_text92"/>
      <w:bookmarkEnd w:id="4468"/>
      <w:r>
        <w:rPr>
          <w:sz w:val="18"/>
          <w:szCs w:val="18"/>
          <w:vertAlign w:val="superscript"/>
          <w:rtl/>
        </w:rPr>
        <w:fldChar w:fldCharType="begin" w:dirty="true"/>
      </w:r>
      <w:r>
        <w:rPr>
          <w:sz w:val="18"/>
          <w:szCs w:val="18"/>
          <w:vertAlign w:val="superscript"/>
          <w:rtl/>
        </w:rPr>
        <w:instrText xml:space="preserve"> REF b4_note92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92</w:t>
      </w:r>
      <w:r>
        <w:rPr>
          <w:sz w:val="18"/>
          <w:szCs w:val="18"/>
          <w:vertAlign w:val="superscript"/>
          <w:rtl/>
        </w:rPr>
        <w:fldChar w:fldCharType="end"/>
      </w:r>
      <w:r>
        <w:rPr>
          <w:rtl/>
        </w:rPr>
        <w:t xml:space="preserve"> הגיע </w:t>
      </w:r>
      <w:proofErr w:type="spellStart"/>
      <w:r>
        <w:rPr>
          <w:rtl/>
        </w:rPr>
        <w:t>לטלז</w:t>
      </w:r>
      <w:proofErr w:type="spellEnd"/>
      <w:r>
        <w:rPr>
          <w:rtl/>
        </w:rPr>
        <w:t xml:space="preserve"> לפני בואו, והביא זרם של תלמידים חדשים אל הישיבה הקטנה שכבר הייתה קיימת שם</w:t>
      </w:r>
      <w:bookmarkStart w:id="4469" w:name="b4_text93"/>
      <w:bookmarkEnd w:id="4469"/>
      <w:r>
        <w:rPr>
          <w:sz w:val="18"/>
          <w:szCs w:val="18"/>
          <w:vertAlign w:val="superscript"/>
          <w:rtl/>
        </w:rPr>
        <w:fldChar w:fldCharType="begin" w:dirty="true"/>
      </w:r>
      <w:r>
        <w:rPr>
          <w:sz w:val="18"/>
          <w:szCs w:val="18"/>
          <w:vertAlign w:val="superscript"/>
          <w:rtl/>
        </w:rPr>
        <w:instrText xml:space="preserve"> REF b4_note93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93</w:t>
      </w:r>
      <w:r>
        <w:rPr>
          <w:sz w:val="18"/>
          <w:szCs w:val="18"/>
          <w:vertAlign w:val="superscript"/>
          <w:rtl/>
        </w:rPr>
        <w:fldChar w:fldCharType="end"/>
      </w:r>
      <w:r>
        <w:rPr>
          <w:rtl/>
        </w:rPr>
        <w:t xml:space="preserve">. הוא צירף לצוות את אחיינו ר׳ שמעון </w:t>
      </w:r>
      <w:proofErr w:type="spellStart"/>
      <w:r>
        <w:rPr>
          <w:rtl/>
        </w:rPr>
        <w:t>הסמרגוני</w:t>
      </w:r>
      <w:proofErr w:type="spellEnd"/>
      <w:r>
        <w:rPr>
          <w:rtl/>
        </w:rPr>
        <w:t xml:space="preserve"> (</w:t>
      </w:r>
      <w:proofErr w:type="spellStart"/>
      <w:r>
        <w:rPr>
          <w:rtl/>
        </w:rPr>
        <w:t>שקופ</w:t>
      </w:r>
      <w:proofErr w:type="spellEnd"/>
      <w:r>
        <w:rPr>
          <w:rtl/>
        </w:rPr>
        <w:t>)</w:t>
      </w:r>
      <w:bookmarkStart w:id="4470" w:name="b4_text94"/>
      <w:bookmarkEnd w:id="4470"/>
      <w:r>
        <w:rPr>
          <w:sz w:val="18"/>
          <w:szCs w:val="18"/>
          <w:vertAlign w:val="superscript"/>
          <w:rtl/>
        </w:rPr>
        <w:fldChar w:fldCharType="begin" w:dirty="true"/>
      </w:r>
      <w:r>
        <w:rPr>
          <w:sz w:val="18"/>
          <w:szCs w:val="18"/>
          <w:vertAlign w:val="superscript"/>
          <w:rtl/>
        </w:rPr>
        <w:instrText xml:space="preserve"> REF b4_note94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94</w:t>
      </w:r>
      <w:r>
        <w:rPr>
          <w:sz w:val="18"/>
          <w:szCs w:val="18"/>
          <w:vertAlign w:val="superscript"/>
          <w:rtl/>
        </w:rPr>
        <w:fldChar w:fldCharType="end"/>
      </w:r>
      <w:r>
        <w:rPr>
          <w:rtl/>
        </w:rPr>
        <w:t>, שדרך הפלפול שלו בלימוד הגמרא הייתה כשלו. בשנה שלאחר מכן הביא את חתנו הבכור, ר׳ יוסף לייב בלוך, למדן ומחנך נחוש וחדשני</w:t>
      </w:r>
      <w:bookmarkStart w:id="4471" w:name="b4_text95"/>
      <w:bookmarkEnd w:id="4471"/>
      <w:r>
        <w:rPr>
          <w:sz w:val="18"/>
          <w:szCs w:val="18"/>
          <w:vertAlign w:val="superscript"/>
          <w:rtl/>
        </w:rPr>
        <w:fldChar w:fldCharType="begin" w:dirty="true"/>
      </w:r>
      <w:r>
        <w:rPr>
          <w:sz w:val="18"/>
          <w:szCs w:val="18"/>
          <w:vertAlign w:val="superscript"/>
          <w:rtl/>
        </w:rPr>
        <w:instrText xml:space="preserve"> REF b4_note95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95</w:t>
      </w:r>
      <w:r>
        <w:rPr>
          <w:sz w:val="18"/>
          <w:szCs w:val="18"/>
          <w:vertAlign w:val="superscript"/>
          <w:rtl/>
        </w:rPr>
        <w:fldChar w:fldCharType="end"/>
      </w:r>
      <w:r>
        <w:rPr>
          <w:rtl/>
        </w:rPr>
        <w:t>. הישיבה שגשגה, ובתוך זמן קצר הגיע מספר תלמידיה ל־400.</w:t>
      </w:r>
    </w:p>
    <w:bookmarkStart w:id="4472" w:name="b4_note92"/>
    <w:p w14:paraId="6FBDEC8E" w14:textId="77777777" w:rsidR="00AB3647" w:rsidRDefault="00000000" w:rsidP="007923E9">
      <w:pPr>
        <w:spacing w:before="120" w:after="100" w:line="276" w:lineRule="auto"/>
        <w:jc w:val="both"/>
      </w:pPr>
      <w:r>
        <w:fldChar w:fldCharType="begin" w:dirty="true"/>
      </w:r>
      <w:r>
        <w:instrText>HYPERLINK \l "b4_text92" \h</w:instrText>
      </w:r>
      <w:r>
        <w:fldChar w:fldCharType="separate"/>
      </w:r>
      <w:r>
        <w:rPr>
          <w:b/>
          <w:bCs/>
          <w:rtl/>
        </w:rPr>
        <w:t>92</w:t>
      </w:r>
      <w:r>
        <w:rPr>
          <w:b/>
          <w:bCs/>
        </w:rPr>
        <w:fldChar w:fldCharType="end"/>
      </w:r>
      <w:bookmarkEnd w:id="4472"/>
      <w:r>
        <w:rPr>
          <w:rtl/>
        </w:rPr>
        <w:t xml:space="preserve"> ר׳ ישראל </w:t>
      </w:r>
      <w:proofErr w:type="spellStart"/>
      <w:r>
        <w:rPr>
          <w:rtl/>
        </w:rPr>
        <w:t>סלנטר</w:t>
      </w:r>
      <w:proofErr w:type="spellEnd"/>
      <w:r>
        <w:rPr>
          <w:rtl/>
        </w:rPr>
        <w:t xml:space="preserve"> הכיר בכישרונות ההוראה המעולים של ר׳ לייזר גורדון, ומינהו למסור שיעורים </w:t>
      </w:r>
      <w:proofErr w:type="spellStart"/>
      <w:r>
        <w:rPr>
          <w:rtl/>
        </w:rPr>
        <w:t>בקלויז</w:t>
      </w:r>
      <w:proofErr w:type="spellEnd"/>
      <w:r>
        <w:rPr>
          <w:rtl/>
        </w:rPr>
        <w:t xml:space="preserve"> </w:t>
      </w:r>
      <w:proofErr w:type="spellStart"/>
      <w:r>
        <w:rPr>
          <w:rtl/>
        </w:rPr>
        <w:t>נוויאז</w:t>
      </w:r>
      <w:proofErr w:type="spellEnd"/>
      <w:r>
        <w:rPr>
          <w:rtl/>
        </w:rPr>
        <w:t xml:space="preserve">׳. ר׳ לייזר היסס בתחילה לעשות דבר שמעולם לא ניסה, וכדי להתגבר </w:t>
      </w:r>
      <w:r>
        <w:rPr>
          <w:rtl/>
        </w:rPr>
        <w:lastRenderedPageBreak/>
        <w:t>על היסוסו הבטיח לו ר׳ ישראל שבחצי השנה הראשונה יתחלף עמו בעצמו וימסור שני שיעורים בשבוע לקבוצתו. הדבר לא התקיים בפועל, מפני שמצב בריאותו של ר׳ ישראל אילץ אותו לצאת לגרמניה בדיוק אז. כשביקר בבית לאחר מכן, קיים את הבטחתו באופן סמלי ומסר שיעור אחד לתלמידי ר׳ לייזר</w:t>
      </w:r>
      <w:bookmarkStart w:id="4473" w:name="_fnr3321"/>
      <w:r>
        <w:rPr>
          <w:vertAlign w:val="superscript"/>
          <w:rtl/>
        </w:rPr>
        <w:footnoteReference w:id="3329" w:customMarkFollows="0"/>
      </w:r>
      <w:bookmarkEnd w:id="4473"/>
      <w:r>
        <w:rPr>
          <w:rtl/>
        </w:rPr>
        <w:t>.</w:t>
      </w:r>
    </w:p>
    <w:p w14:paraId="6428E823" w14:textId="77777777" w:rsidR="00AB3647" w:rsidRDefault="00000000" w:rsidP="007923E9">
      <w:pPr>
        <w:spacing w:before="120" w:after="100" w:line="276" w:lineRule="auto"/>
        <w:jc w:val="both"/>
      </w:pPr>
      <w:r>
        <w:rPr>
          <w:rtl/>
        </w:rPr>
        <w:t xml:space="preserve">כשבא ר׳ לייזר </w:t>
      </w:r>
      <w:proofErr w:type="spellStart"/>
      <w:r>
        <w:rPr>
          <w:rtl/>
        </w:rPr>
        <w:t>לקלם</w:t>
      </w:r>
      <w:proofErr w:type="spellEnd"/>
      <w:r>
        <w:rPr>
          <w:rtl/>
        </w:rPr>
        <w:t xml:space="preserve">, מסר שלושה שיעורים בשבוע לתלמידים נבחרים מן התלמוד תורה של ר׳ </w:t>
      </w:r>
      <w:proofErr w:type="spellStart"/>
      <w:r>
        <w:rPr>
          <w:rtl/>
        </w:rPr>
        <w:t>שמחה־זיסל</w:t>
      </w:r>
      <w:proofErr w:type="spellEnd"/>
      <w:r>
        <w:rPr>
          <w:rtl/>
        </w:rPr>
        <w:t xml:space="preserve"> זיו</w:t>
      </w:r>
      <w:bookmarkStart w:id="4474" w:name="_fnr3322"/>
      <w:r>
        <w:rPr>
          <w:vertAlign w:val="superscript"/>
          <w:rtl/>
        </w:rPr>
        <w:footnoteReference w:id="3330" w:customMarkFollows="0"/>
      </w:r>
      <w:bookmarkEnd w:id="4474"/>
      <w:r>
        <w:rPr>
          <w:rtl/>
        </w:rPr>
        <w:t>, מלבד פתיחת ישיבה משלו שם</w:t>
      </w:r>
      <w:bookmarkStart w:id="4475" w:name="_fnr3323"/>
      <w:r>
        <w:rPr>
          <w:vertAlign w:val="superscript"/>
          <w:rtl/>
        </w:rPr>
        <w:footnoteReference w:id="3331" w:customMarkFollows="0"/>
      </w:r>
      <w:bookmarkEnd w:id="4475"/>
      <w:r>
        <w:rPr>
          <w:rtl/>
        </w:rPr>
        <w:t xml:space="preserve">. גם בזמן כהונתו </w:t>
      </w:r>
      <w:proofErr w:type="spellStart"/>
      <w:r>
        <w:rPr>
          <w:rtl/>
        </w:rPr>
        <w:t>בסלבודקה</w:t>
      </w:r>
      <w:proofErr w:type="spellEnd"/>
      <w:r>
        <w:rPr>
          <w:rtl/>
        </w:rPr>
        <w:t xml:space="preserve"> מסר כמה שיעורי אורח בישיבה שארגן ר׳ </w:t>
      </w:r>
      <w:proofErr w:type="spellStart"/>
      <w:r>
        <w:rPr>
          <w:rtl/>
        </w:rPr>
        <w:t>נתן־צבי</w:t>
      </w:r>
      <w:proofErr w:type="spellEnd"/>
      <w:r>
        <w:rPr>
          <w:rtl/>
        </w:rPr>
        <w:t xml:space="preserve"> </w:t>
      </w:r>
      <w:proofErr w:type="spellStart"/>
      <w:r>
        <w:rPr>
          <w:rtl/>
        </w:rPr>
        <w:t>פינקל</w:t>
      </w:r>
      <w:proofErr w:type="spellEnd"/>
      <w:r>
        <w:rPr>
          <w:rtl/>
        </w:rPr>
        <w:t xml:space="preserve"> במסגרת כולל קובנה</w:t>
      </w:r>
      <w:bookmarkStart w:id="4476" w:name="_fnr3324"/>
      <w:r>
        <w:rPr>
          <w:vertAlign w:val="superscript"/>
          <w:rtl/>
        </w:rPr>
        <w:footnoteReference w:id="3332" w:customMarkFollows="0"/>
      </w:r>
      <w:bookmarkEnd w:id="4476"/>
      <w:r>
        <w:rPr>
          <w:rtl/>
        </w:rPr>
        <w:t>.</w:t>
      </w:r>
    </w:p>
    <w:bookmarkStart w:id="4477" w:name="b4_note93"/>
    <w:p w14:paraId="105E7DEE" w14:textId="11956A63" w:rsidR="00AB3647" w:rsidRDefault="00000000" w:rsidP="007923E9">
      <w:pPr>
        <w:spacing w:before="120" w:after="100" w:line="276" w:lineRule="auto"/>
        <w:jc w:val="both"/>
      </w:pPr>
      <w:r>
        <w:fldChar w:fldCharType="begin" w:dirty="true"/>
      </w:r>
      <w:r>
        <w:instrText>HYPERLINK \l "b4_text93" \h</w:instrText>
      </w:r>
      <w:r>
        <w:fldChar w:fldCharType="separate"/>
      </w:r>
      <w:r>
        <w:rPr>
          <w:b/>
          <w:bCs/>
          <w:rtl/>
        </w:rPr>
        <w:t>93</w:t>
      </w:r>
      <w:r>
        <w:rPr>
          <w:b/>
          <w:bCs/>
        </w:rPr>
        <w:fldChar w:fldCharType="end"/>
      </w:r>
      <w:bookmarkEnd w:id="4477"/>
      <w:r>
        <w:rPr>
          <w:rtl/>
        </w:rPr>
        <w:t xml:space="preserve"> ראה </w:t>
      </w:r>
      <w:r>
        <w:rPr>
          <w:rtl/>
        </w:rPr>
        <w:fldChar w:fldCharType="begin" w:dirty="true"/>
      </w:r>
      <w:r>
        <w:rPr>
          <w:rtl/>
        </w:rPr>
        <w:instrText xml:space="preserve"> REF b4_excL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w:t>
      </w:r>
    </w:p>
    <w:bookmarkStart w:id="4478" w:name="b4_note94"/>
    <w:p w14:paraId="1411C691" w14:textId="77777777" w:rsidR="00AB3647" w:rsidRDefault="00000000" w:rsidP="007923E9">
      <w:pPr>
        <w:spacing w:before="120" w:after="100" w:line="276" w:lineRule="auto"/>
        <w:jc w:val="both"/>
      </w:pPr>
      <w:r>
        <w:fldChar w:fldCharType="begin" w:dirty="true"/>
      </w:r>
      <w:r>
        <w:instrText>HYPERLINK \l "b4_text94" \h</w:instrText>
      </w:r>
      <w:r>
        <w:fldChar w:fldCharType="separate"/>
      </w:r>
      <w:r>
        <w:rPr>
          <w:b/>
          <w:bCs/>
          <w:rtl/>
        </w:rPr>
        <w:t>94</w:t>
      </w:r>
      <w:r>
        <w:rPr>
          <w:b/>
          <w:bCs/>
        </w:rPr>
        <w:fldChar w:fldCharType="end"/>
      </w:r>
      <w:bookmarkEnd w:id="4478"/>
      <w:r>
        <w:rPr>
          <w:rtl/>
        </w:rPr>
        <w:t xml:space="preserve"> נולד </w:t>
      </w:r>
      <w:proofErr w:type="spellStart"/>
      <w:r>
        <w:rPr>
          <w:rtl/>
        </w:rPr>
        <w:t>בתר״ך</w:t>
      </w:r>
      <w:proofErr w:type="spellEnd"/>
      <w:r>
        <w:rPr>
          <w:rtl/>
        </w:rPr>
        <w:t>, נפטר בתחילת ת״ש.</w:t>
      </w:r>
    </w:p>
    <w:bookmarkStart w:id="4479" w:name="b4_note95"/>
    <w:p w14:paraId="08FB5782" w14:textId="77777777" w:rsidR="00AB3647" w:rsidRDefault="00000000" w:rsidP="007923E9">
      <w:pPr>
        <w:spacing w:before="120" w:after="100" w:line="276" w:lineRule="auto"/>
        <w:jc w:val="both"/>
      </w:pPr>
      <w:r>
        <w:fldChar w:fldCharType="begin" w:dirty="true"/>
      </w:r>
      <w:r>
        <w:instrText>HYPERLINK \l "b4_text95" \h</w:instrText>
      </w:r>
      <w:r>
        <w:fldChar w:fldCharType="separate"/>
      </w:r>
      <w:r>
        <w:rPr>
          <w:b/>
          <w:bCs/>
          <w:rtl/>
        </w:rPr>
        <w:t>95</w:t>
      </w:r>
      <w:r>
        <w:rPr>
          <w:b/>
          <w:bCs/>
        </w:rPr>
        <w:fldChar w:fldCharType="end"/>
      </w:r>
      <w:bookmarkEnd w:id="4479"/>
      <w:r>
        <w:rPr>
          <w:rtl/>
        </w:rPr>
        <w:t xml:space="preserve"> כץ, “תנועת המוסר”, כרך ה</w:t>
      </w:r>
      <w:bookmarkStart w:id="4480" w:name="_fnr3325"/>
      <w:r>
        <w:rPr>
          <w:vertAlign w:val="superscript"/>
          <w:rtl/>
        </w:rPr>
        <w:footnoteReference w:id="3333" w:customMarkFollows="0"/>
      </w:r>
      <w:bookmarkEnd w:id="4480"/>
      <w:r>
        <w:rPr>
          <w:rtl/>
        </w:rPr>
        <w:t xml:space="preserve">, מקדיש לו את ששת הפרקים הראשונים. הוא נולד </w:t>
      </w:r>
      <w:proofErr w:type="spellStart"/>
      <w:r>
        <w:rPr>
          <w:rtl/>
        </w:rPr>
        <w:t>בראסיין</w:t>
      </w:r>
      <w:proofErr w:type="spellEnd"/>
      <w:r>
        <w:rPr>
          <w:rtl/>
        </w:rPr>
        <w:t xml:space="preserve"> </w:t>
      </w:r>
      <w:proofErr w:type="spellStart"/>
      <w:r>
        <w:rPr>
          <w:rtl/>
        </w:rPr>
        <w:t>בתר״ך</w:t>
      </w:r>
      <w:proofErr w:type="spellEnd"/>
      <w:r>
        <w:rPr>
          <w:rtl/>
        </w:rPr>
        <w:t xml:space="preserve">, ובא </w:t>
      </w:r>
      <w:proofErr w:type="spellStart"/>
      <w:r>
        <w:rPr>
          <w:rtl/>
        </w:rPr>
        <w:t>לקלם</w:t>
      </w:r>
      <w:proofErr w:type="spellEnd"/>
      <w:r>
        <w:rPr>
          <w:rtl/>
        </w:rPr>
        <w:t xml:space="preserve"> ללמוד אצל ר׳ לייזר גורדון </w:t>
      </w:r>
      <w:proofErr w:type="spellStart"/>
      <w:r>
        <w:rPr>
          <w:rtl/>
        </w:rPr>
        <w:t>בתרל״ה</w:t>
      </w:r>
      <w:proofErr w:type="spellEnd"/>
      <w:r>
        <w:rPr>
          <w:rtl/>
        </w:rPr>
        <w:t xml:space="preserve">. בגיל 20 נשא את בתו הבכורה של ר׳ לייזר. </w:t>
      </w:r>
      <w:proofErr w:type="spellStart"/>
      <w:r>
        <w:rPr>
          <w:rtl/>
        </w:rPr>
        <w:t>בתרמ״ה</w:t>
      </w:r>
      <w:proofErr w:type="spellEnd"/>
      <w:r>
        <w:rPr>
          <w:rtl/>
        </w:rPr>
        <w:t xml:space="preserve">, שנה אחרי שהתמנה ר׳ שמעון </w:t>
      </w:r>
      <w:proofErr w:type="spellStart"/>
      <w:r>
        <w:rPr>
          <w:rtl/>
        </w:rPr>
        <w:t>שקופ</w:t>
      </w:r>
      <w:proofErr w:type="spellEnd"/>
      <w:r>
        <w:rPr>
          <w:rtl/>
        </w:rPr>
        <w:t xml:space="preserve"> בישיבת </w:t>
      </w:r>
      <w:proofErr w:type="spellStart"/>
      <w:r>
        <w:rPr>
          <w:rtl/>
        </w:rPr>
        <w:t>טלז</w:t>
      </w:r>
      <w:proofErr w:type="spellEnd"/>
      <w:r>
        <w:rPr>
          <w:rtl/>
        </w:rPr>
        <w:t>, התמנה גם ר׳ יוסף לייב למסור שם שיעור.</w:t>
      </w:r>
    </w:p>
    <w:p w14:paraId="2D58DDDC" w14:textId="0BEC21C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במקום ללמוד את דקדוקי הפשט שבדף עם המפרשים המעמיקים בהם, הדגישו ר׳ לייזר וצוותו את הראשונים ואת אותם אחרונים המנתחים את עקרונות היסוד של הסוגיה</w:t>
      </w:r>
      <w:bookmarkStart w:id="4481" w:name="b4_text96"/>
      <w:bookmarkEnd w:id="4481"/>
      <w:r>
        <w:rPr>
          <w:sz w:val="18"/>
          <w:szCs w:val="18"/>
          <w:vertAlign w:val="superscript"/>
          <w:rtl/>
        </w:rPr>
        <w:fldChar w:fldCharType="begin" w:dirty="true"/>
      </w:r>
      <w:r>
        <w:rPr>
          <w:sz w:val="18"/>
          <w:szCs w:val="18"/>
          <w:vertAlign w:val="superscript"/>
          <w:rtl/>
        </w:rPr>
        <w:instrText xml:space="preserve"> REF b4_note96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96</w:t>
      </w:r>
      <w:r>
        <w:rPr>
          <w:sz w:val="18"/>
          <w:szCs w:val="18"/>
          <w:vertAlign w:val="superscript"/>
          <w:rtl/>
        </w:rPr>
        <w:fldChar w:fldCharType="end"/>
      </w:r>
      <w:r>
        <w:rPr>
          <w:rtl/>
        </w:rPr>
        <w:t>. הדבר הותיר מרחב רב לדיונים בשאלה כיצד יש להבין כל עניין. מקולות קבוצות התלמידים שהתווכחו ללא הרף רעשה הישיבה בכל עת כים סוער, והרעש הגיע לשיאו אחרי שיעורו של ראש הישיבה – ולפעמים בעיצומו</w:t>
      </w:r>
      <w:bookmarkStart w:id="4482" w:name="b4_text97"/>
      <w:bookmarkEnd w:id="4482"/>
      <w:r>
        <w:rPr>
          <w:sz w:val="18"/>
          <w:szCs w:val="18"/>
          <w:vertAlign w:val="superscript"/>
          <w:rtl/>
        </w:rPr>
        <w:fldChar w:fldCharType="begin" w:dirty="true"/>
      </w:r>
      <w:r>
        <w:rPr>
          <w:sz w:val="18"/>
          <w:szCs w:val="18"/>
          <w:vertAlign w:val="superscript"/>
          <w:rtl/>
        </w:rPr>
        <w:instrText xml:space="preserve"> REF b4_note97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97</w:t>
      </w:r>
      <w:r>
        <w:rPr>
          <w:sz w:val="18"/>
          <w:szCs w:val="18"/>
          <w:vertAlign w:val="superscript"/>
          <w:rtl/>
        </w:rPr>
        <w:fldChar w:fldCharType="end"/>
      </w:r>
      <w:r>
        <w:rPr>
          <w:rtl/>
        </w:rPr>
        <w:t>. רוב שעות היום, ובכל מקום שהיו בו, געשו הדיונים בין התלמידים. האכסניות, הרחובות – כל עירו של ר׳ לייזר גורדון – הפכו לישיבה אחת גדולה, שקול התורה לא פסק בה לעולם</w:t>
      </w:r>
      <w:bookmarkStart w:id="4483" w:name="b4_text98"/>
      <w:bookmarkEnd w:id="4483"/>
      <w:r>
        <w:rPr>
          <w:sz w:val="18"/>
          <w:szCs w:val="18"/>
          <w:vertAlign w:val="superscript"/>
          <w:rtl/>
        </w:rPr>
        <w:fldChar w:fldCharType="begin" w:dirty="true"/>
      </w:r>
      <w:r>
        <w:rPr>
          <w:sz w:val="18"/>
          <w:szCs w:val="18"/>
          <w:vertAlign w:val="superscript"/>
          <w:rtl/>
        </w:rPr>
        <w:instrText xml:space="preserve"> REF b4_note98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98</w:t>
      </w:r>
      <w:r>
        <w:rPr>
          <w:sz w:val="18"/>
          <w:szCs w:val="18"/>
          <w:vertAlign w:val="superscript"/>
          <w:rtl/>
        </w:rPr>
        <w:fldChar w:fldCharType="end"/>
      </w:r>
      <w:r>
        <w:rPr>
          <w:rtl/>
        </w:rPr>
        <w:t>.</w:t>
      </w:r>
    </w:p>
    <w:bookmarkStart w:id="4484" w:name="b4_note96"/>
    <w:p w14:paraId="45440D46" w14:textId="77777777" w:rsidR="00AB3647" w:rsidRDefault="00000000" w:rsidP="007923E9">
      <w:pPr>
        <w:spacing w:before="120" w:after="100" w:line="276" w:lineRule="auto"/>
        <w:jc w:val="both"/>
      </w:pPr>
      <w:r>
        <w:fldChar w:fldCharType="begin" w:dirty="true"/>
      </w:r>
      <w:r>
        <w:instrText>HYPERLINK \l "b4_text96" \h</w:instrText>
      </w:r>
      <w:r>
        <w:fldChar w:fldCharType="separate"/>
      </w:r>
      <w:r>
        <w:rPr>
          <w:b/>
          <w:bCs/>
          <w:rtl/>
        </w:rPr>
        <w:t>96</w:t>
      </w:r>
      <w:r>
        <w:rPr>
          <w:b/>
          <w:bCs/>
        </w:rPr>
        <w:fldChar w:fldCharType="end"/>
      </w:r>
      <w:bookmarkEnd w:id="4484"/>
      <w:r>
        <w:rPr>
          <w:rtl/>
        </w:rPr>
        <w:t xml:space="preserve"> המפרשים המקובלים שעיינו בהם בלימוד </w:t>
      </w:r>
      <w:proofErr w:type="spellStart"/>
      <w:r>
        <w:rPr>
          <w:rtl/>
        </w:rPr>
        <w:t>הסוגיה</w:t>
      </w:r>
      <w:proofErr w:type="spellEnd"/>
      <w:r>
        <w:rPr>
          <w:rtl/>
        </w:rPr>
        <w:t xml:space="preserve"> התלמודית היו </w:t>
      </w:r>
      <w:proofErr w:type="spellStart"/>
      <w:r>
        <w:rPr>
          <w:rtl/>
        </w:rPr>
        <w:t>מהרש״א</w:t>
      </w:r>
      <w:proofErr w:type="spellEnd"/>
      <w:r>
        <w:rPr>
          <w:rtl/>
        </w:rPr>
        <w:t xml:space="preserve"> </w:t>
      </w:r>
      <w:proofErr w:type="spellStart"/>
      <w:r>
        <w:rPr>
          <w:rtl/>
        </w:rPr>
        <w:t>ומהר״ם</w:t>
      </w:r>
      <w:proofErr w:type="spellEnd"/>
      <w:r>
        <w:rPr>
          <w:rtl/>
        </w:rPr>
        <w:t xml:space="preserve">, שנדפסו לנוחות העיון בדפים האחרונים של המהדורות המוקדמות של התלמוד; </w:t>
      </w:r>
      <w:proofErr w:type="spellStart"/>
      <w:r>
        <w:rPr>
          <w:rtl/>
        </w:rPr>
        <w:t>מהר״ם</w:t>
      </w:r>
      <w:proofErr w:type="spellEnd"/>
      <w:r>
        <w:rPr>
          <w:rtl/>
        </w:rPr>
        <w:t xml:space="preserve"> </w:t>
      </w:r>
      <w:proofErr w:type="spellStart"/>
      <w:r>
        <w:rPr>
          <w:rtl/>
        </w:rPr>
        <w:t>שיף</w:t>
      </w:r>
      <w:proofErr w:type="spellEnd"/>
      <w:r>
        <w:rPr>
          <w:rtl/>
        </w:rPr>
        <w:t xml:space="preserve">, שמוציאי תלמוד וילנה לאור הוסיפו למהדורותיהם; ופני יהושע. </w:t>
      </w:r>
      <w:proofErr w:type="spellStart"/>
      <w:r>
        <w:rPr>
          <w:rtl/>
        </w:rPr>
        <w:t>בטלז</w:t>
      </w:r>
      <w:proofErr w:type="spellEnd"/>
      <w:r>
        <w:rPr>
          <w:rtl/>
        </w:rPr>
        <w:t xml:space="preserve"> נעשו לספרי הלימוד המקובלים רמב״ן, </w:t>
      </w:r>
      <w:proofErr w:type="spellStart"/>
      <w:r>
        <w:rPr>
          <w:rtl/>
        </w:rPr>
        <w:t>רשב״א</w:t>
      </w:r>
      <w:proofErr w:type="spellEnd"/>
      <w:r>
        <w:rPr>
          <w:rtl/>
        </w:rPr>
        <w:t xml:space="preserve"> </w:t>
      </w:r>
      <w:proofErr w:type="spellStart"/>
      <w:r>
        <w:rPr>
          <w:rtl/>
        </w:rPr>
        <w:t>וריטב״א</w:t>
      </w:r>
      <w:proofErr w:type="spellEnd"/>
      <w:r>
        <w:rPr>
          <w:rtl/>
        </w:rPr>
        <w:t xml:space="preserve"> מן הראשונים, וקצות החושן ונתיבות המשפט מן האחרונים. התלמידים הרבו כל כך ללמוד קצות החושן, עד שנטבעה האמרה: “תלמידי </w:t>
      </w:r>
      <w:proofErr w:type="spellStart"/>
      <w:r>
        <w:rPr>
          <w:rtl/>
        </w:rPr>
        <w:t>טלז</w:t>
      </w:r>
      <w:proofErr w:type="spellEnd"/>
      <w:r>
        <w:rPr>
          <w:rtl/>
        </w:rPr>
        <w:t xml:space="preserve"> מכירים את הגמרא מתוך הקצות</w:t>
      </w:r>
      <w:bookmarkStart w:id="4485" w:name="_fnr3326"/>
      <w:r>
        <w:rPr>
          <w:vertAlign w:val="superscript"/>
          <w:rtl/>
        </w:rPr>
        <w:footnoteReference w:id="3334" w:customMarkFollows="0"/>
      </w:r>
      <w:bookmarkEnd w:id="4485"/>
      <w:r>
        <w:rPr>
          <w:rtl/>
        </w:rPr>
        <w:t>”.</w:t>
      </w:r>
    </w:p>
    <w:p w14:paraId="5EBE13CA" w14:textId="77777777" w:rsidR="00AB3647" w:rsidRDefault="00000000" w:rsidP="007923E9">
      <w:pPr>
        <w:spacing w:before="120" w:after="100" w:line="276" w:lineRule="auto"/>
        <w:jc w:val="both"/>
      </w:pPr>
      <w:r>
        <w:rPr>
          <w:rtl/>
        </w:rPr>
        <w:lastRenderedPageBreak/>
        <w:t>יעקב מארק</w:t>
      </w:r>
      <w:bookmarkStart w:id="4486" w:name="_fnr3327"/>
      <w:r>
        <w:rPr>
          <w:vertAlign w:val="superscript"/>
          <w:rtl/>
        </w:rPr>
        <w:footnoteReference w:id="3335" w:customMarkFollows="0"/>
      </w:r>
      <w:bookmarkEnd w:id="4486"/>
      <w:r>
        <w:rPr>
          <w:rtl/>
        </w:rPr>
        <w:t xml:space="preserve"> מביא תוספת שנראית כהפרזה: “ואת הפסוקים הם מכירים מתוך הגמרא”. אבל השווה “שערי ציון”,</w:t>
      </w:r>
      <w:bookmarkStart w:id="4487" w:name="_fnr3328"/>
      <w:r>
        <w:rPr>
          <w:vertAlign w:val="superscript"/>
          <w:rtl/>
        </w:rPr>
        <w:footnoteReference w:id="3336" w:customMarkFollows="0"/>
      </w:r>
      <w:bookmarkEnd w:id="4487"/>
      <w:r>
        <w:rPr>
          <w:rtl/>
        </w:rPr>
        <w:t xml:space="preserve"> שמביא מעשה בר׳ ישראל </w:t>
      </w:r>
      <w:proofErr w:type="spellStart"/>
      <w:r>
        <w:rPr>
          <w:rtl/>
        </w:rPr>
        <w:t>סלנטר</w:t>
      </w:r>
      <w:proofErr w:type="spellEnd"/>
      <w:r>
        <w:rPr>
          <w:rtl/>
        </w:rPr>
        <w:t xml:space="preserve"> שסיפר ר׳ </w:t>
      </w:r>
      <w:proofErr w:type="spellStart"/>
      <w:r>
        <w:rPr>
          <w:rtl/>
        </w:rPr>
        <w:t>יצחק־יהודה</w:t>
      </w:r>
      <w:proofErr w:type="spellEnd"/>
      <w:r>
        <w:rPr>
          <w:rtl/>
        </w:rPr>
        <w:t xml:space="preserve"> ספיר: ר׳ ישראל ישב עם קבוצת תלמידי חכמים, והוזכר מאמר חז״ל שמקורו לא היה ידוע. ר׳ ישראל העיר שהמאמר מובא בתוספות מסוים, והוסיף בענווה: “בימים עברו, כשנזקקתי למצוא ציטוט של פסוק מן התנ״ך, מצאתיו באמצעות הגמרא, והיום, כשאני מבקש למצוא ציטוט מן הגמרא, עליי לחפש בתוספות”</w:t>
      </w:r>
      <w:bookmarkStart w:id="4488" w:name="_fnr3329"/>
      <w:bookmarkStart w:id="4489" w:name="pr_f_3220"/>
      <w:r>
        <w:rPr>
          <w:vertAlign w:val="superscript"/>
          <w:rtl/>
        </w:rPr>
        <w:footnoteReference w:id="3337" w:customMarkFollows="0"/>
      </w:r>
      <w:bookmarkEnd w:id="4488"/>
      <w:bookmarkEnd w:id="4489"/>
      <w:r>
        <w:rPr>
          <w:rtl/>
        </w:rPr>
        <w:t>.</w:t>
      </w:r>
    </w:p>
    <w:p w14:paraId="3D0A12A9" w14:textId="77777777" w:rsidR="00AB3647" w:rsidRDefault="00000000" w:rsidP="007923E9">
      <w:pPr>
        <w:spacing w:before="120" w:after="100" w:line="276" w:lineRule="auto"/>
        <w:jc w:val="both"/>
      </w:pPr>
      <w:r>
        <w:rPr>
          <w:rtl/>
        </w:rPr>
        <w:t>כץ, “תנועת המוסר”, כרך ה</w:t>
      </w:r>
      <w:bookmarkStart w:id="4490" w:name="_fnr3330"/>
      <w:r>
        <w:rPr>
          <w:vertAlign w:val="superscript"/>
          <w:rtl/>
        </w:rPr>
        <w:footnoteReference w:id="3338" w:customMarkFollows="0"/>
      </w:r>
      <w:bookmarkEnd w:id="4490"/>
      <w:r>
        <w:rPr>
          <w:rtl/>
        </w:rPr>
        <w:t xml:space="preserve">, מייחס </w:t>
      </w:r>
      <w:proofErr w:type="spellStart"/>
      <w:r>
        <w:rPr>
          <w:rtl/>
        </w:rPr>
        <w:t>לר</w:t>
      </w:r>
      <w:proofErr w:type="spellEnd"/>
      <w:r>
        <w:rPr>
          <w:rtl/>
        </w:rPr>
        <w:t xml:space="preserve">׳ שמעון </w:t>
      </w:r>
      <w:proofErr w:type="spellStart"/>
      <w:r>
        <w:rPr>
          <w:rtl/>
        </w:rPr>
        <w:t>שקופ</w:t>
      </w:r>
      <w:proofErr w:type="spellEnd"/>
      <w:r>
        <w:rPr>
          <w:rtl/>
        </w:rPr>
        <w:t xml:space="preserve"> את האמרה שהשדות סביב </w:t>
      </w:r>
      <w:proofErr w:type="spellStart"/>
      <w:r>
        <w:rPr>
          <w:rtl/>
        </w:rPr>
        <w:t>טלז</w:t>
      </w:r>
      <w:proofErr w:type="spellEnd"/>
      <w:r>
        <w:rPr>
          <w:rtl/>
        </w:rPr>
        <w:t xml:space="preserve"> היו אפופים בריחו של קצות החושן. אבל השווה בערל </w:t>
      </w:r>
      <w:proofErr w:type="spellStart"/>
      <w:r>
        <w:rPr>
          <w:rtl/>
        </w:rPr>
        <w:t>קגן</w:t>
      </w:r>
      <w:bookmarkStart w:id="4491" w:name="_fnr3331"/>
      <w:proofErr w:type="spellEnd"/>
      <w:r>
        <w:rPr>
          <w:vertAlign w:val="superscript"/>
          <w:rtl/>
        </w:rPr>
        <w:footnoteReference w:id="3339" w:customMarkFollows="0"/>
      </w:r>
      <w:bookmarkEnd w:id="4491"/>
      <w:r>
        <w:rPr>
          <w:rtl/>
        </w:rPr>
        <w:t xml:space="preserve">, שמייחס אמרה זו </w:t>
      </w:r>
      <w:proofErr w:type="spellStart"/>
      <w:r>
        <w:rPr>
          <w:rtl/>
        </w:rPr>
        <w:t>לר</w:t>
      </w:r>
      <w:proofErr w:type="spellEnd"/>
      <w:r>
        <w:rPr>
          <w:rtl/>
        </w:rPr>
        <w:t xml:space="preserve">׳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4492" w:name="_fnr3332"/>
      <w:r>
        <w:rPr>
          <w:vertAlign w:val="superscript"/>
          <w:rtl/>
        </w:rPr>
        <w:footnoteReference w:id="3340" w:customMarkFollows="0"/>
      </w:r>
      <w:bookmarkEnd w:id="4492"/>
      <w:r>
        <w:rPr>
          <w:rtl/>
        </w:rPr>
        <w:t xml:space="preserve">, וכך גם </w:t>
      </w:r>
      <w:proofErr w:type="spellStart"/>
      <w:r>
        <w:rPr>
          <w:rtl/>
        </w:rPr>
        <w:t>רבינר</w:t>
      </w:r>
      <w:proofErr w:type="spellEnd"/>
      <w:r>
        <w:rPr>
          <w:rtl/>
        </w:rPr>
        <w:t>, “הגאון רבי אליעזר גורדון”</w:t>
      </w:r>
      <w:bookmarkStart w:id="4493" w:name="_fnr3333"/>
      <w:r>
        <w:rPr>
          <w:vertAlign w:val="superscript"/>
          <w:rtl/>
        </w:rPr>
        <w:footnoteReference w:id="3341" w:customMarkFollows="0"/>
      </w:r>
      <w:bookmarkEnd w:id="4493"/>
      <w:r>
        <w:rPr>
          <w:rtl/>
        </w:rPr>
        <w:t xml:space="preserve"> ור׳ משה </w:t>
      </w:r>
      <w:proofErr w:type="spellStart"/>
      <w:r>
        <w:rPr>
          <w:rtl/>
        </w:rPr>
        <w:t>רוזנשטיין</w:t>
      </w:r>
      <w:proofErr w:type="spellEnd"/>
      <w:r>
        <w:rPr>
          <w:rtl/>
        </w:rPr>
        <w:t xml:space="preserve"> במאמר בספר היובל</w:t>
      </w:r>
      <w:bookmarkStart w:id="4494" w:name="_fnr3334"/>
      <w:r>
        <w:rPr>
          <w:vertAlign w:val="superscript"/>
          <w:rtl/>
        </w:rPr>
        <w:footnoteReference w:id="3342" w:customMarkFollows="0"/>
      </w:r>
      <w:bookmarkEnd w:id="4494"/>
      <w:r>
        <w:rPr>
          <w:rtl/>
        </w:rPr>
        <w:t xml:space="preserve">. </w:t>
      </w:r>
      <w:proofErr w:type="spellStart"/>
      <w:r>
        <w:rPr>
          <w:rtl/>
        </w:rPr>
        <w:t>רבינר</w:t>
      </w:r>
      <w:proofErr w:type="spellEnd"/>
      <w:r>
        <w:rPr>
          <w:rtl/>
        </w:rPr>
        <w:t xml:space="preserve">, “הגאון רבי אליעזר גורדון” וספר היובל מציינים מתי נטבעה האמרה: בעת “ביקורו של </w:t>
      </w:r>
      <w:proofErr w:type="spellStart"/>
      <w:r>
        <w:rPr>
          <w:rtl/>
        </w:rPr>
        <w:t>ה‘גדול</w:t>
      </w:r>
      <w:proofErr w:type="spellEnd"/>
      <w:r>
        <w:rPr>
          <w:rtl/>
        </w:rPr>
        <w:t xml:space="preserve">’ </w:t>
      </w:r>
      <w:proofErr w:type="spellStart"/>
      <w:r>
        <w:rPr>
          <w:rtl/>
        </w:rPr>
        <w:t>בטלז</w:t>
      </w:r>
      <w:proofErr w:type="spellEnd"/>
      <w:r>
        <w:rPr>
          <w:rtl/>
        </w:rPr>
        <w:t>”</w:t>
      </w:r>
      <w:bookmarkStart w:id="4495" w:name="_fnr3335"/>
      <w:r>
        <w:rPr>
          <w:vertAlign w:val="superscript"/>
          <w:rtl/>
        </w:rPr>
        <w:footnoteReference w:id="3343" w:customMarkFollows="0"/>
      </w:r>
      <w:bookmarkEnd w:id="4495"/>
      <w:bookmarkStart w:id="7037" w:name="_TranslatorNote_5393"/>
      <w:r>
        <w:rPr>
          <w:rStyle w:val="a5"/>
          <w:vertAlign w:val="superscript"/>
          <w:rtl/>
        </w:rPr>
        <w:footnoteReference w:id="3344" w:customMarkFollows="1"/>
        <w:t>*</w:t>
      </w:r>
      <w:bookmarkEnd w:id="7037"/>
      <w:r>
        <w:rPr>
          <w:rtl/>
        </w:rPr>
        <w:t>.</w:t>
      </w:r>
    </w:p>
    <w:p w14:paraId="467AB4E9" w14:textId="06DE8366" w:rsidR="00AB3647" w:rsidRDefault="00000000" w:rsidP="007923E9">
      <w:pPr>
        <w:spacing w:after="120" w:line="276" w:lineRule="auto"/>
        <w:jc w:val="both"/>
      </w:pPr>
      <w:r>
        <w:rPr>
          <w:rtl/>
        </w:rPr>
        <w:t xml:space="preserve">לפי </w:t>
      </w:r>
      <w:proofErr w:type="spellStart"/>
      <w:r>
        <w:rPr>
          <w:rtl/>
        </w:rPr>
        <w:t>רבינר</w:t>
      </w:r>
      <w:proofErr w:type="spellEnd"/>
      <w:r>
        <w:rPr>
          <w:rtl/>
        </w:rPr>
        <w:t>, “הגאון רבי אליעזר גורדון”</w:t>
      </w:r>
      <w:bookmarkStart w:id="4496" w:name="_fnr3336"/>
      <w:r>
        <w:rPr>
          <w:vertAlign w:val="superscript"/>
          <w:rtl/>
        </w:rPr>
        <w:footnoteReference w:id="3345" w:customMarkFollows="0"/>
      </w:r>
      <w:bookmarkEnd w:id="4496"/>
      <w:r>
        <w:rPr>
          <w:rtl/>
        </w:rPr>
        <w:t xml:space="preserve">, ר׳ ישראל </w:t>
      </w:r>
      <w:proofErr w:type="spellStart"/>
      <w:r>
        <w:rPr>
          <w:rtl/>
        </w:rPr>
        <w:t>סלנטר</w:t>
      </w:r>
      <w:proofErr w:type="spellEnd"/>
      <w:r>
        <w:rPr>
          <w:rtl/>
        </w:rPr>
        <w:t xml:space="preserve"> הוא שיעץ </w:t>
      </w:r>
      <w:proofErr w:type="spellStart"/>
      <w:r>
        <w:rPr>
          <w:rtl/>
        </w:rPr>
        <w:t>לר</w:t>
      </w:r>
      <w:proofErr w:type="spellEnd"/>
      <w:r>
        <w:rPr>
          <w:rtl/>
        </w:rPr>
        <w:t xml:space="preserve">׳ לייזר לעשות את הקצות לנושא לימוד מרכזי בישיבתו. השווה גם הערה </w:t>
      </w:r>
      <w:r>
        <w:rPr>
          <w:rtl/>
        </w:rPr>
        <w:fldChar w:fldCharType="begin" w:dirty="true"/>
      </w:r>
      <w:r>
        <w:rPr>
          <w:rtl/>
        </w:rPr>
        <w:instrText xml:space="preserve"> REF b4_note79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79</w:t>
      </w:r>
      <w:r>
        <w:rPr>
          <w:rtl/>
        </w:rPr>
        <w:fldChar w:fldCharType="end"/>
      </w:r>
      <w:r>
        <w:rPr>
          <w:rtl/>
        </w:rPr>
        <w:t xml:space="preserve"> לעיל, על המלצתו של ר׳ ישראל על </w:t>
      </w:r>
      <w:r>
        <w:rPr>
          <w:rtl/>
        </w:rPr>
        <w:lastRenderedPageBreak/>
        <w:t xml:space="preserve">ספר זה </w:t>
      </w:r>
      <w:proofErr w:type="spellStart"/>
      <w:r>
        <w:rPr>
          <w:rtl/>
        </w:rPr>
        <w:t>לר</w:t>
      </w:r>
      <w:proofErr w:type="spellEnd"/>
      <w:r>
        <w:rPr>
          <w:rtl/>
        </w:rPr>
        <w:t xml:space="preserve">׳ נפתלי אמסטרדם, ופרק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על תמיכתו של ר׳ ישראל בשיטת הלימוד התלמודית של ר׳ חיים </w:t>
      </w:r>
      <w:proofErr w:type="spellStart"/>
      <w:r>
        <w:rPr>
          <w:rtl/>
        </w:rPr>
        <w:t>סולובייצ׳יק</w:t>
      </w:r>
      <w:proofErr w:type="spellEnd"/>
      <w:r>
        <w:rPr>
          <w:rtl/>
        </w:rPr>
        <w:t xml:space="preserve"> כשיטה ההולמת את העת החדשה.</w:t>
      </w:r>
    </w:p>
    <w:p w14:paraId="6C7B2E7A" w14:textId="77777777" w:rsidR="00AB3647" w:rsidRDefault="00000000" w:rsidP="007923E9">
      <w:pPr>
        <w:spacing w:after="120" w:line="276" w:lineRule="auto"/>
        <w:jc w:val="both"/>
      </w:pPr>
      <w:r>
        <w:rPr>
          <w:rtl/>
        </w:rPr>
        <w:t xml:space="preserve">גם </w:t>
      </w:r>
      <w:proofErr w:type="spellStart"/>
      <w:r>
        <w:rPr>
          <w:rtl/>
        </w:rPr>
        <w:t>בסלבודקה</w:t>
      </w:r>
      <w:proofErr w:type="spellEnd"/>
      <w:r>
        <w:rPr>
          <w:rtl/>
        </w:rPr>
        <w:t xml:space="preserve"> העריכו מאוד ספרים כגון הקצות, אך תוכנית הלימודים שנהגה בה הייתה דומה למתווה שהציג ראש הישיבה, ר׳ </w:t>
      </w:r>
      <w:proofErr w:type="spellStart"/>
      <w:r>
        <w:rPr>
          <w:rtl/>
        </w:rPr>
        <w:t>משה־מרדכי</w:t>
      </w:r>
      <w:proofErr w:type="spellEnd"/>
      <w:r>
        <w:rPr>
          <w:rtl/>
        </w:rPr>
        <w:t xml:space="preserve"> אפשטיין, בהקדמת ספרו “לבוש מרדכי”:</w:t>
      </w:r>
      <w:bookmarkStart w:id="4497" w:name="_fnr3337"/>
      <w:r>
        <w:rPr>
          <w:vertAlign w:val="superscript"/>
          <w:rtl/>
        </w:rPr>
        <w:footnoteReference w:id="3346" w:customMarkFollows="0"/>
      </w:r>
      <w:bookmarkEnd w:id="4497"/>
      <w:r>
        <w:rPr>
          <w:rtl/>
        </w:rPr>
        <w:t xml:space="preserve"> מצד אחד, “פלפול הבנוי כדי לקרב אל ההוראה שבמסכת ברכות</w:t>
      </w:r>
      <w:bookmarkStart w:id="4498" w:name="_fnr3338"/>
      <w:r>
        <w:rPr>
          <w:vertAlign w:val="superscript"/>
          <w:rtl/>
        </w:rPr>
        <w:footnoteReference w:id="3347" w:customMarkFollows="0"/>
      </w:r>
      <w:bookmarkEnd w:id="4498"/>
      <w:r>
        <w:rPr>
          <w:rtl/>
        </w:rPr>
        <w:t xml:space="preserve">, ‘אגרא </w:t>
      </w:r>
      <w:proofErr w:type="spellStart"/>
      <w:r>
        <w:rPr>
          <w:rtl/>
        </w:rPr>
        <w:t>דשמעתא</w:t>
      </w:r>
      <w:proofErr w:type="spellEnd"/>
      <w:r>
        <w:rPr>
          <w:rtl/>
        </w:rPr>
        <w:t xml:space="preserve"> </w:t>
      </w:r>
      <w:proofErr w:type="spellStart"/>
      <w:r>
        <w:rPr>
          <w:rtl/>
        </w:rPr>
        <w:t>סברא</w:t>
      </w:r>
      <w:proofErr w:type="spellEnd"/>
      <w:r>
        <w:rPr>
          <w:rtl/>
        </w:rPr>
        <w:t xml:space="preserve">’, כגון </w:t>
      </w:r>
      <w:r>
        <w:rPr>
          <w:b/>
          <w:bCs/>
          <w:rtl/>
        </w:rPr>
        <w:t>הפלפול שלימדונו רבותינו</w:t>
      </w:r>
      <w:r>
        <w:rPr>
          <w:rtl/>
        </w:rPr>
        <w:t xml:space="preserve"> קצות ונתיבות (ההדגשה שלי)”; ומצד שני, “בקיאות” – מפני </w:t>
      </w:r>
      <w:proofErr w:type="spellStart"/>
      <w:r>
        <w:rPr>
          <w:rtl/>
        </w:rPr>
        <w:t>ש“כל</w:t>
      </w:r>
      <w:proofErr w:type="spellEnd"/>
      <w:r>
        <w:rPr>
          <w:rtl/>
        </w:rPr>
        <w:t xml:space="preserve"> מבין יבין שבפלפול בלבד אי אפשר ‘להיכנס אל הקודש’</w:t>
      </w:r>
      <w:bookmarkStart w:id="4499" w:name="_fnr3339"/>
      <w:r>
        <w:rPr>
          <w:vertAlign w:val="superscript"/>
          <w:rtl/>
        </w:rPr>
        <w:footnoteReference w:id="3348" w:customMarkFollows="0"/>
      </w:r>
      <w:bookmarkEnd w:id="4499"/>
      <w:r>
        <w:rPr>
          <w:rtl/>
        </w:rPr>
        <w:t xml:space="preserve">, שכן חריפות ויכולת לנתח דברים </w:t>
      </w:r>
      <w:proofErr w:type="spellStart"/>
      <w:r>
        <w:rPr>
          <w:rtl/>
        </w:rPr>
        <w:t>בסברא</w:t>
      </w:r>
      <w:proofErr w:type="spellEnd"/>
      <w:r>
        <w:rPr>
          <w:rtl/>
        </w:rPr>
        <w:t xml:space="preserve"> נכונה אינן מועילות” בלי הבקיאות שמורה היכן ליישמן.</w:t>
      </w:r>
    </w:p>
    <w:bookmarkStart w:id="4500" w:name="b4_note97"/>
    <w:p w14:paraId="4CB2E45F" w14:textId="77777777" w:rsidR="00AB3647" w:rsidRDefault="00000000" w:rsidP="007923E9">
      <w:pPr>
        <w:spacing w:before="120" w:after="100" w:line="276" w:lineRule="auto"/>
        <w:jc w:val="both"/>
      </w:pPr>
      <w:r>
        <w:fldChar w:fldCharType="begin" w:dirty="true"/>
      </w:r>
      <w:r>
        <w:instrText>HYPERLINK \l "b4_text97" \h</w:instrText>
      </w:r>
      <w:r>
        <w:fldChar w:fldCharType="separate"/>
      </w:r>
      <w:r>
        <w:rPr>
          <w:b/>
          <w:bCs/>
          <w:rtl/>
        </w:rPr>
        <w:t>97</w:t>
      </w:r>
      <w:r>
        <w:rPr>
          <w:b/>
          <w:bCs/>
        </w:rPr>
        <w:fldChar w:fldCharType="end"/>
      </w:r>
      <w:bookmarkEnd w:id="4500"/>
      <w:r>
        <w:rPr>
          <w:rtl/>
        </w:rPr>
        <w:t xml:space="preserve"> כשביקר רבנו בביתו של ר׳ </w:t>
      </w:r>
      <w:proofErr w:type="spellStart"/>
      <w:r>
        <w:rPr>
          <w:rtl/>
        </w:rPr>
        <w:t>אברהם־חיים</w:t>
      </w:r>
      <w:proofErr w:type="spellEnd"/>
      <w:r>
        <w:rPr>
          <w:rtl/>
        </w:rPr>
        <w:t xml:space="preserve"> </w:t>
      </w:r>
      <w:proofErr w:type="spellStart"/>
      <w:r>
        <w:rPr>
          <w:rtl/>
        </w:rPr>
        <w:t>פויער</w:t>
      </w:r>
      <w:proofErr w:type="spellEnd"/>
      <w:r>
        <w:rPr>
          <w:rtl/>
        </w:rPr>
        <w:t xml:space="preserve">, קפץ בנו בן השנתיים של המארח והכה באגרופו ברגלו של אבי. אבי צחק מכל הלב, והזכיר את סערת רוחו של ר׳ לייזר גורדון בדיון בנושא תורני. הוא אמר לילד: “טוב, אתה גברא! גם סבך ר׳ לייזר היה סוער. ראיתי אותו מדבר בלימוד עם ר׳ </w:t>
      </w:r>
      <w:proofErr w:type="spellStart"/>
      <w:r>
        <w:rPr>
          <w:rtl/>
        </w:rPr>
        <w:t>משה־מרדכי</w:t>
      </w:r>
      <w:proofErr w:type="spellEnd"/>
      <w:r>
        <w:rPr>
          <w:rtl/>
        </w:rPr>
        <w:t>, והוא התלהב כל כך עד שהניף את ידו והפיל כוס מלאה תה</w:t>
      </w:r>
      <w:bookmarkStart w:id="4501" w:name="_fnr3340"/>
      <w:r>
        <w:rPr>
          <w:vertAlign w:val="superscript"/>
          <w:rtl/>
        </w:rPr>
        <w:footnoteReference w:id="3349" w:customMarkFollows="0"/>
      </w:r>
      <w:bookmarkEnd w:id="4501"/>
      <w:r>
        <w:rPr>
          <w:rtl/>
        </w:rPr>
        <w:t>”.</w:t>
      </w:r>
    </w:p>
    <w:p w14:paraId="05EFF9A4" w14:textId="77777777" w:rsidR="00AB3647" w:rsidRDefault="00000000" w:rsidP="007923E9">
      <w:pPr>
        <w:spacing w:before="120" w:after="100" w:line="276" w:lineRule="auto"/>
        <w:jc w:val="both"/>
      </w:pPr>
      <w:r>
        <w:rPr>
          <w:rtl/>
        </w:rPr>
        <w:t xml:space="preserve">ר׳ משה </w:t>
      </w:r>
      <w:proofErr w:type="spellStart"/>
      <w:r>
        <w:rPr>
          <w:rtl/>
        </w:rPr>
        <w:t>שצקס</w:t>
      </w:r>
      <w:proofErr w:type="spellEnd"/>
      <w:r>
        <w:rPr>
          <w:rtl/>
        </w:rPr>
        <w:t xml:space="preserve"> אמר</w:t>
      </w:r>
      <w:bookmarkStart w:id="4502" w:name="_fnr3341"/>
      <w:r>
        <w:rPr>
          <w:vertAlign w:val="superscript"/>
          <w:rtl/>
        </w:rPr>
        <w:footnoteReference w:id="3350" w:customMarkFollows="0"/>
      </w:r>
      <w:bookmarkEnd w:id="4502"/>
      <w:r>
        <w:rPr>
          <w:rtl/>
        </w:rPr>
        <w:t>: “לא היה קל להישאר בקרבת ר׳ לייזר כשהיה ‘מדבר בלימוד’. כשהדיון התארך, הייתה להבת אש התורה בוערת בו כדליקה. לפעמים הגיע ללהט ולהתרגשות כאלה עד שהיה תופס בשערו של בן שיחו וצובט את לחיו; וכשהלה התרחק, היה ר׳ לייזר רודף אחריו”.</w:t>
      </w:r>
    </w:p>
    <w:p w14:paraId="6248B5FC" w14:textId="77777777" w:rsidR="00AB3647" w:rsidRDefault="00000000" w:rsidP="007923E9">
      <w:pPr>
        <w:spacing w:before="120" w:after="100" w:line="276" w:lineRule="auto"/>
        <w:jc w:val="both"/>
      </w:pPr>
      <w:r>
        <w:rPr>
          <w:rtl/>
        </w:rPr>
        <w:t xml:space="preserve">ר׳ יצחק </w:t>
      </w:r>
      <w:proofErr w:type="spellStart"/>
      <w:r>
        <w:rPr>
          <w:rtl/>
        </w:rPr>
        <w:t>קוסובסקי</w:t>
      </w:r>
      <w:proofErr w:type="spellEnd"/>
      <w:r>
        <w:rPr>
          <w:rtl/>
        </w:rPr>
        <w:t>, תלמיד מתחילת תרנ״ח ועד סוף תרנ״ט</w:t>
      </w:r>
      <w:bookmarkStart w:id="4503" w:name="_fnr3342"/>
      <w:r>
        <w:rPr>
          <w:vertAlign w:val="superscript"/>
          <w:rtl/>
        </w:rPr>
        <w:footnoteReference w:id="3351" w:customMarkFollows="0"/>
      </w:r>
      <w:bookmarkEnd w:id="4503"/>
      <w:r>
        <w:rPr>
          <w:rtl/>
        </w:rPr>
        <w:t>, סיפר שכשמסר ר׳ לייזר גורדון את שיעורו, “איבריו היו רועדים בהתרגשות בלתי רגילה וניצוצות היו ניתזים מפיו”. לפעמים עוררה שאלה שנשאלה באמצע השיעור ויכוח לוהט בין כל הנוכחים על נכונות הטענה שהועלתה. אז היה ר׳ לייזר עשוי לרדת מן הבימה ולהצטרף לוויכוח, ומשהוכרע, היה חוזר למקומו להמשיך בשיעור</w:t>
      </w:r>
      <w:bookmarkStart w:id="4504" w:name="_fnr3343"/>
      <w:r>
        <w:rPr>
          <w:vertAlign w:val="superscript"/>
          <w:rtl/>
        </w:rPr>
        <w:footnoteReference w:id="3352" w:customMarkFollows="0"/>
      </w:r>
      <w:bookmarkEnd w:id="4504"/>
      <w:r>
        <w:rPr>
          <w:rtl/>
        </w:rPr>
        <w:t>.</w:t>
      </w:r>
    </w:p>
    <w:p w14:paraId="1A7A613C" w14:textId="77777777" w:rsidR="00AB3647" w:rsidRDefault="00000000" w:rsidP="007923E9">
      <w:pPr>
        <w:spacing w:before="120" w:after="100" w:line="276" w:lineRule="auto"/>
        <w:jc w:val="both"/>
      </w:pPr>
      <w:r>
        <w:rPr>
          <w:rtl/>
        </w:rPr>
        <w:t xml:space="preserve">יש אגדה על שיעורו הראשון בישיבת </w:t>
      </w:r>
      <w:proofErr w:type="spellStart"/>
      <w:r>
        <w:rPr>
          <w:rtl/>
        </w:rPr>
        <w:t>סלבודקה</w:t>
      </w:r>
      <w:bookmarkStart w:id="4505" w:name="_fnr3344"/>
      <w:proofErr w:type="spellEnd"/>
      <w:r>
        <w:rPr>
          <w:vertAlign w:val="superscript"/>
          <w:rtl/>
        </w:rPr>
        <w:footnoteReference w:id="3353" w:customMarkFollows="0"/>
      </w:r>
      <w:bookmarkEnd w:id="4505"/>
      <w:r>
        <w:rPr>
          <w:rtl/>
        </w:rPr>
        <w:t xml:space="preserve">: כל ציבור הלומדים בקובנה </w:t>
      </w:r>
      <w:proofErr w:type="spellStart"/>
      <w:r>
        <w:rPr>
          <w:rtl/>
        </w:rPr>
        <w:t>ובסלבודקה</w:t>
      </w:r>
      <w:proofErr w:type="spellEnd"/>
      <w:r>
        <w:rPr>
          <w:rtl/>
        </w:rPr>
        <w:t xml:space="preserve"> בא לשמוע את הלמדן המפורסם, והתנהל עמו ויכוח ער כל כך, עד שהשיעור נמשך שש שעות, והוא נאלץ להחליף את בגדיו שלוש פעמים במהלכו, מפני שנרטבו כליל מזיעה.</w:t>
      </w:r>
    </w:p>
    <w:bookmarkStart w:id="4506" w:name="b4_note98"/>
    <w:p w14:paraId="63F108B8" w14:textId="2163824D" w:rsidR="00AB3647" w:rsidRDefault="00000000" w:rsidP="007923E9">
      <w:pPr>
        <w:spacing w:before="120" w:after="100" w:line="276" w:lineRule="auto"/>
        <w:jc w:val="both"/>
      </w:pPr>
      <w:r>
        <w:fldChar w:fldCharType="begin" w:dirty="true"/>
      </w:r>
      <w:r>
        <w:instrText>HYPERLINK \l "b4_text98" \h</w:instrText>
      </w:r>
      <w:r>
        <w:fldChar w:fldCharType="separate"/>
      </w:r>
      <w:r>
        <w:rPr>
          <w:b/>
          <w:bCs/>
          <w:rtl/>
        </w:rPr>
        <w:t>98</w:t>
      </w:r>
      <w:r>
        <w:rPr>
          <w:b/>
          <w:bCs/>
        </w:rPr>
        <w:fldChar w:fldCharType="end"/>
      </w:r>
      <w:bookmarkEnd w:id="4506"/>
      <w:r>
        <w:rPr>
          <w:rtl/>
        </w:rPr>
        <w:t xml:space="preserve"> חלק מן הביטויים האלה לקוחים מספרו של כץ, “תנועת המוסר”, כרך ה</w:t>
      </w:r>
      <w:bookmarkStart w:id="4507" w:name="_fnr3345"/>
      <w:r>
        <w:rPr>
          <w:vertAlign w:val="superscript"/>
          <w:rtl/>
        </w:rPr>
        <w:footnoteReference w:id="3354" w:customMarkFollows="0"/>
      </w:r>
      <w:bookmarkEnd w:id="4507"/>
      <w:r>
        <w:rPr>
          <w:rtl/>
        </w:rPr>
        <w:t xml:space="preserve">, שמתאר כך: “הישיבה רעשה תמיד כים סוער, כשקבוצות עומדות ומתווכחות [התנגחו בהלכה]. בעקבות השיעורים, ששימשו חומר לוויכוחים, הגיע השאון לשיאו. רוב היום עבר בדיונים בין </w:t>
      </w:r>
      <w:r>
        <w:rPr>
          <w:rtl/>
        </w:rPr>
        <w:lastRenderedPageBreak/>
        <w:t xml:space="preserve">התלמידים – שמהם למדו יותר מאשר מן הספרים. ולא רק בין כותלי הישיבה, אלא בכל מקום שפגשת אותם – באכסניות וברחובות, בשבתָם בבתיהם ובלכתָם בדרך, </w:t>
      </w:r>
      <w:proofErr w:type="spellStart"/>
      <w:r>
        <w:rPr>
          <w:rtl/>
        </w:rPr>
        <w:t>בשכבָם</w:t>
      </w:r>
      <w:proofErr w:type="spellEnd"/>
      <w:r>
        <w:rPr>
          <w:rtl/>
        </w:rPr>
        <w:t xml:space="preserve"> ובקומָם</w:t>
      </w:r>
      <w:bookmarkStart w:id="4508" w:name="_fnr3346"/>
      <w:r>
        <w:rPr>
          <w:vertAlign w:val="superscript"/>
          <w:rtl/>
        </w:rPr>
        <w:footnoteReference w:id="3355" w:customMarkFollows="0"/>
      </w:r>
      <w:bookmarkEnd w:id="4508"/>
      <w:r>
        <w:rPr>
          <w:rtl/>
        </w:rPr>
        <w:t xml:space="preserve"> – היו עוסקים בפלפולי אורייתא בכל עוז המרץ ובכל עוצמת הלהט. כל העיר </w:t>
      </w:r>
      <w:proofErr w:type="spellStart"/>
      <w:r>
        <w:rPr>
          <w:rtl/>
        </w:rPr>
        <w:t>טלז</w:t>
      </w:r>
      <w:proofErr w:type="spellEnd"/>
      <w:r>
        <w:rPr>
          <w:rtl/>
        </w:rPr>
        <w:t xml:space="preserve"> הפכה </w:t>
      </w:r>
      <w:proofErr w:type="spellStart"/>
      <w:r>
        <w:rPr>
          <w:rtl/>
        </w:rPr>
        <w:t>ל‘ישיבה</w:t>
      </w:r>
      <w:proofErr w:type="spellEnd"/>
      <w:r>
        <w:rPr>
          <w:rtl/>
        </w:rPr>
        <w:t xml:space="preserve"> אחת גדולה’, שקול התורה לא נדם בה לרגע</w:t>
      </w:r>
      <w:bookmarkStart w:id="4509" w:name="_fnr3347"/>
      <w:r>
        <w:rPr>
          <w:vertAlign w:val="superscript"/>
          <w:rtl/>
        </w:rPr>
        <w:footnoteReference w:id="3356" w:customMarkFollows="0"/>
      </w:r>
      <w:bookmarkEnd w:id="4509"/>
      <w:r>
        <w:rPr>
          <w:rtl/>
        </w:rPr>
        <w:t xml:space="preserve">”. השווה גם הערה </w:t>
      </w:r>
      <w:r>
        <w:rPr>
          <w:rtl/>
        </w:rPr>
        <w:fldChar w:fldCharType="begin" w:dirty="true"/>
      </w:r>
      <w:r>
        <w:rPr>
          <w:rtl/>
        </w:rPr>
        <w:instrText xml:space="preserve"> REF b4_note96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96</w:t>
      </w:r>
      <w:r>
        <w:rPr>
          <w:rtl/>
        </w:rPr>
        <w:fldChar w:fldCharType="end"/>
      </w:r>
      <w:r>
        <w:rPr>
          <w:rtl/>
        </w:rPr>
        <w:t xml:space="preserve"> לעיל, על דברי </w:t>
      </w:r>
      <w:proofErr w:type="spellStart"/>
      <w:r>
        <w:rPr>
          <w:rtl/>
        </w:rPr>
        <w:t>ה“גדול</w:t>
      </w:r>
      <w:proofErr w:type="spellEnd"/>
      <w:r>
        <w:rPr>
          <w:rtl/>
        </w:rPr>
        <w:t xml:space="preserve">” ממינסק (או ר׳ שמעון </w:t>
      </w:r>
      <w:proofErr w:type="spellStart"/>
      <w:r>
        <w:rPr>
          <w:rtl/>
        </w:rPr>
        <w:t>שקופ</w:t>
      </w:r>
      <w:proofErr w:type="spellEnd"/>
      <w:r>
        <w:rPr>
          <w:rtl/>
        </w:rPr>
        <w:t xml:space="preserve">) בעניין השדות שמסביב </w:t>
      </w:r>
      <w:proofErr w:type="spellStart"/>
      <w:r>
        <w:rPr>
          <w:rtl/>
        </w:rPr>
        <w:t>לטלז</w:t>
      </w:r>
      <w:proofErr w:type="spellEnd"/>
      <w:r>
        <w:rPr>
          <w:rtl/>
        </w:rPr>
        <w:t>.</w:t>
      </w:r>
    </w:p>
    <w:p w14:paraId="30E87773" w14:textId="3823A7CE"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לא רק היה מבריק, אלא עסק בלימוד תורה מלא חיים בכל כוחו, ולכן שימש דוגמה מזהירה לתלמידים. בהתלהבות שהשרה עליהם ראש ישיבתם לא ידעו הצעירים מעצורים, ואף “דיברו בלימוד”, לעיתים בסערה, בשעת קריאת התורה וחזרת הש״ץ. כל שאיפתם הייתה מכוונת להתקדמות בהבנת התורה, והם “לחמו את מלחמותיה” בגבורה יומם ולילה</w:t>
      </w:r>
      <w:bookmarkStart w:id="4510" w:name="b4_text99"/>
      <w:bookmarkEnd w:id="4510"/>
      <w:r>
        <w:rPr>
          <w:sz w:val="18"/>
          <w:szCs w:val="18"/>
          <w:vertAlign w:val="superscript"/>
          <w:rtl/>
        </w:rPr>
        <w:fldChar w:fldCharType="begin" w:dirty="true"/>
      </w:r>
      <w:r>
        <w:rPr>
          <w:sz w:val="18"/>
          <w:szCs w:val="18"/>
          <w:vertAlign w:val="superscript"/>
          <w:rtl/>
        </w:rPr>
        <w:instrText xml:space="preserve"> REF b4_note99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99</w:t>
      </w:r>
      <w:r>
        <w:rPr>
          <w:sz w:val="18"/>
          <w:szCs w:val="18"/>
          <w:vertAlign w:val="superscript"/>
          <w:rtl/>
        </w:rPr>
        <w:fldChar w:fldCharType="end"/>
      </w:r>
      <w:r>
        <w:rPr>
          <w:rtl/>
        </w:rPr>
        <w:t xml:space="preserve">. ישיבת </w:t>
      </w:r>
      <w:proofErr w:type="spellStart"/>
      <w:r>
        <w:rPr>
          <w:rtl/>
        </w:rPr>
        <w:t>טלז</w:t>
      </w:r>
      <w:proofErr w:type="spellEnd"/>
      <w:r>
        <w:rPr>
          <w:rtl/>
        </w:rPr>
        <w:t xml:space="preserve"> נודעה כמוסד המוביל לפיתוח הלמדנות</w:t>
      </w:r>
      <w:bookmarkStart w:id="4511" w:name="b4_text100"/>
      <w:bookmarkEnd w:id="4511"/>
      <w:r>
        <w:rPr>
          <w:sz w:val="18"/>
          <w:szCs w:val="18"/>
          <w:vertAlign w:val="superscript"/>
          <w:rtl/>
        </w:rPr>
        <w:fldChar w:fldCharType="begin" w:dirty="true"/>
      </w:r>
      <w:r>
        <w:rPr>
          <w:sz w:val="18"/>
          <w:szCs w:val="18"/>
          <w:vertAlign w:val="superscript"/>
          <w:rtl/>
        </w:rPr>
        <w:instrText xml:space="preserve"> REF b4_note100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100</w:t>
      </w:r>
      <w:r>
        <w:rPr>
          <w:sz w:val="18"/>
          <w:szCs w:val="18"/>
          <w:vertAlign w:val="superscript"/>
          <w:rtl/>
        </w:rPr>
        <w:fldChar w:fldCharType="end"/>
      </w:r>
      <w:r>
        <w:rPr>
          <w:rtl/>
        </w:rPr>
        <w:t>.</w:t>
      </w:r>
    </w:p>
    <w:bookmarkStart w:id="4512" w:name="b4_note99"/>
    <w:p w14:paraId="613B533D" w14:textId="77777777" w:rsidR="00AB3647" w:rsidRDefault="00000000" w:rsidP="007923E9">
      <w:pPr>
        <w:spacing w:before="120" w:after="100" w:line="276" w:lineRule="auto"/>
        <w:jc w:val="both"/>
      </w:pPr>
      <w:r>
        <w:fldChar w:fldCharType="begin" w:dirty="true"/>
      </w:r>
      <w:r>
        <w:instrText>HYPERLINK \l "b4_text99" \h</w:instrText>
      </w:r>
      <w:r>
        <w:fldChar w:fldCharType="separate"/>
      </w:r>
      <w:r>
        <w:rPr>
          <w:b/>
          <w:bCs/>
          <w:rtl/>
        </w:rPr>
        <w:t>99</w:t>
      </w:r>
      <w:r>
        <w:rPr>
          <w:b/>
          <w:bCs/>
        </w:rPr>
        <w:fldChar w:fldCharType="end"/>
      </w:r>
      <w:bookmarkEnd w:id="4512"/>
      <w:r>
        <w:rPr>
          <w:rtl/>
        </w:rPr>
        <w:t xml:space="preserve"> ר׳ </w:t>
      </w:r>
      <w:proofErr w:type="spellStart"/>
      <w:r>
        <w:rPr>
          <w:rtl/>
        </w:rPr>
        <w:t>ירוחם־אשר</w:t>
      </w:r>
      <w:proofErr w:type="spellEnd"/>
      <w:r>
        <w:rPr>
          <w:rtl/>
        </w:rPr>
        <w:t xml:space="preserve"> </w:t>
      </w:r>
      <w:proofErr w:type="spellStart"/>
      <w:r>
        <w:rPr>
          <w:rtl/>
        </w:rPr>
        <w:t>ורהפטיג</w:t>
      </w:r>
      <w:proofErr w:type="spellEnd"/>
      <w:r>
        <w:rPr>
          <w:rtl/>
        </w:rPr>
        <w:t xml:space="preserve">, תלמיד </w:t>
      </w:r>
      <w:proofErr w:type="spellStart"/>
      <w:r>
        <w:rPr>
          <w:rtl/>
        </w:rPr>
        <w:t>בטלז</w:t>
      </w:r>
      <w:proofErr w:type="spellEnd"/>
      <w:r>
        <w:rPr>
          <w:rtl/>
        </w:rPr>
        <w:t xml:space="preserve"> בשלהי שנות תר״נ, כותב בהקדמת “שלמי ירוחם” שלו</w:t>
      </w:r>
      <w:bookmarkStart w:id="4513" w:name="_fnr3348"/>
      <w:r>
        <w:rPr>
          <w:vertAlign w:val="superscript"/>
          <w:rtl/>
        </w:rPr>
        <w:footnoteReference w:id="3357" w:customMarkFollows="0"/>
      </w:r>
      <w:bookmarkEnd w:id="4513"/>
      <w:r>
        <w:rPr>
          <w:rtl/>
        </w:rPr>
        <w:t xml:space="preserve"> שבזמנו היו 450 תלמידים, “רובם בעלי כישרונות מעולים, כולם מחדדים זה את זה בהלכה ומתנצחים זה עם זה בשקידה. הדיבור והפלפול בגמרא, בראשונים ובאחרונים לא פסקו מפיהם אפילו בשעת קריאת התורה וחזרת הש״ץ. כל רוחם הייתה מכוונת אך להגדיל תורה ולהאדירה. הם לחמו את מלחמותיה בגבורה יומם ולילה, תמיד מתקדמים ועולים”. </w:t>
      </w:r>
      <w:proofErr w:type="spellStart"/>
      <w:r>
        <w:rPr>
          <w:rtl/>
        </w:rPr>
        <w:t>ורהפטיג</w:t>
      </w:r>
      <w:proofErr w:type="spellEnd"/>
      <w:r>
        <w:rPr>
          <w:rtl/>
        </w:rPr>
        <w:t xml:space="preserve"> מגלה שמיד כשהתמנה ר׳ לייב חסמן למשגיח</w:t>
      </w:r>
      <w:bookmarkStart w:id="4514" w:name="_fnr3349"/>
      <w:r>
        <w:rPr>
          <w:vertAlign w:val="superscript"/>
          <w:rtl/>
        </w:rPr>
        <w:footnoteReference w:id="3358" w:customMarkFollows="0"/>
      </w:r>
      <w:bookmarkEnd w:id="4514"/>
      <w:r>
        <w:rPr>
          <w:rtl/>
        </w:rPr>
        <w:t xml:space="preserve">, שם קץ </w:t>
      </w:r>
      <w:proofErr w:type="spellStart"/>
      <w:r>
        <w:rPr>
          <w:rtl/>
        </w:rPr>
        <w:t>ל“דיבור</w:t>
      </w:r>
      <w:proofErr w:type="spellEnd"/>
      <w:r>
        <w:rPr>
          <w:rtl/>
        </w:rPr>
        <w:t xml:space="preserve"> בלימוד” באותם חלקים של התפילה שבהם הדבר אסור על פי ההלכה</w:t>
      </w:r>
      <w:bookmarkStart w:id="4515" w:name="_fnr3350"/>
      <w:r>
        <w:rPr>
          <w:vertAlign w:val="superscript"/>
          <w:rtl/>
        </w:rPr>
        <w:footnoteReference w:id="3359" w:customMarkFollows="0"/>
      </w:r>
      <w:bookmarkEnd w:id="4515"/>
      <w:r>
        <w:rPr>
          <w:rtl/>
        </w:rPr>
        <w:t>.</w:t>
      </w:r>
    </w:p>
    <w:bookmarkStart w:id="4516" w:name="b4_note100"/>
    <w:p w14:paraId="3BF52A8B" w14:textId="77777777" w:rsidR="00AB3647" w:rsidRDefault="00000000" w:rsidP="007923E9">
      <w:pPr>
        <w:spacing w:before="120" w:after="100" w:line="276" w:lineRule="auto"/>
        <w:jc w:val="both"/>
      </w:pPr>
      <w:r>
        <w:fldChar w:fldCharType="begin" w:dirty="true"/>
      </w:r>
      <w:r>
        <w:instrText>HYPERLINK \l "b4_text100" \h</w:instrText>
      </w:r>
      <w:r>
        <w:fldChar w:fldCharType="separate"/>
      </w:r>
      <w:r>
        <w:rPr>
          <w:b/>
          <w:bCs/>
          <w:rtl/>
        </w:rPr>
        <w:t>100</w:t>
      </w:r>
      <w:r>
        <w:rPr>
          <w:b/>
          <w:bCs/>
        </w:rPr>
        <w:fldChar w:fldCharType="end"/>
      </w:r>
      <w:bookmarkEnd w:id="4516"/>
      <w:r>
        <w:rPr>
          <w:rtl/>
        </w:rPr>
        <w:t xml:space="preserve"> </w:t>
      </w:r>
      <w:proofErr w:type="spellStart"/>
      <w:r>
        <w:rPr>
          <w:rtl/>
        </w:rPr>
        <w:t>רבינר</w:t>
      </w:r>
      <w:proofErr w:type="spellEnd"/>
      <w:r>
        <w:rPr>
          <w:rtl/>
        </w:rPr>
        <w:t>, “הגאון רבי אליעזר גורדון”</w:t>
      </w:r>
      <w:bookmarkStart w:id="4517" w:name="_fnr3351"/>
      <w:r>
        <w:rPr>
          <w:vertAlign w:val="superscript"/>
          <w:rtl/>
        </w:rPr>
        <w:footnoteReference w:id="3360" w:customMarkFollows="0"/>
      </w:r>
      <w:bookmarkEnd w:id="4517"/>
      <w:r>
        <w:rPr>
          <w:rtl/>
        </w:rPr>
        <w:t xml:space="preserve"> מספר</w:t>
      </w:r>
      <w:bookmarkStart w:id="4518" w:name="_fnr3352"/>
      <w:r>
        <w:rPr>
          <w:vertAlign w:val="superscript"/>
          <w:rtl/>
        </w:rPr>
        <w:footnoteReference w:id="3361" w:customMarkFollows="0"/>
      </w:r>
      <w:bookmarkEnd w:id="4518"/>
      <w:r>
        <w:rPr>
          <w:rtl/>
        </w:rPr>
        <w:t xml:space="preserve"> שר׳ </w:t>
      </w:r>
      <w:proofErr w:type="spellStart"/>
      <w:r>
        <w:rPr>
          <w:rtl/>
        </w:rPr>
        <w:t>לייזר־יודל</w:t>
      </w:r>
      <w:proofErr w:type="spellEnd"/>
      <w:r>
        <w:rPr>
          <w:rtl/>
        </w:rPr>
        <w:t xml:space="preserve"> </w:t>
      </w:r>
      <w:proofErr w:type="spellStart"/>
      <w:r>
        <w:rPr>
          <w:rtl/>
        </w:rPr>
        <w:t>פינקל</w:t>
      </w:r>
      <w:proofErr w:type="spellEnd"/>
      <w:r>
        <w:rPr>
          <w:rtl/>
        </w:rPr>
        <w:t xml:space="preserve">, בנו הבכור של הסבא, אמר: “ראוי לתלמיד ישיבה ללכת </w:t>
      </w:r>
      <w:proofErr w:type="spellStart"/>
      <w:r>
        <w:rPr>
          <w:rtl/>
        </w:rPr>
        <w:t>לטלז</w:t>
      </w:r>
      <w:proofErr w:type="spellEnd"/>
      <w:r>
        <w:rPr>
          <w:rtl/>
        </w:rPr>
        <w:t xml:space="preserve"> לשנתיים כדי לפתח ולטפח כוח מחשבה, דרכי חשיבה ותובנה בעומק דברי הראשונים ותפיסתם – לפי הכללים וההגדרות המוצקות של ‘נוסח </w:t>
      </w:r>
      <w:proofErr w:type="spellStart"/>
      <w:r>
        <w:rPr>
          <w:rtl/>
        </w:rPr>
        <w:t>טלז</w:t>
      </w:r>
      <w:proofErr w:type="spellEnd"/>
      <w:r>
        <w:rPr>
          <w:rtl/>
        </w:rPr>
        <w:t>’ – ואחר כך להמשיך ללמוד באחת הישיבות האחרות”.</w:t>
      </w:r>
    </w:p>
    <w:p w14:paraId="476DF91A" w14:textId="77777777" w:rsidR="00AB3647" w:rsidRDefault="00000000" w:rsidP="007923E9">
      <w:pPr>
        <w:spacing w:before="120" w:after="100" w:line="276" w:lineRule="auto"/>
        <w:jc w:val="both"/>
      </w:pPr>
      <w:r>
        <w:rPr>
          <w:rtl/>
        </w:rPr>
        <w:t xml:space="preserve">לפני שהיה לחתנו ולעוזרו של ר׳ </w:t>
      </w:r>
      <w:proofErr w:type="spellStart"/>
      <w:r>
        <w:rPr>
          <w:rtl/>
        </w:rPr>
        <w:t>אליהו־ברוך</w:t>
      </w:r>
      <w:proofErr w:type="spellEnd"/>
      <w:r>
        <w:rPr>
          <w:rtl/>
        </w:rPr>
        <w:t xml:space="preserve"> קמאי בישיבת </w:t>
      </w:r>
      <w:proofErr w:type="spellStart"/>
      <w:r>
        <w:rPr>
          <w:rtl/>
        </w:rPr>
        <w:t>מיר</w:t>
      </w:r>
      <w:proofErr w:type="spellEnd"/>
      <w:r>
        <w:rPr>
          <w:rtl/>
        </w:rPr>
        <w:t xml:space="preserve">, הלך ר׳ </w:t>
      </w:r>
      <w:proofErr w:type="spellStart"/>
      <w:r>
        <w:rPr>
          <w:rtl/>
        </w:rPr>
        <w:t>לייזר־יודל</w:t>
      </w:r>
      <w:proofErr w:type="spellEnd"/>
      <w:r>
        <w:rPr>
          <w:rtl/>
        </w:rPr>
        <w:t xml:space="preserve"> </w:t>
      </w:r>
      <w:proofErr w:type="spellStart"/>
      <w:r>
        <w:rPr>
          <w:rtl/>
        </w:rPr>
        <w:t>פינקל</w:t>
      </w:r>
      <w:proofErr w:type="spellEnd"/>
      <w:r>
        <w:rPr>
          <w:rtl/>
        </w:rPr>
        <w:t xml:space="preserve"> עצמו בדרך זו. הוא למד </w:t>
      </w:r>
      <w:proofErr w:type="spellStart"/>
      <w:r>
        <w:rPr>
          <w:rtl/>
        </w:rPr>
        <w:t>בטלז</w:t>
      </w:r>
      <w:proofErr w:type="spellEnd"/>
      <w:r>
        <w:rPr>
          <w:rtl/>
        </w:rPr>
        <w:t xml:space="preserve"> אצל ר׳ לייזר גורדון ור׳ שמעון </w:t>
      </w:r>
      <w:proofErr w:type="spellStart"/>
      <w:r>
        <w:rPr>
          <w:rtl/>
        </w:rPr>
        <w:t>שקופ</w:t>
      </w:r>
      <w:proofErr w:type="spellEnd"/>
      <w:r>
        <w:rPr>
          <w:rtl/>
        </w:rPr>
        <w:t xml:space="preserve">; משם הלך </w:t>
      </w:r>
      <w:proofErr w:type="spellStart"/>
      <w:r>
        <w:rPr>
          <w:rtl/>
        </w:rPr>
        <w:t>לבריסק</w:t>
      </w:r>
      <w:proofErr w:type="spellEnd"/>
      <w:r>
        <w:rPr>
          <w:rtl/>
        </w:rPr>
        <w:t xml:space="preserve">, ללמוד אצל ר׳ חיים </w:t>
      </w:r>
      <w:proofErr w:type="spellStart"/>
      <w:r>
        <w:rPr>
          <w:rtl/>
        </w:rPr>
        <w:t>סולובייצ׳יק</w:t>
      </w:r>
      <w:bookmarkStart w:id="4519" w:name="_fnr3353"/>
      <w:proofErr w:type="spellEnd"/>
      <w:r>
        <w:rPr>
          <w:vertAlign w:val="superscript"/>
          <w:rtl/>
        </w:rPr>
        <w:footnoteReference w:id="3362" w:customMarkFollows="0"/>
      </w:r>
      <w:bookmarkEnd w:id="4519"/>
      <w:r>
        <w:rPr>
          <w:rtl/>
        </w:rPr>
        <w:t xml:space="preserve">; </w:t>
      </w:r>
      <w:proofErr w:type="spellStart"/>
      <w:r>
        <w:rPr>
          <w:rtl/>
        </w:rPr>
        <w:t>לסלוצק</w:t>
      </w:r>
      <w:proofErr w:type="spellEnd"/>
      <w:r>
        <w:rPr>
          <w:rtl/>
        </w:rPr>
        <w:t xml:space="preserve">, אצל ר׳ </w:t>
      </w:r>
      <w:proofErr w:type="spellStart"/>
      <w:r>
        <w:rPr>
          <w:rtl/>
        </w:rPr>
        <w:t>איסר־זלמן</w:t>
      </w:r>
      <w:proofErr w:type="spellEnd"/>
      <w:r>
        <w:rPr>
          <w:rtl/>
        </w:rPr>
        <w:t xml:space="preserve">, ושם נמנה עם קבוצת המייסדים; </w:t>
      </w:r>
      <w:proofErr w:type="spellStart"/>
      <w:r>
        <w:rPr>
          <w:rtl/>
        </w:rPr>
        <w:t>להלוסק</w:t>
      </w:r>
      <w:proofErr w:type="spellEnd"/>
      <w:r>
        <w:rPr>
          <w:rtl/>
        </w:rPr>
        <w:t xml:space="preserve">, אצל ר׳ </w:t>
      </w:r>
      <w:proofErr w:type="spellStart"/>
      <w:r>
        <w:rPr>
          <w:rtl/>
        </w:rPr>
        <w:t>ברוך־בער</w:t>
      </w:r>
      <w:proofErr w:type="spellEnd"/>
      <w:r>
        <w:rPr>
          <w:rtl/>
        </w:rPr>
        <w:t xml:space="preserve">; </w:t>
      </w:r>
      <w:proofErr w:type="spellStart"/>
      <w:r>
        <w:rPr>
          <w:rtl/>
        </w:rPr>
        <w:t>ולראדין</w:t>
      </w:r>
      <w:proofErr w:type="spellEnd"/>
      <w:r>
        <w:rPr>
          <w:rtl/>
        </w:rPr>
        <w:t xml:space="preserve">, לכולל קודשים של החפץ חיים. כץ, “תנועת </w:t>
      </w:r>
      <w:r>
        <w:rPr>
          <w:rtl/>
        </w:rPr>
        <w:lastRenderedPageBreak/>
        <w:t>המוסר”, כרך ה</w:t>
      </w:r>
      <w:bookmarkStart w:id="4520" w:name="_fnr3354"/>
      <w:r>
        <w:rPr>
          <w:vertAlign w:val="superscript"/>
          <w:rtl/>
        </w:rPr>
        <w:footnoteReference w:id="3363" w:customMarkFollows="0"/>
      </w:r>
      <w:bookmarkEnd w:id="4520"/>
      <w:r>
        <w:rPr>
          <w:rtl/>
        </w:rPr>
        <w:t xml:space="preserve">, קובע: “בעולם הישיבות היה זה מובן מאליו שכל מי שרצה להתקדם בחריפות ובהבנה יסודית בתורה חייב היה ללכת </w:t>
      </w:r>
      <w:proofErr w:type="spellStart"/>
      <w:r>
        <w:rPr>
          <w:rtl/>
        </w:rPr>
        <w:t>לטלז</w:t>
      </w:r>
      <w:proofErr w:type="spellEnd"/>
      <w:r>
        <w:rPr>
          <w:rtl/>
        </w:rPr>
        <w:t>”</w:t>
      </w:r>
      <w:bookmarkStart w:id="4521" w:name="_fnr3355"/>
      <w:r>
        <w:rPr>
          <w:vertAlign w:val="superscript"/>
          <w:rtl/>
        </w:rPr>
        <w:footnoteReference w:id="3364" w:customMarkFollows="0"/>
      </w:r>
      <w:bookmarkEnd w:id="4521"/>
      <w:r>
        <w:rPr>
          <w:rtl/>
        </w:rPr>
        <w:t>.</w:t>
      </w:r>
    </w:p>
    <w:p w14:paraId="60FA35C8" w14:textId="2F8396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 לייזר ניחן במרץ עצום. אף שהיה שקוע כל כולו בלימוד ההלכה ובחידושיה, הצליח למלא בנאמנות את תפקידיו הרבניים בעירו, שהוקירה אותו</w:t>
      </w:r>
      <w:bookmarkStart w:id="4522" w:name="b4_text101"/>
      <w:bookmarkEnd w:id="4522"/>
      <w:r>
        <w:rPr>
          <w:sz w:val="18"/>
          <w:szCs w:val="18"/>
          <w:vertAlign w:val="superscript"/>
          <w:rtl/>
        </w:rPr>
        <w:fldChar w:fldCharType="begin" w:dirty="true"/>
      </w:r>
      <w:r>
        <w:rPr>
          <w:sz w:val="18"/>
          <w:szCs w:val="18"/>
          <w:vertAlign w:val="superscript"/>
          <w:rtl/>
        </w:rPr>
        <w:instrText xml:space="preserve"> REF b4_note101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101</w:t>
      </w:r>
      <w:r>
        <w:rPr>
          <w:sz w:val="18"/>
          <w:szCs w:val="18"/>
          <w:vertAlign w:val="superscript"/>
          <w:rtl/>
        </w:rPr>
        <w:fldChar w:fldCharType="end"/>
      </w:r>
      <w:r>
        <w:rPr>
          <w:rtl/>
        </w:rPr>
        <w:t xml:space="preserve">, </w:t>
      </w:r>
      <w:proofErr w:type="spellStart"/>
      <w:r>
        <w:rPr>
          <w:rtl/>
        </w:rPr>
        <w:t>וכשנזדמנה</w:t>
      </w:r>
      <w:proofErr w:type="spellEnd"/>
      <w:r>
        <w:rPr>
          <w:rtl/>
        </w:rPr>
        <w:t xml:space="preserve"> לו האפשרות שירת גם את כלל ישראל</w:t>
      </w:r>
      <w:bookmarkStart w:id="4523" w:name="b4_text102"/>
      <w:bookmarkEnd w:id="4523"/>
      <w:r>
        <w:rPr>
          <w:sz w:val="18"/>
          <w:szCs w:val="18"/>
          <w:vertAlign w:val="superscript"/>
          <w:rtl/>
        </w:rPr>
        <w:fldChar w:fldCharType="begin" w:dirty="true"/>
      </w:r>
      <w:r>
        <w:rPr>
          <w:sz w:val="18"/>
          <w:szCs w:val="18"/>
          <w:vertAlign w:val="superscript"/>
          <w:rtl/>
        </w:rPr>
        <w:instrText xml:space="preserve"> REF b4_note102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102</w:t>
      </w:r>
      <w:r>
        <w:rPr>
          <w:sz w:val="18"/>
          <w:szCs w:val="18"/>
          <w:vertAlign w:val="superscript"/>
          <w:rtl/>
        </w:rPr>
        <w:fldChar w:fldCharType="end"/>
      </w:r>
      <w:r>
        <w:rPr>
          <w:rtl/>
        </w:rPr>
        <w:t>. אבל שום פעילות לא הסיחה אותו מעולם מתשוקתו העיקרית: מסירת שיעורים ודיון בסוגיות הלכתיות עם תלמידים. אהבתו ללומדי תורה הייתה ללא גבול</w:t>
      </w:r>
      <w:bookmarkStart w:id="4524" w:name="b4_text103"/>
      <w:bookmarkEnd w:id="4524"/>
      <w:r>
        <w:rPr>
          <w:sz w:val="18"/>
          <w:szCs w:val="18"/>
          <w:vertAlign w:val="superscript"/>
          <w:rtl/>
        </w:rPr>
        <w:fldChar w:fldCharType="begin" w:dirty="true"/>
      </w:r>
      <w:r>
        <w:rPr>
          <w:sz w:val="18"/>
          <w:szCs w:val="18"/>
          <w:vertAlign w:val="superscript"/>
          <w:rtl/>
        </w:rPr>
        <w:instrText xml:space="preserve"> REF b4_note103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103</w:t>
      </w:r>
      <w:r>
        <w:rPr>
          <w:sz w:val="18"/>
          <w:szCs w:val="18"/>
          <w:vertAlign w:val="superscript"/>
          <w:rtl/>
        </w:rPr>
        <w:fldChar w:fldCharType="end"/>
      </w:r>
      <w:r>
        <w:rPr>
          <w:rtl/>
        </w:rPr>
        <w:t>, והאהבה הייתה הדדית: הוא נחשב לראש הישיבה האהוב ביותר בליטא</w:t>
      </w:r>
      <w:bookmarkStart w:id="4525" w:name="b4_text104"/>
      <w:bookmarkEnd w:id="4525"/>
      <w:r>
        <w:rPr>
          <w:sz w:val="18"/>
          <w:szCs w:val="18"/>
          <w:vertAlign w:val="superscript"/>
          <w:rtl/>
        </w:rPr>
        <w:fldChar w:fldCharType="begin" w:dirty="true"/>
      </w:r>
      <w:r>
        <w:rPr>
          <w:sz w:val="18"/>
          <w:szCs w:val="18"/>
          <w:vertAlign w:val="superscript"/>
          <w:rtl/>
        </w:rPr>
        <w:instrText xml:space="preserve"> REF b4_note104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104</w:t>
      </w:r>
      <w:r>
        <w:rPr>
          <w:sz w:val="18"/>
          <w:szCs w:val="18"/>
          <w:vertAlign w:val="superscript"/>
          <w:rtl/>
        </w:rPr>
        <w:fldChar w:fldCharType="end"/>
      </w:r>
      <w:r>
        <w:rPr>
          <w:rtl/>
        </w:rPr>
        <w:t>.</w:t>
      </w:r>
    </w:p>
    <w:bookmarkStart w:id="4526" w:name="b4_note101"/>
    <w:p w14:paraId="79EE239A" w14:textId="77777777" w:rsidR="00AB3647" w:rsidRDefault="00000000" w:rsidP="007923E9">
      <w:pPr>
        <w:spacing w:before="120" w:after="100" w:line="276" w:lineRule="auto"/>
        <w:jc w:val="both"/>
      </w:pPr>
      <w:r>
        <w:fldChar w:fldCharType="begin" w:dirty="true"/>
      </w:r>
      <w:r>
        <w:instrText>HYPERLINK \l "b4_text101" \h</w:instrText>
      </w:r>
      <w:r>
        <w:fldChar w:fldCharType="separate"/>
      </w:r>
      <w:r>
        <w:rPr>
          <w:b/>
          <w:bCs/>
          <w:rtl/>
        </w:rPr>
        <w:t>101</w:t>
      </w:r>
      <w:r>
        <w:rPr>
          <w:b/>
          <w:bCs/>
        </w:rPr>
        <w:fldChar w:fldCharType="end"/>
      </w:r>
      <w:bookmarkEnd w:id="4526"/>
      <w:r>
        <w:rPr>
          <w:rtl/>
        </w:rPr>
        <w:t xml:space="preserve"> יעקב מארק</w:t>
      </w:r>
      <w:bookmarkStart w:id="4527" w:name="_fnr3356"/>
      <w:r>
        <w:rPr>
          <w:vertAlign w:val="superscript"/>
          <w:rtl/>
        </w:rPr>
        <w:footnoteReference w:id="3365" w:customMarkFollows="0"/>
      </w:r>
      <w:bookmarkEnd w:id="4527"/>
      <w:r>
        <w:rPr>
          <w:rtl/>
        </w:rPr>
        <w:t xml:space="preserve"> מכנה אותו “הראשון מן הטיפוס החדש של רב שהופיע בדור האחרון</w:t>
      </w:r>
      <w:bookmarkStart w:id="4528" w:name="_fnr3357"/>
      <w:r>
        <w:rPr>
          <w:vertAlign w:val="superscript"/>
          <w:rtl/>
        </w:rPr>
        <w:footnoteReference w:id="3366" w:customMarkFollows="0"/>
      </w:r>
      <w:bookmarkEnd w:id="4528"/>
      <w:r>
        <w:rPr>
          <w:rtl/>
        </w:rPr>
        <w:t xml:space="preserve"> ברוסיה. רבנים אלה היו בעלי ידע בענייני העולם, קיבלו על עצמם שירות ציבורי והוציאו את הנהגת הקהילה מידי בעלי שררה בורים, עד שכעבור זמן חדלו אנשים לראות ברבנים ‘בטלנים קדושים’”.</w:t>
      </w:r>
    </w:p>
    <w:p w14:paraId="3FD8C501" w14:textId="77777777" w:rsidR="00AB3647" w:rsidRDefault="00000000" w:rsidP="007923E9">
      <w:pPr>
        <w:spacing w:before="120" w:after="100" w:line="276" w:lineRule="auto"/>
        <w:jc w:val="both"/>
      </w:pPr>
      <w:r>
        <w:rPr>
          <w:rtl/>
        </w:rPr>
        <w:t>על ר׳ לייזר גורדון מצוין שם</w:t>
      </w:r>
      <w:bookmarkStart w:id="4529" w:name="_fnr3358"/>
      <w:r>
        <w:rPr>
          <w:vertAlign w:val="superscript"/>
          <w:rtl/>
        </w:rPr>
        <w:footnoteReference w:id="3367" w:customMarkFollows="0"/>
      </w:r>
      <w:bookmarkEnd w:id="4529"/>
      <w:r>
        <w:rPr>
          <w:rtl/>
        </w:rPr>
        <w:t xml:space="preserve">: “דבר לא נעשה </w:t>
      </w:r>
      <w:proofErr w:type="spellStart"/>
      <w:r>
        <w:rPr>
          <w:rtl/>
        </w:rPr>
        <w:t>בטלז</w:t>
      </w:r>
      <w:proofErr w:type="spellEnd"/>
      <w:r>
        <w:rPr>
          <w:rtl/>
        </w:rPr>
        <w:t xml:space="preserve"> בלי ידיעתו ואישורו של ר׳ לייזר. למשל, לא הייתה בעיר שרפה שלא נכח בה והורה לכבאים כיצד לפעול. ביתו היה מלא תמיד אנשים שבאו לבקש עצה, בייחוד בעניינים הנוגעים לחוק הרוסי. בין ספרי הקודש שעל שולחנו היה מונח </w:t>
      </w:r>
      <w:proofErr w:type="spellStart"/>
      <w:r>
        <w:rPr>
          <w:rtl/>
        </w:rPr>
        <w:t>הסְבוֹד</w:t>
      </w:r>
      <w:proofErr w:type="spellEnd"/>
      <w:r>
        <w:rPr>
          <w:rtl/>
        </w:rPr>
        <w:t xml:space="preserve"> </w:t>
      </w:r>
      <w:proofErr w:type="spellStart"/>
      <w:r>
        <w:rPr>
          <w:rtl/>
        </w:rPr>
        <w:t>זאקוֹן</w:t>
      </w:r>
      <w:proofErr w:type="spellEnd"/>
      <w:r>
        <w:rPr>
          <w:rtl/>
        </w:rPr>
        <w:t xml:space="preserve"> הרוסי (קובץ החוקים), ובו היה בקי אולי יותר מכל עורך דין”. בשלהי שנות השישים לחייו טיפח רעיון “מודרני” מעניין: להדפיס “ספר הישיבה”, שיכלול את תולדות ראשי הישיבה ובוגרי </w:t>
      </w:r>
      <w:proofErr w:type="spellStart"/>
      <w:r>
        <w:rPr>
          <w:rtl/>
        </w:rPr>
        <w:t>טלז</w:t>
      </w:r>
      <w:bookmarkStart w:id="4530" w:name="_fnr3359"/>
      <w:proofErr w:type="spellEnd"/>
      <w:r>
        <w:rPr>
          <w:vertAlign w:val="superscript"/>
          <w:rtl/>
        </w:rPr>
        <w:footnoteReference w:id="3368" w:customMarkFollows="0"/>
      </w:r>
      <w:bookmarkEnd w:id="4530"/>
      <w:r>
        <w:rPr>
          <w:rtl/>
        </w:rPr>
        <w:t>. מותו סיכל תוכנית זו. השווה גם ההערה הבאה.</w:t>
      </w:r>
    </w:p>
    <w:bookmarkStart w:id="4531" w:name="b4_note102"/>
    <w:p w14:paraId="7A0A8D27" w14:textId="77777777" w:rsidR="00AB3647" w:rsidRDefault="00000000" w:rsidP="007923E9">
      <w:pPr>
        <w:spacing w:before="120" w:after="100" w:line="276" w:lineRule="auto"/>
        <w:jc w:val="both"/>
      </w:pPr>
      <w:r>
        <w:fldChar w:fldCharType="begin" w:dirty="true"/>
      </w:r>
      <w:r>
        <w:instrText>HYPERLINK \l "b4_text102" \h</w:instrText>
      </w:r>
      <w:r>
        <w:fldChar w:fldCharType="separate"/>
      </w:r>
      <w:r>
        <w:rPr>
          <w:b/>
          <w:bCs/>
          <w:rtl/>
        </w:rPr>
        <w:t>102</w:t>
      </w:r>
      <w:r>
        <w:rPr>
          <w:b/>
          <w:bCs/>
        </w:rPr>
        <w:fldChar w:fldCharType="end"/>
      </w:r>
      <w:bookmarkEnd w:id="4531"/>
      <w:r>
        <w:rPr>
          <w:rtl/>
        </w:rPr>
        <w:t xml:space="preserve"> יעקב מארק</w:t>
      </w:r>
      <w:bookmarkStart w:id="4532" w:name="_fnr3360"/>
      <w:r>
        <w:rPr>
          <w:vertAlign w:val="superscript"/>
          <w:rtl/>
        </w:rPr>
        <w:footnoteReference w:id="3369" w:customMarkFollows="0"/>
      </w:r>
      <w:bookmarkEnd w:id="4532"/>
      <w:r>
        <w:rPr>
          <w:rtl/>
        </w:rPr>
        <w:t xml:space="preserve"> אומר: “ר׳ לייזר שילב את מעלות הרב מן הסוג הישן והמודרני. מצד אחד היה גאון וצדיק גדול, ומצד שני איש מלא מרץ וחיים, חכם מחוכם בענייני העולם, ומן הפעילים הציבוריים הפוריים ביותר בזמנו”. להלן רשימה כרונולוגית של פעולותיו הציבוריות הידועות ביותר</w:t>
      </w:r>
      <w:bookmarkStart w:id="4533" w:name="_fnr3361"/>
      <w:r>
        <w:rPr>
          <w:vertAlign w:val="superscript"/>
          <w:rtl/>
        </w:rPr>
        <w:footnoteReference w:id="3370" w:customMarkFollows="0"/>
      </w:r>
      <w:bookmarkEnd w:id="4533"/>
      <w:r>
        <w:rPr>
          <w:rtl/>
        </w:rPr>
        <w:t xml:space="preserve">. בשנת תר״ל, עוד לפני כהונתו הראשונה ברבנות, פעל יחד עם ר׳ </w:t>
      </w:r>
      <w:proofErr w:type="spellStart"/>
      <w:r>
        <w:rPr>
          <w:rtl/>
        </w:rPr>
        <w:t>אלכסנדר־משה</w:t>
      </w:r>
      <w:proofErr w:type="spellEnd"/>
      <w:r>
        <w:rPr>
          <w:rtl/>
        </w:rPr>
        <w:t xml:space="preserve"> לפידות</w:t>
      </w:r>
      <w:bookmarkStart w:id="4534" w:name="_fnr3362"/>
      <w:r>
        <w:rPr>
          <w:vertAlign w:val="superscript"/>
          <w:rtl/>
        </w:rPr>
        <w:footnoteReference w:id="3371" w:customMarkFollows="0"/>
      </w:r>
      <w:bookmarkEnd w:id="4534"/>
      <w:r>
        <w:rPr>
          <w:rtl/>
        </w:rPr>
        <w:t xml:space="preserve"> להפוך את “הלבנון”, אחד מכתבי העת העבריים של התקופה, לשופרה של </w:t>
      </w:r>
      <w:r>
        <w:rPr>
          <w:rtl/>
        </w:rPr>
        <w:lastRenderedPageBreak/>
        <w:t>יהדות רוסיה הדתית, כמשקל נגד לכתבי העת שקידמו את ההשכלה</w:t>
      </w:r>
      <w:bookmarkStart w:id="4535" w:name="_fnr3363"/>
      <w:r>
        <w:rPr>
          <w:vertAlign w:val="superscript"/>
          <w:rtl/>
        </w:rPr>
        <w:footnoteReference w:id="3372" w:customMarkFollows="0"/>
      </w:r>
      <w:bookmarkEnd w:id="4535"/>
      <w:r>
        <w:rPr>
          <w:rtl/>
        </w:rPr>
        <w:t xml:space="preserve">: “הכרמל”, “המגיד” </w:t>
      </w:r>
      <w:proofErr w:type="spellStart"/>
      <w:r>
        <w:rPr>
          <w:rtl/>
        </w:rPr>
        <w:t>ו“המליץ</w:t>
      </w:r>
      <w:proofErr w:type="spellEnd"/>
      <w:r>
        <w:rPr>
          <w:rtl/>
        </w:rPr>
        <w:t xml:space="preserve">”. שלוש שנים לאחר מכן השתתף, שוב עם ר׳ </w:t>
      </w:r>
      <w:proofErr w:type="spellStart"/>
      <w:r>
        <w:rPr>
          <w:rtl/>
        </w:rPr>
        <w:t>אלכסנדר־משה</w:t>
      </w:r>
      <w:proofErr w:type="spellEnd"/>
      <w:r>
        <w:rPr>
          <w:rtl/>
        </w:rPr>
        <w:t xml:space="preserve"> לפידות (ועם גדולי תורה אחרים), בהנהגת המאבק בגזרת ממשלה שנועדה לחייב את מלמדי החדרים להשיג תעודות בלימודי חול</w:t>
      </w:r>
      <w:bookmarkStart w:id="4536" w:name="_fnr3364"/>
      <w:r>
        <w:rPr>
          <w:vertAlign w:val="superscript"/>
          <w:rtl/>
        </w:rPr>
        <w:footnoteReference w:id="3373" w:customMarkFollows="0"/>
      </w:r>
      <w:bookmarkEnd w:id="4536"/>
      <w:r>
        <w:rPr>
          <w:rtl/>
        </w:rPr>
        <w:t>.</w:t>
      </w:r>
    </w:p>
    <w:p w14:paraId="01D6108D" w14:textId="77777777" w:rsidR="00AB3647" w:rsidRDefault="00000000" w:rsidP="007923E9">
      <w:pPr>
        <w:spacing w:before="120" w:after="100" w:line="276" w:lineRule="auto"/>
        <w:jc w:val="both"/>
      </w:pPr>
      <w:proofErr w:type="spellStart"/>
      <w:r>
        <w:rPr>
          <w:rtl/>
        </w:rPr>
        <w:t>בתרמ״ב</w:t>
      </w:r>
      <w:proofErr w:type="spellEnd"/>
      <w:r>
        <w:rPr>
          <w:rtl/>
        </w:rPr>
        <w:t xml:space="preserve"> היה מראשי הניסיון להושיב בפטרבורג דרך קבע אישים דתיים בעלי השפעה, שיעקבו אחר פעולות הממשלה בענייני היהודים</w:t>
      </w:r>
      <w:bookmarkStart w:id="4537" w:name="_fnr3365"/>
      <w:r>
        <w:rPr>
          <w:vertAlign w:val="superscript"/>
          <w:rtl/>
        </w:rPr>
        <w:footnoteReference w:id="3374" w:customMarkFollows="0"/>
      </w:r>
      <w:bookmarkEnd w:id="4537"/>
      <w:r>
        <w:rPr>
          <w:rtl/>
        </w:rPr>
        <w:t xml:space="preserve">. החל בסביבות תרנ״א ניסה לעניין סופרים אורתודוקסים בפרסום ספרות יפה ברוח דתית, </w:t>
      </w:r>
      <w:proofErr w:type="spellStart"/>
      <w:r>
        <w:rPr>
          <w:rtl/>
        </w:rPr>
        <w:t>ובתרנ״ט</w:t>
      </w:r>
      <w:proofErr w:type="spellEnd"/>
      <w:r>
        <w:rPr>
          <w:rtl/>
        </w:rPr>
        <w:t xml:space="preserve"> פרסם למטרה זו קריאה לציבור, יחד עם ר׳ </w:t>
      </w:r>
      <w:proofErr w:type="spellStart"/>
      <w:r>
        <w:rPr>
          <w:rtl/>
        </w:rPr>
        <w:t>מאיר־שמחה</w:t>
      </w:r>
      <w:proofErr w:type="spellEnd"/>
      <w:r>
        <w:rPr>
          <w:rtl/>
        </w:rPr>
        <w:t xml:space="preserve"> כהן,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האדר״ת</w:t>
      </w:r>
      <w:bookmarkStart w:id="4538" w:name="_fnr3366"/>
      <w:proofErr w:type="spellEnd"/>
      <w:r>
        <w:rPr>
          <w:vertAlign w:val="superscript"/>
          <w:rtl/>
        </w:rPr>
        <w:footnoteReference w:id="3375" w:customMarkFollows="0"/>
      </w:r>
      <w:bookmarkEnd w:id="4538"/>
      <w:r>
        <w:rPr>
          <w:rtl/>
        </w:rPr>
        <w:t xml:space="preserve"> וחתנו ר׳ </w:t>
      </w:r>
      <w:proofErr w:type="spellStart"/>
      <w:r>
        <w:rPr>
          <w:rtl/>
        </w:rPr>
        <w:t>אברהם־יצחק</w:t>
      </w:r>
      <w:proofErr w:type="spellEnd"/>
      <w:r>
        <w:rPr>
          <w:rtl/>
        </w:rPr>
        <w:t xml:space="preserve"> קוק</w:t>
      </w:r>
      <w:bookmarkStart w:id="4539" w:name="_fnr3367"/>
      <w:r>
        <w:rPr>
          <w:vertAlign w:val="superscript"/>
          <w:rtl/>
        </w:rPr>
        <w:footnoteReference w:id="3376" w:customMarkFollows="0"/>
      </w:r>
      <w:bookmarkEnd w:id="4539"/>
      <w:r>
        <w:rPr>
          <w:rtl/>
        </w:rPr>
        <w:t xml:space="preserve">. </w:t>
      </w:r>
      <w:proofErr w:type="spellStart"/>
      <w:r>
        <w:rPr>
          <w:rtl/>
        </w:rPr>
        <w:t>בתרס״א</w:t>
      </w:r>
      <w:proofErr w:type="spellEnd"/>
      <w:r>
        <w:rPr>
          <w:rtl/>
        </w:rPr>
        <w:t xml:space="preserve"> הקים ר׳ לייזר גורדון יחד עם ר׳ </w:t>
      </w:r>
      <w:proofErr w:type="spellStart"/>
      <w:r>
        <w:rPr>
          <w:rtl/>
        </w:rPr>
        <w:t>חיים־עוזר</w:t>
      </w:r>
      <w:proofErr w:type="spellEnd"/>
      <w:r>
        <w:rPr>
          <w:rtl/>
        </w:rPr>
        <w:t xml:space="preserve"> </w:t>
      </w:r>
      <w:proofErr w:type="spellStart"/>
      <w:r>
        <w:rPr>
          <w:rtl/>
        </w:rPr>
        <w:t>גרודזנסקי</w:t>
      </w:r>
      <w:bookmarkStart w:id="4540" w:name="_fnr3368"/>
      <w:proofErr w:type="spellEnd"/>
      <w:r>
        <w:rPr>
          <w:vertAlign w:val="superscript"/>
          <w:rtl/>
        </w:rPr>
        <w:footnoteReference w:id="3377" w:customMarkFollows="0"/>
      </w:r>
      <w:bookmarkEnd w:id="4540"/>
      <w:r>
        <w:rPr>
          <w:rtl/>
        </w:rPr>
        <w:t xml:space="preserve"> את ארגון “מחזיקי הדת”. </w:t>
      </w:r>
      <w:proofErr w:type="spellStart"/>
      <w:r>
        <w:rPr>
          <w:rtl/>
        </w:rPr>
        <w:t>בתרס״ז</w:t>
      </w:r>
      <w:proofErr w:type="spellEnd"/>
      <w:r>
        <w:rPr>
          <w:rtl/>
        </w:rPr>
        <w:t xml:space="preserve"> ייסד את “כנסת ישראל” (מבשרת אגודת ישראל), יחד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w:t>
      </w:r>
      <w:proofErr w:type="spellStart"/>
      <w:r>
        <w:rPr>
          <w:rtl/>
        </w:rPr>
        <w:t>דוד׳ל</w:t>
      </w:r>
      <w:proofErr w:type="spellEnd"/>
      <w:r>
        <w:rPr>
          <w:rtl/>
        </w:rPr>
        <w:t xml:space="preserve"> </w:t>
      </w:r>
      <w:proofErr w:type="spellStart"/>
      <w:r>
        <w:rPr>
          <w:rtl/>
        </w:rPr>
        <w:t>מקרלין</w:t>
      </w:r>
      <w:proofErr w:type="spellEnd"/>
      <w:r>
        <w:rPr>
          <w:rtl/>
        </w:rPr>
        <w:t xml:space="preserve"> ור׳ חיים </w:t>
      </w:r>
      <w:proofErr w:type="spellStart"/>
      <w:r>
        <w:rPr>
          <w:rtl/>
        </w:rPr>
        <w:t>סולובייצ׳יק</w:t>
      </w:r>
      <w:proofErr w:type="spellEnd"/>
      <w:r>
        <w:rPr>
          <w:rtl/>
        </w:rPr>
        <w:t xml:space="preserve">; והשתתף בכינוסים שבאו בעקבות זאת </w:t>
      </w:r>
      <w:proofErr w:type="spellStart"/>
      <w:r>
        <w:rPr>
          <w:rtl/>
        </w:rPr>
        <w:t>בבאד</w:t>
      </w:r>
      <w:proofErr w:type="spellEnd"/>
      <w:r>
        <w:rPr>
          <w:rtl/>
        </w:rPr>
        <w:t xml:space="preserve"> </w:t>
      </w:r>
      <w:proofErr w:type="spellStart"/>
      <w:r>
        <w:rPr>
          <w:rtl/>
        </w:rPr>
        <w:t>הומבורג</w:t>
      </w:r>
      <w:proofErr w:type="spellEnd"/>
      <w:r>
        <w:rPr>
          <w:rtl/>
        </w:rPr>
        <w:t xml:space="preserve">, שכינס ר׳ </w:t>
      </w:r>
      <w:proofErr w:type="spellStart"/>
      <w:r>
        <w:rPr>
          <w:rtl/>
        </w:rPr>
        <w:t>יצחק־אייזיק</w:t>
      </w:r>
      <w:proofErr w:type="spellEnd"/>
      <w:r>
        <w:rPr>
          <w:rtl/>
        </w:rPr>
        <w:t xml:space="preserve"> הלוי בקיץ תרס״ט</w:t>
      </w:r>
      <w:bookmarkStart w:id="4541" w:name="_fnr3369"/>
      <w:r>
        <w:rPr>
          <w:vertAlign w:val="superscript"/>
          <w:rtl/>
        </w:rPr>
        <w:footnoteReference w:id="3378" w:customMarkFollows="0"/>
      </w:r>
      <w:bookmarkEnd w:id="4541"/>
      <w:r>
        <w:rPr>
          <w:rtl/>
        </w:rPr>
        <w:t>.</w:t>
      </w:r>
    </w:p>
    <w:p w14:paraId="0C459C9C" w14:textId="77777777" w:rsidR="00AB3647" w:rsidRDefault="00000000" w:rsidP="007923E9">
      <w:pPr>
        <w:spacing w:after="120" w:line="276" w:lineRule="auto"/>
        <w:jc w:val="both"/>
      </w:pPr>
      <w:r>
        <w:rPr>
          <w:rtl/>
        </w:rPr>
        <w:t>השווה גם הקדמת “</w:t>
      </w:r>
      <w:proofErr w:type="spellStart"/>
      <w:r>
        <w:rPr>
          <w:rtl/>
        </w:rPr>
        <w:t>אהלי</w:t>
      </w:r>
      <w:proofErr w:type="spellEnd"/>
      <w:r>
        <w:rPr>
          <w:rtl/>
        </w:rPr>
        <w:t xml:space="preserve"> שם”</w:t>
      </w:r>
      <w:bookmarkStart w:id="4542" w:name="_fnr3370"/>
      <w:r>
        <w:rPr>
          <w:vertAlign w:val="superscript"/>
          <w:rtl/>
        </w:rPr>
        <w:footnoteReference w:id="3379" w:customMarkFollows="0"/>
      </w:r>
      <w:bookmarkEnd w:id="4542"/>
      <w:r>
        <w:rPr>
          <w:rtl/>
        </w:rPr>
        <w:t xml:space="preserve">, כרך שיצא לאור </w:t>
      </w:r>
      <w:proofErr w:type="spellStart"/>
      <w:r>
        <w:rPr>
          <w:rtl/>
        </w:rPr>
        <w:t>בתרע״ב</w:t>
      </w:r>
      <w:proofErr w:type="spellEnd"/>
      <w:r>
        <w:rPr>
          <w:rtl/>
        </w:rPr>
        <w:t>, אחרי פטירת ר׳ לייזר, ובו שמותיהם וכתובותיהם של כל הרבנים האורתודוקסים בעולם (!), עם תולדות קצרות של כל רב. הספר היה ניסיון ראשוני לארגן גוף עולמי של רבנים כמשקל נגד לבעלי הבתים הבורים והרחוקים מן הדת, שנטלו לעצמם – כפי שהספר מתאר בהרחבה – את הנהגת היהדות. סביר שהגוף הרבני המתוכנן היה קם בהצלחה אלמלא פרצה מלחמת העולם.</w:t>
      </w:r>
    </w:p>
    <w:p w14:paraId="6595C6AB" w14:textId="77777777" w:rsidR="00AB3647" w:rsidRDefault="00000000" w:rsidP="007923E9">
      <w:pPr>
        <w:spacing w:after="120" w:line="276" w:lineRule="auto"/>
        <w:jc w:val="both"/>
      </w:pPr>
      <w:r>
        <w:rPr>
          <w:rtl/>
        </w:rPr>
        <w:t>בהקדמת “</w:t>
      </w:r>
      <w:proofErr w:type="spellStart"/>
      <w:r>
        <w:rPr>
          <w:rtl/>
        </w:rPr>
        <w:t>אהלי</w:t>
      </w:r>
      <w:proofErr w:type="spellEnd"/>
      <w:r>
        <w:rPr>
          <w:rtl/>
        </w:rPr>
        <w:t xml:space="preserve"> שם” מסופר</w:t>
      </w:r>
      <w:bookmarkStart w:id="4543" w:name="_fnr3371"/>
      <w:r>
        <w:rPr>
          <w:vertAlign w:val="superscript"/>
          <w:rtl/>
        </w:rPr>
        <w:footnoteReference w:id="3380" w:customMarkFollows="0"/>
      </w:r>
      <w:bookmarkEnd w:id="4543"/>
      <w:r>
        <w:rPr>
          <w:rtl/>
        </w:rPr>
        <w:t>: “הראשון שהתעורר לחשיבותו של ספר מסוג זה היה הגאון והעסקן הדגול... ר׳ לייזר גורדון</w:t>
      </w:r>
      <w:bookmarkStart w:id="4544" w:name="_fnr3372"/>
      <w:r>
        <w:rPr>
          <w:vertAlign w:val="superscript"/>
          <w:rtl/>
        </w:rPr>
        <w:footnoteReference w:id="3381" w:customMarkFollows="0"/>
      </w:r>
      <w:bookmarkEnd w:id="4544"/>
      <w:r>
        <w:rPr>
          <w:rtl/>
        </w:rPr>
        <w:t xml:space="preserve">, אשר למרות טרדותיו העצומות התחיל בעצמו לאסוף כתובות של רבנים ברוסיה ובפולין, ופעמים רבות עודד אותי לקבל עליי את חיבור הספר הזה... </w:t>
      </w:r>
      <w:proofErr w:type="spellStart"/>
      <w:r>
        <w:rPr>
          <w:rtl/>
        </w:rPr>
        <w:t>בתר״ע</w:t>
      </w:r>
      <w:proofErr w:type="spellEnd"/>
      <w:r>
        <w:rPr>
          <w:rtl/>
        </w:rPr>
        <w:t xml:space="preserve"> ניגשתי אני [</w:t>
      </w:r>
      <w:proofErr w:type="spellStart"/>
      <w:r>
        <w:rPr>
          <w:rtl/>
        </w:rPr>
        <w:t>שמואל־נח</w:t>
      </w:r>
      <w:proofErr w:type="spellEnd"/>
      <w:r>
        <w:rPr>
          <w:rtl/>
        </w:rPr>
        <w:t xml:space="preserve"> גוטליב] למלאכה הגדולה הזאת”.</w:t>
      </w:r>
    </w:p>
    <w:p w14:paraId="3DF36F38" w14:textId="77777777" w:rsidR="00AB3647" w:rsidRDefault="00000000" w:rsidP="007923E9">
      <w:pPr>
        <w:spacing w:after="120" w:line="276" w:lineRule="auto"/>
        <w:jc w:val="both"/>
      </w:pPr>
      <w:r>
        <w:rPr>
          <w:rtl/>
        </w:rPr>
        <w:t xml:space="preserve">“נצח ישראל”, שחיבר ר׳ </w:t>
      </w:r>
      <w:proofErr w:type="spellStart"/>
      <w:r>
        <w:rPr>
          <w:rtl/>
        </w:rPr>
        <w:t>אליהו־מאיר</w:t>
      </w:r>
      <w:proofErr w:type="spellEnd"/>
      <w:r>
        <w:rPr>
          <w:rtl/>
        </w:rPr>
        <w:t xml:space="preserve"> </w:t>
      </w:r>
      <w:proofErr w:type="spellStart"/>
      <w:r>
        <w:rPr>
          <w:rtl/>
        </w:rPr>
        <w:t>פייבלזון</w:t>
      </w:r>
      <w:proofErr w:type="spellEnd"/>
      <w:r>
        <w:rPr>
          <w:rtl/>
        </w:rPr>
        <w:t>, הוא ספר</w:t>
      </w:r>
      <w:bookmarkStart w:id="4545" w:name="_fnr3373"/>
      <w:r>
        <w:rPr>
          <w:vertAlign w:val="superscript"/>
          <w:rtl/>
        </w:rPr>
        <w:footnoteReference w:id="3382" w:customMarkFollows="0"/>
      </w:r>
      <w:bookmarkEnd w:id="4545"/>
      <w:r>
        <w:rPr>
          <w:rtl/>
        </w:rPr>
        <w:t xml:space="preserve"> המניח את היסוד הרעיוני לצורך באיחוד מאורגן של כל היהודים הדתיים, כפי שהוכרז בוועידת הייסוד של אגודת ישראל </w:t>
      </w:r>
      <w:proofErr w:type="spellStart"/>
      <w:r>
        <w:rPr>
          <w:rtl/>
        </w:rPr>
        <w:lastRenderedPageBreak/>
        <w:t>בקטוביץ</w:t>
      </w:r>
      <w:proofErr w:type="spellEnd"/>
      <w:r>
        <w:rPr>
          <w:rtl/>
        </w:rPr>
        <w:t xml:space="preserve"> שנתיים קודם לכן.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אומר</w:t>
      </w:r>
      <w:bookmarkStart w:id="4546" w:name="_fnr3374"/>
      <w:r>
        <w:rPr>
          <w:vertAlign w:val="superscript"/>
          <w:rtl/>
        </w:rPr>
        <w:footnoteReference w:id="3383" w:customMarkFollows="0"/>
      </w:r>
      <w:bookmarkEnd w:id="4546"/>
      <w:r>
        <w:rPr>
          <w:rtl/>
        </w:rPr>
        <w:t>: “אכן שר בישראל נפל ללא רוח חיים בלונדון</w:t>
      </w:r>
      <w:bookmarkStart w:id="4547" w:name="_fnr3375"/>
      <w:r>
        <w:rPr>
          <w:vertAlign w:val="superscript"/>
          <w:rtl/>
        </w:rPr>
        <w:footnoteReference w:id="3384" w:customMarkFollows="0"/>
      </w:r>
      <w:bookmarkEnd w:id="4547"/>
      <w:r>
        <w:rPr>
          <w:rtl/>
        </w:rPr>
        <w:t xml:space="preserve">. מצד אחד היה עמוד התורה... ומצד שני היה כמו שר; לבו הטהור היה ער לכל דבר בבית יעקב. בתקנות של רבנות – ר׳ לייזר [גורדון]! בשאלת העיתונות – ר׳ לייזר! בהקמת ‘כנסת ישראל’ – ר׳ לייזר! ועוד </w:t>
      </w:r>
      <w:proofErr w:type="spellStart"/>
      <w:r>
        <w:rPr>
          <w:rtl/>
        </w:rPr>
        <w:t>ועוד</w:t>
      </w:r>
      <w:proofErr w:type="spellEnd"/>
      <w:r>
        <w:rPr>
          <w:rtl/>
        </w:rPr>
        <w:t>”. מדברים אלה ברור שגם שלוש שנים וחצי אחרי פטירת ר׳ לייזר גורדון עדיין לא נמצא מי שימלא את מקומו בזירה הציבורית.</w:t>
      </w:r>
    </w:p>
    <w:bookmarkStart w:id="4548" w:name="b4_note103"/>
    <w:p w14:paraId="3EFE917C" w14:textId="77777777" w:rsidR="00AB3647" w:rsidRDefault="00000000" w:rsidP="007923E9">
      <w:pPr>
        <w:spacing w:before="120" w:after="100" w:line="276" w:lineRule="auto"/>
        <w:jc w:val="both"/>
      </w:pPr>
      <w:r>
        <w:fldChar w:fldCharType="begin" w:dirty="true"/>
      </w:r>
      <w:r>
        <w:instrText>HYPERLINK \l "b4_text103" \h</w:instrText>
      </w:r>
      <w:r>
        <w:fldChar w:fldCharType="separate"/>
      </w:r>
      <w:r>
        <w:rPr>
          <w:b/>
          <w:bCs/>
          <w:rtl/>
        </w:rPr>
        <w:t>103</w:t>
      </w:r>
      <w:r>
        <w:rPr>
          <w:b/>
          <w:bCs/>
        </w:rPr>
        <w:fldChar w:fldCharType="end"/>
      </w:r>
      <w:bookmarkEnd w:id="4548"/>
      <w:r>
        <w:rPr>
          <w:rtl/>
        </w:rPr>
        <w:t xml:space="preserve"> לפי כץ, “תנועת המוסר”, כרך ה</w:t>
      </w:r>
      <w:bookmarkStart w:id="4549" w:name="_fnr3376"/>
      <w:r>
        <w:rPr>
          <w:vertAlign w:val="superscript"/>
          <w:rtl/>
        </w:rPr>
        <w:footnoteReference w:id="3385" w:customMarkFollows="0"/>
      </w:r>
      <w:bookmarkEnd w:id="4549"/>
      <w:r>
        <w:rPr>
          <w:rtl/>
        </w:rPr>
        <w:t>, אהבתו לתורה הייתה גדולה כל כך, שכל תלמיד שהעלה הסבר חריף בגמרא זכה לחיבוק ולנשיקה מר׳ לייזר – אפילו מורד שהכול ידעו שהוא מורד, ואפילו בעיצומן של המרידות. כץ, “תנועת המוסר”, כרך ב</w:t>
      </w:r>
      <w:bookmarkStart w:id="4550" w:name="_fnr3377"/>
      <w:r>
        <w:rPr>
          <w:vertAlign w:val="superscript"/>
          <w:rtl/>
        </w:rPr>
        <w:footnoteReference w:id="3386" w:customMarkFollows="0"/>
      </w:r>
      <w:bookmarkEnd w:id="4550"/>
      <w:r>
        <w:rPr>
          <w:rtl/>
        </w:rPr>
        <w:t xml:space="preserve"> וכרך ה</w:t>
      </w:r>
      <w:bookmarkStart w:id="4551" w:name="_fnr3378"/>
      <w:r>
        <w:rPr>
          <w:vertAlign w:val="superscript"/>
          <w:rtl/>
        </w:rPr>
        <w:footnoteReference w:id="3387" w:customMarkFollows="0"/>
      </w:r>
      <w:bookmarkEnd w:id="4551"/>
      <w:r>
        <w:rPr>
          <w:rtl/>
        </w:rPr>
        <w:t xml:space="preserve">, מביא בשם ר׳ </w:t>
      </w:r>
      <w:proofErr w:type="spellStart"/>
      <w:r>
        <w:rPr>
          <w:rtl/>
        </w:rPr>
        <w:t>יוסף־שלמה</w:t>
      </w:r>
      <w:proofErr w:type="spellEnd"/>
      <w:r>
        <w:rPr>
          <w:rtl/>
        </w:rPr>
        <w:t xml:space="preserve"> </w:t>
      </w:r>
      <w:proofErr w:type="spellStart"/>
      <w:r>
        <w:rPr>
          <w:rtl/>
        </w:rPr>
        <w:t>כהנמן</w:t>
      </w:r>
      <w:proofErr w:type="spellEnd"/>
      <w:r>
        <w:rPr>
          <w:rtl/>
        </w:rPr>
        <w:t xml:space="preserve">, לימים הרב </w:t>
      </w:r>
      <w:proofErr w:type="spellStart"/>
      <w:r>
        <w:rPr>
          <w:rtl/>
        </w:rPr>
        <w:t>מפוניבז</w:t>
      </w:r>
      <w:proofErr w:type="spellEnd"/>
      <w:r>
        <w:rPr>
          <w:rtl/>
        </w:rPr>
        <w:t xml:space="preserve">׳ (שהצטרף לישיבת </w:t>
      </w:r>
      <w:proofErr w:type="spellStart"/>
      <w:r>
        <w:rPr>
          <w:rtl/>
        </w:rPr>
        <w:t>טלז</w:t>
      </w:r>
      <w:proofErr w:type="spellEnd"/>
      <w:r>
        <w:rPr>
          <w:rtl/>
        </w:rPr>
        <w:t xml:space="preserve"> </w:t>
      </w:r>
      <w:proofErr w:type="spellStart"/>
      <w:r>
        <w:rPr>
          <w:rtl/>
        </w:rPr>
        <w:t>בתרס״א</w:t>
      </w:r>
      <w:proofErr w:type="spellEnd"/>
      <w:r>
        <w:rPr>
          <w:rtl/>
        </w:rPr>
        <w:t>, לפי כץ, כרך ה</w:t>
      </w:r>
      <w:bookmarkStart w:id="4552" w:name="_fnr3379"/>
      <w:r>
        <w:rPr>
          <w:vertAlign w:val="superscript"/>
          <w:rtl/>
        </w:rPr>
        <w:footnoteReference w:id="3388" w:customMarkFollows="0"/>
      </w:r>
      <w:bookmarkEnd w:id="4552"/>
      <w:r>
        <w:rPr>
          <w:rtl/>
        </w:rPr>
        <w:t xml:space="preserve">), שכאשר נסגרה הישיבה נשארה קבוצת המורדים שלו באחד מבתי הכנסת </w:t>
      </w:r>
      <w:proofErr w:type="spellStart"/>
      <w:r>
        <w:rPr>
          <w:rtl/>
        </w:rPr>
        <w:t>בטלז</w:t>
      </w:r>
      <w:proofErr w:type="spellEnd"/>
      <w:r>
        <w:rPr>
          <w:rtl/>
        </w:rPr>
        <w:t xml:space="preserve">, וניסתה, בהצלחה מועטה, להסתדר בכוחות עצמה. לפי </w:t>
      </w:r>
      <w:proofErr w:type="spellStart"/>
      <w:r>
        <w:rPr>
          <w:rtl/>
        </w:rPr>
        <w:t>רבינר</w:t>
      </w:r>
      <w:proofErr w:type="spellEnd"/>
      <w:r>
        <w:rPr>
          <w:rtl/>
        </w:rPr>
        <w:t>, “הגאון רבי אליעזר גורדון”</w:t>
      </w:r>
      <w:bookmarkStart w:id="4553" w:name="_fnr3380"/>
      <w:r>
        <w:rPr>
          <w:vertAlign w:val="superscript"/>
          <w:rtl/>
        </w:rPr>
        <w:footnoteReference w:id="3389" w:customMarkFollows="0"/>
      </w:r>
      <w:bookmarkEnd w:id="455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שהיה זה </w:t>
      </w:r>
      <w:proofErr w:type="spellStart"/>
      <w:r>
        <w:rPr>
          <w:rtl/>
        </w:rPr>
        <w:t>קלויז</w:t>
      </w:r>
      <w:proofErr w:type="spellEnd"/>
      <w:r>
        <w:rPr>
          <w:rtl/>
        </w:rPr>
        <w:t xml:space="preserve"> היוונים היפה</w:t>
      </w:r>
      <w:bookmarkStart w:id="4554" w:name="_fnr3381"/>
      <w:r>
        <w:rPr>
          <w:vertAlign w:val="superscript"/>
          <w:rtl/>
        </w:rPr>
        <w:footnoteReference w:id="3390" w:customMarkFollows="0"/>
      </w:r>
      <w:bookmarkEnd w:id="4554"/>
      <w:r>
        <w:rPr>
          <w:rtl/>
        </w:rPr>
        <w:t>. לבסוף הקימו המורדים משלחת בראשותו, כדי לשאת ולתת עם ראש ישיבתם. כשהעירו חברי המשלחת כבדרך אגב:</w:t>
      </w:r>
    </w:p>
    <w:p w14:paraId="4720093B" w14:textId="77777777" w:rsidR="00AB3647" w:rsidRDefault="00000000" w:rsidP="007923E9">
      <w:pPr>
        <w:spacing w:after="120" w:line="276" w:lineRule="auto"/>
        <w:jc w:val="both"/>
      </w:pPr>
      <w:r>
        <w:rPr>
          <w:rtl/>
        </w:rPr>
        <w:t>“תלמידיכם רעבים, אבל הם יושבים ולומדים”, הזדעזע ר׳ לייזר כל כך עד שמסר להם 25 רובל, סכום גדול באותם ימים, לקניית לחם למתנגדים הידועים להנהלת הישיבה</w:t>
      </w:r>
      <w:bookmarkStart w:id="4555" w:name="_fnr3382"/>
      <w:r>
        <w:rPr>
          <w:vertAlign w:val="superscript"/>
          <w:rtl/>
        </w:rPr>
        <w:footnoteReference w:id="3391" w:customMarkFollows="0"/>
      </w:r>
      <w:bookmarkEnd w:id="4555"/>
      <w:r>
        <w:rPr>
          <w:rtl/>
        </w:rPr>
        <w:t>.</w:t>
      </w:r>
    </w:p>
    <w:p w14:paraId="330EE557" w14:textId="77777777" w:rsidR="00AB3647" w:rsidRDefault="00000000" w:rsidP="007923E9">
      <w:pPr>
        <w:spacing w:after="120" w:line="276" w:lineRule="auto"/>
        <w:jc w:val="both"/>
      </w:pPr>
      <w:r>
        <w:rPr>
          <w:rtl/>
        </w:rPr>
        <w:t xml:space="preserve">ר׳ ישראל </w:t>
      </w:r>
      <w:proofErr w:type="spellStart"/>
      <w:r>
        <w:rPr>
          <w:rtl/>
        </w:rPr>
        <w:t>שורין</w:t>
      </w:r>
      <w:proofErr w:type="spellEnd"/>
      <w:r>
        <w:rPr>
          <w:rtl/>
        </w:rPr>
        <w:t xml:space="preserve"> סיפר</w:t>
      </w:r>
      <w:bookmarkStart w:id="4556" w:name="_fnr3383"/>
      <w:r>
        <w:rPr>
          <w:vertAlign w:val="superscript"/>
          <w:rtl/>
        </w:rPr>
        <w:footnoteReference w:id="3392" w:customMarkFollows="0"/>
      </w:r>
      <w:bookmarkEnd w:id="4556"/>
      <w:r>
        <w:rPr>
          <w:rtl/>
        </w:rPr>
        <w:t xml:space="preserve"> שר׳ חיים הלר תיאר לו כיצד היה ר׳ לייזר מרעיף שבחים על כל מי שדברי תורתו מצאו חן בעיניו. ר׳ חיים הלר היה בן פחות </w:t>
      </w:r>
      <w:proofErr w:type="spellStart"/>
      <w:r>
        <w:rPr>
          <w:rtl/>
        </w:rPr>
        <w:t>משלוש־עשרה</w:t>
      </w:r>
      <w:proofErr w:type="spellEnd"/>
      <w:r>
        <w:rPr>
          <w:rtl/>
        </w:rPr>
        <w:t xml:space="preserve"> כשביקר ר׳ לייזר גורדון בבית אביו והחל בדיון תורני ער עם הנער. לפתע קרא ר׳ לייזר: “אתה לא תהיה גאון... כי אתה כבר גאון!”</w:t>
      </w:r>
      <w:bookmarkStart w:id="4557" w:name="_fnr3384"/>
      <w:r>
        <w:rPr>
          <w:vertAlign w:val="superscript"/>
          <w:rtl/>
        </w:rPr>
        <w:footnoteReference w:id="3393" w:customMarkFollows="0"/>
      </w:r>
      <w:bookmarkEnd w:id="4557"/>
    </w:p>
    <w:bookmarkStart w:id="4558" w:name="b4_note104"/>
    <w:p w14:paraId="5D810A54" w14:textId="77777777" w:rsidR="00AB3647" w:rsidRDefault="00000000" w:rsidP="007923E9">
      <w:pPr>
        <w:spacing w:before="120" w:after="100" w:line="276" w:lineRule="auto"/>
        <w:jc w:val="both"/>
      </w:pPr>
      <w:r>
        <w:fldChar w:fldCharType="begin" w:dirty="true"/>
      </w:r>
      <w:r>
        <w:instrText>HYPERLINK \l "b4_text104" \h</w:instrText>
      </w:r>
      <w:r>
        <w:fldChar w:fldCharType="separate"/>
      </w:r>
      <w:r>
        <w:rPr>
          <w:b/>
          <w:bCs/>
          <w:rtl/>
        </w:rPr>
        <w:t>104</w:t>
      </w:r>
      <w:r>
        <w:rPr>
          <w:b/>
          <w:bCs/>
        </w:rPr>
        <w:fldChar w:fldCharType="end"/>
      </w:r>
      <w:bookmarkEnd w:id="4558"/>
      <w:r>
        <w:rPr>
          <w:rtl/>
        </w:rPr>
        <w:t xml:space="preserve"> יעקב מארק</w:t>
      </w:r>
      <w:bookmarkStart w:id="4559" w:name="_fnr3385"/>
      <w:r>
        <w:rPr>
          <w:vertAlign w:val="superscript"/>
          <w:rtl/>
        </w:rPr>
        <w:footnoteReference w:id="3394" w:customMarkFollows="0"/>
      </w:r>
      <w:bookmarkEnd w:id="4559"/>
      <w:r>
        <w:rPr>
          <w:rtl/>
        </w:rPr>
        <w:t>.</w:t>
      </w:r>
    </w:p>
    <w:p w14:paraId="3A761C8C" w14:textId="711EB5A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אף שבעיקרו לא התעניין בשום דבר מלבד לימוד תורה בעיון, שיבח את המוסר ככלי חינוכי נחוץ</w:t>
      </w:r>
      <w:bookmarkStart w:id="4560" w:name="b4_text105"/>
      <w:bookmarkEnd w:id="4560"/>
      <w:r>
        <w:rPr>
          <w:sz w:val="18"/>
          <w:szCs w:val="18"/>
          <w:vertAlign w:val="superscript"/>
          <w:rtl/>
        </w:rPr>
        <w:fldChar w:fldCharType="begin" w:dirty="true"/>
      </w:r>
      <w:r>
        <w:rPr>
          <w:sz w:val="18"/>
          <w:szCs w:val="18"/>
          <w:vertAlign w:val="superscript"/>
          <w:rtl/>
        </w:rPr>
        <w:instrText xml:space="preserve"> REF b4_note105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105</w:t>
      </w:r>
      <w:r>
        <w:rPr>
          <w:sz w:val="18"/>
          <w:szCs w:val="18"/>
          <w:vertAlign w:val="superscript"/>
          <w:rtl/>
        </w:rPr>
        <w:fldChar w:fldCharType="end"/>
      </w:r>
      <w:r>
        <w:rPr>
          <w:rtl/>
        </w:rPr>
        <w:t>, והביא לישיבתו משגיחים בעלי שיעור קומה</w:t>
      </w:r>
      <w:bookmarkStart w:id="4561" w:name="b4_text106"/>
      <w:bookmarkEnd w:id="4561"/>
      <w:r>
        <w:rPr>
          <w:sz w:val="18"/>
          <w:szCs w:val="18"/>
          <w:vertAlign w:val="superscript"/>
          <w:rtl/>
        </w:rPr>
        <w:fldChar w:fldCharType="begin" w:dirty="true"/>
      </w:r>
      <w:r>
        <w:rPr>
          <w:sz w:val="18"/>
          <w:szCs w:val="18"/>
          <w:vertAlign w:val="superscript"/>
          <w:rtl/>
        </w:rPr>
        <w:instrText xml:space="preserve"> REF b4_note106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106</w:t>
      </w:r>
      <w:r>
        <w:rPr>
          <w:sz w:val="18"/>
          <w:szCs w:val="18"/>
          <w:vertAlign w:val="superscript"/>
          <w:rtl/>
        </w:rPr>
        <w:fldChar w:fldCharType="end"/>
      </w:r>
      <w:r>
        <w:rPr>
          <w:rtl/>
        </w:rPr>
        <w:t xml:space="preserve">. חתנו ר׳ יוסף לייב, מנהל הישיבה, היה </w:t>
      </w:r>
      <w:r>
        <w:rPr>
          <w:rtl/>
        </w:rPr>
        <w:lastRenderedPageBreak/>
        <w:t xml:space="preserve">בעל מוסר מובהק, ואחרי תקופת לימוד קצרה אצל ר׳ </w:t>
      </w:r>
      <w:proofErr w:type="spellStart"/>
      <w:r>
        <w:rPr>
          <w:rtl/>
        </w:rPr>
        <w:t>שמחה־זיסל</w:t>
      </w:r>
      <w:proofErr w:type="spellEnd"/>
      <w:r>
        <w:rPr>
          <w:rtl/>
        </w:rPr>
        <w:t xml:space="preserve"> זיו </w:t>
      </w:r>
      <w:proofErr w:type="spellStart"/>
      <w:r>
        <w:rPr>
          <w:rtl/>
        </w:rPr>
        <w:t>בקלם</w:t>
      </w:r>
      <w:proofErr w:type="spellEnd"/>
      <w:r>
        <w:rPr>
          <w:rtl/>
        </w:rPr>
        <w:t xml:space="preserve"> פיתח שיטת מוסר מקורית</w:t>
      </w:r>
      <w:bookmarkStart w:id="4562" w:name="b4_text107"/>
      <w:bookmarkEnd w:id="4562"/>
      <w:r>
        <w:rPr>
          <w:sz w:val="18"/>
          <w:szCs w:val="18"/>
          <w:vertAlign w:val="superscript"/>
          <w:rtl/>
        </w:rPr>
        <w:fldChar w:fldCharType="begin" w:dirty="true"/>
      </w:r>
      <w:r>
        <w:rPr>
          <w:sz w:val="18"/>
          <w:szCs w:val="18"/>
          <w:vertAlign w:val="superscript"/>
          <w:rtl/>
        </w:rPr>
        <w:instrText xml:space="preserve"> REF b4_note107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107</w:t>
      </w:r>
      <w:r>
        <w:rPr>
          <w:sz w:val="18"/>
          <w:szCs w:val="18"/>
          <w:vertAlign w:val="superscript"/>
          <w:rtl/>
        </w:rPr>
        <w:fldChar w:fldCharType="end"/>
      </w:r>
      <w:r>
        <w:rPr>
          <w:rtl/>
        </w:rPr>
        <w:t>.</w:t>
      </w:r>
    </w:p>
    <w:bookmarkStart w:id="4563" w:name="b4_note105"/>
    <w:p w14:paraId="6031ED24" w14:textId="422A9D35" w:rsidR="00AB3647" w:rsidRDefault="00000000" w:rsidP="007923E9">
      <w:pPr>
        <w:spacing w:before="120" w:after="100" w:line="276" w:lineRule="auto"/>
        <w:jc w:val="both"/>
      </w:pPr>
      <w:r>
        <w:fldChar w:fldCharType="begin" w:dirty="true"/>
      </w:r>
      <w:r>
        <w:instrText>HYPERLINK \l "b4_text105" \h</w:instrText>
      </w:r>
      <w:r>
        <w:fldChar w:fldCharType="separate"/>
      </w:r>
      <w:r>
        <w:rPr>
          <w:b/>
          <w:bCs/>
          <w:rtl/>
        </w:rPr>
        <w:t>105</w:t>
      </w:r>
      <w:r>
        <w:rPr>
          <w:b/>
          <w:bCs/>
        </w:rPr>
        <w:fldChar w:fldCharType="end"/>
      </w:r>
      <w:bookmarkEnd w:id="4563"/>
      <w:r>
        <w:rPr>
          <w:rtl/>
        </w:rPr>
        <w:t xml:space="preserve"> השווה ל</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564" w:name="b4_note106"/>
    <w:p w14:paraId="76636673" w14:textId="77777777" w:rsidR="00AB3647" w:rsidRDefault="00000000" w:rsidP="007923E9">
      <w:pPr>
        <w:spacing w:before="120" w:after="100" w:line="276" w:lineRule="auto"/>
        <w:jc w:val="both"/>
      </w:pPr>
      <w:r>
        <w:fldChar w:fldCharType="begin" w:dirty="true"/>
      </w:r>
      <w:r>
        <w:instrText>HYPERLINK \l "b4_text106" \h</w:instrText>
      </w:r>
      <w:r>
        <w:fldChar w:fldCharType="separate"/>
      </w:r>
      <w:r>
        <w:rPr>
          <w:b/>
          <w:bCs/>
          <w:rtl/>
        </w:rPr>
        <w:t>106</w:t>
      </w:r>
      <w:r>
        <w:rPr>
          <w:b/>
          <w:bCs/>
        </w:rPr>
        <w:fldChar w:fldCharType="end"/>
      </w:r>
      <w:bookmarkEnd w:id="4564"/>
      <w:r>
        <w:rPr>
          <w:rtl/>
        </w:rPr>
        <w:t xml:space="preserve"> בתקופת גורדון היו אלה: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(תרנ״ג–תרנ״ה)</w:t>
      </w:r>
      <w:bookmarkStart w:id="4565" w:name="_fnr3386"/>
      <w:r>
        <w:rPr>
          <w:vertAlign w:val="superscript"/>
          <w:rtl/>
        </w:rPr>
        <w:footnoteReference w:id="3395" w:customMarkFollows="0"/>
      </w:r>
      <w:bookmarkEnd w:id="4565"/>
      <w:r>
        <w:rPr>
          <w:rtl/>
        </w:rPr>
        <w:t>; ר׳ לייב חסמן (תרנ״ז–תרס״ג, מלבד הפסקה קצרה כמה חודשים אחרי מינויו, כשפרש בעקבות “הופקה”)</w:t>
      </w:r>
      <w:bookmarkStart w:id="4566" w:name="_fnr3387"/>
      <w:r>
        <w:rPr>
          <w:vertAlign w:val="superscript"/>
          <w:rtl/>
        </w:rPr>
        <w:footnoteReference w:id="3396" w:customMarkFollows="0"/>
      </w:r>
      <w:bookmarkEnd w:id="4566"/>
      <w:r>
        <w:rPr>
          <w:rtl/>
        </w:rPr>
        <w:t>; ר׳ יעקב כץ (תרס״ג–תרס״ד)</w:t>
      </w:r>
      <w:bookmarkStart w:id="4567" w:name="_fnr3388"/>
      <w:r>
        <w:rPr>
          <w:vertAlign w:val="superscript"/>
          <w:rtl/>
        </w:rPr>
        <w:footnoteReference w:id="3397" w:customMarkFollows="0"/>
      </w:r>
      <w:bookmarkEnd w:id="4567"/>
      <w:r>
        <w:rPr>
          <w:rtl/>
        </w:rPr>
        <w:t>; ר׳ אליעזר לופט (חצי שנת תרס״ה, עד סגירת הישיבה)</w:t>
      </w:r>
      <w:bookmarkStart w:id="4568" w:name="_fnr3389"/>
      <w:r>
        <w:rPr>
          <w:vertAlign w:val="superscript"/>
          <w:rtl/>
        </w:rPr>
        <w:footnoteReference w:id="3398" w:customMarkFollows="0"/>
      </w:r>
      <w:bookmarkEnd w:id="4568"/>
      <w:r>
        <w:rPr>
          <w:rtl/>
        </w:rPr>
        <w:t xml:space="preserve">; ור׳ שמואל </w:t>
      </w:r>
      <w:proofErr w:type="spellStart"/>
      <w:r>
        <w:rPr>
          <w:rtl/>
        </w:rPr>
        <w:t>פונדילער</w:t>
      </w:r>
      <w:proofErr w:type="spellEnd"/>
      <w:r>
        <w:rPr>
          <w:rtl/>
        </w:rPr>
        <w:t xml:space="preserve"> (</w:t>
      </w:r>
      <w:proofErr w:type="spellStart"/>
      <w:r>
        <w:rPr>
          <w:rtl/>
        </w:rPr>
        <w:t>מתרס״ו</w:t>
      </w:r>
      <w:proofErr w:type="spellEnd"/>
      <w:r>
        <w:rPr>
          <w:rtl/>
        </w:rPr>
        <w:t xml:space="preserve"> ואילך)</w:t>
      </w:r>
      <w:bookmarkStart w:id="4569" w:name="_fnr3390"/>
      <w:r>
        <w:rPr>
          <w:vertAlign w:val="superscript"/>
          <w:rtl/>
        </w:rPr>
        <w:footnoteReference w:id="3399" w:customMarkFollows="0"/>
      </w:r>
      <w:bookmarkEnd w:id="4569"/>
      <w:r>
        <w:rPr>
          <w:rtl/>
        </w:rPr>
        <w:t xml:space="preserve">. </w:t>
      </w:r>
      <w:proofErr w:type="spellStart"/>
      <w:r>
        <w:rPr>
          <w:rtl/>
        </w:rPr>
        <w:t>זמן־מה</w:t>
      </w:r>
      <w:proofErr w:type="spellEnd"/>
      <w:r>
        <w:rPr>
          <w:rtl/>
        </w:rPr>
        <w:t xml:space="preserve"> אחרי כהונת חסמן – כנראה לפני שר׳ יעקב כץ קיבל עליו את התפקיד, ובוודאי לפני ר׳ אליעזר לופט – ניסה ר׳ לייזר לפנות לכיוון אחר, שאינו המוסר: הוא הציע את משרת המשגיח </w:t>
      </w:r>
      <w:proofErr w:type="spellStart"/>
      <w:r>
        <w:rPr>
          <w:rtl/>
        </w:rPr>
        <w:t>לר</w:t>
      </w:r>
      <w:proofErr w:type="spellEnd"/>
      <w:r>
        <w:rPr>
          <w:rtl/>
        </w:rPr>
        <w:t xml:space="preserve">׳ </w:t>
      </w:r>
      <w:proofErr w:type="spellStart"/>
      <w:r>
        <w:rPr>
          <w:rtl/>
        </w:rPr>
        <w:t>אברהם־יצחק</w:t>
      </w:r>
      <w:proofErr w:type="spellEnd"/>
      <w:r>
        <w:rPr>
          <w:rtl/>
        </w:rPr>
        <w:t xml:space="preserve"> קוק, שכיהן אז ברבנות </w:t>
      </w:r>
      <w:proofErr w:type="spellStart"/>
      <w:r>
        <w:rPr>
          <w:rtl/>
        </w:rPr>
        <w:t>בויסק</w:t>
      </w:r>
      <w:proofErr w:type="spellEnd"/>
      <w:r>
        <w:rPr>
          <w:rtl/>
        </w:rPr>
        <w:t xml:space="preserve">. ר׳ </w:t>
      </w:r>
      <w:proofErr w:type="spellStart"/>
      <w:r>
        <w:rPr>
          <w:rtl/>
        </w:rPr>
        <w:t>אברהם־יצחק</w:t>
      </w:r>
      <w:proofErr w:type="spellEnd"/>
      <w:r>
        <w:rPr>
          <w:rtl/>
        </w:rPr>
        <w:t xml:space="preserve"> קוק שהה כמה ימים </w:t>
      </w:r>
      <w:proofErr w:type="spellStart"/>
      <w:r>
        <w:rPr>
          <w:rtl/>
        </w:rPr>
        <w:t>בטלז</w:t>
      </w:r>
      <w:proofErr w:type="spellEnd"/>
      <w:r>
        <w:rPr>
          <w:rtl/>
        </w:rPr>
        <w:t xml:space="preserve"> ודחה את ההצעה, מפני שבאותה עת הוצעה לו רבנות יפו שבארץ ישראל. אבל לפני כן העלה לפני ר׳ לייזר גורדון הצעה מהפכנית: </w:t>
      </w:r>
      <w:proofErr w:type="spellStart"/>
      <w:r>
        <w:rPr>
          <w:rtl/>
        </w:rPr>
        <w:t>ש“הישיבה</w:t>
      </w:r>
      <w:proofErr w:type="spellEnd"/>
      <w:r>
        <w:rPr>
          <w:rtl/>
        </w:rPr>
        <w:t xml:space="preserve"> תנהיג שיעורים בתנ״ך, במדרש, בזוהר, בכוזרי, </w:t>
      </w:r>
      <w:proofErr w:type="spellStart"/>
      <w:r>
        <w:rPr>
          <w:rtl/>
        </w:rPr>
        <w:t>בהאמונות</w:t>
      </w:r>
      <w:proofErr w:type="spellEnd"/>
      <w:r>
        <w:rPr>
          <w:rtl/>
        </w:rPr>
        <w:t xml:space="preserve"> והדעות </w:t>
      </w:r>
      <w:proofErr w:type="spellStart"/>
      <w:r>
        <w:rPr>
          <w:rtl/>
        </w:rPr>
        <w:t>לר</w:t>
      </w:r>
      <w:proofErr w:type="spellEnd"/>
      <w:r>
        <w:rPr>
          <w:rtl/>
        </w:rPr>
        <w:t xml:space="preserve">׳ סעדיה גאון, בשמנה פרקים </w:t>
      </w:r>
      <w:proofErr w:type="spellStart"/>
      <w:r>
        <w:rPr>
          <w:rtl/>
        </w:rPr>
        <w:t>להרמב״ם</w:t>
      </w:r>
      <w:proofErr w:type="spellEnd"/>
      <w:r>
        <w:rPr>
          <w:rtl/>
        </w:rPr>
        <w:t>, בחובות הלבבות וכיוצא באלה</w:t>
      </w:r>
      <w:bookmarkStart w:id="4570" w:name="_fnr3391"/>
      <w:r>
        <w:rPr>
          <w:vertAlign w:val="superscript"/>
          <w:rtl/>
        </w:rPr>
        <w:footnoteReference w:id="3400" w:customMarkFollows="0"/>
      </w:r>
      <w:bookmarkEnd w:id="4570"/>
      <w:r>
        <w:rPr>
          <w:rtl/>
        </w:rPr>
        <w:t>”.</w:t>
      </w:r>
    </w:p>
    <w:p w14:paraId="5E5E4AF4" w14:textId="77777777" w:rsidR="00AB3647" w:rsidRDefault="00000000" w:rsidP="007923E9">
      <w:pPr>
        <w:spacing w:before="120" w:after="100" w:line="276" w:lineRule="auto"/>
        <w:jc w:val="both"/>
      </w:pPr>
      <w:r>
        <w:rPr>
          <w:rtl/>
        </w:rPr>
        <w:t xml:space="preserve">על ההצעה שבחורי ישיבה ילמדו זוהר השווה “אגרות </w:t>
      </w:r>
      <w:proofErr w:type="spellStart"/>
      <w:r>
        <w:rPr>
          <w:rtl/>
        </w:rPr>
        <w:t>הראי״ה</w:t>
      </w:r>
      <w:proofErr w:type="spellEnd"/>
      <w:r>
        <w:rPr>
          <w:rtl/>
        </w:rPr>
        <w:t xml:space="preserve">”, </w:t>
      </w:r>
      <w:proofErr w:type="spellStart"/>
      <w:r>
        <w:rPr>
          <w:rtl/>
        </w:rPr>
        <w:t>ח״ב</w:t>
      </w:r>
      <w:bookmarkStart w:id="4571" w:name="_fnr3392"/>
      <w:proofErr w:type="spellEnd"/>
      <w:r>
        <w:rPr>
          <w:vertAlign w:val="superscript"/>
          <w:rtl/>
        </w:rPr>
        <w:footnoteReference w:id="3401" w:customMarkFollows="0"/>
      </w:r>
      <w:bookmarkEnd w:id="4571"/>
      <w:r>
        <w:rPr>
          <w:rtl/>
        </w:rPr>
        <w:t xml:space="preserve">: במכתב </w:t>
      </w:r>
      <w:proofErr w:type="spellStart"/>
      <w:r>
        <w:rPr>
          <w:rtl/>
        </w:rPr>
        <w:t>להרב</w:t>
      </w:r>
      <w:proofErr w:type="spellEnd"/>
      <w:r>
        <w:rPr>
          <w:rtl/>
        </w:rPr>
        <w:t xml:space="preserve"> וכו׳ יהודה ליב </w:t>
      </w:r>
      <w:proofErr w:type="spellStart"/>
      <w:r>
        <w:rPr>
          <w:rtl/>
        </w:rPr>
        <w:t>זעלצער</w:t>
      </w:r>
      <w:proofErr w:type="spellEnd"/>
      <w:r>
        <w:rPr>
          <w:rtl/>
        </w:rPr>
        <w:t xml:space="preserve">, מראש חודש אלול תרע״ג, כעשור אחרי ביקורו </w:t>
      </w:r>
      <w:proofErr w:type="spellStart"/>
      <w:r>
        <w:rPr>
          <w:rtl/>
        </w:rPr>
        <w:t>בטלז</w:t>
      </w:r>
      <w:proofErr w:type="spellEnd"/>
      <w:r>
        <w:rPr>
          <w:rtl/>
        </w:rPr>
        <w:t xml:space="preserve">, מגן ר׳ </w:t>
      </w:r>
      <w:proofErr w:type="spellStart"/>
      <w:r>
        <w:rPr>
          <w:rtl/>
        </w:rPr>
        <w:t>אברהם־יצחק</w:t>
      </w:r>
      <w:proofErr w:type="spellEnd"/>
      <w:r>
        <w:rPr>
          <w:rtl/>
        </w:rPr>
        <w:t xml:space="preserve"> קוק על לימוד קבלה לפני שהאדם “מלא לחם ובשר” של לימוד תלמוד.</w:t>
      </w:r>
    </w:p>
    <w:bookmarkStart w:id="4572" w:name="b4_note107"/>
    <w:p w14:paraId="626E522C" w14:textId="77777777" w:rsidR="00AB3647" w:rsidRDefault="00000000" w:rsidP="007923E9">
      <w:pPr>
        <w:spacing w:before="120" w:after="100" w:line="276" w:lineRule="auto"/>
        <w:jc w:val="both"/>
      </w:pPr>
      <w:r>
        <w:fldChar w:fldCharType="begin" w:dirty="true"/>
      </w:r>
      <w:r>
        <w:instrText>HYPERLINK \l "b4_text107" \h</w:instrText>
      </w:r>
      <w:r>
        <w:fldChar w:fldCharType="separate"/>
      </w:r>
      <w:r>
        <w:rPr>
          <w:b/>
          <w:bCs/>
          <w:rtl/>
        </w:rPr>
        <w:t>107</w:t>
      </w:r>
      <w:r>
        <w:rPr>
          <w:b/>
          <w:bCs/>
        </w:rPr>
        <w:fldChar w:fldCharType="end"/>
      </w:r>
      <w:bookmarkEnd w:id="4572"/>
      <w:r>
        <w:rPr>
          <w:rtl/>
        </w:rPr>
        <w:t xml:space="preserve"> ר׳ </w:t>
      </w:r>
      <w:proofErr w:type="spellStart"/>
      <w:r>
        <w:rPr>
          <w:rtl/>
        </w:rPr>
        <w:t>נתן־צבי</w:t>
      </w:r>
      <w:proofErr w:type="spellEnd"/>
      <w:r>
        <w:rPr>
          <w:rtl/>
        </w:rPr>
        <w:t xml:space="preserve"> </w:t>
      </w:r>
      <w:proofErr w:type="spellStart"/>
      <w:r>
        <w:rPr>
          <w:rtl/>
        </w:rPr>
        <w:t>פינקל</w:t>
      </w:r>
      <w:proofErr w:type="spellEnd"/>
      <w:r>
        <w:rPr>
          <w:rtl/>
        </w:rPr>
        <w:t xml:space="preserve">, שחיפש תמיד אנשים מבריקים, הכיר בתבונתו הרבה של ר׳ יוסף לייב ובעניינו במוסר ובכתבים פילוסופיים כשבא הלה </w:t>
      </w:r>
      <w:proofErr w:type="spellStart"/>
      <w:r>
        <w:rPr>
          <w:rtl/>
        </w:rPr>
        <w:t>לקלם</w:t>
      </w:r>
      <w:bookmarkStart w:id="4573" w:name="_fnr3393"/>
      <w:proofErr w:type="spellEnd"/>
      <w:r>
        <w:rPr>
          <w:vertAlign w:val="superscript"/>
          <w:rtl/>
        </w:rPr>
        <w:footnoteReference w:id="3402" w:customMarkFollows="0"/>
      </w:r>
      <w:bookmarkEnd w:id="4573"/>
      <w:r>
        <w:rPr>
          <w:rtl/>
        </w:rPr>
        <w:t xml:space="preserve">. </w:t>
      </w:r>
      <w:proofErr w:type="spellStart"/>
      <w:r>
        <w:rPr>
          <w:rtl/>
        </w:rPr>
        <w:t>בתרל״ז</w:t>
      </w:r>
      <w:proofErr w:type="spellEnd"/>
      <w:r>
        <w:rPr>
          <w:rtl/>
        </w:rPr>
        <w:t xml:space="preserve"> השתדל ר׳ </w:t>
      </w:r>
      <w:proofErr w:type="spellStart"/>
      <w:r>
        <w:rPr>
          <w:rtl/>
        </w:rPr>
        <w:t>נתן־צבי</w:t>
      </w:r>
      <w:proofErr w:type="spellEnd"/>
      <w:r>
        <w:rPr>
          <w:rtl/>
        </w:rPr>
        <w:t xml:space="preserve"> </w:t>
      </w:r>
      <w:proofErr w:type="spellStart"/>
      <w:r>
        <w:rPr>
          <w:rtl/>
        </w:rPr>
        <w:t>פינקל</w:t>
      </w:r>
      <w:proofErr w:type="spellEnd"/>
      <w:r>
        <w:rPr>
          <w:rtl/>
        </w:rPr>
        <w:t xml:space="preserve"> אצל ר׳ </w:t>
      </w:r>
      <w:proofErr w:type="spellStart"/>
      <w:r>
        <w:rPr>
          <w:rtl/>
        </w:rPr>
        <w:t>שמחה־זיסל</w:t>
      </w:r>
      <w:proofErr w:type="spellEnd"/>
      <w:r>
        <w:rPr>
          <w:rtl/>
        </w:rPr>
        <w:t xml:space="preserve"> זיו שיתיר </w:t>
      </w:r>
      <w:proofErr w:type="spellStart"/>
      <w:r>
        <w:rPr>
          <w:rtl/>
        </w:rPr>
        <w:t>לר</w:t>
      </w:r>
      <w:proofErr w:type="spellEnd"/>
      <w:r>
        <w:rPr>
          <w:rtl/>
        </w:rPr>
        <w:t xml:space="preserve">׳ יוסף לייב להיכנס לשיחותיו, אפילו לשיחות </w:t>
      </w:r>
      <w:proofErr w:type="spellStart"/>
      <w:r>
        <w:rPr>
          <w:rtl/>
        </w:rPr>
        <w:t>ה“סגורות</w:t>
      </w:r>
      <w:proofErr w:type="spellEnd"/>
      <w:r>
        <w:rPr>
          <w:rtl/>
        </w:rPr>
        <w:t xml:space="preserve">” לתלמידים מובחרים. אבל כעבור כמה חודשים פרש ר׳ יוסף לייב, מפני שחלק על תורתו של ר׳ </w:t>
      </w:r>
      <w:proofErr w:type="spellStart"/>
      <w:r>
        <w:rPr>
          <w:rtl/>
        </w:rPr>
        <w:t>שמחה־זיסל</w:t>
      </w:r>
      <w:proofErr w:type="spellEnd"/>
      <w:r>
        <w:rPr>
          <w:rtl/>
        </w:rPr>
        <w:t xml:space="preserve"> זיו – בגיל 17, וכדרכו בעצמאות מחשבתו</w:t>
      </w:r>
      <w:bookmarkStart w:id="4574" w:name="_fnr3394"/>
      <w:r>
        <w:rPr>
          <w:vertAlign w:val="superscript"/>
          <w:rtl/>
        </w:rPr>
        <w:footnoteReference w:id="3403" w:customMarkFollows="0"/>
      </w:r>
      <w:bookmarkEnd w:id="4574"/>
      <w:r>
        <w:rPr>
          <w:rtl/>
        </w:rPr>
        <w:t xml:space="preserve">. אחרי נישואיו, כעבור שלוש שנים, רצה לשוב לשיחות ר׳ </w:t>
      </w:r>
      <w:proofErr w:type="spellStart"/>
      <w:r>
        <w:rPr>
          <w:rtl/>
        </w:rPr>
        <w:t>שמחה־זיסל</w:t>
      </w:r>
      <w:proofErr w:type="spellEnd"/>
      <w:r>
        <w:rPr>
          <w:rtl/>
        </w:rPr>
        <w:t xml:space="preserve"> זיו, אבל ר׳ </w:t>
      </w:r>
      <w:proofErr w:type="spellStart"/>
      <w:r>
        <w:rPr>
          <w:rtl/>
        </w:rPr>
        <w:t>שמחה־זיסל</w:t>
      </w:r>
      <w:proofErr w:type="spellEnd"/>
      <w:r>
        <w:rPr>
          <w:rtl/>
        </w:rPr>
        <w:t xml:space="preserve"> סירב להכניסו, “באומרו: ‘כבר יש לו דרך משלו’. היו שראו בדבריו [של ר׳ </w:t>
      </w:r>
      <w:proofErr w:type="spellStart"/>
      <w:r>
        <w:rPr>
          <w:rtl/>
        </w:rPr>
        <w:t>שמחה־זיסל</w:t>
      </w:r>
      <w:proofErr w:type="spellEnd"/>
      <w:r>
        <w:rPr>
          <w:rtl/>
        </w:rPr>
        <w:t xml:space="preserve"> זיו] מחמאה, שכן ראה שר׳ יוסף לייב בלוך אינו זקוק להדרכה לאחר שגילה את הגישה המתאימה ביותר לאופיו. אחרים ראו בדבריו [של ר׳ </w:t>
      </w:r>
      <w:proofErr w:type="spellStart"/>
      <w:r>
        <w:rPr>
          <w:rtl/>
        </w:rPr>
        <w:t>שמחה־זיסל</w:t>
      </w:r>
      <w:proofErr w:type="spellEnd"/>
      <w:r>
        <w:rPr>
          <w:rtl/>
        </w:rPr>
        <w:t xml:space="preserve"> זיו] ביקורת, שכן ראה שר׳ יוסף לייב בלוך מושרש כל כך בגישתו שלו עד שלא תועיל שום השתדלות להעבירו [אל הגישה הנכונה]</w:t>
      </w:r>
      <w:bookmarkStart w:id="4575" w:name="_fnr3395"/>
      <w:r>
        <w:rPr>
          <w:vertAlign w:val="superscript"/>
          <w:rtl/>
        </w:rPr>
        <w:footnoteReference w:id="3404" w:customMarkFollows="0"/>
      </w:r>
      <w:bookmarkEnd w:id="4575"/>
      <w:r>
        <w:rPr>
          <w:rtl/>
        </w:rPr>
        <w:t>”.</w:t>
      </w:r>
    </w:p>
    <w:p w14:paraId="3D535287" w14:textId="77777777" w:rsidR="00AB3647" w:rsidRDefault="00000000" w:rsidP="007923E9">
      <w:pPr>
        <w:spacing w:before="120" w:after="100" w:line="276" w:lineRule="auto"/>
        <w:jc w:val="both"/>
      </w:pPr>
      <w:r>
        <w:rPr>
          <w:rtl/>
        </w:rPr>
        <w:lastRenderedPageBreak/>
        <w:t xml:space="preserve">תלמידי </w:t>
      </w:r>
      <w:proofErr w:type="spellStart"/>
      <w:r>
        <w:rPr>
          <w:rtl/>
        </w:rPr>
        <w:t>סלבודקה</w:t>
      </w:r>
      <w:proofErr w:type="spellEnd"/>
      <w:r>
        <w:rPr>
          <w:rtl/>
        </w:rPr>
        <w:t>, כגון רבנו</w:t>
      </w:r>
      <w:bookmarkStart w:id="4576" w:name="_fnr3396"/>
      <w:r>
        <w:rPr>
          <w:vertAlign w:val="superscript"/>
          <w:rtl/>
        </w:rPr>
        <w:footnoteReference w:id="3405" w:customMarkFollows="0"/>
      </w:r>
      <w:bookmarkEnd w:id="4576"/>
      <w:r>
        <w:rPr>
          <w:rtl/>
        </w:rPr>
        <w:t xml:space="preserve">, קיבלו את הדעה השנייה, וראו ברעיונות ר׳ יוסף לייב לא מוסר אלא, כפי שהוא עצמו קרא להם, “שיעורי דעת”. “שיעורי דעת לא הוכנסו לישיבה כל עוד </w:t>
      </w:r>
      <w:proofErr w:type="spellStart"/>
      <w:r>
        <w:rPr>
          <w:rtl/>
        </w:rPr>
        <w:t>טלז</w:t>
      </w:r>
      <w:proofErr w:type="spellEnd"/>
      <w:r>
        <w:rPr>
          <w:rtl/>
        </w:rPr>
        <w:t xml:space="preserve"> הייתה סניף של </w:t>
      </w:r>
      <w:proofErr w:type="spellStart"/>
      <w:r>
        <w:rPr>
          <w:rtl/>
        </w:rPr>
        <w:t>סלבודקה</w:t>
      </w:r>
      <w:proofErr w:type="spellEnd"/>
      <w:r>
        <w:rPr>
          <w:rtl/>
        </w:rPr>
        <w:t xml:space="preserve">”, אמר אבי, “אלא רק מאוחר יותר, כשר׳ יוסף לייב קיבל לידיו את ישיבת </w:t>
      </w:r>
      <w:proofErr w:type="spellStart"/>
      <w:r>
        <w:rPr>
          <w:rtl/>
        </w:rPr>
        <w:t>טלז</w:t>
      </w:r>
      <w:proofErr w:type="spellEnd"/>
      <w:r>
        <w:rPr>
          <w:rtl/>
        </w:rPr>
        <w:t>, שנה לאחר פטירת חותנו</w:t>
      </w:r>
      <w:bookmarkStart w:id="4577" w:name="_fnr3397"/>
      <w:r>
        <w:rPr>
          <w:vertAlign w:val="superscript"/>
          <w:rtl/>
        </w:rPr>
        <w:footnoteReference w:id="3406" w:customMarkFollows="0"/>
      </w:r>
      <w:bookmarkEnd w:id="4577"/>
      <w:r>
        <w:rPr>
          <w:rtl/>
        </w:rPr>
        <w:t>”.</w:t>
      </w:r>
    </w:p>
    <w:p w14:paraId="4091D824" w14:textId="77777777" w:rsidR="00AB3647" w:rsidRDefault="00000000" w:rsidP="007923E9">
      <w:pPr>
        <w:spacing w:before="120" w:after="100" w:line="276" w:lineRule="auto"/>
        <w:jc w:val="both"/>
      </w:pPr>
      <w:r>
        <w:rPr>
          <w:rtl/>
        </w:rPr>
        <w:t xml:space="preserve">את נקודת המבט </w:t>
      </w:r>
      <w:proofErr w:type="spellStart"/>
      <w:r>
        <w:rPr>
          <w:rtl/>
        </w:rPr>
        <w:t>הטלזאית</w:t>
      </w:r>
      <w:proofErr w:type="spellEnd"/>
      <w:r>
        <w:rPr>
          <w:rtl/>
        </w:rPr>
        <w:t xml:space="preserve"> הכרתי כשסיפר לי ר׳ </w:t>
      </w:r>
      <w:proofErr w:type="spellStart"/>
      <w:r>
        <w:rPr>
          <w:rtl/>
        </w:rPr>
        <w:t>אהרן־בן־ציון</w:t>
      </w:r>
      <w:proofErr w:type="spellEnd"/>
      <w:r>
        <w:rPr>
          <w:rtl/>
        </w:rPr>
        <w:t xml:space="preserve"> </w:t>
      </w:r>
      <w:proofErr w:type="spellStart"/>
      <w:r>
        <w:rPr>
          <w:rtl/>
        </w:rPr>
        <w:t>שורין</w:t>
      </w:r>
      <w:bookmarkStart w:id="4578" w:name="_fnr3398"/>
      <w:proofErr w:type="spellEnd"/>
      <w:r>
        <w:rPr>
          <w:vertAlign w:val="superscript"/>
          <w:rtl/>
        </w:rPr>
        <w:footnoteReference w:id="3407" w:customMarkFollows="0"/>
      </w:r>
      <w:bookmarkEnd w:id="4578"/>
      <w:r>
        <w:rPr>
          <w:rtl/>
        </w:rPr>
        <w:t xml:space="preserve">, שלמד שם בראשית שנות </w:t>
      </w:r>
      <w:proofErr w:type="spellStart"/>
      <w:r>
        <w:rPr>
          <w:rtl/>
        </w:rPr>
        <w:t xml:space="preserve">התר״צ</w:t>
      </w:r>
      <w:proofErr w:type="spellEnd"/>
      <w:r>
        <w:rPr>
          <w:rtl/>
        </w:rPr>
        <w:t xml:space="preserve">, על מסורת שהייתה בישיבה: “עשר שנים קודם לכן” החיל ר׳ יוסף לייב את שני הפסוקים הרצופים בשמות </w:t>
      </w:r>
      <w:proofErr w:type="spellStart"/>
      <w:r>
        <w:rPr>
          <w:rtl/>
        </w:rPr>
        <w:t>כח</w:t>
      </w:r>
      <w:proofErr w:type="spellEnd"/>
      <w:r>
        <w:rPr>
          <w:rtl/>
        </w:rPr>
        <w:t xml:space="preserve">, ב–ג: “ועשית בגדי קודש לאהרן אחיך לכבוד ולתפארת. ועשו את בגדי אהרן לקדשו לכהנו לי” – הראשון על </w:t>
      </w:r>
      <w:proofErr w:type="spellStart"/>
      <w:r>
        <w:rPr>
          <w:rtl/>
        </w:rPr>
        <w:t>סלבודקה</w:t>
      </w:r>
      <w:proofErr w:type="spellEnd"/>
      <w:r>
        <w:rPr>
          <w:rtl/>
        </w:rPr>
        <w:t xml:space="preserve">, לגנותה, והשני על </w:t>
      </w:r>
      <w:proofErr w:type="spellStart"/>
      <w:r>
        <w:rPr>
          <w:rtl/>
        </w:rPr>
        <w:t>טלז</w:t>
      </w:r>
      <w:proofErr w:type="spellEnd"/>
      <w:r>
        <w:rPr>
          <w:rtl/>
        </w:rPr>
        <w:t xml:space="preserve">, לשבחה. בגאווה מקומית אופיינית הסביר </w:t>
      </w:r>
      <w:proofErr w:type="spellStart"/>
      <w:r>
        <w:rPr>
          <w:rtl/>
        </w:rPr>
        <w:t>שסלבודקה</w:t>
      </w:r>
      <w:proofErr w:type="spellEnd"/>
      <w:r>
        <w:rPr>
          <w:rtl/>
        </w:rPr>
        <w:t xml:space="preserve"> חינכה רק “לקבל כבוד ותפארת”, ואילו </w:t>
      </w:r>
      <w:proofErr w:type="spellStart"/>
      <w:r>
        <w:rPr>
          <w:rtl/>
        </w:rPr>
        <w:t>טלז</w:t>
      </w:r>
      <w:proofErr w:type="spellEnd"/>
      <w:r>
        <w:rPr>
          <w:rtl/>
        </w:rPr>
        <w:t xml:space="preserve"> “קידשה” והכשירה אנשים “לכהן לה׳”.</w:t>
      </w:r>
    </w:p>
    <w:p w14:paraId="361DA16A" w14:textId="77777777" w:rsidR="00AB3647" w:rsidRDefault="00000000" w:rsidP="007923E9">
      <w:pPr>
        <w:spacing w:before="120" w:after="100" w:line="276" w:lineRule="auto"/>
        <w:jc w:val="both"/>
      </w:pPr>
      <w:r>
        <w:rPr>
          <w:rtl/>
        </w:rPr>
        <w:t xml:space="preserve">ר׳ </w:t>
      </w:r>
      <w:proofErr w:type="spellStart"/>
      <w:r>
        <w:rPr>
          <w:rtl/>
        </w:rPr>
        <w:t>אהרן־בן־ציון</w:t>
      </w:r>
      <w:proofErr w:type="spellEnd"/>
      <w:r>
        <w:rPr>
          <w:rtl/>
        </w:rPr>
        <w:t xml:space="preserve"> </w:t>
      </w:r>
      <w:proofErr w:type="spellStart"/>
      <w:r>
        <w:rPr>
          <w:rtl/>
        </w:rPr>
        <w:t>שורין</w:t>
      </w:r>
      <w:proofErr w:type="spellEnd"/>
      <w:r>
        <w:rPr>
          <w:rtl/>
        </w:rPr>
        <w:t xml:space="preserve"> סיפר גם שבחנוכת הקמפוס של ישיבת </w:t>
      </w:r>
      <w:proofErr w:type="spellStart"/>
      <w:r>
        <w:rPr>
          <w:rtl/>
        </w:rPr>
        <w:t>טלז־קליבלנד</w:t>
      </w:r>
      <w:proofErr w:type="spellEnd"/>
      <w:r>
        <w:rPr>
          <w:rtl/>
        </w:rPr>
        <w:t xml:space="preserve"> ישב לצד ראש הישיבה, ר׳ מוטל כץ, כשנשא אבי נאום. אבי סיפר בנאומו שמתיבתא תורה ודעת שלחה תלמידים לסייע בהקמת ישיבת </w:t>
      </w:r>
      <w:proofErr w:type="spellStart"/>
      <w:r>
        <w:rPr>
          <w:rtl/>
        </w:rPr>
        <w:t>טלז</w:t>
      </w:r>
      <w:proofErr w:type="spellEnd"/>
      <w:r>
        <w:rPr>
          <w:rtl/>
        </w:rPr>
        <w:t xml:space="preserve"> באמריקה אחרי מלחמת העולם השנייה. ר׳ מוטל העיר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בעוקצנות: “כמו </w:t>
      </w:r>
      <w:proofErr w:type="spellStart"/>
      <w:r>
        <w:rPr>
          <w:rtl/>
        </w:rPr>
        <w:t>שסלבודקה</w:t>
      </w:r>
      <w:proofErr w:type="spellEnd"/>
      <w:r>
        <w:rPr>
          <w:rtl/>
        </w:rPr>
        <w:t xml:space="preserve"> בנתה את </w:t>
      </w:r>
      <w:proofErr w:type="spellStart"/>
      <w:r>
        <w:rPr>
          <w:rtl/>
        </w:rPr>
        <w:t>טלז</w:t>
      </w:r>
      <w:proofErr w:type="spellEnd"/>
      <w:r>
        <w:rPr>
          <w:rtl/>
        </w:rPr>
        <w:t xml:space="preserve"> באירופה, תורה ודעת בנתה את </w:t>
      </w:r>
      <w:proofErr w:type="spellStart"/>
      <w:r>
        <w:rPr>
          <w:rtl/>
        </w:rPr>
        <w:t>טלז</w:t>
      </w:r>
      <w:proofErr w:type="spellEnd"/>
      <w:r>
        <w:rPr>
          <w:rtl/>
        </w:rPr>
        <w:t xml:space="preserve"> באמריקה”. ברוח תורתו של ר׳ יוסף לייב רמז ר׳ מוטל כץ </w:t>
      </w:r>
      <w:proofErr w:type="spellStart"/>
      <w:r>
        <w:rPr>
          <w:rtl/>
        </w:rPr>
        <w:t>שטלז־קליבלנד</w:t>
      </w:r>
      <w:proofErr w:type="spellEnd"/>
      <w:r>
        <w:rPr>
          <w:rtl/>
        </w:rPr>
        <w:t xml:space="preserve"> התגלתה כנעלה על </w:t>
      </w:r>
      <w:proofErr w:type="spellStart"/>
      <w:r>
        <w:rPr>
          <w:rtl/>
        </w:rPr>
        <w:t>מיטיבתה</w:t>
      </w:r>
      <w:proofErr w:type="spellEnd"/>
      <w:r>
        <w:rPr>
          <w:rtl/>
        </w:rPr>
        <w:t xml:space="preserve"> לשעבר, מתיבתא תורה ודעת, כמו </w:t>
      </w:r>
      <w:proofErr w:type="spellStart"/>
      <w:r>
        <w:rPr>
          <w:rtl/>
        </w:rPr>
        <w:t>שטלז</w:t>
      </w:r>
      <w:proofErr w:type="spellEnd"/>
      <w:r>
        <w:rPr>
          <w:rtl/>
        </w:rPr>
        <w:t xml:space="preserve"> עלתה על </w:t>
      </w:r>
      <w:proofErr w:type="spellStart"/>
      <w:r>
        <w:rPr>
          <w:rtl/>
        </w:rPr>
        <w:t>סלבודקה</w:t>
      </w:r>
      <w:proofErr w:type="spellEnd"/>
      <w:r>
        <w:rPr>
          <w:rtl/>
        </w:rPr>
        <w:t xml:space="preserve"> אף שנזקקה לעזרתה בשעה מכרעת – כפי שהיה “מובן מאליו” לבוגר </w:t>
      </w:r>
      <w:proofErr w:type="spellStart"/>
      <w:r>
        <w:rPr>
          <w:rtl/>
        </w:rPr>
        <w:t>טלז</w:t>
      </w:r>
      <w:proofErr w:type="spellEnd"/>
      <w:r>
        <w:rPr>
          <w:rtl/>
        </w:rPr>
        <w:t xml:space="preserve"> המסור שישב לצדו, ר׳ </w:t>
      </w:r>
      <w:proofErr w:type="spellStart"/>
      <w:r>
        <w:rPr>
          <w:rtl/>
        </w:rPr>
        <w:t>אהרן־בן־ציון</w:t>
      </w:r>
      <w:proofErr w:type="spellEnd"/>
      <w:r>
        <w:rPr>
          <w:rtl/>
        </w:rPr>
        <w:t xml:space="preserve"> </w:t>
      </w:r>
      <w:proofErr w:type="spellStart"/>
      <w:r>
        <w:rPr>
          <w:rtl/>
        </w:rPr>
        <w:t>שורין</w:t>
      </w:r>
      <w:proofErr w:type="spellEnd"/>
      <w:r>
        <w:rPr>
          <w:rtl/>
        </w:rPr>
        <w:t>.</w:t>
      </w:r>
    </w:p>
    <w:p w14:paraId="29C62C29" w14:textId="1EA81844"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בסביבות תרנ״ז החלו</w:t>
      </w:r>
      <w:bookmarkStart w:id="4579" w:name="b4_text108"/>
      <w:bookmarkEnd w:id="4579"/>
      <w:r>
        <w:rPr>
          <w:sz w:val="18"/>
          <w:szCs w:val="18"/>
          <w:vertAlign w:val="superscript"/>
          <w:rtl/>
        </w:rPr>
        <w:fldChar w:fldCharType="begin" w:dirty="true"/>
      </w:r>
      <w:r>
        <w:rPr>
          <w:sz w:val="18"/>
          <w:szCs w:val="18"/>
          <w:vertAlign w:val="superscript"/>
          <w:rtl/>
        </w:rPr>
        <w:instrText xml:space="preserve"> REF b4_note108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108</w:t>
      </w:r>
      <w:r>
        <w:rPr>
          <w:sz w:val="18"/>
          <w:szCs w:val="18"/>
          <w:vertAlign w:val="superscript"/>
          <w:rtl/>
        </w:rPr>
        <w:fldChar w:fldCharType="end"/>
      </w:r>
      <w:r>
        <w:rPr>
          <w:rtl/>
        </w:rPr>
        <w:t xml:space="preserve"> להיות מורגשים בישיבת </w:t>
      </w:r>
      <w:proofErr w:type="spellStart"/>
      <w:r>
        <w:rPr>
          <w:rtl/>
        </w:rPr>
        <w:t>טלז</w:t>
      </w:r>
      <w:proofErr w:type="spellEnd"/>
      <w:r>
        <w:rPr>
          <w:rtl/>
        </w:rPr>
        <w:t xml:space="preserve"> הזעזועים שפקדו את עולם הישיבות בעניין המוסר</w:t>
      </w:r>
      <w:bookmarkStart w:id="4580" w:name="b4_text109"/>
      <w:bookmarkEnd w:id="4580"/>
      <w:r>
        <w:rPr>
          <w:sz w:val="18"/>
          <w:szCs w:val="18"/>
          <w:vertAlign w:val="superscript"/>
          <w:rtl/>
        </w:rPr>
        <w:fldChar w:fldCharType="begin" w:dirty="true"/>
      </w:r>
      <w:r>
        <w:rPr>
          <w:sz w:val="18"/>
          <w:szCs w:val="18"/>
          <w:vertAlign w:val="superscript"/>
          <w:rtl/>
        </w:rPr>
        <w:instrText xml:space="preserve"> REF b4_note109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109</w:t>
      </w:r>
      <w:r>
        <w:rPr>
          <w:sz w:val="18"/>
          <w:szCs w:val="18"/>
          <w:vertAlign w:val="superscript"/>
          <w:rtl/>
        </w:rPr>
        <w:fldChar w:fldCharType="end"/>
      </w:r>
      <w:r>
        <w:rPr>
          <w:rtl/>
        </w:rPr>
        <w:t>, ובעשור שלאחר מכן הגיעו לממדים של התפרצות הר געש. תחילה כוונו הרעשים כלפי המשגיח</w:t>
      </w:r>
      <w:bookmarkStart w:id="4581" w:name="b4_text110"/>
      <w:bookmarkEnd w:id="4581"/>
      <w:r>
        <w:rPr>
          <w:sz w:val="18"/>
          <w:szCs w:val="18"/>
          <w:vertAlign w:val="superscript"/>
          <w:rtl/>
        </w:rPr>
        <w:fldChar w:fldCharType="begin" w:dirty="true"/>
      </w:r>
      <w:r>
        <w:rPr>
          <w:sz w:val="18"/>
          <w:szCs w:val="18"/>
          <w:vertAlign w:val="superscript"/>
          <w:rtl/>
        </w:rPr>
        <w:instrText xml:space="preserve"> REF b4_note110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110</w:t>
      </w:r>
      <w:r>
        <w:rPr>
          <w:sz w:val="18"/>
          <w:szCs w:val="18"/>
          <w:vertAlign w:val="superscript"/>
          <w:rtl/>
        </w:rPr>
        <w:fldChar w:fldCharType="end"/>
      </w:r>
      <w:r>
        <w:rPr>
          <w:rtl/>
        </w:rPr>
        <w:t>, ר׳ לייב חסמן</w:t>
      </w:r>
      <w:bookmarkStart w:id="4582" w:name="b4_text111"/>
      <w:bookmarkEnd w:id="4582"/>
      <w:r>
        <w:rPr>
          <w:sz w:val="18"/>
          <w:szCs w:val="18"/>
          <w:vertAlign w:val="superscript"/>
          <w:rtl/>
        </w:rPr>
        <w:fldChar w:fldCharType="begin" w:dirty="true"/>
      </w:r>
      <w:r>
        <w:rPr>
          <w:sz w:val="18"/>
          <w:szCs w:val="18"/>
          <w:vertAlign w:val="superscript"/>
          <w:rtl/>
        </w:rPr>
        <w:instrText xml:space="preserve"> REF b4_note111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111</w:t>
      </w:r>
      <w:r>
        <w:rPr>
          <w:sz w:val="18"/>
          <w:szCs w:val="18"/>
          <w:vertAlign w:val="superscript"/>
          <w:rtl/>
        </w:rPr>
        <w:fldChar w:fldCharType="end"/>
      </w:r>
      <w:r>
        <w:rPr>
          <w:rtl/>
        </w:rPr>
        <w:t>, ואחר כך נגד ר׳ יוסף לייב, בגלל הקפדתו הנוקשה על סדרי הישיבה, שכללו זמן ללימוד מוסר</w:t>
      </w:r>
      <w:bookmarkStart w:id="4583" w:name="b4_text112"/>
      <w:bookmarkEnd w:id="4583"/>
      <w:r>
        <w:rPr>
          <w:sz w:val="18"/>
          <w:szCs w:val="18"/>
          <w:vertAlign w:val="superscript"/>
          <w:rtl/>
        </w:rPr>
        <w:fldChar w:fldCharType="begin" w:dirty="true"/>
      </w:r>
      <w:r>
        <w:rPr>
          <w:sz w:val="18"/>
          <w:szCs w:val="18"/>
          <w:vertAlign w:val="superscript"/>
          <w:rtl/>
        </w:rPr>
        <w:instrText xml:space="preserve"> REF b4_note112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112</w:t>
      </w:r>
      <w:r>
        <w:rPr>
          <w:sz w:val="18"/>
          <w:szCs w:val="18"/>
          <w:vertAlign w:val="superscript"/>
          <w:rtl/>
        </w:rPr>
        <w:fldChar w:fldCharType="end"/>
      </w:r>
      <w:r>
        <w:rPr>
          <w:rtl/>
        </w:rPr>
        <w:t xml:space="preserve">. האחרון התפטר מן הישיבה בתחילת תרס״ב; ר׳ שמעון </w:t>
      </w:r>
      <w:proofErr w:type="spellStart"/>
      <w:r>
        <w:rPr>
          <w:rtl/>
        </w:rPr>
        <w:t>שקופ</w:t>
      </w:r>
      <w:proofErr w:type="spellEnd"/>
      <w:r>
        <w:rPr>
          <w:rtl/>
        </w:rPr>
        <w:t xml:space="preserve"> פרש בשנה שלאחר מכן, וכך גם המשגיח</w:t>
      </w:r>
      <w:bookmarkStart w:id="4584" w:name="b4_text113"/>
      <w:bookmarkEnd w:id="4584"/>
      <w:r>
        <w:rPr>
          <w:sz w:val="18"/>
          <w:szCs w:val="18"/>
          <w:vertAlign w:val="superscript"/>
          <w:rtl/>
        </w:rPr>
        <w:fldChar w:fldCharType="begin" w:dirty="true"/>
      </w:r>
      <w:r>
        <w:rPr>
          <w:sz w:val="18"/>
          <w:szCs w:val="18"/>
          <w:vertAlign w:val="superscript"/>
          <w:rtl/>
        </w:rPr>
        <w:instrText xml:space="preserve"> REF b4_note113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113</w:t>
      </w:r>
      <w:r>
        <w:rPr>
          <w:sz w:val="18"/>
          <w:szCs w:val="18"/>
          <w:vertAlign w:val="superscript"/>
          <w:rtl/>
        </w:rPr>
        <w:fldChar w:fldCharType="end"/>
      </w:r>
      <w:r>
        <w:rPr>
          <w:rtl/>
        </w:rPr>
        <w:t>.</w:t>
      </w:r>
    </w:p>
    <w:bookmarkStart w:id="4585" w:name="b4_note108"/>
    <w:p w14:paraId="3298F3C4" w14:textId="77777777" w:rsidR="00AB3647" w:rsidRDefault="00000000" w:rsidP="007923E9">
      <w:pPr>
        <w:spacing w:before="120" w:after="100" w:line="276" w:lineRule="auto"/>
        <w:jc w:val="both"/>
      </w:pPr>
      <w:r>
        <w:fldChar w:fldCharType="begin" w:dirty="true"/>
      </w:r>
      <w:r>
        <w:instrText>HYPERLINK \l "b4_text108" \h</w:instrText>
      </w:r>
      <w:r>
        <w:fldChar w:fldCharType="separate"/>
      </w:r>
      <w:r>
        <w:rPr>
          <w:b/>
          <w:bCs/>
          <w:rtl/>
        </w:rPr>
        <w:t>108</w:t>
      </w:r>
      <w:r>
        <w:rPr>
          <w:b/>
          <w:bCs/>
        </w:rPr>
        <w:fldChar w:fldCharType="end"/>
      </w:r>
      <w:bookmarkEnd w:id="4585"/>
      <w:r>
        <w:rPr>
          <w:rtl/>
        </w:rPr>
        <w:t xml:space="preserve"> השווה סוף סעיף 1 בפרק 3.</w:t>
      </w:r>
    </w:p>
    <w:bookmarkStart w:id="4586" w:name="b4_note109"/>
    <w:p w14:paraId="30CC7BFF" w14:textId="31B7AC5D" w:rsidR="00AB3647" w:rsidRDefault="00000000" w:rsidP="007923E9">
      <w:pPr>
        <w:spacing w:before="120" w:after="100" w:line="276" w:lineRule="auto"/>
        <w:jc w:val="both"/>
      </w:pPr>
      <w:r>
        <w:fldChar w:fldCharType="begin" w:dirty="true"/>
      </w:r>
      <w:r>
        <w:instrText>HYPERLINK \l "b4_text109" \h</w:instrText>
      </w:r>
      <w:r>
        <w:fldChar w:fldCharType="separate"/>
      </w:r>
      <w:r>
        <w:rPr>
          <w:b/>
          <w:bCs/>
          <w:rtl/>
        </w:rPr>
        <w:t>109</w:t>
      </w:r>
      <w:r>
        <w:rPr>
          <w:b/>
          <w:bCs/>
        </w:rPr>
        <w:fldChar w:fldCharType="end"/>
      </w:r>
      <w:bookmarkEnd w:id="4586"/>
      <w:r>
        <w:rPr>
          <w:rtl/>
        </w:rPr>
        <w:t xml:space="preserve">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w:t>
      </w:r>
    </w:p>
    <w:bookmarkStart w:id="4587" w:name="b4_note110"/>
    <w:p w14:paraId="2FBDBEA7" w14:textId="77777777" w:rsidR="00AB3647" w:rsidRDefault="00000000" w:rsidP="007923E9">
      <w:pPr>
        <w:spacing w:before="120" w:after="100" w:line="276" w:lineRule="auto"/>
        <w:jc w:val="both"/>
      </w:pPr>
      <w:r>
        <w:fldChar w:fldCharType="begin" w:dirty="true"/>
      </w:r>
      <w:r>
        <w:instrText>HYPERLINK \l "b4_text110" \h</w:instrText>
      </w:r>
      <w:r>
        <w:fldChar w:fldCharType="separate"/>
      </w:r>
      <w:r>
        <w:rPr>
          <w:b/>
          <w:bCs/>
          <w:rtl/>
        </w:rPr>
        <w:t>110</w:t>
      </w:r>
      <w:r>
        <w:rPr>
          <w:b/>
          <w:bCs/>
        </w:rPr>
        <w:fldChar w:fldCharType="end"/>
      </w:r>
      <w:bookmarkEnd w:id="4587"/>
      <w:r>
        <w:rPr>
          <w:rtl/>
        </w:rPr>
        <w:t xml:space="preserve"> כשהפעיל ר׳ לייב את סמכותו בתקיפות בישיבה – השווה לדוגמה הערה 99, ולדוגמה לעמדתו הבלתי מתפשרת בכלל הערה 111 – התפתחה עוינות סמויה כלפיו וכלפי ר׳ יוסף לייב בלוך, שתמך בו בעקביות</w:t>
      </w:r>
      <w:bookmarkStart w:id="4588" w:name="_fnr3399"/>
      <w:r>
        <w:rPr>
          <w:vertAlign w:val="superscript"/>
          <w:rtl/>
        </w:rPr>
        <w:footnoteReference w:id="3408" w:customMarkFollows="0"/>
      </w:r>
      <w:bookmarkEnd w:id="4588"/>
      <w:r>
        <w:rPr>
          <w:rtl/>
        </w:rPr>
        <w:t xml:space="preserve">. </w:t>
      </w:r>
      <w:proofErr w:type="spellStart"/>
      <w:r>
        <w:rPr>
          <w:rtl/>
        </w:rPr>
        <w:t>ורהפטיג</w:t>
      </w:r>
      <w:bookmarkStart w:id="4589" w:name="_fnr3400"/>
      <w:proofErr w:type="spellEnd"/>
      <w:r>
        <w:rPr>
          <w:vertAlign w:val="superscript"/>
          <w:rtl/>
        </w:rPr>
        <w:footnoteReference w:id="3409" w:customMarkFollows="0"/>
      </w:r>
      <w:bookmarkEnd w:id="4589"/>
      <w:r>
        <w:rPr>
          <w:rtl/>
        </w:rPr>
        <w:t xml:space="preserve"> מתאר את </w:t>
      </w:r>
      <w:proofErr w:type="spellStart"/>
      <w:r>
        <w:rPr>
          <w:rtl/>
        </w:rPr>
        <w:t>ה“הופקה</w:t>
      </w:r>
      <w:proofErr w:type="spellEnd"/>
      <w:r>
        <w:rPr>
          <w:rtl/>
        </w:rPr>
        <w:t xml:space="preserve">” שהתרחשה בלילה אחד באמצע החורף, </w:t>
      </w:r>
      <w:proofErr w:type="spellStart"/>
      <w:r>
        <w:rPr>
          <w:rtl/>
        </w:rPr>
        <w:t>בתרנ״ז</w:t>
      </w:r>
      <w:proofErr w:type="spellEnd"/>
      <w:r>
        <w:rPr>
          <w:rtl/>
        </w:rPr>
        <w:t xml:space="preserve">: “באמצע סדר הלימוד הלילי, עם צלצול השעה תשע, השליכו </w:t>
      </w:r>
      <w:r>
        <w:rPr>
          <w:rtl/>
        </w:rPr>
        <w:lastRenderedPageBreak/>
        <w:t>המורדים מים על מנורות השמן, שהתפוצצו ושפכו את חומר הבעירה הבוער שלהן על רצפת העץ. האש כובתה מיד, אבל בתוך צעקות התלמידים הממהרים לצאת, נותר בית המדרש הרוס, בחשכה מעשנת ומצחינה”. כץ</w:t>
      </w:r>
      <w:bookmarkStart w:id="4590" w:name="_fnr3401"/>
      <w:r>
        <w:rPr>
          <w:vertAlign w:val="superscript"/>
          <w:rtl/>
        </w:rPr>
        <w:footnoteReference w:id="3410" w:customMarkFollows="0"/>
      </w:r>
      <w:bookmarkEnd w:id="4590"/>
      <w:r>
        <w:rPr>
          <w:rtl/>
        </w:rPr>
        <w:t xml:space="preserve"> מביא תיאור זה, אבל משמיט ממקורו של </w:t>
      </w:r>
      <w:proofErr w:type="spellStart"/>
      <w:r>
        <w:rPr>
          <w:rtl/>
        </w:rPr>
        <w:t>ורהפטיג</w:t>
      </w:r>
      <w:proofErr w:type="spellEnd"/>
      <w:r>
        <w:rPr>
          <w:rtl/>
        </w:rPr>
        <w:t xml:space="preserve"> את המעשה המזעזע ביותר, </w:t>
      </w:r>
      <w:proofErr w:type="spellStart"/>
      <w:r>
        <w:rPr>
          <w:rtl/>
        </w:rPr>
        <w:t>האנטי־תורני</w:t>
      </w:r>
      <w:proofErr w:type="spellEnd"/>
      <w:r>
        <w:rPr>
          <w:rtl/>
        </w:rPr>
        <w:t>: מתנגדי המוסר ניצלו את החשכה כדי להכות את התלמידים שתמכו במשגיח, ואת הרב חסמן עצמו.</w:t>
      </w:r>
    </w:p>
    <w:p w14:paraId="1D47DE6B" w14:textId="77777777" w:rsidR="00AB3647" w:rsidRDefault="00000000" w:rsidP="007923E9">
      <w:pPr>
        <w:spacing w:before="120" w:after="100" w:line="276" w:lineRule="auto"/>
        <w:jc w:val="both"/>
      </w:pPr>
      <w:r>
        <w:rPr>
          <w:rtl/>
        </w:rPr>
        <w:t xml:space="preserve">ר׳ לייזר בא מביתו והורה לתלמידים לשוב לבית המדרש ולהדליק מחדש את המנורות. “כל בני הישיבה, ובהם הקיצוניים שבמורדים, מתוך אהבתם הגדולה לרבם – כאהבת בנים לאביהם – צייתו לו מיד, ובתוך רבע שעה חזר הכול למקומו”, אומר </w:t>
      </w:r>
      <w:proofErr w:type="spellStart"/>
      <w:r>
        <w:rPr>
          <w:rtl/>
        </w:rPr>
        <w:t>ורהפטיג</w:t>
      </w:r>
      <w:proofErr w:type="spellEnd"/>
      <w:r>
        <w:rPr>
          <w:rtl/>
        </w:rPr>
        <w:t xml:space="preserve">. “משהתיישבו, שאל ר׳ לייזר גורדון בתקיפות: ‘מי ראש המורדים?’ וכשבחור </w:t>
      </w:r>
      <w:proofErr w:type="spellStart"/>
      <w:r>
        <w:rPr>
          <w:rtl/>
        </w:rPr>
        <w:t>מקורסק</w:t>
      </w:r>
      <w:proofErr w:type="spellEnd"/>
      <w:r>
        <w:rPr>
          <w:rtl/>
        </w:rPr>
        <w:t xml:space="preserve"> הזדהה, סטר לו ראש הישיבה שלוש פעמים על פניו. אבל הדבר הכאיב לראש הישיבה יותר </w:t>
      </w:r>
      <w:proofErr w:type="spellStart"/>
      <w:r>
        <w:rPr>
          <w:rtl/>
        </w:rPr>
        <w:t>מלתלמיד</w:t>
      </w:r>
      <w:proofErr w:type="spellEnd"/>
      <w:r>
        <w:rPr>
          <w:rtl/>
        </w:rPr>
        <w:t>; ר׳ לייזר גורדון חלה מן הצער והתעלף כמה פעמים”.</w:t>
      </w:r>
    </w:p>
    <w:p w14:paraId="692C68DD" w14:textId="77777777" w:rsidR="00AB3647" w:rsidRDefault="00000000" w:rsidP="007923E9">
      <w:pPr>
        <w:spacing w:after="120" w:line="276" w:lineRule="auto"/>
        <w:jc w:val="both"/>
      </w:pPr>
      <w:r>
        <w:rPr>
          <w:rtl/>
        </w:rPr>
        <w:t>בפעם אחרת חסמו המורדים בבוקר את הכניסה לבית המדרש בסטנדרים שלהם, כדי למנוע מראשי הישיבה להיכנס</w:t>
      </w:r>
      <w:bookmarkStart w:id="4591" w:name="_fnr3402"/>
      <w:r>
        <w:rPr>
          <w:vertAlign w:val="superscript"/>
          <w:rtl/>
        </w:rPr>
        <w:footnoteReference w:id="3411" w:customMarkFollows="0"/>
      </w:r>
      <w:bookmarkEnd w:id="4591"/>
      <w:r>
        <w:rPr>
          <w:rtl/>
        </w:rPr>
        <w:t xml:space="preserve">. ר׳ יוסף לייב סילק כמה ממארגני </w:t>
      </w:r>
      <w:proofErr w:type="spellStart"/>
      <w:r>
        <w:rPr>
          <w:rtl/>
        </w:rPr>
        <w:t>ה“הופקה</w:t>
      </w:r>
      <w:proofErr w:type="spellEnd"/>
      <w:r>
        <w:rPr>
          <w:rtl/>
        </w:rPr>
        <w:t>”</w:t>
      </w:r>
      <w:bookmarkStart w:id="4592" w:name="_fnr3403"/>
      <w:r>
        <w:rPr>
          <w:vertAlign w:val="superscript"/>
          <w:rtl/>
        </w:rPr>
        <w:footnoteReference w:id="3412" w:customMarkFollows="0"/>
      </w:r>
      <w:bookmarkEnd w:id="4592"/>
      <w:r>
        <w:rPr>
          <w:rtl/>
        </w:rPr>
        <w:t>. סוג נוסף של “הופקה” מתואר בזיכרונותיו של ברוך צוקרמן</w:t>
      </w:r>
      <w:bookmarkStart w:id="4593" w:name="_fnr3404"/>
      <w:r>
        <w:rPr>
          <w:vertAlign w:val="superscript"/>
          <w:rtl/>
        </w:rPr>
        <w:footnoteReference w:id="3413" w:customMarkFollows="0"/>
      </w:r>
      <w:bookmarkEnd w:id="4593"/>
      <w:r>
        <w:rPr>
          <w:rtl/>
        </w:rPr>
        <w:t xml:space="preserve">. המחבר, שלמד בישיבה זמן קצר ובא אליה </w:t>
      </w:r>
      <w:proofErr w:type="spellStart"/>
      <w:r>
        <w:rPr>
          <w:rtl/>
        </w:rPr>
        <w:t>בתרס״ב</w:t>
      </w:r>
      <w:proofErr w:type="spellEnd"/>
      <w:r>
        <w:rPr>
          <w:rtl/>
        </w:rPr>
        <w:t>, שמע שהדבר אירע ארבע שנים קודם לכן, וחשד שהתלמידים המבוגרים דיברו על המאורע משום ששקלו לחזור עליו – חשד שהתברר כנכון לפי אסף (ראה בהמשך). “הופקה” מסוג זה, “שביתת שא־שא”, נעשתה על ידי “חבטותיהם של התלמידים בסטנדרים שלהם בזמן שנקבע, ושאגות ‘שא! שא!’”.</w:t>
      </w:r>
    </w:p>
    <w:p w14:paraId="67BFD6C0" w14:textId="77777777" w:rsidR="00AB3647" w:rsidRDefault="00000000" w:rsidP="007923E9">
      <w:pPr>
        <w:spacing w:after="120" w:line="276" w:lineRule="auto"/>
        <w:jc w:val="both"/>
      </w:pPr>
      <w:r>
        <w:rPr>
          <w:rtl/>
        </w:rPr>
        <w:t xml:space="preserve">הרב פרופ׳ ש׳ אסף, שבא </w:t>
      </w:r>
      <w:proofErr w:type="spellStart"/>
      <w:r>
        <w:rPr>
          <w:rtl/>
        </w:rPr>
        <w:t>לטלז</w:t>
      </w:r>
      <w:proofErr w:type="spellEnd"/>
      <w:r>
        <w:rPr>
          <w:rtl/>
        </w:rPr>
        <w:t xml:space="preserve"> בתחילת תרס״ה, מתאר “הופקה” זו במאמר “שנות הלימודים שלי בישיבת </w:t>
      </w:r>
      <w:proofErr w:type="spellStart"/>
      <w:r>
        <w:rPr>
          <w:rtl/>
        </w:rPr>
        <w:t>טלז</w:t>
      </w:r>
      <w:proofErr w:type="spellEnd"/>
      <w:r>
        <w:rPr>
          <w:rtl/>
        </w:rPr>
        <w:t>”</w:t>
      </w:r>
      <w:bookmarkStart w:id="4594" w:name="_fnr3405"/>
      <w:r>
        <w:rPr>
          <w:vertAlign w:val="superscript"/>
          <w:rtl/>
        </w:rPr>
        <w:footnoteReference w:id="3414" w:customMarkFollows="0"/>
      </w:r>
      <w:bookmarkEnd w:id="4594"/>
      <w:r>
        <w:rPr>
          <w:rtl/>
        </w:rPr>
        <w:t>, ולדבריו הסתיימה באלימות: “מאות הבחורים היו לומדים בקול רם יותר מן הרגיל, ופתאום השתררה דממה. לחש, ‘</w:t>
      </w:r>
      <w:proofErr w:type="spellStart"/>
      <w:r>
        <w:rPr>
          <w:rtl/>
        </w:rPr>
        <w:t>שאאא</w:t>
      </w:r>
      <w:proofErr w:type="spellEnd"/>
      <w:r>
        <w:rPr>
          <w:rtl/>
        </w:rPr>
        <w:t xml:space="preserve">’, עבר בבית המדרש, שנעשה שקט כל כך עד שאפשר היה לשמוע זמזום זבוב. לאחר כמה שניות היו הבחורים מתחילים שוב ללמוד בקול, עד </w:t>
      </w:r>
      <w:proofErr w:type="spellStart"/>
      <w:r>
        <w:rPr>
          <w:rtl/>
        </w:rPr>
        <w:t>ל‘שאאא</w:t>
      </w:r>
      <w:proofErr w:type="spellEnd"/>
      <w:r>
        <w:rPr>
          <w:rtl/>
        </w:rPr>
        <w:t>’ שני; וכך פעם שלישית ורביעית. ‘</w:t>
      </w:r>
      <w:proofErr w:type="spellStart"/>
      <w:r>
        <w:rPr>
          <w:rtl/>
        </w:rPr>
        <w:t>שאאא</w:t>
      </w:r>
      <w:proofErr w:type="spellEnd"/>
      <w:r>
        <w:rPr>
          <w:rtl/>
        </w:rPr>
        <w:t xml:space="preserve">’ לא בישר טובות. בסוף זמן הלימוד הקבוע הפכו התלמידים את הספסלים והסטנדרים והותירו את בית המדרש במהומה”. “הופקה” כזו אירעה “סמוך לחנוכה” בזמן הראשון של המחבר </w:t>
      </w:r>
      <w:proofErr w:type="spellStart"/>
      <w:r>
        <w:rPr>
          <w:rtl/>
        </w:rPr>
        <w:t>בטלז</w:t>
      </w:r>
      <w:proofErr w:type="spellEnd"/>
      <w:r>
        <w:rPr>
          <w:rtl/>
        </w:rPr>
        <w:t xml:space="preserve">, בגלל ניסיונו של ר׳ לייזר למנות את חתנו השני, ר׳ </w:t>
      </w:r>
      <w:proofErr w:type="spellStart"/>
      <w:r>
        <w:rPr>
          <w:rtl/>
        </w:rPr>
        <w:t>יצחק־אייזיק</w:t>
      </w:r>
      <w:proofErr w:type="spellEnd"/>
      <w:r>
        <w:rPr>
          <w:rtl/>
        </w:rPr>
        <w:t xml:space="preserve"> </w:t>
      </w:r>
      <w:proofErr w:type="spellStart"/>
      <w:r>
        <w:rPr>
          <w:rtl/>
        </w:rPr>
        <w:t>הירשוביץ</w:t>
      </w:r>
      <w:bookmarkStart w:id="4595" w:name="_fnr3406"/>
      <w:proofErr w:type="spellEnd"/>
      <w:r>
        <w:rPr>
          <w:vertAlign w:val="superscript"/>
          <w:rtl/>
        </w:rPr>
        <w:footnoteReference w:id="3415" w:customMarkFollows="0"/>
      </w:r>
      <w:bookmarkEnd w:id="4595"/>
      <w:r>
        <w:rPr>
          <w:rtl/>
        </w:rPr>
        <w:t xml:space="preserve">, לר״מ בישיבה. אסף טוען </w:t>
      </w:r>
      <w:proofErr w:type="spellStart"/>
      <w:r>
        <w:rPr>
          <w:rtl/>
        </w:rPr>
        <w:t>ש“הופקות</w:t>
      </w:r>
      <w:proofErr w:type="spellEnd"/>
      <w:r>
        <w:rPr>
          <w:rtl/>
        </w:rPr>
        <w:t>” כאלה היו (מסיבה זו או אחרת) גם בתחילת שתי שנות הלימוד הקודמות.</w:t>
      </w:r>
    </w:p>
    <w:p w14:paraId="459E763E" w14:textId="77777777" w:rsidR="00AB3647" w:rsidRDefault="00000000" w:rsidP="007923E9">
      <w:pPr>
        <w:spacing w:after="120" w:line="276" w:lineRule="auto"/>
        <w:jc w:val="both"/>
      </w:pPr>
      <w:r>
        <w:rPr>
          <w:rtl/>
        </w:rPr>
        <w:t xml:space="preserve">נראה גם שאסף מבקש לחסוך מחבריו את המבוכה שבגילוי </w:t>
      </w:r>
      <w:proofErr w:type="spellStart"/>
      <w:r>
        <w:rPr>
          <w:rtl/>
        </w:rPr>
        <w:t>ש“המהומה</w:t>
      </w:r>
      <w:proofErr w:type="spellEnd"/>
      <w:r>
        <w:rPr>
          <w:rtl/>
        </w:rPr>
        <w:t>” שלהם כללה את שבירת המנורות</w:t>
      </w:r>
      <w:bookmarkStart w:id="4596" w:name="_fnr3407"/>
      <w:r>
        <w:rPr>
          <w:vertAlign w:val="superscript"/>
          <w:rtl/>
        </w:rPr>
        <w:footnoteReference w:id="3416" w:customMarkFollows="0"/>
      </w:r>
      <w:bookmarkEnd w:id="4596"/>
      <w:r>
        <w:rPr>
          <w:rtl/>
        </w:rPr>
        <w:t xml:space="preserve">, כמו שתיאר תלמיד מתקופה מוקדמת יותר, ר׳ </w:t>
      </w:r>
      <w:proofErr w:type="spellStart"/>
      <w:r>
        <w:rPr>
          <w:rtl/>
        </w:rPr>
        <w:t>ירוחם־אשר</w:t>
      </w:r>
      <w:proofErr w:type="spellEnd"/>
      <w:r>
        <w:rPr>
          <w:rtl/>
        </w:rPr>
        <w:t xml:space="preserve"> </w:t>
      </w:r>
      <w:proofErr w:type="spellStart"/>
      <w:r>
        <w:rPr>
          <w:rtl/>
        </w:rPr>
        <w:t>ורהפטיג</w:t>
      </w:r>
      <w:proofErr w:type="spellEnd"/>
      <w:r>
        <w:rPr>
          <w:rtl/>
        </w:rPr>
        <w:t xml:space="preserve">. </w:t>
      </w:r>
      <w:r>
        <w:rPr>
          <w:rtl/>
        </w:rPr>
        <w:lastRenderedPageBreak/>
        <w:t xml:space="preserve">שבירת המנורות גם </w:t>
      </w:r>
      <w:proofErr w:type="spellStart"/>
      <w:r>
        <w:rPr>
          <w:rtl/>
        </w:rPr>
        <w:t>ב“הופקה</w:t>
      </w:r>
      <w:proofErr w:type="spellEnd"/>
      <w:r>
        <w:rPr>
          <w:rtl/>
        </w:rPr>
        <w:t xml:space="preserve">” שתיאר אסף מתבררת מעדות הראייה של שמעון </w:t>
      </w:r>
      <w:proofErr w:type="spellStart"/>
      <w:r>
        <w:rPr>
          <w:rtl/>
        </w:rPr>
        <w:t>זאק</w:t>
      </w:r>
      <w:proofErr w:type="spellEnd"/>
      <w:r>
        <w:rPr>
          <w:rtl/>
        </w:rPr>
        <w:t xml:space="preserve">, שנדפסה </w:t>
      </w:r>
      <w:proofErr w:type="spellStart"/>
      <w:r>
        <w:rPr>
          <w:rtl/>
        </w:rPr>
        <w:t>ב“נתיבות</w:t>
      </w:r>
      <w:proofErr w:type="spellEnd"/>
      <w:r>
        <w:rPr>
          <w:rtl/>
        </w:rPr>
        <w:t xml:space="preserve"> החינוך”</w:t>
      </w:r>
      <w:bookmarkStart w:id="4597" w:name="_fnr3409"/>
      <w:r>
        <w:rPr>
          <w:vertAlign w:val="superscript"/>
          <w:rtl/>
        </w:rPr>
        <w:footnoteReference w:id="3417" w:customMarkFollows="0"/>
      </w:r>
      <w:bookmarkEnd w:id="4597"/>
      <w:r>
        <w:rPr>
          <w:rtl/>
        </w:rPr>
        <w:t xml:space="preserve"> ומצוטטת אצל </w:t>
      </w:r>
      <w:proofErr w:type="spellStart"/>
      <w:r>
        <w:rPr>
          <w:rtl/>
        </w:rPr>
        <w:t>רבינר</w:t>
      </w:r>
      <w:proofErr w:type="spellEnd"/>
      <w:r>
        <w:rPr>
          <w:rtl/>
        </w:rPr>
        <w:t>, “הגאון רבי אליעזר גורדון”</w:t>
      </w:r>
      <w:bookmarkStart w:id="4598" w:name="_fnr3408"/>
      <w:r>
        <w:rPr>
          <w:vertAlign w:val="superscript"/>
          <w:rtl/>
        </w:rPr>
        <w:footnoteReference w:id="3418" w:customMarkFollows="0"/>
      </w:r>
      <w:bookmarkEnd w:id="4598"/>
      <w:r>
        <w:rPr>
          <w:rtl/>
        </w:rPr>
        <w:t xml:space="preserve">: אחרי קריאות </w:t>
      </w:r>
      <w:proofErr w:type="spellStart"/>
      <w:r>
        <w:rPr>
          <w:rtl/>
        </w:rPr>
        <w:t>ה“שאאא</w:t>
      </w:r>
      <w:proofErr w:type="spellEnd"/>
      <w:r>
        <w:rPr>
          <w:rtl/>
        </w:rPr>
        <w:t xml:space="preserve">”, שהיו “מין אות לפתיחת מרד, בא עיקר הביטוי אחר כך בשבירת חלונות, רהיטים </w:t>
      </w:r>
      <w:proofErr w:type="spellStart"/>
      <w:r>
        <w:rPr>
          <w:rtl/>
        </w:rPr>
        <w:t>וכו</w:t>
      </w:r>
      <w:proofErr w:type="spellEnd"/>
      <w:r>
        <w:rPr>
          <w:rtl/>
        </w:rPr>
        <w:t xml:space="preserve">׳. במרד כזה, מנורות </w:t>
      </w:r>
      <w:proofErr w:type="spellStart"/>
      <w:r>
        <w:rPr>
          <w:rtl/>
        </w:rPr>
        <w:t>ה‘לוקס</w:t>
      </w:r>
      <w:proofErr w:type="spellEnd"/>
      <w:r>
        <w:rPr>
          <w:rtl/>
        </w:rPr>
        <w:t xml:space="preserve">’ היפות שתרם לישיבה ר׳ [יהושע־]זליג </w:t>
      </w:r>
      <w:proofErr w:type="spellStart"/>
      <w:r>
        <w:rPr>
          <w:rtl/>
        </w:rPr>
        <w:t>פרסיץ</w:t>
      </w:r>
      <w:proofErr w:type="spellEnd"/>
      <w:r>
        <w:rPr>
          <w:rtl/>
        </w:rPr>
        <w:t xml:space="preserve"> ממוסקבה כשבנו יוסף למד שם – הוא היה גם תלמיד באוניברסיטת מוסקבה באותה עת – נופצו לרסיסים”. הדבר הביא את ר׳ לייזר “לחצר הישיבה, מובל בידי בתו הבכורה הנושאת פנס, והוא קרא בדמעות: ‘גזלנים, מה אתם רוצים ממני?!’” אסף גם אומר</w:t>
      </w:r>
      <w:bookmarkStart w:id="4599" w:name="_fnr3410"/>
      <w:r>
        <w:rPr>
          <w:vertAlign w:val="superscript"/>
          <w:rtl/>
        </w:rPr>
        <w:footnoteReference w:id="3419" w:customMarkFollows="0"/>
      </w:r>
      <w:bookmarkEnd w:id="4599"/>
      <w:r>
        <w:rPr>
          <w:rtl/>
        </w:rPr>
        <w:t>: “</w:t>
      </w:r>
      <w:r>
        <w:rPr>
          <w:b/>
          <w:bCs/>
          <w:rtl/>
        </w:rPr>
        <w:t>בזמני (ההדגשה נוספה)</w:t>
      </w:r>
      <w:r>
        <w:rPr>
          <w:rtl/>
        </w:rPr>
        <w:t xml:space="preserve"> למד בישיבה יוסף </w:t>
      </w:r>
      <w:proofErr w:type="spellStart"/>
      <w:r>
        <w:rPr>
          <w:rtl/>
        </w:rPr>
        <w:t>פרסיץ</w:t>
      </w:r>
      <w:proofErr w:type="spellEnd"/>
      <w:r>
        <w:rPr>
          <w:rtl/>
        </w:rPr>
        <w:t>, שלמד בישיבה ובאוניברסיטת מוסקבה בעת ובעונה אחת</w:t>
      </w:r>
      <w:bookmarkStart w:id="4600" w:name="_fnr3411"/>
      <w:r>
        <w:rPr>
          <w:vertAlign w:val="superscript"/>
          <w:rtl/>
        </w:rPr>
        <w:footnoteReference w:id="3420" w:customMarkFollows="0"/>
      </w:r>
      <w:bookmarkEnd w:id="4600"/>
      <w:r>
        <w:rPr>
          <w:rtl/>
        </w:rPr>
        <w:t>”.</w:t>
      </w:r>
    </w:p>
    <w:p w14:paraId="6B2AF0FA" w14:textId="6E5C4672" w:rsidR="00AB3647" w:rsidRDefault="00000000" w:rsidP="007923E9">
      <w:pPr>
        <w:spacing w:after="120" w:line="276" w:lineRule="auto"/>
        <w:jc w:val="both"/>
      </w:pPr>
      <w:r>
        <w:rPr>
          <w:rtl/>
        </w:rPr>
        <w:t>השווה שם</w:t>
      </w:r>
      <w:bookmarkStart w:id="4601" w:name="_fnr3412"/>
      <w:r>
        <w:rPr>
          <w:vertAlign w:val="superscript"/>
          <w:rtl/>
        </w:rPr>
        <w:footnoteReference w:id="3421" w:customMarkFollows="0"/>
      </w:r>
      <w:bookmarkEnd w:id="4601"/>
      <w:r>
        <w:rPr>
          <w:rtl/>
        </w:rPr>
        <w:t xml:space="preserve">, </w:t>
      </w:r>
      <w:proofErr w:type="spellStart"/>
      <w:r>
        <w:rPr>
          <w:rtl/>
        </w:rPr>
        <w:t>ש“השאור</w:t>
      </w:r>
      <w:proofErr w:type="spellEnd"/>
      <w:r>
        <w:rPr>
          <w:rtl/>
        </w:rPr>
        <w:t xml:space="preserve"> שבעיסה”</w:t>
      </w:r>
      <w:bookmarkStart w:id="4602" w:name="_fnr3413"/>
      <w:r>
        <w:rPr>
          <w:vertAlign w:val="superscript"/>
          <w:rtl/>
        </w:rPr>
        <w:footnoteReference w:id="3422" w:customMarkFollows="0"/>
      </w:r>
      <w:bookmarkEnd w:id="4602"/>
      <w:r>
        <w:rPr>
          <w:rtl/>
        </w:rPr>
        <w:t xml:space="preserve"> כמעט בכל ההתגרויות והמרידות שפרצו מדי פעם היו התלמידים בני </w:t>
      </w:r>
      <w:proofErr w:type="spellStart"/>
      <w:r>
        <w:rPr>
          <w:rtl/>
        </w:rPr>
        <w:t>השבע־עשרה</w:t>
      </w:r>
      <w:proofErr w:type="spellEnd"/>
      <w:r>
        <w:rPr>
          <w:rtl/>
        </w:rPr>
        <w:t xml:space="preserve"> </w:t>
      </w:r>
      <w:proofErr w:type="spellStart"/>
      <w:r>
        <w:rPr>
          <w:rtl/>
        </w:rPr>
        <w:t>והשמונה־עשרה</w:t>
      </w:r>
      <w:proofErr w:type="spellEnd"/>
      <w:r>
        <w:rPr>
          <w:rtl/>
        </w:rPr>
        <w:t xml:space="preserve"> – אין פלא שמחאות התלמידים לבשו צורה ילדותית כל כך. עוד נטען שם</w:t>
      </w:r>
      <w:bookmarkStart w:id="4603" w:name="_fnr3414"/>
      <w:r>
        <w:rPr>
          <w:vertAlign w:val="superscript"/>
          <w:rtl/>
        </w:rPr>
        <w:footnoteReference w:id="3423" w:customMarkFollows="0"/>
      </w:r>
      <w:bookmarkEnd w:id="4603"/>
      <w:r>
        <w:rPr>
          <w:rtl/>
        </w:rPr>
        <w:t xml:space="preserve"> שדווקא המחלוקת על </w:t>
      </w:r>
      <w:proofErr w:type="spellStart"/>
      <w:r>
        <w:rPr>
          <w:rtl/>
        </w:rPr>
        <w:t>הירשוביץ</w:t>
      </w:r>
      <w:proofErr w:type="spellEnd"/>
      <w:r>
        <w:rPr>
          <w:rtl/>
        </w:rPr>
        <w:t xml:space="preserve"> היא ששכנעה את ר׳ לייזר שהמוסר הכרחי כדי להרחיק את התלמידים “מן התנועות הציוניות והשמאליות ולהביא להפסקת קריאתם בספרי ההשכלה – דבר שישפיע גם על התלמידים לציית יותר להנהלת הישיבה”. עד אז חשש ר׳ לייזר גורדון </w:t>
      </w:r>
      <w:proofErr w:type="spellStart"/>
      <w:r>
        <w:rPr>
          <w:rtl/>
        </w:rPr>
        <w:t>ש“לימוד</w:t>
      </w:r>
      <w:proofErr w:type="spellEnd"/>
      <w:r>
        <w:rPr>
          <w:rtl/>
        </w:rPr>
        <w:t xml:space="preserve"> המוסר יסיח את הבחורים במידה מסוימת מלימוד התורה, הדורש את כל כוחות הנפש של התלמידים הצעירים”. אבל על השקפת אבי בדבר יחסו של ר׳ לייזר גורדון למוסר השווה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להלן.</w:t>
      </w:r>
    </w:p>
    <w:bookmarkStart w:id="4604" w:name="b4_note111"/>
    <w:p w14:paraId="696B9975" w14:textId="77777777" w:rsidR="00AB3647" w:rsidRDefault="00000000" w:rsidP="007923E9">
      <w:pPr>
        <w:spacing w:before="120" w:after="100" w:line="276" w:lineRule="auto"/>
        <w:jc w:val="both"/>
      </w:pPr>
      <w:r>
        <w:fldChar w:fldCharType="begin" w:dirty="true"/>
      </w:r>
      <w:r>
        <w:instrText>HYPERLINK \l "b4_text111" \h</w:instrText>
      </w:r>
      <w:r>
        <w:fldChar w:fldCharType="separate"/>
      </w:r>
      <w:r>
        <w:rPr>
          <w:b/>
          <w:bCs/>
          <w:rtl/>
        </w:rPr>
        <w:t>111</w:t>
      </w:r>
      <w:r>
        <w:rPr>
          <w:b/>
          <w:bCs/>
        </w:rPr>
        <w:fldChar w:fldCharType="end"/>
      </w:r>
      <w:bookmarkEnd w:id="4604"/>
      <w:r>
        <w:rPr>
          <w:rtl/>
        </w:rPr>
        <w:t xml:space="preserve"> ר׳ לייב, שנולד </w:t>
      </w:r>
      <w:proofErr w:type="spellStart"/>
      <w:r>
        <w:rPr>
          <w:rtl/>
        </w:rPr>
        <w:t>בתרכ״ט</w:t>
      </w:r>
      <w:proofErr w:type="spellEnd"/>
      <w:r>
        <w:rPr>
          <w:rtl/>
        </w:rPr>
        <w:t xml:space="preserve"> ונפטר </w:t>
      </w:r>
      <w:proofErr w:type="spellStart"/>
      <w:r>
        <w:rPr>
          <w:rtl/>
        </w:rPr>
        <w:t>בתרצ״ו</w:t>
      </w:r>
      <w:proofErr w:type="spellEnd"/>
      <w:r>
        <w:rPr>
          <w:rtl/>
        </w:rPr>
        <w:t xml:space="preserve">, נאלץ לפרוש חודשים ספורים אחרי מינויו, בעקבות </w:t>
      </w:r>
      <w:proofErr w:type="spellStart"/>
      <w:r>
        <w:rPr>
          <w:rtl/>
        </w:rPr>
        <w:t>ה“הופקה</w:t>
      </w:r>
      <w:proofErr w:type="spellEnd"/>
      <w:r>
        <w:rPr>
          <w:rtl/>
        </w:rPr>
        <w:t>” המתוארת בפסקה הראשונה של ההערה הקודמת. הוא עזב את העיר, אבל כעבור זמן קצר קרא לו ר׳ לייזר לשוב</w:t>
      </w:r>
      <w:bookmarkStart w:id="4605" w:name="_fnr3415"/>
      <w:r>
        <w:rPr>
          <w:vertAlign w:val="superscript"/>
          <w:rtl/>
        </w:rPr>
        <w:footnoteReference w:id="3424" w:customMarkFollows="0"/>
      </w:r>
      <w:bookmarkEnd w:id="4605"/>
      <w:r>
        <w:rPr>
          <w:rtl/>
        </w:rPr>
        <w:t xml:space="preserve">. לבסוף עזב ר׳ לייב חסמן את </w:t>
      </w:r>
      <w:proofErr w:type="spellStart"/>
      <w:r>
        <w:rPr>
          <w:rtl/>
        </w:rPr>
        <w:t>טלז</w:t>
      </w:r>
      <w:proofErr w:type="spellEnd"/>
      <w:r>
        <w:rPr>
          <w:rtl/>
        </w:rPr>
        <w:t xml:space="preserve"> </w:t>
      </w:r>
      <w:proofErr w:type="spellStart"/>
      <w:r>
        <w:rPr>
          <w:rtl/>
        </w:rPr>
        <w:t>בתרס״ג</w:t>
      </w:r>
      <w:proofErr w:type="spellEnd"/>
      <w:r>
        <w:rPr>
          <w:rtl/>
        </w:rPr>
        <w:t>.</w:t>
      </w:r>
    </w:p>
    <w:p w14:paraId="5FEB1A68" w14:textId="65077B5F" w:rsidR="00AB3647" w:rsidRDefault="00000000" w:rsidP="007923E9">
      <w:pPr>
        <w:spacing w:after="120" w:line="276" w:lineRule="auto"/>
        <w:jc w:val="both"/>
      </w:pPr>
      <w:r>
        <w:rPr>
          <w:rtl/>
        </w:rPr>
        <w:t xml:space="preserve">כץ, “תנועת המוסר”, כרך ה, מקדיש </w:t>
      </w:r>
      <w:proofErr w:type="spellStart"/>
      <w:r>
        <w:rPr>
          <w:rtl/>
        </w:rPr>
        <w:t>לר</w:t>
      </w:r>
      <w:proofErr w:type="spellEnd"/>
      <w:r>
        <w:rPr>
          <w:rtl/>
        </w:rPr>
        <w:t>׳ לייב את פרקים 11–14</w:t>
      </w:r>
      <w:bookmarkStart w:id="4606" w:name="_fnr3416"/>
      <w:r>
        <w:rPr>
          <w:vertAlign w:val="superscript"/>
          <w:rtl/>
        </w:rPr>
        <w:footnoteReference w:id="3425" w:customMarkFollows="0"/>
      </w:r>
      <w:bookmarkEnd w:id="4606"/>
      <w:r>
        <w:rPr>
          <w:rtl/>
        </w:rPr>
        <w:t xml:space="preserve">. לפי ר׳ ישראל </w:t>
      </w:r>
      <w:proofErr w:type="spellStart"/>
      <w:r>
        <w:rPr>
          <w:rtl/>
        </w:rPr>
        <w:t>שורין</w:t>
      </w:r>
      <w:bookmarkStart w:id="4607" w:name="_fnr3417"/>
      <w:proofErr w:type="spellEnd"/>
      <w:r>
        <w:rPr>
          <w:vertAlign w:val="superscript"/>
          <w:rtl/>
        </w:rPr>
        <w:footnoteReference w:id="3426" w:customMarkFollows="0"/>
      </w:r>
      <w:bookmarkEnd w:id="4607"/>
      <w:r>
        <w:rPr>
          <w:rtl/>
        </w:rPr>
        <w:t>, הוסיף אבי פרט מעניין לאחד הסיפורים המובאים שם</w:t>
      </w:r>
      <w:bookmarkStart w:id="4608" w:name="_fnr3418"/>
      <w:r>
        <w:rPr>
          <w:vertAlign w:val="superscript"/>
          <w:rtl/>
        </w:rPr>
        <w:footnoteReference w:id="3427" w:customMarkFollows="0"/>
      </w:r>
      <w:bookmarkEnd w:id="4608"/>
      <w:r>
        <w:rPr>
          <w:rtl/>
        </w:rPr>
        <w:t xml:space="preserve">. כץ מספר שכאשר ביקר ר׳ לייב חסמן </w:t>
      </w:r>
      <w:proofErr w:type="spellStart"/>
      <w:r>
        <w:rPr>
          <w:rtl/>
        </w:rPr>
        <w:t>בסלבודקה</w:t>
      </w:r>
      <w:proofErr w:type="spellEnd"/>
      <w:r>
        <w:rPr>
          <w:rtl/>
        </w:rPr>
        <w:t xml:space="preserve"> </w:t>
      </w:r>
      <w:proofErr w:type="spellStart"/>
      <w:r>
        <w:rPr>
          <w:rtl/>
        </w:rPr>
        <w:t>בתרפ״א</w:t>
      </w:r>
      <w:proofErr w:type="spellEnd"/>
      <w:r>
        <w:rPr>
          <w:rtl/>
        </w:rPr>
        <w:t xml:space="preserve">, והסבא הזמין אותו למסור שיחה, פתח במתקפה חזיתית על ישיבת </w:t>
      </w:r>
      <w:proofErr w:type="spellStart"/>
      <w:r>
        <w:rPr>
          <w:rtl/>
        </w:rPr>
        <w:t>סלבודקה</w:t>
      </w:r>
      <w:proofErr w:type="spellEnd"/>
      <w:r>
        <w:rPr>
          <w:rtl/>
        </w:rPr>
        <w:t xml:space="preserve"> – גם על רמת הלמדנות שבה וגם על סדרי המוסר שלה. אבי סיפר שהסבא עצמו נכח בשעת המתקפה המילולית: הוא עמד מאחורי הבימה וחייך. ר׳ ישראל </w:t>
      </w:r>
      <w:proofErr w:type="spellStart"/>
      <w:r>
        <w:rPr>
          <w:rtl/>
        </w:rPr>
        <w:t>שורין</w:t>
      </w:r>
      <w:proofErr w:type="spellEnd"/>
      <w:r>
        <w:rPr>
          <w:rtl/>
        </w:rPr>
        <w:t xml:space="preserve"> שאל את רבנו: </w:t>
      </w:r>
      <w:r>
        <w:rPr>
          <w:rtl/>
        </w:rPr>
        <w:lastRenderedPageBreak/>
        <w:t xml:space="preserve">“האם הסבא באמת נהנה מן ההתקפה?” והתשובה הייתה: “אצל הסבא אי אפשר היה לדעת [האט מען </w:t>
      </w:r>
      <w:proofErr w:type="spellStart"/>
      <w:r>
        <w:rPr>
          <w:rtl/>
        </w:rPr>
        <w:t>נישט</w:t>
      </w:r>
      <w:proofErr w:type="spellEnd"/>
      <w:r>
        <w:rPr>
          <w:rtl/>
        </w:rPr>
        <w:t xml:space="preserve"> </w:t>
      </w:r>
      <w:proofErr w:type="spellStart"/>
      <w:r>
        <w:rPr>
          <w:rtl/>
        </w:rPr>
        <w:t>געקענט</w:t>
      </w:r>
      <w:proofErr w:type="spellEnd"/>
      <w:r>
        <w:rPr>
          <w:rtl/>
        </w:rPr>
        <w:t xml:space="preserve"> </w:t>
      </w:r>
      <w:proofErr w:type="spellStart"/>
      <w:r>
        <w:rPr>
          <w:rtl/>
        </w:rPr>
        <w:t>וויסען</w:t>
      </w:r>
      <w:proofErr w:type="spellEnd"/>
      <w:r>
        <w:rPr>
          <w:rtl/>
        </w:rPr>
        <w:t xml:space="preserve">]”. השווה גם פרק 3, הערה </w:t>
      </w:r>
      <w:r>
        <w:rPr>
          <w:rtl/>
        </w:rPr>
        <w:fldChar w:fldCharType="begin" w:dirty="true"/>
      </w:r>
      <w:r>
        <w:rPr>
          <w:rtl/>
        </w:rPr>
        <w:instrText xml:space="preserve"> REF b3_note80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80</w:t>
      </w:r>
      <w:r>
        <w:rPr>
          <w:rtl/>
        </w:rPr>
        <w:fldChar w:fldCharType="end"/>
      </w:r>
      <w:r>
        <w:rPr>
          <w:rtl/>
        </w:rPr>
        <w:t>.</w:t>
      </w:r>
    </w:p>
    <w:bookmarkStart w:id="4609" w:name="b4_note112"/>
    <w:p w14:paraId="5961001D" w14:textId="6B14E45E" w:rsidR="00AB3647" w:rsidRDefault="00000000" w:rsidP="007923E9">
      <w:pPr>
        <w:spacing w:before="120" w:after="100" w:line="276" w:lineRule="auto"/>
        <w:jc w:val="both"/>
      </w:pPr>
      <w:r>
        <w:fldChar w:fldCharType="begin" w:dirty="true"/>
      </w:r>
      <w:r>
        <w:instrText>HYPERLINK \l "b4_text112" \h</w:instrText>
      </w:r>
      <w:r>
        <w:fldChar w:fldCharType="separate"/>
      </w:r>
      <w:r>
        <w:rPr>
          <w:b/>
          <w:bCs/>
          <w:rtl/>
        </w:rPr>
        <w:t>112</w:t>
      </w:r>
      <w:r>
        <w:rPr>
          <w:b/>
          <w:bCs/>
        </w:rPr>
        <w:fldChar w:fldCharType="end"/>
      </w:r>
      <w:bookmarkEnd w:id="4609"/>
      <w:r>
        <w:rPr>
          <w:rtl/>
        </w:rPr>
        <w:t xml:space="preserve"> השווה לסוף הערה </w:t>
      </w:r>
      <w:r>
        <w:rPr>
          <w:rtl/>
        </w:rPr>
        <w:fldChar w:fldCharType="begin" w:dirty="true"/>
      </w:r>
      <w:r>
        <w:rPr>
          <w:rtl/>
        </w:rPr>
        <w:instrText xml:space="preserve"> REF b4_note127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127</w:t>
      </w:r>
      <w:r>
        <w:rPr>
          <w:rtl/>
        </w:rPr>
        <w:fldChar w:fldCharType="end"/>
      </w:r>
      <w:r>
        <w:rPr>
          <w:rtl/>
        </w:rPr>
        <w:t xml:space="preserve"> להלן.</w:t>
      </w:r>
    </w:p>
    <w:bookmarkStart w:id="4610" w:name="b4_note113"/>
    <w:p w14:paraId="794E4DCB" w14:textId="77777777" w:rsidR="00AB3647" w:rsidRDefault="00000000" w:rsidP="007923E9">
      <w:pPr>
        <w:spacing w:before="120" w:after="100" w:line="276" w:lineRule="auto"/>
        <w:jc w:val="both"/>
      </w:pPr>
      <w:r>
        <w:fldChar w:fldCharType="begin" w:dirty="true"/>
      </w:r>
      <w:r>
        <w:instrText>HYPERLINK \l "b4_text113" \h</w:instrText>
      </w:r>
      <w:r>
        <w:fldChar w:fldCharType="separate"/>
      </w:r>
      <w:r>
        <w:rPr>
          <w:b/>
          <w:bCs/>
          <w:rtl/>
        </w:rPr>
        <w:t>113</w:t>
      </w:r>
      <w:r>
        <w:rPr>
          <w:b/>
          <w:bCs/>
        </w:rPr>
        <w:fldChar w:fldCharType="end"/>
      </w:r>
      <w:bookmarkEnd w:id="4610"/>
      <w:r>
        <w:rPr>
          <w:rtl/>
        </w:rPr>
        <w:t xml:space="preserve"> “שדות ולב” טועה</w:t>
      </w:r>
      <w:bookmarkStart w:id="4611" w:name="_fnr3419"/>
      <w:r>
        <w:rPr>
          <w:vertAlign w:val="superscript"/>
          <w:rtl/>
        </w:rPr>
        <w:footnoteReference w:id="3428" w:customMarkFollows="0"/>
      </w:r>
      <w:bookmarkEnd w:id="4611"/>
      <w:r>
        <w:rPr>
          <w:rtl/>
        </w:rPr>
        <w:t xml:space="preserve"> כשהוא אומר שר׳ יוסף לייב בלוך עזב את </w:t>
      </w:r>
      <w:proofErr w:type="spellStart"/>
      <w:r>
        <w:rPr>
          <w:rtl/>
        </w:rPr>
        <w:t>טלז</w:t>
      </w:r>
      <w:proofErr w:type="spellEnd"/>
      <w:r>
        <w:rPr>
          <w:rtl/>
        </w:rPr>
        <w:t xml:space="preserve"> יחד עם הקבוצה (הראשונה) </w:t>
      </w:r>
      <w:proofErr w:type="spellStart"/>
      <w:r>
        <w:rPr>
          <w:rtl/>
        </w:rPr>
        <w:t>מסלבודקה</w:t>
      </w:r>
      <w:proofErr w:type="spellEnd"/>
      <w:r>
        <w:rPr>
          <w:rtl/>
        </w:rPr>
        <w:t xml:space="preserve"> בתחילת תרס״ז, כשנסגרה הישיבה – כמתואר במשפטים הבאים. למעשה, כשהחליט ר׳ לייזר לפתוח מחדש את הישיבה, הוזמן ר׳ יוסף לייב בלוך, </w:t>
      </w:r>
      <w:r>
        <w:rPr>
          <w:b/>
          <w:bCs/>
          <w:rtl/>
        </w:rPr>
        <w:t>כאדם מבחוץ שלא היה מעורב במהומה</w:t>
      </w:r>
      <w:r>
        <w:rPr>
          <w:rtl/>
        </w:rPr>
        <w:t xml:space="preserve">, לתווך בין תלמידי </w:t>
      </w:r>
      <w:proofErr w:type="spellStart"/>
      <w:r>
        <w:rPr>
          <w:rtl/>
        </w:rPr>
        <w:t>טלז</w:t>
      </w:r>
      <w:proofErr w:type="spellEnd"/>
      <w:r>
        <w:rPr>
          <w:rtl/>
        </w:rPr>
        <w:t xml:space="preserve"> להנהלה, והוא נשא את נאום הפתיחה בחנוכת הישיבה מחדש</w:t>
      </w:r>
      <w:bookmarkStart w:id="4612" w:name="_fnr3420"/>
      <w:r>
        <w:rPr>
          <w:vertAlign w:val="superscript"/>
          <w:rtl/>
        </w:rPr>
        <w:footnoteReference w:id="3429" w:customMarkFollows="0"/>
      </w:r>
      <w:bookmarkEnd w:id="4612"/>
      <w:r>
        <w:rPr>
          <w:rtl/>
        </w:rPr>
        <w:t xml:space="preserve">. הוא נעשה רב </w:t>
      </w:r>
      <w:proofErr w:type="spellStart"/>
      <w:r>
        <w:rPr>
          <w:rtl/>
        </w:rPr>
        <w:t>בוורנה</w:t>
      </w:r>
      <w:proofErr w:type="spellEnd"/>
      <w:r>
        <w:rPr>
          <w:rtl/>
        </w:rPr>
        <w:t xml:space="preserve"> בחנוכה תרס״ב, </w:t>
      </w:r>
      <w:proofErr w:type="spellStart"/>
      <w:r>
        <w:rPr>
          <w:rtl/>
        </w:rPr>
        <w:t>ובשדובה</w:t>
      </w:r>
      <w:proofErr w:type="spellEnd"/>
      <w:r>
        <w:rPr>
          <w:rtl/>
        </w:rPr>
        <w:t xml:space="preserve"> כעבור שנתיים וחצי, ובשתי העיירות ניהל ישיבה בזמן כהונתו</w:t>
      </w:r>
      <w:bookmarkStart w:id="4613" w:name="_fnr3421"/>
      <w:r>
        <w:rPr>
          <w:vertAlign w:val="superscript"/>
          <w:rtl/>
        </w:rPr>
        <w:footnoteReference w:id="3430" w:customMarkFollows="0"/>
      </w:r>
      <w:bookmarkEnd w:id="4613"/>
      <w:r>
        <w:rPr>
          <w:rtl/>
        </w:rPr>
        <w:t>.</w:t>
      </w:r>
    </w:p>
    <w:p w14:paraId="4C0B6F37" w14:textId="77777777" w:rsidR="00AB3647" w:rsidRDefault="00000000" w:rsidP="007923E9">
      <w:pPr>
        <w:spacing w:before="120" w:after="100" w:line="276" w:lineRule="auto"/>
        <w:jc w:val="both"/>
      </w:pPr>
      <w:r>
        <w:rPr>
          <w:rtl/>
        </w:rPr>
        <w:t xml:space="preserve">ר׳ שמעון </w:t>
      </w:r>
      <w:proofErr w:type="spellStart"/>
      <w:r>
        <w:rPr>
          <w:rtl/>
        </w:rPr>
        <w:t>שקופ</w:t>
      </w:r>
      <w:bookmarkStart w:id="4614" w:name="_fnr3422"/>
      <w:proofErr w:type="spellEnd"/>
      <w:r>
        <w:rPr>
          <w:vertAlign w:val="superscript"/>
          <w:rtl/>
        </w:rPr>
        <w:footnoteReference w:id="3431" w:customMarkFollows="0"/>
      </w:r>
      <w:bookmarkEnd w:id="4614"/>
      <w:r>
        <w:rPr>
          <w:rtl/>
        </w:rPr>
        <w:t xml:space="preserve"> כיהן ברבנות </w:t>
      </w:r>
      <w:proofErr w:type="spellStart"/>
      <w:r>
        <w:rPr>
          <w:rtl/>
        </w:rPr>
        <w:t>מאלטש</w:t>
      </w:r>
      <w:proofErr w:type="spellEnd"/>
      <w:r>
        <w:rPr>
          <w:rtl/>
        </w:rPr>
        <w:t xml:space="preserve"> עד תרס״ז, ואחר כך </w:t>
      </w:r>
      <w:proofErr w:type="spellStart"/>
      <w:r>
        <w:rPr>
          <w:rtl/>
        </w:rPr>
        <w:t>בבריינסק</w:t>
      </w:r>
      <w:proofErr w:type="spellEnd"/>
      <w:r>
        <w:rPr>
          <w:rtl/>
        </w:rPr>
        <w:t xml:space="preserve">. </w:t>
      </w:r>
      <w:proofErr w:type="spellStart"/>
      <w:r>
        <w:rPr>
          <w:rtl/>
        </w:rPr>
        <w:t>בתר״פ</w:t>
      </w:r>
      <w:proofErr w:type="spellEnd"/>
      <w:r>
        <w:rPr>
          <w:rtl/>
        </w:rPr>
        <w:t xml:space="preserve"> נעשה ר׳ שמעון רב </w:t>
      </w:r>
      <w:proofErr w:type="spellStart"/>
      <w:r>
        <w:rPr>
          <w:rtl/>
        </w:rPr>
        <w:t>בגרודנא</w:t>
      </w:r>
      <w:proofErr w:type="spellEnd"/>
      <w:r>
        <w:rPr>
          <w:rtl/>
        </w:rPr>
        <w:t>. בכל מקום שכיהן בו ניהל ישיבה. ר׳ לייב</w:t>
      </w:r>
      <w:bookmarkStart w:id="4615" w:name="_fnr3423"/>
      <w:r>
        <w:rPr>
          <w:vertAlign w:val="superscript"/>
          <w:rtl/>
        </w:rPr>
        <w:footnoteReference w:id="3432" w:customMarkFollows="0"/>
      </w:r>
      <w:bookmarkEnd w:id="4615"/>
      <w:r>
        <w:rPr>
          <w:rtl/>
        </w:rPr>
        <w:t xml:space="preserve"> שהה </w:t>
      </w:r>
      <w:proofErr w:type="spellStart"/>
      <w:r>
        <w:rPr>
          <w:rtl/>
        </w:rPr>
        <w:t>בקלם</w:t>
      </w:r>
      <w:proofErr w:type="spellEnd"/>
      <w:r>
        <w:rPr>
          <w:rtl/>
        </w:rPr>
        <w:t xml:space="preserve"> שנתיים, אחר כך נעשה רב בכפר </w:t>
      </w:r>
      <w:proofErr w:type="spellStart"/>
      <w:r>
        <w:rPr>
          <w:rtl/>
        </w:rPr>
        <w:t>לודווינובה</w:t>
      </w:r>
      <w:proofErr w:type="spellEnd"/>
      <w:r>
        <w:rPr>
          <w:rtl/>
        </w:rPr>
        <w:t xml:space="preserve"> לארבע שנים, ולאחר מכן </w:t>
      </w:r>
      <w:proofErr w:type="spellStart"/>
      <w:r>
        <w:rPr>
          <w:rtl/>
        </w:rPr>
        <w:t>בשצ׳וצ׳ין</w:t>
      </w:r>
      <w:proofErr w:type="spellEnd"/>
      <w:r>
        <w:rPr>
          <w:rtl/>
        </w:rPr>
        <w:t xml:space="preserve">, ושם פתח ישיבה בעזרת הסבא (וקרא לה בשם ההולם “ענף כנסת ישראל”). אחרי מלחמת העולם הראשונה, </w:t>
      </w:r>
      <w:proofErr w:type="spellStart"/>
      <w:r>
        <w:rPr>
          <w:rtl/>
        </w:rPr>
        <w:t>כששצ׳וצ׳ין</w:t>
      </w:r>
      <w:proofErr w:type="spellEnd"/>
      <w:r>
        <w:rPr>
          <w:rtl/>
        </w:rPr>
        <w:t xml:space="preserve"> כבר לא התאימה לישיבה, פעל ר׳ לייב יד ביד עם ר׳ </w:t>
      </w:r>
      <w:proofErr w:type="spellStart"/>
      <w:r>
        <w:rPr>
          <w:rtl/>
        </w:rPr>
        <w:t>חיים־עוזר</w:t>
      </w:r>
      <w:proofErr w:type="spellEnd"/>
      <w:r>
        <w:rPr>
          <w:rtl/>
        </w:rPr>
        <w:t xml:space="preserve"> </w:t>
      </w:r>
      <w:proofErr w:type="spellStart"/>
      <w:r>
        <w:rPr>
          <w:rtl/>
        </w:rPr>
        <w:t>גרודזנסקי</w:t>
      </w:r>
      <w:proofErr w:type="spellEnd"/>
      <w:r>
        <w:rPr>
          <w:rtl/>
        </w:rPr>
        <w:t xml:space="preserve"> בניהול ועד הישיבות, שמרכזו בווילנה. </w:t>
      </w:r>
      <w:proofErr w:type="spellStart"/>
      <w:r>
        <w:rPr>
          <w:rtl/>
        </w:rPr>
        <w:t>בתרפ״ז</w:t>
      </w:r>
      <w:proofErr w:type="spellEnd"/>
      <w:r>
        <w:rPr>
          <w:rtl/>
        </w:rPr>
        <w:t xml:space="preserve"> התיישב ר׳ לייב חסמן בארץ ישראל, ושם כיהן כמשגיח בישיבת חברון.</w:t>
      </w:r>
    </w:p>
    <w:p w14:paraId="6DB65E3B" w14:textId="5310F4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אבל המהפכה נגד הצאר, שהגיעה לשיאה </w:t>
      </w:r>
      <w:proofErr w:type="spellStart"/>
      <w:r>
        <w:rPr>
          <w:rtl/>
        </w:rPr>
        <w:t>בתרס״ד</w:t>
      </w:r>
      <w:proofErr w:type="spellEnd"/>
      <w:r>
        <w:rPr>
          <w:rtl/>
        </w:rPr>
        <w:t xml:space="preserve"> </w:t>
      </w:r>
      <w:proofErr w:type="spellStart"/>
      <w:r>
        <w:rPr>
          <w:rtl/>
        </w:rPr>
        <w:t>ובתרס״ה</w:t>
      </w:r>
      <w:proofErr w:type="spellEnd"/>
      <w:r>
        <w:rPr>
          <w:rtl/>
        </w:rPr>
        <w:t xml:space="preserve">, היא שהביאה את ההתפרצויות </w:t>
      </w:r>
      <w:proofErr w:type="spellStart"/>
      <w:r>
        <w:rPr>
          <w:rtl/>
        </w:rPr>
        <w:t>בטלז</w:t>
      </w:r>
      <w:proofErr w:type="spellEnd"/>
      <w:r>
        <w:rPr>
          <w:rtl/>
        </w:rPr>
        <w:t xml:space="preserve"> למלוא עוצמתן. כמו בסלבודקה</w:t>
      </w:r>
      <w:bookmarkStart w:id="4616" w:name="b4_text114"/>
      <w:bookmarkEnd w:id="4616"/>
      <w:r>
        <w:rPr>
          <w:sz w:val="18"/>
          <w:szCs w:val="18"/>
          <w:vertAlign w:val="superscript"/>
          <w:rtl/>
        </w:rPr>
        <w:fldChar w:fldCharType="begin" w:dirty="true"/>
      </w:r>
      <w:r>
        <w:rPr>
          <w:sz w:val="18"/>
          <w:szCs w:val="18"/>
          <w:vertAlign w:val="superscript"/>
          <w:rtl/>
        </w:rPr>
        <w:instrText xml:space="preserve"> REF b4_note114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114</w:t>
      </w:r>
      <w:r>
        <w:rPr>
          <w:sz w:val="18"/>
          <w:szCs w:val="18"/>
          <w:vertAlign w:val="superscript"/>
          <w:rtl/>
        </w:rPr>
        <w:fldChar w:fldCharType="end"/>
      </w:r>
      <w:r>
        <w:rPr>
          <w:rtl/>
        </w:rPr>
        <w:t xml:space="preserve">, נמשכו תלמידים רבים לסוציאליזם, </w:t>
      </w:r>
      <w:proofErr w:type="spellStart"/>
      <w:r>
        <w:rPr>
          <w:rtl/>
        </w:rPr>
        <w:t>וה“הופקות</w:t>
      </w:r>
      <w:proofErr w:type="spellEnd"/>
      <w:r>
        <w:rPr>
          <w:rtl/>
        </w:rPr>
        <w:t xml:space="preserve">” (מהומות) החוזרות בתוך הישיבה הביאו את ר׳ לייזר לפנות לסבא </w:t>
      </w:r>
      <w:proofErr w:type="spellStart"/>
      <w:r>
        <w:rPr>
          <w:rtl/>
        </w:rPr>
        <w:t>מסלבודקה</w:t>
      </w:r>
      <w:proofErr w:type="spellEnd"/>
      <w:r>
        <w:rPr>
          <w:rtl/>
        </w:rPr>
        <w:t>, הצעיר ממנו בשמונה שנים, בבקשת תגבורת</w:t>
      </w:r>
      <w:bookmarkStart w:id="4617" w:name="b4_text115"/>
      <w:bookmarkEnd w:id="4617"/>
      <w:r>
        <w:rPr>
          <w:sz w:val="18"/>
          <w:szCs w:val="18"/>
          <w:vertAlign w:val="superscript"/>
          <w:rtl/>
        </w:rPr>
        <w:fldChar w:fldCharType="begin" w:dirty="true"/>
      </w:r>
      <w:r>
        <w:rPr>
          <w:sz w:val="18"/>
          <w:szCs w:val="18"/>
          <w:vertAlign w:val="superscript"/>
          <w:rtl/>
        </w:rPr>
        <w:instrText xml:space="preserve"> REF b4_note115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115</w:t>
      </w:r>
      <w:r>
        <w:rPr>
          <w:sz w:val="18"/>
          <w:szCs w:val="18"/>
          <w:vertAlign w:val="superscript"/>
          <w:rtl/>
        </w:rPr>
        <w:fldChar w:fldCharType="end"/>
      </w:r>
      <w:r>
        <w:rPr>
          <w:rtl/>
        </w:rPr>
        <w:t xml:space="preserve">. לזמן הקיץ של תרס״ה באה </w:t>
      </w:r>
      <w:proofErr w:type="spellStart"/>
      <w:r>
        <w:rPr>
          <w:rtl/>
        </w:rPr>
        <w:t>לטלז</w:t>
      </w:r>
      <w:proofErr w:type="spellEnd"/>
      <w:r>
        <w:rPr>
          <w:rtl/>
        </w:rPr>
        <w:t xml:space="preserve"> קבוצה של יותר מעשרים</w:t>
      </w:r>
      <w:bookmarkStart w:id="4618" w:name="b4_text116"/>
      <w:bookmarkEnd w:id="4618"/>
      <w:r>
        <w:rPr>
          <w:sz w:val="18"/>
          <w:szCs w:val="18"/>
          <w:vertAlign w:val="superscript"/>
          <w:rtl/>
        </w:rPr>
        <w:fldChar w:fldCharType="begin" w:dirty="true"/>
      </w:r>
      <w:r>
        <w:rPr>
          <w:sz w:val="18"/>
          <w:szCs w:val="18"/>
          <w:vertAlign w:val="superscript"/>
          <w:rtl/>
        </w:rPr>
        <w:instrText xml:space="preserve"> REF b4_note116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116</w:t>
      </w:r>
      <w:r>
        <w:rPr>
          <w:sz w:val="18"/>
          <w:szCs w:val="18"/>
          <w:vertAlign w:val="superscript"/>
          <w:rtl/>
        </w:rPr>
        <w:fldChar w:fldCharType="end"/>
      </w:r>
      <w:r>
        <w:rPr>
          <w:rtl/>
        </w:rPr>
        <w:t xml:space="preserve"> מן התלמידים המעולים של </w:t>
      </w:r>
      <w:proofErr w:type="spellStart"/>
      <w:r>
        <w:rPr>
          <w:rtl/>
        </w:rPr>
        <w:t>סלבודקה</w:t>
      </w:r>
      <w:proofErr w:type="spellEnd"/>
      <w:r>
        <w:rPr>
          <w:rtl/>
        </w:rPr>
        <w:t>, יחד עם משגיח</w:t>
      </w:r>
      <w:bookmarkStart w:id="4619" w:name="b4_text117"/>
      <w:bookmarkEnd w:id="4619"/>
      <w:r>
        <w:rPr>
          <w:sz w:val="18"/>
          <w:szCs w:val="18"/>
          <w:vertAlign w:val="superscript"/>
          <w:rtl/>
        </w:rPr>
        <w:fldChar w:fldCharType="begin" w:dirty="true"/>
      </w:r>
      <w:r>
        <w:rPr>
          <w:sz w:val="18"/>
          <w:szCs w:val="18"/>
          <w:vertAlign w:val="superscript"/>
          <w:rtl/>
        </w:rPr>
        <w:instrText xml:space="preserve"> REF b4_note117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117</w:t>
      </w:r>
      <w:r>
        <w:rPr>
          <w:sz w:val="18"/>
          <w:szCs w:val="18"/>
          <w:vertAlign w:val="superscript"/>
          <w:rtl/>
        </w:rPr>
        <w:fldChar w:fldCharType="end"/>
      </w:r>
      <w:r>
        <w:rPr>
          <w:rtl/>
        </w:rPr>
        <w:t xml:space="preserve">. תלמידי </w:t>
      </w:r>
      <w:proofErr w:type="spellStart"/>
      <w:r>
        <w:rPr>
          <w:rtl/>
        </w:rPr>
        <w:t>טלז</w:t>
      </w:r>
      <w:proofErr w:type="spellEnd"/>
      <w:r>
        <w:rPr>
          <w:rtl/>
        </w:rPr>
        <w:t xml:space="preserve"> היו גאים, ובצדק, אבל לא קיבלו בעין יפה את הבאים החדשים, </w:t>
      </w:r>
      <w:proofErr w:type="spellStart"/>
      <w:r>
        <w:rPr>
          <w:rtl/>
        </w:rPr>
        <w:t>וה“הופקות</w:t>
      </w:r>
      <w:proofErr w:type="spellEnd"/>
      <w:r>
        <w:rPr>
          <w:rtl/>
        </w:rPr>
        <w:t>” הגיעו לעוצמה נפיצה</w:t>
      </w:r>
      <w:bookmarkStart w:id="4620" w:name="b4_text118"/>
      <w:bookmarkEnd w:id="4620"/>
      <w:r>
        <w:rPr>
          <w:sz w:val="18"/>
          <w:szCs w:val="18"/>
          <w:vertAlign w:val="superscript"/>
          <w:rtl/>
        </w:rPr>
        <w:fldChar w:fldCharType="begin" w:dirty="true"/>
      </w:r>
      <w:r>
        <w:rPr>
          <w:sz w:val="18"/>
          <w:szCs w:val="18"/>
          <w:vertAlign w:val="superscript"/>
          <w:rtl/>
        </w:rPr>
        <w:instrText xml:space="preserve"> REF b4_note118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118</w:t>
      </w:r>
      <w:r>
        <w:rPr>
          <w:sz w:val="18"/>
          <w:szCs w:val="18"/>
          <w:vertAlign w:val="superscript"/>
          <w:rtl/>
        </w:rPr>
        <w:fldChar w:fldCharType="end"/>
      </w:r>
      <w:r>
        <w:rPr>
          <w:rtl/>
        </w:rPr>
        <w:t>.</w:t>
      </w:r>
    </w:p>
    <w:bookmarkStart w:id="4621" w:name="b4_note114"/>
    <w:p w14:paraId="0849E1B1" w14:textId="77777777" w:rsidR="00AB3647" w:rsidRDefault="00000000" w:rsidP="007923E9">
      <w:pPr>
        <w:spacing w:before="120" w:after="100" w:line="276" w:lineRule="auto"/>
        <w:jc w:val="both"/>
      </w:pPr>
      <w:r>
        <w:fldChar w:fldCharType="begin" w:dirty="true"/>
      </w:r>
      <w:r>
        <w:instrText>HYPERLINK \l "b4_text114" \h</w:instrText>
      </w:r>
      <w:r>
        <w:fldChar w:fldCharType="separate"/>
      </w:r>
      <w:r>
        <w:rPr>
          <w:b/>
          <w:bCs/>
          <w:rtl/>
        </w:rPr>
        <w:t>114</w:t>
      </w:r>
      <w:r>
        <w:rPr>
          <w:b/>
          <w:bCs/>
        </w:rPr>
        <w:fldChar w:fldCharType="end"/>
      </w:r>
      <w:bookmarkEnd w:id="4621"/>
      <w:r>
        <w:rPr>
          <w:rtl/>
        </w:rPr>
        <w:t xml:space="preserve"> השווה סוף סעיף 1 בפרק 3.</w:t>
      </w:r>
    </w:p>
    <w:bookmarkStart w:id="4622" w:name="b4_note115"/>
    <w:p w14:paraId="1563F847" w14:textId="77777777" w:rsidR="00AB3647" w:rsidRDefault="00000000" w:rsidP="007923E9">
      <w:pPr>
        <w:spacing w:before="120" w:after="100" w:line="276" w:lineRule="auto"/>
        <w:jc w:val="both"/>
      </w:pPr>
      <w:r>
        <w:fldChar w:fldCharType="begin" w:dirty="true"/>
      </w:r>
      <w:r>
        <w:instrText>HYPERLINK \l "b4_text115" \h</w:instrText>
      </w:r>
      <w:r>
        <w:fldChar w:fldCharType="separate"/>
      </w:r>
      <w:r>
        <w:rPr>
          <w:b/>
          <w:bCs/>
          <w:rtl/>
        </w:rPr>
        <w:t>115</w:t>
      </w:r>
      <w:r>
        <w:rPr>
          <w:b/>
          <w:bCs/>
        </w:rPr>
        <w:fldChar w:fldCharType="end"/>
      </w:r>
      <w:bookmarkEnd w:id="4622"/>
      <w:r>
        <w:rPr>
          <w:rtl/>
        </w:rPr>
        <w:t xml:space="preserve"> ב׳ </w:t>
      </w:r>
      <w:proofErr w:type="spellStart"/>
      <w:r>
        <w:rPr>
          <w:rtl/>
        </w:rPr>
        <w:t>שולמן</w:t>
      </w:r>
      <w:proofErr w:type="spellEnd"/>
      <w:r>
        <w:rPr>
          <w:rtl/>
        </w:rPr>
        <w:t xml:space="preserve">, שלמד </w:t>
      </w:r>
      <w:proofErr w:type="spellStart"/>
      <w:r>
        <w:rPr>
          <w:rtl/>
        </w:rPr>
        <w:t>בטלז</w:t>
      </w:r>
      <w:proofErr w:type="spellEnd"/>
      <w:r>
        <w:rPr>
          <w:rtl/>
        </w:rPr>
        <w:t xml:space="preserve"> באותה תקופה, במאמר שכותרתו “הרוח המהפכנית בישיבות </w:t>
      </w:r>
      <w:proofErr w:type="spellStart"/>
      <w:r>
        <w:rPr>
          <w:rtl/>
        </w:rPr>
        <w:t>טלז</w:t>
      </w:r>
      <w:proofErr w:type="spellEnd"/>
      <w:r>
        <w:rPr>
          <w:rtl/>
        </w:rPr>
        <w:t xml:space="preserve"> ושאדוב בשנים 1906–1909”</w:t>
      </w:r>
      <w:bookmarkStart w:id="4623" w:name="_fnr3424"/>
      <w:bookmarkStart w:id="4624" w:name="_fnr3425"/>
      <w:bookmarkEnd w:id="4623"/>
      <w:r>
        <w:rPr>
          <w:vertAlign w:val="superscript"/>
          <w:rtl/>
        </w:rPr>
        <w:footnoteReference w:id="3433" w:customMarkFollows="0"/>
      </w:r>
      <w:bookmarkEnd w:id="4624"/>
      <w:r>
        <w:rPr>
          <w:rtl/>
        </w:rPr>
        <w:t>, כותב</w:t>
      </w:r>
      <w:bookmarkStart w:id="4625" w:name="_fnr3426"/>
      <w:r>
        <w:rPr>
          <w:vertAlign w:val="superscript"/>
          <w:rtl/>
        </w:rPr>
        <w:footnoteReference w:id="3434" w:customMarkFollows="0"/>
      </w:r>
      <w:bookmarkEnd w:id="4625"/>
      <w:r>
        <w:rPr>
          <w:rtl/>
        </w:rPr>
        <w:t xml:space="preserve">: “ראשי הישיבה שלנו הרגישו בצדק כי לא התנועה הציונית ולא המהפכה [הסוציאליסטית] לא פגעו במבצר אנשי המוסר. </w:t>
      </w:r>
      <w:proofErr w:type="spellStart"/>
      <w:r>
        <w:rPr>
          <w:rtl/>
        </w:rPr>
        <w:t>בסלובודקה</w:t>
      </w:r>
      <w:proofErr w:type="spellEnd"/>
      <w:r>
        <w:rPr>
          <w:rtl/>
        </w:rPr>
        <w:t xml:space="preserve"> הסעירה </w:t>
      </w:r>
      <w:r>
        <w:rPr>
          <w:rtl/>
        </w:rPr>
        <w:lastRenderedPageBreak/>
        <w:t>התנועה הציונית את כל הישיבות</w:t>
      </w:r>
      <w:bookmarkStart w:id="4626" w:name="_fnr3427"/>
      <w:r>
        <w:rPr>
          <w:vertAlign w:val="superscript"/>
          <w:rtl/>
        </w:rPr>
        <w:footnoteReference w:id="3435" w:customMarkFollows="0"/>
      </w:r>
      <w:bookmarkEnd w:id="4626"/>
      <w:r>
        <w:rPr>
          <w:rtl/>
        </w:rPr>
        <w:t xml:space="preserve"> [מלבד כנסת ישראל] עד היסוד. הן יצאו מן המאבק נגד הציונות מזועזעות ומרופות וניטלה מהן כמחצית בחורי הישיבה הפעילים והמוכשרים ביותר. גם התנועות המהפכניות השתקפו בהרבה בחיי ישיבות ליטא... רק ישיבת המוסר בהנהלת ‘הסבא’ נשארה שלימה ללא פגם. שום תנועה וזרם שרוקנו ישיבות אחרות לא פגעו בבחורי </w:t>
      </w:r>
      <w:proofErr w:type="spellStart"/>
      <w:r>
        <w:rPr>
          <w:rtl/>
        </w:rPr>
        <w:t>סלובודקה</w:t>
      </w:r>
      <w:proofErr w:type="spellEnd"/>
      <w:r>
        <w:rPr>
          <w:rtl/>
        </w:rPr>
        <w:t xml:space="preserve">. הם ראו את </w:t>
      </w:r>
      <w:proofErr w:type="spellStart"/>
      <w:r>
        <w:rPr>
          <w:rtl/>
        </w:rPr>
        <w:t>הכל</w:t>
      </w:r>
      <w:proofErr w:type="spellEnd"/>
      <w:r>
        <w:rPr>
          <w:rtl/>
        </w:rPr>
        <w:t xml:space="preserve"> וידעו את </w:t>
      </w:r>
      <w:proofErr w:type="spellStart"/>
      <w:r>
        <w:rPr>
          <w:rtl/>
        </w:rPr>
        <w:t>הכל</w:t>
      </w:r>
      <w:proofErr w:type="spellEnd"/>
      <w:r>
        <w:rPr>
          <w:rtl/>
        </w:rPr>
        <w:t xml:space="preserve">, אבל לא נפגעו. כולנו ידענו היטב </w:t>
      </w:r>
      <w:proofErr w:type="spellStart"/>
      <w:r>
        <w:rPr>
          <w:rtl/>
        </w:rPr>
        <w:t>שהמוסרניקים</w:t>
      </w:r>
      <w:proofErr w:type="spellEnd"/>
      <w:r>
        <w:rPr>
          <w:rtl/>
        </w:rPr>
        <w:t xml:space="preserve"> קוראים </w:t>
      </w:r>
      <w:proofErr w:type="spellStart"/>
      <w:r>
        <w:rPr>
          <w:rtl/>
        </w:rPr>
        <w:t>עתונים</w:t>
      </w:r>
      <w:proofErr w:type="spellEnd"/>
      <w:r>
        <w:rPr>
          <w:rtl/>
        </w:rPr>
        <w:t xml:space="preserve">, קוראים ואחדים אפילו בקיאים בספרות העברית החדשה ובכל זאת הם חיים בעולם משלהם. לפיכך השתדלו כמה הנהלות של ישיבות בשנות 1907–1908 [תרס״ז–תרס״ח] לשתול גם אצלם את </w:t>
      </w:r>
      <w:proofErr w:type="spellStart"/>
      <w:r>
        <w:rPr>
          <w:rtl/>
        </w:rPr>
        <w:t>ה‘מוסר</w:t>
      </w:r>
      <w:proofErr w:type="spellEnd"/>
      <w:r>
        <w:rPr>
          <w:rtl/>
        </w:rPr>
        <w:t xml:space="preserve">’ ולבנות [מחדש] את הישיבות הישנות כמתכונת ‘כנסת ישראל’ </w:t>
      </w:r>
      <w:proofErr w:type="spellStart"/>
      <w:r>
        <w:rPr>
          <w:rtl/>
        </w:rPr>
        <w:t>בסלובודקה</w:t>
      </w:r>
      <w:proofErr w:type="spellEnd"/>
      <w:r>
        <w:rPr>
          <w:rtl/>
        </w:rPr>
        <w:t>”.</w:t>
      </w:r>
    </w:p>
    <w:p w14:paraId="37387F61" w14:textId="77777777" w:rsidR="00AB3647" w:rsidRDefault="00000000" w:rsidP="007923E9">
      <w:pPr>
        <w:spacing w:before="120" w:after="100" w:line="276" w:lineRule="auto"/>
        <w:jc w:val="both"/>
      </w:pPr>
      <w:r>
        <w:rPr>
          <w:rtl/>
        </w:rPr>
        <w:t xml:space="preserve">למעשה, ההכרה </w:t>
      </w:r>
      <w:proofErr w:type="spellStart"/>
      <w:r>
        <w:rPr>
          <w:rtl/>
        </w:rPr>
        <w:t>שסלבודקה</w:t>
      </w:r>
      <w:proofErr w:type="spellEnd"/>
      <w:r>
        <w:rPr>
          <w:rtl/>
        </w:rPr>
        <w:t xml:space="preserve"> עשויה להציל ישיבות אחרות באה לפני תרס״ז, הזמן שקבע המחבר, והוא עצמו, שלמד </w:t>
      </w:r>
      <w:proofErr w:type="spellStart"/>
      <w:r>
        <w:rPr>
          <w:rtl/>
        </w:rPr>
        <w:t>בטלז</w:t>
      </w:r>
      <w:proofErr w:type="spellEnd"/>
      <w:r>
        <w:rPr>
          <w:rtl/>
        </w:rPr>
        <w:t xml:space="preserve"> לפני שנה זו</w:t>
      </w:r>
      <w:bookmarkStart w:id="4627" w:name="_fnr3428"/>
      <w:r>
        <w:rPr>
          <w:vertAlign w:val="superscript"/>
          <w:rtl/>
        </w:rPr>
        <w:footnoteReference w:id="3436" w:customMarkFollows="0"/>
      </w:r>
      <w:bookmarkEnd w:id="4627"/>
      <w:r>
        <w:rPr>
          <w:rtl/>
        </w:rPr>
        <w:t xml:space="preserve">, ראה בעיניו את בוא תלמידי </w:t>
      </w:r>
      <w:proofErr w:type="spellStart"/>
      <w:r>
        <w:rPr>
          <w:rtl/>
        </w:rPr>
        <w:t>סלבודקה</w:t>
      </w:r>
      <w:proofErr w:type="spellEnd"/>
      <w:r>
        <w:rPr>
          <w:rtl/>
        </w:rPr>
        <w:t xml:space="preserve"> לשם. ייתכן שהמחבר, שהיה מתנגד חריף למוסר, ניסה – למרות תיאורו המשבח מאוד את המוסר – להמעיט בפועלו של הסבא, בכך שגרע שנה או שנתיים מהישגיו. יתר על כן, המחבר לא הבין שגם ישיבת הסבא נאבקה בציונות ובסוציאליזם גם יחד, אבל יצאה מן המאבק בשלום בזכות הנהגתו – השווה הפסקה שלפני האחרונה של פרק 3.1.</w:t>
      </w:r>
    </w:p>
    <w:bookmarkStart w:id="4628" w:name="b4_note116"/>
    <w:p w14:paraId="0D7B7FF0" w14:textId="77777777" w:rsidR="00AB3647" w:rsidRDefault="00000000" w:rsidP="007923E9">
      <w:pPr>
        <w:spacing w:before="120" w:after="100" w:line="276" w:lineRule="auto"/>
        <w:jc w:val="both"/>
      </w:pPr>
      <w:r>
        <w:fldChar w:fldCharType="begin" w:dirty="true"/>
      </w:r>
      <w:r>
        <w:instrText>HYPERLINK \l "b4_text116" \h</w:instrText>
      </w:r>
      <w:r>
        <w:fldChar w:fldCharType="separate"/>
      </w:r>
      <w:r>
        <w:rPr>
          <w:b/>
          <w:bCs/>
          <w:rtl/>
        </w:rPr>
        <w:t>116</w:t>
      </w:r>
      <w:r>
        <w:rPr>
          <w:b/>
          <w:bCs/>
        </w:rPr>
        <w:fldChar w:fldCharType="end"/>
      </w:r>
      <w:bookmarkEnd w:id="4628"/>
      <w:r>
        <w:rPr>
          <w:rtl/>
        </w:rPr>
        <w:t xml:space="preserve"> כץ, “תנועת המוסר”, כרך ה</w:t>
      </w:r>
      <w:bookmarkStart w:id="4629" w:name="_fnr3429"/>
      <w:r>
        <w:rPr>
          <w:vertAlign w:val="superscript"/>
          <w:rtl/>
        </w:rPr>
        <w:footnoteReference w:id="3437" w:customMarkFollows="0"/>
      </w:r>
      <w:bookmarkEnd w:id="4629"/>
      <w:r>
        <w:rPr>
          <w:rtl/>
        </w:rPr>
        <w:t>. אבל אסף</w:t>
      </w:r>
      <w:bookmarkStart w:id="4630" w:name="_fnr3430"/>
      <w:r>
        <w:rPr>
          <w:vertAlign w:val="superscript"/>
          <w:rtl/>
        </w:rPr>
        <w:footnoteReference w:id="3438" w:customMarkFollows="0"/>
      </w:r>
      <w:bookmarkEnd w:id="4630"/>
      <w:r>
        <w:rPr>
          <w:rtl/>
        </w:rPr>
        <w:t xml:space="preserve"> נוקב במספר של שלושים עד ארבעים.</w:t>
      </w:r>
    </w:p>
    <w:bookmarkStart w:id="4631" w:name="b4_note117"/>
    <w:p w14:paraId="55E7C98B" w14:textId="77777777" w:rsidR="00AB3647" w:rsidRDefault="00000000" w:rsidP="007923E9">
      <w:pPr>
        <w:spacing w:before="120" w:after="100" w:line="276" w:lineRule="auto"/>
        <w:jc w:val="both"/>
      </w:pPr>
      <w:r>
        <w:fldChar w:fldCharType="begin" w:dirty="true"/>
      </w:r>
      <w:r>
        <w:instrText>HYPERLINK \l "b4_text117" \h</w:instrText>
      </w:r>
      <w:r>
        <w:fldChar w:fldCharType="separate"/>
      </w:r>
      <w:r>
        <w:rPr>
          <w:b/>
          <w:bCs/>
          <w:rtl/>
        </w:rPr>
        <w:t>117</w:t>
      </w:r>
      <w:r>
        <w:rPr>
          <w:b/>
          <w:bCs/>
        </w:rPr>
        <w:fldChar w:fldCharType="end"/>
      </w:r>
      <w:bookmarkEnd w:id="4631"/>
      <w:r>
        <w:rPr>
          <w:rtl/>
        </w:rPr>
        <w:t xml:space="preserve"> היה זה ר׳ אליעזר לופט</w:t>
      </w:r>
      <w:bookmarkStart w:id="4632" w:name="_fnr3431"/>
      <w:r>
        <w:rPr>
          <w:vertAlign w:val="superscript"/>
          <w:rtl/>
        </w:rPr>
        <w:footnoteReference w:id="3439" w:customMarkFollows="0"/>
      </w:r>
      <w:bookmarkEnd w:id="4632"/>
      <w:r>
        <w:rPr>
          <w:rtl/>
        </w:rPr>
        <w:t xml:space="preserve">. בקבוצה היו ר׳ אברהם </w:t>
      </w:r>
      <w:proofErr w:type="spellStart"/>
      <w:r>
        <w:rPr>
          <w:rtl/>
        </w:rPr>
        <w:t>הוורשאי</w:t>
      </w:r>
      <w:proofErr w:type="spellEnd"/>
      <w:r>
        <w:rPr>
          <w:rtl/>
        </w:rPr>
        <w:t xml:space="preserve"> (</w:t>
      </w:r>
      <w:proofErr w:type="spellStart"/>
      <w:r>
        <w:rPr>
          <w:rtl/>
        </w:rPr>
        <w:t>גרודזינסקי</w:t>
      </w:r>
      <w:proofErr w:type="spellEnd"/>
      <w:r>
        <w:rPr>
          <w:rtl/>
        </w:rPr>
        <w:t>)</w:t>
      </w:r>
      <w:bookmarkStart w:id="4633" w:name="_fnr3432"/>
      <w:r>
        <w:rPr>
          <w:vertAlign w:val="superscript"/>
          <w:rtl/>
        </w:rPr>
        <w:footnoteReference w:id="3440" w:customMarkFollows="0"/>
      </w:r>
      <w:bookmarkEnd w:id="4633"/>
      <w:r>
        <w:rPr>
          <w:rtl/>
        </w:rPr>
        <w:t xml:space="preserve">, שהוערך מאוד, ולימים נעשה מנהלה הרוחני של ישיבת </w:t>
      </w:r>
      <w:proofErr w:type="spellStart"/>
      <w:r>
        <w:rPr>
          <w:rtl/>
        </w:rPr>
        <w:t>סלבודקה</w:t>
      </w:r>
      <w:proofErr w:type="spellEnd"/>
      <w:r>
        <w:rPr>
          <w:rtl/>
        </w:rPr>
        <w:t xml:space="preserve"> אחרי שעלה ר׳ </w:t>
      </w:r>
      <w:proofErr w:type="spellStart"/>
      <w:r>
        <w:rPr>
          <w:rtl/>
        </w:rPr>
        <w:t>נתן־צבי</w:t>
      </w:r>
      <w:proofErr w:type="spellEnd"/>
      <w:r>
        <w:rPr>
          <w:rtl/>
        </w:rPr>
        <w:t xml:space="preserve"> </w:t>
      </w:r>
      <w:proofErr w:type="spellStart"/>
      <w:r>
        <w:rPr>
          <w:rtl/>
        </w:rPr>
        <w:t>פינקל</w:t>
      </w:r>
      <w:proofErr w:type="spellEnd"/>
      <w:r>
        <w:rPr>
          <w:rtl/>
        </w:rPr>
        <w:t xml:space="preserve"> לארץ ישראל; ר׳ </w:t>
      </w:r>
      <w:proofErr w:type="spellStart"/>
      <w:r>
        <w:rPr>
          <w:rtl/>
        </w:rPr>
        <w:t>פייבל</w:t>
      </w:r>
      <w:proofErr w:type="spellEnd"/>
      <w:r>
        <w:rPr>
          <w:rtl/>
        </w:rPr>
        <w:t xml:space="preserve"> </w:t>
      </w:r>
      <w:proofErr w:type="spellStart"/>
      <w:r>
        <w:rPr>
          <w:rtl/>
        </w:rPr>
        <w:t>הינדס</w:t>
      </w:r>
      <w:proofErr w:type="spellEnd"/>
      <w:r>
        <w:rPr>
          <w:rtl/>
        </w:rPr>
        <w:t xml:space="preserve"> (שאבי תיארו </w:t>
      </w:r>
      <w:proofErr w:type="spellStart"/>
      <w:r>
        <w:rPr>
          <w:rtl/>
        </w:rPr>
        <w:t>כ“עילוי</w:t>
      </w:r>
      <w:proofErr w:type="spellEnd"/>
      <w:r>
        <w:rPr>
          <w:rtl/>
        </w:rPr>
        <w:t xml:space="preserve"> הגדול ביותר שהיה אי פעם </w:t>
      </w:r>
      <w:proofErr w:type="spellStart"/>
      <w:r>
        <w:rPr>
          <w:rtl/>
        </w:rPr>
        <w:t>בסלבודקה</w:t>
      </w:r>
      <w:proofErr w:type="spellEnd"/>
      <w:r>
        <w:rPr>
          <w:rtl/>
        </w:rPr>
        <w:t xml:space="preserve">”), לימים חתנו של ר׳ שמעון </w:t>
      </w:r>
      <w:proofErr w:type="spellStart"/>
      <w:r>
        <w:rPr>
          <w:rtl/>
        </w:rPr>
        <w:t>שקופ</w:t>
      </w:r>
      <w:proofErr w:type="spellEnd"/>
      <w:r>
        <w:rPr>
          <w:rtl/>
        </w:rPr>
        <w:t xml:space="preserve"> ואחר כך ר״מ בישיבת חותנו </w:t>
      </w:r>
      <w:proofErr w:type="spellStart"/>
      <w:r>
        <w:rPr>
          <w:rtl/>
        </w:rPr>
        <w:t>בגרודנא</w:t>
      </w:r>
      <w:proofErr w:type="spellEnd"/>
      <w:r>
        <w:rPr>
          <w:rtl/>
        </w:rPr>
        <w:t xml:space="preserve">; ר׳ </w:t>
      </w:r>
      <w:proofErr w:type="spellStart"/>
      <w:r>
        <w:rPr>
          <w:rtl/>
        </w:rPr>
        <w:t>יהושע־זליג</w:t>
      </w:r>
      <w:proofErr w:type="spellEnd"/>
      <w:r>
        <w:rPr>
          <w:rtl/>
        </w:rPr>
        <w:t xml:space="preserve"> רוך, לימים חתנו של ר׳ לייזר </w:t>
      </w:r>
      <w:proofErr w:type="spellStart"/>
      <w:r>
        <w:rPr>
          <w:rtl/>
        </w:rPr>
        <w:t>שולביץ</w:t>
      </w:r>
      <w:proofErr w:type="spellEnd"/>
      <w:r>
        <w:rPr>
          <w:rtl/>
        </w:rPr>
        <w:t xml:space="preserve"> וראש ישיבה בישיבת חותנו </w:t>
      </w:r>
      <w:proofErr w:type="spellStart"/>
      <w:r>
        <w:rPr>
          <w:rtl/>
        </w:rPr>
        <w:t>בלומז׳ה</w:t>
      </w:r>
      <w:proofErr w:type="spellEnd"/>
      <w:r>
        <w:rPr>
          <w:rtl/>
        </w:rPr>
        <w:t xml:space="preserve">; ור׳ שלמה </w:t>
      </w:r>
      <w:proofErr w:type="spellStart"/>
      <w:r>
        <w:rPr>
          <w:rtl/>
        </w:rPr>
        <w:t>גבורין</w:t>
      </w:r>
      <w:proofErr w:type="spellEnd"/>
      <w:r>
        <w:rPr>
          <w:rtl/>
        </w:rPr>
        <w:t xml:space="preserve">, לימים חתנו של ר׳ </w:t>
      </w:r>
      <w:proofErr w:type="spellStart"/>
      <w:r>
        <w:rPr>
          <w:rtl/>
        </w:rPr>
        <w:t>דוד־טעביל</w:t>
      </w:r>
      <w:proofErr w:type="spellEnd"/>
      <w:r>
        <w:rPr>
          <w:rtl/>
        </w:rPr>
        <w:t xml:space="preserve"> </w:t>
      </w:r>
      <w:proofErr w:type="spellStart"/>
      <w:r>
        <w:rPr>
          <w:rtl/>
        </w:rPr>
        <w:t>דינובסקי</w:t>
      </w:r>
      <w:proofErr w:type="spellEnd"/>
      <w:r>
        <w:rPr>
          <w:rtl/>
        </w:rPr>
        <w:t xml:space="preserve"> וראש ישיבת </w:t>
      </w:r>
      <w:proofErr w:type="spellStart"/>
      <w:r>
        <w:rPr>
          <w:rtl/>
        </w:rPr>
        <w:t>מאלטש</w:t>
      </w:r>
      <w:bookmarkStart w:id="4634" w:name="_fnr3433"/>
      <w:proofErr w:type="spellEnd"/>
      <w:r>
        <w:rPr>
          <w:vertAlign w:val="superscript"/>
          <w:rtl/>
        </w:rPr>
        <w:footnoteReference w:id="3441" w:customMarkFollows="0"/>
      </w:r>
      <w:bookmarkEnd w:id="4634"/>
      <w:r>
        <w:rPr>
          <w:rtl/>
        </w:rPr>
        <w:t>.</w:t>
      </w:r>
    </w:p>
    <w:p w14:paraId="382BAB8B" w14:textId="77777777" w:rsidR="00AB3647" w:rsidRDefault="00000000" w:rsidP="007923E9">
      <w:pPr>
        <w:spacing w:before="120" w:after="100" w:line="276" w:lineRule="auto"/>
        <w:jc w:val="both"/>
      </w:pPr>
      <w:r>
        <w:rPr>
          <w:rtl/>
        </w:rPr>
        <w:t>“תורת אברהם” אומר</w:t>
      </w:r>
      <w:bookmarkStart w:id="4635" w:name="_fnr3434"/>
      <w:r>
        <w:rPr>
          <w:vertAlign w:val="superscript"/>
          <w:rtl/>
        </w:rPr>
        <w:footnoteReference w:id="3442" w:customMarkFollows="0"/>
      </w:r>
      <w:bookmarkEnd w:id="4635"/>
      <w:r>
        <w:rPr>
          <w:rtl/>
        </w:rPr>
        <w:t xml:space="preserve"> </w:t>
      </w:r>
      <w:proofErr w:type="spellStart"/>
      <w:r>
        <w:rPr>
          <w:rtl/>
        </w:rPr>
        <w:t>ש“שלושה</w:t>
      </w:r>
      <w:proofErr w:type="spellEnd"/>
      <w:r>
        <w:rPr>
          <w:rtl/>
        </w:rPr>
        <w:t xml:space="preserve"> מתלמידיו המובהקים [של הסבא]” נשלחו [עם אחרים]. יש להניח שאלה שלושת הראשונים שמניתי לעיל. הרביעי ברשימה, שהיה בתחילה מתנגד למוסר, אינו מתאים לתיאור – למרות הסכמתו המאוחרת להשקפת הסבא</w:t>
      </w:r>
      <w:bookmarkStart w:id="4636" w:name="_fnr3435"/>
      <w:r>
        <w:rPr>
          <w:vertAlign w:val="superscript"/>
          <w:rtl/>
        </w:rPr>
        <w:footnoteReference w:id="3443" w:customMarkFollows="0"/>
      </w:r>
      <w:bookmarkEnd w:id="4636"/>
      <w:r>
        <w:rPr>
          <w:rtl/>
        </w:rPr>
        <w:t xml:space="preserve">. ר׳ </w:t>
      </w:r>
      <w:proofErr w:type="spellStart"/>
      <w:r>
        <w:rPr>
          <w:rtl/>
        </w:rPr>
        <w:t>נתן־מאיר</w:t>
      </w:r>
      <w:proofErr w:type="spellEnd"/>
      <w:r>
        <w:rPr>
          <w:rtl/>
        </w:rPr>
        <w:t xml:space="preserve"> </w:t>
      </w:r>
      <w:proofErr w:type="spellStart"/>
      <w:r>
        <w:rPr>
          <w:rtl/>
        </w:rPr>
        <w:lastRenderedPageBreak/>
        <w:t>וכטפוגל</w:t>
      </w:r>
      <w:proofErr w:type="spellEnd"/>
      <w:r>
        <w:rPr>
          <w:rtl/>
        </w:rPr>
        <w:t xml:space="preserve"> אמר</w:t>
      </w:r>
      <w:bookmarkStart w:id="4637" w:name="_fnr3436"/>
      <w:r>
        <w:rPr>
          <w:vertAlign w:val="superscript"/>
          <w:rtl/>
        </w:rPr>
        <w:footnoteReference w:id="3444" w:customMarkFollows="0"/>
      </w:r>
      <w:bookmarkEnd w:id="4637"/>
      <w:r>
        <w:rPr>
          <w:rtl/>
        </w:rPr>
        <w:t xml:space="preserve"> שהסבא שכנע כמה מתלמידיו לעבור </w:t>
      </w:r>
      <w:proofErr w:type="spellStart"/>
      <w:r>
        <w:rPr>
          <w:rtl/>
        </w:rPr>
        <w:t>לטלז</w:t>
      </w:r>
      <w:proofErr w:type="spellEnd"/>
      <w:r>
        <w:rPr>
          <w:rtl/>
        </w:rPr>
        <w:t xml:space="preserve"> בהצעה לפרוע את כל החובות שצברו </w:t>
      </w:r>
      <w:proofErr w:type="spellStart"/>
      <w:r>
        <w:rPr>
          <w:rtl/>
        </w:rPr>
        <w:t>בסלבודקה</w:t>
      </w:r>
      <w:proofErr w:type="spellEnd"/>
      <w:r>
        <w:rPr>
          <w:rtl/>
        </w:rPr>
        <w:t xml:space="preserve">. תלמיד </w:t>
      </w:r>
      <w:proofErr w:type="spellStart"/>
      <w:r>
        <w:rPr>
          <w:rtl/>
        </w:rPr>
        <w:t>סלבודקה</w:t>
      </w:r>
      <w:proofErr w:type="spellEnd"/>
      <w:r>
        <w:rPr>
          <w:rtl/>
        </w:rPr>
        <w:t xml:space="preserve"> אומנם ידע שעשויים לגייס אותו לתוכניות של “פעולה כלפי חוץ”, אבל התלמידים הוותיקים, שכבר היו מושרשים היטב, נזקקו לדחיפה נוספת ולתמריצים כדי לעזוב את ישיבתם.</w:t>
      </w:r>
    </w:p>
    <w:p w14:paraId="7E60C95C" w14:textId="4C842DFB"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38" w:name="_fnr3437"/>
      <w:r>
        <w:rPr>
          <w:vertAlign w:val="superscript"/>
          <w:rtl/>
        </w:rPr>
        <w:footnoteReference w:id="3445" w:customMarkFollows="0"/>
      </w:r>
      <w:bookmarkEnd w:id="4638"/>
      <w:r>
        <w:rPr>
          <w:rtl/>
        </w:rPr>
        <w:t xml:space="preserve">, סבור שהעברת התלמידים המצטיינים </w:t>
      </w:r>
      <w:proofErr w:type="spellStart"/>
      <w:r>
        <w:rPr>
          <w:rtl/>
        </w:rPr>
        <w:t>לטלז</w:t>
      </w:r>
      <w:proofErr w:type="spellEnd"/>
      <w:r>
        <w:rPr>
          <w:rtl/>
        </w:rPr>
        <w:t xml:space="preserve"> נעשתה בעת זעזועי פולמוס המוסר בכנסת ישראל </w:t>
      </w:r>
      <w:r>
        <w:rPr>
          <w:b/>
          <w:bCs/>
          <w:rtl/>
        </w:rPr>
        <w:t>והייתה הסיבה לסיומו</w:t>
      </w:r>
      <w:r>
        <w:rPr>
          <w:rtl/>
        </w:rPr>
        <w:t xml:space="preserve">, ובהתאם לכך הוא טוען שהסבא “ראה שלפי מצב רוחם של תלמידיו הוותיקים, לא כדאי להם להישאר </w:t>
      </w:r>
      <w:proofErr w:type="spellStart"/>
      <w:r>
        <w:rPr>
          <w:rtl/>
        </w:rPr>
        <w:t>בסלבודקה</w:t>
      </w:r>
      <w:proofErr w:type="spellEnd"/>
      <w:r>
        <w:rPr>
          <w:rtl/>
        </w:rPr>
        <w:t xml:space="preserve">. הוא השתדל לשכנעם להיות חלוצים בהצלת ישיבת </w:t>
      </w:r>
      <w:proofErr w:type="spellStart"/>
      <w:r>
        <w:rPr>
          <w:rtl/>
        </w:rPr>
        <w:t>טלז</w:t>
      </w:r>
      <w:proofErr w:type="spellEnd"/>
      <w:r>
        <w:rPr>
          <w:rtl/>
        </w:rPr>
        <w:t xml:space="preserve"> מן הרוח המרדנית ששררה בה ולהחדיר בה את רוח המוסר – והתנדבו 25 [כך במקור] בחורים מובחרים”. אבל השווה פרק 3, הפסקה 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שם אני מפקפק בנכונות התיאור בספרו של </w:t>
      </w:r>
      <w:proofErr w:type="spellStart"/>
      <w:r>
        <w:rPr>
          <w:rtl/>
        </w:rPr>
        <w:t>דבורץ</w:t>
      </w:r>
      <w:proofErr w:type="spellEnd"/>
      <w:r>
        <w:rPr>
          <w:rtl/>
        </w:rPr>
        <w:t>.</w:t>
      </w:r>
    </w:p>
    <w:bookmarkStart w:id="4639" w:name="b4_note118"/>
    <w:p w14:paraId="6219D4C4" w14:textId="77777777" w:rsidR="00AB3647" w:rsidRDefault="00000000" w:rsidP="007923E9">
      <w:pPr>
        <w:spacing w:before="120" w:after="100" w:line="276" w:lineRule="auto"/>
        <w:jc w:val="both"/>
      </w:pPr>
      <w:r>
        <w:fldChar w:fldCharType="begin" w:dirty="true"/>
      </w:r>
      <w:r>
        <w:instrText>HYPERLINK \l "b4_text118" \h</w:instrText>
      </w:r>
      <w:r>
        <w:fldChar w:fldCharType="separate"/>
      </w:r>
      <w:r>
        <w:rPr>
          <w:b/>
          <w:bCs/>
          <w:rtl/>
        </w:rPr>
        <w:t>118</w:t>
      </w:r>
      <w:r>
        <w:rPr>
          <w:b/>
          <w:bCs/>
        </w:rPr>
        <w:fldChar w:fldCharType="end"/>
      </w:r>
      <w:bookmarkEnd w:id="4639"/>
      <w:r>
        <w:rPr>
          <w:rtl/>
        </w:rPr>
        <w:t xml:space="preserve"> כץ, “תנועת המוסר”, כרך ה</w:t>
      </w:r>
      <w:bookmarkStart w:id="4640" w:name="_fnr3438"/>
      <w:r>
        <w:rPr>
          <w:vertAlign w:val="superscript"/>
          <w:rtl/>
        </w:rPr>
        <w:footnoteReference w:id="3446" w:customMarkFollows="0"/>
      </w:r>
      <w:bookmarkEnd w:id="4640"/>
      <w:r>
        <w:rPr>
          <w:rtl/>
        </w:rPr>
        <w:t xml:space="preserve">, מתאר את המאורעות שהביאו לסגירתה הזמנית של </w:t>
      </w:r>
      <w:proofErr w:type="spellStart"/>
      <w:r>
        <w:rPr>
          <w:rtl/>
        </w:rPr>
        <w:t>טלז</w:t>
      </w:r>
      <w:proofErr w:type="spellEnd"/>
      <w:r>
        <w:rPr>
          <w:rtl/>
        </w:rPr>
        <w:t xml:space="preserve">. תחילה העבירו תלמידי </w:t>
      </w:r>
      <w:proofErr w:type="spellStart"/>
      <w:r>
        <w:rPr>
          <w:rtl/>
        </w:rPr>
        <w:t>טלז</w:t>
      </w:r>
      <w:proofErr w:type="spellEnd"/>
      <w:r>
        <w:rPr>
          <w:rtl/>
        </w:rPr>
        <w:t xml:space="preserve"> הסוררים בבית המדרש פתקי השמצה, ובהם פסוק מתהלים בעיבוד</w:t>
      </w:r>
      <w:bookmarkStart w:id="4641" w:name="_fnr3439"/>
      <w:r>
        <w:rPr>
          <w:vertAlign w:val="superscript"/>
          <w:rtl/>
        </w:rPr>
        <w:footnoteReference w:id="3447" w:customMarkFollows="0"/>
      </w:r>
      <w:bookmarkEnd w:id="4641"/>
      <w:r>
        <w:rPr>
          <w:rtl/>
        </w:rPr>
        <w:t xml:space="preserve">: “באו זרים בנחלתנו טימאו את היכל קדשנו”. אחר כך התחילו הוותיקים להציק לחדשים על כל צעד. בשמחת תורה הקיפו תלמידי </w:t>
      </w:r>
      <w:proofErr w:type="spellStart"/>
      <w:r>
        <w:rPr>
          <w:rtl/>
        </w:rPr>
        <w:t>טלז</w:t>
      </w:r>
      <w:proofErr w:type="spellEnd"/>
      <w:r>
        <w:rPr>
          <w:rtl/>
        </w:rPr>
        <w:t xml:space="preserve"> את הבית שבו חגגו תלמידי </w:t>
      </w:r>
      <w:proofErr w:type="spellStart"/>
      <w:r>
        <w:rPr>
          <w:rtl/>
        </w:rPr>
        <w:t>סלבודקה</w:t>
      </w:r>
      <w:proofErr w:type="spellEnd"/>
      <w:r>
        <w:rPr>
          <w:rtl/>
        </w:rPr>
        <w:t xml:space="preserve"> והמשגיח החדש, ורגמוהו באבנים. בתחילת זמן החורף הפריעו אותם בחורים בבית המדרש בשריקות ובצעקות, והחביאו את ספרי המוסר לפני סדר המוסר. מה שהגדיש את הסאה היה שהבריונים הסירו לילה אחד את המנורות, וניצלו את החשכה להתפרע, לשבור סטנדרים ולנפץ חלונות.</w:t>
      </w:r>
    </w:p>
    <w:p w14:paraId="14045745" w14:textId="77777777" w:rsidR="00AB3647" w:rsidRDefault="00000000" w:rsidP="007923E9">
      <w:pPr>
        <w:spacing w:before="120" w:after="100" w:line="276" w:lineRule="auto"/>
        <w:jc w:val="both"/>
      </w:pPr>
      <w:r>
        <w:rPr>
          <w:rtl/>
        </w:rPr>
        <w:t xml:space="preserve">לפי ר׳ נחמיה </w:t>
      </w:r>
      <w:proofErr w:type="spellStart"/>
      <w:r>
        <w:rPr>
          <w:rtl/>
        </w:rPr>
        <w:t>פיונטק</w:t>
      </w:r>
      <w:bookmarkStart w:id="4642" w:name="_fnr3440"/>
      <w:proofErr w:type="spellEnd"/>
      <w:r>
        <w:rPr>
          <w:vertAlign w:val="superscript"/>
          <w:rtl/>
        </w:rPr>
        <w:footnoteReference w:id="3448" w:customMarkFollows="0"/>
      </w:r>
      <w:bookmarkEnd w:id="4642"/>
      <w:r>
        <w:rPr>
          <w:rtl/>
        </w:rPr>
        <w:t xml:space="preserve">, תלמידי </w:t>
      </w:r>
      <w:proofErr w:type="spellStart"/>
      <w:r>
        <w:rPr>
          <w:rtl/>
        </w:rPr>
        <w:t>טלז</w:t>
      </w:r>
      <w:proofErr w:type="spellEnd"/>
      <w:r>
        <w:rPr>
          <w:rtl/>
        </w:rPr>
        <w:t xml:space="preserve"> רתחו על דברי ר׳ לייזר גורדון, שכל חייו לא ציפה להגיע למדרגת התפילה שהגיע אליה ר׳ אליעזר לופט באותו ראש השנה. ר׳ נחמיה </w:t>
      </w:r>
      <w:proofErr w:type="spellStart"/>
      <w:r>
        <w:rPr>
          <w:rtl/>
        </w:rPr>
        <w:t>פיונטק</w:t>
      </w:r>
      <w:proofErr w:type="spellEnd"/>
      <w:r>
        <w:rPr>
          <w:rtl/>
        </w:rPr>
        <w:t xml:space="preserve"> גילה גם שבשמחת תורה, כשהמורדים היו שיכורים, הם ממש איימו להרוג את המשגיח. הדבר הגיע לידי כך – כנראה אחרי תחילת זמן הסתיו, אף שהמרואיין לא אמר זאת – שניסו לפרוץ לבית ר׳ אליעזר לופט ולפגוע בו ובתלמידיו. כשהרהיטים שנערמו ליד הדלת החלו לקרוס, החזיק ר׳ אברהם </w:t>
      </w:r>
      <w:proofErr w:type="spellStart"/>
      <w:r>
        <w:rPr>
          <w:rtl/>
        </w:rPr>
        <w:t>גרודזינסקי</w:t>
      </w:r>
      <w:proofErr w:type="spellEnd"/>
      <w:r>
        <w:rPr>
          <w:rtl/>
        </w:rPr>
        <w:t xml:space="preserve">, בחור חזק במיוחד, בדלת שעות ארוכות, עד שהמשקוף חתך בבשרו והותיר בזרועו צלקת לכל ימי חייו. לבסוף הצליחה הקבוצה הנצורה להביא עגלה אל אחד החלונות; הם קפצו אליה ונמלטו </w:t>
      </w:r>
      <w:proofErr w:type="spellStart"/>
      <w:r>
        <w:rPr>
          <w:rtl/>
        </w:rPr>
        <w:t>מטלז</w:t>
      </w:r>
      <w:proofErr w:type="spellEnd"/>
      <w:r>
        <w:rPr>
          <w:rtl/>
        </w:rPr>
        <w:t xml:space="preserve"> על נפשם.</w:t>
      </w:r>
    </w:p>
    <w:p w14:paraId="0594B368" w14:textId="77777777" w:rsidR="00AB3647" w:rsidRDefault="00000000" w:rsidP="007923E9">
      <w:pPr>
        <w:spacing w:before="120" w:after="100" w:line="276" w:lineRule="auto"/>
        <w:jc w:val="both"/>
      </w:pPr>
      <w:r>
        <w:rPr>
          <w:rtl/>
        </w:rPr>
        <w:t>“שדות ולב” מביא</w:t>
      </w:r>
      <w:bookmarkStart w:id="4643" w:name="_fnr3441"/>
      <w:r>
        <w:rPr>
          <w:vertAlign w:val="superscript"/>
          <w:rtl/>
        </w:rPr>
        <w:footnoteReference w:id="3449" w:customMarkFollows="0"/>
      </w:r>
      <w:bookmarkEnd w:id="4643"/>
      <w:r>
        <w:rPr>
          <w:rtl/>
        </w:rPr>
        <w:t xml:space="preserve"> את נקודת המבט של המורדים: אחד מראשי המרד, גיבור הספר אברהם הרצפלד, חזר </w:t>
      </w:r>
      <w:proofErr w:type="spellStart"/>
      <w:r>
        <w:rPr>
          <w:rtl/>
        </w:rPr>
        <w:t>לטלז</w:t>
      </w:r>
      <w:proofErr w:type="spellEnd"/>
      <w:r>
        <w:rPr>
          <w:rtl/>
        </w:rPr>
        <w:t xml:space="preserve"> – אחרי ששהה חודשיים, מאלול, בתלמוד התורה </w:t>
      </w:r>
      <w:proofErr w:type="spellStart"/>
      <w:r>
        <w:rPr>
          <w:rtl/>
        </w:rPr>
        <w:t>בקלם</w:t>
      </w:r>
      <w:proofErr w:type="spellEnd"/>
      <w:r>
        <w:rPr>
          <w:rtl/>
        </w:rPr>
        <w:t xml:space="preserve"> – והמורדים מינו אותו לוועדה של שלושה, שדרשה לשלוח את הקבוצה </w:t>
      </w:r>
      <w:proofErr w:type="spellStart"/>
      <w:r>
        <w:rPr>
          <w:rtl/>
        </w:rPr>
        <w:t>מסלבודקה</w:t>
      </w:r>
      <w:proofErr w:type="spellEnd"/>
      <w:r>
        <w:rPr>
          <w:rtl/>
        </w:rPr>
        <w:t xml:space="preserve"> הביתה. הדרישה נדחתה, </w:t>
      </w:r>
      <w:r>
        <w:rPr>
          <w:rtl/>
        </w:rPr>
        <w:lastRenderedPageBreak/>
        <w:t>הישיבה נסגרה, ובפתיחתה מחדש סולקו הוא ושאר ראשי ההתנגדות. “שדות ולב” אינו מגלה שאנשי המחנה המתנגד למוסר נקטו אלימות.</w:t>
      </w:r>
    </w:p>
    <w:p w14:paraId="34B35F3E" w14:textId="11BD6C6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איזה כאב היה על ר׳ לייזר לשאת כדי להגיע להחלטה לסגור את הישיבה ולפזר את התלמידים</w:t>
      </w:r>
      <w:bookmarkStart w:id="4644" w:name="b4_text119"/>
      <w:bookmarkEnd w:id="4644"/>
      <w:r>
        <w:rPr>
          <w:sz w:val="18"/>
          <w:szCs w:val="18"/>
          <w:vertAlign w:val="superscript"/>
          <w:rtl/>
        </w:rPr>
        <w:fldChar w:fldCharType="begin" w:dirty="true"/>
      </w:r>
      <w:r>
        <w:rPr>
          <w:sz w:val="18"/>
          <w:szCs w:val="18"/>
          <w:vertAlign w:val="superscript"/>
          <w:rtl/>
        </w:rPr>
        <w:instrText xml:space="preserve"> REF b4_note119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119</w:t>
      </w:r>
      <w:r>
        <w:rPr>
          <w:sz w:val="18"/>
          <w:szCs w:val="18"/>
          <w:vertAlign w:val="superscript"/>
          <w:rtl/>
        </w:rPr>
        <w:fldChar w:fldCharType="end"/>
      </w:r>
      <w:r>
        <w:rPr>
          <w:rtl/>
        </w:rPr>
        <w:t>! וכמה זמן יכול היה ר׳ לייזר להמשיך לחיות</w:t>
      </w:r>
      <w:bookmarkStart w:id="4645" w:name="b4_text120"/>
      <w:bookmarkEnd w:id="4645"/>
      <w:r>
        <w:rPr>
          <w:sz w:val="18"/>
          <w:szCs w:val="18"/>
          <w:vertAlign w:val="superscript"/>
          <w:rtl/>
        </w:rPr>
        <w:fldChar w:fldCharType="begin" w:dirty="true"/>
      </w:r>
      <w:r>
        <w:rPr>
          <w:sz w:val="18"/>
          <w:szCs w:val="18"/>
          <w:vertAlign w:val="superscript"/>
          <w:rtl/>
        </w:rPr>
        <w:instrText xml:space="preserve"> REF b4_note120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120</w:t>
      </w:r>
      <w:r>
        <w:rPr>
          <w:sz w:val="18"/>
          <w:szCs w:val="18"/>
          <w:vertAlign w:val="superscript"/>
          <w:rtl/>
        </w:rPr>
        <w:fldChar w:fldCharType="end"/>
      </w:r>
      <w:r>
        <w:rPr>
          <w:rtl/>
        </w:rPr>
        <w:t xml:space="preserve"> בלי שיעורים, תלמידים ודיוני תורה? בחנוכה, אחרי סגירה של חודשיים</w:t>
      </w:r>
      <w:bookmarkStart w:id="4646" w:name="b4_text121"/>
      <w:bookmarkEnd w:id="4646"/>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פתח את הישיבה מחדש ופנה לסבא בבקשה לבוא שוב לעזרתו</w:t>
      </w:r>
      <w:bookmarkStart w:id="4647" w:name="b4_text122"/>
      <w:bookmarkEnd w:id="4647"/>
      <w:r>
        <w:rPr>
          <w:sz w:val="18"/>
          <w:szCs w:val="18"/>
          <w:vertAlign w:val="superscript"/>
          <w:rtl/>
        </w:rPr>
        <w:fldChar w:fldCharType="begin" w:dirty="true"/>
      </w:r>
      <w:r>
        <w:rPr>
          <w:sz w:val="18"/>
          <w:szCs w:val="18"/>
          <w:vertAlign w:val="superscript"/>
          <w:rtl/>
        </w:rPr>
        <w:instrText xml:space="preserve"> REF b4_note122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122</w:t>
      </w:r>
      <w:r>
        <w:rPr>
          <w:sz w:val="18"/>
          <w:szCs w:val="18"/>
          <w:vertAlign w:val="superscript"/>
          <w:rtl/>
        </w:rPr>
        <w:fldChar w:fldCharType="end"/>
      </w:r>
      <w:r>
        <w:rPr>
          <w:rtl/>
        </w:rPr>
        <w:t>. זמן קצר אחרי תחילת זמן הקיץ של תרס״ו</w:t>
      </w:r>
      <w:r>
        <w:rPr>
          <w:sz w:val="18"/>
          <w:szCs w:val="18"/>
          <w:vertAlign w:val="superscript"/>
          <w:rtl/>
        </w:rPr>
        <w:fldChar w:fldCharType="begin" w:dirty="true"/>
      </w:r>
      <w:r>
        <w:rPr>
          <w:sz w:val="18"/>
          <w:szCs w:val="18"/>
          <w:vertAlign w:val="superscript"/>
          <w:rtl/>
        </w:rPr>
        <w:instrText xml:space="preserve"> REF b4_note121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121</w:t>
      </w:r>
      <w:r>
        <w:rPr>
          <w:sz w:val="18"/>
          <w:szCs w:val="18"/>
          <w:vertAlign w:val="superscript"/>
          <w:rtl/>
        </w:rPr>
        <w:fldChar w:fldCharType="end"/>
      </w:r>
      <w:r>
        <w:rPr>
          <w:rtl/>
        </w:rPr>
        <w:t xml:space="preserve"> שלח אליו ר׳ </w:t>
      </w:r>
      <w:proofErr w:type="spellStart"/>
      <w:r>
        <w:rPr>
          <w:rtl/>
        </w:rPr>
        <w:t>נתן־צבי</w:t>
      </w:r>
      <w:proofErr w:type="spellEnd"/>
      <w:r>
        <w:rPr>
          <w:rtl/>
        </w:rPr>
        <w:t xml:space="preserve"> </w:t>
      </w:r>
      <w:proofErr w:type="spellStart"/>
      <w:r>
        <w:rPr>
          <w:rtl/>
        </w:rPr>
        <w:t>פינקל</w:t>
      </w:r>
      <w:proofErr w:type="spellEnd"/>
      <w:r>
        <w:rPr>
          <w:rtl/>
        </w:rPr>
        <w:t xml:space="preserve"> קבוצה גדולה של בחורים</w:t>
      </w:r>
      <w:bookmarkStart w:id="4648" w:name="b4_text123"/>
      <w:bookmarkEnd w:id="4648"/>
      <w:r>
        <w:rPr>
          <w:sz w:val="18"/>
          <w:szCs w:val="18"/>
          <w:vertAlign w:val="superscript"/>
          <w:rtl/>
        </w:rPr>
        <w:fldChar w:fldCharType="begin" w:dirty="true"/>
      </w:r>
      <w:r>
        <w:rPr>
          <w:sz w:val="18"/>
          <w:szCs w:val="18"/>
          <w:vertAlign w:val="superscript"/>
          <w:rtl/>
        </w:rPr>
        <w:instrText xml:space="preserve"> REF b4_note123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123</w:t>
      </w:r>
      <w:r>
        <w:rPr>
          <w:sz w:val="18"/>
          <w:szCs w:val="18"/>
          <w:vertAlign w:val="superscript"/>
          <w:rtl/>
        </w:rPr>
        <w:fldChar w:fldCharType="end"/>
      </w:r>
      <w:r>
        <w:rPr>
          <w:rtl/>
        </w:rPr>
        <w:t>, בלוויית המשגיח הצעיר יחסית ובעל ההדר, ר׳ שמואל פונדילער</w:t>
      </w:r>
      <w:bookmarkStart w:id="4649" w:name="b4_text124"/>
      <w:bookmarkEnd w:id="4649"/>
      <w:r>
        <w:rPr>
          <w:sz w:val="18"/>
          <w:szCs w:val="18"/>
          <w:vertAlign w:val="superscript"/>
          <w:rtl/>
        </w:rPr>
        <w:fldChar w:fldCharType="begin" w:dirty="true"/>
      </w:r>
      <w:r>
        <w:rPr>
          <w:sz w:val="18"/>
          <w:szCs w:val="18"/>
          <w:vertAlign w:val="superscript"/>
          <w:rtl/>
        </w:rPr>
        <w:instrText xml:space="preserve"> REF b4_note124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124</w:t>
      </w:r>
      <w:r>
        <w:rPr>
          <w:sz w:val="18"/>
          <w:szCs w:val="18"/>
          <w:vertAlign w:val="superscript"/>
          <w:rtl/>
        </w:rPr>
        <w:fldChar w:fldCharType="end"/>
      </w:r>
      <w:r>
        <w:rPr>
          <w:rtl/>
        </w:rPr>
        <w:t>, כדי לבנות מחדש את הישיבה.</w:t>
      </w:r>
    </w:p>
    <w:bookmarkStart w:id="4650" w:name="b4_note119"/>
    <w:p w14:paraId="6059ABC8" w14:textId="77777777" w:rsidR="00AB3647" w:rsidRDefault="00000000" w:rsidP="007923E9">
      <w:pPr>
        <w:spacing w:before="120" w:after="100" w:line="276" w:lineRule="auto"/>
        <w:jc w:val="both"/>
      </w:pPr>
      <w:r>
        <w:fldChar w:fldCharType="begin" w:dirty="true"/>
      </w:r>
      <w:r>
        <w:instrText>HYPERLINK \l "b4_text119" \h</w:instrText>
      </w:r>
      <w:r>
        <w:fldChar w:fldCharType="separate"/>
      </w:r>
      <w:r>
        <w:rPr>
          <w:b/>
          <w:bCs/>
          <w:rtl/>
        </w:rPr>
        <w:t>119</w:t>
      </w:r>
      <w:r>
        <w:rPr>
          <w:b/>
          <w:bCs/>
        </w:rPr>
        <w:fldChar w:fldCharType="end"/>
      </w:r>
      <w:bookmarkEnd w:id="4650"/>
      <w:r>
        <w:rPr>
          <w:rtl/>
        </w:rPr>
        <w:t xml:space="preserve"> ר׳ לייזר גורדון היה איש בעל רצון ברזל. אבל תקיף ככל שהיה כלפי בני קהילתו ובענייני הכלל, עם תלמידים נעשה רך כחמאה – אפילו אחרי עימותים מרים עמם. כשראה שישיבתו נעשתה פרועה עד כדי חרפה, פשוט התייאש והרים ידיים. ישרותו ואהבתו לתורה לא הותירו לו דרך אחרת לנהוג בתלמידים סוררים</w:t>
      </w:r>
      <w:bookmarkStart w:id="4651" w:name="_fnr3442"/>
      <w:r>
        <w:rPr>
          <w:vertAlign w:val="superscript"/>
          <w:rtl/>
        </w:rPr>
        <w:footnoteReference w:id="3450" w:customMarkFollows="0"/>
      </w:r>
      <w:bookmarkEnd w:id="4651"/>
      <w:r>
        <w:rPr>
          <w:rtl/>
        </w:rPr>
        <w:t>.</w:t>
      </w:r>
    </w:p>
    <w:p w14:paraId="6B2004D3" w14:textId="77777777" w:rsidR="00AB3647" w:rsidRDefault="00000000" w:rsidP="007923E9">
      <w:pPr>
        <w:spacing w:after="120" w:line="276" w:lineRule="auto"/>
        <w:jc w:val="both"/>
      </w:pPr>
      <w:proofErr w:type="spellStart"/>
      <w:r>
        <w:rPr>
          <w:rtl/>
        </w:rPr>
        <w:t>דבורץ</w:t>
      </w:r>
      <w:proofErr w:type="spellEnd"/>
      <w:r>
        <w:rPr>
          <w:rtl/>
        </w:rPr>
        <w:t>, “הגאון רבי משה מרדכי אפשטיין”</w:t>
      </w:r>
      <w:bookmarkStart w:id="4652" w:name="_fnr3443"/>
      <w:r>
        <w:rPr>
          <w:vertAlign w:val="superscript"/>
          <w:rtl/>
        </w:rPr>
        <w:footnoteReference w:id="3451" w:customMarkFollows="0"/>
      </w:r>
      <w:bookmarkEnd w:id="4652"/>
      <w:r>
        <w:rPr>
          <w:rtl/>
        </w:rPr>
        <w:t xml:space="preserve">, מתאר את שובם של תלמידי </w:t>
      </w:r>
      <w:proofErr w:type="spellStart"/>
      <w:r>
        <w:rPr>
          <w:rtl/>
        </w:rPr>
        <w:t>סלבודקה</w:t>
      </w:r>
      <w:proofErr w:type="spellEnd"/>
      <w:r>
        <w:rPr>
          <w:rtl/>
        </w:rPr>
        <w:t xml:space="preserve"> המאוכזבים לישיבתם: “עם שובם מצאו ותיקי </w:t>
      </w:r>
      <w:proofErr w:type="spellStart"/>
      <w:r>
        <w:rPr>
          <w:rtl/>
        </w:rPr>
        <w:t>סלבודקה</w:t>
      </w:r>
      <w:proofErr w:type="spellEnd"/>
      <w:r>
        <w:rPr>
          <w:rtl/>
        </w:rPr>
        <w:t xml:space="preserve"> ישיבה חדשה ברוח חדשה, הן בדרך הלימוד והן בשיטת המוסר</w:t>
      </w:r>
      <w:bookmarkStart w:id="4653" w:name="_fnr3444"/>
      <w:r>
        <w:rPr>
          <w:vertAlign w:val="superscript"/>
          <w:rtl/>
        </w:rPr>
        <w:footnoteReference w:id="3452" w:customMarkFollows="0"/>
      </w:r>
      <w:bookmarkEnd w:id="4653"/>
      <w:r>
        <w:rPr>
          <w:rtl/>
        </w:rPr>
        <w:t xml:space="preserve">. השיחות עסקו בעניינים חדשים ובסגנון חדש, שלא הורגלו בהם. הם הרגישו כתלמידים חדשים שעליהם להראות את כוחם בתורה ובמוסר, או להיעשות מבודדים ומיושנים. רבים בחרו בדרך הראשונה – ומילאו את הישיבה </w:t>
      </w:r>
      <w:proofErr w:type="spellStart"/>
      <w:r>
        <w:rPr>
          <w:rtl/>
        </w:rPr>
        <w:t>בריתחא</w:t>
      </w:r>
      <w:proofErr w:type="spellEnd"/>
      <w:r>
        <w:rPr>
          <w:rtl/>
        </w:rPr>
        <w:t xml:space="preserve"> דאורייתא</w:t>
      </w:r>
      <w:bookmarkStart w:id="4654" w:name="_fnr3445"/>
      <w:r>
        <w:rPr>
          <w:vertAlign w:val="superscript"/>
          <w:rtl/>
        </w:rPr>
        <w:footnoteReference w:id="3453" w:customMarkFollows="0"/>
      </w:r>
      <w:bookmarkEnd w:id="4654"/>
      <w:r>
        <w:rPr>
          <w:rtl/>
        </w:rPr>
        <w:t xml:space="preserve"> </w:t>
      </w:r>
      <w:r>
        <w:rPr>
          <w:b/>
          <w:bCs/>
          <w:rtl/>
        </w:rPr>
        <w:t xml:space="preserve">שרכשו </w:t>
      </w:r>
      <w:proofErr w:type="spellStart"/>
      <w:r>
        <w:rPr>
          <w:b/>
          <w:bCs/>
          <w:rtl/>
        </w:rPr>
        <w:t>בטלז</w:t>
      </w:r>
      <w:proofErr w:type="spellEnd"/>
      <w:r>
        <w:rPr>
          <w:rtl/>
        </w:rPr>
        <w:t xml:space="preserve"> (ההדגשה שלי)”. ועוד נאמר שם: “בין תלמידי </w:t>
      </w:r>
      <w:proofErr w:type="spellStart"/>
      <w:r>
        <w:rPr>
          <w:rtl/>
        </w:rPr>
        <w:t>טלז</w:t>
      </w:r>
      <w:proofErr w:type="spellEnd"/>
      <w:r>
        <w:rPr>
          <w:rtl/>
        </w:rPr>
        <w:t xml:space="preserve"> שליוו אותם בשובם </w:t>
      </w:r>
      <w:proofErr w:type="spellStart"/>
      <w:r>
        <w:rPr>
          <w:rtl/>
        </w:rPr>
        <w:t>לסלבודקה</w:t>
      </w:r>
      <w:proofErr w:type="spellEnd"/>
      <w:r>
        <w:rPr>
          <w:rtl/>
        </w:rPr>
        <w:t xml:space="preserve"> היו גם תלמידים רבים שהצטיינו להפליא – בלמדנות יוצאת דופן ובמעלות רוחניות גדולות. ‘וינועו אמות הסיפים’ [של כנסת ישראל] ‘מקול התורה’</w:t>
      </w:r>
      <w:bookmarkStart w:id="4655" w:name="_fnr3446"/>
      <w:r>
        <w:rPr>
          <w:vertAlign w:val="superscript"/>
          <w:rtl/>
        </w:rPr>
        <w:footnoteReference w:id="3454" w:customMarkFollows="0"/>
      </w:r>
      <w:bookmarkEnd w:id="4655"/>
      <w:r>
        <w:rPr>
          <w:rtl/>
        </w:rPr>
        <w:t xml:space="preserve"> של תלמידי הישיבה, ועלייתם הן בתורה והן במוסר הייתה גדולה ועצומה. באותה תקופה הגיעה רמת הישיבה לגבהים שאין כמותם”.</w:t>
      </w:r>
    </w:p>
    <w:bookmarkStart w:id="4656" w:name="b4_note120"/>
    <w:p w14:paraId="46660571" w14:textId="776E5C76" w:rsidR="00AB3647" w:rsidRDefault="00000000" w:rsidP="007923E9">
      <w:pPr>
        <w:spacing w:before="120" w:after="100" w:line="276" w:lineRule="auto"/>
        <w:jc w:val="both"/>
      </w:pPr>
      <w:r>
        <w:fldChar w:fldCharType="begin" w:dirty="true"/>
      </w:r>
      <w:r>
        <w:instrText>HYPERLINK \l "b4_text120" \h</w:instrText>
      </w:r>
      <w:r>
        <w:fldChar w:fldCharType="separate"/>
      </w:r>
      <w:r>
        <w:rPr>
          <w:b/>
          <w:bCs/>
          <w:rtl/>
        </w:rPr>
        <w:t>120</w:t>
      </w:r>
      <w:r>
        <w:rPr>
          <w:b/>
          <w:bCs/>
        </w:rPr>
        <w:fldChar w:fldCharType="end"/>
      </w:r>
      <w:bookmarkEnd w:id="4656"/>
      <w:r>
        <w:rPr>
          <w:rtl/>
        </w:rPr>
        <w:t xml:space="preserve"> </w:t>
      </w:r>
      <w:proofErr w:type="spellStart"/>
      <w:r>
        <w:rPr>
          <w:rtl/>
        </w:rPr>
        <w:t>רבינר</w:t>
      </w:r>
      <w:proofErr w:type="spellEnd"/>
      <w:r>
        <w:rPr>
          <w:rtl/>
        </w:rPr>
        <w:t>, “הגאון רבי אליעזר גורדון”</w:t>
      </w:r>
      <w:bookmarkStart w:id="4657" w:name="_fnr3447"/>
      <w:r>
        <w:rPr>
          <w:vertAlign w:val="superscript"/>
          <w:rtl/>
        </w:rPr>
        <w:footnoteReference w:id="3455" w:customMarkFollows="0"/>
      </w:r>
      <w:bookmarkEnd w:id="4657"/>
      <w:r>
        <w:rPr>
          <w:rtl/>
        </w:rPr>
        <w:t xml:space="preserve"> מספר שפעם עמדה הישיבה בסכנה שהממשלה הרוסית תסגור אותה, </w:t>
      </w:r>
      <w:proofErr w:type="spellStart"/>
      <w:r>
        <w:rPr>
          <w:rtl/>
        </w:rPr>
        <w:t>ו“התלמידים</w:t>
      </w:r>
      <w:proofErr w:type="spellEnd"/>
      <w:r>
        <w:rPr>
          <w:rtl/>
        </w:rPr>
        <w:t xml:space="preserve"> באו [לבית ר׳ לייזר גורדון] ומצאוהו בוכה בכי מר. כשראה את תמיהתם על התנהגותו, נאנח ואמר להם: ‘איך לא אבכה? אם יסגרו, חס ושלום, את הישיבה, למה לי חיים</w:t>
      </w:r>
      <w:bookmarkStart w:id="4658" w:name="_fnr3448"/>
      <w:r>
        <w:rPr>
          <w:vertAlign w:val="superscript"/>
          <w:rtl/>
        </w:rPr>
        <w:footnoteReference w:id="3456" w:customMarkFollows="0"/>
      </w:r>
      <w:bookmarkEnd w:id="4658"/>
      <w:r>
        <w:rPr>
          <w:rtl/>
        </w:rPr>
        <w:t xml:space="preserve">?!’” השווה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להלן, על כך שייתכן שסגירת הישיבה לזמן קצר תרמה בעקיפין למותו, והערה </w:t>
      </w:r>
      <w:r>
        <w:rPr>
          <w:rtl/>
        </w:rPr>
        <w:fldChar w:fldCharType="begin" w:dirty="true"/>
      </w:r>
      <w:r>
        <w:rPr>
          <w:rtl/>
        </w:rPr>
        <w:instrText xml:space="preserve"> REF b4_note129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129</w:t>
      </w:r>
      <w:r>
        <w:rPr>
          <w:rtl/>
        </w:rPr>
        <w:fldChar w:fldCharType="end"/>
      </w:r>
      <w:r>
        <w:rPr>
          <w:rtl/>
        </w:rPr>
        <w:t xml:space="preserve"> להלן, על כך שהייסורים שלאחר פתיחתה מחדש הרסו את בריאותו.</w:t>
      </w:r>
    </w:p>
    <w:bookmarkStart w:id="4659" w:name="b4_note121"/>
    <w:p w14:paraId="52EBA461" w14:textId="77777777" w:rsidR="00AB3647" w:rsidRDefault="00000000" w:rsidP="007923E9">
      <w:pPr>
        <w:spacing w:before="120" w:after="100" w:line="276" w:lineRule="auto"/>
        <w:jc w:val="both"/>
      </w:pPr>
      <w:r>
        <w:lastRenderedPageBreak/>
        <w:fldChar w:fldCharType="begin" w:dirty="true"/>
      </w:r>
      <w:r>
        <w:instrText>HYPERLINK \l "b4_text121" \h</w:instrText>
      </w:r>
      <w:r>
        <w:fldChar w:fldCharType="separate"/>
      </w:r>
      <w:r>
        <w:rPr>
          <w:b/>
          <w:bCs/>
          <w:rtl/>
        </w:rPr>
        <w:t>121</w:t>
      </w:r>
      <w:r>
        <w:rPr>
          <w:b/>
          <w:bCs/>
        </w:rPr>
        <w:fldChar w:fldCharType="end"/>
      </w:r>
      <w:bookmarkEnd w:id="4659"/>
      <w:r>
        <w:rPr>
          <w:rtl/>
        </w:rPr>
        <w:t xml:space="preserve"> כץ, “תנועת המוסר”, כרך ה</w:t>
      </w:r>
      <w:bookmarkStart w:id="4660" w:name="_fnr3449"/>
      <w:r>
        <w:rPr>
          <w:vertAlign w:val="superscript"/>
          <w:rtl/>
        </w:rPr>
        <w:footnoteReference w:id="3457" w:customMarkFollows="0"/>
      </w:r>
      <w:bookmarkEnd w:id="4660"/>
      <w:r>
        <w:rPr>
          <w:rtl/>
        </w:rPr>
        <w:t xml:space="preserve">, אינו מדייק כשהוא אומר שהישיבה הייתה סגורה חצי שנה. פרופסור אסף, שהצטרף לישיבה מיד אחרי סוכות תרס״ה ונכח במאורעות אלה, כותב במאמרו </w:t>
      </w:r>
      <w:proofErr w:type="spellStart"/>
      <w:r>
        <w:rPr>
          <w:rtl/>
        </w:rPr>
        <w:t>ב“העבר</w:t>
      </w:r>
      <w:proofErr w:type="spellEnd"/>
      <w:r>
        <w:rPr>
          <w:rtl/>
        </w:rPr>
        <w:t>”</w:t>
      </w:r>
      <w:bookmarkStart w:id="4661" w:name="_fnr3450"/>
      <w:r>
        <w:rPr>
          <w:vertAlign w:val="superscript"/>
          <w:rtl/>
        </w:rPr>
        <w:footnoteReference w:id="3458" w:customMarkFollows="0"/>
      </w:r>
      <w:bookmarkEnd w:id="4661"/>
      <w:r>
        <w:rPr>
          <w:rtl/>
        </w:rPr>
        <w:t xml:space="preserve"> שהישיבה הודיעה על סגירתה </w:t>
      </w:r>
      <w:proofErr w:type="spellStart"/>
      <w:r>
        <w:rPr>
          <w:rtl/>
        </w:rPr>
        <w:t>ב“</w:t>
      </w:r>
      <w:r>
        <w:rPr>
          <w:b/>
          <w:bCs/>
          <w:rtl/>
        </w:rPr>
        <w:t>יום</w:t>
      </w:r>
      <w:proofErr w:type="spellEnd"/>
      <w:r>
        <w:rPr>
          <w:b/>
          <w:bCs/>
          <w:rtl/>
        </w:rPr>
        <w:t xml:space="preserve"> שאחרי סוכות</w:t>
      </w:r>
      <w:r>
        <w:rPr>
          <w:rtl/>
        </w:rPr>
        <w:t xml:space="preserve"> (אסרו חג של סוכות)”, ונפתחה מחדש “בימי חנוכה”, ולאחר מכן “הבחורים למדו בשקידה רבה במשך </w:t>
      </w:r>
      <w:r>
        <w:rPr>
          <w:b/>
          <w:bCs/>
          <w:rtl/>
        </w:rPr>
        <w:t>שלושת החודשים שנותרו</w:t>
      </w:r>
      <w:r>
        <w:rPr>
          <w:rtl/>
        </w:rPr>
        <w:t xml:space="preserve"> של זמן החורף (ההדגשות נוספו)”. אבל השווה המקורות המובאים בהערה 118, המאשרים שהישיבה נשארה פתוחה לפחות ימים אחדים אחרי סוכות. אסף טועה גם כשהוא מקצה שלושה חודשי לימוד בלבד מחנוכה, מפני </w:t>
      </w:r>
      <w:proofErr w:type="spellStart"/>
      <w:r>
        <w:rPr>
          <w:rtl/>
        </w:rPr>
        <w:t>שתרס״ה</w:t>
      </w:r>
      <w:proofErr w:type="spellEnd"/>
      <w:r>
        <w:rPr>
          <w:rtl/>
        </w:rPr>
        <w:t xml:space="preserve"> הייתה שנה מעוברת, ובה שני חודשי אדר, כך שמחנוכה ועד סוף הזמן נותרו ארבעה חודשי לימוד.</w:t>
      </w:r>
    </w:p>
    <w:p w14:paraId="350DFF65" w14:textId="77777777" w:rsidR="00AB3647" w:rsidRDefault="00000000" w:rsidP="007923E9">
      <w:pPr>
        <w:spacing w:after="120" w:line="276" w:lineRule="auto"/>
        <w:jc w:val="both"/>
      </w:pPr>
      <w:r>
        <w:rPr>
          <w:rtl/>
        </w:rPr>
        <w:t xml:space="preserve">תלמיד אחר </w:t>
      </w:r>
      <w:proofErr w:type="spellStart"/>
      <w:r>
        <w:rPr>
          <w:rtl/>
        </w:rPr>
        <w:t>בטלז</w:t>
      </w:r>
      <w:proofErr w:type="spellEnd"/>
      <w:r>
        <w:rPr>
          <w:rtl/>
        </w:rPr>
        <w:t xml:space="preserve"> באותה תקופה, ב׳ </w:t>
      </w:r>
      <w:proofErr w:type="spellStart"/>
      <w:r>
        <w:rPr>
          <w:rtl/>
        </w:rPr>
        <w:t>שולמן</w:t>
      </w:r>
      <w:proofErr w:type="spellEnd"/>
      <w:r>
        <w:rPr>
          <w:rtl/>
        </w:rPr>
        <w:t xml:space="preserve">, כותב במאמרו </w:t>
      </w:r>
      <w:proofErr w:type="spellStart"/>
      <w:r>
        <w:rPr>
          <w:rtl/>
        </w:rPr>
        <w:t>ב“העבר</w:t>
      </w:r>
      <w:proofErr w:type="spellEnd"/>
      <w:r>
        <w:rPr>
          <w:rtl/>
        </w:rPr>
        <w:t>”</w:t>
      </w:r>
      <w:bookmarkStart w:id="4662" w:name="_fnr3451"/>
      <w:r>
        <w:rPr>
          <w:vertAlign w:val="superscript"/>
          <w:rtl/>
        </w:rPr>
        <w:footnoteReference w:id="3459" w:customMarkFollows="0"/>
      </w:r>
      <w:bookmarkEnd w:id="4662"/>
      <w:r>
        <w:rPr>
          <w:rtl/>
        </w:rPr>
        <w:t xml:space="preserve"> שהצטרף לישיבה “בתחילת 1906” – כשלפי טענת כץ, “תנועת המוסר”, כרך ה, הייתה סגורה לגמרי. עוד הוא כותב</w:t>
      </w:r>
      <w:bookmarkStart w:id="4663" w:name="_fnr3452"/>
      <w:r>
        <w:rPr>
          <w:vertAlign w:val="superscript"/>
          <w:rtl/>
        </w:rPr>
        <w:footnoteReference w:id="3460" w:customMarkFollows="0"/>
      </w:r>
      <w:bookmarkEnd w:id="4663"/>
      <w:r>
        <w:rPr>
          <w:rtl/>
        </w:rPr>
        <w:t xml:space="preserve">, בסיפורו על המאורעות שסבבו את בואו המאוחר יותר של ר׳ שמואל </w:t>
      </w:r>
      <w:proofErr w:type="spellStart"/>
      <w:r>
        <w:rPr>
          <w:rtl/>
        </w:rPr>
        <w:t>פונדילער</w:t>
      </w:r>
      <w:proofErr w:type="spellEnd"/>
      <w:r>
        <w:rPr>
          <w:rtl/>
        </w:rPr>
        <w:t xml:space="preserve">, שהקבוצה החדשה </w:t>
      </w:r>
      <w:proofErr w:type="spellStart"/>
      <w:r>
        <w:rPr>
          <w:rtl/>
        </w:rPr>
        <w:t>מסלבודקה</w:t>
      </w:r>
      <w:proofErr w:type="spellEnd"/>
      <w:r>
        <w:rPr>
          <w:rtl/>
        </w:rPr>
        <w:t xml:space="preserve"> הגיעה </w:t>
      </w:r>
      <w:proofErr w:type="spellStart"/>
      <w:r>
        <w:rPr>
          <w:rtl/>
        </w:rPr>
        <w:t>זמן־מה</w:t>
      </w:r>
      <w:proofErr w:type="spellEnd"/>
      <w:r>
        <w:rPr>
          <w:rtl/>
        </w:rPr>
        <w:t xml:space="preserve"> אחרי תחילת זמן הקיץ שלאחר מכן. מסופר שם</w:t>
      </w:r>
      <w:bookmarkStart w:id="4664" w:name="_fnr3453"/>
      <w:r>
        <w:rPr>
          <w:vertAlign w:val="superscript"/>
          <w:rtl/>
        </w:rPr>
        <w:footnoteReference w:id="3461" w:customMarkFollows="0"/>
      </w:r>
      <w:bookmarkEnd w:id="4664"/>
      <w:r>
        <w:rPr>
          <w:rtl/>
        </w:rPr>
        <w:t xml:space="preserve">: “ר׳ לייזר היה נוהג </w:t>
      </w:r>
      <w:proofErr w:type="spellStart"/>
      <w:r>
        <w:rPr>
          <w:rtl/>
        </w:rPr>
        <w:t>לאמר</w:t>
      </w:r>
      <w:proofErr w:type="spellEnd"/>
      <w:r>
        <w:rPr>
          <w:rtl/>
        </w:rPr>
        <w:t xml:space="preserve"> בנאומיו, שהישיבה זקוקה לכוון חדש, שיש להכניס ללימוד רעיון חדש ורוח חדשה ושרוח זאת צריכה לחדור לתוכנו. לולא זאת תהיה תורתנו מוכנית </w:t>
      </w:r>
      <w:proofErr w:type="spellStart"/>
      <w:r>
        <w:rPr>
          <w:rtl/>
        </w:rPr>
        <w:t>ותחלש</w:t>
      </w:r>
      <w:proofErr w:type="spellEnd"/>
      <w:r>
        <w:rPr>
          <w:rtl/>
        </w:rPr>
        <w:t xml:space="preserve"> מיום ליום: ההתלהבות מצטננת, השלהבת יורדת וברוח כלשהי לא נוכל לעמוד והזרם</w:t>
      </w:r>
      <w:bookmarkStart w:id="4665" w:name="_fnr3454"/>
      <w:r>
        <w:rPr>
          <w:vertAlign w:val="superscript"/>
          <w:rtl/>
        </w:rPr>
        <w:footnoteReference w:id="3462" w:customMarkFollows="0"/>
      </w:r>
      <w:bookmarkEnd w:id="4665"/>
      <w:r>
        <w:rPr>
          <w:rtl/>
        </w:rPr>
        <w:t xml:space="preserve"> יציף אותנו. הבינונו היטב רמזים אלה. בישיבה היו מספרים שר׳ לייזר מחליף מכתבים עם ‘הזקן’ </w:t>
      </w:r>
      <w:proofErr w:type="spellStart"/>
      <w:r>
        <w:rPr>
          <w:rtl/>
        </w:rPr>
        <w:t>מסלובודקה</w:t>
      </w:r>
      <w:proofErr w:type="spellEnd"/>
      <w:r>
        <w:rPr>
          <w:rtl/>
        </w:rPr>
        <w:t xml:space="preserve"> וזה הציע לו להזמין את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כמשגיח על המוסר וכן להזמין </w:t>
      </w:r>
      <w:proofErr w:type="spellStart"/>
      <w:r>
        <w:rPr>
          <w:rtl/>
        </w:rPr>
        <w:t>חמשים</w:t>
      </w:r>
      <w:proofErr w:type="spellEnd"/>
      <w:r>
        <w:rPr>
          <w:rtl/>
        </w:rPr>
        <w:t xml:space="preserve"> בחורים </w:t>
      </w:r>
      <w:proofErr w:type="spellStart"/>
      <w:r>
        <w:rPr>
          <w:rtl/>
        </w:rPr>
        <w:t>מוסרניקים</w:t>
      </w:r>
      <w:proofErr w:type="spellEnd"/>
      <w:r>
        <w:rPr>
          <w:rtl/>
        </w:rPr>
        <w:t xml:space="preserve"> </w:t>
      </w:r>
      <w:proofErr w:type="spellStart"/>
      <w:r>
        <w:rPr>
          <w:rtl/>
        </w:rPr>
        <w:t>מסלובודקה</w:t>
      </w:r>
      <w:proofErr w:type="spellEnd"/>
      <w:r>
        <w:rPr>
          <w:rtl/>
        </w:rPr>
        <w:t>. היינו מקבלים מחברים שעברו לישיבות אחרות (</w:t>
      </w:r>
      <w:proofErr w:type="spellStart"/>
      <w:r>
        <w:rPr>
          <w:rtl/>
        </w:rPr>
        <w:t>לומז׳ה</w:t>
      </w:r>
      <w:proofErr w:type="spellEnd"/>
      <w:r>
        <w:rPr>
          <w:rtl/>
        </w:rPr>
        <w:t xml:space="preserve">, </w:t>
      </w:r>
      <w:proofErr w:type="spellStart"/>
      <w:r>
        <w:rPr>
          <w:rtl/>
        </w:rPr>
        <w:t>מיר</w:t>
      </w:r>
      <w:proofErr w:type="spellEnd"/>
      <w:r>
        <w:rPr>
          <w:rtl/>
        </w:rPr>
        <w:t xml:space="preserve">, </w:t>
      </w:r>
      <w:proofErr w:type="spellStart"/>
      <w:r>
        <w:rPr>
          <w:rtl/>
        </w:rPr>
        <w:t>מאלטש</w:t>
      </w:r>
      <w:proofErr w:type="spellEnd"/>
      <w:r>
        <w:rPr>
          <w:rtl/>
        </w:rPr>
        <w:t xml:space="preserve">) מכתבים, </w:t>
      </w:r>
      <w:proofErr w:type="spellStart"/>
      <w:r>
        <w:rPr>
          <w:rtl/>
        </w:rPr>
        <w:t>שהמוסרניקים</w:t>
      </w:r>
      <w:proofErr w:type="spellEnd"/>
      <w:r>
        <w:rPr>
          <w:rtl/>
        </w:rPr>
        <w:t xml:space="preserve"> מתכוננים לעלות למלחמה על כל הישיבה ולשתול בכל מקום ומקום את תורתם”.</w:t>
      </w:r>
    </w:p>
    <w:p w14:paraId="750B9D94" w14:textId="77777777" w:rsidR="00AB3647" w:rsidRDefault="00000000" w:rsidP="007923E9">
      <w:pPr>
        <w:spacing w:after="120" w:line="276" w:lineRule="auto"/>
        <w:jc w:val="both"/>
      </w:pPr>
      <w:proofErr w:type="spellStart"/>
      <w:r>
        <w:rPr>
          <w:rtl/>
        </w:rPr>
        <w:t>שולמן</w:t>
      </w:r>
      <w:proofErr w:type="spellEnd"/>
      <w:r>
        <w:rPr>
          <w:rtl/>
        </w:rPr>
        <w:t xml:space="preserve"> מוסיף ומספר שתלמידי </w:t>
      </w:r>
      <w:proofErr w:type="spellStart"/>
      <w:r>
        <w:rPr>
          <w:rtl/>
        </w:rPr>
        <w:t>טלז</w:t>
      </w:r>
      <w:proofErr w:type="spellEnd"/>
      <w:r>
        <w:rPr>
          <w:rtl/>
        </w:rPr>
        <w:t xml:space="preserve"> הקימו ועד של עשרה תלמידים, כדי </w:t>
      </w:r>
      <w:proofErr w:type="spellStart"/>
      <w:r>
        <w:rPr>
          <w:rtl/>
        </w:rPr>
        <w:t>שטלז</w:t>
      </w:r>
      <w:proofErr w:type="spellEnd"/>
      <w:r>
        <w:rPr>
          <w:rtl/>
        </w:rPr>
        <w:t xml:space="preserve"> לא תיפול במלכודת אנשי המוסר. חברי הוועד נפגשו עם ראש הישיבה, אבל לא הצליחו להניאו מלהביא את “אנשי המוסר”. אז החליט הוועד להכריז על שביתה ולסגור את הישיבה לשלושה ימים. הפזיזות הזאת חזרה אליהם כבומרנג: ההנהלה שלחה מברק </w:t>
      </w:r>
      <w:proofErr w:type="spellStart"/>
      <w:r>
        <w:rPr>
          <w:rtl/>
        </w:rPr>
        <w:t>לר</w:t>
      </w:r>
      <w:proofErr w:type="spellEnd"/>
      <w:r>
        <w:rPr>
          <w:rtl/>
        </w:rPr>
        <w:t xml:space="preserve">׳ שמואל ולקבוצה </w:t>
      </w:r>
      <w:proofErr w:type="spellStart"/>
      <w:r>
        <w:rPr>
          <w:rtl/>
        </w:rPr>
        <w:t>מסלבודקה</w:t>
      </w:r>
      <w:proofErr w:type="spellEnd"/>
      <w:r>
        <w:rPr>
          <w:rtl/>
        </w:rPr>
        <w:t>, וביקשה שיבואו מיד. אז תלה הוועד מודעה על דלתות בית המדרש שהישיבה תיסגר לשישה שבועות. אבל “כעבור ימים אחדים הגיעו ‘אנשי המוסר’ עם ר׳ שמואל”.</w:t>
      </w:r>
    </w:p>
    <w:p w14:paraId="59A93970" w14:textId="77777777" w:rsidR="00AB3647" w:rsidRDefault="00000000" w:rsidP="007923E9">
      <w:pPr>
        <w:spacing w:after="120" w:line="276" w:lineRule="auto"/>
        <w:jc w:val="both"/>
      </w:pPr>
      <w:r>
        <w:rPr>
          <w:rtl/>
        </w:rPr>
        <w:t>אסף</w:t>
      </w:r>
      <w:bookmarkStart w:id="4666" w:name="_fnr3455"/>
      <w:r>
        <w:rPr>
          <w:vertAlign w:val="superscript"/>
          <w:rtl/>
        </w:rPr>
        <w:footnoteReference w:id="3463" w:customMarkFollows="0"/>
      </w:r>
      <w:bookmarkEnd w:id="4666"/>
      <w:r>
        <w:rPr>
          <w:rtl/>
        </w:rPr>
        <w:t xml:space="preserve"> אינו דן בבואו של ר׳ שמואל </w:t>
      </w:r>
      <w:proofErr w:type="spellStart"/>
      <w:r>
        <w:rPr>
          <w:rtl/>
        </w:rPr>
        <w:t>פונדילער</w:t>
      </w:r>
      <w:proofErr w:type="spellEnd"/>
      <w:r>
        <w:rPr>
          <w:rtl/>
        </w:rPr>
        <w:t xml:space="preserve">, אבל מזכיר את הקמת הוועד כך: “בעקבות חילוקי הדעות החריפים בין הנהלת הישיבה לבחורים, שהתפרצו מדי פעם בשנים האחרונות, החליט הרב [ר׳ לייזר גורדון] (ההדגשה נוספה) שטוב יהיה לתלמידים שתהיה להם נציגות משלהם, שעמה תבוא הנהלת הישיבה בדברים בעת הצורך... הבחורים בחרו ועד של </w:t>
      </w:r>
      <w:proofErr w:type="spellStart"/>
      <w:r>
        <w:rPr>
          <w:b/>
          <w:bCs/>
          <w:rtl/>
        </w:rPr>
        <w:t>אחד־</w:t>
      </w:r>
      <w:r>
        <w:rPr>
          <w:b/>
          <w:bCs/>
          <w:rtl/>
        </w:rPr>
        <w:lastRenderedPageBreak/>
        <w:t>עשר</w:t>
      </w:r>
      <w:proofErr w:type="spellEnd"/>
      <w:r>
        <w:rPr>
          <w:rtl/>
        </w:rPr>
        <w:t xml:space="preserve"> (ההדגשה שלי) חברים, שבו יוצגו תלמידי כל חמשת השיעורים; וגם אני זכיתי להיות בין הנבחרים”.</w:t>
      </w:r>
    </w:p>
    <w:p w14:paraId="4C0D757F" w14:textId="77777777" w:rsidR="00AB3647" w:rsidRDefault="00000000" w:rsidP="007923E9">
      <w:pPr>
        <w:spacing w:after="120" w:line="276" w:lineRule="auto"/>
        <w:jc w:val="both"/>
      </w:pPr>
      <w:proofErr w:type="spellStart"/>
      <w:r>
        <w:rPr>
          <w:rtl/>
        </w:rPr>
        <w:t>שולמן</w:t>
      </w:r>
      <w:proofErr w:type="spellEnd"/>
      <w:r>
        <w:rPr>
          <w:rtl/>
        </w:rPr>
        <w:t xml:space="preserve">, כפי שצוטט לעיל, טועה בבירור בשני העניינים שהודגשו – מי יזם את הקמת ועד התלמידים, וכמה חברים היו בו – שהרי סותר אותו מי שהיה בעצמו חבר בוועד. מובן שהמחבר ב׳ </w:t>
      </w:r>
      <w:proofErr w:type="spellStart"/>
      <w:r>
        <w:rPr>
          <w:rtl/>
        </w:rPr>
        <w:t>שולמן</w:t>
      </w:r>
      <w:proofErr w:type="spellEnd"/>
      <w:r>
        <w:rPr>
          <w:rtl/>
        </w:rPr>
        <w:t xml:space="preserve">, שהגיע לישיבה מעיר הולדתו </w:t>
      </w:r>
      <w:proofErr w:type="spellStart"/>
      <w:r>
        <w:rPr>
          <w:rtl/>
        </w:rPr>
        <w:t>זאגר</w:t>
      </w:r>
      <w:proofErr w:type="spellEnd"/>
      <w:r>
        <w:rPr>
          <w:rtl/>
        </w:rPr>
        <w:t xml:space="preserve"> זמן לא רב לפני הקמת הוועד, לא הכיר היטב את תולדותיו ואת הרכבו.</w:t>
      </w:r>
    </w:p>
    <w:p w14:paraId="3B6173FC" w14:textId="77777777" w:rsidR="00AB3647" w:rsidRDefault="00000000" w:rsidP="007923E9">
      <w:pPr>
        <w:spacing w:after="120" w:line="276" w:lineRule="auto"/>
        <w:jc w:val="both"/>
      </w:pPr>
      <w:r>
        <w:rPr>
          <w:rtl/>
        </w:rPr>
        <w:t xml:space="preserve">גם במאמרו של </w:t>
      </w:r>
      <w:proofErr w:type="spellStart"/>
      <w:r>
        <w:rPr>
          <w:rtl/>
        </w:rPr>
        <w:t>שולמן</w:t>
      </w:r>
      <w:proofErr w:type="spellEnd"/>
      <w:r>
        <w:rPr>
          <w:rtl/>
        </w:rPr>
        <w:t xml:space="preserve"> יש סתירה בולטת, והיא מביאה אותי לשער שמחברו אינו מגלה מידע אישי מסוים הנוגע לעניין. לפי סיפורו, הגיע </w:t>
      </w:r>
      <w:proofErr w:type="spellStart"/>
      <w:r>
        <w:rPr>
          <w:rtl/>
        </w:rPr>
        <w:t>לטלז</w:t>
      </w:r>
      <w:proofErr w:type="spellEnd"/>
      <w:r>
        <w:rPr>
          <w:rtl/>
        </w:rPr>
        <w:t xml:space="preserve"> “בתחילת 1906”, וכשנשרפה העיר בקיץ תרס״ח יצא </w:t>
      </w:r>
      <w:proofErr w:type="spellStart"/>
      <w:r>
        <w:rPr>
          <w:rtl/>
        </w:rPr>
        <w:t>לשדובה</w:t>
      </w:r>
      <w:proofErr w:type="spellEnd"/>
      <w:r>
        <w:rPr>
          <w:rtl/>
        </w:rPr>
        <w:t xml:space="preserve"> להמשיך ללמוד אצל ר׳ יוסף לייב בלוך</w:t>
      </w:r>
      <w:bookmarkStart w:id="4667" w:name="_fnr3456"/>
      <w:r>
        <w:rPr>
          <w:vertAlign w:val="superscript"/>
          <w:rtl/>
        </w:rPr>
        <w:footnoteReference w:id="3464" w:customMarkFollows="0"/>
      </w:r>
      <w:bookmarkEnd w:id="4667"/>
      <w:r>
        <w:rPr>
          <w:rtl/>
        </w:rPr>
        <w:t xml:space="preserve"> (שם, עמ׳ 142). ובכל זאת הוא טוען (שם, עמ׳ 141, כפי שצוטט להלן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w:t>
      </w:r>
      <w:proofErr w:type="spellStart"/>
      <w:r>
        <w:rPr>
          <w:rtl/>
        </w:rPr>
        <w:t>ש“לימודינו</w:t>
      </w:r>
      <w:proofErr w:type="spellEnd"/>
      <w:r>
        <w:rPr>
          <w:rtl/>
        </w:rPr>
        <w:t xml:space="preserve"> המשותפים עם ‘אנשי המוסר’ נמשכו שנה שלמה” – אף שעד השרפה היו צריכים להימשך שנתיים שלמות. יתר על כן, כשעבר המחבר </w:t>
      </w:r>
      <w:proofErr w:type="spellStart"/>
      <w:r>
        <w:rPr>
          <w:rtl/>
        </w:rPr>
        <w:t>לשדובה</w:t>
      </w:r>
      <w:proofErr w:type="spellEnd"/>
      <w:r>
        <w:rPr>
          <w:rtl/>
        </w:rPr>
        <w:t xml:space="preserve"> ונחקר על ספרות אסורה, ובה תעמולה סוציאליסטית, שנמצאה באכסנייתו (שם, עמ׳ 146), הוא אמר לבית הדין, לפי המסופר, שהספרים היו עמו במשך “השנה וחצי שלמדתי </w:t>
      </w:r>
      <w:proofErr w:type="spellStart"/>
      <w:r>
        <w:rPr>
          <w:rtl/>
        </w:rPr>
        <w:t>בטלז</w:t>
      </w:r>
      <w:proofErr w:type="spellEnd"/>
      <w:r>
        <w:rPr>
          <w:rtl/>
        </w:rPr>
        <w:t>” – ולא שנתיים וחצי, כפי שהיה צריך להיות.</w:t>
      </w:r>
    </w:p>
    <w:p w14:paraId="24AB6523" w14:textId="77777777" w:rsidR="00AB3647" w:rsidRDefault="00000000" w:rsidP="007923E9">
      <w:pPr>
        <w:spacing w:after="120" w:line="276" w:lineRule="auto"/>
        <w:jc w:val="both"/>
      </w:pPr>
      <w:r>
        <w:rPr>
          <w:rtl/>
        </w:rPr>
        <w:t xml:space="preserve">המידע שהמאמר אינו מוסר הוא כנראה שבזמן החסר, השנה שלפני השרפה, שהה המחבר </w:t>
      </w:r>
      <w:r>
        <w:rPr>
          <w:b/>
          <w:bCs/>
          <w:rtl/>
        </w:rPr>
        <w:t xml:space="preserve">בעיר </w:t>
      </w:r>
      <w:proofErr w:type="spellStart"/>
      <w:r>
        <w:rPr>
          <w:b/>
          <w:bCs/>
          <w:rtl/>
        </w:rPr>
        <w:t>טלז</w:t>
      </w:r>
      <w:proofErr w:type="spellEnd"/>
      <w:r>
        <w:rPr>
          <w:b/>
          <w:bCs/>
          <w:rtl/>
        </w:rPr>
        <w:t>, אך לא בישיבה</w:t>
      </w:r>
      <w:r>
        <w:rPr>
          <w:rtl/>
        </w:rPr>
        <w:t>. מה בדיוק עשה באותה שנה – אין להכריע. שם</w:t>
      </w:r>
      <w:bookmarkStart w:id="4668" w:name="_fnr3457"/>
      <w:r>
        <w:rPr>
          <w:vertAlign w:val="superscript"/>
          <w:rtl/>
        </w:rPr>
        <w:footnoteReference w:id="3465" w:customMarkFollows="0"/>
      </w:r>
      <w:bookmarkEnd w:id="4668"/>
      <w:r>
        <w:rPr>
          <w:rtl/>
        </w:rPr>
        <w:t xml:space="preserve"> מסופר על תלמידים אחרים </w:t>
      </w:r>
      <w:proofErr w:type="spellStart"/>
      <w:r>
        <w:rPr>
          <w:rtl/>
        </w:rPr>
        <w:t>מזאגר</w:t>
      </w:r>
      <w:proofErr w:type="spellEnd"/>
      <w:r>
        <w:rPr>
          <w:rtl/>
        </w:rPr>
        <w:t xml:space="preserve">, שסולקו מן הישיבה בשנה שלפני בוא </w:t>
      </w:r>
      <w:proofErr w:type="spellStart"/>
      <w:r>
        <w:rPr>
          <w:rtl/>
        </w:rPr>
        <w:t>שולמן</w:t>
      </w:r>
      <w:proofErr w:type="spellEnd"/>
      <w:r>
        <w:rPr>
          <w:rtl/>
        </w:rPr>
        <w:t xml:space="preserve"> </w:t>
      </w:r>
      <w:proofErr w:type="spellStart"/>
      <w:r>
        <w:rPr>
          <w:rtl/>
        </w:rPr>
        <w:t>לטלז</w:t>
      </w:r>
      <w:proofErr w:type="spellEnd"/>
      <w:r>
        <w:rPr>
          <w:rtl/>
        </w:rPr>
        <w:t xml:space="preserve"> ונשארו בעיר, והוריהם המשיכו לשלוח להם תמיכה בחושבם שבניהם עדיין לומדים תורה. פורשים אלה – “שנו ופירשו”</w:t>
      </w:r>
      <w:bookmarkStart w:id="4669" w:name="_fnr3458"/>
      <w:r>
        <w:rPr>
          <w:vertAlign w:val="superscript"/>
          <w:rtl/>
        </w:rPr>
        <w:footnoteReference w:id="3466" w:customMarkFollows="0"/>
      </w:r>
      <w:bookmarkEnd w:id="4669"/>
      <w:r>
        <w:rPr>
          <w:rtl/>
        </w:rPr>
        <w:t xml:space="preserve"> – ניסו לשכנע את המחבר מיד כשבא לעיר להטעות גם הוא את הוריו: למצוא עבודה ולפעול עמם בהפצת הסוציאליזם. אף שבאותה עת דחה אותם, ייתכן שקיבל את עצתם הרעה כעבור שנה וחצי, בקיץ תרס״ז. בעמ׳ 141 שם, כפי שצוטט בעמ׳ </w:t>
      </w:r>
      <w:r>
        <w:rPr>
          <w:rtl/>
        </w:rPr>
        <w:fldChar w:fldCharType="begin" w:dirty="true"/>
      </w:r>
      <w:r>
        <w:rPr>
          <w:rtl/>
        </w:rPr>
        <w:instrText xml:space="preserve"> PAGEREF pr_b_2399 \h </w:instrText>
      </w:r>
      <w:r>
        <w:rPr>
          <w:rtl/>
        </w:rPr>
      </w:r>
      <w:r>
        <w:rPr>
          <w:rtl/>
        </w:rPr>
        <w:fldChar w:fldCharType="separate"/>
      </w:r>
      <w:r w:rsidR="007923E9">
        <w:rPr>
          <w:noProof/>
          <w:rtl/>
        </w:rPr>
        <w:t>1</w:t>
      </w:r>
      <w:r>
        <w:rPr>
          <w:rtl/>
        </w:rPr>
        <w:fldChar w:fldCharType="end"/>
      </w:r>
      <w:r>
        <w:rPr>
          <w:rtl/>
        </w:rPr>
        <w:t xml:space="preserve"> להלן, מספר המחבר: “‘אנשי המוסר’... למדו בישיבה יחד אתנו, ואף </w:t>
      </w:r>
      <w:r>
        <w:rPr>
          <w:b/>
          <w:bCs/>
          <w:rtl/>
        </w:rPr>
        <w:t>קשרו קשרים עם הפורשים</w:t>
      </w:r>
      <w:r>
        <w:rPr>
          <w:rtl/>
        </w:rPr>
        <w:t xml:space="preserve"> (ההדגשה שלי)”; ייתכן </w:t>
      </w:r>
      <w:proofErr w:type="spellStart"/>
      <w:r>
        <w:rPr>
          <w:rtl/>
        </w:rPr>
        <w:t>ששולמן</w:t>
      </w:r>
      <w:proofErr w:type="spellEnd"/>
      <w:r>
        <w:rPr>
          <w:rtl/>
        </w:rPr>
        <w:t xml:space="preserve"> ידע על קשרים אלה מפני שנעשה בעצמו אחד מן הפורשים.</w:t>
      </w:r>
    </w:p>
    <w:p w14:paraId="5E53BA58" w14:textId="77777777" w:rsidR="00AB3647" w:rsidRDefault="00000000" w:rsidP="007923E9">
      <w:pPr>
        <w:spacing w:after="120" w:line="276" w:lineRule="auto"/>
        <w:jc w:val="both"/>
      </w:pPr>
      <w:r>
        <w:rPr>
          <w:rtl/>
        </w:rPr>
        <w:t xml:space="preserve">לחלופין, ייתכן </w:t>
      </w:r>
      <w:proofErr w:type="spellStart"/>
      <w:r>
        <w:rPr>
          <w:rtl/>
        </w:rPr>
        <w:t>ששולמן</w:t>
      </w:r>
      <w:proofErr w:type="spellEnd"/>
      <w:r>
        <w:rPr>
          <w:rtl/>
        </w:rPr>
        <w:t xml:space="preserve"> – שתיאר את עצמו </w:t>
      </w:r>
      <w:proofErr w:type="spellStart"/>
      <w:r>
        <w:rPr>
          <w:rtl/>
        </w:rPr>
        <w:t>כ“עקשן</w:t>
      </w:r>
      <w:proofErr w:type="spellEnd"/>
      <w:r>
        <w:rPr>
          <w:rtl/>
        </w:rPr>
        <w:t xml:space="preserve"> בשנאתי </w:t>
      </w:r>
      <w:proofErr w:type="spellStart"/>
      <w:r>
        <w:rPr>
          <w:rtl/>
        </w:rPr>
        <w:t>ל‘אנשי</w:t>
      </w:r>
      <w:proofErr w:type="spellEnd"/>
      <w:r>
        <w:rPr>
          <w:rtl/>
        </w:rPr>
        <w:t xml:space="preserve"> המוסר’”</w:t>
      </w:r>
      <w:bookmarkStart w:id="4670" w:name="_fnr3459"/>
      <w:r>
        <w:rPr>
          <w:vertAlign w:val="superscript"/>
          <w:rtl/>
        </w:rPr>
        <w:footnoteReference w:id="3467" w:customMarkFollows="0"/>
      </w:r>
      <w:bookmarkEnd w:id="4670"/>
      <w:r>
        <w:rPr>
          <w:rtl/>
        </w:rPr>
        <w:t xml:space="preserve"> – פשוט עזב את הישיבה ולמד תורה לבדו באחד מבתי הכנסת בעיר, כמו שעשו תלמידים אחרים כשננעלו בפניהם דלתות הישיבה שנה ושלושה רבעים קודם לכן</w:t>
      </w:r>
      <w:bookmarkStart w:id="4671" w:name="_fnr3460"/>
      <w:r>
        <w:rPr>
          <w:vertAlign w:val="superscript"/>
          <w:rtl/>
        </w:rPr>
        <w:footnoteReference w:id="3468" w:customMarkFollows="0"/>
      </w:r>
      <w:bookmarkEnd w:id="4671"/>
      <w:r>
        <w:rPr>
          <w:rtl/>
        </w:rPr>
        <w:t xml:space="preserve">. לפי זה נמשכו “לימודיו המשותפים עם ‘אנשי המוסר’” כשנה וחודשיים – </w:t>
      </w:r>
      <w:proofErr w:type="spellStart"/>
      <w:r>
        <w:rPr>
          <w:rtl/>
        </w:rPr>
        <w:t>ששולמן</w:t>
      </w:r>
      <w:proofErr w:type="spellEnd"/>
      <w:r>
        <w:rPr>
          <w:rtl/>
        </w:rPr>
        <w:t xml:space="preserve"> מכנה שנה “שלמה” – אף ששהה בעיר </w:t>
      </w:r>
      <w:proofErr w:type="spellStart"/>
      <w:r>
        <w:rPr>
          <w:rtl/>
        </w:rPr>
        <w:t>טלז</w:t>
      </w:r>
      <w:proofErr w:type="spellEnd"/>
      <w:r>
        <w:rPr>
          <w:rtl/>
        </w:rPr>
        <w:t xml:space="preserve"> שנתיים וחצי.</w:t>
      </w:r>
    </w:p>
    <w:bookmarkStart w:id="4672" w:name="b4_note122"/>
    <w:p w14:paraId="4D209883" w14:textId="5FDE154C" w:rsidR="00AB3647" w:rsidRDefault="00000000" w:rsidP="007923E9">
      <w:pPr>
        <w:spacing w:before="120" w:after="100" w:line="276" w:lineRule="auto"/>
        <w:jc w:val="both"/>
      </w:pPr>
      <w:r>
        <w:fldChar w:fldCharType="begin" w:dirty="true"/>
      </w:r>
      <w:r>
        <w:instrText>HYPERLINK \l "b4_text122" \h</w:instrText>
      </w:r>
      <w:r>
        <w:fldChar w:fldCharType="separate"/>
      </w:r>
      <w:r>
        <w:rPr>
          <w:b/>
          <w:bCs/>
          <w:rtl/>
        </w:rPr>
        <w:t>122</w:t>
      </w:r>
      <w:r>
        <w:rPr>
          <w:b/>
          <w:bCs/>
        </w:rPr>
        <w:fldChar w:fldCharType="end"/>
      </w:r>
      <w:bookmarkEnd w:id="4672"/>
      <w:r>
        <w:rPr>
          <w:rtl/>
        </w:rPr>
        <w:t xml:space="preserve"> ראה </w:t>
      </w:r>
      <w:r>
        <w:rPr>
          <w:rtl/>
        </w:rPr>
        <w:fldChar w:fldCharType="begin" w:dirty="true"/>
      </w:r>
      <w:r>
        <w:rPr>
          <w:rtl/>
        </w:rPr>
        <w:instrText xml:space="preserve"> REF b4_excN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bookmarkStart w:id="4673" w:name="b4_note123"/>
    <w:p w14:paraId="7687AB8F" w14:textId="77777777" w:rsidR="00AB3647" w:rsidRDefault="00000000" w:rsidP="007923E9">
      <w:pPr>
        <w:spacing w:before="120" w:after="100" w:line="276" w:lineRule="auto"/>
        <w:jc w:val="both"/>
      </w:pPr>
      <w:r>
        <w:lastRenderedPageBreak/>
        <w:fldChar w:fldCharType="begin" w:dirty="true"/>
      </w:r>
      <w:r>
        <w:instrText>HYPERLINK \l "b4_text123" \h</w:instrText>
      </w:r>
      <w:r>
        <w:fldChar w:fldCharType="separate"/>
      </w:r>
      <w:r>
        <w:rPr>
          <w:b/>
          <w:bCs/>
          <w:rtl/>
        </w:rPr>
        <w:t>123</w:t>
      </w:r>
      <w:r>
        <w:rPr>
          <w:b/>
          <w:bCs/>
        </w:rPr>
        <w:fldChar w:fldCharType="end"/>
      </w:r>
      <w:bookmarkEnd w:id="4673"/>
      <w:r>
        <w:rPr>
          <w:rtl/>
        </w:rPr>
        <w:t xml:space="preserve"> </w:t>
      </w:r>
      <w:proofErr w:type="spellStart"/>
      <w:r>
        <w:rPr>
          <w:rtl/>
        </w:rPr>
        <w:t>שולמן</w:t>
      </w:r>
      <w:bookmarkStart w:id="4674" w:name="_fnr3461"/>
      <w:proofErr w:type="spellEnd"/>
      <w:r>
        <w:rPr>
          <w:vertAlign w:val="superscript"/>
          <w:rtl/>
        </w:rPr>
        <w:footnoteReference w:id="3469" w:customMarkFollows="0"/>
      </w:r>
      <w:bookmarkEnd w:id="4674"/>
      <w:r>
        <w:rPr>
          <w:rtl/>
        </w:rPr>
        <w:t xml:space="preserve"> קובע שמספר התלמידים שהוזמנו לבוא עם ר׳ שמואל היה חמישים.</w:t>
      </w:r>
    </w:p>
    <w:bookmarkStart w:id="4675" w:name="b4_note124"/>
    <w:p w14:paraId="4DCD8236" w14:textId="65E3FD51" w:rsidR="00AB3647" w:rsidRDefault="00000000" w:rsidP="007923E9">
      <w:pPr>
        <w:spacing w:before="120" w:after="100" w:line="276" w:lineRule="auto"/>
        <w:jc w:val="both"/>
      </w:pPr>
      <w:r>
        <w:fldChar w:fldCharType="begin" w:dirty="true"/>
      </w:r>
      <w:r>
        <w:instrText>HYPERLINK \l "b4_text124" \h</w:instrText>
      </w:r>
      <w:r>
        <w:fldChar w:fldCharType="separate"/>
      </w:r>
      <w:r>
        <w:rPr>
          <w:b/>
          <w:bCs/>
          <w:rtl/>
        </w:rPr>
        <w:t>124</w:t>
      </w:r>
      <w:r>
        <w:rPr>
          <w:b/>
          <w:bCs/>
        </w:rPr>
        <w:fldChar w:fldCharType="end"/>
      </w:r>
      <w:bookmarkEnd w:id="4675"/>
      <w:r>
        <w:rPr>
          <w:rtl/>
        </w:rPr>
        <w:t xml:space="preserve"> ראה </w:t>
      </w:r>
      <w:r>
        <w:rPr>
          <w:rtl/>
        </w:rPr>
        <w:fldChar w:fldCharType="begin" w:dirty="true"/>
      </w:r>
      <w:r>
        <w:rPr>
          <w:rtl/>
        </w:rPr>
        <w:instrText xml:space="preserve"> REF b4_excO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w:t>
      </w:r>
    </w:p>
    <w:p w14:paraId="600935CB" w14:textId="7679FE2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חודש לאחר תחילת זמן החורף שלאחר מכן – שבתחילתו תוגברה קבוצת </w:t>
      </w:r>
      <w:proofErr w:type="spellStart"/>
      <w:r>
        <w:rPr>
          <w:rtl/>
        </w:rPr>
        <w:t>סלבודקה</w:t>
      </w:r>
      <w:proofErr w:type="spellEnd"/>
      <w:r>
        <w:rPr>
          <w:rtl/>
        </w:rPr>
        <w:t xml:space="preserve"> בתלמידים נוספים</w:t>
      </w:r>
      <w:bookmarkStart w:id="4676" w:name="b4_text125"/>
      <w:bookmarkEnd w:id="4676"/>
      <w:r>
        <w:rPr>
          <w:sz w:val="18"/>
          <w:szCs w:val="18"/>
          <w:vertAlign w:val="superscript"/>
          <w:rtl/>
        </w:rPr>
        <w:fldChar w:fldCharType="begin" w:dirty="true"/>
      </w:r>
      <w:r>
        <w:rPr>
          <w:sz w:val="18"/>
          <w:szCs w:val="18"/>
          <w:vertAlign w:val="superscript"/>
          <w:rtl/>
        </w:rPr>
        <w:instrText xml:space="preserve"> REF b4_note125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125</w:t>
      </w:r>
      <w:r>
        <w:rPr>
          <w:sz w:val="18"/>
          <w:szCs w:val="18"/>
          <w:vertAlign w:val="superscript"/>
          <w:rtl/>
        </w:rPr>
        <w:fldChar w:fldCharType="end"/>
      </w:r>
      <w:r>
        <w:rPr>
          <w:rtl/>
        </w:rPr>
        <w:t xml:space="preserve"> – הגיע ר׳ לייזר לקובנה בערב שבת, ויכול היה לדווח לסבא </w:t>
      </w:r>
      <w:proofErr w:type="spellStart"/>
      <w:r>
        <w:rPr>
          <w:rtl/>
        </w:rPr>
        <w:t>מסלבודקה</w:t>
      </w:r>
      <w:proofErr w:type="spellEnd"/>
      <w:r>
        <w:rPr>
          <w:rtl/>
        </w:rPr>
        <w:t xml:space="preserve"> על ההתפתחויות בישיבתו </w:t>
      </w:r>
      <w:proofErr w:type="spellStart"/>
      <w:r>
        <w:rPr>
          <w:rtl/>
        </w:rPr>
        <w:t>הישנה־החדשה</w:t>
      </w:r>
      <w:proofErr w:type="spellEnd"/>
      <w:r>
        <w:rPr>
          <w:rtl/>
        </w:rPr>
        <w:t>.</w:t>
      </w:r>
    </w:p>
    <w:bookmarkStart w:id="4677" w:name="b4_note125"/>
    <w:p w14:paraId="5C61A754" w14:textId="77777777" w:rsidR="00AB3647" w:rsidRDefault="00000000" w:rsidP="007923E9">
      <w:pPr>
        <w:spacing w:before="120" w:after="100" w:line="276" w:lineRule="auto"/>
        <w:jc w:val="both"/>
      </w:pPr>
      <w:r>
        <w:fldChar w:fldCharType="begin" w:dirty="true"/>
      </w:r>
      <w:r>
        <w:instrText>HYPERLINK \l "b4_text125" \h</w:instrText>
      </w:r>
      <w:r>
        <w:fldChar w:fldCharType="separate"/>
      </w:r>
      <w:r>
        <w:rPr>
          <w:b/>
          <w:bCs/>
          <w:rtl/>
        </w:rPr>
        <w:t>125</w:t>
      </w:r>
      <w:r>
        <w:rPr>
          <w:b/>
          <w:bCs/>
        </w:rPr>
        <w:fldChar w:fldCharType="end"/>
      </w:r>
      <w:bookmarkEnd w:id="4677"/>
      <w:r>
        <w:rPr>
          <w:rtl/>
        </w:rPr>
        <w:t xml:space="preserve"> מידע זה התברר מתוך מה שסיפר אבי </w:t>
      </w:r>
      <w:proofErr w:type="spellStart"/>
      <w:r>
        <w:rPr>
          <w:rtl/>
        </w:rPr>
        <w:t>לר</w:t>
      </w:r>
      <w:proofErr w:type="spellEnd"/>
      <w:r>
        <w:rPr>
          <w:rtl/>
        </w:rPr>
        <w:t xml:space="preserve">׳ </w:t>
      </w:r>
      <w:proofErr w:type="spellStart"/>
      <w:r>
        <w:rPr>
          <w:rtl/>
        </w:rPr>
        <w:t>לייבל</w:t>
      </w:r>
      <w:proofErr w:type="spellEnd"/>
      <w:r>
        <w:rPr>
          <w:rtl/>
        </w:rPr>
        <w:t xml:space="preserve"> </w:t>
      </w:r>
      <w:proofErr w:type="spellStart"/>
      <w:r>
        <w:rPr>
          <w:rtl/>
        </w:rPr>
        <w:t>פרלשטיין</w:t>
      </w:r>
      <w:bookmarkStart w:id="4678" w:name="_fnr3462"/>
      <w:proofErr w:type="spellEnd"/>
      <w:r>
        <w:rPr>
          <w:vertAlign w:val="superscript"/>
          <w:rtl/>
        </w:rPr>
        <w:footnoteReference w:id="3470" w:customMarkFollows="0"/>
      </w:r>
      <w:bookmarkEnd w:id="4678"/>
      <w:r>
        <w:rPr>
          <w:rtl/>
        </w:rPr>
        <w:t xml:space="preserve">, והוא נראה סביר לנוכח חומרת הבעיות שהיו </w:t>
      </w:r>
      <w:proofErr w:type="spellStart"/>
      <w:r>
        <w:rPr>
          <w:rtl/>
        </w:rPr>
        <w:t>לר</w:t>
      </w:r>
      <w:proofErr w:type="spellEnd"/>
      <w:r>
        <w:rPr>
          <w:rtl/>
        </w:rPr>
        <w:t xml:space="preserve">׳ שמואל עם תלמידי </w:t>
      </w:r>
      <w:proofErr w:type="spellStart"/>
      <w:r>
        <w:rPr>
          <w:rtl/>
        </w:rPr>
        <w:t>טלז</w:t>
      </w:r>
      <w:proofErr w:type="spellEnd"/>
      <w:r>
        <w:rPr>
          <w:rtl/>
        </w:rPr>
        <w:t xml:space="preserve">, כמתואר בנספח טו בפרק זה. לפי המסופר שם מפי </w:t>
      </w:r>
      <w:proofErr w:type="spellStart"/>
      <w:r>
        <w:rPr>
          <w:rtl/>
        </w:rPr>
        <w:t>שולמן</w:t>
      </w:r>
      <w:proofErr w:type="spellEnd"/>
      <w:r>
        <w:rPr>
          <w:rtl/>
        </w:rPr>
        <w:t>, היה זה “מזל” – ר׳ לייזר כמעט לקה בשיתוק – שהביא לבסוף להשתלטות על המצב. כץ, “תנועת המוסר”, כרך ה</w:t>
      </w:r>
      <w:bookmarkStart w:id="4679" w:name="_fnr3463"/>
      <w:r>
        <w:rPr>
          <w:vertAlign w:val="superscript"/>
          <w:rtl/>
        </w:rPr>
        <w:footnoteReference w:id="3471" w:customMarkFollows="0"/>
      </w:r>
      <w:bookmarkEnd w:id="4679"/>
      <w:r>
        <w:rPr>
          <w:rtl/>
        </w:rPr>
        <w:t xml:space="preserve">, הזוקף את כיבוש </w:t>
      </w:r>
      <w:proofErr w:type="spellStart"/>
      <w:r>
        <w:rPr>
          <w:rtl/>
        </w:rPr>
        <w:t>טלז</w:t>
      </w:r>
      <w:proofErr w:type="spellEnd"/>
      <w:r>
        <w:rPr>
          <w:rtl/>
        </w:rPr>
        <w:t xml:space="preserve"> לזכות אישיותו של ר׳ שמואל </w:t>
      </w:r>
      <w:proofErr w:type="spellStart"/>
      <w:r>
        <w:rPr>
          <w:rtl/>
        </w:rPr>
        <w:t>פונדילער</w:t>
      </w:r>
      <w:proofErr w:type="spellEnd"/>
      <w:r>
        <w:rPr>
          <w:rtl/>
        </w:rPr>
        <w:t>, אינו מזכיר כלל את הזעקת התגבורת, ונראה שאינו יודע על עובדה זו.</w:t>
      </w:r>
    </w:p>
    <w:p w14:paraId="295D21A6" w14:textId="4118871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bookmarkStart w:id="4680" w:name="pr_b_1776"/>
      <w:bookmarkEnd w:id="4680"/>
      <w:r>
        <w:rPr>
          <w:rtl/>
        </w:rPr>
        <w:t xml:space="preserve">רק בשבת אחר הצהריים נודע מי הגיע ביום הקודם, והידיעה התפשטה כאש </w:t>
      </w:r>
      <w:proofErr w:type="spellStart"/>
      <w:r>
        <w:rPr>
          <w:rtl/>
        </w:rPr>
        <w:t>בסלבודקה</w:t>
      </w:r>
      <w:proofErr w:type="spellEnd"/>
      <w:r>
        <w:rPr>
          <w:rtl/>
        </w:rPr>
        <w:t>. למעלה מ־500 בחורים משתי הישיבות חצו את הגשר לקובנה והתאספו במלון שבו התאכסן ר׳ לייזר. דמדומי הערב הליטאיים, הנמשכים שעתיים, כבר ירדו כשבא ר׳ לייזר אל אולם הכניסה וראה את המון התלמידים הממתין לו, ומיד החל למסור שיעור</w:t>
      </w:r>
      <w:bookmarkStart w:id="4681" w:name="b4_text126"/>
      <w:bookmarkEnd w:id="4681"/>
      <w:r>
        <w:rPr>
          <w:sz w:val="18"/>
          <w:szCs w:val="18"/>
          <w:vertAlign w:val="superscript"/>
          <w:rtl/>
        </w:rPr>
        <w:fldChar w:fldCharType="begin" w:dirty="true"/>
      </w:r>
      <w:r>
        <w:rPr>
          <w:sz w:val="18"/>
          <w:szCs w:val="18"/>
          <w:vertAlign w:val="superscript"/>
          <w:rtl/>
        </w:rPr>
        <w:instrText xml:space="preserve"> REF b4_note126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126</w:t>
      </w:r>
      <w:r>
        <w:rPr>
          <w:sz w:val="18"/>
          <w:szCs w:val="18"/>
          <w:vertAlign w:val="superscript"/>
          <w:rtl/>
        </w:rPr>
        <w:fldChar w:fldCharType="end"/>
      </w:r>
      <w:r>
        <w:rPr>
          <w:rtl/>
        </w:rPr>
        <w:t xml:space="preserve">. ראש ישיבת </w:t>
      </w:r>
      <w:proofErr w:type="spellStart"/>
      <w:r>
        <w:rPr>
          <w:rtl/>
        </w:rPr>
        <w:t>טלז</w:t>
      </w:r>
      <w:proofErr w:type="spellEnd"/>
      <w:r>
        <w:rPr>
          <w:rtl/>
        </w:rPr>
        <w:t xml:space="preserve"> שקע כל כך בשיעורו, עד ששב להרגלו לסובב את שעון הכיס בשרשרתו הזהובה תוך כדי דיבורו הנלהב.</w:t>
      </w:r>
    </w:p>
    <w:bookmarkStart w:id="4682" w:name="b4_note126"/>
    <w:p w14:paraId="74E0B8DD" w14:textId="77777777" w:rsidR="00AB3647" w:rsidRDefault="00000000" w:rsidP="007923E9">
      <w:pPr>
        <w:spacing w:before="120" w:after="100" w:line="276" w:lineRule="auto"/>
        <w:jc w:val="both"/>
      </w:pPr>
      <w:r>
        <w:fldChar w:fldCharType="begin" w:dirty="true"/>
      </w:r>
      <w:r>
        <w:instrText>HYPERLINK \l "b4_text126" \h</w:instrText>
      </w:r>
      <w:r>
        <w:fldChar w:fldCharType="separate"/>
      </w:r>
      <w:r>
        <w:rPr>
          <w:b/>
          <w:bCs/>
          <w:rtl/>
        </w:rPr>
        <w:t>126</w:t>
      </w:r>
      <w:r>
        <w:rPr>
          <w:b/>
          <w:bCs/>
        </w:rPr>
        <w:fldChar w:fldCharType="end"/>
      </w:r>
      <w:bookmarkEnd w:id="4682"/>
      <w:r>
        <w:rPr>
          <w:rtl/>
        </w:rPr>
        <w:t xml:space="preserve"> אבי הזכיר זאת בחורף תשמ״ג, בשמחת בר המצווה של אחד מצאצאי ר׳ לייזר גורדון, ואמר שהדבר “</w:t>
      </w:r>
      <w:proofErr w:type="spellStart"/>
      <w:r>
        <w:rPr>
          <w:rtl/>
        </w:rPr>
        <w:t>געוואלדיג</w:t>
      </w:r>
      <w:proofErr w:type="spellEnd"/>
      <w:r>
        <w:rPr>
          <w:rtl/>
        </w:rPr>
        <w:t xml:space="preserve"> [אדיר]”. בדמעות התרגשות אמר אבי שבשעה ששמע את שיעורו של ר׳ לייזר, לא היה מאמין ולא מעלה בדעתו שכעבור שבעים ושבע שנים יראה את צאצאו של הגאון הגדול בדור החמישי, לאחר שהכיר אישית כל חוליה בשלשלת הדורות: החתן ר׳ יוסף לייב בלוך, בנו ר׳ זלמן בלוך, חתנו ר׳ מרדכי </w:t>
      </w:r>
      <w:proofErr w:type="spellStart"/>
      <w:r>
        <w:rPr>
          <w:rtl/>
        </w:rPr>
        <w:t>גיפטר</w:t>
      </w:r>
      <w:proofErr w:type="spellEnd"/>
      <w:r>
        <w:rPr>
          <w:rtl/>
        </w:rPr>
        <w:t xml:space="preserve">, חתנו ר׳ </w:t>
      </w:r>
      <w:proofErr w:type="spellStart"/>
      <w:r>
        <w:rPr>
          <w:rtl/>
        </w:rPr>
        <w:t>אברהם־חיים</w:t>
      </w:r>
      <w:proofErr w:type="spellEnd"/>
      <w:r>
        <w:rPr>
          <w:rtl/>
        </w:rPr>
        <w:t xml:space="preserve"> </w:t>
      </w:r>
      <w:proofErr w:type="spellStart"/>
      <w:r>
        <w:rPr>
          <w:rtl/>
        </w:rPr>
        <w:t>פויער</w:t>
      </w:r>
      <w:proofErr w:type="spellEnd"/>
      <w:r>
        <w:rPr>
          <w:rtl/>
        </w:rPr>
        <w:t xml:space="preserve">, ונער בר המצווה, </w:t>
      </w:r>
      <w:proofErr w:type="spellStart"/>
      <w:r>
        <w:rPr>
          <w:rtl/>
        </w:rPr>
        <w:t>אליהו־מאיר</w:t>
      </w:r>
      <w:proofErr w:type="spellEnd"/>
      <w:r>
        <w:rPr>
          <w:rtl/>
        </w:rPr>
        <w:t>. “ריבונו של עולם זיכה אותי באריכות ימים כדי שאוכל לספר לדור הזה כיצד היו הדורות הקודמים – לגשר על הפער”, הכריז אז</w:t>
      </w:r>
      <w:bookmarkStart w:id="4683" w:name="_fnr3464"/>
      <w:r>
        <w:rPr>
          <w:vertAlign w:val="superscript"/>
          <w:rtl/>
        </w:rPr>
        <w:footnoteReference w:id="3472" w:customMarkFollows="0"/>
      </w:r>
      <w:bookmarkEnd w:id="4683"/>
      <w:r>
        <w:rPr>
          <w:rtl/>
        </w:rPr>
        <w:t>.</w:t>
      </w:r>
    </w:p>
    <w:p w14:paraId="6C20F523" w14:textId="77777777" w:rsidR="00AB3647" w:rsidRDefault="00000000" w:rsidP="007923E9">
      <w:pPr>
        <w:spacing w:after="120" w:line="276" w:lineRule="auto"/>
        <w:jc w:val="both"/>
      </w:pPr>
      <w:proofErr w:type="spellStart"/>
      <w:r>
        <w:rPr>
          <w:rtl/>
        </w:rPr>
        <w:t>בתשכ״ט</w:t>
      </w:r>
      <w:proofErr w:type="spellEnd"/>
      <w:r>
        <w:rPr>
          <w:rtl/>
        </w:rPr>
        <w:t xml:space="preserve"> השתתף ר׳ יחזקאל </w:t>
      </w:r>
      <w:proofErr w:type="spellStart"/>
      <w:r>
        <w:rPr>
          <w:rtl/>
        </w:rPr>
        <w:t>אברמסקי</w:t>
      </w:r>
      <w:proofErr w:type="spellEnd"/>
      <w:r>
        <w:rPr>
          <w:rtl/>
        </w:rPr>
        <w:t xml:space="preserve"> (תרמ״ו–תשל״ו) בשמחת בר המצווה של בני, בישיבה בירושלים. כשנכנס לראות את בית המדרש, הוזמן למסור שיעור ונענה מיד. כששאלה אותו </w:t>
      </w:r>
      <w:r>
        <w:rPr>
          <w:rtl/>
        </w:rPr>
        <w:lastRenderedPageBreak/>
        <w:t>הרבנית אחר כך מדוע התאמץ מעבר לכוחותיו כדי למסור שיעור, אמר: “כשאני רואה בית מדרש מלא בחורים, אני מוכרח לומר שיעור, כשם ששיכור מוכרח לשתות כשהוא רואה בקבוק ויסקי”. הדימוי מקורו ברבו ר׳ לייזר</w:t>
      </w:r>
      <w:bookmarkStart w:id="4684" w:name="_fnr3465"/>
      <w:r>
        <w:rPr>
          <w:vertAlign w:val="superscript"/>
          <w:rtl/>
        </w:rPr>
        <w:footnoteReference w:id="3473" w:customMarkFollows="0"/>
      </w:r>
      <w:bookmarkEnd w:id="4684"/>
      <w:r>
        <w:rPr>
          <w:rtl/>
        </w:rPr>
        <w:t xml:space="preserve">, שאצלו למד </w:t>
      </w:r>
      <w:proofErr w:type="spellStart"/>
      <w:r>
        <w:rPr>
          <w:rtl/>
        </w:rPr>
        <w:t>בטלז</w:t>
      </w:r>
      <w:proofErr w:type="spellEnd"/>
      <w:r>
        <w:rPr>
          <w:rtl/>
        </w:rPr>
        <w:t xml:space="preserve"> בשנים תרס״ד–תרס״ז.</w:t>
      </w:r>
    </w:p>
    <w:p w14:paraId="47692D7C" w14:textId="24DF53C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השומעים ידעו שאם יפסיקוהו בשאלות מתוך הקהל, הם עלולים לספוג את כעסו המוצדק אך החולף של ר׳ לייזר</w:t>
      </w:r>
      <w:bookmarkStart w:id="4685" w:name="b4_text127"/>
      <w:bookmarkEnd w:id="4685"/>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אבל אם עולה במוחו של אדם טענה חדה, מי יכול לכבוש אותה? הראשון שנכנס לתוך דבריו היה אהרן </w:t>
      </w:r>
      <w:proofErr w:type="spellStart"/>
      <w:r>
        <w:rPr>
          <w:rtl/>
        </w:rPr>
        <w:t>הסיסלוביצ׳ר</w:t>
      </w:r>
      <w:proofErr w:type="spellEnd"/>
      <w:r>
        <w:rPr>
          <w:rtl/>
        </w:rPr>
        <w:t xml:space="preserve"> העז מכנסת ישראל</w:t>
      </w:r>
      <w:bookmarkStart w:id="4686" w:name="b4_text128"/>
      <w:bookmarkEnd w:id="4686"/>
      <w:r>
        <w:rPr>
          <w:sz w:val="18"/>
          <w:szCs w:val="18"/>
          <w:vertAlign w:val="superscript"/>
          <w:rtl/>
        </w:rPr>
        <w:fldChar w:fldCharType="begin" w:dirty="true"/>
      </w:r>
      <w:r>
        <w:rPr>
          <w:sz w:val="18"/>
          <w:szCs w:val="18"/>
          <w:vertAlign w:val="superscript"/>
          <w:rtl/>
        </w:rPr>
        <w:instrText xml:space="preserve"> REF b4_note128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128</w:t>
      </w:r>
      <w:r>
        <w:rPr>
          <w:sz w:val="18"/>
          <w:szCs w:val="18"/>
          <w:vertAlign w:val="superscript"/>
          <w:rtl/>
        </w:rPr>
        <w:fldChar w:fldCharType="end"/>
      </w:r>
      <w:r>
        <w:rPr>
          <w:rtl/>
        </w:rPr>
        <w:t>. הנואם, בעודו מחפש במחשבתו תשובה מכרעת</w:t>
      </w:r>
      <w:bookmarkStart w:id="4687" w:name="b4_text129"/>
      <w:bookmarkEnd w:id="4687"/>
      <w:r>
        <w:rPr>
          <w:sz w:val="18"/>
          <w:szCs w:val="18"/>
          <w:vertAlign w:val="superscript"/>
          <w:rtl/>
        </w:rPr>
        <w:fldChar w:fldCharType="begin" w:dirty="true"/>
      </w:r>
      <w:r>
        <w:rPr>
          <w:sz w:val="18"/>
          <w:szCs w:val="18"/>
          <w:vertAlign w:val="superscript"/>
          <w:rtl/>
        </w:rPr>
        <w:instrText xml:space="preserve"> REF b4_note129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129</w:t>
      </w:r>
      <w:r>
        <w:rPr>
          <w:sz w:val="18"/>
          <w:szCs w:val="18"/>
          <w:vertAlign w:val="superscript"/>
          <w:rtl/>
        </w:rPr>
        <w:fldChar w:fldCharType="end"/>
      </w:r>
      <w:r>
        <w:rPr>
          <w:rtl/>
        </w:rPr>
        <w:t xml:space="preserve"> לטענת הבחור, הגיב: “דו </w:t>
      </w:r>
      <w:proofErr w:type="spellStart"/>
      <w:r>
        <w:rPr>
          <w:rtl/>
        </w:rPr>
        <w:t>ביסט</w:t>
      </w:r>
      <w:proofErr w:type="spellEnd"/>
      <w:r>
        <w:rPr>
          <w:rtl/>
        </w:rPr>
        <w:t xml:space="preserve"> א </w:t>
      </w:r>
      <w:proofErr w:type="spellStart"/>
      <w:r>
        <w:rPr>
          <w:rtl/>
        </w:rPr>
        <w:t>שייגעץ</w:t>
      </w:r>
      <w:proofErr w:type="spellEnd"/>
      <w:r>
        <w:rPr>
          <w:rtl/>
        </w:rPr>
        <w:t xml:space="preserve">; דו </w:t>
      </w:r>
      <w:proofErr w:type="spellStart"/>
      <w:r>
        <w:rPr>
          <w:rtl/>
        </w:rPr>
        <w:t>פלוידערסט</w:t>
      </w:r>
      <w:proofErr w:type="spellEnd"/>
      <w:r>
        <w:rPr>
          <w:rtl/>
        </w:rPr>
        <w:t xml:space="preserve"> ווי א </w:t>
      </w:r>
      <w:proofErr w:type="spellStart"/>
      <w:r>
        <w:rPr>
          <w:rtl/>
        </w:rPr>
        <w:t>שייגעץ</w:t>
      </w:r>
      <w:proofErr w:type="spellEnd"/>
      <w:r>
        <w:rPr>
          <w:rtl/>
        </w:rPr>
        <w:t xml:space="preserve"> [אתה שייגעץ</w:t>
      </w:r>
      <w:bookmarkStart w:id="4688" w:name="b4_text130"/>
      <w:bookmarkEnd w:id="4688"/>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אתה מפטפט כמו שייגעץ</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איש לא נפגע מדרכו של ר׳ לייזר להגן על חידושיו מפני התקפה</w:t>
      </w:r>
      <w:bookmarkStart w:id="4689" w:name="b4_text131"/>
      <w:bookmarkEnd w:id="4689"/>
      <w:r>
        <w:rPr>
          <w:sz w:val="18"/>
          <w:szCs w:val="18"/>
          <w:vertAlign w:val="superscript"/>
          <w:rtl/>
        </w:rPr>
        <w:fldChar w:fldCharType="begin" w:dirty="true"/>
      </w:r>
      <w:r>
        <w:rPr>
          <w:sz w:val="18"/>
          <w:szCs w:val="18"/>
          <w:vertAlign w:val="superscript"/>
          <w:rtl/>
        </w:rPr>
        <w:instrText xml:space="preserve"> REF b4_note131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131</w:t>
      </w:r>
      <w:r>
        <w:rPr>
          <w:sz w:val="18"/>
          <w:szCs w:val="18"/>
          <w:vertAlign w:val="superscript"/>
          <w:rtl/>
        </w:rPr>
        <w:fldChar w:fldCharType="end"/>
      </w:r>
      <w:r>
        <w:rPr>
          <w:rtl/>
        </w:rPr>
        <w:t>, מפני שלא היה ארס בדבריו</w:t>
      </w:r>
      <w:bookmarkStart w:id="4690" w:name="b4_text132"/>
      <w:bookmarkEnd w:id="4690"/>
      <w:r>
        <w:rPr>
          <w:sz w:val="18"/>
          <w:szCs w:val="18"/>
          <w:vertAlign w:val="superscript"/>
          <w:rtl/>
        </w:rPr>
        <w:fldChar w:fldCharType="begin" w:dirty="true"/>
      </w:r>
      <w:r>
        <w:rPr>
          <w:sz w:val="18"/>
          <w:szCs w:val="18"/>
          <w:vertAlign w:val="superscript"/>
          <w:rtl/>
        </w:rPr>
        <w:instrText xml:space="preserve"> REF b4_note132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132 </w:t>
      </w:r>
      <w:r>
        <w:rPr>
          <w:sz w:val="18"/>
          <w:szCs w:val="18"/>
          <w:vertAlign w:val="superscript"/>
          <w:rtl/>
        </w:rPr>
        <w:fldChar w:fldCharType="end"/>
      </w:r>
      <w:r>
        <w:rPr>
          <w:rtl/>
        </w:rPr>
        <w:t xml:space="preserve">; זו הייתה דרכו לבטא את התלהבותו שאין לה גבול </w:t>
      </w:r>
      <w:proofErr w:type="spellStart"/>
      <w:r>
        <w:rPr>
          <w:rtl/>
        </w:rPr>
        <w:t>ל“מלחמתה</w:t>
      </w:r>
      <w:proofErr w:type="spellEnd"/>
      <w:r>
        <w:rPr>
          <w:rtl/>
        </w:rPr>
        <w:t xml:space="preserve"> של תורה”</w:t>
      </w:r>
      <w:bookmarkStart w:id="4691" w:name="b4_text133"/>
      <w:bookmarkEnd w:id="4691"/>
      <w:r>
        <w:rPr>
          <w:sz w:val="18"/>
          <w:szCs w:val="18"/>
          <w:vertAlign w:val="superscript"/>
          <w:rtl/>
        </w:rPr>
        <w:fldChar w:fldCharType="begin" w:dirty="true"/>
      </w:r>
      <w:r>
        <w:rPr>
          <w:sz w:val="18"/>
          <w:szCs w:val="18"/>
          <w:vertAlign w:val="superscript"/>
          <w:rtl/>
        </w:rPr>
        <w:instrText xml:space="preserve"> REF b4_note133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133</w:t>
      </w:r>
      <w:r>
        <w:rPr>
          <w:sz w:val="18"/>
          <w:szCs w:val="18"/>
          <w:vertAlign w:val="superscript"/>
          <w:rtl/>
        </w:rPr>
        <w:fldChar w:fldCharType="end"/>
      </w:r>
      <w:r>
        <w:rPr>
          <w:rtl/>
        </w:rPr>
        <w:t>.</w:t>
      </w:r>
    </w:p>
    <w:bookmarkStart w:id="4692" w:name="b4_note127"/>
    <w:p w14:paraId="2902CBEF" w14:textId="77777777" w:rsidR="00AB3647" w:rsidRDefault="00000000" w:rsidP="007923E9">
      <w:pPr>
        <w:spacing w:before="120" w:after="100" w:line="276" w:lineRule="auto"/>
        <w:jc w:val="both"/>
      </w:pPr>
      <w:r>
        <w:fldChar w:fldCharType="begin" w:dirty="true"/>
      </w:r>
      <w:r>
        <w:instrText>HYPERLINK \l "b4_text127" \h</w:instrText>
      </w:r>
      <w:r>
        <w:fldChar w:fldCharType="separate"/>
      </w:r>
      <w:r>
        <w:rPr>
          <w:b/>
          <w:bCs/>
          <w:rtl/>
        </w:rPr>
        <w:t>127</w:t>
      </w:r>
      <w:r>
        <w:rPr>
          <w:b/>
          <w:bCs/>
        </w:rPr>
        <w:fldChar w:fldCharType="end"/>
      </w:r>
      <w:bookmarkEnd w:id="4692"/>
      <w:r>
        <w:rPr>
          <w:rtl/>
        </w:rPr>
        <w:t xml:space="preserve"> בזיכרונותיו של ברוך צוקרמן</w:t>
      </w:r>
      <w:bookmarkStart w:id="4693" w:name="_fnr3466"/>
      <w:r>
        <w:rPr>
          <w:vertAlign w:val="superscript"/>
          <w:rtl/>
        </w:rPr>
        <w:footnoteReference w:id="3474" w:customMarkFollows="0"/>
      </w:r>
      <w:bookmarkEnd w:id="4693"/>
      <w:r>
        <w:rPr>
          <w:rtl/>
        </w:rPr>
        <w:t xml:space="preserve"> נאמר: “הביטוי המתון ביותר של ר׳ לייזר כלפי מי שענה תשובה שגויה על שאלה ששאל היה: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קריך</w:t>
      </w:r>
      <w:proofErr w:type="spellEnd"/>
      <w:r>
        <w:rPr>
          <w:rtl/>
        </w:rPr>
        <w:t xml:space="preserve"> </w:t>
      </w:r>
      <w:proofErr w:type="spellStart"/>
      <w:r>
        <w:rPr>
          <w:rtl/>
        </w:rPr>
        <w:t>אויף</w:t>
      </w:r>
      <w:proofErr w:type="spellEnd"/>
      <w:r>
        <w:rPr>
          <w:rtl/>
        </w:rPr>
        <w:t xml:space="preserve"> די </w:t>
      </w:r>
      <w:proofErr w:type="spellStart"/>
      <w:r>
        <w:rPr>
          <w:rtl/>
        </w:rPr>
        <w:t>גלאטע</w:t>
      </w:r>
      <w:proofErr w:type="spellEnd"/>
      <w:r>
        <w:rPr>
          <w:rtl/>
        </w:rPr>
        <w:t xml:space="preserve"> </w:t>
      </w:r>
      <w:proofErr w:type="spellStart"/>
      <w:r>
        <w:rPr>
          <w:rtl/>
        </w:rPr>
        <w:t>ווענט</w:t>
      </w:r>
      <w:proofErr w:type="spellEnd"/>
      <w:r>
        <w:rPr>
          <w:rtl/>
        </w:rPr>
        <w:t xml:space="preserve">, </w:t>
      </w:r>
      <w:proofErr w:type="spellStart"/>
      <w:r>
        <w:rPr>
          <w:rtl/>
        </w:rPr>
        <w:t>וועסט</w:t>
      </w:r>
      <w:proofErr w:type="spellEnd"/>
      <w:r>
        <w:rPr>
          <w:rtl/>
        </w:rPr>
        <w:t xml:space="preserve"> </w:t>
      </w:r>
      <w:proofErr w:type="spellStart"/>
      <w:r>
        <w:rPr>
          <w:rtl/>
        </w:rPr>
        <w:t>אראפפאלען</w:t>
      </w:r>
      <w:proofErr w:type="spellEnd"/>
      <w:r>
        <w:rPr>
          <w:rtl/>
        </w:rPr>
        <w:t xml:space="preserve"> און </w:t>
      </w:r>
      <w:proofErr w:type="spellStart"/>
      <w:r>
        <w:rPr>
          <w:rtl/>
        </w:rPr>
        <w:t>צושלאגען</w:t>
      </w:r>
      <w:proofErr w:type="spellEnd"/>
      <w:r>
        <w:rPr>
          <w:rtl/>
        </w:rPr>
        <w:t xml:space="preserve"> דיין </w:t>
      </w:r>
      <w:proofErr w:type="spellStart"/>
      <w:r>
        <w:rPr>
          <w:rtl/>
        </w:rPr>
        <w:t>פויערשע</w:t>
      </w:r>
      <w:proofErr w:type="spellEnd"/>
      <w:r>
        <w:rPr>
          <w:rtl/>
        </w:rPr>
        <w:t xml:space="preserve"> </w:t>
      </w:r>
      <w:proofErr w:type="spellStart"/>
      <w:r>
        <w:rPr>
          <w:rtl/>
        </w:rPr>
        <w:t>קאפ</w:t>
      </w:r>
      <w:proofErr w:type="spellEnd"/>
      <w:r>
        <w:rPr>
          <w:rtl/>
        </w:rPr>
        <w:t xml:space="preserve"> [טפס, טפס, טפס על הקירות החלקים, תיפול ותפגע בראשך האיכרי – הטיפש]!’” אסף</w:t>
      </w:r>
      <w:bookmarkStart w:id="4694" w:name="_fnr3467"/>
      <w:r>
        <w:rPr>
          <w:vertAlign w:val="superscript"/>
          <w:rtl/>
        </w:rPr>
        <w:footnoteReference w:id="3475" w:customMarkFollows="0"/>
      </w:r>
      <w:bookmarkEnd w:id="4694"/>
      <w:r>
        <w:rPr>
          <w:rtl/>
        </w:rPr>
        <w:t xml:space="preserve"> מונה עוד כמה פנינים שהיה ר׳ לייזר משמיע במקרים כאלה: “אתה בור דאורייתא [בור בתורה, בור גמור]; אינך יודע מה אתה אומר; לתינוק בן יומו יש יותר שכל ממך”. ואסף מוסיף: “אך שום תלמיד לא נפגע מכך מעולם. כולם ידעו שהוא מדבר אליהם כאב לילדיו, שמח בהצלחתם וגוער באיוולתם, ודבריו לא העליבו ולא פגעו”.</w:t>
      </w:r>
    </w:p>
    <w:p w14:paraId="6B565A27" w14:textId="77777777" w:rsidR="00AB3647" w:rsidRDefault="00000000" w:rsidP="007923E9">
      <w:pPr>
        <w:spacing w:after="120" w:line="276" w:lineRule="auto"/>
        <w:jc w:val="both"/>
      </w:pPr>
      <w:r>
        <w:rPr>
          <w:rtl/>
        </w:rPr>
        <w:t xml:space="preserve">גם בוויכוח עם ועד התלמידים, שניסה להניאו מלהביא את ר׳ שמואל </w:t>
      </w:r>
      <w:proofErr w:type="spellStart"/>
      <w:r>
        <w:rPr>
          <w:rtl/>
        </w:rPr>
        <w:t>פונדילער</w:t>
      </w:r>
      <w:proofErr w:type="spellEnd"/>
      <w:r>
        <w:rPr>
          <w:rtl/>
        </w:rPr>
        <w:t xml:space="preserve"> ואת קבוצת </w:t>
      </w:r>
      <w:proofErr w:type="spellStart"/>
      <w:r>
        <w:rPr>
          <w:rtl/>
        </w:rPr>
        <w:t>סלבודקה</w:t>
      </w:r>
      <w:bookmarkStart w:id="4695" w:name="_fnr3468"/>
      <w:proofErr w:type="spellEnd"/>
      <w:r>
        <w:rPr>
          <w:vertAlign w:val="superscript"/>
          <w:rtl/>
        </w:rPr>
        <w:footnoteReference w:id="3476" w:customMarkFollows="0"/>
      </w:r>
      <w:bookmarkEnd w:id="4695"/>
      <w:r>
        <w:rPr>
          <w:rtl/>
        </w:rPr>
        <w:t xml:space="preserve">, לא דקדק ר׳ לייזר בבחירת מילותיו. כך מתאר </w:t>
      </w:r>
      <w:proofErr w:type="spellStart"/>
      <w:r>
        <w:rPr>
          <w:rtl/>
        </w:rPr>
        <w:t>שולמן</w:t>
      </w:r>
      <w:bookmarkStart w:id="4696" w:name="_fnr3469"/>
      <w:proofErr w:type="spellEnd"/>
      <w:r>
        <w:rPr>
          <w:vertAlign w:val="superscript"/>
          <w:rtl/>
        </w:rPr>
        <w:footnoteReference w:id="3477" w:customMarkFollows="0"/>
      </w:r>
      <w:bookmarkEnd w:id="4696"/>
      <w:r>
        <w:rPr>
          <w:rtl/>
        </w:rPr>
        <w:t xml:space="preserve"> את העימות בין ר׳ לייזר לבין משלחת הוועד, שמנתה שני חברים וניסתה להזהירו מפני “סכנת המוסר”: “מיד הופיע ר׳ לייזר, חוור, נרגש וזועם. בישיבה השתררה דממת בית הקברות. נשמעו אנחות </w:t>
      </w:r>
      <w:proofErr w:type="spellStart"/>
      <w:r>
        <w:rPr>
          <w:rtl/>
        </w:rPr>
        <w:t>מלבו</w:t>
      </w:r>
      <w:proofErr w:type="spellEnd"/>
      <w:r>
        <w:rPr>
          <w:rtl/>
        </w:rPr>
        <w:t xml:space="preserve"> של הגאון הזקן. ‘אתם תלמדוני? אתם תשגיחו עלי? גידלתי כל כך הרבה דורות בישיבה. כל הרבנים הצעירים בפולין ובליטא הם תלמידי ומי מכיר אתכם? אתם טורקים. היכן הייתם כשבניתי את הישיבה? למה לא עזרו </w:t>
      </w:r>
      <w:proofErr w:type="spellStart"/>
      <w:r>
        <w:rPr>
          <w:rtl/>
        </w:rPr>
        <w:t>הועדים</w:t>
      </w:r>
      <w:proofErr w:type="spellEnd"/>
      <w:r>
        <w:rPr>
          <w:rtl/>
        </w:rPr>
        <w:t xml:space="preserve"> בימים ההם?’ והוא התחיל לצעוק ולרקוע ברגליו ולבסוף פרץ בבכי. אז הופיע בשם כל הישיבה בחור מן </w:t>
      </w:r>
      <w:proofErr w:type="spellStart"/>
      <w:r>
        <w:rPr>
          <w:rtl/>
        </w:rPr>
        <w:t>השעור</w:t>
      </w:r>
      <w:proofErr w:type="spellEnd"/>
      <w:r>
        <w:rPr>
          <w:rtl/>
        </w:rPr>
        <w:t xml:space="preserve"> החמישי ושמו ויסוקר: ‘כל הימים היינו נאמנים להנהלת הישיבה בידי ר׳ לייזר. הוא אבינו, רבנו הגדול, המקרב אותנו למקורות הראשונים של התורה. אין איש מאתנו פוגע בכבודו של הגאון. כל אחד מאתנו רואה כתקופת האושר בחייו את הימים שלמד בישיבת </w:t>
      </w:r>
      <w:proofErr w:type="spellStart"/>
      <w:r>
        <w:rPr>
          <w:rtl/>
        </w:rPr>
        <w:t>טלז</w:t>
      </w:r>
      <w:proofErr w:type="spellEnd"/>
      <w:r>
        <w:rPr>
          <w:rtl/>
        </w:rPr>
        <w:t xml:space="preserve">, אולם לא נסבול את המוסר בקירות </w:t>
      </w:r>
      <w:r>
        <w:rPr>
          <w:rtl/>
        </w:rPr>
        <w:lastRenderedPageBreak/>
        <w:t xml:space="preserve">הישיבה, כי המוסר בנוסח </w:t>
      </w:r>
      <w:proofErr w:type="spellStart"/>
      <w:r>
        <w:rPr>
          <w:rtl/>
        </w:rPr>
        <w:t>סלובודקה</w:t>
      </w:r>
      <w:proofErr w:type="spellEnd"/>
      <w:r>
        <w:rPr>
          <w:rtl/>
        </w:rPr>
        <w:t xml:space="preserve"> גורר אחריו לחץ, תקיפות, בילוש ובדיקת הנפש</w:t>
      </w:r>
      <w:bookmarkStart w:id="4697" w:name="_fnr3470"/>
      <w:r>
        <w:rPr>
          <w:vertAlign w:val="superscript"/>
          <w:rtl/>
        </w:rPr>
        <w:footnoteReference w:id="3478" w:customMarkFollows="0"/>
      </w:r>
      <w:bookmarkEnd w:id="4697"/>
      <w:r>
        <w:rPr>
          <w:rtl/>
        </w:rPr>
        <w:t xml:space="preserve"> של כל </w:t>
      </w:r>
      <w:proofErr w:type="spellStart"/>
      <w:r>
        <w:rPr>
          <w:rtl/>
        </w:rPr>
        <w:t>בחור־ישיבה</w:t>
      </w:r>
      <w:proofErr w:type="spellEnd"/>
      <w:r>
        <w:rPr>
          <w:rtl/>
        </w:rPr>
        <w:t xml:space="preserve">. אנחנו נושאים באחריות הישיבה כמו הגאון רבנו ולא נרשה כניסת המוסר שהוא כרקב בגוף הישיבה, הישיבה </w:t>
      </w:r>
      <w:proofErr w:type="spellStart"/>
      <w:r>
        <w:rPr>
          <w:rtl/>
        </w:rPr>
        <w:t>הותיקה</w:t>
      </w:r>
      <w:proofErr w:type="spellEnd"/>
      <w:r>
        <w:rPr>
          <w:rtl/>
        </w:rPr>
        <w:t xml:space="preserve"> שלנו </w:t>
      </w:r>
      <w:proofErr w:type="spellStart"/>
      <w:r>
        <w:rPr>
          <w:rtl/>
        </w:rPr>
        <w:t>בטלז</w:t>
      </w:r>
      <w:proofErr w:type="spellEnd"/>
      <w:r>
        <w:rPr>
          <w:rtl/>
        </w:rPr>
        <w:t>.’ בשעת נאומו של ויסוקר חזר ר׳ לייזר לאיתנו, קם ואמר: ‘כולכם הדיוטים ופראים</w:t>
      </w:r>
      <w:bookmarkStart w:id="4698" w:name="_fnr3471"/>
      <w:r>
        <w:rPr>
          <w:vertAlign w:val="superscript"/>
          <w:rtl/>
        </w:rPr>
        <w:footnoteReference w:id="3479" w:customMarkFollows="0"/>
      </w:r>
      <w:bookmarkEnd w:id="4698"/>
      <w:r>
        <w:rPr>
          <w:rtl/>
        </w:rPr>
        <w:t>, אגרש את כולכם ואבחר הרכב חדש של בחירים. את הנבחרים שלכם אגרש מן הישיבה ומן העיר. העיר תשמע לקולי ולא לקולכם, פרחחים גסים</w:t>
      </w:r>
      <w:bookmarkStart w:id="4699" w:name="_fnr3472"/>
      <w:r>
        <w:rPr>
          <w:vertAlign w:val="superscript"/>
          <w:rtl/>
        </w:rPr>
        <w:footnoteReference w:id="3480" w:customMarkFollows="0"/>
      </w:r>
      <w:bookmarkEnd w:id="4699"/>
      <w:r>
        <w:rPr>
          <w:rtl/>
        </w:rPr>
        <w:t xml:space="preserve">.’ והתחיל שוב לרקוע ברגליו ולדפוק באגרופים על השולחן: ‘המוסר יחדור לישיבה, ונבחריכם לא יועילו לכם. בקרוב יבוא ר׳ שמואל </w:t>
      </w:r>
      <w:proofErr w:type="spellStart"/>
      <w:r>
        <w:rPr>
          <w:rtl/>
        </w:rPr>
        <w:t>מראדין</w:t>
      </w:r>
      <w:proofErr w:type="spellEnd"/>
      <w:r>
        <w:rPr>
          <w:rtl/>
        </w:rPr>
        <w:t xml:space="preserve"> [</w:t>
      </w:r>
      <w:proofErr w:type="spellStart"/>
      <w:r>
        <w:rPr>
          <w:rtl/>
        </w:rPr>
        <w:t>פונדילער</w:t>
      </w:r>
      <w:proofErr w:type="spellEnd"/>
      <w:r>
        <w:rPr>
          <w:rtl/>
        </w:rPr>
        <w:t xml:space="preserve">] ויביא אתו את </w:t>
      </w:r>
      <w:proofErr w:type="spellStart"/>
      <w:r>
        <w:rPr>
          <w:rtl/>
        </w:rPr>
        <w:t>המוסרניקים</w:t>
      </w:r>
      <w:proofErr w:type="spellEnd"/>
      <w:r>
        <w:rPr>
          <w:rtl/>
        </w:rPr>
        <w:t xml:space="preserve"> ואתכם יגרש ככלבים</w:t>
      </w:r>
      <w:bookmarkStart w:id="4700" w:name="_fnr3473"/>
      <w:r>
        <w:rPr>
          <w:vertAlign w:val="superscript"/>
          <w:rtl/>
        </w:rPr>
        <w:footnoteReference w:id="3481" w:customMarkFollows="0"/>
      </w:r>
      <w:bookmarkEnd w:id="4700"/>
      <w:r>
        <w:rPr>
          <w:rtl/>
        </w:rPr>
        <w:t>.’”</w:t>
      </w:r>
    </w:p>
    <w:p w14:paraId="6ACD6B33" w14:textId="77777777" w:rsidR="00AB3647" w:rsidRDefault="00000000" w:rsidP="007923E9">
      <w:pPr>
        <w:spacing w:after="120" w:line="276" w:lineRule="auto"/>
        <w:jc w:val="both"/>
      </w:pPr>
      <w:r>
        <w:rPr>
          <w:rtl/>
        </w:rPr>
        <w:t>אסף</w:t>
      </w:r>
      <w:bookmarkStart w:id="4701" w:name="_fnr3474"/>
      <w:r>
        <w:rPr>
          <w:vertAlign w:val="superscript"/>
          <w:rtl/>
        </w:rPr>
        <w:footnoteReference w:id="3482" w:customMarkFollows="0"/>
      </w:r>
      <w:bookmarkEnd w:id="4701"/>
      <w:r>
        <w:rPr>
          <w:rtl/>
        </w:rPr>
        <w:t xml:space="preserve"> מספר על עימות נוסף בין הוועד </w:t>
      </w:r>
      <w:proofErr w:type="spellStart"/>
      <w:r>
        <w:rPr>
          <w:rtl/>
        </w:rPr>
        <w:t>לר</w:t>
      </w:r>
      <w:proofErr w:type="spellEnd"/>
      <w:r>
        <w:rPr>
          <w:rtl/>
        </w:rPr>
        <w:t xml:space="preserve">׳ לייזר גורדון: “לעיתים העלה הוועד דרישות מופלגות למדי. זכורני שפעם נכנסנו [לבית] הרב ורצינו לשכנעו שלא לסלק בחורי ישיבה ‘חשודים’, או לסרב לקבלם מחדש, בלי להתייעץ תחילה עם הוועד. כדי </w:t>
      </w:r>
      <w:proofErr w:type="spellStart"/>
      <w:r>
        <w:rPr>
          <w:rtl/>
        </w:rPr>
        <w:t>להפיס</w:t>
      </w:r>
      <w:proofErr w:type="spellEnd"/>
      <w:r>
        <w:rPr>
          <w:rtl/>
        </w:rPr>
        <w:t xml:space="preserve"> את דעתו אמרנו לו: ‘רבנו, גם </w:t>
      </w:r>
      <w:proofErr w:type="spellStart"/>
      <w:r>
        <w:rPr>
          <w:rtl/>
        </w:rPr>
        <w:t>בסלבודקה</w:t>
      </w:r>
      <w:proofErr w:type="spellEnd"/>
      <w:r>
        <w:rPr>
          <w:rtl/>
        </w:rPr>
        <w:t xml:space="preserve"> יש לבחורים הגדולים השפעה מסוימת על ניהול ענייני הישיבה</w:t>
      </w:r>
      <w:bookmarkStart w:id="4702" w:name="_fnr3475"/>
      <w:r>
        <w:rPr>
          <w:vertAlign w:val="superscript"/>
          <w:rtl/>
        </w:rPr>
        <w:footnoteReference w:id="3483" w:customMarkFollows="0"/>
      </w:r>
      <w:bookmarkEnd w:id="4702"/>
      <w:r>
        <w:rPr>
          <w:rtl/>
        </w:rPr>
        <w:t xml:space="preserve">’. הוא השיב: ‘איך אתם משווים את </w:t>
      </w:r>
      <w:proofErr w:type="spellStart"/>
      <w:r>
        <w:rPr>
          <w:rtl/>
        </w:rPr>
        <w:t>טלז</w:t>
      </w:r>
      <w:proofErr w:type="spellEnd"/>
      <w:r>
        <w:rPr>
          <w:rtl/>
        </w:rPr>
        <w:t xml:space="preserve"> </w:t>
      </w:r>
      <w:proofErr w:type="spellStart"/>
      <w:r>
        <w:rPr>
          <w:rtl/>
        </w:rPr>
        <w:t>לסלבודקה</w:t>
      </w:r>
      <w:proofErr w:type="spellEnd"/>
      <w:r>
        <w:rPr>
          <w:rtl/>
        </w:rPr>
        <w:t xml:space="preserve">? </w:t>
      </w:r>
      <w:proofErr w:type="spellStart"/>
      <w:r>
        <w:rPr>
          <w:rtl/>
        </w:rPr>
        <w:t>בסלבודקה</w:t>
      </w:r>
      <w:proofErr w:type="spellEnd"/>
      <w:r>
        <w:rPr>
          <w:rtl/>
        </w:rPr>
        <w:t xml:space="preserve"> אין בחורים; יש בולי עץ! אילו אמר להם ר׳ </w:t>
      </w:r>
      <w:proofErr w:type="spellStart"/>
      <w:r>
        <w:rPr>
          <w:rtl/>
        </w:rPr>
        <w:t>נטע־הירש</w:t>
      </w:r>
      <w:proofErr w:type="spellEnd"/>
      <w:r>
        <w:rPr>
          <w:rtl/>
        </w:rPr>
        <w:t xml:space="preserve"> [הסבא </w:t>
      </w:r>
      <w:proofErr w:type="spellStart"/>
      <w:r>
        <w:rPr>
          <w:rtl/>
        </w:rPr>
        <w:t>מסלבודקה</w:t>
      </w:r>
      <w:proofErr w:type="spellEnd"/>
      <w:r>
        <w:rPr>
          <w:rtl/>
        </w:rPr>
        <w:t>] לקפוץ למים, היו קופצים למים</w:t>
      </w:r>
      <w:bookmarkStart w:id="4703" w:name="_fnr3476"/>
      <w:r>
        <w:rPr>
          <w:vertAlign w:val="superscript"/>
          <w:rtl/>
        </w:rPr>
        <w:footnoteReference w:id="3484" w:customMarkFollows="0"/>
      </w:r>
      <w:bookmarkEnd w:id="4703"/>
      <w:r>
        <w:rPr>
          <w:rtl/>
        </w:rPr>
        <w:t xml:space="preserve">. אבל בחורי </w:t>
      </w:r>
      <w:proofErr w:type="spellStart"/>
      <w:r>
        <w:rPr>
          <w:rtl/>
        </w:rPr>
        <w:t>טלז</w:t>
      </w:r>
      <w:proofErr w:type="spellEnd"/>
      <w:r>
        <w:rPr>
          <w:rtl/>
        </w:rPr>
        <w:t xml:space="preserve"> – לכל אחד דעה משלו’. אהבת הרב לתלמידיו וגאוותו בהם – למרות המרירות שגרמו לו מפעם לפעם – ניכרו בשיחה זו</w:t>
      </w:r>
      <w:bookmarkStart w:id="4704" w:name="_fnr3477"/>
      <w:r>
        <w:rPr>
          <w:vertAlign w:val="superscript"/>
          <w:rtl/>
        </w:rPr>
        <w:footnoteReference w:id="3485" w:customMarkFollows="0"/>
      </w:r>
      <w:bookmarkEnd w:id="4704"/>
      <w:r>
        <w:rPr>
          <w:rtl/>
        </w:rPr>
        <w:t>”.</w:t>
      </w:r>
    </w:p>
    <w:p w14:paraId="6596660E" w14:textId="77777777" w:rsidR="00AB3647" w:rsidRDefault="00000000" w:rsidP="007923E9">
      <w:pPr>
        <w:spacing w:after="120" w:line="276" w:lineRule="auto"/>
        <w:jc w:val="both"/>
      </w:pPr>
      <w:r>
        <w:rPr>
          <w:rtl/>
        </w:rPr>
        <w:t>גם “יובל המאה”</w:t>
      </w:r>
      <w:bookmarkStart w:id="4705" w:name="_fnr3478"/>
      <w:r>
        <w:rPr>
          <w:vertAlign w:val="superscript"/>
          <w:rtl/>
        </w:rPr>
        <w:footnoteReference w:id="3486" w:customMarkFollows="0"/>
      </w:r>
      <w:bookmarkEnd w:id="4705"/>
      <w:r>
        <w:rPr>
          <w:rtl/>
        </w:rPr>
        <w:t xml:space="preserve"> מספר שחברים חשובים בקהילת </w:t>
      </w:r>
      <w:proofErr w:type="spellStart"/>
      <w:r>
        <w:rPr>
          <w:rtl/>
        </w:rPr>
        <w:t>טלז</w:t>
      </w:r>
      <w:proofErr w:type="spellEnd"/>
      <w:r>
        <w:rPr>
          <w:rtl/>
        </w:rPr>
        <w:t xml:space="preserve"> התנגדו להכנסת המוסר לישיבה: “מסופר שר׳ </w:t>
      </w:r>
      <w:proofErr w:type="spellStart"/>
      <w:r>
        <w:rPr>
          <w:rtl/>
        </w:rPr>
        <w:t>קלמן־דוד</w:t>
      </w:r>
      <w:proofErr w:type="spellEnd"/>
      <w:r>
        <w:rPr>
          <w:rtl/>
        </w:rPr>
        <w:t xml:space="preserve"> אבל, אביו של ר׳ </w:t>
      </w:r>
      <w:proofErr w:type="spellStart"/>
      <w:r>
        <w:rPr>
          <w:rtl/>
        </w:rPr>
        <w:t>שלמה־זלמן</w:t>
      </w:r>
      <w:bookmarkStart w:id="4706" w:name="_fnr3479"/>
      <w:proofErr w:type="spellEnd"/>
      <w:r>
        <w:rPr>
          <w:vertAlign w:val="superscript"/>
          <w:rtl/>
        </w:rPr>
        <w:footnoteReference w:id="3487" w:customMarkFollows="0"/>
      </w:r>
      <w:bookmarkEnd w:id="4706"/>
      <w:r>
        <w:rPr>
          <w:rtl/>
        </w:rPr>
        <w:t xml:space="preserve">, רץ אל ר׳ לייזר” – כאשר הנהיג ר׳ לייזר לראשונה, בהשפעת חתנו ר׳ יוסף לייב בלוך, את לימוד המוסר בישיבה, </w:t>
      </w:r>
      <w:proofErr w:type="spellStart"/>
      <w:r>
        <w:rPr>
          <w:rtl/>
        </w:rPr>
        <w:t>בתרנ״ד</w:t>
      </w:r>
      <w:proofErr w:type="spellEnd"/>
      <w:r>
        <w:rPr>
          <w:rtl/>
        </w:rPr>
        <w:t xml:space="preserve">, בתקופה הקצרה שבה כיהן ר׳ </w:t>
      </w:r>
      <w:proofErr w:type="spellStart"/>
      <w:r>
        <w:rPr>
          <w:rtl/>
        </w:rPr>
        <w:t xml:space="preserve">בנצה־וועלוול</w:t>
      </w:r>
      <w:proofErr w:type="spellEnd"/>
      <w:r>
        <w:rPr>
          <w:rtl/>
        </w:rPr>
        <w:t xml:space="preserve"> </w:t>
      </w:r>
      <w:proofErr w:type="spellStart"/>
      <w:r>
        <w:rPr>
          <w:rtl/>
        </w:rPr>
        <w:t>קרניץ</w:t>
      </w:r>
      <w:proofErr w:type="spellEnd"/>
      <w:r>
        <w:rPr>
          <w:rtl/>
        </w:rPr>
        <w:t xml:space="preserve"> כמשגיח</w:t>
      </w:r>
      <w:bookmarkStart w:id="4707" w:name="_fnr3480"/>
      <w:r>
        <w:rPr>
          <w:vertAlign w:val="superscript"/>
          <w:rtl/>
        </w:rPr>
        <w:footnoteReference w:id="3488" w:customMarkFollows="0"/>
      </w:r>
      <w:bookmarkEnd w:id="4707"/>
      <w:r>
        <w:rPr>
          <w:rtl/>
        </w:rPr>
        <w:t xml:space="preserve"> – “והכריז: ‘הרב מביא חורבן גדול על הישיבה’”.</w:t>
      </w:r>
    </w:p>
    <w:bookmarkStart w:id="4708" w:name="b4_note128"/>
    <w:p w14:paraId="55D621E4" w14:textId="77777777" w:rsidR="00AB3647" w:rsidRDefault="00000000" w:rsidP="007923E9">
      <w:pPr>
        <w:spacing w:before="120" w:after="100" w:line="276" w:lineRule="auto"/>
        <w:jc w:val="both"/>
      </w:pPr>
      <w:r>
        <w:fldChar w:fldCharType="begin" w:dirty="true"/>
      </w:r>
      <w:r>
        <w:instrText>HYPERLINK \l "b4_text128" \h</w:instrText>
      </w:r>
      <w:r>
        <w:fldChar w:fldCharType="separate"/>
      </w:r>
      <w:r>
        <w:rPr>
          <w:b/>
          <w:bCs/>
          <w:rtl/>
        </w:rPr>
        <w:t>128</w:t>
      </w:r>
      <w:r>
        <w:rPr>
          <w:b/>
          <w:bCs/>
        </w:rPr>
        <w:fldChar w:fldCharType="end"/>
      </w:r>
      <w:bookmarkEnd w:id="4708"/>
      <w:r>
        <w:rPr>
          <w:rtl/>
        </w:rPr>
        <w:t xml:space="preserve"> השווה סעיף 2 בפרק 3, שבו מסופר שר׳ אהרן לא היסס להיכנס בדברים גם בשיעורו של ר׳ </w:t>
      </w:r>
      <w:proofErr w:type="spellStart"/>
      <w:r>
        <w:rPr>
          <w:rtl/>
        </w:rPr>
        <w:t>משה־מרדכי</w:t>
      </w:r>
      <w:proofErr w:type="spellEnd"/>
      <w:r>
        <w:rPr>
          <w:rtl/>
        </w:rPr>
        <w:t xml:space="preserve"> אפשטיין.</w:t>
      </w:r>
    </w:p>
    <w:bookmarkStart w:id="4709" w:name="b4_note129"/>
    <w:p w14:paraId="12DF1CDF" w14:textId="77777777" w:rsidR="00AB3647" w:rsidRDefault="00000000" w:rsidP="007923E9">
      <w:pPr>
        <w:spacing w:before="120" w:after="100" w:line="276" w:lineRule="auto"/>
        <w:jc w:val="both"/>
      </w:pPr>
      <w:r>
        <w:fldChar w:fldCharType="begin" w:dirty="true"/>
      </w:r>
      <w:r>
        <w:instrText>HYPERLINK \l "b4_text129" \h</w:instrText>
      </w:r>
      <w:r>
        <w:fldChar w:fldCharType="separate"/>
      </w:r>
      <w:r>
        <w:rPr>
          <w:b/>
          <w:bCs/>
          <w:rtl/>
        </w:rPr>
        <w:t>129</w:t>
      </w:r>
      <w:r>
        <w:rPr>
          <w:b/>
          <w:bCs/>
        </w:rPr>
        <w:fldChar w:fldCharType="end"/>
      </w:r>
      <w:bookmarkEnd w:id="4709"/>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10" w:name="_fnr3481"/>
      <w:r>
        <w:rPr>
          <w:vertAlign w:val="superscript"/>
          <w:rtl/>
        </w:rPr>
        <w:footnoteReference w:id="3489" w:customMarkFollows="0"/>
      </w:r>
      <w:bookmarkEnd w:id="4710"/>
      <w:r>
        <w:rPr>
          <w:rtl/>
        </w:rPr>
        <w:t>.</w:t>
      </w:r>
    </w:p>
    <w:bookmarkStart w:id="4711" w:name="b4_note130"/>
    <w:p w14:paraId="14633FDA" w14:textId="77777777" w:rsidR="00AB3647" w:rsidRDefault="00000000" w:rsidP="007923E9">
      <w:pPr>
        <w:spacing w:before="120" w:after="100" w:line="276" w:lineRule="auto"/>
        <w:jc w:val="both"/>
      </w:pPr>
      <w:r>
        <w:lastRenderedPageBreak/>
        <w:fldChar w:fldCharType="begin" w:dirty="true"/>
      </w:r>
      <w:r>
        <w:instrText>HYPERLINK \l "b4_text130" \h</w:instrText>
      </w:r>
      <w:r>
        <w:fldChar w:fldCharType="separate"/>
      </w:r>
      <w:r>
        <w:rPr>
          <w:b/>
          <w:bCs/>
          <w:rtl/>
        </w:rPr>
        <w:t>130</w:t>
      </w:r>
      <w:r>
        <w:rPr>
          <w:b/>
          <w:bCs/>
        </w:rPr>
        <w:fldChar w:fldCharType="end"/>
      </w:r>
      <w:bookmarkEnd w:id="4711"/>
      <w:r>
        <w:rPr>
          <w:rtl/>
        </w:rPr>
        <w:t xml:space="preserve"> למילה היידית “</w:t>
      </w:r>
      <w:proofErr w:type="spellStart"/>
      <w:r>
        <w:rPr>
          <w:rtl/>
        </w:rPr>
        <w:t>שייגעץ</w:t>
      </w:r>
      <w:proofErr w:type="spellEnd"/>
      <w:r>
        <w:rPr>
          <w:rtl/>
        </w:rPr>
        <w:t>”, שמקורה במילה העברית “שקץ”, יש משמעות בסיסית ומשמעות מושאלת. במשמעותה הבסיסית היא משמשת לגוי צעיר, ויש בה גוון של חוסר דתיות ושל חוצפה, וגם של גסות ובערות</w:t>
      </w:r>
      <w:bookmarkStart w:id="4712" w:name="_fnr3482"/>
      <w:r>
        <w:rPr>
          <w:vertAlign w:val="superscript"/>
          <w:rtl/>
        </w:rPr>
        <w:footnoteReference w:id="3490" w:customMarkFollows="0"/>
      </w:r>
      <w:bookmarkEnd w:id="4712"/>
      <w:r>
        <w:rPr>
          <w:rtl/>
        </w:rPr>
        <w:t xml:space="preserve">, שכן נטבעה בזמן שבו ילדים </w:t>
      </w:r>
      <w:proofErr w:type="spellStart"/>
      <w:r>
        <w:rPr>
          <w:rtl/>
        </w:rPr>
        <w:t>לא־יהודים</w:t>
      </w:r>
      <w:proofErr w:type="spellEnd"/>
      <w:r>
        <w:rPr>
          <w:rtl/>
        </w:rPr>
        <w:t xml:space="preserve"> היו בדרך כלל חסרי ידיעת קרוא וכתוב. כשמכנים יהודי “</w:t>
      </w:r>
      <w:proofErr w:type="spellStart"/>
      <w:r>
        <w:rPr>
          <w:rtl/>
        </w:rPr>
        <w:t>שייגעץ</w:t>
      </w:r>
      <w:proofErr w:type="spellEnd"/>
      <w:r>
        <w:rPr>
          <w:rtl/>
        </w:rPr>
        <w:t>”, הכוונה לאדם שיש בו אחת משלוש התכונות המיוחסות לגויים צעירים: חוסר דתיות, חוצפה או גסות ובערות.</w:t>
      </w:r>
    </w:p>
    <w:p w14:paraId="3E954172" w14:textId="77777777" w:rsidR="00AB3647" w:rsidRDefault="00000000" w:rsidP="007923E9">
      <w:pPr>
        <w:spacing w:before="120" w:after="100" w:line="276" w:lineRule="auto"/>
        <w:jc w:val="both"/>
      </w:pPr>
      <w:r>
        <w:rPr>
          <w:rtl/>
        </w:rPr>
        <w:t xml:space="preserve">ר׳ לייזר השתמש במילה פעמיים, בשתי משמעויות שונות: </w:t>
      </w:r>
      <w:proofErr w:type="spellStart"/>
      <w:r>
        <w:rPr>
          <w:rtl/>
        </w:rPr>
        <w:t>ב“שייגעץ</w:t>
      </w:r>
      <w:proofErr w:type="spellEnd"/>
      <w:r>
        <w:rPr>
          <w:rtl/>
        </w:rPr>
        <w:t xml:space="preserve">” הראשון התכוון לומר: “איזו חוצפה להפריע לשיעורי בדבר זניח כשאלתך!”, ובשני התכוון לומר: “שאלתך גסה וחסרת דעת מעיקרה”. ובמילה “טורקי” (בעמ׳ </w:t>
      </w:r>
      <w:r>
        <w:rPr>
          <w:rtl/>
        </w:rPr>
        <w:fldChar w:fldCharType="begin" w:dirty="true"/>
      </w:r>
      <w:r>
        <w:rPr>
          <w:rtl/>
        </w:rPr>
        <w:instrText xml:space="preserve"> PAGEREF pr_b_1776 \h </w:instrText>
      </w:r>
      <w:r>
        <w:rPr>
          <w:rtl/>
        </w:rPr>
      </w:r>
      <w:r>
        <w:rPr>
          <w:rtl/>
        </w:rPr>
        <w:fldChar w:fldCharType="separate"/>
      </w:r>
      <w:r w:rsidR="007923E9">
        <w:rPr>
          <w:noProof/>
          <w:rtl/>
        </w:rPr>
        <w:t>1</w:t>
      </w:r>
      <w:r>
        <w:rPr>
          <w:rtl/>
        </w:rPr>
        <w:fldChar w:fldCharType="end"/>
      </w:r>
      <w:r>
        <w:rPr>
          <w:rtl/>
        </w:rPr>
        <w:t xml:space="preserve">) התכוון לומר: “שאלתך מובנת לנו באותה מידה שמובנים דברי טורקי בלשונו </w:t>
      </w:r>
      <w:proofErr w:type="spellStart"/>
      <w:r>
        <w:rPr>
          <w:rtl/>
        </w:rPr>
        <w:t>הבלתי־מובנת</w:t>
      </w:r>
      <w:proofErr w:type="spellEnd"/>
      <w:r>
        <w:rPr>
          <w:rtl/>
        </w:rPr>
        <w:t>”.</w:t>
      </w:r>
    </w:p>
    <w:bookmarkStart w:id="4713" w:name="b4_note131"/>
    <w:p w14:paraId="7EFC958A" w14:textId="77777777" w:rsidR="00AB3647" w:rsidRDefault="00000000" w:rsidP="007923E9">
      <w:pPr>
        <w:spacing w:before="120" w:after="100" w:line="276" w:lineRule="auto"/>
        <w:jc w:val="both"/>
      </w:pPr>
      <w:r>
        <w:fldChar w:fldCharType="begin" w:dirty="true"/>
      </w:r>
      <w:r>
        <w:instrText>HYPERLINK \l "b4_text131" \h</w:instrText>
      </w:r>
      <w:r>
        <w:fldChar w:fldCharType="separate"/>
      </w:r>
      <w:r>
        <w:rPr>
          <w:b/>
          <w:bCs/>
          <w:rtl/>
        </w:rPr>
        <w:t>131</w:t>
      </w:r>
      <w:r>
        <w:rPr>
          <w:b/>
          <w:bCs/>
        </w:rPr>
        <w:fldChar w:fldCharType="end"/>
      </w:r>
      <w:bookmarkEnd w:id="4713"/>
      <w:r>
        <w:rPr>
          <w:rtl/>
        </w:rPr>
        <w:t xml:space="preserve"> כץ, “תנועת המוסר”, כרך ב</w:t>
      </w:r>
      <w:bookmarkStart w:id="4714" w:name="_fnr3483"/>
      <w:r>
        <w:rPr>
          <w:vertAlign w:val="superscript"/>
          <w:rtl/>
        </w:rPr>
        <w:footnoteReference w:id="3491" w:customMarkFollows="0"/>
      </w:r>
      <w:bookmarkEnd w:id="4714"/>
      <w:r>
        <w:rPr>
          <w:rtl/>
        </w:rPr>
        <w:t xml:space="preserve">, מספר: “[ר׳ לייזר גורדון] לא פסק מלחשוב בדברי תורה אף לרגע. תמיד בער </w:t>
      </w:r>
      <w:proofErr w:type="spellStart"/>
      <w:r>
        <w:rPr>
          <w:rtl/>
        </w:rPr>
        <w:t>בריתחא</w:t>
      </w:r>
      <w:proofErr w:type="spellEnd"/>
      <w:r>
        <w:rPr>
          <w:rtl/>
        </w:rPr>
        <w:t xml:space="preserve"> דאורייתא</w:t>
      </w:r>
      <w:bookmarkStart w:id="4715" w:name="_fnr3484"/>
      <w:r>
        <w:rPr>
          <w:vertAlign w:val="superscript"/>
          <w:rtl/>
        </w:rPr>
        <w:footnoteReference w:id="3492" w:customMarkFollows="0"/>
      </w:r>
      <w:bookmarkEnd w:id="4715"/>
      <w:r>
        <w:rPr>
          <w:rtl/>
        </w:rPr>
        <w:t xml:space="preserve">. בדיון בדברי תורה היה כלוחם בשדה הקרב; כל כוחותיו היו מעורבים”. גם כשר׳ לייזר הביע </w:t>
      </w:r>
      <w:r>
        <w:rPr>
          <w:b/>
          <w:bCs/>
          <w:rtl/>
        </w:rPr>
        <w:t>שביעות רצון</w:t>
      </w:r>
      <w:r>
        <w:rPr>
          <w:rtl/>
        </w:rPr>
        <w:t xml:space="preserve"> משאלת תלמידו, עשה זאת בכוחו הנוקב של יריב במלחמה, כפי שממחישה תגובתו המובאת </w:t>
      </w:r>
      <w:proofErr w:type="spellStart"/>
      <w:r>
        <w:rPr>
          <w:rtl/>
        </w:rPr>
        <w:t>ב“משואה</w:t>
      </w:r>
      <w:proofErr w:type="spellEnd"/>
      <w:r>
        <w:rPr>
          <w:rtl/>
        </w:rPr>
        <w:t xml:space="preserve"> לדוד”</w:t>
      </w:r>
      <w:bookmarkStart w:id="4716" w:name="_fnr3485"/>
      <w:r>
        <w:rPr>
          <w:vertAlign w:val="superscript"/>
          <w:rtl/>
        </w:rPr>
        <w:footnoteReference w:id="3493" w:customMarkFollows="0"/>
      </w:r>
      <w:bookmarkEnd w:id="4716"/>
      <w:r>
        <w:rPr>
          <w:rtl/>
        </w:rPr>
        <w:t xml:space="preserve">: “אינך יודע כלל עד כמה </w:t>
      </w:r>
      <w:r>
        <w:rPr>
          <w:b/>
          <w:bCs/>
          <w:rtl/>
        </w:rPr>
        <w:t>טובה</w:t>
      </w:r>
      <w:r>
        <w:rPr>
          <w:rtl/>
        </w:rPr>
        <w:t xml:space="preserve"> שאלתך”</w:t>
      </w:r>
      <w:bookmarkStart w:id="4717" w:name="_fnr3486"/>
      <w:r>
        <w:rPr>
          <w:vertAlign w:val="superscript"/>
          <w:rtl/>
        </w:rPr>
        <w:footnoteReference w:id="3494" w:customMarkFollows="0"/>
      </w:r>
      <w:bookmarkEnd w:id="4717"/>
      <w:r>
        <w:rPr>
          <w:rtl/>
        </w:rPr>
        <w:t>.</w:t>
      </w:r>
    </w:p>
    <w:p w14:paraId="3B01DB40" w14:textId="77777777" w:rsidR="00AB3647" w:rsidRDefault="00000000" w:rsidP="007923E9">
      <w:pPr>
        <w:spacing w:after="120" w:line="276" w:lineRule="auto"/>
        <w:jc w:val="both"/>
      </w:pPr>
      <w:r>
        <w:rPr>
          <w:rtl/>
        </w:rPr>
        <w:t xml:space="preserve">ר׳ אהרן קוטלר, שספג את ההערות העוקצניות בהיותו תלמיד צעיר </w:t>
      </w:r>
      <w:proofErr w:type="spellStart"/>
      <w:r>
        <w:rPr>
          <w:rtl/>
        </w:rPr>
        <w:t>בסלבודקה</w:t>
      </w:r>
      <w:proofErr w:type="spellEnd"/>
      <w:r>
        <w:rPr>
          <w:rtl/>
        </w:rPr>
        <w:t xml:space="preserve"> באותה עת, השמיע כמותן שנים אחר כך בשיעוריו </w:t>
      </w:r>
      <w:proofErr w:type="spellStart"/>
      <w:r>
        <w:rPr>
          <w:rtl/>
        </w:rPr>
        <w:t>בלייקווד</w:t>
      </w:r>
      <w:proofErr w:type="spellEnd"/>
      <w:r>
        <w:rPr>
          <w:rtl/>
        </w:rPr>
        <w:t>, ומי שנכנס לדבריו שם יכול היה לצפות למטר של עקיצות. לדברי ר׳ הלל זקס</w:t>
      </w:r>
      <w:bookmarkStart w:id="4718" w:name="_fnr3487"/>
      <w:r>
        <w:rPr>
          <w:vertAlign w:val="superscript"/>
          <w:rtl/>
        </w:rPr>
        <w:footnoteReference w:id="3495" w:customMarkFollows="0"/>
      </w:r>
      <w:bookmarkEnd w:id="4718"/>
      <w:r>
        <w:rPr>
          <w:rtl/>
        </w:rPr>
        <w:t xml:space="preserve">, גערתו השכיחה והפחות פוגעת הייתה: “דו </w:t>
      </w:r>
      <w:proofErr w:type="spellStart"/>
      <w:r>
        <w:rPr>
          <w:rtl/>
        </w:rPr>
        <w:t>פלוידערסט</w:t>
      </w:r>
      <w:proofErr w:type="spellEnd"/>
      <w:r>
        <w:rPr>
          <w:rtl/>
        </w:rPr>
        <w:t xml:space="preserve"> ווי א </w:t>
      </w:r>
      <w:proofErr w:type="spellStart"/>
      <w:r>
        <w:rPr>
          <w:rtl/>
        </w:rPr>
        <w:t>שיכור׳ער</w:t>
      </w:r>
      <w:proofErr w:type="spellEnd"/>
      <w:r>
        <w:rPr>
          <w:rtl/>
        </w:rPr>
        <w:t xml:space="preserve"> </w:t>
      </w:r>
      <w:proofErr w:type="spellStart"/>
      <w:r>
        <w:rPr>
          <w:rtl/>
        </w:rPr>
        <w:t>טערק</w:t>
      </w:r>
      <w:proofErr w:type="spellEnd"/>
      <w:r>
        <w:rPr>
          <w:rtl/>
        </w:rPr>
        <w:t xml:space="preserve"> [אתה מפטפט כמו טורקי שיכור]”. בפורים אחד שאל אותו תלמיד, שמשקה חריף ששתה נתן בו אומץ, למה הוא מתכוון בביטוי זה. ר׳ אהרן הסביר: “טורקי יודע היטב מה הוא אומר, ורק השומע אינו מבין אותו; ואילו שיכור אינו יודע מה הוא אומר, אך השומע מבין אותו. טורקי שיכור – אי אפשר להבינו, ואף הוא אינו יודע מה הוא אומר. לפעמים קם מישהו בשיעורי ואומר דברים שאיני מבין וגם הוא אינו מבין”.</w:t>
      </w:r>
    </w:p>
    <w:p w14:paraId="5144F380" w14:textId="77777777" w:rsidR="00AB3647" w:rsidRDefault="00000000" w:rsidP="007923E9">
      <w:pPr>
        <w:spacing w:after="120" w:line="276" w:lineRule="auto"/>
        <w:jc w:val="both"/>
      </w:pPr>
      <w:r>
        <w:rPr>
          <w:rtl/>
        </w:rPr>
        <w:t xml:space="preserve">עקיצה חריפה יותר ושכיחה פחות של ר׳ אהרן הייתה: “מען </w:t>
      </w:r>
      <w:proofErr w:type="spellStart"/>
      <w:r>
        <w:rPr>
          <w:rtl/>
        </w:rPr>
        <w:t>דארף</w:t>
      </w:r>
      <w:proofErr w:type="spellEnd"/>
      <w:r>
        <w:rPr>
          <w:rtl/>
        </w:rPr>
        <w:t xml:space="preserve"> דיר </w:t>
      </w:r>
      <w:proofErr w:type="spellStart"/>
      <w:r>
        <w:rPr>
          <w:rtl/>
        </w:rPr>
        <w:t>צוריקשיקען</w:t>
      </w:r>
      <w:proofErr w:type="spellEnd"/>
      <w:r>
        <w:rPr>
          <w:rtl/>
        </w:rPr>
        <w:t xml:space="preserve"> אין חדר [צריך לשלוח אותך בחזרה לחדר]”. תגובה קשה עוד יותר למי שהפסיק את שיעורו אירעה כשמסר שיעור באנגליה, בישיבה שייסד ר׳ משה שניידר</w:t>
      </w:r>
      <w:bookmarkStart w:id="4719" w:name="_fnr3488"/>
      <w:r>
        <w:rPr>
          <w:vertAlign w:val="superscript"/>
          <w:rtl/>
        </w:rPr>
        <w:footnoteReference w:id="3496" w:customMarkFollows="0"/>
      </w:r>
      <w:bookmarkEnd w:id="4719"/>
      <w:r>
        <w:rPr>
          <w:rtl/>
        </w:rPr>
        <w:t>: תלמיד חכם בעל זקן אדום קפץ בשאלה, ור׳ אהרן פלט: “פרה אדומה, שתוק!”</w:t>
      </w:r>
    </w:p>
    <w:p w14:paraId="5D3E59C1" w14:textId="77777777" w:rsidR="00AB3647" w:rsidRDefault="00000000" w:rsidP="007923E9">
      <w:pPr>
        <w:spacing w:after="120" w:line="276" w:lineRule="auto"/>
        <w:jc w:val="both"/>
      </w:pPr>
      <w:r>
        <w:rPr>
          <w:rtl/>
        </w:rPr>
        <w:lastRenderedPageBreak/>
        <w:t>אחי ר׳ אברהם</w:t>
      </w:r>
      <w:bookmarkStart w:id="4720" w:name="_fnr3489"/>
      <w:r>
        <w:rPr>
          <w:vertAlign w:val="superscript"/>
          <w:rtl/>
        </w:rPr>
        <w:footnoteReference w:id="3497" w:customMarkFollows="0"/>
      </w:r>
      <w:bookmarkEnd w:id="4720"/>
      <w:r>
        <w:rPr>
          <w:rtl/>
        </w:rPr>
        <w:t xml:space="preserve"> סיפר על תגובתו של ר׳ אהרן לטענה נגד אחד מחידושיו – תגובה שנעשתה לסיפור. הוא היה עד למעשה שאירע כשבעל בית עשיר, הרמן מרקין, שנפש בעיר הנופש </w:t>
      </w:r>
      <w:proofErr w:type="spellStart"/>
      <w:r>
        <w:rPr>
          <w:rtl/>
        </w:rPr>
        <w:t>לייקווד</w:t>
      </w:r>
      <w:proofErr w:type="spellEnd"/>
      <w:r>
        <w:rPr>
          <w:rtl/>
        </w:rPr>
        <w:t xml:space="preserve">, נכח ביום ראשון בבוקר בשיעורו של ר׳ אהרן בבית מדרש גבוה של הרב קוטלר. מר מרקין היה </w:t>
      </w:r>
      <w:proofErr w:type="spellStart"/>
      <w:r>
        <w:rPr>
          <w:rtl/>
        </w:rPr>
        <w:t>בר־אוריין</w:t>
      </w:r>
      <w:proofErr w:type="spellEnd"/>
      <w:r>
        <w:rPr>
          <w:rtl/>
        </w:rPr>
        <w:t>, ונהג לבוא לישיבה בשבת ולעיין ברשימת מראי המקומות לשיעור שהוצגה שם. באמצע השיעור, כשר׳ אהרן הסביר בהתלהבות רעיון שחידש, במילים “ברור כשמש בצהרים ש...”, נכנס מר מרקין לדבריו וטען שהוא רואה את העניין אחרת מכפי שרואה אותו ראש הישיבה.</w:t>
      </w:r>
    </w:p>
    <w:p w14:paraId="3C061C4D" w14:textId="77777777" w:rsidR="00AB3647" w:rsidRDefault="00000000" w:rsidP="007923E9">
      <w:pPr>
        <w:spacing w:after="120" w:line="276" w:lineRule="auto"/>
        <w:jc w:val="both"/>
      </w:pPr>
      <w:r>
        <w:rPr>
          <w:rtl/>
        </w:rPr>
        <w:t xml:space="preserve">בדיבורו הנלהב והמהיר הפך ר׳ אהרן את טענת האורח, והכריז לפני כל התלמידים שזה עתה השיג ראיה נוספת לחידושו: מכיוון שהרעיון שהציע מר מרקין מנוגד לדעתו, הרי שמסקנת ר׳ אהרן היא בהכרח הנכונה. הוא ביסס סברה זו על האמור </w:t>
      </w:r>
      <w:proofErr w:type="spellStart"/>
      <w:r>
        <w:rPr>
          <w:rtl/>
        </w:rPr>
        <w:t>ב“תשובות</w:t>
      </w:r>
      <w:proofErr w:type="spellEnd"/>
      <w:r>
        <w:rPr>
          <w:rtl/>
        </w:rPr>
        <w:t xml:space="preserve"> </w:t>
      </w:r>
      <w:proofErr w:type="spellStart"/>
      <w:r>
        <w:rPr>
          <w:rtl/>
        </w:rPr>
        <w:t>מהר״י</w:t>
      </w:r>
      <w:proofErr w:type="spellEnd"/>
      <w:r>
        <w:rPr>
          <w:rtl/>
        </w:rPr>
        <w:t xml:space="preserve"> וייל”</w:t>
      </w:r>
      <w:bookmarkStart w:id="4721" w:name="_fnr3490"/>
      <w:r>
        <w:rPr>
          <w:vertAlign w:val="superscript"/>
          <w:rtl/>
        </w:rPr>
        <w:footnoteReference w:id="3498" w:customMarkFollows="0"/>
      </w:r>
      <w:bookmarkEnd w:id="4721"/>
      <w:r>
        <w:rPr>
          <w:rtl/>
        </w:rPr>
        <w:t xml:space="preserve">: “פסקי </w:t>
      </w:r>
      <w:proofErr w:type="spellStart"/>
      <w:r>
        <w:rPr>
          <w:rtl/>
        </w:rPr>
        <w:t>בעלי־בתים</w:t>
      </w:r>
      <w:proofErr w:type="spellEnd"/>
      <w:r>
        <w:rPr>
          <w:rtl/>
        </w:rPr>
        <w:t xml:space="preserve"> ופסקי לומדים שני הפכים הם”</w:t>
      </w:r>
      <w:bookmarkStart w:id="4722" w:name="_fnr3491"/>
      <w:r>
        <w:rPr>
          <w:vertAlign w:val="superscript"/>
          <w:rtl/>
        </w:rPr>
        <w:footnoteReference w:id="3499" w:customMarkFollows="0"/>
      </w:r>
      <w:bookmarkEnd w:id="4722"/>
      <w:r>
        <w:rPr>
          <w:rtl/>
        </w:rPr>
        <w:t>.</w:t>
      </w:r>
    </w:p>
    <w:p w14:paraId="517891FC" w14:textId="77777777" w:rsidR="00AB3647" w:rsidRDefault="00000000" w:rsidP="007923E9">
      <w:pPr>
        <w:spacing w:after="120" w:line="276" w:lineRule="auto"/>
        <w:jc w:val="both"/>
      </w:pPr>
      <w:r>
        <w:rPr>
          <w:rtl/>
        </w:rPr>
        <w:t xml:space="preserve">לפי עדות שמסר לי ר׳ </w:t>
      </w:r>
      <w:proofErr w:type="spellStart"/>
      <w:r>
        <w:rPr>
          <w:rtl/>
        </w:rPr>
        <w:t>דב־צבי</w:t>
      </w:r>
      <w:proofErr w:type="spellEnd"/>
      <w:r>
        <w:rPr>
          <w:rtl/>
        </w:rPr>
        <w:t xml:space="preserve"> </w:t>
      </w:r>
      <w:proofErr w:type="spellStart"/>
      <w:r>
        <w:rPr>
          <w:rtl/>
        </w:rPr>
        <w:t>רוטשטיין</w:t>
      </w:r>
      <w:bookmarkStart w:id="4723" w:name="_fnr3492"/>
      <w:proofErr w:type="spellEnd"/>
      <w:r>
        <w:rPr>
          <w:vertAlign w:val="superscript"/>
          <w:rtl/>
        </w:rPr>
        <w:footnoteReference w:id="3500" w:customMarkFollows="0"/>
      </w:r>
      <w:bookmarkEnd w:id="4723"/>
      <w:r>
        <w:rPr>
          <w:rtl/>
        </w:rPr>
        <w:t xml:space="preserve">, ששמע אותה מר׳ שניאור קוטלר, אכן הייתה זו גישתו של ר׳ אהרן לדעות בעלי בתים, גם </w:t>
      </w:r>
      <w:proofErr w:type="spellStart"/>
      <w:r>
        <w:rPr>
          <w:rtl/>
        </w:rPr>
        <w:t>כשלא</w:t>
      </w:r>
      <w:proofErr w:type="spellEnd"/>
      <w:r>
        <w:rPr>
          <w:rtl/>
        </w:rPr>
        <w:t xml:space="preserve"> נאמרו נגד שיעורו ובאמצעו. הרב </w:t>
      </w:r>
      <w:proofErr w:type="spellStart"/>
      <w:r>
        <w:rPr>
          <w:rtl/>
        </w:rPr>
        <w:t>רוטשטיין</w:t>
      </w:r>
      <w:proofErr w:type="spellEnd"/>
      <w:r>
        <w:rPr>
          <w:rtl/>
        </w:rPr>
        <w:t xml:space="preserve"> סיפר שר׳ שניאור אמר לו שכאשר אביו לא יכול היה להכריע כיצד לפעול בעניין מסוים, היה הולך לבית הכנסת הגדול שבשכונתו ושואל שלושה בעלי בתים כיצד היו פותרים דילמה כזאת – ואחר כך עושה את ההפך מהמלצתם. [המרואיין לא היה בטוח אם אין סיפורו של ר׳ שניאור אלא סיפור </w:t>
      </w:r>
      <w:proofErr w:type="spellStart"/>
      <w:r>
        <w:rPr>
          <w:rtl/>
        </w:rPr>
        <w:t>בלתי־מבוסס</w:t>
      </w:r>
      <w:bookmarkStart w:id="4724" w:name="_fnr3493"/>
      <w:proofErr w:type="spellEnd"/>
      <w:r>
        <w:rPr>
          <w:vertAlign w:val="superscript"/>
          <w:rtl/>
        </w:rPr>
        <w:footnoteReference w:id="3501" w:customMarkFollows="0"/>
      </w:r>
      <w:bookmarkEnd w:id="4724"/>
      <w:r>
        <w:rPr>
          <w:rtl/>
        </w:rPr>
        <w:t xml:space="preserve">.] השווה גם “עובדות והנהגות לבית </w:t>
      </w:r>
      <w:proofErr w:type="spellStart"/>
      <w:r>
        <w:rPr>
          <w:rtl/>
        </w:rPr>
        <w:t>בריסק</w:t>
      </w:r>
      <w:proofErr w:type="spellEnd"/>
      <w:r>
        <w:rPr>
          <w:rtl/>
        </w:rPr>
        <w:t>”</w:t>
      </w:r>
      <w:bookmarkStart w:id="4725" w:name="_fnr3494"/>
      <w:r>
        <w:rPr>
          <w:vertAlign w:val="superscript"/>
          <w:rtl/>
        </w:rPr>
        <w:footnoteReference w:id="3502" w:customMarkFollows="0"/>
      </w:r>
      <w:bookmarkEnd w:id="4725"/>
      <w:r>
        <w:rPr>
          <w:rtl/>
        </w:rPr>
        <w:t xml:space="preserve">: ר׳ יצחק־זאב </w:t>
      </w:r>
      <w:proofErr w:type="spellStart"/>
      <w:r>
        <w:rPr>
          <w:rtl/>
        </w:rPr>
        <w:t>סולובייצ׳יק</w:t>
      </w:r>
      <w:proofErr w:type="spellEnd"/>
      <w:r>
        <w:rPr>
          <w:rtl/>
        </w:rPr>
        <w:t>, שהעריך את מאמריו של העיתונאי ר׳ משה שיינפלד, “שיבח מאוד” את תשובת הכותב כשנשאל כיצד הוא מצליח לבטא היטב כל כך “דעת תורה”. ר׳ משה השיב שהוא שואל בעלי בתים לדעתם, וכותב את ההפך.</w:t>
      </w:r>
    </w:p>
    <w:p w14:paraId="19854C7D" w14:textId="77777777" w:rsidR="00AB3647" w:rsidRDefault="00000000" w:rsidP="007923E9">
      <w:pPr>
        <w:spacing w:after="120" w:line="276" w:lineRule="auto"/>
        <w:jc w:val="both"/>
      </w:pPr>
      <w:r>
        <w:rPr>
          <w:rtl/>
        </w:rPr>
        <w:t xml:space="preserve">השווה גם </w:t>
      </w:r>
      <w:proofErr w:type="spellStart"/>
      <w:r>
        <w:rPr>
          <w:rtl/>
        </w:rPr>
        <w:t>רבינר</w:t>
      </w:r>
      <w:proofErr w:type="spellEnd"/>
      <w:r>
        <w:rPr>
          <w:rtl/>
        </w:rPr>
        <w:t>, “רבינו מאיר שמחה הכהן”</w:t>
      </w:r>
      <w:bookmarkStart w:id="4726" w:name="_fnr3495"/>
      <w:r>
        <w:rPr>
          <w:vertAlign w:val="superscript"/>
          <w:rtl/>
        </w:rPr>
        <w:footnoteReference w:id="3503" w:customMarkFollows="0"/>
      </w:r>
      <w:bookmarkEnd w:id="4726"/>
      <w:r>
        <w:rPr>
          <w:rtl/>
        </w:rPr>
        <w:t xml:space="preserve">: ר׳ </w:t>
      </w:r>
      <w:proofErr w:type="spellStart"/>
      <w:r>
        <w:rPr>
          <w:rtl/>
        </w:rPr>
        <w:t>מאיר־שמחה</w:t>
      </w:r>
      <w:proofErr w:type="spellEnd"/>
      <w:r>
        <w:rPr>
          <w:rtl/>
        </w:rPr>
        <w:t xml:space="preserve"> כהן [בעודו </w:t>
      </w:r>
      <w:proofErr w:type="spellStart"/>
      <w:r>
        <w:rPr>
          <w:rtl/>
        </w:rPr>
        <w:t>בביאליסטוק</w:t>
      </w:r>
      <w:proofErr w:type="spellEnd"/>
      <w:r>
        <w:rPr>
          <w:rtl/>
        </w:rPr>
        <w:t xml:space="preserve">] וגיסו ר׳ שמואל ליפשיץ החליטו לפנות לרב מעיירה קטנה, שנחשב בעיניהם למי </w:t>
      </w:r>
      <w:proofErr w:type="spellStart"/>
      <w:r>
        <w:rPr>
          <w:rtl/>
        </w:rPr>
        <w:t>ש“אין</w:t>
      </w:r>
      <w:proofErr w:type="spellEnd"/>
      <w:r>
        <w:rPr>
          <w:rtl/>
        </w:rPr>
        <w:t xml:space="preserve"> לו </w:t>
      </w:r>
      <w:r>
        <w:rPr>
          <w:rtl/>
        </w:rPr>
        <w:lastRenderedPageBreak/>
        <w:t xml:space="preserve">שכל ישר”, כדי שיכריע במחלוקת תלמודית ביניהם – והדעה שיסכים לה הרב תהיה בוודאי שגויה! כשביקר הרב </w:t>
      </w:r>
      <w:proofErr w:type="spellStart"/>
      <w:r>
        <w:rPr>
          <w:rtl/>
        </w:rPr>
        <w:t>בביאליסטוק</w:t>
      </w:r>
      <w:proofErr w:type="spellEnd"/>
      <w:r>
        <w:rPr>
          <w:rtl/>
        </w:rPr>
        <w:t xml:space="preserve"> לפני פסח הציגו לו את המחלוקת, והוא הכריע לטובת ר׳ </w:t>
      </w:r>
      <w:proofErr w:type="spellStart"/>
      <w:r>
        <w:rPr>
          <w:rtl/>
        </w:rPr>
        <w:t>מאיר־שמחה</w:t>
      </w:r>
      <w:proofErr w:type="spellEnd"/>
      <w:r>
        <w:rPr>
          <w:rtl/>
        </w:rPr>
        <w:t xml:space="preserve"> – ובכך הורה שדווקא גיסו צודק. אך האור שמח התחמק: “מאחר שעתה סמוך לפסח, ודעת הרב מבולבלת מחמת עיסוקו בדינים המורכבים של החג, הגיע למסקנה הפוכה מזו שהיה מגיע אליה בנסיבות רגילות – </w:t>
      </w:r>
      <w:r>
        <w:rPr>
          <w:b/>
          <w:bCs/>
          <w:rtl/>
        </w:rPr>
        <w:t>ואני</w:t>
      </w:r>
      <w:r>
        <w:rPr>
          <w:rtl/>
        </w:rPr>
        <w:t xml:space="preserve"> הצודק”.</w:t>
      </w:r>
    </w:p>
    <w:p w14:paraId="29D40604" w14:textId="77777777" w:rsidR="00AB3647" w:rsidRDefault="00000000" w:rsidP="007923E9">
      <w:pPr>
        <w:spacing w:after="120" w:line="276" w:lineRule="auto"/>
        <w:jc w:val="both"/>
      </w:pPr>
      <w:r>
        <w:rPr>
          <w:rtl/>
        </w:rPr>
        <w:t>ר׳ יהושע סלומון סיפר את עיקרו של מעשה זה</w:t>
      </w:r>
      <w:bookmarkStart w:id="4727" w:name="_fnr3496"/>
      <w:r>
        <w:rPr>
          <w:vertAlign w:val="superscript"/>
          <w:rtl/>
        </w:rPr>
        <w:footnoteReference w:id="3504" w:customMarkFollows="0"/>
      </w:r>
      <w:bookmarkEnd w:id="4727"/>
      <w:r>
        <w:rPr>
          <w:rtl/>
        </w:rPr>
        <w:t xml:space="preserve"> בשם ר׳ </w:t>
      </w:r>
      <w:proofErr w:type="spellStart"/>
      <w:r>
        <w:rPr>
          <w:rtl/>
        </w:rPr>
        <w:t>חצקל</w:t>
      </w:r>
      <w:proofErr w:type="spellEnd"/>
      <w:r>
        <w:rPr>
          <w:rtl/>
        </w:rPr>
        <w:t xml:space="preserve"> </w:t>
      </w:r>
      <w:proofErr w:type="spellStart"/>
      <w:r>
        <w:rPr>
          <w:rtl/>
        </w:rPr>
        <w:t>סרנא</w:t>
      </w:r>
      <w:proofErr w:type="spellEnd"/>
      <w:r>
        <w:rPr>
          <w:rtl/>
        </w:rPr>
        <w:t xml:space="preserve">, אלא שלפי גרסתו הייתה המחלוקת בין ר׳ </w:t>
      </w:r>
      <w:proofErr w:type="spellStart"/>
      <w:r>
        <w:rPr>
          <w:rtl/>
        </w:rPr>
        <w:t>מאיר־שמחה</w:t>
      </w:r>
      <w:proofErr w:type="spellEnd"/>
      <w:r>
        <w:rPr>
          <w:rtl/>
        </w:rPr>
        <w:t xml:space="preserve"> לחברותא שלו, ר׳ </w:t>
      </w:r>
      <w:proofErr w:type="spellStart"/>
      <w:r>
        <w:rPr>
          <w:rtl/>
        </w:rPr>
        <w:t>העניך</w:t>
      </w:r>
      <w:proofErr w:type="spellEnd"/>
      <w:r>
        <w:rPr>
          <w:rtl/>
        </w:rPr>
        <w:t xml:space="preserve"> </w:t>
      </w:r>
      <w:proofErr w:type="spellStart"/>
      <w:r>
        <w:rPr>
          <w:rtl/>
        </w:rPr>
        <w:t>אייגש</w:t>
      </w:r>
      <w:proofErr w:type="spellEnd"/>
      <w:r>
        <w:rPr>
          <w:rtl/>
        </w:rPr>
        <w:t xml:space="preserve"> (לימים מחבר “מרחשת”), ומי שהיה אמור להכריע בה היה שמש בית הכנסת. ר׳ </w:t>
      </w:r>
      <w:proofErr w:type="spellStart"/>
      <w:r>
        <w:rPr>
          <w:rtl/>
        </w:rPr>
        <w:t>חצקל</w:t>
      </w:r>
      <w:proofErr w:type="spellEnd"/>
      <w:r>
        <w:rPr>
          <w:rtl/>
        </w:rPr>
        <w:t xml:space="preserve"> הוסיף: “אמרו שר׳ </w:t>
      </w:r>
      <w:proofErr w:type="spellStart"/>
      <w:r>
        <w:rPr>
          <w:rtl/>
        </w:rPr>
        <w:t>מאיר־שמחה</w:t>
      </w:r>
      <w:proofErr w:type="spellEnd"/>
      <w:r>
        <w:rPr>
          <w:rtl/>
        </w:rPr>
        <w:t xml:space="preserve"> למד ‘</w:t>
      </w:r>
      <w:proofErr w:type="spellStart"/>
      <w:r>
        <w:rPr>
          <w:rtl/>
        </w:rPr>
        <w:t>שמונה־עשרה</w:t>
      </w:r>
      <w:proofErr w:type="spellEnd"/>
      <w:r>
        <w:rPr>
          <w:rtl/>
        </w:rPr>
        <w:t xml:space="preserve"> – </w:t>
      </w:r>
      <w:proofErr w:type="spellStart"/>
      <w:r>
        <w:rPr>
          <w:rtl/>
        </w:rPr>
        <w:t>שמונה־עשרה</w:t>
      </w:r>
      <w:proofErr w:type="spellEnd"/>
      <w:r>
        <w:rPr>
          <w:rtl/>
        </w:rPr>
        <w:t xml:space="preserve">’ לאחר נישואיו </w:t>
      </w:r>
      <w:proofErr w:type="spellStart"/>
      <w:r>
        <w:rPr>
          <w:rtl/>
        </w:rPr>
        <w:t>בביאליסטוק</w:t>
      </w:r>
      <w:proofErr w:type="spellEnd"/>
      <w:r>
        <w:rPr>
          <w:rtl/>
        </w:rPr>
        <w:t xml:space="preserve">”, והסביר שלמד </w:t>
      </w:r>
      <w:proofErr w:type="spellStart"/>
      <w:r>
        <w:rPr>
          <w:rtl/>
        </w:rPr>
        <w:t>שמונה־עשרה</w:t>
      </w:r>
      <w:proofErr w:type="spellEnd"/>
      <w:r>
        <w:rPr>
          <w:rtl/>
        </w:rPr>
        <w:t xml:space="preserve"> שעות ביום במשך </w:t>
      </w:r>
      <w:proofErr w:type="spellStart"/>
      <w:r>
        <w:rPr>
          <w:rtl/>
        </w:rPr>
        <w:t>שמונה־עשרה</w:t>
      </w:r>
      <w:proofErr w:type="spellEnd"/>
      <w:r>
        <w:rPr>
          <w:rtl/>
        </w:rPr>
        <w:t xml:space="preserve"> שנים רצופות, וכך צמח לגאון המפורסם שהיה.</w:t>
      </w:r>
    </w:p>
    <w:p w14:paraId="45F7A08B" w14:textId="77777777" w:rsidR="00AB3647" w:rsidRDefault="00000000" w:rsidP="007923E9">
      <w:pPr>
        <w:spacing w:after="120" w:line="276" w:lineRule="auto"/>
        <w:jc w:val="both"/>
      </w:pPr>
      <w:r>
        <w:rPr>
          <w:rtl/>
        </w:rPr>
        <w:t xml:space="preserve">כדי שקוראים שלא הכירו את הרב קוטלר לא יטעו באופיו העדין של אותו גאון, אמסור כיצד תיארו רבנו, כפי שהביא ר׳ יצחק </w:t>
      </w:r>
      <w:proofErr w:type="spellStart"/>
      <w:r>
        <w:rPr>
          <w:rtl/>
        </w:rPr>
        <w:t>קנובל</w:t>
      </w:r>
      <w:proofErr w:type="spellEnd"/>
      <w:r>
        <w:rPr>
          <w:rtl/>
        </w:rPr>
        <w:t xml:space="preserve"> בהספד השלושים על אבי בלוס אנג׳לס</w:t>
      </w:r>
      <w:bookmarkStart w:id="4728" w:name="_fnr3497"/>
      <w:r>
        <w:rPr>
          <w:vertAlign w:val="superscript"/>
          <w:rtl/>
        </w:rPr>
        <w:footnoteReference w:id="3505" w:customMarkFollows="0"/>
      </w:r>
      <w:bookmarkEnd w:id="4728"/>
      <w:r>
        <w:rPr>
          <w:rtl/>
        </w:rPr>
        <w:t>: “ר׳ אהרן היה גאון בקנה מידה עולמי בלי ההשחתה של עילוי, הגאון בלי הקשיחות”</w:t>
      </w:r>
      <w:bookmarkStart w:id="4729" w:name="_fnr3498"/>
      <w:r>
        <w:rPr>
          <w:vertAlign w:val="superscript"/>
          <w:rtl/>
        </w:rPr>
        <w:footnoteReference w:id="3506" w:customMarkFollows="0"/>
      </w:r>
      <w:bookmarkEnd w:id="4729"/>
      <w:r>
        <w:rPr>
          <w:rtl/>
        </w:rPr>
        <w:t>. באותו אופן אפשר לתאר את ר׳ לייזר גורדון.</w:t>
      </w:r>
    </w:p>
    <w:bookmarkStart w:id="4730" w:name="b4_note132"/>
    <w:p w14:paraId="47D6CD36" w14:textId="269DA43B" w:rsidR="00AB3647" w:rsidRDefault="00000000" w:rsidP="007923E9">
      <w:pPr>
        <w:spacing w:before="120" w:after="100" w:line="276" w:lineRule="auto"/>
        <w:jc w:val="both"/>
      </w:pPr>
      <w:r>
        <w:fldChar w:fldCharType="begin" w:dirty="true"/>
      </w:r>
      <w:r>
        <w:instrText>HYPERLINK \l "b4_text132"</w:instrText>
      </w:r>
      <w:r>
        <w:fldChar w:fldCharType="separate"/>
      </w:r>
      <w:r>
        <w:rPr>
          <w:b/>
          <w:bCs/>
          <w:rtl/>
        </w:rPr>
        <w:t xml:space="preserve">132 </w:t>
      </w:r>
      <w:r>
        <w:rPr>
          <w:b/>
          <w:bCs/>
        </w:rPr>
        <w:fldChar w:fldCharType="end"/>
      </w:r>
      <w:bookmarkEnd w:id="4730"/>
      <w:r>
        <w:rPr>
          <w:rtl/>
        </w:rPr>
        <w:t xml:space="preserve">השווה תחילת הערה </w:t>
      </w:r>
      <w:hyperlink w:anchor="b4_text132">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b4_note127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127</w:t>
      </w:r>
      <w:r>
        <w:rPr>
          <w:sz w:val="18"/>
          <w:szCs w:val="18"/>
          <w:vertAlign w:val="superscript"/>
          <w:rtl/>
        </w:rPr>
        <w:fldChar w:fldCharType="end"/>
      </w:r>
      <w:r>
        <w:rPr>
          <w:rtl/>
        </w:rPr>
        <w:t xml:space="preserve"> לעיל. </w:t>
      </w:r>
      <w:proofErr w:type="spellStart"/>
      <w:r>
        <w:rPr>
          <w:rtl/>
        </w:rPr>
        <w:t>רבינר</w:t>
      </w:r>
      <w:proofErr w:type="spellEnd"/>
      <w:r>
        <w:rPr>
          <w:rtl/>
        </w:rPr>
        <w:t>, “הגאון רבי אליעזר גורדון”</w:t>
      </w:r>
      <w:bookmarkStart w:id="4731" w:name="_fnr3499"/>
      <w:r>
        <w:rPr>
          <w:vertAlign w:val="superscript"/>
          <w:rtl/>
        </w:rPr>
        <w:footnoteReference w:id="3507" w:customMarkFollows="0"/>
      </w:r>
      <w:bookmarkEnd w:id="4731"/>
      <w:r>
        <w:rPr>
          <w:rtl/>
        </w:rPr>
        <w:t xml:space="preserve"> מביא את דברי ר׳ יצחק </w:t>
      </w:r>
      <w:proofErr w:type="spellStart"/>
      <w:r>
        <w:rPr>
          <w:rtl/>
        </w:rPr>
        <w:t>קוסובסקי</w:t>
      </w:r>
      <w:proofErr w:type="spellEnd"/>
      <w:r>
        <w:rPr>
          <w:rtl/>
        </w:rPr>
        <w:t>: “זעמו שכך במהירות, ובדברי אהבה וחיבה היה פונה אל התלמידים שהכעיסוהו ומפייסם בנעימות יתֵרה. וככל שגבר כעס רבנו עלינו, תלמידיו, כך גדלה אהבת כולנו אליו... לאחר שסיים את שיעורו היה מיד לאדם אחר; פניו האירו באור נעים, ובחיוך על שפתיו היה פונה אל תלמידיו בדברי אהבה וחיבה, כאהבת אב לבניו”.</w:t>
      </w:r>
    </w:p>
    <w:p w14:paraId="168B6CDB" w14:textId="77777777" w:rsidR="00AB3647" w:rsidRDefault="00000000" w:rsidP="007923E9">
      <w:pPr>
        <w:spacing w:after="120" w:line="276" w:lineRule="auto"/>
        <w:jc w:val="both"/>
      </w:pPr>
      <w:r>
        <w:rPr>
          <w:rtl/>
        </w:rPr>
        <w:t xml:space="preserve">“ספר דעת חיים”, מאת ר׳ חיים </w:t>
      </w:r>
      <w:proofErr w:type="spellStart"/>
      <w:r>
        <w:rPr>
          <w:rtl/>
        </w:rPr>
        <w:t>וולקין</w:t>
      </w:r>
      <w:bookmarkStart w:id="4732" w:name="_fnr3500"/>
      <w:proofErr w:type="spellEnd"/>
      <w:r>
        <w:rPr>
          <w:vertAlign w:val="superscript"/>
          <w:rtl/>
        </w:rPr>
        <w:footnoteReference w:id="3508" w:customMarkFollows="0"/>
      </w:r>
      <w:bookmarkEnd w:id="4732"/>
      <w:r>
        <w:rPr>
          <w:rtl/>
        </w:rPr>
        <w:t xml:space="preserve">, מביא מעשה שנראה </w:t>
      </w:r>
      <w:proofErr w:type="spellStart"/>
      <w:r>
        <w:rPr>
          <w:rtl/>
        </w:rPr>
        <w:t>בלתי־מבוסס</w:t>
      </w:r>
      <w:proofErr w:type="spellEnd"/>
      <w:r>
        <w:rPr>
          <w:rtl/>
        </w:rPr>
        <w:t xml:space="preserve">, </w:t>
      </w:r>
      <w:proofErr w:type="spellStart"/>
      <w:r>
        <w:rPr>
          <w:rtl/>
        </w:rPr>
        <w:t>ש“החזון־איש</w:t>
      </w:r>
      <w:proofErr w:type="spellEnd"/>
      <w:r>
        <w:rPr>
          <w:rtl/>
        </w:rPr>
        <w:t xml:space="preserve"> היה רגיל לספר על ר׳ לייזר גורדון”: “פעם בא אל ר׳ לייזר עשיר, מכבד ואוהב תלמידי חכמים, לחפש חתן לבתו שיוכל לאפשר לו ללמוד תורה כל חייו. ר׳ לייזר אמר לו: ‘בוא עמי ובחר לך בחור שימצא חן בעיניך’. כשעמדו בפתח בית המדרש... נמשכו עיני האיש לתלמיד שישב בצד ולמד במתיקות, והוא שאל מיהו. ר׳ לייזר אמר לו: ‘הוא בני היחיד’. העשיר סבר שבחור כזה ראוי להיות בנו של ראש הישיבה, ומובן שלא העז לבקש שיהיה חתנו. עיניו חיפשו בחור מתאים אחר, וכשנפלו על אחד שב ושאל על הצעיר. גם הפעם השיב ר׳ לייזר: ‘הוא בני היחיד’ – תשובה שהפליאה אותו, אך לא היה נועז דיו להביע את פליאתו. רק כשהדבר חזר בפעם השלישית פקעה סבלנות העשיר, ושאל: ‘רבי, כמה בנים “יחידים” יש לך?’ ור׳ לייזר ענה: ‘האמן לי, יש לי ארבע מאות “בנים יחידים” בישיבה הזאת’”.</w:t>
      </w:r>
    </w:p>
    <w:p w14:paraId="7DDBD809" w14:textId="77777777" w:rsidR="00AB3647" w:rsidRDefault="00000000" w:rsidP="007923E9">
      <w:pPr>
        <w:spacing w:after="120" w:line="276" w:lineRule="auto"/>
        <w:jc w:val="both"/>
      </w:pPr>
      <w:proofErr w:type="spellStart"/>
      <w:r>
        <w:rPr>
          <w:rtl/>
        </w:rPr>
        <w:lastRenderedPageBreak/>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33" w:name="_fnr3501"/>
      <w:r>
        <w:rPr>
          <w:vertAlign w:val="superscript"/>
          <w:rtl/>
        </w:rPr>
        <w:footnoteReference w:id="3509" w:customMarkFollows="0"/>
      </w:r>
      <w:bookmarkEnd w:id="4733"/>
      <w:r>
        <w:rPr>
          <w:rtl/>
        </w:rPr>
        <w:t xml:space="preserve"> מיוחסת תשובה זו לאבי המחבר, </w:t>
      </w:r>
      <w:proofErr w:type="spellStart"/>
      <w:r>
        <w:rPr>
          <w:rtl/>
        </w:rPr>
        <w:t>הנצי״ב</w:t>
      </w:r>
      <w:proofErr w:type="spellEnd"/>
      <w:r>
        <w:rPr>
          <w:rtl/>
        </w:rPr>
        <w:t xml:space="preserve">, כאשר “רב זקן הביא את בנו </w:t>
      </w:r>
      <w:proofErr w:type="spellStart"/>
      <w:r>
        <w:rPr>
          <w:rtl/>
        </w:rPr>
        <w:t>לוולוז׳ין</w:t>
      </w:r>
      <w:proofErr w:type="spellEnd"/>
      <w:r>
        <w:rPr>
          <w:rtl/>
        </w:rPr>
        <w:t xml:space="preserve">” וביקש </w:t>
      </w:r>
      <w:proofErr w:type="spellStart"/>
      <w:r>
        <w:rPr>
          <w:rtl/>
        </w:rPr>
        <w:t>ש“ראש</w:t>
      </w:r>
      <w:proofErr w:type="spellEnd"/>
      <w:r>
        <w:rPr>
          <w:rtl/>
        </w:rPr>
        <w:t xml:space="preserve"> הישיבה ישים לב במיוחד” לצעיר, מפני שהיה בנו היחיד.</w:t>
      </w:r>
    </w:p>
    <w:bookmarkStart w:id="4734" w:name="b4_note133"/>
    <w:p w14:paraId="75FBC03C" w14:textId="77777777" w:rsidR="00AB3647" w:rsidRDefault="00000000" w:rsidP="007923E9">
      <w:pPr>
        <w:spacing w:before="120" w:after="100" w:line="276" w:lineRule="auto"/>
        <w:jc w:val="both"/>
      </w:pPr>
      <w:r>
        <w:fldChar w:fldCharType="begin" w:dirty="true"/>
      </w:r>
      <w:r>
        <w:instrText>HYPERLINK \l "b4_text133" \h</w:instrText>
      </w:r>
      <w:r>
        <w:fldChar w:fldCharType="separate"/>
      </w:r>
      <w:r>
        <w:rPr>
          <w:b/>
          <w:bCs/>
          <w:rtl/>
        </w:rPr>
        <w:t>133</w:t>
      </w:r>
      <w:r>
        <w:rPr>
          <w:b/>
          <w:bCs/>
        </w:rPr>
        <w:fldChar w:fldCharType="end"/>
      </w:r>
      <w:bookmarkEnd w:id="4734"/>
      <w:r>
        <w:rPr>
          <w:rtl/>
        </w:rPr>
        <w:t xml:space="preserve"> אמר רב </w:t>
      </w:r>
      <w:proofErr w:type="spellStart"/>
      <w:r>
        <w:rPr>
          <w:rtl/>
        </w:rPr>
        <w:t>חייא</w:t>
      </w:r>
      <w:proofErr w:type="spellEnd"/>
      <w:r>
        <w:rPr>
          <w:rtl/>
        </w:rPr>
        <w:t xml:space="preserve"> בר אבא, אפילו האב ובנו הרב ותלמידו </w:t>
      </w:r>
      <w:proofErr w:type="spellStart"/>
      <w:r>
        <w:rPr>
          <w:rtl/>
        </w:rPr>
        <w:t>שעוסקין</w:t>
      </w:r>
      <w:proofErr w:type="spellEnd"/>
      <w:r>
        <w:rPr>
          <w:rtl/>
        </w:rPr>
        <w:t xml:space="preserve"> בתורה בשער אחד [בית מדרש], נעשים אויבים זה את זה; ואינם זזים משם עד שנעשים אוהבים זה את זה שנא’ אֶת </w:t>
      </w:r>
      <w:proofErr w:type="spellStart"/>
      <w:r>
        <w:rPr>
          <w:rtl/>
        </w:rPr>
        <w:t>וָהֵב</w:t>
      </w:r>
      <w:proofErr w:type="spellEnd"/>
      <w:r>
        <w:rPr>
          <w:rtl/>
        </w:rPr>
        <w:t xml:space="preserve"> בְּסוּפָה</w:t>
      </w:r>
      <w:bookmarkStart w:id="4735" w:name="_fnr3502"/>
      <w:r>
        <w:rPr>
          <w:vertAlign w:val="superscript"/>
          <w:rtl/>
        </w:rPr>
        <w:footnoteReference w:id="3510" w:customMarkFollows="0"/>
      </w:r>
      <w:bookmarkStart w:id="4736" w:name="_fnr3503"/>
      <w:bookmarkEnd w:id="4735"/>
      <w:r>
        <w:rPr>
          <w:vertAlign w:val="superscript"/>
          <w:rtl/>
        </w:rPr>
        <w:footnoteReference w:id="3511" w:customMarkFollows="0"/>
      </w:r>
      <w:bookmarkEnd w:id="4736"/>
      <w:r>
        <w:rPr>
          <w:rtl/>
        </w:rPr>
        <w:t xml:space="preserve">. אבל לשונו הנוקבת של ר׳ לייזר </w:t>
      </w:r>
      <w:r>
        <w:rPr>
          <w:b/>
          <w:bCs/>
          <w:rtl/>
        </w:rPr>
        <w:t>מחוץ</w:t>
      </w:r>
      <w:r>
        <w:rPr>
          <w:rtl/>
        </w:rPr>
        <w:t xml:space="preserve"> לבית המדרש סיבכה אותו בצרות – השווה אמצע הפסקה השלישית של נספח יא להלן.</w:t>
      </w:r>
    </w:p>
    <w:p w14:paraId="560ABE73" w14:textId="77777777" w:rsidR="00AB3647" w:rsidRDefault="00000000" w:rsidP="007923E9">
      <w:pPr>
        <w:spacing w:after="120" w:line="276" w:lineRule="auto"/>
        <w:jc w:val="both"/>
      </w:pPr>
      <w:r>
        <w:rPr>
          <w:rtl/>
        </w:rPr>
        <w:t xml:space="preserve">בישיבת </w:t>
      </w:r>
      <w:proofErr w:type="spellStart"/>
      <w:r>
        <w:rPr>
          <w:rtl/>
        </w:rPr>
        <w:t>מיר</w:t>
      </w:r>
      <w:proofErr w:type="spellEnd"/>
      <w:r>
        <w:rPr>
          <w:rtl/>
        </w:rPr>
        <w:t xml:space="preserve"> בתקופה מאוחרת יותר עדיין היה מקובל להטיח עלבונות איש ברעהו בשעת “מלחמתה של תורה”, כפי שסיפר ר׳ שלמה לורנץ</w:t>
      </w:r>
      <w:bookmarkStart w:id="4737" w:name="_fnr3504"/>
      <w:r>
        <w:rPr>
          <w:vertAlign w:val="superscript"/>
          <w:rtl/>
        </w:rPr>
        <w:footnoteReference w:id="3512" w:customMarkFollows="0"/>
      </w:r>
      <w:bookmarkEnd w:id="4737"/>
      <w:r>
        <w:rPr>
          <w:rtl/>
        </w:rPr>
        <w:t xml:space="preserve">, שלמד </w:t>
      </w:r>
      <w:proofErr w:type="spellStart"/>
      <w:r>
        <w:rPr>
          <w:rtl/>
        </w:rPr>
        <w:t>במיר</w:t>
      </w:r>
      <w:proofErr w:type="spellEnd"/>
      <w:r>
        <w:rPr>
          <w:rtl/>
        </w:rPr>
        <w:t xml:space="preserve"> שנתיים וחצי החל </w:t>
      </w:r>
      <w:proofErr w:type="spellStart"/>
      <w:r>
        <w:rPr>
          <w:rtl/>
        </w:rPr>
        <w:t>מתרצ״ו</w:t>
      </w:r>
      <w:proofErr w:type="spellEnd"/>
      <w:r>
        <w:rPr>
          <w:rtl/>
        </w:rPr>
        <w:t xml:space="preserve">. הוא סיפר שכשבא מבודפשט הזדעזע לשמוע בחור צועק על חברו: “אתה עם הארץ!”, והלה משיב: “ואתה </w:t>
      </w:r>
      <w:proofErr w:type="spellStart"/>
      <w:r>
        <w:rPr>
          <w:rtl/>
        </w:rPr>
        <w:t>פויער</w:t>
      </w:r>
      <w:proofErr w:type="spellEnd"/>
      <w:r>
        <w:rPr>
          <w:rtl/>
        </w:rPr>
        <w:t xml:space="preserve"> [איכר]!” ר׳ שלמה ציין שבישיבות הונגריה, מי שהיה צועק כך על חברו היה מסולק בוודאי. הוא סיפר גם שבאחת משיחותיו מתח ר׳ </w:t>
      </w:r>
      <w:proofErr w:type="spellStart"/>
      <w:r>
        <w:rPr>
          <w:rtl/>
        </w:rPr>
        <w:t>חצקל</w:t>
      </w:r>
      <w:proofErr w:type="spellEnd"/>
      <w:r>
        <w:rPr>
          <w:rtl/>
        </w:rPr>
        <w:t xml:space="preserve"> </w:t>
      </w:r>
      <w:proofErr w:type="spellStart"/>
      <w:r>
        <w:rPr>
          <w:rtl/>
        </w:rPr>
        <w:t>לוינשטיין</w:t>
      </w:r>
      <w:proofErr w:type="spellEnd"/>
      <w:r>
        <w:rPr>
          <w:rtl/>
        </w:rPr>
        <w:t xml:space="preserve"> ביקורת על דיבור מסוג זה בין חברים, אך רק במתינות.</w:t>
      </w:r>
    </w:p>
    <w:p w14:paraId="753916F8" w14:textId="08B221FC"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כשהשיב ר׳ לייזר גורדון והמשיך בשיעור, הקשה שלמה </w:t>
      </w:r>
      <w:proofErr w:type="spellStart"/>
      <w:r>
        <w:rPr>
          <w:rtl/>
        </w:rPr>
        <w:t>פאריטשער</w:t>
      </w:r>
      <w:proofErr w:type="spellEnd"/>
      <w:r>
        <w:rPr>
          <w:rtl/>
        </w:rPr>
        <w:t xml:space="preserve"> מכנסת בית יצחק על נקודה מאוחרת יותר, ור׳ לייזר השיב, בעודו מחפש את תשובתו: “איי </w:t>
      </w:r>
      <w:proofErr w:type="spellStart"/>
      <w:r>
        <w:rPr>
          <w:rtl/>
        </w:rPr>
        <w:t>טערק</w:t>
      </w:r>
      <w:proofErr w:type="spellEnd"/>
      <w:r>
        <w:rPr>
          <w:rtl/>
        </w:rPr>
        <w:t xml:space="preserve"> [הו, טורקי]! אתה מפטפט כמו טורקי</w:t>
      </w:r>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w:t>
      </w:r>
    </w:p>
    <w:p w14:paraId="2A331617" w14:textId="1D91C82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לאחר ערבית והבדלה, בדרכם חזרה ברגל על הגשר, דנו הבחורים בשיעור מכל צדדיו. ישראל פיליפובער</w:t>
      </w:r>
      <w:bookmarkStart w:id="4738" w:name="b4_text134"/>
      <w:bookmarkEnd w:id="4738"/>
      <w:r>
        <w:rPr>
          <w:sz w:val="18"/>
          <w:szCs w:val="18"/>
          <w:vertAlign w:val="superscript"/>
          <w:rtl/>
        </w:rPr>
        <w:fldChar w:fldCharType="begin" w:dirty="true"/>
      </w:r>
      <w:r>
        <w:rPr>
          <w:sz w:val="18"/>
          <w:szCs w:val="18"/>
          <w:vertAlign w:val="superscript"/>
          <w:rtl/>
        </w:rPr>
        <w:instrText xml:space="preserve"> REF b4_note134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134</w:t>
      </w:r>
      <w:r>
        <w:rPr>
          <w:sz w:val="18"/>
          <w:szCs w:val="18"/>
          <w:vertAlign w:val="superscript"/>
          <w:rtl/>
        </w:rPr>
        <w:fldChar w:fldCharType="end"/>
      </w:r>
      <w:r>
        <w:rPr>
          <w:rtl/>
        </w:rPr>
        <w:t xml:space="preserve">, תלמיד כנסת בית יצחק, הציע: “הבה ננתח איזו שאלה הייתה חזקה יותר – של </w:t>
      </w:r>
      <w:proofErr w:type="spellStart"/>
      <w:r>
        <w:rPr>
          <w:rtl/>
        </w:rPr>
        <w:t>הסיסלוביצ׳ר</w:t>
      </w:r>
      <w:proofErr w:type="spellEnd"/>
      <w:r>
        <w:rPr>
          <w:rtl/>
        </w:rPr>
        <w:t xml:space="preserve"> או של </w:t>
      </w:r>
      <w:proofErr w:type="spellStart"/>
      <w:r>
        <w:rPr>
          <w:rtl/>
        </w:rPr>
        <w:t>פאריטשער</w:t>
      </w:r>
      <w:proofErr w:type="spellEnd"/>
      <w:r>
        <w:rPr>
          <w:rtl/>
        </w:rPr>
        <w:t xml:space="preserve"> – לפי תגובת ר׳ לייזר, ולא לפי </w:t>
      </w:r>
      <w:proofErr w:type="spellStart"/>
      <w:r>
        <w:rPr>
          <w:rtl/>
        </w:rPr>
        <w:t>היגיונן</w:t>
      </w:r>
      <w:proofErr w:type="spellEnd"/>
      <w:r>
        <w:rPr>
          <w:rtl/>
        </w:rPr>
        <w:t xml:space="preserve"> הפנימי. אנו יודעים שככל שהשאלה על שיעורו הייתה תקיפה יותר, כך הייתה תשובתו נוקבת יותר</w:t>
      </w:r>
      <w:bookmarkStart w:id="4739" w:name="b4_text135"/>
      <w:bookmarkEnd w:id="4739"/>
      <w:r>
        <w:rPr>
          <w:sz w:val="18"/>
          <w:szCs w:val="18"/>
          <w:vertAlign w:val="superscript"/>
          <w:rtl/>
        </w:rPr>
        <w:fldChar w:fldCharType="begin" w:dirty="true"/>
      </w:r>
      <w:r>
        <w:rPr>
          <w:sz w:val="18"/>
          <w:szCs w:val="18"/>
          <w:vertAlign w:val="superscript"/>
          <w:rtl/>
        </w:rPr>
        <w:instrText xml:space="preserve"> REF b4_note135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135</w:t>
      </w:r>
      <w:r>
        <w:rPr>
          <w:sz w:val="18"/>
          <w:szCs w:val="18"/>
          <w:vertAlign w:val="superscript"/>
          <w:rtl/>
        </w:rPr>
        <w:fldChar w:fldCharType="end"/>
      </w:r>
      <w:r>
        <w:rPr>
          <w:rtl/>
        </w:rPr>
        <w:t xml:space="preserve">. את מי, אם כן, ‘כיבד’ בכינוי המבזה יותר?” </w:t>
      </w:r>
      <w:proofErr w:type="spellStart"/>
      <w:r>
        <w:rPr>
          <w:rtl/>
        </w:rPr>
        <w:t>קאפל</w:t>
      </w:r>
      <w:proofErr w:type="spellEnd"/>
      <w:r>
        <w:rPr>
          <w:rtl/>
        </w:rPr>
        <w:t xml:space="preserve"> </w:t>
      </w:r>
      <w:proofErr w:type="spellStart"/>
      <w:r>
        <w:rPr>
          <w:rtl/>
        </w:rPr>
        <w:t>קעלמער</w:t>
      </w:r>
      <w:proofErr w:type="spellEnd"/>
      <w:r>
        <w:rPr>
          <w:rtl/>
        </w:rPr>
        <w:t xml:space="preserve">, חבר צעיר מכנסת בית יצחק, הכריע את השאלה </w:t>
      </w:r>
      <w:proofErr w:type="spellStart"/>
      <w:r>
        <w:rPr>
          <w:rtl/>
        </w:rPr>
        <w:t>חד־משמעית</w:t>
      </w:r>
      <w:proofErr w:type="spellEnd"/>
      <w:r>
        <w:rPr>
          <w:rtl/>
        </w:rPr>
        <w:t xml:space="preserve">: “טורקי מבזה יותר </w:t>
      </w:r>
      <w:proofErr w:type="spellStart"/>
      <w:r>
        <w:rPr>
          <w:rtl/>
        </w:rPr>
        <w:t>משייגעץ</w:t>
      </w:r>
      <w:proofErr w:type="spellEnd"/>
      <w:r>
        <w:rPr>
          <w:rtl/>
        </w:rPr>
        <w:t>, שכן טורקי הוא גם שייגעץ</w:t>
      </w:r>
      <w:bookmarkStart w:id="4740" w:name="b4_text136"/>
      <w:bookmarkEnd w:id="4740"/>
      <w:r>
        <w:rPr>
          <w:sz w:val="18"/>
          <w:szCs w:val="18"/>
          <w:vertAlign w:val="superscript"/>
          <w:rtl/>
        </w:rPr>
        <w:fldChar w:fldCharType="begin" w:dirty="true"/>
      </w:r>
      <w:r>
        <w:rPr>
          <w:sz w:val="18"/>
          <w:szCs w:val="18"/>
          <w:vertAlign w:val="superscript"/>
          <w:rtl/>
        </w:rPr>
        <w:instrText xml:space="preserve"> REF b4_note136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 xml:space="preserve">136 </w:t>
      </w:r>
      <w:r>
        <w:rPr>
          <w:sz w:val="18"/>
          <w:szCs w:val="18"/>
          <w:vertAlign w:val="superscript"/>
          <w:rtl/>
        </w:rPr>
        <w:fldChar w:fldCharType="end"/>
      </w:r>
      <w:r>
        <w:rPr>
          <w:rtl/>
        </w:rPr>
        <w:t xml:space="preserve">. ברור אם כן ששלמה </w:t>
      </w:r>
      <w:proofErr w:type="spellStart"/>
      <w:r>
        <w:rPr>
          <w:rtl/>
        </w:rPr>
        <w:t>פאריטשער</w:t>
      </w:r>
      <w:proofErr w:type="spellEnd"/>
      <w:r>
        <w:rPr>
          <w:rtl/>
        </w:rPr>
        <w:t xml:space="preserve"> שאל את השאלה הטובה יותר</w:t>
      </w:r>
      <w:bookmarkStart w:id="4741" w:name="b4_text137"/>
      <w:bookmarkEnd w:id="4741"/>
      <w:r>
        <w:rPr>
          <w:sz w:val="18"/>
          <w:szCs w:val="18"/>
          <w:vertAlign w:val="superscript"/>
          <w:rtl/>
        </w:rPr>
        <w:fldChar w:fldCharType="begin" w:dirty="true"/>
      </w:r>
      <w:r>
        <w:rPr>
          <w:sz w:val="18"/>
          <w:szCs w:val="18"/>
          <w:vertAlign w:val="superscript"/>
          <w:rtl/>
        </w:rPr>
        <w:instrText xml:space="preserve"> REF b4_note137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137</w:t>
      </w:r>
      <w:r>
        <w:rPr>
          <w:sz w:val="18"/>
          <w:szCs w:val="18"/>
          <w:vertAlign w:val="superscript"/>
          <w:rtl/>
        </w:rPr>
        <w:fldChar w:fldCharType="end"/>
      </w:r>
      <w:r>
        <w:rPr>
          <w:rtl/>
        </w:rPr>
        <w:t>”.</w:t>
      </w:r>
    </w:p>
    <w:bookmarkStart w:id="4742" w:name="b4_note134"/>
    <w:p w14:paraId="04E33CB6" w14:textId="77777777" w:rsidR="00AB3647" w:rsidRDefault="00000000" w:rsidP="007923E9">
      <w:pPr>
        <w:spacing w:before="120" w:after="100" w:line="276" w:lineRule="auto"/>
        <w:jc w:val="both"/>
      </w:pPr>
      <w:r>
        <w:fldChar w:fldCharType="begin" w:dirty="true"/>
      </w:r>
      <w:r>
        <w:instrText>HYPERLINK \l "b4_text134" \h</w:instrText>
      </w:r>
      <w:r>
        <w:fldChar w:fldCharType="separate"/>
      </w:r>
      <w:r>
        <w:rPr>
          <w:b/>
          <w:bCs/>
          <w:rtl/>
        </w:rPr>
        <w:t>134</w:t>
      </w:r>
      <w:r>
        <w:rPr>
          <w:b/>
          <w:bCs/>
        </w:rPr>
        <w:fldChar w:fldCharType="end"/>
      </w:r>
      <w:bookmarkEnd w:id="4742"/>
      <w:r>
        <w:rPr>
          <w:rtl/>
        </w:rPr>
        <w:t xml:space="preserve"> ר׳ ישראל </w:t>
      </w:r>
      <w:proofErr w:type="spellStart"/>
      <w:r>
        <w:rPr>
          <w:rtl/>
        </w:rPr>
        <w:t>פיליפובער</w:t>
      </w:r>
      <w:proofErr w:type="spellEnd"/>
      <w:r>
        <w:rPr>
          <w:rtl/>
        </w:rPr>
        <w:t xml:space="preserve"> – שם משפחתו היה גולדמן – כיהן לימים כרב </w:t>
      </w:r>
      <w:proofErr w:type="spellStart"/>
      <w:r>
        <w:rPr>
          <w:rtl/>
        </w:rPr>
        <w:t>בווילקס־באר</w:t>
      </w:r>
      <w:proofErr w:type="spellEnd"/>
      <w:r>
        <w:rPr>
          <w:rtl/>
        </w:rPr>
        <w:t xml:space="preserve">, פנסילבניה. לדברי ר׳ קופל </w:t>
      </w:r>
      <w:proofErr w:type="spellStart"/>
      <w:r>
        <w:rPr>
          <w:rtl/>
        </w:rPr>
        <w:t>וולפרט</w:t>
      </w:r>
      <w:bookmarkStart w:id="4743" w:name="_fnr3505"/>
      <w:proofErr w:type="spellEnd"/>
      <w:r>
        <w:rPr>
          <w:vertAlign w:val="superscript"/>
          <w:rtl/>
        </w:rPr>
        <w:footnoteReference w:id="3513" w:customMarkFollows="0"/>
      </w:r>
      <w:bookmarkEnd w:id="4743"/>
      <w:r>
        <w:rPr>
          <w:rtl/>
        </w:rPr>
        <w:t xml:space="preserve">, כשר׳ </w:t>
      </w:r>
      <w:proofErr w:type="spellStart"/>
      <w:r>
        <w:rPr>
          <w:rtl/>
        </w:rPr>
        <w:t>יעקב־יצחק</w:t>
      </w:r>
      <w:proofErr w:type="spellEnd"/>
      <w:r>
        <w:rPr>
          <w:rtl/>
        </w:rPr>
        <w:t xml:space="preserve"> </w:t>
      </w:r>
      <w:proofErr w:type="spellStart"/>
      <w:r>
        <w:rPr>
          <w:rtl/>
        </w:rPr>
        <w:t>רודרמן</w:t>
      </w:r>
      <w:proofErr w:type="spellEnd"/>
      <w:r>
        <w:rPr>
          <w:rtl/>
        </w:rPr>
        <w:t xml:space="preserve"> “דיבר בלימוד” עם </w:t>
      </w:r>
      <w:proofErr w:type="spellStart"/>
      <w:r>
        <w:rPr>
          <w:rtl/>
        </w:rPr>
        <w:t>פיליפובער</w:t>
      </w:r>
      <w:proofErr w:type="spellEnd"/>
      <w:r>
        <w:rPr>
          <w:rtl/>
        </w:rPr>
        <w:t xml:space="preserve"> בפעם הראשונה – הם נפגשו בארצות הברית – התרשם כל כך מגאונותו, שמכאן ואילך כינה אותו “</w:t>
      </w:r>
      <w:proofErr w:type="spellStart"/>
      <w:r>
        <w:rPr>
          <w:rtl/>
        </w:rPr>
        <w:t>קליינער</w:t>
      </w:r>
      <w:proofErr w:type="spellEnd"/>
      <w:r>
        <w:rPr>
          <w:rtl/>
        </w:rPr>
        <w:t xml:space="preserve"> רבי מאיר שמחה [ר׳ </w:t>
      </w:r>
      <w:proofErr w:type="spellStart"/>
      <w:r>
        <w:rPr>
          <w:rtl/>
        </w:rPr>
        <w:t>מאיר־שמחה</w:t>
      </w:r>
      <w:proofErr w:type="spellEnd"/>
      <w:r>
        <w:rPr>
          <w:rtl/>
        </w:rPr>
        <w:t xml:space="preserve"> הקטן (כהן, הגאון </w:t>
      </w:r>
      <w:proofErr w:type="spellStart"/>
      <w:r>
        <w:rPr>
          <w:rtl/>
        </w:rPr>
        <w:t>מדווינסק</w:t>
      </w:r>
      <w:proofErr w:type="spellEnd"/>
      <w:r>
        <w:rPr>
          <w:rtl/>
        </w:rPr>
        <w:t>)]”.</w:t>
      </w:r>
    </w:p>
    <w:p w14:paraId="1C9CC91E" w14:textId="77777777" w:rsidR="00AB3647" w:rsidRDefault="00000000" w:rsidP="007923E9">
      <w:pPr>
        <w:spacing w:before="120" w:after="100" w:line="276" w:lineRule="auto"/>
        <w:jc w:val="both"/>
      </w:pPr>
      <w:r>
        <w:rPr>
          <w:rtl/>
        </w:rPr>
        <w:lastRenderedPageBreak/>
        <w:t xml:space="preserve">תלמיד זה מוזכר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744" w:name="_fnr3506"/>
      <w:bookmarkStart w:id="4745" w:name="pr_f_3396"/>
      <w:r>
        <w:rPr>
          <w:vertAlign w:val="superscript"/>
          <w:rtl/>
        </w:rPr>
        <w:footnoteReference w:id="3514" w:customMarkFollows="0"/>
      </w:r>
      <w:bookmarkEnd w:id="4744"/>
      <w:bookmarkEnd w:id="4745"/>
      <w:r>
        <w:rPr>
          <w:rtl/>
        </w:rPr>
        <w:t xml:space="preserve">, בין שלושה “בחורים מצוינים” שחלקו אכסניה </w:t>
      </w:r>
      <w:proofErr w:type="spellStart"/>
      <w:r>
        <w:rPr>
          <w:rtl/>
        </w:rPr>
        <w:t>ב“מאפיית</w:t>
      </w:r>
      <w:proofErr w:type="spellEnd"/>
      <w:r>
        <w:rPr>
          <w:rtl/>
        </w:rPr>
        <w:t xml:space="preserve"> ריבה </w:t>
      </w:r>
      <w:proofErr w:type="spellStart"/>
      <w:r>
        <w:rPr>
          <w:rtl/>
        </w:rPr>
        <w:t>רייץ</w:t>
      </w:r>
      <w:proofErr w:type="spellEnd"/>
      <w:r>
        <w:rPr>
          <w:rtl/>
        </w:rPr>
        <w:t xml:space="preserve">, שאפתה עוגות טעימות ביותר וגם הכינה קקאו מעולה מתוצרת ואן </w:t>
      </w:r>
      <w:proofErr w:type="spellStart"/>
      <w:r>
        <w:rPr>
          <w:rtl/>
        </w:rPr>
        <w:t>הוטן</w:t>
      </w:r>
      <w:proofErr w:type="spellEnd"/>
      <w:r>
        <w:rPr>
          <w:rtl/>
        </w:rPr>
        <w:t xml:space="preserve">; אנשי הבונד היו נפגשים שם גם הם בחשאי, ובני משפחת ריבה היו הנואמים המרכזיים </w:t>
      </w:r>
      <w:proofErr w:type="spellStart"/>
      <w:r>
        <w:rPr>
          <w:rtl/>
        </w:rPr>
        <w:t>באספות</w:t>
      </w:r>
      <w:proofErr w:type="spellEnd"/>
      <w:r>
        <w:rPr>
          <w:rtl/>
        </w:rPr>
        <w:t xml:space="preserve"> הללו”. שני </w:t>
      </w:r>
      <w:proofErr w:type="spellStart"/>
      <w:r>
        <w:rPr>
          <w:rtl/>
        </w:rPr>
        <w:t>ה“בחורים</w:t>
      </w:r>
      <w:proofErr w:type="spellEnd"/>
      <w:r>
        <w:rPr>
          <w:rtl/>
        </w:rPr>
        <w:t xml:space="preserve"> המצוינים” האחרים היו שמעון </w:t>
      </w:r>
      <w:proofErr w:type="spellStart"/>
      <w:r>
        <w:rPr>
          <w:rtl/>
        </w:rPr>
        <w:t>הקריצ׳בר</w:t>
      </w:r>
      <w:proofErr w:type="spellEnd"/>
      <w:r>
        <w:rPr>
          <w:rtl/>
        </w:rPr>
        <w:t xml:space="preserve"> ושאול </w:t>
      </w:r>
      <w:proofErr w:type="spellStart"/>
      <w:r>
        <w:rPr>
          <w:rtl/>
        </w:rPr>
        <w:t>רצקר</w:t>
      </w:r>
      <w:proofErr w:type="spellEnd"/>
      <w:r>
        <w:rPr>
          <w:rtl/>
        </w:rPr>
        <w:t>.</w:t>
      </w:r>
    </w:p>
    <w:bookmarkStart w:id="4746" w:name="b4_note135"/>
    <w:p w14:paraId="45DC43D0" w14:textId="77777777" w:rsidR="00AB3647" w:rsidRDefault="00000000" w:rsidP="007923E9">
      <w:pPr>
        <w:spacing w:before="120" w:after="100" w:line="276" w:lineRule="auto"/>
        <w:jc w:val="both"/>
      </w:pPr>
      <w:r>
        <w:fldChar w:fldCharType="begin" w:dirty="true"/>
      </w:r>
      <w:r>
        <w:instrText>HYPERLINK \l "b4_text135" \h</w:instrText>
      </w:r>
      <w:r>
        <w:fldChar w:fldCharType="separate"/>
      </w:r>
      <w:r>
        <w:rPr>
          <w:b/>
          <w:bCs/>
          <w:rtl/>
        </w:rPr>
        <w:t>135</w:t>
      </w:r>
      <w:r>
        <w:rPr>
          <w:b/>
          <w:bCs/>
        </w:rPr>
        <w:fldChar w:fldCharType="end"/>
      </w:r>
      <w:bookmarkEnd w:id="4746"/>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4747" w:name="_fnr3507"/>
      <w:r>
        <w:rPr>
          <w:vertAlign w:val="superscript"/>
          <w:rtl/>
        </w:rPr>
        <w:footnoteReference w:id="3515" w:customMarkFollows="0"/>
      </w:r>
      <w:bookmarkEnd w:id="4747"/>
      <w:r>
        <w:rPr>
          <w:rtl/>
        </w:rPr>
        <w:t>.</w:t>
      </w:r>
    </w:p>
    <w:bookmarkStart w:id="4748" w:name="b4_note136"/>
    <w:p w14:paraId="2E225A15" w14:textId="7CB745BE" w:rsidR="00AB3647" w:rsidRDefault="00000000" w:rsidP="007923E9">
      <w:pPr>
        <w:spacing w:before="120" w:after="100" w:line="276" w:lineRule="auto"/>
        <w:jc w:val="both"/>
      </w:pPr>
      <w:r>
        <w:fldChar w:fldCharType="begin" w:dirty="true"/>
      </w:r>
      <w:r>
        <w:instrText>HYPERLINK \l "b4_text136"</w:instrText>
      </w:r>
      <w:r>
        <w:fldChar w:fldCharType="separate"/>
      </w:r>
      <w:r>
        <w:rPr>
          <w:b/>
          <w:bCs/>
          <w:rtl/>
        </w:rPr>
        <w:t xml:space="preserve">136 </w:t>
      </w:r>
      <w:r>
        <w:rPr>
          <w:b/>
          <w:bCs/>
        </w:rPr>
        <w:fldChar w:fldCharType="end"/>
      </w:r>
      <w:bookmarkEnd w:id="4748"/>
      <w:r>
        <w:rPr>
          <w:rtl/>
        </w:rPr>
        <w:t xml:space="preserve">השווה הערה </w:t>
      </w:r>
      <w:hyperlink w:anchor="b4_text136">
        <w:r w:rsidR="007923E9" w:rsidRPr="007923E9">
          <w:rPr>
            <w:rStyle w:val="Hyperlink"/>
          </w:rPr>
          <w:t xml:space="preserve"/>
        </w:r>
      </w:hyperlink>
      <w:r>
        <w:rPr>
          <w:sz w:val="18"/>
          <w:szCs w:val="18"/>
          <w:vertAlign w:val="superscript"/>
          <w:rtl/>
        </w:rPr>
        <w:fldChar w:fldCharType="begin" w:dirty="true"/>
      </w:r>
      <w:r>
        <w:rPr>
          <w:sz w:val="18"/>
          <w:szCs w:val="18"/>
          <w:vertAlign w:val="superscript"/>
          <w:rtl/>
        </w:rPr>
        <w:instrText xml:space="preserve"> REF b4_note130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130</w:t>
      </w:r>
      <w:r>
        <w:rPr>
          <w:sz w:val="18"/>
          <w:szCs w:val="18"/>
          <w:vertAlign w:val="superscript"/>
          <w:rtl/>
        </w:rPr>
        <w:fldChar w:fldCharType="end"/>
      </w:r>
      <w:r>
        <w:rPr>
          <w:rtl/>
        </w:rPr>
        <w:t xml:space="preserve"> לעיל. השימוש של </w:t>
      </w:r>
      <w:proofErr w:type="spellStart"/>
      <w:r>
        <w:rPr>
          <w:rtl/>
        </w:rPr>
        <w:t>קעלמער</w:t>
      </w:r>
      <w:proofErr w:type="spellEnd"/>
      <w:r>
        <w:rPr>
          <w:rtl/>
        </w:rPr>
        <w:t xml:space="preserve"> במילה “</w:t>
      </w:r>
      <w:proofErr w:type="spellStart"/>
      <w:r>
        <w:rPr>
          <w:rtl/>
        </w:rPr>
        <w:t>שייגעץ</w:t>
      </w:r>
      <w:proofErr w:type="spellEnd"/>
      <w:r>
        <w:rPr>
          <w:rtl/>
        </w:rPr>
        <w:t>” חוזר למשמעותה הבסיסית של המילה: גוי (צעיר).</w:t>
      </w:r>
    </w:p>
    <w:bookmarkStart w:id="4749" w:name="b4_note137"/>
    <w:p w14:paraId="76E69119" w14:textId="1DFB8D3A" w:rsidR="00AB3647" w:rsidRDefault="00000000" w:rsidP="007923E9">
      <w:pPr>
        <w:spacing w:before="120" w:after="100" w:line="276" w:lineRule="auto"/>
        <w:jc w:val="both"/>
      </w:pPr>
      <w:r>
        <w:fldChar w:fldCharType="begin" w:dirty="true"/>
      </w:r>
      <w:r>
        <w:instrText>HYPERLINK \l "b4_text137" \h</w:instrText>
      </w:r>
      <w:r>
        <w:fldChar w:fldCharType="separate"/>
      </w:r>
      <w:r>
        <w:rPr>
          <w:b/>
          <w:bCs/>
          <w:rtl/>
        </w:rPr>
        <w:t>137</w:t>
      </w:r>
      <w:r>
        <w:rPr>
          <w:b/>
          <w:bCs/>
        </w:rPr>
        <w:fldChar w:fldCharType="end"/>
      </w:r>
      <w:bookmarkEnd w:id="4749"/>
      <w:r>
        <w:rPr>
          <w:rtl/>
        </w:rPr>
        <w:t xml:space="preserve"> ראה </w:t>
      </w:r>
      <w:r>
        <w:rPr>
          <w:rtl/>
        </w:rPr>
        <w:fldChar w:fldCharType="begin" w:dirty="true"/>
      </w:r>
      <w:r>
        <w:rPr>
          <w:rtl/>
        </w:rPr>
        <w:instrText xml:space="preserve"> REF b4_excP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טז</w:t>
      </w:r>
      <w:proofErr w:type="spellEnd"/>
      <w:r>
        <w:rPr>
          <w:rtl/>
        </w:rPr>
        <w:fldChar w:fldCharType="end"/>
      </w:r>
      <w:r>
        <w:rPr>
          <w:rtl/>
        </w:rPr>
        <w:t>.</w:t>
      </w:r>
    </w:p>
    <w:p w14:paraId="06595223" w14:textId="13AA51E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המבקר האחר באותו חורף היה ר׳ </w:t>
      </w:r>
      <w:proofErr w:type="spellStart"/>
      <w:r>
        <w:rPr>
          <w:rtl/>
        </w:rPr>
        <w:t>דוד׳ל</w:t>
      </w:r>
      <w:proofErr w:type="spellEnd"/>
      <w:r>
        <w:rPr>
          <w:rtl/>
        </w:rPr>
        <w:t xml:space="preserve"> </w:t>
      </w:r>
      <w:proofErr w:type="spellStart"/>
      <w:r>
        <w:rPr>
          <w:rtl/>
        </w:rPr>
        <w:t>קארלינער</w:t>
      </w:r>
      <w:proofErr w:type="spellEnd"/>
      <w:r>
        <w:rPr>
          <w:rtl/>
        </w:rPr>
        <w:t xml:space="preserve"> (פרידמן)</w:t>
      </w:r>
      <w:bookmarkStart w:id="4750" w:name="b4_text138"/>
      <w:bookmarkEnd w:id="4750"/>
      <w:r>
        <w:rPr>
          <w:sz w:val="18"/>
          <w:szCs w:val="18"/>
          <w:vertAlign w:val="superscript"/>
          <w:rtl/>
        </w:rPr>
        <w:fldChar w:fldCharType="begin" w:dirty="true"/>
      </w:r>
      <w:r>
        <w:rPr>
          <w:sz w:val="18"/>
          <w:szCs w:val="18"/>
          <w:vertAlign w:val="superscript"/>
          <w:rtl/>
        </w:rPr>
        <w:instrText xml:space="preserve"> REF b4_note138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138</w:t>
      </w:r>
      <w:r>
        <w:rPr>
          <w:sz w:val="18"/>
          <w:szCs w:val="18"/>
          <w:vertAlign w:val="superscript"/>
          <w:rtl/>
        </w:rPr>
        <w:fldChar w:fldCharType="end"/>
      </w:r>
      <w:r>
        <w:rPr>
          <w:rtl/>
        </w:rPr>
        <w:t>, שבא לקובנה</w:t>
      </w:r>
      <w:bookmarkStart w:id="4751" w:name="b4_text139"/>
      <w:bookmarkEnd w:id="4751"/>
      <w:r>
        <w:rPr>
          <w:sz w:val="18"/>
          <w:szCs w:val="18"/>
          <w:vertAlign w:val="superscript"/>
          <w:rtl/>
        </w:rPr>
        <w:fldChar w:fldCharType="begin" w:dirty="true"/>
      </w:r>
      <w:r>
        <w:rPr>
          <w:sz w:val="18"/>
          <w:szCs w:val="18"/>
          <w:vertAlign w:val="superscript"/>
          <w:rtl/>
        </w:rPr>
        <w:instrText xml:space="preserve"> REF b4_note139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139</w:t>
      </w:r>
      <w:r>
        <w:rPr>
          <w:sz w:val="18"/>
          <w:szCs w:val="18"/>
          <w:vertAlign w:val="superscript"/>
          <w:rtl/>
        </w:rPr>
        <w:fldChar w:fldCharType="end"/>
      </w:r>
      <w:r>
        <w:rPr>
          <w:rtl/>
        </w:rPr>
        <w:t xml:space="preserve"> לשבת. שתי ישיבות </w:t>
      </w:r>
      <w:proofErr w:type="spellStart"/>
      <w:r>
        <w:rPr>
          <w:rtl/>
        </w:rPr>
        <w:t>סלבודקה</w:t>
      </w:r>
      <w:proofErr w:type="spellEnd"/>
      <w:r>
        <w:rPr>
          <w:rtl/>
        </w:rPr>
        <w:t xml:space="preserve"> רעשו מן הידיעה שנזדמן להן לראות אחד מגדולי הגאונים של הדור. בעלי בתים חשובים, ידידי מארחו של ר׳ </w:t>
      </w:r>
      <w:proofErr w:type="spellStart"/>
      <w:r>
        <w:rPr>
          <w:rtl/>
        </w:rPr>
        <w:t>דוד׳ל</w:t>
      </w:r>
      <w:proofErr w:type="spellEnd"/>
      <w:r>
        <w:rPr>
          <w:rtl/>
        </w:rPr>
        <w:t xml:space="preserve">, הוזמנו במיוחד לדירה שבקומה העליונה, שבה התאכסן </w:t>
      </w:r>
      <w:proofErr w:type="spellStart"/>
      <w:r>
        <w:rPr>
          <w:rtl/>
        </w:rPr>
        <w:t>הקארלינער</w:t>
      </w:r>
      <w:proofErr w:type="spellEnd"/>
      <w:r>
        <w:rPr>
          <w:rtl/>
        </w:rPr>
        <w:t xml:space="preserve">. כשהגיעו תלמידי הישיבה, ובהם </w:t>
      </w:r>
      <w:proofErr w:type="spellStart"/>
      <w:r>
        <w:rPr>
          <w:rtl/>
        </w:rPr>
        <w:t>הדולהינובר</w:t>
      </w:r>
      <w:proofErr w:type="spellEnd"/>
      <w:r>
        <w:rPr>
          <w:rtl/>
        </w:rPr>
        <w:t>, היו המדרגות החיצוניות שעלו לדירה עמוסות אנשים שהמתינו להציץ בחכם הזקן.</w:t>
      </w:r>
    </w:p>
    <w:bookmarkStart w:id="4752" w:name="b4_note138"/>
    <w:p w14:paraId="2BB0CB7A" w14:textId="77777777" w:rsidR="00AB3647" w:rsidRDefault="00000000" w:rsidP="007923E9">
      <w:pPr>
        <w:spacing w:before="120" w:after="100" w:line="276" w:lineRule="auto"/>
        <w:jc w:val="both"/>
      </w:pPr>
      <w:r>
        <w:fldChar w:fldCharType="begin" w:dirty="true"/>
      </w:r>
      <w:r>
        <w:instrText>HYPERLINK \l "b4_text138" \h</w:instrText>
      </w:r>
      <w:r>
        <w:fldChar w:fldCharType="separate"/>
      </w:r>
      <w:r>
        <w:rPr>
          <w:b/>
          <w:bCs/>
          <w:rtl/>
        </w:rPr>
        <w:t>138</w:t>
      </w:r>
      <w:r>
        <w:rPr>
          <w:b/>
          <w:bCs/>
        </w:rPr>
        <w:fldChar w:fldCharType="end"/>
      </w:r>
      <w:bookmarkEnd w:id="4752"/>
      <w:r>
        <w:rPr>
          <w:rtl/>
        </w:rPr>
        <w:t xml:space="preserve"> נולד </w:t>
      </w:r>
      <w:proofErr w:type="spellStart"/>
      <w:r>
        <w:rPr>
          <w:rtl/>
        </w:rPr>
        <w:t>בתקפ״ח</w:t>
      </w:r>
      <w:proofErr w:type="spellEnd"/>
      <w:r>
        <w:rPr>
          <w:rtl/>
        </w:rPr>
        <w:t xml:space="preserve">, נפטר </w:t>
      </w:r>
      <w:proofErr w:type="spellStart"/>
      <w:r>
        <w:rPr>
          <w:rtl/>
        </w:rPr>
        <w:t>בתרע״ה</w:t>
      </w:r>
      <w:proofErr w:type="spellEnd"/>
      <w:r>
        <w:rPr>
          <w:rtl/>
        </w:rPr>
        <w:t xml:space="preserve">. כיהן כרב </w:t>
      </w:r>
      <w:proofErr w:type="spellStart"/>
      <w:r>
        <w:rPr>
          <w:rtl/>
        </w:rPr>
        <w:t>קרלין</w:t>
      </w:r>
      <w:proofErr w:type="spellEnd"/>
      <w:r>
        <w:rPr>
          <w:rtl/>
        </w:rPr>
        <w:t xml:space="preserve"> </w:t>
      </w:r>
      <w:proofErr w:type="spellStart"/>
      <w:r>
        <w:rPr>
          <w:rtl/>
        </w:rPr>
        <w:t>מתרכ״ו</w:t>
      </w:r>
      <w:proofErr w:type="spellEnd"/>
      <w:r>
        <w:rPr>
          <w:rtl/>
        </w:rPr>
        <w:t xml:space="preserve"> ואילך.</w:t>
      </w:r>
    </w:p>
    <w:bookmarkStart w:id="4753" w:name="b4_note139"/>
    <w:p w14:paraId="387ADB17" w14:textId="77777777" w:rsidR="00AB3647" w:rsidRDefault="00000000" w:rsidP="007923E9">
      <w:pPr>
        <w:spacing w:before="120" w:after="100" w:line="276" w:lineRule="auto"/>
        <w:jc w:val="both"/>
      </w:pPr>
      <w:r>
        <w:fldChar w:fldCharType="begin" w:dirty="true"/>
      </w:r>
      <w:r>
        <w:instrText>HYPERLINK \l "b4_text139" \h</w:instrText>
      </w:r>
      <w:r>
        <w:fldChar w:fldCharType="separate"/>
      </w:r>
      <w:r>
        <w:rPr>
          <w:b/>
          <w:bCs/>
          <w:rtl/>
        </w:rPr>
        <w:t>139</w:t>
      </w:r>
      <w:r>
        <w:rPr>
          <w:b/>
          <w:bCs/>
        </w:rPr>
        <w:fldChar w:fldCharType="end"/>
      </w:r>
      <w:bookmarkEnd w:id="4753"/>
      <w:r>
        <w:rPr>
          <w:rtl/>
        </w:rPr>
        <w:t xml:space="preserve"> המרואיין שמסר את כל פרטי הביקור, ר׳ קופל </w:t>
      </w:r>
      <w:proofErr w:type="spellStart"/>
      <w:r>
        <w:rPr>
          <w:rtl/>
        </w:rPr>
        <w:t>וולפרט</w:t>
      </w:r>
      <w:bookmarkStart w:id="4754" w:name="_fnr3508"/>
      <w:proofErr w:type="spellEnd"/>
      <w:r>
        <w:rPr>
          <w:vertAlign w:val="superscript"/>
          <w:rtl/>
        </w:rPr>
        <w:footnoteReference w:id="3516" w:customMarkFollows="0"/>
      </w:r>
      <w:bookmarkEnd w:id="4754"/>
      <w:r>
        <w:rPr>
          <w:rtl/>
        </w:rPr>
        <w:t xml:space="preserve">, אמר שר׳ </w:t>
      </w:r>
      <w:proofErr w:type="spellStart"/>
      <w:r>
        <w:rPr>
          <w:rtl/>
        </w:rPr>
        <w:t>דוד׳ל</w:t>
      </w:r>
      <w:proofErr w:type="spellEnd"/>
      <w:r>
        <w:rPr>
          <w:rtl/>
        </w:rPr>
        <w:t xml:space="preserve"> ביקר את “בנו ד״ר ישראל אלישיב, רופא שכתב בשם העט ‘בעל מחשבות’”. אבל אלישיב לא היה בנו של ר׳ </w:t>
      </w:r>
      <w:proofErr w:type="spellStart"/>
      <w:r>
        <w:rPr>
          <w:rtl/>
        </w:rPr>
        <w:t>דוד׳ל</w:t>
      </w:r>
      <w:proofErr w:type="spellEnd"/>
      <w:r>
        <w:rPr>
          <w:rtl/>
        </w:rPr>
        <w:t xml:space="preserve">. במאמרו </w:t>
      </w:r>
      <w:proofErr w:type="spellStart"/>
      <w:r>
        <w:rPr>
          <w:rtl/>
        </w:rPr>
        <w:t>ב“העבר</w:t>
      </w:r>
      <w:proofErr w:type="spellEnd"/>
      <w:r>
        <w:rPr>
          <w:rtl/>
        </w:rPr>
        <w:t>”</w:t>
      </w:r>
      <w:bookmarkStart w:id="4755" w:name="_fnr3509"/>
      <w:r>
        <w:rPr>
          <w:vertAlign w:val="superscript"/>
          <w:rtl/>
        </w:rPr>
        <w:footnoteReference w:id="3517" w:customMarkFollows="0"/>
      </w:r>
      <w:bookmarkEnd w:id="4755"/>
      <w:r>
        <w:rPr>
          <w:rtl/>
        </w:rPr>
        <w:t xml:space="preserve"> מתאר אלישיב את אביו כסוחר בקובנה. על פי מונוגרפיה בעברית </w:t>
      </w:r>
      <w:proofErr w:type="spellStart"/>
      <w:r>
        <w:rPr>
          <w:rtl/>
        </w:rPr>
        <w:t>ב“יהדות</w:t>
      </w:r>
      <w:proofErr w:type="spellEnd"/>
      <w:r>
        <w:rPr>
          <w:rtl/>
        </w:rPr>
        <w:t xml:space="preserve"> ליטא”</w:t>
      </w:r>
      <w:bookmarkStart w:id="4756" w:name="_fnr3510"/>
      <w:r>
        <w:rPr>
          <w:vertAlign w:val="superscript"/>
          <w:rtl/>
        </w:rPr>
        <w:footnoteReference w:id="3518" w:customMarkFollows="0"/>
      </w:r>
      <w:bookmarkEnd w:id="4756"/>
      <w:r>
        <w:rPr>
          <w:rtl/>
        </w:rPr>
        <w:t xml:space="preserve">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4757" w:name="_fnr3511"/>
      <w:r>
        <w:rPr>
          <w:vertAlign w:val="superscript"/>
          <w:rtl/>
        </w:rPr>
        <w:footnoteReference w:id="3519" w:customMarkFollows="0"/>
      </w:r>
      <w:bookmarkEnd w:id="4757"/>
      <w:r>
        <w:rPr>
          <w:rtl/>
        </w:rPr>
        <w:t xml:space="preserve">, אביו של ישראל אלישיב היה ר׳ </w:t>
      </w:r>
      <w:proofErr w:type="spellStart"/>
      <w:r>
        <w:rPr>
          <w:rtl/>
        </w:rPr>
        <w:t>שלמה־זלקינד</w:t>
      </w:r>
      <w:proofErr w:type="spellEnd"/>
      <w:r>
        <w:rPr>
          <w:rtl/>
        </w:rPr>
        <w:t>, הוא “</w:t>
      </w:r>
      <w:proofErr w:type="spellStart"/>
      <w:r>
        <w:rPr>
          <w:rtl/>
        </w:rPr>
        <w:t>זלקינד</w:t>
      </w:r>
      <w:proofErr w:type="spellEnd"/>
      <w:r>
        <w:rPr>
          <w:rtl/>
        </w:rPr>
        <w:t xml:space="preserve"> </w:t>
      </w:r>
      <w:proofErr w:type="spellStart"/>
      <w:r>
        <w:rPr>
          <w:rtl/>
        </w:rPr>
        <w:t>אלישב</w:t>
      </w:r>
      <w:proofErr w:type="spellEnd"/>
      <w:r>
        <w:rPr>
          <w:rtl/>
        </w:rPr>
        <w:t xml:space="preserve"> (כך במקור), אחד מבעלי הבתים האמידים בקובנה”, שפרסם </w:t>
      </w:r>
      <w:proofErr w:type="spellStart"/>
      <w:r>
        <w:rPr>
          <w:rtl/>
        </w:rPr>
        <w:t>בתרנ״ז</w:t>
      </w:r>
      <w:proofErr w:type="spellEnd"/>
      <w:r>
        <w:rPr>
          <w:rtl/>
        </w:rPr>
        <w:t xml:space="preserve"> מודעה נגד התקפתו של ר׳ </w:t>
      </w:r>
      <w:proofErr w:type="spellStart"/>
      <w:r>
        <w:rPr>
          <w:rtl/>
        </w:rPr>
        <w:t>אברהם־אהרן</w:t>
      </w:r>
      <w:proofErr w:type="spellEnd"/>
      <w:r>
        <w:rPr>
          <w:rtl/>
        </w:rPr>
        <w:t xml:space="preserve"> </w:t>
      </w:r>
      <w:proofErr w:type="spellStart"/>
      <w:r>
        <w:rPr>
          <w:rtl/>
        </w:rPr>
        <w:t>בורשטין</w:t>
      </w:r>
      <w:bookmarkStart w:id="4758" w:name="_fnr3512"/>
      <w:proofErr w:type="spellEnd"/>
      <w:r>
        <w:rPr>
          <w:vertAlign w:val="superscript"/>
          <w:rtl/>
        </w:rPr>
        <w:footnoteReference w:id="3520" w:customMarkFollows="0"/>
      </w:r>
      <w:bookmarkEnd w:id="4758"/>
      <w:r>
        <w:rPr>
          <w:rtl/>
        </w:rPr>
        <w:t xml:space="preserve"> על בעלי המוסר</w:t>
      </w:r>
      <w:bookmarkStart w:id="4759" w:name="_fnr3513"/>
      <w:r>
        <w:rPr>
          <w:vertAlign w:val="superscript"/>
          <w:rtl/>
        </w:rPr>
        <w:footnoteReference w:id="3521" w:customMarkFollows="0"/>
      </w:r>
      <w:bookmarkEnd w:id="4759"/>
      <w:r>
        <w:rPr>
          <w:rtl/>
        </w:rPr>
        <w:t xml:space="preserve">. </w:t>
      </w:r>
      <w:proofErr w:type="spellStart"/>
      <w:r>
        <w:rPr>
          <w:rtl/>
        </w:rPr>
        <w:t>אמו</w:t>
      </w:r>
      <w:proofErr w:type="spellEnd"/>
      <w:r>
        <w:rPr>
          <w:rtl/>
        </w:rPr>
        <w:t xml:space="preserve"> של הסופר הייתה אחייניתו של ר׳ יעקב </w:t>
      </w:r>
      <w:proofErr w:type="spellStart"/>
      <w:r>
        <w:rPr>
          <w:rtl/>
        </w:rPr>
        <w:t>קרפס</w:t>
      </w:r>
      <w:proofErr w:type="spellEnd"/>
      <w:r>
        <w:rPr>
          <w:rtl/>
        </w:rPr>
        <w:t xml:space="preserve">, בן חסותו של ר׳ ישראל </w:t>
      </w:r>
      <w:proofErr w:type="spellStart"/>
      <w:r>
        <w:rPr>
          <w:rtl/>
        </w:rPr>
        <w:t>סלנטר</w:t>
      </w:r>
      <w:bookmarkStart w:id="4760" w:name="_fnr3514"/>
      <w:proofErr w:type="spellEnd"/>
      <w:r>
        <w:rPr>
          <w:vertAlign w:val="superscript"/>
          <w:rtl/>
        </w:rPr>
        <w:footnoteReference w:id="3522" w:customMarkFollows="0"/>
      </w:r>
      <w:bookmarkEnd w:id="4760"/>
      <w:r>
        <w:rPr>
          <w:rtl/>
        </w:rPr>
        <w:t>.</w:t>
      </w:r>
    </w:p>
    <w:p w14:paraId="5C33DE0A" w14:textId="77777777" w:rsidR="00AB3647" w:rsidRDefault="00000000" w:rsidP="007923E9">
      <w:pPr>
        <w:spacing w:before="120" w:after="100" w:line="276" w:lineRule="auto"/>
        <w:jc w:val="both"/>
      </w:pPr>
      <w:r>
        <w:rPr>
          <w:rtl/>
        </w:rPr>
        <w:t xml:space="preserve">בגיל עשר, </w:t>
      </w:r>
      <w:proofErr w:type="spellStart"/>
      <w:r>
        <w:rPr>
          <w:rtl/>
        </w:rPr>
        <w:t>בתרמ״ד</w:t>
      </w:r>
      <w:proofErr w:type="spellEnd"/>
      <w:r>
        <w:rPr>
          <w:rtl/>
        </w:rPr>
        <w:t xml:space="preserve">, נשלח ישראל אלישיב ללמוד </w:t>
      </w:r>
      <w:proofErr w:type="spellStart"/>
      <w:r>
        <w:rPr>
          <w:rtl/>
        </w:rPr>
        <w:t>בגרובין</w:t>
      </w:r>
      <w:proofErr w:type="spellEnd"/>
      <w:r>
        <w:rPr>
          <w:rtl/>
        </w:rPr>
        <w:t xml:space="preserve"> אצל ר׳ </w:t>
      </w:r>
      <w:proofErr w:type="spellStart"/>
      <w:r>
        <w:rPr>
          <w:rtl/>
        </w:rPr>
        <w:t>שמחה־זיסל</w:t>
      </w:r>
      <w:proofErr w:type="spellEnd"/>
      <w:r>
        <w:rPr>
          <w:rtl/>
        </w:rPr>
        <w:t xml:space="preserve"> זיו, אך החזיק שם מעמד שנתיים בלבד, ונותרו לו מן החוויה זיכרונות מרים, כפי שכתב במאמרו </w:t>
      </w:r>
      <w:proofErr w:type="spellStart"/>
      <w:r>
        <w:rPr>
          <w:rtl/>
        </w:rPr>
        <w:lastRenderedPageBreak/>
        <w:t>ב“העבר</w:t>
      </w:r>
      <w:proofErr w:type="spellEnd"/>
      <w:r>
        <w:rPr>
          <w:rtl/>
        </w:rPr>
        <w:t>”</w:t>
      </w:r>
      <w:bookmarkStart w:id="4761" w:name="_fnr3515"/>
      <w:r>
        <w:rPr>
          <w:vertAlign w:val="superscript"/>
          <w:rtl/>
        </w:rPr>
        <w:footnoteReference w:id="3523" w:customMarkFollows="0"/>
      </w:r>
      <w:bookmarkEnd w:id="4761"/>
      <w:r>
        <w:rPr>
          <w:rtl/>
        </w:rPr>
        <w:t xml:space="preserve">. </w:t>
      </w:r>
      <w:proofErr w:type="spellStart"/>
      <w:r>
        <w:rPr>
          <w:rtl/>
        </w:rPr>
        <w:t>צינוביץ</w:t>
      </w:r>
      <w:proofErr w:type="spellEnd"/>
      <w:r>
        <w:rPr>
          <w:rtl/>
        </w:rPr>
        <w:t>, “אישים וקהילות”</w:t>
      </w:r>
      <w:bookmarkStart w:id="4762" w:name="_fnr3516"/>
      <w:r>
        <w:rPr>
          <w:vertAlign w:val="superscript"/>
          <w:rtl/>
        </w:rPr>
        <w:footnoteReference w:id="3524" w:customMarkFollows="0"/>
      </w:r>
      <w:bookmarkEnd w:id="4762"/>
      <w:r>
        <w:rPr>
          <w:rtl/>
        </w:rPr>
        <w:t xml:space="preserve">, מוסיף מידע: אחת מכלותיו של ר׳ </w:t>
      </w:r>
      <w:proofErr w:type="spellStart"/>
      <w:r>
        <w:rPr>
          <w:rtl/>
        </w:rPr>
        <w:t>דוד׳ל</w:t>
      </w:r>
      <w:proofErr w:type="spellEnd"/>
      <w:r>
        <w:rPr>
          <w:rtl/>
        </w:rPr>
        <w:t xml:space="preserve"> הייתה בת משפחת אלישיב, אחות הסופר. לפי הסקירה הביוגרפית </w:t>
      </w:r>
      <w:proofErr w:type="spellStart"/>
      <w:r>
        <w:rPr>
          <w:rtl/>
        </w:rPr>
        <w:t>ב“יהדות</w:t>
      </w:r>
      <w:proofErr w:type="spellEnd"/>
      <w:r>
        <w:rPr>
          <w:rtl/>
        </w:rPr>
        <w:t xml:space="preserve"> ליטא”, שב הרופא, בן שלושים וארבע, לקובנה מולדתו ב־1907, לאחר שהות ממושכת במערב אירופה. מכאן מסגרת זמן המתאימה לביקורו של ר׳ </w:t>
      </w:r>
      <w:proofErr w:type="spellStart"/>
      <w:r>
        <w:rPr>
          <w:rtl/>
        </w:rPr>
        <w:t>דוד׳ל</w:t>
      </w:r>
      <w:proofErr w:type="spellEnd"/>
      <w:r>
        <w:rPr>
          <w:rtl/>
        </w:rPr>
        <w:t xml:space="preserve"> פרידמן בקובנה, ואולי גם הסבר למטרתו: רצונו לשמוע מאחי כלתו עדות מכלי ראשון על המצב במערב אירופה</w:t>
      </w:r>
      <w:bookmarkStart w:id="4763" w:name="_fnr3517"/>
      <w:r>
        <w:rPr>
          <w:vertAlign w:val="superscript"/>
          <w:rtl/>
        </w:rPr>
        <w:footnoteReference w:id="3525" w:customMarkFollows="0"/>
      </w:r>
      <w:bookmarkEnd w:id="4763"/>
      <w:r>
        <w:rPr>
          <w:rtl/>
        </w:rPr>
        <w:t>.</w:t>
      </w:r>
    </w:p>
    <w:p w14:paraId="4CDA19EC" w14:textId="2FFB7503"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החצר שלפני הבית הייתה מלאה אנשים כשבא גם ר׳ </w:t>
      </w:r>
      <w:proofErr w:type="spellStart"/>
      <w:r>
        <w:rPr>
          <w:rtl/>
        </w:rPr>
        <w:t>ברוך־בער</w:t>
      </w:r>
      <w:proofErr w:type="spellEnd"/>
      <w:r>
        <w:rPr>
          <w:rtl/>
        </w:rPr>
        <w:t xml:space="preserve"> לראות את ר׳ דוד׳ל</w:t>
      </w:r>
      <w:bookmarkStart w:id="4764" w:name="b4_text140"/>
      <w:bookmarkEnd w:id="4764"/>
      <w:r>
        <w:rPr>
          <w:sz w:val="18"/>
          <w:szCs w:val="18"/>
          <w:vertAlign w:val="superscript"/>
          <w:rtl/>
        </w:rPr>
        <w:fldChar w:fldCharType="begin" w:dirty="true"/>
      </w:r>
      <w:r>
        <w:rPr>
          <w:sz w:val="18"/>
          <w:szCs w:val="18"/>
          <w:vertAlign w:val="superscript"/>
          <w:rtl/>
        </w:rPr>
        <w:instrText xml:space="preserve"> REF b4_note140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140</w:t>
      </w:r>
      <w:r>
        <w:rPr>
          <w:sz w:val="18"/>
          <w:szCs w:val="18"/>
          <w:vertAlign w:val="superscript"/>
          <w:rtl/>
        </w:rPr>
        <w:fldChar w:fldCharType="end"/>
      </w:r>
      <w:r>
        <w:rPr>
          <w:rtl/>
        </w:rPr>
        <w:t>, והוא לא יכול היה להיכנס היישר לבית. בתנועת יד דחה את הצעת הקהל לפנות לו דרך, ונשאר עומד בחצר. אבל הידיעה מי ממתין בחוץ עברה מפה לפה, במעלה המדרגות ודרך הבית, עד שהגיעה לאוזני האורח. אז הובאה דמותו הזעירה של ר׳ דוד׳ל</w:t>
      </w:r>
      <w:bookmarkStart w:id="4765" w:name="b4_text141"/>
      <w:bookmarkEnd w:id="4765"/>
      <w:r>
        <w:rPr>
          <w:sz w:val="18"/>
          <w:szCs w:val="18"/>
          <w:vertAlign w:val="superscript"/>
          <w:rtl/>
        </w:rPr>
        <w:fldChar w:fldCharType="begin" w:dirty="true"/>
      </w:r>
      <w:r>
        <w:rPr>
          <w:sz w:val="18"/>
          <w:szCs w:val="18"/>
          <w:vertAlign w:val="superscript"/>
          <w:rtl/>
        </w:rPr>
        <w:instrText xml:space="preserve"> REF b4_note141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141</w:t>
      </w:r>
      <w:r>
        <w:rPr>
          <w:sz w:val="18"/>
          <w:szCs w:val="18"/>
          <w:vertAlign w:val="superscript"/>
          <w:rtl/>
        </w:rPr>
        <w:fldChar w:fldCharType="end"/>
      </w:r>
      <w:r>
        <w:rPr>
          <w:rtl/>
        </w:rPr>
        <w:t xml:space="preserve"> אל המרפסת, כשבני משפחתו תומכים בו מתחת לזרועותיו, כדי שיניד בראשו ויברך: “</w:t>
      </w:r>
      <w:proofErr w:type="spellStart"/>
      <w:r>
        <w:rPr>
          <w:rtl/>
        </w:rPr>
        <w:t xml:space="preserve">גוט שבת, גוט שבת”</w:t>
      </w:r>
      <w:proofErr w:type="spellEnd"/>
      <w:r>
        <w:rPr>
          <w:rtl/>
        </w:rPr>
        <w:t xml:space="preserve"/>
      </w:r>
      <w:proofErr w:type="spellStart"/>
      <w:r>
        <w:rPr>
          <w:rtl/>
        </w:rPr>
        <w:t xml:space="preserve"/>
      </w:r>
      <w:proofErr w:type="spellEnd"/>
      <w:r>
        <w:rPr>
          <w:rtl/>
        </w:rPr>
        <w:t xml:space="preserve">.</w:t>
      </w:r>
    </w:p>
    <w:bookmarkStart w:id="4766" w:name="b4_note140"/>
    <w:p w14:paraId="662148FA" w14:textId="5CC4D053" w:rsidR="00AB3647" w:rsidRDefault="00000000" w:rsidP="007923E9">
      <w:pPr>
        <w:spacing w:before="120" w:after="100" w:line="276" w:lineRule="auto"/>
        <w:jc w:val="both"/>
      </w:pPr>
      <w:r>
        <w:fldChar w:fldCharType="begin" w:dirty="true"/>
      </w:r>
      <w:r>
        <w:instrText>HYPERLINK \l "b4_text140" \h</w:instrText>
      </w:r>
      <w:r>
        <w:fldChar w:fldCharType="separate"/>
      </w:r>
      <w:r>
        <w:rPr>
          <w:b/>
          <w:bCs/>
          <w:rtl/>
        </w:rPr>
        <w:t>140</w:t>
      </w:r>
      <w:r>
        <w:rPr>
          <w:b/>
          <w:bCs/>
        </w:rPr>
        <w:fldChar w:fldCharType="end"/>
      </w:r>
      <w:bookmarkEnd w:id="4766"/>
      <w:r>
        <w:rPr>
          <w:rtl/>
        </w:rPr>
        <w:t xml:space="preserve"> ברשימותיו של ר׳ משה גרוסמן</w:t>
      </w:r>
      <w:bookmarkStart w:id="4767" w:name="_fnr3518"/>
      <w:r>
        <w:rPr>
          <w:vertAlign w:val="superscript"/>
          <w:rtl/>
        </w:rPr>
        <w:footnoteReference w:id="3526" w:customMarkFollows="0"/>
      </w:r>
      <w:bookmarkEnd w:id="4767"/>
      <w:r>
        <w:rPr>
          <w:rtl/>
        </w:rPr>
        <w:t xml:space="preserve"> מובאים דברי ר׳ מרדכי </w:t>
      </w:r>
      <w:proofErr w:type="spellStart"/>
      <w:r>
        <w:rPr>
          <w:rtl/>
        </w:rPr>
        <w:t>גיפטר</w:t>
      </w:r>
      <w:proofErr w:type="spellEnd"/>
      <w:r>
        <w:rPr>
          <w:rtl/>
        </w:rPr>
        <w:t xml:space="preserve">, שר׳ חיים </w:t>
      </w:r>
      <w:proofErr w:type="spellStart"/>
      <w:r>
        <w:rPr>
          <w:rtl/>
        </w:rPr>
        <w:t>סולובייצ׳יק</w:t>
      </w:r>
      <w:proofErr w:type="spellEnd"/>
      <w:r>
        <w:rPr>
          <w:rtl/>
        </w:rPr>
        <w:t xml:space="preserve"> פגש פעם את ר׳ </w:t>
      </w:r>
      <w:proofErr w:type="spellStart"/>
      <w:r>
        <w:rPr>
          <w:rtl/>
        </w:rPr>
        <w:t>דוד׳ל</w:t>
      </w:r>
      <w:proofErr w:type="spellEnd"/>
      <w:r>
        <w:rPr>
          <w:rtl/>
        </w:rPr>
        <w:t xml:space="preserve"> ברכבת, והם “דיברו בלימוד”. כשהזכיר ר׳ חיים חקירה שעסק בה באותה שעה, אמר לו ר׳ </w:t>
      </w:r>
      <w:proofErr w:type="spellStart"/>
      <w:r>
        <w:rPr>
          <w:rtl/>
        </w:rPr>
        <w:t>דוד׳ל</w:t>
      </w:r>
      <w:proofErr w:type="spellEnd"/>
      <w:r>
        <w:rPr>
          <w:rtl/>
        </w:rPr>
        <w:t xml:space="preserve"> שיש ראיה ברורה לאחד מצדדיה מתוך תוספות. ר׳ </w:t>
      </w:r>
      <w:proofErr w:type="spellStart"/>
      <w:r>
        <w:rPr>
          <w:rtl/>
        </w:rPr>
        <w:t>ברוך־בער</w:t>
      </w:r>
      <w:proofErr w:type="spellEnd"/>
      <w:r>
        <w:rPr>
          <w:rtl/>
        </w:rPr>
        <w:t xml:space="preserve"> סיפר שר׳ חיים התרשם כל כך, שמכאן ואילך היה אומר: “ר׳ </w:t>
      </w:r>
      <w:proofErr w:type="spellStart"/>
      <w:r>
        <w:rPr>
          <w:rtl/>
        </w:rPr>
        <w:t>דוד׳ל</w:t>
      </w:r>
      <w:proofErr w:type="spellEnd"/>
      <w:r>
        <w:rPr>
          <w:rtl/>
        </w:rPr>
        <w:t xml:space="preserve"> הוא תוספות!” אין פלא שר׳ </w:t>
      </w:r>
      <w:proofErr w:type="spellStart"/>
      <w:r>
        <w:rPr>
          <w:rtl/>
        </w:rPr>
        <w:t>ברוך־בער</w:t>
      </w:r>
      <w:proofErr w:type="spellEnd"/>
      <w:r>
        <w:rPr>
          <w:rtl/>
        </w:rPr>
        <w:t xml:space="preserve"> בא לראות חכם שרבו הוקירו כל כך. השווה גם פרק 3, </w:t>
      </w:r>
      <w:r>
        <w:rPr>
          <w:rtl/>
        </w:rPr>
        <w:fldChar w:fldCharType="begin" w:dirty="true"/>
      </w:r>
      <w:r>
        <w:rPr>
          <w:rtl/>
        </w:rPr>
        <w:instrText xml:space="preserve"> REF b3_excFF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לב</w:t>
      </w:r>
      <w:r>
        <w:rPr>
          <w:rtl/>
        </w:rPr>
        <w:fldChar w:fldCharType="end"/>
      </w:r>
      <w:r>
        <w:rPr>
          <w:rtl/>
        </w:rPr>
        <w:t xml:space="preserve">, שר׳ </w:t>
      </w:r>
      <w:proofErr w:type="spellStart"/>
      <w:r>
        <w:rPr>
          <w:rtl/>
        </w:rPr>
        <w:t>דוד׳ל</w:t>
      </w:r>
      <w:proofErr w:type="spellEnd"/>
      <w:r>
        <w:rPr>
          <w:rtl/>
        </w:rPr>
        <w:t xml:space="preserve"> נחשב גדול מן המעלה העליונה.</w:t>
      </w:r>
    </w:p>
    <w:p w14:paraId="25F97B49" w14:textId="77777777" w:rsidR="00AB3647" w:rsidRDefault="00000000" w:rsidP="007923E9">
      <w:pPr>
        <w:spacing w:before="120" w:after="100" w:line="276" w:lineRule="auto"/>
        <w:jc w:val="both"/>
      </w:pPr>
      <w:r>
        <w:rPr>
          <w:rtl/>
        </w:rPr>
        <w:t xml:space="preserve">ר׳ אלי׳ </w:t>
      </w:r>
      <w:proofErr w:type="spellStart"/>
      <w:r>
        <w:rPr>
          <w:rtl/>
        </w:rPr>
        <w:t>קושלבסקי</w:t>
      </w:r>
      <w:proofErr w:type="spellEnd"/>
      <w:r>
        <w:rPr>
          <w:rtl/>
        </w:rPr>
        <w:t xml:space="preserve"> סיפר</w:t>
      </w:r>
      <w:bookmarkStart w:id="4768" w:name="_fnr3519"/>
      <w:r>
        <w:rPr>
          <w:vertAlign w:val="superscript"/>
          <w:rtl/>
        </w:rPr>
        <w:footnoteReference w:id="3527" w:customMarkFollows="0"/>
      </w:r>
      <w:bookmarkEnd w:id="4768"/>
      <w:r>
        <w:rPr>
          <w:rtl/>
        </w:rPr>
        <w:t xml:space="preserve"> שאדם בא לבקר את ר׳ </w:t>
      </w:r>
      <w:proofErr w:type="spellStart"/>
      <w:r>
        <w:rPr>
          <w:rtl/>
        </w:rPr>
        <w:t>דוד׳ל</w:t>
      </w:r>
      <w:proofErr w:type="spellEnd"/>
      <w:r>
        <w:rPr>
          <w:rtl/>
        </w:rPr>
        <w:t xml:space="preserve">, ופגש בחדר הכניסה את ר׳ חיים, שגם הוא המתין לו. המבקר שאל את ר׳ חיים שאלה, בלי לציין את מקורה – תוספות שאינו מצוי – ור׳ חיים החל לנסות להשיב. אז נכנס ר׳ </w:t>
      </w:r>
      <w:proofErr w:type="spellStart"/>
      <w:r>
        <w:rPr>
          <w:rtl/>
        </w:rPr>
        <w:t>דוד׳ל</w:t>
      </w:r>
      <w:proofErr w:type="spellEnd"/>
      <w:r>
        <w:rPr>
          <w:rtl/>
        </w:rPr>
        <w:t xml:space="preserve"> ושאל על מה דנים, והאיש חזר על השאלה ששאל את ר׳ חיים. ר׳ </w:t>
      </w:r>
      <w:proofErr w:type="spellStart"/>
      <w:r>
        <w:rPr>
          <w:rtl/>
        </w:rPr>
        <w:t>דוד׳ל</w:t>
      </w:r>
      <w:proofErr w:type="spellEnd"/>
      <w:r>
        <w:rPr>
          <w:rtl/>
        </w:rPr>
        <w:t xml:space="preserve"> חייך ויצא מיד [כדי שלא להביך את ר׳ חיים בציינו שנעלמו ממנו דברי תוספות]. ייתכן שסיפורו של ר׳ אלי׳ הוא גרסה של אותו מאורע שסיפר ר׳ מרדכי </w:t>
      </w:r>
      <w:proofErr w:type="spellStart"/>
      <w:r>
        <w:rPr>
          <w:rtl/>
        </w:rPr>
        <w:t>גיפטר</w:t>
      </w:r>
      <w:proofErr w:type="spellEnd"/>
      <w:r>
        <w:rPr>
          <w:rtl/>
        </w:rPr>
        <w:t>.</w:t>
      </w:r>
    </w:p>
    <w:bookmarkStart w:id="4769" w:name="b4_note141"/>
    <w:p w14:paraId="6EFB588A" w14:textId="0578F100" w:rsidR="00AB3647" w:rsidRDefault="00000000" w:rsidP="007923E9">
      <w:pPr>
        <w:spacing w:before="120" w:after="100" w:line="276" w:lineRule="auto"/>
        <w:jc w:val="both"/>
      </w:pPr>
      <w:r>
        <w:fldChar w:fldCharType="begin" w:dirty="true"/>
      </w:r>
      <w:r>
        <w:instrText>HYPERLINK \l "b4_text141" \h</w:instrText>
      </w:r>
      <w:r>
        <w:fldChar w:fldCharType="separate"/>
      </w:r>
      <w:r>
        <w:rPr>
          <w:b/>
          <w:bCs/>
          <w:rtl/>
        </w:rPr>
        <w:t>141</w:t>
      </w:r>
      <w:r>
        <w:rPr>
          <w:b/>
          <w:bCs/>
        </w:rPr>
        <w:fldChar w:fldCharType="end"/>
      </w:r>
      <w:bookmarkEnd w:id="4769"/>
      <w:r>
        <w:rPr>
          <w:rtl/>
        </w:rPr>
        <w:t xml:space="preserve"> ראה </w:t>
      </w:r>
      <w:r>
        <w:rPr>
          <w:rtl/>
        </w:rPr>
        <w:fldChar w:fldCharType="begin" w:dirty="true"/>
      </w:r>
      <w:r>
        <w:rPr>
          <w:rtl/>
        </w:rPr>
        <w:instrText xml:space="preserve"> REF b4_excQ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3B8088BD" w14:textId="3955BF5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כשראה ר׳ </w:t>
      </w:r>
      <w:proofErr w:type="spellStart"/>
      <w:r>
        <w:rPr>
          <w:rtl/>
        </w:rPr>
        <w:t>ברוך־בער</w:t>
      </w:r>
      <w:proofErr w:type="spellEnd"/>
      <w:r>
        <w:rPr>
          <w:rtl/>
        </w:rPr>
        <w:t xml:space="preserve"> את פניו המאירות, הדומות לקלף, של ר׳ דוד׳ל</w:t>
      </w:r>
      <w:bookmarkStart w:id="4770" w:name="b4_text142"/>
      <w:bookmarkEnd w:id="4770"/>
      <w:r>
        <w:rPr>
          <w:sz w:val="18"/>
          <w:szCs w:val="18"/>
          <w:vertAlign w:val="superscript"/>
          <w:rtl/>
        </w:rPr>
        <w:fldChar w:fldCharType="begin" w:dirty="true"/>
      </w:r>
      <w:r>
        <w:rPr>
          <w:sz w:val="18"/>
          <w:szCs w:val="18"/>
          <w:vertAlign w:val="superscript"/>
          <w:rtl/>
        </w:rPr>
        <w:instrText xml:space="preserve"> REF b4_note142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142</w:t>
      </w:r>
      <w:r>
        <w:rPr>
          <w:sz w:val="18"/>
          <w:szCs w:val="18"/>
          <w:vertAlign w:val="superscript"/>
          <w:rtl/>
        </w:rPr>
        <w:fldChar w:fldCharType="end"/>
      </w:r>
      <w:r>
        <w:rPr>
          <w:rtl/>
        </w:rPr>
        <w:t xml:space="preserve">, בירך בקול את הברכה לראיית תלמיד חכם גדול: “ברוך אתה... שחלק </w:t>
      </w:r>
      <w:proofErr w:type="spellStart"/>
      <w:r>
        <w:rPr>
          <w:rtl/>
        </w:rPr>
        <w:t>מחכמתו</w:t>
      </w:r>
      <w:proofErr w:type="spellEnd"/>
      <w:r>
        <w:rPr>
          <w:rtl/>
        </w:rPr>
        <w:t xml:space="preserve"> ליראיו”</w:t>
      </w:r>
      <w:bookmarkStart w:id="4771" w:name="b4_text143"/>
      <w:bookmarkEnd w:id="4771"/>
      <w:r>
        <w:rPr>
          <w:sz w:val="18"/>
          <w:szCs w:val="18"/>
          <w:vertAlign w:val="superscript"/>
          <w:rtl/>
        </w:rPr>
        <w:fldChar w:fldCharType="begin" w:dirty="true"/>
      </w:r>
      <w:r>
        <w:rPr>
          <w:sz w:val="18"/>
          <w:szCs w:val="18"/>
          <w:vertAlign w:val="superscript"/>
          <w:rtl/>
        </w:rPr>
        <w:instrText xml:space="preserve"> REF b4_note143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143</w:t>
      </w:r>
      <w:r>
        <w:rPr>
          <w:sz w:val="18"/>
          <w:szCs w:val="18"/>
          <w:vertAlign w:val="superscript"/>
          <w:rtl/>
        </w:rPr>
        <w:fldChar w:fldCharType="end"/>
      </w:r>
      <w:r>
        <w:rPr>
          <w:rtl/>
        </w:rPr>
        <w:t>, וממעלה המדרגות נשמעה תשובת החכם: “אמן”</w:t>
      </w:r>
      <w:bookmarkStart w:id="4772" w:name="b4_text144"/>
      <w:bookmarkEnd w:id="4772"/>
      <w:r>
        <w:rPr>
          <w:sz w:val="18"/>
          <w:szCs w:val="18"/>
          <w:vertAlign w:val="superscript"/>
          <w:rtl/>
        </w:rPr>
        <w:fldChar w:fldCharType="begin" w:dirty="true"/>
      </w:r>
      <w:r>
        <w:rPr>
          <w:sz w:val="18"/>
          <w:szCs w:val="18"/>
          <w:vertAlign w:val="superscript"/>
          <w:rtl/>
        </w:rPr>
        <w:instrText xml:space="preserve"> REF b4_note144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144</w:t>
      </w:r>
      <w:r>
        <w:rPr>
          <w:sz w:val="18"/>
          <w:szCs w:val="18"/>
          <w:vertAlign w:val="superscript"/>
          <w:rtl/>
        </w:rPr>
        <w:fldChar w:fldCharType="end"/>
      </w:r>
      <w:r>
        <w:rPr>
          <w:rtl/>
        </w:rPr>
        <w:t xml:space="preserve">. כשהוחזרה הדמות השברירית אל הבית, החל ר׳ </w:t>
      </w:r>
      <w:proofErr w:type="spellStart"/>
      <w:r>
        <w:rPr>
          <w:rtl/>
        </w:rPr>
        <w:t>ברוך־בער</w:t>
      </w:r>
      <w:proofErr w:type="spellEnd"/>
      <w:r>
        <w:rPr>
          <w:rtl/>
        </w:rPr>
        <w:t xml:space="preserve"> להתנענע – סימן ברור שהוא עומד לומר דבר – ואמר: “פלאי פלאים! אילו נערום את התלמוד הבבלי, התלמוד הירושלמי, המכילתא, הספרא, הספרי </w:t>
      </w:r>
      <w:proofErr w:type="spellStart"/>
      <w:r>
        <w:rPr>
          <w:rtl/>
        </w:rPr>
        <w:t>והתוספתא</w:t>
      </w:r>
      <w:proofErr w:type="spellEnd"/>
      <w:r>
        <w:rPr>
          <w:rtl/>
        </w:rPr>
        <w:t xml:space="preserve">, ונוסיף את הרמב״ם ואת </w:t>
      </w:r>
      <w:r>
        <w:rPr>
          <w:rtl/>
        </w:rPr>
        <w:lastRenderedPageBreak/>
        <w:t>הטורים, ועליהם את כתבי היד שלו עצמו, תהיה הערמה גדולה בהרבה מגופו הזעיר – הוא לא יוכל אפילו להזיזה; ואת הכול הוא נושא בראשו!”</w:t>
      </w:r>
      <w:bookmarkStart w:id="4773" w:name="b4_text145"/>
      <w:bookmarkEnd w:id="4773"/>
      <w:r>
        <w:rPr>
          <w:sz w:val="18"/>
          <w:szCs w:val="18"/>
          <w:vertAlign w:val="superscript"/>
          <w:rtl/>
        </w:rPr>
        <w:fldChar w:fldCharType="begin" w:dirty="true"/>
      </w:r>
      <w:r>
        <w:rPr>
          <w:sz w:val="18"/>
          <w:szCs w:val="18"/>
          <w:vertAlign w:val="superscript"/>
          <w:rtl/>
        </w:rPr>
        <w:instrText xml:space="preserve"> REF b4_note145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145</w:t>
      </w:r>
      <w:r>
        <w:rPr>
          <w:sz w:val="18"/>
          <w:szCs w:val="18"/>
          <w:vertAlign w:val="superscript"/>
          <w:rtl/>
        </w:rPr>
        <w:fldChar w:fldCharType="end"/>
      </w:r>
    </w:p>
    <w:bookmarkStart w:id="4774" w:name="b4_note142"/>
    <w:p w14:paraId="4D0A95FF" w14:textId="77777777" w:rsidR="00AB3647" w:rsidRDefault="00000000" w:rsidP="007923E9">
      <w:pPr>
        <w:spacing w:before="120" w:after="100" w:line="276" w:lineRule="auto"/>
        <w:jc w:val="both"/>
      </w:pPr>
      <w:r>
        <w:fldChar w:fldCharType="begin" w:dirty="true"/>
      </w:r>
      <w:r>
        <w:instrText>HYPERLINK \l "b4_text142" \h</w:instrText>
      </w:r>
      <w:r>
        <w:fldChar w:fldCharType="separate"/>
      </w:r>
      <w:r>
        <w:rPr>
          <w:b/>
          <w:bCs/>
          <w:rtl/>
        </w:rPr>
        <w:t>142</w:t>
      </w:r>
      <w:r>
        <w:rPr>
          <w:b/>
          <w:bCs/>
        </w:rPr>
        <w:fldChar w:fldCharType="end"/>
      </w:r>
      <w:bookmarkEnd w:id="4774"/>
      <w:r>
        <w:rPr>
          <w:rtl/>
        </w:rPr>
        <w:t xml:space="preserve"> ר׳ קופל </w:t>
      </w:r>
      <w:proofErr w:type="spellStart"/>
      <w:r>
        <w:rPr>
          <w:rtl/>
        </w:rPr>
        <w:t>וולפרט</w:t>
      </w:r>
      <w:bookmarkStart w:id="4775" w:name="_fnr3520"/>
      <w:proofErr w:type="spellEnd"/>
      <w:r>
        <w:rPr>
          <w:vertAlign w:val="superscript"/>
          <w:rtl/>
        </w:rPr>
        <w:footnoteReference w:id="3528" w:customMarkFollows="0"/>
      </w:r>
      <w:bookmarkEnd w:id="4775"/>
      <w:r>
        <w:rPr>
          <w:rtl/>
        </w:rPr>
        <w:t xml:space="preserve">, שהיה בקהל התלמידים שלמטה, תיאר את ר׳ </w:t>
      </w:r>
      <w:proofErr w:type="spellStart"/>
      <w:r>
        <w:rPr>
          <w:rtl/>
        </w:rPr>
        <w:t>דוד׳ל</w:t>
      </w:r>
      <w:proofErr w:type="spellEnd"/>
      <w:r>
        <w:rPr>
          <w:rtl/>
        </w:rPr>
        <w:t xml:space="preserve"> כך: “הוא היה זעיר – א </w:t>
      </w:r>
      <w:proofErr w:type="spellStart"/>
      <w:r>
        <w:rPr>
          <w:rtl/>
        </w:rPr>
        <w:t>ברעקאלע</w:t>
      </w:r>
      <w:proofErr w:type="spellEnd"/>
      <w:r>
        <w:rPr>
          <w:rtl/>
        </w:rPr>
        <w:t xml:space="preserve"> [פירור] – בעל פנים מאירות שאין לתארן, כקלף יפה, ועיניים נפלאות; </w:t>
      </w:r>
      <w:proofErr w:type="spellStart"/>
      <w:r>
        <w:rPr>
          <w:rtl/>
        </w:rPr>
        <w:t>זלדקן</w:t>
      </w:r>
      <w:proofErr w:type="spellEnd"/>
      <w:r>
        <w:rPr>
          <w:rtl/>
        </w:rPr>
        <w:t xml:space="preserve"> </w:t>
      </w:r>
      <w:proofErr w:type="spellStart"/>
      <w:r>
        <w:rPr>
          <w:rtl/>
        </w:rPr>
        <w:t>קורטמן</w:t>
      </w:r>
      <w:proofErr w:type="spellEnd"/>
      <w:r>
        <w:rPr>
          <w:rtl/>
        </w:rPr>
        <w:t xml:space="preserve"> [חכם חד בעל זקן דליל]”</w:t>
      </w:r>
      <w:bookmarkStart w:id="4776" w:name="_fnr3521"/>
      <w:r>
        <w:rPr>
          <w:vertAlign w:val="superscript"/>
          <w:rtl/>
        </w:rPr>
        <w:footnoteReference w:id="3529" w:customMarkFollows="0"/>
      </w:r>
      <w:bookmarkEnd w:id="4776"/>
      <w:r>
        <w:rPr>
          <w:rtl/>
        </w:rPr>
        <w:t xml:space="preserve">. </w:t>
      </w:r>
      <w:proofErr w:type="spellStart"/>
      <w:r>
        <w:rPr>
          <w:rtl/>
        </w:rPr>
        <w:t>צינוביץ</w:t>
      </w:r>
      <w:proofErr w:type="spellEnd"/>
      <w:r>
        <w:rPr>
          <w:rtl/>
        </w:rPr>
        <w:t>, “אישים וקהילות”</w:t>
      </w:r>
      <w:bookmarkStart w:id="4777" w:name="_fnr3522"/>
      <w:r>
        <w:rPr>
          <w:vertAlign w:val="superscript"/>
          <w:rtl/>
        </w:rPr>
        <w:footnoteReference w:id="3530" w:customMarkFollows="0"/>
      </w:r>
      <w:bookmarkEnd w:id="4777"/>
      <w:r>
        <w:rPr>
          <w:rtl/>
        </w:rPr>
        <w:t xml:space="preserve">, מספר שפניו שימשו דגם לציורו של האמן </w:t>
      </w:r>
      <w:proofErr w:type="spellStart"/>
      <w:r>
        <w:rPr>
          <w:rtl/>
        </w:rPr>
        <w:t>משה־אפרים</w:t>
      </w:r>
      <w:proofErr w:type="spellEnd"/>
      <w:r>
        <w:rPr>
          <w:rtl/>
        </w:rPr>
        <w:t xml:space="preserve"> </w:t>
      </w:r>
      <w:proofErr w:type="spellStart"/>
      <w:r>
        <w:rPr>
          <w:rtl/>
        </w:rPr>
        <w:t>ליליין</w:t>
      </w:r>
      <w:proofErr w:type="spellEnd"/>
      <w:r>
        <w:rPr>
          <w:rtl/>
        </w:rPr>
        <w:t xml:space="preserve">, “מאור הגולה”. הגאון, שהיה שקוע בלימודו, ישב ליד חלון פתוח ולא ידע </w:t>
      </w:r>
      <w:proofErr w:type="spellStart"/>
      <w:r>
        <w:rPr>
          <w:rtl/>
        </w:rPr>
        <w:t>שליליין</w:t>
      </w:r>
      <w:proofErr w:type="spellEnd"/>
      <w:r>
        <w:rPr>
          <w:rtl/>
        </w:rPr>
        <w:t xml:space="preserve"> עומד ברחוב ומצייר את דיוקנו, ברשות כלתו של ר׳ </w:t>
      </w:r>
      <w:proofErr w:type="spellStart"/>
      <w:r>
        <w:rPr>
          <w:rtl/>
        </w:rPr>
        <w:t>דוד׳ל</w:t>
      </w:r>
      <w:bookmarkStart w:id="4778" w:name="_fnr3523"/>
      <w:proofErr w:type="spellEnd"/>
      <w:r>
        <w:rPr>
          <w:vertAlign w:val="superscript"/>
          <w:rtl/>
        </w:rPr>
        <w:footnoteReference w:id="3531" w:customMarkFollows="0"/>
      </w:r>
      <w:bookmarkEnd w:id="4778"/>
      <w:r>
        <w:rPr>
          <w:rtl/>
        </w:rPr>
        <w:t>.</w:t>
      </w:r>
    </w:p>
    <w:bookmarkStart w:id="4779" w:name="b4_note143"/>
    <w:p w14:paraId="2A294196" w14:textId="77777777" w:rsidR="00AB3647" w:rsidRDefault="00000000" w:rsidP="007923E9">
      <w:pPr>
        <w:spacing w:before="120" w:after="100" w:line="276" w:lineRule="auto"/>
        <w:jc w:val="both"/>
      </w:pPr>
      <w:r>
        <w:fldChar w:fldCharType="begin" w:dirty="true"/>
      </w:r>
      <w:r>
        <w:instrText>HYPERLINK \l "b4_text143" \h</w:instrText>
      </w:r>
      <w:r>
        <w:fldChar w:fldCharType="separate"/>
      </w:r>
      <w:r>
        <w:rPr>
          <w:b/>
          <w:bCs/>
          <w:rtl/>
        </w:rPr>
        <w:t>143</w:t>
      </w:r>
      <w:r>
        <w:rPr>
          <w:b/>
          <w:bCs/>
        </w:rPr>
        <w:fldChar w:fldCharType="end"/>
      </w:r>
      <w:bookmarkEnd w:id="4779"/>
      <w:r>
        <w:rPr>
          <w:rtl/>
        </w:rPr>
        <w:t xml:space="preserve"> ר׳ אשר </w:t>
      </w:r>
      <w:proofErr w:type="spellStart"/>
      <w:r>
        <w:rPr>
          <w:rtl/>
        </w:rPr>
        <w:t>קצמן</w:t>
      </w:r>
      <w:bookmarkStart w:id="4780" w:name="_fnr3524"/>
      <w:proofErr w:type="spellEnd"/>
      <w:r>
        <w:rPr>
          <w:vertAlign w:val="superscript"/>
          <w:rtl/>
        </w:rPr>
        <w:footnoteReference w:id="3532" w:customMarkFollows="0"/>
      </w:r>
      <w:bookmarkEnd w:id="4780"/>
      <w:r>
        <w:rPr>
          <w:rtl/>
        </w:rPr>
        <w:t xml:space="preserve">. ר׳ מאיר </w:t>
      </w:r>
      <w:proofErr w:type="spellStart"/>
      <w:r>
        <w:rPr>
          <w:rtl/>
        </w:rPr>
        <w:t>טריביץ</w:t>
      </w:r>
      <w:proofErr w:type="spellEnd"/>
      <w:r>
        <w:rPr>
          <w:rtl/>
        </w:rPr>
        <w:t xml:space="preserve"> סיפר</w:t>
      </w:r>
      <w:bookmarkStart w:id="4781" w:name="_fnr3525"/>
      <w:r>
        <w:rPr>
          <w:vertAlign w:val="superscript"/>
          <w:rtl/>
        </w:rPr>
        <w:footnoteReference w:id="3533" w:customMarkFollows="0"/>
      </w:r>
      <w:bookmarkEnd w:id="4781"/>
      <w:r>
        <w:rPr>
          <w:rtl/>
        </w:rPr>
        <w:t xml:space="preserve"> שסב אשתו, רבנו, בירך את הברכה כשראה את ר׳ </w:t>
      </w:r>
      <w:proofErr w:type="spellStart"/>
      <w:r>
        <w:rPr>
          <w:rtl/>
        </w:rPr>
        <w:t>דוד׳ל</w:t>
      </w:r>
      <w:proofErr w:type="spellEnd"/>
      <w:r>
        <w:rPr>
          <w:rtl/>
        </w:rPr>
        <w:t xml:space="preserve">, אך לא כשראה את ר׳ חיים </w:t>
      </w:r>
      <w:proofErr w:type="spellStart"/>
      <w:r>
        <w:rPr>
          <w:rtl/>
        </w:rPr>
        <w:t>סולובייצ׳יק</w:t>
      </w:r>
      <w:bookmarkStart w:id="4782" w:name="_fnr3526"/>
      <w:proofErr w:type="spellEnd"/>
      <w:r>
        <w:rPr>
          <w:vertAlign w:val="superscript"/>
          <w:rtl/>
        </w:rPr>
        <w:footnoteReference w:id="3534" w:customMarkFollows="0"/>
      </w:r>
      <w:bookmarkEnd w:id="4782"/>
      <w:r>
        <w:rPr>
          <w:rtl/>
        </w:rPr>
        <w:t>. אבי לא פירט את ההבדל בין שני החכמים הגדולים</w:t>
      </w:r>
      <w:bookmarkStart w:id="4783" w:name="_fnr3527"/>
      <w:r>
        <w:rPr>
          <w:vertAlign w:val="superscript"/>
          <w:rtl/>
        </w:rPr>
        <w:footnoteReference w:id="3535" w:customMarkFollows="0"/>
      </w:r>
      <w:bookmarkEnd w:id="4783"/>
      <w:r>
        <w:rPr>
          <w:rtl/>
        </w:rPr>
        <w:t xml:space="preserve">. ייתכן שנוכחות אבי בשעה שר׳ </w:t>
      </w:r>
      <w:proofErr w:type="spellStart"/>
      <w:r>
        <w:rPr>
          <w:rtl/>
        </w:rPr>
        <w:t>ברוך־בער</w:t>
      </w:r>
      <w:proofErr w:type="spellEnd"/>
      <w:r>
        <w:rPr>
          <w:rtl/>
        </w:rPr>
        <w:t xml:space="preserve"> בירך את הברכה על ר׳ </w:t>
      </w:r>
      <w:proofErr w:type="spellStart"/>
      <w:r>
        <w:rPr>
          <w:rtl/>
        </w:rPr>
        <w:t>דוד׳ל</w:t>
      </w:r>
      <w:proofErr w:type="spellEnd"/>
      <w:r>
        <w:rPr>
          <w:rtl/>
        </w:rPr>
        <w:t xml:space="preserve"> עוררה אותו לנהוג כמותו באותה שעה.</w:t>
      </w:r>
    </w:p>
    <w:p w14:paraId="0BC5EB31" w14:textId="77777777" w:rsidR="00AB3647" w:rsidRDefault="00000000" w:rsidP="007923E9">
      <w:pPr>
        <w:spacing w:after="120" w:line="276" w:lineRule="auto"/>
        <w:jc w:val="both"/>
      </w:pPr>
      <w:r>
        <w:rPr>
          <w:rtl/>
        </w:rPr>
        <w:t xml:space="preserve">חיבורו הגדול של ר׳ </w:t>
      </w:r>
      <w:proofErr w:type="spellStart"/>
      <w:r>
        <w:rPr>
          <w:rtl/>
        </w:rPr>
        <w:t>דוד׳ל</w:t>
      </w:r>
      <w:proofErr w:type="spellEnd"/>
      <w:r>
        <w:rPr>
          <w:rtl/>
        </w:rPr>
        <w:t xml:space="preserve"> הוא “פסקי הלכות”, שרק שניים מעשרת כרכיו נדפסו (ורשה, תרנ״ח </w:t>
      </w:r>
      <w:proofErr w:type="spellStart"/>
      <w:r>
        <w:rPr>
          <w:rtl/>
        </w:rPr>
        <w:t>ותר״ס</w:t>
      </w:r>
      <w:proofErr w:type="spellEnd"/>
      <w:r>
        <w:rPr>
          <w:rtl/>
        </w:rPr>
        <w:t>), והנותרים אבדו לאחר פטירתו, במלחמת העולם הראשונה. החיבור נכתב במתכונת של שולחן ערוך: נוסח של פסקי הלכה ופירוש המסביר, על יסוד עיון בתלמוד הבבלי והירושלמי, מדוע העדיף המחבר דעה אחת של הראשונים על פני אחרת בקביעת מסקנותיו ההלכתיות.</w:t>
      </w:r>
    </w:p>
    <w:bookmarkStart w:id="4784" w:name="b4_note144"/>
    <w:p w14:paraId="42DC6628" w14:textId="77777777" w:rsidR="00AB3647" w:rsidRDefault="00000000" w:rsidP="007923E9">
      <w:pPr>
        <w:spacing w:before="120" w:after="100" w:line="276" w:lineRule="auto"/>
        <w:jc w:val="both"/>
      </w:pPr>
      <w:r>
        <w:fldChar w:fldCharType="begin" w:dirty="true"/>
      </w:r>
      <w:r>
        <w:instrText>HYPERLINK \l "b4_text144" \h</w:instrText>
      </w:r>
      <w:r>
        <w:fldChar w:fldCharType="separate"/>
      </w:r>
      <w:r>
        <w:rPr>
          <w:b/>
          <w:bCs/>
          <w:rtl/>
        </w:rPr>
        <w:t>144</w:t>
      </w:r>
      <w:r>
        <w:rPr>
          <w:b/>
          <w:bCs/>
        </w:rPr>
        <w:fldChar w:fldCharType="end"/>
      </w:r>
      <w:bookmarkEnd w:id="4784"/>
      <w:r>
        <w:rPr>
          <w:rtl/>
        </w:rPr>
        <w:t xml:space="preserve"> לנוכח הוראת התלמוד במסכת נידה, “ואפילו כל העולם כולו אומרים לך צדיק אתה, היה בעיניך כרשע”</w:t>
      </w:r>
      <w:bookmarkStart w:id="4785" w:name="_fnr3528"/>
      <w:r>
        <w:rPr>
          <w:vertAlign w:val="superscript"/>
          <w:rtl/>
        </w:rPr>
        <w:footnoteReference w:id="3536" w:customMarkFollows="0"/>
      </w:r>
      <w:bookmarkEnd w:id="4785"/>
      <w:r>
        <w:rPr>
          <w:rtl/>
        </w:rPr>
        <w:t xml:space="preserve">, קשה להבין כיצד יכול מי שמברכים עליו לענות “אמן”. ר׳ </w:t>
      </w:r>
      <w:proofErr w:type="spellStart"/>
      <w:r>
        <w:rPr>
          <w:rtl/>
        </w:rPr>
        <w:t>משה־מרדכי</w:t>
      </w:r>
      <w:proofErr w:type="spellEnd"/>
      <w:r>
        <w:rPr>
          <w:rtl/>
        </w:rPr>
        <w:t xml:space="preserve"> לוי סיפר</w:t>
      </w:r>
      <w:bookmarkStart w:id="4786" w:name="_fnr3529"/>
      <w:r>
        <w:rPr>
          <w:vertAlign w:val="superscript"/>
          <w:rtl/>
        </w:rPr>
        <w:footnoteReference w:id="3537" w:customMarkFollows="0"/>
      </w:r>
      <w:bookmarkEnd w:id="4786"/>
      <w:r>
        <w:rPr>
          <w:rtl/>
        </w:rPr>
        <w:t xml:space="preserve"> בשם רבנו, שפעם בירך ר׳ </w:t>
      </w:r>
      <w:proofErr w:type="spellStart"/>
      <w:r>
        <w:rPr>
          <w:rtl/>
        </w:rPr>
        <w:t>דוד׳ל</w:t>
      </w:r>
      <w:proofErr w:type="spellEnd"/>
      <w:r>
        <w:rPr>
          <w:rtl/>
        </w:rPr>
        <w:t xml:space="preserve"> עצמו את הברכה בראותו את ר׳ </w:t>
      </w:r>
      <w:proofErr w:type="spellStart"/>
      <w:r>
        <w:rPr>
          <w:rtl/>
        </w:rPr>
        <w:t>יהושע׳לה</w:t>
      </w:r>
      <w:proofErr w:type="spellEnd"/>
      <w:r>
        <w:rPr>
          <w:rtl/>
        </w:rPr>
        <w:t xml:space="preserve"> </w:t>
      </w:r>
      <w:proofErr w:type="spellStart"/>
      <w:r>
        <w:rPr>
          <w:rtl/>
        </w:rPr>
        <w:t>טרונק</w:t>
      </w:r>
      <w:proofErr w:type="spellEnd"/>
      <w:r>
        <w:rPr>
          <w:rtl/>
        </w:rPr>
        <w:t xml:space="preserve"> (מקוטנה, תקפ״א–תרנ״ג), ור׳ </w:t>
      </w:r>
      <w:proofErr w:type="spellStart"/>
      <w:r>
        <w:rPr>
          <w:rtl/>
        </w:rPr>
        <w:t>יהושע׳לה</w:t>
      </w:r>
      <w:proofErr w:type="spellEnd"/>
      <w:r>
        <w:rPr>
          <w:rtl/>
        </w:rPr>
        <w:t xml:space="preserve"> הסתפק אם לענות אמן; אבי לא אמר אם ענה אמן אם לאו.</w:t>
      </w:r>
    </w:p>
    <w:p w14:paraId="1C47DE95" w14:textId="77777777" w:rsidR="00AB3647" w:rsidRDefault="00000000" w:rsidP="007923E9">
      <w:pPr>
        <w:spacing w:before="120" w:after="100" w:line="276" w:lineRule="auto"/>
        <w:jc w:val="both"/>
      </w:pPr>
      <w:r>
        <w:rPr>
          <w:rtl/>
        </w:rPr>
        <w:t xml:space="preserve">אבי סיפר מעשה זה כשבירך עליו הרב לוי את הברכה. היה זה כשקבוצת מתפללים הביאה את הרב לוי לפגוש את רבנו, שבועיים לאחר שנתמנה ר׳ </w:t>
      </w:r>
      <w:proofErr w:type="spellStart"/>
      <w:r>
        <w:rPr>
          <w:rtl/>
        </w:rPr>
        <w:t>משה־מרדכי</w:t>
      </w:r>
      <w:proofErr w:type="spellEnd"/>
      <w:r>
        <w:rPr>
          <w:rtl/>
        </w:rPr>
        <w:t xml:space="preserve"> לרב בית הכנסת אגודת ישראל בטורונטו. אבי דחק זמן רב באנשי הקהילה שלא להניח את בית הכנסת בלא רב, וסירב </w:t>
      </w:r>
      <w:r>
        <w:rPr>
          <w:rtl/>
        </w:rPr>
        <w:lastRenderedPageBreak/>
        <w:t xml:space="preserve">להתפלל בו עד שיקבלו רב. לאחר שענה אמן לברכת הרב לוי, הודה אבי שגם הוא, כר׳ </w:t>
      </w:r>
      <w:proofErr w:type="spellStart"/>
      <w:r>
        <w:rPr>
          <w:rtl/>
        </w:rPr>
        <w:t>יהושע׳לה</w:t>
      </w:r>
      <w:proofErr w:type="spellEnd"/>
      <w:r>
        <w:rPr>
          <w:rtl/>
        </w:rPr>
        <w:t>, הסתפק אם לעשות זאת.</w:t>
      </w:r>
    </w:p>
    <w:p w14:paraId="0C32A9A3" w14:textId="77777777" w:rsidR="00AB3647" w:rsidRDefault="00000000" w:rsidP="007923E9">
      <w:pPr>
        <w:spacing w:before="120" w:after="100" w:line="276" w:lineRule="auto"/>
        <w:jc w:val="both"/>
      </w:pPr>
      <w:r>
        <w:rPr>
          <w:rtl/>
        </w:rPr>
        <w:t xml:space="preserve">בדומה לכך, ייתכן שר׳ </w:t>
      </w:r>
      <w:proofErr w:type="spellStart"/>
      <w:r>
        <w:rPr>
          <w:rtl/>
        </w:rPr>
        <w:t>דוד׳ל</w:t>
      </w:r>
      <w:proofErr w:type="spellEnd"/>
      <w:r>
        <w:rPr>
          <w:rtl/>
        </w:rPr>
        <w:t xml:space="preserve"> שמע את ר׳ </w:t>
      </w:r>
      <w:proofErr w:type="spellStart"/>
      <w:r>
        <w:rPr>
          <w:rtl/>
        </w:rPr>
        <w:t>יהושע׳לה</w:t>
      </w:r>
      <w:proofErr w:type="spellEnd"/>
      <w:r>
        <w:rPr>
          <w:rtl/>
        </w:rPr>
        <w:t xml:space="preserve"> עונה אמן, ולכן נהג כך כשנאמרה הברכה עליו – למרות הקושי מן הגמרא במסכת נידה – ואולי משום כך ענה גם רבנו “אמן”. במקרה של אבי, ייתכן שאמירת האמן קשורה להיותו חניך אסכולת המוסר: הוא לא רצה להעמיד את הרב הצעיר במצב שבו יוכלו מתפלליו, שעדיין לא הכיר היטב, לטעון אחר כך שהרב </w:t>
      </w:r>
      <w:proofErr w:type="spellStart"/>
      <w:r>
        <w:rPr>
          <w:rtl/>
        </w:rPr>
        <w:t>קמינצקי</w:t>
      </w:r>
      <w:proofErr w:type="spellEnd"/>
      <w:r>
        <w:rPr>
          <w:rtl/>
        </w:rPr>
        <w:t xml:space="preserve"> פסק שרבם החדש בירך ברכה לבטלה.</w:t>
      </w:r>
    </w:p>
    <w:bookmarkStart w:id="4787" w:name="b4_note145"/>
    <w:p w14:paraId="0EA28BD7" w14:textId="77777777" w:rsidR="00AB3647" w:rsidRDefault="00000000" w:rsidP="007923E9">
      <w:pPr>
        <w:spacing w:before="120" w:after="100" w:line="276" w:lineRule="auto"/>
        <w:jc w:val="both"/>
      </w:pPr>
      <w:r>
        <w:fldChar w:fldCharType="begin" w:dirty="true"/>
      </w:r>
      <w:r>
        <w:instrText>HYPERLINK \l "b4_text145" \h</w:instrText>
      </w:r>
      <w:r>
        <w:fldChar w:fldCharType="separate"/>
      </w:r>
      <w:r>
        <w:rPr>
          <w:b/>
          <w:bCs/>
          <w:rtl/>
        </w:rPr>
        <w:t>145</w:t>
      </w:r>
      <w:r>
        <w:rPr>
          <w:b/>
          <w:bCs/>
        </w:rPr>
        <w:fldChar w:fldCharType="end"/>
      </w:r>
      <w:bookmarkEnd w:id="4787"/>
      <w:r>
        <w:rPr>
          <w:rtl/>
        </w:rPr>
        <w:t xml:space="preserve"> ר׳ קופל </w:t>
      </w:r>
      <w:proofErr w:type="spellStart"/>
      <w:r>
        <w:rPr>
          <w:rtl/>
        </w:rPr>
        <w:t>וולפרט</w:t>
      </w:r>
      <w:bookmarkStart w:id="4788" w:name="_fnr3530"/>
      <w:proofErr w:type="spellEnd"/>
      <w:r>
        <w:rPr>
          <w:vertAlign w:val="superscript"/>
          <w:rtl/>
        </w:rPr>
        <w:footnoteReference w:id="3538" w:customMarkFollows="0"/>
      </w:r>
      <w:bookmarkEnd w:id="4788"/>
      <w:r>
        <w:rPr>
          <w:rtl/>
        </w:rPr>
        <w:t xml:space="preserve">. אכסנייתו הייתה בקומה שמעל בית ר׳ </w:t>
      </w:r>
      <w:proofErr w:type="spellStart"/>
      <w:r>
        <w:rPr>
          <w:rtl/>
        </w:rPr>
        <w:t>ברוך־בער</w:t>
      </w:r>
      <w:proofErr w:type="spellEnd"/>
      <w:r>
        <w:rPr>
          <w:rtl/>
        </w:rPr>
        <w:t xml:space="preserve">, וראש הישיבה ביקש ממנו במיוחד להתלוות אליו בביקור. ייתכן שר׳ </w:t>
      </w:r>
      <w:proofErr w:type="spellStart"/>
      <w:r>
        <w:rPr>
          <w:rtl/>
        </w:rPr>
        <w:t>ברוך־בער</w:t>
      </w:r>
      <w:proofErr w:type="spellEnd"/>
      <w:r>
        <w:rPr>
          <w:rtl/>
        </w:rPr>
        <w:t xml:space="preserve"> התאים </w:t>
      </w:r>
      <w:proofErr w:type="spellStart"/>
      <w:r>
        <w:rPr>
          <w:rtl/>
        </w:rPr>
        <w:t>לר</w:t>
      </w:r>
      <w:proofErr w:type="spellEnd"/>
      <w:r>
        <w:rPr>
          <w:rtl/>
        </w:rPr>
        <w:t xml:space="preserve">׳ </w:t>
      </w:r>
      <w:proofErr w:type="spellStart"/>
      <w:r>
        <w:rPr>
          <w:rtl/>
        </w:rPr>
        <w:t>דוד׳ל</w:t>
      </w:r>
      <w:proofErr w:type="spellEnd"/>
      <w:r>
        <w:rPr>
          <w:rtl/>
        </w:rPr>
        <w:t xml:space="preserve"> מעשה שנמסר על ר׳ </w:t>
      </w:r>
      <w:proofErr w:type="spellStart"/>
      <w:r>
        <w:rPr>
          <w:rtl/>
        </w:rPr>
        <w:t>זלמל׳ה</w:t>
      </w:r>
      <w:proofErr w:type="spellEnd"/>
      <w:r>
        <w:rPr>
          <w:rtl/>
        </w:rPr>
        <w:t xml:space="preserve">, אחיו של ר׳ חיים </w:t>
      </w:r>
      <w:proofErr w:type="spellStart"/>
      <w:r>
        <w:rPr>
          <w:rtl/>
        </w:rPr>
        <w:t>מוולוז׳ין</w:t>
      </w:r>
      <w:proofErr w:type="spellEnd"/>
      <w:r>
        <w:rPr>
          <w:rtl/>
        </w:rPr>
        <w:t xml:space="preserve">, המובא </w:t>
      </w:r>
      <w:proofErr w:type="spellStart"/>
      <w:r>
        <w:rPr>
          <w:rtl/>
        </w:rPr>
        <w:t>ב“הגאון</w:t>
      </w:r>
      <w:proofErr w:type="spellEnd"/>
      <w:r>
        <w:rPr>
          <w:rtl/>
        </w:rPr>
        <w:t xml:space="preserve"> החסיד </w:t>
      </w:r>
      <w:proofErr w:type="spellStart"/>
      <w:r>
        <w:rPr>
          <w:rtl/>
        </w:rPr>
        <w:t>מוילנא</w:t>
      </w:r>
      <w:proofErr w:type="spellEnd"/>
      <w:r>
        <w:rPr>
          <w:rtl/>
        </w:rPr>
        <w:t>”</w:t>
      </w:r>
      <w:bookmarkStart w:id="4789" w:name="_fnr3531"/>
      <w:r>
        <w:rPr>
          <w:vertAlign w:val="superscript"/>
          <w:rtl/>
        </w:rPr>
        <w:footnoteReference w:id="3539" w:customMarkFollows="0"/>
      </w:r>
      <w:bookmarkEnd w:id="4789"/>
      <w:r>
        <w:rPr>
          <w:rtl/>
        </w:rPr>
        <w:t xml:space="preserve">: פעם התנמנם ר׳ </w:t>
      </w:r>
      <w:proofErr w:type="spellStart"/>
      <w:r>
        <w:rPr>
          <w:rtl/>
        </w:rPr>
        <w:t>זלמל׳ה</w:t>
      </w:r>
      <w:proofErr w:type="spellEnd"/>
      <w:r>
        <w:rPr>
          <w:rtl/>
        </w:rPr>
        <w:t xml:space="preserve"> ליד שולחן רבו, הגאון מווילנה, והגאון ניגש והושיט את ידיו כדי לתמוך בראש תלמידו המתנודד. כשנכנס אדם לחדר, היסה אותו הגאון באמרו: “הס, כל התורה כולה מונחת עתה על ידי”.</w:t>
      </w:r>
    </w:p>
    <w:p w14:paraId="0CDB5E5F" w14:textId="77777777" w:rsidR="00AB3647" w:rsidRDefault="00000000" w:rsidP="007923E9">
      <w:pPr>
        <w:spacing w:before="120" w:after="100" w:line="276" w:lineRule="auto"/>
        <w:jc w:val="both"/>
      </w:pPr>
      <w:r>
        <w:rPr>
          <w:rtl/>
        </w:rPr>
        <w:t xml:space="preserve">אמרה זו מפתיעה אפילו מפי ר׳ </w:t>
      </w:r>
      <w:proofErr w:type="spellStart"/>
      <w:r>
        <w:rPr>
          <w:rtl/>
        </w:rPr>
        <w:t>ברוך־בער</w:t>
      </w:r>
      <w:proofErr w:type="spellEnd"/>
      <w:r>
        <w:rPr>
          <w:rtl/>
        </w:rPr>
        <w:t>, ובמקרה של הגאון אפשר להבינה אם נקשר את המאורע למעשה אחר</w:t>
      </w:r>
      <w:bookmarkStart w:id="4790" w:name="_fnr3532"/>
      <w:r>
        <w:rPr>
          <w:vertAlign w:val="superscript"/>
          <w:rtl/>
        </w:rPr>
        <w:footnoteReference w:id="3540" w:customMarkFollows="0"/>
      </w:r>
      <w:bookmarkEnd w:id="4790"/>
      <w:r>
        <w:rPr>
          <w:rtl/>
        </w:rPr>
        <w:t xml:space="preserve">: ר׳ </w:t>
      </w:r>
      <w:proofErr w:type="spellStart"/>
      <w:r>
        <w:rPr>
          <w:rtl/>
        </w:rPr>
        <w:t>זלמל׳ה</w:t>
      </w:r>
      <w:proofErr w:type="spellEnd"/>
      <w:r>
        <w:rPr>
          <w:rtl/>
        </w:rPr>
        <w:t xml:space="preserve"> התנמנם ליד שולחן הגאון בפורים, וידו נגעה בכלי שהיו בו פירות משלוח מנות. הגאון ציווה לחתוך את “התפוזים [הנדירים] והתפוחים הטובים” לחתיכות קטנות ולהשליכם [מפני </w:t>
      </w:r>
      <w:proofErr w:type="spellStart"/>
      <w:r>
        <w:rPr>
          <w:rtl/>
        </w:rPr>
        <w:t>ה“רוח</w:t>
      </w:r>
      <w:proofErr w:type="spellEnd"/>
      <w:r>
        <w:rPr>
          <w:rtl/>
        </w:rPr>
        <w:t xml:space="preserve"> רעה” שעל ידיו של ר׳ </w:t>
      </w:r>
      <w:proofErr w:type="spellStart"/>
      <w:r>
        <w:rPr>
          <w:rtl/>
        </w:rPr>
        <w:t>זלמל׳ה</w:t>
      </w:r>
      <w:proofErr w:type="spellEnd"/>
      <w:r>
        <w:rPr>
          <w:rtl/>
        </w:rPr>
        <w:t xml:space="preserve"> הישן]. אפשר לשער ששני המאורעות אירעו באותו פורים: לאחר שר׳ </w:t>
      </w:r>
      <w:proofErr w:type="spellStart"/>
      <w:r>
        <w:rPr>
          <w:rtl/>
        </w:rPr>
        <w:t>זלמל׳ה</w:t>
      </w:r>
      <w:proofErr w:type="spellEnd"/>
      <w:r>
        <w:rPr>
          <w:rtl/>
        </w:rPr>
        <w:t xml:space="preserve"> הישן “טימא” בשוגג את הפירות היקרים, אמר הגאון בבדיחות הדעת את דבריו על ידיעותיו המקיפות של תלמידו, כדי לרומם את מעמדו בעיני בני בית הגאון עד שאיש לא יעלה בדעתו להאשימו בנזק שגרם.</w:t>
      </w:r>
    </w:p>
    <w:p w14:paraId="56C01CE1" w14:textId="299A89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למחרת הובא ר׳ </w:t>
      </w:r>
      <w:proofErr w:type="spellStart"/>
      <w:r>
        <w:rPr>
          <w:rtl/>
        </w:rPr>
        <w:t>דוד׳ל</w:t>
      </w:r>
      <w:proofErr w:type="spellEnd"/>
      <w:r>
        <w:rPr>
          <w:rtl/>
        </w:rPr>
        <w:t xml:space="preserve"> לאולם גדול, כדי שבני התורה ישביעו את עיניהם בו. הוא ישב, אמר מילים אחדות בקול חלש, והשתמש בזכוכית מגדלת לקריאה</w:t>
      </w:r>
      <w:bookmarkStart w:id="4791" w:name="b4_text146"/>
      <w:bookmarkEnd w:id="4791"/>
      <w:r>
        <w:rPr>
          <w:sz w:val="18"/>
          <w:szCs w:val="18"/>
          <w:vertAlign w:val="superscript"/>
          <w:rtl/>
        </w:rPr>
        <w:fldChar w:fldCharType="begin" w:dirty="true"/>
      </w:r>
      <w:r>
        <w:rPr>
          <w:sz w:val="18"/>
          <w:szCs w:val="18"/>
          <w:vertAlign w:val="superscript"/>
          <w:rtl/>
        </w:rPr>
        <w:instrText xml:space="preserve"> REF b4_note146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146</w:t>
      </w:r>
      <w:r>
        <w:rPr>
          <w:sz w:val="18"/>
          <w:szCs w:val="18"/>
          <w:vertAlign w:val="superscript"/>
          <w:rtl/>
        </w:rPr>
        <w:fldChar w:fldCharType="end"/>
      </w:r>
      <w:r>
        <w:rPr>
          <w:rtl/>
        </w:rPr>
        <w:t>.</w:t>
      </w:r>
    </w:p>
    <w:bookmarkStart w:id="4792" w:name="b4_note146"/>
    <w:p w14:paraId="2320D0B0" w14:textId="77777777" w:rsidR="00AB3647" w:rsidRDefault="00000000" w:rsidP="007923E9">
      <w:pPr>
        <w:spacing w:before="120" w:after="100" w:line="276" w:lineRule="auto"/>
        <w:jc w:val="both"/>
      </w:pPr>
      <w:r>
        <w:fldChar w:fldCharType="begin" w:dirty="true"/>
      </w:r>
      <w:r>
        <w:instrText>HYPERLINK \l "b4_text146" \h</w:instrText>
      </w:r>
      <w:r>
        <w:fldChar w:fldCharType="separate"/>
      </w:r>
      <w:r>
        <w:rPr>
          <w:b/>
          <w:bCs/>
          <w:rtl/>
        </w:rPr>
        <w:t>146</w:t>
      </w:r>
      <w:r>
        <w:rPr>
          <w:b/>
          <w:bCs/>
        </w:rPr>
        <w:fldChar w:fldCharType="end"/>
      </w:r>
      <w:bookmarkEnd w:id="4792"/>
      <w:r>
        <w:rPr>
          <w:rtl/>
        </w:rPr>
        <w:t xml:space="preserve"> “הוא ישב כשדיבר בקול חלש, והשתמש בזכוכית מגדלת לקריאה”, אמר ר׳ קופל </w:t>
      </w:r>
      <w:proofErr w:type="spellStart"/>
      <w:r>
        <w:rPr>
          <w:rtl/>
        </w:rPr>
        <w:t>וולפרט</w:t>
      </w:r>
      <w:proofErr w:type="spellEnd"/>
      <w:r>
        <w:rPr>
          <w:rtl/>
        </w:rPr>
        <w:t xml:space="preserve">. ר׳ </w:t>
      </w:r>
      <w:proofErr w:type="spellStart"/>
      <w:r>
        <w:rPr>
          <w:rtl/>
        </w:rPr>
        <w:t>דוד׳ל</w:t>
      </w:r>
      <w:proofErr w:type="spellEnd"/>
      <w:r>
        <w:rPr>
          <w:rtl/>
        </w:rPr>
        <w:t xml:space="preserve"> היה אז בן שבעים ותשע. </w:t>
      </w:r>
      <w:proofErr w:type="spellStart"/>
      <w:r>
        <w:rPr>
          <w:rtl/>
        </w:rPr>
        <w:t>בתר״ע</w:t>
      </w:r>
      <w:proofErr w:type="spellEnd"/>
      <w:r>
        <w:rPr>
          <w:rtl/>
        </w:rPr>
        <w:t xml:space="preserve"> אזר כוח ונסע לבירת רוסיה, פטרבורג, להשתתף באספת הרבנים שנבחר לנשיא הכבוד שלה, כדי להגן בתקיפות על הרבנות ברוסיה מפני פגיעתם של המשכילים הרפורמיסטים</w:t>
      </w:r>
      <w:bookmarkStart w:id="4793" w:name="_fnr3533"/>
      <w:r>
        <w:rPr>
          <w:vertAlign w:val="superscript"/>
          <w:rtl/>
        </w:rPr>
        <w:footnoteReference w:id="3541" w:customMarkFollows="0"/>
      </w:r>
      <w:bookmarkEnd w:id="4793"/>
      <w:r>
        <w:rPr>
          <w:rtl/>
        </w:rPr>
        <w:t>.</w:t>
      </w:r>
    </w:p>
    <w:p w14:paraId="3CF2A776" w14:textId="77777777" w:rsidR="00AB3647" w:rsidRDefault="00000000" w:rsidP="007923E9">
      <w:pPr>
        <w:spacing w:before="120" w:after="100" w:line="276" w:lineRule="auto"/>
        <w:jc w:val="both"/>
      </w:pPr>
      <w:r>
        <w:rPr>
          <w:rtl/>
        </w:rPr>
        <w:t xml:space="preserve">בן שמונים וחמש פרסם איגרת נגד “חברת מפיצי השכלה”, בשל ניסיונה לשנות את סדרי החדר המסורתיים. במכתב נאמר (בחלקו): “אחיי, שמעו לעצת זקן בא בימים, שראה בעיניו את כל תקופת ההשכלה מראשית צמיחתה, ואת כל הרעה הנוראה שעוללה לבית ישראל. האין </w:t>
      </w:r>
      <w:r>
        <w:rPr>
          <w:rtl/>
        </w:rPr>
        <w:lastRenderedPageBreak/>
        <w:t xml:space="preserve">די לכם בכל השגגות והזדונות שעשתה חברתכם במשך קיומה? האין די, אחיי, בניסיון המר מפירות </w:t>
      </w:r>
      <w:proofErr w:type="spellStart"/>
      <w:r>
        <w:rPr>
          <w:rtl/>
        </w:rPr>
        <w:t>ה‘השכלה</w:t>
      </w:r>
      <w:proofErr w:type="spellEnd"/>
      <w:r>
        <w:rPr>
          <w:rtl/>
        </w:rPr>
        <w:t>’ המזויפת? חדלו מתוכניתכם הרעה להכניס ‘</w:t>
      </w:r>
      <w:proofErr w:type="spellStart"/>
      <w:r>
        <w:rPr>
          <w:rtl/>
        </w:rPr>
        <w:t>תיקונים’־קלקולים</w:t>
      </w:r>
      <w:proofErr w:type="spellEnd"/>
      <w:r>
        <w:rPr>
          <w:rtl/>
        </w:rPr>
        <w:t xml:space="preserve"> </w:t>
      </w:r>
      <w:proofErr w:type="spellStart"/>
      <w:r>
        <w:rPr>
          <w:rtl/>
        </w:rPr>
        <w:t>ל‘חדר</w:t>
      </w:r>
      <w:proofErr w:type="spellEnd"/>
      <w:r>
        <w:rPr>
          <w:rtl/>
        </w:rPr>
        <w:t>’ של ילדי ישראל – ‘אל תגעו במשיחי’</w:t>
      </w:r>
      <w:bookmarkStart w:id="4794" w:name="_fnr3534"/>
      <w:r>
        <w:rPr>
          <w:vertAlign w:val="superscript"/>
          <w:rtl/>
        </w:rPr>
        <w:footnoteReference w:id="3542" w:customMarkFollows="0"/>
      </w:r>
      <w:bookmarkEnd w:id="4794"/>
      <w:r>
        <w:rPr>
          <w:rtl/>
        </w:rPr>
        <w:t xml:space="preserve"> אלו תינוקות של בית רבן, אומרים חז״ל</w:t>
      </w:r>
      <w:bookmarkStart w:id="4795" w:name="_fnr3535"/>
      <w:r>
        <w:rPr>
          <w:vertAlign w:val="superscript"/>
          <w:rtl/>
        </w:rPr>
        <w:footnoteReference w:id="3543" w:customMarkFollows="0"/>
      </w:r>
      <w:bookmarkEnd w:id="4795"/>
      <w:r>
        <w:rPr>
          <w:rtl/>
        </w:rPr>
        <w:t xml:space="preserve"> – כי בכך נביא, חס ושלום, כליה מוחלטת על היהדות כולה”.</w:t>
      </w:r>
    </w:p>
    <w:p w14:paraId="440F2432" w14:textId="77777777" w:rsidR="00AB3647" w:rsidRDefault="00000000" w:rsidP="007923E9">
      <w:pPr>
        <w:spacing w:before="120" w:after="100" w:line="276" w:lineRule="auto"/>
        <w:jc w:val="both"/>
      </w:pPr>
      <w:r>
        <w:rPr>
          <w:rtl/>
        </w:rPr>
        <w:t xml:space="preserve">מעניין שיחסו לקבוצות הציוניות שהתגבשו באמצע שנות </w:t>
      </w:r>
      <w:proofErr w:type="spellStart"/>
      <w:r>
        <w:rPr>
          <w:rtl/>
        </w:rPr>
        <w:t>הת״ר</w:t>
      </w:r>
      <w:proofErr w:type="spellEnd"/>
      <w:r>
        <w:rPr>
          <w:rtl/>
        </w:rPr>
        <w:t xml:space="preserve"> היה חיובי, שלא כמקובל, והוא השתתף בוועידת “חובבי ציון” </w:t>
      </w:r>
      <w:proofErr w:type="spellStart"/>
      <w:r>
        <w:rPr>
          <w:rtl/>
        </w:rPr>
        <w:t>בקטוביץ</w:t>
      </w:r>
      <w:proofErr w:type="spellEnd"/>
      <w:r>
        <w:rPr>
          <w:rtl/>
        </w:rPr>
        <w:t xml:space="preserve"> </w:t>
      </w:r>
      <w:proofErr w:type="spellStart"/>
      <w:r>
        <w:rPr>
          <w:rtl/>
        </w:rPr>
        <w:t>בתרמ״ה</w:t>
      </w:r>
      <w:bookmarkStart w:id="4796" w:name="_fnr3536"/>
      <w:proofErr w:type="spellEnd"/>
      <w:r>
        <w:rPr>
          <w:vertAlign w:val="superscript"/>
          <w:rtl/>
        </w:rPr>
        <w:footnoteReference w:id="3544" w:customMarkFollows="0"/>
      </w:r>
      <w:bookmarkEnd w:id="4796"/>
      <w:r>
        <w:rPr>
          <w:rtl/>
        </w:rPr>
        <w:t>. אבל פחות מעשרים שנה אחר כך שינה את דעתו על התנועה</w:t>
      </w:r>
      <w:bookmarkStart w:id="4797" w:name="_fnr3537"/>
      <w:r>
        <w:rPr>
          <w:vertAlign w:val="superscript"/>
          <w:rtl/>
        </w:rPr>
        <w:footnoteReference w:id="3545" w:customMarkFollows="0"/>
      </w:r>
      <w:bookmarkStart w:id="4798" w:name="_fnr3538"/>
      <w:bookmarkEnd w:id="4797"/>
      <w:r>
        <w:rPr>
          <w:vertAlign w:val="superscript"/>
          <w:rtl/>
        </w:rPr>
        <w:footnoteReference w:id="3546" w:customMarkFollows="0"/>
      </w:r>
      <w:bookmarkEnd w:id="4798"/>
      <w:r>
        <w:rPr>
          <w:rtl/>
        </w:rPr>
        <w:t xml:space="preserve">. במכתב שהתגלה לאחרונה, לגיסו ר׳ </w:t>
      </w:r>
      <w:proofErr w:type="spellStart"/>
      <w:r>
        <w:rPr>
          <w:rtl/>
        </w:rPr>
        <w:t>יחיאל־מיכל</w:t>
      </w:r>
      <w:proofErr w:type="spellEnd"/>
      <w:r>
        <w:rPr>
          <w:rtl/>
        </w:rPr>
        <w:t xml:space="preserve"> פינס, מתאריך י״ד באלול תרס״א</w:t>
      </w:r>
      <w:bookmarkStart w:id="4799" w:name="_fnr3539"/>
      <w:r>
        <w:rPr>
          <w:vertAlign w:val="superscript"/>
          <w:rtl/>
        </w:rPr>
        <w:footnoteReference w:id="3547" w:customMarkFollows="0"/>
      </w:r>
      <w:bookmarkEnd w:id="4799"/>
      <w:r>
        <w:rPr>
          <w:rtl/>
        </w:rPr>
        <w:t xml:space="preserve">, כתב: “פעולות הצדקה נקלעו למצוקה בארצנו [רוסיה]. [הסיבה העיקרית] היא שקהל עריצי הציונים, החוטאים </w:t>
      </w:r>
      <w:proofErr w:type="spellStart"/>
      <w:r>
        <w:rPr>
          <w:rtl/>
        </w:rPr>
        <w:t>בנפשותם</w:t>
      </w:r>
      <w:proofErr w:type="spellEnd"/>
      <w:r>
        <w:rPr>
          <w:rtl/>
        </w:rPr>
        <w:t xml:space="preserve">, שופכים סכומי כסף גדולים לתוך אחוזותיהם [מושבותיהם] לתוהו, לשיגעון ולאיוולת, </w:t>
      </w:r>
      <w:proofErr w:type="spellStart"/>
      <w:r>
        <w:rPr>
          <w:rtl/>
        </w:rPr>
        <w:t>לחרמות</w:t>
      </w:r>
      <w:proofErr w:type="spellEnd"/>
      <w:r>
        <w:rPr>
          <w:rtl/>
        </w:rPr>
        <w:t xml:space="preserve"> ולשקרים, ו[למען] נביאי השקר שלהם, המתירים להם עריות וחילול שבת </w:t>
      </w:r>
      <w:proofErr w:type="spellStart"/>
      <w:r>
        <w:rPr>
          <w:rtl/>
        </w:rPr>
        <w:t>בפרהסיא</w:t>
      </w:r>
      <w:proofErr w:type="spellEnd"/>
      <w:r>
        <w:rPr>
          <w:rtl/>
        </w:rPr>
        <w:t xml:space="preserve"> – ובלבד שיהיו לאומי...”</w:t>
      </w:r>
    </w:p>
    <w:p w14:paraId="13EC7333" w14:textId="19AFC11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נהנה מחגיגות הפורים בישיבה, כשהזמן קרב לסיומו</w:t>
      </w:r>
      <w:bookmarkStart w:id="4800" w:name="b4_text147"/>
      <w:bookmarkEnd w:id="4800"/>
      <w:r>
        <w:rPr>
          <w:sz w:val="18"/>
          <w:szCs w:val="18"/>
          <w:vertAlign w:val="superscript"/>
          <w:rtl/>
        </w:rPr>
        <w:fldChar w:fldCharType="begin" w:dirty="true"/>
      </w:r>
      <w:r>
        <w:rPr>
          <w:sz w:val="18"/>
          <w:szCs w:val="18"/>
          <w:vertAlign w:val="superscript"/>
          <w:rtl/>
        </w:rPr>
        <w:instrText xml:space="preserve"> REF b4_note147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147</w:t>
      </w:r>
      <w:r>
        <w:rPr>
          <w:sz w:val="18"/>
          <w:szCs w:val="18"/>
          <w:vertAlign w:val="superscript"/>
          <w:rtl/>
        </w:rPr>
        <w:fldChar w:fldCharType="end"/>
      </w:r>
      <w:r>
        <w:rPr>
          <w:rtl/>
        </w:rPr>
        <w:t>. הוא העריך את חריפות המחשבה</w:t>
      </w:r>
      <w:bookmarkStart w:id="4801" w:name="b4_text148"/>
      <w:bookmarkEnd w:id="4801"/>
      <w:r>
        <w:rPr>
          <w:sz w:val="18"/>
          <w:szCs w:val="18"/>
          <w:vertAlign w:val="superscript"/>
          <w:rtl/>
        </w:rPr>
        <w:fldChar w:fldCharType="begin" w:dirty="true"/>
      </w:r>
      <w:r>
        <w:rPr>
          <w:sz w:val="18"/>
          <w:szCs w:val="18"/>
          <w:vertAlign w:val="superscript"/>
          <w:rtl/>
        </w:rPr>
        <w:instrText xml:space="preserve"> REF b4_note148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148</w:t>
      </w:r>
      <w:r>
        <w:rPr>
          <w:sz w:val="18"/>
          <w:szCs w:val="18"/>
          <w:vertAlign w:val="superscript"/>
          <w:rtl/>
        </w:rPr>
        <w:fldChar w:fldCharType="end"/>
      </w:r>
      <w:r>
        <w:rPr>
          <w:rtl/>
        </w:rPr>
        <w:t xml:space="preserve"> שהפגין </w:t>
      </w:r>
      <w:proofErr w:type="spellStart"/>
      <w:r>
        <w:rPr>
          <w:rtl/>
        </w:rPr>
        <w:t>ה“פורים־רב</w:t>
      </w:r>
      <w:proofErr w:type="spellEnd"/>
      <w:r>
        <w:rPr>
          <w:rtl/>
        </w:rPr>
        <w:t xml:space="preserve">” של כנסת ישראל, אליה </w:t>
      </w:r>
      <w:proofErr w:type="spellStart"/>
      <w:r>
        <w:rPr>
          <w:rtl/>
        </w:rPr>
        <w:t>ריטעווער</w:t>
      </w:r>
      <w:proofErr w:type="spellEnd"/>
      <w:r>
        <w:rPr>
          <w:rtl/>
        </w:rPr>
        <w:t xml:space="preserve"> (בירק)</w:t>
      </w:r>
      <w:bookmarkStart w:id="4802" w:name="b4_text149"/>
      <w:bookmarkEnd w:id="4802"/>
      <w:r>
        <w:rPr>
          <w:sz w:val="18"/>
          <w:szCs w:val="18"/>
          <w:vertAlign w:val="superscript"/>
          <w:rtl/>
        </w:rPr>
        <w:fldChar w:fldCharType="begin" w:dirty="true"/>
      </w:r>
      <w:r>
        <w:rPr>
          <w:sz w:val="18"/>
          <w:szCs w:val="18"/>
          <w:vertAlign w:val="superscript"/>
          <w:rtl/>
        </w:rPr>
        <w:instrText xml:space="preserve"> REF b4_note149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149</w:t>
      </w:r>
      <w:r>
        <w:rPr>
          <w:sz w:val="18"/>
          <w:szCs w:val="18"/>
          <w:vertAlign w:val="superscript"/>
          <w:rtl/>
        </w:rPr>
        <w:fldChar w:fldCharType="end"/>
      </w:r>
      <w:r>
        <w:rPr>
          <w:rtl/>
        </w:rPr>
        <w:t xml:space="preserve">. באותה שנה ספגו שתי ישיבות </w:t>
      </w:r>
      <w:proofErr w:type="spellStart"/>
      <w:r>
        <w:rPr>
          <w:rtl/>
        </w:rPr>
        <w:t>סלבודקה</w:t>
      </w:r>
      <w:proofErr w:type="spellEnd"/>
      <w:r>
        <w:rPr>
          <w:rtl/>
        </w:rPr>
        <w:t xml:space="preserve"> את חיצי הביקורת.</w:t>
      </w:r>
    </w:p>
    <w:bookmarkStart w:id="4803" w:name="b4_note147"/>
    <w:p w14:paraId="710C279E" w14:textId="068FCBA7" w:rsidR="00AB3647" w:rsidRDefault="00000000" w:rsidP="007923E9">
      <w:pPr>
        <w:spacing w:before="120" w:after="100" w:line="276" w:lineRule="auto"/>
        <w:jc w:val="both"/>
      </w:pPr>
      <w:r>
        <w:fldChar w:fldCharType="begin" w:dirty="true"/>
      </w:r>
      <w:r>
        <w:instrText>HYPERLINK \l "b4_text147" \h</w:instrText>
      </w:r>
      <w:r>
        <w:fldChar w:fldCharType="separate"/>
      </w:r>
      <w:r>
        <w:rPr>
          <w:b/>
          <w:bCs/>
          <w:rtl/>
        </w:rPr>
        <w:t>147</w:t>
      </w:r>
      <w:r>
        <w:rPr>
          <w:b/>
          <w:bCs/>
        </w:rPr>
        <w:fldChar w:fldCharType="end"/>
      </w:r>
      <w:bookmarkEnd w:id="4803"/>
      <w:r>
        <w:rPr>
          <w:rtl/>
        </w:rPr>
        <w:t xml:space="preserve"> בישיבה התקיים בפורים סדר בוקר רגיל, לאחר קריאת המגילה. עובדה מפתיעה זו סיפר אבי לנכדו ר׳ יצחק </w:t>
      </w:r>
      <w:proofErr w:type="spellStart"/>
      <w:r>
        <w:rPr>
          <w:rtl/>
        </w:rPr>
        <w:t>שורין</w:t>
      </w:r>
      <w:bookmarkStart w:id="4804" w:name="_fnr3540"/>
      <w:proofErr w:type="spellEnd"/>
      <w:r>
        <w:rPr>
          <w:vertAlign w:val="superscript"/>
          <w:rtl/>
        </w:rPr>
        <w:footnoteReference w:id="3548" w:customMarkFollows="0"/>
      </w:r>
      <w:bookmarkEnd w:id="4804"/>
      <w:r>
        <w:rPr>
          <w:rtl/>
        </w:rPr>
        <w:t>, כשסיפר שבשעות אחר הצהריים של פורים ביקר רבנו אצל ר׳ נפתלי אמסטרדם</w:t>
      </w:r>
      <w:bookmarkStart w:id="4805" w:name="_fnr3541"/>
      <w:r>
        <w:rPr>
          <w:vertAlign w:val="superscript"/>
          <w:rtl/>
        </w:rPr>
        <w:footnoteReference w:id="3549" w:customMarkFollows="0"/>
      </w:r>
      <w:bookmarkEnd w:id="4805"/>
      <w:r>
        <w:rPr>
          <w:rtl/>
        </w:rPr>
        <w:t xml:space="preserve">.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ימי השבוע במהלך השנה שבהם לא שמעו התלמידים שיעורים בישיבת </w:t>
      </w:r>
      <w:proofErr w:type="spellStart"/>
      <w:r>
        <w:rPr>
          <w:rtl/>
        </w:rPr>
        <w:t>וולוז׳ין</w:t>
      </w:r>
      <w:proofErr w:type="spellEnd"/>
      <w:r>
        <w:rPr>
          <w:rtl/>
        </w:rPr>
        <w:t>; נראה שגם בפורים נאמר השיעור היומי הרגיל</w:t>
      </w:r>
      <w:bookmarkStart w:id="4806" w:name="_fnr3542"/>
      <w:r>
        <w:rPr>
          <w:vertAlign w:val="superscript"/>
          <w:rtl/>
        </w:rPr>
        <w:footnoteReference w:id="3550" w:customMarkFollows="0"/>
      </w:r>
      <w:bookmarkEnd w:id="4806"/>
      <w:r>
        <w:rPr>
          <w:rtl/>
        </w:rPr>
        <w:t>.</w:t>
      </w:r>
    </w:p>
    <w:bookmarkStart w:id="4807" w:name="b4_note148"/>
    <w:p w14:paraId="7A58CC29" w14:textId="55848AE7" w:rsidR="00AB3647" w:rsidRDefault="00000000" w:rsidP="007923E9">
      <w:pPr>
        <w:spacing w:before="120" w:after="100" w:line="276" w:lineRule="auto"/>
        <w:jc w:val="both"/>
      </w:pPr>
      <w:r>
        <w:fldChar w:fldCharType="begin" w:dirty="true"/>
      </w:r>
      <w:r>
        <w:instrText>HYPERLINK \l "b4_text148" \h</w:instrText>
      </w:r>
      <w:r>
        <w:fldChar w:fldCharType="separate"/>
      </w:r>
      <w:r>
        <w:rPr>
          <w:b/>
          <w:bCs/>
          <w:rtl/>
        </w:rPr>
        <w:t>148</w:t>
      </w:r>
      <w:r>
        <w:rPr>
          <w:b/>
          <w:bCs/>
        </w:rPr>
        <w:fldChar w:fldCharType="end"/>
      </w:r>
      <w:bookmarkEnd w:id="4807"/>
      <w:r>
        <w:rPr>
          <w:rtl/>
        </w:rPr>
        <w:t xml:space="preserve"> ראה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4808" w:name="b4_note149"/>
    <w:p w14:paraId="3B9D3329" w14:textId="77777777" w:rsidR="00AB3647" w:rsidRDefault="00000000" w:rsidP="007923E9">
      <w:pPr>
        <w:spacing w:before="120" w:after="100" w:line="276" w:lineRule="auto"/>
        <w:jc w:val="both"/>
      </w:pPr>
      <w:r>
        <w:fldChar w:fldCharType="begin" w:dirty="true"/>
      </w:r>
      <w:r>
        <w:instrText>HYPERLINK \l "b4_text149" \h</w:instrText>
      </w:r>
      <w:r>
        <w:fldChar w:fldCharType="separate"/>
      </w:r>
      <w:r>
        <w:rPr>
          <w:b/>
          <w:bCs/>
          <w:rtl/>
        </w:rPr>
        <w:t>149</w:t>
      </w:r>
      <w:r>
        <w:rPr>
          <w:b/>
          <w:bCs/>
        </w:rPr>
        <w:fldChar w:fldCharType="end"/>
      </w:r>
      <w:bookmarkEnd w:id="4808"/>
      <w:r>
        <w:rPr>
          <w:rtl/>
        </w:rPr>
        <w:t xml:space="preserve"> חתנו הגדול של רבנו, ר׳ ישראל </w:t>
      </w:r>
      <w:proofErr w:type="spellStart"/>
      <w:r>
        <w:rPr>
          <w:rtl/>
        </w:rPr>
        <w:t>שורין</w:t>
      </w:r>
      <w:proofErr w:type="spellEnd"/>
      <w:r>
        <w:rPr>
          <w:rtl/>
        </w:rPr>
        <w:t xml:space="preserve">, יליד </w:t>
      </w:r>
      <w:proofErr w:type="spellStart"/>
      <w:r>
        <w:rPr>
          <w:rtl/>
        </w:rPr>
        <w:t>ריטובה</w:t>
      </w:r>
      <w:proofErr w:type="spellEnd"/>
      <w:r>
        <w:rPr>
          <w:rtl/>
        </w:rPr>
        <w:t>, זכר אותו משם וגם לאחר שעבר לארץ ישראל, שם היו לו פרדסי תפוזים שעיבד</w:t>
      </w:r>
      <w:bookmarkStart w:id="4809" w:name="_fnr3543"/>
      <w:r>
        <w:rPr>
          <w:vertAlign w:val="superscript"/>
          <w:rtl/>
        </w:rPr>
        <w:footnoteReference w:id="3551" w:customMarkFollows="0"/>
      </w:r>
      <w:bookmarkEnd w:id="4809"/>
      <w:r>
        <w:rPr>
          <w:rtl/>
        </w:rPr>
        <w:t>.</w:t>
      </w:r>
    </w:p>
    <w:p w14:paraId="18C085E3" w14:textId="7B13040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זמן קצר לפני פורים אירע מאורע חמור בכנסת בית יצחק. אחד הבחורים המבוגרים והחשובים בא אל ר׳ משה פקרוביץ׳</w:t>
      </w:r>
      <w:bookmarkStart w:id="4810" w:name="b4_text150"/>
      <w:bookmarkEnd w:id="4810"/>
      <w:r>
        <w:rPr>
          <w:sz w:val="18"/>
          <w:szCs w:val="18"/>
          <w:vertAlign w:val="superscript"/>
          <w:rtl/>
        </w:rPr>
        <w:fldChar w:fldCharType="begin" w:dirty="true"/>
      </w:r>
      <w:r>
        <w:rPr>
          <w:sz w:val="18"/>
          <w:szCs w:val="18"/>
          <w:vertAlign w:val="superscript"/>
          <w:rtl/>
        </w:rPr>
        <w:instrText xml:space="preserve"> REF b4_note150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150</w:t>
      </w:r>
      <w:r>
        <w:rPr>
          <w:sz w:val="18"/>
          <w:szCs w:val="18"/>
          <w:vertAlign w:val="superscript"/>
          <w:rtl/>
        </w:rPr>
        <w:fldChar w:fldCharType="end"/>
      </w:r>
      <w:r>
        <w:rPr>
          <w:rtl/>
        </w:rPr>
        <w:t xml:space="preserve">, המשגיח שהיה ממונה על חלוקת התמיכות, וביקש תוספת. </w:t>
      </w:r>
      <w:r>
        <w:rPr>
          <w:rtl/>
        </w:rPr>
        <w:lastRenderedPageBreak/>
        <w:t>כשנענה בשלילה, איבד את עשתונותיו וסטר סטירה מצלצלת על לחיו של ר׳ משה</w:t>
      </w:r>
      <w:bookmarkStart w:id="4811" w:name="b4_text151"/>
      <w:bookmarkEnd w:id="4811"/>
      <w:r>
        <w:rPr>
          <w:sz w:val="18"/>
          <w:szCs w:val="18"/>
          <w:vertAlign w:val="superscript"/>
          <w:rtl/>
        </w:rPr>
        <w:fldChar w:fldCharType="begin" w:dirty="true"/>
      </w:r>
      <w:r>
        <w:rPr>
          <w:sz w:val="18"/>
          <w:szCs w:val="18"/>
          <w:vertAlign w:val="superscript"/>
          <w:rtl/>
        </w:rPr>
        <w:instrText xml:space="preserve"> REF b4_note151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151</w:t>
      </w:r>
      <w:r>
        <w:rPr>
          <w:sz w:val="18"/>
          <w:szCs w:val="18"/>
          <w:vertAlign w:val="superscript"/>
          <w:rtl/>
        </w:rPr>
        <w:fldChar w:fldCharType="end"/>
      </w:r>
      <w:r>
        <w:rPr>
          <w:rtl/>
        </w:rPr>
        <w:t>. מאורע כזה סיפק חומר גלם מתבקש לבדיחות הפורים.</w:t>
      </w:r>
    </w:p>
    <w:bookmarkStart w:id="4812" w:name="b4_note150"/>
    <w:p w14:paraId="2CDD0EB6" w14:textId="77777777" w:rsidR="00AB3647" w:rsidRDefault="00000000" w:rsidP="007923E9">
      <w:pPr>
        <w:spacing w:before="120" w:after="100" w:line="276" w:lineRule="auto"/>
        <w:jc w:val="both"/>
      </w:pPr>
      <w:r>
        <w:fldChar w:fldCharType="begin" w:dirty="true"/>
      </w:r>
      <w:r>
        <w:instrText>HYPERLINK \l "b4_text150" \h</w:instrText>
      </w:r>
      <w:r>
        <w:fldChar w:fldCharType="separate"/>
      </w:r>
      <w:r>
        <w:rPr>
          <w:b/>
          <w:bCs/>
          <w:rtl/>
        </w:rPr>
        <w:t>150</w:t>
      </w:r>
      <w:r>
        <w:rPr>
          <w:b/>
          <w:bCs/>
        </w:rPr>
        <w:fldChar w:fldCharType="end"/>
      </w:r>
      <w:bookmarkEnd w:id="4812"/>
      <w:r>
        <w:rPr>
          <w:rtl/>
        </w:rPr>
        <w:t xml:space="preserve"> ר׳ קופל </w:t>
      </w:r>
      <w:proofErr w:type="spellStart"/>
      <w:r>
        <w:rPr>
          <w:rtl/>
        </w:rPr>
        <w:t>וולפרט</w:t>
      </w:r>
      <w:bookmarkStart w:id="4813" w:name="_fnr3544"/>
      <w:proofErr w:type="spellEnd"/>
      <w:r>
        <w:rPr>
          <w:vertAlign w:val="superscript"/>
          <w:rtl/>
        </w:rPr>
        <w:footnoteReference w:id="3552" w:customMarkFollows="0"/>
      </w:r>
      <w:bookmarkEnd w:id="4813"/>
      <w:r>
        <w:rPr>
          <w:rtl/>
        </w:rPr>
        <w:t xml:space="preserve"> תיאר את ר׳ משה </w:t>
      </w:r>
      <w:proofErr w:type="spellStart"/>
      <w:r>
        <w:rPr>
          <w:rtl/>
        </w:rPr>
        <w:t>פקרוביץ</w:t>
      </w:r>
      <w:proofErr w:type="spellEnd"/>
      <w:r>
        <w:rPr>
          <w:rtl/>
        </w:rPr>
        <w:t xml:space="preserve">׳ </w:t>
      </w:r>
      <w:proofErr w:type="spellStart"/>
      <w:r>
        <w:rPr>
          <w:rtl/>
        </w:rPr>
        <w:t>כ“אדם</w:t>
      </w:r>
      <w:proofErr w:type="spellEnd"/>
      <w:r>
        <w:rPr>
          <w:rtl/>
        </w:rPr>
        <w:t xml:space="preserve"> </w:t>
      </w:r>
      <w:proofErr w:type="spellStart"/>
      <w:r>
        <w:rPr>
          <w:rtl/>
        </w:rPr>
        <w:t>עב־בשר</w:t>
      </w:r>
      <w:proofErr w:type="spellEnd"/>
      <w:r>
        <w:rPr>
          <w:rtl/>
        </w:rPr>
        <w:t xml:space="preserve"> שמשקלו לפחות 113 ק״ג, ויהודי פיקח שהיה מסרק לאיטו את זקנו באצבעותיו כשהוא בוחן אותך – כקצין משטרה רוסי”. גם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14" w:name="_fnr3545"/>
      <w:r>
        <w:rPr>
          <w:vertAlign w:val="superscript"/>
          <w:rtl/>
        </w:rPr>
        <w:footnoteReference w:id="3553" w:customMarkFollows="0"/>
      </w:r>
      <w:bookmarkEnd w:id="4814"/>
      <w:r>
        <w:rPr>
          <w:rtl/>
        </w:rPr>
        <w:t xml:space="preserve"> מתוארות תכונותיו בדרך דומה: “הוא היה יהודי פיקח ושקול בדעתו”. לפי כץ, “תנועת המוסר”, כרך ג</w:t>
      </w:r>
      <w:bookmarkStart w:id="4815" w:name="_fnr3546"/>
      <w:r>
        <w:rPr>
          <w:vertAlign w:val="superscript"/>
          <w:rtl/>
        </w:rPr>
        <w:footnoteReference w:id="3554" w:customMarkFollows="0"/>
      </w:r>
      <w:bookmarkEnd w:id="4815"/>
      <w:r>
        <w:rPr>
          <w:rtl/>
        </w:rPr>
        <w:t xml:space="preserve">, בעת ייסוד הישיבה </w:t>
      </w:r>
      <w:proofErr w:type="spellStart"/>
      <w:r>
        <w:rPr>
          <w:rtl/>
        </w:rPr>
        <w:t>בתרנ״ז</w:t>
      </w:r>
      <w:proofErr w:type="spellEnd"/>
      <w:r>
        <w:rPr>
          <w:rtl/>
        </w:rPr>
        <w:t xml:space="preserve"> היה רק משגיח, ואחר כך – כנראה </w:t>
      </w:r>
      <w:proofErr w:type="spellStart"/>
      <w:r>
        <w:rPr>
          <w:rtl/>
        </w:rPr>
        <w:t>זמן־מה</w:t>
      </w:r>
      <w:proofErr w:type="spellEnd"/>
      <w:r>
        <w:rPr>
          <w:rtl/>
        </w:rPr>
        <w:t xml:space="preserve"> לאחר המאורע המסופר כאן – נעשה מנהל ממש.</w:t>
      </w:r>
    </w:p>
    <w:p w14:paraId="378A2D44" w14:textId="77777777" w:rsidR="00AB3647" w:rsidRDefault="00000000" w:rsidP="007923E9">
      <w:pPr>
        <w:spacing w:before="120" w:after="100" w:line="276" w:lineRule="auto"/>
        <w:jc w:val="both"/>
      </w:pPr>
      <w:proofErr w:type="spellStart"/>
      <w:r>
        <w:rPr>
          <w:rtl/>
        </w:rPr>
        <w:t>בתר״ע</w:t>
      </w:r>
      <w:proofErr w:type="spellEnd"/>
      <w:r>
        <w:rPr>
          <w:rtl/>
        </w:rPr>
        <w:t xml:space="preserve">, לאחר שנפטר ר׳ </w:t>
      </w:r>
      <w:proofErr w:type="spellStart"/>
      <w:r>
        <w:rPr>
          <w:rtl/>
        </w:rPr>
        <w:t>צבי־הירש</w:t>
      </w:r>
      <w:proofErr w:type="spellEnd"/>
      <w:r>
        <w:rPr>
          <w:rtl/>
        </w:rPr>
        <w:t xml:space="preserve"> </w:t>
      </w:r>
      <w:proofErr w:type="spellStart"/>
      <w:r>
        <w:rPr>
          <w:rtl/>
        </w:rPr>
        <w:t>רבינוביץ</w:t>
      </w:r>
      <w:proofErr w:type="spellEnd"/>
      <w:r>
        <w:rPr>
          <w:rtl/>
        </w:rPr>
        <w:t xml:space="preserve"> (“שנמנה עם ראשי מתנגדי המוסר”), הועלתה תוכנית לאחד את שתי ישיבות </w:t>
      </w:r>
      <w:proofErr w:type="spellStart"/>
      <w:r>
        <w:rPr>
          <w:rtl/>
        </w:rPr>
        <w:t>סלבודקה</w:t>
      </w:r>
      <w:bookmarkStart w:id="4816" w:name="_fnr3547"/>
      <w:proofErr w:type="spellEnd"/>
      <w:r>
        <w:rPr>
          <w:vertAlign w:val="superscript"/>
          <w:rtl/>
        </w:rPr>
        <w:footnoteReference w:id="3555" w:customMarkFollows="0"/>
      </w:r>
      <w:bookmarkEnd w:id="4816"/>
      <w:r>
        <w:rPr>
          <w:rtl/>
        </w:rPr>
        <w:t xml:space="preserve">. ר׳ </w:t>
      </w:r>
      <w:proofErr w:type="spellStart"/>
      <w:r>
        <w:rPr>
          <w:rtl/>
        </w:rPr>
        <w:t>משה־מרדכי</w:t>
      </w:r>
      <w:proofErr w:type="spellEnd"/>
      <w:r>
        <w:rPr>
          <w:rtl/>
        </w:rPr>
        <w:t xml:space="preserve"> אפשטיין נתמנה אז לרבה של </w:t>
      </w:r>
      <w:proofErr w:type="spellStart"/>
      <w:r>
        <w:rPr>
          <w:rtl/>
        </w:rPr>
        <w:t>סלבודקה</w:t>
      </w:r>
      <w:bookmarkStart w:id="4817" w:name="_fnr3548"/>
      <w:proofErr w:type="spellEnd"/>
      <w:r>
        <w:rPr>
          <w:vertAlign w:val="superscript"/>
          <w:rtl/>
        </w:rPr>
        <w:footnoteReference w:id="3556" w:customMarkFollows="0"/>
      </w:r>
      <w:bookmarkEnd w:id="4817"/>
      <w:r>
        <w:rPr>
          <w:rtl/>
        </w:rPr>
        <w:t xml:space="preserve">, ובלא ספק היה ר׳ </w:t>
      </w:r>
      <w:proofErr w:type="spellStart"/>
      <w:r>
        <w:rPr>
          <w:rtl/>
        </w:rPr>
        <w:t>ברוך־בער</w:t>
      </w:r>
      <w:proofErr w:type="spellEnd"/>
      <w:r>
        <w:rPr>
          <w:rtl/>
        </w:rPr>
        <w:t xml:space="preserve"> נעשה ראש הישיבה של שני המוסדות המאוחדים. אף שבשל דבקות התלמידים בר׳ </w:t>
      </w:r>
      <w:proofErr w:type="spellStart"/>
      <w:r>
        <w:rPr>
          <w:rtl/>
        </w:rPr>
        <w:t>ברוך־בער</w:t>
      </w:r>
      <w:proofErr w:type="spellEnd"/>
      <w:r>
        <w:rPr>
          <w:rtl/>
        </w:rPr>
        <w:t xml:space="preserve"> עשוי היה הסבא להעדיף ראש ישיבה מסוג אחר</w:t>
      </w:r>
      <w:bookmarkStart w:id="4818" w:name="_fnr3549"/>
      <w:r>
        <w:rPr>
          <w:vertAlign w:val="superscript"/>
          <w:rtl/>
        </w:rPr>
        <w:footnoteReference w:id="3557" w:customMarkFollows="0"/>
      </w:r>
      <w:bookmarkEnd w:id="4818"/>
      <w:r>
        <w:rPr>
          <w:rtl/>
        </w:rPr>
        <w:t xml:space="preserve">, ודאי נתן את הסכמתו לתוכנית, שהרי היא הפכה את תבוסתו במחלוקת המוסר </w:t>
      </w:r>
      <w:proofErr w:type="spellStart"/>
      <w:r>
        <w:rPr>
          <w:rtl/>
        </w:rPr>
        <w:t>שלוש־עשרה</w:t>
      </w:r>
      <w:proofErr w:type="spellEnd"/>
      <w:r>
        <w:rPr>
          <w:rtl/>
        </w:rPr>
        <w:t xml:space="preserve"> שנה קודם לכן, ואפשרה למוסר לכבוש מוסד תורה נוסף.</w:t>
      </w:r>
    </w:p>
    <w:p w14:paraId="4AF758AD" w14:textId="77777777" w:rsidR="00AB3647" w:rsidRDefault="00000000" w:rsidP="007923E9">
      <w:pPr>
        <w:spacing w:before="120" w:after="100" w:line="276" w:lineRule="auto"/>
        <w:jc w:val="both"/>
      </w:pPr>
      <w:r>
        <w:rPr>
          <w:rtl/>
        </w:rPr>
        <w:t xml:space="preserve">התוכנית “סוכלה בידי גורמים מבחוץ, מתנגדי המוסר”, אך בעקבות המשא ומתן עזב הרב </w:t>
      </w:r>
      <w:proofErr w:type="spellStart"/>
      <w:r>
        <w:rPr>
          <w:rtl/>
        </w:rPr>
        <w:t>פקרוביץ</w:t>
      </w:r>
      <w:proofErr w:type="spellEnd"/>
      <w:r>
        <w:rPr>
          <w:rtl/>
        </w:rPr>
        <w:t xml:space="preserve">׳ את כנסת בית יצחק ונעשה שד״ר של כנסת ישראל. מסתבר שזה התפקיד שיועד לו בתוכנית האיחוד. גם מינויו של ר׳ </w:t>
      </w:r>
      <w:proofErr w:type="spellStart"/>
      <w:r>
        <w:rPr>
          <w:rtl/>
        </w:rPr>
        <w:t>משה־מרדכי</w:t>
      </w:r>
      <w:proofErr w:type="spellEnd"/>
      <w:r>
        <w:rPr>
          <w:rtl/>
        </w:rPr>
        <w:t xml:space="preserve"> לרבנות </w:t>
      </w:r>
      <w:proofErr w:type="spellStart"/>
      <w:r>
        <w:rPr>
          <w:rtl/>
        </w:rPr>
        <w:t>סלבודקה</w:t>
      </w:r>
      <w:proofErr w:type="spellEnd"/>
      <w:r>
        <w:rPr>
          <w:rtl/>
        </w:rPr>
        <w:t xml:space="preserve"> עשוי היה להיות תוצאה של התוכנית [שלא יצאה לפועל]!</w:t>
      </w:r>
    </w:p>
    <w:p w14:paraId="0E11CFEC" w14:textId="77777777" w:rsidR="00AB3647" w:rsidRDefault="00000000" w:rsidP="007923E9">
      <w:pPr>
        <w:spacing w:before="120" w:after="100" w:line="276" w:lineRule="auto"/>
        <w:jc w:val="both"/>
      </w:pPr>
      <w:r>
        <w:rPr>
          <w:rtl/>
        </w:rPr>
        <w:t xml:space="preserve">אבל לפי ר׳ </w:t>
      </w:r>
      <w:proofErr w:type="spellStart"/>
      <w:r>
        <w:rPr>
          <w:rtl/>
        </w:rPr>
        <w:t>ישראל־אליעזר</w:t>
      </w:r>
      <w:proofErr w:type="spellEnd"/>
      <w:r>
        <w:rPr>
          <w:rtl/>
        </w:rPr>
        <w:t xml:space="preserve"> </w:t>
      </w:r>
      <w:proofErr w:type="spellStart"/>
      <w:r>
        <w:rPr>
          <w:rtl/>
        </w:rPr>
        <w:t>גרוזובסקי</w:t>
      </w:r>
      <w:bookmarkStart w:id="4819" w:name="_fnr3550"/>
      <w:proofErr w:type="spellEnd"/>
      <w:r>
        <w:rPr>
          <w:vertAlign w:val="superscript"/>
          <w:rtl/>
        </w:rPr>
        <w:footnoteReference w:id="3558" w:customMarkFollows="0"/>
      </w:r>
      <w:bookmarkEnd w:id="4819"/>
      <w:r>
        <w:rPr>
          <w:rtl/>
        </w:rPr>
        <w:t xml:space="preserve">, סיפר ר׳ קופל </w:t>
      </w:r>
      <w:proofErr w:type="spellStart"/>
      <w:r>
        <w:rPr>
          <w:rtl/>
        </w:rPr>
        <w:t>וולפרט</w:t>
      </w:r>
      <w:bookmarkStart w:id="4820" w:name="_fnr3551"/>
      <w:proofErr w:type="spellEnd"/>
      <w:r>
        <w:rPr>
          <w:vertAlign w:val="superscript"/>
          <w:rtl/>
        </w:rPr>
        <w:footnoteReference w:id="3559" w:customMarkFollows="0"/>
      </w:r>
      <w:bookmarkEnd w:id="4820"/>
      <w:r>
        <w:rPr>
          <w:rtl/>
        </w:rPr>
        <w:t xml:space="preserve"> מעשה אחר על האופן שבו נתמנה ר׳ </w:t>
      </w:r>
      <w:proofErr w:type="spellStart"/>
      <w:r>
        <w:rPr>
          <w:rtl/>
        </w:rPr>
        <w:t>משה־מרדכי</w:t>
      </w:r>
      <w:proofErr w:type="spellEnd"/>
      <w:r>
        <w:rPr>
          <w:rtl/>
        </w:rPr>
        <w:t xml:space="preserve">: “אספת הבוחרים החליטה תחילה למנות את ר׳ </w:t>
      </w:r>
      <w:proofErr w:type="spellStart"/>
      <w:r>
        <w:rPr>
          <w:rtl/>
        </w:rPr>
        <w:t>ברוך־בער</w:t>
      </w:r>
      <w:proofErr w:type="spellEnd"/>
      <w:r>
        <w:rPr>
          <w:rtl/>
        </w:rPr>
        <w:t xml:space="preserve"> לרבה של </w:t>
      </w:r>
      <w:proofErr w:type="spellStart"/>
      <w:r>
        <w:rPr>
          <w:rtl/>
        </w:rPr>
        <w:t>סלבודקה</w:t>
      </w:r>
      <w:proofErr w:type="spellEnd"/>
      <w:r>
        <w:rPr>
          <w:rtl/>
        </w:rPr>
        <w:t xml:space="preserve">, ושלחה את ר׳ </w:t>
      </w:r>
      <w:proofErr w:type="spellStart"/>
      <w:r>
        <w:rPr>
          <w:rtl/>
        </w:rPr>
        <w:t>חייקל</w:t>
      </w:r>
      <w:proofErr w:type="spellEnd"/>
      <w:r>
        <w:rPr>
          <w:rtl/>
        </w:rPr>
        <w:t xml:space="preserve">, מראשי הקהילה [שהיה מקורב מאוד לרב הקודם, ר׳ משה </w:t>
      </w:r>
      <w:proofErr w:type="spellStart"/>
      <w:r>
        <w:rPr>
          <w:rtl/>
        </w:rPr>
        <w:t>דנישבסקי</w:t>
      </w:r>
      <w:proofErr w:type="spellEnd"/>
      <w:r>
        <w:rPr>
          <w:rtl/>
        </w:rPr>
        <w:t xml:space="preserve">], ללכת לביתו ולהודיעו על המינוי. ר׳ </w:t>
      </w:r>
      <w:proofErr w:type="spellStart"/>
      <w:r>
        <w:rPr>
          <w:rtl/>
        </w:rPr>
        <w:t>ברוך־בער</w:t>
      </w:r>
      <w:proofErr w:type="spellEnd"/>
      <w:r>
        <w:rPr>
          <w:rtl/>
        </w:rPr>
        <w:t xml:space="preserve"> השיב שהוא זקוק לחצי שעה לפני שייתן תשובה. לאחר מכן הלך לבית ר׳ </w:t>
      </w:r>
      <w:proofErr w:type="spellStart"/>
      <w:r>
        <w:rPr>
          <w:rtl/>
        </w:rPr>
        <w:t>משה־מרדכי</w:t>
      </w:r>
      <w:proofErr w:type="spellEnd"/>
      <w:r>
        <w:rPr>
          <w:rtl/>
        </w:rPr>
        <w:t xml:space="preserve"> והציע לו את המינוי – והלה קיבל מיד”. לפי ר׳ קופל, סבר ר׳ </w:t>
      </w:r>
      <w:proofErr w:type="spellStart"/>
      <w:r>
        <w:rPr>
          <w:rtl/>
        </w:rPr>
        <w:t>ברוך־בער</w:t>
      </w:r>
      <w:proofErr w:type="spellEnd"/>
      <w:r>
        <w:rPr>
          <w:rtl/>
        </w:rPr>
        <w:t xml:space="preserve"> שזכות הקדימה </w:t>
      </w:r>
      <w:proofErr w:type="spellStart"/>
      <w:r>
        <w:rPr>
          <w:rtl/>
        </w:rPr>
        <w:t>לר</w:t>
      </w:r>
      <w:proofErr w:type="spellEnd"/>
      <w:r>
        <w:rPr>
          <w:rtl/>
        </w:rPr>
        <w:t xml:space="preserve">׳ </w:t>
      </w:r>
      <w:proofErr w:type="spellStart"/>
      <w:r>
        <w:rPr>
          <w:rtl/>
        </w:rPr>
        <w:t>משה־מרדכי</w:t>
      </w:r>
      <w:proofErr w:type="spellEnd"/>
      <w:r>
        <w:rPr>
          <w:rtl/>
        </w:rPr>
        <w:t xml:space="preserve">, מפני שכבר היה מו״ץ בעיר. “ר׳ </w:t>
      </w:r>
      <w:proofErr w:type="spellStart"/>
      <w:r>
        <w:rPr>
          <w:rtl/>
        </w:rPr>
        <w:t>ברוך־בער</w:t>
      </w:r>
      <w:proofErr w:type="spellEnd"/>
      <w:r>
        <w:rPr>
          <w:rtl/>
        </w:rPr>
        <w:t xml:space="preserve"> שב אז לאספה ובירך את הבוחרים במזל טוב על רבם החדש, ר׳ </w:t>
      </w:r>
      <w:proofErr w:type="spellStart"/>
      <w:r>
        <w:rPr>
          <w:rtl/>
        </w:rPr>
        <w:t>משה־מרדכי</w:t>
      </w:r>
      <w:proofErr w:type="spellEnd"/>
      <w:r>
        <w:rPr>
          <w:rtl/>
        </w:rPr>
        <w:t xml:space="preserve"> אפשטיין, והוסיף: ‘אילו ידעתי נשים </w:t>
      </w:r>
      <w:proofErr w:type="spellStart"/>
      <w:r>
        <w:rPr>
          <w:rtl/>
        </w:rPr>
        <w:t>ונזיקין</w:t>
      </w:r>
      <w:proofErr w:type="spellEnd"/>
      <w:r>
        <w:rPr>
          <w:rtl/>
        </w:rPr>
        <w:t xml:space="preserve"> כשם שהוא יודע קדשים</w:t>
      </w:r>
      <w:bookmarkStart w:id="4821" w:name="_fnr3552"/>
      <w:r>
        <w:rPr>
          <w:vertAlign w:val="superscript"/>
          <w:rtl/>
        </w:rPr>
        <w:footnoteReference w:id="3560" w:customMarkFollows="0"/>
      </w:r>
      <w:bookmarkEnd w:id="4821"/>
      <w:r>
        <w:rPr>
          <w:rtl/>
        </w:rPr>
        <w:t xml:space="preserve">, הייתי תלמיד חכם </w:t>
      </w:r>
      <w:r>
        <w:rPr>
          <w:rtl/>
        </w:rPr>
        <w:lastRenderedPageBreak/>
        <w:t>גדול’”. [אדלשטיין</w:t>
      </w:r>
      <w:bookmarkStart w:id="4822" w:name="_fnr3553"/>
      <w:r>
        <w:rPr>
          <w:vertAlign w:val="superscript"/>
          <w:rtl/>
        </w:rPr>
        <w:footnoteReference w:id="3561" w:customMarkFollows="0"/>
      </w:r>
      <w:bookmarkEnd w:id="4822"/>
      <w:r>
        <w:rPr>
          <w:rtl/>
        </w:rPr>
        <w:t xml:space="preserve"> מגלה שר׳ </w:t>
      </w:r>
      <w:proofErr w:type="spellStart"/>
      <w:r>
        <w:rPr>
          <w:rtl/>
        </w:rPr>
        <w:t>ברוך־בער</w:t>
      </w:r>
      <w:proofErr w:type="spellEnd"/>
      <w:r>
        <w:rPr>
          <w:rtl/>
        </w:rPr>
        <w:t xml:space="preserve"> סירב לתפקיד מפני שסבר שר׳ </w:t>
      </w:r>
      <w:proofErr w:type="spellStart"/>
      <w:r>
        <w:rPr>
          <w:rtl/>
        </w:rPr>
        <w:t>משה־מרדכי</w:t>
      </w:r>
      <w:proofErr w:type="spellEnd"/>
      <w:r>
        <w:rPr>
          <w:rtl/>
        </w:rPr>
        <w:t xml:space="preserve"> אפשטיין גדול ממנו בתורה – דבר העולה בקנה אחד עם הכרזתו הפומבית לבוחרים כפי שנמסרה כאן.]</w:t>
      </w:r>
    </w:p>
    <w:p w14:paraId="5C6259DD" w14:textId="77777777" w:rsidR="00AB3647" w:rsidRDefault="00000000" w:rsidP="007923E9">
      <w:pPr>
        <w:spacing w:before="120" w:after="100" w:line="276" w:lineRule="auto"/>
        <w:jc w:val="both"/>
      </w:pPr>
      <w:r>
        <w:rPr>
          <w:rtl/>
        </w:rPr>
        <w:t xml:space="preserve">אין סיבה לחשוד שתקוות להיעשות ראש הישיבה של המוסדות המאוחדים עמדו מאחורי החלטת ר׳ </w:t>
      </w:r>
      <w:proofErr w:type="spellStart"/>
      <w:r>
        <w:rPr>
          <w:rtl/>
        </w:rPr>
        <w:t>ברוך־בער</w:t>
      </w:r>
      <w:proofErr w:type="spellEnd"/>
      <w:r>
        <w:rPr>
          <w:rtl/>
        </w:rPr>
        <w:t xml:space="preserve"> לקדם את ר׳ </w:t>
      </w:r>
      <w:proofErr w:type="spellStart"/>
      <w:r>
        <w:rPr>
          <w:rtl/>
        </w:rPr>
        <w:t>משה־מרדכי</w:t>
      </w:r>
      <w:proofErr w:type="spellEnd"/>
      <w:r>
        <w:rPr>
          <w:rtl/>
        </w:rPr>
        <w:t xml:space="preserve"> אפשטיין – להחליף את הרבנות בראשות הישיבה – שהרי ר׳ </w:t>
      </w:r>
      <w:proofErr w:type="spellStart"/>
      <w:r>
        <w:rPr>
          <w:rtl/>
        </w:rPr>
        <w:t>ברוך־בער</w:t>
      </w:r>
      <w:proofErr w:type="spellEnd"/>
      <w:r>
        <w:rPr>
          <w:rtl/>
        </w:rPr>
        <w:t xml:space="preserve"> היה צדיק כל כך, שראוי לקבל את נימוקיו המוצהרים כפשוטם. השווה גם אדלשטיין</w:t>
      </w:r>
      <w:bookmarkStart w:id="4823" w:name="_fnr3554"/>
      <w:r>
        <w:rPr>
          <w:vertAlign w:val="superscript"/>
          <w:rtl/>
        </w:rPr>
        <w:footnoteReference w:id="3562" w:customMarkFollows="0"/>
      </w:r>
      <w:bookmarkEnd w:id="4823"/>
      <w:r>
        <w:rPr>
          <w:rtl/>
        </w:rPr>
        <w:t xml:space="preserve">: “בהזדמנות מאוחרת יותר, כשהתלונן ר׳ </w:t>
      </w:r>
      <w:proofErr w:type="spellStart"/>
      <w:r>
        <w:rPr>
          <w:rtl/>
        </w:rPr>
        <w:t>ברוך־בער</w:t>
      </w:r>
      <w:proofErr w:type="spellEnd"/>
      <w:r>
        <w:rPr>
          <w:rtl/>
        </w:rPr>
        <w:t xml:space="preserve"> בפני ר׳ חיים </w:t>
      </w:r>
      <w:proofErr w:type="spellStart"/>
      <w:r>
        <w:rPr>
          <w:rtl/>
        </w:rPr>
        <w:t>סולובייצ׳יק</w:t>
      </w:r>
      <w:proofErr w:type="spellEnd"/>
      <w:r>
        <w:rPr>
          <w:rtl/>
        </w:rPr>
        <w:t xml:space="preserve"> על קשיי פרנסה, אמר לו רבו: ‘איש לא אמר לך להיות צדיק כזה ולוותר על רבנות </w:t>
      </w:r>
      <w:proofErr w:type="spellStart"/>
      <w:r>
        <w:rPr>
          <w:rtl/>
        </w:rPr>
        <w:t>סלבודקה</w:t>
      </w:r>
      <w:proofErr w:type="spellEnd"/>
      <w:r>
        <w:rPr>
          <w:rtl/>
        </w:rPr>
        <w:t>’”</w:t>
      </w:r>
      <w:bookmarkStart w:id="4824" w:name="_fnr3555"/>
      <w:r>
        <w:rPr>
          <w:vertAlign w:val="superscript"/>
          <w:rtl/>
        </w:rPr>
        <w:footnoteReference w:id="3563" w:customMarkFollows="0"/>
      </w:r>
      <w:bookmarkEnd w:id="4824"/>
      <w:r>
        <w:rPr>
          <w:rtl/>
        </w:rPr>
        <w:t xml:space="preserve">. דבר זה מוכיח שהחלטת ר׳ </w:t>
      </w:r>
      <w:proofErr w:type="spellStart"/>
      <w:r>
        <w:rPr>
          <w:rtl/>
        </w:rPr>
        <w:t>ברוך־בער</w:t>
      </w:r>
      <w:proofErr w:type="spellEnd"/>
      <w:r>
        <w:rPr>
          <w:rtl/>
        </w:rPr>
        <w:t xml:space="preserve"> הייתה מבוססת על צדקות, ולא על פוליטיקה. ומאחר שניסיונו הקודם כרב </w:t>
      </w:r>
      <w:proofErr w:type="spellStart"/>
      <w:r>
        <w:rPr>
          <w:rtl/>
        </w:rPr>
        <w:t>בהלוסק</w:t>
      </w:r>
      <w:proofErr w:type="spellEnd"/>
      <w:r>
        <w:rPr>
          <w:rtl/>
        </w:rPr>
        <w:t xml:space="preserve"> לא היה מוצלח</w:t>
      </w:r>
      <w:bookmarkStart w:id="4825" w:name="_fnr3556"/>
      <w:r>
        <w:rPr>
          <w:vertAlign w:val="superscript"/>
          <w:rtl/>
        </w:rPr>
        <w:footnoteReference w:id="3564" w:customMarkFollows="0"/>
      </w:r>
      <w:bookmarkEnd w:id="4825"/>
      <w:r>
        <w:rPr>
          <w:rtl/>
        </w:rPr>
        <w:t>, אפשר לשער שגם דבר זה היה שיקול בהחלטתו – בלי לשאול אפילו את רבו – שלא לשוב ולהיות רב.</w:t>
      </w:r>
    </w:p>
    <w:p w14:paraId="441E57EA" w14:textId="77777777" w:rsidR="00AB3647" w:rsidRDefault="00000000" w:rsidP="007923E9">
      <w:pPr>
        <w:spacing w:before="120" w:after="100" w:line="276" w:lineRule="auto"/>
        <w:jc w:val="both"/>
      </w:pPr>
      <w:r>
        <w:rPr>
          <w:rtl/>
        </w:rPr>
        <w:t xml:space="preserve">כץ ממשיך: “[הרב </w:t>
      </w:r>
      <w:proofErr w:type="spellStart"/>
      <w:r>
        <w:rPr>
          <w:rtl/>
        </w:rPr>
        <w:t>פקרוביץ</w:t>
      </w:r>
      <w:proofErr w:type="spellEnd"/>
      <w:r>
        <w:rPr>
          <w:rtl/>
        </w:rPr>
        <w:t xml:space="preserve">׳] התמסר מיד ליצירת בסיס כלכלי ל[כנסת ישראל]. בנסיעתו עם ר׳ </w:t>
      </w:r>
      <w:proofErr w:type="spellStart"/>
      <w:r>
        <w:rPr>
          <w:rtl/>
        </w:rPr>
        <w:t>משה־מרדכי</w:t>
      </w:r>
      <w:proofErr w:type="spellEnd"/>
      <w:r>
        <w:rPr>
          <w:rtl/>
        </w:rPr>
        <w:t xml:space="preserve"> לפטרבורג הצליח לחלץ את [הישיבה] מן המשבר ולבסס את מעמדה”. לפי מאמרו של גורדון, ניצל הרב </w:t>
      </w:r>
      <w:proofErr w:type="spellStart"/>
      <w:r>
        <w:rPr>
          <w:rtl/>
        </w:rPr>
        <w:t>פקרוביץ</w:t>
      </w:r>
      <w:proofErr w:type="spellEnd"/>
      <w:r>
        <w:rPr>
          <w:rtl/>
        </w:rPr>
        <w:t xml:space="preserve">׳ מן השואה ונפטר באנגליה. מסתבר שהיה מחוץ לליטא בשליחות לגיוס כספים בעת פלישת הגרמנים </w:t>
      </w:r>
      <w:proofErr w:type="spellStart"/>
      <w:r>
        <w:rPr>
          <w:rtl/>
        </w:rPr>
        <w:t>בתש״א</w:t>
      </w:r>
      <w:proofErr w:type="spellEnd"/>
      <w:r>
        <w:rPr>
          <w:rtl/>
        </w:rPr>
        <w:t>. נמצא ששינוי עיסוקו הציל את חייו בהשגחה!</w:t>
      </w:r>
    </w:p>
    <w:bookmarkStart w:id="4826" w:name="b4_note151"/>
    <w:p w14:paraId="5B1F83AC" w14:textId="77777777" w:rsidR="00AB3647" w:rsidRDefault="00000000" w:rsidP="007923E9">
      <w:pPr>
        <w:spacing w:before="120" w:after="100" w:line="276" w:lineRule="auto"/>
        <w:jc w:val="both"/>
      </w:pPr>
      <w:r>
        <w:fldChar w:fldCharType="begin" w:dirty="true"/>
      </w:r>
      <w:r>
        <w:instrText>HYPERLINK \l "b4_text151" \h</w:instrText>
      </w:r>
      <w:r>
        <w:fldChar w:fldCharType="separate"/>
      </w:r>
      <w:r>
        <w:rPr>
          <w:b/>
          <w:bCs/>
          <w:rtl/>
        </w:rPr>
        <w:t>151</w:t>
      </w:r>
      <w:r>
        <w:rPr>
          <w:b/>
          <w:bCs/>
        </w:rPr>
        <w:fldChar w:fldCharType="end"/>
      </w:r>
      <w:bookmarkEnd w:id="4826"/>
      <w:r>
        <w:rPr>
          <w:rtl/>
        </w:rPr>
        <w:t xml:space="preserve"> 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4827" w:name="_fnr3557"/>
      <w:r>
        <w:rPr>
          <w:vertAlign w:val="superscript"/>
          <w:rtl/>
        </w:rPr>
        <w:footnoteReference w:id="3565" w:customMarkFollows="0"/>
      </w:r>
      <w:bookmarkEnd w:id="4827"/>
      <w:r>
        <w:rPr>
          <w:rtl/>
        </w:rPr>
        <w:t xml:space="preserve"> מתעד עוד בקשה לתוספת תמיכה שנדחתה, אך הסתיימה בדרך הפוכה. המחבר מספר: “ברוח טובה ובלי כעס סיפר לי אחד מחשובי התלמידים [בכנסת בית יצחק], שלמה </w:t>
      </w:r>
      <w:proofErr w:type="spellStart"/>
      <w:r>
        <w:rPr>
          <w:rtl/>
        </w:rPr>
        <w:t>נובו־אלכסנדרובסקר</w:t>
      </w:r>
      <w:bookmarkStart w:id="4828" w:name="_fnr3558"/>
      <w:proofErr w:type="spellEnd"/>
      <w:r>
        <w:rPr>
          <w:vertAlign w:val="superscript"/>
          <w:rtl/>
        </w:rPr>
        <w:footnoteReference w:id="3566" w:customMarkFollows="0"/>
      </w:r>
      <w:bookmarkEnd w:id="4828"/>
      <w:r>
        <w:rPr>
          <w:rtl/>
        </w:rPr>
        <w:t xml:space="preserve">, שפעם הלך לבית ראש הישיבה [דאז], ר׳ משה </w:t>
      </w:r>
      <w:proofErr w:type="spellStart"/>
      <w:r>
        <w:rPr>
          <w:rtl/>
        </w:rPr>
        <w:t>דנישבסקי</w:t>
      </w:r>
      <w:bookmarkStart w:id="4829" w:name="_fnr3559"/>
      <w:proofErr w:type="spellEnd"/>
      <w:r>
        <w:rPr>
          <w:vertAlign w:val="superscript"/>
          <w:rtl/>
        </w:rPr>
        <w:footnoteReference w:id="3567" w:customMarkFollows="0"/>
      </w:r>
      <w:bookmarkEnd w:id="4829"/>
      <w:r>
        <w:rPr>
          <w:rtl/>
        </w:rPr>
        <w:t xml:space="preserve">, רבה של </w:t>
      </w:r>
      <w:proofErr w:type="spellStart"/>
      <w:r>
        <w:rPr>
          <w:rtl/>
        </w:rPr>
        <w:t>סלבודקה</w:t>
      </w:r>
      <w:proofErr w:type="spellEnd"/>
      <w:r>
        <w:rPr>
          <w:rtl/>
        </w:rPr>
        <w:t xml:space="preserve">, ודרש תוספת של רובל אחד לחודש לתמיכתו. ר׳ משה, שהיה נמוך, ביקש משלמה הגבוה להרימו אל כיסא שעמד לידו, ולאחר שמילא המבקש את הבקשה סטר לו [ר׳ משה </w:t>
      </w:r>
      <w:proofErr w:type="spellStart"/>
      <w:r>
        <w:rPr>
          <w:rtl/>
        </w:rPr>
        <w:t>דנישבסקי</w:t>
      </w:r>
      <w:proofErr w:type="spellEnd"/>
      <w:r>
        <w:rPr>
          <w:rtl/>
        </w:rPr>
        <w:t>] על פניו”.</w:t>
      </w:r>
    </w:p>
    <w:p w14:paraId="630B4B41" w14:textId="10407B6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שמילא את תפקיד ראש הישיבה</w:t>
      </w:r>
      <w:bookmarkStart w:id="4830" w:name="b4_text152"/>
      <w:bookmarkEnd w:id="4830"/>
      <w:r>
        <w:rPr>
          <w:sz w:val="18"/>
          <w:szCs w:val="18"/>
          <w:vertAlign w:val="superscript"/>
          <w:rtl/>
        </w:rPr>
        <w:fldChar w:fldCharType="begin" w:dirty="true"/>
      </w:r>
      <w:r>
        <w:rPr>
          <w:sz w:val="18"/>
          <w:szCs w:val="18"/>
          <w:vertAlign w:val="superscript"/>
          <w:rtl/>
        </w:rPr>
        <w:instrText xml:space="preserve"> REF b4_note152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152</w:t>
      </w:r>
      <w:r>
        <w:rPr>
          <w:sz w:val="18"/>
          <w:szCs w:val="18"/>
          <w:vertAlign w:val="superscript"/>
          <w:rtl/>
        </w:rPr>
        <w:fldChar w:fldCharType="end"/>
      </w:r>
      <w:r>
        <w:rPr>
          <w:rtl/>
        </w:rPr>
        <w:t xml:space="preserve">, הקשה קושיה מחודדת: כיצד יצא התלמיד החשוב, שבא לקבל (כסף), כשהוא נותן (סטירה)? והרי שני המושגים סותרים זה את זה! אחרי שהציע כמה תירוצים ופרך אותם בפלפולו, הגיע לפתרון “פשוט”, על יסוד דין במסכת קידושין, אחת המסכתות שלמדה הישיבה מאז פורים אשתקד. כדי שיחולו קידושין, הדין דורש שהאיש ייתן לאישה דבר שווה כסף, ולא האישה לאיש. אבל אם האיש אדם חשוב, גם נתינת </w:t>
      </w:r>
      <w:r>
        <w:rPr>
          <w:rtl/>
        </w:rPr>
        <w:lastRenderedPageBreak/>
        <w:t xml:space="preserve">האישה לו פועלת קידושין, משום </w:t>
      </w:r>
      <w:proofErr w:type="spellStart"/>
      <w:r>
        <w:rPr>
          <w:rtl/>
        </w:rPr>
        <w:t>ש“כשאדם</w:t>
      </w:r>
      <w:proofErr w:type="spellEnd"/>
      <w:r>
        <w:rPr>
          <w:rtl/>
        </w:rPr>
        <w:t xml:space="preserve"> חשוב ניאות לקבל מתנה, הרי הוא נותן (כבוד, שיש לו ערך) לנותן”</w:t>
      </w:r>
      <w:bookmarkStart w:id="4831" w:name="b4_text153"/>
      <w:bookmarkEnd w:id="4831"/>
      <w:r>
        <w:rPr>
          <w:sz w:val="18"/>
          <w:szCs w:val="18"/>
          <w:vertAlign w:val="superscript"/>
          <w:rtl/>
        </w:rPr>
        <w:fldChar w:fldCharType="begin" w:dirty="true"/>
      </w:r>
      <w:r>
        <w:rPr>
          <w:sz w:val="18"/>
          <w:szCs w:val="18"/>
          <w:vertAlign w:val="superscript"/>
          <w:rtl/>
        </w:rPr>
        <w:instrText xml:space="preserve"> REF b4_note153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153</w:t>
      </w:r>
      <w:r>
        <w:rPr>
          <w:sz w:val="18"/>
          <w:szCs w:val="18"/>
          <w:vertAlign w:val="superscript"/>
          <w:rtl/>
        </w:rPr>
        <w:fldChar w:fldCharType="end"/>
      </w:r>
      <w:r>
        <w:rPr>
          <w:rtl/>
        </w:rPr>
        <w:t>.</w:t>
      </w:r>
    </w:p>
    <w:bookmarkStart w:id="4832" w:name="b4_note152"/>
    <w:p w14:paraId="4352DA6C" w14:textId="77777777" w:rsidR="00AB3647" w:rsidRDefault="00000000" w:rsidP="007923E9">
      <w:pPr>
        <w:spacing w:before="120" w:after="100" w:line="276" w:lineRule="auto"/>
        <w:jc w:val="both"/>
      </w:pPr>
      <w:r>
        <w:fldChar w:fldCharType="begin" w:dirty="true"/>
      </w:r>
      <w:r>
        <w:instrText>HYPERLINK \l "b4_text152" \h</w:instrText>
      </w:r>
      <w:r>
        <w:fldChar w:fldCharType="separate"/>
      </w:r>
      <w:r>
        <w:rPr>
          <w:b/>
          <w:bCs/>
          <w:rtl/>
        </w:rPr>
        <w:t>152</w:t>
      </w:r>
      <w:r>
        <w:rPr>
          <w:b/>
          <w:bCs/>
        </w:rPr>
        <w:fldChar w:fldCharType="end"/>
      </w:r>
      <w:bookmarkEnd w:id="4832"/>
      <w:r>
        <w:rPr>
          <w:rtl/>
        </w:rPr>
        <w:t xml:space="preserve"> מאמר </w:t>
      </w:r>
      <w:proofErr w:type="spellStart"/>
      <w:r>
        <w:rPr>
          <w:rtl/>
        </w:rPr>
        <w:t>ב“הצפירה</w:t>
      </w:r>
      <w:proofErr w:type="spellEnd"/>
      <w:r>
        <w:rPr>
          <w:rtl/>
        </w:rPr>
        <w:t>”</w:t>
      </w:r>
      <w:bookmarkStart w:id="4833" w:name="_fnr3560"/>
      <w:r>
        <w:rPr>
          <w:vertAlign w:val="superscript"/>
          <w:rtl/>
        </w:rPr>
        <w:footnoteReference w:id="3568" w:customMarkFollows="0"/>
      </w:r>
      <w:bookmarkEnd w:id="4833"/>
      <w:r>
        <w:rPr>
          <w:rtl/>
        </w:rPr>
        <w:t xml:space="preserve"> מאת מ. </w:t>
      </w:r>
      <w:proofErr w:type="spellStart"/>
      <w:r>
        <w:rPr>
          <w:rtl/>
        </w:rPr>
        <w:t>אייזנשטאדט</w:t>
      </w:r>
      <w:proofErr w:type="spellEnd"/>
      <w:r>
        <w:rPr>
          <w:rtl/>
        </w:rPr>
        <w:t>, שכותרתו “‘</w:t>
      </w:r>
      <w:proofErr w:type="spellStart"/>
      <w:r>
        <w:rPr>
          <w:rtl/>
        </w:rPr>
        <w:t>פורים־רב</w:t>
      </w:r>
      <w:proofErr w:type="spellEnd"/>
      <w:r>
        <w:rPr>
          <w:rtl/>
        </w:rPr>
        <w:t xml:space="preserve">’”, טוען </w:t>
      </w:r>
      <w:proofErr w:type="spellStart"/>
      <w:r>
        <w:rPr>
          <w:rtl/>
        </w:rPr>
        <w:t>ש“מסופר</w:t>
      </w:r>
      <w:proofErr w:type="spellEnd"/>
      <w:r>
        <w:rPr>
          <w:rtl/>
        </w:rPr>
        <w:t xml:space="preserve">” שר׳ חיים </w:t>
      </w:r>
      <w:proofErr w:type="spellStart"/>
      <w:r>
        <w:rPr>
          <w:rtl/>
        </w:rPr>
        <w:t>מוולוז׳ין</w:t>
      </w:r>
      <w:proofErr w:type="spellEnd"/>
      <w:r>
        <w:rPr>
          <w:rtl/>
        </w:rPr>
        <w:t xml:space="preserve"> הנהיג בישיבתו את המנהג למנות </w:t>
      </w:r>
      <w:proofErr w:type="spellStart"/>
      <w:r>
        <w:rPr>
          <w:rtl/>
        </w:rPr>
        <w:t>פורים־רב</w:t>
      </w:r>
      <w:proofErr w:type="spellEnd"/>
      <w:r>
        <w:rPr>
          <w:rtl/>
        </w:rPr>
        <w:t xml:space="preserve"> – “ראש ישיבה” ליום אחד – כדי לתת ביטוי לטענות שהיו לתלמידים כלפי הנהלת הישיבה במשך השנה, אך היו עדינים מכדי להשמיען. לדברי המחבר, המנהג נמשך בישיבת </w:t>
      </w:r>
      <w:proofErr w:type="spellStart"/>
      <w:r>
        <w:rPr>
          <w:rtl/>
        </w:rPr>
        <w:t>וולוז׳ין</w:t>
      </w:r>
      <w:proofErr w:type="spellEnd"/>
      <w:r>
        <w:rPr>
          <w:rtl/>
        </w:rPr>
        <w:t xml:space="preserve"> עד שביטלו </w:t>
      </w:r>
      <w:proofErr w:type="spellStart"/>
      <w:r>
        <w:rPr>
          <w:rtl/>
        </w:rPr>
        <w:t>הנצי״ב</w:t>
      </w:r>
      <w:bookmarkStart w:id="4834" w:name="_fnr3561"/>
      <w:proofErr w:type="spellEnd"/>
      <w:r>
        <w:rPr>
          <w:vertAlign w:val="superscript"/>
          <w:rtl/>
        </w:rPr>
        <w:footnoteReference w:id="3569" w:customMarkFollows="0"/>
      </w:r>
      <w:bookmarkEnd w:id="4834"/>
      <w:r>
        <w:rPr>
          <w:rtl/>
        </w:rPr>
        <w:t>.</w:t>
      </w:r>
    </w:p>
    <w:p w14:paraId="5C924AF5" w14:textId="77777777" w:rsidR="00AB3647" w:rsidRDefault="00000000" w:rsidP="007923E9">
      <w:pPr>
        <w:spacing w:before="120" w:after="100" w:line="276" w:lineRule="auto"/>
        <w:jc w:val="both"/>
      </w:pPr>
      <w:r>
        <w:rPr>
          <w:rtl/>
        </w:rPr>
        <w:t xml:space="preserve">לטענה שר׳ חיים </w:t>
      </w:r>
      <w:proofErr w:type="spellStart"/>
      <w:r>
        <w:rPr>
          <w:rtl/>
        </w:rPr>
        <w:t>מוולוז׳ין</w:t>
      </w:r>
      <w:proofErr w:type="spellEnd"/>
      <w:r>
        <w:rPr>
          <w:rtl/>
        </w:rPr>
        <w:t xml:space="preserve"> יצר את תפקיד </w:t>
      </w:r>
      <w:proofErr w:type="spellStart"/>
      <w:r>
        <w:rPr>
          <w:rtl/>
        </w:rPr>
        <w:t>הפורים־רב</w:t>
      </w:r>
      <w:proofErr w:type="spellEnd"/>
      <w:r>
        <w:rPr>
          <w:rtl/>
        </w:rPr>
        <w:t xml:space="preserve"> השווה “חגים ומועדים” מאת הרב יהודה ליב הכהן פישמן</w:t>
      </w:r>
      <w:bookmarkStart w:id="4835" w:name="_fnr3562"/>
      <w:r>
        <w:rPr>
          <w:vertAlign w:val="superscript"/>
          <w:rtl/>
        </w:rPr>
        <w:footnoteReference w:id="3570" w:customMarkFollows="0"/>
      </w:r>
      <w:bookmarkEnd w:id="4835"/>
      <w:r>
        <w:rPr>
          <w:rtl/>
        </w:rPr>
        <w:t xml:space="preserve">, הטוען שר׳ יהונתן </w:t>
      </w:r>
      <w:proofErr w:type="spellStart"/>
      <w:r>
        <w:rPr>
          <w:rtl/>
        </w:rPr>
        <w:t>אייבשיץ</w:t>
      </w:r>
      <w:proofErr w:type="spellEnd"/>
      <w:r>
        <w:rPr>
          <w:rtl/>
        </w:rPr>
        <w:t xml:space="preserve"> היה בן </w:t>
      </w:r>
      <w:proofErr w:type="spellStart"/>
      <w:r>
        <w:rPr>
          <w:rtl/>
        </w:rPr>
        <w:t>שלוש־עשרה</w:t>
      </w:r>
      <w:proofErr w:type="spellEnd"/>
      <w:r>
        <w:rPr>
          <w:rtl/>
        </w:rPr>
        <w:t xml:space="preserve"> בלבד כשמינהו </w:t>
      </w:r>
      <w:proofErr w:type="spellStart"/>
      <w:r>
        <w:rPr>
          <w:rtl/>
        </w:rPr>
        <w:t>לפורים־רב</w:t>
      </w:r>
      <w:proofErr w:type="spellEnd"/>
      <w:r>
        <w:rPr>
          <w:rtl/>
        </w:rPr>
        <w:t xml:space="preserve"> רבו ר׳ מאיר </w:t>
      </w:r>
      <w:proofErr w:type="spellStart"/>
      <w:r>
        <w:rPr>
          <w:rtl/>
        </w:rPr>
        <w:t>כ״ץ־אשכנזי</w:t>
      </w:r>
      <w:proofErr w:type="spellEnd"/>
      <w:r>
        <w:rPr>
          <w:rtl/>
        </w:rPr>
        <w:t xml:space="preserve">, שאצלו למד </w:t>
      </w:r>
      <w:proofErr w:type="spellStart"/>
      <w:r>
        <w:rPr>
          <w:rtl/>
        </w:rPr>
        <w:t>בפרוסניץ</w:t>
      </w:r>
      <w:proofErr w:type="spellEnd"/>
      <w:r>
        <w:rPr>
          <w:rtl/>
        </w:rPr>
        <w:t xml:space="preserve"> (ר׳ מאיר הוא מחבר שו״ת “פנים מאירות”, ונודע אחר כך בשם </w:t>
      </w:r>
      <w:proofErr w:type="spellStart"/>
      <w:r>
        <w:rPr>
          <w:rtl/>
        </w:rPr>
        <w:t>אייזנשטט</w:t>
      </w:r>
      <w:proofErr w:type="spellEnd"/>
      <w:r>
        <w:rPr>
          <w:rtl/>
        </w:rPr>
        <w:t xml:space="preserve">, על שם העיר של </w:t>
      </w:r>
      <w:proofErr w:type="spellStart"/>
      <w:r>
        <w:rPr>
          <w:rtl/>
        </w:rPr>
        <w:t>רבנותו</w:t>
      </w:r>
      <w:proofErr w:type="spellEnd"/>
      <w:r>
        <w:rPr>
          <w:rtl/>
        </w:rPr>
        <w:t xml:space="preserve"> האחרונה). נמצא שמנהג זה קדום לפחות במאה שנה לייסוד ישיבת </w:t>
      </w:r>
      <w:proofErr w:type="spellStart"/>
      <w:r>
        <w:rPr>
          <w:rtl/>
        </w:rPr>
        <w:t>וולוז׳ין</w:t>
      </w:r>
      <w:proofErr w:type="spellEnd"/>
      <w:r>
        <w:rPr>
          <w:rtl/>
        </w:rPr>
        <w:t>.</w:t>
      </w:r>
    </w:p>
    <w:p w14:paraId="73527E27" w14:textId="77777777" w:rsidR="00AB3647" w:rsidRDefault="00000000" w:rsidP="007923E9">
      <w:pPr>
        <w:spacing w:after="120" w:line="276" w:lineRule="auto"/>
        <w:jc w:val="both"/>
      </w:pPr>
      <w:r>
        <w:rPr>
          <w:rtl/>
        </w:rPr>
        <w:t>מחבר “</w:t>
      </w:r>
      <w:proofErr w:type="spellStart"/>
      <w:r>
        <w:rPr>
          <w:rtl/>
        </w:rPr>
        <w:t>זכרון</w:t>
      </w:r>
      <w:proofErr w:type="spellEnd"/>
      <w:r>
        <w:rPr>
          <w:rtl/>
        </w:rPr>
        <w:t xml:space="preserve"> יעקב”</w:t>
      </w:r>
      <w:bookmarkStart w:id="4836" w:name="_fnr3563"/>
      <w:r>
        <w:rPr>
          <w:vertAlign w:val="superscript"/>
          <w:rtl/>
        </w:rPr>
        <w:footnoteReference w:id="3571" w:customMarkFollows="0"/>
      </w:r>
      <w:bookmarkEnd w:id="4836"/>
      <w:r>
        <w:rPr>
          <w:rtl/>
        </w:rPr>
        <w:t>, ר׳ יעקב הלוי ליפשיץ, יליד תקצ״ח, זכר “מילדותו”</w:t>
      </w:r>
      <w:bookmarkStart w:id="4837" w:name="_fnr3564"/>
      <w:r>
        <w:rPr>
          <w:vertAlign w:val="superscript"/>
          <w:rtl/>
        </w:rPr>
        <w:footnoteReference w:id="3572" w:customMarkFollows="0"/>
      </w:r>
      <w:bookmarkEnd w:id="4837"/>
      <w:r>
        <w:rPr>
          <w:rtl/>
        </w:rPr>
        <w:t xml:space="preserve"> שכאשר שבו כמה בחורים הביתה </w:t>
      </w:r>
      <w:proofErr w:type="spellStart"/>
      <w:r>
        <w:rPr>
          <w:rtl/>
        </w:rPr>
        <w:t>לווילקומיר</w:t>
      </w:r>
      <w:proofErr w:type="spellEnd"/>
      <w:r>
        <w:rPr>
          <w:rtl/>
        </w:rPr>
        <w:t xml:space="preserve"> </w:t>
      </w:r>
      <w:proofErr w:type="spellStart"/>
      <w:r>
        <w:rPr>
          <w:rtl/>
        </w:rPr>
        <w:t>מוולוז׳ין</w:t>
      </w:r>
      <w:proofErr w:type="spellEnd"/>
      <w:r>
        <w:rPr>
          <w:rtl/>
        </w:rPr>
        <w:t xml:space="preserve"> לחג הפסח, נהנו “תלמידי חכמים מכובדים” רבים מבני המקום לשמוע מפיהם את הדברים שהשמיע </w:t>
      </w:r>
      <w:proofErr w:type="spellStart"/>
      <w:r>
        <w:rPr>
          <w:rtl/>
        </w:rPr>
        <w:t>הפורים־רב</w:t>
      </w:r>
      <w:proofErr w:type="spellEnd"/>
      <w:r>
        <w:rPr>
          <w:rtl/>
        </w:rPr>
        <w:t xml:space="preserve"> בחודש שלפני כן.</w:t>
      </w:r>
    </w:p>
    <w:bookmarkStart w:id="4838" w:name="b4_note153"/>
    <w:p w14:paraId="3EBEA69D" w14:textId="77777777" w:rsidR="00AB3647" w:rsidRDefault="00000000" w:rsidP="007923E9">
      <w:pPr>
        <w:spacing w:before="120" w:after="100" w:line="276" w:lineRule="auto"/>
        <w:jc w:val="both"/>
      </w:pPr>
      <w:r>
        <w:fldChar w:fldCharType="begin" w:dirty="true"/>
      </w:r>
      <w:r>
        <w:instrText>HYPERLINK \l "b4_text153" \h</w:instrText>
      </w:r>
      <w:r>
        <w:fldChar w:fldCharType="separate"/>
      </w:r>
      <w:r>
        <w:rPr>
          <w:b/>
          <w:bCs/>
          <w:rtl/>
        </w:rPr>
        <w:t>153</w:t>
      </w:r>
      <w:r>
        <w:rPr>
          <w:b/>
          <w:bCs/>
        </w:rPr>
        <w:fldChar w:fldCharType="end"/>
      </w:r>
      <w:bookmarkEnd w:id="4838"/>
      <w:r>
        <w:rPr>
          <w:rtl/>
        </w:rPr>
        <w:t xml:space="preserve"> “באדם חשוב וכו׳ </w:t>
      </w:r>
      <w:proofErr w:type="spellStart"/>
      <w:r>
        <w:rPr>
          <w:rtl/>
        </w:rPr>
        <w:t>בההיא</w:t>
      </w:r>
      <w:proofErr w:type="spellEnd"/>
      <w:r>
        <w:rPr>
          <w:rtl/>
        </w:rPr>
        <w:t xml:space="preserve"> הנאה </w:t>
      </w:r>
      <w:proofErr w:type="spellStart"/>
      <w:r>
        <w:rPr>
          <w:rtl/>
        </w:rPr>
        <w:t>דקא</w:t>
      </w:r>
      <w:proofErr w:type="spellEnd"/>
      <w:r>
        <w:rPr>
          <w:rtl/>
        </w:rPr>
        <w:t xml:space="preserve"> מקבל מתנה מינה גמרה </w:t>
      </w:r>
      <w:proofErr w:type="spellStart"/>
      <w:r>
        <w:rPr>
          <w:rtl/>
        </w:rPr>
        <w:t>ומקניא</w:t>
      </w:r>
      <w:proofErr w:type="spellEnd"/>
      <w:r>
        <w:rPr>
          <w:rtl/>
        </w:rPr>
        <w:t xml:space="preserve"> ליה נפשה”</w:t>
      </w:r>
      <w:bookmarkStart w:id="4839" w:name="_fnr3565"/>
      <w:r>
        <w:rPr>
          <w:vertAlign w:val="superscript"/>
          <w:rtl/>
        </w:rPr>
        <w:footnoteReference w:id="3573" w:customMarkFollows="0"/>
      </w:r>
      <w:bookmarkEnd w:id="4839"/>
      <w:r>
        <w:rPr>
          <w:rtl/>
        </w:rPr>
        <w:t>.</w:t>
      </w:r>
    </w:p>
    <w:p w14:paraId="330AA609" w14:textId="2A10C24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הפורים־רב</w:t>
      </w:r>
      <w:proofErr w:type="spellEnd"/>
      <w:r>
        <w:rPr>
          <w:rtl/>
        </w:rPr>
        <w:t xml:space="preserve"> השתמש בכלל זה בכיוון ההפוך</w:t>
      </w:r>
      <w:bookmarkStart w:id="4840" w:name="b4_text154"/>
      <w:bookmarkEnd w:id="4840"/>
      <w:r>
        <w:rPr>
          <w:sz w:val="18"/>
          <w:szCs w:val="18"/>
          <w:vertAlign w:val="superscript"/>
          <w:rtl/>
        </w:rPr>
        <w:fldChar w:fldCharType="begin" w:dirty="true"/>
      </w:r>
      <w:r>
        <w:rPr>
          <w:sz w:val="18"/>
          <w:szCs w:val="18"/>
          <w:vertAlign w:val="superscript"/>
          <w:rtl/>
        </w:rPr>
        <w:instrText xml:space="preserve"> REF b4_note154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154</w:t>
      </w:r>
      <w:r>
        <w:rPr>
          <w:sz w:val="18"/>
          <w:szCs w:val="18"/>
          <w:vertAlign w:val="superscript"/>
          <w:rtl/>
        </w:rPr>
        <w:fldChar w:fldCharType="end"/>
      </w:r>
      <w:r>
        <w:rPr>
          <w:rtl/>
        </w:rPr>
        <w:t xml:space="preserve">: הבחור הנידון היה אדם חשוב, ולכן כשנתן – היה בעצם מקבל. אחד השומעים הפסיק את </w:t>
      </w:r>
      <w:proofErr w:type="spellStart"/>
      <w:r>
        <w:rPr>
          <w:rtl/>
        </w:rPr>
        <w:t>ה“שיעור</w:t>
      </w:r>
      <w:proofErr w:type="spellEnd"/>
      <w:r>
        <w:rPr>
          <w:rtl/>
        </w:rPr>
        <w:t xml:space="preserve">” המדומה ושאל: “אבל היכן מוצא ‘ראש הישיבה’ הנכבד שלנו מקור לשימוש בכלל בדרך ההפוכה?” אליה </w:t>
      </w:r>
      <w:proofErr w:type="spellStart"/>
      <w:r>
        <w:rPr>
          <w:rtl/>
        </w:rPr>
        <w:t>ריטעווער</w:t>
      </w:r>
      <w:proofErr w:type="spellEnd"/>
      <w:r>
        <w:rPr>
          <w:rtl/>
        </w:rPr>
        <w:t xml:space="preserve"> השיב מיד: “הוא נדפס בפירוש בספר שיצא לאחרונה”. הוא רמז למנוחה </w:t>
      </w:r>
      <w:proofErr w:type="spellStart"/>
      <w:r>
        <w:rPr>
          <w:rtl/>
        </w:rPr>
        <w:t>פרנק־אפשטיין</w:t>
      </w:r>
      <w:proofErr w:type="spellEnd"/>
      <w:r>
        <w:rPr>
          <w:rtl/>
        </w:rPr>
        <w:t>, אשת ר׳ משה־מרדכי</w:t>
      </w:r>
      <w:bookmarkStart w:id="4841" w:name="b4_text155"/>
      <w:bookmarkEnd w:id="4841"/>
      <w:r>
        <w:rPr>
          <w:sz w:val="18"/>
          <w:szCs w:val="18"/>
          <w:vertAlign w:val="superscript"/>
          <w:rtl/>
        </w:rPr>
        <w:fldChar w:fldCharType="begin" w:dirty="true"/>
      </w:r>
      <w:r>
        <w:rPr>
          <w:sz w:val="18"/>
          <w:szCs w:val="18"/>
          <w:vertAlign w:val="superscript"/>
          <w:rtl/>
        </w:rPr>
        <w:instrText xml:space="preserve"> REF b4_note155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155</w:t>
      </w:r>
      <w:r>
        <w:rPr>
          <w:sz w:val="18"/>
          <w:szCs w:val="18"/>
          <w:vertAlign w:val="superscript"/>
          <w:rtl/>
        </w:rPr>
        <w:fldChar w:fldCharType="end"/>
      </w:r>
      <w:r>
        <w:rPr>
          <w:rtl/>
        </w:rPr>
        <w:t>, אישה תקיפה שבחורי הישיבה פחדו ממנה</w:t>
      </w:r>
      <w:bookmarkStart w:id="4842" w:name="b4_text156"/>
      <w:bookmarkEnd w:id="4842"/>
      <w:r>
        <w:rPr>
          <w:sz w:val="18"/>
          <w:szCs w:val="18"/>
          <w:vertAlign w:val="superscript"/>
          <w:rtl/>
        </w:rPr>
        <w:fldChar w:fldCharType="begin" w:dirty="true"/>
      </w:r>
      <w:r>
        <w:rPr>
          <w:sz w:val="18"/>
          <w:szCs w:val="18"/>
          <w:vertAlign w:val="superscript"/>
          <w:rtl/>
        </w:rPr>
        <w:instrText xml:space="preserve"> REF b4_note156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156</w:t>
      </w:r>
      <w:r>
        <w:rPr>
          <w:sz w:val="18"/>
          <w:szCs w:val="18"/>
          <w:vertAlign w:val="superscript"/>
          <w:rtl/>
        </w:rPr>
        <w:fldChar w:fldCharType="end"/>
      </w:r>
      <w:r>
        <w:rPr>
          <w:rtl/>
        </w:rPr>
        <w:t>, ונקב בשם המקור הבדוי: ספר בשם “כסות מנוחה”. כך שיבש את שם ספרו של ראש ישיבתם הנערץ, שהתקבל באהדה, “לבוש מרדכי”</w:t>
      </w:r>
      <w:bookmarkStart w:id="4843" w:name="b4_text157"/>
      <w:bookmarkEnd w:id="4843"/>
      <w:r>
        <w:rPr>
          <w:sz w:val="18"/>
          <w:szCs w:val="18"/>
          <w:vertAlign w:val="superscript"/>
          <w:rtl/>
        </w:rPr>
        <w:fldChar w:fldCharType="begin" w:dirty="true"/>
      </w:r>
      <w:r>
        <w:rPr>
          <w:sz w:val="18"/>
          <w:szCs w:val="18"/>
          <w:vertAlign w:val="superscript"/>
          <w:rtl/>
        </w:rPr>
        <w:instrText xml:space="preserve"> REF b4_note157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157</w:t>
      </w:r>
      <w:r>
        <w:rPr>
          <w:sz w:val="18"/>
          <w:szCs w:val="18"/>
          <w:vertAlign w:val="superscript"/>
          <w:rtl/>
        </w:rPr>
        <w:fldChar w:fldCharType="end"/>
      </w:r>
      <w:r>
        <w:rPr>
          <w:rtl/>
        </w:rPr>
        <w:t>, והפכו לכפיל בדוי.</w:t>
      </w:r>
    </w:p>
    <w:bookmarkStart w:id="4844" w:name="b4_note154"/>
    <w:p w14:paraId="3A90684F" w14:textId="77777777" w:rsidR="00AB3647" w:rsidRDefault="00000000" w:rsidP="007923E9">
      <w:pPr>
        <w:spacing w:before="120" w:after="100" w:line="276" w:lineRule="auto"/>
        <w:jc w:val="both"/>
      </w:pPr>
      <w:r>
        <w:fldChar w:fldCharType="begin" w:dirty="true"/>
      </w:r>
      <w:r>
        <w:instrText>HYPERLINK \l "b4_text154" \h</w:instrText>
      </w:r>
      <w:r>
        <w:fldChar w:fldCharType="separate"/>
      </w:r>
      <w:r>
        <w:rPr>
          <w:b/>
          <w:bCs/>
          <w:rtl/>
        </w:rPr>
        <w:t>154</w:t>
      </w:r>
      <w:r>
        <w:rPr>
          <w:b/>
          <w:bCs/>
        </w:rPr>
        <w:fldChar w:fldCharType="end"/>
      </w:r>
      <w:bookmarkEnd w:id="4844"/>
      <w:r>
        <w:rPr>
          <w:rtl/>
        </w:rPr>
        <w:t xml:space="preserve"> נוסח הפורים המשובש יהיה “מה שנותן לה מתנה, כאילו קיבל ממנה” – היפוכו של הביטוי הנכון שנקט הטור</w:t>
      </w:r>
      <w:bookmarkStart w:id="4845" w:name="_fnr3566"/>
      <w:r>
        <w:rPr>
          <w:vertAlign w:val="superscript"/>
          <w:rtl/>
        </w:rPr>
        <w:footnoteReference w:id="3574" w:customMarkFollows="0"/>
      </w:r>
      <w:bookmarkEnd w:id="4845"/>
      <w:r>
        <w:rPr>
          <w:rtl/>
        </w:rPr>
        <w:t>, “מה שמקבל מתנה ממנה, כאילו נתן לה”.</w:t>
      </w:r>
    </w:p>
    <w:bookmarkStart w:id="4846" w:name="b4_note155"/>
    <w:p w14:paraId="50FE6BA6" w14:textId="5FFAC310" w:rsidR="00AB3647" w:rsidRDefault="00000000" w:rsidP="007923E9">
      <w:pPr>
        <w:spacing w:before="120" w:after="100" w:line="276" w:lineRule="auto"/>
        <w:jc w:val="both"/>
      </w:pPr>
      <w:r>
        <w:fldChar w:fldCharType="begin" w:dirty="true"/>
      </w:r>
      <w:r>
        <w:instrText>HYPERLINK \l "b4_text155" \h</w:instrText>
      </w:r>
      <w:r>
        <w:fldChar w:fldCharType="separate"/>
      </w:r>
      <w:r>
        <w:rPr>
          <w:b/>
          <w:bCs/>
          <w:rtl/>
        </w:rPr>
        <w:t>155</w:t>
      </w:r>
      <w:r>
        <w:rPr>
          <w:b/>
          <w:bCs/>
        </w:rPr>
        <w:fldChar w:fldCharType="end"/>
      </w:r>
      <w:bookmarkEnd w:id="4846"/>
      <w:r>
        <w:rPr>
          <w:rtl/>
        </w:rPr>
        <w:t xml:space="preserve"> השווה פרק 3, הפסקה השנייה של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4847" w:name="b4_note156"/>
    <w:p w14:paraId="4B74AE0C" w14:textId="321A1468" w:rsidR="00AB3647" w:rsidRDefault="00000000" w:rsidP="007923E9">
      <w:pPr>
        <w:spacing w:before="120" w:after="100" w:line="276" w:lineRule="auto"/>
        <w:jc w:val="both"/>
      </w:pPr>
      <w:r>
        <w:lastRenderedPageBreak/>
        <w:fldChar w:fldCharType="begin" w:dirty="true"/>
      </w:r>
      <w:r>
        <w:instrText>HYPERLINK \l "b4_text156" \h</w:instrText>
      </w:r>
      <w:r>
        <w:fldChar w:fldCharType="separate"/>
      </w:r>
      <w:r>
        <w:rPr>
          <w:b/>
          <w:bCs/>
          <w:rtl/>
        </w:rPr>
        <w:t>156</w:t>
      </w:r>
      <w:r>
        <w:rPr>
          <w:b/>
          <w:bCs/>
        </w:rPr>
        <w:fldChar w:fldCharType="end"/>
      </w:r>
      <w:bookmarkEnd w:id="4847"/>
      <w:r>
        <w:rPr>
          <w:rtl/>
        </w:rPr>
        <w:t xml:space="preserve"> ראה </w:t>
      </w:r>
      <w:r>
        <w:rPr>
          <w:rtl/>
        </w:rPr>
        <w:fldChar w:fldCharType="begin" w:dirty="true"/>
      </w:r>
      <w:r>
        <w:rPr>
          <w:rtl/>
        </w:rPr>
        <w:instrText xml:space="preserve"> REF b4_excS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w:t>
      </w:r>
    </w:p>
    <w:bookmarkStart w:id="4848" w:name="b4_note157"/>
    <w:p w14:paraId="5645EE08" w14:textId="77777777" w:rsidR="00AB3647" w:rsidRDefault="00000000" w:rsidP="007923E9">
      <w:pPr>
        <w:spacing w:before="120" w:after="100" w:line="276" w:lineRule="auto"/>
        <w:jc w:val="both"/>
      </w:pPr>
      <w:r>
        <w:fldChar w:fldCharType="begin" w:dirty="true"/>
      </w:r>
      <w:r>
        <w:instrText>HYPERLINK \l "b4_text157" \h</w:instrText>
      </w:r>
      <w:r>
        <w:fldChar w:fldCharType="separate"/>
      </w:r>
      <w:r>
        <w:rPr>
          <w:b/>
          <w:bCs/>
          <w:rtl/>
        </w:rPr>
        <w:t>157</w:t>
      </w:r>
      <w:r>
        <w:rPr>
          <w:b/>
          <w:bCs/>
        </w:rPr>
        <w:fldChar w:fldCharType="end"/>
      </w:r>
      <w:bookmarkEnd w:id="4848"/>
      <w:r>
        <w:rPr>
          <w:rtl/>
        </w:rPr>
        <w:t xml:space="preserve"> “לבוש מרדכי” נדפס שש שנים קודם לכן, </w:t>
      </w:r>
      <w:proofErr w:type="spellStart"/>
      <w:r>
        <w:rPr>
          <w:rtl/>
        </w:rPr>
        <w:t>בתרס״א</w:t>
      </w:r>
      <w:proofErr w:type="spellEnd"/>
      <w:r>
        <w:rPr>
          <w:rtl/>
        </w:rPr>
        <w:t>, וזכה לשבח בכל חוגי התורה</w:t>
      </w:r>
      <w:bookmarkStart w:id="4849" w:name="_fnr3567"/>
      <w:r>
        <w:rPr>
          <w:vertAlign w:val="superscript"/>
          <w:rtl/>
        </w:rPr>
        <w:footnoteReference w:id="3575" w:customMarkFollows="0"/>
      </w:r>
      <w:bookmarkEnd w:id="4849"/>
      <w:r>
        <w:rPr>
          <w:rtl/>
        </w:rPr>
        <w:t>.</w:t>
      </w:r>
    </w:p>
    <w:p w14:paraId="53C9836B" w14:textId="2C6238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proofErr w:type="spellStart"/>
      <w:r>
        <w:rPr>
          <w:rtl/>
        </w:rPr>
        <w:t>הדולהינובר</w:t>
      </w:r>
      <w:proofErr w:type="spellEnd"/>
      <w:r>
        <w:rPr>
          <w:rtl/>
        </w:rPr>
        <w:t xml:space="preserve"> היה צעיר מכדי לשתות משקאות משכרים, אבל רבים מהתלמידים המבוגרים השתכרו בפורים</w:t>
      </w:r>
      <w:bookmarkStart w:id="4850" w:name="b4_text158"/>
      <w:bookmarkEnd w:id="4850"/>
      <w:r>
        <w:rPr>
          <w:sz w:val="18"/>
          <w:szCs w:val="18"/>
          <w:vertAlign w:val="superscript"/>
          <w:rtl/>
        </w:rPr>
        <w:fldChar w:fldCharType="begin" w:dirty="true"/>
      </w:r>
      <w:r>
        <w:rPr>
          <w:sz w:val="18"/>
          <w:szCs w:val="18"/>
          <w:vertAlign w:val="superscript"/>
          <w:rtl/>
        </w:rPr>
        <w:instrText xml:space="preserve"> REF b4_note158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158</w:t>
      </w:r>
      <w:r>
        <w:rPr>
          <w:sz w:val="18"/>
          <w:szCs w:val="18"/>
          <w:vertAlign w:val="superscript"/>
          <w:rtl/>
        </w:rPr>
        <w:fldChar w:fldCharType="end"/>
      </w:r>
      <w:r>
        <w:rPr>
          <w:rtl/>
        </w:rPr>
        <w:t>. מפיהם פרצו דברי תורה ומוסר</w:t>
      </w:r>
      <w:bookmarkStart w:id="4851" w:name="b4_text159"/>
      <w:bookmarkEnd w:id="4851"/>
      <w:r>
        <w:rPr>
          <w:sz w:val="18"/>
          <w:szCs w:val="18"/>
          <w:vertAlign w:val="superscript"/>
          <w:rtl/>
        </w:rPr>
        <w:fldChar w:fldCharType="begin" w:dirty="true"/>
      </w:r>
      <w:r>
        <w:rPr>
          <w:sz w:val="18"/>
          <w:szCs w:val="18"/>
          <w:vertAlign w:val="superscript"/>
          <w:rtl/>
        </w:rPr>
        <w:instrText xml:space="preserve"> REF b4_note159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159</w:t>
      </w:r>
      <w:r>
        <w:rPr>
          <w:sz w:val="18"/>
          <w:szCs w:val="18"/>
          <w:vertAlign w:val="superscript"/>
          <w:rtl/>
        </w:rPr>
        <w:fldChar w:fldCharType="end"/>
      </w:r>
      <w:r>
        <w:rPr>
          <w:rtl/>
        </w:rPr>
        <w:t>, ואלה העידו שענייניהם הרוחניים לא היו חיצוניים ושטחיים. הצעיר שמח להימצא בחברה כזו.</w:t>
      </w:r>
    </w:p>
    <w:bookmarkStart w:id="4852" w:name="b4_note158"/>
    <w:p w14:paraId="74C389E4" w14:textId="77777777" w:rsidR="00AB3647" w:rsidRDefault="00000000" w:rsidP="007923E9">
      <w:pPr>
        <w:spacing w:before="120" w:after="100" w:line="276" w:lineRule="auto"/>
        <w:jc w:val="both"/>
      </w:pPr>
      <w:r>
        <w:fldChar w:fldCharType="begin" w:dirty="true"/>
      </w:r>
      <w:r>
        <w:instrText>HYPERLINK \l "b4_text158" \h</w:instrText>
      </w:r>
      <w:r>
        <w:fldChar w:fldCharType="separate"/>
      </w:r>
      <w:r>
        <w:rPr>
          <w:b/>
          <w:bCs/>
          <w:rtl/>
        </w:rPr>
        <w:t>158</w:t>
      </w:r>
      <w:r>
        <w:rPr>
          <w:b/>
          <w:bCs/>
        </w:rPr>
        <w:fldChar w:fldCharType="end"/>
      </w:r>
      <w:bookmarkEnd w:id="4852"/>
      <w:r>
        <w:rPr>
          <w:rtl/>
        </w:rPr>
        <w:t xml:space="preserve"> מעניין ששני תלמידי ר׳ ישראל שהתגוררו בקובנה, ר׳ נפתלי אמסטרדם ור׳ </w:t>
      </w:r>
      <w:proofErr w:type="spellStart"/>
      <w:r>
        <w:rPr>
          <w:rtl/>
        </w:rPr>
        <w:t>איצל׳ה</w:t>
      </w:r>
      <w:proofErr w:type="spellEnd"/>
      <w:r>
        <w:rPr>
          <w:rtl/>
        </w:rPr>
        <w:t xml:space="preserve"> </w:t>
      </w:r>
      <w:proofErr w:type="spellStart"/>
      <w:r>
        <w:rPr>
          <w:rtl/>
        </w:rPr>
        <w:t>בלאזר</w:t>
      </w:r>
      <w:proofErr w:type="spellEnd"/>
      <w:r>
        <w:rPr>
          <w:rtl/>
        </w:rPr>
        <w:t>, שתו בפורים עד כדי שכרות. לפי כץ, “תנועת המוסר”, כרך ב</w:t>
      </w:r>
      <w:bookmarkStart w:id="4853" w:name="_fnr3568"/>
      <w:r>
        <w:rPr>
          <w:vertAlign w:val="superscript"/>
          <w:rtl/>
        </w:rPr>
        <w:footnoteReference w:id="3576" w:customMarkFollows="0"/>
      </w:r>
      <w:bookmarkEnd w:id="4853"/>
      <w:r>
        <w:rPr>
          <w:rtl/>
        </w:rPr>
        <w:t xml:space="preserve">, נשאל ר׳ נפתלי מדוע אינו סומך על פסק </w:t>
      </w:r>
      <w:proofErr w:type="spellStart"/>
      <w:r>
        <w:rPr>
          <w:rtl/>
        </w:rPr>
        <w:t>הרמ״א</w:t>
      </w:r>
      <w:bookmarkStart w:id="4854" w:name="_fnr3569"/>
      <w:proofErr w:type="spellEnd"/>
      <w:r>
        <w:rPr>
          <w:vertAlign w:val="superscript"/>
          <w:rtl/>
        </w:rPr>
        <w:footnoteReference w:id="3577" w:customMarkFollows="0"/>
      </w:r>
      <w:bookmarkEnd w:id="4854"/>
      <w:r>
        <w:rPr>
          <w:rtl/>
        </w:rPr>
        <w:t xml:space="preserve"> שאפשר לצאת ידי חובת “</w:t>
      </w:r>
      <w:proofErr w:type="spellStart"/>
      <w:r>
        <w:rPr>
          <w:rtl/>
        </w:rPr>
        <w:t>לבסומי</w:t>
      </w:r>
      <w:proofErr w:type="spellEnd"/>
      <w:r>
        <w:rPr>
          <w:rtl/>
        </w:rPr>
        <w:t xml:space="preserve"> </w:t>
      </w:r>
      <w:proofErr w:type="spellStart"/>
      <w:r>
        <w:rPr>
          <w:rtl/>
        </w:rPr>
        <w:t>בפוריא</w:t>
      </w:r>
      <w:proofErr w:type="spellEnd"/>
      <w:r>
        <w:rPr>
          <w:rtl/>
        </w:rPr>
        <w:t>”</w:t>
      </w:r>
      <w:bookmarkStart w:id="4855" w:name="_fnr3570"/>
      <w:r>
        <w:rPr>
          <w:vertAlign w:val="superscript"/>
          <w:rtl/>
        </w:rPr>
        <w:footnoteReference w:id="3578" w:customMarkFollows="0"/>
      </w:r>
      <w:bookmarkEnd w:id="4855"/>
      <w:r>
        <w:rPr>
          <w:rtl/>
        </w:rPr>
        <w:t xml:space="preserve"> בשתייה מעט יותר מן הרגיל (יותר מלימודו) ובשינה אחריה, כפי שאכן ממליץ </w:t>
      </w:r>
      <w:proofErr w:type="spellStart"/>
      <w:r>
        <w:rPr>
          <w:rtl/>
        </w:rPr>
        <w:t>ה“פרי</w:t>
      </w:r>
      <w:proofErr w:type="spellEnd"/>
      <w:r>
        <w:rPr>
          <w:rtl/>
        </w:rPr>
        <w:t xml:space="preserve"> מגדים”</w:t>
      </w:r>
      <w:bookmarkStart w:id="4856" w:name="_fnr3571"/>
      <w:r>
        <w:rPr>
          <w:vertAlign w:val="superscript"/>
          <w:rtl/>
        </w:rPr>
        <w:footnoteReference w:id="3579" w:customMarkFollows="0"/>
      </w:r>
      <w:bookmarkEnd w:id="4856"/>
      <w:r>
        <w:rPr>
          <w:rtl/>
        </w:rPr>
        <w:t>. הוא השיב שאילו ביקש מרדכי בלשן, גיבור המגילה, למצוא קולות, ודאי היה משתחווה להמן, וכל מעשה המגילה לא היה מתרחש. לפיכך אין לבקש קולות כדי להימנע מקיום דקדקני של הלכות פורים!</w:t>
      </w:r>
    </w:p>
    <w:p w14:paraId="0C8DF0DC" w14:textId="77777777" w:rsidR="00AB3647" w:rsidRDefault="00000000" w:rsidP="007923E9">
      <w:pPr>
        <w:spacing w:before="120" w:after="100" w:line="276" w:lineRule="auto"/>
        <w:jc w:val="both"/>
      </w:pPr>
      <w:r>
        <w:rPr>
          <w:rtl/>
        </w:rPr>
        <w:t>לפי כץ, שם</w:t>
      </w:r>
      <w:bookmarkStart w:id="4857" w:name="_fnr3572"/>
      <w:r>
        <w:rPr>
          <w:vertAlign w:val="superscript"/>
          <w:rtl/>
        </w:rPr>
        <w:footnoteReference w:id="3580" w:customMarkFollows="0"/>
      </w:r>
      <w:bookmarkEnd w:id="4857"/>
      <w:r>
        <w:rPr>
          <w:rtl/>
        </w:rPr>
        <w:t xml:space="preserve">, אמר ר׳ </w:t>
      </w:r>
      <w:proofErr w:type="spellStart"/>
      <w:r>
        <w:rPr>
          <w:rtl/>
        </w:rPr>
        <w:t>איצל׳ה</w:t>
      </w:r>
      <w:proofErr w:type="spellEnd"/>
      <w:r>
        <w:rPr>
          <w:rtl/>
        </w:rPr>
        <w:t xml:space="preserve"> בשם רבו שאין חובה להשתכר, אלא רק לשתות כל היום. אם בשעה כלשהי במשך היום נשתכר מחמת מה שכבר שתה (לא ידע בין ארור המן לברוך מרדכי), הוא פטור משתייה נוספת, כשם שהוא פטור מכל חיובי התורה</w:t>
      </w:r>
      <w:bookmarkStart w:id="4858" w:name="_fnr3573"/>
      <w:r>
        <w:rPr>
          <w:vertAlign w:val="superscript"/>
          <w:rtl/>
        </w:rPr>
        <w:footnoteReference w:id="3581" w:customMarkFollows="0"/>
      </w:r>
      <w:bookmarkEnd w:id="4858"/>
      <w:r>
        <w:rPr>
          <w:rtl/>
        </w:rPr>
        <w:t>. לפי כץ, שם</w:t>
      </w:r>
      <w:bookmarkStart w:id="4859" w:name="_fnr3574"/>
      <w:r>
        <w:rPr>
          <w:vertAlign w:val="superscript"/>
          <w:rtl/>
        </w:rPr>
        <w:footnoteReference w:id="3582" w:customMarkFollows="0"/>
      </w:r>
      <w:bookmarkEnd w:id="4859"/>
      <w:r>
        <w:rPr>
          <w:rtl/>
        </w:rPr>
        <w:t xml:space="preserve">, ר׳ </w:t>
      </w:r>
      <w:proofErr w:type="spellStart"/>
      <w:r>
        <w:rPr>
          <w:rtl/>
        </w:rPr>
        <w:t>איצל׳ה</w:t>
      </w:r>
      <w:proofErr w:type="spellEnd"/>
      <w:r>
        <w:rPr>
          <w:rtl/>
        </w:rPr>
        <w:t xml:space="preserve"> אכן השתכר מן השתייה הרצופה.</w:t>
      </w:r>
    </w:p>
    <w:p w14:paraId="3C5DD34E" w14:textId="77777777" w:rsidR="00AB3647" w:rsidRDefault="00000000" w:rsidP="007923E9">
      <w:pPr>
        <w:spacing w:before="120" w:after="100" w:line="276" w:lineRule="auto"/>
        <w:jc w:val="both"/>
      </w:pPr>
      <w:r>
        <w:rPr>
          <w:rtl/>
        </w:rPr>
        <w:t xml:space="preserve">כשחזר אבי על פירושו החדש של ר׳ ישראל </w:t>
      </w:r>
      <w:proofErr w:type="spellStart"/>
      <w:r>
        <w:rPr>
          <w:rtl/>
        </w:rPr>
        <w:t>סלנטר</w:t>
      </w:r>
      <w:proofErr w:type="spellEnd"/>
      <w:r>
        <w:rPr>
          <w:rtl/>
        </w:rPr>
        <w:t xml:space="preserve"> </w:t>
      </w:r>
      <w:proofErr w:type="spellStart"/>
      <w:r>
        <w:rPr>
          <w:rtl/>
        </w:rPr>
        <w:t>ל“חייב</w:t>
      </w:r>
      <w:proofErr w:type="spellEnd"/>
      <w:r>
        <w:rPr>
          <w:rtl/>
        </w:rPr>
        <w:t xml:space="preserve"> </w:t>
      </w:r>
      <w:proofErr w:type="spellStart"/>
      <w:r>
        <w:rPr>
          <w:rtl/>
        </w:rPr>
        <w:t>איניש</w:t>
      </w:r>
      <w:proofErr w:type="spellEnd"/>
      <w:r>
        <w:rPr>
          <w:rtl/>
        </w:rPr>
        <w:t xml:space="preserve"> </w:t>
      </w:r>
      <w:proofErr w:type="spellStart"/>
      <w:r>
        <w:rPr>
          <w:rtl/>
        </w:rPr>
        <w:t>לבסומי</w:t>
      </w:r>
      <w:proofErr w:type="spellEnd"/>
      <w:r>
        <w:rPr>
          <w:rtl/>
        </w:rPr>
        <w:t xml:space="preserve"> </w:t>
      </w:r>
      <w:proofErr w:type="spellStart"/>
      <w:r>
        <w:rPr>
          <w:rtl/>
        </w:rPr>
        <w:t>בפוריא</w:t>
      </w:r>
      <w:proofErr w:type="spellEnd"/>
      <w:r>
        <w:rPr>
          <w:rtl/>
        </w:rPr>
        <w:t xml:space="preserve"> עד דלא ידע </w:t>
      </w:r>
      <w:proofErr w:type="spellStart"/>
      <w:r>
        <w:rPr>
          <w:rtl/>
        </w:rPr>
        <w:t>וכו</w:t>
      </w:r>
      <w:proofErr w:type="spellEnd"/>
      <w:r>
        <w:rPr>
          <w:rtl/>
        </w:rPr>
        <w:t>׳”, הוסיף שר׳ נפתלי שתה כל הפורים, אבל משקה אלכוהולי קל, שרבנו קרא לו “</w:t>
      </w:r>
      <w:proofErr w:type="spellStart"/>
      <w:r>
        <w:rPr>
          <w:rtl/>
        </w:rPr>
        <w:t>פאנש</w:t>
      </w:r>
      <w:proofErr w:type="spellEnd"/>
      <w:r>
        <w:rPr>
          <w:rtl/>
        </w:rPr>
        <w:t>”. “השפעת השתייה המצטברת הספיקה לשנות את התנהגותו של ר׳ נפתלי רק עד הלילה</w:t>
      </w:r>
      <w:bookmarkStart w:id="4860" w:name="_fnr3575"/>
      <w:r>
        <w:rPr>
          <w:vertAlign w:val="superscript"/>
          <w:rtl/>
        </w:rPr>
        <w:footnoteReference w:id="3583" w:customMarkFollows="0"/>
      </w:r>
      <w:bookmarkEnd w:id="4860"/>
      <w:r>
        <w:rPr>
          <w:rtl/>
        </w:rPr>
        <w:t>”, אמר אבי.</w:t>
      </w:r>
    </w:p>
    <w:p w14:paraId="768037B1" w14:textId="77777777" w:rsidR="00AB3647" w:rsidRDefault="00000000" w:rsidP="007923E9">
      <w:pPr>
        <w:spacing w:before="120" w:after="100" w:line="276" w:lineRule="auto"/>
        <w:jc w:val="both"/>
      </w:pPr>
      <w:r>
        <w:rPr>
          <w:rtl/>
        </w:rPr>
        <w:t xml:space="preserve">עדות על חגיגת הפורים של ר׳ ישראל </w:t>
      </w:r>
      <w:proofErr w:type="spellStart"/>
      <w:r>
        <w:rPr>
          <w:rtl/>
        </w:rPr>
        <w:t>סלנטר</w:t>
      </w:r>
      <w:proofErr w:type="spellEnd"/>
      <w:r>
        <w:rPr>
          <w:rtl/>
        </w:rPr>
        <w:t xml:space="preserve"> עצמו יש </w:t>
      </w:r>
      <w:proofErr w:type="spellStart"/>
      <w:r>
        <w:rPr>
          <w:rtl/>
        </w:rPr>
        <w:t>ב“סדר</w:t>
      </w:r>
      <w:proofErr w:type="spellEnd"/>
      <w:r>
        <w:rPr>
          <w:rtl/>
        </w:rPr>
        <w:t xml:space="preserve"> אליהו”</w:t>
      </w:r>
      <w:bookmarkStart w:id="4861" w:name="_fnr3576"/>
      <w:r>
        <w:rPr>
          <w:vertAlign w:val="superscript"/>
          <w:rtl/>
        </w:rPr>
        <w:footnoteReference w:id="3584" w:customMarkFollows="0"/>
      </w:r>
      <w:bookmarkEnd w:id="4861"/>
      <w:r>
        <w:rPr>
          <w:rtl/>
        </w:rPr>
        <w:t xml:space="preserve">. המחבר, </w:t>
      </w:r>
      <w:proofErr w:type="spellStart"/>
      <w:r>
        <w:rPr>
          <w:rtl/>
        </w:rPr>
        <w:t>האדר״ת</w:t>
      </w:r>
      <w:bookmarkStart w:id="4862" w:name="_fnr3577"/>
      <w:proofErr w:type="spellEnd"/>
      <w:r>
        <w:rPr>
          <w:vertAlign w:val="superscript"/>
          <w:rtl/>
        </w:rPr>
        <w:footnoteReference w:id="3585" w:customMarkFollows="0"/>
      </w:r>
      <w:bookmarkEnd w:id="4862"/>
      <w:r>
        <w:rPr>
          <w:rtl/>
        </w:rPr>
        <w:t xml:space="preserve">, כותב שם ברשימה </w:t>
      </w:r>
      <w:proofErr w:type="spellStart"/>
      <w:r>
        <w:rPr>
          <w:rtl/>
        </w:rPr>
        <w:t>מתרכ״ה</w:t>
      </w:r>
      <w:proofErr w:type="spellEnd"/>
      <w:r>
        <w:rPr>
          <w:rtl/>
        </w:rPr>
        <w:t xml:space="preserve"> שקיצר את סעודת הפורים שלו בווילנה כדי לבקר את ר׳ ישראל, שעשה שם את החג אצל בתו. וזה תרגום הקטע המתאר את מה שאירע: “כשבאתי לבית [חתנו </w:t>
      </w:r>
      <w:r>
        <w:rPr>
          <w:rtl/>
        </w:rPr>
        <w:lastRenderedPageBreak/>
        <w:t xml:space="preserve">של ר׳ ישראל], מצאתי את [ר׳ ישראל] ישן לאחר </w:t>
      </w:r>
      <w:r>
        <w:rPr>
          <w:b/>
          <w:bCs/>
          <w:rtl/>
        </w:rPr>
        <w:t>שקיים כראוי את מצוות היום, חובת השכרות</w:t>
      </w:r>
      <w:r>
        <w:rPr>
          <w:rtl/>
        </w:rPr>
        <w:t xml:space="preserve"> (ההדגשה שלי), וציווה להעירו לאחר השעה </w:t>
      </w:r>
      <w:proofErr w:type="spellStart"/>
      <w:r>
        <w:rPr>
          <w:rtl/>
        </w:rPr>
        <w:t>אחת־עשרה</w:t>
      </w:r>
      <w:proofErr w:type="spellEnd"/>
      <w:r>
        <w:rPr>
          <w:rtl/>
        </w:rPr>
        <w:t xml:space="preserve">, לפני חצות. העירוהו </w:t>
      </w:r>
      <w:proofErr w:type="spellStart"/>
      <w:r>
        <w:rPr>
          <w:rtl/>
        </w:rPr>
        <w:t>באחת־עשרה</w:t>
      </w:r>
      <w:proofErr w:type="spellEnd"/>
      <w:r>
        <w:rPr>
          <w:rtl/>
        </w:rPr>
        <w:t xml:space="preserve"> וחצי, התפלל ערבית ואחר כך שוחח עמי... ואחר כך ביקש שאניח לו לנוח מפני שהוא עייף. וכשנפרדתי ממנו אמר לי שמאחר שאני נוסע ברכבת בפעם הראשונה, עליי להיזהר שלא להתפלל בתחנה, מפני שתלו שם אזהרות [ברוסית] האוסרות זאת, והעוברים על האיסור נקנסים בעשרים וחמישה רובל”. עדות נוספת על הדרך שבה חגג ר׳ ישראל את פורים מצויה </w:t>
      </w:r>
      <w:proofErr w:type="spellStart"/>
      <w:r>
        <w:rPr>
          <w:rtl/>
        </w:rPr>
        <w:t>ב“עלי</w:t>
      </w:r>
      <w:proofErr w:type="spellEnd"/>
      <w:r>
        <w:rPr>
          <w:rtl/>
        </w:rPr>
        <w:t xml:space="preserve"> שור”, חלק שני</w:t>
      </w:r>
      <w:bookmarkStart w:id="4863" w:name="_fnr3578"/>
      <w:r>
        <w:rPr>
          <w:vertAlign w:val="superscript"/>
          <w:rtl/>
        </w:rPr>
        <w:footnoteReference w:id="3586" w:customMarkFollows="0"/>
      </w:r>
      <w:bookmarkEnd w:id="4863"/>
      <w:r>
        <w:rPr>
          <w:rtl/>
        </w:rPr>
        <w:t>: “הוא השתכר לגמרי [</w:t>
      </w:r>
      <w:proofErr w:type="spellStart"/>
      <w:r>
        <w:rPr>
          <w:rtl/>
        </w:rPr>
        <w:t>כשיכרותו</w:t>
      </w:r>
      <w:proofErr w:type="spellEnd"/>
      <w:r>
        <w:rPr>
          <w:rtl/>
        </w:rPr>
        <w:t xml:space="preserve"> של לוט ממש], ובמצב זה אמר חידושים בכל הש״ס בלי הפסק כל היום, בחריפות ובחידוד מופלאים”.</w:t>
      </w:r>
    </w:p>
    <w:p w14:paraId="2FE571C5" w14:textId="77777777" w:rsidR="00AB3647" w:rsidRDefault="00000000" w:rsidP="007923E9">
      <w:pPr>
        <w:spacing w:before="120" w:after="100" w:line="276" w:lineRule="auto"/>
        <w:jc w:val="both"/>
      </w:pPr>
      <w:r>
        <w:rPr>
          <w:rtl/>
        </w:rPr>
        <w:t xml:space="preserve">ר׳ יצחק </w:t>
      </w:r>
      <w:proofErr w:type="spellStart"/>
      <w:r>
        <w:rPr>
          <w:rtl/>
        </w:rPr>
        <w:t>שורין</w:t>
      </w:r>
      <w:proofErr w:type="spellEnd"/>
      <w:r>
        <w:rPr>
          <w:rtl/>
        </w:rPr>
        <w:t xml:space="preserve"> סיפר</w:t>
      </w:r>
      <w:bookmarkStart w:id="4864" w:name="_fnr3579"/>
      <w:r>
        <w:rPr>
          <w:vertAlign w:val="superscript"/>
          <w:rtl/>
        </w:rPr>
        <w:footnoteReference w:id="3587" w:customMarkFollows="0"/>
      </w:r>
      <w:bookmarkEnd w:id="4864"/>
      <w:r>
        <w:rPr>
          <w:rtl/>
        </w:rPr>
        <w:t xml:space="preserve"> שמחבר “עלי שור” גילה ששמע זאת מרבו ר׳ ירוחם </w:t>
      </w:r>
      <w:proofErr w:type="spellStart"/>
      <w:r>
        <w:rPr>
          <w:rtl/>
        </w:rPr>
        <w:t>ליבוביץ</w:t>
      </w:r>
      <w:proofErr w:type="spellEnd"/>
      <w:r>
        <w:rPr>
          <w:rtl/>
        </w:rPr>
        <w:t xml:space="preserve">. מסתבר שר׳ ירוחם שמע זאת מתלמידו המובהק של ר׳ ישראל, ר׳ </w:t>
      </w:r>
      <w:proofErr w:type="spellStart"/>
      <w:r>
        <w:rPr>
          <w:rtl/>
        </w:rPr>
        <w:t>שמחה־זיסל</w:t>
      </w:r>
      <w:proofErr w:type="spellEnd"/>
      <w:r>
        <w:rPr>
          <w:rtl/>
        </w:rPr>
        <w:t xml:space="preserve"> זיו</w:t>
      </w:r>
      <w:bookmarkStart w:id="4865" w:name="_fnr3580"/>
      <w:r>
        <w:rPr>
          <w:vertAlign w:val="superscript"/>
          <w:rtl/>
        </w:rPr>
        <w:footnoteReference w:id="3588" w:customMarkFollows="0"/>
      </w:r>
      <w:bookmarkEnd w:id="4865"/>
      <w:r>
        <w:rPr>
          <w:rtl/>
        </w:rPr>
        <w:t xml:space="preserve">, בשנת חייו האחרונה, כשלמד ר׳ ירוחם אצלו </w:t>
      </w:r>
      <w:proofErr w:type="spellStart"/>
      <w:r>
        <w:rPr>
          <w:rtl/>
        </w:rPr>
        <w:t>בקלם</w:t>
      </w:r>
      <w:proofErr w:type="spellEnd"/>
      <w:r>
        <w:rPr>
          <w:rtl/>
        </w:rPr>
        <w:t>.</w:t>
      </w:r>
    </w:p>
    <w:p w14:paraId="104A5EC6" w14:textId="77777777" w:rsidR="00AB3647" w:rsidRDefault="00000000" w:rsidP="007923E9">
      <w:pPr>
        <w:spacing w:before="120" w:after="100" w:line="276" w:lineRule="auto"/>
        <w:jc w:val="both"/>
      </w:pPr>
      <w:r>
        <w:rPr>
          <w:rtl/>
        </w:rPr>
        <w:t>לא מצאתי מקור על האופן שבו חגג הסבא מקלם עצמו את פורים. אבל “הצדיק רבי שלמה”</w:t>
      </w:r>
      <w:bookmarkStart w:id="4866" w:name="_fnr3581"/>
      <w:r>
        <w:rPr>
          <w:vertAlign w:val="superscript"/>
          <w:rtl/>
        </w:rPr>
        <w:footnoteReference w:id="3589" w:customMarkFollows="0"/>
      </w:r>
      <w:bookmarkEnd w:id="4866"/>
      <w:r>
        <w:rPr>
          <w:rtl/>
        </w:rPr>
        <w:t xml:space="preserve"> מביא מפי ר׳ שלמה בלוך, שלמד </w:t>
      </w:r>
      <w:proofErr w:type="spellStart"/>
      <w:r>
        <w:rPr>
          <w:rtl/>
        </w:rPr>
        <w:t>בקלם</w:t>
      </w:r>
      <w:proofErr w:type="spellEnd"/>
      <w:r>
        <w:rPr>
          <w:rtl/>
        </w:rPr>
        <w:t xml:space="preserve"> </w:t>
      </w:r>
      <w:proofErr w:type="spellStart"/>
      <w:r>
        <w:rPr>
          <w:rtl/>
        </w:rPr>
        <w:t>מתרע״ז</w:t>
      </w:r>
      <w:proofErr w:type="spellEnd"/>
      <w:r>
        <w:rPr>
          <w:rtl/>
        </w:rPr>
        <w:t xml:space="preserve"> עד תרפ״ה, </w:t>
      </w:r>
      <w:proofErr w:type="spellStart"/>
      <w:r>
        <w:rPr>
          <w:rtl/>
        </w:rPr>
        <w:t>ש“אפילו</w:t>
      </w:r>
      <w:proofErr w:type="spellEnd"/>
      <w:r>
        <w:rPr>
          <w:rtl/>
        </w:rPr>
        <w:t xml:space="preserve"> ראשי התלמוד תורה קיימו את החובה של ‘</w:t>
      </w:r>
      <w:proofErr w:type="spellStart"/>
      <w:r>
        <w:rPr>
          <w:rtl/>
        </w:rPr>
        <w:t>לבסומי</w:t>
      </w:r>
      <w:proofErr w:type="spellEnd"/>
      <w:r>
        <w:rPr>
          <w:rtl/>
        </w:rPr>
        <w:t xml:space="preserve"> </w:t>
      </w:r>
      <w:proofErr w:type="spellStart"/>
      <w:r>
        <w:rPr>
          <w:rtl/>
        </w:rPr>
        <w:t>בפוריא</w:t>
      </w:r>
      <w:proofErr w:type="spellEnd"/>
      <w:r>
        <w:rPr>
          <w:rtl/>
        </w:rPr>
        <w:t xml:space="preserve">’ כפשוטה” – ומכאן יש לשער שגם ר׳ </w:t>
      </w:r>
      <w:proofErr w:type="spellStart"/>
      <w:r>
        <w:rPr>
          <w:rtl/>
        </w:rPr>
        <w:t>שמחה־זיסל</w:t>
      </w:r>
      <w:proofErr w:type="spellEnd"/>
      <w:r>
        <w:rPr>
          <w:rtl/>
        </w:rPr>
        <w:t xml:space="preserve">, מייסד התלמוד תורה </w:t>
      </w:r>
      <w:proofErr w:type="spellStart"/>
      <w:r>
        <w:rPr>
          <w:rtl/>
        </w:rPr>
        <w:t>בקלם</w:t>
      </w:r>
      <w:proofErr w:type="spellEnd"/>
      <w:r>
        <w:rPr>
          <w:rtl/>
        </w:rPr>
        <w:t xml:space="preserve"> ומורה דרכו, היה משתכר</w:t>
      </w:r>
      <w:bookmarkStart w:id="4867" w:name="_fnr3582"/>
      <w:r>
        <w:rPr>
          <w:vertAlign w:val="superscript"/>
          <w:rtl/>
        </w:rPr>
        <w:footnoteReference w:id="3590" w:customMarkFollows="0"/>
      </w:r>
      <w:bookmarkEnd w:id="4867"/>
      <w:r>
        <w:rPr>
          <w:rtl/>
        </w:rPr>
        <w:t xml:space="preserve">. ר׳ </w:t>
      </w:r>
      <w:proofErr w:type="spellStart"/>
      <w:r>
        <w:rPr>
          <w:rtl/>
        </w:rPr>
        <w:t>שלמה־זלמן</w:t>
      </w:r>
      <w:proofErr w:type="spellEnd"/>
      <w:r>
        <w:rPr>
          <w:rtl/>
        </w:rPr>
        <w:t xml:space="preserve"> בלוך מספר גם </w:t>
      </w:r>
      <w:proofErr w:type="spellStart"/>
      <w:r>
        <w:rPr>
          <w:rtl/>
        </w:rPr>
        <w:t>ש“היה</w:t>
      </w:r>
      <w:proofErr w:type="spellEnd"/>
      <w:r>
        <w:rPr>
          <w:rtl/>
        </w:rPr>
        <w:t xml:space="preserve"> פלא שברגע השקיעה ממש חזרו [ראשי התלמוד תורה] לצלילותם”</w:t>
      </w:r>
      <w:bookmarkStart w:id="4868" w:name="_fnr3583"/>
      <w:r>
        <w:rPr>
          <w:vertAlign w:val="superscript"/>
          <w:rtl/>
        </w:rPr>
        <w:footnoteReference w:id="3591" w:customMarkFollows="0"/>
      </w:r>
      <w:bookmarkEnd w:id="4868"/>
      <w:r>
        <w:rPr>
          <w:rtl/>
        </w:rPr>
        <w:t>.</w:t>
      </w:r>
    </w:p>
    <w:p w14:paraId="10227AFE" w14:textId="77777777" w:rsidR="00AB3647" w:rsidRDefault="00000000" w:rsidP="007923E9">
      <w:pPr>
        <w:spacing w:after="120" w:line="276" w:lineRule="auto"/>
        <w:jc w:val="both"/>
      </w:pPr>
      <w:r>
        <w:rPr>
          <w:rtl/>
        </w:rPr>
        <w:t xml:space="preserve">בלי האמרה הבאה של ר׳ ישראל </w:t>
      </w:r>
      <w:proofErr w:type="spellStart"/>
      <w:r>
        <w:rPr>
          <w:rtl/>
        </w:rPr>
        <w:t>סלנטר</w:t>
      </w:r>
      <w:proofErr w:type="spellEnd"/>
      <w:r>
        <w:rPr>
          <w:rtl/>
        </w:rPr>
        <w:t xml:space="preserve"> לא נבין כראוי את חגיגת הפורים של בעלי המוסר: “השוטה זהיר פחות בתפילת נעילה של יום הכיפורים מן החכם בסעודת פורים”</w:t>
      </w:r>
      <w:bookmarkStart w:id="4869" w:name="_fnr3584"/>
      <w:r>
        <w:rPr>
          <w:vertAlign w:val="superscript"/>
          <w:rtl/>
        </w:rPr>
        <w:footnoteReference w:id="3592" w:customMarkFollows="0"/>
      </w:r>
      <w:bookmarkEnd w:id="4869"/>
      <w:r>
        <w:rPr>
          <w:rtl/>
        </w:rPr>
        <w:t>.</w:t>
      </w:r>
    </w:p>
    <w:bookmarkStart w:id="4870" w:name="b4_note159"/>
    <w:p w14:paraId="15D52A6F" w14:textId="77777777" w:rsidR="00AB3647" w:rsidRDefault="00000000" w:rsidP="007923E9">
      <w:pPr>
        <w:spacing w:before="120" w:after="100" w:line="276" w:lineRule="auto"/>
        <w:jc w:val="both"/>
      </w:pPr>
      <w:r>
        <w:fldChar w:fldCharType="begin" w:dirty="true"/>
      </w:r>
      <w:r>
        <w:instrText>HYPERLINK \l "b4_text159" \h</w:instrText>
      </w:r>
      <w:r>
        <w:fldChar w:fldCharType="separate"/>
      </w:r>
      <w:r>
        <w:rPr>
          <w:b/>
          <w:bCs/>
          <w:rtl/>
        </w:rPr>
        <w:t>159</w:t>
      </w:r>
      <w:r>
        <w:rPr>
          <w:b/>
          <w:bCs/>
        </w:rPr>
        <w:fldChar w:fldCharType="end"/>
      </w:r>
      <w:bookmarkEnd w:id="4870"/>
      <w:r>
        <w:rPr>
          <w:rtl/>
        </w:rPr>
        <w:t xml:space="preserve"> השווה הציטוט </w:t>
      </w:r>
      <w:proofErr w:type="spellStart"/>
      <w:r>
        <w:rPr>
          <w:rtl/>
        </w:rPr>
        <w:t>מ“עלי</w:t>
      </w:r>
      <w:proofErr w:type="spellEnd"/>
      <w:r>
        <w:rPr>
          <w:rtl/>
        </w:rPr>
        <w:t xml:space="preserve"> שור” בהערה הקודמת, על הדרך שבה נהג ר׳ ישראל </w:t>
      </w:r>
      <w:proofErr w:type="spellStart"/>
      <w:r>
        <w:rPr>
          <w:rtl/>
        </w:rPr>
        <w:t>סלנטר</w:t>
      </w:r>
      <w:proofErr w:type="spellEnd"/>
      <w:r>
        <w:rPr>
          <w:rtl/>
        </w:rPr>
        <w:t xml:space="preserve"> בשכרותו.</w:t>
      </w:r>
    </w:p>
    <w:p w14:paraId="2DC994BB" w14:textId="38ABBA6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רבנו כתב מכתבים הביתה בשנת היעדרו, וגם קיבל מכתבים</w:t>
      </w:r>
      <w:bookmarkStart w:id="4871" w:name="b4_text160"/>
      <w:bookmarkEnd w:id="4871"/>
      <w:r>
        <w:rPr>
          <w:sz w:val="18"/>
          <w:szCs w:val="18"/>
          <w:vertAlign w:val="superscript"/>
          <w:rtl/>
        </w:rPr>
        <w:fldChar w:fldCharType="begin" w:dirty="true"/>
      </w:r>
      <w:r>
        <w:rPr>
          <w:sz w:val="18"/>
          <w:szCs w:val="18"/>
          <w:vertAlign w:val="superscript"/>
          <w:rtl/>
        </w:rPr>
        <w:instrText xml:space="preserve"> REF b4_note160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160</w:t>
      </w:r>
      <w:r>
        <w:rPr>
          <w:sz w:val="18"/>
          <w:szCs w:val="18"/>
          <w:vertAlign w:val="superscript"/>
          <w:rtl/>
        </w:rPr>
        <w:fldChar w:fldCharType="end"/>
      </w:r>
      <w:r>
        <w:rPr>
          <w:rtl/>
        </w:rPr>
        <w:t>. עתה הודיע להוריו שיבוא הביתה לפסח</w:t>
      </w:r>
      <w:bookmarkStart w:id="4872" w:name="b4_text161"/>
      <w:bookmarkEnd w:id="4872"/>
      <w:r>
        <w:rPr>
          <w:sz w:val="18"/>
          <w:szCs w:val="18"/>
          <w:vertAlign w:val="superscript"/>
          <w:rtl/>
        </w:rPr>
        <w:fldChar w:fldCharType="begin" w:dirty="true"/>
      </w:r>
      <w:r>
        <w:rPr>
          <w:sz w:val="18"/>
          <w:szCs w:val="18"/>
          <w:vertAlign w:val="superscript"/>
          <w:rtl/>
        </w:rPr>
        <w:instrText xml:space="preserve"> REF b4_note161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161</w:t>
      </w:r>
      <w:r>
        <w:rPr>
          <w:sz w:val="18"/>
          <w:szCs w:val="18"/>
          <w:vertAlign w:val="superscript"/>
          <w:rtl/>
        </w:rPr>
        <w:fldChar w:fldCharType="end"/>
      </w:r>
      <w:r>
        <w:rPr>
          <w:rtl/>
        </w:rPr>
        <w:t xml:space="preserve">. הסבא דיבר אל הבחורים היוצאים מן הישיבה על הדרך שבה עליהם לנהוג בחברת בעלי בתים, שם מוטל עליהם לייצג את ההתרוממות שבאה מלימוד התורה. הוא </w:t>
      </w:r>
      <w:r>
        <w:rPr>
          <w:rtl/>
        </w:rPr>
        <w:lastRenderedPageBreak/>
        <w:t>הזהירם שלא להאריך בתפילת העמידה בבית הכנסת, פן יראו בהם המתפללים אנשים שאינם מן העולם הזה, מנותקים מן המציאות</w:t>
      </w:r>
      <w:bookmarkStart w:id="4873" w:name="b4_text162"/>
      <w:bookmarkEnd w:id="4873"/>
      <w:r>
        <w:rPr>
          <w:sz w:val="18"/>
          <w:szCs w:val="18"/>
          <w:vertAlign w:val="superscript"/>
          <w:rtl/>
        </w:rPr>
        <w:fldChar w:fldCharType="begin" w:dirty="true"/>
      </w:r>
      <w:r>
        <w:rPr>
          <w:sz w:val="18"/>
          <w:szCs w:val="18"/>
          <w:vertAlign w:val="superscript"/>
          <w:rtl/>
        </w:rPr>
        <w:instrText xml:space="preserve"> REF b4_note162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162</w:t>
      </w:r>
      <w:r>
        <w:rPr>
          <w:sz w:val="18"/>
          <w:szCs w:val="18"/>
          <w:vertAlign w:val="superscript"/>
          <w:rtl/>
        </w:rPr>
        <w:fldChar w:fldCharType="end"/>
      </w:r>
      <w:r>
        <w:rPr>
          <w:rtl/>
        </w:rPr>
        <w:t>.</w:t>
      </w:r>
    </w:p>
    <w:bookmarkStart w:id="4874" w:name="b4_note160"/>
    <w:p w14:paraId="295B8A73" w14:textId="77777777" w:rsidR="00AB3647" w:rsidRDefault="00000000" w:rsidP="007923E9">
      <w:pPr>
        <w:spacing w:before="120" w:after="100" w:line="276" w:lineRule="auto"/>
        <w:jc w:val="both"/>
      </w:pPr>
      <w:r>
        <w:fldChar w:fldCharType="begin" w:dirty="true"/>
      </w:r>
      <w:r>
        <w:instrText>HYPERLINK \l "b4_text160" \h</w:instrText>
      </w:r>
      <w:r>
        <w:fldChar w:fldCharType="separate"/>
      </w:r>
      <w:r>
        <w:rPr>
          <w:b/>
          <w:bCs/>
          <w:rtl/>
        </w:rPr>
        <w:t>160</w:t>
      </w:r>
      <w:r>
        <w:rPr>
          <w:b/>
          <w:bCs/>
        </w:rPr>
        <w:fldChar w:fldCharType="end"/>
      </w:r>
      <w:bookmarkEnd w:id="4874"/>
      <w:r>
        <w:rPr>
          <w:rtl/>
        </w:rPr>
        <w:t xml:space="preserve"> בעיירה </w:t>
      </w:r>
      <w:proofErr w:type="spellStart"/>
      <w:r>
        <w:rPr>
          <w:rtl/>
        </w:rPr>
        <w:t>סלבודקה</w:t>
      </w:r>
      <w:proofErr w:type="spellEnd"/>
      <w:r>
        <w:rPr>
          <w:rtl/>
        </w:rPr>
        <w:t xml:space="preserve"> לא היה בית דואר, והדואר שלה הגיע דרך קובנה. בחור מבוגר הופקד על איסוף דואר הישיבה; הוא היה תולה רשימת נמענים, והללו היו באים אליו לקבל את מכתביהם. בשיטה זו יכול היה הסבא לבדוק בקלות מי מקבל מכתבים וממי, ולנקוט אמצעי זהירות בעת הצורך</w:t>
      </w:r>
      <w:bookmarkStart w:id="4875" w:name="_fnr3585"/>
      <w:r>
        <w:rPr>
          <w:vertAlign w:val="superscript"/>
          <w:rtl/>
        </w:rPr>
        <w:footnoteReference w:id="3593" w:customMarkFollows="0"/>
      </w:r>
      <w:bookmarkEnd w:id="4875"/>
      <w:r>
        <w:rPr>
          <w:rtl/>
        </w:rPr>
        <w:t xml:space="preserve">. השווה גם </w:t>
      </w:r>
      <w:proofErr w:type="spellStart"/>
      <w:r>
        <w:rPr>
          <w:rtl/>
        </w:rPr>
        <w:t>צינוביץ</w:t>
      </w:r>
      <w:proofErr w:type="spellEnd"/>
      <w:r>
        <w:rPr>
          <w:rtl/>
        </w:rPr>
        <w:t>, “עץ חיים”</w:t>
      </w:r>
      <w:bookmarkStart w:id="4876" w:name="_fnr3586"/>
      <w:r>
        <w:rPr>
          <w:vertAlign w:val="superscript"/>
          <w:rtl/>
        </w:rPr>
        <w:footnoteReference w:id="3594" w:customMarkFollows="0"/>
      </w:r>
      <w:bookmarkEnd w:id="4876"/>
      <w:r>
        <w:rPr>
          <w:rtl/>
        </w:rPr>
        <w:t xml:space="preserve">, המביא ידיעה </w:t>
      </w:r>
      <w:proofErr w:type="spellStart"/>
      <w:r>
        <w:rPr>
          <w:rtl/>
        </w:rPr>
        <w:t>מ“המליץ</w:t>
      </w:r>
      <w:proofErr w:type="spellEnd"/>
      <w:r>
        <w:rPr>
          <w:rtl/>
        </w:rPr>
        <w:t>”</w:t>
      </w:r>
      <w:bookmarkStart w:id="4877" w:name="_fnr3587"/>
      <w:r>
        <w:rPr>
          <w:vertAlign w:val="superscript"/>
          <w:rtl/>
        </w:rPr>
        <w:footnoteReference w:id="3595" w:customMarkFollows="0"/>
      </w:r>
      <w:bookmarkEnd w:id="4877"/>
      <w:r>
        <w:rPr>
          <w:rtl/>
        </w:rPr>
        <w:t xml:space="preserve">: </w:t>
      </w:r>
      <w:proofErr w:type="spellStart"/>
      <w:r>
        <w:rPr>
          <w:rtl/>
        </w:rPr>
        <w:t>בוולוז׳ין</w:t>
      </w:r>
      <w:proofErr w:type="spellEnd"/>
      <w:r>
        <w:rPr>
          <w:rtl/>
        </w:rPr>
        <w:t xml:space="preserve">, עיירה קטנה שבית הדואר בה היה קרוב, הורה ראש הישיבה, </w:t>
      </w:r>
      <w:proofErr w:type="spellStart"/>
      <w:r>
        <w:rPr>
          <w:rtl/>
        </w:rPr>
        <w:t>הנצי״ב</w:t>
      </w:r>
      <w:proofErr w:type="spellEnd"/>
      <w:r>
        <w:rPr>
          <w:rtl/>
        </w:rPr>
        <w:t xml:space="preserve">, </w:t>
      </w:r>
      <w:proofErr w:type="spellStart"/>
      <w:r>
        <w:rPr>
          <w:rtl/>
        </w:rPr>
        <w:t>ש“לא</w:t>
      </w:r>
      <w:proofErr w:type="spellEnd"/>
      <w:r>
        <w:rPr>
          <w:rtl/>
        </w:rPr>
        <w:t xml:space="preserve"> תדרוך רגלו של שום תלמיד על סף בית הדואר כדי לקבל מכתבים או כתבי עת”, שמא יגיע חומר קריאה בלתי ראוי לידי התלמידים, “וכדי שלא יתלוננו התלמידים שמונעים מהם את מכתבי הוריהם וקרוביהם, קבע שכאשר יגיע דואר [לעיירה] ילך המנהל לקבל את כל המכתבים וכתבי העת הממוענים ל[ראש הישיבה], לתלמידים ולכל ארגון הישיבה”.</w:t>
      </w:r>
    </w:p>
    <w:p w14:paraId="37DB2051" w14:textId="2F1B69EC" w:rsidR="00AB3647" w:rsidRDefault="00000000" w:rsidP="007923E9">
      <w:pPr>
        <w:spacing w:before="120" w:after="100" w:line="276" w:lineRule="auto"/>
        <w:jc w:val="both"/>
      </w:pPr>
      <w:r>
        <w:rPr>
          <w:rtl/>
        </w:rPr>
        <w:t>ר׳ מאיר חדש סיפר</w:t>
      </w:r>
      <w:bookmarkStart w:id="4878" w:name="_fnr3588"/>
      <w:r>
        <w:rPr>
          <w:vertAlign w:val="superscript"/>
          <w:rtl/>
        </w:rPr>
        <w:footnoteReference w:id="3596" w:customMarkFollows="0"/>
      </w:r>
      <w:bookmarkEnd w:id="4878"/>
      <w:r>
        <w:rPr>
          <w:rtl/>
        </w:rPr>
        <w:t xml:space="preserve"> שכאשר בא </w:t>
      </w:r>
      <w:proofErr w:type="spellStart"/>
      <w:r>
        <w:rPr>
          <w:rtl/>
        </w:rPr>
        <w:t>לסלבודקה</w:t>
      </w:r>
      <w:proofErr w:type="spellEnd"/>
      <w:r>
        <w:rPr>
          <w:rtl/>
        </w:rPr>
        <w:t xml:space="preserve"> </w:t>
      </w:r>
      <w:proofErr w:type="spellStart"/>
      <w:r>
        <w:rPr>
          <w:rtl/>
        </w:rPr>
        <w:t>בתר״ע</w:t>
      </w:r>
      <w:proofErr w:type="spellEnd"/>
      <w:r>
        <w:rPr>
          <w:rtl/>
        </w:rPr>
        <w:t xml:space="preserve">, לפני בר המצווה שלו ובלי תקווה להתקבל רשמית כתלמיד, היה מקבל את מכתביו על שם </w:t>
      </w:r>
      <w:proofErr w:type="spellStart"/>
      <w:r>
        <w:rPr>
          <w:rtl/>
        </w:rPr>
        <w:t>בן־דוד</w:t>
      </w:r>
      <w:proofErr w:type="spellEnd"/>
      <w:r>
        <w:rPr>
          <w:rtl/>
        </w:rPr>
        <w:t xml:space="preserve"> מבוגר שלמד שם. כעבור שנה וחצי כתב לו אביו מכתב – שבטעות היה ממוען </w:t>
      </w:r>
      <w:proofErr w:type="spellStart"/>
      <w:r>
        <w:rPr>
          <w:rtl/>
        </w:rPr>
        <w:t>לר</w:t>
      </w:r>
      <w:proofErr w:type="spellEnd"/>
      <w:r>
        <w:rPr>
          <w:rtl/>
        </w:rPr>
        <w:t xml:space="preserve">׳ מאיר עצמו – ובו הורה לו להמתין בתחנת קובנה ביום מסוים, שבו תעצור לכמה דקות הרכבת המביאה את האב לנמל, לקראת נסיעתו באונייה לאמריקה. כך יוכלו להיפרד זה מזה. המכתב הגיע לידי ר׳ מאיר חדש רק יומיים אחרי שעברה רכבת אביו, מפני שהבחור המבוגר שאסף את הדואר לא ראה מעולם קודם לכן את השם “מאיר חדש” על מעטפה! נמצא שבפעם האחרונה ראה את אביו בגיל </w:t>
      </w:r>
      <w:proofErr w:type="spellStart"/>
      <w:r>
        <w:rPr>
          <w:rtl/>
        </w:rPr>
        <w:t>שתים־עשרה</w:t>
      </w:r>
      <w:proofErr w:type="spellEnd"/>
      <w:r>
        <w:rPr>
          <w:rtl/>
        </w:rPr>
        <w:t xml:space="preserve">, לפני שיצא מביתו </w:t>
      </w:r>
      <w:proofErr w:type="spellStart"/>
      <w:r>
        <w:rPr>
          <w:rtl/>
        </w:rPr>
        <w:t>לסלבודקה</w:t>
      </w:r>
      <w:proofErr w:type="spellEnd"/>
      <w:r>
        <w:rPr>
          <w:rtl/>
        </w:rPr>
        <w:t xml:space="preserve">, שהרי לא יצא מן הישיבה לביקור בביתו </w:t>
      </w:r>
      <w:proofErr w:type="spellStart"/>
      <w:r>
        <w:rPr>
          <w:rtl/>
        </w:rPr>
        <w:t>בפאריטש</w:t>
      </w:r>
      <w:proofErr w:type="spellEnd"/>
      <w:r>
        <w:rPr>
          <w:rtl/>
        </w:rPr>
        <w:t xml:space="preserve"> אלא אחרי שנתיים </w:t>
      </w:r>
      <w:proofErr w:type="spellStart"/>
      <w:r>
        <w:rPr>
          <w:rtl/>
        </w:rPr>
        <w:t>בסלבודקה</w:t>
      </w:r>
      <w:proofErr w:type="spellEnd"/>
      <w:r>
        <w:rPr>
          <w:rtl/>
        </w:rPr>
        <w:t xml:space="preserve">. על עוניו השווה פרק 3, הערה </w:t>
      </w:r>
      <w:r>
        <w:rPr>
          <w:rtl/>
        </w:rPr>
        <w:fldChar w:fldCharType="begin" w:dirty="true"/>
      </w:r>
      <w:r>
        <w:rPr>
          <w:rtl/>
        </w:rPr>
        <w:instrText xml:space="preserve"> REF b3_note83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83</w:t>
      </w:r>
      <w:r>
        <w:rPr>
          <w:rtl/>
        </w:rPr>
        <w:fldChar w:fldCharType="end"/>
      </w:r>
      <w:r>
        <w:rPr>
          <w:rtl/>
        </w:rPr>
        <w:t>.</w:t>
      </w:r>
    </w:p>
    <w:p w14:paraId="6C73824A" w14:textId="77777777" w:rsidR="00AB3647" w:rsidRDefault="00000000" w:rsidP="007923E9">
      <w:pPr>
        <w:spacing w:before="120" w:after="100" w:line="276" w:lineRule="auto"/>
        <w:jc w:val="both"/>
      </w:pPr>
      <w:r>
        <w:rPr>
          <w:rtl/>
        </w:rPr>
        <w:t xml:space="preserve">לאביו של ר׳ מאיר נדרשו כמה שנים לחסוך די כסף כדי לשלוח כרטיסים למשפחתו, שתצטרף אליו בארצות הברית. עד שמכרו את חפציהם והתכוננו לנסיעה חלתה </w:t>
      </w:r>
      <w:proofErr w:type="spellStart"/>
      <w:r>
        <w:rPr>
          <w:rtl/>
        </w:rPr>
        <w:t>אמו</w:t>
      </w:r>
      <w:proofErr w:type="spellEnd"/>
      <w:r>
        <w:rPr>
          <w:rtl/>
        </w:rPr>
        <w:t xml:space="preserve"> של ר׳ מאיר ונפטרה, והשאירה שני בנים ובת באירופה. אחר כך פרצה מלחמת העולם, והנסיעה כולה בוטלה. אביו נישא שוב וחי את שארית ימיו בארצות הברית, ובנו לא ראה אותו עוד.</w:t>
      </w:r>
    </w:p>
    <w:bookmarkStart w:id="4879" w:name="b4_note161"/>
    <w:p w14:paraId="265A39EF" w14:textId="77777777" w:rsidR="00AB3647" w:rsidRDefault="00000000" w:rsidP="007923E9">
      <w:pPr>
        <w:spacing w:before="120" w:after="100" w:line="276" w:lineRule="auto"/>
        <w:jc w:val="both"/>
      </w:pPr>
      <w:r>
        <w:fldChar w:fldCharType="begin" w:dirty="true"/>
      </w:r>
      <w:r>
        <w:instrText>HYPERLINK \l "b4_text161" \h</w:instrText>
      </w:r>
      <w:r>
        <w:fldChar w:fldCharType="separate"/>
      </w:r>
      <w:r>
        <w:rPr>
          <w:b/>
          <w:bCs/>
          <w:rtl/>
        </w:rPr>
        <w:t>161</w:t>
      </w:r>
      <w:r>
        <w:rPr>
          <w:b/>
          <w:bCs/>
        </w:rPr>
        <w:fldChar w:fldCharType="end"/>
      </w:r>
      <w:bookmarkEnd w:id="4879"/>
      <w:r>
        <w:rPr>
          <w:rtl/>
        </w:rPr>
        <w:t xml:space="preserve"> בינתיים עברו מרחוב </w:t>
      </w:r>
      <w:proofErr w:type="spellStart"/>
      <w:r>
        <w:rPr>
          <w:rtl/>
        </w:rPr>
        <w:t>בוגדלניה</w:t>
      </w:r>
      <w:proofErr w:type="spellEnd"/>
      <w:r>
        <w:rPr>
          <w:rtl/>
        </w:rPr>
        <w:t xml:space="preserve"> לשכונת לחובקה הענייה יותר, מעברו השני של נהר </w:t>
      </w:r>
      <w:proofErr w:type="spellStart"/>
      <w:r>
        <w:rPr>
          <w:rtl/>
        </w:rPr>
        <w:t>סביסלוץ</w:t>
      </w:r>
      <w:proofErr w:type="spellEnd"/>
      <w:r>
        <w:rPr>
          <w:rtl/>
        </w:rPr>
        <w:t>׳</w:t>
      </w:r>
      <w:bookmarkStart w:id="4880" w:name="_fnr3589"/>
      <w:r>
        <w:rPr>
          <w:vertAlign w:val="superscript"/>
          <w:rtl/>
        </w:rPr>
        <w:footnoteReference w:id="3597" w:customMarkFollows="0"/>
      </w:r>
      <w:bookmarkEnd w:id="4880"/>
      <w:r>
        <w:rPr>
          <w:rtl/>
        </w:rPr>
        <w:t>.</w:t>
      </w:r>
    </w:p>
    <w:bookmarkStart w:id="4881" w:name="b4_note162"/>
    <w:p w14:paraId="6E6D52C6" w14:textId="77777777" w:rsidR="00AB3647" w:rsidRDefault="00000000" w:rsidP="007923E9">
      <w:pPr>
        <w:spacing w:before="120" w:after="100" w:line="276" w:lineRule="auto"/>
        <w:jc w:val="both"/>
      </w:pPr>
      <w:r>
        <w:lastRenderedPageBreak/>
        <w:fldChar w:fldCharType="begin" w:dirty="true"/>
      </w:r>
      <w:r>
        <w:instrText>HYPERLINK \l "b4_text162" \h</w:instrText>
      </w:r>
      <w:r>
        <w:fldChar w:fldCharType="separate"/>
      </w:r>
      <w:r>
        <w:rPr>
          <w:b/>
          <w:bCs/>
          <w:rtl/>
        </w:rPr>
        <w:t>162</w:t>
      </w:r>
      <w:r>
        <w:rPr>
          <w:b/>
          <w:bCs/>
        </w:rPr>
        <w:fldChar w:fldCharType="end"/>
      </w:r>
      <w:bookmarkEnd w:id="4881"/>
      <w:r>
        <w:rPr>
          <w:rtl/>
        </w:rPr>
        <w:t xml:space="preserve"> ר׳ לייזר פר סיפר</w:t>
      </w:r>
      <w:bookmarkStart w:id="4882" w:name="_fnr3590"/>
      <w:r>
        <w:rPr>
          <w:vertAlign w:val="superscript"/>
          <w:rtl/>
        </w:rPr>
        <w:footnoteReference w:id="3598" w:customMarkFollows="0"/>
      </w:r>
      <w:bookmarkEnd w:id="4882"/>
      <w:r>
        <w:rPr>
          <w:rtl/>
        </w:rPr>
        <w:t xml:space="preserve"> בשם אביו, ר׳ מנחם</w:t>
      </w:r>
      <w:bookmarkStart w:id="4883" w:name="_fnr3591"/>
      <w:r>
        <w:rPr>
          <w:vertAlign w:val="superscript"/>
          <w:rtl/>
        </w:rPr>
        <w:footnoteReference w:id="3599" w:customMarkFollows="0"/>
      </w:r>
      <w:bookmarkEnd w:id="4883"/>
      <w:r>
        <w:rPr>
          <w:rtl/>
        </w:rPr>
        <w:t xml:space="preserve">: “הסבא היה קורא לכל בחור לפני כל בין הזמנים ומורה לו: ‘עליך לדעת שאתה הולך הביתה בין פשוטי עם; אל תאריך בתפילת העמידה ואל </w:t>
      </w:r>
      <w:proofErr w:type="spellStart"/>
      <w:r>
        <w:rPr>
          <w:rtl/>
        </w:rPr>
        <w:t>תצדק׳ע</w:t>
      </w:r>
      <w:proofErr w:type="spellEnd"/>
      <w:r>
        <w:rPr>
          <w:rtl/>
        </w:rPr>
        <w:t xml:space="preserve"> </w:t>
      </w:r>
      <w:proofErr w:type="spellStart"/>
      <w:r>
        <w:rPr>
          <w:rtl/>
        </w:rPr>
        <w:t>דיך</w:t>
      </w:r>
      <w:proofErr w:type="spellEnd"/>
      <w:r>
        <w:rPr>
          <w:rtl/>
        </w:rPr>
        <w:t xml:space="preserve"> [תנהג בצדקות יתרה]’”.</w:t>
      </w:r>
    </w:p>
    <w:p w14:paraId="730D64AC" w14:textId="68FAAC2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jc w:val="both"/>
      </w:pPr>
      <w:r>
        <w:rPr>
          <w:rtl/>
        </w:rPr>
        <w:t xml:space="preserve">אחרי נסיעתו הארוכה הביתה ברכבת קיבלה משפחתו את רבנו בחום. הוא יצא ילד וחזר איש, רציני ומעודן יותר בהליכותיו, וזקן התחיל לצמוח על לחייו של בן </w:t>
      </w:r>
      <w:proofErr w:type="spellStart"/>
      <w:r>
        <w:rPr>
          <w:rtl/>
        </w:rPr>
        <w:t>השש־עשרה</w:t>
      </w:r>
      <w:proofErr w:type="spellEnd"/>
      <w:r>
        <w:rPr>
          <w:rtl/>
        </w:rPr>
        <w:t>. השבועות שעשה במינסק לא עברו בבטלה: הוא ביקר בספריית ספרי הקודש שבבית איל העצים ברוך זלדוביץ׳</w:t>
      </w:r>
      <w:bookmarkStart w:id="4884" w:name="b4_text163"/>
      <w:bookmarkEnd w:id="4884"/>
      <w:r>
        <w:rPr>
          <w:sz w:val="18"/>
          <w:szCs w:val="18"/>
          <w:vertAlign w:val="superscript"/>
          <w:rtl/>
        </w:rPr>
        <w:fldChar w:fldCharType="begin" w:dirty="true"/>
      </w:r>
      <w:r>
        <w:rPr>
          <w:sz w:val="18"/>
          <w:szCs w:val="18"/>
          <w:vertAlign w:val="superscript"/>
          <w:rtl/>
        </w:rPr>
        <w:instrText xml:space="preserve"> REF b4_note163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163</w:t>
      </w:r>
      <w:r>
        <w:rPr>
          <w:sz w:val="18"/>
          <w:szCs w:val="18"/>
          <w:vertAlign w:val="superscript"/>
          <w:rtl/>
        </w:rPr>
        <w:fldChar w:fldCharType="end"/>
      </w:r>
      <w:r>
        <w:rPr>
          <w:rtl/>
        </w:rPr>
        <w:t xml:space="preserve"> ושאל כמה ספרים</w:t>
      </w:r>
      <w:bookmarkStart w:id="4885" w:name="b4_text164"/>
      <w:bookmarkEnd w:id="4885"/>
      <w:r>
        <w:rPr>
          <w:sz w:val="18"/>
          <w:szCs w:val="18"/>
          <w:vertAlign w:val="superscript"/>
          <w:rtl/>
        </w:rPr>
        <w:fldChar w:fldCharType="begin" w:dirty="true"/>
      </w:r>
      <w:r>
        <w:rPr>
          <w:sz w:val="18"/>
          <w:szCs w:val="18"/>
          <w:vertAlign w:val="superscript"/>
          <w:rtl/>
        </w:rPr>
        <w:instrText xml:space="preserve"> REF b4_note164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164</w:t>
      </w:r>
      <w:r>
        <w:rPr>
          <w:sz w:val="18"/>
          <w:szCs w:val="18"/>
          <w:vertAlign w:val="superscript"/>
          <w:rtl/>
        </w:rPr>
        <w:fldChar w:fldCharType="end"/>
      </w:r>
      <w:r>
        <w:rPr>
          <w:rtl/>
        </w:rPr>
        <w:t>, כדי ללמוד כמה עניינים שחיבב ושסדרי הישיבה במשך השנה לא הותירו לו זמן ללומדם</w:t>
      </w:r>
      <w:bookmarkStart w:id="4886" w:name="b4_text165"/>
      <w:bookmarkEnd w:id="4886"/>
      <w:r>
        <w:rPr>
          <w:sz w:val="18"/>
          <w:szCs w:val="18"/>
          <w:vertAlign w:val="superscript"/>
          <w:rtl/>
        </w:rPr>
        <w:fldChar w:fldCharType="begin" w:dirty="true"/>
      </w:r>
      <w:r>
        <w:rPr>
          <w:sz w:val="18"/>
          <w:szCs w:val="18"/>
          <w:vertAlign w:val="superscript"/>
          <w:rtl/>
        </w:rPr>
        <w:instrText xml:space="preserve"> REF b4_note165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165</w:t>
      </w:r>
      <w:r>
        <w:rPr>
          <w:sz w:val="18"/>
          <w:szCs w:val="18"/>
          <w:vertAlign w:val="superscript"/>
          <w:rtl/>
        </w:rPr>
        <w:fldChar w:fldCharType="end"/>
      </w:r>
      <w:r>
        <w:rPr>
          <w:rtl/>
        </w:rPr>
        <w:t xml:space="preserve">. הוריו, ובייחוד סבו, היו גאים בצאצאם, שהיה עתה בן תורה צעיר. </w:t>
      </w:r>
      <w:proofErr w:type="spellStart"/>
      <w:r>
        <w:rPr>
          <w:rtl/>
        </w:rPr>
        <w:t>אמו</w:t>
      </w:r>
      <w:proofErr w:type="spellEnd"/>
      <w:r>
        <w:rPr>
          <w:rtl/>
        </w:rPr>
        <w:t xml:space="preserve"> ראתה שהאבן הטובה שלה מתחילה להבהיק</w:t>
      </w:r>
      <w:bookmarkStart w:id="4887" w:name="b4_text166"/>
      <w:bookmarkEnd w:id="4887"/>
      <w:r>
        <w:rPr>
          <w:sz w:val="18"/>
          <w:szCs w:val="18"/>
          <w:vertAlign w:val="superscript"/>
          <w:rtl/>
        </w:rPr>
        <w:fldChar w:fldCharType="begin" w:dirty="true"/>
      </w:r>
      <w:r>
        <w:rPr>
          <w:sz w:val="18"/>
          <w:szCs w:val="18"/>
          <w:vertAlign w:val="superscript"/>
          <w:rtl/>
        </w:rPr>
        <w:instrText xml:space="preserve"> REF b4_note166 \h \* CHARFORMAT </w:instrText>
      </w:r>
      <w:r>
        <w:rPr>
          <w:sz w:val="18"/>
          <w:szCs w:val="18"/>
          <w:vertAlign w:val="superscript"/>
          <w:rtl/>
        </w:rPr>
      </w:r>
      <w:r w:rsidR="007923E9">
        <w:rPr>
          <w:sz w:val="18"/>
          <w:szCs w:val="18"/>
          <w:vertAlign w:val="superscript"/>
          <w:rtl/>
        </w:rPr>
        <w:instrText xml:space="preserve"> \* </w:instrText>
      </w:r>
      <w:r w:rsidR="007923E9">
        <w:rPr>
          <w:sz w:val="18"/>
          <w:szCs w:val="18"/>
          <w:vertAlign w:val="superscript"/>
        </w:rPr>
        <w:instrText>MERGEFORMAT</w:instrText>
      </w:r>
      <w:r w:rsidR="007923E9">
        <w:rPr>
          <w:sz w:val="18"/>
          <w:szCs w:val="18"/>
          <w:vertAlign w:val="superscript"/>
          <w:rtl/>
        </w:rPr>
        <w:instrText xml:space="preserve"> </w:instrText>
      </w:r>
      <w:r>
        <w:rPr>
          <w:sz w:val="18"/>
          <w:szCs w:val="18"/>
          <w:vertAlign w:val="superscript"/>
          <w:rtl/>
        </w:rPr>
        <w:fldChar w:fldCharType="separate"/>
      </w:r>
      <w:r w:rsidR="007923E9" w:rsidRPr="007923E9">
        <w:rPr>
          <w:sz w:val="18"/>
          <w:szCs w:val="18"/>
          <w:vertAlign w:val="superscript"/>
          <w:rtl/>
        </w:rPr>
        <w:t>166</w:t>
      </w:r>
      <w:r>
        <w:rPr>
          <w:sz w:val="18"/>
          <w:szCs w:val="18"/>
          <w:vertAlign w:val="superscript"/>
          <w:rtl/>
        </w:rPr>
        <w:fldChar w:fldCharType="end"/>
      </w:r>
      <w:r>
        <w:rPr>
          <w:rtl/>
        </w:rPr>
        <w:t>.</w:t>
      </w:r>
    </w:p>
    <w:bookmarkStart w:id="4888" w:name="b4_note163"/>
    <w:p w14:paraId="63DC064E" w14:textId="73AB06F7" w:rsidR="00AB3647" w:rsidRDefault="00000000" w:rsidP="007923E9">
      <w:pPr>
        <w:spacing w:before="120" w:after="100" w:line="276" w:lineRule="auto"/>
        <w:jc w:val="both"/>
      </w:pPr>
      <w:r>
        <w:fldChar w:fldCharType="begin" w:dirty="true"/>
      </w:r>
      <w:r>
        <w:instrText>HYPERLINK \l "b4_text163" \h</w:instrText>
      </w:r>
      <w:r>
        <w:fldChar w:fldCharType="separate"/>
      </w:r>
      <w:r>
        <w:rPr>
          <w:b/>
          <w:bCs/>
          <w:rtl/>
        </w:rPr>
        <w:t>163</w:t>
      </w:r>
      <w:r>
        <w:rPr>
          <w:b/>
          <w:bCs/>
        </w:rPr>
        <w:fldChar w:fldCharType="end"/>
      </w:r>
      <w:bookmarkEnd w:id="4888"/>
      <w:r>
        <w:rPr>
          <w:rtl/>
        </w:rPr>
        <w:t xml:space="preserve"> ראה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w:t>
      </w:r>
    </w:p>
    <w:p w14:paraId="0AEAC6DD" w14:textId="77777777" w:rsidR="00AB3647" w:rsidRDefault="00AB3647" w:rsidP="007923E9">
      <w:pPr>
        <w:spacing w:line="276" w:lineRule="auto"/>
      </w:pPr>
    </w:p>
    <w:bookmarkStart w:id="4889" w:name="b4_note164"/>
    <w:p w14:paraId="6BDBCEAB" w14:textId="033737C8" w:rsidR="00AB3647" w:rsidRDefault="00000000" w:rsidP="007923E9">
      <w:pPr>
        <w:spacing w:before="120" w:after="100" w:line="276" w:lineRule="auto"/>
        <w:jc w:val="both"/>
      </w:pPr>
      <w:r>
        <w:fldChar w:fldCharType="begin" w:dirty="true"/>
      </w:r>
      <w:r>
        <w:instrText>HYPERLINK \l "b4_text164" \h</w:instrText>
      </w:r>
      <w:r>
        <w:fldChar w:fldCharType="separate"/>
      </w:r>
      <w:r>
        <w:rPr>
          <w:b/>
          <w:bCs/>
          <w:rtl/>
        </w:rPr>
        <w:t>164</w:t>
      </w:r>
      <w:r>
        <w:rPr>
          <w:b/>
          <w:bCs/>
        </w:rPr>
        <w:fldChar w:fldCharType="end"/>
      </w:r>
      <w:bookmarkEnd w:id="4889"/>
      <w:r>
        <w:rPr>
          <w:rtl/>
        </w:rPr>
        <w:t xml:space="preserve"> מעשה מעניין אירע לאבי בספריית השאלה זו. בתוך כרך ששאל מצא פתק בכתב ידו ובחתימתו של ר׳ ישראל </w:t>
      </w:r>
      <w:proofErr w:type="spellStart"/>
      <w:r>
        <w:rPr>
          <w:rtl/>
        </w:rPr>
        <w:t>סלנטר</w:t>
      </w:r>
      <w:proofErr w:type="spellEnd"/>
      <w:r>
        <w:rPr>
          <w:rtl/>
        </w:rPr>
        <w:t>, ובו הורה לנשארים אחריו להשיב את הספר לספרייה אם יימצא בין חפציו לאחר פטירתו</w:t>
      </w:r>
      <w:bookmarkStart w:id="4890" w:name="_fnr3592"/>
      <w:r>
        <w:rPr>
          <w:vertAlign w:val="superscript"/>
          <w:rtl/>
        </w:rPr>
        <w:footnoteReference w:id="3600" w:customMarkFollows="0"/>
      </w:r>
      <w:bookmarkEnd w:id="4890"/>
      <w:r>
        <w:rPr>
          <w:rtl/>
        </w:rPr>
        <w:t>. בשנים מאוחרות יותר הצטער אבי שהשאיר את הפתק בספר כשהחזירו לספרייה</w:t>
      </w:r>
      <w:bookmarkStart w:id="4891" w:name="_fnr3593"/>
      <w:r>
        <w:rPr>
          <w:vertAlign w:val="superscript"/>
          <w:rtl/>
        </w:rPr>
        <w:footnoteReference w:id="3601" w:customMarkFollows="0"/>
      </w:r>
      <w:bookmarkEnd w:id="4891"/>
      <w:r>
        <w:rPr>
          <w:rtl/>
        </w:rPr>
        <w:t xml:space="preserve">. רבנו סיפר זאת לנכדו ר׳ יצחק </w:t>
      </w:r>
      <w:proofErr w:type="spellStart"/>
      <w:r>
        <w:rPr>
          <w:rtl/>
        </w:rPr>
        <w:t>שורין</w:t>
      </w:r>
      <w:bookmarkStart w:id="4892" w:name="_fnr3594"/>
      <w:proofErr w:type="spellEnd"/>
      <w:r>
        <w:rPr>
          <w:vertAlign w:val="superscript"/>
          <w:rtl/>
        </w:rPr>
        <w:footnoteReference w:id="3602" w:customMarkFollows="0"/>
      </w:r>
      <w:bookmarkEnd w:id="4892"/>
      <w:r>
        <w:rPr>
          <w:rtl/>
        </w:rPr>
        <w:t xml:space="preserve">, כדי להראות כמה פחד ר׳ ישראל ממוות פתאומי – השווה פרק 5, הפסקה השביעית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והפסקה השנייה שם, על שיתוקו הפתאומי.</w:t>
      </w:r>
    </w:p>
    <w:p w14:paraId="6A9473C6" w14:textId="77777777" w:rsidR="00AB3647" w:rsidRDefault="00000000" w:rsidP="007923E9">
      <w:pPr>
        <w:spacing w:before="120" w:after="100" w:line="276" w:lineRule="auto"/>
        <w:jc w:val="both"/>
      </w:pPr>
      <w:r>
        <w:rPr>
          <w:rtl/>
        </w:rPr>
        <w:t>השווה גם כץ, “תנועת המוסר”, כרך א</w:t>
      </w:r>
      <w:bookmarkStart w:id="4893" w:name="_fnr3595"/>
      <w:r>
        <w:rPr>
          <w:vertAlign w:val="superscript"/>
          <w:rtl/>
        </w:rPr>
        <w:footnoteReference w:id="3603" w:customMarkFollows="0"/>
      </w:r>
      <w:bookmarkEnd w:id="4893"/>
      <w:r>
        <w:rPr>
          <w:rtl/>
        </w:rPr>
        <w:t xml:space="preserve">: ראו את ר׳ ישראל מנסה לפתות חתול להיכנס לביתו לפני יום הכיפורים, מפני שחשש שבזמן שבני האדם ייעדרו מן הבית שעות ארוכות בתפילה יֵצאו עכברים ויכרסמו את ספריו השאולים. </w:t>
      </w:r>
      <w:proofErr w:type="spellStart"/>
      <w:r>
        <w:rPr>
          <w:rtl/>
        </w:rPr>
        <w:t>ב“לנתיבות</w:t>
      </w:r>
      <w:proofErr w:type="spellEnd"/>
      <w:r>
        <w:rPr>
          <w:rtl/>
        </w:rPr>
        <w:t xml:space="preserve"> אור”</w:t>
      </w:r>
      <w:bookmarkStart w:id="4894" w:name="_fnr3596"/>
      <w:r>
        <w:rPr>
          <w:vertAlign w:val="superscript"/>
          <w:rtl/>
        </w:rPr>
        <w:footnoteReference w:id="3604" w:customMarkFollows="0"/>
      </w:r>
      <w:bookmarkEnd w:id="4894"/>
      <w:r>
        <w:rPr>
          <w:rtl/>
        </w:rPr>
        <w:t xml:space="preserve"> כותב ר׳ </w:t>
      </w:r>
      <w:proofErr w:type="spellStart"/>
      <w:r>
        <w:rPr>
          <w:rtl/>
        </w:rPr>
        <w:t>איצל׳ה</w:t>
      </w:r>
      <w:proofErr w:type="spellEnd"/>
      <w:r>
        <w:rPr>
          <w:rtl/>
        </w:rPr>
        <w:t xml:space="preserve"> </w:t>
      </w:r>
      <w:proofErr w:type="spellStart"/>
      <w:r>
        <w:rPr>
          <w:rtl/>
        </w:rPr>
        <w:t>בלאזר</w:t>
      </w:r>
      <w:proofErr w:type="spellEnd"/>
      <w:r>
        <w:rPr>
          <w:rtl/>
        </w:rPr>
        <w:t xml:space="preserve">: “ר׳ ישראל לא השאיר דבר ליורשיו [מלבד טלית ישנה </w:t>
      </w:r>
      <w:proofErr w:type="spellStart"/>
      <w:r>
        <w:rPr>
          <w:rtl/>
        </w:rPr>
        <w:t>ותפיליו</w:t>
      </w:r>
      <w:proofErr w:type="spellEnd"/>
      <w:r>
        <w:rPr>
          <w:rtl/>
        </w:rPr>
        <w:t>] – אף לא ספר, מפני שלא רצה ליהנות מאחרים [שבתמיכתם הכספית היה תלוי] לצורך קניית ספרים; הוא השתמש בספרים שאולים [ללימודו]”</w:t>
      </w:r>
      <w:bookmarkStart w:id="4895" w:name="_fnr3597"/>
      <w:r>
        <w:rPr>
          <w:vertAlign w:val="superscript"/>
          <w:rtl/>
        </w:rPr>
        <w:footnoteReference w:id="3605" w:customMarkFollows="0"/>
      </w:r>
      <w:bookmarkEnd w:id="4895"/>
      <w:r>
        <w:rPr>
          <w:rtl/>
        </w:rPr>
        <w:t>.</w:t>
      </w:r>
    </w:p>
    <w:bookmarkStart w:id="4896" w:name="b4_note165"/>
    <w:p w14:paraId="5C2A644B" w14:textId="77777777" w:rsidR="00AB3647" w:rsidRDefault="00000000" w:rsidP="007923E9">
      <w:pPr>
        <w:spacing w:before="120" w:after="100" w:line="276" w:lineRule="auto"/>
        <w:jc w:val="both"/>
      </w:pPr>
      <w:r>
        <w:fldChar w:fldCharType="begin" w:dirty="true"/>
      </w:r>
      <w:r>
        <w:instrText>HYPERLINK \l "b4_text165" \h</w:instrText>
      </w:r>
      <w:r>
        <w:fldChar w:fldCharType="separate"/>
      </w:r>
      <w:r>
        <w:rPr>
          <w:b/>
          <w:bCs/>
          <w:rtl/>
        </w:rPr>
        <w:t>165</w:t>
      </w:r>
      <w:r>
        <w:rPr>
          <w:b/>
          <w:bCs/>
        </w:rPr>
        <w:fldChar w:fldCharType="end"/>
      </w:r>
      <w:bookmarkEnd w:id="4896"/>
      <w:r>
        <w:rPr>
          <w:rtl/>
        </w:rPr>
        <w:t xml:space="preserve"> בשיחה לתלמידי הישיבה התלמודית של פילדלפיה המריץ אבי את התלמידים לנצל לשם כך את בין הזמנים של הקיץ – כך סיפר לי ר׳ יצחק פרמן</w:t>
      </w:r>
      <w:bookmarkStart w:id="4897" w:name="_fnr3598"/>
      <w:r>
        <w:rPr>
          <w:vertAlign w:val="superscript"/>
          <w:rtl/>
        </w:rPr>
        <w:footnoteReference w:id="3606" w:customMarkFollows="0"/>
      </w:r>
      <w:bookmarkEnd w:id="4897"/>
      <w:r>
        <w:rPr>
          <w:rtl/>
        </w:rPr>
        <w:t>.</w:t>
      </w:r>
    </w:p>
    <w:bookmarkStart w:id="4898" w:name="b4_note166"/>
    <w:p w14:paraId="61568AA1" w14:textId="77777777" w:rsidR="00AB3647" w:rsidRDefault="00000000" w:rsidP="007923E9">
      <w:pPr>
        <w:spacing w:before="120" w:after="100" w:line="276" w:lineRule="auto"/>
        <w:jc w:val="both"/>
      </w:pPr>
      <w:r>
        <w:lastRenderedPageBreak/>
        <w:fldChar w:fldCharType="begin" w:dirty="true"/>
      </w:r>
      <w:r>
        <w:instrText>HYPERLINK \l "b4_text166" \h</w:instrText>
      </w:r>
      <w:r>
        <w:fldChar w:fldCharType="separate"/>
      </w:r>
      <w:r>
        <w:rPr>
          <w:b/>
          <w:bCs/>
          <w:rtl/>
        </w:rPr>
        <w:t>166</w:t>
      </w:r>
      <w:r>
        <w:rPr>
          <w:b/>
          <w:bCs/>
        </w:rPr>
        <w:fldChar w:fldCharType="end"/>
      </w:r>
      <w:bookmarkEnd w:id="4898"/>
      <w:r>
        <w:rPr>
          <w:rtl/>
        </w:rPr>
        <w:t xml:space="preserve"> השווה סוף פרק 1, על הדימוי החביב על </w:t>
      </w:r>
      <w:proofErr w:type="spellStart"/>
      <w:r>
        <w:rPr>
          <w:rtl/>
        </w:rPr>
        <w:t>אמו</w:t>
      </w:r>
      <w:proofErr w:type="spellEnd"/>
      <w:r>
        <w:rPr>
          <w:rtl/>
        </w:rPr>
        <w:t xml:space="preserve"> בשעה שדיברה עליו.</w:t>
      </w:r>
    </w:p>
    <w:p w14:paraId="50112638" w14:textId="77777777" w:rsidR="00AB3647" w:rsidRDefault="00000000" w:rsidP="007923E9">
      <w:pPr>
        <w:pStyle w:val="2"/>
        <w:pageBreakBefore/>
        <w:spacing w:after="160" w:line="276" w:lineRule="auto"/>
      </w:pPr>
      <w:bookmarkStart w:id="4899" w:name="b4_excursuses"/>
      <w:r>
        <w:lastRenderedPageBreak/>
        <w:t>נספחים</w:t>
      </w:r>
      <w:bookmarkEnd w:id="4899"/>
    </w:p>
    <w:bookmarkStart w:id="4900" w:name="b4_excA"/>
    <w:bookmarkStart w:id="4901" w:name="b4_annexA"/>
    <w:p w14:paraId="3CF4031E" w14:textId="77777777" w:rsidR="00AB3647" w:rsidRDefault="00000000" w:rsidP="007923E9">
      <w:pPr>
        <w:pStyle w:val="3"/>
        <w:pageBreakBefore w:val="0"/>
        <w:spacing w:line="276" w:lineRule="auto"/>
      </w:pPr>
      <w:r>
        <w:fldChar w:fldCharType="begin" w:dirty="true"/>
      </w:r>
      <w:r>
        <w:rPr>
          <w:rtl w:val="0"/>
        </w:rPr>
        <w:instrText>HYPERLINK \l "b4_note3</w:instrText>
      </w:r>
      <w:r>
        <w:instrText>"</w:instrText>
      </w:r>
      <w:r>
        <w:fldChar w:fldCharType="separate"/>
      </w:r>
      <w:r>
        <w:t>נספח א</w:t>
      </w:r>
      <w:r>
        <w:fldChar w:fldCharType="end"/>
      </w:r>
      <w:bookmarkEnd w:id="4900"/>
      <w:bookmarkEnd w:id="4901"/>
    </w:p>
    <w:p w14:paraId="78286864" w14:textId="77777777" w:rsidR="00AB3647" w:rsidRDefault="00000000" w:rsidP="007923E9">
      <w:pPr>
        <w:pStyle w:val="af"/>
        <w:spacing w:line="276" w:lineRule="auto"/>
      </w:pPr>
      <w:r>
        <w:t xml:space="preserve">על ידיעת הסבא בחלקי ההלכה שבש״ס ועל החומרות שהנהיג בתפילה בישיבת </w:t>
      </w:r>
      <w:proofErr w:type="spellStart"/>
      <w:r>
        <w:t>סלבודקה</w:t>
      </w:r>
      <w:proofErr w:type="spellEnd"/>
      <w:r>
        <w:t xml:space="preserve"> ושאומצו בישיבות אחרות</w:t>
      </w:r>
    </w:p>
    <w:p w14:paraId="4139C402" w14:textId="77777777" w:rsidR="00AB3647" w:rsidRDefault="00000000" w:rsidP="007923E9">
      <w:pPr>
        <w:pStyle w:val="4"/>
        <w:spacing w:line="276" w:lineRule="auto"/>
      </w:pPr>
      <w:r>
        <w:t>· הפסקה הראשונה ·</w:t>
      </w:r>
    </w:p>
    <w:p w14:paraId="602147FB" w14:textId="77777777" w:rsidR="00AB3647" w:rsidRDefault="00000000" w:rsidP="007923E9">
      <w:pPr>
        <w:pStyle w:val="5"/>
        <w:spacing w:line="276" w:lineRule="auto"/>
      </w:pPr>
      <w:r>
        <w:rPr>
          <w:bCs/>
          <w:szCs w:val="26"/>
        </w:rPr>
        <w:t>הסבא מעריך את למדנותו של כל תלמיד</w:t>
      </w:r>
    </w:p>
    <w:p w14:paraId="77D35E6B" w14:textId="7863A57B" w:rsidR="00AB3647" w:rsidRDefault="00000000" w:rsidP="007923E9">
      <w:pPr>
        <w:spacing w:after="120" w:line="276" w:lineRule="auto"/>
        <w:ind w:firstLine="283"/>
        <w:jc w:val="both"/>
      </w:pPr>
      <w:r>
        <w:rPr>
          <w:rtl/>
        </w:rPr>
        <w:t>השווה פרק 3, הערה 133. רשימותיו של ר׳ משה גרוסמן</w:t>
      </w:r>
      <w:bookmarkStart w:id="4902" w:name="_fnr3599"/>
      <w:r>
        <w:rPr>
          <w:vertAlign w:val="superscript"/>
          <w:rtl/>
        </w:rPr>
        <w:footnoteReference w:id="3607" w:customMarkFollows="0"/>
      </w:r>
      <w:bookmarkEnd w:id="4902"/>
      <w:r>
        <w:rPr>
          <w:rtl/>
        </w:rPr>
        <w:t xml:space="preserve"> מביאות בשם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ש“הטבריגר</w:t>
      </w:r>
      <w:proofErr w:type="spellEnd"/>
      <w:r>
        <w:rPr>
          <w:rtl/>
        </w:rPr>
        <w:t xml:space="preserve">”, ר׳ </w:t>
      </w:r>
      <w:proofErr w:type="spellStart"/>
      <w:r>
        <w:rPr>
          <w:rtl/>
        </w:rPr>
        <w:t>אברהם־אהרן</w:t>
      </w:r>
      <w:proofErr w:type="spellEnd"/>
      <w:r>
        <w:rPr>
          <w:rtl/>
        </w:rPr>
        <w:t xml:space="preserve"> </w:t>
      </w:r>
      <w:proofErr w:type="spellStart"/>
      <w:r>
        <w:rPr>
          <w:rtl/>
        </w:rPr>
        <w:t>בורשטין</w:t>
      </w:r>
      <w:proofErr w:type="spellEnd"/>
      <w:r>
        <w:rPr>
          <w:rtl/>
        </w:rPr>
        <w:t xml:space="preserve"> – מן הראשונים שמסרו שיעורים </w:t>
      </w:r>
      <w:proofErr w:type="spellStart"/>
      <w:r>
        <w:rPr>
          <w:rtl/>
        </w:rPr>
        <w:t>בסלבודקה</w:t>
      </w:r>
      <w:proofErr w:type="spellEnd"/>
      <w:r>
        <w:rPr>
          <w:rtl/>
        </w:rPr>
        <w:t>, ומתנגד למוסר</w:t>
      </w:r>
      <w:bookmarkStart w:id="4903" w:name="_fnr3600"/>
      <w:r>
        <w:rPr>
          <w:vertAlign w:val="superscript"/>
          <w:rtl/>
        </w:rPr>
        <w:footnoteReference w:id="3608" w:customMarkFollows="0"/>
      </w:r>
      <w:bookmarkEnd w:id="4903"/>
      <w:r>
        <w:rPr>
          <w:rtl/>
        </w:rPr>
        <w:t xml:space="preserve"> – אמר שהסבא </w:t>
      </w:r>
      <w:proofErr w:type="spellStart"/>
      <w:r>
        <w:rPr>
          <w:rtl/>
        </w:rPr>
        <w:t>מסלבודקה</w:t>
      </w:r>
      <w:proofErr w:type="spellEnd"/>
      <w:r>
        <w:rPr>
          <w:rtl/>
        </w:rPr>
        <w:t xml:space="preserve"> ידע במדויק את דרגת למדנותו של כל בחור ובחור. בספר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4904" w:name="_fnr3601"/>
      <w:proofErr w:type="spellEnd"/>
      <w:r>
        <w:rPr>
          <w:vertAlign w:val="superscript"/>
          <w:rtl/>
        </w:rPr>
        <w:footnoteReference w:id="3609" w:customMarkFollows="0"/>
      </w:r>
      <w:bookmarkEnd w:id="4904"/>
      <w:r>
        <w:rPr>
          <w:rtl/>
        </w:rPr>
        <w:t xml:space="preserve"> כותב העורך: “אחד הגאונים הגדולים, שהיה פעם מן המתנגדים הקיצוניים למוסר, אמר לי בלשון זו: חייבים אנו להודות שהסבא </w:t>
      </w:r>
      <w:proofErr w:type="spellStart"/>
      <w:r>
        <w:rPr>
          <w:rtl/>
        </w:rPr>
        <w:t>מסלבודקה</w:t>
      </w:r>
      <w:proofErr w:type="spellEnd"/>
      <w:r>
        <w:rPr>
          <w:rtl/>
        </w:rPr>
        <w:t xml:space="preserve"> היה מבין מיוחד בלמדנות”. לאור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אפשר להניח שאותו “גאון גדול” שלא נזכר בשמו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(ראה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p w14:paraId="02DA20D7" w14:textId="77777777" w:rsidR="00AB3647" w:rsidRDefault="00000000" w:rsidP="007923E9">
      <w:pPr>
        <w:spacing w:after="120" w:line="276" w:lineRule="auto"/>
        <w:ind w:firstLine="283"/>
        <w:jc w:val="both"/>
      </w:pPr>
      <w:r>
        <w:rPr>
          <w:rtl/>
        </w:rPr>
        <w:t>השווה גם כץ, “תנועת המוסר”, כרך ג</w:t>
      </w:r>
      <w:bookmarkStart w:id="4905" w:name="_fnr3602"/>
      <w:r>
        <w:rPr>
          <w:vertAlign w:val="superscript"/>
          <w:rtl/>
        </w:rPr>
        <w:footnoteReference w:id="3610" w:customMarkFollows="0"/>
      </w:r>
      <w:bookmarkEnd w:id="4905"/>
      <w:r>
        <w:rPr>
          <w:rtl/>
        </w:rPr>
        <w:t xml:space="preserve">, המביא את עדותו של ר׳ </w:t>
      </w:r>
      <w:proofErr w:type="spellStart"/>
      <w:r>
        <w:rPr>
          <w:rtl/>
        </w:rPr>
        <w:t>איסר־זלמן</w:t>
      </w:r>
      <w:proofErr w:type="spellEnd"/>
      <w:r>
        <w:rPr>
          <w:rtl/>
        </w:rPr>
        <w:t xml:space="preserve"> מלצר על למדנותו המעולה של הסבא </w:t>
      </w:r>
      <w:proofErr w:type="spellStart"/>
      <w:r>
        <w:rPr>
          <w:rtl/>
        </w:rPr>
        <w:t>מסלבודקה</w:t>
      </w:r>
      <w:proofErr w:type="spellEnd"/>
      <w:r>
        <w:rPr>
          <w:rtl/>
        </w:rPr>
        <w:t>, ומציין</w:t>
      </w:r>
      <w:bookmarkStart w:id="4906" w:name="_fnr3603"/>
      <w:r>
        <w:rPr>
          <w:vertAlign w:val="superscript"/>
          <w:rtl/>
        </w:rPr>
        <w:footnoteReference w:id="3611" w:customMarkFollows="0"/>
      </w:r>
      <w:bookmarkEnd w:id="4906"/>
      <w:r>
        <w:rPr>
          <w:rtl/>
        </w:rPr>
        <w:t xml:space="preserve"> </w:t>
      </w:r>
      <w:proofErr w:type="spellStart"/>
      <w:r>
        <w:rPr>
          <w:rtl/>
        </w:rPr>
        <w:t>ש“מעניין</w:t>
      </w:r>
      <w:proofErr w:type="spellEnd"/>
      <w:r>
        <w:rPr>
          <w:rtl/>
        </w:rPr>
        <w:t>” שהסבא היה בוחן לפעמים תלמיד בלמדנות, כדי לעמוד על אפשרויות התפתחותו במוסר. ספר הזיכרון</w:t>
      </w:r>
      <w:bookmarkStart w:id="4907" w:name="_fnr3604"/>
      <w:r>
        <w:rPr>
          <w:vertAlign w:val="superscript"/>
          <w:rtl/>
        </w:rPr>
        <w:footnoteReference w:id="3612" w:customMarkFollows="0"/>
      </w:r>
      <w:bookmarkEnd w:id="4907"/>
      <w:r>
        <w:rPr>
          <w:rtl/>
        </w:rPr>
        <w:t xml:space="preserve"> קובע </w:t>
      </w:r>
      <w:proofErr w:type="spellStart"/>
      <w:r>
        <w:rPr>
          <w:rtl/>
        </w:rPr>
        <w:t>ש“כל</w:t>
      </w:r>
      <w:proofErr w:type="spellEnd"/>
      <w:r>
        <w:rPr>
          <w:rtl/>
        </w:rPr>
        <w:t xml:space="preserve"> מי שלמד בישיבה ידע שהסבא הכיר את טיב למדנותו של כל תלמיד ותלמיד. הוא ניתח בדקות רבה את מידת כישרונו וידיעותיו של כל אחד ואחד, טוב יותר מראשי הישיבה</w:t>
      </w:r>
      <w:bookmarkStart w:id="4908" w:name="_fnr3605"/>
      <w:r>
        <w:rPr>
          <w:vertAlign w:val="superscript"/>
          <w:rtl/>
        </w:rPr>
        <w:footnoteReference w:id="3613" w:customMarkFollows="0"/>
      </w:r>
      <w:bookmarkEnd w:id="4908"/>
      <w:r>
        <w:rPr>
          <w:rtl/>
        </w:rPr>
        <w:t xml:space="preserve"> בתחום הלמדנות”. לאור הדברים שבהערה 2 בפרק זה, ודאי תמהו התלמידים: כיצד יכול אדם להיות למדן אם אינו מקדיש זמן ללימוד?</w:t>
      </w:r>
    </w:p>
    <w:p w14:paraId="052A963A" w14:textId="77777777" w:rsidR="00AB3647" w:rsidRDefault="00000000" w:rsidP="007923E9">
      <w:pPr>
        <w:pStyle w:val="4"/>
        <w:spacing w:line="276" w:lineRule="auto"/>
      </w:pPr>
      <w:r>
        <w:lastRenderedPageBreak/>
        <w:t>· הפסקה השנייה ·</w:t>
      </w:r>
    </w:p>
    <w:p w14:paraId="4DD1D270" w14:textId="77777777" w:rsidR="00AB3647" w:rsidRDefault="00000000" w:rsidP="007923E9">
      <w:pPr>
        <w:pStyle w:val="5"/>
        <w:spacing w:line="276" w:lineRule="auto"/>
      </w:pPr>
      <w:r>
        <w:rPr>
          <w:bCs/>
          <w:szCs w:val="26"/>
        </w:rPr>
        <w:t>הסבא מדבר בלימוד</w:t>
      </w:r>
    </w:p>
    <w:p w14:paraId="0582F955" w14:textId="77777777" w:rsidR="00AB3647" w:rsidRDefault="00000000" w:rsidP="007923E9">
      <w:pPr>
        <w:spacing w:after="120" w:line="276" w:lineRule="auto"/>
        <w:ind w:firstLine="283"/>
        <w:jc w:val="both"/>
      </w:pPr>
      <w:r>
        <w:rPr>
          <w:rtl/>
        </w:rPr>
        <w:t xml:space="preserve">ר׳ צבי ברקוביץ המשיך כך את הסיפור שהובא בתחילת הערה 2 בפרק זה: כשסיפר לרבנו מה אמר ר׳ </w:t>
      </w:r>
      <w:proofErr w:type="spellStart"/>
      <w:r>
        <w:rPr>
          <w:rtl/>
        </w:rPr>
        <w:t>יעקב־יצחק</w:t>
      </w:r>
      <w:proofErr w:type="spellEnd"/>
      <w:r>
        <w:rPr>
          <w:rtl/>
        </w:rPr>
        <w:t xml:space="preserve"> </w:t>
      </w:r>
      <w:proofErr w:type="spellStart"/>
      <w:r>
        <w:rPr>
          <w:rtl/>
        </w:rPr>
        <w:t>רודרמן</w:t>
      </w:r>
      <w:proofErr w:type="spellEnd"/>
      <w:r>
        <w:rPr>
          <w:rtl/>
        </w:rPr>
        <w:t>, השיב אבי שאומנם הסבא מעולם לא נראה כשגמרא בידו, אבל הוא היה בקי בש״ס.</w:t>
      </w:r>
    </w:p>
    <w:p w14:paraId="0CA3F697"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4909" w:name="_fnr3606"/>
      <w:r>
        <w:rPr>
          <w:vertAlign w:val="superscript"/>
          <w:rtl/>
        </w:rPr>
        <w:footnoteReference w:id="3614" w:customMarkFollows="0"/>
      </w:r>
      <w:bookmarkEnd w:id="4909"/>
      <w:r>
        <w:rPr>
          <w:rtl/>
        </w:rPr>
        <w:t xml:space="preserve"> שחזר בפני סבו, רבנו, על דברי ר׳ יצחק </w:t>
      </w:r>
      <w:proofErr w:type="spellStart"/>
      <w:r>
        <w:rPr>
          <w:rtl/>
        </w:rPr>
        <w:t>הוטנר</w:t>
      </w:r>
      <w:proofErr w:type="spellEnd"/>
      <w:r>
        <w:rPr>
          <w:rtl/>
        </w:rPr>
        <w:t xml:space="preserve"> למשגיח שמינה בישיבתו: “אינך צריך לדעת ללמוד טוב כל כך; אתה יכול להיות כאן כפי שהיה הסבא </w:t>
      </w:r>
      <w:proofErr w:type="spellStart"/>
      <w:r>
        <w:rPr>
          <w:rtl/>
        </w:rPr>
        <w:t>בסלבודקה</w:t>
      </w:r>
      <w:proofErr w:type="spellEnd"/>
      <w:r>
        <w:rPr>
          <w:rtl/>
        </w:rPr>
        <w:t xml:space="preserve">”. אבי חייך ואמר שהסבא ידע ללמוד טוב מאוד. רבנו סיפר שניצל את שאלות הסבא על שיעורו של ר׳ </w:t>
      </w:r>
      <w:proofErr w:type="spellStart"/>
      <w:r>
        <w:rPr>
          <w:rtl/>
        </w:rPr>
        <w:t>ברוך־בער</w:t>
      </w:r>
      <w:bookmarkStart w:id="4910" w:name="_fnr3607"/>
      <w:proofErr w:type="spellEnd"/>
      <w:r>
        <w:rPr>
          <w:vertAlign w:val="superscript"/>
          <w:rtl/>
        </w:rPr>
        <w:footnoteReference w:id="3615" w:customMarkFollows="0"/>
      </w:r>
      <w:bookmarkEnd w:id="4910"/>
      <w:r>
        <w:rPr>
          <w:rtl/>
        </w:rPr>
        <w:t xml:space="preserve"> כדי “לבחון” את הסבא </w:t>
      </w:r>
      <w:proofErr w:type="spellStart"/>
      <w:r>
        <w:rPr>
          <w:rtl/>
        </w:rPr>
        <w:t>מסלבודקה</w:t>
      </w:r>
      <w:proofErr w:type="spellEnd"/>
      <w:r>
        <w:rPr>
          <w:rtl/>
        </w:rPr>
        <w:t xml:space="preserve"> בלי שירגיש, ויכול היה “להעיד שהסבא ידע ש״ס עם פירוש רש״י, ואולי גם תוספות, מילה במילה”.</w:t>
      </w:r>
    </w:p>
    <w:p w14:paraId="0937C7FD" w14:textId="77777777" w:rsidR="00AB3647" w:rsidRDefault="00000000" w:rsidP="007923E9">
      <w:pPr>
        <w:spacing w:after="120" w:line="276" w:lineRule="auto"/>
        <w:ind w:firstLine="283"/>
        <w:jc w:val="both"/>
      </w:pPr>
      <w:r>
        <w:rPr>
          <w:rtl/>
        </w:rPr>
        <w:t>בני ר׳ יוסף אמר בהספד במלאות שנה לפטירת רבנו שהנפטר היה מצטער כשנשמעו השערות שהסבא לא היה בקי בלימודי ההלכה, והיה אומר שהעולם אינו יודע כמה גבוהה הייתה רמת ידיעותיו של הסבא, מפני שהסתירן מן הציבור. אבי סיפר שפעמים, כשהתווכחו שני בחורים בלהט על עניין בגמרא, היה הסבא אומר בשקט, בדרכו, באיזה תוספות בש״ס עליהם לעיין. ההפניה הייתה מוכיחה מי מן המתווכחים צדק, ושמה קץ לוויכוח.</w:t>
      </w:r>
    </w:p>
    <w:p w14:paraId="3BFFF32D" w14:textId="77777777" w:rsidR="00AB3647" w:rsidRDefault="00000000" w:rsidP="007923E9">
      <w:pPr>
        <w:spacing w:after="120" w:line="276" w:lineRule="auto"/>
        <w:ind w:firstLine="283"/>
        <w:jc w:val="both"/>
      </w:pPr>
      <w:r>
        <w:rPr>
          <w:rtl/>
        </w:rPr>
        <w:t>גם ר׳ ישעיה זינגר</w:t>
      </w:r>
      <w:bookmarkStart w:id="4911" w:name="_fnr3608"/>
      <w:r>
        <w:rPr>
          <w:vertAlign w:val="superscript"/>
          <w:rtl/>
        </w:rPr>
        <w:footnoteReference w:id="3616" w:customMarkFollows="0"/>
      </w:r>
      <w:bookmarkEnd w:id="4911"/>
      <w:r>
        <w:rPr>
          <w:rtl/>
        </w:rPr>
        <w:t xml:space="preserve"> סיפר שסבו ר׳ ראובן </w:t>
      </w:r>
      <w:proofErr w:type="spellStart"/>
      <w:r>
        <w:rPr>
          <w:rtl/>
        </w:rPr>
        <w:t>טרופ</w:t>
      </w:r>
      <w:proofErr w:type="spellEnd"/>
      <w:r>
        <w:rPr>
          <w:rtl/>
        </w:rPr>
        <w:t xml:space="preserve"> אמר לו ששמע מאביו, ר׳ נפתלי – שכמעט נעשה חתנו של הסבא, כמסופר בפסקה השנייה של נספח ג בפרק 3 – שר׳ </w:t>
      </w:r>
      <w:proofErr w:type="spellStart"/>
      <w:r>
        <w:rPr>
          <w:rtl/>
        </w:rPr>
        <w:t>נתן־צבי</w:t>
      </w:r>
      <w:proofErr w:type="spellEnd"/>
      <w:r>
        <w:rPr>
          <w:rtl/>
        </w:rPr>
        <w:t xml:space="preserve"> “דיבר בלימוד” עמו, ורק עמו. אפשר לשער שהסבא נתכוון בכך להבטיח </w:t>
      </w:r>
      <w:proofErr w:type="spellStart"/>
      <w:r>
        <w:rPr>
          <w:rtl/>
        </w:rPr>
        <w:t>לר</w:t>
      </w:r>
      <w:proofErr w:type="spellEnd"/>
      <w:r>
        <w:rPr>
          <w:rtl/>
        </w:rPr>
        <w:t>׳ נפתלי שהוא נושא בת תלמיד חכם, כפי שמורה התלמוד</w:t>
      </w:r>
      <w:bookmarkStart w:id="4912" w:name="_fnr3609"/>
      <w:r>
        <w:rPr>
          <w:vertAlign w:val="superscript"/>
          <w:rtl/>
        </w:rPr>
        <w:footnoteReference w:id="3617" w:customMarkFollows="0"/>
      </w:r>
      <w:bookmarkEnd w:id="4912"/>
      <w:r>
        <w:rPr>
          <w:rtl/>
        </w:rPr>
        <w:t>.</w:t>
      </w:r>
    </w:p>
    <w:p w14:paraId="6520DD03" w14:textId="77777777" w:rsidR="00AB3647" w:rsidRDefault="00000000" w:rsidP="007923E9">
      <w:pPr>
        <w:pStyle w:val="4"/>
        <w:spacing w:line="276" w:lineRule="auto"/>
      </w:pPr>
      <w:r>
        <w:t>· הפסקה השלישית ·</w:t>
      </w:r>
    </w:p>
    <w:p w14:paraId="38CBA9DC" w14:textId="77777777" w:rsidR="00AB3647" w:rsidRDefault="00000000" w:rsidP="007923E9">
      <w:pPr>
        <w:pStyle w:val="5"/>
        <w:spacing w:line="276" w:lineRule="auto"/>
      </w:pPr>
      <w:r>
        <w:rPr>
          <w:bCs/>
          <w:szCs w:val="26"/>
        </w:rPr>
        <w:t>הסבא לומד בחברותא בחלקו האחרון של הקיץ</w:t>
      </w:r>
    </w:p>
    <w:p w14:paraId="78403ABB" w14:textId="77777777" w:rsidR="00AB3647" w:rsidRDefault="00000000" w:rsidP="007923E9">
      <w:pPr>
        <w:spacing w:after="120" w:line="276" w:lineRule="auto"/>
        <w:ind w:firstLine="283"/>
        <w:jc w:val="both"/>
      </w:pPr>
      <w:r>
        <w:rPr>
          <w:rtl/>
        </w:rPr>
        <w:t>בני ר׳ יוסף סיפר</w:t>
      </w:r>
      <w:bookmarkStart w:id="4913" w:name="_fnr3610"/>
      <w:r>
        <w:rPr>
          <w:vertAlign w:val="superscript"/>
          <w:rtl/>
        </w:rPr>
        <w:footnoteReference w:id="3618" w:customMarkFollows="0"/>
      </w:r>
      <w:bookmarkEnd w:id="4913"/>
      <w:r>
        <w:rPr>
          <w:rtl/>
        </w:rPr>
        <w:t xml:space="preserve"> שרבנו אמר לו כי הסבא היה מגיע </w:t>
      </w:r>
      <w:proofErr w:type="spellStart"/>
      <w:r>
        <w:rPr>
          <w:rtl/>
        </w:rPr>
        <w:t>לסלבודקה</w:t>
      </w:r>
      <w:proofErr w:type="spellEnd"/>
      <w:r>
        <w:rPr>
          <w:rtl/>
        </w:rPr>
        <w:t xml:space="preserve"> באמצע אלול</w:t>
      </w:r>
      <w:bookmarkStart w:id="4914" w:name="_fnr3611"/>
      <w:r>
        <w:rPr>
          <w:vertAlign w:val="superscript"/>
          <w:rtl/>
        </w:rPr>
        <w:footnoteReference w:id="3619" w:customMarkFollows="0"/>
      </w:r>
      <w:bookmarkEnd w:id="4914"/>
      <w:r>
        <w:rPr>
          <w:rtl/>
        </w:rPr>
        <w:t xml:space="preserve">, מפני שמסוף הקיץ ועד אז היה שוהה בעיירה סידרה ולומד את סדרי נשים </w:t>
      </w:r>
      <w:proofErr w:type="spellStart"/>
      <w:r>
        <w:rPr>
          <w:rtl/>
        </w:rPr>
        <w:t>ונזיקין</w:t>
      </w:r>
      <w:proofErr w:type="spellEnd"/>
      <w:r>
        <w:rPr>
          <w:rtl/>
        </w:rPr>
        <w:t xml:space="preserve"> עם רב העיירה, ר׳ </w:t>
      </w:r>
      <w:proofErr w:type="spellStart"/>
      <w:r>
        <w:rPr>
          <w:rtl/>
        </w:rPr>
        <w:t>משה־גרשון</w:t>
      </w:r>
      <w:proofErr w:type="spellEnd"/>
      <w:r>
        <w:rPr>
          <w:rtl/>
        </w:rPr>
        <w:t xml:space="preserve"> </w:t>
      </w:r>
      <w:proofErr w:type="spellStart"/>
      <w:r>
        <w:rPr>
          <w:rtl/>
        </w:rPr>
        <w:t>מובשוביץ</w:t>
      </w:r>
      <w:proofErr w:type="spellEnd"/>
      <w:r>
        <w:rPr>
          <w:rtl/>
        </w:rPr>
        <w:t xml:space="preserve">. ר׳ </w:t>
      </w:r>
      <w:proofErr w:type="spellStart"/>
      <w:r>
        <w:rPr>
          <w:rtl/>
        </w:rPr>
        <w:t>משה־גרשון</w:t>
      </w:r>
      <w:proofErr w:type="spellEnd"/>
      <w:r>
        <w:rPr>
          <w:rtl/>
        </w:rPr>
        <w:t xml:space="preserve"> היה אביו של ר׳ דניאל</w:t>
      </w:r>
      <w:bookmarkStart w:id="4915" w:name="_fnr3612"/>
      <w:r>
        <w:rPr>
          <w:vertAlign w:val="superscript"/>
          <w:rtl/>
        </w:rPr>
        <w:footnoteReference w:id="3620" w:customMarkFollows="0"/>
      </w:r>
      <w:bookmarkEnd w:id="4915"/>
      <w:r>
        <w:rPr>
          <w:rtl/>
        </w:rPr>
        <w:t xml:space="preserve">, שנעשה לימים מנהל התלמוד תורה </w:t>
      </w:r>
      <w:proofErr w:type="spellStart"/>
      <w:r>
        <w:rPr>
          <w:rtl/>
        </w:rPr>
        <w:t>בקלם</w:t>
      </w:r>
      <w:proofErr w:type="spellEnd"/>
      <w:r>
        <w:rPr>
          <w:rtl/>
        </w:rPr>
        <w:t>.</w:t>
      </w:r>
    </w:p>
    <w:p w14:paraId="531A01A8" w14:textId="77777777" w:rsidR="00AB3647" w:rsidRDefault="00000000" w:rsidP="007923E9">
      <w:pPr>
        <w:spacing w:after="120" w:line="276" w:lineRule="auto"/>
        <w:ind w:firstLine="283"/>
        <w:jc w:val="both"/>
      </w:pPr>
      <w:r>
        <w:rPr>
          <w:rtl/>
        </w:rPr>
        <w:lastRenderedPageBreak/>
        <w:t xml:space="preserve">נכד אחר של רבנו, ר׳ יצחק </w:t>
      </w:r>
      <w:proofErr w:type="spellStart"/>
      <w:r>
        <w:rPr>
          <w:rtl/>
        </w:rPr>
        <w:t>שורין</w:t>
      </w:r>
      <w:proofErr w:type="spellEnd"/>
      <w:r>
        <w:rPr>
          <w:rtl/>
        </w:rPr>
        <w:t>, סיפר</w:t>
      </w:r>
      <w:bookmarkStart w:id="4916" w:name="_fnr3613"/>
      <w:r>
        <w:rPr>
          <w:vertAlign w:val="superscript"/>
          <w:rtl/>
        </w:rPr>
        <w:footnoteReference w:id="3621" w:customMarkFollows="0"/>
      </w:r>
      <w:bookmarkEnd w:id="4916"/>
      <w:r>
        <w:rPr>
          <w:rtl/>
        </w:rPr>
        <w:t xml:space="preserve"> בשם ר׳ שלמה </w:t>
      </w:r>
      <w:proofErr w:type="spellStart"/>
      <w:r>
        <w:rPr>
          <w:rtl/>
        </w:rPr>
        <w:t>וולבה</w:t>
      </w:r>
      <w:proofErr w:type="spellEnd"/>
      <w:r>
        <w:rPr>
          <w:rtl/>
        </w:rPr>
        <w:t xml:space="preserve"> שכאשר אמרו </w:t>
      </w:r>
      <w:proofErr w:type="spellStart"/>
      <w:r>
        <w:rPr>
          <w:rtl/>
        </w:rPr>
        <w:t>לר</w:t>
      </w:r>
      <w:proofErr w:type="spellEnd"/>
      <w:r>
        <w:rPr>
          <w:rtl/>
        </w:rPr>
        <w:t xml:space="preserve">׳ יצחק </w:t>
      </w:r>
      <w:proofErr w:type="spellStart"/>
      <w:r>
        <w:rPr>
          <w:rtl/>
        </w:rPr>
        <w:t>הוטנר</w:t>
      </w:r>
      <w:proofErr w:type="spellEnd"/>
      <w:r>
        <w:rPr>
          <w:rtl/>
        </w:rPr>
        <w:t xml:space="preserve"> שלדברי ר׳ מאיר חדש הסבא היה מקדיש את קיציו לקניית בקיאות, השיב: “</w:t>
      </w:r>
      <w:proofErr w:type="spellStart"/>
      <w:r>
        <w:rPr>
          <w:rtl/>
        </w:rPr>
        <w:t>לאקשען</w:t>
      </w:r>
      <w:proofErr w:type="spellEnd"/>
      <w:r>
        <w:rPr>
          <w:rtl/>
        </w:rPr>
        <w:t xml:space="preserve"> </w:t>
      </w:r>
      <w:proofErr w:type="spellStart"/>
      <w:r>
        <w:rPr>
          <w:rtl/>
        </w:rPr>
        <w:t>זאל</w:t>
      </w:r>
      <w:proofErr w:type="spellEnd"/>
      <w:r>
        <w:rPr>
          <w:rtl/>
        </w:rPr>
        <w:t xml:space="preserve"> ער עסן [שיאכל אטריות]</w:t>
      </w:r>
      <w:bookmarkStart w:id="4917" w:name="_fnr3614"/>
      <w:r>
        <w:rPr>
          <w:vertAlign w:val="superscript"/>
          <w:rtl/>
        </w:rPr>
        <w:footnoteReference w:id="3622" w:customMarkFollows="0"/>
      </w:r>
      <w:bookmarkEnd w:id="4917"/>
      <w:r>
        <w:rPr>
          <w:rtl/>
        </w:rPr>
        <w:t xml:space="preserve">! אז למד קבלה”. </w:t>
      </w:r>
      <w:proofErr w:type="spellStart"/>
      <w:r>
        <w:rPr>
          <w:rtl/>
        </w:rPr>
        <w:t>לר</w:t>
      </w:r>
      <w:proofErr w:type="spellEnd"/>
      <w:r>
        <w:rPr>
          <w:rtl/>
        </w:rPr>
        <w:t xml:space="preserve">׳ מאיר עצמו היה סדר לימוד קבוע עם הסבא בטור “לתקופה מסוימת”, כמובא </w:t>
      </w:r>
      <w:proofErr w:type="spellStart"/>
      <w:r>
        <w:rPr>
          <w:rtl/>
        </w:rPr>
        <w:t>ב“המאיר</w:t>
      </w:r>
      <w:proofErr w:type="spellEnd"/>
      <w:r>
        <w:rPr>
          <w:rtl/>
        </w:rPr>
        <w:t xml:space="preserve"> – ספר </w:t>
      </w:r>
      <w:proofErr w:type="spellStart"/>
      <w:r>
        <w:rPr>
          <w:rtl/>
        </w:rPr>
        <w:t>זכרון</w:t>
      </w:r>
      <w:proofErr w:type="spellEnd"/>
      <w:r>
        <w:rPr>
          <w:rtl/>
        </w:rPr>
        <w:t>”</w:t>
      </w:r>
      <w:bookmarkStart w:id="4918" w:name="_fnr3615"/>
      <w:r>
        <w:rPr>
          <w:vertAlign w:val="superscript"/>
          <w:rtl/>
        </w:rPr>
        <w:footnoteReference w:id="3623" w:customMarkFollows="0"/>
      </w:r>
      <w:bookmarkEnd w:id="4918"/>
      <w:r>
        <w:rPr>
          <w:rtl/>
        </w:rPr>
        <w:t xml:space="preserve">, ומסתבר שידע היטב כיצד היה הסבא </w:t>
      </w:r>
      <w:proofErr w:type="spellStart"/>
      <w:r>
        <w:rPr>
          <w:rtl/>
        </w:rPr>
        <w:t>מסלבודקה</w:t>
      </w:r>
      <w:proofErr w:type="spellEnd"/>
      <w:r>
        <w:rPr>
          <w:rtl/>
        </w:rPr>
        <w:t xml:space="preserve"> מבלה את קיציו.</w:t>
      </w:r>
    </w:p>
    <w:p w14:paraId="27BE6F43" w14:textId="77777777" w:rsidR="00AB3647" w:rsidRDefault="00000000" w:rsidP="007923E9">
      <w:pPr>
        <w:pStyle w:val="4"/>
        <w:spacing w:line="276" w:lineRule="auto"/>
      </w:pPr>
      <w:r>
        <w:t>· הפסקה הרביעית ·</w:t>
      </w:r>
    </w:p>
    <w:p w14:paraId="4FBF2007" w14:textId="77777777" w:rsidR="00AB3647" w:rsidRDefault="00000000" w:rsidP="007923E9">
      <w:pPr>
        <w:pStyle w:val="5"/>
        <w:spacing w:line="276" w:lineRule="auto"/>
      </w:pPr>
      <w:r>
        <w:rPr>
          <w:bCs/>
          <w:szCs w:val="26"/>
        </w:rPr>
        <w:t xml:space="preserve">בקיאות הסבא באורח חיים ומנהגי </w:t>
      </w:r>
      <w:proofErr w:type="spellStart"/>
      <w:r>
        <w:rPr>
          <w:bCs/>
          <w:szCs w:val="26"/>
        </w:rPr>
        <w:t>סלבודקה</w:t>
      </w:r>
      <w:proofErr w:type="spellEnd"/>
      <w:r>
        <w:rPr>
          <w:bCs/>
          <w:szCs w:val="26"/>
        </w:rPr>
        <w:t xml:space="preserve"> כראיה להלכה</w:t>
      </w:r>
    </w:p>
    <w:p w14:paraId="723C7957" w14:textId="77777777" w:rsidR="00AB3647" w:rsidRDefault="00000000" w:rsidP="007923E9">
      <w:pPr>
        <w:pStyle w:val="5"/>
        <w:spacing w:after="160" w:line="276" w:lineRule="auto"/>
      </w:pPr>
      <w:r>
        <w:rPr>
          <w:b/>
          <w:bCs/>
          <w:sz w:val="26"/>
          <w:szCs w:val="26"/>
        </w:rPr>
        <w:t>נוסח עלינו וקדושת מנהגי ישראל</w:t>
      </w:r>
    </w:p>
    <w:p w14:paraId="150805C7" w14:textId="77777777" w:rsidR="00AB3647" w:rsidRDefault="00000000" w:rsidP="007923E9">
      <w:pPr>
        <w:spacing w:after="120" w:line="276" w:lineRule="auto"/>
        <w:ind w:firstLine="283"/>
        <w:jc w:val="both"/>
      </w:pPr>
      <w:r>
        <w:rPr>
          <w:rtl/>
        </w:rPr>
        <w:t xml:space="preserve">גם ר׳ </w:t>
      </w:r>
      <w:proofErr w:type="spellStart"/>
      <w:r>
        <w:rPr>
          <w:rtl/>
        </w:rPr>
        <w:t>יעקב־יצחק</w:t>
      </w:r>
      <w:proofErr w:type="spellEnd"/>
      <w:r>
        <w:rPr>
          <w:rtl/>
        </w:rPr>
        <w:t xml:space="preserve"> </w:t>
      </w:r>
      <w:proofErr w:type="spellStart"/>
      <w:r>
        <w:rPr>
          <w:rtl/>
        </w:rPr>
        <w:t>רודרמן</w:t>
      </w:r>
      <w:proofErr w:type="spellEnd"/>
      <w:r>
        <w:rPr>
          <w:rtl/>
        </w:rPr>
        <w:t xml:space="preserve"> וגם אבי אמרו </w:t>
      </w:r>
      <w:proofErr w:type="spellStart"/>
      <w:r>
        <w:rPr>
          <w:rtl/>
        </w:rPr>
        <w:t>לר</w:t>
      </w:r>
      <w:proofErr w:type="spellEnd"/>
      <w:r>
        <w:rPr>
          <w:rtl/>
        </w:rPr>
        <w:t xml:space="preserve">׳ צבי ברקוביץ </w:t>
      </w:r>
      <w:proofErr w:type="spellStart"/>
      <w:r>
        <w:rPr>
          <w:rtl/>
        </w:rPr>
        <w:t>ש“הסבא</w:t>
      </w:r>
      <w:proofErr w:type="spellEnd"/>
      <w:r>
        <w:rPr>
          <w:rtl/>
        </w:rPr>
        <w:t xml:space="preserve"> ידע לספור אותיות בחלק אורח חיים של השולחן ערוך”. על בקיאותו בחלק זה כתב תלמידו ר׳ אברהם </w:t>
      </w:r>
      <w:proofErr w:type="spellStart"/>
      <w:r>
        <w:rPr>
          <w:rtl/>
        </w:rPr>
        <w:t>גרודזינסקי</w:t>
      </w:r>
      <w:bookmarkStart w:id="4919" w:name="_fnr3616"/>
      <w:proofErr w:type="spellEnd"/>
      <w:r>
        <w:rPr>
          <w:vertAlign w:val="superscript"/>
          <w:rtl/>
        </w:rPr>
        <w:footnoteReference w:id="3624" w:customMarkFollows="0"/>
      </w:r>
      <w:bookmarkEnd w:id="4919"/>
      <w:r>
        <w:rPr>
          <w:rtl/>
        </w:rPr>
        <w:t xml:space="preserve">: “יודע הי׳ רבנו את </w:t>
      </w:r>
      <w:proofErr w:type="spellStart"/>
      <w:r>
        <w:rPr>
          <w:rtl/>
        </w:rPr>
        <w:t>שו״ע</w:t>
      </w:r>
      <w:proofErr w:type="spellEnd"/>
      <w:r>
        <w:rPr>
          <w:rtl/>
        </w:rPr>
        <w:t xml:space="preserve"> </w:t>
      </w:r>
      <w:proofErr w:type="spellStart"/>
      <w:r>
        <w:rPr>
          <w:rtl/>
        </w:rPr>
        <w:t>או״ח</w:t>
      </w:r>
      <w:proofErr w:type="spellEnd"/>
      <w:r>
        <w:rPr>
          <w:rtl/>
        </w:rPr>
        <w:t xml:space="preserve"> ידיעה גאונית: הטור </w:t>
      </w:r>
      <w:proofErr w:type="spellStart"/>
      <w:r>
        <w:rPr>
          <w:rtl/>
        </w:rPr>
        <w:t>והשו״ע</w:t>
      </w:r>
      <w:proofErr w:type="spellEnd"/>
      <w:r>
        <w:rPr>
          <w:rtl/>
        </w:rPr>
        <w:t xml:space="preserve"> רמב״ם ונושאי כליהם עד אחרוני אחרונים שגורים היו אצלו בעל פה”. הוא ציין עוד</w:t>
      </w:r>
      <w:bookmarkStart w:id="4920" w:name="_fnr3617"/>
      <w:r>
        <w:rPr>
          <w:vertAlign w:val="superscript"/>
          <w:rtl/>
        </w:rPr>
        <w:footnoteReference w:id="3625" w:customMarkFollows="0"/>
      </w:r>
      <w:bookmarkEnd w:id="4920"/>
      <w:r>
        <w:rPr>
          <w:rtl/>
        </w:rPr>
        <w:t xml:space="preserve"> שבזכות ידיעתו המקיפה באורח חיים הנהיג הסבא בישיבתו סדרי תפילה שאומצו לימים בישיבות אחרות, ובהם חומרות שרבים לא הקפידו עליהן, כגון עמידה בקדיש, בקריאת התורה ובחזרת הש״ץ. “הוא דן ובירר את מקורו של כל פרט בהלכה זו [מתי חייבים לעמוד]; תלמידי הישיבה נעשו בקיאים בהלכות תפילה מתוך שיחותיו”, מסיים הרב </w:t>
      </w:r>
      <w:proofErr w:type="spellStart"/>
      <w:r>
        <w:rPr>
          <w:rtl/>
        </w:rPr>
        <w:t>גרודזינסקי</w:t>
      </w:r>
      <w:proofErr w:type="spellEnd"/>
      <w:r>
        <w:rPr>
          <w:rtl/>
        </w:rPr>
        <w:t>. השווה גם כץ, “תנועת המוסר”, כרך ג</w:t>
      </w:r>
      <w:bookmarkStart w:id="4921" w:name="_fnr3618"/>
      <w:r>
        <w:rPr>
          <w:vertAlign w:val="superscript"/>
          <w:rtl/>
        </w:rPr>
        <w:footnoteReference w:id="3626" w:customMarkFollows="0"/>
      </w:r>
      <w:bookmarkEnd w:id="4921"/>
      <w:r>
        <w:rPr>
          <w:rtl/>
        </w:rPr>
        <w:t>, על שאלתו ההלכתית של הסבא בדבר בכייה ביום טוב כשפקד אותו אסון – שאלה המלמדת על גישתו הלמדנית לאורח חיים.</w:t>
      </w:r>
    </w:p>
    <w:p w14:paraId="6FD270D7" w14:textId="77777777" w:rsidR="00AB3647" w:rsidRDefault="00000000" w:rsidP="007923E9">
      <w:pPr>
        <w:spacing w:after="120" w:line="276" w:lineRule="auto"/>
        <w:ind w:firstLine="283"/>
        <w:jc w:val="both"/>
      </w:pPr>
      <w:r>
        <w:rPr>
          <w:rtl/>
        </w:rPr>
        <w:t>הקורא ימצא עניין בחילופי דברים בין ר׳ ישעיה שכטר</w:t>
      </w:r>
      <w:bookmarkStart w:id="4922" w:name="_fnr3619"/>
      <w:r>
        <w:rPr>
          <w:vertAlign w:val="superscript"/>
          <w:rtl/>
        </w:rPr>
        <w:footnoteReference w:id="3627" w:customMarkFollows="0"/>
      </w:r>
      <w:bookmarkEnd w:id="4922"/>
      <w:r>
        <w:rPr>
          <w:rtl/>
        </w:rPr>
        <w:t xml:space="preserve"> ובין רבנו, סב אשתו. ר׳ ישעיה הביא בשם ראש ישיבה “ליטאי” שאין ראוי לומר תהלים בלילה בעד חולים. אבי השיב: “</w:t>
      </w:r>
      <w:proofErr w:type="spellStart"/>
      <w:r>
        <w:rPr>
          <w:rtl/>
        </w:rPr>
        <w:t>בסלבודקה</w:t>
      </w:r>
      <w:proofErr w:type="spellEnd"/>
      <w:r>
        <w:rPr>
          <w:rtl/>
        </w:rPr>
        <w:t xml:space="preserve"> אמרנו תהלים בלילה</w:t>
      </w:r>
      <w:bookmarkStart w:id="4923" w:name="_fnr3620"/>
      <w:r>
        <w:rPr>
          <w:vertAlign w:val="superscript"/>
          <w:rtl/>
        </w:rPr>
        <w:footnoteReference w:id="3628" w:customMarkFollows="0"/>
      </w:r>
      <w:bookmarkEnd w:id="4923"/>
      <w:r>
        <w:rPr>
          <w:rtl/>
        </w:rPr>
        <w:t xml:space="preserve">, והסבא ידע </w:t>
      </w:r>
      <w:proofErr w:type="spellStart"/>
      <w:r>
        <w:rPr>
          <w:rtl/>
        </w:rPr>
        <w:t>וואס</w:t>
      </w:r>
      <w:proofErr w:type="spellEnd"/>
      <w:r>
        <w:rPr>
          <w:rtl/>
        </w:rPr>
        <w:t xml:space="preserve"> </w:t>
      </w:r>
      <w:proofErr w:type="spellStart"/>
      <w:r>
        <w:rPr>
          <w:rtl/>
        </w:rPr>
        <w:t>עס</w:t>
      </w:r>
      <w:proofErr w:type="spellEnd"/>
      <w:r>
        <w:rPr>
          <w:rtl/>
        </w:rPr>
        <w:t xml:space="preserve"> </w:t>
      </w:r>
      <w:proofErr w:type="spellStart"/>
      <w:r>
        <w:rPr>
          <w:rtl/>
        </w:rPr>
        <w:t>טוהט</w:t>
      </w:r>
      <w:proofErr w:type="spellEnd"/>
      <w:r>
        <w:rPr>
          <w:rtl/>
        </w:rPr>
        <w:t xml:space="preserve"> </w:t>
      </w:r>
      <w:proofErr w:type="spellStart"/>
      <w:r>
        <w:rPr>
          <w:rtl/>
        </w:rPr>
        <w:t>זיך</w:t>
      </w:r>
      <w:proofErr w:type="spellEnd"/>
      <w:r>
        <w:rPr>
          <w:rtl/>
        </w:rPr>
        <w:t xml:space="preserve"> אין הימעל [מה מתרחש בשמים] טוב יותר מאותו ראש ישיבה”.</w:t>
      </w:r>
    </w:p>
    <w:p w14:paraId="773FE83B" w14:textId="77777777" w:rsidR="00AB3647" w:rsidRDefault="00000000" w:rsidP="007923E9">
      <w:pPr>
        <w:spacing w:after="120" w:line="276" w:lineRule="auto"/>
        <w:ind w:firstLine="283"/>
        <w:jc w:val="both"/>
      </w:pPr>
      <w:r>
        <w:rPr>
          <w:rtl/>
        </w:rPr>
        <w:t xml:space="preserve">הערה מעניינת נוספת שמע ר׳ שלמה </w:t>
      </w:r>
      <w:proofErr w:type="spellStart"/>
      <w:r>
        <w:rPr>
          <w:rtl/>
        </w:rPr>
        <w:t>ברסלאואר</w:t>
      </w:r>
      <w:bookmarkStart w:id="4924" w:name="_fnr3621"/>
      <w:proofErr w:type="spellEnd"/>
      <w:r>
        <w:rPr>
          <w:vertAlign w:val="superscript"/>
          <w:rtl/>
        </w:rPr>
        <w:footnoteReference w:id="3629" w:customMarkFollows="0"/>
      </w:r>
      <w:bookmarkEnd w:id="4924"/>
      <w:r>
        <w:rPr>
          <w:rtl/>
        </w:rPr>
        <w:t xml:space="preserve"> מאבי, כששאלו אם יש לומר במניין את הקדושה של “ואתה קדוש” במוצאי שבת, כמו קדושה </w:t>
      </w:r>
      <w:proofErr w:type="spellStart"/>
      <w:r>
        <w:rPr>
          <w:rtl/>
        </w:rPr>
        <w:t>דסידרא</w:t>
      </w:r>
      <w:proofErr w:type="spellEnd"/>
      <w:r>
        <w:rPr>
          <w:rtl/>
        </w:rPr>
        <w:t xml:space="preserve"> בבקרים של ימות החול. אבי השיב ששמע בשם אדמו״ר חסידי ידוע שאין צורך בכך, אבל מאחר </w:t>
      </w:r>
      <w:proofErr w:type="spellStart"/>
      <w:r>
        <w:rPr>
          <w:rtl/>
        </w:rPr>
        <w:t>שבסלבודקה</w:t>
      </w:r>
      <w:proofErr w:type="spellEnd"/>
      <w:r>
        <w:rPr>
          <w:rtl/>
        </w:rPr>
        <w:t xml:space="preserve"> אמרו אותה </w:t>
      </w:r>
      <w:r>
        <w:rPr>
          <w:rtl/>
        </w:rPr>
        <w:lastRenderedPageBreak/>
        <w:t xml:space="preserve">יחד, “ושם” – כלומר הסבא, שקבע את הסדרים בעניינים אלו, כאמור לעיל – “התעמקו בהלכה”, יש לאומרה במניין. באותה שעה סיפר אבי </w:t>
      </w:r>
      <w:proofErr w:type="spellStart"/>
      <w:r>
        <w:rPr>
          <w:rtl/>
        </w:rPr>
        <w:t>שבסלבודקה</w:t>
      </w:r>
      <w:proofErr w:type="spellEnd"/>
      <w:r>
        <w:rPr>
          <w:rtl/>
        </w:rPr>
        <w:t xml:space="preserve"> אמרו את הפיוטים של יום טוב אחרי חזרת הש״ץ, והוסיף: “כמה תלמידים אמרו את הפיוטים, ואחרים שוחחו”</w:t>
      </w:r>
      <w:bookmarkStart w:id="4925" w:name="_fnr3622"/>
      <w:r>
        <w:rPr>
          <w:vertAlign w:val="superscript"/>
          <w:rtl/>
        </w:rPr>
        <w:footnoteReference w:id="3630" w:customMarkFollows="0"/>
      </w:r>
      <w:bookmarkEnd w:id="4925"/>
      <w:r>
        <w:rPr>
          <w:rtl/>
        </w:rPr>
        <w:t>.</w:t>
      </w:r>
    </w:p>
    <w:p w14:paraId="69BD10A6" w14:textId="77777777" w:rsidR="00AB3647" w:rsidRDefault="00000000" w:rsidP="007923E9">
      <w:pPr>
        <w:spacing w:after="120" w:line="276" w:lineRule="auto"/>
        <w:ind w:firstLine="283"/>
        <w:jc w:val="both"/>
      </w:pPr>
      <w:r>
        <w:rPr>
          <w:rtl/>
        </w:rPr>
        <w:t xml:space="preserve">כאשר סיפר ר׳ אברהם פישמן שבישיבת </w:t>
      </w:r>
      <w:proofErr w:type="spellStart"/>
      <w:r>
        <w:rPr>
          <w:rtl/>
        </w:rPr>
        <w:t>טלז</w:t>
      </w:r>
      <w:proofErr w:type="spellEnd"/>
      <w:r>
        <w:rPr>
          <w:rtl/>
        </w:rPr>
        <w:t xml:space="preserve"> </w:t>
      </w:r>
      <w:proofErr w:type="spellStart"/>
      <w:r>
        <w:rPr>
          <w:rtl/>
        </w:rPr>
        <w:t>שבקליבלנד</w:t>
      </w:r>
      <w:proofErr w:type="spellEnd"/>
      <w:r>
        <w:rPr>
          <w:rtl/>
        </w:rPr>
        <w:t xml:space="preserve"> נטל ר׳ </w:t>
      </w:r>
      <w:proofErr w:type="spellStart"/>
      <w:r>
        <w:rPr>
          <w:rtl/>
        </w:rPr>
        <w:t>אליהו־מאיר</w:t>
      </w:r>
      <w:proofErr w:type="spellEnd"/>
      <w:r>
        <w:rPr>
          <w:rtl/>
        </w:rPr>
        <w:t xml:space="preserve"> בלוך את ספרי התורה אל הנשים כדי שינשקו אותם בשמחת תורה</w:t>
      </w:r>
      <w:bookmarkStart w:id="4926" w:name="_fnr3623"/>
      <w:r>
        <w:rPr>
          <w:vertAlign w:val="superscript"/>
          <w:rtl/>
        </w:rPr>
        <w:footnoteReference w:id="3631" w:customMarkFollows="0"/>
      </w:r>
      <w:bookmarkEnd w:id="4926"/>
      <w:r>
        <w:rPr>
          <w:rtl/>
        </w:rPr>
        <w:t xml:space="preserve">, אמר אבי שגם </w:t>
      </w:r>
      <w:proofErr w:type="spellStart"/>
      <w:r>
        <w:rPr>
          <w:rtl/>
        </w:rPr>
        <w:t>בסלבודקה</w:t>
      </w:r>
      <w:proofErr w:type="spellEnd"/>
      <w:r>
        <w:rPr>
          <w:rtl/>
        </w:rPr>
        <w:t xml:space="preserve"> נהגו כך – כלומר, שמנהג זה כשר ותקף. הוא הוסיף שמצא את מקורו בפיוט “שישו ושמחו בשמחת תורה”, המתאר את אלה ששמחו בשמחת תורה לפני שלמה המלך (הראשון שנודע ששמח בה) בלשון “תורה היא עץ חיים, כולם חיים” – ובכלל זה נשים, בהתאם לשאלה הרטורית שבמסכת קידושין</w:t>
      </w:r>
      <w:bookmarkStart w:id="4927" w:name="_fnr3624"/>
      <w:r>
        <w:rPr>
          <w:vertAlign w:val="superscript"/>
          <w:rtl/>
        </w:rPr>
        <w:footnoteReference w:id="3632" w:customMarkFollows="0"/>
      </w:r>
      <w:bookmarkEnd w:id="4927"/>
      <w:r>
        <w:rPr>
          <w:rtl/>
        </w:rPr>
        <w:t xml:space="preserve"> על הפסוק “למען ירבו ימיכם”</w:t>
      </w:r>
      <w:bookmarkStart w:id="4928" w:name="_fnr3625"/>
      <w:r>
        <w:rPr>
          <w:vertAlign w:val="superscript"/>
          <w:rtl/>
        </w:rPr>
        <w:footnoteReference w:id="3633" w:customMarkFollows="0"/>
      </w:r>
      <w:bookmarkEnd w:id="4928"/>
      <w:r>
        <w:rPr>
          <w:rtl/>
        </w:rPr>
        <w:t>: גברי בעי חיי, נשי לא בעי חיי?!</w:t>
      </w:r>
    </w:p>
    <w:p w14:paraId="15349BD4" w14:textId="77777777" w:rsidR="00AB3647" w:rsidRDefault="00000000" w:rsidP="007923E9">
      <w:pPr>
        <w:spacing w:after="120" w:line="276" w:lineRule="auto"/>
        <w:ind w:firstLine="283"/>
        <w:jc w:val="both"/>
      </w:pPr>
      <w:r>
        <w:rPr>
          <w:rtl/>
        </w:rPr>
        <w:t xml:space="preserve">כיוצא בזה, כששאל ר׳ ישראל </w:t>
      </w:r>
      <w:proofErr w:type="spellStart"/>
      <w:r>
        <w:rPr>
          <w:rtl/>
        </w:rPr>
        <w:t>בלסקי</w:t>
      </w:r>
      <w:bookmarkStart w:id="4929" w:name="_fnr3626"/>
      <w:proofErr w:type="spellEnd"/>
      <w:r>
        <w:rPr>
          <w:vertAlign w:val="superscript"/>
          <w:rtl/>
        </w:rPr>
        <w:footnoteReference w:id="3634" w:customMarkFollows="0"/>
      </w:r>
      <w:bookmarkEnd w:id="4929"/>
      <w:r>
        <w:rPr>
          <w:rtl/>
        </w:rPr>
        <w:t xml:space="preserve"> את אבי אם צריך לומר בתפילת “עלינו” את המילים “שהם </w:t>
      </w:r>
      <w:proofErr w:type="spellStart"/>
      <w:r>
        <w:rPr>
          <w:rtl/>
        </w:rPr>
        <w:t>משתחוים</w:t>
      </w:r>
      <w:proofErr w:type="spellEnd"/>
      <w:r>
        <w:rPr>
          <w:rtl/>
        </w:rPr>
        <w:t xml:space="preserve"> להבל </w:t>
      </w:r>
      <w:proofErr w:type="spellStart"/>
      <w:r>
        <w:rPr>
          <w:rtl/>
        </w:rPr>
        <w:t>וכו</w:t>
      </w:r>
      <w:proofErr w:type="spellEnd"/>
      <w:r>
        <w:rPr>
          <w:rtl/>
        </w:rPr>
        <w:t xml:space="preserve">׳”, השיב: “בוודאי צריך לומר אותן: ר׳ דוד </w:t>
      </w:r>
      <w:proofErr w:type="spellStart"/>
      <w:r>
        <w:rPr>
          <w:rtl/>
        </w:rPr>
        <w:t>ליבוביץ</w:t>
      </w:r>
      <w:proofErr w:type="spellEnd"/>
      <w:r>
        <w:rPr>
          <w:rtl/>
        </w:rPr>
        <w:t xml:space="preserve">, שהיה שליח הציבור במוסף של ראש השנה </w:t>
      </w:r>
      <w:proofErr w:type="spellStart"/>
      <w:r>
        <w:rPr>
          <w:rtl/>
        </w:rPr>
        <w:t>בסלבודקה</w:t>
      </w:r>
      <w:proofErr w:type="spellEnd"/>
      <w:r>
        <w:rPr>
          <w:rtl/>
        </w:rPr>
        <w:t xml:space="preserve">, אמר אותן”. הוא הוסיף שהנוסח שנהג שם היה “שהם </w:t>
      </w:r>
      <w:proofErr w:type="spellStart"/>
      <w:r>
        <w:rPr>
          <w:rtl/>
        </w:rPr>
        <w:t>משתחוים</w:t>
      </w:r>
      <w:proofErr w:type="spellEnd"/>
      <w:r>
        <w:rPr>
          <w:rtl/>
        </w:rPr>
        <w:t xml:space="preserve"> </w:t>
      </w:r>
      <w:r>
        <w:rPr>
          <w:bCs/>
          <w:rtl/>
        </w:rPr>
        <w:t xml:space="preserve">להבל </w:t>
      </w:r>
      <w:r>
        <w:rPr>
          <w:b/>
          <w:bCs/>
          <w:rtl/>
        </w:rPr>
        <w:t>וריק</w:t>
      </w:r>
      <w:r>
        <w:rPr>
          <w:rtl/>
        </w:rPr>
        <w:t xml:space="preserve"> ומתפללים </w:t>
      </w:r>
      <w:r>
        <w:rPr>
          <w:b/>
          <w:bCs/>
          <w:rtl/>
        </w:rPr>
        <w:t>לאל לא</w:t>
      </w:r>
      <w:r>
        <w:rPr>
          <w:bCs/>
          <w:rtl/>
        </w:rPr>
        <w:t xml:space="preserve"> יושיע</w:t>
      </w:r>
      <w:r>
        <w:rPr>
          <w:rtl/>
        </w:rPr>
        <w:t xml:space="preserve">”, והמילים המודגשות שוות </w:t>
      </w:r>
      <w:proofErr w:type="spellStart"/>
      <w:r>
        <w:rPr>
          <w:rtl/>
        </w:rPr>
        <w:t>בגימטריה</w:t>
      </w:r>
      <w:proofErr w:type="spellEnd"/>
      <w:r>
        <w:rPr>
          <w:rtl/>
        </w:rPr>
        <w:t xml:space="preserve"> </w:t>
      </w:r>
      <w:proofErr w:type="spellStart"/>
      <w:r>
        <w:rPr>
          <w:rtl/>
        </w:rPr>
        <w:t>ל“ישו</w:t>
      </w:r>
      <w:proofErr w:type="spellEnd"/>
      <w:r>
        <w:rPr>
          <w:rtl/>
        </w:rPr>
        <w:t xml:space="preserve">” </w:t>
      </w:r>
      <w:proofErr w:type="spellStart"/>
      <w:r>
        <w:rPr>
          <w:rtl/>
        </w:rPr>
        <w:t>ול“מחמד</w:t>
      </w:r>
      <w:proofErr w:type="spellEnd"/>
      <w:r>
        <w:rPr>
          <w:rtl/>
        </w:rPr>
        <w:t>”, הדמויות המרכזיות בשתי הדתות שבין מאמיניהן פזורים רוב היהודים</w:t>
      </w:r>
      <w:bookmarkStart w:id="4930" w:name="_fnr3627"/>
      <w:r>
        <w:rPr>
          <w:vertAlign w:val="superscript"/>
          <w:rtl/>
        </w:rPr>
        <w:footnoteReference w:id="3635" w:customMarkFollows="0"/>
      </w:r>
      <w:bookmarkEnd w:id="4930"/>
      <w:r>
        <w:rPr>
          <w:rtl/>
        </w:rPr>
        <w:t>. עוד אמר אבי שלדעתו כמה קהילות בימינו שרות יחד את תחילת תפילת “עלינו” כדי להראות בחנופה שהקהל משמיט את המילים המגנות את דתות העמים האחרים, להבדיל</w:t>
      </w:r>
      <w:bookmarkStart w:id="4931" w:name="_fnr3628"/>
      <w:r>
        <w:rPr>
          <w:vertAlign w:val="superscript"/>
          <w:rtl/>
        </w:rPr>
        <w:footnoteReference w:id="3636" w:customMarkFollows="0"/>
      </w:r>
      <w:bookmarkEnd w:id="4931"/>
      <w:r>
        <w:rPr>
          <w:rtl/>
        </w:rPr>
        <w:t>.</w:t>
      </w:r>
    </w:p>
    <w:p w14:paraId="1E4AE098" w14:textId="77777777" w:rsidR="00AB3647" w:rsidRDefault="00000000" w:rsidP="007923E9">
      <w:pPr>
        <w:spacing w:after="120" w:line="276" w:lineRule="auto"/>
        <w:ind w:firstLine="283"/>
        <w:jc w:val="both"/>
      </w:pPr>
      <w:r>
        <w:rPr>
          <w:rtl/>
        </w:rPr>
        <w:t xml:space="preserve">השווה גם מאמרו של ר׳ </w:t>
      </w:r>
      <w:proofErr w:type="spellStart"/>
      <w:r>
        <w:rPr>
          <w:rtl/>
        </w:rPr>
        <w:t>מנחם־מנדל</w:t>
      </w:r>
      <w:proofErr w:type="spellEnd"/>
      <w:r>
        <w:rPr>
          <w:rtl/>
        </w:rPr>
        <w:t xml:space="preserve"> שוק </w:t>
      </w:r>
      <w:proofErr w:type="spellStart"/>
      <w:r>
        <w:rPr>
          <w:rtl/>
        </w:rPr>
        <w:t>ב“מוריה</w:t>
      </w:r>
      <w:proofErr w:type="spellEnd"/>
      <w:r>
        <w:rPr>
          <w:rtl/>
        </w:rPr>
        <w:t>”</w:t>
      </w:r>
      <w:bookmarkStart w:id="4932" w:name="_fnr3629"/>
      <w:r>
        <w:rPr>
          <w:vertAlign w:val="superscript"/>
          <w:rtl/>
        </w:rPr>
        <w:footnoteReference w:id="3637" w:customMarkFollows="0"/>
      </w:r>
      <w:bookmarkEnd w:id="4932"/>
      <w:r>
        <w:rPr>
          <w:rtl/>
        </w:rPr>
        <w:t xml:space="preserve">: “יש לדעת זאת: בני הישיבות בליטא, כגון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בסלוצק</w:t>
      </w:r>
      <w:proofErr w:type="spellEnd"/>
      <w:r>
        <w:rPr>
          <w:rtl/>
        </w:rPr>
        <w:t xml:space="preserve">, </w:t>
      </w:r>
      <w:proofErr w:type="spellStart"/>
      <w:r>
        <w:rPr>
          <w:rtl/>
        </w:rPr>
        <w:t>בראדין</w:t>
      </w:r>
      <w:proofErr w:type="spellEnd"/>
      <w:r>
        <w:rPr>
          <w:rtl/>
        </w:rPr>
        <w:t xml:space="preserve">, </w:t>
      </w:r>
      <w:proofErr w:type="spellStart"/>
      <w:r>
        <w:rPr>
          <w:rtl/>
        </w:rPr>
        <w:t>בפוניבז</w:t>
      </w:r>
      <w:proofErr w:type="spellEnd"/>
      <w:r>
        <w:rPr>
          <w:rtl/>
        </w:rPr>
        <w:t xml:space="preserve">׳, </w:t>
      </w:r>
      <w:proofErr w:type="spellStart"/>
      <w:r>
        <w:rPr>
          <w:rtl/>
        </w:rPr>
        <w:t>בלומז׳ה</w:t>
      </w:r>
      <w:proofErr w:type="spellEnd"/>
      <w:r>
        <w:rPr>
          <w:rtl/>
        </w:rPr>
        <w:t xml:space="preserve"> וכיוצא בהן, לא היו ילדים </w:t>
      </w:r>
      <w:proofErr w:type="spellStart"/>
      <w:r>
        <w:rPr>
          <w:rtl/>
        </w:rPr>
        <w:t>ו‘קטלי</w:t>
      </w:r>
      <w:proofErr w:type="spellEnd"/>
      <w:r>
        <w:rPr>
          <w:rtl/>
        </w:rPr>
        <w:t xml:space="preserve"> קניא’</w:t>
      </w:r>
      <w:bookmarkStart w:id="4933" w:name="_fnr3630"/>
      <w:r>
        <w:rPr>
          <w:vertAlign w:val="superscript"/>
          <w:rtl/>
        </w:rPr>
        <w:footnoteReference w:id="3638" w:customMarkFollows="0"/>
      </w:r>
      <w:bookmarkEnd w:id="4933"/>
      <w:r>
        <w:rPr>
          <w:rtl/>
        </w:rPr>
        <w:t xml:space="preserve">. רובם היו גדולים בתורה ויראה ורבנים, וגדולי התורה התחשבו בדעותיהם. </w:t>
      </w:r>
      <w:r>
        <w:rPr>
          <w:rtl/>
        </w:rPr>
        <w:lastRenderedPageBreak/>
        <w:t xml:space="preserve">ובעניינים שבהם הסתפקו [גדולי התורה] היו שואלים כיצד נוהגים בישיבות”. ובהמשך: “ר׳ </w:t>
      </w:r>
      <w:proofErr w:type="spellStart"/>
      <w:r>
        <w:rPr>
          <w:rtl/>
        </w:rPr>
        <w:t>איצל׳ה</w:t>
      </w:r>
      <w:proofErr w:type="spellEnd"/>
      <w:r>
        <w:rPr>
          <w:rtl/>
        </w:rPr>
        <w:t xml:space="preserve"> [</w:t>
      </w:r>
      <w:proofErr w:type="spellStart"/>
      <w:r>
        <w:rPr>
          <w:rtl/>
        </w:rPr>
        <w:t>בלאזר</w:t>
      </w:r>
      <w:proofErr w:type="spellEnd"/>
      <w:r>
        <w:rPr>
          <w:rtl/>
        </w:rPr>
        <w:t xml:space="preserve">] </w:t>
      </w:r>
      <w:proofErr w:type="spellStart"/>
      <w:r>
        <w:rPr>
          <w:rtl/>
        </w:rPr>
        <w:t>פטרבורגר</w:t>
      </w:r>
      <w:proofErr w:type="spellEnd"/>
      <w:r>
        <w:rPr>
          <w:rtl/>
        </w:rPr>
        <w:t xml:space="preserve">, ר׳ לייזר [גורדון] </w:t>
      </w:r>
      <w:proofErr w:type="spellStart"/>
      <w:r>
        <w:rPr>
          <w:rtl/>
        </w:rPr>
        <w:t>טלזר</w:t>
      </w:r>
      <w:proofErr w:type="spellEnd"/>
      <w:r>
        <w:rPr>
          <w:rtl/>
        </w:rPr>
        <w:t xml:space="preserve"> ומורי ורבי הסבא </w:t>
      </w:r>
      <w:proofErr w:type="spellStart"/>
      <w:r>
        <w:rPr>
          <w:rtl/>
        </w:rPr>
        <w:t>מסלבודקה</w:t>
      </w:r>
      <w:proofErr w:type="spellEnd"/>
      <w:r>
        <w:rPr>
          <w:rtl/>
        </w:rPr>
        <w:t xml:space="preserve"> היו תלמידים מובהקים של... ר׳ ישראל </w:t>
      </w:r>
      <w:proofErr w:type="spellStart"/>
      <w:r>
        <w:rPr>
          <w:rtl/>
        </w:rPr>
        <w:t>סלנטר</w:t>
      </w:r>
      <w:proofErr w:type="spellEnd"/>
      <w:r>
        <w:rPr>
          <w:rtl/>
        </w:rPr>
        <w:t xml:space="preserve">, ולא זו בלבד שנזהרו מצל של ספק ספקא </w:t>
      </w:r>
      <w:proofErr w:type="spellStart"/>
      <w:r>
        <w:rPr>
          <w:rtl/>
        </w:rPr>
        <w:t>לאיסורא</w:t>
      </w:r>
      <w:proofErr w:type="spellEnd"/>
      <w:r>
        <w:rPr>
          <w:rtl/>
        </w:rPr>
        <w:t xml:space="preserve">, אלא אף דקדקו בקיום מנהגים קלים. זכורני שהסבא </w:t>
      </w:r>
      <w:proofErr w:type="spellStart"/>
      <w:r>
        <w:rPr>
          <w:rtl/>
        </w:rPr>
        <w:t>מסלבודקה</w:t>
      </w:r>
      <w:proofErr w:type="spellEnd"/>
      <w:r>
        <w:rPr>
          <w:rtl/>
        </w:rPr>
        <w:t xml:space="preserve"> היה מוסר שיחות מוסר בביתו בין קבלת שבת לערבית, ופעם אחת היה נושא השיחה קדושת מנהגי ישראל. שעה שלמה ביאר, בדרכו [המיוחדת], את מקורות המנהגים ואת קדושתם, וכיצד נטבעה בהם קדושת ישראל”.</w:t>
      </w:r>
    </w:p>
    <w:p w14:paraId="3996F31F" w14:textId="77777777" w:rsidR="00AB3647" w:rsidRDefault="00000000" w:rsidP="007923E9">
      <w:pPr>
        <w:spacing w:after="120" w:line="276" w:lineRule="auto"/>
        <w:ind w:firstLine="283"/>
        <w:jc w:val="both"/>
      </w:pPr>
      <w:r>
        <w:rPr>
          <w:rtl/>
        </w:rPr>
        <w:t xml:space="preserve">המחבר מסיים: “מאז ועד היום אני זוכר שיחה זו גם למעשה”. הוא אינו מדייק כשהוא מכנה את הסבא “תלמיד מובהק” של ר׳ ישראל </w:t>
      </w:r>
      <w:proofErr w:type="spellStart"/>
      <w:r>
        <w:rPr>
          <w:rtl/>
        </w:rPr>
        <w:t>סלנטר</w:t>
      </w:r>
      <w:bookmarkStart w:id="4934" w:name="_fnr3631"/>
      <w:proofErr w:type="spellEnd"/>
      <w:r>
        <w:rPr>
          <w:vertAlign w:val="superscript"/>
          <w:rtl/>
        </w:rPr>
        <w:footnoteReference w:id="3639" w:customMarkFollows="0"/>
      </w:r>
      <w:bookmarkEnd w:id="4934"/>
      <w:r>
        <w:rPr>
          <w:rtl/>
        </w:rPr>
        <w:t xml:space="preserve">, וגם אינו מציין, כמו “תורת אברהם”, שמנהגי הישיבות האחרות נתקבלו </w:t>
      </w:r>
      <w:proofErr w:type="spellStart"/>
      <w:r>
        <w:rPr>
          <w:rtl/>
        </w:rPr>
        <w:t>מסלבודקה</w:t>
      </w:r>
      <w:proofErr w:type="spellEnd"/>
      <w:r>
        <w:rPr>
          <w:rtl/>
        </w:rPr>
        <w:t xml:space="preserve">. הוא גם אינו מזכיר שהסבא עצמו, ולא ציבור התלמידים בכללו, הוא שהביא את הבקיאות בהלכה </w:t>
      </w:r>
      <w:proofErr w:type="spellStart"/>
      <w:r>
        <w:rPr>
          <w:rtl/>
        </w:rPr>
        <w:t>לסלבודקה</w:t>
      </w:r>
      <w:proofErr w:type="spellEnd"/>
      <w:r>
        <w:rPr>
          <w:rtl/>
        </w:rPr>
        <w:t xml:space="preserve">. אולם השווה נספח ד להלן: הסבא היה רגיל לייחס </w:t>
      </w:r>
      <w:proofErr w:type="spellStart"/>
      <w:r>
        <w:rPr>
          <w:rtl/>
        </w:rPr>
        <w:t>ל“ישיבה</w:t>
      </w:r>
      <w:proofErr w:type="spellEnd"/>
      <w:r>
        <w:rPr>
          <w:rtl/>
        </w:rPr>
        <w:t xml:space="preserve">” את חידושיו שלו, ור׳ </w:t>
      </w:r>
      <w:proofErr w:type="spellStart"/>
      <w:r>
        <w:rPr>
          <w:rtl/>
        </w:rPr>
        <w:t>מנחם־מנדל</w:t>
      </w:r>
      <w:proofErr w:type="spellEnd"/>
      <w:r>
        <w:rPr>
          <w:rtl/>
        </w:rPr>
        <w:t xml:space="preserve"> שוק קיבל את הדברים כפשוטם.</w:t>
      </w:r>
    </w:p>
    <w:bookmarkStart w:id="4935" w:name="b4_excB"/>
    <w:bookmarkStart w:id="4936" w:name="b4_annexB"/>
    <w:p w14:paraId="6EF9C62C" w14:textId="77777777" w:rsidR="00AB3647" w:rsidRDefault="00000000" w:rsidP="007923E9">
      <w:pPr>
        <w:pStyle w:val="3"/>
        <w:spacing w:line="276" w:lineRule="auto"/>
      </w:pPr>
      <w:r>
        <w:lastRenderedPageBreak/>
        <w:fldChar w:fldCharType="begin" w:dirty="true"/>
      </w:r>
      <w:r>
        <w:rPr>
          <w:rtl w:val="0"/>
        </w:rPr>
        <w:instrText>HYPERLINK \l "b4_note15</w:instrText>
      </w:r>
      <w:r>
        <w:instrText>"</w:instrText>
      </w:r>
      <w:r>
        <w:fldChar w:fldCharType="separate"/>
      </w:r>
      <w:r>
        <w:t>נספח ב</w:t>
      </w:r>
      <w:r>
        <w:fldChar w:fldCharType="end"/>
      </w:r>
      <w:bookmarkEnd w:id="4935"/>
      <w:bookmarkEnd w:id="4936"/>
    </w:p>
    <w:p w14:paraId="7F3484FC" w14:textId="77777777" w:rsidR="00AB3647" w:rsidRDefault="00000000" w:rsidP="007923E9">
      <w:pPr>
        <w:pStyle w:val="af"/>
        <w:spacing w:line="276" w:lineRule="auto"/>
      </w:pPr>
      <w:r>
        <w:t xml:space="preserve">על אימת הציבור של הסבא ועל סירובו של ר׳ </w:t>
      </w:r>
      <w:proofErr w:type="spellStart"/>
      <w:r>
        <w:t>חצקל</w:t>
      </w:r>
      <w:proofErr w:type="spellEnd"/>
      <w:r>
        <w:t xml:space="preserve"> </w:t>
      </w:r>
      <w:proofErr w:type="spellStart"/>
      <w:r>
        <w:t>ליבשיץ</w:t>
      </w:r>
      <w:proofErr w:type="spellEnd"/>
      <w:r>
        <w:t xml:space="preserve"> להיות רבה של קובנה</w:t>
      </w:r>
    </w:p>
    <w:p w14:paraId="1CDEB342" w14:textId="77777777" w:rsidR="00AB3647" w:rsidRDefault="00000000" w:rsidP="007923E9">
      <w:pPr>
        <w:pStyle w:val="4"/>
        <w:spacing w:line="276" w:lineRule="auto"/>
      </w:pPr>
      <w:r>
        <w:t>· הפסקה הראשונה ·</w:t>
      </w:r>
    </w:p>
    <w:p w14:paraId="268F9A42" w14:textId="77777777" w:rsidR="00AB3647" w:rsidRDefault="00000000" w:rsidP="007923E9">
      <w:pPr>
        <w:pStyle w:val="5"/>
        <w:spacing w:line="276" w:lineRule="auto"/>
      </w:pPr>
      <w:r>
        <w:rPr>
          <w:bCs/>
          <w:szCs w:val="26"/>
        </w:rPr>
        <w:t>תלמידים מחקים את הסתכלות הסבא באצבעותיו</w:t>
      </w:r>
    </w:p>
    <w:p w14:paraId="6E1DA10D" w14:textId="77777777" w:rsidR="00AB3647" w:rsidRDefault="00000000" w:rsidP="007923E9">
      <w:pPr>
        <w:spacing w:after="120" w:line="276" w:lineRule="auto"/>
        <w:ind w:firstLine="283"/>
        <w:jc w:val="both"/>
      </w:pPr>
      <w:r>
        <w:rPr>
          <w:rtl/>
        </w:rPr>
        <w:t>השווה הערה 18 בפרק זה, ובה תיאור מפי עד ראייה של הסבא המסתכל באצבעותיו. כשאבי הזכיר הנהגה זו בשיחה המוקלטת במלאות חמישים שנה לפטירת הסבא</w:t>
      </w:r>
      <w:bookmarkStart w:id="4937" w:name="_fnr3632"/>
      <w:r>
        <w:rPr>
          <w:vertAlign w:val="superscript"/>
          <w:rtl/>
        </w:rPr>
        <w:footnoteReference w:id="3640" w:customMarkFollows="0"/>
      </w:r>
      <w:bookmarkEnd w:id="4937"/>
      <w:r>
        <w:rPr>
          <w:rtl/>
        </w:rPr>
        <w:t>, הוסיף: “היו תלמידים שביקשו לחקות אותו”. אבי לא נתן דעתו לכך שהוא עצמו היה מאותם תלמידים: כך נהג בראשית מסירת שיחות המוסר שלו במתיבתא תורה ודעת</w:t>
      </w:r>
      <w:bookmarkStart w:id="4938" w:name="_fnr3633"/>
      <w:r>
        <w:rPr>
          <w:vertAlign w:val="superscript"/>
          <w:rtl/>
        </w:rPr>
        <w:footnoteReference w:id="3641" w:customMarkFollows="0"/>
      </w:r>
      <w:bookmarkEnd w:id="4938"/>
      <w:r>
        <w:rPr>
          <w:rtl/>
        </w:rPr>
        <w:t>.</w:t>
      </w:r>
    </w:p>
    <w:p w14:paraId="01B87014" w14:textId="77777777" w:rsidR="00AB3647" w:rsidRDefault="00000000" w:rsidP="007923E9">
      <w:pPr>
        <w:spacing w:after="120" w:line="276" w:lineRule="auto"/>
        <w:ind w:firstLine="283"/>
        <w:jc w:val="both"/>
      </w:pPr>
      <w:r>
        <w:rPr>
          <w:rtl/>
        </w:rPr>
        <w:t>השווה סוף הפסקה הבאה, שממנה עולה שהסבא היה מודע להנהגתו. ברור שרבנו אימץ אותה לא מתוך הערצה לרבו, אלא מחמת אימת הציבור שלו עצמו</w:t>
      </w:r>
      <w:bookmarkStart w:id="4939" w:name="_fnr3634"/>
      <w:r>
        <w:rPr>
          <w:vertAlign w:val="superscript"/>
          <w:rtl/>
        </w:rPr>
        <w:footnoteReference w:id="3642" w:customMarkFollows="0"/>
      </w:r>
      <w:bookmarkEnd w:id="4939"/>
      <w:r>
        <w:rPr>
          <w:rtl/>
        </w:rPr>
        <w:t xml:space="preserve">, שהייתה גדולה משל הסבא וגרמה לו להשפיל מבטו אל ידיו בלא משים. מעניין שגם ר׳ </w:t>
      </w:r>
      <w:proofErr w:type="spellStart"/>
      <w:r>
        <w:rPr>
          <w:rtl/>
        </w:rPr>
        <w:t>יעקב־יצחק</w:t>
      </w:r>
      <w:proofErr w:type="spellEnd"/>
      <w:r>
        <w:rPr>
          <w:rtl/>
        </w:rPr>
        <w:t xml:space="preserve"> </w:t>
      </w:r>
      <w:proofErr w:type="spellStart"/>
      <w:r>
        <w:rPr>
          <w:rtl/>
        </w:rPr>
        <w:t>רודרמן</w:t>
      </w:r>
      <w:bookmarkStart w:id="4940" w:name="_fnr3635"/>
      <w:proofErr w:type="spellEnd"/>
      <w:r>
        <w:rPr>
          <w:vertAlign w:val="superscript"/>
          <w:rtl/>
        </w:rPr>
        <w:footnoteReference w:id="3643" w:customMarkFollows="0"/>
      </w:r>
      <w:bookmarkEnd w:id="4940"/>
      <w:r>
        <w:rPr>
          <w:rtl/>
        </w:rPr>
        <w:t xml:space="preserve"> סבל מאימת הציבור במידה רבה: ר׳ לייב היימן סיפר</w:t>
      </w:r>
      <w:bookmarkStart w:id="4941" w:name="_fnr3636"/>
      <w:r>
        <w:rPr>
          <w:vertAlign w:val="superscript"/>
          <w:rtl/>
        </w:rPr>
        <w:footnoteReference w:id="3644" w:customMarkFollows="0"/>
      </w:r>
      <w:bookmarkEnd w:id="4941"/>
      <w:r>
        <w:rPr>
          <w:rtl/>
        </w:rPr>
        <w:t xml:space="preserve"> שבשעת מסירת שיעורו היה ר׳ </w:t>
      </w:r>
      <w:proofErr w:type="spellStart"/>
      <w:r>
        <w:rPr>
          <w:rtl/>
        </w:rPr>
        <w:t>יעקב־יצחק</w:t>
      </w:r>
      <w:proofErr w:type="spellEnd"/>
      <w:r>
        <w:rPr>
          <w:rtl/>
        </w:rPr>
        <w:t xml:space="preserve"> </w:t>
      </w:r>
      <w:proofErr w:type="spellStart"/>
      <w:r>
        <w:rPr>
          <w:rtl/>
        </w:rPr>
        <w:t>רודרמן</w:t>
      </w:r>
      <w:proofErr w:type="spellEnd"/>
      <w:r>
        <w:rPr>
          <w:rtl/>
        </w:rPr>
        <w:t xml:space="preserve"> יושב מאחורי סטנדר גבוה, שכמעט הסתיר את פניו. אפשר גם שאבי חיקה למעשה את תלמידי הסבא. לאחר שמסר רבנו את השיחות תקופה מסוימת פחתה הנהגה זו, והוא היה מקדים לשיחתו רגע של שתיקה, שבו הסיר את משקפיו וניגב אותם במטפחתו במתינות</w:t>
      </w:r>
      <w:bookmarkStart w:id="4942" w:name="_fnr3637"/>
      <w:r>
        <w:rPr>
          <w:vertAlign w:val="superscript"/>
          <w:rtl/>
        </w:rPr>
        <w:footnoteReference w:id="3645" w:customMarkFollows="0"/>
      </w:r>
      <w:bookmarkEnd w:id="4942"/>
      <w:r>
        <w:rPr>
          <w:rtl/>
        </w:rPr>
        <w:t>.</w:t>
      </w:r>
    </w:p>
    <w:p w14:paraId="1BB06897" w14:textId="77777777" w:rsidR="00AB3647" w:rsidRDefault="00000000" w:rsidP="007923E9">
      <w:pPr>
        <w:pStyle w:val="4"/>
        <w:spacing w:line="276" w:lineRule="auto"/>
      </w:pPr>
      <w:r>
        <w:t>· הפסקה השנייה ·</w:t>
      </w:r>
    </w:p>
    <w:p w14:paraId="59A91A9C" w14:textId="77777777" w:rsidR="00AB3647" w:rsidRDefault="00000000" w:rsidP="007923E9">
      <w:pPr>
        <w:pStyle w:val="5"/>
        <w:spacing w:line="276" w:lineRule="auto"/>
      </w:pPr>
      <w:r>
        <w:rPr>
          <w:bCs/>
          <w:szCs w:val="26"/>
        </w:rPr>
        <w:t xml:space="preserve">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כמעט נעשה רבה של קובנה</w:t>
      </w:r>
    </w:p>
    <w:p w14:paraId="476EB487" w14:textId="77777777" w:rsidR="00AB3647" w:rsidRDefault="00000000" w:rsidP="007923E9">
      <w:pPr>
        <w:pStyle w:val="5"/>
        <w:spacing w:after="160" w:line="276" w:lineRule="auto"/>
      </w:pPr>
      <w:r>
        <w:rPr>
          <w:b/>
          <w:bCs/>
          <w:sz w:val="26"/>
          <w:szCs w:val="26"/>
        </w:rPr>
        <w:t>השכלתו הכללית ורצונה של קובנה ברב מודרני</w:t>
      </w:r>
    </w:p>
    <w:p w14:paraId="7D10816C" w14:textId="77777777" w:rsidR="00AB3647" w:rsidRDefault="00000000" w:rsidP="007923E9">
      <w:pPr>
        <w:pStyle w:val="5"/>
        <w:spacing w:after="160" w:line="276" w:lineRule="auto"/>
      </w:pPr>
      <w:r>
        <w:rPr>
          <w:b/>
          <w:bCs/>
          <w:sz w:val="26"/>
          <w:szCs w:val="26"/>
        </w:rPr>
        <w:t>הסבא מסביר לרבנו מדוע נשאר בירכתי החדר</w:t>
      </w:r>
    </w:p>
    <w:p w14:paraId="7D41F907" w14:textId="77777777" w:rsidR="00AB3647" w:rsidRDefault="00000000" w:rsidP="007923E9">
      <w:pPr>
        <w:spacing w:after="120" w:line="276" w:lineRule="auto"/>
        <w:ind w:firstLine="283"/>
        <w:jc w:val="both"/>
      </w:pPr>
      <w:bookmarkStart w:id="4943" w:name="pr_b_2047"/>
      <w:bookmarkEnd w:id="4943"/>
      <w:r>
        <w:rPr>
          <w:rtl/>
        </w:rPr>
        <w:t xml:space="preserve">בשיחה המוקלטת במלאות חמישים שנה לפטירת הסבא סיפר אבי כיצד השפיעה אימת הציבור של הסבא על בחירת רב לקובנה: “ר׳ </w:t>
      </w:r>
      <w:proofErr w:type="spellStart"/>
      <w:r>
        <w:rPr>
          <w:rtl/>
        </w:rPr>
        <w:t>חצקל</w:t>
      </w:r>
      <w:proofErr w:type="spellEnd"/>
      <w:r>
        <w:rPr>
          <w:rtl/>
        </w:rPr>
        <w:t xml:space="preserve"> </w:t>
      </w:r>
      <w:proofErr w:type="spellStart"/>
      <w:r>
        <w:rPr>
          <w:rtl/>
        </w:rPr>
        <w:t>ליבשיץ</w:t>
      </w:r>
      <w:proofErr w:type="spellEnd"/>
      <w:r>
        <w:rPr>
          <w:rtl/>
        </w:rPr>
        <w:t xml:space="preserve">, מחבר ‘המדרש והמעשה’, רבה של </w:t>
      </w:r>
      <w:proofErr w:type="spellStart"/>
      <w:r>
        <w:rPr>
          <w:rtl/>
        </w:rPr>
        <w:t>קאליש</w:t>
      </w:r>
      <w:proofErr w:type="spellEnd"/>
      <w:r>
        <w:rPr>
          <w:rtl/>
        </w:rPr>
        <w:t xml:space="preserve">, ולאחר מלחמת העולם הראשונה יושב ראש אגודת הרבנים בפולין, בא לקובנה בין פסח לשבועות, לאחר שקיבל כתב רבנות מראשי העיר למלא את מקומו של ר׳ </w:t>
      </w:r>
      <w:proofErr w:type="spellStart"/>
      <w:r>
        <w:rPr>
          <w:rtl/>
        </w:rPr>
        <w:t>צבי־הירש</w:t>
      </w:r>
      <w:proofErr w:type="spellEnd"/>
      <w:r>
        <w:rPr>
          <w:rtl/>
        </w:rPr>
        <w:t xml:space="preserve"> </w:t>
      </w:r>
      <w:proofErr w:type="spellStart"/>
      <w:r>
        <w:rPr>
          <w:rtl/>
        </w:rPr>
        <w:lastRenderedPageBreak/>
        <w:t>רבינוביץ</w:t>
      </w:r>
      <w:bookmarkStart w:id="4944" w:name="_fnr3638"/>
      <w:proofErr w:type="spellEnd"/>
      <w:r>
        <w:rPr>
          <w:vertAlign w:val="superscript"/>
          <w:rtl/>
        </w:rPr>
        <w:footnoteReference w:id="3646" w:customMarkFollows="0"/>
      </w:r>
      <w:bookmarkEnd w:id="4944"/>
      <w:r>
        <w:rPr>
          <w:rtl/>
        </w:rPr>
        <w:t xml:space="preserve">, ושהה בה </w:t>
      </w:r>
      <w:proofErr w:type="spellStart"/>
      <w:r>
        <w:rPr>
          <w:rtl/>
        </w:rPr>
        <w:t>זמן־מה</w:t>
      </w:r>
      <w:proofErr w:type="spellEnd"/>
      <w:r>
        <w:rPr>
          <w:rtl/>
        </w:rPr>
        <w:t xml:space="preserve"> כדי להיפגש עם ראשי הקהילה. כשחזר לביתו התכוון לסדר את ענייני </w:t>
      </w:r>
      <w:proofErr w:type="spellStart"/>
      <w:r>
        <w:rPr>
          <w:rtl/>
        </w:rPr>
        <w:t>קאליש</w:t>
      </w:r>
      <w:proofErr w:type="spellEnd"/>
      <w:r>
        <w:rPr>
          <w:rtl/>
        </w:rPr>
        <w:t xml:space="preserve"> – צורך טבעי לרבה של עיר גדולה – ולשוב לקובנה לקראת הימים הנוראים כרבה. אולם באלול החזיר את כתב הרבנות: הוא החליט שלא לבוא לקובנה”. הכול היו בטוחים כל כך שהוא רבה החדש של קובנה</w:t>
      </w:r>
      <w:bookmarkStart w:id="4945" w:name="_fnr3639"/>
      <w:r>
        <w:rPr>
          <w:vertAlign w:val="superscript"/>
          <w:rtl/>
        </w:rPr>
        <w:footnoteReference w:id="3647" w:customMarkFollows="0"/>
      </w:r>
      <w:bookmarkEnd w:id="4945"/>
      <w:r>
        <w:rPr>
          <w:rtl/>
        </w:rPr>
        <w:t xml:space="preserve">, עד שמשה </w:t>
      </w:r>
      <w:proofErr w:type="spellStart"/>
      <w:r>
        <w:rPr>
          <w:rtl/>
        </w:rPr>
        <w:t>מארקאוויץ</w:t>
      </w:r>
      <w:proofErr w:type="spellEnd"/>
      <w:r>
        <w:rPr>
          <w:rtl/>
        </w:rPr>
        <w:t xml:space="preserve">, תושב </w:t>
      </w:r>
      <w:proofErr w:type="spellStart"/>
      <w:r>
        <w:rPr>
          <w:rtl/>
        </w:rPr>
        <w:t>ראסיין</w:t>
      </w:r>
      <w:proofErr w:type="spellEnd"/>
      <w:r>
        <w:rPr>
          <w:rtl/>
        </w:rPr>
        <w:t>, ציין בגאוות בן העיר</w:t>
      </w:r>
      <w:bookmarkStart w:id="4946" w:name="_fnr3640"/>
      <w:r>
        <w:rPr>
          <w:vertAlign w:val="superscript"/>
          <w:rtl/>
        </w:rPr>
        <w:footnoteReference w:id="3648" w:customMarkFollows="0"/>
      </w:r>
      <w:bookmarkEnd w:id="4946"/>
      <w:r>
        <w:rPr>
          <w:rtl/>
        </w:rPr>
        <w:t xml:space="preserve"> בספר שפרסם באותה עת, בהקדמת “לקורות”</w:t>
      </w:r>
      <w:bookmarkStart w:id="4947" w:name="_fnr3641"/>
      <w:r>
        <w:rPr>
          <w:vertAlign w:val="superscript"/>
          <w:rtl/>
        </w:rPr>
        <w:footnoteReference w:id="3649" w:customMarkFollows="0"/>
      </w:r>
      <w:bookmarkEnd w:id="4947"/>
      <w:r>
        <w:rPr>
          <w:rtl/>
        </w:rPr>
        <w:t xml:space="preserve">, כי “ר׳ יחזקאל </w:t>
      </w:r>
      <w:proofErr w:type="spellStart"/>
      <w:r>
        <w:rPr>
          <w:rtl/>
        </w:rPr>
        <w:t>ליבשיץ</w:t>
      </w:r>
      <w:proofErr w:type="spellEnd"/>
      <w:r>
        <w:rPr>
          <w:rtl/>
        </w:rPr>
        <w:t xml:space="preserve">, יליד </w:t>
      </w:r>
      <w:proofErr w:type="spellStart"/>
      <w:r>
        <w:rPr>
          <w:rtl/>
        </w:rPr>
        <w:t>ראסיין</w:t>
      </w:r>
      <w:proofErr w:type="spellEnd"/>
      <w:r>
        <w:rPr>
          <w:rtl/>
        </w:rPr>
        <w:t>, נתמנה עתה לרבה של קובנה”.</w:t>
      </w:r>
    </w:p>
    <w:p w14:paraId="66FB77DA" w14:textId="77777777" w:rsidR="00AB3647" w:rsidRDefault="00000000" w:rsidP="007923E9">
      <w:pPr>
        <w:spacing w:after="120" w:line="276" w:lineRule="auto"/>
        <w:ind w:firstLine="283"/>
        <w:jc w:val="both"/>
      </w:pPr>
      <w:r>
        <w:rPr>
          <w:rtl/>
        </w:rPr>
        <w:t xml:space="preserve">אבי המשיך: “איש לא ידע מדוע שינה את דעתו, אבל דיברו שישיבת </w:t>
      </w:r>
      <w:proofErr w:type="spellStart"/>
      <w:r>
        <w:rPr>
          <w:rtl/>
        </w:rPr>
        <w:t>סלבודקה</w:t>
      </w:r>
      <w:proofErr w:type="spellEnd"/>
      <w:r>
        <w:rPr>
          <w:rtl/>
        </w:rPr>
        <w:t xml:space="preserve"> התנגדה למועמדותו. </w:t>
      </w:r>
      <w:proofErr w:type="spellStart"/>
      <w:r>
        <w:rPr>
          <w:rtl/>
        </w:rPr>
        <w:t>ה‘פוליטיקה</w:t>
      </w:r>
      <w:proofErr w:type="spellEnd"/>
      <w:r>
        <w:rPr>
          <w:rtl/>
        </w:rPr>
        <w:t xml:space="preserve"> העמוקה’ של אותם ימים אינה ידועה לי, ותהא הפוליטיקה אשר תהא, ‘גם שנאתם גם קנאתם כבר אבדה’</w:t>
      </w:r>
      <w:bookmarkStart w:id="4948" w:name="_fnr3642"/>
      <w:r>
        <w:rPr>
          <w:vertAlign w:val="superscript"/>
          <w:rtl/>
        </w:rPr>
        <w:footnoteReference w:id="3650" w:customMarkFollows="0"/>
      </w:r>
      <w:bookmarkEnd w:id="4948"/>
      <w:r>
        <w:rPr>
          <w:rtl/>
        </w:rPr>
        <w:t xml:space="preserve">; אבל אז דיברו כך: </w:t>
      </w:r>
      <w:proofErr w:type="spellStart"/>
      <w:r>
        <w:rPr>
          <w:rtl/>
        </w:rPr>
        <w:t>סלבודקה</w:t>
      </w:r>
      <w:proofErr w:type="spellEnd"/>
      <w:r>
        <w:rPr>
          <w:rtl/>
        </w:rPr>
        <w:t xml:space="preserve"> לא הסכימה לקבלו, מפני שר׳ </w:t>
      </w:r>
      <w:proofErr w:type="spellStart"/>
      <w:r>
        <w:rPr>
          <w:rtl/>
        </w:rPr>
        <w:t>חצקל</w:t>
      </w:r>
      <w:proofErr w:type="spellEnd"/>
      <w:r>
        <w:rPr>
          <w:rtl/>
        </w:rPr>
        <w:t xml:space="preserve"> </w:t>
      </w:r>
      <w:proofErr w:type="spellStart"/>
      <w:r>
        <w:rPr>
          <w:rtl/>
        </w:rPr>
        <w:t>ליבשיץ</w:t>
      </w:r>
      <w:proofErr w:type="spellEnd"/>
      <w:r>
        <w:rPr>
          <w:rtl/>
        </w:rPr>
        <w:t xml:space="preserve"> סיים גימנסיה</w:t>
      </w:r>
      <w:bookmarkStart w:id="4949" w:name="_fnr3643"/>
      <w:r>
        <w:rPr>
          <w:vertAlign w:val="superscript"/>
          <w:rtl/>
        </w:rPr>
        <w:footnoteReference w:id="3651" w:customMarkFollows="0"/>
      </w:r>
      <w:bookmarkEnd w:id="4949"/>
      <w:r>
        <w:rPr>
          <w:rtl/>
        </w:rPr>
        <w:t xml:space="preserve"> וקיבל תעודה</w:t>
      </w:r>
      <w:bookmarkStart w:id="4950" w:name="_fnr3644"/>
      <w:r>
        <w:rPr>
          <w:vertAlign w:val="superscript"/>
          <w:rtl/>
        </w:rPr>
        <w:footnoteReference w:id="3652" w:customMarkFollows="0"/>
      </w:r>
      <w:bookmarkEnd w:id="4950"/>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אכן היה אדם משכיל, שדיבר צרפתית, גרמנית, רוסית ופולנית. </w:t>
      </w:r>
      <w:proofErr w:type="spellStart"/>
      <w:r>
        <w:rPr>
          <w:rtl/>
        </w:rPr>
        <w:t>בתרפ״ז</w:t>
      </w:r>
      <w:proofErr w:type="spellEnd"/>
      <w:r>
        <w:rPr>
          <w:rtl/>
        </w:rPr>
        <w:t xml:space="preserve"> ביקר בארצות הברית בתפקידו כיושב ראש אגודת הרבנים בפולין, כדי לעיין ברשימות של משרד המלחמה על חיילים אמריקנים שנפלו, וכך לאפשר לנשותיהם שנותרו בפולין להינשא מחדש (תקנת עגונות). בביקור זה הוצג בפני הנשיא </w:t>
      </w:r>
      <w:proofErr w:type="spellStart"/>
      <w:r>
        <w:rPr>
          <w:rtl/>
        </w:rPr>
        <w:t>קולידג</w:t>
      </w:r>
      <w:proofErr w:type="spellEnd"/>
      <w:r>
        <w:rPr>
          <w:rtl/>
        </w:rPr>
        <w:t xml:space="preserve">׳, ונוכח שמנהיג המעצמה מדבר אנגלית בלבד ואינו יכול לשוחח עמו. לימים העיר ר׳ </w:t>
      </w:r>
      <w:proofErr w:type="spellStart"/>
      <w:r>
        <w:rPr>
          <w:rtl/>
        </w:rPr>
        <w:t>חצקל</w:t>
      </w:r>
      <w:proofErr w:type="spellEnd"/>
      <w:r>
        <w:rPr>
          <w:rtl/>
        </w:rPr>
        <w:t xml:space="preserve"> שהופתע לגלות כי העומד בראש מעצמה גדולה אינו יודע לדבר בשפות האירופיות העיקריות.</w:t>
      </w:r>
    </w:p>
    <w:p w14:paraId="5831DF34" w14:textId="77777777" w:rsidR="00AB3647" w:rsidRDefault="00000000" w:rsidP="007923E9">
      <w:pPr>
        <w:spacing w:after="120" w:line="276" w:lineRule="auto"/>
        <w:ind w:firstLine="283"/>
        <w:jc w:val="both"/>
      </w:pPr>
      <w:r>
        <w:rPr>
          <w:rtl/>
        </w:rPr>
        <w:t xml:space="preserve">אבי המשיך: “לגופו של עניין אמר הסבא כך: ‘משכיל אינו מי שיש לו ידיעות חול, </w:t>
      </w:r>
      <w:proofErr w:type="spellStart"/>
      <w:r>
        <w:rPr>
          <w:rtl/>
        </w:rPr>
        <w:t>דער</w:t>
      </w:r>
      <w:proofErr w:type="spellEnd"/>
      <w:r>
        <w:rPr>
          <w:rtl/>
        </w:rPr>
        <w:t xml:space="preserve"> </w:t>
      </w:r>
      <w:proofErr w:type="spellStart"/>
      <w:r>
        <w:rPr>
          <w:rtl/>
        </w:rPr>
        <w:t>וואס</w:t>
      </w:r>
      <w:proofErr w:type="spellEnd"/>
      <w:r>
        <w:rPr>
          <w:rtl/>
        </w:rPr>
        <w:t xml:space="preserve"> </w:t>
      </w:r>
      <w:proofErr w:type="spellStart"/>
      <w:r>
        <w:rPr>
          <w:rtl/>
        </w:rPr>
        <w:t>קען</w:t>
      </w:r>
      <w:proofErr w:type="spellEnd"/>
      <w:r>
        <w:rPr>
          <w:rtl/>
        </w:rPr>
        <w:t xml:space="preserve"> [מי שיודע]. כמו בכסף, מותר שיהיו לאדם ידיעות כאלה, אבל אסור לאהוב אותן: </w:t>
      </w:r>
      <w:proofErr w:type="spellStart"/>
      <w:r>
        <w:rPr>
          <w:rtl/>
        </w:rPr>
        <w:t>קענטשאפט</w:t>
      </w:r>
      <w:proofErr w:type="spellEnd"/>
      <w:r>
        <w:rPr>
          <w:rtl/>
        </w:rPr>
        <w:t xml:space="preserve"> [ידיעות חול] – טרף לאהוב. ואני יודע שר׳ </w:t>
      </w:r>
      <w:proofErr w:type="spellStart"/>
      <w:r>
        <w:rPr>
          <w:rtl/>
        </w:rPr>
        <w:t>חצקל</w:t>
      </w:r>
      <w:proofErr w:type="spellEnd"/>
      <w:r>
        <w:rPr>
          <w:rtl/>
        </w:rPr>
        <w:t xml:space="preserve"> אינו אוהב את הידיעות הללו’”</w:t>
      </w:r>
      <w:bookmarkStart w:id="4951" w:name="_fnr3645"/>
      <w:r>
        <w:rPr>
          <w:vertAlign w:val="superscript"/>
          <w:rtl/>
        </w:rPr>
        <w:footnoteReference w:id="3653" w:customMarkFollows="0"/>
      </w:r>
      <w:bookmarkEnd w:id="4951"/>
      <w:r>
        <w:rPr>
          <w:rtl/>
        </w:rPr>
        <w:t>.</w:t>
      </w:r>
    </w:p>
    <w:p w14:paraId="0C4CB525" w14:textId="77777777" w:rsidR="00AB3647" w:rsidRDefault="00000000" w:rsidP="007923E9">
      <w:pPr>
        <w:spacing w:after="120" w:line="276" w:lineRule="auto"/>
        <w:ind w:firstLine="283"/>
        <w:jc w:val="both"/>
      </w:pPr>
      <w:bookmarkStart w:id="4952" w:name="pr_b_2049"/>
      <w:bookmarkEnd w:id="4952"/>
      <w:r>
        <w:rPr>
          <w:rtl/>
        </w:rPr>
        <w:t xml:space="preserve">בהזדמנות אחרת העיר אבי באירוניה שכאשר “העיר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שהיה בעל השכלה בלבד” – דבר שהסבא לא התנגד לו – “קיבלה במקומו מי שבעצמו היה קרוב להשכלה (!)”, ר׳ </w:t>
      </w:r>
      <w:proofErr w:type="spellStart"/>
      <w:r>
        <w:rPr>
          <w:rtl/>
        </w:rPr>
        <w:t>אברהם־דובער</w:t>
      </w:r>
      <w:proofErr w:type="spellEnd"/>
      <w:r>
        <w:rPr>
          <w:rtl/>
        </w:rPr>
        <w:t xml:space="preserve"> </w:t>
      </w:r>
      <w:proofErr w:type="spellStart"/>
      <w:r>
        <w:rPr>
          <w:rtl/>
        </w:rPr>
        <w:t>כהנא־שפירא</w:t>
      </w:r>
      <w:proofErr w:type="spellEnd"/>
      <w:r>
        <w:rPr>
          <w:rtl/>
        </w:rPr>
        <w:t>. אף שכך העריך אבי את רבה האחרון של קובנה, היה קרוב אליו מאוד, העריצו וקיבל ממנו סמיכה</w:t>
      </w:r>
      <w:bookmarkStart w:id="4953" w:name="_fnr3646"/>
      <w:bookmarkStart w:id="4954" w:name="pr_f_3536"/>
      <w:r>
        <w:rPr>
          <w:vertAlign w:val="superscript"/>
          <w:rtl/>
        </w:rPr>
        <w:footnoteReference w:id="3654" w:customMarkFollows="0"/>
      </w:r>
      <w:bookmarkEnd w:id="4953"/>
      <w:bookmarkEnd w:id="4954"/>
      <w:r>
        <w:rPr>
          <w:rtl/>
        </w:rPr>
        <w:t xml:space="preserve">. השווה גם “עובדות והנהגות לבית </w:t>
      </w:r>
      <w:proofErr w:type="spellStart"/>
      <w:r>
        <w:rPr>
          <w:rtl/>
        </w:rPr>
        <w:lastRenderedPageBreak/>
        <w:t>בריסק</w:t>
      </w:r>
      <w:proofErr w:type="spellEnd"/>
      <w:r>
        <w:rPr>
          <w:rtl/>
        </w:rPr>
        <w:t>”</w:t>
      </w:r>
      <w:bookmarkStart w:id="4955" w:name="_fnr3647"/>
      <w:r>
        <w:rPr>
          <w:vertAlign w:val="superscript"/>
          <w:rtl/>
        </w:rPr>
        <w:footnoteReference w:id="3655" w:customMarkFollows="0"/>
      </w:r>
      <w:bookmarkEnd w:id="4955"/>
      <w:r>
        <w:rPr>
          <w:rtl/>
        </w:rPr>
        <w:t xml:space="preserve">, ובו דיווח מפתיע מפי “מקורב </w:t>
      </w:r>
      <w:proofErr w:type="spellStart"/>
      <w:r>
        <w:rPr>
          <w:rtl/>
        </w:rPr>
        <w:t>לר</w:t>
      </w:r>
      <w:proofErr w:type="spellEnd"/>
      <w:r>
        <w:rPr>
          <w:rtl/>
        </w:rPr>
        <w:t xml:space="preserve">׳ </w:t>
      </w:r>
      <w:proofErr w:type="spellStart"/>
      <w:r>
        <w:rPr>
          <w:rtl/>
        </w:rPr>
        <w:t xml:space="preserve">וועלוול׳ה</w:t>
      </w:r>
      <w:proofErr w:type="spellEnd"/>
      <w:r>
        <w:rPr>
          <w:rtl/>
        </w:rPr>
        <w:t xml:space="preserve"> </w:t>
      </w:r>
      <w:proofErr w:type="spellStart"/>
      <w:r>
        <w:rPr>
          <w:rtl/>
        </w:rPr>
        <w:t>סולובייצ׳יק</w:t>
      </w:r>
      <w:proofErr w:type="spellEnd"/>
      <w:r>
        <w:rPr>
          <w:rtl/>
        </w:rPr>
        <w:t xml:space="preserve">”: ר׳ יצחק־זאב אמר שאביו, ר׳ חיים, חשד ברוב רבני ליטא שיש להם נטייה מסוימת להשכלה</w:t>
      </w:r>
      <w:bookmarkStart w:id="4956" w:name="_fnr3648"/>
      <w:r>
        <w:rPr>
          <w:vertAlign w:val="superscript"/>
          <w:rtl/>
        </w:rPr>
        <w:footnoteReference w:id="3656" w:customMarkFollows="0"/>
      </w:r>
      <w:bookmarkEnd w:id="4956"/>
      <w:r>
        <w:rPr>
          <w:rtl/>
        </w:rPr>
        <w:t xml:space="preserve">. תיאורו הנזכר של אבי את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שהיה למעשה הרב הראשי של ליטא לאחר מלחמת העולם הראשונה, כשווילנה נלקחה מליטא בידי פולין – נותן יסוד לחשדו של ר׳ חיים.</w:t>
      </w:r>
    </w:p>
    <w:p w14:paraId="75CE0B74" w14:textId="77777777" w:rsidR="00AB3647" w:rsidRDefault="00000000" w:rsidP="007923E9">
      <w:pPr>
        <w:spacing w:after="120" w:line="276" w:lineRule="auto"/>
        <w:ind w:firstLine="283"/>
        <w:jc w:val="both"/>
      </w:pPr>
      <w:r>
        <w:rPr>
          <w:rtl/>
        </w:rPr>
        <w:t xml:space="preserve">כשאמר אבי </w:t>
      </w:r>
      <w:proofErr w:type="spellStart"/>
      <w:r>
        <w:rPr>
          <w:rtl/>
        </w:rPr>
        <w:t>ש“העיר</w:t>
      </w:r>
      <w:proofErr w:type="spellEnd"/>
      <w:r>
        <w:rPr>
          <w:rtl/>
        </w:rPr>
        <w:t xml:space="preserve">” לא רצתה את ר׳ </w:t>
      </w:r>
      <w:proofErr w:type="spellStart"/>
      <w:r>
        <w:rPr>
          <w:rtl/>
        </w:rPr>
        <w:t>חצקל</w:t>
      </w:r>
      <w:proofErr w:type="spellEnd"/>
      <w:r>
        <w:rPr>
          <w:rtl/>
        </w:rPr>
        <w:t xml:space="preserve"> </w:t>
      </w:r>
      <w:proofErr w:type="spellStart"/>
      <w:r>
        <w:rPr>
          <w:rtl/>
        </w:rPr>
        <w:t>ליבשיץ</w:t>
      </w:r>
      <w:proofErr w:type="spellEnd"/>
      <w:r>
        <w:rPr>
          <w:rtl/>
        </w:rPr>
        <w:t xml:space="preserve"> בעל ההשכלה המודרנית, התכוון ללוחם בהשכלה ר׳ יעקב הלוי ליפשיץ, כמבואר בפסקה הרביעית להלן. אולם לפי דברי ר׳ ישראל </w:t>
      </w:r>
      <w:proofErr w:type="spellStart"/>
      <w:r>
        <w:rPr>
          <w:rtl/>
        </w:rPr>
        <w:t>שורין</w:t>
      </w:r>
      <w:bookmarkStart w:id="4957" w:name="_fnr3649"/>
      <w:proofErr w:type="spellEnd"/>
      <w:r>
        <w:rPr>
          <w:vertAlign w:val="superscript"/>
          <w:rtl/>
        </w:rPr>
        <w:footnoteReference w:id="3657" w:customMarkFollows="0"/>
      </w:r>
      <w:bookmarkEnd w:id="4957"/>
      <w:r>
        <w:rPr>
          <w:rtl/>
        </w:rPr>
        <w:t xml:space="preserve">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השפעתו של ר׳ יעקב הלוי ליפשיץ על בחירת רב לעיר הייתה אז קטנה כל כך, שר׳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קיבל את רבנות קובנה דווקא “מפני שהיה מודרני”. כשגילה ר׳ </w:t>
      </w:r>
      <w:proofErr w:type="spellStart"/>
      <w:r>
        <w:rPr>
          <w:rtl/>
        </w:rPr>
        <w:t xml:space="preserve">יוסף־דב</w:t>
      </w:r>
      <w:proofErr w:type="spellEnd"/>
      <w:r>
        <w:rPr>
          <w:rtl/>
        </w:rPr>
        <w:t xml:space="preserve"> דבר זה, הוסיף: “אל תחשבו שהטעם לכך שסבי ר׳ חיים לא נעשה רבה של קובנה הוא שלא רצה ברבנות הזאת; העיר לא רצתה אותו [מפני שלא היה ‘מודרני’]”.</w:t>
      </w:r>
    </w:p>
    <w:p w14:paraId="7C9A5820" w14:textId="77777777" w:rsidR="00AB3647" w:rsidRDefault="00000000" w:rsidP="007923E9">
      <w:pPr>
        <w:spacing w:after="120" w:line="276" w:lineRule="auto"/>
        <w:ind w:firstLine="283"/>
        <w:jc w:val="both"/>
      </w:pPr>
      <w:r>
        <w:rPr>
          <w:rtl/>
        </w:rPr>
        <w:t xml:space="preserve">נראה אפוא שר׳ חיים </w:t>
      </w:r>
      <w:proofErr w:type="spellStart"/>
      <w:r>
        <w:rPr>
          <w:rtl/>
        </w:rPr>
        <w:t>סולובייצ׳יק</w:t>
      </w:r>
      <w:proofErr w:type="spellEnd"/>
      <w:r>
        <w:rPr>
          <w:rtl/>
        </w:rPr>
        <w:t xml:space="preserve"> היה מעוניין ברבנות קובנה ובעזיבת </w:t>
      </w:r>
      <w:proofErr w:type="spellStart"/>
      <w:r>
        <w:rPr>
          <w:rtl/>
        </w:rPr>
        <w:t>בריסק</w:t>
      </w:r>
      <w:proofErr w:type="spellEnd"/>
      <w:r>
        <w:rPr>
          <w:rtl/>
        </w:rPr>
        <w:t xml:space="preserve"> (!) – לא שהציג בפועל את מועמדותו, אלא שוודאי הביע באוזני מקורביו משאלה כמוסה זו. ייתכן גם שאמירתו שחשד ברוב רבני ליטא, המובאת לעיל </w:t>
      </w:r>
      <w:proofErr w:type="spellStart"/>
      <w:r>
        <w:rPr>
          <w:rtl/>
        </w:rPr>
        <w:t>מ“עובדות</w:t>
      </w:r>
      <w:proofErr w:type="spellEnd"/>
      <w:r>
        <w:rPr>
          <w:rtl/>
        </w:rPr>
        <w:t xml:space="preserve"> והנהגות לבית </w:t>
      </w:r>
      <w:proofErr w:type="spellStart"/>
      <w:r>
        <w:rPr>
          <w:rtl/>
        </w:rPr>
        <w:t>בריסק</w:t>
      </w:r>
      <w:proofErr w:type="spellEnd"/>
      <w:r>
        <w:rPr>
          <w:rtl/>
        </w:rPr>
        <w:t>”, נאמרה בהקשר למשאלה זו. מסתבר שהעדיף את קובנה, שבה ישבו ושימשו אבי אביו ואבות משפחתו משנת תקי״א</w:t>
      </w:r>
      <w:bookmarkStart w:id="4958" w:name="_fnr3650"/>
      <w:r>
        <w:rPr>
          <w:vertAlign w:val="superscript"/>
          <w:rtl/>
        </w:rPr>
        <w:footnoteReference w:id="3658" w:customMarkFollows="0"/>
      </w:r>
      <w:bookmarkEnd w:id="4958"/>
      <w:r>
        <w:rPr>
          <w:rtl/>
        </w:rPr>
        <w:t xml:space="preserve">, על פני </w:t>
      </w:r>
      <w:proofErr w:type="spellStart"/>
      <w:r>
        <w:rPr>
          <w:rtl/>
        </w:rPr>
        <w:t>בריסק</w:t>
      </w:r>
      <w:proofErr w:type="spellEnd"/>
      <w:r>
        <w:rPr>
          <w:rtl/>
        </w:rPr>
        <w:t xml:space="preserve">, שבה היה אביו רב, מפני שאהבת התורה וכבוד תלמידי החכמים היו גדולים בעיר הראשונה, הליטאית, יותר </w:t>
      </w:r>
      <w:proofErr w:type="spellStart"/>
      <w:r>
        <w:rPr>
          <w:rtl/>
        </w:rPr>
        <w:t>מבשנייה</w:t>
      </w:r>
      <w:proofErr w:type="spellEnd"/>
      <w:r>
        <w:rPr>
          <w:rtl/>
        </w:rPr>
        <w:t>, הפולנית</w:t>
      </w:r>
      <w:bookmarkStart w:id="4959" w:name="_fnr3651"/>
      <w:r>
        <w:rPr>
          <w:vertAlign w:val="superscript"/>
          <w:rtl/>
        </w:rPr>
        <w:footnoteReference w:id="3659" w:customMarkFollows="0"/>
      </w:r>
      <w:bookmarkEnd w:id="4959"/>
      <w:r>
        <w:rPr>
          <w:rtl/>
        </w:rPr>
        <w:t>.</w:t>
      </w:r>
    </w:p>
    <w:p w14:paraId="4833AE8C" w14:textId="77777777" w:rsidR="00AB3647" w:rsidRDefault="00000000" w:rsidP="007923E9">
      <w:pPr>
        <w:spacing w:after="120" w:line="276" w:lineRule="auto"/>
        <w:ind w:firstLine="283"/>
        <w:jc w:val="both"/>
      </w:pPr>
      <w:r>
        <w:rPr>
          <w:rtl/>
        </w:rPr>
        <w:t xml:space="preserve">“על סמך מה הניחו”, המשיך אבי, “שהסבא התנגד למועמדות? נערכה </w:t>
      </w:r>
      <w:proofErr w:type="spellStart"/>
      <w:r>
        <w:rPr>
          <w:rtl/>
        </w:rPr>
        <w:t>לר</w:t>
      </w:r>
      <w:proofErr w:type="spellEnd"/>
      <w:r>
        <w:rPr>
          <w:rtl/>
        </w:rPr>
        <w:t xml:space="preserve">׳ </w:t>
      </w:r>
      <w:proofErr w:type="spellStart"/>
      <w:r>
        <w:rPr>
          <w:rtl/>
        </w:rPr>
        <w:t>חצקל</w:t>
      </w:r>
      <w:proofErr w:type="spellEnd"/>
      <w:r>
        <w:rPr>
          <w:rtl/>
        </w:rPr>
        <w:t xml:space="preserve"> קבלת פנים באולם גדול, ובה נכחו כל נכבדי יהודי קובנה. ר׳ </w:t>
      </w:r>
      <w:proofErr w:type="spellStart"/>
      <w:r>
        <w:rPr>
          <w:rtl/>
        </w:rPr>
        <w:t>חצקל</w:t>
      </w:r>
      <w:proofErr w:type="spellEnd"/>
      <w:r>
        <w:rPr>
          <w:rtl/>
        </w:rPr>
        <w:t xml:space="preserve"> ישב, כמנהג המקובל, בראש השולחן המרוחק מן הכניסה לאולם. כשנכנס הסבא, ניגש לקצה השולחן הקרוב לכניסה ונשען עליו. מסתבר שר׳ </w:t>
      </w:r>
      <w:proofErr w:type="spellStart"/>
      <w:r>
        <w:rPr>
          <w:rtl/>
        </w:rPr>
        <w:t>חצקל</w:t>
      </w:r>
      <w:proofErr w:type="spellEnd"/>
      <w:r>
        <w:rPr>
          <w:rtl/>
        </w:rPr>
        <w:t xml:space="preserve"> שאל מי הוא, ומשנאמר לו, ניגש אל הסבא ואמר: ‘שלום עליך רבי ומורי’, והסביר לנאספים: ‘זהו רבי לתנ״ך׳. ר׳ </w:t>
      </w:r>
      <w:proofErr w:type="spellStart"/>
      <w:r>
        <w:rPr>
          <w:rtl/>
        </w:rPr>
        <w:t>חצקל</w:t>
      </w:r>
      <w:proofErr w:type="spellEnd"/>
      <w:r>
        <w:rPr>
          <w:rtl/>
        </w:rPr>
        <w:t xml:space="preserve"> למד אצל ר׳ </w:t>
      </w:r>
      <w:proofErr w:type="spellStart"/>
      <w:r>
        <w:rPr>
          <w:rtl/>
        </w:rPr>
        <w:t>שמחה־זיסל</w:t>
      </w:r>
      <w:proofErr w:type="spellEnd"/>
      <w:r>
        <w:rPr>
          <w:rtl/>
        </w:rPr>
        <w:t xml:space="preserve"> זיו </w:t>
      </w:r>
      <w:proofErr w:type="spellStart"/>
      <w:r>
        <w:rPr>
          <w:rtl/>
        </w:rPr>
        <w:t>בגרובין</w:t>
      </w:r>
      <w:bookmarkStart w:id="4960" w:name="_fnr3652"/>
      <w:proofErr w:type="spellEnd"/>
      <w:r>
        <w:rPr>
          <w:vertAlign w:val="superscript"/>
          <w:rtl/>
        </w:rPr>
        <w:footnoteReference w:id="3660" w:customMarkFollows="0"/>
      </w:r>
      <w:bookmarkEnd w:id="4960"/>
      <w:r>
        <w:rPr>
          <w:rtl/>
        </w:rPr>
        <w:t xml:space="preserve">, שבה לימד הסבא תנ״ך שלושה עשורים קודם לכן. אחר כך הוליך ר׳ </w:t>
      </w:r>
      <w:proofErr w:type="spellStart"/>
      <w:r>
        <w:rPr>
          <w:rtl/>
        </w:rPr>
        <w:t>חצקל</w:t>
      </w:r>
      <w:proofErr w:type="spellEnd"/>
      <w:r>
        <w:rPr>
          <w:rtl/>
        </w:rPr>
        <w:t xml:space="preserve"> את הסבא לראש השולחן. מעשה זה נתפרש כביטוי להתנגדות הסבא: הוא לא ניגש לברך את ר׳ </w:t>
      </w:r>
      <w:proofErr w:type="spellStart"/>
      <w:r>
        <w:rPr>
          <w:rtl/>
        </w:rPr>
        <w:t>חצקל</w:t>
      </w:r>
      <w:proofErr w:type="spellEnd"/>
      <w:r>
        <w:rPr>
          <w:rtl/>
        </w:rPr>
        <w:t xml:space="preserve">, מועמד שכבר נתקבל לרבנות העיר הגדולה שבה שכנה ישיבתו, אלא המתין שר׳ </w:t>
      </w:r>
      <w:proofErr w:type="spellStart"/>
      <w:r>
        <w:rPr>
          <w:rtl/>
        </w:rPr>
        <w:t>חצקל</w:t>
      </w:r>
      <w:proofErr w:type="spellEnd"/>
      <w:r>
        <w:rPr>
          <w:rtl/>
        </w:rPr>
        <w:t xml:space="preserve"> יבוא אליו – זה היה האות למורת רוחו. אולם הסבא אמר לי כך: ‘אז אמרו דברים שונים, אבל אספר לך מה היה באמת. כשנכנסתי וראיתי קהל גדול כל כך, כמעט התעלפתי מחמת </w:t>
      </w:r>
      <w:proofErr w:type="spellStart"/>
      <w:r>
        <w:rPr>
          <w:rtl/>
        </w:rPr>
        <w:t>אימתא</w:t>
      </w:r>
      <w:proofErr w:type="spellEnd"/>
      <w:r>
        <w:rPr>
          <w:rtl/>
        </w:rPr>
        <w:t xml:space="preserve"> </w:t>
      </w:r>
      <w:proofErr w:type="spellStart"/>
      <w:r>
        <w:rPr>
          <w:rtl/>
        </w:rPr>
        <w:t>דציבורא</w:t>
      </w:r>
      <w:proofErr w:type="spellEnd"/>
      <w:r>
        <w:rPr>
          <w:rtl/>
        </w:rPr>
        <w:t xml:space="preserve">, ולכן </w:t>
      </w:r>
      <w:r>
        <w:rPr>
          <w:rtl/>
        </w:rPr>
        <w:lastRenderedPageBreak/>
        <w:t>ניגשתי אל קצה השולחן הקרוב ונשענתי עליו. הם חידשו “דרשות” על הטעם לכך שנשענתי’ – הפירוש המוטעה נודע לסבא כשכבר היה מאוחר מכדי להעמיד את הדברים על אמיתם – ‘אבל האמן לי: כשאני מוסר שיחה לתלמידים, אילו הייתי מסתכל בקהל הייתי מתעלף. אינני יודע שיש קהל סביבי; אני מסתכל בידיי ואינני רואה יותר’”. השווה גם כץ, “תנועת המוסר”, כרך ג</w:t>
      </w:r>
      <w:bookmarkStart w:id="4961" w:name="_fnr3653"/>
      <w:r>
        <w:rPr>
          <w:vertAlign w:val="superscript"/>
          <w:rtl/>
        </w:rPr>
        <w:footnoteReference w:id="3661" w:customMarkFollows="0"/>
      </w:r>
      <w:bookmarkEnd w:id="4961"/>
      <w:r>
        <w:rPr>
          <w:rtl/>
        </w:rPr>
        <w:t>, המגלה שהסבא מעולם לא דיבר באירועים ציבוריים, אבל מייחס זאת לענווה ולא לאימת הציבור.</w:t>
      </w:r>
    </w:p>
    <w:p w14:paraId="01BC127F" w14:textId="77777777" w:rsidR="00AB3647" w:rsidRDefault="00000000" w:rsidP="007923E9">
      <w:pPr>
        <w:pStyle w:val="4"/>
        <w:spacing w:line="276" w:lineRule="auto"/>
      </w:pPr>
      <w:r>
        <w:t>· הפסקה השלישית ·</w:t>
      </w:r>
    </w:p>
    <w:p w14:paraId="271E3940" w14:textId="77777777" w:rsidR="00AB3647" w:rsidRDefault="00000000" w:rsidP="007923E9">
      <w:pPr>
        <w:pStyle w:val="5"/>
        <w:spacing w:line="276" w:lineRule="auto"/>
      </w:pPr>
      <w:r>
        <w:rPr>
          <w:bCs/>
          <w:szCs w:val="26"/>
        </w:rPr>
        <w:t>תמיהת רבנו על אימת הציבור של הסבא</w:t>
      </w:r>
    </w:p>
    <w:p w14:paraId="4D871F0C" w14:textId="77777777" w:rsidR="00AB3647" w:rsidRDefault="00000000" w:rsidP="007923E9">
      <w:pPr>
        <w:pStyle w:val="5"/>
        <w:spacing w:after="160" w:line="276" w:lineRule="auto"/>
      </w:pPr>
      <w:r>
        <w:rPr>
          <w:b/>
          <w:bCs/>
          <w:sz w:val="26"/>
          <w:szCs w:val="26"/>
        </w:rPr>
        <w:t>גדולי תורה נוספים שסבלו ממנה</w:t>
      </w:r>
    </w:p>
    <w:p w14:paraId="53BEF530" w14:textId="77777777" w:rsidR="00AB3647" w:rsidRDefault="00000000" w:rsidP="007923E9">
      <w:pPr>
        <w:spacing w:after="120" w:line="276" w:lineRule="auto"/>
        <w:ind w:firstLine="283"/>
        <w:jc w:val="both"/>
      </w:pPr>
      <w:r>
        <w:rPr>
          <w:rtl/>
        </w:rPr>
        <w:t xml:space="preserve">רבנו תמה מאוד על הסתירה </w:t>
      </w:r>
      <w:proofErr w:type="spellStart"/>
      <w:r>
        <w:rPr>
          <w:rtl/>
        </w:rPr>
        <w:t>שבאימתא</w:t>
      </w:r>
      <w:proofErr w:type="spellEnd"/>
      <w:r>
        <w:rPr>
          <w:rtl/>
        </w:rPr>
        <w:t xml:space="preserve"> </w:t>
      </w:r>
      <w:proofErr w:type="spellStart"/>
      <w:r>
        <w:rPr>
          <w:rtl/>
        </w:rPr>
        <w:t>דציבורא</w:t>
      </w:r>
      <w:proofErr w:type="spellEnd"/>
      <w:r>
        <w:rPr>
          <w:rtl/>
        </w:rPr>
        <w:t xml:space="preserve"> של הסבא, וקרא: “הוא אינו רואה את ד׳ אמותיו, אלא רק את ידיו. זה הטעם להרגלו המוזר: הוא מדבר אל ידיו ואינו רואה אנשים! האיש ניהל מה שקוראים (רופט </w:t>
      </w:r>
      <w:proofErr w:type="spellStart"/>
      <w:r>
        <w:rPr>
          <w:rtl/>
        </w:rPr>
        <w:t>זיך</w:t>
      </w:r>
      <w:proofErr w:type="spellEnd"/>
      <w:r>
        <w:rPr>
          <w:rtl/>
        </w:rPr>
        <w:t xml:space="preserve"> </w:t>
      </w:r>
      <w:proofErr w:type="spellStart"/>
      <w:r>
        <w:rPr>
          <w:rtl/>
        </w:rPr>
        <w:t>דאס</w:t>
      </w:r>
      <w:proofErr w:type="spellEnd"/>
      <w:r>
        <w:rPr>
          <w:rtl/>
        </w:rPr>
        <w:t>) מלחמה נגד העולם; זה לא היה דבר פשוט כלל...</w:t>
      </w:r>
      <w:bookmarkStart w:id="4962" w:name="_fnr3654"/>
      <w:r>
        <w:rPr>
          <w:vertAlign w:val="superscript"/>
          <w:rtl/>
        </w:rPr>
        <w:footnoteReference w:id="3662" w:customMarkFollows="0"/>
      </w:r>
      <w:bookmarkEnd w:id="4962"/>
      <w:r>
        <w:rPr>
          <w:rtl/>
        </w:rPr>
        <w:t xml:space="preserve"> אדם בעל תקיפות הדעת כזאת סבל </w:t>
      </w:r>
      <w:proofErr w:type="spellStart"/>
      <w:r>
        <w:rPr>
          <w:rtl/>
        </w:rPr>
        <w:t>מאימתא</w:t>
      </w:r>
      <w:proofErr w:type="spellEnd"/>
      <w:r>
        <w:rPr>
          <w:rtl/>
        </w:rPr>
        <w:t xml:space="preserve"> </w:t>
      </w:r>
      <w:proofErr w:type="spellStart"/>
      <w:r>
        <w:rPr>
          <w:rtl/>
        </w:rPr>
        <w:t>דציבורא</w:t>
      </w:r>
      <w:proofErr w:type="spellEnd"/>
      <w:r>
        <w:rPr>
          <w:rtl/>
        </w:rPr>
        <w:t xml:space="preserve"> כשעמדו סביבו כמה מאות בחורים – לא כולם ‘דובים’ [אנשים שיש לחשוש מפניהם]; היו ביניהם </w:t>
      </w:r>
      <w:proofErr w:type="spellStart"/>
      <w:r>
        <w:rPr>
          <w:rtl/>
        </w:rPr>
        <w:t>בחורים׳לאך</w:t>
      </w:r>
      <w:proofErr w:type="spellEnd"/>
      <w:r>
        <w:rPr>
          <w:rtl/>
        </w:rPr>
        <w:t xml:space="preserve">, </w:t>
      </w:r>
      <w:proofErr w:type="spellStart"/>
      <w:r>
        <w:rPr>
          <w:rtl/>
        </w:rPr>
        <w:t>יונגע</w:t>
      </w:r>
      <w:proofErr w:type="spellEnd"/>
      <w:r>
        <w:rPr>
          <w:rtl/>
        </w:rPr>
        <w:t xml:space="preserve"> </w:t>
      </w:r>
      <w:proofErr w:type="spellStart"/>
      <w:r>
        <w:rPr>
          <w:rtl/>
        </w:rPr>
        <w:t>אינגלאך</w:t>
      </w:r>
      <w:proofErr w:type="spellEnd"/>
      <w:r>
        <w:rPr>
          <w:rtl/>
        </w:rPr>
        <w:t xml:space="preserve"> [בחורים צעירים, ילדים צעירים] רבים – והייתה לו </w:t>
      </w:r>
      <w:proofErr w:type="spellStart"/>
      <w:r>
        <w:rPr>
          <w:rtl/>
        </w:rPr>
        <w:t>אימתא</w:t>
      </w:r>
      <w:proofErr w:type="spellEnd"/>
      <w:r>
        <w:rPr>
          <w:rtl/>
        </w:rPr>
        <w:t xml:space="preserve"> </w:t>
      </w:r>
      <w:proofErr w:type="spellStart"/>
      <w:r>
        <w:rPr>
          <w:rtl/>
        </w:rPr>
        <w:t>דציבורא</w:t>
      </w:r>
      <w:proofErr w:type="spellEnd"/>
      <w:r>
        <w:rPr>
          <w:rtl/>
        </w:rPr>
        <w:t>! הוא ראה [</w:t>
      </w:r>
      <w:proofErr w:type="spellStart"/>
      <w:r>
        <w:rPr>
          <w:rtl/>
        </w:rPr>
        <w:t>דערזעהן</w:t>
      </w:r>
      <w:proofErr w:type="spellEnd"/>
      <w:r>
        <w:rPr>
          <w:rtl/>
        </w:rPr>
        <w:t>] שולחן מלא אנשים, וכדבריו כמעט התמוטט ונאלץ להיאחז בשולחן!”</w:t>
      </w:r>
    </w:p>
    <w:p w14:paraId="5FD10681" w14:textId="50C7DE0D" w:rsidR="00AB3647" w:rsidRDefault="00000000" w:rsidP="007923E9">
      <w:pPr>
        <w:spacing w:after="120" w:line="276" w:lineRule="auto"/>
        <w:ind w:firstLine="283"/>
        <w:jc w:val="both"/>
      </w:pPr>
      <w:r>
        <w:rPr>
          <w:rtl/>
        </w:rPr>
        <w:t xml:space="preserve">התמיהה גדלה אם נקבל את הדיווח שבהערה </w:t>
      </w:r>
      <w:r>
        <w:rPr>
          <w:rtl/>
        </w:rPr>
        <w:fldChar w:fldCharType="begin" w:dirty="true"/>
      </w:r>
      <w:r>
        <w:rPr>
          <w:rtl/>
        </w:rPr>
        <w:instrText xml:space="preserve"> REF b4_note18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18</w:t>
      </w:r>
      <w:r>
        <w:rPr>
          <w:rtl/>
        </w:rPr>
        <w:fldChar w:fldCharType="end"/>
      </w:r>
      <w:r>
        <w:rPr>
          <w:rtl/>
        </w:rPr>
        <w:t xml:space="preserve"> לעיל, שהסבא היה נבהל ומשפיל מבטו אל ציפורניו אפילו בשיחה עם יחידים שאינם מוכרים לו – ואבי לא סיפר שתלמידי ר׳ </w:t>
      </w:r>
      <w:proofErr w:type="spellStart"/>
      <w:r>
        <w:rPr>
          <w:rtl/>
        </w:rPr>
        <w:t>נתן־צבי</w:t>
      </w:r>
      <w:proofErr w:type="spellEnd"/>
      <w:r>
        <w:rPr>
          <w:rtl/>
        </w:rPr>
        <w:t xml:space="preserve"> חיקו את ההנהגה הזאת. השווה גם פרק 3, תחילת </w:t>
      </w:r>
      <w:r>
        <w:rPr>
          <w:rtl/>
        </w:rPr>
        <w:fldChar w:fldCharType="begin" w:dirty="true"/>
      </w:r>
      <w:r>
        <w:rPr>
          <w:rtl/>
        </w:rPr>
        <w:instrText xml:space="preserve"> REF b3_excE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0F37B6C" w14:textId="77777777" w:rsidR="00AB3647" w:rsidRDefault="00000000" w:rsidP="007923E9">
      <w:pPr>
        <w:spacing w:after="120" w:line="276" w:lineRule="auto"/>
        <w:ind w:firstLine="283"/>
        <w:jc w:val="both"/>
      </w:pPr>
      <w:r>
        <w:rPr>
          <w:rtl/>
        </w:rPr>
        <w:t xml:space="preserve">נראה שאימת הציבור הייתה תכונה משפחתית: ר׳ שלמה פישר, תלמיד קרוב לבנו של הסבא, ר׳ </w:t>
      </w:r>
      <w:proofErr w:type="spellStart"/>
      <w:r>
        <w:rPr>
          <w:rtl/>
        </w:rPr>
        <w:t>לייזר־יודל</w:t>
      </w:r>
      <w:proofErr w:type="spellEnd"/>
      <w:r>
        <w:rPr>
          <w:rtl/>
        </w:rPr>
        <w:t xml:space="preserve">, בישיבת </w:t>
      </w:r>
      <w:proofErr w:type="spellStart"/>
      <w:r>
        <w:rPr>
          <w:rtl/>
        </w:rPr>
        <w:t>מיר</w:t>
      </w:r>
      <w:proofErr w:type="spellEnd"/>
      <w:r>
        <w:rPr>
          <w:rtl/>
        </w:rPr>
        <w:t xml:space="preserve"> בירושלים, סיפר</w:t>
      </w:r>
      <w:bookmarkStart w:id="4963" w:name="_fnr3655"/>
      <w:r>
        <w:rPr>
          <w:vertAlign w:val="superscript"/>
          <w:rtl/>
        </w:rPr>
        <w:footnoteReference w:id="3663" w:customMarkFollows="0"/>
      </w:r>
      <w:bookmarkEnd w:id="4963"/>
      <w:r>
        <w:rPr>
          <w:rtl/>
        </w:rPr>
        <w:t xml:space="preserve"> שרבו היה מוסר את שיעורו בעיניים עצומות מחמת אימת הציבור. השווה גם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4964" w:name="_fnr3656"/>
      <w:proofErr w:type="spellEnd"/>
      <w:r>
        <w:rPr>
          <w:vertAlign w:val="superscript"/>
          <w:rtl/>
        </w:rPr>
        <w:footnoteReference w:id="3664" w:customMarkFollows="0"/>
      </w:r>
      <w:bookmarkEnd w:id="4964"/>
      <w:r>
        <w:rPr>
          <w:rtl/>
        </w:rPr>
        <w:t xml:space="preserve">: המחבר מספר ששאל את ר׳ </w:t>
      </w:r>
      <w:proofErr w:type="spellStart"/>
      <w:r>
        <w:rPr>
          <w:rtl/>
        </w:rPr>
        <w:t>לייזר־יודל</w:t>
      </w:r>
      <w:proofErr w:type="spellEnd"/>
      <w:r>
        <w:rPr>
          <w:rtl/>
        </w:rPr>
        <w:t>, כשהיה ראש ישיבה באירופה – שלושים שנה לפני שלמד אצלו הרב פישר – מדוע הוא עוצם עיניים בשיעורו, הנמסר פעמיים בשבוע. “הוא השיב בפשטות: ‘מפני שאני מתבייש להסתכל בפני הציבור’”.</w:t>
      </w:r>
    </w:p>
    <w:p w14:paraId="47D2C20A" w14:textId="1E9E82F9" w:rsidR="00AB3647" w:rsidRDefault="00000000" w:rsidP="007923E9">
      <w:pPr>
        <w:spacing w:after="120" w:line="276" w:lineRule="auto"/>
        <w:ind w:firstLine="283"/>
        <w:jc w:val="both"/>
      </w:pPr>
      <w:r>
        <w:rPr>
          <w:rtl/>
        </w:rPr>
        <w:t xml:space="preserve">מפתיע ביותר הגילוי </w:t>
      </w:r>
      <w:proofErr w:type="spellStart"/>
      <w:r>
        <w:rPr>
          <w:rtl/>
        </w:rPr>
        <w:t>ב“שמושה</w:t>
      </w:r>
      <w:proofErr w:type="spellEnd"/>
      <w:r>
        <w:rPr>
          <w:rtl/>
        </w:rPr>
        <w:t xml:space="preserve"> של תורה”</w:t>
      </w:r>
      <w:bookmarkStart w:id="4965" w:name="_fnr3657"/>
      <w:r>
        <w:rPr>
          <w:vertAlign w:val="superscript"/>
          <w:rtl/>
        </w:rPr>
        <w:footnoteReference w:id="3665" w:customMarkFollows="0"/>
      </w:r>
      <w:bookmarkEnd w:id="4965"/>
      <w:r>
        <w:rPr>
          <w:rtl/>
        </w:rPr>
        <w:t xml:space="preserve">, שר׳ </w:t>
      </w:r>
      <w:proofErr w:type="spellStart"/>
      <w:r>
        <w:rPr>
          <w:rtl/>
        </w:rPr>
        <w:t>צבי־הירש</w:t>
      </w:r>
      <w:proofErr w:type="spellEnd"/>
      <w:r>
        <w:rPr>
          <w:rtl/>
        </w:rPr>
        <w:t xml:space="preserve"> </w:t>
      </w:r>
      <w:proofErr w:type="spellStart"/>
      <w:r>
        <w:rPr>
          <w:rtl/>
        </w:rPr>
        <w:t>רבינוביץ</w:t>
      </w:r>
      <w:bookmarkStart w:id="4966" w:name="_fnr3658"/>
      <w:proofErr w:type="spellEnd"/>
      <w:r>
        <w:rPr>
          <w:vertAlign w:val="superscript"/>
          <w:rtl/>
        </w:rPr>
        <w:footnoteReference w:id="3666" w:customMarkFollows="0"/>
      </w:r>
      <w:bookmarkEnd w:id="4966"/>
      <w:r>
        <w:rPr>
          <w:rtl/>
        </w:rPr>
        <w:t xml:space="preserve"> סבל מאימת הציבור במידה גדולה מאוד. כפי שסיפר בעצמו, בזקנותו גבר הדבר עד שהיה “מפחד </w:t>
      </w:r>
      <w:r>
        <w:rPr>
          <w:rtl/>
        </w:rPr>
        <w:lastRenderedPageBreak/>
        <w:t xml:space="preserve">שיקראוהו לעלות לתורה”. השווה גם 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שגם ר׳ חיים </w:t>
      </w:r>
      <w:proofErr w:type="spellStart"/>
      <w:r>
        <w:rPr>
          <w:rtl/>
        </w:rPr>
        <w:t>סולובייצ׳יק</w:t>
      </w:r>
      <w:proofErr w:type="spellEnd"/>
      <w:r>
        <w:rPr>
          <w:rtl/>
        </w:rPr>
        <w:t xml:space="preserve"> סבל </w:t>
      </w:r>
      <w:proofErr w:type="spellStart"/>
      <w:r>
        <w:rPr>
          <w:rtl/>
        </w:rPr>
        <w:t>מאימתא</w:t>
      </w:r>
      <w:proofErr w:type="spellEnd"/>
      <w:r>
        <w:rPr>
          <w:rtl/>
        </w:rPr>
        <w:t xml:space="preserve"> </w:t>
      </w:r>
      <w:proofErr w:type="spellStart"/>
      <w:r>
        <w:rPr>
          <w:rtl/>
        </w:rPr>
        <w:t>דציבורא</w:t>
      </w:r>
      <w:proofErr w:type="spellEnd"/>
      <w:r>
        <w:rPr>
          <w:rtl/>
        </w:rPr>
        <w:t>.</w:t>
      </w:r>
    </w:p>
    <w:p w14:paraId="7B6AD15F" w14:textId="77777777" w:rsidR="00AB3647" w:rsidRDefault="00000000" w:rsidP="007923E9">
      <w:pPr>
        <w:pStyle w:val="4"/>
        <w:spacing w:line="276" w:lineRule="auto"/>
      </w:pPr>
      <w:r>
        <w:t>· הפסקה הרביעית ·</w:t>
      </w:r>
    </w:p>
    <w:p w14:paraId="4BEF1E40" w14:textId="77777777" w:rsidR="00AB3647" w:rsidRDefault="00000000" w:rsidP="007923E9">
      <w:pPr>
        <w:pStyle w:val="5"/>
        <w:spacing w:line="276" w:lineRule="auto"/>
      </w:pPr>
      <w:r>
        <w:rPr>
          <w:bCs/>
          <w:szCs w:val="26"/>
        </w:rPr>
        <w:t xml:space="preserve">ר׳ יעקב הלוי ליפשיץ מחליט למנוע את שובו של ר׳ </w:t>
      </w:r>
      <w:proofErr w:type="spellStart"/>
      <w:r>
        <w:rPr>
          <w:bCs/>
          <w:szCs w:val="26"/>
        </w:rPr>
        <w:t>חצקל</w:t>
      </w:r>
      <w:proofErr w:type="spellEnd"/>
      <w:r>
        <w:rPr>
          <w:bCs/>
          <w:szCs w:val="26"/>
        </w:rPr>
        <w:t xml:space="preserve"> </w:t>
      </w:r>
      <w:proofErr w:type="spellStart"/>
      <w:r>
        <w:rPr>
          <w:bCs/>
          <w:szCs w:val="26"/>
        </w:rPr>
        <w:t>ליבשיץ</w:t>
      </w:r>
      <w:proofErr w:type="spellEnd"/>
      <w:r>
        <w:rPr>
          <w:bCs/>
          <w:szCs w:val="26"/>
        </w:rPr>
        <w:t xml:space="preserve"> לקובנה</w:t>
      </w:r>
    </w:p>
    <w:p w14:paraId="2F685717" w14:textId="77777777" w:rsidR="00AB3647" w:rsidRDefault="00000000" w:rsidP="007923E9">
      <w:pPr>
        <w:pStyle w:val="5"/>
        <w:spacing w:after="160" w:line="276" w:lineRule="auto"/>
      </w:pPr>
      <w:r>
        <w:rPr>
          <w:b/>
          <w:bCs/>
          <w:sz w:val="26"/>
          <w:szCs w:val="26"/>
        </w:rPr>
        <w:t xml:space="preserve">התנגדות ר׳ </w:t>
      </w:r>
      <w:proofErr w:type="spellStart"/>
      <w:r>
        <w:rPr>
          <w:b/>
          <w:bCs/>
          <w:sz w:val="26"/>
          <w:szCs w:val="26"/>
        </w:rPr>
        <w:t>אליהו־חיים</w:t>
      </w:r>
      <w:proofErr w:type="spellEnd"/>
      <w:r>
        <w:rPr>
          <w:b/>
          <w:bCs/>
          <w:sz w:val="26"/>
          <w:szCs w:val="26"/>
        </w:rPr>
        <w:t xml:space="preserve"> </w:t>
      </w:r>
      <w:proofErr w:type="spellStart"/>
      <w:r>
        <w:rPr>
          <w:b/>
          <w:bCs/>
          <w:sz w:val="26"/>
          <w:szCs w:val="26"/>
        </w:rPr>
        <w:t>מייזל</w:t>
      </w:r>
      <w:proofErr w:type="spellEnd"/>
      <w:r>
        <w:rPr>
          <w:b/>
          <w:bCs/>
          <w:sz w:val="26"/>
          <w:szCs w:val="26"/>
        </w:rPr>
        <w:t xml:space="preserve"> למינוי ר׳ חיים </w:t>
      </w:r>
      <w:proofErr w:type="spellStart"/>
      <w:r>
        <w:rPr>
          <w:b/>
          <w:bCs/>
          <w:sz w:val="26"/>
          <w:szCs w:val="26"/>
        </w:rPr>
        <w:t xml:space="preserve">הלר</w:t>
      </w:r>
      <w:proofErr w:type="spellEnd"/>
      <w:r>
        <w:rPr>
          <w:b/>
          <w:bCs/>
          <w:sz w:val="26"/>
          <w:szCs w:val="26"/>
        </w:rPr>
        <w:t xml:space="preserve"> </w:t>
      </w:r>
      <w:proofErr w:type="spellStart"/>
      <w:r>
        <w:rPr>
          <w:b/>
          <w:bCs/>
          <w:sz w:val="26"/>
          <w:szCs w:val="26"/>
        </w:rPr>
        <w:t>בלומז׳ה</w:t>
      </w:r>
      <w:proofErr w:type="spellEnd"/>
    </w:p>
    <w:p w14:paraId="50E1DF07" w14:textId="77777777" w:rsidR="00AB3647" w:rsidRDefault="00000000" w:rsidP="007923E9">
      <w:pPr>
        <w:pStyle w:val="5"/>
        <w:spacing w:after="160" w:line="276" w:lineRule="auto"/>
      </w:pPr>
      <w:r>
        <w:rPr>
          <w:b/>
          <w:bCs/>
          <w:sz w:val="26"/>
          <w:szCs w:val="26"/>
        </w:rPr>
        <w:t xml:space="preserve">ר׳ </w:t>
      </w:r>
      <w:proofErr w:type="spellStart"/>
      <w:r>
        <w:rPr>
          <w:b/>
          <w:bCs/>
          <w:sz w:val="26"/>
          <w:szCs w:val="26"/>
        </w:rPr>
        <w:t>חצקל</w:t>
      </w:r>
      <w:proofErr w:type="spellEnd"/>
      <w:r>
        <w:rPr>
          <w:b/>
          <w:bCs/>
          <w:sz w:val="26"/>
          <w:szCs w:val="26"/>
        </w:rPr>
        <w:t xml:space="preserve"> </w:t>
      </w:r>
      <w:proofErr w:type="spellStart"/>
      <w:r>
        <w:rPr>
          <w:b/>
          <w:bCs/>
          <w:sz w:val="26"/>
          <w:szCs w:val="26"/>
        </w:rPr>
        <w:t>ליבשיץ</w:t>
      </w:r>
      <w:proofErr w:type="spellEnd"/>
      <w:r>
        <w:rPr>
          <w:b/>
          <w:bCs/>
          <w:sz w:val="26"/>
          <w:szCs w:val="26"/>
        </w:rPr>
        <w:t xml:space="preserve"> אינו מוזמן לסדר קידושין בחתונת ר׳ משה </w:t>
      </w:r>
      <w:proofErr w:type="spellStart"/>
      <w:r>
        <w:rPr>
          <w:b/>
          <w:bCs/>
          <w:sz w:val="26"/>
          <w:szCs w:val="26"/>
        </w:rPr>
        <w:t>פינקל</w:t>
      </w:r>
      <w:proofErr w:type="spellEnd"/>
    </w:p>
    <w:p w14:paraId="0435E8F0" w14:textId="77777777" w:rsidR="00AB3647" w:rsidRDefault="00000000" w:rsidP="007923E9">
      <w:pPr>
        <w:spacing w:after="120" w:line="276" w:lineRule="auto"/>
        <w:ind w:firstLine="283"/>
        <w:jc w:val="both"/>
      </w:pPr>
      <w:r>
        <w:rPr>
          <w:rtl/>
        </w:rPr>
        <w:t>ר׳ יעקב ליפשיץ סיפר</w:t>
      </w:r>
      <w:bookmarkStart w:id="4967" w:name="_fnr3659"/>
      <w:r>
        <w:rPr>
          <w:vertAlign w:val="superscript"/>
          <w:rtl/>
        </w:rPr>
        <w:footnoteReference w:id="3667" w:customMarkFollows="0"/>
      </w:r>
      <w:bookmarkEnd w:id="4967"/>
      <w:r>
        <w:rPr>
          <w:rtl/>
        </w:rPr>
        <w:t xml:space="preserve"> שסבו, שנקרא אף הוא ר׳ יעקב הלוי ליפשיץ, ליווה עם משלחת מראשי העיר את ר׳ </w:t>
      </w:r>
      <w:proofErr w:type="spellStart"/>
      <w:r>
        <w:rPr>
          <w:rtl/>
        </w:rPr>
        <w:t>חצקל</w:t>
      </w:r>
      <w:proofErr w:type="spellEnd"/>
      <w:r>
        <w:rPr>
          <w:rtl/>
        </w:rPr>
        <w:t xml:space="preserve"> לתחנת הרכבת בקובנה, ולאחר מכן הכריז בתוקף שרבה של </w:t>
      </w:r>
      <w:proofErr w:type="spellStart"/>
      <w:r>
        <w:rPr>
          <w:rtl/>
        </w:rPr>
        <w:t>קאליש</w:t>
      </w:r>
      <w:proofErr w:type="spellEnd"/>
      <w:r>
        <w:rPr>
          <w:rtl/>
        </w:rPr>
        <w:t xml:space="preserve"> לא יתמנה בעירם. כשיצאה הרכבת מן התחנה הרים ר׳ </w:t>
      </w:r>
      <w:proofErr w:type="spellStart"/>
      <w:r>
        <w:rPr>
          <w:rtl/>
        </w:rPr>
        <w:t>חצקל</w:t>
      </w:r>
      <w:proofErr w:type="spellEnd"/>
      <w:r>
        <w:rPr>
          <w:rtl/>
        </w:rPr>
        <w:t xml:space="preserve"> </w:t>
      </w:r>
      <w:proofErr w:type="spellStart"/>
      <w:r>
        <w:rPr>
          <w:rtl/>
        </w:rPr>
        <w:t>ליבשיץ</w:t>
      </w:r>
      <w:proofErr w:type="spellEnd"/>
      <w:r>
        <w:rPr>
          <w:rtl/>
        </w:rPr>
        <w:t xml:space="preserve"> את כובעו כדי לברך את בעלי הבתים שליוו אותו – מחווה </w:t>
      </w:r>
      <w:proofErr w:type="spellStart"/>
      <w:r>
        <w:rPr>
          <w:rtl/>
        </w:rPr>
        <w:t>מערב־אירופית</w:t>
      </w:r>
      <w:proofErr w:type="spellEnd"/>
      <w:r>
        <w:rPr>
          <w:rtl/>
        </w:rPr>
        <w:t>, שעוררה חשד שהוא נוטה להשכלה.</w:t>
      </w:r>
    </w:p>
    <w:p w14:paraId="2335E70D" w14:textId="77777777" w:rsidR="00AB3647" w:rsidRDefault="00000000" w:rsidP="007923E9">
      <w:pPr>
        <w:spacing w:after="120" w:line="276" w:lineRule="auto"/>
        <w:ind w:firstLine="283"/>
        <w:jc w:val="both"/>
      </w:pPr>
      <w:r>
        <w:rPr>
          <w:rtl/>
        </w:rPr>
        <w:t>הביטוי “</w:t>
      </w:r>
      <w:proofErr w:type="spellStart"/>
      <w:r>
        <w:rPr>
          <w:rtl/>
        </w:rPr>
        <w:t>ה׳פוליטיקה</w:t>
      </w:r>
      <w:proofErr w:type="spellEnd"/>
      <w:r>
        <w:rPr>
          <w:rtl/>
        </w:rPr>
        <w:t xml:space="preserve"> העמוקה’ של אותם ימים”, שהובא מפי רבנו בפסקה השנייה לעיל, מכוון בוודאי למדיניותו של ר׳ יעקב הלוי ליפשיץ בקובנה. הוא היה הכוח המרכזי בניהול העיר מאז ימי ר׳ </w:t>
      </w:r>
      <w:proofErr w:type="spellStart"/>
      <w:r>
        <w:rPr>
          <w:rtl/>
        </w:rPr>
        <w:t>יצחק־אלחנן</w:t>
      </w:r>
      <w:proofErr w:type="spellEnd"/>
      <w:r>
        <w:rPr>
          <w:rtl/>
        </w:rPr>
        <w:t xml:space="preserve">, כמובא בפרק 3, הערות 36, 49 ו־54. אבל אפשר שאבי התכוון גם </w:t>
      </w:r>
      <w:proofErr w:type="spellStart"/>
      <w:r>
        <w:rPr>
          <w:rtl/>
        </w:rPr>
        <w:t>ל“פוליטיקה</w:t>
      </w:r>
      <w:proofErr w:type="spellEnd"/>
      <w:r>
        <w:rPr>
          <w:rtl/>
        </w:rPr>
        <w:t xml:space="preserve"> העמוקה” של אחרים: השווה “לפרקים”</w:t>
      </w:r>
      <w:bookmarkStart w:id="4968" w:name="_fnr3660"/>
      <w:r>
        <w:rPr>
          <w:vertAlign w:val="superscript"/>
          <w:rtl/>
        </w:rPr>
        <w:footnoteReference w:id="3668" w:customMarkFollows="0"/>
      </w:r>
      <w:bookmarkEnd w:id="4968"/>
      <w:r>
        <w:rPr>
          <w:rtl/>
        </w:rPr>
        <w:t xml:space="preserve">, ובו תיאור מאבקי הכוחות המיוחסים לגורמים שונים בקובנה, משנה לאחר פטירת ר׳ </w:t>
      </w:r>
      <w:proofErr w:type="spellStart"/>
      <w:r>
        <w:rPr>
          <w:rtl/>
        </w:rPr>
        <w:t>צבי־הירש</w:t>
      </w:r>
      <w:proofErr w:type="spellEnd"/>
      <w:r>
        <w:rPr>
          <w:rtl/>
        </w:rPr>
        <w:t xml:space="preserve"> </w:t>
      </w:r>
      <w:proofErr w:type="spellStart"/>
      <w:r>
        <w:rPr>
          <w:rtl/>
        </w:rPr>
        <w:t>רבינוביץ</w:t>
      </w:r>
      <w:proofErr w:type="spellEnd"/>
      <w:r>
        <w:rPr>
          <w:rtl/>
        </w:rPr>
        <w:t xml:space="preserve">, כשהחל החיפוש אחר רב, ועד מינוי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 תיאור שרב בו הנסתר על הגלוי.</w:t>
      </w:r>
    </w:p>
    <w:p w14:paraId="65EDA979" w14:textId="77777777" w:rsidR="00AB3647" w:rsidRDefault="00000000" w:rsidP="007923E9">
      <w:pPr>
        <w:spacing w:after="120" w:line="276" w:lineRule="auto"/>
        <w:ind w:firstLine="283"/>
        <w:jc w:val="both"/>
      </w:pPr>
      <w:r>
        <w:rPr>
          <w:rtl/>
        </w:rPr>
        <w:t xml:space="preserve">ר׳ יעקב ליפשיץ הוסיף שכאשר סיפר זאת לאבי, השיב אבי שלא המחווה לבדה פסלה את ר׳ </w:t>
      </w:r>
      <w:proofErr w:type="spellStart"/>
      <w:r>
        <w:rPr>
          <w:rtl/>
        </w:rPr>
        <w:t>חצקל</w:t>
      </w:r>
      <w:proofErr w:type="spellEnd"/>
      <w:r>
        <w:rPr>
          <w:rtl/>
        </w:rPr>
        <w:t xml:space="preserve"> </w:t>
      </w:r>
      <w:proofErr w:type="spellStart"/>
      <w:r>
        <w:rPr>
          <w:rtl/>
        </w:rPr>
        <w:t>ליבשיץ</w:t>
      </w:r>
      <w:proofErr w:type="spellEnd"/>
      <w:r>
        <w:rPr>
          <w:rtl/>
        </w:rPr>
        <w:t xml:space="preserve">, אלא גם העובדה שדיבר צרפתית שוטפת. רבנו זכר שר׳ יעקב הלוי ליפשיץ, מנכבדי קובנה, אמר </w:t>
      </w:r>
      <w:proofErr w:type="spellStart"/>
      <w:r>
        <w:rPr>
          <w:rtl/>
        </w:rPr>
        <w:t>ש“אינו</w:t>
      </w:r>
      <w:proofErr w:type="spellEnd"/>
      <w:r>
        <w:rPr>
          <w:rtl/>
        </w:rPr>
        <w:t xml:space="preserve"> רוצה שיאמרו שהעיר לקחה רב מפני שהוא יודע צרפתית”.</w:t>
      </w:r>
    </w:p>
    <w:p w14:paraId="698B794C" w14:textId="77777777" w:rsidR="00AB3647" w:rsidRDefault="00000000" w:rsidP="007923E9">
      <w:pPr>
        <w:spacing w:after="120" w:line="276" w:lineRule="auto"/>
        <w:ind w:firstLine="283"/>
        <w:jc w:val="both"/>
      </w:pPr>
      <w:r>
        <w:rPr>
          <w:rtl/>
        </w:rPr>
        <w:t xml:space="preserve">הדבר מזכיר הוראה שלא נשמעה, שהורה בפומבי ר׳ </w:t>
      </w:r>
      <w:proofErr w:type="spellStart"/>
      <w:r>
        <w:rPr>
          <w:rtl/>
        </w:rPr>
        <w:t>אליהו־חיים</w:t>
      </w:r>
      <w:proofErr w:type="spellEnd"/>
      <w:r>
        <w:rPr>
          <w:rtl/>
        </w:rPr>
        <w:t xml:space="preserve"> </w:t>
      </w:r>
      <w:proofErr w:type="spellStart"/>
      <w:r>
        <w:rPr>
          <w:rtl/>
        </w:rPr>
        <w:t>מייזל</w:t>
      </w:r>
      <w:proofErr w:type="spellEnd"/>
      <w:r>
        <w:rPr>
          <w:rtl/>
        </w:rPr>
        <w:t xml:space="preserve">, אז רבה של </w:t>
      </w:r>
      <w:proofErr w:type="spellStart"/>
      <w:r>
        <w:rPr>
          <w:rtl/>
        </w:rPr>
        <w:t>לודז</w:t>
      </w:r>
      <w:proofErr w:type="spellEnd"/>
      <w:r>
        <w:rPr>
          <w:rtl/>
        </w:rPr>
        <w:t xml:space="preserve">׳, </w:t>
      </w:r>
      <w:proofErr w:type="spellStart"/>
      <w:r>
        <w:rPr>
          <w:rtl/>
        </w:rPr>
        <w:t>בתר״ע</w:t>
      </w:r>
      <w:proofErr w:type="spellEnd"/>
      <w:r>
        <w:rPr>
          <w:rtl/>
        </w:rPr>
        <w:t xml:space="preserve"> – שלוש שנים קודם בוא ר׳ </w:t>
      </w:r>
      <w:proofErr w:type="spellStart"/>
      <w:r>
        <w:rPr>
          <w:rtl/>
        </w:rPr>
        <w:t>חצקל</w:t>
      </w:r>
      <w:proofErr w:type="spellEnd"/>
      <w:r>
        <w:rPr>
          <w:rtl/>
        </w:rPr>
        <w:t xml:space="preserve"> </w:t>
      </w:r>
      <w:proofErr w:type="spellStart"/>
      <w:r>
        <w:rPr>
          <w:rtl/>
        </w:rPr>
        <w:t>ליבשיץ</w:t>
      </w:r>
      <w:proofErr w:type="spellEnd"/>
      <w:r>
        <w:rPr>
          <w:rtl/>
        </w:rPr>
        <w:t xml:space="preserve"> לקובנה – בדבר מועמדותו של ר׳ חיים </w:t>
      </w:r>
      <w:proofErr w:type="spellStart"/>
      <w:r>
        <w:rPr>
          <w:rtl/>
        </w:rPr>
        <w:t xml:space="preserve">הלר</w:t>
      </w:r>
      <w:proofErr w:type="spellEnd"/>
      <w:r>
        <w:rPr>
          <w:rtl/>
        </w:rPr>
        <w:t xml:space="preserve"> לרבנות </w:t>
      </w:r>
      <w:proofErr w:type="spellStart"/>
      <w:r>
        <w:rPr>
          <w:rtl/>
        </w:rPr>
        <w:t>לומז׳ה</w:t>
      </w:r>
      <w:proofErr w:type="spellEnd"/>
      <w:r>
        <w:rPr>
          <w:rtl/>
        </w:rPr>
        <w:t xml:space="preserve">. הרב </w:t>
      </w:r>
      <w:proofErr w:type="spellStart"/>
      <w:r>
        <w:rPr>
          <w:rtl/>
        </w:rPr>
        <w:t>מייזל</w:t>
      </w:r>
      <w:proofErr w:type="spellEnd"/>
      <w:r>
        <w:rPr>
          <w:rtl/>
        </w:rPr>
        <w:t xml:space="preserve"> שימש שם רב עשר שנים, עד שעבר ללודז׳ </w:t>
      </w:r>
      <w:proofErr w:type="spellStart"/>
      <w:r>
        <w:rPr>
          <w:rtl/>
        </w:rPr>
        <w:t>בתרל״ז</w:t>
      </w:r>
      <w:proofErr w:type="spellEnd"/>
      <w:r>
        <w:rPr>
          <w:rtl/>
        </w:rPr>
        <w:t xml:space="preserve">, שלושים ושלוש שנים קודם לכן. הוא אמר שאף שהרב </w:t>
      </w:r>
      <w:proofErr w:type="spellStart"/>
      <w:r>
        <w:rPr>
          <w:rtl/>
        </w:rPr>
        <w:t xml:space="preserve">הלר</w:t>
      </w:r>
      <w:proofErr w:type="spellEnd"/>
      <w:r>
        <w:rPr>
          <w:rtl/>
        </w:rPr>
        <w:t xml:space="preserve"> תלמיד חכם מעולה, ועל פי ידיעותיו בתורה בלבד הוא המועמד הראשון במעלה, אין לעיר לקבלו, כדי שלא ייקבע תקדים שעיר מקבלת רב בעל תואר דוקטור</w:t>
      </w:r>
      <w:bookmarkStart w:id="4969" w:name="_fnr3661"/>
      <w:r>
        <w:rPr>
          <w:vertAlign w:val="superscript"/>
          <w:rtl/>
        </w:rPr>
        <w:footnoteReference w:id="3669" w:customMarkFollows="0"/>
      </w:r>
      <w:bookmarkEnd w:id="4969"/>
      <w:r>
        <w:rPr>
          <w:rtl/>
        </w:rPr>
        <w:t xml:space="preserve">. מאמר </w:t>
      </w:r>
      <w:proofErr w:type="spellStart"/>
      <w:r>
        <w:rPr>
          <w:rtl/>
        </w:rPr>
        <w:t>ב“ספר</w:t>
      </w:r>
      <w:proofErr w:type="spellEnd"/>
      <w:r>
        <w:rPr>
          <w:rtl/>
        </w:rPr>
        <w:t xml:space="preserve"> </w:t>
      </w:r>
      <w:proofErr w:type="spellStart"/>
      <w:r>
        <w:rPr>
          <w:rtl/>
        </w:rPr>
        <w:t>זכרון</w:t>
      </w:r>
      <w:proofErr w:type="spellEnd"/>
      <w:r>
        <w:rPr>
          <w:rtl/>
        </w:rPr>
        <w:t xml:space="preserve"> לקהילת </w:t>
      </w:r>
      <w:proofErr w:type="spellStart"/>
      <w:r>
        <w:rPr>
          <w:rtl/>
        </w:rPr>
        <w:t>לומזה</w:t>
      </w:r>
      <w:proofErr w:type="spellEnd"/>
      <w:r>
        <w:rPr>
          <w:rtl/>
        </w:rPr>
        <w:t>”</w:t>
      </w:r>
      <w:bookmarkStart w:id="4970" w:name="_fnr3662"/>
      <w:r>
        <w:rPr>
          <w:vertAlign w:val="superscript"/>
          <w:rtl/>
        </w:rPr>
        <w:footnoteReference w:id="3670" w:customMarkFollows="0"/>
      </w:r>
      <w:bookmarkEnd w:id="4970"/>
      <w:r>
        <w:rPr>
          <w:rtl/>
        </w:rPr>
        <w:t xml:space="preserve"> מביא, במגמתיות, רק את דברי השבח של ר׳ </w:t>
      </w:r>
      <w:proofErr w:type="spellStart"/>
      <w:r>
        <w:rPr>
          <w:rtl/>
        </w:rPr>
        <w:t>אליהו־חיים</w:t>
      </w:r>
      <w:proofErr w:type="spellEnd"/>
      <w:r>
        <w:rPr>
          <w:rtl/>
        </w:rPr>
        <w:t xml:space="preserve"> על המועמד: “הוא אמר: ‘הרב </w:t>
      </w:r>
      <w:proofErr w:type="spellStart"/>
      <w:r>
        <w:rPr>
          <w:rtl/>
        </w:rPr>
        <w:t xml:space="preserve">הלר</w:t>
      </w:r>
      <w:proofErr w:type="spellEnd"/>
      <w:r>
        <w:rPr>
          <w:rtl/>
        </w:rPr>
        <w:t xml:space="preserve"> מקיף את כל הש״ס בחזרה אחת’”, ואינו מביא את מסקנתו השלילית של הרב </w:t>
      </w:r>
      <w:proofErr w:type="spellStart"/>
      <w:r>
        <w:rPr>
          <w:rtl/>
        </w:rPr>
        <w:t>מייזל</w:t>
      </w:r>
      <w:proofErr w:type="spellEnd"/>
      <w:r>
        <w:rPr>
          <w:rtl/>
        </w:rPr>
        <w:t>.</w:t>
      </w:r>
    </w:p>
    <w:p w14:paraId="26B9397E" w14:textId="77777777" w:rsidR="00AB3647" w:rsidRDefault="00000000" w:rsidP="007923E9">
      <w:pPr>
        <w:spacing w:after="120" w:line="276" w:lineRule="auto"/>
        <w:ind w:firstLine="283"/>
        <w:jc w:val="both"/>
      </w:pPr>
      <w:r>
        <w:rPr>
          <w:rtl/>
        </w:rPr>
        <w:t xml:space="preserve">למרות זאת נבחר הרב </w:t>
      </w:r>
      <w:proofErr w:type="spellStart"/>
      <w:r>
        <w:rPr>
          <w:rtl/>
        </w:rPr>
        <w:t xml:space="preserve">הלר</w:t>
      </w:r>
      <w:proofErr w:type="spellEnd"/>
      <w:r>
        <w:rPr>
          <w:rtl/>
        </w:rPr>
        <w:t xml:space="preserve"> לרבה של </w:t>
      </w:r>
      <w:proofErr w:type="spellStart"/>
      <w:r>
        <w:rPr>
          <w:rtl/>
        </w:rPr>
        <w:t>לומז׳ה</w:t>
      </w:r>
      <w:proofErr w:type="spellEnd"/>
      <w:r>
        <w:rPr>
          <w:rtl/>
        </w:rPr>
        <w:t xml:space="preserve">, אבל שהה בה </w:t>
      </w:r>
      <w:proofErr w:type="spellStart"/>
      <w:r>
        <w:rPr>
          <w:rtl/>
        </w:rPr>
        <w:t>שנים־עשר</w:t>
      </w:r>
      <w:proofErr w:type="spellEnd"/>
      <w:r>
        <w:rPr>
          <w:rtl/>
        </w:rPr>
        <w:t xml:space="preserve"> שבועות בלבד. הוא אמר לאחד מראשי הקהילה שהוא מתפטר מפני שגילה שחותנו, ר׳ </w:t>
      </w:r>
      <w:proofErr w:type="spellStart"/>
      <w:r>
        <w:rPr>
          <w:rtl/>
        </w:rPr>
        <w:t>סנדר</w:t>
      </w:r>
      <w:proofErr w:type="spellEnd"/>
      <w:r>
        <w:rPr>
          <w:rtl/>
        </w:rPr>
        <w:t xml:space="preserve"> </w:t>
      </w:r>
      <w:proofErr w:type="spellStart"/>
      <w:r>
        <w:rPr>
          <w:rtl/>
        </w:rPr>
        <w:t>דישקין</w:t>
      </w:r>
      <w:proofErr w:type="spellEnd"/>
      <w:r>
        <w:rPr>
          <w:rtl/>
        </w:rPr>
        <w:t xml:space="preserve">, תעשיין </w:t>
      </w:r>
      <w:r>
        <w:rPr>
          <w:rtl/>
        </w:rPr>
        <w:lastRenderedPageBreak/>
        <w:t xml:space="preserve">עשיר מופלג בעירו של ר׳ </w:t>
      </w:r>
      <w:proofErr w:type="spellStart"/>
      <w:r>
        <w:rPr>
          <w:rtl/>
        </w:rPr>
        <w:t>אליהו־חיים</w:t>
      </w:r>
      <w:proofErr w:type="spellEnd"/>
      <w:r>
        <w:rPr>
          <w:rtl/>
        </w:rPr>
        <w:t xml:space="preserve">, </w:t>
      </w:r>
      <w:proofErr w:type="spellStart"/>
      <w:r>
        <w:rPr>
          <w:rtl/>
        </w:rPr>
        <w:t>לודז</w:t>
      </w:r>
      <w:proofErr w:type="spellEnd"/>
      <w:r>
        <w:rPr>
          <w:rtl/>
        </w:rPr>
        <w:t xml:space="preserve">׳, “קנה” בעבורו את הרבנות. אבל כעבור שנים רבות הגיעו ראשי העיר למסקנה שהטעם האמיתי לעזיבתו של ר׳ חיים </w:t>
      </w:r>
      <w:proofErr w:type="spellStart"/>
      <w:r>
        <w:rPr>
          <w:rtl/>
        </w:rPr>
        <w:t xml:space="preserve">הלר</w:t>
      </w:r>
      <w:proofErr w:type="spellEnd"/>
      <w:r>
        <w:rPr>
          <w:rtl/>
        </w:rPr>
        <w:t xml:space="preserve"> את </w:t>
      </w:r>
      <w:proofErr w:type="spellStart"/>
      <w:r>
        <w:rPr>
          <w:rtl/>
        </w:rPr>
        <w:t>לומז׳ה</w:t>
      </w:r>
      <w:proofErr w:type="spellEnd"/>
      <w:r>
        <w:rPr>
          <w:rtl/>
        </w:rPr>
        <w:t xml:space="preserve"> היה שכישרונותיו היו גדולים מכדי “להצטמצם בכהונת רבנות יחידה”.</w:t>
      </w:r>
    </w:p>
    <w:p w14:paraId="2ADF6B4B" w14:textId="77777777" w:rsidR="00AB3647" w:rsidRDefault="00000000" w:rsidP="007923E9">
      <w:pPr>
        <w:spacing w:after="120" w:line="276" w:lineRule="auto"/>
        <w:ind w:firstLine="283"/>
        <w:jc w:val="both"/>
      </w:pPr>
      <w:r>
        <w:rPr>
          <w:rtl/>
        </w:rPr>
        <w:t xml:space="preserve">ואולם במאמר </w:t>
      </w:r>
      <w:proofErr w:type="spellStart"/>
      <w:r>
        <w:rPr>
          <w:rtl/>
        </w:rPr>
        <w:t>ב“הדואר</w:t>
      </w:r>
      <w:proofErr w:type="spellEnd"/>
      <w:r>
        <w:rPr>
          <w:rtl/>
        </w:rPr>
        <w:t>”</w:t>
      </w:r>
      <w:bookmarkStart w:id="4971" w:name="_fnr3663"/>
      <w:r>
        <w:rPr>
          <w:vertAlign w:val="superscript"/>
          <w:rtl/>
        </w:rPr>
        <w:footnoteReference w:id="3671" w:customMarkFollows="0"/>
      </w:r>
      <w:bookmarkEnd w:id="4971"/>
      <w:r>
        <w:rPr>
          <w:rtl/>
        </w:rPr>
        <w:t xml:space="preserve"> מספר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שר׳ חיים </w:t>
      </w:r>
      <w:proofErr w:type="spellStart"/>
      <w:r>
        <w:rPr>
          <w:rtl/>
        </w:rPr>
        <w:t xml:space="preserve">הלר</w:t>
      </w:r>
      <w:proofErr w:type="spellEnd"/>
      <w:r>
        <w:rPr>
          <w:rtl/>
        </w:rPr>
        <w:t xml:space="preserve"> אמר שעזב את </w:t>
      </w:r>
      <w:proofErr w:type="spellStart"/>
      <w:r>
        <w:rPr>
          <w:rtl/>
        </w:rPr>
        <w:t>לומז׳ה</w:t>
      </w:r>
      <w:proofErr w:type="spellEnd"/>
      <w:r>
        <w:rPr>
          <w:rtl/>
        </w:rPr>
        <w:t xml:space="preserve"> מפני שחש שייאלץ לעשות דברים המאוסים בעיניו. “הוא סיים את השיחה”, כותב ר׳ </w:t>
      </w:r>
      <w:proofErr w:type="spellStart"/>
      <w:r>
        <w:rPr>
          <w:rtl/>
        </w:rPr>
        <w:t xml:space="preserve">יוסף־דב</w:t>
      </w:r>
      <w:proofErr w:type="spellEnd"/>
      <w:r>
        <w:rPr>
          <w:rtl/>
        </w:rPr>
        <w:t xml:space="preserve">, “בפסוק ‘ומצא חן ושכל טוב בעיני </w:t>
      </w:r>
      <w:proofErr w:type="spellStart"/>
      <w:r>
        <w:rPr>
          <w:rtl/>
        </w:rPr>
        <w:t>א־להים</w:t>
      </w:r>
      <w:proofErr w:type="spellEnd"/>
      <w:r>
        <w:rPr>
          <w:rtl/>
        </w:rPr>
        <w:t xml:space="preserve"> ואדם’</w:t>
      </w:r>
      <w:bookmarkStart w:id="4972" w:name="_fnr3664"/>
      <w:r>
        <w:rPr>
          <w:vertAlign w:val="superscript"/>
          <w:rtl/>
        </w:rPr>
        <w:footnoteReference w:id="3672" w:customMarkFollows="0"/>
      </w:r>
      <w:bookmarkEnd w:id="4972"/>
      <w:r>
        <w:rPr>
          <w:rtl/>
        </w:rPr>
        <w:t xml:space="preserve">, והעיר: ‘תחילה צריך למלא את החובה כלפי הקב״ה, ואחר כך למצוא חן בעיני בני אדם. אבל כשסדרי העדיפות מתהפכים, מאבדים את שני העולמות’”. מהם בדיוק הדברים המאוסים שניצבו בפני ר׳ חיים </w:t>
      </w:r>
      <w:proofErr w:type="spellStart"/>
      <w:r>
        <w:rPr>
          <w:rtl/>
        </w:rPr>
        <w:t>בלומז׳ה</w:t>
      </w:r>
      <w:proofErr w:type="spellEnd"/>
      <w:r>
        <w:rPr>
          <w:rtl/>
        </w:rPr>
        <w:t xml:space="preserve">, ושאליהם התכוון בשיחתו עם ר׳ </w:t>
      </w:r>
      <w:proofErr w:type="spellStart"/>
      <w:r>
        <w:rPr>
          <w:rtl/>
        </w:rPr>
        <w:t xml:space="preserve">יוסף־דב</w:t>
      </w:r>
      <w:proofErr w:type="spellEnd"/>
      <w:r>
        <w:rPr>
          <w:rtl/>
        </w:rPr>
        <w:t>, לא נתגלה.</w:t>
      </w:r>
    </w:p>
    <w:p w14:paraId="5823F1E3" w14:textId="77777777" w:rsidR="00AB3647" w:rsidRDefault="00000000" w:rsidP="007923E9">
      <w:pPr>
        <w:spacing w:after="120" w:line="276" w:lineRule="auto"/>
        <w:ind w:firstLine="283"/>
        <w:jc w:val="both"/>
      </w:pPr>
      <w:r>
        <w:rPr>
          <w:rtl/>
        </w:rPr>
        <w:t xml:space="preserve">באותה שיחה עם ר׳ יעקב ליפשיץ הוסיף אבי שמלבד התנהגותו של הסבא בקבלת הפנים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ליבשיץ</w:t>
      </w:r>
      <w:proofErr w:type="spellEnd"/>
      <w:r>
        <w:rPr>
          <w:rtl/>
        </w:rPr>
        <w:t xml:space="preserve">, שפורשה שלא כהלכה, היה טעם נוסף לשמועה שישיבת </w:t>
      </w:r>
      <w:proofErr w:type="spellStart"/>
      <w:r>
        <w:rPr>
          <w:rtl/>
        </w:rPr>
        <w:t>סלבודקה</w:t>
      </w:r>
      <w:proofErr w:type="spellEnd"/>
      <w:r>
        <w:rPr>
          <w:rtl/>
        </w:rPr>
        <w:t xml:space="preserve"> מתנגדת למועמדותו. “בנו של הסבא נשא את בתו של ר׳ </w:t>
      </w:r>
      <w:proofErr w:type="spellStart"/>
      <w:r>
        <w:rPr>
          <w:rtl/>
        </w:rPr>
        <w:t>משה־מרדכי</w:t>
      </w:r>
      <w:proofErr w:type="spellEnd"/>
      <w:r>
        <w:rPr>
          <w:rtl/>
        </w:rPr>
        <w:t xml:space="preserve"> אפשטיין אחרי חג השבועות באותה שנה</w:t>
      </w:r>
      <w:bookmarkStart w:id="4973" w:name="_fnr3665"/>
      <w:r>
        <w:rPr>
          <w:vertAlign w:val="superscript"/>
          <w:rtl/>
        </w:rPr>
        <w:footnoteReference w:id="3673" w:customMarkFollows="0"/>
      </w:r>
      <w:bookmarkEnd w:id="4973"/>
      <w:r>
        <w:rPr>
          <w:rtl/>
        </w:rPr>
        <w:t>”, אמר, “</w:t>
      </w:r>
      <w:proofErr w:type="spellStart"/>
      <w:r>
        <w:rPr>
          <w:rtl/>
        </w:rPr>
        <w:t>ולר</w:t>
      </w:r>
      <w:proofErr w:type="spellEnd"/>
      <w:r>
        <w:rPr>
          <w:rtl/>
        </w:rPr>
        <w:t xml:space="preserve">׳ </w:t>
      </w:r>
      <w:proofErr w:type="spellStart"/>
      <w:r>
        <w:rPr>
          <w:rtl/>
        </w:rPr>
        <w:t>חצקל</w:t>
      </w:r>
      <w:proofErr w:type="spellEnd"/>
      <w:r>
        <w:rPr>
          <w:rtl/>
        </w:rPr>
        <w:t xml:space="preserve"> </w:t>
      </w:r>
      <w:proofErr w:type="spellStart"/>
      <w:r>
        <w:rPr>
          <w:rtl/>
        </w:rPr>
        <w:t>בקאליש</w:t>
      </w:r>
      <w:proofErr w:type="spellEnd"/>
      <w:r>
        <w:rPr>
          <w:rtl/>
        </w:rPr>
        <w:t xml:space="preserve"> נשלחה הזמנה מודפסת, ולא מכתב בכתב יד. לפי הנוהג בימים שלפני הטלפון, משלוח מכתב בכתב יד היה סימן שהרב מוזמן לא כאורח אלא כדי לסדר קידושין בחתונה. סברו שאילו רצתה ישיבת </w:t>
      </w:r>
      <w:proofErr w:type="spellStart"/>
      <w:r>
        <w:rPr>
          <w:rtl/>
        </w:rPr>
        <w:t>סלבודקה</w:t>
      </w:r>
      <w:proofErr w:type="spellEnd"/>
      <w:r>
        <w:rPr>
          <w:rtl/>
        </w:rPr>
        <w:t xml:space="preserve"> בר׳ </w:t>
      </w:r>
      <w:proofErr w:type="spellStart"/>
      <w:r>
        <w:rPr>
          <w:rtl/>
        </w:rPr>
        <w:t>חצקל</w:t>
      </w:r>
      <w:proofErr w:type="spellEnd"/>
      <w:r>
        <w:rPr>
          <w:rtl/>
        </w:rPr>
        <w:t xml:space="preserve"> </w:t>
      </w:r>
      <w:proofErr w:type="spellStart"/>
      <w:r>
        <w:rPr>
          <w:rtl/>
        </w:rPr>
        <w:t>ליבשיץ</w:t>
      </w:r>
      <w:proofErr w:type="spellEnd"/>
      <w:r>
        <w:rPr>
          <w:rtl/>
        </w:rPr>
        <w:t xml:space="preserve"> לרבה של קובנה, היו מכבדים אותו בסידור הקידושין בחתונתו המכובדת של בן ראש הישיבה.</w:t>
      </w:r>
      <w:bookmarkStart w:id="4974" w:name="_fnr3666"/>
      <w:r>
        <w:rPr>
          <w:vertAlign w:val="superscript"/>
          <w:rtl/>
        </w:rPr>
        <w:footnoteReference w:id="3674" w:customMarkFollows="0"/>
      </w:r>
      <w:bookmarkEnd w:id="4974"/>
      <w:r>
        <w:rPr>
          <w:rtl/>
        </w:rPr>
        <w:t>”</w:t>
      </w:r>
    </w:p>
    <w:p w14:paraId="760382E7" w14:textId="421353AA" w:rsidR="00AB3647" w:rsidRDefault="00000000" w:rsidP="007923E9">
      <w:pPr>
        <w:spacing w:after="120" w:line="276" w:lineRule="auto"/>
        <w:ind w:firstLine="283"/>
        <w:jc w:val="both"/>
      </w:pPr>
      <w:r>
        <w:rPr>
          <w:rtl/>
        </w:rPr>
        <w:t xml:space="preserve">אבי לא גילה את התשובה לשאלה המתבקשת: אם הסבא אכן רצה בר׳ </w:t>
      </w:r>
      <w:proofErr w:type="spellStart"/>
      <w:r>
        <w:rPr>
          <w:rtl/>
        </w:rPr>
        <w:t>חצקל</w:t>
      </w:r>
      <w:proofErr w:type="spellEnd"/>
      <w:r>
        <w:rPr>
          <w:rtl/>
        </w:rPr>
        <w:t xml:space="preserve"> </w:t>
      </w:r>
      <w:proofErr w:type="spellStart"/>
      <w:r>
        <w:rPr>
          <w:rtl/>
        </w:rPr>
        <w:t>ליבשיץ</w:t>
      </w:r>
      <w:proofErr w:type="spellEnd"/>
      <w:r>
        <w:rPr>
          <w:rtl/>
        </w:rPr>
        <w:t xml:space="preserve"> – שאינו משכיל, ויש לו גם רקע במוסר – לרבה של קובנה, מדוע לא הזמין ר׳ </w:t>
      </w:r>
      <w:proofErr w:type="spellStart"/>
      <w:r>
        <w:rPr>
          <w:rtl/>
        </w:rPr>
        <w:t>משה־מרדכי</w:t>
      </w:r>
      <w:proofErr w:type="spellEnd"/>
      <w:r>
        <w:rPr>
          <w:rtl/>
        </w:rPr>
        <w:t xml:space="preserve"> את הרב החדש לסדר קידושין? אני משער שאופיו המעודן במיוחד של ר׳ </w:t>
      </w:r>
      <w:proofErr w:type="spellStart"/>
      <w:r>
        <w:rPr>
          <w:rtl/>
        </w:rPr>
        <w:t>משה־מרדכי</w:t>
      </w:r>
      <w:proofErr w:type="spellEnd"/>
      <w:r>
        <w:rPr>
          <w:rtl/>
        </w:rPr>
        <w:t xml:space="preserve"> אפשטיין (ראה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מנע זאת ממנו. ייתכן שחשש שאם יביא את ר׳ </w:t>
      </w:r>
      <w:proofErr w:type="spellStart"/>
      <w:r>
        <w:rPr>
          <w:rtl/>
        </w:rPr>
        <w:t>חצקל</w:t>
      </w:r>
      <w:proofErr w:type="spellEnd"/>
      <w:r>
        <w:rPr>
          <w:rtl/>
        </w:rPr>
        <w:t xml:space="preserve"> לסדר את הקידושין, ייפגעו רגשותיו של ר׳ </w:t>
      </w:r>
      <w:proofErr w:type="spellStart"/>
      <w:r>
        <w:rPr>
          <w:rtl/>
        </w:rPr>
        <w:t>יהודה־לייב</w:t>
      </w:r>
      <w:proofErr w:type="spellEnd"/>
      <w:r>
        <w:rPr>
          <w:rtl/>
        </w:rPr>
        <w:t xml:space="preserve"> </w:t>
      </w:r>
      <w:proofErr w:type="spellStart"/>
      <w:r>
        <w:rPr>
          <w:rtl/>
        </w:rPr>
        <w:t>הוטנר</w:t>
      </w:r>
      <w:proofErr w:type="spellEnd"/>
      <w:r>
        <w:rPr>
          <w:rtl/>
        </w:rPr>
        <w:t xml:space="preserve">. ר׳ </w:t>
      </w:r>
      <w:proofErr w:type="spellStart"/>
      <w:r>
        <w:rPr>
          <w:rtl/>
        </w:rPr>
        <w:t>חצקל</w:t>
      </w:r>
      <w:proofErr w:type="spellEnd"/>
      <w:r>
        <w:rPr>
          <w:rtl/>
        </w:rPr>
        <w:t xml:space="preserve"> </w:t>
      </w:r>
      <w:proofErr w:type="spellStart"/>
      <w:r>
        <w:rPr>
          <w:rtl/>
        </w:rPr>
        <w:t>ליבשיץ</w:t>
      </w:r>
      <w:proofErr w:type="spellEnd"/>
      <w:r>
        <w:rPr>
          <w:rtl/>
        </w:rPr>
        <w:t xml:space="preserve"> הדפיס את ספרו “המדרש והמעשה” בדפוס שבבעלות הרב </w:t>
      </w:r>
      <w:proofErr w:type="spellStart"/>
      <w:r>
        <w:rPr>
          <w:rtl/>
        </w:rPr>
        <w:t>הוטנר</w:t>
      </w:r>
      <w:proofErr w:type="spellEnd"/>
      <w:r>
        <w:rPr>
          <w:rtl/>
        </w:rPr>
        <w:t xml:space="preserve">, ומאז היה הרב </w:t>
      </w:r>
      <w:proofErr w:type="spellStart"/>
      <w:r>
        <w:rPr>
          <w:rtl/>
        </w:rPr>
        <w:t>הוטנר</w:t>
      </w:r>
      <w:proofErr w:type="spellEnd"/>
      <w:r>
        <w:rPr>
          <w:rtl/>
        </w:rPr>
        <w:t xml:space="preserve"> מקורב אליו, ובתו הייתה ארוסתו הקודמת של החתן, ר׳ משה בנו של הסבא, שביטל את האירוסין לטובת בתו של ר׳ </w:t>
      </w:r>
      <w:proofErr w:type="spellStart"/>
      <w:r>
        <w:rPr>
          <w:rtl/>
        </w:rPr>
        <w:t>משה־מרדכי</w:t>
      </w:r>
      <w:proofErr w:type="spellEnd"/>
      <w:r>
        <w:rPr>
          <w:rtl/>
        </w:rPr>
        <w:t>.</w:t>
      </w:r>
      <w:bookmarkStart w:id="4975" w:name="_fnr3667"/>
      <w:r>
        <w:rPr>
          <w:vertAlign w:val="superscript"/>
          <w:rtl/>
        </w:rPr>
        <w:footnoteReference w:id="3675" w:customMarkFollows="0"/>
      </w:r>
      <w:bookmarkEnd w:id="4975"/>
    </w:p>
    <w:p w14:paraId="7FC1D844" w14:textId="77777777" w:rsidR="00AB3647" w:rsidRDefault="00000000" w:rsidP="007923E9">
      <w:pPr>
        <w:spacing w:after="120" w:line="276" w:lineRule="auto"/>
        <w:ind w:firstLine="283"/>
        <w:jc w:val="both"/>
      </w:pPr>
      <w:r>
        <w:rPr>
          <w:rtl/>
        </w:rPr>
        <w:t xml:space="preserve">אם השמועה שישיבת </w:t>
      </w:r>
      <w:proofErr w:type="spellStart"/>
      <w:r>
        <w:rPr>
          <w:rtl/>
        </w:rPr>
        <w:t>סלבודקה</w:t>
      </w:r>
      <w:proofErr w:type="spellEnd"/>
      <w:r>
        <w:rPr>
          <w:rtl/>
        </w:rPr>
        <w:t xml:space="preserve"> מתנגדת לקבלת ר׳ </w:t>
      </w:r>
      <w:proofErr w:type="spellStart"/>
      <w:r>
        <w:rPr>
          <w:rtl/>
        </w:rPr>
        <w:t>חצקל</w:t>
      </w:r>
      <w:proofErr w:type="spellEnd"/>
      <w:r>
        <w:rPr>
          <w:rtl/>
        </w:rPr>
        <w:t xml:space="preserve"> </w:t>
      </w:r>
      <w:proofErr w:type="spellStart"/>
      <w:r>
        <w:rPr>
          <w:rtl/>
        </w:rPr>
        <w:t>ליבשיץ</w:t>
      </w:r>
      <w:proofErr w:type="spellEnd"/>
      <w:r>
        <w:rPr>
          <w:rtl/>
        </w:rPr>
        <w:t xml:space="preserve"> התבססה על כך שר׳ </w:t>
      </w:r>
      <w:proofErr w:type="spellStart"/>
      <w:r>
        <w:rPr>
          <w:rtl/>
        </w:rPr>
        <w:t>משה־מרדכי</w:t>
      </w:r>
      <w:proofErr w:type="spellEnd"/>
      <w:r>
        <w:rPr>
          <w:rtl/>
        </w:rPr>
        <w:t xml:space="preserve"> אפשטיין לא הזמינו לסדר קידושין, אין סתירה בין טענת ר׳ יעקב הלוי שהוא שמנע את המינוי ובין השמועה שר׳ </w:t>
      </w:r>
      <w:proofErr w:type="spellStart"/>
      <w:r>
        <w:rPr>
          <w:rtl/>
        </w:rPr>
        <w:t>חצקל</w:t>
      </w:r>
      <w:proofErr w:type="spellEnd"/>
      <w:r>
        <w:rPr>
          <w:rtl/>
        </w:rPr>
        <w:t xml:space="preserve"> החזיר את כתב הרבנות מפני שישיבת </w:t>
      </w:r>
      <w:proofErr w:type="spellStart"/>
      <w:r>
        <w:rPr>
          <w:rtl/>
        </w:rPr>
        <w:t>סלבודקה</w:t>
      </w:r>
      <w:proofErr w:type="spellEnd"/>
      <w:r>
        <w:rPr>
          <w:rtl/>
        </w:rPr>
        <w:t xml:space="preserve"> לא הייתה שבעת רצון. ייתכן בהחלט שדווקא ר׳ יעקב הלוי ליפשיץ הוא שהעיר בעורמה לרב </w:t>
      </w:r>
      <w:proofErr w:type="spellStart"/>
      <w:r>
        <w:rPr>
          <w:rtl/>
        </w:rPr>
        <w:t>סלבודקה</w:t>
      </w:r>
      <w:proofErr w:type="spellEnd"/>
      <w:r>
        <w:rPr>
          <w:rtl/>
        </w:rPr>
        <w:t xml:space="preserve">, ר׳ </w:t>
      </w:r>
      <w:proofErr w:type="spellStart"/>
      <w:r>
        <w:rPr>
          <w:rtl/>
        </w:rPr>
        <w:t>משה־מרדכי</w:t>
      </w:r>
      <w:proofErr w:type="spellEnd"/>
      <w:r>
        <w:rPr>
          <w:rtl/>
        </w:rPr>
        <w:t xml:space="preserve">, שמחותנו לשעבר, הרב </w:t>
      </w:r>
      <w:proofErr w:type="spellStart"/>
      <w:r>
        <w:rPr>
          <w:rtl/>
        </w:rPr>
        <w:t>הוטנר</w:t>
      </w:r>
      <w:proofErr w:type="spellEnd"/>
      <w:r>
        <w:rPr>
          <w:rtl/>
        </w:rPr>
        <w:t xml:space="preserve">, שנדחה, ייפגע עוד יותר אם יסדר ר׳ </w:t>
      </w:r>
      <w:proofErr w:type="spellStart"/>
      <w:r>
        <w:rPr>
          <w:rtl/>
        </w:rPr>
        <w:t>חצקל</w:t>
      </w:r>
      <w:proofErr w:type="spellEnd"/>
      <w:r>
        <w:rPr>
          <w:rtl/>
        </w:rPr>
        <w:t xml:space="preserve"> </w:t>
      </w:r>
      <w:proofErr w:type="spellStart"/>
      <w:r>
        <w:rPr>
          <w:rtl/>
        </w:rPr>
        <w:t>ליבשיץ</w:t>
      </w:r>
      <w:proofErr w:type="spellEnd"/>
      <w:r>
        <w:rPr>
          <w:rtl/>
        </w:rPr>
        <w:t xml:space="preserve"> את הקידושין בחתונת ר׳ משה, ולכן אין לשלוח </w:t>
      </w:r>
      <w:proofErr w:type="spellStart"/>
      <w:r>
        <w:rPr>
          <w:rtl/>
        </w:rPr>
        <w:t>לר</w:t>
      </w:r>
      <w:proofErr w:type="spellEnd"/>
      <w:r>
        <w:rPr>
          <w:rtl/>
        </w:rPr>
        <w:t xml:space="preserve">׳ </w:t>
      </w:r>
      <w:proofErr w:type="spellStart"/>
      <w:r>
        <w:rPr>
          <w:rtl/>
        </w:rPr>
        <w:t>חצקל</w:t>
      </w:r>
      <w:proofErr w:type="spellEnd"/>
      <w:r>
        <w:rPr>
          <w:rtl/>
        </w:rPr>
        <w:t xml:space="preserve"> הזמנה בכתב יד.</w:t>
      </w:r>
    </w:p>
    <w:p w14:paraId="4A92AEC0" w14:textId="77777777" w:rsidR="00AB3647" w:rsidRDefault="00000000" w:rsidP="007923E9">
      <w:pPr>
        <w:spacing w:after="120" w:line="276" w:lineRule="auto"/>
        <w:ind w:firstLine="283"/>
        <w:jc w:val="both"/>
      </w:pPr>
      <w:r>
        <w:rPr>
          <w:rtl/>
        </w:rPr>
        <w:lastRenderedPageBreak/>
        <w:t>אבי סיפר</w:t>
      </w:r>
      <w:bookmarkStart w:id="4976" w:name="_fnr3668"/>
      <w:r>
        <w:rPr>
          <w:vertAlign w:val="superscript"/>
          <w:rtl/>
        </w:rPr>
        <w:footnoteReference w:id="3676" w:customMarkFollows="0"/>
      </w:r>
      <w:bookmarkEnd w:id="4976"/>
      <w:r>
        <w:rPr>
          <w:rtl/>
        </w:rPr>
        <w:t xml:space="preserve"> שלימים כתב ר׳ </w:t>
      </w:r>
      <w:proofErr w:type="spellStart"/>
      <w:r>
        <w:rPr>
          <w:rtl/>
        </w:rPr>
        <w:t>חצקל</w:t>
      </w:r>
      <w:proofErr w:type="spellEnd"/>
      <w:r>
        <w:rPr>
          <w:rtl/>
        </w:rPr>
        <w:t xml:space="preserve"> </w:t>
      </w:r>
      <w:proofErr w:type="spellStart"/>
      <w:r>
        <w:rPr>
          <w:rtl/>
        </w:rPr>
        <w:t>ליבשיץ</w:t>
      </w:r>
      <w:proofErr w:type="spellEnd"/>
      <w:r>
        <w:rPr>
          <w:rtl/>
        </w:rPr>
        <w:t xml:space="preserve"> למכר </w:t>
      </w:r>
      <w:proofErr w:type="spellStart"/>
      <w:r>
        <w:rPr>
          <w:rtl/>
        </w:rPr>
        <w:t>בסלבודקה</w:t>
      </w:r>
      <w:proofErr w:type="spellEnd"/>
      <w:r>
        <w:rPr>
          <w:rtl/>
        </w:rPr>
        <w:t xml:space="preserve"> שהוא מאוכזב מאוד מכך שהמינוי בקובנה לא יצא אל הפועל – לא מפני שהפסיד את כבוד רבנות קובנה, אלא מפני שלא יוכל לגור בקרבת ישיבת </w:t>
      </w:r>
      <w:proofErr w:type="spellStart"/>
      <w:r>
        <w:rPr>
          <w:rtl/>
        </w:rPr>
        <w:t>סלבודקה</w:t>
      </w:r>
      <w:proofErr w:type="spellEnd"/>
      <w:r>
        <w:rPr>
          <w:rtl/>
        </w:rPr>
        <w:t>.</w:t>
      </w:r>
    </w:p>
    <w:bookmarkStart w:id="4977" w:name="b4_excC"/>
    <w:bookmarkStart w:id="4978" w:name="b4_annexC"/>
    <w:p w14:paraId="7846D3F0" w14:textId="77777777" w:rsidR="00AB3647" w:rsidRDefault="00000000" w:rsidP="007923E9">
      <w:pPr>
        <w:pStyle w:val="3"/>
        <w:spacing w:line="276" w:lineRule="auto"/>
      </w:pPr>
      <w:r>
        <w:lastRenderedPageBreak/>
        <w:fldChar w:fldCharType="begin" w:dirty="true"/>
      </w:r>
      <w:r>
        <w:rPr>
          <w:rtl w:val="0"/>
        </w:rPr>
        <w:instrText>HYPERLINK \l "b4_note24</w:instrText>
      </w:r>
      <w:r>
        <w:instrText>"</w:instrText>
      </w:r>
      <w:r>
        <w:fldChar w:fldCharType="separate"/>
      </w:r>
      <w:r>
        <w:t>נספח ג</w:t>
      </w:r>
      <w:r>
        <w:fldChar w:fldCharType="end"/>
      </w:r>
      <w:bookmarkEnd w:id="4977"/>
      <w:bookmarkEnd w:id="4978"/>
    </w:p>
    <w:p w14:paraId="503D965F" w14:textId="77777777" w:rsidR="00AB3647" w:rsidRDefault="00000000" w:rsidP="007923E9">
      <w:pPr>
        <w:pStyle w:val="af"/>
        <w:spacing w:line="276" w:lineRule="auto"/>
      </w:pPr>
      <w:r>
        <w:t>על יחסו האבהי של הסבא לתלמידיו ועל יחסם אליו כבנים אל אביהם</w:t>
      </w:r>
    </w:p>
    <w:p w14:paraId="65BEA1D6" w14:textId="77777777" w:rsidR="00AB3647" w:rsidRDefault="00000000" w:rsidP="007923E9">
      <w:pPr>
        <w:pStyle w:val="4"/>
        <w:spacing w:line="276" w:lineRule="auto"/>
      </w:pPr>
      <w:r>
        <w:t>· הפסקה הראשונה ·</w:t>
      </w:r>
    </w:p>
    <w:p w14:paraId="5D537B16" w14:textId="77777777" w:rsidR="00AB3647" w:rsidRDefault="00000000" w:rsidP="007923E9">
      <w:pPr>
        <w:pStyle w:val="5"/>
        <w:spacing w:line="276" w:lineRule="auto"/>
      </w:pPr>
      <w:r>
        <w:rPr>
          <w:bCs/>
          <w:szCs w:val="26"/>
        </w:rPr>
        <w:t>הסבא אינו מעדיף את ילדיו על תלמידיו</w:t>
      </w:r>
    </w:p>
    <w:p w14:paraId="66A5EDDB" w14:textId="77777777" w:rsidR="00AB3647" w:rsidRDefault="00000000" w:rsidP="007923E9">
      <w:pPr>
        <w:pStyle w:val="5"/>
        <w:spacing w:after="160" w:line="276" w:lineRule="auto"/>
      </w:pPr>
      <w:r>
        <w:rPr>
          <w:b/>
          <w:bCs/>
          <w:sz w:val="26"/>
          <w:szCs w:val="26"/>
        </w:rPr>
        <w:t>הסברו למינוי קרוביו לצוות הישיבה</w:t>
      </w:r>
    </w:p>
    <w:p w14:paraId="06A2D5DC" w14:textId="77777777" w:rsidR="00AB3647" w:rsidRDefault="00000000" w:rsidP="007923E9">
      <w:pPr>
        <w:pStyle w:val="5"/>
        <w:spacing w:after="160" w:line="276" w:lineRule="auto"/>
      </w:pPr>
      <w:r>
        <w:rPr>
          <w:b/>
          <w:bCs/>
          <w:sz w:val="26"/>
          <w:szCs w:val="26"/>
        </w:rPr>
        <w:t>הוא רואה את תלמידיו כאילו היו בניו ממש</w:t>
      </w:r>
    </w:p>
    <w:p w14:paraId="2FF31098" w14:textId="77777777" w:rsidR="00AB3647" w:rsidRDefault="00000000" w:rsidP="007923E9">
      <w:pPr>
        <w:spacing w:after="120" w:line="276" w:lineRule="auto"/>
        <w:ind w:firstLine="283"/>
        <w:jc w:val="both"/>
      </w:pPr>
      <w:r>
        <w:rPr>
          <w:rtl/>
        </w:rPr>
        <w:t>כץ, “תנועת המוסר”, כרך ג</w:t>
      </w:r>
      <w:bookmarkStart w:id="4979" w:name="_fnr3669"/>
      <w:r>
        <w:rPr>
          <w:vertAlign w:val="superscript"/>
          <w:rtl/>
        </w:rPr>
        <w:footnoteReference w:id="3677" w:customMarkFollows="0"/>
      </w:r>
      <w:bookmarkEnd w:id="4979"/>
      <w:r>
        <w:rPr>
          <w:rtl/>
        </w:rPr>
        <w:t>, מעיר בפליאה גלויה: “מעניין שלא נתן דעתו לחינוך ילדיו יותר מאשר לחינוך תלמידים אחרים, מפני שכולם היו כבניו, ולא הייתה העדפה של בניו על בני אחרים. אדרבה, במכוון שלח את ילדיו לישיבות אחרות – ואפשר שהיו לו טעמים חינוכיים לכך”. השווה גם כץ, “תנועת המוסר”, כרך א</w:t>
      </w:r>
      <w:bookmarkStart w:id="4980" w:name="_fnr3670"/>
      <w:r>
        <w:rPr>
          <w:vertAlign w:val="superscript"/>
          <w:rtl/>
        </w:rPr>
        <w:footnoteReference w:id="3678" w:customMarkFollows="0"/>
      </w:r>
      <w:bookmarkEnd w:id="4980"/>
      <w:r>
        <w:rPr>
          <w:rtl/>
        </w:rPr>
        <w:t xml:space="preserve">, על יחסו חסר הפניות של ר׳ ישראל </w:t>
      </w:r>
      <w:proofErr w:type="spellStart"/>
      <w:r>
        <w:rPr>
          <w:rtl/>
        </w:rPr>
        <w:t>סלנטר</w:t>
      </w:r>
      <w:proofErr w:type="spellEnd"/>
      <w:r>
        <w:rPr>
          <w:rtl/>
        </w:rPr>
        <w:t>, אביו הרוחני של הסבא, אל ילדיו.</w:t>
      </w:r>
    </w:p>
    <w:p w14:paraId="1AD06F7D"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4981" w:name="_fnr3671"/>
      <w:r>
        <w:rPr>
          <w:vertAlign w:val="superscript"/>
          <w:rtl/>
        </w:rPr>
        <w:footnoteReference w:id="3679" w:customMarkFollows="0"/>
      </w:r>
      <w:bookmarkEnd w:id="4981"/>
      <w:r>
        <w:rPr>
          <w:rtl/>
        </w:rPr>
        <w:t xml:space="preserve"> שסבו ר׳ </w:t>
      </w:r>
      <w:proofErr w:type="spellStart"/>
      <w:r>
        <w:rPr>
          <w:rtl/>
        </w:rPr>
        <w:t>משה־מרדכי</w:t>
      </w:r>
      <w:proofErr w:type="spellEnd"/>
      <w:r>
        <w:rPr>
          <w:rtl/>
        </w:rPr>
        <w:t xml:space="preserve"> אפשטיין הביע בפני אחיו ר׳ </w:t>
      </w:r>
      <w:proofErr w:type="spellStart"/>
      <w:r>
        <w:rPr>
          <w:rtl/>
        </w:rPr>
        <w:t>אפרים־פישל</w:t>
      </w:r>
      <w:proofErr w:type="spellEnd"/>
      <w:r>
        <w:rPr>
          <w:rtl/>
        </w:rPr>
        <w:t xml:space="preserve">, שהתגורר בשיקגו, את דאגתו לפרנסתה של בתו </w:t>
      </w:r>
      <w:proofErr w:type="spellStart"/>
      <w:r>
        <w:rPr>
          <w:rtl/>
        </w:rPr>
        <w:t>זלאטה</w:t>
      </w:r>
      <w:proofErr w:type="spellEnd"/>
      <w:r>
        <w:rPr>
          <w:rtl/>
        </w:rPr>
        <w:t xml:space="preserve">, אלמנתו של ר׳ משה </w:t>
      </w:r>
      <w:proofErr w:type="spellStart"/>
      <w:r>
        <w:rPr>
          <w:rtl/>
        </w:rPr>
        <w:t>פינקל</w:t>
      </w:r>
      <w:proofErr w:type="spellEnd"/>
      <w:r>
        <w:rPr>
          <w:rtl/>
        </w:rPr>
        <w:t>, ושל ילדיה. בעלה שימש מגיד שיעור בחברון חודשים אחדים בלבד, ולכן לא יכול היה אביה לצפות שהישיבה תעניק לה קצבה לכל ימי חייה</w:t>
      </w:r>
      <w:bookmarkStart w:id="4982" w:name="_fnr3672"/>
      <w:r>
        <w:rPr>
          <w:vertAlign w:val="superscript"/>
          <w:rtl/>
        </w:rPr>
        <w:footnoteReference w:id="3680" w:customMarkFollows="0"/>
      </w:r>
      <w:bookmarkEnd w:id="4982"/>
      <w:r>
        <w:rPr>
          <w:rtl/>
        </w:rPr>
        <w:t xml:space="preserve">. כשהציע ר׳ </w:t>
      </w:r>
      <w:proofErr w:type="spellStart"/>
      <w:r>
        <w:rPr>
          <w:rtl/>
        </w:rPr>
        <w:t>אפרים־פישל</w:t>
      </w:r>
      <w:proofErr w:type="spellEnd"/>
      <w:r>
        <w:rPr>
          <w:rtl/>
        </w:rPr>
        <w:t xml:space="preserve"> לאחיו ליטול לעצמו שכר גבוה יותר ולתת חלק ממנו לבתו, השיב שהסבא פסק </w:t>
      </w:r>
      <w:proofErr w:type="spellStart"/>
      <w:r>
        <w:rPr>
          <w:rtl/>
        </w:rPr>
        <w:t>ש“המקבל</w:t>
      </w:r>
      <w:proofErr w:type="spellEnd"/>
      <w:r>
        <w:rPr>
          <w:rtl/>
        </w:rPr>
        <w:t xml:space="preserve"> כסף מן הישיבה ונותנו לילדיו – גזלן הוא”.</w:t>
      </w:r>
    </w:p>
    <w:p w14:paraId="4951C0D6" w14:textId="77777777" w:rsidR="00AB3647" w:rsidRDefault="00000000" w:rsidP="007923E9">
      <w:pPr>
        <w:spacing w:after="120" w:line="276" w:lineRule="auto"/>
        <w:ind w:firstLine="283"/>
        <w:jc w:val="both"/>
      </w:pPr>
      <w:r>
        <w:rPr>
          <w:rtl/>
        </w:rPr>
        <w:t xml:space="preserve">בהערתו הראשונה למאמרו של ר׳ ישראל </w:t>
      </w:r>
      <w:proofErr w:type="spellStart"/>
      <w:r>
        <w:rPr>
          <w:rtl/>
        </w:rPr>
        <w:t>סלנטר</w:t>
      </w:r>
      <w:proofErr w:type="spellEnd"/>
      <w:r>
        <w:rPr>
          <w:rtl/>
        </w:rPr>
        <w:t xml:space="preserve"> </w:t>
      </w:r>
      <w:proofErr w:type="spellStart"/>
      <w:r>
        <w:rPr>
          <w:rtl/>
        </w:rPr>
        <w:t>ב“עץ</w:t>
      </w:r>
      <w:proofErr w:type="spellEnd"/>
      <w:r>
        <w:rPr>
          <w:rtl/>
        </w:rPr>
        <w:t xml:space="preserve"> פרי”</w:t>
      </w:r>
      <w:bookmarkStart w:id="4983" w:name="_fnr3673"/>
      <w:r>
        <w:rPr>
          <w:vertAlign w:val="superscript"/>
          <w:rtl/>
        </w:rPr>
        <w:footnoteReference w:id="3681" w:customMarkFollows="0"/>
      </w:r>
      <w:bookmarkEnd w:id="4983"/>
      <w:r>
        <w:rPr>
          <w:rtl/>
        </w:rPr>
        <w:t xml:space="preserve"> מגלה ר׳ </w:t>
      </w:r>
      <w:proofErr w:type="spellStart"/>
      <w:r>
        <w:rPr>
          <w:rtl/>
        </w:rPr>
        <w:t>נתן־צבי</w:t>
      </w:r>
      <w:proofErr w:type="spellEnd"/>
      <w:r>
        <w:rPr>
          <w:rtl/>
        </w:rPr>
        <w:t xml:space="preserve"> </w:t>
      </w:r>
      <w:proofErr w:type="spellStart"/>
      <w:r>
        <w:rPr>
          <w:rtl/>
        </w:rPr>
        <w:t>פינקל</w:t>
      </w:r>
      <w:proofErr w:type="spellEnd"/>
      <w:r>
        <w:rPr>
          <w:rtl/>
        </w:rPr>
        <w:t xml:space="preserve"> מהי עמדתו האידיאלית בעניין זה: “אמנם דרך הצדיק שלא להעדיף את ילדיו על ילדי אחרים. ואולם אין הדבר כך אלא בחיצוניות; בפנימיות, </w:t>
      </w:r>
      <w:r>
        <w:rPr>
          <w:b/>
          <w:bCs/>
          <w:rtl/>
        </w:rPr>
        <w:t>מחמת הטבע</w:t>
      </w:r>
      <w:r>
        <w:rPr>
          <w:rtl/>
        </w:rPr>
        <w:t xml:space="preserve"> (ההדגשה שלי), אהבת בנו קודמת לאהבת בן חברו”. הוא כתב זאת </w:t>
      </w:r>
      <w:proofErr w:type="spellStart"/>
      <w:r>
        <w:rPr>
          <w:rtl/>
        </w:rPr>
        <w:t>בתרמ״א</w:t>
      </w:r>
      <w:proofErr w:type="spellEnd"/>
      <w:r>
        <w:rPr>
          <w:rtl/>
        </w:rPr>
        <w:t xml:space="preserve">, אבל יש ראיה חזקה שעד שבא אבי לישיבה, כרבע מאה לאחר מכן, כבר שבר הסבא </w:t>
      </w:r>
      <w:proofErr w:type="spellStart"/>
      <w:r>
        <w:rPr>
          <w:rtl/>
        </w:rPr>
        <w:t>מסלבודקה</w:t>
      </w:r>
      <w:proofErr w:type="spellEnd"/>
      <w:r>
        <w:rPr>
          <w:rtl/>
        </w:rPr>
        <w:t xml:space="preserve"> את כבלי “הטבע”. השווה כץ, “תנועת המוסר”, כרך ג</w:t>
      </w:r>
      <w:bookmarkStart w:id="4984" w:name="_fnr3674"/>
      <w:r>
        <w:rPr>
          <w:vertAlign w:val="superscript"/>
          <w:rtl/>
        </w:rPr>
        <w:footnoteReference w:id="3682" w:customMarkFollows="0"/>
      </w:r>
      <w:bookmarkEnd w:id="4984"/>
      <w:r>
        <w:rPr>
          <w:rtl/>
        </w:rPr>
        <w:t>, על סירובו להתיר שימוש בכספי הישיבה, שנועדו למלגות התלמידים, לתיקון נעליו של בנו [אברהם־]שמואל, בסביבות תרס״ה.</w:t>
      </w:r>
    </w:p>
    <w:p w14:paraId="605FB4F2" w14:textId="77777777" w:rsidR="00AB3647" w:rsidRDefault="00000000" w:rsidP="007923E9">
      <w:pPr>
        <w:spacing w:after="120" w:line="276" w:lineRule="auto"/>
        <w:ind w:firstLine="283"/>
        <w:jc w:val="both"/>
      </w:pPr>
      <w:r>
        <w:rPr>
          <w:rtl/>
        </w:rPr>
        <w:lastRenderedPageBreak/>
        <w:t>השווה גם שם</w:t>
      </w:r>
      <w:bookmarkStart w:id="4985" w:name="_fnr3675"/>
      <w:r>
        <w:rPr>
          <w:vertAlign w:val="superscript"/>
          <w:rtl/>
        </w:rPr>
        <w:footnoteReference w:id="3683" w:customMarkFollows="0"/>
      </w:r>
      <w:bookmarkEnd w:id="4985"/>
      <w:r>
        <w:rPr>
          <w:rtl/>
        </w:rPr>
        <w:t xml:space="preserve">, בעניין התפקידים בישיבה שנתן ר׳ </w:t>
      </w:r>
      <w:proofErr w:type="spellStart"/>
      <w:r>
        <w:rPr>
          <w:rtl/>
        </w:rPr>
        <w:t>נתן־צבי</w:t>
      </w:r>
      <w:proofErr w:type="spellEnd"/>
      <w:r>
        <w:rPr>
          <w:rtl/>
        </w:rPr>
        <w:t xml:space="preserve"> לחתנו ר׳ אייזיק שר ולבנו ר׳ משה. כשמחה על כך ר׳ </w:t>
      </w:r>
      <w:proofErr w:type="spellStart"/>
      <w:r>
        <w:rPr>
          <w:rtl/>
        </w:rPr>
        <w:t>יחיאל־יעקב</w:t>
      </w:r>
      <w:proofErr w:type="spellEnd"/>
      <w:r>
        <w:rPr>
          <w:rtl/>
        </w:rPr>
        <w:t xml:space="preserve"> ויינברג</w:t>
      </w:r>
      <w:bookmarkStart w:id="4986" w:name="_fnr3676"/>
      <w:r>
        <w:rPr>
          <w:vertAlign w:val="superscript"/>
          <w:rtl/>
        </w:rPr>
        <w:footnoteReference w:id="3684" w:customMarkFollows="0"/>
      </w:r>
      <w:bookmarkEnd w:id="4986"/>
      <w:r>
        <w:rPr>
          <w:rtl/>
        </w:rPr>
        <w:t xml:space="preserve">, שלח אליו הסבא את ר׳ אברהם </w:t>
      </w:r>
      <w:proofErr w:type="spellStart"/>
      <w:r>
        <w:rPr>
          <w:rtl/>
        </w:rPr>
        <w:t>גרודזינסקי</w:t>
      </w:r>
      <w:proofErr w:type="spellEnd"/>
      <w:r>
        <w:rPr>
          <w:rtl/>
        </w:rPr>
        <w:t xml:space="preserve">, “שהסביר לו כדברים הנזכרים” – כלומר שרק “לאחר ששוכנע שהם ראויים לאותה </w:t>
      </w:r>
      <w:proofErr w:type="spellStart"/>
      <w:r>
        <w:rPr>
          <w:rtl/>
        </w:rPr>
        <w:t>איצטלא</w:t>
      </w:r>
      <w:proofErr w:type="spellEnd"/>
      <w:r>
        <w:rPr>
          <w:rtl/>
        </w:rPr>
        <w:t xml:space="preserve"> מכל הבחינות ואף אם לא היו קרובי משפחה היו באים בחשבון למטרות אלה, כדי לבצר את שיטתו המוסרית ולשמור על </w:t>
      </w:r>
      <w:proofErr w:type="spellStart"/>
      <w:r>
        <w:rPr>
          <w:rtl/>
        </w:rPr>
        <w:t>אופיה</w:t>
      </w:r>
      <w:proofErr w:type="spellEnd"/>
      <w:r>
        <w:rPr>
          <w:rtl/>
        </w:rPr>
        <w:t xml:space="preserve"> המיוחד של הישיבה, הכריע לטובתם” – “והוסיף כי אמנם יצרו הטוב הסיתו להתנגד לזה, ‘משום הרחקת אהבת האב לבניו והרחקת החשד’, אבל משום הנימוקים דלעיל להבטיח את המשך הישיבה באותה רוח, ראה את עצמו מחויב בזה להתגבר על יצרו טוב זה”.</w:t>
      </w:r>
    </w:p>
    <w:p w14:paraId="52AD94A2" w14:textId="77777777" w:rsidR="00AB3647" w:rsidRDefault="00000000" w:rsidP="007923E9">
      <w:pPr>
        <w:spacing w:after="120" w:line="276" w:lineRule="auto"/>
        <w:ind w:firstLine="283"/>
        <w:jc w:val="both"/>
      </w:pPr>
      <w:r>
        <w:rPr>
          <w:rtl/>
        </w:rPr>
        <w:t xml:space="preserve">גילוי מעניין על מחאת ר׳ </w:t>
      </w:r>
      <w:proofErr w:type="spellStart"/>
      <w:r>
        <w:rPr>
          <w:rtl/>
        </w:rPr>
        <w:t>יחיאל־יעקב</w:t>
      </w:r>
      <w:proofErr w:type="spellEnd"/>
      <w:r>
        <w:rPr>
          <w:rtl/>
        </w:rPr>
        <w:t xml:space="preserve"> ויינברג בפני הסבא עולה מאחד ממכתביו </w:t>
      </w:r>
      <w:proofErr w:type="spellStart"/>
      <w:r>
        <w:rPr>
          <w:rtl/>
        </w:rPr>
        <w:t>לר</w:t>
      </w:r>
      <w:proofErr w:type="spellEnd"/>
      <w:r>
        <w:rPr>
          <w:rtl/>
        </w:rPr>
        <w:t>׳ דב כץ</w:t>
      </w:r>
      <w:bookmarkStart w:id="4987" w:name="_fnr3677"/>
      <w:r>
        <w:rPr>
          <w:vertAlign w:val="superscript"/>
          <w:rtl/>
        </w:rPr>
        <w:footnoteReference w:id="3685" w:customMarkFollows="0"/>
      </w:r>
      <w:bookmarkEnd w:id="4987"/>
      <w:r>
        <w:rPr>
          <w:rtl/>
        </w:rPr>
        <w:t xml:space="preserve">. וכך כתב: “הסבא השמיע ביקורת על קלם, שממנים בה קרובי משפחה, ואני התערבתי ואמרתי שגם הסבא מנהל כך את </w:t>
      </w:r>
      <w:proofErr w:type="spellStart"/>
      <w:r>
        <w:rPr>
          <w:rtl/>
        </w:rPr>
        <w:t>סלבודקה</w:t>
      </w:r>
      <w:bookmarkStart w:id="4988" w:name="_fnr3678"/>
      <w:proofErr w:type="spellEnd"/>
      <w:r>
        <w:rPr>
          <w:vertAlign w:val="superscript"/>
          <w:rtl/>
        </w:rPr>
        <w:footnoteReference w:id="3686" w:customMarkFollows="0"/>
      </w:r>
      <w:bookmarkEnd w:id="4988"/>
      <w:r>
        <w:rPr>
          <w:rtl/>
        </w:rPr>
        <w:t xml:space="preserve">. הסבא הרים את מקל הכסף שלו כאילו להכותני, ואני ברחתי מן הבית. אחר כך בא שלוחו, ר׳ אברהם </w:t>
      </w:r>
      <w:proofErr w:type="spellStart"/>
      <w:r>
        <w:rPr>
          <w:rtl/>
        </w:rPr>
        <w:t>ורשבר</w:t>
      </w:r>
      <w:proofErr w:type="spellEnd"/>
      <w:r>
        <w:rPr>
          <w:rtl/>
        </w:rPr>
        <w:t xml:space="preserve"> [</w:t>
      </w:r>
      <w:proofErr w:type="spellStart"/>
      <w:r>
        <w:rPr>
          <w:rtl/>
        </w:rPr>
        <w:t>גרודזינסקי</w:t>
      </w:r>
      <w:proofErr w:type="spellEnd"/>
      <w:r>
        <w:rPr>
          <w:rtl/>
        </w:rPr>
        <w:t xml:space="preserve">], אל חדרי כדי להוכיח שאצל הסבא נעשה הדבר בלא נגיעה אישית. כשביאר לי את הדברים, אמרתי לשליח ששכנע אותי; אבל ר׳ אברהם </w:t>
      </w:r>
      <w:proofErr w:type="spellStart"/>
      <w:r>
        <w:rPr>
          <w:rtl/>
        </w:rPr>
        <w:t>גרודזינסקי</w:t>
      </w:r>
      <w:proofErr w:type="spellEnd"/>
      <w:r>
        <w:rPr>
          <w:rtl/>
        </w:rPr>
        <w:t xml:space="preserve"> אמר שהסבא הורה לו להקדיש שעתיים לשכנעי, ומאחר שעדיין לא עברו שעתיים, עליו לחזור על הכול שוב כדי לוודא שהבנתי כראוי את דבריו”. אפשר לשער שר׳ אברהם </w:t>
      </w:r>
      <w:proofErr w:type="spellStart"/>
      <w:r>
        <w:rPr>
          <w:rtl/>
        </w:rPr>
        <w:t>גרודזינסקי</w:t>
      </w:r>
      <w:proofErr w:type="spellEnd"/>
      <w:r>
        <w:rPr>
          <w:rtl/>
        </w:rPr>
        <w:t xml:space="preserve">, תלמידו המובהק של הסבא שלא היה קרוב משפחתו, מונה גם הוא לתפקיד ששמו המשונה “מנהל מוסרי” </w:t>
      </w:r>
      <w:proofErr w:type="spellStart"/>
      <w:r>
        <w:rPr>
          <w:rtl/>
        </w:rPr>
        <w:t>בתרע״ג</w:t>
      </w:r>
      <w:bookmarkStart w:id="4989" w:name="_fnr3679"/>
      <w:proofErr w:type="spellEnd"/>
      <w:r>
        <w:rPr>
          <w:vertAlign w:val="superscript"/>
          <w:rtl/>
        </w:rPr>
        <w:footnoteReference w:id="3687" w:customMarkFollows="0"/>
      </w:r>
      <w:bookmarkEnd w:id="4989"/>
      <w:r>
        <w:rPr>
          <w:rtl/>
        </w:rPr>
        <w:t>, כדי לפייס את המתרעמים על מה שנראה לכאורה כמינוי קרובים.</w:t>
      </w:r>
    </w:p>
    <w:p w14:paraId="682BFA31" w14:textId="77777777" w:rsidR="00AB3647" w:rsidRDefault="00000000" w:rsidP="007923E9">
      <w:pPr>
        <w:spacing w:after="120" w:line="276" w:lineRule="auto"/>
        <w:ind w:firstLine="283"/>
        <w:jc w:val="both"/>
      </w:pPr>
      <w:r>
        <w:rPr>
          <w:rtl/>
        </w:rPr>
        <w:t xml:space="preserve">נכדתו של הסבא </w:t>
      </w:r>
      <w:proofErr w:type="spellStart"/>
      <w:r>
        <w:rPr>
          <w:rtl/>
        </w:rPr>
        <w:t>מסלבודקה</w:t>
      </w:r>
      <w:proofErr w:type="spellEnd"/>
      <w:r>
        <w:rPr>
          <w:rtl/>
        </w:rPr>
        <w:t xml:space="preserve">, </w:t>
      </w:r>
      <w:proofErr w:type="spellStart"/>
      <w:r>
        <w:rPr>
          <w:rtl/>
        </w:rPr>
        <w:t>חיה־מרים</w:t>
      </w:r>
      <w:proofErr w:type="spellEnd"/>
      <w:r>
        <w:rPr>
          <w:rtl/>
        </w:rPr>
        <w:t xml:space="preserve"> </w:t>
      </w:r>
      <w:proofErr w:type="spellStart"/>
      <w:r>
        <w:rPr>
          <w:rtl/>
        </w:rPr>
        <w:t>שולמן</w:t>
      </w:r>
      <w:proofErr w:type="spellEnd"/>
      <w:r>
        <w:rPr>
          <w:rtl/>
        </w:rPr>
        <w:t xml:space="preserve">, סיפרה על אירוע שאירע בתחילת חורף תרע״ב, שלושה עשורים אחרי שכתב הסבא את מאמרו </w:t>
      </w:r>
      <w:proofErr w:type="spellStart"/>
      <w:r>
        <w:rPr>
          <w:rtl/>
        </w:rPr>
        <w:t>ב“עץ</w:t>
      </w:r>
      <w:proofErr w:type="spellEnd"/>
      <w:r>
        <w:rPr>
          <w:rtl/>
        </w:rPr>
        <w:t xml:space="preserve"> פרי”. האירוע אינו משאיר ספק שבאותה עת כבר התגבר הסבא לחלוטין על הנטייה הטבעית.</w:t>
      </w:r>
    </w:p>
    <w:p w14:paraId="7A2A26DA" w14:textId="77777777" w:rsidR="00AB3647" w:rsidRDefault="00000000" w:rsidP="007923E9">
      <w:pPr>
        <w:spacing w:after="120" w:line="276" w:lineRule="auto"/>
        <w:ind w:firstLine="283"/>
        <w:jc w:val="both"/>
      </w:pPr>
      <w:r>
        <w:rPr>
          <w:rtl/>
        </w:rPr>
        <w:t>היא העלתה</w:t>
      </w:r>
      <w:bookmarkStart w:id="4990" w:name="_fnr3680"/>
      <w:r>
        <w:rPr>
          <w:vertAlign w:val="superscript"/>
          <w:rtl/>
        </w:rPr>
        <w:footnoteReference w:id="3688" w:customMarkFollows="0"/>
      </w:r>
      <w:bookmarkEnd w:id="4990"/>
      <w:r>
        <w:rPr>
          <w:rtl/>
        </w:rPr>
        <w:t xml:space="preserve"> את הזיכרון המוקדם ביותר בחייה: ביקורו של ר׳ </w:t>
      </w:r>
      <w:proofErr w:type="spellStart"/>
      <w:r>
        <w:rPr>
          <w:rtl/>
        </w:rPr>
        <w:t>איסר־זלמן</w:t>
      </w:r>
      <w:proofErr w:type="spellEnd"/>
      <w:r>
        <w:rPr>
          <w:rtl/>
        </w:rPr>
        <w:t xml:space="preserve"> בביתה. “הוא ישב בשיכול רגליים”, סיפרה, “ופנה אל אמי בשמה הפרטי ואמר: ‘אמרי לאביך שאני לא אעזוב בלעדיו; יחטפו אותו. אינך יודעת איזה אוצר הוא.’ הוא בא </w:t>
      </w:r>
      <w:proofErr w:type="spellStart"/>
      <w:r>
        <w:rPr>
          <w:rtl/>
        </w:rPr>
        <w:t>לסלבודקה</w:t>
      </w:r>
      <w:proofErr w:type="spellEnd"/>
      <w:r>
        <w:rPr>
          <w:rtl/>
        </w:rPr>
        <w:t xml:space="preserve"> </w:t>
      </w:r>
      <w:proofErr w:type="spellStart"/>
      <w:r>
        <w:rPr>
          <w:rtl/>
        </w:rPr>
        <w:t>מסלוצק</w:t>
      </w:r>
      <w:proofErr w:type="spellEnd"/>
      <w:r>
        <w:rPr>
          <w:rtl/>
        </w:rPr>
        <w:t xml:space="preserve"> לשידוך </w:t>
      </w:r>
      <w:r>
        <w:rPr>
          <w:rtl/>
        </w:rPr>
        <w:lastRenderedPageBreak/>
        <w:t xml:space="preserve">לבתו, והתכוון לאהרן </w:t>
      </w:r>
      <w:proofErr w:type="spellStart"/>
      <w:r>
        <w:rPr>
          <w:rtl/>
        </w:rPr>
        <w:t>הסיסלוביצ׳ר</w:t>
      </w:r>
      <w:proofErr w:type="spellEnd"/>
      <w:r>
        <w:rPr>
          <w:rtl/>
        </w:rPr>
        <w:t xml:space="preserve"> [קוטלר]. ליוויתי את אמי כשנכנסה לחדרו של סבא ואמרה: ‘אתה נותן את אהרן? איך אתה עושה דבר כזה?’ והוא השיב: ‘אני נותן אותו? אני לוקח אותו לעצמי. ר׳ </w:t>
      </w:r>
      <w:proofErr w:type="spellStart"/>
      <w:r>
        <w:rPr>
          <w:rtl/>
        </w:rPr>
        <w:t>איסר־זלמן</w:t>
      </w:r>
      <w:proofErr w:type="spellEnd"/>
      <w:r>
        <w:rPr>
          <w:rtl/>
        </w:rPr>
        <w:t xml:space="preserve"> יקר לי יותר מ[בני, אחיך] </w:t>
      </w:r>
      <w:proofErr w:type="spellStart"/>
      <w:r>
        <w:rPr>
          <w:rtl/>
        </w:rPr>
        <w:t>לייזר־יודל</w:t>
      </w:r>
      <w:proofErr w:type="spellEnd"/>
      <w:r>
        <w:rPr>
          <w:rtl/>
        </w:rPr>
        <w:t xml:space="preserve">.’” הרבנית </w:t>
      </w:r>
      <w:proofErr w:type="spellStart"/>
      <w:r>
        <w:rPr>
          <w:rtl/>
        </w:rPr>
        <w:t>שולמן</w:t>
      </w:r>
      <w:proofErr w:type="spellEnd"/>
      <w:r>
        <w:rPr>
          <w:rtl/>
        </w:rPr>
        <w:t xml:space="preserve"> הוסיפה שכשגדלה הבינה שעליה לחרות את המאורע בזיכרונה לעד.</w:t>
      </w:r>
    </w:p>
    <w:p w14:paraId="3E217F78" w14:textId="77777777" w:rsidR="00AB3647" w:rsidRDefault="00000000" w:rsidP="007923E9">
      <w:pPr>
        <w:spacing w:after="120" w:line="276" w:lineRule="auto"/>
        <w:ind w:firstLine="283"/>
        <w:jc w:val="both"/>
      </w:pPr>
      <w:r>
        <w:rPr>
          <w:rtl/>
        </w:rPr>
        <w:t xml:space="preserve">ר׳ שלמה </w:t>
      </w:r>
      <w:proofErr w:type="spellStart"/>
      <w:r>
        <w:rPr>
          <w:rtl/>
        </w:rPr>
        <w:t>איידלשטיין</w:t>
      </w:r>
      <w:bookmarkStart w:id="4991" w:name="_fnr3681"/>
      <w:proofErr w:type="spellEnd"/>
      <w:r>
        <w:rPr>
          <w:vertAlign w:val="superscript"/>
          <w:rtl/>
        </w:rPr>
        <w:footnoteReference w:id="3689" w:customMarkFollows="0"/>
      </w:r>
      <w:bookmarkEnd w:id="4991"/>
      <w:r>
        <w:rPr>
          <w:rtl/>
        </w:rPr>
        <w:t xml:space="preserve">, שגם לו, כמו לי, סיפרה </w:t>
      </w:r>
      <w:proofErr w:type="spellStart"/>
      <w:r>
        <w:rPr>
          <w:rtl/>
        </w:rPr>
        <w:t>חיה־מרים</w:t>
      </w:r>
      <w:proofErr w:type="spellEnd"/>
      <w:r>
        <w:rPr>
          <w:rtl/>
        </w:rPr>
        <w:t xml:space="preserve"> </w:t>
      </w:r>
      <w:proofErr w:type="spellStart"/>
      <w:r>
        <w:rPr>
          <w:rtl/>
        </w:rPr>
        <w:t>שולמן</w:t>
      </w:r>
      <w:proofErr w:type="spellEnd"/>
      <w:r>
        <w:rPr>
          <w:rtl/>
        </w:rPr>
        <w:t xml:space="preserve"> על המקרה, מסר שאמה טענה: “אבל </w:t>
      </w:r>
      <w:proofErr w:type="spellStart"/>
      <w:r>
        <w:rPr>
          <w:rtl/>
        </w:rPr>
        <w:t>טאטע</w:t>
      </w:r>
      <w:proofErr w:type="spellEnd"/>
      <w:r>
        <w:rPr>
          <w:rtl/>
        </w:rPr>
        <w:t xml:space="preserve">, ר׳ </w:t>
      </w:r>
      <w:proofErr w:type="spellStart"/>
      <w:r>
        <w:rPr>
          <w:rtl/>
        </w:rPr>
        <w:t>לייזר־יודל</w:t>
      </w:r>
      <w:proofErr w:type="spellEnd"/>
      <w:r>
        <w:rPr>
          <w:rtl/>
        </w:rPr>
        <w:t xml:space="preserve"> </w:t>
      </w:r>
      <w:proofErr w:type="spellStart"/>
      <w:r>
        <w:rPr>
          <w:rtl/>
        </w:rPr>
        <w:t>איז</w:t>
      </w:r>
      <w:proofErr w:type="spellEnd"/>
      <w:r>
        <w:rPr>
          <w:rtl/>
        </w:rPr>
        <w:t xml:space="preserve"> דאך א צדיק [הרי הוא צדיק גדול] (כלומר, צדיק יותר מר׳ </w:t>
      </w:r>
      <w:proofErr w:type="spellStart"/>
      <w:r>
        <w:rPr>
          <w:rtl/>
        </w:rPr>
        <w:t>איסר־זלמן</w:t>
      </w:r>
      <w:proofErr w:type="spellEnd"/>
      <w:r>
        <w:rPr>
          <w:rtl/>
        </w:rPr>
        <w:t>)”, והסבא לא השיב.</w:t>
      </w:r>
      <w:bookmarkStart w:id="4992" w:name="_fnr3682"/>
      <w:r>
        <w:rPr>
          <w:vertAlign w:val="superscript"/>
          <w:rtl/>
        </w:rPr>
        <w:footnoteReference w:id="3690" w:customMarkFollows="0"/>
      </w:r>
      <w:bookmarkEnd w:id="4992"/>
    </w:p>
    <w:p w14:paraId="2623E541" w14:textId="7A7D65FD" w:rsidR="00AB3647" w:rsidRDefault="00000000" w:rsidP="007923E9">
      <w:pPr>
        <w:spacing w:after="120" w:line="276" w:lineRule="auto"/>
        <w:ind w:firstLine="283"/>
        <w:jc w:val="both"/>
      </w:pPr>
      <w:r>
        <w:rPr>
          <w:rtl/>
        </w:rPr>
        <w:t>בעלון ערב שבת “תודעה”</w:t>
      </w:r>
      <w:bookmarkStart w:id="4993" w:name="_fnr3683"/>
      <w:r>
        <w:rPr>
          <w:vertAlign w:val="superscript"/>
          <w:rtl/>
        </w:rPr>
        <w:footnoteReference w:id="3691" w:customMarkFollows="0"/>
      </w:r>
      <w:bookmarkEnd w:id="4993"/>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שפעם ישב בבית הסבא ושוחח עם רבו, ונכנס ר׳ </w:t>
      </w:r>
      <w:proofErr w:type="spellStart"/>
      <w:r>
        <w:rPr>
          <w:rtl/>
        </w:rPr>
        <w:t>לייזר־יודל</w:t>
      </w:r>
      <w:proofErr w:type="spellEnd"/>
      <w:r>
        <w:rPr>
          <w:rtl/>
        </w:rPr>
        <w:t xml:space="preserve"> אחרי היעדרות ממושכת </w:t>
      </w:r>
      <w:proofErr w:type="spellStart"/>
      <w:r>
        <w:rPr>
          <w:rtl/>
        </w:rPr>
        <w:t>מסלבודקה</w:t>
      </w:r>
      <w:proofErr w:type="spellEnd"/>
      <w:r>
        <w:rPr>
          <w:rtl/>
        </w:rPr>
        <w:t xml:space="preserve">. הסבא בירך את בנו </w:t>
      </w:r>
      <w:proofErr w:type="spellStart"/>
      <w:r>
        <w:rPr>
          <w:rtl/>
        </w:rPr>
        <w:t>ב“שלום</w:t>
      </w:r>
      <w:proofErr w:type="spellEnd"/>
      <w:r>
        <w:rPr>
          <w:rtl/>
        </w:rPr>
        <w:t xml:space="preserve"> עליכם” קצר, והמשיך בשיחתו עם ר׳ </w:t>
      </w:r>
      <w:proofErr w:type="spellStart"/>
      <w:r>
        <w:rPr>
          <w:rtl/>
        </w:rPr>
        <w:t>יעקב־יצחק</w:t>
      </w:r>
      <w:proofErr w:type="spellEnd"/>
      <w:r>
        <w:rPr>
          <w:rtl/>
        </w:rPr>
        <w:t xml:space="preserve">. כשאמרה הסבתא: “האם לא הבחנת </w:t>
      </w:r>
      <w:proofErr w:type="spellStart"/>
      <w:r>
        <w:rPr>
          <w:rtl/>
        </w:rPr>
        <w:t>שלייזר־יודל</w:t>
      </w:r>
      <w:proofErr w:type="spellEnd"/>
      <w:r>
        <w:rPr>
          <w:rtl/>
        </w:rPr>
        <w:t xml:space="preserve"> הגיע?”, השיב בעלה: “בוודאי הבחנתי. אבל מה בכך? הוא בני, וגם </w:t>
      </w:r>
      <w:proofErr w:type="spellStart"/>
      <w:r>
        <w:rPr>
          <w:rtl/>
        </w:rPr>
        <w:t>הדולהינובר</w:t>
      </w:r>
      <w:proofErr w:type="spellEnd"/>
      <w:r>
        <w:rPr>
          <w:rtl/>
        </w:rPr>
        <w:t xml:space="preserve"> [ר׳ </w:t>
      </w:r>
      <w:proofErr w:type="spellStart"/>
      <w:r>
        <w:rPr>
          <w:rtl/>
        </w:rPr>
        <w:t>יעקב־יצחק</w:t>
      </w:r>
      <w:proofErr w:type="spellEnd"/>
      <w:r>
        <w:rPr>
          <w:rtl/>
        </w:rPr>
        <w:t xml:space="preserve"> </w:t>
      </w:r>
      <w:proofErr w:type="spellStart"/>
      <w:r>
        <w:rPr>
          <w:rtl/>
        </w:rPr>
        <w:t>רודרמן</w:t>
      </w:r>
      <w:proofErr w:type="spellEnd"/>
      <w:r>
        <w:rPr>
          <w:rtl/>
        </w:rPr>
        <w:t xml:space="preserve">] הוא בני; האם עליי להפסיק שיחה עם בן אחד כדי לקבל בן אחר?” השווה גם פרק 3, סוף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שם מבואר במה נבדלה השקפת ר׳ חיים </w:t>
      </w:r>
      <w:proofErr w:type="spellStart"/>
      <w:r>
        <w:rPr>
          <w:rtl/>
        </w:rPr>
        <w:t>סולובייצ׳יק</w:t>
      </w:r>
      <w:proofErr w:type="spellEnd"/>
      <w:r>
        <w:rPr>
          <w:rtl/>
        </w:rPr>
        <w:t xml:space="preserve"> בעניין זה מהשקפת הסבא.</w:t>
      </w:r>
    </w:p>
    <w:p w14:paraId="4A1EAD1A" w14:textId="77777777" w:rsidR="00AB3647" w:rsidRDefault="00000000" w:rsidP="007923E9">
      <w:pPr>
        <w:pStyle w:val="4"/>
        <w:spacing w:line="276" w:lineRule="auto"/>
      </w:pPr>
      <w:r>
        <w:t>· הפסקה השנייה ·</w:t>
      </w:r>
    </w:p>
    <w:p w14:paraId="15E3AB05" w14:textId="77777777" w:rsidR="00AB3647" w:rsidRDefault="00000000" w:rsidP="007923E9">
      <w:pPr>
        <w:pStyle w:val="5"/>
        <w:spacing w:line="276" w:lineRule="auto"/>
      </w:pPr>
      <w:r>
        <w:rPr>
          <w:bCs/>
          <w:szCs w:val="26"/>
        </w:rPr>
        <w:t>תלמידי הסבא שומרים על קרבתם למשפחתו</w:t>
      </w:r>
    </w:p>
    <w:p w14:paraId="5A2499DC" w14:textId="77777777" w:rsidR="00AB3647" w:rsidRDefault="00000000" w:rsidP="007923E9">
      <w:pPr>
        <w:spacing w:after="120" w:line="276" w:lineRule="auto"/>
        <w:ind w:firstLine="283"/>
        <w:jc w:val="both"/>
      </w:pPr>
      <w:r>
        <w:rPr>
          <w:rtl/>
        </w:rPr>
        <w:t>תלמידים רבים השיבו לסבא אהבה משפחתית, וגם אחרי שעזבו את הישיבה והקימו משפחות נשארו “קשורים אליו בחבלי נפשם”</w:t>
      </w:r>
      <w:bookmarkStart w:id="4994" w:name="_fnr3684"/>
      <w:r>
        <w:rPr>
          <w:vertAlign w:val="superscript"/>
          <w:rtl/>
        </w:rPr>
        <w:footnoteReference w:id="3692" w:customMarkFollows="0"/>
      </w:r>
      <w:bookmarkEnd w:id="4994"/>
      <w:r>
        <w:rPr>
          <w:rtl/>
        </w:rPr>
        <w:t xml:space="preserve">. אבי היה אחד מהם. קשרו הרגשי ניכר בקרבתו לבני משפחת הסבא – ובהם ר׳ יוסף פרבר ור׳ מרדכי </w:t>
      </w:r>
      <w:proofErr w:type="spellStart"/>
      <w:r>
        <w:rPr>
          <w:rtl/>
        </w:rPr>
        <w:t>שולמן</w:t>
      </w:r>
      <w:proofErr w:type="spellEnd"/>
      <w:r>
        <w:rPr>
          <w:rtl/>
        </w:rPr>
        <w:t xml:space="preserve">, ששניהם נשאו נכדות של הסבא </w:t>
      </w:r>
      <w:proofErr w:type="spellStart"/>
      <w:r>
        <w:rPr>
          <w:rtl/>
        </w:rPr>
        <w:t>מסלבודקה</w:t>
      </w:r>
      <w:proofErr w:type="spellEnd"/>
      <w:r>
        <w:rPr>
          <w:rtl/>
        </w:rPr>
        <w:t xml:space="preserve"> – ולצאצאיהם. מסתבר שגם יחסי האחווה הידועים והמתמידים בין תלמידי </w:t>
      </w:r>
      <w:proofErr w:type="spellStart"/>
      <w:r>
        <w:rPr>
          <w:rtl/>
        </w:rPr>
        <w:t>סלבודקה</w:t>
      </w:r>
      <w:proofErr w:type="spellEnd"/>
      <w:r>
        <w:rPr>
          <w:rtl/>
        </w:rPr>
        <w:t>, ורוח האחדות שלהם, צמחו מקרבתם המשותפת לרבם, כעין קרבת בנים לאביהם.</w:t>
      </w:r>
    </w:p>
    <w:bookmarkStart w:id="4995" w:name="b4_excD"/>
    <w:bookmarkStart w:id="4996" w:name="b4_annexD"/>
    <w:p w14:paraId="492F6BDB" w14:textId="77777777" w:rsidR="00AB3647" w:rsidRDefault="00000000" w:rsidP="007923E9">
      <w:pPr>
        <w:pStyle w:val="3"/>
        <w:spacing w:line="276" w:lineRule="auto"/>
      </w:pPr>
      <w:r>
        <w:lastRenderedPageBreak/>
        <w:fldChar w:fldCharType="begin" w:dirty="true"/>
      </w:r>
      <w:r>
        <w:rPr>
          <w:rtl w:val="0"/>
        </w:rPr>
        <w:instrText>HYPERLINK \l "b4_note39</w:instrText>
      </w:r>
      <w:r>
        <w:instrText>"</w:instrText>
      </w:r>
      <w:r>
        <w:fldChar w:fldCharType="separate"/>
      </w:r>
      <w:r>
        <w:t>נספח ד</w:t>
      </w:r>
      <w:r>
        <w:fldChar w:fldCharType="end"/>
      </w:r>
      <w:bookmarkEnd w:id="4995"/>
      <w:bookmarkEnd w:id="4996"/>
    </w:p>
    <w:p w14:paraId="3B498FB8" w14:textId="77777777" w:rsidR="00AB3647" w:rsidRDefault="00000000" w:rsidP="007923E9">
      <w:pPr>
        <w:pStyle w:val="af"/>
        <w:spacing w:line="276" w:lineRule="auto"/>
      </w:pPr>
      <w:r>
        <w:t xml:space="preserve">על הכוונת הסבא את ר׳ </w:t>
      </w:r>
      <w:proofErr w:type="spellStart"/>
      <w:r>
        <w:t>יחיאל־יעקב</w:t>
      </w:r>
      <w:proofErr w:type="spellEnd"/>
      <w:r>
        <w:t xml:space="preserve"> ויינברג, ועל אורך רוחו של הלה לנוכח חייו הטרגיים</w:t>
      </w:r>
    </w:p>
    <w:p w14:paraId="101B538C" w14:textId="77777777" w:rsidR="00AB3647" w:rsidRDefault="00000000" w:rsidP="007923E9">
      <w:pPr>
        <w:pStyle w:val="5"/>
        <w:spacing w:line="276" w:lineRule="auto"/>
      </w:pPr>
      <w:r>
        <w:t xml:space="preserve">הסבא פועל בשיתוף עם גדולי התלמידים – ר׳ </w:t>
      </w:r>
      <w:proofErr w:type="spellStart"/>
      <w:r>
        <w:t>יחיאל־יעקב</w:t>
      </w:r>
      <w:proofErr w:type="spellEnd"/>
      <w:r>
        <w:t xml:space="preserve"> ויינברג ניצב על פרשת דרכים – הוא רואה עצמו שייך לשני עולמות הסותרים זה את זה – אין הוא נוטר טינה על חוויית נישואיו הטרגית – אורך רוחו מגיע עד כדי פגם – הסבא מנסה לשמור על שלמות נישואיו – ר׳ </w:t>
      </w:r>
      <w:proofErr w:type="spellStart"/>
      <w:r>
        <w:t>יחיאל־יעקב</w:t>
      </w:r>
      <w:proofErr w:type="spellEnd"/>
      <w:r>
        <w:t xml:space="preserve"> פסימי באשר לעתיד – הוא מיטיב לכתוב על מוסר – הוא עדין ביותר ורב חסד</w:t>
      </w:r>
    </w:p>
    <w:p w14:paraId="0360E333" w14:textId="77777777" w:rsidR="00AB3647" w:rsidRDefault="00000000" w:rsidP="007923E9">
      <w:pPr>
        <w:spacing w:after="120" w:line="276" w:lineRule="auto"/>
        <w:ind w:firstLine="283"/>
        <w:jc w:val="both"/>
      </w:pPr>
      <w:r>
        <w:rPr>
          <w:rtl/>
        </w:rPr>
        <w:t>כץ, “תנועת המוסר”, כרך ג</w:t>
      </w:r>
      <w:bookmarkStart w:id="4997" w:name="_fnr3685"/>
      <w:r>
        <w:rPr>
          <w:vertAlign w:val="superscript"/>
          <w:rtl/>
        </w:rPr>
        <w:footnoteReference w:id="3693" w:customMarkFollows="0"/>
      </w:r>
      <w:bookmarkEnd w:id="4997"/>
      <w:r>
        <w:rPr>
          <w:rtl/>
        </w:rPr>
        <w:t xml:space="preserve">. לא היה זה חסר יסוד לגמרי </w:t>
      </w:r>
      <w:proofErr w:type="spellStart"/>
      <w:r>
        <w:rPr>
          <w:rtl/>
        </w:rPr>
        <w:t>ש“הישיבה</w:t>
      </w:r>
      <w:proofErr w:type="spellEnd"/>
      <w:r>
        <w:rPr>
          <w:rtl/>
        </w:rPr>
        <w:t>” הייתה גוף שקבע אמות מידה להנהגה, להבדיל מן המשגיח כשלעצמו. “שרידי אש”</w:t>
      </w:r>
      <w:bookmarkStart w:id="4998" w:name="_fnr3686"/>
      <w:r>
        <w:rPr>
          <w:vertAlign w:val="superscript"/>
          <w:rtl/>
        </w:rPr>
        <w:footnoteReference w:id="3694" w:customMarkFollows="0"/>
      </w:r>
      <w:bookmarkEnd w:id="4998"/>
      <w:r>
        <w:rPr>
          <w:rtl/>
        </w:rPr>
        <w:t xml:space="preserve"> אומר שהסבא “לא עשה שום דבר גדול או קטן בלי להתייעץ תחילה עם גדולי הישיבה”, כלומר עם גדולי התלמידים</w:t>
      </w:r>
      <w:bookmarkStart w:id="4999" w:name="_fnr3687"/>
      <w:r>
        <w:rPr>
          <w:vertAlign w:val="superscript"/>
          <w:rtl/>
        </w:rPr>
        <w:footnoteReference w:id="3695" w:customMarkFollows="0"/>
      </w:r>
      <w:bookmarkEnd w:id="4999"/>
      <w:r>
        <w:rPr>
          <w:rtl/>
        </w:rPr>
        <w:t>. מעניין שבמכתב אוטוביוגרפי שכתב מחבר “שרידי אש” שבע שנים לפני פטירתו, הוא זוקף את הכוונתו אל נישואיו הכושלים לזכות הסבא ולזכות בכירי תלמידי הישיבה במידה שווה – או ליתר דיוק, לחובתם.</w:t>
      </w:r>
    </w:p>
    <w:p w14:paraId="36F8DDFD" w14:textId="77777777" w:rsidR="00AB3647" w:rsidRDefault="00000000" w:rsidP="007923E9">
      <w:pPr>
        <w:spacing w:after="120" w:line="276" w:lineRule="auto"/>
        <w:ind w:firstLine="283"/>
        <w:jc w:val="both"/>
      </w:pPr>
      <w:r>
        <w:rPr>
          <w:rtl/>
        </w:rPr>
        <w:t xml:space="preserve">בתארו את האסון שנקלע אליו כתב: “השידוך הזה נכפה עליי בידי הסבא </w:t>
      </w:r>
      <w:proofErr w:type="spellStart"/>
      <w:r>
        <w:rPr>
          <w:rtl/>
        </w:rPr>
        <w:t>מסלבודקה</w:t>
      </w:r>
      <w:proofErr w:type="spellEnd"/>
      <w:r>
        <w:rPr>
          <w:rtl/>
        </w:rPr>
        <w:t xml:space="preserve"> </w:t>
      </w:r>
      <w:r>
        <w:rPr>
          <w:b/>
          <w:bCs/>
          <w:rtl/>
        </w:rPr>
        <w:t>וראשי ישיבת כנסת ישראל וחבריה</w:t>
      </w:r>
      <w:r>
        <w:rPr>
          <w:rtl/>
        </w:rPr>
        <w:t>” (ההדגשה שלי)</w:t>
      </w:r>
      <w:bookmarkStart w:id="5000" w:name="_fnr3688"/>
      <w:r>
        <w:rPr>
          <w:vertAlign w:val="superscript"/>
          <w:rtl/>
        </w:rPr>
        <w:footnoteReference w:id="3696" w:customMarkFollows="0"/>
      </w:r>
      <w:bookmarkEnd w:id="5000"/>
      <w:r>
        <w:rPr>
          <w:rtl/>
        </w:rPr>
        <w:t xml:space="preserve">. מאמר </w:t>
      </w:r>
      <w:proofErr w:type="spellStart"/>
      <w:r>
        <w:rPr>
          <w:rtl/>
        </w:rPr>
        <w:t>ב“הדואר</w:t>
      </w:r>
      <w:proofErr w:type="spellEnd"/>
      <w:r>
        <w:rPr>
          <w:rtl/>
        </w:rPr>
        <w:t>”</w:t>
      </w:r>
      <w:bookmarkStart w:id="5001" w:name="_fnr3689"/>
      <w:r>
        <w:rPr>
          <w:vertAlign w:val="superscript"/>
          <w:rtl/>
        </w:rPr>
        <w:footnoteReference w:id="3697" w:customMarkFollows="0"/>
      </w:r>
      <w:bookmarkEnd w:id="5001"/>
      <w:r>
        <w:rPr>
          <w:rtl/>
        </w:rPr>
        <w:t xml:space="preserve"> מגלה את הרקע לשידוך הבלתי מתאים בין העילוי </w:t>
      </w:r>
      <w:proofErr w:type="spellStart"/>
      <w:r>
        <w:rPr>
          <w:rtl/>
        </w:rPr>
        <w:t>מצ׳כנובצה</w:t>
      </w:r>
      <w:proofErr w:type="spellEnd"/>
      <w:r>
        <w:rPr>
          <w:rtl/>
        </w:rPr>
        <w:t xml:space="preserve">, ר׳ </w:t>
      </w:r>
      <w:proofErr w:type="spellStart"/>
      <w:r>
        <w:rPr>
          <w:rtl/>
        </w:rPr>
        <w:t>יחיאל־יעקב</w:t>
      </w:r>
      <w:proofErr w:type="spellEnd"/>
      <w:r>
        <w:rPr>
          <w:rtl/>
        </w:rPr>
        <w:t xml:space="preserve"> ויינברג, ובין בתו הפשוטה והיתומה של רב העיירה הליטאית הקטנה </w:t>
      </w:r>
      <w:proofErr w:type="spellStart"/>
      <w:r>
        <w:rPr>
          <w:rtl/>
        </w:rPr>
        <w:t>פילווישוק</w:t>
      </w:r>
      <w:proofErr w:type="spellEnd"/>
      <w:r>
        <w:rPr>
          <w:rtl/>
        </w:rPr>
        <w:t xml:space="preserve">. ר׳ </w:t>
      </w:r>
      <w:proofErr w:type="spellStart"/>
      <w:r>
        <w:rPr>
          <w:rtl/>
        </w:rPr>
        <w:t>יחיאל־יעקב</w:t>
      </w:r>
      <w:proofErr w:type="spellEnd"/>
      <w:r>
        <w:rPr>
          <w:rtl/>
        </w:rPr>
        <w:t xml:space="preserve"> ויינברג “השתעשע ברעיון לעזוב את עולם הישיבה לטובת עולם ההשכלה. [הסבא </w:t>
      </w:r>
      <w:proofErr w:type="spellStart"/>
      <w:r>
        <w:rPr>
          <w:rtl/>
        </w:rPr>
        <w:t>מסלבודקה</w:t>
      </w:r>
      <w:proofErr w:type="spellEnd"/>
      <w:r>
        <w:rPr>
          <w:rtl/>
        </w:rPr>
        <w:t xml:space="preserve">] חש ש[ר׳ </w:t>
      </w:r>
      <w:proofErr w:type="spellStart"/>
      <w:r>
        <w:rPr>
          <w:rtl/>
        </w:rPr>
        <w:t>יחיאל־יעקב</w:t>
      </w:r>
      <w:proofErr w:type="spellEnd"/>
      <w:r>
        <w:rPr>
          <w:rtl/>
        </w:rPr>
        <w:t xml:space="preserve"> ויינברג] ניצב על פרשת דרכים, וסידר את השידוך שיביא לו כנדוניה את רבנות העיירה”, וכך יקשור אותו לעולם התורה.</w:t>
      </w:r>
    </w:p>
    <w:p w14:paraId="0469112D" w14:textId="77777777" w:rsidR="00AB3647" w:rsidRDefault="00000000" w:rsidP="007923E9">
      <w:pPr>
        <w:spacing w:after="120" w:line="276" w:lineRule="auto"/>
        <w:ind w:firstLine="283"/>
        <w:jc w:val="both"/>
      </w:pPr>
      <w:r>
        <w:rPr>
          <w:rtl/>
        </w:rPr>
        <w:t xml:space="preserve">מאמר ההספד של </w:t>
      </w:r>
      <w:proofErr w:type="spellStart"/>
      <w:r>
        <w:rPr>
          <w:rtl/>
        </w:rPr>
        <w:t>ה״ל</w:t>
      </w:r>
      <w:proofErr w:type="spellEnd"/>
      <w:r>
        <w:rPr>
          <w:rtl/>
        </w:rPr>
        <w:t xml:space="preserve"> גורדון </w:t>
      </w:r>
      <w:proofErr w:type="spellStart"/>
      <w:r>
        <w:rPr>
          <w:rtl/>
        </w:rPr>
        <w:t>ב“הדואר</w:t>
      </w:r>
      <w:proofErr w:type="spellEnd"/>
      <w:r>
        <w:rPr>
          <w:rtl/>
        </w:rPr>
        <w:t xml:space="preserve">” מביא ממכתבו של ר׳ </w:t>
      </w:r>
      <w:proofErr w:type="spellStart"/>
      <w:r>
        <w:rPr>
          <w:rtl/>
        </w:rPr>
        <w:t>יחיאל־יעקב</w:t>
      </w:r>
      <w:proofErr w:type="spellEnd"/>
      <w:r>
        <w:rPr>
          <w:rtl/>
        </w:rPr>
        <w:t xml:space="preserve"> ויינברג את הדברים האלה: “בהיותי צעיר נכנעתי [להכוונתם], ובכך קיפחתי את מהלך חיי. בימי כהונתי כרב </w:t>
      </w:r>
      <w:proofErr w:type="spellStart"/>
      <w:r>
        <w:rPr>
          <w:rtl/>
        </w:rPr>
        <w:t>בפילווישוק</w:t>
      </w:r>
      <w:proofErr w:type="spellEnd"/>
      <w:r>
        <w:rPr>
          <w:rtl/>
        </w:rPr>
        <w:t xml:space="preserve"> יסד הסבא </w:t>
      </w:r>
      <w:proofErr w:type="spellStart"/>
      <w:r>
        <w:rPr>
          <w:rtl/>
        </w:rPr>
        <w:t>מסלבודקה</w:t>
      </w:r>
      <w:proofErr w:type="spellEnd"/>
      <w:r>
        <w:rPr>
          <w:rtl/>
        </w:rPr>
        <w:t xml:space="preserve"> </w:t>
      </w:r>
      <w:proofErr w:type="spellStart"/>
      <w:r>
        <w:rPr>
          <w:rtl/>
        </w:rPr>
        <w:t>בפילווישוק</w:t>
      </w:r>
      <w:proofErr w:type="spellEnd"/>
      <w:r>
        <w:rPr>
          <w:rtl/>
        </w:rPr>
        <w:t xml:space="preserve"> קיבוץ של בחורים מובחרים, כדי לאפשר לי לשכוח את כאבי ואת תלאותיי בעמל מסירת שיעורים”. דבריו על כך </w:t>
      </w:r>
      <w:proofErr w:type="spellStart"/>
      <w:r>
        <w:rPr>
          <w:rtl/>
        </w:rPr>
        <w:t>ש“קיפח</w:t>
      </w:r>
      <w:proofErr w:type="spellEnd"/>
      <w:r>
        <w:rPr>
          <w:rtl/>
        </w:rPr>
        <w:t>... את חייו” נוגעים ליותר מאושרו האישי, שהרי בכישרונותיו יכול היה לצמוח לגדול מנהיגי התורה בדורו, כפי שנידון בפסקה הרביעית של הנספח הבא.</w:t>
      </w:r>
    </w:p>
    <w:p w14:paraId="4DC48BCB"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סיפר</w:t>
      </w:r>
      <w:bookmarkStart w:id="5002" w:name="_fnr3690"/>
      <w:r>
        <w:rPr>
          <w:vertAlign w:val="superscript"/>
          <w:rtl/>
        </w:rPr>
        <w:footnoteReference w:id="3698" w:customMarkFollows="0"/>
      </w:r>
      <w:bookmarkEnd w:id="5002"/>
      <w:r>
        <w:rPr>
          <w:rtl/>
        </w:rPr>
        <w:t xml:space="preserve"> שרבנו הספיד את ר׳ </w:t>
      </w:r>
      <w:proofErr w:type="spellStart"/>
      <w:r>
        <w:rPr>
          <w:rtl/>
        </w:rPr>
        <w:t>יחיאל־יעקב</w:t>
      </w:r>
      <w:proofErr w:type="spellEnd"/>
      <w:r>
        <w:rPr>
          <w:rtl/>
        </w:rPr>
        <w:t xml:space="preserve"> ויינברג באגודת הרבנים, והחיל עליו את הברכה לה׳ שהתנא רבי יהודה</w:t>
      </w:r>
      <w:bookmarkStart w:id="5003" w:name="_fnr3691"/>
      <w:r>
        <w:rPr>
          <w:vertAlign w:val="superscript"/>
          <w:rtl/>
        </w:rPr>
        <w:footnoteReference w:id="3699" w:customMarkFollows="0"/>
      </w:r>
      <w:bookmarkEnd w:id="5003"/>
      <w:r>
        <w:rPr>
          <w:rtl/>
        </w:rPr>
        <w:t xml:space="preserve"> מחייב לאומרה בכל יום: “שלא עשני בור”. הוא </w:t>
      </w:r>
      <w:r>
        <w:rPr>
          <w:rtl/>
        </w:rPr>
        <w:lastRenderedPageBreak/>
        <w:t xml:space="preserve">ציין שהנפטר “שחרר את עצמו מן הבורות של מדעי היהדות הנחקרים בעולם האוניברסיטאות שאליו נמשך”. ר׳ </w:t>
      </w:r>
      <w:proofErr w:type="spellStart"/>
      <w:r>
        <w:rPr>
          <w:rtl/>
        </w:rPr>
        <w:t>יחיאל־יעקב</w:t>
      </w:r>
      <w:proofErr w:type="spellEnd"/>
      <w:r>
        <w:rPr>
          <w:rtl/>
        </w:rPr>
        <w:t xml:space="preserve"> ויינברג הגיע לגרמניה סמוך לפני מלחמת העולם הראשונה, וקיבל שם את תואר הדוקטור.</w:t>
      </w:r>
    </w:p>
    <w:p w14:paraId="0833B72D" w14:textId="77777777" w:rsidR="00AB3647" w:rsidRDefault="00000000" w:rsidP="007923E9">
      <w:pPr>
        <w:spacing w:after="120" w:line="276" w:lineRule="auto"/>
        <w:ind w:firstLine="283"/>
        <w:jc w:val="both"/>
      </w:pPr>
      <w:r>
        <w:rPr>
          <w:rtl/>
        </w:rPr>
        <w:t>במכתב שפורסם לאחרונה</w:t>
      </w:r>
      <w:bookmarkStart w:id="5004" w:name="_fnr3692"/>
      <w:r>
        <w:rPr>
          <w:vertAlign w:val="superscript"/>
          <w:rtl/>
        </w:rPr>
        <w:footnoteReference w:id="3700" w:customMarkFollows="0"/>
      </w:r>
      <w:bookmarkEnd w:id="5004"/>
      <w:r>
        <w:rPr>
          <w:rtl/>
        </w:rPr>
        <w:t xml:space="preserve">, מיום 1 באוגוסט 1957, כתב ר׳ </w:t>
      </w:r>
      <w:proofErr w:type="spellStart"/>
      <w:r>
        <w:rPr>
          <w:rtl/>
        </w:rPr>
        <w:t>יחיאל־יעקב</w:t>
      </w:r>
      <w:proofErr w:type="spellEnd"/>
      <w:r>
        <w:rPr>
          <w:rtl/>
        </w:rPr>
        <w:t xml:space="preserve"> על עצמו: “נגזרה עליי מעין גלות רוחנית. אני חושש לנסוע לארץ ישראל. יש שם עולמות שונים הדוחים ושונאים זה את זה. </w:t>
      </w:r>
      <w:r>
        <w:rPr>
          <w:b/>
          <w:bCs/>
          <w:rtl/>
        </w:rPr>
        <w:t>אני שייך לשני עולמות</w:t>
      </w:r>
      <w:r>
        <w:rPr>
          <w:rtl/>
        </w:rPr>
        <w:t xml:space="preserve"> (ההדגשה שלי), ובאיזה מהם אבחר בבואי לשם? בסופו של דבר אצטרך להישאר בבדידות”. ר׳ חיים </w:t>
      </w:r>
      <w:proofErr w:type="spellStart"/>
      <w:r>
        <w:rPr>
          <w:rtl/>
        </w:rPr>
        <w:t>סרנא</w:t>
      </w:r>
      <w:proofErr w:type="spellEnd"/>
      <w:r>
        <w:rPr>
          <w:rtl/>
        </w:rPr>
        <w:t>, שהיה קרוב אליו בשנותיו שאחרי השואה בשווייץ, סיפר</w:t>
      </w:r>
      <w:bookmarkStart w:id="5005" w:name="_fnr3693"/>
      <w:r>
        <w:rPr>
          <w:vertAlign w:val="superscript"/>
          <w:rtl/>
        </w:rPr>
        <w:footnoteReference w:id="3701" w:customMarkFollows="0"/>
      </w:r>
      <w:bookmarkEnd w:id="5005"/>
      <w:r>
        <w:rPr>
          <w:rtl/>
        </w:rPr>
        <w:t xml:space="preserve"> שאמר: “בעולם הזה אני פועל בשני תחומים, תורה וחכמה, אבל בעולם הבא רצוני להיות רק בתחום התורה”.</w:t>
      </w:r>
    </w:p>
    <w:p w14:paraId="4306F750" w14:textId="77777777" w:rsidR="00AB3647" w:rsidRDefault="00000000" w:rsidP="007923E9">
      <w:pPr>
        <w:spacing w:after="120" w:line="276" w:lineRule="auto"/>
        <w:ind w:firstLine="283"/>
        <w:jc w:val="both"/>
      </w:pPr>
      <w:r>
        <w:rPr>
          <w:rtl/>
        </w:rPr>
        <w:t xml:space="preserve">בעניין שילוב שני העולמות אצל ר׳ </w:t>
      </w:r>
      <w:proofErr w:type="spellStart"/>
      <w:r>
        <w:rPr>
          <w:rtl/>
        </w:rPr>
        <w:t>יחיאל־יעקב</w:t>
      </w:r>
      <w:proofErr w:type="spellEnd"/>
      <w:r>
        <w:rPr>
          <w:rtl/>
        </w:rPr>
        <w:t xml:space="preserve"> ויינברג חזר ר׳ </w:t>
      </w:r>
      <w:proofErr w:type="spellStart"/>
      <w:r>
        <w:rPr>
          <w:rtl/>
        </w:rPr>
        <w:t>שמואל־חיים</w:t>
      </w:r>
      <w:proofErr w:type="spellEnd"/>
      <w:r>
        <w:rPr>
          <w:rtl/>
        </w:rPr>
        <w:t xml:space="preserve"> דומב</w:t>
      </w:r>
      <w:bookmarkStart w:id="5006" w:name="_fnr3694"/>
      <w:r>
        <w:rPr>
          <w:vertAlign w:val="superscript"/>
          <w:rtl/>
        </w:rPr>
        <w:footnoteReference w:id="3702" w:customMarkFollows="0"/>
      </w:r>
      <w:bookmarkEnd w:id="5006"/>
      <w:r>
        <w:rPr>
          <w:rtl/>
        </w:rPr>
        <w:t xml:space="preserve"> על אמירה מעניינת ששמע מפיו בהקלטה: “אלמלא דרכו של הסבא בהדגשת גדלות האדם, שגרמה לי להרגיש שאני שווה לבני חברת ההשכלה, מי יודע מה היה נעשה ממני?!” ר׳ </w:t>
      </w:r>
      <w:proofErr w:type="spellStart"/>
      <w:r>
        <w:rPr>
          <w:rtl/>
        </w:rPr>
        <w:t>יחיאל־יעקב</w:t>
      </w:r>
      <w:proofErr w:type="spellEnd"/>
      <w:r>
        <w:rPr>
          <w:rtl/>
        </w:rPr>
        <w:t xml:space="preserve"> הוסיף דברים שלכאורה אינם קשורים לקודמיהם: גישת גדלות האדם גם קלקלה אותו איכשהו, שכן בכל פעם שקיבל מכתב ביקש, כמעט בלא משים, לגלות מה חושב עליו הכותב.</w:t>
      </w:r>
    </w:p>
    <w:p w14:paraId="7D4A9A37" w14:textId="77777777" w:rsidR="00AB3647" w:rsidRDefault="00000000" w:rsidP="007923E9">
      <w:pPr>
        <w:spacing w:after="120" w:line="276" w:lineRule="auto"/>
        <w:ind w:firstLine="283"/>
        <w:jc w:val="both"/>
      </w:pPr>
      <w:r>
        <w:rPr>
          <w:rtl/>
        </w:rPr>
        <w:t xml:space="preserve">אף שהסבא אולי לא יכול היה לחזות שבת רב </w:t>
      </w:r>
      <w:proofErr w:type="spellStart"/>
      <w:r>
        <w:rPr>
          <w:rtl/>
        </w:rPr>
        <w:t>פילווישוק</w:t>
      </w:r>
      <w:proofErr w:type="spellEnd"/>
      <w:r>
        <w:rPr>
          <w:rtl/>
        </w:rPr>
        <w:t xml:space="preserve"> אינה מתאימה </w:t>
      </w:r>
      <w:proofErr w:type="spellStart"/>
      <w:r>
        <w:rPr>
          <w:rtl/>
        </w:rPr>
        <w:t>לר</w:t>
      </w:r>
      <w:proofErr w:type="spellEnd"/>
      <w:r>
        <w:rPr>
          <w:rtl/>
        </w:rPr>
        <w:t xml:space="preserve">׳ </w:t>
      </w:r>
      <w:proofErr w:type="spellStart"/>
      <w:r>
        <w:rPr>
          <w:rtl/>
        </w:rPr>
        <w:t>יחיאל־יעקב</w:t>
      </w:r>
      <w:proofErr w:type="spellEnd"/>
      <w:r>
        <w:rPr>
          <w:rtl/>
        </w:rPr>
        <w:t xml:space="preserve"> ויינברג, עדיין מפליא שר׳ </w:t>
      </w:r>
      <w:proofErr w:type="spellStart"/>
      <w:r>
        <w:rPr>
          <w:rtl/>
        </w:rPr>
        <w:t>יחיאל־יעקב</w:t>
      </w:r>
      <w:proofErr w:type="spellEnd"/>
      <w:r>
        <w:rPr>
          <w:rtl/>
        </w:rPr>
        <w:t xml:space="preserve"> לא נטר טינה לרבו, והדבר מעיד רבות על אצילות אופיו. את משפט ההתפעלות שבו הביע את הערצתו </w:t>
      </w:r>
      <w:proofErr w:type="spellStart"/>
      <w:r>
        <w:rPr>
          <w:rtl/>
        </w:rPr>
        <w:t>ל“יהודי</w:t>
      </w:r>
      <w:proofErr w:type="spellEnd"/>
      <w:r>
        <w:rPr>
          <w:rtl/>
        </w:rPr>
        <w:t xml:space="preserve"> המסור לתורה ועבודה”, כפי שהתגלם בר׳ נפתלי אמסטרדם (הוא מובא בהקשרו בסוף נספח י להלן), אפשר להחיל באותה מידה על איש התורה והחכמה שהיה ר׳ </w:t>
      </w:r>
      <w:proofErr w:type="spellStart"/>
      <w:r>
        <w:rPr>
          <w:rtl/>
        </w:rPr>
        <w:t>יחיאל־יעקב</w:t>
      </w:r>
      <w:proofErr w:type="spellEnd"/>
      <w:r>
        <w:rPr>
          <w:rtl/>
        </w:rPr>
        <w:t xml:space="preserve"> ויינברג עצמו: “מה רך אתה, אבן צור, ומה חלש אתה, אריה, לפני יהודי המסור לתורה וחכמה!”</w:t>
      </w:r>
    </w:p>
    <w:p w14:paraId="320B2E3C" w14:textId="77777777" w:rsidR="00AB3647" w:rsidRDefault="00000000" w:rsidP="007923E9">
      <w:pPr>
        <w:spacing w:after="120" w:line="276" w:lineRule="auto"/>
        <w:ind w:firstLine="283"/>
        <w:jc w:val="both"/>
      </w:pPr>
      <w:r>
        <w:rPr>
          <w:rtl/>
        </w:rPr>
        <w:t xml:space="preserve">כוח זה ניכר בהצהרתו של ר׳ </w:t>
      </w:r>
      <w:proofErr w:type="spellStart"/>
      <w:r>
        <w:rPr>
          <w:rtl/>
        </w:rPr>
        <w:t>יחיאל־יעקב</w:t>
      </w:r>
      <w:proofErr w:type="spellEnd"/>
      <w:r>
        <w:rPr>
          <w:rtl/>
        </w:rPr>
        <w:t xml:space="preserve"> ויינברג, שחזר עליה פעמים רבות, על הקמת מדינת ישראל, כפי שהביאה הדיין איזידור </w:t>
      </w:r>
      <w:proofErr w:type="spellStart"/>
      <w:r>
        <w:rPr>
          <w:rtl/>
        </w:rPr>
        <w:t>גרונפלד</w:t>
      </w:r>
      <w:proofErr w:type="spellEnd"/>
      <w:r>
        <w:rPr>
          <w:rtl/>
        </w:rPr>
        <w:t xml:space="preserve"> במאמר בקובץ “האישיות התורנית”</w:t>
      </w:r>
      <w:bookmarkStart w:id="5007" w:name="_fnr3695"/>
      <w:r>
        <w:rPr>
          <w:vertAlign w:val="superscript"/>
          <w:rtl/>
        </w:rPr>
        <w:footnoteReference w:id="3703" w:customMarkFollows="0"/>
      </w:r>
      <w:bookmarkEnd w:id="5007"/>
      <w:r>
        <w:rPr>
          <w:rtl/>
        </w:rPr>
        <w:t xml:space="preserve">: “אני מאמין באמונה שלמה שנשמות ששת מיליוני הקדושים התאספו סביב כיסא הכבוד וביקשו מן הקדוש ברוך הוא להראות </w:t>
      </w:r>
      <w:r>
        <w:rPr>
          <w:b/>
          <w:bCs/>
          <w:rtl/>
        </w:rPr>
        <w:t>אות גלוי להשגחתו האוהבת</w:t>
      </w:r>
      <w:r>
        <w:rPr>
          <w:rtl/>
        </w:rPr>
        <w:t xml:space="preserve"> (ההדגשה שלי) על עמו ולראשית הגאולה”. כל מי שעבר את השואה, כמו שעבר אותה ר׳ </w:t>
      </w:r>
      <w:proofErr w:type="spellStart"/>
      <w:r>
        <w:rPr>
          <w:rtl/>
        </w:rPr>
        <w:t>יחיאל־יעקב</w:t>
      </w:r>
      <w:proofErr w:type="spellEnd"/>
      <w:r>
        <w:rPr>
          <w:rtl/>
        </w:rPr>
        <w:t xml:space="preserve"> ויינברג, נזקק לתעצומות נפש </w:t>
      </w:r>
      <w:proofErr w:type="spellStart"/>
      <w:r>
        <w:rPr>
          <w:rtl/>
        </w:rPr>
        <w:t>על־אנושיות</w:t>
      </w:r>
      <w:proofErr w:type="spellEnd"/>
      <w:r>
        <w:rPr>
          <w:rtl/>
        </w:rPr>
        <w:t xml:space="preserve"> כדי שלא לנטור טינה ולהמשיך להעיד על אהבת ה׳ לישראל</w:t>
      </w:r>
      <w:bookmarkStart w:id="5008" w:name="_fnr3696"/>
      <w:r>
        <w:rPr>
          <w:vertAlign w:val="superscript"/>
          <w:rtl/>
        </w:rPr>
        <w:footnoteReference w:id="3704" w:customMarkFollows="0"/>
      </w:r>
      <w:bookmarkEnd w:id="5008"/>
      <w:r>
        <w:rPr>
          <w:rtl/>
        </w:rPr>
        <w:t>.</w:t>
      </w:r>
    </w:p>
    <w:p w14:paraId="71F9902E" w14:textId="77777777" w:rsidR="00AB3647" w:rsidRDefault="00000000" w:rsidP="007923E9">
      <w:pPr>
        <w:spacing w:after="120" w:line="276" w:lineRule="auto"/>
        <w:ind w:firstLine="283"/>
        <w:jc w:val="both"/>
      </w:pPr>
      <w:r>
        <w:rPr>
          <w:rtl/>
        </w:rPr>
        <w:t xml:space="preserve">אבל אורך רוחו של ר׳ </w:t>
      </w:r>
      <w:proofErr w:type="spellStart"/>
      <w:r>
        <w:rPr>
          <w:rtl/>
        </w:rPr>
        <w:t>יחיאל־יעקב</w:t>
      </w:r>
      <w:proofErr w:type="spellEnd"/>
      <w:r>
        <w:rPr>
          <w:rtl/>
        </w:rPr>
        <w:t xml:space="preserve"> ויינברג, שנראה </w:t>
      </w:r>
      <w:proofErr w:type="spellStart"/>
      <w:r>
        <w:rPr>
          <w:rtl/>
        </w:rPr>
        <w:t>על־אנושי</w:t>
      </w:r>
      <w:proofErr w:type="spellEnd"/>
      <w:r>
        <w:rPr>
          <w:rtl/>
        </w:rPr>
        <w:t xml:space="preserve">, עשוי היה להיות פגם באופיו. מחשבה זו התעוררה לאחר העיון במכתבי ר׳ </w:t>
      </w:r>
      <w:proofErr w:type="spellStart"/>
      <w:r>
        <w:rPr>
          <w:rtl/>
        </w:rPr>
        <w:t>יחיאל־יעקב</w:t>
      </w:r>
      <w:proofErr w:type="spellEnd"/>
      <w:r>
        <w:rPr>
          <w:rtl/>
        </w:rPr>
        <w:t xml:space="preserve"> ויינברג שפרסם מרק שפירא</w:t>
      </w:r>
      <w:bookmarkStart w:id="5009" w:name="_fnr3697"/>
      <w:r>
        <w:rPr>
          <w:vertAlign w:val="superscript"/>
          <w:rtl/>
        </w:rPr>
        <w:footnoteReference w:id="3705" w:customMarkFollows="0"/>
      </w:r>
      <w:bookmarkEnd w:id="5009"/>
      <w:r>
        <w:rPr>
          <w:rtl/>
        </w:rPr>
        <w:t xml:space="preserve">, ששם </w:t>
      </w:r>
      <w:r>
        <w:rPr>
          <w:rtl/>
        </w:rPr>
        <w:lastRenderedPageBreak/>
        <w:t>הוא כותב במכתב מיום 15 בנובמבר 1965 – עד כמה בלתי נתפס הדבר! – “יותר משהנצרות שונאת את היהדות, היהדות שונאת את הנצרות”.</w:t>
      </w:r>
    </w:p>
    <w:p w14:paraId="0E1D337E" w14:textId="77777777" w:rsidR="00AB3647" w:rsidRDefault="00000000" w:rsidP="007923E9">
      <w:pPr>
        <w:spacing w:after="120" w:line="276" w:lineRule="auto"/>
        <w:ind w:firstLine="283"/>
        <w:jc w:val="both"/>
      </w:pPr>
      <w:r>
        <w:rPr>
          <w:rtl/>
        </w:rPr>
        <w:t>השווה גם שם</w:t>
      </w:r>
      <w:bookmarkStart w:id="5010" w:name="_fnr3698"/>
      <w:r>
        <w:rPr>
          <w:vertAlign w:val="superscript"/>
          <w:rtl/>
        </w:rPr>
        <w:footnoteReference w:id="3706" w:customMarkFollows="0"/>
      </w:r>
      <w:bookmarkEnd w:id="5010"/>
      <w:r>
        <w:rPr>
          <w:rtl/>
        </w:rPr>
        <w:t xml:space="preserve"> את המכתבים מן התאריכים [א] 19 בספטמבר 1957 ו[ב] 2 במרס 1961. [א] “העולם כולו שונא אותנו. אנו מניחים ששנאה זו נובעת מרשעות האומות, ואיש אינו נעצר לחשוב שאולי גם בנו יש אשמה כלשהי. אנו רואים את כל האומות כדומות לחמור” – והוא מוסיף ומונה פסילות הלכתיות אחרות של גויים, ומסיים: “היכולות האומות להשלים עם שלילת זכויות כזאת?... מה נוכל לעשות? היכולים אנו לעקור את תורתנו בנוסחאות אפולוגטיות או בהטעיות מחוכמות? אלוהים יודע שכתבתי זאת בדם לבי, בדם נפשי”. [ב] “נראה ש... ערמומיות היא תכונה לאומית שלנו, וזו גורמת לאומות העולם לשנוא אותנו. יש לי מחשבות עמוקות בעניין זה, אבל אני חושש להביען בעל פה, ועל אחת כמה וכמה להעלותן על הכתב”; ובלעג: “העולם החיצוני אינו יודע להעריך אותנו כראוי; שנאת העולם אליהם [כך במקור] נובעת מקנאה בעליונותם [כך במקור], כמובן”.</w:t>
      </w:r>
    </w:p>
    <w:p w14:paraId="114D2924" w14:textId="77777777" w:rsidR="00AB3647" w:rsidRDefault="00000000" w:rsidP="007923E9">
      <w:pPr>
        <w:spacing w:after="120" w:line="276" w:lineRule="auto"/>
        <w:ind w:firstLine="283"/>
        <w:jc w:val="both"/>
      </w:pPr>
      <w:r>
        <w:rPr>
          <w:rtl/>
        </w:rPr>
        <w:t>דומה שניצול שואה המשמיע אמירות כאלה חצה את גבול המוסר אל תחום הפסיכוזה</w:t>
      </w:r>
      <w:bookmarkStart w:id="5011" w:name="_fnr3699"/>
      <w:r>
        <w:rPr>
          <w:vertAlign w:val="superscript"/>
          <w:rtl/>
        </w:rPr>
        <w:footnoteReference w:id="3707" w:customMarkFollows="0"/>
      </w:r>
      <w:bookmarkEnd w:id="5011"/>
      <w:r>
        <w:rPr>
          <w:rtl/>
        </w:rPr>
        <w:t xml:space="preserve">. אם מסקנה זו נכונה, ייתכן שהסבא, לאחר שניתח את פגמו של ר׳ </w:t>
      </w:r>
      <w:proofErr w:type="spellStart"/>
      <w:r>
        <w:rPr>
          <w:rtl/>
        </w:rPr>
        <w:t>יחיאל־יעקב</w:t>
      </w:r>
      <w:proofErr w:type="spellEnd"/>
      <w:r>
        <w:rPr>
          <w:rtl/>
        </w:rPr>
        <w:t xml:space="preserve"> ויינברג, חזה את חוסר ההתאמה הנראה לעין בשידוך, אבל הניח שר׳ </w:t>
      </w:r>
      <w:proofErr w:type="spellStart"/>
      <w:r>
        <w:rPr>
          <w:rtl/>
        </w:rPr>
        <w:t>יחיאל־יעקב</w:t>
      </w:r>
      <w:proofErr w:type="spellEnd"/>
      <w:r>
        <w:rPr>
          <w:rtl/>
        </w:rPr>
        <w:t xml:space="preserve"> יהיה ארך רוח דיו לחיות את שנותיו עם אשתו הפשוטה!</w:t>
      </w:r>
    </w:p>
    <w:p w14:paraId="582FFEAD" w14:textId="77777777" w:rsidR="00AB3647" w:rsidRDefault="00000000" w:rsidP="007923E9">
      <w:pPr>
        <w:spacing w:after="120" w:line="276" w:lineRule="auto"/>
        <w:ind w:firstLine="283"/>
        <w:jc w:val="both"/>
      </w:pPr>
      <w:r>
        <w:rPr>
          <w:rtl/>
        </w:rPr>
        <w:t xml:space="preserve">אפשר גם שהסבא לא היה מעודכן בשינוי שחוללו המגמות המודרניות ביחסים בין בני זוג בחברה היהודית כולה, ואפילו בעולם התורה, עד הזמן שבו נישא ר׳ </w:t>
      </w:r>
      <w:proofErr w:type="spellStart"/>
      <w:r>
        <w:rPr>
          <w:rtl/>
        </w:rPr>
        <w:t>יחיאל־יעקב</w:t>
      </w:r>
      <w:proofErr w:type="spellEnd"/>
      <w:r>
        <w:rPr>
          <w:rtl/>
        </w:rPr>
        <w:t xml:space="preserve"> ויינברג – אף שהיה מומחה להבנת הכוחות המניעים בני אדם, ובייחוד צעירים (לדעת אבי הבין בני אדם טוב מפרויד</w:t>
      </w:r>
      <w:bookmarkStart w:id="5012" w:name="_fnr3700"/>
      <w:r>
        <w:rPr>
          <w:vertAlign w:val="superscript"/>
          <w:rtl/>
        </w:rPr>
        <w:footnoteReference w:id="3708" w:customMarkFollows="0"/>
      </w:r>
      <w:bookmarkEnd w:id="5012"/>
      <w:r>
        <w:rPr>
          <w:rtl/>
        </w:rPr>
        <w:t xml:space="preserve">). אפשר לשער שסדרי ביתו של הסבא עצמו, שאבי כינה </w:t>
      </w:r>
      <w:r>
        <w:rPr>
          <w:b/>
          <w:bCs/>
          <w:rtl/>
        </w:rPr>
        <w:t>מנקודת מבטו בשנים המאוחרות</w:t>
      </w:r>
      <w:r>
        <w:rPr>
          <w:rtl/>
        </w:rPr>
        <w:t xml:space="preserve"> “מבהילים”</w:t>
      </w:r>
      <w:bookmarkStart w:id="5013" w:name="_fnr3701"/>
      <w:r>
        <w:rPr>
          <w:vertAlign w:val="superscript"/>
          <w:rtl/>
        </w:rPr>
        <w:footnoteReference w:id="3709" w:customMarkFollows="0"/>
      </w:r>
      <w:bookmarkEnd w:id="5013"/>
      <w:r>
        <w:rPr>
          <w:rtl/>
        </w:rPr>
        <w:t>, לא היו יכולים להתקיים אפילו בקרב בני תורה ארבעים שנה לאחר מכן.</w:t>
      </w:r>
    </w:p>
    <w:p w14:paraId="444A2051" w14:textId="77777777" w:rsidR="00AB3647" w:rsidRDefault="00000000" w:rsidP="007923E9">
      <w:pPr>
        <w:spacing w:after="120" w:line="276" w:lineRule="auto"/>
        <w:ind w:firstLine="283"/>
        <w:jc w:val="both"/>
      </w:pPr>
      <w:r>
        <w:rPr>
          <w:rtl/>
        </w:rPr>
        <w:t xml:space="preserve">רמזים לפער הדורות בהשקפה על עניין זה אפשר למצוא בחילופי דברים בין הסבא </w:t>
      </w:r>
      <w:proofErr w:type="spellStart"/>
      <w:r>
        <w:rPr>
          <w:rtl/>
        </w:rPr>
        <w:t>לר</w:t>
      </w:r>
      <w:proofErr w:type="spellEnd"/>
      <w:r>
        <w:rPr>
          <w:rtl/>
        </w:rPr>
        <w:t xml:space="preserve">׳ </w:t>
      </w:r>
      <w:proofErr w:type="spellStart"/>
      <w:r>
        <w:rPr>
          <w:rtl/>
        </w:rPr>
        <w:t>יחיאל־יעקב</w:t>
      </w:r>
      <w:proofErr w:type="spellEnd"/>
      <w:r>
        <w:rPr>
          <w:rtl/>
        </w:rPr>
        <w:t xml:space="preserve"> ויינברג, שמסר ר׳ </w:t>
      </w:r>
      <w:proofErr w:type="spellStart"/>
      <w:r>
        <w:rPr>
          <w:rtl/>
        </w:rPr>
        <w:t>שמואל־חיים</w:t>
      </w:r>
      <w:proofErr w:type="spellEnd"/>
      <w:r>
        <w:rPr>
          <w:rtl/>
        </w:rPr>
        <w:t xml:space="preserve"> דומב בשם תלמידו של ר׳ </w:t>
      </w:r>
      <w:proofErr w:type="spellStart"/>
      <w:r>
        <w:rPr>
          <w:rtl/>
        </w:rPr>
        <w:t>יחיאל־יעקב</w:t>
      </w:r>
      <w:proofErr w:type="spellEnd"/>
      <w:r>
        <w:rPr>
          <w:rtl/>
        </w:rPr>
        <w:t xml:space="preserve"> ר׳ פנחס </w:t>
      </w:r>
      <w:proofErr w:type="spellStart"/>
      <w:r>
        <w:rPr>
          <w:rtl/>
        </w:rPr>
        <w:t>ביברפלד</w:t>
      </w:r>
      <w:proofErr w:type="spellEnd"/>
      <w:r>
        <w:rPr>
          <w:rtl/>
        </w:rPr>
        <w:t xml:space="preserve">: כשניסה הסבא לשכנע את ר׳ </w:t>
      </w:r>
      <w:proofErr w:type="spellStart"/>
      <w:r>
        <w:rPr>
          <w:rtl/>
        </w:rPr>
        <w:t>יחיאל־יעקב</w:t>
      </w:r>
      <w:proofErr w:type="spellEnd"/>
      <w:r>
        <w:rPr>
          <w:rtl/>
        </w:rPr>
        <w:t xml:space="preserve"> שלא להיפרד מאשתו, השיב הלה: “היכן בית המרקחת המוכר שיקוי לאהבה?” אפשר להניח שר׳ </w:t>
      </w:r>
      <w:proofErr w:type="spellStart"/>
      <w:r>
        <w:rPr>
          <w:rtl/>
        </w:rPr>
        <w:t>יחיאל־יעקב</w:t>
      </w:r>
      <w:proofErr w:type="spellEnd"/>
      <w:r>
        <w:rPr>
          <w:rtl/>
        </w:rPr>
        <w:t xml:space="preserve"> ויינברג חזר על השיחה באוזני תלמידו כדי למסור רעיון זה עצמו: בעצם הניסיון להשאירו עם אשתו הראה הסבא שלא תפס איזו מידת התאמה נדרשה בין בני זוג בזמנים החדשים. אפילו אורך הרוח הקיצוני שהסבא ידע שר׳ </w:t>
      </w:r>
      <w:proofErr w:type="spellStart"/>
      <w:r>
        <w:rPr>
          <w:rtl/>
        </w:rPr>
        <w:t>יחיאל־יעקב</w:t>
      </w:r>
      <w:proofErr w:type="spellEnd"/>
      <w:r>
        <w:rPr>
          <w:rtl/>
        </w:rPr>
        <w:t xml:space="preserve"> ניחן בו לא היה בו כדי לקיים נישואים מודרניים יחסית.</w:t>
      </w:r>
    </w:p>
    <w:p w14:paraId="6AC6ABB9" w14:textId="77777777" w:rsidR="00AB3647" w:rsidRDefault="00000000" w:rsidP="007923E9">
      <w:pPr>
        <w:spacing w:after="120" w:line="276" w:lineRule="auto"/>
        <w:ind w:firstLine="283"/>
        <w:jc w:val="both"/>
      </w:pPr>
      <w:r>
        <w:rPr>
          <w:rtl/>
        </w:rPr>
        <w:lastRenderedPageBreak/>
        <w:t xml:space="preserve">עוד גילוי מטריד עולה ממכתבי ר׳ </w:t>
      </w:r>
      <w:proofErr w:type="spellStart"/>
      <w:r>
        <w:rPr>
          <w:rtl/>
        </w:rPr>
        <w:t>יחיאל־יעקב</w:t>
      </w:r>
      <w:proofErr w:type="spellEnd"/>
      <w:r>
        <w:rPr>
          <w:rtl/>
        </w:rPr>
        <w:t xml:space="preserve"> ויינברג שפרסם מרק שפירא: ר׳ </w:t>
      </w:r>
      <w:proofErr w:type="spellStart"/>
      <w:r>
        <w:rPr>
          <w:rtl/>
        </w:rPr>
        <w:t>יחיאל־יעקב</w:t>
      </w:r>
      <w:proofErr w:type="spellEnd"/>
      <w:r>
        <w:rPr>
          <w:rtl/>
        </w:rPr>
        <w:t xml:space="preserve"> ביקורתי ופסימי עד קיצוניות באשר ליהדות שלאחר השואה. הוא כותב: 1) “אנו נגועים בשרלטנות בזויה... שאינה מצויה בשום עם אחר”</w:t>
      </w:r>
      <w:bookmarkStart w:id="5014" w:name="_fnr3702"/>
      <w:r>
        <w:rPr>
          <w:vertAlign w:val="superscript"/>
          <w:rtl/>
        </w:rPr>
        <w:footnoteReference w:id="3710" w:customMarkFollows="0"/>
      </w:r>
      <w:bookmarkEnd w:id="5014"/>
      <w:r>
        <w:rPr>
          <w:rtl/>
        </w:rPr>
        <w:t>. 2) “העולם היהודי נהג תמיד, ויוסיף לנהוג, בדרך זו [של מתן משרות רק לידידים ולחנפנים]”</w:t>
      </w:r>
      <w:bookmarkStart w:id="5015" w:name="_fnr3703"/>
      <w:r>
        <w:rPr>
          <w:vertAlign w:val="superscript"/>
          <w:rtl/>
        </w:rPr>
        <w:footnoteReference w:id="3711" w:customMarkFollows="0"/>
      </w:r>
      <w:bookmarkEnd w:id="5015"/>
      <w:r>
        <w:rPr>
          <w:rtl/>
        </w:rPr>
        <w:t>. 3) “אומות העולם יודעות להבחין בין תחומי לימוד שונים. אבל אנו, עם עני וחלש, מבקשים מכל אדם גאונות מקורית. יש גם עניין הזלזול המתועב הרווח בקרבנו”</w:t>
      </w:r>
      <w:bookmarkStart w:id="5016" w:name="_fnr3704"/>
      <w:r>
        <w:rPr>
          <w:vertAlign w:val="superscript"/>
          <w:rtl/>
        </w:rPr>
        <w:footnoteReference w:id="3712" w:customMarkFollows="0"/>
      </w:r>
      <w:bookmarkEnd w:id="5016"/>
      <w:r>
        <w:rPr>
          <w:rtl/>
        </w:rPr>
        <w:t>. 4) “המצב הרוחני בכל החוגים של העם היהודי מעורר עצב וחוסר תקווה. יש לי מחשבות מרות על עצם קיומו של העם ועל תקוותיו לעתיד”</w:t>
      </w:r>
      <w:bookmarkStart w:id="5017" w:name="_fnr3705"/>
      <w:r>
        <w:rPr>
          <w:vertAlign w:val="superscript"/>
          <w:rtl/>
        </w:rPr>
        <w:footnoteReference w:id="3713" w:customMarkFollows="0"/>
      </w:r>
      <w:bookmarkEnd w:id="5017"/>
      <w:r>
        <w:rPr>
          <w:rtl/>
        </w:rPr>
        <w:t>. 5) “אני עסוק בכתיבת תשובות... המשכיחות ממני... את תחושות הייאוש והספק שלי... אשמתנו גדולה משל כל עם אחר! מעולם לא ראיתי בקרב חכמי האומות אנשים כה בלתי מוסריים”</w:t>
      </w:r>
      <w:bookmarkStart w:id="5018" w:name="_fnr3706"/>
      <w:r>
        <w:rPr>
          <w:vertAlign w:val="superscript"/>
          <w:rtl/>
        </w:rPr>
        <w:footnoteReference w:id="3714" w:customMarkFollows="0"/>
      </w:r>
      <w:bookmarkEnd w:id="5018"/>
      <w:r>
        <w:rPr>
          <w:rtl/>
        </w:rPr>
        <w:t xml:space="preserve">. 6) “אני שואל, היכן </w:t>
      </w:r>
      <w:r>
        <w:rPr>
          <w:b/>
          <w:bCs/>
          <w:rtl/>
        </w:rPr>
        <w:t>הצירוף</w:t>
      </w:r>
      <w:bookmarkStart w:id="5019" w:name="_fnr3707"/>
      <w:r>
        <w:rPr>
          <w:vertAlign w:val="superscript"/>
          <w:rtl/>
        </w:rPr>
        <w:footnoteReference w:id="3715" w:customMarkFollows="0"/>
      </w:r>
      <w:bookmarkEnd w:id="5019"/>
      <w:r>
        <w:rPr>
          <w:rtl/>
        </w:rPr>
        <w:t xml:space="preserve"> של התורה והמצוות?”</w:t>
      </w:r>
      <w:bookmarkStart w:id="5020" w:name="_fnr3708"/>
      <w:r>
        <w:rPr>
          <w:vertAlign w:val="superscript"/>
          <w:rtl/>
        </w:rPr>
        <w:footnoteReference w:id="3716" w:customMarkFollows="0"/>
      </w:r>
      <w:bookmarkEnd w:id="5020"/>
    </w:p>
    <w:p w14:paraId="62B6D26A" w14:textId="77777777" w:rsidR="00AB3647" w:rsidRDefault="00000000" w:rsidP="007923E9">
      <w:pPr>
        <w:spacing w:after="120" w:line="276" w:lineRule="auto"/>
        <w:ind w:firstLine="283"/>
        <w:jc w:val="both"/>
      </w:pPr>
      <w:r>
        <w:rPr>
          <w:rtl/>
        </w:rPr>
        <w:t xml:space="preserve">הנמען של ר׳ </w:t>
      </w:r>
      <w:proofErr w:type="spellStart"/>
      <w:r>
        <w:rPr>
          <w:rtl/>
        </w:rPr>
        <w:t>יחיאל־יעקב</w:t>
      </w:r>
      <w:proofErr w:type="spellEnd"/>
      <w:r>
        <w:rPr>
          <w:rtl/>
        </w:rPr>
        <w:t xml:space="preserve"> ויינברג, פרופסור שמואל אטלס, היה בן ר׳ מאיר אטלס, רב שאוול</w:t>
      </w:r>
      <w:bookmarkStart w:id="5021" w:name="_fnr3709"/>
      <w:r>
        <w:rPr>
          <w:vertAlign w:val="superscript"/>
          <w:rtl/>
        </w:rPr>
        <w:footnoteReference w:id="3717" w:customMarkFollows="0"/>
      </w:r>
      <w:bookmarkEnd w:id="5021"/>
      <w:r>
        <w:rPr>
          <w:rtl/>
        </w:rPr>
        <w:t xml:space="preserve"> – בנו הצעיר, שנולד בשנותיו המאוחרות של ר׳ מאיר. שני המתכתבים היו חשוכי ילדים, וכך גם ר׳ שאול ליברמן</w:t>
      </w:r>
      <w:bookmarkStart w:id="5022" w:name="_fnr3710"/>
      <w:r>
        <w:rPr>
          <w:vertAlign w:val="superscript"/>
          <w:rtl/>
        </w:rPr>
        <w:footnoteReference w:id="3718" w:customMarkFollows="0"/>
      </w:r>
      <w:bookmarkEnd w:id="5022"/>
      <w:r>
        <w:rPr>
          <w:rtl/>
        </w:rPr>
        <w:t xml:space="preserve">. ייתכן שתופעה זו עמדה מאחורי חוסר אחריותם כלפי עתיד היהדות, כפי שהתבטא אצל ר׳ </w:t>
      </w:r>
      <w:proofErr w:type="spellStart"/>
      <w:r>
        <w:rPr>
          <w:rtl/>
        </w:rPr>
        <w:t>יחיאל־יעקב</w:t>
      </w:r>
      <w:proofErr w:type="spellEnd"/>
      <w:r>
        <w:rPr>
          <w:rtl/>
        </w:rPr>
        <w:t xml:space="preserve"> ויינברג במכתבים אלה, אצל אטלס בקבלת משרה בתנועה הרפורמית, ואצל הרב ליברמן בהתקשרות לתנועה הקונסרבטיבית. אולי דרושה מידת האמונה והביטחון</w:t>
      </w:r>
      <w:bookmarkStart w:id="5023" w:name="_fnr3711"/>
      <w:r>
        <w:rPr>
          <w:vertAlign w:val="superscript"/>
          <w:rtl/>
        </w:rPr>
        <w:footnoteReference w:id="3719" w:customMarkFollows="0"/>
      </w:r>
      <w:bookmarkEnd w:id="5023"/>
      <w:r>
        <w:rPr>
          <w:rtl/>
        </w:rPr>
        <w:t xml:space="preserve"> של </w:t>
      </w:r>
      <w:proofErr w:type="spellStart"/>
      <w:r>
        <w:rPr>
          <w:rtl/>
        </w:rPr>
        <w:t>החזון־איש</w:t>
      </w:r>
      <w:proofErr w:type="spellEnd"/>
      <w:r>
        <w:rPr>
          <w:rtl/>
        </w:rPr>
        <w:t xml:space="preserve"> – שגם הוא היה חשוך ילדים – כדי להביא בחשבון את תוצאות מעשיו של אדם לאחר מותו, גם בלי שיהיה לו חלק ביולוגי בדורות הבאים.</w:t>
      </w:r>
    </w:p>
    <w:p w14:paraId="1AB3103D" w14:textId="77777777" w:rsidR="00AB3647" w:rsidRDefault="00000000" w:rsidP="007923E9">
      <w:pPr>
        <w:spacing w:after="120" w:line="276" w:lineRule="auto"/>
        <w:ind w:firstLine="283"/>
        <w:jc w:val="both"/>
      </w:pPr>
      <w:r>
        <w:rPr>
          <w:rtl/>
        </w:rPr>
        <w:t xml:space="preserve">בעניין השקפתו של ר׳ </w:t>
      </w:r>
      <w:proofErr w:type="spellStart"/>
      <w:r>
        <w:rPr>
          <w:rtl/>
        </w:rPr>
        <w:t>יחיאל־יעקב</w:t>
      </w:r>
      <w:proofErr w:type="spellEnd"/>
      <w:r>
        <w:rPr>
          <w:rtl/>
        </w:rPr>
        <w:t xml:space="preserve"> ויינברג לפני השואה, ראוי להביא את מה שאמר אבי לנכדו ר׳ יצחק </w:t>
      </w:r>
      <w:proofErr w:type="spellStart"/>
      <w:r>
        <w:rPr>
          <w:rtl/>
        </w:rPr>
        <w:t>שורין</w:t>
      </w:r>
      <w:bookmarkStart w:id="5024" w:name="_fnr3712"/>
      <w:proofErr w:type="spellEnd"/>
      <w:r>
        <w:rPr>
          <w:vertAlign w:val="superscript"/>
          <w:rtl/>
        </w:rPr>
        <w:footnoteReference w:id="3720" w:customMarkFollows="0"/>
      </w:r>
      <w:bookmarkEnd w:id="5024"/>
      <w:r>
        <w:rPr>
          <w:rtl/>
        </w:rPr>
        <w:t xml:space="preserve">. כששאל ר׳ יצחק אם ר׳ </w:t>
      </w:r>
      <w:proofErr w:type="spellStart"/>
      <w:r>
        <w:rPr>
          <w:rtl/>
        </w:rPr>
        <w:t>יחיאל־יעקב</w:t>
      </w:r>
      <w:proofErr w:type="spellEnd"/>
      <w:r>
        <w:rPr>
          <w:rtl/>
        </w:rPr>
        <w:t xml:space="preserve"> ויינברג היה בעל מוסר, השיב רבנו: “הוא לא היה בעל מוסר, אבל היה כותב טוב” – כלומר, ידע לכתוב על מוסר בבקיאות ובנחרצות. מדברי ר׳ </w:t>
      </w:r>
      <w:proofErr w:type="spellStart"/>
      <w:r>
        <w:rPr>
          <w:rtl/>
        </w:rPr>
        <w:t>שמואל־חיים</w:t>
      </w:r>
      <w:proofErr w:type="spellEnd"/>
      <w:r>
        <w:rPr>
          <w:rtl/>
        </w:rPr>
        <w:t xml:space="preserve"> דומב</w:t>
      </w:r>
      <w:bookmarkStart w:id="5025" w:name="_fnr3713"/>
      <w:r>
        <w:rPr>
          <w:vertAlign w:val="superscript"/>
          <w:rtl/>
        </w:rPr>
        <w:footnoteReference w:id="3721" w:customMarkFollows="0"/>
      </w:r>
      <w:bookmarkEnd w:id="5025"/>
      <w:r>
        <w:rPr>
          <w:rtl/>
        </w:rPr>
        <w:t xml:space="preserve"> נראה שר׳ </w:t>
      </w:r>
      <w:proofErr w:type="spellStart"/>
      <w:r>
        <w:rPr>
          <w:rtl/>
        </w:rPr>
        <w:t>יחיאל־יעקב</w:t>
      </w:r>
      <w:proofErr w:type="spellEnd"/>
      <w:r>
        <w:rPr>
          <w:rtl/>
        </w:rPr>
        <w:t xml:space="preserve"> ויינברג הכיר בכך שאינו שייך לאסכולת המוסר, אבל רק בתקופה מאוחרת יותר. הרב דומב שמע הקלטה שבה אמר ר׳ </w:t>
      </w:r>
      <w:proofErr w:type="spellStart"/>
      <w:r>
        <w:rPr>
          <w:rtl/>
        </w:rPr>
        <w:lastRenderedPageBreak/>
        <w:t>יחיאל־יעקב</w:t>
      </w:r>
      <w:proofErr w:type="spellEnd"/>
      <w:r>
        <w:rPr>
          <w:rtl/>
        </w:rPr>
        <w:t xml:space="preserve">: “בימי צעירותי הייתי הרבה יותר </w:t>
      </w:r>
      <w:proofErr w:type="spellStart"/>
      <w:r>
        <w:rPr>
          <w:rtl/>
        </w:rPr>
        <w:t>מוסרניק</w:t>
      </w:r>
      <w:proofErr w:type="spellEnd"/>
      <w:r>
        <w:rPr>
          <w:rtl/>
        </w:rPr>
        <w:t>, אבל אחר כך התרחקתי מכך במידת מה”</w:t>
      </w:r>
      <w:bookmarkStart w:id="5026" w:name="_fnr3714"/>
      <w:r>
        <w:rPr>
          <w:vertAlign w:val="superscript"/>
          <w:rtl/>
        </w:rPr>
        <w:footnoteReference w:id="3722" w:customMarkFollows="0"/>
      </w:r>
      <w:bookmarkEnd w:id="5026"/>
      <w:r>
        <w:rPr>
          <w:rtl/>
        </w:rPr>
        <w:t>.</w:t>
      </w:r>
    </w:p>
    <w:p w14:paraId="6282C4EE" w14:textId="77777777" w:rsidR="00AB3647" w:rsidRDefault="00000000" w:rsidP="007923E9">
      <w:pPr>
        <w:spacing w:after="120" w:line="276" w:lineRule="auto"/>
        <w:ind w:firstLine="283"/>
        <w:jc w:val="both"/>
      </w:pPr>
      <w:r>
        <w:rPr>
          <w:rtl/>
        </w:rPr>
        <w:t xml:space="preserve">ר׳ </w:t>
      </w:r>
      <w:proofErr w:type="spellStart"/>
      <w:r>
        <w:rPr>
          <w:rtl/>
        </w:rPr>
        <w:t>יחיאל־יעקב</w:t>
      </w:r>
      <w:proofErr w:type="spellEnd"/>
      <w:r>
        <w:rPr>
          <w:rtl/>
        </w:rPr>
        <w:t xml:space="preserve"> ויינברג נשאר מופת לעדינות, כפי שמעיד סירובו להצעות טובות לכהונה בישראל, מפני שאשתו לשעבר עברה לשם</w:t>
      </w:r>
      <w:bookmarkStart w:id="5027" w:name="_fnr3715"/>
      <w:r>
        <w:rPr>
          <w:vertAlign w:val="superscript"/>
          <w:rtl/>
        </w:rPr>
        <w:footnoteReference w:id="3723" w:customMarkFollows="0"/>
      </w:r>
      <w:bookmarkEnd w:id="5027"/>
      <w:r>
        <w:rPr>
          <w:rtl/>
        </w:rPr>
        <w:t xml:space="preserve">. לאחר גירושיה נישאה לרב הלסינקי וחיה שם כמה עשרות שנים, וכשנפטר בעלה עברה לארץ ישראל. אולם במכתביו לשמואל אטלס – ונראה שהם מכתבים אישיים למדי – נתן ר׳ </w:t>
      </w:r>
      <w:proofErr w:type="spellStart"/>
      <w:r>
        <w:rPr>
          <w:rtl/>
        </w:rPr>
        <w:t>יחיאל־יעקב</w:t>
      </w:r>
      <w:proofErr w:type="spellEnd"/>
      <w:r>
        <w:rPr>
          <w:rtl/>
        </w:rPr>
        <w:t xml:space="preserve"> נימוקים אחרים לכך שלא קיבל את ההצעות בישראל, ואף שקל לפרוש לגמלאות שם</w:t>
      </w:r>
      <w:bookmarkStart w:id="5028" w:name="_fnr3716"/>
      <w:r>
        <w:rPr>
          <w:vertAlign w:val="superscript"/>
          <w:rtl/>
        </w:rPr>
        <w:footnoteReference w:id="3724" w:customMarkFollows="0"/>
      </w:r>
      <w:bookmarkEnd w:id="5028"/>
      <w:r>
        <w:rPr>
          <w:rtl/>
        </w:rPr>
        <w:t>.</w:t>
      </w:r>
    </w:p>
    <w:p w14:paraId="4DC9D752" w14:textId="77777777" w:rsidR="00AB3647" w:rsidRDefault="00000000" w:rsidP="007923E9">
      <w:pPr>
        <w:keepLines/>
        <w:spacing w:after="120" w:line="276" w:lineRule="auto"/>
        <w:ind w:firstLine="283"/>
        <w:jc w:val="both"/>
      </w:pPr>
      <w:r>
        <w:rPr>
          <w:rtl/>
        </w:rPr>
        <w:t xml:space="preserve">השווה גם מאמר מאת יוסף </w:t>
      </w:r>
      <w:proofErr w:type="spellStart"/>
      <w:r>
        <w:rPr>
          <w:rtl/>
        </w:rPr>
        <w:t>פרידנזאן</w:t>
      </w:r>
      <w:proofErr w:type="spellEnd"/>
      <w:r>
        <w:rPr>
          <w:rtl/>
        </w:rPr>
        <w:t>, “</w:t>
      </w:r>
      <w:proofErr w:type="spellStart"/>
      <w:r>
        <w:rPr>
          <w:rtl/>
        </w:rPr>
        <w:t>דער</w:t>
      </w:r>
      <w:proofErr w:type="spellEnd"/>
      <w:r>
        <w:rPr>
          <w:rtl/>
        </w:rPr>
        <w:t xml:space="preserve"> </w:t>
      </w:r>
      <w:proofErr w:type="spellStart"/>
      <w:r>
        <w:rPr>
          <w:rtl/>
        </w:rPr>
        <w:t>ווארשעווער</w:t>
      </w:r>
      <w:proofErr w:type="spellEnd"/>
      <w:r>
        <w:rPr>
          <w:rtl/>
        </w:rPr>
        <w:t xml:space="preserve"> </w:t>
      </w:r>
      <w:proofErr w:type="spellStart"/>
      <w:r>
        <w:rPr>
          <w:rtl/>
        </w:rPr>
        <w:t>געטא</w:t>
      </w:r>
      <w:proofErr w:type="spellEnd"/>
      <w:r>
        <w:rPr>
          <w:rtl/>
        </w:rPr>
        <w:t>” [גטו ורשה]</w:t>
      </w:r>
      <w:bookmarkStart w:id="5029" w:name="_fnr3717"/>
      <w:r>
        <w:rPr>
          <w:vertAlign w:val="superscript"/>
          <w:rtl/>
        </w:rPr>
        <w:footnoteReference w:id="3725" w:customMarkFollows="0"/>
      </w:r>
      <w:bookmarkEnd w:id="5029"/>
      <w:r>
        <w:rPr>
          <w:rtl/>
        </w:rPr>
        <w:t xml:space="preserve">. אחרי תיאור מעשי החסד של ר׳ </w:t>
      </w:r>
      <w:proofErr w:type="spellStart"/>
      <w:r>
        <w:rPr>
          <w:rtl/>
        </w:rPr>
        <w:t>יחיאל־יעקב</w:t>
      </w:r>
      <w:proofErr w:type="spellEnd"/>
      <w:r>
        <w:rPr>
          <w:rtl/>
        </w:rPr>
        <w:t xml:space="preserve"> ויינברג בגטו נאמר בו: “מאחר שתפקיד זה [של ר׳ </w:t>
      </w:r>
      <w:proofErr w:type="spellStart"/>
      <w:r>
        <w:rPr>
          <w:rtl/>
        </w:rPr>
        <w:t>יחיאל־יעקב</w:t>
      </w:r>
      <w:proofErr w:type="spellEnd"/>
      <w:r>
        <w:rPr>
          <w:rtl/>
        </w:rPr>
        <w:t xml:space="preserve"> ויינברג], כפי שאני זוכר אותו, כמעט לא תואר עד היום, רואה אני חובה לעצמי – עתה שאני כותב על הגטו – להזכיר שהיה גדול לא רק בתורה וחכמה אלא גם בחסד”.</w:t>
      </w:r>
    </w:p>
    <w:bookmarkStart w:id="5030" w:name="b4_excE"/>
    <w:bookmarkStart w:id="5031" w:name="b4_annexE"/>
    <w:p w14:paraId="53563E1A" w14:textId="77777777" w:rsidR="00AB3647" w:rsidRDefault="00000000" w:rsidP="007923E9">
      <w:pPr>
        <w:pStyle w:val="3"/>
        <w:spacing w:line="276" w:lineRule="auto"/>
      </w:pPr>
      <w:r>
        <w:lastRenderedPageBreak/>
        <w:fldChar w:fldCharType="begin" w:dirty="true"/>
      </w:r>
      <w:r>
        <w:rPr>
          <w:rtl w:val="0"/>
        </w:rPr>
        <w:instrText>HYPERLINK \l "b4_note44</w:instrText>
      </w:r>
      <w:r>
        <w:instrText>"</w:instrText>
      </w:r>
      <w:r>
        <w:fldChar w:fldCharType="separate"/>
      </w:r>
      <w:r>
        <w:t>נספח ה</w:t>
      </w:r>
      <w:r>
        <w:fldChar w:fldCharType="end"/>
      </w:r>
      <w:bookmarkEnd w:id="5030"/>
      <w:bookmarkEnd w:id="5031"/>
    </w:p>
    <w:p w14:paraId="2E995911" w14:textId="77777777" w:rsidR="00AB3647" w:rsidRDefault="00000000" w:rsidP="007923E9">
      <w:pPr>
        <w:pStyle w:val="af"/>
        <w:spacing w:line="276" w:lineRule="auto"/>
      </w:pPr>
      <w:r>
        <w:t xml:space="preserve">על יחס הסבא לתלמידים ועל דרך חינוך שנקט פעם כלפי התלמיד שציפה שיהיה גדול הדור ר׳ </w:t>
      </w:r>
      <w:proofErr w:type="spellStart"/>
      <w:r>
        <w:t>יחיאל־יעקב</w:t>
      </w:r>
      <w:proofErr w:type="spellEnd"/>
      <w:r>
        <w:t xml:space="preserve"> ויינברג</w:t>
      </w:r>
    </w:p>
    <w:p w14:paraId="4BFAB10D" w14:textId="77777777" w:rsidR="00AB3647" w:rsidRDefault="00000000" w:rsidP="007923E9">
      <w:pPr>
        <w:pStyle w:val="4"/>
        <w:spacing w:line="276" w:lineRule="auto"/>
      </w:pPr>
      <w:r>
        <w:t>· הפסקה הראשונה ·</w:t>
      </w:r>
    </w:p>
    <w:p w14:paraId="6B670B53" w14:textId="77777777" w:rsidR="00AB3647" w:rsidRDefault="00000000" w:rsidP="007923E9">
      <w:pPr>
        <w:pStyle w:val="5"/>
        <w:spacing w:line="276" w:lineRule="auto"/>
      </w:pPr>
      <w:r>
        <w:rPr>
          <w:bCs/>
          <w:szCs w:val="26"/>
        </w:rPr>
        <w:t>הסבא אינו חוסך שבטו מתלמידיו</w:t>
      </w:r>
    </w:p>
    <w:p w14:paraId="6B2A538E" w14:textId="77777777" w:rsidR="00AB3647" w:rsidRDefault="00000000" w:rsidP="007923E9">
      <w:pPr>
        <w:spacing w:after="120" w:line="276" w:lineRule="auto"/>
        <w:ind w:firstLine="283"/>
        <w:jc w:val="both"/>
      </w:pPr>
      <w:r>
        <w:rPr>
          <w:rtl/>
        </w:rPr>
        <w:t>כץ, “תנועת המוסר”, כרך ג</w:t>
      </w:r>
      <w:bookmarkStart w:id="5032" w:name="_fnr3718"/>
      <w:r>
        <w:rPr>
          <w:vertAlign w:val="superscript"/>
          <w:rtl/>
        </w:rPr>
        <w:footnoteReference w:id="3726" w:customMarkFollows="0"/>
      </w:r>
      <w:bookmarkEnd w:id="5032"/>
      <w:r>
        <w:rPr>
          <w:rtl/>
        </w:rPr>
        <w:t xml:space="preserve">, מגלה שהיה מכנה תלמידים מסוימים “רשעים” </w:t>
      </w:r>
      <w:proofErr w:type="spellStart"/>
      <w:r>
        <w:rPr>
          <w:rtl/>
        </w:rPr>
        <w:t>ו“בורים</w:t>
      </w:r>
      <w:proofErr w:type="spellEnd"/>
      <w:r>
        <w:rPr>
          <w:rtl/>
        </w:rPr>
        <w:t>”. פעם, כשנכנס אחד התלמידים לחדרו, הנמיך את להבת מנורתו והסביר שאסור להסתכל בפני רשע</w:t>
      </w:r>
      <w:bookmarkStart w:id="5033" w:name="_fnr3719"/>
      <w:r>
        <w:rPr>
          <w:vertAlign w:val="superscript"/>
          <w:rtl/>
        </w:rPr>
        <w:footnoteReference w:id="3727" w:customMarkFollows="0"/>
      </w:r>
      <w:bookmarkEnd w:id="5033"/>
      <w:r>
        <w:rPr>
          <w:rtl/>
        </w:rPr>
        <w:t>.</w:t>
      </w:r>
    </w:p>
    <w:p w14:paraId="51D457B6" w14:textId="77777777" w:rsidR="00AB3647" w:rsidRDefault="00000000" w:rsidP="007923E9">
      <w:pPr>
        <w:pStyle w:val="4"/>
        <w:spacing w:line="276" w:lineRule="auto"/>
      </w:pPr>
      <w:r>
        <w:t>· הפסקה השנייה ·</w:t>
      </w:r>
    </w:p>
    <w:p w14:paraId="5A35B4F6" w14:textId="77777777" w:rsidR="00AB3647" w:rsidRDefault="00000000" w:rsidP="007923E9">
      <w:pPr>
        <w:pStyle w:val="5"/>
        <w:spacing w:line="276" w:lineRule="auto"/>
      </w:pPr>
      <w:r>
        <w:rPr>
          <w:bCs/>
          <w:szCs w:val="26"/>
        </w:rPr>
        <w:t>הסבא משלב שבח וביקורת</w:t>
      </w:r>
    </w:p>
    <w:p w14:paraId="596C2505" w14:textId="77777777" w:rsidR="00AB3647" w:rsidRDefault="00000000" w:rsidP="007923E9">
      <w:pPr>
        <w:spacing w:after="120" w:line="276" w:lineRule="auto"/>
        <w:ind w:firstLine="283"/>
        <w:jc w:val="both"/>
      </w:pPr>
      <w:r>
        <w:rPr>
          <w:rtl/>
        </w:rPr>
        <w:t>שם</w:t>
      </w:r>
      <w:bookmarkStart w:id="5034" w:name="_fnr3720"/>
      <w:r>
        <w:rPr>
          <w:vertAlign w:val="superscript"/>
          <w:rtl/>
        </w:rPr>
        <w:footnoteReference w:id="3728" w:customMarkFollows="0"/>
      </w:r>
      <w:bookmarkEnd w:id="5034"/>
      <w:r>
        <w:rPr>
          <w:rtl/>
        </w:rPr>
        <w:t xml:space="preserve"> נאמר שלא זו בלבד שהיה משנה את יחסו לאותו תלמיד, אלא שלעיתים היה “דוחה ביד אחת ומקרב בשנייה”</w:t>
      </w:r>
      <w:bookmarkStart w:id="5035" w:name="_fnr3721"/>
      <w:r>
        <w:rPr>
          <w:vertAlign w:val="superscript"/>
          <w:rtl/>
        </w:rPr>
        <w:footnoteReference w:id="3729" w:customMarkFollows="0"/>
      </w:r>
      <w:bookmarkEnd w:id="5035"/>
      <w:r>
        <w:rPr>
          <w:rtl/>
        </w:rPr>
        <w:t xml:space="preserve"> בעת ובעונה אחת.</w:t>
      </w:r>
    </w:p>
    <w:p w14:paraId="24D520FC" w14:textId="77777777" w:rsidR="00AB3647" w:rsidRDefault="00000000" w:rsidP="007923E9">
      <w:pPr>
        <w:pStyle w:val="4"/>
        <w:spacing w:line="276" w:lineRule="auto"/>
      </w:pPr>
      <w:r>
        <w:t>· הפסקה השלישית ·</w:t>
      </w:r>
    </w:p>
    <w:p w14:paraId="1F5F3A2B" w14:textId="77777777" w:rsidR="00AB3647" w:rsidRDefault="00000000" w:rsidP="007923E9">
      <w:pPr>
        <w:pStyle w:val="5"/>
        <w:spacing w:line="276" w:lineRule="auto"/>
      </w:pPr>
      <w:r>
        <w:rPr>
          <w:bCs/>
          <w:szCs w:val="26"/>
        </w:rPr>
        <w:t>רבנו נוהג בכל תלמיד לפי עניינו</w:t>
      </w:r>
    </w:p>
    <w:p w14:paraId="23473633" w14:textId="77777777" w:rsidR="00AB3647" w:rsidRDefault="00000000" w:rsidP="007923E9">
      <w:pPr>
        <w:spacing w:after="120" w:line="276" w:lineRule="auto"/>
        <w:ind w:firstLine="283"/>
        <w:jc w:val="both"/>
      </w:pPr>
      <w:r>
        <w:rPr>
          <w:rtl/>
        </w:rPr>
        <w:t xml:space="preserve">ראה פרק 3, הפסקה הראשונה של נספח ל, על כך שחניכי ר׳ </w:t>
      </w:r>
      <w:proofErr w:type="spellStart"/>
      <w:r>
        <w:rPr>
          <w:rtl/>
        </w:rPr>
        <w:t>נתן־צבי</w:t>
      </w:r>
      <w:proofErr w:type="spellEnd"/>
      <w:r>
        <w:rPr>
          <w:rtl/>
        </w:rPr>
        <w:t xml:space="preserve"> היו שונים זה מזה, מפני שהסבא הניח לכל אחד לפתח את כישרונותיו המיוחדים. אבי הלך באותה דרך כללית ונהג בכל תלמיד לפי עניינו – אף שאיני יכול לדמיין אותו נכנס לכמה מן הדרכים העקיפות של הסבא שתוארו לעיל ובהערות 42 ו־43 בפרק זה.</w:t>
      </w:r>
    </w:p>
    <w:p w14:paraId="7DF70D4D" w14:textId="77777777" w:rsidR="00AB3647" w:rsidRDefault="00000000" w:rsidP="007923E9">
      <w:pPr>
        <w:spacing w:after="120" w:line="276" w:lineRule="auto"/>
        <w:ind w:firstLine="283"/>
        <w:jc w:val="both"/>
      </w:pPr>
      <w:r>
        <w:rPr>
          <w:rtl/>
        </w:rPr>
        <w:t>ר׳ שמואל גולדשטיין</w:t>
      </w:r>
      <w:bookmarkStart w:id="5036" w:name="_fnr3722"/>
      <w:r>
        <w:rPr>
          <w:vertAlign w:val="superscript"/>
          <w:rtl/>
        </w:rPr>
        <w:footnoteReference w:id="3730" w:customMarkFollows="0"/>
      </w:r>
      <w:bookmarkEnd w:id="5036"/>
      <w:r>
        <w:rPr>
          <w:rtl/>
        </w:rPr>
        <w:t xml:space="preserve"> סיפר שבאמצע שנות </w:t>
      </w:r>
      <w:proofErr w:type="spellStart"/>
      <w:r>
        <w:rPr>
          <w:rtl/>
        </w:rPr>
        <w:t>הת״ש</w:t>
      </w:r>
      <w:proofErr w:type="spellEnd"/>
      <w:r>
        <w:rPr>
          <w:rtl/>
        </w:rPr>
        <w:t xml:space="preserve">, בתקופה מוקדמת של עבודת אבי במתיבתא תורה ודעת, אמר אבי למדריכי מחנה מתיבתא </w:t>
      </w:r>
      <w:proofErr w:type="spellStart"/>
      <w:r>
        <w:rPr>
          <w:rtl/>
        </w:rPr>
        <w:t>בפרנדייל</w:t>
      </w:r>
      <w:proofErr w:type="spellEnd"/>
      <w:r>
        <w:rPr>
          <w:rtl/>
        </w:rPr>
        <w:t xml:space="preserve"> שבניו יורק: “כל אחד מכם מופקד על קבוצה שלמה של נערים, אבל עליכם לדעת שכל נער הוא עולם בפני עצמו. מוטלת עליכם אחריות לכל נער ונער כיחיד”.</w:t>
      </w:r>
    </w:p>
    <w:p w14:paraId="09C64DD2" w14:textId="77777777" w:rsidR="00AB3647" w:rsidRDefault="00000000" w:rsidP="007923E9">
      <w:pPr>
        <w:pStyle w:val="4"/>
        <w:spacing w:line="276" w:lineRule="auto"/>
      </w:pPr>
      <w:r>
        <w:lastRenderedPageBreak/>
        <w:t>· הפסקה הרביעית ·</w:t>
      </w:r>
    </w:p>
    <w:p w14:paraId="17A414BC" w14:textId="77777777" w:rsidR="00AB3647" w:rsidRDefault="00000000" w:rsidP="007923E9">
      <w:pPr>
        <w:pStyle w:val="5"/>
        <w:spacing w:line="276" w:lineRule="auto"/>
      </w:pPr>
      <w:r>
        <w:rPr>
          <w:bCs/>
          <w:szCs w:val="26"/>
        </w:rPr>
        <w:t xml:space="preserve">הסבא שולח את ר׳ </w:t>
      </w:r>
      <w:proofErr w:type="spellStart"/>
      <w:r>
        <w:rPr>
          <w:bCs/>
          <w:szCs w:val="26"/>
        </w:rPr>
        <w:t>יחיאל־יעקב</w:t>
      </w:r>
      <w:proofErr w:type="spellEnd"/>
      <w:r>
        <w:rPr>
          <w:bCs/>
          <w:szCs w:val="26"/>
        </w:rPr>
        <w:t xml:space="preserve"> ויינברג הצעיר לשאול את ר׳ נפתלי אמסטרדם – הסבא נוקט אותה דרך כשני עשורים קודם לכן – ר׳ </w:t>
      </w:r>
      <w:proofErr w:type="spellStart"/>
      <w:r>
        <w:rPr>
          <w:bCs/>
          <w:szCs w:val="26"/>
        </w:rPr>
        <w:t>יחיאל־יעקב</w:t>
      </w:r>
      <w:proofErr w:type="spellEnd"/>
      <w:r>
        <w:rPr>
          <w:bCs/>
          <w:szCs w:val="26"/>
        </w:rPr>
        <w:t xml:space="preserve"> ויינברג צפוי להיות מן המנהיגים הגדולים בעולם התורה</w:t>
      </w:r>
    </w:p>
    <w:p w14:paraId="0CBC208E" w14:textId="77777777" w:rsidR="00AB3647" w:rsidRDefault="00000000" w:rsidP="007923E9">
      <w:pPr>
        <w:spacing w:after="120" w:line="276" w:lineRule="auto"/>
        <w:ind w:firstLine="283"/>
        <w:jc w:val="both"/>
      </w:pPr>
      <w:r>
        <w:rPr>
          <w:rtl/>
        </w:rPr>
        <w:t>דוגמה מעניינת לגישתו הפסיכולוגית של הסבא בחינוך תלמידיו נרשמה בספרו של כץ, “תנועת המוסר”, כרך ג</w:t>
      </w:r>
      <w:bookmarkStart w:id="5037" w:name="_fnr3723"/>
      <w:r>
        <w:rPr>
          <w:vertAlign w:val="superscript"/>
          <w:rtl/>
        </w:rPr>
        <w:footnoteReference w:id="3731" w:customMarkFollows="0"/>
      </w:r>
      <w:bookmarkEnd w:id="5037"/>
      <w:r>
        <w:rPr>
          <w:rtl/>
        </w:rPr>
        <w:t xml:space="preserve">. ר׳ </w:t>
      </w:r>
      <w:proofErr w:type="spellStart"/>
      <w:r>
        <w:rPr>
          <w:rtl/>
        </w:rPr>
        <w:t>יחיאל־יעקב</w:t>
      </w:r>
      <w:proofErr w:type="spellEnd"/>
      <w:r>
        <w:rPr>
          <w:rtl/>
        </w:rPr>
        <w:t xml:space="preserve"> ויינברג סיפר שבצעירותו שאל פעם את ר׳ נפתלי אמסטרדם כיצד להתגבר על טרדת המחשבה, </w:t>
      </w:r>
      <w:proofErr w:type="spellStart"/>
      <w:r>
        <w:rPr>
          <w:rtl/>
        </w:rPr>
        <w:t>ש“לפעמים</w:t>
      </w:r>
      <w:proofErr w:type="spellEnd"/>
      <w:r>
        <w:rPr>
          <w:rtl/>
        </w:rPr>
        <w:t xml:space="preserve"> גרמה לו לשכוח להתפלל מנחה”. ר׳ נפתלי הביט בו בתדהמה ושאל בחרדה אם שכח להתפלל לגמרי. ר׳ </w:t>
      </w:r>
      <w:proofErr w:type="spellStart"/>
      <w:r>
        <w:rPr>
          <w:rtl/>
        </w:rPr>
        <w:t>יחיאל־יעקב</w:t>
      </w:r>
      <w:proofErr w:type="spellEnd"/>
      <w:r>
        <w:rPr>
          <w:rtl/>
        </w:rPr>
        <w:t xml:space="preserve"> נבהל ממבטו של ר׳ נפתלי, וטען בניגוד לאמת ששכח רק להתפלל במניין. החכם הזקן יעץ לו אז כיצד להתמודד עם בעייתו.</w:t>
      </w:r>
    </w:p>
    <w:p w14:paraId="28399A2A" w14:textId="77777777" w:rsidR="00AB3647" w:rsidRDefault="00000000" w:rsidP="007923E9">
      <w:pPr>
        <w:spacing w:after="120" w:line="276" w:lineRule="auto"/>
        <w:ind w:firstLine="283"/>
        <w:jc w:val="both"/>
      </w:pPr>
      <w:r>
        <w:rPr>
          <w:rtl/>
        </w:rPr>
        <w:t xml:space="preserve">כשסיפר ר׳ </w:t>
      </w:r>
      <w:proofErr w:type="spellStart"/>
      <w:r>
        <w:rPr>
          <w:rtl/>
        </w:rPr>
        <w:t>יחיאל־יעקב</w:t>
      </w:r>
      <w:proofErr w:type="spellEnd"/>
      <w:r>
        <w:rPr>
          <w:rtl/>
        </w:rPr>
        <w:t xml:space="preserve"> ויינברג לסבא על חילופי הדברים, קרא הלה: “איך יכולת לרמות צדיק גדול כפי שעשית?”, ואמר לו לשוב אל ר׳ נפתלי ולהודות על האמת. ר׳ </w:t>
      </w:r>
      <w:proofErr w:type="spellStart"/>
      <w:r>
        <w:rPr>
          <w:rtl/>
        </w:rPr>
        <w:t>יחיאל־יעקב</w:t>
      </w:r>
      <w:proofErr w:type="spellEnd"/>
      <w:r>
        <w:rPr>
          <w:rtl/>
        </w:rPr>
        <w:t xml:space="preserve"> אמר שאין לבו נותן לו לעשות זאת, והסבא הודיע לו שלא יורשה לעבור את סף ביתו עד שיתקן את עוולתו. באין ברירה יצא ר׳ </w:t>
      </w:r>
      <w:proofErr w:type="spellStart"/>
      <w:r>
        <w:rPr>
          <w:rtl/>
        </w:rPr>
        <w:t>יחיאל־יעקב</w:t>
      </w:r>
      <w:proofErr w:type="spellEnd"/>
      <w:r>
        <w:rPr>
          <w:rtl/>
        </w:rPr>
        <w:t xml:space="preserve"> לבית ר׳ נפתלי אמסטרדם, בלב שבור ובחרטה. אבל עוד לפני שהספיק להיכנס לביתו של ר׳ נפתלי, הגיע אליו שליח מן הסבא והורה לו לשוב. הסבא הסביר שלא התכוון שר׳ </w:t>
      </w:r>
      <w:proofErr w:type="spellStart"/>
      <w:r>
        <w:rPr>
          <w:rtl/>
        </w:rPr>
        <w:t>יחיאל־יעקב</w:t>
      </w:r>
      <w:proofErr w:type="spellEnd"/>
      <w:r>
        <w:rPr>
          <w:rtl/>
        </w:rPr>
        <w:t xml:space="preserve"> יעבור את ההשפלה שבהודאה ששיקר. ר׳ </w:t>
      </w:r>
      <w:proofErr w:type="spellStart"/>
      <w:r>
        <w:rPr>
          <w:rtl/>
        </w:rPr>
        <w:t>נתן־צבי</w:t>
      </w:r>
      <w:proofErr w:type="spellEnd"/>
      <w:r>
        <w:rPr>
          <w:rtl/>
        </w:rPr>
        <w:t xml:space="preserve"> </w:t>
      </w:r>
      <w:proofErr w:type="spellStart"/>
      <w:r>
        <w:rPr>
          <w:rtl/>
        </w:rPr>
        <w:t>פינקל</w:t>
      </w:r>
      <w:proofErr w:type="spellEnd"/>
      <w:r>
        <w:rPr>
          <w:rtl/>
        </w:rPr>
        <w:t xml:space="preserve"> ביקש רק לעקור כל שריד של רמייה שהותיר מעשהו של ר׳ </w:t>
      </w:r>
      <w:proofErr w:type="spellStart"/>
      <w:r>
        <w:rPr>
          <w:rtl/>
        </w:rPr>
        <w:t>יחיאל־יעקב</w:t>
      </w:r>
      <w:proofErr w:type="spellEnd"/>
      <w:r>
        <w:rPr>
          <w:rtl/>
        </w:rPr>
        <w:t xml:space="preserve"> בנפשו, ודבר זה הושג כשהסכים ר׳ </w:t>
      </w:r>
      <w:proofErr w:type="spellStart"/>
      <w:r>
        <w:rPr>
          <w:rtl/>
        </w:rPr>
        <w:t>יחיאל־יעקב</w:t>
      </w:r>
      <w:proofErr w:type="spellEnd"/>
      <w:r>
        <w:rPr>
          <w:rtl/>
        </w:rPr>
        <w:t xml:space="preserve"> לקבל על עצמו את הייסורים שבגילוי מעשהו </w:t>
      </w:r>
      <w:proofErr w:type="spellStart"/>
      <w:r>
        <w:rPr>
          <w:rtl/>
        </w:rPr>
        <w:t>לר</w:t>
      </w:r>
      <w:proofErr w:type="spellEnd"/>
      <w:r>
        <w:rPr>
          <w:rtl/>
        </w:rPr>
        <w:t>׳ נפתלי.</w:t>
      </w:r>
    </w:p>
    <w:p w14:paraId="44DC080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5038" w:name="_fnr3724"/>
      <w:r>
        <w:rPr>
          <w:vertAlign w:val="superscript"/>
          <w:rtl/>
        </w:rPr>
        <w:footnoteReference w:id="3732" w:customMarkFollows="0"/>
      </w:r>
      <w:bookmarkEnd w:id="5038"/>
      <w:r>
        <w:rPr>
          <w:rtl/>
        </w:rPr>
        <w:t xml:space="preserve"> שר׳ </w:t>
      </w:r>
      <w:proofErr w:type="spellStart"/>
      <w:r>
        <w:rPr>
          <w:rtl/>
        </w:rPr>
        <w:t>יחיאל־יעקב</w:t>
      </w:r>
      <w:proofErr w:type="spellEnd"/>
      <w:r>
        <w:rPr>
          <w:rtl/>
        </w:rPr>
        <w:t xml:space="preserve"> ויינברג העלה תחילה את בעיית שכחת המנחה בפני הסבא, והסבא הוא שהורה לו להציג את השאלה </w:t>
      </w:r>
      <w:proofErr w:type="spellStart"/>
      <w:r>
        <w:rPr>
          <w:rtl/>
        </w:rPr>
        <w:t>לר</w:t>
      </w:r>
      <w:proofErr w:type="spellEnd"/>
      <w:r>
        <w:rPr>
          <w:rtl/>
        </w:rPr>
        <w:t xml:space="preserve">׳ נפתלי. הסבא הבין שתגובת ר׳ נפתלי לשאלה תשאיר בר׳ </w:t>
      </w:r>
      <w:proofErr w:type="spellStart"/>
      <w:r>
        <w:rPr>
          <w:rtl/>
        </w:rPr>
        <w:t>יחיאל־יעקב</w:t>
      </w:r>
      <w:proofErr w:type="spellEnd"/>
      <w:r>
        <w:rPr>
          <w:rtl/>
        </w:rPr>
        <w:t xml:space="preserve"> רושם עז דיו להבטיח שלא ישכח עוד מנחה לעולם! ר׳ חיים </w:t>
      </w:r>
      <w:proofErr w:type="spellStart"/>
      <w:r>
        <w:rPr>
          <w:rtl/>
        </w:rPr>
        <w:t>סרנא</w:t>
      </w:r>
      <w:proofErr w:type="spellEnd"/>
      <w:r>
        <w:rPr>
          <w:rtl/>
        </w:rPr>
        <w:t xml:space="preserve"> סיפר גם שטרדת המחשבה של ר׳ </w:t>
      </w:r>
      <w:proofErr w:type="spellStart"/>
      <w:r>
        <w:rPr>
          <w:rtl/>
        </w:rPr>
        <w:t>יחיאל־יעקב</w:t>
      </w:r>
      <w:proofErr w:type="spellEnd"/>
      <w:r>
        <w:rPr>
          <w:rtl/>
        </w:rPr>
        <w:t xml:space="preserve"> הייתה כה גדולה, </w:t>
      </w:r>
      <w:proofErr w:type="spellStart"/>
      <w:r>
        <w:rPr>
          <w:rtl/>
        </w:rPr>
        <w:t>ש“כשהיה</w:t>
      </w:r>
      <w:proofErr w:type="spellEnd"/>
      <w:r>
        <w:rPr>
          <w:rtl/>
        </w:rPr>
        <w:t xml:space="preserve"> שקוע בלימוד התורה, היה שוכח לקלף את הביצה הקשה שניתנה לו לאכול”.</w:t>
      </w:r>
    </w:p>
    <w:p w14:paraId="482D25C0" w14:textId="77777777" w:rsidR="00AB3647" w:rsidRDefault="00000000" w:rsidP="007923E9">
      <w:pPr>
        <w:spacing w:after="120" w:line="276" w:lineRule="auto"/>
        <w:ind w:firstLine="283"/>
        <w:jc w:val="both"/>
      </w:pPr>
      <w:r>
        <w:rPr>
          <w:rtl/>
        </w:rPr>
        <w:t xml:space="preserve">הקורא ימצא עניין בדרך חינוכית דומה שנקט הסבא כמעט עשרים שנה </w:t>
      </w:r>
      <w:r>
        <w:rPr>
          <w:b/>
          <w:bCs/>
          <w:rtl/>
        </w:rPr>
        <w:t>לפני</w:t>
      </w:r>
      <w:r>
        <w:rPr>
          <w:rtl/>
        </w:rPr>
        <w:t xml:space="preserve"> המעשה בר׳ </w:t>
      </w:r>
      <w:proofErr w:type="spellStart"/>
      <w:r>
        <w:rPr>
          <w:rtl/>
        </w:rPr>
        <w:t>יחיאל־יעקב</w:t>
      </w:r>
      <w:proofErr w:type="spellEnd"/>
      <w:r>
        <w:rPr>
          <w:rtl/>
        </w:rPr>
        <w:t xml:space="preserve"> ויינברג, כפי שסיפר </w:t>
      </w:r>
      <w:proofErr w:type="spellStart"/>
      <w:r>
        <w:rPr>
          <w:rtl/>
        </w:rPr>
        <w:t>יהושע־לייב</w:t>
      </w:r>
      <w:proofErr w:type="spellEnd"/>
      <w:r>
        <w:rPr>
          <w:rtl/>
        </w:rPr>
        <w:t xml:space="preserve"> </w:t>
      </w:r>
      <w:proofErr w:type="spellStart"/>
      <w:r>
        <w:rPr>
          <w:rtl/>
        </w:rPr>
        <w:t>ראדוס</w:t>
      </w:r>
      <w:proofErr w:type="spellEnd"/>
      <w:r>
        <w:rPr>
          <w:rtl/>
        </w:rPr>
        <w:t xml:space="preserve"> בזיכרונותיו</w:t>
      </w:r>
      <w:bookmarkStart w:id="5039" w:name="_fnr3725"/>
      <w:r>
        <w:rPr>
          <w:vertAlign w:val="superscript"/>
          <w:rtl/>
        </w:rPr>
        <w:footnoteReference w:id="3733" w:customMarkFollows="0"/>
      </w:r>
      <w:bookmarkEnd w:id="5039"/>
      <w:r>
        <w:rPr>
          <w:rtl/>
        </w:rPr>
        <w:t xml:space="preserve">. כשהיה המחבר תלמיד שטרם הגיע לבר מצווה, הוכיח אותו הסבא תחילה בחריפות רבה, ולא קיבל ממנו שום טענת הגנה או תירוץ. בלשון המחבר: “ניסיוני להצדיק את עצמי בפניו כנקי מ[ה]חטא [של ביקורת על שיעור הפלפול שזה עתה הונהג] היה לשווא. לשווא הצהרתי בפניו שמה ששמע עליי היה בדיה של חברים מקנאים. ניסיתי גם לדרוש שהעדים </w:t>
      </w:r>
      <w:proofErr w:type="spellStart"/>
      <w:r>
        <w:rPr>
          <w:rtl/>
        </w:rPr>
        <w:t>ה‘דוברי</w:t>
      </w:r>
      <w:proofErr w:type="spellEnd"/>
      <w:r>
        <w:rPr>
          <w:rtl/>
        </w:rPr>
        <w:t xml:space="preserve"> אמת’ יעידו על חטאי בפניי, כדי שאוכל לסתור את דבריהם. אבל כל זה לא הועיל. הוא סירב לשמוע אותי, ודיני נגזר להרחיקני משיעור הפלפול. קיבלתי את העונש בלב מלא פחד ותדהמה על חטא שלא חטאתי. פניתי לצאת מחדרו, כשקול הקורא לי הגיע לאוזני. שבתי וניגשתי אל הסבא לשמוע מה בפיו, והנה </w:t>
      </w:r>
      <w:r>
        <w:rPr>
          <w:rtl/>
        </w:rPr>
        <w:lastRenderedPageBreak/>
        <w:t>שמחה! לא האמנתי למשמע אוזניי, כששמעתי מפיו התנצלות ואת ההודעה שייסלח לי על עבֵרתי. הוטל עליי רק עונש קל: לבוא לשיעור שלוש פעמים רצופות לאחר שתינעל דלת החדר, ולדפוק בדלת כדי שיכניסוני”.</w:t>
      </w:r>
    </w:p>
    <w:p w14:paraId="070E007C" w14:textId="77777777" w:rsidR="00AB3647" w:rsidRDefault="00000000" w:rsidP="007923E9">
      <w:pPr>
        <w:spacing w:after="120" w:line="276" w:lineRule="auto"/>
        <w:ind w:firstLine="283"/>
        <w:jc w:val="both"/>
      </w:pPr>
      <w:r>
        <w:rPr>
          <w:rtl/>
        </w:rPr>
        <w:t xml:space="preserve">יש להניח שהסבא הבין מיד שהנער המסכן דובר אמת, אבל רצה שיעבור את ייסורי הסילוק מן השיעור – בלי שיסולק ממנו בפועל – כשם שר׳ </w:t>
      </w:r>
      <w:proofErr w:type="spellStart"/>
      <w:r>
        <w:rPr>
          <w:rtl/>
        </w:rPr>
        <w:t>יחיאל־יעקב</w:t>
      </w:r>
      <w:proofErr w:type="spellEnd"/>
      <w:r>
        <w:rPr>
          <w:rtl/>
        </w:rPr>
        <w:t xml:space="preserve"> ויינברג היה צריך לעבור את ייסורי ההודאה ששיקר, בלי שיודה בפועל.</w:t>
      </w:r>
    </w:p>
    <w:p w14:paraId="3F353E55" w14:textId="77777777" w:rsidR="00AB3647" w:rsidRDefault="00000000" w:rsidP="007923E9">
      <w:pPr>
        <w:spacing w:after="120" w:line="276" w:lineRule="auto"/>
        <w:ind w:firstLine="283"/>
        <w:jc w:val="both"/>
      </w:pPr>
      <w:r>
        <w:rPr>
          <w:rtl/>
        </w:rPr>
        <w:t xml:space="preserve">לפי מה ששמע ר׳ חיים </w:t>
      </w:r>
      <w:proofErr w:type="spellStart"/>
      <w:r>
        <w:rPr>
          <w:rtl/>
        </w:rPr>
        <w:t>סרנא</w:t>
      </w:r>
      <w:proofErr w:type="spellEnd"/>
      <w:r>
        <w:rPr>
          <w:rtl/>
        </w:rPr>
        <w:t xml:space="preserve"> מאביו, סבר הסבא שר׳ </w:t>
      </w:r>
      <w:proofErr w:type="spellStart"/>
      <w:r>
        <w:rPr>
          <w:rtl/>
        </w:rPr>
        <w:t>יחיאל־יעקב</w:t>
      </w:r>
      <w:proofErr w:type="spellEnd"/>
      <w:r>
        <w:rPr>
          <w:rtl/>
        </w:rPr>
        <w:t xml:space="preserve"> ויינברג יהיה גדול הדור; “והוא היה נעשה כזה, אלמלא נישואיו האומללים”</w:t>
      </w:r>
      <w:bookmarkStart w:id="5040" w:name="_fnr3726"/>
      <w:r>
        <w:rPr>
          <w:vertAlign w:val="superscript"/>
          <w:rtl/>
        </w:rPr>
        <w:footnoteReference w:id="3734" w:customMarkFollows="0"/>
      </w:r>
      <w:bookmarkEnd w:id="5040"/>
      <w:r>
        <w:rPr>
          <w:rtl/>
        </w:rPr>
        <w:t xml:space="preserve">, אמר ר׳ חיים </w:t>
      </w:r>
      <w:proofErr w:type="spellStart"/>
      <w:r>
        <w:rPr>
          <w:rtl/>
        </w:rPr>
        <w:t>סרנא</w:t>
      </w:r>
      <w:bookmarkStart w:id="5041" w:name="_fnr3727"/>
      <w:proofErr w:type="spellEnd"/>
      <w:r>
        <w:rPr>
          <w:vertAlign w:val="superscript"/>
          <w:rtl/>
        </w:rPr>
        <w:footnoteReference w:id="3735" w:customMarkFollows="0"/>
      </w:r>
      <w:bookmarkEnd w:id="5041"/>
      <w:r>
        <w:rPr>
          <w:rtl/>
        </w:rPr>
        <w:t>. הוא הסביר: “בליטא רק בעלי עגלות התגרשו – כל אדם בעל מעמד היה, כפי שנהגה אמי לומר, ‘אוכל מסמרים [</w:t>
      </w:r>
      <w:proofErr w:type="spellStart"/>
      <w:r>
        <w:rPr>
          <w:rtl/>
        </w:rPr>
        <w:t>עסען</w:t>
      </w:r>
      <w:proofErr w:type="spellEnd"/>
      <w:r>
        <w:rPr>
          <w:rtl/>
        </w:rPr>
        <w:t xml:space="preserve"> </w:t>
      </w:r>
      <w:proofErr w:type="spellStart"/>
      <w:r>
        <w:rPr>
          <w:rtl/>
        </w:rPr>
        <w:t>טשוועקעס</w:t>
      </w:r>
      <w:proofErr w:type="spellEnd"/>
      <w:r>
        <w:rPr>
          <w:rtl/>
        </w:rPr>
        <w:t xml:space="preserve"> – סובל]’ ומחזיק מעמד”. רחל </w:t>
      </w:r>
      <w:proofErr w:type="spellStart"/>
      <w:r>
        <w:rPr>
          <w:rtl/>
        </w:rPr>
        <w:t>סרנא</w:t>
      </w:r>
      <w:proofErr w:type="spellEnd"/>
      <w:r>
        <w:rPr>
          <w:rtl/>
        </w:rPr>
        <w:t xml:space="preserve"> השתמשה גם בביטוי אחר: “כל אדם בעל מעמד היה ‘נושך את השמיכה [</w:t>
      </w:r>
      <w:proofErr w:type="spellStart"/>
      <w:r>
        <w:rPr>
          <w:rtl/>
        </w:rPr>
        <w:t>בייסען</w:t>
      </w:r>
      <w:proofErr w:type="spellEnd"/>
      <w:r>
        <w:rPr>
          <w:rtl/>
        </w:rPr>
        <w:t xml:space="preserve"> אין </w:t>
      </w:r>
      <w:proofErr w:type="spellStart"/>
      <w:r>
        <w:rPr>
          <w:rtl/>
        </w:rPr>
        <w:t>פערענע</w:t>
      </w:r>
      <w:proofErr w:type="spellEnd"/>
      <w:r>
        <w:rPr>
          <w:rtl/>
        </w:rPr>
        <w:t xml:space="preserve"> – כנראה במשמעות של חריקת שיניים מתחת לכסות, בצנעה]’”. המרואיין הוסיף שר׳ </w:t>
      </w:r>
      <w:proofErr w:type="spellStart"/>
      <w:r>
        <w:rPr>
          <w:rtl/>
        </w:rPr>
        <w:t>יחיאל־יעקב</w:t>
      </w:r>
      <w:proofErr w:type="spellEnd"/>
      <w:r>
        <w:rPr>
          <w:rtl/>
        </w:rPr>
        <w:t xml:space="preserve"> ויינברג “נאלץ לעזוב את ליטא בגלל הגירושים”</w:t>
      </w:r>
      <w:bookmarkStart w:id="5042" w:name="_fnr3728"/>
      <w:r>
        <w:rPr>
          <w:vertAlign w:val="superscript"/>
          <w:rtl/>
        </w:rPr>
        <w:footnoteReference w:id="3736" w:customMarkFollows="0"/>
      </w:r>
      <w:bookmarkEnd w:id="5042"/>
      <w:r>
        <w:rPr>
          <w:rtl/>
        </w:rPr>
        <w:t>.</w:t>
      </w:r>
    </w:p>
    <w:p w14:paraId="78A51FF0" w14:textId="77777777" w:rsidR="00AB3647" w:rsidRDefault="00000000" w:rsidP="007923E9">
      <w:pPr>
        <w:spacing w:after="120" w:line="276" w:lineRule="auto"/>
        <w:ind w:firstLine="283"/>
        <w:jc w:val="both"/>
      </w:pPr>
      <w:r>
        <w:rPr>
          <w:rtl/>
        </w:rPr>
        <w:t xml:space="preserve">ראיה לגדולת ר׳ </w:t>
      </w:r>
      <w:proofErr w:type="spellStart"/>
      <w:r>
        <w:rPr>
          <w:rtl/>
        </w:rPr>
        <w:t>יחיאל־יעקב</w:t>
      </w:r>
      <w:proofErr w:type="spellEnd"/>
      <w:r>
        <w:rPr>
          <w:rtl/>
        </w:rPr>
        <w:t xml:space="preserve"> ויינברג בתורה היא העובדה – לפי מה שסיפר ר׳ </w:t>
      </w:r>
      <w:proofErr w:type="spellStart"/>
      <w:r>
        <w:rPr>
          <w:rtl/>
        </w:rPr>
        <w:t>שמואל־חיים</w:t>
      </w:r>
      <w:proofErr w:type="spellEnd"/>
      <w:r>
        <w:rPr>
          <w:rtl/>
        </w:rPr>
        <w:t xml:space="preserve"> דומב</w:t>
      </w:r>
      <w:bookmarkStart w:id="5043" w:name="_fnr3729"/>
      <w:r>
        <w:rPr>
          <w:vertAlign w:val="superscript"/>
          <w:rtl/>
        </w:rPr>
        <w:footnoteReference w:id="3737" w:customMarkFollows="0"/>
      </w:r>
      <w:bookmarkEnd w:id="5043"/>
      <w:r>
        <w:rPr>
          <w:rtl/>
        </w:rPr>
        <w:t xml:space="preserve">, ששמע זאת מקרוב משפחה של ר׳ </w:t>
      </w:r>
      <w:proofErr w:type="spellStart"/>
      <w:r>
        <w:rPr>
          <w:rtl/>
        </w:rPr>
        <w:t>יחיאל־יעקב</w:t>
      </w:r>
      <w:proofErr w:type="spellEnd"/>
      <w:r>
        <w:rPr>
          <w:rtl/>
        </w:rPr>
        <w:t xml:space="preserve"> – שר׳ </w:t>
      </w:r>
      <w:proofErr w:type="spellStart"/>
      <w:r>
        <w:rPr>
          <w:rtl/>
        </w:rPr>
        <w:t>יחיאל־יעקב</w:t>
      </w:r>
      <w:proofErr w:type="spellEnd"/>
      <w:r>
        <w:rPr>
          <w:rtl/>
        </w:rPr>
        <w:t xml:space="preserve"> דחה הצעות לכהונות רבניות בכירות בישראל, ובהן הצעת חברו ללימודים לשעבר ר׳ </w:t>
      </w:r>
      <w:proofErr w:type="spellStart"/>
      <w:r>
        <w:rPr>
          <w:rtl/>
        </w:rPr>
        <w:t>לייזר־יודל</w:t>
      </w:r>
      <w:proofErr w:type="spellEnd"/>
      <w:r>
        <w:rPr>
          <w:rtl/>
        </w:rPr>
        <w:t xml:space="preserve"> </w:t>
      </w:r>
      <w:proofErr w:type="spellStart"/>
      <w:r>
        <w:rPr>
          <w:rtl/>
        </w:rPr>
        <w:t>פינקל</w:t>
      </w:r>
      <w:proofErr w:type="spellEnd"/>
      <w:r>
        <w:rPr>
          <w:rtl/>
        </w:rPr>
        <w:t xml:space="preserve"> למסור שיעורים קבועים בישיבת </w:t>
      </w:r>
      <w:proofErr w:type="spellStart"/>
      <w:r>
        <w:rPr>
          <w:rtl/>
        </w:rPr>
        <w:t>מיר</w:t>
      </w:r>
      <w:proofErr w:type="spellEnd"/>
      <w:r>
        <w:rPr>
          <w:rtl/>
        </w:rPr>
        <w:t xml:space="preserve"> בירושלים. (המרואיין אמר שר׳ </w:t>
      </w:r>
      <w:proofErr w:type="spellStart"/>
      <w:r>
        <w:rPr>
          <w:rtl/>
        </w:rPr>
        <w:t>יחיאל־יעקב</w:t>
      </w:r>
      <w:proofErr w:type="spellEnd"/>
      <w:r>
        <w:rPr>
          <w:rtl/>
        </w:rPr>
        <w:t xml:space="preserve"> סירב מפני שאשתו לשעבר כבר התגוררה בישראל.)</w:t>
      </w:r>
    </w:p>
    <w:p w14:paraId="71C72AF4" w14:textId="77777777" w:rsidR="00AB3647" w:rsidRDefault="00000000" w:rsidP="007923E9">
      <w:pPr>
        <w:spacing w:after="120" w:line="276" w:lineRule="auto"/>
        <w:ind w:firstLine="283"/>
        <w:jc w:val="both"/>
      </w:pPr>
      <w:r>
        <w:rPr>
          <w:rtl/>
        </w:rPr>
        <w:t xml:space="preserve">כדוגמה למעמדו של ר׳ </w:t>
      </w:r>
      <w:proofErr w:type="spellStart"/>
      <w:r>
        <w:rPr>
          <w:rtl/>
        </w:rPr>
        <w:t>יחיאל־יעקב</w:t>
      </w:r>
      <w:proofErr w:type="spellEnd"/>
      <w:r>
        <w:rPr>
          <w:rtl/>
        </w:rPr>
        <w:t xml:space="preserve"> ויינברג </w:t>
      </w:r>
      <w:proofErr w:type="spellStart"/>
      <w:r>
        <w:rPr>
          <w:rtl/>
        </w:rPr>
        <w:t>בסלבודקה</w:t>
      </w:r>
      <w:proofErr w:type="spellEnd"/>
      <w:r>
        <w:rPr>
          <w:rtl/>
        </w:rPr>
        <w:t xml:space="preserve">, סיפר ר׳ חיים </w:t>
      </w:r>
      <w:proofErr w:type="spellStart"/>
      <w:r>
        <w:rPr>
          <w:rtl/>
        </w:rPr>
        <w:t>סרנא</w:t>
      </w:r>
      <w:proofErr w:type="spellEnd"/>
      <w:r>
        <w:rPr>
          <w:rtl/>
        </w:rPr>
        <w:t xml:space="preserve"> שסבו ר׳ </w:t>
      </w:r>
      <w:proofErr w:type="spellStart"/>
      <w:r>
        <w:rPr>
          <w:rtl/>
        </w:rPr>
        <w:t>משה־מרדכי</w:t>
      </w:r>
      <w:proofErr w:type="spellEnd"/>
      <w:r>
        <w:rPr>
          <w:rtl/>
        </w:rPr>
        <w:t xml:space="preserve"> אפשטיין לקח פעם את ר׳ </w:t>
      </w:r>
      <w:proofErr w:type="spellStart"/>
      <w:r>
        <w:rPr>
          <w:rtl/>
        </w:rPr>
        <w:t>יחיאל־יעקב</w:t>
      </w:r>
      <w:proofErr w:type="spellEnd"/>
      <w:r>
        <w:rPr>
          <w:rtl/>
        </w:rPr>
        <w:t xml:space="preserve">, שהיה נואם מלהיב, למסע גיוס כספים במוסקבה. כשכינה ר׳ </w:t>
      </w:r>
      <w:proofErr w:type="spellStart"/>
      <w:r>
        <w:rPr>
          <w:rtl/>
        </w:rPr>
        <w:t>יחיאל־יעקב</w:t>
      </w:r>
      <w:proofErr w:type="spellEnd"/>
      <w:r>
        <w:rPr>
          <w:rtl/>
        </w:rPr>
        <w:t xml:space="preserve"> את ראש ישיבתו “רבי”, קם ר׳ </w:t>
      </w:r>
      <w:proofErr w:type="spellStart"/>
      <w:r>
        <w:rPr>
          <w:rtl/>
        </w:rPr>
        <w:t>משה־מרדכי</w:t>
      </w:r>
      <w:proofErr w:type="spellEnd"/>
      <w:r>
        <w:rPr>
          <w:rtl/>
        </w:rPr>
        <w:t xml:space="preserve"> אפשטיין ומחה שהנואם גדול מכדי שייחשב תלמידו. מעשה זה הוא גם דוגמה לענוותו ולצדקותו של ר׳ </w:t>
      </w:r>
      <w:proofErr w:type="spellStart"/>
      <w:r>
        <w:rPr>
          <w:rtl/>
        </w:rPr>
        <w:t>משה־מרדכי</w:t>
      </w:r>
      <w:proofErr w:type="spellEnd"/>
      <w:r>
        <w:rPr>
          <w:rtl/>
        </w:rPr>
        <w:t xml:space="preserve">. המסע למוסקבה נזכר במכתב של ר׳ </w:t>
      </w:r>
      <w:proofErr w:type="spellStart"/>
      <w:r>
        <w:rPr>
          <w:rtl/>
        </w:rPr>
        <w:t>יחיאל־יעקב</w:t>
      </w:r>
      <w:proofErr w:type="spellEnd"/>
      <w:r>
        <w:rPr>
          <w:rtl/>
        </w:rPr>
        <w:t xml:space="preserve"> ויינברג </w:t>
      </w:r>
      <w:proofErr w:type="spellStart"/>
      <w:r>
        <w:rPr>
          <w:rtl/>
        </w:rPr>
        <w:t>לר</w:t>
      </w:r>
      <w:proofErr w:type="spellEnd"/>
      <w:r>
        <w:rPr>
          <w:rtl/>
        </w:rPr>
        <w:t xml:space="preserve">׳ דב כץ, מחבר “תנועת המוסר”, שנדפס </w:t>
      </w:r>
      <w:proofErr w:type="spellStart"/>
      <w:r>
        <w:rPr>
          <w:rtl/>
        </w:rPr>
        <w:t>ב“פרקי</w:t>
      </w:r>
      <w:proofErr w:type="spellEnd"/>
      <w:r>
        <w:rPr>
          <w:rtl/>
        </w:rPr>
        <w:t xml:space="preserve"> חיים [ויינברג]”</w:t>
      </w:r>
      <w:bookmarkStart w:id="5044" w:name="_fnr3730"/>
      <w:r>
        <w:rPr>
          <w:vertAlign w:val="superscript"/>
          <w:rtl/>
        </w:rPr>
        <w:footnoteReference w:id="3738" w:customMarkFollows="0"/>
      </w:r>
      <w:bookmarkEnd w:id="5044"/>
      <w:r>
        <w:rPr>
          <w:rtl/>
        </w:rPr>
        <w:t>: מסופר בו כיצד שהו שניהם “[שם] כשישה שבועות והצלחנו מאוד”.</w:t>
      </w:r>
    </w:p>
    <w:bookmarkStart w:id="5045" w:name="b4_excF"/>
    <w:bookmarkStart w:id="5046" w:name="b4_annexF"/>
    <w:p w14:paraId="00C7BAB8" w14:textId="77777777" w:rsidR="00AB3647" w:rsidRDefault="00000000" w:rsidP="007923E9">
      <w:pPr>
        <w:pStyle w:val="3"/>
        <w:spacing w:line="276" w:lineRule="auto"/>
      </w:pPr>
      <w:r>
        <w:lastRenderedPageBreak/>
        <w:fldChar w:fldCharType="begin" w:dirty="true"/>
      </w:r>
      <w:r>
        <w:rPr>
          <w:rtl w:val="0"/>
        </w:rPr>
        <w:instrText>HYPERLINK \l "b4_note45</w:instrText>
      </w:r>
      <w:r>
        <w:instrText>"</w:instrText>
      </w:r>
      <w:r>
        <w:fldChar w:fldCharType="separate"/>
      </w:r>
      <w:r>
        <w:t>נספח ו</w:t>
      </w:r>
      <w:r>
        <w:fldChar w:fldCharType="end"/>
      </w:r>
      <w:bookmarkEnd w:id="5045"/>
      <w:bookmarkEnd w:id="5046"/>
    </w:p>
    <w:p w14:paraId="0952E3DD" w14:textId="77777777" w:rsidR="00AB3647" w:rsidRDefault="00000000" w:rsidP="007923E9">
      <w:pPr>
        <w:pStyle w:val="af"/>
        <w:spacing w:line="276" w:lineRule="auto"/>
      </w:pPr>
      <w:r>
        <w:t xml:space="preserve">על תעניות שקיבל הסבא על עצמו למען תלמידיו ועל תעניות בנו ר׳ </w:t>
      </w:r>
      <w:proofErr w:type="spellStart"/>
      <w:r>
        <w:t>לייזר־יודל</w:t>
      </w:r>
      <w:proofErr w:type="spellEnd"/>
    </w:p>
    <w:p w14:paraId="4BFC3F8C" w14:textId="77777777" w:rsidR="00AB3647" w:rsidRDefault="00000000" w:rsidP="007923E9">
      <w:pPr>
        <w:pStyle w:val="4"/>
        <w:spacing w:line="276" w:lineRule="auto"/>
      </w:pPr>
      <w:r>
        <w:t>· הפסקה הראשונה ·</w:t>
      </w:r>
    </w:p>
    <w:p w14:paraId="271EADEC" w14:textId="77777777" w:rsidR="00AB3647" w:rsidRDefault="00000000" w:rsidP="007923E9">
      <w:pPr>
        <w:pStyle w:val="5"/>
        <w:spacing w:line="276" w:lineRule="auto"/>
      </w:pPr>
      <w:r>
        <w:rPr>
          <w:bCs/>
          <w:szCs w:val="26"/>
        </w:rPr>
        <w:t>הסבא מסרב לסלק תלמיד באופן רשמי – הוא מנסה להשיב את בנו שסרח</w:t>
      </w:r>
    </w:p>
    <w:p w14:paraId="5F03009D" w14:textId="77777777" w:rsidR="00AB3647" w:rsidRDefault="00000000" w:rsidP="007923E9">
      <w:pPr>
        <w:spacing w:after="120" w:line="276" w:lineRule="auto"/>
        <w:ind w:firstLine="283"/>
        <w:jc w:val="both"/>
      </w:pPr>
      <w:r>
        <w:rPr>
          <w:rtl/>
        </w:rPr>
        <w:t xml:space="preserve">ר׳ אליהו </w:t>
      </w:r>
      <w:proofErr w:type="spellStart"/>
      <w:r>
        <w:rPr>
          <w:rtl/>
        </w:rPr>
        <w:t>באומוולשפינר</w:t>
      </w:r>
      <w:bookmarkStart w:id="5047" w:name="_fnr3731"/>
      <w:proofErr w:type="spellEnd"/>
      <w:r>
        <w:rPr>
          <w:vertAlign w:val="superscript"/>
          <w:rtl/>
        </w:rPr>
        <w:footnoteReference w:id="3739" w:customMarkFollows="0"/>
      </w:r>
      <w:bookmarkEnd w:id="5047"/>
      <w:r>
        <w:rPr>
          <w:rtl/>
        </w:rPr>
        <w:t xml:space="preserve"> בשם אבי. רבנו סיפר את המעשה המעניין הבא: “היה בחור אחד שהיה ידוע כמחלל שבת, בעשנו בחדרו </w:t>
      </w:r>
      <w:proofErr w:type="spellStart"/>
      <w:r>
        <w:rPr>
          <w:rtl/>
        </w:rPr>
        <w:t>בפרהסיא</w:t>
      </w:r>
      <w:proofErr w:type="spellEnd"/>
      <w:r>
        <w:rPr>
          <w:rtl/>
        </w:rPr>
        <w:t xml:space="preserve"> ממש, והבחורים האחרים הצטערו על כך. כשנודע לתלמידיו הקרובים של הסבא שייעדר מן הישיבה בשבת אחת, ניצלו את היעדרות רבם, השליכו החוצה את כל חפציו של מחלל השבת והזהירוהו שלא ישוב לעולם. כשחזר הסבא ונודע לו מה אירע, כינס את התלמידים המבוגרים, וישב בקצה אחד של שולחנו הארוך, כשר׳ </w:t>
      </w:r>
      <w:proofErr w:type="spellStart"/>
      <w:r>
        <w:rPr>
          <w:rtl/>
        </w:rPr>
        <w:t>משה־מרדכי</w:t>
      </w:r>
      <w:proofErr w:type="spellEnd"/>
      <w:r>
        <w:rPr>
          <w:rtl/>
        </w:rPr>
        <w:t xml:space="preserve"> אפשטיין בקצה השני. הוא הכריז רשמית שדרכה של הישיבה היא: ‘ימין מקרבת’</w:t>
      </w:r>
      <w:bookmarkStart w:id="5048" w:name="_fnr3732"/>
      <w:r>
        <w:rPr>
          <w:vertAlign w:val="superscript"/>
          <w:rtl/>
        </w:rPr>
        <w:footnoteReference w:id="3740" w:customMarkFollows="0"/>
      </w:r>
      <w:bookmarkEnd w:id="5048"/>
      <w:r>
        <w:rPr>
          <w:rtl/>
        </w:rPr>
        <w:t>. ‘איננו מסלקים איש’, אמר. היה ברור שהיה מרוצה ממה שעשו הבחורים, ולמעשה, בכך שנעדר היה שותף סביל למעשיהם; ואף על פי כן רצה להבהיר שדרכה העקרונית של הישיבה לא השתנתה”.</w:t>
      </w:r>
    </w:p>
    <w:p w14:paraId="113B64A0" w14:textId="77777777" w:rsidR="00AB3647" w:rsidRDefault="00000000" w:rsidP="007923E9">
      <w:pPr>
        <w:spacing w:after="120" w:line="276" w:lineRule="auto"/>
        <w:ind w:firstLine="283"/>
        <w:jc w:val="both"/>
      </w:pPr>
      <w:r>
        <w:rPr>
          <w:rtl/>
        </w:rPr>
        <w:t>ברשימותיו של ר׳ משה גרוסמן</w:t>
      </w:r>
      <w:bookmarkStart w:id="5049" w:name="_fnr3733"/>
      <w:bookmarkStart w:id="5050" w:name="pr_f_3623"/>
      <w:r>
        <w:rPr>
          <w:vertAlign w:val="superscript"/>
          <w:rtl/>
        </w:rPr>
        <w:footnoteReference w:id="3741" w:customMarkFollows="0"/>
      </w:r>
      <w:bookmarkEnd w:id="5049"/>
      <w:bookmarkEnd w:id="5050"/>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“איני זוכר שהסבא סילק בחור אי פעם, מלבד אחד – תלמיד שלא השתחווה באמירת ‘ואנחנו כורעים’ בתפילת עלינו בימים הנוראים, כמנהג”. ר׳ </w:t>
      </w:r>
      <w:proofErr w:type="spellStart"/>
      <w:r>
        <w:rPr>
          <w:rtl/>
        </w:rPr>
        <w:t>יעקב־יצחק</w:t>
      </w:r>
      <w:proofErr w:type="spellEnd"/>
      <w:r>
        <w:rPr>
          <w:rtl/>
        </w:rPr>
        <w:t xml:space="preserve"> לא ביאר מדוע עבֵרה קלה כזאת הייתה ראויה לסילוק. תהיה הסיבה אשר תהיה, ייתכן שאבי לא היה עד למעשה, מפני שאפשר שאירע בזמן שהיה </w:t>
      </w:r>
      <w:proofErr w:type="spellStart"/>
      <w:r>
        <w:rPr>
          <w:rtl/>
        </w:rPr>
        <w:t>בקרינק</w:t>
      </w:r>
      <w:proofErr w:type="spellEnd"/>
      <w:r>
        <w:rPr>
          <w:rtl/>
        </w:rPr>
        <w:t xml:space="preserve"> או </w:t>
      </w:r>
      <w:proofErr w:type="spellStart"/>
      <w:r>
        <w:rPr>
          <w:rtl/>
        </w:rPr>
        <w:t>בלומז׳ה</w:t>
      </w:r>
      <w:bookmarkStart w:id="5051" w:name="_fnr3734"/>
      <w:proofErr w:type="spellEnd"/>
      <w:r>
        <w:rPr>
          <w:vertAlign w:val="superscript"/>
          <w:rtl/>
        </w:rPr>
        <w:footnoteReference w:id="3742" w:customMarkFollows="0"/>
      </w:r>
      <w:bookmarkEnd w:id="5051"/>
      <w:r>
        <w:rPr>
          <w:rtl/>
        </w:rPr>
        <w:t xml:space="preserve">, ור׳ </w:t>
      </w:r>
      <w:proofErr w:type="spellStart"/>
      <w:r>
        <w:rPr>
          <w:rtl/>
        </w:rPr>
        <w:t>יעקב־יצחק</w:t>
      </w:r>
      <w:proofErr w:type="spellEnd"/>
      <w:r>
        <w:rPr>
          <w:rtl/>
        </w:rPr>
        <w:t xml:space="preserve"> </w:t>
      </w:r>
      <w:proofErr w:type="spellStart"/>
      <w:r>
        <w:rPr>
          <w:rtl/>
        </w:rPr>
        <w:t>רודרמן</w:t>
      </w:r>
      <w:proofErr w:type="spellEnd"/>
      <w:r>
        <w:rPr>
          <w:rtl/>
        </w:rPr>
        <w:t xml:space="preserve"> היה בכנסת ישראל [לאחר שהצטרף אליה במינסק בתחילת מלחמת העולם הראשונה]. ר׳ </w:t>
      </w:r>
      <w:proofErr w:type="spellStart"/>
      <w:r>
        <w:rPr>
          <w:rtl/>
        </w:rPr>
        <w:t>יעקב־יצחק</w:t>
      </w:r>
      <w:proofErr w:type="spellEnd"/>
      <w:r>
        <w:rPr>
          <w:rtl/>
        </w:rPr>
        <w:t xml:space="preserve"> לא ידע על המעשה שתיאר אבי, מפני שאירע לפני המלחמה, בטרם נכנס לישיבה.</w:t>
      </w:r>
    </w:p>
    <w:p w14:paraId="2E8FFC95" w14:textId="77777777" w:rsidR="00AB3647" w:rsidRDefault="00000000" w:rsidP="007923E9">
      <w:pPr>
        <w:spacing w:after="120" w:line="276" w:lineRule="auto"/>
        <w:ind w:firstLine="283"/>
        <w:jc w:val="both"/>
      </w:pPr>
      <w:r>
        <w:rPr>
          <w:rtl/>
        </w:rPr>
        <w:t>כץ, “תנועת המוסר”, כרך ג</w:t>
      </w:r>
      <w:bookmarkStart w:id="5052" w:name="_fnr3735"/>
      <w:r>
        <w:rPr>
          <w:vertAlign w:val="superscript"/>
          <w:rtl/>
        </w:rPr>
        <w:footnoteReference w:id="3743" w:customMarkFollows="0"/>
      </w:r>
      <w:bookmarkEnd w:id="5052"/>
      <w:r>
        <w:rPr>
          <w:rtl/>
        </w:rPr>
        <w:t>, מספר שאנשים השתוממו לראות כיצד סובל הסבא במשך שנים תלמידים שבעיניהם היו חסרי תקנה. שם</w:t>
      </w:r>
      <w:bookmarkStart w:id="5053" w:name="_fnr3736"/>
      <w:r>
        <w:rPr>
          <w:vertAlign w:val="superscript"/>
          <w:rtl/>
        </w:rPr>
        <w:footnoteReference w:id="3744" w:customMarkFollows="0"/>
      </w:r>
      <w:bookmarkEnd w:id="5053"/>
      <w:r>
        <w:rPr>
          <w:rtl/>
        </w:rPr>
        <w:t xml:space="preserve"> מסופר: “כשעזב בנו של הסבא, רוּבֶלֶה, את הישיבה ואת הארץ</w:t>
      </w:r>
      <w:bookmarkStart w:id="5054" w:name="_fnr3737"/>
      <w:r>
        <w:rPr>
          <w:vertAlign w:val="superscript"/>
          <w:rtl/>
        </w:rPr>
        <w:footnoteReference w:id="3745" w:customMarkFollows="0"/>
      </w:r>
      <w:bookmarkEnd w:id="5054"/>
      <w:r>
        <w:rPr>
          <w:rtl/>
        </w:rPr>
        <w:t>, הצטער הסבא כל ימיו על שהניח לו ללכת. גם לאחר שעבר הסבא לארץ ישראל בקיץ תרפ״ה, עדיין היה הוגה תוכניות להשיבו”. מפליא שהסבא עדיין תלה תקווה באדם בן שלושים וחמש, שכבר היה פורש רוב ימיו.</w:t>
      </w:r>
    </w:p>
    <w:p w14:paraId="64D9AB48" w14:textId="77777777" w:rsidR="00AB3647" w:rsidRDefault="00000000" w:rsidP="007923E9">
      <w:pPr>
        <w:pStyle w:val="4"/>
        <w:spacing w:line="276" w:lineRule="auto"/>
      </w:pPr>
      <w:r>
        <w:lastRenderedPageBreak/>
        <w:t>· הפסקה השנייה ·</w:t>
      </w:r>
    </w:p>
    <w:p w14:paraId="0D8CCA1E" w14:textId="77777777" w:rsidR="00AB3647" w:rsidRDefault="00000000" w:rsidP="007923E9">
      <w:pPr>
        <w:pStyle w:val="5"/>
        <w:spacing w:line="276" w:lineRule="auto"/>
      </w:pPr>
      <w:r>
        <w:rPr>
          <w:bCs/>
          <w:szCs w:val="26"/>
        </w:rPr>
        <w:t>הסבא דוחק החוצה קבוצה מרדנית</w:t>
      </w:r>
    </w:p>
    <w:p w14:paraId="6D329605" w14:textId="77777777" w:rsidR="00AB3647" w:rsidRDefault="00000000" w:rsidP="007923E9">
      <w:pPr>
        <w:spacing w:after="120" w:line="276" w:lineRule="auto"/>
        <w:ind w:firstLine="283"/>
        <w:jc w:val="both"/>
      </w:pPr>
      <w:r>
        <w:rPr>
          <w:rtl/>
        </w:rPr>
        <w:t>ההימנעות מסילוק תלמידים נהגה בזמנים רגילים ואפילו בזמנים קשים</w:t>
      </w:r>
      <w:bookmarkStart w:id="5055" w:name="_fnr3738"/>
      <w:r>
        <w:rPr>
          <w:vertAlign w:val="superscript"/>
          <w:rtl/>
        </w:rPr>
        <w:footnoteReference w:id="3746" w:customMarkFollows="0"/>
      </w:r>
      <w:bookmarkEnd w:id="5055"/>
      <w:r>
        <w:rPr>
          <w:rtl/>
        </w:rPr>
        <w:t xml:space="preserve">. אולם השווה פרק 3, הערה 56, על דרך טיפולו של הסבא בתלמידים מרדניים בתקופה הקריטית, באמצע שנות </w:t>
      </w:r>
      <w:proofErr w:type="spellStart"/>
      <w:r>
        <w:rPr>
          <w:rtl/>
        </w:rPr>
        <w:t>התר״ס</w:t>
      </w:r>
      <w:proofErr w:type="spellEnd"/>
      <w:r>
        <w:rPr>
          <w:rtl/>
        </w:rPr>
        <w:t>.</w:t>
      </w:r>
    </w:p>
    <w:p w14:paraId="48B235B4" w14:textId="77777777" w:rsidR="00AB3647" w:rsidRDefault="00000000" w:rsidP="007923E9">
      <w:pPr>
        <w:pStyle w:val="4"/>
        <w:spacing w:line="276" w:lineRule="auto"/>
      </w:pPr>
      <w:r>
        <w:t>· הפסקה השלישית ·</w:t>
      </w:r>
    </w:p>
    <w:p w14:paraId="77C305D7" w14:textId="77777777" w:rsidR="00AB3647" w:rsidRDefault="00000000" w:rsidP="007923E9">
      <w:pPr>
        <w:pStyle w:val="5"/>
        <w:spacing w:line="276" w:lineRule="auto"/>
      </w:pPr>
      <w:r>
        <w:rPr>
          <w:bCs/>
          <w:szCs w:val="26"/>
        </w:rPr>
        <w:t xml:space="preserve">הסבא מתפלל על תלמידים מיוחדים – בעקבות תקלה לומד ר׳ </w:t>
      </w:r>
      <w:proofErr w:type="spellStart"/>
      <w:r>
        <w:rPr>
          <w:bCs/>
          <w:szCs w:val="26"/>
        </w:rPr>
        <w:t>יחיאל־יעקב</w:t>
      </w:r>
      <w:proofErr w:type="spellEnd"/>
      <w:r>
        <w:rPr>
          <w:bCs/>
          <w:szCs w:val="26"/>
        </w:rPr>
        <w:t xml:space="preserve"> ויינברג רוסית – הוא משתכנע שלמד די רוסית – לימוד הרוסית מוביל אותו בעקיפין לנישואים אומללים – הסבא מדריך משגיח לעתיד</w:t>
      </w:r>
    </w:p>
    <w:p w14:paraId="0FC405F0" w14:textId="77777777" w:rsidR="00AB3647" w:rsidRDefault="00000000" w:rsidP="007923E9">
      <w:pPr>
        <w:spacing w:after="120" w:line="276" w:lineRule="auto"/>
        <w:ind w:firstLine="283"/>
        <w:jc w:val="both"/>
      </w:pPr>
      <w:r>
        <w:rPr>
          <w:rtl/>
        </w:rPr>
        <w:t xml:space="preserve">ר׳ </w:t>
      </w:r>
      <w:proofErr w:type="spellStart"/>
      <w:r>
        <w:rPr>
          <w:rtl/>
        </w:rPr>
        <w:t>שמואל־חיים</w:t>
      </w:r>
      <w:proofErr w:type="spellEnd"/>
      <w:r>
        <w:rPr>
          <w:rtl/>
        </w:rPr>
        <w:t xml:space="preserve"> דומב סיפר</w:t>
      </w:r>
      <w:bookmarkStart w:id="5056" w:name="_fnr3739"/>
      <w:r>
        <w:rPr>
          <w:vertAlign w:val="superscript"/>
          <w:rtl/>
        </w:rPr>
        <w:footnoteReference w:id="3747" w:customMarkFollows="0"/>
      </w:r>
      <w:bookmarkEnd w:id="5056"/>
      <w:r>
        <w:rPr>
          <w:rtl/>
        </w:rPr>
        <w:t xml:space="preserve"> שפעם הבחינו התלמידים </w:t>
      </w:r>
      <w:proofErr w:type="spellStart"/>
      <w:r>
        <w:rPr>
          <w:rtl/>
        </w:rPr>
        <w:t>בסלבודקה</w:t>
      </w:r>
      <w:proofErr w:type="spellEnd"/>
      <w:r>
        <w:rPr>
          <w:rtl/>
        </w:rPr>
        <w:t xml:space="preserve"> שהסבא מביט בפתק בסוף תפילת </w:t>
      </w:r>
      <w:proofErr w:type="spellStart"/>
      <w:r>
        <w:rPr>
          <w:rtl/>
        </w:rPr>
        <w:t>שמונה־עשרה</w:t>
      </w:r>
      <w:proofErr w:type="spellEnd"/>
      <w:r>
        <w:rPr>
          <w:rtl/>
        </w:rPr>
        <w:t xml:space="preserve">. הם חיכו לשעה שבה הסיר את מעילו (כשיצא לבית הכיסא) כדי לחטט בכיסיו, ומצאו פתק ובו שמות חמישה עילויים שהתפלל עליהם. שלושה מהם היו ר׳ </w:t>
      </w:r>
      <w:proofErr w:type="spellStart"/>
      <w:r>
        <w:rPr>
          <w:rtl/>
        </w:rPr>
        <w:t>יחיאל־יעקב</w:t>
      </w:r>
      <w:proofErr w:type="spellEnd"/>
      <w:r>
        <w:rPr>
          <w:rtl/>
        </w:rPr>
        <w:t xml:space="preserve"> ויינברג, ר׳ אהרן קוטלר ור׳ </w:t>
      </w:r>
      <w:proofErr w:type="spellStart"/>
      <w:r>
        <w:rPr>
          <w:rtl/>
        </w:rPr>
        <w:t>אברהם־אליהו</w:t>
      </w:r>
      <w:proofErr w:type="spellEnd"/>
      <w:r>
        <w:rPr>
          <w:rtl/>
        </w:rPr>
        <w:t xml:space="preserve"> קפלן. רשימותיו של ר׳ משה גרוסמן</w:t>
      </w:r>
      <w:bookmarkStart w:id="5057" w:name="_fnr3740"/>
      <w:r>
        <w:rPr>
          <w:vertAlign w:val="superscript"/>
          <w:rtl/>
        </w:rPr>
        <w:footnoteReference w:id="3748" w:customMarkFollows="0"/>
      </w:r>
      <w:bookmarkEnd w:id="5057"/>
      <w:r>
        <w:rPr>
          <w:rtl/>
        </w:rPr>
        <w:t xml:space="preserve"> מתעדות גם שהסבא קיבל עליו תעניות למען יראת השמים של כמה תלמידים. הוא היה מתענה תעניות יחיד לעיתים קרובות.</w:t>
      </w:r>
    </w:p>
    <w:p w14:paraId="6E249357" w14:textId="25600426" w:rsidR="00AB3647" w:rsidRDefault="00000000" w:rsidP="007923E9">
      <w:pPr>
        <w:spacing w:after="120" w:line="276" w:lineRule="auto"/>
        <w:ind w:firstLine="283"/>
        <w:jc w:val="both"/>
      </w:pPr>
      <w:r>
        <w:rPr>
          <w:rtl/>
        </w:rPr>
        <w:t>כץ, “תנועת המוסר”, כרך ג</w:t>
      </w:r>
      <w:bookmarkStart w:id="5058" w:name="_fnr3741"/>
      <w:r>
        <w:rPr>
          <w:vertAlign w:val="superscript"/>
          <w:rtl/>
        </w:rPr>
        <w:footnoteReference w:id="3749" w:customMarkFollows="0"/>
      </w:r>
      <w:bookmarkEnd w:id="5058"/>
      <w:r>
        <w:rPr>
          <w:rtl/>
        </w:rPr>
        <w:t>, מספר שגילה “למקורביו שאחד מטובי התלמידים עלה לו בבריאות לבו” – הוא חלה מרוב דאגה ותפילה על התלמיד. ר׳ זליג ברקוביץ אמר</w:t>
      </w:r>
      <w:bookmarkStart w:id="5059" w:name="_fnr3742"/>
      <w:r>
        <w:rPr>
          <w:vertAlign w:val="superscript"/>
          <w:rtl/>
        </w:rPr>
        <w:footnoteReference w:id="3750" w:customMarkFollows="0"/>
      </w:r>
      <w:bookmarkEnd w:id="5059"/>
      <w:r>
        <w:rPr>
          <w:rtl/>
        </w:rPr>
        <w:t xml:space="preserve"> בשם רבנו שהסבא פנה פעם אל ר׳ אהרן קוטלר – “מקורב” </w:t>
      </w:r>
      <w:proofErr w:type="spellStart"/>
      <w:r>
        <w:rPr>
          <w:rtl/>
        </w:rPr>
        <w:t>ו“מטובי</w:t>
      </w:r>
      <w:proofErr w:type="spellEnd"/>
      <w:r>
        <w:rPr>
          <w:rtl/>
        </w:rPr>
        <w:t xml:space="preserve"> התלמידים” – ואמר: “האם אתה יודע כמה תעניות התעניתי בעבורך?”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 ופרק 2, הערה </w:t>
      </w:r>
      <w:r>
        <w:rPr>
          <w:rtl/>
        </w:rPr>
        <w:fldChar w:fldCharType="begin" w:dirty="true"/>
      </w:r>
      <w:r>
        <w:rPr>
          <w:rtl/>
        </w:rPr>
        <w:instrText xml:space="preserve"> REF b2_note106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106</w:t>
      </w:r>
      <w:r>
        <w:rPr>
          <w:rtl/>
        </w:rPr>
        <w:fldChar w:fldCharType="end"/>
      </w:r>
      <w:r>
        <w:rPr>
          <w:rtl/>
        </w:rPr>
        <w:t>, על התקופה בחיי ר׳ אהרן שבה נדרשו אמצעים קיצוניים כאלה, כמו קבלת תעניות למען יראת השמים שלו.</w:t>
      </w:r>
    </w:p>
    <w:p w14:paraId="0C355191" w14:textId="77777777" w:rsidR="00AB3647" w:rsidRDefault="00000000" w:rsidP="007923E9">
      <w:pPr>
        <w:spacing w:after="120" w:line="276" w:lineRule="auto"/>
        <w:ind w:firstLine="283"/>
        <w:jc w:val="both"/>
      </w:pPr>
      <w:r>
        <w:rPr>
          <w:rtl/>
        </w:rPr>
        <w:t xml:space="preserve">ר׳ גרשון </w:t>
      </w:r>
      <w:proofErr w:type="spellStart"/>
      <w:r>
        <w:rPr>
          <w:rtl/>
        </w:rPr>
        <w:t>קרויזר</w:t>
      </w:r>
      <w:bookmarkStart w:id="5060" w:name="_fnr3743"/>
      <w:proofErr w:type="spellEnd"/>
      <w:r>
        <w:rPr>
          <w:vertAlign w:val="superscript"/>
          <w:rtl/>
        </w:rPr>
        <w:footnoteReference w:id="3751" w:customMarkFollows="0"/>
      </w:r>
      <w:bookmarkEnd w:id="5060"/>
      <w:r>
        <w:rPr>
          <w:rtl/>
        </w:rPr>
        <w:t xml:space="preserve"> אמר שרבו ר׳ </w:t>
      </w:r>
      <w:proofErr w:type="spellStart"/>
      <w:r>
        <w:rPr>
          <w:rtl/>
        </w:rPr>
        <w:t>יחיאל־יעקב</w:t>
      </w:r>
      <w:proofErr w:type="spellEnd"/>
      <w:r>
        <w:rPr>
          <w:rtl/>
        </w:rPr>
        <w:t xml:space="preserve"> ויינברג, “איש שיחה טוב”, סיפר לו את המאורע הבא מחייו (המובא כאן בלשון המרואיין): בגיל </w:t>
      </w:r>
      <w:proofErr w:type="spellStart"/>
      <w:r>
        <w:rPr>
          <w:rtl/>
        </w:rPr>
        <w:t>ארבע־עשרה</w:t>
      </w:r>
      <w:proofErr w:type="spellEnd"/>
      <w:r>
        <w:rPr>
          <w:rtl/>
        </w:rPr>
        <w:t xml:space="preserve">, כשלמד בישיבת </w:t>
      </w:r>
      <w:proofErr w:type="spellStart"/>
      <w:r>
        <w:rPr>
          <w:rtl/>
        </w:rPr>
        <w:t>סלבודקה</w:t>
      </w:r>
      <w:proofErr w:type="spellEnd"/>
      <w:r>
        <w:rPr>
          <w:rtl/>
        </w:rPr>
        <w:t xml:space="preserve">, נסע פעם ר׳ </w:t>
      </w:r>
      <w:proofErr w:type="spellStart"/>
      <w:r>
        <w:rPr>
          <w:rtl/>
        </w:rPr>
        <w:t>יחיאל־יעקב</w:t>
      </w:r>
      <w:proofErr w:type="spellEnd"/>
      <w:r>
        <w:rPr>
          <w:rtl/>
        </w:rPr>
        <w:t xml:space="preserve"> ברכבת. הוא רצה לוודא שהרכבת תעצור בעיירה שאליה נסע, וניגש לכרטיסן בשעה שהרכבת נכנסה במקרה לאחת התחנות. בנימת שאלה אמר ר׳ </w:t>
      </w:r>
      <w:proofErr w:type="spellStart"/>
      <w:r>
        <w:rPr>
          <w:rtl/>
        </w:rPr>
        <w:t>יחיאל־יעקב</w:t>
      </w:r>
      <w:proofErr w:type="spellEnd"/>
      <w:r>
        <w:rPr>
          <w:rtl/>
        </w:rPr>
        <w:t xml:space="preserve"> את שם עיירת היעד. מאחר שלא ידע אף מילה ברוסית, הבין ויינברג את תשובת הכרטיסן, “דא”, במשמעותה ביידיש (הקרובה לגרמנית) – “כאן”, ולא במשמעותה ברוסית </w:t>
      </w:r>
      <w:r>
        <w:rPr>
          <w:rtl/>
        </w:rPr>
        <w:lastRenderedPageBreak/>
        <w:t>– “כן”, שבה התכוון הכרטיסן לאשר שהרכבת תגיע לבסוף לאותה עיירה. לפיכך ירד ויינברג מיד, רגע לפני שהרכבת יצאה לדרכה.</w:t>
      </w:r>
    </w:p>
    <w:p w14:paraId="7486DCF2" w14:textId="77777777" w:rsidR="00AB3647" w:rsidRDefault="00000000" w:rsidP="007923E9">
      <w:pPr>
        <w:spacing w:after="120" w:line="276" w:lineRule="auto"/>
        <w:ind w:firstLine="283"/>
        <w:jc w:val="both"/>
      </w:pPr>
      <w:r>
        <w:rPr>
          <w:rtl/>
        </w:rPr>
        <w:t>הוא גילה שהגיע לכפר של גויים, ושם קיבלו אותו בלעג ובהתנכלויות גופניות. עד שהגיעה הרכבת הבאה כעבור כמה שעות וחילצה אותו, כבר החליט שיהודי מוכרח לדעת את לשון הארץ שבה הוא נמצא</w:t>
      </w:r>
      <w:bookmarkStart w:id="5061" w:name="_fnr3744"/>
      <w:r>
        <w:rPr>
          <w:vertAlign w:val="superscript"/>
          <w:rtl/>
        </w:rPr>
        <w:footnoteReference w:id="3752" w:customMarkFollows="0"/>
      </w:r>
      <w:bookmarkEnd w:id="5061"/>
      <w:r>
        <w:rPr>
          <w:rtl/>
        </w:rPr>
        <w:t xml:space="preserve">. ביוזמתו לקח חופשה </w:t>
      </w:r>
      <w:proofErr w:type="spellStart"/>
      <w:r>
        <w:rPr>
          <w:rtl/>
        </w:rPr>
        <w:t>מסלבודקה</w:t>
      </w:r>
      <w:proofErr w:type="spellEnd"/>
      <w:r>
        <w:rPr>
          <w:rtl/>
        </w:rPr>
        <w:t xml:space="preserve"> וקבע את מושבו בעיירה </w:t>
      </w:r>
      <w:proofErr w:type="spellStart"/>
      <w:r>
        <w:rPr>
          <w:rtl/>
        </w:rPr>
        <w:t>ראדין</w:t>
      </w:r>
      <w:proofErr w:type="spellEnd"/>
      <w:r>
        <w:rPr>
          <w:rtl/>
        </w:rPr>
        <w:t xml:space="preserve"> לכמה חודשים כדי ללמוד רוסית. כשסיפרו </w:t>
      </w:r>
      <w:proofErr w:type="spellStart"/>
      <w:r>
        <w:rPr>
          <w:rtl/>
        </w:rPr>
        <w:t>לחפץ־חיים</w:t>
      </w:r>
      <w:proofErr w:type="spellEnd"/>
      <w:r>
        <w:rPr>
          <w:rtl/>
        </w:rPr>
        <w:t xml:space="preserve"> שהנער שזה עתה הגיע בא לעיירה כדי ללמוד רוסית, פנה אליו </w:t>
      </w:r>
      <w:proofErr w:type="spellStart"/>
      <w:r>
        <w:rPr>
          <w:rtl/>
        </w:rPr>
        <w:t>החפץ־חיים</w:t>
      </w:r>
      <w:proofErr w:type="spellEnd"/>
      <w:r>
        <w:rPr>
          <w:rtl/>
        </w:rPr>
        <w:t xml:space="preserve">, שלא ידע על גאונותו – כעבור שלוש שנים, בגיל </w:t>
      </w:r>
      <w:proofErr w:type="spellStart"/>
      <w:r>
        <w:rPr>
          <w:rtl/>
        </w:rPr>
        <w:t>שבע־עשרה</w:t>
      </w:r>
      <w:proofErr w:type="spellEnd"/>
      <w:r>
        <w:rPr>
          <w:rtl/>
        </w:rPr>
        <w:t xml:space="preserve">, כבר היה רב </w:t>
      </w:r>
      <w:proofErr w:type="spellStart"/>
      <w:r>
        <w:rPr>
          <w:rtl/>
        </w:rPr>
        <w:t>פילווישוק</w:t>
      </w:r>
      <w:bookmarkStart w:id="5062" w:name="_fnr3745"/>
      <w:proofErr w:type="spellEnd"/>
      <w:r>
        <w:rPr>
          <w:vertAlign w:val="superscript"/>
          <w:rtl/>
        </w:rPr>
        <w:footnoteReference w:id="3753" w:customMarkFollows="0"/>
      </w:r>
      <w:bookmarkEnd w:id="5062"/>
      <w:r>
        <w:rPr>
          <w:rtl/>
        </w:rPr>
        <w:t xml:space="preserve"> – ואמר: “בחור צעיר, וש״ס אתה כבר יודע?!” החכם הופתע לקבל תשובה חיובית. </w:t>
      </w:r>
      <w:r>
        <w:rPr>
          <w:b/>
          <w:bCs/>
          <w:rtl/>
        </w:rPr>
        <w:t xml:space="preserve">כשחזר ר׳ </w:t>
      </w:r>
      <w:proofErr w:type="spellStart"/>
      <w:r>
        <w:rPr>
          <w:b/>
          <w:bCs/>
          <w:rtl/>
        </w:rPr>
        <w:t>יחיאל־יעקב</w:t>
      </w:r>
      <w:proofErr w:type="spellEnd"/>
      <w:r>
        <w:rPr>
          <w:b/>
          <w:bCs/>
          <w:rtl/>
        </w:rPr>
        <w:t xml:space="preserve"> </w:t>
      </w:r>
      <w:proofErr w:type="spellStart"/>
      <w:r>
        <w:rPr>
          <w:b/>
          <w:bCs/>
          <w:rtl/>
        </w:rPr>
        <w:t>לסלבודקה</w:t>
      </w:r>
      <w:proofErr w:type="spellEnd"/>
      <w:r>
        <w:rPr>
          <w:rtl/>
        </w:rPr>
        <w:t xml:space="preserve"> (ההדגשה שלי לצורך הדיון להלן), ראה הסבא שהוא מתפלל בדבקות, ואמר לו: “תפילותיי הועילו; התעניתי ארבעים יום כדי שלא תסור מדרך הישר”.</w:t>
      </w:r>
    </w:p>
    <w:p w14:paraId="74D735BC" w14:textId="77777777" w:rsidR="00AB3647" w:rsidRDefault="00000000" w:rsidP="007923E9">
      <w:pPr>
        <w:spacing w:after="120" w:line="276" w:lineRule="auto"/>
        <w:ind w:firstLine="283"/>
        <w:jc w:val="both"/>
      </w:pPr>
      <w:r>
        <w:rPr>
          <w:rtl/>
        </w:rPr>
        <w:t xml:space="preserve">הגילים שבהם למד ר׳ </w:t>
      </w:r>
      <w:proofErr w:type="spellStart"/>
      <w:r>
        <w:rPr>
          <w:rtl/>
        </w:rPr>
        <w:t>יחיאל־יעקב</w:t>
      </w:r>
      <w:proofErr w:type="spellEnd"/>
      <w:r>
        <w:rPr>
          <w:rtl/>
        </w:rPr>
        <w:t xml:space="preserve"> ויינברג רוסית ונעשה רב </w:t>
      </w:r>
      <w:proofErr w:type="spellStart"/>
      <w:r>
        <w:rPr>
          <w:rtl/>
        </w:rPr>
        <w:t>פילווישוק</w:t>
      </w:r>
      <w:proofErr w:type="spellEnd"/>
      <w:r>
        <w:rPr>
          <w:rtl/>
        </w:rPr>
        <w:t xml:space="preserve">, לפי סיפור הרב </w:t>
      </w:r>
      <w:proofErr w:type="spellStart"/>
      <w:r>
        <w:rPr>
          <w:rtl/>
        </w:rPr>
        <w:t>קרויזר</w:t>
      </w:r>
      <w:proofErr w:type="spellEnd"/>
      <w:r>
        <w:rPr>
          <w:rtl/>
        </w:rPr>
        <w:t xml:space="preserve">, שונים בכמה שנים מן המובא במאמר ההספד של </w:t>
      </w:r>
      <w:proofErr w:type="spellStart"/>
      <w:r>
        <w:rPr>
          <w:rtl/>
        </w:rPr>
        <w:t>ה״ל</w:t>
      </w:r>
      <w:proofErr w:type="spellEnd"/>
      <w:r>
        <w:rPr>
          <w:rtl/>
        </w:rPr>
        <w:t xml:space="preserve"> גורדון </w:t>
      </w:r>
      <w:proofErr w:type="spellStart"/>
      <w:r>
        <w:rPr>
          <w:rtl/>
        </w:rPr>
        <w:t>ב“הדואר</w:t>
      </w:r>
      <w:proofErr w:type="spellEnd"/>
      <w:r>
        <w:rPr>
          <w:rtl/>
        </w:rPr>
        <w:t>”</w:t>
      </w:r>
      <w:bookmarkStart w:id="5063" w:name="_fnr3746"/>
      <w:r>
        <w:rPr>
          <w:vertAlign w:val="superscript"/>
          <w:rtl/>
        </w:rPr>
        <w:footnoteReference w:id="3754" w:customMarkFollows="0"/>
      </w:r>
      <w:bookmarkEnd w:id="5063"/>
      <w:r>
        <w:rPr>
          <w:rtl/>
        </w:rPr>
        <w:t xml:space="preserve">. שם מצוטט מכתב אוטוביוגרפי שנשלח שבע שנים לפני פטירת ר׳ </w:t>
      </w:r>
      <w:proofErr w:type="spellStart"/>
      <w:r>
        <w:rPr>
          <w:rtl/>
        </w:rPr>
        <w:t>יחיאל־יעקב</w:t>
      </w:r>
      <w:proofErr w:type="spellEnd"/>
      <w:r>
        <w:rPr>
          <w:rtl/>
        </w:rPr>
        <w:t xml:space="preserve">, ולפיו הגיע </w:t>
      </w:r>
      <w:proofErr w:type="spellStart"/>
      <w:r>
        <w:rPr>
          <w:rtl/>
        </w:rPr>
        <w:t>לסלבודקה</w:t>
      </w:r>
      <w:proofErr w:type="spellEnd"/>
      <w:r>
        <w:rPr>
          <w:rtl/>
        </w:rPr>
        <w:t xml:space="preserve"> בגיל </w:t>
      </w:r>
      <w:proofErr w:type="spellStart"/>
      <w:r>
        <w:rPr>
          <w:rtl/>
        </w:rPr>
        <w:t>שש־עשרה</w:t>
      </w:r>
      <w:proofErr w:type="spellEnd"/>
      <w:r>
        <w:rPr>
          <w:rtl/>
        </w:rPr>
        <w:t xml:space="preserve">, </w:t>
      </w:r>
      <w:proofErr w:type="spellStart"/>
      <w:r>
        <w:rPr>
          <w:rtl/>
        </w:rPr>
        <w:t>בתרס״א</w:t>
      </w:r>
      <w:bookmarkStart w:id="5064" w:name="_fnr3747"/>
      <w:proofErr w:type="spellEnd"/>
      <w:r>
        <w:rPr>
          <w:vertAlign w:val="superscript"/>
          <w:rtl/>
        </w:rPr>
        <w:footnoteReference w:id="3755" w:customMarkFollows="0"/>
      </w:r>
      <w:bookmarkEnd w:id="5064"/>
      <w:r>
        <w:rPr>
          <w:rtl/>
        </w:rPr>
        <w:t xml:space="preserve">, ולמד שם שלוש שנים וחצי, עד פסח תרס״ה. אז עבר לישיבת </w:t>
      </w:r>
      <w:proofErr w:type="spellStart"/>
      <w:r>
        <w:rPr>
          <w:rtl/>
        </w:rPr>
        <w:t>מיר</w:t>
      </w:r>
      <w:proofErr w:type="spellEnd"/>
      <w:r>
        <w:rPr>
          <w:rtl/>
        </w:rPr>
        <w:t xml:space="preserve"> לבקשת הסבא, שהה בה כשנתיים, ולמד עם בנו של ר׳ </w:t>
      </w:r>
      <w:proofErr w:type="spellStart"/>
      <w:r>
        <w:rPr>
          <w:rtl/>
        </w:rPr>
        <w:t>נתן־צבי</w:t>
      </w:r>
      <w:proofErr w:type="spellEnd"/>
      <w:r>
        <w:rPr>
          <w:rtl/>
        </w:rPr>
        <w:t xml:space="preserve"> </w:t>
      </w:r>
      <w:proofErr w:type="spellStart"/>
      <w:r>
        <w:rPr>
          <w:rtl/>
        </w:rPr>
        <w:t>פינקל</w:t>
      </w:r>
      <w:proofErr w:type="spellEnd"/>
      <w:r>
        <w:rPr>
          <w:rtl/>
        </w:rPr>
        <w:t xml:space="preserve">, ר׳ </w:t>
      </w:r>
      <w:proofErr w:type="spellStart"/>
      <w:r>
        <w:rPr>
          <w:rtl/>
        </w:rPr>
        <w:t>לייזר־יודל</w:t>
      </w:r>
      <w:bookmarkStart w:id="5065" w:name="_fnr3748"/>
      <w:proofErr w:type="spellEnd"/>
      <w:r>
        <w:rPr>
          <w:vertAlign w:val="superscript"/>
          <w:rtl/>
        </w:rPr>
        <w:footnoteReference w:id="3756" w:customMarkFollows="0"/>
      </w:r>
      <w:bookmarkEnd w:id="5065"/>
      <w:r>
        <w:rPr>
          <w:rtl/>
        </w:rPr>
        <w:t xml:space="preserve">. אחר כך נעשה רב </w:t>
      </w:r>
      <w:proofErr w:type="spellStart"/>
      <w:r>
        <w:rPr>
          <w:rtl/>
        </w:rPr>
        <w:t>פילווישוק</w:t>
      </w:r>
      <w:proofErr w:type="spellEnd"/>
      <w:r>
        <w:rPr>
          <w:rtl/>
        </w:rPr>
        <w:t xml:space="preserve"> </w:t>
      </w:r>
      <w:r>
        <w:rPr>
          <w:b/>
          <w:bCs/>
          <w:rtl/>
        </w:rPr>
        <w:t>בגיל עשרים ושתיים</w:t>
      </w:r>
      <w:r>
        <w:rPr>
          <w:rtl/>
        </w:rPr>
        <w:t xml:space="preserve">. לפי זה, לא יכול היה להפסיק את לימודיו כדי ללמוד רוסית לפני שהיה בן </w:t>
      </w:r>
      <w:proofErr w:type="spellStart"/>
      <w:r>
        <w:rPr>
          <w:rtl/>
        </w:rPr>
        <w:t>שמונה־עשרה</w:t>
      </w:r>
      <w:bookmarkStart w:id="5066" w:name="_fnr3749"/>
      <w:proofErr w:type="spellEnd"/>
      <w:r>
        <w:rPr>
          <w:vertAlign w:val="superscript"/>
          <w:rtl/>
        </w:rPr>
        <w:footnoteReference w:id="3757" w:customMarkFollows="0"/>
      </w:r>
      <w:bookmarkEnd w:id="5066"/>
      <w:r>
        <w:rPr>
          <w:rtl/>
        </w:rPr>
        <w:t>.</w:t>
      </w:r>
    </w:p>
    <w:p w14:paraId="7F355704" w14:textId="77777777" w:rsidR="00AB3647" w:rsidRDefault="00000000" w:rsidP="007923E9">
      <w:pPr>
        <w:spacing w:after="120" w:line="276" w:lineRule="auto"/>
        <w:ind w:firstLine="283"/>
        <w:jc w:val="both"/>
      </w:pPr>
      <w:r>
        <w:rPr>
          <w:rtl/>
        </w:rPr>
        <w:t xml:space="preserve">תלמיד אחר של ר׳ </w:t>
      </w:r>
      <w:proofErr w:type="spellStart"/>
      <w:r>
        <w:rPr>
          <w:rtl/>
        </w:rPr>
        <w:t>יחיאל־יעקב</w:t>
      </w:r>
      <w:proofErr w:type="spellEnd"/>
      <w:r>
        <w:rPr>
          <w:rtl/>
        </w:rPr>
        <w:t xml:space="preserve"> ויינברג, ר׳ חיים ליפשיץ</w:t>
      </w:r>
      <w:bookmarkStart w:id="5067" w:name="_fnr3750"/>
      <w:r>
        <w:rPr>
          <w:vertAlign w:val="superscript"/>
          <w:rtl/>
        </w:rPr>
        <w:footnoteReference w:id="3758" w:customMarkFollows="0"/>
      </w:r>
      <w:bookmarkEnd w:id="5067"/>
      <w:r>
        <w:rPr>
          <w:rtl/>
        </w:rPr>
        <w:t xml:space="preserve">, אכן אמר </w:t>
      </w:r>
      <w:proofErr w:type="spellStart"/>
      <w:r>
        <w:rPr>
          <w:rtl/>
        </w:rPr>
        <w:t>ש“למיטב</w:t>
      </w:r>
      <w:proofErr w:type="spellEnd"/>
      <w:r>
        <w:rPr>
          <w:rtl/>
        </w:rPr>
        <w:t xml:space="preserve"> זיכרונו” מסיפורי רבו, היה ר׳ </w:t>
      </w:r>
      <w:proofErr w:type="spellStart"/>
      <w:r>
        <w:rPr>
          <w:rtl/>
        </w:rPr>
        <w:t>יחיאל־יעקב</w:t>
      </w:r>
      <w:proofErr w:type="spellEnd"/>
      <w:r>
        <w:rPr>
          <w:rtl/>
        </w:rPr>
        <w:t xml:space="preserve"> בן </w:t>
      </w:r>
      <w:proofErr w:type="spellStart"/>
      <w:r>
        <w:rPr>
          <w:rtl/>
        </w:rPr>
        <w:t>שמונה־עשרה</w:t>
      </w:r>
      <w:proofErr w:type="spellEnd"/>
      <w:r>
        <w:rPr>
          <w:rtl/>
        </w:rPr>
        <w:t xml:space="preserve"> כשלמד רוסית. עוד אמר ר׳ חיים ליפשיץ שרבו למד את השפה בווילנה, שסיכם שם עם סטודנט שילמדו רוסית תמורת לימוד גמרא </w:t>
      </w:r>
      <w:r>
        <w:rPr>
          <w:rtl/>
        </w:rPr>
        <w:lastRenderedPageBreak/>
        <w:t xml:space="preserve">שייתן לו, </w:t>
      </w:r>
      <w:proofErr w:type="spellStart"/>
      <w:r>
        <w:rPr>
          <w:rtl/>
        </w:rPr>
        <w:t>ושהחפץ־חיים</w:t>
      </w:r>
      <w:proofErr w:type="spellEnd"/>
      <w:r>
        <w:rPr>
          <w:rtl/>
        </w:rPr>
        <w:t xml:space="preserve"> בא לווילנה מסיבה כלשהי ודיבר עמו שם. מובן מאליו שר׳ </w:t>
      </w:r>
      <w:proofErr w:type="spellStart"/>
      <w:r>
        <w:rPr>
          <w:rtl/>
        </w:rPr>
        <w:t>יחיאל־יעקב</w:t>
      </w:r>
      <w:proofErr w:type="spellEnd"/>
      <w:r>
        <w:rPr>
          <w:rtl/>
        </w:rPr>
        <w:t xml:space="preserve"> היה מעדיף ללכת לווילנה ללמוד רוסית, ולא לכפר </w:t>
      </w:r>
      <w:proofErr w:type="spellStart"/>
      <w:r>
        <w:rPr>
          <w:rtl/>
        </w:rPr>
        <w:t>ראדין</w:t>
      </w:r>
      <w:proofErr w:type="spellEnd"/>
      <w:r>
        <w:rPr>
          <w:rtl/>
        </w:rPr>
        <w:t>.</w:t>
      </w:r>
    </w:p>
    <w:p w14:paraId="3C58400C" w14:textId="77777777" w:rsidR="00AB3647" w:rsidRDefault="00000000" w:rsidP="007923E9">
      <w:pPr>
        <w:spacing w:after="120" w:line="276" w:lineRule="auto"/>
        <w:ind w:firstLine="283"/>
        <w:jc w:val="both"/>
      </w:pPr>
      <w:r>
        <w:rPr>
          <w:rtl/>
        </w:rPr>
        <w:t>אבל “פרקי חיים [ויינברג]”</w:t>
      </w:r>
      <w:bookmarkStart w:id="5068" w:name="_fnr3751"/>
      <w:r>
        <w:rPr>
          <w:vertAlign w:val="superscript"/>
          <w:rtl/>
        </w:rPr>
        <w:footnoteReference w:id="3759" w:customMarkFollows="0"/>
      </w:r>
      <w:bookmarkEnd w:id="5068"/>
      <w:r>
        <w:rPr>
          <w:rtl/>
        </w:rPr>
        <w:t xml:space="preserve"> חושף כמה </w:t>
      </w:r>
      <w:proofErr w:type="spellStart"/>
      <w:r>
        <w:rPr>
          <w:rtl/>
        </w:rPr>
        <w:t>אי־דיוקים</w:t>
      </w:r>
      <w:proofErr w:type="spellEnd"/>
      <w:r>
        <w:rPr>
          <w:rtl/>
        </w:rPr>
        <w:t xml:space="preserve"> בדברי שני התלמידים: א) </w:t>
      </w:r>
      <w:proofErr w:type="spellStart"/>
      <w:r>
        <w:rPr>
          <w:rtl/>
        </w:rPr>
        <w:t>לגרודנא</w:t>
      </w:r>
      <w:proofErr w:type="spellEnd"/>
      <w:r>
        <w:rPr>
          <w:rtl/>
        </w:rPr>
        <w:t xml:space="preserve"> הלך ללמוד רוסית (לפרק זמן שלא פורש)</w:t>
      </w:r>
      <w:bookmarkStart w:id="5069" w:name="_fnr3752"/>
      <w:r>
        <w:rPr>
          <w:vertAlign w:val="superscript"/>
          <w:rtl/>
        </w:rPr>
        <w:footnoteReference w:id="3760" w:customMarkFollows="0"/>
      </w:r>
      <w:bookmarkEnd w:id="5069"/>
      <w:r>
        <w:rPr>
          <w:rtl/>
        </w:rPr>
        <w:t xml:space="preserve">. ב) הסבא נסע </w:t>
      </w:r>
      <w:proofErr w:type="spellStart"/>
      <w:r>
        <w:rPr>
          <w:rtl/>
        </w:rPr>
        <w:t>לגרודנא</w:t>
      </w:r>
      <w:proofErr w:type="spellEnd"/>
      <w:r>
        <w:rPr>
          <w:rtl/>
        </w:rPr>
        <w:t xml:space="preserve"> לנסות להשיבו </w:t>
      </w:r>
      <w:proofErr w:type="spellStart"/>
      <w:r>
        <w:rPr>
          <w:rtl/>
        </w:rPr>
        <w:t>לסלבודקה</w:t>
      </w:r>
      <w:proofErr w:type="spellEnd"/>
      <w:r>
        <w:rPr>
          <w:rtl/>
        </w:rPr>
        <w:t xml:space="preserve"> – ולא הצליח. ג) </w:t>
      </w:r>
      <w:proofErr w:type="spellStart"/>
      <w:r>
        <w:rPr>
          <w:rtl/>
        </w:rPr>
        <w:t>החפץ־חיים</w:t>
      </w:r>
      <w:proofErr w:type="spellEnd"/>
      <w:r>
        <w:rPr>
          <w:rtl/>
        </w:rPr>
        <w:t xml:space="preserve"> – שמסתבר שהסבא סיפר לו הכול על ר׳ </w:t>
      </w:r>
      <w:proofErr w:type="spellStart"/>
      <w:r>
        <w:rPr>
          <w:rtl/>
        </w:rPr>
        <w:t>יחיאל־יעקב</w:t>
      </w:r>
      <w:proofErr w:type="spellEnd"/>
      <w:r>
        <w:rPr>
          <w:rtl/>
        </w:rPr>
        <w:t xml:space="preserve"> ויינברג וביקש ממנו להתערב – שלח שליח להזמינו לפגישה </w:t>
      </w:r>
      <w:proofErr w:type="spellStart"/>
      <w:r>
        <w:rPr>
          <w:rtl/>
        </w:rPr>
        <w:t>בראדין</w:t>
      </w:r>
      <w:proofErr w:type="spellEnd"/>
      <w:r>
        <w:rPr>
          <w:rtl/>
        </w:rPr>
        <w:t xml:space="preserve">. ד) בפגישה התנהלה השיחה כך: תחילה הסביר ר׳ </w:t>
      </w:r>
      <w:proofErr w:type="spellStart"/>
      <w:r>
        <w:rPr>
          <w:rtl/>
        </w:rPr>
        <w:t>יחיאל־יעקב</w:t>
      </w:r>
      <w:proofErr w:type="spellEnd"/>
      <w:r>
        <w:rPr>
          <w:rtl/>
        </w:rPr>
        <w:t xml:space="preserve"> שהוא לומד רוסית משום שמסוכן שלא לדעת את לשון המקום, </w:t>
      </w:r>
      <w:proofErr w:type="spellStart"/>
      <w:r>
        <w:rPr>
          <w:rtl/>
        </w:rPr>
        <w:t>והחפץ־חיים</w:t>
      </w:r>
      <w:proofErr w:type="spellEnd"/>
      <w:r>
        <w:rPr>
          <w:rtl/>
        </w:rPr>
        <w:t xml:space="preserve"> השיב: “אתה צודק, צריך לדעת רוסית; אבל ש״ס ופוסקים צריך לדעת?! קצות החושן ואבני מילואים צריך לדעת?! את ספרי ר׳ עקיבא איגר וחתם סופר צריך לדעת?! למי כתבו הגדולים האלה את חידושיהם, אם לא לבחור כמוך?”, והחכם הזקן פרץ בבכי.</w:t>
      </w:r>
    </w:p>
    <w:p w14:paraId="209DCF1F" w14:textId="77777777" w:rsidR="00AB3647" w:rsidRDefault="00000000" w:rsidP="007923E9">
      <w:pPr>
        <w:spacing w:after="120" w:line="276" w:lineRule="auto"/>
        <w:ind w:firstLine="283"/>
        <w:jc w:val="both"/>
      </w:pPr>
      <w:r>
        <w:rPr>
          <w:rtl/>
        </w:rPr>
        <w:t>ר׳ חיים ליפשיץ סיפר שכשבא הסבא קודם לכן אל תלמידו, הרים את הספר שהיה מונח לפניו ואמר: “מה זה, קצות [החושן]</w:t>
      </w:r>
      <w:bookmarkStart w:id="5070" w:name="_fnr3753"/>
      <w:r>
        <w:rPr>
          <w:vertAlign w:val="superscript"/>
          <w:rtl/>
        </w:rPr>
        <w:footnoteReference w:id="3761" w:customMarkFollows="0"/>
      </w:r>
      <w:bookmarkEnd w:id="5070"/>
      <w:r>
        <w:rPr>
          <w:rtl/>
        </w:rPr>
        <w:t xml:space="preserve">?”, ואחר כך, </w:t>
      </w:r>
      <w:proofErr w:type="spellStart"/>
      <w:r>
        <w:rPr>
          <w:rtl/>
        </w:rPr>
        <w:t>כש“עיין</w:t>
      </w:r>
      <w:proofErr w:type="spellEnd"/>
      <w:r>
        <w:rPr>
          <w:rtl/>
        </w:rPr>
        <w:t>”</w:t>
      </w:r>
      <w:bookmarkStart w:id="5071" w:name="_fnr3754"/>
      <w:r>
        <w:rPr>
          <w:vertAlign w:val="superscript"/>
          <w:rtl/>
        </w:rPr>
        <w:footnoteReference w:id="3762" w:customMarkFollows="0"/>
      </w:r>
      <w:bookmarkEnd w:id="5071"/>
      <w:r>
        <w:rPr>
          <w:rtl/>
        </w:rPr>
        <w:t xml:space="preserve"> בכרך מקרוב יותר, קרא: “ספר דקדוק רוסי! אוי ואבוי!” הסבא, שכנראה לא ידע מה עבר על תלמידו בכפר הגויים, הניח שר׳ </w:t>
      </w:r>
      <w:proofErr w:type="spellStart"/>
      <w:r>
        <w:rPr>
          <w:rtl/>
        </w:rPr>
        <w:t>יחיאל־יעקב</w:t>
      </w:r>
      <w:proofErr w:type="spellEnd"/>
      <w:r>
        <w:rPr>
          <w:rtl/>
        </w:rPr>
        <w:t xml:space="preserve"> ויינברג יתבייש בכך שהוא לומד רוסית </w:t>
      </w:r>
      <w:r>
        <w:rPr>
          <w:b/>
          <w:bCs/>
          <w:rtl/>
        </w:rPr>
        <w:t>במקום</w:t>
      </w:r>
      <w:r>
        <w:rPr>
          <w:rtl/>
        </w:rPr>
        <w:t xml:space="preserve"> קצות, והחליט לפרוט על נימה זו – אבל לא הצליח להזיז את ר׳ </w:t>
      </w:r>
      <w:proofErr w:type="spellStart"/>
      <w:r>
        <w:rPr>
          <w:rtl/>
        </w:rPr>
        <w:t>יחיאל־יעקב</w:t>
      </w:r>
      <w:proofErr w:type="spellEnd"/>
      <w:r>
        <w:rPr>
          <w:rtl/>
        </w:rPr>
        <w:t xml:space="preserve"> מעמדתו. עוד הוסיף ר׳ חיים ליפשיץ שבעקבות תוכחת </w:t>
      </w:r>
      <w:proofErr w:type="spellStart"/>
      <w:r>
        <w:rPr>
          <w:rtl/>
        </w:rPr>
        <w:t>החפץ־חיים</w:t>
      </w:r>
      <w:proofErr w:type="spellEnd"/>
      <w:r>
        <w:rPr>
          <w:rtl/>
        </w:rPr>
        <w:t xml:space="preserve"> חדל ר׳ </w:t>
      </w:r>
      <w:proofErr w:type="spellStart"/>
      <w:r>
        <w:rPr>
          <w:rtl/>
        </w:rPr>
        <w:t>יחיאל־יעקב</w:t>
      </w:r>
      <w:proofErr w:type="spellEnd"/>
      <w:r>
        <w:rPr>
          <w:rtl/>
        </w:rPr>
        <w:t xml:space="preserve"> מלימוד רוסית. ובכל פעם שהיה מדבר על </w:t>
      </w:r>
      <w:proofErr w:type="spellStart"/>
      <w:r>
        <w:rPr>
          <w:rtl/>
        </w:rPr>
        <w:t>החפץ־חיים</w:t>
      </w:r>
      <w:proofErr w:type="spellEnd"/>
      <w:r>
        <w:rPr>
          <w:rtl/>
        </w:rPr>
        <w:t xml:space="preserve">, היה ר׳ </w:t>
      </w:r>
      <w:proofErr w:type="spellStart"/>
      <w:r>
        <w:rPr>
          <w:rtl/>
        </w:rPr>
        <w:t>יחיאל־יעקב</w:t>
      </w:r>
      <w:proofErr w:type="spellEnd"/>
      <w:r>
        <w:rPr>
          <w:rtl/>
        </w:rPr>
        <w:t xml:space="preserve"> פורץ בדמעות ומסביר שהוא נרגש מאוד: “אני בהתפעלות מצִדקותו של האיש הזה”, היה אומר.</w:t>
      </w:r>
    </w:p>
    <w:p w14:paraId="611FAC08" w14:textId="77777777" w:rsidR="00AB3647" w:rsidRDefault="00000000" w:rsidP="007923E9">
      <w:pPr>
        <w:spacing w:after="120" w:line="276" w:lineRule="auto"/>
        <w:ind w:firstLine="283"/>
        <w:jc w:val="both"/>
      </w:pPr>
      <w:r>
        <w:rPr>
          <w:rtl/>
        </w:rPr>
        <w:t xml:space="preserve">אבל ר׳ </w:t>
      </w:r>
      <w:proofErr w:type="spellStart"/>
      <w:r>
        <w:rPr>
          <w:rtl/>
        </w:rPr>
        <w:t>יחיאל־יעקב</w:t>
      </w:r>
      <w:proofErr w:type="spellEnd"/>
      <w:r>
        <w:rPr>
          <w:rtl/>
        </w:rPr>
        <w:t xml:space="preserve"> ויינברג פנה ללימוד השפה הרוסית זמן רב אחרי שהיה בן </w:t>
      </w:r>
      <w:proofErr w:type="spellStart"/>
      <w:r>
        <w:rPr>
          <w:rtl/>
        </w:rPr>
        <w:t>שמונה־עשרה</w:t>
      </w:r>
      <w:proofErr w:type="spellEnd"/>
      <w:r>
        <w:rPr>
          <w:rtl/>
        </w:rPr>
        <w:t xml:space="preserve">. לפי המאמר “הטרגדיה של אדם גדול” </w:t>
      </w:r>
      <w:proofErr w:type="spellStart"/>
      <w:r>
        <w:rPr>
          <w:rtl/>
        </w:rPr>
        <w:t>ב“הדואר</w:t>
      </w:r>
      <w:proofErr w:type="spellEnd"/>
      <w:r>
        <w:rPr>
          <w:rtl/>
        </w:rPr>
        <w:t xml:space="preserve">” אירע הדבר “לאחר שנה וחצי </w:t>
      </w:r>
      <w:proofErr w:type="spellStart"/>
      <w:r>
        <w:rPr>
          <w:rtl/>
        </w:rPr>
        <w:t>במיר</w:t>
      </w:r>
      <w:proofErr w:type="spellEnd"/>
      <w:r>
        <w:rPr>
          <w:rtl/>
        </w:rPr>
        <w:t xml:space="preserve">”, </w:t>
      </w:r>
      <w:proofErr w:type="spellStart"/>
      <w:r>
        <w:rPr>
          <w:rtl/>
        </w:rPr>
        <w:t>כש“יצא</w:t>
      </w:r>
      <w:proofErr w:type="spellEnd"/>
      <w:r>
        <w:rPr>
          <w:rtl/>
        </w:rPr>
        <w:t xml:space="preserve"> </w:t>
      </w:r>
      <w:proofErr w:type="spellStart"/>
      <w:r>
        <w:rPr>
          <w:rtl/>
        </w:rPr>
        <w:t>לגרודנא</w:t>
      </w:r>
      <w:proofErr w:type="spellEnd"/>
      <w:r>
        <w:rPr>
          <w:rtl/>
        </w:rPr>
        <w:t xml:space="preserve"> </w:t>
      </w:r>
      <w:r>
        <w:rPr>
          <w:b/>
          <w:bCs/>
          <w:rtl/>
        </w:rPr>
        <w:t>להשתלם</w:t>
      </w:r>
      <w:r>
        <w:rPr>
          <w:rtl/>
        </w:rPr>
        <w:t xml:space="preserve"> בשפה הרוסית (ההדגשה שלי)”. מחבר המאמר “הטרגדיה של אדם גדול” היה חברו ללימודים </w:t>
      </w:r>
      <w:proofErr w:type="spellStart"/>
      <w:r>
        <w:rPr>
          <w:rtl/>
        </w:rPr>
        <w:t>בסלבודקה</w:t>
      </w:r>
      <w:proofErr w:type="spellEnd"/>
      <w:r>
        <w:rPr>
          <w:rtl/>
        </w:rPr>
        <w:t xml:space="preserve"> ובן עיירתו, </w:t>
      </w:r>
      <w:proofErr w:type="spellStart"/>
      <w:r>
        <w:rPr>
          <w:rtl/>
        </w:rPr>
        <w:t>צ׳כנובצה</w:t>
      </w:r>
      <w:proofErr w:type="spellEnd"/>
      <w:r>
        <w:rPr>
          <w:rtl/>
        </w:rPr>
        <w:t xml:space="preserve">; ר׳ </w:t>
      </w:r>
      <w:proofErr w:type="spellStart"/>
      <w:r>
        <w:rPr>
          <w:rtl/>
        </w:rPr>
        <w:t>יחיאל־יעקב</w:t>
      </w:r>
      <w:proofErr w:type="spellEnd"/>
      <w:r>
        <w:rPr>
          <w:rtl/>
        </w:rPr>
        <w:t xml:space="preserve"> לקח אותו עמו </w:t>
      </w:r>
      <w:proofErr w:type="spellStart"/>
      <w:r>
        <w:rPr>
          <w:rtl/>
        </w:rPr>
        <w:t>למיר</w:t>
      </w:r>
      <w:proofErr w:type="spellEnd"/>
      <w:r>
        <w:rPr>
          <w:rtl/>
        </w:rPr>
        <w:t xml:space="preserve">, ושם חלקו אכסניה אחת. חברו זה הוא מקור מוסמך ביותר לזמן המדויק שבו החליט ללמוד רוסית. מחבר המאמר מוסיף: “איני זוכר אם עשה את הצעד הזה בהסכמת ר׳ </w:t>
      </w:r>
      <w:proofErr w:type="spellStart"/>
      <w:r>
        <w:rPr>
          <w:rtl/>
        </w:rPr>
        <w:t>נטע־הירש</w:t>
      </w:r>
      <w:proofErr w:type="spellEnd"/>
      <w:r>
        <w:rPr>
          <w:rtl/>
        </w:rPr>
        <w:t xml:space="preserve"> [</w:t>
      </w:r>
      <w:proofErr w:type="spellStart"/>
      <w:r>
        <w:rPr>
          <w:rtl/>
        </w:rPr>
        <w:t>פינקל</w:t>
      </w:r>
      <w:proofErr w:type="spellEnd"/>
      <w:r>
        <w:rPr>
          <w:rtl/>
        </w:rPr>
        <w:t xml:space="preserve">] או לא”. לפי המידע שהובא לעיל </w:t>
      </w:r>
      <w:proofErr w:type="spellStart"/>
      <w:r>
        <w:rPr>
          <w:rtl/>
        </w:rPr>
        <w:t>מ“פרקי</w:t>
      </w:r>
      <w:proofErr w:type="spellEnd"/>
      <w:r>
        <w:rPr>
          <w:rtl/>
        </w:rPr>
        <w:t xml:space="preserve"> חיים [ויינברג]”, ר׳ </w:t>
      </w:r>
      <w:proofErr w:type="spellStart"/>
      <w:r>
        <w:rPr>
          <w:rtl/>
        </w:rPr>
        <w:t>יחיאל־יעקב</w:t>
      </w:r>
      <w:proofErr w:type="spellEnd"/>
      <w:r>
        <w:rPr>
          <w:rtl/>
        </w:rPr>
        <w:t xml:space="preserve"> בהחלט לא קיבל את הסכמת הסבא. אותו מחבר גם לא העלה על דעתו שר׳ </w:t>
      </w:r>
      <w:proofErr w:type="spellStart"/>
      <w:r>
        <w:rPr>
          <w:rtl/>
        </w:rPr>
        <w:t>יחיאל־יעקב</w:t>
      </w:r>
      <w:proofErr w:type="spellEnd"/>
      <w:r>
        <w:rPr>
          <w:rtl/>
        </w:rPr>
        <w:t xml:space="preserve"> אינו יודע מילים רוסיות פשוטות כמו “כן” </w:t>
      </w:r>
      <w:proofErr w:type="spellStart"/>
      <w:r>
        <w:rPr>
          <w:rtl/>
        </w:rPr>
        <w:t>ו“לא</w:t>
      </w:r>
      <w:proofErr w:type="spellEnd"/>
      <w:r>
        <w:rPr>
          <w:rtl/>
        </w:rPr>
        <w:t xml:space="preserve">”, ושידיעתו ברוסית צריכה הרבה יותר </w:t>
      </w:r>
      <w:proofErr w:type="spellStart"/>
      <w:r>
        <w:rPr>
          <w:rtl/>
        </w:rPr>
        <w:t>מ“השתלמות</w:t>
      </w:r>
      <w:proofErr w:type="spellEnd"/>
      <w:r>
        <w:rPr>
          <w:rtl/>
        </w:rPr>
        <w:t>”.</w:t>
      </w:r>
    </w:p>
    <w:p w14:paraId="17178B98" w14:textId="77777777" w:rsidR="00AB3647" w:rsidRDefault="00000000" w:rsidP="007923E9">
      <w:pPr>
        <w:spacing w:after="120" w:line="276" w:lineRule="auto"/>
        <w:ind w:firstLine="283"/>
        <w:jc w:val="both"/>
      </w:pPr>
      <w:r>
        <w:rPr>
          <w:rtl/>
        </w:rPr>
        <w:t xml:space="preserve">לפיכך לא למד ר׳ </w:t>
      </w:r>
      <w:proofErr w:type="spellStart"/>
      <w:r>
        <w:rPr>
          <w:rtl/>
        </w:rPr>
        <w:t>יחיאל־יעקב</w:t>
      </w:r>
      <w:proofErr w:type="spellEnd"/>
      <w:r>
        <w:rPr>
          <w:rtl/>
        </w:rPr>
        <w:t xml:space="preserve"> ויינברג רוסית עד סתיו תרס״ו–תרס״ז, כשכבר היה כבן עשרים ושתיים – כחצי שנה לפני שנעשה רב </w:t>
      </w:r>
      <w:proofErr w:type="spellStart"/>
      <w:r>
        <w:rPr>
          <w:rtl/>
        </w:rPr>
        <w:t>פילווישוק</w:t>
      </w:r>
      <w:proofErr w:type="spellEnd"/>
      <w:r>
        <w:rPr>
          <w:rtl/>
        </w:rPr>
        <w:t xml:space="preserve">! אגב, שלוש השנים וחצי ששהה ר׳ </w:t>
      </w:r>
      <w:proofErr w:type="spellStart"/>
      <w:r>
        <w:rPr>
          <w:rtl/>
        </w:rPr>
        <w:lastRenderedPageBreak/>
        <w:t>יחיאל־יעקב</w:t>
      </w:r>
      <w:proofErr w:type="spellEnd"/>
      <w:r>
        <w:rPr>
          <w:rtl/>
        </w:rPr>
        <w:t xml:space="preserve"> </w:t>
      </w:r>
      <w:proofErr w:type="spellStart"/>
      <w:r>
        <w:rPr>
          <w:rtl/>
        </w:rPr>
        <w:t>בסלבודקה</w:t>
      </w:r>
      <w:proofErr w:type="spellEnd"/>
      <w:r>
        <w:rPr>
          <w:rtl/>
        </w:rPr>
        <w:t xml:space="preserve"> חפפו שלוש מתוך חמש השנים שבהן כיהן ר׳ נפתלי </w:t>
      </w:r>
      <w:proofErr w:type="spellStart"/>
      <w:r>
        <w:rPr>
          <w:rtl/>
        </w:rPr>
        <w:t>טרופ</w:t>
      </w:r>
      <w:proofErr w:type="spellEnd"/>
      <w:r>
        <w:rPr>
          <w:rtl/>
        </w:rPr>
        <w:t xml:space="preserve"> כראש הישיבה הקטנה של ר׳ </w:t>
      </w:r>
      <w:proofErr w:type="spellStart"/>
      <w:r>
        <w:rPr>
          <w:rtl/>
        </w:rPr>
        <w:t>הירשל׳ה</w:t>
      </w:r>
      <w:proofErr w:type="spellEnd"/>
      <w:r>
        <w:rPr>
          <w:rtl/>
        </w:rPr>
        <w:t xml:space="preserve"> </w:t>
      </w:r>
      <w:proofErr w:type="spellStart"/>
      <w:r>
        <w:rPr>
          <w:rtl/>
        </w:rPr>
        <w:t>לויטן</w:t>
      </w:r>
      <w:proofErr w:type="spellEnd"/>
      <w:r>
        <w:rPr>
          <w:rtl/>
        </w:rPr>
        <w:t>, “אור החיים”, באותה עיר</w:t>
      </w:r>
      <w:bookmarkStart w:id="5072" w:name="_fnr3755"/>
      <w:r>
        <w:rPr>
          <w:vertAlign w:val="superscript"/>
          <w:rtl/>
        </w:rPr>
        <w:footnoteReference w:id="3763" w:customMarkFollows="0"/>
      </w:r>
      <w:bookmarkEnd w:id="5072"/>
      <w:r>
        <w:rPr>
          <w:rtl/>
        </w:rPr>
        <w:t xml:space="preserve">. ר׳ </w:t>
      </w:r>
      <w:proofErr w:type="spellStart"/>
      <w:r>
        <w:rPr>
          <w:rtl/>
        </w:rPr>
        <w:t>יחיאל־יעקב</w:t>
      </w:r>
      <w:proofErr w:type="spellEnd"/>
      <w:r>
        <w:rPr>
          <w:rtl/>
        </w:rPr>
        <w:t xml:space="preserve"> ודאי פגש את ר׳ נפתלי </w:t>
      </w:r>
      <w:proofErr w:type="spellStart"/>
      <w:r>
        <w:rPr>
          <w:rtl/>
        </w:rPr>
        <w:t>טרופ</w:t>
      </w:r>
      <w:proofErr w:type="spellEnd"/>
      <w:r>
        <w:rPr>
          <w:rtl/>
        </w:rPr>
        <w:t xml:space="preserve">, שהיה מבוגר ממנו </w:t>
      </w:r>
      <w:proofErr w:type="spellStart"/>
      <w:r>
        <w:rPr>
          <w:rtl/>
        </w:rPr>
        <w:t>בשלוש־עשרה</w:t>
      </w:r>
      <w:proofErr w:type="spellEnd"/>
      <w:r>
        <w:rPr>
          <w:rtl/>
        </w:rPr>
        <w:t xml:space="preserve"> שנים, כשהיה נער </w:t>
      </w:r>
      <w:proofErr w:type="spellStart"/>
      <w:r>
        <w:rPr>
          <w:rtl/>
        </w:rPr>
        <w:t>בסלבודקה</w:t>
      </w:r>
      <w:proofErr w:type="spellEnd"/>
      <w:r>
        <w:rPr>
          <w:rtl/>
        </w:rPr>
        <w:t xml:space="preserve">. אבל מסתבר שהביקור הקצר </w:t>
      </w:r>
      <w:proofErr w:type="spellStart"/>
      <w:r>
        <w:rPr>
          <w:rtl/>
        </w:rPr>
        <w:t>בראדין</w:t>
      </w:r>
      <w:proofErr w:type="spellEnd"/>
      <w:r>
        <w:rPr>
          <w:rtl/>
        </w:rPr>
        <w:t xml:space="preserve">, כשר׳ </w:t>
      </w:r>
      <w:proofErr w:type="spellStart"/>
      <w:r>
        <w:rPr>
          <w:rtl/>
        </w:rPr>
        <w:t>יחיאל־יעקב</w:t>
      </w:r>
      <w:proofErr w:type="spellEnd"/>
      <w:r>
        <w:rPr>
          <w:rtl/>
        </w:rPr>
        <w:t xml:space="preserve"> כבר היה בוגר, הוא שהידק את יחסיהם, כפי שתיאר אותם באחד ממכתביו</w:t>
      </w:r>
      <w:bookmarkStart w:id="5073" w:name="_fnr3756"/>
      <w:r>
        <w:rPr>
          <w:vertAlign w:val="superscript"/>
          <w:rtl/>
        </w:rPr>
        <w:footnoteReference w:id="3764" w:customMarkFollows="0"/>
      </w:r>
      <w:bookmarkEnd w:id="5073"/>
      <w:r>
        <w:rPr>
          <w:rtl/>
        </w:rPr>
        <w:t xml:space="preserve">: “הידידות הגדולה שבין ר׳ נפתלי </w:t>
      </w:r>
      <w:proofErr w:type="spellStart"/>
      <w:r>
        <w:rPr>
          <w:rtl/>
        </w:rPr>
        <w:t>טרופ</w:t>
      </w:r>
      <w:proofErr w:type="spellEnd"/>
      <w:r>
        <w:rPr>
          <w:rtl/>
        </w:rPr>
        <w:t xml:space="preserve"> וביני היא אהבה אמיתית”. ר׳ נפתלי החל את כהונתו בת רבע המאה כראש ישיבת </w:t>
      </w:r>
      <w:proofErr w:type="spellStart"/>
      <w:r>
        <w:rPr>
          <w:rtl/>
        </w:rPr>
        <w:t>ראדין</w:t>
      </w:r>
      <w:proofErr w:type="spellEnd"/>
      <w:r>
        <w:rPr>
          <w:rtl/>
        </w:rPr>
        <w:t xml:space="preserve"> </w:t>
      </w:r>
      <w:proofErr w:type="spellStart"/>
      <w:r>
        <w:rPr>
          <w:rtl/>
        </w:rPr>
        <w:t>בתרס״ד</w:t>
      </w:r>
      <w:proofErr w:type="spellEnd"/>
      <w:r>
        <w:rPr>
          <w:rtl/>
        </w:rPr>
        <w:t>.</w:t>
      </w:r>
    </w:p>
    <w:p w14:paraId="7D531424" w14:textId="6F8BE0B2" w:rsidR="00AB3647" w:rsidRDefault="00000000" w:rsidP="007923E9">
      <w:pPr>
        <w:spacing w:after="120" w:line="276" w:lineRule="auto"/>
        <w:ind w:firstLine="283"/>
        <w:jc w:val="both"/>
      </w:pPr>
      <w:r>
        <w:rPr>
          <w:rtl/>
        </w:rPr>
        <w:t xml:space="preserve">לפי סדר המאורעות, הסבא סידר את שידוכו של ר׳ </w:t>
      </w:r>
      <w:proofErr w:type="spellStart"/>
      <w:r>
        <w:rPr>
          <w:rtl/>
        </w:rPr>
        <w:t>יחיאל־יעקב</w:t>
      </w:r>
      <w:proofErr w:type="spellEnd"/>
      <w:r>
        <w:rPr>
          <w:rtl/>
        </w:rPr>
        <w:t xml:space="preserve"> ויינברג סמוך לאחר שנטל פסק זמן ללימוד רוסית. המאמר “הטרגדיה של אדם גדול” מעריך שלימוד הרוסית השיטתי והרציני שלו הניח את היסוד</w:t>
      </w:r>
      <w:bookmarkStart w:id="5074" w:name="_fnr3757"/>
      <w:r>
        <w:rPr>
          <w:vertAlign w:val="superscript"/>
          <w:rtl/>
        </w:rPr>
        <w:footnoteReference w:id="3765" w:customMarkFollows="0"/>
      </w:r>
      <w:bookmarkEnd w:id="5074"/>
      <w:r>
        <w:rPr>
          <w:rtl/>
        </w:rPr>
        <w:t xml:space="preserve"> לתהפוכות שעבר ביחס לעולם ההשכלה ולנישואיו הטרגיים שבאו בעקבותיהן. הערכה זו קולעת, אף שכבר בתקופת </w:t>
      </w:r>
      <w:proofErr w:type="spellStart"/>
      <w:r>
        <w:rPr>
          <w:rtl/>
        </w:rPr>
        <w:t>סלבודקה</w:t>
      </w:r>
      <w:proofErr w:type="spellEnd"/>
      <w:r>
        <w:rPr>
          <w:rtl/>
        </w:rPr>
        <w:t xml:space="preserve"> המוקדמת שלח כמה גישושים לאותו עולם. הסבא הבין אז שעליו לקשור את תלמידו לעולם התורה על ידי שיעמידו על כיסא רבנות, כמפורט בתחילת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חזרתו של ר׳ </w:t>
      </w:r>
      <w:proofErr w:type="spellStart"/>
      <w:r>
        <w:rPr>
          <w:rtl/>
        </w:rPr>
        <w:t>יחיאל־יעקב</w:t>
      </w:r>
      <w:proofErr w:type="spellEnd"/>
      <w:r>
        <w:rPr>
          <w:rtl/>
        </w:rPr>
        <w:t xml:space="preserve"> </w:t>
      </w:r>
      <w:proofErr w:type="spellStart"/>
      <w:r>
        <w:rPr>
          <w:rtl/>
        </w:rPr>
        <w:t>לסלבודקה</w:t>
      </w:r>
      <w:proofErr w:type="spellEnd"/>
      <w:r>
        <w:rPr>
          <w:rtl/>
        </w:rPr>
        <w:t xml:space="preserve"> אחרי שחדל מלימוד הרוסית – שאותה הזכיר הרב </w:t>
      </w:r>
      <w:proofErr w:type="spellStart"/>
      <w:r>
        <w:rPr>
          <w:rtl/>
        </w:rPr>
        <w:t>קרויזר</w:t>
      </w:r>
      <w:proofErr w:type="spellEnd"/>
      <w:r>
        <w:rPr>
          <w:rtl/>
        </w:rPr>
        <w:t xml:space="preserve"> – מוכרחה הייתה להיות קשורה בשידוך, שהרי מבחינת לימוד התורה עזב את </w:t>
      </w:r>
      <w:proofErr w:type="spellStart"/>
      <w:r>
        <w:rPr>
          <w:rtl/>
        </w:rPr>
        <w:t>סלבודקה</w:t>
      </w:r>
      <w:proofErr w:type="spellEnd"/>
      <w:r>
        <w:rPr>
          <w:rtl/>
        </w:rPr>
        <w:t xml:space="preserve"> </w:t>
      </w:r>
      <w:proofErr w:type="spellStart"/>
      <w:r>
        <w:rPr>
          <w:rtl/>
        </w:rPr>
        <w:t>למיר</w:t>
      </w:r>
      <w:proofErr w:type="spellEnd"/>
      <w:r>
        <w:rPr>
          <w:rtl/>
        </w:rPr>
        <w:t xml:space="preserve"> כמעט שנתיים קודם לכן, לפני שהתחיל בשיעורי הרוסית.</w:t>
      </w:r>
    </w:p>
    <w:p w14:paraId="7738A5AE" w14:textId="77777777" w:rsidR="00AB3647" w:rsidRDefault="00000000" w:rsidP="007923E9">
      <w:pPr>
        <w:spacing w:after="120" w:line="276" w:lineRule="auto"/>
        <w:ind w:firstLine="283"/>
        <w:jc w:val="both"/>
      </w:pPr>
      <w:r>
        <w:rPr>
          <w:rtl/>
        </w:rPr>
        <w:t xml:space="preserve">כשנחלשו רגלי הסבא בשנותיו האחרונות, גילה </w:t>
      </w:r>
      <w:proofErr w:type="spellStart"/>
      <w:r>
        <w:rPr>
          <w:rtl/>
        </w:rPr>
        <w:t>לר</w:t>
      </w:r>
      <w:proofErr w:type="spellEnd"/>
      <w:r>
        <w:rPr>
          <w:rtl/>
        </w:rPr>
        <w:t xml:space="preserve">׳ יצחק </w:t>
      </w:r>
      <w:proofErr w:type="spellStart"/>
      <w:r>
        <w:rPr>
          <w:rtl/>
        </w:rPr>
        <w:t>בורוכסון</w:t>
      </w:r>
      <w:bookmarkStart w:id="5075" w:name="_fnr3758"/>
      <w:proofErr w:type="spellEnd"/>
      <w:r>
        <w:rPr>
          <w:vertAlign w:val="superscript"/>
          <w:rtl/>
        </w:rPr>
        <w:footnoteReference w:id="3766" w:customMarkFollows="0"/>
      </w:r>
      <w:bookmarkEnd w:id="5075"/>
      <w:r>
        <w:rPr>
          <w:rtl/>
        </w:rPr>
        <w:t xml:space="preserve"> שהחולשה נגרמה מעמידתו בתפילות ממושכות למען תלמידים מסוימים, והביא את פסוק דוד המלך: “ברכי כשלו מצום”</w:t>
      </w:r>
      <w:bookmarkStart w:id="5076" w:name="_fnr3759"/>
      <w:r>
        <w:rPr>
          <w:vertAlign w:val="superscript"/>
          <w:rtl/>
        </w:rPr>
        <w:footnoteReference w:id="3767" w:customMarkFollows="0"/>
      </w:r>
      <w:bookmarkEnd w:id="5076"/>
      <w:r>
        <w:rPr>
          <w:rtl/>
        </w:rPr>
        <w:t xml:space="preserve">. הסבא הוסיף שהוא מספר לו זאת מפני שהוא צופה שיום אחד ישמש הרב </w:t>
      </w:r>
      <w:proofErr w:type="spellStart"/>
      <w:r>
        <w:rPr>
          <w:rtl/>
        </w:rPr>
        <w:t>בורוכסון</w:t>
      </w:r>
      <w:proofErr w:type="spellEnd"/>
      <w:r>
        <w:rPr>
          <w:rtl/>
        </w:rPr>
        <w:t xml:space="preserve"> משפיע מוסרי, ועליו לדעת עד היכן חייב אדם לדאוג לחניכיו.</w:t>
      </w:r>
    </w:p>
    <w:p w14:paraId="5339071C" w14:textId="77777777" w:rsidR="00AB3647" w:rsidRDefault="00000000" w:rsidP="007923E9">
      <w:pPr>
        <w:pStyle w:val="4"/>
        <w:spacing w:line="276" w:lineRule="auto"/>
      </w:pPr>
      <w:r>
        <w:t>· הפסקה הרביעית ·</w:t>
      </w:r>
    </w:p>
    <w:p w14:paraId="4DD2A399" w14:textId="77777777" w:rsidR="00AB3647" w:rsidRDefault="00000000" w:rsidP="007923E9">
      <w:pPr>
        <w:pStyle w:val="5"/>
        <w:spacing w:line="276" w:lineRule="auto"/>
      </w:pPr>
      <w:r>
        <w:rPr>
          <w:bCs/>
          <w:szCs w:val="26"/>
        </w:rPr>
        <w:t xml:space="preserve">גם ר׳ </w:t>
      </w:r>
      <w:proofErr w:type="spellStart"/>
      <w:r>
        <w:rPr>
          <w:bCs/>
          <w:szCs w:val="26"/>
        </w:rPr>
        <w:t>לייזר־יודל</w:t>
      </w:r>
      <w:proofErr w:type="spellEnd"/>
      <w:r>
        <w:rPr>
          <w:bCs/>
          <w:szCs w:val="26"/>
        </w:rPr>
        <w:t xml:space="preserve"> </w:t>
      </w:r>
      <w:proofErr w:type="spellStart"/>
      <w:r>
        <w:rPr>
          <w:bCs/>
          <w:szCs w:val="26"/>
        </w:rPr>
        <w:t>פינקל</w:t>
      </w:r>
      <w:proofErr w:type="spellEnd"/>
      <w:r>
        <w:rPr>
          <w:bCs/>
          <w:szCs w:val="26"/>
        </w:rPr>
        <w:t xml:space="preserve"> מתענה אך מטעמים אחרים</w:t>
      </w:r>
    </w:p>
    <w:p w14:paraId="24DB0A09" w14:textId="77777777" w:rsidR="00AB3647" w:rsidRDefault="00000000" w:rsidP="007923E9">
      <w:pPr>
        <w:spacing w:after="120" w:line="276" w:lineRule="auto"/>
        <w:ind w:firstLine="283"/>
        <w:jc w:val="both"/>
      </w:pPr>
      <w:r>
        <w:rPr>
          <w:rtl/>
        </w:rPr>
        <w:t xml:space="preserve">לפי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077" w:name="_fnr3760"/>
      <w:proofErr w:type="spellEnd"/>
      <w:r>
        <w:rPr>
          <w:vertAlign w:val="superscript"/>
          <w:rtl/>
        </w:rPr>
        <w:footnoteReference w:id="3768" w:customMarkFollows="0"/>
      </w:r>
      <w:bookmarkEnd w:id="5077"/>
      <w:r>
        <w:rPr>
          <w:rtl/>
        </w:rPr>
        <w:t xml:space="preserve">, בנו של הסבא, ר׳ </w:t>
      </w:r>
      <w:proofErr w:type="spellStart"/>
      <w:r>
        <w:rPr>
          <w:rtl/>
        </w:rPr>
        <w:t>לייזר־יודל</w:t>
      </w:r>
      <w:proofErr w:type="spellEnd"/>
      <w:r>
        <w:rPr>
          <w:rtl/>
        </w:rPr>
        <w:t xml:space="preserve">, “התענה במשך רוב חייו בימי שני וחמישי, וכן תעניות חלום. כשבני משפחתו הבחינו שאינו נוגע בארוחת הבוקר, כבר ידעו שהוא מתענה באותו יום. לפעמים היה המזון נעלם משולחנו – ורק לאחר זמן רב מצאו את </w:t>
      </w:r>
      <w:proofErr w:type="spellStart"/>
      <w:r>
        <w:rPr>
          <w:rtl/>
        </w:rPr>
        <w:t>מגֵרתו</w:t>
      </w:r>
      <w:proofErr w:type="spellEnd"/>
      <w:r>
        <w:rPr>
          <w:rtl/>
        </w:rPr>
        <w:t xml:space="preserve"> מלאה לחמניות שהתיישנו”. אבל נראה </w:t>
      </w:r>
      <w:r>
        <w:rPr>
          <w:rtl/>
        </w:rPr>
        <w:lastRenderedPageBreak/>
        <w:t>שתעניות אלה נועדו לסיגופים, ולא לתפילה על תלמידים, כפי שמעיד המעשה המפליא של סיגוף עצמי שראה הרב ניסן וקסמן</w:t>
      </w:r>
      <w:bookmarkStart w:id="5078" w:name="_fnr3761"/>
      <w:r>
        <w:rPr>
          <w:vertAlign w:val="superscript"/>
          <w:rtl/>
        </w:rPr>
        <w:footnoteReference w:id="3769" w:customMarkFollows="0"/>
      </w:r>
      <w:bookmarkEnd w:id="5078"/>
      <w:r>
        <w:rPr>
          <w:rtl/>
        </w:rPr>
        <w:t>.</w:t>
      </w:r>
    </w:p>
    <w:bookmarkStart w:id="5079" w:name="b4_excG"/>
    <w:bookmarkStart w:id="5080" w:name="b4_annexG"/>
    <w:p w14:paraId="021CD2DD" w14:textId="77777777" w:rsidR="00AB3647" w:rsidRDefault="00000000" w:rsidP="007923E9">
      <w:pPr>
        <w:pStyle w:val="3"/>
        <w:spacing w:line="276" w:lineRule="auto"/>
      </w:pPr>
      <w:r>
        <w:lastRenderedPageBreak/>
        <w:fldChar w:fldCharType="begin" w:dirty="true"/>
      </w:r>
      <w:r>
        <w:rPr>
          <w:rtl w:val="0"/>
        </w:rPr>
        <w:instrText>HYPERLINK \l "b4_note50</w:instrText>
      </w:r>
      <w:r>
        <w:instrText>"</w:instrText>
      </w:r>
      <w:r>
        <w:fldChar w:fldCharType="separate"/>
      </w:r>
      <w:r>
        <w:t>נספח ז</w:t>
      </w:r>
      <w:r>
        <w:fldChar w:fldCharType="end"/>
      </w:r>
      <w:bookmarkEnd w:id="5079"/>
      <w:bookmarkEnd w:id="5080"/>
    </w:p>
    <w:p w14:paraId="26D228BA" w14:textId="77777777" w:rsidR="00AB3647" w:rsidRDefault="00000000" w:rsidP="007923E9">
      <w:pPr>
        <w:pStyle w:val="af"/>
        <w:spacing w:line="276" w:lineRule="auto"/>
      </w:pPr>
      <w:r>
        <w:t>על הישגי הסבא בהמשכת לימוד התורה והנהגתה ועל תומכי תורה מרכזיים בימיו ובזמנים האחרונים</w:t>
      </w:r>
    </w:p>
    <w:p w14:paraId="67712323" w14:textId="77777777" w:rsidR="00AB3647" w:rsidRDefault="00000000" w:rsidP="007923E9">
      <w:pPr>
        <w:pStyle w:val="4"/>
        <w:spacing w:line="276" w:lineRule="auto"/>
      </w:pPr>
      <w:r>
        <w:t>· הפסקה הראשונה ·</w:t>
      </w:r>
    </w:p>
    <w:p w14:paraId="7A5DF610" w14:textId="77777777" w:rsidR="00AB3647" w:rsidRDefault="00000000" w:rsidP="007923E9">
      <w:pPr>
        <w:pStyle w:val="5"/>
        <w:spacing w:line="276" w:lineRule="auto"/>
      </w:pPr>
      <w:r>
        <w:rPr>
          <w:bCs/>
          <w:szCs w:val="26"/>
        </w:rPr>
        <w:t xml:space="preserve">תלמידי הסבא מתפעלים מכוח השפעתו – </w:t>
      </w:r>
      <w:proofErr w:type="spellStart"/>
      <w:r>
        <w:rPr>
          <w:bCs/>
          <w:szCs w:val="26"/>
        </w:rPr>
        <w:t>החפץ־חיים</w:t>
      </w:r>
      <w:proofErr w:type="spellEnd"/>
      <w:r>
        <w:rPr>
          <w:bCs/>
          <w:szCs w:val="26"/>
        </w:rPr>
        <w:t xml:space="preserve"> משווה את כוחותיו לכוחות הסבא</w:t>
      </w:r>
    </w:p>
    <w:p w14:paraId="01B5C9CA" w14:textId="77777777" w:rsidR="00AB3647" w:rsidRDefault="00000000" w:rsidP="007923E9">
      <w:pPr>
        <w:spacing w:after="120" w:line="276" w:lineRule="auto"/>
        <w:ind w:firstLine="283"/>
        <w:jc w:val="both"/>
      </w:pPr>
      <w:r>
        <w:rPr>
          <w:rtl/>
        </w:rPr>
        <w:t>כץ, “תנועת המוסר”, כרך ג</w:t>
      </w:r>
      <w:bookmarkStart w:id="5081" w:name="_fnr3762"/>
      <w:r>
        <w:rPr>
          <w:vertAlign w:val="superscript"/>
          <w:rtl/>
        </w:rPr>
        <w:footnoteReference w:id="3770" w:customMarkFollows="0"/>
      </w:r>
      <w:bookmarkEnd w:id="5081"/>
      <w:r>
        <w:rPr>
          <w:rtl/>
        </w:rPr>
        <w:t xml:space="preserve">, כותב שתלמידיו, שהתפעלו מכוחו להשפיע על בני אדם, תיארו אותו בביטויים אגדיים וכינוהו דמות אגדית. ר׳ חיים </w:t>
      </w:r>
      <w:proofErr w:type="spellStart"/>
      <w:r>
        <w:rPr>
          <w:rtl/>
        </w:rPr>
        <w:t>גרוזובסקי</w:t>
      </w:r>
      <w:proofErr w:type="spellEnd"/>
      <w:r>
        <w:rPr>
          <w:rtl/>
        </w:rPr>
        <w:t xml:space="preserve"> גילה</w:t>
      </w:r>
      <w:bookmarkStart w:id="5082" w:name="_fnr3763"/>
      <w:r>
        <w:rPr>
          <w:vertAlign w:val="superscript"/>
          <w:rtl/>
        </w:rPr>
        <w:footnoteReference w:id="3771" w:customMarkFollows="0"/>
      </w:r>
      <w:bookmarkEnd w:id="5082"/>
      <w:r>
        <w:rPr>
          <w:rtl/>
        </w:rPr>
        <w:t xml:space="preserve"> שלדברי אביו ר׳ ראובן, “העולם אינו יכול לשער כמה גדול היה הסבא”. ספר הזיכרון לסבא </w:t>
      </w:r>
      <w:proofErr w:type="spellStart"/>
      <w:r>
        <w:rPr>
          <w:rtl/>
        </w:rPr>
        <w:t>מסלבודקה</w:t>
      </w:r>
      <w:proofErr w:type="spellEnd"/>
      <w:r>
        <w:rPr>
          <w:rtl/>
        </w:rPr>
        <w:t xml:space="preserve"> שערך ר׳ </w:t>
      </w:r>
      <w:proofErr w:type="spellStart"/>
      <w:r>
        <w:rPr>
          <w:rtl/>
        </w:rPr>
        <w:t>ישראל־זיסל</w:t>
      </w:r>
      <w:proofErr w:type="spellEnd"/>
      <w:r>
        <w:rPr>
          <w:rtl/>
        </w:rPr>
        <w:t xml:space="preserve"> </w:t>
      </w:r>
      <w:proofErr w:type="spellStart"/>
      <w:r>
        <w:rPr>
          <w:rtl/>
        </w:rPr>
        <w:t>דבורץ</w:t>
      </w:r>
      <w:bookmarkStart w:id="5083" w:name="_fnr3764"/>
      <w:proofErr w:type="spellEnd"/>
      <w:r>
        <w:rPr>
          <w:vertAlign w:val="superscript"/>
          <w:rtl/>
        </w:rPr>
        <w:footnoteReference w:id="3772" w:customMarkFollows="0"/>
      </w:r>
      <w:bookmarkEnd w:id="5083"/>
      <w:r>
        <w:rPr>
          <w:rtl/>
        </w:rPr>
        <w:t xml:space="preserve"> מפליג בתיאורו: “כשאדם מן הדור החלוש הזה שואל אם אפשר לאדם לאצור </w:t>
      </w:r>
      <w:proofErr w:type="spellStart"/>
      <w:r>
        <w:rPr>
          <w:rtl/>
        </w:rPr>
        <w:t>בלבו</w:t>
      </w:r>
      <w:proofErr w:type="spellEnd"/>
      <w:r>
        <w:rPr>
          <w:rtl/>
        </w:rPr>
        <w:t xml:space="preserve"> טוב ומתיקות כה רבים, אהבת הבריות כה רבה, שכאשר הוא בא במגע עם רבבות יהודים השונים במזגם ובהשקפתם, יוכל לזכות </w:t>
      </w:r>
      <w:proofErr w:type="spellStart"/>
      <w:r>
        <w:rPr>
          <w:rtl/>
        </w:rPr>
        <w:t>בלבם</w:t>
      </w:r>
      <w:proofErr w:type="spellEnd"/>
      <w:r>
        <w:rPr>
          <w:rtl/>
        </w:rPr>
        <w:t xml:space="preserve"> ברגע הראשון, עד שיימשכו אליו כאילו בחבלי קסם – לפנינו תשובה חיה: רבנו הסבא </w:t>
      </w:r>
      <w:proofErr w:type="spellStart"/>
      <w:r>
        <w:rPr>
          <w:rtl/>
        </w:rPr>
        <w:t>מסלבודקה</w:t>
      </w:r>
      <w:proofErr w:type="spellEnd"/>
      <w:r>
        <w:rPr>
          <w:rtl/>
        </w:rPr>
        <w:t>”.</w:t>
      </w:r>
    </w:p>
    <w:p w14:paraId="360AF52B" w14:textId="77777777" w:rsidR="00AB3647" w:rsidRDefault="00000000" w:rsidP="007923E9">
      <w:pPr>
        <w:spacing w:after="120" w:line="276" w:lineRule="auto"/>
        <w:ind w:firstLine="283"/>
        <w:jc w:val="both"/>
      </w:pPr>
      <w:proofErr w:type="spellStart"/>
      <w:r>
        <w:rPr>
          <w:rtl/>
        </w:rPr>
        <w:t>ב“תורת</w:t>
      </w:r>
      <w:proofErr w:type="spellEnd"/>
      <w:r>
        <w:rPr>
          <w:rtl/>
        </w:rPr>
        <w:t xml:space="preserve"> אברהם”</w:t>
      </w:r>
      <w:bookmarkStart w:id="5084" w:name="_fnr3765"/>
      <w:r>
        <w:rPr>
          <w:vertAlign w:val="superscript"/>
          <w:rtl/>
        </w:rPr>
        <w:footnoteReference w:id="3773" w:customMarkFollows="0"/>
      </w:r>
      <w:bookmarkEnd w:id="5084"/>
      <w:r>
        <w:rPr>
          <w:rtl/>
        </w:rPr>
        <w:t xml:space="preserve"> מתאר תלמידו המובהק, ר׳ אברהם </w:t>
      </w:r>
      <w:proofErr w:type="spellStart"/>
      <w:r>
        <w:rPr>
          <w:rtl/>
        </w:rPr>
        <w:t>גרודזינסקי</w:t>
      </w:r>
      <w:proofErr w:type="spellEnd"/>
      <w:r>
        <w:rPr>
          <w:rtl/>
        </w:rPr>
        <w:t xml:space="preserve">, בהתלהבות את השינויים שראה במידות האנשים “שישבו סביב” הסבא: “חידוש גדול נראה בבית מדרשו של רבנו. החידוש לא היה רק בעלייתו הגדולה, אלא גם בעליית התלמידים שישבו סביבו. החידוש היה שההתקדמות הניכרת בכל אחד עלתה הרבה מעבר למידה שהייתה תואמת את מאמציו. מפליא היה לראות שאלה שלא התמסרו לתיקון המידות התקדמו מאוד במשך הזמן, ואילו העמלים בכבישת המידות ובתיקונן התקדמו התקדמות יוצאת מן הכלל. בתוך זמן קצר נראו שינויים מופלאים בתכונות התלמידים האלה: מעצלות לשקידה, מקמצנות לנדיבות, מבהילות למתינות וליישוב הדעת, </w:t>
      </w:r>
      <w:proofErr w:type="spellStart"/>
      <w:r>
        <w:rPr>
          <w:rtl/>
        </w:rPr>
        <w:t>מחיי</w:t>
      </w:r>
      <w:proofErr w:type="spellEnd"/>
      <w:r>
        <w:rPr>
          <w:rtl/>
        </w:rPr>
        <w:t xml:space="preserve"> קלות ראש ושחוק לחיי תוכן ורצינות. זכורני ביקור של </w:t>
      </w:r>
      <w:proofErr w:type="spellStart"/>
      <w:r>
        <w:rPr>
          <w:rtl/>
        </w:rPr>
        <w:t>החפץ־חיים</w:t>
      </w:r>
      <w:proofErr w:type="spellEnd"/>
      <w:r>
        <w:rPr>
          <w:rtl/>
        </w:rPr>
        <w:t xml:space="preserve"> בקובנה, שבו ראה כמה </w:t>
      </w:r>
      <w:r>
        <w:rPr>
          <w:b/>
          <w:bCs/>
          <w:rtl/>
        </w:rPr>
        <w:t>תלמידים שלמדו קודם לכן אצלו</w:t>
      </w:r>
      <w:r>
        <w:rPr>
          <w:rtl/>
        </w:rPr>
        <w:t xml:space="preserve"> (ההדגשה שלי), ואמר להם: ‘זאת לא יכולתי לעשות. כוחי בשמירת הקיים, שלא להניח לתלמיד לרדת ממדרגתו הרוחנית. אבל לחולל שינויים באדם, שינוי במידותיו – זהו כוחה של </w:t>
      </w:r>
      <w:proofErr w:type="spellStart"/>
      <w:r>
        <w:rPr>
          <w:rtl/>
        </w:rPr>
        <w:t>סלבודקה</w:t>
      </w:r>
      <w:proofErr w:type="spellEnd"/>
      <w:r>
        <w:rPr>
          <w:rtl/>
        </w:rPr>
        <w:t>’”.</w:t>
      </w:r>
    </w:p>
    <w:p w14:paraId="5D6C4199" w14:textId="77777777" w:rsidR="00AB3647" w:rsidRDefault="00000000" w:rsidP="007923E9">
      <w:pPr>
        <w:spacing w:after="120" w:line="276" w:lineRule="auto"/>
        <w:ind w:firstLine="283"/>
        <w:jc w:val="both"/>
      </w:pPr>
      <w:r>
        <w:rPr>
          <w:rtl/>
        </w:rPr>
        <w:t>נראה שכץ, “תנועת המוסר”, כרך ג</w:t>
      </w:r>
      <w:bookmarkStart w:id="5085" w:name="_fnr3766"/>
      <w:r>
        <w:rPr>
          <w:vertAlign w:val="superscript"/>
          <w:rtl/>
        </w:rPr>
        <w:footnoteReference w:id="3774" w:customMarkFollows="0"/>
      </w:r>
      <w:bookmarkEnd w:id="5085"/>
      <w:r>
        <w:rPr>
          <w:rtl/>
        </w:rPr>
        <w:t xml:space="preserve">, מתייחס לביקור זה, כשהוא מביא את דברי </w:t>
      </w:r>
      <w:proofErr w:type="spellStart"/>
      <w:r>
        <w:rPr>
          <w:rtl/>
        </w:rPr>
        <w:t>החפץ־חיים</w:t>
      </w:r>
      <w:proofErr w:type="spellEnd"/>
      <w:r>
        <w:rPr>
          <w:rtl/>
        </w:rPr>
        <w:t xml:space="preserve"> </w:t>
      </w:r>
      <w:proofErr w:type="spellStart"/>
      <w:r>
        <w:rPr>
          <w:rtl/>
        </w:rPr>
        <w:t>בפגשו</w:t>
      </w:r>
      <w:proofErr w:type="spellEnd"/>
      <w:r>
        <w:rPr>
          <w:rtl/>
        </w:rPr>
        <w:t xml:space="preserve"> כמה מתלמידיו לשעבר: “הכישרון הזה הוא רק של ר׳ </w:t>
      </w:r>
      <w:proofErr w:type="spellStart"/>
      <w:r>
        <w:rPr>
          <w:rtl/>
        </w:rPr>
        <w:t>נתן־צבי</w:t>
      </w:r>
      <w:proofErr w:type="spellEnd"/>
      <w:r>
        <w:rPr>
          <w:rtl/>
        </w:rPr>
        <w:t xml:space="preserve">. אנו מקבלים תלמידים נאמנים ומעלים אותם בתורה וביראת שמים, ואילו הוא מקבל גם תלמידים מקולקלים והופכם ללמדנים ויראים”. מחמיאה עוד יותר אמרת </w:t>
      </w:r>
      <w:proofErr w:type="spellStart"/>
      <w:r>
        <w:rPr>
          <w:rtl/>
        </w:rPr>
        <w:t>החפץ־חיים</w:t>
      </w:r>
      <w:proofErr w:type="spellEnd"/>
      <w:r>
        <w:rPr>
          <w:rtl/>
        </w:rPr>
        <w:t xml:space="preserve"> המובאת בכץ</w:t>
      </w:r>
      <w:bookmarkStart w:id="5086" w:name="_fnr3767"/>
      <w:r>
        <w:rPr>
          <w:vertAlign w:val="superscript"/>
          <w:rtl/>
        </w:rPr>
        <w:footnoteReference w:id="3775" w:customMarkFollows="0"/>
      </w:r>
      <w:bookmarkEnd w:id="5086"/>
      <w:r>
        <w:rPr>
          <w:rtl/>
        </w:rPr>
        <w:t xml:space="preserve">, שנאמרה כשפגש את ר׳ אברהם </w:t>
      </w:r>
      <w:proofErr w:type="spellStart"/>
      <w:r>
        <w:rPr>
          <w:rtl/>
        </w:rPr>
        <w:t>גרודזינסקי</w:t>
      </w:r>
      <w:proofErr w:type="spellEnd"/>
      <w:r>
        <w:rPr>
          <w:rtl/>
        </w:rPr>
        <w:t xml:space="preserve">, שלמד בתחילה </w:t>
      </w:r>
      <w:proofErr w:type="spellStart"/>
      <w:r>
        <w:rPr>
          <w:rtl/>
        </w:rPr>
        <w:t>בלומז׳ה</w:t>
      </w:r>
      <w:proofErr w:type="spellEnd"/>
      <w:r>
        <w:rPr>
          <w:rtl/>
        </w:rPr>
        <w:t xml:space="preserve"> ובישיבתו שלו </w:t>
      </w:r>
      <w:proofErr w:type="spellStart"/>
      <w:r>
        <w:rPr>
          <w:rtl/>
        </w:rPr>
        <w:t>בראדין</w:t>
      </w:r>
      <w:proofErr w:type="spellEnd"/>
      <w:r>
        <w:rPr>
          <w:rtl/>
        </w:rPr>
        <w:t xml:space="preserve">. </w:t>
      </w:r>
      <w:proofErr w:type="spellStart"/>
      <w:r>
        <w:rPr>
          <w:rtl/>
        </w:rPr>
        <w:t>החפץ־</w:t>
      </w:r>
      <w:r>
        <w:rPr>
          <w:rtl/>
        </w:rPr>
        <w:lastRenderedPageBreak/>
        <w:t>חיים</w:t>
      </w:r>
      <w:proofErr w:type="spellEnd"/>
      <w:r>
        <w:rPr>
          <w:rtl/>
        </w:rPr>
        <w:t xml:space="preserve"> השווה את עבודתו לעבודת ר׳ </w:t>
      </w:r>
      <w:proofErr w:type="spellStart"/>
      <w:r>
        <w:rPr>
          <w:rtl/>
        </w:rPr>
        <w:t>נתן־צבי</w:t>
      </w:r>
      <w:proofErr w:type="spellEnd"/>
      <w:r>
        <w:rPr>
          <w:rtl/>
        </w:rPr>
        <w:t xml:space="preserve"> </w:t>
      </w:r>
      <w:proofErr w:type="spellStart"/>
      <w:r>
        <w:rPr>
          <w:rtl/>
        </w:rPr>
        <w:t>פינקל</w:t>
      </w:r>
      <w:proofErr w:type="spellEnd"/>
      <w:r>
        <w:rPr>
          <w:rtl/>
        </w:rPr>
        <w:t xml:space="preserve"> ואמר: “אני מחבר ספרים, והוא יוצר אנשים”. אולי התכוון ר׳ אברהם </w:t>
      </w:r>
      <w:r>
        <w:rPr>
          <w:b/>
          <w:bCs/>
          <w:rtl/>
        </w:rPr>
        <w:t>לעצמו</w:t>
      </w:r>
      <w:r>
        <w:rPr>
          <w:rtl/>
        </w:rPr>
        <w:t xml:space="preserve"> כשכתב </w:t>
      </w:r>
      <w:proofErr w:type="spellStart"/>
      <w:r>
        <w:rPr>
          <w:rtl/>
        </w:rPr>
        <w:t>ב“תורת</w:t>
      </w:r>
      <w:proofErr w:type="spellEnd"/>
      <w:r>
        <w:rPr>
          <w:rtl/>
        </w:rPr>
        <w:t xml:space="preserve"> אברהם” על “תלמידים שלמדו קודם לכן אצל [</w:t>
      </w:r>
      <w:proofErr w:type="spellStart"/>
      <w:r>
        <w:rPr>
          <w:rtl/>
        </w:rPr>
        <w:t>החפץ־חיים</w:t>
      </w:r>
      <w:proofErr w:type="spellEnd"/>
      <w:r>
        <w:rPr>
          <w:rtl/>
        </w:rPr>
        <w:t xml:space="preserve">, כפי שצוטט והודגש לעיל]”, </w:t>
      </w:r>
      <w:proofErr w:type="spellStart"/>
      <w:r>
        <w:rPr>
          <w:rtl/>
        </w:rPr>
        <w:t>שהחפץ־חיים</w:t>
      </w:r>
      <w:proofErr w:type="spellEnd"/>
      <w:r>
        <w:rPr>
          <w:rtl/>
        </w:rPr>
        <w:t xml:space="preserve"> ראה בהם שינויים שהודה שלא היה בכוחו לחולל.</w:t>
      </w:r>
    </w:p>
    <w:p w14:paraId="1D1D664C" w14:textId="77777777" w:rsidR="00AB3647" w:rsidRDefault="00000000" w:rsidP="007923E9">
      <w:pPr>
        <w:spacing w:after="120" w:line="276" w:lineRule="auto"/>
        <w:ind w:firstLine="283"/>
        <w:jc w:val="both"/>
      </w:pPr>
      <w:r>
        <w:rPr>
          <w:rtl/>
        </w:rPr>
        <w:t xml:space="preserve">מעניין שלפי תלמיד </w:t>
      </w:r>
      <w:proofErr w:type="spellStart"/>
      <w:r>
        <w:rPr>
          <w:rtl/>
        </w:rPr>
        <w:t>נובהרדוק</w:t>
      </w:r>
      <w:proofErr w:type="spellEnd"/>
      <w:r>
        <w:rPr>
          <w:rtl/>
        </w:rPr>
        <w:t xml:space="preserve"> ר׳ חיים </w:t>
      </w:r>
      <w:proofErr w:type="spellStart"/>
      <w:r>
        <w:rPr>
          <w:rtl/>
        </w:rPr>
        <w:t>זייצ׳יק</w:t>
      </w:r>
      <w:proofErr w:type="spellEnd"/>
      <w:r>
        <w:rPr>
          <w:rtl/>
        </w:rPr>
        <w:t xml:space="preserve">, המובא </w:t>
      </w:r>
      <w:proofErr w:type="spellStart"/>
      <w:r>
        <w:rPr>
          <w:rtl/>
        </w:rPr>
        <w:t>ב“ספר</w:t>
      </w:r>
      <w:proofErr w:type="spellEnd"/>
      <w:r>
        <w:rPr>
          <w:rtl/>
        </w:rPr>
        <w:t xml:space="preserve"> מאיר עיני ישראל”</w:t>
      </w:r>
      <w:bookmarkStart w:id="5087" w:name="_fnr3768"/>
      <w:r>
        <w:rPr>
          <w:vertAlign w:val="superscript"/>
          <w:rtl/>
        </w:rPr>
        <w:footnoteReference w:id="3776" w:customMarkFollows="0"/>
      </w:r>
      <w:bookmarkEnd w:id="5087"/>
      <w:r>
        <w:rPr>
          <w:rtl/>
        </w:rPr>
        <w:t xml:space="preserve">, חזר </w:t>
      </w:r>
      <w:proofErr w:type="spellStart"/>
      <w:r>
        <w:rPr>
          <w:rtl/>
        </w:rPr>
        <w:t>החפץ־חיים</w:t>
      </w:r>
      <w:proofErr w:type="spellEnd"/>
      <w:r>
        <w:rPr>
          <w:rtl/>
        </w:rPr>
        <w:t xml:space="preserve"> מאוחר יותר על אותה השוואה בין ספרים לאנשים, שהשמיע בביקורו </w:t>
      </w:r>
      <w:proofErr w:type="spellStart"/>
      <w:r>
        <w:rPr>
          <w:rtl/>
        </w:rPr>
        <w:t>בסלבודקה</w:t>
      </w:r>
      <w:proofErr w:type="spellEnd"/>
      <w:r>
        <w:rPr>
          <w:rtl/>
        </w:rPr>
        <w:t xml:space="preserve">, ביחס </w:t>
      </w:r>
      <w:proofErr w:type="spellStart"/>
      <w:r>
        <w:rPr>
          <w:rtl/>
        </w:rPr>
        <w:t>לר</w:t>
      </w:r>
      <w:proofErr w:type="spellEnd"/>
      <w:r>
        <w:rPr>
          <w:rtl/>
        </w:rPr>
        <w:t xml:space="preserve">׳ יוזל </w:t>
      </w:r>
      <w:proofErr w:type="spellStart"/>
      <w:r>
        <w:rPr>
          <w:rtl/>
        </w:rPr>
        <w:t>מנובהרדוק</w:t>
      </w:r>
      <w:bookmarkStart w:id="5088" w:name="_fnr3769"/>
      <w:proofErr w:type="spellEnd"/>
      <w:r>
        <w:rPr>
          <w:vertAlign w:val="superscript"/>
          <w:rtl/>
        </w:rPr>
        <w:footnoteReference w:id="3777" w:customMarkFollows="0"/>
      </w:r>
      <w:bookmarkEnd w:id="5088"/>
      <w:r>
        <w:rPr>
          <w:rtl/>
        </w:rPr>
        <w:t xml:space="preserve">. לפי המסופר אמר </w:t>
      </w:r>
      <w:proofErr w:type="spellStart"/>
      <w:r>
        <w:rPr>
          <w:rtl/>
        </w:rPr>
        <w:t>החפץ־חיים</w:t>
      </w:r>
      <w:proofErr w:type="spellEnd"/>
      <w:r>
        <w:rPr>
          <w:rtl/>
        </w:rPr>
        <w:t xml:space="preserve"> </w:t>
      </w:r>
      <w:proofErr w:type="spellStart"/>
      <w:r>
        <w:rPr>
          <w:rtl/>
        </w:rPr>
        <w:t>בתר״ץ</w:t>
      </w:r>
      <w:proofErr w:type="spellEnd"/>
      <w:r>
        <w:rPr>
          <w:rtl/>
        </w:rPr>
        <w:t>: “ר׳ יוזל חיבר ויצר אנשים, ואני חיברתי ספרים; ואילו הם” – וכוונתו למשכילים – “</w:t>
      </w:r>
      <w:proofErr w:type="spellStart"/>
      <w:r>
        <w:rPr>
          <w:rtl/>
        </w:rPr>
        <w:t>ההולטייעס</w:t>
      </w:r>
      <w:proofErr w:type="spellEnd"/>
      <w:r>
        <w:rPr>
          <w:rtl/>
        </w:rPr>
        <w:t xml:space="preserve"> [ההוללים, הנבלים], לעגו </w:t>
      </w:r>
      <w:proofErr w:type="spellStart"/>
      <w:r>
        <w:rPr>
          <w:rtl/>
        </w:rPr>
        <w:t>לר</w:t>
      </w:r>
      <w:proofErr w:type="spellEnd"/>
      <w:r>
        <w:rPr>
          <w:rtl/>
        </w:rPr>
        <w:t>׳ יוזל. מה שהשיג ר׳ יוזל יכול כל אחד לראות; ומה נעשה מהם? ערמת אפר!”</w:t>
      </w:r>
      <w:bookmarkStart w:id="5089" w:name="_fnr3770"/>
      <w:r>
        <w:rPr>
          <w:vertAlign w:val="superscript"/>
          <w:rtl/>
        </w:rPr>
        <w:footnoteReference w:id="3778" w:customMarkFollows="0"/>
      </w:r>
      <w:bookmarkEnd w:id="5089"/>
    </w:p>
    <w:p w14:paraId="0BEA31AD" w14:textId="77777777" w:rsidR="00AB3647" w:rsidRDefault="00000000" w:rsidP="007923E9">
      <w:pPr>
        <w:pStyle w:val="4"/>
        <w:spacing w:line="276" w:lineRule="auto"/>
      </w:pPr>
      <w:r>
        <w:t>· הפסקה השנייה ·</w:t>
      </w:r>
    </w:p>
    <w:p w14:paraId="328078F0" w14:textId="77777777" w:rsidR="00AB3647" w:rsidRDefault="00000000" w:rsidP="007923E9">
      <w:pPr>
        <w:pStyle w:val="5"/>
        <w:spacing w:line="276" w:lineRule="auto"/>
      </w:pPr>
      <w:r>
        <w:rPr>
          <w:bCs/>
          <w:szCs w:val="26"/>
        </w:rPr>
        <w:t xml:space="preserve">ר׳ ירוחם </w:t>
      </w:r>
      <w:proofErr w:type="spellStart"/>
      <w:r>
        <w:rPr>
          <w:bCs/>
          <w:szCs w:val="26"/>
        </w:rPr>
        <w:t>ליבוביץ</w:t>
      </w:r>
      <w:proofErr w:type="spellEnd"/>
      <w:r>
        <w:rPr>
          <w:bCs/>
          <w:szCs w:val="26"/>
        </w:rPr>
        <w:t xml:space="preserve"> ור׳ </w:t>
      </w:r>
      <w:proofErr w:type="spellStart"/>
      <w:r>
        <w:rPr>
          <w:bCs/>
          <w:szCs w:val="26"/>
        </w:rPr>
        <w:t>ישראל־זיסל</w:t>
      </w:r>
      <w:proofErr w:type="spellEnd"/>
      <w:r>
        <w:rPr>
          <w:bCs/>
          <w:szCs w:val="26"/>
        </w:rPr>
        <w:t xml:space="preserve"> </w:t>
      </w:r>
      <w:proofErr w:type="spellStart"/>
      <w:r>
        <w:rPr>
          <w:bCs/>
          <w:szCs w:val="26"/>
        </w:rPr>
        <w:t>דבורץ</w:t>
      </w:r>
      <w:proofErr w:type="spellEnd"/>
      <w:r>
        <w:rPr>
          <w:bCs/>
          <w:szCs w:val="26"/>
        </w:rPr>
        <w:t xml:space="preserve"> משבחים את הישגי הסבא – קיום התורה בדורנו נזקף לזכותו – תלמידיו סבורים שמי שלא למד אצלו חסר בחינוך – תומך התורה עובדיה לחמן מבקש להישאר אלמוני – ר׳ שלמה אלישיב מצפין את שמו בשם ספרו – מעוז ההשכלה מקרין תמיכה בתורה</w:t>
      </w:r>
    </w:p>
    <w:p w14:paraId="05AC66C8" w14:textId="77777777" w:rsidR="00AB3647" w:rsidRDefault="00000000" w:rsidP="007923E9">
      <w:pPr>
        <w:spacing w:after="120" w:line="276" w:lineRule="auto"/>
        <w:ind w:firstLine="283"/>
        <w:jc w:val="both"/>
      </w:pPr>
      <w:r>
        <w:rPr>
          <w:rtl/>
        </w:rPr>
        <w:t>“ספר דעת תורה”</w:t>
      </w:r>
      <w:bookmarkStart w:id="5090" w:name="_fnr3771"/>
      <w:r>
        <w:rPr>
          <w:vertAlign w:val="superscript"/>
          <w:rtl/>
        </w:rPr>
        <w:footnoteReference w:id="3779" w:customMarkFollows="0"/>
      </w:r>
      <w:bookmarkEnd w:id="5090"/>
      <w:r>
        <w:rPr>
          <w:rtl/>
        </w:rPr>
        <w:t xml:space="preserve"> מביא שיחת הספד של משגיח ישיבת </w:t>
      </w:r>
      <w:proofErr w:type="spellStart"/>
      <w:r>
        <w:rPr>
          <w:rtl/>
        </w:rPr>
        <w:t>מיר</w:t>
      </w:r>
      <w:bookmarkStart w:id="5091" w:name="_fnr3772"/>
      <w:proofErr w:type="spellEnd"/>
      <w:r>
        <w:rPr>
          <w:vertAlign w:val="superscript"/>
          <w:rtl/>
        </w:rPr>
        <w:footnoteReference w:id="3780" w:customMarkFollows="0"/>
      </w:r>
      <w:bookmarkEnd w:id="5091"/>
      <w:r>
        <w:rPr>
          <w:rtl/>
        </w:rPr>
        <w:t xml:space="preserve">, תשעה ימים לאחר פטירת הסבא: “אדם שישב כל ימיו הארוכים בקיטון יחיד ומיוחד, שממנו יצא אור לעולם כולו – כמה גדולים היו מעשיו! זאת יכולים אנו לומר בוודאות: אלמלא הוא, ח״ו נשתכח תורה בישראל. אנו רואים שבישיבות שלא הוא יסדן תלויים מנעולים רבים על הדלתות, ואילו הישיבות שבנה – הן עומדות איתן וחזק!”. הדברים חוזרים על הרעיון שבדברי עורך ספר הזיכרון לסבא </w:t>
      </w:r>
      <w:proofErr w:type="spellStart"/>
      <w:r>
        <w:rPr>
          <w:rtl/>
        </w:rPr>
        <w:t>מסלבודקה</w:t>
      </w:r>
      <w:proofErr w:type="spellEnd"/>
      <w:r>
        <w:rPr>
          <w:rtl/>
        </w:rPr>
        <w:t>, שכתב</w:t>
      </w:r>
      <w:bookmarkStart w:id="5092" w:name="_fnr3773"/>
      <w:r>
        <w:rPr>
          <w:vertAlign w:val="superscript"/>
          <w:rtl/>
        </w:rPr>
        <w:footnoteReference w:id="3781" w:customMarkFollows="0"/>
      </w:r>
      <w:bookmarkEnd w:id="5092"/>
      <w:r>
        <w:rPr>
          <w:rtl/>
        </w:rPr>
        <w:t xml:space="preserve">: “רק אדם זה ר׳ </w:t>
      </w:r>
      <w:proofErr w:type="spellStart"/>
      <w:r>
        <w:rPr>
          <w:rtl/>
        </w:rPr>
        <w:t>נתן־צבי</w:t>
      </w:r>
      <w:proofErr w:type="spellEnd"/>
      <w:r>
        <w:rPr>
          <w:rtl/>
        </w:rPr>
        <w:t xml:space="preserve"> </w:t>
      </w:r>
      <w:proofErr w:type="spellStart"/>
      <w:r>
        <w:rPr>
          <w:rtl/>
        </w:rPr>
        <w:t>פינקל</w:t>
      </w:r>
      <w:proofErr w:type="spellEnd"/>
      <w:r>
        <w:rPr>
          <w:rtl/>
        </w:rPr>
        <w:t xml:space="preserve"> זכה מן השמים ליצור כמעט את כל מרכזי התורה בליטא ולהציל את שארית הפליטה של עם ישראל. איננו יכולים לשער איזו צורה היה לובש עם ישראל אלמלא השליח הזה ממרום, ומה היה גורלה של תורתנו הקדושה בזמן הזה אלמלי לא החזיר עטרה ליושנה”.</w:t>
      </w:r>
    </w:p>
    <w:p w14:paraId="41EFC718" w14:textId="77777777" w:rsidR="00AB3647" w:rsidRDefault="00000000" w:rsidP="007923E9">
      <w:pPr>
        <w:spacing w:after="120" w:line="276" w:lineRule="auto"/>
        <w:ind w:firstLine="283"/>
        <w:jc w:val="both"/>
      </w:pPr>
      <w:r>
        <w:rPr>
          <w:rtl/>
        </w:rPr>
        <w:lastRenderedPageBreak/>
        <w:t>ר׳ אהרן קוטלר אמר שהסבא היה רבו של כלל ישראל</w:t>
      </w:r>
      <w:bookmarkStart w:id="5093" w:name="_fnr3774"/>
      <w:r>
        <w:rPr>
          <w:vertAlign w:val="superscript"/>
          <w:rtl/>
        </w:rPr>
        <w:footnoteReference w:id="3782" w:customMarkFollows="0"/>
      </w:r>
      <w:bookmarkEnd w:id="5093"/>
      <w:r>
        <w:rPr>
          <w:rtl/>
        </w:rPr>
        <w:t xml:space="preserve">. אבי, מנקודת מבט היסטורית רחוקה עוד יותר, כינה את הסבא כעבור </w:t>
      </w:r>
      <w:proofErr w:type="spellStart"/>
      <w:r>
        <w:rPr>
          <w:rtl/>
        </w:rPr>
        <w:t>חמש־עשרה</w:t>
      </w:r>
      <w:proofErr w:type="spellEnd"/>
      <w:r>
        <w:rPr>
          <w:rtl/>
        </w:rPr>
        <w:t xml:space="preserve"> שנה</w:t>
      </w:r>
      <w:bookmarkStart w:id="5094" w:name="_fnr3775"/>
      <w:r>
        <w:rPr>
          <w:vertAlign w:val="superscript"/>
          <w:rtl/>
        </w:rPr>
        <w:footnoteReference w:id="3783" w:customMarkFollows="0"/>
      </w:r>
      <w:bookmarkEnd w:id="5094"/>
      <w:r>
        <w:rPr>
          <w:rtl/>
        </w:rPr>
        <w:t xml:space="preserve"> “כנראה בונה התורה הגדול ביותר במאה השנים האחרונות”. בהזדמנות אחרת רשם אבי </w:t>
      </w:r>
      <w:proofErr w:type="spellStart"/>
      <w:r>
        <w:rPr>
          <w:rtl/>
        </w:rPr>
        <w:t>לר</w:t>
      </w:r>
      <w:proofErr w:type="spellEnd"/>
      <w:r>
        <w:rPr>
          <w:rtl/>
        </w:rPr>
        <w:t>׳ חיים ברים</w:t>
      </w:r>
      <w:bookmarkStart w:id="5095" w:name="_fnr3776"/>
      <w:r>
        <w:rPr>
          <w:vertAlign w:val="superscript"/>
          <w:rtl/>
        </w:rPr>
        <w:footnoteReference w:id="3784" w:customMarkFollows="0"/>
      </w:r>
      <w:bookmarkEnd w:id="5095"/>
      <w:r>
        <w:rPr>
          <w:rtl/>
        </w:rPr>
        <w:t xml:space="preserve"> את שמות </w:t>
      </w:r>
      <w:proofErr w:type="spellStart"/>
      <w:r>
        <w:rPr>
          <w:rtl/>
        </w:rPr>
        <w:t>אחת־עשרה</w:t>
      </w:r>
      <w:proofErr w:type="spellEnd"/>
      <w:r>
        <w:rPr>
          <w:rtl/>
        </w:rPr>
        <w:t xml:space="preserve"> הישיבות הגדולות באמריקה, וכיצד צמחה כל אחת מהן מתלמידי הסבא. ר׳ שפטל </w:t>
      </w:r>
      <w:proofErr w:type="spellStart"/>
      <w:r>
        <w:rPr>
          <w:rtl/>
        </w:rPr>
        <w:t>נויברגר</w:t>
      </w:r>
      <w:proofErr w:type="spellEnd"/>
      <w:r>
        <w:rPr>
          <w:rtl/>
        </w:rPr>
        <w:t xml:space="preserve"> סיפר: “ר׳ </w:t>
      </w:r>
      <w:proofErr w:type="spellStart"/>
      <w:r>
        <w:rPr>
          <w:rtl/>
        </w:rPr>
        <w:t>יעקב־יצחק</w:t>
      </w:r>
      <w:proofErr w:type="spellEnd"/>
      <w:r>
        <w:rPr>
          <w:rtl/>
        </w:rPr>
        <w:t xml:space="preserve"> </w:t>
      </w:r>
      <w:proofErr w:type="spellStart"/>
      <w:r>
        <w:rPr>
          <w:rtl/>
        </w:rPr>
        <w:t>רודרמן</w:t>
      </w:r>
      <w:proofErr w:type="spellEnd"/>
      <w:r>
        <w:rPr>
          <w:rtl/>
        </w:rPr>
        <w:t xml:space="preserve"> היה אומר תמיד שכל קיומה של הנהגת התורה בעולם נזקף לזכות הסבא”.</w:t>
      </w:r>
    </w:p>
    <w:p w14:paraId="26B5C5A7" w14:textId="77777777" w:rsidR="00AB3647" w:rsidRDefault="00000000" w:rsidP="007923E9">
      <w:pPr>
        <w:spacing w:after="120" w:line="276" w:lineRule="auto"/>
        <w:ind w:firstLine="283"/>
        <w:jc w:val="both"/>
      </w:pPr>
      <w:r>
        <w:rPr>
          <w:rtl/>
        </w:rPr>
        <w:t xml:space="preserve">ר׳ </w:t>
      </w:r>
      <w:proofErr w:type="spellStart"/>
      <w:r>
        <w:rPr>
          <w:rtl/>
        </w:rPr>
        <w:t>אלעזר־מנחם־מן</w:t>
      </w:r>
      <w:proofErr w:type="spellEnd"/>
      <w:r>
        <w:rPr>
          <w:rtl/>
        </w:rPr>
        <w:t xml:space="preserve"> שך העריך את הסבא באותו אופן, אף שבניגוד למנהיגי התורה האחרים שהובאו לעיל, למד </w:t>
      </w:r>
      <w:proofErr w:type="spellStart"/>
      <w:r>
        <w:rPr>
          <w:rtl/>
        </w:rPr>
        <w:t>בסלבודקה</w:t>
      </w:r>
      <w:proofErr w:type="spellEnd"/>
      <w:r>
        <w:rPr>
          <w:rtl/>
        </w:rPr>
        <w:t xml:space="preserve"> זמן קצר בלבד</w:t>
      </w:r>
      <w:bookmarkStart w:id="5096" w:name="_fnr3777"/>
      <w:r>
        <w:rPr>
          <w:vertAlign w:val="superscript"/>
          <w:rtl/>
        </w:rPr>
        <w:footnoteReference w:id="3785" w:customMarkFollows="0"/>
      </w:r>
      <w:bookmarkEnd w:id="5096"/>
      <w:r>
        <w:rPr>
          <w:rtl/>
        </w:rPr>
        <w:t>. הוא מצא</w:t>
      </w:r>
      <w:bookmarkStart w:id="5097" w:name="_fnr3778"/>
      <w:r>
        <w:rPr>
          <w:vertAlign w:val="superscript"/>
          <w:rtl/>
        </w:rPr>
        <w:footnoteReference w:id="3786" w:customMarkFollows="0"/>
      </w:r>
      <w:bookmarkEnd w:id="5097"/>
      <w:r>
        <w:rPr>
          <w:rtl/>
        </w:rPr>
        <w:t xml:space="preserve"> דמיון בין פול (משה) רייכמן והחברה שלו לבין הנדבן אמיל (עובדיה) לחמן, שחי מאה שנה קודם לכן, והשווה את התחייבותו של ר׳ משה רייכמן לפרוע את החובות שהצטברו בכל הישיבות בישראל</w:t>
      </w:r>
      <w:bookmarkStart w:id="5098" w:name="_fnr3779"/>
      <w:r>
        <w:rPr>
          <w:vertAlign w:val="superscript"/>
          <w:rtl/>
        </w:rPr>
        <w:footnoteReference w:id="3787" w:customMarkFollows="0"/>
      </w:r>
      <w:bookmarkEnd w:id="5098"/>
      <w:r>
        <w:rPr>
          <w:rtl/>
        </w:rPr>
        <w:t xml:space="preserve"> למה שעשה לחמן כשנתן לסבא </w:t>
      </w:r>
      <w:proofErr w:type="spellStart"/>
      <w:r>
        <w:rPr>
          <w:rtl/>
        </w:rPr>
        <w:t>מסלבודקה</w:t>
      </w:r>
      <w:proofErr w:type="spellEnd"/>
      <w:r>
        <w:rPr>
          <w:rtl/>
        </w:rPr>
        <w:t xml:space="preserve"> את הכספים הדרושים למפעלי התורה שלו</w:t>
      </w:r>
      <w:bookmarkStart w:id="5099" w:name="_fnr3780"/>
      <w:r>
        <w:rPr>
          <w:vertAlign w:val="superscript"/>
          <w:rtl/>
        </w:rPr>
        <w:footnoteReference w:id="3788" w:customMarkFollows="0"/>
      </w:r>
      <w:bookmarkEnd w:id="5099"/>
      <w:r>
        <w:rPr>
          <w:rtl/>
        </w:rPr>
        <w:t xml:space="preserve">. וכך קבע ר׳ </w:t>
      </w:r>
      <w:proofErr w:type="spellStart"/>
      <w:r>
        <w:rPr>
          <w:rtl/>
        </w:rPr>
        <w:t>אלעזר־מנחם־מן</w:t>
      </w:r>
      <w:proofErr w:type="spellEnd"/>
      <w:r>
        <w:rPr>
          <w:rtl/>
        </w:rPr>
        <w:t xml:space="preserve"> שך: “בזכות הסבא – באמצעות תלמידיו שחינך ובצירוף הכספים שהזרים לחמן ביד רחבה – מתקיימת כל התורה עד זמננו</w:t>
      </w:r>
      <w:bookmarkStart w:id="5100" w:name="_fnr3781"/>
      <w:r>
        <w:rPr>
          <w:vertAlign w:val="superscript"/>
          <w:rtl/>
        </w:rPr>
        <w:footnoteReference w:id="3789" w:customMarkFollows="0"/>
      </w:r>
      <w:bookmarkEnd w:id="5100"/>
      <w:r>
        <w:rPr>
          <w:rtl/>
        </w:rPr>
        <w:t>; ועתה, בימינו, אפשר לזקוף לזכות בני רייכמן את אותו הדבר”</w:t>
      </w:r>
      <w:bookmarkStart w:id="5101" w:name="_fnr3782"/>
      <w:r>
        <w:rPr>
          <w:vertAlign w:val="superscript"/>
          <w:rtl/>
        </w:rPr>
        <w:footnoteReference w:id="3790" w:customMarkFollows="0"/>
      </w:r>
      <w:bookmarkEnd w:id="5101"/>
      <w:r>
        <w:rPr>
          <w:rtl/>
        </w:rPr>
        <w:t>.</w:t>
      </w:r>
    </w:p>
    <w:p w14:paraId="266C5AA8" w14:textId="77777777" w:rsidR="00AB3647" w:rsidRDefault="00000000" w:rsidP="007923E9">
      <w:pPr>
        <w:spacing w:after="120" w:line="276" w:lineRule="auto"/>
        <w:ind w:firstLine="283"/>
        <w:jc w:val="both"/>
      </w:pPr>
      <w:r>
        <w:rPr>
          <w:rtl/>
        </w:rPr>
        <w:t xml:space="preserve">בשעת השיחה אמר ר׳ </w:t>
      </w:r>
      <w:proofErr w:type="spellStart"/>
      <w:r>
        <w:rPr>
          <w:rtl/>
        </w:rPr>
        <w:t>אלעזר־מנחם־מן</w:t>
      </w:r>
      <w:proofErr w:type="spellEnd"/>
      <w:r>
        <w:rPr>
          <w:rtl/>
        </w:rPr>
        <w:t xml:space="preserve"> שך דבר היסטורי מפתיע על לחמן: “הרווק הזקן שמע את דרשות ר׳ ישראל [</w:t>
      </w:r>
      <w:proofErr w:type="spellStart"/>
      <w:r>
        <w:rPr>
          <w:rtl/>
        </w:rPr>
        <w:t>סלנטר</w:t>
      </w:r>
      <w:proofErr w:type="spellEnd"/>
      <w:r>
        <w:rPr>
          <w:rtl/>
        </w:rPr>
        <w:t xml:space="preserve">] בממל, ותרם שלוש מאות רובל כדי לייסד את כולל קובנה עם ר׳ </w:t>
      </w:r>
      <w:proofErr w:type="spellStart"/>
      <w:r>
        <w:rPr>
          <w:rtl/>
        </w:rPr>
        <w:t>איצל׳ה</w:t>
      </w:r>
      <w:proofErr w:type="spellEnd"/>
      <w:r>
        <w:rPr>
          <w:rtl/>
        </w:rPr>
        <w:t xml:space="preserve"> </w:t>
      </w:r>
      <w:proofErr w:type="spellStart"/>
      <w:r>
        <w:rPr>
          <w:rtl/>
        </w:rPr>
        <w:t>פטרבורגר</w:t>
      </w:r>
      <w:proofErr w:type="spellEnd"/>
      <w:r>
        <w:rPr>
          <w:rtl/>
        </w:rPr>
        <w:t xml:space="preserve"> ור׳ </w:t>
      </w:r>
      <w:proofErr w:type="spellStart"/>
      <w:r>
        <w:rPr>
          <w:rtl/>
        </w:rPr>
        <w:t>נטע־הירש</w:t>
      </w:r>
      <w:proofErr w:type="spellEnd"/>
      <w:r>
        <w:rPr>
          <w:rtl/>
        </w:rPr>
        <w:t xml:space="preserve"> [</w:t>
      </w:r>
      <w:proofErr w:type="spellStart"/>
      <w:r>
        <w:rPr>
          <w:rtl/>
        </w:rPr>
        <w:t>פינקל</w:t>
      </w:r>
      <w:proofErr w:type="spellEnd"/>
      <w:r>
        <w:rPr>
          <w:rtl/>
        </w:rPr>
        <w:t xml:space="preserve">]”. ודאי שמע ר׳ </w:t>
      </w:r>
      <w:proofErr w:type="spellStart"/>
      <w:r>
        <w:rPr>
          <w:rtl/>
        </w:rPr>
        <w:t>אלעזר־מנחם־מן</w:t>
      </w:r>
      <w:proofErr w:type="spellEnd"/>
      <w:r>
        <w:rPr>
          <w:rtl/>
        </w:rPr>
        <w:t xml:space="preserve"> את העובדה הבלתי ידועה הזאת ממקור מוסמך</w:t>
      </w:r>
      <w:bookmarkStart w:id="5102" w:name="_fnr3783"/>
      <w:r>
        <w:rPr>
          <w:vertAlign w:val="superscript"/>
          <w:rtl/>
        </w:rPr>
        <w:footnoteReference w:id="3791" w:customMarkFollows="0"/>
      </w:r>
      <w:bookmarkEnd w:id="5102"/>
      <w:r>
        <w:rPr>
          <w:rtl/>
        </w:rPr>
        <w:t>. מסתבר שבממל סיפר ר׳ ישראל לעובדיה לחמן על חשיבות ייסוד הכולל, כמוזכר בפרק 3, נספח א.</w:t>
      </w:r>
    </w:p>
    <w:p w14:paraId="25DEA158" w14:textId="77777777" w:rsidR="00AB3647" w:rsidRDefault="00000000" w:rsidP="007923E9">
      <w:pPr>
        <w:spacing w:after="120" w:line="276" w:lineRule="auto"/>
        <w:ind w:firstLine="283"/>
        <w:jc w:val="both"/>
      </w:pPr>
      <w:r>
        <w:rPr>
          <w:rtl/>
        </w:rPr>
        <w:t xml:space="preserve">מנגד, תלמידי הסבא </w:t>
      </w:r>
      <w:proofErr w:type="spellStart"/>
      <w:r>
        <w:rPr>
          <w:rtl/>
        </w:rPr>
        <w:t>מסלבודקה</w:t>
      </w:r>
      <w:proofErr w:type="spellEnd"/>
      <w:r>
        <w:rPr>
          <w:rtl/>
        </w:rPr>
        <w:t xml:space="preserve"> סברו שמי שלא למד אצלו חסר במידה מסוימת את הכישרון להנהגת התורה בחברתנו. ר׳ משה חדש סיפר</w:t>
      </w:r>
      <w:bookmarkStart w:id="5103" w:name="_fnr3784"/>
      <w:r>
        <w:rPr>
          <w:vertAlign w:val="superscript"/>
          <w:rtl/>
        </w:rPr>
        <w:footnoteReference w:id="3792" w:customMarkFollows="0"/>
      </w:r>
      <w:bookmarkEnd w:id="5103"/>
      <w:r>
        <w:rPr>
          <w:rtl/>
        </w:rPr>
        <w:t xml:space="preserve"> ששמע מר׳ יצחק </w:t>
      </w:r>
      <w:proofErr w:type="spellStart"/>
      <w:r>
        <w:rPr>
          <w:rtl/>
        </w:rPr>
        <w:t>הוטנר</w:t>
      </w:r>
      <w:proofErr w:type="spellEnd"/>
      <w:r>
        <w:rPr>
          <w:rtl/>
        </w:rPr>
        <w:t xml:space="preserve"> על פגישה שבה השתתפו הוא עצמו, ר׳ אהרן קוטלר, רבנו ופוסק בעל שם עולמי. הפוסק חלק על שלושת האחרים, שכולם היו תלמידי הסבא, בשאלה איזו דרך יש לנקוט בעניין ציבורי מסוים שעמד </w:t>
      </w:r>
      <w:r>
        <w:rPr>
          <w:rtl/>
        </w:rPr>
        <w:lastRenderedPageBreak/>
        <w:t xml:space="preserve">אז על הפרק. כשיצא הפוסק מן החדר אמר אבי: “כמה יותר הייתה אמריקה נהנית אילו למד </w:t>
      </w:r>
      <w:proofErr w:type="spellStart"/>
      <w:r>
        <w:rPr>
          <w:rtl/>
        </w:rPr>
        <w:t>בסלבודקה</w:t>
      </w:r>
      <w:proofErr w:type="spellEnd"/>
      <w:r>
        <w:rPr>
          <w:rtl/>
        </w:rPr>
        <w:t>!”.</w:t>
      </w:r>
    </w:p>
    <w:p w14:paraId="68E07D4A" w14:textId="77777777" w:rsidR="00AB3647" w:rsidRDefault="00000000" w:rsidP="007923E9">
      <w:pPr>
        <w:spacing w:after="120" w:line="276" w:lineRule="auto"/>
        <w:ind w:firstLine="283"/>
        <w:jc w:val="both"/>
      </w:pPr>
      <w:r>
        <w:rPr>
          <w:rtl/>
        </w:rPr>
        <w:t xml:space="preserve">גרסה אחרת של אמירה זו – או תוספת חריפה יותר עליה – סיפר ר׳ ראובן </w:t>
      </w:r>
      <w:proofErr w:type="spellStart"/>
      <w:r>
        <w:rPr>
          <w:rtl/>
        </w:rPr>
        <w:t>לויכטר</w:t>
      </w:r>
      <w:bookmarkStart w:id="5104" w:name="_fnr3785"/>
      <w:proofErr w:type="spellEnd"/>
      <w:r>
        <w:rPr>
          <w:vertAlign w:val="superscript"/>
          <w:rtl/>
        </w:rPr>
        <w:footnoteReference w:id="3793" w:customMarkFollows="0"/>
      </w:r>
      <w:bookmarkEnd w:id="5104"/>
      <w:r>
        <w:rPr>
          <w:rtl/>
        </w:rPr>
        <w:t xml:space="preserve"> בשם ר׳ שלמה </w:t>
      </w:r>
      <w:proofErr w:type="spellStart"/>
      <w:r>
        <w:rPr>
          <w:rtl/>
        </w:rPr>
        <w:t>וולבה</w:t>
      </w:r>
      <w:proofErr w:type="spellEnd"/>
      <w:r>
        <w:rPr>
          <w:rtl/>
        </w:rPr>
        <w:t xml:space="preserve">: ר׳ יצחק </w:t>
      </w:r>
      <w:proofErr w:type="spellStart"/>
      <w:r>
        <w:rPr>
          <w:rtl/>
        </w:rPr>
        <w:t>הוטנר</w:t>
      </w:r>
      <w:proofErr w:type="spellEnd"/>
      <w:r>
        <w:rPr>
          <w:rtl/>
        </w:rPr>
        <w:t xml:space="preserve"> סיפר לו שהוא ורבנו הלכו פעם לבית הפוסק לדון בהתבטאויות פסולות של חוג אורתודוקסי מסוים, ולא הצליחו להזיז את הפוסק מעמדתו שלא לגנותן. בדרך הביתה מתח אבי ביקורת קשה על הפוסק, ואמר לבן לווייתו שכנראה מי שלא למד אצל הסבא חסר את ההכשרה להיות מנהיג ראוי.</w:t>
      </w:r>
    </w:p>
    <w:p w14:paraId="0733754D" w14:textId="77777777" w:rsidR="00AB3647" w:rsidRDefault="00000000" w:rsidP="007923E9">
      <w:pPr>
        <w:spacing w:after="120" w:line="276" w:lineRule="auto"/>
        <w:ind w:firstLine="283"/>
        <w:jc w:val="both"/>
      </w:pPr>
      <w:r>
        <w:rPr>
          <w:rtl/>
        </w:rPr>
        <w:t>על מחלוקת זו השווה כרך 3: מאחר שלא הייתה הסכמה כללית על גינוי, פרש רבנו מאגודת הרבנים והיה שותף מרכזי בייסוד ארגון רבנים חלופי, מרכז הרבנים. אבל הארגון לא האריך ימים, מפני ששני ארגוני הרבנים ילידי אירופה כבר היו אז בנסיגה. יש להדגיש גם שביקורת אבי לא פגעה כלל בחיבה ובהערצה שרחש לאותו פוסק באופן אישי</w:t>
      </w:r>
      <w:bookmarkStart w:id="5105" w:name="_fnr3786"/>
      <w:r>
        <w:rPr>
          <w:vertAlign w:val="superscript"/>
          <w:rtl/>
        </w:rPr>
        <w:footnoteReference w:id="3794" w:customMarkFollows="0"/>
      </w:r>
      <w:bookmarkEnd w:id="5105"/>
      <w:r>
        <w:rPr>
          <w:rtl/>
        </w:rPr>
        <w:t>.</w:t>
      </w:r>
    </w:p>
    <w:p w14:paraId="5C27B049" w14:textId="77777777" w:rsidR="00AB3647" w:rsidRDefault="00000000" w:rsidP="007923E9">
      <w:pPr>
        <w:spacing w:after="120" w:line="276" w:lineRule="auto"/>
        <w:ind w:firstLine="283"/>
        <w:jc w:val="both"/>
      </w:pPr>
      <w:r>
        <w:rPr>
          <w:rtl/>
        </w:rPr>
        <w:t xml:space="preserve">מאמר </w:t>
      </w:r>
      <w:proofErr w:type="spellStart"/>
      <w:r>
        <w:rPr>
          <w:rtl/>
        </w:rPr>
        <w:t>ב“תבונה</w:t>
      </w:r>
      <w:proofErr w:type="spellEnd"/>
      <w:r>
        <w:rPr>
          <w:rtl/>
        </w:rPr>
        <w:t>”</w:t>
      </w:r>
      <w:bookmarkStart w:id="5106" w:name="_fnr3787"/>
      <w:r>
        <w:rPr>
          <w:vertAlign w:val="superscript"/>
          <w:rtl/>
        </w:rPr>
        <w:footnoteReference w:id="3795" w:customMarkFollows="0"/>
      </w:r>
      <w:bookmarkEnd w:id="5106"/>
      <w:r>
        <w:rPr>
          <w:rtl/>
        </w:rPr>
        <w:t xml:space="preserve"> מאת רב </w:t>
      </w:r>
      <w:proofErr w:type="spellStart"/>
      <w:r>
        <w:rPr>
          <w:rtl/>
        </w:rPr>
        <w:t>קופישוק</w:t>
      </w:r>
      <w:proofErr w:type="spellEnd"/>
      <w:r>
        <w:rPr>
          <w:rtl/>
        </w:rPr>
        <w:t xml:space="preserve">, ר׳ </w:t>
      </w:r>
      <w:proofErr w:type="spellStart"/>
      <w:r>
        <w:rPr>
          <w:rtl/>
        </w:rPr>
        <w:t>אליהו־מאיר</w:t>
      </w:r>
      <w:proofErr w:type="spellEnd"/>
      <w:r>
        <w:rPr>
          <w:rtl/>
        </w:rPr>
        <w:t xml:space="preserve"> </w:t>
      </w:r>
      <w:proofErr w:type="spellStart"/>
      <w:r>
        <w:rPr>
          <w:rtl/>
        </w:rPr>
        <w:t>פייבלזון</w:t>
      </w:r>
      <w:proofErr w:type="spellEnd"/>
      <w:r>
        <w:rPr>
          <w:rtl/>
        </w:rPr>
        <w:t xml:space="preserve">, מגלה שר׳ עובדיה לחמן נתן את תרומותיו הגדולות בתנאי ששמו לא יתגלה. הכותב מכנה אותו “הטמיר ונעלם”. גם ר׳ </w:t>
      </w:r>
      <w:proofErr w:type="spellStart"/>
      <w:r>
        <w:rPr>
          <w:rtl/>
        </w:rPr>
        <w:t>יחיאל־יעקב</w:t>
      </w:r>
      <w:proofErr w:type="spellEnd"/>
      <w:r>
        <w:rPr>
          <w:rtl/>
        </w:rPr>
        <w:t xml:space="preserve"> ויינברג, </w:t>
      </w:r>
      <w:proofErr w:type="spellStart"/>
      <w:r>
        <w:rPr>
          <w:rtl/>
        </w:rPr>
        <w:t>ב“נתוני</w:t>
      </w:r>
      <w:proofErr w:type="spellEnd"/>
      <w:r>
        <w:rPr>
          <w:rtl/>
        </w:rPr>
        <w:t xml:space="preserve"> </w:t>
      </w:r>
      <w:proofErr w:type="spellStart"/>
      <w:r>
        <w:rPr>
          <w:rtl/>
        </w:rPr>
        <w:t>סלבודקה</w:t>
      </w:r>
      <w:proofErr w:type="spellEnd"/>
      <w:r>
        <w:rPr>
          <w:rtl/>
        </w:rPr>
        <w:t>”</w:t>
      </w:r>
      <w:bookmarkStart w:id="5107" w:name="_fnr3788"/>
      <w:r>
        <w:rPr>
          <w:vertAlign w:val="superscript"/>
          <w:rtl/>
        </w:rPr>
        <w:footnoteReference w:id="3796" w:customMarkFollows="0"/>
      </w:r>
      <w:bookmarkEnd w:id="5107"/>
      <w:r>
        <w:rPr>
          <w:rtl/>
        </w:rPr>
        <w:t xml:space="preserve">, מפליג בשבחו: “שום קרבן על מזבח אהבת התורה לא היה גדול מדי בעבורו, וכל ימיו ניסה להסתיר את מעשי צדקתו הרבים ולכסותם באדרת הענווה הטהורה הטבועה </w:t>
      </w:r>
      <w:proofErr w:type="spellStart"/>
      <w:r>
        <w:rPr>
          <w:rtl/>
        </w:rPr>
        <w:t>ב‘צדיק</w:t>
      </w:r>
      <w:proofErr w:type="spellEnd"/>
      <w:r>
        <w:rPr>
          <w:rtl/>
        </w:rPr>
        <w:t xml:space="preserve"> היהודי’”.</w:t>
      </w:r>
    </w:p>
    <w:p w14:paraId="79A2CBE3" w14:textId="77777777" w:rsidR="00AB3647" w:rsidRDefault="00000000" w:rsidP="007923E9">
      <w:pPr>
        <w:spacing w:after="120" w:line="276" w:lineRule="auto"/>
        <w:ind w:firstLine="283"/>
        <w:jc w:val="both"/>
      </w:pPr>
      <w:r>
        <w:rPr>
          <w:rtl/>
        </w:rPr>
        <w:t xml:space="preserve">מסתבר שלחמן נתן כספים גם למקובל בעל השם העולמי ר׳ שלמה אלישיב, להוצאת ספריו. על היכרותו של ר׳ עובדיה לחמן עם ר׳ שלמה מעיד מאמר </w:t>
      </w:r>
      <w:proofErr w:type="spellStart"/>
      <w:r>
        <w:rPr>
          <w:rtl/>
        </w:rPr>
        <w:t>מתשי״א</w:t>
      </w:r>
      <w:proofErr w:type="spellEnd"/>
      <w:r>
        <w:rPr>
          <w:rtl/>
        </w:rPr>
        <w:t xml:space="preserve"> מאת ר׳ </w:t>
      </w:r>
      <w:proofErr w:type="spellStart"/>
      <w:r>
        <w:rPr>
          <w:rtl/>
        </w:rPr>
        <w:t>צבי־הירש</w:t>
      </w:r>
      <w:proofErr w:type="spellEnd"/>
      <w:r>
        <w:rPr>
          <w:rtl/>
        </w:rPr>
        <w:t xml:space="preserve"> פרבר</w:t>
      </w:r>
      <w:bookmarkStart w:id="5108" w:name="_fnr3789"/>
      <w:r>
        <w:rPr>
          <w:vertAlign w:val="superscript"/>
          <w:rtl/>
        </w:rPr>
        <w:footnoteReference w:id="3797" w:customMarkFollows="0"/>
      </w:r>
      <w:bookmarkEnd w:id="5108"/>
      <w:r>
        <w:rPr>
          <w:rtl/>
        </w:rPr>
        <w:t xml:space="preserve">. ר׳ </w:t>
      </w:r>
      <w:proofErr w:type="spellStart"/>
      <w:r>
        <w:rPr>
          <w:rtl/>
        </w:rPr>
        <w:t>צבי־הירש</w:t>
      </w:r>
      <w:proofErr w:type="spellEnd"/>
      <w:r>
        <w:rPr>
          <w:rtl/>
        </w:rPr>
        <w:t xml:space="preserve"> פרבר כבר גילה מידע זה במכתב ששלח </w:t>
      </w:r>
      <w:proofErr w:type="spellStart"/>
      <w:r>
        <w:rPr>
          <w:rtl/>
        </w:rPr>
        <w:t>לר</w:t>
      </w:r>
      <w:proofErr w:type="spellEnd"/>
      <w:r>
        <w:rPr>
          <w:rtl/>
        </w:rPr>
        <w:t xml:space="preserve">׳ אריה לוין בסוף שנות </w:t>
      </w:r>
      <w:proofErr w:type="spellStart"/>
      <w:r>
        <w:rPr>
          <w:rtl/>
        </w:rPr>
        <w:t>התר״פ</w:t>
      </w:r>
      <w:proofErr w:type="spellEnd"/>
      <w:r>
        <w:rPr>
          <w:rtl/>
        </w:rPr>
        <w:t>, ובו הערות לסקירה הביוגרפית על ר׳ שלמה אלישיב, שפרסם ר׳ אריה לוין אחרי פטירת המקובל</w:t>
      </w:r>
      <w:bookmarkStart w:id="5109" w:name="_fnr3790"/>
      <w:r>
        <w:rPr>
          <w:vertAlign w:val="superscript"/>
          <w:rtl/>
        </w:rPr>
        <w:footnoteReference w:id="3798" w:customMarkFollows="0"/>
      </w:r>
      <w:bookmarkEnd w:id="5109"/>
      <w:r>
        <w:rPr>
          <w:rtl/>
        </w:rPr>
        <w:t xml:space="preserve">. מסתבר שר׳ </w:t>
      </w:r>
      <w:proofErr w:type="spellStart"/>
      <w:r>
        <w:rPr>
          <w:rtl/>
        </w:rPr>
        <w:t>צבי־הירש</w:t>
      </w:r>
      <w:proofErr w:type="spellEnd"/>
      <w:r>
        <w:rPr>
          <w:rtl/>
        </w:rPr>
        <w:t xml:space="preserve"> פרבר עמד על היכרותו של ר׳ שלמה אלישיב עם לחמן בביקור </w:t>
      </w:r>
      <w:proofErr w:type="spellStart"/>
      <w:r>
        <w:rPr>
          <w:rtl/>
        </w:rPr>
        <w:t>ש“זכה</w:t>
      </w:r>
      <w:proofErr w:type="spellEnd"/>
      <w:r>
        <w:rPr>
          <w:rtl/>
        </w:rPr>
        <w:t xml:space="preserve">” לו אצל ר׳ שלמה </w:t>
      </w:r>
      <w:proofErr w:type="spellStart"/>
      <w:r>
        <w:rPr>
          <w:rtl/>
        </w:rPr>
        <w:t>ה“אלוקי</w:t>
      </w:r>
      <w:proofErr w:type="spellEnd"/>
      <w:r>
        <w:rPr>
          <w:rtl/>
        </w:rPr>
        <w:t xml:space="preserve">”, בבית מדרשו הפרטי </w:t>
      </w:r>
      <w:proofErr w:type="spellStart"/>
      <w:r>
        <w:rPr>
          <w:rtl/>
        </w:rPr>
        <w:t>בשאוול</w:t>
      </w:r>
      <w:proofErr w:type="spellEnd"/>
      <w:r>
        <w:rPr>
          <w:rtl/>
        </w:rPr>
        <w:t xml:space="preserve">, כפי שמתאר ר׳ </w:t>
      </w:r>
      <w:proofErr w:type="spellStart"/>
      <w:r>
        <w:rPr>
          <w:rtl/>
        </w:rPr>
        <w:t>צבי־הירש</w:t>
      </w:r>
      <w:bookmarkStart w:id="5110" w:name="_fnr3791"/>
      <w:proofErr w:type="spellEnd"/>
      <w:r>
        <w:rPr>
          <w:vertAlign w:val="superscript"/>
          <w:rtl/>
        </w:rPr>
        <w:footnoteReference w:id="3799" w:customMarkFollows="0"/>
      </w:r>
      <w:bookmarkEnd w:id="5110"/>
      <w:r>
        <w:rPr>
          <w:rtl/>
        </w:rPr>
        <w:t>.</w:t>
      </w:r>
    </w:p>
    <w:p w14:paraId="7574CED4" w14:textId="77777777" w:rsidR="00AB3647" w:rsidRDefault="00000000" w:rsidP="007923E9">
      <w:pPr>
        <w:spacing w:after="120" w:line="276" w:lineRule="auto"/>
        <w:ind w:firstLine="283"/>
        <w:jc w:val="both"/>
      </w:pPr>
      <w:r>
        <w:rPr>
          <w:rtl/>
        </w:rPr>
        <w:t xml:space="preserve">מאחר שלחמן היה “טמיר ונעלם” כל כך במתן צדקתו, אפשר להניח שר׳ שלמה אלישיב לא היה רשאי לחשוף את תמיכתו החשאית עד אחרי פטירתו, כלומר בתחילת כסלו תרע״ב – בדיוק בזמן שבו ביקר ר׳ </w:t>
      </w:r>
      <w:proofErr w:type="spellStart"/>
      <w:r>
        <w:rPr>
          <w:rtl/>
        </w:rPr>
        <w:t>צבי־הירש</w:t>
      </w:r>
      <w:proofErr w:type="spellEnd"/>
      <w:r>
        <w:rPr>
          <w:rtl/>
        </w:rPr>
        <w:t xml:space="preserve"> פרבר, שעמד לעזוב את ליטא, אצל החכם בן השבעים </w:t>
      </w:r>
      <w:r>
        <w:rPr>
          <w:rtl/>
        </w:rPr>
        <w:lastRenderedPageBreak/>
        <w:t>משאוול ושאל את דעתו על המעבר</w:t>
      </w:r>
      <w:bookmarkStart w:id="5111" w:name="_fnr3792"/>
      <w:r>
        <w:rPr>
          <w:vertAlign w:val="superscript"/>
          <w:rtl/>
        </w:rPr>
        <w:footnoteReference w:id="3800" w:customMarkFollows="0"/>
      </w:r>
      <w:bookmarkEnd w:id="5111"/>
      <w:r>
        <w:rPr>
          <w:rtl/>
        </w:rPr>
        <w:t xml:space="preserve">. אבל קביעתו של ר׳ </w:t>
      </w:r>
      <w:proofErr w:type="spellStart"/>
      <w:r>
        <w:rPr>
          <w:rtl/>
        </w:rPr>
        <w:t>צבי־הירש</w:t>
      </w:r>
      <w:proofErr w:type="spellEnd"/>
      <w:r>
        <w:rPr>
          <w:rtl/>
        </w:rPr>
        <w:t xml:space="preserve"> פרבר</w:t>
      </w:r>
      <w:bookmarkStart w:id="5112" w:name="_fnr3793"/>
      <w:r>
        <w:rPr>
          <w:vertAlign w:val="superscript"/>
          <w:rtl/>
        </w:rPr>
        <w:footnoteReference w:id="3801" w:customMarkFollows="0"/>
      </w:r>
      <w:bookmarkEnd w:id="5112"/>
      <w:r>
        <w:rPr>
          <w:rtl/>
        </w:rPr>
        <w:t xml:space="preserve"> שלחמן היה התורם האלמוני שמאחורי הוצאת כתבי היד של הגאון מווילנה – שהכין ר׳ שלמה אלישיב לפרסום בידי ר׳ שמואל לוריא בין תר״מ </w:t>
      </w:r>
      <w:proofErr w:type="spellStart"/>
      <w:r>
        <w:rPr>
          <w:rtl/>
        </w:rPr>
        <w:t>לתר״נ</w:t>
      </w:r>
      <w:proofErr w:type="spellEnd"/>
      <w:r>
        <w:rPr>
          <w:rtl/>
        </w:rPr>
        <w:t xml:space="preserve"> – נראית בלתי נכונה, מפני שתקופה זו הייתה קרובה מדי לראשית היכרותו של לחמן עם עולם התורה הליטאי</w:t>
      </w:r>
      <w:bookmarkStart w:id="5113" w:name="_fnr3794"/>
      <w:r>
        <w:rPr>
          <w:vertAlign w:val="superscript"/>
          <w:rtl/>
        </w:rPr>
        <w:footnoteReference w:id="3802" w:customMarkFollows="0"/>
      </w:r>
      <w:bookmarkEnd w:id="5113"/>
      <w:r>
        <w:rPr>
          <w:rtl/>
        </w:rPr>
        <w:t xml:space="preserve"> מכדי שיהיה מעורב בקבלה.</w:t>
      </w:r>
    </w:p>
    <w:p w14:paraId="1D2F9587" w14:textId="77777777" w:rsidR="00AB3647" w:rsidRDefault="00000000" w:rsidP="007923E9">
      <w:pPr>
        <w:spacing w:after="120" w:line="276" w:lineRule="auto"/>
        <w:ind w:firstLine="283"/>
        <w:jc w:val="both"/>
      </w:pPr>
      <w:r>
        <w:rPr>
          <w:rtl/>
        </w:rPr>
        <w:t xml:space="preserve">יש עדות מפי ר׳ ירוחם </w:t>
      </w:r>
      <w:proofErr w:type="spellStart"/>
      <w:r>
        <w:rPr>
          <w:rtl/>
        </w:rPr>
        <w:t>ליבוביץ</w:t>
      </w:r>
      <w:bookmarkStart w:id="5114" w:name="_fnr3795"/>
      <w:proofErr w:type="spellEnd"/>
      <w:r>
        <w:rPr>
          <w:vertAlign w:val="superscript"/>
          <w:rtl/>
        </w:rPr>
        <w:footnoteReference w:id="3803" w:customMarkFollows="0"/>
      </w:r>
      <w:bookmarkEnd w:id="5114"/>
      <w:r>
        <w:rPr>
          <w:rtl/>
        </w:rPr>
        <w:t xml:space="preserve"> שר׳ שלמה אלישיב שוחח עם ר׳ ישראל </w:t>
      </w:r>
      <w:proofErr w:type="spellStart"/>
      <w:r>
        <w:rPr>
          <w:rtl/>
        </w:rPr>
        <w:t>סלנטר</w:t>
      </w:r>
      <w:bookmarkStart w:id="5115" w:name="_fnr3796"/>
      <w:proofErr w:type="spellEnd"/>
      <w:r>
        <w:rPr>
          <w:vertAlign w:val="superscript"/>
          <w:rtl/>
        </w:rPr>
        <w:footnoteReference w:id="3804" w:customMarkFollows="0"/>
      </w:r>
      <w:bookmarkEnd w:id="5115"/>
      <w:r>
        <w:rPr>
          <w:rtl/>
        </w:rPr>
        <w:t>. בשיחה בחורף תרפ״ח סיפר ר׳ ירוחם: “ר׳ שלמה אלישיב נסע פעם עם ר׳ ישראל, ואזר אומץ לשאול מדוע אינו לומד קבלה. ר׳ ישראל השיב: ‘מה אכפת לי באיזה רקיע שוכן אלוהים? דבר אחד אני יודע: ש[החוטא] יוכה במקלות, והדבר יכאב מאוד. שהמכות יהיו של אש, זאת אני יודע בבירור – ומה עוד [צריך לעניין אותי]?’”</w:t>
      </w:r>
      <w:bookmarkStart w:id="5116" w:name="_fnr3797"/>
      <w:bookmarkStart w:id="5117" w:name="pr_f_3687"/>
      <w:r>
        <w:rPr>
          <w:vertAlign w:val="superscript"/>
          <w:rtl/>
        </w:rPr>
        <w:footnoteReference w:id="3805" w:customMarkFollows="0"/>
      </w:r>
      <w:bookmarkEnd w:id="5116"/>
      <w:bookmarkEnd w:id="5117"/>
      <w:r>
        <w:rPr>
          <w:rtl/>
        </w:rPr>
        <w:t>.</w:t>
      </w:r>
    </w:p>
    <w:p w14:paraId="45880EEB" w14:textId="77777777" w:rsidR="00AB3647" w:rsidRDefault="00000000" w:rsidP="007923E9">
      <w:pPr>
        <w:spacing w:after="120" w:line="276" w:lineRule="auto"/>
        <w:ind w:firstLine="283"/>
        <w:jc w:val="both"/>
      </w:pPr>
      <w:r>
        <w:rPr>
          <w:rtl/>
        </w:rPr>
        <w:t xml:space="preserve">אבל לא יעלה על הדעת שכשפגש ר׳ ישראל את לחמן בממל, המליץ לפניו על ר׳ שלמה אלישיב כראוי לקבל את צדקתו של הנדבן – ולא רק בגלל הטעם שנתן ר׳ ישראל לכך שהוא עצמו אינו לומד קבלה, אלא מפני שבתחילת שנות </w:t>
      </w:r>
      <w:proofErr w:type="spellStart"/>
      <w:r>
        <w:rPr>
          <w:rtl/>
        </w:rPr>
        <w:t>התר״מ</w:t>
      </w:r>
      <w:proofErr w:type="spellEnd"/>
      <w:r>
        <w:rPr>
          <w:rtl/>
        </w:rPr>
        <w:t xml:space="preserve"> היה צורך להכיר ללחמן עניינים יסודיים יותר ביהדות מן הקבלה. לכן אין שום סיבה להניח שר׳ ישראל הזכיר את שמו של ר׳ שלמה אלישיב לפני לחמן כלל. מסתבר, אם כן, שהיכרות לחמן עם ר׳ שלמה אלישיב החלה רק יותר מעשרים שנה אחרי פטירת ר׳ ישראל, כלומר באמצע שנות </w:t>
      </w:r>
      <w:proofErr w:type="spellStart"/>
      <w:r>
        <w:rPr>
          <w:rtl/>
        </w:rPr>
        <w:t>התר״ס</w:t>
      </w:r>
      <w:proofErr w:type="spellEnd"/>
      <w:r>
        <w:rPr>
          <w:rtl/>
        </w:rPr>
        <w:t>, כשביקר הנדבן בליטא, כמובא בפרק 3, הפסקה הראשונה של נספח א.</w:t>
      </w:r>
    </w:p>
    <w:p w14:paraId="0FB13407"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שהסיק שלחמן מימן באמצעות ר׳ שלמה אלישיב את הוצאת כתבי הגאון בשנות </w:t>
      </w:r>
      <w:proofErr w:type="spellStart"/>
      <w:r>
        <w:rPr>
          <w:rtl/>
        </w:rPr>
        <w:t>התר״מ</w:t>
      </w:r>
      <w:proofErr w:type="spellEnd"/>
      <w:r>
        <w:rPr>
          <w:rtl/>
        </w:rPr>
        <w:t xml:space="preserve">, מוכרח שלא הבין כראוי את מה שסיפר לו ר׳ שלמה. אפשר שהטעות נוצרה כך: אחרי שקיבל את ר׳ </w:t>
      </w:r>
      <w:proofErr w:type="spellStart"/>
      <w:r>
        <w:rPr>
          <w:rtl/>
        </w:rPr>
        <w:t>צבי־הירש</w:t>
      </w:r>
      <w:proofErr w:type="spellEnd"/>
      <w:r>
        <w:rPr>
          <w:rtl/>
        </w:rPr>
        <w:t xml:space="preserve"> בסבר פנים יפות</w:t>
      </w:r>
      <w:bookmarkStart w:id="5118" w:name="_fnr3798"/>
      <w:r>
        <w:rPr>
          <w:vertAlign w:val="superscript"/>
          <w:rtl/>
        </w:rPr>
        <w:footnoteReference w:id="3806" w:customMarkFollows="0"/>
      </w:r>
      <w:bookmarkEnd w:id="5118"/>
      <w:r>
        <w:rPr>
          <w:rtl/>
        </w:rPr>
        <w:t xml:space="preserve">, דן עמו המקובל הן בספרי הגאון מווילנה, שאת כתבי ידו “זיקק, בירר וטיהר” ר׳ שלמה, כמו שמספר מאמרו של ר׳ </w:t>
      </w:r>
      <w:proofErr w:type="spellStart"/>
      <w:r>
        <w:rPr>
          <w:rtl/>
        </w:rPr>
        <w:t>צבי־הירש</w:t>
      </w:r>
      <w:proofErr w:type="spellEnd"/>
      <w:r>
        <w:rPr>
          <w:rtl/>
        </w:rPr>
        <w:t xml:space="preserve"> פרבר </w:t>
      </w:r>
      <w:proofErr w:type="spellStart"/>
      <w:r>
        <w:rPr>
          <w:rtl/>
        </w:rPr>
        <w:t>ב“תלפיות</w:t>
      </w:r>
      <w:proofErr w:type="spellEnd"/>
      <w:r>
        <w:rPr>
          <w:rtl/>
        </w:rPr>
        <w:t xml:space="preserve">”, והן בספריו שלו, שהשני מהם יצא אז זה עתה מבית הדפוס, בתחילת </w:t>
      </w:r>
      <w:r>
        <w:rPr>
          <w:rtl/>
        </w:rPr>
        <w:lastRenderedPageBreak/>
        <w:t xml:space="preserve">תרע״ב. כשציין ר׳ שלמה שהתורם האלמוני להוצאת הספרים היה הגביר ר׳ עובדיה לחמן, שזה עתה נפטר, חשב ר׳ </w:t>
      </w:r>
      <w:proofErr w:type="spellStart"/>
      <w:r>
        <w:rPr>
          <w:rtl/>
        </w:rPr>
        <w:t>צבי־הירש</w:t>
      </w:r>
      <w:proofErr w:type="spellEnd"/>
      <w:r>
        <w:rPr>
          <w:rtl/>
        </w:rPr>
        <w:t xml:space="preserve"> בטעות שבן שיחו מתכוון לספרי הגאון [שגם להם מצא ר׳ שלמה אלישיב תורם בעבור ר׳ שמואל לוריא], ובאמת דיבר על ספריו שלו</w:t>
      </w:r>
      <w:bookmarkStart w:id="5119" w:name="_fnr3799"/>
      <w:r>
        <w:rPr>
          <w:vertAlign w:val="superscript"/>
          <w:rtl/>
        </w:rPr>
        <w:footnoteReference w:id="3807" w:customMarkFollows="0"/>
      </w:r>
      <w:bookmarkEnd w:id="5119"/>
      <w:r>
        <w:rPr>
          <w:rtl/>
        </w:rPr>
        <w:t>.</w:t>
      </w:r>
    </w:p>
    <w:p w14:paraId="1C259E2D" w14:textId="77777777" w:rsidR="00AB3647" w:rsidRDefault="00000000" w:rsidP="007923E9">
      <w:pPr>
        <w:spacing w:after="120" w:line="276" w:lineRule="auto"/>
        <w:ind w:firstLine="283"/>
        <w:jc w:val="both"/>
      </w:pPr>
      <w:r>
        <w:rPr>
          <w:rtl/>
        </w:rPr>
        <w:t xml:space="preserve">ההקדמה לכרך “ספר </w:t>
      </w:r>
      <w:proofErr w:type="spellStart"/>
      <w:r>
        <w:rPr>
          <w:rtl/>
        </w:rPr>
        <w:t>הדע״ה</w:t>
      </w:r>
      <w:proofErr w:type="spellEnd"/>
      <w:r>
        <w:rPr>
          <w:rtl/>
        </w:rPr>
        <w:t xml:space="preserve"> [הוא דרושי עולם התוהו]” מן החיבור הקבלי הגדול “לשם שבו ואחלמה”, מאת “שלמה </w:t>
      </w:r>
      <w:proofErr w:type="spellStart"/>
      <w:r>
        <w:rPr>
          <w:rtl/>
        </w:rPr>
        <w:t>ב״ר</w:t>
      </w:r>
      <w:proofErr w:type="spellEnd"/>
      <w:r>
        <w:rPr>
          <w:rtl/>
        </w:rPr>
        <w:t xml:space="preserve"> חיים </w:t>
      </w:r>
      <w:proofErr w:type="spellStart"/>
      <w:r>
        <w:rPr>
          <w:rtl/>
        </w:rPr>
        <w:t>חייקיל</w:t>
      </w:r>
      <w:proofErr w:type="spellEnd"/>
      <w:r>
        <w:rPr>
          <w:rtl/>
        </w:rPr>
        <w:t xml:space="preserve"> [אלישיב]”</w:t>
      </w:r>
      <w:bookmarkStart w:id="5120" w:name="_fnr3800"/>
      <w:r>
        <w:rPr>
          <w:vertAlign w:val="superscript"/>
          <w:rtl/>
        </w:rPr>
        <w:footnoteReference w:id="3808" w:customMarkFollows="0"/>
      </w:r>
      <w:bookmarkEnd w:id="5120"/>
      <w:r>
        <w:rPr>
          <w:rtl/>
        </w:rPr>
        <w:t xml:space="preserve">, אומרת: “זיכרון תודה, טובה וברכה לגביר, המרומם בזכויות רבות, המצטיין ועולה במידת צדקתו, המבקש צדקה וחסד ואוצר אוצרות למעלה, אשר גם עליי האציל מברכתו בהיותו בין התומכים בי בהוצאה הגדולה של הדפסת הספר הזה. מאחר שמעשיו בכל רוח צדקתו הטהורה הם לשם שמים, </w:t>
      </w:r>
      <w:r>
        <w:rPr>
          <w:bCs/>
          <w:rtl/>
        </w:rPr>
        <w:t xml:space="preserve">הנה חפצו ורצונו הוא שלא לקבוע שמו בדפוס </w:t>
      </w:r>
      <w:r>
        <w:rPr>
          <w:b/>
          <w:bCs/>
          <w:rtl/>
        </w:rPr>
        <w:t>כיון</w:t>
      </w:r>
      <w:r>
        <w:rPr>
          <w:rtl/>
        </w:rPr>
        <w:t xml:space="preserve"> (ההדגשה שלי)”. ר׳ שלמה אלישיב (תר״א–תרפ״ח)</w:t>
      </w:r>
      <w:bookmarkStart w:id="5121" w:name="_fnr3801"/>
      <w:bookmarkEnd w:id="5121"/>
      <w:r>
        <w:rPr>
          <w:rStyle w:val="a5"/>
        </w:rPr>
        <w:t/>
      </w:r>
      <w:bookmarkStart w:id="7038" w:name="_TranslatorNote_3799"/>
      <w:r>
        <w:rPr>
          <w:rStyle w:val="a5"/>
          <w:vertAlign w:val="superscript"/>
          <w:rtl/>
        </w:rPr>
        <w:footnoteReference w:id="3809" w:customMarkFollows="1"/>
        <w:t>*</w:t>
      </w:r>
      <w:bookmarkEnd w:id="7038"/>
      <w:r>
        <w:rPr>
          <w:rtl/>
        </w:rPr>
        <w:t xml:space="preserve"> מוסיף ומביא את שמותיהם העבריים של הורי התורם האלמוני, שביקש להנציח אותם ואת ימי היארצייט שלהם.</w:t>
      </w:r>
    </w:p>
    <w:p w14:paraId="6A31EF93" w14:textId="77777777" w:rsidR="00AB3647" w:rsidRDefault="00000000" w:rsidP="007923E9">
      <w:pPr>
        <w:spacing w:after="120" w:line="276" w:lineRule="auto"/>
        <w:ind w:firstLine="283"/>
        <w:jc w:val="both"/>
      </w:pPr>
      <w:r>
        <w:rPr>
          <w:rtl/>
        </w:rPr>
        <w:t>המילה המודגשת מורה ששמו של המיטיב נרמז, אף שלא נכתב במפורש [“כיון”]. אבל היכן? ר׳ שלמה אלישיב הקדוש ביאר מדוע קרא לחיבורו “לשם שבו ואחלמה” במילים “כי שמי בקרבו”. לדעתי, פירוש דבריו</w:t>
      </w:r>
      <w:bookmarkStart w:id="5122" w:name="_fnr3802"/>
      <w:r>
        <w:rPr>
          <w:vertAlign w:val="superscript"/>
          <w:rtl/>
        </w:rPr>
        <w:footnoteReference w:id="3810" w:customMarkFollows="0"/>
      </w:r>
      <w:bookmarkEnd w:id="5122"/>
      <w:r>
        <w:rPr>
          <w:rtl/>
        </w:rPr>
        <w:t xml:space="preserve"> הוא שבמילים “לשם שבו” נמצאות אותיות שם המחבר, שלמה אלישיב</w:t>
      </w:r>
      <w:bookmarkStart w:id="5123" w:name="_fnr3803"/>
      <w:r>
        <w:rPr>
          <w:vertAlign w:val="superscript"/>
          <w:rtl/>
        </w:rPr>
        <w:footnoteReference w:id="3811" w:customMarkFollows="0"/>
      </w:r>
      <w:bookmarkEnd w:id="5123"/>
      <w:r>
        <w:rPr>
          <w:rtl/>
        </w:rPr>
        <w:t>, ובמילה “אחלמה” נמצאות [רוב] אותיות שם התומך, לחמן.</w:t>
      </w:r>
    </w:p>
    <w:p w14:paraId="18C0C255" w14:textId="77777777" w:rsidR="00AB3647" w:rsidRDefault="00000000" w:rsidP="007923E9">
      <w:pPr>
        <w:spacing w:after="120" w:line="276" w:lineRule="auto"/>
        <w:ind w:firstLine="283"/>
        <w:jc w:val="both"/>
      </w:pPr>
      <w:r>
        <w:rPr>
          <w:rtl/>
        </w:rPr>
        <w:t>את השם “לחמן” אפשר בקלות לתעתק לצורה של המילה העברית “לחם”, כפי שעשה “ש. רוזנפלד”</w:t>
      </w:r>
      <w:bookmarkStart w:id="5124" w:name="_fnr3804"/>
      <w:r>
        <w:rPr>
          <w:vertAlign w:val="superscript"/>
          <w:rtl/>
        </w:rPr>
        <w:footnoteReference w:id="3812" w:customMarkFollows="0"/>
      </w:r>
      <w:bookmarkEnd w:id="5124"/>
      <w:r>
        <w:rPr>
          <w:rtl/>
        </w:rPr>
        <w:t xml:space="preserve"> </w:t>
      </w:r>
      <w:proofErr w:type="spellStart"/>
      <w:r>
        <w:rPr>
          <w:rtl/>
        </w:rPr>
        <w:t>ב“המליץ</w:t>
      </w:r>
      <w:proofErr w:type="spellEnd"/>
      <w:r>
        <w:rPr>
          <w:rtl/>
        </w:rPr>
        <w:t>” בשנת 1897</w:t>
      </w:r>
      <w:bookmarkStart w:id="5125" w:name="_fnr3805"/>
      <w:r>
        <w:rPr>
          <w:vertAlign w:val="superscript"/>
          <w:rtl/>
        </w:rPr>
        <w:footnoteReference w:id="3813" w:customMarkFollows="0"/>
      </w:r>
      <w:bookmarkEnd w:id="5125"/>
      <w:r>
        <w:rPr>
          <w:rtl/>
        </w:rPr>
        <w:t xml:space="preserve">. הוא בדה סיפור </w:t>
      </w:r>
      <w:proofErr w:type="spellStart"/>
      <w:r>
        <w:rPr>
          <w:rtl/>
        </w:rPr>
        <w:t>ש“כל</w:t>
      </w:r>
      <w:proofErr w:type="spellEnd"/>
      <w:r>
        <w:rPr>
          <w:rtl/>
        </w:rPr>
        <w:t xml:space="preserve"> בעלי המוסר חלמו באותו לילה” פסוק שמסרו ללחמן, ובו כינו אותו “בית הלחמי”! אגב, “הזיכרונות”</w:t>
      </w:r>
      <w:bookmarkStart w:id="5126" w:name="_fnr3806"/>
      <w:r>
        <w:rPr>
          <w:vertAlign w:val="superscript"/>
          <w:rtl/>
        </w:rPr>
        <w:footnoteReference w:id="3814" w:customMarkFollows="0"/>
      </w:r>
      <w:bookmarkEnd w:id="5126"/>
      <w:r>
        <w:rPr>
          <w:rtl/>
        </w:rPr>
        <w:t>, המתנגד למוסר, מקבל כעובדה את דיווחו המגוחך של רוזנפלד, שקדם לו כמעט בשלושים שנה, וכותב: “לחמן התפתה להאמין להם [</w:t>
      </w:r>
      <w:proofErr w:type="spellStart"/>
      <w:r>
        <w:rPr>
          <w:rtl/>
        </w:rPr>
        <w:t>ל‘מוסריים</w:t>
      </w:r>
      <w:proofErr w:type="spellEnd"/>
      <w:r>
        <w:rPr>
          <w:rtl/>
        </w:rPr>
        <w:t>’] ולחלומותיהם – חלומות ממש! – שסיפרו לו בני הכת שחלמו עליו ועל מוסדותיהם, והוא האמין להם”.</w:t>
      </w:r>
    </w:p>
    <w:p w14:paraId="35EBE7E2" w14:textId="77777777" w:rsidR="00AB3647" w:rsidRDefault="00000000" w:rsidP="007923E9">
      <w:pPr>
        <w:spacing w:after="120" w:line="276" w:lineRule="auto"/>
        <w:ind w:firstLine="283"/>
        <w:jc w:val="both"/>
      </w:pPr>
      <w:r>
        <w:rPr>
          <w:rtl/>
        </w:rPr>
        <w:lastRenderedPageBreak/>
        <w:t>יש להוסיף שהכרך הראשון בסדרת “לשם שבו ואחלמה”, “ספר הקדמות ושערים”</w:t>
      </w:r>
      <w:bookmarkStart w:id="5127" w:name="_fnr3807"/>
      <w:r>
        <w:rPr>
          <w:vertAlign w:val="superscript"/>
          <w:rtl/>
        </w:rPr>
        <w:footnoteReference w:id="3815" w:customMarkFollows="0"/>
      </w:r>
      <w:bookmarkEnd w:id="5127"/>
      <w:r>
        <w:rPr>
          <w:rtl/>
        </w:rPr>
        <w:t xml:space="preserve">, יצא לאור שלוש שנים לפני “ספר </w:t>
      </w:r>
      <w:proofErr w:type="spellStart"/>
      <w:r>
        <w:rPr>
          <w:rtl/>
        </w:rPr>
        <w:t>הדע״ה</w:t>
      </w:r>
      <w:proofErr w:type="spellEnd"/>
      <w:r>
        <w:rPr>
          <w:rtl/>
        </w:rPr>
        <w:t xml:space="preserve">” הנזכר לעיל, וגם להוצאתו כבר תרם לחמן, כפי שמורה ההקדמה לו. ר׳ שלמה אלישיב מודה שם לתורם אלמוני המבקש להנציח את הוריו שנפטרו, ששמותיהם העבריים נמסרים – אותם אנשים שנזכרים בכרך המאוחר, </w:t>
      </w:r>
      <w:proofErr w:type="spellStart"/>
      <w:r>
        <w:rPr>
          <w:rtl/>
        </w:rPr>
        <w:t>מתרע״ב</w:t>
      </w:r>
      <w:proofErr w:type="spellEnd"/>
      <w:r>
        <w:rPr>
          <w:rtl/>
        </w:rPr>
        <w:t>. בכרך המוקדם מודה המחבר ללחמן בלשון מצומצמת יותר, מפני שלא יוחס לו כיסוי כל הוצאות ההדפסה, אלא השתתפות בהן יחד עם זוג בשם פרידמן, ששמו נמסר במלואו. אבל לדעתי, המחבר אסיר התודה כבר הכניס את שמו של לחמן, שנרתע מפרסום, לשם הספר, כמבואר.</w:t>
      </w:r>
    </w:p>
    <w:p w14:paraId="362B9B00" w14:textId="77777777" w:rsidR="00AB3647" w:rsidRDefault="00000000" w:rsidP="007923E9">
      <w:pPr>
        <w:spacing w:after="120" w:line="276" w:lineRule="auto"/>
        <w:ind w:firstLine="283"/>
        <w:jc w:val="both"/>
      </w:pPr>
      <w:r>
        <w:rPr>
          <w:rtl/>
        </w:rPr>
        <w:t xml:space="preserve">במאמרו </w:t>
      </w:r>
      <w:proofErr w:type="spellStart"/>
      <w:r>
        <w:rPr>
          <w:rtl/>
        </w:rPr>
        <w:t>ב“תבונה</w:t>
      </w:r>
      <w:proofErr w:type="spellEnd"/>
      <w:r>
        <w:rPr>
          <w:rtl/>
        </w:rPr>
        <w:t xml:space="preserve">” מעלה ר׳ </w:t>
      </w:r>
      <w:proofErr w:type="spellStart"/>
      <w:r>
        <w:rPr>
          <w:rtl/>
        </w:rPr>
        <w:t>אליהו־מאיר</w:t>
      </w:r>
      <w:proofErr w:type="spellEnd"/>
      <w:r>
        <w:rPr>
          <w:rtl/>
        </w:rPr>
        <w:t xml:space="preserve"> </w:t>
      </w:r>
      <w:proofErr w:type="spellStart"/>
      <w:r>
        <w:rPr>
          <w:rtl/>
        </w:rPr>
        <w:t>פייבלזון</w:t>
      </w:r>
      <w:proofErr w:type="spellEnd"/>
      <w:r>
        <w:rPr>
          <w:rtl/>
        </w:rPr>
        <w:t xml:space="preserve"> גם הבחנה שיש מקום לדון בה: אותה “עיר ברלין, שממנה יצאה הכפירה באלוהי ישראל ובתורתו והכניסה בעמנו המרת דת מרצון”, הייתה “גם מקור החיים למקומות התורה באמצעות תושבה ר׳ עובדיה לחמן”. אבל יש לציין שלחמן לא זוהה לגמרי עם ברלין. </w:t>
      </w:r>
      <w:proofErr w:type="spellStart"/>
      <w:r>
        <w:rPr>
          <w:rtl/>
        </w:rPr>
        <w:t>ב“שערי</w:t>
      </w:r>
      <w:proofErr w:type="spellEnd"/>
      <w:r>
        <w:rPr>
          <w:rtl/>
        </w:rPr>
        <w:t xml:space="preserve"> אורה” מאת יצחק יעקב ריינס</w:t>
      </w:r>
      <w:bookmarkStart w:id="5128" w:name="_fnr3808"/>
      <w:r>
        <w:rPr>
          <w:vertAlign w:val="superscript"/>
          <w:rtl/>
        </w:rPr>
        <w:footnoteReference w:id="3816" w:customMarkFollows="0"/>
      </w:r>
      <w:bookmarkEnd w:id="5128"/>
      <w:r>
        <w:rPr>
          <w:rtl/>
        </w:rPr>
        <w:t xml:space="preserve"> נמנה אמיל לחמן בין התורמים </w:t>
      </w:r>
      <w:proofErr w:type="spellStart"/>
      <w:r>
        <w:rPr>
          <w:rtl/>
        </w:rPr>
        <w:t>ל“חותם</w:t>
      </w:r>
      <w:proofErr w:type="spellEnd"/>
      <w:r>
        <w:rPr>
          <w:rtl/>
        </w:rPr>
        <w:t xml:space="preserve"> תכנית”, ספר שפרסם אותו מחבר שש שנים קודם לכן, והוא מתואר שם </w:t>
      </w:r>
      <w:proofErr w:type="spellStart"/>
      <w:r>
        <w:rPr>
          <w:rtl/>
        </w:rPr>
        <w:t>כ“עובדי</w:t>
      </w:r>
      <w:proofErr w:type="spellEnd"/>
      <w:r>
        <w:rPr>
          <w:rtl/>
        </w:rPr>
        <w:t xml:space="preserve">׳ </w:t>
      </w:r>
      <w:proofErr w:type="spellStart"/>
      <w:r>
        <w:rPr>
          <w:rtl/>
        </w:rPr>
        <w:t>לאכמאן</w:t>
      </w:r>
      <w:proofErr w:type="spellEnd"/>
      <w:r>
        <w:rPr>
          <w:rtl/>
        </w:rPr>
        <w:t xml:space="preserve"> מהמבורג” – ולא מברלין. גם במכתב ר׳ </w:t>
      </w:r>
      <w:proofErr w:type="spellStart"/>
      <w:r>
        <w:rPr>
          <w:rtl/>
        </w:rPr>
        <w:t>שמחה־זיסל</w:t>
      </w:r>
      <w:proofErr w:type="spellEnd"/>
      <w:r>
        <w:rPr>
          <w:rtl/>
        </w:rPr>
        <w:t xml:space="preserve"> זיו, המובא </w:t>
      </w:r>
      <w:proofErr w:type="spellStart"/>
      <w:r>
        <w:rPr>
          <w:rtl/>
        </w:rPr>
        <w:t>ב“שנות</w:t>
      </w:r>
      <w:proofErr w:type="spellEnd"/>
      <w:r>
        <w:rPr>
          <w:rtl/>
        </w:rPr>
        <w:t xml:space="preserve"> דור ודור”</w:t>
      </w:r>
      <w:bookmarkStart w:id="5129" w:name="_fnr3809"/>
      <w:r>
        <w:rPr>
          <w:vertAlign w:val="superscript"/>
          <w:rtl/>
        </w:rPr>
        <w:footnoteReference w:id="3817" w:customMarkFollows="0"/>
      </w:r>
      <w:bookmarkEnd w:id="5129"/>
      <w:r>
        <w:rPr>
          <w:rtl/>
        </w:rPr>
        <w:t xml:space="preserve"> ונידון בהרחבה בעמ׳ </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ואילך לעיל, מופיע לחמן </w:t>
      </w:r>
      <w:proofErr w:type="spellStart"/>
      <w:r>
        <w:rPr>
          <w:rtl/>
        </w:rPr>
        <w:t>כ“האיש</w:t>
      </w:r>
      <w:proofErr w:type="spellEnd"/>
      <w:r>
        <w:rPr>
          <w:rtl/>
        </w:rPr>
        <w:t xml:space="preserve"> הידוע מהמבורג </w:t>
      </w:r>
      <w:proofErr w:type="spellStart"/>
      <w:r>
        <w:rPr>
          <w:rtl/>
        </w:rPr>
        <w:t>לאכמאנן</w:t>
      </w:r>
      <w:proofErr w:type="spellEnd"/>
      <w:r>
        <w:rPr>
          <w:rtl/>
        </w:rPr>
        <w:t xml:space="preserve"> אשר הקדיש צדקתו על קהל הפרושים”</w:t>
      </w:r>
      <w:bookmarkStart w:id="5130" w:name="_fnr3810"/>
      <w:r>
        <w:rPr>
          <w:vertAlign w:val="superscript"/>
          <w:rtl/>
        </w:rPr>
        <w:footnoteReference w:id="3818" w:customMarkFollows="0"/>
      </w:r>
      <w:bookmarkEnd w:id="5130"/>
      <w:r>
        <w:rPr>
          <w:rtl/>
        </w:rPr>
        <w:t>.</w:t>
      </w:r>
    </w:p>
    <w:p w14:paraId="41E616EE" w14:textId="77777777" w:rsidR="00AB3647" w:rsidRDefault="00000000" w:rsidP="007923E9">
      <w:pPr>
        <w:spacing w:after="120" w:line="276" w:lineRule="auto"/>
        <w:ind w:firstLine="283"/>
        <w:jc w:val="both"/>
      </w:pPr>
      <w:r>
        <w:rPr>
          <w:rtl/>
        </w:rPr>
        <w:t xml:space="preserve">המכתב, שנכתב כנראה </w:t>
      </w:r>
      <w:proofErr w:type="spellStart"/>
      <w:r>
        <w:rPr>
          <w:rtl/>
        </w:rPr>
        <w:t>בתר״מ</w:t>
      </w:r>
      <w:proofErr w:type="spellEnd"/>
      <w:r>
        <w:rPr>
          <w:rtl/>
        </w:rPr>
        <w:t xml:space="preserve">, מזכיר את ביקורו של ר׳ </w:t>
      </w:r>
      <w:proofErr w:type="spellStart"/>
      <w:r>
        <w:rPr>
          <w:rtl/>
        </w:rPr>
        <w:t>נתן־צבי</w:t>
      </w:r>
      <w:proofErr w:type="spellEnd"/>
      <w:r>
        <w:rPr>
          <w:rtl/>
        </w:rPr>
        <w:t xml:space="preserve"> </w:t>
      </w:r>
      <w:proofErr w:type="spellStart"/>
      <w:r>
        <w:rPr>
          <w:rtl/>
        </w:rPr>
        <w:t>פינקל</w:t>
      </w:r>
      <w:proofErr w:type="spellEnd"/>
      <w:r>
        <w:rPr>
          <w:rtl/>
        </w:rPr>
        <w:t xml:space="preserve"> אצל לחמן באותה עת. מקום הביקור היה ודאי ברלין ולא המבורג: לחמן התגורר בברלין שלוש שנים לפחות, מאז תרל״ז, שבה החל לתמוך בכולל קובנה. מסתבר שהתגורר בברלין עוד קודם לכן, מפני ששם החל ר׳ </w:t>
      </w:r>
      <w:proofErr w:type="spellStart"/>
      <w:r>
        <w:rPr>
          <w:rtl/>
        </w:rPr>
        <w:t>יוסף־חיים</w:t>
      </w:r>
      <w:proofErr w:type="spellEnd"/>
      <w:r>
        <w:rPr>
          <w:rtl/>
        </w:rPr>
        <w:t xml:space="preserve"> </w:t>
      </w:r>
      <w:proofErr w:type="spellStart"/>
      <w:r>
        <w:rPr>
          <w:rtl/>
        </w:rPr>
        <w:t>חווס</w:t>
      </w:r>
      <w:proofErr w:type="spellEnd"/>
      <w:r>
        <w:rPr>
          <w:rtl/>
        </w:rPr>
        <w:t xml:space="preserve"> להשפיע עליו מבחינה דתית, עד שר׳ עובדיה נעשה שומר תורה ומוקיר חכמיה – ראה עמ׳ </w:t>
      </w:r>
      <w:r>
        <w:rPr>
          <w:rtl/>
        </w:rPr>
        <w:fldChar w:fldCharType="begin" w:dirty="true"/>
      </w:r>
      <w:r>
        <w:rPr>
          <w:rtl/>
        </w:rPr>
        <w:instrText xml:space="preserve"> PAGEREF pr_b_1000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pr_b_1001 \h </w:instrText>
      </w:r>
      <w:r>
        <w:rPr>
          <w:rtl/>
        </w:rPr>
      </w:r>
      <w:r>
        <w:rPr>
          <w:rtl/>
        </w:rPr>
        <w:fldChar w:fldCharType="separate"/>
      </w:r>
      <w:r w:rsidR="007923E9">
        <w:rPr>
          <w:noProof/>
          <w:rtl/>
        </w:rPr>
        <w:t>1</w:t>
      </w:r>
      <w:r>
        <w:rPr>
          <w:rtl/>
        </w:rPr>
        <w:fldChar w:fldCharType="end"/>
      </w:r>
      <w:r>
        <w:rPr>
          <w:rtl/>
        </w:rPr>
        <w:t xml:space="preserve"> לעיל. ודאי עלינו להניח שר׳ עובדיה לא נעשה יהודי אוהב תורה בן לילה, אלא קורב ליהדות בעדינות במשך שנים. לכן, אף שהתגורר בברלין שנים רבות, עדיין תואר במכתב ר׳ </w:t>
      </w:r>
      <w:proofErr w:type="spellStart"/>
      <w:r>
        <w:rPr>
          <w:rtl/>
        </w:rPr>
        <w:t>שמחה־זיסל</w:t>
      </w:r>
      <w:proofErr w:type="spellEnd"/>
      <w:r>
        <w:rPr>
          <w:rtl/>
        </w:rPr>
        <w:t xml:space="preserve"> זיו על פי מקום מגוריו הקודם, “האיש הידוע מהמבורג”.</w:t>
      </w:r>
    </w:p>
    <w:p w14:paraId="330A90B0" w14:textId="77777777" w:rsidR="00AB3647" w:rsidRDefault="00000000" w:rsidP="007923E9">
      <w:pPr>
        <w:spacing w:after="120" w:line="276" w:lineRule="auto"/>
        <w:ind w:firstLine="283"/>
        <w:jc w:val="both"/>
      </w:pPr>
      <w:r>
        <w:rPr>
          <w:rtl/>
        </w:rPr>
        <w:t xml:space="preserve">אבל הניגוד שבברלין, שעליו מעמיד אותנו ר׳ </w:t>
      </w:r>
      <w:proofErr w:type="spellStart"/>
      <w:r>
        <w:rPr>
          <w:rtl/>
        </w:rPr>
        <w:t>אליהו־מאיר</w:t>
      </w:r>
      <w:proofErr w:type="spellEnd"/>
      <w:r>
        <w:rPr>
          <w:rtl/>
        </w:rPr>
        <w:t xml:space="preserve"> </w:t>
      </w:r>
      <w:proofErr w:type="spellStart"/>
      <w:r>
        <w:rPr>
          <w:rtl/>
        </w:rPr>
        <w:t>פייבלזון</w:t>
      </w:r>
      <w:proofErr w:type="spellEnd"/>
      <w:r>
        <w:rPr>
          <w:rtl/>
        </w:rPr>
        <w:t xml:space="preserve">, אכן נכון: רק בעקבות מעבר לחמן מהמבורג לברלין הצטלבה דרכו בדרך היראה של ר׳ </w:t>
      </w:r>
      <w:proofErr w:type="spellStart"/>
      <w:r>
        <w:rPr>
          <w:rtl/>
        </w:rPr>
        <w:t>יוסף־חיים</w:t>
      </w:r>
      <w:proofErr w:type="spellEnd"/>
      <w:r>
        <w:rPr>
          <w:rtl/>
        </w:rPr>
        <w:t xml:space="preserve">, </w:t>
      </w:r>
      <w:proofErr w:type="spellStart"/>
      <w:r>
        <w:rPr>
          <w:rtl/>
        </w:rPr>
        <w:t>ו“עיר</w:t>
      </w:r>
      <w:proofErr w:type="spellEnd"/>
      <w:r>
        <w:rPr>
          <w:rtl/>
        </w:rPr>
        <w:t xml:space="preserve"> הכפירה” נעשתה “מקור חיי [תורה] ללחמן”, ומכאן “מקור החיים למקומות התורה”.</w:t>
      </w:r>
    </w:p>
    <w:bookmarkStart w:id="5131" w:name="b4_excH"/>
    <w:bookmarkStart w:id="5132" w:name="b4_annexH"/>
    <w:p w14:paraId="375D7CD1" w14:textId="77777777" w:rsidR="00AB3647" w:rsidRDefault="00000000" w:rsidP="007923E9">
      <w:pPr>
        <w:pStyle w:val="3"/>
        <w:spacing w:line="276" w:lineRule="auto"/>
      </w:pPr>
      <w:r>
        <w:lastRenderedPageBreak/>
        <w:fldChar w:fldCharType="begin" w:dirty="true"/>
      </w:r>
      <w:r>
        <w:rPr>
          <w:rtl w:val="0"/>
        </w:rPr>
        <w:instrText>HYPERLINK \l "b4_note54</w:instrText>
      </w:r>
      <w:r>
        <w:instrText>"</w:instrText>
      </w:r>
      <w:r>
        <w:fldChar w:fldCharType="separate"/>
      </w:r>
      <w:r>
        <w:t>נספח ח</w:t>
      </w:r>
      <w:r>
        <w:fldChar w:fldCharType="end"/>
      </w:r>
      <w:bookmarkEnd w:id="5131"/>
      <w:bookmarkEnd w:id="5132"/>
    </w:p>
    <w:p w14:paraId="188A1F57" w14:textId="77777777" w:rsidR="00AB3647" w:rsidRDefault="00000000" w:rsidP="007923E9">
      <w:pPr>
        <w:pStyle w:val="af"/>
        <w:spacing w:line="276" w:lineRule="auto"/>
      </w:pPr>
      <w:r>
        <w:t xml:space="preserve">על חשדם העצמי של בעלי המוסר ועל ביקורם המשותף של ר׳ ישראל </w:t>
      </w:r>
      <w:proofErr w:type="spellStart"/>
      <w:r>
        <w:t>סלנטר</w:t>
      </w:r>
      <w:proofErr w:type="spellEnd"/>
      <w:r>
        <w:t xml:space="preserve"> והברון </w:t>
      </w:r>
      <w:proofErr w:type="spellStart"/>
      <w:r>
        <w:t>גינצבורג</w:t>
      </w:r>
      <w:proofErr w:type="spellEnd"/>
      <w:r>
        <w:t xml:space="preserve"> בישיבת ר׳ לייזר גורדון</w:t>
      </w:r>
    </w:p>
    <w:p w14:paraId="05E1160A" w14:textId="77777777" w:rsidR="00AB3647" w:rsidRDefault="00000000" w:rsidP="007923E9">
      <w:pPr>
        <w:pStyle w:val="4"/>
        <w:spacing w:line="276" w:lineRule="auto"/>
      </w:pPr>
      <w:r>
        <w:t>· הפסקה הראשונה ·</w:t>
      </w:r>
    </w:p>
    <w:p w14:paraId="27173169" w14:textId="77777777" w:rsidR="00AB3647" w:rsidRDefault="00000000" w:rsidP="007923E9">
      <w:pPr>
        <w:pStyle w:val="5"/>
        <w:spacing w:line="276" w:lineRule="auto"/>
      </w:pPr>
      <w:r>
        <w:rPr>
          <w:bCs/>
          <w:szCs w:val="26"/>
        </w:rPr>
        <w:t xml:space="preserve">ר׳ ישראל </w:t>
      </w:r>
      <w:proofErr w:type="spellStart"/>
      <w:r>
        <w:rPr>
          <w:bCs/>
          <w:szCs w:val="26"/>
        </w:rPr>
        <w:t>סלנטר</w:t>
      </w:r>
      <w:proofErr w:type="spellEnd"/>
      <w:r>
        <w:rPr>
          <w:bCs/>
          <w:szCs w:val="26"/>
        </w:rPr>
        <w:t xml:space="preserve"> בוחן אם מעשה טוב נעשה לשם שמים</w:t>
      </w:r>
    </w:p>
    <w:p w14:paraId="3FCF5054" w14:textId="77777777" w:rsidR="00AB3647" w:rsidRDefault="00000000" w:rsidP="007923E9">
      <w:pPr>
        <w:spacing w:after="120" w:line="276" w:lineRule="auto"/>
        <w:ind w:firstLine="283"/>
        <w:jc w:val="both"/>
      </w:pPr>
      <w:r>
        <w:rPr>
          <w:rtl/>
        </w:rPr>
        <w:t xml:space="preserve">כאן מובאות שתי דוגמאות נוקבות להקפדתו של ר׳ ישראל </w:t>
      </w:r>
      <w:proofErr w:type="spellStart"/>
      <w:r>
        <w:rPr>
          <w:rtl/>
        </w:rPr>
        <w:t>סלנטר</w:t>
      </w:r>
      <w:proofErr w:type="spellEnd"/>
      <w:r>
        <w:rPr>
          <w:rtl/>
        </w:rPr>
        <w:t xml:space="preserve"> שאדם יהיה נקי מנגיעה עצמית. ראה פרק 3, תחילת הפסקה השנייה של נספח </w:t>
      </w:r>
      <w:proofErr w:type="spellStart"/>
      <w:r>
        <w:rPr>
          <w:rtl/>
        </w:rPr>
        <w:t>כו</w:t>
      </w:r>
      <w:proofErr w:type="spellEnd"/>
      <w:r>
        <w:rPr>
          <w:rtl/>
        </w:rPr>
        <w:t xml:space="preserve">, על דברי ר׳ ישראל (בעניין ר׳ לייב </w:t>
      </w:r>
      <w:proofErr w:type="spellStart"/>
      <w:r>
        <w:rPr>
          <w:rtl/>
        </w:rPr>
        <w:t>ציגלר</w:t>
      </w:r>
      <w:proofErr w:type="spellEnd"/>
      <w:r>
        <w:rPr>
          <w:rtl/>
        </w:rPr>
        <w:t xml:space="preserve"> מקלם) מה מזכה אדם בתואר “חסיד”: שלא תהיה לו נגיעה עצמית אפילו בצבירת מצוות, כלומר שיוותר על מצוותו ויניח לאחר לעשותה במקומו</w:t>
      </w:r>
      <w:bookmarkStart w:id="5133" w:name="_fnr3811"/>
      <w:r>
        <w:rPr>
          <w:vertAlign w:val="superscript"/>
          <w:rtl/>
        </w:rPr>
        <w:footnoteReference w:id="3819" w:customMarkFollows="0"/>
      </w:r>
      <w:bookmarkEnd w:id="5133"/>
      <w:r>
        <w:rPr>
          <w:rtl/>
        </w:rPr>
        <w:t>.</w:t>
      </w:r>
    </w:p>
    <w:p w14:paraId="0F496F6D" w14:textId="77777777" w:rsidR="00AB3647" w:rsidRDefault="00000000" w:rsidP="007923E9">
      <w:pPr>
        <w:spacing w:after="120" w:line="276" w:lineRule="auto"/>
        <w:ind w:firstLine="283"/>
        <w:jc w:val="both"/>
      </w:pPr>
      <w:r>
        <w:rPr>
          <w:rtl/>
        </w:rPr>
        <w:t xml:space="preserve">השווה גם </w:t>
      </w:r>
      <w:proofErr w:type="spellStart"/>
      <w:r>
        <w:rPr>
          <w:rtl/>
        </w:rPr>
        <w:t>רבינר</w:t>
      </w:r>
      <w:proofErr w:type="spellEnd"/>
      <w:r>
        <w:rPr>
          <w:rtl/>
        </w:rPr>
        <w:t>, “הגאון רבי אליעזר גורדון”</w:t>
      </w:r>
      <w:bookmarkStart w:id="5134" w:name="_fnr3812"/>
      <w:r>
        <w:rPr>
          <w:vertAlign w:val="superscript"/>
          <w:rtl/>
        </w:rPr>
        <w:footnoteReference w:id="3820" w:customMarkFollows="0"/>
      </w:r>
      <w:bookmarkEnd w:id="5134"/>
      <w:r>
        <w:rPr>
          <w:rtl/>
        </w:rPr>
        <w:t xml:space="preserve">: ר׳ לייזר גורדון, רבה וראש ישיבתה של </w:t>
      </w:r>
      <w:proofErr w:type="spellStart"/>
      <w:r>
        <w:rPr>
          <w:rtl/>
        </w:rPr>
        <w:t>טלז</w:t>
      </w:r>
      <w:bookmarkStart w:id="5135" w:name="_fnr3813"/>
      <w:proofErr w:type="spellEnd"/>
      <w:r>
        <w:rPr>
          <w:vertAlign w:val="superscript"/>
          <w:rtl/>
        </w:rPr>
        <w:footnoteReference w:id="3821" w:customMarkFollows="0"/>
      </w:r>
      <w:bookmarkEnd w:id="5135"/>
      <w:r>
        <w:rPr>
          <w:rtl/>
        </w:rPr>
        <w:t>, ביקש מר׳ ישראל, רבו לשעבר</w:t>
      </w:r>
      <w:bookmarkStart w:id="5136" w:name="_fnr3814"/>
      <w:r>
        <w:rPr>
          <w:vertAlign w:val="superscript"/>
          <w:rtl/>
        </w:rPr>
        <w:footnoteReference w:id="3822" w:customMarkFollows="0"/>
      </w:r>
      <w:bookmarkEnd w:id="5136"/>
      <w:r>
        <w:rPr>
          <w:rtl/>
        </w:rPr>
        <w:t xml:space="preserve">, להיות נוכח בביקור שתוכנן לברון דוד </w:t>
      </w:r>
      <w:proofErr w:type="spellStart"/>
      <w:r>
        <w:rPr>
          <w:rtl/>
        </w:rPr>
        <w:t>גינצבורג</w:t>
      </w:r>
      <w:proofErr w:type="spellEnd"/>
      <w:r>
        <w:rPr>
          <w:rtl/>
        </w:rPr>
        <w:t xml:space="preserve"> בישיבתו “</w:t>
      </w:r>
      <w:proofErr w:type="spellStart"/>
      <w:r>
        <w:rPr>
          <w:rtl/>
        </w:rPr>
        <w:t>בטלז</w:t>
      </w:r>
      <w:proofErr w:type="spellEnd"/>
      <w:r>
        <w:rPr>
          <w:rtl/>
        </w:rPr>
        <w:t>”. ר׳ לייזר גורדון החל לרקוד משמחה כשהראה לאורחים המכובדים את “מאות התלמידים הממלאים את בית המדרש מכותל לכותל באמצע לימודם”, ור׳ ישראל שאל אותו אם היה שמח באותה מידה אילו ראה מראה מפואר כזה בישיבה שאינה שלו</w:t>
      </w:r>
      <w:bookmarkStart w:id="5137" w:name="_fnr3815"/>
      <w:r>
        <w:rPr>
          <w:vertAlign w:val="superscript"/>
          <w:rtl/>
        </w:rPr>
        <w:footnoteReference w:id="3823" w:customMarkFollows="0"/>
      </w:r>
      <w:bookmarkEnd w:id="5137"/>
      <w:r>
        <w:rPr>
          <w:rtl/>
        </w:rPr>
        <w:t>.</w:t>
      </w:r>
    </w:p>
    <w:p w14:paraId="0F4451F6" w14:textId="77777777" w:rsidR="00AB3647" w:rsidRDefault="00000000" w:rsidP="007923E9">
      <w:pPr>
        <w:pStyle w:val="4"/>
        <w:spacing w:line="276" w:lineRule="auto"/>
      </w:pPr>
      <w:r>
        <w:lastRenderedPageBreak/>
        <w:t>· הפסקה השנייה ·</w:t>
      </w:r>
    </w:p>
    <w:p w14:paraId="4B090808" w14:textId="77777777" w:rsidR="00AB3647" w:rsidRDefault="00000000" w:rsidP="007923E9">
      <w:pPr>
        <w:pStyle w:val="5"/>
        <w:spacing w:line="276" w:lineRule="auto"/>
      </w:pPr>
      <w:r>
        <w:rPr>
          <w:bCs/>
          <w:szCs w:val="26"/>
        </w:rPr>
        <w:t xml:space="preserve">ר׳ לייזר גורדון משתתף בדיון בקובנה – ישיבה מוקמת </w:t>
      </w:r>
      <w:proofErr w:type="spellStart"/>
      <w:r>
        <w:rPr>
          <w:bCs/>
          <w:szCs w:val="26"/>
        </w:rPr>
        <w:t>בטלז</w:t>
      </w:r>
      <w:proofErr w:type="spellEnd"/>
      <w:r>
        <w:rPr>
          <w:bCs/>
          <w:szCs w:val="26"/>
        </w:rPr>
        <w:t xml:space="preserve"> – ר׳ ישראל </w:t>
      </w:r>
      <w:proofErr w:type="spellStart"/>
      <w:r>
        <w:rPr>
          <w:bCs/>
          <w:szCs w:val="26"/>
        </w:rPr>
        <w:t>סלנטר</w:t>
      </w:r>
      <w:proofErr w:type="spellEnd"/>
      <w:r>
        <w:rPr>
          <w:bCs/>
          <w:szCs w:val="26"/>
        </w:rPr>
        <w:t xml:space="preserve"> והברון דוד </w:t>
      </w:r>
      <w:proofErr w:type="spellStart"/>
      <w:r>
        <w:rPr>
          <w:bCs/>
          <w:szCs w:val="26"/>
        </w:rPr>
        <w:t>גינצבורג</w:t>
      </w:r>
      <w:proofErr w:type="spellEnd"/>
      <w:r>
        <w:rPr>
          <w:bCs/>
          <w:szCs w:val="26"/>
        </w:rPr>
        <w:t xml:space="preserve"> מבקרים יחד </w:t>
      </w:r>
      <w:proofErr w:type="spellStart"/>
      <w:r>
        <w:rPr>
          <w:bCs/>
          <w:szCs w:val="26"/>
        </w:rPr>
        <w:t>בקלם</w:t>
      </w:r>
      <w:proofErr w:type="spellEnd"/>
      <w:r>
        <w:rPr>
          <w:bCs/>
          <w:szCs w:val="26"/>
        </w:rPr>
        <w:t xml:space="preserve"> – ר׳ ישראל מקיים קשר עם ר׳ שלמה אלישיב – תפיסתו המוגבלת של הברון את הישיבה – ר׳ ישראל מגדיר את ההבדל בין ישיבה לאוניברסיטה – לברון מורים פרטיים – חינוכו מוליכו שולל – הוא ואביו נזקקים לשכנוע כדי לוותר על תוכניתם להקמת בית מדרש לרבנים בידי ממשלת רוסיה – דרכיו הבלתי שגרתיות של ר׳ לייזר גורדון בגיוס תרומות – דיוקנו של ברון שומר תורה ומצוות</w:t>
      </w:r>
    </w:p>
    <w:p w14:paraId="3486078E" w14:textId="77777777" w:rsidR="00AB3647" w:rsidRDefault="00000000" w:rsidP="007923E9">
      <w:pPr>
        <w:spacing w:after="120" w:line="276" w:lineRule="auto"/>
        <w:ind w:firstLine="283"/>
        <w:jc w:val="both"/>
      </w:pPr>
      <w:r>
        <w:rPr>
          <w:rtl/>
        </w:rPr>
        <w:t xml:space="preserve">יש להעמיד את הסיפור </w:t>
      </w:r>
      <w:proofErr w:type="spellStart"/>
      <w:r>
        <w:rPr>
          <w:rtl/>
        </w:rPr>
        <w:t>שברבינר</w:t>
      </w:r>
      <w:proofErr w:type="spellEnd"/>
      <w:r>
        <w:rPr>
          <w:rtl/>
        </w:rPr>
        <w:t xml:space="preserve">, “הגאון רבי אליעזר גורדון”, בהקשרו ההיסטורי, בשל שלוש הדמויות החשובות שנזכרות בו. אף שהסיפור נמסר נאמנה למחבר אותו ספר מפי ר׳ אפרים </w:t>
      </w:r>
      <w:proofErr w:type="spellStart"/>
      <w:r>
        <w:rPr>
          <w:rtl/>
        </w:rPr>
        <w:t>בורודיאנסקי</w:t>
      </w:r>
      <w:proofErr w:type="spellEnd"/>
      <w:r>
        <w:rPr>
          <w:rtl/>
        </w:rPr>
        <w:t xml:space="preserve">, ששמעו מתלמיד מצטיין של הסבא </w:t>
      </w:r>
      <w:proofErr w:type="spellStart"/>
      <w:r>
        <w:rPr>
          <w:rtl/>
        </w:rPr>
        <w:t>מסלבודקה</w:t>
      </w:r>
      <w:proofErr w:type="spellEnd"/>
      <w:r>
        <w:rPr>
          <w:rtl/>
        </w:rPr>
        <w:t xml:space="preserve">, ר׳ </w:t>
      </w:r>
      <w:proofErr w:type="spellStart"/>
      <w:r>
        <w:rPr>
          <w:rtl/>
        </w:rPr>
        <w:t>יוסף־זאב</w:t>
      </w:r>
      <w:proofErr w:type="spellEnd"/>
      <w:r>
        <w:rPr>
          <w:rtl/>
        </w:rPr>
        <w:t xml:space="preserve"> </w:t>
      </w:r>
      <w:proofErr w:type="spellStart"/>
      <w:r>
        <w:rPr>
          <w:rtl/>
        </w:rPr>
        <w:t>ליפוביץ</w:t>
      </w:r>
      <w:bookmarkStart w:id="5138" w:name="_fnr3816"/>
      <w:proofErr w:type="spellEnd"/>
      <w:r>
        <w:rPr>
          <w:vertAlign w:val="superscript"/>
          <w:rtl/>
        </w:rPr>
        <w:footnoteReference w:id="3824" w:customMarkFollows="0"/>
      </w:r>
      <w:bookmarkEnd w:id="5138"/>
      <w:r>
        <w:rPr>
          <w:rtl/>
        </w:rPr>
        <w:t xml:space="preserve">, יש בו </w:t>
      </w:r>
      <w:proofErr w:type="spellStart"/>
      <w:r>
        <w:rPr>
          <w:rtl/>
        </w:rPr>
        <w:t>אי־דיוק</w:t>
      </w:r>
      <w:proofErr w:type="spellEnd"/>
      <w:r>
        <w:rPr>
          <w:rtl/>
        </w:rPr>
        <w:t xml:space="preserve">: ר׳ לייזר גורדון נתמנה לרבה של </w:t>
      </w:r>
      <w:proofErr w:type="spellStart"/>
      <w:r>
        <w:rPr>
          <w:rtl/>
        </w:rPr>
        <w:t>טלז</w:t>
      </w:r>
      <w:proofErr w:type="spellEnd"/>
      <w:r>
        <w:rPr>
          <w:rtl/>
        </w:rPr>
        <w:t xml:space="preserve"> רק שנה אחרי פטירת ר׳ ישראל </w:t>
      </w:r>
      <w:proofErr w:type="spellStart"/>
      <w:r>
        <w:rPr>
          <w:rtl/>
        </w:rPr>
        <w:t>סלנטר</w:t>
      </w:r>
      <w:proofErr w:type="spellEnd"/>
      <w:r>
        <w:rPr>
          <w:rtl/>
        </w:rPr>
        <w:t>, כלומר בחורף תרמ״ד. השווה גם “</w:t>
      </w:r>
      <w:proofErr w:type="spellStart"/>
      <w:r>
        <w:rPr>
          <w:rtl/>
        </w:rPr>
        <w:t>זכרון</w:t>
      </w:r>
      <w:proofErr w:type="spellEnd"/>
      <w:r>
        <w:rPr>
          <w:rtl/>
        </w:rPr>
        <w:t xml:space="preserve"> יעקב”</w:t>
      </w:r>
      <w:bookmarkStart w:id="5139" w:name="_fnr3817"/>
      <w:r>
        <w:rPr>
          <w:vertAlign w:val="superscript"/>
          <w:rtl/>
        </w:rPr>
        <w:footnoteReference w:id="3825" w:customMarkFollows="0"/>
      </w:r>
      <w:bookmarkEnd w:id="5139"/>
      <w:r>
        <w:rPr>
          <w:rtl/>
        </w:rPr>
        <w:t xml:space="preserve">, המתאר פגישה בין ר׳ ישראל </w:t>
      </w:r>
      <w:proofErr w:type="spellStart"/>
      <w:r>
        <w:rPr>
          <w:rtl/>
        </w:rPr>
        <w:t>לר</w:t>
      </w:r>
      <w:proofErr w:type="spellEnd"/>
      <w:r>
        <w:rPr>
          <w:rtl/>
        </w:rPr>
        <w:t>׳ לייזר גורדון בחצי השנה האחרונה לחייו של ר׳ ישראל, ובה מתואר ר׳ לייזר עדיין כרבה של קלם.</w:t>
      </w:r>
    </w:p>
    <w:p w14:paraId="14DC949A" w14:textId="77777777" w:rsidR="00AB3647" w:rsidRDefault="00000000" w:rsidP="007923E9">
      <w:pPr>
        <w:spacing w:after="120" w:line="276" w:lineRule="auto"/>
        <w:ind w:firstLine="283"/>
        <w:jc w:val="both"/>
      </w:pPr>
      <w:proofErr w:type="spellStart"/>
      <w:r>
        <w:rPr>
          <w:rtl/>
        </w:rPr>
        <w:t>ב“זכרון</w:t>
      </w:r>
      <w:proofErr w:type="spellEnd"/>
      <w:r>
        <w:rPr>
          <w:rtl/>
        </w:rPr>
        <w:t xml:space="preserve"> יעקב”</w:t>
      </w:r>
      <w:bookmarkStart w:id="5140" w:name="_fnr3818"/>
      <w:r>
        <w:rPr>
          <w:vertAlign w:val="superscript"/>
          <w:rtl/>
        </w:rPr>
        <w:footnoteReference w:id="3826" w:customMarkFollows="0"/>
      </w:r>
      <w:bookmarkEnd w:id="5140"/>
      <w:r>
        <w:rPr>
          <w:rtl/>
        </w:rPr>
        <w:t xml:space="preserve"> מתוארים באריכות המאמצים שנעשו “בסוף קיץ תרמ״ב” לשכנע את הברון </w:t>
      </w:r>
      <w:proofErr w:type="spellStart"/>
      <w:r>
        <w:rPr>
          <w:rtl/>
        </w:rPr>
        <w:t>גינצבורג</w:t>
      </w:r>
      <w:proofErr w:type="spellEnd"/>
      <w:r>
        <w:rPr>
          <w:rtl/>
        </w:rPr>
        <w:t xml:space="preserve"> לחזור בו מהצעתו, מתחילת אותו קיץ, לחדש את פעולתו של בית מדרש לרבנים ברוסיה. שני המוסדות הקודמים, בווילנה </w:t>
      </w:r>
      <w:proofErr w:type="spellStart"/>
      <w:r>
        <w:rPr>
          <w:rtl/>
        </w:rPr>
        <w:t>ובז׳יטומיר</w:t>
      </w:r>
      <w:proofErr w:type="spellEnd"/>
      <w:r>
        <w:rPr>
          <w:rtl/>
        </w:rPr>
        <w:t xml:space="preserve">, נסגרו בידי הממשלה הרוסית תשע שנים קודם לכן. הברון דוד הצעיר הציע לחדש את פעולתם במכתב ששלח – “ללא ספק בהסכמת אביו, הברון </w:t>
      </w:r>
      <w:proofErr w:type="spellStart"/>
      <w:r>
        <w:rPr>
          <w:rtl/>
        </w:rPr>
        <w:t>נפתלי־הרץ</w:t>
      </w:r>
      <w:proofErr w:type="spellEnd"/>
      <w:r>
        <w:rPr>
          <w:rtl/>
        </w:rPr>
        <w:t xml:space="preserve"> (</w:t>
      </w:r>
      <w:proofErr w:type="spellStart"/>
      <w:r>
        <w:rPr>
          <w:rtl/>
        </w:rPr>
        <w:t>הוראס</w:t>
      </w:r>
      <w:proofErr w:type="spellEnd"/>
      <w:r>
        <w:rPr>
          <w:rtl/>
        </w:rPr>
        <w:t xml:space="preserve">) </w:t>
      </w:r>
      <w:proofErr w:type="spellStart"/>
      <w:r>
        <w:rPr>
          <w:rtl/>
        </w:rPr>
        <w:t>גינצבורג</w:t>
      </w:r>
      <w:proofErr w:type="spellEnd"/>
      <w:r>
        <w:rPr>
          <w:rtl/>
        </w:rPr>
        <w:t xml:space="preserve">, ושאר האצילים [היהודים] מפטרבורג” – אל רשות החינוך הממשלתית בווילנה, “והדבר הכאיב מאוד ללבות החרדים”. עוד מסופר שם</w:t>
      </w:r>
      <w:bookmarkStart w:id="5141" w:name="_fnr3819"/>
      <w:r>
        <w:rPr>
          <w:vertAlign w:val="superscript"/>
          <w:rtl/>
        </w:rPr>
        <w:footnoteReference w:id="3827" w:customMarkFollows="0"/>
      </w:r>
      <w:bookmarkEnd w:id="5141"/>
      <w:r>
        <w:rPr>
          <w:rtl/>
        </w:rPr>
        <w:t xml:space="preserve">: “בעודנו משוחחים” – ר׳ ישראל </w:t>
      </w:r>
      <w:proofErr w:type="spellStart"/>
      <w:r>
        <w:rPr>
          <w:rtl/>
        </w:rPr>
        <w:t>סלנטר</w:t>
      </w:r>
      <w:proofErr w:type="spellEnd"/>
      <w:r>
        <w:rPr>
          <w:rtl/>
        </w:rPr>
        <w:t xml:space="preserve"> ומחבר הזיכרונות, ר׳ יעקב הלוי ליפשיץ – “[כיצד לסכל את ההצעה להקמת בית המדרש לרבנים], נכנסו ר׳ לייזר גורדון, שהיה אז רבה של קלם (ואחר כך רבה של </w:t>
      </w:r>
      <w:proofErr w:type="spellStart"/>
      <w:r>
        <w:rPr>
          <w:rtl/>
        </w:rPr>
        <w:t>טלז</w:t>
      </w:r>
      <w:proofErr w:type="spellEnd"/>
      <w:r>
        <w:rPr>
          <w:rtl/>
        </w:rPr>
        <w:t xml:space="preserve">) (ההדגשה שלי), ור׳ אהרן </w:t>
      </w:r>
      <w:proofErr w:type="spellStart"/>
      <w:r>
        <w:rPr>
          <w:rtl/>
        </w:rPr>
        <w:t>נביאז׳סקי</w:t>
      </w:r>
      <w:proofErr w:type="spellEnd"/>
      <w:r>
        <w:rPr>
          <w:rtl/>
        </w:rPr>
        <w:t xml:space="preserve"> [</w:t>
      </w:r>
      <w:proofErr w:type="spellStart"/>
      <w:r>
        <w:rPr>
          <w:rtl/>
        </w:rPr>
        <w:t>הנביאז׳ער</w:t>
      </w:r>
      <w:proofErr w:type="spellEnd"/>
      <w:r>
        <w:rPr>
          <w:rtl/>
        </w:rPr>
        <w:t>]... והצטרפו לדיון”.</w:t>
      </w:r>
    </w:p>
    <w:p w14:paraId="6D3D8C65" w14:textId="77777777" w:rsidR="00AB3647" w:rsidRDefault="00000000" w:rsidP="007923E9">
      <w:pPr>
        <w:spacing w:after="120" w:line="276" w:lineRule="auto"/>
        <w:ind w:firstLine="283"/>
        <w:jc w:val="both"/>
      </w:pPr>
      <w:r>
        <w:rPr>
          <w:rtl/>
        </w:rPr>
        <w:lastRenderedPageBreak/>
        <w:t>לקראת אלול והימים הנוראים עזב ר׳ ישראל את קובנה ונסע לממל, שבה השקיע במשך השנים מאמצים רבים בחיזוק חיי היהדות בעיר</w:t>
      </w:r>
      <w:bookmarkStart w:id="5142" w:name="_fnr3820"/>
      <w:r>
        <w:rPr>
          <w:vertAlign w:val="superscript"/>
          <w:rtl/>
        </w:rPr>
        <w:footnoteReference w:id="3828" w:customMarkFollows="0"/>
      </w:r>
      <w:bookmarkEnd w:id="5142"/>
      <w:r>
        <w:rPr>
          <w:rtl/>
        </w:rPr>
        <w:t xml:space="preserve">. משם המשיך לקניגסברג, ושם נפטר. המעשה המתואר </w:t>
      </w:r>
      <w:proofErr w:type="spellStart"/>
      <w:r>
        <w:rPr>
          <w:rtl/>
        </w:rPr>
        <w:t>ברבינר</w:t>
      </w:r>
      <w:proofErr w:type="spellEnd"/>
      <w:r>
        <w:rPr>
          <w:rtl/>
        </w:rPr>
        <w:t xml:space="preserve">, “הגאון רבי אליעזר גורדון”, מוכרח אפוא היה להתרחש לפני שבא ר׳ לייזר </w:t>
      </w:r>
      <w:proofErr w:type="spellStart"/>
      <w:r>
        <w:rPr>
          <w:rtl/>
        </w:rPr>
        <w:t>לטלז</w:t>
      </w:r>
      <w:proofErr w:type="spellEnd"/>
      <w:r>
        <w:rPr>
          <w:rtl/>
        </w:rPr>
        <w:t xml:space="preserve">, כשעדיין כיהן כרבה של קלם. מכיוון ששמו של ר׳ לייזר קשור בקביעות לישיבת </w:t>
      </w:r>
      <w:proofErr w:type="spellStart"/>
      <w:r>
        <w:rPr>
          <w:rtl/>
        </w:rPr>
        <w:t>טלז</w:t>
      </w:r>
      <w:proofErr w:type="spellEnd"/>
      <w:r>
        <w:rPr>
          <w:rtl/>
        </w:rPr>
        <w:t xml:space="preserve">, הועתק בטעות מעשה שאירע </w:t>
      </w:r>
      <w:proofErr w:type="spellStart"/>
      <w:r>
        <w:rPr>
          <w:rtl/>
        </w:rPr>
        <w:t>בקלם</w:t>
      </w:r>
      <w:proofErr w:type="spellEnd"/>
      <w:r>
        <w:rPr>
          <w:rtl/>
        </w:rPr>
        <w:t xml:space="preserve"> </w:t>
      </w:r>
      <w:proofErr w:type="spellStart"/>
      <w:r>
        <w:rPr>
          <w:rtl/>
        </w:rPr>
        <w:t>לטלז</w:t>
      </w:r>
      <w:proofErr w:type="spellEnd"/>
      <w:r>
        <w:rPr>
          <w:rtl/>
        </w:rPr>
        <w:t xml:space="preserve"> – אם בידי מי שסיפר את הדברים </w:t>
      </w:r>
      <w:proofErr w:type="spellStart"/>
      <w:r>
        <w:rPr>
          <w:rtl/>
        </w:rPr>
        <w:t>לר</w:t>
      </w:r>
      <w:proofErr w:type="spellEnd"/>
      <w:r>
        <w:rPr>
          <w:rtl/>
        </w:rPr>
        <w:t xml:space="preserve">׳ </w:t>
      </w:r>
      <w:proofErr w:type="spellStart"/>
      <w:r>
        <w:rPr>
          <w:rtl/>
        </w:rPr>
        <w:t>יוסף־זאב</w:t>
      </w:r>
      <w:proofErr w:type="spellEnd"/>
      <w:r>
        <w:rPr>
          <w:rtl/>
        </w:rPr>
        <w:t xml:space="preserve"> </w:t>
      </w:r>
      <w:proofErr w:type="spellStart"/>
      <w:r>
        <w:rPr>
          <w:rtl/>
        </w:rPr>
        <w:t>ליפוביץ</w:t>
      </w:r>
      <w:proofErr w:type="spellEnd"/>
      <w:r>
        <w:rPr>
          <w:rtl/>
        </w:rPr>
        <w:t xml:space="preserve"> ואם בידי ר׳ </w:t>
      </w:r>
      <w:proofErr w:type="spellStart"/>
      <w:r>
        <w:rPr>
          <w:rtl/>
        </w:rPr>
        <w:t>יוסף־זאב</w:t>
      </w:r>
      <w:proofErr w:type="spellEnd"/>
      <w:r>
        <w:rPr>
          <w:rtl/>
        </w:rPr>
        <w:t xml:space="preserve"> </w:t>
      </w:r>
      <w:proofErr w:type="spellStart"/>
      <w:r>
        <w:rPr>
          <w:rtl/>
        </w:rPr>
        <w:t>ליפוביץ</w:t>
      </w:r>
      <w:proofErr w:type="spellEnd"/>
      <w:r>
        <w:rPr>
          <w:rtl/>
        </w:rPr>
        <w:t xml:space="preserve"> עצמו</w:t>
      </w:r>
      <w:bookmarkStart w:id="5143" w:name="_fnr3821"/>
      <w:r>
        <w:rPr>
          <w:vertAlign w:val="superscript"/>
          <w:rtl/>
        </w:rPr>
        <w:footnoteReference w:id="3829" w:customMarkFollows="0"/>
      </w:r>
      <w:bookmarkEnd w:id="5143"/>
      <w:r>
        <w:rPr>
          <w:rtl/>
        </w:rPr>
        <w:t>.</w:t>
      </w:r>
    </w:p>
    <w:p w14:paraId="6D3FDE39" w14:textId="77777777" w:rsidR="00AB3647" w:rsidRDefault="00000000" w:rsidP="007923E9">
      <w:pPr>
        <w:spacing w:after="120" w:line="276" w:lineRule="auto"/>
        <w:ind w:firstLine="283"/>
        <w:jc w:val="both"/>
      </w:pPr>
      <w:r>
        <w:rPr>
          <w:rtl/>
        </w:rPr>
        <w:t>הספר “יובל המאה”</w:t>
      </w:r>
      <w:bookmarkStart w:id="5144" w:name="_fnr3822"/>
      <w:bookmarkStart w:id="5145" w:name="pr_f_3711"/>
      <w:r>
        <w:rPr>
          <w:vertAlign w:val="superscript"/>
          <w:rtl/>
        </w:rPr>
        <w:footnoteReference w:id="3830" w:customMarkFollows="0"/>
      </w:r>
      <w:bookmarkEnd w:id="5144"/>
      <w:bookmarkEnd w:id="5145"/>
      <w:r>
        <w:rPr>
          <w:rtl/>
        </w:rPr>
        <w:t xml:space="preserve"> מקדים את זמנם של שני מאורעות הקשורים </w:t>
      </w:r>
      <w:proofErr w:type="spellStart"/>
      <w:r>
        <w:rPr>
          <w:rtl/>
        </w:rPr>
        <w:t>בטלז</w:t>
      </w:r>
      <w:proofErr w:type="spellEnd"/>
      <w:r>
        <w:rPr>
          <w:rtl/>
        </w:rPr>
        <w:t xml:space="preserve">. הוא נוקב בשנת תרל״ה כשנת ייסודה של ישיבה </w:t>
      </w:r>
      <w:proofErr w:type="spellStart"/>
      <w:r>
        <w:rPr>
          <w:rtl/>
        </w:rPr>
        <w:t>בטלז</w:t>
      </w:r>
      <w:proofErr w:type="spellEnd"/>
      <w:r>
        <w:rPr>
          <w:rtl/>
        </w:rPr>
        <w:t xml:space="preserve"> בידי “שלושה אברכים”, ששמותיהם מובאים שם, ושעליהם ועל ישיבתם סיפר אבי בשיחה המוקלטת עם אברכי הכולל של ישיבת רבנו ישראל מאיר הכהן</w:t>
      </w:r>
      <w:bookmarkStart w:id="5146" w:name="_fnr3823"/>
      <w:r>
        <w:rPr>
          <w:vertAlign w:val="superscript"/>
          <w:rtl/>
        </w:rPr>
        <w:footnoteReference w:id="3831" w:customMarkFollows="0"/>
      </w:r>
      <w:bookmarkEnd w:id="5146"/>
      <w:r>
        <w:rPr>
          <w:rtl/>
        </w:rPr>
        <w:t xml:space="preserve">; ואת תרמ״א הוא מציין כשנה שבה נתמנה ר׳ לייזר גורדון לרבה של </w:t>
      </w:r>
      <w:proofErr w:type="spellStart"/>
      <w:r>
        <w:rPr>
          <w:rtl/>
        </w:rPr>
        <w:t>טלז</w:t>
      </w:r>
      <w:proofErr w:type="spellEnd"/>
      <w:r>
        <w:rPr>
          <w:rtl/>
        </w:rPr>
        <w:t>. שני התאריכים מוטעים. ישיבת שלושת האברכים היא שנוסדה בשנת תרמ״א: ראה כץ, “תנועת המוסר”, כרך ב</w:t>
      </w:r>
      <w:bookmarkStart w:id="5147" w:name="_fnr3824"/>
      <w:r>
        <w:rPr>
          <w:vertAlign w:val="superscript"/>
          <w:rtl/>
        </w:rPr>
        <w:footnoteReference w:id="3832" w:customMarkFollows="0"/>
      </w:r>
      <w:bookmarkEnd w:id="5147"/>
      <w:r>
        <w:rPr>
          <w:rtl/>
        </w:rPr>
        <w:t xml:space="preserve">, המפריך את טענת “אנשי ישיבת </w:t>
      </w:r>
      <w:proofErr w:type="spellStart"/>
      <w:r>
        <w:rPr>
          <w:rtl/>
        </w:rPr>
        <w:t>טלז</w:t>
      </w:r>
      <w:proofErr w:type="spellEnd"/>
      <w:r>
        <w:rPr>
          <w:rtl/>
        </w:rPr>
        <w:t xml:space="preserve"> (?) המונים את ייסודה משנת תרל״ז” בראיה שאין עליה תשובה מזיכרונותיו של אחד מעשרת תלמידיה הראשונים, ר׳ </w:t>
      </w:r>
      <w:proofErr w:type="spellStart"/>
      <w:r>
        <w:rPr>
          <w:rtl/>
        </w:rPr>
        <w:t>אליהו־מאיר</w:t>
      </w:r>
      <w:proofErr w:type="spellEnd"/>
      <w:r>
        <w:rPr>
          <w:rtl/>
        </w:rPr>
        <w:t xml:space="preserve"> </w:t>
      </w:r>
      <w:proofErr w:type="spellStart"/>
      <w:r>
        <w:rPr>
          <w:rtl/>
        </w:rPr>
        <w:t>פייבלזון</w:t>
      </w:r>
      <w:proofErr w:type="spellEnd"/>
      <w:r>
        <w:rPr>
          <w:rtl/>
        </w:rPr>
        <w:t xml:space="preserve">, רבה של </w:t>
      </w:r>
      <w:proofErr w:type="spellStart"/>
      <w:r>
        <w:rPr>
          <w:rtl/>
        </w:rPr>
        <w:t>קופישוק</w:t>
      </w:r>
      <w:bookmarkStart w:id="5148" w:name="_fnr3825"/>
      <w:proofErr w:type="spellEnd"/>
      <w:r>
        <w:rPr>
          <w:vertAlign w:val="superscript"/>
          <w:rtl/>
        </w:rPr>
        <w:footnoteReference w:id="3833" w:customMarkFollows="0"/>
      </w:r>
      <w:bookmarkEnd w:id="5148"/>
      <w:r>
        <w:rPr>
          <w:rtl/>
        </w:rPr>
        <w:t xml:space="preserve">, שלפיהם נוסדה ישיבת </w:t>
      </w:r>
      <w:proofErr w:type="spellStart"/>
      <w:r>
        <w:rPr>
          <w:rtl/>
        </w:rPr>
        <w:t>טלז</w:t>
      </w:r>
      <w:proofErr w:type="spellEnd"/>
      <w:r>
        <w:rPr>
          <w:rtl/>
        </w:rPr>
        <w:t xml:space="preserve"> הראשונה בשנת תרמ״א</w:t>
      </w:r>
      <w:bookmarkStart w:id="5149" w:name="_fnr3826"/>
      <w:r>
        <w:rPr>
          <w:vertAlign w:val="superscript"/>
          <w:rtl/>
        </w:rPr>
        <w:footnoteReference w:id="3834" w:customMarkFollows="0"/>
      </w:r>
      <w:bookmarkEnd w:id="5149"/>
      <w:r>
        <w:rPr>
          <w:rtl/>
        </w:rPr>
        <w:t xml:space="preserve">. ור׳ לייזר נתמנה לרבה של </w:t>
      </w:r>
      <w:proofErr w:type="spellStart"/>
      <w:r>
        <w:rPr>
          <w:rtl/>
        </w:rPr>
        <w:t>טלז</w:t>
      </w:r>
      <w:proofErr w:type="spellEnd"/>
      <w:r>
        <w:rPr>
          <w:rtl/>
        </w:rPr>
        <w:t xml:space="preserve"> רק </w:t>
      </w:r>
      <w:proofErr w:type="spellStart"/>
      <w:r>
        <w:rPr>
          <w:rtl/>
        </w:rPr>
        <w:t>בתרמ״ד</w:t>
      </w:r>
      <w:proofErr w:type="spellEnd"/>
      <w:r>
        <w:rPr>
          <w:rtl/>
        </w:rPr>
        <w:t>, כאמור לעיל</w:t>
      </w:r>
      <w:bookmarkStart w:id="5150" w:name="_fnr3827"/>
      <w:r>
        <w:rPr>
          <w:vertAlign w:val="superscript"/>
          <w:rtl/>
        </w:rPr>
        <w:footnoteReference w:id="3835" w:customMarkFollows="0"/>
      </w:r>
      <w:bookmarkEnd w:id="5150"/>
      <w:r>
        <w:rPr>
          <w:rtl/>
        </w:rPr>
        <w:t>.</w:t>
      </w:r>
    </w:p>
    <w:p w14:paraId="463D2153" w14:textId="64380406" w:rsidR="00AB3647" w:rsidRDefault="00000000" w:rsidP="007923E9">
      <w:pPr>
        <w:spacing w:after="120" w:line="276" w:lineRule="auto"/>
        <w:ind w:firstLine="283"/>
        <w:jc w:val="both"/>
      </w:pPr>
      <w:proofErr w:type="spellStart"/>
      <w:r>
        <w:rPr>
          <w:rtl/>
        </w:rPr>
        <w:t>רבינר</w:t>
      </w:r>
      <w:proofErr w:type="spellEnd"/>
      <w:r>
        <w:rPr>
          <w:rtl/>
        </w:rPr>
        <w:t xml:space="preserve">, “הגאון רבי אליעזר גורדון”, אינו מציין מתי נערך הביקור המשותף של ר׳ ישראל </w:t>
      </w:r>
      <w:proofErr w:type="spellStart"/>
      <w:r>
        <w:rPr>
          <w:rtl/>
        </w:rPr>
        <w:t>סלנטר</w:t>
      </w:r>
      <w:proofErr w:type="spellEnd"/>
      <w:r>
        <w:rPr>
          <w:rtl/>
        </w:rPr>
        <w:t xml:space="preserve"> </w:t>
      </w:r>
      <w:proofErr w:type="spellStart"/>
      <w:r>
        <w:rPr>
          <w:rtl/>
        </w:rPr>
        <w:t>וגינצבורג</w:t>
      </w:r>
      <w:proofErr w:type="spellEnd"/>
      <w:r>
        <w:rPr>
          <w:rtl/>
        </w:rPr>
        <w:t xml:space="preserve"> בישיבתו של ר׳ לייזר. תחילה סברתי שאפשר שהביקור נערך אחרי שהותו של ר׳ ישראל בקובנה.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xml:space="preserve">, שם הוסק שבדרכו מקובנה לממל סטה ר׳ ישראל מן הדרך ועבר </w:t>
      </w:r>
      <w:proofErr w:type="spellStart"/>
      <w:r>
        <w:rPr>
          <w:rtl/>
        </w:rPr>
        <w:t>בקלם</w:t>
      </w:r>
      <w:proofErr w:type="spellEnd"/>
      <w:r>
        <w:rPr>
          <w:rtl/>
        </w:rPr>
        <w:t xml:space="preserve"> – סטייה של כ־25 קילומטר בלבד מנתיב קובנה–ממל – כדי לפגוש את ר׳ לייב חסיד; וייתכן שתיאם עם ר׳ לייזר גורדון ביקור בישיבה המקומית, יחד עם הברון דוד </w:t>
      </w:r>
      <w:proofErr w:type="spellStart"/>
      <w:r>
        <w:rPr>
          <w:rtl/>
        </w:rPr>
        <w:t>גינצבורג</w:t>
      </w:r>
      <w:proofErr w:type="spellEnd"/>
      <w:r>
        <w:rPr>
          <w:rtl/>
        </w:rPr>
        <w:t xml:space="preserve">, לאותו מועד. אבל מכתב ששלח ר׳ ישראל מקניגסברג </w:t>
      </w:r>
      <w:proofErr w:type="spellStart"/>
      <w:r>
        <w:rPr>
          <w:rtl/>
        </w:rPr>
        <w:lastRenderedPageBreak/>
        <w:t>לר</w:t>
      </w:r>
      <w:proofErr w:type="spellEnd"/>
      <w:r>
        <w:rPr>
          <w:rtl/>
        </w:rPr>
        <w:t>׳ יעקב הלוי ליפשיץ, שנכתב “אור ליום ב׳ מקץ תרמ״ג” (כ״ד בכסלו תרמ״ג)</w:t>
      </w:r>
      <w:bookmarkStart w:id="5151" w:name="_fnr3828"/>
      <w:bookmarkEnd w:id="5151"/>
      <w:r>
        <w:rPr>
          <w:rStyle w:val="a5"/>
        </w:rPr>
        <w:t/>
      </w:r>
      <w:bookmarkStart w:id="7039" w:name="_TranslatorNote_5394"/>
      <w:r>
        <w:rPr>
          <w:rStyle w:val="a5"/>
          <w:vertAlign w:val="superscript"/>
          <w:rtl/>
        </w:rPr>
        <w:footnoteReference w:id="3836" w:customMarkFollows="1"/>
        <w:t>*</w:t>
      </w:r>
      <w:bookmarkEnd w:id="7039"/>
      <w:r>
        <w:rPr>
          <w:rtl/>
        </w:rPr>
        <w:t xml:space="preserve"> והובא </w:t>
      </w:r>
      <w:proofErr w:type="spellStart"/>
      <w:r>
        <w:rPr>
          <w:rtl/>
        </w:rPr>
        <w:t>ב“זכרון</w:t>
      </w:r>
      <w:proofErr w:type="spellEnd"/>
      <w:r>
        <w:rPr>
          <w:rtl/>
        </w:rPr>
        <w:t xml:space="preserve"> יעקב”</w:t>
      </w:r>
      <w:bookmarkStart w:id="5152" w:name="_fnr3829"/>
      <w:r>
        <w:rPr>
          <w:vertAlign w:val="superscript"/>
          <w:rtl/>
        </w:rPr>
        <w:footnoteReference w:id="3837" w:customMarkFollows="0"/>
      </w:r>
      <w:bookmarkEnd w:id="5152"/>
      <w:r>
        <w:rPr>
          <w:rtl/>
        </w:rPr>
        <w:t>, מוכיח שר׳ ישראל לא נפגש עם הברון הצעיר אחרי שהותו בקובנה.</w:t>
      </w:r>
    </w:p>
    <w:p w14:paraId="3234474B" w14:textId="77777777" w:rsidR="00AB3647" w:rsidRDefault="00000000" w:rsidP="007923E9">
      <w:pPr>
        <w:spacing w:after="120" w:line="276" w:lineRule="auto"/>
        <w:ind w:firstLine="283"/>
        <w:jc w:val="both"/>
      </w:pPr>
      <w:r>
        <w:rPr>
          <w:rtl/>
        </w:rPr>
        <w:t xml:space="preserve">במכתב ביקש ר׳ ישראל מן הנמען למסור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 רבה של קובנה ומן הפעילים המרכזיים בניסיון לשכנע את </w:t>
      </w:r>
      <w:proofErr w:type="spellStart"/>
      <w:r>
        <w:rPr>
          <w:rtl/>
        </w:rPr>
        <w:t>גינצבורג</w:t>
      </w:r>
      <w:proofErr w:type="spellEnd"/>
      <w:r>
        <w:rPr>
          <w:rtl/>
        </w:rPr>
        <w:t xml:space="preserve"> באיוולת שבקידום הקמת בית המדרש לרבנים, כפי שיתואר להלן – שהוא, ר׳ ישראל, אינו יכול לכתוב </w:t>
      </w:r>
      <w:proofErr w:type="spellStart"/>
      <w:r>
        <w:rPr>
          <w:rtl/>
        </w:rPr>
        <w:t>לגינצבורג</w:t>
      </w:r>
      <w:proofErr w:type="spellEnd"/>
      <w:r>
        <w:rPr>
          <w:rtl/>
        </w:rPr>
        <w:t xml:space="preserve"> יחד עם שאר גדולי התורה שנתבקשו לעשות כן, “מפני שהברון” – כנראה </w:t>
      </w:r>
      <w:proofErr w:type="spellStart"/>
      <w:r>
        <w:rPr>
          <w:rtl/>
        </w:rPr>
        <w:t>הוראס</w:t>
      </w:r>
      <w:proofErr w:type="spellEnd"/>
      <w:r>
        <w:rPr>
          <w:rtl/>
        </w:rPr>
        <w:t xml:space="preserve">, אביו של דוד – “דיבר עמי </w:t>
      </w:r>
      <w:proofErr w:type="spellStart"/>
      <w:r>
        <w:rPr>
          <w:rtl/>
        </w:rPr>
        <w:t>בענין</w:t>
      </w:r>
      <w:proofErr w:type="spellEnd"/>
      <w:r>
        <w:rPr>
          <w:rtl/>
        </w:rPr>
        <w:t xml:space="preserve"> זה לפני שתי שנים”, </w:t>
      </w:r>
      <w:proofErr w:type="spellStart"/>
      <w:r>
        <w:rPr>
          <w:rtl/>
        </w:rPr>
        <w:t>בתר״ם</w:t>
      </w:r>
      <w:proofErr w:type="spellEnd"/>
      <w:r>
        <w:rPr>
          <w:rtl/>
        </w:rPr>
        <w:t>, “בפאריז”. ר׳ ישראל שהה בפריז שנתיים, לפני ששב לשהותו האחרונה בקובנה, קודם פטירתו, והברון העלה לפניו את שאלת בית המדרש לרבנים זמן קצר אחרי שהגיע לשם.</w:t>
      </w:r>
    </w:p>
    <w:p w14:paraId="1A9FCF6E" w14:textId="77777777" w:rsidR="00AB3647" w:rsidRDefault="00000000" w:rsidP="007923E9">
      <w:pPr>
        <w:spacing w:after="120" w:line="276" w:lineRule="auto"/>
        <w:ind w:firstLine="283"/>
        <w:jc w:val="both"/>
      </w:pPr>
      <w:r>
        <w:rPr>
          <w:rtl/>
        </w:rPr>
        <w:t xml:space="preserve">במכתבו לא הזכיר ר׳ ישראל שבמפגש </w:t>
      </w:r>
      <w:proofErr w:type="spellStart"/>
      <w:r>
        <w:rPr>
          <w:rtl/>
        </w:rPr>
        <w:t>בקלם</w:t>
      </w:r>
      <w:proofErr w:type="spellEnd"/>
      <w:r>
        <w:rPr>
          <w:rtl/>
        </w:rPr>
        <w:t xml:space="preserve"> עם הברון הצעיר – מי ששלח מלכתחילה את המכתב לרשות החינוך – לא היה באפשרותו לדבר עמו על בית המדרש לרבנים, מאותה סיבה שבגללה לא יכול היה לכתוב את המכתב שהוצע לו לשלוח לברון. ומכאן הוכחה </w:t>
      </w:r>
      <w:proofErr w:type="spellStart"/>
      <w:r>
        <w:rPr>
          <w:rtl/>
        </w:rPr>
        <w:t>חד־משמעית</w:t>
      </w:r>
      <w:proofErr w:type="spellEnd"/>
      <w:r>
        <w:rPr>
          <w:rtl/>
        </w:rPr>
        <w:t xml:space="preserve"> שלא נפגש עם הברון דוד אחרי צאתו מקובנה.</w:t>
      </w:r>
    </w:p>
    <w:p w14:paraId="7FE577DD" w14:textId="77777777" w:rsidR="00AB3647" w:rsidRDefault="00000000" w:rsidP="007923E9">
      <w:pPr>
        <w:spacing w:after="120" w:line="276" w:lineRule="auto"/>
        <w:ind w:firstLine="283"/>
        <w:jc w:val="both"/>
      </w:pPr>
      <w:r>
        <w:rPr>
          <w:rtl/>
        </w:rPr>
        <w:t xml:space="preserve">עם זאת, ייתכן שהביקור המשותף </w:t>
      </w:r>
      <w:proofErr w:type="spellStart"/>
      <w:r>
        <w:rPr>
          <w:rtl/>
        </w:rPr>
        <w:t>בקלם</w:t>
      </w:r>
      <w:proofErr w:type="spellEnd"/>
      <w:r>
        <w:rPr>
          <w:rtl/>
        </w:rPr>
        <w:t xml:space="preserve"> נערך בראשית קיץ תרמ״ב, מיד אחרי שחזר ר׳ ישראל מפריז ולפני שהגיע לקובנה. מעורבותו של הברון בעניין בית המדרש לרבנים נודעה רק “בסוף קיץ תרמ״ב”, כאמור לעיל </w:t>
      </w:r>
      <w:proofErr w:type="spellStart"/>
      <w:r>
        <w:rPr>
          <w:rtl/>
        </w:rPr>
        <w:t>מ“זכרון</w:t>
      </w:r>
      <w:proofErr w:type="spellEnd"/>
      <w:r>
        <w:rPr>
          <w:rtl/>
        </w:rPr>
        <w:t xml:space="preserve"> יעקב”</w:t>
      </w:r>
      <w:bookmarkStart w:id="5153" w:name="_fnr3830"/>
      <w:r>
        <w:rPr>
          <w:vertAlign w:val="superscript"/>
          <w:rtl/>
        </w:rPr>
        <w:footnoteReference w:id="3838" w:customMarkFollows="0"/>
      </w:r>
      <w:bookmarkEnd w:id="5153"/>
      <w:r>
        <w:rPr>
          <w:rtl/>
        </w:rPr>
        <w:t xml:space="preserve">, ולכן לא היה </w:t>
      </w:r>
      <w:proofErr w:type="spellStart"/>
      <w:r>
        <w:rPr>
          <w:rtl/>
        </w:rPr>
        <w:t>לר</w:t>
      </w:r>
      <w:proofErr w:type="spellEnd"/>
      <w:r>
        <w:rPr>
          <w:rtl/>
        </w:rPr>
        <w:t xml:space="preserve">׳ ישראל שום טעם להעלות את </w:t>
      </w:r>
      <w:proofErr w:type="spellStart"/>
      <w:r>
        <w:rPr>
          <w:rtl/>
        </w:rPr>
        <w:t>הסוגיה</w:t>
      </w:r>
      <w:proofErr w:type="spellEnd"/>
      <w:r>
        <w:rPr>
          <w:rtl/>
        </w:rPr>
        <w:t xml:space="preserve"> לפני הברון דוד כשנפגשו </w:t>
      </w:r>
      <w:proofErr w:type="spellStart"/>
      <w:r>
        <w:rPr>
          <w:rtl/>
        </w:rPr>
        <w:t>בקלם</w:t>
      </w:r>
      <w:bookmarkStart w:id="5154" w:name="_fnr3831"/>
      <w:proofErr w:type="spellEnd"/>
      <w:r>
        <w:rPr>
          <w:vertAlign w:val="superscript"/>
          <w:rtl/>
        </w:rPr>
        <w:footnoteReference w:id="3839" w:customMarkFollows="0"/>
      </w:r>
      <w:bookmarkEnd w:id="5154"/>
      <w:r>
        <w:rPr>
          <w:rtl/>
        </w:rPr>
        <w:t>.</w:t>
      </w:r>
    </w:p>
    <w:p w14:paraId="21344F60" w14:textId="77777777" w:rsidR="00AB3647" w:rsidRDefault="00000000" w:rsidP="007923E9">
      <w:pPr>
        <w:spacing w:after="120" w:line="276" w:lineRule="auto"/>
        <w:ind w:firstLine="283"/>
        <w:jc w:val="both"/>
      </w:pPr>
      <w:r>
        <w:rPr>
          <w:rtl/>
        </w:rPr>
        <w:t xml:space="preserve">אבל נראה שגם תיארוך זה של הביקור המשותף </w:t>
      </w:r>
      <w:proofErr w:type="spellStart"/>
      <w:r>
        <w:rPr>
          <w:rtl/>
        </w:rPr>
        <w:t>בקלם</w:t>
      </w:r>
      <w:proofErr w:type="spellEnd"/>
      <w:r>
        <w:rPr>
          <w:rtl/>
        </w:rPr>
        <w:t xml:space="preserve"> אינו נכון. אין זה סביר שכשנפגשו שוב ר׳ ישראל ור׳ לייזר – הפעם בקובנה – זמן קצר כל כך אחרי הפגישה עם הברון דוד, לא הזכירו באוזני ר׳ יעקב הלוי ליפשיץ את הפגישה שהתקיימה זה מקרוב. אילו הוזכרה באוזניו, ודאי היה מציין אותה בזיכרונותיו כשכתב על בואם של ר׳ לייזר ור׳ אהרן </w:t>
      </w:r>
      <w:proofErr w:type="spellStart"/>
      <w:r>
        <w:rPr>
          <w:rtl/>
        </w:rPr>
        <w:t>הנביאז׳ער</w:t>
      </w:r>
      <w:proofErr w:type="spellEnd"/>
      <w:r>
        <w:rPr>
          <w:rtl/>
        </w:rPr>
        <w:t xml:space="preserve"> להצטרף לדיון, כפי שהובא לעיל.</w:t>
      </w:r>
    </w:p>
    <w:p w14:paraId="6ED5D38A" w14:textId="53FF41A8" w:rsidR="00AB3647" w:rsidRDefault="00000000" w:rsidP="007923E9">
      <w:pPr>
        <w:spacing w:after="120" w:line="276" w:lineRule="auto"/>
        <w:ind w:firstLine="283"/>
        <w:jc w:val="both"/>
      </w:pPr>
      <w:r>
        <w:rPr>
          <w:rtl/>
        </w:rPr>
        <w:t xml:space="preserve">מסתבר, אם כן, שהמעשה המתואר </w:t>
      </w:r>
      <w:proofErr w:type="spellStart"/>
      <w:r>
        <w:rPr>
          <w:rtl/>
        </w:rPr>
        <w:t>ברבינר</w:t>
      </w:r>
      <w:proofErr w:type="spellEnd"/>
      <w:r>
        <w:rPr>
          <w:rtl/>
        </w:rPr>
        <w:t>, “הגאון רבי אליעזר גורדון”, אירע לפני שיצא ר׳ ישראל לשהותו בת השנתיים בפריז, כלומר בשנים תרל״ט–</w:t>
      </w:r>
      <w:proofErr w:type="spellStart"/>
      <w:r>
        <w:rPr>
          <w:rtl/>
        </w:rPr>
        <w:t>תר״ם</w:t>
      </w:r>
      <w:proofErr w:type="spellEnd"/>
      <w:r>
        <w:rPr>
          <w:rtl/>
        </w:rPr>
        <w:t xml:space="preserve">. השווה פרק 3, הפסקה השנייה של </w:t>
      </w:r>
      <w:r>
        <w:rPr>
          <w:rtl/>
        </w:rPr>
        <w:fldChar w:fldCharType="begin" w:dirty="true"/>
      </w:r>
      <w:r>
        <w:rPr>
          <w:rtl/>
        </w:rPr>
        <w:instrText xml:space="preserve"> REF b3_excY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כה</w:t>
      </w:r>
      <w:r>
        <w:rPr>
          <w:rtl/>
        </w:rPr>
        <w:fldChar w:fldCharType="end"/>
      </w:r>
      <w:r>
        <w:rPr>
          <w:rtl/>
        </w:rPr>
        <w:t xml:space="preserve">: ר׳ ישראל נמנע מלבוא </w:t>
      </w:r>
      <w:proofErr w:type="spellStart"/>
      <w:r>
        <w:rPr>
          <w:rtl/>
        </w:rPr>
        <w:t>לקלם</w:t>
      </w:r>
      <w:proofErr w:type="spellEnd"/>
      <w:r>
        <w:rPr>
          <w:rtl/>
        </w:rPr>
        <w:t xml:space="preserve"> כל עוד הפעיל שם תלמידו ר׳ </w:t>
      </w:r>
      <w:proofErr w:type="spellStart"/>
      <w:r>
        <w:rPr>
          <w:rtl/>
        </w:rPr>
        <w:t>שמחה־זיסל</w:t>
      </w:r>
      <w:proofErr w:type="spellEnd"/>
      <w:r>
        <w:rPr>
          <w:rtl/>
        </w:rPr>
        <w:t xml:space="preserve"> זיו תלמוד תורה שכלל לימודי חול. אבל בשנים תרל״ט–</w:t>
      </w:r>
      <w:proofErr w:type="spellStart"/>
      <w:r>
        <w:rPr>
          <w:rtl/>
        </w:rPr>
        <w:t>תר״ם</w:t>
      </w:r>
      <w:proofErr w:type="spellEnd"/>
      <w:r>
        <w:rPr>
          <w:rtl/>
        </w:rPr>
        <w:t xml:space="preserve">, אחרי שנסגר המוסד, כשר׳ </w:t>
      </w:r>
      <w:proofErr w:type="spellStart"/>
      <w:r>
        <w:rPr>
          <w:rtl/>
        </w:rPr>
        <w:lastRenderedPageBreak/>
        <w:t>שמחה־זיסל</w:t>
      </w:r>
      <w:proofErr w:type="spellEnd"/>
      <w:r>
        <w:rPr>
          <w:rtl/>
        </w:rPr>
        <w:t xml:space="preserve"> תכנן להקים תחתיו בית ספר עם לימודי חול </w:t>
      </w:r>
      <w:proofErr w:type="spellStart"/>
      <w:r>
        <w:rPr>
          <w:rtl/>
        </w:rPr>
        <w:t>בגרובין</w:t>
      </w:r>
      <w:proofErr w:type="spellEnd"/>
      <w:r>
        <w:rPr>
          <w:rtl/>
        </w:rPr>
        <w:t xml:space="preserve">, יכול היה ר׳ ישראל לבוא </w:t>
      </w:r>
      <w:proofErr w:type="spellStart"/>
      <w:r>
        <w:rPr>
          <w:rtl/>
        </w:rPr>
        <w:t>לקלם</w:t>
      </w:r>
      <w:bookmarkStart w:id="5155" w:name="_fnr3832"/>
      <w:proofErr w:type="spellEnd"/>
      <w:r>
        <w:rPr>
          <w:vertAlign w:val="superscript"/>
          <w:rtl/>
        </w:rPr>
        <w:footnoteReference w:id="3840" w:customMarkFollows="0"/>
      </w:r>
      <w:bookmarkEnd w:id="5155"/>
      <w:r>
        <w:rPr>
          <w:rtl/>
        </w:rPr>
        <w:t xml:space="preserve">. באותה הזדמנות ביקר, יחד עם הברון </w:t>
      </w:r>
      <w:proofErr w:type="spellStart"/>
      <w:r>
        <w:rPr>
          <w:rtl/>
        </w:rPr>
        <w:t>גינצבורג</w:t>
      </w:r>
      <w:proofErr w:type="spellEnd"/>
      <w:r>
        <w:rPr>
          <w:rtl/>
        </w:rPr>
        <w:t xml:space="preserve">, בישיבתו של ר׳ לייזר גורדון </w:t>
      </w:r>
      <w:proofErr w:type="spellStart"/>
      <w:r>
        <w:rPr>
          <w:rtl/>
        </w:rPr>
        <w:t>שבקלם</w:t>
      </w:r>
      <w:proofErr w:type="spellEnd"/>
      <w:r>
        <w:rPr>
          <w:rtl/>
        </w:rPr>
        <w:t>.</w:t>
      </w:r>
    </w:p>
    <w:p w14:paraId="1C2141C8" w14:textId="77777777" w:rsidR="00AB3647" w:rsidRDefault="00000000" w:rsidP="007923E9">
      <w:pPr>
        <w:spacing w:after="120" w:line="276" w:lineRule="auto"/>
        <w:ind w:firstLine="283"/>
        <w:jc w:val="both"/>
      </w:pPr>
      <w:r>
        <w:rPr>
          <w:rtl/>
        </w:rPr>
        <w:t xml:space="preserve">אפשר גם </w:t>
      </w:r>
      <w:proofErr w:type="spellStart"/>
      <w:r>
        <w:rPr>
          <w:rtl/>
        </w:rPr>
        <w:t>שבהיותו</w:t>
      </w:r>
      <w:proofErr w:type="spellEnd"/>
      <w:r>
        <w:rPr>
          <w:rtl/>
        </w:rPr>
        <w:t xml:space="preserve"> </w:t>
      </w:r>
      <w:proofErr w:type="spellStart"/>
      <w:r>
        <w:rPr>
          <w:rtl/>
        </w:rPr>
        <w:t>בקלם</w:t>
      </w:r>
      <w:proofErr w:type="spellEnd"/>
      <w:r>
        <w:rPr>
          <w:rtl/>
        </w:rPr>
        <w:t xml:space="preserve"> סר ר׳ ישראל לעיר שאוול הסמוכה, לבקר אצל המקובל ר׳ שלמה אלישיב. על ביקור זה מסופר במאמרו של ר׳ </w:t>
      </w:r>
      <w:proofErr w:type="spellStart"/>
      <w:r>
        <w:rPr>
          <w:rtl/>
        </w:rPr>
        <w:t>צבי־הירש</w:t>
      </w:r>
      <w:proofErr w:type="spellEnd"/>
      <w:r>
        <w:rPr>
          <w:rtl/>
        </w:rPr>
        <w:t xml:space="preserve"> פרבר </w:t>
      </w:r>
      <w:proofErr w:type="spellStart"/>
      <w:r>
        <w:rPr>
          <w:rtl/>
        </w:rPr>
        <w:t>ב“תלפיות</w:t>
      </w:r>
      <w:proofErr w:type="spellEnd"/>
      <w:r>
        <w:rPr>
          <w:rtl/>
        </w:rPr>
        <w:t>”</w:t>
      </w:r>
      <w:bookmarkStart w:id="5156" w:name="_fnr3833"/>
      <w:r>
        <w:rPr>
          <w:vertAlign w:val="superscript"/>
          <w:rtl/>
        </w:rPr>
        <w:footnoteReference w:id="3841" w:customMarkFollows="0"/>
      </w:r>
      <w:bookmarkEnd w:id="5156"/>
      <w:r>
        <w:rPr>
          <w:rtl/>
        </w:rPr>
        <w:t xml:space="preserve"> בשם ר׳ אלי׳ </w:t>
      </w:r>
      <w:proofErr w:type="spellStart"/>
      <w:r>
        <w:rPr>
          <w:rtl/>
        </w:rPr>
        <w:t>לופיאן</w:t>
      </w:r>
      <w:proofErr w:type="spellEnd"/>
      <w:r>
        <w:rPr>
          <w:rtl/>
        </w:rPr>
        <w:t xml:space="preserve">. ר׳ שלמה היה אז בן שלושים ותשע בלבד, אבל כבר זכה להערכה יוצאת דופן, וייתכן שר׳ ישראל חפץ להיפגש עמו. ר׳ שלמה </w:t>
      </w:r>
      <w:proofErr w:type="spellStart"/>
      <w:r>
        <w:rPr>
          <w:rtl/>
        </w:rPr>
        <w:t>ברעוודה</w:t>
      </w:r>
      <w:proofErr w:type="spellEnd"/>
      <w:r>
        <w:rPr>
          <w:rtl/>
        </w:rPr>
        <w:t xml:space="preserve"> סיפר</w:t>
      </w:r>
      <w:bookmarkStart w:id="5157" w:name="_fnr3834"/>
      <w:r>
        <w:rPr>
          <w:vertAlign w:val="superscript"/>
          <w:rtl/>
        </w:rPr>
        <w:footnoteReference w:id="3842" w:customMarkFollows="0"/>
      </w:r>
      <w:bookmarkEnd w:id="5157"/>
      <w:r>
        <w:rPr>
          <w:rtl/>
        </w:rPr>
        <w:t xml:space="preserve"> </w:t>
      </w:r>
      <w:proofErr w:type="spellStart"/>
      <w:r>
        <w:rPr>
          <w:rtl/>
        </w:rPr>
        <w:t>שהחפץ־חיים</w:t>
      </w:r>
      <w:proofErr w:type="spellEnd"/>
      <w:r>
        <w:rPr>
          <w:rtl/>
        </w:rPr>
        <w:t xml:space="preserve"> השתמש במונחים קבליים כשאמר על ר׳ שלמה אלישיב כעבור שלושים שנה, לאחר שהוציא לאור את חיבורו “לשם שבו ואחלמה” ונודע בשמו: “בעוד אנו יושבים למטה ומנסים לתקן את העולמות למעלה, הלשם יושב למעלה [ומתקן אותם שם]”</w:t>
      </w:r>
      <w:bookmarkStart w:id="5158" w:name="_fnr3835"/>
      <w:r>
        <w:rPr>
          <w:vertAlign w:val="superscript"/>
          <w:rtl/>
        </w:rPr>
        <w:footnoteReference w:id="3843" w:customMarkFollows="0"/>
      </w:r>
      <w:bookmarkEnd w:id="5158"/>
      <w:r>
        <w:rPr>
          <w:rtl/>
        </w:rPr>
        <w:t xml:space="preserve">. גם ר׳ ירוחם </w:t>
      </w:r>
      <w:proofErr w:type="spellStart"/>
      <w:r>
        <w:rPr>
          <w:rtl/>
        </w:rPr>
        <w:t>ליבוביץ</w:t>
      </w:r>
      <w:proofErr w:type="spellEnd"/>
      <w:r>
        <w:rPr>
          <w:rtl/>
        </w:rPr>
        <w:t xml:space="preserve"> סיפר</w:t>
      </w:r>
      <w:bookmarkStart w:id="5159" w:name="_fnr3836"/>
      <w:r>
        <w:rPr>
          <w:vertAlign w:val="superscript"/>
          <w:rtl/>
        </w:rPr>
        <w:footnoteReference w:id="3844" w:customMarkFollows="0"/>
      </w:r>
      <w:bookmarkEnd w:id="5159"/>
      <w:r>
        <w:rPr>
          <w:rtl/>
        </w:rPr>
        <w:t xml:space="preserve"> שר׳ ישראל והלשם נפגשו – לא בביקור של ר׳ ישראל אצל ר׳ שלמה אלישיב, אלא בנסיעה ברכבת.</w:t>
      </w:r>
    </w:p>
    <w:p w14:paraId="42E557D1" w14:textId="02869DF4" w:rsidR="00AB3647" w:rsidRDefault="00000000" w:rsidP="007923E9">
      <w:pPr>
        <w:spacing w:after="120" w:line="276" w:lineRule="auto"/>
        <w:ind w:firstLine="283"/>
        <w:jc w:val="both"/>
      </w:pPr>
      <w:r>
        <w:rPr>
          <w:rtl/>
        </w:rPr>
        <w:t>אבל אם נפגשו ר׳ ישראל ור׳ שלמה אלישיב אי פעם בפועל – הדבר מוטל בספק, שכן ר׳ אריה לוין מסר בשם ר׳ שלמה אלישיב</w:t>
      </w:r>
      <w:bookmarkStart w:id="5160" w:name="_fnr3837"/>
      <w:r>
        <w:rPr>
          <w:vertAlign w:val="superscript"/>
          <w:rtl/>
        </w:rPr>
        <w:footnoteReference w:id="3845" w:customMarkFollows="0"/>
      </w:r>
      <w:bookmarkEnd w:id="5160"/>
      <w:r>
        <w:rPr>
          <w:rtl/>
        </w:rPr>
        <w:t xml:space="preserve"> שמעולם לא פגש את ר׳ ישראל, “למרות רצונו ושאיפתו להכיר ולהתקרב לאישיות נעלה זו”. בתחילה חשש הלשם להיפגש עם ר׳ ישראל, שמא יאמר לו להימנע מלימוד הקבלה, “שהיה אז, ובייחוד </w:t>
      </w:r>
      <w:proofErr w:type="spellStart"/>
      <w:r>
        <w:rPr>
          <w:rtl/>
        </w:rPr>
        <w:t>בזאמוט</w:t>
      </w:r>
      <w:proofErr w:type="spellEnd"/>
      <w:r>
        <w:rPr>
          <w:rtl/>
        </w:rPr>
        <w:t xml:space="preserve">, </w:t>
      </w:r>
      <w:proofErr w:type="spellStart"/>
      <w:r>
        <w:rPr>
          <w:rtl/>
        </w:rPr>
        <w:t>חזון</w:t>
      </w:r>
      <w:proofErr w:type="spellEnd"/>
      <w:r>
        <w:rPr>
          <w:rtl/>
        </w:rPr>
        <w:t xml:space="preserve"> בלתי נפרץ” (ראה הערה </w:t>
      </w:r>
      <w:r>
        <w:rPr>
          <w:rtl/>
        </w:rPr>
        <w:fldChar w:fldCharType="begin" w:dirty="true"/>
      </w:r>
      <w:r>
        <w:rPr>
          <w:rtl/>
        </w:rPr>
        <w:instrText xml:space="preserve"> NOTEREF pr_f_4066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1143</w:t>
      </w:r>
      <w:r>
        <w:rPr>
          <w:rtl/>
        </w:rPr>
        <w:fldChar w:fldCharType="end"/>
      </w:r>
      <w:r>
        <w:rPr>
          <w:rtl/>
        </w:rPr>
        <w:t xml:space="preserve"> בעמ׳ </w:t>
      </w:r>
      <w:r>
        <w:rPr>
          <w:rtl/>
        </w:rPr>
        <w:fldChar w:fldCharType="begin" w:dirty="true"/>
      </w:r>
      <w:r>
        <w:rPr>
          <w:rtl/>
        </w:rPr>
        <w:instrText xml:space="preserve"> PAGEREF pr_f_4066 \h </w:instrText>
      </w:r>
      <w:r>
        <w:rPr>
          <w:rtl/>
        </w:rPr>
      </w:r>
      <w:r>
        <w:rPr>
          <w:rtl/>
        </w:rPr>
        <w:fldChar w:fldCharType="separate"/>
      </w:r>
      <w:r w:rsidR="007923E9">
        <w:rPr>
          <w:noProof/>
          <w:rtl/>
        </w:rPr>
        <w:t>1</w:t>
      </w:r>
      <w:r>
        <w:rPr>
          <w:rtl/>
        </w:rPr>
        <w:fldChar w:fldCharType="end"/>
      </w:r>
      <w:r>
        <w:rPr>
          <w:rtl/>
        </w:rPr>
        <w:t xml:space="preserve">, שר׳ שלמה למד קבלה אצל רב </w:t>
      </w:r>
      <w:proofErr w:type="spellStart"/>
      <w:r>
        <w:rPr>
          <w:rtl/>
        </w:rPr>
        <w:t>בטלז</w:t>
      </w:r>
      <w:proofErr w:type="spellEnd"/>
      <w:r>
        <w:rPr>
          <w:rtl/>
        </w:rPr>
        <w:t xml:space="preserve">, עיר </w:t>
      </w:r>
      <w:proofErr w:type="spellStart"/>
      <w:r>
        <w:rPr>
          <w:rtl/>
        </w:rPr>
        <w:t>בזאמוט</w:t>
      </w:r>
      <w:proofErr w:type="spellEnd"/>
      <w:r>
        <w:rPr>
          <w:rtl/>
        </w:rPr>
        <w:t xml:space="preserve">). לפי המסופר אמר ר׳ שלמה אלישיב: “אף על פי כן זכיתי להכיר את ר׳ ישראל באמצעות אחד מתלמידיו הקרובים מאוד, ר׳ נחום שפירא, העילוי </w:t>
      </w:r>
      <w:proofErr w:type="spellStart"/>
      <w:r>
        <w:rPr>
          <w:rtl/>
        </w:rPr>
        <w:t>מדוקשיץ</w:t>
      </w:r>
      <w:proofErr w:type="spellEnd"/>
      <w:r>
        <w:rPr>
          <w:rtl/>
        </w:rPr>
        <w:t>” – לימים רבה של שאט</w:t>
      </w:r>
      <w:bookmarkStart w:id="5161" w:name="_fnr3838"/>
      <w:r>
        <w:rPr>
          <w:vertAlign w:val="superscript"/>
          <w:rtl/>
        </w:rPr>
        <w:footnoteReference w:id="3846" w:customMarkFollows="0"/>
      </w:r>
      <w:bookmarkEnd w:id="5161"/>
      <w:r>
        <w:rPr>
          <w:rtl/>
        </w:rPr>
        <w:t>, שהיה מבוגר מר׳ שלמה בעשרים ותשע שנה – “שחזר לפניי על כל מילה ששמע מפיו הקדוש של [ר׳ ישראל] ועל כל מה שראו עיניו. לאחר זמן, כשהעלה ר׳ נחום לפני [ר׳ ישראל את חששי שמא יפריע לי ללמוד קבלה]</w:t>
      </w:r>
      <w:bookmarkStart w:id="5162" w:name="_fnr3839"/>
      <w:bookmarkStart w:id="5163" w:name="pr_f_3727"/>
      <w:r>
        <w:rPr>
          <w:vertAlign w:val="superscript"/>
          <w:rtl/>
        </w:rPr>
        <w:footnoteReference w:id="3847" w:customMarkFollows="0"/>
      </w:r>
      <w:bookmarkEnd w:id="5162"/>
      <w:bookmarkEnd w:id="5163"/>
      <w:r>
        <w:rPr>
          <w:rtl/>
        </w:rPr>
        <w:t>, אמר לו: ‘מעולם לא עלה בדעתי להניא אדם מן הדרך המיוחדת בעבודת ה׳ שבחר לעצמו’. אבל גם אז לא הצלחתי להיפגש עם ר׳ ישראל, מפני שזמן קצר (ההדגשה שלי) לאחר מכן יצא מן הארץ”.</w:t>
      </w:r>
    </w:p>
    <w:p w14:paraId="7366D5AC" w14:textId="77777777" w:rsidR="00AB3647" w:rsidRDefault="00000000" w:rsidP="007923E9">
      <w:pPr>
        <w:spacing w:after="120" w:line="276" w:lineRule="auto"/>
        <w:ind w:firstLine="283"/>
        <w:jc w:val="both"/>
      </w:pPr>
      <w:r>
        <w:rPr>
          <w:rtl/>
        </w:rPr>
        <w:t xml:space="preserve">לפיכך, גם אם לא נפגשו פנים אל פנים, ייתכן שר׳ שלמה אלישיב שלח באמצעות ר׳ נחום את המסר על חששו בעניין לימוד הקבלה אל ר׳ ישראל, כשר׳ ישראל היה </w:t>
      </w:r>
      <w:proofErr w:type="spellStart"/>
      <w:r>
        <w:rPr>
          <w:rtl/>
        </w:rPr>
        <w:t>בקלם</w:t>
      </w:r>
      <w:proofErr w:type="spellEnd"/>
      <w:r>
        <w:rPr>
          <w:rtl/>
        </w:rPr>
        <w:t xml:space="preserve"> בביקור אצל ר׳ לייזר גורדון, זמן קצר לפני יציאתו לפריז.</w:t>
      </w:r>
    </w:p>
    <w:p w14:paraId="4B202524" w14:textId="77777777" w:rsidR="00AB3647" w:rsidRDefault="00000000" w:rsidP="007923E9">
      <w:pPr>
        <w:spacing w:after="120" w:line="276" w:lineRule="auto"/>
        <w:ind w:firstLine="283"/>
        <w:jc w:val="both"/>
      </w:pPr>
      <w:r>
        <w:rPr>
          <w:rtl/>
        </w:rPr>
        <w:lastRenderedPageBreak/>
        <w:t xml:space="preserve">אם ביקורו של ר׳ ישראל אצל ר׳ לייזר התקיים </w:t>
      </w:r>
      <w:proofErr w:type="spellStart"/>
      <w:r>
        <w:rPr>
          <w:rtl/>
        </w:rPr>
        <w:t>בתר״ם</w:t>
      </w:r>
      <w:proofErr w:type="spellEnd"/>
      <w:r>
        <w:rPr>
          <w:rtl/>
        </w:rPr>
        <w:t xml:space="preserve">, כפי שהוצע, אפשר שייראה תמוה </w:t>
      </w:r>
      <w:proofErr w:type="spellStart"/>
      <w:r>
        <w:rPr>
          <w:rtl/>
        </w:rPr>
        <w:t>ש“מאות</w:t>
      </w:r>
      <w:proofErr w:type="spellEnd"/>
      <w:r>
        <w:rPr>
          <w:rtl/>
        </w:rPr>
        <w:t xml:space="preserve"> תלמידים מילאו את בית המדרש [</w:t>
      </w:r>
      <w:proofErr w:type="spellStart"/>
      <w:r>
        <w:rPr>
          <w:rtl/>
        </w:rPr>
        <w:t>בקלם</w:t>
      </w:r>
      <w:proofErr w:type="spellEnd"/>
      <w:r>
        <w:rPr>
          <w:rtl/>
        </w:rPr>
        <w:t xml:space="preserve">] מקיר אל קיר” שש שנים בלבד לאחר שנתמנה ר׳ לייזר גורדון לרב העיר. אבל אין להתפלא. כמסופר </w:t>
      </w:r>
      <w:proofErr w:type="spellStart"/>
      <w:r>
        <w:rPr>
          <w:rtl/>
        </w:rPr>
        <w:t>ברבינר</w:t>
      </w:r>
      <w:proofErr w:type="spellEnd"/>
      <w:r>
        <w:rPr>
          <w:rtl/>
        </w:rPr>
        <w:t>, “הגאון רבי אליעזר גורדון”</w:t>
      </w:r>
      <w:bookmarkStart w:id="5164" w:name="_fnr3840"/>
      <w:r>
        <w:rPr>
          <w:vertAlign w:val="superscript"/>
          <w:rtl/>
        </w:rPr>
        <w:footnoteReference w:id="3848" w:customMarkFollows="0"/>
      </w:r>
      <w:bookmarkEnd w:id="5164"/>
      <w:r>
        <w:rPr>
          <w:rtl/>
        </w:rPr>
        <w:t xml:space="preserve">: “כעבור ימים אחדים מבואו [של ר׳ לייזר גורדון] </w:t>
      </w:r>
      <w:proofErr w:type="spellStart"/>
      <w:r>
        <w:rPr>
          <w:rtl/>
        </w:rPr>
        <w:t>לקלם</w:t>
      </w:r>
      <w:proofErr w:type="spellEnd"/>
      <w:r>
        <w:rPr>
          <w:rtl/>
        </w:rPr>
        <w:t>, הופיעו לפניו שישה בחורים והביעו את רצונם העז ואת החלטתם הנחושה לשמוע תורה מפיו... ובו במקום החליט למסור שלושה שיעורים בשבוע לתלמידים... ובתוך זמן קצר התפרסם שמו של ר׳ לייזר בכל המחוז, ותלמידים חדשים באו לשמוע תורה מפיו</w:t>
      </w:r>
      <w:bookmarkStart w:id="5165" w:name="_fnr3841"/>
      <w:r>
        <w:rPr>
          <w:vertAlign w:val="superscript"/>
          <w:rtl/>
        </w:rPr>
        <w:footnoteReference w:id="3849" w:customMarkFollows="0"/>
      </w:r>
      <w:bookmarkEnd w:id="5165"/>
      <w:r>
        <w:rPr>
          <w:rtl/>
        </w:rPr>
        <w:t xml:space="preserve">. בשנה הראשונה לקיומה של הישיבה החדשה הגיע מספר תלמידיה לשלושים בחורים נבחרים, </w:t>
      </w:r>
      <w:proofErr w:type="spellStart"/>
      <w:r>
        <w:rPr>
          <w:rtl/>
        </w:rPr>
        <w:t>מסלתם</w:t>
      </w:r>
      <w:proofErr w:type="spellEnd"/>
      <w:r>
        <w:rPr>
          <w:rtl/>
        </w:rPr>
        <w:t xml:space="preserve"> ומשמנם של צעירי </w:t>
      </w:r>
      <w:proofErr w:type="spellStart"/>
      <w:r>
        <w:rPr>
          <w:rtl/>
        </w:rPr>
        <w:t>זאמוט</w:t>
      </w:r>
      <w:proofErr w:type="spellEnd"/>
      <w:r>
        <w:rPr>
          <w:rtl/>
        </w:rPr>
        <w:t xml:space="preserve">”. מסתבר אם כן שכעבור שש שנים, </w:t>
      </w:r>
      <w:proofErr w:type="spellStart"/>
      <w:r>
        <w:rPr>
          <w:rtl/>
        </w:rPr>
        <w:t>בתר״ם</w:t>
      </w:r>
      <w:proofErr w:type="spellEnd"/>
      <w:r>
        <w:rPr>
          <w:rtl/>
        </w:rPr>
        <w:t xml:space="preserve">, בזמן ביקורם של ר׳ ישראל </w:t>
      </w:r>
      <w:proofErr w:type="spellStart"/>
      <w:r>
        <w:rPr>
          <w:rtl/>
        </w:rPr>
        <w:t>וגינצבורג</w:t>
      </w:r>
      <w:proofErr w:type="spellEnd"/>
      <w:r>
        <w:rPr>
          <w:rtl/>
        </w:rPr>
        <w:t>, כבר היה בישיבה ציבור גדול של מאות תלמידים.</w:t>
      </w:r>
    </w:p>
    <w:p w14:paraId="2B3DA115" w14:textId="77777777" w:rsidR="00AB3647" w:rsidRDefault="00000000" w:rsidP="007923E9">
      <w:pPr>
        <w:spacing w:after="120" w:line="276" w:lineRule="auto"/>
        <w:ind w:firstLine="283"/>
        <w:jc w:val="both"/>
      </w:pPr>
      <w:r>
        <w:rPr>
          <w:rtl/>
        </w:rPr>
        <w:t>השווה את דברי יעקב מארק</w:t>
      </w:r>
      <w:bookmarkStart w:id="5166" w:name="_fnr3842"/>
      <w:r>
        <w:rPr>
          <w:vertAlign w:val="superscript"/>
          <w:rtl/>
        </w:rPr>
        <w:footnoteReference w:id="3850" w:customMarkFollows="0"/>
      </w:r>
      <w:bookmarkEnd w:id="5166"/>
      <w:r>
        <w:rPr>
          <w:rtl/>
        </w:rPr>
        <w:t xml:space="preserve"> על הברון דוד </w:t>
      </w:r>
      <w:proofErr w:type="spellStart"/>
      <w:r>
        <w:rPr>
          <w:rtl/>
        </w:rPr>
        <w:t>גינצבורג</w:t>
      </w:r>
      <w:proofErr w:type="spellEnd"/>
      <w:r>
        <w:rPr>
          <w:rtl/>
        </w:rPr>
        <w:t xml:space="preserve">, שהיה אישיות יוצאת דופן. ר׳ דוד היה נכדו של אבי משפחת </w:t>
      </w:r>
      <w:proofErr w:type="spellStart"/>
      <w:r>
        <w:rPr>
          <w:rtl/>
        </w:rPr>
        <w:t>גינצבורג</w:t>
      </w:r>
      <w:proofErr w:type="spellEnd"/>
      <w:r>
        <w:rPr>
          <w:rtl/>
        </w:rPr>
        <w:t xml:space="preserve">, ר׳ </w:t>
      </w:r>
      <w:proofErr w:type="spellStart"/>
      <w:r>
        <w:rPr>
          <w:rtl/>
        </w:rPr>
        <w:t>יוסף־יוזיל</w:t>
      </w:r>
      <w:proofErr w:type="spellEnd"/>
      <w:r>
        <w:rPr>
          <w:rtl/>
        </w:rPr>
        <w:t xml:space="preserve"> (</w:t>
      </w:r>
      <w:proofErr w:type="spellStart"/>
      <w:r>
        <w:rPr>
          <w:rtl/>
        </w:rPr>
        <w:t>יבסל</w:t>
      </w:r>
      <w:proofErr w:type="spellEnd"/>
      <w:r>
        <w:rPr>
          <w:rtl/>
        </w:rPr>
        <w:t xml:space="preserve">) </w:t>
      </w:r>
      <w:proofErr w:type="spellStart"/>
      <w:r>
        <w:rPr>
          <w:rtl/>
        </w:rPr>
        <w:t>גינצבורג</w:t>
      </w:r>
      <w:proofErr w:type="spellEnd"/>
      <w:r>
        <w:rPr>
          <w:rtl/>
        </w:rPr>
        <w:t>, שהתעשר כקבלן של ממשלת רוסיה בימי מלחמת קרים</w:t>
      </w:r>
      <w:bookmarkStart w:id="5167" w:name="_fnr3843"/>
      <w:r>
        <w:rPr>
          <w:vertAlign w:val="superscript"/>
          <w:rtl/>
        </w:rPr>
        <w:footnoteReference w:id="3851" w:customMarkFollows="0"/>
      </w:r>
      <w:bookmarkEnd w:id="5167"/>
      <w:r>
        <w:rPr>
          <w:rtl/>
        </w:rPr>
        <w:t>. לפי “</w:t>
      </w:r>
      <w:proofErr w:type="spellStart"/>
      <w:r>
        <w:rPr>
          <w:rtl/>
        </w:rPr>
        <w:t>זכרון</w:t>
      </w:r>
      <w:proofErr w:type="spellEnd"/>
      <w:r>
        <w:rPr>
          <w:rtl/>
        </w:rPr>
        <w:t xml:space="preserve"> יעקב”</w:t>
      </w:r>
      <w:bookmarkStart w:id="5168" w:name="_fnr3844"/>
      <w:r>
        <w:rPr>
          <w:vertAlign w:val="superscript"/>
          <w:rtl/>
        </w:rPr>
        <w:footnoteReference w:id="3852" w:customMarkFollows="0"/>
      </w:r>
      <w:bookmarkEnd w:id="5168"/>
      <w:r>
        <w:rPr>
          <w:rtl/>
        </w:rPr>
        <w:t xml:space="preserve">, אביו של ר׳ </w:t>
      </w:r>
      <w:proofErr w:type="spellStart"/>
      <w:r>
        <w:rPr>
          <w:rtl/>
        </w:rPr>
        <w:t>יוסף־יוזיל</w:t>
      </w:r>
      <w:proofErr w:type="spellEnd"/>
      <w:r>
        <w:rPr>
          <w:rtl/>
        </w:rPr>
        <w:t xml:space="preserve">, ר׳ </w:t>
      </w:r>
      <w:proofErr w:type="spellStart"/>
      <w:r>
        <w:rPr>
          <w:rtl/>
        </w:rPr>
        <w:t>גבריאל־יעקב</w:t>
      </w:r>
      <w:proofErr w:type="spellEnd"/>
      <w:r>
        <w:rPr>
          <w:rtl/>
        </w:rPr>
        <w:t xml:space="preserve">, החזיק בזיכיון לגביית מס המשקאות החריפים בחצי האי קרים. “ואולם”, נאמר שם, “הוא נפטר בעיצומה של המלחמה, ובנו ר׳ </w:t>
      </w:r>
      <w:proofErr w:type="spellStart"/>
      <w:r>
        <w:rPr>
          <w:rtl/>
        </w:rPr>
        <w:t>יוסף־יוזיל</w:t>
      </w:r>
      <w:proofErr w:type="spellEnd"/>
      <w:r>
        <w:rPr>
          <w:rtl/>
        </w:rPr>
        <w:t xml:space="preserve"> מילא את מקומו, וצבר מיליונים... ושם </w:t>
      </w:r>
      <w:proofErr w:type="spellStart"/>
      <w:r>
        <w:rPr>
          <w:rtl/>
        </w:rPr>
        <w:t>גינצבורג</w:t>
      </w:r>
      <w:proofErr w:type="spellEnd"/>
      <w:r>
        <w:rPr>
          <w:rtl/>
        </w:rPr>
        <w:t xml:space="preserve"> היה </w:t>
      </w:r>
      <w:proofErr w:type="spellStart"/>
      <w:r>
        <w:rPr>
          <w:rtl/>
        </w:rPr>
        <w:t>כ‘רוטשילד</w:t>
      </w:r>
      <w:proofErr w:type="spellEnd"/>
      <w:r>
        <w:rPr>
          <w:rtl/>
        </w:rPr>
        <w:t>’ ליהודי ארצנו [רוסיה]”.</w:t>
      </w:r>
    </w:p>
    <w:p w14:paraId="765975A5" w14:textId="77777777" w:rsidR="00AB3647" w:rsidRDefault="00000000" w:rsidP="007923E9">
      <w:pPr>
        <w:spacing w:after="120" w:line="276" w:lineRule="auto"/>
        <w:ind w:firstLine="283"/>
        <w:jc w:val="both"/>
      </w:pPr>
      <w:r>
        <w:rPr>
          <w:rtl/>
        </w:rPr>
        <w:t xml:space="preserve">יעקב מארק מספר: “אביו של דוד, ר׳ </w:t>
      </w:r>
      <w:proofErr w:type="spellStart"/>
      <w:r>
        <w:rPr>
          <w:rtl/>
        </w:rPr>
        <w:t>נפתלי־הרץ</w:t>
      </w:r>
      <w:proofErr w:type="spellEnd"/>
      <w:r>
        <w:rPr>
          <w:rtl/>
        </w:rPr>
        <w:t xml:space="preserve">, העמיד לרשותו את טובי המורים הפרטיים שבדור. מוריו בלימודי היהדות היו אדולף </w:t>
      </w:r>
      <w:proofErr w:type="spellStart"/>
      <w:r>
        <w:rPr>
          <w:rtl/>
        </w:rPr>
        <w:t>נויבאואר</w:t>
      </w:r>
      <w:proofErr w:type="spellEnd"/>
      <w:r>
        <w:rPr>
          <w:rtl/>
        </w:rPr>
        <w:t xml:space="preserve">, צבי </w:t>
      </w:r>
      <w:proofErr w:type="spellStart"/>
      <w:r>
        <w:rPr>
          <w:rtl/>
        </w:rPr>
        <w:t>רבינוביץ</w:t>
      </w:r>
      <w:proofErr w:type="spellEnd"/>
      <w:r>
        <w:rPr>
          <w:rtl/>
        </w:rPr>
        <w:t xml:space="preserve"> [מחבר “המנוחה והתנועה”] ושניאור </w:t>
      </w:r>
      <w:proofErr w:type="spellStart"/>
      <w:r>
        <w:rPr>
          <w:rtl/>
        </w:rPr>
        <w:t>זק״ש</w:t>
      </w:r>
      <w:proofErr w:type="spellEnd"/>
      <w:r>
        <w:rPr>
          <w:rtl/>
        </w:rPr>
        <w:t xml:space="preserve">”. לפי האנציקלופדיה יודאיקה היו השלושה, לפי סדר זה: מזרחן וביבליוגרף יליד </w:t>
      </w:r>
      <w:proofErr w:type="spellStart"/>
      <w:r>
        <w:rPr>
          <w:rtl/>
        </w:rPr>
        <w:t>אוסטרו־הונגריה</w:t>
      </w:r>
      <w:proofErr w:type="spellEnd"/>
      <w:r>
        <w:rPr>
          <w:rtl/>
        </w:rPr>
        <w:t xml:space="preserve"> (1831–1907); חוקר פיזיקה ומתמטיקה יליד ליטא, שכתב בענייני מדע בעברית (1832–1889); וחוקר עברית ובלשן יליד ליטא (1815–1892). הברון </w:t>
      </w:r>
      <w:proofErr w:type="spellStart"/>
      <w:r>
        <w:rPr>
          <w:rtl/>
        </w:rPr>
        <w:t>יוסף־יוזיל</w:t>
      </w:r>
      <w:proofErr w:type="spellEnd"/>
      <w:r>
        <w:rPr>
          <w:rtl/>
        </w:rPr>
        <w:t xml:space="preserve"> הביא את שניאור </w:t>
      </w:r>
      <w:proofErr w:type="spellStart"/>
      <w:r>
        <w:rPr>
          <w:rtl/>
        </w:rPr>
        <w:t>זק״ש</w:t>
      </w:r>
      <w:proofErr w:type="spellEnd"/>
      <w:r>
        <w:rPr>
          <w:rtl/>
        </w:rPr>
        <w:t xml:space="preserve"> לפריז בשנת תרט״ז כדי שילמד את בנו הנשוי, </w:t>
      </w:r>
      <w:proofErr w:type="spellStart"/>
      <w:r>
        <w:rPr>
          <w:rtl/>
        </w:rPr>
        <w:t>נפתלי־הרץ</w:t>
      </w:r>
      <w:proofErr w:type="spellEnd"/>
      <w:r>
        <w:rPr>
          <w:rtl/>
        </w:rPr>
        <w:t xml:space="preserve"> (</w:t>
      </w:r>
      <w:proofErr w:type="spellStart"/>
      <w:r>
        <w:rPr>
          <w:rtl/>
        </w:rPr>
        <w:t>הוראס</w:t>
      </w:r>
      <w:proofErr w:type="spellEnd"/>
      <w:r>
        <w:rPr>
          <w:rtl/>
        </w:rPr>
        <w:t xml:space="preserve">), ואחר כך את נכדו דוד, שנולד שנה לאחר מכן, </w:t>
      </w:r>
      <w:proofErr w:type="spellStart"/>
      <w:r>
        <w:rPr>
          <w:rtl/>
        </w:rPr>
        <w:t>בתרי״ז</w:t>
      </w:r>
      <w:proofErr w:type="spellEnd"/>
      <w:r>
        <w:rPr>
          <w:rtl/>
        </w:rPr>
        <w:t>.</w:t>
      </w:r>
    </w:p>
    <w:p w14:paraId="61034508" w14:textId="77777777" w:rsidR="00AB3647" w:rsidRDefault="00000000" w:rsidP="007923E9">
      <w:pPr>
        <w:spacing w:after="120" w:line="276" w:lineRule="auto"/>
        <w:ind w:firstLine="283"/>
        <w:jc w:val="both"/>
      </w:pPr>
      <w:r>
        <w:rPr>
          <w:rtl/>
        </w:rPr>
        <w:t xml:space="preserve">יעקב מארק ממשיך: “דוד סיים את לימודיו באוניברסיטת פטרבורג בגיל עשרים, וקיבל תואר בלימודי המזרח. הוא המשיך ללמוד בפריז ובברלין אצל גדולי המזרחנים של התקופה, והחל לפרסם מאמרים מדעיים בפילוסופיה של ימי הביניים, במטפיזיקה </w:t>
      </w:r>
      <w:proofErr w:type="spellStart"/>
      <w:r>
        <w:rPr>
          <w:rtl/>
        </w:rPr>
        <w:t>ובחכמת</w:t>
      </w:r>
      <w:proofErr w:type="spellEnd"/>
      <w:r>
        <w:rPr>
          <w:rtl/>
        </w:rPr>
        <w:t xml:space="preserve"> ישראל, בכתבי עת מדעיים בעברית, בצרפתית ובגרמנית. מאמרים אלה, שהצטיינו בהיגיון ובחריפות, משכו את תשומת לבם של החוקרים הוותיקים, ועודדו וחיזקו אותו להמשיך בעבודתו”.</w:t>
      </w:r>
    </w:p>
    <w:p w14:paraId="557C3B1E" w14:textId="77777777" w:rsidR="00AB3647" w:rsidRDefault="00000000" w:rsidP="007923E9">
      <w:pPr>
        <w:spacing w:after="120" w:line="276" w:lineRule="auto"/>
        <w:ind w:firstLine="283"/>
        <w:jc w:val="both"/>
      </w:pPr>
      <w:r>
        <w:rPr>
          <w:rtl/>
        </w:rPr>
        <w:t xml:space="preserve">בספרו של </w:t>
      </w:r>
      <w:proofErr w:type="spellStart"/>
      <w:r>
        <w:rPr>
          <w:rtl/>
        </w:rPr>
        <w:t>רבינר</w:t>
      </w:r>
      <w:proofErr w:type="spellEnd"/>
      <w:r>
        <w:rPr>
          <w:rtl/>
        </w:rPr>
        <w:t>, “הגאון רבי אליעזר גורדון”,</w:t>
      </w:r>
      <w:bookmarkStart w:id="5169" w:name="_fnr3845"/>
      <w:r>
        <w:rPr>
          <w:vertAlign w:val="superscript"/>
          <w:rtl/>
        </w:rPr>
        <w:footnoteReference w:id="3853" w:customMarkFollows="0"/>
      </w:r>
      <w:bookmarkEnd w:id="5169"/>
      <w:r>
        <w:rPr>
          <w:rtl/>
        </w:rPr>
        <w:t xml:space="preserve"> מסופר שכאשר ביקר הברון בישיבתו של ר׳ לייזר גורדון – ולפי ניתוחי לעיל היה </w:t>
      </w:r>
      <w:proofErr w:type="spellStart"/>
      <w:r>
        <w:rPr>
          <w:rtl/>
        </w:rPr>
        <w:t>גינצבורג</w:t>
      </w:r>
      <w:proofErr w:type="spellEnd"/>
      <w:r>
        <w:rPr>
          <w:rtl/>
        </w:rPr>
        <w:t xml:space="preserve"> אז בן עשרים ושלוש בלבד – העלה שאלה </w:t>
      </w:r>
      <w:r>
        <w:rPr>
          <w:rtl/>
        </w:rPr>
        <w:lastRenderedPageBreak/>
        <w:t>נבונה מאוד על שיטת הלימוד. וזה לשונו: “באותה הזדמנות פנה הברון אל ר׳ ישראל, ולאחר שהביע את הערכתו ואת הוקרתו לישיבה ולפעילותה, השמיע גם ביקורת על סדרי הלימוד המקובלים בישיבות: ‘בכל המוסדות להשכלה גבוהה’, טען, ‘יש כיתות בדרגות שונות, וכל כיתה לומדת באולם לימוד משלה, ואילו כאן... רואה אני מראה אחר, מוזר בעיניי: כל התלמידים, הצעירים והמבוגרים, לומדים יחד בצפיפות בבית מדרש אחד’. השיב לו ר׳ ישראל: ‘זוהי דרכה של תורה: יחד ניתנה [בסיני], ויחד לומדים וחוקרים אותה. זוהי השיטה המתאימה ביותר לישיבה’”.</w:t>
      </w:r>
    </w:p>
    <w:p w14:paraId="19F4C75E" w14:textId="77777777" w:rsidR="00AB3647" w:rsidRDefault="00000000" w:rsidP="007923E9">
      <w:pPr>
        <w:spacing w:after="120" w:line="276" w:lineRule="auto"/>
        <w:ind w:firstLine="283"/>
        <w:jc w:val="both"/>
      </w:pPr>
      <w:r>
        <w:rPr>
          <w:rtl/>
        </w:rPr>
        <w:t>בשל החינוך הדתי המוגבל שקיבל, ובייחוד משום שהיה תלמידם של שלושת המורים שנזכרו, לא עלה כלל על דעתו של הברון דוד שישיבה היא דבר אחר מבית ספר להכשרה מקצועית. ר׳ ישראל נדרש להעמידו על טיבה של הישיבה: המשך של מתן תורה בהר סיני.</w:t>
      </w:r>
    </w:p>
    <w:p w14:paraId="5E910FFA" w14:textId="77777777" w:rsidR="00AB3647" w:rsidRDefault="00000000" w:rsidP="007923E9">
      <w:pPr>
        <w:spacing w:after="120" w:line="276" w:lineRule="auto"/>
        <w:ind w:firstLine="283"/>
        <w:jc w:val="both"/>
      </w:pPr>
      <w:r>
        <w:rPr>
          <w:rtl/>
        </w:rPr>
        <w:t>השווה גם “</w:t>
      </w:r>
      <w:proofErr w:type="spellStart"/>
      <w:r>
        <w:rPr>
          <w:rtl/>
        </w:rPr>
        <w:t>זכרון</w:t>
      </w:r>
      <w:proofErr w:type="spellEnd"/>
      <w:r>
        <w:rPr>
          <w:rtl/>
        </w:rPr>
        <w:t xml:space="preserve"> יעקב”</w:t>
      </w:r>
      <w:bookmarkStart w:id="5170" w:name="_fnr3846"/>
      <w:r>
        <w:rPr>
          <w:vertAlign w:val="superscript"/>
          <w:rtl/>
        </w:rPr>
        <w:footnoteReference w:id="3854" w:customMarkFollows="0"/>
      </w:r>
      <w:bookmarkEnd w:id="5170"/>
      <w:r>
        <w:rPr>
          <w:rtl/>
        </w:rPr>
        <w:t xml:space="preserve">, המספר כיצד הבחין ר׳ ישראל בהזדמנות אחרת בין ישיבה לבית ספר מקצועי. דוקטור לפילוסופיה </w:t>
      </w:r>
      <w:proofErr w:type="spellStart"/>
      <w:r>
        <w:rPr>
          <w:rtl/>
        </w:rPr>
        <w:t>צבי־הירש</w:t>
      </w:r>
      <w:proofErr w:type="spellEnd"/>
      <w:r>
        <w:rPr>
          <w:rtl/>
        </w:rPr>
        <w:t xml:space="preserve"> </w:t>
      </w:r>
      <w:proofErr w:type="spellStart"/>
      <w:r>
        <w:rPr>
          <w:rtl/>
        </w:rPr>
        <w:t>אפטקר־שפיר</w:t>
      </w:r>
      <w:proofErr w:type="spellEnd"/>
      <w:r>
        <w:rPr>
          <w:rtl/>
        </w:rPr>
        <w:t xml:space="preserve"> מקובנה שאל אותו מדוע דחה את ההצעה לעמוד בראש בית המדרש לרבנים בווילנה</w:t>
      </w:r>
      <w:bookmarkStart w:id="5171" w:name="_fnr3847"/>
      <w:r>
        <w:rPr>
          <w:vertAlign w:val="superscript"/>
          <w:rtl/>
        </w:rPr>
        <w:footnoteReference w:id="3855" w:customMarkFollows="0"/>
      </w:r>
      <w:bookmarkEnd w:id="5171"/>
      <w:r>
        <w:rPr>
          <w:rtl/>
        </w:rPr>
        <w:t>. השיב לו ר׳ ישראל: “אענה לך בשאלה אחרת. כשבאה לפני רב שאלה הלכתית מאדם עני, הוא ממהר לעיין היטב בספרי הפוסקים, אולי ימצא צד להקל בשאלתו. אבל אם השאלה באה מאדם עשיר, לא יטרח כל כך לחפש דווקא צד להיתר. אצל רופא המצב הפוך: אם מבקשים ממנו לבקר חולה עשיר, הוא ממהר ורץ אליו; ואם מבקשים ממנו לבקר חולה עני, הוא מוצא כל תירוץ כדי להתחמק מן הביקור. לפנינו שאלה פסיכולוגית כבדה: מדוע הרבנים אוהבים את העניים, והרופאים את העשירים?</w:t>
      </w:r>
    </w:p>
    <w:p w14:paraId="7E1ED7D0" w14:textId="77777777" w:rsidR="00AB3647" w:rsidRDefault="00000000" w:rsidP="007923E9">
      <w:pPr>
        <w:spacing w:after="120" w:line="276" w:lineRule="auto"/>
        <w:ind w:firstLine="283"/>
        <w:jc w:val="both"/>
      </w:pPr>
      <w:r>
        <w:rPr>
          <w:rtl/>
        </w:rPr>
        <w:t>“התשובה פשוטה. הרב למד תורה מילדותו לשמה בלבד, ועל כן התורה והוראותיה, כל מוסרה ורעיונותיה, נספגו בעצמותו ונעשו חלק מנפשו. דרכה של תורה הייתה לו לטבע שני. אם הנסיבות מחייבות תלמיד חכם זה לכהן ברבנות, הוא נוהג בתפקידו מאליו ברוח התורה ובדרכה, המצווה על צדקה, גמילות חסדים ורחמים. צערו והפסדו של העני מכאיבים לרב הרבה יותר מצערו ומהפסדו שלו עצמו.</w:t>
      </w:r>
    </w:p>
    <w:p w14:paraId="004A3948" w14:textId="77777777" w:rsidR="00AB3647" w:rsidRDefault="00000000" w:rsidP="007923E9">
      <w:pPr>
        <w:spacing w:after="120" w:line="276" w:lineRule="auto"/>
        <w:ind w:firstLine="283"/>
        <w:jc w:val="both"/>
      </w:pPr>
      <w:r>
        <w:rPr>
          <w:rtl/>
        </w:rPr>
        <w:t xml:space="preserve">“לא כן </w:t>
      </w:r>
      <w:proofErr w:type="spellStart"/>
      <w:r>
        <w:rPr>
          <w:rtl/>
        </w:rPr>
        <w:t>הדאקטור</w:t>
      </w:r>
      <w:proofErr w:type="spellEnd"/>
      <w:r>
        <w:rPr>
          <w:rtl/>
        </w:rPr>
        <w:t xml:space="preserve">: הוא אינני נכנס </w:t>
      </w:r>
      <w:proofErr w:type="spellStart"/>
      <w:r>
        <w:rPr>
          <w:rtl/>
        </w:rPr>
        <w:t>להאוניורסיטט</w:t>
      </w:r>
      <w:proofErr w:type="spellEnd"/>
      <w:r>
        <w:rPr>
          <w:rtl/>
        </w:rPr>
        <w:t xml:space="preserve"> בשביל אהבת הבריות וטובת האנושיות... כ״א להשתלם בלמוד החכמה, שהיא אומנות נקיה וקלה, הניתנת גם עושר וכבוד. ובהיותו נמשך ושואף אל תעודתו ותכליתו, לכן הוא ממהר לרוץ </w:t>
      </w:r>
      <w:proofErr w:type="spellStart"/>
      <w:r>
        <w:rPr>
          <w:rtl/>
        </w:rPr>
        <w:t>להעשירים</w:t>
      </w:r>
      <w:proofErr w:type="spellEnd"/>
      <w:r>
        <w:rPr>
          <w:rtl/>
        </w:rPr>
        <w:t xml:space="preserve">, ובהיפך מתרחק מאד מן העניים. והנה גם </w:t>
      </w:r>
      <w:proofErr w:type="spellStart"/>
      <w:r>
        <w:rPr>
          <w:rtl/>
        </w:rPr>
        <w:t>הבתי</w:t>
      </w:r>
      <w:proofErr w:type="spellEnd"/>
      <w:r>
        <w:rPr>
          <w:rtl/>
        </w:rPr>
        <w:t xml:space="preserve"> מדרש לרבנים, יש למו ג״כ תעודת ומטרת </w:t>
      </w:r>
      <w:proofErr w:type="spellStart"/>
      <w:r>
        <w:rPr>
          <w:rtl/>
        </w:rPr>
        <w:t>אוניורסיטט</w:t>
      </w:r>
      <w:proofErr w:type="spellEnd"/>
      <w:r>
        <w:rPr>
          <w:rtl/>
        </w:rPr>
        <w:t>, והתלמידים נכנסים לשם ג״כ לתכלית אומנות, שנותנת עושר וכבוד. א״כ הלא נעשה שתים רעות, שנגרום שגם הרבנים יאהבו וירחמו גם כן רק על העשירים, ואת העניים ישנאו, וזאת הלא תהיה גזרה חדשה, לכן נערתי את חצני מזה”.</w:t>
      </w:r>
    </w:p>
    <w:p w14:paraId="3A84363B" w14:textId="77777777" w:rsidR="00AB3647" w:rsidRDefault="00000000" w:rsidP="007923E9">
      <w:pPr>
        <w:spacing w:after="120" w:line="276" w:lineRule="auto"/>
        <w:ind w:firstLine="283"/>
        <w:jc w:val="both"/>
      </w:pPr>
      <w:r>
        <w:rPr>
          <w:rtl/>
        </w:rPr>
        <w:lastRenderedPageBreak/>
        <w:t>מחבר “</w:t>
      </w:r>
      <w:proofErr w:type="spellStart"/>
      <w:r>
        <w:rPr>
          <w:rtl/>
        </w:rPr>
        <w:t>זכרון</w:t>
      </w:r>
      <w:proofErr w:type="spellEnd"/>
      <w:r>
        <w:rPr>
          <w:rtl/>
        </w:rPr>
        <w:t xml:space="preserve"> יעקב” מוסיף: “תשובתו של ר׳ ישראל הייתה ‘דחייה בקש’, כלומר תשובה חלשה, אף שהייתה חריפה מאוד; הדברים התאימו לאדם שאליו נאמרו [</w:t>
      </w:r>
      <w:proofErr w:type="spellStart"/>
      <w:r>
        <w:rPr>
          <w:rtl/>
        </w:rPr>
        <w:t>צבי־הירש</w:t>
      </w:r>
      <w:proofErr w:type="spellEnd"/>
      <w:r>
        <w:rPr>
          <w:rtl/>
        </w:rPr>
        <w:t xml:space="preserve"> </w:t>
      </w:r>
      <w:proofErr w:type="spellStart"/>
      <w:r>
        <w:rPr>
          <w:rtl/>
        </w:rPr>
        <w:t>אפטקר־שפיר</w:t>
      </w:r>
      <w:proofErr w:type="spellEnd"/>
      <w:r>
        <w:rPr>
          <w:rtl/>
        </w:rPr>
        <w:t>], שכן עם שואל זה אי אפשר היה להיכנס לפולמוס”</w:t>
      </w:r>
      <w:bookmarkStart w:id="5172" w:name="_fnr3848"/>
      <w:r>
        <w:rPr>
          <w:vertAlign w:val="superscript"/>
          <w:rtl/>
        </w:rPr>
        <w:footnoteReference w:id="3856" w:customMarkFollows="0"/>
      </w:r>
      <w:bookmarkEnd w:id="5172"/>
      <w:r>
        <w:rPr>
          <w:rtl/>
        </w:rPr>
        <w:t>.</w:t>
      </w:r>
    </w:p>
    <w:p w14:paraId="7D213C50" w14:textId="77777777" w:rsidR="00AB3647" w:rsidRDefault="00000000" w:rsidP="007923E9">
      <w:pPr>
        <w:spacing w:after="120" w:line="276" w:lineRule="auto"/>
        <w:ind w:firstLine="283"/>
        <w:jc w:val="both"/>
      </w:pPr>
      <w:r>
        <w:rPr>
          <w:rtl/>
        </w:rPr>
        <w:t xml:space="preserve">אין זה רחוק מן הדעת לראות ברעיון של הברון להקים בית מדרש לרבנים תוצאה לא רצויה של אכזבתו של בוגר האוניברסיטה מן הישיבה שראה – כנראה היכרותו הראשונה של הצעיר עם מוסד כזה. זמן קצר אחרי הביקור </w:t>
      </w:r>
      <w:proofErr w:type="spellStart"/>
      <w:r>
        <w:rPr>
          <w:rtl/>
        </w:rPr>
        <w:t>בקלם</w:t>
      </w:r>
      <w:proofErr w:type="spellEnd"/>
      <w:r>
        <w:rPr>
          <w:rtl/>
        </w:rPr>
        <w:t xml:space="preserve"> פנה הוא – או, כמסתבר יותר, אביו – אל ר׳ ישראל בפריז, לדון בשאלת בית המדרש לרבנים. אפשר שפנייה זו לא הייתה אלא המשך לביקורת שהשמיע הברון </w:t>
      </w:r>
      <w:proofErr w:type="spellStart"/>
      <w:r>
        <w:rPr>
          <w:rtl/>
        </w:rPr>
        <w:t>בקלם</w:t>
      </w:r>
      <w:proofErr w:type="spellEnd"/>
      <w:r>
        <w:rPr>
          <w:rtl/>
        </w:rPr>
        <w:t xml:space="preserve"> על השיטה המקובלת להכשרת מנהיגיה הרבניים של האומה היהודית.</w:t>
      </w:r>
    </w:p>
    <w:p w14:paraId="7F13D134" w14:textId="77777777" w:rsidR="00AB3647" w:rsidRDefault="00000000" w:rsidP="007923E9">
      <w:pPr>
        <w:spacing w:after="120" w:line="276" w:lineRule="auto"/>
        <w:ind w:firstLine="283"/>
        <w:jc w:val="both"/>
      </w:pPr>
      <w:r>
        <w:rPr>
          <w:rtl/>
        </w:rPr>
        <w:t xml:space="preserve">אבל בהתחשב ברקע השכלתו, סביר שדעתו של ר׳ דוד </w:t>
      </w:r>
      <w:proofErr w:type="spellStart"/>
      <w:r>
        <w:rPr>
          <w:rtl/>
        </w:rPr>
        <w:t>גינצבורג</w:t>
      </w:r>
      <w:proofErr w:type="spellEnd"/>
      <w:r>
        <w:rPr>
          <w:rtl/>
        </w:rPr>
        <w:t xml:space="preserve"> על הישיבות כבר הייתה מגובשת לגמרי לפני ביקורו </w:t>
      </w:r>
      <w:proofErr w:type="spellStart"/>
      <w:r>
        <w:rPr>
          <w:rtl/>
        </w:rPr>
        <w:t>בקלם</w:t>
      </w:r>
      <w:proofErr w:type="spellEnd"/>
      <w:r>
        <w:rPr>
          <w:rtl/>
        </w:rPr>
        <w:t xml:space="preserve">. לכל אחד משלושת מוריו הפרטיים היה תפקיד מיוחד: </w:t>
      </w:r>
      <w:proofErr w:type="spellStart"/>
      <w:r>
        <w:rPr>
          <w:rtl/>
        </w:rPr>
        <w:t>נויבאואר</w:t>
      </w:r>
      <w:proofErr w:type="spellEnd"/>
      <w:r>
        <w:rPr>
          <w:rtl/>
        </w:rPr>
        <w:t xml:space="preserve"> הכניסו ללימודי המזרח, </w:t>
      </w:r>
      <w:proofErr w:type="spellStart"/>
      <w:r>
        <w:rPr>
          <w:rtl/>
        </w:rPr>
        <w:t>רבינוביץ</w:t>
      </w:r>
      <w:proofErr w:type="spellEnd"/>
      <w:r>
        <w:rPr>
          <w:rtl/>
        </w:rPr>
        <w:t xml:space="preserve"> לימדו מדעים, </w:t>
      </w:r>
      <w:proofErr w:type="spellStart"/>
      <w:r>
        <w:rPr>
          <w:rtl/>
        </w:rPr>
        <w:t>וזק״ש</w:t>
      </w:r>
      <w:proofErr w:type="spellEnd"/>
      <w:r>
        <w:rPr>
          <w:rtl/>
        </w:rPr>
        <w:t xml:space="preserve"> עיצב את הכשרתו בענייני יהדות ודת. כדי לדעת איזה יסוד קיבל הברון דוד בתחום האחרון, עלינו לבחון את אמונותיו והשקפותיו של מורו.</w:t>
      </w:r>
    </w:p>
    <w:p w14:paraId="364DB9BE" w14:textId="77777777" w:rsidR="00AB3647" w:rsidRDefault="00000000" w:rsidP="007923E9">
      <w:pPr>
        <w:spacing w:after="120" w:line="276" w:lineRule="auto"/>
        <w:ind w:firstLine="283"/>
        <w:jc w:val="both"/>
      </w:pPr>
      <w:r>
        <w:rPr>
          <w:rtl/>
        </w:rPr>
        <w:t xml:space="preserve">שניאור </w:t>
      </w:r>
      <w:proofErr w:type="spellStart"/>
      <w:r>
        <w:rPr>
          <w:rtl/>
        </w:rPr>
        <w:t>זק״ש</w:t>
      </w:r>
      <w:proofErr w:type="spellEnd"/>
      <w:r>
        <w:rPr>
          <w:rtl/>
        </w:rPr>
        <w:t xml:space="preserve"> היה משכיל, ובשנים תר״ג </w:t>
      </w:r>
      <w:proofErr w:type="spellStart"/>
      <w:r>
        <w:rPr>
          <w:rtl/>
        </w:rPr>
        <w:t>ותר״ד</w:t>
      </w:r>
      <w:proofErr w:type="spellEnd"/>
      <w:r>
        <w:rPr>
          <w:rtl/>
        </w:rPr>
        <w:t xml:space="preserve"> לימד </w:t>
      </w:r>
      <w:proofErr w:type="spellStart"/>
      <w:r>
        <w:rPr>
          <w:rtl/>
        </w:rPr>
        <w:t>בראסיין</w:t>
      </w:r>
      <w:bookmarkStart w:id="5173" w:name="_fnr3849"/>
      <w:proofErr w:type="spellEnd"/>
      <w:r>
        <w:rPr>
          <w:vertAlign w:val="superscript"/>
          <w:rtl/>
        </w:rPr>
        <w:footnoteReference w:id="3857" w:customMarkFollows="0"/>
      </w:r>
      <w:bookmarkEnd w:id="5173"/>
      <w:r>
        <w:rPr>
          <w:rtl/>
        </w:rPr>
        <w:t>, עיר שהייתה בה קבוצה מושרשת של משכילים. שם התיידד עם הסופר המשכיל אברהם מאפו (תקס״ח–תרכ״ז). השווה מכתבי אברהם מאפו</w:t>
      </w:r>
      <w:bookmarkStart w:id="5174" w:name="_fnr3850"/>
      <w:r>
        <w:rPr>
          <w:vertAlign w:val="superscript"/>
          <w:rtl/>
        </w:rPr>
        <w:footnoteReference w:id="3858" w:customMarkFollows="0"/>
      </w:r>
      <w:bookmarkEnd w:id="5174"/>
      <w:r>
        <w:rPr>
          <w:rtl/>
        </w:rPr>
        <w:t xml:space="preserve">: מאפו פונה שם אל </w:t>
      </w:r>
      <w:proofErr w:type="spellStart"/>
      <w:r>
        <w:rPr>
          <w:rtl/>
        </w:rPr>
        <w:t>זק״ש</w:t>
      </w:r>
      <w:proofErr w:type="spellEnd"/>
      <w:r>
        <w:rPr>
          <w:rtl/>
        </w:rPr>
        <w:t xml:space="preserve"> בכינוי “אוהבי ואהובי”, ומייחס לו את ההשפעה שהביאה אותו להקדיש את עצמו לספרות היפה בעברית:</w:t>
      </w:r>
      <w:bookmarkStart w:id="5175" w:name="_fnr3851"/>
      <w:r>
        <w:rPr>
          <w:vertAlign w:val="superscript"/>
          <w:rtl/>
        </w:rPr>
        <w:footnoteReference w:id="3859" w:customMarkFollows="0"/>
      </w:r>
      <w:bookmarkEnd w:id="5175"/>
      <w:r>
        <w:rPr>
          <w:rtl/>
        </w:rPr>
        <w:t xml:space="preserve"> “אתה הרהבתני בנפשי עוז ותשיאני לכרות ברית לעברית”. באלבום פרידה שהגישו המשכילים המקומיים </w:t>
      </w:r>
      <w:proofErr w:type="spellStart"/>
      <w:r>
        <w:rPr>
          <w:rtl/>
        </w:rPr>
        <w:t>לזק״ש</w:t>
      </w:r>
      <w:proofErr w:type="spellEnd"/>
      <w:r>
        <w:rPr>
          <w:rtl/>
        </w:rPr>
        <w:t xml:space="preserve"> בצאתו מן העיר, ביטא מאפו את הדבר בלשון פיוטית עוד יותר: “מי העיר את רוחי מתרדמתה? ומי השכין שלום ביני ובין עטי העברית, שכמעט שילחתיה מעל פניי? אתה, יקירי”</w:t>
      </w:r>
      <w:bookmarkStart w:id="5176" w:name="_fnr3852"/>
      <w:r>
        <w:rPr>
          <w:vertAlign w:val="superscript"/>
          <w:rtl/>
        </w:rPr>
        <w:footnoteReference w:id="3860" w:customMarkFollows="0"/>
      </w:r>
      <w:bookmarkEnd w:id="5176"/>
      <w:r>
        <w:rPr>
          <w:rtl/>
        </w:rPr>
        <w:t>.</w:t>
      </w:r>
    </w:p>
    <w:p w14:paraId="5EDB7F9E" w14:textId="77777777" w:rsidR="00AB3647" w:rsidRDefault="00000000" w:rsidP="007923E9">
      <w:pPr>
        <w:spacing w:after="120" w:line="276" w:lineRule="auto"/>
        <w:ind w:firstLine="283"/>
        <w:jc w:val="both"/>
      </w:pPr>
      <w:r>
        <w:rPr>
          <w:rtl/>
        </w:rPr>
        <w:t xml:space="preserve">ראה גם את המפתח למכתבי אברהם מאפו, שבו נזכר </w:t>
      </w:r>
      <w:proofErr w:type="spellStart"/>
      <w:r>
        <w:rPr>
          <w:rtl/>
        </w:rPr>
        <w:t>זק״ש</w:t>
      </w:r>
      <w:proofErr w:type="spellEnd"/>
      <w:r>
        <w:rPr>
          <w:rtl/>
        </w:rPr>
        <w:t xml:space="preserve"> עשרים פעם, ואת הקדמת העורך, שבה נאמר: “כיוון מחשבתו והשקפת עולמו של מאפו קיבלו תפנית חשובה בעקבות שיחותיו עם </w:t>
      </w:r>
      <w:proofErr w:type="spellStart"/>
      <w:r>
        <w:rPr>
          <w:rtl/>
        </w:rPr>
        <w:t>זק״ש</w:t>
      </w:r>
      <w:proofErr w:type="spellEnd"/>
      <w:r>
        <w:rPr>
          <w:rtl/>
        </w:rPr>
        <w:t>”</w:t>
      </w:r>
      <w:bookmarkStart w:id="5177" w:name="_fnr3853"/>
      <w:r>
        <w:rPr>
          <w:vertAlign w:val="superscript"/>
          <w:rtl/>
        </w:rPr>
        <w:footnoteReference w:id="3861" w:customMarkFollows="0"/>
      </w:r>
      <w:bookmarkEnd w:id="5177"/>
      <w:r>
        <w:rPr>
          <w:rtl/>
        </w:rPr>
        <w:t xml:space="preserve">. בראש הכרך השני של הרומן הנודע שלו, “עיט צבוע”, הדפיס מאפו גם שיר מאת </w:t>
      </w:r>
      <w:proofErr w:type="spellStart"/>
      <w:r>
        <w:rPr>
          <w:rtl/>
        </w:rPr>
        <w:t>זק״ש</w:t>
      </w:r>
      <w:proofErr w:type="spellEnd"/>
      <w:r>
        <w:rPr>
          <w:rtl/>
        </w:rPr>
        <w:t>.</w:t>
      </w:r>
    </w:p>
    <w:p w14:paraId="25BBC92F" w14:textId="01665DE8" w:rsidR="00AB3647" w:rsidRDefault="00000000" w:rsidP="007923E9">
      <w:pPr>
        <w:spacing w:after="120" w:line="276" w:lineRule="auto"/>
        <w:ind w:firstLine="283"/>
        <w:jc w:val="both"/>
      </w:pPr>
      <w:r>
        <w:rPr>
          <w:rtl/>
        </w:rPr>
        <w:t xml:space="preserve">בנעוריו היה אברהם מאפו עילוי בתלמוד וירא שמים, מתלמידיו הקרובים של ר׳ </w:t>
      </w:r>
      <w:proofErr w:type="spellStart"/>
      <w:r>
        <w:rPr>
          <w:rtl/>
        </w:rPr>
        <w:t>אלינקה</w:t>
      </w:r>
      <w:proofErr w:type="spellEnd"/>
      <w:r>
        <w:rPr>
          <w:rtl/>
        </w:rPr>
        <w:t xml:space="preserve"> </w:t>
      </w:r>
      <w:proofErr w:type="spellStart"/>
      <w:r>
        <w:rPr>
          <w:rtl/>
        </w:rPr>
        <w:t>ראגולר</w:t>
      </w:r>
      <w:proofErr w:type="spellEnd"/>
      <w:r>
        <w:rPr>
          <w:rtl/>
        </w:rPr>
        <w:t xml:space="preserve"> (תקנ״ד–תר״י)</w:t>
      </w:r>
      <w:bookmarkStart w:id="5178" w:name="_fnr3854"/>
      <w:r>
        <w:rPr>
          <w:vertAlign w:val="superscript"/>
          <w:rtl/>
        </w:rPr>
        <w:footnoteReference w:id="3862" w:customMarkFollows="0"/>
      </w:r>
      <w:bookmarkEnd w:id="5178"/>
      <w:r>
        <w:rPr>
          <w:rtl/>
        </w:rPr>
        <w:t xml:space="preserve">, רבה של </w:t>
      </w:r>
      <w:proofErr w:type="spellStart"/>
      <w:r>
        <w:rPr>
          <w:rtl/>
        </w:rPr>
        <w:t>סלבודקה</w:t>
      </w:r>
      <w:proofErr w:type="spellEnd"/>
      <w:r>
        <w:rPr>
          <w:rtl/>
        </w:rPr>
        <w:t xml:space="preserve"> בשנים תקפ״ד–ת״ר ולאחר מכן רבה של </w:t>
      </w:r>
      <w:proofErr w:type="spellStart"/>
      <w:r>
        <w:rPr>
          <w:rtl/>
        </w:rPr>
        <w:t>קאליש</w:t>
      </w:r>
      <w:proofErr w:type="spellEnd"/>
      <w:r>
        <w:rPr>
          <w:rtl/>
        </w:rPr>
        <w:t xml:space="preserve">. משהתרחק מאפו מדרך התורה – אף שנשאר מאמין – החל לבוז לרבנים ולעולם התורה. </w:t>
      </w:r>
      <w:r>
        <w:rPr>
          <w:rtl/>
        </w:rPr>
        <w:lastRenderedPageBreak/>
        <w:t xml:space="preserve">השווה פרק 3, סוף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על “עיט צבוע”, רומן הגדוש לעג ובוז ליהודים יראי שמים, שנכתב בהתאם למאמר הגמרא במסכת פסחים</w:t>
      </w:r>
      <w:bookmarkStart w:id="5179" w:name="_fnr3855"/>
      <w:r>
        <w:rPr>
          <w:vertAlign w:val="superscript"/>
          <w:rtl/>
        </w:rPr>
        <w:footnoteReference w:id="3863" w:customMarkFollows="0"/>
      </w:r>
      <w:bookmarkEnd w:id="5179"/>
      <w:r>
        <w:rPr>
          <w:rtl/>
        </w:rPr>
        <w:t>: “שנה ופירש – יותר מכולן”. כלומר: יותר משהגויים שונאים את ישראל, שונאים עמי הארץ את תלמידי החכמים, ונשותיהם יותר מהם, ומי שלמד ופרש שונא אותם יותר מכולם.</w:t>
      </w:r>
    </w:p>
    <w:p w14:paraId="3021E26C"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הכיר לתלמידו, הברון דוד, את הרומן המפורסם של ידידו, שחלקו הראשון נדפס בשנת לידתו של הברון, תרי״ז. נמצא שדוד הגיע </w:t>
      </w:r>
      <w:proofErr w:type="spellStart"/>
      <w:r>
        <w:rPr>
          <w:rtl/>
        </w:rPr>
        <w:t>לקלם</w:t>
      </w:r>
      <w:proofErr w:type="spellEnd"/>
      <w:r>
        <w:rPr>
          <w:rtl/>
        </w:rPr>
        <w:t xml:space="preserve"> כשהוא כבר נושא עמו דעה קדומה נגד הישיבות. קרוב לוודאי שהתכונן מראש לשאול מדוע אין ישיבה יכולה להתנהל כאוניברסיטה, בלי שכל תלמידיה יושבים ולומדים באולם רועש אחד – ולא היה מוכן באמת להקשיב לתשובתו של ר׳ ישראל.</w:t>
      </w:r>
    </w:p>
    <w:p w14:paraId="1EF8149D" w14:textId="77777777" w:rsidR="00AB3647" w:rsidRDefault="00000000" w:rsidP="007923E9">
      <w:pPr>
        <w:spacing w:after="120" w:line="276" w:lineRule="auto"/>
        <w:ind w:firstLine="283"/>
        <w:jc w:val="both"/>
      </w:pPr>
      <w:r>
        <w:rPr>
          <w:rtl/>
        </w:rPr>
        <w:t xml:space="preserve">אין ספק </w:t>
      </w:r>
      <w:proofErr w:type="spellStart"/>
      <w:r>
        <w:rPr>
          <w:rtl/>
        </w:rPr>
        <w:t>שזק״ש</w:t>
      </w:r>
      <w:proofErr w:type="spellEnd"/>
      <w:r>
        <w:rPr>
          <w:rtl/>
        </w:rPr>
        <w:t xml:space="preserve"> לימד את תלמידו את “עיט צבוע”, שכן לפי מכתבי אברהם מאפו</w:t>
      </w:r>
      <w:bookmarkStart w:id="5180" w:name="_fnr3856"/>
      <w:r>
        <w:rPr>
          <w:vertAlign w:val="superscript"/>
          <w:rtl/>
        </w:rPr>
        <w:footnoteReference w:id="3864" w:customMarkFollows="0"/>
      </w:r>
      <w:bookmarkEnd w:id="5180"/>
      <w:r>
        <w:rPr>
          <w:rtl/>
        </w:rPr>
        <w:t xml:space="preserve"> שלח מאפו את החלק הראשון של הספר לסבו של דוד, ר׳ </w:t>
      </w:r>
      <w:proofErr w:type="spellStart"/>
      <w:r>
        <w:rPr>
          <w:rtl/>
        </w:rPr>
        <w:t>יוסף־יוזיל</w:t>
      </w:r>
      <w:proofErr w:type="spellEnd"/>
      <w:r>
        <w:rPr>
          <w:rtl/>
        </w:rPr>
        <w:t xml:space="preserve">, והודיע לו במכתב הנלווה שדמות הגיבור, עמנואל, מבוססת על דמותו של ר׳ </w:t>
      </w:r>
      <w:proofErr w:type="spellStart"/>
      <w:r>
        <w:rPr>
          <w:rtl/>
        </w:rPr>
        <w:t>יוסף־יוזיל</w:t>
      </w:r>
      <w:proofErr w:type="spellEnd"/>
      <w:r>
        <w:rPr>
          <w:rtl/>
        </w:rPr>
        <w:t xml:space="preserve"> עצמו. ראה שם</w:t>
      </w:r>
      <w:bookmarkStart w:id="5181" w:name="_fnr3857"/>
      <w:r>
        <w:rPr>
          <w:vertAlign w:val="superscript"/>
          <w:rtl/>
        </w:rPr>
        <w:footnoteReference w:id="3865" w:customMarkFollows="0"/>
      </w:r>
      <w:bookmarkEnd w:id="5181"/>
      <w:r>
        <w:rPr>
          <w:rtl/>
        </w:rPr>
        <w:t xml:space="preserve"> כיצד קולמוסו של מאפו נוטף חלב ודבש בשבח הברון </w:t>
      </w:r>
      <w:proofErr w:type="spellStart"/>
      <w:r>
        <w:rPr>
          <w:rtl/>
        </w:rPr>
        <w:t>יבֶסֶל</w:t>
      </w:r>
      <w:proofErr w:type="spellEnd"/>
      <w:r>
        <w:rPr>
          <w:rtl/>
        </w:rPr>
        <w:t xml:space="preserve"> </w:t>
      </w:r>
      <w:proofErr w:type="spellStart"/>
      <w:r>
        <w:rPr>
          <w:rtl/>
        </w:rPr>
        <w:t>גינצבורג</w:t>
      </w:r>
      <w:proofErr w:type="spellEnd"/>
      <w:r>
        <w:rPr>
          <w:rtl/>
        </w:rPr>
        <w:t xml:space="preserve">, בנוסח של שאלה ותשובה: “ומי הוא בעמו עמנואל האדיר הזה, הנראה כעלות השחר בכרך ראשון זה, ואשר יאיר כשמש בגבורתה בשני הכרכים העתידים לבוא, אם ירצה ה׳? מי הוא עמנואל זה, שעמלו ותפארתו משפיעים על עם אלוהי אברהם? האם אין שם זה נראה בכבודו הרם [של </w:t>
      </w:r>
      <w:proofErr w:type="spellStart"/>
      <w:r>
        <w:rPr>
          <w:rtl/>
        </w:rPr>
        <w:t>גינצבורג</w:t>
      </w:r>
      <w:proofErr w:type="spellEnd"/>
      <w:r>
        <w:rPr>
          <w:rtl/>
        </w:rPr>
        <w:t xml:space="preserve">], </w:t>
      </w:r>
      <w:proofErr w:type="spellStart"/>
      <w:r>
        <w:rPr>
          <w:rtl/>
        </w:rPr>
        <w:t>וכו</w:t>
      </w:r>
      <w:proofErr w:type="spellEnd"/>
      <w:r>
        <w:rPr>
          <w:rtl/>
        </w:rPr>
        <w:t xml:space="preserve">׳? הנה שם זה חרות על לוח לבי בשלהבת אלוהית, </w:t>
      </w:r>
      <w:proofErr w:type="spellStart"/>
      <w:r>
        <w:rPr>
          <w:rtl/>
        </w:rPr>
        <w:t>וכו</w:t>
      </w:r>
      <w:proofErr w:type="spellEnd"/>
      <w:r>
        <w:rPr>
          <w:rtl/>
        </w:rPr>
        <w:t xml:space="preserve">׳, שכן בכבודו הרם והנישא של </w:t>
      </w:r>
      <w:proofErr w:type="spellStart"/>
      <w:r>
        <w:rPr>
          <w:rtl/>
        </w:rPr>
        <w:t>גינצבורג</w:t>
      </w:r>
      <w:proofErr w:type="spellEnd"/>
      <w:r>
        <w:rPr>
          <w:rtl/>
        </w:rPr>
        <w:t xml:space="preserve"> נראה כי ה׳ עוד יאיר פניו לישורון, </w:t>
      </w:r>
      <w:proofErr w:type="spellStart"/>
      <w:r>
        <w:rPr>
          <w:rtl/>
        </w:rPr>
        <w:t>וכו</w:t>
      </w:r>
      <w:proofErr w:type="spellEnd"/>
      <w:r>
        <w:rPr>
          <w:rtl/>
        </w:rPr>
        <w:t>׳. הוא היה לנס המתנוסס עד קצווי ארץ ועד הדור האחרון”. השווה גם מכתב שם</w:t>
      </w:r>
      <w:bookmarkStart w:id="5182" w:name="_fnr3858"/>
      <w:r>
        <w:rPr>
          <w:vertAlign w:val="superscript"/>
          <w:rtl/>
        </w:rPr>
        <w:footnoteReference w:id="3866" w:customMarkFollows="0"/>
      </w:r>
      <w:bookmarkEnd w:id="5182"/>
      <w:r>
        <w:rPr>
          <w:rtl/>
        </w:rPr>
        <w:t xml:space="preserve">, שבו כותב מאפו לאחיו, שעבד אצל </w:t>
      </w:r>
      <w:proofErr w:type="spellStart"/>
      <w:r>
        <w:rPr>
          <w:rtl/>
        </w:rPr>
        <w:t>גינצבורג</w:t>
      </w:r>
      <w:proofErr w:type="spellEnd"/>
      <w:r>
        <w:rPr>
          <w:rtl/>
        </w:rPr>
        <w:t xml:space="preserve"> בפריז, שהכרת טובתו </w:t>
      </w:r>
      <w:proofErr w:type="spellStart"/>
      <w:r>
        <w:rPr>
          <w:rtl/>
        </w:rPr>
        <w:t>ל“עמנואל</w:t>
      </w:r>
      <w:proofErr w:type="spellEnd"/>
      <w:r>
        <w:rPr>
          <w:rtl/>
        </w:rPr>
        <w:t xml:space="preserve">” רבה כל כך </w:t>
      </w:r>
      <w:proofErr w:type="spellStart"/>
      <w:r>
        <w:rPr>
          <w:rtl/>
        </w:rPr>
        <w:t>ש“כל</w:t>
      </w:r>
      <w:proofErr w:type="spellEnd"/>
      <w:r>
        <w:rPr>
          <w:rtl/>
        </w:rPr>
        <w:t xml:space="preserve"> לשון דלה וחלשה מכדי לבטא את רגשות תודתו הנשגבים”.</w:t>
      </w:r>
    </w:p>
    <w:p w14:paraId="2E3B9A89" w14:textId="77777777" w:rsidR="00AB3647" w:rsidRDefault="00000000" w:rsidP="007923E9">
      <w:pPr>
        <w:spacing w:after="120" w:line="276" w:lineRule="auto"/>
        <w:ind w:firstLine="283"/>
        <w:jc w:val="both"/>
      </w:pPr>
      <w:r>
        <w:rPr>
          <w:rtl/>
        </w:rPr>
        <w:t xml:space="preserve">בפתק ללאון </w:t>
      </w:r>
      <w:proofErr w:type="spellStart"/>
      <w:r>
        <w:rPr>
          <w:rtl/>
        </w:rPr>
        <w:t>מנדלשטם</w:t>
      </w:r>
      <w:proofErr w:type="spellEnd"/>
      <w:r>
        <w:rPr>
          <w:rtl/>
        </w:rPr>
        <w:t>, שם</w:t>
      </w:r>
      <w:bookmarkStart w:id="5183" w:name="_fnr3859"/>
      <w:r>
        <w:rPr>
          <w:vertAlign w:val="superscript"/>
          <w:rtl/>
        </w:rPr>
        <w:footnoteReference w:id="3867" w:customMarkFollows="0"/>
      </w:r>
      <w:bookmarkEnd w:id="5183"/>
      <w:r>
        <w:rPr>
          <w:rtl/>
        </w:rPr>
        <w:t xml:space="preserve">, מוסיף מאפו להביע את תודתו למשפחת </w:t>
      </w:r>
      <w:proofErr w:type="spellStart"/>
      <w:r>
        <w:rPr>
          <w:rtl/>
        </w:rPr>
        <w:t>גינצבורג</w:t>
      </w:r>
      <w:proofErr w:type="spellEnd"/>
      <w:r>
        <w:rPr>
          <w:rtl/>
        </w:rPr>
        <w:t>, שקנתה ממנו 110 עותקים של “עיט צבוע”. במכתב הנזכר לעיל</w:t>
      </w:r>
      <w:bookmarkStart w:id="5184" w:name="_fnr3860"/>
      <w:r>
        <w:rPr>
          <w:vertAlign w:val="superscript"/>
          <w:rtl/>
        </w:rPr>
        <w:footnoteReference w:id="3868" w:customMarkFollows="0"/>
      </w:r>
      <w:bookmarkEnd w:id="5184"/>
      <w:r>
        <w:rPr>
          <w:rtl/>
        </w:rPr>
        <w:t>, לפני שמאפו מספר לברון מי שימש דגם לגיבורו, הוא מתאר גם את יחסם של נבלי יצירתו למצב היהדות בזמנו: “הקרע מתרחב והצבועים מקפצים כשעירים, ומחרחרים ריב בסתר... וגלי עשן עולים להכהות את עינו של יעקב... יצרתי את המחזה ‘עיט צבוע’ להראות כי מלחמת הדעות היא אש האוכלת בשני קצות העם, ועשנה כעשן הכבשן. מבעד לערפל יראה הקורא את המכוסה ואת המרמה החבויה תחת המסווה”.</w:t>
      </w:r>
    </w:p>
    <w:p w14:paraId="3FA448E5" w14:textId="4F2D2C9A" w:rsidR="00AB3647" w:rsidRDefault="00000000" w:rsidP="007923E9">
      <w:pPr>
        <w:spacing w:after="120" w:line="276" w:lineRule="auto"/>
        <w:ind w:firstLine="283"/>
        <w:jc w:val="both"/>
      </w:pPr>
      <w:r>
        <w:rPr>
          <w:rtl/>
        </w:rPr>
        <w:t xml:space="preserve">השאלה אם ביקש מאפו להטיל דופי בר׳ ישראל </w:t>
      </w:r>
      <w:proofErr w:type="spellStart"/>
      <w:r>
        <w:rPr>
          <w:rtl/>
        </w:rPr>
        <w:t>סלנטר</w:t>
      </w:r>
      <w:proofErr w:type="spellEnd"/>
      <w:r>
        <w:rPr>
          <w:rtl/>
        </w:rPr>
        <w:t xml:space="preserve"> באמצעות אחד מנבלי ספרו, ר׳ </w:t>
      </w:r>
      <w:proofErr w:type="spellStart"/>
      <w:r>
        <w:rPr>
          <w:rtl/>
        </w:rPr>
        <w:t>גדיאל</w:t>
      </w:r>
      <w:proofErr w:type="spellEnd"/>
      <w:r>
        <w:rPr>
          <w:rtl/>
        </w:rPr>
        <w:t xml:space="preserve"> – כפי שסברו אחדים מחסידיו של ר׳ ישראל – נדונה בפרק 3, בפסקה השנייה של </w:t>
      </w:r>
      <w:r>
        <w:rPr>
          <w:rtl/>
        </w:rPr>
        <w:fldChar w:fldCharType="begin" w:dirty="true"/>
      </w:r>
      <w:r>
        <w:rPr>
          <w:rtl/>
        </w:rPr>
        <w:instrText xml:space="preserve"> REF b3_excS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יט</w:t>
      </w:r>
      <w:proofErr w:type="spellEnd"/>
      <w:r>
        <w:rPr>
          <w:rtl/>
        </w:rPr>
        <w:fldChar w:fldCharType="end"/>
      </w:r>
      <w:r>
        <w:rPr>
          <w:rtl/>
        </w:rPr>
        <w:t xml:space="preserve">. לא מצאתי אישור לכך שמאפו התכוון </w:t>
      </w:r>
      <w:proofErr w:type="spellStart"/>
      <w:r>
        <w:rPr>
          <w:rtl/>
        </w:rPr>
        <w:t>לר</w:t>
      </w:r>
      <w:proofErr w:type="spellEnd"/>
      <w:r>
        <w:rPr>
          <w:rtl/>
        </w:rPr>
        <w:t xml:space="preserve">׳ ישראל; אבל כשלימד </w:t>
      </w:r>
      <w:proofErr w:type="spellStart"/>
      <w:r>
        <w:rPr>
          <w:rtl/>
        </w:rPr>
        <w:t>זק״ש</w:t>
      </w:r>
      <w:proofErr w:type="spellEnd"/>
      <w:r>
        <w:rPr>
          <w:rtl/>
        </w:rPr>
        <w:t xml:space="preserve"> את תלמידו את </w:t>
      </w:r>
      <w:r>
        <w:rPr>
          <w:rtl/>
        </w:rPr>
        <w:lastRenderedPageBreak/>
        <w:t xml:space="preserve">הרומן של בן טיפוחיו, אין ספק שמסר לו את הפירוש הרווח, שלפיו אחד </w:t>
      </w:r>
      <w:proofErr w:type="spellStart"/>
      <w:r>
        <w:rPr>
          <w:rtl/>
        </w:rPr>
        <w:t>ה“חסידים</w:t>
      </w:r>
      <w:proofErr w:type="spellEnd"/>
      <w:r>
        <w:rPr>
          <w:rtl/>
        </w:rPr>
        <w:t>” הצבועים המתוארים שם הוא מייסד תנועת המוסר.</w:t>
      </w:r>
    </w:p>
    <w:p w14:paraId="1C8D4BD7" w14:textId="77777777" w:rsidR="00AB3647" w:rsidRDefault="00000000" w:rsidP="007923E9">
      <w:pPr>
        <w:spacing w:after="120" w:line="276" w:lineRule="auto"/>
        <w:ind w:firstLine="283"/>
        <w:jc w:val="both"/>
      </w:pPr>
      <w:r>
        <w:rPr>
          <w:rtl/>
        </w:rPr>
        <w:t xml:space="preserve">כך, כאשר בא ר׳ דוד </w:t>
      </w:r>
      <w:proofErr w:type="spellStart"/>
      <w:r>
        <w:rPr>
          <w:rtl/>
        </w:rPr>
        <w:t>גינצבורג</w:t>
      </w:r>
      <w:proofErr w:type="spellEnd"/>
      <w:r>
        <w:rPr>
          <w:rtl/>
        </w:rPr>
        <w:t xml:space="preserve"> הצעיר </w:t>
      </w:r>
      <w:proofErr w:type="spellStart"/>
      <w:r>
        <w:rPr>
          <w:rtl/>
        </w:rPr>
        <w:t>לקלם</w:t>
      </w:r>
      <w:proofErr w:type="spellEnd"/>
      <w:r>
        <w:rPr>
          <w:rtl/>
        </w:rPr>
        <w:t xml:space="preserve">, נשא עמו דעה קדומה לא רק על הישיבות בכלל, אלא גם על ר׳ ישראל </w:t>
      </w:r>
      <w:proofErr w:type="spellStart"/>
      <w:r>
        <w:rPr>
          <w:rtl/>
        </w:rPr>
        <w:t>סלנטר</w:t>
      </w:r>
      <w:proofErr w:type="spellEnd"/>
      <w:r>
        <w:rPr>
          <w:rtl/>
        </w:rPr>
        <w:t xml:space="preserve"> בפרט!</w:t>
      </w:r>
    </w:p>
    <w:p w14:paraId="73A337FE" w14:textId="77777777" w:rsidR="00AB3647" w:rsidRDefault="00000000" w:rsidP="007923E9">
      <w:pPr>
        <w:spacing w:after="120" w:line="276" w:lineRule="auto"/>
        <w:ind w:firstLine="283"/>
        <w:jc w:val="both"/>
      </w:pPr>
      <w:r>
        <w:rPr>
          <w:rtl/>
        </w:rPr>
        <w:t xml:space="preserve">מתקבל על הדעת שהברון דוד </w:t>
      </w:r>
      <w:proofErr w:type="spellStart"/>
      <w:r>
        <w:rPr>
          <w:rtl/>
        </w:rPr>
        <w:t>גינצבורג</w:t>
      </w:r>
      <w:proofErr w:type="spellEnd"/>
      <w:r>
        <w:rPr>
          <w:rtl/>
        </w:rPr>
        <w:t xml:space="preserve"> שקל את הרעיון להקים בית מדרש לרבנים כבר לפני ביקורו </w:t>
      </w:r>
      <w:proofErr w:type="spellStart"/>
      <w:r>
        <w:rPr>
          <w:rtl/>
        </w:rPr>
        <w:t>בקלם</w:t>
      </w:r>
      <w:proofErr w:type="spellEnd"/>
      <w:r>
        <w:rPr>
          <w:rtl/>
        </w:rPr>
        <w:t xml:space="preserve">, אף שלא העלה אותו במפורש באותה שעה. הוא המתין עד שבא ר׳ ישראל לפריז, זמן קצר אחרי ביקורם המשותף </w:t>
      </w:r>
      <w:proofErr w:type="spellStart"/>
      <w:r>
        <w:rPr>
          <w:rtl/>
        </w:rPr>
        <w:t>בקלם</w:t>
      </w:r>
      <w:proofErr w:type="spellEnd"/>
      <w:r>
        <w:rPr>
          <w:rtl/>
        </w:rPr>
        <w:t xml:space="preserve">, כדי להציע לו את תוכניתו – בעצמו או באמצעות אביו – כפי שכתב ר׳ ישראל </w:t>
      </w:r>
      <w:proofErr w:type="spellStart"/>
      <w:r>
        <w:rPr>
          <w:rtl/>
        </w:rPr>
        <w:t>לר</w:t>
      </w:r>
      <w:proofErr w:type="spellEnd"/>
      <w:r>
        <w:rPr>
          <w:rtl/>
        </w:rPr>
        <w:t xml:space="preserve">׳ יעקב הלוי ליפשיץ. במכתבו משנת תרמ״ג, שהוזכר לעיל, סיפר ר׳ ישראל: “השבתי לברון </w:t>
      </w:r>
      <w:proofErr w:type="spellStart"/>
      <w:r>
        <w:rPr>
          <w:rtl/>
        </w:rPr>
        <w:t>גינצבורג</w:t>
      </w:r>
      <w:proofErr w:type="spellEnd"/>
      <w:r>
        <w:rPr>
          <w:rtl/>
        </w:rPr>
        <w:t xml:space="preserve"> באריכות, שאין הדבר כדאי, ושלא יתקבל ברצון [על דעת הרבנים, האחראים לשלומה הרוחני של יהדות רוסיה]”.</w:t>
      </w:r>
    </w:p>
    <w:p w14:paraId="57A7F0A6" w14:textId="77777777" w:rsidR="00AB3647" w:rsidRDefault="00000000" w:rsidP="007923E9">
      <w:pPr>
        <w:spacing w:after="120" w:line="276" w:lineRule="auto"/>
        <w:ind w:firstLine="283"/>
        <w:jc w:val="both"/>
      </w:pPr>
      <w:r>
        <w:rPr>
          <w:rtl/>
        </w:rPr>
        <w:t xml:space="preserve">נראה שהחכם הישיש לא הצליח לשכנע את המשכיל הצעיר לוותר על התוכנית, שכפי שהוצע לעיל כבר הייתה בדעתו של הברון כשבא </w:t>
      </w:r>
      <w:proofErr w:type="spellStart"/>
      <w:r>
        <w:rPr>
          <w:rtl/>
        </w:rPr>
        <w:t>לקלם</w:t>
      </w:r>
      <w:proofErr w:type="spellEnd"/>
      <w:r>
        <w:rPr>
          <w:rtl/>
        </w:rPr>
        <w:t xml:space="preserve"> כדי למצוא פגמים בישיבות. שנתיים לאחר מכן, בראשית קיץ תרמ״ב, כתב הברון מכתב רשמי לרשות החינוך הממשלתית בווילנה והציע בו את התוכנית. לחוגים הדתיים ביהדות נודע על מכתבו בסוף הקיץ.</w:t>
      </w:r>
    </w:p>
    <w:p w14:paraId="60C8075D" w14:textId="77777777" w:rsidR="00AB3647" w:rsidRDefault="00000000" w:rsidP="007923E9">
      <w:pPr>
        <w:spacing w:after="120" w:line="276" w:lineRule="auto"/>
        <w:ind w:firstLine="283"/>
        <w:jc w:val="both"/>
      </w:pPr>
      <w:r>
        <w:rPr>
          <w:rtl/>
        </w:rPr>
        <w:t xml:space="preserve">רק לאחר שר׳ ישראל </w:t>
      </w:r>
      <w:proofErr w:type="spellStart"/>
      <w:r>
        <w:rPr>
          <w:rtl/>
        </w:rPr>
        <w:t>סלנטר</w:t>
      </w:r>
      <w:proofErr w:type="spellEnd"/>
      <w:r>
        <w:rPr>
          <w:rtl/>
        </w:rPr>
        <w:t xml:space="preserve"> עמד על כך שר׳ יעקב הלוי ליפשיץ יערב בעניין את ר׳ </w:t>
      </w:r>
      <w:proofErr w:type="spellStart"/>
      <w:r>
        <w:rPr>
          <w:rtl/>
        </w:rPr>
        <w:t>יצחק־אלחנן</w:t>
      </w:r>
      <w:proofErr w:type="spellEnd"/>
      <w:r>
        <w:rPr>
          <w:rtl/>
        </w:rPr>
        <w:t xml:space="preserve"> </w:t>
      </w:r>
      <w:proofErr w:type="spellStart"/>
      <w:r>
        <w:rPr>
          <w:rtl/>
        </w:rPr>
        <w:t>ספקטור</w:t>
      </w:r>
      <w:proofErr w:type="spellEnd"/>
      <w:r>
        <w:rPr>
          <w:rtl/>
        </w:rPr>
        <w:t xml:space="preserve">; ולאחר שר׳ </w:t>
      </w:r>
      <w:proofErr w:type="spellStart"/>
      <w:r>
        <w:rPr>
          <w:rtl/>
        </w:rPr>
        <w:t>יצחק־אלחנן</w:t>
      </w:r>
      <w:proofErr w:type="spellEnd"/>
      <w:r>
        <w:rPr>
          <w:rtl/>
        </w:rPr>
        <w:t xml:space="preserve"> שלח איגרת “אל נכבדי בני ישראל בפטרבורג”, שבה הסביר את הכשל שברעיון בית המדרש לרבנים; ולאחר שצירפו גם גדולי תורה אחרים מכתבי מחאה – רק אז נגנזה התוכנית.</w:t>
      </w:r>
    </w:p>
    <w:p w14:paraId="74CF6CAC" w14:textId="77777777" w:rsidR="00AB3647" w:rsidRDefault="00000000" w:rsidP="007923E9">
      <w:pPr>
        <w:spacing w:after="120" w:line="276" w:lineRule="auto"/>
        <w:ind w:firstLine="283"/>
        <w:jc w:val="both"/>
      </w:pPr>
      <w:r>
        <w:rPr>
          <w:rtl/>
        </w:rPr>
        <w:t>ראה גם “</w:t>
      </w:r>
      <w:proofErr w:type="spellStart"/>
      <w:r>
        <w:rPr>
          <w:rtl/>
        </w:rPr>
        <w:t>זכרון</w:t>
      </w:r>
      <w:proofErr w:type="spellEnd"/>
      <w:r>
        <w:rPr>
          <w:rtl/>
        </w:rPr>
        <w:t xml:space="preserve"> יעקב”</w:t>
      </w:r>
      <w:bookmarkStart w:id="5185" w:name="_fnr3861"/>
      <w:r>
        <w:rPr>
          <w:vertAlign w:val="superscript"/>
          <w:rtl/>
        </w:rPr>
        <w:footnoteReference w:id="3869" w:customMarkFollows="0"/>
      </w:r>
      <w:bookmarkEnd w:id="5185"/>
      <w:r>
        <w:rPr>
          <w:rtl/>
        </w:rPr>
        <w:t xml:space="preserve">, על הברון: “אף כי נשארה </w:t>
      </w:r>
      <w:proofErr w:type="spellStart"/>
      <w:r>
        <w:rPr>
          <w:rtl/>
        </w:rPr>
        <w:t>טינא</w:t>
      </w:r>
      <w:proofErr w:type="spellEnd"/>
      <w:r>
        <w:rPr>
          <w:rtl/>
        </w:rPr>
        <w:t xml:space="preserve"> </w:t>
      </w:r>
      <w:proofErr w:type="spellStart"/>
      <w:r>
        <w:rPr>
          <w:rtl/>
        </w:rPr>
        <w:t>בלבו</w:t>
      </w:r>
      <w:proofErr w:type="spellEnd"/>
      <w:r>
        <w:rPr>
          <w:rtl/>
        </w:rPr>
        <w:t xml:space="preserve"> על החרדים בשביל שמנעו ממנו את חפצו זה, ולבלי יתראה כלוחם נגד האורתודוכסי’ בטל רצונו מפני רצונם. אכן נמצאו סוג אנשים שאמרו, שכל אלה המחאות לא הועילו לוותר מאצילותו [כלומר, ממה שדימה להיות הנהגתו את כלל ישראל] מאומה, רק נוכח לדעת שאין השעה מוכשרת [להקמת בית מדרש לרבנים], כי הממשלה חפצה אז בכלל למעט רוח ההשכלה בישראל </w:t>
      </w:r>
      <w:proofErr w:type="spellStart"/>
      <w:r>
        <w:rPr>
          <w:rtl/>
        </w:rPr>
        <w:t>ולכה״פ</w:t>
      </w:r>
      <w:proofErr w:type="spellEnd"/>
      <w:r>
        <w:rPr>
          <w:rtl/>
        </w:rPr>
        <w:t xml:space="preserve"> לא להרבות, ואם כן הלא לא תסכים הממשלה עתה </w:t>
      </w:r>
      <w:proofErr w:type="spellStart"/>
      <w:r>
        <w:rPr>
          <w:rtl/>
        </w:rPr>
        <w:t>ליסד</w:t>
      </w:r>
      <w:proofErr w:type="spellEnd"/>
      <w:r>
        <w:rPr>
          <w:rtl/>
        </w:rPr>
        <w:t xml:space="preserve"> סמינר לרבנים ולהוסיף כעין </w:t>
      </w:r>
      <w:proofErr w:type="spellStart"/>
      <w:r>
        <w:rPr>
          <w:rtl/>
        </w:rPr>
        <w:t>אוניווערסיטה</w:t>
      </w:r>
      <w:proofErr w:type="spellEnd"/>
      <w:r>
        <w:rPr>
          <w:rtl/>
        </w:rPr>
        <w:t xml:space="preserve"> מיוחדת לישראל, לכן חדל מלנצח על חפצו זה”.</w:t>
      </w:r>
    </w:p>
    <w:p w14:paraId="54890648" w14:textId="77777777" w:rsidR="00AB3647" w:rsidRDefault="00000000" w:rsidP="007923E9">
      <w:pPr>
        <w:spacing w:after="120" w:line="276" w:lineRule="auto"/>
        <w:ind w:firstLine="283"/>
        <w:jc w:val="both"/>
      </w:pPr>
      <w:r>
        <w:rPr>
          <w:rtl/>
        </w:rPr>
        <w:t xml:space="preserve">לפי הדברים הללו, לא דבריו של ר׳ ישראל </w:t>
      </w:r>
      <w:proofErr w:type="spellStart"/>
      <w:r>
        <w:rPr>
          <w:rtl/>
        </w:rPr>
        <w:t>סלנטר</w:t>
      </w:r>
      <w:proofErr w:type="spellEnd"/>
      <w:r>
        <w:rPr>
          <w:rtl/>
        </w:rPr>
        <w:t xml:space="preserve"> בפריז, ואף לא מחאותיהם של זקן רבני רוסיה, ר׳ </w:t>
      </w:r>
      <w:proofErr w:type="spellStart"/>
      <w:r>
        <w:rPr>
          <w:rtl/>
        </w:rPr>
        <w:t>יצחק־אלחנן</w:t>
      </w:r>
      <w:proofErr w:type="spellEnd"/>
      <w:r>
        <w:rPr>
          <w:rtl/>
        </w:rPr>
        <w:t xml:space="preserve"> </w:t>
      </w:r>
      <w:proofErr w:type="spellStart"/>
      <w:r>
        <w:rPr>
          <w:rtl/>
        </w:rPr>
        <w:t>ספקטור</w:t>
      </w:r>
      <w:proofErr w:type="spellEnd"/>
      <w:r>
        <w:rPr>
          <w:rtl/>
        </w:rPr>
        <w:t xml:space="preserve">, ושל כל הרבנים האחרים שהשתתפו במשלוח המכתבים, הצליחו לעקור </w:t>
      </w:r>
      <w:proofErr w:type="spellStart"/>
      <w:r>
        <w:rPr>
          <w:rtl/>
        </w:rPr>
        <w:t>מלבו</w:t>
      </w:r>
      <w:proofErr w:type="spellEnd"/>
      <w:r>
        <w:rPr>
          <w:rtl/>
        </w:rPr>
        <w:t xml:space="preserve"> של הברון הצעיר את עשבי הרעל שזרעו בו מוריו המשכילים. ראה גם </w:t>
      </w:r>
      <w:proofErr w:type="spellStart"/>
      <w:r>
        <w:rPr>
          <w:rtl/>
        </w:rPr>
        <w:t>ב“זכרון</w:t>
      </w:r>
      <w:proofErr w:type="spellEnd"/>
      <w:r>
        <w:rPr>
          <w:rtl/>
        </w:rPr>
        <w:t xml:space="preserve"> יעקב”</w:t>
      </w:r>
      <w:bookmarkStart w:id="5186" w:name="_fnr3862"/>
      <w:r>
        <w:rPr>
          <w:vertAlign w:val="superscript"/>
          <w:rtl/>
        </w:rPr>
        <w:footnoteReference w:id="3870" w:customMarkFollows="0"/>
      </w:r>
      <w:bookmarkEnd w:id="5186"/>
      <w:r>
        <w:rPr>
          <w:rtl/>
        </w:rPr>
        <w:t xml:space="preserve"> העתק של התכתבות משנתיים קודם לכן, מקיץ </w:t>
      </w:r>
      <w:proofErr w:type="spellStart"/>
      <w:r>
        <w:rPr>
          <w:rtl/>
        </w:rPr>
        <w:t>תר״ם</w:t>
      </w:r>
      <w:proofErr w:type="spellEnd"/>
      <w:r>
        <w:rPr>
          <w:rtl/>
        </w:rPr>
        <w:t xml:space="preserve">, בין ר׳ </w:t>
      </w:r>
      <w:proofErr w:type="spellStart"/>
      <w:r>
        <w:rPr>
          <w:rtl/>
        </w:rPr>
        <w:t>יצחק־אלחנן</w:t>
      </w:r>
      <w:proofErr w:type="spellEnd"/>
      <w:r>
        <w:rPr>
          <w:rtl/>
        </w:rPr>
        <w:t xml:space="preserve"> לברון </w:t>
      </w:r>
      <w:proofErr w:type="spellStart"/>
      <w:r>
        <w:rPr>
          <w:rtl/>
        </w:rPr>
        <w:t>הוראס</w:t>
      </w:r>
      <w:proofErr w:type="spellEnd"/>
      <w:r>
        <w:rPr>
          <w:rtl/>
        </w:rPr>
        <w:t>, בעניין גיוס מחאות מחוץ לרוסיה נגד תוכניות הממשלה הרוסית כלפי נתיניה היהודים. התכתבות זו מעידה על יחס לבבי, ואף מלא הערצה, כלפי הברון.</w:t>
      </w:r>
    </w:p>
    <w:p w14:paraId="27C2E57A" w14:textId="77777777" w:rsidR="00AB3647" w:rsidRDefault="00000000" w:rsidP="007923E9">
      <w:pPr>
        <w:spacing w:after="120" w:line="276" w:lineRule="auto"/>
        <w:ind w:firstLine="283"/>
        <w:jc w:val="both"/>
      </w:pPr>
      <w:r>
        <w:rPr>
          <w:rtl/>
        </w:rPr>
        <w:lastRenderedPageBreak/>
        <w:t xml:space="preserve">ר׳ לייזר גורדון הזמין את ר׳ ישראל לבוא לביקורו של הברון הצעיר </w:t>
      </w:r>
      <w:proofErr w:type="spellStart"/>
      <w:r>
        <w:rPr>
          <w:rtl/>
        </w:rPr>
        <w:t>בקלם</w:t>
      </w:r>
      <w:proofErr w:type="spellEnd"/>
      <w:r>
        <w:rPr>
          <w:rtl/>
        </w:rPr>
        <w:t xml:space="preserve">, בתקווה שכך יגבר כוחו להשפיע על האורח העשיר – וכנראה גם על אביו – לתרום לישיבתו. אין בידינו ראיה אם הצליח ר׳ לייזר לקבל תרומה. ולאחר הניתוח שלעיל בדבר יחס הברון הן לישיבות והן </w:t>
      </w:r>
      <w:proofErr w:type="spellStart"/>
      <w:r>
        <w:rPr>
          <w:rtl/>
        </w:rPr>
        <w:t>לר</w:t>
      </w:r>
      <w:proofErr w:type="spellEnd"/>
      <w:r>
        <w:rPr>
          <w:rtl/>
        </w:rPr>
        <w:t xml:space="preserve">׳ ישראל </w:t>
      </w:r>
      <w:proofErr w:type="spellStart"/>
      <w:r>
        <w:rPr>
          <w:rtl/>
        </w:rPr>
        <w:t>סלנטר</w:t>
      </w:r>
      <w:proofErr w:type="spellEnd"/>
      <w:r>
        <w:rPr>
          <w:rtl/>
        </w:rPr>
        <w:t>, ייתכן שכל ניסיונו של ר׳ לייזר לגייס כסף בדרך זו היה מוטעה מיסודו.</w:t>
      </w:r>
    </w:p>
    <w:p w14:paraId="7AEA53AE" w14:textId="77777777" w:rsidR="00AB3647" w:rsidRDefault="00000000" w:rsidP="007923E9">
      <w:pPr>
        <w:spacing w:after="120" w:line="276" w:lineRule="auto"/>
        <w:ind w:firstLine="283"/>
        <w:jc w:val="both"/>
      </w:pPr>
      <w:r>
        <w:rPr>
          <w:rtl/>
        </w:rPr>
        <w:t xml:space="preserve">ואולם יש עוד מקרה של ניסיון לא שגרתי לגייס תרומות, שר׳ לייזר סייע לו כמעט שלושים שנה לאחר מכן, לטובת ישיבתו, שכבר שכנה אז </w:t>
      </w:r>
      <w:proofErr w:type="spellStart"/>
      <w:r>
        <w:rPr>
          <w:rtl/>
        </w:rPr>
        <w:t>בטלז</w:t>
      </w:r>
      <w:proofErr w:type="spellEnd"/>
      <w:r>
        <w:rPr>
          <w:rtl/>
        </w:rPr>
        <w:t xml:space="preserve">. בזיכרונותיו של הרב יעקב </w:t>
      </w:r>
      <w:proofErr w:type="spellStart"/>
      <w:r>
        <w:rPr>
          <w:rtl/>
        </w:rPr>
        <w:t>מזא״ה</w:t>
      </w:r>
      <w:bookmarkStart w:id="5187" w:name="_fnr3863"/>
      <w:proofErr w:type="spellEnd"/>
      <w:r>
        <w:rPr>
          <w:vertAlign w:val="superscript"/>
          <w:rtl/>
        </w:rPr>
        <w:footnoteReference w:id="3871" w:customMarkFollows="0"/>
      </w:r>
      <w:bookmarkEnd w:id="5187"/>
      <w:r>
        <w:rPr>
          <w:rtl/>
        </w:rPr>
        <w:t xml:space="preserve"> מובא סיפור מעניין: ר׳ לייזר גורדון ביקר אצל המחבר, רבה של מוסקבה, כששניהם שהו בעיר המרפא </w:t>
      </w:r>
      <w:proofErr w:type="spellStart"/>
      <w:r>
        <w:rPr>
          <w:rtl/>
        </w:rPr>
        <w:t>קיסינגן</w:t>
      </w:r>
      <w:proofErr w:type="spellEnd"/>
      <w:r>
        <w:rPr>
          <w:rtl/>
        </w:rPr>
        <w:t xml:space="preserve"> שבפרוסיה</w:t>
      </w:r>
      <w:bookmarkStart w:id="5188" w:name="_fnr3864"/>
      <w:bookmarkEnd w:id="5188"/>
      <w:r>
        <w:rPr>
          <w:rStyle w:val="a5"/>
        </w:rPr>
        <w:t/>
      </w:r>
      <w:bookmarkStart w:id="7040" w:name="_TranslatorNote_5395"/>
      <w:r>
        <w:rPr>
          <w:rStyle w:val="a5"/>
          <w:vertAlign w:val="superscript"/>
          <w:rtl/>
        </w:rPr>
        <w:footnoteReference w:id="3872" w:customMarkFollows="1"/>
        <w:t>*</w:t>
      </w:r>
      <w:bookmarkEnd w:id="7040"/>
      <w:r>
        <w:rPr>
          <w:rtl/>
        </w:rPr>
        <w:t>. ר׳ לייזר הכיר את הרב הזה ממסעות איסוף כספים שערך למוסקבה</w:t>
      </w:r>
      <w:bookmarkStart w:id="5189" w:name="_fnr3865"/>
      <w:bookmarkStart w:id="5190" w:name="pr_f_3752"/>
      <w:r>
        <w:rPr>
          <w:vertAlign w:val="superscript"/>
          <w:rtl/>
        </w:rPr>
        <w:footnoteReference w:id="3873" w:customMarkFollows="0"/>
      </w:r>
      <w:bookmarkEnd w:id="5189"/>
      <w:bookmarkEnd w:id="5190"/>
      <w:r>
        <w:rPr>
          <w:rtl/>
        </w:rPr>
        <w:t>. בפגישה זו התווכח ר׳ לייזר עם כמה ציונים אמידים ממוסקבה, ששהו שם לנופש, בנוכחות רבם, בשאלה אם ד״ר תיאודור הרצל הניח תפילין. ר׳ לייזר הצליח להוציא מאותם יהודים דתיים התחייבויות לתרום לישיבתו</w:t>
      </w:r>
      <w:bookmarkStart w:id="5191" w:name="_fnr3866"/>
      <w:r>
        <w:rPr>
          <w:vertAlign w:val="superscript"/>
          <w:rtl/>
        </w:rPr>
        <w:footnoteReference w:id="3874" w:customMarkFollows="0"/>
      </w:r>
      <w:bookmarkEnd w:id="5191"/>
      <w:r>
        <w:rPr>
          <w:rtl/>
        </w:rPr>
        <w:t xml:space="preserve">; קשה היה להם להאמין </w:t>
      </w:r>
      <w:proofErr w:type="spellStart"/>
      <w:r>
        <w:rPr>
          <w:rtl/>
        </w:rPr>
        <w:t>ש“רבם</w:t>
      </w:r>
      <w:proofErr w:type="spellEnd"/>
      <w:r>
        <w:rPr>
          <w:rtl/>
        </w:rPr>
        <w:t>” הרצל מעולם לא הניח תפילין, אכל מאכלות אסורים וחילל שבת.</w:t>
      </w:r>
    </w:p>
    <w:p w14:paraId="0A993CAA" w14:textId="77777777" w:rsidR="00AB3647" w:rsidRDefault="00000000" w:rsidP="007923E9">
      <w:pPr>
        <w:spacing w:after="120" w:line="276" w:lineRule="auto"/>
        <w:ind w:firstLine="283"/>
        <w:jc w:val="both"/>
      </w:pPr>
      <w:r>
        <w:rPr>
          <w:rtl/>
        </w:rPr>
        <w:t xml:space="preserve">השווה גם “מעשיות </w:t>
      </w:r>
      <w:proofErr w:type="spellStart"/>
      <w:r>
        <w:rPr>
          <w:rtl/>
        </w:rPr>
        <w:t>מבריסק</w:t>
      </w:r>
      <w:proofErr w:type="spellEnd"/>
      <w:r>
        <w:rPr>
          <w:rtl/>
        </w:rPr>
        <w:t>”</w:t>
      </w:r>
      <w:bookmarkStart w:id="5192" w:name="_fnr3867"/>
      <w:r>
        <w:rPr>
          <w:vertAlign w:val="superscript"/>
          <w:rtl/>
        </w:rPr>
        <w:footnoteReference w:id="3875" w:customMarkFollows="0"/>
      </w:r>
      <w:bookmarkEnd w:id="5192"/>
      <w:r>
        <w:rPr>
          <w:rtl/>
        </w:rPr>
        <w:t xml:space="preserve">: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שכאשר הגיע פעם הנואם המבריק ולדימיר [זאב] ז׳בוטינסקי </w:t>
      </w:r>
      <w:proofErr w:type="spellStart"/>
      <w:r>
        <w:rPr>
          <w:rtl/>
        </w:rPr>
        <w:t>לבריסק</w:t>
      </w:r>
      <w:proofErr w:type="spellEnd"/>
      <w:r>
        <w:rPr>
          <w:rtl/>
        </w:rPr>
        <w:t xml:space="preserve"> לשאת נאום ביום ראשון, נאלצו תומכיו לטעון – שלא באמת – שלא נסע בשבת, כדי שהציבור הרחב לא יתאכזב ממנהיג הציונות הרוויזיוניסטית.</w:t>
      </w:r>
    </w:p>
    <w:p w14:paraId="33B90260" w14:textId="77777777" w:rsidR="00AB3647" w:rsidRDefault="00000000" w:rsidP="007923E9">
      <w:pPr>
        <w:spacing w:after="120" w:line="276" w:lineRule="auto"/>
        <w:ind w:firstLine="283"/>
        <w:jc w:val="both"/>
      </w:pPr>
      <w:r>
        <w:rPr>
          <w:rtl/>
        </w:rPr>
        <w:t xml:space="preserve">לא יהיה זה הוגן כלפי זכרו של ר׳ דוד </w:t>
      </w:r>
      <w:proofErr w:type="spellStart"/>
      <w:r>
        <w:rPr>
          <w:rtl/>
        </w:rPr>
        <w:t>גינצבורג</w:t>
      </w:r>
      <w:proofErr w:type="spellEnd"/>
      <w:r>
        <w:rPr>
          <w:rtl/>
        </w:rPr>
        <w:t xml:space="preserve"> אם לא נספר גם על מעלותיו החיוביות, שהיו יוצאות דופן במיוחד אצל מי שעמד בפסגת המעמד שאליה יכול היה יהודי לטפס ברוסיה הצארית. וזה לשון יעקב מארק</w:t>
      </w:r>
      <w:bookmarkStart w:id="5193" w:name="_fnr3868"/>
      <w:r>
        <w:rPr>
          <w:vertAlign w:val="superscript"/>
          <w:rtl/>
        </w:rPr>
        <w:footnoteReference w:id="3876" w:customMarkFollows="0"/>
      </w:r>
      <w:bookmarkEnd w:id="5193"/>
      <w:r>
        <w:rPr>
          <w:rtl/>
        </w:rPr>
        <w:t>:</w:t>
      </w:r>
    </w:p>
    <w:p w14:paraId="5B9CF4B1" w14:textId="77777777" w:rsidR="00AB3647" w:rsidRDefault="00000000" w:rsidP="007923E9">
      <w:pPr>
        <w:spacing w:after="120" w:line="276" w:lineRule="auto"/>
        <w:ind w:firstLine="283"/>
        <w:jc w:val="both"/>
      </w:pPr>
      <w:r>
        <w:rPr>
          <w:rtl/>
        </w:rPr>
        <w:lastRenderedPageBreak/>
        <w:t xml:space="preserve">“כל המעלות והמידות הטובות של תלמיד חכם אמיתי התאחדו באישיותו של דוד </w:t>
      </w:r>
      <w:proofErr w:type="spellStart"/>
      <w:r>
        <w:rPr>
          <w:rtl/>
        </w:rPr>
        <w:t>גינצבורג</w:t>
      </w:r>
      <w:proofErr w:type="spellEnd"/>
      <w:r>
        <w:rPr>
          <w:rtl/>
        </w:rPr>
        <w:t>. הוא למד תורה לשמה</w:t>
      </w:r>
      <w:bookmarkStart w:id="5194" w:name="_fnr3869"/>
      <w:r>
        <w:rPr>
          <w:vertAlign w:val="superscript"/>
          <w:rtl/>
        </w:rPr>
        <w:footnoteReference w:id="3877" w:customMarkFollows="0"/>
      </w:r>
      <w:bookmarkEnd w:id="5194"/>
      <w:r>
        <w:rPr>
          <w:rtl/>
        </w:rPr>
        <w:t>, היה נחבא אל הכלים, חי חיים צנועים בלי פאר ומותרות, ומעולם לא ביקש לצבור הון, כמו שעשו אביו ואחיו הצעירים. ואין צורך להאריך בענוותנותו, בפשטותו, בלבביותו ובאחוותו! כל אלה היו אצלו טבעיים, ולא מעושים. כך היה בשיחתו ובכתיבתו. ונוסף על כל המעלות הללו היה גם ירא שמים, דבק בכל מסורות ישראל. כשכיהן כנשיא הקהילה היהודית בפטרבורג, ביקש להכניס את רוח היהדות לכל מוסדות הקהילה. הוא הנהיג כשרות בכל מקום, ושמירה קפדנית של שבת ויום טוב בכל המשרדים הציבוריים. מכספו ייסד ‘מטבח כשר׳ מוזל לסטודנטים יהודים חסרי אמצעים.</w:t>
      </w:r>
    </w:p>
    <w:p w14:paraId="2F63FFA5" w14:textId="77777777" w:rsidR="00AB3647" w:rsidRDefault="00000000" w:rsidP="007923E9">
      <w:pPr>
        <w:spacing w:after="120" w:line="276" w:lineRule="auto"/>
        <w:ind w:firstLine="283"/>
        <w:jc w:val="both"/>
      </w:pPr>
      <w:r>
        <w:rPr>
          <w:rtl/>
        </w:rPr>
        <w:t xml:space="preserve">“אין פלא שהרבנים חיבבוהו כל כך; כשהוכיחו את הציבור היו מביאים את הברון כדוגמה לאדם שיכול להיות עשיר ובה בעת לשמור על היהדות. אפשר שבגלל נטייתו לאורתודוקסיה לא השתתף בתנועה הציונית, שכן רוב הרבנים בזמנו התנגדו מאוד לרעיון הציוני – אף שלכאורה הייתה תנועה זו אמורה להיות קרובה </w:t>
      </w:r>
      <w:proofErr w:type="spellStart"/>
      <w:r>
        <w:rPr>
          <w:rtl/>
        </w:rPr>
        <w:t>ללבו</w:t>
      </w:r>
      <w:proofErr w:type="spellEnd"/>
      <w:r>
        <w:rPr>
          <w:rtl/>
        </w:rPr>
        <w:t xml:space="preserve"> של בעל תודעה לאומית כנה כמוהו. ועם זאת מעולם לא יצא נגד הציונות: אופיו המעודן ורגשותיו הלאומיים לא הניחו לו להתייצב נגד זרם ביהדות שהיה מבוסס על יסודות לאומיים.</w:t>
      </w:r>
    </w:p>
    <w:p w14:paraId="2A533283" w14:textId="77777777" w:rsidR="00AB3647" w:rsidRDefault="00000000" w:rsidP="007923E9">
      <w:pPr>
        <w:spacing w:after="120" w:line="276" w:lineRule="auto"/>
        <w:ind w:firstLine="283"/>
        <w:jc w:val="both"/>
      </w:pPr>
      <w:r>
        <w:rPr>
          <w:rtl/>
        </w:rPr>
        <w:t xml:space="preserve">“הוא ניצל את עושרו העצום לרכישת אחת הספריות הפרטיות הגדולות והעשירות בעולם. מאות אלפים הוציא כדי לאסוף את כל הספרים העוסקים בענייני יהדות, בכל הלשונות. כמעט לא נותר ספר מודפס, מאז המצאת הדפוס ועד ימיו, שלא נמצא בספרייתו. סכומי עתק שילם בעד ספרים נדירים שנשתמרו מהם עותקים ספורים בלבד, ואף עותק יחיד, ובעד כתבי יד עתיקים. לאחר פטירת ר׳ דוד [בשנת תרע״א, שנה ותשעה חודשים אחרי פטירת אביו] רצה יעקב </w:t>
      </w:r>
      <w:proofErr w:type="spellStart"/>
      <w:r>
        <w:rPr>
          <w:rtl/>
        </w:rPr>
        <w:t>שיף</w:t>
      </w:r>
      <w:proofErr w:type="spellEnd"/>
      <w:r>
        <w:rPr>
          <w:rtl/>
        </w:rPr>
        <w:t xml:space="preserve"> לקנות את הספרייה, אבל אלמנת הברון סירבה למכור אותה, ובייחוד להוציאה מרוסיה לארצות הברית. רק בשנת 1917, כשמשפחת </w:t>
      </w:r>
      <w:proofErr w:type="spellStart"/>
      <w:r>
        <w:rPr>
          <w:rtl/>
        </w:rPr>
        <w:t>גינצבורג</w:t>
      </w:r>
      <w:proofErr w:type="spellEnd"/>
      <w:r>
        <w:rPr>
          <w:rtl/>
        </w:rPr>
        <w:t xml:space="preserve"> איבדה את רוב הונה, הצליח הלל </w:t>
      </w:r>
      <w:proofErr w:type="spellStart"/>
      <w:r>
        <w:rPr>
          <w:rtl/>
        </w:rPr>
        <w:t>זלטופולסקי</w:t>
      </w:r>
      <w:bookmarkStart w:id="5195" w:name="_fnr3870"/>
      <w:proofErr w:type="spellEnd"/>
      <w:r>
        <w:rPr>
          <w:vertAlign w:val="superscript"/>
          <w:rtl/>
        </w:rPr>
        <w:footnoteReference w:id="3878" w:customMarkFollows="0"/>
      </w:r>
      <w:bookmarkEnd w:id="5195"/>
      <w:r>
        <w:rPr>
          <w:rtl/>
        </w:rPr>
        <w:t xml:space="preserve"> לרכוש את הספרייה כדי להעבירה לארץ ישראל. אבל עד שהספיקו לארוז את האוסף העצום עלו הבולשביקים לשלטון ואסרו להוציאו מרוסיה; ועד היום הספרייה כולה ארוזה בארגזים אי־שם במחסן במוסקבה”.</w:t>
      </w:r>
    </w:p>
    <w:p w14:paraId="54C58FB3" w14:textId="77777777" w:rsidR="00AB3647" w:rsidRDefault="00000000" w:rsidP="007923E9">
      <w:pPr>
        <w:spacing w:after="120" w:line="276" w:lineRule="auto"/>
        <w:ind w:firstLine="283"/>
        <w:jc w:val="both"/>
      </w:pPr>
      <w:r>
        <w:rPr>
          <w:rtl/>
        </w:rPr>
        <w:t xml:space="preserve">כיום היא חלק מספריית לנין במוסקבה, ולפי הדיווחים מתנהל משא ומתן בין ממשלות רוסיה וישראל על גורלה הסופי של ספריית היודאיקה של </w:t>
      </w:r>
      <w:proofErr w:type="spellStart"/>
      <w:r>
        <w:rPr>
          <w:rtl/>
        </w:rPr>
        <w:t>גינצבורג</w:t>
      </w:r>
      <w:proofErr w:type="spellEnd"/>
      <w:r>
        <w:rPr>
          <w:rtl/>
        </w:rPr>
        <w:t>.</w:t>
      </w:r>
    </w:p>
    <w:p w14:paraId="3A26A423" w14:textId="77777777" w:rsidR="00AB3647" w:rsidRDefault="00000000" w:rsidP="007923E9">
      <w:pPr>
        <w:pStyle w:val="4"/>
        <w:spacing w:line="276" w:lineRule="auto"/>
      </w:pPr>
      <w:r>
        <w:lastRenderedPageBreak/>
        <w:t>· הפסקה השלישית ·</w:t>
      </w:r>
    </w:p>
    <w:p w14:paraId="7773B1F2" w14:textId="77777777" w:rsidR="00AB3647" w:rsidRDefault="00000000" w:rsidP="007923E9">
      <w:pPr>
        <w:pStyle w:val="5"/>
        <w:spacing w:line="276" w:lineRule="auto"/>
      </w:pPr>
      <w:r>
        <w:rPr>
          <w:bCs/>
          <w:szCs w:val="26"/>
        </w:rPr>
        <w:t xml:space="preserve">הסבא מקלם חושד במניעיו; הסבא </w:t>
      </w:r>
      <w:proofErr w:type="spellStart"/>
      <w:r>
        <w:rPr>
          <w:bCs/>
          <w:szCs w:val="26"/>
        </w:rPr>
        <w:t>מסלבודקה</w:t>
      </w:r>
      <w:proofErr w:type="spellEnd"/>
      <w:r>
        <w:rPr>
          <w:bCs/>
          <w:szCs w:val="26"/>
        </w:rPr>
        <w:t xml:space="preserve"> עושה כן ומלמד אחרים לחשוד אף הם</w:t>
      </w:r>
    </w:p>
    <w:p w14:paraId="2C7E8BF3" w14:textId="77777777" w:rsidR="00AB3647" w:rsidRDefault="00000000" w:rsidP="007923E9">
      <w:pPr>
        <w:spacing w:after="120" w:line="276" w:lineRule="auto"/>
        <w:ind w:firstLine="283"/>
        <w:jc w:val="both"/>
      </w:pPr>
      <w:r>
        <w:rPr>
          <w:rtl/>
        </w:rPr>
        <w:t>דוגמה נוספת לחששם של בעלי המוסר מפני נגיעה אישית הובאה מפי ר׳ עזריאל קרמר</w:t>
      </w:r>
      <w:bookmarkStart w:id="5196" w:name="_fnr3871"/>
      <w:r>
        <w:rPr>
          <w:vertAlign w:val="superscript"/>
          <w:rtl/>
        </w:rPr>
        <w:footnoteReference w:id="3879" w:customMarkFollows="0"/>
      </w:r>
      <w:bookmarkEnd w:id="5196"/>
      <w:r>
        <w:rPr>
          <w:rtl/>
        </w:rPr>
        <w:t xml:space="preserve">: בישיבת </w:t>
      </w:r>
      <w:proofErr w:type="spellStart"/>
      <w:r>
        <w:rPr>
          <w:rtl/>
        </w:rPr>
        <w:t>סלבודקה</w:t>
      </w:r>
      <w:proofErr w:type="spellEnd"/>
      <w:r>
        <w:rPr>
          <w:rtl/>
        </w:rPr>
        <w:t xml:space="preserve"> סיפרו שכאשר ר׳ </w:t>
      </w:r>
      <w:proofErr w:type="spellStart"/>
      <w:r>
        <w:rPr>
          <w:rtl/>
        </w:rPr>
        <w:t>שמחה־זיסל</w:t>
      </w:r>
      <w:proofErr w:type="spellEnd"/>
      <w:r>
        <w:rPr>
          <w:rtl/>
        </w:rPr>
        <w:t xml:space="preserve"> גסס, פקח פתאום את עיניו, הביט סביבו ואמר: “אולי מצבי אינו אלא ביטוי של עצלות”</w:t>
      </w:r>
      <w:bookmarkStart w:id="5197" w:name="_fnr3872"/>
      <w:r>
        <w:rPr>
          <w:vertAlign w:val="superscript"/>
          <w:rtl/>
        </w:rPr>
        <w:footnoteReference w:id="3880" w:customMarkFollows="0"/>
      </w:r>
      <w:bookmarkEnd w:id="5197"/>
      <w:r>
        <w:rPr>
          <w:rtl/>
        </w:rPr>
        <w:t>.</w:t>
      </w:r>
    </w:p>
    <w:p w14:paraId="0DCBA6A6" w14:textId="77777777" w:rsidR="00AB3647" w:rsidRDefault="00000000" w:rsidP="007923E9">
      <w:pPr>
        <w:spacing w:after="120" w:line="276" w:lineRule="auto"/>
        <w:ind w:firstLine="283"/>
        <w:jc w:val="both"/>
      </w:pPr>
      <w:r>
        <w:rPr>
          <w:rtl/>
        </w:rPr>
        <w:t xml:space="preserve">הסבא </w:t>
      </w:r>
      <w:proofErr w:type="spellStart"/>
      <w:r>
        <w:rPr>
          <w:rtl/>
        </w:rPr>
        <w:t>מסלבודקה</w:t>
      </w:r>
      <w:proofErr w:type="spellEnd"/>
      <w:r>
        <w:rPr>
          <w:rtl/>
        </w:rPr>
        <w:t xml:space="preserve">, כבעל מוסר מובהק וכתלמידו של ר׳ </w:t>
      </w:r>
      <w:proofErr w:type="spellStart"/>
      <w:r>
        <w:rPr>
          <w:rtl/>
        </w:rPr>
        <w:t>שמחה־זיסל</w:t>
      </w:r>
      <w:proofErr w:type="spellEnd"/>
      <w:r>
        <w:rPr>
          <w:rtl/>
        </w:rPr>
        <w:t>, חשד בעצמו ללא הרף שמא נגיעות אישיות מניעות אותו</w:t>
      </w:r>
      <w:bookmarkStart w:id="5198" w:name="_fnr3873"/>
      <w:r>
        <w:rPr>
          <w:vertAlign w:val="superscript"/>
          <w:rtl/>
        </w:rPr>
        <w:footnoteReference w:id="3881" w:customMarkFollows="0"/>
      </w:r>
      <w:bookmarkEnd w:id="5198"/>
      <w:r>
        <w:rPr>
          <w:rtl/>
        </w:rPr>
        <w:t xml:space="preserve">. הוא נבדל מאחרים בכך שהגיע בחשדות אלה למידה מופלגת, כמעט </w:t>
      </w:r>
      <w:proofErr w:type="spellStart"/>
      <w:r>
        <w:rPr>
          <w:rtl/>
        </w:rPr>
        <w:t>לא־תיאמן</w:t>
      </w:r>
      <w:proofErr w:type="spellEnd"/>
      <w:r>
        <w:rPr>
          <w:rtl/>
        </w:rPr>
        <w:t>. למשל, כשהיה עובד זוטר בתלמוד תורה של קלם</w:t>
      </w:r>
      <w:bookmarkStart w:id="5199" w:name="_fnr3874"/>
      <w:r>
        <w:rPr>
          <w:vertAlign w:val="superscript"/>
          <w:rtl/>
        </w:rPr>
        <w:footnoteReference w:id="3882" w:customMarkFollows="0"/>
      </w:r>
      <w:bookmarkEnd w:id="5199"/>
      <w:r>
        <w:rPr>
          <w:rtl/>
        </w:rPr>
        <w:t xml:space="preserve">, שיבחו אותו על שהציל בגבורה את ר׳ </w:t>
      </w:r>
      <w:proofErr w:type="spellStart"/>
      <w:r>
        <w:rPr>
          <w:rtl/>
        </w:rPr>
        <w:t>שמחה־זיסל</w:t>
      </w:r>
      <w:proofErr w:type="spellEnd"/>
      <w:r>
        <w:rPr>
          <w:rtl/>
        </w:rPr>
        <w:t xml:space="preserve"> ממעצר: כשפרצה למקום יחידה של חיילים רוסים, הציג את עצמו לפניהם כראש הישיבה. הוא המעיט בערך המעשה, ואמר שאולי הניע אותו הכבוד שבכך שלרגע יחשבוהו לעומד בראש מוסד נכבד כל כך.</w:t>
      </w:r>
    </w:p>
    <w:p w14:paraId="58C4D8B7" w14:textId="77777777" w:rsidR="00AB3647" w:rsidRDefault="00000000" w:rsidP="007923E9">
      <w:pPr>
        <w:spacing w:after="120" w:line="276" w:lineRule="auto"/>
        <w:ind w:firstLine="283"/>
        <w:jc w:val="both"/>
      </w:pPr>
      <w:r>
        <w:rPr>
          <w:rtl/>
        </w:rPr>
        <w:t xml:space="preserve">כשנסע לגרמניה לצורכי מרפא, אמר לתלמידו ר׳ </w:t>
      </w:r>
      <w:proofErr w:type="spellStart"/>
      <w:r>
        <w:rPr>
          <w:rtl/>
        </w:rPr>
        <w:t>ישראל־זיסל</w:t>
      </w:r>
      <w:proofErr w:type="spellEnd"/>
      <w:r>
        <w:rPr>
          <w:rtl/>
        </w:rPr>
        <w:t xml:space="preserve"> </w:t>
      </w:r>
      <w:proofErr w:type="spellStart"/>
      <w:r>
        <w:rPr>
          <w:rtl/>
        </w:rPr>
        <w:t>דבורץ</w:t>
      </w:r>
      <w:bookmarkStart w:id="5200" w:name="_fnr3875"/>
      <w:proofErr w:type="spellEnd"/>
      <w:r>
        <w:rPr>
          <w:vertAlign w:val="superscript"/>
          <w:rtl/>
        </w:rPr>
        <w:footnoteReference w:id="3883" w:customMarkFollows="0"/>
      </w:r>
      <w:bookmarkEnd w:id="5200"/>
      <w:r>
        <w:rPr>
          <w:rtl/>
        </w:rPr>
        <w:t xml:space="preserve"> שאולי מה שמשך אותו לשם היה מקל הליכה יוצא דופן שראה למכירה בחלון ראווה שנה קודם לכן</w:t>
      </w:r>
      <w:bookmarkStart w:id="5201" w:name="_fnr3876"/>
      <w:r>
        <w:rPr>
          <w:vertAlign w:val="superscript"/>
          <w:rtl/>
        </w:rPr>
        <w:footnoteReference w:id="3884" w:customMarkFollows="0"/>
      </w:r>
      <w:bookmarkEnd w:id="5201"/>
      <w:r>
        <w:rPr>
          <w:rtl/>
        </w:rPr>
        <w:t>.</w:t>
      </w:r>
    </w:p>
    <w:p w14:paraId="12BAB6FB" w14:textId="77777777" w:rsidR="00AB3647" w:rsidRDefault="00000000" w:rsidP="007923E9">
      <w:pPr>
        <w:spacing w:after="120" w:line="276" w:lineRule="auto"/>
        <w:ind w:firstLine="283"/>
        <w:jc w:val="both"/>
      </w:pPr>
      <w:r>
        <w:rPr>
          <w:rtl/>
        </w:rPr>
        <w:t>הסבא לימד גם אחרים לחשוד במניעיהם. הוא אמר לתלמידים שייתכן שכל כוונתם בהישארם ערים כל ליל שבועות אינה אלא ליהנות מעוגת הגבינה, מן הקפה, מן השירה ומן הריקודים, והביא ראיה ממסכת מועד קטן</w:t>
      </w:r>
      <w:bookmarkStart w:id="5202" w:name="_fnr3877"/>
      <w:r>
        <w:rPr>
          <w:vertAlign w:val="superscript"/>
          <w:rtl/>
        </w:rPr>
        <w:footnoteReference w:id="3885" w:customMarkFollows="0"/>
      </w:r>
      <w:bookmarkEnd w:id="5202"/>
      <w:r>
        <w:rPr>
          <w:rtl/>
        </w:rPr>
        <w:t xml:space="preserve"> שמניעים כאלה פועלים במחשבת האדם בלי שיהיה מודע להם. פעם אמר שייתכן שהראשון שדגל בהגנה על בעלי חיים היה מוכר מוצרי חלב, שהתכוון להגביר את מכירת סחורתו במקום הבשר שנאסר</w:t>
      </w:r>
      <w:bookmarkStart w:id="5203" w:name="_fnr3878"/>
      <w:r>
        <w:rPr>
          <w:vertAlign w:val="superscript"/>
          <w:rtl/>
        </w:rPr>
        <w:footnoteReference w:id="3886" w:customMarkFollows="0"/>
      </w:r>
      <w:bookmarkEnd w:id="5203"/>
      <w:r>
        <w:rPr>
          <w:rtl/>
        </w:rPr>
        <w:t>.</w:t>
      </w:r>
    </w:p>
    <w:bookmarkStart w:id="5204" w:name="b4_excI"/>
    <w:bookmarkStart w:id="5205" w:name="b4_annexI"/>
    <w:p w14:paraId="200A6E23" w14:textId="77777777" w:rsidR="00AB3647" w:rsidRDefault="00000000" w:rsidP="007923E9">
      <w:pPr>
        <w:pStyle w:val="3"/>
        <w:pageBreakBefore w:val="0"/>
        <w:spacing w:line="276" w:lineRule="auto"/>
      </w:pPr>
      <w:r>
        <w:lastRenderedPageBreak/>
        <w:fldChar w:fldCharType="begin" w:dirty="true"/>
      </w:r>
      <w:r>
        <w:rPr>
          <w:rtl w:val="0"/>
        </w:rPr>
        <w:instrText>HYPERLINK \l "b4_note76</w:instrText>
      </w:r>
      <w:r>
        <w:instrText>"</w:instrText>
      </w:r>
      <w:r>
        <w:fldChar w:fldCharType="separate"/>
      </w:r>
      <w:r>
        <w:t>נספח ט</w:t>
      </w:r>
      <w:r>
        <w:fldChar w:fldCharType="end"/>
      </w:r>
      <w:bookmarkEnd w:id="5204"/>
      <w:bookmarkEnd w:id="5205"/>
    </w:p>
    <w:p w14:paraId="4B2FFBF9" w14:textId="77777777" w:rsidR="00AB3647" w:rsidRDefault="00000000" w:rsidP="007923E9">
      <w:pPr>
        <w:pStyle w:val="af"/>
        <w:spacing w:line="276" w:lineRule="auto"/>
      </w:pPr>
      <w:r>
        <w:t xml:space="preserve">על הניסיונות להכניס את לימוד המוסר לישיבת </w:t>
      </w:r>
      <w:proofErr w:type="spellStart"/>
      <w:r>
        <w:t>וולוז׳ין</w:t>
      </w:r>
      <w:proofErr w:type="spellEnd"/>
      <w:r>
        <w:t xml:space="preserve"> והעימות בין ר׳ </w:t>
      </w:r>
      <w:proofErr w:type="spellStart"/>
      <w:r>
        <w:t>איצל׳ה</w:t>
      </w:r>
      <w:proofErr w:type="spellEnd"/>
      <w:r>
        <w:t xml:space="preserve"> </w:t>
      </w:r>
      <w:proofErr w:type="spellStart"/>
      <w:r>
        <w:t>בלאזר</w:t>
      </w:r>
      <w:proofErr w:type="spellEnd"/>
      <w:r>
        <w:t xml:space="preserve"> </w:t>
      </w:r>
      <w:proofErr w:type="spellStart"/>
      <w:r>
        <w:t>לר</w:t>
      </w:r>
      <w:proofErr w:type="spellEnd"/>
      <w:r>
        <w:t xml:space="preserve">׳ חיים </w:t>
      </w:r>
      <w:proofErr w:type="spellStart"/>
      <w:r>
        <w:t>סולובייצ׳יק</w:t>
      </w:r>
      <w:proofErr w:type="spellEnd"/>
      <w:r>
        <w:t xml:space="preserve">; על התלמידים הבעייתיים בישיבה, ובהם </w:t>
      </w:r>
      <w:proofErr w:type="spellStart"/>
      <w:r>
        <w:t>חיים־נחמן</w:t>
      </w:r>
      <w:proofErr w:type="spellEnd"/>
      <w:r>
        <w:t xml:space="preserve"> ביאליק; ועל אופיו של ר׳ חיים, חוכמתו ותחומי דאגתו.</w:t>
      </w:r>
    </w:p>
    <w:p w14:paraId="0AE24F56" w14:textId="77777777" w:rsidR="00AB3647" w:rsidRDefault="00000000" w:rsidP="007923E9">
      <w:pPr>
        <w:pStyle w:val="4"/>
        <w:spacing w:line="276" w:lineRule="auto"/>
      </w:pPr>
      <w:r>
        <w:t>· הפסקה הראשונה ·</w:t>
      </w:r>
    </w:p>
    <w:p w14:paraId="270A3B7C" w14:textId="77777777" w:rsidR="00AB3647" w:rsidRDefault="00000000" w:rsidP="007923E9">
      <w:pPr>
        <w:pStyle w:val="5"/>
        <w:spacing w:line="276" w:lineRule="auto"/>
      </w:pPr>
      <w:r>
        <w:rPr>
          <w:bCs/>
          <w:szCs w:val="26"/>
        </w:rPr>
        <w:t xml:space="preserve">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פועל בתקיפות להפצת המוסר; ניסיונו להכניס את המוסר בעת ביקור בישיבת </w:t>
      </w:r>
      <w:proofErr w:type="spellStart"/>
      <w:r>
        <w:rPr>
          <w:bCs/>
          <w:szCs w:val="26"/>
        </w:rPr>
        <w:t>וולוז׳ין</w:t>
      </w:r>
      <w:proofErr w:type="spellEnd"/>
      <w:r>
        <w:rPr>
          <w:bCs/>
          <w:szCs w:val="26"/>
        </w:rPr>
        <w:t xml:space="preserve"> נדחה; ר׳ חיים </w:t>
      </w:r>
      <w:proofErr w:type="spellStart"/>
      <w:r>
        <w:rPr>
          <w:bCs/>
          <w:szCs w:val="26"/>
        </w:rPr>
        <w:t>סולובייצ׳יק</w:t>
      </w:r>
      <w:proofErr w:type="spellEnd"/>
      <w:r>
        <w:rPr>
          <w:bCs/>
          <w:szCs w:val="26"/>
        </w:rPr>
        <w:t xml:space="preserve"> מתפלמס עמו </w:t>
      </w:r>
      <w:proofErr w:type="spellStart"/>
      <w:r>
        <w:rPr>
          <w:bCs/>
          <w:szCs w:val="26"/>
        </w:rPr>
        <w:t>והנצי״ב</w:t>
      </w:r>
      <w:proofErr w:type="spellEnd"/>
      <w:r>
        <w:rPr>
          <w:bCs/>
          <w:szCs w:val="26"/>
        </w:rPr>
        <w:t xml:space="preserve"> משלח אותו; </w:t>
      </w:r>
      <w:proofErr w:type="spellStart"/>
      <w:r>
        <w:rPr>
          <w:bCs/>
          <w:szCs w:val="26"/>
        </w:rPr>
        <w:t>וולוז׳ין</w:t>
      </w:r>
      <w:proofErr w:type="spellEnd"/>
      <w:r>
        <w:rPr>
          <w:bCs/>
          <w:szCs w:val="26"/>
        </w:rPr>
        <w:t xml:space="preserve"> שומרת על מסורתה המתנגדת למוסר.</w:t>
      </w:r>
    </w:p>
    <w:p w14:paraId="4E98C216" w14:textId="275E996F" w:rsidR="00AB3647" w:rsidRDefault="00000000" w:rsidP="007923E9">
      <w:pPr>
        <w:spacing w:after="120" w:line="276" w:lineRule="auto"/>
        <w:ind w:firstLine="283"/>
        <w:jc w:val="both"/>
      </w:pPr>
      <w:r>
        <w:rPr>
          <w:rtl/>
        </w:rPr>
        <w:t>ראה כץ, “תנועת המוסר”, כרך ב</w:t>
      </w:r>
      <w:bookmarkStart w:id="5206" w:name="_fnr3879"/>
      <w:r>
        <w:rPr>
          <w:vertAlign w:val="superscript"/>
          <w:rtl/>
        </w:rPr>
        <w:footnoteReference w:id="3887" w:customMarkFollows="0"/>
      </w:r>
      <w:bookmarkEnd w:id="5206"/>
      <w:r>
        <w:rPr>
          <w:rtl/>
        </w:rPr>
        <w:t xml:space="preserve">, וכן 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והערה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ראה גם “שרידי אש”</w:t>
      </w:r>
      <w:bookmarkStart w:id="5207" w:name="_fnr3880"/>
      <w:r>
        <w:rPr>
          <w:vertAlign w:val="superscript"/>
          <w:rtl/>
        </w:rPr>
        <w:footnoteReference w:id="3888" w:customMarkFollows="0"/>
      </w:r>
      <w:bookmarkEnd w:id="5207"/>
      <w:r>
        <w:rPr>
          <w:rtl/>
        </w:rPr>
        <w:t xml:space="preserve">, המספר שר׳ </w:t>
      </w:r>
      <w:proofErr w:type="spellStart"/>
      <w:r>
        <w:rPr>
          <w:rtl/>
        </w:rPr>
        <w:t>איצל׳ה</w:t>
      </w:r>
      <w:proofErr w:type="spellEnd"/>
      <w:r>
        <w:rPr>
          <w:rtl/>
        </w:rPr>
        <w:t xml:space="preserve"> חזר </w:t>
      </w:r>
      <w:proofErr w:type="spellStart"/>
      <w:r>
        <w:rPr>
          <w:rtl/>
        </w:rPr>
        <w:t>לסלבודקה</w:t>
      </w:r>
      <w:proofErr w:type="spellEnd"/>
      <w:r>
        <w:rPr>
          <w:rtl/>
        </w:rPr>
        <w:t xml:space="preserve"> לימים הנוראים מווילנה, שבה התכונן לעלייתו לארץ ישראל, כדי לדבר לפני תלמידי ישיבת כנסת ישראל – בניגוד </w:t>
      </w:r>
      <w:proofErr w:type="spellStart"/>
      <w:r>
        <w:rPr>
          <w:rtl/>
        </w:rPr>
        <w:t>לר</w:t>
      </w:r>
      <w:proofErr w:type="spellEnd"/>
      <w:r>
        <w:rPr>
          <w:rtl/>
        </w:rPr>
        <w:t>׳ נפתלי אמסטרדם, שדיבר בציבור רק בהזדמנויות נדירות מאוד, ורק לאחר הפצרות מרובות.</w:t>
      </w:r>
      <w:bookmarkStart w:id="5208" w:name="_fnr3881"/>
      <w:r>
        <w:rPr>
          <w:vertAlign w:val="superscript"/>
          <w:rtl/>
        </w:rPr>
        <w:footnoteReference w:id="3889" w:customMarkFollows="0"/>
      </w:r>
      <w:bookmarkEnd w:id="5208"/>
      <w:r>
        <w:rPr>
          <w:rtl/>
        </w:rPr>
        <w:t xml:space="preserve"> גם תגובתו של ר׳ </w:t>
      </w:r>
      <w:proofErr w:type="spellStart"/>
      <w:r>
        <w:rPr>
          <w:rtl/>
        </w:rPr>
        <w:t>איצל׳ה</w:t>
      </w:r>
      <w:proofErr w:type="spellEnd"/>
      <w:r>
        <w:rPr>
          <w:rtl/>
        </w:rPr>
        <w:t xml:space="preserve"> לפולמוס המוסר</w:t>
      </w:r>
      <w:bookmarkStart w:id="5209" w:name="_fnr3882"/>
      <w:r>
        <w:rPr>
          <w:vertAlign w:val="superscript"/>
          <w:rtl/>
        </w:rPr>
        <w:footnoteReference w:id="3890" w:customMarkFollows="0"/>
      </w:r>
      <w:bookmarkEnd w:id="5209"/>
      <w:r>
        <w:rPr>
          <w:rtl/>
        </w:rPr>
        <w:t xml:space="preserve"> הייתה תקיפה – כמובן, בגבולות כללי ההתנהגות המוסרית הגבוהים ביותר. שלוש שנים אחרי שפרץ הפולמוס פרסם את “אור ישראל”</w:t>
      </w:r>
      <w:bookmarkStart w:id="5210" w:name="_fnr3883"/>
      <w:r>
        <w:rPr>
          <w:vertAlign w:val="superscript"/>
          <w:rtl/>
        </w:rPr>
        <w:footnoteReference w:id="3891" w:customMarkFollows="0"/>
      </w:r>
      <w:bookmarkEnd w:id="5210"/>
      <w:r>
        <w:rPr>
          <w:rtl/>
        </w:rPr>
        <w:t>, ספר היסוד הקלאסי בהגות תנועת המוסר, שבאמצעותו קיווה להוכיח למתנגדיה את תוקפה של שיטת המוסר.</w:t>
      </w:r>
      <w:bookmarkStart w:id="5211" w:name="_fnr3884"/>
      <w:r>
        <w:rPr>
          <w:vertAlign w:val="superscript"/>
          <w:rtl/>
        </w:rPr>
        <w:footnoteReference w:id="3892" w:customMarkFollows="0"/>
      </w:r>
      <w:bookmarkEnd w:id="5211"/>
    </w:p>
    <w:p w14:paraId="555AAF1E"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המתין עד תרמ״א כדי להדפיס את “פרי יצחק” – “ממה שחנני ה׳ בימי נעוריי” – </w:t>
      </w:r>
      <w:proofErr w:type="spellStart"/>
      <w:r>
        <w:rPr>
          <w:rtl/>
        </w:rPr>
        <w:t>ארבע־עשרה</w:t>
      </w:r>
      <w:proofErr w:type="spellEnd"/>
      <w:r>
        <w:rPr>
          <w:rtl/>
        </w:rPr>
        <w:t xml:space="preserve"> שנים לאחר שהספר נכתב וזכה להסכמות גדולי התורה. אפשר גם שהטעם לכך היה שלא התכוון לפרסם ברבים את גדלותו בתורה</w:t>
      </w:r>
      <w:bookmarkStart w:id="5212" w:name="_fnr3885"/>
      <w:r>
        <w:rPr>
          <w:vertAlign w:val="superscript"/>
          <w:rtl/>
        </w:rPr>
        <w:footnoteReference w:id="3893" w:customMarkFollows="0"/>
      </w:r>
      <w:bookmarkEnd w:id="5212"/>
      <w:r>
        <w:rPr>
          <w:rtl/>
        </w:rPr>
        <w:t>, עד שנאלץ לבסס את מעמדו כדי לחזק את מאמציו להפיץ את המוסר.</w:t>
      </w:r>
      <w:bookmarkStart w:id="5213" w:name="_fnr3886"/>
      <w:r>
        <w:rPr>
          <w:vertAlign w:val="superscript"/>
          <w:rtl/>
        </w:rPr>
        <w:footnoteReference w:id="3894" w:customMarkFollows="0"/>
      </w:r>
      <w:bookmarkEnd w:id="5213"/>
      <w:r>
        <w:rPr>
          <w:rtl/>
        </w:rPr>
        <w:t xml:space="preserve"> מכל מקום, במבוא לספרו כותב ר׳ </w:t>
      </w:r>
      <w:proofErr w:type="spellStart"/>
      <w:r>
        <w:rPr>
          <w:rtl/>
        </w:rPr>
        <w:t>איצל׳ה</w:t>
      </w:r>
      <w:proofErr w:type="spellEnd"/>
      <w:r>
        <w:rPr>
          <w:rtl/>
        </w:rPr>
        <w:t xml:space="preserve"> “עיקר כוונתי” בהוצאתו לאור, ומכאן שהיו גם טעמים אחרים שלא פורשו, כגון הטעם שהוצע לעיל. וזה לשונו: “עיקר כוונתי, טעמי וסיבתי בהגישי לציבור את פרי עמלי הוא להשאיר שם ושארית, זיכרון לדורות – מפני שניצני הבן והבת שהיו לי לפני שנים רבות לא פרחו, ולא זכיתי לגדל נטיעות נעימות... ועל כן עשיתי את הספר הזה לזיכרון.”</w:t>
      </w:r>
    </w:p>
    <w:p w14:paraId="12FCE5AC" w14:textId="77777777" w:rsidR="00AB3647" w:rsidRDefault="00000000" w:rsidP="007923E9">
      <w:pPr>
        <w:spacing w:after="120" w:line="276" w:lineRule="auto"/>
        <w:ind w:firstLine="283"/>
        <w:jc w:val="both"/>
      </w:pPr>
      <w:r>
        <w:rPr>
          <w:rtl/>
        </w:rPr>
        <w:t xml:space="preserve">כחלק ממאמציו להקנות תוקף למוסר ביקר ר׳ </w:t>
      </w:r>
      <w:proofErr w:type="spellStart"/>
      <w:r>
        <w:rPr>
          <w:rtl/>
        </w:rPr>
        <w:t>איצל׳ה</w:t>
      </w:r>
      <w:proofErr w:type="spellEnd"/>
      <w:r>
        <w:rPr>
          <w:rtl/>
        </w:rPr>
        <w:t xml:space="preserve"> גם בישיבת </w:t>
      </w:r>
      <w:proofErr w:type="spellStart"/>
      <w:r>
        <w:rPr>
          <w:rtl/>
        </w:rPr>
        <w:t>וולוז׳ין</w:t>
      </w:r>
      <w:proofErr w:type="spellEnd"/>
      <w:r>
        <w:rPr>
          <w:rtl/>
        </w:rPr>
        <w:t xml:space="preserve"> וניסה להכניס את המוסר לשם. בשלושה מקורות נמסרות שלוש תגובות שונות לביקור זה:</w:t>
      </w:r>
    </w:p>
    <w:p w14:paraId="0B03ADD0" w14:textId="77777777" w:rsidR="00AB3647" w:rsidRDefault="00000000" w:rsidP="007923E9">
      <w:pPr>
        <w:spacing w:after="120" w:line="276" w:lineRule="auto"/>
        <w:ind w:firstLine="283"/>
        <w:jc w:val="both"/>
      </w:pPr>
      <w:r>
        <w:rPr>
          <w:rtl/>
        </w:rPr>
        <w:lastRenderedPageBreak/>
        <w:t>(1) לפי “ר׳ משה שמואל ודורו”</w:t>
      </w:r>
      <w:bookmarkStart w:id="5214" w:name="_fnr3887"/>
      <w:r>
        <w:rPr>
          <w:vertAlign w:val="superscript"/>
          <w:rtl/>
        </w:rPr>
        <w:footnoteReference w:id="3895" w:customMarkFollows="0"/>
      </w:r>
      <w:bookmarkEnd w:id="5214"/>
      <w:r>
        <w:rPr>
          <w:rtl/>
        </w:rPr>
        <w:t xml:space="preserve">, “כשנודעה </w:t>
      </w:r>
      <w:proofErr w:type="spellStart"/>
      <w:r>
        <w:rPr>
          <w:rtl/>
        </w:rPr>
        <w:t>לנצי״ב</w:t>
      </w:r>
      <w:proofErr w:type="spellEnd"/>
      <w:r>
        <w:rPr>
          <w:rtl/>
        </w:rPr>
        <w:t xml:space="preserve"> מטרת בואו של ר׳ </w:t>
      </w:r>
      <w:proofErr w:type="spellStart"/>
      <w:r>
        <w:rPr>
          <w:rtl/>
        </w:rPr>
        <w:t>איצל׳ה</w:t>
      </w:r>
      <w:proofErr w:type="spellEnd"/>
      <w:r>
        <w:rPr>
          <w:rtl/>
        </w:rPr>
        <w:t xml:space="preserve"> </w:t>
      </w:r>
      <w:proofErr w:type="spellStart"/>
      <w:r>
        <w:rPr>
          <w:rtl/>
        </w:rPr>
        <w:t>לוולוז׳ין</w:t>
      </w:r>
      <w:proofErr w:type="spellEnd"/>
      <w:r>
        <w:rPr>
          <w:rtl/>
        </w:rPr>
        <w:t>, הוכיחו בדברי תוכחה וציווה עליו לעזוב את העיר”.</w:t>
      </w:r>
    </w:p>
    <w:p w14:paraId="272FAC20" w14:textId="77777777" w:rsidR="00AB3647" w:rsidRDefault="00000000" w:rsidP="007923E9">
      <w:pPr>
        <w:spacing w:after="120" w:line="276" w:lineRule="auto"/>
        <w:ind w:firstLine="283"/>
        <w:jc w:val="both"/>
      </w:pPr>
      <w:r>
        <w:rPr>
          <w:rtl/>
        </w:rPr>
        <w:t xml:space="preserve">(2) מאמר מאת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w:t>
      </w:r>
      <w:proofErr w:type="spellStart"/>
      <w:r>
        <w:rPr>
          <w:rtl/>
        </w:rPr>
        <w:t>ב“תלפיות</w:t>
      </w:r>
      <w:proofErr w:type="spellEnd"/>
      <w:r>
        <w:rPr>
          <w:rtl/>
        </w:rPr>
        <w:t>”</w:t>
      </w:r>
      <w:bookmarkStart w:id="5215" w:name="_fnr3888"/>
      <w:r>
        <w:rPr>
          <w:vertAlign w:val="superscript"/>
          <w:rtl/>
        </w:rPr>
        <w:footnoteReference w:id="3896" w:customMarkFollows="0"/>
      </w:r>
      <w:bookmarkEnd w:id="5215"/>
      <w:r>
        <w:rPr>
          <w:rtl/>
        </w:rPr>
        <w:t xml:space="preserve">, שכותרתו “איש ההלכה”, מספר שר׳ </w:t>
      </w:r>
      <w:proofErr w:type="spellStart"/>
      <w:r>
        <w:rPr>
          <w:rtl/>
        </w:rPr>
        <w:t>איצל׳ה</w:t>
      </w:r>
      <w:proofErr w:type="spellEnd"/>
      <w:r>
        <w:rPr>
          <w:rtl/>
        </w:rPr>
        <w:t xml:space="preserve"> התפלמס עם ר׳ חיים </w:t>
      </w:r>
      <w:proofErr w:type="spellStart"/>
      <w:r>
        <w:rPr>
          <w:rtl/>
        </w:rPr>
        <w:t>סולובייצ׳יק</w:t>
      </w:r>
      <w:proofErr w:type="spellEnd"/>
      <w:r>
        <w:rPr>
          <w:rtl/>
        </w:rPr>
        <w:t xml:space="preserve"> בעת הביקור </w:t>
      </w:r>
      <w:proofErr w:type="spellStart"/>
      <w:r>
        <w:rPr>
          <w:rtl/>
        </w:rPr>
        <w:t>בוולוז׳ין</w:t>
      </w:r>
      <w:proofErr w:type="spellEnd"/>
      <w:r>
        <w:rPr>
          <w:rtl/>
        </w:rPr>
        <w:t xml:space="preserve">. ר׳ </w:t>
      </w:r>
      <w:proofErr w:type="spellStart"/>
      <w:r>
        <w:rPr>
          <w:rtl/>
        </w:rPr>
        <w:t>איצל׳ה</w:t>
      </w:r>
      <w:proofErr w:type="spellEnd"/>
      <w:r>
        <w:rPr>
          <w:rtl/>
        </w:rPr>
        <w:t xml:space="preserve"> ביקש להוכיח שלימוד מוסר יעיל יותר למלחמה ביצר הרע מלימוד תורה בלבד, והביא את הוראת חז״ל</w:t>
      </w:r>
      <w:bookmarkStart w:id="5216" w:name="_fnr3889"/>
      <w:r>
        <w:rPr>
          <w:vertAlign w:val="superscript"/>
          <w:rtl/>
        </w:rPr>
        <w:footnoteReference w:id="3897" w:customMarkFollows="0"/>
      </w:r>
      <w:bookmarkEnd w:id="5216"/>
      <w:r>
        <w:rPr>
          <w:rtl/>
        </w:rPr>
        <w:t xml:space="preserve">: “לעולם ירגיז אדם יצר טוב על יצר הרע; אם נצחו מוטב, ואם לאו יעסוק בתורה; אם נצחו מוטב, ואם לאו יקרא קריאת שמע; אם נצחו מוטב, ואם לאו יזכור לו יום המיתה”. כלומר: אדם צריך תמיד לעורר את יצרו הטוב כנגד יצרו הרע; אם הכריע את היצר הרע, מוטב; ואם לא, יעסוק בתורה; אם הכריע אותו, מוטב; ואם לא, יקרא שמע; אם הכריע אותו, מוטב; ואם לא, יזכיר לו את יום המיתה. הוא הוכיח שהמוצא האחרון להכנעת יצר הרע אינו לימוד תורה, כפי שנהגו </w:t>
      </w:r>
      <w:proofErr w:type="spellStart"/>
      <w:r>
        <w:rPr>
          <w:rtl/>
        </w:rPr>
        <w:t>בוולוז׳ין</w:t>
      </w:r>
      <w:proofErr w:type="spellEnd"/>
      <w:r>
        <w:rPr>
          <w:rtl/>
        </w:rPr>
        <w:t>, אלא זכירת יום המיתה – באמצעות לימוד מוסר.</w:t>
      </w:r>
    </w:p>
    <w:p w14:paraId="6AEB1DDD" w14:textId="77777777" w:rsidR="00AB3647" w:rsidRDefault="00000000" w:rsidP="007923E9">
      <w:pPr>
        <w:spacing w:after="120" w:line="276" w:lineRule="auto"/>
        <w:ind w:firstLine="283"/>
        <w:jc w:val="both"/>
      </w:pPr>
      <w:r>
        <w:rPr>
          <w:rtl/>
        </w:rPr>
        <w:t xml:space="preserve">אבל ר׳ חיים טען שיש להיזקק ללימוד המוסר רק אם לימוד התורה נכשל עקב הפרעה בנפשו של האדם. “המוסר”, אמר ר׳ חיים, “דומה לשמן קיק: לחולה הוא רפואה, ולבריא הוא מחלה”, וסיים: “ואנו </w:t>
      </w:r>
      <w:proofErr w:type="spellStart"/>
      <w:r>
        <w:rPr>
          <w:rtl/>
        </w:rPr>
        <w:t>בוולוז׳ין</w:t>
      </w:r>
      <w:proofErr w:type="spellEnd"/>
      <w:r>
        <w:rPr>
          <w:rtl/>
        </w:rPr>
        <w:t>, ברוך ה׳, בריאים.”</w:t>
      </w:r>
      <w:bookmarkStart w:id="5217" w:name="_fnr3890"/>
      <w:r>
        <w:rPr>
          <w:vertAlign w:val="superscript"/>
          <w:rtl/>
        </w:rPr>
        <w:footnoteReference w:id="3898" w:customMarkFollows="0"/>
      </w:r>
      <w:bookmarkEnd w:id="5217"/>
      <w:bookmarkStart w:id="7041" w:name="_TranslatorNote_5396"/>
      <w:r>
        <w:rPr>
          <w:rStyle w:val="a5"/>
          <w:vertAlign w:val="superscript"/>
          <w:rtl/>
        </w:rPr>
        <w:footnoteReference w:id="3899" w:customMarkFollows="1"/>
        <w:t>*</w:t>
      </w:r>
      <w:bookmarkEnd w:id="7041"/>
      <w:r>
        <w:rPr>
          <w:rtl/>
        </w:rPr>
        <w:t xml:space="preserve"> “שרידי אש”</w:t>
      </w:r>
      <w:bookmarkStart w:id="5218" w:name="_fnr3891"/>
      <w:r>
        <w:rPr>
          <w:vertAlign w:val="superscript"/>
          <w:rtl/>
        </w:rPr>
        <w:footnoteReference w:id="3900" w:customMarkFollows="0"/>
      </w:r>
      <w:bookmarkEnd w:id="5218"/>
      <w:r>
        <w:rPr>
          <w:rtl/>
        </w:rPr>
        <w:t xml:space="preserve"> מספר שר׳ </w:t>
      </w:r>
      <w:proofErr w:type="spellStart"/>
      <w:r>
        <w:rPr>
          <w:rtl/>
        </w:rPr>
        <w:t>איצל׳ה</w:t>
      </w:r>
      <w:proofErr w:type="spellEnd"/>
      <w:r>
        <w:rPr>
          <w:rtl/>
        </w:rPr>
        <w:t xml:space="preserve"> רמז בזהירות לוויכוחו עם ר׳ חיים </w:t>
      </w:r>
      <w:proofErr w:type="spellStart"/>
      <w:r>
        <w:rPr>
          <w:rtl/>
        </w:rPr>
        <w:t>סולובייצ׳יק</w:t>
      </w:r>
      <w:proofErr w:type="spellEnd"/>
      <w:r>
        <w:rPr>
          <w:rtl/>
        </w:rPr>
        <w:t xml:space="preserve"> כשדיבר פעם לפני תלמידי ישיבת </w:t>
      </w:r>
      <w:proofErr w:type="spellStart"/>
      <w:r>
        <w:rPr>
          <w:rtl/>
        </w:rPr>
        <w:t>סלבודקה</w:t>
      </w:r>
      <w:proofErr w:type="spellEnd"/>
      <w:r>
        <w:rPr>
          <w:rtl/>
        </w:rPr>
        <w:t>, ואמר: “לדעתי, המוסר אינו שמן קיק לחולי מעיים, אלא חמצן לקיום החיים. יתר על כן, לימוד המוסר הוא חלק בלתי נפרד מלימוד התורה – החלק העוסק במיוחד בחובות הלבבות.”</w:t>
      </w:r>
      <w:bookmarkStart w:id="5219" w:name="_fnr3892"/>
      <w:r>
        <w:rPr>
          <w:vertAlign w:val="superscript"/>
          <w:rtl/>
        </w:rPr>
        <w:footnoteReference w:id="3901" w:customMarkFollows="0"/>
      </w:r>
      <w:bookmarkEnd w:id="5219"/>
    </w:p>
    <w:p w14:paraId="58E5AA1C" w14:textId="77777777" w:rsidR="00AB3647" w:rsidRDefault="00000000" w:rsidP="007923E9">
      <w:pPr>
        <w:spacing w:after="120" w:line="276" w:lineRule="auto"/>
        <w:ind w:firstLine="283"/>
        <w:jc w:val="both"/>
      </w:pPr>
      <w:r>
        <w:rPr>
          <w:rtl/>
        </w:rPr>
        <w:t xml:space="preserve">ראה גם את המאמר מאת “ש׳ רוזנפלד” </w:t>
      </w:r>
      <w:proofErr w:type="spellStart"/>
      <w:r>
        <w:rPr>
          <w:rtl/>
        </w:rPr>
        <w:t>ב“המליץ</w:t>
      </w:r>
      <w:proofErr w:type="spellEnd"/>
      <w:r>
        <w:rPr>
          <w:rtl/>
        </w:rPr>
        <w:t>”,</w:t>
      </w:r>
      <w:bookmarkStart w:id="5220" w:name="_fnr3893"/>
      <w:r>
        <w:rPr>
          <w:vertAlign w:val="superscript"/>
          <w:rtl/>
        </w:rPr>
        <w:footnoteReference w:id="3902" w:customMarkFollows="0"/>
      </w:r>
      <w:bookmarkEnd w:id="5220"/>
      <w:r>
        <w:rPr>
          <w:rtl/>
        </w:rPr>
        <w:t xml:space="preserve"> העוין את המוסר. המאמר מביא בשם הסבא </w:t>
      </w:r>
      <w:proofErr w:type="spellStart"/>
      <w:r>
        <w:rPr>
          <w:rtl/>
        </w:rPr>
        <w:t>מסלבודקה</w:t>
      </w:r>
      <w:proofErr w:type="spellEnd"/>
      <w:r>
        <w:rPr>
          <w:rtl/>
        </w:rPr>
        <w:t xml:space="preserve"> הוכחה מאותו מאמר תלמודי, אך מחלקו הקודם, שקריאת שמע – שהייתה בפי הסבא כינוי ללימוד המוסר – היא דרך יעילה יותר למלחמה ביצר הרע מלימוד התורה. “ש׳ רוזנפלד” משבש את המאמר התלמודי, וממילא גם את דרך הוכחתו של ר׳ </w:t>
      </w:r>
      <w:proofErr w:type="spellStart"/>
      <w:r>
        <w:rPr>
          <w:rtl/>
        </w:rPr>
        <w:t>נתן־</w:t>
      </w:r>
      <w:r>
        <w:rPr>
          <w:rtl/>
        </w:rPr>
        <w:lastRenderedPageBreak/>
        <w:t>צבי</w:t>
      </w:r>
      <w:proofErr w:type="spellEnd"/>
      <w:r>
        <w:rPr>
          <w:rtl/>
        </w:rPr>
        <w:t xml:space="preserve"> </w:t>
      </w:r>
      <w:proofErr w:type="spellStart"/>
      <w:r>
        <w:rPr>
          <w:rtl/>
        </w:rPr>
        <w:t>פינקל</w:t>
      </w:r>
      <w:proofErr w:type="spellEnd"/>
      <w:r>
        <w:rPr>
          <w:rtl/>
        </w:rPr>
        <w:t>. אבל ברור שאם הדיווח הזה נכון בכלל</w:t>
      </w:r>
      <w:bookmarkStart w:id="5221" w:name="_fnr3894"/>
      <w:r>
        <w:rPr>
          <w:vertAlign w:val="superscript"/>
          <w:rtl/>
        </w:rPr>
        <w:footnoteReference w:id="3903" w:customMarkFollows="0"/>
      </w:r>
      <w:bookmarkEnd w:id="5221"/>
      <w:r>
        <w:rPr>
          <w:rtl/>
        </w:rPr>
        <w:t xml:space="preserve">, השתמש הסבא באמצע שנות </w:t>
      </w:r>
      <w:proofErr w:type="spellStart"/>
      <w:r>
        <w:rPr>
          <w:rtl/>
        </w:rPr>
        <w:t>התר״נ</w:t>
      </w:r>
      <w:proofErr w:type="spellEnd"/>
      <w:r>
        <w:rPr>
          <w:rtl/>
        </w:rPr>
        <w:t xml:space="preserve"> בדיוק באותו נימוק שהשמיע ר׳ </w:t>
      </w:r>
      <w:proofErr w:type="spellStart"/>
      <w:r>
        <w:rPr>
          <w:rtl/>
        </w:rPr>
        <w:t>איצל׳ה</w:t>
      </w:r>
      <w:proofErr w:type="spellEnd"/>
      <w:r>
        <w:rPr>
          <w:rtl/>
        </w:rPr>
        <w:t xml:space="preserve"> שנים רבות קודם לכן בוויכוחו עם ר׳ חיים, ואולי למד אותו מר׳ </w:t>
      </w:r>
      <w:proofErr w:type="spellStart"/>
      <w:r>
        <w:rPr>
          <w:rtl/>
        </w:rPr>
        <w:t>איצל׳ה</w:t>
      </w:r>
      <w:proofErr w:type="spellEnd"/>
      <w:r>
        <w:rPr>
          <w:rtl/>
        </w:rPr>
        <w:t xml:space="preserve"> </w:t>
      </w:r>
      <w:proofErr w:type="spellStart"/>
      <w:r>
        <w:rPr>
          <w:rtl/>
        </w:rPr>
        <w:t>בלאזר</w:t>
      </w:r>
      <w:proofErr w:type="spellEnd"/>
      <w:r>
        <w:rPr>
          <w:rtl/>
        </w:rPr>
        <w:t>.</w:t>
      </w:r>
    </w:p>
    <w:p w14:paraId="7DBBD3B4" w14:textId="77777777" w:rsidR="00AB3647" w:rsidRDefault="00000000" w:rsidP="007923E9">
      <w:pPr>
        <w:spacing w:after="120" w:line="276" w:lineRule="auto"/>
        <w:ind w:firstLine="283"/>
        <w:jc w:val="both"/>
      </w:pPr>
      <w:r>
        <w:rPr>
          <w:rtl/>
        </w:rPr>
        <w:t xml:space="preserve">לפי “מורשת </w:t>
      </w:r>
      <w:proofErr w:type="spellStart"/>
      <w:r>
        <w:rPr>
          <w:rtl/>
        </w:rPr>
        <w:t>סולובייצ׳יק</w:t>
      </w:r>
      <w:proofErr w:type="spellEnd"/>
      <w:r>
        <w:rPr>
          <w:rtl/>
        </w:rPr>
        <w:t>”</w:t>
      </w:r>
      <w:bookmarkStart w:id="5222" w:name="_fnr3895"/>
      <w:r>
        <w:rPr>
          <w:vertAlign w:val="superscript"/>
          <w:rtl/>
        </w:rPr>
        <w:footnoteReference w:id="3904" w:customMarkFollows="0"/>
      </w:r>
      <w:bookmarkEnd w:id="5222"/>
      <w:r>
        <w:rPr>
          <w:rtl/>
        </w:rPr>
        <w:t xml:space="preserve">, בזמן מאוחר יותר מביקורו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השתמש ר׳ חיים במשל שמן הקיק כדי להניא את בנו ר׳ משה מלעיין אי־פעם </w:t>
      </w:r>
      <w:proofErr w:type="spellStart"/>
      <w:r>
        <w:rPr>
          <w:rtl/>
        </w:rPr>
        <w:t>ב“מורה</w:t>
      </w:r>
      <w:proofErr w:type="spellEnd"/>
      <w:r>
        <w:rPr>
          <w:rtl/>
        </w:rPr>
        <w:t xml:space="preserve"> נבוכים” לרמב״ם, אף שהוא עצמו למד אותו בעיון רב. ר׳ משה אכן הבטיח לו, </w:t>
      </w:r>
      <w:proofErr w:type="spellStart"/>
      <w:r>
        <w:rPr>
          <w:rtl/>
        </w:rPr>
        <w:t>ו“מאז</w:t>
      </w:r>
      <w:proofErr w:type="spellEnd"/>
      <w:r>
        <w:rPr>
          <w:rtl/>
        </w:rPr>
        <w:t xml:space="preserve"> לא ניסה עוד לבדוק את תוכנו של אותו ספר”. דבר תמוה וקשה להאמין: לפי “מורשת </w:t>
      </w:r>
      <w:proofErr w:type="spellStart"/>
      <w:r>
        <w:rPr>
          <w:rtl/>
        </w:rPr>
        <w:t>סולובייצ׳יק</w:t>
      </w:r>
      <w:proofErr w:type="spellEnd"/>
      <w:r>
        <w:rPr>
          <w:rtl/>
        </w:rPr>
        <w:t>” ראה ר׳ חיים את בנו כבריא – “בריא בנפשו ובגופו... אמונותיו איתנות” – ואילו את עצמו כחולה!</w:t>
      </w:r>
    </w:p>
    <w:p w14:paraId="29B590EF" w14:textId="77777777" w:rsidR="00AB3647" w:rsidRDefault="00000000" w:rsidP="007923E9">
      <w:pPr>
        <w:spacing w:after="120" w:line="276" w:lineRule="auto"/>
        <w:ind w:firstLine="283"/>
        <w:jc w:val="both"/>
      </w:pPr>
      <w:r>
        <w:rPr>
          <w:rtl/>
        </w:rPr>
        <w:t xml:space="preserve">(3) ר׳ </w:t>
      </w:r>
      <w:proofErr w:type="spellStart"/>
      <w:r>
        <w:rPr>
          <w:rtl/>
        </w:rPr>
        <w:t>זלמן־נחמיה</w:t>
      </w:r>
      <w:proofErr w:type="spellEnd"/>
      <w:r>
        <w:rPr>
          <w:rtl/>
        </w:rPr>
        <w:t xml:space="preserve"> גולדברג חזר</w:t>
      </w:r>
      <w:bookmarkStart w:id="5223" w:name="_fnr3896"/>
      <w:r>
        <w:rPr>
          <w:vertAlign w:val="superscript"/>
          <w:rtl/>
        </w:rPr>
        <w:footnoteReference w:id="3905" w:customMarkFollows="0"/>
      </w:r>
      <w:bookmarkEnd w:id="5223"/>
      <w:r>
        <w:rPr>
          <w:rtl/>
        </w:rPr>
        <w:t xml:space="preserve"> על גרסה ששמע מר׳ יצחק </w:t>
      </w:r>
      <w:proofErr w:type="spellStart"/>
      <w:r>
        <w:rPr>
          <w:rtl/>
        </w:rPr>
        <w:t>ויינשטיין</w:t>
      </w:r>
      <w:proofErr w:type="spellEnd"/>
      <w:r>
        <w:rPr>
          <w:rtl/>
        </w:rPr>
        <w:t xml:space="preserve">. ר׳ יצחק אולי שמע אותה ממחותנו ר׳ יצחק־זאב </w:t>
      </w:r>
      <w:proofErr w:type="spellStart"/>
      <w:r>
        <w:rPr>
          <w:rtl/>
        </w:rPr>
        <w:t>סולובייצ׳יק</w:t>
      </w:r>
      <w:proofErr w:type="spellEnd"/>
      <w:r>
        <w:rPr>
          <w:rtl/>
        </w:rPr>
        <w:t xml:space="preserve">, או מאדם אחר בישיבת </w:t>
      </w:r>
      <w:proofErr w:type="spellStart"/>
      <w:r>
        <w:rPr>
          <w:rtl/>
        </w:rPr>
        <w:t>וולוז׳ין</w:t>
      </w:r>
      <w:proofErr w:type="spellEnd"/>
      <w:r>
        <w:rPr>
          <w:rtl/>
        </w:rPr>
        <w:t xml:space="preserve"> המחודשת</w:t>
      </w:r>
      <w:bookmarkStart w:id="5224" w:name="_fnr3897"/>
      <w:r>
        <w:rPr>
          <w:vertAlign w:val="superscript"/>
          <w:rtl/>
        </w:rPr>
        <w:footnoteReference w:id="3906" w:customMarkFollows="0"/>
      </w:r>
      <w:bookmarkEnd w:id="5224"/>
      <w:r>
        <w:rPr>
          <w:rtl/>
        </w:rPr>
        <w:t xml:space="preserve">, שבה שימש משגיח בשלהי שנות </w:t>
      </w:r>
      <w:proofErr w:type="spellStart"/>
      <w:r>
        <w:rPr>
          <w:rtl/>
        </w:rPr>
        <w:t xml:space="preserve">התר״פ</w:t>
      </w:r>
      <w:proofErr w:type="spellEnd"/>
      <w:r>
        <w:rPr>
          <w:rtl/>
        </w:rPr>
        <w:t xml:space="preserve"> ובראשית שנות </w:t>
      </w:r>
      <w:proofErr w:type="spellStart"/>
      <w:r>
        <w:rPr>
          <w:rtl/>
        </w:rPr>
        <w:t xml:space="preserve">התר״צ</w:t>
      </w:r>
      <w:proofErr w:type="spellEnd"/>
      <w:r>
        <w:rPr>
          <w:rtl/>
        </w:rPr>
        <w:t xml:space="preserve">. וזו הגרסה: בתחילה הציע ר׳ </w:t>
      </w:r>
      <w:proofErr w:type="spellStart"/>
      <w:r>
        <w:rPr>
          <w:rtl/>
        </w:rPr>
        <w:t>איצל׳ה</w:t>
      </w:r>
      <w:proofErr w:type="spellEnd"/>
      <w:r>
        <w:rPr>
          <w:rtl/>
        </w:rPr>
        <w:t xml:space="preserve"> </w:t>
      </w:r>
      <w:proofErr w:type="spellStart"/>
      <w:r>
        <w:rPr>
          <w:rtl/>
        </w:rPr>
        <w:t>בלאזר</w:t>
      </w:r>
      <w:proofErr w:type="spellEnd"/>
      <w:r>
        <w:rPr>
          <w:rtl/>
        </w:rPr>
        <w:t xml:space="preserve"> להיות משגיח (!) בישיבה. </w:t>
      </w:r>
      <w:proofErr w:type="spellStart"/>
      <w:r>
        <w:rPr>
          <w:rtl/>
        </w:rPr>
        <w:t>משסורב</w:t>
      </w:r>
      <w:proofErr w:type="spellEnd"/>
      <w:r>
        <w:rPr>
          <w:rtl/>
        </w:rPr>
        <w:t xml:space="preserve">, ביקש רשות למסור דרשה וקיבל אותה. בדרשה הביא ר׳ </w:t>
      </w:r>
      <w:proofErr w:type="spellStart"/>
      <w:r>
        <w:rPr>
          <w:rtl/>
        </w:rPr>
        <w:t>איצל׳ה</w:t>
      </w:r>
      <w:proofErr w:type="spellEnd"/>
      <w:r>
        <w:rPr>
          <w:rtl/>
        </w:rPr>
        <w:t xml:space="preserve"> את הטיעון הרווח נגד המוסר</w:t>
      </w:r>
      <w:bookmarkStart w:id="5225" w:name="_fnr3898"/>
      <w:r>
        <w:rPr>
          <w:vertAlign w:val="superscript"/>
          <w:rtl/>
        </w:rPr>
        <w:footnoteReference w:id="3907" w:customMarkFollows="0"/>
      </w:r>
      <w:bookmarkEnd w:id="5225"/>
      <w:r>
        <w:rPr>
          <w:rtl/>
        </w:rPr>
        <w:t>: לימוד תורה מגן לחלוטין מפני יצר הרע, כפי שעולה לכאורה ממאמרי הגמרא במסכת קידושין</w:t>
      </w:r>
      <w:bookmarkStart w:id="5226" w:name="_fnr3899"/>
      <w:r>
        <w:rPr>
          <w:vertAlign w:val="superscript"/>
          <w:rtl/>
        </w:rPr>
        <w:footnoteReference w:id="3908" w:customMarkFollows="0"/>
      </w:r>
      <w:bookmarkEnd w:id="5226"/>
      <w:r>
        <w:rPr>
          <w:rtl/>
        </w:rPr>
        <w:t>: “תנו רבנן וכו׳ הקב״ה אמר להם לישראל בראתי יצר הרע ובראתי לו תורה תבלין”, וכן “תנא דבי ר׳ ישמעאל אם פגע בך מנוול זה משכהו לבית המדרש”.</w:t>
      </w:r>
    </w:p>
    <w:p w14:paraId="3585F412" w14:textId="77777777" w:rsidR="00AB3647" w:rsidRDefault="00000000" w:rsidP="007923E9">
      <w:pPr>
        <w:spacing w:after="120" w:line="276" w:lineRule="auto"/>
        <w:ind w:firstLine="283"/>
        <w:jc w:val="both"/>
      </w:pPr>
      <w:r>
        <w:rPr>
          <w:rtl/>
        </w:rPr>
        <w:t xml:space="preserve">ר׳ </w:t>
      </w:r>
      <w:proofErr w:type="spellStart"/>
      <w:r>
        <w:rPr>
          <w:rtl/>
        </w:rPr>
        <w:t>איצל׳ה</w:t>
      </w:r>
      <w:proofErr w:type="spellEnd"/>
      <w:r>
        <w:rPr>
          <w:rtl/>
        </w:rPr>
        <w:t xml:space="preserve"> דחה את הטיעון: הוא השווה את שתי דרכי המלחמה ביצר הרע – לימוד תורה ועבודת המוסר – לשתי דרכים לטיפול במחלה: סגולה שמציע בעל סוד, ותרופה שרושם רופא. “הסגולה”, אמר, “לא תשפיע כלל אלא אם יקיימו אותה בקפדנות עד לפרט האחרון. אם יש הוראה לחזור על לחש שבע פעמים, שש פעמים יהיו חסרות ערך לחלוטין; ואילו התרופה, גם כשנוטלים ממנה מנה קטנה מזו שרשם הרופא, תביא הקלה מסוימת. כך גם לימוד תורה הוא סגולה להשגת יראת שמים, ואילו המוסר הוא רפואה. אם לימוד התורה אינו שלם, כגון שהוא נלמד שלא לשמה, העצה התלמודית למלחמה </w:t>
      </w:r>
      <w:proofErr w:type="spellStart"/>
      <w:r>
        <w:rPr>
          <w:rtl/>
        </w:rPr>
        <w:t>ב‘מנוול</w:t>
      </w:r>
      <w:proofErr w:type="spellEnd"/>
      <w:r>
        <w:rPr>
          <w:rtl/>
        </w:rPr>
        <w:t xml:space="preserve">’ תהיה חסרת תועלת לחלוטין לשיפור יראת השמים של הלומד, ואילו אפילו כמויות מזעריות של מוסר יביאו שיפור מסוים.” ר׳ חיים עמד בחוץ ושמע את הדרשה, ואחר כך אמר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[עד שנצטרך תרופות].”</w:t>
      </w:r>
    </w:p>
    <w:p w14:paraId="6EF128CF" w14:textId="77777777" w:rsidR="00AB3647" w:rsidRDefault="00000000" w:rsidP="007923E9">
      <w:pPr>
        <w:spacing w:after="120" w:line="276" w:lineRule="auto"/>
        <w:ind w:firstLine="283"/>
        <w:jc w:val="both"/>
      </w:pPr>
      <w:r>
        <w:rPr>
          <w:rtl/>
        </w:rPr>
        <w:t>בהערת אגב בשיעור הדף היומי</w:t>
      </w:r>
      <w:bookmarkStart w:id="5227" w:name="_fnr3900"/>
      <w:r>
        <w:rPr>
          <w:vertAlign w:val="superscript"/>
          <w:rtl/>
        </w:rPr>
        <w:footnoteReference w:id="3909" w:customMarkFollows="0"/>
      </w:r>
      <w:bookmarkEnd w:id="5227"/>
      <w:r>
        <w:rPr>
          <w:rtl/>
        </w:rPr>
        <w:t xml:space="preserve"> הסביר אבי מדוע, לפי ניסיוננו, הנוסחה “ובראתי לו תורה תבלין” אינה פועלת. הוא השתמש בנימוקו של ר׳ </w:t>
      </w:r>
      <w:proofErr w:type="spellStart"/>
      <w:r>
        <w:rPr>
          <w:rtl/>
        </w:rPr>
        <w:t>איצל׳ה</w:t>
      </w:r>
      <w:proofErr w:type="spellEnd"/>
      <w:r>
        <w:rPr>
          <w:rtl/>
        </w:rPr>
        <w:t xml:space="preserve"> – שסגולה יש לקיים בדקדוק כדי שתועיל – אבל במשל אחר: “אם מרשם הסגולה דורש ליטול את </w:t>
      </w:r>
      <w:proofErr w:type="spellStart"/>
      <w:r>
        <w:rPr>
          <w:rtl/>
        </w:rPr>
        <w:t>ה‘תבלין</w:t>
      </w:r>
      <w:proofErr w:type="spellEnd"/>
      <w:r>
        <w:rPr>
          <w:rtl/>
        </w:rPr>
        <w:t xml:space="preserve">’ בכף זהב”, </w:t>
      </w:r>
      <w:r>
        <w:rPr>
          <w:rtl/>
        </w:rPr>
        <w:lastRenderedPageBreak/>
        <w:t xml:space="preserve">אמר, “הוא לא יפעל אם ייטלו אותו בכף כסף; כך יש ללמוד תורה לשמה כדי שתפעל נגד יצר הרע.” גם בהלכה אימץ אבי את הגישה שעניינים סגוליים פועלים רק כשמקיימים אותם בדיוק כפי שנמסרו: לפי ר׳ פרץ </w:t>
      </w:r>
      <w:proofErr w:type="spellStart"/>
      <w:r>
        <w:rPr>
          <w:rtl/>
        </w:rPr>
        <w:t>פוזן</w:t>
      </w:r>
      <w:bookmarkStart w:id="5228" w:name="_fnr3901"/>
      <w:proofErr w:type="spellEnd"/>
      <w:r>
        <w:rPr>
          <w:vertAlign w:val="superscript"/>
          <w:rtl/>
        </w:rPr>
        <w:footnoteReference w:id="3910" w:customMarkFollows="0"/>
      </w:r>
      <w:bookmarkEnd w:id="5228"/>
      <w:r>
        <w:rPr>
          <w:rtl/>
        </w:rPr>
        <w:t>, פסק אבי שהחשש לרוח רעה בבצל ושום חתוכים שנשארו במשך הלילה</w:t>
      </w:r>
      <w:bookmarkStart w:id="5229" w:name="_fnr3902"/>
      <w:r>
        <w:rPr>
          <w:vertAlign w:val="superscript"/>
          <w:rtl/>
        </w:rPr>
        <w:footnoteReference w:id="3911" w:customMarkFollows="0"/>
      </w:r>
      <w:bookmarkEnd w:id="5229"/>
      <w:r>
        <w:rPr>
          <w:rtl/>
        </w:rPr>
        <w:t xml:space="preserve"> אינו מונע שימוש באבקות בצל ושום.</w:t>
      </w:r>
    </w:p>
    <w:p w14:paraId="34B777F9" w14:textId="77777777" w:rsidR="00AB3647" w:rsidRDefault="00000000" w:rsidP="007923E9">
      <w:pPr>
        <w:spacing w:after="120" w:line="276" w:lineRule="auto"/>
        <w:ind w:firstLine="283"/>
        <w:jc w:val="both"/>
      </w:pPr>
      <w:r>
        <w:rPr>
          <w:rtl/>
        </w:rPr>
        <w:t xml:space="preserve">כשהמשכתי לבדוק את הדיווח על חילופי דברים אלה בין ר׳ חיים </w:t>
      </w:r>
      <w:proofErr w:type="spellStart"/>
      <w:r>
        <w:rPr>
          <w:rtl/>
        </w:rPr>
        <w:t>לר</w:t>
      </w:r>
      <w:proofErr w:type="spellEnd"/>
      <w:r>
        <w:rPr>
          <w:rtl/>
        </w:rPr>
        <w:t xml:space="preserve">׳ </w:t>
      </w:r>
      <w:proofErr w:type="spellStart"/>
      <w:r>
        <w:rPr>
          <w:rtl/>
        </w:rPr>
        <w:t>איצל׳ה</w:t>
      </w:r>
      <w:proofErr w:type="spellEnd"/>
      <w:r>
        <w:rPr>
          <w:rtl/>
        </w:rPr>
        <w:t xml:space="preserve">, גיליתי שר׳ יצחק־זאב, רבה האחרון של </w:t>
      </w:r>
      <w:proofErr w:type="spellStart"/>
      <w:r>
        <w:rPr>
          <w:rtl/>
        </w:rPr>
        <w:t>בריסק</w:t>
      </w:r>
      <w:proofErr w:type="spellEnd"/>
      <w:r>
        <w:rPr>
          <w:rtl/>
        </w:rPr>
        <w:t xml:space="preserve">, סיפר שגם אביו ר׳ חיים חלק על ההנחה שהניח ר׳ </w:t>
      </w:r>
      <w:proofErr w:type="spellStart"/>
      <w:r>
        <w:rPr>
          <w:rtl/>
        </w:rPr>
        <w:t>איצל׳ה</w:t>
      </w:r>
      <w:proofErr w:type="spellEnd"/>
      <w:r>
        <w:rPr>
          <w:rtl/>
        </w:rPr>
        <w:t xml:space="preserve"> </w:t>
      </w:r>
      <w:proofErr w:type="spellStart"/>
      <w:r>
        <w:rPr>
          <w:rtl/>
        </w:rPr>
        <w:t>בלאזר</w:t>
      </w:r>
      <w:proofErr w:type="spellEnd"/>
      <w:r>
        <w:rPr>
          <w:rtl/>
        </w:rPr>
        <w:t>, שהתורה היא סגולה בלבד נגד יצר הרע. ר׳ חיים הוכיח מן ההקבלה שבגמרא בין לימוד תורה לתבלין שהתורה אינה סגולה בלבד, אלא יש בה תכונות של רפואה. “אין בתבלין שום דבר מטפיזי”, אמר ר׳ חיים, לפי המסופר.</w:t>
      </w:r>
    </w:p>
    <w:p w14:paraId="7D825F26" w14:textId="77777777" w:rsidR="00AB3647" w:rsidRDefault="00000000" w:rsidP="007923E9">
      <w:pPr>
        <w:spacing w:after="120" w:line="276" w:lineRule="auto"/>
        <w:ind w:firstLine="283"/>
        <w:jc w:val="both"/>
      </w:pPr>
      <w:r>
        <w:rPr>
          <w:rtl/>
        </w:rPr>
        <w:t xml:space="preserve">אפשר להציע שכל שלושת הדיווחים על המאורעות </w:t>
      </w:r>
      <w:proofErr w:type="spellStart"/>
      <w:r>
        <w:rPr>
          <w:rtl/>
        </w:rPr>
        <w:t>בוולוז׳ין</w:t>
      </w:r>
      <w:proofErr w:type="spellEnd"/>
      <w:r>
        <w:rPr>
          <w:rtl/>
        </w:rPr>
        <w:t xml:space="preserve"> נכונים, אלא שמאורעות ביקורו של ר׳ </w:t>
      </w:r>
      <w:proofErr w:type="spellStart"/>
      <w:r>
        <w:rPr>
          <w:rtl/>
        </w:rPr>
        <w:t>איצל׳ה</w:t>
      </w:r>
      <w:proofErr w:type="spellEnd"/>
      <w:r>
        <w:rPr>
          <w:rtl/>
        </w:rPr>
        <w:t xml:space="preserve"> התרחשו בסדר הפוך מזה שהובאו בו לעיל. תחילה 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(3). אז טען ר׳ </w:t>
      </w:r>
      <w:proofErr w:type="spellStart"/>
      <w:r>
        <w:rPr>
          <w:rtl/>
        </w:rPr>
        <w:t>איצל׳ה</w:t>
      </w:r>
      <w:proofErr w:type="spellEnd"/>
      <w:r>
        <w:rPr>
          <w:rtl/>
        </w:rPr>
        <w:t xml:space="preserve"> שכדאי ללמוד מוסר, למקרה שיש בין התלמידים כמה “חולים”, ור׳ חיים השיב בהשוואה לשמן קיק: הישיבה כולה, בהיותה “בריאה”, תינזק מן המוסר (2). אחר כך בא </w:t>
      </w:r>
      <w:proofErr w:type="spellStart"/>
      <w:r>
        <w:rPr>
          <w:rtl/>
        </w:rPr>
        <w:t>הנצי״ב</w:t>
      </w:r>
      <w:proofErr w:type="spellEnd"/>
      <w:r>
        <w:rPr>
          <w:rtl/>
        </w:rPr>
        <w:t xml:space="preserve"> וציווה על ר׳ </w:t>
      </w:r>
      <w:proofErr w:type="spellStart"/>
      <w:r>
        <w:rPr>
          <w:rtl/>
        </w:rPr>
        <w:t>איצל׳ה</w:t>
      </w:r>
      <w:proofErr w:type="spellEnd"/>
      <w:r>
        <w:rPr>
          <w:rtl/>
        </w:rPr>
        <w:t xml:space="preserve"> לעזוב את העיר (1). יש להניח שראש הישיבה נעדר במקרה </w:t>
      </w:r>
      <w:proofErr w:type="spellStart"/>
      <w:r>
        <w:rPr>
          <w:rtl/>
        </w:rPr>
        <w:t>מוולוז׳ין</w:t>
      </w:r>
      <w:proofErr w:type="spellEnd"/>
      <w:r>
        <w:rPr>
          <w:rtl/>
        </w:rPr>
        <w:t xml:space="preserve"> כשהגיע ר׳ </w:t>
      </w:r>
      <w:proofErr w:type="spellStart"/>
      <w:r>
        <w:rPr>
          <w:rtl/>
        </w:rPr>
        <w:t>איצל׳ה</w:t>
      </w:r>
      <w:proofErr w:type="spellEnd"/>
      <w:r>
        <w:rPr>
          <w:rtl/>
        </w:rPr>
        <w:t xml:space="preserve"> לראשונה; אחרת לא היו מתירים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למסור את הדרשה מלכתחילה.</w:t>
      </w:r>
      <w:bookmarkStart w:id="5230" w:name="_fnr3903"/>
      <w:r>
        <w:rPr>
          <w:vertAlign w:val="superscript"/>
          <w:rtl/>
        </w:rPr>
        <w:footnoteReference w:id="3912" w:customMarkFollows="0"/>
      </w:r>
      <w:bookmarkEnd w:id="5230"/>
    </w:p>
    <w:p w14:paraId="0D8930E4" w14:textId="77777777" w:rsidR="00AB3647" w:rsidRDefault="00000000" w:rsidP="007923E9">
      <w:pPr>
        <w:spacing w:after="120" w:line="276" w:lineRule="auto"/>
        <w:ind w:firstLine="283"/>
        <w:jc w:val="both"/>
      </w:pPr>
      <w:r>
        <w:rPr>
          <w:rtl/>
        </w:rPr>
        <w:t xml:space="preserve">אין ספק שר׳ </w:t>
      </w:r>
      <w:proofErr w:type="spellStart"/>
      <w:r>
        <w:rPr>
          <w:rtl/>
        </w:rPr>
        <w:t>איצל׳ה</w:t>
      </w:r>
      <w:proofErr w:type="spellEnd"/>
      <w:r>
        <w:rPr>
          <w:rtl/>
        </w:rPr>
        <w:t xml:space="preserve"> </w:t>
      </w:r>
      <w:proofErr w:type="spellStart"/>
      <w:r>
        <w:rPr>
          <w:rtl/>
        </w:rPr>
        <w:t>בלאזר</w:t>
      </w:r>
      <w:proofErr w:type="spellEnd"/>
      <w:r>
        <w:rPr>
          <w:rtl/>
        </w:rPr>
        <w:t xml:space="preserve"> הכיר את מסורת ההתנגדות למוסר </w:t>
      </w:r>
      <w:proofErr w:type="spellStart"/>
      <w:r>
        <w:rPr>
          <w:rtl/>
        </w:rPr>
        <w:t>בוולוז׳ין</w:t>
      </w:r>
      <w:proofErr w:type="spellEnd"/>
      <w:r>
        <w:rPr>
          <w:rtl/>
        </w:rPr>
        <w:t xml:space="preserve"> מאז ייסודה, כפי שמלמדים הדברים המצוטטים בשמו </w:t>
      </w:r>
      <w:proofErr w:type="spellStart"/>
      <w:r>
        <w:rPr>
          <w:rtl/>
        </w:rPr>
        <w:t>ב“כוכבי</w:t>
      </w:r>
      <w:proofErr w:type="spellEnd"/>
      <w:r>
        <w:rPr>
          <w:rtl/>
        </w:rPr>
        <w:t xml:space="preserve"> אור”</w:t>
      </w:r>
      <w:bookmarkStart w:id="5231" w:name="_fnr3904"/>
      <w:r>
        <w:rPr>
          <w:vertAlign w:val="superscript"/>
          <w:rtl/>
        </w:rPr>
        <w:footnoteReference w:id="3913" w:customMarkFollows="0"/>
      </w:r>
      <w:bookmarkEnd w:id="5231"/>
      <w:r>
        <w:rPr>
          <w:rtl/>
        </w:rPr>
        <w:t xml:space="preserve">: “ר׳ חיים </w:t>
      </w:r>
      <w:proofErr w:type="spellStart"/>
      <w:r>
        <w:rPr>
          <w:rtl/>
        </w:rPr>
        <w:t>מוולוז׳ין</w:t>
      </w:r>
      <w:proofErr w:type="spellEnd"/>
      <w:r>
        <w:rPr>
          <w:rtl/>
        </w:rPr>
        <w:t xml:space="preserve"> אמר פעם שהיצר הרע בא בערמה ואומר [לתלמיד]: ‘דבר עליי ככל שתרצה, ובלבד שתתבטל מלימוד התורה’;</w:t>
      </w:r>
      <w:bookmarkStart w:id="5232" w:name="_fnr3905"/>
      <w:r>
        <w:rPr>
          <w:vertAlign w:val="superscript"/>
          <w:rtl/>
        </w:rPr>
        <w:footnoteReference w:id="3914" w:customMarkFollows="0"/>
      </w:r>
      <w:bookmarkEnd w:id="5232"/>
      <w:r>
        <w:rPr>
          <w:rtl/>
        </w:rPr>
        <w:t xml:space="preserve"> אבל אני אומר: הדבר היה נכון באותם ימים. בדורנו אומר היצר הרע: ‘למד, למד; רק אל תדבר עליי’.”</w:t>
      </w:r>
    </w:p>
    <w:p w14:paraId="63254682" w14:textId="77777777" w:rsidR="00AB3647" w:rsidRDefault="00000000" w:rsidP="007923E9">
      <w:pPr>
        <w:pStyle w:val="4"/>
        <w:spacing w:line="276" w:lineRule="auto"/>
      </w:pPr>
      <w:r>
        <w:t>· הפסקה השנייה ·</w:t>
      </w:r>
    </w:p>
    <w:p w14:paraId="280EE576" w14:textId="77777777" w:rsidR="00AB3647" w:rsidRDefault="00000000" w:rsidP="007923E9">
      <w:pPr>
        <w:pStyle w:val="5"/>
        <w:spacing w:line="276" w:lineRule="auto"/>
      </w:pPr>
      <w:r>
        <w:rPr>
          <w:bCs/>
          <w:szCs w:val="26"/>
        </w:rPr>
        <w:t xml:space="preserve">יש לברר את מועד ביקור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תלמידים שסרו מן הדרך נמצאו </w:t>
      </w:r>
      <w:proofErr w:type="spellStart"/>
      <w:r>
        <w:rPr>
          <w:bCs/>
          <w:szCs w:val="26"/>
        </w:rPr>
        <w:t>בוולוז׳ין</w:t>
      </w:r>
      <w:proofErr w:type="spellEnd"/>
      <w:r>
        <w:rPr>
          <w:bCs/>
          <w:szCs w:val="26"/>
        </w:rPr>
        <w:t xml:space="preserve"> לאורך כל תקופת שהותו של ר׳ חיים </w:t>
      </w:r>
      <w:proofErr w:type="spellStart"/>
      <w:r>
        <w:rPr>
          <w:bCs/>
          <w:szCs w:val="26"/>
        </w:rPr>
        <w:t>סולובייצ׳יק</w:t>
      </w:r>
      <w:proofErr w:type="spellEnd"/>
      <w:r>
        <w:rPr>
          <w:bCs/>
          <w:szCs w:val="26"/>
        </w:rPr>
        <w:t xml:space="preserve"> שם.</w:t>
      </w:r>
    </w:p>
    <w:p w14:paraId="5E85997C" w14:textId="77777777" w:rsidR="00AB3647" w:rsidRDefault="00000000" w:rsidP="007923E9">
      <w:pPr>
        <w:spacing w:after="120" w:line="276" w:lineRule="auto"/>
        <w:ind w:firstLine="283"/>
        <w:jc w:val="both"/>
      </w:pPr>
      <w:r>
        <w:rPr>
          <w:rtl/>
        </w:rPr>
        <w:t xml:space="preserve">זמן רב לא היה ברור לי מתי ביקר ר׳ </w:t>
      </w:r>
      <w:proofErr w:type="spellStart"/>
      <w:r>
        <w:rPr>
          <w:rtl/>
        </w:rPr>
        <w:t>איצל׳ה</w:t>
      </w:r>
      <w:proofErr w:type="spellEnd"/>
      <w:r>
        <w:rPr>
          <w:rtl/>
        </w:rPr>
        <w:t xml:space="preserve"> </w:t>
      </w:r>
      <w:proofErr w:type="spellStart"/>
      <w:r>
        <w:rPr>
          <w:rtl/>
        </w:rPr>
        <w:t>בוולוז׳ין</w:t>
      </w:r>
      <w:proofErr w:type="spellEnd"/>
      <w:r>
        <w:rPr>
          <w:rtl/>
        </w:rPr>
        <w:t>. כץ, “תנועת המוסר”, כרך ב</w:t>
      </w:r>
      <w:bookmarkStart w:id="5233" w:name="_fnr3906"/>
      <w:r>
        <w:rPr>
          <w:vertAlign w:val="superscript"/>
          <w:rtl/>
        </w:rPr>
        <w:footnoteReference w:id="3915" w:customMarkFollows="0"/>
      </w:r>
      <w:bookmarkEnd w:id="5233"/>
      <w:r>
        <w:rPr>
          <w:rtl/>
        </w:rPr>
        <w:t xml:space="preserve">, בהיעדר מידע ממשי על מועד המאורע, משאיר אותו תלוי בחלל הכרונולוגי: הוא אינו מציין תאריך, ומתאר את הביקור אחרי אזכור מאורעות שהתרחשו לאחר סגירת ישיבת </w:t>
      </w:r>
      <w:proofErr w:type="spellStart"/>
      <w:r>
        <w:rPr>
          <w:rtl/>
        </w:rPr>
        <w:t>וולוז׳ין</w:t>
      </w:r>
      <w:proofErr w:type="spellEnd"/>
      <w:r>
        <w:rPr>
          <w:rtl/>
        </w:rPr>
        <w:t xml:space="preserve">! </w:t>
      </w:r>
      <w:proofErr w:type="spellStart"/>
      <w:r>
        <w:rPr>
          <w:rtl/>
        </w:rPr>
        <w:lastRenderedPageBreak/>
        <w:t>ב“פולמוס</w:t>
      </w:r>
      <w:proofErr w:type="spellEnd"/>
      <w:r>
        <w:rPr>
          <w:rtl/>
        </w:rPr>
        <w:t>”</w:t>
      </w:r>
      <w:bookmarkStart w:id="5234" w:name="_fnr3907"/>
      <w:r>
        <w:rPr>
          <w:vertAlign w:val="superscript"/>
          <w:rtl/>
        </w:rPr>
        <w:footnoteReference w:id="3916" w:customMarkFollows="0"/>
      </w:r>
      <w:bookmarkEnd w:id="5234"/>
      <w:r>
        <w:rPr>
          <w:rtl/>
        </w:rPr>
        <w:t xml:space="preserve">, מאת אותו מחבר, מתוארך המפגש בעמימות: “באחד הימים בא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והציע </w:t>
      </w:r>
      <w:proofErr w:type="spellStart"/>
      <w:r>
        <w:rPr>
          <w:rtl/>
        </w:rPr>
        <w:t>לר</w:t>
      </w:r>
      <w:proofErr w:type="spellEnd"/>
      <w:r>
        <w:rPr>
          <w:rtl/>
        </w:rPr>
        <w:t xml:space="preserve">׳ חיים, שעמד אז בראשה (ההדגשה שלי), </w:t>
      </w:r>
      <w:proofErr w:type="spellStart"/>
      <w:r>
        <w:rPr>
          <w:rtl/>
        </w:rPr>
        <w:t>וכו</w:t>
      </w:r>
      <w:proofErr w:type="spellEnd"/>
      <w:r>
        <w:rPr>
          <w:rtl/>
        </w:rPr>
        <w:t>׳”.</w:t>
      </w:r>
      <w:bookmarkStart w:id="5235" w:name="_fnr3908"/>
      <w:r>
        <w:rPr>
          <w:vertAlign w:val="superscript"/>
          <w:rtl/>
        </w:rPr>
        <w:footnoteReference w:id="3917" w:customMarkFollows="0"/>
      </w:r>
      <w:bookmarkEnd w:id="5235"/>
    </w:p>
    <w:p w14:paraId="465E1E09" w14:textId="77777777" w:rsidR="00AB3647" w:rsidRDefault="00000000" w:rsidP="007923E9">
      <w:pPr>
        <w:spacing w:after="120" w:line="276" w:lineRule="auto"/>
        <w:ind w:firstLine="283"/>
        <w:jc w:val="both"/>
      </w:pPr>
      <w:r>
        <w:rPr>
          <w:rtl/>
        </w:rPr>
        <w:t xml:space="preserve">אם נניח בצד את שאלת המועד המדויק של הביקור, אבחנתו של ר׳ </w:t>
      </w:r>
      <w:proofErr w:type="spellStart"/>
      <w:r>
        <w:rPr>
          <w:rtl/>
        </w:rPr>
        <w:t>איצל׳ה</w:t>
      </w:r>
      <w:proofErr w:type="spellEnd"/>
      <w:r>
        <w:rPr>
          <w:rtl/>
        </w:rPr>
        <w:t xml:space="preserve"> – שבקרב תלמידי </w:t>
      </w:r>
      <w:proofErr w:type="spellStart"/>
      <w:r>
        <w:rPr>
          <w:rtl/>
        </w:rPr>
        <w:t>וולוז׳ין</w:t>
      </w:r>
      <w:proofErr w:type="spellEnd"/>
      <w:r>
        <w:rPr>
          <w:rtl/>
        </w:rPr>
        <w:t xml:space="preserve"> היו מוקדים של חולי רוחני, גם אם שוליים, כפי שיתברר להלן – נכונה מבחינה היסטורית לכל תקופה בכהונתו של ר׳ חיים באותה ישיבה. כך מלמדים המקורות הבאים, המובאים בסדר כרונולוגי:</w:t>
      </w:r>
    </w:p>
    <w:p w14:paraId="23B32001" w14:textId="77777777" w:rsidR="00AB3647" w:rsidRDefault="00000000" w:rsidP="007923E9">
      <w:pPr>
        <w:spacing w:after="120" w:line="276" w:lineRule="auto"/>
        <w:ind w:firstLine="283"/>
        <w:jc w:val="both"/>
      </w:pPr>
      <w:r>
        <w:rPr>
          <w:rtl/>
        </w:rPr>
        <w:t xml:space="preserve">* </w:t>
      </w:r>
      <w:proofErr w:type="spellStart"/>
      <w:r>
        <w:rPr>
          <w:rtl/>
        </w:rPr>
        <w:t>אליהו־זאב</w:t>
      </w:r>
      <w:proofErr w:type="spellEnd"/>
      <w:r>
        <w:rPr>
          <w:rtl/>
        </w:rPr>
        <w:t xml:space="preserve"> </w:t>
      </w:r>
      <w:proofErr w:type="spellStart"/>
      <w:r>
        <w:rPr>
          <w:rtl/>
        </w:rPr>
        <w:t>לוין־אפשטיין</w:t>
      </w:r>
      <w:proofErr w:type="spellEnd"/>
      <w:r>
        <w:rPr>
          <w:rtl/>
        </w:rPr>
        <w:t xml:space="preserve"> מספר </w:t>
      </w:r>
      <w:proofErr w:type="spellStart"/>
      <w:r>
        <w:rPr>
          <w:rtl/>
        </w:rPr>
        <w:t>ב“זכרונותי</w:t>
      </w:r>
      <w:proofErr w:type="spellEnd"/>
      <w:r>
        <w:rPr>
          <w:rtl/>
        </w:rPr>
        <w:t>”</w:t>
      </w:r>
      <w:bookmarkStart w:id="5236" w:name="_fnr3909"/>
      <w:r>
        <w:rPr>
          <w:vertAlign w:val="superscript"/>
          <w:rtl/>
        </w:rPr>
        <w:footnoteReference w:id="3918" w:customMarkFollows="0"/>
      </w:r>
      <w:bookmarkEnd w:id="5236"/>
      <w:r>
        <w:rPr>
          <w:rtl/>
        </w:rPr>
        <w:t xml:space="preserve"> שהקריאה החשאית ברומנים הייתה עיסוק נפוץ כל כך, עד שמונה שמש, יהודי פשוט בשם </w:t>
      </w:r>
      <w:proofErr w:type="spellStart"/>
      <w:r>
        <w:rPr>
          <w:rtl/>
        </w:rPr>
        <w:t>הירשל־שייקה</w:t>
      </w:r>
      <w:proofErr w:type="spellEnd"/>
      <w:r>
        <w:rPr>
          <w:rtl/>
        </w:rPr>
        <w:t>, לפקח על מגורי התלמידים ולעקור מהם ספרות “</w:t>
      </w:r>
      <w:proofErr w:type="spellStart"/>
      <w:r>
        <w:rPr>
          <w:rtl/>
        </w:rPr>
        <w:t>טרייף־פסול</w:t>
      </w:r>
      <w:proofErr w:type="spellEnd"/>
      <w:r>
        <w:rPr>
          <w:rtl/>
        </w:rPr>
        <w:t>”.</w:t>
      </w:r>
    </w:p>
    <w:p w14:paraId="29DF8CF3" w14:textId="77777777" w:rsidR="00AB3647" w:rsidRDefault="00000000" w:rsidP="007923E9">
      <w:pPr>
        <w:spacing w:after="120" w:line="276" w:lineRule="auto"/>
        <w:ind w:firstLine="283"/>
        <w:jc w:val="both"/>
      </w:pPr>
      <w:bookmarkStart w:id="5237" w:name="pr_b_2213"/>
      <w:bookmarkEnd w:id="5237"/>
      <w:proofErr w:type="spellStart"/>
      <w:r>
        <w:rPr>
          <w:rtl/>
        </w:rPr>
        <w:t>לוין־אפשטיין</w:t>
      </w:r>
      <w:proofErr w:type="spellEnd"/>
      <w:r>
        <w:rPr>
          <w:rtl/>
        </w:rPr>
        <w:t xml:space="preserve"> בא </w:t>
      </w:r>
      <w:proofErr w:type="spellStart"/>
      <w:r>
        <w:rPr>
          <w:rtl/>
        </w:rPr>
        <w:t>מווילקובישק</w:t>
      </w:r>
      <w:proofErr w:type="spellEnd"/>
      <w:r>
        <w:rPr>
          <w:rtl/>
        </w:rPr>
        <w:t xml:space="preserve"> ללמוד </w:t>
      </w:r>
      <w:proofErr w:type="spellStart"/>
      <w:r>
        <w:rPr>
          <w:rtl/>
        </w:rPr>
        <w:t>בוולוז׳ין</w:t>
      </w:r>
      <w:proofErr w:type="spellEnd"/>
      <w:r>
        <w:rPr>
          <w:rtl/>
        </w:rPr>
        <w:t xml:space="preserve"> </w:t>
      </w:r>
      <w:proofErr w:type="spellStart"/>
      <w:r>
        <w:rPr>
          <w:rtl/>
        </w:rPr>
        <w:t>בתרל״ז</w:t>
      </w:r>
      <w:proofErr w:type="spellEnd"/>
      <w:r>
        <w:rPr>
          <w:rtl/>
        </w:rPr>
        <w:t xml:space="preserve">, ארבע שנים אחרי שר׳ חיים נשא אישה ממשפחת ישיבת </w:t>
      </w:r>
      <w:proofErr w:type="spellStart"/>
      <w:r>
        <w:rPr>
          <w:rtl/>
        </w:rPr>
        <w:t>וולוז׳ין</w:t>
      </w:r>
      <w:proofErr w:type="spellEnd"/>
      <w:r>
        <w:rPr>
          <w:rtl/>
        </w:rPr>
        <w:t xml:space="preserve">, ובזמן שעדיין המשיך “לאכול </w:t>
      </w:r>
      <w:proofErr w:type="spellStart"/>
      <w:r>
        <w:rPr>
          <w:rtl/>
        </w:rPr>
        <w:t>קעסט</w:t>
      </w:r>
      <w:proofErr w:type="spellEnd"/>
      <w:r>
        <w:rPr>
          <w:rtl/>
        </w:rPr>
        <w:t>” בעיר.</w:t>
      </w:r>
      <w:bookmarkStart w:id="5238" w:name="_fnr3910"/>
      <w:r>
        <w:rPr>
          <w:vertAlign w:val="superscript"/>
          <w:rtl/>
        </w:rPr>
        <w:footnoteReference w:id="3919" w:customMarkFollows="0"/>
      </w:r>
      <w:bookmarkEnd w:id="5238"/>
    </w:p>
    <w:p w14:paraId="002EFDCE" w14:textId="77777777" w:rsidR="00AB3647" w:rsidRDefault="00000000" w:rsidP="007923E9">
      <w:pPr>
        <w:spacing w:after="120" w:line="276" w:lineRule="auto"/>
        <w:ind w:firstLine="283"/>
        <w:jc w:val="both"/>
      </w:pPr>
      <w:r>
        <w:rPr>
          <w:rtl/>
        </w:rPr>
        <w:t xml:space="preserve">* </w:t>
      </w:r>
      <w:proofErr w:type="spellStart"/>
      <w:r>
        <w:rPr>
          <w:rtl/>
        </w:rPr>
        <w:t>צינוביץ</w:t>
      </w:r>
      <w:proofErr w:type="spellEnd"/>
      <w:r>
        <w:rPr>
          <w:rtl/>
        </w:rPr>
        <w:t>, “עץ חיים”</w:t>
      </w:r>
      <w:bookmarkStart w:id="5239" w:name="_fnr3911"/>
      <w:r>
        <w:rPr>
          <w:vertAlign w:val="superscript"/>
          <w:rtl/>
        </w:rPr>
        <w:footnoteReference w:id="3920" w:customMarkFollows="0"/>
      </w:r>
      <w:bookmarkEnd w:id="5239"/>
      <w:r>
        <w:rPr>
          <w:rtl/>
        </w:rPr>
        <w:t xml:space="preserve">, מספר שמלשין שלח </w:t>
      </w:r>
      <w:proofErr w:type="spellStart"/>
      <w:r>
        <w:rPr>
          <w:rtl/>
        </w:rPr>
        <w:t>מוולוז׳ין</w:t>
      </w:r>
      <w:proofErr w:type="spellEnd"/>
      <w:r>
        <w:rPr>
          <w:rtl/>
        </w:rPr>
        <w:t xml:space="preserve"> מכתב לפטרבורג, ובו טען שראש הישיבה, </w:t>
      </w:r>
      <w:proofErr w:type="spellStart"/>
      <w:r>
        <w:rPr>
          <w:rtl/>
        </w:rPr>
        <w:t>הנצי״ב</w:t>
      </w:r>
      <w:proofErr w:type="spellEnd"/>
      <w:r>
        <w:rPr>
          <w:rtl/>
        </w:rPr>
        <w:t xml:space="preserve">, מכניס למדינה שלא כחוק סכומי כסף גדולים, ובכללם כסף מזויף. בפשיטה שערכו אנשי השלטון בבית </w:t>
      </w:r>
      <w:proofErr w:type="spellStart"/>
      <w:r>
        <w:rPr>
          <w:rtl/>
        </w:rPr>
        <w:t>הנצי״ב</w:t>
      </w:r>
      <w:proofErr w:type="spellEnd"/>
      <w:r>
        <w:rPr>
          <w:rtl/>
        </w:rPr>
        <w:t xml:space="preserve"> נמצא מכתב ברוח זו בין ניירותיו האישיים, והוא נעצר. רק שגיאה קטנה של הזייפן מנעה אסון: </w:t>
      </w:r>
      <w:proofErr w:type="spellStart"/>
      <w:r>
        <w:rPr>
          <w:rtl/>
        </w:rPr>
        <w:t>הנצי״ב</w:t>
      </w:r>
      <w:proofErr w:type="spellEnd"/>
      <w:r>
        <w:rPr>
          <w:rtl/>
        </w:rPr>
        <w:t xml:space="preserve"> היה חותם תמיד את שמו בחיבור שתי המילים “צבי </w:t>
      </w:r>
      <w:proofErr w:type="spellStart"/>
      <w:r>
        <w:rPr>
          <w:rtl/>
        </w:rPr>
        <w:t>יהודא</w:t>
      </w:r>
      <w:proofErr w:type="spellEnd"/>
      <w:r>
        <w:rPr>
          <w:rtl/>
        </w:rPr>
        <w:t xml:space="preserve">”, ומשמיט אחת משתי </w:t>
      </w:r>
      <w:proofErr w:type="spellStart"/>
      <w:r>
        <w:rPr>
          <w:rtl/>
        </w:rPr>
        <w:t>היו״דין</w:t>
      </w:r>
      <w:proofErr w:type="spellEnd"/>
      <w:r>
        <w:rPr>
          <w:rtl/>
        </w:rPr>
        <w:t xml:space="preserve"> הסמוכות – ואילו אויבו כתב את שתיהן.</w:t>
      </w:r>
      <w:bookmarkStart w:id="5240" w:name="_fnr3912"/>
      <w:r>
        <w:rPr>
          <w:vertAlign w:val="superscript"/>
          <w:rtl/>
        </w:rPr>
        <w:footnoteReference w:id="3921" w:customMarkFollows="0"/>
      </w:r>
      <w:bookmarkEnd w:id="5240"/>
      <w:r>
        <w:rPr>
          <w:rtl/>
        </w:rPr>
        <w:t xml:space="preserve"> לאחר מאורעות מזעזעים אלה טען מאמר </w:t>
      </w:r>
      <w:proofErr w:type="spellStart"/>
      <w:r>
        <w:rPr>
          <w:rtl/>
        </w:rPr>
        <w:t>ב“המליץ</w:t>
      </w:r>
      <w:proofErr w:type="spellEnd"/>
      <w:r>
        <w:rPr>
          <w:rtl/>
        </w:rPr>
        <w:t xml:space="preserve">”, עיתון שתמך בהשכלה, שחוסר שביעות רצונם של כמה תלמידים מתוכנית הלימודים בישיבה – תורה בלבד והתנגדות להשכלה – הוא </w:t>
      </w:r>
      <w:r>
        <w:rPr>
          <w:rtl/>
        </w:rPr>
        <w:lastRenderedPageBreak/>
        <w:t>שהביא למעשה הנבזה.</w:t>
      </w:r>
      <w:bookmarkStart w:id="5241" w:name="_fnr3913"/>
      <w:r>
        <w:rPr>
          <w:vertAlign w:val="superscript"/>
          <w:rtl/>
        </w:rPr>
        <w:footnoteReference w:id="3922" w:customMarkFollows="0"/>
      </w:r>
      <w:bookmarkEnd w:id="5241"/>
      <w:r>
        <w:rPr>
          <w:rtl/>
        </w:rPr>
        <w:t xml:space="preserve"> יהיה התלמיד שביצע את הפשע אשר יהיה, הוא היה קרוב דיו </w:t>
      </w:r>
      <w:proofErr w:type="spellStart"/>
      <w:r>
        <w:rPr>
          <w:rtl/>
        </w:rPr>
        <w:t>לנצי״ב</w:t>
      </w:r>
      <w:proofErr w:type="spellEnd"/>
      <w:r>
        <w:rPr>
          <w:rtl/>
        </w:rPr>
        <w:t xml:space="preserve"> כדי שתהיה לו גישה לניירותיו האישיים, ויוכל להטמין בהם את המכתב המזויף!</w:t>
      </w:r>
    </w:p>
    <w:p w14:paraId="25CB6BCE" w14:textId="77777777" w:rsidR="00AB3647" w:rsidRDefault="00000000" w:rsidP="007923E9">
      <w:pPr>
        <w:spacing w:after="120" w:line="276" w:lineRule="auto"/>
        <w:ind w:firstLine="283"/>
        <w:jc w:val="both"/>
      </w:pPr>
      <w:r>
        <w:rPr>
          <w:rtl/>
        </w:rPr>
        <w:t xml:space="preserve">המאורע התרחש בסוף אותו עשור, </w:t>
      </w:r>
      <w:proofErr w:type="spellStart"/>
      <w:r>
        <w:rPr>
          <w:rtl/>
        </w:rPr>
        <w:t>בתרל״ט</w:t>
      </w:r>
      <w:proofErr w:type="spellEnd"/>
      <w:r>
        <w:rPr>
          <w:rtl/>
        </w:rPr>
        <w:t xml:space="preserve">: תקופת </w:t>
      </w:r>
      <w:proofErr w:type="spellStart"/>
      <w:r>
        <w:rPr>
          <w:rtl/>
        </w:rPr>
        <w:t>ה“קעסט</w:t>
      </w:r>
      <w:proofErr w:type="spellEnd"/>
      <w:r>
        <w:rPr>
          <w:rtl/>
        </w:rPr>
        <w:t xml:space="preserve">” של ר׳ חיים כבר הסתיימה, ובעשרים שנות שהותו </w:t>
      </w:r>
      <w:proofErr w:type="spellStart"/>
      <w:r>
        <w:rPr>
          <w:rtl/>
        </w:rPr>
        <w:t>בוולוז׳ין</w:t>
      </w:r>
      <w:proofErr w:type="spellEnd"/>
      <w:r>
        <w:rPr>
          <w:rtl/>
        </w:rPr>
        <w:t xml:space="preserve"> החלה אז הפסקה בת שנה.</w:t>
      </w:r>
    </w:p>
    <w:p w14:paraId="07F37883" w14:textId="73310878" w:rsidR="00AB3647" w:rsidRDefault="00000000" w:rsidP="007923E9">
      <w:pPr>
        <w:spacing w:after="120" w:line="276" w:lineRule="auto"/>
        <w:ind w:firstLine="283"/>
        <w:jc w:val="both"/>
      </w:pPr>
      <w:r>
        <w:rPr>
          <w:rtl/>
        </w:rPr>
        <w:t xml:space="preserve">* מובאה מספרו של </w:t>
      </w:r>
      <w:proofErr w:type="spellStart"/>
      <w:r>
        <w:rPr>
          <w:rtl/>
        </w:rPr>
        <w:t>צינוביץ</w:t>
      </w:r>
      <w:proofErr w:type="spellEnd"/>
      <w:r>
        <w:rPr>
          <w:rtl/>
        </w:rPr>
        <w:t xml:space="preserve">, “עץ חיים”, בראש הערה </w:t>
      </w:r>
      <w:r>
        <w:rPr>
          <w:rtl/>
        </w:rPr>
        <w:fldChar w:fldCharType="begin" w:dirty="true"/>
      </w:r>
      <w:r>
        <w:rPr>
          <w:rtl/>
        </w:rPr>
        <w:instrText xml:space="preserve"> REF b4_note160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160</w:t>
      </w:r>
      <w:r>
        <w:rPr>
          <w:rtl/>
        </w:rPr>
        <w:fldChar w:fldCharType="end"/>
      </w:r>
      <w:r>
        <w:rPr>
          <w:rtl/>
        </w:rPr>
        <w:t xml:space="preserve"> לעיל מלמדת אילו אמצעי זהירות נאלץ </w:t>
      </w:r>
      <w:proofErr w:type="spellStart"/>
      <w:r>
        <w:rPr>
          <w:rtl/>
        </w:rPr>
        <w:t>הנצי״ב</w:t>
      </w:r>
      <w:proofErr w:type="spellEnd"/>
      <w:r>
        <w:rPr>
          <w:rtl/>
        </w:rPr>
        <w:t xml:space="preserve"> לנקוט מפני דואר מזיק שהגיע לתלמידים.</w:t>
      </w:r>
    </w:p>
    <w:p w14:paraId="2262DDB5" w14:textId="77777777" w:rsidR="00AB3647" w:rsidRDefault="00000000" w:rsidP="007923E9">
      <w:pPr>
        <w:spacing w:after="120" w:line="276" w:lineRule="auto"/>
        <w:ind w:firstLine="283"/>
        <w:jc w:val="both"/>
      </w:pPr>
      <w:r>
        <w:rPr>
          <w:rtl/>
        </w:rPr>
        <w:t xml:space="preserve">הדבר התרחש </w:t>
      </w:r>
      <w:proofErr w:type="spellStart"/>
      <w:r>
        <w:rPr>
          <w:rtl/>
        </w:rPr>
        <w:t>בתרמ״ג</w:t>
      </w:r>
      <w:proofErr w:type="spellEnd"/>
      <w:r>
        <w:rPr>
          <w:rtl/>
        </w:rPr>
        <w:t xml:space="preserve">, שלוש שנים לאחר שהוחזר ר׳ חיים </w:t>
      </w:r>
      <w:proofErr w:type="spellStart"/>
      <w:r>
        <w:rPr>
          <w:rtl/>
        </w:rPr>
        <w:t>מבריסק</w:t>
      </w:r>
      <w:proofErr w:type="spellEnd"/>
      <w:r>
        <w:rPr>
          <w:rtl/>
        </w:rPr>
        <w:t>, שם עמד בראש קיבוץ,</w:t>
      </w:r>
      <w:bookmarkStart w:id="5242" w:name="_fnr3914"/>
      <w:r>
        <w:rPr>
          <w:vertAlign w:val="superscript"/>
          <w:rtl/>
        </w:rPr>
        <w:footnoteReference w:id="3923" w:customMarkFollows="0"/>
      </w:r>
      <w:bookmarkEnd w:id="5242"/>
      <w:r>
        <w:rPr>
          <w:rtl/>
        </w:rPr>
        <w:t xml:space="preserve"> כדי להתמנות למשנה לראש הישיבה במקום חותנו, שירש את כיסא הרבנות של אחיו המנוח </w:t>
      </w:r>
      <w:proofErr w:type="spellStart"/>
      <w:r>
        <w:rPr>
          <w:rtl/>
        </w:rPr>
        <w:t>בנובו־אלכסנדרובסק</w:t>
      </w:r>
      <w:proofErr w:type="spellEnd"/>
      <w:r>
        <w:rPr>
          <w:rtl/>
        </w:rPr>
        <w:t>.</w:t>
      </w:r>
    </w:p>
    <w:p w14:paraId="45E0315C" w14:textId="77777777" w:rsidR="00AB3647" w:rsidRDefault="00000000" w:rsidP="007923E9">
      <w:pPr>
        <w:spacing w:after="120" w:line="276" w:lineRule="auto"/>
        <w:ind w:firstLine="283"/>
        <w:jc w:val="both"/>
      </w:pPr>
      <w:r>
        <w:rPr>
          <w:rtl/>
        </w:rPr>
        <w:t xml:space="preserve">* ר׳ שרגא </w:t>
      </w:r>
      <w:proofErr w:type="spellStart"/>
      <w:r>
        <w:rPr>
          <w:rtl/>
        </w:rPr>
        <w:t>פינחס</w:t>
      </w:r>
      <w:proofErr w:type="spellEnd"/>
      <w:r>
        <w:rPr>
          <w:rtl/>
        </w:rPr>
        <w:t xml:space="preserve"> סיפר</w:t>
      </w:r>
      <w:bookmarkStart w:id="5243" w:name="_fnr3915"/>
      <w:r>
        <w:rPr>
          <w:vertAlign w:val="superscript"/>
          <w:rtl/>
        </w:rPr>
        <w:footnoteReference w:id="3924" w:customMarkFollows="0"/>
      </w:r>
      <w:bookmarkEnd w:id="5243"/>
      <w:r>
        <w:rPr>
          <w:rtl/>
        </w:rPr>
        <w:t xml:space="preserve"> בשם סבו ר׳ </w:t>
      </w:r>
      <w:proofErr w:type="spellStart"/>
      <w:r>
        <w:rPr>
          <w:rtl/>
        </w:rPr>
        <w:t>אברהם־צבי</w:t>
      </w:r>
      <w:proofErr w:type="spellEnd"/>
      <w:r>
        <w:rPr>
          <w:rtl/>
        </w:rPr>
        <w:t xml:space="preserve"> </w:t>
      </w:r>
      <w:proofErr w:type="spellStart"/>
      <w:r>
        <w:rPr>
          <w:rtl/>
        </w:rPr>
        <w:t>פינחס</w:t>
      </w:r>
      <w:proofErr w:type="spellEnd"/>
      <w:r>
        <w:rPr>
          <w:rtl/>
        </w:rPr>
        <w:t xml:space="preserve">, רבה של </w:t>
      </w:r>
      <w:proofErr w:type="spellStart"/>
      <w:r>
        <w:rPr>
          <w:rtl/>
        </w:rPr>
        <w:t>טיקטין</w:t>
      </w:r>
      <w:proofErr w:type="spellEnd"/>
      <w:r>
        <w:rPr>
          <w:rtl/>
        </w:rPr>
        <w:t xml:space="preserve"> </w:t>
      </w:r>
      <w:proofErr w:type="spellStart"/>
      <w:r>
        <w:rPr>
          <w:rtl/>
        </w:rPr>
        <w:t>מתרס״ט</w:t>
      </w:r>
      <w:proofErr w:type="spellEnd"/>
      <w:r>
        <w:rPr>
          <w:rtl/>
        </w:rPr>
        <w:t xml:space="preserve"> עד תרפ״ח,</w:t>
      </w:r>
      <w:bookmarkStart w:id="5244" w:name="_fnr3916"/>
      <w:r>
        <w:rPr>
          <w:vertAlign w:val="superscript"/>
          <w:rtl/>
        </w:rPr>
        <w:footnoteReference w:id="3925" w:customMarkFollows="0"/>
      </w:r>
      <w:bookmarkEnd w:id="5244"/>
      <w:r>
        <w:rPr>
          <w:rtl/>
        </w:rPr>
        <w:t xml:space="preserve"> שפעם שאל </w:t>
      </w:r>
      <w:proofErr w:type="spellStart"/>
      <w:r>
        <w:rPr>
          <w:rtl/>
        </w:rPr>
        <w:t>הנצי״ב</w:t>
      </w:r>
      <w:proofErr w:type="spellEnd"/>
      <w:r>
        <w:rPr>
          <w:rtl/>
        </w:rPr>
        <w:t xml:space="preserve"> קבוצת תלמידים מבוגרים, ובהם ר׳ </w:t>
      </w:r>
      <w:proofErr w:type="spellStart"/>
      <w:r>
        <w:rPr>
          <w:rtl/>
        </w:rPr>
        <w:t>אברהם־צבי</w:t>
      </w:r>
      <w:proofErr w:type="spellEnd"/>
      <w:r>
        <w:rPr>
          <w:rtl/>
        </w:rPr>
        <w:t xml:space="preserve"> עצמו, שכבר היה אז נשוי, בגיל </w:t>
      </w:r>
      <w:proofErr w:type="spellStart"/>
      <w:r>
        <w:rPr>
          <w:rtl/>
        </w:rPr>
        <w:t>שש־עשרה</w:t>
      </w:r>
      <w:proofErr w:type="spellEnd"/>
      <w:r>
        <w:rPr>
          <w:rtl/>
        </w:rPr>
        <w:t xml:space="preserve">: “איך אפשר לנקות את הישיבה?” התלמידים הציעו הצעות שונות לשיפור האווירה הרוחנית </w:t>
      </w:r>
      <w:proofErr w:type="spellStart"/>
      <w:r>
        <w:rPr>
          <w:rtl/>
        </w:rPr>
        <w:t>בוולוז׳ין</w:t>
      </w:r>
      <w:proofErr w:type="spellEnd"/>
      <w:r>
        <w:rPr>
          <w:rtl/>
        </w:rPr>
        <w:t xml:space="preserve">. </w:t>
      </w:r>
      <w:proofErr w:type="spellStart"/>
      <w:r>
        <w:rPr>
          <w:rtl/>
        </w:rPr>
        <w:t>הנצי״ב</w:t>
      </w:r>
      <w:proofErr w:type="spellEnd"/>
      <w:r>
        <w:rPr>
          <w:rtl/>
        </w:rPr>
        <w:t>, שביקש להטביע בהם את ההכרה שיש להבין דברים תחילה בצורתם הפשוטה ביותר, אמר אז: “התשובה היא: במטאטא.” ברור שהתלמידים – וגם ראש הישיבה, שהציג להם את השאלה וחיפש את התשובה הנכונה – חשו שהישיבה זקוקה לטיהור רוחני, והתלמידים הניחו שראש ישיבתם מתייעץ עמם כיצד “לנקות” את הלכלוך הרוחני שהיא שרויה בו.</w:t>
      </w:r>
    </w:p>
    <w:p w14:paraId="44D270A3" w14:textId="77777777" w:rsidR="00AB3647" w:rsidRDefault="00000000" w:rsidP="007923E9">
      <w:pPr>
        <w:spacing w:after="120" w:line="276" w:lineRule="auto"/>
        <w:ind w:firstLine="283"/>
        <w:jc w:val="both"/>
      </w:pPr>
      <w:r>
        <w:rPr>
          <w:rtl/>
        </w:rPr>
        <w:t xml:space="preserve">המאורע התרחש כשנה לפני שעזב ר׳ </w:t>
      </w:r>
      <w:proofErr w:type="spellStart"/>
      <w:r>
        <w:rPr>
          <w:rtl/>
        </w:rPr>
        <w:t>פינחס</w:t>
      </w:r>
      <w:proofErr w:type="spellEnd"/>
      <w:r>
        <w:rPr>
          <w:rtl/>
        </w:rPr>
        <w:t xml:space="preserve"> את </w:t>
      </w:r>
      <w:proofErr w:type="spellStart"/>
      <w:r>
        <w:rPr>
          <w:rtl/>
        </w:rPr>
        <w:t>וולוז׳ין</w:t>
      </w:r>
      <w:proofErr w:type="spellEnd"/>
      <w:r>
        <w:rPr>
          <w:rtl/>
        </w:rPr>
        <w:t xml:space="preserve">, כלומר </w:t>
      </w:r>
      <w:proofErr w:type="spellStart"/>
      <w:r>
        <w:rPr>
          <w:rtl/>
        </w:rPr>
        <w:t>בתרמ״ד</w:t>
      </w:r>
      <w:proofErr w:type="spellEnd"/>
      <w:r>
        <w:rPr>
          <w:rtl/>
        </w:rPr>
        <w:t>.</w:t>
      </w:r>
    </w:p>
    <w:p w14:paraId="5837EB5D" w14:textId="77777777" w:rsidR="00AB3647" w:rsidRDefault="00000000" w:rsidP="007923E9">
      <w:pPr>
        <w:spacing w:after="120" w:line="276" w:lineRule="auto"/>
        <w:ind w:firstLine="283"/>
        <w:jc w:val="both"/>
      </w:pPr>
      <w:r>
        <w:rPr>
          <w:rtl/>
        </w:rPr>
        <w:t xml:space="preserve">ר׳ יצחק </w:t>
      </w:r>
      <w:proofErr w:type="spellStart"/>
      <w:r>
        <w:rPr>
          <w:rtl/>
        </w:rPr>
        <w:t>ניסנבוים</w:t>
      </w:r>
      <w:proofErr w:type="spellEnd"/>
      <w:r>
        <w:rPr>
          <w:rtl/>
        </w:rPr>
        <w:t xml:space="preserve"> מספר </w:t>
      </w:r>
      <w:proofErr w:type="spellStart"/>
      <w:r>
        <w:rPr>
          <w:rtl/>
        </w:rPr>
        <w:t>ב“עלי</w:t>
      </w:r>
      <w:proofErr w:type="spellEnd"/>
      <w:r>
        <w:rPr>
          <w:rtl/>
        </w:rPr>
        <w:t xml:space="preserve"> </w:t>
      </w:r>
      <w:proofErr w:type="spellStart"/>
      <w:r>
        <w:rPr>
          <w:rtl/>
        </w:rPr>
        <w:t>חלדי</w:t>
      </w:r>
      <w:proofErr w:type="spellEnd"/>
      <w:r>
        <w:rPr>
          <w:rtl/>
        </w:rPr>
        <w:t>”</w:t>
      </w:r>
      <w:bookmarkStart w:id="5245" w:name="_fnr3917"/>
      <w:r>
        <w:rPr>
          <w:vertAlign w:val="superscript"/>
          <w:rtl/>
        </w:rPr>
        <w:footnoteReference w:id="3926" w:customMarkFollows="0"/>
      </w:r>
      <w:bookmarkEnd w:id="5245"/>
      <w:r>
        <w:rPr>
          <w:rtl/>
        </w:rPr>
        <w:t xml:space="preserve"> </w:t>
      </w:r>
      <w:proofErr w:type="spellStart"/>
      <w:r>
        <w:rPr>
          <w:rtl/>
        </w:rPr>
        <w:t>שהנצי״ב</w:t>
      </w:r>
      <w:proofErr w:type="spellEnd"/>
      <w:r>
        <w:rPr>
          <w:rtl/>
        </w:rPr>
        <w:t xml:space="preserve"> היה בודק את פני התלמידים כדי לגלות אם הם מתגלחים בתער. עוד הוא מספר שם שפעם טפח </w:t>
      </w:r>
      <w:proofErr w:type="spellStart"/>
      <w:r>
        <w:rPr>
          <w:rtl/>
        </w:rPr>
        <w:t>הנצי״ב</w:t>
      </w:r>
      <w:proofErr w:type="spellEnd"/>
      <w:r>
        <w:rPr>
          <w:rtl/>
        </w:rPr>
        <w:t xml:space="preserve"> על לחיו של תלמיד, ומשאישרה הטפיחה את חשדותיו, נתן לו סטירת לחי מצלצלת.</w:t>
      </w:r>
    </w:p>
    <w:p w14:paraId="744D39EE" w14:textId="77777777" w:rsidR="00AB3647" w:rsidRDefault="00000000" w:rsidP="007923E9">
      <w:pPr>
        <w:spacing w:after="120" w:line="276" w:lineRule="auto"/>
        <w:ind w:firstLine="283"/>
        <w:jc w:val="both"/>
      </w:pPr>
      <w:r>
        <w:rPr>
          <w:rtl/>
        </w:rPr>
        <w:t>ר׳ דב היימן סיפר</w:t>
      </w:r>
      <w:bookmarkStart w:id="5246" w:name="_fnr3918"/>
      <w:r>
        <w:rPr>
          <w:vertAlign w:val="superscript"/>
          <w:rtl/>
        </w:rPr>
        <w:footnoteReference w:id="3927" w:customMarkFollows="0"/>
      </w:r>
      <w:bookmarkEnd w:id="5246"/>
      <w:r>
        <w:rPr>
          <w:rtl/>
        </w:rPr>
        <w:t xml:space="preserve"> שאביו ר׳ אהרן</w:t>
      </w:r>
      <w:bookmarkStart w:id="5247" w:name="_fnr3919"/>
      <w:r>
        <w:rPr>
          <w:vertAlign w:val="superscript"/>
          <w:rtl/>
        </w:rPr>
        <w:footnoteReference w:id="3928" w:customMarkFollows="0"/>
      </w:r>
      <w:bookmarkEnd w:id="5247"/>
      <w:r>
        <w:rPr>
          <w:rtl/>
        </w:rPr>
        <w:t xml:space="preserve"> – שנולד </w:t>
      </w:r>
      <w:proofErr w:type="spellStart"/>
      <w:r>
        <w:rPr>
          <w:rtl/>
        </w:rPr>
        <w:t>בתרכ״ב</w:t>
      </w:r>
      <w:proofErr w:type="spellEnd"/>
      <w:r>
        <w:rPr>
          <w:rtl/>
        </w:rPr>
        <w:t xml:space="preserve"> ולמד </w:t>
      </w:r>
      <w:proofErr w:type="spellStart"/>
      <w:r>
        <w:rPr>
          <w:rtl/>
        </w:rPr>
        <w:t>בוולוז׳ין</w:t>
      </w:r>
      <w:proofErr w:type="spellEnd"/>
      <w:r>
        <w:rPr>
          <w:rtl/>
        </w:rPr>
        <w:t xml:space="preserve"> בשנים תרמ״א–תרמ״ג – זכר בחור אמריקאי שלמד שם באותה עת ועזב את הישיבה לאחר שספג סטירה. ר׳ דב לא ידע במה הביא התלמיד את העונש על עצמו; אפשר לשער שסיפור היימן הוא סיומו של הסיפור שמסר ר׳ יצחק </w:t>
      </w:r>
      <w:proofErr w:type="spellStart"/>
      <w:r>
        <w:rPr>
          <w:rtl/>
        </w:rPr>
        <w:t>ניסנבוים</w:t>
      </w:r>
      <w:proofErr w:type="spellEnd"/>
      <w:r>
        <w:rPr>
          <w:rtl/>
        </w:rPr>
        <w:t xml:space="preserve">. אומנם </w:t>
      </w:r>
      <w:proofErr w:type="spellStart"/>
      <w:r>
        <w:rPr>
          <w:rtl/>
        </w:rPr>
        <w:t>ניסנבוים</w:t>
      </w:r>
      <w:proofErr w:type="spellEnd"/>
      <w:r>
        <w:rPr>
          <w:rtl/>
        </w:rPr>
        <w:t xml:space="preserve"> לא הגיע לישיבה עד תרמ״ד, אבל ייתכן שהמעשה התרחש שנה קודם לכן, כשר׳ אהרן היימן עוד היה שם, והיה עדיין טרי בזיכרון התלמידים. ראוי לציין שכבר באותן שנים, בראשית ההגירה היהודית ההמונית לאמריקה, היה </w:t>
      </w:r>
      <w:proofErr w:type="spellStart"/>
      <w:r>
        <w:rPr>
          <w:rtl/>
        </w:rPr>
        <w:t>בוולוז׳ין</w:t>
      </w:r>
      <w:proofErr w:type="spellEnd"/>
      <w:r>
        <w:rPr>
          <w:rtl/>
        </w:rPr>
        <w:t xml:space="preserve"> תלמיד אמריקאי.</w:t>
      </w:r>
    </w:p>
    <w:p w14:paraId="51B455EC" w14:textId="77777777" w:rsidR="00AB3647" w:rsidRDefault="00000000" w:rsidP="007923E9">
      <w:pPr>
        <w:spacing w:after="120" w:line="276" w:lineRule="auto"/>
        <w:ind w:firstLine="283"/>
        <w:jc w:val="both"/>
      </w:pPr>
      <w:r>
        <w:rPr>
          <w:rtl/>
        </w:rPr>
        <w:lastRenderedPageBreak/>
        <w:t xml:space="preserve">ר׳ יצחק </w:t>
      </w:r>
      <w:proofErr w:type="spellStart"/>
      <w:r>
        <w:rPr>
          <w:rtl/>
        </w:rPr>
        <w:t>ניסנבוים</w:t>
      </w:r>
      <w:proofErr w:type="spellEnd"/>
      <w:r>
        <w:rPr>
          <w:rtl/>
        </w:rPr>
        <w:t xml:space="preserve"> למד </w:t>
      </w:r>
      <w:proofErr w:type="spellStart"/>
      <w:r>
        <w:rPr>
          <w:rtl/>
        </w:rPr>
        <w:t>בוולוז׳ין</w:t>
      </w:r>
      <w:proofErr w:type="spellEnd"/>
      <w:r>
        <w:rPr>
          <w:rtl/>
        </w:rPr>
        <w:t xml:space="preserve"> </w:t>
      </w:r>
      <w:proofErr w:type="spellStart"/>
      <w:r>
        <w:rPr>
          <w:rtl/>
        </w:rPr>
        <w:t>בתרמ״ד</w:t>
      </w:r>
      <w:proofErr w:type="spellEnd"/>
      <w:r>
        <w:rPr>
          <w:rtl/>
        </w:rPr>
        <w:t>, ארבע שנים אחרי שחזר ר׳ חיים לישיבה.</w:t>
      </w:r>
    </w:p>
    <w:p w14:paraId="0E511F52" w14:textId="77777777" w:rsidR="00AB3647" w:rsidRDefault="00000000" w:rsidP="007923E9">
      <w:pPr>
        <w:spacing w:after="120" w:line="276" w:lineRule="auto"/>
        <w:ind w:firstLine="283"/>
        <w:jc w:val="both"/>
      </w:pPr>
      <w:r>
        <w:rPr>
          <w:rtl/>
        </w:rPr>
        <w:t>אף שהקורא בן זמננו עשוי להשתומם על ראש ישיבה מבוגר הסוטר לתלמיד מתבגר, מקרים נוספים של ענישה גופנית כזאת</w:t>
      </w:r>
      <w:bookmarkStart w:id="5248" w:name="_fnr3920"/>
      <w:r>
        <w:rPr>
          <w:vertAlign w:val="superscript"/>
          <w:rtl/>
        </w:rPr>
        <w:footnoteReference w:id="3929" w:customMarkFollows="0"/>
      </w:r>
      <w:bookmarkEnd w:id="5248"/>
      <w:r>
        <w:rPr>
          <w:rtl/>
        </w:rPr>
        <w:t xml:space="preserve"> בידי ראש ישיבת </w:t>
      </w:r>
      <w:proofErr w:type="spellStart"/>
      <w:r>
        <w:rPr>
          <w:rtl/>
        </w:rPr>
        <w:t>וולוז׳ין</w:t>
      </w:r>
      <w:proofErr w:type="spellEnd"/>
      <w:r>
        <w:rPr>
          <w:rtl/>
        </w:rPr>
        <w:t xml:space="preserve"> הנערץ נמצאים בארבעת המקורות הבאים: (א) “</w:t>
      </w:r>
      <w:proofErr w:type="spellStart"/>
      <w:r>
        <w:rPr>
          <w:rtl/>
        </w:rPr>
        <w:t>זכרונותי</w:t>
      </w:r>
      <w:proofErr w:type="spellEnd"/>
      <w:r>
        <w:rPr>
          <w:rtl/>
        </w:rPr>
        <w:t>”</w:t>
      </w:r>
      <w:bookmarkStart w:id="5249" w:name="_fnr3921"/>
      <w:r>
        <w:rPr>
          <w:vertAlign w:val="superscript"/>
          <w:rtl/>
        </w:rPr>
        <w:footnoteReference w:id="3930" w:customMarkFollows="0"/>
      </w:r>
      <w:bookmarkEnd w:id="5249"/>
      <w:r>
        <w:rPr>
          <w:rtl/>
        </w:rPr>
        <w:t>; (ב) “ר׳ משה שמואל ודורו”</w:t>
      </w:r>
      <w:bookmarkStart w:id="5250" w:name="_fnr3922"/>
      <w:r>
        <w:rPr>
          <w:vertAlign w:val="superscript"/>
          <w:rtl/>
        </w:rPr>
        <w:footnoteReference w:id="3931" w:customMarkFollows="0"/>
      </w:r>
      <w:bookmarkEnd w:id="5250"/>
      <w:r>
        <w:rPr>
          <w:rtl/>
        </w:rPr>
        <w:t xml:space="preserve">; (ג) זיכרונותיו של </w:t>
      </w:r>
      <w:proofErr w:type="spellStart"/>
      <w:r>
        <w:rPr>
          <w:rtl/>
        </w:rPr>
        <w:t>יהושע־לייב</w:t>
      </w:r>
      <w:proofErr w:type="spellEnd"/>
      <w:r>
        <w:rPr>
          <w:rtl/>
        </w:rPr>
        <w:t xml:space="preserve"> </w:t>
      </w:r>
      <w:proofErr w:type="spellStart"/>
      <w:r>
        <w:rPr>
          <w:rtl/>
        </w:rPr>
        <w:t>ראדוס</w:t>
      </w:r>
      <w:bookmarkStart w:id="5251" w:name="_fnr3923"/>
      <w:proofErr w:type="spellEnd"/>
      <w:r>
        <w:rPr>
          <w:vertAlign w:val="superscript"/>
          <w:rtl/>
        </w:rPr>
        <w:footnoteReference w:id="3932" w:customMarkFollows="0"/>
      </w:r>
      <w:bookmarkEnd w:id="5251"/>
      <w:r>
        <w:rPr>
          <w:rtl/>
        </w:rPr>
        <w:t xml:space="preserve">; (ד) מאמר מאת ש׳ ל׳ </w:t>
      </w:r>
      <w:proofErr w:type="spellStart"/>
      <w:r>
        <w:rPr>
          <w:rtl/>
        </w:rPr>
        <w:t>ציטרון</w:t>
      </w:r>
      <w:proofErr w:type="spellEnd"/>
      <w:r>
        <w:rPr>
          <w:rtl/>
        </w:rPr>
        <w:t xml:space="preserve">, “מלחמת הדינסטיות בישיבת </w:t>
      </w:r>
      <w:proofErr w:type="spellStart"/>
      <w:r>
        <w:rPr>
          <w:rtl/>
        </w:rPr>
        <w:t>וולוזין</w:t>
      </w:r>
      <w:proofErr w:type="spellEnd"/>
      <w:r>
        <w:rPr>
          <w:rtl/>
        </w:rPr>
        <w:t xml:space="preserve">”, </w:t>
      </w:r>
      <w:proofErr w:type="spellStart"/>
      <w:r>
        <w:rPr>
          <w:rtl/>
        </w:rPr>
        <w:t>ב“רשומות</w:t>
      </w:r>
      <w:proofErr w:type="spellEnd"/>
      <w:r>
        <w:rPr>
          <w:rtl/>
        </w:rPr>
        <w:t>”, כרך א׳.</w:t>
      </w:r>
      <w:bookmarkStart w:id="5252" w:name="_fnr3924"/>
      <w:r>
        <w:rPr>
          <w:vertAlign w:val="superscript"/>
          <w:rtl/>
        </w:rPr>
        <w:footnoteReference w:id="3933" w:customMarkFollows="0"/>
      </w:r>
      <w:bookmarkEnd w:id="5252"/>
    </w:p>
    <w:p w14:paraId="592B456F" w14:textId="77777777" w:rsidR="00AB3647" w:rsidRDefault="00000000" w:rsidP="007923E9">
      <w:pPr>
        <w:spacing w:after="120" w:line="276" w:lineRule="auto"/>
        <w:ind w:firstLine="283"/>
        <w:jc w:val="both"/>
      </w:pPr>
      <w:r>
        <w:rPr>
          <w:rtl/>
        </w:rPr>
        <w:t>(א) “</w:t>
      </w:r>
      <w:proofErr w:type="spellStart"/>
      <w:r>
        <w:rPr>
          <w:rtl/>
        </w:rPr>
        <w:t>זכרונותי</w:t>
      </w:r>
      <w:proofErr w:type="spellEnd"/>
      <w:r>
        <w:rPr>
          <w:rtl/>
        </w:rPr>
        <w:t xml:space="preserve">” מספר: “בחור </w:t>
      </w:r>
      <w:proofErr w:type="spellStart"/>
      <w:r>
        <w:rPr>
          <w:rtl/>
        </w:rPr>
        <w:t>ממולודצ׳נו</w:t>
      </w:r>
      <w:proofErr w:type="spellEnd"/>
      <w:r>
        <w:rPr>
          <w:rtl/>
        </w:rPr>
        <w:t xml:space="preserve"> למד בישיבה... ובוקר אחד החליט לגזור את פאותיו. כשראה זאת </w:t>
      </w:r>
      <w:proofErr w:type="spellStart"/>
      <w:r>
        <w:rPr>
          <w:rtl/>
        </w:rPr>
        <w:t>הנצי״ב</w:t>
      </w:r>
      <w:proofErr w:type="spellEnd"/>
      <w:r>
        <w:rPr>
          <w:rtl/>
        </w:rPr>
        <w:t xml:space="preserve">, הכהו פעם ופעמיים על לחייו. הבחור הצדיק את מעשהו: ‘למה </w:t>
      </w:r>
      <w:proofErr w:type="spellStart"/>
      <w:r>
        <w:rPr>
          <w:rtl/>
        </w:rPr>
        <w:t>לווילקובישקר</w:t>
      </w:r>
      <w:proofErr w:type="spellEnd"/>
      <w:r>
        <w:rPr>
          <w:rtl/>
        </w:rPr>
        <w:t xml:space="preserve"> הקטן הזה [</w:t>
      </w:r>
      <w:proofErr w:type="spellStart"/>
      <w:r>
        <w:rPr>
          <w:rtl/>
        </w:rPr>
        <w:t>לוין־אפשטיין</w:t>
      </w:r>
      <w:proofErr w:type="spellEnd"/>
      <w:r>
        <w:rPr>
          <w:rtl/>
        </w:rPr>
        <w:t xml:space="preserve">]’ – בישיבה היה תלמיד אחר, ותיק יותר, </w:t>
      </w:r>
      <w:proofErr w:type="spellStart"/>
      <w:r>
        <w:rPr>
          <w:rtl/>
        </w:rPr>
        <w:t>מווילקובישק</w:t>
      </w:r>
      <w:proofErr w:type="spellEnd"/>
      <w:r>
        <w:rPr>
          <w:rtl/>
        </w:rPr>
        <w:t xml:space="preserve">, שכונה </w:t>
      </w:r>
      <w:proofErr w:type="spellStart"/>
      <w:r>
        <w:rPr>
          <w:rtl/>
        </w:rPr>
        <w:t>הווילקובישקר</w:t>
      </w:r>
      <w:proofErr w:type="spellEnd"/>
      <w:r>
        <w:rPr>
          <w:rtl/>
        </w:rPr>
        <w:t xml:space="preserve"> הגדול – ‘אין פאות?’ דבריו הכעיסו את ראש הישיבה, והוא סטר על לחיי הצעיר עוד פעמיים ואמר: ‘</w:t>
      </w:r>
      <w:proofErr w:type="spellStart"/>
      <w:r>
        <w:rPr>
          <w:rtl/>
        </w:rPr>
        <w:t>הווילקובישקר</w:t>
      </w:r>
      <w:proofErr w:type="spellEnd"/>
      <w:r>
        <w:rPr>
          <w:rtl/>
        </w:rPr>
        <w:t xml:space="preserve"> הקטן בא לישיבה בלי פאות, אבל אתה’ – וכאן נשמעה עוד סטירה, החמישית – ‘אתה, בור, באת לכאן עם פאות וקיצצת אותן! עוד יאמרו שיראת שמים פסקה </w:t>
      </w:r>
      <w:proofErr w:type="spellStart"/>
      <w:r>
        <w:rPr>
          <w:rtl/>
        </w:rPr>
        <w:t>בוולוז׳ין</w:t>
      </w:r>
      <w:proofErr w:type="spellEnd"/>
      <w:r>
        <w:rPr>
          <w:rtl/>
        </w:rPr>
        <w:t>!’”</w:t>
      </w:r>
    </w:p>
    <w:p w14:paraId="6C139973" w14:textId="77777777" w:rsidR="00AB3647" w:rsidRDefault="00000000" w:rsidP="007923E9">
      <w:pPr>
        <w:spacing w:after="120" w:line="276" w:lineRule="auto"/>
        <w:ind w:firstLine="283"/>
        <w:jc w:val="both"/>
      </w:pPr>
      <w:r>
        <w:rPr>
          <w:rtl/>
        </w:rPr>
        <w:t>(ב) “ר׳ משה שמואל ודורו” מספר</w:t>
      </w:r>
      <w:bookmarkStart w:id="5253" w:name="_fnr3925"/>
      <w:r>
        <w:rPr>
          <w:vertAlign w:val="superscript"/>
          <w:rtl/>
        </w:rPr>
        <w:footnoteReference w:id="3934" w:customMarkFollows="0"/>
      </w:r>
      <w:bookmarkEnd w:id="5253"/>
      <w:r>
        <w:rPr>
          <w:rtl/>
        </w:rPr>
        <w:t xml:space="preserve">: “ביום הכיפורים תרל״ט אירע שאחד מתלמידיו הקרובים והמוכרים של </w:t>
      </w:r>
      <w:proofErr w:type="spellStart"/>
      <w:r>
        <w:rPr>
          <w:rtl/>
        </w:rPr>
        <w:t>הנצי״ב</w:t>
      </w:r>
      <w:proofErr w:type="spellEnd"/>
      <w:r>
        <w:rPr>
          <w:rtl/>
        </w:rPr>
        <w:t xml:space="preserve">, בנו של רבה של </w:t>
      </w:r>
      <w:proofErr w:type="spellStart"/>
      <w:r>
        <w:rPr>
          <w:rtl/>
        </w:rPr>
        <w:t>סימפרופול</w:t>
      </w:r>
      <w:proofErr w:type="spellEnd"/>
      <w:r>
        <w:rPr>
          <w:rtl/>
        </w:rPr>
        <w:t xml:space="preserve">, נכנס לישיבה בשעת בוקר מאוחרת, לאחר שחרית, ופאותיו מסורקות וחלקות. עינו החדה של </w:t>
      </w:r>
      <w:proofErr w:type="spellStart"/>
      <w:r>
        <w:rPr>
          <w:rtl/>
        </w:rPr>
        <w:t>הנצי״ב</w:t>
      </w:r>
      <w:proofErr w:type="spellEnd"/>
      <w:r>
        <w:rPr>
          <w:rtl/>
        </w:rPr>
        <w:t xml:space="preserve"> הבחינה בכך, ובלי שאלות וחקירה ניגש אליו וסטר לו פעם ועוד פעם לעיני הכול.” המחבר טוען עוד </w:t>
      </w:r>
      <w:proofErr w:type="spellStart"/>
      <w:r>
        <w:rPr>
          <w:rtl/>
        </w:rPr>
        <w:t>ש“אף</w:t>
      </w:r>
      <w:proofErr w:type="spellEnd"/>
      <w:r>
        <w:rPr>
          <w:rtl/>
        </w:rPr>
        <w:t xml:space="preserve"> שהתלמיד נשא את חרפתו בשתיקה, היו קנאים שהמאורע עורר </w:t>
      </w:r>
      <w:proofErr w:type="spellStart"/>
      <w:r>
        <w:rPr>
          <w:rtl/>
        </w:rPr>
        <w:t>בלבם</w:t>
      </w:r>
      <w:proofErr w:type="spellEnd"/>
      <w:r>
        <w:rPr>
          <w:rtl/>
        </w:rPr>
        <w:t xml:space="preserve"> איבה כלפי </w:t>
      </w:r>
      <w:proofErr w:type="spellStart"/>
      <w:r>
        <w:rPr>
          <w:rtl/>
        </w:rPr>
        <w:t>הנצי״ב</w:t>
      </w:r>
      <w:proofErr w:type="spellEnd"/>
      <w:r>
        <w:rPr>
          <w:rtl/>
        </w:rPr>
        <w:t xml:space="preserve">”. הדבר הביא </w:t>
      </w:r>
      <w:proofErr w:type="spellStart"/>
      <w:r>
        <w:rPr>
          <w:rtl/>
        </w:rPr>
        <w:t>ל“זיוף</w:t>
      </w:r>
      <w:proofErr w:type="spellEnd"/>
      <w:r>
        <w:rPr>
          <w:rtl/>
        </w:rPr>
        <w:t xml:space="preserve"> מכתב מחשיד, שליחתו בדואר והלשנה עליו למנהל הדואר”, ובעקבות זאת לחקירה חמורה ולאישום מטעם השלטון. זהו אותו מאורע </w:t>
      </w:r>
      <w:proofErr w:type="spellStart"/>
      <w:r>
        <w:rPr>
          <w:rtl/>
        </w:rPr>
        <w:t>שצינוביץ</w:t>
      </w:r>
      <w:proofErr w:type="spellEnd"/>
      <w:r>
        <w:rPr>
          <w:rtl/>
        </w:rPr>
        <w:t xml:space="preserve">, “עץ חיים”, מתייחס אליו (ראה עמ׳ </w:t>
      </w:r>
      <w:r>
        <w:rPr>
          <w:rtl/>
        </w:rPr>
        <w:fldChar w:fldCharType="begin" w:dirty="true"/>
      </w:r>
      <w:r>
        <w:rPr>
          <w:rtl/>
        </w:rPr>
        <w:instrText xml:space="preserve"> PAGEREF pr_b_2213 \h </w:instrText>
      </w:r>
      <w:r>
        <w:rPr>
          <w:rtl/>
        </w:rPr>
      </w:r>
      <w:r>
        <w:rPr>
          <w:rtl/>
        </w:rPr>
        <w:fldChar w:fldCharType="separate"/>
      </w:r>
      <w:r w:rsidR="007923E9">
        <w:rPr>
          <w:noProof/>
          <w:rtl/>
        </w:rPr>
        <w:t>1</w:t>
      </w:r>
      <w:r>
        <w:rPr>
          <w:rtl/>
        </w:rPr>
        <w:fldChar w:fldCharType="end"/>
      </w:r>
      <w:r>
        <w:rPr>
          <w:rtl/>
        </w:rPr>
        <w:t xml:space="preserve"> לעיל), אלא שכמה פרטים קטנים השתנו.</w:t>
      </w:r>
    </w:p>
    <w:p w14:paraId="46F2C0B8" w14:textId="77777777" w:rsidR="00AB3647" w:rsidRDefault="00000000" w:rsidP="007923E9">
      <w:pPr>
        <w:spacing w:after="120" w:line="276" w:lineRule="auto"/>
        <w:ind w:firstLine="283"/>
        <w:jc w:val="both"/>
      </w:pPr>
      <w:r>
        <w:rPr>
          <w:rtl/>
        </w:rPr>
        <w:t>“ר׳ משה שמואל ודורו” מספר גם</w:t>
      </w:r>
      <w:bookmarkStart w:id="5254" w:name="_fnr3926"/>
      <w:r>
        <w:rPr>
          <w:vertAlign w:val="superscript"/>
          <w:rtl/>
        </w:rPr>
        <w:footnoteReference w:id="3935" w:customMarkFollows="0"/>
      </w:r>
      <w:bookmarkEnd w:id="5254"/>
      <w:r>
        <w:rPr>
          <w:rtl/>
        </w:rPr>
        <w:t xml:space="preserve">: “המעשה היה בערב שבועות, בערך </w:t>
      </w:r>
      <w:proofErr w:type="spellStart"/>
      <w:r>
        <w:rPr>
          <w:rtl/>
        </w:rPr>
        <w:t>בתרמ״ו</w:t>
      </w:r>
      <w:proofErr w:type="spellEnd"/>
      <w:r>
        <w:rPr>
          <w:rtl/>
        </w:rPr>
        <w:t xml:space="preserve">. בשלושת ימי הגבלה היו התלמידים גוזזים את פאותיהם ומתקנים [?] מעט את זקניהם, </w:t>
      </w:r>
      <w:proofErr w:type="spellStart"/>
      <w:r>
        <w:rPr>
          <w:rtl/>
        </w:rPr>
        <w:t>והנצי״ב</w:t>
      </w:r>
      <w:proofErr w:type="spellEnd"/>
      <w:r>
        <w:rPr>
          <w:rtl/>
        </w:rPr>
        <w:t xml:space="preserve"> הקפיד על כך מאוד.</w:t>
      </w:r>
      <w:bookmarkStart w:id="5255" w:name="_fnr3927"/>
      <w:r>
        <w:rPr>
          <w:vertAlign w:val="superscript"/>
          <w:rtl/>
        </w:rPr>
        <w:footnoteReference w:id="3936" w:customMarkFollows="0"/>
      </w:r>
      <w:bookmarkEnd w:id="5255"/>
      <w:r>
        <w:rPr>
          <w:rtl/>
        </w:rPr>
        <w:t xml:space="preserve"> הוא התהלך אנה ואנה בישיבה ולא יכול להשקיט את רוחו </w:t>
      </w:r>
      <w:r>
        <w:rPr>
          <w:rtl/>
        </w:rPr>
        <w:lastRenderedPageBreak/>
        <w:t xml:space="preserve">הסוערת. כשיצא החוצה, נקרה בדרכו תלמיד </w:t>
      </w:r>
      <w:proofErr w:type="spellStart"/>
      <w:r>
        <w:rPr>
          <w:rtl/>
        </w:rPr>
        <w:t>מסלוצק</w:t>
      </w:r>
      <w:bookmarkStart w:id="5256" w:name="_fnr3928"/>
      <w:proofErr w:type="spellEnd"/>
      <w:r>
        <w:rPr>
          <w:vertAlign w:val="superscript"/>
          <w:rtl/>
        </w:rPr>
        <w:footnoteReference w:id="3937" w:customMarkFollows="0"/>
      </w:r>
      <w:bookmarkEnd w:id="5256"/>
      <w:r>
        <w:rPr>
          <w:rtl/>
        </w:rPr>
        <w:t xml:space="preserve">, אחד התלמידים המצוינים ובן למשפחה נכבדה, וגם הוא קיצץ את פאותיו. </w:t>
      </w:r>
      <w:proofErr w:type="spellStart"/>
      <w:r>
        <w:rPr>
          <w:rtl/>
        </w:rPr>
        <w:t>הנצי״ב</w:t>
      </w:r>
      <w:proofErr w:type="spellEnd"/>
      <w:r>
        <w:rPr>
          <w:rtl/>
        </w:rPr>
        <w:t xml:space="preserve"> סטר לו על לחייו כמה פעמים. התלמיד היה המום ונבהל, ומרוב פחד נפלה מידו הגמרא שהחזיק.</w:t>
      </w:r>
      <w:bookmarkStart w:id="5257" w:name="_fnr3929"/>
      <w:r>
        <w:rPr>
          <w:vertAlign w:val="superscript"/>
          <w:rtl/>
        </w:rPr>
        <w:footnoteReference w:id="3938" w:customMarkFollows="0"/>
      </w:r>
      <w:bookmarkEnd w:id="5257"/>
      <w:r>
        <w:rPr>
          <w:rtl/>
        </w:rPr>
        <w:t xml:space="preserve"> המקרה הביא את הישיבה למבוכה ולמהומה רבה: ‘הייתכן?!’ כולם התרעמו. ‘האם יש לבזות תלמיד מצטיין בשל עניין קטן כזה?!’”</w:t>
      </w:r>
    </w:p>
    <w:p w14:paraId="69D83B11" w14:textId="77777777" w:rsidR="00AB3647" w:rsidRDefault="00000000" w:rsidP="007923E9">
      <w:pPr>
        <w:spacing w:after="120" w:line="276" w:lineRule="auto"/>
        <w:ind w:firstLine="283"/>
        <w:jc w:val="both"/>
      </w:pPr>
      <w:r>
        <w:rPr>
          <w:rtl/>
        </w:rPr>
        <w:t xml:space="preserve">ראה גם את המאמר </w:t>
      </w:r>
      <w:proofErr w:type="spellStart"/>
      <w:r>
        <w:rPr>
          <w:rtl/>
        </w:rPr>
        <w:t>ב“הצפירה</w:t>
      </w:r>
      <w:proofErr w:type="spellEnd"/>
      <w:r>
        <w:rPr>
          <w:rtl/>
        </w:rPr>
        <w:t xml:space="preserve">”, המצהיר: “מקרה כזה שהרב </w:t>
      </w:r>
      <w:proofErr w:type="spellStart"/>
      <w:r>
        <w:rPr>
          <w:rtl/>
        </w:rPr>
        <w:t>הנצי״ב</w:t>
      </w:r>
      <w:proofErr w:type="spellEnd"/>
      <w:r>
        <w:rPr>
          <w:rtl/>
        </w:rPr>
        <w:t xml:space="preserve"> ירים יד על תלמיד היה מתרחש רק ‘אחת ליובל’</w:t>
      </w:r>
      <w:bookmarkStart w:id="5258" w:name="_fnr3930"/>
      <w:r>
        <w:rPr>
          <w:vertAlign w:val="superscript"/>
          <w:rtl/>
        </w:rPr>
        <w:footnoteReference w:id="3939" w:customMarkFollows="0"/>
      </w:r>
      <w:bookmarkEnd w:id="5258"/>
      <w:r>
        <w:rPr>
          <w:rtl/>
        </w:rPr>
        <w:t>; ומי שקיבל סטירה מן הרב זכה לכינוי “</w:t>
      </w:r>
      <w:proofErr w:type="spellStart"/>
      <w:r>
        <w:rPr>
          <w:rtl/>
        </w:rPr>
        <w:t>דער</w:t>
      </w:r>
      <w:proofErr w:type="spellEnd"/>
      <w:r>
        <w:rPr>
          <w:rtl/>
        </w:rPr>
        <w:t xml:space="preserve"> </w:t>
      </w:r>
      <w:proofErr w:type="spellStart"/>
      <w:r>
        <w:rPr>
          <w:rtl/>
        </w:rPr>
        <w:t>געפאטשטער</w:t>
      </w:r>
      <w:proofErr w:type="spellEnd"/>
      <w:r>
        <w:rPr>
          <w:rtl/>
        </w:rPr>
        <w:t>”, המוכה בסטירה, שהיה אות קלון עבורו, גרם לו בושה רבה ולעיתים קלקל שידוך מוצלח.”</w:t>
      </w:r>
    </w:p>
    <w:p w14:paraId="275EEE6B" w14:textId="77777777" w:rsidR="00AB3647" w:rsidRDefault="00000000" w:rsidP="007923E9">
      <w:pPr>
        <w:spacing w:after="120" w:line="276" w:lineRule="auto"/>
        <w:ind w:firstLine="283"/>
        <w:jc w:val="both"/>
      </w:pPr>
      <w:r>
        <w:rPr>
          <w:rtl/>
        </w:rPr>
        <w:t xml:space="preserve">(ג) זיכרונותיו של </w:t>
      </w:r>
      <w:proofErr w:type="spellStart"/>
      <w:r>
        <w:rPr>
          <w:rtl/>
        </w:rPr>
        <w:t>יהושע־לייב</w:t>
      </w:r>
      <w:proofErr w:type="spellEnd"/>
      <w:r>
        <w:rPr>
          <w:rtl/>
        </w:rPr>
        <w:t xml:space="preserve"> </w:t>
      </w:r>
      <w:proofErr w:type="spellStart"/>
      <w:r>
        <w:rPr>
          <w:rtl/>
        </w:rPr>
        <w:t>ראדוס</w:t>
      </w:r>
      <w:proofErr w:type="spellEnd"/>
      <w:r>
        <w:rPr>
          <w:rtl/>
        </w:rPr>
        <w:t xml:space="preserve"> מספרים: “מאורע לא טהור אירע עם בן ישיבה ששמע שהסופר </w:t>
      </w:r>
      <w:proofErr w:type="spellStart"/>
      <w:r>
        <w:rPr>
          <w:rtl/>
        </w:rPr>
        <w:t>רוזנסון</w:t>
      </w:r>
      <w:proofErr w:type="spellEnd"/>
      <w:r>
        <w:rPr>
          <w:rtl/>
        </w:rPr>
        <w:t xml:space="preserve"> מווילנה</w:t>
      </w:r>
      <w:bookmarkStart w:id="5259" w:name="_fnr3931"/>
      <w:r>
        <w:rPr>
          <w:vertAlign w:val="superscript"/>
          <w:rtl/>
        </w:rPr>
        <w:footnoteReference w:id="3940" w:customMarkFollows="0"/>
      </w:r>
      <w:bookmarkEnd w:id="5259"/>
      <w:r>
        <w:rPr>
          <w:rtl/>
        </w:rPr>
        <w:t xml:space="preserve"> שולח את ספריו בחינם לכל המבקש, ושלח לו מכתב בבקשה שישלח לו את הספרים. הצעיר יצא מן הישיבה לזמן מה כדי לבקר את משפחתו באחד החגים, ובינתיים הגיעו הספרים </w:t>
      </w:r>
      <w:proofErr w:type="spellStart"/>
      <w:r>
        <w:rPr>
          <w:rtl/>
        </w:rPr>
        <w:t>לוולוז׳ין</w:t>
      </w:r>
      <w:proofErr w:type="spellEnd"/>
      <w:r>
        <w:rPr>
          <w:rtl/>
        </w:rPr>
        <w:t xml:space="preserve"> כפי שביקש.” הנמען לא היה במקום לקבלם, ולכן הגיעו הספרים לבית </w:t>
      </w:r>
      <w:proofErr w:type="spellStart"/>
      <w:r>
        <w:rPr>
          <w:rtl/>
        </w:rPr>
        <w:t>הנצי״ב</w:t>
      </w:r>
      <w:proofErr w:type="spellEnd"/>
      <w:r>
        <w:rPr>
          <w:rtl/>
        </w:rPr>
        <w:t>.</w:t>
      </w:r>
    </w:p>
    <w:p w14:paraId="7FED4048" w14:textId="77777777" w:rsidR="00AB3647" w:rsidRDefault="00000000" w:rsidP="007923E9">
      <w:pPr>
        <w:spacing w:after="120" w:line="276" w:lineRule="auto"/>
        <w:ind w:firstLine="283"/>
        <w:jc w:val="both"/>
      </w:pPr>
      <w:r>
        <w:rPr>
          <w:rtl/>
        </w:rPr>
        <w:t xml:space="preserve">כשחזר התלמיד </w:t>
      </w:r>
      <w:proofErr w:type="spellStart"/>
      <w:r>
        <w:rPr>
          <w:rtl/>
        </w:rPr>
        <w:t>לוולוז׳ין</w:t>
      </w:r>
      <w:proofErr w:type="spellEnd"/>
      <w:r>
        <w:rPr>
          <w:rtl/>
        </w:rPr>
        <w:t xml:space="preserve">, הוזמן לבית ראש הישיבה, ושם “הרעים עליו ראש הישיבה: ‘האם באת לכאן להפיץ בישיבה את תורתו של </w:t>
      </w:r>
      <w:proofErr w:type="spellStart"/>
      <w:r>
        <w:rPr>
          <w:rtl/>
        </w:rPr>
        <w:t>רוזנסון</w:t>
      </w:r>
      <w:proofErr w:type="spellEnd"/>
      <w:r>
        <w:rPr>
          <w:rtl/>
        </w:rPr>
        <w:t xml:space="preserve">?!’ </w:t>
      </w:r>
      <w:proofErr w:type="spellStart"/>
      <w:r>
        <w:rPr>
          <w:rtl/>
        </w:rPr>
        <w:t>וכחצים</w:t>
      </w:r>
      <w:proofErr w:type="spellEnd"/>
      <w:r>
        <w:rPr>
          <w:rtl/>
        </w:rPr>
        <w:t xml:space="preserve"> מחודדים החודרים ופוצעים ניתכו עליו מפי ראש הישיבה שאגות, מחיאות, ברקים ורעמים. פני הנער השחירו כשולי הקדרה,</w:t>
      </w:r>
      <w:bookmarkStart w:id="5260" w:name="_fnr3932"/>
      <w:r>
        <w:rPr>
          <w:vertAlign w:val="superscript"/>
          <w:rtl/>
        </w:rPr>
        <w:footnoteReference w:id="3941" w:customMarkFollows="0"/>
      </w:r>
      <w:bookmarkEnd w:id="5260"/>
      <w:r>
        <w:rPr>
          <w:rtl/>
        </w:rPr>
        <w:t xml:space="preserve"> רגליו כשלו תחתיו, והוא ראה שנלכד כחולדה במלכודת. לשווא התנצל, ולשווא בכה בדמעות מרות כדי לעורר רחמים בלב [ראש הישיבה]. אכן, הרחמים היו רחוקים [מראש הישיבה], ודמעותיו נפלו על סלע שומם.</w:t>
      </w:r>
      <w:bookmarkStart w:id="5261" w:name="_fnr3933"/>
      <w:r>
        <w:rPr>
          <w:vertAlign w:val="superscript"/>
          <w:rtl/>
        </w:rPr>
        <w:footnoteReference w:id="3942" w:customMarkFollows="0"/>
      </w:r>
      <w:bookmarkEnd w:id="5261"/>
      <w:r>
        <w:rPr>
          <w:rtl/>
        </w:rPr>
        <w:t xml:space="preserve"> ראש הישיבה הכהו בלי רחמים; נתן לו מכות וסטירת לחי וגירשו מן הישיבה.” [הזיכרונות ממשיכים ומספרים שהצעיר התבייש לשוב לביתו </w:t>
      </w:r>
      <w:proofErr w:type="spellStart"/>
      <w:r>
        <w:rPr>
          <w:rtl/>
        </w:rPr>
        <w:t>ו“התיישב</w:t>
      </w:r>
      <w:proofErr w:type="spellEnd"/>
      <w:r>
        <w:rPr>
          <w:rtl/>
        </w:rPr>
        <w:t xml:space="preserve">” ללמוד בבית מדרש </w:t>
      </w:r>
      <w:proofErr w:type="spellStart"/>
      <w:r>
        <w:rPr>
          <w:rtl/>
        </w:rPr>
        <w:t>בוולוז׳ין</w:t>
      </w:r>
      <w:proofErr w:type="spellEnd"/>
      <w:r>
        <w:rPr>
          <w:rtl/>
        </w:rPr>
        <w:t xml:space="preserve">, “סובל רעב”, עד שהורשה לחזור לישיבה כעבור שלוש שנים (!).]</w:t>
      </w:r>
    </w:p>
    <w:p w14:paraId="4BC7F9F3" w14:textId="3B1ED8EF" w:rsidR="00AB3647" w:rsidRDefault="00000000" w:rsidP="007923E9">
      <w:pPr>
        <w:spacing w:after="120" w:line="276" w:lineRule="auto"/>
        <w:ind w:firstLine="283"/>
        <w:jc w:val="both"/>
      </w:pPr>
      <w:r>
        <w:rPr>
          <w:rtl/>
        </w:rPr>
        <w:t xml:space="preserve">(ד) מתועד </w:t>
      </w:r>
      <w:proofErr w:type="spellStart"/>
      <w:r>
        <w:rPr>
          <w:rtl/>
        </w:rPr>
        <w:t>שהנצי״ב</w:t>
      </w:r>
      <w:proofErr w:type="spellEnd"/>
      <w:r>
        <w:rPr>
          <w:rtl/>
        </w:rPr>
        <w:t xml:space="preserve"> סטר לתלמיד בראשית כהונתו, בשעה שאחיינו ר׳ </w:t>
      </w:r>
      <w:proofErr w:type="spellStart"/>
      <w:r>
        <w:rPr>
          <w:rtl/>
        </w:rPr>
        <w:t>יהושע־העשיל</w:t>
      </w:r>
      <w:proofErr w:type="spellEnd"/>
      <w:r>
        <w:rPr>
          <w:rtl/>
        </w:rPr>
        <w:t xml:space="preserve"> לוין ניסה ליטול ממנו את מקומו.</w:t>
      </w:r>
      <w:bookmarkStart w:id="5262" w:name="_fnr3934"/>
      <w:r>
        <w:rPr>
          <w:vertAlign w:val="superscript"/>
          <w:rtl/>
        </w:rPr>
        <w:footnoteReference w:id="3943" w:customMarkFollows="0"/>
      </w:r>
      <w:bookmarkEnd w:id="5262"/>
      <w:r>
        <w:rPr>
          <w:rtl/>
        </w:rPr>
        <w:t xml:space="preserve"> 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מספר: “כשקרא </w:t>
      </w:r>
      <w:proofErr w:type="spellStart"/>
      <w:r>
        <w:rPr>
          <w:rtl/>
        </w:rPr>
        <w:t>הנצי״ב</w:t>
      </w:r>
      <w:proofErr w:type="spellEnd"/>
      <w:r>
        <w:rPr>
          <w:rtl/>
        </w:rPr>
        <w:t xml:space="preserve"> למורדים שתמכו באחיין ר׳ </w:t>
      </w:r>
      <w:proofErr w:type="spellStart"/>
      <w:r>
        <w:rPr>
          <w:rtl/>
        </w:rPr>
        <w:t>יהושע־העשיל</w:t>
      </w:r>
      <w:proofErr w:type="spellEnd"/>
      <w:r>
        <w:rPr>
          <w:rtl/>
        </w:rPr>
        <w:t xml:space="preserve"> לוין והודיע שהמבוגרים שבהם מגורשים, פנה לצעירים ואמר: ‘לכו והרהרו תשובה והכול יימחל לכם, צאן אובדות, כי כל מה שעשיתם עשיתם רק מתוך קלות דעת.’ אבל אחד הצעירים העז פניו ואמר: ‘רבי, </w:t>
      </w:r>
      <w:r>
        <w:rPr>
          <w:rtl/>
        </w:rPr>
        <w:lastRenderedPageBreak/>
        <w:t xml:space="preserve">אני חושב שעליך ללכת ראשון, כי אתה מבוגר יותר!’ </w:t>
      </w:r>
      <w:proofErr w:type="spellStart"/>
      <w:r>
        <w:rPr>
          <w:rtl/>
        </w:rPr>
        <w:t>והנצי״ב</w:t>
      </w:r>
      <w:proofErr w:type="spellEnd"/>
      <w:r>
        <w:rPr>
          <w:rtl/>
        </w:rPr>
        <w:t xml:space="preserve"> קרא: ‘הא לך, שקץ!’ וסטר על פניו פעם ועוד פעם.” ראה גם הערה </w:t>
      </w:r>
      <w:r>
        <w:rPr>
          <w:rtl/>
        </w:rPr>
        <w:fldChar w:fldCharType="begin" w:dirty="true"/>
      </w:r>
      <w:r>
        <w:rPr>
          <w:rtl/>
        </w:rPr>
        <w:instrText xml:space="preserve"> REF b4_note151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151</w:t>
      </w:r>
      <w:r>
        <w:rPr>
          <w:rtl/>
        </w:rPr>
        <w:fldChar w:fldCharType="end"/>
      </w:r>
      <w:r>
        <w:rPr>
          <w:rtl/>
        </w:rPr>
        <w:t xml:space="preserve"> לעיל, על ראש ישיבת כנסת בית יצחק </w:t>
      </w:r>
      <w:proofErr w:type="spellStart"/>
      <w:r>
        <w:rPr>
          <w:rtl/>
        </w:rPr>
        <w:t>בסלבודקה</w:t>
      </w:r>
      <w:proofErr w:type="spellEnd"/>
      <w:r>
        <w:rPr>
          <w:rtl/>
        </w:rPr>
        <w:t xml:space="preserve"> שסטר לתלמיד חצוף, </w:t>
      </w:r>
      <w:proofErr w:type="spellStart"/>
      <w:r>
        <w:rPr>
          <w:rtl/>
        </w:rPr>
        <w:t>חמש־עשרה</w:t>
      </w:r>
      <w:proofErr w:type="spellEnd"/>
      <w:r>
        <w:rPr>
          <w:rtl/>
        </w:rPr>
        <w:t xml:space="preserve"> שנים אחרי המועד המאוחר ביותר שבו מתועד </w:t>
      </w:r>
      <w:proofErr w:type="spellStart"/>
      <w:r>
        <w:rPr>
          <w:rtl/>
        </w:rPr>
        <w:t>שהנצי״ב</w:t>
      </w:r>
      <w:proofErr w:type="spellEnd"/>
      <w:r>
        <w:rPr>
          <w:rtl/>
        </w:rPr>
        <w:t xml:space="preserve"> עשה כך </w:t>
      </w:r>
      <w:proofErr w:type="spellStart"/>
      <w:r>
        <w:rPr>
          <w:rtl/>
        </w:rPr>
        <w:t>בוולוז׳ין</w:t>
      </w:r>
      <w:proofErr w:type="spellEnd"/>
      <w:r>
        <w:rPr>
          <w:rtl/>
        </w:rPr>
        <w:t>.</w:t>
      </w:r>
    </w:p>
    <w:p w14:paraId="51CCB96A" w14:textId="77777777" w:rsidR="00AB3647" w:rsidRDefault="00000000" w:rsidP="007923E9">
      <w:pPr>
        <w:spacing w:after="120" w:line="276" w:lineRule="auto"/>
        <w:ind w:firstLine="283"/>
        <w:jc w:val="both"/>
      </w:pPr>
      <w:r>
        <w:rPr>
          <w:rtl/>
        </w:rPr>
        <w:t xml:space="preserve">* </w:t>
      </w:r>
      <w:proofErr w:type="spellStart"/>
      <w:r>
        <w:rPr>
          <w:rtl/>
        </w:rPr>
        <w:t>מיכה־יוסף</w:t>
      </w:r>
      <w:proofErr w:type="spellEnd"/>
      <w:r>
        <w:rPr>
          <w:rtl/>
        </w:rPr>
        <w:t xml:space="preserve"> ברדיצ׳בסקי, שהיה אז תלמיד, מתלונן בפיליטון</w:t>
      </w:r>
      <w:bookmarkStart w:id="5263" w:name="_fnr3935"/>
      <w:r>
        <w:rPr>
          <w:vertAlign w:val="superscript"/>
          <w:rtl/>
        </w:rPr>
        <w:footnoteReference w:id="3944" w:customMarkFollows="0"/>
      </w:r>
      <w:bookmarkEnd w:id="5263"/>
      <w:r>
        <w:rPr>
          <w:rtl/>
        </w:rPr>
        <w:t xml:space="preserve"> </w:t>
      </w:r>
      <w:proofErr w:type="spellStart"/>
      <w:r>
        <w:rPr>
          <w:rtl/>
        </w:rPr>
        <w:t>ב“המליץ</w:t>
      </w:r>
      <w:proofErr w:type="spellEnd"/>
      <w:r>
        <w:rPr>
          <w:rtl/>
        </w:rPr>
        <w:t>”</w:t>
      </w:r>
      <w:bookmarkStart w:id="5264" w:name="_fnr3936"/>
      <w:r>
        <w:rPr>
          <w:vertAlign w:val="superscript"/>
          <w:rtl/>
        </w:rPr>
        <w:footnoteReference w:id="3945" w:customMarkFollows="0"/>
      </w:r>
      <w:bookmarkEnd w:id="5264"/>
      <w:r>
        <w:rPr>
          <w:rtl/>
        </w:rPr>
        <w:t xml:space="preserve">, בשם העט “בר </w:t>
      </w:r>
      <w:proofErr w:type="spellStart"/>
      <w:r>
        <w:rPr>
          <w:rtl/>
        </w:rPr>
        <w:t>בי־רב</w:t>
      </w:r>
      <w:proofErr w:type="spellEnd"/>
      <w:r>
        <w:rPr>
          <w:rtl/>
        </w:rPr>
        <w:t xml:space="preserve">”, על מורת רוחה של הרבנית, אשת </w:t>
      </w:r>
      <w:proofErr w:type="spellStart"/>
      <w:r>
        <w:rPr>
          <w:rtl/>
        </w:rPr>
        <w:t>הנצי״ב</w:t>
      </w:r>
      <w:proofErr w:type="spellEnd"/>
      <w:r>
        <w:rPr>
          <w:rtl/>
        </w:rPr>
        <w:t xml:space="preserve">, מן המשגיח “מפני שהוא מתנהג בנחת ומדבר ברכות לבני הישיבה. אבל”, ממשיך ברדיצ׳בסקי, “[המשגיח], כחכם שעיניו רואות את הנולד, יודע שאין עוד בעלי </w:t>
      </w:r>
      <w:proofErr w:type="spellStart"/>
      <w:r>
        <w:rPr>
          <w:rtl/>
        </w:rPr>
        <w:t>אגרופין</w:t>
      </w:r>
      <w:proofErr w:type="spellEnd"/>
      <w:r>
        <w:rPr>
          <w:rtl/>
        </w:rPr>
        <w:t xml:space="preserve"> של בית דוד,</w:t>
      </w:r>
      <w:bookmarkStart w:id="5265" w:name="_fnr3937"/>
      <w:r>
        <w:rPr>
          <w:vertAlign w:val="superscript"/>
          <w:rtl/>
        </w:rPr>
        <w:footnoteReference w:id="3946" w:customMarkFollows="0"/>
      </w:r>
      <w:bookmarkEnd w:id="5265"/>
      <w:r>
        <w:rPr>
          <w:rtl/>
        </w:rPr>
        <w:t xml:space="preserve"> תלמידים תקיפים ומסורים לראש הישיבה.</w:t>
      </w:r>
      <w:bookmarkStart w:id="5266" w:name="_fnr3938"/>
      <w:r>
        <w:rPr>
          <w:vertAlign w:val="superscript"/>
          <w:rtl/>
        </w:rPr>
        <w:footnoteReference w:id="3947" w:customMarkFollows="0"/>
      </w:r>
      <w:bookmarkEnd w:id="5266"/>
      <w:r>
        <w:rPr>
          <w:rtl/>
        </w:rPr>
        <w:t xml:space="preserve"> יתר על כן... די לו לראות את העבר, מה קרה למשגיח שקדם לו, ש... פריצי הישיבה הכוהו”. הכותב מוסיף בלעג, בסוגריים: “כי גם בישיבה יש פריצים!”</w:t>
      </w:r>
    </w:p>
    <w:p w14:paraId="35F2050E" w14:textId="77777777" w:rsidR="00AB3647" w:rsidRDefault="00000000" w:rsidP="007923E9">
      <w:pPr>
        <w:spacing w:after="120" w:line="276" w:lineRule="auto"/>
        <w:ind w:firstLine="283"/>
        <w:jc w:val="both"/>
      </w:pPr>
      <w:r>
        <w:rPr>
          <w:rtl/>
        </w:rPr>
        <w:t xml:space="preserve">ראה גם מאמר מאת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“מרכזי התורה”, </w:t>
      </w:r>
      <w:proofErr w:type="spellStart"/>
      <w:r>
        <w:rPr>
          <w:rtl/>
        </w:rPr>
        <w:t>ב“יהדות</w:t>
      </w:r>
      <w:proofErr w:type="spellEnd"/>
      <w:r>
        <w:rPr>
          <w:rtl/>
        </w:rPr>
        <w:t xml:space="preserve"> ליטא”, כרך א׳,</w:t>
      </w:r>
      <w:bookmarkStart w:id="5267" w:name="_fnr3939"/>
      <w:r>
        <w:rPr>
          <w:vertAlign w:val="superscript"/>
          <w:rtl/>
        </w:rPr>
        <w:footnoteReference w:id="3948" w:customMarkFollows="0"/>
      </w:r>
      <w:bookmarkEnd w:id="5267"/>
      <w:r>
        <w:rPr>
          <w:rtl/>
        </w:rPr>
        <w:t xml:space="preserve"> המתאר את המאורעות שהביאו לאספת הרבנים </w:t>
      </w:r>
      <w:proofErr w:type="spellStart"/>
      <w:r>
        <w:rPr>
          <w:rtl/>
        </w:rPr>
        <w:t>בתרמ״ז</w:t>
      </w:r>
      <w:proofErr w:type="spellEnd"/>
      <w:r>
        <w:rPr>
          <w:rtl/>
        </w:rPr>
        <w:t>.</w:t>
      </w:r>
      <w:bookmarkStart w:id="5268" w:name="_fnr3940"/>
      <w:r>
        <w:rPr>
          <w:vertAlign w:val="superscript"/>
          <w:rtl/>
        </w:rPr>
        <w:footnoteReference w:id="3949" w:customMarkFollows="0"/>
      </w:r>
      <w:bookmarkEnd w:id="5268"/>
      <w:r>
        <w:rPr>
          <w:rtl/>
        </w:rPr>
        <w:t xml:space="preserve"> באספה זו נאלצו גדולי הרבנים ברוסיה, ובהם ר׳ </w:t>
      </w:r>
      <w:proofErr w:type="spellStart"/>
      <w:r>
        <w:rPr>
          <w:rtl/>
        </w:rPr>
        <w:t>יצחק־אלחנן</w:t>
      </w:r>
      <w:proofErr w:type="spellEnd"/>
      <w:r>
        <w:rPr>
          <w:rtl/>
        </w:rPr>
        <w:t xml:space="preserve"> </w:t>
      </w:r>
      <w:proofErr w:type="spellStart"/>
      <w:r>
        <w:rPr>
          <w:rtl/>
        </w:rPr>
        <w:t>ספקטור</w:t>
      </w:r>
      <w:proofErr w:type="spellEnd"/>
      <w:r>
        <w:rPr>
          <w:rtl/>
        </w:rPr>
        <w:t xml:space="preserve">, ר׳ יוסף־דב </w:t>
      </w:r>
      <w:proofErr w:type="spellStart"/>
      <w:r>
        <w:rPr>
          <w:rtl/>
        </w:rPr>
        <w:t>סולובייצ׳יק</w:t>
      </w:r>
      <w:proofErr w:type="spellEnd"/>
      <w:r>
        <w:rPr>
          <w:rtl/>
        </w:rPr>
        <w:t xml:space="preserve">, ר׳ </w:t>
      </w:r>
      <w:proofErr w:type="spellStart"/>
      <w:r>
        <w:rPr>
          <w:rtl/>
        </w:rPr>
        <w:t>אליהו־חיים</w:t>
      </w:r>
      <w:proofErr w:type="spellEnd"/>
      <w:r>
        <w:rPr>
          <w:rtl/>
        </w:rPr>
        <w:t xml:space="preserve"> </w:t>
      </w:r>
      <w:proofErr w:type="spellStart"/>
      <w:r>
        <w:rPr>
          <w:rtl/>
        </w:rPr>
        <w:t>מייזל</w:t>
      </w:r>
      <w:proofErr w:type="spellEnd"/>
      <w:r>
        <w:rPr>
          <w:rtl/>
        </w:rPr>
        <w:t xml:space="preserve">, ר׳ </w:t>
      </w:r>
      <w:proofErr w:type="spellStart"/>
      <w:r>
        <w:rPr>
          <w:rtl/>
        </w:rPr>
        <w:t>צבי־הירש</w:t>
      </w:r>
      <w:proofErr w:type="spellEnd"/>
      <w:r>
        <w:rPr>
          <w:rtl/>
        </w:rPr>
        <w:t xml:space="preserve"> </w:t>
      </w:r>
      <w:proofErr w:type="spellStart"/>
      <w:r>
        <w:rPr>
          <w:rtl/>
        </w:rPr>
        <w:t>רבינוביץ</w:t>
      </w:r>
      <w:proofErr w:type="spellEnd"/>
      <w:r>
        <w:rPr>
          <w:rtl/>
        </w:rPr>
        <w:t xml:space="preserve">, ר׳ הלל </w:t>
      </w:r>
      <w:proofErr w:type="spellStart"/>
      <w:r>
        <w:rPr>
          <w:rtl/>
        </w:rPr>
        <w:t>מיליקובסקי</w:t>
      </w:r>
      <w:proofErr w:type="spellEnd"/>
      <w:r>
        <w:rPr>
          <w:rtl/>
        </w:rPr>
        <w:t xml:space="preserve">, ר׳ </w:t>
      </w:r>
      <w:proofErr w:type="spellStart"/>
      <w:r>
        <w:rPr>
          <w:rtl/>
        </w:rPr>
        <w:t xml:space="preserve">ליפל׳ה</w:t>
      </w:r>
      <w:proofErr w:type="spellEnd"/>
      <w:r>
        <w:rPr>
          <w:rtl/>
        </w:rPr>
        <w:t xml:space="preserve"> </w:t>
      </w:r>
      <w:proofErr w:type="spellStart"/>
      <w:r>
        <w:rPr>
          <w:rtl/>
        </w:rPr>
        <w:t>בסלבסקי</w:t>
      </w:r>
      <w:proofErr w:type="spellEnd"/>
      <w:r>
        <w:rPr>
          <w:rtl/>
        </w:rPr>
        <w:t xml:space="preserve"> ממיר ור׳ </w:t>
      </w:r>
      <w:proofErr w:type="spellStart"/>
      <w:r>
        <w:rPr>
          <w:rtl/>
        </w:rPr>
        <w:t>יצחק־יעקב</w:t>
      </w:r>
      <w:proofErr w:type="spellEnd"/>
      <w:r>
        <w:rPr>
          <w:rtl/>
        </w:rPr>
        <w:t xml:space="preserve"> ריינס, לחתום על הסכמתם להכניס לימודי חול מסוימים לישיבת </w:t>
      </w:r>
      <w:proofErr w:type="spellStart"/>
      <w:r>
        <w:rPr>
          <w:rtl/>
        </w:rPr>
        <w:t>וולוז׳ין</w:t>
      </w:r>
      <w:proofErr w:type="spellEnd"/>
      <w:r>
        <w:rPr>
          <w:rtl/>
        </w:rPr>
        <w:t>.</w:t>
      </w:r>
      <w:bookmarkStart w:id="5269" w:name="_fnr3941"/>
      <w:r>
        <w:rPr>
          <w:vertAlign w:val="superscript"/>
          <w:rtl/>
        </w:rPr>
        <w:footnoteReference w:id="3950" w:customMarkFollows="0"/>
      </w:r>
      <w:bookmarkEnd w:id="5269"/>
    </w:p>
    <w:p w14:paraId="20B8B2FE" w14:textId="77777777" w:rsidR="00AB3647" w:rsidRDefault="00000000" w:rsidP="007923E9">
      <w:pPr>
        <w:spacing w:after="120" w:line="276" w:lineRule="auto"/>
        <w:ind w:firstLine="283"/>
        <w:jc w:val="both"/>
      </w:pPr>
      <w:proofErr w:type="spellStart"/>
      <w:r>
        <w:rPr>
          <w:rtl/>
        </w:rPr>
        <w:t>ביאלובלוצקי</w:t>
      </w:r>
      <w:proofErr w:type="spellEnd"/>
      <w:r>
        <w:rPr>
          <w:rtl/>
        </w:rPr>
        <w:t xml:space="preserve"> כותב: “כל עוד נעשתה החתירה [</w:t>
      </w:r>
      <w:proofErr w:type="spellStart"/>
      <w:r>
        <w:rPr>
          <w:rtl/>
        </w:rPr>
        <w:t>בוולוז׳ין</w:t>
      </w:r>
      <w:proofErr w:type="spellEnd"/>
      <w:r>
        <w:rPr>
          <w:rtl/>
        </w:rPr>
        <w:t xml:space="preserve">] מבחוץ בלבד, אפשר היה להערים על השלטון. אבל כשנמצאו בין הבחורים עצמם תומכי המשכילים במלחמתם לשינויים בישיבה, נעשו הדברים קשים. אכן, הם היו מעטים והשפעתם לא הייתה חשובה במיוחד, אבל למשכילים היה על מי לסמוך [כדי לערער את הישיבה מבפנים].” זה היה המצב המצער </w:t>
      </w:r>
      <w:proofErr w:type="spellStart"/>
      <w:r>
        <w:rPr>
          <w:rtl/>
        </w:rPr>
        <w:t>בוולוז׳ין</w:t>
      </w:r>
      <w:proofErr w:type="spellEnd"/>
      <w:r>
        <w:rPr>
          <w:rtl/>
        </w:rPr>
        <w:t xml:space="preserve"> באמצע שנות </w:t>
      </w:r>
      <w:proofErr w:type="spellStart"/>
      <w:r>
        <w:rPr>
          <w:rtl/>
        </w:rPr>
        <w:t xml:space="preserve">התר״מ</w:t>
      </w:r>
      <w:proofErr w:type="spellEnd"/>
      <w:r>
        <w:rPr>
          <w:rtl/>
        </w:rPr>
        <w:t xml:space="preserve"> ובסופן.</w:t>
      </w:r>
    </w:p>
    <w:p w14:paraId="68B789FF" w14:textId="77777777" w:rsidR="00AB3647" w:rsidRDefault="00000000" w:rsidP="007923E9">
      <w:pPr>
        <w:spacing w:after="120" w:line="276" w:lineRule="auto"/>
        <w:ind w:firstLine="283"/>
        <w:jc w:val="both"/>
      </w:pPr>
      <w:r>
        <w:rPr>
          <w:rtl/>
        </w:rPr>
        <w:t xml:space="preserve">* בנאום פומבי בחגיגת יום הולדתו השישים של </w:t>
      </w:r>
      <w:proofErr w:type="spellStart"/>
      <w:r>
        <w:rPr>
          <w:rtl/>
        </w:rPr>
        <w:t>א״מ</w:t>
      </w:r>
      <w:proofErr w:type="spellEnd"/>
      <w:r>
        <w:rPr>
          <w:rtl/>
        </w:rPr>
        <w:t xml:space="preserve"> ברכיהו באדר </w:t>
      </w:r>
      <w:proofErr w:type="spellStart"/>
      <w:r>
        <w:rPr>
          <w:rtl/>
        </w:rPr>
        <w:t>תר״ץ</w:t>
      </w:r>
      <w:proofErr w:type="spellEnd"/>
      <w:r>
        <w:rPr>
          <w:rtl/>
        </w:rPr>
        <w:t xml:space="preserve">, כפי שנרשם </w:t>
      </w:r>
      <w:proofErr w:type="spellStart"/>
      <w:r>
        <w:rPr>
          <w:rtl/>
        </w:rPr>
        <w:t>ב“דברים</w:t>
      </w:r>
      <w:proofErr w:type="spellEnd"/>
      <w:r>
        <w:rPr>
          <w:rtl/>
        </w:rPr>
        <w:t xml:space="preserve"> שבעל פה”, כרך ב׳,</w:t>
      </w:r>
      <w:bookmarkStart w:id="5270" w:name="_fnr3942"/>
      <w:r>
        <w:rPr>
          <w:vertAlign w:val="superscript"/>
          <w:rtl/>
        </w:rPr>
        <w:footnoteReference w:id="3951" w:customMarkFollows="0"/>
      </w:r>
      <w:bookmarkEnd w:id="5270"/>
      <w:r>
        <w:rPr>
          <w:rtl/>
        </w:rPr>
        <w:t xml:space="preserve"> תיאר </w:t>
      </w:r>
      <w:proofErr w:type="spellStart"/>
      <w:r>
        <w:rPr>
          <w:rtl/>
        </w:rPr>
        <w:t>חיים־נחמן</w:t>
      </w:r>
      <w:proofErr w:type="spellEnd"/>
      <w:r>
        <w:rPr>
          <w:rtl/>
        </w:rPr>
        <w:t xml:space="preserve"> ביאליק את שיעוריו החריפים של ר׳ חיים </w:t>
      </w:r>
      <w:proofErr w:type="spellStart"/>
      <w:r>
        <w:rPr>
          <w:rtl/>
        </w:rPr>
        <w:t>סולובייצ׳יק</w:t>
      </w:r>
      <w:proofErr w:type="spellEnd"/>
      <w:r>
        <w:rPr>
          <w:rtl/>
        </w:rPr>
        <w:t xml:space="preserve"> </w:t>
      </w:r>
      <w:proofErr w:type="spellStart"/>
      <w:r>
        <w:rPr>
          <w:rtl/>
        </w:rPr>
        <w:t>בוולוז׳ין</w:t>
      </w:r>
      <w:proofErr w:type="spellEnd"/>
      <w:r>
        <w:rPr>
          <w:rtl/>
        </w:rPr>
        <w:t xml:space="preserve"> והוסיף: “המאורעות התגלגלו כך שחלק גדול (ההדגשה שלי) מן התלמידים יצאו ופנו לתחומים אחרים. הם הביאו עמם כלי עבודה מוכנים – שכל מחודד ואזמלים שהושחזו במשך מאות שנים – והשתמשו בהם לחומר חדש.” על השתתפותו שלו בשיעורים העיר ביאליק שהוא “השתמט ולא שמע לא את זה </w:t>
      </w:r>
      <w:proofErr w:type="spellStart"/>
      <w:r>
        <w:rPr>
          <w:rtl/>
        </w:rPr>
        <w:t>הנצי״ב</w:t>
      </w:r>
      <w:proofErr w:type="spellEnd"/>
      <w:r>
        <w:rPr>
          <w:rtl/>
        </w:rPr>
        <w:t xml:space="preserve"> ולא את זה ר׳ חיים”.</w:t>
      </w:r>
    </w:p>
    <w:p w14:paraId="6435DFAA" w14:textId="77777777" w:rsidR="00AB3647" w:rsidRDefault="00000000" w:rsidP="007923E9">
      <w:pPr>
        <w:spacing w:after="120" w:line="276" w:lineRule="auto"/>
        <w:ind w:firstLine="283"/>
        <w:jc w:val="both"/>
      </w:pPr>
      <w:r>
        <w:rPr>
          <w:rtl/>
        </w:rPr>
        <w:lastRenderedPageBreak/>
        <w:t>כרך א׳ של “אגרות חיים נחמן ביאליק”</w:t>
      </w:r>
      <w:bookmarkStart w:id="5271" w:name="_fnr3943"/>
      <w:r>
        <w:rPr>
          <w:vertAlign w:val="superscript"/>
          <w:rtl/>
        </w:rPr>
        <w:footnoteReference w:id="3952" w:customMarkFollows="0"/>
      </w:r>
      <w:bookmarkEnd w:id="5271"/>
      <w:r>
        <w:rPr>
          <w:rtl/>
        </w:rPr>
        <w:t xml:space="preserve"> מביא מכתב ובו “ראשי פרקים אוטוביוגרפיים” ששלח ביאליק לד״ר יוסף </w:t>
      </w:r>
      <w:proofErr w:type="spellStart"/>
      <w:r>
        <w:rPr>
          <w:rtl/>
        </w:rPr>
        <w:t>קלוזנר</w:t>
      </w:r>
      <w:proofErr w:type="spellEnd"/>
      <w:r>
        <w:rPr>
          <w:rtl/>
        </w:rPr>
        <w:t>: “אגודה לאומית ‘חשאית’ נוסדה [בישיבה] מן המובחרים שבתלמידים, ‘</w:t>
      </w:r>
      <w:proofErr w:type="spellStart"/>
      <w:r>
        <w:rPr>
          <w:rtl/>
        </w:rPr>
        <w:t>מסלתה</w:t>
      </w:r>
      <w:proofErr w:type="spellEnd"/>
      <w:r>
        <w:rPr>
          <w:rtl/>
        </w:rPr>
        <w:t xml:space="preserve"> ומשמנה’ (ההדגשה שלי), ולה תוכנית ‘רחבה ועשירה’, דגם מוקטן של תוכנית בני משה – אף שלא שמענו על אגודת בני משה. באגודתנו ניכרו שני זרמים לאומיים: אחד העם </w:t>
      </w:r>
      <w:proofErr w:type="spellStart"/>
      <w:r>
        <w:rPr>
          <w:rtl/>
        </w:rPr>
        <w:t>ויעבץ</w:t>
      </w:r>
      <w:proofErr w:type="spellEnd"/>
      <w:r>
        <w:rPr>
          <w:rtl/>
        </w:rPr>
        <w:t>.” מיותר להוסיף שלא היה מקום לאגודה “חשאית” זו</w:t>
      </w:r>
      <w:bookmarkStart w:id="5272" w:name="_fnr3944"/>
      <w:r>
        <w:rPr>
          <w:vertAlign w:val="superscript"/>
          <w:rtl/>
        </w:rPr>
        <w:footnoteReference w:id="3953" w:customMarkFollows="0"/>
      </w:r>
      <w:bookmarkEnd w:id="5272"/>
      <w:r>
        <w:rPr>
          <w:rtl/>
        </w:rPr>
        <w:t xml:space="preserve"> בישיבה “בריאה”.</w:t>
      </w:r>
    </w:p>
    <w:p w14:paraId="01D26968" w14:textId="77777777" w:rsidR="00AB3647" w:rsidRDefault="00000000" w:rsidP="007923E9">
      <w:pPr>
        <w:spacing w:after="120" w:line="276" w:lineRule="auto"/>
        <w:ind w:firstLine="283"/>
        <w:jc w:val="both"/>
      </w:pPr>
      <w:proofErr w:type="spellStart"/>
      <w:r>
        <w:rPr>
          <w:rtl/>
        </w:rPr>
        <w:t>חיים־נחמן</w:t>
      </w:r>
      <w:proofErr w:type="spellEnd"/>
      <w:r>
        <w:rPr>
          <w:rtl/>
        </w:rPr>
        <w:t xml:space="preserve"> ביאליק, שנודע בישיבת </w:t>
      </w:r>
      <w:proofErr w:type="spellStart"/>
      <w:r>
        <w:rPr>
          <w:rtl/>
        </w:rPr>
        <w:t>וולוז׳ין</w:t>
      </w:r>
      <w:proofErr w:type="spellEnd"/>
      <w:r>
        <w:rPr>
          <w:rtl/>
        </w:rPr>
        <w:t xml:space="preserve"> בשם “חיים </w:t>
      </w:r>
      <w:proofErr w:type="spellStart"/>
      <w:r>
        <w:rPr>
          <w:rtl/>
        </w:rPr>
        <w:t>ז׳יטומירר</w:t>
      </w:r>
      <w:proofErr w:type="spellEnd"/>
      <w:r>
        <w:rPr>
          <w:rtl/>
        </w:rPr>
        <w:t xml:space="preserve">”, למד שם שנה וחצי בשנים </w:t>
      </w:r>
      <w:proofErr w:type="spellStart"/>
      <w:r>
        <w:rPr>
          <w:rtl/>
        </w:rPr>
        <w:t>תר״ן</w:t>
      </w:r>
      <w:proofErr w:type="spellEnd"/>
      <w:r>
        <w:rPr>
          <w:rtl/>
        </w:rPr>
        <w:t xml:space="preserve">–תרנ״א, שנותיה האחרונות של כהונת ר׳ חיים </w:t>
      </w:r>
      <w:proofErr w:type="spellStart"/>
      <w:r>
        <w:rPr>
          <w:rtl/>
        </w:rPr>
        <w:t>סולובייצ׳יק</w:t>
      </w:r>
      <w:proofErr w:type="spellEnd"/>
      <w:r>
        <w:rPr>
          <w:rtl/>
        </w:rPr>
        <w:t xml:space="preserve"> ושל קיום הישיבה.</w:t>
      </w:r>
    </w:p>
    <w:p w14:paraId="00227CCC" w14:textId="77777777" w:rsidR="00AB3647" w:rsidRDefault="00000000" w:rsidP="007923E9">
      <w:pPr>
        <w:spacing w:after="120" w:line="276" w:lineRule="auto"/>
        <w:ind w:firstLine="283"/>
        <w:jc w:val="both"/>
      </w:pPr>
      <w:r>
        <w:rPr>
          <w:rtl/>
        </w:rPr>
        <w:t xml:space="preserve">* בפרק המתאר את סגירת הישיבה </w:t>
      </w:r>
      <w:proofErr w:type="spellStart"/>
      <w:r>
        <w:rPr>
          <w:rtl/>
        </w:rPr>
        <w:t>ב“מוולוז׳ין</w:t>
      </w:r>
      <w:proofErr w:type="spellEnd"/>
      <w:r>
        <w:rPr>
          <w:rtl/>
        </w:rPr>
        <w:t>”</w:t>
      </w:r>
      <w:bookmarkStart w:id="5273" w:name="_fnr3945"/>
      <w:r>
        <w:rPr>
          <w:vertAlign w:val="superscript"/>
          <w:rtl/>
        </w:rPr>
        <w:footnoteReference w:id="3954" w:customMarkFollows="0"/>
      </w:r>
      <w:bookmarkEnd w:id="5273"/>
      <w:r>
        <w:rPr>
          <w:rtl/>
        </w:rPr>
        <w:t xml:space="preserve"> כותב בנו הצעיר של </w:t>
      </w:r>
      <w:proofErr w:type="spellStart"/>
      <w:r>
        <w:rPr>
          <w:rtl/>
        </w:rPr>
        <w:t>הנצי״ב</w:t>
      </w:r>
      <w:proofErr w:type="spellEnd"/>
      <w:r>
        <w:rPr>
          <w:rtl/>
        </w:rPr>
        <w:t>, ר׳ מאיר ברלין: “אחד או שניים מבני הישיבה, ‘</w:t>
      </w:r>
      <w:proofErr w:type="spellStart"/>
      <w:r>
        <w:rPr>
          <w:rtl/>
        </w:rPr>
        <w:t>ישיבה־לייט</w:t>
      </w:r>
      <w:proofErr w:type="spellEnd"/>
      <w:r>
        <w:rPr>
          <w:rtl/>
        </w:rPr>
        <w:t xml:space="preserve"> מרשיעי ברית’,</w:t>
      </w:r>
      <w:bookmarkStart w:id="5274" w:name="_fnr3946"/>
      <w:r>
        <w:rPr>
          <w:vertAlign w:val="superscript"/>
          <w:rtl/>
        </w:rPr>
        <w:footnoteReference w:id="3955" w:customMarkFollows="0"/>
      </w:r>
      <w:bookmarkEnd w:id="5274"/>
      <w:r>
        <w:rPr>
          <w:rtl/>
        </w:rPr>
        <w:t xml:space="preserve"> שביקשו להחריב את הישיבה (ההדגשה שלי), ניהלו חליפת מכתבים עם [יהושע] שטיינברג” – משכיל שליווה אחר כך את מפקח בתי הספר הרוסי מווילנה, בירת הפלך, </w:t>
      </w:r>
      <w:proofErr w:type="spellStart"/>
      <w:r>
        <w:rPr>
          <w:rtl/>
        </w:rPr>
        <w:t>לוולוז׳ין</w:t>
      </w:r>
      <w:proofErr w:type="spellEnd"/>
      <w:r>
        <w:rPr>
          <w:rtl/>
        </w:rPr>
        <w:t xml:space="preserve">, לפשיטה פתאומית על הישיבה – “לפני בואו </w:t>
      </w:r>
      <w:proofErr w:type="spellStart"/>
      <w:r>
        <w:rPr>
          <w:rtl/>
        </w:rPr>
        <w:t>לוולוז׳ין</w:t>
      </w:r>
      <w:proofErr w:type="spellEnd"/>
      <w:r>
        <w:rPr>
          <w:rtl/>
        </w:rPr>
        <w:t>; וגם בזמן שהותו שם קיימו עמו שיחות חשאיות”. אחרי שהוא מתאר כיצד זימן המפקח כל תלמיד ותלמיד ביחידות, מגלה ר׳ מאיר ברלין, שם,</w:t>
      </w:r>
      <w:bookmarkStart w:id="5275" w:name="_fnr3947"/>
      <w:r>
        <w:rPr>
          <w:vertAlign w:val="superscript"/>
          <w:rtl/>
        </w:rPr>
        <w:footnoteReference w:id="3956" w:customMarkFollows="0"/>
      </w:r>
      <w:bookmarkEnd w:id="5275"/>
      <w:r>
        <w:rPr>
          <w:rtl/>
        </w:rPr>
        <w:t xml:space="preserve"> מה הטריד את ההנהלה: “מי יודע מה סיפרו [למפקח] כמה מבני הישיבה מתוך כוונה רעה?! לצערנו היו אז כאלה [שדיברו סרה].”</w:t>
      </w:r>
    </w:p>
    <w:p w14:paraId="461A5290" w14:textId="77777777" w:rsidR="00AB3647" w:rsidRDefault="00000000" w:rsidP="007923E9">
      <w:pPr>
        <w:spacing w:after="120" w:line="276" w:lineRule="auto"/>
        <w:ind w:firstLine="283"/>
        <w:jc w:val="both"/>
      </w:pPr>
      <w:r>
        <w:rPr>
          <w:rtl/>
        </w:rPr>
        <w:t>ראה גם “ר׳ משה שמואל ודורו”,</w:t>
      </w:r>
      <w:bookmarkStart w:id="5276" w:name="_fnr3948"/>
      <w:r>
        <w:rPr>
          <w:vertAlign w:val="superscript"/>
          <w:rtl/>
        </w:rPr>
        <w:footnoteReference w:id="3957" w:customMarkFollows="0"/>
      </w:r>
      <w:bookmarkEnd w:id="5276"/>
      <w:r>
        <w:rPr>
          <w:rtl/>
        </w:rPr>
        <w:t xml:space="preserve"> הנוקב בשם העיר שממנה בא אחד ממשתפי הפעולה של שטיינברג. העובדה שישיבת </w:t>
      </w:r>
      <w:proofErr w:type="spellStart"/>
      <w:r>
        <w:rPr>
          <w:rtl/>
        </w:rPr>
        <w:t>וולוז׳ין</w:t>
      </w:r>
      <w:proofErr w:type="spellEnd"/>
      <w:r>
        <w:rPr>
          <w:rtl/>
        </w:rPr>
        <w:t xml:space="preserve"> הייתה נתונה לפעולתו של גיס חמישי עשויה להסביר מדוע נרדפה בידי השלטון הרוסי, בעוד ישיבת </w:t>
      </w:r>
      <w:proofErr w:type="spellStart"/>
      <w:r>
        <w:rPr>
          <w:rtl/>
        </w:rPr>
        <w:t>סלבודקה</w:t>
      </w:r>
      <w:proofErr w:type="spellEnd"/>
      <w:r>
        <w:rPr>
          <w:rtl/>
        </w:rPr>
        <w:t>, שלמדו בה עשרות רבות של תלמידים, יכלה להמשיך לפעול בלי הפרעה.</w:t>
      </w:r>
      <w:bookmarkStart w:id="5277" w:name="_fnr3949"/>
      <w:r>
        <w:rPr>
          <w:vertAlign w:val="superscript"/>
          <w:rtl/>
        </w:rPr>
        <w:footnoteReference w:id="3958" w:customMarkFollows="0"/>
      </w:r>
      <w:bookmarkEnd w:id="5277"/>
      <w:r>
        <w:rPr>
          <w:rtl/>
        </w:rPr>
        <w:t xml:space="preserve"> ראה גם “אכסניות”,</w:t>
      </w:r>
      <w:bookmarkStart w:id="5278" w:name="_fnr3950"/>
      <w:r>
        <w:rPr>
          <w:vertAlign w:val="superscript"/>
          <w:rtl/>
        </w:rPr>
        <w:footnoteReference w:id="3959" w:customMarkFollows="0"/>
      </w:r>
      <w:bookmarkEnd w:id="5278"/>
      <w:r>
        <w:rPr>
          <w:rtl/>
        </w:rPr>
        <w:t xml:space="preserve"> המתפלא “מדוע הכותבים בכתבי העת דנים </w:t>
      </w:r>
      <w:proofErr w:type="spellStart"/>
      <w:r>
        <w:rPr>
          <w:rtl/>
        </w:rPr>
        <w:t>בוולוז׳ין</w:t>
      </w:r>
      <w:proofErr w:type="spellEnd"/>
      <w:r>
        <w:rPr>
          <w:rtl/>
        </w:rPr>
        <w:t xml:space="preserve"> ועוברים כמעט בשתיקה על ישיבת קובנה, ‘ולא שדו ביה </w:t>
      </w:r>
      <w:proofErr w:type="spellStart"/>
      <w:r>
        <w:rPr>
          <w:rtl/>
        </w:rPr>
        <w:t>נרגא</w:t>
      </w:r>
      <w:proofErr w:type="spellEnd"/>
      <w:r>
        <w:rPr>
          <w:rtl/>
        </w:rPr>
        <w:t>’.</w:t>
      </w:r>
      <w:bookmarkStart w:id="5279" w:name="_fnr3951"/>
      <w:r>
        <w:rPr>
          <w:vertAlign w:val="superscript"/>
          <w:rtl/>
        </w:rPr>
        <w:footnoteReference w:id="3960" w:customMarkFollows="0"/>
      </w:r>
      <w:bookmarkEnd w:id="5279"/>
      <w:r>
        <w:rPr>
          <w:rtl/>
        </w:rPr>
        <w:t xml:space="preserve">” עד כמה חולים היו אותם מחבואים טחובים בהיכלה הנכבד של </w:t>
      </w:r>
      <w:proofErr w:type="spellStart"/>
      <w:r>
        <w:rPr>
          <w:rtl/>
        </w:rPr>
        <w:t>וולוז׳ין</w:t>
      </w:r>
      <w:proofErr w:type="spellEnd"/>
      <w:r>
        <w:rPr>
          <w:rtl/>
        </w:rPr>
        <w:t>, שגידלו אנשים מרושעים כל כך, המסייעים להחרבת ביתם הרוחני שלהם!</w:t>
      </w:r>
    </w:p>
    <w:p w14:paraId="7ADE2E7A" w14:textId="77777777" w:rsidR="00AB3647" w:rsidRDefault="00000000" w:rsidP="007923E9">
      <w:pPr>
        <w:pStyle w:val="4"/>
        <w:spacing w:line="276" w:lineRule="auto"/>
      </w:pPr>
      <w:r>
        <w:lastRenderedPageBreak/>
        <w:t>· הפסקה השלישית ·</w:t>
      </w:r>
    </w:p>
    <w:p w14:paraId="38A9FBE7" w14:textId="77777777" w:rsidR="00AB3647" w:rsidRDefault="00000000" w:rsidP="007923E9">
      <w:pPr>
        <w:pStyle w:val="5"/>
        <w:spacing w:line="276" w:lineRule="auto"/>
      </w:pPr>
      <w:r>
        <w:rPr>
          <w:bCs/>
          <w:szCs w:val="26"/>
        </w:rPr>
        <w:t xml:space="preserve">ייתכן שר׳ חיים </w:t>
      </w:r>
      <w:proofErr w:type="spellStart"/>
      <w:r>
        <w:rPr>
          <w:bCs/>
          <w:szCs w:val="26"/>
        </w:rPr>
        <w:t>סולובייצ׳יק</w:t>
      </w:r>
      <w:proofErr w:type="spellEnd"/>
      <w:r>
        <w:rPr>
          <w:bCs/>
          <w:szCs w:val="26"/>
        </w:rPr>
        <w:t xml:space="preserve"> ראה את התלמידים המקולקלים כמי שאינם ניתנים לתיקון; תגובתו החיובית הראשונה של </w:t>
      </w:r>
      <w:proofErr w:type="spellStart"/>
      <w:r>
        <w:rPr>
          <w:bCs/>
          <w:szCs w:val="26"/>
        </w:rPr>
        <w:t>חיים־נחמן</w:t>
      </w:r>
      <w:proofErr w:type="spellEnd"/>
      <w:r>
        <w:rPr>
          <w:bCs/>
          <w:szCs w:val="26"/>
        </w:rPr>
        <w:t xml:space="preserve"> ביאליק לישיבה; מתוך התלהבותו הוא מחליט להקדיש את חייו לתורה; הוא נסוג, אך מבטיח שלא לתקוף לעולם את הישיבות; </w:t>
      </w:r>
      <w:proofErr w:type="spellStart"/>
      <w:r>
        <w:rPr>
          <w:bCs/>
          <w:szCs w:val="26"/>
        </w:rPr>
        <w:t>התעוררויותיו</w:t>
      </w:r>
      <w:proofErr w:type="spellEnd"/>
      <w:r>
        <w:rPr>
          <w:bCs/>
          <w:szCs w:val="26"/>
        </w:rPr>
        <w:t xml:space="preserve"> הדתיות בשנים מאוחרות; ר׳ חיים מקבל שש שנות “</w:t>
      </w:r>
      <w:proofErr w:type="spellStart"/>
      <w:r>
        <w:rPr>
          <w:bCs/>
          <w:szCs w:val="26"/>
        </w:rPr>
        <w:t>קעסט</w:t>
      </w:r>
      <w:proofErr w:type="spellEnd"/>
      <w:r>
        <w:rPr>
          <w:bCs/>
          <w:szCs w:val="26"/>
        </w:rPr>
        <w:t>” כפי שהובטח לו.</w:t>
      </w:r>
    </w:p>
    <w:p w14:paraId="6C3190E0" w14:textId="77777777" w:rsidR="00AB3647" w:rsidRDefault="00000000" w:rsidP="007923E9">
      <w:pPr>
        <w:spacing w:after="120" w:line="276" w:lineRule="auto"/>
        <w:ind w:firstLine="283"/>
        <w:jc w:val="both"/>
      </w:pPr>
      <w:r>
        <w:rPr>
          <w:rtl/>
        </w:rPr>
        <w:t>כבר “פולמוס”</w:t>
      </w:r>
      <w:bookmarkStart w:id="5280" w:name="_fnr3952"/>
      <w:r>
        <w:rPr>
          <w:vertAlign w:val="superscript"/>
          <w:rtl/>
        </w:rPr>
        <w:footnoteReference w:id="3961" w:customMarkFollows="0"/>
      </w:r>
      <w:bookmarkEnd w:id="5280"/>
      <w:r>
        <w:rPr>
          <w:rtl/>
        </w:rPr>
        <w:t xml:space="preserve"> תמה על דחייתו הנחרצת של ר׳ חיים את ר׳ </w:t>
      </w:r>
      <w:proofErr w:type="spellStart"/>
      <w:r>
        <w:rPr>
          <w:rtl/>
        </w:rPr>
        <w:t>איצל׳ה</w:t>
      </w:r>
      <w:proofErr w:type="spellEnd"/>
      <w:r>
        <w:rPr>
          <w:rtl/>
        </w:rPr>
        <w:t xml:space="preserve"> ועל הערכתו הגורפת את בריאותה הרוחנית של הישיבה: “אנו </w:t>
      </w:r>
      <w:proofErr w:type="spellStart"/>
      <w:r>
        <w:rPr>
          <w:rtl/>
        </w:rPr>
        <w:t>בוולוז׳ין</w:t>
      </w:r>
      <w:proofErr w:type="spellEnd"/>
      <w:r>
        <w:rPr>
          <w:rtl/>
        </w:rPr>
        <w:t xml:space="preserve"> איננו חולים”. וכך נאמר שם: “רבים השתוממו על תשובת ר׳ חיים, שבתמימותו וצדקותו המופרזות לא הכיר את מצבה הרוחני של ישיבתו וחשב את תלמידיה לבריאים ברוח ובנפש”. אבל את ההסבר שר׳ חיים טעה מתוך תמימות אפשר לדחות,</w:t>
      </w:r>
      <w:bookmarkStart w:id="5281" w:name="_fnr3953"/>
      <w:bookmarkStart w:id="5282" w:name="pr_f_3840"/>
      <w:r>
        <w:rPr>
          <w:vertAlign w:val="superscript"/>
          <w:rtl/>
        </w:rPr>
        <w:footnoteReference w:id="3962" w:customMarkFollows="0"/>
      </w:r>
      <w:bookmarkEnd w:id="5281"/>
      <w:bookmarkEnd w:id="5282"/>
      <w:r>
        <w:rPr>
          <w:rtl/>
        </w:rPr>
        <w:t xml:space="preserve"> שכן הוא היה רחוק מתמימות, כפי שיתבאר בפסקה החמישית להלן.</w:t>
      </w:r>
    </w:p>
    <w:p w14:paraId="448FD7E9" w14:textId="77777777" w:rsidR="00AB3647" w:rsidRDefault="00000000" w:rsidP="007923E9">
      <w:pPr>
        <w:spacing w:after="120" w:line="276" w:lineRule="auto"/>
        <w:ind w:firstLine="283"/>
        <w:jc w:val="both"/>
      </w:pPr>
      <w:r>
        <w:rPr>
          <w:rtl/>
        </w:rPr>
        <w:t xml:space="preserve">הבנה סבירה יותר של גישת ר׳ חיים היא שהתלמידים שאינם שומרי מצוות נראו לו רחוקים מכדי שהמוסר ירפאם: הוא ראה אותם כמתים מבחינה רוחנית, ולא כחולים; ואילו לתלמידים היראים, שהיו “בריאים”, המוסר יזיק. אם ביקור ר׳ </w:t>
      </w:r>
      <w:proofErr w:type="spellStart"/>
      <w:r>
        <w:rPr>
          <w:rtl/>
        </w:rPr>
        <w:t>איצל׳ה</w:t>
      </w:r>
      <w:proofErr w:type="spellEnd"/>
      <w:r>
        <w:rPr>
          <w:rtl/>
        </w:rPr>
        <w:t xml:space="preserve"> התקיים בתקופה מוקדמת יותר, כשתקופת </w:t>
      </w:r>
      <w:proofErr w:type="spellStart"/>
      <w:r>
        <w:rPr>
          <w:rtl/>
        </w:rPr>
        <w:t>ה“קעסט</w:t>
      </w:r>
      <w:proofErr w:type="spellEnd"/>
      <w:r>
        <w:rPr>
          <w:rtl/>
        </w:rPr>
        <w:t xml:space="preserve">” של ר׳ חיים הגיעה לסיומה, בסוף שנות </w:t>
      </w:r>
      <w:proofErr w:type="spellStart"/>
      <w:r>
        <w:rPr>
          <w:rtl/>
        </w:rPr>
        <w:t xml:space="preserve">התר״ל</w:t>
      </w:r>
      <w:proofErr w:type="spellEnd"/>
      <w:r>
        <w:rPr>
          <w:rtl/>
        </w:rPr>
        <w:t xml:space="preserve">, בהחלט אפשר שהתלמידים שנלכדו אז ברשת ההשכלה – כמו זה שהלשין בכזב על ראש ישיבתו לשלטון הרוסי, כאמור לעיל – כבר לא היו ניתנים לתיקון.</w:t>
      </w:r>
    </w:p>
    <w:p w14:paraId="5D5AED45" w14:textId="77777777" w:rsidR="00AB3647" w:rsidRDefault="00000000" w:rsidP="007923E9">
      <w:pPr>
        <w:spacing w:after="120" w:line="276" w:lineRule="auto"/>
        <w:ind w:firstLine="283"/>
        <w:jc w:val="both"/>
      </w:pPr>
      <w:r>
        <w:rPr>
          <w:rtl/>
        </w:rPr>
        <w:t xml:space="preserve">ביאליק עצמו לא היה מת מבחינה רוחנית כשהצטרף </w:t>
      </w:r>
      <w:proofErr w:type="spellStart"/>
      <w:r>
        <w:rPr>
          <w:rtl/>
        </w:rPr>
        <w:t>לוולוז׳ין</w:t>
      </w:r>
      <w:proofErr w:type="spellEnd"/>
      <w:r>
        <w:rPr>
          <w:rtl/>
        </w:rPr>
        <w:t xml:space="preserve"> בתקופתה האחרונה. כך עולה ממכתבו </w:t>
      </w:r>
      <w:proofErr w:type="spellStart"/>
      <w:r>
        <w:rPr>
          <w:rtl/>
        </w:rPr>
        <w:t>לקלוזנר</w:t>
      </w:r>
      <w:proofErr w:type="spellEnd"/>
      <w:r>
        <w:rPr>
          <w:rtl/>
        </w:rPr>
        <w:t xml:space="preserve"> </w:t>
      </w:r>
      <w:proofErr w:type="spellStart"/>
      <w:r>
        <w:rPr>
          <w:rtl/>
        </w:rPr>
        <w:t>ב“אגרות</w:t>
      </w:r>
      <w:proofErr w:type="spellEnd"/>
      <w:r>
        <w:rPr>
          <w:rtl/>
        </w:rPr>
        <w:t xml:space="preserve"> חיים נחמן ביאליק”,</w:t>
      </w:r>
      <w:bookmarkStart w:id="5283" w:name="_fnr3954"/>
      <w:r>
        <w:rPr>
          <w:vertAlign w:val="superscript"/>
          <w:rtl/>
        </w:rPr>
        <w:footnoteReference w:id="3963" w:customMarkFollows="0"/>
      </w:r>
      <w:bookmarkEnd w:id="5283"/>
      <w:r>
        <w:rPr>
          <w:rtl/>
        </w:rPr>
        <w:t xml:space="preserve"> המתאר את תהפוכות הסופר בשנתו הראשונה בישיבה.</w:t>
      </w:r>
      <w:bookmarkStart w:id="5284" w:name="_fnr3955"/>
      <w:r>
        <w:rPr>
          <w:vertAlign w:val="superscript"/>
          <w:rtl/>
        </w:rPr>
        <w:footnoteReference w:id="3964" w:customMarkFollows="0"/>
      </w:r>
      <w:bookmarkEnd w:id="5284"/>
      <w:r>
        <w:rPr>
          <w:rtl/>
        </w:rPr>
        <w:t xml:space="preserve"> תחילה התאכזב ביאליק לגלות </w:t>
      </w:r>
      <w:proofErr w:type="spellStart"/>
      <w:r>
        <w:rPr>
          <w:rtl/>
        </w:rPr>
        <w:t>ש“אין</w:t>
      </w:r>
      <w:proofErr w:type="spellEnd"/>
      <w:r>
        <w:rPr>
          <w:rtl/>
        </w:rPr>
        <w:t xml:space="preserve"> זכר </w:t>
      </w:r>
      <w:proofErr w:type="spellStart"/>
      <w:r>
        <w:rPr>
          <w:rtl/>
        </w:rPr>
        <w:t>ל‘שבע</w:t>
      </w:r>
      <w:proofErr w:type="spellEnd"/>
      <w:r>
        <w:rPr>
          <w:rtl/>
        </w:rPr>
        <w:t xml:space="preserve"> חכמות ושבעים לשון’”, שלפי השמועות בעיר מולדתו, בפלך </w:t>
      </w:r>
      <w:proofErr w:type="spellStart"/>
      <w:r>
        <w:rPr>
          <w:rtl/>
        </w:rPr>
        <w:t>ווהלין</w:t>
      </w:r>
      <w:proofErr w:type="spellEnd"/>
      <w:r>
        <w:rPr>
          <w:rtl/>
        </w:rPr>
        <w:t xml:space="preserve"> הרחוק, נלמדו </w:t>
      </w:r>
      <w:proofErr w:type="spellStart"/>
      <w:r>
        <w:rPr>
          <w:rtl/>
        </w:rPr>
        <w:t>בוולוז׳ין</w:t>
      </w:r>
      <w:proofErr w:type="spellEnd"/>
      <w:r>
        <w:rPr>
          <w:rtl/>
        </w:rPr>
        <w:t xml:space="preserve"> “בגלוי או בסתר... [שכן חשבו כי] בין </w:t>
      </w:r>
      <w:proofErr w:type="spellStart"/>
      <w:r>
        <w:rPr>
          <w:rtl/>
        </w:rPr>
        <w:t>וולוז׳ין</w:t>
      </w:r>
      <w:proofErr w:type="spellEnd"/>
      <w:r>
        <w:rPr>
          <w:rtl/>
        </w:rPr>
        <w:t xml:space="preserve"> ו[מרכז התרבות] ברלין יש רק צעד אחד”. כנראה בחודשיו הראשונים </w:t>
      </w:r>
      <w:proofErr w:type="spellStart"/>
      <w:r>
        <w:rPr>
          <w:rtl/>
        </w:rPr>
        <w:t>בוולוז׳ין</w:t>
      </w:r>
      <w:proofErr w:type="spellEnd"/>
      <w:r>
        <w:rPr>
          <w:rtl/>
        </w:rPr>
        <w:t xml:space="preserve"> לא גילו חבורות המשכילים, שעסקו בחשאי בלימודי חול,</w:t>
      </w:r>
      <w:bookmarkStart w:id="5285" w:name="_fnr3956"/>
      <w:r>
        <w:rPr>
          <w:vertAlign w:val="superscript"/>
          <w:rtl/>
        </w:rPr>
        <w:footnoteReference w:id="3965" w:customMarkFollows="0"/>
      </w:r>
      <w:bookmarkEnd w:id="5285"/>
      <w:r>
        <w:rPr>
          <w:rtl/>
        </w:rPr>
        <w:t xml:space="preserve"> את קיומן לבחור החדש, בן הבית החסידי </w:t>
      </w:r>
      <w:proofErr w:type="spellStart"/>
      <w:r>
        <w:rPr>
          <w:rtl/>
        </w:rPr>
        <w:t>בז׳יטומיר</w:t>
      </w:r>
      <w:proofErr w:type="spellEnd"/>
      <w:r>
        <w:rPr>
          <w:rtl/>
        </w:rPr>
        <w:t>.</w:t>
      </w:r>
    </w:p>
    <w:p w14:paraId="044D51ED" w14:textId="77777777" w:rsidR="00AB3647" w:rsidRDefault="00000000" w:rsidP="007923E9">
      <w:pPr>
        <w:spacing w:after="120" w:line="276" w:lineRule="auto"/>
        <w:ind w:firstLine="283"/>
        <w:jc w:val="both"/>
      </w:pPr>
      <w:r>
        <w:rPr>
          <w:rtl/>
        </w:rPr>
        <w:t xml:space="preserve">כך החליט ביאליק שגם הוא ילמד “גמרא, גמרא, גמרא, ויהיה רב ככל הרבנים”, וכך עשה “בחודשים הראשונים”. בתוך שלושה חודשים למד “כמעט לגמרי בעל פה” את כל מסכת </w:t>
      </w:r>
      <w:r>
        <w:rPr>
          <w:rtl/>
        </w:rPr>
        <w:lastRenderedPageBreak/>
        <w:t>כתובות עם כל התוספות! כשבחן אותו ראש הישיבה, קרא: “אתה ודאי מזרע ‘</w:t>
      </w:r>
      <w:proofErr w:type="spellStart"/>
      <w:r>
        <w:rPr>
          <w:rtl/>
        </w:rPr>
        <w:t>ליטוואקעס</w:t>
      </w:r>
      <w:proofErr w:type="spellEnd"/>
      <w:r>
        <w:rPr>
          <w:rtl/>
        </w:rPr>
        <w:t>’,</w:t>
      </w:r>
      <w:bookmarkStart w:id="5286" w:name="_fnr3957"/>
      <w:r>
        <w:rPr>
          <w:vertAlign w:val="superscript"/>
          <w:rtl/>
        </w:rPr>
        <w:footnoteReference w:id="3966" w:customMarkFollows="0"/>
      </w:r>
      <w:bookmarkEnd w:id="5286"/>
      <w:r>
        <w:rPr>
          <w:rtl/>
        </w:rPr>
        <w:t xml:space="preserve"> כי זו הפעם הראשונה שאני רואה בחור </w:t>
      </w:r>
      <w:proofErr w:type="spellStart"/>
      <w:r>
        <w:rPr>
          <w:rtl/>
        </w:rPr>
        <w:t>מווהלין</w:t>
      </w:r>
      <w:proofErr w:type="spellEnd"/>
      <w:r>
        <w:rPr>
          <w:rtl/>
        </w:rPr>
        <w:t xml:space="preserve"> מתמיד ויודע גמרא כמוך!”</w:t>
      </w:r>
      <w:bookmarkStart w:id="5287" w:name="_fnr3958"/>
      <w:bookmarkStart w:id="5288" w:name="pr_f_3845"/>
      <w:r>
        <w:rPr>
          <w:vertAlign w:val="superscript"/>
          <w:rtl/>
        </w:rPr>
        <w:footnoteReference w:id="3967" w:customMarkFollows="0"/>
      </w:r>
      <w:bookmarkEnd w:id="5287"/>
      <w:bookmarkEnd w:id="5288"/>
      <w:r>
        <w:rPr>
          <w:rtl/>
        </w:rPr>
        <w:t xml:space="preserve"> ביאליק כותב: “הטבעתי את כל תאוותיי, חנקתי את כל רגשותיי ולמדתי בלי הרף ובלי חמדה; ובכל פעם שיצרי פיתה אותי להפסיק את לימודי ועורר בי מחשבות אחרות, צבטתי את עצמי וגערתי בעצמי בתוכחה: ‘למד, גזלן! למד עד שתתפקע כריסך!’”</w:t>
      </w:r>
      <w:bookmarkStart w:id="5289" w:name="_fnr3959"/>
      <w:r>
        <w:rPr>
          <w:vertAlign w:val="superscript"/>
          <w:rtl/>
        </w:rPr>
        <w:footnoteReference w:id="3968" w:customMarkFollows="0"/>
      </w:r>
      <w:bookmarkEnd w:id="5289"/>
    </w:p>
    <w:p w14:paraId="254CAD1E" w14:textId="77777777" w:rsidR="00AB3647" w:rsidRDefault="00000000" w:rsidP="007923E9">
      <w:pPr>
        <w:spacing w:after="120" w:line="276" w:lineRule="auto"/>
        <w:ind w:firstLine="283"/>
        <w:jc w:val="both"/>
      </w:pPr>
      <w:r>
        <w:rPr>
          <w:rtl/>
        </w:rPr>
        <w:t xml:space="preserve">באלול </w:t>
      </w:r>
      <w:proofErr w:type="spellStart"/>
      <w:r>
        <w:rPr>
          <w:rtl/>
        </w:rPr>
        <w:t>תר״ן</w:t>
      </w:r>
      <w:proofErr w:type="spellEnd"/>
      <w:r>
        <w:rPr>
          <w:rtl/>
        </w:rPr>
        <w:t xml:space="preserve"> כתב שיר נעורים לא בשל בשם “באהל התורה”,</w:t>
      </w:r>
      <w:bookmarkStart w:id="5290" w:name="_fnr3960"/>
      <w:r>
        <w:rPr>
          <w:vertAlign w:val="superscript"/>
          <w:rtl/>
        </w:rPr>
        <w:footnoteReference w:id="3969" w:customMarkFollows="0"/>
      </w:r>
      <w:bookmarkEnd w:id="5290"/>
      <w:r>
        <w:rPr>
          <w:rtl/>
        </w:rPr>
        <w:t xml:space="preserve"> החושף את שאיפותיו:</w:t>
      </w:r>
    </w:p>
    <w:p w14:paraId="099A1E56" w14:textId="77777777" w:rsidR="00AB3647" w:rsidRDefault="00000000" w:rsidP="007923E9">
      <w:pPr>
        <w:spacing w:after="120" w:line="276" w:lineRule="auto"/>
        <w:ind w:firstLine="283"/>
        <w:jc w:val="both"/>
      </w:pPr>
      <w:r>
        <w:rPr>
          <w:rtl/>
        </w:rPr>
        <w:t xml:space="preserve">שם </w:t>
      </w:r>
      <w:proofErr w:type="spellStart"/>
      <w:r>
        <w:rPr>
          <w:rtl/>
        </w:rPr>
        <w:t>בפנה</w:t>
      </w:r>
      <w:proofErr w:type="spellEnd"/>
      <w:r>
        <w:rPr>
          <w:rtl/>
        </w:rPr>
        <w:t xml:space="preserve"> יֵשֵׁב עֶלֶם ובספר יְשים עין.</w:t>
      </w:r>
    </w:p>
    <w:p w14:paraId="788A72D3" w14:textId="77777777" w:rsidR="00AB3647" w:rsidRDefault="00000000" w:rsidP="007923E9">
      <w:pPr>
        <w:spacing w:after="120" w:line="276" w:lineRule="auto"/>
        <w:ind w:firstLine="283"/>
        <w:jc w:val="both"/>
      </w:pPr>
      <w:r>
        <w:rPr>
          <w:rtl/>
        </w:rPr>
        <w:t xml:space="preserve">קולו חודר לב וקרב, נפשו תבער כלהבה, </w:t>
      </w:r>
      <w:proofErr w:type="spellStart"/>
      <w:r>
        <w:rPr>
          <w:rtl/>
        </w:rPr>
        <w:t>יִצְלֹל</w:t>
      </w:r>
      <w:proofErr w:type="spellEnd"/>
      <w:r>
        <w:rPr>
          <w:rtl/>
        </w:rPr>
        <w:t>, יַעַל, עולה, יורד:</w:t>
      </w:r>
    </w:p>
    <w:p w14:paraId="72640195" w14:textId="77777777" w:rsidR="00AB3647" w:rsidRDefault="00000000" w:rsidP="007923E9">
      <w:pPr>
        <w:spacing w:after="120" w:line="276" w:lineRule="auto"/>
        <w:ind w:firstLine="283"/>
        <w:jc w:val="both"/>
      </w:pPr>
      <w:r>
        <w:rPr>
          <w:rtl/>
        </w:rPr>
        <w:t xml:space="preserve">“אלא </w:t>
      </w:r>
      <w:proofErr w:type="spellStart"/>
      <w:r>
        <w:rPr>
          <w:rtl/>
        </w:rPr>
        <w:t>קשיא</w:t>
      </w:r>
      <w:proofErr w:type="spellEnd"/>
      <w:r>
        <w:rPr>
          <w:rtl/>
        </w:rPr>
        <w:t>”, “אמר רבא”.</w:t>
      </w:r>
    </w:p>
    <w:p w14:paraId="019DB7EE" w14:textId="77777777" w:rsidR="00AB3647" w:rsidRDefault="00000000" w:rsidP="007923E9">
      <w:pPr>
        <w:spacing w:after="120" w:line="276" w:lineRule="auto"/>
        <w:ind w:firstLine="283"/>
        <w:jc w:val="both"/>
      </w:pPr>
      <w:r>
        <w:rPr>
          <w:rtl/>
        </w:rPr>
        <w:t xml:space="preserve">ומתחטא לפני רבא, על </w:t>
      </w:r>
      <w:proofErr w:type="spellStart"/>
      <w:r>
        <w:rPr>
          <w:rtl/>
        </w:rPr>
        <w:t>רבינא</w:t>
      </w:r>
      <w:proofErr w:type="spellEnd"/>
      <w:r>
        <w:rPr>
          <w:rtl/>
        </w:rPr>
        <w:t xml:space="preserve"> מתגעגע... – א־לי, א־לי! כמה קסם יש במלים “אמר רבא”</w:t>
      </w:r>
    </w:p>
    <w:p w14:paraId="1AA5D03F" w14:textId="77777777" w:rsidR="00AB3647" w:rsidRDefault="00000000" w:rsidP="007923E9">
      <w:pPr>
        <w:spacing w:after="120" w:line="276" w:lineRule="auto"/>
        <w:ind w:firstLine="283"/>
        <w:jc w:val="both"/>
      </w:pPr>
      <w:r>
        <w:rPr>
          <w:rtl/>
        </w:rPr>
        <w:t xml:space="preserve">כמה קסם, כמה </w:t>
      </w:r>
      <w:proofErr w:type="spellStart"/>
      <w:r>
        <w:rPr>
          <w:rtl/>
        </w:rPr>
        <w:t>כח</w:t>
      </w:r>
      <w:proofErr w:type="spellEnd"/>
      <w:r>
        <w:rPr>
          <w:rtl/>
        </w:rPr>
        <w:t xml:space="preserve"> יש בספסל ובגמרא לִמְשֹׁךְ לב בן איש ישראל!</w:t>
      </w:r>
    </w:p>
    <w:p w14:paraId="6632CFDC" w14:textId="77777777" w:rsidR="00AB3647" w:rsidRDefault="00000000" w:rsidP="007923E9">
      <w:pPr>
        <w:spacing w:after="120" w:line="276" w:lineRule="auto"/>
        <w:ind w:firstLine="283"/>
        <w:jc w:val="both"/>
      </w:pPr>
      <w:r>
        <w:rPr>
          <w:rtl/>
        </w:rPr>
        <w:t xml:space="preserve">חמישה חודשים אחרי בואו </w:t>
      </w:r>
      <w:proofErr w:type="spellStart"/>
      <w:r>
        <w:rPr>
          <w:rtl/>
        </w:rPr>
        <w:t>לוולוז׳ין</w:t>
      </w:r>
      <w:proofErr w:type="spellEnd"/>
      <w:r>
        <w:rPr>
          <w:rtl/>
        </w:rPr>
        <w:t xml:space="preserve"> כתב ביאליק בן </w:t>
      </w:r>
      <w:proofErr w:type="spellStart"/>
      <w:r>
        <w:rPr>
          <w:rtl/>
        </w:rPr>
        <w:t>השבע־עשרה</w:t>
      </w:r>
      <w:proofErr w:type="spellEnd"/>
      <w:r>
        <w:rPr>
          <w:rtl/>
        </w:rPr>
        <w:t xml:space="preserve"> שני מכתבים למכריו בעיר מולדתו: הראשון למורה ולארבעה חברים, והשני, שנכתב שמונה ימים אחר כך, לשניים מן הארבעה. במכתב הראשון, הארוך מאוד, הוא מתאר בנימה של “הבל הבלים”</w:t>
      </w:r>
      <w:bookmarkStart w:id="5291" w:name="_fnr3961"/>
      <w:r>
        <w:rPr>
          <w:vertAlign w:val="superscript"/>
          <w:rtl/>
        </w:rPr>
        <w:footnoteReference w:id="3970" w:customMarkFollows="0"/>
      </w:r>
      <w:bookmarkEnd w:id="5291"/>
      <w:r>
        <w:rPr>
          <w:rtl/>
        </w:rPr>
        <w:t xml:space="preserve"> – המזכירה להפליא שיחת מוסר שר׳ </w:t>
      </w:r>
      <w:proofErr w:type="spellStart"/>
      <w:r>
        <w:rPr>
          <w:rtl/>
        </w:rPr>
        <w:t>איצל׳ה</w:t>
      </w:r>
      <w:proofErr w:type="spellEnd"/>
      <w:r>
        <w:rPr>
          <w:rtl/>
        </w:rPr>
        <w:t xml:space="preserve"> </w:t>
      </w:r>
      <w:proofErr w:type="spellStart"/>
      <w:r>
        <w:rPr>
          <w:rtl/>
        </w:rPr>
        <w:t>בלאזר</w:t>
      </w:r>
      <w:proofErr w:type="spellEnd"/>
      <w:r>
        <w:rPr>
          <w:rtl/>
        </w:rPr>
        <w:t xml:space="preserve"> עשוי היה למסור! – את פגמי חינוכו הקודם,</w:t>
      </w:r>
      <w:bookmarkStart w:id="5292" w:name="_fnr3962"/>
      <w:r>
        <w:rPr>
          <w:vertAlign w:val="superscript"/>
          <w:rtl/>
        </w:rPr>
        <w:footnoteReference w:id="3971" w:customMarkFollows="0"/>
      </w:r>
      <w:bookmarkEnd w:id="5292"/>
      <w:r>
        <w:rPr>
          <w:rtl/>
        </w:rPr>
        <w:t xml:space="preserve"> ומאשים את הבטלה בכך שהביאה אותו להשכלה. בלהט הוא מתאר את שורש תעייתו: “הבטלה הביאה מנחה מזמרת הארץ, את פריה הנקרא ‘השכלה’, שקטפה </w:t>
      </w:r>
      <w:proofErr w:type="spellStart"/>
      <w:r>
        <w:rPr>
          <w:rtl/>
        </w:rPr>
        <w:t>מ‘עץ</w:t>
      </w:r>
      <w:proofErr w:type="spellEnd"/>
      <w:r>
        <w:rPr>
          <w:rtl/>
        </w:rPr>
        <w:t xml:space="preserve"> הדעת’ המפתה,</w:t>
      </w:r>
      <w:bookmarkStart w:id="5293" w:name="_fnr3963"/>
      <w:r>
        <w:rPr>
          <w:vertAlign w:val="superscript"/>
          <w:rtl/>
        </w:rPr>
        <w:footnoteReference w:id="3972" w:customMarkFollows="0"/>
      </w:r>
      <w:bookmarkEnd w:id="5293"/>
      <w:r>
        <w:rPr>
          <w:rtl/>
        </w:rPr>
        <w:t xml:space="preserve"> ובו מעט נכאת וצרי של כפירה לתיבול המאכל המושך – שנאכל עד הקאה.”</w:t>
      </w:r>
      <w:bookmarkStart w:id="5294" w:name="_fnr3964"/>
      <w:r>
        <w:rPr>
          <w:vertAlign w:val="superscript"/>
          <w:rtl/>
        </w:rPr>
        <w:footnoteReference w:id="3973" w:customMarkFollows="0"/>
      </w:r>
      <w:bookmarkEnd w:id="5294"/>
      <w:r>
        <w:rPr>
          <w:rtl/>
        </w:rPr>
        <w:t xml:space="preserve"> והוא מאשים: “אחת המלכודות הרבות שהשטן פורס היא ההשכלה הארורה,</w:t>
      </w:r>
      <w:bookmarkStart w:id="5295" w:name="_fnr3965"/>
      <w:r>
        <w:rPr>
          <w:vertAlign w:val="superscript"/>
          <w:rtl/>
        </w:rPr>
        <w:footnoteReference w:id="3974" w:customMarkFollows="0"/>
      </w:r>
      <w:bookmarkEnd w:id="5295"/>
      <w:r>
        <w:rPr>
          <w:rtl/>
        </w:rPr>
        <w:t xml:space="preserve"> </w:t>
      </w:r>
      <w:r>
        <w:rPr>
          <w:rtl/>
        </w:rPr>
        <w:lastRenderedPageBreak/>
        <w:t>שלרוע מזלי עטפה אותי בכנפיה; והרשעה הזאת, בת</w:t>
      </w:r>
      <w:bookmarkStart w:id="5296" w:name="_fnr3966"/>
      <w:r>
        <w:rPr>
          <w:vertAlign w:val="superscript"/>
          <w:rtl/>
        </w:rPr>
        <w:footnoteReference w:id="3975" w:customMarkFollows="0"/>
      </w:r>
      <w:bookmarkEnd w:id="5296"/>
      <w:r>
        <w:rPr>
          <w:rtl/>
        </w:rPr>
        <w:t xml:space="preserve"> גיהינום, ילודת שאול, נעצה [בי] את ציפורניה, והייתי לטרף לשיניה.”</w:t>
      </w:r>
      <w:bookmarkStart w:id="5297" w:name="_fnr3967"/>
      <w:r>
        <w:rPr>
          <w:vertAlign w:val="superscript"/>
          <w:rtl/>
        </w:rPr>
        <w:footnoteReference w:id="3976" w:customMarkFollows="0"/>
      </w:r>
      <w:bookmarkEnd w:id="5297"/>
    </w:p>
    <w:p w14:paraId="465D217F" w14:textId="77777777" w:rsidR="00AB3647" w:rsidRDefault="00000000" w:rsidP="007923E9">
      <w:pPr>
        <w:spacing w:after="120" w:line="276" w:lineRule="auto"/>
        <w:ind w:firstLine="283"/>
        <w:jc w:val="both"/>
      </w:pPr>
      <w:r>
        <w:rPr>
          <w:rtl/>
        </w:rPr>
        <w:t xml:space="preserve">לאחר וידוי ארוך ונוקב הוא משבח את </w:t>
      </w:r>
      <w:proofErr w:type="spellStart"/>
      <w:r>
        <w:rPr>
          <w:rtl/>
        </w:rPr>
        <w:t>וולוז׳ין</w:t>
      </w:r>
      <w:proofErr w:type="spellEnd"/>
      <w:r>
        <w:rPr>
          <w:rtl/>
        </w:rPr>
        <w:t xml:space="preserve"> על שהחייתה את נשמתו המתה: “אני </w:t>
      </w:r>
      <w:proofErr w:type="spellStart"/>
      <w:r>
        <w:rPr>
          <w:rtl/>
        </w:rPr>
        <w:t>חיים־נחמן</w:t>
      </w:r>
      <w:proofErr w:type="spellEnd"/>
      <w:r>
        <w:rPr>
          <w:rtl/>
        </w:rPr>
        <w:t xml:space="preserve"> חדש”, הוא קורא בשמחה;</w:t>
      </w:r>
      <w:bookmarkStart w:id="5298" w:name="_fnr3968"/>
      <w:r>
        <w:rPr>
          <w:vertAlign w:val="superscript"/>
          <w:rtl/>
        </w:rPr>
        <w:footnoteReference w:id="3977" w:customMarkFollows="0"/>
      </w:r>
      <w:bookmarkEnd w:id="5298"/>
      <w:r>
        <w:rPr>
          <w:rtl/>
        </w:rPr>
        <w:t xml:space="preserve"> ומתפלל</w:t>
      </w:r>
      <w:bookmarkStart w:id="5299" w:name="_fnr3969"/>
      <w:r>
        <w:rPr>
          <w:vertAlign w:val="superscript"/>
          <w:rtl/>
        </w:rPr>
        <w:footnoteReference w:id="3978" w:customMarkFollows="0"/>
      </w:r>
      <w:bookmarkEnd w:id="5299"/>
      <w:r>
        <w:rPr>
          <w:rtl/>
        </w:rPr>
        <w:t>: “ייתן ה׳ שאוסיף להתמיד בלימודי, לטוב לי כל הימים”.</w:t>
      </w:r>
      <w:bookmarkStart w:id="5300" w:name="_fnr3970"/>
      <w:r>
        <w:rPr>
          <w:vertAlign w:val="superscript"/>
          <w:rtl/>
        </w:rPr>
        <w:footnoteReference w:id="3979" w:customMarkFollows="0"/>
      </w:r>
      <w:bookmarkEnd w:id="5300"/>
      <w:r>
        <w:rPr>
          <w:rtl/>
        </w:rPr>
        <w:t xml:space="preserve"> במכתב השני הוא כותב, בלי המליצה, הפיוטיות והאריכות של הראשון: “אין לי חדשות; רק זאת אני מודיע לכם בכנות, ש... רחוק אני מן ההשכלה המדומה, מספריה ומכל חוגה – ואני מרחיק אותם מפניי – ‘לא יבאו בקהל לי׳</w:t>
      </w:r>
      <w:bookmarkStart w:id="5301" w:name="_fnr3971"/>
      <w:r>
        <w:rPr>
          <w:vertAlign w:val="superscript"/>
          <w:rtl/>
        </w:rPr>
        <w:footnoteReference w:id="3980" w:customMarkFollows="0"/>
      </w:r>
      <w:bookmarkEnd w:id="5301"/>
      <w:r>
        <w:rPr>
          <w:rtl/>
        </w:rPr>
        <w:t xml:space="preserve"> (ההדגשה שלי); מפזר אני אותם כרוח ומתעב אותם... איני מצטער על גירושם. ואני מנסה בכל כוחי להרחיקם ממחשבתי, ביודעי שהיו עד עתה משטיני נפשי ושעמדו כמכשול בדרכי.”</w:t>
      </w:r>
      <w:bookmarkStart w:id="5302" w:name="_fnr3972"/>
      <w:r>
        <w:rPr>
          <w:vertAlign w:val="superscript"/>
          <w:rtl/>
        </w:rPr>
        <w:footnoteReference w:id="3981" w:customMarkFollows="0"/>
      </w:r>
      <w:bookmarkEnd w:id="5302"/>
    </w:p>
    <w:p w14:paraId="7DDADCF3" w14:textId="77777777" w:rsidR="00AB3647" w:rsidRDefault="00000000" w:rsidP="007923E9">
      <w:pPr>
        <w:spacing w:after="120" w:line="276" w:lineRule="auto"/>
        <w:ind w:firstLine="283"/>
        <w:jc w:val="both"/>
      </w:pPr>
      <w:r>
        <w:rPr>
          <w:rtl/>
        </w:rPr>
        <w:t>הביטויים המודגשים עשויים להצביע על כך שבזמן זה, אחרי חמישה חודשים בישיבה, כבר נודע לביאליק על קיומם של תאי משכילים בתוכה, אבל הוא עדיין לא התרועע עמם. ברור שאף שהיו בישיבה תלמידים בעלי נטיות להשכלה, הם היו מעטים כל כך שעברו חודשים רבים עד שביאליק הבחין בקיומם.</w:t>
      </w:r>
    </w:p>
    <w:p w14:paraId="505B51FC" w14:textId="77777777" w:rsidR="00AB3647" w:rsidRDefault="00000000" w:rsidP="007923E9">
      <w:pPr>
        <w:spacing w:after="120" w:line="276" w:lineRule="auto"/>
        <w:ind w:firstLine="283"/>
        <w:jc w:val="both"/>
      </w:pPr>
      <w:r>
        <w:rPr>
          <w:rtl/>
        </w:rPr>
        <w:t xml:space="preserve">מיעוטם של תלמידים אלה מאושר בזיכרונותיו של מ׳ </w:t>
      </w:r>
      <w:proofErr w:type="spellStart"/>
      <w:r>
        <w:rPr>
          <w:rtl/>
        </w:rPr>
        <w:t>זלאטקין</w:t>
      </w:r>
      <w:proofErr w:type="spellEnd"/>
      <w:r>
        <w:rPr>
          <w:rtl/>
        </w:rPr>
        <w:t xml:space="preserve"> </w:t>
      </w:r>
      <w:proofErr w:type="spellStart"/>
      <w:r>
        <w:rPr>
          <w:rtl/>
        </w:rPr>
        <w:t>ב“שביבים</w:t>
      </w:r>
      <w:proofErr w:type="spellEnd"/>
      <w:r>
        <w:rPr>
          <w:rtl/>
        </w:rPr>
        <w:t>”, הנזכרים</w:t>
      </w:r>
      <w:bookmarkStart w:id="5303" w:name="_fnr3973"/>
      <w:r>
        <w:rPr>
          <w:vertAlign w:val="superscript"/>
          <w:rtl/>
        </w:rPr>
        <w:footnoteReference w:id="3982" w:customMarkFollows="0"/>
      </w:r>
      <w:bookmarkEnd w:id="5303"/>
      <w:r>
        <w:rPr>
          <w:rtl/>
        </w:rPr>
        <w:t xml:space="preserve">: “בכלל אפשר לומר שבני הישיבה שקבעו את דמותה וטבעו בה את חותמם היו המצטיינים במעלות ובתכונות, בעלי כישרונות גדולים, עוסקים בתורה ומקיימים את כל מצוותיה, וגם מצוינים במידות נעלות כראוי לתלמידי חכמים. רק מיעוט קטן ובלתי חשוב, שהיה נבדל בדעותיו ובמעשיו מן הגוש האחיד, נמצא בין בני הישיבה – ולא היה נחשב. הרוב המכריע של תלמידי הישיבה היה שקוע בלימוד התלמוד בלבד. גם בשעות הפנאי, כשחבריהם באו לבקרם או כשיצאו לטייל יחד ולשאוף אוויר צח, המשיכו לעסוק בדברי תורה, בפלפול, בשאלות ותשובות ובוויכוח בהלכה. האווירה שלהם הייתה אוויר של תורה. רק תלמיד שהתעניין בלימודי חול ובקריאת ספרי ההשכלה, ומצא חברים בעלי אותה דעה (ההדגשה שלי), היה יוצא לזמן מה מן האווירה האחידה של </w:t>
      </w:r>
      <w:proofErr w:type="spellStart"/>
      <w:r>
        <w:rPr>
          <w:rtl/>
        </w:rPr>
        <w:t>וולוז׳ין</w:t>
      </w:r>
      <w:proofErr w:type="spellEnd"/>
      <w:r>
        <w:rPr>
          <w:rtl/>
        </w:rPr>
        <w:t xml:space="preserve"> – אבל רק לזמן קצר, כי היה עליו לבלות את רוב זמנו בישיבה, שהאווירה בה הייתה כולה קדושה, כולה תורה.”</w:t>
      </w:r>
    </w:p>
    <w:p w14:paraId="5A650630" w14:textId="29750DAF" w:rsidR="00AB3647" w:rsidRDefault="00000000" w:rsidP="007923E9">
      <w:pPr>
        <w:spacing w:after="120" w:line="276" w:lineRule="auto"/>
        <w:ind w:firstLine="283"/>
        <w:jc w:val="both"/>
      </w:pPr>
      <w:r>
        <w:rPr>
          <w:rtl/>
        </w:rPr>
        <w:t xml:space="preserve">המילים המודגשות עשויות לשקף את חוויית ביאליק: בבואו לישיבה לא ידע שיש בה משכילים בעלי דעות דומות לשלו, וגילה את קיומם כעבור חודשים רבים. ראה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על הפופולריות שרכש ביאליק, ועל כך שהדבר קרה רק לאחר שהצטרף לקבוצת המשכילים הזעירה שבתוך הישיבה.</w:t>
      </w:r>
    </w:p>
    <w:p w14:paraId="70AB50E0" w14:textId="77777777" w:rsidR="00AB3647" w:rsidRDefault="00000000" w:rsidP="007923E9">
      <w:pPr>
        <w:spacing w:after="120" w:line="276" w:lineRule="auto"/>
        <w:ind w:firstLine="283"/>
        <w:jc w:val="both"/>
      </w:pPr>
      <w:r>
        <w:rPr>
          <w:rtl/>
        </w:rPr>
        <w:lastRenderedPageBreak/>
        <w:t xml:space="preserve">רק בזמן הבא, בחורף תרנ״א, החלה התלהבותו של ביאליק מלימוד התורה “לדעוך לאט </w:t>
      </w:r>
      <w:proofErr w:type="spellStart"/>
      <w:r>
        <w:rPr>
          <w:rtl/>
        </w:rPr>
        <w:t>לאט</w:t>
      </w:r>
      <w:proofErr w:type="spellEnd"/>
      <w:r>
        <w:rPr>
          <w:rtl/>
        </w:rPr>
        <w:t xml:space="preserve">”, </w:t>
      </w:r>
      <w:proofErr w:type="spellStart"/>
      <w:r>
        <w:rPr>
          <w:rtl/>
        </w:rPr>
        <w:t>ו“מיום</w:t>
      </w:r>
      <w:proofErr w:type="spellEnd"/>
      <w:r>
        <w:rPr>
          <w:rtl/>
        </w:rPr>
        <w:t xml:space="preserve"> ליום פחתה התמדתו”.</w:t>
      </w:r>
      <w:bookmarkStart w:id="5304" w:name="_fnr3974"/>
      <w:r>
        <w:rPr>
          <w:vertAlign w:val="superscript"/>
          <w:rtl/>
        </w:rPr>
        <w:footnoteReference w:id="3983" w:customMarkFollows="0"/>
      </w:r>
      <w:bookmarkEnd w:id="5304"/>
      <w:r>
        <w:rPr>
          <w:rtl/>
        </w:rPr>
        <w:t xml:space="preserve"> הערה </w:t>
      </w:r>
      <w:proofErr w:type="spellStart"/>
      <w:r>
        <w:rPr>
          <w:rtl/>
        </w:rPr>
        <w:t>ב“פרקי</w:t>
      </w:r>
      <w:proofErr w:type="spellEnd"/>
      <w:r>
        <w:rPr>
          <w:rtl/>
        </w:rPr>
        <w:t xml:space="preserve"> חיים”, שנכתב כעבור </w:t>
      </w:r>
      <w:proofErr w:type="spellStart"/>
      <w:r>
        <w:rPr>
          <w:rtl/>
        </w:rPr>
        <w:t>שתים־עשרה</w:t>
      </w:r>
      <w:proofErr w:type="spellEnd"/>
      <w:r>
        <w:rPr>
          <w:rtl/>
        </w:rPr>
        <w:t xml:space="preserve"> שנה, מגלה שעדיין לא הבין את פשר הירידה. הוא יכול היה להסביר לעצמו את נפילתו רק בדברי שלמה המלך “כל בָּאֶיהָ לא </w:t>
      </w:r>
      <w:proofErr w:type="spellStart"/>
      <w:r>
        <w:rPr>
          <w:rtl/>
        </w:rPr>
        <w:t>ישובון</w:t>
      </w:r>
      <w:proofErr w:type="spellEnd"/>
      <w:r>
        <w:rPr>
          <w:rtl/>
        </w:rPr>
        <w:t>” (משלי ב:יט), שלא הותירו תקווה למי שטעם את טעם המינות.</w:t>
      </w:r>
      <w:bookmarkStart w:id="5305" w:name="_fnr3975"/>
      <w:r>
        <w:rPr>
          <w:vertAlign w:val="superscript"/>
          <w:rtl/>
        </w:rPr>
        <w:footnoteReference w:id="3984" w:customMarkFollows="0"/>
      </w:r>
      <w:bookmarkEnd w:id="5305"/>
      <w:r>
        <w:rPr>
          <w:rtl/>
        </w:rPr>
        <w:t xml:space="preserve"> מי יכול לערוב בוודאות שמנה גדושה של מוסר לא הייתה יכולה לרפא את נפשו הפיוטית של ביאליק</w:t>
      </w:r>
      <w:bookmarkStart w:id="5306" w:name="_fnr3976"/>
      <w:r>
        <w:rPr>
          <w:vertAlign w:val="superscript"/>
          <w:rtl/>
        </w:rPr>
        <w:footnoteReference w:id="3985" w:customMarkFollows="0"/>
      </w:r>
      <w:bookmarkEnd w:id="5306"/>
      <w:r>
        <w:rPr>
          <w:rtl/>
        </w:rPr>
        <w:t xml:space="preserve"> בשעה שעדיין היה “</w:t>
      </w:r>
      <w:proofErr w:type="spellStart"/>
      <w:r>
        <w:rPr>
          <w:rtl/>
        </w:rPr>
        <w:t>חיים־נחמן</w:t>
      </w:r>
      <w:proofErr w:type="spellEnd"/>
      <w:r>
        <w:rPr>
          <w:rtl/>
        </w:rPr>
        <w:t xml:space="preserve"> החדש” הקורא אל ה׳?</w:t>
      </w:r>
    </w:p>
    <w:p w14:paraId="774AA1B9" w14:textId="77777777" w:rsidR="00AB3647" w:rsidRDefault="00000000" w:rsidP="007923E9">
      <w:pPr>
        <w:spacing w:after="120" w:line="276" w:lineRule="auto"/>
        <w:ind w:firstLine="283"/>
        <w:jc w:val="both"/>
      </w:pPr>
      <w:r>
        <w:rPr>
          <w:rtl/>
        </w:rPr>
        <w:t>ראה גם “תורת חיים”,</w:t>
      </w:r>
      <w:bookmarkStart w:id="5307" w:name="_fnr3977"/>
      <w:r>
        <w:rPr>
          <w:vertAlign w:val="superscript"/>
          <w:rtl/>
        </w:rPr>
        <w:footnoteReference w:id="3986" w:customMarkFollows="0"/>
      </w:r>
      <w:bookmarkEnd w:id="5307"/>
      <w:r>
        <w:rPr>
          <w:rtl/>
        </w:rPr>
        <w:t xml:space="preserve"> המספר שכאשר גורש </w:t>
      </w:r>
      <w:proofErr w:type="spellStart"/>
      <w:r>
        <w:rPr>
          <w:rtl/>
        </w:rPr>
        <w:t>מוולוז׳ין</w:t>
      </w:r>
      <w:proofErr w:type="spellEnd"/>
      <w:r>
        <w:rPr>
          <w:rtl/>
        </w:rPr>
        <w:t xml:space="preserve"> “אחד מגדולי הסופרים החילוניים” – ללא ספק ביאליק – ליווהו ר׳ חיים לתחנת הרכבת. בשובו לישיבה הסביר ר׳ חיים שליווה את התלמיד המורחק כדי להוציא מן הסופר המבטיח הבטחה שלא יכתוב לעולם נגד “עולם הישיבות”. יש לשער שחווייתו האישית החיובית של ביאליק כתלמיד ישיבה אמיתי, גם אם לזמן מוגבל, הביאה אותו להבטיח ולקיים את הבטחתו.</w:t>
      </w:r>
      <w:bookmarkStart w:id="5308" w:name="_fnr3978"/>
      <w:r>
        <w:rPr>
          <w:vertAlign w:val="superscript"/>
          <w:rtl/>
        </w:rPr>
        <w:footnoteReference w:id="3987" w:customMarkFollows="0"/>
      </w:r>
      <w:bookmarkEnd w:id="5308"/>
    </w:p>
    <w:p w14:paraId="052B3C42" w14:textId="6F3674F6" w:rsidR="00AB3647" w:rsidRDefault="00000000" w:rsidP="007923E9">
      <w:pPr>
        <w:spacing w:after="120" w:line="276" w:lineRule="auto"/>
        <w:ind w:firstLine="283"/>
        <w:jc w:val="both"/>
      </w:pPr>
      <w:r>
        <w:rPr>
          <w:rtl/>
        </w:rPr>
        <w:t>ראה גם פרק 3, הפסקה השלישית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רצונו של ביאליק להיפגש בסוף </w:t>
      </w:r>
      <w:proofErr w:type="spellStart"/>
      <w:r>
        <w:rPr>
          <w:rtl/>
        </w:rPr>
        <w:t>תר״ץ</w:t>
      </w:r>
      <w:proofErr w:type="spellEnd"/>
      <w:r>
        <w:rPr>
          <w:rtl/>
        </w:rPr>
        <w:t xml:space="preserve"> עם חברו </w:t>
      </w:r>
      <w:proofErr w:type="spellStart"/>
      <w:r>
        <w:rPr>
          <w:rtl/>
        </w:rPr>
        <w:t>מוולוז׳ין</w:t>
      </w:r>
      <w:proofErr w:type="spellEnd"/>
      <w:r>
        <w:rPr>
          <w:rtl/>
        </w:rPr>
        <w:t xml:space="preserve"> ר׳ </w:t>
      </w:r>
      <w:proofErr w:type="spellStart"/>
      <w:r>
        <w:rPr>
          <w:rtl/>
        </w:rPr>
        <w:t>ברוך־בער</w:t>
      </w:r>
      <w:proofErr w:type="spellEnd"/>
      <w:r>
        <w:rPr>
          <w:rtl/>
        </w:rPr>
        <w:t xml:space="preserve"> </w:t>
      </w:r>
      <w:proofErr w:type="spellStart"/>
      <w:r>
        <w:rPr>
          <w:rtl/>
        </w:rPr>
        <w:t>ליבוביץ</w:t>
      </w:r>
      <w:proofErr w:type="spellEnd"/>
      <w:r>
        <w:rPr>
          <w:rtl/>
        </w:rPr>
        <w:t xml:space="preserve">, כדי להיזכר </w:t>
      </w:r>
      <w:proofErr w:type="spellStart"/>
      <w:r>
        <w:rPr>
          <w:rtl/>
        </w:rPr>
        <w:t>ב“ימים</w:t>
      </w:r>
      <w:proofErr w:type="spellEnd"/>
      <w:r>
        <w:rPr>
          <w:rtl/>
        </w:rPr>
        <w:t xml:space="preserve"> עברו”. אף שיכול היה לשער שלא יזכה להערכה רבה מצד ר׳ </w:t>
      </w:r>
      <w:proofErr w:type="spellStart"/>
      <w:r>
        <w:rPr>
          <w:rtl/>
        </w:rPr>
        <w:t>ברוך־בער</w:t>
      </w:r>
      <w:proofErr w:type="spellEnd"/>
      <w:r>
        <w:rPr>
          <w:rtl/>
        </w:rPr>
        <w:t xml:space="preserve">, אפשר להציע שביאליק רצה להיפגש עמו כדי להשיב לעצמו משהו מרגשותיו החמים כלפי ישיבת </w:t>
      </w:r>
      <w:proofErr w:type="spellStart"/>
      <w:r>
        <w:rPr>
          <w:rtl/>
        </w:rPr>
        <w:t>וולוז׳ין</w:t>
      </w:r>
      <w:proofErr w:type="spellEnd"/>
      <w:r>
        <w:rPr>
          <w:rtl/>
        </w:rPr>
        <w:t xml:space="preserve">. [לאחר שעשרות שנים נהנה מן התהילה שהעניק לו העולם היהודי החילוני, כנראה לא העלה בדעתו איזה בוז יפגין כלפיו ר׳ </w:t>
      </w:r>
      <w:proofErr w:type="spellStart"/>
      <w:r>
        <w:rPr>
          <w:rtl/>
        </w:rPr>
        <w:t>ברוך־בער</w:t>
      </w:r>
      <w:proofErr w:type="spellEnd"/>
      <w:r>
        <w:rPr>
          <w:rtl/>
        </w:rPr>
        <w:t xml:space="preserve"> במפגש, כמתואר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p w14:paraId="66B361CD" w14:textId="77777777" w:rsidR="00AB3647" w:rsidRDefault="00000000" w:rsidP="007923E9">
      <w:pPr>
        <w:spacing w:after="120" w:line="276" w:lineRule="auto"/>
        <w:ind w:firstLine="283"/>
        <w:jc w:val="both"/>
      </w:pPr>
      <w:r>
        <w:rPr>
          <w:rtl/>
        </w:rPr>
        <w:t xml:space="preserve">בקשר לחווייתו החיובית של ביאליק בישיבה, נזכרתי בדבר שסיפר פעם רבנו על המשורר, שנכשל בשאלה פשוטה בתנ״ך. כשנשאל ביאליק היכן בתהלים מופיע הפסוק “ואנחנו נברך י־ה מעתה ועד עולם הללויה”, השיב בלי לחשוב: מזמור קמ״ה – תשובה שגויה. הוא טעה טעות גלויה זו מפני שבסידור מצורף הפסוק, שהוא מסוף מזמור קט״ו, </w:t>
      </w:r>
      <w:proofErr w:type="spellStart"/>
      <w:r>
        <w:rPr>
          <w:rtl/>
        </w:rPr>
        <w:t>ל“אשרי</w:t>
      </w:r>
      <w:proofErr w:type="spellEnd"/>
      <w:r>
        <w:rPr>
          <w:rtl/>
        </w:rPr>
        <w:t xml:space="preserve"> וכו׳ </w:t>
      </w:r>
      <w:proofErr w:type="spellStart"/>
      <w:r>
        <w:rPr>
          <w:rtl/>
        </w:rPr>
        <w:t>תהלה</w:t>
      </w:r>
      <w:proofErr w:type="spellEnd"/>
      <w:r>
        <w:rPr>
          <w:rtl/>
        </w:rPr>
        <w:t xml:space="preserve"> לדוד ארוממך </w:t>
      </w:r>
      <w:proofErr w:type="spellStart"/>
      <w:r>
        <w:rPr>
          <w:rtl/>
        </w:rPr>
        <w:t>וכו</w:t>
      </w:r>
      <w:proofErr w:type="spellEnd"/>
      <w:r>
        <w:rPr>
          <w:rtl/>
        </w:rPr>
        <w:t>׳”, שהוא מזמור קמ״ה.</w:t>
      </w:r>
    </w:p>
    <w:p w14:paraId="0ABBEDA9" w14:textId="77777777" w:rsidR="00AB3647" w:rsidRDefault="00000000" w:rsidP="007923E9">
      <w:pPr>
        <w:spacing w:after="120" w:line="276" w:lineRule="auto"/>
        <w:ind w:firstLine="283"/>
        <w:jc w:val="both"/>
      </w:pPr>
      <w:r>
        <w:rPr>
          <w:rtl/>
        </w:rPr>
        <w:t xml:space="preserve">טעותו של ביאליק הייתה מן ההשגחה – אבי אמר: “הענישוהו מן השמים שיטעה טעות בולטת כל כך” – כדי להראות שאפילו בראשו של המשורר הלאומי שרד התנ״ך לא כספרות, אלא כמסמך של אמונה, שנחקק במוחו בזכות תפילתו מתוך סידור ולימודיו בחדר בילדותו [וכפי שאני מעז להוסיף, בזכות לימודיו בישיבת </w:t>
      </w:r>
      <w:proofErr w:type="spellStart"/>
      <w:r>
        <w:rPr>
          <w:rtl/>
        </w:rPr>
        <w:t>וולוז׳ין</w:t>
      </w:r>
      <w:proofErr w:type="spellEnd"/>
      <w:r>
        <w:rPr>
          <w:rtl/>
        </w:rPr>
        <w:t xml:space="preserve"> בנעוריו].</w:t>
      </w:r>
    </w:p>
    <w:p w14:paraId="66992D5B" w14:textId="77777777" w:rsidR="00AB3647" w:rsidRDefault="00000000" w:rsidP="007923E9">
      <w:pPr>
        <w:spacing w:after="120" w:line="276" w:lineRule="auto"/>
        <w:ind w:firstLine="283"/>
        <w:jc w:val="both"/>
      </w:pPr>
      <w:r>
        <w:rPr>
          <w:rtl/>
        </w:rPr>
        <w:lastRenderedPageBreak/>
        <w:t xml:space="preserve">אמרה מעניינת של </w:t>
      </w:r>
      <w:proofErr w:type="spellStart"/>
      <w:r>
        <w:rPr>
          <w:rtl/>
        </w:rPr>
        <w:t>חיים־נחמן</w:t>
      </w:r>
      <w:proofErr w:type="spellEnd"/>
      <w:r>
        <w:rPr>
          <w:rtl/>
        </w:rPr>
        <w:t xml:space="preserve"> ביאליק מתועדת </w:t>
      </w:r>
      <w:proofErr w:type="spellStart"/>
      <w:r>
        <w:rPr>
          <w:rtl/>
        </w:rPr>
        <w:t>ב“ליקוטי</w:t>
      </w:r>
      <w:proofErr w:type="spellEnd"/>
      <w:r>
        <w:rPr>
          <w:rtl/>
        </w:rPr>
        <w:t xml:space="preserve"> </w:t>
      </w:r>
      <w:proofErr w:type="spellStart"/>
      <w:r>
        <w:rPr>
          <w:rtl/>
        </w:rPr>
        <w:t>הראי״ה</w:t>
      </w:r>
      <w:proofErr w:type="spellEnd"/>
      <w:r>
        <w:rPr>
          <w:rtl/>
        </w:rPr>
        <w:t>”.</w:t>
      </w:r>
      <w:bookmarkStart w:id="5309" w:name="_fnr3979"/>
      <w:bookmarkStart w:id="5310" w:name="pr_f_3866"/>
      <w:r>
        <w:rPr>
          <w:vertAlign w:val="superscript"/>
          <w:rtl/>
        </w:rPr>
        <w:footnoteReference w:id="3988" w:customMarkFollows="0"/>
      </w:r>
      <w:bookmarkEnd w:id="5309"/>
      <w:bookmarkEnd w:id="5310"/>
      <w:r>
        <w:rPr>
          <w:rtl/>
        </w:rPr>
        <w:t xml:space="preserve"> מסופר שם שפרופסור </w:t>
      </w:r>
      <w:proofErr w:type="spellStart"/>
      <w:r>
        <w:rPr>
          <w:rtl/>
        </w:rPr>
        <w:t>יוסף־יואל</w:t>
      </w:r>
      <w:proofErr w:type="spellEnd"/>
      <w:r>
        <w:rPr>
          <w:rtl/>
        </w:rPr>
        <w:t xml:space="preserve"> ריבלין ליווה פעם את ר׳ </w:t>
      </w:r>
      <w:proofErr w:type="spellStart"/>
      <w:r>
        <w:rPr>
          <w:rtl/>
        </w:rPr>
        <w:t>יעקב־משה</w:t>
      </w:r>
      <w:proofErr w:type="spellEnd"/>
      <w:r>
        <w:rPr>
          <w:rtl/>
        </w:rPr>
        <w:t xml:space="preserve"> חרל״פ בירושלים, ור׳ </w:t>
      </w:r>
      <w:proofErr w:type="spellStart"/>
      <w:r>
        <w:rPr>
          <w:rtl/>
        </w:rPr>
        <w:t>יעקב־משה</w:t>
      </w:r>
      <w:proofErr w:type="spellEnd"/>
      <w:r>
        <w:rPr>
          <w:rtl/>
        </w:rPr>
        <w:t xml:space="preserve"> “אמר לו פתאום: ‘יוסף, שמעתי שאתה קרוב לביאליק; האם תוכל לספר לי על יחסו לדת?’ [הוא] השיב: ‘כשהייתי בפרנקפורט’” – ריבלין למד חמש שנים בגרמניה, </w:t>
      </w:r>
      <w:proofErr w:type="spellStart"/>
      <w:r>
        <w:rPr>
          <w:rtl/>
        </w:rPr>
        <w:t>מתרפ״ב</w:t>
      </w:r>
      <w:proofErr w:type="spellEnd"/>
      <w:r>
        <w:rPr>
          <w:rtl/>
        </w:rPr>
        <w:t xml:space="preserve"> עד תרפ״ז – “‘ביקרו אצלי ביאליק ואשתו; היה זה ביום חמישי. אחרי הביקור ליוויתי אותו, כדרכי, לתחנת הרכבת לקראת שובו ל[באד] </w:t>
      </w:r>
      <w:proofErr w:type="spellStart"/>
      <w:r>
        <w:rPr>
          <w:rtl/>
        </w:rPr>
        <w:t>הומבורג</w:t>
      </w:r>
      <w:proofErr w:type="spellEnd"/>
      <w:r>
        <w:rPr>
          <w:rtl/>
        </w:rPr>
        <w:t>. לפני שעלו לרכבת אמר לי ביאליק: “ריבלין, בוא לבקרנו בשבת, אתה ואשתך.” השבתי: “איני נוסע בשבת.” ביאליק השתומם: “גם ברכבת תחתית ובחשמלית אינך נוסע?!” באותו רגע התכופף וחיבק אותי, ואמר: “אני מקנא בך. אבל דע לך: איני מומר להכעיס; אני מומר לתיאבון,</w:t>
      </w:r>
      <w:bookmarkStart w:id="5311" w:name="_fnr3980"/>
      <w:r>
        <w:rPr>
          <w:vertAlign w:val="superscript"/>
          <w:rtl/>
        </w:rPr>
        <w:footnoteReference w:id="3989" w:customMarkFollows="0"/>
      </w:r>
      <w:bookmarkEnd w:id="5311"/>
      <w:r>
        <w:rPr>
          <w:rtl/>
        </w:rPr>
        <w:t xml:space="preserve"> וכשאגיע לארץ ישראל, אני מקווה שה׳ ייתן לי כוח להתגבר על תאוותי.”‘”</w:t>
      </w:r>
      <w:bookmarkStart w:id="5312" w:name="_fnr3981"/>
      <w:bookmarkStart w:id="5313" w:name="pr_f_3868"/>
      <w:r>
        <w:rPr>
          <w:vertAlign w:val="superscript"/>
          <w:rtl/>
        </w:rPr>
        <w:footnoteReference w:id="3990" w:customMarkFollows="0"/>
      </w:r>
      <w:bookmarkEnd w:id="5312"/>
      <w:bookmarkEnd w:id="5313"/>
      <w:r>
        <w:rPr>
          <w:rtl/>
        </w:rPr>
        <w:t xml:space="preserve"> ביאליק עלה לארץ ישראל זמן לא רב אחרי שיחה זו, </w:t>
      </w:r>
      <w:proofErr w:type="spellStart"/>
      <w:r>
        <w:rPr>
          <w:rtl/>
        </w:rPr>
        <w:t>בתרפ״ד</w:t>
      </w:r>
      <w:proofErr w:type="spellEnd"/>
      <w:r>
        <w:rPr>
          <w:rtl/>
        </w:rPr>
        <w:t xml:space="preserve">, אבל לצערנו תקוותו לזכות </w:t>
      </w:r>
      <w:proofErr w:type="spellStart"/>
      <w:r>
        <w:rPr>
          <w:rtl/>
        </w:rPr>
        <w:t>ב“כוח</w:t>
      </w:r>
      <w:proofErr w:type="spellEnd"/>
      <w:r>
        <w:rPr>
          <w:rtl/>
        </w:rPr>
        <w:t>” לא התגשמה.</w:t>
      </w:r>
    </w:p>
    <w:p w14:paraId="1D6DE868" w14:textId="77777777" w:rsidR="00AB3647" w:rsidRDefault="00000000" w:rsidP="007923E9">
      <w:pPr>
        <w:spacing w:after="120" w:line="276" w:lineRule="auto"/>
        <w:ind w:firstLine="283"/>
        <w:jc w:val="both"/>
      </w:pPr>
      <w:r>
        <w:rPr>
          <w:rtl/>
        </w:rPr>
        <w:t xml:space="preserve">באשר לשאלה מתי בדיוק ביקר ר׳ </w:t>
      </w:r>
      <w:proofErr w:type="spellStart"/>
      <w:r>
        <w:rPr>
          <w:rtl/>
        </w:rPr>
        <w:t>איצל׳ה</w:t>
      </w:r>
      <w:proofErr w:type="spellEnd"/>
      <w:r>
        <w:rPr>
          <w:rtl/>
        </w:rPr>
        <w:t xml:space="preserve"> </w:t>
      </w:r>
      <w:proofErr w:type="spellStart"/>
      <w:r>
        <w:rPr>
          <w:rtl/>
        </w:rPr>
        <w:t>בוולוז׳ין</w:t>
      </w:r>
      <w:proofErr w:type="spellEnd"/>
      <w:r>
        <w:rPr>
          <w:rtl/>
        </w:rPr>
        <w:t xml:space="preserve">, אפשר להציע שהביקור התרחש בין עזיבתו את פטרבורג, </w:t>
      </w:r>
      <w:proofErr w:type="spellStart"/>
      <w:r>
        <w:rPr>
          <w:rtl/>
        </w:rPr>
        <w:t>בתרל״ח</w:t>
      </w:r>
      <w:proofErr w:type="spellEnd"/>
      <w:r>
        <w:rPr>
          <w:rtl/>
        </w:rPr>
        <w:t xml:space="preserve">, לבין מינויו להנהלת כולל קובנה, </w:t>
      </w:r>
      <w:proofErr w:type="spellStart"/>
      <w:r>
        <w:rPr>
          <w:rtl/>
        </w:rPr>
        <w:t>בתר״ם</w:t>
      </w:r>
      <w:proofErr w:type="spellEnd"/>
      <w:r>
        <w:rPr>
          <w:rtl/>
        </w:rPr>
        <w:t xml:space="preserve">. פרק זמן זה, שבו לא היה קשור לא לפטרבורג ולא לקובנה, נראה מתאים להצעתו להיות משגיח </w:t>
      </w:r>
      <w:proofErr w:type="spellStart"/>
      <w:r>
        <w:rPr>
          <w:rtl/>
        </w:rPr>
        <w:t>בוולוז׳ין</w:t>
      </w:r>
      <w:proofErr w:type="spellEnd"/>
      <w:r>
        <w:rPr>
          <w:rtl/>
        </w:rPr>
        <w:t xml:space="preserve">. לפי זה התרחש הביקור כששש שנות </w:t>
      </w:r>
      <w:proofErr w:type="spellStart"/>
      <w:r>
        <w:rPr>
          <w:rtl/>
        </w:rPr>
        <w:t>ה“קעסט</w:t>
      </w:r>
      <w:proofErr w:type="spellEnd"/>
      <w:r>
        <w:rPr>
          <w:rtl/>
        </w:rPr>
        <w:t>” של ר׳ חיים – זה היה מספר השנים שהוקצב בדרך כלל באותה תקופה לאברכים מצטיינים</w:t>
      </w:r>
      <w:bookmarkStart w:id="5314" w:name="_fnr3982"/>
      <w:r>
        <w:rPr>
          <w:vertAlign w:val="superscript"/>
          <w:rtl/>
        </w:rPr>
        <w:footnoteReference w:id="3991" w:customMarkFollows="0"/>
      </w:r>
      <w:bookmarkEnd w:id="5314"/>
      <w:r>
        <w:rPr>
          <w:rtl/>
        </w:rPr>
        <w:t xml:space="preserve"> – עמדו להסתיים, </w:t>
      </w:r>
      <w:proofErr w:type="spellStart"/>
      <w:r>
        <w:rPr>
          <w:rtl/>
        </w:rPr>
        <w:t>בתרל״ט</w:t>
      </w:r>
      <w:proofErr w:type="spellEnd"/>
      <w:r>
        <w:rPr>
          <w:rtl/>
        </w:rPr>
        <w:t>.</w:t>
      </w:r>
    </w:p>
    <w:p w14:paraId="1C79AA49" w14:textId="77777777" w:rsidR="00AB3647" w:rsidRDefault="00000000" w:rsidP="007923E9">
      <w:pPr>
        <w:pStyle w:val="4"/>
        <w:spacing w:line="276" w:lineRule="auto"/>
      </w:pPr>
      <w:r>
        <w:t>· הפסקה הרביעית ·</w:t>
      </w:r>
    </w:p>
    <w:p w14:paraId="02867775" w14:textId="77777777" w:rsidR="00AB3647" w:rsidRDefault="00000000" w:rsidP="007923E9">
      <w:pPr>
        <w:pStyle w:val="5"/>
        <w:spacing w:line="276" w:lineRule="auto"/>
      </w:pPr>
      <w:r>
        <w:rPr>
          <w:bCs/>
          <w:szCs w:val="26"/>
        </w:rPr>
        <w:t xml:space="preserve">ר׳ חיים </w:t>
      </w:r>
      <w:proofErr w:type="spellStart"/>
      <w:r>
        <w:rPr>
          <w:bCs/>
          <w:szCs w:val="26"/>
        </w:rPr>
        <w:t>סולובייצ׳יק</w:t>
      </w:r>
      <w:proofErr w:type="spellEnd"/>
      <w:r>
        <w:rPr>
          <w:bCs/>
          <w:szCs w:val="26"/>
        </w:rPr>
        <w:t xml:space="preserve"> נחשב לאדם שאינו מצוי בהוויות העולם בשנותיו הראשונות </w:t>
      </w:r>
      <w:proofErr w:type="spellStart"/>
      <w:r>
        <w:rPr>
          <w:bCs/>
          <w:szCs w:val="26"/>
        </w:rPr>
        <w:t>בוולוז׳ין</w:t>
      </w:r>
      <w:proofErr w:type="spellEnd"/>
      <w:r>
        <w:rPr>
          <w:bCs/>
          <w:szCs w:val="26"/>
        </w:rPr>
        <w:t xml:space="preserve"> – לבושו נשאר מרושל גם לאחר שנתמנה לרבה של </w:t>
      </w:r>
      <w:proofErr w:type="spellStart"/>
      <w:r>
        <w:rPr>
          <w:bCs/>
          <w:szCs w:val="26"/>
        </w:rPr>
        <w:t>בריסק</w:t>
      </w:r>
      <w:proofErr w:type="spellEnd"/>
      <w:r>
        <w:rPr>
          <w:bCs/>
          <w:szCs w:val="26"/>
        </w:rPr>
        <w:t xml:space="preserve"> – ר׳ חיים גוער </w:t>
      </w:r>
      <w:r>
        <w:rPr>
          <w:bCs/>
          <w:szCs w:val="26"/>
        </w:rPr>
        <w:lastRenderedPageBreak/>
        <w:t xml:space="preserve">באחיו הגדול של ר׳ שמעון </w:t>
      </w:r>
      <w:proofErr w:type="spellStart"/>
      <w:r>
        <w:rPr>
          <w:bCs/>
          <w:szCs w:val="26"/>
        </w:rPr>
        <w:t>שקופ</w:t>
      </w:r>
      <w:proofErr w:type="spellEnd"/>
      <w:r>
        <w:rPr>
          <w:bCs/>
          <w:szCs w:val="26"/>
        </w:rPr>
        <w:t xml:space="preserve"> – מקצת התלמידים אינם מרוצים משיעוריו – התלמידים המבוגרים נוטים מראש להתנגד למינויו – הוא מעמיד את מתנגדיו במקומם – הנהלת הישיבה מעניקה לו קופסת אתרוג שעליה כתובת – ר׳ </w:t>
      </w:r>
      <w:proofErr w:type="spellStart"/>
      <w:r>
        <w:rPr>
          <w:bCs/>
          <w:szCs w:val="26"/>
        </w:rPr>
        <w:t>יצחק־אייזיק</w:t>
      </w:r>
      <w:proofErr w:type="spellEnd"/>
      <w:r>
        <w:rPr>
          <w:bCs/>
          <w:szCs w:val="26"/>
        </w:rPr>
        <w:t xml:space="preserve"> הלוי מסייע </w:t>
      </w:r>
      <w:proofErr w:type="spellStart"/>
      <w:r>
        <w:rPr>
          <w:bCs/>
          <w:szCs w:val="26"/>
        </w:rPr>
        <w:t>לר</w:t>
      </w:r>
      <w:proofErr w:type="spellEnd"/>
      <w:r>
        <w:rPr>
          <w:bCs/>
          <w:szCs w:val="26"/>
        </w:rPr>
        <w:t xml:space="preserve">׳ חיים לקבל את המשרה – </w:t>
      </w:r>
      <w:proofErr w:type="spellStart"/>
      <w:r>
        <w:rPr>
          <w:bCs/>
          <w:szCs w:val="26"/>
        </w:rPr>
        <w:t>הנצי״ב</w:t>
      </w:r>
      <w:proofErr w:type="spellEnd"/>
      <w:r>
        <w:rPr>
          <w:bCs/>
          <w:szCs w:val="26"/>
        </w:rPr>
        <w:t xml:space="preserve"> חושש מתחרות </w:t>
      </w:r>
      <w:proofErr w:type="spellStart"/>
      <w:r>
        <w:rPr>
          <w:bCs/>
          <w:szCs w:val="26"/>
        </w:rPr>
        <w:t>בוולוז׳ין</w:t>
      </w:r>
      <w:proofErr w:type="spellEnd"/>
      <w:r>
        <w:rPr>
          <w:bCs/>
          <w:szCs w:val="26"/>
        </w:rPr>
        <w:t xml:space="preserve"> – ר׳ רפאל שפירא מקבל משרת רבנות, אך ממתין עד שחתנו מתבסס במקומו – ר׳ רפאל משלים מחזור שלם של הוראת התלמוד.</w:t>
      </w:r>
    </w:p>
    <w:p w14:paraId="7BA17B2C" w14:textId="77777777" w:rsidR="00AB3647" w:rsidRDefault="00000000" w:rsidP="007923E9">
      <w:pPr>
        <w:spacing w:after="120" w:line="276" w:lineRule="auto"/>
        <w:ind w:firstLine="283"/>
        <w:jc w:val="both"/>
      </w:pPr>
      <w:bookmarkStart w:id="5315" w:name="pr_b_2252"/>
      <w:bookmarkEnd w:id="5315"/>
      <w:r>
        <w:rPr>
          <w:rtl/>
        </w:rPr>
        <w:t xml:space="preserve">אם אכן טעה ר׳ חיים בהערכת מצב “בריאותה” של ישיבת </w:t>
      </w:r>
      <w:proofErr w:type="spellStart"/>
      <w:r>
        <w:rPr>
          <w:rtl/>
        </w:rPr>
        <w:t>וולוז׳ין</w:t>
      </w:r>
      <w:proofErr w:type="spellEnd"/>
      <w:r>
        <w:rPr>
          <w:rtl/>
        </w:rPr>
        <w:t xml:space="preserve">, ייתכן שהסיבה לא הייתה תמימותו או ייאושו מן התלמידים שנדבקו בנגע, אלא שקיעתו המוחלטת בלימוד התורה. אפשרות זו עולה משום ששיטתו הייחודית בלימוד התלמוד דרשה, ביתר שאת, התמסרות מוחלטת לנושא הנלמד, וייתכן שמשום כך לא היה מודע למעשיהם של תלמידי </w:t>
      </w:r>
      <w:proofErr w:type="spellStart"/>
      <w:r>
        <w:rPr>
          <w:rtl/>
        </w:rPr>
        <w:t>וולוז׳ין</w:t>
      </w:r>
      <w:proofErr w:type="spellEnd"/>
      <w:r>
        <w:rPr>
          <w:rtl/>
        </w:rPr>
        <w:t xml:space="preserve">. הדבר מתקבל על הדעת במיוחד אם המפגש בין ר׳ חיים </w:t>
      </w:r>
      <w:proofErr w:type="spellStart"/>
      <w:r>
        <w:rPr>
          <w:rtl/>
        </w:rPr>
        <w:t>לר</w:t>
      </w:r>
      <w:proofErr w:type="spellEnd"/>
      <w:r>
        <w:rPr>
          <w:rtl/>
        </w:rPr>
        <w:t xml:space="preserve">׳ </w:t>
      </w:r>
      <w:proofErr w:type="spellStart"/>
      <w:r>
        <w:rPr>
          <w:rtl/>
        </w:rPr>
        <w:t>איצל׳ה</w:t>
      </w:r>
      <w:proofErr w:type="spellEnd"/>
      <w:r>
        <w:rPr>
          <w:rtl/>
        </w:rPr>
        <w:t xml:space="preserve"> התרחש בתקופה המוקדמת יותר, כפי שהצעתי מלכתחילה. ר׳ חיים היה אז עדיין צעיר באמצע שנות העשרים לחייו, בלי אחריות לתלמידים, ועסק רק בהתפתחותו שלו – ולכן לא ראה את המציאות שסביבו </w:t>
      </w:r>
      <w:proofErr w:type="spellStart"/>
      <w:r>
        <w:rPr>
          <w:rtl/>
        </w:rPr>
        <w:t>בוולוז׳ין</w:t>
      </w:r>
      <w:proofErr w:type="spellEnd"/>
      <w:r>
        <w:rPr>
          <w:rtl/>
        </w:rPr>
        <w:t>.</w:t>
      </w:r>
    </w:p>
    <w:p w14:paraId="7CFF459D" w14:textId="77777777" w:rsidR="00AB3647" w:rsidRDefault="00000000" w:rsidP="007923E9">
      <w:pPr>
        <w:spacing w:after="120" w:line="276" w:lineRule="auto"/>
        <w:ind w:firstLine="283"/>
        <w:jc w:val="both"/>
      </w:pPr>
      <w:r>
        <w:rPr>
          <w:rtl/>
        </w:rPr>
        <w:t xml:space="preserve">את ריחוקו מסביבת </w:t>
      </w:r>
      <w:proofErr w:type="spellStart"/>
      <w:r>
        <w:rPr>
          <w:rtl/>
        </w:rPr>
        <w:t>וולוז׳ין</w:t>
      </w:r>
      <w:proofErr w:type="spellEnd"/>
      <w:r>
        <w:rPr>
          <w:rtl/>
        </w:rPr>
        <w:t xml:space="preserve"> ממחישים הן סיפור שסיפר ר׳ זליג אפשטיין</w:t>
      </w:r>
      <w:bookmarkStart w:id="5316" w:name="_fnr3983"/>
      <w:r>
        <w:rPr>
          <w:vertAlign w:val="superscript"/>
          <w:rtl/>
        </w:rPr>
        <w:footnoteReference w:id="3992" w:customMarkFollows="0"/>
      </w:r>
      <w:bookmarkEnd w:id="5316"/>
      <w:r>
        <w:rPr>
          <w:rtl/>
        </w:rPr>
        <w:t xml:space="preserve"> והן הכינוי שניתן </w:t>
      </w:r>
      <w:proofErr w:type="spellStart"/>
      <w:r>
        <w:rPr>
          <w:rtl/>
        </w:rPr>
        <w:t>לר</w:t>
      </w:r>
      <w:proofErr w:type="spellEnd"/>
      <w:r>
        <w:rPr>
          <w:rtl/>
        </w:rPr>
        <w:t xml:space="preserve">׳ חיים בשנים הראשונות של הוראתו, ושבוודאי דבק בו עוד לפני שמשרתו חייבה אותו להיות מעורב בענייני התלמידים. ר׳ שמעון </w:t>
      </w:r>
      <w:proofErr w:type="spellStart"/>
      <w:r>
        <w:rPr>
          <w:rtl/>
        </w:rPr>
        <w:t>שקופ</w:t>
      </w:r>
      <w:proofErr w:type="spellEnd"/>
      <w:r>
        <w:rPr>
          <w:rtl/>
        </w:rPr>
        <w:t xml:space="preserve">, יליד </w:t>
      </w:r>
      <w:proofErr w:type="spellStart"/>
      <w:r>
        <w:rPr>
          <w:rtl/>
        </w:rPr>
        <w:t>תר״ך</w:t>
      </w:r>
      <w:proofErr w:type="spellEnd"/>
      <w:r>
        <w:rPr>
          <w:rtl/>
        </w:rPr>
        <w:t xml:space="preserve">, כבר היה קרוב לגיל עשרים ואחת, ולמד בישיבת </w:t>
      </w:r>
      <w:proofErr w:type="spellStart"/>
      <w:r>
        <w:rPr>
          <w:rtl/>
        </w:rPr>
        <w:t>וולוז׳ין</w:t>
      </w:r>
      <w:proofErr w:type="spellEnd"/>
      <w:r>
        <w:rPr>
          <w:rtl/>
        </w:rPr>
        <w:t xml:space="preserve"> חמש שנים, כשהתקרב </w:t>
      </w:r>
      <w:proofErr w:type="spellStart"/>
      <w:r>
        <w:rPr>
          <w:rtl/>
        </w:rPr>
        <w:t>לר</w:t>
      </w:r>
      <w:proofErr w:type="spellEnd"/>
      <w:r>
        <w:rPr>
          <w:rtl/>
        </w:rPr>
        <w:t xml:space="preserve">׳ חיים. משום שר׳ שמעון החל “לדבר בלימוד” עם ר׳ חיים בלי הרף, גער בו אחיו הגדול, ר׳ </w:t>
      </w:r>
      <w:proofErr w:type="spellStart"/>
      <w:r>
        <w:rPr>
          <w:rtl/>
        </w:rPr>
        <w:t>לייבל־זכריה</w:t>
      </w:r>
      <w:proofErr w:type="spellEnd"/>
      <w:r>
        <w:rPr>
          <w:rtl/>
        </w:rPr>
        <w:t xml:space="preserve"> קפלן, שגם הוא למד אז </w:t>
      </w:r>
      <w:proofErr w:type="spellStart"/>
      <w:r>
        <w:rPr>
          <w:rtl/>
        </w:rPr>
        <w:t>בוולוז׳ין</w:t>
      </w:r>
      <w:proofErr w:type="spellEnd"/>
      <w:r>
        <w:rPr>
          <w:rtl/>
        </w:rPr>
        <w:t>: “מדוע אתה מבלה זמן רב כל כך עם הבטלן [אדם שאינו מצוי בהוויות העולם ואינו מעשי]?” ר׳ חיים קנה לעצמו כינוי זה משום שמחשבתו הייתה טרודה תמיד!</w:t>
      </w:r>
    </w:p>
    <w:p w14:paraId="681E87E7" w14:textId="77777777" w:rsidR="00AB3647" w:rsidRDefault="00000000" w:rsidP="007923E9">
      <w:pPr>
        <w:spacing w:after="120" w:line="276" w:lineRule="auto"/>
        <w:ind w:firstLine="283"/>
        <w:jc w:val="both"/>
      </w:pPr>
      <w:r>
        <w:rPr>
          <w:rtl/>
        </w:rPr>
        <w:t xml:space="preserve">גם לבושו היה מרושל, וכך נשאר אף לאחר שנתמנה לרבה של </w:t>
      </w:r>
      <w:proofErr w:type="spellStart"/>
      <w:r>
        <w:rPr>
          <w:rtl/>
        </w:rPr>
        <w:t>בריסק</w:t>
      </w:r>
      <w:bookmarkStart w:id="5317" w:name="_fnr3984"/>
      <w:proofErr w:type="spellEnd"/>
      <w:r>
        <w:rPr>
          <w:vertAlign w:val="superscript"/>
          <w:rtl/>
        </w:rPr>
        <w:footnoteReference w:id="3993" w:customMarkFollows="0"/>
      </w:r>
      <w:bookmarkEnd w:id="5317"/>
      <w:r>
        <w:rPr>
          <w:rtl/>
        </w:rPr>
        <w:t>. ר׳ חיים ברנד מסר</w:t>
      </w:r>
      <w:bookmarkStart w:id="5318" w:name="_fnr3985"/>
      <w:r>
        <w:rPr>
          <w:vertAlign w:val="superscript"/>
          <w:rtl/>
        </w:rPr>
        <w:footnoteReference w:id="3994" w:customMarkFollows="0"/>
      </w:r>
      <w:bookmarkEnd w:id="5318"/>
      <w:r>
        <w:rPr>
          <w:rtl/>
        </w:rPr>
        <w:t xml:space="preserve"> בשם נכדו של ר׳ חיים, ר׳ </w:t>
      </w:r>
      <w:proofErr w:type="spellStart"/>
      <w:r>
        <w:rPr>
          <w:rtl/>
        </w:rPr>
        <w:t xml:space="preserve">יושע־בערל</w:t>
      </w:r>
      <w:proofErr w:type="spellEnd"/>
      <w:r>
        <w:rPr>
          <w:rtl/>
        </w:rPr>
        <w:t xml:space="preserve"> </w:t>
      </w:r>
      <w:proofErr w:type="spellStart"/>
      <w:r>
        <w:rPr>
          <w:rtl/>
        </w:rPr>
        <w:t>סולובייצ׳יק</w:t>
      </w:r>
      <w:proofErr w:type="spellEnd"/>
      <w:r>
        <w:rPr>
          <w:rtl/>
        </w:rPr>
        <w:t xml:space="preserve">, שכשהיה ר׳ חיים אברך </w:t>
      </w:r>
      <w:proofErr w:type="spellStart"/>
      <w:r>
        <w:rPr>
          <w:rtl/>
        </w:rPr>
        <w:t>בוולוז׳ין</w:t>
      </w:r>
      <w:proofErr w:type="spellEnd"/>
      <w:r>
        <w:rPr>
          <w:rtl/>
        </w:rPr>
        <w:t>, נהג לקנח את אפו בקצה הקפוטה שלו. כשאשתו, שזה עתה נישאה לו, התלוננה על כך לפני חמיה, אמר לה שאין בכוחו לשכנע את בנו לחדול מכך. השיפור היחיד שיכול היה אביו של ר׳ חיים להציע היה לייעץ לו להשתמש בצדה הפנימי של הקפוטה במקום בצדה החיצוני</w:t>
      </w:r>
      <w:bookmarkStart w:id="5319" w:name="_fnr3986"/>
      <w:r>
        <w:rPr>
          <w:vertAlign w:val="superscript"/>
          <w:rtl/>
        </w:rPr>
        <w:footnoteReference w:id="3995" w:customMarkFollows="0"/>
      </w:r>
      <w:bookmarkEnd w:id="5319"/>
      <w:r>
        <w:rPr>
          <w:rtl/>
        </w:rPr>
        <w:t>.</w:t>
      </w:r>
    </w:p>
    <w:p w14:paraId="76508A19" w14:textId="77777777" w:rsidR="00AB3647" w:rsidRDefault="00000000" w:rsidP="007923E9">
      <w:pPr>
        <w:spacing w:after="120" w:line="276" w:lineRule="auto"/>
        <w:ind w:firstLine="283"/>
        <w:jc w:val="both"/>
      </w:pPr>
      <w:bookmarkStart w:id="5320" w:name="pr_b_2254"/>
      <w:bookmarkEnd w:id="5320"/>
      <w:r>
        <w:rPr>
          <w:rtl/>
        </w:rPr>
        <w:t xml:space="preserve">ר׳ זליג אפשטיין המשיך: “יותר מעשרים שנה לאחר מכן, כשר׳ חיים כבר היה רבה של </w:t>
      </w:r>
      <w:proofErr w:type="spellStart"/>
      <w:r>
        <w:rPr>
          <w:rtl/>
        </w:rPr>
        <w:t>בריסק</w:t>
      </w:r>
      <w:proofErr w:type="spellEnd"/>
      <w:r>
        <w:rPr>
          <w:rtl/>
        </w:rPr>
        <w:t xml:space="preserve"> ור׳ שמעון ראש ישיבה מבוסס </w:t>
      </w:r>
      <w:proofErr w:type="spellStart"/>
      <w:r>
        <w:rPr>
          <w:rtl/>
        </w:rPr>
        <w:t>בטלז</w:t>
      </w:r>
      <w:bookmarkStart w:id="5321" w:name="_fnr3987"/>
      <w:proofErr w:type="spellEnd"/>
      <w:r>
        <w:rPr>
          <w:vertAlign w:val="superscript"/>
          <w:rtl/>
        </w:rPr>
        <w:footnoteReference w:id="3996" w:customMarkFollows="0"/>
      </w:r>
      <w:bookmarkEnd w:id="5321"/>
      <w:r>
        <w:rPr>
          <w:rtl/>
        </w:rPr>
        <w:t xml:space="preserve">, עבר ר׳ שמעון </w:t>
      </w:r>
      <w:proofErr w:type="spellStart"/>
      <w:r>
        <w:rPr>
          <w:rtl/>
        </w:rPr>
        <w:t>בבריסק</w:t>
      </w:r>
      <w:proofErr w:type="spellEnd"/>
      <w:r>
        <w:rPr>
          <w:rtl/>
        </w:rPr>
        <w:t xml:space="preserve"> ונכנס לבקר את הרב יחד עם ר׳ </w:t>
      </w:r>
      <w:proofErr w:type="spellStart"/>
      <w:r>
        <w:rPr>
          <w:rtl/>
        </w:rPr>
        <w:t>לייבל־זכריה</w:t>
      </w:r>
      <w:proofErr w:type="spellEnd"/>
      <w:r>
        <w:rPr>
          <w:rtl/>
        </w:rPr>
        <w:t xml:space="preserve"> – שהיה עכשיו איש עסקים בעיר, ומבין ראשי הקהל תומך קרוב ונאמן במיוחד של ר׳ חיים. כשישבו יחד ליד שולחנו של ר׳ חיים, גער הרב </w:t>
      </w:r>
      <w:proofErr w:type="spellStart"/>
      <w:r>
        <w:rPr>
          <w:rtl/>
        </w:rPr>
        <w:t>מבריסק</w:t>
      </w:r>
      <w:proofErr w:type="spellEnd"/>
      <w:r>
        <w:rPr>
          <w:rtl/>
        </w:rPr>
        <w:t xml:space="preserve"> באורח המבוגר </w:t>
      </w:r>
      <w:r>
        <w:rPr>
          <w:rtl/>
        </w:rPr>
        <w:lastRenderedPageBreak/>
        <w:t xml:space="preserve">בבדיחות הדעת: ‘אתה רואה? אחיך הצעיר, </w:t>
      </w:r>
      <w:proofErr w:type="spellStart"/>
      <w:r>
        <w:rPr>
          <w:rtl/>
        </w:rPr>
        <w:t>ש“בילה</w:t>
      </w:r>
      <w:proofErr w:type="spellEnd"/>
      <w:r>
        <w:rPr>
          <w:rtl/>
        </w:rPr>
        <w:t xml:space="preserve"> זמן רב כל כך עם הבטלן”, נעשה ראש ישיבה עצמאי, ואילו אתה, שלא עשית כן, אינך אלא אחד מבני קהילתו של “הבטלן”.’”</w:t>
      </w:r>
    </w:p>
    <w:p w14:paraId="0ACED17A" w14:textId="17320026" w:rsidR="00AB3647" w:rsidRDefault="00000000" w:rsidP="007923E9">
      <w:pPr>
        <w:spacing w:after="120" w:line="276" w:lineRule="auto"/>
        <w:ind w:firstLine="283"/>
        <w:jc w:val="both"/>
      </w:pPr>
      <w:r>
        <w:rPr>
          <w:rtl/>
        </w:rPr>
        <w:t xml:space="preserve">ר׳ שמעון עצמו היה בתחילה מן התלמידים שנמנעו מלבוא לשיעוריו של ר׳ חיים, וייתכן שהיה ממשיך בכך אלמלא מקרה בלתי צפוי, כמבואר בפרק 3, בפסקה השנייה של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לנוכח מעמדו העליון של ר׳ חיים בעולם הישיבות בימינו, הקורא עשוי להשתומם על כך </w:t>
      </w:r>
      <w:proofErr w:type="spellStart"/>
      <w:r>
        <w:rPr>
          <w:rtl/>
        </w:rPr>
        <w:t>שבוולוז׳ין</w:t>
      </w:r>
      <w:proofErr w:type="spellEnd"/>
      <w:r>
        <w:rPr>
          <w:rtl/>
        </w:rPr>
        <w:t xml:space="preserve">, בתקופה הראשונה לאחר מינויו, לא זכתה הוראתו להערכה מלאה. השווה </w:t>
      </w:r>
      <w:proofErr w:type="spellStart"/>
      <w:r>
        <w:rPr>
          <w:rtl/>
        </w:rPr>
        <w:t>ידעאל</w:t>
      </w:r>
      <w:proofErr w:type="spellEnd"/>
      <w:r>
        <w:rPr>
          <w:rtl/>
        </w:rPr>
        <w:t xml:space="preserve"> מלצר, “בדרך עץ החיים”</w:t>
      </w:r>
      <w:bookmarkStart w:id="5322" w:name="_fnr3988"/>
      <w:r>
        <w:rPr>
          <w:vertAlign w:val="superscript"/>
          <w:rtl/>
        </w:rPr>
        <w:footnoteReference w:id="3997" w:customMarkFollows="0"/>
      </w:r>
      <w:bookmarkEnd w:id="5322"/>
      <w:bookmarkStart w:id="7042" w:name="_TranslatorNote_5397"/>
      <w:r>
        <w:rPr>
          <w:rStyle w:val="a5"/>
          <w:vertAlign w:val="superscript"/>
          <w:rtl/>
        </w:rPr>
        <w:footnoteReference w:id="3998" w:customMarkFollows="1"/>
        <w:t>*</w:t>
      </w:r>
      <w:bookmarkEnd w:id="7042"/>
      <w:r>
        <w:rPr>
          <w:rtl/>
        </w:rPr>
        <w:t xml:space="preserve">, שבו מובאים דברי ר׳ חיים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איסר־זלמן</w:t>
      </w:r>
      <w:proofErr w:type="spellEnd"/>
      <w:r>
        <w:rPr>
          <w:rtl/>
        </w:rPr>
        <w:t>: “כר״מ צעיר וחדש” – בתחילת כהונתו – “היו כדרך הטבע מתנגדים למינויי זה”. ר׳ חיים סיפר זאת לתלמידו כשהסביר לו שאף שהיה חשוב לו ביותר לומר אז שיעורים מרשימים, נמנע מלומר דבר שלא האמין שהוא ההבנה הנכונה של העניין [לאמיתה של תורה]</w:t>
      </w:r>
      <w:bookmarkStart w:id="5323" w:name="_fnr3989"/>
      <w:r>
        <w:rPr>
          <w:vertAlign w:val="superscript"/>
          <w:rtl/>
        </w:rPr>
        <w:footnoteReference w:id="3999" w:customMarkFollows="0"/>
      </w:r>
      <w:bookmarkEnd w:id="5323"/>
      <w:r>
        <w:rPr>
          <w:rtl/>
        </w:rPr>
        <w:t xml:space="preserve">. הוא הדריך את ר׳ </w:t>
      </w:r>
      <w:proofErr w:type="spellStart"/>
      <w:r>
        <w:rPr>
          <w:rtl/>
        </w:rPr>
        <w:t>איסר־זלמן</w:t>
      </w:r>
      <w:proofErr w:type="spellEnd"/>
      <w:r>
        <w:rPr>
          <w:rtl/>
        </w:rPr>
        <w:t xml:space="preserve"> לנהוג לפי כלל זה בעתיד, כשימסור שיעורים לדור הבא של לומדי התורה.</w:t>
      </w:r>
    </w:p>
    <w:p w14:paraId="3B46FA7B" w14:textId="77777777" w:rsidR="00AB3647" w:rsidRDefault="00000000" w:rsidP="007923E9">
      <w:pPr>
        <w:spacing w:after="120" w:line="276" w:lineRule="auto"/>
        <w:ind w:firstLine="283"/>
        <w:jc w:val="both"/>
      </w:pPr>
      <w:r>
        <w:rPr>
          <w:rtl/>
        </w:rPr>
        <w:t xml:space="preserve">על כך שבתחילה לא קיבלו את ר׳ חיים כמגיד שיעור בכיר, אמר ר׳ מיכל </w:t>
      </w:r>
      <w:proofErr w:type="spellStart"/>
      <w:r>
        <w:rPr>
          <w:rtl/>
        </w:rPr>
        <w:t>שורקין</w:t>
      </w:r>
      <w:bookmarkStart w:id="5324" w:name="_fnr3990"/>
      <w:proofErr w:type="spellEnd"/>
      <w:r>
        <w:rPr>
          <w:vertAlign w:val="superscript"/>
          <w:rtl/>
        </w:rPr>
        <w:footnoteReference w:id="4000" w:customMarkFollows="0"/>
      </w:r>
      <w:bookmarkEnd w:id="5324"/>
      <w:r>
        <w:rPr>
          <w:rtl/>
        </w:rPr>
        <w:t xml:space="preserve">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שהשומעים היו כה לא מרוצים מהוראתו, עד שגבאי ישיבת </w:t>
      </w:r>
      <w:proofErr w:type="spellStart"/>
      <w:r>
        <w:rPr>
          <w:rtl/>
        </w:rPr>
        <w:t>וולוז׳ין</w:t>
      </w:r>
      <w:proofErr w:type="spellEnd"/>
      <w:r>
        <w:rPr>
          <w:rtl/>
        </w:rPr>
        <w:t xml:space="preserve"> נאלצו לבקש מכמה מגדולי התורה לבוא </w:t>
      </w:r>
      <w:proofErr w:type="spellStart"/>
      <w:r>
        <w:rPr>
          <w:rtl/>
        </w:rPr>
        <w:t>לוולוז׳ין</w:t>
      </w:r>
      <w:proofErr w:type="spellEnd"/>
      <w:r>
        <w:rPr>
          <w:rtl/>
        </w:rPr>
        <w:t xml:space="preserve">, לשמוע את שיעורי המתמנה החדש ולהעריכם. ר׳ מיכל לא היה בטוח מי היו גדולים אלה, מלבד אחד – ר׳ </w:t>
      </w:r>
      <w:proofErr w:type="spellStart"/>
      <w:r>
        <w:rPr>
          <w:rtl/>
        </w:rPr>
        <w:t>רובל׳ה</w:t>
      </w:r>
      <w:proofErr w:type="spellEnd"/>
      <w:r>
        <w:rPr>
          <w:rtl/>
        </w:rPr>
        <w:t xml:space="preserve"> לוין </w:t>
      </w:r>
      <w:proofErr w:type="spellStart"/>
      <w:r>
        <w:rPr>
          <w:rtl/>
        </w:rPr>
        <w:t>מדינבורג</w:t>
      </w:r>
      <w:proofErr w:type="spellEnd"/>
      <w:r>
        <w:rPr>
          <w:rtl/>
        </w:rPr>
        <w:t>. “ר׳ חיים מסר שיעור במסכת יבמות,” סיפר ר׳ מיכל, “אבל אז מצא מקור ברמב״ם שסתר את דבריו, ולא היסס לחזור בו ממה שהכין לומר.”</w:t>
      </w:r>
    </w:p>
    <w:p w14:paraId="2D040D43" w14:textId="77777777" w:rsidR="00AB3647" w:rsidRDefault="00000000" w:rsidP="007923E9">
      <w:pPr>
        <w:spacing w:after="120" w:line="276" w:lineRule="auto"/>
        <w:ind w:firstLine="283"/>
        <w:jc w:val="both"/>
      </w:pPr>
      <w:r>
        <w:rPr>
          <w:rtl/>
        </w:rPr>
        <w:t xml:space="preserve">ר׳ </w:t>
      </w:r>
      <w:proofErr w:type="spellStart"/>
      <w:r>
        <w:rPr>
          <w:rtl/>
        </w:rPr>
        <w:t xml:space="preserve">יוסף־דב</w:t>
      </w:r>
      <w:proofErr w:type="spellEnd"/>
      <w:r>
        <w:rPr>
          <w:rtl/>
        </w:rPr>
        <w:t xml:space="preserve"> גילה בדיוק מה היה חידושו של ר׳ חיים ואיזה מדברי הרמב״ם הפריך אותו, וחלק זה בדיווחו של ר׳ מיכל </w:t>
      </w:r>
      <w:proofErr w:type="spellStart"/>
      <w:r>
        <w:rPr>
          <w:rtl/>
        </w:rPr>
        <w:t>שורקין</w:t>
      </w:r>
      <w:proofErr w:type="spellEnd"/>
      <w:r>
        <w:rPr>
          <w:rtl/>
        </w:rPr>
        <w:t xml:space="preserve"> הועלה לימים על הכתב בספר “הרב”</w:t>
      </w:r>
      <w:bookmarkStart w:id="5325" w:name="_fnr3991"/>
      <w:r>
        <w:rPr>
          <w:vertAlign w:val="superscript"/>
          <w:rtl/>
        </w:rPr>
        <w:footnoteReference w:id="4001" w:customMarkFollows="0"/>
      </w:r>
      <w:bookmarkEnd w:id="5325"/>
      <w:r>
        <w:rPr>
          <w:rtl/>
        </w:rPr>
        <w:t xml:space="preserve">. הספר גם מציין את שם הרב שהעיר לגבאים שיש צורך לבחון מחדש את מינויו של ר׳ חיים, ומספר שאחר כך הזמין ר׳ </w:t>
      </w:r>
      <w:proofErr w:type="spellStart"/>
      <w:r>
        <w:rPr>
          <w:rtl/>
        </w:rPr>
        <w:t>רובל׳ה</w:t>
      </w:r>
      <w:proofErr w:type="spellEnd"/>
      <w:r>
        <w:rPr>
          <w:rtl/>
        </w:rPr>
        <w:t xml:space="preserve"> את ר׳ חיים </w:t>
      </w:r>
      <w:proofErr w:type="spellStart"/>
      <w:r>
        <w:rPr>
          <w:rtl/>
        </w:rPr>
        <w:t>לדינבורג</w:t>
      </w:r>
      <w:proofErr w:type="spellEnd"/>
      <w:r>
        <w:rPr>
          <w:rtl/>
        </w:rPr>
        <w:t xml:space="preserve"> וסמך אותו, לאחר שדן עמו בנושאים תלמודיים רבים. בסוף הסיפור הרשים ר׳ חיים את “בוחניו” כשהראה שירד לסוף דרך החשיבה של כל אחד מהם: הוא אמר להם כיצד יפתור כל אחד מהם בעיה מסוימת. על כישרונו המיוחד הזה ראה בפסקה הרביעית של נספח ו בפרק 5.</w:t>
      </w:r>
    </w:p>
    <w:p w14:paraId="0F7D8F3F" w14:textId="743C722A" w:rsidR="00AB3647" w:rsidRDefault="00000000" w:rsidP="007923E9">
      <w:pPr>
        <w:spacing w:after="120" w:line="276" w:lineRule="auto"/>
        <w:ind w:firstLine="283"/>
        <w:jc w:val="both"/>
      </w:pPr>
      <w:r>
        <w:rPr>
          <w:rtl/>
        </w:rPr>
        <w:t xml:space="preserve">אבל דיווחו של ר׳ מיכל </w:t>
      </w:r>
      <w:proofErr w:type="spellStart"/>
      <w:r>
        <w:rPr>
          <w:rtl/>
        </w:rPr>
        <w:t>שורקין</w:t>
      </w:r>
      <w:proofErr w:type="spellEnd"/>
      <w:r>
        <w:rPr>
          <w:rtl/>
        </w:rPr>
        <w:t xml:space="preserve"> (והגרסה שפורסמה </w:t>
      </w:r>
      <w:proofErr w:type="spellStart"/>
      <w:r>
        <w:rPr>
          <w:rtl/>
        </w:rPr>
        <w:t>ב“הרב</w:t>
      </w:r>
      <w:proofErr w:type="spellEnd"/>
      <w:r>
        <w:rPr>
          <w:rtl/>
        </w:rPr>
        <w:t xml:space="preserve">”), שחוזר בשם ר׳ </w:t>
      </w:r>
      <w:proofErr w:type="spellStart"/>
      <w:r>
        <w:rPr>
          <w:rtl/>
        </w:rPr>
        <w:t xml:space="preserve">יוסף־דב</w:t>
      </w:r>
      <w:proofErr w:type="spellEnd"/>
      <w:r>
        <w:rPr>
          <w:rtl/>
        </w:rPr>
        <w:t xml:space="preserve"> </w:t>
      </w:r>
      <w:proofErr w:type="spellStart"/>
      <w:r>
        <w:rPr>
          <w:rtl/>
        </w:rPr>
        <w:t>ב“נפש</w:t>
      </w:r>
      <w:proofErr w:type="spellEnd"/>
      <w:r>
        <w:rPr>
          <w:rtl/>
        </w:rPr>
        <w:t xml:space="preserve"> הרב”</w:t>
      </w:r>
      <w:bookmarkStart w:id="5326" w:name="_fnr3992"/>
      <w:r>
        <w:rPr>
          <w:vertAlign w:val="superscript"/>
          <w:rtl/>
        </w:rPr>
        <w:footnoteReference w:id="4002" w:customMarkFollows="0"/>
      </w:r>
      <w:bookmarkEnd w:id="5326"/>
      <w:r>
        <w:rPr>
          <w:rtl/>
        </w:rPr>
        <w:t xml:space="preserve">, אינו מתקבל, משלושה טעמים: (א) ר׳ חיים התחיל את שיעוריו כשהישיבה למדה מסכת בבא קמא, כמתואר להלן, והיה עליו לסיים את כל סדר נזיקין לפני שיגיע למסכת </w:t>
      </w:r>
      <w:r>
        <w:rPr>
          <w:rtl/>
        </w:rPr>
        <w:lastRenderedPageBreak/>
        <w:t>יבמות. הדבר ארך כמה שנים, ועד אז ודאי כבר לא עמד מינויו בישיבה לבחינה</w:t>
      </w:r>
      <w:bookmarkStart w:id="5327" w:name="_fnr3993"/>
      <w:bookmarkStart w:id="5328" w:name="pr_f_3880"/>
      <w:r>
        <w:rPr>
          <w:vertAlign w:val="superscript"/>
          <w:rtl/>
        </w:rPr>
        <w:footnoteReference w:id="4003" w:customMarkFollows="0"/>
      </w:r>
      <w:bookmarkEnd w:id="5327"/>
      <w:bookmarkEnd w:id="5328"/>
      <w:r>
        <w:rPr>
          <w:rtl/>
        </w:rPr>
        <w:t xml:space="preserve">. (ב) לפי סיפורו של אבי על ביקורו של ר׳ חיים אצל ר׳ </w:t>
      </w:r>
      <w:proofErr w:type="spellStart"/>
      <w:r>
        <w:rPr>
          <w:rtl/>
        </w:rPr>
        <w:t>רובל׳ה</w:t>
      </w:r>
      <w:proofErr w:type="spellEnd"/>
      <w:r>
        <w:rPr>
          <w:rtl/>
        </w:rPr>
        <w:t xml:space="preserve"> </w:t>
      </w:r>
      <w:proofErr w:type="spellStart"/>
      <w:r>
        <w:rPr>
          <w:rtl/>
        </w:rPr>
        <w:t>בדינבורג</w:t>
      </w:r>
      <w:proofErr w:type="spellEnd"/>
      <w:r>
        <w:rPr>
          <w:rtl/>
        </w:rPr>
        <w:t xml:space="preserve"> כעבור כמה שנים</w:t>
      </w:r>
      <w:bookmarkStart w:id="5329" w:name="_fnr3994"/>
      <w:r>
        <w:rPr>
          <w:vertAlign w:val="superscript"/>
          <w:rtl/>
        </w:rPr>
        <w:footnoteReference w:id="4004" w:customMarkFollows="0"/>
      </w:r>
      <w:bookmarkEnd w:id="5329"/>
      <w:r>
        <w:rPr>
          <w:rtl/>
        </w:rPr>
        <w:t xml:space="preserve">, לא היה </w:t>
      </w:r>
      <w:proofErr w:type="spellStart"/>
      <w:r>
        <w:rPr>
          <w:rtl/>
        </w:rPr>
        <w:t>לר</w:t>
      </w:r>
      <w:proofErr w:type="spellEnd"/>
      <w:r>
        <w:rPr>
          <w:rtl/>
        </w:rPr>
        <w:t xml:space="preserve">׳ </w:t>
      </w:r>
      <w:proofErr w:type="spellStart"/>
      <w:r>
        <w:rPr>
          <w:rtl/>
        </w:rPr>
        <w:t>רובל׳ה</w:t>
      </w:r>
      <w:proofErr w:type="spellEnd"/>
      <w:r>
        <w:rPr>
          <w:rtl/>
        </w:rPr>
        <w:t xml:space="preserve"> ידע ממקור ראשון על טיב השיעורים שמסר ר׳ חיים. (ג) ר׳ חיים לא קיבל סמיכה עד שהתמנה לרבנות </w:t>
      </w:r>
      <w:proofErr w:type="spellStart"/>
      <w:r>
        <w:rPr>
          <w:rtl/>
        </w:rPr>
        <w:t>בריסק</w:t>
      </w:r>
      <w:proofErr w:type="spellEnd"/>
      <w:r>
        <w:rPr>
          <w:rtl/>
        </w:rPr>
        <w:t xml:space="preserve"> לאחר סגירת ישיבת </w:t>
      </w:r>
      <w:proofErr w:type="spellStart"/>
      <w:r>
        <w:rPr>
          <w:rtl/>
        </w:rPr>
        <w:t>וולוז׳ין</w:t>
      </w:r>
      <w:proofErr w:type="spellEnd"/>
      <w:r>
        <w:rPr>
          <w:rtl/>
        </w:rPr>
        <w:t xml:space="preserve">, כמסופר </w:t>
      </w:r>
      <w:proofErr w:type="spellStart"/>
      <w:r>
        <w:rPr>
          <w:rtl/>
        </w:rPr>
        <w:t>ב“הראשון</w:t>
      </w:r>
      <w:proofErr w:type="spellEnd"/>
      <w:r>
        <w:rPr>
          <w:rtl/>
        </w:rPr>
        <w:t xml:space="preserve">” על פי מקורות אחרים וכמובא בפרק 5, בפסקה החמישית של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5EED1770" w14:textId="4DF4B695" w:rsidR="00AB3647" w:rsidRDefault="00000000" w:rsidP="007923E9">
      <w:pPr>
        <w:spacing w:after="120" w:line="276" w:lineRule="auto"/>
        <w:ind w:firstLine="283"/>
        <w:jc w:val="both"/>
      </w:pPr>
      <w:r>
        <w:rPr>
          <w:rtl/>
        </w:rPr>
        <w:t xml:space="preserve">ר׳ מיכל </w:t>
      </w:r>
      <w:proofErr w:type="spellStart"/>
      <w:r>
        <w:rPr>
          <w:rtl/>
        </w:rPr>
        <w:t>שורקין</w:t>
      </w:r>
      <w:proofErr w:type="spellEnd"/>
      <w:r>
        <w:rPr>
          <w:rtl/>
        </w:rPr>
        <w:t xml:space="preserve"> סיפר גם</w:t>
      </w:r>
      <w:bookmarkStart w:id="5330" w:name="_fnr3995"/>
      <w:r>
        <w:rPr>
          <w:vertAlign w:val="superscript"/>
          <w:rtl/>
        </w:rPr>
        <w:footnoteReference w:id="4005" w:customMarkFollows="0"/>
      </w:r>
      <w:bookmarkEnd w:id="5330"/>
      <w:r>
        <w:rPr>
          <w:rtl/>
        </w:rPr>
        <w:t xml:space="preserve"> שסבו ר׳ יעקב </w:t>
      </w:r>
      <w:proofErr w:type="spellStart"/>
      <w:r>
        <w:rPr>
          <w:rtl/>
        </w:rPr>
        <w:t>קנטרוביץ</w:t>
      </w:r>
      <w:proofErr w:type="spellEnd"/>
      <w:r>
        <w:rPr>
          <w:rtl/>
        </w:rPr>
        <w:t xml:space="preserve"> – תלמיד </w:t>
      </w:r>
      <w:proofErr w:type="spellStart"/>
      <w:r>
        <w:rPr>
          <w:rtl/>
        </w:rPr>
        <w:t>וולוז׳ין</w:t>
      </w:r>
      <w:proofErr w:type="spellEnd"/>
      <w:r>
        <w:rPr>
          <w:rtl/>
        </w:rPr>
        <w:t xml:space="preserve"> יליד תרל״ג, שלימים נעשה בן בית בבית חמיו של ר׳ חיים, ר׳ רפאל שפירא – אמר לו שהתלמידים המבוגרים הם שנמנעו מלבוא לשיעורי ר׳ חיים, בטענה שהוא “מדקדק כחוט השערה”. השווה גם פרק 3, </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bookmarkStart w:id="5331" w:name="_fnr3996"/>
      <w:r>
        <w:rPr>
          <w:vertAlign w:val="superscript"/>
          <w:rtl/>
        </w:rPr>
        <w:footnoteReference w:id="4006" w:customMarkFollows="0"/>
      </w:r>
      <w:bookmarkEnd w:id="5331"/>
      <w:r>
        <w:rPr>
          <w:rtl/>
        </w:rPr>
        <w:t xml:space="preserve">. ייתכן שהגדרה זו של דרך לימודו של ר׳ חיים התאימה לשיעוריו המאוחרים, אבל שיעוריו בתחילת כהונתו היו יותר בסגנון הפלפולי (דרך החריפות), באותה חריפות שהפגין אביו ר׳ יוסף־דב בספרו “בית הלוי”. ר׳ מיכל </w:t>
      </w:r>
      <w:proofErr w:type="spellStart"/>
      <w:r>
        <w:rPr>
          <w:rtl/>
        </w:rPr>
        <w:t>שורקין</w:t>
      </w:r>
      <w:proofErr w:type="spellEnd"/>
      <w:r>
        <w:rPr>
          <w:rtl/>
        </w:rPr>
        <w:t xml:space="preserve"> עצמו אמר שמעיון בשיעורים שמסר ר׳ חיים בתחילת כהונתו </w:t>
      </w:r>
      <w:proofErr w:type="spellStart"/>
      <w:r>
        <w:rPr>
          <w:rtl/>
        </w:rPr>
        <w:t>בוולוז׳ין</w:t>
      </w:r>
      <w:proofErr w:type="spellEnd"/>
      <w:r>
        <w:rPr>
          <w:rtl/>
        </w:rPr>
        <w:t xml:space="preserve"> – שנדפסו לאחרונה בשם “שיעורי רבנו חיים הלוי”</w:t>
      </w:r>
      <w:bookmarkStart w:id="5332" w:name="_fnr3997"/>
      <w:r>
        <w:rPr>
          <w:vertAlign w:val="superscript"/>
          <w:rtl/>
        </w:rPr>
        <w:footnoteReference w:id="4007" w:customMarkFollows="0"/>
      </w:r>
      <w:bookmarkEnd w:id="5332"/>
      <w:r>
        <w:rPr>
          <w:rtl/>
        </w:rPr>
        <w:t xml:space="preserve"> – ברור שעדיין לא פיתח אז את שיטתו הייחודית. כרך זה כולל את שיעוריו על סוף בבא קמא</w:t>
      </w:r>
      <w:bookmarkStart w:id="5333" w:name="_fnr3998"/>
      <w:r>
        <w:rPr>
          <w:vertAlign w:val="superscript"/>
          <w:rtl/>
        </w:rPr>
        <w:footnoteReference w:id="4008" w:customMarkFollows="0"/>
      </w:r>
      <w:bookmarkEnd w:id="5333"/>
      <w:r>
        <w:rPr>
          <w:rtl/>
        </w:rPr>
        <w:t xml:space="preserve">, על כל בבא מציעא ועל חלק </w:t>
      </w:r>
      <w:proofErr w:type="spellStart"/>
      <w:r>
        <w:rPr>
          <w:rtl/>
        </w:rPr>
        <w:t>מבבא</w:t>
      </w:r>
      <w:proofErr w:type="spellEnd"/>
      <w:r>
        <w:rPr>
          <w:rtl/>
        </w:rPr>
        <w:t xml:space="preserve"> </w:t>
      </w:r>
      <w:proofErr w:type="spellStart"/>
      <w:r>
        <w:rPr>
          <w:rtl/>
        </w:rPr>
        <w:t>בתרא</w:t>
      </w:r>
      <w:proofErr w:type="spellEnd"/>
      <w:r>
        <w:rPr>
          <w:rtl/>
        </w:rPr>
        <w:t>.</w:t>
      </w:r>
    </w:p>
    <w:p w14:paraId="48A8FC54" w14:textId="77777777" w:rsidR="00AB3647" w:rsidRDefault="00000000" w:rsidP="007923E9">
      <w:pPr>
        <w:spacing w:after="120" w:line="276" w:lineRule="auto"/>
        <w:ind w:firstLine="283"/>
        <w:jc w:val="both"/>
      </w:pPr>
      <w:r>
        <w:rPr>
          <w:rtl/>
        </w:rPr>
        <w:t xml:space="preserve">לפיכך אין לתלות את </w:t>
      </w:r>
      <w:proofErr w:type="spellStart"/>
      <w:r>
        <w:rPr>
          <w:rtl/>
        </w:rPr>
        <w:t>אי־שביעות</w:t>
      </w:r>
      <w:proofErr w:type="spellEnd"/>
      <w:r>
        <w:rPr>
          <w:rtl/>
        </w:rPr>
        <w:t xml:space="preserve"> רצונם של התלמידים המבוגרים משיעוריו בשיטת לימודו </w:t>
      </w:r>
      <w:proofErr w:type="spellStart"/>
      <w:r>
        <w:rPr>
          <w:rtl/>
        </w:rPr>
        <w:t>ה“מדקדקת</w:t>
      </w:r>
      <w:proofErr w:type="spellEnd"/>
      <w:r>
        <w:rPr>
          <w:rtl/>
        </w:rPr>
        <w:t xml:space="preserve"> כחוט השערה”. ייתכן שהתנגדותם נבעה מכך שהשיעורים היו חריפים בהרבה מאלה של קודמו בתפקיד, חותנו ר׳ רפאל שפירא, ובוודאי חריפים יותר משל </w:t>
      </w:r>
      <w:proofErr w:type="spellStart"/>
      <w:r>
        <w:rPr>
          <w:rtl/>
        </w:rPr>
        <w:t>הנצי״ב</w:t>
      </w:r>
      <w:proofErr w:type="spellEnd"/>
      <w:r>
        <w:rPr>
          <w:rtl/>
        </w:rPr>
        <w:t>. שיטתו של ר׳ רפאל נודעה בתרגילי “לשיטתו” מרחיקי לכת.</w:t>
      </w:r>
      <w:bookmarkStart w:id="5334" w:name="_fnr3999"/>
      <w:r>
        <w:rPr>
          <w:vertAlign w:val="superscript"/>
          <w:rtl/>
        </w:rPr>
        <w:footnoteReference w:id="4009" w:customMarkFollows="0"/>
      </w:r>
      <w:bookmarkEnd w:id="5334"/>
      <w:r>
        <w:rPr>
          <w:rtl/>
        </w:rPr>
        <w:t xml:space="preserve"> ר׳ מאיר ליברמן</w:t>
      </w:r>
      <w:bookmarkStart w:id="5335" w:name="_fnr4000"/>
      <w:r>
        <w:rPr>
          <w:vertAlign w:val="superscript"/>
          <w:rtl/>
        </w:rPr>
        <w:footnoteReference w:id="4010" w:customMarkFollows="0"/>
      </w:r>
      <w:bookmarkEnd w:id="5335"/>
      <w:r>
        <w:rPr>
          <w:rtl/>
        </w:rPr>
        <w:t xml:space="preserve"> חזר על אמרת כנף שהייתה רווחת בחוגי הישיבות: “מישהו פגש את רב </w:t>
      </w:r>
      <w:proofErr w:type="spellStart"/>
      <w:r>
        <w:rPr>
          <w:rtl/>
        </w:rPr>
        <w:t>פפא</w:t>
      </w:r>
      <w:proofErr w:type="spellEnd"/>
      <w:r>
        <w:rPr>
          <w:rtl/>
        </w:rPr>
        <w:t xml:space="preserve"> [אמורא מן השנים </w:t>
      </w:r>
      <w:proofErr w:type="spellStart"/>
      <w:r>
        <w:rPr>
          <w:rtl/>
        </w:rPr>
        <w:t>ד׳ק</w:t>
      </w:r>
      <w:proofErr w:type="spellEnd"/>
      <w:r>
        <w:rPr>
          <w:rtl/>
        </w:rPr>
        <w:t>׳–</w:t>
      </w:r>
      <w:proofErr w:type="spellStart"/>
      <w:r>
        <w:rPr>
          <w:rtl/>
        </w:rPr>
        <w:t>ד׳ר</w:t>
      </w:r>
      <w:proofErr w:type="spellEnd"/>
      <w:r>
        <w:rPr>
          <w:rtl/>
        </w:rPr>
        <w:t xml:space="preserve">׳, שישב </w:t>
      </w:r>
      <w:proofErr w:type="spellStart"/>
      <w:r>
        <w:rPr>
          <w:rtl/>
        </w:rPr>
        <w:t>בפומבדיתא</w:t>
      </w:r>
      <w:proofErr w:type="spellEnd"/>
      <w:r>
        <w:rPr>
          <w:rtl/>
        </w:rPr>
        <w:t xml:space="preserve">] ברחוב </w:t>
      </w:r>
      <w:proofErr w:type="spellStart"/>
      <w:r>
        <w:rPr>
          <w:rtl/>
        </w:rPr>
        <w:t>בוולוז׳ין</w:t>
      </w:r>
      <w:proofErr w:type="spellEnd"/>
      <w:r>
        <w:rPr>
          <w:rtl/>
        </w:rPr>
        <w:t xml:space="preserve">, ושאל את החכם הקדמון מה הוא עושה בעיר. השיב: ‘ר׳ רפאל הוריד אותי’ – מזמן וממקום שאינם קשורים לכאן – ‘לצורך לשיטתו’.”</w:t>
      </w:r>
    </w:p>
    <w:p w14:paraId="15E4F7C9" w14:textId="5C1F189F" w:rsidR="00AB3647" w:rsidRDefault="00000000" w:rsidP="007923E9">
      <w:pPr>
        <w:spacing w:after="120" w:line="276" w:lineRule="auto"/>
        <w:ind w:firstLine="283"/>
        <w:jc w:val="both"/>
      </w:pPr>
      <w:r>
        <w:rPr>
          <w:rtl/>
        </w:rPr>
        <w:t xml:space="preserve">אפשר גם לשער שהתלמידים המבוגרים התנגדו פחות לשיעורים עצמם ויותר לעצם מינויו של ר׳ חיים. הם היו רגילים שהמשנה לראש הישיבה הוא אדם מבוגר: ר׳ חיים היה בן 27 בלבד </w:t>
      </w:r>
      <w:r>
        <w:rPr>
          <w:rtl/>
        </w:rPr>
        <w:lastRenderedPageBreak/>
        <w:t xml:space="preserve">בעת מינויו, ולא מבוגר בהרבה מן התלמידים הוותיקים, ואילו ר׳ רפאל התחיל למסור שיעורים רק כשכבר היה בן 34. ראה גם פרק 5, הערה </w:t>
      </w:r>
      <w:r>
        <w:rPr>
          <w:rtl/>
        </w:rPr>
        <w:fldChar w:fldCharType="begin" w:dirty="true"/>
      </w:r>
      <w:r>
        <w:rPr>
          <w:rtl/>
        </w:rPr>
        <w:instrText xml:space="preserve"> REF b5_note25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25</w:t>
      </w:r>
      <w:r>
        <w:rPr>
          <w:rtl/>
        </w:rPr>
        <w:fldChar w:fldCharType="end"/>
      </w:r>
      <w:r>
        <w:rPr>
          <w:rtl/>
        </w:rPr>
        <w:t>: אפילו שלוש שנים לאחר המינוי עדיין נמנעו תלמידים מבוגרים משיעורו – ואולי כבר פיתח אז ר׳ חיים את שיטתו המיוחדת, שהתלמידים שלא העריכוה כינו “דקדוק כחוט השערה”. ראה גם פרק 3, הפסקה החמישית ב</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ר׳ </w:t>
      </w:r>
      <w:proofErr w:type="spellStart"/>
      <w:r>
        <w:rPr>
          <w:rtl/>
        </w:rPr>
        <w:t>חיים־עוזר</w:t>
      </w:r>
      <w:proofErr w:type="spellEnd"/>
      <w:r>
        <w:rPr>
          <w:rtl/>
        </w:rPr>
        <w:t xml:space="preserve"> </w:t>
      </w:r>
      <w:proofErr w:type="spellStart"/>
      <w:r>
        <w:rPr>
          <w:rtl/>
        </w:rPr>
        <w:t>גרודזנסקי</w:t>
      </w:r>
      <w:proofErr w:type="spellEnd"/>
      <w:r>
        <w:rPr>
          <w:rtl/>
        </w:rPr>
        <w:t xml:space="preserve">, שהחל ללמוד </w:t>
      </w:r>
      <w:proofErr w:type="spellStart"/>
      <w:r>
        <w:rPr>
          <w:rtl/>
        </w:rPr>
        <w:t>בוולוז׳ין</w:t>
      </w:r>
      <w:proofErr w:type="spellEnd"/>
      <w:r>
        <w:rPr>
          <w:rtl/>
        </w:rPr>
        <w:t xml:space="preserve"> רק שלוש שנים לפני מינויו של ר׳ חיים, לא כינה אותו “רבי”, אלא בכינויים רגילים יותר, אם כי מכובדים. מסתבר שאחרי שלוש שנים בלבד בישיבה כבר ראה תלמיד את עצמו “מבוגר”, שיכול להביט מלמעלה על </w:t>
      </w:r>
      <w:proofErr w:type="spellStart"/>
      <w:r>
        <w:rPr>
          <w:rtl/>
        </w:rPr>
        <w:t>הר״מ</w:t>
      </w:r>
      <w:proofErr w:type="spellEnd"/>
      <w:r>
        <w:rPr>
          <w:rtl/>
        </w:rPr>
        <w:t xml:space="preserve"> הצעיר שזה עתה מונה. אפשר גם לתאר לעצמנו שמכיוון שהתלמידים המבוגרים לא ראו בעין יפה את מגיד השיעור החדש, גם הצעירים לא קיבלו אותו בשלוות נפש גמורה.</w:t>
      </w:r>
    </w:p>
    <w:p w14:paraId="0C02A89F" w14:textId="30007DBB" w:rsidR="00AB3647" w:rsidRDefault="00000000" w:rsidP="007923E9">
      <w:pPr>
        <w:spacing w:after="120" w:line="276" w:lineRule="auto"/>
        <w:ind w:firstLine="283"/>
        <w:jc w:val="both"/>
      </w:pPr>
      <w:r>
        <w:rPr>
          <w:rtl/>
        </w:rPr>
        <w:t>ר׳ יהושע עתיק מסר</w:t>
      </w:r>
      <w:bookmarkStart w:id="5336" w:name="_fnr4001"/>
      <w:r>
        <w:rPr>
          <w:vertAlign w:val="superscript"/>
          <w:rtl/>
        </w:rPr>
        <w:footnoteReference w:id="4011" w:customMarkFollows="0"/>
      </w:r>
      <w:bookmarkEnd w:id="5336"/>
      <w:r>
        <w:rPr>
          <w:rtl/>
        </w:rPr>
        <w:t xml:space="preserve"> את מה שסיפר לו בנו הצעיר של ר׳ יוסף־דב </w:t>
      </w:r>
      <w:proofErr w:type="spellStart"/>
      <w:r>
        <w:rPr>
          <w:rtl/>
        </w:rPr>
        <w:t>סולובייצ׳יק</w:t>
      </w:r>
      <w:proofErr w:type="spellEnd"/>
      <w:r>
        <w:rPr>
          <w:rtl/>
        </w:rPr>
        <w:t xml:space="preserve">, ר׳ </w:t>
      </w:r>
      <w:proofErr w:type="spellStart"/>
      <w:r>
        <w:rPr>
          <w:rtl/>
        </w:rPr>
        <w:t>משה־אהרן</w:t>
      </w:r>
      <w:proofErr w:type="spellEnd"/>
      <w:r>
        <w:rPr>
          <w:rtl/>
        </w:rPr>
        <w:t xml:space="preserve">, בשם “אדם מהימן ששמע זאת ממישהו שלמד </w:t>
      </w:r>
      <w:proofErr w:type="spellStart"/>
      <w:r>
        <w:rPr>
          <w:rtl/>
        </w:rPr>
        <w:t>בוולוז׳ין</w:t>
      </w:r>
      <w:proofErr w:type="spellEnd"/>
      <w:r>
        <w:rPr>
          <w:rtl/>
        </w:rPr>
        <w:t xml:space="preserve"> באותה תקופה”: ביום הראשון שבו מסר ר׳ חיים את שיעורו, בא לתפילת ערבית לבוש בבגדי שבת. </w:t>
      </w:r>
      <w:proofErr w:type="spellStart"/>
      <w:r>
        <w:rPr>
          <w:rtl/>
        </w:rPr>
        <w:t>כשהנצי״ב</w:t>
      </w:r>
      <w:proofErr w:type="spellEnd"/>
      <w:r>
        <w:rPr>
          <w:rtl/>
        </w:rPr>
        <w:t xml:space="preserve"> שאל לפשר הדבר, גילה ר׳ חיים שמישהו הציב דלי מים, והדלי התהפך עליו והרטיב את בגדיו כשיצא מבית המדרש לאחר השיעור. אל יתפלא הקורא על הגסות שבה הביעו תלמידי </w:t>
      </w:r>
      <w:proofErr w:type="spellStart"/>
      <w:r>
        <w:rPr>
          <w:rtl/>
        </w:rPr>
        <w:t>וולוז׳ין</w:t>
      </w:r>
      <w:proofErr w:type="spellEnd"/>
      <w:r>
        <w:rPr>
          <w:rtl/>
        </w:rPr>
        <w:t xml:space="preserve"> את </w:t>
      </w:r>
      <w:proofErr w:type="spellStart"/>
      <w:r>
        <w:rPr>
          <w:rtl/>
        </w:rPr>
        <w:t>אי־שביעות</w:t>
      </w:r>
      <w:proofErr w:type="spellEnd"/>
      <w:r>
        <w:rPr>
          <w:rtl/>
        </w:rPr>
        <w:t xml:space="preserve"> רצונם בענייני הישיבה – ראה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5D0BA3FE" w14:textId="77777777" w:rsidR="00AB3647" w:rsidRDefault="00000000" w:rsidP="007923E9">
      <w:pPr>
        <w:spacing w:after="120" w:line="276" w:lineRule="auto"/>
        <w:ind w:firstLine="283"/>
        <w:jc w:val="both"/>
      </w:pPr>
      <w:r>
        <w:rPr>
          <w:rtl/>
        </w:rPr>
        <w:t xml:space="preserve">גם ר׳ </w:t>
      </w:r>
      <w:proofErr w:type="spellStart"/>
      <w:r>
        <w:rPr>
          <w:rtl/>
        </w:rPr>
        <w:t>משולם־דוד</w:t>
      </w:r>
      <w:proofErr w:type="spellEnd"/>
      <w:r>
        <w:rPr>
          <w:rtl/>
        </w:rPr>
        <w:t xml:space="preserve"> </w:t>
      </w:r>
      <w:proofErr w:type="spellStart"/>
      <w:r>
        <w:rPr>
          <w:rtl/>
        </w:rPr>
        <w:t>סולובייצ׳יק</w:t>
      </w:r>
      <w:bookmarkStart w:id="5337" w:name="_fnr4002"/>
      <w:proofErr w:type="spellEnd"/>
      <w:r>
        <w:rPr>
          <w:vertAlign w:val="superscript"/>
          <w:rtl/>
        </w:rPr>
        <w:footnoteReference w:id="4012" w:customMarkFollows="0"/>
      </w:r>
      <w:bookmarkEnd w:id="5337"/>
      <w:r>
        <w:rPr>
          <w:rtl/>
        </w:rPr>
        <w:t xml:space="preserve"> שמע מאביו ר׳ יצחק־זאב שר׳ חיים לא נחל הצלחה כשהתחיל למסור שיעורים, והוסיף</w:t>
      </w:r>
      <w:bookmarkStart w:id="5338" w:name="_fnr4003"/>
      <w:r>
        <w:rPr>
          <w:vertAlign w:val="superscript"/>
          <w:rtl/>
        </w:rPr>
        <w:footnoteReference w:id="4013" w:customMarkFollows="0"/>
      </w:r>
      <w:bookmarkEnd w:id="5338"/>
      <w:r>
        <w:rPr>
          <w:rtl/>
        </w:rPr>
        <w:t xml:space="preserve"> סיפור הנוגע לכך. בתחילת כהונתו בישיבה ישבו עם ר׳ חיים כמה מחברי ההנהלה, “ואולי גם כמה תלמידים מבוגרים”, וניסו להראות שאינו ראוי למינוי הנכבד. (ר׳ </w:t>
      </w:r>
      <w:proofErr w:type="spellStart"/>
      <w:r>
        <w:rPr>
          <w:rtl/>
        </w:rPr>
        <w:t>משולם־דוד</w:t>
      </w:r>
      <w:proofErr w:type="spellEnd"/>
      <w:r>
        <w:rPr>
          <w:rtl/>
        </w:rPr>
        <w:t xml:space="preserve"> לא ידע בדיוק מי היו המלעיזים.) אחד מהם שאל שאלה קשה באמת, ור׳ חיים השיב עליה מיד. השואל העיר: “כן, התשובה פשוטה.” אחר כך הועלתה שאלה קשה מאוד נוספת, ושוב נתן ר׳ חיים תשובה, וגם השואל הזה העיר שהתשובה פשוטה. אז אמר ר׳ חיים: “הרשו לי לשאול אתכם שאלה.” הם עיינו והרהרו בשאלתו, אבל לא מצאו תשובה. כשהפצירו בו, גילה ר׳ חיים את התשובה, ושוב העירו: “אה, כן, זה פשוט.” אז הכריז ר׳ חיים: “כל תשובה נכונה היא פשוטה – אחרי שנאמרה.”</w:t>
      </w:r>
    </w:p>
    <w:p w14:paraId="229F2503" w14:textId="559E3595" w:rsidR="00AB3647" w:rsidRDefault="00000000" w:rsidP="007923E9">
      <w:pPr>
        <w:spacing w:after="120" w:line="276" w:lineRule="auto"/>
        <w:ind w:firstLine="283"/>
        <w:jc w:val="both"/>
      </w:pPr>
      <w:r>
        <w:rPr>
          <w:rtl/>
        </w:rPr>
        <w:t>ראה גם פרק 3, תחילת הפסקה השנייה ב</w:t>
      </w:r>
      <w:r>
        <w:rPr>
          <w:rtl/>
        </w:rPr>
        <w:fldChar w:fldCharType="begin" w:dirty="true"/>
      </w:r>
      <w:r>
        <w:rPr>
          <w:rtl/>
        </w:rPr>
        <w:instrText xml:space="preserve"> REF b3_excCC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כט</w:t>
      </w:r>
      <w:proofErr w:type="spellEnd"/>
      <w:r>
        <w:rPr>
          <w:rtl/>
        </w:rPr>
        <w:fldChar w:fldCharType="end"/>
      </w:r>
      <w:r>
        <w:rPr>
          <w:rtl/>
        </w:rPr>
        <w:t xml:space="preserve">: לבסוף נטשו הבחורים המבוגרים את ר׳ חיים, אבל הצעירים נטשו את </w:t>
      </w:r>
      <w:proofErr w:type="spellStart"/>
      <w:r>
        <w:rPr>
          <w:rtl/>
        </w:rPr>
        <w:t>הנצי״ב</w:t>
      </w:r>
      <w:proofErr w:type="spellEnd"/>
      <w:r>
        <w:rPr>
          <w:rtl/>
        </w:rPr>
        <w:t xml:space="preserve"> ובאו רק לשיעוריו של ר׳ חיים. מעניין שכעבור 15 שנה השתמש תלמידו של ר׳ חיים, העילוי </w:t>
      </w:r>
      <w:proofErr w:type="spellStart"/>
      <w:r>
        <w:rPr>
          <w:rtl/>
        </w:rPr>
        <w:t>ממייצ׳ט</w:t>
      </w:r>
      <w:proofErr w:type="spellEnd"/>
      <w:r>
        <w:rPr>
          <w:rtl/>
        </w:rPr>
        <w:t xml:space="preserve"> ר׳ שלמה </w:t>
      </w:r>
      <w:proofErr w:type="spellStart"/>
      <w:r>
        <w:rPr>
          <w:rtl/>
        </w:rPr>
        <w:t>פוליצ׳ק</w:t>
      </w:r>
      <w:proofErr w:type="spellEnd"/>
      <w:r>
        <w:rPr>
          <w:rtl/>
        </w:rPr>
        <w:t xml:space="preserve">, במונח “דקדוק כחוט השערה” שנזכר לעיל כדי לתאר את שיטת </w:t>
      </w:r>
      <w:proofErr w:type="spellStart"/>
      <w:r>
        <w:rPr>
          <w:rtl/>
        </w:rPr>
        <w:t>טלז</w:t>
      </w:r>
      <w:proofErr w:type="spellEnd"/>
      <w:r>
        <w:rPr>
          <w:rtl/>
        </w:rPr>
        <w:t>, לעומת גישת “דרך המלך” של רבו – ראה הפסקה הראשונה ב</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להלן.</w:t>
      </w:r>
    </w:p>
    <w:p w14:paraId="4E5BA07B" w14:textId="77777777" w:rsidR="00AB3647" w:rsidRDefault="00000000" w:rsidP="007923E9">
      <w:pPr>
        <w:spacing w:after="120" w:line="276" w:lineRule="auto"/>
        <w:ind w:firstLine="283"/>
        <w:jc w:val="both"/>
      </w:pPr>
      <w:r>
        <w:rPr>
          <w:rtl/>
        </w:rPr>
        <w:lastRenderedPageBreak/>
        <w:t xml:space="preserve">מאחר שהיו מתנגדים לשיעוריו של המשנה החדש לראש הישיבה, מובן מדוע החליטה הנהלת הישיבה להעניק </w:t>
      </w:r>
      <w:proofErr w:type="spellStart"/>
      <w:r>
        <w:rPr>
          <w:rtl/>
        </w:rPr>
        <w:t>לר</w:t>
      </w:r>
      <w:proofErr w:type="spellEnd"/>
      <w:r>
        <w:rPr>
          <w:rtl/>
        </w:rPr>
        <w:t>׳ חיים קופסת אתרוג נאה, מעוטרת בכתובת.</w:t>
      </w:r>
      <w:bookmarkStart w:id="5339" w:name="_fnr4004"/>
      <w:r>
        <w:rPr>
          <w:vertAlign w:val="superscript"/>
          <w:rtl/>
        </w:rPr>
        <w:footnoteReference w:id="4014" w:customMarkFollows="0"/>
      </w:r>
      <w:bookmarkEnd w:id="5339"/>
      <w:r>
        <w:rPr>
          <w:rtl/>
        </w:rPr>
        <w:t xml:space="preserve"> על הקופסה נכתב: “לכ׳ הרב ר׳ חיים בן הרב יוסף </w:t>
      </w:r>
      <w:proofErr w:type="spellStart"/>
      <w:r>
        <w:rPr>
          <w:rtl/>
        </w:rPr>
        <w:t>דובער</w:t>
      </w:r>
      <w:proofErr w:type="spellEnd"/>
      <w:r>
        <w:rPr>
          <w:rtl/>
        </w:rPr>
        <w:t xml:space="preserve"> הלוי </w:t>
      </w:r>
      <w:proofErr w:type="spellStart"/>
      <w:r>
        <w:rPr>
          <w:rtl/>
        </w:rPr>
        <w:t>סאלאוויצ׳יג</w:t>
      </w:r>
      <w:proofErr w:type="spellEnd"/>
      <w:r>
        <w:rPr>
          <w:rtl/>
        </w:rPr>
        <w:t xml:space="preserve"> מהנהלת הישיבה </w:t>
      </w:r>
      <w:proofErr w:type="spellStart"/>
      <w:r>
        <w:rPr>
          <w:rtl/>
        </w:rPr>
        <w:t>וואלאזין</w:t>
      </w:r>
      <w:proofErr w:type="spellEnd"/>
      <w:r>
        <w:rPr>
          <w:rtl/>
        </w:rPr>
        <w:t xml:space="preserve"> שנת תר״מ לפ״ק”. אפשר לשער שהמתנה</w:t>
      </w:r>
      <w:bookmarkStart w:id="5340" w:name="_fnr4005"/>
      <w:r>
        <w:rPr>
          <w:vertAlign w:val="superscript"/>
          <w:rtl/>
        </w:rPr>
        <w:footnoteReference w:id="4015" w:customMarkFollows="0"/>
      </w:r>
      <w:bookmarkEnd w:id="5340"/>
      <w:r>
        <w:rPr>
          <w:rtl/>
        </w:rPr>
        <w:t xml:space="preserve"> הייתה קשורה לקבלת הפנים הצוננת שזכה לה ר׳ חיים בתחילה, עם הצטרפותו לסגל הישיבה.</w:t>
      </w:r>
    </w:p>
    <w:p w14:paraId="2C2877F6" w14:textId="317A68E6" w:rsidR="00AB3647" w:rsidRDefault="00000000" w:rsidP="007923E9">
      <w:pPr>
        <w:spacing w:after="120" w:line="276" w:lineRule="auto"/>
        <w:ind w:firstLine="283"/>
        <w:jc w:val="both"/>
      </w:pPr>
      <w:r>
        <w:rPr>
          <w:rtl/>
        </w:rPr>
        <w:t xml:space="preserve">ר׳ חיים חשש שהוא נכשל בתפקידו החדש – במיוחד לנוכח ענוותנותו הטבעית, המשתקפת במכתבו המצוטט בפרק 5,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 ושקל לשוב </w:t>
      </w:r>
      <w:proofErr w:type="spellStart"/>
      <w:r>
        <w:rPr>
          <w:rtl/>
        </w:rPr>
        <w:t>לבריסק</w:t>
      </w:r>
      <w:proofErr w:type="spellEnd"/>
      <w:r>
        <w:rPr>
          <w:rtl/>
        </w:rPr>
        <w:t xml:space="preserve">, שם למד עם </w:t>
      </w:r>
      <w:proofErr w:type="spellStart"/>
      <w:r>
        <w:rPr>
          <w:rtl/>
        </w:rPr>
        <w:t>חברותות</w:t>
      </w:r>
      <w:proofErr w:type="spellEnd"/>
      <w:r>
        <w:rPr>
          <w:rtl/>
        </w:rPr>
        <w:t xml:space="preserve"> במעין קיבוץ בחסות אביו. הסדר זה היה עדיף בעיניו על פני היותו למעמסה על ישיבת </w:t>
      </w:r>
      <w:proofErr w:type="spellStart"/>
      <w:r>
        <w:rPr>
          <w:rtl/>
        </w:rPr>
        <w:t>וולוז׳ין</w:t>
      </w:r>
      <w:proofErr w:type="spellEnd"/>
      <w:r>
        <w:rPr>
          <w:rtl/>
        </w:rPr>
        <w:t>. אולי שקל להיענות להזמנה שהגיעה זה עתה</w:t>
      </w:r>
      <w:bookmarkStart w:id="5341" w:name="_fnr4006"/>
      <w:r>
        <w:rPr>
          <w:vertAlign w:val="superscript"/>
          <w:rtl/>
        </w:rPr>
        <w:footnoteReference w:id="4016" w:customMarkFollows="0"/>
      </w:r>
      <w:bookmarkEnd w:id="5341"/>
      <w:r>
        <w:rPr>
          <w:rtl/>
        </w:rPr>
        <w:t xml:space="preserve"> לעמוד בראש ישיבה חדשה, שבני קהילת </w:t>
      </w:r>
      <w:proofErr w:type="spellStart"/>
      <w:r>
        <w:rPr>
          <w:rtl/>
        </w:rPr>
        <w:t>בריסק</w:t>
      </w:r>
      <w:proofErr w:type="spellEnd"/>
      <w:r>
        <w:rPr>
          <w:rtl/>
        </w:rPr>
        <w:t xml:space="preserve"> ביקשו להקים בעירם לזכר סבו ר׳ </w:t>
      </w:r>
      <w:proofErr w:type="spellStart"/>
      <w:r>
        <w:rPr>
          <w:rtl/>
        </w:rPr>
        <w:t>יצחק־זאב</w:t>
      </w:r>
      <w:proofErr w:type="spellEnd"/>
      <w:r>
        <w:rPr>
          <w:rtl/>
        </w:rPr>
        <w:t xml:space="preserve"> </w:t>
      </w:r>
      <w:proofErr w:type="spellStart"/>
      <w:r>
        <w:rPr>
          <w:rtl/>
        </w:rPr>
        <w:t>סולובייצ׳יק</w:t>
      </w:r>
      <w:proofErr w:type="spellEnd"/>
      <w:r>
        <w:rPr>
          <w:rtl/>
        </w:rPr>
        <w:t xml:space="preserve">, אביו של הרב </w:t>
      </w:r>
      <w:proofErr w:type="spellStart"/>
      <w:r>
        <w:rPr>
          <w:rtl/>
        </w:rPr>
        <w:t>מבריסק</w:t>
      </w:r>
      <w:proofErr w:type="spellEnd"/>
      <w:r>
        <w:rPr>
          <w:rtl/>
        </w:rPr>
        <w:t xml:space="preserve">. ר׳ </w:t>
      </w:r>
      <w:proofErr w:type="spellStart"/>
      <w:r>
        <w:rPr>
          <w:rtl/>
        </w:rPr>
        <w:t>יצחק־זאב</w:t>
      </w:r>
      <w:proofErr w:type="spellEnd"/>
      <w:r>
        <w:rPr>
          <w:rtl/>
        </w:rPr>
        <w:t xml:space="preserve"> נפטר בי״ח בסיוון של אותה שנה, 28 במאי 1880.</w:t>
      </w:r>
      <w:bookmarkStart w:id="5342" w:name="_fnr4007"/>
      <w:r>
        <w:rPr>
          <w:vertAlign w:val="superscript"/>
          <w:rtl/>
        </w:rPr>
        <w:footnoteReference w:id="4017" w:customMarkFollows="0"/>
      </w:r>
      <w:bookmarkEnd w:id="5342"/>
      <w:r>
        <w:rPr>
          <w:rtl/>
        </w:rPr>
        <w:t xml:space="preserve"> במתנת קופסת האתרוג ביקשה הנהלת ישיבת </w:t>
      </w:r>
      <w:proofErr w:type="spellStart"/>
      <w:r>
        <w:rPr>
          <w:rtl/>
        </w:rPr>
        <w:t>וולוז׳ין</w:t>
      </w:r>
      <w:proofErr w:type="spellEnd"/>
      <w:r>
        <w:rPr>
          <w:rtl/>
        </w:rPr>
        <w:t xml:space="preserve"> – </w:t>
      </w:r>
      <w:proofErr w:type="spellStart"/>
      <w:r>
        <w:rPr>
          <w:rtl/>
        </w:rPr>
        <w:t>הנצי״ב</w:t>
      </w:r>
      <w:proofErr w:type="spellEnd"/>
      <w:r>
        <w:rPr>
          <w:rtl/>
        </w:rPr>
        <w:t xml:space="preserve"> והגבאים – להביע בפני ר׳ חיים שהיא מעריכה אותו ורוצה שיישאר </w:t>
      </w:r>
      <w:proofErr w:type="spellStart"/>
      <w:r>
        <w:rPr>
          <w:rtl/>
        </w:rPr>
        <w:t>בוולוז׳ין</w:t>
      </w:r>
      <w:proofErr w:type="spellEnd"/>
      <w:r>
        <w:rPr>
          <w:rtl/>
        </w:rPr>
        <w:t>.</w:t>
      </w:r>
    </w:p>
    <w:p w14:paraId="278ED3B6" w14:textId="77777777" w:rsidR="00AB3647" w:rsidRDefault="00000000" w:rsidP="007923E9">
      <w:pPr>
        <w:spacing w:after="120" w:line="276" w:lineRule="auto"/>
        <w:ind w:firstLine="283"/>
        <w:jc w:val="both"/>
      </w:pPr>
      <w:r>
        <w:rPr>
          <w:rtl/>
        </w:rPr>
        <w:t xml:space="preserve">השערה זו עשויה להאיר את האמירה במכתב שבאגרות ר׳ </w:t>
      </w:r>
      <w:proofErr w:type="spellStart"/>
      <w:r>
        <w:rPr>
          <w:rtl/>
        </w:rPr>
        <w:t>יצחק־אייזיק</w:t>
      </w:r>
      <w:proofErr w:type="spellEnd"/>
      <w:r>
        <w:rPr>
          <w:rtl/>
        </w:rPr>
        <w:t xml:space="preserve"> הלוי</w:t>
      </w:r>
      <w:bookmarkStart w:id="5343" w:name="_fnr4008"/>
      <w:r>
        <w:rPr>
          <w:vertAlign w:val="superscript"/>
          <w:rtl/>
        </w:rPr>
        <w:footnoteReference w:id="4018" w:customMarkFollows="0"/>
      </w:r>
      <w:bookmarkEnd w:id="5343"/>
      <w:r>
        <w:rPr>
          <w:rtl/>
        </w:rPr>
        <w:t xml:space="preserve"> שר׳ </w:t>
      </w:r>
      <w:proofErr w:type="spellStart"/>
      <w:r>
        <w:rPr>
          <w:rtl/>
        </w:rPr>
        <w:t>יצחק־אייזיק</w:t>
      </w:r>
      <w:proofErr w:type="spellEnd"/>
      <w:r>
        <w:rPr>
          <w:rtl/>
        </w:rPr>
        <w:t xml:space="preserve"> הלוי “סייע </w:t>
      </w:r>
      <w:proofErr w:type="spellStart"/>
      <w:r>
        <w:rPr>
          <w:rtl/>
        </w:rPr>
        <w:t>לר</w:t>
      </w:r>
      <w:proofErr w:type="spellEnd"/>
      <w:r>
        <w:rPr>
          <w:rtl/>
        </w:rPr>
        <w:t xml:space="preserve">׳ חיים להיות מגיד שיעור בכיר </w:t>
      </w:r>
      <w:proofErr w:type="spellStart"/>
      <w:r>
        <w:rPr>
          <w:rtl/>
        </w:rPr>
        <w:t>בוולוז׳ין</w:t>
      </w:r>
      <w:proofErr w:type="spellEnd"/>
      <w:r>
        <w:rPr>
          <w:rtl/>
        </w:rPr>
        <w:t xml:space="preserve">”. הוא מונה לגבאי ישיבת </w:t>
      </w:r>
      <w:proofErr w:type="spellStart"/>
      <w:r>
        <w:rPr>
          <w:rtl/>
        </w:rPr>
        <w:t>וולוז׳ין</w:t>
      </w:r>
      <w:proofErr w:type="spellEnd"/>
      <w:r>
        <w:rPr>
          <w:rtl/>
        </w:rPr>
        <w:t xml:space="preserve"> בשנת תרכ״ח, כשהיה צעיר בן 21, והיה כוח מרכזי בהנהלת הישיבה. ר׳ חיים העריך כך את מקומו של הלוי “כעבור שנים, בחברת מכרים ותיקים”: “היה </w:t>
      </w:r>
      <w:proofErr w:type="spellStart"/>
      <w:r>
        <w:rPr>
          <w:rtl/>
        </w:rPr>
        <w:t>בוולוז׳ין</w:t>
      </w:r>
      <w:proofErr w:type="spellEnd"/>
      <w:r>
        <w:rPr>
          <w:rtl/>
        </w:rPr>
        <w:t xml:space="preserve"> רק גבאי אחד [מעורב ומשפיע במלוא המובן] – ר׳ </w:t>
      </w:r>
      <w:proofErr w:type="spellStart"/>
      <w:r>
        <w:rPr>
          <w:rtl/>
        </w:rPr>
        <w:t>יצחק־אייזיק</w:t>
      </w:r>
      <w:proofErr w:type="spellEnd"/>
      <w:r>
        <w:rPr>
          <w:rtl/>
        </w:rPr>
        <w:t xml:space="preserve"> [</w:t>
      </w:r>
      <w:proofErr w:type="spellStart"/>
      <w:r>
        <w:rPr>
          <w:rtl/>
        </w:rPr>
        <w:t>הלוי־רבינוביץ</w:t>
      </w:r>
      <w:proofErr w:type="spellEnd"/>
      <w:r>
        <w:rPr>
          <w:rtl/>
        </w:rPr>
        <w:t>]!”, כמצוטט בספר “יצחק אייזיק הלוי” (1847–1914), מאת הרב או’ אשר רייכל, בעל תואר דוקטור לספרות עברית.</w:t>
      </w:r>
      <w:bookmarkStart w:id="5344" w:name="_fnr4009"/>
      <w:r>
        <w:rPr>
          <w:vertAlign w:val="superscript"/>
          <w:rtl/>
        </w:rPr>
        <w:footnoteReference w:id="4019" w:customMarkFollows="0"/>
      </w:r>
      <w:bookmarkEnd w:id="5344"/>
      <w:r>
        <w:rPr>
          <w:rtl/>
        </w:rPr>
        <w:t xml:space="preserve"> ר׳ </w:t>
      </w:r>
      <w:proofErr w:type="spellStart"/>
      <w:r>
        <w:rPr>
          <w:rtl/>
        </w:rPr>
        <w:t>יצחק־אייזיק</w:t>
      </w:r>
      <w:proofErr w:type="spellEnd"/>
      <w:r>
        <w:rPr>
          <w:rtl/>
        </w:rPr>
        <w:t xml:space="preserve"> הלוי הכיר את ר׳ חיים היטב, עד שתיאר את קרבתם במילים “היינו קשורים יחד כשני אחים ממש”,</w:t>
      </w:r>
      <w:bookmarkStart w:id="5345" w:name="_fnr4010"/>
      <w:r>
        <w:rPr>
          <w:vertAlign w:val="superscript"/>
          <w:rtl/>
        </w:rPr>
        <w:footnoteReference w:id="4020" w:customMarkFollows="0"/>
      </w:r>
      <w:bookmarkEnd w:id="5345"/>
      <w:r>
        <w:rPr>
          <w:rtl/>
        </w:rPr>
        <w:t xml:space="preserve"> ור׳ חיים חתם במכתב אליו “ידידו עוז”</w:t>
      </w:r>
      <w:bookmarkStart w:id="5346" w:name="_fnr4011"/>
      <w:r>
        <w:rPr>
          <w:vertAlign w:val="superscript"/>
          <w:rtl/>
        </w:rPr>
        <w:footnoteReference w:id="4021" w:customMarkFollows="0"/>
      </w:r>
      <w:bookmarkEnd w:id="5346"/>
      <w:r>
        <w:rPr>
          <w:rtl/>
        </w:rPr>
        <w:t xml:space="preserve">. ייתכן שהוא שהגה את הרעיון להעניק </w:t>
      </w:r>
      <w:proofErr w:type="spellStart"/>
      <w:r>
        <w:rPr>
          <w:rtl/>
        </w:rPr>
        <w:t>לר</w:t>
      </w:r>
      <w:proofErr w:type="spellEnd"/>
      <w:r>
        <w:rPr>
          <w:rtl/>
        </w:rPr>
        <w:t xml:space="preserve">׳ חיים את קופסת האתרוג עם הכתובת, כאות לתמיכתה של הישיבה בו. ייתכן אפילו שההחלטה המקורית של ר׳ רפאל שפירא לפנות את מקומו לטובת חתנו, כמתואר להלן, נולדה ועוּדדה בידי ר׳ </w:t>
      </w:r>
      <w:proofErr w:type="spellStart"/>
      <w:r>
        <w:rPr>
          <w:rtl/>
        </w:rPr>
        <w:t>יצחק־אייזיק</w:t>
      </w:r>
      <w:proofErr w:type="spellEnd"/>
      <w:r>
        <w:rPr>
          <w:rtl/>
        </w:rPr>
        <w:t xml:space="preserve"> הלוי – ואולי אף דאג הלה להשיג </w:t>
      </w:r>
      <w:proofErr w:type="spellStart"/>
      <w:r>
        <w:rPr>
          <w:rtl/>
        </w:rPr>
        <w:t>לר</w:t>
      </w:r>
      <w:proofErr w:type="spellEnd"/>
      <w:r>
        <w:rPr>
          <w:rtl/>
        </w:rPr>
        <w:t>׳ רפאל רבנות חלופית, כמתואר להלן.</w:t>
      </w:r>
    </w:p>
    <w:p w14:paraId="2D5CC190" w14:textId="77777777" w:rsidR="00AB3647" w:rsidRDefault="00000000" w:rsidP="007923E9">
      <w:pPr>
        <w:spacing w:after="120" w:line="276" w:lineRule="auto"/>
        <w:ind w:firstLine="283"/>
        <w:jc w:val="both"/>
      </w:pPr>
      <w:r>
        <w:rPr>
          <w:rtl/>
        </w:rPr>
        <w:lastRenderedPageBreak/>
        <w:t xml:space="preserve">ר׳ </w:t>
      </w:r>
      <w:proofErr w:type="spellStart"/>
      <w:r>
        <w:rPr>
          <w:rtl/>
        </w:rPr>
        <w:t>יצחק־אייזיק</w:t>
      </w:r>
      <w:proofErr w:type="spellEnd"/>
      <w:r>
        <w:rPr>
          <w:rtl/>
        </w:rPr>
        <w:t xml:space="preserve"> הלוי ללא ספק העריך את שיטתו של ר׳ חיים בלימוד התלמוד והזדהה עמה, כפי שעולה מן המסופר </w:t>
      </w:r>
      <w:proofErr w:type="spellStart"/>
      <w:r>
        <w:rPr>
          <w:rtl/>
        </w:rPr>
        <w:t>ב“יצחק</w:t>
      </w:r>
      <w:proofErr w:type="spellEnd"/>
      <w:r>
        <w:rPr>
          <w:rtl/>
        </w:rPr>
        <w:t xml:space="preserve"> אייזיק הלוי”:</w:t>
      </w:r>
      <w:bookmarkStart w:id="5347" w:name="_fnr4012"/>
      <w:r>
        <w:rPr>
          <w:vertAlign w:val="superscript"/>
          <w:rtl/>
        </w:rPr>
        <w:footnoteReference w:id="4022" w:customMarkFollows="0"/>
      </w:r>
      <w:bookmarkEnd w:id="5347"/>
      <w:r>
        <w:rPr>
          <w:rtl/>
        </w:rPr>
        <w:t xml:space="preserve"> “כשקיבל חיבור מאת תלמיד חכם גליצאי מפורסם ובו שמונים תירוצים שונים </w:t>
      </w:r>
      <w:proofErr w:type="spellStart"/>
      <w:r>
        <w:rPr>
          <w:rtl/>
        </w:rPr>
        <w:t>לקושיה</w:t>
      </w:r>
      <w:proofErr w:type="spellEnd"/>
      <w:r>
        <w:rPr>
          <w:rtl/>
        </w:rPr>
        <w:t xml:space="preserve"> עיקרית אחת” – הכוונה בבירור </w:t>
      </w:r>
      <w:proofErr w:type="spellStart"/>
      <w:r>
        <w:rPr>
          <w:rtl/>
        </w:rPr>
        <w:t>ל“ספר</w:t>
      </w:r>
      <w:proofErr w:type="spellEnd"/>
      <w:r>
        <w:rPr>
          <w:rtl/>
        </w:rPr>
        <w:t xml:space="preserve"> גבורות שמונים” של ר׳ יוסף </w:t>
      </w:r>
      <w:proofErr w:type="spellStart"/>
      <w:r>
        <w:rPr>
          <w:rtl/>
        </w:rPr>
        <w:t>ענגיל</w:t>
      </w:r>
      <w:proofErr w:type="spellEnd"/>
      <w:r>
        <w:rPr>
          <w:rtl/>
        </w:rPr>
        <w:t xml:space="preserve">, שראה אור </w:t>
      </w:r>
      <w:proofErr w:type="spellStart"/>
      <w:r>
        <w:rPr>
          <w:rtl/>
        </w:rPr>
        <w:t>בתרס״ג</w:t>
      </w:r>
      <w:bookmarkStart w:id="5348" w:name="_fnr4013"/>
      <w:proofErr w:type="spellEnd"/>
      <w:r>
        <w:rPr>
          <w:vertAlign w:val="superscript"/>
          <w:rtl/>
        </w:rPr>
        <w:footnoteReference w:id="4023" w:customMarkFollows="0"/>
      </w:r>
      <w:bookmarkEnd w:id="5348"/>
      <w:r>
        <w:rPr>
          <w:rtl/>
        </w:rPr>
        <w:t xml:space="preserve"> – “העיר ר׳ </w:t>
      </w:r>
      <w:proofErr w:type="spellStart"/>
      <w:r>
        <w:rPr>
          <w:rtl/>
        </w:rPr>
        <w:t>יצחק־אייזיק</w:t>
      </w:r>
      <w:proofErr w:type="spellEnd"/>
      <w:r>
        <w:rPr>
          <w:rtl/>
        </w:rPr>
        <w:t xml:space="preserve"> הלוי: ‘ההבדל בין מחבר הספר הזה לביני אינו גדול: הוא חיפש שמונים תירוצים </w:t>
      </w:r>
      <w:proofErr w:type="spellStart"/>
      <w:r>
        <w:rPr>
          <w:rtl/>
        </w:rPr>
        <w:t>לקושיה</w:t>
      </w:r>
      <w:proofErr w:type="spellEnd"/>
      <w:r>
        <w:rPr>
          <w:rtl/>
        </w:rPr>
        <w:t xml:space="preserve"> אחת, [ואילו] אני מנסה למצוא תירוץ אחד לשמונים קושיות.’ [ר׳ </w:t>
      </w:r>
      <w:proofErr w:type="spellStart"/>
      <w:r>
        <w:rPr>
          <w:rtl/>
        </w:rPr>
        <w:t>יצחק־אייזיק</w:t>
      </w:r>
      <w:proofErr w:type="spellEnd"/>
      <w:r>
        <w:rPr>
          <w:rtl/>
        </w:rPr>
        <w:t xml:space="preserve"> הלוי] ציין שאם ימצא רק תשובה לשאלה, ייתכן שהשאלה תישאר בעינה; יש לנתח את העניין ולהתחקות אחר מקור הבעיה באופן שהשאלה עצמה מתפרקת.” הנקודה האחרונה דומה להגדרתו של ר׳ יוסף־דב </w:t>
      </w:r>
      <w:proofErr w:type="spellStart"/>
      <w:r>
        <w:rPr>
          <w:rtl/>
        </w:rPr>
        <w:t>סולובייצ׳יק</w:t>
      </w:r>
      <w:proofErr w:type="spellEnd"/>
      <w:r>
        <w:rPr>
          <w:rtl/>
        </w:rPr>
        <w:t xml:space="preserve"> את שיטת בנו ר׳ חיים, כשפירט את ההבדל ביניהם</w:t>
      </w:r>
      <w:bookmarkStart w:id="5349" w:name="_fnr4014"/>
      <w:r>
        <w:rPr>
          <w:vertAlign w:val="superscript"/>
          <w:rtl/>
        </w:rPr>
        <w:footnoteReference w:id="4024" w:customMarkFollows="0"/>
      </w:r>
      <w:bookmarkEnd w:id="5349"/>
      <w:r>
        <w:rPr>
          <w:rtl/>
        </w:rPr>
        <w:t xml:space="preserve">: “כשמישהו שואל אותי שאלה, אני מעיין בה ומשיב לו, ושנינו שמחים ומרוצים – הוא משאלתו ואני מתשובתי. לא כן בני ר׳ חיים: כשמישהו שואל אותו שאלה, הוא עוקר אותה משורשה – ומשאיר את שניהם בלתי מרוצים.”</w:t>
      </w:r>
    </w:p>
    <w:p w14:paraId="5A7A7FFC" w14:textId="77777777" w:rsidR="00AB3647" w:rsidRDefault="00000000" w:rsidP="007923E9">
      <w:pPr>
        <w:spacing w:after="120" w:line="276" w:lineRule="auto"/>
        <w:ind w:firstLine="283"/>
        <w:jc w:val="both"/>
      </w:pPr>
      <w:r>
        <w:rPr>
          <w:rtl/>
        </w:rPr>
        <w:t xml:space="preserve">גם התעניינותו של ר׳ חיים </w:t>
      </w:r>
      <w:proofErr w:type="spellStart"/>
      <w:r>
        <w:rPr>
          <w:rtl/>
        </w:rPr>
        <w:t>סולובייצ׳יק</w:t>
      </w:r>
      <w:proofErr w:type="spellEnd"/>
      <w:r>
        <w:rPr>
          <w:rtl/>
        </w:rPr>
        <w:t xml:space="preserve"> באגודת ישראל מיוחסת לידידותו עם ר׳ </w:t>
      </w:r>
      <w:proofErr w:type="spellStart"/>
      <w:r>
        <w:rPr>
          <w:rtl/>
        </w:rPr>
        <w:t>יצחק־אייזיק</w:t>
      </w:r>
      <w:proofErr w:type="spellEnd"/>
      <w:r>
        <w:rPr>
          <w:rtl/>
        </w:rPr>
        <w:t xml:space="preserve"> הלוי. במאמר בכתב העת שהוציא הוועד הפועל העולמי של אגודת ישראל בירושלים </w:t>
      </w:r>
      <w:proofErr w:type="spellStart"/>
      <w:r>
        <w:rPr>
          <w:rtl/>
        </w:rPr>
        <w:t>בתשל״ב</w:t>
      </w:r>
      <w:proofErr w:type="spellEnd"/>
      <w:r>
        <w:rPr>
          <w:rtl/>
        </w:rPr>
        <w:t xml:space="preserve">, לכבוד מלאות שישים שנה לוועידת </w:t>
      </w:r>
      <w:proofErr w:type="spellStart"/>
      <w:r>
        <w:rPr>
          <w:rtl/>
        </w:rPr>
        <w:t>קטוביץ</w:t>
      </w:r>
      <w:proofErr w:type="spellEnd"/>
      <w:r>
        <w:rPr>
          <w:rtl/>
        </w:rPr>
        <w:t xml:space="preserve"> שהניחה את היסוד לאגודת ישראל, טוען הרב רייכל: “הגורם המכריע בדעיכת התעניינותו של ר׳ חיים בארגון היה מותו של ר׳ </w:t>
      </w:r>
      <w:proofErr w:type="spellStart"/>
      <w:r>
        <w:rPr>
          <w:rtl/>
        </w:rPr>
        <w:t>יצחק־אייזיק</w:t>
      </w:r>
      <w:proofErr w:type="spellEnd"/>
      <w:r>
        <w:rPr>
          <w:rtl/>
        </w:rPr>
        <w:t xml:space="preserve"> הלוי [שנתיים לאחר ועידת </w:t>
      </w:r>
      <w:proofErr w:type="spellStart"/>
      <w:r>
        <w:rPr>
          <w:rtl/>
        </w:rPr>
        <w:t>קטוביץ</w:t>
      </w:r>
      <w:proofErr w:type="spellEnd"/>
      <w:r>
        <w:rPr>
          <w:rtl/>
        </w:rPr>
        <w:t xml:space="preserve">], שכן התעניינותו של ר׳ חיים – בשל ידידותם הקרובה מימי נעוריהם – ניזונה מלכתחילה מהתלהבותו ומדברי שכנועו של ר׳ </w:t>
      </w:r>
      <w:proofErr w:type="spellStart"/>
      <w:r>
        <w:rPr>
          <w:rtl/>
        </w:rPr>
        <w:t>יצחק־אייזיק</w:t>
      </w:r>
      <w:proofErr w:type="spellEnd"/>
      <w:r>
        <w:rPr>
          <w:rtl/>
        </w:rPr>
        <w:t xml:space="preserve"> הלוי.”</w:t>
      </w:r>
    </w:p>
    <w:p w14:paraId="288CDC1C" w14:textId="77777777" w:rsidR="00AB3647" w:rsidRDefault="00000000" w:rsidP="007923E9">
      <w:pPr>
        <w:spacing w:after="120" w:line="276" w:lineRule="auto"/>
        <w:ind w:firstLine="283"/>
        <w:jc w:val="both"/>
      </w:pPr>
      <w:r>
        <w:rPr>
          <w:rtl/>
        </w:rPr>
        <w:t xml:space="preserve">אין זה מופרך להציע גם שרצונו של </w:t>
      </w:r>
      <w:proofErr w:type="spellStart"/>
      <w:r>
        <w:rPr>
          <w:rtl/>
        </w:rPr>
        <w:t>הנצי״ב</w:t>
      </w:r>
      <w:proofErr w:type="spellEnd"/>
      <w:r>
        <w:rPr>
          <w:rtl/>
        </w:rPr>
        <w:t xml:space="preserve"> שר׳ חיים </w:t>
      </w:r>
      <w:proofErr w:type="spellStart"/>
      <w:r>
        <w:rPr>
          <w:rtl/>
        </w:rPr>
        <w:t>סולובייצ׳יק</w:t>
      </w:r>
      <w:proofErr w:type="spellEnd"/>
      <w:r>
        <w:rPr>
          <w:rtl/>
        </w:rPr>
        <w:t xml:space="preserve"> יישאר </w:t>
      </w:r>
      <w:proofErr w:type="spellStart"/>
      <w:r>
        <w:rPr>
          <w:rtl/>
        </w:rPr>
        <w:t>בוולוז׳ין</w:t>
      </w:r>
      <w:proofErr w:type="spellEnd"/>
      <w:r>
        <w:rPr>
          <w:rtl/>
        </w:rPr>
        <w:t xml:space="preserve"> נבע דווקא מחששו שר׳ חיים ייענה להצעת קהילת </w:t>
      </w:r>
      <w:proofErr w:type="spellStart"/>
      <w:r>
        <w:rPr>
          <w:rtl/>
        </w:rPr>
        <w:t>בריסק</w:t>
      </w:r>
      <w:proofErr w:type="spellEnd"/>
      <w:r>
        <w:rPr>
          <w:rtl/>
        </w:rPr>
        <w:t xml:space="preserve"> ויפתח ישיבה שתתחרה </w:t>
      </w:r>
      <w:proofErr w:type="spellStart"/>
      <w:r>
        <w:rPr>
          <w:rtl/>
        </w:rPr>
        <w:t>בוולוז׳ין</w:t>
      </w:r>
      <w:proofErr w:type="spellEnd"/>
      <w:r>
        <w:rPr>
          <w:rtl/>
        </w:rPr>
        <w:t>.</w:t>
      </w:r>
      <w:bookmarkStart w:id="5350" w:name="_fnr4015"/>
      <w:r>
        <w:rPr>
          <w:vertAlign w:val="superscript"/>
          <w:rtl/>
        </w:rPr>
        <w:footnoteReference w:id="4025" w:customMarkFollows="0"/>
      </w:r>
      <w:bookmarkEnd w:id="5350"/>
      <w:r>
        <w:rPr>
          <w:rtl/>
        </w:rPr>
        <w:t xml:space="preserve"> אומנם לפי “הראשון”</w:t>
      </w:r>
      <w:bookmarkStart w:id="5351" w:name="_fnr4016"/>
      <w:r>
        <w:rPr>
          <w:vertAlign w:val="superscript"/>
          <w:rtl/>
        </w:rPr>
        <w:footnoteReference w:id="4026" w:customMarkFollows="0"/>
      </w:r>
      <w:bookmarkEnd w:id="5351"/>
      <w:r>
        <w:rPr>
          <w:rtl/>
        </w:rPr>
        <w:t xml:space="preserve"> דחה אביו של ר׳ חיים, ר׳ יוסף־דב, בשלוש הזדמנויות שונות הצעות לפתוח ישיבה משלו, מפני שסירב להתחרות בישיבת </w:t>
      </w:r>
      <w:proofErr w:type="spellStart"/>
      <w:r>
        <w:rPr>
          <w:rtl/>
        </w:rPr>
        <w:t>וולוז׳ין</w:t>
      </w:r>
      <w:proofErr w:type="spellEnd"/>
      <w:r>
        <w:rPr>
          <w:rtl/>
        </w:rPr>
        <w:t xml:space="preserve"> ולהפריע לה,</w:t>
      </w:r>
      <w:bookmarkStart w:id="5352" w:name="_fnr4017"/>
      <w:r>
        <w:rPr>
          <w:vertAlign w:val="superscript"/>
          <w:rtl/>
        </w:rPr>
        <w:footnoteReference w:id="4027" w:customMarkFollows="0"/>
      </w:r>
      <w:bookmarkEnd w:id="5352"/>
      <w:r>
        <w:rPr>
          <w:rtl/>
        </w:rPr>
        <w:t xml:space="preserve"> אבל עמדה זו לא שללה בהכרח את הסכמתו לפתוח ישיבה לבנו, כשר׳ חיים סבר שהוא זקוק למשרה.</w:t>
      </w:r>
    </w:p>
    <w:p w14:paraId="3EE4F7C9" w14:textId="40171C3E" w:rsidR="00AB3647" w:rsidRDefault="00000000" w:rsidP="007923E9">
      <w:pPr>
        <w:spacing w:after="120" w:line="276" w:lineRule="auto"/>
        <w:ind w:firstLine="283"/>
        <w:jc w:val="both"/>
      </w:pPr>
      <w:r>
        <w:rPr>
          <w:rtl/>
        </w:rPr>
        <w:t xml:space="preserve">כעבור </w:t>
      </w:r>
      <w:proofErr w:type="spellStart"/>
      <w:r>
        <w:rPr>
          <w:rtl/>
        </w:rPr>
        <w:t>שתים־עשרה</w:t>
      </w:r>
      <w:proofErr w:type="spellEnd"/>
      <w:r>
        <w:rPr>
          <w:rtl/>
        </w:rPr>
        <w:t xml:space="preserve"> שנה, </w:t>
      </w:r>
      <w:proofErr w:type="spellStart"/>
      <w:r>
        <w:rPr>
          <w:rtl/>
        </w:rPr>
        <w:t>כשוולוז׳ין</w:t>
      </w:r>
      <w:proofErr w:type="spellEnd"/>
      <w:r>
        <w:rPr>
          <w:rtl/>
        </w:rPr>
        <w:t xml:space="preserve"> נסגרה, התנהל “זמן ממושך” משא ומתן בין ר׳ חיים לבין העיר </w:t>
      </w:r>
      <w:proofErr w:type="spellStart"/>
      <w:r>
        <w:rPr>
          <w:rtl/>
        </w:rPr>
        <w:t>פינסק</w:t>
      </w:r>
      <w:proofErr w:type="spellEnd"/>
      <w:r>
        <w:rPr>
          <w:rtl/>
        </w:rPr>
        <w:t xml:space="preserve"> על פתיחת קיבוץ ועל “העברת לפחות חלק מישיבת </w:t>
      </w:r>
      <w:proofErr w:type="spellStart"/>
      <w:r>
        <w:rPr>
          <w:rtl/>
        </w:rPr>
        <w:t>וולוז׳ין</w:t>
      </w:r>
      <w:proofErr w:type="spellEnd"/>
      <w:r>
        <w:rPr>
          <w:rtl/>
        </w:rPr>
        <w:t>” לשם.</w:t>
      </w:r>
      <w:bookmarkStart w:id="5353" w:name="_fnr4018"/>
      <w:r>
        <w:rPr>
          <w:vertAlign w:val="superscript"/>
          <w:rtl/>
        </w:rPr>
        <w:footnoteReference w:id="4028" w:customMarkFollows="0"/>
      </w:r>
      <w:bookmarkEnd w:id="5353"/>
      <w:r>
        <w:rPr>
          <w:rtl/>
        </w:rPr>
        <w:t xml:space="preserve"> </w:t>
      </w:r>
      <w:r>
        <w:rPr>
          <w:rtl/>
        </w:rPr>
        <w:lastRenderedPageBreak/>
        <w:t xml:space="preserve">השיחות נפסקו כשר׳ יוסף־דב נפטר כעבור שלושה חודשים, ור׳ חיים נכנס לרבנות </w:t>
      </w:r>
      <w:proofErr w:type="spellStart"/>
      <w:r>
        <w:rPr>
          <w:rtl/>
        </w:rPr>
        <w:t>בריסק</w:t>
      </w:r>
      <w:proofErr w:type="spellEnd"/>
      <w:r>
        <w:rPr>
          <w:rtl/>
        </w:rPr>
        <w:t xml:space="preserve">. ר׳ חיים, ללא ספק בהסכמת אביו, רצה לפתוח ישיבה חדשה למרות התקוות והתוכניות לפתוח מחדש את </w:t>
      </w:r>
      <w:proofErr w:type="spellStart"/>
      <w:r>
        <w:rPr>
          <w:rtl/>
        </w:rPr>
        <w:t>וולוז׳ין</w:t>
      </w:r>
      <w:proofErr w:type="spellEnd"/>
      <w:r>
        <w:rPr>
          <w:rtl/>
        </w:rPr>
        <w:t xml:space="preserve"> [בלי לכלול אותו], כמבואר בפרק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לפיכך היו </w:t>
      </w:r>
      <w:proofErr w:type="spellStart"/>
      <w:r>
        <w:rPr>
          <w:rtl/>
        </w:rPr>
        <w:t>לנצי״ב</w:t>
      </w:r>
      <w:proofErr w:type="spellEnd"/>
      <w:r>
        <w:rPr>
          <w:rtl/>
        </w:rPr>
        <w:t xml:space="preserve"> ולמנהלי ישיבת </w:t>
      </w:r>
      <w:proofErr w:type="spellStart"/>
      <w:r>
        <w:rPr>
          <w:rtl/>
        </w:rPr>
        <w:t>וולוז׳ין</w:t>
      </w:r>
      <w:proofErr w:type="spellEnd"/>
      <w:r>
        <w:rPr>
          <w:rtl/>
        </w:rPr>
        <w:t xml:space="preserve"> חששות מוצדקים שאם יעזוב ר׳ חיים, בהחלט ייתכן שיתחרה בישיבתם.</w:t>
      </w:r>
    </w:p>
    <w:p w14:paraId="7102BD26" w14:textId="77777777" w:rsidR="00AB3647" w:rsidRDefault="00000000" w:rsidP="007923E9">
      <w:pPr>
        <w:spacing w:after="120" w:line="276" w:lineRule="auto"/>
        <w:ind w:firstLine="283"/>
        <w:jc w:val="both"/>
      </w:pPr>
      <w:r>
        <w:rPr>
          <w:rtl/>
        </w:rPr>
        <w:t xml:space="preserve">אפשר אפילו שמה שהניע מלכתחילה את הגבאי עצמו, ר׳ </w:t>
      </w:r>
      <w:proofErr w:type="spellStart"/>
      <w:r>
        <w:rPr>
          <w:rtl/>
        </w:rPr>
        <w:t>יצחק־אייזיק</w:t>
      </w:r>
      <w:proofErr w:type="spellEnd"/>
      <w:r>
        <w:rPr>
          <w:rtl/>
        </w:rPr>
        <w:t xml:space="preserve"> הלוי, ליצור את המשרה </w:t>
      </w:r>
      <w:proofErr w:type="spellStart"/>
      <w:r>
        <w:rPr>
          <w:rtl/>
        </w:rPr>
        <w:t>לר</w:t>
      </w:r>
      <w:proofErr w:type="spellEnd"/>
      <w:r>
        <w:rPr>
          <w:rtl/>
        </w:rPr>
        <w:t xml:space="preserve">׳ חיים </w:t>
      </w:r>
      <w:proofErr w:type="spellStart"/>
      <w:r>
        <w:rPr>
          <w:rtl/>
        </w:rPr>
        <w:t>בוולוז׳ין</w:t>
      </w:r>
      <w:proofErr w:type="spellEnd"/>
      <w:r>
        <w:rPr>
          <w:rtl/>
        </w:rPr>
        <w:t xml:space="preserve"> היה הרצון לסכל את הרעיון שהעלו אנשי </w:t>
      </w:r>
      <w:proofErr w:type="spellStart"/>
      <w:r>
        <w:rPr>
          <w:rtl/>
        </w:rPr>
        <w:t>בריסק</w:t>
      </w:r>
      <w:proofErr w:type="spellEnd"/>
      <w:r>
        <w:rPr>
          <w:rtl/>
        </w:rPr>
        <w:t xml:space="preserve">. בעולם הישיבות ידועה היטב אמרתו של ר׳ רפאל שפירא לחותנו </w:t>
      </w:r>
      <w:proofErr w:type="spellStart"/>
      <w:r>
        <w:rPr>
          <w:rtl/>
        </w:rPr>
        <w:t>הנצי״ב</w:t>
      </w:r>
      <w:proofErr w:type="spellEnd"/>
      <w:r>
        <w:rPr>
          <w:rtl/>
        </w:rPr>
        <w:t>: “לי יש חתן ‘יפה יותר [</w:t>
      </w:r>
      <w:proofErr w:type="spellStart"/>
      <w:r>
        <w:rPr>
          <w:rtl/>
        </w:rPr>
        <w:t>שעהנערער</w:t>
      </w:r>
      <w:proofErr w:type="spellEnd"/>
      <w:r>
        <w:rPr>
          <w:rtl/>
        </w:rPr>
        <w:t>]’ משלך.”</w:t>
      </w:r>
      <w:bookmarkStart w:id="5354" w:name="_fnr4019"/>
      <w:r>
        <w:rPr>
          <w:vertAlign w:val="superscript"/>
          <w:rtl/>
        </w:rPr>
        <w:footnoteReference w:id="4029" w:customMarkFollows="0"/>
      </w:r>
      <w:bookmarkEnd w:id="5354"/>
      <w:r>
        <w:rPr>
          <w:rtl/>
        </w:rPr>
        <w:t xml:space="preserve"> ייתכן שבכך השיב ר׳ רפאל </w:t>
      </w:r>
      <w:proofErr w:type="spellStart"/>
      <w:r>
        <w:rPr>
          <w:rtl/>
        </w:rPr>
        <w:t>לנצי״ב</w:t>
      </w:r>
      <w:proofErr w:type="spellEnd"/>
      <w:r>
        <w:rPr>
          <w:rtl/>
        </w:rPr>
        <w:t xml:space="preserve">, כשזה לחץ עליו להישאר </w:t>
      </w:r>
      <w:proofErr w:type="spellStart"/>
      <w:r>
        <w:rPr>
          <w:rtl/>
        </w:rPr>
        <w:t>בוולוז׳ין</w:t>
      </w:r>
      <w:proofErr w:type="spellEnd"/>
      <w:r>
        <w:rPr>
          <w:rtl/>
        </w:rPr>
        <w:t xml:space="preserve"> ולא להביא את חתנו ר׳ חיים במקומו.</w:t>
      </w:r>
    </w:p>
    <w:p w14:paraId="111F408F" w14:textId="77777777" w:rsidR="00AB3647" w:rsidRDefault="00000000" w:rsidP="007923E9">
      <w:pPr>
        <w:spacing w:after="120" w:line="276" w:lineRule="auto"/>
        <w:ind w:firstLine="283"/>
        <w:jc w:val="both"/>
      </w:pPr>
      <w:r>
        <w:rPr>
          <w:rtl/>
        </w:rPr>
        <w:t xml:space="preserve">אני משער שהדבר אירע בזמן כלשהו בין פטירת ר׳ לוי שפירא – הוא נפטר באייר תר״מ, לפי המבוא </w:t>
      </w:r>
      <w:proofErr w:type="spellStart"/>
      <w:r>
        <w:rPr>
          <w:rtl/>
        </w:rPr>
        <w:t>ל“בית</w:t>
      </w:r>
      <w:proofErr w:type="spellEnd"/>
      <w:r>
        <w:rPr>
          <w:rtl/>
        </w:rPr>
        <w:t xml:space="preserve"> לוי” שלו</w:t>
      </w:r>
      <w:bookmarkStart w:id="5355" w:name="_fnr4020"/>
      <w:r>
        <w:rPr>
          <w:vertAlign w:val="superscript"/>
          <w:rtl/>
        </w:rPr>
        <w:footnoteReference w:id="4030" w:customMarkFollows="0"/>
      </w:r>
      <w:bookmarkEnd w:id="5355"/>
      <w:r>
        <w:rPr>
          <w:rtl/>
        </w:rPr>
        <w:t xml:space="preserve"> – לבין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בסיוון של אותה שנה. ר׳ רפאל שקל אז – אולי בעידודו של ר׳ </w:t>
      </w:r>
      <w:proofErr w:type="spellStart"/>
      <w:r>
        <w:rPr>
          <w:rtl/>
        </w:rPr>
        <w:t>יצחק־אייזיק</w:t>
      </w:r>
      <w:proofErr w:type="spellEnd"/>
      <w:r>
        <w:rPr>
          <w:rtl/>
        </w:rPr>
        <w:t xml:space="preserve"> הלוי – לקבל עליו את </w:t>
      </w:r>
      <w:proofErr w:type="spellStart"/>
      <w:r>
        <w:rPr>
          <w:rtl/>
        </w:rPr>
        <w:t>רבנותו</w:t>
      </w:r>
      <w:proofErr w:type="spellEnd"/>
      <w:r>
        <w:rPr>
          <w:rtl/>
        </w:rPr>
        <w:t xml:space="preserve"> של ר׳ לוי </w:t>
      </w:r>
      <w:proofErr w:type="spellStart"/>
      <w:r>
        <w:rPr>
          <w:rtl/>
        </w:rPr>
        <w:t>בנובו־אלכסנדרובסק</w:t>
      </w:r>
      <w:proofErr w:type="spellEnd"/>
      <w:r>
        <w:rPr>
          <w:rtl/>
        </w:rPr>
        <w:t xml:space="preserve">, ולמסור את מקומו בהוראה </w:t>
      </w:r>
      <w:proofErr w:type="spellStart"/>
      <w:r>
        <w:rPr>
          <w:rtl/>
        </w:rPr>
        <w:t>בוולוז׳ין</w:t>
      </w:r>
      <w:proofErr w:type="spellEnd"/>
      <w:r>
        <w:rPr>
          <w:rtl/>
        </w:rPr>
        <w:t xml:space="preserve"> לחתנו ר׳ חיים </w:t>
      </w:r>
      <w:proofErr w:type="spellStart"/>
      <w:r>
        <w:rPr>
          <w:rtl/>
        </w:rPr>
        <w:t>סולובייצ׳יק</w:t>
      </w:r>
      <w:proofErr w:type="spellEnd"/>
      <w:r>
        <w:rPr>
          <w:rtl/>
        </w:rPr>
        <w:t>.</w:t>
      </w:r>
      <w:bookmarkStart w:id="5356" w:name="_fnr4021"/>
      <w:r>
        <w:rPr>
          <w:vertAlign w:val="superscript"/>
          <w:rtl/>
        </w:rPr>
        <w:footnoteReference w:id="4031" w:customMarkFollows="0"/>
      </w:r>
      <w:bookmarkEnd w:id="5356"/>
      <w:r>
        <w:rPr>
          <w:rtl/>
        </w:rPr>
        <w:t xml:space="preserve"> </w:t>
      </w:r>
      <w:proofErr w:type="spellStart"/>
      <w:r>
        <w:rPr>
          <w:rtl/>
        </w:rPr>
        <w:t>הנצי״ב</w:t>
      </w:r>
      <w:proofErr w:type="spellEnd"/>
      <w:r>
        <w:rPr>
          <w:rtl/>
        </w:rPr>
        <w:t xml:space="preserve"> לא ראה אז סיבה מספקת לאשר את החילופים, ור׳ רפאל נאלץ לומר לו שר׳ חיים גדול ממנו בתורה וימלא את התפקיד בישיבה טוב ממנו. רק לאחר פטירתו של ר׳ </w:t>
      </w:r>
      <w:proofErr w:type="spellStart"/>
      <w:r>
        <w:rPr>
          <w:rtl/>
        </w:rPr>
        <w:t>יצחק־זאב</w:t>
      </w:r>
      <w:proofErr w:type="spellEnd"/>
      <w:r>
        <w:rPr>
          <w:rtl/>
        </w:rPr>
        <w:t xml:space="preserve"> זמן קצר אחר כך, כשקהילת </w:t>
      </w:r>
      <w:proofErr w:type="spellStart"/>
      <w:r>
        <w:rPr>
          <w:rtl/>
        </w:rPr>
        <w:t>בריסק</w:t>
      </w:r>
      <w:proofErr w:type="spellEnd"/>
      <w:r>
        <w:rPr>
          <w:rtl/>
        </w:rPr>
        <w:t xml:space="preserve"> העלתה את הרעיון להקים ישיבה גדולה בעירם, אישר </w:t>
      </w:r>
      <w:proofErr w:type="spellStart"/>
      <w:r>
        <w:rPr>
          <w:rtl/>
        </w:rPr>
        <w:t>הנצי״ב</w:t>
      </w:r>
      <w:proofErr w:type="spellEnd"/>
      <w:r>
        <w:rPr>
          <w:rtl/>
        </w:rPr>
        <w:t xml:space="preserve"> – לפי השערתי – את הצטרפות ר׳ חיים לסגל </w:t>
      </w:r>
      <w:proofErr w:type="spellStart"/>
      <w:r>
        <w:rPr>
          <w:rtl/>
        </w:rPr>
        <w:t>וולוז׳ין</w:t>
      </w:r>
      <w:proofErr w:type="spellEnd"/>
      <w:r>
        <w:rPr>
          <w:rtl/>
        </w:rPr>
        <w:t xml:space="preserve">, כדי להבטיח שלא יקום מוסד מתחרה. </w:t>
      </w:r>
      <w:proofErr w:type="spellStart"/>
      <w:r>
        <w:rPr>
          <w:rtl/>
        </w:rPr>
        <w:t>והנצי״ב</w:t>
      </w:r>
      <w:proofErr w:type="spellEnd"/>
      <w:r>
        <w:rPr>
          <w:rtl/>
        </w:rPr>
        <w:t xml:space="preserve"> רצה שר׳ חיים יישאר </w:t>
      </w:r>
      <w:proofErr w:type="spellStart"/>
      <w:r>
        <w:rPr>
          <w:rtl/>
        </w:rPr>
        <w:t>בוולוז׳ין</w:t>
      </w:r>
      <w:proofErr w:type="spellEnd"/>
      <w:r>
        <w:rPr>
          <w:rtl/>
        </w:rPr>
        <w:t xml:space="preserve"> גם כשזה ביקש לפרוש, בעקבות התחלתו הבלתי מרשימה בתפקיד החדש.</w:t>
      </w:r>
    </w:p>
    <w:p w14:paraId="76FC7B32" w14:textId="77777777" w:rsidR="00AB3647" w:rsidRDefault="00000000" w:rsidP="007923E9">
      <w:pPr>
        <w:spacing w:after="120" w:line="276" w:lineRule="auto"/>
        <w:ind w:firstLine="283"/>
        <w:jc w:val="both"/>
      </w:pPr>
      <w:r>
        <w:rPr>
          <w:rtl/>
        </w:rPr>
        <w:t xml:space="preserve">אם השערה זו נכונה, התחיל ר׳ חיים למסור שיעורים די זמן לפני אלול תר״מ – שבו קופסת אתרוג היא מתנה מתאימה – כדי שיספיק לחוש שנכשל, וחברי ההנהלה יספיקו להחליט אחרת, לרכוש את הקופסה המעוטרת, לחרוט עליה כתובת ולהעניקה לו כאות לרצונם שיישאר. בהתאם לכך קבעתי את “ראשית קיץ תר״מ” – חודשיים לאחר פטירת ר׳ לוי שפירא </w:t>
      </w:r>
      <w:proofErr w:type="spellStart"/>
      <w:r>
        <w:rPr>
          <w:rtl/>
        </w:rPr>
        <w:t>בנובו־אלכסנדרובסק</w:t>
      </w:r>
      <w:proofErr w:type="spellEnd"/>
      <w:r>
        <w:rPr>
          <w:rtl/>
        </w:rPr>
        <w:t xml:space="preserve">, כמתואר להלן, וחודש לאחר פטירת ר׳ </w:t>
      </w:r>
      <w:proofErr w:type="spellStart"/>
      <w:r>
        <w:rPr>
          <w:rtl/>
        </w:rPr>
        <w:t>יצחק־זאב</w:t>
      </w:r>
      <w:proofErr w:type="spellEnd"/>
      <w:r>
        <w:rPr>
          <w:rtl/>
        </w:rPr>
        <w:t xml:space="preserve"> </w:t>
      </w:r>
      <w:proofErr w:type="spellStart"/>
      <w:r>
        <w:rPr>
          <w:rtl/>
        </w:rPr>
        <w:t>סולובייצ׳יק</w:t>
      </w:r>
      <w:proofErr w:type="spellEnd"/>
      <w:r>
        <w:rPr>
          <w:rtl/>
        </w:rPr>
        <w:t xml:space="preserve"> בקובנה – כלומר תמוז תר״מ, כאומדן הטוב ביותר למועד מינויו של ר׳ חיים.</w:t>
      </w:r>
      <w:bookmarkStart w:id="5357" w:name="_fnr4022"/>
      <w:r>
        <w:rPr>
          <w:vertAlign w:val="superscript"/>
          <w:rtl/>
        </w:rPr>
        <w:footnoteReference w:id="4032" w:customMarkFollows="0"/>
      </w:r>
      <w:bookmarkEnd w:id="5357"/>
    </w:p>
    <w:p w14:paraId="4F0F37C8" w14:textId="77777777" w:rsidR="00AB3647" w:rsidRDefault="00000000" w:rsidP="007923E9">
      <w:pPr>
        <w:spacing w:after="120" w:line="276" w:lineRule="auto"/>
        <w:ind w:firstLine="283"/>
        <w:jc w:val="both"/>
      </w:pPr>
      <w:r>
        <w:rPr>
          <w:rtl/>
        </w:rPr>
        <w:lastRenderedPageBreak/>
        <w:t xml:space="preserve">אל יטעה הקורא בגלל דברי המוציאים לאור, בניו “אריה </w:t>
      </w:r>
      <w:proofErr w:type="spellStart"/>
      <w:r>
        <w:rPr>
          <w:rtl/>
        </w:rPr>
        <w:t>וישראל־איסר</w:t>
      </w:r>
      <w:proofErr w:type="spellEnd"/>
      <w:r>
        <w:rPr>
          <w:rtl/>
        </w:rPr>
        <w:t xml:space="preserve"> שפירא”, במבוא </w:t>
      </w:r>
      <w:proofErr w:type="spellStart"/>
      <w:r>
        <w:rPr>
          <w:rtl/>
        </w:rPr>
        <w:t>ל“תורת</w:t>
      </w:r>
      <w:proofErr w:type="spellEnd"/>
      <w:r>
        <w:rPr>
          <w:rtl/>
        </w:rPr>
        <w:t xml:space="preserve"> רפאל” של ר׳ רפאל שפירא</w:t>
      </w:r>
      <w:bookmarkStart w:id="5358" w:name="_fnr4023"/>
      <w:r>
        <w:rPr>
          <w:vertAlign w:val="superscript"/>
          <w:rtl/>
        </w:rPr>
        <w:footnoteReference w:id="4033" w:customMarkFollows="0"/>
      </w:r>
      <w:bookmarkEnd w:id="5358"/>
      <w:r>
        <w:rPr>
          <w:rtl/>
        </w:rPr>
        <w:t xml:space="preserve">: “לערך בשנת תרכ״ה החל אבינו להגיד את השיעור בישיבת </w:t>
      </w:r>
      <w:proofErr w:type="spellStart"/>
      <w:r>
        <w:rPr>
          <w:rtl/>
        </w:rPr>
        <w:t>וולוזין</w:t>
      </w:r>
      <w:proofErr w:type="spellEnd"/>
      <w:r>
        <w:rPr>
          <w:rtl/>
        </w:rPr>
        <w:t xml:space="preserve"> שלש פעמים בשבוע... את שיעורו הראשון התחיל להגיד במס׳ </w:t>
      </w:r>
      <w:proofErr w:type="spellStart"/>
      <w:r>
        <w:rPr>
          <w:rtl/>
        </w:rPr>
        <w:t>ב״ק</w:t>
      </w:r>
      <w:proofErr w:type="spellEnd"/>
      <w:r>
        <w:rPr>
          <w:rtl/>
        </w:rPr>
        <w:t xml:space="preserve"> פרק הגוזל עצים ובאותו פרק סיים </w:t>
      </w:r>
      <w:r>
        <w:rPr>
          <w:b/>
          <w:bCs/>
          <w:rtl/>
        </w:rPr>
        <w:t xml:space="preserve">בצאתו </w:t>
      </w:r>
      <w:proofErr w:type="spellStart"/>
      <w:r>
        <w:rPr>
          <w:b/>
          <w:bCs/>
          <w:rtl/>
        </w:rPr>
        <w:t>מוולוזין</w:t>
      </w:r>
      <w:proofErr w:type="spellEnd"/>
      <w:r>
        <w:rPr>
          <w:b/>
          <w:bCs/>
          <w:rtl/>
        </w:rPr>
        <w:t xml:space="preserve"> בשנת תרמ״א</w:t>
      </w:r>
      <w:r>
        <w:rPr>
          <w:rtl/>
        </w:rPr>
        <w:t xml:space="preserve"> </w:t>
      </w:r>
      <w:proofErr w:type="spellStart"/>
      <w:r>
        <w:rPr>
          <w:rtl/>
        </w:rPr>
        <w:t>לנובואלכסנדראווסק</w:t>
      </w:r>
      <w:proofErr w:type="spellEnd"/>
      <w:r>
        <w:rPr>
          <w:rtl/>
        </w:rPr>
        <w:t xml:space="preserve"> פלך </w:t>
      </w:r>
      <w:proofErr w:type="spellStart"/>
      <w:r>
        <w:rPr>
          <w:rtl/>
        </w:rPr>
        <w:t>קאוונא</w:t>
      </w:r>
      <w:proofErr w:type="spellEnd"/>
      <w:r>
        <w:rPr>
          <w:rtl/>
        </w:rPr>
        <w:t xml:space="preserve">” (ההדגשה שלי). מן הפסוקית המודגשת משתמע לכאורה שר׳ חיים </w:t>
      </w:r>
      <w:proofErr w:type="spellStart"/>
      <w:r>
        <w:rPr>
          <w:rtl/>
        </w:rPr>
        <w:t>סולובייצ׳יק</w:t>
      </w:r>
      <w:proofErr w:type="spellEnd"/>
      <w:r>
        <w:rPr>
          <w:rtl/>
        </w:rPr>
        <w:t xml:space="preserve"> – שלמענו פרש חותנו ר׳ רפאל שפירא ממקומו </w:t>
      </w:r>
      <w:proofErr w:type="spellStart"/>
      <w:r>
        <w:rPr>
          <w:rtl/>
        </w:rPr>
        <w:t>בוולוז׳ין</w:t>
      </w:r>
      <w:proofErr w:type="spellEnd"/>
      <w:r>
        <w:rPr>
          <w:rtl/>
        </w:rPr>
        <w:t xml:space="preserve">, ועבר </w:t>
      </w:r>
      <w:proofErr w:type="spellStart"/>
      <w:r>
        <w:rPr>
          <w:rtl/>
        </w:rPr>
        <w:t>לנובו־אלכסנדרובסק</w:t>
      </w:r>
      <w:proofErr w:type="spellEnd"/>
      <w:r>
        <w:rPr>
          <w:rtl/>
        </w:rPr>
        <w:t xml:space="preserve"> באדר ב׳ תרמ״א – לא התחיל למסור שיעורים עד תרמ״א.</w:t>
      </w:r>
    </w:p>
    <w:p w14:paraId="15DBCEFF" w14:textId="77777777" w:rsidR="00AB3647" w:rsidRDefault="00000000" w:rsidP="007923E9">
      <w:pPr>
        <w:spacing w:after="120" w:line="276" w:lineRule="auto"/>
        <w:ind w:firstLine="283"/>
        <w:jc w:val="both"/>
      </w:pPr>
      <w:r>
        <w:rPr>
          <w:rtl/>
        </w:rPr>
        <w:t xml:space="preserve">אבל אני סבור שר׳ רפאל חדל למסור שיעורים כבר בקיץ הקודם, לאחר שהובטח לו שהרבנות </w:t>
      </w:r>
      <w:proofErr w:type="spellStart"/>
      <w:r>
        <w:rPr>
          <w:rtl/>
        </w:rPr>
        <w:t>בנובו־אלכסנדרובסק</w:t>
      </w:r>
      <w:proofErr w:type="spellEnd"/>
      <w:r>
        <w:rPr>
          <w:rtl/>
        </w:rPr>
        <w:t xml:space="preserve">, במקום אחיו ר׳ לוי, ממתינה לו – אולי כפי שסידר ר׳ </w:t>
      </w:r>
      <w:proofErr w:type="spellStart"/>
      <w:r>
        <w:rPr>
          <w:rtl/>
        </w:rPr>
        <w:t>יצחק־אייזיק</w:t>
      </w:r>
      <w:proofErr w:type="spellEnd"/>
      <w:r>
        <w:rPr>
          <w:rtl/>
        </w:rPr>
        <w:t xml:space="preserve"> הלוי העשיר ורב ההשפעה – ובכל זאת נשאר </w:t>
      </w:r>
      <w:proofErr w:type="spellStart"/>
      <w:r>
        <w:rPr>
          <w:rtl/>
        </w:rPr>
        <w:t>בוולוז׳ין</w:t>
      </w:r>
      <w:proofErr w:type="spellEnd"/>
      <w:r>
        <w:rPr>
          <w:rtl/>
        </w:rPr>
        <w:t xml:space="preserve"> עד שחתנו התבסס היטב בישיבה. ר׳ רפאל המתין עד שתלמידי </w:t>
      </w:r>
      <w:proofErr w:type="spellStart"/>
      <w:r>
        <w:rPr>
          <w:rtl/>
        </w:rPr>
        <w:t>וולוז׳ין</w:t>
      </w:r>
      <w:proofErr w:type="spellEnd"/>
      <w:r>
        <w:rPr>
          <w:rtl/>
        </w:rPr>
        <w:t xml:space="preserve"> וגם גדולי התורה, שהתכנסו בעיר כנראה באותה עת כדי להעריך את ר׳ חיים,</w:t>
      </w:r>
      <w:bookmarkStart w:id="5359" w:name="_fnr4024"/>
      <w:r>
        <w:rPr>
          <w:vertAlign w:val="superscript"/>
          <w:rtl/>
        </w:rPr>
        <w:footnoteReference w:id="4034" w:customMarkFollows="0"/>
      </w:r>
      <w:bookmarkEnd w:id="5359"/>
      <w:r>
        <w:rPr>
          <w:rtl/>
        </w:rPr>
        <w:t xml:space="preserve"> הסכימו למינוי. בדומה לכך התחיל ר׳ חיים למסור את שיעוריו – הוא פתח בפרק “הגוזל עצים”, הפרק התשיעי במסכת בבא קמא – </w:t>
      </w:r>
      <w:proofErr w:type="spellStart"/>
      <w:r>
        <w:rPr>
          <w:rtl/>
        </w:rPr>
        <w:t>בתר״מ</w:t>
      </w:r>
      <w:proofErr w:type="spellEnd"/>
      <w:r>
        <w:rPr>
          <w:rtl/>
        </w:rPr>
        <w:t>.</w:t>
      </w:r>
      <w:bookmarkStart w:id="5360" w:name="_fnr4025"/>
      <w:r>
        <w:rPr>
          <w:vertAlign w:val="superscript"/>
          <w:rtl/>
        </w:rPr>
        <w:footnoteReference w:id="4035" w:customMarkFollows="0"/>
      </w:r>
      <w:bookmarkEnd w:id="5360"/>
    </w:p>
    <w:p w14:paraId="2CA0D039" w14:textId="77777777" w:rsidR="00AB3647" w:rsidRDefault="00000000" w:rsidP="007923E9">
      <w:pPr>
        <w:spacing w:after="120" w:line="276" w:lineRule="auto"/>
        <w:ind w:firstLine="283"/>
        <w:jc w:val="both"/>
      </w:pPr>
      <w:r>
        <w:rPr>
          <w:rtl/>
        </w:rPr>
        <w:t>ראה גם “</w:t>
      </w:r>
      <w:proofErr w:type="spellStart"/>
      <w:r>
        <w:rPr>
          <w:rtl/>
        </w:rPr>
        <w:t>אהלי</w:t>
      </w:r>
      <w:proofErr w:type="spellEnd"/>
      <w:r>
        <w:rPr>
          <w:rtl/>
        </w:rPr>
        <w:t xml:space="preserve"> שם”,</w:t>
      </w:r>
      <w:bookmarkStart w:id="5361" w:name="_fnr4026"/>
      <w:r>
        <w:rPr>
          <w:vertAlign w:val="superscript"/>
          <w:rtl/>
        </w:rPr>
        <w:footnoteReference w:id="4036" w:customMarkFollows="0"/>
      </w:r>
      <w:bookmarkEnd w:id="5361"/>
      <w:r>
        <w:rPr>
          <w:rtl/>
        </w:rPr>
        <w:t xml:space="preserve"> ספר ובו תולדות קצרות של הרבנים בכל הקהילות היהודיות בעולם. בערך </w:t>
      </w:r>
      <w:proofErr w:type="spellStart"/>
      <w:r>
        <w:rPr>
          <w:rtl/>
        </w:rPr>
        <w:t>בריסק</w:t>
      </w:r>
      <w:proofErr w:type="spellEnd"/>
      <w:r>
        <w:rPr>
          <w:rtl/>
        </w:rPr>
        <w:t xml:space="preserve"> נאמר</w:t>
      </w:r>
      <w:bookmarkStart w:id="5362" w:name="_fnr4027"/>
      <w:r>
        <w:rPr>
          <w:vertAlign w:val="superscript"/>
          <w:rtl/>
        </w:rPr>
        <w:footnoteReference w:id="4037" w:customMarkFollows="0"/>
      </w:r>
      <w:bookmarkEnd w:id="5362"/>
      <w:r>
        <w:rPr>
          <w:rtl/>
        </w:rPr>
        <w:t xml:space="preserve"> שר׳ חיים </w:t>
      </w:r>
      <w:proofErr w:type="spellStart"/>
      <w:r>
        <w:rPr>
          <w:rtl/>
        </w:rPr>
        <w:t>סולובייצ׳יק</w:t>
      </w:r>
      <w:proofErr w:type="spellEnd"/>
      <w:r>
        <w:rPr>
          <w:rtl/>
        </w:rPr>
        <w:t xml:space="preserve"> “נבחר להיות ר״מ </w:t>
      </w:r>
      <w:proofErr w:type="spellStart"/>
      <w:r>
        <w:rPr>
          <w:rtl/>
        </w:rPr>
        <w:t>בוולוז׳ין</w:t>
      </w:r>
      <w:proofErr w:type="spellEnd"/>
      <w:r>
        <w:rPr>
          <w:rtl/>
        </w:rPr>
        <w:t xml:space="preserve"> בשנת תר״מ </w:t>
      </w:r>
      <w:r>
        <w:rPr>
          <w:b/>
          <w:bCs/>
          <w:rtl/>
        </w:rPr>
        <w:t>לערך</w:t>
      </w:r>
      <w:r>
        <w:rPr>
          <w:rtl/>
        </w:rPr>
        <w:t xml:space="preserve">” (ההדגשה שלי). במאמר על ר׳ חיים מוזכרים עוד שני תאריכים – שנת לידתו ושנת מינויו לרב </w:t>
      </w:r>
      <w:proofErr w:type="spellStart"/>
      <w:r>
        <w:rPr>
          <w:rtl/>
        </w:rPr>
        <w:t>בריסק</w:t>
      </w:r>
      <w:proofErr w:type="spellEnd"/>
      <w:r>
        <w:rPr>
          <w:rtl/>
        </w:rPr>
        <w:t xml:space="preserve"> – ואלה אינם אומדנים בלבד. ייתכן שר׳ חיים</w:t>
      </w:r>
      <w:bookmarkStart w:id="5363" w:name="_fnr4028"/>
      <w:r>
        <w:rPr>
          <w:vertAlign w:val="superscript"/>
          <w:rtl/>
        </w:rPr>
        <w:footnoteReference w:id="4038" w:customMarkFollows="0"/>
      </w:r>
      <w:bookmarkEnd w:id="5363"/>
      <w:r>
        <w:rPr>
          <w:rtl/>
        </w:rPr>
        <w:t xml:space="preserve"> לא היה בטוח כיצד לתאר את מעמדו בישיבה בתקופת הביניים, מאז שהתחיל למסור שיעורים </w:t>
      </w:r>
      <w:proofErr w:type="spellStart"/>
      <w:r>
        <w:rPr>
          <w:rtl/>
        </w:rPr>
        <w:t>בתר״מ</w:t>
      </w:r>
      <w:proofErr w:type="spellEnd"/>
      <w:r>
        <w:rPr>
          <w:rtl/>
        </w:rPr>
        <w:t xml:space="preserve"> ועד שחותנו, </w:t>
      </w:r>
      <w:proofErr w:type="spellStart"/>
      <w:r>
        <w:rPr>
          <w:rtl/>
        </w:rPr>
        <w:t>הר״מ</w:t>
      </w:r>
      <w:proofErr w:type="spellEnd"/>
      <w:r>
        <w:rPr>
          <w:rtl/>
        </w:rPr>
        <w:t xml:space="preserve"> שקדם לו, עזב את </w:t>
      </w:r>
      <w:proofErr w:type="spellStart"/>
      <w:r>
        <w:rPr>
          <w:rtl/>
        </w:rPr>
        <w:t>וולוז׳ין</w:t>
      </w:r>
      <w:proofErr w:type="spellEnd"/>
      <w:r>
        <w:rPr>
          <w:rtl/>
        </w:rPr>
        <w:t xml:space="preserve"> </w:t>
      </w:r>
      <w:proofErr w:type="spellStart"/>
      <w:r>
        <w:rPr>
          <w:rtl/>
        </w:rPr>
        <w:t>בתרמ״א</w:t>
      </w:r>
      <w:proofErr w:type="spellEnd"/>
      <w:r>
        <w:rPr>
          <w:rtl/>
        </w:rPr>
        <w:t>. משום כך ניסח את מועד מינויו “תר״מ לערך”.</w:t>
      </w:r>
    </w:p>
    <w:p w14:paraId="3060EE67" w14:textId="77777777" w:rsidR="00AB3647" w:rsidRDefault="00000000" w:rsidP="007923E9">
      <w:pPr>
        <w:spacing w:after="120" w:line="276" w:lineRule="auto"/>
        <w:ind w:firstLine="283"/>
        <w:jc w:val="both"/>
      </w:pPr>
      <w:r>
        <w:rPr>
          <w:rtl/>
        </w:rPr>
        <w:lastRenderedPageBreak/>
        <w:t xml:space="preserve">ראה בערל </w:t>
      </w:r>
      <w:proofErr w:type="spellStart"/>
      <w:r>
        <w:rPr>
          <w:rtl/>
        </w:rPr>
        <w:t>קגן</w:t>
      </w:r>
      <w:bookmarkStart w:id="5364" w:name="_fnr4029"/>
      <w:proofErr w:type="spellEnd"/>
      <w:r>
        <w:rPr>
          <w:vertAlign w:val="superscript"/>
          <w:rtl/>
        </w:rPr>
        <w:footnoteReference w:id="4039" w:customMarkFollows="0"/>
      </w:r>
      <w:bookmarkEnd w:id="5364"/>
      <w:r>
        <w:rPr>
          <w:rtl/>
        </w:rPr>
        <w:t xml:space="preserve"> על הכבוד הגדול שחלקה העיר </w:t>
      </w:r>
      <w:proofErr w:type="spellStart"/>
      <w:r>
        <w:rPr>
          <w:rtl/>
        </w:rPr>
        <w:t>נובו־אלכסנדרובסק</w:t>
      </w:r>
      <w:proofErr w:type="spellEnd"/>
      <w:r>
        <w:rPr>
          <w:rtl/>
        </w:rPr>
        <w:t xml:space="preserve"> לרבה, ר׳ לוי שפירא – כנראה מפני שגם הוא, כמו הרב החדש ר׳ רפאל, היה בנו של רבה של קובנה, האהוב על הכול, ר׳ </w:t>
      </w:r>
      <w:proofErr w:type="spellStart"/>
      <w:r>
        <w:rPr>
          <w:rtl/>
        </w:rPr>
        <w:t>לייבל׳ה</w:t>
      </w:r>
      <w:proofErr w:type="spellEnd"/>
      <w:r>
        <w:rPr>
          <w:rtl/>
        </w:rPr>
        <w:t xml:space="preserve"> שפירא.</w:t>
      </w:r>
      <w:bookmarkStart w:id="5365" w:name="_fnr4030"/>
      <w:r>
        <w:rPr>
          <w:vertAlign w:val="superscript"/>
          <w:rtl/>
        </w:rPr>
        <w:footnoteReference w:id="4040" w:customMarkFollows="0"/>
      </w:r>
      <w:bookmarkEnd w:id="5365"/>
    </w:p>
    <w:p w14:paraId="11A6BB24" w14:textId="77777777" w:rsidR="00AB3647" w:rsidRDefault="00000000" w:rsidP="007923E9">
      <w:pPr>
        <w:spacing w:after="120" w:line="276" w:lineRule="auto"/>
        <w:ind w:firstLine="283"/>
        <w:jc w:val="both"/>
      </w:pPr>
      <w:bookmarkStart w:id="5366" w:name="pr_b_2262"/>
      <w:bookmarkEnd w:id="5366"/>
      <w:r>
        <w:rPr>
          <w:rtl/>
        </w:rPr>
        <w:t xml:space="preserve">האמירה שצוטטה לעיל, שר׳ רפאל סיים את תקופת הוראתו </w:t>
      </w:r>
      <w:proofErr w:type="spellStart"/>
      <w:r>
        <w:rPr>
          <w:rtl/>
        </w:rPr>
        <w:t>בוולוז׳ין</w:t>
      </w:r>
      <w:proofErr w:type="spellEnd"/>
      <w:r>
        <w:rPr>
          <w:rtl/>
        </w:rPr>
        <w:t xml:space="preserve"> כשהגיע בערך למקום בש״ס שבו התחיל, טעונה הרחבה מסוימת. כידוע, השיעור </w:t>
      </w:r>
      <w:proofErr w:type="spellStart"/>
      <w:r>
        <w:rPr>
          <w:rtl/>
        </w:rPr>
        <w:t>בוולוז׳ין</w:t>
      </w:r>
      <w:proofErr w:type="spellEnd"/>
      <w:r>
        <w:rPr>
          <w:rtl/>
        </w:rPr>
        <w:t xml:space="preserve"> הקיף דף ליום, ולפי “</w:t>
      </w:r>
      <w:proofErr w:type="spellStart"/>
      <w:r>
        <w:rPr>
          <w:rtl/>
        </w:rPr>
        <w:t>מוולוז׳ין</w:t>
      </w:r>
      <w:proofErr w:type="spellEnd"/>
      <w:r>
        <w:rPr>
          <w:rtl/>
        </w:rPr>
        <w:t>”</w:t>
      </w:r>
      <w:bookmarkStart w:id="5367" w:name="_fnr4031"/>
      <w:r>
        <w:rPr>
          <w:vertAlign w:val="superscript"/>
          <w:rtl/>
        </w:rPr>
        <w:footnoteReference w:id="4041" w:customMarkFollows="0"/>
      </w:r>
      <w:bookmarkEnd w:id="5367"/>
      <w:r>
        <w:rPr>
          <w:rtl/>
        </w:rPr>
        <w:t xml:space="preserve"> לא נמסר שיעור בשבת, ביום טוב ובתשעה באב.</w:t>
      </w:r>
      <w:bookmarkStart w:id="5368" w:name="_fnr4032"/>
      <w:bookmarkStart w:id="5369" w:name="pr_f_3919"/>
      <w:r>
        <w:rPr>
          <w:vertAlign w:val="superscript"/>
          <w:rtl/>
        </w:rPr>
        <w:footnoteReference w:id="4042" w:customMarkFollows="0"/>
      </w:r>
      <w:bookmarkEnd w:id="5368"/>
      <w:bookmarkEnd w:id="5369"/>
      <w:r>
        <w:rPr>
          <w:rtl/>
        </w:rPr>
        <w:t xml:space="preserve"> ימי שישי הוקדשו ללימוד </w:t>
      </w:r>
      <w:proofErr w:type="spellStart"/>
      <w:r>
        <w:rPr>
          <w:rtl/>
        </w:rPr>
        <w:t>הרא״ש</w:t>
      </w:r>
      <w:proofErr w:type="spellEnd"/>
      <w:r>
        <w:rPr>
          <w:rtl/>
        </w:rPr>
        <w:t xml:space="preserve">. ר׳ רפאל, שהתחיל למסור שיעורים </w:t>
      </w:r>
      <w:proofErr w:type="spellStart"/>
      <w:r>
        <w:rPr>
          <w:rtl/>
        </w:rPr>
        <w:t>בתר״ל</w:t>
      </w:r>
      <w:proofErr w:type="spellEnd"/>
      <w:r>
        <w:rPr>
          <w:rtl/>
        </w:rPr>
        <w:t>,</w:t>
      </w:r>
      <w:bookmarkStart w:id="5370" w:name="_fnr4033"/>
      <w:r>
        <w:rPr>
          <w:vertAlign w:val="superscript"/>
          <w:rtl/>
        </w:rPr>
        <w:footnoteReference w:id="4043" w:customMarkFollows="0"/>
      </w:r>
      <w:bookmarkEnd w:id="5370"/>
      <w:r>
        <w:rPr>
          <w:rtl/>
        </w:rPr>
        <w:t xml:space="preserve"> היה זקוק לכעשר שנים כדי להשלים מחזור שלם של הש״ס (ואולי גם כמה מסכתות משנה מסדר טהרות).</w:t>
      </w:r>
    </w:p>
    <w:p w14:paraId="4465FFC3" w14:textId="77777777" w:rsidR="00AB3647" w:rsidRDefault="00000000" w:rsidP="007923E9">
      <w:pPr>
        <w:spacing w:after="120" w:line="276" w:lineRule="auto"/>
        <w:ind w:firstLine="283"/>
        <w:jc w:val="both"/>
      </w:pPr>
      <w:r>
        <w:rPr>
          <w:rtl/>
        </w:rPr>
        <w:t xml:space="preserve">אלא שמתעורר קושי מעדותו של הרב יצחק </w:t>
      </w:r>
      <w:proofErr w:type="spellStart"/>
      <w:r>
        <w:rPr>
          <w:rtl/>
        </w:rPr>
        <w:t>ניסנבוים</w:t>
      </w:r>
      <w:proofErr w:type="spellEnd"/>
      <w:r>
        <w:rPr>
          <w:rtl/>
        </w:rPr>
        <w:t xml:space="preserve">, הכותב </w:t>
      </w:r>
      <w:proofErr w:type="spellStart"/>
      <w:r>
        <w:rPr>
          <w:rtl/>
        </w:rPr>
        <w:t>ב“עלי</w:t>
      </w:r>
      <w:proofErr w:type="spellEnd"/>
      <w:r>
        <w:rPr>
          <w:rtl/>
        </w:rPr>
        <w:t xml:space="preserve"> </w:t>
      </w:r>
      <w:proofErr w:type="spellStart"/>
      <w:r>
        <w:rPr>
          <w:rtl/>
        </w:rPr>
        <w:t>חלדי</w:t>
      </w:r>
      <w:proofErr w:type="spellEnd"/>
      <w:r>
        <w:rPr>
          <w:rtl/>
        </w:rPr>
        <w:t>”</w:t>
      </w:r>
      <w:bookmarkStart w:id="5371" w:name="_fnr4034"/>
      <w:r>
        <w:rPr>
          <w:vertAlign w:val="superscript"/>
          <w:rtl/>
        </w:rPr>
        <w:footnoteReference w:id="4044" w:customMarkFollows="0"/>
      </w:r>
      <w:bookmarkEnd w:id="5371"/>
      <w:r>
        <w:rPr>
          <w:rtl/>
        </w:rPr>
        <w:t xml:space="preserve"> שכשהגיע </w:t>
      </w:r>
      <w:proofErr w:type="spellStart"/>
      <w:r>
        <w:rPr>
          <w:rtl/>
        </w:rPr>
        <w:t>לוולוז׳ין</w:t>
      </w:r>
      <w:proofErr w:type="spellEnd"/>
      <w:r>
        <w:rPr>
          <w:rtl/>
        </w:rPr>
        <w:t xml:space="preserve"> בתחילת זמן החורף של תרמ״ה, השיעורים היו במסכת סנהדרין – רק כ־430 דפים אחרי הפרק התשיעי </w:t>
      </w:r>
      <w:proofErr w:type="spellStart"/>
      <w:r>
        <w:rPr>
          <w:rtl/>
        </w:rPr>
        <w:t>בבבא</w:t>
      </w:r>
      <w:proofErr w:type="spellEnd"/>
      <w:r>
        <w:rPr>
          <w:rtl/>
        </w:rPr>
        <w:t xml:space="preserve"> קמא, “הגוזל עצים”. כיצד ייתכן שהישיבה הספיקה כה מעט בארבע השנים שחלפו מאז תום תקופתו של ר׳ רפאל? שאלה נוספת עולה מגילוי </w:t>
      </w:r>
      <w:proofErr w:type="spellStart"/>
      <w:r>
        <w:rPr>
          <w:rtl/>
        </w:rPr>
        <w:t>ב“מוולוז׳ין</w:t>
      </w:r>
      <w:proofErr w:type="spellEnd"/>
      <w:r>
        <w:rPr>
          <w:rtl/>
        </w:rPr>
        <w:t>”:</w:t>
      </w:r>
      <w:bookmarkStart w:id="5372" w:name="_fnr4035"/>
      <w:r>
        <w:rPr>
          <w:vertAlign w:val="superscript"/>
          <w:rtl/>
        </w:rPr>
        <w:footnoteReference w:id="4045" w:customMarkFollows="0"/>
      </w:r>
      <w:bookmarkEnd w:id="5372"/>
      <w:r>
        <w:rPr>
          <w:rtl/>
        </w:rPr>
        <w:t xml:space="preserve"> “פעם אחת, כשהשיעור סיים את סדר נזיקין והיה אמור להתחיל קדשים, הביעו תלמידים רבים את דעתם שרוב הישיבה אינו בקי בנושאי קדשים, ולכן יהיה קשה לשמוע את השיעורים. ראשי הישיבה החליטו להיענות לבקשה [המשתמעת], בלי לפגוע בתוכנית המסורתית של הישיבה. הוחלט לקיים שני שיעורים ביום: להתחיל שוב במסכת ברכות בשעת השיעור הרגילה, ולהמשיך בסדר קדשים בערבים.”</w:t>
      </w:r>
    </w:p>
    <w:p w14:paraId="1811B1B6" w14:textId="51A34473" w:rsidR="00AB3647" w:rsidRDefault="00000000" w:rsidP="007923E9">
      <w:pPr>
        <w:spacing w:after="120" w:line="276" w:lineRule="auto"/>
        <w:ind w:firstLine="283"/>
        <w:jc w:val="both"/>
      </w:pPr>
      <w:r>
        <w:rPr>
          <w:rtl/>
        </w:rPr>
        <w:t xml:space="preserve">אם מחזורו של ר׳ רפאל לא כלל את קדשים, היה מגיע הרבה מעבר לנקודת ההתחלה שלו בעשר שנות שיעוריו. אבל ייתכן שתלונת התלמידים באה דווקא כשר׳ חיים </w:t>
      </w:r>
      <w:proofErr w:type="spellStart"/>
      <w:r>
        <w:rPr>
          <w:rtl/>
        </w:rPr>
        <w:t>סולובייצ׳יק</w:t>
      </w:r>
      <w:proofErr w:type="spellEnd"/>
      <w:r>
        <w:rPr>
          <w:rtl/>
        </w:rPr>
        <w:t xml:space="preserve"> סיים את נזיקין, ואולי שיטתו האנליטית הייתה תובענית מדי ללימוד החלק הבלתי מוכר בש״ס. כלל לא ברור כמה זמן נמשך סדר זה של שני שיעורים ביום. ראה גם פרק 5,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w:t>
      </w:r>
    </w:p>
    <w:p w14:paraId="79DB4CBC" w14:textId="77777777" w:rsidR="00AB3647" w:rsidRDefault="00000000" w:rsidP="007923E9">
      <w:pPr>
        <w:pStyle w:val="4"/>
        <w:spacing w:line="276" w:lineRule="auto"/>
      </w:pPr>
      <w:r>
        <w:t>· הפסקה החמישית ·</w:t>
      </w:r>
    </w:p>
    <w:p w14:paraId="6D1BBC49" w14:textId="77777777" w:rsidR="00AB3647" w:rsidRDefault="00000000" w:rsidP="007923E9">
      <w:pPr>
        <w:pStyle w:val="5"/>
        <w:spacing w:line="276" w:lineRule="auto"/>
      </w:pPr>
      <w:proofErr w:type="spellStart"/>
      <w:r>
        <w:rPr>
          <w:bCs/>
          <w:szCs w:val="26"/>
        </w:rPr>
        <w:t>הנצי״ב</w:t>
      </w:r>
      <w:proofErr w:type="spellEnd"/>
      <w:r>
        <w:rPr>
          <w:bCs/>
          <w:szCs w:val="26"/>
        </w:rPr>
        <w:t xml:space="preserve"> מפיץ את התיאור המוטעה של מי שעתיד להיות חתן נכדתו; התלמידים יודעים שר׳ חיים </w:t>
      </w:r>
      <w:proofErr w:type="spellStart"/>
      <w:r>
        <w:rPr>
          <w:bCs/>
          <w:szCs w:val="26"/>
        </w:rPr>
        <w:t>סולובייצ׳יק</w:t>
      </w:r>
      <w:proofErr w:type="spellEnd"/>
      <w:r>
        <w:rPr>
          <w:bCs/>
          <w:szCs w:val="26"/>
        </w:rPr>
        <w:t xml:space="preserve"> בקי בנעשה בעולם שמחוץ לישיבה; הוא נעשה המורה האהוב </w:t>
      </w:r>
      <w:proofErr w:type="spellStart"/>
      <w:r>
        <w:rPr>
          <w:bCs/>
          <w:szCs w:val="26"/>
        </w:rPr>
        <w:lastRenderedPageBreak/>
        <w:t>בוולוז׳ין</w:t>
      </w:r>
      <w:proofErr w:type="spellEnd"/>
      <w:r>
        <w:rPr>
          <w:bCs/>
          <w:szCs w:val="26"/>
        </w:rPr>
        <w:t>; שכלו המבריק ולבו הטהור של ראש ישיבה כרוכים זה בזה; ר׳ חיים חד הבחנה בהבנת אנשים; הוא חכם ביותר ורואה למרחוק.</w:t>
      </w:r>
    </w:p>
    <w:p w14:paraId="5C131D40" w14:textId="77777777" w:rsidR="00AB3647" w:rsidRDefault="00000000" w:rsidP="007923E9">
      <w:pPr>
        <w:spacing w:after="120" w:line="276" w:lineRule="auto"/>
        <w:ind w:firstLine="283"/>
        <w:jc w:val="both"/>
      </w:pPr>
      <w:proofErr w:type="spellStart"/>
      <w:r>
        <w:rPr>
          <w:rtl/>
        </w:rPr>
        <w:t>ה“בטלנות</w:t>
      </w:r>
      <w:proofErr w:type="spellEnd"/>
      <w:r>
        <w:rPr>
          <w:rtl/>
        </w:rPr>
        <w:t xml:space="preserve">” שיוחסה </w:t>
      </w:r>
      <w:proofErr w:type="spellStart"/>
      <w:r>
        <w:rPr>
          <w:rtl/>
        </w:rPr>
        <w:t>לר</w:t>
      </w:r>
      <w:proofErr w:type="spellEnd"/>
      <w:r>
        <w:rPr>
          <w:rtl/>
        </w:rPr>
        <w:t xml:space="preserve">׳ חיים הייתה רק למראית עין. לפי מה שסיפר נכדו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לתלמידיו,</w:t>
      </w:r>
      <w:bookmarkStart w:id="5373" w:name="_fnr4036"/>
      <w:r>
        <w:rPr>
          <w:vertAlign w:val="superscript"/>
          <w:rtl/>
        </w:rPr>
        <w:footnoteReference w:id="4046" w:customMarkFollows="0"/>
      </w:r>
      <w:bookmarkEnd w:id="5373"/>
      <w:r>
        <w:rPr>
          <w:rtl/>
        </w:rPr>
        <w:t xml:space="preserve"> עשור קודם לכן עודד </w:t>
      </w:r>
      <w:proofErr w:type="spellStart"/>
      <w:r>
        <w:rPr>
          <w:rtl/>
        </w:rPr>
        <w:t>הנצי״ב</w:t>
      </w:r>
      <w:proofErr w:type="spellEnd"/>
      <w:r>
        <w:rPr>
          <w:rtl/>
        </w:rPr>
        <w:t xml:space="preserve"> את הציבור לראות בר׳ חיים בטלן – רושם מוטעה. </w:t>
      </w:r>
      <w:proofErr w:type="spellStart"/>
      <w:r>
        <w:rPr>
          <w:rtl/>
        </w:rPr>
        <w:t>הנצי״ב</w:t>
      </w:r>
      <w:proofErr w:type="spellEnd"/>
      <w:r>
        <w:rPr>
          <w:rtl/>
        </w:rPr>
        <w:t xml:space="preserve"> רצה שנכדתו </w:t>
      </w:r>
      <w:proofErr w:type="spellStart"/>
      <w:r>
        <w:rPr>
          <w:rtl/>
        </w:rPr>
        <w:t>ליפשה</w:t>
      </w:r>
      <w:proofErr w:type="spellEnd"/>
      <w:r>
        <w:rPr>
          <w:rtl/>
        </w:rPr>
        <w:t>, הצעירה מר׳ חיים בשנתיים, תינשא לו בבוא היום, וחשש שאיזה עשיר “יחטוף” אותו קודם. לכן הורה למשולחי הישיבה</w:t>
      </w:r>
      <w:bookmarkStart w:id="5374" w:name="_fnr4037"/>
      <w:r>
        <w:rPr>
          <w:vertAlign w:val="superscript"/>
          <w:rtl/>
        </w:rPr>
        <w:footnoteReference w:id="4047" w:customMarkFollows="0"/>
      </w:r>
      <w:bookmarkEnd w:id="5374"/>
      <w:r>
        <w:rPr>
          <w:rtl/>
        </w:rPr>
        <w:t xml:space="preserve"> שבכל פעם שישאלו אותם כיצד מתפתח בנו של ר׳ יוסף־דב, המשנה לשעבר לראש הישיבה, ידגישו את בטלנותו של הצעיר – תכונה שתרחיק ממנו במיוחד עשירים המחפשים חתן.</w:t>
      </w:r>
    </w:p>
    <w:p w14:paraId="64560D45"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סיפר סיפור זה כדי להסביר מדוע כינה </w:t>
      </w:r>
      <w:proofErr w:type="spellStart"/>
      <w:r>
        <w:rPr>
          <w:rtl/>
        </w:rPr>
        <w:t>הנצי״ב</w:t>
      </w:r>
      <w:proofErr w:type="spellEnd"/>
      <w:r>
        <w:rPr>
          <w:rtl/>
        </w:rPr>
        <w:t xml:space="preserve"> את ר׳ חיים “חתני” בתשובה שנדפסה לימים </w:t>
      </w:r>
      <w:proofErr w:type="spellStart"/>
      <w:r>
        <w:rPr>
          <w:rtl/>
        </w:rPr>
        <w:t>ב“שו״ת</w:t>
      </w:r>
      <w:proofErr w:type="spellEnd"/>
      <w:r>
        <w:rPr>
          <w:rtl/>
        </w:rPr>
        <w:t xml:space="preserve"> גינת הביתן”,</w:t>
      </w:r>
      <w:bookmarkStart w:id="5375" w:name="_fnr4038"/>
      <w:r>
        <w:rPr>
          <w:vertAlign w:val="superscript"/>
          <w:rtl/>
        </w:rPr>
        <w:footnoteReference w:id="4048" w:customMarkFollows="0"/>
      </w:r>
      <w:bookmarkEnd w:id="5375"/>
      <w:r>
        <w:rPr>
          <w:rtl/>
        </w:rPr>
        <w:t xml:space="preserve"> אף שלמעשה היה ר׳ חיים חתנו של חתן </w:t>
      </w:r>
      <w:proofErr w:type="spellStart"/>
      <w:r>
        <w:rPr>
          <w:rtl/>
        </w:rPr>
        <w:t>הנצי״ב</w:t>
      </w:r>
      <w:proofErr w:type="spellEnd"/>
      <w:r>
        <w:rPr>
          <w:rtl/>
        </w:rPr>
        <w:t xml:space="preserve">, ר׳ רפאל שפירא. </w:t>
      </w:r>
      <w:proofErr w:type="spellStart"/>
      <w:r>
        <w:rPr>
          <w:rtl/>
        </w:rPr>
        <w:t>הנצי״ב</w:t>
      </w:r>
      <w:proofErr w:type="spellEnd"/>
      <w:r>
        <w:rPr>
          <w:rtl/>
        </w:rPr>
        <w:t xml:space="preserve"> הרגיש שהוא שדאג לכך שנכדתו תינשא </w:t>
      </w:r>
      <w:proofErr w:type="spellStart"/>
      <w:r>
        <w:rPr>
          <w:rtl/>
        </w:rPr>
        <w:t>לר</w:t>
      </w:r>
      <w:proofErr w:type="spellEnd"/>
      <w:r>
        <w:rPr>
          <w:rtl/>
        </w:rPr>
        <w:t>׳ חיים, כשמלאו לו עשרים, ולכן ראה בו חתן שלו. השווה “הראשון”,</w:t>
      </w:r>
      <w:bookmarkStart w:id="5376" w:name="_fnr4039"/>
      <w:r>
        <w:rPr>
          <w:vertAlign w:val="superscript"/>
          <w:rtl/>
        </w:rPr>
        <w:footnoteReference w:id="4049" w:customMarkFollows="0"/>
      </w:r>
      <w:bookmarkEnd w:id="5376"/>
      <w:r>
        <w:rPr>
          <w:rtl/>
        </w:rPr>
        <w:t xml:space="preserve"> המייחס – כמו “</w:t>
      </w:r>
      <w:proofErr w:type="spellStart"/>
      <w:r>
        <w:rPr>
          <w:rtl/>
        </w:rPr>
        <w:t>מוולוז׳ין</w:t>
      </w:r>
      <w:proofErr w:type="spellEnd"/>
      <w:r>
        <w:rPr>
          <w:rtl/>
        </w:rPr>
        <w:t>”</w:t>
      </w:r>
      <w:bookmarkStart w:id="5377" w:name="_fnr4040"/>
      <w:r>
        <w:rPr>
          <w:vertAlign w:val="superscript"/>
          <w:rtl/>
        </w:rPr>
        <w:footnoteReference w:id="4050" w:customMarkFollows="0"/>
      </w:r>
      <w:bookmarkEnd w:id="5377"/>
      <w:r>
        <w:rPr>
          <w:rtl/>
        </w:rPr>
        <w:t xml:space="preserve"> – את הכינוי הלא מדויק לכך שהכלה גדלה בבית סבה. אבל לפי “הראשון”, כשנדונה השאלה מי ילווה את הכלה לחופה, טען </w:t>
      </w:r>
      <w:proofErr w:type="spellStart"/>
      <w:r>
        <w:rPr>
          <w:rtl/>
        </w:rPr>
        <w:t>הנצי״ב</w:t>
      </w:r>
      <w:proofErr w:type="spellEnd"/>
      <w:r>
        <w:rPr>
          <w:rtl/>
        </w:rPr>
        <w:t xml:space="preserve"> דווקא נגד הנימוק שהיא גדלה בבית סבה,</w:t>
      </w:r>
      <w:bookmarkStart w:id="5378" w:name="_fnr4041"/>
      <w:r>
        <w:rPr>
          <w:vertAlign w:val="superscript"/>
          <w:rtl/>
        </w:rPr>
        <w:footnoteReference w:id="4051" w:customMarkFollows="0"/>
      </w:r>
      <w:bookmarkEnd w:id="5378"/>
      <w:r>
        <w:rPr>
          <w:rtl/>
        </w:rPr>
        <w:t xml:space="preserve"> ולכן קשה להסביר בטעם זה את הכינוי “חתני”.</w:t>
      </w:r>
    </w:p>
    <w:p w14:paraId="5447F4EB" w14:textId="77777777" w:rsidR="00AB3647" w:rsidRDefault="00000000" w:rsidP="007923E9">
      <w:pPr>
        <w:spacing w:after="120" w:line="276" w:lineRule="auto"/>
        <w:ind w:firstLine="283"/>
        <w:jc w:val="both"/>
      </w:pPr>
      <w:r>
        <w:rPr>
          <w:rtl/>
        </w:rPr>
        <w:t xml:space="preserve">אבל בשנות כהונתו המאוחרות לא ראו התלמידים את ר׳ חיים כבטלן כלל. אבא </w:t>
      </w:r>
      <w:proofErr w:type="spellStart"/>
      <w:r>
        <w:rPr>
          <w:rtl/>
        </w:rPr>
        <w:t>בלושר</w:t>
      </w:r>
      <w:proofErr w:type="spellEnd"/>
      <w:r>
        <w:rPr>
          <w:rtl/>
        </w:rPr>
        <w:t xml:space="preserve">, שהיה תלמיד בשנה האחרונה לקיומה של הישיבה, מתאר את ר׳ חיים במאמרו </w:t>
      </w:r>
      <w:proofErr w:type="spellStart"/>
      <w:r>
        <w:rPr>
          <w:rtl/>
        </w:rPr>
        <w:t>ב“מאזנים</w:t>
      </w:r>
      <w:proofErr w:type="spellEnd"/>
      <w:r>
        <w:rPr>
          <w:rtl/>
        </w:rPr>
        <w:t>”</w:t>
      </w:r>
      <w:bookmarkStart w:id="5379" w:name="_fnr4042"/>
      <w:r>
        <w:rPr>
          <w:vertAlign w:val="superscript"/>
          <w:rtl/>
        </w:rPr>
        <w:footnoteReference w:id="4052" w:customMarkFollows="0"/>
      </w:r>
      <w:bookmarkEnd w:id="5379"/>
      <w:r>
        <w:rPr>
          <w:rtl/>
        </w:rPr>
        <w:t xml:space="preserve"> כך: “בעיני הזרים, שלא באו עמו במגע והביטו בו רק מרחוק, נראה ר׳ חיים מכונס בעצמו, בלתי מעשי ובורח מן החברה – כאילו אין בעולמו אלא תורה, ושום דבר מענייני העולם. אבל הם טעו. טעותם נבעה מסימנים חיצוניים שהותירו מקום לטעות והחשידוהו במה שלא היה בו: חותם פיזור הדעת שהיה טבוע בפניו והרפיון בהליכתו. אבל לכל מי שהיה בקרבתו היה ברור וידוע שהוא מעורב בין הבריות ואוהב את שיחתן. הוא היה פיקח בהוויות העולם, וידע להסביר עניין של חול בטעם נעים, להטעים ולהדגיש כל שורה וכל נקודה בסיפור שסיפר. ולשיחה נעימה ידע לתת את המגיע לה.”</w:t>
      </w:r>
    </w:p>
    <w:p w14:paraId="678BC7F1" w14:textId="77777777" w:rsidR="00AB3647" w:rsidRDefault="00000000" w:rsidP="007923E9">
      <w:pPr>
        <w:spacing w:after="120" w:line="276" w:lineRule="auto"/>
        <w:ind w:firstLine="283"/>
        <w:jc w:val="both"/>
      </w:pPr>
      <w:r>
        <w:rPr>
          <w:rtl/>
        </w:rPr>
        <w:lastRenderedPageBreak/>
        <w:t xml:space="preserve">בר </w:t>
      </w:r>
      <w:proofErr w:type="spellStart"/>
      <w:r>
        <w:rPr>
          <w:rtl/>
        </w:rPr>
        <w:t>בי־רב</w:t>
      </w:r>
      <w:proofErr w:type="spellEnd"/>
      <w:r>
        <w:rPr>
          <w:rtl/>
        </w:rPr>
        <w:t xml:space="preserve"> מסכים: “מלבד היותו איש גדול בתורה ובמידות, [ר׳ חיים] גם ‘בקי </w:t>
      </w:r>
      <w:proofErr w:type="spellStart"/>
      <w:r>
        <w:rPr>
          <w:rtl/>
        </w:rPr>
        <w:t>בהויות</w:t>
      </w:r>
      <w:proofErr w:type="spellEnd"/>
      <w:r>
        <w:rPr>
          <w:rtl/>
        </w:rPr>
        <w:t xml:space="preserve"> העולם’.” </w:t>
      </w:r>
      <w:proofErr w:type="spellStart"/>
      <w:r>
        <w:rPr>
          <w:rtl/>
        </w:rPr>
        <w:t>ב“זכרון</w:t>
      </w:r>
      <w:proofErr w:type="spellEnd"/>
      <w:r>
        <w:rPr>
          <w:rtl/>
        </w:rPr>
        <w:t xml:space="preserve"> לאחרונים”</w:t>
      </w:r>
      <w:bookmarkStart w:id="5380" w:name="_fnr4043"/>
      <w:r>
        <w:rPr>
          <w:vertAlign w:val="superscript"/>
          <w:rtl/>
        </w:rPr>
        <w:footnoteReference w:id="4053" w:customMarkFollows="0"/>
      </w:r>
      <w:bookmarkEnd w:id="5380"/>
      <w:r>
        <w:rPr>
          <w:rtl/>
        </w:rPr>
        <w:t xml:space="preserve"> יש אף טענה שר׳ חיים קרא בסתר את “המליץ” המשכילי.</w:t>
      </w:r>
      <w:bookmarkStart w:id="5381" w:name="_fnr4044"/>
      <w:r>
        <w:rPr>
          <w:vertAlign w:val="superscript"/>
          <w:rtl/>
        </w:rPr>
        <w:footnoteReference w:id="4054" w:customMarkFollows="0"/>
      </w:r>
      <w:bookmarkEnd w:id="5381"/>
    </w:p>
    <w:p w14:paraId="788249F4" w14:textId="77777777" w:rsidR="00AB3647" w:rsidRDefault="00000000" w:rsidP="007923E9">
      <w:pPr>
        <w:spacing w:after="120" w:line="276" w:lineRule="auto"/>
        <w:ind w:firstLine="283"/>
        <w:jc w:val="both"/>
      </w:pPr>
      <w:r>
        <w:rPr>
          <w:rtl/>
        </w:rPr>
        <w:t xml:space="preserve">אגב, בר </w:t>
      </w:r>
      <w:proofErr w:type="spellStart"/>
      <w:r>
        <w:rPr>
          <w:rtl/>
        </w:rPr>
        <w:t>בי־רב</w:t>
      </w:r>
      <w:proofErr w:type="spellEnd"/>
      <w:r>
        <w:rPr>
          <w:rtl/>
        </w:rPr>
        <w:t xml:space="preserve"> [ברדיצ׳בסקי] חושף את שורשי סגירתה העתידית של </w:t>
      </w:r>
      <w:proofErr w:type="spellStart"/>
      <w:r>
        <w:rPr>
          <w:rtl/>
        </w:rPr>
        <w:t>וולוז׳ין</w:t>
      </w:r>
      <w:proofErr w:type="spellEnd"/>
      <w:r>
        <w:rPr>
          <w:rtl/>
        </w:rPr>
        <w:t xml:space="preserve">, כשהוא מגלה </w:t>
      </w:r>
      <w:proofErr w:type="spellStart"/>
      <w:r>
        <w:rPr>
          <w:rtl/>
        </w:rPr>
        <w:t>ש“בימים</w:t>
      </w:r>
      <w:proofErr w:type="spellEnd"/>
      <w:r>
        <w:rPr>
          <w:rtl/>
        </w:rPr>
        <w:t xml:space="preserve"> האחרונים [לפני כתיבת מאמרו, כלומר בזמן החורף של תרמ״ה]” חדלו התלמידים לבוא לשיעור </w:t>
      </w:r>
      <w:proofErr w:type="spellStart"/>
      <w:r>
        <w:rPr>
          <w:rtl/>
        </w:rPr>
        <w:t>הנצי״ב</w:t>
      </w:r>
      <w:proofErr w:type="spellEnd"/>
      <w:r>
        <w:rPr>
          <w:rtl/>
        </w:rPr>
        <w:t xml:space="preserve"> מפני </w:t>
      </w:r>
      <w:proofErr w:type="spellStart"/>
      <w:r>
        <w:rPr>
          <w:rtl/>
        </w:rPr>
        <w:t>ש“שיטת</w:t>
      </w:r>
      <w:proofErr w:type="spellEnd"/>
      <w:r>
        <w:rPr>
          <w:rtl/>
        </w:rPr>
        <w:t xml:space="preserve"> לימודו התיישנה”, ואילו שיעורו של ר׳ חיים הלך ונעשה אהוד יותר. כששאלת הירושה עלתה כעבור חמש שנים, הועדף ר׳ חיים על פני מועמדו של </w:t>
      </w:r>
      <w:proofErr w:type="spellStart"/>
      <w:r>
        <w:rPr>
          <w:rtl/>
        </w:rPr>
        <w:t>הנצי״ב</w:t>
      </w:r>
      <w:proofErr w:type="spellEnd"/>
      <w:r>
        <w:rPr>
          <w:rtl/>
        </w:rPr>
        <w:t>.</w:t>
      </w:r>
      <w:bookmarkStart w:id="5382" w:name="_fnr4045"/>
      <w:r>
        <w:rPr>
          <w:vertAlign w:val="superscript"/>
          <w:rtl/>
        </w:rPr>
        <w:footnoteReference w:id="4055" w:customMarkFollows="0"/>
      </w:r>
      <w:bookmarkEnd w:id="5382"/>
    </w:p>
    <w:p w14:paraId="395C1AF0" w14:textId="77777777" w:rsidR="00AB3647" w:rsidRDefault="00000000" w:rsidP="007923E9">
      <w:pPr>
        <w:spacing w:after="120" w:line="276" w:lineRule="auto"/>
        <w:ind w:firstLine="283"/>
        <w:jc w:val="both"/>
      </w:pPr>
      <w:r>
        <w:rPr>
          <w:rtl/>
        </w:rPr>
        <w:t xml:space="preserve">ראה גם זיכרונותיו של </w:t>
      </w:r>
      <w:proofErr w:type="spellStart"/>
      <w:r>
        <w:rPr>
          <w:rtl/>
        </w:rPr>
        <w:t>יהושע־לייב</w:t>
      </w:r>
      <w:proofErr w:type="spellEnd"/>
      <w:r>
        <w:rPr>
          <w:rtl/>
        </w:rPr>
        <w:t xml:space="preserve"> </w:t>
      </w:r>
      <w:proofErr w:type="spellStart"/>
      <w:r>
        <w:rPr>
          <w:rtl/>
        </w:rPr>
        <w:t>ראדוס</w:t>
      </w:r>
      <w:proofErr w:type="spellEnd"/>
      <w:r>
        <w:rPr>
          <w:rtl/>
        </w:rPr>
        <w:t>,</w:t>
      </w:r>
      <w:bookmarkStart w:id="5383" w:name="_fnr4046"/>
      <w:r>
        <w:rPr>
          <w:vertAlign w:val="superscript"/>
          <w:rtl/>
        </w:rPr>
        <w:footnoteReference w:id="4056" w:customMarkFollows="0"/>
      </w:r>
      <w:bookmarkEnd w:id="5383"/>
      <w:r>
        <w:rPr>
          <w:rtl/>
        </w:rPr>
        <w:t xml:space="preserve"> ובהם תיאור מעולה של הבדלי האופי שנתפסו בין </w:t>
      </w:r>
      <w:proofErr w:type="spellStart"/>
      <w:r>
        <w:rPr>
          <w:rtl/>
        </w:rPr>
        <w:t>הנצי״ב</w:t>
      </w:r>
      <w:proofErr w:type="spellEnd"/>
      <w:r>
        <w:rPr>
          <w:rtl/>
        </w:rPr>
        <w:t xml:space="preserve"> לבין ר׳ חיים, ושל יחס התלמידים אליהם, במילים אלה: “שני ראשי הישיבה נבדלו זה מזה מבחינות רבות, והיה מרחק רב בין הופעתם ומנהגיהם, אף ששניהם נחשבו לגאוני הדור. בעוד הראשון [</w:t>
      </w:r>
      <w:proofErr w:type="spellStart"/>
      <w:r>
        <w:rPr>
          <w:rtl/>
        </w:rPr>
        <w:t>הנצי״ב</w:t>
      </w:r>
      <w:proofErr w:type="spellEnd"/>
      <w:r>
        <w:rPr>
          <w:rtl/>
        </w:rPr>
        <w:t xml:space="preserve">] הצטיין בבקיאות, הצטיין השני [ר׳ חיים </w:t>
      </w:r>
      <w:proofErr w:type="spellStart"/>
      <w:r>
        <w:rPr>
          <w:rtl/>
        </w:rPr>
        <w:t>סולובייצ׳יק</w:t>
      </w:r>
      <w:proofErr w:type="spellEnd"/>
      <w:r>
        <w:rPr>
          <w:rtl/>
        </w:rPr>
        <w:t xml:space="preserve">] בחריפות. ובעוד הראשון, במסירת השיעור, היה חודר לעומק הדין ולעומק ההלכה, כאיש פשט שהיה מבאר ומסביר כל עניין במקומו בהסבר דק כל כך שלא נותר מקום להתפארות של חוקר או לשאלות ותשובות – השני היה הפכו: הוא דילג על דף הגמרא, שקרא בזריזות ובחיפזון, כמי שאומר ‘אשרי’ בשטף, </w:t>
      </w:r>
      <w:r>
        <w:rPr>
          <w:b/>
          <w:bCs/>
          <w:rtl/>
        </w:rPr>
        <w:t>והראה את כוחו ועוצמתו בפלפול שמסר בכל שיעור</w:t>
      </w:r>
      <w:r>
        <w:rPr>
          <w:rtl/>
        </w:rPr>
        <w:t xml:space="preserve"> (ההדגשה שלי).</w:t>
      </w:r>
      <w:bookmarkStart w:id="5384" w:name="_fnr4047"/>
      <w:r>
        <w:rPr>
          <w:vertAlign w:val="superscript"/>
          <w:rtl/>
        </w:rPr>
        <w:footnoteReference w:id="4057" w:customMarkFollows="0"/>
      </w:r>
      <w:bookmarkEnd w:id="5384"/>
      <w:r>
        <w:rPr>
          <w:rtl/>
        </w:rPr>
        <w:t xml:space="preserve"> בפלפולו של ר׳ חיים פגשו בני הישיבה את זריזותו וכושר המצאתו, שהפליאו את השומעים. כשם שנבדלו </w:t>
      </w:r>
      <w:proofErr w:type="spellStart"/>
      <w:r>
        <w:rPr>
          <w:rtl/>
        </w:rPr>
        <w:t>הנצי״ב</w:t>
      </w:r>
      <w:proofErr w:type="spellEnd"/>
      <w:r>
        <w:rPr>
          <w:rtl/>
        </w:rPr>
        <w:t xml:space="preserve"> והוא בכישרונותיהם, כך נבדלו במידותיהם. בעוד הראשון היה תקיף, חסר רחמים, קשה עורף, נוקם ונוטר כתלמיד חכם,</w:t>
      </w:r>
      <w:bookmarkStart w:id="5385" w:name="_fnr4048"/>
      <w:r>
        <w:rPr>
          <w:vertAlign w:val="superscript"/>
          <w:rtl/>
        </w:rPr>
        <w:footnoteReference w:id="4058" w:customMarkFollows="0"/>
      </w:r>
      <w:bookmarkEnd w:id="5385"/>
      <w:r>
        <w:rPr>
          <w:rtl/>
        </w:rPr>
        <w:t xml:space="preserve"> קפדן הדואג לכבודו ושליט בלא סייג – השני היה רך, נעים לבריות ועניו, והיה מהלך עם בני הישיבה כאחד מהם. את הראשון כיבדו מיראה, ואת השני מאהבה. כשהראשון הופיע בישיבה כדי למסור את שיעורו, איש לא זז ממקומו עד שהיכו בשולחן לאות שהגיעה שעת השיעור; אבל אצל השני, מיד כשהופיע בפתח הישיבה, היכו כל התלמידים בידיהם על שולחנותיהם לאות </w:t>
      </w:r>
      <w:proofErr w:type="spellStart"/>
      <w:r>
        <w:rPr>
          <w:rtl/>
        </w:rPr>
        <w:t>ש׳ר</w:t>
      </w:r>
      <w:proofErr w:type="spellEnd"/>
      <w:r>
        <w:rPr>
          <w:rtl/>
        </w:rPr>
        <w:t xml:space="preserve">׳ </w:t>
      </w:r>
      <w:proofErr w:type="spellStart"/>
      <w:r>
        <w:rPr>
          <w:rtl/>
        </w:rPr>
        <w:t>חיים׳קה</w:t>
      </w:r>
      <w:proofErr w:type="spellEnd"/>
      <w:r>
        <w:rPr>
          <w:rtl/>
        </w:rPr>
        <w:t>’ הגיע. כך הראו את האהבה שרחשו לו.”</w:t>
      </w:r>
    </w:p>
    <w:p w14:paraId="1D82486C" w14:textId="77777777" w:rsidR="00AB3647" w:rsidRDefault="00000000" w:rsidP="007923E9">
      <w:pPr>
        <w:spacing w:after="120" w:line="276" w:lineRule="auto"/>
        <w:ind w:firstLine="283"/>
        <w:jc w:val="both"/>
      </w:pPr>
      <w:r>
        <w:rPr>
          <w:rtl/>
        </w:rPr>
        <w:t>באשר להעדפתם הכללית של התלמידים את שיעורו של ר׳ חיים, יש להדגיש שהוא בשום אופן לא ניסה לעודד אותה. “אישים ושיטות”</w:t>
      </w:r>
      <w:bookmarkStart w:id="5386" w:name="_fnr4049"/>
      <w:r>
        <w:rPr>
          <w:vertAlign w:val="superscript"/>
          <w:rtl/>
        </w:rPr>
        <w:footnoteReference w:id="4059" w:customMarkFollows="0"/>
      </w:r>
      <w:bookmarkEnd w:id="5386"/>
      <w:r>
        <w:rPr>
          <w:rtl/>
        </w:rPr>
        <w:t xml:space="preserve"> מספר: “פעם אחת, כשחש שכמה מן </w:t>
      </w:r>
      <w:r>
        <w:rPr>
          <w:rtl/>
        </w:rPr>
        <w:lastRenderedPageBreak/>
        <w:t xml:space="preserve">התלמידים מעדיפים את שיעוריו על פני [שיעורי </w:t>
      </w:r>
      <w:proofErr w:type="spellStart"/>
      <w:r>
        <w:rPr>
          <w:rtl/>
        </w:rPr>
        <w:t>הנצי״ב</w:t>
      </w:r>
      <w:proofErr w:type="spellEnd"/>
      <w:r>
        <w:rPr>
          <w:rtl/>
        </w:rPr>
        <w:t xml:space="preserve">], שתק עד שביקשו ממנו [התלמידים] לומר חידוש. אז אמר להם דבר עם הסבר ‘מסוגו של ר׳ חיים’, והם התלהבו ממנו... אחר כך אמר ר׳ חיים: ‘זה אינו חידוש שלי, אלא של סב אשתי </w:t>
      </w:r>
      <w:proofErr w:type="spellStart"/>
      <w:r>
        <w:rPr>
          <w:rtl/>
        </w:rPr>
        <w:t>הנצי״ב</w:t>
      </w:r>
      <w:proofErr w:type="spellEnd"/>
      <w:r>
        <w:rPr>
          <w:rtl/>
        </w:rPr>
        <w:t xml:space="preserve"> בספרו’, והוציא את ‘העמק שאלה’ והראה להם את הדברים בפנים.”</w:t>
      </w:r>
    </w:p>
    <w:p w14:paraId="2A212BE8" w14:textId="77777777" w:rsidR="00AB3647" w:rsidRDefault="00000000" w:rsidP="007923E9">
      <w:pPr>
        <w:spacing w:after="120" w:line="276" w:lineRule="auto"/>
        <w:ind w:firstLine="283"/>
        <w:jc w:val="both"/>
      </w:pPr>
      <w:r>
        <w:rPr>
          <w:rtl/>
        </w:rPr>
        <w:t>אין להפריד בין ההעדפה לשיעורי ר׳ חיים לבין ההערצה למידותיו. ראה אדלשטיין</w:t>
      </w:r>
      <w:bookmarkStart w:id="5387" w:name="_fnr4050"/>
      <w:r>
        <w:rPr>
          <w:vertAlign w:val="superscript"/>
          <w:rtl/>
        </w:rPr>
        <w:footnoteReference w:id="4060" w:customMarkFollows="0"/>
      </w:r>
      <w:bookmarkEnd w:id="5387"/>
      <w:r>
        <w:rPr>
          <w:rtl/>
        </w:rPr>
        <w:t xml:space="preserve">, המצטט “סופר מחונן” שתיאר את הישיבה כמו שהייתה בימי ר׳ חיים </w:t>
      </w:r>
      <w:proofErr w:type="spellStart"/>
      <w:r>
        <w:rPr>
          <w:rtl/>
        </w:rPr>
        <w:t>מוולוז׳ין</w:t>
      </w:r>
      <w:proofErr w:type="spellEnd"/>
      <w:r>
        <w:rPr>
          <w:rtl/>
        </w:rPr>
        <w:t xml:space="preserve">: “בני הישיבה לא ידעו היכן </w:t>
      </w:r>
      <w:r>
        <w:rPr>
          <w:b/>
          <w:bCs/>
          <w:rtl/>
        </w:rPr>
        <w:t>כוחו</w:t>
      </w:r>
      <w:r>
        <w:rPr>
          <w:rtl/>
        </w:rPr>
        <w:t xml:space="preserve"> (ההדגשה שלי) של ר׳ חיים גדול יותר: בשכלו המבריק או </w:t>
      </w:r>
      <w:proofErr w:type="spellStart"/>
      <w:r>
        <w:rPr>
          <w:rtl/>
        </w:rPr>
        <w:t>בלבו</w:t>
      </w:r>
      <w:proofErr w:type="spellEnd"/>
      <w:r>
        <w:rPr>
          <w:rtl/>
        </w:rPr>
        <w:t xml:space="preserve"> הטהור, בחריפות לימודו או באהבתו לבריות. בישיבה היו הבחורים מונים ממש כל צעד שלו ושותים בצמא את דבריו. כשפרצה סופת שלגים בליל חורף, קם ר׳ חיים לפני עלות השחר לטאטא את הרחובות המכוסים בשלג, כדי להקל על בני הישיבה למצוא את דרכם באור הבוקר.”</w:t>
      </w:r>
    </w:p>
    <w:p w14:paraId="559E207F" w14:textId="7F85C604" w:rsidR="00AB3647" w:rsidRDefault="00000000" w:rsidP="007923E9">
      <w:pPr>
        <w:spacing w:after="120" w:line="276" w:lineRule="auto"/>
        <w:ind w:firstLine="283"/>
        <w:jc w:val="both"/>
      </w:pPr>
      <w:proofErr w:type="spellStart"/>
      <w:r>
        <w:rPr>
          <w:rtl/>
        </w:rPr>
        <w:t>ב“כוח</w:t>
      </w:r>
      <w:proofErr w:type="spellEnd"/>
      <w:r>
        <w:rPr>
          <w:rtl/>
        </w:rPr>
        <w:t xml:space="preserve">” הרב מתכוון הכותב האלמוני ליכולתו של ר׳ חיים </w:t>
      </w:r>
      <w:proofErr w:type="spellStart"/>
      <w:r>
        <w:rPr>
          <w:rtl/>
        </w:rPr>
        <w:t>מוולוז׳ין</w:t>
      </w:r>
      <w:proofErr w:type="spellEnd"/>
      <w:r>
        <w:rPr>
          <w:rtl/>
        </w:rPr>
        <w:t xml:space="preserve"> להשפיע על תלמידיו שידבקו בו ובתורתו. לפי ר׳ שלמה </w:t>
      </w:r>
      <w:proofErr w:type="spellStart"/>
      <w:r>
        <w:rPr>
          <w:rtl/>
        </w:rPr>
        <w:t>פוליצ׳ק</w:t>
      </w:r>
      <w:proofErr w:type="spellEnd"/>
      <w:r>
        <w:rPr>
          <w:rtl/>
        </w:rPr>
        <w:t>, כפי שהוא מצוטט בפרק 5, הפסקה העשירית ב</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 xml:space="preserve">, שני ההיבטים של “כוחו של הרבי” קשורים זה בזה בתפיסתם </w:t>
      </w:r>
      <w:proofErr w:type="spellStart"/>
      <w:r>
        <w:rPr>
          <w:rtl/>
        </w:rPr>
        <w:t>הלא־מודעת</w:t>
      </w:r>
      <w:proofErr w:type="spellEnd"/>
      <w:r>
        <w:rPr>
          <w:rtl/>
        </w:rPr>
        <w:t xml:space="preserve"> של התלמידים. ר׳ שלמה </w:t>
      </w:r>
      <w:proofErr w:type="spellStart"/>
      <w:r>
        <w:rPr>
          <w:rtl/>
        </w:rPr>
        <w:t>פוליצ׳ק</w:t>
      </w:r>
      <w:proofErr w:type="spellEnd"/>
      <w:r>
        <w:rPr>
          <w:rtl/>
        </w:rPr>
        <w:t xml:space="preserve"> החיל עיקרון זה על ר׳ חיים </w:t>
      </w:r>
      <w:proofErr w:type="spellStart"/>
      <w:r>
        <w:rPr>
          <w:rtl/>
        </w:rPr>
        <w:t>סולובייצ׳יק</w:t>
      </w:r>
      <w:proofErr w:type="spellEnd"/>
      <w:r>
        <w:rPr>
          <w:rtl/>
        </w:rPr>
        <w:t>.</w:t>
      </w:r>
    </w:p>
    <w:p w14:paraId="2E519156" w14:textId="77777777" w:rsidR="00AB3647" w:rsidRDefault="00000000" w:rsidP="007923E9">
      <w:pPr>
        <w:spacing w:after="120" w:line="276" w:lineRule="auto"/>
        <w:ind w:firstLine="283"/>
        <w:jc w:val="both"/>
      </w:pPr>
      <w:r>
        <w:rPr>
          <w:rtl/>
        </w:rPr>
        <w:t xml:space="preserve">ר׳ חיים </w:t>
      </w:r>
      <w:proofErr w:type="spellStart"/>
      <w:r>
        <w:rPr>
          <w:rtl/>
        </w:rPr>
        <w:t>סולובייצ׳יק</w:t>
      </w:r>
      <w:proofErr w:type="spellEnd"/>
      <w:r>
        <w:rPr>
          <w:rtl/>
        </w:rPr>
        <w:t xml:space="preserve"> היה בדרך כלל חד הבחנה מאוד בהבנת הוויות העולם. ראה “</w:t>
      </w:r>
      <w:proofErr w:type="spellStart"/>
      <w:r>
        <w:rPr>
          <w:rtl/>
        </w:rPr>
        <w:t>מוולוז׳ין</w:t>
      </w:r>
      <w:proofErr w:type="spellEnd"/>
      <w:r>
        <w:rPr>
          <w:rtl/>
        </w:rPr>
        <w:t>”,</w:t>
      </w:r>
      <w:bookmarkStart w:id="5388" w:name="_fnr4051"/>
      <w:r>
        <w:rPr>
          <w:vertAlign w:val="superscript"/>
          <w:rtl/>
        </w:rPr>
        <w:footnoteReference w:id="4061" w:customMarkFollows="0"/>
      </w:r>
      <w:bookmarkEnd w:id="5388"/>
      <w:r>
        <w:rPr>
          <w:rtl/>
        </w:rPr>
        <w:t xml:space="preserve"> המתאר את תובנותיו החדות בבעיות החברה, כפי שבאו לידי ביטוי בכינוסי הרבנים השונים שבהם השתתף, ובהם ועידת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w:t>
      </w:r>
    </w:p>
    <w:p w14:paraId="0A416AFC" w14:textId="77777777" w:rsidR="00AB3647" w:rsidRDefault="00000000" w:rsidP="007923E9">
      <w:pPr>
        <w:spacing w:after="120" w:line="276" w:lineRule="auto"/>
        <w:ind w:firstLine="283"/>
        <w:jc w:val="both"/>
      </w:pPr>
      <w:r>
        <w:rPr>
          <w:rtl/>
        </w:rPr>
        <w:t xml:space="preserve">תפיסתו החודרת את בני האדם מודגמת במעשה המתועד </w:t>
      </w:r>
      <w:proofErr w:type="spellStart"/>
      <w:r>
        <w:rPr>
          <w:rtl/>
        </w:rPr>
        <w:t>ב“אנציקלופדיה</w:t>
      </w:r>
      <w:proofErr w:type="spellEnd"/>
      <w:r>
        <w:rPr>
          <w:rtl/>
        </w:rPr>
        <w:t xml:space="preserve"> של גלויות – </w:t>
      </w:r>
      <w:proofErr w:type="spellStart"/>
      <w:r>
        <w:rPr>
          <w:rtl/>
        </w:rPr>
        <w:t>בריסק־דליטא</w:t>
      </w:r>
      <w:proofErr w:type="spellEnd"/>
      <w:r>
        <w:rPr>
          <w:rtl/>
        </w:rPr>
        <w:t>”.</w:t>
      </w:r>
      <w:bookmarkStart w:id="5389" w:name="_fnr4052"/>
      <w:r>
        <w:rPr>
          <w:vertAlign w:val="superscript"/>
          <w:rtl/>
        </w:rPr>
        <w:footnoteReference w:id="4062" w:customMarkFollows="0"/>
      </w:r>
      <w:bookmarkEnd w:id="5389"/>
      <w:r>
        <w:rPr>
          <w:rtl/>
        </w:rPr>
        <w:t xml:space="preserve"> ר׳ </w:t>
      </w:r>
      <w:proofErr w:type="spellStart"/>
      <w:r>
        <w:rPr>
          <w:rtl/>
        </w:rPr>
        <w:t>אליהו־ברוך</w:t>
      </w:r>
      <w:proofErr w:type="spellEnd"/>
      <w:r>
        <w:rPr>
          <w:rtl/>
        </w:rPr>
        <w:t xml:space="preserve"> קמאי ממיר נפטר במינסק, שבה מצאו מקלט במלחמת העולם הראשונה, בין שאר הרבנים, הוא עצמו, ר׳ חיים וחותנו ר׳ רפאל שפירא.</w:t>
      </w:r>
      <w:bookmarkStart w:id="5390" w:name="_fnr4053"/>
      <w:r>
        <w:rPr>
          <w:vertAlign w:val="superscript"/>
          <w:rtl/>
        </w:rPr>
        <w:footnoteReference w:id="4063" w:customMarkFollows="0"/>
      </w:r>
      <w:bookmarkEnd w:id="5390"/>
      <w:r>
        <w:rPr>
          <w:rtl/>
        </w:rPr>
        <w:t xml:space="preserve"> בדרך להלוויה הציע ר׳ חיים לעמיתו לסור לביתו של ר׳ רפאל, ושלא לגלות לרב החולה והחלש שר׳ </w:t>
      </w:r>
      <w:proofErr w:type="spellStart"/>
      <w:r>
        <w:rPr>
          <w:rtl/>
        </w:rPr>
        <w:t>אליהו־ברוך</w:t>
      </w:r>
      <w:proofErr w:type="spellEnd"/>
      <w:r>
        <w:rPr>
          <w:rtl/>
        </w:rPr>
        <w:t xml:space="preserve"> נפטר. כשיצאו מביתו של ר׳ רפאל, אמר ר׳ חיים לחברו: “חותני כבר יודע על הפטירה, אבל לא רצה לבשר לנו, מפני שחשב שאיננו יודעים.” החבר התנגד: “אבל לא קיבלנו מר׳ רפאל שום רמז כזה.” ר׳ חיים לא התווכח; אבל כשהגיעו להלוויה, ר׳ רפאל היה שם!</w:t>
      </w:r>
    </w:p>
    <w:p w14:paraId="0AB1F7C1" w14:textId="77777777" w:rsidR="00AB3647" w:rsidRDefault="00000000" w:rsidP="007923E9">
      <w:pPr>
        <w:spacing w:after="120" w:line="276" w:lineRule="auto"/>
        <w:ind w:firstLine="283"/>
        <w:jc w:val="both"/>
      </w:pPr>
      <w:r>
        <w:rPr>
          <w:rtl/>
        </w:rPr>
        <w:t xml:space="preserve">סיפור אחר, המסופר בחוגי ישיבת </w:t>
      </w:r>
      <w:proofErr w:type="spellStart"/>
      <w:r>
        <w:rPr>
          <w:rtl/>
        </w:rPr>
        <w:t>בריסק</w:t>
      </w:r>
      <w:proofErr w:type="spellEnd"/>
      <w:r>
        <w:rPr>
          <w:rtl/>
        </w:rPr>
        <w:t xml:space="preserve"> בירושלים: </w:t>
      </w:r>
      <w:proofErr w:type="spellStart"/>
      <w:r>
        <w:rPr>
          <w:rtl/>
        </w:rPr>
        <w:t>הנצי״ב</w:t>
      </w:r>
      <w:proofErr w:type="spellEnd"/>
      <w:r>
        <w:rPr>
          <w:rtl/>
        </w:rPr>
        <w:t xml:space="preserve"> חלם בליל שבת שר׳ חיים נקרא לעלות לתורה – חלום שהוא סימן רע לפי כמה דעות (“יש אומרים” בשולחן ערוך אורח חיים סימן רפ״ח סעיף ה׳). </w:t>
      </w:r>
      <w:proofErr w:type="spellStart"/>
      <w:r>
        <w:rPr>
          <w:rtl/>
        </w:rPr>
        <w:t>הנצי״ב</w:t>
      </w:r>
      <w:proofErr w:type="spellEnd"/>
      <w:r>
        <w:rPr>
          <w:rtl/>
        </w:rPr>
        <w:t xml:space="preserve"> לא סיפר לאיש על החלום, והחליט להפוך את השבת שלו ליום תענית – תענית חלום – כמו שהיה רגיל לעשות “לעיתים לא רחוקות”.</w:t>
      </w:r>
      <w:bookmarkStart w:id="5391" w:name="_fnr4054"/>
      <w:r>
        <w:rPr>
          <w:vertAlign w:val="superscript"/>
          <w:rtl/>
        </w:rPr>
        <w:footnoteReference w:id="4064" w:customMarkFollows="0"/>
      </w:r>
      <w:bookmarkEnd w:id="5391"/>
      <w:r>
        <w:rPr>
          <w:rtl/>
        </w:rPr>
        <w:t xml:space="preserve"> אחרי התפילה הלך ר׳ חיים לקידוש בבית </w:t>
      </w:r>
      <w:proofErr w:type="spellStart"/>
      <w:r>
        <w:rPr>
          <w:rtl/>
        </w:rPr>
        <w:t>הנצי״ב</w:t>
      </w:r>
      <w:proofErr w:type="spellEnd"/>
      <w:r>
        <w:rPr>
          <w:rtl/>
        </w:rPr>
        <w:t xml:space="preserve">, יחד עם אורח שבא </w:t>
      </w:r>
      <w:proofErr w:type="spellStart"/>
      <w:r>
        <w:rPr>
          <w:rtl/>
        </w:rPr>
        <w:t>לוולוז׳ין</w:t>
      </w:r>
      <w:proofErr w:type="spellEnd"/>
      <w:r>
        <w:rPr>
          <w:rtl/>
        </w:rPr>
        <w:t xml:space="preserve">, ר׳ לייזר </w:t>
      </w:r>
      <w:proofErr w:type="spellStart"/>
      <w:r>
        <w:rPr>
          <w:rtl/>
        </w:rPr>
        <w:t>רבינוביץ</w:t>
      </w:r>
      <w:proofErr w:type="spellEnd"/>
      <w:r>
        <w:rPr>
          <w:rtl/>
        </w:rPr>
        <w:t>.</w:t>
      </w:r>
      <w:bookmarkStart w:id="5392" w:name="_fnr4055"/>
      <w:r>
        <w:rPr>
          <w:vertAlign w:val="superscript"/>
          <w:rtl/>
        </w:rPr>
        <w:footnoteReference w:id="4065" w:customMarkFollows="0"/>
      </w:r>
      <w:bookmarkEnd w:id="5392"/>
      <w:r>
        <w:rPr>
          <w:rtl/>
        </w:rPr>
        <w:t xml:space="preserve"> ר׳ </w:t>
      </w:r>
      <w:r>
        <w:rPr>
          <w:rtl/>
        </w:rPr>
        <w:lastRenderedPageBreak/>
        <w:t xml:space="preserve">חיים אמר </w:t>
      </w:r>
      <w:proofErr w:type="spellStart"/>
      <w:r>
        <w:rPr>
          <w:rtl/>
        </w:rPr>
        <w:t>לר</w:t>
      </w:r>
      <w:proofErr w:type="spellEnd"/>
      <w:r>
        <w:rPr>
          <w:rtl/>
        </w:rPr>
        <w:t xml:space="preserve">׳ לייזר בקצרה: “תראה </w:t>
      </w:r>
      <w:proofErr w:type="spellStart"/>
      <w:r>
        <w:rPr>
          <w:rtl/>
        </w:rPr>
        <w:t>שהנצי״ב</w:t>
      </w:r>
      <w:proofErr w:type="spellEnd"/>
      <w:r>
        <w:rPr>
          <w:rtl/>
        </w:rPr>
        <w:t xml:space="preserve"> יבקש ממני לעשות קידוש.” ואכן, במקום לקדש לכל המסובים, כמקובל בבית ראש הישיבה, דחף </w:t>
      </w:r>
      <w:proofErr w:type="spellStart"/>
      <w:r>
        <w:rPr>
          <w:rtl/>
        </w:rPr>
        <w:t>הנצי״ב</w:t>
      </w:r>
      <w:proofErr w:type="spellEnd"/>
      <w:r>
        <w:rPr>
          <w:rtl/>
        </w:rPr>
        <w:t xml:space="preserve"> את כוס היין אל ר׳ חיים, שהוא יברך. ר׳ חיים דחף את הכוס בחזרה והעיר: “אני הוא שצריך להתענות, אבל איני מקפיד על חלומות.”</w:t>
      </w:r>
    </w:p>
    <w:p w14:paraId="687A4F0C" w14:textId="77777777" w:rsidR="00AB3647" w:rsidRDefault="00000000" w:rsidP="007923E9">
      <w:pPr>
        <w:spacing w:after="120" w:line="276" w:lineRule="auto"/>
        <w:ind w:firstLine="283"/>
        <w:jc w:val="both"/>
      </w:pPr>
      <w:r>
        <w:rPr>
          <w:rtl/>
        </w:rPr>
        <w:t xml:space="preserve">אחר כך שאל ר׳ לייזר את ר׳ חיים הלוי </w:t>
      </w:r>
      <w:proofErr w:type="spellStart"/>
      <w:r>
        <w:rPr>
          <w:rtl/>
        </w:rPr>
        <w:t>סולובייצ׳יק</w:t>
      </w:r>
      <w:proofErr w:type="spellEnd"/>
      <w:r>
        <w:rPr>
          <w:rtl/>
        </w:rPr>
        <w:t xml:space="preserve"> כיצד ידע שיושיטו לו את היין, ומה פשר הערתו. לתדהמתו של ר׳ לייזר </w:t>
      </w:r>
      <w:proofErr w:type="spellStart"/>
      <w:r>
        <w:rPr>
          <w:rtl/>
        </w:rPr>
        <w:t>רבינוביץ</w:t>
      </w:r>
      <w:proofErr w:type="spellEnd"/>
      <w:r>
        <w:rPr>
          <w:rtl/>
        </w:rPr>
        <w:t xml:space="preserve"> הסביר ר׳ חיים שהבחין בשני מקרים שנראו שוליים, ומצירופם הגיע לכלל גילוי. הראשון היה באותו בוקר: </w:t>
      </w:r>
      <w:proofErr w:type="spellStart"/>
      <w:r>
        <w:rPr>
          <w:rtl/>
        </w:rPr>
        <w:t>הנצי״ב</w:t>
      </w:r>
      <w:proofErr w:type="spellEnd"/>
      <w:r>
        <w:rPr>
          <w:rtl/>
        </w:rPr>
        <w:t xml:space="preserve">, סב אשתו, נכנס לחדר שבו ישן ר׳ חיים, הוציא מארון הספרים כרך של מסכת ברכות ועיין בו כמה רגעים. השני – בקריאת התורה החוויר </w:t>
      </w:r>
      <w:proofErr w:type="spellStart"/>
      <w:r>
        <w:rPr>
          <w:rtl/>
        </w:rPr>
        <w:t>הנצי״ב</w:t>
      </w:r>
      <w:proofErr w:type="spellEnd"/>
      <w:r>
        <w:rPr>
          <w:rtl/>
        </w:rPr>
        <w:t xml:space="preserve"> כשנקרא לעלייה השנייה, עליית לוי, מישהו אחר ולא ר׳ חיים. מצירוף שני המקרים הבין ר׳ חיים </w:t>
      </w:r>
      <w:proofErr w:type="spellStart"/>
      <w:r>
        <w:rPr>
          <w:rtl/>
        </w:rPr>
        <w:t>שהנצי״ב</w:t>
      </w:r>
      <w:proofErr w:type="spellEnd"/>
      <w:r>
        <w:rPr>
          <w:rtl/>
        </w:rPr>
        <w:t xml:space="preserve"> חלם עליו את החלום המפחיד ההוא, ועיין בסוגיה שבמסכת ברכות העוסקת בחלומות רעים. אחר כך, כשהתברר שהחלום לא חזה את העתיד – שהרי ר׳ חיים לא היה הלוי שנקרא בפועל לתורה – התחזקה תפיסתו של </w:t>
      </w:r>
      <w:proofErr w:type="spellStart"/>
      <w:r>
        <w:rPr>
          <w:rtl/>
        </w:rPr>
        <w:t>הנצי״ב</w:t>
      </w:r>
      <w:proofErr w:type="spellEnd"/>
      <w:r>
        <w:rPr>
          <w:rtl/>
        </w:rPr>
        <w:t xml:space="preserve"> שהחלום הוא אות רע, והוא החליט לקבל עליו תענית חלום. משום כך יבקש ממנו </w:t>
      </w:r>
      <w:proofErr w:type="spellStart"/>
      <w:r>
        <w:rPr>
          <w:rtl/>
        </w:rPr>
        <w:t>הנצי״ב</w:t>
      </w:r>
      <w:proofErr w:type="spellEnd"/>
      <w:r>
        <w:rPr>
          <w:rtl/>
        </w:rPr>
        <w:t xml:space="preserve"> לקדש!</w:t>
      </w:r>
      <w:bookmarkStart w:id="5393" w:name="_fnr4056"/>
      <w:r>
        <w:rPr>
          <w:vertAlign w:val="superscript"/>
          <w:rtl/>
        </w:rPr>
        <w:footnoteReference w:id="4066" w:customMarkFollows="0"/>
      </w:r>
      <w:bookmarkEnd w:id="5393"/>
    </w:p>
    <w:p w14:paraId="37377872" w14:textId="77777777" w:rsidR="00AB3647" w:rsidRDefault="00000000" w:rsidP="007923E9">
      <w:pPr>
        <w:spacing w:after="120" w:line="276" w:lineRule="auto"/>
        <w:ind w:firstLine="283"/>
        <w:jc w:val="both"/>
      </w:pPr>
      <w:r>
        <w:rPr>
          <w:rtl/>
        </w:rPr>
        <w:t xml:space="preserve">ראה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 xml:space="preserve">” מאת ב׳ ס׳ </w:t>
      </w:r>
      <w:proofErr w:type="spellStart"/>
      <w:r>
        <w:rPr>
          <w:rtl/>
        </w:rPr>
        <w:t>גלברסון</w:t>
      </w:r>
      <w:bookmarkStart w:id="5394" w:name="_fnr4057"/>
      <w:proofErr w:type="spellEnd"/>
      <w:r>
        <w:rPr>
          <w:vertAlign w:val="superscript"/>
          <w:rtl/>
        </w:rPr>
        <w:footnoteReference w:id="4067" w:customMarkFollows="0"/>
      </w:r>
      <w:bookmarkEnd w:id="5394"/>
      <w:r>
        <w:rPr>
          <w:rtl/>
        </w:rPr>
        <w:t xml:space="preserve">: הבחנתו של ר׳ חיים בבני אדם הייתה מחודדת כל כך, שכשראה אדם ברחוב בשעה מסוימת ידע להסיק איזה עניין הביאו לשם. </w:t>
      </w:r>
      <w:proofErr w:type="spellStart"/>
      <w:r>
        <w:rPr>
          <w:rtl/>
        </w:rPr>
        <w:t>גלברסון</w:t>
      </w:r>
      <w:proofErr w:type="spellEnd"/>
      <w:r>
        <w:rPr>
          <w:rtl/>
        </w:rPr>
        <w:t xml:space="preserve"> כותב: “כאשר עמד ר׳ חיים ליד חלון חדרו, היה אומר על כל אדם שעבר בדיוק לאן הוא הולך או מאין הוא בא. פעם אחת... ציין ר׳ חיים שאינו יכול להבין מה עושה אדם מסוים ברחוב באותו רגע. הוא הרהר בקול: ‘איני מוצא שום סיבה שיהיה כאן.’ בני המשפחה הופתעו שר׳ חיים אינו יכול לפענח זאת... ואחד [מבני המשפחה יצא] לרחוב ושאל את האיש עצמו. הוא ענה: ‘גם אני איני יודע מדוע אני הולך בדרך הזאת. הייתי שקוע במחשבות, ונראה שהגעתי למקום הזה [בלי להתכוון].’”</w:t>
      </w:r>
    </w:p>
    <w:p w14:paraId="66147545" w14:textId="77777777" w:rsidR="00AB3647" w:rsidRDefault="00000000" w:rsidP="007923E9">
      <w:pPr>
        <w:spacing w:after="120" w:line="276" w:lineRule="auto"/>
        <w:ind w:firstLine="283"/>
        <w:jc w:val="both"/>
      </w:pPr>
      <w:r>
        <w:rPr>
          <w:rtl/>
        </w:rPr>
        <w:t xml:space="preserve">בריאיון שהוזכר לעיל, בעמ׳ </w:t>
      </w:r>
      <w:r>
        <w:rPr>
          <w:rtl/>
        </w:rPr>
        <w:fldChar w:fldCharType="begin" w:dirty="true"/>
      </w:r>
      <w:r>
        <w:rPr>
          <w:rtl/>
        </w:rPr>
        <w:instrText xml:space="preserve"> PAGEREF pr_b_2252 \h </w:instrText>
      </w:r>
      <w:r>
        <w:rPr>
          <w:rtl/>
        </w:rPr>
      </w:r>
      <w:r>
        <w:rPr>
          <w:rtl/>
        </w:rPr>
        <w:fldChar w:fldCharType="separate"/>
      </w:r>
      <w:r w:rsidR="007923E9">
        <w:rPr>
          <w:noProof/>
          <w:rtl/>
        </w:rPr>
        <w:t>1</w:t>
      </w:r>
      <w:r>
        <w:rPr>
          <w:rtl/>
        </w:rPr>
        <w:fldChar w:fldCharType="end"/>
      </w:r>
      <w:r>
        <w:rPr>
          <w:rtl/>
        </w:rPr>
        <w:t>–</w:t>
      </w:r>
      <w:r>
        <w:rPr>
          <w:rtl/>
        </w:rPr>
        <w:fldChar w:fldCharType="begin" w:dirty="true"/>
      </w:r>
      <w:r>
        <w:rPr>
          <w:rtl/>
        </w:rPr>
        <w:instrText xml:space="preserve"> PAGEREF pr_b_2254 \h </w:instrText>
      </w:r>
      <w:r>
        <w:rPr>
          <w:rtl/>
        </w:rPr>
      </w:r>
      <w:r>
        <w:rPr>
          <w:rtl/>
        </w:rPr>
        <w:fldChar w:fldCharType="separate"/>
      </w:r>
      <w:r w:rsidR="007923E9">
        <w:rPr>
          <w:noProof/>
          <w:rtl/>
        </w:rPr>
        <w:t>1</w:t>
      </w:r>
      <w:r>
        <w:rPr>
          <w:rtl/>
        </w:rPr>
        <w:fldChar w:fldCharType="end"/>
      </w:r>
      <w:r>
        <w:rPr>
          <w:rtl/>
        </w:rPr>
        <w:t>, תיאר ר׳ זליג אפשטיין את היקף חוכמתו של ר׳ חיים בביטוי שאול מספר משלי: “הוא היה חכם מחוכם</w:t>
      </w:r>
      <w:bookmarkStart w:id="5395" w:name="_fnr4058"/>
      <w:r>
        <w:rPr>
          <w:vertAlign w:val="superscript"/>
          <w:rtl/>
        </w:rPr>
        <w:footnoteReference w:id="4068" w:customMarkFollows="0"/>
      </w:r>
      <w:bookmarkEnd w:id="5395"/>
      <w:r>
        <w:rPr>
          <w:rtl/>
        </w:rPr>
        <w:t>.” די להביא ארבע דוגמאות מפורטות לחוכמתו, שנלקטו משני מקורות מודפסים וממסורת, ומקור לסיפור חמישי מרשים מאוד:</w:t>
      </w:r>
    </w:p>
    <w:p w14:paraId="39E3B953" w14:textId="77777777" w:rsidR="00AB3647" w:rsidRDefault="00000000" w:rsidP="007923E9">
      <w:pPr>
        <w:spacing w:after="120" w:line="276" w:lineRule="auto"/>
        <w:ind w:firstLine="283"/>
        <w:jc w:val="both"/>
      </w:pPr>
      <w:r>
        <w:rPr>
          <w:rtl/>
        </w:rPr>
        <w:t xml:space="preserve">(1) </w:t>
      </w:r>
      <w:proofErr w:type="spellStart"/>
      <w:r>
        <w:rPr>
          <w:rtl/>
        </w:rPr>
        <w:t>ידעאל</w:t>
      </w:r>
      <w:proofErr w:type="spellEnd"/>
      <w:r>
        <w:rPr>
          <w:rtl/>
        </w:rPr>
        <w:t xml:space="preserve"> מלצר, “בדרך עץ החיים”</w:t>
      </w:r>
      <w:bookmarkStart w:id="5396" w:name="_fnr4059"/>
      <w:r>
        <w:rPr>
          <w:vertAlign w:val="superscript"/>
          <w:rtl/>
        </w:rPr>
        <w:footnoteReference w:id="4069" w:customMarkFollows="0"/>
      </w:r>
      <w:bookmarkEnd w:id="5396"/>
      <w:r>
        <w:rPr>
          <w:rtl/>
        </w:rPr>
        <w:t xml:space="preserve">, מביא סיפור שסיפר ר׳ </w:t>
      </w:r>
      <w:proofErr w:type="spellStart"/>
      <w:r>
        <w:rPr>
          <w:rtl/>
        </w:rPr>
        <w:t>איסר־זלמן</w:t>
      </w:r>
      <w:proofErr w:type="spellEnd"/>
      <w:r>
        <w:rPr>
          <w:rtl/>
        </w:rPr>
        <w:t xml:space="preserve"> </w:t>
      </w:r>
      <w:proofErr w:type="spellStart"/>
      <w:r>
        <w:rPr>
          <w:rtl/>
        </w:rPr>
        <w:t>לר</w:t>
      </w:r>
      <w:proofErr w:type="spellEnd"/>
      <w:r>
        <w:rPr>
          <w:rtl/>
        </w:rPr>
        <w:t xml:space="preserve">׳ דוד </w:t>
      </w:r>
      <w:proofErr w:type="spellStart"/>
      <w:r>
        <w:rPr>
          <w:rtl/>
        </w:rPr>
        <w:t>פינקל</w:t>
      </w:r>
      <w:proofErr w:type="spellEnd"/>
      <w:r>
        <w:rPr>
          <w:rtl/>
        </w:rPr>
        <w:t xml:space="preserve">. ר׳ </w:t>
      </w:r>
      <w:proofErr w:type="spellStart"/>
      <w:r>
        <w:rPr>
          <w:rtl/>
        </w:rPr>
        <w:t>איסר־זלמן</w:t>
      </w:r>
      <w:proofErr w:type="spellEnd"/>
      <w:r>
        <w:rPr>
          <w:rtl/>
        </w:rPr>
        <w:t xml:space="preserve"> מלצר נסע ברכבת, וילד יהודי שלא היה לו כרטיס ביקש להתחבא מתחת למושבו של החכם, מאחורי רגליו, עד שיעבור הכרטיסן. ר׳ </w:t>
      </w:r>
      <w:proofErr w:type="spellStart"/>
      <w:r>
        <w:rPr>
          <w:rtl/>
        </w:rPr>
        <w:t>איסר־זלמן</w:t>
      </w:r>
      <w:proofErr w:type="spellEnd"/>
      <w:r>
        <w:rPr>
          <w:rtl/>
        </w:rPr>
        <w:t xml:space="preserve"> לא רצה להיות שותף לגנבה; אבל ברגע שראה את הכרטיסן נכנס לקרון, נכנע לבו הטוב של הרב, והוא הניח לילד לזחול </w:t>
      </w:r>
      <w:r>
        <w:rPr>
          <w:rtl/>
        </w:rPr>
        <w:lastRenderedPageBreak/>
        <w:t xml:space="preserve">מתחת למושב. אחר כך ייסר אותו מצפונו, והוא ירד מן הרכבת </w:t>
      </w:r>
      <w:proofErr w:type="spellStart"/>
      <w:r>
        <w:rPr>
          <w:rtl/>
        </w:rPr>
        <w:t>בבריסק</w:t>
      </w:r>
      <w:proofErr w:type="spellEnd"/>
      <w:r>
        <w:rPr>
          <w:rtl/>
        </w:rPr>
        <w:t xml:space="preserve"> כדי לדון בעניין עם רבו, ר׳ חיים. ר׳ חיים שמע את הפרטים, הבטיח לו שעשה כראוי, והסביר: “אילו היה הכרטיסן רק מוריד את הילד מן הרכבת, לא היה נכון להסתיר אותו. אבל הכרטיסן היה גם מכה את הילד. אם כן, הצלת אותו מפגיעה שלא כדין.”</w:t>
      </w:r>
    </w:p>
    <w:p w14:paraId="70497626" w14:textId="77777777" w:rsidR="00AB3647" w:rsidRDefault="00000000" w:rsidP="007923E9">
      <w:pPr>
        <w:spacing w:after="120" w:line="276" w:lineRule="auto"/>
        <w:ind w:firstLine="283"/>
        <w:jc w:val="both"/>
      </w:pPr>
      <w:r>
        <w:rPr>
          <w:rtl/>
        </w:rPr>
        <w:t xml:space="preserve">ר׳ דוד </w:t>
      </w:r>
      <w:proofErr w:type="spellStart"/>
      <w:r>
        <w:rPr>
          <w:rtl/>
        </w:rPr>
        <w:t>פינקל</w:t>
      </w:r>
      <w:proofErr w:type="spellEnd"/>
      <w:r>
        <w:rPr>
          <w:rtl/>
        </w:rPr>
        <w:t xml:space="preserve"> סיים את הסיפור בעמימות: “ור׳ חיים המשיך למנות עוד כמה טעמים לכך ש(ר׳ </w:t>
      </w:r>
      <w:proofErr w:type="spellStart"/>
      <w:r>
        <w:rPr>
          <w:rtl/>
        </w:rPr>
        <w:t>איסר־זלמן</w:t>
      </w:r>
      <w:proofErr w:type="spellEnd"/>
      <w:r>
        <w:rPr>
          <w:rtl/>
        </w:rPr>
        <w:t xml:space="preserve">) עשה את הדבר הנכון.” אפשר לשער שמה שהוסיף ר׳ חיים היה הוכחה שהנימוק שהציע נכון, שהרי ניתוח בהיר של המעשה היה מראה שדווקא החשש שהכרטיסן יכה את הילד הוא שהניע את ר׳ </w:t>
      </w:r>
      <w:proofErr w:type="spellStart"/>
      <w:r>
        <w:rPr>
          <w:rtl/>
        </w:rPr>
        <w:t>איסר־זלמן</w:t>
      </w:r>
      <w:proofErr w:type="spellEnd"/>
      <w:r>
        <w:rPr>
          <w:rtl/>
        </w:rPr>
        <w:t xml:space="preserve"> להסתירו כשהופיע הכרטיסן – גם אם ר׳ </w:t>
      </w:r>
      <w:proofErr w:type="spellStart"/>
      <w:r>
        <w:rPr>
          <w:rtl/>
        </w:rPr>
        <w:t>איסר־זלמן</w:t>
      </w:r>
      <w:proofErr w:type="spellEnd"/>
      <w:r>
        <w:rPr>
          <w:rtl/>
        </w:rPr>
        <w:t xml:space="preserve"> לא הסיק במודע את הסיבה המדויקת למעשה החסד שלו. אולי ר׳ דוד לא תפס את הדקות הזאת כשסיפר לו ר׳ </w:t>
      </w:r>
      <w:proofErr w:type="spellStart"/>
      <w:r>
        <w:rPr>
          <w:rtl/>
        </w:rPr>
        <w:t>איסר־זלמן</w:t>
      </w:r>
      <w:proofErr w:type="spellEnd"/>
      <w:r>
        <w:rPr>
          <w:rtl/>
        </w:rPr>
        <w:t xml:space="preserve"> את המעשה, ולכן הותיר אותה מעורפלת. אם פירוש זה נכון, העדות לחוכמתו של ר׳ חיים מתחזקת.</w:t>
      </w:r>
    </w:p>
    <w:p w14:paraId="4D467735" w14:textId="77777777" w:rsidR="00AB3647" w:rsidRDefault="00000000" w:rsidP="007923E9">
      <w:pPr>
        <w:spacing w:after="120" w:line="276" w:lineRule="auto"/>
        <w:ind w:firstLine="283"/>
        <w:jc w:val="both"/>
      </w:pPr>
      <w:r>
        <w:rPr>
          <w:rtl/>
        </w:rPr>
        <w:t>(2) “</w:t>
      </w:r>
      <w:proofErr w:type="spellStart"/>
      <w:r>
        <w:rPr>
          <w:rtl/>
        </w:rPr>
        <w:t>מוולוז׳ין</w:t>
      </w:r>
      <w:proofErr w:type="spellEnd"/>
      <w:r>
        <w:rPr>
          <w:rtl/>
        </w:rPr>
        <w:t>”</w:t>
      </w:r>
      <w:bookmarkStart w:id="5397" w:name="_fnr4060"/>
      <w:r>
        <w:rPr>
          <w:vertAlign w:val="superscript"/>
          <w:rtl/>
        </w:rPr>
        <w:footnoteReference w:id="4070" w:customMarkFollows="0"/>
      </w:r>
      <w:bookmarkEnd w:id="5397"/>
      <w:r>
        <w:rPr>
          <w:rtl/>
        </w:rPr>
        <w:t xml:space="preserve"> מספר: “היו אנשי עסקים מסוימים... בעלי מעמד בעולם המסחר </w:t>
      </w:r>
      <w:proofErr w:type="spellStart"/>
      <w:r>
        <w:rPr>
          <w:rtl/>
        </w:rPr>
        <w:t>בבריסק</w:t>
      </w:r>
      <w:proofErr w:type="spellEnd"/>
      <w:r>
        <w:rPr>
          <w:rtl/>
        </w:rPr>
        <w:t xml:space="preserve"> ובמקומות אחרים, בעיקר במינסק, שלא היו עושים שום צעד חשוב בעסקיהם בלי לדון בו תחילה עם ר׳ חיים.” (יש להניח שאנשי העסקים ממינסק ביקשו את עצתו בשנות המלחמה, כאשר ר׳ חיים שהה בעירם.</w:t>
      </w:r>
      <w:bookmarkStart w:id="5398" w:name="_fnr4061"/>
      <w:r>
        <w:rPr>
          <w:vertAlign w:val="superscript"/>
          <w:rtl/>
        </w:rPr>
        <w:footnoteReference w:id="4071" w:customMarkFollows="0"/>
      </w:r>
      <w:bookmarkEnd w:id="5398"/>
      <w:r>
        <w:rPr>
          <w:rtl/>
        </w:rPr>
        <w:t>)</w:t>
      </w:r>
    </w:p>
    <w:p w14:paraId="2357F935" w14:textId="77777777" w:rsidR="00AB3647" w:rsidRDefault="00000000" w:rsidP="007923E9">
      <w:pPr>
        <w:spacing w:after="120" w:line="276" w:lineRule="auto"/>
        <w:ind w:firstLine="283"/>
        <w:jc w:val="both"/>
      </w:pPr>
      <w:r>
        <w:rPr>
          <w:rtl/>
        </w:rPr>
        <w:t>(3) “</w:t>
      </w:r>
      <w:proofErr w:type="spellStart"/>
      <w:r>
        <w:rPr>
          <w:rtl/>
        </w:rPr>
        <w:t>מוולוז׳ין</w:t>
      </w:r>
      <w:proofErr w:type="spellEnd"/>
      <w:r>
        <w:rPr>
          <w:rtl/>
        </w:rPr>
        <w:t>”</w:t>
      </w:r>
      <w:bookmarkStart w:id="5399" w:name="_fnr4062"/>
      <w:r>
        <w:rPr>
          <w:vertAlign w:val="superscript"/>
          <w:rtl/>
        </w:rPr>
        <w:footnoteReference w:id="4072" w:customMarkFollows="0"/>
      </w:r>
      <w:bookmarkEnd w:id="5399"/>
      <w:r>
        <w:rPr>
          <w:rtl/>
        </w:rPr>
        <w:t xml:space="preserve"> מביא שיחה שהתקיימה בוועידת </w:t>
      </w:r>
      <w:proofErr w:type="spellStart"/>
      <w:r>
        <w:rPr>
          <w:rtl/>
        </w:rPr>
        <w:t>קטוביץ</w:t>
      </w:r>
      <w:proofErr w:type="spellEnd"/>
      <w:r>
        <w:rPr>
          <w:rtl/>
        </w:rPr>
        <w:t>, שתעניין במיוחד את הקורא האמריקאי, ושמדגימה את תובנתו ההיסטורית החדה של ר׳ חיים, כמו שמציין המחבר.</w:t>
      </w:r>
      <w:bookmarkStart w:id="5400" w:name="_fnr4063"/>
      <w:r>
        <w:rPr>
          <w:vertAlign w:val="superscript"/>
          <w:rtl/>
        </w:rPr>
        <w:footnoteReference w:id="4073" w:customMarkFollows="0"/>
      </w:r>
      <w:bookmarkEnd w:id="5400"/>
      <w:r>
        <w:rPr>
          <w:rtl/>
        </w:rPr>
        <w:t xml:space="preserve"> יצחק </w:t>
      </w:r>
      <w:proofErr w:type="spellStart"/>
      <w:r>
        <w:rPr>
          <w:rtl/>
        </w:rPr>
        <w:t>סובלסקי</w:t>
      </w:r>
      <w:proofErr w:type="spellEnd"/>
      <w:r>
        <w:rPr>
          <w:rtl/>
        </w:rPr>
        <w:t xml:space="preserve">, עורך כתב העת הלונדוני “היהודי”, שהכיר את ר׳ חיים מימי ישיבת </w:t>
      </w:r>
      <w:proofErr w:type="spellStart"/>
      <w:r>
        <w:rPr>
          <w:rtl/>
        </w:rPr>
        <w:t>וולוז׳ין</w:t>
      </w:r>
      <w:proofErr w:type="spellEnd"/>
      <w:r>
        <w:rPr>
          <w:rtl/>
        </w:rPr>
        <w:t xml:space="preserve">, העיר לו שעשה עוול כשדחה את הזמנתה של הקהילה היהודית בניו יורק לכהן בה כרב. “אילו היית באמריקה, היית עושה למען היהדות הרבה יותר מבכל מקום אחר”, קבע </w:t>
      </w:r>
      <w:proofErr w:type="spellStart"/>
      <w:r>
        <w:rPr>
          <w:rtl/>
        </w:rPr>
        <w:t>סובלסקי</w:t>
      </w:r>
      <w:proofErr w:type="spellEnd"/>
      <w:r>
        <w:rPr>
          <w:rtl/>
        </w:rPr>
        <w:t xml:space="preserve">. ר׳ חיים השיב: “אתה צודק ואתה טועה. אתה טועה, כי מעולם לא הוצעה לי רבנות ניו יורק; אבל אתה צודק בכך שמצבה של אמריקה הוא כזה שכל אדם שיש לו השפעה, מרובה או </w:t>
      </w:r>
      <w:proofErr w:type="spellStart"/>
      <w:r>
        <w:rPr>
          <w:rtl/>
        </w:rPr>
        <w:t>מועטת</w:t>
      </w:r>
      <w:proofErr w:type="spellEnd"/>
      <w:r>
        <w:rPr>
          <w:rtl/>
        </w:rPr>
        <w:t>, צריך לנסוע לשם, גם בלי שהוזמן, ולחפש דרכים לשפר את המצב הרוחני שם.”</w:t>
      </w:r>
      <w:bookmarkStart w:id="5401" w:name="_fnr4064"/>
      <w:r>
        <w:rPr>
          <w:vertAlign w:val="superscript"/>
          <w:rtl/>
        </w:rPr>
        <w:footnoteReference w:id="4074" w:customMarkFollows="0"/>
      </w:r>
      <w:bookmarkEnd w:id="5401"/>
    </w:p>
    <w:p w14:paraId="01002EA4" w14:textId="77777777" w:rsidR="00AB3647" w:rsidRDefault="00000000" w:rsidP="007923E9">
      <w:pPr>
        <w:spacing w:after="120" w:line="276" w:lineRule="auto"/>
        <w:ind w:firstLine="283"/>
        <w:jc w:val="both"/>
      </w:pPr>
      <w:proofErr w:type="spellStart"/>
      <w:r>
        <w:rPr>
          <w:rtl/>
        </w:rPr>
        <w:t>סובלסקי</w:t>
      </w:r>
      <w:proofErr w:type="spellEnd"/>
      <w:r>
        <w:rPr>
          <w:rtl/>
        </w:rPr>
        <w:t xml:space="preserve"> בלבל בין ר׳ חיים </w:t>
      </w:r>
      <w:proofErr w:type="spellStart"/>
      <w:r>
        <w:rPr>
          <w:rtl/>
        </w:rPr>
        <w:t>סולובייצ׳יק</w:t>
      </w:r>
      <w:proofErr w:type="spellEnd"/>
      <w:r>
        <w:rPr>
          <w:rtl/>
        </w:rPr>
        <w:t xml:space="preserve"> לבין דוד אשתו ר׳ חיים ברלין, בנו של </w:t>
      </w:r>
      <w:proofErr w:type="spellStart"/>
      <w:r>
        <w:rPr>
          <w:rtl/>
        </w:rPr>
        <w:t>הנצי״ב</w:t>
      </w:r>
      <w:proofErr w:type="spellEnd"/>
      <w:r>
        <w:rPr>
          <w:rtl/>
        </w:rPr>
        <w:t>. ר׳ חיים ברלין קנה לו שם עולמי כשכיהן כרב מוסקבה, והיה אחד משמונה רבנים גדולים באירופה שקיבלו, עשרים וחמש שנה קודם לכן, פניות זהות מן הקהילות היהודיות המאוחדות של ניו יורק: להמליץ על אדם לכהונת הרב הראשי, או לחלופין שאחד מהם יקבל את הכהונה בעצמו.</w:t>
      </w:r>
    </w:p>
    <w:p w14:paraId="7F09E885" w14:textId="77777777" w:rsidR="00AB3647" w:rsidRDefault="00000000" w:rsidP="007923E9">
      <w:pPr>
        <w:spacing w:after="120" w:line="276" w:lineRule="auto"/>
        <w:ind w:firstLine="283"/>
        <w:jc w:val="both"/>
      </w:pPr>
      <w:r>
        <w:rPr>
          <w:rtl/>
        </w:rPr>
        <w:t xml:space="preserve">ר׳ חיים המשיך והסביר מדוע הוא עצמו אינו האדם המתאים לנסוע לאמריקה. המחבר מצהיר: “בהתחשב בכך ששיחה זו התקיימה כשאיש לא חשב על מלחמת עולם, חורבנה של </w:t>
      </w:r>
      <w:r>
        <w:rPr>
          <w:rtl/>
        </w:rPr>
        <w:lastRenderedPageBreak/>
        <w:t>יהדות רוסיה לא עלה על דעתו של איש, ואמריקה לא הייתה אז בעיני איש אלא ‘ארץ הזהב’ – אפשר להעריך עד כמה הרחיקה ראייתו של ר׳ חיים אל העתיד.” ואכן, “תורת חיים”</w:t>
      </w:r>
      <w:bookmarkStart w:id="5402" w:name="_fnr4065"/>
      <w:r>
        <w:rPr>
          <w:vertAlign w:val="superscript"/>
          <w:rtl/>
        </w:rPr>
        <w:footnoteReference w:id="4075" w:customMarkFollows="0"/>
      </w:r>
      <w:bookmarkEnd w:id="5402"/>
      <w:r>
        <w:rPr>
          <w:rtl/>
        </w:rPr>
        <w:t xml:space="preserve"> מספר: “ר׳ </w:t>
      </w:r>
      <w:proofErr w:type="spellStart"/>
      <w:r>
        <w:rPr>
          <w:rtl/>
        </w:rPr>
        <w:t xml:space="preserve">וועלוול׳ה</w:t>
      </w:r>
      <w:proofErr w:type="spellEnd"/>
      <w:r>
        <w:rPr>
          <w:rtl/>
        </w:rPr>
        <w:t xml:space="preserve"> אמר: ‘אבי היה מסוגל לראות שישים שנה קדימה.’” ר׳ יצחק־זאב אמר זאת כדי להדגיש שהוא עצמו מסוגל רק לראות [ולהבין] את מה שלנגד עיניו, ואילו אחרים אינם מסוגלים אפילו לכך!</w:t>
      </w:r>
    </w:p>
    <w:p w14:paraId="3A2A3732" w14:textId="77777777" w:rsidR="00AB3647" w:rsidRDefault="00000000" w:rsidP="007923E9">
      <w:pPr>
        <w:spacing w:after="120" w:line="276" w:lineRule="auto"/>
        <w:ind w:firstLine="283"/>
        <w:jc w:val="both"/>
      </w:pPr>
      <w:r>
        <w:rPr>
          <w:rtl/>
        </w:rPr>
        <w:t xml:space="preserve">(4) בחוגי ישיבת </w:t>
      </w:r>
      <w:proofErr w:type="spellStart"/>
      <w:r>
        <w:rPr>
          <w:rtl/>
        </w:rPr>
        <w:t>בריסק</w:t>
      </w:r>
      <w:proofErr w:type="spellEnd"/>
      <w:r>
        <w:rPr>
          <w:rtl/>
        </w:rPr>
        <w:t xml:space="preserve"> מספרים את הסיפור הבא: ישיבת </w:t>
      </w:r>
      <w:proofErr w:type="spellStart"/>
      <w:r>
        <w:rPr>
          <w:rtl/>
        </w:rPr>
        <w:t>וולוז׳ין</w:t>
      </w:r>
      <w:proofErr w:type="spellEnd"/>
      <w:r>
        <w:rPr>
          <w:rtl/>
        </w:rPr>
        <w:t xml:space="preserve"> נדרשה להגיש מדי שנה רשימת תלמידים למשרד הממשלתי הרוסי בווילנה, בירת הפלך שבו שכנה </w:t>
      </w:r>
      <w:proofErr w:type="spellStart"/>
      <w:r>
        <w:rPr>
          <w:rtl/>
        </w:rPr>
        <w:t>וולוז׳ין</w:t>
      </w:r>
      <w:proofErr w:type="spellEnd"/>
      <w:r>
        <w:rPr>
          <w:rtl/>
        </w:rPr>
        <w:t xml:space="preserve">. לישיבה לא היה היתר לנהל מוסד לימודים גדול, ולכן היו מנהליה מגישים רשימה מקוצרת, ועמה שוחד שיסייע לעוור את עיני המושל מלראות את המציאות. בקיץ אחד ראה ר׳ חיים </w:t>
      </w:r>
      <w:proofErr w:type="spellStart"/>
      <w:r>
        <w:rPr>
          <w:rtl/>
        </w:rPr>
        <w:t>שהנצי״ב</w:t>
      </w:r>
      <w:proofErr w:type="spellEnd"/>
      <w:r>
        <w:rPr>
          <w:rtl/>
        </w:rPr>
        <w:t xml:space="preserve"> מודאג מאוד. כששאל את סב אשתו, נאמר לו שמונה מושל חדש שאינו מקבל שוחד; את הדוח היה צריך להגיש כבר בחורף, אבל </w:t>
      </w:r>
      <w:proofErr w:type="spellStart"/>
      <w:r>
        <w:rPr>
          <w:rtl/>
        </w:rPr>
        <w:t>הנצי״ב</w:t>
      </w:r>
      <w:proofErr w:type="spellEnd"/>
      <w:r>
        <w:rPr>
          <w:rtl/>
        </w:rPr>
        <w:t xml:space="preserve"> לא הגיש אותו, כי לא ידע כיצד לעשות זאת. ר׳ חיים הציע לטפל בעניין.</w:t>
      </w:r>
    </w:p>
    <w:p w14:paraId="0094485E" w14:textId="77777777" w:rsidR="00AB3647" w:rsidRDefault="00000000" w:rsidP="007923E9">
      <w:pPr>
        <w:spacing w:after="120" w:line="276" w:lineRule="auto"/>
        <w:ind w:firstLine="283"/>
        <w:jc w:val="both"/>
      </w:pPr>
      <w:r>
        <w:rPr>
          <w:rtl/>
        </w:rPr>
        <w:t xml:space="preserve">הוא לבש בגדי חורף כבדים – מעיל פרווה, כובע ומגפיים גבוהים – ונסע לווילנה. כשהתייצב לפני המושל, צחק הלה על בגדיו שאינם הולמים את העונה ושאל לפשרם. ר׳ חיים סיפר שסבו הופיע אליו בחלום בלילה הקודם ואמר לו שבאותו ערב תפרוץ סופת שלגים, ולכן יזדקק לבגדים כאלה למחרת ולדרכו חזרה </w:t>
      </w:r>
      <w:proofErr w:type="spellStart"/>
      <w:r>
        <w:rPr>
          <w:rtl/>
        </w:rPr>
        <w:t>לוולוז׳ין</w:t>
      </w:r>
      <w:proofErr w:type="spellEnd"/>
      <w:r>
        <w:rPr>
          <w:rtl/>
        </w:rPr>
        <w:t xml:space="preserve">. המושל צחק שוב ואמר: “אתה מאמין בחלומות מטופשים?” ור׳ חיים השיב: “זה עניין רציני, כי חלומות אחרים שבהם הופיע אליי תמיד התקיימו.” אז הציע ר׳ חיים למושל להתערב על התחזית ב־25 רובל. </w:t>
      </w:r>
      <w:proofErr w:type="spellStart"/>
      <w:r>
        <w:rPr>
          <w:rtl/>
        </w:rPr>
        <w:t>כשלא</w:t>
      </w:r>
      <w:proofErr w:type="spellEnd"/>
      <w:r>
        <w:rPr>
          <w:rtl/>
        </w:rPr>
        <w:t xml:space="preserve"> ירד שלג באותו לילה, שלח ר׳ חיים את 25 הרובל ביד שליח, ולמחרת בבוקר בא שוב כדי למסור את רשימת התלמידים. המושל קיבל את הרשימה בלי אומר ודברים. ר׳ חיים הבין ששוחד יכול להינתן בכל מיני דרכים, ולהשפיע אפילו שלא במודע.</w:t>
      </w:r>
      <w:bookmarkStart w:id="5403" w:name="_fnr4066"/>
      <w:r>
        <w:rPr>
          <w:vertAlign w:val="superscript"/>
          <w:rtl/>
        </w:rPr>
        <w:footnoteReference w:id="4076" w:customMarkFollows="0"/>
      </w:r>
      <w:bookmarkEnd w:id="5403"/>
    </w:p>
    <w:p w14:paraId="53A8F166" w14:textId="77777777" w:rsidR="00AB3647" w:rsidRDefault="00000000" w:rsidP="007923E9">
      <w:pPr>
        <w:spacing w:after="120" w:line="276" w:lineRule="auto"/>
        <w:ind w:firstLine="283"/>
        <w:jc w:val="both"/>
      </w:pPr>
      <w:r>
        <w:rPr>
          <w:rtl/>
        </w:rPr>
        <w:t>(5) ראה “תורת חיים”</w:t>
      </w:r>
      <w:bookmarkStart w:id="5404" w:name="_fnr4067"/>
      <w:r>
        <w:rPr>
          <w:vertAlign w:val="superscript"/>
          <w:rtl/>
        </w:rPr>
        <w:footnoteReference w:id="4077" w:customMarkFollows="0"/>
      </w:r>
      <w:bookmarkEnd w:id="5404"/>
      <w:r>
        <w:rPr>
          <w:rtl/>
        </w:rPr>
        <w:t xml:space="preserve">, סיפור מדהים על האופן שבו הסיק ר׳ חיים שמיסיונר הגיע </w:t>
      </w:r>
      <w:proofErr w:type="spellStart"/>
      <w:r>
        <w:rPr>
          <w:rtl/>
        </w:rPr>
        <w:t>לוולוז׳ין</w:t>
      </w:r>
      <w:proofErr w:type="spellEnd"/>
      <w:r>
        <w:rPr>
          <w:rtl/>
        </w:rPr>
        <w:t>. הסיפור מסתיים בפגישתו של ר׳ חיים עם המיסיונר ברכבת שנים רבות אחר כך – הלה נעשה בינתיים בישוף בעיר גדולה – ובדרך האגדית שבה גבר עליו ר׳ חיים כשניסה להעביר את הנוסעים היהודים על דתם.</w:t>
      </w:r>
    </w:p>
    <w:p w14:paraId="1341B930" w14:textId="77777777" w:rsidR="00AB3647" w:rsidRDefault="00000000" w:rsidP="007923E9">
      <w:pPr>
        <w:pStyle w:val="4"/>
        <w:spacing w:line="276" w:lineRule="auto"/>
      </w:pPr>
      <w:r>
        <w:lastRenderedPageBreak/>
        <w:t>· הפסקה השישית ·</w:t>
      </w:r>
    </w:p>
    <w:p w14:paraId="5B6A314A" w14:textId="77777777" w:rsidR="00AB3647" w:rsidRDefault="00000000" w:rsidP="007923E9">
      <w:pPr>
        <w:pStyle w:val="5"/>
        <w:spacing w:line="276" w:lineRule="auto"/>
      </w:pPr>
      <w:r>
        <w:rPr>
          <w:bCs/>
          <w:szCs w:val="26"/>
        </w:rPr>
        <w:t xml:space="preserve">אהבתו של ר׳ חיים </w:t>
      </w:r>
      <w:proofErr w:type="spellStart"/>
      <w:r>
        <w:rPr>
          <w:bCs/>
          <w:szCs w:val="26"/>
        </w:rPr>
        <w:t>סולובייצ׳יק</w:t>
      </w:r>
      <w:proofErr w:type="spellEnd"/>
      <w:r>
        <w:rPr>
          <w:bCs/>
          <w:szCs w:val="26"/>
        </w:rPr>
        <w:t xml:space="preserve"> לבריות מטעה אחדים לחשוב שאינו רואה פגמים באיש; הרשעים אינם מעניינו.</w:t>
      </w:r>
    </w:p>
    <w:p w14:paraId="13F1CF55" w14:textId="77777777" w:rsidR="00AB3647" w:rsidRDefault="00000000" w:rsidP="007923E9">
      <w:pPr>
        <w:spacing w:after="120" w:line="276" w:lineRule="auto"/>
        <w:ind w:firstLine="283"/>
        <w:jc w:val="both"/>
      </w:pPr>
      <w:r>
        <w:rPr>
          <w:rtl/>
        </w:rPr>
        <w:t xml:space="preserve">לבסוף הגעתי להבנה שונה לגמרי של דברי ר׳ חיים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“אנו </w:t>
      </w:r>
      <w:proofErr w:type="spellStart"/>
      <w:r>
        <w:rPr>
          <w:rtl/>
        </w:rPr>
        <w:t>בוולוז׳ין</w:t>
      </w:r>
      <w:proofErr w:type="spellEnd"/>
      <w:r>
        <w:rPr>
          <w:rtl/>
        </w:rPr>
        <w:t xml:space="preserve"> איננו חולים”. זה היה אחרי שמצאתי </w:t>
      </w:r>
      <w:proofErr w:type="spellStart"/>
      <w:r>
        <w:rPr>
          <w:rtl/>
        </w:rPr>
        <w:t>ב“וולוז׳ין</w:t>
      </w:r>
      <w:proofErr w:type="spellEnd"/>
      <w:r>
        <w:rPr>
          <w:rtl/>
        </w:rPr>
        <w:t xml:space="preserve"> – ספרה של העיר ושל ישיבת עץ חיים” סיפור על ר׳ חיים</w:t>
      </w:r>
      <w:bookmarkStart w:id="5405" w:name="_fnr4068"/>
      <w:r>
        <w:rPr>
          <w:vertAlign w:val="superscript"/>
          <w:rtl/>
        </w:rPr>
        <w:footnoteReference w:id="4078" w:customMarkFollows="0"/>
      </w:r>
      <w:bookmarkEnd w:id="5405"/>
      <w:r>
        <w:rPr>
          <w:rtl/>
        </w:rPr>
        <w:t xml:space="preserve">, כנראה בלתי מהימן, שהיה מסופר </w:t>
      </w:r>
      <w:proofErr w:type="spellStart"/>
      <w:r>
        <w:rPr>
          <w:rtl/>
        </w:rPr>
        <w:t>בבריסק</w:t>
      </w:r>
      <w:proofErr w:type="spellEnd"/>
      <w:r>
        <w:rPr>
          <w:rtl/>
        </w:rPr>
        <w:t>: “פעם ישבו כמה תלמידי חכמים בבית ר׳ חיים ודנו בעניין ‘</w:t>
      </w:r>
      <w:proofErr w:type="spellStart"/>
      <w:r>
        <w:rPr>
          <w:rtl/>
        </w:rPr>
        <w:t>קרקפתא</w:t>
      </w:r>
      <w:proofErr w:type="spellEnd"/>
      <w:r>
        <w:rPr>
          <w:rtl/>
        </w:rPr>
        <w:t xml:space="preserve"> דלא מנח תפילין’.</w:t>
      </w:r>
      <w:bookmarkStart w:id="5406" w:name="_fnr4069"/>
      <w:r>
        <w:rPr>
          <w:vertAlign w:val="superscript"/>
          <w:rtl/>
        </w:rPr>
        <w:footnoteReference w:id="4079" w:customMarkFollows="0"/>
      </w:r>
      <w:bookmarkEnd w:id="5406"/>
      <w:r>
        <w:rPr>
          <w:rtl/>
        </w:rPr>
        <w:t xml:space="preserve"> המחמירים אמרו: ‘אדם כזה יצא מכלל ישראל’, והמקילים אמרו: ‘אף שחטא, עודנו יהודי’. החליטו לשאול את ר׳ חיים. ‘</w:t>
      </w:r>
      <w:proofErr w:type="spellStart"/>
      <w:r>
        <w:rPr>
          <w:rtl/>
        </w:rPr>
        <w:t>תמיהני</w:t>
      </w:r>
      <w:proofErr w:type="spellEnd"/>
      <w:r>
        <w:rPr>
          <w:rtl/>
        </w:rPr>
        <w:t>!’ השיב. ‘האם יש בכלל יהודי שאינו מניח תפילין?!’” עורך “</w:t>
      </w:r>
      <w:proofErr w:type="spellStart"/>
      <w:r>
        <w:rPr>
          <w:rtl/>
        </w:rPr>
        <w:t>וולוז׳ין</w:t>
      </w:r>
      <w:proofErr w:type="spellEnd"/>
      <w:r>
        <w:rPr>
          <w:rtl/>
        </w:rPr>
        <w:t xml:space="preserve"> – ספרה של העיר ושל ישיבת עץ חיים”, אליעזר </w:t>
      </w:r>
      <w:proofErr w:type="spellStart"/>
      <w:r>
        <w:rPr>
          <w:rtl/>
        </w:rPr>
        <w:t>ליאוני</w:t>
      </w:r>
      <w:proofErr w:type="spellEnd"/>
      <w:r>
        <w:rPr>
          <w:rtl/>
        </w:rPr>
        <w:t xml:space="preserve">, מבין מן הסיפור </w:t>
      </w:r>
      <w:proofErr w:type="spellStart"/>
      <w:r>
        <w:rPr>
          <w:rtl/>
        </w:rPr>
        <w:t>ש“במשך</w:t>
      </w:r>
      <w:proofErr w:type="spellEnd"/>
      <w:r>
        <w:rPr>
          <w:rtl/>
        </w:rPr>
        <w:t xml:space="preserve"> כל חייו מצא ר׳ חיים זכות במעשי בני האדם”. </w:t>
      </w:r>
      <w:proofErr w:type="spellStart"/>
      <w:r>
        <w:rPr>
          <w:rtl/>
        </w:rPr>
        <w:t>ליאוני</w:t>
      </w:r>
      <w:proofErr w:type="spellEnd"/>
      <w:r>
        <w:rPr>
          <w:rtl/>
        </w:rPr>
        <w:t xml:space="preserve"> ממשיך בהתלהבות: “הוא לא חיפש את חטאיו של האדם, אלא תמיד ניסה לגלות את הטוב שבו, את המאור שבו. הייתה בו הבנה לבני אדם שהתלכלכו בחטא, והוא ראה את הפגם לא בהם אלא בתנאי חייהם ובנסיבות שלא תמיד יש לאדם שליטה עליהן.”</w:t>
      </w:r>
    </w:p>
    <w:p w14:paraId="3EABB57D" w14:textId="77777777" w:rsidR="00AB3647" w:rsidRDefault="00000000" w:rsidP="007923E9">
      <w:pPr>
        <w:spacing w:after="120" w:line="276" w:lineRule="auto"/>
        <w:ind w:firstLine="283"/>
        <w:jc w:val="both"/>
      </w:pPr>
      <w:r>
        <w:rPr>
          <w:rtl/>
        </w:rPr>
        <w:t xml:space="preserve">פירוש זה הוא דברי הבל! כיצד יכול מנהיג כלשהו – ור׳ חיים ודאי היה מנהיג משנעשה רב </w:t>
      </w:r>
      <w:proofErr w:type="spellStart"/>
      <w:r>
        <w:rPr>
          <w:rtl/>
        </w:rPr>
        <w:t>בריסק</w:t>
      </w:r>
      <w:proofErr w:type="spellEnd"/>
      <w:r>
        <w:rPr>
          <w:rtl/>
        </w:rPr>
        <w:t xml:space="preserve"> – להיות עיוור למציאותם של יהודים חוטאים? ובאשר </w:t>
      </w:r>
      <w:proofErr w:type="spellStart"/>
      <w:r>
        <w:rPr>
          <w:rtl/>
        </w:rPr>
        <w:t>לר</w:t>
      </w:r>
      <w:proofErr w:type="spellEnd"/>
      <w:r>
        <w:rPr>
          <w:rtl/>
        </w:rPr>
        <w:t xml:space="preserve">׳ חיים עצמו: האם תפיסתו של </w:t>
      </w:r>
      <w:proofErr w:type="spellStart"/>
      <w:r>
        <w:rPr>
          <w:rtl/>
        </w:rPr>
        <w:t>ליאוני</w:t>
      </w:r>
      <w:proofErr w:type="spellEnd"/>
      <w:r>
        <w:rPr>
          <w:rtl/>
        </w:rPr>
        <w:t xml:space="preserve"> מתיישבת, למשל, עם חשדות הרצח שהטיל בציונים? ר׳ </w:t>
      </w:r>
      <w:proofErr w:type="spellStart"/>
      <w:r>
        <w:rPr>
          <w:rtl/>
        </w:rPr>
        <w:t>ברוך־בער</w:t>
      </w:r>
      <w:proofErr w:type="spellEnd"/>
      <w:r>
        <w:rPr>
          <w:rtl/>
        </w:rPr>
        <w:t xml:space="preserve"> פעל על פי חשדות אלו: כששני תלמידי ישיבה ציונים שגורשו באו לביתו להיפרד ממנו, ביקש מכמה מתלמידיו הנאמנים להיות נוכחים, “שמא יכניסו (אותו) לשק וישליכו (אותו) לנהר (בהתאם לדעת רבו ר׳ חיים על הציונים)”.</w:t>
      </w:r>
      <w:bookmarkStart w:id="5407" w:name="_fnr4070"/>
      <w:r>
        <w:rPr>
          <w:vertAlign w:val="superscript"/>
          <w:rtl/>
        </w:rPr>
        <w:footnoteReference w:id="4080" w:customMarkFollows="0"/>
      </w:r>
      <w:bookmarkEnd w:id="5407"/>
      <w:r>
        <w:rPr>
          <w:rtl/>
        </w:rPr>
        <w:t xml:space="preserve"> לא ידוע לי שר׳ חיים עצמו פעל על פי “חשדותיו” כמו שעשה תלמידו ר׳ </w:t>
      </w:r>
      <w:proofErr w:type="spellStart"/>
      <w:r>
        <w:rPr>
          <w:rtl/>
        </w:rPr>
        <w:t>ברוך־בער</w:t>
      </w:r>
      <w:proofErr w:type="spellEnd"/>
      <w:r>
        <w:rPr>
          <w:rtl/>
        </w:rPr>
        <w:t>, אבל ודאי לא ראה את כלל ישראל כקהילה של צדיקים טהורים.</w:t>
      </w:r>
    </w:p>
    <w:p w14:paraId="5C5E4C6F" w14:textId="77777777" w:rsidR="00AB3647" w:rsidRDefault="00000000" w:rsidP="007923E9">
      <w:pPr>
        <w:spacing w:after="120" w:line="276" w:lineRule="auto"/>
        <w:ind w:firstLine="283"/>
        <w:jc w:val="both"/>
      </w:pPr>
      <w:r>
        <w:rPr>
          <w:rtl/>
        </w:rPr>
        <w:t xml:space="preserve">ההבנה הנכונה של הערת ר׳ חיים על דיון החכמים בתפילין היא שאנשים שאינם מניחים תפילין אינם מענייננו: “האם יש בכלל יהודי שעלינו לדבר עליו, שאינו מניח תפילין? אם כן, חדלו לדבר על אנשים כאלה!” בדומה לכך, כשאמר ר׳ חיים </w:t>
      </w:r>
      <w:proofErr w:type="spellStart"/>
      <w:r>
        <w:rPr>
          <w:rtl/>
        </w:rPr>
        <w:t>לר</w:t>
      </w:r>
      <w:proofErr w:type="spellEnd"/>
      <w:r>
        <w:rPr>
          <w:rtl/>
        </w:rPr>
        <w:t xml:space="preserve">׳ </w:t>
      </w:r>
      <w:proofErr w:type="spellStart"/>
      <w:r>
        <w:rPr>
          <w:rtl/>
        </w:rPr>
        <w:t>איצל׳ה</w:t>
      </w:r>
      <w:proofErr w:type="spellEnd"/>
      <w:r>
        <w:rPr>
          <w:rtl/>
        </w:rPr>
        <w:t xml:space="preserve"> “אנו </w:t>
      </w:r>
      <w:proofErr w:type="spellStart"/>
      <w:r>
        <w:rPr>
          <w:rtl/>
        </w:rPr>
        <w:t>בוולוז׳ין</w:t>
      </w:r>
      <w:proofErr w:type="spellEnd"/>
      <w:r>
        <w:rPr>
          <w:rtl/>
        </w:rPr>
        <w:t xml:space="preserve"> איננו חולים”, התכוון פשוט לומר: “איננו עוסקים במי שנלכדו ברשת ההשכלה, ושארנו </w:t>
      </w:r>
      <w:proofErr w:type="spellStart"/>
      <w:r>
        <w:rPr>
          <w:rtl/>
        </w:rPr>
        <w:t>בוולוז׳ין</w:t>
      </w:r>
      <w:proofErr w:type="spellEnd"/>
      <w:r>
        <w:rPr>
          <w:rtl/>
        </w:rPr>
        <w:t xml:space="preserve"> איננו חולים שנזדקק לרפואת המוסר.” הוא קבע כאן את קווי המדיניות של ישיבת </w:t>
      </w:r>
      <w:proofErr w:type="spellStart"/>
      <w:r>
        <w:rPr>
          <w:rtl/>
        </w:rPr>
        <w:t>וולוז׳ין</w:t>
      </w:r>
      <w:proofErr w:type="spellEnd"/>
      <w:r>
        <w:rPr>
          <w:rtl/>
        </w:rPr>
        <w:t xml:space="preserve">: להפנות את מלוא מאמצי ההנהלה לקידום התלמידים הישרים, </w:t>
      </w:r>
      <w:proofErr w:type="spellStart"/>
      <w:r>
        <w:rPr>
          <w:rtl/>
        </w:rPr>
        <w:t>ה“בריאים</w:t>
      </w:r>
      <w:proofErr w:type="spellEnd"/>
      <w:r>
        <w:rPr>
          <w:rtl/>
        </w:rPr>
        <w:t xml:space="preserve">”, ולא לקירוב הנופלים, </w:t>
      </w:r>
      <w:proofErr w:type="spellStart"/>
      <w:r>
        <w:rPr>
          <w:rtl/>
        </w:rPr>
        <w:t>ה“חולים</w:t>
      </w:r>
      <w:proofErr w:type="spellEnd"/>
      <w:r>
        <w:rPr>
          <w:rtl/>
        </w:rPr>
        <w:t>”.</w:t>
      </w:r>
    </w:p>
    <w:p w14:paraId="28A717DE" w14:textId="77777777" w:rsidR="00AB3647" w:rsidRDefault="00000000" w:rsidP="007923E9">
      <w:pPr>
        <w:spacing w:after="120" w:line="276" w:lineRule="auto"/>
        <w:ind w:firstLine="283"/>
        <w:jc w:val="both"/>
      </w:pPr>
      <w:r>
        <w:rPr>
          <w:rtl/>
        </w:rPr>
        <w:t>גישה זו, המוציאה מן הכלל, אולי אינה גישתו של מדריך אמיתי, אבל היא מתיישבת עם דעתי שהובעה בסוף הפסקה השנייה של נספח ח בפרק 3</w:t>
      </w:r>
      <w:hyperlink w:anchor="b4_note30" w:history="1">
        <w:r w:rsidR="007923E9" w:rsidRPr="007923E9">
          <w:rPr>
            <w:rStyle w:val="Hyperlink"/>
          </w:rPr>
          <w:t xml:space="preserve"/>
        </w:r>
      </w:hyperlink>
      <w:r>
        <w:rPr>
          <w:rtl/>
        </w:rPr>
        <w:t>: אף שר׳ חיים היה מורה מעולה,</w:t>
      </w:r>
      <w:bookmarkStart w:id="5408" w:name="_fnr4071"/>
      <w:r>
        <w:rPr>
          <w:vertAlign w:val="superscript"/>
          <w:rtl/>
        </w:rPr>
        <w:footnoteReference w:id="4081" w:customMarkFollows="0"/>
      </w:r>
      <w:bookmarkEnd w:id="5408"/>
      <w:r>
        <w:rPr>
          <w:rtl/>
        </w:rPr>
        <w:t xml:space="preserve"> כמחנך לא הגיע לאותה מדרגה. חינוך במלוא מובן המילה לא היה בתחום עניינו; </w:t>
      </w:r>
      <w:r>
        <w:rPr>
          <w:rtl/>
        </w:rPr>
        <w:lastRenderedPageBreak/>
        <w:t xml:space="preserve">רק הוראה הייתה בו. אבל אין ספק שר׳ חיים ידע היטב שבקרב תלמידי </w:t>
      </w:r>
      <w:proofErr w:type="spellStart"/>
      <w:r>
        <w:rPr>
          <w:rtl/>
        </w:rPr>
        <w:t>וולוז׳ין</w:t>
      </w:r>
      <w:proofErr w:type="spellEnd"/>
      <w:r>
        <w:rPr>
          <w:rtl/>
        </w:rPr>
        <w:t xml:space="preserve"> תססו מוקדים קטנים של חולי רוחני!</w:t>
      </w:r>
    </w:p>
    <w:p w14:paraId="2D4B5573" w14:textId="77777777" w:rsidR="00AB3647" w:rsidRDefault="00000000" w:rsidP="007923E9">
      <w:pPr>
        <w:pStyle w:val="4"/>
        <w:spacing w:line="276" w:lineRule="auto"/>
      </w:pPr>
      <w:r>
        <w:t>· הפסקה השביעית ·</w:t>
      </w:r>
    </w:p>
    <w:p w14:paraId="3E19E04A" w14:textId="77777777" w:rsidR="00AB3647" w:rsidRDefault="00000000" w:rsidP="007923E9">
      <w:pPr>
        <w:pStyle w:val="5"/>
        <w:spacing w:line="276" w:lineRule="auto"/>
      </w:pPr>
      <w:r>
        <w:rPr>
          <w:bCs/>
          <w:szCs w:val="26"/>
        </w:rPr>
        <w:t xml:space="preserve">ביקורו של 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w:t>
      </w:r>
      <w:proofErr w:type="spellStart"/>
      <w:r>
        <w:rPr>
          <w:bCs/>
          <w:szCs w:val="26"/>
        </w:rPr>
        <w:t>בוולוז׳ין</w:t>
      </w:r>
      <w:proofErr w:type="spellEnd"/>
      <w:r>
        <w:rPr>
          <w:bCs/>
          <w:szCs w:val="26"/>
        </w:rPr>
        <w:t xml:space="preserve"> מתקיים לאחר שר׳ חיים </w:t>
      </w:r>
      <w:proofErr w:type="spellStart"/>
      <w:r>
        <w:rPr>
          <w:bCs/>
          <w:szCs w:val="26"/>
        </w:rPr>
        <w:t>סולובייצ׳יק</w:t>
      </w:r>
      <w:proofErr w:type="spellEnd"/>
      <w:r>
        <w:rPr>
          <w:bCs/>
          <w:szCs w:val="26"/>
        </w:rPr>
        <w:t xml:space="preserve"> נעשה איש סגל שם – הביקור המתוכנן של ר׳ </w:t>
      </w:r>
      <w:proofErr w:type="spellStart"/>
      <w:r>
        <w:rPr>
          <w:bCs/>
          <w:szCs w:val="26"/>
        </w:rPr>
        <w:t>איצל׳ה</w:t>
      </w:r>
      <w:proofErr w:type="spellEnd"/>
      <w:r>
        <w:rPr>
          <w:bCs/>
          <w:szCs w:val="26"/>
        </w:rPr>
        <w:t xml:space="preserve"> נרמז במכתבי ר׳ </w:t>
      </w:r>
      <w:proofErr w:type="spellStart"/>
      <w:r>
        <w:rPr>
          <w:bCs/>
          <w:szCs w:val="26"/>
        </w:rPr>
        <w:t>שמחה־זיסל</w:t>
      </w:r>
      <w:proofErr w:type="spellEnd"/>
      <w:r>
        <w:rPr>
          <w:bCs/>
          <w:szCs w:val="26"/>
        </w:rPr>
        <w:t xml:space="preserve"> זיו – ייתכן שהביקור שנכשל היה זרז להקמת הישיבה </w:t>
      </w:r>
      <w:proofErr w:type="spellStart"/>
      <w:r>
        <w:rPr>
          <w:bCs/>
          <w:szCs w:val="26"/>
        </w:rPr>
        <w:t>בסלבודקה</w:t>
      </w:r>
      <w:proofErr w:type="spellEnd"/>
      <w:r>
        <w:rPr>
          <w:bCs/>
          <w:szCs w:val="26"/>
        </w:rPr>
        <w:t>.</w:t>
      </w:r>
    </w:p>
    <w:p w14:paraId="01BE439D" w14:textId="77777777" w:rsidR="00AB3647" w:rsidRDefault="00000000" w:rsidP="007923E9">
      <w:pPr>
        <w:spacing w:after="120" w:line="276" w:lineRule="auto"/>
        <w:ind w:firstLine="283"/>
        <w:jc w:val="both"/>
      </w:pPr>
      <w:r>
        <w:rPr>
          <w:rtl/>
        </w:rPr>
        <w:t xml:space="preserve">הבנה זו של דברי ר׳ חיים מביאה לידי תיקון התאריך ששוער בתחילה לביקורו של ר׳ </w:t>
      </w:r>
      <w:proofErr w:type="spellStart"/>
      <w:r>
        <w:rPr>
          <w:rtl/>
        </w:rPr>
        <w:t>איצל׳ה</w:t>
      </w:r>
      <w:proofErr w:type="spellEnd"/>
      <w:r>
        <w:rPr>
          <w:rtl/>
        </w:rPr>
        <w:t xml:space="preserve"> </w:t>
      </w:r>
      <w:proofErr w:type="spellStart"/>
      <w:r>
        <w:rPr>
          <w:rtl/>
        </w:rPr>
        <w:t>בוולוז׳ין</w:t>
      </w:r>
      <w:proofErr w:type="spellEnd"/>
      <w:r>
        <w:rPr>
          <w:rtl/>
        </w:rPr>
        <w:t xml:space="preserve"> – לפני הקמת כולל קובנה, כשר׳ חיים היה לקראת סוף שש שנות </w:t>
      </w:r>
      <w:proofErr w:type="spellStart"/>
      <w:r>
        <w:rPr>
          <w:rtl/>
        </w:rPr>
        <w:t>הקעסט</w:t>
      </w:r>
      <w:proofErr w:type="spellEnd"/>
      <w:r>
        <w:rPr>
          <w:rtl/>
        </w:rPr>
        <w:t xml:space="preserve"> שלו. אז עדיין לא היה ר׳ חיים קובע את מדיניות הישיבה, בייחוד מפני שראש הישיבה, </w:t>
      </w:r>
      <w:proofErr w:type="spellStart"/>
      <w:r>
        <w:rPr>
          <w:rtl/>
        </w:rPr>
        <w:t>הנצי״ב</w:t>
      </w:r>
      <w:proofErr w:type="spellEnd"/>
      <w:r>
        <w:rPr>
          <w:rtl/>
        </w:rPr>
        <w:t xml:space="preserve">, לא החזיק בעצמו, לדעתי, בגישה המדירה הזאת. ביקורו של ר׳ </w:t>
      </w:r>
      <w:proofErr w:type="spellStart"/>
      <w:r>
        <w:rPr>
          <w:rtl/>
        </w:rPr>
        <w:t>איצל׳ה</w:t>
      </w:r>
      <w:proofErr w:type="spellEnd"/>
      <w:r>
        <w:rPr>
          <w:rtl/>
        </w:rPr>
        <w:t xml:space="preserve"> מוכרח היה להתרחש מאוחר יותר, כשר׳ חיים כבר נמנה עם סגל הישיבה: בזמן כלשהו אחרי ראשית קיץ תר״מ, כשכולל קובנה כבר נוסד </w:t>
      </w:r>
      <w:proofErr w:type="spellStart"/>
      <w:r>
        <w:rPr>
          <w:rtl/>
        </w:rPr>
        <w:t>ולר</w:t>
      </w:r>
      <w:proofErr w:type="spellEnd"/>
      <w:r>
        <w:rPr>
          <w:rtl/>
        </w:rPr>
        <w:t xml:space="preserve">׳ חיים כבר היה קול – אם כי קול של מיעוט – בקביעת דרכה של </w:t>
      </w:r>
      <w:proofErr w:type="spellStart"/>
      <w:r>
        <w:rPr>
          <w:rtl/>
        </w:rPr>
        <w:t>וולוז׳ין</w:t>
      </w:r>
      <w:bookmarkStart w:id="5409" w:name="_fnr4072"/>
      <w:proofErr w:type="spellEnd"/>
      <w:r>
        <w:rPr>
          <w:vertAlign w:val="superscript"/>
          <w:rtl/>
        </w:rPr>
        <w:footnoteReference w:id="4082" w:customMarkFollows="0"/>
      </w:r>
      <w:bookmarkEnd w:id="5409"/>
      <w:r>
        <w:rPr>
          <w:rtl/>
        </w:rPr>
        <w:t>.</w:t>
      </w:r>
    </w:p>
    <w:p w14:paraId="7B349182" w14:textId="77777777" w:rsidR="00AB3647" w:rsidRDefault="00000000" w:rsidP="007923E9">
      <w:pPr>
        <w:spacing w:after="120" w:line="276" w:lineRule="auto"/>
        <w:ind w:firstLine="283"/>
        <w:jc w:val="both"/>
      </w:pPr>
      <w:r>
        <w:rPr>
          <w:rtl/>
        </w:rPr>
        <w:t xml:space="preserve">בעקבות תיקון זה אפשר לשער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אחרי שראה שאפשר להפיץ בהצלחה בישיבה את המוסר, שנועד מלכתחילה להיות עיסוק לשעות הפנאי של בעלי בתים – כלומר, בזמן כלשהו אחרי הקמת ישיבת </w:t>
      </w:r>
      <w:proofErr w:type="spellStart"/>
      <w:r>
        <w:rPr>
          <w:rtl/>
        </w:rPr>
        <w:t>סלבודקה</w:t>
      </w:r>
      <w:proofErr w:type="spellEnd"/>
      <w:r>
        <w:rPr>
          <w:rtl/>
        </w:rPr>
        <w:t xml:space="preserve"> </w:t>
      </w:r>
      <w:proofErr w:type="spellStart"/>
      <w:r>
        <w:rPr>
          <w:rtl/>
        </w:rPr>
        <w:t>בתרמ״ב</w:t>
      </w:r>
      <w:proofErr w:type="spellEnd"/>
      <w:r>
        <w:rPr>
          <w:rtl/>
        </w:rPr>
        <w:t xml:space="preserve">. אבל אפשר למצוא רמז למועד המדויק שבו תכנן ר׳ </w:t>
      </w:r>
      <w:proofErr w:type="spellStart"/>
      <w:r>
        <w:rPr>
          <w:rtl/>
        </w:rPr>
        <w:t>איצל׳ה</w:t>
      </w:r>
      <w:proofErr w:type="spellEnd"/>
      <w:r>
        <w:rPr>
          <w:rtl/>
        </w:rPr>
        <w:t xml:space="preserve"> את ביקורו </w:t>
      </w:r>
      <w:proofErr w:type="spellStart"/>
      <w:r>
        <w:rPr>
          <w:rtl/>
        </w:rPr>
        <w:t>בוולוז׳ין</w:t>
      </w:r>
      <w:proofErr w:type="spellEnd"/>
      <w:r>
        <w:rPr>
          <w:rtl/>
        </w:rPr>
        <w:t xml:space="preserve">, והוא קודם להקמת ישיבת </w:t>
      </w:r>
      <w:proofErr w:type="spellStart"/>
      <w:r>
        <w:rPr>
          <w:rtl/>
        </w:rPr>
        <w:t>סלבודקה</w:t>
      </w:r>
      <w:proofErr w:type="spellEnd"/>
      <w:r>
        <w:rPr>
          <w:rtl/>
        </w:rPr>
        <w:t>.</w:t>
      </w:r>
    </w:p>
    <w:p w14:paraId="2ABF2044"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10" w:name="_fnr4073"/>
      <w:r>
        <w:rPr>
          <w:vertAlign w:val="superscript"/>
          <w:rtl/>
        </w:rPr>
        <w:footnoteReference w:id="4083" w:customMarkFollows="0"/>
      </w:r>
      <w:bookmarkEnd w:id="5410"/>
      <w:r>
        <w:rPr>
          <w:rtl/>
        </w:rPr>
        <w:t xml:space="preserve"> נדפס מכתב בלי תאריך מאת ר׳ </w:t>
      </w:r>
      <w:proofErr w:type="spellStart"/>
      <w:r>
        <w:rPr>
          <w:rtl/>
        </w:rPr>
        <w:t>שמחה־זיסל</w:t>
      </w:r>
      <w:proofErr w:type="spellEnd"/>
      <w:r>
        <w:rPr>
          <w:rtl/>
        </w:rPr>
        <w:t xml:space="preserve"> זיו </w:t>
      </w:r>
      <w:proofErr w:type="spellStart"/>
      <w:r>
        <w:rPr>
          <w:rtl/>
        </w:rPr>
        <w:t>לר</w:t>
      </w:r>
      <w:proofErr w:type="spellEnd"/>
      <w:r>
        <w:rPr>
          <w:rtl/>
        </w:rPr>
        <w:t xml:space="preserve">׳ </w:t>
      </w:r>
      <w:proofErr w:type="spellStart"/>
      <w:r>
        <w:rPr>
          <w:rtl/>
        </w:rPr>
        <w:t>איצל׳ה</w:t>
      </w:r>
      <w:proofErr w:type="spellEnd"/>
      <w:r>
        <w:rPr>
          <w:rtl/>
        </w:rPr>
        <w:t xml:space="preserve"> </w:t>
      </w:r>
      <w:proofErr w:type="spellStart"/>
      <w:r>
        <w:rPr>
          <w:rtl/>
        </w:rPr>
        <w:t>בלאזר</w:t>
      </w:r>
      <w:proofErr w:type="spellEnd"/>
      <w:r>
        <w:rPr>
          <w:rtl/>
        </w:rPr>
        <w:t xml:space="preserve">, ובו שתי תוספות אחרי החתימה. מן המכתב אפשר ללקט פרטים על ענייננו. גוף המכתב כולל: (א) אזכור של חידושי מוסר מאת “אדמו״ר נ״י” – עדות שהמכתב נכתב בחיי ר׳ ישראל </w:t>
      </w:r>
      <w:proofErr w:type="spellStart"/>
      <w:r>
        <w:rPr>
          <w:rtl/>
        </w:rPr>
        <w:t>סלנטר</w:t>
      </w:r>
      <w:proofErr w:type="spellEnd"/>
      <w:r>
        <w:rPr>
          <w:rtl/>
        </w:rPr>
        <w:t xml:space="preserve">. (ב) בקשה להעביר מכתבים לשני אנשים אמידים, “הנגיד ר׳ אלחנן </w:t>
      </w:r>
      <w:proofErr w:type="spellStart"/>
      <w:r>
        <w:rPr>
          <w:rtl/>
        </w:rPr>
        <w:t>קאהאן</w:t>
      </w:r>
      <w:proofErr w:type="spellEnd"/>
      <w:r>
        <w:rPr>
          <w:rtl/>
        </w:rPr>
        <w:t xml:space="preserve">” </w:t>
      </w:r>
      <w:proofErr w:type="spellStart"/>
      <w:r>
        <w:rPr>
          <w:rtl/>
        </w:rPr>
        <w:t>ו“הר</w:t>
      </w:r>
      <w:proofErr w:type="spellEnd"/>
      <w:r>
        <w:rPr>
          <w:rtl/>
        </w:rPr>
        <w:t xml:space="preserve">׳ הנגיד ר׳ </w:t>
      </w:r>
      <w:proofErr w:type="spellStart"/>
      <w:r>
        <w:rPr>
          <w:rtl/>
        </w:rPr>
        <w:t>ארציג</w:t>
      </w:r>
      <w:proofErr w:type="spellEnd"/>
      <w:r>
        <w:rPr>
          <w:rtl/>
        </w:rPr>
        <w:t>”. הראשון שבהם נזכר גם</w:t>
      </w:r>
      <w:bookmarkStart w:id="5411" w:name="_fnr4074"/>
      <w:r>
        <w:rPr>
          <w:vertAlign w:val="superscript"/>
          <w:rtl/>
        </w:rPr>
        <w:footnoteReference w:id="4084" w:customMarkFollows="0"/>
      </w:r>
      <w:bookmarkEnd w:id="5411"/>
      <w:r>
        <w:rPr>
          <w:rtl/>
        </w:rPr>
        <w:t xml:space="preserve"> במכתבים מאת ר׳ נפתלי אמסטרדם </w:t>
      </w:r>
      <w:proofErr w:type="spellStart"/>
      <w:r>
        <w:rPr>
          <w:rtl/>
        </w:rPr>
        <w:t>לר</w:t>
      </w:r>
      <w:proofErr w:type="spellEnd"/>
      <w:r>
        <w:rPr>
          <w:rtl/>
        </w:rPr>
        <w:t xml:space="preserve">׳ </w:t>
      </w:r>
      <w:proofErr w:type="spellStart"/>
      <w:r>
        <w:rPr>
          <w:rtl/>
        </w:rPr>
        <w:t>איצל׳ה</w:t>
      </w:r>
      <w:proofErr w:type="spellEnd"/>
      <w:r>
        <w:rPr>
          <w:rtl/>
        </w:rPr>
        <w:t>, וכן</w:t>
      </w:r>
      <w:bookmarkStart w:id="5412" w:name="_fnr4075"/>
      <w:r>
        <w:rPr>
          <w:vertAlign w:val="superscript"/>
          <w:rtl/>
        </w:rPr>
        <w:footnoteReference w:id="4085" w:customMarkFollows="0"/>
      </w:r>
      <w:bookmarkEnd w:id="5412"/>
      <w:r>
        <w:rPr>
          <w:rtl/>
        </w:rPr>
        <w:t xml:space="preserve"> לנמען שאינו מצוין, ומכאן רמז שמכתבו של ר׳ </w:t>
      </w:r>
      <w:proofErr w:type="spellStart"/>
      <w:r>
        <w:rPr>
          <w:rtl/>
        </w:rPr>
        <w:t>שמחה־זיסל</w:t>
      </w:r>
      <w:proofErr w:type="spellEnd"/>
      <w:r>
        <w:rPr>
          <w:rtl/>
        </w:rPr>
        <w:t xml:space="preserve"> זיו נכתב אחרי שר׳ </w:t>
      </w:r>
      <w:proofErr w:type="spellStart"/>
      <w:r>
        <w:rPr>
          <w:rtl/>
        </w:rPr>
        <w:t>איצל׳ה</w:t>
      </w:r>
      <w:proofErr w:type="spellEnd"/>
      <w:r>
        <w:rPr>
          <w:rtl/>
        </w:rPr>
        <w:t xml:space="preserve"> כבר עזב את פטרבורג והתגורר בקובנה, שבה חיו האנשים הנזכרים והיו מוכרים </w:t>
      </w:r>
      <w:proofErr w:type="spellStart"/>
      <w:r>
        <w:rPr>
          <w:rtl/>
        </w:rPr>
        <w:t>לר</w:t>
      </w:r>
      <w:proofErr w:type="spellEnd"/>
      <w:r>
        <w:rPr>
          <w:rtl/>
        </w:rPr>
        <w:t xml:space="preserve">׳ נפתלי. (ג) בקשה שהתשובה למכתב תישלח לכתובת אביו של ר׳ </w:t>
      </w:r>
      <w:proofErr w:type="spellStart"/>
      <w:r>
        <w:rPr>
          <w:rtl/>
        </w:rPr>
        <w:t>שמחה־זיסל</w:t>
      </w:r>
      <w:proofErr w:type="spellEnd"/>
      <w:r>
        <w:rPr>
          <w:rtl/>
        </w:rPr>
        <w:t xml:space="preserve"> </w:t>
      </w:r>
      <w:proofErr w:type="spellStart"/>
      <w:r>
        <w:rPr>
          <w:rtl/>
        </w:rPr>
        <w:t>בקלם</w:t>
      </w:r>
      <w:proofErr w:type="spellEnd"/>
      <w:r>
        <w:rPr>
          <w:rtl/>
        </w:rPr>
        <w:t xml:space="preserve">, “שאליה [הכותב] ייסע הביתה לקראת החג (פסח)”, </w:t>
      </w:r>
      <w:proofErr w:type="spellStart"/>
      <w:r>
        <w:rPr>
          <w:rtl/>
        </w:rPr>
        <w:t>ו“שאליה</w:t>
      </w:r>
      <w:proofErr w:type="spellEnd"/>
      <w:r>
        <w:rPr>
          <w:rtl/>
        </w:rPr>
        <w:t xml:space="preserve"> [הכותב] מתכוון לצאת לדרכו בערך אחרי פורים” – עדות שהמכתב נכתב ממקום אחר שבו התגורר ר׳ </w:t>
      </w:r>
      <w:proofErr w:type="spellStart"/>
      <w:r>
        <w:rPr>
          <w:rtl/>
        </w:rPr>
        <w:t>שמחה־זיסל</w:t>
      </w:r>
      <w:proofErr w:type="spellEnd"/>
      <w:r>
        <w:rPr>
          <w:rtl/>
        </w:rPr>
        <w:t xml:space="preserve"> דרך קבע, מחוץ </w:t>
      </w:r>
      <w:proofErr w:type="spellStart"/>
      <w:r>
        <w:rPr>
          <w:rtl/>
        </w:rPr>
        <w:t>לקלם</w:t>
      </w:r>
      <w:proofErr w:type="spellEnd"/>
      <w:r>
        <w:rPr>
          <w:rtl/>
        </w:rPr>
        <w:t xml:space="preserve">, כלומר </w:t>
      </w:r>
      <w:proofErr w:type="spellStart"/>
      <w:r>
        <w:rPr>
          <w:rtl/>
        </w:rPr>
        <w:t>מגרובין</w:t>
      </w:r>
      <w:proofErr w:type="spellEnd"/>
      <w:r>
        <w:rPr>
          <w:rtl/>
        </w:rPr>
        <w:t xml:space="preserve">. (ד) דיון תורני. (ה) בקשה שהמכתב הסודי יימסר </w:t>
      </w:r>
      <w:proofErr w:type="spellStart"/>
      <w:r>
        <w:rPr>
          <w:rtl/>
        </w:rPr>
        <w:t>לר</w:t>
      </w:r>
      <w:proofErr w:type="spellEnd"/>
      <w:r>
        <w:rPr>
          <w:rtl/>
        </w:rPr>
        <w:t>׳ אלחנן מיד. (ו) הודעה שהכותב ישלח את המכתב “מחר בבוקר מוקדם”.</w:t>
      </w:r>
    </w:p>
    <w:p w14:paraId="01459AD0" w14:textId="77777777" w:rsidR="00AB3647" w:rsidRDefault="00000000" w:rsidP="007923E9">
      <w:pPr>
        <w:spacing w:after="120" w:line="276" w:lineRule="auto"/>
        <w:ind w:firstLine="283"/>
        <w:jc w:val="both"/>
      </w:pPr>
      <w:r>
        <w:rPr>
          <w:rtl/>
        </w:rPr>
        <w:lastRenderedPageBreak/>
        <w:t xml:space="preserve">אחרי גוף המכתב באות שתי תוספות. הראשונה, הקצרה, מבקשת מן הנמען למסור דרישת שלום </w:t>
      </w:r>
      <w:proofErr w:type="spellStart"/>
      <w:r>
        <w:rPr>
          <w:rtl/>
        </w:rPr>
        <w:t>ל“הרב</w:t>
      </w:r>
      <w:proofErr w:type="spellEnd"/>
      <w:r>
        <w:rPr>
          <w:rtl/>
        </w:rPr>
        <w:t xml:space="preserve"> הגביר החכם המפואר ר׳ </w:t>
      </w:r>
      <w:proofErr w:type="spellStart"/>
      <w:r>
        <w:rPr>
          <w:rtl/>
        </w:rPr>
        <w:t>ארציג</w:t>
      </w:r>
      <w:proofErr w:type="spellEnd"/>
      <w:r>
        <w:rPr>
          <w:rtl/>
        </w:rPr>
        <w:t xml:space="preserve"> נ״י” שנזכר לעיל, ומייעצת </w:t>
      </w:r>
      <w:proofErr w:type="spellStart"/>
      <w:r>
        <w:rPr>
          <w:rtl/>
        </w:rPr>
        <w:t>לר</w:t>
      </w:r>
      <w:proofErr w:type="spellEnd"/>
      <w:r>
        <w:rPr>
          <w:rtl/>
        </w:rPr>
        <w:t xml:space="preserve">׳ </w:t>
      </w:r>
      <w:proofErr w:type="spellStart"/>
      <w:r>
        <w:rPr>
          <w:rtl/>
        </w:rPr>
        <w:t>איצל׳ה</w:t>
      </w:r>
      <w:proofErr w:type="spellEnd"/>
      <w:r>
        <w:rPr>
          <w:rtl/>
        </w:rPr>
        <w:t xml:space="preserve">: “אם [אתה], יקירי, תרצה, [אתה] יכול לספר ל[ר׳ </w:t>
      </w:r>
      <w:proofErr w:type="spellStart"/>
      <w:r>
        <w:rPr>
          <w:rtl/>
        </w:rPr>
        <w:t>ארציג</w:t>
      </w:r>
      <w:proofErr w:type="spellEnd"/>
      <w:r>
        <w:rPr>
          <w:rtl/>
        </w:rPr>
        <w:t xml:space="preserve">] </w:t>
      </w:r>
      <w:r>
        <w:rPr>
          <w:b/>
          <w:bCs/>
          <w:rtl/>
        </w:rPr>
        <w:t>אותו עניין</w:t>
      </w:r>
      <w:r>
        <w:rPr>
          <w:rtl/>
        </w:rPr>
        <w:t xml:space="preserve">, כי אולי יוכל להועיל, ברצונו הטוב, לאפשר [לך] </w:t>
      </w:r>
      <w:r>
        <w:rPr>
          <w:b/>
          <w:bCs/>
          <w:rtl/>
        </w:rPr>
        <w:t xml:space="preserve">לנסוע </w:t>
      </w:r>
      <w:proofErr w:type="spellStart"/>
      <w:r>
        <w:rPr>
          <w:b/>
          <w:bCs/>
          <w:rtl/>
        </w:rPr>
        <w:t>לוולוז׳ין</w:t>
      </w:r>
      <w:proofErr w:type="spellEnd"/>
      <w:r>
        <w:rPr>
          <w:rtl/>
        </w:rPr>
        <w:t xml:space="preserve"> </w:t>
      </w:r>
      <w:r>
        <w:rPr>
          <w:b/>
          <w:bCs/>
          <w:rtl/>
        </w:rPr>
        <w:t>על חשבונו</w:t>
      </w:r>
      <w:r>
        <w:rPr>
          <w:rtl/>
        </w:rPr>
        <w:t xml:space="preserve"> (ההדגשות שלי)</w:t>
      </w:r>
      <w:bookmarkStart w:id="5413" w:name="_fnr4076"/>
      <w:r>
        <w:rPr>
          <w:vertAlign w:val="superscript"/>
          <w:rtl/>
        </w:rPr>
        <w:footnoteReference w:id="4086" w:customMarkFollows="0"/>
      </w:r>
      <w:bookmarkEnd w:id="5413"/>
      <w:r>
        <w:rPr>
          <w:rtl/>
        </w:rPr>
        <w:t xml:space="preserve">.” ההדגשה הראשונה מציינת שהעניין הנדון סודי, והשנייה מקשרת את המכתב לענייננו, נסיעת ר׳ </w:t>
      </w:r>
      <w:proofErr w:type="spellStart"/>
      <w:r>
        <w:rPr>
          <w:rtl/>
        </w:rPr>
        <w:t>איצל׳ה</w:t>
      </w:r>
      <w:proofErr w:type="spellEnd"/>
      <w:r>
        <w:rPr>
          <w:rtl/>
        </w:rPr>
        <w:t xml:space="preserve"> לישיבת </w:t>
      </w:r>
      <w:proofErr w:type="spellStart"/>
      <w:r>
        <w:rPr>
          <w:rtl/>
        </w:rPr>
        <w:t>וולוז׳ין</w:t>
      </w:r>
      <w:proofErr w:type="spellEnd"/>
      <w:r>
        <w:rPr>
          <w:rtl/>
        </w:rPr>
        <w:t xml:space="preserve">. פירושה של תוספת זו: יש לנסות לגייס את ר׳ </w:t>
      </w:r>
      <w:proofErr w:type="spellStart"/>
      <w:r>
        <w:rPr>
          <w:rtl/>
        </w:rPr>
        <w:t>ארציג</w:t>
      </w:r>
      <w:proofErr w:type="spellEnd"/>
      <w:r>
        <w:rPr>
          <w:rtl/>
        </w:rPr>
        <w:t xml:space="preserve"> העשיר למימון נסיעתו של ר׳ </w:t>
      </w:r>
      <w:proofErr w:type="spellStart"/>
      <w:r>
        <w:rPr>
          <w:rtl/>
        </w:rPr>
        <w:t>איצל׳ה</w:t>
      </w:r>
      <w:proofErr w:type="spellEnd"/>
      <w:r>
        <w:rPr>
          <w:rtl/>
        </w:rPr>
        <w:t xml:space="preserve"> </w:t>
      </w:r>
      <w:proofErr w:type="spellStart"/>
      <w:r>
        <w:rPr>
          <w:rtl/>
        </w:rPr>
        <w:t>לוולוז׳ין</w:t>
      </w:r>
      <w:proofErr w:type="spellEnd"/>
      <w:r>
        <w:rPr>
          <w:rtl/>
        </w:rPr>
        <w:t>.</w:t>
      </w:r>
    </w:p>
    <w:p w14:paraId="6650C353" w14:textId="77777777" w:rsidR="00AB3647" w:rsidRDefault="00000000" w:rsidP="007923E9">
      <w:pPr>
        <w:spacing w:after="120" w:line="276" w:lineRule="auto"/>
        <w:ind w:firstLine="283"/>
        <w:jc w:val="both"/>
      </w:pPr>
      <w:r>
        <w:rPr>
          <w:rtl/>
        </w:rPr>
        <w:t xml:space="preserve">התוספת השנייה, הארוכה, (א) פותחת: “מכיוון שהמכתב התעכב אצלי עד למחרת, יום שני, ח׳ באדר ב׳, </w:t>
      </w:r>
      <w:proofErr w:type="spellStart"/>
      <w:r>
        <w:rPr>
          <w:rtl/>
        </w:rPr>
        <w:t>וכו</w:t>
      </w:r>
      <w:proofErr w:type="spellEnd"/>
      <w:r>
        <w:rPr>
          <w:rtl/>
        </w:rPr>
        <w:t xml:space="preserve">׳”; (ב) דנה תחילה בעניין מוסרי ואחר כך בעניין הלכתי; (ג) ומסתיימת בהודעה </w:t>
      </w:r>
      <w:proofErr w:type="spellStart"/>
      <w:r>
        <w:rPr>
          <w:rtl/>
        </w:rPr>
        <w:t>לר</w:t>
      </w:r>
      <w:proofErr w:type="spellEnd"/>
      <w:r>
        <w:rPr>
          <w:rtl/>
        </w:rPr>
        <w:t xml:space="preserve">׳ </w:t>
      </w:r>
      <w:proofErr w:type="spellStart"/>
      <w:r>
        <w:rPr>
          <w:rtl/>
        </w:rPr>
        <w:t>איצל׳ה</w:t>
      </w:r>
      <w:proofErr w:type="spellEnd"/>
      <w:r>
        <w:rPr>
          <w:rtl/>
        </w:rPr>
        <w:t xml:space="preserve"> שהכותב, ר׳ </w:t>
      </w:r>
      <w:proofErr w:type="spellStart"/>
      <w:r>
        <w:rPr>
          <w:rtl/>
        </w:rPr>
        <w:t>שמחה־זיסל</w:t>
      </w:r>
      <w:proofErr w:type="spellEnd"/>
      <w:r>
        <w:rPr>
          <w:rtl/>
        </w:rPr>
        <w:t xml:space="preserve"> זיו, אינו יודע מה יעלה בגורל תוכניות נסיעתו, ואולי יתעכב “כאן”, </w:t>
      </w:r>
      <w:proofErr w:type="spellStart"/>
      <w:r>
        <w:rPr>
          <w:rtl/>
        </w:rPr>
        <w:t>בגרובין</w:t>
      </w:r>
      <w:proofErr w:type="spellEnd"/>
      <w:r>
        <w:rPr>
          <w:rtl/>
        </w:rPr>
        <w:t xml:space="preserve">: “לכן, מלבד התשובה ש[אתה], ידידי היקר” – ר׳ </w:t>
      </w:r>
      <w:proofErr w:type="spellStart"/>
      <w:r>
        <w:rPr>
          <w:rtl/>
        </w:rPr>
        <w:t>איצל׳ה</w:t>
      </w:r>
      <w:proofErr w:type="spellEnd"/>
      <w:r>
        <w:rPr>
          <w:rtl/>
        </w:rPr>
        <w:t xml:space="preserve"> – “תשלח אליי </w:t>
      </w:r>
      <w:proofErr w:type="spellStart"/>
      <w:r>
        <w:rPr>
          <w:rtl/>
        </w:rPr>
        <w:t>לקלם</w:t>
      </w:r>
      <w:proofErr w:type="spellEnd"/>
      <w:r>
        <w:rPr>
          <w:rtl/>
        </w:rPr>
        <w:t xml:space="preserve"> על כל הדברים שביקשתי... אני מבקש מחילה [על הטרחה שאני גורם לך]... לכתוב [תשובה] [גם] לכתובת [אחרת]...</w:t>
      </w:r>
      <w:bookmarkStart w:id="5414" w:name="_fnr4077"/>
      <w:r>
        <w:rPr>
          <w:vertAlign w:val="superscript"/>
          <w:rtl/>
        </w:rPr>
        <w:footnoteReference w:id="4087" w:customMarkFollows="0"/>
      </w:r>
      <w:bookmarkEnd w:id="5414"/>
      <w:r>
        <w:rPr>
          <w:rtl/>
        </w:rPr>
        <w:t>”</w:t>
      </w:r>
    </w:p>
    <w:p w14:paraId="436235F9" w14:textId="77777777" w:rsidR="00AB3647" w:rsidRDefault="00000000" w:rsidP="007923E9">
      <w:pPr>
        <w:spacing w:after="120" w:line="276" w:lineRule="auto"/>
        <w:ind w:firstLine="283"/>
        <w:jc w:val="both"/>
      </w:pPr>
      <w:r>
        <w:rPr>
          <w:rtl/>
        </w:rPr>
        <w:t xml:space="preserve">בדיקת הלוח מעלה שבין פתיחת בית הספר </w:t>
      </w:r>
      <w:proofErr w:type="spellStart"/>
      <w:r>
        <w:rPr>
          <w:rtl/>
        </w:rPr>
        <w:t>בגרובין</w:t>
      </w:r>
      <w:proofErr w:type="spellEnd"/>
      <w:r>
        <w:rPr>
          <w:rtl/>
        </w:rPr>
        <w:t xml:space="preserve"> </w:t>
      </w:r>
      <w:proofErr w:type="spellStart"/>
      <w:r>
        <w:rPr>
          <w:rtl/>
        </w:rPr>
        <w:t>בתר״מ</w:t>
      </w:r>
      <w:proofErr w:type="spellEnd"/>
      <w:r>
        <w:rPr>
          <w:rtl/>
        </w:rPr>
        <w:t xml:space="preserve"> לבין פטירת ר׳ ישראל </w:t>
      </w:r>
      <w:proofErr w:type="spellStart"/>
      <w:r>
        <w:rPr>
          <w:rtl/>
        </w:rPr>
        <w:t>סלנטר</w:t>
      </w:r>
      <w:proofErr w:type="spellEnd"/>
      <w:r>
        <w:rPr>
          <w:rtl/>
        </w:rPr>
        <w:t xml:space="preserve"> </w:t>
      </w:r>
      <w:proofErr w:type="spellStart"/>
      <w:r>
        <w:rPr>
          <w:rtl/>
        </w:rPr>
        <w:t>בתרמ״ג</w:t>
      </w:r>
      <w:proofErr w:type="spellEnd"/>
      <w:r>
        <w:rPr>
          <w:rtl/>
        </w:rPr>
        <w:t>, השנה היחידה שבה חל “ח׳ באדר ב׳” ביום שני הייתה תרמ״א</w:t>
      </w:r>
      <w:bookmarkStart w:id="5415" w:name="_fnr4078"/>
      <w:bookmarkEnd w:id="5415"/>
      <w:r>
        <w:rPr>
          <w:rStyle w:val="a5"/>
        </w:rPr>
        <w:t/>
      </w:r>
      <w:bookmarkStart w:id="7043" w:name="_TranslatorNote_4076"/>
      <w:r>
        <w:rPr>
          <w:rStyle w:val="a5"/>
          <w:vertAlign w:val="superscript"/>
          <w:rtl/>
        </w:rPr>
        <w:footnoteReference w:id="4088" w:customMarkFollows="1"/>
        <w:t>*</w:t>
      </w:r>
      <w:bookmarkEnd w:id="7043"/>
      <w:r>
        <w:rPr>
          <w:rtl/>
        </w:rPr>
        <w:t xml:space="preserve">. הדבר מוכיח שר׳ </w:t>
      </w:r>
      <w:proofErr w:type="spellStart"/>
      <w:r>
        <w:rPr>
          <w:rtl/>
        </w:rPr>
        <w:t>איצל׳ה</w:t>
      </w:r>
      <w:proofErr w:type="spellEnd"/>
      <w:r>
        <w:rPr>
          <w:rtl/>
        </w:rPr>
        <w:t xml:space="preserve"> לכל הפחות תכנן לבקר </w:t>
      </w:r>
      <w:proofErr w:type="spellStart"/>
      <w:r>
        <w:rPr>
          <w:rtl/>
        </w:rPr>
        <w:t>בוולוז׳ין</w:t>
      </w:r>
      <w:proofErr w:type="spellEnd"/>
      <w:r>
        <w:rPr>
          <w:rtl/>
        </w:rPr>
        <w:t xml:space="preserve"> באותה שנה – השנה שאחרי תחילת כהונתו של ר׳ חיים </w:t>
      </w:r>
      <w:proofErr w:type="spellStart"/>
      <w:r>
        <w:rPr>
          <w:rtl/>
        </w:rPr>
        <w:t>בוולוז׳ין</w:t>
      </w:r>
      <w:proofErr w:type="spellEnd"/>
      <w:r>
        <w:rPr>
          <w:rtl/>
        </w:rPr>
        <w:t xml:space="preserve">. מובן שייתכן שהנסיעה נדחתה מסיבה כלשהי, והתקיימה לבסוף כשמעמדו של ר׳ חיים במוסד כבר היה מבוסס יותר, ובידו יותר כוח להחליט אילו תלמידים מעניינים את הישיבה ואילו אינם מעניינים אותה – גם אם </w:t>
      </w:r>
      <w:proofErr w:type="spellStart"/>
      <w:r>
        <w:rPr>
          <w:rtl/>
        </w:rPr>
        <w:t>הנצי״ב</w:t>
      </w:r>
      <w:proofErr w:type="spellEnd"/>
      <w:r>
        <w:rPr>
          <w:rtl/>
        </w:rPr>
        <w:t xml:space="preserve"> לא הסכים עמו על מדיניות זו.</w:t>
      </w:r>
    </w:p>
    <w:p w14:paraId="29BD6933" w14:textId="77777777" w:rsidR="00AB3647" w:rsidRDefault="00000000" w:rsidP="007923E9">
      <w:pPr>
        <w:spacing w:after="120" w:line="276" w:lineRule="auto"/>
        <w:ind w:firstLine="283"/>
        <w:jc w:val="both"/>
      </w:pPr>
      <w:r>
        <w:rPr>
          <w:rtl/>
        </w:rPr>
        <w:t xml:space="preserve">המכתב </w:t>
      </w:r>
      <w:proofErr w:type="spellStart"/>
      <w:r>
        <w:rPr>
          <w:rtl/>
        </w:rPr>
        <w:t>שב“כוכבי</w:t>
      </w:r>
      <w:proofErr w:type="spellEnd"/>
      <w:r>
        <w:rPr>
          <w:rtl/>
        </w:rPr>
        <w:t xml:space="preserve"> אור” מוכיח שר׳ </w:t>
      </w:r>
      <w:proofErr w:type="spellStart"/>
      <w:r>
        <w:rPr>
          <w:rtl/>
        </w:rPr>
        <w:t>איצל׳ה</w:t>
      </w:r>
      <w:proofErr w:type="spellEnd"/>
      <w:r>
        <w:rPr>
          <w:rtl/>
        </w:rPr>
        <w:t xml:space="preserve"> ודאי לא המתין עם הניסיון להעביר את </w:t>
      </w:r>
      <w:proofErr w:type="spellStart"/>
      <w:r>
        <w:rPr>
          <w:rtl/>
        </w:rPr>
        <w:t>וולוז׳ין</w:t>
      </w:r>
      <w:proofErr w:type="spellEnd"/>
      <w:r>
        <w:rPr>
          <w:rtl/>
        </w:rPr>
        <w:t xml:space="preserve"> לדרך המוסר עד שראה את הצלחתו בהכנסת המוסר לישיבה שהקים ר׳ </w:t>
      </w:r>
      <w:proofErr w:type="spellStart"/>
      <w:r>
        <w:rPr>
          <w:rtl/>
        </w:rPr>
        <w:t>נתן־צבי</w:t>
      </w:r>
      <w:proofErr w:type="spellEnd"/>
      <w:r>
        <w:rPr>
          <w:rtl/>
        </w:rPr>
        <w:t xml:space="preserve"> </w:t>
      </w:r>
      <w:proofErr w:type="spellStart"/>
      <w:r>
        <w:rPr>
          <w:rtl/>
        </w:rPr>
        <w:t>פינקל</w:t>
      </w:r>
      <w:proofErr w:type="spellEnd"/>
      <w:r>
        <w:rPr>
          <w:rtl/>
        </w:rPr>
        <w:t xml:space="preserve"> </w:t>
      </w:r>
      <w:proofErr w:type="spellStart"/>
      <w:r>
        <w:rPr>
          <w:rtl/>
        </w:rPr>
        <w:t>בסלבודקה</w:t>
      </w:r>
      <w:proofErr w:type="spellEnd"/>
      <w:r>
        <w:rPr>
          <w:rtl/>
        </w:rPr>
        <w:t xml:space="preserve"> במסגרת כולל קובנה (שבראשו עמד ר׳ </w:t>
      </w:r>
      <w:proofErr w:type="spellStart"/>
      <w:r>
        <w:rPr>
          <w:rtl/>
        </w:rPr>
        <w:t>איצל׳ה</w:t>
      </w:r>
      <w:proofErr w:type="spellEnd"/>
      <w:r>
        <w:rPr>
          <w:rtl/>
        </w:rPr>
        <w:t xml:space="preserve"> </w:t>
      </w:r>
      <w:proofErr w:type="spellStart"/>
      <w:r>
        <w:rPr>
          <w:rtl/>
        </w:rPr>
        <w:t>בלאזר</w:t>
      </w:r>
      <w:bookmarkStart w:id="5416" w:name="_fnr4079"/>
      <w:proofErr w:type="spellEnd"/>
      <w:r>
        <w:rPr>
          <w:vertAlign w:val="superscript"/>
          <w:rtl/>
        </w:rPr>
        <w:footnoteReference w:id="4089" w:customMarkFollows="0"/>
      </w:r>
      <w:bookmarkEnd w:id="5416"/>
      <w:r>
        <w:rPr>
          <w:rtl/>
        </w:rPr>
        <w:t xml:space="preserve">), שהרי כבר תכנן את נסיעתו </w:t>
      </w:r>
      <w:proofErr w:type="spellStart"/>
      <w:r>
        <w:rPr>
          <w:rtl/>
        </w:rPr>
        <w:t>לוולוז׳ין</w:t>
      </w:r>
      <w:proofErr w:type="spellEnd"/>
      <w:r>
        <w:rPr>
          <w:rtl/>
        </w:rPr>
        <w:t xml:space="preserve"> לפני פתיחת ישיבת </w:t>
      </w:r>
      <w:proofErr w:type="spellStart"/>
      <w:r>
        <w:rPr>
          <w:rtl/>
        </w:rPr>
        <w:t>סלבודקה</w:t>
      </w:r>
      <w:proofErr w:type="spellEnd"/>
      <w:r>
        <w:rPr>
          <w:rtl/>
        </w:rPr>
        <w:t xml:space="preserve">. להפך: ייתכן בהחלט שביקורו הכושל של ר׳ </w:t>
      </w:r>
      <w:proofErr w:type="spellStart"/>
      <w:r>
        <w:rPr>
          <w:rtl/>
        </w:rPr>
        <w:t>איצל׳ה</w:t>
      </w:r>
      <w:proofErr w:type="spellEnd"/>
      <w:r>
        <w:rPr>
          <w:rtl/>
        </w:rPr>
        <w:t xml:space="preserve"> </w:t>
      </w:r>
      <w:proofErr w:type="spellStart"/>
      <w:r>
        <w:rPr>
          <w:rtl/>
        </w:rPr>
        <w:t>בוולוז׳ין</w:t>
      </w:r>
      <w:proofErr w:type="spellEnd"/>
      <w:r>
        <w:rPr>
          <w:rtl/>
        </w:rPr>
        <w:t xml:space="preserve"> לפני תרמ״ב הוא שהביא אותו לחבור </w:t>
      </w:r>
      <w:proofErr w:type="spellStart"/>
      <w:r>
        <w:rPr>
          <w:rtl/>
        </w:rPr>
        <w:t>לר</w:t>
      </w:r>
      <w:proofErr w:type="spellEnd"/>
      <w:r>
        <w:rPr>
          <w:rtl/>
        </w:rPr>
        <w:t xml:space="preserve">׳ </w:t>
      </w:r>
      <w:proofErr w:type="spellStart"/>
      <w:r>
        <w:rPr>
          <w:rtl/>
        </w:rPr>
        <w:t>נתן־צבי</w:t>
      </w:r>
      <w:proofErr w:type="spellEnd"/>
      <w:r>
        <w:rPr>
          <w:rtl/>
        </w:rPr>
        <w:t xml:space="preserve"> </w:t>
      </w:r>
      <w:proofErr w:type="spellStart"/>
      <w:r>
        <w:rPr>
          <w:rtl/>
        </w:rPr>
        <w:t>פינקל</w:t>
      </w:r>
      <w:proofErr w:type="spellEnd"/>
      <w:r>
        <w:rPr>
          <w:rtl/>
        </w:rPr>
        <w:t xml:space="preserve"> ולהקים ישיבה חדשה בחסות הכולל, שבה יתקבל המוסר ברצון.</w:t>
      </w:r>
    </w:p>
    <w:p w14:paraId="627997E7" w14:textId="77777777" w:rsidR="00AB3647" w:rsidRDefault="00000000" w:rsidP="007923E9">
      <w:pPr>
        <w:spacing w:after="120" w:line="276" w:lineRule="auto"/>
        <w:ind w:firstLine="283"/>
        <w:jc w:val="both"/>
      </w:pPr>
      <w:r>
        <w:rPr>
          <w:rtl/>
        </w:rPr>
        <w:t xml:space="preserve">אולי גם היה כישלונו של ר׳ </w:t>
      </w:r>
      <w:proofErr w:type="spellStart"/>
      <w:r>
        <w:rPr>
          <w:rtl/>
        </w:rPr>
        <w:t>איצל׳ה</w:t>
      </w:r>
      <w:proofErr w:type="spellEnd"/>
      <w:r>
        <w:rPr>
          <w:rtl/>
        </w:rPr>
        <w:t xml:space="preserve"> </w:t>
      </w:r>
      <w:proofErr w:type="spellStart"/>
      <w:r>
        <w:rPr>
          <w:rtl/>
        </w:rPr>
        <w:t>בלאזר</w:t>
      </w:r>
      <w:proofErr w:type="spellEnd"/>
      <w:r>
        <w:rPr>
          <w:rtl/>
        </w:rPr>
        <w:t xml:space="preserve"> בהכנסת המוסר לישיבת </w:t>
      </w:r>
      <w:proofErr w:type="spellStart"/>
      <w:r>
        <w:rPr>
          <w:rtl/>
        </w:rPr>
        <w:t>וולוז׳ין</w:t>
      </w:r>
      <w:proofErr w:type="spellEnd"/>
      <w:r>
        <w:rPr>
          <w:rtl/>
        </w:rPr>
        <w:t xml:space="preserve"> הזרז המיידי לניסיונו להעלות את מעמדו הציבורי בפרסום ספרו “פרי יצחק” באותה שנה, תרמ״א</w:t>
      </w:r>
      <w:bookmarkStart w:id="5417" w:name="_fnr4080"/>
      <w:r>
        <w:rPr>
          <w:vertAlign w:val="superscript"/>
          <w:rtl/>
        </w:rPr>
        <w:footnoteReference w:id="4090" w:customMarkFollows="0"/>
      </w:r>
      <w:bookmarkEnd w:id="5417"/>
      <w:r>
        <w:rPr>
          <w:rtl/>
        </w:rPr>
        <w:t xml:space="preserve">, </w:t>
      </w:r>
      <w:r>
        <w:rPr>
          <w:rtl/>
        </w:rPr>
        <w:lastRenderedPageBreak/>
        <w:t xml:space="preserve">ובכניסה לזירה הציבורית כדי להפיץ את תורתו של ר׳ ישראל. הדבר יתיישב עם לוח הזמנים אם כניסתו של ר׳ </w:t>
      </w:r>
      <w:proofErr w:type="spellStart"/>
      <w:r>
        <w:rPr>
          <w:rtl/>
        </w:rPr>
        <w:t>איצל׳ה</w:t>
      </w:r>
      <w:proofErr w:type="spellEnd"/>
      <w:r>
        <w:rPr>
          <w:rtl/>
        </w:rPr>
        <w:t xml:space="preserve"> </w:t>
      </w:r>
      <w:proofErr w:type="spellStart"/>
      <w:r>
        <w:rPr>
          <w:rtl/>
        </w:rPr>
        <w:t>לוולוז׳ין</w:t>
      </w:r>
      <w:proofErr w:type="spellEnd"/>
      <w:r>
        <w:rPr>
          <w:rtl/>
        </w:rPr>
        <w:t xml:space="preserve"> התקיימה כמו שתכנן, כלומר לקראת סוף השנה הראשונה לכהונת ר׳ חיים שם – באביב תרמ״א.</w:t>
      </w:r>
    </w:p>
    <w:p w14:paraId="6DC5529B" w14:textId="4A0A8A47" w:rsidR="00AB3647" w:rsidRDefault="00000000" w:rsidP="007923E9">
      <w:pPr>
        <w:spacing w:after="120" w:line="276" w:lineRule="auto"/>
        <w:ind w:firstLine="283"/>
        <w:jc w:val="both"/>
      </w:pPr>
      <w:r>
        <w:rPr>
          <w:rtl/>
        </w:rPr>
        <w:t xml:space="preserve">בפרק 3, בפסקה השלישית של הערה </w:t>
      </w:r>
      <w:r>
        <w:rPr>
          <w:rtl/>
        </w:rPr>
        <w:fldChar w:fldCharType="begin" w:dirty="true"/>
      </w:r>
      <w:r>
        <w:rPr>
          <w:rtl/>
        </w:rPr>
        <w:instrText xml:space="preserve"> REF b3_note38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38</w:t>
      </w:r>
      <w:r>
        <w:rPr>
          <w:rtl/>
        </w:rPr>
        <w:fldChar w:fldCharType="end"/>
      </w:r>
      <w:r>
        <w:rPr>
          <w:rtl/>
        </w:rPr>
        <w:t xml:space="preserve">, שוער שביקורו של ר׳ </w:t>
      </w:r>
      <w:proofErr w:type="spellStart"/>
      <w:r>
        <w:rPr>
          <w:rtl/>
        </w:rPr>
        <w:t>איצל׳ה</w:t>
      </w:r>
      <w:proofErr w:type="spellEnd"/>
      <w:r>
        <w:rPr>
          <w:rtl/>
        </w:rPr>
        <w:t xml:space="preserve"> אולי התרחש מאוחר יותר, אפילו </w:t>
      </w:r>
      <w:proofErr w:type="spellStart"/>
      <w:r>
        <w:rPr>
          <w:rtl/>
        </w:rPr>
        <w:t>בתרמ״ו</w:t>
      </w:r>
      <w:bookmarkStart w:id="5418" w:name="_fnr4081"/>
      <w:proofErr w:type="spellEnd"/>
      <w:r>
        <w:rPr>
          <w:rStyle w:val="a5"/>
        </w:rPr>
        <w:t/>
      </w:r>
      <w:bookmarkStart w:id="7044" w:name="_TranslatorNote_4079"/>
      <w:r>
        <w:rPr>
          <w:rStyle w:val="a5"/>
          <w:vertAlign w:val="superscript"/>
          <w:rtl/>
        </w:rPr>
        <w:footnoteReference w:id="4091" w:customMarkFollows="1"/>
        <w:t>*</w:t>
      </w:r>
      <w:bookmarkEnd w:id="7044"/>
      <w:bookmarkEnd w:id="5418"/>
      <w:r>
        <w:rPr>
          <w:rtl/>
        </w:rPr>
        <w:t xml:space="preserve">, בקשר לבקשת תרומות לישיבת </w:t>
      </w:r>
      <w:proofErr w:type="spellStart"/>
      <w:r>
        <w:rPr>
          <w:rtl/>
        </w:rPr>
        <w:t>וולוז׳ין</w:t>
      </w:r>
      <w:proofErr w:type="spellEnd"/>
      <w:r>
        <w:rPr>
          <w:rtl/>
        </w:rPr>
        <w:t xml:space="preserve"> שקיבל אז ר׳ עובדיה לחמן מגדולי הרבנים בליטא. עד אז ודאי כבר היה </w:t>
      </w:r>
      <w:proofErr w:type="spellStart"/>
      <w:r>
        <w:rPr>
          <w:rtl/>
        </w:rPr>
        <w:t>לר</w:t>
      </w:r>
      <w:proofErr w:type="spellEnd"/>
      <w:r>
        <w:rPr>
          <w:rtl/>
        </w:rPr>
        <w:t xml:space="preserve">׳ חיים קול מסוים בעיצוב מדיניות הישיבה, ולמעשה חלק גדול מן התלמידים כבר העריך את שיעוריו יותר משיעורי </w:t>
      </w:r>
      <w:proofErr w:type="spellStart"/>
      <w:r>
        <w:rPr>
          <w:rtl/>
        </w:rPr>
        <w:t>הנצי״ב</w:t>
      </w:r>
      <w:proofErr w:type="spellEnd"/>
      <w:r>
        <w:rPr>
          <w:rtl/>
        </w:rPr>
        <w:t>, כמו שנדון לעיל בפסקה החמישית.</w:t>
      </w:r>
    </w:p>
    <w:p w14:paraId="45FEEE68" w14:textId="77777777" w:rsidR="00AB3647" w:rsidRDefault="00000000" w:rsidP="007923E9">
      <w:pPr>
        <w:spacing w:after="120" w:line="276" w:lineRule="auto"/>
        <w:ind w:firstLine="283"/>
        <w:jc w:val="both"/>
      </w:pPr>
      <w:r>
        <w:rPr>
          <w:rtl/>
        </w:rPr>
        <w:t xml:space="preserve">אבל סיפור שנדפס במדור המבוא “מתולדותיו” </w:t>
      </w:r>
      <w:proofErr w:type="spellStart"/>
      <w:r>
        <w:rPr>
          <w:rtl/>
        </w:rPr>
        <w:t>שב“לב</w:t>
      </w:r>
      <w:proofErr w:type="spellEnd"/>
      <w:r>
        <w:rPr>
          <w:rtl/>
        </w:rPr>
        <w:t xml:space="preserve"> אהרן”</w:t>
      </w:r>
      <w:bookmarkStart w:id="5419" w:name="_fnr4082"/>
      <w:r>
        <w:rPr>
          <w:vertAlign w:val="superscript"/>
          <w:rtl/>
        </w:rPr>
        <w:footnoteReference w:id="4092" w:customMarkFollows="0"/>
      </w:r>
      <w:bookmarkEnd w:id="5419"/>
      <w:r>
        <w:rPr>
          <w:rtl/>
        </w:rPr>
        <w:t xml:space="preserve">, קובץ שיחות מוסר של ר׳ </w:t>
      </w:r>
      <w:proofErr w:type="spellStart"/>
      <w:r>
        <w:rPr>
          <w:rtl/>
        </w:rPr>
        <w:t>ארצ׳יק</w:t>
      </w:r>
      <w:proofErr w:type="spellEnd"/>
      <w:r>
        <w:rPr>
          <w:rtl/>
        </w:rPr>
        <w:t xml:space="preserve"> בקשט, מוכיח שביקורו של ר׳ </w:t>
      </w:r>
      <w:proofErr w:type="spellStart"/>
      <w:r>
        <w:rPr>
          <w:rtl/>
        </w:rPr>
        <w:t>איצל׳ה</w:t>
      </w:r>
      <w:proofErr w:type="spellEnd"/>
      <w:r>
        <w:rPr>
          <w:rtl/>
        </w:rPr>
        <w:t xml:space="preserve"> לא יכול היה להתרחש אחרי תרמ״א. הסיפור מספר שר׳ </w:t>
      </w:r>
      <w:proofErr w:type="spellStart"/>
      <w:r>
        <w:rPr>
          <w:rtl/>
        </w:rPr>
        <w:t>ארצ׳יק</w:t>
      </w:r>
      <w:proofErr w:type="spellEnd"/>
      <w:r>
        <w:rPr>
          <w:rtl/>
        </w:rPr>
        <w:t xml:space="preserve"> בא ללמוד </w:t>
      </w:r>
      <w:proofErr w:type="spellStart"/>
      <w:r>
        <w:rPr>
          <w:rtl/>
        </w:rPr>
        <w:t>בוולוז׳ין</w:t>
      </w:r>
      <w:proofErr w:type="spellEnd"/>
      <w:r>
        <w:rPr>
          <w:rtl/>
        </w:rPr>
        <w:t xml:space="preserve"> בגיל </w:t>
      </w:r>
      <w:proofErr w:type="spellStart"/>
      <w:r>
        <w:rPr>
          <w:rtl/>
        </w:rPr>
        <w:t>ארבע־עשרה</w:t>
      </w:r>
      <w:proofErr w:type="spellEnd"/>
      <w:r>
        <w:rPr>
          <w:rtl/>
        </w:rPr>
        <w:t xml:space="preserve">, ושם פגש בו ר׳ </w:t>
      </w:r>
      <w:proofErr w:type="spellStart"/>
      <w:r>
        <w:rPr>
          <w:rtl/>
        </w:rPr>
        <w:t>איצל׳ה</w:t>
      </w:r>
      <w:proofErr w:type="spellEnd"/>
      <w:r>
        <w:rPr>
          <w:rtl/>
        </w:rPr>
        <w:t xml:space="preserve"> </w:t>
      </w:r>
      <w:proofErr w:type="spellStart"/>
      <w:r>
        <w:rPr>
          <w:rtl/>
        </w:rPr>
        <w:t>בלאזר</w:t>
      </w:r>
      <w:proofErr w:type="spellEnd"/>
      <w:r>
        <w:rPr>
          <w:rtl/>
        </w:rPr>
        <w:t xml:space="preserve"> ולקח אותו ללמוד בישיבה </w:t>
      </w:r>
      <w:proofErr w:type="spellStart"/>
      <w:r>
        <w:rPr>
          <w:rtl/>
        </w:rPr>
        <w:t>שבקלויז</w:t>
      </w:r>
      <w:proofErr w:type="spellEnd"/>
      <w:r>
        <w:rPr>
          <w:rtl/>
        </w:rPr>
        <w:t xml:space="preserve"> הלוויית המת </w:t>
      </w:r>
      <w:proofErr w:type="spellStart"/>
      <w:r>
        <w:rPr>
          <w:rtl/>
        </w:rPr>
        <w:t>בסלבודקה</w:t>
      </w:r>
      <w:proofErr w:type="spellEnd"/>
      <w:r>
        <w:rPr>
          <w:rtl/>
        </w:rPr>
        <w:t xml:space="preserve">. ר׳ </w:t>
      </w:r>
      <w:proofErr w:type="spellStart"/>
      <w:r>
        <w:rPr>
          <w:rtl/>
        </w:rPr>
        <w:t>ארצ׳יק</w:t>
      </w:r>
      <w:proofErr w:type="spellEnd"/>
      <w:r>
        <w:rPr>
          <w:rtl/>
        </w:rPr>
        <w:t xml:space="preserve"> נולד </w:t>
      </w:r>
      <w:proofErr w:type="spellStart"/>
      <w:r>
        <w:rPr>
          <w:rtl/>
        </w:rPr>
        <w:t>בתרכ״ו</w:t>
      </w:r>
      <w:bookmarkStart w:id="5420" w:name="_fnr4083"/>
      <w:bookmarkStart w:id="5421" w:name="pr_f_3968"/>
      <w:proofErr w:type="spellEnd"/>
      <w:r>
        <w:rPr>
          <w:vertAlign w:val="superscript"/>
          <w:rtl/>
        </w:rPr>
        <w:footnoteReference w:id="4093" w:customMarkFollows="0"/>
      </w:r>
      <w:bookmarkEnd w:id="5420"/>
      <w:bookmarkEnd w:id="5421"/>
      <w:r>
        <w:rPr>
          <w:rtl/>
        </w:rPr>
        <w:t xml:space="preserve">, ולכן הגיע </w:t>
      </w:r>
      <w:proofErr w:type="spellStart"/>
      <w:r>
        <w:rPr>
          <w:rtl/>
        </w:rPr>
        <w:t>לוולוז׳ין</w:t>
      </w:r>
      <w:proofErr w:type="spellEnd"/>
      <w:r>
        <w:rPr>
          <w:rtl/>
        </w:rPr>
        <w:t xml:space="preserve"> </w:t>
      </w:r>
      <w:proofErr w:type="spellStart"/>
      <w:r>
        <w:rPr>
          <w:rtl/>
        </w:rPr>
        <w:t>בתר״מ</w:t>
      </w:r>
      <w:proofErr w:type="spellEnd"/>
      <w:r>
        <w:rPr>
          <w:rtl/>
        </w:rPr>
        <w:t xml:space="preserve">. ר׳ </w:t>
      </w:r>
      <w:proofErr w:type="spellStart"/>
      <w:r>
        <w:rPr>
          <w:rtl/>
        </w:rPr>
        <w:t>איצל׳ה</w:t>
      </w:r>
      <w:proofErr w:type="spellEnd"/>
      <w:r>
        <w:rPr>
          <w:rtl/>
        </w:rPr>
        <w:t xml:space="preserve"> ודאי בא </w:t>
      </w:r>
      <w:proofErr w:type="spellStart"/>
      <w:r>
        <w:rPr>
          <w:rtl/>
        </w:rPr>
        <w:t>לוולוז׳ין</w:t>
      </w:r>
      <w:proofErr w:type="spellEnd"/>
      <w:r>
        <w:rPr>
          <w:rtl/>
        </w:rPr>
        <w:t xml:space="preserve"> כמו שתכנן, </w:t>
      </w:r>
      <w:proofErr w:type="spellStart"/>
      <w:r>
        <w:rPr>
          <w:rtl/>
        </w:rPr>
        <w:t>בתרמ״א</w:t>
      </w:r>
      <w:proofErr w:type="spellEnd"/>
      <w:r>
        <w:rPr>
          <w:rtl/>
        </w:rPr>
        <w:t xml:space="preserve">, שנה אחרי שהצטרף ר׳ </w:t>
      </w:r>
      <w:proofErr w:type="spellStart"/>
      <w:r>
        <w:rPr>
          <w:rtl/>
        </w:rPr>
        <w:t>ארצ׳יק</w:t>
      </w:r>
      <w:proofErr w:type="spellEnd"/>
      <w:r>
        <w:rPr>
          <w:rtl/>
        </w:rPr>
        <w:t xml:space="preserve"> לישיבת </w:t>
      </w:r>
      <w:proofErr w:type="spellStart"/>
      <w:r>
        <w:rPr>
          <w:rtl/>
        </w:rPr>
        <w:t>וולוז׳ין</w:t>
      </w:r>
      <w:proofErr w:type="spellEnd"/>
      <w:r>
        <w:rPr>
          <w:rtl/>
        </w:rPr>
        <w:t xml:space="preserve">; ובעודו מעורב במחלוקת עם ר׳ חיים, פגש שם ר׳ </w:t>
      </w:r>
      <w:proofErr w:type="spellStart"/>
      <w:r>
        <w:rPr>
          <w:rtl/>
        </w:rPr>
        <w:t>איצל׳ה</w:t>
      </w:r>
      <w:proofErr w:type="spellEnd"/>
      <w:r>
        <w:rPr>
          <w:rtl/>
        </w:rPr>
        <w:t xml:space="preserve"> את התלמיד בן </w:t>
      </w:r>
      <w:proofErr w:type="spellStart"/>
      <w:r>
        <w:rPr>
          <w:rtl/>
        </w:rPr>
        <w:t>החמש־עשרה</w:t>
      </w:r>
      <w:proofErr w:type="spellEnd"/>
      <w:r>
        <w:rPr>
          <w:rtl/>
        </w:rPr>
        <w:t xml:space="preserve"> ושכנע אותו לבוא עמו </w:t>
      </w:r>
      <w:proofErr w:type="spellStart"/>
      <w:r>
        <w:rPr>
          <w:rtl/>
        </w:rPr>
        <w:t>לסלבודקה</w:t>
      </w:r>
      <w:bookmarkStart w:id="5422" w:name="_fnr4084"/>
      <w:bookmarkStart w:id="5423" w:name="pr_f_3969"/>
      <w:proofErr w:type="spellEnd"/>
      <w:r>
        <w:rPr>
          <w:vertAlign w:val="superscript"/>
          <w:rtl/>
        </w:rPr>
        <w:footnoteReference w:id="4094" w:customMarkFollows="0"/>
      </w:r>
      <w:bookmarkEnd w:id="5422"/>
      <w:bookmarkEnd w:id="5423"/>
      <w:r>
        <w:rPr>
          <w:rtl/>
        </w:rPr>
        <w:t>.</w:t>
      </w:r>
    </w:p>
    <w:p w14:paraId="600CED69" w14:textId="77777777" w:rsidR="00AB3647" w:rsidRDefault="00000000" w:rsidP="007923E9">
      <w:pPr>
        <w:spacing w:after="120" w:line="276" w:lineRule="auto"/>
        <w:ind w:firstLine="283"/>
        <w:jc w:val="both"/>
      </w:pPr>
      <w:r>
        <w:rPr>
          <w:rtl/>
        </w:rPr>
        <w:t xml:space="preserve">אילו התרחש ביקורו מאוחר יותר – נאמר </w:t>
      </w:r>
      <w:proofErr w:type="spellStart"/>
      <w:r>
        <w:rPr>
          <w:rtl/>
        </w:rPr>
        <w:t>בתרמ״ב</w:t>
      </w:r>
      <w:proofErr w:type="spellEnd"/>
      <w:r>
        <w:rPr>
          <w:rtl/>
        </w:rPr>
        <w:t xml:space="preserve">, כשישיבת </w:t>
      </w:r>
      <w:proofErr w:type="spellStart"/>
      <w:r>
        <w:rPr>
          <w:rtl/>
        </w:rPr>
        <w:t>סלבודקה</w:t>
      </w:r>
      <w:proofErr w:type="spellEnd"/>
      <w:r>
        <w:rPr>
          <w:rtl/>
        </w:rPr>
        <w:t xml:space="preserve"> לבחורים כבר הוקמה במסגרת כולל קובנה (כמתואר בפסקה החמישית בפרק 3.1), ור׳ </w:t>
      </w:r>
      <w:proofErr w:type="spellStart"/>
      <w:r>
        <w:rPr>
          <w:rtl/>
        </w:rPr>
        <w:t>ארצ׳יק</w:t>
      </w:r>
      <w:proofErr w:type="spellEnd"/>
      <w:r>
        <w:rPr>
          <w:rtl/>
        </w:rPr>
        <w:t xml:space="preserve"> כבר היה מבוגר מבן </w:t>
      </w:r>
      <w:proofErr w:type="spellStart"/>
      <w:r>
        <w:rPr>
          <w:rtl/>
        </w:rPr>
        <w:t>חמש־עשרה</w:t>
      </w:r>
      <w:proofErr w:type="spellEnd"/>
      <w:r>
        <w:rPr>
          <w:rtl/>
        </w:rPr>
        <w:t xml:space="preserve"> – היה ר׳ </w:t>
      </w:r>
      <w:proofErr w:type="spellStart"/>
      <w:r>
        <w:rPr>
          <w:rtl/>
        </w:rPr>
        <w:t>איצל׳ה</w:t>
      </w:r>
      <w:proofErr w:type="spellEnd"/>
      <w:r>
        <w:rPr>
          <w:rtl/>
        </w:rPr>
        <w:t xml:space="preserve"> לוקח את הצעיר ישר לישיבה, ולא למוסד לתלמידים צעירים יותר </w:t>
      </w:r>
      <w:proofErr w:type="spellStart"/>
      <w:r>
        <w:rPr>
          <w:rtl/>
        </w:rPr>
        <w:t>שבקלויז</w:t>
      </w:r>
      <w:proofErr w:type="spellEnd"/>
      <w:r>
        <w:rPr>
          <w:rtl/>
        </w:rPr>
        <w:t xml:space="preserve"> הלוויית המת. לכן יש להסיק שר׳ </w:t>
      </w:r>
      <w:proofErr w:type="spellStart"/>
      <w:r>
        <w:rPr>
          <w:rtl/>
        </w:rPr>
        <w:t>איצל׳ה</w:t>
      </w:r>
      <w:proofErr w:type="spellEnd"/>
      <w:r>
        <w:rPr>
          <w:rtl/>
        </w:rPr>
        <w:t xml:space="preserve"> ביקר </w:t>
      </w:r>
      <w:proofErr w:type="spellStart"/>
      <w:r>
        <w:rPr>
          <w:rtl/>
        </w:rPr>
        <w:t>בוולוז׳ין</w:t>
      </w:r>
      <w:proofErr w:type="spellEnd"/>
      <w:r>
        <w:rPr>
          <w:rtl/>
        </w:rPr>
        <w:t xml:space="preserve"> </w:t>
      </w:r>
      <w:proofErr w:type="spellStart"/>
      <w:r>
        <w:rPr>
          <w:rtl/>
        </w:rPr>
        <w:t>בתרמ״א</w:t>
      </w:r>
      <w:proofErr w:type="spellEnd"/>
      <w:r>
        <w:rPr>
          <w:rtl/>
        </w:rPr>
        <w:t>, בדיוק כמו שאני מציע, קצת פחות משנה אחרי שהתחיל ר׳ חיים למסור שיעורים בישיבה.</w:t>
      </w:r>
    </w:p>
    <w:p w14:paraId="6AFCC8FB" w14:textId="77777777" w:rsidR="00AB3647" w:rsidRDefault="00000000" w:rsidP="007923E9">
      <w:pPr>
        <w:pStyle w:val="4"/>
        <w:spacing w:line="276" w:lineRule="auto"/>
      </w:pPr>
      <w:r>
        <w:lastRenderedPageBreak/>
        <w:t>· הפסקה השמינית ·</w:t>
      </w:r>
    </w:p>
    <w:p w14:paraId="7EB73E57" w14:textId="77777777" w:rsidR="00AB3647" w:rsidRDefault="00000000" w:rsidP="007923E9">
      <w:pPr>
        <w:pStyle w:val="5"/>
        <w:spacing w:line="276" w:lineRule="auto"/>
      </w:pPr>
      <w:r>
        <w:rPr>
          <w:bCs/>
          <w:szCs w:val="26"/>
        </w:rPr>
        <w:t xml:space="preserve">מוצעים שני נימוקים להתנגדות ר׳ חיים </w:t>
      </w:r>
      <w:proofErr w:type="spellStart"/>
      <w:r>
        <w:rPr>
          <w:bCs/>
          <w:szCs w:val="26"/>
        </w:rPr>
        <w:t>סולובייצ׳יק</w:t>
      </w:r>
      <w:proofErr w:type="spellEnd"/>
      <w:r>
        <w:rPr>
          <w:bCs/>
          <w:szCs w:val="26"/>
        </w:rPr>
        <w:t xml:space="preserve"> למוסר – אישיותו בוודאי אינה הסיבה – ר׳ ישראל </w:t>
      </w:r>
      <w:proofErr w:type="spellStart"/>
      <w:r>
        <w:rPr>
          <w:bCs/>
          <w:szCs w:val="26"/>
        </w:rPr>
        <w:t>סלנטר</w:t>
      </w:r>
      <w:proofErr w:type="spellEnd"/>
      <w:r>
        <w:rPr>
          <w:bCs/>
          <w:szCs w:val="26"/>
        </w:rPr>
        <w:t xml:space="preserve"> מנסה ללא הצלחה לחדור לישיבת </w:t>
      </w:r>
      <w:proofErr w:type="spellStart"/>
      <w:r>
        <w:rPr>
          <w:bCs/>
          <w:szCs w:val="26"/>
        </w:rPr>
        <w:t>וולוז׳ין</w:t>
      </w:r>
      <w:proofErr w:type="spellEnd"/>
      <w:r>
        <w:rPr>
          <w:bCs/>
          <w:szCs w:val="26"/>
        </w:rPr>
        <w:t xml:space="preserve"> – ר׳ יוזל </w:t>
      </w:r>
      <w:proofErr w:type="spellStart"/>
      <w:r>
        <w:rPr>
          <w:bCs/>
          <w:szCs w:val="26"/>
        </w:rPr>
        <w:t>הורוויץ</w:t>
      </w:r>
      <w:proofErr w:type="spellEnd"/>
      <w:r>
        <w:rPr>
          <w:bCs/>
          <w:szCs w:val="26"/>
        </w:rPr>
        <w:t xml:space="preserve"> מנסה לשכנע את ר׳ חיים במעלת המוסר.</w:t>
      </w:r>
    </w:p>
    <w:p w14:paraId="56DF84DE" w14:textId="77777777" w:rsidR="00AB3647" w:rsidRDefault="00000000" w:rsidP="007923E9">
      <w:pPr>
        <w:spacing w:after="120" w:line="276" w:lineRule="auto"/>
        <w:ind w:firstLine="283"/>
        <w:jc w:val="both"/>
      </w:pPr>
      <w:r>
        <w:rPr>
          <w:rtl/>
        </w:rPr>
        <w:t xml:space="preserve">על דעת ר׳ חיים שהמוסר מזיק </w:t>
      </w:r>
      <w:proofErr w:type="spellStart"/>
      <w:r>
        <w:rPr>
          <w:rtl/>
        </w:rPr>
        <w:t>ל“בריאים</w:t>
      </w:r>
      <w:proofErr w:type="spellEnd"/>
      <w:r>
        <w:rPr>
          <w:rtl/>
        </w:rPr>
        <w:t xml:space="preserve">” השווה את המאמר “איש ההלכה” </w:t>
      </w:r>
      <w:proofErr w:type="spellStart"/>
      <w:r>
        <w:rPr>
          <w:rtl/>
        </w:rPr>
        <w:t>ב“תלפיות</w:t>
      </w:r>
      <w:proofErr w:type="spellEnd"/>
      <w:r>
        <w:rPr>
          <w:rtl/>
        </w:rPr>
        <w:t>”</w:t>
      </w:r>
      <w:bookmarkStart w:id="5424" w:name="_fnr4085"/>
      <w:r>
        <w:rPr>
          <w:vertAlign w:val="superscript"/>
          <w:rtl/>
        </w:rPr>
        <w:footnoteReference w:id="4095" w:customMarkFollows="0"/>
      </w:r>
      <w:bookmarkEnd w:id="5424"/>
      <w:r>
        <w:rPr>
          <w:rtl/>
        </w:rPr>
        <w:t xml:space="preserve">. שם משער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שהתנגדות סבו </w:t>
      </w:r>
      <w:proofErr w:type="spellStart"/>
      <w:r>
        <w:rPr>
          <w:rtl/>
        </w:rPr>
        <w:t>ל“מוסר</w:t>
      </w:r>
      <w:proofErr w:type="spellEnd"/>
      <w:r>
        <w:rPr>
          <w:rtl/>
        </w:rPr>
        <w:t xml:space="preserve"> בראשיתו”, כמו שהפיצו ר׳ </w:t>
      </w:r>
      <w:proofErr w:type="spellStart"/>
      <w:r>
        <w:rPr>
          <w:rtl/>
        </w:rPr>
        <w:t>איצל׳ה</w:t>
      </w:r>
      <w:proofErr w:type="spellEnd"/>
      <w:r>
        <w:rPr>
          <w:rtl/>
        </w:rPr>
        <w:t xml:space="preserve"> </w:t>
      </w:r>
      <w:proofErr w:type="spellStart"/>
      <w:r>
        <w:rPr>
          <w:rtl/>
        </w:rPr>
        <w:t>בלאזר</w:t>
      </w:r>
      <w:proofErr w:type="spellEnd"/>
      <w:r>
        <w:rPr>
          <w:rtl/>
        </w:rPr>
        <w:t xml:space="preserve">, נבעה מטעמים פילוסופיים, והוא ממשיך ומפרט אותם. ר׳ </w:t>
      </w:r>
      <w:proofErr w:type="spellStart"/>
      <w:r>
        <w:rPr>
          <w:rtl/>
        </w:rPr>
        <w:t xml:space="preserve">יוסף־דב</w:t>
      </w:r>
      <w:proofErr w:type="spellEnd"/>
      <w:r>
        <w:rPr>
          <w:rtl/>
        </w:rPr>
        <w:t xml:space="preserve"> משווה שם את גישתו של ר׳ </w:t>
      </w:r>
      <w:proofErr w:type="spellStart"/>
      <w:r>
        <w:rPr>
          <w:rtl/>
        </w:rPr>
        <w:t>איצל׳ה</w:t>
      </w:r>
      <w:proofErr w:type="spellEnd"/>
      <w:r>
        <w:rPr>
          <w:rtl/>
        </w:rPr>
        <w:t xml:space="preserve"> </w:t>
      </w:r>
      <w:proofErr w:type="spellStart"/>
      <w:r>
        <w:rPr>
          <w:rtl/>
        </w:rPr>
        <w:t>בלאזר</w:t>
      </w:r>
      <w:proofErr w:type="spellEnd"/>
      <w:r>
        <w:rPr>
          <w:rtl/>
        </w:rPr>
        <w:t xml:space="preserve"> למוסר לשינויים המאוחרים יותר שהנהיג ר׳ </w:t>
      </w:r>
      <w:proofErr w:type="spellStart"/>
      <w:r>
        <w:rPr>
          <w:rtl/>
        </w:rPr>
        <w:t>נתן־צבי</w:t>
      </w:r>
      <w:proofErr w:type="spellEnd"/>
      <w:r>
        <w:rPr>
          <w:rtl/>
        </w:rPr>
        <w:t xml:space="preserve"> </w:t>
      </w:r>
      <w:proofErr w:type="spellStart"/>
      <w:r>
        <w:rPr>
          <w:rtl/>
        </w:rPr>
        <w:t>פינקל</w:t>
      </w:r>
      <w:bookmarkStart w:id="5425" w:name="_fnr4086"/>
      <w:proofErr w:type="spellEnd"/>
      <w:r>
        <w:rPr>
          <w:vertAlign w:val="superscript"/>
          <w:rtl/>
        </w:rPr>
        <w:footnoteReference w:id="4096" w:customMarkFollows="0"/>
      </w:r>
      <w:bookmarkEnd w:id="5425"/>
      <w:r>
        <w:rPr>
          <w:rtl/>
        </w:rPr>
        <w:t>.</w:t>
      </w:r>
    </w:p>
    <w:p w14:paraId="57F91CD4" w14:textId="77777777" w:rsidR="00AB3647" w:rsidRDefault="00000000" w:rsidP="007923E9">
      <w:pPr>
        <w:spacing w:after="120" w:line="276" w:lineRule="auto"/>
        <w:ind w:firstLine="283"/>
        <w:jc w:val="both"/>
      </w:pPr>
      <w:r>
        <w:rPr>
          <w:rtl/>
        </w:rPr>
        <w:t xml:space="preserve">לפי ר׳ </w:t>
      </w:r>
      <w:proofErr w:type="spellStart"/>
      <w:r>
        <w:rPr>
          <w:rtl/>
        </w:rPr>
        <w:t>לייבל</w:t>
      </w:r>
      <w:proofErr w:type="spellEnd"/>
      <w:r>
        <w:rPr>
          <w:rtl/>
        </w:rPr>
        <w:t xml:space="preserve"> </w:t>
      </w:r>
      <w:proofErr w:type="spellStart"/>
      <w:r>
        <w:rPr>
          <w:rtl/>
        </w:rPr>
        <w:t>פרלשטיין</w:t>
      </w:r>
      <w:bookmarkStart w:id="5426" w:name="_fnr4087"/>
      <w:proofErr w:type="spellEnd"/>
      <w:r>
        <w:rPr>
          <w:vertAlign w:val="superscript"/>
          <w:rtl/>
        </w:rPr>
        <w:footnoteReference w:id="4097" w:customMarkFollows="0"/>
      </w:r>
      <w:bookmarkEnd w:id="5426"/>
      <w:r>
        <w:rPr>
          <w:rtl/>
        </w:rPr>
        <w:t xml:space="preserve">, אבי סבר שהתנגדות ר׳ חיים נבעה מן החשש שהפעלת השכל בתחום התובע מאמץ מחשבתי קטן מן העיון (שיטת הלימוד המיוחסת </w:t>
      </w:r>
      <w:proofErr w:type="spellStart"/>
      <w:r>
        <w:rPr>
          <w:rtl/>
        </w:rPr>
        <w:t>לר</w:t>
      </w:r>
      <w:proofErr w:type="spellEnd"/>
      <w:r>
        <w:rPr>
          <w:rtl/>
        </w:rPr>
        <w:t xml:space="preserve">׳ חיים </w:t>
      </w:r>
      <w:proofErr w:type="spellStart"/>
      <w:r>
        <w:rPr>
          <w:rtl/>
        </w:rPr>
        <w:t>סולובייצ׳יק</w:t>
      </w:r>
      <w:proofErr w:type="spellEnd"/>
      <w:r>
        <w:rPr>
          <w:rtl/>
        </w:rPr>
        <w:t xml:space="preserve">) בהלכה עלולה להרחיק אדם מיגיעת התורה בכלל. חיזוק להשערת רבנו נמצא כשציין ר׳ </w:t>
      </w:r>
      <w:proofErr w:type="spellStart"/>
      <w:r>
        <w:rPr>
          <w:rtl/>
        </w:rPr>
        <w:t>שמואל־דוד</w:t>
      </w:r>
      <w:proofErr w:type="spellEnd"/>
      <w:r>
        <w:rPr>
          <w:rtl/>
        </w:rPr>
        <w:t xml:space="preserve"> </w:t>
      </w:r>
      <w:proofErr w:type="spellStart"/>
      <w:r>
        <w:rPr>
          <w:rtl/>
        </w:rPr>
        <w:t>מובשוביץ</w:t>
      </w:r>
      <w:bookmarkStart w:id="5427" w:name="_fnr4088"/>
      <w:proofErr w:type="spellEnd"/>
      <w:r>
        <w:rPr>
          <w:vertAlign w:val="superscript"/>
          <w:rtl/>
        </w:rPr>
        <w:footnoteReference w:id="4098" w:customMarkFollows="0"/>
      </w:r>
      <w:bookmarkEnd w:id="5427"/>
      <w:r>
        <w:rPr>
          <w:rtl/>
        </w:rPr>
        <w:t xml:space="preserve"> שהיה נוכח פעם כשאמר ר׳ אברהם </w:t>
      </w:r>
      <w:proofErr w:type="spellStart"/>
      <w:r>
        <w:rPr>
          <w:rtl/>
        </w:rPr>
        <w:t>יופן</w:t>
      </w:r>
      <w:proofErr w:type="spellEnd"/>
      <w:r>
        <w:rPr>
          <w:rtl/>
        </w:rPr>
        <w:t xml:space="preserve"> </w:t>
      </w:r>
      <w:proofErr w:type="spellStart"/>
      <w:r>
        <w:rPr>
          <w:rtl/>
        </w:rPr>
        <w:t>לר</w:t>
      </w:r>
      <w:proofErr w:type="spellEnd"/>
      <w:r>
        <w:rPr>
          <w:rtl/>
        </w:rPr>
        <w:t xml:space="preserve">׳ </w:t>
      </w:r>
      <w:proofErr w:type="spellStart"/>
      <w:r>
        <w:rPr>
          <w:rtl/>
        </w:rPr>
        <w:t>חצקל</w:t>
      </w:r>
      <w:proofErr w:type="spellEnd"/>
      <w:r>
        <w:rPr>
          <w:rtl/>
        </w:rPr>
        <w:t xml:space="preserve"> </w:t>
      </w:r>
      <w:proofErr w:type="spellStart"/>
      <w:r>
        <w:rPr>
          <w:rtl/>
        </w:rPr>
        <w:t>סרנא</w:t>
      </w:r>
      <w:proofErr w:type="spellEnd"/>
      <w:r>
        <w:rPr>
          <w:rtl/>
        </w:rPr>
        <w:t xml:space="preserve"> – למורת רוחו של האחרון – שר׳ חיים סבר שאין לברך ברכת התורה על קריאת ספר “חובות הלבבות”. לא שר׳ חיים סבר שתוכנו אינו ראוי לברכה. להפך: לפי “פניני רבנו </w:t>
      </w:r>
      <w:proofErr w:type="spellStart"/>
      <w:r>
        <w:rPr>
          <w:rtl/>
        </w:rPr>
        <w:t>הגרי״ז</w:t>
      </w:r>
      <w:proofErr w:type="spellEnd"/>
      <w:r>
        <w:rPr>
          <w:rtl/>
        </w:rPr>
        <w:t>”</w:t>
      </w:r>
      <w:bookmarkStart w:id="5428" w:name="_fnr4089"/>
      <w:r>
        <w:rPr>
          <w:vertAlign w:val="superscript"/>
          <w:rtl/>
        </w:rPr>
        <w:footnoteReference w:id="4099" w:customMarkFollows="0"/>
      </w:r>
      <w:bookmarkEnd w:id="5428"/>
      <w:r>
        <w:rPr>
          <w:rtl/>
        </w:rPr>
        <w:t>, כשראה ר׳ חיים פעם את בנו הצעיר יצחק זאב לומד “חובות הלבבות” בשקידה, אמר בהסכמה: “למד, למד! חובות הלבבות הוא השולחן ערוך של היהדות.” דרך הלימוד של בעלי המוסר בספר – מתוך התעוררות, ולא מתוך עיון מחשבתי – היא שעמדה לנגד עיני ר׳ חיים כשפטר את קריאתו מברכת התורה.</w:t>
      </w:r>
    </w:p>
    <w:p w14:paraId="0AD3C53D" w14:textId="77777777" w:rsidR="00AB3647" w:rsidRDefault="00000000" w:rsidP="007923E9">
      <w:pPr>
        <w:spacing w:after="120" w:line="276" w:lineRule="auto"/>
        <w:ind w:firstLine="283"/>
        <w:jc w:val="both"/>
      </w:pPr>
      <w:r>
        <w:rPr>
          <w:rtl/>
        </w:rPr>
        <w:t xml:space="preserve">בדומה לכך, לפי ר׳ יחזקאל </w:t>
      </w:r>
      <w:proofErr w:type="spellStart"/>
      <w:r>
        <w:rPr>
          <w:rtl/>
        </w:rPr>
        <w:t>אברמסקי</w:t>
      </w:r>
      <w:bookmarkStart w:id="5429" w:name="_fnr4090"/>
      <w:proofErr w:type="spellEnd"/>
      <w:r>
        <w:rPr>
          <w:vertAlign w:val="superscript"/>
          <w:rtl/>
        </w:rPr>
        <w:footnoteReference w:id="4100" w:customMarkFollows="0"/>
      </w:r>
      <w:bookmarkEnd w:id="5429"/>
      <w:r>
        <w:rPr>
          <w:rtl/>
        </w:rPr>
        <w:t>, למד ר׳ חיים בְּעִיוּן את ענייני התורה המותרים בלימוד כשישב שבעה על קרוב. הוא עשה זאת אף שההלכה אוסרת ללמוד אפילו עניינים מצומצמים אלה בדרך של פלפול ועיון</w:t>
      </w:r>
      <w:bookmarkStart w:id="5430" w:name="_fnr4091"/>
      <w:r>
        <w:rPr>
          <w:vertAlign w:val="superscript"/>
          <w:rtl/>
        </w:rPr>
        <w:footnoteReference w:id="4101" w:customMarkFollows="0"/>
      </w:r>
      <w:bookmarkEnd w:id="5430"/>
      <w:r>
        <w:rPr>
          <w:rtl/>
        </w:rPr>
        <w:t>, משום שלימוד בלי התבוננות לא נחשב בעיניו לימוד תורה אמיתי כלל</w:t>
      </w:r>
      <w:bookmarkStart w:id="5431" w:name="_fnr4092"/>
      <w:r>
        <w:rPr>
          <w:vertAlign w:val="superscript"/>
          <w:rtl/>
        </w:rPr>
        <w:footnoteReference w:id="4102" w:customMarkFollows="0"/>
      </w:r>
      <w:bookmarkEnd w:id="5431"/>
      <w:r>
        <w:rPr>
          <w:rtl/>
        </w:rPr>
        <w:t>. ר׳ ישמעאל כהן סיפר</w:t>
      </w:r>
      <w:bookmarkStart w:id="5432" w:name="_fnr4093"/>
      <w:r>
        <w:rPr>
          <w:vertAlign w:val="superscript"/>
          <w:rtl/>
        </w:rPr>
        <w:footnoteReference w:id="4103" w:customMarkFollows="0"/>
      </w:r>
      <w:bookmarkEnd w:id="5432"/>
      <w:r>
        <w:rPr>
          <w:rtl/>
        </w:rPr>
        <w:t xml:space="preserve"> שכאשר שמע מרבו,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את הסיפור על הגאון מווילנה שלמד את מסכתות זבחים ומנחות בלילה אחד </w:t>
      </w:r>
      <w:r>
        <w:rPr>
          <w:rtl/>
        </w:rPr>
        <w:lastRenderedPageBreak/>
        <w:t xml:space="preserve">(ראה “הגאון החסיד </w:t>
      </w:r>
      <w:proofErr w:type="spellStart"/>
      <w:r>
        <w:rPr>
          <w:rtl/>
        </w:rPr>
        <w:t>מוילנא</w:t>
      </w:r>
      <w:proofErr w:type="spellEnd"/>
      <w:r>
        <w:rPr>
          <w:rtl/>
        </w:rPr>
        <w:t>”</w:t>
      </w:r>
      <w:bookmarkStart w:id="5433" w:name="_fnr4094"/>
      <w:r>
        <w:rPr>
          <w:vertAlign w:val="superscript"/>
          <w:rtl/>
        </w:rPr>
        <w:footnoteReference w:id="4104" w:customMarkFollows="0"/>
      </w:r>
      <w:bookmarkEnd w:id="5433"/>
      <w:r>
        <w:rPr>
          <w:rtl/>
        </w:rPr>
        <w:t>), שאל בספקנות: “והאם עבר עליהן בעיון?” רבו, נכדו של ר׳ חיים, השיב: “ישמעאל, מה השאלה? בלי עיון, אין זה נחשב לימוד!”</w:t>
      </w:r>
    </w:p>
    <w:p w14:paraId="79426EED" w14:textId="1167A554" w:rsidR="00AB3647" w:rsidRDefault="00000000" w:rsidP="007923E9">
      <w:pPr>
        <w:spacing w:after="120" w:line="276" w:lineRule="auto"/>
        <w:ind w:firstLine="283"/>
        <w:jc w:val="both"/>
      </w:pPr>
      <w:r>
        <w:rPr>
          <w:rtl/>
        </w:rPr>
        <w:t>אגב, לפי “הראשון”</w:t>
      </w:r>
      <w:bookmarkStart w:id="5434" w:name="_fnr4095"/>
      <w:r>
        <w:rPr>
          <w:vertAlign w:val="superscript"/>
          <w:rtl/>
        </w:rPr>
        <w:footnoteReference w:id="4105" w:customMarkFollows="0"/>
      </w:r>
      <w:bookmarkEnd w:id="5434"/>
      <w:r>
        <w:rPr>
          <w:rtl/>
        </w:rPr>
        <w:t xml:space="preserve">, הסתייגות מן המוסר ניכרה כבר אצל אחד מאבותיו של ר׳ חיים </w:t>
      </w:r>
      <w:proofErr w:type="spellStart"/>
      <w:r>
        <w:rPr>
          <w:rtl/>
        </w:rPr>
        <w:t>סולובייצ׳יק</w:t>
      </w:r>
      <w:proofErr w:type="spellEnd"/>
      <w:r>
        <w:rPr>
          <w:rtl/>
        </w:rPr>
        <w:t xml:space="preserve">, סבו מצד אביו, ר׳ </w:t>
      </w:r>
      <w:proofErr w:type="spellStart"/>
      <w:r>
        <w:rPr>
          <w:rtl/>
        </w:rPr>
        <w:t>יצחק־זאב</w:t>
      </w:r>
      <w:proofErr w:type="spellEnd"/>
      <w:r>
        <w:rPr>
          <w:rtl/>
        </w:rPr>
        <w:t xml:space="preserve">, הרב מטעם של קובנה, שתמך ברב העיר, ר׳ </w:t>
      </w:r>
      <w:proofErr w:type="spellStart"/>
      <w:r>
        <w:rPr>
          <w:rtl/>
        </w:rPr>
        <w:t>לייבל׳ה</w:t>
      </w:r>
      <w:proofErr w:type="spellEnd"/>
      <w:r>
        <w:rPr>
          <w:rtl/>
        </w:rPr>
        <w:t xml:space="preserve"> שפירא, נגד ר׳ ישראל </w:t>
      </w:r>
      <w:proofErr w:type="spellStart"/>
      <w:r>
        <w:rPr>
          <w:rtl/>
        </w:rPr>
        <w:t>סלנטר</w:t>
      </w:r>
      <w:proofErr w:type="spellEnd"/>
      <w:r>
        <w:rPr>
          <w:rtl/>
        </w:rPr>
        <w:t xml:space="preserve"> – ראה פרק 5, הפסקה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p w14:paraId="04A67C07" w14:textId="77777777" w:rsidR="00AB3647" w:rsidRDefault="00000000" w:rsidP="007923E9">
      <w:pPr>
        <w:spacing w:after="120" w:line="276" w:lineRule="auto"/>
        <w:ind w:firstLine="283"/>
        <w:jc w:val="both"/>
      </w:pPr>
      <w:r>
        <w:rPr>
          <w:rtl/>
        </w:rPr>
        <w:t xml:space="preserve">ההצעה </w:t>
      </w:r>
      <w:proofErr w:type="spellStart"/>
      <w:r>
        <w:rPr>
          <w:rtl/>
        </w:rPr>
        <w:t>ב“בני</w:t>
      </w:r>
      <w:proofErr w:type="spellEnd"/>
      <w:r>
        <w:rPr>
          <w:rtl/>
        </w:rPr>
        <w:t xml:space="preserve"> בינה” מאת חיים ראובן </w:t>
      </w:r>
      <w:proofErr w:type="spellStart"/>
      <w:r>
        <w:rPr>
          <w:rtl/>
        </w:rPr>
        <w:t>רבינוביץ</w:t>
      </w:r>
      <w:bookmarkStart w:id="5435" w:name="_fnr4096"/>
      <w:proofErr w:type="spellEnd"/>
      <w:r>
        <w:rPr>
          <w:vertAlign w:val="superscript"/>
          <w:rtl/>
        </w:rPr>
        <w:footnoteReference w:id="4106" w:customMarkFollows="0"/>
      </w:r>
      <w:bookmarkEnd w:id="5435"/>
      <w:r>
        <w:rPr>
          <w:rtl/>
        </w:rPr>
        <w:t>, שמזגו העליז הטבעי של ר׳ חיים גרם לסלידתו ממוסר, אינה סבירה ואינה ראויה לדיון. שהרי אף שהיה עליז מטבעו בילדותו</w:t>
      </w:r>
      <w:bookmarkStart w:id="5436" w:name="_fnr4097"/>
      <w:r>
        <w:rPr>
          <w:vertAlign w:val="superscript"/>
          <w:rtl/>
        </w:rPr>
        <w:footnoteReference w:id="4107" w:customMarkFollows="0"/>
      </w:r>
      <w:bookmarkEnd w:id="5436"/>
      <w:r>
        <w:rPr>
          <w:rtl/>
        </w:rPr>
        <w:t xml:space="preserve">, ר׳ חיים בגיל העמידה, אחרי תקופת </w:t>
      </w:r>
      <w:proofErr w:type="spellStart"/>
      <w:r>
        <w:rPr>
          <w:rtl/>
        </w:rPr>
        <w:t>וולוז׳ין</w:t>
      </w:r>
      <w:proofErr w:type="spellEnd"/>
      <w:r>
        <w:rPr>
          <w:rtl/>
        </w:rPr>
        <w:t xml:space="preserve">, מתואר </w:t>
      </w:r>
      <w:proofErr w:type="spellStart"/>
      <w:r>
        <w:rPr>
          <w:rtl/>
        </w:rPr>
        <w:t>ב“איש</w:t>
      </w:r>
      <w:proofErr w:type="spellEnd"/>
      <w:r>
        <w:rPr>
          <w:rtl/>
        </w:rPr>
        <w:t xml:space="preserve"> ההלכה”</w:t>
      </w:r>
      <w:bookmarkStart w:id="5437" w:name="_fnr4098"/>
      <w:r>
        <w:rPr>
          <w:vertAlign w:val="superscript"/>
          <w:rtl/>
        </w:rPr>
        <w:footnoteReference w:id="4108" w:customMarkFollows="0"/>
      </w:r>
      <w:bookmarkEnd w:id="5437"/>
      <w:r>
        <w:rPr>
          <w:rtl/>
        </w:rPr>
        <w:t xml:space="preserve"> כמהורהר ונוטה מעט למלנכוליה – שינוי שוודאי כבר החל להתפתח בו בבגרותו, עד שערך ר׳ </w:t>
      </w:r>
      <w:proofErr w:type="spellStart"/>
      <w:r>
        <w:rPr>
          <w:rtl/>
        </w:rPr>
        <w:t>איצל׳ה</w:t>
      </w:r>
      <w:proofErr w:type="spellEnd"/>
      <w:r>
        <w:rPr>
          <w:rtl/>
        </w:rPr>
        <w:t xml:space="preserve"> את ביקורו </w:t>
      </w:r>
      <w:proofErr w:type="spellStart"/>
      <w:r>
        <w:rPr>
          <w:rtl/>
        </w:rPr>
        <w:t>בוולוז׳ין</w:t>
      </w:r>
      <w:proofErr w:type="spellEnd"/>
      <w:r>
        <w:rPr>
          <w:rtl/>
        </w:rPr>
        <w:t>.</w:t>
      </w:r>
    </w:p>
    <w:p w14:paraId="01F0CAD3" w14:textId="77777777" w:rsidR="00AB3647" w:rsidRDefault="00000000" w:rsidP="007923E9">
      <w:pPr>
        <w:spacing w:after="120" w:line="276" w:lineRule="auto"/>
        <w:ind w:firstLine="283"/>
        <w:jc w:val="both"/>
      </w:pPr>
      <w:r>
        <w:rPr>
          <w:rtl/>
        </w:rPr>
        <w:t>אבל השווה “</w:t>
      </w:r>
      <w:proofErr w:type="spellStart"/>
      <w:r>
        <w:rPr>
          <w:rtl/>
        </w:rPr>
        <w:t>מוולוז׳ין</w:t>
      </w:r>
      <w:proofErr w:type="spellEnd"/>
      <w:r>
        <w:rPr>
          <w:rtl/>
        </w:rPr>
        <w:t>”</w:t>
      </w:r>
      <w:bookmarkStart w:id="5438" w:name="_fnr4099"/>
      <w:r>
        <w:rPr>
          <w:vertAlign w:val="superscript"/>
          <w:rtl/>
        </w:rPr>
        <w:footnoteReference w:id="4109" w:customMarkFollows="0"/>
      </w:r>
      <w:bookmarkEnd w:id="5438"/>
      <w:r>
        <w:rPr>
          <w:rtl/>
        </w:rPr>
        <w:t xml:space="preserve">, הקובע שהמעבר מראשות ישיבה לרבנות שינה לגמרי את מזגו של ר׳ חיים: “ר׳ חיים ראש הישיבה היה תמיד שמח, מלא חיים, מתלוצץ ומשעשע ברמה הגבוהה ביותר. ר׳ חיים הרב היה מודאג, מכונס בעצמו ומאופק יותר. למי שהכיר את ר׳ חיים </w:t>
      </w:r>
      <w:proofErr w:type="spellStart"/>
      <w:r>
        <w:rPr>
          <w:rtl/>
        </w:rPr>
        <w:t>בוולוז׳ין</w:t>
      </w:r>
      <w:proofErr w:type="spellEnd"/>
      <w:r>
        <w:rPr>
          <w:rtl/>
        </w:rPr>
        <w:t xml:space="preserve"> וראהו לראשונה </w:t>
      </w:r>
      <w:proofErr w:type="spellStart"/>
      <w:r>
        <w:rPr>
          <w:rtl/>
        </w:rPr>
        <w:t>בבריסק</w:t>
      </w:r>
      <w:proofErr w:type="spellEnd"/>
      <w:r>
        <w:rPr>
          <w:rtl/>
        </w:rPr>
        <w:t>, היה הדבר קשה מנשוא [</w:t>
      </w:r>
      <w:proofErr w:type="spellStart"/>
      <w:r>
        <w:rPr>
          <w:rtl/>
        </w:rPr>
        <w:t>שווער</w:t>
      </w:r>
      <w:proofErr w:type="spellEnd"/>
      <w:r>
        <w:rPr>
          <w:rtl/>
        </w:rPr>
        <w:t xml:space="preserve"> </w:t>
      </w:r>
      <w:proofErr w:type="spellStart"/>
      <w:r>
        <w:rPr>
          <w:rtl/>
        </w:rPr>
        <w:t>אויפן</w:t>
      </w:r>
      <w:proofErr w:type="spellEnd"/>
      <w:r>
        <w:rPr>
          <w:rtl/>
        </w:rPr>
        <w:t xml:space="preserve"> הארצען, מילולית: כבד על הלב]; הוא ביקש וחיפש את הימים הטובים ההם.” אם כך, אפשר שמזגו העליז הטבעי אכן גרם לסלידתו ממוסר – כטענת “בני בינה” – כל עוד היה </w:t>
      </w:r>
      <w:proofErr w:type="spellStart"/>
      <w:r>
        <w:rPr>
          <w:rtl/>
        </w:rPr>
        <w:t>בוולוז׳ין</w:t>
      </w:r>
      <w:proofErr w:type="spellEnd"/>
      <w:r>
        <w:rPr>
          <w:rtl/>
        </w:rPr>
        <w:t>.</w:t>
      </w:r>
    </w:p>
    <w:p w14:paraId="0DA1AF90" w14:textId="77777777" w:rsidR="00AB3647" w:rsidRDefault="00000000" w:rsidP="007923E9">
      <w:pPr>
        <w:spacing w:after="120" w:line="276" w:lineRule="auto"/>
        <w:ind w:firstLine="283"/>
        <w:jc w:val="both"/>
      </w:pPr>
      <w:r>
        <w:rPr>
          <w:rtl/>
        </w:rPr>
        <w:t xml:space="preserve">אבל הדבר יכול להסביר רק את הימנעותו האישית ממוסר, ואינו מסביר מדוע לא התיר לכלל התלמידים ללמוד אותו; ודאי היה ברור </w:t>
      </w:r>
      <w:proofErr w:type="spellStart"/>
      <w:r>
        <w:rPr>
          <w:rtl/>
        </w:rPr>
        <w:t>לר</w:t>
      </w:r>
      <w:proofErr w:type="spellEnd"/>
      <w:r>
        <w:rPr>
          <w:rtl/>
        </w:rPr>
        <w:t xml:space="preserve">׳ חיים שרוב תלמידי </w:t>
      </w:r>
      <w:proofErr w:type="spellStart"/>
      <w:r>
        <w:rPr>
          <w:rtl/>
        </w:rPr>
        <w:t>וולוז׳ין</w:t>
      </w:r>
      <w:proofErr w:type="spellEnd"/>
      <w:r>
        <w:rPr>
          <w:rtl/>
        </w:rPr>
        <w:t xml:space="preserve">, חתך רגיל של החברה היהודית, לא היו שותפים להלך רוחו העליז. הדבר גם לא יסביר מדוע התנגד ר׳ חיים למוסר שנים רבות אחרי שעזב את </w:t>
      </w:r>
      <w:proofErr w:type="spellStart"/>
      <w:r>
        <w:rPr>
          <w:rtl/>
        </w:rPr>
        <w:t>וולוז׳ין</w:t>
      </w:r>
      <w:proofErr w:type="spellEnd"/>
      <w:r>
        <w:rPr>
          <w:rtl/>
        </w:rPr>
        <w:t xml:space="preserve"> – ראה עמ׳ </w:t>
      </w:r>
      <w:r>
        <w:rPr>
          <w:rtl/>
        </w:rPr>
        <w:fldChar w:fldCharType="begin" w:dirty="true"/>
      </w:r>
      <w:r>
        <w:rPr>
          <w:rtl/>
        </w:rPr>
        <w:instrText xml:space="preserve"> PAGEREF pr_b_1256 \h </w:instrText>
      </w:r>
      <w:r>
        <w:rPr>
          <w:rtl/>
        </w:rPr>
      </w:r>
      <w:r>
        <w:rPr>
          <w:rtl/>
        </w:rPr>
        <w:fldChar w:fldCharType="separate"/>
      </w:r>
      <w:r w:rsidR="007923E9">
        <w:rPr>
          <w:noProof/>
          <w:rtl/>
        </w:rPr>
        <w:t>1</w:t>
      </w:r>
      <w:r>
        <w:rPr>
          <w:rtl/>
        </w:rPr>
        <w:fldChar w:fldCharType="end"/>
      </w:r>
      <w:r>
        <w:rPr>
          <w:rtl/>
        </w:rPr>
        <w:t xml:space="preserve"> על יחסו חמש שנים אחרי שנעשה רבה של </w:t>
      </w:r>
      <w:proofErr w:type="spellStart"/>
      <w:r>
        <w:rPr>
          <w:rtl/>
        </w:rPr>
        <w:t>בריסק</w:t>
      </w:r>
      <w:proofErr w:type="spellEnd"/>
      <w:r>
        <w:rPr>
          <w:rtl/>
        </w:rPr>
        <w:t>, ופרק 3, תחילת הערה 138, ועוד, על תקופה מאוחרת יותר בעשר שנים</w:t>
      </w:r>
      <w:hyperlink w:anchor="b3_note138" w:history="1">
        <w:r w:rsidR="007923E9" w:rsidRPr="007923E9">
          <w:rPr>
            <w:rStyle w:val="Hyperlink"/>
          </w:rPr>
          <w:t xml:space="preserve"/>
        </w:r>
      </w:hyperlink>
      <w:r>
        <w:rPr>
          <w:rtl/>
        </w:rPr>
        <w:t>. כנראה נשאר מתנגד למוסר כל ימיו.</w:t>
      </w:r>
    </w:p>
    <w:p w14:paraId="0ED8CF8E"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סיפר</w:t>
      </w:r>
      <w:bookmarkStart w:id="5439" w:name="_fnr4100"/>
      <w:r>
        <w:rPr>
          <w:vertAlign w:val="superscript"/>
          <w:rtl/>
        </w:rPr>
        <w:footnoteReference w:id="4110" w:customMarkFollows="0"/>
      </w:r>
      <w:bookmarkEnd w:id="5439"/>
      <w:r>
        <w:rPr>
          <w:rtl/>
        </w:rPr>
        <w:t xml:space="preserve"> בשם אביו, ר׳ </w:t>
      </w:r>
      <w:proofErr w:type="spellStart"/>
      <w:r>
        <w:rPr>
          <w:rtl/>
        </w:rPr>
        <w:t>חצקל</w:t>
      </w:r>
      <w:proofErr w:type="spellEnd"/>
      <w:r>
        <w:rPr>
          <w:rtl/>
        </w:rPr>
        <w:t xml:space="preserve">, שר׳ ישראל </w:t>
      </w:r>
      <w:proofErr w:type="spellStart"/>
      <w:r>
        <w:rPr>
          <w:rtl/>
        </w:rPr>
        <w:t>סלנטר</w:t>
      </w:r>
      <w:proofErr w:type="spellEnd"/>
      <w:r>
        <w:rPr>
          <w:rtl/>
        </w:rPr>
        <w:t xml:space="preserve"> פנה פעם </w:t>
      </w:r>
      <w:proofErr w:type="spellStart"/>
      <w:r>
        <w:rPr>
          <w:rtl/>
        </w:rPr>
        <w:t>לנצי״ב</w:t>
      </w:r>
      <w:proofErr w:type="spellEnd"/>
      <w:r>
        <w:rPr>
          <w:rtl/>
        </w:rPr>
        <w:t xml:space="preserve"> והציע לשמש משגיח בישיבת </w:t>
      </w:r>
      <w:proofErr w:type="spellStart"/>
      <w:r>
        <w:rPr>
          <w:rtl/>
        </w:rPr>
        <w:t>וולוז׳ין</w:t>
      </w:r>
      <w:proofErr w:type="spellEnd"/>
      <w:r>
        <w:rPr>
          <w:rtl/>
        </w:rPr>
        <w:t xml:space="preserve">. </w:t>
      </w:r>
      <w:proofErr w:type="spellStart"/>
      <w:r>
        <w:rPr>
          <w:rtl/>
        </w:rPr>
        <w:t>הנצי״ב</w:t>
      </w:r>
      <w:proofErr w:type="spellEnd"/>
      <w:r>
        <w:rPr>
          <w:rtl/>
        </w:rPr>
        <w:t xml:space="preserve"> אמר לו שהוא מוזמן לבוא, אבל אם יבוא, ייאלץ הוא, </w:t>
      </w:r>
      <w:proofErr w:type="spellStart"/>
      <w:r>
        <w:rPr>
          <w:rtl/>
        </w:rPr>
        <w:t>הנצי״ב</w:t>
      </w:r>
      <w:proofErr w:type="spellEnd"/>
      <w:r>
        <w:rPr>
          <w:rtl/>
        </w:rPr>
        <w:t>, לעזוב את הישיבה. מובן שבכך סוכל ניסיונו של ר׳ ישראל להכניס בעצמו את המוסר למעוז הלמדנות התורנית.</w:t>
      </w:r>
    </w:p>
    <w:p w14:paraId="2E9F3375" w14:textId="503E51B2" w:rsidR="00AB3647" w:rsidRDefault="00000000" w:rsidP="007923E9">
      <w:pPr>
        <w:spacing w:after="120" w:line="276" w:lineRule="auto"/>
        <w:ind w:firstLine="283"/>
        <w:jc w:val="both"/>
      </w:pPr>
      <w:r>
        <w:rPr>
          <w:rtl/>
        </w:rPr>
        <w:t xml:space="preserve">עובדה זו, שבדרך כלל אינה ידועה, מביאה לידי השערה שניסיונו של ר׳ </w:t>
      </w:r>
      <w:proofErr w:type="spellStart"/>
      <w:r>
        <w:rPr>
          <w:rtl/>
        </w:rPr>
        <w:t>אלכסנדר־משה</w:t>
      </w:r>
      <w:proofErr w:type="spellEnd"/>
      <w:r>
        <w:rPr>
          <w:rtl/>
        </w:rPr>
        <w:t xml:space="preserve"> לפידות להקים את הכולל </w:t>
      </w:r>
      <w:proofErr w:type="spellStart"/>
      <w:r>
        <w:rPr>
          <w:rtl/>
        </w:rPr>
        <w:t>בוולוז׳ין</w:t>
      </w:r>
      <w:proofErr w:type="spellEnd"/>
      <w:r>
        <w:rPr>
          <w:rtl/>
        </w:rPr>
        <w:t xml:space="preserve">, ולא בקובנה, לא היה אלא עוד ניסיון של רבו, ר׳ ישראל, לחדור </w:t>
      </w:r>
      <w:proofErr w:type="spellStart"/>
      <w:r>
        <w:rPr>
          <w:rtl/>
        </w:rPr>
        <w:t>לוולוז׳ין</w:t>
      </w:r>
      <w:proofErr w:type="spellEnd"/>
      <w:r>
        <w:rPr>
          <w:rtl/>
        </w:rPr>
        <w:t xml:space="preserve">. הכוונה לכולל שנתמך בידי לחמן ונשלט בידי בעלי המוסר, בניהולו של ר׳ </w:t>
      </w:r>
      <w:proofErr w:type="spellStart"/>
      <w:r>
        <w:rPr>
          <w:rtl/>
        </w:rPr>
        <w:lastRenderedPageBreak/>
        <w:t>חיים־הלל</w:t>
      </w:r>
      <w:proofErr w:type="spellEnd"/>
      <w:r>
        <w:rPr>
          <w:rtl/>
        </w:rPr>
        <w:t xml:space="preserve"> פריד החולה</w:t>
      </w:r>
      <w:bookmarkStart w:id="5440" w:name="_fnr4101"/>
      <w:r>
        <w:rPr>
          <w:vertAlign w:val="superscript"/>
          <w:rtl/>
        </w:rPr>
        <w:footnoteReference w:id="4111" w:customMarkFollows="0"/>
      </w:r>
      <w:bookmarkEnd w:id="5440"/>
      <w:r>
        <w:rPr>
          <w:rtl/>
        </w:rPr>
        <w:t xml:space="preserve">, וכפי הנראה החלש (השווה פרק 3, הפסקה הראשונה של </w:t>
      </w:r>
      <w:r>
        <w:rPr>
          <w:rtl/>
        </w:rPr>
        <w:fldChar w:fldCharType="begin" w:dirty="true"/>
      </w:r>
      <w:r>
        <w:rPr>
          <w:rtl/>
        </w:rPr>
        <w:instrText xml:space="preserve"> REF b3_excA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השערה זו פותרת את החידה שהעלה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5441" w:name="_fnr4102"/>
      <w:r>
        <w:rPr>
          <w:vertAlign w:val="superscript"/>
          <w:rtl/>
        </w:rPr>
        <w:footnoteReference w:id="4112" w:customMarkFollows="0"/>
      </w:r>
      <w:bookmarkEnd w:id="5441"/>
      <w:r>
        <w:rPr>
          <w:rtl/>
        </w:rPr>
        <w:t xml:space="preserve">, והשאיר בלי פתרון: מדוע ביטל הרב לפידות את התוכנית להקים את הכולל </w:t>
      </w:r>
      <w:proofErr w:type="spellStart"/>
      <w:r>
        <w:rPr>
          <w:rtl/>
        </w:rPr>
        <w:t>בוולוז׳ין</w:t>
      </w:r>
      <w:proofErr w:type="spellEnd"/>
      <w:r>
        <w:rPr>
          <w:rtl/>
        </w:rPr>
        <w:t xml:space="preserve"> כשעמד </w:t>
      </w:r>
      <w:proofErr w:type="spellStart"/>
      <w:r>
        <w:rPr>
          <w:rtl/>
        </w:rPr>
        <w:t>הנצי״ב</w:t>
      </w:r>
      <w:proofErr w:type="spellEnd"/>
      <w:r>
        <w:rPr>
          <w:rtl/>
        </w:rPr>
        <w:t xml:space="preserve"> על כך שישתתף בניהולו. מסירת שליטה בכולל </w:t>
      </w:r>
      <w:proofErr w:type="spellStart"/>
      <w:r>
        <w:rPr>
          <w:rtl/>
        </w:rPr>
        <w:t>לנצי״ב</w:t>
      </w:r>
      <w:proofErr w:type="spellEnd"/>
      <w:r>
        <w:rPr>
          <w:rtl/>
        </w:rPr>
        <w:t xml:space="preserve">, שהתנגד למוסר בחריפות, הייתה מבטלת לגמרי את התכלית היסודית של הקמתו </w:t>
      </w:r>
      <w:proofErr w:type="spellStart"/>
      <w:r>
        <w:rPr>
          <w:rtl/>
        </w:rPr>
        <w:t>בוולוז׳ין</w:t>
      </w:r>
      <w:proofErr w:type="spellEnd"/>
      <w:r>
        <w:rPr>
          <w:rtl/>
        </w:rPr>
        <w:t>.</w:t>
      </w:r>
    </w:p>
    <w:p w14:paraId="2C85E42D" w14:textId="01D0ECC3" w:rsidR="00AB3647" w:rsidRDefault="00000000" w:rsidP="007923E9">
      <w:pPr>
        <w:spacing w:after="120" w:line="276" w:lineRule="auto"/>
        <w:ind w:firstLine="283"/>
        <w:jc w:val="both"/>
      </w:pPr>
      <w:r>
        <w:rPr>
          <w:rtl/>
        </w:rPr>
        <w:t xml:space="preserve">השווה גם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המביא גרסה שבספרו של כץ, “תנועת המוסר”, כרך ב</w:t>
      </w:r>
      <w:bookmarkStart w:id="5442" w:name="_fnr4103"/>
      <w:r>
        <w:rPr>
          <w:vertAlign w:val="superscript"/>
          <w:rtl/>
        </w:rPr>
        <w:footnoteReference w:id="4113" w:customMarkFollows="0"/>
      </w:r>
      <w:bookmarkEnd w:id="5442"/>
      <w:r>
        <w:rPr>
          <w:rtl/>
        </w:rPr>
        <w:t xml:space="preserve">, שלפיה ניסה ר׳ ישראל להביא למינויו של בוגר </w:t>
      </w:r>
      <w:proofErr w:type="spellStart"/>
      <w:r>
        <w:rPr>
          <w:rtl/>
        </w:rPr>
        <w:t>וולוז׳ין</w:t>
      </w:r>
      <w:proofErr w:type="spellEnd"/>
      <w:r>
        <w:rPr>
          <w:rtl/>
        </w:rPr>
        <w:t xml:space="preserve">, ר׳ לייזר </w:t>
      </w:r>
      <w:proofErr w:type="spellStart"/>
      <w:r>
        <w:rPr>
          <w:rtl/>
        </w:rPr>
        <w:t>שולביץ</w:t>
      </w:r>
      <w:proofErr w:type="spellEnd"/>
      <w:r>
        <w:rPr>
          <w:rtl/>
        </w:rPr>
        <w:t xml:space="preserve">, למשגיח שם – אומנם מן הסוג המפקח. תכליתו של ר׳ ישראל הייתה ללא ספק להחדיר את המוסר </w:t>
      </w:r>
      <w:proofErr w:type="spellStart"/>
      <w:r>
        <w:rPr>
          <w:rtl/>
        </w:rPr>
        <w:t>לוולוז׳ין</w:t>
      </w:r>
      <w:proofErr w:type="spellEnd"/>
      <w:r>
        <w:rPr>
          <w:rtl/>
        </w:rPr>
        <w:t xml:space="preserve"> באמצעות חסיד המוסר הנלהב ר׳ לייזר </w:t>
      </w:r>
      <w:proofErr w:type="spellStart"/>
      <w:r>
        <w:rPr>
          <w:rtl/>
        </w:rPr>
        <w:t>שולביץ</w:t>
      </w:r>
      <w:proofErr w:type="spellEnd"/>
      <w:r>
        <w:rPr>
          <w:rtl/>
        </w:rPr>
        <w:t xml:space="preserve">, וזו בדיוק הייתה הסיבה </w:t>
      </w:r>
      <w:proofErr w:type="spellStart"/>
      <w:r>
        <w:rPr>
          <w:rtl/>
        </w:rPr>
        <w:t>שהנצי״ב</w:t>
      </w:r>
      <w:proofErr w:type="spellEnd"/>
      <w:r>
        <w:rPr>
          <w:rtl/>
        </w:rPr>
        <w:t xml:space="preserve"> דחה את המינוי.</w:t>
      </w:r>
    </w:p>
    <w:p w14:paraId="278F4F91" w14:textId="77777777" w:rsidR="00AB3647" w:rsidRDefault="00000000" w:rsidP="007923E9">
      <w:pPr>
        <w:spacing w:after="120" w:line="276" w:lineRule="auto"/>
        <w:ind w:firstLine="283"/>
        <w:jc w:val="both"/>
      </w:pPr>
      <w:r>
        <w:rPr>
          <w:rtl/>
        </w:rPr>
        <w:t xml:space="preserve">ר׳ אברהם </w:t>
      </w:r>
      <w:proofErr w:type="spellStart"/>
      <w:r>
        <w:rPr>
          <w:rtl/>
        </w:rPr>
        <w:t>יופן</w:t>
      </w:r>
      <w:proofErr w:type="spellEnd"/>
      <w:r>
        <w:rPr>
          <w:rtl/>
        </w:rPr>
        <w:t xml:space="preserve"> כתב על תוכן דרשתו של ר׳ </w:t>
      </w:r>
      <w:proofErr w:type="spellStart"/>
      <w:r>
        <w:rPr>
          <w:rtl/>
        </w:rPr>
        <w:t>איצל׳ה</w:t>
      </w:r>
      <w:proofErr w:type="spellEnd"/>
      <w:r>
        <w:rPr>
          <w:rtl/>
        </w:rPr>
        <w:t xml:space="preserve"> </w:t>
      </w:r>
      <w:proofErr w:type="spellStart"/>
      <w:r>
        <w:rPr>
          <w:rtl/>
        </w:rPr>
        <w:t>בוולוז׳ין</w:t>
      </w:r>
      <w:proofErr w:type="spellEnd"/>
      <w:r>
        <w:rPr>
          <w:rtl/>
        </w:rPr>
        <w:t xml:space="preserve">, בשם “תלמיד חכם שלמד </w:t>
      </w:r>
      <w:proofErr w:type="spellStart"/>
      <w:r>
        <w:rPr>
          <w:rtl/>
        </w:rPr>
        <w:t>בוולוז׳ין</w:t>
      </w:r>
      <w:proofErr w:type="spellEnd"/>
      <w:r>
        <w:rPr>
          <w:rtl/>
        </w:rPr>
        <w:t xml:space="preserve">” באותה עת וזכר חלק מן הדרשה, כמו שמובא </w:t>
      </w:r>
      <w:proofErr w:type="spellStart"/>
      <w:r>
        <w:rPr>
          <w:rtl/>
        </w:rPr>
        <w:t>ב“המוסר</w:t>
      </w:r>
      <w:proofErr w:type="spellEnd"/>
      <w:r>
        <w:rPr>
          <w:rtl/>
        </w:rPr>
        <w:t xml:space="preserve"> והדעת”</w:t>
      </w:r>
      <w:bookmarkStart w:id="5443" w:name="_fnr4104"/>
      <w:r>
        <w:rPr>
          <w:vertAlign w:val="superscript"/>
          <w:rtl/>
        </w:rPr>
        <w:footnoteReference w:id="4114" w:customMarkFollows="0"/>
      </w:r>
      <w:bookmarkEnd w:id="5443"/>
      <w:r>
        <w:rPr>
          <w:rtl/>
        </w:rPr>
        <w:t xml:space="preserve">. מדבריו נראה שעיקרה המעשי של הדרשה בישיבה היה שחיוני למנות משגיח. כמובן, ר׳ </w:t>
      </w:r>
      <w:proofErr w:type="spellStart"/>
      <w:r>
        <w:rPr>
          <w:rtl/>
        </w:rPr>
        <w:t>איצל׳ה</w:t>
      </w:r>
      <w:proofErr w:type="spellEnd"/>
      <w:r>
        <w:rPr>
          <w:rtl/>
        </w:rPr>
        <w:t xml:space="preserve"> התכוון למשגיח כמנהל רוחני, מן הסוג שחידשה תנועת המוסר; המשגיח מן הסוג האחר, שתפקידו היה פיקוח בלבד, כבר נמנה עם סגל ישיבת </w:t>
      </w:r>
      <w:proofErr w:type="spellStart"/>
      <w:r>
        <w:rPr>
          <w:rtl/>
        </w:rPr>
        <w:t>וולוז׳ין</w:t>
      </w:r>
      <w:proofErr w:type="spellEnd"/>
      <w:r>
        <w:rPr>
          <w:rtl/>
        </w:rPr>
        <w:t xml:space="preserve"> בעת דרשת ר׳ </w:t>
      </w:r>
      <w:proofErr w:type="spellStart"/>
      <w:r>
        <w:rPr>
          <w:rtl/>
        </w:rPr>
        <w:t>איצל׳ה</w:t>
      </w:r>
      <w:proofErr w:type="spellEnd"/>
      <w:r>
        <w:rPr>
          <w:rtl/>
        </w:rPr>
        <w:t xml:space="preserve">, כמו שהיה מאז ימיו של חותן </w:t>
      </w:r>
      <w:proofErr w:type="spellStart"/>
      <w:r>
        <w:rPr>
          <w:rtl/>
        </w:rPr>
        <w:t>הנצי״ב</w:t>
      </w:r>
      <w:proofErr w:type="spellEnd"/>
      <w:r>
        <w:rPr>
          <w:rtl/>
        </w:rPr>
        <w:t xml:space="preserve">, ר׳ </w:t>
      </w:r>
      <w:proofErr w:type="spellStart"/>
      <w:r>
        <w:rPr>
          <w:rtl/>
        </w:rPr>
        <w:t>איצל׳ה</w:t>
      </w:r>
      <w:bookmarkStart w:id="5444" w:name="_fnr4105"/>
      <w:proofErr w:type="spellEnd"/>
      <w:r>
        <w:rPr>
          <w:vertAlign w:val="superscript"/>
          <w:rtl/>
        </w:rPr>
        <w:footnoteReference w:id="4115" w:customMarkFollows="0"/>
      </w:r>
      <w:bookmarkEnd w:id="5444"/>
      <w:r>
        <w:rPr>
          <w:rtl/>
        </w:rPr>
        <w:t>.</w:t>
      </w:r>
    </w:p>
    <w:p w14:paraId="3FEC3083" w14:textId="77777777" w:rsidR="00AB3647" w:rsidRDefault="00000000" w:rsidP="007923E9">
      <w:pPr>
        <w:spacing w:after="120" w:line="276" w:lineRule="auto"/>
        <w:ind w:firstLine="283"/>
        <w:jc w:val="both"/>
      </w:pPr>
      <w:r>
        <w:rPr>
          <w:rtl/>
        </w:rPr>
        <w:t>אבי גם סיפר</w:t>
      </w:r>
      <w:bookmarkStart w:id="5445" w:name="_fnr4106"/>
      <w:r>
        <w:rPr>
          <w:vertAlign w:val="superscript"/>
          <w:rtl/>
        </w:rPr>
        <w:footnoteReference w:id="4116" w:customMarkFollows="0"/>
      </w:r>
      <w:bookmarkEnd w:id="5445"/>
      <w:r>
        <w:rPr>
          <w:rtl/>
        </w:rPr>
        <w:t xml:space="preserve"> שר׳ יוזל </w:t>
      </w:r>
      <w:proofErr w:type="spellStart"/>
      <w:r>
        <w:rPr>
          <w:rtl/>
        </w:rPr>
        <w:t>הורוויץ</w:t>
      </w:r>
      <w:proofErr w:type="spellEnd"/>
      <w:r>
        <w:rPr>
          <w:rtl/>
        </w:rPr>
        <w:t xml:space="preserve"> </w:t>
      </w:r>
      <w:proofErr w:type="spellStart"/>
      <w:r>
        <w:rPr>
          <w:rtl/>
        </w:rPr>
        <w:t>מנובהרדוק</w:t>
      </w:r>
      <w:proofErr w:type="spellEnd"/>
      <w:r>
        <w:rPr>
          <w:rtl/>
        </w:rPr>
        <w:t xml:space="preserve"> בא פעם </w:t>
      </w:r>
      <w:proofErr w:type="spellStart"/>
      <w:r>
        <w:rPr>
          <w:rtl/>
        </w:rPr>
        <w:t>לר</w:t>
      </w:r>
      <w:proofErr w:type="spellEnd"/>
      <w:r>
        <w:rPr>
          <w:rtl/>
        </w:rPr>
        <w:t xml:space="preserve">׳ חיים </w:t>
      </w:r>
      <w:proofErr w:type="spellStart"/>
      <w:r>
        <w:rPr>
          <w:rtl/>
        </w:rPr>
        <w:t>סולובייצ׳יק</w:t>
      </w:r>
      <w:proofErr w:type="spellEnd"/>
      <w:r>
        <w:rPr>
          <w:rtl/>
        </w:rPr>
        <w:t xml:space="preserve"> וניסה לשכנעו בצדקת המוסר, ור׳ חיים אמר אחר כך: “מה בדיוק רצה אורחי, איני יודע – מלבד זאת שניסה להטעות אותי.” ר׳ יוזל, שוודאי ידע על כישלון ניסיונו של רבו, ר׳ </w:t>
      </w:r>
      <w:proofErr w:type="spellStart"/>
      <w:r>
        <w:rPr>
          <w:rtl/>
        </w:rPr>
        <w:t>איצל׳ה</w:t>
      </w:r>
      <w:proofErr w:type="spellEnd"/>
      <w:r>
        <w:rPr>
          <w:rtl/>
        </w:rPr>
        <w:t xml:space="preserve">, לרכוש את לב ר׳ חיים </w:t>
      </w:r>
      <w:proofErr w:type="spellStart"/>
      <w:r>
        <w:rPr>
          <w:rtl/>
        </w:rPr>
        <w:t>סולובייצ׳יק</w:t>
      </w:r>
      <w:proofErr w:type="spellEnd"/>
      <w:r>
        <w:rPr>
          <w:rtl/>
        </w:rPr>
        <w:t xml:space="preserve"> </w:t>
      </w:r>
      <w:proofErr w:type="spellStart"/>
      <w:r>
        <w:rPr>
          <w:rtl/>
        </w:rPr>
        <w:t>בוולוז׳ין</w:t>
      </w:r>
      <w:proofErr w:type="spellEnd"/>
      <w:r>
        <w:rPr>
          <w:rtl/>
        </w:rPr>
        <w:t>, אולי ניסה להלביש את המוסר בלבוש שונה לגמרי, כדי לזכות באישורו של ר׳ חיים במועד המאוחר יותר. הצגה מטעה מסוג זה היא שתיאר ר׳ חיים בדבריו.</w:t>
      </w:r>
    </w:p>
    <w:p w14:paraId="630DEC54" w14:textId="4717B92D" w:rsidR="00AB3647" w:rsidRDefault="00000000" w:rsidP="007923E9">
      <w:pPr>
        <w:spacing w:after="120" w:line="276" w:lineRule="auto"/>
        <w:ind w:firstLine="283"/>
        <w:jc w:val="both"/>
      </w:pPr>
      <w:r>
        <w:rPr>
          <w:rtl/>
        </w:rPr>
        <w:t xml:space="preserve">השווה גם פרק 3,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 xml:space="preserve">, על יחסם השלילי של תלמידי </w:t>
      </w:r>
      <w:proofErr w:type="spellStart"/>
      <w:r>
        <w:rPr>
          <w:rtl/>
        </w:rPr>
        <w:t>סלבודקה</w:t>
      </w:r>
      <w:proofErr w:type="spellEnd"/>
      <w:r>
        <w:rPr>
          <w:rtl/>
        </w:rPr>
        <w:t xml:space="preserve"> למוסר </w:t>
      </w:r>
      <w:proofErr w:type="spellStart"/>
      <w:r>
        <w:rPr>
          <w:rtl/>
        </w:rPr>
        <w:t>נובהרדוק</w:t>
      </w:r>
      <w:proofErr w:type="spellEnd"/>
      <w:r>
        <w:rPr>
          <w:rtl/>
        </w:rPr>
        <w:t>. והשווה “תורת חיים”</w:t>
      </w:r>
      <w:bookmarkStart w:id="5446" w:name="_fnr4107"/>
      <w:r>
        <w:rPr>
          <w:vertAlign w:val="superscript"/>
          <w:rtl/>
        </w:rPr>
        <w:footnoteReference w:id="4117" w:customMarkFollows="0"/>
      </w:r>
      <w:bookmarkEnd w:id="5446"/>
      <w:r>
        <w:rPr>
          <w:rtl/>
        </w:rPr>
        <w:t>, המספר שר׳ חיים הסכים לנקודה מסוימת שהעלה ר׳ יוזל על המוסר – כנראה בפגישה שרבנו מדבר עליה – אבל אינו מספר במה לא הסכים ר׳ חיים ומה הייתה מסקנתו הכוללת.</w:t>
      </w:r>
    </w:p>
    <w:p w14:paraId="28302B15" w14:textId="77777777" w:rsidR="00AB3647" w:rsidRDefault="00000000" w:rsidP="007923E9">
      <w:pPr>
        <w:pStyle w:val="4"/>
        <w:spacing w:line="276" w:lineRule="auto"/>
      </w:pPr>
      <w:r>
        <w:lastRenderedPageBreak/>
        <w:t>· הפסקה התשיעית ·</w:t>
      </w:r>
    </w:p>
    <w:p w14:paraId="5AF192ED" w14:textId="77777777" w:rsidR="00AB3647" w:rsidRDefault="00000000" w:rsidP="007923E9">
      <w:pPr>
        <w:pStyle w:val="5"/>
        <w:spacing w:line="276" w:lineRule="auto"/>
      </w:pPr>
      <w:r>
        <w:rPr>
          <w:bCs/>
          <w:szCs w:val="26"/>
        </w:rPr>
        <w:t xml:space="preserve">ר׳ נפתלי אמסטרדם, הנרתע מפרסום, אינו נחשב עניו כר׳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המביע את דעתו בפומבי – עלייתו של ר׳ נפתלי לארץ ישראל מאפשרת לו להיות מרוסן פחות.</w:t>
      </w:r>
    </w:p>
    <w:p w14:paraId="009E8730" w14:textId="77777777" w:rsidR="00AB3647" w:rsidRDefault="00000000" w:rsidP="007923E9">
      <w:pPr>
        <w:spacing w:after="120" w:line="276" w:lineRule="auto"/>
        <w:ind w:firstLine="283"/>
        <w:jc w:val="both"/>
      </w:pPr>
      <w:r>
        <w:rPr>
          <w:rtl/>
        </w:rPr>
        <w:t xml:space="preserve">למרות גילוי הדעת הפומבי של ר׳ </w:t>
      </w:r>
      <w:proofErr w:type="spellStart"/>
      <w:r>
        <w:rPr>
          <w:rtl/>
        </w:rPr>
        <w:t>איצל׳ה</w:t>
      </w:r>
      <w:proofErr w:type="spellEnd"/>
      <w:r>
        <w:rPr>
          <w:rtl/>
        </w:rPr>
        <w:t xml:space="preserve"> ושתיקתו של ר׳ נפתלי, מסופר</w:t>
      </w:r>
      <w:bookmarkStart w:id="5447" w:name="_fnr4108"/>
      <w:r>
        <w:rPr>
          <w:vertAlign w:val="superscript"/>
          <w:rtl/>
        </w:rPr>
        <w:footnoteReference w:id="4118" w:customMarkFollows="0"/>
      </w:r>
      <w:bookmarkEnd w:id="5447"/>
      <w:r>
        <w:rPr>
          <w:rtl/>
        </w:rPr>
        <w:t xml:space="preserve"> שר׳ ישראל </w:t>
      </w:r>
      <w:proofErr w:type="spellStart"/>
      <w:r>
        <w:rPr>
          <w:rtl/>
        </w:rPr>
        <w:t>סלנטר</w:t>
      </w:r>
      <w:proofErr w:type="spellEnd"/>
      <w:r>
        <w:rPr>
          <w:rtl/>
        </w:rPr>
        <w:t xml:space="preserve"> אמר שדווקא ר׳ </w:t>
      </w:r>
      <w:proofErr w:type="spellStart"/>
      <w:r>
        <w:rPr>
          <w:rtl/>
        </w:rPr>
        <w:t>איצל׳ה</w:t>
      </w:r>
      <w:proofErr w:type="spellEnd"/>
      <w:r>
        <w:rPr>
          <w:rtl/>
        </w:rPr>
        <w:t xml:space="preserve"> היה העניו יותר מבין השניים. כך תיאר את ענוותנותם של שני תלמידיו העיקריים: “ר׳ נפתלי הוא עניו שיודע שהוא כזה, ור׳ </w:t>
      </w:r>
      <w:proofErr w:type="spellStart"/>
      <w:r>
        <w:rPr>
          <w:rtl/>
        </w:rPr>
        <w:t>איצל׳ה</w:t>
      </w:r>
      <w:proofErr w:type="spellEnd"/>
      <w:r>
        <w:rPr>
          <w:rtl/>
        </w:rPr>
        <w:t xml:space="preserve"> הוא עניו שאפילו אינו יודע שהוא כזה.” להפך: ייתכן בהחלט שההבדל הזה ביניהם הוא עצמו מסביר את ההבדל בגישתם להפצת המוסר.</w:t>
      </w:r>
    </w:p>
    <w:p w14:paraId="5CB4DDEE" w14:textId="77777777" w:rsidR="00AB3647" w:rsidRDefault="00000000" w:rsidP="007923E9">
      <w:pPr>
        <w:spacing w:after="120" w:line="276" w:lineRule="auto"/>
        <w:ind w:firstLine="283"/>
        <w:jc w:val="both"/>
      </w:pPr>
      <w:r>
        <w:rPr>
          <w:rtl/>
        </w:rPr>
        <w:t xml:space="preserve">ר׳ נפתלי, העניו פחות, התרחק מעיני הציבור משום </w:t>
      </w:r>
      <w:proofErr w:type="spellStart"/>
      <w:r>
        <w:rPr>
          <w:rtl/>
        </w:rPr>
        <w:t>ש“עבד</w:t>
      </w:r>
      <w:proofErr w:type="spellEnd"/>
      <w:r>
        <w:rPr>
          <w:rtl/>
        </w:rPr>
        <w:t xml:space="preserve">” על רכישת מידת הענווה בהסתגרותו; ר׳ </w:t>
      </w:r>
      <w:proofErr w:type="spellStart"/>
      <w:r>
        <w:rPr>
          <w:rtl/>
        </w:rPr>
        <w:t>איצל׳ה</w:t>
      </w:r>
      <w:proofErr w:type="spellEnd"/>
      <w:r>
        <w:rPr>
          <w:rtl/>
        </w:rPr>
        <w:t>, העניו יותר, שלא היה לו צורך אישי להגביר את ענוותנותו, מסר שיחות והפיץ את תורת המוסר בכל הזדמנות שאפשרה זאת. לפי “כתבי הסבא”</w:t>
      </w:r>
      <w:bookmarkStart w:id="5448" w:name="_fnr4109"/>
      <w:r>
        <w:rPr>
          <w:vertAlign w:val="superscript"/>
          <w:rtl/>
        </w:rPr>
        <w:footnoteReference w:id="4119" w:customMarkFollows="0"/>
      </w:r>
      <w:bookmarkEnd w:id="5448"/>
      <w:r>
        <w:rPr>
          <w:rtl/>
        </w:rPr>
        <w:t>, “מישהו שמע פעם מר׳ נפתלי אמסטרדם שבמשך כארבעים שנה עבד על מידת הענווה, ובזקנותו הצטיין בה להפליא</w:t>
      </w:r>
      <w:bookmarkStart w:id="5449" w:name="_fnr4110"/>
      <w:r>
        <w:rPr>
          <w:vertAlign w:val="superscript"/>
          <w:rtl/>
        </w:rPr>
        <w:footnoteReference w:id="4120" w:customMarkFollows="0"/>
      </w:r>
      <w:bookmarkEnd w:id="5449"/>
      <w:r>
        <w:rPr>
          <w:rtl/>
        </w:rPr>
        <w:t>.”</w:t>
      </w:r>
    </w:p>
    <w:p w14:paraId="21B2D4B9" w14:textId="77777777" w:rsidR="00AB3647" w:rsidRDefault="00000000" w:rsidP="007923E9">
      <w:pPr>
        <w:spacing w:after="120" w:line="276" w:lineRule="auto"/>
        <w:ind w:firstLine="283"/>
        <w:jc w:val="both"/>
      </w:pPr>
      <w:r>
        <w:rPr>
          <w:rtl/>
        </w:rPr>
        <w:t>עלייתו של ר׳ נפתלי לארץ ישראל הביאה לגידול ניכר בפעילותו הציבורית</w:t>
      </w:r>
      <w:bookmarkStart w:id="5450" w:name="_fnr4111"/>
      <w:r>
        <w:rPr>
          <w:vertAlign w:val="superscript"/>
          <w:rtl/>
        </w:rPr>
        <w:footnoteReference w:id="4121" w:customMarkFollows="0"/>
      </w:r>
      <w:bookmarkEnd w:id="5450"/>
      <w:r>
        <w:rPr>
          <w:rtl/>
        </w:rPr>
        <w:t>, אולי מפני שהיה אז “בזקנותו”, כבר הצטיין בענווה ולא היה לו צורך לרסן את עצמו. ייתכן גם שבירושלים, שבה היו חכמים רבים כל כך, כבר לא חשש שגילוי למדנותו יביא אותו לידי גאווה.</w:t>
      </w:r>
    </w:p>
    <w:bookmarkStart w:id="5451" w:name="b4_excJ"/>
    <w:bookmarkStart w:id="5452" w:name="b4_annexJ"/>
    <w:p w14:paraId="6497734E" w14:textId="77777777" w:rsidR="00AB3647" w:rsidRDefault="00000000" w:rsidP="007923E9">
      <w:pPr>
        <w:pStyle w:val="3"/>
        <w:pageBreakBefore w:val="0"/>
        <w:spacing w:line="276" w:lineRule="auto"/>
      </w:pPr>
      <w:r>
        <w:fldChar w:fldCharType="begin" w:dirty="true"/>
      </w:r>
      <w:r>
        <w:rPr>
          <w:rtl w:val="0"/>
        </w:rPr>
        <w:instrText>HYPERLINK \l "b4_note80</w:instrText>
      </w:r>
      <w:r>
        <w:instrText>"</w:instrText>
      </w:r>
      <w:r>
        <w:fldChar w:fldCharType="separate"/>
      </w:r>
      <w:r>
        <w:t>נספח י</w:t>
      </w:r>
      <w:r>
        <w:fldChar w:fldCharType="end"/>
      </w:r>
      <w:bookmarkEnd w:id="5451"/>
      <w:bookmarkEnd w:id="5452"/>
    </w:p>
    <w:p w14:paraId="212F56B9" w14:textId="77777777" w:rsidR="00AB3647" w:rsidRDefault="00000000" w:rsidP="007923E9">
      <w:pPr>
        <w:pStyle w:val="af"/>
        <w:spacing w:line="276" w:lineRule="auto"/>
      </w:pPr>
      <w:r>
        <w:t xml:space="preserve">על סיפורים שסיפר ר׳ נפתלי אמסטרדם לרבנו על עצמו ועל חבריו ועל מקצת תורת רבם ר׳ ישראל </w:t>
      </w:r>
      <w:proofErr w:type="spellStart"/>
      <w:r>
        <w:t>סלנטר</w:t>
      </w:r>
      <w:proofErr w:type="spellEnd"/>
    </w:p>
    <w:p w14:paraId="301EB373" w14:textId="77777777" w:rsidR="00AB3647" w:rsidRDefault="00000000" w:rsidP="007923E9">
      <w:pPr>
        <w:pStyle w:val="4"/>
        <w:spacing w:line="276" w:lineRule="auto"/>
      </w:pPr>
      <w:r>
        <w:t>· הפסקה הראשונה ·</w:t>
      </w:r>
    </w:p>
    <w:p w14:paraId="24D71E1E" w14:textId="77777777" w:rsidR="00AB3647" w:rsidRDefault="00000000" w:rsidP="007923E9">
      <w:pPr>
        <w:pStyle w:val="5"/>
        <w:spacing w:line="276" w:lineRule="auto"/>
      </w:pPr>
      <w:r>
        <w:rPr>
          <w:bCs/>
          <w:szCs w:val="26"/>
        </w:rPr>
        <w:t xml:space="preserve">ר׳ נפתלי מספר על שינוי גישתו של ר׳ ישראל </w:t>
      </w:r>
      <w:proofErr w:type="spellStart"/>
      <w:r>
        <w:rPr>
          <w:bCs/>
          <w:szCs w:val="26"/>
        </w:rPr>
        <w:t>סלנטר</w:t>
      </w:r>
      <w:proofErr w:type="spellEnd"/>
      <w:r>
        <w:rPr>
          <w:bCs/>
          <w:szCs w:val="26"/>
        </w:rPr>
        <w:t xml:space="preserve"> – ר׳ </w:t>
      </w:r>
      <w:proofErr w:type="spellStart"/>
      <w:r>
        <w:rPr>
          <w:bCs/>
          <w:szCs w:val="26"/>
        </w:rPr>
        <w:t>שמחה־זיסל</w:t>
      </w:r>
      <w:proofErr w:type="spellEnd"/>
      <w:r>
        <w:rPr>
          <w:bCs/>
          <w:szCs w:val="26"/>
        </w:rPr>
        <w:t xml:space="preserve"> זיו כותב עד כמה מעט מעצמו הניח ר׳ ישראל להיוודע – ר׳ נפתלי מתאר את עצמו בחברת ר׳ </w:t>
      </w:r>
      <w:proofErr w:type="spellStart"/>
      <w:r>
        <w:rPr>
          <w:bCs/>
          <w:szCs w:val="26"/>
        </w:rPr>
        <w:t>שמחה־זיסל</w:t>
      </w:r>
      <w:proofErr w:type="spellEnd"/>
      <w:r>
        <w:rPr>
          <w:bCs/>
          <w:szCs w:val="26"/>
        </w:rPr>
        <w:t xml:space="preserve"> ור׳ </w:t>
      </w:r>
      <w:proofErr w:type="spellStart"/>
      <w:r>
        <w:rPr>
          <w:bCs/>
          <w:szCs w:val="26"/>
        </w:rPr>
        <w:t>איצל׳ה</w:t>
      </w:r>
      <w:proofErr w:type="spellEnd"/>
      <w:r>
        <w:rPr>
          <w:bCs/>
          <w:szCs w:val="26"/>
        </w:rPr>
        <w:t xml:space="preserve"> </w:t>
      </w:r>
      <w:proofErr w:type="spellStart"/>
      <w:r>
        <w:rPr>
          <w:bCs/>
          <w:szCs w:val="26"/>
        </w:rPr>
        <w:t>בלאזר</w:t>
      </w:r>
      <w:proofErr w:type="spellEnd"/>
      <w:r>
        <w:rPr>
          <w:bCs/>
          <w:szCs w:val="26"/>
        </w:rPr>
        <w:t xml:space="preserve"> – הוא שולל את היותו שווה להם – ר׳ נפתלי נעשה רציני ברגע שפורים מסתיים.</w:t>
      </w:r>
    </w:p>
    <w:p w14:paraId="6BAB287B" w14:textId="77777777" w:rsidR="00AB3647" w:rsidRDefault="00000000" w:rsidP="007923E9">
      <w:pPr>
        <w:spacing w:after="120" w:line="276" w:lineRule="auto"/>
        <w:ind w:firstLine="283"/>
        <w:jc w:val="both"/>
      </w:pPr>
      <w:r>
        <w:rPr>
          <w:rtl/>
        </w:rPr>
        <w:t>בשיחת יום השנה אמר אבי שר׳ נפתלי פתח את סיפוריו במילים: “כל מה שאני מספר, או שראיתי או ששמעתי מהרבי.” בריאיון המוקלט על תנועת המוסר</w:t>
      </w:r>
      <w:bookmarkStart w:id="5453" w:name="_fnr4112"/>
      <w:r>
        <w:rPr>
          <w:vertAlign w:val="superscript"/>
          <w:rtl/>
        </w:rPr>
        <w:footnoteReference w:id="4122" w:customMarkFollows="0"/>
      </w:r>
      <w:bookmarkEnd w:id="5453"/>
      <w:r>
        <w:rPr>
          <w:rtl/>
        </w:rPr>
        <w:t xml:space="preserve"> חזר רבנו על הסיפור הבא, ששמע מר׳ נפתלי: פעם אמר ר׳ ישראל לתלמידיו שבצעירותו רצה להיות “נסתר”, ולשם </w:t>
      </w:r>
      <w:r>
        <w:rPr>
          <w:rtl/>
        </w:rPr>
        <w:lastRenderedPageBreak/>
        <w:t>כך היה עליו לדעת את כל הש״ס בעל פה – שאם יצטרך לעיין בספרים כדי לקיים הלכה כראוי, תתגלה זהותו. אבל לאחר שסיים ללמוד בעל פה מחצית הש״ס, שינה את דעתו: הוא החליט שמיעוט הכוחות הרוחניים בעולם באותה עת מחייב אדם להקריב את יתרונות ההסתרה למען זיכוי הרבים</w:t>
      </w:r>
      <w:bookmarkStart w:id="5454" w:name="_fnr4113"/>
      <w:r>
        <w:rPr>
          <w:vertAlign w:val="superscript"/>
          <w:rtl/>
        </w:rPr>
        <w:footnoteReference w:id="4123" w:customMarkFollows="0"/>
      </w:r>
      <w:bookmarkEnd w:id="5454"/>
      <w:r>
        <w:rPr>
          <w:rtl/>
        </w:rPr>
        <w:t>. ר׳ נפתלי הוסיף שכאשר סיים ר׳ ישראל לספר והלך, העיר אחד התלמידים: “הרבי מטעה אותנו: עד היום הוא נשאר בהסתר.”</w:t>
      </w:r>
    </w:p>
    <w:p w14:paraId="203CF0BE" w14:textId="77777777" w:rsidR="00AB3647" w:rsidRDefault="00000000" w:rsidP="007923E9">
      <w:pPr>
        <w:spacing w:after="120" w:line="276" w:lineRule="auto"/>
        <w:ind w:firstLine="283"/>
        <w:jc w:val="both"/>
      </w:pPr>
      <w:r>
        <w:rPr>
          <w:rtl/>
        </w:rPr>
        <w:t xml:space="preserve">אבי לא היה בטוח לגמרי אם ר׳ </w:t>
      </w:r>
      <w:proofErr w:type="spellStart"/>
      <w:r>
        <w:rPr>
          <w:rtl/>
        </w:rPr>
        <w:t>שמחה־זיסל</w:t>
      </w:r>
      <w:proofErr w:type="spellEnd"/>
      <w:r>
        <w:rPr>
          <w:rtl/>
        </w:rPr>
        <w:t xml:space="preserve"> הוא שהעיר כך, או תלמיד אחר. אבל ראה להלן את המכתב שכתב ר׳ </w:t>
      </w:r>
      <w:proofErr w:type="spellStart"/>
      <w:r>
        <w:rPr>
          <w:rtl/>
        </w:rPr>
        <w:t>שמחה־זיסל</w:t>
      </w:r>
      <w:proofErr w:type="spellEnd"/>
      <w:r>
        <w:rPr>
          <w:rtl/>
        </w:rPr>
        <w:t xml:space="preserve"> זיו על רבם במותו: שם טען שהוא אומר זאת על ר׳ ישראל “זה זמן רב”, וסביר שהוא היה הראשון שהציע זאת. מהסתייגות זו משתמע שבמידה שהדבר לא הפריע לזיכוי הרבים, נשאר ר׳ ישראל “א נסתר”</w:t>
      </w:r>
      <w:bookmarkStart w:id="5455" w:name="_fnr4114"/>
      <w:r>
        <w:rPr>
          <w:vertAlign w:val="superscript"/>
          <w:rtl/>
        </w:rPr>
        <w:footnoteReference w:id="4124" w:customMarkFollows="0"/>
      </w:r>
      <w:bookmarkEnd w:id="5455"/>
      <w:r>
        <w:rPr>
          <w:rtl/>
        </w:rPr>
        <w:t>.</w:t>
      </w:r>
    </w:p>
    <w:p w14:paraId="5CEC7ED1" w14:textId="77777777" w:rsidR="00AB3647" w:rsidRDefault="00000000" w:rsidP="007923E9">
      <w:pPr>
        <w:spacing w:after="120" w:line="276" w:lineRule="auto"/>
        <w:ind w:firstLine="283"/>
        <w:jc w:val="both"/>
      </w:pPr>
      <w:r>
        <w:rPr>
          <w:rtl/>
        </w:rPr>
        <w:t>השווה גם לספרו של כץ, “תנועת המוסר”, כרך א</w:t>
      </w:r>
      <w:bookmarkStart w:id="5456" w:name="_fnr4115"/>
      <w:r>
        <w:rPr>
          <w:vertAlign w:val="superscript"/>
          <w:rtl/>
        </w:rPr>
        <w:footnoteReference w:id="4125" w:customMarkFollows="0"/>
      </w:r>
      <w:bookmarkEnd w:id="5456"/>
      <w:r>
        <w:rPr>
          <w:rtl/>
        </w:rPr>
        <w:t xml:space="preserve">, </w:t>
      </w:r>
      <w:proofErr w:type="spellStart"/>
      <w:r>
        <w:rPr>
          <w:rtl/>
        </w:rPr>
        <w:t>ול“כתבי</w:t>
      </w:r>
      <w:proofErr w:type="spellEnd"/>
      <w:r>
        <w:rPr>
          <w:rtl/>
        </w:rPr>
        <w:t xml:space="preserve"> הסבא”,</w:t>
      </w:r>
      <w:bookmarkStart w:id="5457" w:name="_fnr4116"/>
      <w:r>
        <w:rPr>
          <w:vertAlign w:val="superscript"/>
          <w:rtl/>
        </w:rPr>
        <w:footnoteReference w:id="4126" w:customMarkFollows="0"/>
      </w:r>
      <w:bookmarkEnd w:id="5457"/>
      <w:r>
        <w:rPr>
          <w:rtl/>
        </w:rPr>
        <w:t xml:space="preserve"> המצטטים מכתב שכתב ר׳ </w:t>
      </w:r>
      <w:proofErr w:type="spellStart"/>
      <w:r>
        <w:rPr>
          <w:rtl/>
        </w:rPr>
        <w:t>שמחה־זיסל</w:t>
      </w:r>
      <w:proofErr w:type="spellEnd"/>
      <w:r>
        <w:rPr>
          <w:rtl/>
        </w:rPr>
        <w:t xml:space="preserve"> זיו למחרת היום שבו הגיעה אליו הידיעה על פטירת רבו: “מנהגו הקדוש והקבוע [של ר׳ ישראל] היה להסתיר את מעשיו במידה קיצונית... אמרתי זה זמן רב שהוא נשאר נסתר ונעלם מאנשי דורו, ומשום כך </w:t>
      </w:r>
      <w:r>
        <w:rPr>
          <w:b/>
          <w:bCs/>
          <w:rtl/>
        </w:rPr>
        <w:t>מעטים מאוד מכירים אותו מעט מאוד</w:t>
      </w:r>
      <w:r>
        <w:rPr>
          <w:rtl/>
        </w:rPr>
        <w:t xml:space="preserve"> (ההדגשה שלי).” מכתב אחר של ר׳ </w:t>
      </w:r>
      <w:proofErr w:type="spellStart"/>
      <w:r>
        <w:rPr>
          <w:rtl/>
        </w:rPr>
        <w:t>שמחה־זיסל</w:t>
      </w:r>
      <w:proofErr w:type="spellEnd"/>
      <w:r>
        <w:rPr>
          <w:rtl/>
        </w:rPr>
        <w:t>, שנכתב יומיים לאחר מכן</w:t>
      </w:r>
      <w:bookmarkStart w:id="5458" w:name="_fnr4117"/>
      <w:r>
        <w:rPr>
          <w:vertAlign w:val="superscript"/>
          <w:rtl/>
        </w:rPr>
        <w:footnoteReference w:id="4127" w:customMarkFollows="0"/>
      </w:r>
      <w:bookmarkEnd w:id="5458"/>
      <w:r>
        <w:rPr>
          <w:rtl/>
        </w:rPr>
        <w:t xml:space="preserve">, אומר: “מי שהכירוהו מן השנים המוקדמות שבהן עבד בציבור בגלוי, ומי </w:t>
      </w:r>
      <w:proofErr w:type="spellStart"/>
      <w:r>
        <w:rPr>
          <w:rtl/>
        </w:rPr>
        <w:t>ש‘התאבקו</w:t>
      </w:r>
      <w:proofErr w:type="spellEnd"/>
      <w:r>
        <w:rPr>
          <w:rtl/>
        </w:rPr>
        <w:t xml:space="preserve"> בעפר רגליו</w:t>
      </w:r>
      <w:bookmarkStart w:id="5459" w:name="_fnr4118"/>
      <w:r>
        <w:rPr>
          <w:vertAlign w:val="superscript"/>
          <w:rtl/>
        </w:rPr>
        <w:footnoteReference w:id="4128" w:customMarkFollows="0"/>
      </w:r>
      <w:bookmarkEnd w:id="5459"/>
      <w:r>
        <w:rPr>
          <w:rtl/>
        </w:rPr>
        <w:t xml:space="preserve">’ כדי להתבונן היטב בכל צעד שלו... ושתו בצמא את דבריו המזוקקים – ראו והשתוממו לגלות שהוא בלתי נתפס ושאי אפשר לרדת לעומק דבריו. </w:t>
      </w:r>
      <w:r>
        <w:rPr>
          <w:b/>
          <w:bCs/>
          <w:rtl/>
        </w:rPr>
        <w:t>כל מה שידעו עליו היה שאין ביכולתם לדעת אותו</w:t>
      </w:r>
      <w:r>
        <w:rPr>
          <w:rtl/>
        </w:rPr>
        <w:t xml:space="preserve"> (ההדגשה שלי), שכן מלבד רצונו המוחלט להסתתר מאנשי דורו, גם במה שגילה והם ראו ושמעו לא ירדו לעומק כוונותיו; כי זו הייתה דרכו</w:t>
      </w:r>
      <w:bookmarkStart w:id="5460" w:name="_fnr4119"/>
      <w:r>
        <w:rPr>
          <w:vertAlign w:val="superscript"/>
          <w:rtl/>
        </w:rPr>
        <w:footnoteReference w:id="4129" w:customMarkFollows="0"/>
      </w:r>
      <w:bookmarkEnd w:id="5460"/>
      <w:r>
        <w:rPr>
          <w:rtl/>
        </w:rPr>
        <w:t>.”</w:t>
      </w:r>
    </w:p>
    <w:p w14:paraId="77C9F0F0" w14:textId="77777777" w:rsidR="00AB3647" w:rsidRDefault="00000000" w:rsidP="007923E9">
      <w:pPr>
        <w:spacing w:after="120" w:line="276" w:lineRule="auto"/>
        <w:ind w:firstLine="283"/>
        <w:jc w:val="both"/>
      </w:pPr>
      <w:r>
        <w:rPr>
          <w:rtl/>
        </w:rPr>
        <w:t>השווה גם לספרו של כץ</w:t>
      </w:r>
      <w:bookmarkStart w:id="5461" w:name="_fnr4120"/>
      <w:r>
        <w:rPr>
          <w:vertAlign w:val="superscript"/>
          <w:rtl/>
        </w:rPr>
        <w:footnoteReference w:id="4130" w:customMarkFollows="0"/>
      </w:r>
      <w:bookmarkEnd w:id="5461"/>
      <w:r>
        <w:rPr>
          <w:rtl/>
        </w:rPr>
        <w:t xml:space="preserve">, שלפיו רעיון ההסתרה של ר׳ ישראל נבע מרצונו ללכת בדרכי רבו ר׳ </w:t>
      </w:r>
      <w:proofErr w:type="spellStart"/>
      <w:r>
        <w:rPr>
          <w:rtl/>
        </w:rPr>
        <w:t>יוסף־זונדל</w:t>
      </w:r>
      <w:bookmarkStart w:id="5462" w:name="_fnr4121"/>
      <w:proofErr w:type="spellEnd"/>
      <w:r>
        <w:rPr>
          <w:vertAlign w:val="superscript"/>
          <w:rtl/>
        </w:rPr>
        <w:footnoteReference w:id="4131" w:customMarkFollows="0"/>
      </w:r>
      <w:bookmarkEnd w:id="5462"/>
      <w:r>
        <w:rPr>
          <w:rtl/>
        </w:rPr>
        <w:t>. שם</w:t>
      </w:r>
      <w:bookmarkStart w:id="5463" w:name="_fnr4122"/>
      <w:r>
        <w:rPr>
          <w:vertAlign w:val="superscript"/>
          <w:rtl/>
        </w:rPr>
        <w:footnoteReference w:id="4132" w:customMarkFollows="0"/>
      </w:r>
      <w:bookmarkEnd w:id="5463"/>
      <w:r>
        <w:rPr>
          <w:rtl/>
        </w:rPr>
        <w:t xml:space="preserve"> מסופר גם על הכנותיו האחרות של ר׳ ישראל לחיים של “נסתר”, ובהן הכשרתו להיות מנהל חשבונות בממל, ועל שינוי דעתו לאחר מכן. השווה עוד שם</w:t>
      </w:r>
      <w:bookmarkStart w:id="5464" w:name="_fnr4123"/>
      <w:r>
        <w:rPr>
          <w:vertAlign w:val="superscript"/>
          <w:rtl/>
        </w:rPr>
        <w:footnoteReference w:id="4133" w:customMarkFollows="0"/>
      </w:r>
      <w:bookmarkEnd w:id="5464"/>
      <w:r>
        <w:rPr>
          <w:rtl/>
        </w:rPr>
        <w:t xml:space="preserve">: המפנה בדרכו של ר׳ ישראל היה מוחלט כל כך, שמאז סבר שכל בן דורו שנשאר “א נסתר” מן ההכרח שהוא נתון לאילוץ יוצא דופן כלשהו. בשיחה המוקלטת בבית הכנסת “בית ישראל” </w:t>
      </w:r>
      <w:r>
        <w:rPr>
          <w:rtl/>
        </w:rPr>
        <w:lastRenderedPageBreak/>
        <w:t xml:space="preserve">במיאמי </w:t>
      </w:r>
      <w:proofErr w:type="spellStart"/>
      <w:r>
        <w:rPr>
          <w:rtl/>
        </w:rPr>
        <w:t>ביץ</w:t>
      </w:r>
      <w:proofErr w:type="spellEnd"/>
      <w:r>
        <w:rPr>
          <w:rtl/>
        </w:rPr>
        <w:t>׳</w:t>
      </w:r>
      <w:bookmarkStart w:id="5465" w:name="_fnr4124"/>
      <w:r>
        <w:rPr>
          <w:vertAlign w:val="superscript"/>
          <w:rtl/>
        </w:rPr>
        <w:footnoteReference w:id="4134" w:customMarkFollows="0"/>
      </w:r>
      <w:bookmarkEnd w:id="5465"/>
      <w:r>
        <w:rPr>
          <w:rtl/>
        </w:rPr>
        <w:t xml:space="preserve"> הוסיף אבי שר׳ נפתלי הסכים לטענת ר׳ </w:t>
      </w:r>
      <w:proofErr w:type="spellStart"/>
      <w:r>
        <w:rPr>
          <w:rtl/>
        </w:rPr>
        <w:t>שמחה־זיסל</w:t>
      </w:r>
      <w:proofErr w:type="spellEnd"/>
      <w:r>
        <w:rPr>
          <w:rtl/>
        </w:rPr>
        <w:t xml:space="preserve"> זיו שרבם נשאר “א נסתר”. שהרי כשסיפר שר׳ ישראל אמר להם שלמד בעל פה מחצית הש״ס, ציין ר׳ נפתלי שלמעשה למד רבם בעל פה גם את המחצית האחרת, אלא שלא רצה לגלות זאת לתלמידיו.</w:t>
      </w:r>
    </w:p>
    <w:p w14:paraId="192D1F4D" w14:textId="77777777" w:rsidR="00AB3647" w:rsidRDefault="00000000" w:rsidP="007923E9">
      <w:pPr>
        <w:spacing w:after="120" w:line="276" w:lineRule="auto"/>
        <w:ind w:firstLine="283"/>
        <w:jc w:val="both"/>
      </w:pPr>
      <w:r>
        <w:rPr>
          <w:rtl/>
        </w:rPr>
        <w:t xml:space="preserve">ר׳ נפתלי סיפר שבליל שבת אחד כבתה המנורה </w:t>
      </w:r>
      <w:proofErr w:type="spellStart"/>
      <w:r>
        <w:rPr>
          <w:rtl/>
        </w:rPr>
        <w:t>בקלויז</w:t>
      </w:r>
      <w:proofErr w:type="spellEnd"/>
      <w:r>
        <w:rPr>
          <w:rtl/>
        </w:rPr>
        <w:t xml:space="preserve"> </w:t>
      </w:r>
      <w:proofErr w:type="spellStart"/>
      <w:r>
        <w:rPr>
          <w:rtl/>
        </w:rPr>
        <w:t>נוויאז</w:t>
      </w:r>
      <w:proofErr w:type="spellEnd"/>
      <w:r>
        <w:rPr>
          <w:rtl/>
        </w:rPr>
        <w:t xml:space="preserve">׳, והוא וחבריו נשארו יושבים בחושך. ר׳ </w:t>
      </w:r>
      <w:proofErr w:type="spellStart"/>
      <w:r>
        <w:rPr>
          <w:rtl/>
        </w:rPr>
        <w:t>שמחה־זיסל</w:t>
      </w:r>
      <w:proofErr w:type="spellEnd"/>
      <w:r>
        <w:rPr>
          <w:rtl/>
        </w:rPr>
        <w:t xml:space="preserve">, כך סיפר, “התיישב ללמוד מוסר [האט </w:t>
      </w:r>
      <w:proofErr w:type="spellStart"/>
      <w:r>
        <w:rPr>
          <w:rtl/>
        </w:rPr>
        <w:t>זיך</w:t>
      </w:r>
      <w:proofErr w:type="spellEnd"/>
      <w:r>
        <w:rPr>
          <w:rtl/>
        </w:rPr>
        <w:t xml:space="preserve"> </w:t>
      </w:r>
      <w:proofErr w:type="spellStart"/>
      <w:r>
        <w:rPr>
          <w:rtl/>
        </w:rPr>
        <w:t>אוועקגעזעצט</w:t>
      </w:r>
      <w:proofErr w:type="spellEnd"/>
      <w:r>
        <w:rPr>
          <w:rtl/>
        </w:rPr>
        <w:t xml:space="preserve"> </w:t>
      </w:r>
      <w:proofErr w:type="spellStart"/>
      <w:r>
        <w:rPr>
          <w:rtl/>
        </w:rPr>
        <w:t>לערנען</w:t>
      </w:r>
      <w:proofErr w:type="spellEnd"/>
      <w:r>
        <w:rPr>
          <w:rtl/>
        </w:rPr>
        <w:t xml:space="preserve"> מוסר]”, וחזר שוב ושוב על פסוקי תהלים: “פתחו לי שערי צדק אבוא בם אודה י־ה. זה השער לה׳ צדיקים יבואו בו”</w:t>
      </w:r>
      <w:bookmarkStart w:id="5466" w:name="_fnr4125"/>
      <w:r>
        <w:rPr>
          <w:vertAlign w:val="superscript"/>
          <w:rtl/>
        </w:rPr>
        <w:footnoteReference w:id="4135" w:customMarkFollows="0"/>
      </w:r>
      <w:bookmarkEnd w:id="5466"/>
      <w:r>
        <w:rPr>
          <w:rtl/>
        </w:rPr>
        <w:t xml:space="preserve">. ר׳ ישראל התחיל ללמוד סוגיה במסכת בבא </w:t>
      </w:r>
      <w:proofErr w:type="spellStart"/>
      <w:r>
        <w:rPr>
          <w:rtl/>
        </w:rPr>
        <w:t>בתרא</w:t>
      </w:r>
      <w:proofErr w:type="spellEnd"/>
      <w:r>
        <w:rPr>
          <w:rtl/>
        </w:rPr>
        <w:t xml:space="preserve">, וחזר מילה במילה על הגמרא, </w:t>
      </w:r>
      <w:proofErr w:type="spellStart"/>
      <w:r>
        <w:rPr>
          <w:rtl/>
        </w:rPr>
        <w:t>הרשב״ם</w:t>
      </w:r>
      <w:proofErr w:type="spellEnd"/>
      <w:r>
        <w:rPr>
          <w:rtl/>
        </w:rPr>
        <w:t xml:space="preserve"> וכל התוספות. ואילו על עצמו אמר ר׳ נפתלי אמסטרדם שהלך לישון.</w:t>
      </w:r>
    </w:p>
    <w:p w14:paraId="7316870A" w14:textId="77777777" w:rsidR="00AB3647" w:rsidRDefault="00000000" w:rsidP="007923E9">
      <w:pPr>
        <w:spacing w:after="120" w:line="276" w:lineRule="auto"/>
        <w:ind w:firstLine="283"/>
        <w:jc w:val="both"/>
      </w:pPr>
      <w:proofErr w:type="spellStart"/>
      <w:r>
        <w:rPr>
          <w:rtl/>
        </w:rPr>
        <w:t>ב“כוכבי</w:t>
      </w:r>
      <w:proofErr w:type="spellEnd"/>
      <w:r>
        <w:rPr>
          <w:rtl/>
        </w:rPr>
        <w:t xml:space="preserve"> אור”</w:t>
      </w:r>
      <w:bookmarkStart w:id="5467" w:name="_fnr4126"/>
      <w:r>
        <w:rPr>
          <w:vertAlign w:val="superscript"/>
          <w:rtl/>
        </w:rPr>
        <w:footnoteReference w:id="4136" w:customMarkFollows="0"/>
      </w:r>
      <w:bookmarkEnd w:id="5467"/>
      <w:r>
        <w:rPr>
          <w:rtl/>
        </w:rPr>
        <w:t xml:space="preserve"> מובא בשם ר׳ נפתלי סיפור הדומה לזה, ויש בו הד להקטנת ערך עצמו. לפי הסיפור, הוא ושני תלמידיו העיקריים האחרים של ר׳ ישראל נדדו בעיירות ליטא כדי להתנסות </w:t>
      </w:r>
      <w:proofErr w:type="spellStart"/>
      <w:r>
        <w:rPr>
          <w:rtl/>
        </w:rPr>
        <w:t>ב“גלות</w:t>
      </w:r>
      <w:proofErr w:type="spellEnd"/>
      <w:r>
        <w:rPr>
          <w:rtl/>
        </w:rPr>
        <w:t xml:space="preserve">”. “בלילות שבת,” סיפר, “היינו עומדים בפתח בית המדרש” – בעיירה שבה שהו במקרה – “עם עניים אחרים חסרי בית, וממתינים להזמנה לביתו של אחד מבני המקום. הראשון שהוזמן היה ר׳ </w:t>
      </w:r>
      <w:proofErr w:type="spellStart"/>
      <w:r>
        <w:rPr>
          <w:rtl/>
        </w:rPr>
        <w:t>שמחה־זיסל</w:t>
      </w:r>
      <w:proofErr w:type="spellEnd"/>
      <w:r>
        <w:rPr>
          <w:rtl/>
        </w:rPr>
        <w:t xml:space="preserve">, מפני שהיה יפה תואר; השני היה ר׳ </w:t>
      </w:r>
      <w:proofErr w:type="spellStart"/>
      <w:r>
        <w:rPr>
          <w:rtl/>
        </w:rPr>
        <w:t>איצל׳ה</w:t>
      </w:r>
      <w:proofErr w:type="spellEnd"/>
      <w:r>
        <w:rPr>
          <w:rtl/>
        </w:rPr>
        <w:t xml:space="preserve">, ואני הייתי האחרון. אחרי האכילה היינו חוזרים לבית המדרש, ושם ר׳ </w:t>
      </w:r>
      <w:proofErr w:type="spellStart"/>
      <w:r>
        <w:rPr>
          <w:rtl/>
        </w:rPr>
        <w:t>איצל׳ה</w:t>
      </w:r>
      <w:proofErr w:type="spellEnd"/>
      <w:r>
        <w:rPr>
          <w:rtl/>
        </w:rPr>
        <w:t xml:space="preserve"> הלמדן היה לומד בעל פה כל הלילה, ר׳ </w:t>
      </w:r>
      <w:proofErr w:type="spellStart"/>
      <w:r>
        <w:rPr>
          <w:rtl/>
        </w:rPr>
        <w:t>שמחה־זיסל</w:t>
      </w:r>
      <w:proofErr w:type="spellEnd"/>
      <w:r>
        <w:rPr>
          <w:rtl/>
        </w:rPr>
        <w:t xml:space="preserve"> היה הוגה מחשבות חכמה, ואני, נפתלי, הלכתי לישון.”</w:t>
      </w:r>
    </w:p>
    <w:p w14:paraId="42478212" w14:textId="77777777" w:rsidR="00AB3647" w:rsidRDefault="00000000" w:rsidP="007923E9">
      <w:pPr>
        <w:spacing w:after="120" w:line="276" w:lineRule="auto"/>
        <w:ind w:firstLine="283"/>
        <w:jc w:val="both"/>
      </w:pPr>
      <w:r>
        <w:rPr>
          <w:rtl/>
        </w:rPr>
        <w:t xml:space="preserve">מידת הקטנת ערך עצמו של ר׳ נפתלי ניכרת בבירור </w:t>
      </w:r>
      <w:proofErr w:type="spellStart"/>
      <w:r>
        <w:rPr>
          <w:rtl/>
        </w:rPr>
        <w:t>ב“שרידי</w:t>
      </w:r>
      <w:proofErr w:type="spellEnd"/>
      <w:r>
        <w:rPr>
          <w:rtl/>
        </w:rPr>
        <w:t xml:space="preserve"> אש”</w:t>
      </w:r>
      <w:bookmarkStart w:id="5468" w:name="_fnr4127"/>
      <w:r>
        <w:rPr>
          <w:vertAlign w:val="superscript"/>
          <w:rtl/>
        </w:rPr>
        <w:footnoteReference w:id="4137" w:customMarkFollows="0"/>
      </w:r>
      <w:bookmarkEnd w:id="5468"/>
      <w:r>
        <w:rPr>
          <w:rtl/>
        </w:rPr>
        <w:t>. מסופר שם שבפורים אחד, יום שבו שתה משקאות חריפים ללא הרף</w:t>
      </w:r>
      <w:bookmarkStart w:id="5469" w:name="_fnr4128"/>
      <w:r>
        <w:rPr>
          <w:vertAlign w:val="superscript"/>
          <w:rtl/>
        </w:rPr>
        <w:footnoteReference w:id="4138" w:customMarkFollows="0"/>
      </w:r>
      <w:bookmarkEnd w:id="5469"/>
      <w:r>
        <w:rPr>
          <w:rtl/>
        </w:rPr>
        <w:t xml:space="preserve">, סיפר ר׳ נפתלי שרבם כינה את שני חבריו, ר׳ </w:t>
      </w:r>
      <w:proofErr w:type="spellStart"/>
      <w:r>
        <w:rPr>
          <w:rtl/>
        </w:rPr>
        <w:t>שמחה־זיסל</w:t>
      </w:r>
      <w:proofErr w:type="spellEnd"/>
      <w:r>
        <w:rPr>
          <w:rtl/>
        </w:rPr>
        <w:t xml:space="preserve"> ור׳ </w:t>
      </w:r>
      <w:proofErr w:type="spellStart"/>
      <w:r>
        <w:rPr>
          <w:rtl/>
        </w:rPr>
        <w:t>איצל׳ה</w:t>
      </w:r>
      <w:proofErr w:type="spellEnd"/>
      <w:r>
        <w:rPr>
          <w:rtl/>
        </w:rPr>
        <w:t xml:space="preserve">, “החכם” </w:t>
      </w:r>
      <w:proofErr w:type="spellStart"/>
      <w:r>
        <w:rPr>
          <w:rtl/>
        </w:rPr>
        <w:t>ו“הלמדן</w:t>
      </w:r>
      <w:proofErr w:type="spellEnd"/>
      <w:r>
        <w:rPr>
          <w:rtl/>
        </w:rPr>
        <w:t>”, בהתאמה</w:t>
      </w:r>
      <w:bookmarkStart w:id="5470" w:name="_fnr4129"/>
      <w:r>
        <w:rPr>
          <w:vertAlign w:val="superscript"/>
          <w:rtl/>
        </w:rPr>
        <w:footnoteReference w:id="4139" w:customMarkFollows="0"/>
      </w:r>
      <w:bookmarkEnd w:id="5470"/>
      <w:r>
        <w:rPr>
          <w:rtl/>
        </w:rPr>
        <w:t xml:space="preserve">. רוח היום הוסיפה אומץ </w:t>
      </w:r>
      <w:proofErr w:type="spellStart"/>
      <w:r>
        <w:rPr>
          <w:rtl/>
        </w:rPr>
        <w:t>לר</w:t>
      </w:r>
      <w:proofErr w:type="spellEnd"/>
      <w:r>
        <w:rPr>
          <w:rtl/>
        </w:rPr>
        <w:t xml:space="preserve">׳ </w:t>
      </w:r>
      <w:proofErr w:type="spellStart"/>
      <w:r>
        <w:rPr>
          <w:rtl/>
        </w:rPr>
        <w:t>יחיאל־יעקב</w:t>
      </w:r>
      <w:proofErr w:type="spellEnd"/>
      <w:r>
        <w:rPr>
          <w:rtl/>
        </w:rPr>
        <w:t xml:space="preserve"> ויינברג (</w:t>
      </w:r>
      <w:proofErr w:type="spellStart"/>
      <w:r>
        <w:rPr>
          <w:rtl/>
        </w:rPr>
        <w:t>ה“חברותא</w:t>
      </w:r>
      <w:proofErr w:type="spellEnd"/>
      <w:r>
        <w:rPr>
          <w:rtl/>
        </w:rPr>
        <w:t xml:space="preserve">” של ר׳ נפתלי, לפי הערה 79 בפרק זה), והוא שאל אותו באיזה כינוי כינה אותו רבו. ר׳ נפתלי השיב: “וכי אתה חושב שבפורים מותר להתלוצץ על זקן? בושה מכסה את פניי כשאני חושב שרק משום שעמדתי לידם כאשר דיבר הרבי, ראו בי אותם גדולים אדם השווה להם. הם נהגו בי יפה, אבל רק מתוך רחמים על מי שאינו מגיע אפילו לקרסוליהם. עם זאת,” הוסיף, “העמידה ליד האנשים הגדולים האלה הועילה.” ר׳ </w:t>
      </w:r>
      <w:proofErr w:type="spellStart"/>
      <w:r>
        <w:rPr>
          <w:rtl/>
        </w:rPr>
        <w:t>יחיאל־יעקב</w:t>
      </w:r>
      <w:proofErr w:type="spellEnd"/>
      <w:r>
        <w:rPr>
          <w:rtl/>
        </w:rPr>
        <w:t xml:space="preserve"> ויינברג לא הרפה ואמר: “אבל שמך ידוע בכל העיר, ואנשים רוצים לראותך.” ר׳ נפתלי השיב: “זה רק משום שאשתי אופה חלות מצוינות לשבת, וכל הנשים משבחות את </w:t>
      </w:r>
      <w:r>
        <w:rPr>
          <w:rtl/>
        </w:rPr>
        <w:lastRenderedPageBreak/>
        <w:t>מעשה ידיה. היא, כמנהגה, משבחת אותי. אין לי שום חלק בשבח ובפרסום האלה, ואיני ראוי להם בשום אופן.”</w:t>
      </w:r>
    </w:p>
    <w:p w14:paraId="4C55B4B2" w14:textId="77777777" w:rsidR="00AB3647" w:rsidRDefault="00000000" w:rsidP="007923E9">
      <w:pPr>
        <w:spacing w:after="120" w:line="276" w:lineRule="auto"/>
        <w:ind w:firstLine="283"/>
        <w:jc w:val="both"/>
      </w:pPr>
      <w:r>
        <w:rPr>
          <w:rtl/>
        </w:rPr>
        <w:t>“שרידי אש” ממשיך ומתאר כיצד עם הופעת הכוכבים הראשונים בסוף יום הפורים “הכריז ר׳ נפתלי: ‘עלינו לשוב לעבודת ה׳ הרצינית ולהרבות בלימוד התורה כדי לפצות על היום שאבד’, והחזיר את הסטנדר למקומו, כשהוא הופך בן רגע משתיין קל דעת ללמדן רציני ולעובד ה׳ ירא שמים”. ומחברו קורא: “ערמות של חיבורים בפסיכולוגיה לא יוכלו להסביר כיצד הצליח לעבור שינוי קיצוני כזה. כמה רך אתה, אבן צור, וכמה חלש אתה, אריה, מול יהודי המסור לתורה ולעבודה</w:t>
      </w:r>
      <w:bookmarkStart w:id="5471" w:name="_fnr4130"/>
      <w:r>
        <w:rPr>
          <w:vertAlign w:val="superscript"/>
          <w:rtl/>
        </w:rPr>
        <w:footnoteReference w:id="4140" w:customMarkFollows="0"/>
      </w:r>
      <w:bookmarkEnd w:id="5471"/>
      <w:r>
        <w:rPr>
          <w:rtl/>
        </w:rPr>
        <w:t>!”</w:t>
      </w:r>
    </w:p>
    <w:p w14:paraId="0F01E76F" w14:textId="77777777" w:rsidR="00AB3647" w:rsidRDefault="00000000" w:rsidP="007923E9">
      <w:pPr>
        <w:spacing w:after="120" w:line="276" w:lineRule="auto"/>
        <w:ind w:firstLine="283"/>
        <w:jc w:val="both"/>
      </w:pPr>
      <w:r>
        <w:rPr>
          <w:rtl/>
        </w:rPr>
        <w:t xml:space="preserve">את תיאורו של ר׳ </w:t>
      </w:r>
      <w:proofErr w:type="spellStart"/>
      <w:r>
        <w:rPr>
          <w:rtl/>
        </w:rPr>
        <w:t>שלמה־זלמן</w:t>
      </w:r>
      <w:proofErr w:type="spellEnd"/>
      <w:r>
        <w:rPr>
          <w:rtl/>
        </w:rPr>
        <w:t xml:space="preserve"> בלוך, המובא </w:t>
      </w:r>
      <w:proofErr w:type="spellStart"/>
      <w:r>
        <w:rPr>
          <w:rtl/>
        </w:rPr>
        <w:t>ב“הצדיק</w:t>
      </w:r>
      <w:proofErr w:type="spellEnd"/>
      <w:r>
        <w:rPr>
          <w:rtl/>
        </w:rPr>
        <w:t xml:space="preserve"> רבי שלמה”,</w:t>
      </w:r>
      <w:bookmarkStart w:id="5472" w:name="_fnr4131"/>
      <w:r>
        <w:rPr>
          <w:vertAlign w:val="superscript"/>
          <w:rtl/>
        </w:rPr>
        <w:footnoteReference w:id="4141" w:customMarkFollows="0"/>
      </w:r>
      <w:bookmarkEnd w:id="5472"/>
      <w:r>
        <w:rPr>
          <w:rtl/>
        </w:rPr>
        <w:t xml:space="preserve"> כיצד התפכחו משכרותם תלמידי התלמוד תורה </w:t>
      </w:r>
      <w:proofErr w:type="spellStart"/>
      <w:r>
        <w:rPr>
          <w:rtl/>
        </w:rPr>
        <w:t>בקלם</w:t>
      </w:r>
      <w:proofErr w:type="spellEnd"/>
      <w:r>
        <w:rPr>
          <w:rtl/>
        </w:rPr>
        <w:t xml:space="preserve">, כנראה אין להבין כפשוטו, כלומר במובן מוחלט. וכך סיפר ר׳ </w:t>
      </w:r>
      <w:proofErr w:type="spellStart"/>
      <w:r>
        <w:rPr>
          <w:rtl/>
        </w:rPr>
        <w:t>שלמה־זלמן</w:t>
      </w:r>
      <w:proofErr w:type="spellEnd"/>
      <w:r>
        <w:rPr>
          <w:rtl/>
        </w:rPr>
        <w:t>: “</w:t>
      </w:r>
      <w:proofErr w:type="spellStart"/>
      <w:r>
        <w:rPr>
          <w:rtl/>
        </w:rPr>
        <w:t>בקלם</w:t>
      </w:r>
      <w:proofErr w:type="spellEnd"/>
      <w:r>
        <w:rPr>
          <w:rtl/>
        </w:rPr>
        <w:t>, שבה כולם, אפילו ראשי התלמוד תורה, קיימו את חובת [השכרות ב]פורים, חזרו באורח מפליא ‘</w:t>
      </w:r>
      <w:r>
        <w:rPr>
          <w:b/>
          <w:bCs/>
          <w:rtl/>
        </w:rPr>
        <w:t>לכוחם</w:t>
      </w:r>
      <w:r>
        <w:rPr>
          <w:rtl/>
        </w:rPr>
        <w:t xml:space="preserve"> (ההדגשה שלי)’ מיד עם שקיעת החמה.” השווה גם </w:t>
      </w:r>
      <w:proofErr w:type="spellStart"/>
      <w:r>
        <w:rPr>
          <w:rtl/>
        </w:rPr>
        <w:t>ל“איש</w:t>
      </w:r>
      <w:proofErr w:type="spellEnd"/>
      <w:r>
        <w:rPr>
          <w:rtl/>
        </w:rPr>
        <w:t xml:space="preserve"> ההלכה”:</w:t>
      </w:r>
      <w:bookmarkStart w:id="5473" w:name="_fnr4132"/>
      <w:r>
        <w:rPr>
          <w:vertAlign w:val="superscript"/>
          <w:rtl/>
        </w:rPr>
        <w:footnoteReference w:id="4142" w:customMarkFollows="0"/>
      </w:r>
      <w:bookmarkEnd w:id="5473"/>
      <w:r>
        <w:rPr>
          <w:rtl/>
        </w:rPr>
        <w:t xml:space="preserve"> יכולתו של הגאון מווילנה לשמוח בליל שמחת תורה שמחה עצומה, ולחזור בשבריר השנייה שבסוף ההקפות למצבו הרגיל והשלו, מוסברת שם בכך </w:t>
      </w:r>
      <w:proofErr w:type="spellStart"/>
      <w:r>
        <w:rPr>
          <w:rtl/>
        </w:rPr>
        <w:t>ש“איש</w:t>
      </w:r>
      <w:proofErr w:type="spellEnd"/>
      <w:r>
        <w:rPr>
          <w:rtl/>
        </w:rPr>
        <w:t xml:space="preserve"> ההלכה” נמנע מלשמוח אי פעם עד כדי אובדן שליטה. אבל הסבר זה אינו מסביר די הצורך את היעלמות ההשפעה המשכרת הגופנית של שתיית אלכוהול, כמו בחגיגת הפורים של ר׳ נפתלי. “שרידי אש” צדק כשראה ביכולת זו מעשה של שליטה עצמית – ואפשר וראוי להבין כך גם את מעשה הגאון.</w:t>
      </w:r>
    </w:p>
    <w:p w14:paraId="57184DD6" w14:textId="77777777" w:rsidR="00AB3647" w:rsidRDefault="00000000" w:rsidP="007923E9">
      <w:pPr>
        <w:pStyle w:val="4"/>
        <w:spacing w:line="276" w:lineRule="auto"/>
      </w:pPr>
      <w:r>
        <w:t>· הפסקה השנייה ·</w:t>
      </w:r>
    </w:p>
    <w:p w14:paraId="5A6EF3A4" w14:textId="77777777" w:rsidR="00AB3647" w:rsidRDefault="00000000" w:rsidP="007923E9">
      <w:pPr>
        <w:pStyle w:val="5"/>
        <w:spacing w:line="276" w:lineRule="auto"/>
      </w:pPr>
      <w:r>
        <w:rPr>
          <w:bCs/>
          <w:szCs w:val="26"/>
        </w:rPr>
        <w:t>ר׳ נפתלי אמסטרדם חוזר על הנחיה לצעירים מאת רבו – רבנו נותן דוגמה לכך שנעשה פחות אדוק עם התבגרותו.</w:t>
      </w:r>
    </w:p>
    <w:p w14:paraId="6D85BFCE" w14:textId="77777777" w:rsidR="00AB3647" w:rsidRDefault="00000000" w:rsidP="007923E9">
      <w:pPr>
        <w:spacing w:after="120" w:line="276" w:lineRule="auto"/>
        <w:ind w:firstLine="283"/>
        <w:jc w:val="both"/>
      </w:pPr>
      <w:r>
        <w:rPr>
          <w:rtl/>
        </w:rPr>
        <w:t xml:space="preserve">בזקנותו ביקר אבי בישראל בשלוש שנים רצופות, </w:t>
      </w:r>
      <w:proofErr w:type="spellStart"/>
      <w:r>
        <w:rPr>
          <w:rtl/>
        </w:rPr>
        <w:t>תש״ם</w:t>
      </w:r>
      <w:proofErr w:type="spellEnd"/>
      <w:r>
        <w:rPr>
          <w:rtl/>
        </w:rPr>
        <w:t xml:space="preserve">, תשמ״א </w:t>
      </w:r>
      <w:proofErr w:type="spellStart"/>
      <w:r>
        <w:rPr>
          <w:rtl/>
        </w:rPr>
        <w:t>ותשמ״ב</w:t>
      </w:r>
      <w:proofErr w:type="spellEnd"/>
      <w:r>
        <w:rPr>
          <w:rtl/>
        </w:rPr>
        <w:t xml:space="preserve">, אחרי שלושה ביקורים אחרים שהתפרסו על פני רבע המאה הקודם, </w:t>
      </w:r>
      <w:proofErr w:type="spellStart"/>
      <w:r>
        <w:rPr>
          <w:rtl/>
        </w:rPr>
        <w:t>בתשט״ז</w:t>
      </w:r>
      <w:proofErr w:type="spellEnd"/>
      <w:r>
        <w:rPr>
          <w:rtl/>
        </w:rPr>
        <w:t xml:space="preserve">, תשכ״ג </w:t>
      </w:r>
      <w:proofErr w:type="spellStart"/>
      <w:r>
        <w:rPr>
          <w:rtl/>
        </w:rPr>
        <w:t>ותשכ״ט</w:t>
      </w:r>
      <w:proofErr w:type="spellEnd"/>
      <w:r>
        <w:rPr>
          <w:rtl/>
        </w:rPr>
        <w:t>. באחד מביקוריו המאוחרים סיפר לנכדו ר׳ יוסף</w:t>
      </w:r>
      <w:bookmarkStart w:id="5474" w:name="_fnr4133"/>
      <w:r>
        <w:rPr>
          <w:vertAlign w:val="superscript"/>
          <w:rtl/>
        </w:rPr>
        <w:footnoteReference w:id="4143" w:customMarkFollows="0"/>
      </w:r>
      <w:bookmarkEnd w:id="5474"/>
      <w:r>
        <w:rPr>
          <w:rtl/>
        </w:rPr>
        <w:t xml:space="preserve"> על הנחיה שקבע לו ר׳ נפתלי, כשחזר על דברי ר׳ ישראל: “טוב שיש </w:t>
      </w:r>
      <w:proofErr w:type="spellStart"/>
      <w:r>
        <w:rPr>
          <w:rtl/>
        </w:rPr>
        <w:t>פרומקייט</w:t>
      </w:r>
      <w:proofErr w:type="spellEnd"/>
      <w:r>
        <w:rPr>
          <w:rtl/>
        </w:rPr>
        <w:t xml:space="preserve"> בצעירות, כי כשמזדקנים </w:t>
      </w:r>
      <w:proofErr w:type="spellStart"/>
      <w:r>
        <w:rPr>
          <w:rtl/>
        </w:rPr>
        <w:t>הפרומקייט</w:t>
      </w:r>
      <w:proofErr w:type="spellEnd"/>
      <w:r>
        <w:rPr>
          <w:rtl/>
        </w:rPr>
        <w:t xml:space="preserve"> פוחתת.” כששמע ר׳ נפתלי זאת מר׳ ישראל, היה בטוח שאין הדבר כך באמת, ושהרבי אומר זאת מתוך ענווה</w:t>
      </w:r>
      <w:bookmarkStart w:id="5475" w:name="_fnr4134"/>
      <w:r>
        <w:rPr>
          <w:vertAlign w:val="superscript"/>
          <w:rtl/>
        </w:rPr>
        <w:footnoteReference w:id="4144" w:customMarkFollows="0"/>
      </w:r>
      <w:bookmarkEnd w:id="5475"/>
      <w:r>
        <w:rPr>
          <w:rtl/>
        </w:rPr>
        <w:t xml:space="preserve">. אבל ככל שהזדקן ר׳ נפתלי אמסטרדם, ראה שכך הדבר. כשסיפר אבי את הסיפור, הוסיף שגם </w:t>
      </w:r>
      <w:r>
        <w:rPr>
          <w:rtl/>
        </w:rPr>
        <w:lastRenderedPageBreak/>
        <w:t>הוא טעה אותה טעות: הוא חשב שר׳ נפתלי אמר זאת מתוך ענווה, אבל כשהזדקן רבנו, ראה גם הוא שזו האמת.</w:t>
      </w:r>
    </w:p>
    <w:p w14:paraId="3F1C2AE3" w14:textId="77777777" w:rsidR="00AB3647" w:rsidRDefault="00000000" w:rsidP="007923E9">
      <w:pPr>
        <w:spacing w:after="120" w:line="276" w:lineRule="auto"/>
        <w:ind w:firstLine="283"/>
        <w:jc w:val="both"/>
      </w:pPr>
      <w:r>
        <w:rPr>
          <w:rtl/>
        </w:rPr>
        <w:t xml:space="preserve">אגב, ההסבר להיחלשות </w:t>
      </w:r>
      <w:proofErr w:type="spellStart"/>
      <w:r>
        <w:rPr>
          <w:rtl/>
        </w:rPr>
        <w:t>הפרומקייט</w:t>
      </w:r>
      <w:proofErr w:type="spellEnd"/>
      <w:r>
        <w:rPr>
          <w:rtl/>
        </w:rPr>
        <w:t xml:space="preserve"> עם הגיל עשוי להיות קשור לאמירה אחרת שמסר אבי בשם ר׳ ישראל </w:t>
      </w:r>
      <w:proofErr w:type="spellStart"/>
      <w:r>
        <w:rPr>
          <w:rtl/>
        </w:rPr>
        <w:t>סלנטר</w:t>
      </w:r>
      <w:bookmarkStart w:id="5476" w:name="_fnr4135"/>
      <w:proofErr w:type="spellEnd"/>
      <w:r>
        <w:rPr>
          <w:vertAlign w:val="superscript"/>
          <w:rtl/>
        </w:rPr>
        <w:footnoteReference w:id="4145" w:customMarkFollows="0"/>
      </w:r>
      <w:bookmarkEnd w:id="5476"/>
      <w:r>
        <w:rPr>
          <w:rtl/>
        </w:rPr>
        <w:t xml:space="preserve">: “בצעירותי ציפיתי לגדול ולהיות עוד גאון מווילנה, ואילו ידעתי שאהיה רק מה שאני, הייתי עושה לעצמי מעשה [</w:t>
      </w:r>
      <w:proofErr w:type="spellStart"/>
      <w:r>
        <w:rPr>
          <w:rtl/>
        </w:rPr>
        <w:t>זיך</w:t>
      </w:r>
      <w:proofErr w:type="spellEnd"/>
      <w:r>
        <w:rPr>
          <w:rtl/>
        </w:rPr>
        <w:t xml:space="preserve"> </w:t>
      </w:r>
      <w:proofErr w:type="spellStart"/>
      <w:r>
        <w:rPr>
          <w:rtl/>
        </w:rPr>
        <w:t>אנגעטאהן</w:t>
      </w:r>
      <w:proofErr w:type="spellEnd"/>
      <w:r>
        <w:rPr>
          <w:rtl/>
        </w:rPr>
        <w:t xml:space="preserve"> א מעשה, לשון נקייה להתאבדות]; מצד שני, אילו לא הייתה לי השאיפה להיות כמו הגאון מווילנה, לא הייתי נעשה אפילו מה שאני.” לפיכך, בצעירותו ציפה ר׳ ישראל להקיף את כל היהדות, מן המרכיב החשוב ביותר ועד הפחות חשוב – ענייני </w:t>
      </w:r>
      <w:proofErr w:type="spellStart"/>
      <w:r>
        <w:rPr>
          <w:rtl/>
        </w:rPr>
        <w:t>פרומקייט</w:t>
      </w:r>
      <w:proofErr w:type="spellEnd"/>
      <w:r>
        <w:rPr>
          <w:rtl/>
        </w:rPr>
        <w:t xml:space="preserve">. כשגדל והבין שבניגוד לגאון מווילנה לא יוכל לכלול את הכול, ויתר על הפחות חשוב, </w:t>
      </w:r>
      <w:proofErr w:type="spellStart"/>
      <w:r>
        <w:rPr>
          <w:rtl/>
        </w:rPr>
        <w:t>הפרומקייט</w:t>
      </w:r>
      <w:proofErr w:type="spellEnd"/>
      <w:r>
        <w:rPr>
          <w:rtl/>
        </w:rPr>
        <w:t>, והתרכז בעניינים המהותיים יותר.</w:t>
      </w:r>
    </w:p>
    <w:p w14:paraId="36A6136B" w14:textId="77777777" w:rsidR="00AB3647" w:rsidRDefault="00000000" w:rsidP="007923E9">
      <w:pPr>
        <w:spacing w:after="120" w:line="276" w:lineRule="auto"/>
        <w:ind w:firstLine="283"/>
        <w:jc w:val="both"/>
      </w:pPr>
      <w:r>
        <w:rPr>
          <w:rtl/>
        </w:rPr>
        <w:t xml:space="preserve">היחלשות </w:t>
      </w:r>
      <w:proofErr w:type="spellStart"/>
      <w:r>
        <w:rPr>
          <w:rtl/>
        </w:rPr>
        <w:t>הפרומקייט</w:t>
      </w:r>
      <w:proofErr w:type="spellEnd"/>
      <w:r>
        <w:rPr>
          <w:rtl/>
        </w:rPr>
        <w:t xml:space="preserve"> עשויה להיות קשורה גם לשינוי “פיזיולוגי” שתיאר ר׳ </w:t>
      </w:r>
      <w:proofErr w:type="spellStart"/>
      <w:r>
        <w:rPr>
          <w:rtl/>
        </w:rPr>
        <w:t>איצל׳ה</w:t>
      </w:r>
      <w:proofErr w:type="spellEnd"/>
      <w:r>
        <w:rPr>
          <w:rtl/>
        </w:rPr>
        <w:t xml:space="preserve"> </w:t>
      </w:r>
      <w:proofErr w:type="spellStart"/>
      <w:r>
        <w:rPr>
          <w:rtl/>
        </w:rPr>
        <w:t>בלאזר</w:t>
      </w:r>
      <w:proofErr w:type="spellEnd"/>
      <w:r>
        <w:rPr>
          <w:rtl/>
        </w:rPr>
        <w:t xml:space="preserve">, כפי שנרשם </w:t>
      </w:r>
      <w:proofErr w:type="spellStart"/>
      <w:r>
        <w:rPr>
          <w:rtl/>
        </w:rPr>
        <w:t>ב“כתבי</w:t>
      </w:r>
      <w:proofErr w:type="spellEnd"/>
      <w:r>
        <w:rPr>
          <w:rtl/>
        </w:rPr>
        <w:t xml:space="preserve"> הסבא” בשם</w:t>
      </w:r>
      <w:bookmarkStart w:id="5477" w:name="_fnr4136"/>
      <w:r>
        <w:rPr>
          <w:vertAlign w:val="superscript"/>
          <w:rtl/>
        </w:rPr>
        <w:footnoteReference w:id="4146" w:customMarkFollows="0"/>
      </w:r>
      <w:bookmarkEnd w:id="5477"/>
      <w:r>
        <w:rPr>
          <w:rtl/>
        </w:rPr>
        <w:t xml:space="preserve"> ר׳ גרשון </w:t>
      </w:r>
      <w:proofErr w:type="spellStart"/>
      <w:r>
        <w:rPr>
          <w:rtl/>
        </w:rPr>
        <w:t>מיאדניק</w:t>
      </w:r>
      <w:proofErr w:type="spellEnd"/>
      <w:r>
        <w:rPr>
          <w:rtl/>
        </w:rPr>
        <w:t xml:space="preserve">. ר׳ </w:t>
      </w:r>
      <w:proofErr w:type="spellStart"/>
      <w:r>
        <w:rPr>
          <w:rtl/>
        </w:rPr>
        <w:t>איצל׳ה</w:t>
      </w:r>
      <w:proofErr w:type="spellEnd"/>
      <w:r>
        <w:rPr>
          <w:rtl/>
        </w:rPr>
        <w:t xml:space="preserve"> אמר: “הלב נעשה גרוע יותר ככל שהוא מזדקן, אף שהשכל נעשה טוב יותר – וזו ידיעה נחוצה לאדם!” ייתכן </w:t>
      </w:r>
      <w:proofErr w:type="spellStart"/>
      <w:r>
        <w:rPr>
          <w:rtl/>
        </w:rPr>
        <w:t>שפרומקייט</w:t>
      </w:r>
      <w:proofErr w:type="spellEnd"/>
      <w:r>
        <w:rPr>
          <w:rtl/>
        </w:rPr>
        <w:t xml:space="preserve"> היא ביטוי להשקעת לב יתרה בקיום התורה.</w:t>
      </w:r>
    </w:p>
    <w:p w14:paraId="1C43B841" w14:textId="77777777" w:rsidR="00AB3647" w:rsidRDefault="00000000" w:rsidP="007923E9">
      <w:pPr>
        <w:spacing w:after="120" w:line="276" w:lineRule="auto"/>
        <w:ind w:firstLine="283"/>
        <w:jc w:val="both"/>
      </w:pPr>
      <w:r>
        <w:rPr>
          <w:rtl/>
        </w:rPr>
        <w:t xml:space="preserve">הדוגמה שנתן אבי </w:t>
      </w:r>
      <w:proofErr w:type="spellStart"/>
      <w:r>
        <w:rPr>
          <w:rtl/>
        </w:rPr>
        <w:t>לפרומקייט</w:t>
      </w:r>
      <w:proofErr w:type="spellEnd"/>
      <w:r>
        <w:rPr>
          <w:rtl/>
        </w:rPr>
        <w:t xml:space="preserve"> שלו, שראה אותה פוחתת עם הגיל, הייתה בחירת הפסוק שאומרים מדי יום בסוף העמידה. לפי רש״י המוסגר על מיכה ו, ט, יש לבחור פסוק שמתחיל ומסתיים באותיות שבהן מתחיל ומסתיים שמו של האדם</w:t>
      </w:r>
      <w:bookmarkStart w:id="5478" w:name="_fnr4137"/>
      <w:r>
        <w:rPr>
          <w:vertAlign w:val="superscript"/>
          <w:rtl/>
        </w:rPr>
        <w:footnoteReference w:id="4147" w:customMarkFollows="0"/>
      </w:r>
      <w:bookmarkEnd w:id="5478"/>
      <w:r>
        <w:rPr>
          <w:rtl/>
        </w:rPr>
        <w:t>. אבי אמר: “בצעירותי הקפדתי יותר מאשר בזקנותי למעט ככל האפשר באמירת שמותיו הקדושים של העליון. הסידורים מדפיסים פסוק למי ששמו כשמי, יעקב, ובו נזכר שם ה׳ פעמיים [תהלים כ, ב]. בצעירותי מצאתי פסוק שיש בו רק אזכור אחד של שמו, ואמרתי אותו. אבל כשזקנתי, חזרתי לפסוק שבסידור.” אבי לא גילה איזה פסוק אמר במקומו בצעירותו, אבל כנראה היה זה “ישמח צדיק בה׳ וְחָסָה בו ויתהללו כל ישרי לב”, בתהלים סד, יא</w:t>
      </w:r>
      <w:bookmarkStart w:id="5479" w:name="_fnr4138"/>
      <w:r>
        <w:rPr>
          <w:vertAlign w:val="superscript"/>
          <w:rtl/>
        </w:rPr>
        <w:footnoteReference w:id="4148" w:customMarkFollows="0"/>
      </w:r>
      <w:bookmarkEnd w:id="5479"/>
      <w:r>
        <w:rPr>
          <w:rtl/>
        </w:rPr>
        <w:t xml:space="preserve">. השווה גם לספרו של </w:t>
      </w:r>
      <w:proofErr w:type="spellStart"/>
      <w:r>
        <w:rPr>
          <w:rtl/>
        </w:rPr>
        <w:t>ידעאל</w:t>
      </w:r>
      <w:proofErr w:type="spellEnd"/>
      <w:r>
        <w:rPr>
          <w:rtl/>
        </w:rPr>
        <w:t xml:space="preserve"> מלצר, “בדרך עץ החיים”</w:t>
      </w:r>
      <w:bookmarkStart w:id="5480" w:name="_fnr4139"/>
      <w:r>
        <w:rPr>
          <w:vertAlign w:val="superscript"/>
          <w:rtl/>
        </w:rPr>
        <w:footnoteReference w:id="4149" w:customMarkFollows="0"/>
      </w:r>
      <w:bookmarkEnd w:id="5480"/>
      <w:r>
        <w:rPr>
          <w:rtl/>
        </w:rPr>
        <w:t xml:space="preserve">, על כך שר׳ </w:t>
      </w:r>
      <w:proofErr w:type="spellStart"/>
      <w:r>
        <w:rPr>
          <w:rtl/>
        </w:rPr>
        <w:t>איסר־זלמן</w:t>
      </w:r>
      <w:proofErr w:type="spellEnd"/>
      <w:r>
        <w:rPr>
          <w:rtl/>
        </w:rPr>
        <w:t xml:space="preserve"> התעורר מן הדאגה שגילה אדם שבירך בשוגג ברכה לבטלה. ייתכן שאבי התעורר לזהירות היתרה באמירת שם העליון בעקבות רבו זה</w:t>
      </w:r>
      <w:bookmarkStart w:id="5481" w:name="_fnr4140"/>
      <w:r>
        <w:rPr>
          <w:vertAlign w:val="superscript"/>
          <w:rtl/>
        </w:rPr>
        <w:footnoteReference w:id="4150" w:customMarkFollows="0"/>
      </w:r>
      <w:bookmarkEnd w:id="5481"/>
      <w:r>
        <w:rPr>
          <w:rtl/>
        </w:rPr>
        <w:t>.</w:t>
      </w:r>
    </w:p>
    <w:p w14:paraId="6D005AEB" w14:textId="77777777" w:rsidR="00AB3647" w:rsidRDefault="00000000" w:rsidP="007923E9">
      <w:pPr>
        <w:pStyle w:val="4"/>
        <w:spacing w:line="276" w:lineRule="auto"/>
      </w:pPr>
      <w:r>
        <w:lastRenderedPageBreak/>
        <w:t>· הפסקה השלישית ·</w:t>
      </w:r>
    </w:p>
    <w:p w14:paraId="41ACEA3F" w14:textId="77777777" w:rsidR="00AB3647" w:rsidRDefault="00000000" w:rsidP="007923E9">
      <w:pPr>
        <w:pStyle w:val="5"/>
        <w:spacing w:line="276" w:lineRule="auto"/>
      </w:pPr>
      <w:r>
        <w:rPr>
          <w:bCs/>
          <w:szCs w:val="26"/>
        </w:rPr>
        <w:t>בהתפרצות של אדיקות מכריז רבנו שאינו אוכל שרויה – חושבים שאינו בוטח בכשרות של רבו – ייתכן שקיבל עליו להימנע משרויה מאותה סיבה שבגללה נמנעים ממנה חסידים – הוא מספר על אירועים אחרים של אדיקות יתרה בצעירותו.</w:t>
      </w:r>
    </w:p>
    <w:p w14:paraId="21A35CEA" w14:textId="77777777" w:rsidR="00AB3647" w:rsidRDefault="00000000" w:rsidP="007923E9">
      <w:pPr>
        <w:spacing w:after="120" w:line="276" w:lineRule="auto"/>
        <w:ind w:firstLine="283"/>
        <w:jc w:val="both"/>
      </w:pPr>
      <w:r>
        <w:rPr>
          <w:rtl/>
        </w:rPr>
        <w:t xml:space="preserve">דוגמה נוספת </w:t>
      </w:r>
      <w:proofErr w:type="spellStart"/>
      <w:r>
        <w:rPr>
          <w:rtl/>
        </w:rPr>
        <w:t>לפרומקייט</w:t>
      </w:r>
      <w:proofErr w:type="spellEnd"/>
      <w:r>
        <w:rPr>
          <w:rtl/>
        </w:rPr>
        <w:t xml:space="preserve"> של אבי בצעירותו קשורה לסיפור הידוע הממחיש את דבקותו הבלתי מתפשרת בדיבורו. מפורסם שפעם הוזמן לאכול בפסח בביתו של אדם מסוים, ומכיוון שלא רצה לאכול שם – מסיבה שתידון להלן – אמר למארחו, כתירוץ, שאינו אוכל שרויה. ומאחר שאמר כך, לא אכל עוד שרויה עד סוף ימיו. מה שאינו ידוע בדרך כלל הוא שהמעשה אירע בבית הסבא </w:t>
      </w:r>
      <w:proofErr w:type="spellStart"/>
      <w:r>
        <w:rPr>
          <w:rtl/>
        </w:rPr>
        <w:t>מסלבודקה</w:t>
      </w:r>
      <w:proofErr w:type="spellEnd"/>
      <w:r>
        <w:rPr>
          <w:rtl/>
        </w:rPr>
        <w:t xml:space="preserve">, כשהוגש לאבי מרק עם קניידלך. כך סיפר רבנו לאחי ר׳ אברהם. גם ר׳ פרץ </w:t>
      </w:r>
      <w:proofErr w:type="spellStart"/>
      <w:r>
        <w:rPr>
          <w:rtl/>
        </w:rPr>
        <w:t>פוזן</w:t>
      </w:r>
      <w:bookmarkStart w:id="5482" w:name="_fnr4141"/>
      <w:proofErr w:type="spellEnd"/>
      <w:r>
        <w:rPr>
          <w:vertAlign w:val="superscript"/>
          <w:rtl/>
        </w:rPr>
        <w:footnoteReference w:id="4151" w:customMarkFollows="0"/>
      </w:r>
      <w:bookmarkEnd w:id="5482"/>
      <w:r>
        <w:rPr>
          <w:rtl/>
        </w:rPr>
        <w:t xml:space="preserve"> שמע מאבי שמי שאת הצעתו דחה היה הסבא </w:t>
      </w:r>
      <w:proofErr w:type="spellStart"/>
      <w:r>
        <w:rPr>
          <w:rtl/>
        </w:rPr>
        <w:t>מסלבודקה</w:t>
      </w:r>
      <w:proofErr w:type="spellEnd"/>
      <w:r>
        <w:rPr>
          <w:rtl/>
        </w:rPr>
        <w:t xml:space="preserve">, אבל מעולם לא שמע מרבנו שעד אותו מעשה אכן אכל שרויה: ר׳ פרץ הניח בטעות שבגלל המנהג שנהגו בו כמה חוגים באירופה, ובייחוד חוגים חסידיים, אבי לא אכל שרויה גם קודם לכן. עוד אמר רבנו </w:t>
      </w:r>
      <w:proofErr w:type="spellStart"/>
      <w:r>
        <w:rPr>
          <w:rtl/>
        </w:rPr>
        <w:t>לר</w:t>
      </w:r>
      <w:proofErr w:type="spellEnd"/>
      <w:r>
        <w:rPr>
          <w:rtl/>
        </w:rPr>
        <w:t xml:space="preserve">׳ פרץ </w:t>
      </w:r>
      <w:proofErr w:type="spellStart"/>
      <w:r>
        <w:rPr>
          <w:rtl/>
        </w:rPr>
        <w:t>פוזן</w:t>
      </w:r>
      <w:proofErr w:type="spellEnd"/>
      <w:r>
        <w:rPr>
          <w:rtl/>
        </w:rPr>
        <w:t xml:space="preserve"> שכאשר הודיע לסבא שלא יאכל את הקניידלך מפני שאינו אוכל שרויה, אמר לו הסבא בתקיפות: “אני אומר לך לאכול!” ואבי אכל אותם.</w:t>
      </w:r>
    </w:p>
    <w:p w14:paraId="13303150" w14:textId="77777777" w:rsidR="00AB3647" w:rsidRDefault="00000000" w:rsidP="007923E9">
      <w:pPr>
        <w:spacing w:after="120" w:line="276" w:lineRule="auto"/>
        <w:ind w:firstLine="283"/>
        <w:jc w:val="both"/>
      </w:pPr>
      <w:r>
        <w:rPr>
          <w:rtl/>
        </w:rPr>
        <w:t xml:space="preserve">ר׳ פרץ הוטרד מן השאלה כיצד יכול היה אבי להפר את מה שנחשב בעיניו מנהג משפחתו, שלא לאכול שרויה, בלי לעשות התרת נדרים כדין על </w:t>
      </w:r>
      <w:proofErr w:type="spellStart"/>
      <w:r>
        <w:rPr>
          <w:rtl/>
        </w:rPr>
        <w:t>ה“נדר</w:t>
      </w:r>
      <w:proofErr w:type="spellEnd"/>
      <w:r>
        <w:rPr>
          <w:rtl/>
        </w:rPr>
        <w:t xml:space="preserve">” שמנהגי משפחה יוצרים. ר׳ פרץ </w:t>
      </w:r>
      <w:proofErr w:type="spellStart"/>
      <w:r>
        <w:rPr>
          <w:rtl/>
        </w:rPr>
        <w:t>פוזן</w:t>
      </w:r>
      <w:proofErr w:type="spellEnd"/>
      <w:r>
        <w:rPr>
          <w:rtl/>
        </w:rPr>
        <w:t xml:space="preserve"> חשב </w:t>
      </w:r>
      <w:proofErr w:type="spellStart"/>
      <w:r>
        <w:rPr>
          <w:rtl/>
        </w:rPr>
        <w:t>בלבו</w:t>
      </w:r>
      <w:proofErr w:type="spellEnd"/>
      <w:r>
        <w:rPr>
          <w:rtl/>
        </w:rPr>
        <w:t xml:space="preserve"> שהסבא, שהיה תלמיד חכם, בוודאי ידע את ההלכה – מתי צריך התרת נדרים כדי להפר מנהג, ומתי אין צורך בכך – ור׳ פרץ הניח לעניין. עיקר גרסתו של אחי הוא שאבי קיים את דבריו גם כשנאמרו כתירוץ כוזב, ואילו עיקר גרסתו (המוטעית) של ר׳ פרץ </w:t>
      </w:r>
      <w:proofErr w:type="spellStart"/>
      <w:r>
        <w:rPr>
          <w:rtl/>
        </w:rPr>
        <w:t>פוזן</w:t>
      </w:r>
      <w:proofErr w:type="spellEnd"/>
      <w:r>
        <w:rPr>
          <w:rtl/>
        </w:rPr>
        <w:t xml:space="preserve"> הוא שאבי הפר מנהג משפחתי קבוע בהוראת רבו</w:t>
      </w:r>
      <w:bookmarkStart w:id="5483" w:name="_fnr4142"/>
      <w:r>
        <w:rPr>
          <w:vertAlign w:val="superscript"/>
          <w:rtl/>
        </w:rPr>
        <w:footnoteReference w:id="4152" w:customMarkFollows="0"/>
      </w:r>
      <w:bookmarkEnd w:id="5483"/>
      <w:r>
        <w:rPr>
          <w:rtl/>
        </w:rPr>
        <w:t>.</w:t>
      </w:r>
    </w:p>
    <w:p w14:paraId="3AE0754C" w14:textId="77777777" w:rsidR="00AB3647" w:rsidRDefault="00000000" w:rsidP="007923E9">
      <w:pPr>
        <w:spacing w:after="120" w:line="276" w:lineRule="auto"/>
        <w:ind w:firstLine="283"/>
        <w:jc w:val="both"/>
      </w:pPr>
      <w:r>
        <w:rPr>
          <w:rtl/>
        </w:rPr>
        <w:t>לא ברור מדוע החליט אבי, לפי גרסת אחי, שלא לאכול את הקניידלך באותו מעמד. בסיפור הרווח – שאינו יודע שהמעשה אירע בבית הסבא, כאמור – נאמר שאבי לא סמך על כשרות מארחו</w:t>
      </w:r>
      <w:bookmarkStart w:id="5484" w:name="_fnr4143"/>
      <w:r>
        <w:rPr>
          <w:vertAlign w:val="superscript"/>
          <w:rtl/>
        </w:rPr>
        <w:footnoteReference w:id="4153" w:customMarkFollows="0"/>
      </w:r>
      <w:bookmarkEnd w:id="5484"/>
      <w:r>
        <w:rPr>
          <w:rtl/>
        </w:rPr>
        <w:t xml:space="preserve">, ושחוסר האמון לא היה אלא תוצאה קיצונית של </w:t>
      </w:r>
      <w:proofErr w:type="spellStart"/>
      <w:r>
        <w:rPr>
          <w:rtl/>
        </w:rPr>
        <w:t>פרומקייט</w:t>
      </w:r>
      <w:proofErr w:type="spellEnd"/>
      <w:r>
        <w:rPr>
          <w:rtl/>
        </w:rPr>
        <w:t xml:space="preserve"> נעורים. אבל מכיוון שהמעשה אירע ליד שולחנו של ר׳ </w:t>
      </w:r>
      <w:proofErr w:type="spellStart"/>
      <w:r>
        <w:rPr>
          <w:rtl/>
        </w:rPr>
        <w:t>נתן־צבי</w:t>
      </w:r>
      <w:proofErr w:type="spellEnd"/>
      <w:r>
        <w:rPr>
          <w:rtl/>
        </w:rPr>
        <w:t xml:space="preserve"> </w:t>
      </w:r>
      <w:proofErr w:type="spellStart"/>
      <w:r>
        <w:rPr>
          <w:rtl/>
        </w:rPr>
        <w:t>פינקל</w:t>
      </w:r>
      <w:proofErr w:type="spellEnd"/>
      <w:r>
        <w:rPr>
          <w:rtl/>
        </w:rPr>
        <w:t xml:space="preserve">, אכן מוזר שאבי, אפילו בהתפרצות של </w:t>
      </w:r>
      <w:proofErr w:type="spellStart"/>
      <w:r>
        <w:rPr>
          <w:rtl/>
        </w:rPr>
        <w:t>פרומקייט</w:t>
      </w:r>
      <w:proofErr w:type="spellEnd"/>
      <w:r>
        <w:rPr>
          <w:rtl/>
        </w:rPr>
        <w:t xml:space="preserve">, יפקפק בכשרות של רבו. קושי נוסף: מדוע התמקדה </w:t>
      </w:r>
      <w:proofErr w:type="spellStart"/>
      <w:r>
        <w:rPr>
          <w:rtl/>
        </w:rPr>
        <w:t>הפרומקייט</w:t>
      </w:r>
      <w:proofErr w:type="spellEnd"/>
      <w:r>
        <w:rPr>
          <w:rtl/>
        </w:rPr>
        <w:t xml:space="preserve"> של אבי באיסור הקניידלך, בעוד ששאר הארוחה נחשבה בעיניו כשרה די הצורך</w:t>
      </w:r>
      <w:bookmarkStart w:id="5485" w:name="_fnr4144"/>
      <w:r>
        <w:rPr>
          <w:vertAlign w:val="superscript"/>
          <w:rtl/>
        </w:rPr>
        <w:footnoteReference w:id="4154" w:customMarkFollows="0"/>
      </w:r>
      <w:bookmarkEnd w:id="5485"/>
      <w:r>
        <w:rPr>
          <w:rtl/>
        </w:rPr>
        <w:t>? אבל על “</w:t>
      </w:r>
      <w:proofErr w:type="spellStart"/>
      <w:r>
        <w:rPr>
          <w:rtl/>
        </w:rPr>
        <w:t>פרומקייט</w:t>
      </w:r>
      <w:proofErr w:type="spellEnd"/>
      <w:r>
        <w:rPr>
          <w:rtl/>
        </w:rPr>
        <w:t xml:space="preserve"> של צעירים” אי אפשר לשאול שאלות הגיוניות</w:t>
      </w:r>
      <w:bookmarkStart w:id="5486" w:name="_fnr4145"/>
      <w:r>
        <w:rPr>
          <w:vertAlign w:val="superscript"/>
          <w:rtl/>
        </w:rPr>
        <w:footnoteReference w:id="4155" w:customMarkFollows="0"/>
      </w:r>
      <w:bookmarkEnd w:id="5486"/>
      <w:r>
        <w:rPr>
          <w:rtl/>
        </w:rPr>
        <w:t>!</w:t>
      </w:r>
    </w:p>
    <w:p w14:paraId="5000B708" w14:textId="77777777" w:rsidR="00AB3647" w:rsidRDefault="00000000" w:rsidP="007923E9">
      <w:pPr>
        <w:spacing w:after="120" w:line="276" w:lineRule="auto"/>
        <w:ind w:firstLine="283"/>
        <w:jc w:val="both"/>
      </w:pPr>
      <w:r>
        <w:rPr>
          <w:rtl/>
        </w:rPr>
        <w:t xml:space="preserve">עם זאת, יש לצרף את דברי אחי ואת דברי ר׳ פרץ </w:t>
      </w:r>
      <w:proofErr w:type="spellStart"/>
      <w:r>
        <w:rPr>
          <w:rtl/>
        </w:rPr>
        <w:t>פוזן</w:t>
      </w:r>
      <w:proofErr w:type="spellEnd"/>
      <w:r>
        <w:rPr>
          <w:rtl/>
        </w:rPr>
        <w:t xml:space="preserve">: אמירתו של רבנו שאינו אוכל שרויה הייתה אמת, כפי שהבין ר׳ פרץ, אבל עד אז אכל שרויה, כפי שהבין אחי וכפי שיודעים כל בני </w:t>
      </w:r>
      <w:r>
        <w:rPr>
          <w:rtl/>
        </w:rPr>
        <w:lastRenderedPageBreak/>
        <w:t xml:space="preserve">המשפחה. מצירוף זה אפשר להציע שלא בעיית כשרות היא שהביאה להצהרת אבי בבית הסבא. כך התרחש הדבר: מתוך </w:t>
      </w:r>
      <w:proofErr w:type="spellStart"/>
      <w:r>
        <w:rPr>
          <w:rtl/>
        </w:rPr>
        <w:t>פרומקייט</w:t>
      </w:r>
      <w:proofErr w:type="spellEnd"/>
      <w:r>
        <w:rPr>
          <w:rtl/>
        </w:rPr>
        <w:t xml:space="preserve"> החליט רבנו – זמן מה לפני שאמר זאת בפיו ליד שולחן הסבא – שלא לאכול שרויה. </w:t>
      </w:r>
      <w:proofErr w:type="spellStart"/>
      <w:r>
        <w:rPr>
          <w:rtl/>
        </w:rPr>
        <w:t>פרומקייט</w:t>
      </w:r>
      <w:proofErr w:type="spellEnd"/>
      <w:r>
        <w:rPr>
          <w:rtl/>
        </w:rPr>
        <w:t xml:space="preserve"> זו נבעה מאותו טעם שבגללו חסידים נמנעים משרויה, כלומר מזהירות יתרה מחמץ: שמא נותר במצה קמח שלא נאפה, והוא עלול להחמיץ אם יתערבב בנוזל במהלך הארוחה.</w:t>
      </w:r>
    </w:p>
    <w:p w14:paraId="467A8041" w14:textId="77777777" w:rsidR="00AB3647" w:rsidRDefault="00000000" w:rsidP="007923E9">
      <w:pPr>
        <w:spacing w:after="120" w:line="276" w:lineRule="auto"/>
        <w:ind w:firstLine="283"/>
        <w:jc w:val="both"/>
      </w:pPr>
      <w:r>
        <w:rPr>
          <w:rtl/>
        </w:rPr>
        <w:t xml:space="preserve">הסבא הבין שתלמידו, שבא מבית מתנגדי, אכן אכל תמיד שרויה עד אז, ובהשפעת “התקף” של </w:t>
      </w:r>
      <w:proofErr w:type="spellStart"/>
      <w:r>
        <w:rPr>
          <w:rtl/>
        </w:rPr>
        <w:t>פרומקייט</w:t>
      </w:r>
      <w:proofErr w:type="spellEnd"/>
      <w:r>
        <w:rPr>
          <w:rtl/>
        </w:rPr>
        <w:t xml:space="preserve"> החליט להתחיל להימנע ממנה. מכיוון שאבי עדיין לא התחיל להימנע משרויה בפועל, לא היה צריך התרת נדרים כדי להתיר לעצמו לאכול את הקניידלך באותו מעמד. בכך שחייב אותו לאכול את הקניידלך, ביטל הסבא את </w:t>
      </w:r>
      <w:proofErr w:type="spellStart"/>
      <w:r>
        <w:rPr>
          <w:rtl/>
        </w:rPr>
        <w:t>הפרומקייט</w:t>
      </w:r>
      <w:proofErr w:type="spellEnd"/>
      <w:r>
        <w:rPr>
          <w:rtl/>
        </w:rPr>
        <w:t xml:space="preserve"> </w:t>
      </w:r>
      <w:proofErr w:type="spellStart"/>
      <w:r>
        <w:rPr>
          <w:rtl/>
        </w:rPr>
        <w:t>הנעורית</w:t>
      </w:r>
      <w:proofErr w:type="spellEnd"/>
      <w:r>
        <w:rPr>
          <w:rtl/>
        </w:rPr>
        <w:t xml:space="preserve"> של תלמידו. לאחר שהסבא הכריחו לאכול, הבין אבי שלא היה לו לקבל על עצמו את </w:t>
      </w:r>
      <w:proofErr w:type="spellStart"/>
      <w:r>
        <w:rPr>
          <w:rtl/>
        </w:rPr>
        <w:t>הפרומקייט</w:t>
      </w:r>
      <w:proofErr w:type="spellEnd"/>
      <w:r>
        <w:rPr>
          <w:rtl/>
        </w:rPr>
        <w:t xml:space="preserve"> המסוימת הזאת, והיא מעולם לא נעשתה “נדר” מצדו. אולם מכיוון שאמר לרבו שאינו אוכל שרויה, חש שעליו לדבוק בנוהג הזה – לא משום זהירות יתרה מחמץ</w:t>
      </w:r>
      <w:bookmarkStart w:id="5487" w:name="_fnr4146"/>
      <w:r>
        <w:rPr>
          <w:vertAlign w:val="superscript"/>
          <w:rtl/>
        </w:rPr>
        <w:footnoteReference w:id="4156" w:customMarkFollows="0"/>
      </w:r>
      <w:bookmarkEnd w:id="5487"/>
      <w:r>
        <w:rPr>
          <w:rtl/>
        </w:rPr>
        <w:t>, אלא מפני שמילה היא מילה</w:t>
      </w:r>
      <w:bookmarkStart w:id="5488" w:name="_fnr4147"/>
      <w:r>
        <w:rPr>
          <w:vertAlign w:val="superscript"/>
          <w:rtl/>
        </w:rPr>
        <w:footnoteReference w:id="4157" w:customMarkFollows="0"/>
      </w:r>
      <w:bookmarkEnd w:id="5488"/>
      <w:r>
        <w:rPr>
          <w:rtl/>
        </w:rPr>
        <w:t xml:space="preserve">! לפי גילויו של ר׳ פרץ </w:t>
      </w:r>
      <w:proofErr w:type="spellStart"/>
      <w:r>
        <w:rPr>
          <w:rtl/>
        </w:rPr>
        <w:t>פוזן</w:t>
      </w:r>
      <w:proofErr w:type="spellEnd"/>
      <w:r>
        <w:rPr>
          <w:rtl/>
        </w:rPr>
        <w:t>, שבשעת ההצהרה אכן אכל רבנו את הקניידלך, הימנעותו משרויה מכאן ואילך מעידה ביתר שאת על דבקותו המופלאה בדיבורו.</w:t>
      </w:r>
    </w:p>
    <w:p w14:paraId="649708FD" w14:textId="77777777" w:rsidR="00AB3647" w:rsidRDefault="00000000" w:rsidP="007923E9">
      <w:pPr>
        <w:spacing w:after="120" w:line="276" w:lineRule="auto"/>
        <w:ind w:firstLine="283"/>
        <w:jc w:val="both"/>
      </w:pPr>
      <w:r>
        <w:rPr>
          <w:rtl/>
        </w:rPr>
        <w:t>נאמר לי</w:t>
      </w:r>
      <w:bookmarkStart w:id="5489" w:name="_fnr4148"/>
      <w:r>
        <w:rPr>
          <w:vertAlign w:val="superscript"/>
          <w:rtl/>
        </w:rPr>
        <w:footnoteReference w:id="4158" w:customMarkFollows="0"/>
      </w:r>
      <w:bookmarkEnd w:id="5489"/>
      <w:r>
        <w:rPr>
          <w:rtl/>
        </w:rPr>
        <w:t xml:space="preserve"> שאבי החליט בצעירותו לנהוג לפי ההוראות שבספר “יסוד ושורש העבודה”, המבוססות על הקבלה, אבל כשראה שאינו יכול להתמיד בכך, הניח לזה. דיווחו של ר׳ דוד שפיגל</w:t>
      </w:r>
      <w:bookmarkStart w:id="5490" w:name="_fnr4149"/>
      <w:r>
        <w:rPr>
          <w:vertAlign w:val="superscript"/>
          <w:rtl/>
        </w:rPr>
        <w:footnoteReference w:id="4159" w:customMarkFollows="0"/>
      </w:r>
      <w:bookmarkEnd w:id="5490"/>
      <w:r>
        <w:rPr>
          <w:rtl/>
        </w:rPr>
        <w:t xml:space="preserve"> נוגע בעקיפין </w:t>
      </w:r>
      <w:proofErr w:type="spellStart"/>
      <w:r>
        <w:rPr>
          <w:rtl/>
        </w:rPr>
        <w:t>לפרומקייט</w:t>
      </w:r>
      <w:proofErr w:type="spellEnd"/>
      <w:r>
        <w:rPr>
          <w:rtl/>
        </w:rPr>
        <w:t xml:space="preserve"> בצעירות: אבי אמר פעם </w:t>
      </w:r>
      <w:proofErr w:type="spellStart"/>
      <w:r>
        <w:rPr>
          <w:rtl/>
        </w:rPr>
        <w:t>לר</w:t>
      </w:r>
      <w:proofErr w:type="spellEnd"/>
      <w:r>
        <w:rPr>
          <w:rtl/>
        </w:rPr>
        <w:t xml:space="preserve">׳ הלל דוד שכבחור צעיר </w:t>
      </w:r>
      <w:proofErr w:type="spellStart"/>
      <w:r>
        <w:rPr>
          <w:rtl/>
        </w:rPr>
        <w:t>בסלבודקה</w:t>
      </w:r>
      <w:proofErr w:type="spellEnd"/>
      <w:r>
        <w:rPr>
          <w:rtl/>
        </w:rPr>
        <w:t xml:space="preserve"> היה רץ פעמים רבות סביב מיטתו לפני השינה, כדי שיירדם בלי הרהורים. קשורה לכך גם עדותו של ר׳ ישעיה שכטר</w:t>
      </w:r>
      <w:bookmarkStart w:id="5491" w:name="_fnr4150"/>
      <w:r>
        <w:rPr>
          <w:vertAlign w:val="superscript"/>
          <w:rtl/>
        </w:rPr>
        <w:footnoteReference w:id="4160" w:customMarkFollows="0"/>
      </w:r>
      <w:bookmarkEnd w:id="5491"/>
      <w:r>
        <w:rPr>
          <w:rtl/>
        </w:rPr>
        <w:t>, שרבנו אמר שלא היה לו טעם באוכל עד זקנותו, והצטער על שהתפתח אצלו.</w:t>
      </w:r>
    </w:p>
    <w:p w14:paraId="1140C7C7" w14:textId="77777777" w:rsidR="00AB3647" w:rsidRDefault="00000000" w:rsidP="007923E9">
      <w:pPr>
        <w:pStyle w:val="4"/>
        <w:spacing w:line="276" w:lineRule="auto"/>
      </w:pPr>
      <w:r>
        <w:t>· הפסקה הרביעית ·</w:t>
      </w:r>
    </w:p>
    <w:p w14:paraId="7D3CC60D" w14:textId="77777777" w:rsidR="00AB3647" w:rsidRDefault="00000000" w:rsidP="007923E9">
      <w:pPr>
        <w:pStyle w:val="5"/>
        <w:spacing w:line="276" w:lineRule="auto"/>
      </w:pPr>
      <w:r>
        <w:rPr>
          <w:bCs/>
          <w:szCs w:val="26"/>
        </w:rPr>
        <w:t>רבנו אינו מעריך אדיקות של צעירים.</w:t>
      </w:r>
    </w:p>
    <w:p w14:paraId="1F86D9BC" w14:textId="77777777" w:rsidR="00AB3647" w:rsidRDefault="00000000" w:rsidP="007923E9">
      <w:pPr>
        <w:spacing w:after="120" w:line="276" w:lineRule="auto"/>
        <w:ind w:firstLine="283"/>
        <w:jc w:val="both"/>
      </w:pPr>
      <w:r>
        <w:rPr>
          <w:rtl/>
        </w:rPr>
        <w:t xml:space="preserve">הוא כינה פעם </w:t>
      </w:r>
      <w:proofErr w:type="spellStart"/>
      <w:r>
        <w:rPr>
          <w:rtl/>
        </w:rPr>
        <w:t>פרומקייט</w:t>
      </w:r>
      <w:proofErr w:type="spellEnd"/>
      <w:r>
        <w:rPr>
          <w:rtl/>
        </w:rPr>
        <w:t xml:space="preserve"> מופרזת של צעירים “מטופשת”, ובשיחה במתיבתא תורה ודעת אמר</w:t>
      </w:r>
      <w:bookmarkStart w:id="5492" w:name="_fnr4151"/>
      <w:r>
        <w:rPr>
          <w:vertAlign w:val="superscript"/>
          <w:rtl/>
        </w:rPr>
        <w:footnoteReference w:id="4161" w:customMarkFollows="0"/>
      </w:r>
      <w:bookmarkEnd w:id="5492"/>
      <w:r>
        <w:rPr>
          <w:rtl/>
        </w:rPr>
        <w:t xml:space="preserve">: “אני סבור שבחור בן </w:t>
      </w:r>
      <w:proofErr w:type="spellStart"/>
      <w:r>
        <w:rPr>
          <w:rtl/>
        </w:rPr>
        <w:t>שבע־עשרה</w:t>
      </w:r>
      <w:proofErr w:type="spellEnd"/>
      <w:r>
        <w:rPr>
          <w:rtl/>
        </w:rPr>
        <w:t xml:space="preserve"> המתפלל </w:t>
      </w:r>
      <w:proofErr w:type="spellStart"/>
      <w:r>
        <w:rPr>
          <w:rtl/>
        </w:rPr>
        <w:t>שמונה־עשרה</w:t>
      </w:r>
      <w:proofErr w:type="spellEnd"/>
      <w:r>
        <w:rPr>
          <w:rtl/>
        </w:rPr>
        <w:t xml:space="preserve"> ארוכה יכול להתפלל שוב.”</w:t>
      </w:r>
    </w:p>
    <w:p w14:paraId="135BC243" w14:textId="77777777" w:rsidR="00AB3647" w:rsidRDefault="00000000" w:rsidP="007923E9">
      <w:pPr>
        <w:spacing w:after="120" w:line="276" w:lineRule="auto"/>
        <w:ind w:firstLine="283"/>
        <w:jc w:val="both"/>
      </w:pPr>
      <w:r>
        <w:rPr>
          <w:rtl/>
        </w:rPr>
        <w:t xml:space="preserve">אבל ר׳ דב כהן סיפר על מעשה עם הסבא </w:t>
      </w:r>
      <w:proofErr w:type="spellStart"/>
      <w:r>
        <w:rPr>
          <w:rtl/>
        </w:rPr>
        <w:t>מסלבודקה</w:t>
      </w:r>
      <w:proofErr w:type="spellEnd"/>
      <w:r>
        <w:rPr>
          <w:rtl/>
        </w:rPr>
        <w:t xml:space="preserve">, שמלמד שהמחנך הגדול מצא תועלת מסוימת בתופעת </w:t>
      </w:r>
      <w:proofErr w:type="spellStart"/>
      <w:r>
        <w:rPr>
          <w:rtl/>
        </w:rPr>
        <w:t>הפרומקייט</w:t>
      </w:r>
      <w:proofErr w:type="spellEnd"/>
      <w:r>
        <w:rPr>
          <w:rtl/>
        </w:rPr>
        <w:t xml:space="preserve"> של צעירים. ר׳ דב סיפר שמשגיח ישיבת </w:t>
      </w:r>
      <w:proofErr w:type="spellStart"/>
      <w:r>
        <w:rPr>
          <w:rtl/>
        </w:rPr>
        <w:t>סלוצק</w:t>
      </w:r>
      <w:proofErr w:type="spellEnd"/>
      <w:r>
        <w:rPr>
          <w:rtl/>
        </w:rPr>
        <w:t xml:space="preserve"> ר׳ אשר </w:t>
      </w:r>
      <w:proofErr w:type="spellStart"/>
      <w:r>
        <w:rPr>
          <w:rtl/>
        </w:rPr>
        <w:lastRenderedPageBreak/>
        <w:t>סנדומירסקי</w:t>
      </w:r>
      <w:bookmarkStart w:id="5493" w:name="_fnr4152"/>
      <w:proofErr w:type="spellEnd"/>
      <w:r>
        <w:rPr>
          <w:vertAlign w:val="superscript"/>
          <w:rtl/>
        </w:rPr>
        <w:footnoteReference w:id="4162" w:customMarkFollows="0"/>
      </w:r>
      <w:bookmarkEnd w:id="5493"/>
      <w:r>
        <w:rPr>
          <w:rtl/>
        </w:rPr>
        <w:t xml:space="preserve"> ישב ליד שולחנו של ר׳ </w:t>
      </w:r>
      <w:proofErr w:type="spellStart"/>
      <w:r>
        <w:rPr>
          <w:rtl/>
        </w:rPr>
        <w:t>איסר־זלמן</w:t>
      </w:r>
      <w:proofErr w:type="spellEnd"/>
      <w:r>
        <w:rPr>
          <w:rtl/>
        </w:rPr>
        <w:t xml:space="preserve"> מלצר </w:t>
      </w:r>
      <w:proofErr w:type="spellStart"/>
      <w:r>
        <w:rPr>
          <w:rtl/>
        </w:rPr>
        <w:t>בסלוצק</w:t>
      </w:r>
      <w:proofErr w:type="spellEnd"/>
      <w:r>
        <w:rPr>
          <w:rtl/>
        </w:rPr>
        <w:t xml:space="preserve">, בזמן שהסבא ביקר שם. הרבנית </w:t>
      </w:r>
      <w:proofErr w:type="spellStart"/>
      <w:r>
        <w:rPr>
          <w:rtl/>
        </w:rPr>
        <w:t>ביילה־הינדה</w:t>
      </w:r>
      <w:proofErr w:type="spellEnd"/>
      <w:r>
        <w:rPr>
          <w:rtl/>
        </w:rPr>
        <w:t xml:space="preserve">, אשתו של ר׳ </w:t>
      </w:r>
      <w:proofErr w:type="spellStart"/>
      <w:r>
        <w:rPr>
          <w:rtl/>
        </w:rPr>
        <w:t>איסר־זלמן</w:t>
      </w:r>
      <w:proofErr w:type="spellEnd"/>
      <w:r>
        <w:rPr>
          <w:rtl/>
        </w:rPr>
        <w:t xml:space="preserve">, העירה לבעלה: “בננו נעשה </w:t>
      </w:r>
      <w:proofErr w:type="spellStart"/>
      <w:r>
        <w:rPr>
          <w:rtl/>
        </w:rPr>
        <w:t>פארפרומט</w:t>
      </w:r>
      <w:proofErr w:type="spellEnd"/>
      <w:r>
        <w:rPr>
          <w:rtl/>
        </w:rPr>
        <w:t xml:space="preserve"> [אדוק יתר על המידה]! מה עלינו לעשות?” הסבא העיר: “זה בסדר; יהיה לו </w:t>
      </w:r>
      <w:proofErr w:type="spellStart"/>
      <w:r>
        <w:rPr>
          <w:rtl/>
        </w:rPr>
        <w:t>ל‘אפפאהל</w:t>
      </w:r>
      <w:proofErr w:type="spellEnd"/>
      <w:r>
        <w:rPr>
          <w:rtl/>
        </w:rPr>
        <w:t xml:space="preserve">’ [לנשירה].” כשנתבקש להסביר למה התכוון, אמר שאת האדיקות המופרזת ישיל הצעיר כשיתבגר, וכך תישאר לו בדיוק המידה הנכונה של אדיקות; אילו לא היה אדוק יתר על המידה עכשיו, </w:t>
      </w:r>
      <w:proofErr w:type="spellStart"/>
      <w:r>
        <w:rPr>
          <w:rtl/>
        </w:rPr>
        <w:t>הפרומקייט</w:t>
      </w:r>
      <w:proofErr w:type="spellEnd"/>
      <w:r>
        <w:rPr>
          <w:rtl/>
        </w:rPr>
        <w:t xml:space="preserve"> שעתיד “להשיל” הייתה מותירה אותו חסר באדיקות.</w:t>
      </w:r>
    </w:p>
    <w:p w14:paraId="42384A53" w14:textId="77777777" w:rsidR="00AB3647" w:rsidRDefault="00000000" w:rsidP="007923E9">
      <w:pPr>
        <w:pStyle w:val="4"/>
        <w:spacing w:line="276" w:lineRule="auto"/>
      </w:pPr>
      <w:r>
        <w:t>· הפסקה החמישית ·</w:t>
      </w:r>
    </w:p>
    <w:p w14:paraId="04881EA8" w14:textId="77777777" w:rsidR="00AB3647" w:rsidRDefault="00000000" w:rsidP="007923E9">
      <w:pPr>
        <w:pStyle w:val="5"/>
        <w:spacing w:line="276" w:lineRule="auto"/>
      </w:pPr>
      <w:r>
        <w:rPr>
          <w:bCs/>
          <w:szCs w:val="26"/>
        </w:rPr>
        <w:t>כלל של ר׳ נפתלי לאנשים בעלי שכל גדול.</w:t>
      </w:r>
    </w:p>
    <w:p w14:paraId="750CD7F6" w14:textId="77777777" w:rsidR="00AB3647" w:rsidRDefault="00000000" w:rsidP="007923E9">
      <w:pPr>
        <w:spacing w:after="120" w:line="276" w:lineRule="auto"/>
        <w:ind w:firstLine="283"/>
        <w:jc w:val="both"/>
      </w:pPr>
      <w:r>
        <w:rPr>
          <w:rtl/>
        </w:rPr>
        <w:t>הנחיה נוספת של ר׳ נפתלי שאבי חזר עליה</w:t>
      </w:r>
      <w:bookmarkStart w:id="5494" w:name="_fnr4153"/>
      <w:r>
        <w:rPr>
          <w:vertAlign w:val="superscript"/>
          <w:rtl/>
        </w:rPr>
        <w:footnoteReference w:id="4163" w:customMarkFollows="0"/>
      </w:r>
      <w:bookmarkEnd w:id="5494"/>
      <w:r>
        <w:rPr>
          <w:rtl/>
        </w:rPr>
        <w:t xml:space="preserve"> הייתה שאדם בעל שכל מן המעלה הראשונה ואישיות מדרגה שלישית הוא בעל מום, לא פחות מאדם בעל ראש גדול וגוף קטן: אדם גדול הוא מי שיש לו שכל מעולה ולב גדול כנגדו. השווה גם הערה 82 בפרק זה, ובה עוד סיפור קצר שאבי חזר עליו מפי ר׳ נפתלי.</w:t>
      </w:r>
    </w:p>
    <w:bookmarkStart w:id="5495" w:name="b4_excK"/>
    <w:bookmarkStart w:id="5496" w:name="b4_annexK"/>
    <w:p w14:paraId="08C5FCC5" w14:textId="77777777" w:rsidR="00AB3647" w:rsidRDefault="00000000" w:rsidP="007923E9">
      <w:pPr>
        <w:pStyle w:val="3"/>
        <w:pageBreakBefore w:val="0"/>
        <w:spacing w:line="276" w:lineRule="auto"/>
      </w:pPr>
      <w:r>
        <w:fldChar w:fldCharType="begin" w:dirty="true"/>
      </w:r>
      <w:r>
        <w:rPr>
          <w:rtl w:val="0"/>
        </w:rPr>
        <w:instrText>HYPERLINK \l "b4_note90</w:instrText>
      </w:r>
      <w:r>
        <w:instrText>"</w:instrText>
      </w:r>
      <w:r>
        <w:fldChar w:fldCharType="separate"/>
      </w:r>
      <w:r>
        <w:t>נספח יא</w:t>
      </w:r>
      <w:r>
        <w:fldChar w:fldCharType="end"/>
      </w:r>
      <w:bookmarkEnd w:id="5495"/>
      <w:bookmarkEnd w:id="5496"/>
    </w:p>
    <w:p w14:paraId="2E7EC38C" w14:textId="77777777" w:rsidR="00AB3647" w:rsidRDefault="00000000" w:rsidP="007923E9">
      <w:pPr>
        <w:pStyle w:val="af"/>
        <w:spacing w:line="276" w:lineRule="auto"/>
      </w:pPr>
      <w:r>
        <w:t>על פטירתו של ר׳ לייזר גורדון הנכבד בעת גיוס כספים בלונדון</w:t>
      </w:r>
    </w:p>
    <w:p w14:paraId="50208B41" w14:textId="77777777" w:rsidR="00AB3647" w:rsidRDefault="00000000" w:rsidP="007923E9">
      <w:pPr>
        <w:pStyle w:val="4"/>
        <w:spacing w:line="276" w:lineRule="auto"/>
      </w:pPr>
      <w:r>
        <w:t>· הפסקה הראשונה ·</w:t>
      </w:r>
    </w:p>
    <w:p w14:paraId="0B8B1BB3" w14:textId="77777777" w:rsidR="00AB3647" w:rsidRDefault="00000000" w:rsidP="007923E9">
      <w:pPr>
        <w:pStyle w:val="5"/>
        <w:spacing w:line="276" w:lineRule="auto"/>
      </w:pPr>
      <w:r>
        <w:rPr>
          <w:bCs/>
          <w:szCs w:val="26"/>
        </w:rPr>
        <w:t>ר׳ לייזר גורדון בא לקובנה.</w:t>
      </w:r>
    </w:p>
    <w:p w14:paraId="72B268C2" w14:textId="7427C000" w:rsidR="00AB3647" w:rsidRDefault="00000000" w:rsidP="007923E9">
      <w:pPr>
        <w:spacing w:after="120" w:line="276" w:lineRule="auto"/>
        <w:ind w:firstLine="283"/>
        <w:jc w:val="both"/>
      </w:pPr>
      <w:r>
        <w:rPr>
          <w:rtl/>
        </w:rPr>
        <w:t xml:space="preserve">שמעתי על ביקור זה מפי ר׳ קופל </w:t>
      </w:r>
      <w:proofErr w:type="spellStart"/>
      <w:r>
        <w:rPr>
          <w:rtl/>
        </w:rPr>
        <w:t>וולפרט</w:t>
      </w:r>
      <w:bookmarkStart w:id="5497" w:name="_fnr4154"/>
      <w:proofErr w:type="spellEnd"/>
      <w:r>
        <w:rPr>
          <w:vertAlign w:val="superscript"/>
          <w:rtl/>
        </w:rPr>
        <w:footnoteReference w:id="4164" w:customMarkFollows="0"/>
      </w:r>
      <w:bookmarkEnd w:id="5497"/>
      <w:r>
        <w:rPr>
          <w:rtl/>
        </w:rPr>
        <w:t xml:space="preserve">, ושיערתי מדעתי שר׳ לייזר היה בדרכו לפגוש את ר׳ </w:t>
      </w:r>
      <w:proofErr w:type="spellStart"/>
      <w:r>
        <w:rPr>
          <w:rtl/>
        </w:rPr>
        <w:t>חיים־עוזר</w:t>
      </w:r>
      <w:proofErr w:type="spellEnd"/>
      <w:r>
        <w:rPr>
          <w:rtl/>
        </w:rPr>
        <w:t xml:space="preserve"> – בעניין ייסוד ארגון “כנסת ישראל”</w:t>
      </w:r>
      <w:bookmarkStart w:id="5498" w:name="_fnr4155"/>
      <w:r>
        <w:rPr>
          <w:vertAlign w:val="superscript"/>
          <w:rtl/>
        </w:rPr>
        <w:footnoteReference w:id="4165" w:customMarkFollows="0"/>
      </w:r>
      <w:bookmarkEnd w:id="5498"/>
      <w:r>
        <w:rPr>
          <w:rtl/>
        </w:rPr>
        <w:t xml:space="preserve">, שהתרחש באותו חורף. השווה גם לסוף הפסקה הראשונה בהערה </w:t>
      </w:r>
      <w:r>
        <w:rPr>
          <w:rtl/>
        </w:rPr>
        <w:fldChar w:fldCharType="begin" w:dirty="true"/>
      </w:r>
      <w:r>
        <w:rPr>
          <w:rtl/>
        </w:rPr>
        <w:instrText xml:space="preserve"> REF b4_note126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126</w:t>
      </w:r>
      <w:r>
        <w:rPr>
          <w:rtl/>
        </w:rPr>
        <w:fldChar w:fldCharType="end"/>
      </w:r>
      <w:r>
        <w:rPr>
          <w:rtl/>
        </w:rPr>
        <w:t xml:space="preserve"> לעיל, שבה ציין רבנו גם ששמע את שיעורו של ר׳ לייזר גורדון.</w:t>
      </w:r>
    </w:p>
    <w:p w14:paraId="4169C64C" w14:textId="77777777" w:rsidR="00AB3647" w:rsidRDefault="00000000" w:rsidP="007923E9">
      <w:pPr>
        <w:pStyle w:val="4"/>
        <w:spacing w:line="276" w:lineRule="auto"/>
      </w:pPr>
      <w:r>
        <w:t>· הפסקה השנייה ·</w:t>
      </w:r>
    </w:p>
    <w:p w14:paraId="11E93A23" w14:textId="77777777" w:rsidR="00AB3647" w:rsidRDefault="00000000" w:rsidP="007923E9">
      <w:pPr>
        <w:pStyle w:val="5"/>
        <w:spacing w:line="276" w:lineRule="auto"/>
      </w:pPr>
      <w:r>
        <w:rPr>
          <w:bCs/>
          <w:szCs w:val="26"/>
        </w:rPr>
        <w:t>ר׳ לייזר גורדון מנהל קריירה רבנית בולטת.</w:t>
      </w:r>
    </w:p>
    <w:p w14:paraId="3B68131A" w14:textId="77777777" w:rsidR="00AB3647" w:rsidRDefault="00000000" w:rsidP="007923E9">
      <w:pPr>
        <w:spacing w:after="120" w:line="276" w:lineRule="auto"/>
        <w:ind w:firstLine="283"/>
        <w:jc w:val="both"/>
      </w:pPr>
      <w:r>
        <w:rPr>
          <w:rtl/>
        </w:rPr>
        <w:t xml:space="preserve">ר׳ לייזר גורדון נולד </w:t>
      </w:r>
      <w:proofErr w:type="spellStart"/>
      <w:r>
        <w:rPr>
          <w:rtl/>
        </w:rPr>
        <w:t>בתר״א</w:t>
      </w:r>
      <w:proofErr w:type="spellEnd"/>
      <w:r>
        <w:rPr>
          <w:rtl/>
        </w:rPr>
        <w:t xml:space="preserve"> ליד העיירה </w:t>
      </w:r>
      <w:proofErr w:type="spellStart"/>
      <w:r>
        <w:rPr>
          <w:rtl/>
        </w:rPr>
        <w:t>סוויר</w:t>
      </w:r>
      <w:proofErr w:type="spellEnd"/>
      <w:r>
        <w:rPr>
          <w:rtl/>
        </w:rPr>
        <w:t xml:space="preserve">. אביו היה בעל פונדק ותלמיד חכם מובהק, ומדי פעם נסע לדון בדברי תורה עם ר׳ חיים </w:t>
      </w:r>
      <w:proofErr w:type="spellStart"/>
      <w:r>
        <w:rPr>
          <w:rtl/>
        </w:rPr>
        <w:t>מוולוז׳ין</w:t>
      </w:r>
      <w:proofErr w:type="spellEnd"/>
      <w:r>
        <w:rPr>
          <w:rtl/>
        </w:rPr>
        <w:t xml:space="preserve">. בנעוריו המוקדמים למד ר׳ לייזר </w:t>
      </w:r>
      <w:proofErr w:type="spellStart"/>
      <w:r>
        <w:rPr>
          <w:rtl/>
        </w:rPr>
        <w:lastRenderedPageBreak/>
        <w:t>בזארעטשע</w:t>
      </w:r>
      <w:proofErr w:type="spellEnd"/>
      <w:r>
        <w:rPr>
          <w:rtl/>
        </w:rPr>
        <w:t xml:space="preserve"> (לאחר שר׳ ישראל </w:t>
      </w:r>
      <w:proofErr w:type="spellStart"/>
      <w:r>
        <w:rPr>
          <w:rtl/>
        </w:rPr>
        <w:t>סלנטר</w:t>
      </w:r>
      <w:proofErr w:type="spellEnd"/>
      <w:r>
        <w:rPr>
          <w:rtl/>
        </w:rPr>
        <w:t xml:space="preserve"> עזב אותה לקובנה, </w:t>
      </w:r>
      <w:proofErr w:type="spellStart"/>
      <w:r>
        <w:rPr>
          <w:rtl/>
        </w:rPr>
        <w:t>בתר״ט</w:t>
      </w:r>
      <w:proofErr w:type="spellEnd"/>
      <w:r>
        <w:rPr>
          <w:rtl/>
        </w:rPr>
        <w:t xml:space="preserve">), ונודע כעילוי יוצא דופן. אחר כך עבר לקובנה ולמד אצל ר׳ ישראל </w:t>
      </w:r>
      <w:proofErr w:type="spellStart"/>
      <w:r>
        <w:rPr>
          <w:rtl/>
        </w:rPr>
        <w:t>בקלויז</w:t>
      </w:r>
      <w:proofErr w:type="spellEnd"/>
      <w:r>
        <w:rPr>
          <w:rtl/>
        </w:rPr>
        <w:t xml:space="preserve"> </w:t>
      </w:r>
      <w:proofErr w:type="spellStart"/>
      <w:r>
        <w:rPr>
          <w:rtl/>
        </w:rPr>
        <w:t>נוויאז</w:t>
      </w:r>
      <w:proofErr w:type="spellEnd"/>
      <w:r>
        <w:rPr>
          <w:rtl/>
        </w:rPr>
        <w:t xml:space="preserve">׳. הוא נישא צעיר, </w:t>
      </w:r>
      <w:proofErr w:type="spellStart"/>
      <w:r>
        <w:rPr>
          <w:rtl/>
        </w:rPr>
        <w:t>בתרט״ז</w:t>
      </w:r>
      <w:proofErr w:type="spellEnd"/>
      <w:r>
        <w:rPr>
          <w:rtl/>
        </w:rPr>
        <w:t xml:space="preserve">, לבת משפחת </w:t>
      </w:r>
      <w:proofErr w:type="spellStart"/>
      <w:r>
        <w:rPr>
          <w:rtl/>
        </w:rPr>
        <w:t>נוויאז</w:t>
      </w:r>
      <w:proofErr w:type="spellEnd"/>
      <w:r>
        <w:rPr>
          <w:rtl/>
        </w:rPr>
        <w:t xml:space="preserve">׳ העשירה, וחמיו ר׳ </w:t>
      </w:r>
      <w:proofErr w:type="spellStart"/>
      <w:r>
        <w:rPr>
          <w:rtl/>
        </w:rPr>
        <w:t>אברהם־יצחק</w:t>
      </w:r>
      <w:proofErr w:type="spellEnd"/>
      <w:r>
        <w:rPr>
          <w:rtl/>
        </w:rPr>
        <w:t xml:space="preserve"> </w:t>
      </w:r>
      <w:proofErr w:type="spellStart"/>
      <w:r>
        <w:rPr>
          <w:rtl/>
        </w:rPr>
        <w:t>נוויאז</w:t>
      </w:r>
      <w:proofErr w:type="spellEnd"/>
      <w:r>
        <w:rPr>
          <w:rtl/>
        </w:rPr>
        <w:t>׳, מו״ץ מתנדב בקובנה, לא הניח לו לעזוב את לימודיו אפילו כדי לקבל רבנות.</w:t>
      </w:r>
    </w:p>
    <w:p w14:paraId="22B1A3BD" w14:textId="77777777" w:rsidR="00AB3647" w:rsidRDefault="00000000" w:rsidP="007923E9">
      <w:pPr>
        <w:spacing w:after="120" w:line="276" w:lineRule="auto"/>
        <w:ind w:firstLine="283"/>
        <w:jc w:val="both"/>
      </w:pPr>
      <w:r>
        <w:rPr>
          <w:rtl/>
        </w:rPr>
        <w:t xml:space="preserve">אבל לאחר שנפטר ר׳ </w:t>
      </w:r>
      <w:proofErr w:type="spellStart"/>
      <w:r>
        <w:rPr>
          <w:rtl/>
        </w:rPr>
        <w:t>אברהם־יצחק</w:t>
      </w:r>
      <w:proofErr w:type="spellEnd"/>
      <w:r>
        <w:rPr>
          <w:rtl/>
        </w:rPr>
        <w:t xml:space="preserve"> </w:t>
      </w:r>
      <w:proofErr w:type="spellStart"/>
      <w:r>
        <w:rPr>
          <w:rtl/>
        </w:rPr>
        <w:t>נוויאז</w:t>
      </w:r>
      <w:proofErr w:type="spellEnd"/>
      <w:r>
        <w:rPr>
          <w:rtl/>
        </w:rPr>
        <w:t xml:space="preserve">׳ </w:t>
      </w:r>
      <w:proofErr w:type="spellStart"/>
      <w:r>
        <w:rPr>
          <w:rtl/>
        </w:rPr>
        <w:t>בתרל״ד</w:t>
      </w:r>
      <w:proofErr w:type="spellEnd"/>
      <w:r>
        <w:rPr>
          <w:rtl/>
        </w:rPr>
        <w:t xml:space="preserve">, מילא ר׳ לייזר גורדון את מקומו שלושה חודשים, ואז התקבל לרב </w:t>
      </w:r>
      <w:proofErr w:type="spellStart"/>
      <w:r>
        <w:rPr>
          <w:rtl/>
        </w:rPr>
        <w:t>בקלם</w:t>
      </w:r>
      <w:proofErr w:type="spellEnd"/>
      <w:r>
        <w:rPr>
          <w:rtl/>
        </w:rPr>
        <w:t xml:space="preserve">, רבנות נכבדה. מאמרו של הרב חיים </w:t>
      </w:r>
      <w:proofErr w:type="spellStart"/>
      <w:r>
        <w:rPr>
          <w:rtl/>
        </w:rPr>
        <w:t>קרלינסקי</w:t>
      </w:r>
      <w:proofErr w:type="spellEnd"/>
      <w:r>
        <w:rPr>
          <w:rtl/>
        </w:rPr>
        <w:t xml:space="preserve"> על קלם </w:t>
      </w:r>
      <w:proofErr w:type="spellStart"/>
      <w:r>
        <w:rPr>
          <w:rtl/>
        </w:rPr>
        <w:t>ב“ליטע</w:t>
      </w:r>
      <w:proofErr w:type="spellEnd"/>
      <w:r>
        <w:rPr>
          <w:rtl/>
        </w:rPr>
        <w:t>”</w:t>
      </w:r>
      <w:bookmarkStart w:id="5499" w:name="_fnr4156"/>
      <w:r>
        <w:rPr>
          <w:vertAlign w:val="superscript"/>
          <w:rtl/>
        </w:rPr>
        <w:footnoteReference w:id="4166" w:customMarkFollows="0"/>
      </w:r>
      <w:bookmarkEnd w:id="5499"/>
      <w:r>
        <w:rPr>
          <w:rtl/>
        </w:rPr>
        <w:t xml:space="preserve"> מספר שהייתה בעיר מחלוקת בין </w:t>
      </w:r>
      <w:proofErr w:type="spellStart"/>
      <w:r>
        <w:rPr>
          <w:rtl/>
        </w:rPr>
        <w:t>ה“עמך</w:t>
      </w:r>
      <w:proofErr w:type="spellEnd"/>
      <w:r>
        <w:rPr>
          <w:rtl/>
        </w:rPr>
        <w:t>”</w:t>
      </w:r>
      <w:bookmarkStart w:id="5500" w:name="_fnr4157"/>
      <w:r>
        <w:rPr>
          <w:vertAlign w:val="superscript"/>
          <w:rtl/>
        </w:rPr>
        <w:footnoteReference w:id="4167" w:customMarkFollows="0"/>
      </w:r>
      <w:bookmarkEnd w:id="5500"/>
      <w:r>
        <w:rPr>
          <w:rtl/>
        </w:rPr>
        <w:t xml:space="preserve">, שרצו שר׳ יצחק </w:t>
      </w:r>
      <w:proofErr w:type="spellStart"/>
      <w:r>
        <w:rPr>
          <w:rtl/>
        </w:rPr>
        <w:t>הורוויץ</w:t>
      </w:r>
      <w:proofErr w:type="spellEnd"/>
      <w:r>
        <w:rPr>
          <w:rtl/>
        </w:rPr>
        <w:t xml:space="preserve"> יחליף את חמיו המנוח, ר׳ </w:t>
      </w:r>
      <w:proofErr w:type="spellStart"/>
      <w:r>
        <w:rPr>
          <w:rtl/>
        </w:rPr>
        <w:t>אליקום</w:t>
      </w:r>
      <w:proofErr w:type="spellEnd"/>
      <w:r>
        <w:rPr>
          <w:rtl/>
        </w:rPr>
        <w:t xml:space="preserve"> הלוי </w:t>
      </w:r>
      <w:proofErr w:type="spellStart"/>
      <w:r>
        <w:rPr>
          <w:rtl/>
        </w:rPr>
        <w:t>הורוויץ</w:t>
      </w:r>
      <w:proofErr w:type="spellEnd"/>
      <w:r>
        <w:rPr>
          <w:rtl/>
        </w:rPr>
        <w:t xml:space="preserve">, לבין </w:t>
      </w:r>
      <w:proofErr w:type="spellStart"/>
      <w:r>
        <w:rPr>
          <w:rtl/>
        </w:rPr>
        <w:t>ה“פני</w:t>
      </w:r>
      <w:proofErr w:type="spellEnd"/>
      <w:r>
        <w:rPr>
          <w:rtl/>
        </w:rPr>
        <w:t>”</w:t>
      </w:r>
      <w:bookmarkStart w:id="5501" w:name="_fnr4158"/>
      <w:r>
        <w:rPr>
          <w:vertAlign w:val="superscript"/>
          <w:rtl/>
        </w:rPr>
        <w:footnoteReference w:id="4168" w:customMarkFollows="0"/>
      </w:r>
      <w:bookmarkEnd w:id="5501"/>
      <w:r>
        <w:rPr>
          <w:rtl/>
        </w:rPr>
        <w:t xml:space="preserve">, שרצו להביא אדם מבחוץ. ר׳ לייב חסיד התערב, ויחד עם ר׳ ישראל </w:t>
      </w:r>
      <w:proofErr w:type="spellStart"/>
      <w:r>
        <w:rPr>
          <w:rtl/>
        </w:rPr>
        <w:t>סלנטר</w:t>
      </w:r>
      <w:proofErr w:type="spellEnd"/>
      <w:r>
        <w:rPr>
          <w:rtl/>
        </w:rPr>
        <w:t xml:space="preserve"> השיג פשרה: למנות את ר׳ יצחק למו״ץ, ולהביא את ר׳ לייזר גורדון לרב.</w:t>
      </w:r>
    </w:p>
    <w:p w14:paraId="13E35497" w14:textId="77777777" w:rsidR="00AB3647" w:rsidRDefault="00000000" w:rsidP="007923E9">
      <w:pPr>
        <w:spacing w:after="120" w:line="276" w:lineRule="auto"/>
        <w:ind w:firstLine="283"/>
        <w:jc w:val="both"/>
      </w:pPr>
      <w:r>
        <w:rPr>
          <w:rtl/>
        </w:rPr>
        <w:t xml:space="preserve">לפי מאמר </w:t>
      </w:r>
      <w:proofErr w:type="spellStart"/>
      <w:r>
        <w:rPr>
          <w:rtl/>
        </w:rPr>
        <w:t>ב“ליטע</w:t>
      </w:r>
      <w:proofErr w:type="spellEnd"/>
      <w:r>
        <w:rPr>
          <w:rtl/>
        </w:rPr>
        <w:t>”</w:t>
      </w:r>
      <w:bookmarkStart w:id="5502" w:name="_fnr4159"/>
      <w:r>
        <w:rPr>
          <w:vertAlign w:val="superscript"/>
          <w:rtl/>
        </w:rPr>
        <w:footnoteReference w:id="4169" w:customMarkFollows="0"/>
      </w:r>
      <w:bookmarkEnd w:id="5502"/>
      <w:r>
        <w:rPr>
          <w:rtl/>
        </w:rPr>
        <w:t xml:space="preserve"> על ר׳ </w:t>
      </w:r>
      <w:proofErr w:type="spellStart"/>
      <w:r>
        <w:rPr>
          <w:rtl/>
        </w:rPr>
        <w:t>יוסף־זכריה</w:t>
      </w:r>
      <w:proofErr w:type="spellEnd"/>
      <w:r>
        <w:rPr>
          <w:rtl/>
        </w:rPr>
        <w:t xml:space="preserve"> שטרן, רבה של שאוול (תרכ״א–תרס״ד), בא אליו ר׳ לייזר באותה עת לבקש את סמיכתו. ר׳ לייזר גורדון ביקש להתקבל לרב בלידס שבאנגליה, ומנהיגי הקהילה שם דרשו שכל מועמד יביא סמיכה מאותו גאון מפורסם. ר׳ </w:t>
      </w:r>
      <w:proofErr w:type="spellStart"/>
      <w:r>
        <w:rPr>
          <w:rtl/>
        </w:rPr>
        <w:t>יוסף־זכריה</w:t>
      </w:r>
      <w:proofErr w:type="spellEnd"/>
      <w:r>
        <w:rPr>
          <w:rtl/>
        </w:rPr>
        <w:t xml:space="preserve"> שטרן דחה אותו אחרי חילופי דברים מביכים</w:t>
      </w:r>
      <w:bookmarkStart w:id="5503" w:name="_fnr4160"/>
      <w:r>
        <w:rPr>
          <w:vertAlign w:val="superscript"/>
          <w:rtl/>
        </w:rPr>
        <w:footnoteReference w:id="4170" w:customMarkFollows="0"/>
      </w:r>
      <w:bookmarkEnd w:id="5503"/>
      <w:r>
        <w:rPr>
          <w:rtl/>
        </w:rPr>
        <w:t xml:space="preserve">, וכך נשאר ר׳ לייזר בליטא! אחרי קרוב לעשר שנות כהונה </w:t>
      </w:r>
      <w:proofErr w:type="spellStart"/>
      <w:r>
        <w:rPr>
          <w:rtl/>
        </w:rPr>
        <w:t>בקלם</w:t>
      </w:r>
      <w:proofErr w:type="spellEnd"/>
      <w:r>
        <w:rPr>
          <w:rtl/>
        </w:rPr>
        <w:t xml:space="preserve"> נתמנה ר׳ לייזר גורדון לרבה של </w:t>
      </w:r>
      <w:proofErr w:type="spellStart"/>
      <w:r>
        <w:rPr>
          <w:rtl/>
        </w:rPr>
        <w:t>סלבודקה</w:t>
      </w:r>
      <w:proofErr w:type="spellEnd"/>
      <w:r>
        <w:rPr>
          <w:rtl/>
        </w:rPr>
        <w:t xml:space="preserve">, ואחרי שישה חודשים עבר לרבנות </w:t>
      </w:r>
      <w:proofErr w:type="spellStart"/>
      <w:r>
        <w:rPr>
          <w:rtl/>
        </w:rPr>
        <w:t>טלז</w:t>
      </w:r>
      <w:proofErr w:type="spellEnd"/>
      <w:r>
        <w:rPr>
          <w:rtl/>
        </w:rPr>
        <w:t>, ושם נשאר עד סוף ימיו.</w:t>
      </w:r>
    </w:p>
    <w:p w14:paraId="1330F0E9" w14:textId="77777777" w:rsidR="00AB3647" w:rsidRDefault="00000000" w:rsidP="007923E9">
      <w:pPr>
        <w:pStyle w:val="4"/>
        <w:spacing w:line="276" w:lineRule="auto"/>
      </w:pPr>
      <w:r>
        <w:t>· הפסקה השלישית ·</w:t>
      </w:r>
    </w:p>
    <w:p w14:paraId="5796DC21" w14:textId="77777777" w:rsidR="00AB3647" w:rsidRDefault="00000000" w:rsidP="007923E9">
      <w:pPr>
        <w:pStyle w:val="5"/>
        <w:spacing w:line="276" w:lineRule="auto"/>
      </w:pPr>
      <w:r>
        <w:rPr>
          <w:bCs/>
          <w:szCs w:val="26"/>
        </w:rPr>
        <w:t xml:space="preserve">ר׳ לייזר גורדון נוסע ללונדון לגייס כספים – הרב הראשי סר הרמן אדלר מקבלו בחוסר הכנסת אורחים – האחרון הכיר את ר׳ לייזר מהתכתבות קודמת – הרב אדלר רומז שישיבת </w:t>
      </w:r>
      <w:proofErr w:type="spellStart"/>
      <w:r>
        <w:rPr>
          <w:bCs/>
          <w:szCs w:val="26"/>
        </w:rPr>
        <w:t>טלז</w:t>
      </w:r>
      <w:proofErr w:type="spellEnd"/>
      <w:r>
        <w:rPr>
          <w:bCs/>
          <w:szCs w:val="26"/>
        </w:rPr>
        <w:t xml:space="preserve"> כבר אינה קיימת – ר׳ לייזר מתארח אצל שוחט לשעבר </w:t>
      </w:r>
      <w:proofErr w:type="spellStart"/>
      <w:r>
        <w:rPr>
          <w:bCs/>
          <w:szCs w:val="26"/>
        </w:rPr>
        <w:t>מטלז</w:t>
      </w:r>
      <w:proofErr w:type="spellEnd"/>
      <w:r>
        <w:rPr>
          <w:bCs/>
          <w:szCs w:val="26"/>
        </w:rPr>
        <w:t xml:space="preserve"> ומבקש את מחילתו – ר׳ לייזר גורדון מבקש מחילה גם ממי שביקש בעבר את רבנות </w:t>
      </w:r>
      <w:proofErr w:type="spellStart"/>
      <w:r>
        <w:rPr>
          <w:bCs/>
          <w:szCs w:val="26"/>
        </w:rPr>
        <w:t>טלז</w:t>
      </w:r>
      <w:proofErr w:type="spellEnd"/>
      <w:r>
        <w:rPr>
          <w:bCs/>
          <w:szCs w:val="26"/>
        </w:rPr>
        <w:t xml:space="preserve"> – מוטל ספק בעצם הצורך בנסיעת ר׳ לייזר ללונדון – מותו מותיר את לונדון עם מצפון חבול.</w:t>
      </w:r>
    </w:p>
    <w:p w14:paraId="5187D4C0" w14:textId="77777777" w:rsidR="00AB3647" w:rsidRDefault="00000000" w:rsidP="007923E9">
      <w:pPr>
        <w:spacing w:after="120" w:line="276" w:lineRule="auto"/>
        <w:ind w:firstLine="283"/>
        <w:jc w:val="both"/>
      </w:pPr>
      <w:r>
        <w:rPr>
          <w:rtl/>
        </w:rPr>
        <w:t xml:space="preserve">שנה ושלושה רבעים אחרי המאורעות המתוארים כאן החריבה שרפה את רוב העיר </w:t>
      </w:r>
      <w:proofErr w:type="spellStart"/>
      <w:r>
        <w:rPr>
          <w:rtl/>
        </w:rPr>
        <w:t>טלז</w:t>
      </w:r>
      <w:proofErr w:type="spellEnd"/>
      <w:r>
        <w:rPr>
          <w:rtl/>
        </w:rPr>
        <w:t xml:space="preserve">, ובכלל זה את בניין הישיבה. כעבור שנה וחצי, </w:t>
      </w:r>
      <w:proofErr w:type="spellStart"/>
      <w:r>
        <w:rPr>
          <w:rtl/>
        </w:rPr>
        <w:t>בתר״ע</w:t>
      </w:r>
      <w:proofErr w:type="spellEnd"/>
      <w:r>
        <w:rPr>
          <w:rtl/>
        </w:rPr>
        <w:t xml:space="preserve">, נאלץ ר׳ לייזר לנסוע ללונדון למסע </w:t>
      </w:r>
      <w:r>
        <w:rPr>
          <w:rtl/>
        </w:rPr>
        <w:lastRenderedPageBreak/>
        <w:t xml:space="preserve">התרמה, ועמו ר׳ אהרן </w:t>
      </w:r>
      <w:proofErr w:type="spellStart"/>
      <w:r>
        <w:rPr>
          <w:rtl/>
        </w:rPr>
        <w:t>וולקין</w:t>
      </w:r>
      <w:proofErr w:type="spellEnd"/>
      <w:r>
        <w:rPr>
          <w:rtl/>
        </w:rPr>
        <w:t xml:space="preserve">, לימים רבה של </w:t>
      </w:r>
      <w:proofErr w:type="spellStart"/>
      <w:r>
        <w:rPr>
          <w:rtl/>
        </w:rPr>
        <w:t>פינסק</w:t>
      </w:r>
      <w:bookmarkStart w:id="5504" w:name="_fnr4161"/>
      <w:bookmarkStart w:id="5505" w:name="pr_f_4046"/>
      <w:proofErr w:type="spellEnd"/>
      <w:r>
        <w:rPr>
          <w:vertAlign w:val="superscript"/>
          <w:rtl/>
        </w:rPr>
        <w:footnoteReference w:id="4171" w:customMarkFollows="0"/>
      </w:r>
      <w:bookmarkEnd w:id="5504"/>
      <w:bookmarkEnd w:id="5505"/>
      <w:r>
        <w:rPr>
          <w:rtl/>
        </w:rPr>
        <w:t>. בלונדון לקה ר׳ לייזר בהתקף לב קטלני</w:t>
      </w:r>
      <w:bookmarkStart w:id="5506" w:name="_fnr4162"/>
      <w:bookmarkStart w:id="5507" w:name="pr_f_4047"/>
      <w:r>
        <w:rPr>
          <w:vertAlign w:val="superscript"/>
          <w:rtl/>
        </w:rPr>
        <w:footnoteReference w:id="4172" w:customMarkFollows="0"/>
      </w:r>
      <w:bookmarkEnd w:id="5506"/>
      <w:bookmarkEnd w:id="5507"/>
      <w:r>
        <w:rPr>
          <w:rtl/>
        </w:rPr>
        <w:t>. לא מעטים בלונדון האשימו את עצמם</w:t>
      </w:r>
      <w:bookmarkStart w:id="5508" w:name="_fnr4163"/>
      <w:r>
        <w:rPr>
          <w:vertAlign w:val="superscript"/>
          <w:rtl/>
        </w:rPr>
        <w:footnoteReference w:id="4173" w:customMarkFollows="0"/>
      </w:r>
      <w:bookmarkEnd w:id="5508"/>
      <w:r>
        <w:rPr>
          <w:rtl/>
        </w:rPr>
        <w:t xml:space="preserve"> – או אחרים – באסון.</w:t>
      </w:r>
    </w:p>
    <w:p w14:paraId="62F99FC4" w14:textId="77777777" w:rsidR="00AB3647" w:rsidRDefault="00000000" w:rsidP="007923E9">
      <w:pPr>
        <w:spacing w:after="120" w:line="276" w:lineRule="auto"/>
        <w:ind w:firstLine="283"/>
        <w:jc w:val="both"/>
      </w:pPr>
      <w:r>
        <w:rPr>
          <w:rtl/>
        </w:rPr>
        <w:t>“גיבורי האורתודוקסיה”, מאת יוליוס יונג</w:t>
      </w:r>
      <w:bookmarkStart w:id="5509" w:name="_fnr4164"/>
      <w:r>
        <w:rPr>
          <w:vertAlign w:val="superscript"/>
          <w:rtl/>
        </w:rPr>
        <w:footnoteReference w:id="4174" w:customMarkFollows="0"/>
      </w:r>
      <w:bookmarkEnd w:id="5509"/>
      <w:r>
        <w:rPr>
          <w:rtl/>
        </w:rPr>
        <w:t>, מספר</w:t>
      </w:r>
      <w:bookmarkStart w:id="5510" w:name="_fnr4165"/>
      <w:r>
        <w:rPr>
          <w:vertAlign w:val="superscript"/>
          <w:rtl/>
        </w:rPr>
        <w:footnoteReference w:id="4175" w:customMarkFollows="0"/>
      </w:r>
      <w:bookmarkEnd w:id="5510"/>
      <w:r>
        <w:rPr>
          <w:rtl/>
        </w:rPr>
        <w:t xml:space="preserve">: “הרב הראשי, ר׳ </w:t>
      </w:r>
      <w:proofErr w:type="spellStart"/>
      <w:r>
        <w:rPr>
          <w:rtl/>
        </w:rPr>
        <w:t>נפתלי־צבי־הירש</w:t>
      </w:r>
      <w:proofErr w:type="spellEnd"/>
      <w:r>
        <w:rPr>
          <w:rtl/>
        </w:rPr>
        <w:t xml:space="preserve"> [סר הרמן] אדלר</w:t>
      </w:r>
      <w:bookmarkStart w:id="5511" w:name="_fnr4166"/>
      <w:r>
        <w:rPr>
          <w:vertAlign w:val="superscript"/>
          <w:rtl/>
        </w:rPr>
        <w:footnoteReference w:id="4176" w:customMarkFollows="0"/>
      </w:r>
      <w:bookmarkEnd w:id="5511"/>
      <w:r>
        <w:rPr>
          <w:rtl/>
        </w:rPr>
        <w:t xml:space="preserve">, הסכים לקבל את ר׳ לייזר גורדון, ולאחר שהניח לו להמתין זמן מה, קרא לו למשרדו. בתשובה לבקשת הגאון [ר׳ לייזר גורדון] לסיוע כספי, השיב הרב הראשי בקיצור שאינו יכול לעזור לישיבה, שכן יש צרכים מקומיים דחופים יותר.” לפי מקורות אחרים, חילופי הדברים בין ר׳ לייזר גורדון לרב אדלר היו מכאיבים </w:t>
      </w:r>
      <w:proofErr w:type="spellStart"/>
      <w:r>
        <w:rPr>
          <w:rtl/>
        </w:rPr>
        <w:t>לר</w:t>
      </w:r>
      <w:proofErr w:type="spellEnd"/>
      <w:r>
        <w:rPr>
          <w:rtl/>
        </w:rPr>
        <w:t>׳ לייזר עוד יותר.</w:t>
      </w:r>
    </w:p>
    <w:p w14:paraId="1D731020" w14:textId="77777777" w:rsidR="00AB3647" w:rsidRDefault="00000000" w:rsidP="007923E9">
      <w:pPr>
        <w:spacing w:after="120" w:line="276" w:lineRule="auto"/>
        <w:ind w:firstLine="283"/>
        <w:jc w:val="both"/>
      </w:pPr>
      <w:r>
        <w:rPr>
          <w:rtl/>
        </w:rPr>
        <w:t xml:space="preserve">אצל בערל </w:t>
      </w:r>
      <w:proofErr w:type="spellStart"/>
      <w:r>
        <w:rPr>
          <w:rtl/>
        </w:rPr>
        <w:t>קגן</w:t>
      </w:r>
      <w:bookmarkStart w:id="5512" w:name="_fnr4167"/>
      <w:proofErr w:type="spellEnd"/>
      <w:r>
        <w:rPr>
          <w:vertAlign w:val="superscript"/>
          <w:rtl/>
        </w:rPr>
        <w:footnoteReference w:id="4177" w:customMarkFollows="0"/>
      </w:r>
      <w:bookmarkEnd w:id="5512"/>
      <w:r>
        <w:rPr>
          <w:rtl/>
        </w:rPr>
        <w:t xml:space="preserve"> מצוטט רב לונדוני שנוי במחלוקת, שכתב שכאשר הוצג ר׳ לייזר לפני הרב הראשי, העיר הרב הראשי שמעולם לא שמע על רב של </w:t>
      </w:r>
      <w:proofErr w:type="spellStart"/>
      <w:r>
        <w:rPr>
          <w:rtl/>
        </w:rPr>
        <w:t>טלז</w:t>
      </w:r>
      <w:proofErr w:type="spellEnd"/>
      <w:r>
        <w:rPr>
          <w:rtl/>
        </w:rPr>
        <w:t xml:space="preserve"> בשם גורדון, ובהמשך השיחה פגע הרב אדלר במבקר עוד יותר. בהלווייתו של ר׳ לייזר ביקש הרב הראשי מחילה. אבל דיווח זה הופרך למעשה בידי ר׳ דב היימן</w:t>
      </w:r>
      <w:bookmarkStart w:id="5513" w:name="_fnr4168"/>
      <w:r>
        <w:rPr>
          <w:vertAlign w:val="superscript"/>
          <w:rtl/>
        </w:rPr>
        <w:footnoteReference w:id="4178" w:customMarkFollows="0"/>
      </w:r>
      <w:bookmarkEnd w:id="5513"/>
      <w:r>
        <w:rPr>
          <w:rtl/>
        </w:rPr>
        <w:t>, שאביו ר׳ אהרן</w:t>
      </w:r>
      <w:bookmarkStart w:id="5514" w:name="_fnr4169"/>
      <w:r>
        <w:rPr>
          <w:vertAlign w:val="superscript"/>
          <w:rtl/>
        </w:rPr>
        <w:footnoteReference w:id="4179" w:customMarkFollows="0"/>
      </w:r>
      <w:bookmarkEnd w:id="5514"/>
      <w:r>
        <w:rPr>
          <w:rtl/>
        </w:rPr>
        <w:t xml:space="preserve"> התגורר בלונדון והשתתף </w:t>
      </w:r>
      <w:proofErr w:type="spellStart"/>
      <w:r>
        <w:rPr>
          <w:rtl/>
        </w:rPr>
        <w:t>בטהרת</w:t>
      </w:r>
      <w:proofErr w:type="spellEnd"/>
      <w:r>
        <w:rPr>
          <w:rtl/>
        </w:rPr>
        <w:t xml:space="preserve"> ר׳ לייזר גורדון.</w:t>
      </w:r>
    </w:p>
    <w:p w14:paraId="623E6102" w14:textId="77777777" w:rsidR="00AB3647" w:rsidRDefault="00000000" w:rsidP="007923E9">
      <w:pPr>
        <w:spacing w:after="120" w:line="276" w:lineRule="auto"/>
        <w:ind w:firstLine="283"/>
        <w:jc w:val="both"/>
      </w:pPr>
      <w:r>
        <w:rPr>
          <w:rtl/>
        </w:rPr>
        <w:t xml:space="preserve">בקרב הממסד היהודי הייתה סלידה כללית מבואם של יהודים ממזרח אירופה. מאה אלף מהם באו לאנגליה בשני העשורים שבין תרמ״ה </w:t>
      </w:r>
      <w:proofErr w:type="spellStart"/>
      <w:r>
        <w:rPr>
          <w:rtl/>
        </w:rPr>
        <w:t>לתרס״ה</w:t>
      </w:r>
      <w:proofErr w:type="spellEnd"/>
      <w:r>
        <w:rPr>
          <w:rtl/>
        </w:rPr>
        <w:t xml:space="preserve"> – מספר השווה למספר היהודים ילידי אנגליה והמהגרים היהודים ממערב אירופה גם יחד. “</w:t>
      </w:r>
      <w:proofErr w:type="spellStart"/>
      <w:r>
        <w:rPr>
          <w:rtl/>
        </w:rPr>
        <w:t>זכרון</w:t>
      </w:r>
      <w:proofErr w:type="spellEnd"/>
      <w:r>
        <w:rPr>
          <w:rtl/>
        </w:rPr>
        <w:t xml:space="preserve"> יעקב” מספר</w:t>
      </w:r>
      <w:bookmarkStart w:id="5515" w:name="_fnr4170"/>
      <w:r>
        <w:rPr>
          <w:vertAlign w:val="superscript"/>
          <w:rtl/>
        </w:rPr>
        <w:footnoteReference w:id="4180" w:customMarkFollows="0"/>
      </w:r>
      <w:bookmarkEnd w:id="5515"/>
      <w:r>
        <w:rPr>
          <w:rtl/>
        </w:rPr>
        <w:t xml:space="preserve"> שמזכיר הקהילה היהודית בלונדון, ד״ר אשר </w:t>
      </w:r>
      <w:proofErr w:type="spellStart"/>
      <w:r>
        <w:rPr>
          <w:rtl/>
        </w:rPr>
        <w:t>אשר</w:t>
      </w:r>
      <w:proofErr w:type="spellEnd"/>
      <w:r>
        <w:rPr>
          <w:rtl/>
        </w:rPr>
        <w:t xml:space="preserve">, וחבר הפרלמנט סר סמואל </w:t>
      </w:r>
      <w:proofErr w:type="spellStart"/>
      <w:r>
        <w:rPr>
          <w:rtl/>
        </w:rPr>
        <w:t>מונטגיו</w:t>
      </w:r>
      <w:proofErr w:type="spellEnd"/>
      <w:r>
        <w:rPr>
          <w:rtl/>
        </w:rPr>
        <w:t xml:space="preserve"> באו בשנת 1882 לביקור אישי </w:t>
      </w:r>
      <w:proofErr w:type="spellStart"/>
      <w:r>
        <w:rPr>
          <w:rtl/>
        </w:rPr>
        <w:t>בלבוב</w:t>
      </w:r>
      <w:proofErr w:type="spellEnd"/>
      <w:r>
        <w:rPr>
          <w:rtl/>
        </w:rPr>
        <w:t xml:space="preserve"> (למברג). מטרתם הייתה להשפיע על מנהיגי היהודים ברוסיה שיפעלו נגד ההגירה לאנגליה, “כדי שלא לעורר את זעמם של האנגלים”</w:t>
      </w:r>
      <w:bookmarkStart w:id="5516" w:name="_fnr4171"/>
      <w:r>
        <w:rPr>
          <w:vertAlign w:val="superscript"/>
          <w:rtl/>
        </w:rPr>
        <w:footnoteReference w:id="4181" w:customMarkFollows="0"/>
      </w:r>
      <w:bookmarkEnd w:id="5516"/>
      <w:r>
        <w:rPr>
          <w:rtl/>
        </w:rPr>
        <w:t>.</w:t>
      </w:r>
    </w:p>
    <w:p w14:paraId="0E1C6B36" w14:textId="77777777" w:rsidR="00AB3647" w:rsidRDefault="00000000" w:rsidP="007923E9">
      <w:pPr>
        <w:spacing w:after="120" w:line="276" w:lineRule="auto"/>
        <w:ind w:firstLine="283"/>
        <w:jc w:val="both"/>
      </w:pPr>
      <w:r>
        <w:rPr>
          <w:rtl/>
        </w:rPr>
        <w:t xml:space="preserve">אומנם הרב אדלר, המנהיג הרוחני של הממסד היהודי, הסתייג מן הבאים החדשים ממזרח אירופה, אבל את שמו של רבה של </w:t>
      </w:r>
      <w:proofErr w:type="spellStart"/>
      <w:r>
        <w:rPr>
          <w:rtl/>
        </w:rPr>
        <w:t>טלז</w:t>
      </w:r>
      <w:proofErr w:type="spellEnd"/>
      <w:r>
        <w:rPr>
          <w:rtl/>
        </w:rPr>
        <w:t xml:space="preserve"> הוא בוודאי ידע. שכן בזמן כלשהו במחצית השנייה </w:t>
      </w:r>
      <w:r>
        <w:rPr>
          <w:rtl/>
        </w:rPr>
        <w:lastRenderedPageBreak/>
        <w:t xml:space="preserve">של תרס״ו כתב ר׳ לייזר גורדון, כאחד מחברי “ועד הרבנים לטובת הישיבות והחזקת </w:t>
      </w:r>
      <w:proofErr w:type="spellStart"/>
      <w:r>
        <w:rPr>
          <w:rtl/>
        </w:rPr>
        <w:t>תורה״ק</w:t>
      </w:r>
      <w:proofErr w:type="spellEnd"/>
      <w:r>
        <w:rPr>
          <w:rtl/>
        </w:rPr>
        <w:t xml:space="preserve"> במדינת </w:t>
      </w:r>
      <w:proofErr w:type="spellStart"/>
      <w:r>
        <w:rPr>
          <w:rtl/>
        </w:rPr>
        <w:t>רוססיא</w:t>
      </w:r>
      <w:proofErr w:type="spellEnd"/>
      <w:r>
        <w:rPr>
          <w:rtl/>
        </w:rPr>
        <w:t xml:space="preserve">”, אל הרב הראשי אדלר ישירות </w:t>
      </w:r>
      <w:proofErr w:type="spellStart"/>
      <w:r>
        <w:rPr>
          <w:rtl/>
        </w:rPr>
        <w:t>מטלז</w:t>
      </w:r>
      <w:proofErr w:type="spellEnd"/>
      <w:r>
        <w:rPr>
          <w:rtl/>
        </w:rPr>
        <w:t xml:space="preserve">, בבקשת כספים, שלא נענתה, למען הישיבות שייצג הוועד. בוועד היו ר׳ חיים </w:t>
      </w:r>
      <w:proofErr w:type="spellStart"/>
      <w:r>
        <w:rPr>
          <w:rtl/>
        </w:rPr>
        <w:t>סולובייצ׳יק</w:t>
      </w:r>
      <w:proofErr w:type="spellEnd"/>
      <w:r>
        <w:rPr>
          <w:rtl/>
        </w:rPr>
        <w:t xml:space="preserve">, ר׳ לייזר גורדון, ר׳ לייזר </w:t>
      </w:r>
      <w:proofErr w:type="spellStart"/>
      <w:r>
        <w:rPr>
          <w:rtl/>
        </w:rPr>
        <w:t>רבינוביץ</w:t>
      </w:r>
      <w:proofErr w:type="spellEnd"/>
      <w:r>
        <w:rPr>
          <w:rtl/>
        </w:rPr>
        <w:t xml:space="preserve"> ממינסק, ר׳ </w:t>
      </w:r>
      <w:proofErr w:type="spellStart"/>
      <w:r>
        <w:rPr>
          <w:rtl/>
        </w:rPr>
        <w:t>צבי־הירש</w:t>
      </w:r>
      <w:proofErr w:type="spellEnd"/>
      <w:r>
        <w:rPr>
          <w:rtl/>
        </w:rPr>
        <w:t xml:space="preserve"> </w:t>
      </w:r>
      <w:proofErr w:type="spellStart"/>
      <w:r>
        <w:rPr>
          <w:rtl/>
        </w:rPr>
        <w:t>רבינוביץ</w:t>
      </w:r>
      <w:proofErr w:type="spellEnd"/>
      <w:r>
        <w:rPr>
          <w:rtl/>
        </w:rPr>
        <w:t xml:space="preserve"> מקובנה ור׳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מווילנה, והוא העניק את תמיכתו לחמש ישיבות ששמותיהן לא פורטו</w:t>
      </w:r>
      <w:bookmarkStart w:id="5517" w:name="_fnr4172"/>
      <w:r>
        <w:rPr>
          <w:vertAlign w:val="superscript"/>
          <w:rtl/>
        </w:rPr>
        <w:footnoteReference w:id="4182" w:customMarkFollows="0"/>
      </w:r>
      <w:bookmarkEnd w:id="5517"/>
      <w:r>
        <w:rPr>
          <w:rtl/>
        </w:rPr>
        <w:t xml:space="preserve">. השווה לשני מכתבים של ר׳ לייזר גורדון אל הרב הלונדוני ר׳ </w:t>
      </w:r>
      <w:proofErr w:type="spellStart"/>
      <w:r>
        <w:rPr>
          <w:rtl/>
        </w:rPr>
        <w:t>משה־אביגדור</w:t>
      </w:r>
      <w:proofErr w:type="spellEnd"/>
      <w:r>
        <w:rPr>
          <w:rtl/>
        </w:rPr>
        <w:t xml:space="preserve"> </w:t>
      </w:r>
      <w:proofErr w:type="spellStart"/>
      <w:r>
        <w:rPr>
          <w:rtl/>
        </w:rPr>
        <w:t>חייקין</w:t>
      </w:r>
      <w:proofErr w:type="spellEnd"/>
      <w:r>
        <w:rPr>
          <w:rtl/>
        </w:rPr>
        <w:t>, שפרסם ר׳ דב היימן</w:t>
      </w:r>
      <w:bookmarkStart w:id="5518" w:name="_fnr4173"/>
      <w:r>
        <w:rPr>
          <w:vertAlign w:val="superscript"/>
          <w:rtl/>
        </w:rPr>
        <w:footnoteReference w:id="4183" w:customMarkFollows="0"/>
      </w:r>
      <w:bookmarkEnd w:id="5518"/>
      <w:r>
        <w:rPr>
          <w:rtl/>
        </w:rPr>
        <w:t xml:space="preserve">, מז׳ בחשוון תרס״ז ומכ״ד בכסלו תרס״ז. המכתבים מזכירים את המכתב ששלח ר׳ לייזר לרב אדלר “בשנה שעברה”, כלומר </w:t>
      </w:r>
      <w:proofErr w:type="spellStart"/>
      <w:r>
        <w:rPr>
          <w:rtl/>
        </w:rPr>
        <w:t>בתרס״ו</w:t>
      </w:r>
      <w:proofErr w:type="spellEnd"/>
      <w:r>
        <w:rPr>
          <w:rtl/>
        </w:rPr>
        <w:t xml:space="preserve"> (1905–ראשית 1906), ארבע שנים לפני פגישתם המאכזבת פנים אל פנים.</w:t>
      </w:r>
    </w:p>
    <w:p w14:paraId="7349B627" w14:textId="77777777" w:rsidR="00AB3647" w:rsidRDefault="00000000" w:rsidP="007923E9">
      <w:pPr>
        <w:spacing w:after="120" w:line="276" w:lineRule="auto"/>
        <w:ind w:firstLine="283"/>
        <w:jc w:val="both"/>
      </w:pPr>
      <w:r>
        <w:rPr>
          <w:rtl/>
        </w:rPr>
        <w:t xml:space="preserve">יתרה מזו, הרב אדלר ידע שר׳ לייזר גורדון הוא רבה של </w:t>
      </w:r>
      <w:proofErr w:type="spellStart"/>
      <w:r>
        <w:rPr>
          <w:rtl/>
        </w:rPr>
        <w:t>טלז</w:t>
      </w:r>
      <w:proofErr w:type="spellEnd"/>
      <w:r>
        <w:rPr>
          <w:rtl/>
        </w:rPr>
        <w:t xml:space="preserve"> אפילו </w:t>
      </w:r>
      <w:proofErr w:type="spellStart"/>
      <w:r>
        <w:rPr>
          <w:rtl/>
        </w:rPr>
        <w:t>ארבע־עשרה</w:t>
      </w:r>
      <w:proofErr w:type="spellEnd"/>
      <w:r>
        <w:rPr>
          <w:rtl/>
        </w:rPr>
        <w:t xml:space="preserve"> שנים לפני ההתכתבות הזאת. כאשר ראה הרב אדלר </w:t>
      </w:r>
      <w:proofErr w:type="spellStart"/>
      <w:r>
        <w:rPr>
          <w:rtl/>
        </w:rPr>
        <w:t>ש“יהודי</w:t>
      </w:r>
      <w:proofErr w:type="spellEnd"/>
      <w:r>
        <w:rPr>
          <w:rtl/>
        </w:rPr>
        <w:t xml:space="preserve"> מזרח אירופה מרדו” בו והקימו ארגון כשרות משלהם בחסות בית הכנסת מחזיקי הדת, שבראשו עמד ר׳ </w:t>
      </w:r>
      <w:proofErr w:type="spellStart"/>
      <w:r>
        <w:rPr>
          <w:rtl/>
        </w:rPr>
        <w:t>אברהם־אבא</w:t>
      </w:r>
      <w:proofErr w:type="spellEnd"/>
      <w:r>
        <w:rPr>
          <w:rtl/>
        </w:rPr>
        <w:t xml:space="preserve"> ורנר, פנה הרב הראשי לרבנים מפורסמים ומכובדים ממזרח אירופה שיאסרו הקמת גוף שחיטה נפרד. </w:t>
      </w:r>
      <w:proofErr w:type="spellStart"/>
      <w:r>
        <w:rPr>
          <w:rtl/>
        </w:rPr>
        <w:t>בתרנ״ב</w:t>
      </w:r>
      <w:proofErr w:type="spellEnd"/>
      <w:r>
        <w:rPr>
          <w:rtl/>
        </w:rPr>
        <w:t xml:space="preserve"> השיג מכתבים מר׳ </w:t>
      </w:r>
      <w:proofErr w:type="spellStart"/>
      <w:r>
        <w:rPr>
          <w:rtl/>
        </w:rPr>
        <w:t>יצחק־אלחנן</w:t>
      </w:r>
      <w:proofErr w:type="spellEnd"/>
      <w:r>
        <w:rPr>
          <w:rtl/>
        </w:rPr>
        <w:t xml:space="preserve">, ר׳ לייזר </w:t>
      </w:r>
      <w:proofErr w:type="spellStart"/>
      <w:r>
        <w:rPr>
          <w:rtl/>
        </w:rPr>
        <w:t>טלזר</w:t>
      </w:r>
      <w:proofErr w:type="spellEnd"/>
      <w:r>
        <w:rPr>
          <w:rtl/>
        </w:rPr>
        <w:t xml:space="preserve">, ר׳ </w:t>
      </w:r>
      <w:proofErr w:type="spellStart"/>
      <w:r>
        <w:rPr>
          <w:rtl/>
        </w:rPr>
        <w:t>יהושע׳לה</w:t>
      </w:r>
      <w:proofErr w:type="spellEnd"/>
      <w:r>
        <w:rPr>
          <w:rtl/>
        </w:rPr>
        <w:t xml:space="preserve"> </w:t>
      </w:r>
      <w:proofErr w:type="spellStart"/>
      <w:r>
        <w:rPr>
          <w:rtl/>
        </w:rPr>
        <w:t>קוטנר</w:t>
      </w:r>
      <w:proofErr w:type="spellEnd"/>
      <w:r>
        <w:rPr>
          <w:rtl/>
        </w:rPr>
        <w:t xml:space="preserve"> </w:t>
      </w:r>
      <w:proofErr w:type="spellStart"/>
      <w:r>
        <w:rPr>
          <w:rtl/>
        </w:rPr>
        <w:t>והנצי״ב</w:t>
      </w:r>
      <w:proofErr w:type="spellEnd"/>
      <w:r>
        <w:rPr>
          <w:rtl/>
        </w:rPr>
        <w:t>, שהכריזו על האיסור</w:t>
      </w:r>
      <w:bookmarkStart w:id="5519" w:name="_fnr4174"/>
      <w:r>
        <w:rPr>
          <w:vertAlign w:val="superscript"/>
          <w:rtl/>
        </w:rPr>
        <w:footnoteReference w:id="4184" w:customMarkFollows="0"/>
      </w:r>
      <w:bookmarkEnd w:id="5519"/>
      <w:r>
        <w:rPr>
          <w:rtl/>
        </w:rPr>
        <w:t xml:space="preserve">. הדיווח אצל בערל </w:t>
      </w:r>
      <w:proofErr w:type="spellStart"/>
      <w:r>
        <w:rPr>
          <w:rtl/>
        </w:rPr>
        <w:t>קגן</w:t>
      </w:r>
      <w:proofErr w:type="spellEnd"/>
      <w:r>
        <w:rPr>
          <w:rtl/>
        </w:rPr>
        <w:t xml:space="preserve">, שלפיו טען הרב הראשי שמעולם לא שמע שיש </w:t>
      </w:r>
      <w:proofErr w:type="spellStart"/>
      <w:r>
        <w:rPr>
          <w:rtl/>
        </w:rPr>
        <w:t>בטלז</w:t>
      </w:r>
      <w:proofErr w:type="spellEnd"/>
      <w:r>
        <w:rPr>
          <w:rtl/>
        </w:rPr>
        <w:t xml:space="preserve"> רב בשם ר׳ לייזר גורדון, הופרך אפוא למעשה.</w:t>
      </w:r>
    </w:p>
    <w:p w14:paraId="6DDDF791" w14:textId="77777777" w:rsidR="00AB3647" w:rsidRDefault="00000000" w:rsidP="007923E9">
      <w:pPr>
        <w:spacing w:after="120" w:line="276" w:lineRule="auto"/>
        <w:ind w:firstLine="283"/>
        <w:jc w:val="both"/>
      </w:pPr>
      <w:r>
        <w:rPr>
          <w:rtl/>
        </w:rPr>
        <w:t xml:space="preserve">גרסה אחרת לדברי הפתיחה של הרב אדלר </w:t>
      </w:r>
      <w:proofErr w:type="spellStart"/>
      <w:r>
        <w:rPr>
          <w:rtl/>
        </w:rPr>
        <w:t>לר</w:t>
      </w:r>
      <w:proofErr w:type="spellEnd"/>
      <w:r>
        <w:rPr>
          <w:rtl/>
        </w:rPr>
        <w:t xml:space="preserve">׳ לייזר גורדון מסר ר׳ משה </w:t>
      </w:r>
      <w:proofErr w:type="spellStart"/>
      <w:r>
        <w:rPr>
          <w:rtl/>
        </w:rPr>
        <w:t>רבינוביץ</w:t>
      </w:r>
      <w:bookmarkStart w:id="5520" w:name="_fnr4175"/>
      <w:proofErr w:type="spellEnd"/>
      <w:r>
        <w:rPr>
          <w:vertAlign w:val="superscript"/>
          <w:rtl/>
        </w:rPr>
        <w:footnoteReference w:id="4185" w:customMarkFollows="0"/>
      </w:r>
      <w:bookmarkEnd w:id="5520"/>
      <w:r>
        <w:rPr>
          <w:rtl/>
        </w:rPr>
        <w:t xml:space="preserve">, יליד אנגליה, שסיפר: “מישהו בלונדון קיבל את פני ר׳ לייזר בהערה: ‘אבל ישיבת </w:t>
      </w:r>
      <w:proofErr w:type="spellStart"/>
      <w:r>
        <w:rPr>
          <w:rtl/>
        </w:rPr>
        <w:t>טלז</w:t>
      </w:r>
      <w:proofErr w:type="spellEnd"/>
      <w:r>
        <w:rPr>
          <w:rtl/>
        </w:rPr>
        <w:t xml:space="preserve"> נסגרה.’” ייתכן שאותו “מישהו” לא היה אלא הרב הראשי אדלר, ושאלה היו אכן דברי הפתיחה שלו </w:t>
      </w:r>
      <w:proofErr w:type="spellStart"/>
      <w:r>
        <w:rPr>
          <w:rtl/>
        </w:rPr>
        <w:t>לר</w:t>
      </w:r>
      <w:proofErr w:type="spellEnd"/>
      <w:r>
        <w:rPr>
          <w:rtl/>
        </w:rPr>
        <w:t xml:space="preserve">׳ לייזר גורדון, שהמקור של בערל </w:t>
      </w:r>
      <w:proofErr w:type="spellStart"/>
      <w:r>
        <w:rPr>
          <w:rtl/>
        </w:rPr>
        <w:t>קגן</w:t>
      </w:r>
      <w:proofErr w:type="spellEnd"/>
      <w:r>
        <w:rPr>
          <w:rtl/>
        </w:rPr>
        <w:t xml:space="preserve"> שינה בשגגה </w:t>
      </w:r>
      <w:proofErr w:type="spellStart"/>
      <w:r>
        <w:rPr>
          <w:rtl/>
        </w:rPr>
        <w:t>מ“אבל</w:t>
      </w:r>
      <w:proofErr w:type="spellEnd"/>
      <w:r>
        <w:rPr>
          <w:rtl/>
        </w:rPr>
        <w:t xml:space="preserve"> כבר אין </w:t>
      </w:r>
      <w:proofErr w:type="spellStart"/>
      <w:r>
        <w:rPr>
          <w:rtl/>
        </w:rPr>
        <w:t>בטלז</w:t>
      </w:r>
      <w:proofErr w:type="spellEnd"/>
      <w:r>
        <w:rPr>
          <w:rtl/>
        </w:rPr>
        <w:t xml:space="preserve"> ישיבה” </w:t>
      </w:r>
      <w:proofErr w:type="spellStart"/>
      <w:r>
        <w:rPr>
          <w:rtl/>
        </w:rPr>
        <w:t>ל“אבל</w:t>
      </w:r>
      <w:proofErr w:type="spellEnd"/>
      <w:r>
        <w:rPr>
          <w:rtl/>
        </w:rPr>
        <w:t xml:space="preserve"> אין </w:t>
      </w:r>
      <w:proofErr w:type="spellStart"/>
      <w:r>
        <w:rPr>
          <w:rtl/>
        </w:rPr>
        <w:t>בטלז</w:t>
      </w:r>
      <w:proofErr w:type="spellEnd"/>
      <w:r>
        <w:rPr>
          <w:rtl/>
        </w:rPr>
        <w:t xml:space="preserve"> רב בשם גורדון” הדומה לו.</w:t>
      </w:r>
    </w:p>
    <w:p w14:paraId="776F6A30" w14:textId="77777777" w:rsidR="00AB3647" w:rsidRDefault="00000000" w:rsidP="007923E9">
      <w:pPr>
        <w:spacing w:after="120" w:line="276" w:lineRule="auto"/>
        <w:ind w:firstLine="283"/>
        <w:jc w:val="both"/>
      </w:pPr>
      <w:r>
        <w:rPr>
          <w:rtl/>
        </w:rPr>
        <w:t xml:space="preserve">אפשר לשער שכאשר קיבל הרב אדלר מר׳ לייזר גורדון את המכתב הנזכר לעיל </w:t>
      </w:r>
      <w:proofErr w:type="spellStart"/>
      <w:r>
        <w:rPr>
          <w:rtl/>
        </w:rPr>
        <w:t>מתרס״ו</w:t>
      </w:r>
      <w:proofErr w:type="spellEnd"/>
      <w:r>
        <w:rPr>
          <w:rtl/>
        </w:rPr>
        <w:t xml:space="preserve">, שביקש כספים למען ישיבת </w:t>
      </w:r>
      <w:proofErr w:type="spellStart"/>
      <w:r>
        <w:rPr>
          <w:rtl/>
        </w:rPr>
        <w:t>טלז</w:t>
      </w:r>
      <w:proofErr w:type="spellEnd"/>
      <w:r>
        <w:rPr>
          <w:rtl/>
        </w:rPr>
        <w:t>, בין השאר – בשעה שזה עתה נפתחה מחדש אחרי סגירה של כמה חודשים</w:t>
      </w:r>
      <w:bookmarkStart w:id="5521" w:name="_fnr4176"/>
      <w:r>
        <w:rPr>
          <w:vertAlign w:val="superscript"/>
          <w:rtl/>
        </w:rPr>
        <w:footnoteReference w:id="4186" w:customMarkFollows="0"/>
      </w:r>
      <w:bookmarkEnd w:id="5521"/>
      <w:r>
        <w:rPr>
          <w:rtl/>
        </w:rPr>
        <w:t xml:space="preserve"> – שוחח הרב הראשי על הבקשה עם אדם שנחשב בקי בענייני ליטא, ונאמר לו שישיבתו של ר׳ לייזר נסגרה. הידיעה המאוחרת יותר על פתיחתה מחדש הייתה פשוט </w:t>
      </w:r>
      <w:r>
        <w:rPr>
          <w:rtl/>
        </w:rPr>
        <w:lastRenderedPageBreak/>
        <w:t xml:space="preserve">טרייה מכדי שתגיע אז </w:t>
      </w:r>
      <w:proofErr w:type="spellStart"/>
      <w:r>
        <w:rPr>
          <w:rtl/>
        </w:rPr>
        <w:t>למודיעו</w:t>
      </w:r>
      <w:proofErr w:type="spellEnd"/>
      <w:r>
        <w:rPr>
          <w:rtl/>
        </w:rPr>
        <w:t xml:space="preserve"> של הרב אדלר. ארבע שנים לאחר מכן, כשנפגש הרב אדלר עם ר׳ לייזר גורדון פנים אל פנים, הייתה הידיעה האחרונה ששמע על ישיבת </w:t>
      </w:r>
      <w:proofErr w:type="spellStart"/>
      <w:r>
        <w:rPr>
          <w:rtl/>
        </w:rPr>
        <w:t>טלז</w:t>
      </w:r>
      <w:proofErr w:type="spellEnd"/>
      <w:r>
        <w:rPr>
          <w:rtl/>
        </w:rPr>
        <w:t xml:space="preserve"> – בשל ריחוקו מיהודי מזרח אירופה – ישנה כמו התכתבותו של ר׳ לייזר, וזה מכבר עבר זמנה. הרב אדלר, שהיה בדרך כלל מלא חשדות כלפי יהדות מזרח אירופה, קיבל את פני ר׳ לייזר בחוסר רגישות, ברמיזה מאשימה שהוא מגייס כספים לישיבה שכבר אינה קיימת.</w:t>
      </w:r>
    </w:p>
    <w:p w14:paraId="08499EAA" w14:textId="77777777" w:rsidR="00AB3647" w:rsidRDefault="00000000" w:rsidP="007923E9">
      <w:pPr>
        <w:spacing w:after="120" w:line="276" w:lineRule="auto"/>
        <w:ind w:firstLine="283"/>
        <w:jc w:val="both"/>
      </w:pPr>
      <w:r>
        <w:rPr>
          <w:rtl/>
        </w:rPr>
        <w:t xml:space="preserve">מאמר של הרב אברהם </w:t>
      </w:r>
      <w:proofErr w:type="spellStart"/>
      <w:r>
        <w:rPr>
          <w:rtl/>
        </w:rPr>
        <w:t>שישא</w:t>
      </w:r>
      <w:proofErr w:type="spellEnd"/>
      <w:r>
        <w:rPr>
          <w:rtl/>
        </w:rPr>
        <w:t xml:space="preserve"> הלוי </w:t>
      </w:r>
      <w:proofErr w:type="spellStart"/>
      <w:r>
        <w:rPr>
          <w:rtl/>
        </w:rPr>
        <w:t>ב“הדרום</w:t>
      </w:r>
      <w:proofErr w:type="spellEnd"/>
      <w:r>
        <w:rPr>
          <w:rtl/>
        </w:rPr>
        <w:t>” מספר</w:t>
      </w:r>
      <w:bookmarkStart w:id="5522" w:name="_fnr4177"/>
      <w:r>
        <w:rPr>
          <w:vertAlign w:val="superscript"/>
          <w:rtl/>
        </w:rPr>
        <w:footnoteReference w:id="4187" w:customMarkFollows="0"/>
      </w:r>
      <w:bookmarkEnd w:id="5522"/>
      <w:r>
        <w:rPr>
          <w:rtl/>
        </w:rPr>
        <w:t xml:space="preserve"> על מסורת שמסר ר׳ </w:t>
      </w:r>
      <w:proofErr w:type="spellStart"/>
      <w:r>
        <w:rPr>
          <w:rtl/>
        </w:rPr>
        <w:t>צבי־הירש</w:t>
      </w:r>
      <w:proofErr w:type="spellEnd"/>
      <w:r>
        <w:rPr>
          <w:rtl/>
        </w:rPr>
        <w:t xml:space="preserve"> פרבר, שקיבל אותה מבעל המעשה, ר׳ </w:t>
      </w:r>
      <w:proofErr w:type="spellStart"/>
      <w:r>
        <w:rPr>
          <w:rtl/>
        </w:rPr>
        <w:t>אברהם־אבא</w:t>
      </w:r>
      <w:proofErr w:type="spellEnd"/>
      <w:r>
        <w:rPr>
          <w:rtl/>
        </w:rPr>
        <w:t xml:space="preserve"> ורנר. כשהגיע ר׳ לייזר ללונדון ולא הוכן לו מקום לינה, הציע לארחו ר׳ מנדל רפפורט, שוחט לשעבר </w:t>
      </w:r>
      <w:proofErr w:type="spellStart"/>
      <w:r>
        <w:rPr>
          <w:rtl/>
        </w:rPr>
        <w:t>בטלז</w:t>
      </w:r>
      <w:proofErr w:type="spellEnd"/>
      <w:r>
        <w:rPr>
          <w:rtl/>
        </w:rPr>
        <w:t xml:space="preserve"> שהתעשר בלונדון. ר׳ לייזר גורדון פגש את ר׳ מנדל במקרה ברחוב, ברובע </w:t>
      </w:r>
      <w:proofErr w:type="spellStart"/>
      <w:r>
        <w:rPr>
          <w:rtl/>
        </w:rPr>
        <w:t>וייטצ׳פל</w:t>
      </w:r>
      <w:proofErr w:type="spellEnd"/>
      <w:r>
        <w:rPr>
          <w:rtl/>
        </w:rPr>
        <w:t xml:space="preserve"> בלונדון</w:t>
      </w:r>
      <w:bookmarkStart w:id="5523" w:name="_fnr4178"/>
      <w:r>
        <w:rPr>
          <w:vertAlign w:val="superscript"/>
          <w:rtl/>
        </w:rPr>
        <w:footnoteReference w:id="4188" w:customMarkFollows="0"/>
      </w:r>
      <w:bookmarkEnd w:id="5523"/>
      <w:r>
        <w:rPr>
          <w:rtl/>
        </w:rPr>
        <w:t xml:space="preserve">, ומכיוון שאיש מהם לא זיהה את רעהו, ביקש ממנו עזרה במציאת מקום ללון. כשהציגו את עצמם בשמותיהם, הבינו שדרכיהם הצטלבו שלושים שנה קודם לכן. בשיחה של מה בכך כעבור כמה ימים עלתה השאלה מדוע עזב המארח את </w:t>
      </w:r>
      <w:proofErr w:type="spellStart"/>
      <w:r>
        <w:rPr>
          <w:rtl/>
        </w:rPr>
        <w:t>טלז</w:t>
      </w:r>
      <w:proofErr w:type="spellEnd"/>
      <w:r>
        <w:rPr>
          <w:rtl/>
        </w:rPr>
        <w:t>.</w:t>
      </w:r>
    </w:p>
    <w:p w14:paraId="0B58908A" w14:textId="77777777" w:rsidR="00AB3647" w:rsidRDefault="00000000" w:rsidP="007923E9">
      <w:pPr>
        <w:spacing w:after="120" w:line="276" w:lineRule="auto"/>
        <w:ind w:firstLine="283"/>
        <w:jc w:val="both"/>
      </w:pPr>
      <w:r>
        <w:rPr>
          <w:rtl/>
        </w:rPr>
        <w:t>ר׳ מנדל רפפורט, איש טוב לב וירא שמים, גילה שכאשר נעשה ר׳ לייזר גורדון רב העיר, הביא לפניו, כמו יתר השוחטים, את החלף שלו, להראותו לרבם החדש. הרב החדש לא התפעל מן הדרך שבה “העמיד את החלף [</w:t>
      </w:r>
      <w:proofErr w:type="spellStart"/>
      <w:r>
        <w:rPr>
          <w:rtl/>
        </w:rPr>
        <w:t>שטעלט</w:t>
      </w:r>
      <w:proofErr w:type="spellEnd"/>
      <w:r>
        <w:rPr>
          <w:rtl/>
        </w:rPr>
        <w:t xml:space="preserve"> </w:t>
      </w:r>
      <w:proofErr w:type="spellStart"/>
      <w:r>
        <w:rPr>
          <w:rtl/>
        </w:rPr>
        <w:t>דעם</w:t>
      </w:r>
      <w:proofErr w:type="spellEnd"/>
      <w:r>
        <w:rPr>
          <w:rtl/>
        </w:rPr>
        <w:t xml:space="preserve"> חלף]” – חידדו לחדות ולחלקות מושלמות כדי שיהיה כשר לשחיטה – והעיר בעוקצנות: “</w:t>
      </w:r>
      <w:proofErr w:type="spellStart"/>
      <w:r>
        <w:rPr>
          <w:rtl/>
        </w:rPr>
        <w:t>אויך</w:t>
      </w:r>
      <w:proofErr w:type="spellEnd"/>
      <w:r>
        <w:rPr>
          <w:rtl/>
        </w:rPr>
        <w:t xml:space="preserve"> </w:t>
      </w:r>
      <w:proofErr w:type="spellStart"/>
      <w:r>
        <w:rPr>
          <w:rtl/>
        </w:rPr>
        <w:t>מיר</w:t>
      </w:r>
      <w:proofErr w:type="spellEnd"/>
      <w:r>
        <w:rPr>
          <w:rtl/>
        </w:rPr>
        <w:t xml:space="preserve"> א חלף [גם זה חלף בעיניי]?!</w:t>
      </w:r>
      <w:bookmarkStart w:id="5524" w:name="_fnr4179"/>
      <w:r>
        <w:rPr>
          <w:vertAlign w:val="superscript"/>
          <w:rtl/>
        </w:rPr>
        <w:footnoteReference w:id="4189" w:customMarkFollows="0"/>
      </w:r>
      <w:bookmarkEnd w:id="5524"/>
      <w:r>
        <w:rPr>
          <w:rtl/>
        </w:rPr>
        <w:t xml:space="preserve">” דבריו הצורבים ריסקו את רוחו של ר׳ מנדל רפפורט טהור הנפש, שמילא את תפקידו לשביעות רצון בימי ר׳ יהושע הלר, רבה הקודם של </w:t>
      </w:r>
      <w:proofErr w:type="spellStart"/>
      <w:r>
        <w:rPr>
          <w:rtl/>
        </w:rPr>
        <w:t>טלז</w:t>
      </w:r>
      <w:bookmarkStart w:id="5525" w:name="_fnr4180"/>
      <w:proofErr w:type="spellEnd"/>
      <w:r>
        <w:rPr>
          <w:vertAlign w:val="superscript"/>
          <w:rtl/>
        </w:rPr>
        <w:footnoteReference w:id="4190" w:customMarkFollows="0"/>
      </w:r>
      <w:bookmarkEnd w:id="5525"/>
      <w:r>
        <w:rPr>
          <w:rtl/>
        </w:rPr>
        <w:t>. ר׳ מנדל החליט בו במקום לעזוב את מקצוע השחיטה ולבקש פרנסה אחרת בארצות זרות. כששמע ר׳ לייזר גורדון את סיפור סבלו של מארחו, ביקש את מחילתו על שגרם לו צער, והודה לקדוש ברוך הוא על שנתן לו, אחרי עשרים ושש שנים, הזדמנות להתפייס עם האדם שפגע בו.</w:t>
      </w:r>
    </w:p>
    <w:p w14:paraId="5FADBB1F" w14:textId="77777777" w:rsidR="00AB3647" w:rsidRDefault="00000000" w:rsidP="007923E9">
      <w:pPr>
        <w:spacing w:after="120" w:line="276" w:lineRule="auto"/>
        <w:ind w:firstLine="283"/>
        <w:jc w:val="both"/>
      </w:pPr>
      <w:r>
        <w:rPr>
          <w:rtl/>
        </w:rPr>
        <w:t xml:space="preserve">בלונדון התפלל ר׳ לייזר גורדון בבית הכנסת מחזיקי הדת, שבו כיהן כרב ר׳ </w:t>
      </w:r>
      <w:proofErr w:type="spellStart"/>
      <w:r>
        <w:rPr>
          <w:rtl/>
        </w:rPr>
        <w:t>אברהם־אבא</w:t>
      </w:r>
      <w:proofErr w:type="spellEnd"/>
      <w:r>
        <w:rPr>
          <w:rtl/>
        </w:rPr>
        <w:t xml:space="preserve"> ורנר, לשעבר דיין </w:t>
      </w:r>
      <w:proofErr w:type="spellStart"/>
      <w:r>
        <w:rPr>
          <w:rtl/>
        </w:rPr>
        <w:t>בטלז</w:t>
      </w:r>
      <w:proofErr w:type="spellEnd"/>
      <w:r>
        <w:rPr>
          <w:rtl/>
        </w:rPr>
        <w:t xml:space="preserve">. במהלך שיחה גילה ר׳ </w:t>
      </w:r>
      <w:proofErr w:type="spellStart"/>
      <w:r>
        <w:rPr>
          <w:rtl/>
        </w:rPr>
        <w:t>אברהם־אבא</w:t>
      </w:r>
      <w:proofErr w:type="spellEnd"/>
      <w:r>
        <w:rPr>
          <w:rtl/>
        </w:rPr>
        <w:t xml:space="preserve"> לאורח שלפני כמה עשורים נטר לו טינה. דיין </w:t>
      </w:r>
      <w:proofErr w:type="spellStart"/>
      <w:r>
        <w:rPr>
          <w:rtl/>
        </w:rPr>
        <w:t>טלז</w:t>
      </w:r>
      <w:proofErr w:type="spellEnd"/>
      <w:r>
        <w:rPr>
          <w:rtl/>
        </w:rPr>
        <w:t xml:space="preserve"> זה, שכיהן בימי שני קודמיו של ר׳ לייזר גורדון, ר׳ יהושע הלר ור׳ יוסף </w:t>
      </w:r>
      <w:proofErr w:type="spellStart"/>
      <w:r>
        <w:rPr>
          <w:rtl/>
        </w:rPr>
        <w:t>רייזין</w:t>
      </w:r>
      <w:bookmarkStart w:id="5526" w:name="_fnr4181"/>
      <w:bookmarkStart w:id="5527" w:name="pr_f_4066"/>
      <w:proofErr w:type="spellEnd"/>
      <w:r>
        <w:rPr>
          <w:vertAlign w:val="superscript"/>
          <w:rtl/>
        </w:rPr>
        <w:footnoteReference w:id="4191" w:customMarkFollows="0"/>
      </w:r>
      <w:bookmarkEnd w:id="5526"/>
      <w:bookmarkEnd w:id="5527"/>
      <w:r>
        <w:rPr>
          <w:rtl/>
        </w:rPr>
        <w:t xml:space="preserve">, והיה קודם לכן רב בעיירה </w:t>
      </w:r>
      <w:proofErr w:type="spellStart"/>
      <w:r>
        <w:rPr>
          <w:rtl/>
        </w:rPr>
        <w:t>ווגר</w:t>
      </w:r>
      <w:proofErr w:type="spellEnd"/>
      <w:r>
        <w:rPr>
          <w:rtl/>
        </w:rPr>
        <w:t xml:space="preserve">, היה מבוגר מר׳ לייזר בשלוש שנים. ר׳ </w:t>
      </w:r>
      <w:proofErr w:type="spellStart"/>
      <w:r>
        <w:rPr>
          <w:rtl/>
        </w:rPr>
        <w:t>אברהם־אבא</w:t>
      </w:r>
      <w:proofErr w:type="spellEnd"/>
      <w:r>
        <w:rPr>
          <w:rtl/>
        </w:rPr>
        <w:t xml:space="preserve"> ורנר ציפה להתמנות לרבה של </w:t>
      </w:r>
      <w:proofErr w:type="spellStart"/>
      <w:r>
        <w:rPr>
          <w:rtl/>
        </w:rPr>
        <w:t>טלז</w:t>
      </w:r>
      <w:proofErr w:type="spellEnd"/>
      <w:r>
        <w:rPr>
          <w:rtl/>
        </w:rPr>
        <w:t xml:space="preserve"> כשהתפנה כיסא הרבנות</w:t>
      </w:r>
      <w:bookmarkStart w:id="5528" w:name="_fnr4182"/>
      <w:bookmarkStart w:id="5529" w:name="pr_f_4067"/>
      <w:r>
        <w:rPr>
          <w:vertAlign w:val="superscript"/>
          <w:rtl/>
        </w:rPr>
        <w:footnoteReference w:id="4192" w:customMarkFollows="0"/>
      </w:r>
      <w:bookmarkEnd w:id="5528"/>
      <w:bookmarkEnd w:id="5529"/>
      <w:r>
        <w:rPr>
          <w:rtl/>
        </w:rPr>
        <w:t xml:space="preserve">. במקום זאת הובא </w:t>
      </w:r>
      <w:proofErr w:type="spellStart"/>
      <w:r>
        <w:rPr>
          <w:rtl/>
        </w:rPr>
        <w:t>מסלבודקה</w:t>
      </w:r>
      <w:proofErr w:type="spellEnd"/>
      <w:r>
        <w:rPr>
          <w:rtl/>
        </w:rPr>
        <w:t xml:space="preserve"> רבה הוותיק של קלם, ר׳ לייזר גורדון</w:t>
      </w:r>
      <w:bookmarkStart w:id="5530" w:name="_fnr4183"/>
      <w:r>
        <w:rPr>
          <w:vertAlign w:val="superscript"/>
          <w:rtl/>
        </w:rPr>
        <w:footnoteReference w:id="4193" w:customMarkFollows="0"/>
      </w:r>
      <w:bookmarkEnd w:id="5530"/>
      <w:r>
        <w:rPr>
          <w:rtl/>
        </w:rPr>
        <w:t xml:space="preserve">. ר׳ </w:t>
      </w:r>
      <w:proofErr w:type="spellStart"/>
      <w:r>
        <w:rPr>
          <w:rtl/>
        </w:rPr>
        <w:t>אברהם־אבא</w:t>
      </w:r>
      <w:proofErr w:type="spellEnd"/>
      <w:r>
        <w:rPr>
          <w:rtl/>
        </w:rPr>
        <w:t xml:space="preserve"> ורנר המאוכזב עזב את ליטא במורת </w:t>
      </w:r>
      <w:r>
        <w:rPr>
          <w:rtl/>
        </w:rPr>
        <w:lastRenderedPageBreak/>
        <w:t xml:space="preserve">רוח כדי לכהן כרב בהלסינקי שבפינלנד, כנראה למשך שמונה שנים, ומשם בא ללונדון </w:t>
      </w:r>
      <w:proofErr w:type="spellStart"/>
      <w:r>
        <w:rPr>
          <w:rtl/>
        </w:rPr>
        <w:t>בתרנ״ב</w:t>
      </w:r>
      <w:bookmarkStart w:id="5531" w:name="_fnr4184"/>
      <w:proofErr w:type="spellEnd"/>
      <w:r>
        <w:rPr>
          <w:vertAlign w:val="superscript"/>
          <w:rtl/>
        </w:rPr>
        <w:footnoteReference w:id="4194" w:customMarkFollows="0"/>
      </w:r>
      <w:bookmarkEnd w:id="5531"/>
      <w:r>
        <w:rPr>
          <w:rtl/>
        </w:rPr>
        <w:t>.</w:t>
      </w:r>
    </w:p>
    <w:p w14:paraId="26F08EEC" w14:textId="77777777" w:rsidR="00AB3647" w:rsidRDefault="00000000" w:rsidP="007923E9">
      <w:pPr>
        <w:spacing w:after="120" w:line="276" w:lineRule="auto"/>
        <w:ind w:firstLine="283"/>
        <w:jc w:val="both"/>
      </w:pPr>
      <w:r>
        <w:rPr>
          <w:rtl/>
        </w:rPr>
        <w:t xml:space="preserve">ר׳ לייזר ביקש גם את מחילתו של ר׳ </w:t>
      </w:r>
      <w:proofErr w:type="spellStart"/>
      <w:r>
        <w:rPr>
          <w:rtl/>
        </w:rPr>
        <w:t>אברהם־אבא</w:t>
      </w:r>
      <w:proofErr w:type="spellEnd"/>
      <w:r>
        <w:rPr>
          <w:rtl/>
        </w:rPr>
        <w:t xml:space="preserve"> ורנר, ואמר שהיה מסרב לקבל את רבנות </w:t>
      </w:r>
      <w:proofErr w:type="spellStart"/>
      <w:r>
        <w:rPr>
          <w:rtl/>
        </w:rPr>
        <w:t>טלז</w:t>
      </w:r>
      <w:proofErr w:type="spellEnd"/>
      <w:r>
        <w:rPr>
          <w:rtl/>
        </w:rPr>
        <w:t xml:space="preserve"> אילו ידע על שאיפותיו. כעבור כמה ימים, אחרי שבוע אחד בלבד בבירת אנגליה, נפטר ר׳ לייזר גורדון – ור׳ </w:t>
      </w:r>
      <w:proofErr w:type="spellStart"/>
      <w:r>
        <w:rPr>
          <w:rtl/>
        </w:rPr>
        <w:t>אברהם־אבא</w:t>
      </w:r>
      <w:proofErr w:type="spellEnd"/>
      <w:r>
        <w:rPr>
          <w:rtl/>
        </w:rPr>
        <w:t xml:space="preserve"> ורנר נפטר שנה לאחר מכן.</w:t>
      </w:r>
    </w:p>
    <w:p w14:paraId="75A7B478" w14:textId="77777777" w:rsidR="00AB3647" w:rsidRDefault="00000000" w:rsidP="007923E9">
      <w:pPr>
        <w:spacing w:after="120" w:line="276" w:lineRule="auto"/>
        <w:ind w:firstLine="283"/>
        <w:jc w:val="both"/>
      </w:pPr>
      <w:r>
        <w:rPr>
          <w:rtl/>
        </w:rPr>
        <w:t xml:space="preserve">ר׳ </w:t>
      </w:r>
      <w:proofErr w:type="spellStart"/>
      <w:r>
        <w:rPr>
          <w:rtl/>
        </w:rPr>
        <w:t>צבי־הירש</w:t>
      </w:r>
      <w:proofErr w:type="spellEnd"/>
      <w:r>
        <w:rPr>
          <w:rtl/>
        </w:rPr>
        <w:t xml:space="preserve"> פרבר הוסיף שעד ששמע את הפרטים האלה מר׳ </w:t>
      </w:r>
      <w:proofErr w:type="spellStart"/>
      <w:r>
        <w:rPr>
          <w:rtl/>
        </w:rPr>
        <w:t>אברהם־אבא</w:t>
      </w:r>
      <w:proofErr w:type="spellEnd"/>
      <w:r>
        <w:rPr>
          <w:rtl/>
        </w:rPr>
        <w:t xml:space="preserve"> ורנר, תמה מדוע נאלץ ר׳ לייזר לנסוע עד אנגליה כדי לגייס כספים, כשכל חובה של הישיבה היה רק חמשת אלפים רובל, סכום שיכול היה לגייס בקלות “במכתב אחד ליהודי עשיר בפטרבורג או במוסקבה”. אבל אין לתמיהתו של ר׳ </w:t>
      </w:r>
      <w:proofErr w:type="spellStart"/>
      <w:r>
        <w:rPr>
          <w:rtl/>
        </w:rPr>
        <w:t>צבי־הירש</w:t>
      </w:r>
      <w:proofErr w:type="spellEnd"/>
      <w:r>
        <w:rPr>
          <w:rtl/>
        </w:rPr>
        <w:t xml:space="preserve"> פרבר תוקף מלא כשמדובר בר׳ לייזר, שרעיונותיו על גיוס כספים לא היו שגרתיים לגמרי – ראה לעיל, סוף הפסקה השנייה של נספח ח. יתרה מזו, ר׳ דב היימן אמר</w:t>
      </w:r>
      <w:bookmarkStart w:id="5532" w:name="_fnr4185"/>
      <w:r>
        <w:rPr>
          <w:vertAlign w:val="superscript"/>
          <w:rtl/>
        </w:rPr>
        <w:footnoteReference w:id="4195" w:customMarkFollows="0"/>
      </w:r>
      <w:bookmarkEnd w:id="5532"/>
      <w:r>
        <w:rPr>
          <w:rtl/>
        </w:rPr>
        <w:t xml:space="preserve"> שלפי המסורת שבידו, הסכום שרצה ר׳ לייזר לגייס היה “שמונה מאות לירות שטרלינג, סכום אסטרונומי בימים ההם”.</w:t>
      </w:r>
    </w:p>
    <w:p w14:paraId="3DC35D66" w14:textId="77777777" w:rsidR="00AB3647" w:rsidRDefault="00000000" w:rsidP="007923E9">
      <w:pPr>
        <w:spacing w:after="120" w:line="276" w:lineRule="auto"/>
        <w:ind w:firstLine="283"/>
        <w:jc w:val="both"/>
      </w:pPr>
      <w:r>
        <w:rPr>
          <w:rtl/>
        </w:rPr>
        <w:t xml:space="preserve">בעקבות מה שסיפר לו ר׳ </w:t>
      </w:r>
      <w:proofErr w:type="spellStart"/>
      <w:r>
        <w:rPr>
          <w:rtl/>
        </w:rPr>
        <w:t>אברהם־אבא</w:t>
      </w:r>
      <w:proofErr w:type="spellEnd"/>
      <w:r>
        <w:rPr>
          <w:rtl/>
        </w:rPr>
        <w:t xml:space="preserve"> ורנר הבין ר׳ </w:t>
      </w:r>
      <w:proofErr w:type="spellStart"/>
      <w:r>
        <w:rPr>
          <w:rtl/>
        </w:rPr>
        <w:t>צבי־הירש</w:t>
      </w:r>
      <w:proofErr w:type="spellEnd"/>
      <w:r>
        <w:rPr>
          <w:rtl/>
        </w:rPr>
        <w:t xml:space="preserve"> פרבר שלפני מותו הגזור הביאה ההשגחה את ר׳ לייזר במיוחד ללונדון, כדי שיזכה למחילה משני האנשים שפגע בהם. למעשה, מלבד האפשרות להשיג את הכספים הדרושים ברוסיה עצמה, הייתה סיבה משכנעת עוד יותר שלא ייסע לאנגליה: בריאותו הרופפת. השווה </w:t>
      </w:r>
      <w:proofErr w:type="spellStart"/>
      <w:r>
        <w:rPr>
          <w:rtl/>
        </w:rPr>
        <w:t>ל“ברכות</w:t>
      </w:r>
      <w:proofErr w:type="spellEnd"/>
      <w:r>
        <w:rPr>
          <w:rtl/>
        </w:rPr>
        <w:t xml:space="preserve"> משה” מאת ברוך משה </w:t>
      </w:r>
      <w:proofErr w:type="spellStart"/>
      <w:r>
        <w:rPr>
          <w:rtl/>
        </w:rPr>
        <w:t>פייבלזון</w:t>
      </w:r>
      <w:bookmarkStart w:id="5533" w:name="_fnr4186"/>
      <w:proofErr w:type="spellEnd"/>
      <w:r>
        <w:rPr>
          <w:vertAlign w:val="superscript"/>
          <w:rtl/>
        </w:rPr>
        <w:footnoteReference w:id="4196" w:customMarkFollows="0"/>
      </w:r>
      <w:bookmarkEnd w:id="5533"/>
      <w:r>
        <w:rPr>
          <w:rtl/>
        </w:rPr>
        <w:t>, המציין “עובדה שאינה ידועה לכולם: ר׳ לייזר גורדון היה חולה מאוד בשנותיו האחרונות, והרופאים הזהירוהו להיזהר מאוד. אולם בכל מסירותו הלוהטת לתורה לא שמע להם, וחולה עד מאוד נסע ללונדון.”</w:t>
      </w:r>
    </w:p>
    <w:p w14:paraId="0AE2EB00" w14:textId="77777777" w:rsidR="00AB3647" w:rsidRDefault="00000000" w:rsidP="007923E9">
      <w:pPr>
        <w:spacing w:after="120" w:line="276" w:lineRule="auto"/>
        <w:ind w:firstLine="283"/>
        <w:jc w:val="both"/>
      </w:pPr>
      <w:r>
        <w:rPr>
          <w:rtl/>
        </w:rPr>
        <w:t xml:space="preserve">השווה גם </w:t>
      </w:r>
      <w:proofErr w:type="spellStart"/>
      <w:r>
        <w:rPr>
          <w:rtl/>
        </w:rPr>
        <w:t>ל“יצחק</w:t>
      </w:r>
      <w:proofErr w:type="spellEnd"/>
      <w:r>
        <w:rPr>
          <w:rtl/>
        </w:rPr>
        <w:t xml:space="preserve"> אייזיק הלוי (1847–1914)”</w:t>
      </w:r>
      <w:bookmarkStart w:id="5534" w:name="_fnr4187"/>
      <w:r>
        <w:rPr>
          <w:vertAlign w:val="superscript"/>
          <w:rtl/>
        </w:rPr>
        <w:footnoteReference w:id="4197" w:customMarkFollows="0"/>
      </w:r>
      <w:bookmarkEnd w:id="5534"/>
      <w:r>
        <w:rPr>
          <w:rtl/>
        </w:rPr>
        <w:t xml:space="preserve">, שבו מובא מכתב של ר׳ </w:t>
      </w:r>
      <w:proofErr w:type="spellStart"/>
      <w:r>
        <w:rPr>
          <w:rtl/>
        </w:rPr>
        <w:t>יצחק־אייזיק</w:t>
      </w:r>
      <w:proofErr w:type="spellEnd"/>
      <w:r>
        <w:rPr>
          <w:rtl/>
        </w:rPr>
        <w:t xml:space="preserve"> הלוי </w:t>
      </w:r>
      <w:proofErr w:type="spellStart"/>
      <w:r>
        <w:rPr>
          <w:rtl/>
        </w:rPr>
        <w:t>לר</w:t>
      </w:r>
      <w:proofErr w:type="spellEnd"/>
      <w:r>
        <w:rPr>
          <w:rtl/>
        </w:rPr>
        <w:t xml:space="preserve">׳ לייזר גורדון מי״ט בסיוון תרס״ט (תשעה חודשים לפני מותו). במכתב הוא מזמין את ר׳ לייזר להשתתף בכינוס רבנים </w:t>
      </w:r>
      <w:proofErr w:type="spellStart"/>
      <w:r>
        <w:rPr>
          <w:rtl/>
        </w:rPr>
        <w:t>בבאד</w:t>
      </w:r>
      <w:proofErr w:type="spellEnd"/>
      <w:r>
        <w:rPr>
          <w:rtl/>
        </w:rPr>
        <w:t xml:space="preserve"> </w:t>
      </w:r>
      <w:proofErr w:type="spellStart"/>
      <w:r>
        <w:rPr>
          <w:rtl/>
        </w:rPr>
        <w:t>הומבורג</w:t>
      </w:r>
      <w:proofErr w:type="spellEnd"/>
      <w:r>
        <w:rPr>
          <w:rtl/>
        </w:rPr>
        <w:t xml:space="preserve">, ליד פרנקפורט, שנועד להתקיים בעוד פחות משמונה שבועות, במילים: “לא כתבתי אליך עד עכשיו מפני ששמעתי שקשה לך לנסוע – ירפאך ה׳ – ושגם לכינוס הרבנים בווילנה לא באת בגלל בריאותך הרופפת. אבל נודע לי שתיסע בעזרת ה׳ בקרוב ל[עיירה הסמוכה] </w:t>
      </w:r>
      <w:proofErr w:type="spellStart"/>
      <w:r>
        <w:rPr>
          <w:rtl/>
        </w:rPr>
        <w:t>קיסינגן</w:t>
      </w:r>
      <w:proofErr w:type="spellEnd"/>
      <w:r>
        <w:rPr>
          <w:rtl/>
        </w:rPr>
        <w:t>; לכן אני מבקש ממך... לדאוג שנסיעתך... תהיה במועד שיאפשר לך להשתתף בכינוס הרבנים.” רמז נוסף לכך שר׳ לייזר נזקק אז לטיפול מיוחד בבריאותו בזמן נסיעתו ללונדון הוא שהרבנית גורדון ליוותה אותו</w:t>
      </w:r>
      <w:bookmarkStart w:id="5535" w:name="_fnr4188"/>
      <w:r>
        <w:rPr>
          <w:vertAlign w:val="superscript"/>
          <w:rtl/>
        </w:rPr>
        <w:footnoteReference w:id="4198" w:customMarkFollows="0"/>
      </w:r>
      <w:bookmarkEnd w:id="5535"/>
      <w:r>
        <w:rPr>
          <w:rtl/>
        </w:rPr>
        <w:t>.</w:t>
      </w:r>
    </w:p>
    <w:p w14:paraId="3E5E036A" w14:textId="77777777" w:rsidR="00AB3647" w:rsidRDefault="00000000" w:rsidP="007923E9">
      <w:pPr>
        <w:spacing w:after="120" w:line="276" w:lineRule="auto"/>
        <w:ind w:firstLine="283"/>
        <w:jc w:val="both"/>
      </w:pPr>
      <w:r>
        <w:rPr>
          <w:rtl/>
        </w:rPr>
        <w:t xml:space="preserve">אולם ר׳ </w:t>
      </w:r>
      <w:proofErr w:type="spellStart"/>
      <w:r>
        <w:rPr>
          <w:rtl/>
        </w:rPr>
        <w:t>אברהם־חיים</w:t>
      </w:r>
      <w:proofErr w:type="spellEnd"/>
      <w:r>
        <w:rPr>
          <w:rtl/>
        </w:rPr>
        <w:t xml:space="preserve"> </w:t>
      </w:r>
      <w:proofErr w:type="spellStart"/>
      <w:r>
        <w:rPr>
          <w:rtl/>
        </w:rPr>
        <w:t>פויער</w:t>
      </w:r>
      <w:proofErr w:type="spellEnd"/>
      <w:r>
        <w:rPr>
          <w:rtl/>
        </w:rPr>
        <w:t>, שאשתו היא בת נינתו של ר׳ לייזר, גילה</w:t>
      </w:r>
      <w:bookmarkStart w:id="5536" w:name="_fnr4189"/>
      <w:r>
        <w:rPr>
          <w:vertAlign w:val="superscript"/>
          <w:rtl/>
        </w:rPr>
        <w:footnoteReference w:id="4199" w:customMarkFollows="0"/>
      </w:r>
      <w:bookmarkEnd w:id="5536"/>
      <w:r>
        <w:rPr>
          <w:rtl/>
        </w:rPr>
        <w:t xml:space="preserve"> טעם שונה לגמרי לנסיעתו ללונדון, שיש בו גם הסבר לכך שהרבנית ליוותה אותו: נכדתם מרי, בת בנם מרדכי, </w:t>
      </w:r>
      <w:r>
        <w:rPr>
          <w:rtl/>
        </w:rPr>
        <w:lastRenderedPageBreak/>
        <w:t>עברה קודם לכן עם הוריה לאנגליה ולמדה במכללה לרפואה בלונדון</w:t>
      </w:r>
      <w:bookmarkStart w:id="5537" w:name="_fnr4190"/>
      <w:r>
        <w:rPr>
          <w:vertAlign w:val="superscript"/>
          <w:rtl/>
        </w:rPr>
        <w:footnoteReference w:id="4200" w:customMarkFollows="0"/>
      </w:r>
      <w:bookmarkEnd w:id="5537"/>
      <w:r>
        <w:rPr>
          <w:rtl/>
        </w:rPr>
        <w:t>, ור׳ לייזר חש שביקורם יגביר את דתיותה של הצעירה.</w:t>
      </w:r>
    </w:p>
    <w:p w14:paraId="37B5DDFD" w14:textId="77777777" w:rsidR="00AB3647" w:rsidRDefault="00000000" w:rsidP="007923E9">
      <w:pPr>
        <w:spacing w:after="120" w:line="276" w:lineRule="auto"/>
        <w:ind w:firstLine="283"/>
        <w:jc w:val="both"/>
      </w:pPr>
      <w:r>
        <w:rPr>
          <w:rtl/>
        </w:rPr>
        <w:t xml:space="preserve">בין המספידים בהלוויית ר׳ לייזר היו </w:t>
      </w:r>
      <w:proofErr w:type="spellStart"/>
      <w:r>
        <w:rPr>
          <w:rtl/>
        </w:rPr>
        <w:t>הרידב״ז</w:t>
      </w:r>
      <w:bookmarkStart w:id="5538" w:name="_fnr4191"/>
      <w:proofErr w:type="spellEnd"/>
      <w:r>
        <w:rPr>
          <w:vertAlign w:val="superscript"/>
          <w:rtl/>
        </w:rPr>
        <w:footnoteReference w:id="4201" w:customMarkFollows="0"/>
      </w:r>
      <w:bookmarkEnd w:id="5538"/>
      <w:r>
        <w:rPr>
          <w:rtl/>
        </w:rPr>
        <w:t xml:space="preserve">, שנמצא במקרה בלונדון באותה עת, ור׳ </w:t>
      </w:r>
      <w:proofErr w:type="spellStart"/>
      <w:r>
        <w:rPr>
          <w:rtl/>
        </w:rPr>
        <w:t>שמואל־יצחק</w:t>
      </w:r>
      <w:proofErr w:type="spellEnd"/>
      <w:r>
        <w:rPr>
          <w:rtl/>
        </w:rPr>
        <w:t xml:space="preserve"> </w:t>
      </w:r>
      <w:proofErr w:type="spellStart"/>
      <w:r>
        <w:rPr>
          <w:rtl/>
        </w:rPr>
        <w:t>הילמן</w:t>
      </w:r>
      <w:proofErr w:type="spellEnd"/>
      <w:r>
        <w:rPr>
          <w:rtl/>
        </w:rPr>
        <w:t>, שהיה אז רבה של גלזגו</w:t>
      </w:r>
      <w:bookmarkStart w:id="5539" w:name="_fnr4192"/>
      <w:r>
        <w:rPr>
          <w:vertAlign w:val="superscript"/>
          <w:rtl/>
        </w:rPr>
        <w:footnoteReference w:id="4202" w:customMarkFollows="0"/>
      </w:r>
      <w:bookmarkEnd w:id="5539"/>
      <w:r>
        <w:rPr>
          <w:rtl/>
        </w:rPr>
        <w:t xml:space="preserve">. ר׳ </w:t>
      </w:r>
      <w:proofErr w:type="spellStart"/>
      <w:r>
        <w:rPr>
          <w:rtl/>
        </w:rPr>
        <w:t>שמואל־יצחק</w:t>
      </w:r>
      <w:proofErr w:type="spellEnd"/>
      <w:r>
        <w:rPr>
          <w:rtl/>
        </w:rPr>
        <w:t xml:space="preserve"> נשא הספד מרגש, שנרשם בספרו “אור היישר דרשות”, וציטט בו את הפסוק שבו תיאר יוסף את ניסיונו המר במצרים: “כי גֻנֹב גֻנבתי מארץ העברים וגם פה לא עשיתי מאומה כי שׂמו אֹתי בבּור”</w:t>
      </w:r>
      <w:bookmarkStart w:id="5540" w:name="_fnr4193"/>
      <w:r>
        <w:rPr>
          <w:vertAlign w:val="superscript"/>
          <w:rtl/>
        </w:rPr>
        <w:footnoteReference w:id="4203" w:customMarkFollows="0"/>
      </w:r>
      <w:bookmarkEnd w:id="5540"/>
      <w:r>
        <w:rPr>
          <w:rtl/>
        </w:rPr>
        <w:t xml:space="preserve">. הוא תיאר את ר׳ לייזר גורדון המנוח כמי שחוזר על הפסוק ומחיל אותו על אסונו שלו, שכן “גם הוא, כביכול, ‘נחטף’ </w:t>
      </w:r>
      <w:proofErr w:type="spellStart"/>
      <w:r>
        <w:rPr>
          <w:rtl/>
        </w:rPr>
        <w:t>מ‘ארץ</w:t>
      </w:r>
      <w:proofErr w:type="spellEnd"/>
      <w:r>
        <w:rPr>
          <w:rtl/>
        </w:rPr>
        <w:t xml:space="preserve"> העברים</w:t>
      </w:r>
      <w:bookmarkStart w:id="5541" w:name="_fnr4194"/>
      <w:r>
        <w:rPr>
          <w:vertAlign w:val="superscript"/>
          <w:rtl/>
        </w:rPr>
        <w:footnoteReference w:id="4204" w:customMarkFollows="0"/>
      </w:r>
      <w:bookmarkEnd w:id="5541"/>
      <w:r>
        <w:rPr>
          <w:rtl/>
        </w:rPr>
        <w:t xml:space="preserve">’ למקום שבו לא עשה דבר (במסע ההתרמות שלו, אלא נשבר לבו וסופו) שהושם בבור (בקבר)”. בכך רמז ר׳ </w:t>
      </w:r>
      <w:proofErr w:type="spellStart"/>
      <w:r>
        <w:rPr>
          <w:rtl/>
        </w:rPr>
        <w:t>שמואל־יצחק</w:t>
      </w:r>
      <w:proofErr w:type="spellEnd"/>
      <w:r>
        <w:rPr>
          <w:rtl/>
        </w:rPr>
        <w:t xml:space="preserve"> </w:t>
      </w:r>
      <w:proofErr w:type="spellStart"/>
      <w:r>
        <w:rPr>
          <w:rtl/>
        </w:rPr>
        <w:t>הילמן</w:t>
      </w:r>
      <w:proofErr w:type="spellEnd"/>
      <w:r>
        <w:rPr>
          <w:rtl/>
        </w:rPr>
        <w:t xml:space="preserve"> שמסע ההתרמות הכושל של ר׳ לייזר בלונדון הביא למותו בטרם עת.</w:t>
      </w:r>
    </w:p>
    <w:p w14:paraId="5711FCA3" w14:textId="77777777" w:rsidR="00AB3647" w:rsidRDefault="00000000" w:rsidP="007923E9">
      <w:pPr>
        <w:spacing w:after="120" w:line="276" w:lineRule="auto"/>
        <w:ind w:firstLine="283"/>
        <w:jc w:val="both"/>
      </w:pPr>
      <w:r>
        <w:rPr>
          <w:rtl/>
        </w:rPr>
        <w:t>ר׳ לייזר נקבר בבית העלמין של חברת בני ישראל, צפונית ללונדון, ונר תמיד דולק באוהל שעל קברו. זכיתי לבקר באוהל ולקרוא את הכתובת הנלהבת</w:t>
      </w:r>
      <w:bookmarkStart w:id="5542" w:name="_fnr4195"/>
      <w:r>
        <w:rPr>
          <w:vertAlign w:val="superscript"/>
          <w:rtl/>
        </w:rPr>
        <w:footnoteReference w:id="4205" w:customMarkFollows="0"/>
      </w:r>
      <w:bookmarkEnd w:id="5542"/>
      <w:r>
        <w:rPr>
          <w:rtl/>
        </w:rPr>
        <w:t xml:space="preserve"> שעל לוח האבן הגדול הקבוע בקירו האחורי מבחוץ. מבנה הקבר עשוי לבנים ומכוסה בגג מחודד מחופה רעפים, ונראה כבית זעיר. לאוהל, ששטחו שישה מטרים רבועים, נכנסים בדלת עץ נגררת, ובתוכו קבר פשוט ועליו מצבה קטנה.</w:t>
      </w:r>
    </w:p>
    <w:p w14:paraId="6815EF3A" w14:textId="77777777" w:rsidR="00AB3647" w:rsidRDefault="00000000" w:rsidP="007923E9">
      <w:pPr>
        <w:spacing w:after="120" w:line="276" w:lineRule="auto"/>
        <w:ind w:firstLine="283"/>
        <w:jc w:val="both"/>
      </w:pPr>
      <w:r>
        <w:rPr>
          <w:rtl/>
        </w:rPr>
        <w:t xml:space="preserve">תחושת האשמה של יהדות לונדון סוכמה היטב במכתב ליומון הוילנאי “הד הזמן”</w:t>
      </w:r>
      <w:bookmarkStart w:id="5543" w:name="_fnr4196"/>
      <w:r>
        <w:rPr>
          <w:vertAlign w:val="superscript"/>
          <w:rtl/>
        </w:rPr>
        <w:footnoteReference w:id="4206" w:customMarkFollows="0"/>
      </w:r>
      <w:bookmarkEnd w:id="5543"/>
      <w:r>
        <w:rPr>
          <w:rtl/>
        </w:rPr>
        <w:t xml:space="preserve">, החתום “ל.ש. </w:t>
      </w:r>
      <w:proofErr w:type="spellStart"/>
      <w:r>
        <w:rPr>
          <w:rtl/>
        </w:rPr>
        <w:t>קרידיטוב</w:t>
      </w:r>
      <w:proofErr w:type="spellEnd"/>
      <w:r>
        <w:rPr>
          <w:rtl/>
        </w:rPr>
        <w:t>, לונדון”: “אחרי פטירת אורחנו הגדול רצו בני עירנו לתקן את העוול שנעשה לו בעירנו בחייו. את הכבוד שמנעו ממנו בשבוע שבו שהה כאן ביקשו לחלוק ביום השלישי אחרי מותו” – אז התקיימה ההלוויה, אחרי שהשלטונות הבריטיים חקרו את סיבת מותו של הזר – “כאילו רצו לכפר על קבלת הפנים הצוננת והאכזרית שניתנה לו, אשר בוודאי החישה את פטירתו.”</w:t>
      </w:r>
    </w:p>
    <w:bookmarkStart w:id="5544" w:name="b4_excL"/>
    <w:bookmarkStart w:id="5545" w:name="b4_annexL"/>
    <w:p w14:paraId="2C876122" w14:textId="77777777" w:rsidR="00AB3647" w:rsidRDefault="00000000" w:rsidP="007923E9">
      <w:pPr>
        <w:pStyle w:val="3"/>
        <w:pageBreakBefore w:val="0"/>
        <w:spacing w:line="276" w:lineRule="auto"/>
      </w:pPr>
      <w:r>
        <w:lastRenderedPageBreak/>
        <w:fldChar w:fldCharType="begin" w:dirty="true"/>
      </w:r>
      <w:r>
        <w:rPr>
          <w:rtl w:val="0"/>
        </w:rPr>
        <w:instrText>HYPERLINK \l "b4_note93</w:instrText>
      </w:r>
      <w:r>
        <w:instrText>"</w:instrText>
      </w:r>
      <w:r>
        <w:fldChar w:fldCharType="separate"/>
      </w:r>
      <w:r>
        <w:t xml:space="preserve">נספח </w:t>
      </w:r>
      <w:proofErr w:type="spellStart"/>
      <w:r>
        <w:t>יב</w:t>
      </w:r>
      <w:proofErr w:type="spellEnd"/>
      <w:r>
        <w:fldChar w:fldCharType="end"/>
      </w:r>
      <w:bookmarkEnd w:id="5544"/>
      <w:bookmarkEnd w:id="5545"/>
    </w:p>
    <w:p w14:paraId="60A61FC1" w14:textId="77777777" w:rsidR="00AB3647" w:rsidRDefault="00000000" w:rsidP="007923E9">
      <w:pPr>
        <w:pStyle w:val="af"/>
        <w:spacing w:line="276" w:lineRule="auto"/>
      </w:pPr>
      <w:r>
        <w:t xml:space="preserve">על הנסיבות שהביאו למינויו של ר׳ לייזר גורדון לרבנות </w:t>
      </w:r>
      <w:proofErr w:type="spellStart"/>
      <w:r>
        <w:t>טלז</w:t>
      </w:r>
      <w:proofErr w:type="spellEnd"/>
    </w:p>
    <w:p w14:paraId="601D171D" w14:textId="77777777" w:rsidR="00AB3647" w:rsidRDefault="00000000" w:rsidP="007923E9">
      <w:pPr>
        <w:pStyle w:val="4"/>
        <w:spacing w:line="276" w:lineRule="auto"/>
      </w:pPr>
      <w:r>
        <w:t>· הפסקה הראשונה ·</w:t>
      </w:r>
    </w:p>
    <w:p w14:paraId="570C91DE" w14:textId="77777777" w:rsidR="00AB3647" w:rsidRDefault="00000000" w:rsidP="007923E9">
      <w:pPr>
        <w:pStyle w:val="5"/>
        <w:spacing w:line="276" w:lineRule="auto"/>
      </w:pPr>
      <w:r>
        <w:rPr>
          <w:bCs/>
          <w:szCs w:val="26"/>
        </w:rPr>
        <w:t xml:space="preserve">ישיבה נפתחת </w:t>
      </w:r>
      <w:proofErr w:type="spellStart"/>
      <w:r>
        <w:rPr>
          <w:bCs/>
          <w:szCs w:val="26"/>
        </w:rPr>
        <w:t>בטלז</w:t>
      </w:r>
      <w:proofErr w:type="spellEnd"/>
      <w:r>
        <w:rPr>
          <w:bCs/>
          <w:szCs w:val="26"/>
        </w:rPr>
        <w:t xml:space="preserve"> – ר׳ מאיר אטלס המבוגר מוותר כדי שר׳ </w:t>
      </w:r>
      <w:proofErr w:type="spellStart"/>
      <w:r>
        <w:rPr>
          <w:bCs/>
          <w:szCs w:val="26"/>
        </w:rPr>
        <w:t>הירש־יעקב</w:t>
      </w:r>
      <w:proofErr w:type="spellEnd"/>
      <w:r>
        <w:rPr>
          <w:bCs/>
          <w:szCs w:val="26"/>
        </w:rPr>
        <w:t xml:space="preserve"> </w:t>
      </w:r>
      <w:proofErr w:type="spellStart"/>
      <w:r>
        <w:rPr>
          <w:bCs/>
          <w:szCs w:val="26"/>
        </w:rPr>
        <w:t>אופנהיים</w:t>
      </w:r>
      <w:proofErr w:type="spellEnd"/>
      <w:r>
        <w:rPr>
          <w:bCs/>
          <w:szCs w:val="26"/>
        </w:rPr>
        <w:t xml:space="preserve"> ייקח את השיעור הגבוה – ר׳ מאיר אטלס מתקדם מן השיעור הנמוך כשר׳ </w:t>
      </w:r>
      <w:proofErr w:type="spellStart"/>
      <w:r>
        <w:rPr>
          <w:bCs/>
          <w:szCs w:val="26"/>
        </w:rPr>
        <w:t>הירש־יעקב</w:t>
      </w:r>
      <w:proofErr w:type="spellEnd"/>
      <w:r>
        <w:rPr>
          <w:bCs/>
          <w:szCs w:val="26"/>
        </w:rPr>
        <w:t xml:space="preserve"> עוזב למשרת הרבנות </w:t>
      </w:r>
      <w:proofErr w:type="spellStart"/>
      <w:r>
        <w:rPr>
          <w:bCs/>
          <w:szCs w:val="26"/>
        </w:rPr>
        <w:t>בציטוביאן</w:t>
      </w:r>
      <w:proofErr w:type="spellEnd"/>
      <w:r>
        <w:rPr>
          <w:bCs/>
          <w:szCs w:val="26"/>
        </w:rPr>
        <w:t>.</w:t>
      </w:r>
    </w:p>
    <w:p w14:paraId="1844E5CA" w14:textId="33FDA9E0" w:rsidR="00AB3647" w:rsidRDefault="00000000" w:rsidP="007923E9">
      <w:pPr>
        <w:spacing w:after="120" w:line="276" w:lineRule="auto"/>
        <w:ind w:firstLine="283"/>
        <w:jc w:val="both"/>
      </w:pPr>
      <w:r>
        <w:rPr>
          <w:rtl/>
        </w:rPr>
        <w:t xml:space="preserve">השווה לפרק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על מעורבות הסבא בהקמת ישיבת </w:t>
      </w:r>
      <w:proofErr w:type="spellStart"/>
      <w:r>
        <w:rPr>
          <w:rtl/>
        </w:rPr>
        <w:t>טלז</w:t>
      </w:r>
      <w:proofErr w:type="spellEnd"/>
      <w:r>
        <w:rPr>
          <w:rtl/>
        </w:rPr>
        <w:t>. בשיחה המוקלטת עם אברכי הכולל של ישיבת רבנו ישראל מאיר הכהן</w:t>
      </w:r>
      <w:bookmarkStart w:id="5546" w:name="_fnr4197"/>
      <w:r>
        <w:rPr>
          <w:vertAlign w:val="superscript"/>
          <w:rtl/>
        </w:rPr>
        <w:footnoteReference w:id="4207" w:customMarkFollows="0"/>
      </w:r>
      <w:bookmarkEnd w:id="5546"/>
      <w:r>
        <w:rPr>
          <w:rtl/>
        </w:rPr>
        <w:t xml:space="preserve"> השלים אבי את הפרטים הבאים</w:t>
      </w:r>
      <w:bookmarkStart w:id="5547" w:name="_fnr4198"/>
      <w:r>
        <w:rPr>
          <w:vertAlign w:val="superscript"/>
          <w:rtl/>
        </w:rPr>
        <w:footnoteReference w:id="4208" w:customMarkFollows="0"/>
      </w:r>
      <w:bookmarkEnd w:id="5547"/>
      <w:r>
        <w:rPr>
          <w:rtl/>
        </w:rPr>
        <w:t xml:space="preserve">. בפתיחתה היו בישיבת </w:t>
      </w:r>
      <w:proofErr w:type="spellStart"/>
      <w:r>
        <w:rPr>
          <w:rtl/>
        </w:rPr>
        <w:t>טלז</w:t>
      </w:r>
      <w:proofErr w:type="spellEnd"/>
      <w:r>
        <w:rPr>
          <w:rtl/>
        </w:rPr>
        <w:t xml:space="preserve"> עשרה תלמידים, ולפחות שניים מהם הכיר הסבא </w:t>
      </w:r>
      <w:proofErr w:type="spellStart"/>
      <w:r>
        <w:rPr>
          <w:rtl/>
        </w:rPr>
        <w:t>מגרובין</w:t>
      </w:r>
      <w:proofErr w:type="spellEnd"/>
      <w:r>
        <w:rPr>
          <w:rtl/>
        </w:rPr>
        <w:t xml:space="preserve">, והוא שלח אותם </w:t>
      </w:r>
      <w:proofErr w:type="spellStart"/>
      <w:r>
        <w:rPr>
          <w:rtl/>
        </w:rPr>
        <w:t>לטלז</w:t>
      </w:r>
      <w:bookmarkStart w:id="5548" w:name="_fnr4199"/>
      <w:proofErr w:type="spellEnd"/>
      <w:r>
        <w:rPr>
          <w:vertAlign w:val="superscript"/>
          <w:rtl/>
        </w:rPr>
        <w:footnoteReference w:id="4209" w:customMarkFollows="0"/>
      </w:r>
      <w:bookmarkEnd w:id="5548"/>
      <w:r>
        <w:rPr>
          <w:rtl/>
        </w:rPr>
        <w:t xml:space="preserve">. היו בה שתי רמות: ר׳ </w:t>
      </w:r>
      <w:proofErr w:type="spellStart"/>
      <w:r>
        <w:rPr>
          <w:rtl/>
        </w:rPr>
        <w:t>הירש־יעקב</w:t>
      </w:r>
      <w:proofErr w:type="spellEnd"/>
      <w:r>
        <w:rPr>
          <w:rtl/>
        </w:rPr>
        <w:t xml:space="preserve"> </w:t>
      </w:r>
      <w:proofErr w:type="spellStart"/>
      <w:r>
        <w:rPr>
          <w:rtl/>
        </w:rPr>
        <w:t>אופנהיים</w:t>
      </w:r>
      <w:proofErr w:type="spellEnd"/>
      <w:r>
        <w:rPr>
          <w:rtl/>
        </w:rPr>
        <w:t xml:space="preserve"> מסר את השיעור הגבוה, ור׳ מאיר אטלס את הנמוך.</w:t>
      </w:r>
    </w:p>
    <w:p w14:paraId="26303EB1" w14:textId="77777777" w:rsidR="00AB3647" w:rsidRDefault="00000000" w:rsidP="007923E9">
      <w:pPr>
        <w:spacing w:after="120" w:line="276" w:lineRule="auto"/>
        <w:ind w:firstLine="283"/>
        <w:jc w:val="both"/>
      </w:pPr>
      <w:r>
        <w:rPr>
          <w:rtl/>
        </w:rPr>
        <w:t xml:space="preserve">לפי ר׳ יצחק </w:t>
      </w:r>
      <w:proofErr w:type="spellStart"/>
      <w:r>
        <w:rPr>
          <w:rtl/>
        </w:rPr>
        <w:t>קנובל</w:t>
      </w:r>
      <w:bookmarkStart w:id="5549" w:name="_fnr4200"/>
      <w:proofErr w:type="spellEnd"/>
      <w:r>
        <w:rPr>
          <w:vertAlign w:val="superscript"/>
          <w:rtl/>
        </w:rPr>
        <w:footnoteReference w:id="4210" w:customMarkFollows="0"/>
      </w:r>
      <w:bookmarkEnd w:id="5549"/>
      <w:r>
        <w:rPr>
          <w:rtl/>
        </w:rPr>
        <w:t>, אבי דיבר על היכולת להעדיף את טובת הזולת על טובת עצמך, וסיפר שר׳ מאיר אטלס הציע לקבל עליו את השיעור הנמוך</w:t>
      </w:r>
      <w:bookmarkStart w:id="5550" w:name="_fnr4201"/>
      <w:r>
        <w:rPr>
          <w:vertAlign w:val="superscript"/>
          <w:rtl/>
        </w:rPr>
        <w:footnoteReference w:id="4211" w:customMarkFollows="0"/>
      </w:r>
      <w:bookmarkEnd w:id="5550"/>
      <w:r>
        <w:rPr>
          <w:rtl/>
        </w:rPr>
        <w:t xml:space="preserve">. רבנו ציטט את הסבא </w:t>
      </w:r>
      <w:proofErr w:type="spellStart"/>
      <w:r>
        <w:rPr>
          <w:rtl/>
        </w:rPr>
        <w:t>מסלבודקה</w:t>
      </w:r>
      <w:proofErr w:type="spellEnd"/>
      <w:r>
        <w:rPr>
          <w:rtl/>
        </w:rPr>
        <w:t xml:space="preserve">, שבשכר מעשה זה “זכה ר׳ מאיר אטלס לכהונות רמות יותר משל ר׳ </w:t>
      </w:r>
      <w:proofErr w:type="spellStart"/>
      <w:r>
        <w:rPr>
          <w:rtl/>
        </w:rPr>
        <w:t>הירש־יעקב</w:t>
      </w:r>
      <w:proofErr w:type="spellEnd"/>
      <w:r>
        <w:rPr>
          <w:rtl/>
        </w:rPr>
        <w:t xml:space="preserve"> </w:t>
      </w:r>
      <w:proofErr w:type="spellStart"/>
      <w:r>
        <w:rPr>
          <w:rtl/>
        </w:rPr>
        <w:t>אופנהיים</w:t>
      </w:r>
      <w:proofErr w:type="spellEnd"/>
      <w:r>
        <w:rPr>
          <w:rtl/>
        </w:rPr>
        <w:t xml:space="preserve"> במשך כל חייו”. ר׳ מאיר אטלס היה רב </w:t>
      </w:r>
      <w:proofErr w:type="spellStart"/>
      <w:r>
        <w:rPr>
          <w:rtl/>
        </w:rPr>
        <w:t>בליבאו</w:t>
      </w:r>
      <w:proofErr w:type="spellEnd"/>
      <w:r>
        <w:rPr>
          <w:rtl/>
        </w:rPr>
        <w:t xml:space="preserve"> (לטביה), </w:t>
      </w:r>
      <w:proofErr w:type="spellStart"/>
      <w:r>
        <w:rPr>
          <w:rtl/>
        </w:rPr>
        <w:t>בסלנט</w:t>
      </w:r>
      <w:proofErr w:type="spellEnd"/>
      <w:r>
        <w:rPr>
          <w:rtl/>
        </w:rPr>
        <w:t xml:space="preserve">, </w:t>
      </w:r>
      <w:proofErr w:type="spellStart"/>
      <w:r>
        <w:rPr>
          <w:rtl/>
        </w:rPr>
        <w:t>בקוברין</w:t>
      </w:r>
      <w:proofErr w:type="spellEnd"/>
      <w:r>
        <w:rPr>
          <w:rtl/>
        </w:rPr>
        <w:t xml:space="preserve"> ולבסוף </w:t>
      </w:r>
      <w:proofErr w:type="spellStart"/>
      <w:r>
        <w:rPr>
          <w:rtl/>
        </w:rPr>
        <w:t>בשאוול</w:t>
      </w:r>
      <w:proofErr w:type="spellEnd"/>
      <w:r>
        <w:rPr>
          <w:rtl/>
        </w:rPr>
        <w:t xml:space="preserve">, העיר השנייה בגודלה בליטא. ר׳ </w:t>
      </w:r>
      <w:proofErr w:type="spellStart"/>
      <w:r>
        <w:rPr>
          <w:rtl/>
        </w:rPr>
        <w:t>הירש־יעקב</w:t>
      </w:r>
      <w:proofErr w:type="spellEnd"/>
      <w:r>
        <w:rPr>
          <w:rtl/>
        </w:rPr>
        <w:t xml:space="preserve"> </w:t>
      </w:r>
      <w:proofErr w:type="spellStart"/>
      <w:r>
        <w:rPr>
          <w:rtl/>
        </w:rPr>
        <w:t>אופנהיים</w:t>
      </w:r>
      <w:proofErr w:type="spellEnd"/>
      <w:r>
        <w:rPr>
          <w:rtl/>
        </w:rPr>
        <w:t xml:space="preserve"> היה רב </w:t>
      </w:r>
      <w:proofErr w:type="spellStart"/>
      <w:r>
        <w:rPr>
          <w:rtl/>
        </w:rPr>
        <w:t>בציטוביאן</w:t>
      </w:r>
      <w:proofErr w:type="spellEnd"/>
      <w:r>
        <w:rPr>
          <w:rtl/>
        </w:rPr>
        <w:t xml:space="preserve"> ולבסוף </w:t>
      </w:r>
      <w:proofErr w:type="spellStart"/>
      <w:r>
        <w:rPr>
          <w:rtl/>
        </w:rPr>
        <w:t>בקלם</w:t>
      </w:r>
      <w:proofErr w:type="spellEnd"/>
      <w:r>
        <w:rPr>
          <w:rtl/>
        </w:rPr>
        <w:t>.</w:t>
      </w:r>
    </w:p>
    <w:p w14:paraId="23E1CAA5" w14:textId="77777777" w:rsidR="00AB3647" w:rsidRDefault="00000000" w:rsidP="007923E9">
      <w:pPr>
        <w:spacing w:after="120" w:line="276" w:lineRule="auto"/>
        <w:ind w:firstLine="283"/>
        <w:jc w:val="both"/>
      </w:pPr>
      <w:r>
        <w:rPr>
          <w:rtl/>
        </w:rPr>
        <w:t>בהזדמנות אחרת, כשעמד על הלקח המוסרי שבמעשהו של ר׳ מאיר אטלס, הרחיב אבי הן על גודל הניסיון של ר׳ מאיר והן על גודל השכר על העמידה בו</w:t>
      </w:r>
      <w:bookmarkStart w:id="5551" w:name="_fnr4202"/>
      <w:r>
        <w:rPr>
          <w:vertAlign w:val="superscript"/>
          <w:rtl/>
        </w:rPr>
        <w:footnoteReference w:id="4212" w:customMarkFollows="0"/>
      </w:r>
      <w:bookmarkEnd w:id="5551"/>
      <w:r>
        <w:rPr>
          <w:rtl/>
        </w:rPr>
        <w:t xml:space="preserve">. הוא הסביר שבאותן שנים, להעדיף את הזולת על עצמך פירושו היה לוותר לא רק על כבוד לעצמך ולמשפחת אשתך, אלא גם על פרנסה טובה יותר: כשהתפנתה רבנות, הציעו אותה כמובן למי שמסר את השיעור הגבוה. “מעמדו של ראש ישיבה היה נמוך משל רב באותם ימים, וראשי ישיבות היו מתפטרים מתפקידם כדי לקבל רבנות. לפיכך התמריץ למסור את השיעור הגבוה היה עצום”, אמר. אחר כך הוסיף: “השכר שקיבל ר׳ מאיר אטלס היה גדול יותר מן הזכייה </w:t>
      </w:r>
      <w:proofErr w:type="spellStart"/>
      <w:r>
        <w:rPr>
          <w:rtl/>
        </w:rPr>
        <w:t>ברבנויות</w:t>
      </w:r>
      <w:proofErr w:type="spellEnd"/>
      <w:r>
        <w:rPr>
          <w:rtl/>
        </w:rPr>
        <w:t xml:space="preserve"> מכובדות יותר שעליה דיבר ר׳ </w:t>
      </w:r>
      <w:proofErr w:type="spellStart"/>
      <w:r>
        <w:rPr>
          <w:rtl/>
        </w:rPr>
        <w:t>נתן־צבי</w:t>
      </w:r>
      <w:proofErr w:type="spellEnd"/>
      <w:r>
        <w:rPr>
          <w:rtl/>
        </w:rPr>
        <w:t xml:space="preserve"> </w:t>
      </w:r>
      <w:proofErr w:type="spellStart"/>
      <w:r>
        <w:rPr>
          <w:rtl/>
        </w:rPr>
        <w:t>פינקל</w:t>
      </w:r>
      <w:proofErr w:type="spellEnd"/>
      <w:r>
        <w:rPr>
          <w:rtl/>
        </w:rPr>
        <w:t xml:space="preserve">. הוא זכה ששניים מגדולי חכמי הדור היו חתניו: ר׳ אלחנן וסרמן </w:t>
      </w:r>
      <w:r>
        <w:rPr>
          <w:rtl/>
        </w:rPr>
        <w:lastRenderedPageBreak/>
        <w:t xml:space="preserve">ור׳ </w:t>
      </w:r>
      <w:proofErr w:type="spellStart"/>
      <w:r>
        <w:rPr>
          <w:rtl/>
        </w:rPr>
        <w:t>חיים־עוזר</w:t>
      </w:r>
      <w:proofErr w:type="spellEnd"/>
      <w:r>
        <w:rPr>
          <w:rtl/>
        </w:rPr>
        <w:t xml:space="preserve"> </w:t>
      </w:r>
      <w:proofErr w:type="spellStart"/>
      <w:r>
        <w:rPr>
          <w:rtl/>
        </w:rPr>
        <w:t>גרודזנסקי</w:t>
      </w:r>
      <w:proofErr w:type="spellEnd"/>
      <w:r>
        <w:rPr>
          <w:rtl/>
        </w:rPr>
        <w:t>. האם אתם חושבים שזוכים לכך משום שאדם למדן? משום שהוא ירא שמים? לא, משום שהוא מקדים את האחר לעצמו”.</w:t>
      </w:r>
    </w:p>
    <w:p w14:paraId="2827D437" w14:textId="77777777" w:rsidR="00AB3647" w:rsidRDefault="00000000" w:rsidP="007923E9">
      <w:pPr>
        <w:spacing w:after="120" w:line="276" w:lineRule="auto"/>
        <w:ind w:firstLine="283"/>
        <w:jc w:val="both"/>
      </w:pPr>
      <w:r>
        <w:rPr>
          <w:rtl/>
        </w:rPr>
        <w:t>השווה גם “מכתבים”</w:t>
      </w:r>
      <w:bookmarkStart w:id="5552" w:name="_fnr4203"/>
      <w:r>
        <w:rPr>
          <w:vertAlign w:val="superscript"/>
          <w:rtl/>
        </w:rPr>
        <w:footnoteReference w:id="4213" w:customMarkFollows="0"/>
      </w:r>
      <w:bookmarkEnd w:id="5552"/>
      <w:r>
        <w:rPr>
          <w:rtl/>
        </w:rPr>
        <w:t xml:space="preserve">, שם כותב בנו של החפץ חיים, ר׳ </w:t>
      </w:r>
      <w:proofErr w:type="spellStart"/>
      <w:r>
        <w:rPr>
          <w:rtl/>
        </w:rPr>
        <w:t>אריה־לייב</w:t>
      </w:r>
      <w:proofErr w:type="spellEnd"/>
      <w:r>
        <w:rPr>
          <w:rtl/>
        </w:rPr>
        <w:t xml:space="preserve"> </w:t>
      </w:r>
      <w:proofErr w:type="spellStart"/>
      <w:r>
        <w:rPr>
          <w:rtl/>
        </w:rPr>
        <w:t>פופקו</w:t>
      </w:r>
      <w:proofErr w:type="spellEnd"/>
      <w:r>
        <w:rPr>
          <w:rtl/>
        </w:rPr>
        <w:t xml:space="preserve">: “איזה שנים לפני הסתלקותו, בבואי אליו קרא פעם את בני ביתו ואמר להם דעו כי בכל ימי חיי נזהרתי שלא לדחות לשום אדם, אדרבה הייתי תמיד נדחה, וכך טוב הוא לאדם... וכה היה דברו תמיד, מען </w:t>
      </w:r>
      <w:proofErr w:type="spellStart"/>
      <w:r>
        <w:rPr>
          <w:rtl/>
        </w:rPr>
        <w:t>דארף</w:t>
      </w:r>
      <w:proofErr w:type="spellEnd"/>
      <w:r>
        <w:rPr>
          <w:rtl/>
        </w:rPr>
        <w:t xml:space="preserve"> </w:t>
      </w:r>
      <w:proofErr w:type="spellStart"/>
      <w:r>
        <w:rPr>
          <w:rtl/>
        </w:rPr>
        <w:t>איבער</w:t>
      </w:r>
      <w:proofErr w:type="spellEnd"/>
      <w:r>
        <w:rPr>
          <w:rtl/>
        </w:rPr>
        <w:t xml:space="preserve"> </w:t>
      </w:r>
      <w:proofErr w:type="spellStart"/>
      <w:r>
        <w:rPr>
          <w:rtl/>
        </w:rPr>
        <w:t>לאזען</w:t>
      </w:r>
      <w:proofErr w:type="spellEnd"/>
      <w:r>
        <w:rPr>
          <w:rtl/>
        </w:rPr>
        <w:t xml:space="preserve"> </w:t>
      </w:r>
      <w:proofErr w:type="spellStart"/>
      <w:r>
        <w:rPr>
          <w:rtl/>
        </w:rPr>
        <w:t>אלעמען</w:t>
      </w:r>
      <w:proofErr w:type="spellEnd"/>
      <w:r>
        <w:rPr>
          <w:rtl/>
        </w:rPr>
        <w:t xml:space="preserve"> [צריך להניח לכולם ללכת לפניך]”. </w:t>
      </w:r>
      <w:proofErr w:type="spellStart"/>
      <w:r>
        <w:rPr>
          <w:rtl/>
        </w:rPr>
        <w:t>ב“המאיר</w:t>
      </w:r>
      <w:proofErr w:type="spellEnd"/>
      <w:r>
        <w:rPr>
          <w:rtl/>
        </w:rPr>
        <w:t xml:space="preserve"> – ספר </w:t>
      </w:r>
      <w:proofErr w:type="spellStart"/>
      <w:r>
        <w:rPr>
          <w:rtl/>
        </w:rPr>
        <w:t>זכרון</w:t>
      </w:r>
      <w:proofErr w:type="spellEnd"/>
      <w:r>
        <w:rPr>
          <w:rtl/>
        </w:rPr>
        <w:t>” מובא שאבי אמר</w:t>
      </w:r>
      <w:bookmarkStart w:id="5553" w:name="_fnr4204"/>
      <w:r>
        <w:rPr>
          <w:vertAlign w:val="superscript"/>
          <w:rtl/>
        </w:rPr>
        <w:footnoteReference w:id="4214" w:customMarkFollows="0"/>
      </w:r>
      <w:bookmarkEnd w:id="5553"/>
      <w:r>
        <w:rPr>
          <w:rtl/>
        </w:rPr>
        <w:t>: “</w:t>
      </w:r>
      <w:proofErr w:type="spellStart"/>
      <w:r>
        <w:rPr>
          <w:rtl/>
        </w:rPr>
        <w:t>סלבודקה</w:t>
      </w:r>
      <w:proofErr w:type="spellEnd"/>
      <w:r>
        <w:rPr>
          <w:rtl/>
        </w:rPr>
        <w:t xml:space="preserve"> לימדה שכדי לוותר אין צורך להיות צדיק, אלא רק בר דעת – מפני שבסופו של דבר, המוותרים משיגים את כל מה שהם רוצים [ראויים לו]”.</w:t>
      </w:r>
    </w:p>
    <w:p w14:paraId="1B050545" w14:textId="77777777" w:rsidR="00AB3647" w:rsidRDefault="00000000" w:rsidP="007923E9">
      <w:pPr>
        <w:spacing w:after="120" w:line="276" w:lineRule="auto"/>
        <w:ind w:firstLine="283"/>
        <w:jc w:val="both"/>
      </w:pPr>
      <w:r>
        <w:rPr>
          <w:rtl/>
        </w:rPr>
        <w:t xml:space="preserve">עדינותו של ר׳ מאיר אטלס זכתה להערכה רבה בעיר </w:t>
      </w:r>
      <w:proofErr w:type="spellStart"/>
      <w:r>
        <w:rPr>
          <w:rtl/>
        </w:rPr>
        <w:t>רבנותו</w:t>
      </w:r>
      <w:proofErr w:type="spellEnd"/>
      <w:r>
        <w:rPr>
          <w:rtl/>
        </w:rPr>
        <w:t xml:space="preserve"> האחרונה. יושב ראש אספה של זקני שאוול אמר</w:t>
      </w:r>
      <w:bookmarkStart w:id="5554" w:name="_fnr4205"/>
      <w:r>
        <w:rPr>
          <w:vertAlign w:val="superscript"/>
          <w:rtl/>
        </w:rPr>
        <w:footnoteReference w:id="4215" w:customMarkFollows="0"/>
      </w:r>
      <w:bookmarkEnd w:id="5554"/>
      <w:r>
        <w:rPr>
          <w:rtl/>
        </w:rPr>
        <w:t>: “חשבנו שלקחנו לנו לרב ‘אטלס [ביידיש: סאטן]’, אבל גילינו שקיבלנו במקומו ‘</w:t>
      </w:r>
      <w:proofErr w:type="spellStart"/>
      <w:r>
        <w:rPr>
          <w:rtl/>
        </w:rPr>
        <w:t>זיידע</w:t>
      </w:r>
      <w:proofErr w:type="spellEnd"/>
      <w:r>
        <w:rPr>
          <w:rtl/>
        </w:rPr>
        <w:t xml:space="preserve"> [ביידיש: משי]’ [היקר יותר]”. כעבור חצי שנה סיים ר׳ </w:t>
      </w:r>
      <w:proofErr w:type="spellStart"/>
      <w:r>
        <w:rPr>
          <w:rtl/>
        </w:rPr>
        <w:t>הירש־יעקב</w:t>
      </w:r>
      <w:proofErr w:type="spellEnd"/>
      <w:r>
        <w:rPr>
          <w:rtl/>
        </w:rPr>
        <w:t xml:space="preserve"> </w:t>
      </w:r>
      <w:proofErr w:type="spellStart"/>
      <w:r>
        <w:rPr>
          <w:rtl/>
        </w:rPr>
        <w:t>אופנהיים</w:t>
      </w:r>
      <w:proofErr w:type="spellEnd"/>
      <w:r>
        <w:rPr>
          <w:rtl/>
        </w:rPr>
        <w:t xml:space="preserve"> את תקופת </w:t>
      </w:r>
      <w:proofErr w:type="spellStart"/>
      <w:r>
        <w:rPr>
          <w:rtl/>
        </w:rPr>
        <w:t>הקעסט</w:t>
      </w:r>
      <w:proofErr w:type="spellEnd"/>
      <w:r>
        <w:rPr>
          <w:rtl/>
        </w:rPr>
        <w:t xml:space="preserve"> שלו ועזב את </w:t>
      </w:r>
      <w:proofErr w:type="spellStart"/>
      <w:r>
        <w:rPr>
          <w:rtl/>
        </w:rPr>
        <w:t>טלז</w:t>
      </w:r>
      <w:proofErr w:type="spellEnd"/>
      <w:r>
        <w:rPr>
          <w:rtl/>
        </w:rPr>
        <w:t xml:space="preserve"> כדי לכהן כרב </w:t>
      </w:r>
      <w:proofErr w:type="spellStart"/>
      <w:r>
        <w:rPr>
          <w:rtl/>
        </w:rPr>
        <w:t>בציטוביאן</w:t>
      </w:r>
      <w:proofErr w:type="spellEnd"/>
      <w:r>
        <w:rPr>
          <w:rtl/>
        </w:rPr>
        <w:t xml:space="preserve"> (שבה כיהן אבי כעבור 45 שנה). אז עבר ר׳ מאיר אטלס למסור את השיעור הגבוה, ור׳ </w:t>
      </w:r>
      <w:proofErr w:type="spellStart"/>
      <w:r>
        <w:rPr>
          <w:rtl/>
        </w:rPr>
        <w:t>שלמה־זלמן</w:t>
      </w:r>
      <w:proofErr w:type="spellEnd"/>
      <w:r>
        <w:rPr>
          <w:rtl/>
        </w:rPr>
        <w:t xml:space="preserve"> אבל</w:t>
      </w:r>
      <w:bookmarkStart w:id="5555" w:name="_fnr4206"/>
      <w:r>
        <w:rPr>
          <w:vertAlign w:val="superscript"/>
          <w:rtl/>
        </w:rPr>
        <w:footnoteReference w:id="4216" w:customMarkFollows="0"/>
      </w:r>
      <w:bookmarkEnd w:id="5555"/>
      <w:r>
        <w:rPr>
          <w:rtl/>
        </w:rPr>
        <w:t xml:space="preserve"> קיבל עליו את השיעור הנמוך.</w:t>
      </w:r>
    </w:p>
    <w:p w14:paraId="2AA7DFE4" w14:textId="77777777" w:rsidR="00AB3647" w:rsidRDefault="00000000" w:rsidP="007923E9">
      <w:pPr>
        <w:pStyle w:val="4"/>
        <w:spacing w:line="276" w:lineRule="auto"/>
      </w:pPr>
      <w:r>
        <w:t>· הפסקה השנייה ·</w:t>
      </w:r>
    </w:p>
    <w:p w14:paraId="0544EDAC" w14:textId="77777777" w:rsidR="00AB3647" w:rsidRDefault="00000000" w:rsidP="007923E9">
      <w:pPr>
        <w:pStyle w:val="5"/>
        <w:spacing w:line="276" w:lineRule="auto"/>
      </w:pPr>
      <w:r>
        <w:rPr>
          <w:bCs/>
          <w:szCs w:val="26"/>
        </w:rPr>
        <w:t xml:space="preserve">דיין מעכב את </w:t>
      </w:r>
      <w:proofErr w:type="spellStart"/>
      <w:r>
        <w:rPr>
          <w:bCs/>
          <w:szCs w:val="26"/>
        </w:rPr>
        <w:t>טלז</w:t>
      </w:r>
      <w:proofErr w:type="spellEnd"/>
      <w:r>
        <w:rPr>
          <w:bCs/>
          <w:szCs w:val="26"/>
        </w:rPr>
        <w:t xml:space="preserve"> מלמנות רב – ר׳ מאיר אטלס מאלץ את העיר להביא את ר׳ לייזר גורדון – ר׳ מאיר אטלס אינו מתמודד על המשרה.</w:t>
      </w:r>
    </w:p>
    <w:p w14:paraId="405E89AB" w14:textId="77777777" w:rsidR="00AB3647" w:rsidRDefault="00000000" w:rsidP="007923E9">
      <w:pPr>
        <w:spacing w:after="120" w:line="276" w:lineRule="auto"/>
        <w:ind w:firstLine="283"/>
        <w:jc w:val="both"/>
      </w:pPr>
      <w:r>
        <w:rPr>
          <w:rtl/>
        </w:rPr>
        <w:t xml:space="preserve">נוכחותו של ר׳ מאיר אטלס </w:t>
      </w:r>
      <w:proofErr w:type="spellStart"/>
      <w:r>
        <w:rPr>
          <w:rtl/>
        </w:rPr>
        <w:t>בטלז</w:t>
      </w:r>
      <w:proofErr w:type="spellEnd"/>
      <w:r>
        <w:rPr>
          <w:rtl/>
        </w:rPr>
        <w:t xml:space="preserve">, יחד עם המעמד המכובד שהיה לו בישיבה, היא שיצרה למעשה את הנסיבות שאפשרו </w:t>
      </w:r>
      <w:proofErr w:type="spellStart"/>
      <w:r>
        <w:rPr>
          <w:rtl/>
        </w:rPr>
        <w:t>לר</w:t>
      </w:r>
      <w:proofErr w:type="spellEnd"/>
      <w:r>
        <w:rPr>
          <w:rtl/>
        </w:rPr>
        <w:t>׳ לייזר להיות רב העיר</w:t>
      </w:r>
      <w:bookmarkStart w:id="5556" w:name="_fnr4207"/>
      <w:r>
        <w:rPr>
          <w:vertAlign w:val="superscript"/>
          <w:rtl/>
        </w:rPr>
        <w:footnoteReference w:id="4217" w:customMarkFollows="0"/>
      </w:r>
      <w:bookmarkEnd w:id="5556"/>
      <w:r>
        <w:rPr>
          <w:rtl/>
        </w:rPr>
        <w:t>.</w:t>
      </w:r>
    </w:p>
    <w:p w14:paraId="05D44914" w14:textId="0BCE7629" w:rsidR="00AB3647" w:rsidRDefault="00000000" w:rsidP="007923E9">
      <w:pPr>
        <w:spacing w:after="120" w:line="276" w:lineRule="auto"/>
        <w:ind w:firstLine="283"/>
        <w:jc w:val="both"/>
      </w:pPr>
      <w:r>
        <w:rPr>
          <w:rtl/>
        </w:rPr>
        <w:t>“</w:t>
      </w:r>
      <w:proofErr w:type="spellStart"/>
      <w:r>
        <w:rPr>
          <w:rtl/>
        </w:rPr>
        <w:t>טלז</w:t>
      </w:r>
      <w:proofErr w:type="spellEnd"/>
      <w:r>
        <w:rPr>
          <w:rtl/>
        </w:rPr>
        <w:t xml:space="preserve"> הייתה בלי רב במשך כמה שנים</w:t>
      </w:r>
      <w:bookmarkStart w:id="5557" w:name="_fnr4208"/>
      <w:r>
        <w:rPr>
          <w:vertAlign w:val="superscript"/>
          <w:rtl/>
        </w:rPr>
        <w:footnoteReference w:id="4218" w:customMarkFollows="0"/>
      </w:r>
      <w:bookmarkEnd w:id="5557"/>
      <w:r>
        <w:rPr>
          <w:rtl/>
        </w:rPr>
        <w:t>”, אמר אבי, “מפני שהדיין לא הניח לעיר לקבל רב – עוד כמה מקומות סבלו מאותה בעיה</w:t>
      </w:r>
      <w:bookmarkStart w:id="5558" w:name="_fnr4209"/>
      <w:r>
        <w:rPr>
          <w:vertAlign w:val="superscript"/>
          <w:rtl/>
        </w:rPr>
        <w:footnoteReference w:id="4219" w:customMarkFollows="0"/>
      </w:r>
      <w:bookmarkEnd w:id="5558"/>
      <w:r>
        <w:rPr>
          <w:rtl/>
        </w:rPr>
        <w:t xml:space="preserve">. הדיין היה פיקח: הוא היה פוסק בשאלות ודן בדיני תורה – אז לשם מה היו צריכים רב?!” (אבי לא נקב בשמו של הדיין </w:t>
      </w:r>
      <w:proofErr w:type="spellStart"/>
      <w:r>
        <w:rPr>
          <w:rtl/>
        </w:rPr>
        <w:t>בטלז</w:t>
      </w:r>
      <w:proofErr w:type="spellEnd"/>
      <w:r>
        <w:rPr>
          <w:rtl/>
        </w:rPr>
        <w:t xml:space="preserve">, אבל השווה לפסקה השלישית של </w:t>
      </w:r>
      <w:r>
        <w:rPr>
          <w:rtl/>
        </w:rPr>
        <w:fldChar w:fldCharType="begin" w:dirty="true"/>
      </w:r>
      <w:r>
        <w:rPr>
          <w:rtl/>
        </w:rPr>
        <w:instrText xml:space="preserve"> REF b4_excK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xml:space="preserve"> לעיל: כפי שצוין שם בהערת שוליים </w:t>
      </w:r>
      <w:r>
        <w:rPr>
          <w:rtl/>
        </w:rPr>
        <w:fldChar w:fldCharType="begin" w:dirty="true"/>
      </w:r>
      <w:r>
        <w:rPr>
          <w:rtl/>
        </w:rPr>
        <w:instrText xml:space="preserve"> NOTEREF pr_f_4067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1144</w:t>
      </w:r>
      <w:r>
        <w:rPr>
          <w:rtl/>
        </w:rPr>
        <w:fldChar w:fldCharType="end"/>
      </w:r>
      <w:r>
        <w:rPr>
          <w:rtl/>
        </w:rPr>
        <w:t xml:space="preserve">, ראיות נסיבתיות מורות שהיה זה ר׳ </w:t>
      </w:r>
      <w:proofErr w:type="spellStart"/>
      <w:r>
        <w:rPr>
          <w:rtl/>
        </w:rPr>
        <w:t>אברהם־אבא</w:t>
      </w:r>
      <w:proofErr w:type="spellEnd"/>
      <w:r>
        <w:rPr>
          <w:rtl/>
        </w:rPr>
        <w:t xml:space="preserve"> ורנר.) “בכל פעם שעלה רב כמועמד ובא לעיר, היה הדיין מנהל את העניינים כך שהמועמד יידחה. ומה עשו כשהתעוררה שאלה הלכתית בקיץ, כשהדיין </w:t>
      </w:r>
      <w:r>
        <w:rPr>
          <w:rtl/>
        </w:rPr>
        <w:lastRenderedPageBreak/>
        <w:t xml:space="preserve">שהה מחוץ </w:t>
      </w:r>
      <w:proofErr w:type="spellStart"/>
      <w:r>
        <w:rPr>
          <w:rtl/>
        </w:rPr>
        <w:t>לטלז</w:t>
      </w:r>
      <w:proofErr w:type="spellEnd"/>
      <w:r>
        <w:rPr>
          <w:rtl/>
        </w:rPr>
        <w:t xml:space="preserve"> לרחצה במרחצאות המינרליים בעיר הגרמנית </w:t>
      </w:r>
      <w:proofErr w:type="spellStart"/>
      <w:r>
        <w:rPr>
          <w:rtl/>
        </w:rPr>
        <w:t>צופוט</w:t>
      </w:r>
      <w:proofErr w:type="spellEnd"/>
      <w:r>
        <w:rPr>
          <w:rtl/>
        </w:rPr>
        <w:t>, סמוך לדנציג? ר׳ מאיר אטלס היה פוסק.</w:t>
      </w:r>
    </w:p>
    <w:p w14:paraId="3C044395" w14:textId="77777777" w:rsidR="00AB3647" w:rsidRDefault="00000000" w:rsidP="007923E9">
      <w:pPr>
        <w:spacing w:after="120" w:line="276" w:lineRule="auto"/>
        <w:ind w:firstLine="283"/>
        <w:jc w:val="both"/>
      </w:pPr>
      <w:r>
        <w:rPr>
          <w:rtl/>
        </w:rPr>
        <w:t xml:space="preserve">“בקיץ אחד הייתה שאלה בכשרות ריאה, ור׳ מאיר אטלס פסק. מיד אחר כך הייתה גם לקצב אחר שאלה בריאה של בהמה שהשוחט שחט בשבילו, וגם הוא הביא אותה להוראה. זה כבר היה יותר מדי </w:t>
      </w:r>
      <w:proofErr w:type="spellStart"/>
      <w:r>
        <w:rPr>
          <w:rtl/>
        </w:rPr>
        <w:t>לר</w:t>
      </w:r>
      <w:proofErr w:type="spellEnd"/>
      <w:r>
        <w:rPr>
          <w:rtl/>
        </w:rPr>
        <w:t xml:space="preserve">׳ מאיר, והוא אמר לקצב: ‘אינני חייב לקבל עליי את האחריות לפסוק; אינני הרב שלכם’. העיירה הייתה כמרקחה בגלל ההפסד המרובה הצפוי, ולכן הלך הקצב לחנות האריגים של ראש הקהל, הניח את הריאה על הדלפק ואמר: ‘הריאה הזאת תישאר על הדלפק הזה עד שייפסק אם הבהמה כשרה או לא׳ – ובאמצע הקיץ הבשר היה מתקלקל בתוך זמן קצר. ראש הקהל בא בריצה </w:t>
      </w:r>
      <w:proofErr w:type="spellStart"/>
      <w:r>
        <w:rPr>
          <w:rtl/>
        </w:rPr>
        <w:t>לר</w:t>
      </w:r>
      <w:proofErr w:type="spellEnd"/>
      <w:r>
        <w:rPr>
          <w:rtl/>
        </w:rPr>
        <w:t xml:space="preserve">׳ מאיר והתחנן שיפסוק שוב, ור׳ מאיר אמר שיעשה זאת רק בתנאי שבמוצאי השבת הקרובה תכונס אספה של בני הקהילה, שתחליט על רב פנוי ותשלח לו כתב רבנות. הם הסכימו ועשו כן. עד שהדיין – שנקרא עתה לשוב במברק דחוף מבתו – חזר </w:t>
      </w:r>
      <w:proofErr w:type="spellStart"/>
      <w:r>
        <w:rPr>
          <w:rtl/>
        </w:rPr>
        <w:t>לטלז</w:t>
      </w:r>
      <w:proofErr w:type="spellEnd"/>
      <w:r>
        <w:rPr>
          <w:rtl/>
        </w:rPr>
        <w:t>, כבר התמנה ר׳ לייזר גורדון לרב”.</w:t>
      </w:r>
    </w:p>
    <w:p w14:paraId="0AA17144" w14:textId="77777777" w:rsidR="00AB3647" w:rsidRDefault="00000000" w:rsidP="007923E9">
      <w:pPr>
        <w:spacing w:after="120" w:line="276" w:lineRule="auto"/>
        <w:ind w:firstLine="283"/>
        <w:jc w:val="both"/>
      </w:pPr>
      <w:r>
        <w:rPr>
          <w:rtl/>
        </w:rPr>
        <w:t xml:space="preserve">ר׳ לייזר גורדון היה מבוגר מר׳ מאיר אטלס בשבע שנים בלבד, ובכל זאת ר׳ מאיר, שהיה בעצמו תלמיד חכם גדול, פעל למינויו של ר׳ לייזר – מן הסתם ידע למי ישלחו עסקני העיר בחיפזון את כתב הרבנות – אף שהוא עצמו יכול היה להתמודד על הרבנות. או שהיה בטוח </w:t>
      </w:r>
      <w:proofErr w:type="spellStart"/>
      <w:r>
        <w:rPr>
          <w:rtl/>
        </w:rPr>
        <w:t>שטלז</w:t>
      </w:r>
      <w:proofErr w:type="spellEnd"/>
      <w:r>
        <w:rPr>
          <w:rtl/>
        </w:rPr>
        <w:t xml:space="preserve"> לא תמסור את כיסא הרבנות למי שחסר ניסיון כמותו (בייחוד מול דיין מתחרה), או שיש לפנינו דוגמה נוספת להעדפת הזולת על עצמו.</w:t>
      </w:r>
    </w:p>
    <w:bookmarkStart w:id="5559" w:name="b4_excM"/>
    <w:bookmarkStart w:id="5560" w:name="b4_annexM"/>
    <w:p w14:paraId="6E82F1C7" w14:textId="77777777" w:rsidR="00AB3647" w:rsidRDefault="00000000" w:rsidP="007923E9">
      <w:pPr>
        <w:pStyle w:val="3"/>
        <w:pageBreakBefore w:val="0"/>
        <w:spacing w:line="276" w:lineRule="auto"/>
      </w:pPr>
      <w:r>
        <w:fldChar w:fldCharType="begin" w:dirty="true"/>
      </w:r>
      <w:r>
        <w:rPr>
          <w:rtl w:val="0"/>
        </w:rPr>
        <w:instrText>HYPERLINK \l "b4_note109</w:instrText>
      </w:r>
      <w:r>
        <w:instrText>"</w:instrText>
      </w:r>
      <w:r>
        <w:fldChar w:fldCharType="separate"/>
      </w:r>
      <w:r>
        <w:t xml:space="preserve">נספח </w:t>
      </w:r>
      <w:proofErr w:type="spellStart"/>
      <w:r>
        <w:t>יג</w:t>
      </w:r>
      <w:proofErr w:type="spellEnd"/>
      <w:r>
        <w:fldChar w:fldCharType="end"/>
      </w:r>
      <w:bookmarkEnd w:id="5559"/>
      <w:bookmarkEnd w:id="5560"/>
    </w:p>
    <w:p w14:paraId="30824259" w14:textId="77777777" w:rsidR="00AB3647" w:rsidRDefault="00000000" w:rsidP="007923E9">
      <w:pPr>
        <w:pStyle w:val="af"/>
        <w:spacing w:line="276" w:lineRule="auto"/>
      </w:pPr>
      <w:r>
        <w:t xml:space="preserve">על מעורבות תלמידים בענייני הנהלת ישיבת </w:t>
      </w:r>
      <w:proofErr w:type="spellStart"/>
      <w:r>
        <w:t>וולוז׳ין</w:t>
      </w:r>
      <w:proofErr w:type="spellEnd"/>
      <w:r>
        <w:t xml:space="preserve"> ועל חסרונותיו של ר׳ חיים </w:t>
      </w:r>
      <w:proofErr w:type="spellStart"/>
      <w:r>
        <w:t>סולובייצ׳יק</w:t>
      </w:r>
      <w:proofErr w:type="spellEnd"/>
      <w:r>
        <w:t xml:space="preserve"> בראשית דרכו כמנהיג ועל ניסיונו של ר׳ </w:t>
      </w:r>
      <w:proofErr w:type="spellStart"/>
      <w:r>
        <w:t>יהושע־העשיל</w:t>
      </w:r>
      <w:proofErr w:type="spellEnd"/>
      <w:r>
        <w:t xml:space="preserve"> לוין להיות ראש ישיבת </w:t>
      </w:r>
      <w:proofErr w:type="spellStart"/>
      <w:r>
        <w:t>וולוז׳ין</w:t>
      </w:r>
      <w:proofErr w:type="spellEnd"/>
    </w:p>
    <w:p w14:paraId="10382F45" w14:textId="77777777" w:rsidR="00AB3647" w:rsidRDefault="00000000" w:rsidP="007923E9">
      <w:pPr>
        <w:pStyle w:val="4"/>
        <w:spacing w:line="276" w:lineRule="auto"/>
      </w:pPr>
      <w:r>
        <w:t>· הפסקה הראשונה ·</w:t>
      </w:r>
    </w:p>
    <w:p w14:paraId="567A22DC" w14:textId="77777777" w:rsidR="00AB3647" w:rsidRDefault="00000000" w:rsidP="007923E9">
      <w:pPr>
        <w:pStyle w:val="5"/>
        <w:spacing w:line="276" w:lineRule="auto"/>
      </w:pPr>
      <w:r>
        <w:rPr>
          <w:bCs/>
          <w:szCs w:val="26"/>
        </w:rPr>
        <w:t xml:space="preserve">מהומות תלמידים </w:t>
      </w:r>
      <w:proofErr w:type="spellStart"/>
      <w:r>
        <w:rPr>
          <w:bCs/>
          <w:szCs w:val="26"/>
        </w:rPr>
        <w:t>בוולוז׳ין</w:t>
      </w:r>
      <w:proofErr w:type="spellEnd"/>
      <w:r>
        <w:rPr>
          <w:bCs/>
          <w:szCs w:val="26"/>
        </w:rPr>
        <w:t xml:space="preserve"> – ר׳ חיים </w:t>
      </w:r>
      <w:proofErr w:type="spellStart"/>
      <w:r>
        <w:rPr>
          <w:bCs/>
          <w:szCs w:val="26"/>
        </w:rPr>
        <w:t>סולובייצ׳יק</w:t>
      </w:r>
      <w:proofErr w:type="spellEnd"/>
      <w:r>
        <w:rPr>
          <w:bCs/>
          <w:szCs w:val="26"/>
        </w:rPr>
        <w:t xml:space="preserve"> נמנע מהשתתפות בכינוסים ציבוריים – אינו פותח ישיבה משלו </w:t>
      </w:r>
      <w:proofErr w:type="spellStart"/>
      <w:r>
        <w:rPr>
          <w:bCs/>
          <w:szCs w:val="26"/>
        </w:rPr>
        <w:t>בבריסק</w:t>
      </w:r>
      <w:proofErr w:type="spellEnd"/>
      <w:r>
        <w:rPr>
          <w:bCs/>
          <w:szCs w:val="26"/>
        </w:rPr>
        <w:t xml:space="preserve"> – עושה ניסיון רפה – דוחה את הצעת משפחת ויסוצקי לתמוך בישיבה בראשותו – למדנותו זוכה להערכת אביו וכן להערכת דודו ומתחרהו, ר׳ חיים ברלין.</w:t>
      </w:r>
    </w:p>
    <w:p w14:paraId="269845FD" w14:textId="77777777" w:rsidR="00AB3647" w:rsidRDefault="00000000" w:rsidP="007923E9">
      <w:pPr>
        <w:spacing w:after="120" w:line="276" w:lineRule="auto"/>
        <w:ind w:firstLine="283"/>
        <w:jc w:val="both"/>
      </w:pPr>
      <w:r>
        <w:rPr>
          <w:rtl/>
        </w:rPr>
        <w:t xml:space="preserve">לפי </w:t>
      </w:r>
      <w:proofErr w:type="spellStart"/>
      <w:r>
        <w:rPr>
          <w:rtl/>
        </w:rPr>
        <w:t>דבורץ</w:t>
      </w:r>
      <w:proofErr w:type="spellEnd"/>
      <w:r>
        <w:rPr>
          <w:rtl/>
        </w:rPr>
        <w:t>, “הגאון רבי משה מרדכי אפשטיין”</w:t>
      </w:r>
      <w:bookmarkStart w:id="5561" w:name="_fnr4210"/>
      <w:r>
        <w:rPr>
          <w:vertAlign w:val="superscript"/>
          <w:rtl/>
        </w:rPr>
        <w:footnoteReference w:id="4220" w:customMarkFollows="0"/>
      </w:r>
      <w:bookmarkEnd w:id="5561"/>
      <w:r>
        <w:rPr>
          <w:rtl/>
        </w:rPr>
        <w:t xml:space="preserve">, כשנסגרה ישיבת </w:t>
      </w:r>
      <w:proofErr w:type="spellStart"/>
      <w:r>
        <w:rPr>
          <w:rtl/>
        </w:rPr>
        <w:t>וולוז׳ין</w:t>
      </w:r>
      <w:proofErr w:type="spellEnd"/>
      <w:r>
        <w:rPr>
          <w:rtl/>
        </w:rPr>
        <w:t xml:space="preserve"> עברו כמה מתלמידיה </w:t>
      </w:r>
      <w:proofErr w:type="spellStart"/>
      <w:r>
        <w:rPr>
          <w:rtl/>
        </w:rPr>
        <w:t>לטלז</w:t>
      </w:r>
      <w:proofErr w:type="spellEnd"/>
      <w:r>
        <w:rPr>
          <w:rtl/>
        </w:rPr>
        <w:t xml:space="preserve"> (וכן </w:t>
      </w:r>
      <w:proofErr w:type="spellStart"/>
      <w:r>
        <w:rPr>
          <w:rtl/>
        </w:rPr>
        <w:t>לסלבודקה</w:t>
      </w:r>
      <w:proofErr w:type="spellEnd"/>
      <w:r>
        <w:rPr>
          <w:rtl/>
        </w:rPr>
        <w:t xml:space="preserve">). יתר על כן, לפי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2" w:name="_fnr4211"/>
      <w:r>
        <w:rPr>
          <w:vertAlign w:val="superscript"/>
          <w:rtl/>
        </w:rPr>
        <w:footnoteReference w:id="4221" w:customMarkFollows="0"/>
      </w:r>
      <w:bookmarkEnd w:id="5562"/>
      <w:r>
        <w:rPr>
          <w:rtl/>
        </w:rPr>
        <w:t xml:space="preserve">, ר׳ לייזר גורדון “ראה בישיבת </w:t>
      </w:r>
      <w:proofErr w:type="spellStart"/>
      <w:r>
        <w:rPr>
          <w:rtl/>
        </w:rPr>
        <w:t>טלז</w:t>
      </w:r>
      <w:proofErr w:type="spellEnd"/>
      <w:r>
        <w:rPr>
          <w:rtl/>
        </w:rPr>
        <w:t xml:space="preserve"> את יורשתה של </w:t>
      </w:r>
      <w:proofErr w:type="spellStart"/>
      <w:r>
        <w:rPr>
          <w:rtl/>
        </w:rPr>
        <w:t>וולוז׳ין</w:t>
      </w:r>
      <w:proofErr w:type="spellEnd"/>
      <w:r>
        <w:rPr>
          <w:rtl/>
        </w:rPr>
        <w:t xml:space="preserve">”. זרם תלמידים זה תרם כנראה להתעוררות התסיסה נגד המוסר </w:t>
      </w:r>
      <w:proofErr w:type="spellStart"/>
      <w:r>
        <w:rPr>
          <w:rtl/>
        </w:rPr>
        <w:t>בטלז</w:t>
      </w:r>
      <w:bookmarkStart w:id="5563" w:name="_fnr4212"/>
      <w:proofErr w:type="spellEnd"/>
      <w:r>
        <w:rPr>
          <w:vertAlign w:val="superscript"/>
          <w:rtl/>
        </w:rPr>
        <w:footnoteReference w:id="4222" w:customMarkFollows="0"/>
      </w:r>
      <w:bookmarkEnd w:id="5563"/>
      <w:r>
        <w:rPr>
          <w:rtl/>
        </w:rPr>
        <w:t>.</w:t>
      </w:r>
    </w:p>
    <w:p w14:paraId="3AC1BC40" w14:textId="77777777" w:rsidR="00AB3647" w:rsidRDefault="00000000" w:rsidP="007923E9">
      <w:pPr>
        <w:spacing w:after="120" w:line="276" w:lineRule="auto"/>
        <w:ind w:firstLine="283"/>
        <w:jc w:val="both"/>
      </w:pPr>
      <w:r>
        <w:rPr>
          <w:rtl/>
        </w:rPr>
        <w:lastRenderedPageBreak/>
        <w:t xml:space="preserve">תמיכה להשערה זו אפשר למצוא בשיטות </w:t>
      </w:r>
      <w:proofErr w:type="spellStart"/>
      <w:r>
        <w:rPr>
          <w:rtl/>
        </w:rPr>
        <w:t>ה“הופקה</w:t>
      </w:r>
      <w:proofErr w:type="spellEnd"/>
      <w:r>
        <w:rPr>
          <w:rtl/>
        </w:rPr>
        <w:t xml:space="preserve">” המוזרות שננקטו </w:t>
      </w:r>
      <w:proofErr w:type="spellStart"/>
      <w:r>
        <w:rPr>
          <w:rtl/>
        </w:rPr>
        <w:t>בטלז</w:t>
      </w:r>
      <w:proofErr w:type="spellEnd"/>
      <w:r>
        <w:rPr>
          <w:rtl/>
        </w:rPr>
        <w:t xml:space="preserve"> (ראה הערה 110 בפרק זה): הן דמו להפליא למעשים המתוארים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564" w:name="_fnr4213"/>
      <w:r>
        <w:rPr>
          <w:vertAlign w:val="superscript"/>
          <w:rtl/>
        </w:rPr>
        <w:footnoteReference w:id="4223" w:customMarkFollows="0"/>
      </w:r>
      <w:bookmarkEnd w:id="5564"/>
      <w:r>
        <w:rPr>
          <w:rtl/>
        </w:rPr>
        <w:t xml:space="preserve">, שעשו תלמידי </w:t>
      </w:r>
      <w:proofErr w:type="spellStart"/>
      <w:r>
        <w:rPr>
          <w:rtl/>
        </w:rPr>
        <w:t>וולוז׳ין</w:t>
      </w:r>
      <w:proofErr w:type="spellEnd"/>
      <w:r>
        <w:rPr>
          <w:rtl/>
        </w:rPr>
        <w:t xml:space="preserve"> עשור וחצי קודם לכן, כשמרדו בכוונתו של </w:t>
      </w:r>
      <w:proofErr w:type="spellStart"/>
      <w:r>
        <w:rPr>
          <w:rtl/>
        </w:rPr>
        <w:t>הנצי״ב</w:t>
      </w:r>
      <w:proofErr w:type="spellEnd"/>
      <w:r>
        <w:rPr>
          <w:rtl/>
        </w:rPr>
        <w:t xml:space="preserve"> הזקן לכפות את בנו, ר׳ חיים ברלין, כיורשו, במקום אהובם, המשנה לראש הישיבה, ר׳ חיים </w:t>
      </w:r>
      <w:proofErr w:type="spellStart"/>
      <w:r>
        <w:rPr>
          <w:rtl/>
        </w:rPr>
        <w:t>סולובייצ׳יק</w:t>
      </w:r>
      <w:proofErr w:type="spellEnd"/>
      <w:r>
        <w:rPr>
          <w:rtl/>
        </w:rPr>
        <w:t>. השווה לשיר “בליל הרעש”</w:t>
      </w:r>
      <w:bookmarkStart w:id="5565" w:name="_fnr4214"/>
      <w:r>
        <w:rPr>
          <w:vertAlign w:val="superscript"/>
          <w:rtl/>
        </w:rPr>
        <w:footnoteReference w:id="4224" w:customMarkFollows="0"/>
      </w:r>
      <w:bookmarkEnd w:id="5565"/>
      <w:r>
        <w:rPr>
          <w:rtl/>
        </w:rPr>
        <w:t xml:space="preserve">, שארבע השורות הבאות מתארות בו את שיאה של התקוממות סוערת </w:t>
      </w:r>
      <w:proofErr w:type="spellStart"/>
      <w:r>
        <w:rPr>
          <w:rtl/>
        </w:rPr>
        <w:t>בוולוז׳ין</w:t>
      </w:r>
      <w:proofErr w:type="spellEnd"/>
      <w:r>
        <w:rPr>
          <w:rtl/>
        </w:rPr>
        <w:t>:</w:t>
      </w:r>
    </w:p>
    <w:p w14:paraId="355FA5B6" w14:textId="77777777" w:rsidR="00AB3647" w:rsidRDefault="00000000" w:rsidP="007923E9">
      <w:pPr>
        <w:spacing w:after="120" w:line="276" w:lineRule="auto"/>
        <w:ind w:firstLine="283"/>
        <w:jc w:val="both"/>
      </w:pPr>
      <w:r>
        <w:rPr>
          <w:rtl/>
        </w:rPr>
        <w:t>אז מאות ידיים תפתחנה מוסרות וכעסים עצורים לחפשי שולחו וינפצו חלונות ויכבו הנרות, ספסלים, שולחנות על פניהם נהפכו.</w:t>
      </w:r>
    </w:p>
    <w:p w14:paraId="31651561" w14:textId="0A97AA16" w:rsidR="00AB3647" w:rsidRDefault="00000000" w:rsidP="007923E9">
      <w:pPr>
        <w:spacing w:after="120" w:line="276" w:lineRule="auto"/>
        <w:ind w:firstLine="283"/>
        <w:jc w:val="both"/>
      </w:pPr>
      <w:r>
        <w:rPr>
          <w:rtl/>
        </w:rPr>
        <w:t xml:space="preserve">בסכסוך </w:t>
      </w:r>
      <w:proofErr w:type="spellStart"/>
      <w:r>
        <w:rPr>
          <w:rtl/>
        </w:rPr>
        <w:t>בוולוז׳ין</w:t>
      </w:r>
      <w:proofErr w:type="spellEnd"/>
      <w:r>
        <w:rPr>
          <w:rtl/>
        </w:rPr>
        <w:t xml:space="preserve">, נעוריהם וחוסר ניסיונם של הבחורים המורדים מנעו מהם להבין שראש הישיבה המיועד שלהם צריך להיות לא רק תלמיד חכם ומגיד שיעור גדול – וכזה אכן היה ר׳ חיים </w:t>
      </w:r>
      <w:proofErr w:type="spellStart"/>
      <w:r>
        <w:rPr>
          <w:rtl/>
        </w:rPr>
        <w:t>סולובייצ׳יק</w:t>
      </w:r>
      <w:proofErr w:type="spellEnd"/>
      <w:r>
        <w:rPr>
          <w:rtl/>
        </w:rPr>
        <w:t xml:space="preserve"> – אלא גם מנהל מעולה ומנהיג בעל שיעור קומה עולמי. כזה היה ר׳ חיים ברלין, ור׳ חיים </w:t>
      </w:r>
      <w:proofErr w:type="spellStart"/>
      <w:r>
        <w:rPr>
          <w:rtl/>
        </w:rPr>
        <w:t>סולובייצ׳יק</w:t>
      </w:r>
      <w:proofErr w:type="spellEnd"/>
      <w:r>
        <w:rPr>
          <w:rtl/>
        </w:rPr>
        <w:t xml:space="preserve"> – בוודאי באותה עת – לא היה כזה. השווה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וכן ליעקב מארק</w:t>
      </w:r>
      <w:bookmarkStart w:id="5566" w:name="_fnr4215"/>
      <w:r>
        <w:rPr>
          <w:vertAlign w:val="superscript"/>
          <w:rtl/>
        </w:rPr>
        <w:footnoteReference w:id="4225" w:customMarkFollows="0"/>
      </w:r>
      <w:bookmarkEnd w:id="5566"/>
      <w:r>
        <w:rPr>
          <w:rtl/>
        </w:rPr>
        <w:t xml:space="preserve">, הכותב: “כל מי שהכיר את התנהגותו של ר׳ חיים </w:t>
      </w:r>
      <w:r>
        <w:rPr>
          <w:b/>
          <w:bCs/>
          <w:rtl/>
        </w:rPr>
        <w:t>בארבעים השנים הראשונות לחייו</w:t>
      </w:r>
      <w:r>
        <w:rPr>
          <w:rtl/>
        </w:rPr>
        <w:t xml:space="preserve"> (ההדגשה שלי)” – כלומר, עד שנעשה רב </w:t>
      </w:r>
      <w:proofErr w:type="spellStart"/>
      <w:r>
        <w:rPr>
          <w:rtl/>
        </w:rPr>
        <w:t>בבריסק</w:t>
      </w:r>
      <w:proofErr w:type="spellEnd"/>
      <w:r>
        <w:rPr>
          <w:rtl/>
        </w:rPr>
        <w:t xml:space="preserve"> – “לא היה יכול בשום אופן להעלות על דעתו שבשנותיו המאוחרות יהיה אותו </w:t>
      </w:r>
      <w:proofErr w:type="spellStart"/>
      <w:r>
        <w:rPr>
          <w:rtl/>
        </w:rPr>
        <w:t>הימעל־מענטש</w:t>
      </w:r>
      <w:proofErr w:type="spellEnd"/>
      <w:r>
        <w:rPr>
          <w:rtl/>
        </w:rPr>
        <w:t xml:space="preserve"> (אדם שאינו מענייני העולם הזה), שכל עולמו סבב תמיד רק סביב בית המדרש, לאחד מן העסקנים הציבוריים הנמרצים והיעילים ביותר בזמנו”.</w:t>
      </w:r>
    </w:p>
    <w:p w14:paraId="0DF1F10D" w14:textId="77777777" w:rsidR="00AB3647" w:rsidRDefault="00000000" w:rsidP="007923E9">
      <w:pPr>
        <w:spacing w:after="120" w:line="276" w:lineRule="auto"/>
        <w:ind w:firstLine="283"/>
        <w:jc w:val="both"/>
      </w:pPr>
      <w:r>
        <w:rPr>
          <w:rtl/>
        </w:rPr>
        <w:t>השווה גם “שמושה של תורה”</w:t>
      </w:r>
      <w:bookmarkStart w:id="5567" w:name="_fnr4216"/>
      <w:r>
        <w:rPr>
          <w:vertAlign w:val="superscript"/>
          <w:rtl/>
        </w:rPr>
        <w:footnoteReference w:id="4226" w:customMarkFollows="0"/>
      </w:r>
      <w:bookmarkEnd w:id="5567"/>
      <w:r>
        <w:rPr>
          <w:rtl/>
        </w:rPr>
        <w:t xml:space="preserve">, המתאר כיצד ראו את ר׳ חיים </w:t>
      </w:r>
      <w:proofErr w:type="spellStart"/>
      <w:r>
        <w:rPr>
          <w:rtl/>
        </w:rPr>
        <w:t>בבריסק</w:t>
      </w:r>
      <w:proofErr w:type="spellEnd"/>
      <w:r>
        <w:rPr>
          <w:rtl/>
        </w:rPr>
        <w:t xml:space="preserve"> מיד לאחר מינויו לרב: “... הקהילה התאכזבה מכך שלא השתתף </w:t>
      </w:r>
      <w:proofErr w:type="spellStart"/>
      <w:r>
        <w:rPr>
          <w:rtl/>
        </w:rPr>
        <w:t>באספות</w:t>
      </w:r>
      <w:proofErr w:type="spellEnd"/>
      <w:r>
        <w:rPr>
          <w:rtl/>
        </w:rPr>
        <w:t xml:space="preserve"> רבנים, כפי שנהג אביו וקודמו, ר׳ </w:t>
      </w:r>
      <w:proofErr w:type="spellStart"/>
      <w:r>
        <w:rPr>
          <w:rtl/>
        </w:rPr>
        <w:t xml:space="preserve">יושע־בער</w:t>
      </w:r>
      <w:proofErr w:type="spellEnd"/>
      <w:r>
        <w:rPr>
          <w:rtl/>
        </w:rPr>
        <w:t xml:space="preserve"> – שבהן היו הוא ור׳ </w:t>
      </w:r>
      <w:proofErr w:type="spellStart"/>
      <w:r>
        <w:rPr>
          <w:rtl/>
        </w:rPr>
        <w:t>יצחק־אלחנן</w:t>
      </w:r>
      <w:proofErr w:type="spellEnd"/>
      <w:r>
        <w:rPr>
          <w:rtl/>
        </w:rPr>
        <w:t xml:space="preserve"> </w:t>
      </w:r>
      <w:proofErr w:type="spellStart"/>
      <w:r>
        <w:rPr>
          <w:rtl/>
        </w:rPr>
        <w:t>ספקטור</w:t>
      </w:r>
      <w:proofErr w:type="spellEnd"/>
      <w:r>
        <w:rPr>
          <w:rtl/>
        </w:rPr>
        <w:t xml:space="preserve"> הדוברים הראשיים. אנשי </w:t>
      </w:r>
      <w:proofErr w:type="spellStart"/>
      <w:r>
        <w:rPr>
          <w:rtl/>
        </w:rPr>
        <w:t>בריסק</w:t>
      </w:r>
      <w:proofErr w:type="spellEnd"/>
      <w:r>
        <w:rPr>
          <w:rtl/>
        </w:rPr>
        <w:t xml:space="preserve"> ראו בהימנעות ר׳ חיים מהשתתפות </w:t>
      </w:r>
      <w:proofErr w:type="spellStart"/>
      <w:r>
        <w:rPr>
          <w:rtl/>
        </w:rPr>
        <w:t>באספות</w:t>
      </w:r>
      <w:proofErr w:type="spellEnd"/>
      <w:r>
        <w:rPr>
          <w:rtl/>
        </w:rPr>
        <w:t xml:space="preserve"> רבנים ירידה במעמדה ובכבודה של עירם, ופנו אליו לשאול מדוע אינו משתתף ומדוע [כשהוא משתתף] אינו מן הנואמים הראשיים. הימנעותו מדיבור, אמרו, מתפרשת כהסכמה לדוברים וכהשתכנעות מטענותיהם, בלי שיש לו דבר משלו להוסיף. הוא השיב להם: ‘האם אתם חושבים שאני מתרשם מדברי האחרים? לא, דעתי ברורה ואין בה </w:t>
      </w:r>
      <w:proofErr w:type="spellStart"/>
      <w:r>
        <w:rPr>
          <w:rtl/>
        </w:rPr>
        <w:t>דו־משמעות</w:t>
      </w:r>
      <w:proofErr w:type="spellEnd"/>
      <w:r>
        <w:rPr>
          <w:rtl/>
        </w:rPr>
        <w:t xml:space="preserve"> – ואני יכול לטעון לזכותה ולשכנע את כולם בנכונותה. אבל מה אעשה אם, כשאני קם לדבר, אני נוטף כוסות של זיעה מחמת </w:t>
      </w:r>
      <w:proofErr w:type="spellStart"/>
      <w:r>
        <w:rPr>
          <w:rtl/>
        </w:rPr>
        <w:t>אימתא</w:t>
      </w:r>
      <w:proofErr w:type="spellEnd"/>
      <w:r>
        <w:rPr>
          <w:rtl/>
        </w:rPr>
        <w:t xml:space="preserve"> </w:t>
      </w:r>
      <w:proofErr w:type="spellStart"/>
      <w:r>
        <w:rPr>
          <w:rtl/>
        </w:rPr>
        <w:t>דציבורא</w:t>
      </w:r>
      <w:proofErr w:type="spellEnd"/>
      <w:r>
        <w:rPr>
          <w:rtl/>
        </w:rPr>
        <w:t>?!’”</w:t>
      </w:r>
    </w:p>
    <w:p w14:paraId="15B925CA" w14:textId="77777777" w:rsidR="00AB3647" w:rsidRDefault="00000000" w:rsidP="007923E9">
      <w:pPr>
        <w:spacing w:after="120" w:line="276" w:lineRule="auto"/>
        <w:ind w:firstLine="283"/>
        <w:jc w:val="both"/>
      </w:pPr>
      <w:r>
        <w:rPr>
          <w:rtl/>
        </w:rPr>
        <w:t>ר׳ חיים מעולם לא נעשה מנהיג בכוח הכריזמה. כדברי “</w:t>
      </w:r>
      <w:proofErr w:type="spellStart"/>
      <w:r>
        <w:rPr>
          <w:rtl/>
        </w:rPr>
        <w:t>וולוז׳ין</w:t>
      </w:r>
      <w:proofErr w:type="spellEnd"/>
      <w:r>
        <w:rPr>
          <w:rtl/>
        </w:rPr>
        <w:t xml:space="preserve"> – ספרה של העיר ושל ישיבת עץ חיים”</w:t>
      </w:r>
      <w:bookmarkStart w:id="5568" w:name="_fnr4217"/>
      <w:r>
        <w:rPr>
          <w:vertAlign w:val="superscript"/>
          <w:rtl/>
        </w:rPr>
        <w:footnoteReference w:id="4227" w:customMarkFollows="0"/>
      </w:r>
      <w:bookmarkEnd w:id="5568"/>
      <w:r>
        <w:rPr>
          <w:rtl/>
        </w:rPr>
        <w:t>: “הוא נעשה [לבסוף] דובר מרכזי בכל מקום, לא במיוחד בשל נאומיו [החזקים], אלא בשל רעיונותיו ההגיוניים והחריפים ותשובותיו המחודדות”</w:t>
      </w:r>
      <w:bookmarkStart w:id="5569" w:name="_fnr4218"/>
      <w:r>
        <w:rPr>
          <w:vertAlign w:val="superscript"/>
          <w:rtl/>
        </w:rPr>
        <w:footnoteReference w:id="4228" w:customMarkFollows="0"/>
      </w:r>
      <w:bookmarkEnd w:id="5569"/>
      <w:r>
        <w:rPr>
          <w:rtl/>
        </w:rPr>
        <w:t>.</w:t>
      </w:r>
    </w:p>
    <w:p w14:paraId="7AEB7458" w14:textId="77777777" w:rsidR="00AB3647" w:rsidRDefault="00000000" w:rsidP="007923E9">
      <w:pPr>
        <w:spacing w:after="120" w:line="276" w:lineRule="auto"/>
        <w:ind w:firstLine="283"/>
        <w:jc w:val="both"/>
      </w:pPr>
      <w:bookmarkStart w:id="5570" w:name="pr_b_2365"/>
      <w:bookmarkEnd w:id="5570"/>
      <w:r>
        <w:rPr>
          <w:rtl/>
        </w:rPr>
        <w:lastRenderedPageBreak/>
        <w:t xml:space="preserve">ייתכן שר׳ חיים לא הקים ישיבה </w:t>
      </w:r>
      <w:proofErr w:type="spellStart"/>
      <w:r>
        <w:rPr>
          <w:rtl/>
        </w:rPr>
        <w:t>בבריסק</w:t>
      </w:r>
      <w:proofErr w:type="spellEnd"/>
      <w:r>
        <w:rPr>
          <w:rtl/>
        </w:rPr>
        <w:t xml:space="preserve"> משום שלא היו בידיו היכולות הדרושות להפעלת מוסד. </w:t>
      </w:r>
      <w:proofErr w:type="spellStart"/>
      <w:r>
        <w:rPr>
          <w:rtl/>
        </w:rPr>
        <w:t>בבריסק</w:t>
      </w:r>
      <w:proofErr w:type="spellEnd"/>
      <w:r>
        <w:rPr>
          <w:rtl/>
        </w:rPr>
        <w:t xml:space="preserve"> יכול היה להעמיד מספר כפול של תלמידים מזה שהעמיד </w:t>
      </w:r>
      <w:proofErr w:type="spellStart"/>
      <w:r>
        <w:rPr>
          <w:rtl/>
        </w:rPr>
        <w:t>בוולוז׳ין</w:t>
      </w:r>
      <w:proofErr w:type="spellEnd"/>
      <w:r>
        <w:rPr>
          <w:rtl/>
        </w:rPr>
        <w:t xml:space="preserve">: הוא כיהן בה כרב 22 שנה עד מלחמת העולם הראשונה, לעומת מחצית ממספר זה כמגיד שיעור </w:t>
      </w:r>
      <w:proofErr w:type="spellStart"/>
      <w:r>
        <w:rPr>
          <w:rtl/>
        </w:rPr>
        <w:t>בוולוז׳ין</w:t>
      </w:r>
      <w:proofErr w:type="spellEnd"/>
      <w:r>
        <w:rPr>
          <w:rtl/>
        </w:rPr>
        <w:t xml:space="preserve">! או שחסרה לו ההבנה המעשית כיצד מקימים ישיבה, או ששכלו הייחודי לא יכול היה להיות כבול לפרטים הטכניים והקטנים של הטיפול בתלמידים, כפי שמחויב ראש מוסד. לפי ר׳ </w:t>
      </w:r>
      <w:proofErr w:type="spellStart"/>
      <w:r>
        <w:rPr>
          <w:rtl/>
        </w:rPr>
        <w:t>חיים־עוזר</w:t>
      </w:r>
      <w:proofErr w:type="spellEnd"/>
      <w:r>
        <w:rPr>
          <w:rtl/>
        </w:rPr>
        <w:t xml:space="preserve"> </w:t>
      </w:r>
      <w:proofErr w:type="spellStart"/>
      <w:r>
        <w:rPr>
          <w:rtl/>
        </w:rPr>
        <w:t>גרודזנסקי</w:t>
      </w:r>
      <w:bookmarkStart w:id="5571" w:name="_fnr4219"/>
      <w:proofErr w:type="spellEnd"/>
      <w:r>
        <w:rPr>
          <w:vertAlign w:val="superscript"/>
          <w:rtl/>
        </w:rPr>
        <w:footnoteReference w:id="4229" w:customMarkFollows="0"/>
      </w:r>
      <w:bookmarkEnd w:id="5571"/>
      <w:r>
        <w:rPr>
          <w:rtl/>
        </w:rPr>
        <w:t>, שכלו של ר׳ חיים לא רק היה טוב משל אחרים, אלא היה סוג בפני עצמו</w:t>
      </w:r>
      <w:bookmarkStart w:id="5572" w:name="_fnr4220"/>
      <w:r>
        <w:rPr>
          <w:vertAlign w:val="superscript"/>
          <w:rtl/>
        </w:rPr>
        <w:footnoteReference w:id="4230" w:customMarkFollows="0"/>
      </w:r>
      <w:bookmarkEnd w:id="5572"/>
      <w:r>
        <w:rPr>
          <w:rtl/>
        </w:rPr>
        <w:t xml:space="preserve"> – שכל שאולי אי אפשר היה להכפיף למגבלות שמטיל ניהול ישיבה</w:t>
      </w:r>
      <w:bookmarkStart w:id="5573" w:name="_fnr4221"/>
      <w:r>
        <w:rPr>
          <w:vertAlign w:val="superscript"/>
          <w:rtl/>
        </w:rPr>
        <w:footnoteReference w:id="4231" w:customMarkFollows="0"/>
      </w:r>
      <w:bookmarkEnd w:id="5573"/>
      <w:r>
        <w:rPr>
          <w:rtl/>
        </w:rPr>
        <w:t>.</w:t>
      </w:r>
    </w:p>
    <w:p w14:paraId="35DB5C7D" w14:textId="77777777" w:rsidR="00AB3647" w:rsidRDefault="00000000" w:rsidP="007923E9">
      <w:pPr>
        <w:spacing w:after="120" w:line="276" w:lineRule="auto"/>
        <w:ind w:firstLine="283"/>
        <w:jc w:val="both"/>
      </w:pPr>
      <w:bookmarkStart w:id="5574" w:name="pr_b_2366"/>
      <w:bookmarkEnd w:id="5574"/>
      <w:r>
        <w:rPr>
          <w:rtl/>
        </w:rPr>
        <w:t xml:space="preserve">בתחילה הנחתי שר׳ חיים לא פתח ישיבה ברמה גבוהה </w:t>
      </w:r>
      <w:proofErr w:type="spellStart"/>
      <w:r>
        <w:rPr>
          <w:rtl/>
        </w:rPr>
        <w:t>בבריסק</w:t>
      </w:r>
      <w:proofErr w:type="spellEnd"/>
      <w:r>
        <w:rPr>
          <w:rtl/>
        </w:rPr>
        <w:t xml:space="preserve"> בגלל עומס חובותיו כלפי העיר, שלדעתו קדמו לכל יתר חובותיו הרבניות</w:t>
      </w:r>
      <w:bookmarkStart w:id="5575" w:name="_fnr4222"/>
      <w:r>
        <w:rPr>
          <w:vertAlign w:val="superscript"/>
          <w:rtl/>
        </w:rPr>
        <w:footnoteReference w:id="4232" w:customMarkFollows="0"/>
      </w:r>
      <w:bookmarkEnd w:id="5575"/>
      <w:r>
        <w:rPr>
          <w:rtl/>
        </w:rPr>
        <w:t xml:space="preserve">. אבל ר׳ </w:t>
      </w:r>
      <w:proofErr w:type="spellStart"/>
      <w:r>
        <w:rPr>
          <w:rtl/>
        </w:rPr>
        <w:t>משה־אהרן</w:t>
      </w:r>
      <w:proofErr w:type="spellEnd"/>
      <w:r>
        <w:rPr>
          <w:rtl/>
        </w:rPr>
        <w:t xml:space="preserve"> </w:t>
      </w:r>
      <w:proofErr w:type="spellStart"/>
      <w:r>
        <w:rPr>
          <w:rtl/>
        </w:rPr>
        <w:t>סולובייצ׳יק</w:t>
      </w:r>
      <w:proofErr w:type="spellEnd"/>
      <w:r>
        <w:rPr>
          <w:rtl/>
        </w:rPr>
        <w:t xml:space="preserve"> סיפר</w:t>
      </w:r>
      <w:bookmarkStart w:id="5576" w:name="_fnr4223"/>
      <w:r>
        <w:rPr>
          <w:vertAlign w:val="superscript"/>
          <w:rtl/>
        </w:rPr>
        <w:footnoteReference w:id="4233" w:customMarkFollows="0"/>
      </w:r>
      <w:bookmarkEnd w:id="5576"/>
      <w:r>
        <w:rPr>
          <w:rtl/>
        </w:rPr>
        <w:t xml:space="preserve"> שסבו, ר׳ </w:t>
      </w:r>
      <w:proofErr w:type="spellStart"/>
      <w:r>
        <w:rPr>
          <w:rtl/>
        </w:rPr>
        <w:t xml:space="preserve">וועלוול׳ה</w:t>
      </w:r>
      <w:proofErr w:type="spellEnd"/>
      <w:r>
        <w:rPr>
          <w:rtl/>
        </w:rPr>
        <w:t xml:space="preserve">, אמר שכשהיה בן תשע שנים, </w:t>
      </w:r>
      <w:proofErr w:type="spellStart"/>
      <w:r>
        <w:rPr>
          <w:rtl/>
        </w:rPr>
        <w:t>בתרנ״ו</w:t>
      </w:r>
      <w:proofErr w:type="spellEnd"/>
      <w:r>
        <w:rPr>
          <w:rtl/>
        </w:rPr>
        <w:t xml:space="preserve"> – השנה שאחרי השרפה הגדולה </w:t>
      </w:r>
      <w:proofErr w:type="spellStart"/>
      <w:r>
        <w:rPr>
          <w:rtl/>
        </w:rPr>
        <w:t>בבריסק</w:t>
      </w:r>
      <w:proofErr w:type="spellEnd"/>
      <w:r>
        <w:rPr>
          <w:rtl/>
        </w:rPr>
        <w:t xml:space="preserve">, כשחובותיו הציבוריות של הרב היו ללא ספק מרובות מאוד – אכן הייתה </w:t>
      </w:r>
      <w:proofErr w:type="spellStart"/>
      <w:r>
        <w:rPr>
          <w:rtl/>
        </w:rPr>
        <w:t>לר</w:t>
      </w:r>
      <w:proofErr w:type="spellEnd"/>
      <w:r>
        <w:rPr>
          <w:rtl/>
        </w:rPr>
        <w:t xml:space="preserve">׳ חיים לזמן קצר קבוצת תלמידים </w:t>
      </w:r>
      <w:proofErr w:type="spellStart"/>
      <w:r>
        <w:rPr>
          <w:rtl/>
        </w:rPr>
        <w:t>בבריסק</w:t>
      </w:r>
      <w:proofErr w:type="spellEnd"/>
      <w:r>
        <w:rPr>
          <w:rtl/>
        </w:rPr>
        <w:t>, ולה מסר שיעורים במסכת יבמות</w:t>
      </w:r>
      <w:bookmarkStart w:id="5577" w:name="_fnr4224"/>
      <w:r>
        <w:rPr>
          <w:vertAlign w:val="superscript"/>
          <w:rtl/>
        </w:rPr>
        <w:footnoteReference w:id="4234" w:customMarkFollows="0"/>
      </w:r>
      <w:bookmarkEnd w:id="5577"/>
      <w:r>
        <w:rPr>
          <w:rtl/>
        </w:rPr>
        <w:t xml:space="preserve">. המרואיין לא ידע מאיזו ישיבה באו התלמידים האלה, אבל מכל מקום, שיעורי ר׳ חיים היו קשים מדי בשבילם. ר׳ חיים שאל את בנו ר׳ משה, שהיה אז בן 18, אם להוריד את רמת השיעורים, ור׳ משה השיב בשלילה והציע לבקש מן הקבוצה לעזוב. ר׳ </w:t>
      </w:r>
      <w:proofErr w:type="spellStart"/>
      <w:r>
        <w:rPr>
          <w:rtl/>
        </w:rPr>
        <w:t xml:space="preserve">וועלוול׳ה</w:t>
      </w:r>
      <w:proofErr w:type="spellEnd"/>
      <w:r>
        <w:rPr>
          <w:rtl/>
        </w:rPr>
        <w:t xml:space="preserve"> אמר בבגרותו שאילו היה אז מבוגר דיו כדי שישאלו אותו, היה מחזיק בתלמידים, ונימק: “אפשר היה ללקט פנינים בסדרי נשים </w:t>
      </w:r>
      <w:proofErr w:type="spellStart"/>
      <w:r>
        <w:rPr>
          <w:rtl/>
        </w:rPr>
        <w:t>ונזיקין</w:t>
      </w:r>
      <w:proofErr w:type="spellEnd"/>
      <w:r>
        <w:rPr>
          <w:rtl/>
        </w:rPr>
        <w:t xml:space="preserve"> מתחת לשולחנו של אבינו אילו המשיך בשיעוריו”.</w:t>
      </w:r>
    </w:p>
    <w:p w14:paraId="3B77FF74" w14:textId="6F5C0A64" w:rsidR="00AB3647" w:rsidRDefault="00000000" w:rsidP="007923E9">
      <w:pPr>
        <w:spacing w:after="120" w:line="276" w:lineRule="auto"/>
        <w:ind w:firstLine="283"/>
        <w:jc w:val="both"/>
      </w:pPr>
      <w:r>
        <w:rPr>
          <w:rtl/>
        </w:rPr>
        <w:t>ר׳ יהושע עתיק</w:t>
      </w:r>
      <w:bookmarkStart w:id="5578" w:name="_fnr4225"/>
      <w:r>
        <w:rPr>
          <w:vertAlign w:val="superscript"/>
          <w:rtl/>
        </w:rPr>
        <w:footnoteReference w:id="4235" w:customMarkFollows="0"/>
      </w:r>
      <w:bookmarkEnd w:id="5578"/>
      <w:r>
        <w:rPr>
          <w:rtl/>
        </w:rPr>
        <w:t xml:space="preserve"> שמע מר׳ </w:t>
      </w:r>
      <w:proofErr w:type="spellStart"/>
      <w:r>
        <w:rPr>
          <w:rtl/>
        </w:rPr>
        <w:t>אברהם־יהושע</w:t>
      </w:r>
      <w:proofErr w:type="spellEnd"/>
      <w:r>
        <w:rPr>
          <w:rtl/>
        </w:rPr>
        <w:t xml:space="preserve"> </w:t>
      </w:r>
      <w:proofErr w:type="spellStart"/>
      <w:r>
        <w:rPr>
          <w:rtl/>
        </w:rPr>
        <w:t>סולובייצ׳יק</w:t>
      </w:r>
      <w:proofErr w:type="spellEnd"/>
      <w:r>
        <w:rPr>
          <w:rtl/>
        </w:rPr>
        <w:t xml:space="preserve">, </w:t>
      </w:r>
      <w:proofErr w:type="spellStart"/>
      <w:r>
        <w:rPr>
          <w:rtl/>
        </w:rPr>
        <w:t>נינו</w:t>
      </w:r>
      <w:proofErr w:type="spellEnd"/>
      <w:r>
        <w:rPr>
          <w:rtl/>
        </w:rPr>
        <w:t xml:space="preserve"> של ר׳ חיים, שקבוצה </w:t>
      </w:r>
      <w:proofErr w:type="spellStart"/>
      <w:r>
        <w:rPr>
          <w:rtl/>
        </w:rPr>
        <w:t>מטלז</w:t>
      </w:r>
      <w:proofErr w:type="spellEnd"/>
      <w:r>
        <w:rPr>
          <w:rtl/>
        </w:rPr>
        <w:t xml:space="preserve"> באה </w:t>
      </w:r>
      <w:proofErr w:type="spellStart"/>
      <w:r>
        <w:rPr>
          <w:rtl/>
        </w:rPr>
        <w:t>לבריסק</w:t>
      </w:r>
      <w:proofErr w:type="spellEnd"/>
      <w:r>
        <w:rPr>
          <w:rtl/>
        </w:rPr>
        <w:t xml:space="preserve"> וסברה ששיעוריו פשוטים מדי, והתלמידים התלוננו </w:t>
      </w:r>
      <w:proofErr w:type="spellStart"/>
      <w:r>
        <w:rPr>
          <w:rtl/>
        </w:rPr>
        <w:t>ש“לא</w:t>
      </w:r>
      <w:proofErr w:type="spellEnd"/>
      <w:r>
        <w:rPr>
          <w:rtl/>
        </w:rPr>
        <w:t xml:space="preserve"> באו עד </w:t>
      </w:r>
      <w:proofErr w:type="spellStart"/>
      <w:r>
        <w:rPr>
          <w:rtl/>
        </w:rPr>
        <w:t>בריסק</w:t>
      </w:r>
      <w:proofErr w:type="spellEnd"/>
      <w:r>
        <w:rPr>
          <w:rtl/>
        </w:rPr>
        <w:t xml:space="preserve"> בשביל דיבורים פשוטים כאלה”. אין ספק שהדבר נבע מכוח ההסברה המעולה של ר׳ חיים – ראה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השווה גם לפסקה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כשהתחיל ר׳ חיים למסור שיעורים </w:t>
      </w:r>
      <w:proofErr w:type="spellStart"/>
      <w:r>
        <w:rPr>
          <w:rtl/>
        </w:rPr>
        <w:t>בוולוז׳ין</w:t>
      </w:r>
      <w:proofErr w:type="spellEnd"/>
      <w:r>
        <w:rPr>
          <w:rtl/>
        </w:rPr>
        <w:t>, אמר למבקריו שכל דבר נכון נראה פשוט אחרי שמנסחים אותו.</w:t>
      </w:r>
    </w:p>
    <w:p w14:paraId="058FC908" w14:textId="77777777" w:rsidR="00AB3647" w:rsidRDefault="00000000" w:rsidP="007923E9">
      <w:pPr>
        <w:spacing w:after="120" w:line="276" w:lineRule="auto"/>
        <w:ind w:firstLine="283"/>
        <w:jc w:val="both"/>
      </w:pPr>
      <w:r>
        <w:rPr>
          <w:rtl/>
        </w:rPr>
        <w:lastRenderedPageBreak/>
        <w:t xml:space="preserve">גם ר׳ ברל שחר, תלמיד </w:t>
      </w:r>
      <w:proofErr w:type="spellStart"/>
      <w:r>
        <w:rPr>
          <w:rtl/>
        </w:rPr>
        <w:t>בריסק</w:t>
      </w:r>
      <w:proofErr w:type="spellEnd"/>
      <w:r>
        <w:rPr>
          <w:rtl/>
        </w:rPr>
        <w:t xml:space="preserve"> שבירושלים מן הדור הקודם, גילה</w:t>
      </w:r>
      <w:bookmarkStart w:id="5579" w:name="_fnr4226"/>
      <w:r>
        <w:rPr>
          <w:vertAlign w:val="superscript"/>
          <w:rtl/>
        </w:rPr>
        <w:footnoteReference w:id="4236" w:customMarkFollows="0"/>
      </w:r>
      <w:bookmarkEnd w:id="5579"/>
      <w:r>
        <w:rPr>
          <w:rtl/>
        </w:rPr>
        <w:t xml:space="preserve"> ששמע שקבוצת בחורים באה </w:t>
      </w:r>
      <w:proofErr w:type="spellStart"/>
      <w:r>
        <w:rPr>
          <w:rtl/>
        </w:rPr>
        <w:t>מטלז</w:t>
      </w:r>
      <w:proofErr w:type="spellEnd"/>
      <w:r>
        <w:rPr>
          <w:rtl/>
        </w:rPr>
        <w:t xml:space="preserve"> ללמוד אצל ר׳ חיים </w:t>
      </w:r>
      <w:proofErr w:type="spellStart"/>
      <w:r>
        <w:rPr>
          <w:rtl/>
        </w:rPr>
        <w:t>בבריסק</w:t>
      </w:r>
      <w:proofErr w:type="spellEnd"/>
      <w:r>
        <w:rPr>
          <w:rtl/>
        </w:rPr>
        <w:t xml:space="preserve">. לא ברור אם זו הקבוצה שלמדה יבמות, שעליה שמע ר׳ </w:t>
      </w:r>
      <w:proofErr w:type="spellStart"/>
      <w:r>
        <w:rPr>
          <w:rtl/>
        </w:rPr>
        <w:t>משה־אהרן</w:t>
      </w:r>
      <w:proofErr w:type="spellEnd"/>
      <w:r>
        <w:rPr>
          <w:rtl/>
        </w:rPr>
        <w:t xml:space="preserve">, או שתלמידי </w:t>
      </w:r>
      <w:proofErr w:type="spellStart"/>
      <w:r>
        <w:rPr>
          <w:rtl/>
        </w:rPr>
        <w:t>טלז</w:t>
      </w:r>
      <w:proofErr w:type="spellEnd"/>
      <w:r>
        <w:rPr>
          <w:rtl/>
        </w:rPr>
        <w:t xml:space="preserve"> היו קבוצה אחרת, שבאה </w:t>
      </w:r>
      <w:proofErr w:type="spellStart"/>
      <w:r>
        <w:rPr>
          <w:rtl/>
        </w:rPr>
        <w:t>לבריסק</w:t>
      </w:r>
      <w:proofErr w:type="spellEnd"/>
      <w:r>
        <w:rPr>
          <w:rtl/>
        </w:rPr>
        <w:t xml:space="preserve"> לפני השרפה הגדולה</w:t>
      </w:r>
      <w:bookmarkStart w:id="5580" w:name="_fnr4227"/>
      <w:r>
        <w:rPr>
          <w:vertAlign w:val="superscript"/>
          <w:rtl/>
        </w:rPr>
        <w:footnoteReference w:id="4237" w:customMarkFollows="0"/>
      </w:r>
      <w:bookmarkEnd w:id="5580"/>
      <w:r>
        <w:rPr>
          <w:rtl/>
        </w:rPr>
        <w:t xml:space="preserve">. ייתכן שתלמידי </w:t>
      </w:r>
      <w:proofErr w:type="spellStart"/>
      <w:r>
        <w:rPr>
          <w:rtl/>
        </w:rPr>
        <w:t>טלז</w:t>
      </w:r>
      <w:proofErr w:type="spellEnd"/>
      <w:r>
        <w:rPr>
          <w:rtl/>
        </w:rPr>
        <w:t xml:space="preserve"> הם אלה הנזכרים במאמרו של הרב ניסן וקסמן על ר׳ </w:t>
      </w:r>
      <w:proofErr w:type="spellStart"/>
      <w:r>
        <w:rPr>
          <w:rtl/>
        </w:rPr>
        <w:t>אליעזר־יהודה</w:t>
      </w:r>
      <w:proofErr w:type="spellEnd"/>
      <w:r>
        <w:rPr>
          <w:rtl/>
        </w:rPr>
        <w:t xml:space="preserve"> </w:t>
      </w:r>
      <w:proofErr w:type="spellStart"/>
      <w:r>
        <w:rPr>
          <w:rtl/>
        </w:rPr>
        <w:t>פינקל</w:t>
      </w:r>
      <w:bookmarkStart w:id="5581" w:name="_fnr4228"/>
      <w:proofErr w:type="spellEnd"/>
      <w:r>
        <w:rPr>
          <w:vertAlign w:val="superscript"/>
          <w:rtl/>
        </w:rPr>
        <w:footnoteReference w:id="4238" w:customMarkFollows="0"/>
      </w:r>
      <w:bookmarkEnd w:id="5581"/>
      <w:r>
        <w:rPr>
          <w:rtl/>
        </w:rPr>
        <w:t xml:space="preserve">, שאת “(הקושי) שלהם במעבר משיטת הלימוד </w:t>
      </w:r>
      <w:proofErr w:type="spellStart"/>
      <w:r>
        <w:rPr>
          <w:rtl/>
        </w:rPr>
        <w:t>הטלזאית</w:t>
      </w:r>
      <w:proofErr w:type="spellEnd"/>
      <w:r>
        <w:rPr>
          <w:rtl/>
        </w:rPr>
        <w:t xml:space="preserve"> של ‘דקדוק כחוט השערה’ אל ‘דרך המלך’ </w:t>
      </w:r>
      <w:proofErr w:type="spellStart"/>
      <w:r>
        <w:rPr>
          <w:rtl/>
        </w:rPr>
        <w:t>הבריסקאית</w:t>
      </w:r>
      <w:proofErr w:type="spellEnd"/>
      <w:r>
        <w:rPr>
          <w:rtl/>
        </w:rPr>
        <w:t xml:space="preserve"> של הגדרת סוגיית הגמרא כמכלול” – שינוי שאפשר לכנותו פישוט – תיאר כעבור שלושים שנה חברם ללימודים,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ר׳ שלמה עזב את </w:t>
      </w:r>
      <w:proofErr w:type="spellStart"/>
      <w:r>
        <w:rPr>
          <w:rtl/>
        </w:rPr>
        <w:t>בריסק</w:t>
      </w:r>
      <w:proofErr w:type="spellEnd"/>
      <w:r>
        <w:rPr>
          <w:rtl/>
        </w:rPr>
        <w:t xml:space="preserve"> בסוף חורף תרנ״ו, זמן המתאים למסירתו של ר׳ </w:t>
      </w:r>
      <w:proofErr w:type="spellStart"/>
      <w:r>
        <w:rPr>
          <w:rtl/>
        </w:rPr>
        <w:t>משה־אהרן</w:t>
      </w:r>
      <w:proofErr w:type="spellEnd"/>
      <w:r>
        <w:rPr>
          <w:rtl/>
        </w:rPr>
        <w:t xml:space="preserve">. הדבר עשוי להורות שכל המקורות השונים מתייחסים לקבוצה אחת – של תלמידי </w:t>
      </w:r>
      <w:proofErr w:type="spellStart"/>
      <w:r>
        <w:rPr>
          <w:rtl/>
        </w:rPr>
        <w:t>טלז</w:t>
      </w:r>
      <w:proofErr w:type="spellEnd"/>
      <w:r>
        <w:rPr>
          <w:rtl/>
        </w:rPr>
        <w:t xml:space="preserve">. לפי מאמרו של וקסמן, התלמידים גם מסרו חבורות – דבר המורה שכוננו מסגרת </w:t>
      </w:r>
      <w:proofErr w:type="spellStart"/>
      <w:r>
        <w:rPr>
          <w:rtl/>
        </w:rPr>
        <w:t>ישיבתית</w:t>
      </w:r>
      <w:proofErr w:type="spellEnd"/>
      <w:r>
        <w:rPr>
          <w:rtl/>
        </w:rPr>
        <w:t xml:space="preserve"> בזמן שהותם שם. ייתכן גם שתלמידי </w:t>
      </w:r>
      <w:proofErr w:type="spellStart"/>
      <w:r>
        <w:rPr>
          <w:rtl/>
        </w:rPr>
        <w:t>וולוז׳ין</w:t>
      </w:r>
      <w:proofErr w:type="spellEnd"/>
      <w:r>
        <w:rPr>
          <w:rtl/>
        </w:rPr>
        <w:t xml:space="preserve"> שבאו </w:t>
      </w:r>
      <w:proofErr w:type="spellStart"/>
      <w:r>
        <w:rPr>
          <w:rtl/>
        </w:rPr>
        <w:t>לטלז</w:t>
      </w:r>
      <w:proofErr w:type="spellEnd"/>
      <w:r>
        <w:rPr>
          <w:rtl/>
        </w:rPr>
        <w:t xml:space="preserve"> אחרי סגירת ישיבתם </w:t>
      </w:r>
      <w:proofErr w:type="spellStart"/>
      <w:r>
        <w:rPr>
          <w:rtl/>
        </w:rPr>
        <w:t>בתרנ״ב</w:t>
      </w:r>
      <w:proofErr w:type="spellEnd"/>
      <w:r>
        <w:rPr>
          <w:rtl/>
        </w:rPr>
        <w:t xml:space="preserve"> הפיצו את שמם של שיעורי ר׳ חיים המעולים, ועוררו בקרב חבריהם החדשים עניין לעבור </w:t>
      </w:r>
      <w:proofErr w:type="spellStart"/>
      <w:r>
        <w:rPr>
          <w:rtl/>
        </w:rPr>
        <w:t>לבריסק</w:t>
      </w:r>
      <w:proofErr w:type="spellEnd"/>
      <w:r>
        <w:rPr>
          <w:rtl/>
        </w:rPr>
        <w:t>.</w:t>
      </w:r>
    </w:p>
    <w:p w14:paraId="781FDABF" w14:textId="77777777" w:rsidR="00AB3647" w:rsidRDefault="00000000" w:rsidP="007923E9">
      <w:pPr>
        <w:spacing w:after="120" w:line="276" w:lineRule="auto"/>
        <w:ind w:firstLine="283"/>
        <w:jc w:val="both"/>
      </w:pPr>
      <w:r>
        <w:rPr>
          <w:rtl/>
        </w:rPr>
        <w:t xml:space="preserve">סיפורים אלה על קבוצה (או קבוצות) של תלמידים שלמדו אצל ר׳ חיים אינם מפריכים את ההשערה שלא היה מסוגל להפעיל ישיבה. אדרבה: אילו היה מסוגל לכך, היה מוצא דרך להעסיק ר״מ אחר שימסור את השיעור היומי לתלמידים שטרם הבשילו, ור׳ חיים היה תורם את חלקו לעתים רחוקות יותר, עד שיגיעו לרמה שהיה מצפה לה מהם – או שהיה מוצא הסדר אחר כדי להקים ישיבה משלו. לפי ההקדמה לחידושי </w:t>
      </w:r>
      <w:proofErr w:type="spellStart"/>
      <w:r>
        <w:rPr>
          <w:rtl/>
        </w:rPr>
        <w:t>הגר״ח</w:t>
      </w:r>
      <w:proofErr w:type="spellEnd"/>
      <w:r>
        <w:rPr>
          <w:rtl/>
        </w:rPr>
        <w:t xml:space="preserve"> בסוגיות הש״ס</w:t>
      </w:r>
      <w:bookmarkStart w:id="5582" w:name="_fnr4229"/>
      <w:r>
        <w:rPr>
          <w:vertAlign w:val="superscript"/>
          <w:rtl/>
        </w:rPr>
        <w:footnoteReference w:id="4239" w:customMarkFollows="0"/>
      </w:r>
      <w:bookmarkEnd w:id="5582"/>
      <w:r>
        <w:rPr>
          <w:rtl/>
        </w:rPr>
        <w:t xml:space="preserve">, סיפר ר׳ </w:t>
      </w:r>
      <w:proofErr w:type="spellStart"/>
      <w:r>
        <w:rPr>
          <w:rtl/>
        </w:rPr>
        <w:t xml:space="preserve">וועלוול׳ה</w:t>
      </w:r>
      <w:proofErr w:type="spellEnd"/>
      <w:r>
        <w:rPr>
          <w:rtl/>
        </w:rPr>
        <w:t xml:space="preserve"> שקבוצת “תלמידים מצוינים” באה </w:t>
      </w:r>
      <w:proofErr w:type="spellStart"/>
      <w:r>
        <w:rPr>
          <w:rtl/>
        </w:rPr>
        <w:t>לבריסק</w:t>
      </w:r>
      <w:proofErr w:type="spellEnd"/>
      <w:r>
        <w:rPr>
          <w:rtl/>
        </w:rPr>
        <w:t xml:space="preserve"> ללמוד מסכת גיטין אצל אביו בשלב מוקדם עוד יותר – מיד כשנסגרה </w:t>
      </w:r>
      <w:proofErr w:type="spellStart"/>
      <w:r>
        <w:rPr>
          <w:rtl/>
        </w:rPr>
        <w:t>וולוז׳ין</w:t>
      </w:r>
      <w:proofErr w:type="spellEnd"/>
      <w:r>
        <w:rPr>
          <w:rtl/>
        </w:rPr>
        <w:t xml:space="preserve">. אילו עמדה בראשה הנהגה יזמית, יכולה הייתה גם קבוצה זו לשמש גרעין להקמת ישיבה גדולה </w:t>
      </w:r>
      <w:proofErr w:type="spellStart"/>
      <w:r>
        <w:rPr>
          <w:rtl/>
        </w:rPr>
        <w:t>בבריסק</w:t>
      </w:r>
      <w:proofErr w:type="spellEnd"/>
      <w:r>
        <w:rPr>
          <w:rtl/>
        </w:rPr>
        <w:t xml:space="preserve">. היא כללה כנראה רבים מתלמידיו לשעבר </w:t>
      </w:r>
      <w:proofErr w:type="spellStart"/>
      <w:r>
        <w:rPr>
          <w:rtl/>
        </w:rPr>
        <w:t>בוולוז׳ין</w:t>
      </w:r>
      <w:proofErr w:type="spellEnd"/>
      <w:r>
        <w:rPr>
          <w:rtl/>
        </w:rPr>
        <w:t>, שהכירו את סוג שיעוריו – ולא מצאו אותם קשים מדי או פשוטים מדי.</w:t>
      </w:r>
    </w:p>
    <w:p w14:paraId="7917BCFB" w14:textId="77777777" w:rsidR="00AB3647" w:rsidRDefault="00000000" w:rsidP="007923E9">
      <w:pPr>
        <w:spacing w:after="120" w:line="276" w:lineRule="auto"/>
        <w:ind w:firstLine="283"/>
        <w:jc w:val="both"/>
      </w:pPr>
      <w:r>
        <w:rPr>
          <w:rtl/>
        </w:rPr>
        <w:t>השווה גם “אחד בדורו”, מאת הרב שמואל קול</w:t>
      </w:r>
      <w:bookmarkStart w:id="5583" w:name="_fnr4230"/>
      <w:r>
        <w:rPr>
          <w:vertAlign w:val="superscript"/>
          <w:rtl/>
        </w:rPr>
        <w:footnoteReference w:id="4240" w:customMarkFollows="0"/>
      </w:r>
      <w:bookmarkEnd w:id="5583"/>
      <w:r>
        <w:rPr>
          <w:rtl/>
        </w:rPr>
        <w:t xml:space="preserve">, המספר </w:t>
      </w:r>
      <w:proofErr w:type="spellStart"/>
      <w:r>
        <w:rPr>
          <w:rtl/>
        </w:rPr>
        <w:t>שליבה־מרים</w:t>
      </w:r>
      <w:proofErr w:type="spellEnd"/>
      <w:r>
        <w:rPr>
          <w:rtl/>
        </w:rPr>
        <w:t xml:space="preserve"> </w:t>
      </w:r>
      <w:proofErr w:type="spellStart"/>
      <w:r>
        <w:rPr>
          <w:rtl/>
        </w:rPr>
        <w:t>גברונסקי</w:t>
      </w:r>
      <w:proofErr w:type="spellEnd"/>
      <w:r>
        <w:rPr>
          <w:rtl/>
        </w:rPr>
        <w:t xml:space="preserve">, בתו של בעל המיליונים שומר המצוות ר׳ </w:t>
      </w:r>
      <w:proofErr w:type="spellStart"/>
      <w:r>
        <w:rPr>
          <w:rtl/>
        </w:rPr>
        <w:t>קלמן־וולף</w:t>
      </w:r>
      <w:proofErr w:type="spellEnd"/>
      <w:r>
        <w:rPr>
          <w:rtl/>
        </w:rPr>
        <w:t xml:space="preserve"> ויסוצקי, רצתה להקים קיבוץ של תלמידים מצטיינים לזכר בעלה ולתמוך בו ביד רחבה. היא באה </w:t>
      </w:r>
      <w:proofErr w:type="spellStart"/>
      <w:r>
        <w:rPr>
          <w:rtl/>
        </w:rPr>
        <w:t>לבריסק</w:t>
      </w:r>
      <w:proofErr w:type="spellEnd"/>
      <w:r>
        <w:rPr>
          <w:rtl/>
        </w:rPr>
        <w:t xml:space="preserve"> </w:t>
      </w:r>
      <w:proofErr w:type="spellStart"/>
      <w:r>
        <w:rPr>
          <w:rtl/>
        </w:rPr>
        <w:t>בתר״ע</w:t>
      </w:r>
      <w:proofErr w:type="spellEnd"/>
      <w:r>
        <w:rPr>
          <w:rtl/>
        </w:rPr>
        <w:t xml:space="preserve"> ושאלה בעצת ר׳ חיים היכן להקימו: </w:t>
      </w:r>
      <w:proofErr w:type="spellStart"/>
      <w:r>
        <w:rPr>
          <w:rtl/>
        </w:rPr>
        <w:t>בבריסק</w:t>
      </w:r>
      <w:proofErr w:type="spellEnd"/>
      <w:r>
        <w:rPr>
          <w:rtl/>
        </w:rPr>
        <w:t xml:space="preserve">, בווילנה או </w:t>
      </w:r>
      <w:proofErr w:type="spellStart"/>
      <w:r>
        <w:rPr>
          <w:rtl/>
        </w:rPr>
        <w:t>בפוניבז</w:t>
      </w:r>
      <w:proofErr w:type="spellEnd"/>
      <w:r>
        <w:rPr>
          <w:rtl/>
        </w:rPr>
        <w:t xml:space="preserve">׳. ר׳ חיים ערך עמה “חשבון פשוט”: “הצלחתה של ישיבה תלויה בשני גורמים: מקום מתאים ורב מתאים. </w:t>
      </w:r>
      <w:proofErr w:type="spellStart"/>
      <w:r>
        <w:rPr>
          <w:rtl/>
        </w:rPr>
        <w:t>בריסק</w:t>
      </w:r>
      <w:proofErr w:type="spellEnd"/>
      <w:r>
        <w:rPr>
          <w:rtl/>
        </w:rPr>
        <w:t xml:space="preserve">, אף שהיא מקום מתאים, אין לה רב מתאים [הוא עצמו!]; לווילנה יש רב מתאים [ר׳ </w:t>
      </w:r>
      <w:proofErr w:type="spellStart"/>
      <w:r>
        <w:rPr>
          <w:rtl/>
        </w:rPr>
        <w:t>חיים־עוזר</w:t>
      </w:r>
      <w:proofErr w:type="spellEnd"/>
      <w:r>
        <w:rPr>
          <w:rtl/>
        </w:rPr>
        <w:t xml:space="preserve"> </w:t>
      </w:r>
      <w:proofErr w:type="spellStart"/>
      <w:r>
        <w:rPr>
          <w:rtl/>
        </w:rPr>
        <w:t>גרודזנסקי</w:t>
      </w:r>
      <w:proofErr w:type="spellEnd"/>
      <w:r>
        <w:rPr>
          <w:rtl/>
        </w:rPr>
        <w:t>], אבל היא אינה מקום מתאים [מפני שהיא עיר גדולה ובה משכילים רבים</w:t>
      </w:r>
      <w:bookmarkStart w:id="5584" w:name="_fnr4231"/>
      <w:r>
        <w:rPr>
          <w:vertAlign w:val="superscript"/>
          <w:rtl/>
        </w:rPr>
        <w:footnoteReference w:id="4241" w:customMarkFollows="0"/>
      </w:r>
      <w:bookmarkEnd w:id="5584"/>
      <w:r>
        <w:rPr>
          <w:rtl/>
        </w:rPr>
        <w:t xml:space="preserve"> והסחות דעת]; ואילו </w:t>
      </w:r>
      <w:proofErr w:type="spellStart"/>
      <w:r>
        <w:rPr>
          <w:rtl/>
        </w:rPr>
        <w:t>פוניבז</w:t>
      </w:r>
      <w:proofErr w:type="spellEnd"/>
      <w:r>
        <w:rPr>
          <w:rtl/>
        </w:rPr>
        <w:t xml:space="preserve">׳ [שר׳ </w:t>
      </w:r>
      <w:proofErr w:type="spellStart"/>
      <w:r>
        <w:rPr>
          <w:rtl/>
        </w:rPr>
        <w:t>איצל׳ה</w:t>
      </w:r>
      <w:proofErr w:type="spellEnd"/>
      <w:r>
        <w:rPr>
          <w:rtl/>
        </w:rPr>
        <w:t xml:space="preserve"> </w:t>
      </w:r>
      <w:proofErr w:type="spellStart"/>
      <w:r>
        <w:rPr>
          <w:rtl/>
        </w:rPr>
        <w:t>רבינוביץ</w:t>
      </w:r>
      <w:proofErr w:type="spellEnd"/>
      <w:r>
        <w:rPr>
          <w:rtl/>
        </w:rPr>
        <w:t xml:space="preserve"> היה רבה] מקיימת את שתי הדרישות”.</w:t>
      </w:r>
    </w:p>
    <w:p w14:paraId="1EB9E318" w14:textId="77777777" w:rsidR="00AB3647" w:rsidRDefault="00000000" w:rsidP="007923E9">
      <w:pPr>
        <w:spacing w:after="120" w:line="276" w:lineRule="auto"/>
        <w:ind w:firstLine="283"/>
        <w:jc w:val="both"/>
      </w:pPr>
      <w:r>
        <w:rPr>
          <w:rtl/>
        </w:rPr>
        <w:lastRenderedPageBreak/>
        <w:t xml:space="preserve">אבי סיפר שגיסה של </w:t>
      </w:r>
      <w:proofErr w:type="spellStart"/>
      <w:r>
        <w:rPr>
          <w:rtl/>
        </w:rPr>
        <w:t>גברונסקי</w:t>
      </w:r>
      <w:proofErr w:type="spellEnd"/>
      <w:r>
        <w:rPr>
          <w:rtl/>
        </w:rPr>
        <w:t xml:space="preserve">, ר׳ </w:t>
      </w:r>
      <w:proofErr w:type="spellStart"/>
      <w:r>
        <w:rPr>
          <w:rtl/>
        </w:rPr>
        <w:t>רפאל־שלמה</w:t>
      </w:r>
      <w:proofErr w:type="spellEnd"/>
      <w:r>
        <w:rPr>
          <w:rtl/>
        </w:rPr>
        <w:t xml:space="preserve"> גוץ, נסע אז </w:t>
      </w:r>
      <w:proofErr w:type="spellStart"/>
      <w:r>
        <w:rPr>
          <w:rtl/>
        </w:rPr>
        <w:t>לפוניבז</w:t>
      </w:r>
      <w:proofErr w:type="spellEnd"/>
      <w:r>
        <w:rPr>
          <w:rtl/>
        </w:rPr>
        <w:t xml:space="preserve">׳ והודיע </w:t>
      </w:r>
      <w:proofErr w:type="spellStart"/>
      <w:r>
        <w:rPr>
          <w:rtl/>
        </w:rPr>
        <w:t>לר</w:t>
      </w:r>
      <w:proofErr w:type="spellEnd"/>
      <w:r>
        <w:rPr>
          <w:rtl/>
        </w:rPr>
        <w:t xml:space="preserve">׳ </w:t>
      </w:r>
      <w:proofErr w:type="spellStart"/>
      <w:r>
        <w:rPr>
          <w:rtl/>
        </w:rPr>
        <w:t>איצל׳ה</w:t>
      </w:r>
      <w:proofErr w:type="spellEnd"/>
      <w:r>
        <w:rPr>
          <w:rtl/>
        </w:rPr>
        <w:t xml:space="preserve"> שיוכל לקבל מספר מסוים של בחורים ולהקים קיבוץ, ושמשפחת ויסוצקי תתמוך בו ביד רחבה</w:t>
      </w:r>
      <w:bookmarkStart w:id="5585" w:name="_fnr4232"/>
      <w:r>
        <w:rPr>
          <w:vertAlign w:val="superscript"/>
          <w:rtl/>
        </w:rPr>
        <w:footnoteReference w:id="4242" w:customMarkFollows="0"/>
      </w:r>
      <w:bookmarkEnd w:id="5585"/>
      <w:r>
        <w:rPr>
          <w:rtl/>
        </w:rPr>
        <w:t xml:space="preserve">. “זאת אני זוכר בעצמי, מפני שכבר הייתי אז </w:t>
      </w:r>
      <w:proofErr w:type="spellStart"/>
      <w:r>
        <w:rPr>
          <w:rtl/>
        </w:rPr>
        <w:t>בחור׳ל</w:t>
      </w:r>
      <w:proofErr w:type="spellEnd"/>
      <w:r>
        <w:rPr>
          <w:rtl/>
        </w:rPr>
        <w:t xml:space="preserve"> בולט”, אמר רבנו – זה עתה מלאו לאבי עשרים שנה. הוא הוסיף: “ר׳ </w:t>
      </w:r>
      <w:proofErr w:type="spellStart"/>
      <w:r>
        <w:rPr>
          <w:rtl/>
        </w:rPr>
        <w:t>יעקב־יצחק</w:t>
      </w:r>
      <w:proofErr w:type="spellEnd"/>
      <w:r>
        <w:rPr>
          <w:rtl/>
        </w:rPr>
        <w:t xml:space="preserve"> </w:t>
      </w:r>
      <w:proofErr w:type="spellStart"/>
      <w:r>
        <w:rPr>
          <w:rtl/>
        </w:rPr>
        <w:t>רודרמן</w:t>
      </w:r>
      <w:proofErr w:type="spellEnd"/>
      <w:r>
        <w:rPr>
          <w:rtl/>
        </w:rPr>
        <w:t xml:space="preserve"> רצה ללכת לשם” – כעבור חמש שנים, בזמן מלחמת העולם – “אבל הסבא לא הניח לו. היו שם </w:t>
      </w:r>
      <w:proofErr w:type="spellStart"/>
      <w:r>
        <w:rPr>
          <w:rtl/>
        </w:rPr>
        <w:t>וואוילע</w:t>
      </w:r>
      <w:proofErr w:type="spellEnd"/>
      <w:r>
        <w:rPr>
          <w:rtl/>
        </w:rPr>
        <w:t xml:space="preserve"> בחורים [בחורים טובים]”. כשסיפר על כך אבי, הוסיף: “ויסוצקי, א גביר אדיר [עשיר מופלג] ותושב מוסקבה מפורסם, שבא </w:t>
      </w:r>
      <w:proofErr w:type="spellStart"/>
      <w:r>
        <w:rPr>
          <w:rtl/>
        </w:rPr>
        <w:t>מזאגר</w:t>
      </w:r>
      <w:proofErr w:type="spellEnd"/>
      <w:r>
        <w:rPr>
          <w:rtl/>
        </w:rPr>
        <w:t xml:space="preserve">, עיירתו של ר׳ ישראל </w:t>
      </w:r>
      <w:proofErr w:type="spellStart"/>
      <w:r>
        <w:rPr>
          <w:rtl/>
        </w:rPr>
        <w:t>סלנטר</w:t>
      </w:r>
      <w:proofErr w:type="spellEnd"/>
      <w:r>
        <w:rPr>
          <w:rtl/>
        </w:rPr>
        <w:t>, נטה למוסר</w:t>
      </w:r>
      <w:bookmarkStart w:id="5586" w:name="_fnr4233"/>
      <w:r>
        <w:rPr>
          <w:vertAlign w:val="superscript"/>
          <w:rtl/>
        </w:rPr>
        <w:footnoteReference w:id="4243" w:customMarkFollows="0"/>
      </w:r>
      <w:bookmarkEnd w:id="5586"/>
      <w:r>
        <w:rPr>
          <w:rtl/>
        </w:rPr>
        <w:t xml:space="preserve">. אבל אנשי המוסר לא ידעו כיצד להסתייע בו, ולבסוף אחד העם [שם העט של ההוגה הציוני החילוני אשר גינזברג מאודסה], שהיה א </w:t>
      </w:r>
      <w:proofErr w:type="spellStart"/>
      <w:r>
        <w:rPr>
          <w:rtl/>
        </w:rPr>
        <w:t>גרעסערער</w:t>
      </w:r>
      <w:proofErr w:type="spellEnd"/>
      <w:r>
        <w:rPr>
          <w:rtl/>
        </w:rPr>
        <w:t xml:space="preserve"> בריה [בעל יכולת רבה יותר], שכנע את ויסוצקי לממן את פרסום כתביו הציוניים</w:t>
      </w:r>
      <w:bookmarkStart w:id="5587" w:name="_fnr4234"/>
      <w:r>
        <w:rPr>
          <w:vertAlign w:val="superscript"/>
          <w:rtl/>
        </w:rPr>
        <w:footnoteReference w:id="4244" w:customMarkFollows="0"/>
      </w:r>
      <w:bookmarkEnd w:id="5587"/>
      <w:r>
        <w:rPr>
          <w:rtl/>
        </w:rPr>
        <w:t>”.</w:t>
      </w:r>
    </w:p>
    <w:p w14:paraId="5C49D793" w14:textId="77777777" w:rsidR="00AB3647" w:rsidRDefault="00000000" w:rsidP="007923E9">
      <w:pPr>
        <w:spacing w:after="120" w:line="276" w:lineRule="auto"/>
        <w:ind w:firstLine="283"/>
        <w:jc w:val="both"/>
      </w:pPr>
      <w:r>
        <w:rPr>
          <w:rtl/>
        </w:rPr>
        <w:t xml:space="preserve">הפרטים הדרמטיים על האופן שבו הסבא “לא הניח </w:t>
      </w:r>
      <w:proofErr w:type="spellStart"/>
      <w:r>
        <w:rPr>
          <w:rtl/>
        </w:rPr>
        <w:t>לר</w:t>
      </w:r>
      <w:proofErr w:type="spellEnd"/>
      <w:r>
        <w:rPr>
          <w:rtl/>
        </w:rPr>
        <w:t xml:space="preserve">׳ </w:t>
      </w:r>
      <w:proofErr w:type="spellStart"/>
      <w:r>
        <w:rPr>
          <w:rtl/>
        </w:rPr>
        <w:t>יעקב־יצחק</w:t>
      </w:r>
      <w:proofErr w:type="spellEnd"/>
      <w:r>
        <w:rPr>
          <w:rtl/>
        </w:rPr>
        <w:t xml:space="preserve"> </w:t>
      </w:r>
      <w:proofErr w:type="spellStart"/>
      <w:r>
        <w:rPr>
          <w:rtl/>
        </w:rPr>
        <w:t>רודרמן</w:t>
      </w:r>
      <w:proofErr w:type="spellEnd"/>
      <w:r>
        <w:rPr>
          <w:rtl/>
        </w:rPr>
        <w:t xml:space="preserve"> ללכת” לקיבוצו של ר׳ </w:t>
      </w:r>
      <w:proofErr w:type="spellStart"/>
      <w:r>
        <w:rPr>
          <w:rtl/>
        </w:rPr>
        <w:t>איצל׳ה</w:t>
      </w:r>
      <w:proofErr w:type="spellEnd"/>
      <w:r>
        <w:rPr>
          <w:rtl/>
        </w:rPr>
        <w:t xml:space="preserve"> </w:t>
      </w:r>
      <w:proofErr w:type="spellStart"/>
      <w:r>
        <w:rPr>
          <w:rtl/>
        </w:rPr>
        <w:t>מפוניבז</w:t>
      </w:r>
      <w:proofErr w:type="spellEnd"/>
      <w:r>
        <w:rPr>
          <w:rtl/>
        </w:rPr>
        <w:t xml:space="preserve">׳ נמסרו מפי ר׳ </w:t>
      </w:r>
      <w:proofErr w:type="spellStart"/>
      <w:r>
        <w:rPr>
          <w:rtl/>
        </w:rPr>
        <w:t>יעקב־יצחק</w:t>
      </w:r>
      <w:proofErr w:type="spellEnd"/>
      <w:r>
        <w:rPr>
          <w:rtl/>
        </w:rPr>
        <w:t xml:space="preserve"> </w:t>
      </w:r>
      <w:proofErr w:type="spellStart"/>
      <w:r>
        <w:rPr>
          <w:rtl/>
        </w:rPr>
        <w:t>רודרמן</w:t>
      </w:r>
      <w:proofErr w:type="spellEnd"/>
      <w:r>
        <w:rPr>
          <w:rtl/>
        </w:rPr>
        <w:t xml:space="preserve"> עצמו</w:t>
      </w:r>
      <w:bookmarkStart w:id="5588" w:name="_fnr4235"/>
      <w:r>
        <w:rPr>
          <w:vertAlign w:val="superscript"/>
          <w:rtl/>
        </w:rPr>
        <w:footnoteReference w:id="4245" w:customMarkFollows="0"/>
      </w:r>
      <w:bookmarkEnd w:id="5588"/>
      <w:r>
        <w:rPr>
          <w:rtl/>
        </w:rPr>
        <w:t xml:space="preserve">. הסבא לקח את </w:t>
      </w:r>
      <w:proofErr w:type="spellStart"/>
      <w:r>
        <w:rPr>
          <w:rtl/>
        </w:rPr>
        <w:t>יעקב־יצחק</w:t>
      </w:r>
      <w:proofErr w:type="spellEnd"/>
      <w:r>
        <w:rPr>
          <w:rtl/>
        </w:rPr>
        <w:t xml:space="preserve">, שהיה אז בן 16, אל חלון הנשקף אל נהר </w:t>
      </w:r>
      <w:proofErr w:type="spellStart"/>
      <w:r>
        <w:rPr>
          <w:rtl/>
        </w:rPr>
        <w:t>סביסלוץ</w:t>
      </w:r>
      <w:proofErr w:type="spellEnd"/>
      <w:r>
        <w:rPr>
          <w:rtl/>
        </w:rPr>
        <w:t xml:space="preserve">׳ המתפתל דרך מינסק, ואמר: “אם אתה רוצה להתאבד, אתה יכול לקפוץ לנהר ממש כאן. למה לנסוע </w:t>
      </w:r>
      <w:proofErr w:type="spellStart"/>
      <w:r>
        <w:rPr>
          <w:rtl/>
        </w:rPr>
        <w:t>ללוצ׳ין</w:t>
      </w:r>
      <w:bookmarkStart w:id="5589" w:name="_fnr4236"/>
      <w:proofErr w:type="spellEnd"/>
      <w:r>
        <w:rPr>
          <w:vertAlign w:val="superscript"/>
          <w:rtl/>
        </w:rPr>
        <w:footnoteReference w:id="4246" w:customMarkFollows="0"/>
      </w:r>
      <w:bookmarkEnd w:id="5589"/>
      <w:r>
        <w:rPr>
          <w:rtl/>
        </w:rPr>
        <w:t xml:space="preserve">?” ור׳ </w:t>
      </w:r>
      <w:proofErr w:type="spellStart"/>
      <w:r>
        <w:rPr>
          <w:rtl/>
        </w:rPr>
        <w:t>יעקב־יצחק</w:t>
      </w:r>
      <w:proofErr w:type="spellEnd"/>
      <w:r>
        <w:rPr>
          <w:rtl/>
        </w:rPr>
        <w:t xml:space="preserve"> ביטל את תוכניתו. פעם בא אחד מחברי אותה קבוצה לבקר את ר׳ </w:t>
      </w:r>
      <w:proofErr w:type="spellStart"/>
      <w:r>
        <w:rPr>
          <w:rtl/>
        </w:rPr>
        <w:t>יעקב־יצחק</w:t>
      </w:r>
      <w:proofErr w:type="spellEnd"/>
      <w:r>
        <w:rPr>
          <w:rtl/>
        </w:rPr>
        <w:t xml:space="preserve"> </w:t>
      </w:r>
      <w:proofErr w:type="spellStart"/>
      <w:r>
        <w:rPr>
          <w:rtl/>
        </w:rPr>
        <w:t>רודרמן</w:t>
      </w:r>
      <w:proofErr w:type="spellEnd"/>
      <w:r>
        <w:rPr>
          <w:rtl/>
        </w:rPr>
        <w:t xml:space="preserve"> בליל שבת, ובידו חידושי התורה שלו. כששאל אותו ר׳ </w:t>
      </w:r>
      <w:proofErr w:type="spellStart"/>
      <w:r>
        <w:rPr>
          <w:rtl/>
        </w:rPr>
        <w:t>יעקב־יצחק</w:t>
      </w:r>
      <w:proofErr w:type="spellEnd"/>
      <w:r>
        <w:rPr>
          <w:rtl/>
        </w:rPr>
        <w:t xml:space="preserve"> מה הביאו לחלל את השבת בנשיאת הדפים, השיב המבקר בכעס שהוא הטוב שבחבריו, שכן לפחות הוא עדיין לומד “תורה”</w:t>
      </w:r>
      <w:bookmarkStart w:id="5590" w:name="_fnr4237"/>
      <w:r>
        <w:rPr>
          <w:vertAlign w:val="superscript"/>
          <w:rtl/>
        </w:rPr>
        <w:footnoteReference w:id="4247" w:customMarkFollows="0"/>
      </w:r>
      <w:bookmarkEnd w:id="5590"/>
      <w:r>
        <w:rPr>
          <w:rtl/>
        </w:rPr>
        <w:t>.</w:t>
      </w:r>
    </w:p>
    <w:p w14:paraId="17E003A9" w14:textId="77777777" w:rsidR="00AB3647" w:rsidRDefault="00000000" w:rsidP="007923E9">
      <w:pPr>
        <w:spacing w:after="120" w:line="276" w:lineRule="auto"/>
        <w:ind w:firstLine="283"/>
        <w:jc w:val="both"/>
      </w:pPr>
      <w:r>
        <w:rPr>
          <w:rtl/>
        </w:rPr>
        <w:t xml:space="preserve">עצת הסבא לתלמידו שלא להצטרף לקיבוץ התבססה בבירור על הבחנתו הנכונה שר׳ </w:t>
      </w:r>
      <w:proofErr w:type="spellStart"/>
      <w:r>
        <w:rPr>
          <w:rtl/>
        </w:rPr>
        <w:t>איצל׳ה</w:t>
      </w:r>
      <w:proofErr w:type="spellEnd"/>
      <w:r>
        <w:rPr>
          <w:rtl/>
        </w:rPr>
        <w:t xml:space="preserve"> – למרות שיעוריו המעולים וצדקותו האישית – לא יוכל לתת לתלמידיו את ההכוונה שנזקקו לה כדי לנווט את דרכם בזמנים הסוערים ההם. עצת ר׳ חיים למשפחת ויסוצקי, מיהו </w:t>
      </w:r>
      <w:r>
        <w:rPr>
          <w:rtl/>
        </w:rPr>
        <w:lastRenderedPageBreak/>
        <w:t>“רב מתאים” לעמוד בראש קיבוצם, הייתה לקויה בבירור</w:t>
      </w:r>
      <w:bookmarkStart w:id="5591" w:name="_fnr4238"/>
      <w:r>
        <w:rPr>
          <w:vertAlign w:val="superscript"/>
          <w:rtl/>
        </w:rPr>
        <w:footnoteReference w:id="4248" w:customMarkFollows="0"/>
      </w:r>
      <w:bookmarkEnd w:id="5591"/>
      <w:r>
        <w:rPr>
          <w:rtl/>
        </w:rPr>
        <w:t>. אין זה בלתי סביר שר׳ חיים ראה את עצמו “בלתי מתאים” (לעמוד בראש ישיבה) לא מתוך ענווה, אלא מתוך הכרה ברורה באופיו ובחסרונותיו שלו.</w:t>
      </w:r>
    </w:p>
    <w:p w14:paraId="07F93B65" w14:textId="77777777" w:rsidR="00AB3647" w:rsidRDefault="00000000" w:rsidP="007923E9">
      <w:pPr>
        <w:spacing w:after="120" w:line="276" w:lineRule="auto"/>
        <w:ind w:firstLine="283"/>
        <w:jc w:val="both"/>
      </w:pPr>
      <w:r>
        <w:rPr>
          <w:rtl/>
        </w:rPr>
        <w:t xml:space="preserve">אשר לשאלה מי צריך לרשת את </w:t>
      </w:r>
      <w:proofErr w:type="spellStart"/>
      <w:r>
        <w:rPr>
          <w:rtl/>
        </w:rPr>
        <w:t>הנצי״ב</w:t>
      </w:r>
      <w:proofErr w:type="spellEnd"/>
      <w:r>
        <w:rPr>
          <w:rtl/>
        </w:rPr>
        <w:t xml:space="preserve"> בראשות ישיבת </w:t>
      </w:r>
      <w:proofErr w:type="spellStart"/>
      <w:r>
        <w:rPr>
          <w:rtl/>
        </w:rPr>
        <w:t>וולוז׳ין</w:t>
      </w:r>
      <w:proofErr w:type="spellEnd"/>
      <w:r>
        <w:rPr>
          <w:rtl/>
        </w:rPr>
        <w:t xml:space="preserve">: מעשה המובא </w:t>
      </w:r>
      <w:proofErr w:type="spellStart"/>
      <w:r>
        <w:rPr>
          <w:rtl/>
        </w:rPr>
        <w:t>ב“מרן</w:t>
      </w:r>
      <w:proofErr w:type="spellEnd"/>
      <w:r>
        <w:rPr>
          <w:rtl/>
        </w:rPr>
        <w:t xml:space="preserve"> הרב קוק זצ״ל”, מאת הרב זאב אריה </w:t>
      </w:r>
      <w:proofErr w:type="spellStart"/>
      <w:r>
        <w:rPr>
          <w:rtl/>
        </w:rPr>
        <w:t>רבינר</w:t>
      </w:r>
      <w:bookmarkStart w:id="5592" w:name="_fnr4239"/>
      <w:proofErr w:type="spellEnd"/>
      <w:r>
        <w:rPr>
          <w:vertAlign w:val="superscript"/>
          <w:rtl/>
        </w:rPr>
        <w:footnoteReference w:id="4249" w:customMarkFollows="0"/>
      </w:r>
      <w:bookmarkEnd w:id="5592"/>
      <w:r>
        <w:rPr>
          <w:rtl/>
        </w:rPr>
        <w:t xml:space="preserve">, מלמד שר׳ חיים ברלין עצמו ידע שאינו משתווה </w:t>
      </w:r>
      <w:proofErr w:type="spellStart"/>
      <w:r>
        <w:rPr>
          <w:rtl/>
        </w:rPr>
        <w:t>לר</w:t>
      </w:r>
      <w:proofErr w:type="spellEnd"/>
      <w:r>
        <w:rPr>
          <w:rtl/>
        </w:rPr>
        <w:t xml:space="preserve">׳ חיים </w:t>
      </w:r>
      <w:proofErr w:type="spellStart"/>
      <w:r>
        <w:rPr>
          <w:rtl/>
        </w:rPr>
        <w:t>סולובייצ׳יק</w:t>
      </w:r>
      <w:proofErr w:type="spellEnd"/>
      <w:r>
        <w:rPr>
          <w:rtl/>
        </w:rPr>
        <w:t xml:space="preserve"> בלמדנות. בשמחת תורה הרים ר׳ חיים ברלין את ר׳ חיים </w:t>
      </w:r>
      <w:proofErr w:type="spellStart"/>
      <w:r>
        <w:rPr>
          <w:rtl/>
        </w:rPr>
        <w:t>סולובייצ׳יק</w:t>
      </w:r>
      <w:proofErr w:type="spellEnd"/>
      <w:r>
        <w:rPr>
          <w:rtl/>
        </w:rPr>
        <w:t xml:space="preserve"> על כתפיו והכריז לפני התלמידים: “אתם [הרוקדים כשספרי תורה בידיכם] רוקדים עם תורה שבכתב; אני רוקד עם תורה שבעל פה!”</w:t>
      </w:r>
      <w:bookmarkStart w:id="5593" w:name="_fnr4240"/>
      <w:r>
        <w:rPr>
          <w:vertAlign w:val="superscript"/>
          <w:rtl/>
        </w:rPr>
        <w:footnoteReference w:id="4250" w:customMarkFollows="0"/>
      </w:r>
      <w:bookmarkEnd w:id="5593"/>
    </w:p>
    <w:p w14:paraId="7F6852BA" w14:textId="3907A247" w:rsidR="00AB3647" w:rsidRDefault="00000000" w:rsidP="007923E9">
      <w:pPr>
        <w:spacing w:after="120" w:line="276" w:lineRule="auto"/>
        <w:ind w:firstLine="283"/>
        <w:jc w:val="both"/>
      </w:pPr>
      <w:r>
        <w:rPr>
          <w:rtl/>
        </w:rPr>
        <w:t xml:space="preserve">במחלוקת שפרצה </w:t>
      </w:r>
      <w:proofErr w:type="spellStart"/>
      <w:r>
        <w:rPr>
          <w:rtl/>
        </w:rPr>
        <w:t>בתרי״ז</w:t>
      </w:r>
      <w:proofErr w:type="spellEnd"/>
      <w:r>
        <w:rPr>
          <w:rtl/>
        </w:rPr>
        <w:t xml:space="preserve"> בין אביו של ר׳ חיים ברלין, </w:t>
      </w:r>
      <w:proofErr w:type="spellStart"/>
      <w:r>
        <w:rPr>
          <w:rtl/>
        </w:rPr>
        <w:t>הנצי״ב</w:t>
      </w:r>
      <w:proofErr w:type="spellEnd"/>
      <w:r>
        <w:rPr>
          <w:rtl/>
        </w:rPr>
        <w:t xml:space="preserve">, לבין אביו של ר׳ חיים </w:t>
      </w:r>
      <w:proofErr w:type="spellStart"/>
      <w:r>
        <w:rPr>
          <w:rtl/>
        </w:rPr>
        <w:t>סולובייצ׳יק</w:t>
      </w:r>
      <w:proofErr w:type="spellEnd"/>
      <w:r>
        <w:rPr>
          <w:rtl/>
        </w:rPr>
        <w:t xml:space="preserve">, ר׳ </w:t>
      </w:r>
      <w:proofErr w:type="spellStart"/>
      <w:r>
        <w:rPr>
          <w:rtl/>
        </w:rPr>
        <w:t xml:space="preserve">יושע־בער</w:t>
      </w:r>
      <w:proofErr w:type="spellEnd"/>
      <w:r>
        <w:rPr>
          <w:rtl/>
        </w:rPr>
        <w:t xml:space="preserve">, על מעמדם בישיבת </w:t>
      </w:r>
      <w:proofErr w:type="spellStart"/>
      <w:r>
        <w:rPr>
          <w:rtl/>
        </w:rPr>
        <w:t>וולוז׳ין</w:t>
      </w:r>
      <w:proofErr w:type="spellEnd"/>
      <w:r>
        <w:rPr>
          <w:rtl/>
        </w:rPr>
        <w:t xml:space="preserve">, גם </w:t>
      </w:r>
      <w:proofErr w:type="spellStart"/>
      <w:r>
        <w:rPr>
          <w:rtl/>
        </w:rPr>
        <w:t>הנצי״ב</w:t>
      </w:r>
      <w:proofErr w:type="spellEnd"/>
      <w:r>
        <w:rPr>
          <w:rtl/>
        </w:rPr>
        <w:t xml:space="preserve"> לא פקפק בעליונותו של ר׳ </w:t>
      </w:r>
      <w:proofErr w:type="spellStart"/>
      <w:r>
        <w:rPr>
          <w:rtl/>
        </w:rPr>
        <w:t xml:space="preserve">יושע־בער</w:t>
      </w:r>
      <w:proofErr w:type="spellEnd"/>
      <w:r>
        <w:rPr>
          <w:rtl/>
        </w:rPr>
        <w:t xml:space="preserve"> במסירת שיעורים. ראה “הראשון לשושלת </w:t>
      </w:r>
      <w:proofErr w:type="spellStart"/>
      <w:r>
        <w:rPr>
          <w:rtl/>
        </w:rPr>
        <w:t>בריסק</w:t>
      </w:r>
      <w:proofErr w:type="spellEnd"/>
      <w:r>
        <w:rPr>
          <w:rtl/>
        </w:rPr>
        <w:t>”</w:t>
      </w:r>
      <w:bookmarkStart w:id="5594" w:name="_fnr4241"/>
      <w:r>
        <w:rPr>
          <w:vertAlign w:val="superscript"/>
          <w:rtl/>
        </w:rPr>
        <w:footnoteReference w:id="4251" w:customMarkFollows="0"/>
      </w:r>
      <w:bookmarkEnd w:id="5594"/>
      <w:r>
        <w:rPr>
          <w:rtl/>
        </w:rPr>
        <w:t xml:space="preserve">: </w:t>
      </w:r>
      <w:proofErr w:type="spellStart"/>
      <w:r>
        <w:rPr>
          <w:rtl/>
        </w:rPr>
        <w:t>הנצי״ב</w:t>
      </w:r>
      <w:proofErr w:type="spellEnd"/>
      <w:r>
        <w:rPr>
          <w:rtl/>
        </w:rPr>
        <w:t xml:space="preserve"> עצמו נכח בשיעורי ר׳ </w:t>
      </w:r>
      <w:proofErr w:type="spellStart"/>
      <w:r>
        <w:rPr>
          <w:rtl/>
        </w:rPr>
        <w:t xml:space="preserve">יושע־בער</w:t>
      </w:r>
      <w:proofErr w:type="spellEnd"/>
      <w:r>
        <w:rPr>
          <w:rtl/>
        </w:rPr>
        <w:t xml:space="preserve"> בקדשים, ואף גער בבחורים שנעדרו מהם, באומרו: “אני מתפלא שאינכם באים לשמוע את ר׳ </w:t>
      </w:r>
      <w:proofErr w:type="spellStart"/>
      <w:r>
        <w:rPr>
          <w:rtl/>
        </w:rPr>
        <w:t xml:space="preserve">יושע־בער</w:t>
      </w:r>
      <w:proofErr w:type="spellEnd"/>
      <w:r>
        <w:rPr>
          <w:rtl/>
        </w:rPr>
        <w:t xml:space="preserve">; הוא אומר שיעורים טובים כל כך, שתענוג אמיתי לשמוע אותו”. השווה גם לפסקה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w:t>
      </w:r>
      <w:proofErr w:type="spellStart"/>
      <w:r>
        <w:rPr>
          <w:rtl/>
        </w:rPr>
        <w:t>הנצי״ב</w:t>
      </w:r>
      <w:proofErr w:type="spellEnd"/>
      <w:r>
        <w:rPr>
          <w:rtl/>
        </w:rPr>
        <w:t xml:space="preserve"> העריך גם את הצטרפות ר׳ חיים </w:t>
      </w:r>
      <w:proofErr w:type="spellStart"/>
      <w:r>
        <w:rPr>
          <w:rtl/>
        </w:rPr>
        <w:t>סולובייצ׳יק</w:t>
      </w:r>
      <w:proofErr w:type="spellEnd"/>
      <w:r>
        <w:rPr>
          <w:rtl/>
        </w:rPr>
        <w:t xml:space="preserve"> לצוות </w:t>
      </w:r>
      <w:proofErr w:type="spellStart"/>
      <w:r>
        <w:rPr>
          <w:rtl/>
        </w:rPr>
        <w:t>וולוז׳ין</w:t>
      </w:r>
      <w:proofErr w:type="spellEnd"/>
      <w:r>
        <w:rPr>
          <w:rtl/>
        </w:rPr>
        <w:t xml:space="preserve">, והמעיט בחשיבות התנגדותם הראשונית של התלמידים המבוגרים למינויו – אם כי ייתכן שהיה </w:t>
      </w:r>
      <w:proofErr w:type="spellStart"/>
      <w:r>
        <w:rPr>
          <w:rtl/>
        </w:rPr>
        <w:t>לנצי״ב</w:t>
      </w:r>
      <w:proofErr w:type="spellEnd"/>
      <w:r>
        <w:rPr>
          <w:rtl/>
        </w:rPr>
        <w:t xml:space="preserve"> מניע נסתר בתמיכתו החזקה, כפי שהוצע באותו נספח.</w:t>
      </w:r>
    </w:p>
    <w:p w14:paraId="603A9CE2" w14:textId="77777777" w:rsidR="00AB3647" w:rsidRDefault="00000000" w:rsidP="007923E9">
      <w:pPr>
        <w:spacing w:after="120" w:line="276" w:lineRule="auto"/>
        <w:ind w:firstLine="283"/>
        <w:jc w:val="both"/>
      </w:pPr>
      <w:r>
        <w:rPr>
          <w:rtl/>
        </w:rPr>
        <w:t>סביר אפוא שהתנגדות בני משפחת ברלין לכך שר׳ חיים יהיה ראש הישיבה לא הייתה אישית, אלא נבעה מהרגשתם שאינו מתאים לתפקיד, משום שחסרו לו אז כישורי מנהיגות. את זאת לא יכלו התלמידים להבין בצעירותם.</w:t>
      </w:r>
    </w:p>
    <w:p w14:paraId="43A178EC" w14:textId="77777777" w:rsidR="00AB3647" w:rsidRDefault="00000000" w:rsidP="007923E9">
      <w:pPr>
        <w:pStyle w:val="4"/>
        <w:spacing w:line="276" w:lineRule="auto"/>
      </w:pPr>
      <w:r>
        <w:t>· הפסקה השנייה ·</w:t>
      </w:r>
    </w:p>
    <w:p w14:paraId="24A8C203" w14:textId="77777777" w:rsidR="00AB3647" w:rsidRDefault="00000000" w:rsidP="007923E9">
      <w:pPr>
        <w:pStyle w:val="5"/>
        <w:spacing w:line="276" w:lineRule="auto"/>
      </w:pPr>
      <w:r>
        <w:rPr>
          <w:bCs/>
          <w:szCs w:val="26"/>
        </w:rPr>
        <w:t xml:space="preserve">סוג מסוים של מהומה חוזר </w:t>
      </w:r>
      <w:proofErr w:type="spellStart"/>
      <w:r>
        <w:rPr>
          <w:bCs/>
          <w:szCs w:val="26"/>
        </w:rPr>
        <w:t>בוולוז׳ין</w:t>
      </w:r>
      <w:proofErr w:type="spellEnd"/>
      <w:r>
        <w:rPr>
          <w:bCs/>
          <w:szCs w:val="26"/>
        </w:rPr>
        <w:t xml:space="preserve"> – ר׳ </w:t>
      </w:r>
      <w:proofErr w:type="spellStart"/>
      <w:r>
        <w:rPr>
          <w:bCs/>
          <w:szCs w:val="26"/>
        </w:rPr>
        <w:t>יהושע־העשיל</w:t>
      </w:r>
      <w:proofErr w:type="spellEnd"/>
      <w:r>
        <w:rPr>
          <w:bCs/>
          <w:szCs w:val="26"/>
        </w:rPr>
        <w:t xml:space="preserve"> לוין תובע מן </w:t>
      </w:r>
      <w:proofErr w:type="spellStart"/>
      <w:r>
        <w:rPr>
          <w:bCs/>
          <w:szCs w:val="26"/>
        </w:rPr>
        <w:t>הנצי״ב</w:t>
      </w:r>
      <w:proofErr w:type="spellEnd"/>
      <w:r>
        <w:rPr>
          <w:bCs/>
          <w:szCs w:val="26"/>
        </w:rPr>
        <w:t xml:space="preserve"> את כס הישיבה – ר׳ </w:t>
      </w:r>
      <w:proofErr w:type="spellStart"/>
      <w:r>
        <w:rPr>
          <w:bCs/>
          <w:szCs w:val="26"/>
        </w:rPr>
        <w:t>יהושע־העשיל</w:t>
      </w:r>
      <w:proofErr w:type="spellEnd"/>
      <w:r>
        <w:rPr>
          <w:bCs/>
          <w:szCs w:val="26"/>
        </w:rPr>
        <w:t xml:space="preserve"> לוין עוזב את </w:t>
      </w:r>
      <w:proofErr w:type="spellStart"/>
      <w:r>
        <w:rPr>
          <w:bCs/>
          <w:szCs w:val="26"/>
        </w:rPr>
        <w:t>וולוז׳ין</w:t>
      </w:r>
      <w:proofErr w:type="spellEnd"/>
      <w:r>
        <w:rPr>
          <w:bCs/>
          <w:szCs w:val="26"/>
        </w:rPr>
        <w:t xml:space="preserve"> בפתאומיות – לבסוף מכהן בפריז.</w:t>
      </w:r>
    </w:p>
    <w:p w14:paraId="7927C37B" w14:textId="77777777" w:rsidR="00AB3647" w:rsidRDefault="00000000" w:rsidP="007923E9">
      <w:pPr>
        <w:spacing w:after="120" w:line="276" w:lineRule="auto"/>
        <w:ind w:firstLine="283"/>
        <w:jc w:val="both"/>
      </w:pPr>
      <w:r>
        <w:rPr>
          <w:rtl/>
        </w:rPr>
        <w:t>מעניין שאותן “</w:t>
      </w:r>
      <w:proofErr w:type="spellStart"/>
      <w:r>
        <w:rPr>
          <w:rtl/>
        </w:rPr>
        <w:t>הופקות</w:t>
      </w:r>
      <w:proofErr w:type="spellEnd"/>
      <w:r>
        <w:rPr>
          <w:rtl/>
        </w:rPr>
        <w:t xml:space="preserve">” שהיו </w:t>
      </w:r>
      <w:proofErr w:type="spellStart"/>
      <w:r>
        <w:rPr>
          <w:rtl/>
        </w:rPr>
        <w:t>בטלז</w:t>
      </w:r>
      <w:proofErr w:type="spellEnd"/>
      <w:r>
        <w:rPr>
          <w:rtl/>
        </w:rPr>
        <w:t xml:space="preserve"> כבר נעשו 45 שנה קודם לכן, </w:t>
      </w:r>
      <w:proofErr w:type="spellStart"/>
      <w:r>
        <w:rPr>
          <w:rtl/>
        </w:rPr>
        <w:t>בתרי״ד</w:t>
      </w:r>
      <w:proofErr w:type="spellEnd"/>
      <w:r>
        <w:rPr>
          <w:rtl/>
        </w:rPr>
        <w:t xml:space="preserve">, נגד </w:t>
      </w:r>
      <w:proofErr w:type="spellStart"/>
      <w:r>
        <w:rPr>
          <w:rtl/>
        </w:rPr>
        <w:t>הנצי״ב</w:t>
      </w:r>
      <w:proofErr w:type="spellEnd"/>
      <w:r>
        <w:rPr>
          <w:rtl/>
        </w:rPr>
        <w:t xml:space="preserve">, שהיה אז צעיר, במרד בהנהגתו לטובת אחיין אשתו, בן גילו ר׳ </w:t>
      </w:r>
      <w:proofErr w:type="spellStart"/>
      <w:r>
        <w:rPr>
          <w:rtl/>
        </w:rPr>
        <w:t>יהושע־העשיל</w:t>
      </w:r>
      <w:proofErr w:type="spellEnd"/>
      <w:r>
        <w:rPr>
          <w:rtl/>
        </w:rPr>
        <w:t xml:space="preserve"> לוין, חתנו של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(בן ר׳ חיים </w:t>
      </w:r>
      <w:proofErr w:type="spellStart"/>
      <w:r>
        <w:rPr>
          <w:rtl/>
        </w:rPr>
        <w:t>מוולוז׳ין</w:t>
      </w:r>
      <w:proofErr w:type="spellEnd"/>
      <w:r>
        <w:rPr>
          <w:rtl/>
        </w:rPr>
        <w:t>)</w:t>
      </w:r>
      <w:bookmarkStart w:id="5595" w:name="_fnr4242"/>
      <w:r>
        <w:rPr>
          <w:vertAlign w:val="superscript"/>
          <w:rtl/>
        </w:rPr>
        <w:footnoteReference w:id="4252" w:customMarkFollows="0"/>
      </w:r>
      <w:bookmarkEnd w:id="5595"/>
      <w:r>
        <w:rPr>
          <w:rtl/>
        </w:rPr>
        <w:t>.</w:t>
      </w:r>
    </w:p>
    <w:p w14:paraId="05833016" w14:textId="77777777" w:rsidR="00AB3647" w:rsidRDefault="00000000" w:rsidP="007923E9">
      <w:pPr>
        <w:spacing w:after="120" w:line="276" w:lineRule="auto"/>
        <w:ind w:firstLine="283"/>
        <w:jc w:val="both"/>
      </w:pPr>
      <w:r>
        <w:rPr>
          <w:rtl/>
        </w:rPr>
        <w:lastRenderedPageBreak/>
        <w:t xml:space="preserve">למרבה הפליאה, ר׳ </w:t>
      </w:r>
      <w:proofErr w:type="spellStart"/>
      <w:r>
        <w:rPr>
          <w:rtl/>
        </w:rPr>
        <w:t>יהושע־העשיל</w:t>
      </w:r>
      <w:proofErr w:type="spellEnd"/>
      <w:r>
        <w:rPr>
          <w:rtl/>
        </w:rPr>
        <w:t xml:space="preserve"> לוין טען שהוא ראוי למשרה יותר מן </w:t>
      </w:r>
      <w:proofErr w:type="spellStart"/>
      <w:r>
        <w:rPr>
          <w:rtl/>
        </w:rPr>
        <w:t>הנצי״ב</w:t>
      </w:r>
      <w:proofErr w:type="spellEnd"/>
      <w:r>
        <w:rPr>
          <w:rtl/>
        </w:rPr>
        <w:t xml:space="preserve"> משום שמלבד היותו מבני בית הרב</w:t>
      </w:r>
      <w:bookmarkStart w:id="5596" w:name="_fnr4243"/>
      <w:r>
        <w:rPr>
          <w:vertAlign w:val="superscript"/>
          <w:rtl/>
        </w:rPr>
        <w:footnoteReference w:id="4253" w:customMarkFollows="0"/>
      </w:r>
      <w:bookmarkEnd w:id="5596"/>
      <w:r>
        <w:rPr>
          <w:rtl/>
        </w:rPr>
        <w:t xml:space="preserve">, היה מצאצאי </w:t>
      </w:r>
      <w:proofErr w:type="spellStart"/>
      <w:r>
        <w:rPr>
          <w:rtl/>
        </w:rPr>
        <w:t>המהרש״א</w:t>
      </w:r>
      <w:bookmarkStart w:id="5597" w:name="_fnr4244"/>
      <w:proofErr w:type="spellEnd"/>
      <w:r>
        <w:rPr>
          <w:vertAlign w:val="superscript"/>
          <w:rtl/>
        </w:rPr>
        <w:footnoteReference w:id="4254" w:customMarkFollows="0"/>
      </w:r>
      <w:bookmarkEnd w:id="5597"/>
      <w:r>
        <w:rPr>
          <w:rtl/>
        </w:rPr>
        <w:t xml:space="preserve">! במאמרו של ש״ל </w:t>
      </w:r>
      <w:proofErr w:type="spellStart"/>
      <w:r>
        <w:rPr>
          <w:rtl/>
        </w:rPr>
        <w:t>ציטרון</w:t>
      </w:r>
      <w:proofErr w:type="spellEnd"/>
      <w:r>
        <w:rPr>
          <w:rtl/>
        </w:rPr>
        <w:t xml:space="preserve"> על “מלחמת הדינסטיות” </w:t>
      </w:r>
      <w:proofErr w:type="spellStart"/>
      <w:r>
        <w:rPr>
          <w:rtl/>
        </w:rPr>
        <w:t>בוולוז׳ין</w:t>
      </w:r>
      <w:proofErr w:type="spellEnd"/>
      <w:r>
        <w:rPr>
          <w:rtl/>
        </w:rPr>
        <w:t xml:space="preserve"> נאמר: “ר׳ </w:t>
      </w:r>
      <w:proofErr w:type="spellStart"/>
      <w:r>
        <w:rPr>
          <w:rtl/>
        </w:rPr>
        <w:t>יהושע־העשיל</w:t>
      </w:r>
      <w:proofErr w:type="spellEnd"/>
      <w:r>
        <w:rPr>
          <w:rtl/>
        </w:rPr>
        <w:t xml:space="preserve"> לוין הודיע [למועצה שכינס] שאינו משיג גבול, מפני שהוא בעל ייחוס גדול, מצאצאי ר׳ שמואל </w:t>
      </w:r>
      <w:proofErr w:type="spellStart"/>
      <w:r>
        <w:rPr>
          <w:rtl/>
        </w:rPr>
        <w:t>איידלש</w:t>
      </w:r>
      <w:proofErr w:type="spellEnd"/>
      <w:r>
        <w:rPr>
          <w:rtl/>
        </w:rPr>
        <w:t xml:space="preserve">, </w:t>
      </w:r>
      <w:proofErr w:type="spellStart"/>
      <w:r>
        <w:rPr>
          <w:rtl/>
        </w:rPr>
        <w:t>המהרש״א</w:t>
      </w:r>
      <w:proofErr w:type="spellEnd"/>
      <w:r>
        <w:rPr>
          <w:rtl/>
        </w:rPr>
        <w:t xml:space="preserve">... ויש לו זכויות פי עשרה מן </w:t>
      </w:r>
      <w:proofErr w:type="spellStart"/>
      <w:r>
        <w:rPr>
          <w:rtl/>
        </w:rPr>
        <w:t>הנצי״ב</w:t>
      </w:r>
      <w:proofErr w:type="spellEnd"/>
      <w:r>
        <w:rPr>
          <w:rtl/>
        </w:rPr>
        <w:t>, שאינו בן גדולים כלל, אלא צאצא של אנשים ממעמד נמוך”.</w:t>
      </w:r>
    </w:p>
    <w:p w14:paraId="14D86CC6" w14:textId="77777777" w:rsidR="00AB3647" w:rsidRDefault="00000000" w:rsidP="007923E9">
      <w:pPr>
        <w:spacing w:after="120" w:line="276" w:lineRule="auto"/>
        <w:ind w:firstLine="283"/>
        <w:jc w:val="both"/>
      </w:pPr>
      <w:r>
        <w:rPr>
          <w:rtl/>
        </w:rPr>
        <w:t xml:space="preserve">אולם לדעתי ש״ל </w:t>
      </w:r>
      <w:proofErr w:type="spellStart"/>
      <w:r>
        <w:rPr>
          <w:rtl/>
        </w:rPr>
        <w:t>ציטרון</w:t>
      </w:r>
      <w:proofErr w:type="spellEnd"/>
      <w:r>
        <w:rPr>
          <w:rtl/>
        </w:rPr>
        <w:t xml:space="preserve"> לא הבין נכונה טענה זו של ר׳ </w:t>
      </w:r>
      <w:proofErr w:type="spellStart"/>
      <w:r>
        <w:rPr>
          <w:rtl/>
        </w:rPr>
        <w:t>יהושע־העשיל</w:t>
      </w:r>
      <w:proofErr w:type="spellEnd"/>
      <w:r>
        <w:rPr>
          <w:rtl/>
        </w:rPr>
        <w:t xml:space="preserve">: לא רק מפני שעדיפות ייחוסו אינה נוגעת לעדיפות זכויותיו, אלא מפני שגם </w:t>
      </w:r>
      <w:proofErr w:type="spellStart"/>
      <w:r>
        <w:rPr>
          <w:rtl/>
        </w:rPr>
        <w:t>הנצי״ב</w:t>
      </w:r>
      <w:proofErr w:type="spellEnd"/>
      <w:r>
        <w:rPr>
          <w:rtl/>
        </w:rPr>
        <w:t xml:space="preserve"> היה מצאצאי גדולים – רבנו אלחנן </w:t>
      </w:r>
      <w:proofErr w:type="spellStart"/>
      <w:r>
        <w:rPr>
          <w:rtl/>
        </w:rPr>
        <w:t>מדמפייר</w:t>
      </w:r>
      <w:proofErr w:type="spellEnd"/>
      <w:r>
        <w:rPr>
          <w:rtl/>
        </w:rPr>
        <w:t xml:space="preserve">, אחד מבעלי התוספות שנהרגו על קידוש השם, ור׳ מאיר </w:t>
      </w:r>
      <w:proofErr w:type="spellStart"/>
      <w:r>
        <w:rPr>
          <w:rtl/>
        </w:rPr>
        <w:t>אייזנשטט</w:t>
      </w:r>
      <w:proofErr w:type="spellEnd"/>
      <w:r>
        <w:rPr>
          <w:rtl/>
        </w:rPr>
        <w:t>, בעל שו״ת פנים מאירות</w:t>
      </w:r>
      <w:bookmarkStart w:id="5598" w:name="_fnr4245"/>
      <w:r>
        <w:rPr>
          <w:vertAlign w:val="superscript"/>
          <w:rtl/>
        </w:rPr>
        <w:footnoteReference w:id="4255" w:customMarkFollows="0"/>
      </w:r>
      <w:bookmarkEnd w:id="5598"/>
      <w:r>
        <w:rPr>
          <w:rtl/>
        </w:rPr>
        <w:t xml:space="preserve">. נראה שר׳ </w:t>
      </w:r>
      <w:proofErr w:type="spellStart"/>
      <w:r>
        <w:rPr>
          <w:rtl/>
        </w:rPr>
        <w:t>יהושע־העשיל</w:t>
      </w:r>
      <w:proofErr w:type="spellEnd"/>
      <w:r>
        <w:rPr>
          <w:rtl/>
        </w:rPr>
        <w:t xml:space="preserve"> לוין טען שהישיבה הנוכחית </w:t>
      </w:r>
      <w:proofErr w:type="spellStart"/>
      <w:r>
        <w:rPr>
          <w:rtl/>
        </w:rPr>
        <w:t>בוולוז׳ין</w:t>
      </w:r>
      <w:proofErr w:type="spellEnd"/>
      <w:r>
        <w:rPr>
          <w:rtl/>
        </w:rPr>
        <w:t xml:space="preserve"> אינה אלא חידוש בידי ר׳ חיים </w:t>
      </w:r>
      <w:proofErr w:type="spellStart"/>
      <w:r>
        <w:rPr>
          <w:rtl/>
        </w:rPr>
        <w:t>מוולוז׳ין</w:t>
      </w:r>
      <w:proofErr w:type="spellEnd"/>
      <w:r>
        <w:rPr>
          <w:rtl/>
        </w:rPr>
        <w:t xml:space="preserve"> של הישיבה הגדולה </w:t>
      </w:r>
      <w:proofErr w:type="spellStart"/>
      <w:r>
        <w:rPr>
          <w:rtl/>
        </w:rPr>
        <w:t>באוסטרהא</w:t>
      </w:r>
      <w:proofErr w:type="spellEnd"/>
      <w:r>
        <w:rPr>
          <w:rtl/>
        </w:rPr>
        <w:t xml:space="preserve">, שהתקיימה 170 שנה קודם לכן, ושבה היה אבי אבותיו, </w:t>
      </w:r>
      <w:proofErr w:type="spellStart"/>
      <w:r>
        <w:rPr>
          <w:rtl/>
        </w:rPr>
        <w:t>המהרש״א</w:t>
      </w:r>
      <w:proofErr w:type="spellEnd"/>
      <w:r>
        <w:rPr>
          <w:rtl/>
        </w:rPr>
        <w:t xml:space="preserve">, ראש ישיבה לאלפי תלמידים, ולפיכך זכויותיו, כצאצא של ר׳ חיים </w:t>
      </w:r>
      <w:proofErr w:type="spellStart"/>
      <w:r>
        <w:rPr>
          <w:rtl/>
        </w:rPr>
        <w:t>מוולוז׳ין</w:t>
      </w:r>
      <w:proofErr w:type="spellEnd"/>
      <w:r>
        <w:rPr>
          <w:rtl/>
        </w:rPr>
        <w:t xml:space="preserve"> ושל </w:t>
      </w:r>
      <w:proofErr w:type="spellStart"/>
      <w:r>
        <w:rPr>
          <w:rtl/>
        </w:rPr>
        <w:t>המהרש״א</w:t>
      </w:r>
      <w:proofErr w:type="spellEnd"/>
      <w:r>
        <w:rPr>
          <w:rtl/>
        </w:rPr>
        <w:t xml:space="preserve"> גם יחד, קודמות לזכויות </w:t>
      </w:r>
      <w:proofErr w:type="spellStart"/>
      <w:r>
        <w:rPr>
          <w:rtl/>
        </w:rPr>
        <w:t>הנצי״ב</w:t>
      </w:r>
      <w:proofErr w:type="spellEnd"/>
      <w:r>
        <w:rPr>
          <w:rtl/>
        </w:rPr>
        <w:t xml:space="preserve"> – טענה מסקרנת.</w:t>
      </w:r>
    </w:p>
    <w:p w14:paraId="4DD1A4EC" w14:textId="77777777" w:rsidR="00AB3647" w:rsidRDefault="00000000" w:rsidP="007923E9">
      <w:pPr>
        <w:spacing w:after="120" w:line="276" w:lineRule="auto"/>
        <w:ind w:firstLine="283"/>
        <w:jc w:val="both"/>
      </w:pPr>
      <w:r>
        <w:rPr>
          <w:rtl/>
        </w:rPr>
        <w:t xml:space="preserve">בהקשר זה מעניין לציין שעוד בשנות </w:t>
      </w:r>
      <w:proofErr w:type="spellStart"/>
      <w:r>
        <w:rPr>
          <w:rtl/>
        </w:rPr>
        <w:t xml:space="preserve">התר״צ</w:t>
      </w:r>
      <w:proofErr w:type="spellEnd"/>
      <w:r>
        <w:rPr>
          <w:rtl/>
        </w:rPr>
        <w:t xml:space="preserve"> נוסדה </w:t>
      </w:r>
      <w:proofErr w:type="spellStart"/>
      <w:r>
        <w:rPr>
          <w:rtl/>
        </w:rPr>
        <w:t>באוסטרהא</w:t>
      </w:r>
      <w:proofErr w:type="spellEnd"/>
      <w:r>
        <w:rPr>
          <w:rtl/>
        </w:rPr>
        <w:t xml:space="preserve">, העיר </w:t>
      </w:r>
      <w:proofErr w:type="spellStart"/>
      <w:r>
        <w:rPr>
          <w:rtl/>
        </w:rPr>
        <w:t>בווהלין</w:t>
      </w:r>
      <w:proofErr w:type="spellEnd"/>
      <w:r>
        <w:rPr>
          <w:rtl/>
        </w:rPr>
        <w:t xml:space="preserve"> שבה חי </w:t>
      </w:r>
      <w:proofErr w:type="spellStart"/>
      <w:r>
        <w:rPr>
          <w:rtl/>
        </w:rPr>
        <w:t>המהרש״א</w:t>
      </w:r>
      <w:proofErr w:type="spellEnd"/>
      <w:r>
        <w:rPr>
          <w:rtl/>
        </w:rPr>
        <w:t xml:space="preserve">, ישיבה “ליטאית” (בידי ר׳ יוסף ברקוביץ, תלמיד ישיבת </w:t>
      </w:r>
      <w:proofErr w:type="spellStart"/>
      <w:r>
        <w:rPr>
          <w:rtl/>
        </w:rPr>
        <w:t>מיר</w:t>
      </w:r>
      <w:proofErr w:type="spellEnd"/>
      <w:r>
        <w:rPr>
          <w:rtl/>
        </w:rPr>
        <w:t xml:space="preserve"> ובעל חלקת יוסף), ונקראה ישיבת </w:t>
      </w:r>
      <w:proofErr w:type="spellStart"/>
      <w:r>
        <w:rPr>
          <w:rtl/>
        </w:rPr>
        <w:t>מהרש״א</w:t>
      </w:r>
      <w:proofErr w:type="spellEnd"/>
      <w:r>
        <w:rPr>
          <w:rtl/>
        </w:rPr>
        <w:t xml:space="preserve">. מאתיים שנה אחרי פטירת </w:t>
      </w:r>
      <w:proofErr w:type="spellStart"/>
      <w:r>
        <w:rPr>
          <w:rtl/>
        </w:rPr>
        <w:t>המהרש״א</w:t>
      </w:r>
      <w:proofErr w:type="spellEnd"/>
      <w:r>
        <w:rPr>
          <w:rtl/>
        </w:rPr>
        <w:t xml:space="preserve"> עדיין כינתה העיר את עצמה “אות תורה”, משחק מילים על שמה הפולני [בהגייה המקומית, </w:t>
      </w:r>
      <w:proofErr w:type="spellStart"/>
      <w:r>
        <w:rPr>
          <w:rtl/>
        </w:rPr>
        <w:t>הלא־ספרדית</w:t>
      </w:r>
      <w:proofErr w:type="spellEnd"/>
      <w:r>
        <w:rPr>
          <w:rtl/>
        </w:rPr>
        <w:t xml:space="preserve">]. ראה ספר תולדות אדם, מאת ראובן מרגליות </w:t>
      </w:r>
      <w:proofErr w:type="spellStart"/>
      <w:r>
        <w:rPr>
          <w:rtl/>
        </w:rPr>
        <w:t>מלבוב</w:t>
      </w:r>
      <w:bookmarkStart w:id="5599" w:name="_fnr4246"/>
      <w:proofErr w:type="spellEnd"/>
      <w:r>
        <w:rPr>
          <w:vertAlign w:val="superscript"/>
          <w:rtl/>
        </w:rPr>
        <w:footnoteReference w:id="4256" w:customMarkFollows="0"/>
      </w:r>
      <w:bookmarkEnd w:id="5599"/>
      <w:r>
        <w:rPr>
          <w:rtl/>
        </w:rPr>
        <w:t xml:space="preserve">, המביא את הכתוב על המצבה המחודשת שעל קבר </w:t>
      </w:r>
      <w:proofErr w:type="spellStart"/>
      <w:r>
        <w:rPr>
          <w:rtl/>
        </w:rPr>
        <w:t>המהרש״א</w:t>
      </w:r>
      <w:proofErr w:type="spellEnd"/>
      <w:r>
        <w:rPr>
          <w:rtl/>
        </w:rPr>
        <w:t xml:space="preserve">: “הוּכן והוקם מחדש יום א׳ </w:t>
      </w:r>
      <w:proofErr w:type="spellStart"/>
      <w:r>
        <w:rPr>
          <w:rtl/>
        </w:rPr>
        <w:t>וא״ו</w:t>
      </w:r>
      <w:proofErr w:type="spellEnd"/>
      <w:r>
        <w:rPr>
          <w:rtl/>
        </w:rPr>
        <w:t xml:space="preserve"> תמוז תרי״א אות תורה”. מילות התאריך נכתבו בדרך שרומזת </w:t>
      </w:r>
      <w:proofErr w:type="spellStart"/>
      <w:r>
        <w:rPr>
          <w:rtl/>
        </w:rPr>
        <w:t>ל“אות</w:t>
      </w:r>
      <w:proofErr w:type="spellEnd"/>
      <w:r>
        <w:rPr>
          <w:rtl/>
        </w:rPr>
        <w:t xml:space="preserve"> תורה”: המילה הראשונה, אות, נוצרת מראשי התיבות א׳ ו׳ תמוז, והמילה השנייה, תורה, שווה </w:t>
      </w:r>
      <w:proofErr w:type="spellStart"/>
      <w:r>
        <w:rPr>
          <w:rtl/>
        </w:rPr>
        <w:t>בגימטריה</w:t>
      </w:r>
      <w:proofErr w:type="spellEnd"/>
      <w:r>
        <w:rPr>
          <w:rtl/>
        </w:rPr>
        <w:t xml:space="preserve"> לשנת חידוש המצבה, [5]611</w:t>
      </w:r>
      <w:bookmarkStart w:id="5600" w:name="_fnr4247"/>
      <w:r>
        <w:rPr>
          <w:vertAlign w:val="superscript"/>
          <w:rtl/>
        </w:rPr>
        <w:footnoteReference w:id="4257" w:customMarkFollows="0"/>
      </w:r>
      <w:bookmarkEnd w:id="5600"/>
      <w:r>
        <w:rPr>
          <w:rtl/>
        </w:rPr>
        <w:t>.</w:t>
      </w:r>
    </w:p>
    <w:p w14:paraId="7EB0C606" w14:textId="77777777" w:rsidR="00AB3647" w:rsidRDefault="00000000" w:rsidP="007923E9">
      <w:pPr>
        <w:spacing w:after="120" w:line="276" w:lineRule="auto"/>
        <w:ind w:firstLine="283"/>
        <w:jc w:val="both"/>
      </w:pPr>
      <w:r>
        <w:rPr>
          <w:rtl/>
        </w:rPr>
        <w:t>ראוי גם לציין שאף שלפי “אבי הישיבות”</w:t>
      </w:r>
      <w:bookmarkStart w:id="5601" w:name="_fnr4248"/>
      <w:r>
        <w:rPr>
          <w:vertAlign w:val="superscript"/>
          <w:rtl/>
        </w:rPr>
        <w:footnoteReference w:id="4258" w:customMarkFollows="0"/>
      </w:r>
      <w:bookmarkEnd w:id="5601"/>
      <w:r>
        <w:rPr>
          <w:rtl/>
        </w:rPr>
        <w:t xml:space="preserve"> הוצנע לימוד </w:t>
      </w:r>
      <w:proofErr w:type="spellStart"/>
      <w:r>
        <w:rPr>
          <w:rtl/>
        </w:rPr>
        <w:t>מהרש״א</w:t>
      </w:r>
      <w:proofErr w:type="spellEnd"/>
      <w:r>
        <w:rPr>
          <w:rtl/>
        </w:rPr>
        <w:t xml:space="preserve"> בישיבת </w:t>
      </w:r>
      <w:proofErr w:type="spellStart"/>
      <w:r>
        <w:rPr>
          <w:rtl/>
        </w:rPr>
        <w:t>וולוז׳ין</w:t>
      </w:r>
      <w:proofErr w:type="spellEnd"/>
      <w:r>
        <w:rPr>
          <w:rtl/>
        </w:rPr>
        <w:t xml:space="preserve">, המשגיח הוותיק ר׳ אליקים </w:t>
      </w:r>
      <w:proofErr w:type="spellStart"/>
      <w:r>
        <w:rPr>
          <w:rtl/>
        </w:rPr>
        <w:t>האדרעצנער</w:t>
      </w:r>
      <w:bookmarkStart w:id="5602" w:name="_fnr4249"/>
      <w:proofErr w:type="spellEnd"/>
      <w:r>
        <w:rPr>
          <w:vertAlign w:val="superscript"/>
          <w:rtl/>
        </w:rPr>
        <w:footnoteReference w:id="4259" w:customMarkFollows="0"/>
      </w:r>
      <w:bookmarkEnd w:id="5602"/>
      <w:r>
        <w:rPr>
          <w:rtl/>
        </w:rPr>
        <w:t xml:space="preserve"> היה גאה כל כך בבקיאותו במפרש זה, עד שהכריז: “אני בטוח שכאשר איפטר מן העולם, יצא </w:t>
      </w:r>
      <w:proofErr w:type="spellStart"/>
      <w:r>
        <w:rPr>
          <w:rtl/>
        </w:rPr>
        <w:t>המהרש״א</w:t>
      </w:r>
      <w:proofErr w:type="spellEnd"/>
      <w:r>
        <w:rPr>
          <w:rtl/>
        </w:rPr>
        <w:t xml:space="preserve"> לקראתי, מפני שהייתי </w:t>
      </w:r>
      <w:proofErr w:type="spellStart"/>
      <w:r>
        <w:rPr>
          <w:rtl/>
        </w:rPr>
        <w:t>ה‘זאשציטניק</w:t>
      </w:r>
      <w:proofErr w:type="spellEnd"/>
      <w:r>
        <w:rPr>
          <w:rtl/>
        </w:rPr>
        <w:t xml:space="preserve"> [מגן]’ שלו”</w:t>
      </w:r>
      <w:bookmarkStart w:id="5603" w:name="_fnr4250"/>
      <w:r>
        <w:rPr>
          <w:vertAlign w:val="superscript"/>
          <w:rtl/>
        </w:rPr>
        <w:footnoteReference w:id="4260" w:customMarkFollows="0"/>
      </w:r>
      <w:bookmarkEnd w:id="5603"/>
      <w:r>
        <w:rPr>
          <w:rtl/>
        </w:rPr>
        <w:t xml:space="preserve">. ר׳ אליקים כיהן בשעה שהמחלוקת בין </w:t>
      </w:r>
      <w:proofErr w:type="spellStart"/>
      <w:r>
        <w:rPr>
          <w:rtl/>
        </w:rPr>
        <w:t>הנצי״ב</w:t>
      </w:r>
      <w:proofErr w:type="spellEnd"/>
      <w:r>
        <w:rPr>
          <w:rtl/>
        </w:rPr>
        <w:t xml:space="preserve"> </w:t>
      </w:r>
      <w:proofErr w:type="spellStart"/>
      <w:r>
        <w:rPr>
          <w:rtl/>
        </w:rPr>
        <w:t>לר</w:t>
      </w:r>
      <w:proofErr w:type="spellEnd"/>
      <w:r>
        <w:rPr>
          <w:rtl/>
        </w:rPr>
        <w:t xml:space="preserve">׳ </w:t>
      </w:r>
      <w:proofErr w:type="spellStart"/>
      <w:r>
        <w:rPr>
          <w:rtl/>
        </w:rPr>
        <w:t>יהושע־העשיל</w:t>
      </w:r>
      <w:proofErr w:type="spellEnd"/>
      <w:r>
        <w:rPr>
          <w:rtl/>
        </w:rPr>
        <w:t xml:space="preserve"> לוין הייתה בעיצומה, והקשר לקודמתה של </w:t>
      </w:r>
      <w:proofErr w:type="spellStart"/>
      <w:r>
        <w:rPr>
          <w:rtl/>
        </w:rPr>
        <w:t>וולוז׳ין</w:t>
      </w:r>
      <w:proofErr w:type="spellEnd"/>
      <w:r>
        <w:rPr>
          <w:rtl/>
        </w:rPr>
        <w:t xml:space="preserve"> נחשב בעל משמעות. לכן אפשר לשער שגאוותו של </w:t>
      </w:r>
      <w:r>
        <w:rPr>
          <w:rtl/>
        </w:rPr>
        <w:lastRenderedPageBreak/>
        <w:t xml:space="preserve">המשגיח כללה גם הזדהות נוספת עם ישיבת </w:t>
      </w:r>
      <w:proofErr w:type="spellStart"/>
      <w:r>
        <w:rPr>
          <w:rtl/>
        </w:rPr>
        <w:t>וולוז׳ין</w:t>
      </w:r>
      <w:proofErr w:type="spellEnd"/>
      <w:r>
        <w:rPr>
          <w:rtl/>
        </w:rPr>
        <w:t>, באמצעות שליטתו בחידושיו של אותו ראש ישיבה קדום והגנתו עליהם.</w:t>
      </w:r>
    </w:p>
    <w:p w14:paraId="5EA9E1A5" w14:textId="77777777" w:rsidR="00AB3647" w:rsidRDefault="00000000" w:rsidP="007923E9">
      <w:pPr>
        <w:spacing w:after="120" w:line="276" w:lineRule="auto"/>
        <w:ind w:firstLine="283"/>
        <w:jc w:val="both"/>
      </w:pPr>
      <w:r>
        <w:rPr>
          <w:rtl/>
        </w:rPr>
        <w:t xml:space="preserve">לבסוף נסוג ר׳ </w:t>
      </w:r>
      <w:proofErr w:type="spellStart"/>
      <w:r>
        <w:rPr>
          <w:rtl/>
        </w:rPr>
        <w:t>יהושע־העשיל</w:t>
      </w:r>
      <w:proofErr w:type="spellEnd"/>
      <w:r>
        <w:rPr>
          <w:rtl/>
        </w:rPr>
        <w:t xml:space="preserve"> לוין ממאבקו </w:t>
      </w:r>
      <w:proofErr w:type="spellStart"/>
      <w:r>
        <w:rPr>
          <w:rtl/>
        </w:rPr>
        <w:t>בנצי״ב</w:t>
      </w:r>
      <w:proofErr w:type="spellEnd"/>
      <w:r>
        <w:rPr>
          <w:rtl/>
        </w:rPr>
        <w:t xml:space="preserve"> ועזב בפתאומיות את </w:t>
      </w:r>
      <w:proofErr w:type="spellStart"/>
      <w:r>
        <w:rPr>
          <w:rtl/>
        </w:rPr>
        <w:t>וולוז׳ין</w:t>
      </w:r>
      <w:proofErr w:type="spellEnd"/>
      <w:r>
        <w:rPr>
          <w:rtl/>
        </w:rPr>
        <w:t xml:space="preserve"> לווילנה. “אבי הישיבות” מביא</w:t>
      </w:r>
      <w:bookmarkStart w:id="5604" w:name="_fnr4251"/>
      <w:r>
        <w:rPr>
          <w:vertAlign w:val="superscript"/>
          <w:rtl/>
        </w:rPr>
        <w:footnoteReference w:id="4261" w:customMarkFollows="0"/>
      </w:r>
      <w:bookmarkEnd w:id="5604"/>
      <w:r>
        <w:rPr>
          <w:rtl/>
        </w:rPr>
        <w:t xml:space="preserve"> מקורות שלפיהם רבה של </w:t>
      </w:r>
      <w:proofErr w:type="spellStart"/>
      <w:r>
        <w:rPr>
          <w:rtl/>
        </w:rPr>
        <w:t>בריסק</w:t>
      </w:r>
      <w:proofErr w:type="spellEnd"/>
      <w:r>
        <w:rPr>
          <w:rtl/>
        </w:rPr>
        <w:t xml:space="preserve">, ר׳ </w:t>
      </w:r>
      <w:proofErr w:type="spellStart"/>
      <w:r>
        <w:rPr>
          <w:rtl/>
        </w:rPr>
        <w:t>יעקב־מאיר</w:t>
      </w:r>
      <w:proofErr w:type="spellEnd"/>
      <w:r>
        <w:rPr>
          <w:rtl/>
        </w:rPr>
        <w:t xml:space="preserve"> </w:t>
      </w:r>
      <w:proofErr w:type="spellStart"/>
      <w:r>
        <w:rPr>
          <w:rtl/>
        </w:rPr>
        <w:t>פדואה</w:t>
      </w:r>
      <w:proofErr w:type="spellEnd"/>
      <w:r>
        <w:rPr>
          <w:rtl/>
        </w:rPr>
        <w:t xml:space="preserve">, שהיה בעל סמכות רבה, שלח שליח שהורה </w:t>
      </w:r>
      <w:proofErr w:type="spellStart"/>
      <w:r>
        <w:rPr>
          <w:rtl/>
        </w:rPr>
        <w:t>לר</w:t>
      </w:r>
      <w:proofErr w:type="spellEnd"/>
      <w:r>
        <w:rPr>
          <w:rtl/>
        </w:rPr>
        <w:t xml:space="preserve">׳ </w:t>
      </w:r>
      <w:proofErr w:type="spellStart"/>
      <w:r>
        <w:rPr>
          <w:rtl/>
        </w:rPr>
        <w:t>יהושע־העשיל</w:t>
      </w:r>
      <w:proofErr w:type="spellEnd"/>
      <w:r>
        <w:rPr>
          <w:rtl/>
        </w:rPr>
        <w:t xml:space="preserve"> לסגת.</w:t>
      </w:r>
    </w:p>
    <w:p w14:paraId="36424E62" w14:textId="77777777" w:rsidR="00AB3647" w:rsidRDefault="00000000" w:rsidP="007923E9">
      <w:pPr>
        <w:spacing w:after="120" w:line="276" w:lineRule="auto"/>
        <w:ind w:firstLine="283"/>
        <w:jc w:val="both"/>
      </w:pPr>
      <w:r>
        <w:rPr>
          <w:rtl/>
        </w:rPr>
        <w:t xml:space="preserve">ר׳ </w:t>
      </w:r>
      <w:proofErr w:type="spellStart"/>
      <w:r>
        <w:rPr>
          <w:rtl/>
        </w:rPr>
        <w:t>יהושע־העשיל</w:t>
      </w:r>
      <w:proofErr w:type="spellEnd"/>
      <w:r>
        <w:rPr>
          <w:rtl/>
        </w:rPr>
        <w:t xml:space="preserve"> התחיל את דרכו בתורה כתלמידו של ר׳ </w:t>
      </w:r>
      <w:proofErr w:type="spellStart"/>
      <w:r>
        <w:rPr>
          <w:rtl/>
        </w:rPr>
        <w:t>אלינקה</w:t>
      </w:r>
      <w:proofErr w:type="spellEnd"/>
      <w:r>
        <w:rPr>
          <w:rtl/>
        </w:rPr>
        <w:t xml:space="preserve"> </w:t>
      </w:r>
      <w:proofErr w:type="spellStart"/>
      <w:r>
        <w:rPr>
          <w:rtl/>
        </w:rPr>
        <w:t>מראגאלע</w:t>
      </w:r>
      <w:bookmarkStart w:id="5605" w:name="_fnr4252"/>
      <w:proofErr w:type="spellEnd"/>
      <w:r>
        <w:rPr>
          <w:vertAlign w:val="superscript"/>
          <w:rtl/>
        </w:rPr>
        <w:footnoteReference w:id="4262" w:customMarkFollows="0"/>
      </w:r>
      <w:bookmarkEnd w:id="5605"/>
      <w:r>
        <w:rPr>
          <w:rtl/>
        </w:rPr>
        <w:t xml:space="preserve">, ובשנתיים האחרונות לחייו, תרמ״ב–תרמ״ד, כיהן כרב בפריז ליהודי מזרח אירופה שהתיישבו שם. הוא התמנה לכך לבקשת ר׳ ישראל </w:t>
      </w:r>
      <w:proofErr w:type="spellStart"/>
      <w:r>
        <w:rPr>
          <w:rtl/>
        </w:rPr>
        <w:t>סלנטר</w:t>
      </w:r>
      <w:proofErr w:type="spellEnd"/>
      <w:r>
        <w:rPr>
          <w:rtl/>
        </w:rPr>
        <w:t xml:space="preserve">, ששהה בפריז בשנתיים שקדמו לכך. ר׳ ישראל הכיר את ר׳ </w:t>
      </w:r>
      <w:proofErr w:type="spellStart"/>
      <w:r>
        <w:rPr>
          <w:rtl/>
        </w:rPr>
        <w:t>יהושע־העשיל</w:t>
      </w:r>
      <w:proofErr w:type="spellEnd"/>
      <w:r>
        <w:rPr>
          <w:rtl/>
        </w:rPr>
        <w:t xml:space="preserve"> כבר יותר משלושים שנה קודם לכן. </w:t>
      </w:r>
      <w:proofErr w:type="spellStart"/>
      <w:r>
        <w:rPr>
          <w:rtl/>
        </w:rPr>
        <w:t>בתרכ״ג</w:t>
      </w:r>
      <w:proofErr w:type="spellEnd"/>
      <w:r>
        <w:rPr>
          <w:rtl/>
        </w:rPr>
        <w:t xml:space="preserve"> (בסוף 1862) כתב ר׳ ישראל קריאה לתמוך בר׳ </w:t>
      </w:r>
      <w:proofErr w:type="spellStart"/>
      <w:r>
        <w:rPr>
          <w:rtl/>
        </w:rPr>
        <w:t>יהושע־העשיל</w:t>
      </w:r>
      <w:proofErr w:type="spellEnd"/>
      <w:r>
        <w:rPr>
          <w:rtl/>
        </w:rPr>
        <w:t xml:space="preserve"> לוין בהוצאת הגיליונות הבאים של כתב העת התורני “פליטת סופרים עם שפה לנאמנים”. הקריאה נדפסה על הכריכה האחורית של הגיליון הראשון, ובה נאמר: “ידעתיו [אני מכיר (ומחבב) אותו] מִנוֹעַר [מנעוריו]”</w:t>
      </w:r>
      <w:bookmarkStart w:id="5606" w:name="_fnr4253"/>
      <w:r>
        <w:rPr>
          <w:vertAlign w:val="superscript"/>
          <w:rtl/>
        </w:rPr>
        <w:footnoteReference w:id="4263" w:customMarkFollows="0"/>
      </w:r>
      <w:bookmarkEnd w:id="5606"/>
      <w:r>
        <w:rPr>
          <w:rtl/>
        </w:rPr>
        <w:t>.</w:t>
      </w:r>
    </w:p>
    <w:p w14:paraId="28C5DE78" w14:textId="77777777" w:rsidR="00AB3647" w:rsidRDefault="00000000" w:rsidP="007923E9">
      <w:pPr>
        <w:spacing w:after="120" w:line="276" w:lineRule="auto"/>
        <w:ind w:firstLine="283"/>
        <w:jc w:val="both"/>
      </w:pPr>
      <w:proofErr w:type="spellStart"/>
      <w:r>
        <w:rPr>
          <w:rtl/>
        </w:rPr>
        <w:t>אחת־עשרה</w:t>
      </w:r>
      <w:proofErr w:type="spellEnd"/>
      <w:r>
        <w:rPr>
          <w:rtl/>
        </w:rPr>
        <w:t xml:space="preserve"> שנה קודם לכן, </w:t>
      </w:r>
      <w:proofErr w:type="spellStart"/>
      <w:r>
        <w:rPr>
          <w:rtl/>
        </w:rPr>
        <w:t>בתרי״א</w:t>
      </w:r>
      <w:proofErr w:type="spellEnd"/>
      <w:r>
        <w:rPr>
          <w:rtl/>
        </w:rPr>
        <w:t xml:space="preserve"> (1851), שלוש שנים לפני שר׳ </w:t>
      </w:r>
      <w:proofErr w:type="spellStart"/>
      <w:r>
        <w:rPr>
          <w:rtl/>
        </w:rPr>
        <w:t>יהושע־העשיל</w:t>
      </w:r>
      <w:proofErr w:type="spellEnd"/>
      <w:r>
        <w:rPr>
          <w:rtl/>
        </w:rPr>
        <w:t xml:space="preserve"> ערער על מינוי </w:t>
      </w:r>
      <w:proofErr w:type="spellStart"/>
      <w:r>
        <w:rPr>
          <w:rtl/>
        </w:rPr>
        <w:t>הנצי״ב</w:t>
      </w:r>
      <w:proofErr w:type="spellEnd"/>
      <w:r>
        <w:rPr>
          <w:rtl/>
        </w:rPr>
        <w:t xml:space="preserve">, כבר כתב ר׳ ישראל </w:t>
      </w:r>
      <w:proofErr w:type="spellStart"/>
      <w:r>
        <w:rPr>
          <w:rtl/>
        </w:rPr>
        <w:t>לר</w:t>
      </w:r>
      <w:proofErr w:type="spellEnd"/>
      <w:r>
        <w:rPr>
          <w:rtl/>
        </w:rPr>
        <w:t xml:space="preserve">׳ </w:t>
      </w:r>
      <w:proofErr w:type="spellStart"/>
      <w:r>
        <w:rPr>
          <w:rtl/>
        </w:rPr>
        <w:t>יהושע־העשיל</w:t>
      </w:r>
      <w:proofErr w:type="spellEnd"/>
      <w:r>
        <w:rPr>
          <w:rtl/>
        </w:rPr>
        <w:t xml:space="preserve"> לוין ישירות, ועודד אותו להוציא לאור את כתב העת המתוכנן, מפני </w:t>
      </w:r>
      <w:proofErr w:type="spellStart"/>
      <w:r>
        <w:rPr>
          <w:rtl/>
        </w:rPr>
        <w:t>ש“אני</w:t>
      </w:r>
      <w:proofErr w:type="spellEnd"/>
      <w:r>
        <w:rPr>
          <w:rtl/>
        </w:rPr>
        <w:t xml:space="preserve"> יודע שיש לך היכולת האדירה לעסוק במלאכת קודש זו</w:t>
      </w:r>
      <w:bookmarkStart w:id="5607" w:name="_fnr4254"/>
      <w:r>
        <w:rPr>
          <w:vertAlign w:val="superscript"/>
          <w:rtl/>
        </w:rPr>
        <w:footnoteReference w:id="4264" w:customMarkFollows="0"/>
      </w:r>
      <w:bookmarkEnd w:id="5607"/>
      <w:r>
        <w:rPr>
          <w:rtl/>
        </w:rPr>
        <w:t xml:space="preserve">”. </w:t>
      </w:r>
      <w:proofErr w:type="spellStart"/>
      <w:r>
        <w:rPr>
          <w:rtl/>
        </w:rPr>
        <w:t>ובתרי״ג</w:t>
      </w:r>
      <w:proofErr w:type="spellEnd"/>
      <w:r>
        <w:rPr>
          <w:rtl/>
        </w:rPr>
        <w:t xml:space="preserve"> כתב ר׳ ישראל מכתב הסכמה להוצאת “רוח חיים” בידי ר׳ </w:t>
      </w:r>
      <w:proofErr w:type="spellStart"/>
      <w:r>
        <w:rPr>
          <w:rtl/>
        </w:rPr>
        <w:t>יהושע־העשיל</w:t>
      </w:r>
      <w:proofErr w:type="spellEnd"/>
      <w:r>
        <w:rPr>
          <w:rtl/>
        </w:rPr>
        <w:t xml:space="preserve"> לוין</w:t>
      </w:r>
      <w:bookmarkStart w:id="5608" w:name="_fnr4255"/>
      <w:r>
        <w:rPr>
          <w:vertAlign w:val="superscript"/>
          <w:rtl/>
        </w:rPr>
        <w:footnoteReference w:id="4265" w:customMarkFollows="0"/>
      </w:r>
      <w:bookmarkEnd w:id="5608"/>
      <w:r>
        <w:rPr>
          <w:rtl/>
        </w:rPr>
        <w:t>, ובו אמר: “ידעתיו לנבון דבר”.</w:t>
      </w:r>
    </w:p>
    <w:p w14:paraId="49F46567" w14:textId="77777777" w:rsidR="00AB3647" w:rsidRDefault="00000000" w:rsidP="007923E9">
      <w:pPr>
        <w:spacing w:after="120" w:line="276" w:lineRule="auto"/>
        <w:ind w:firstLine="283"/>
        <w:jc w:val="both"/>
      </w:pPr>
      <w:r>
        <w:rPr>
          <w:rtl/>
        </w:rPr>
        <w:t xml:space="preserve">אין זו השערה רחוקה שר׳ ישראל </w:t>
      </w:r>
      <w:proofErr w:type="spellStart"/>
      <w:r>
        <w:rPr>
          <w:rtl/>
        </w:rPr>
        <w:t>סלנטר</w:t>
      </w:r>
      <w:proofErr w:type="spellEnd"/>
      <w:r>
        <w:rPr>
          <w:rtl/>
        </w:rPr>
        <w:t xml:space="preserve">, שהיה בקובנה בזמן מחלוקת ר׳ </w:t>
      </w:r>
      <w:proofErr w:type="spellStart"/>
      <w:r>
        <w:rPr>
          <w:rtl/>
        </w:rPr>
        <w:t>יהושע־העשיל</w:t>
      </w:r>
      <w:proofErr w:type="spellEnd"/>
      <w:r>
        <w:rPr>
          <w:rtl/>
        </w:rPr>
        <w:t xml:space="preserve"> </w:t>
      </w:r>
      <w:proofErr w:type="spellStart"/>
      <w:r>
        <w:rPr>
          <w:rtl/>
        </w:rPr>
        <w:t>והנצי״ב</w:t>
      </w:r>
      <w:proofErr w:type="spellEnd"/>
      <w:r>
        <w:rPr>
          <w:rtl/>
        </w:rPr>
        <w:t xml:space="preserve"> </w:t>
      </w:r>
      <w:proofErr w:type="spellStart"/>
      <w:r>
        <w:rPr>
          <w:rtl/>
        </w:rPr>
        <w:t>בוולוז׳ין</w:t>
      </w:r>
      <w:proofErr w:type="spellEnd"/>
      <w:r>
        <w:rPr>
          <w:rtl/>
        </w:rPr>
        <w:t xml:space="preserve"> (ובוודאי לא היה מעורב בה), קיווה בחשאי שר׳ </w:t>
      </w:r>
      <w:proofErr w:type="spellStart"/>
      <w:r>
        <w:rPr>
          <w:rtl/>
        </w:rPr>
        <w:t>יהושע־העשיל</w:t>
      </w:r>
      <w:proofErr w:type="spellEnd"/>
      <w:r>
        <w:rPr>
          <w:rtl/>
        </w:rPr>
        <w:t xml:space="preserve"> לוין ינצח. ר׳ ישראל ראה בר׳ </w:t>
      </w:r>
      <w:proofErr w:type="spellStart"/>
      <w:r>
        <w:rPr>
          <w:rtl/>
        </w:rPr>
        <w:t>יהושע־העשיל</w:t>
      </w:r>
      <w:proofErr w:type="spellEnd"/>
      <w:r>
        <w:rPr>
          <w:rtl/>
        </w:rPr>
        <w:t xml:space="preserve"> שותף נדיר להבנת הסכנה שנשקפה מן ההשכלה ליהדות שומרת המצוות, ולהבנת הצורך </w:t>
      </w:r>
      <w:r>
        <w:rPr>
          <w:b/>
          <w:bCs/>
          <w:rtl/>
        </w:rPr>
        <w:t>להתעמת עם ההשכלה</w:t>
      </w:r>
      <w:r>
        <w:rPr>
          <w:rtl/>
        </w:rPr>
        <w:t xml:space="preserve"> ולא להתעלם ממנה. רבנו סבר שהכוח המניע של כל פעולות ר׳ ישראל היה דאגתו מפני ההשכלה ומאבקו בה</w:t>
      </w:r>
      <w:bookmarkStart w:id="5609" w:name="_fnr4256"/>
      <w:r>
        <w:rPr>
          <w:vertAlign w:val="superscript"/>
          <w:rtl/>
        </w:rPr>
        <w:footnoteReference w:id="4266" w:customMarkFollows="0"/>
      </w:r>
      <w:bookmarkEnd w:id="5609"/>
      <w:r>
        <w:rPr>
          <w:rtl/>
        </w:rPr>
        <w:t xml:space="preserve">. לשם כך נוסדו כתבי עת כגון “פליטת סופרים עם שפה לנאמנים” </w:t>
      </w:r>
      <w:proofErr w:type="spellStart"/>
      <w:r>
        <w:rPr>
          <w:rtl/>
        </w:rPr>
        <w:t>ו“תבונה</w:t>
      </w:r>
      <w:proofErr w:type="spellEnd"/>
      <w:r>
        <w:rPr>
          <w:rtl/>
        </w:rPr>
        <w:t xml:space="preserve">” של ר׳ ישראל </w:t>
      </w:r>
      <w:proofErr w:type="spellStart"/>
      <w:r>
        <w:rPr>
          <w:rtl/>
        </w:rPr>
        <w:t>סלנטר</w:t>
      </w:r>
      <w:proofErr w:type="spellEnd"/>
      <w:r>
        <w:rPr>
          <w:rtl/>
        </w:rPr>
        <w:t xml:space="preserve"> עצמו, שהופיע מדי שבוע במשך שלושה חודשים </w:t>
      </w:r>
      <w:proofErr w:type="spellStart"/>
      <w:r>
        <w:rPr>
          <w:rtl/>
        </w:rPr>
        <w:t>בתרכ״א</w:t>
      </w:r>
      <w:proofErr w:type="spellEnd"/>
      <w:r>
        <w:rPr>
          <w:rtl/>
        </w:rPr>
        <w:t>.</w:t>
      </w:r>
    </w:p>
    <w:p w14:paraId="3FE30905" w14:textId="77777777" w:rsidR="00AB3647" w:rsidRDefault="00000000" w:rsidP="007923E9">
      <w:pPr>
        <w:spacing w:after="120" w:line="276" w:lineRule="auto"/>
        <w:ind w:firstLine="283"/>
        <w:jc w:val="both"/>
      </w:pPr>
      <w:r>
        <w:rPr>
          <w:rtl/>
        </w:rPr>
        <w:t xml:space="preserve">בעיני ר׳ ישראל, התנגדותו של </w:t>
      </w:r>
      <w:proofErr w:type="spellStart"/>
      <w:r>
        <w:rPr>
          <w:rtl/>
        </w:rPr>
        <w:t>הנצי״ב</w:t>
      </w:r>
      <w:proofErr w:type="spellEnd"/>
      <w:r>
        <w:rPr>
          <w:rtl/>
        </w:rPr>
        <w:t xml:space="preserve"> להכנסת המוסר לישיבת </w:t>
      </w:r>
      <w:proofErr w:type="spellStart"/>
      <w:r>
        <w:rPr>
          <w:rtl/>
        </w:rPr>
        <w:t>וולוז׳ין</w:t>
      </w:r>
      <w:proofErr w:type="spellEnd"/>
      <w:r>
        <w:rPr>
          <w:rtl/>
        </w:rPr>
        <w:t xml:space="preserve"> בתקופה מאוחרת יותר</w:t>
      </w:r>
      <w:bookmarkStart w:id="5610" w:name="_fnr4257"/>
      <w:r>
        <w:rPr>
          <w:vertAlign w:val="superscript"/>
          <w:rtl/>
        </w:rPr>
        <w:footnoteReference w:id="4267" w:customMarkFollows="0"/>
      </w:r>
      <w:bookmarkEnd w:id="5610"/>
      <w:r>
        <w:rPr>
          <w:rtl/>
        </w:rPr>
        <w:t xml:space="preserve"> ביטאה את חוסר מודעותו לסכנה שנשקפה מן ההשכלה. מבחינה זו לא היה </w:t>
      </w:r>
      <w:proofErr w:type="spellStart"/>
      <w:r>
        <w:rPr>
          <w:rtl/>
        </w:rPr>
        <w:t>הנצי״ב</w:t>
      </w:r>
      <w:proofErr w:type="spellEnd"/>
      <w:r>
        <w:rPr>
          <w:rtl/>
        </w:rPr>
        <w:t xml:space="preserve"> שונה מרוב רבני זמנו. לכן, כשנשקל מינויו של ר׳ </w:t>
      </w:r>
      <w:proofErr w:type="spellStart"/>
      <w:r>
        <w:rPr>
          <w:rtl/>
        </w:rPr>
        <w:t>יהושע־העשיל</w:t>
      </w:r>
      <w:proofErr w:type="spellEnd"/>
      <w:r>
        <w:rPr>
          <w:rtl/>
        </w:rPr>
        <w:t xml:space="preserve"> לוין, עמיתו למאבק בהשכלה, לעמוד בראש מבצר התורה שייצגה ישיבת </w:t>
      </w:r>
      <w:proofErr w:type="spellStart"/>
      <w:r>
        <w:rPr>
          <w:rtl/>
        </w:rPr>
        <w:t>וולוז׳ין</w:t>
      </w:r>
      <w:proofErr w:type="spellEnd"/>
      <w:r>
        <w:rPr>
          <w:rtl/>
        </w:rPr>
        <w:t xml:space="preserve"> (ולו רק בעיני חותנו, בנו של ר׳ </w:t>
      </w:r>
      <w:proofErr w:type="spellStart"/>
      <w:r>
        <w:rPr>
          <w:rtl/>
        </w:rPr>
        <w:t>איצל׳ה</w:t>
      </w:r>
      <w:proofErr w:type="spellEnd"/>
      <w:r>
        <w:rPr>
          <w:rtl/>
        </w:rPr>
        <w:t xml:space="preserve"> </w:t>
      </w:r>
      <w:proofErr w:type="spellStart"/>
      <w:r>
        <w:rPr>
          <w:rtl/>
        </w:rPr>
        <w:lastRenderedPageBreak/>
        <w:t>מוולוז׳ין</w:t>
      </w:r>
      <w:proofErr w:type="spellEnd"/>
      <w:r>
        <w:rPr>
          <w:rtl/>
        </w:rPr>
        <w:t xml:space="preserve">), היה ר׳ ישראל תומך בו. כשנפטר ר׳ ישראל </w:t>
      </w:r>
      <w:proofErr w:type="spellStart"/>
      <w:r>
        <w:rPr>
          <w:rtl/>
        </w:rPr>
        <w:t>סלנטר</w:t>
      </w:r>
      <w:proofErr w:type="spellEnd"/>
      <w:r>
        <w:rPr>
          <w:rtl/>
        </w:rPr>
        <w:t xml:space="preserve">, דיווח “המליץ” מכ״ג באדר א׳ תרמ״ג </w:t>
      </w:r>
      <w:proofErr w:type="spellStart"/>
      <w:r>
        <w:rPr>
          <w:rtl/>
        </w:rPr>
        <w:t>ש“תלמידו</w:t>
      </w:r>
      <w:proofErr w:type="spellEnd"/>
      <w:r>
        <w:rPr>
          <w:rtl/>
        </w:rPr>
        <w:t xml:space="preserve"> הוותיק ר׳ </w:t>
      </w:r>
      <w:proofErr w:type="spellStart"/>
      <w:r>
        <w:rPr>
          <w:rtl/>
        </w:rPr>
        <w:t>יהושע־העשיל</w:t>
      </w:r>
      <w:proofErr w:type="spellEnd"/>
      <w:r>
        <w:rPr>
          <w:rtl/>
        </w:rPr>
        <w:t xml:space="preserve"> לוין” הספידו בפריז. ייתכן שתיאור יחסי הרב והתלמיד מוגזם, שכן ר׳ ישראל, שנולד </w:t>
      </w:r>
      <w:proofErr w:type="spellStart"/>
      <w:r>
        <w:rPr>
          <w:rtl/>
        </w:rPr>
        <w:t>בתק״ע</w:t>
      </w:r>
      <w:proofErr w:type="spellEnd"/>
      <w:r>
        <w:rPr>
          <w:rtl/>
        </w:rPr>
        <w:t xml:space="preserve">, היה מבוגר מר׳ </w:t>
      </w:r>
      <w:proofErr w:type="spellStart"/>
      <w:r>
        <w:rPr>
          <w:rtl/>
        </w:rPr>
        <w:t>יהושע־העשיל</w:t>
      </w:r>
      <w:proofErr w:type="spellEnd"/>
      <w:r>
        <w:rPr>
          <w:rtl/>
        </w:rPr>
        <w:t xml:space="preserve"> לוין בארבע שנים בלבד</w:t>
      </w:r>
      <w:bookmarkStart w:id="5611" w:name="_fnr4258"/>
      <w:bookmarkEnd w:id="5611"/>
      <w:r>
        <w:rPr>
          <w:rStyle w:val="a5"/>
        </w:rPr>
        <w:t/>
      </w:r>
      <w:bookmarkStart w:id="7045" w:name="_TranslatorNote_5398"/>
      <w:r>
        <w:rPr>
          <w:rStyle w:val="a5"/>
          <w:vertAlign w:val="superscript"/>
          <w:rtl/>
        </w:rPr>
        <w:footnoteReference w:id="4268" w:customMarkFollows="1"/>
        <w:t>*</w:t>
      </w:r>
      <w:bookmarkEnd w:id="7045"/>
      <w:bookmarkStart w:id="5612" w:name="_fnr4259"/>
      <w:r>
        <w:rPr>
          <w:vertAlign w:val="superscript"/>
          <w:rtl/>
        </w:rPr>
        <w:footnoteReference w:id="4269" w:customMarkFollows="0"/>
      </w:r>
      <w:bookmarkEnd w:id="5612"/>
      <w:r>
        <w:rPr>
          <w:rtl/>
        </w:rPr>
        <w:t xml:space="preserve">. אבל ר׳ </w:t>
      </w:r>
      <w:proofErr w:type="spellStart"/>
      <w:r>
        <w:rPr>
          <w:rtl/>
        </w:rPr>
        <w:t>יהושע־העשיל</w:t>
      </w:r>
      <w:proofErr w:type="spellEnd"/>
      <w:r>
        <w:rPr>
          <w:rtl/>
        </w:rPr>
        <w:t xml:space="preserve"> לוין אכן היה שותף מלא למטרותיו של ר׳ ישראל.</w:t>
      </w:r>
    </w:p>
    <w:bookmarkStart w:id="5613" w:name="b4_excN"/>
    <w:bookmarkStart w:id="5614" w:name="b4_annexN"/>
    <w:p w14:paraId="03DDCE2D" w14:textId="77777777" w:rsidR="00AB3647" w:rsidRDefault="00000000" w:rsidP="007923E9">
      <w:pPr>
        <w:pStyle w:val="3"/>
        <w:pageBreakBefore w:val="0"/>
        <w:spacing w:line="276" w:lineRule="auto"/>
      </w:pPr>
      <w:r>
        <w:fldChar w:fldCharType="begin" w:dirty="true"/>
      </w:r>
      <w:r>
        <w:rPr>
          <w:rtl w:val="0"/>
        </w:rPr>
        <w:instrText>HYPERLINK \l "b4_note122</w:instrText>
      </w:r>
      <w:r>
        <w:instrText>"</w:instrText>
      </w:r>
      <w:r>
        <w:fldChar w:fldCharType="separate"/>
      </w:r>
      <w:r>
        <w:t>נספח יד</w:t>
      </w:r>
      <w:r>
        <w:fldChar w:fldCharType="end"/>
      </w:r>
      <w:bookmarkEnd w:id="5613"/>
      <w:bookmarkEnd w:id="5614"/>
    </w:p>
    <w:p w14:paraId="6F3B4127" w14:textId="77777777" w:rsidR="00AB3647" w:rsidRDefault="00000000" w:rsidP="007923E9">
      <w:pPr>
        <w:pStyle w:val="af"/>
        <w:spacing w:line="276" w:lineRule="auto"/>
      </w:pPr>
      <w:r>
        <w:t xml:space="preserve">על הקשר בין ישיבות </w:t>
      </w:r>
      <w:proofErr w:type="spellStart"/>
      <w:r>
        <w:t>סלבודקה</w:t>
      </w:r>
      <w:proofErr w:type="spellEnd"/>
      <w:r>
        <w:t xml:space="preserve"> </w:t>
      </w:r>
      <w:proofErr w:type="spellStart"/>
      <w:r>
        <w:t>וטלז</w:t>
      </w:r>
      <w:proofErr w:type="spellEnd"/>
      <w:r>
        <w:t xml:space="preserve"> לפני בחירת ר׳ יוסף לייב בלוך ולאחריה</w:t>
      </w:r>
    </w:p>
    <w:p w14:paraId="4F3F66D5" w14:textId="77777777" w:rsidR="00AB3647" w:rsidRDefault="00000000" w:rsidP="007923E9">
      <w:pPr>
        <w:pStyle w:val="4"/>
        <w:spacing w:line="276" w:lineRule="auto"/>
      </w:pPr>
      <w:r>
        <w:t>· הפסקה הראשונה ·</w:t>
      </w:r>
    </w:p>
    <w:p w14:paraId="4E58E859" w14:textId="77777777" w:rsidR="00AB3647" w:rsidRDefault="00000000" w:rsidP="007923E9">
      <w:pPr>
        <w:pStyle w:val="5"/>
        <w:spacing w:line="276" w:lineRule="auto"/>
      </w:pPr>
      <w:r>
        <w:rPr>
          <w:bCs/>
          <w:szCs w:val="26"/>
        </w:rPr>
        <w:t xml:space="preserve">לאחר ששרפה מחריבה את </w:t>
      </w:r>
      <w:proofErr w:type="spellStart"/>
      <w:r>
        <w:rPr>
          <w:bCs/>
          <w:szCs w:val="26"/>
        </w:rPr>
        <w:t>טלז</w:t>
      </w:r>
      <w:proofErr w:type="spellEnd"/>
      <w:r>
        <w:rPr>
          <w:bCs/>
          <w:szCs w:val="26"/>
        </w:rPr>
        <w:t xml:space="preserve">, הסבא </w:t>
      </w:r>
      <w:proofErr w:type="spellStart"/>
      <w:r>
        <w:rPr>
          <w:bCs/>
          <w:szCs w:val="26"/>
        </w:rPr>
        <w:t>מסלבודקה</w:t>
      </w:r>
      <w:proofErr w:type="spellEnd"/>
      <w:r>
        <w:rPr>
          <w:bCs/>
          <w:szCs w:val="26"/>
        </w:rPr>
        <w:t xml:space="preserve"> שולח לשם ישיבה על כל שכבותיה – עמדת ר׳ לייזר גורדון בעניין לימוד המוסר אינה </w:t>
      </w:r>
      <w:proofErr w:type="spellStart"/>
      <w:r>
        <w:rPr>
          <w:bCs/>
          <w:szCs w:val="26"/>
        </w:rPr>
        <w:t>חד־משמעית</w:t>
      </w:r>
      <w:proofErr w:type="spellEnd"/>
      <w:r>
        <w:rPr>
          <w:bCs/>
          <w:szCs w:val="26"/>
        </w:rPr>
        <w:t xml:space="preserve"> – בשלב מסוים הוא מכריז שהמוסר חיוני – אהבתו לתלמידים מעוורת את עיניו מלראות כמה מהם זקוקים למוסר להתפתחותם – הקשרים בין </w:t>
      </w:r>
      <w:proofErr w:type="spellStart"/>
      <w:r>
        <w:rPr>
          <w:bCs/>
          <w:szCs w:val="26"/>
        </w:rPr>
        <w:t>טלז</w:t>
      </w:r>
      <w:proofErr w:type="spellEnd"/>
      <w:r>
        <w:rPr>
          <w:bCs/>
          <w:szCs w:val="26"/>
        </w:rPr>
        <w:t xml:space="preserve"> </w:t>
      </w:r>
      <w:proofErr w:type="spellStart"/>
      <w:r>
        <w:rPr>
          <w:bCs/>
          <w:szCs w:val="26"/>
        </w:rPr>
        <w:t>לסלבודקה</w:t>
      </w:r>
      <w:proofErr w:type="spellEnd"/>
      <w:r>
        <w:rPr>
          <w:bCs/>
          <w:szCs w:val="26"/>
        </w:rPr>
        <w:t xml:space="preserve"> מתחזקים</w:t>
      </w:r>
    </w:p>
    <w:p w14:paraId="43D6788C" w14:textId="77777777" w:rsidR="00AB3647" w:rsidRDefault="00000000" w:rsidP="007923E9">
      <w:pPr>
        <w:spacing w:after="120" w:line="276" w:lineRule="auto"/>
        <w:ind w:firstLine="283"/>
        <w:jc w:val="both"/>
      </w:pPr>
      <w:r>
        <w:rPr>
          <w:rtl/>
        </w:rPr>
        <w:t>הן בשיחה המוקלטת עם אברכי הכולל של ישיבת רבנו ישראל מאיר הכהן</w:t>
      </w:r>
      <w:bookmarkStart w:id="5615" w:name="_fnr4260"/>
      <w:r>
        <w:rPr>
          <w:vertAlign w:val="superscript"/>
          <w:rtl/>
        </w:rPr>
        <w:footnoteReference w:id="4270" w:customMarkFollows="0"/>
      </w:r>
      <w:bookmarkEnd w:id="5615"/>
      <w:r>
        <w:rPr>
          <w:rtl/>
        </w:rPr>
        <w:t xml:space="preserve"> והן בריאיון המוקלט על הסבא </w:t>
      </w:r>
      <w:proofErr w:type="spellStart"/>
      <w:r>
        <w:rPr>
          <w:rtl/>
        </w:rPr>
        <w:t>מסלבודקה</w:t>
      </w:r>
      <w:bookmarkStart w:id="5616" w:name="_fnr4261"/>
      <w:proofErr w:type="spellEnd"/>
      <w:r>
        <w:rPr>
          <w:vertAlign w:val="superscript"/>
          <w:rtl/>
        </w:rPr>
        <w:footnoteReference w:id="4271" w:customMarkFollows="0"/>
      </w:r>
      <w:bookmarkEnd w:id="5616"/>
      <w:r>
        <w:rPr>
          <w:rtl/>
        </w:rPr>
        <w:t xml:space="preserve"> הזכיר אבי פעם שלישית שבה נחלץ הסבא לעזרת ר׳ לייזר, אחרי משלוחי התלמידים ב־1905 וב־1906 שנזכרו כאן: אחרי השרפה </w:t>
      </w:r>
      <w:proofErr w:type="spellStart"/>
      <w:r>
        <w:rPr>
          <w:rtl/>
        </w:rPr>
        <w:t>בטלז</w:t>
      </w:r>
      <w:bookmarkStart w:id="5617" w:name="_fnr4262"/>
      <w:proofErr w:type="spellEnd"/>
      <w:r>
        <w:rPr>
          <w:vertAlign w:val="superscript"/>
          <w:rtl/>
        </w:rPr>
        <w:footnoteReference w:id="4272" w:customMarkFollows="0"/>
      </w:r>
      <w:bookmarkEnd w:id="5617"/>
      <w:r>
        <w:rPr>
          <w:rtl/>
        </w:rPr>
        <w:t xml:space="preserve">, לקראת זמן החורף של תרס״ט, הסבא </w:t>
      </w:r>
      <w:proofErr w:type="spellStart"/>
      <w:r>
        <w:rPr>
          <w:rtl/>
        </w:rPr>
        <w:t>מסלבודקה</w:t>
      </w:r>
      <w:proofErr w:type="spellEnd"/>
      <w:r>
        <w:rPr>
          <w:rtl/>
        </w:rPr>
        <w:t xml:space="preserve"> “שלח לשם ישיבה על כל שכבותיה – בחורים מבוגרים, בחורים בינוניים ובחורים צעירים”. אבי אמר: “מכאן ואילך חי ר׳ לייזר [בנחת] כדג במים: מעולם לא הרגיש </w:t>
      </w:r>
      <w:proofErr w:type="spellStart"/>
      <w:r>
        <w:rPr>
          <w:rtl/>
        </w:rPr>
        <w:t>בר־מזל</w:t>
      </w:r>
      <w:proofErr w:type="spellEnd"/>
      <w:r>
        <w:rPr>
          <w:rtl/>
        </w:rPr>
        <w:t xml:space="preserve"> כל כך. בהשפעת ר׳ ישראל </w:t>
      </w:r>
      <w:proofErr w:type="spellStart"/>
      <w:r>
        <w:rPr>
          <w:rtl/>
        </w:rPr>
        <w:t>סלנטר</w:t>
      </w:r>
      <w:bookmarkStart w:id="5618" w:name="_fnr4263"/>
      <w:proofErr w:type="spellEnd"/>
      <w:r>
        <w:rPr>
          <w:vertAlign w:val="superscript"/>
          <w:rtl/>
        </w:rPr>
        <w:footnoteReference w:id="4273" w:customMarkFollows="0"/>
      </w:r>
      <w:bookmarkEnd w:id="5618"/>
      <w:r>
        <w:rPr>
          <w:rtl/>
        </w:rPr>
        <w:t xml:space="preserve"> השתוקק כל ימיו שתהיה לו ישיבת מוסר, אבל עד אותה שעה לא הצליח בכך”.</w:t>
      </w:r>
    </w:p>
    <w:p w14:paraId="15DB6103" w14:textId="77777777" w:rsidR="00AB3647" w:rsidRDefault="00000000" w:rsidP="007923E9">
      <w:pPr>
        <w:spacing w:after="120" w:line="276" w:lineRule="auto"/>
        <w:ind w:firstLine="283"/>
        <w:jc w:val="both"/>
      </w:pPr>
      <w:r>
        <w:rPr>
          <w:rtl/>
        </w:rPr>
        <w:t xml:space="preserve">דברי אבי על דבקות ר׳ לייזר ברעיונות המוסר של ר׳ ישראל </w:t>
      </w:r>
      <w:proofErr w:type="spellStart"/>
      <w:r>
        <w:rPr>
          <w:rtl/>
        </w:rPr>
        <w:t>סלנטר</w:t>
      </w:r>
      <w:proofErr w:type="spellEnd"/>
      <w:r>
        <w:rPr>
          <w:rtl/>
        </w:rPr>
        <w:t xml:space="preserve"> נראים כסותרים את הטענה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19" w:name="_fnr4264"/>
      <w:r>
        <w:rPr>
          <w:vertAlign w:val="superscript"/>
          <w:rtl/>
        </w:rPr>
        <w:footnoteReference w:id="4274" w:customMarkFollows="0"/>
      </w:r>
      <w:bookmarkEnd w:id="5619"/>
      <w:r>
        <w:rPr>
          <w:rtl/>
        </w:rPr>
        <w:t xml:space="preserve">, שעמדת ר׳ לייזר גורדון בעניין שילוב המוסר בתוכנית ישיבתו לא הייתה </w:t>
      </w:r>
      <w:proofErr w:type="spellStart"/>
      <w:r>
        <w:rPr>
          <w:rtl/>
        </w:rPr>
        <w:t>חד־משמעית</w:t>
      </w:r>
      <w:proofErr w:type="spellEnd"/>
      <w:r>
        <w:rPr>
          <w:rtl/>
        </w:rPr>
        <w:t xml:space="preserve">. אולם הנאום שנשא ר׳ לייזר בפתיחת הלימודים, המובא </w:t>
      </w:r>
      <w:proofErr w:type="spellStart"/>
      <w:r>
        <w:rPr>
          <w:rtl/>
        </w:rPr>
        <w:t>ב“פון</w:t>
      </w:r>
      <w:proofErr w:type="spellEnd"/>
      <w:r>
        <w:rPr>
          <w:rtl/>
        </w:rPr>
        <w:t xml:space="preserve">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620" w:name="_fnr4265"/>
      <w:r>
        <w:rPr>
          <w:vertAlign w:val="superscript"/>
          <w:rtl/>
        </w:rPr>
        <w:footnoteReference w:id="4275" w:customMarkFollows="0"/>
      </w:r>
      <w:bookmarkEnd w:id="5620"/>
      <w:r>
        <w:rPr>
          <w:rtl/>
        </w:rPr>
        <w:t>, דווקא מוכיח את צדקת השקפת רבנו, ולא את השקפת מחבר הספר.</w:t>
      </w:r>
    </w:p>
    <w:p w14:paraId="1C2574E0" w14:textId="3615FC0F" w:rsidR="00AB3647" w:rsidRDefault="00000000" w:rsidP="007923E9">
      <w:pPr>
        <w:spacing w:after="120" w:line="276" w:lineRule="auto"/>
        <w:ind w:firstLine="283"/>
        <w:jc w:val="both"/>
      </w:pPr>
      <w:r>
        <w:rPr>
          <w:rtl/>
        </w:rPr>
        <w:lastRenderedPageBreak/>
        <w:t xml:space="preserve">התפטרות ר׳ יוסף לייב מישיבת חותנו בוודאי אינה מעידה שר׳ לייזר התנגד למוסר (אפילו באותה תקופה שלפני המהפכה). ייתכן שהמחלוקת ביניהם נסבה על </w:t>
      </w:r>
      <w:proofErr w:type="spellStart"/>
      <w:r>
        <w:rPr>
          <w:rtl/>
        </w:rPr>
        <w:t>גישותיהם</w:t>
      </w:r>
      <w:proofErr w:type="spellEnd"/>
      <w:r>
        <w:rPr>
          <w:rtl/>
        </w:rPr>
        <w:t xml:space="preserve"> השונות בענייני ניהול – או שתלמידי חכמים אלה פשוט נחלקו בשיטת המוסר, כשם ששיטת ר׳ יוסף לייב הייתה שונה משיטות הסבא מקלם והסבא </w:t>
      </w:r>
      <w:proofErr w:type="spellStart"/>
      <w:r>
        <w:rPr>
          <w:rtl/>
        </w:rPr>
        <w:t>מסלבודקה</w:t>
      </w:r>
      <w:proofErr w:type="spellEnd"/>
      <w:r>
        <w:rPr>
          <w:rtl/>
        </w:rPr>
        <w:t xml:space="preserve">, כמבואר בהערה </w:t>
      </w:r>
      <w:r>
        <w:rPr>
          <w:rtl/>
        </w:rPr>
        <w:fldChar w:fldCharType="begin" w:dirty="true"/>
      </w:r>
      <w:r>
        <w:rPr>
          <w:rtl/>
        </w:rPr>
        <w:instrText xml:space="preserve"> REF b4_note107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107</w:t>
      </w:r>
      <w:r>
        <w:rPr>
          <w:rtl/>
        </w:rPr>
        <w:fldChar w:fldCharType="end"/>
      </w:r>
      <w:r>
        <w:rPr>
          <w:rtl/>
        </w:rPr>
        <w:t xml:space="preserve"> לעיל. השווה גם </w:t>
      </w:r>
      <w:proofErr w:type="spellStart"/>
      <w:r>
        <w:rPr>
          <w:rtl/>
        </w:rPr>
        <w:t>רבינר</w:t>
      </w:r>
      <w:proofErr w:type="spellEnd"/>
      <w:r>
        <w:rPr>
          <w:rtl/>
        </w:rPr>
        <w:t>, “הגאון רבי אליעזר גורדון”</w:t>
      </w:r>
      <w:bookmarkStart w:id="5621" w:name="_fnr4266"/>
      <w:r>
        <w:rPr>
          <w:vertAlign w:val="superscript"/>
          <w:rtl/>
        </w:rPr>
        <w:footnoteReference w:id="4276" w:customMarkFollows="0"/>
      </w:r>
      <w:bookmarkEnd w:id="5621"/>
      <w:r>
        <w:rPr>
          <w:rtl/>
        </w:rPr>
        <w:t xml:space="preserve">, המביא את הערכת ר׳ </w:t>
      </w:r>
      <w:proofErr w:type="spellStart"/>
      <w:r>
        <w:rPr>
          <w:rtl/>
        </w:rPr>
        <w:t>יחיאל־יעקב</w:t>
      </w:r>
      <w:proofErr w:type="spellEnd"/>
      <w:r>
        <w:rPr>
          <w:rtl/>
        </w:rPr>
        <w:t xml:space="preserve"> ויינברג, ש”(ר׳ לייזר) לא היה מבעלי המוסר אף שהיה מקורב </w:t>
      </w:r>
      <w:proofErr w:type="spellStart"/>
      <w:r>
        <w:rPr>
          <w:rtl/>
        </w:rPr>
        <w:t>לר</w:t>
      </w:r>
      <w:proofErr w:type="spellEnd"/>
      <w:r>
        <w:rPr>
          <w:rtl/>
        </w:rPr>
        <w:t xml:space="preserve">׳ ישראל </w:t>
      </w:r>
      <w:proofErr w:type="spellStart"/>
      <w:r>
        <w:rPr>
          <w:rtl/>
        </w:rPr>
        <w:t>סלנטר</w:t>
      </w:r>
      <w:proofErr w:type="spellEnd"/>
      <w:r>
        <w:rPr>
          <w:rtl/>
        </w:rPr>
        <w:t xml:space="preserve">”; אבל השווה </w:t>
      </w:r>
      <w:r>
        <w:rPr>
          <w:rtl/>
        </w:rPr>
        <w:fldChar w:fldCharType="begin" w:dirty="true"/>
      </w:r>
      <w:r>
        <w:rPr>
          <w:rtl/>
        </w:rPr>
        <w:instrText xml:space="preserve"> REF b4_excD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 xml:space="preserve"> לעיל, בעניין דעת אבי על חולשת זיקתו של ר׳ </w:t>
      </w:r>
      <w:proofErr w:type="spellStart"/>
      <w:r>
        <w:rPr>
          <w:rtl/>
        </w:rPr>
        <w:t>יחיאל־יעקב</w:t>
      </w:r>
      <w:proofErr w:type="spellEnd"/>
      <w:r>
        <w:rPr>
          <w:rtl/>
        </w:rPr>
        <w:t xml:space="preserve"> ויינברג עצמו למוסר.</w:t>
      </w:r>
    </w:p>
    <w:p w14:paraId="64018579" w14:textId="77777777" w:rsidR="00AB3647" w:rsidRDefault="00000000" w:rsidP="007923E9">
      <w:pPr>
        <w:spacing w:after="120" w:line="276" w:lineRule="auto"/>
        <w:ind w:firstLine="283"/>
        <w:jc w:val="both"/>
      </w:pPr>
      <w:r>
        <w:rPr>
          <w:rtl/>
        </w:rPr>
        <w:t>אמרה מעניינת של ר׳ לייזר גורדון בעניין המוסר מובאת שם</w:t>
      </w:r>
      <w:bookmarkStart w:id="5622" w:name="_fnr4267"/>
      <w:r>
        <w:rPr>
          <w:vertAlign w:val="superscript"/>
          <w:rtl/>
        </w:rPr>
        <w:footnoteReference w:id="4277" w:customMarkFollows="0"/>
      </w:r>
      <w:bookmarkEnd w:id="5622"/>
      <w:r>
        <w:rPr>
          <w:rtl/>
        </w:rPr>
        <w:t xml:space="preserve">. בהספדו על ר׳ ישראל </w:t>
      </w:r>
      <w:proofErr w:type="spellStart"/>
      <w:r>
        <w:rPr>
          <w:rtl/>
        </w:rPr>
        <w:t>סלנטר</w:t>
      </w:r>
      <w:proofErr w:type="spellEnd"/>
      <w:r>
        <w:rPr>
          <w:rtl/>
        </w:rPr>
        <w:t xml:space="preserve"> אמר: “הכול, הן חסידי המוסר והן מתנגדי המוסר, צריכים להתאבל על פטירת ר׳ ישראל: הראשונים – מפני שאיבדו את רבם, שפתח לפניהם דרך חדשה ליראת ה׳; והאחרונים – מפני שהעמידם בפני האתגר להתאמץ [ולפתח השקפה] המוכיחה שאפשר להיות ירא ה׳ בלי ללמוד מוסר”. אמרה זו מותירה את הקורא בספק באשר לעמדתו של ר׳ לייזר גורדון עצמו בעניין המוסר.</w:t>
      </w:r>
    </w:p>
    <w:p w14:paraId="296A5377" w14:textId="77777777" w:rsidR="00AB3647" w:rsidRDefault="00000000" w:rsidP="007923E9">
      <w:pPr>
        <w:spacing w:after="120" w:line="276" w:lineRule="auto"/>
        <w:ind w:firstLine="283"/>
        <w:jc w:val="both"/>
      </w:pPr>
      <w:r>
        <w:rPr>
          <w:rtl/>
        </w:rPr>
        <w:t xml:space="preserve">גם מכתב של אחד מתלמידי ר׳ לייזר, ד״ר משה </w:t>
      </w:r>
      <w:proofErr w:type="spellStart"/>
      <w:r>
        <w:rPr>
          <w:rtl/>
        </w:rPr>
        <w:t>זיידל</w:t>
      </w:r>
      <w:proofErr w:type="spellEnd"/>
      <w:r>
        <w:rPr>
          <w:rtl/>
        </w:rPr>
        <w:t>, המובא שם</w:t>
      </w:r>
      <w:bookmarkStart w:id="5623" w:name="_fnr4268"/>
      <w:r>
        <w:rPr>
          <w:vertAlign w:val="superscript"/>
          <w:rtl/>
        </w:rPr>
        <w:footnoteReference w:id="4278" w:customMarkFollows="0"/>
      </w:r>
      <w:bookmarkEnd w:id="5623"/>
      <w:r>
        <w:rPr>
          <w:rtl/>
        </w:rPr>
        <w:t xml:space="preserve">, מציג את עמדת ר׳ לייזר בעניין לימוד המוסר בישיבה כעמדה לא </w:t>
      </w:r>
      <w:proofErr w:type="spellStart"/>
      <w:r>
        <w:rPr>
          <w:rtl/>
        </w:rPr>
        <w:t>חד־משמעית</w:t>
      </w:r>
      <w:proofErr w:type="spellEnd"/>
      <w:r>
        <w:rPr>
          <w:rtl/>
        </w:rPr>
        <w:t xml:space="preserve">. הוא כותב: “מקובל היה בין תלמידי הישיבה ש[ר׳ לייזר גורדון] אינו מן המצדדים בלימוד המוסר בישיבה... עם זאת, לא היה מתנגד מפורש ללימוד המוסר. יש להניח שראה בחיוב הנהגת לימוד מוסר בישיבה במידה מוגבלת – מעין לימוד של רשות, ולא לימוד חובה כפי שקבעו אותו ר׳ יוסף לייב בלוך, המנהל בפועל, ור׳ לייב חסמן, המשגיח הראשי. ר׳ לייזר גורדון הביע דעה מתונה זו (ההדגשה נוספה) גם בנאומו לפני כלל התלמידים בחורף תרס״ב, לאחר שר׳ יוסף לייב בלוך עזב את הישיבה כדי לכהן כרב </w:t>
      </w:r>
      <w:proofErr w:type="spellStart"/>
      <w:r>
        <w:rPr>
          <w:rtl/>
        </w:rPr>
        <w:t>בוורנה</w:t>
      </w:r>
      <w:bookmarkStart w:id="5624" w:name="_fnr4269"/>
      <w:proofErr w:type="spellEnd"/>
      <w:r>
        <w:rPr>
          <w:vertAlign w:val="superscript"/>
          <w:rtl/>
        </w:rPr>
        <w:footnoteReference w:id="4279" w:customMarkFollows="0"/>
      </w:r>
      <w:bookmarkEnd w:id="5624"/>
      <w:r>
        <w:rPr>
          <w:rtl/>
        </w:rPr>
        <w:t xml:space="preserve">, והנהלת הישיבה עברה לידי ר׳ לייזר גורדון לא רק להלכה אלא גם למעשה. בנאומו עורר את התלמידים לשקידה בלימוד. הוא ציין: ‘יש לשמור על סדר המוסר המקובל בן עשרים הדקות שלפני ערבית; ואף כי׳ – דומני שאלה היו מילותיו ממש של ר׳ לייזר גורדון – ‘יש מי שאינם מצדדים בלימוד המוסר, אין הדבר ראוי כשמדובר בלימוד מוסר המשולב בתלמוד תורה, שכן חכמה ומוסר [כשהם יחד] [רק] </w:t>
      </w:r>
      <w:proofErr w:type="spellStart"/>
      <w:r>
        <w:rPr>
          <w:rtl/>
        </w:rPr>
        <w:t>אוילים</w:t>
      </w:r>
      <w:proofErr w:type="spellEnd"/>
      <w:r>
        <w:rPr>
          <w:rtl/>
        </w:rPr>
        <w:t xml:space="preserve"> בזו</w:t>
      </w:r>
      <w:bookmarkStart w:id="5625" w:name="_fnr4270"/>
      <w:r>
        <w:rPr>
          <w:vertAlign w:val="superscript"/>
          <w:rtl/>
        </w:rPr>
        <w:footnoteReference w:id="4280" w:customMarkFollows="0"/>
      </w:r>
      <w:bookmarkEnd w:id="5625"/>
      <w:r>
        <w:rPr>
          <w:rtl/>
        </w:rPr>
        <w:t>’”.</w:t>
      </w:r>
    </w:p>
    <w:p w14:paraId="6F10D445" w14:textId="77777777" w:rsidR="00AB3647" w:rsidRDefault="00000000" w:rsidP="007923E9">
      <w:pPr>
        <w:spacing w:after="120" w:line="276" w:lineRule="auto"/>
        <w:ind w:firstLine="283"/>
        <w:jc w:val="both"/>
      </w:pPr>
      <w:proofErr w:type="spellStart"/>
      <w:r>
        <w:rPr>
          <w:rtl/>
        </w:rPr>
        <w:t>ורהפטיג</w:t>
      </w:r>
      <w:bookmarkStart w:id="5626" w:name="_fnr4271"/>
      <w:proofErr w:type="spellEnd"/>
      <w:r>
        <w:rPr>
          <w:vertAlign w:val="superscript"/>
          <w:rtl/>
        </w:rPr>
        <w:footnoteReference w:id="4281" w:customMarkFollows="0"/>
      </w:r>
      <w:bookmarkEnd w:id="5626"/>
      <w:r>
        <w:rPr>
          <w:rtl/>
        </w:rPr>
        <w:t xml:space="preserve"> מביא נאום של ר׳ לייזר גורדון מתקופה מוקדמת יותר</w:t>
      </w:r>
      <w:bookmarkStart w:id="5627" w:name="_fnr4272"/>
      <w:r>
        <w:rPr>
          <w:vertAlign w:val="superscript"/>
          <w:rtl/>
        </w:rPr>
        <w:footnoteReference w:id="4282" w:customMarkFollows="0"/>
      </w:r>
      <w:bookmarkEnd w:id="5627"/>
      <w:r>
        <w:rPr>
          <w:rtl/>
        </w:rPr>
        <w:t xml:space="preserve">, שבו לא גילה שום מתינות בעניין המוסר, אלא הכריז: “אני מוחל לכם על המרד ועל הצער שגרמתם לי – איני חושד שכוונתכם הייתה רעה. ודאי התכוונתם לשם שמים כשחשבתם שלימוד המוסר מעכב את לימוד התורה. אך טעיתם: זהו רעיון מזיק שנכשלתם בו שלא במתכוון. חבריכם המוסתים, שכוונותיהם לא היו טהורות, הכשילו אתכם, וההנהלה החליטה לסלקם מן הישיבה... בצער </w:t>
      </w:r>
      <w:r>
        <w:rPr>
          <w:rtl/>
        </w:rPr>
        <w:lastRenderedPageBreak/>
        <w:t>רב עליי להודיע שהחלטנו להעביר מתפקידו את המשגיח... ר׳ לייב חסמן...</w:t>
      </w:r>
      <w:bookmarkStart w:id="5628" w:name="_fnr4273"/>
      <w:r>
        <w:rPr>
          <w:vertAlign w:val="superscript"/>
          <w:rtl/>
        </w:rPr>
        <w:footnoteReference w:id="4283" w:customMarkFollows="0"/>
      </w:r>
      <w:bookmarkEnd w:id="5628"/>
      <w:r>
        <w:rPr>
          <w:rtl/>
        </w:rPr>
        <w:t>, שטעה בניהולו התקיף והעלה את רוח המוסר לא שלב אחר שלב, מעט מעט, אלא בבת אחת... ואני מוסיף ומודיע שמכאן ואילך יהיו השיעורים הראשון והשני פטורים מלימוד המוסר”.</w:t>
      </w:r>
    </w:p>
    <w:p w14:paraId="73AC4550" w14:textId="0473A84A" w:rsidR="00AB3647" w:rsidRDefault="00000000" w:rsidP="007923E9">
      <w:pPr>
        <w:spacing w:after="120" w:line="276" w:lineRule="auto"/>
        <w:ind w:firstLine="283"/>
        <w:jc w:val="both"/>
      </w:pPr>
      <w:r>
        <w:rPr>
          <w:rtl/>
        </w:rPr>
        <w:t xml:space="preserve">השווה גם הערה </w:t>
      </w:r>
      <w:r>
        <w:rPr>
          <w:sz w:val="18"/>
          <w:szCs w:val="18"/>
          <w:vertAlign w:val="superscript"/>
          <w:rtl/>
        </w:rPr>
        <w:t>127</w:t>
      </w:r>
      <w:r>
        <w:rPr>
          <w:rtl/>
        </w:rPr>
        <w:t xml:space="preserve"> לעיל על נחישותו הרבה של ר׳ לייזר לכלול את המוסר בתוכנית הלימודים. והשווה סוף 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 שם מפרט התלמיד ש. אסף את המאורע, את הזמן ואת הסיבה שבעקבותיהם החליט ר׳ לייזר שלימוד המוסר בישיבה חיוני: מרד התלמידים נגד מינוי </w:t>
      </w:r>
      <w:proofErr w:type="spellStart"/>
      <w:r>
        <w:rPr>
          <w:rtl/>
        </w:rPr>
        <w:t>הירשוביץ</w:t>
      </w:r>
      <w:proofErr w:type="spellEnd"/>
      <w:r>
        <w:rPr>
          <w:rtl/>
        </w:rPr>
        <w:t>, בתחילת תרס״ה.</w:t>
      </w:r>
    </w:p>
    <w:p w14:paraId="32EBFDC8" w14:textId="77777777" w:rsidR="00AB3647" w:rsidRDefault="00000000" w:rsidP="007923E9">
      <w:pPr>
        <w:spacing w:after="120" w:line="276" w:lineRule="auto"/>
        <w:ind w:firstLine="283"/>
        <w:jc w:val="both"/>
      </w:pPr>
      <w:r>
        <w:rPr>
          <w:rtl/>
        </w:rPr>
        <w:t xml:space="preserve">אפשר ליישב את הדעות הסותרות על יחסו של ר׳ לייזר גורדון למוסר על פי מה שידוע לנו על חינוכו שלו למוסר בשנות התעצבותו, בחסות ר׳ ישראל </w:t>
      </w:r>
      <w:proofErr w:type="spellStart"/>
      <w:r>
        <w:rPr>
          <w:rtl/>
        </w:rPr>
        <w:t>סלנטר</w:t>
      </w:r>
      <w:proofErr w:type="spellEnd"/>
      <w:r>
        <w:rPr>
          <w:rtl/>
        </w:rPr>
        <w:t xml:space="preserve">. ר׳ ישראל פטר את לייזר גורדון הצעיר מלהשתתף בשיחות המוסר שמסר לתלמידי </w:t>
      </w:r>
      <w:proofErr w:type="spellStart"/>
      <w:r>
        <w:rPr>
          <w:rtl/>
        </w:rPr>
        <w:t>הקלויז</w:t>
      </w:r>
      <w:proofErr w:type="spellEnd"/>
      <w:r>
        <w:rPr>
          <w:rtl/>
        </w:rPr>
        <w:t xml:space="preserve"> של </w:t>
      </w:r>
      <w:proofErr w:type="spellStart"/>
      <w:r>
        <w:rPr>
          <w:rtl/>
        </w:rPr>
        <w:t>נביאזר</w:t>
      </w:r>
      <w:proofErr w:type="spellEnd"/>
      <w:r>
        <w:rPr>
          <w:rtl/>
        </w:rPr>
        <w:t>, ואמר: “לימוד המוסר אינו בשבילו – מוטב שישב ויעסוק בלימוד. הראוי לו הוא לנצל את הזמן [שבו אני משוחח עם התלמידים] כדי לחדש איזה חידוש”</w:t>
      </w:r>
      <w:bookmarkStart w:id="5629" w:name="_fnr4274"/>
      <w:r>
        <w:rPr>
          <w:vertAlign w:val="superscript"/>
          <w:rtl/>
        </w:rPr>
        <w:footnoteReference w:id="4284" w:customMarkFollows="0"/>
      </w:r>
      <w:bookmarkEnd w:id="5629"/>
      <w:r>
        <w:rPr>
          <w:rtl/>
        </w:rPr>
        <w:t>.</w:t>
      </w:r>
    </w:p>
    <w:p w14:paraId="2273B4E7" w14:textId="77777777" w:rsidR="00AB3647" w:rsidRDefault="00000000" w:rsidP="007923E9">
      <w:pPr>
        <w:spacing w:after="120" w:line="276" w:lineRule="auto"/>
        <w:ind w:firstLine="283"/>
        <w:jc w:val="both"/>
      </w:pPr>
      <w:r>
        <w:rPr>
          <w:rtl/>
        </w:rPr>
        <w:t xml:space="preserve">ייתכן מאוד שכשם שר׳ ישראל ראה את ר׳ לייזר לעומת שאר תלמידי </w:t>
      </w:r>
      <w:proofErr w:type="spellStart"/>
      <w:r>
        <w:rPr>
          <w:rtl/>
        </w:rPr>
        <w:t>הקלויז</w:t>
      </w:r>
      <w:proofErr w:type="spellEnd"/>
      <w:r>
        <w:rPr>
          <w:rtl/>
        </w:rPr>
        <w:t xml:space="preserve">, כך ראה ר׳ לייזר את בחירי תלמידי </w:t>
      </w:r>
      <w:proofErr w:type="spellStart"/>
      <w:r>
        <w:rPr>
          <w:rtl/>
        </w:rPr>
        <w:t>טלז</w:t>
      </w:r>
      <w:proofErr w:type="spellEnd"/>
      <w:r>
        <w:rPr>
          <w:rtl/>
        </w:rPr>
        <w:t xml:space="preserve"> לעומת הישיבה בכללה: לו עצמו ולבחירים לא היה המוסר נחוץ, ואילו לאחרים היה הכרחי. ייתכן ששינה את דעתו מזמן לזמן בשאלה איזה חלק מן התלמידים זקוק למוסר ואיזה חלק ראוי לפטור ממנו. מתוך אהבתו הגדולה לתלמידיו</w:t>
      </w:r>
      <w:bookmarkStart w:id="5630" w:name="_fnr4275"/>
      <w:r>
        <w:rPr>
          <w:vertAlign w:val="superscript"/>
          <w:rtl/>
        </w:rPr>
        <w:footnoteReference w:id="4285" w:customMarkFollows="0"/>
      </w:r>
      <w:bookmarkEnd w:id="5630"/>
      <w:r>
        <w:rPr>
          <w:rtl/>
        </w:rPr>
        <w:t xml:space="preserve"> וגאוותו בהם אולי טעה בהערכתו והפריז במספר הפטורים</w:t>
      </w:r>
      <w:bookmarkStart w:id="5631" w:name="_fnr4276"/>
      <w:r>
        <w:rPr>
          <w:vertAlign w:val="superscript"/>
          <w:rtl/>
        </w:rPr>
        <w:footnoteReference w:id="4286" w:customMarkFollows="0"/>
      </w:r>
      <w:bookmarkEnd w:id="5631"/>
      <w:r>
        <w:rPr>
          <w:rtl/>
        </w:rPr>
        <w:t>, עד שבתקופות מסוימות הצטמצם בעיניו מספר הזקוקים למוסר כל כך, שלא היה עוד צורך לקבוע מקצוע זה כחובה בתוכנית הישיבה.</w:t>
      </w:r>
    </w:p>
    <w:p w14:paraId="4BEFD430" w14:textId="77777777" w:rsidR="00AB3647" w:rsidRDefault="00000000" w:rsidP="007923E9">
      <w:pPr>
        <w:spacing w:after="120" w:line="276" w:lineRule="auto"/>
        <w:ind w:firstLine="283"/>
        <w:jc w:val="both"/>
      </w:pPr>
      <w:r>
        <w:rPr>
          <w:rtl/>
        </w:rPr>
        <w:t xml:space="preserve">כישלון מינוי </w:t>
      </w:r>
      <w:proofErr w:type="spellStart"/>
      <w:r>
        <w:rPr>
          <w:rtl/>
        </w:rPr>
        <w:t>הירשוביץ</w:t>
      </w:r>
      <w:proofErr w:type="spellEnd"/>
      <w:r>
        <w:rPr>
          <w:rtl/>
        </w:rPr>
        <w:t xml:space="preserve"> היה נקודת מפנה – לא במאבק פנימי כלשהו שקינן בו בעניין המוסר (מאבק כזה לא היה), אלא בדעתו המשתנה בשאלה כמה מן התלמידים יכולים להסתדר בלעדיו. ייתכן, אם כן, שהמחלוקת בין ר׳ לייזר גורדון </w:t>
      </w:r>
      <w:proofErr w:type="spellStart"/>
      <w:r>
        <w:rPr>
          <w:rtl/>
        </w:rPr>
        <w:t>לר</w:t>
      </w:r>
      <w:proofErr w:type="spellEnd"/>
      <w:r>
        <w:rPr>
          <w:rtl/>
        </w:rPr>
        <w:t>׳ יוסף לייב בלוך אכן עסקה במוסר, אבל רק בשאלה כמה מן התלמידים זקוקים לו ועד כמה צריכה ההנהלה, בהתאם לכך, להקפיד על קידומו – ולא בשאלה אם עליו להיות מרכיב מהותי בתוכנית הישיבה.</w:t>
      </w:r>
    </w:p>
    <w:p w14:paraId="4AAC2036" w14:textId="77777777" w:rsidR="00AB3647" w:rsidRDefault="00000000" w:rsidP="007923E9">
      <w:pPr>
        <w:spacing w:after="120" w:line="276" w:lineRule="auto"/>
        <w:ind w:firstLine="283"/>
        <w:jc w:val="both"/>
      </w:pPr>
      <w:r>
        <w:rPr>
          <w:rtl/>
        </w:rPr>
        <w:t xml:space="preserve">עם זאת יש להוסיף שמחשבתו להביא כמשגיח את ר׳ </w:t>
      </w:r>
      <w:proofErr w:type="spellStart"/>
      <w:r>
        <w:rPr>
          <w:rtl/>
        </w:rPr>
        <w:t>אברהם־יצחק</w:t>
      </w:r>
      <w:proofErr w:type="spellEnd"/>
      <w:r>
        <w:rPr>
          <w:rtl/>
        </w:rPr>
        <w:t xml:space="preserve"> קוק</w:t>
      </w:r>
      <w:bookmarkStart w:id="5632" w:name="_fnr4277"/>
      <w:r>
        <w:rPr>
          <w:vertAlign w:val="superscript"/>
          <w:rtl/>
        </w:rPr>
        <w:footnoteReference w:id="4287" w:customMarkFollows="0"/>
      </w:r>
      <w:bookmarkEnd w:id="5632"/>
      <w:r>
        <w:rPr>
          <w:rtl/>
        </w:rPr>
        <w:t xml:space="preserve">, שהשקפתו הייתה זרה לחלוטין למוסר, מלמדת שאף שר׳ לייזר גורדון ראה בהדרכה ליראת שמים תפקיד של תוכנית הישיבה, אחת משתיים: או שסבר שאין חשיבות לדרך המסוימת שנבחרת לשם כך, או שתפיסתו את המוסר לא הייתה מעמיקה. דוגמה למחויבותו </w:t>
      </w:r>
      <w:r>
        <w:rPr>
          <w:b/>
          <w:bCs/>
          <w:rtl/>
        </w:rPr>
        <w:t>האישית</w:t>
      </w:r>
      <w:r>
        <w:rPr>
          <w:rtl/>
        </w:rPr>
        <w:t xml:space="preserve"> העמוקה של ר׳ לייזר </w:t>
      </w:r>
      <w:r>
        <w:rPr>
          <w:rtl/>
        </w:rPr>
        <w:lastRenderedPageBreak/>
        <w:t xml:space="preserve">למוסר סיפר ר׳ יצחק </w:t>
      </w:r>
      <w:proofErr w:type="spellStart"/>
      <w:r>
        <w:rPr>
          <w:rtl/>
        </w:rPr>
        <w:t>שורין</w:t>
      </w:r>
      <w:bookmarkStart w:id="5633" w:name="_fnr4278"/>
      <w:proofErr w:type="spellEnd"/>
      <w:r>
        <w:rPr>
          <w:vertAlign w:val="superscript"/>
          <w:rtl/>
        </w:rPr>
        <w:footnoteReference w:id="4288" w:customMarkFollows="0"/>
      </w:r>
      <w:bookmarkEnd w:id="5633"/>
      <w:r>
        <w:rPr>
          <w:rtl/>
        </w:rPr>
        <w:t xml:space="preserve"> בשם אבי: בכל פעם שישב בדין תורה החזיק ר׳ לייזר “מסילת ישרים” על שולחנו, ואמר: “כשספר זה לנגד עיניי, אני בטוח שאפסוק בלי נגיעה עצמית”.</w:t>
      </w:r>
    </w:p>
    <w:p w14:paraId="485C8B3D" w14:textId="77777777" w:rsidR="00AB3647" w:rsidRDefault="00000000" w:rsidP="007923E9">
      <w:pPr>
        <w:spacing w:after="120" w:line="276" w:lineRule="auto"/>
        <w:ind w:firstLine="283"/>
        <w:jc w:val="both"/>
      </w:pPr>
      <w:r>
        <w:rPr>
          <w:rtl/>
        </w:rPr>
        <w:t xml:space="preserve">באשר למעורבות </w:t>
      </w:r>
      <w:proofErr w:type="spellStart"/>
      <w:r>
        <w:rPr>
          <w:rtl/>
        </w:rPr>
        <w:t>סלבודקה</w:t>
      </w:r>
      <w:proofErr w:type="spellEnd"/>
      <w:r>
        <w:rPr>
          <w:rtl/>
        </w:rPr>
        <w:t xml:space="preserve"> בישיבת </w:t>
      </w:r>
      <w:proofErr w:type="spellStart"/>
      <w:r>
        <w:rPr>
          <w:rtl/>
        </w:rPr>
        <w:t>טלז</w:t>
      </w:r>
      <w:proofErr w:type="spellEnd"/>
      <w:r>
        <w:rPr>
          <w:rtl/>
        </w:rPr>
        <w:t xml:space="preserve">, עיון נוסף מעלה ששלוש פעולות ההצלה של </w:t>
      </w:r>
      <w:proofErr w:type="spellStart"/>
      <w:r>
        <w:rPr>
          <w:rtl/>
        </w:rPr>
        <w:t>סלבודקה</w:t>
      </w:r>
      <w:proofErr w:type="spellEnd"/>
      <w:r>
        <w:rPr>
          <w:rtl/>
        </w:rPr>
        <w:t xml:space="preserve"> היו התפתחות הדרגתית. על המשלוח הראשון, מספר קטן של בחורים מעולים, סברו בטעות שיוכל להשפיע לטובה כשישולב </w:t>
      </w:r>
      <w:proofErr w:type="spellStart"/>
      <w:r>
        <w:rPr>
          <w:rtl/>
        </w:rPr>
        <w:t>בטלז</w:t>
      </w:r>
      <w:proofErr w:type="spellEnd"/>
      <w:r>
        <w:rPr>
          <w:rtl/>
        </w:rPr>
        <w:t xml:space="preserve"> הקיימת. על המשלוח השני – מספר גדול יותר, ובה בעת הותר לתלמידי </w:t>
      </w:r>
      <w:proofErr w:type="spellStart"/>
      <w:r>
        <w:rPr>
          <w:rtl/>
        </w:rPr>
        <w:t>טלז</w:t>
      </w:r>
      <w:proofErr w:type="spellEnd"/>
      <w:r>
        <w:rPr>
          <w:rtl/>
        </w:rPr>
        <w:t xml:space="preserve"> “לשעבר” לחזור – הניחו בטעות שיוכל ליצור ישיבה מחודשת שתהיה שותפה רעיונית </w:t>
      </w:r>
      <w:proofErr w:type="spellStart"/>
      <w:r>
        <w:rPr>
          <w:rtl/>
        </w:rPr>
        <w:t>לסלבודקה</w:t>
      </w:r>
      <w:proofErr w:type="spellEnd"/>
      <w:r>
        <w:rPr>
          <w:rtl/>
        </w:rPr>
        <w:t xml:space="preserve">. המשלוח השלישי, תלמידי </w:t>
      </w:r>
      <w:proofErr w:type="spellStart"/>
      <w:r>
        <w:rPr>
          <w:rtl/>
        </w:rPr>
        <w:t>סלבודקה</w:t>
      </w:r>
      <w:proofErr w:type="spellEnd"/>
      <w:r>
        <w:rPr>
          <w:rtl/>
        </w:rPr>
        <w:t xml:space="preserve"> מכל שכבות הישיבה, יצר ישיבת </w:t>
      </w:r>
      <w:proofErr w:type="spellStart"/>
      <w:r>
        <w:rPr>
          <w:rtl/>
        </w:rPr>
        <w:t>סלבודקה</w:t>
      </w:r>
      <w:proofErr w:type="spellEnd"/>
      <w:r>
        <w:rPr>
          <w:rtl/>
        </w:rPr>
        <w:t xml:space="preserve"> בעיר </w:t>
      </w:r>
      <w:proofErr w:type="spellStart"/>
      <w:r>
        <w:rPr>
          <w:rtl/>
        </w:rPr>
        <w:t>טלז</w:t>
      </w:r>
      <w:proofErr w:type="spellEnd"/>
      <w:r>
        <w:rPr>
          <w:rtl/>
        </w:rPr>
        <w:t>, תחת ראש הישיבה הנערץ והאהוב ר׳ לייזר גורדון.</w:t>
      </w:r>
    </w:p>
    <w:p w14:paraId="215671E9" w14:textId="77777777" w:rsidR="00AB3647" w:rsidRDefault="00000000" w:rsidP="007923E9">
      <w:pPr>
        <w:spacing w:after="120" w:line="276" w:lineRule="auto"/>
        <w:ind w:firstLine="283"/>
        <w:jc w:val="both"/>
      </w:pPr>
      <w:r>
        <w:rPr>
          <w:rtl/>
        </w:rPr>
        <w:t xml:space="preserve">למרבה ההפתעה, כרכי כץ אינם מזכירים כלל, מסיבות שאינן ידועות, את מעורבות הסבא לאחר השרפה. יתר על כן, לדעתי השיפור ביחס התלמידים </w:t>
      </w:r>
      <w:proofErr w:type="spellStart"/>
      <w:r>
        <w:rPr>
          <w:rtl/>
        </w:rPr>
        <w:t>לר</w:t>
      </w:r>
      <w:proofErr w:type="spellEnd"/>
      <w:r>
        <w:rPr>
          <w:rtl/>
        </w:rPr>
        <w:t xml:space="preserve">׳ שמואל </w:t>
      </w:r>
      <w:proofErr w:type="spellStart"/>
      <w:r>
        <w:rPr>
          <w:rtl/>
        </w:rPr>
        <w:t>פונדילער</w:t>
      </w:r>
      <w:proofErr w:type="spellEnd"/>
      <w:r>
        <w:rPr>
          <w:rtl/>
        </w:rPr>
        <w:t xml:space="preserve"> מזמן בואו </w:t>
      </w:r>
      <w:proofErr w:type="spellStart"/>
      <w:r>
        <w:rPr>
          <w:rtl/>
        </w:rPr>
        <w:t>בתרס״ו</w:t>
      </w:r>
      <w:proofErr w:type="spellEnd"/>
      <w:r>
        <w:rPr>
          <w:rtl/>
        </w:rPr>
        <w:t xml:space="preserve"> ועד עזיבתו </w:t>
      </w:r>
      <w:proofErr w:type="spellStart"/>
      <w:r>
        <w:rPr>
          <w:rtl/>
        </w:rPr>
        <w:t>בתרע״א</w:t>
      </w:r>
      <w:proofErr w:type="spellEnd"/>
      <w:r>
        <w:rPr>
          <w:rtl/>
        </w:rPr>
        <w:t>, הנזכר בספרו של כץ, “תנועת המוסר”, כרך ה</w:t>
      </w:r>
      <w:bookmarkStart w:id="5634" w:name="_fnr4279"/>
      <w:r>
        <w:rPr>
          <w:vertAlign w:val="superscript"/>
          <w:rtl/>
        </w:rPr>
        <w:footnoteReference w:id="4289" w:customMarkFollows="0"/>
      </w:r>
      <w:bookmarkEnd w:id="5634"/>
      <w:r>
        <w:rPr>
          <w:rtl/>
        </w:rPr>
        <w:t xml:space="preserve">, נבע אך ורק מן השינוי בהרכב התלמידים לאחר השרפה, ומן השינוי שבא בעקבותיו בזיקה שבין </w:t>
      </w:r>
      <w:proofErr w:type="spellStart"/>
      <w:r>
        <w:rPr>
          <w:rtl/>
        </w:rPr>
        <w:t>טלז</w:t>
      </w:r>
      <w:proofErr w:type="spellEnd"/>
      <w:r>
        <w:rPr>
          <w:rtl/>
        </w:rPr>
        <w:t xml:space="preserve"> </w:t>
      </w:r>
      <w:proofErr w:type="spellStart"/>
      <w:r>
        <w:rPr>
          <w:rtl/>
        </w:rPr>
        <w:t>לסלבודקה</w:t>
      </w:r>
      <w:proofErr w:type="spellEnd"/>
      <w:r>
        <w:rPr>
          <w:rtl/>
        </w:rPr>
        <w:t>. כמו כן, שתי הקביעות בספרו של כץ</w:t>
      </w:r>
      <w:bookmarkStart w:id="5635" w:name="_fnr4280"/>
      <w:r>
        <w:rPr>
          <w:vertAlign w:val="superscript"/>
          <w:rtl/>
        </w:rPr>
        <w:footnoteReference w:id="4290" w:customMarkFollows="0"/>
      </w:r>
      <w:bookmarkEnd w:id="5635"/>
      <w:r>
        <w:rPr>
          <w:rtl/>
        </w:rPr>
        <w:t xml:space="preserve"> – </w:t>
      </w:r>
      <w:proofErr w:type="spellStart"/>
      <w:r>
        <w:rPr>
          <w:rtl/>
        </w:rPr>
        <w:t>שטלז</w:t>
      </w:r>
      <w:proofErr w:type="spellEnd"/>
      <w:r>
        <w:rPr>
          <w:rtl/>
        </w:rPr>
        <w:t xml:space="preserve"> נעשתה ממש סניף של </w:t>
      </w:r>
      <w:proofErr w:type="spellStart"/>
      <w:r>
        <w:rPr>
          <w:rtl/>
        </w:rPr>
        <w:t>סלבודקה</w:t>
      </w:r>
      <w:proofErr w:type="spellEnd"/>
      <w:r>
        <w:rPr>
          <w:rtl/>
        </w:rPr>
        <w:t xml:space="preserve">, ושהתקיימו חילופי תלמידים קבועים בין </w:t>
      </w:r>
      <w:proofErr w:type="spellStart"/>
      <w:r>
        <w:rPr>
          <w:rtl/>
        </w:rPr>
        <w:t>טלז</w:t>
      </w:r>
      <w:proofErr w:type="spellEnd"/>
      <w:r>
        <w:rPr>
          <w:rtl/>
        </w:rPr>
        <w:t xml:space="preserve"> </w:t>
      </w:r>
      <w:proofErr w:type="spellStart"/>
      <w:r>
        <w:rPr>
          <w:rtl/>
        </w:rPr>
        <w:t>לסלבודקה</w:t>
      </w:r>
      <w:proofErr w:type="spellEnd"/>
      <w:r>
        <w:rPr>
          <w:rtl/>
        </w:rPr>
        <w:t xml:space="preserve"> – נכונות רק </w:t>
      </w:r>
      <w:r>
        <w:rPr>
          <w:b/>
          <w:bCs/>
          <w:rtl/>
        </w:rPr>
        <w:t>לאחר</w:t>
      </w:r>
      <w:r>
        <w:rPr>
          <w:rtl/>
        </w:rPr>
        <w:t xml:space="preserve"> התחדשות </w:t>
      </w:r>
      <w:proofErr w:type="spellStart"/>
      <w:r>
        <w:rPr>
          <w:rtl/>
        </w:rPr>
        <w:t>טלז</w:t>
      </w:r>
      <w:proofErr w:type="spellEnd"/>
      <w:r>
        <w:rPr>
          <w:rtl/>
        </w:rPr>
        <w:t xml:space="preserve"> בעקבות השרפה</w:t>
      </w:r>
      <w:bookmarkStart w:id="5636" w:name="_fnr4281"/>
      <w:r>
        <w:rPr>
          <w:vertAlign w:val="superscript"/>
          <w:rtl/>
        </w:rPr>
        <w:footnoteReference w:id="4291" w:customMarkFollows="0"/>
      </w:r>
      <w:bookmarkEnd w:id="5636"/>
      <w:r>
        <w:rPr>
          <w:rtl/>
        </w:rPr>
        <w:t>.</w:t>
      </w:r>
    </w:p>
    <w:p w14:paraId="0C5CCDD1" w14:textId="77777777" w:rsidR="00AB3647" w:rsidRDefault="00000000" w:rsidP="007923E9">
      <w:pPr>
        <w:pStyle w:val="4"/>
        <w:spacing w:line="276" w:lineRule="auto"/>
      </w:pPr>
      <w:r>
        <w:t>· הפסקה השנייה ·</w:t>
      </w:r>
    </w:p>
    <w:p w14:paraId="5F507A0E" w14:textId="77777777" w:rsidR="00AB3647" w:rsidRDefault="00000000" w:rsidP="007923E9">
      <w:pPr>
        <w:pStyle w:val="5"/>
        <w:spacing w:line="276" w:lineRule="auto"/>
      </w:pPr>
      <w:r>
        <w:rPr>
          <w:bCs/>
          <w:szCs w:val="26"/>
        </w:rPr>
        <w:t xml:space="preserve">ר׳ יוסף לייב בלוך אינו מקיים את הבטחתו מלפני בחירתו – ר׳ שמואל </w:t>
      </w:r>
      <w:proofErr w:type="spellStart"/>
      <w:r>
        <w:rPr>
          <w:bCs/>
          <w:szCs w:val="26"/>
        </w:rPr>
        <w:t>פונדילער</w:t>
      </w:r>
      <w:proofErr w:type="spellEnd"/>
      <w:r>
        <w:rPr>
          <w:bCs/>
          <w:szCs w:val="26"/>
        </w:rPr>
        <w:t xml:space="preserve"> אומר שיזמינו לדין בבית הדין של מעלה – גיסו של ר׳ יוסף לייב בלוך, ר׳ </w:t>
      </w:r>
      <w:proofErr w:type="spellStart"/>
      <w:r>
        <w:rPr>
          <w:bCs/>
          <w:szCs w:val="26"/>
        </w:rPr>
        <w:t>יצחק־אייזיק</w:t>
      </w:r>
      <w:proofErr w:type="spellEnd"/>
      <w:r>
        <w:rPr>
          <w:bCs/>
          <w:szCs w:val="26"/>
        </w:rPr>
        <w:t xml:space="preserve"> </w:t>
      </w:r>
      <w:proofErr w:type="spellStart"/>
      <w:r>
        <w:rPr>
          <w:bCs/>
          <w:szCs w:val="26"/>
        </w:rPr>
        <w:t>הירשוביץ</w:t>
      </w:r>
      <w:proofErr w:type="spellEnd"/>
      <w:r>
        <w:rPr>
          <w:bCs/>
          <w:szCs w:val="26"/>
        </w:rPr>
        <w:t>, שולל את אמינותם של היסטוריונים יהודים</w:t>
      </w:r>
    </w:p>
    <w:p w14:paraId="2D674E98" w14:textId="640BD461" w:rsidR="00AB3647" w:rsidRDefault="00000000" w:rsidP="007923E9">
      <w:pPr>
        <w:spacing w:after="120" w:line="276" w:lineRule="auto"/>
        <w:ind w:firstLine="283"/>
        <w:jc w:val="both"/>
      </w:pPr>
      <w:r>
        <w:rPr>
          <w:rtl/>
        </w:rPr>
        <w:t>בשיחה המוקלטת עם אברכי הכולל של ישיבת רבנו ישראל מאיר הכהן סיפר אבי שלאחר פטירת ר׳ לייזר</w:t>
      </w:r>
      <w:bookmarkStart w:id="5637" w:name="_fnr4282"/>
      <w:r>
        <w:rPr>
          <w:vertAlign w:val="superscript"/>
          <w:rtl/>
        </w:rPr>
        <w:footnoteReference w:id="4292" w:customMarkFollows="0"/>
      </w:r>
      <w:bookmarkEnd w:id="5637"/>
      <w:r>
        <w:rPr>
          <w:rtl/>
        </w:rPr>
        <w:t xml:space="preserve"> הייתה להנהלת ישיבת </w:t>
      </w:r>
      <w:proofErr w:type="spellStart"/>
      <w:r>
        <w:rPr>
          <w:rtl/>
        </w:rPr>
        <w:t>טלז</w:t>
      </w:r>
      <w:proofErr w:type="spellEnd"/>
      <w:r>
        <w:rPr>
          <w:rtl/>
        </w:rPr>
        <w:t xml:space="preserve"> השפעה מכרעת על בחירת רב חדש. שני חתניו של ר׳ לייזר המנוח התמודדו על כיסא הרבנות, ומבין השניים תמכו הישיבה ומשגיחה הפעיל בר׳ יוסף לייב בלוך</w:t>
      </w:r>
      <w:bookmarkStart w:id="5638" w:name="_fnr4283"/>
      <w:r>
        <w:rPr>
          <w:vertAlign w:val="superscript"/>
          <w:rtl/>
        </w:rPr>
        <w:footnoteReference w:id="4293" w:customMarkFollows="0"/>
      </w:r>
      <w:bookmarkEnd w:id="5638"/>
      <w:r>
        <w:rPr>
          <w:rtl/>
        </w:rPr>
        <w:t xml:space="preserve">, שכונה בעל מוסר, אף שלא היה מן הסוג המקובל – ולא בר׳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שהיה למדן גדול יותר (אך נכשל כר״מ, כמבואר בהערה </w:t>
      </w:r>
      <w:r>
        <w:rPr>
          <w:rtl/>
        </w:rPr>
        <w:fldChar w:fldCharType="begin" w:dirty="true"/>
      </w:r>
      <w:r>
        <w:rPr>
          <w:rtl/>
        </w:rPr>
        <w:instrText xml:space="preserve"> REF b4_note110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110</w:t>
      </w:r>
      <w:r>
        <w:rPr>
          <w:rtl/>
        </w:rPr>
        <w:fldChar w:fldCharType="end"/>
      </w:r>
      <w:r>
        <w:rPr>
          <w:rtl/>
        </w:rPr>
        <w:t xml:space="preserve"> לעיל).</w:t>
      </w:r>
    </w:p>
    <w:p w14:paraId="6F3ED915" w14:textId="77777777" w:rsidR="00AB3647" w:rsidRDefault="00000000" w:rsidP="007923E9">
      <w:pPr>
        <w:spacing w:after="120" w:line="276" w:lineRule="auto"/>
        <w:ind w:firstLine="283"/>
        <w:jc w:val="both"/>
      </w:pPr>
      <w:r>
        <w:rPr>
          <w:rtl/>
        </w:rPr>
        <w:t xml:space="preserve">בין הישיבה </w:t>
      </w:r>
      <w:proofErr w:type="spellStart"/>
      <w:r>
        <w:rPr>
          <w:rtl/>
        </w:rPr>
        <w:t>לר</w:t>
      </w:r>
      <w:proofErr w:type="spellEnd"/>
      <w:r>
        <w:rPr>
          <w:rtl/>
        </w:rPr>
        <w:t xml:space="preserve">׳ יוסף לייב בלוך הייתה הבנה שאם ייבחר, לא יביא עמו </w:t>
      </w:r>
      <w:proofErr w:type="spellStart"/>
      <w:r>
        <w:rPr>
          <w:rtl/>
        </w:rPr>
        <w:t>לטלז</w:t>
      </w:r>
      <w:proofErr w:type="spellEnd"/>
      <w:r>
        <w:rPr>
          <w:rtl/>
        </w:rPr>
        <w:t xml:space="preserve"> את תלמידיו משדובה</w:t>
      </w:r>
      <w:bookmarkStart w:id="5639" w:name="_fnr4284"/>
      <w:r>
        <w:rPr>
          <w:vertAlign w:val="superscript"/>
          <w:rtl/>
        </w:rPr>
        <w:footnoteReference w:id="4294" w:customMarkFollows="0"/>
      </w:r>
      <w:bookmarkEnd w:id="5639"/>
      <w:r>
        <w:rPr>
          <w:rtl/>
        </w:rPr>
        <w:t xml:space="preserve">, ור׳ שמואל יישאר משגיח. מטרת ההסכם הייתה שישיבת </w:t>
      </w:r>
      <w:proofErr w:type="spellStart"/>
      <w:r>
        <w:rPr>
          <w:rtl/>
        </w:rPr>
        <w:t>טלז</w:t>
      </w:r>
      <w:proofErr w:type="spellEnd"/>
      <w:r>
        <w:rPr>
          <w:rtl/>
        </w:rPr>
        <w:t xml:space="preserve"> תישאר מאותו סוג </w:t>
      </w:r>
      <w:r>
        <w:rPr>
          <w:rtl/>
        </w:rPr>
        <w:lastRenderedPageBreak/>
        <w:t>שהייתה עד אז. אבל ר׳ יוסף לייב לא עמד בציפיות אלה: הוא הביא מיד את תלמידיו משדובה</w:t>
      </w:r>
      <w:bookmarkStart w:id="5640" w:name="_fnr4285"/>
      <w:r>
        <w:rPr>
          <w:vertAlign w:val="superscript"/>
          <w:rtl/>
        </w:rPr>
        <w:footnoteReference w:id="4295" w:customMarkFollows="0"/>
      </w:r>
      <w:bookmarkEnd w:id="5640"/>
      <w:r>
        <w:rPr>
          <w:rtl/>
        </w:rPr>
        <w:t xml:space="preserve">, וכעבור שנה אילץ את ר׳ שמואל </w:t>
      </w:r>
      <w:proofErr w:type="spellStart"/>
      <w:r>
        <w:rPr>
          <w:rtl/>
        </w:rPr>
        <w:t>פונדילער</w:t>
      </w:r>
      <w:proofErr w:type="spellEnd"/>
      <w:r>
        <w:rPr>
          <w:rtl/>
        </w:rPr>
        <w:t xml:space="preserve"> לעזוב את הישיבה.</w:t>
      </w:r>
    </w:p>
    <w:p w14:paraId="591AFFDA" w14:textId="77777777" w:rsidR="00AB3647" w:rsidRDefault="00000000" w:rsidP="007923E9">
      <w:pPr>
        <w:spacing w:after="120" w:line="276" w:lineRule="auto"/>
        <w:ind w:firstLine="283"/>
        <w:jc w:val="both"/>
      </w:pPr>
      <w:r>
        <w:rPr>
          <w:rtl/>
        </w:rPr>
        <w:t xml:space="preserve">כשנשאל ר׳ יוסף לייב בלוך אם אין זו כפיות טובה לפטר את ר׳ שמואל </w:t>
      </w:r>
      <w:proofErr w:type="spellStart"/>
      <w:r>
        <w:rPr>
          <w:rtl/>
        </w:rPr>
        <w:t>פונדילער</w:t>
      </w:r>
      <w:proofErr w:type="spellEnd"/>
      <w:r>
        <w:rPr>
          <w:rtl/>
        </w:rPr>
        <w:t xml:space="preserve">, אחרי שזה סייע לבחירתו לרב </w:t>
      </w:r>
      <w:proofErr w:type="spellStart"/>
      <w:r>
        <w:rPr>
          <w:rtl/>
        </w:rPr>
        <w:t>טלז</w:t>
      </w:r>
      <w:proofErr w:type="spellEnd"/>
      <w:r>
        <w:rPr>
          <w:rtl/>
        </w:rPr>
        <w:t>, השיב בהיגיון: “משום הכרת טובה אין אדם חייב למסור את הטובה”</w:t>
      </w:r>
      <w:bookmarkStart w:id="5641" w:name="_fnr4286"/>
      <w:r>
        <w:rPr>
          <w:vertAlign w:val="superscript"/>
          <w:rtl/>
        </w:rPr>
        <w:footnoteReference w:id="4296" w:customMarkFollows="0"/>
      </w:r>
      <w:bookmarkEnd w:id="5641"/>
      <w:r>
        <w:rPr>
          <w:rtl/>
        </w:rPr>
        <w:t xml:space="preserve">. כוונתו הייתה שהמצב היה כזה שאילו הניח </w:t>
      </w:r>
      <w:proofErr w:type="spellStart"/>
      <w:r>
        <w:rPr>
          <w:rtl/>
        </w:rPr>
        <w:t>לר</w:t>
      </w:r>
      <w:proofErr w:type="spellEnd"/>
      <w:r>
        <w:rPr>
          <w:rtl/>
        </w:rPr>
        <w:t>׳ שמואל (בעל ההדר) להישאר, לא יכול היה הוא עצמו להישאר בישיבה, וממילא גם לא כרב העיר.</w:t>
      </w:r>
    </w:p>
    <w:p w14:paraId="7BD62688" w14:textId="77777777" w:rsidR="00AB3647" w:rsidRDefault="00000000" w:rsidP="007923E9">
      <w:pPr>
        <w:spacing w:after="120" w:line="276" w:lineRule="auto"/>
        <w:ind w:firstLine="283"/>
        <w:jc w:val="both"/>
      </w:pPr>
      <w:r>
        <w:rPr>
          <w:rtl/>
        </w:rPr>
        <w:t xml:space="preserve">ר׳ יצחק </w:t>
      </w:r>
      <w:proofErr w:type="spellStart"/>
      <w:r>
        <w:rPr>
          <w:rtl/>
        </w:rPr>
        <w:t>שורין</w:t>
      </w:r>
      <w:proofErr w:type="spellEnd"/>
      <w:r>
        <w:rPr>
          <w:rtl/>
        </w:rPr>
        <w:t xml:space="preserve"> סיפר</w:t>
      </w:r>
      <w:bookmarkStart w:id="5642" w:name="_fnr4287"/>
      <w:r>
        <w:rPr>
          <w:vertAlign w:val="superscript"/>
          <w:rtl/>
        </w:rPr>
        <w:footnoteReference w:id="4297" w:customMarkFollows="0"/>
      </w:r>
      <w:bookmarkEnd w:id="5642"/>
      <w:r>
        <w:rPr>
          <w:rtl/>
        </w:rPr>
        <w:t xml:space="preserve"> שסבו ר׳ משה </w:t>
      </w:r>
      <w:proofErr w:type="spellStart"/>
      <w:r>
        <w:rPr>
          <w:rtl/>
        </w:rPr>
        <w:t>שורין</w:t>
      </w:r>
      <w:proofErr w:type="spellEnd"/>
      <w:r>
        <w:rPr>
          <w:rtl/>
        </w:rPr>
        <w:t xml:space="preserve"> שאל את ר׳ שמואל אם יש </w:t>
      </w:r>
      <w:proofErr w:type="spellStart"/>
      <w:r>
        <w:rPr>
          <w:rtl/>
        </w:rPr>
        <w:t>בלבו</w:t>
      </w:r>
      <w:proofErr w:type="spellEnd"/>
      <w:r>
        <w:rPr>
          <w:rtl/>
        </w:rPr>
        <w:t xml:space="preserve"> טינה על ר׳ יוסף לייב. ר׳ שמואל השיב: “בעולם האמת אזמין אותו לדין תורה”. ר׳ משה </w:t>
      </w:r>
      <w:proofErr w:type="spellStart"/>
      <w:r>
        <w:rPr>
          <w:rtl/>
        </w:rPr>
        <w:t>שורין</w:t>
      </w:r>
      <w:proofErr w:type="spellEnd"/>
      <w:r>
        <w:rPr>
          <w:rtl/>
        </w:rPr>
        <w:t xml:space="preserve"> היה ראש ישיבה </w:t>
      </w:r>
      <w:proofErr w:type="spellStart"/>
      <w:r>
        <w:rPr>
          <w:rtl/>
        </w:rPr>
        <w:t>בריטובה</w:t>
      </w:r>
      <w:proofErr w:type="spellEnd"/>
      <w:r>
        <w:rPr>
          <w:rtl/>
        </w:rPr>
        <w:t xml:space="preserve">, העיירה שבה כיהן ר׳ שמואל </w:t>
      </w:r>
      <w:proofErr w:type="spellStart"/>
      <w:r>
        <w:rPr>
          <w:rtl/>
        </w:rPr>
        <w:t>פונדילער</w:t>
      </w:r>
      <w:proofErr w:type="spellEnd"/>
      <w:r>
        <w:rPr>
          <w:rtl/>
        </w:rPr>
        <w:t xml:space="preserve"> כרב לאחר תרפ״ב, ושבה נהרג על קידוש השם לאחר הפלישה הגרמנית, </w:t>
      </w:r>
      <w:proofErr w:type="spellStart"/>
      <w:r>
        <w:rPr>
          <w:rtl/>
        </w:rPr>
        <w:t>בתש״א</w:t>
      </w:r>
      <w:proofErr w:type="spellEnd"/>
      <w:r>
        <w:rPr>
          <w:rtl/>
        </w:rPr>
        <w:t xml:space="preserve">. רבנו סיכם באותה שיחה: “לאחר פיטורי ר׳ שמואל, </w:t>
      </w:r>
      <w:proofErr w:type="spellStart"/>
      <w:r>
        <w:rPr>
          <w:rtl/>
        </w:rPr>
        <w:t>טלז</w:t>
      </w:r>
      <w:proofErr w:type="spellEnd"/>
      <w:r>
        <w:rPr>
          <w:rtl/>
        </w:rPr>
        <w:t xml:space="preserve"> לא הייתה עוד ישיבת מוסר”</w:t>
      </w:r>
      <w:bookmarkStart w:id="5643" w:name="_fnr4288"/>
      <w:r>
        <w:rPr>
          <w:vertAlign w:val="superscript"/>
          <w:rtl/>
        </w:rPr>
        <w:footnoteReference w:id="4298" w:customMarkFollows="0"/>
      </w:r>
      <w:bookmarkEnd w:id="5643"/>
      <w:r>
        <w:rPr>
          <w:rtl/>
        </w:rPr>
        <w:t>.</w:t>
      </w:r>
    </w:p>
    <w:p w14:paraId="61913587" w14:textId="77777777" w:rsidR="00AB3647" w:rsidRDefault="00000000" w:rsidP="007923E9">
      <w:pPr>
        <w:spacing w:after="120" w:line="276" w:lineRule="auto"/>
        <w:ind w:firstLine="283"/>
        <w:jc w:val="both"/>
      </w:pPr>
      <w:r>
        <w:rPr>
          <w:rtl/>
        </w:rPr>
        <w:t xml:space="preserve">ר׳ </w:t>
      </w:r>
      <w:proofErr w:type="spellStart"/>
      <w:r>
        <w:rPr>
          <w:rtl/>
        </w:rPr>
        <w:t>יצחק־אייזיק</w:t>
      </w:r>
      <w:proofErr w:type="spellEnd"/>
      <w:r>
        <w:rPr>
          <w:rtl/>
        </w:rPr>
        <w:t xml:space="preserve"> </w:t>
      </w:r>
      <w:proofErr w:type="spellStart"/>
      <w:r>
        <w:rPr>
          <w:rtl/>
        </w:rPr>
        <w:t>הירשוביץ</w:t>
      </w:r>
      <w:proofErr w:type="spellEnd"/>
      <w:r>
        <w:rPr>
          <w:rtl/>
        </w:rPr>
        <w:t xml:space="preserve"> נולד </w:t>
      </w:r>
      <w:proofErr w:type="spellStart"/>
      <w:r>
        <w:rPr>
          <w:rtl/>
        </w:rPr>
        <w:t>בתרל״א</w:t>
      </w:r>
      <w:proofErr w:type="spellEnd"/>
      <w:r>
        <w:rPr>
          <w:rtl/>
        </w:rPr>
        <w:t xml:space="preserve"> בעיר </w:t>
      </w:r>
      <w:proofErr w:type="spellStart"/>
      <w:r>
        <w:rPr>
          <w:rtl/>
        </w:rPr>
        <w:t>ליבאו</w:t>
      </w:r>
      <w:proofErr w:type="spellEnd"/>
      <w:r>
        <w:rPr>
          <w:rtl/>
        </w:rPr>
        <w:t xml:space="preserve"> – בצוואתו המוסרית</w:t>
      </w:r>
      <w:bookmarkStart w:id="5644" w:name="_fnr4289"/>
      <w:r>
        <w:rPr>
          <w:vertAlign w:val="superscript"/>
          <w:rtl/>
        </w:rPr>
        <w:footnoteReference w:id="4299" w:customMarkFollows="0"/>
      </w:r>
      <w:bookmarkEnd w:id="5644"/>
      <w:r>
        <w:rPr>
          <w:rtl/>
        </w:rPr>
        <w:t xml:space="preserve"> כינה את עיר מולדתו “עיר פרוצה, אין תורה” – וכיהן כרב </w:t>
      </w:r>
      <w:proofErr w:type="spellStart"/>
      <w:r>
        <w:rPr>
          <w:rtl/>
        </w:rPr>
        <w:t>בטילזן</w:t>
      </w:r>
      <w:proofErr w:type="spellEnd"/>
      <w:r>
        <w:rPr>
          <w:rtl/>
        </w:rPr>
        <w:t xml:space="preserve">, </w:t>
      </w:r>
      <w:proofErr w:type="spellStart"/>
      <w:r>
        <w:rPr>
          <w:rtl/>
        </w:rPr>
        <w:t>באיהומן</w:t>
      </w:r>
      <w:proofErr w:type="spellEnd"/>
      <w:r>
        <w:rPr>
          <w:rtl/>
        </w:rPr>
        <w:t xml:space="preserve">, ולאחר תרפ״ז </w:t>
      </w:r>
      <w:proofErr w:type="spellStart"/>
      <w:r>
        <w:rPr>
          <w:rtl/>
        </w:rPr>
        <w:t>בווירשבלובה</w:t>
      </w:r>
      <w:proofErr w:type="spellEnd"/>
      <w:r>
        <w:rPr>
          <w:rtl/>
        </w:rPr>
        <w:t xml:space="preserve">. </w:t>
      </w:r>
      <w:proofErr w:type="spellStart"/>
      <w:r>
        <w:rPr>
          <w:rtl/>
        </w:rPr>
        <w:t>בתרפ״ח</w:t>
      </w:r>
      <w:proofErr w:type="spellEnd"/>
      <w:r>
        <w:rPr>
          <w:rtl/>
        </w:rPr>
        <w:t xml:space="preserve"> פרסם את החלק הראשון של ספר היסטוריה, “הליכות עם עולם”, שלדבריו “יוכיח שהיסטוריונים יהודים זייפו את ההיסטוריה היהודית”. את הצוואה הנזכרת, שיש בה סקירה רבת מידע על אירועי יהדות ליטא בימי חייו, כתב בה׳ בכסלו תש״א, יום לאחר שמלאו לו שבעים, ושמונה חודשים לפני שנהרג על קידוש השם בשואה.</w:t>
      </w:r>
    </w:p>
    <w:bookmarkStart w:id="5645" w:name="b4_excO"/>
    <w:bookmarkStart w:id="5646" w:name="b4_annexO"/>
    <w:p w14:paraId="1ABF5B48" w14:textId="77777777" w:rsidR="00AB3647" w:rsidRDefault="00000000" w:rsidP="007923E9">
      <w:pPr>
        <w:pStyle w:val="3"/>
        <w:pageBreakBefore w:val="0"/>
        <w:spacing w:line="276" w:lineRule="auto"/>
      </w:pPr>
      <w:r>
        <w:lastRenderedPageBreak/>
        <w:fldChar w:fldCharType="begin" w:dirty="true"/>
      </w:r>
      <w:r>
        <w:rPr>
          <w:rtl w:val="0"/>
        </w:rPr>
        <w:instrText>HYPERLINK \l "b4_note124</w:instrText>
      </w:r>
      <w:r>
        <w:instrText>"</w:instrText>
      </w:r>
      <w:r>
        <w:fldChar w:fldCharType="separate"/>
      </w:r>
      <w:r>
        <w:t>נספח טו</w:t>
      </w:r>
      <w:r>
        <w:fldChar w:fldCharType="end"/>
      </w:r>
      <w:bookmarkEnd w:id="5645"/>
      <w:bookmarkEnd w:id="5646"/>
    </w:p>
    <w:p w14:paraId="3A1D8776" w14:textId="77777777" w:rsidR="00AB3647" w:rsidRDefault="00000000" w:rsidP="007923E9">
      <w:pPr>
        <w:pStyle w:val="af"/>
        <w:spacing w:line="276" w:lineRule="auto"/>
      </w:pPr>
      <w:r>
        <w:t xml:space="preserve">על משימתו הקשה של ר׳ שמואל </w:t>
      </w:r>
      <w:proofErr w:type="spellStart"/>
      <w:r>
        <w:t>פונדילער</w:t>
      </w:r>
      <w:proofErr w:type="spellEnd"/>
      <w:r>
        <w:t xml:space="preserve"> להכניס מוסר </w:t>
      </w:r>
      <w:proofErr w:type="spellStart"/>
      <w:r>
        <w:t>לטלז</w:t>
      </w:r>
      <w:proofErr w:type="spellEnd"/>
      <w:r>
        <w:t xml:space="preserve"> המרדנית</w:t>
      </w:r>
    </w:p>
    <w:p w14:paraId="19E29D73" w14:textId="77777777" w:rsidR="00AB3647" w:rsidRDefault="00000000" w:rsidP="007923E9">
      <w:pPr>
        <w:pStyle w:val="5"/>
        <w:spacing w:line="276" w:lineRule="auto"/>
      </w:pPr>
      <w:r>
        <w:rPr>
          <w:bCs/>
          <w:szCs w:val="26"/>
        </w:rPr>
        <w:t xml:space="preserve">תלמידי </w:t>
      </w:r>
      <w:proofErr w:type="spellStart"/>
      <w:r>
        <w:rPr>
          <w:bCs/>
          <w:szCs w:val="26"/>
        </w:rPr>
        <w:t>טלז</w:t>
      </w:r>
      <w:proofErr w:type="spellEnd"/>
      <w:r>
        <w:rPr>
          <w:bCs/>
          <w:szCs w:val="26"/>
        </w:rPr>
        <w:t xml:space="preserve"> תוקפים את ר׳ שמואל </w:t>
      </w:r>
      <w:proofErr w:type="spellStart"/>
      <w:r>
        <w:rPr>
          <w:bCs/>
          <w:szCs w:val="26"/>
        </w:rPr>
        <w:t>פונדילער</w:t>
      </w:r>
      <w:proofErr w:type="spellEnd"/>
      <w:r>
        <w:rPr>
          <w:bCs/>
          <w:szCs w:val="26"/>
        </w:rPr>
        <w:t xml:space="preserve"> ואת הבאים </w:t>
      </w:r>
      <w:proofErr w:type="spellStart"/>
      <w:r>
        <w:rPr>
          <w:bCs/>
          <w:szCs w:val="26"/>
        </w:rPr>
        <w:t>מסלבודקה</w:t>
      </w:r>
      <w:proofErr w:type="spellEnd"/>
      <w:r>
        <w:rPr>
          <w:bCs/>
          <w:szCs w:val="26"/>
        </w:rPr>
        <w:t xml:space="preserve"> – תלמידי </w:t>
      </w:r>
      <w:proofErr w:type="spellStart"/>
      <w:r>
        <w:rPr>
          <w:bCs/>
          <w:szCs w:val="26"/>
        </w:rPr>
        <w:t>טלז</w:t>
      </w:r>
      <w:proofErr w:type="spellEnd"/>
      <w:r>
        <w:rPr>
          <w:bCs/>
          <w:szCs w:val="26"/>
        </w:rPr>
        <w:t xml:space="preserve"> מפרים את התחייבותם – ר׳ לייזר גורדון כועס על ועד התלמידים של </w:t>
      </w:r>
      <w:proofErr w:type="spellStart"/>
      <w:r>
        <w:rPr>
          <w:bCs/>
          <w:szCs w:val="26"/>
        </w:rPr>
        <w:t>טלז</w:t>
      </w:r>
      <w:proofErr w:type="spellEnd"/>
      <w:r>
        <w:rPr>
          <w:bCs/>
          <w:szCs w:val="26"/>
        </w:rPr>
        <w:t xml:space="preserve"> – התמוטטות בריאותו מכניעה את הוועד, ובעלי המוסר מתבססים</w:t>
      </w:r>
    </w:p>
    <w:p w14:paraId="25BF079E" w14:textId="77777777" w:rsidR="00AB3647" w:rsidRDefault="00000000" w:rsidP="007923E9">
      <w:pPr>
        <w:spacing w:after="120" w:line="276" w:lineRule="auto"/>
        <w:ind w:firstLine="283"/>
        <w:jc w:val="both"/>
      </w:pPr>
      <w:r>
        <w:rPr>
          <w:rtl/>
        </w:rPr>
        <w:t xml:space="preserve">השווה כרך 2 לפרטים נוספים על ר׳ שמואל </w:t>
      </w:r>
      <w:proofErr w:type="spellStart"/>
      <w:r>
        <w:rPr>
          <w:rtl/>
        </w:rPr>
        <w:t>פונדילער</w:t>
      </w:r>
      <w:proofErr w:type="spellEnd"/>
      <w:r>
        <w:rPr>
          <w:rtl/>
        </w:rPr>
        <w:t xml:space="preserve"> ועל קשריו עם רבנו. השווה גם כץ, “תנועת המוסר”, כרך ה</w:t>
      </w:r>
      <w:bookmarkStart w:id="5647" w:name="_fnr4290"/>
      <w:r>
        <w:rPr>
          <w:vertAlign w:val="superscript"/>
          <w:rtl/>
        </w:rPr>
        <w:footnoteReference w:id="4300" w:customMarkFollows="0"/>
      </w:r>
      <w:bookmarkEnd w:id="5647"/>
      <w:r>
        <w:rPr>
          <w:rtl/>
        </w:rPr>
        <w:t xml:space="preserve">, על כך שבתחילה לא הייתה משימתו של ר׳ שמואל </w:t>
      </w:r>
      <w:proofErr w:type="spellStart"/>
      <w:r>
        <w:rPr>
          <w:rtl/>
        </w:rPr>
        <w:t>פונדילער</w:t>
      </w:r>
      <w:proofErr w:type="spellEnd"/>
      <w:r>
        <w:rPr>
          <w:rtl/>
        </w:rPr>
        <w:t xml:space="preserve"> קלה. התלמידים שלא באו </w:t>
      </w:r>
      <w:proofErr w:type="spellStart"/>
      <w:r>
        <w:rPr>
          <w:rtl/>
        </w:rPr>
        <w:t>מסלבודקה</w:t>
      </w:r>
      <w:proofErr w:type="spellEnd"/>
      <w:r>
        <w:rPr>
          <w:rtl/>
        </w:rPr>
        <w:t xml:space="preserve">, שהורשו לחזור </w:t>
      </w:r>
      <w:proofErr w:type="spellStart"/>
      <w:r>
        <w:rPr>
          <w:rtl/>
        </w:rPr>
        <w:t>לטלז</w:t>
      </w:r>
      <w:proofErr w:type="spellEnd"/>
      <w:r>
        <w:rPr>
          <w:rtl/>
        </w:rPr>
        <w:t xml:space="preserve"> המחודשת, חידשו את מלחמתם המסורתית במשגיח החדש. פעם השליכו אבן דרך חלונו, עטופה בנייר שעליו נכתב הפסוק “מה לך פה ומי לך פה כי חצבת לך פה קבר”</w:t>
      </w:r>
      <w:bookmarkStart w:id="5648" w:name="_fnr4291"/>
      <w:r>
        <w:rPr>
          <w:vertAlign w:val="superscript"/>
          <w:rtl/>
        </w:rPr>
        <w:footnoteReference w:id="4301" w:customMarkFollows="0"/>
      </w:r>
      <w:bookmarkEnd w:id="5648"/>
      <w:r>
        <w:rPr>
          <w:rtl/>
        </w:rPr>
        <w:t>.</w:t>
      </w:r>
    </w:p>
    <w:p w14:paraId="2C93ECC6" w14:textId="77777777" w:rsidR="00AB3647" w:rsidRDefault="00000000" w:rsidP="007923E9">
      <w:pPr>
        <w:spacing w:after="120" w:line="276" w:lineRule="auto"/>
        <w:ind w:firstLine="283"/>
        <w:jc w:val="both"/>
      </w:pPr>
      <w:proofErr w:type="spellStart"/>
      <w:r>
        <w:rPr>
          <w:rtl/>
        </w:rPr>
        <w:t>שולמן</w:t>
      </w:r>
      <w:bookmarkStart w:id="5649" w:name="_fnr4292"/>
      <w:proofErr w:type="spellEnd"/>
      <w:r>
        <w:rPr>
          <w:vertAlign w:val="superscript"/>
          <w:rtl/>
        </w:rPr>
        <w:footnoteReference w:id="4302" w:customMarkFollows="0"/>
      </w:r>
      <w:bookmarkEnd w:id="5649"/>
      <w:r>
        <w:rPr>
          <w:rtl/>
        </w:rPr>
        <w:t xml:space="preserve"> מפרט את פעולות הכוחות המתנגדים למוסר ואת הכנעתם הסופית. אפילו ארבעה חודשים אחרי בואם </w:t>
      </w:r>
      <w:proofErr w:type="spellStart"/>
      <w:r>
        <w:rPr>
          <w:rtl/>
        </w:rPr>
        <w:t>לטלז</w:t>
      </w:r>
      <w:proofErr w:type="spellEnd"/>
      <w:r>
        <w:rPr>
          <w:rtl/>
        </w:rPr>
        <w:t xml:space="preserve"> ארבו מתנגדיהם לבאים </w:t>
      </w:r>
      <w:proofErr w:type="spellStart"/>
      <w:r>
        <w:rPr>
          <w:rtl/>
        </w:rPr>
        <w:t>מסלבודקה</w:t>
      </w:r>
      <w:proofErr w:type="spellEnd"/>
      <w:r>
        <w:rPr>
          <w:rtl/>
        </w:rPr>
        <w:t xml:space="preserve"> (יחד עם הפורשים הנזכרים בהערה 121 וחבריהם), ודלתות הישיבה וחלונותיה נשברו.</w:t>
      </w:r>
    </w:p>
    <w:p w14:paraId="41EF407F" w14:textId="77777777" w:rsidR="00AB3647" w:rsidRDefault="00000000" w:rsidP="007923E9">
      <w:pPr>
        <w:spacing w:after="120" w:line="276" w:lineRule="auto"/>
        <w:ind w:firstLine="283"/>
        <w:jc w:val="both"/>
      </w:pPr>
      <w:r>
        <w:rPr>
          <w:rtl/>
        </w:rPr>
        <w:t>כץ, “תנועת המוסר”, כרך ה</w:t>
      </w:r>
      <w:bookmarkStart w:id="5650" w:name="_fnr4293"/>
      <w:r>
        <w:rPr>
          <w:vertAlign w:val="superscript"/>
          <w:rtl/>
        </w:rPr>
        <w:footnoteReference w:id="4303" w:customMarkFollows="0"/>
      </w:r>
      <w:bookmarkEnd w:id="5650"/>
      <w:r>
        <w:rPr>
          <w:rtl/>
        </w:rPr>
        <w:t xml:space="preserve">, מספר </w:t>
      </w:r>
      <w:proofErr w:type="spellStart"/>
      <w:r>
        <w:rPr>
          <w:rtl/>
        </w:rPr>
        <w:t>ש“כל</w:t>
      </w:r>
      <w:proofErr w:type="spellEnd"/>
      <w:r>
        <w:rPr>
          <w:rtl/>
        </w:rPr>
        <w:t xml:space="preserve"> תלמידי [</w:t>
      </w:r>
      <w:proofErr w:type="spellStart"/>
      <w:r>
        <w:rPr>
          <w:rtl/>
        </w:rPr>
        <w:t>טלז</w:t>
      </w:r>
      <w:proofErr w:type="spellEnd"/>
      <w:r>
        <w:rPr>
          <w:rtl/>
        </w:rPr>
        <w:t xml:space="preserve"> לשעבר] [שהורשו להישאר בישיבה שנפתחה מחדש זמן קצר קודם לכן] היו צריכים להתקבל כאילו היו חדשים, וכל אחד התחייב </w:t>
      </w:r>
      <w:r>
        <w:rPr>
          <w:b/>
          <w:bCs/>
          <w:rtl/>
        </w:rPr>
        <w:t>לחתום [על הצהרה]</w:t>
      </w:r>
      <w:r>
        <w:rPr>
          <w:rtl/>
        </w:rPr>
        <w:t xml:space="preserve"> שהוא מקבל עליו את כל תקנות הישיבה ואת תוכנית הלימודים המלאה שלה</w:t>
      </w:r>
      <w:bookmarkStart w:id="5651" w:name="_fnr4294"/>
      <w:r>
        <w:rPr>
          <w:vertAlign w:val="superscript"/>
          <w:rtl/>
        </w:rPr>
        <w:footnoteReference w:id="4304" w:customMarkFollows="0"/>
      </w:r>
      <w:bookmarkEnd w:id="5651"/>
      <w:r>
        <w:rPr>
          <w:rtl/>
        </w:rPr>
        <w:t xml:space="preserve">”. לאור זאת, לא היו אמורות להיות </w:t>
      </w:r>
      <w:proofErr w:type="spellStart"/>
      <w:r>
        <w:rPr>
          <w:rtl/>
        </w:rPr>
        <w:t>לר</w:t>
      </w:r>
      <w:proofErr w:type="spellEnd"/>
      <w:r>
        <w:rPr>
          <w:rtl/>
        </w:rPr>
        <w:t xml:space="preserve">׳ שמואל בעיות כלשהן עם ציבור התלמידים. העובדה שנתקל בקשיים מעידה עד כמה הייתה רוח המרד מושרשת בקרב תלמידי </w:t>
      </w:r>
      <w:proofErr w:type="spellStart"/>
      <w:r>
        <w:rPr>
          <w:rtl/>
        </w:rPr>
        <w:t>טלז</w:t>
      </w:r>
      <w:proofErr w:type="spellEnd"/>
      <w:r>
        <w:rPr>
          <w:rtl/>
        </w:rPr>
        <w:t>: בלהט התנגדותם למוסר לא נרתעו מהפרת התחייבויותיהם הכתובות.</w:t>
      </w:r>
    </w:p>
    <w:p w14:paraId="128A1671" w14:textId="77777777" w:rsidR="00AB3647" w:rsidRDefault="00000000" w:rsidP="007923E9">
      <w:pPr>
        <w:spacing w:after="120" w:line="276" w:lineRule="auto"/>
        <w:ind w:firstLine="283"/>
        <w:jc w:val="both"/>
      </w:pPr>
      <w:proofErr w:type="spellStart"/>
      <w:r>
        <w:rPr>
          <w:rtl/>
        </w:rPr>
        <w:t>שולמן</w:t>
      </w:r>
      <w:bookmarkStart w:id="5652" w:name="_fnr4295"/>
      <w:proofErr w:type="spellEnd"/>
      <w:r>
        <w:rPr>
          <w:vertAlign w:val="superscript"/>
          <w:rtl/>
        </w:rPr>
        <w:footnoteReference w:id="4305" w:customMarkFollows="0"/>
      </w:r>
      <w:bookmarkEnd w:id="5652"/>
      <w:r>
        <w:rPr>
          <w:rtl/>
        </w:rPr>
        <w:t xml:space="preserve"> שם בפי ר׳ לייזר גורדון דברים שברור שאינם שלו אלא של </w:t>
      </w:r>
      <w:proofErr w:type="spellStart"/>
      <w:r>
        <w:rPr>
          <w:rtl/>
        </w:rPr>
        <w:t>שולמן</w:t>
      </w:r>
      <w:proofErr w:type="spellEnd"/>
      <w:r>
        <w:rPr>
          <w:rtl/>
        </w:rPr>
        <w:t xml:space="preserve"> עצמו – ולו מפני שאינם הולמים את המעשים התקיפים שעשה ר׳ לייזר גורדון בכל פעם שנדרשו. נאמר שם: “ר׳ לייזר הכריז בגלוי שבשל אמונו ותמימותו היה לקורבן של הדיפלומטים </w:t>
      </w:r>
      <w:proofErr w:type="spellStart"/>
      <w:r>
        <w:rPr>
          <w:rtl/>
        </w:rPr>
        <w:t>מסלבודקה</w:t>
      </w:r>
      <w:proofErr w:type="spellEnd"/>
      <w:r>
        <w:rPr>
          <w:rtl/>
        </w:rPr>
        <w:t xml:space="preserve">, שניצלו את שמו למטרותיהם; אך </w:t>
      </w:r>
      <w:proofErr w:type="spellStart"/>
      <w:r>
        <w:rPr>
          <w:rtl/>
        </w:rPr>
        <w:t>ה‘מוסרניקים</w:t>
      </w:r>
      <w:proofErr w:type="spellEnd"/>
      <w:r>
        <w:rPr>
          <w:rtl/>
        </w:rPr>
        <w:t xml:space="preserve">’ חייבים להישאר. הוא הזמין אותם ולא יחזור בו מדיבורו. הוא לא רצה לסלק אותנו ולהעביר את השלטון </w:t>
      </w:r>
      <w:proofErr w:type="spellStart"/>
      <w:r>
        <w:rPr>
          <w:rtl/>
        </w:rPr>
        <w:t>ל‘מוסרניקים</w:t>
      </w:r>
      <w:proofErr w:type="spellEnd"/>
      <w:r>
        <w:rPr>
          <w:rtl/>
        </w:rPr>
        <w:t xml:space="preserve">’ – שאז יחדל להיות בעל הבית של הישיבה; שכן אף </w:t>
      </w:r>
      <w:proofErr w:type="spellStart"/>
      <w:r>
        <w:rPr>
          <w:rtl/>
        </w:rPr>
        <w:t>שה‘מוסרניקים</w:t>
      </w:r>
      <w:proofErr w:type="spellEnd"/>
      <w:r>
        <w:rPr>
          <w:rtl/>
        </w:rPr>
        <w:t xml:space="preserve">’ קוראים לו גאון גם מאחורי גבו, הם מתעלמים ממנו לגמרי בניהול הישיבה... והנה הציע ר׳ לייזר פשרה: </w:t>
      </w:r>
      <w:proofErr w:type="spellStart"/>
      <w:r>
        <w:rPr>
          <w:rtl/>
        </w:rPr>
        <w:t>ה‘מוסרניקים</w:t>
      </w:r>
      <w:proofErr w:type="spellEnd"/>
      <w:r>
        <w:rPr>
          <w:rtl/>
        </w:rPr>
        <w:t xml:space="preserve">’ יישארו יחד עם ר׳ שמואל ויהיו לישיבה נפרדת בתוך הישיבה, ואילו כולנו נישאר בישיבת </w:t>
      </w:r>
      <w:proofErr w:type="spellStart"/>
      <w:r>
        <w:rPr>
          <w:rtl/>
        </w:rPr>
        <w:t>טלז</w:t>
      </w:r>
      <w:proofErr w:type="spellEnd"/>
      <w:r>
        <w:rPr>
          <w:rtl/>
        </w:rPr>
        <w:t xml:space="preserve"> הישנה, שלא יונהגו בה שינויים”.</w:t>
      </w:r>
    </w:p>
    <w:p w14:paraId="568B9968" w14:textId="77777777" w:rsidR="00AB3647" w:rsidRDefault="00000000" w:rsidP="007923E9">
      <w:pPr>
        <w:spacing w:after="120" w:line="276" w:lineRule="auto"/>
        <w:ind w:firstLine="283"/>
        <w:jc w:val="both"/>
      </w:pPr>
      <w:proofErr w:type="spellStart"/>
      <w:r>
        <w:rPr>
          <w:rtl/>
        </w:rPr>
        <w:lastRenderedPageBreak/>
        <w:t>שולמן</w:t>
      </w:r>
      <w:proofErr w:type="spellEnd"/>
      <w:r>
        <w:rPr>
          <w:rtl/>
        </w:rPr>
        <w:t xml:space="preserve"> מוסיף ומביא את נאום ר׳ לייזר גורדון לתלמידים השובתים, ככל הנראה בדייקנות: “‘אני מבקש מכם להפסיק את החרפה הזאת. שתושבי [העיר </w:t>
      </w:r>
      <w:proofErr w:type="spellStart"/>
      <w:r>
        <w:rPr>
          <w:rtl/>
        </w:rPr>
        <w:t>טלז</w:t>
      </w:r>
      <w:proofErr w:type="spellEnd"/>
      <w:r>
        <w:rPr>
          <w:rtl/>
        </w:rPr>
        <w:t>] יחדלו מלהצביע עליכם באצבע. אתם מחללים את התורה, מביאים קלון על הישיבה ועליי, וחורבן על עצמכם’. הדברים נגעו ללב רבים, ואחדים בכו בהתרגשות וברחמים. הכול המתינו לתשובת הוועד, ובשמו</w:t>
      </w:r>
      <w:bookmarkStart w:id="5653" w:name="_fnr4296"/>
      <w:r>
        <w:rPr>
          <w:vertAlign w:val="superscript"/>
          <w:rtl/>
        </w:rPr>
        <w:footnoteReference w:id="4306" w:customMarkFollows="0"/>
      </w:r>
      <w:bookmarkEnd w:id="5653"/>
      <w:r>
        <w:rPr>
          <w:rtl/>
        </w:rPr>
        <w:t xml:space="preserve"> קם ויסוקר ואמר: ‘ר׳ לייזר מבקש מאתנו לרחם על עצמנו, על הישיבה ועל התורה; הוא רוצה שנתחיל ללמוד מיד, אך מודיע לנו </w:t>
      </w:r>
      <w:proofErr w:type="spellStart"/>
      <w:r>
        <w:rPr>
          <w:rtl/>
        </w:rPr>
        <w:t>שה“מוסרניקים</w:t>
      </w:r>
      <w:proofErr w:type="spellEnd"/>
      <w:r>
        <w:rPr>
          <w:rtl/>
        </w:rPr>
        <w:t>” יישארו אתנו. משום כך אין הוועד יכול לתת תשובה מיד. מאחר שהאחריות הגדולה לישיבה כולה מוטלת על הוועד, עליו לשקול את החלטתו, ולפיכך ניתן את תשובתו בעוד יומיים’. ר׳ לייזר הפסיקו: ‘כיצד אתה מעז לדבר כך? כשאני מבקש מכם להפסיק את החרפות האלה, אתה אומר “בעוד יומיים”?! כל דבריכם שקרים וכזבים. אתם יכולים [כולכם לחזור] ללמוד בלי ועד!’ והגאון העדין וטוב הלב שוב התרגז, צעק בכעס, רקע ברגליו ולבסוף רץ החוצה מן הישיבה”.</w:t>
      </w:r>
    </w:p>
    <w:p w14:paraId="44891900" w14:textId="77777777" w:rsidR="00AB3647" w:rsidRDefault="00000000" w:rsidP="007923E9">
      <w:pPr>
        <w:spacing w:after="120" w:line="276" w:lineRule="auto"/>
        <w:ind w:firstLine="283"/>
        <w:jc w:val="both"/>
      </w:pPr>
      <w:bookmarkStart w:id="5654" w:name="pr_b_2399"/>
      <w:bookmarkEnd w:id="5654"/>
      <w:proofErr w:type="spellStart"/>
      <w:r>
        <w:rPr>
          <w:rtl/>
        </w:rPr>
        <w:t>שולמן</w:t>
      </w:r>
      <w:proofErr w:type="spellEnd"/>
      <w:r>
        <w:rPr>
          <w:rtl/>
        </w:rPr>
        <w:t xml:space="preserve"> מספר שלמחרת הביאו כמה איכרים את הרב לעיר כשהוא מחוסר הכרה; הם עברו ליד היער שבו נהג ר׳ לייזר גורדון לטייל מדי יום. הציבור הזדעזע, וחבורת מתנגדי המוסר נתפסה בעיני הכול ככנופיית בריונים המענה את רבה. בעלי אכסניות רבים סירבו להמשיך להשכיר להם חדרים.</w:t>
      </w:r>
    </w:p>
    <w:p w14:paraId="5A90F641" w14:textId="77777777" w:rsidR="00AB3647" w:rsidRDefault="00000000" w:rsidP="007923E9">
      <w:pPr>
        <w:spacing w:after="120" w:line="276" w:lineRule="auto"/>
        <w:ind w:firstLine="283"/>
        <w:jc w:val="both"/>
      </w:pPr>
      <w:proofErr w:type="spellStart"/>
      <w:r>
        <w:rPr>
          <w:rtl/>
        </w:rPr>
        <w:t>שולמן</w:t>
      </w:r>
      <w:proofErr w:type="spellEnd"/>
      <w:r>
        <w:rPr>
          <w:rtl/>
        </w:rPr>
        <w:t xml:space="preserve"> ממשיך</w:t>
      </w:r>
      <w:bookmarkStart w:id="5655" w:name="_fnr4297"/>
      <w:r>
        <w:rPr>
          <w:vertAlign w:val="superscript"/>
          <w:rtl/>
        </w:rPr>
        <w:footnoteReference w:id="4307" w:customMarkFollows="0"/>
      </w:r>
      <w:bookmarkEnd w:id="5655"/>
      <w:r>
        <w:rPr>
          <w:rtl/>
        </w:rPr>
        <w:t xml:space="preserve">: “ר׳ לייזר חלה והרופאים ניבאו לאפשרות של שיתוק מהתרגשות וצוו עליו מנוחה מוחלטת. אולם הוא, החולה והחלש, הזמין אותנו אליו ושאל מה נשמע בישיבה. אז הזדעזע גם הועד שלנו. קם חשש שהרחקנו ללכת, שהרשינו לעצמנו יותר מדי. ויסוקר לבדו, שונא קיצוני של המוסר, לא יכול לעמוד בפני המגמה הכללית. נתכנסה אסיפה כללית חדשה ובה הכריז הועד שהשביתה נגמרה. מחרימים את שמואל עם </w:t>
      </w:r>
      <w:proofErr w:type="spellStart"/>
      <w:r>
        <w:rPr>
          <w:rtl/>
        </w:rPr>
        <w:t>המוסרניקים</w:t>
      </w:r>
      <w:proofErr w:type="spellEnd"/>
      <w:r>
        <w:rPr>
          <w:rtl/>
        </w:rPr>
        <w:t xml:space="preserve"> שלו. ישיבת </w:t>
      </w:r>
      <w:proofErr w:type="spellStart"/>
      <w:r>
        <w:rPr>
          <w:rtl/>
        </w:rPr>
        <w:t>טלז</w:t>
      </w:r>
      <w:proofErr w:type="spellEnd"/>
      <w:r>
        <w:rPr>
          <w:rtl/>
        </w:rPr>
        <w:t xml:space="preserve"> נשארת נאמנה למסורות הקודמות: איש ממשתתפי המאורעות לא יסולק מן הישיבה והועד מתפרק. בצער רב שמענו את החלטת הועד. </w:t>
      </w:r>
      <w:proofErr w:type="spellStart"/>
      <w:r>
        <w:rPr>
          <w:rtl/>
        </w:rPr>
        <w:t>המוסרניקים</w:t>
      </w:r>
      <w:proofErr w:type="spellEnd"/>
      <w:r>
        <w:rPr>
          <w:rtl/>
        </w:rPr>
        <w:t xml:space="preserve"> נשארו – זוהי עובדה ואין לעשות כלום נגדה. לא יועילו החרם והזלזול מצדנו. הם התחזקו כאן ובתוקף ערמתם השתלטו סוף סוף על הישיבה. הם מכירים היטב את כל המרדנים ויום אחד יעשו אתנו חשבון. אולם מחלתו של ר׳ לייזר, גורל הישיבה והגעגועים ללימודים מנעו את המשך ההתנגדות. נכנענו לגורל והתחלנו ללמוד. שנה שלימה נמשכו הלימודים המשותפים שלנו עם </w:t>
      </w:r>
      <w:proofErr w:type="spellStart"/>
      <w:r>
        <w:rPr>
          <w:rtl/>
        </w:rPr>
        <w:t>המוסרניקים</w:t>
      </w:r>
      <w:proofErr w:type="spellEnd"/>
      <w:r>
        <w:rPr>
          <w:rtl/>
        </w:rPr>
        <w:t xml:space="preserve">, והמציאות הצדיקה את כל חששותינו לעתיד. במהירות רבה חוסלו ראשי הישיבה </w:t>
      </w:r>
      <w:proofErr w:type="spellStart"/>
      <w:r>
        <w:rPr>
          <w:rtl/>
        </w:rPr>
        <w:t>הותיקים</w:t>
      </w:r>
      <w:bookmarkStart w:id="5656" w:name="_fnr4298"/>
      <w:proofErr w:type="spellEnd"/>
      <w:r>
        <w:rPr>
          <w:vertAlign w:val="superscript"/>
          <w:rtl/>
        </w:rPr>
        <w:footnoteReference w:id="4308" w:customMarkFollows="0"/>
      </w:r>
      <w:bookmarkEnd w:id="5656"/>
      <w:r>
        <w:rPr>
          <w:rtl/>
        </w:rPr>
        <w:t xml:space="preserve">. הבחורים הגדולים, בני השיעור החמישי, שוחדו על ידי </w:t>
      </w:r>
      <w:proofErr w:type="spellStart"/>
      <w:r>
        <w:rPr>
          <w:rtl/>
        </w:rPr>
        <w:t>המוסרניקים</w:t>
      </w:r>
      <w:proofErr w:type="spellEnd"/>
      <w:r>
        <w:rPr>
          <w:rtl/>
        </w:rPr>
        <w:t xml:space="preserve"> בהבטחות לעתיד. היו להם קשרים טובים בעולם היהודי, היה להם ארגון מלוכד ולו רשת בכל ליטא והם ידעו היטב לסדר את </w:t>
      </w:r>
      <w:proofErr w:type="spellStart"/>
      <w:r>
        <w:rPr>
          <w:rtl/>
        </w:rPr>
        <w:t>נאמניהם</w:t>
      </w:r>
      <w:proofErr w:type="spellEnd"/>
      <w:r>
        <w:rPr>
          <w:rtl/>
        </w:rPr>
        <w:t xml:space="preserve">. הם היו פורסים את האפוטרופסות שלהם על בחור ישיבה מן היום הראשון שבא: דאגת אב בתוך הישיבה, שידוך טוב ומקום רבנות לעתיד. </w:t>
      </w:r>
      <w:proofErr w:type="spellStart"/>
      <w:r>
        <w:rPr>
          <w:rtl/>
        </w:rPr>
        <w:t>הותיקים</w:t>
      </w:r>
      <w:proofErr w:type="spellEnd"/>
      <w:r>
        <w:rPr>
          <w:rtl/>
        </w:rPr>
        <w:t xml:space="preserve"> בינינו שעמדו על פרשת דרכים לא יכלו לעמוד בפני פיתויים אלה. רק בני השיעור השני</w:t>
      </w:r>
      <w:bookmarkStart w:id="5657" w:name="_fnr4299"/>
      <w:r>
        <w:rPr>
          <w:vertAlign w:val="superscript"/>
          <w:rtl/>
        </w:rPr>
        <w:footnoteReference w:id="4309" w:customMarkFollows="0"/>
      </w:r>
      <w:bookmarkEnd w:id="5657"/>
      <w:r>
        <w:rPr>
          <w:rtl/>
        </w:rPr>
        <w:t xml:space="preserve"> התעקשו בשנאתם </w:t>
      </w:r>
      <w:proofErr w:type="spellStart"/>
      <w:r>
        <w:rPr>
          <w:rtl/>
        </w:rPr>
        <w:t>למוסרניקים</w:t>
      </w:r>
      <w:proofErr w:type="spellEnd"/>
      <w:r>
        <w:rPr>
          <w:rtl/>
        </w:rPr>
        <w:t xml:space="preserve">. איש מאתנו לא הלך לשמוע את שעורי חיזוק המוסר של ר׳ שמואל. בכל הזדמנות </w:t>
      </w:r>
      <w:r>
        <w:rPr>
          <w:rtl/>
        </w:rPr>
        <w:lastRenderedPageBreak/>
        <w:t xml:space="preserve">השתדלנו ללגלג על הבנתם </w:t>
      </w:r>
      <w:proofErr w:type="spellStart"/>
      <w:r>
        <w:rPr>
          <w:rtl/>
        </w:rPr>
        <w:t>ה‘פילוסופית</w:t>
      </w:r>
      <w:proofErr w:type="spellEnd"/>
      <w:r>
        <w:rPr>
          <w:rtl/>
        </w:rPr>
        <w:t xml:space="preserve">’ של היהדות, על הפרישות הכוזבת וכדומה. </w:t>
      </w:r>
      <w:proofErr w:type="spellStart"/>
      <w:r>
        <w:rPr>
          <w:rtl/>
        </w:rPr>
        <w:t>המוסרניקים</w:t>
      </w:r>
      <w:proofErr w:type="spellEnd"/>
      <w:r>
        <w:rPr>
          <w:rtl/>
        </w:rPr>
        <w:t xml:space="preserve"> </w:t>
      </w:r>
      <w:proofErr w:type="spellStart"/>
      <w:r>
        <w:rPr>
          <w:rtl/>
        </w:rPr>
        <w:t>בטלז</w:t>
      </w:r>
      <w:proofErr w:type="spellEnd"/>
      <w:r>
        <w:rPr>
          <w:rtl/>
        </w:rPr>
        <w:t xml:space="preserve"> לא שמו לב ללגלוגינו, המשיכו במעשיהם, למדו בישיבה יחד אתנו ואפילו באו בקשרים עם אלה ששנו ופירשו. כל פעולותיהם היו חדורות אמון לעצמם. גם </w:t>
      </w:r>
      <w:proofErr w:type="spellStart"/>
      <w:r>
        <w:rPr>
          <w:rtl/>
        </w:rPr>
        <w:t>ה‘זקן</w:t>
      </w:r>
      <w:proofErr w:type="spellEnd"/>
      <w:r>
        <w:rPr>
          <w:rtl/>
        </w:rPr>
        <w:t>’ שבהם</w:t>
      </w:r>
      <w:bookmarkStart w:id="5658" w:name="_fnr4300"/>
      <w:r>
        <w:rPr>
          <w:vertAlign w:val="superscript"/>
          <w:rtl/>
        </w:rPr>
        <w:footnoteReference w:id="4310" w:customMarkFollows="0"/>
      </w:r>
      <w:bookmarkEnd w:id="5658"/>
      <w:r>
        <w:rPr>
          <w:rtl/>
        </w:rPr>
        <w:t xml:space="preserve"> וכן הבחורים היו כאילו שרויים במין גדלות”.</w:t>
      </w:r>
    </w:p>
    <w:p w14:paraId="064412FA" w14:textId="77777777" w:rsidR="00AB3647" w:rsidRDefault="00000000" w:rsidP="007923E9">
      <w:pPr>
        <w:spacing w:after="120" w:line="276" w:lineRule="auto"/>
        <w:ind w:firstLine="283"/>
        <w:jc w:val="both"/>
      </w:pPr>
      <w:r>
        <w:rPr>
          <w:rtl/>
        </w:rPr>
        <w:t>כץ, “תנועת המוסר”, כרך ה</w:t>
      </w:r>
      <w:bookmarkStart w:id="5659" w:name="_fnr4301"/>
      <w:r>
        <w:rPr>
          <w:vertAlign w:val="superscript"/>
          <w:rtl/>
        </w:rPr>
        <w:footnoteReference w:id="4311" w:customMarkFollows="0"/>
      </w:r>
      <w:bookmarkEnd w:id="5659"/>
      <w:r>
        <w:rPr>
          <w:rtl/>
        </w:rPr>
        <w:t xml:space="preserve">, מתוך עמדתו התומכת במוסר, מסביר: “בהליכותיו הנעימות, בדיבורו הנאה </w:t>
      </w:r>
      <w:proofErr w:type="spellStart"/>
      <w:r>
        <w:rPr>
          <w:rtl/>
        </w:rPr>
        <w:t>ובחכמתו</w:t>
      </w:r>
      <w:proofErr w:type="spellEnd"/>
      <w:r>
        <w:rPr>
          <w:rtl/>
        </w:rPr>
        <w:t xml:space="preserve"> הרבה השתלט ר׳ שמואל על המצב והשקיט את המהומות... וכונן חילופי תלמידים בין </w:t>
      </w:r>
      <w:proofErr w:type="spellStart"/>
      <w:r>
        <w:rPr>
          <w:rtl/>
        </w:rPr>
        <w:t>סלבודקה</w:t>
      </w:r>
      <w:proofErr w:type="spellEnd"/>
      <w:r>
        <w:rPr>
          <w:rtl/>
        </w:rPr>
        <w:t xml:space="preserve"> </w:t>
      </w:r>
      <w:proofErr w:type="spellStart"/>
      <w:r>
        <w:rPr>
          <w:rtl/>
        </w:rPr>
        <w:t>לטלז</w:t>
      </w:r>
      <w:bookmarkStart w:id="5660" w:name="_fnr4302"/>
      <w:proofErr w:type="spellEnd"/>
      <w:r>
        <w:rPr>
          <w:vertAlign w:val="superscript"/>
          <w:rtl/>
        </w:rPr>
        <w:footnoteReference w:id="4312" w:customMarkFollows="0"/>
      </w:r>
      <w:bookmarkEnd w:id="5660"/>
      <w:r>
        <w:rPr>
          <w:rtl/>
        </w:rPr>
        <w:t xml:space="preserve">, שבמסגרתם עברו למעלה משישים תלמידי </w:t>
      </w:r>
      <w:proofErr w:type="spellStart"/>
      <w:r>
        <w:rPr>
          <w:rtl/>
        </w:rPr>
        <w:t>טלז</w:t>
      </w:r>
      <w:proofErr w:type="spellEnd"/>
      <w:r>
        <w:rPr>
          <w:rtl/>
        </w:rPr>
        <w:t xml:space="preserve"> </w:t>
      </w:r>
      <w:proofErr w:type="spellStart"/>
      <w:r>
        <w:rPr>
          <w:rtl/>
        </w:rPr>
        <w:t>לסלבודקה</w:t>
      </w:r>
      <w:proofErr w:type="spellEnd"/>
      <w:r>
        <w:rPr>
          <w:rtl/>
        </w:rPr>
        <w:t>, ולהפך”.</w:t>
      </w:r>
    </w:p>
    <w:bookmarkStart w:id="5661" w:name="b4_excP"/>
    <w:bookmarkStart w:id="5662" w:name="b4_annexP"/>
    <w:p w14:paraId="7C98C1DB" w14:textId="77777777" w:rsidR="00AB3647" w:rsidRDefault="00000000" w:rsidP="007923E9">
      <w:pPr>
        <w:pStyle w:val="3"/>
        <w:pageBreakBefore w:val="0"/>
        <w:spacing w:line="276" w:lineRule="auto"/>
      </w:pPr>
      <w:r>
        <w:fldChar w:fldCharType="begin" w:dirty="true"/>
      </w:r>
      <w:r>
        <w:rPr>
          <w:rtl w:val="0"/>
        </w:rPr>
        <w:instrText>HYPERLINK \l "b4_note137</w:instrText>
      </w:r>
      <w:r>
        <w:instrText>"</w:instrText>
      </w:r>
      <w:r>
        <w:fldChar w:fldCharType="separate"/>
      </w:r>
      <w:r>
        <w:t xml:space="preserve">נספח </w:t>
      </w:r>
      <w:proofErr w:type="spellStart"/>
      <w:r>
        <w:t>טז</w:t>
      </w:r>
      <w:proofErr w:type="spellEnd"/>
      <w:r>
        <w:fldChar w:fldCharType="end"/>
      </w:r>
      <w:bookmarkEnd w:id="5661"/>
      <w:bookmarkEnd w:id="5662"/>
    </w:p>
    <w:p w14:paraId="0B51E1E0" w14:textId="77777777" w:rsidR="00AB3647" w:rsidRDefault="00000000" w:rsidP="007923E9">
      <w:pPr>
        <w:pStyle w:val="af"/>
        <w:spacing w:line="276" w:lineRule="auto"/>
      </w:pPr>
      <w:r>
        <w:t xml:space="preserve">על ר׳ אהרן קוטלר ור׳ שלמה היימן ועל קרבת ר׳ </w:t>
      </w:r>
      <w:proofErr w:type="spellStart"/>
      <w:r>
        <w:t>ברוך־בער</w:t>
      </w:r>
      <w:proofErr w:type="spellEnd"/>
      <w:r>
        <w:t xml:space="preserve"> לתלמידיו</w:t>
      </w:r>
    </w:p>
    <w:p w14:paraId="5F5316D4" w14:textId="77777777" w:rsidR="00AB3647" w:rsidRDefault="00000000" w:rsidP="007923E9">
      <w:pPr>
        <w:pStyle w:val="5"/>
        <w:spacing w:line="276" w:lineRule="auto"/>
      </w:pPr>
      <w:r>
        <w:rPr>
          <w:bCs/>
          <w:szCs w:val="26"/>
        </w:rPr>
        <w:t xml:space="preserve">ר׳ שלמה היימן מבקר בבולטימור – הוא מוקיר במיוחד את </w:t>
      </w:r>
      <w:proofErr w:type="spellStart"/>
      <w:r>
        <w:rPr>
          <w:bCs/>
          <w:szCs w:val="26"/>
        </w:rPr>
        <w:t>הרשב״א</w:t>
      </w:r>
      <w:proofErr w:type="spellEnd"/>
      <w:r>
        <w:rPr>
          <w:bCs/>
          <w:szCs w:val="26"/>
        </w:rPr>
        <w:t xml:space="preserve"> ואת ר׳ עקיבא איגר – ר׳ </w:t>
      </w:r>
      <w:proofErr w:type="spellStart"/>
      <w:r>
        <w:rPr>
          <w:bCs/>
          <w:szCs w:val="26"/>
        </w:rPr>
        <w:t>ברוך־בער</w:t>
      </w:r>
      <w:proofErr w:type="spellEnd"/>
      <w:r>
        <w:rPr>
          <w:bCs/>
          <w:szCs w:val="26"/>
        </w:rPr>
        <w:t xml:space="preserve"> מבקר בבולטימור לפניו – הוא מתעניין בשלומו של כל אחד ואחד מבוגרי ישיבתו</w:t>
      </w:r>
    </w:p>
    <w:p w14:paraId="119FB5A9" w14:textId="77777777" w:rsidR="00AB3647" w:rsidRDefault="00000000" w:rsidP="007923E9">
      <w:pPr>
        <w:spacing w:after="120" w:line="276" w:lineRule="auto"/>
        <w:ind w:firstLine="283"/>
        <w:jc w:val="both"/>
      </w:pPr>
      <w:proofErr w:type="spellStart"/>
      <w:r>
        <w:rPr>
          <w:rtl/>
        </w:rPr>
        <w:t>קאפל</w:t>
      </w:r>
      <w:proofErr w:type="spellEnd"/>
      <w:r>
        <w:rPr>
          <w:rtl/>
        </w:rPr>
        <w:t xml:space="preserve"> </w:t>
      </w:r>
      <w:proofErr w:type="spellStart"/>
      <w:r>
        <w:rPr>
          <w:rtl/>
        </w:rPr>
        <w:t>קעלמער</w:t>
      </w:r>
      <w:proofErr w:type="spellEnd"/>
      <w:r>
        <w:rPr>
          <w:rtl/>
        </w:rPr>
        <w:t xml:space="preserve">, שנזכר בסעיף 2 בפרק זה, היה ר׳ קופל </w:t>
      </w:r>
      <w:proofErr w:type="spellStart"/>
      <w:r>
        <w:rPr>
          <w:rtl/>
        </w:rPr>
        <w:t>וולפרט</w:t>
      </w:r>
      <w:bookmarkStart w:id="5663" w:name="_fnr4303"/>
      <w:proofErr w:type="spellEnd"/>
      <w:r>
        <w:rPr>
          <w:vertAlign w:val="superscript"/>
          <w:rtl/>
        </w:rPr>
        <w:footnoteReference w:id="4313" w:customMarkFollows="0"/>
      </w:r>
      <w:bookmarkEnd w:id="5663"/>
      <w:r>
        <w:rPr>
          <w:rtl/>
        </w:rPr>
        <w:t xml:space="preserve">, שחי שמונים שנה בארצות הברית, כמעט כולן בבולטימור, ושם נפטר ב־1990 בן מאה. הוא שסיפר את פרטי ביקורו של ר׳ לייזר. כשסיפר את המעשה המלבב על השיחה שאחרי השיעור, הוסיף שחזר על הסיפור – </w:t>
      </w:r>
      <w:proofErr w:type="spellStart"/>
      <w:r>
        <w:rPr>
          <w:rtl/>
        </w:rPr>
        <w:t>ש“הוכיח</w:t>
      </w:r>
      <w:proofErr w:type="spellEnd"/>
      <w:r>
        <w:rPr>
          <w:rtl/>
        </w:rPr>
        <w:t xml:space="preserve">” שר׳ שלמה היימן שאל שאלה חזקה יותר מר׳ אהרן קוטלר – באוזני הרב היימן, כשביקר זה בבולטימור ארבעים שנה אחרי המאורע. ר׳ שלמה נהנה לשמוע את המעשה. ר׳ קופל השלים את סיפורו בפרט הבא: כשהגיע הרב היימן למלון בבולטימור, שלח שליח לומר </w:t>
      </w:r>
      <w:proofErr w:type="spellStart"/>
      <w:r>
        <w:rPr>
          <w:rtl/>
        </w:rPr>
        <w:t>לוולפרט</w:t>
      </w:r>
      <w:proofErr w:type="spellEnd"/>
      <w:r>
        <w:rPr>
          <w:rtl/>
        </w:rPr>
        <w:t xml:space="preserve"> </w:t>
      </w:r>
      <w:proofErr w:type="spellStart"/>
      <w:r>
        <w:rPr>
          <w:rtl/>
        </w:rPr>
        <w:t>ש“שלמה</w:t>
      </w:r>
      <w:proofErr w:type="spellEnd"/>
      <w:r>
        <w:rPr>
          <w:rtl/>
        </w:rPr>
        <w:t xml:space="preserve"> </w:t>
      </w:r>
      <w:proofErr w:type="spellStart"/>
      <w:r>
        <w:rPr>
          <w:rtl/>
        </w:rPr>
        <w:t>פאריטשער</w:t>
      </w:r>
      <w:proofErr w:type="spellEnd"/>
      <w:r>
        <w:rPr>
          <w:rtl/>
        </w:rPr>
        <w:t xml:space="preserve"> רוצה לראות [אותו]”.</w:t>
      </w:r>
    </w:p>
    <w:p w14:paraId="3708C46D" w14:textId="77777777" w:rsidR="00AB3647" w:rsidRDefault="00000000" w:rsidP="007923E9">
      <w:pPr>
        <w:spacing w:after="120" w:line="276" w:lineRule="auto"/>
        <w:ind w:firstLine="283"/>
        <w:jc w:val="both"/>
      </w:pPr>
      <w:r>
        <w:rPr>
          <w:rtl/>
        </w:rPr>
        <w:t xml:space="preserve">תלמידי כנסת בית יצחק הוקירו מאוד את ר׳ אהרן קוטלר. הדבר ניכר בשיחה בין ר׳ שלמה היימן </w:t>
      </w:r>
      <w:proofErr w:type="spellStart"/>
      <w:r>
        <w:rPr>
          <w:rtl/>
        </w:rPr>
        <w:t>לר</w:t>
      </w:r>
      <w:proofErr w:type="spellEnd"/>
      <w:r>
        <w:rPr>
          <w:rtl/>
        </w:rPr>
        <w:t xml:space="preserve">׳ </w:t>
      </w:r>
      <w:proofErr w:type="spellStart"/>
      <w:r>
        <w:rPr>
          <w:rtl/>
        </w:rPr>
        <w:t>שמואל־לייב</w:t>
      </w:r>
      <w:proofErr w:type="spellEnd"/>
      <w:r>
        <w:rPr>
          <w:rtl/>
        </w:rPr>
        <w:t xml:space="preserve"> שווי</w:t>
      </w:r>
      <w:bookmarkStart w:id="5664" w:name="_fnr4304"/>
      <w:r>
        <w:rPr>
          <w:vertAlign w:val="superscript"/>
          <w:rtl/>
        </w:rPr>
        <w:footnoteReference w:id="4314" w:customMarkFollows="0"/>
      </w:r>
      <w:bookmarkEnd w:id="5664"/>
      <w:r>
        <w:rPr>
          <w:rtl/>
        </w:rPr>
        <w:t>, שהתקיימה שנים אחדות אחרי המאורע המתואר כאן, וסופרה מפי ר׳ אלי׳, בנו של האחרון</w:t>
      </w:r>
      <w:bookmarkStart w:id="5665" w:name="_fnr4305"/>
      <w:r>
        <w:rPr>
          <w:vertAlign w:val="superscript"/>
          <w:rtl/>
        </w:rPr>
        <w:footnoteReference w:id="4315" w:customMarkFollows="0"/>
      </w:r>
      <w:bookmarkEnd w:id="5665"/>
      <w:r>
        <w:rPr>
          <w:rtl/>
        </w:rPr>
        <w:t xml:space="preserve">. כשטייל ר׳ </w:t>
      </w:r>
      <w:proofErr w:type="spellStart"/>
      <w:r>
        <w:rPr>
          <w:rtl/>
        </w:rPr>
        <w:t>שמואל־לייב</w:t>
      </w:r>
      <w:proofErr w:type="spellEnd"/>
      <w:r>
        <w:rPr>
          <w:rtl/>
        </w:rPr>
        <w:t xml:space="preserve"> שווי עם ר׳ שלמה, שכבר היה אז תלמיד מבוגר, אמר לו בהקנטה: “אתה יודע שבישיבה האחרת [כנסת ישראל] אומרים שבחור פלוני” – ונקב בשמו – “הוא </w:t>
      </w:r>
      <w:proofErr w:type="spellStart"/>
      <w:r>
        <w:rPr>
          <w:rtl/>
        </w:rPr>
        <w:t>רשב״א</w:t>
      </w:r>
      <w:proofErr w:type="spellEnd"/>
      <w:r>
        <w:rPr>
          <w:rtl/>
        </w:rPr>
        <w:t xml:space="preserve"> קטן, ושפלוני” – וגם בו נקב בשם – “דומה </w:t>
      </w:r>
      <w:proofErr w:type="spellStart"/>
      <w:r>
        <w:rPr>
          <w:rtl/>
        </w:rPr>
        <w:t>לר</w:t>
      </w:r>
      <w:proofErr w:type="spellEnd"/>
      <w:r>
        <w:rPr>
          <w:rtl/>
        </w:rPr>
        <w:t xml:space="preserve">׳ עקיבא איגר, ושאהרן </w:t>
      </w:r>
      <w:proofErr w:type="spellStart"/>
      <w:r>
        <w:rPr>
          <w:rtl/>
        </w:rPr>
        <w:t>הסיסלוביצ׳ר</w:t>
      </w:r>
      <w:proofErr w:type="spellEnd"/>
      <w:r>
        <w:rPr>
          <w:rtl/>
        </w:rPr>
        <w:t xml:space="preserve"> [קוטלר] הוא כר׳ </w:t>
      </w:r>
      <w:proofErr w:type="spellStart"/>
      <w:r>
        <w:rPr>
          <w:rtl/>
        </w:rPr>
        <w:t>איצל׳ה</w:t>
      </w:r>
      <w:proofErr w:type="spellEnd"/>
      <w:r>
        <w:rPr>
          <w:rtl/>
        </w:rPr>
        <w:t xml:space="preserve"> </w:t>
      </w:r>
      <w:proofErr w:type="spellStart"/>
      <w:r>
        <w:rPr>
          <w:rtl/>
        </w:rPr>
        <w:t>מפוניבז</w:t>
      </w:r>
      <w:proofErr w:type="spellEnd"/>
      <w:r>
        <w:rPr>
          <w:rtl/>
        </w:rPr>
        <w:t xml:space="preserve">׳”. ר׳ שלמה השיב: “השוואת </w:t>
      </w:r>
      <w:r>
        <w:rPr>
          <w:rtl/>
        </w:rPr>
        <w:lastRenderedPageBreak/>
        <w:t xml:space="preserve">שני הראשונים </w:t>
      </w:r>
      <w:proofErr w:type="spellStart"/>
      <w:r>
        <w:rPr>
          <w:rtl/>
        </w:rPr>
        <w:t>לרשב״א</w:t>
      </w:r>
      <w:proofErr w:type="spellEnd"/>
      <w:r>
        <w:rPr>
          <w:rtl/>
        </w:rPr>
        <w:t xml:space="preserve"> </w:t>
      </w:r>
      <w:proofErr w:type="spellStart"/>
      <w:r>
        <w:rPr>
          <w:rtl/>
        </w:rPr>
        <w:t>ולר</w:t>
      </w:r>
      <w:proofErr w:type="spellEnd"/>
      <w:r>
        <w:rPr>
          <w:rtl/>
        </w:rPr>
        <w:t xml:space="preserve">׳ עקיבא איגר אינה אלא ליצנות. באשר לאהרן </w:t>
      </w:r>
      <w:proofErr w:type="spellStart"/>
      <w:r>
        <w:rPr>
          <w:rtl/>
        </w:rPr>
        <w:t>הסיסלוביצ׳ר</w:t>
      </w:r>
      <w:proofErr w:type="spellEnd"/>
      <w:r>
        <w:rPr>
          <w:rtl/>
        </w:rPr>
        <w:t xml:space="preserve">, </w:t>
      </w:r>
      <w:proofErr w:type="spellStart"/>
      <w:r>
        <w:rPr>
          <w:rtl/>
        </w:rPr>
        <w:t>דאס</w:t>
      </w:r>
      <w:proofErr w:type="spellEnd"/>
      <w:r>
        <w:rPr>
          <w:rtl/>
        </w:rPr>
        <w:t xml:space="preserve"> </w:t>
      </w:r>
      <w:proofErr w:type="spellStart"/>
      <w:r>
        <w:rPr>
          <w:rtl/>
        </w:rPr>
        <w:t>איז</w:t>
      </w:r>
      <w:proofErr w:type="spellEnd"/>
      <w:r>
        <w:rPr>
          <w:rtl/>
        </w:rPr>
        <w:t xml:space="preserve"> ביים </w:t>
      </w:r>
      <w:proofErr w:type="spellStart"/>
      <w:r>
        <w:rPr>
          <w:rtl/>
        </w:rPr>
        <w:t>וועג</w:t>
      </w:r>
      <w:proofErr w:type="spellEnd"/>
      <w:r>
        <w:rPr>
          <w:rtl/>
        </w:rPr>
        <w:t xml:space="preserve"> [יש בזה משהו]”</w:t>
      </w:r>
      <w:bookmarkStart w:id="5666" w:name="_fnr4306"/>
      <w:r>
        <w:rPr>
          <w:vertAlign w:val="superscript"/>
          <w:rtl/>
        </w:rPr>
        <w:footnoteReference w:id="4316" w:customMarkFollows="0"/>
      </w:r>
      <w:bookmarkEnd w:id="5666"/>
      <w:r>
        <w:rPr>
          <w:rtl/>
        </w:rPr>
        <w:t>.</w:t>
      </w:r>
    </w:p>
    <w:p w14:paraId="66644DA1" w14:textId="34DF819A" w:rsidR="00AB3647" w:rsidRDefault="00000000" w:rsidP="007923E9">
      <w:pPr>
        <w:spacing w:after="120" w:line="276" w:lineRule="auto"/>
        <w:ind w:firstLine="283"/>
        <w:jc w:val="both"/>
      </w:pPr>
      <w:r>
        <w:rPr>
          <w:rtl/>
        </w:rPr>
        <w:t>בהקדמה לקובץ שיעורי ר׳ שלמה היימן, “חידושי רבי שלמה”</w:t>
      </w:r>
      <w:bookmarkStart w:id="5667" w:name="_fnr4307"/>
      <w:r>
        <w:rPr>
          <w:vertAlign w:val="superscript"/>
          <w:rtl/>
        </w:rPr>
        <w:footnoteReference w:id="4317" w:customMarkFollows="0"/>
      </w:r>
      <w:bookmarkEnd w:id="5667"/>
      <w:r>
        <w:rPr>
          <w:rtl/>
        </w:rPr>
        <w:t xml:space="preserve">, מציין העורך שהרב היימן העריץ הערצה יתרה את </w:t>
      </w:r>
      <w:proofErr w:type="spellStart"/>
      <w:r>
        <w:rPr>
          <w:rtl/>
        </w:rPr>
        <w:t>הרשב״א</w:t>
      </w:r>
      <w:proofErr w:type="spellEnd"/>
      <w:r>
        <w:rPr>
          <w:rtl/>
        </w:rPr>
        <w:t xml:space="preserve"> ואת ר׳ עקיבא איגר, והדגיש כיצד כל מילה של שני חכמים גדולים אלה טעונה משמעות עמוקה. מסתבר שר׳ שלמה היימן הסתייג מהשוואת כל אדם שהוא לשניים אלה, ונזעם כשהיה זה אדם שחי מאות שנים, או אפילו דורות, אחריהם. אבל בכנסת ישראל השווה הסבא השוואות כאלה, גם אם רק לצורך חינוכי – השווה הערה </w:t>
      </w:r>
      <w:r>
        <w:rPr>
          <w:rtl/>
        </w:rPr>
        <w:fldChar w:fldCharType="begin" w:dirty="true"/>
      </w:r>
      <w:r>
        <w:rPr>
          <w:rtl/>
        </w:rPr>
        <w:instrText xml:space="preserve"> REF b4_note42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42</w:t>
      </w:r>
      <w:r>
        <w:rPr>
          <w:rtl/>
        </w:rPr>
        <w:fldChar w:fldCharType="end"/>
      </w:r>
      <w:r>
        <w:rPr>
          <w:rtl/>
        </w:rPr>
        <w:t xml:space="preserve"> לעיל.</w:t>
      </w:r>
    </w:p>
    <w:p w14:paraId="310316FF" w14:textId="77777777" w:rsidR="00AB3647" w:rsidRDefault="00000000" w:rsidP="007923E9">
      <w:pPr>
        <w:spacing w:after="120" w:line="276" w:lineRule="auto"/>
        <w:ind w:firstLine="283"/>
        <w:jc w:val="both"/>
      </w:pPr>
      <w:r>
        <w:rPr>
          <w:rtl/>
        </w:rPr>
        <w:t xml:space="preserve">ר׳ </w:t>
      </w:r>
      <w:proofErr w:type="spellStart"/>
      <w:r>
        <w:rPr>
          <w:rtl/>
        </w:rPr>
        <w:t>שלמה־אהרן</w:t>
      </w:r>
      <w:proofErr w:type="spellEnd"/>
      <w:r>
        <w:rPr>
          <w:rtl/>
        </w:rPr>
        <w:t xml:space="preserve"> וינר סיפר</w:t>
      </w:r>
      <w:bookmarkStart w:id="5668" w:name="_fnr4308"/>
      <w:r>
        <w:rPr>
          <w:vertAlign w:val="superscript"/>
          <w:rtl/>
        </w:rPr>
        <w:footnoteReference w:id="4318" w:customMarkFollows="0"/>
      </w:r>
      <w:bookmarkEnd w:id="5668"/>
      <w:r>
        <w:rPr>
          <w:rtl/>
        </w:rPr>
        <w:t xml:space="preserve"> שאבי אמר כי ר׳ חיים </w:t>
      </w:r>
      <w:proofErr w:type="spellStart"/>
      <w:r>
        <w:rPr>
          <w:rtl/>
        </w:rPr>
        <w:t>סולובייצ׳יק</w:t>
      </w:r>
      <w:proofErr w:type="spellEnd"/>
      <w:r>
        <w:rPr>
          <w:rtl/>
        </w:rPr>
        <w:t xml:space="preserve"> סידר את הכרכים על מדף ספריו לפי חשיבותם, וספרי ר׳ עקיבא איגר הונחו בין ספרי הראשונים. ר׳ שלמה היימן, תלמידו המובהק של ר׳ </w:t>
      </w:r>
      <w:proofErr w:type="spellStart"/>
      <w:r>
        <w:rPr>
          <w:rtl/>
        </w:rPr>
        <w:t>ברוך־בער</w:t>
      </w:r>
      <w:proofErr w:type="spellEnd"/>
      <w:r>
        <w:rPr>
          <w:rtl/>
        </w:rPr>
        <w:t>, שהיה תלמידו המובהק של ר׳ חיים, דגל בהשקפה זו. השווה גם “תשובות רבי אליעזר”</w:t>
      </w:r>
      <w:bookmarkStart w:id="5669" w:name="_fnr4309"/>
      <w:r>
        <w:rPr>
          <w:vertAlign w:val="superscript"/>
          <w:rtl/>
        </w:rPr>
        <w:footnoteReference w:id="4319" w:customMarkFollows="0"/>
      </w:r>
      <w:bookmarkEnd w:id="5669"/>
      <w:r>
        <w:rPr>
          <w:rtl/>
        </w:rPr>
        <w:t>, שבו נאמר שמכל המחברים המאוחרים “ראה [ר׳ לייזר גורדון] את ר׳ עקיבא איגר כמעט כראשון”. השווה גם “אבי הישיבות”</w:t>
      </w:r>
      <w:bookmarkStart w:id="5670" w:name="_fnr4310"/>
      <w:r>
        <w:rPr>
          <w:vertAlign w:val="superscript"/>
          <w:rtl/>
        </w:rPr>
        <w:footnoteReference w:id="4320" w:customMarkFollows="0"/>
      </w:r>
      <w:bookmarkEnd w:id="5670"/>
      <w:r>
        <w:rPr>
          <w:rtl/>
        </w:rPr>
        <w:t xml:space="preserve">, שר׳ יוסף־דב </w:t>
      </w:r>
      <w:proofErr w:type="spellStart"/>
      <w:r>
        <w:rPr>
          <w:rtl/>
        </w:rPr>
        <w:t>סולובייצ׳יק</w:t>
      </w:r>
      <w:proofErr w:type="spellEnd"/>
      <w:r>
        <w:rPr>
          <w:rtl/>
        </w:rPr>
        <w:t xml:space="preserve"> “נטה לתאר את בנו ר׳ חיים בצעירותו </w:t>
      </w:r>
      <w:proofErr w:type="spellStart"/>
      <w:r>
        <w:rPr>
          <w:rtl/>
        </w:rPr>
        <w:t>כ׳ר</w:t>
      </w:r>
      <w:proofErr w:type="spellEnd"/>
      <w:r>
        <w:rPr>
          <w:rtl/>
        </w:rPr>
        <w:t>׳ עקיבא איגר קטן’”.</w:t>
      </w:r>
    </w:p>
    <w:p w14:paraId="5E95F1A0" w14:textId="77777777" w:rsidR="00AB3647" w:rsidRDefault="00000000" w:rsidP="007923E9">
      <w:pPr>
        <w:spacing w:after="120" w:line="276" w:lineRule="auto"/>
        <w:ind w:firstLine="283"/>
        <w:jc w:val="both"/>
      </w:pPr>
      <w:r>
        <w:rPr>
          <w:rtl/>
        </w:rPr>
        <w:t>תלמידו של ר׳ שלמה משנותיו האחרונות במתיבתא תורה ודעת</w:t>
      </w:r>
      <w:bookmarkStart w:id="5671" w:name="_fnr4311"/>
      <w:r>
        <w:rPr>
          <w:vertAlign w:val="superscript"/>
          <w:rtl/>
        </w:rPr>
        <w:footnoteReference w:id="4321" w:customMarkFollows="0"/>
      </w:r>
      <w:bookmarkEnd w:id="5671"/>
      <w:r>
        <w:rPr>
          <w:rtl/>
        </w:rPr>
        <w:t>, ר׳ מוטל ברקוביץ</w:t>
      </w:r>
      <w:bookmarkStart w:id="5672" w:name="_fnr4312"/>
      <w:r>
        <w:rPr>
          <w:vertAlign w:val="superscript"/>
          <w:rtl/>
        </w:rPr>
        <w:footnoteReference w:id="4322" w:customMarkFollows="0"/>
      </w:r>
      <w:bookmarkEnd w:id="5672"/>
      <w:r>
        <w:rPr>
          <w:rtl/>
        </w:rPr>
        <w:t>, מסר כמה פרטים על יחס רבו לחידושי ר׳ עקיבא איגר. ר׳ שלמה סיפר לתלמידיו שבישיבה שלמד בה בצעירותו היה בחור שנהג לנשק את הספר כשסגר אותו – לא מתוך דתיות, אלא מפני שהתלהב מדבריו; התלמידים הבינו שהתכוון לעצמו. פעם ראה ר׳ שלמה תלמיד הולך בבית המדרש של תורה ודעת ומחזיק כרך של חידושי ר׳ עקיבא איגר כרגיל, לצִדו, וגער בו: “ספר כזה צריך להחזיק כנגד הלב”. כמה תלמידים ביקרו בבית הרב היימן כשהגיע בדואר ספר יסוד שנדפס מחדש, והוא העיר: “גאונים היו רבים, אבל ראש ישיבה היה ר׳ עקיבא איגר”.</w:t>
      </w:r>
    </w:p>
    <w:p w14:paraId="396381C9" w14:textId="77777777" w:rsidR="00AB3647" w:rsidRDefault="00000000" w:rsidP="007923E9">
      <w:pPr>
        <w:spacing w:after="120" w:line="276" w:lineRule="auto"/>
        <w:ind w:firstLine="283"/>
        <w:jc w:val="both"/>
      </w:pPr>
      <w:r>
        <w:rPr>
          <w:rtl/>
        </w:rPr>
        <w:t xml:space="preserve">ר׳ מרדכי צוקרמן, תלמיד ר׳ שלמה היימן מתקופה קודמת – כשלימד הרב היימן את השיעור שלפני העליון בישיבת </w:t>
      </w:r>
      <w:proofErr w:type="spellStart"/>
      <w:r>
        <w:rPr>
          <w:rtl/>
        </w:rPr>
        <w:t>רמיילעס</w:t>
      </w:r>
      <w:proofErr w:type="spellEnd"/>
      <w:r>
        <w:rPr>
          <w:rtl/>
        </w:rPr>
        <w:t xml:space="preserve"> בווילנה – הוסיף: “ר׳ שלמה היה נרדם עם [דברי] ר׳ עקיבא איגר”</w:t>
      </w:r>
      <w:bookmarkStart w:id="5673" w:name="_fnr4313"/>
      <w:r>
        <w:rPr>
          <w:vertAlign w:val="superscript"/>
          <w:rtl/>
        </w:rPr>
        <w:footnoteReference w:id="4323" w:customMarkFollows="0"/>
      </w:r>
      <w:bookmarkEnd w:id="5673"/>
      <w:r>
        <w:rPr>
          <w:rtl/>
        </w:rPr>
        <w:t xml:space="preserve">. שני תלמידי ר׳ שלמה הסכימו שהוא דן </w:t>
      </w:r>
      <w:proofErr w:type="spellStart"/>
      <w:r>
        <w:rPr>
          <w:rtl/>
        </w:rPr>
        <w:t>ברשב״א</w:t>
      </w:r>
      <w:proofErr w:type="spellEnd"/>
      <w:r>
        <w:rPr>
          <w:rtl/>
        </w:rPr>
        <w:t xml:space="preserve"> יותר </w:t>
      </w:r>
      <w:proofErr w:type="spellStart"/>
      <w:r>
        <w:rPr>
          <w:rtl/>
        </w:rPr>
        <w:t>מברמב״ם</w:t>
      </w:r>
      <w:proofErr w:type="spellEnd"/>
      <w:r>
        <w:rPr>
          <w:rtl/>
        </w:rPr>
        <w:t xml:space="preserve">, המקובל כעיקר עיסוקם של ראשי הישיבות. ר׳ מרדכי צוקרמן סיפר אז שראש ישיבת </w:t>
      </w:r>
      <w:proofErr w:type="spellStart"/>
      <w:r>
        <w:rPr>
          <w:rtl/>
        </w:rPr>
        <w:t>רמיילעס</w:t>
      </w:r>
      <w:proofErr w:type="spellEnd"/>
      <w:r>
        <w:rPr>
          <w:rtl/>
        </w:rPr>
        <w:t>, ר׳ מאיר באסין</w:t>
      </w:r>
      <w:bookmarkStart w:id="5674" w:name="_fnr4314"/>
      <w:r>
        <w:rPr>
          <w:vertAlign w:val="superscript"/>
          <w:rtl/>
        </w:rPr>
        <w:footnoteReference w:id="4324" w:customMarkFollows="0"/>
      </w:r>
      <w:bookmarkEnd w:id="5674"/>
      <w:r>
        <w:rPr>
          <w:rtl/>
        </w:rPr>
        <w:t xml:space="preserve">, “שידע את כל הש״ס עם הראשונים – אם שאלת אותו על דבר כלשהו בכל התורה </w:t>
      </w:r>
      <w:r>
        <w:rPr>
          <w:rtl/>
        </w:rPr>
        <w:lastRenderedPageBreak/>
        <w:t xml:space="preserve">כולה, היה מונה את כל דעות הראשונים בנושא ואומר בדיוק מה סבר כל ראשון – והיה מבטל בחריפות חכמים בני זמנו”, היה אומר: “‘גאונים’ יש רבים, אך ר׳ שלמה היימן יודע ללמוד”. הוא השתמש ביחס </w:t>
      </w:r>
      <w:proofErr w:type="spellStart"/>
      <w:r>
        <w:rPr>
          <w:rtl/>
        </w:rPr>
        <w:t>לר</w:t>
      </w:r>
      <w:proofErr w:type="spellEnd"/>
      <w:r>
        <w:rPr>
          <w:rtl/>
        </w:rPr>
        <w:t xml:space="preserve">׳ שלמה באותו נוסח שר׳ שלמה השתמש בו אחר כך ביחס </w:t>
      </w:r>
      <w:proofErr w:type="spellStart"/>
      <w:r>
        <w:rPr>
          <w:rtl/>
        </w:rPr>
        <w:t>לר</w:t>
      </w:r>
      <w:proofErr w:type="spellEnd"/>
      <w:r>
        <w:rPr>
          <w:rtl/>
        </w:rPr>
        <w:t>׳ עקיבא איגר, כאמור לעיל.</w:t>
      </w:r>
    </w:p>
    <w:p w14:paraId="3976BCC2" w14:textId="77777777" w:rsidR="00AB3647" w:rsidRDefault="00000000" w:rsidP="007923E9">
      <w:pPr>
        <w:spacing w:after="120" w:line="276" w:lineRule="auto"/>
        <w:ind w:firstLine="283"/>
        <w:jc w:val="both"/>
      </w:pPr>
      <w:r>
        <w:rPr>
          <w:rtl/>
        </w:rPr>
        <w:t xml:space="preserve">לדברי ר׳ דוד </w:t>
      </w:r>
      <w:proofErr w:type="spellStart"/>
      <w:r>
        <w:rPr>
          <w:rtl/>
        </w:rPr>
        <w:t>צימט</w:t>
      </w:r>
      <w:bookmarkStart w:id="5675" w:name="_fnr4315"/>
      <w:proofErr w:type="spellEnd"/>
      <w:r>
        <w:rPr>
          <w:vertAlign w:val="superscript"/>
          <w:rtl/>
        </w:rPr>
        <w:footnoteReference w:id="4325" w:customMarkFollows="0"/>
      </w:r>
      <w:bookmarkEnd w:id="5675"/>
      <w:r>
        <w:rPr>
          <w:rtl/>
        </w:rPr>
        <w:t xml:space="preserve">, אבי ייחס הפלגות כגון תיאור אדם </w:t>
      </w:r>
      <w:proofErr w:type="spellStart"/>
      <w:r>
        <w:rPr>
          <w:rtl/>
        </w:rPr>
        <w:t>כ“ר</w:t>
      </w:r>
      <w:proofErr w:type="spellEnd"/>
      <w:r>
        <w:rPr>
          <w:rtl/>
        </w:rPr>
        <w:t xml:space="preserve">׳ עקיבא איגר קטן” לא </w:t>
      </w:r>
      <w:proofErr w:type="spellStart"/>
      <w:r>
        <w:rPr>
          <w:rtl/>
        </w:rPr>
        <w:t>לסלבודקה</w:t>
      </w:r>
      <w:proofErr w:type="spellEnd"/>
      <w:r>
        <w:rPr>
          <w:rtl/>
        </w:rPr>
        <w:t xml:space="preserve"> אלא לישיבת </w:t>
      </w:r>
      <w:proofErr w:type="spellStart"/>
      <w:r>
        <w:rPr>
          <w:rtl/>
        </w:rPr>
        <w:t>מיר</w:t>
      </w:r>
      <w:proofErr w:type="spellEnd"/>
      <w:r>
        <w:rPr>
          <w:rtl/>
        </w:rPr>
        <w:t>. “</w:t>
      </w:r>
      <w:proofErr w:type="spellStart"/>
      <w:r>
        <w:rPr>
          <w:rtl/>
        </w:rPr>
        <w:t>בסלבודקה</w:t>
      </w:r>
      <w:proofErr w:type="spellEnd"/>
      <w:r>
        <w:rPr>
          <w:rtl/>
        </w:rPr>
        <w:t>”, אמר, “[רק] כינו כל בעל כישרון ‘עילוי’”.</w:t>
      </w:r>
    </w:p>
    <w:p w14:paraId="1B3435EC" w14:textId="77777777" w:rsidR="00AB3647" w:rsidRDefault="00000000" w:rsidP="007923E9">
      <w:pPr>
        <w:spacing w:after="120" w:line="276" w:lineRule="auto"/>
        <w:ind w:firstLine="283"/>
        <w:jc w:val="both"/>
      </w:pPr>
      <w:r>
        <w:rPr>
          <w:rtl/>
        </w:rPr>
        <w:t xml:space="preserve">כשבא ר׳ </w:t>
      </w:r>
      <w:proofErr w:type="spellStart"/>
      <w:r>
        <w:rPr>
          <w:rtl/>
        </w:rPr>
        <w:t>ברוך־בער</w:t>
      </w:r>
      <w:proofErr w:type="spellEnd"/>
      <w:r>
        <w:rPr>
          <w:rtl/>
        </w:rPr>
        <w:t xml:space="preserve"> לאמריקה בתחילת </w:t>
      </w:r>
      <w:proofErr w:type="spellStart"/>
      <w:r>
        <w:rPr>
          <w:rtl/>
        </w:rPr>
        <w:t>תר״ץ</w:t>
      </w:r>
      <w:proofErr w:type="spellEnd"/>
      <w:r>
        <w:rPr>
          <w:rtl/>
        </w:rPr>
        <w:t xml:space="preserve">, במסע לגיוס כספים, נסע מר </w:t>
      </w:r>
      <w:proofErr w:type="spellStart"/>
      <w:r>
        <w:rPr>
          <w:rtl/>
        </w:rPr>
        <w:t>וולפרט</w:t>
      </w:r>
      <w:proofErr w:type="spellEnd"/>
      <w:r>
        <w:rPr>
          <w:rtl/>
        </w:rPr>
        <w:t xml:space="preserve"> לנמל ניו יורק כדי לקבל את פניו כשירד מן האונייה. בתחילה נהג בו ר׳ </w:t>
      </w:r>
      <w:proofErr w:type="spellStart"/>
      <w:r>
        <w:rPr>
          <w:rtl/>
        </w:rPr>
        <w:t>ברוך־בער</w:t>
      </w:r>
      <w:proofErr w:type="spellEnd"/>
      <w:r>
        <w:rPr>
          <w:rtl/>
        </w:rPr>
        <w:t xml:space="preserve"> בקרירות, מפני שהיה מגולח למשעי. </w:t>
      </w:r>
      <w:proofErr w:type="spellStart"/>
      <w:r>
        <w:rPr>
          <w:rtl/>
        </w:rPr>
        <w:t>וולפרט</w:t>
      </w:r>
      <w:proofErr w:type="spellEnd"/>
      <w:r>
        <w:rPr>
          <w:rtl/>
        </w:rPr>
        <w:t xml:space="preserve"> מיהר להבטיחו שאינו “א גלוח [מגולח בתער]”, שהוא “</w:t>
      </w:r>
      <w:proofErr w:type="spellStart"/>
      <w:r>
        <w:rPr>
          <w:rtl/>
        </w:rPr>
        <w:t>קרקפתא</w:t>
      </w:r>
      <w:proofErr w:type="spellEnd"/>
      <w:r>
        <w:rPr>
          <w:rtl/>
        </w:rPr>
        <w:t xml:space="preserve"> </w:t>
      </w:r>
      <w:proofErr w:type="spellStart"/>
      <w:r>
        <w:rPr>
          <w:rtl/>
        </w:rPr>
        <w:t>דמנח</w:t>
      </w:r>
      <w:proofErr w:type="spellEnd"/>
      <w:r>
        <w:rPr>
          <w:rtl/>
        </w:rPr>
        <w:t xml:space="preserve"> תפילין”</w:t>
      </w:r>
      <w:bookmarkStart w:id="5676" w:name="_fnr4316"/>
      <w:r>
        <w:rPr>
          <w:vertAlign w:val="superscript"/>
          <w:rtl/>
        </w:rPr>
        <w:footnoteReference w:id="4326" w:customMarkFollows="0"/>
      </w:r>
      <w:bookmarkEnd w:id="5676"/>
      <w:r>
        <w:rPr>
          <w:rtl/>
        </w:rPr>
        <w:t>, קובע עתים לתורה ומעולם לא חילל שבת. אז חיבקו רבו ואמר לו בקרבה גמורה: “</w:t>
      </w:r>
      <w:proofErr w:type="spellStart"/>
      <w:r>
        <w:rPr>
          <w:rtl/>
        </w:rPr>
        <w:t>קאפעל</w:t>
      </w:r>
      <w:proofErr w:type="spellEnd"/>
      <w:r>
        <w:rPr>
          <w:rtl/>
        </w:rPr>
        <w:t xml:space="preserve">, </w:t>
      </w:r>
      <w:proofErr w:type="spellStart"/>
      <w:r>
        <w:rPr>
          <w:rtl/>
        </w:rPr>
        <w:t>וואס</w:t>
      </w:r>
      <w:proofErr w:type="spellEnd"/>
      <w:r>
        <w:rPr>
          <w:rtl/>
        </w:rPr>
        <w:t xml:space="preserve"> </w:t>
      </w:r>
      <w:proofErr w:type="spellStart"/>
      <w:r>
        <w:rPr>
          <w:rtl/>
        </w:rPr>
        <w:t>מאכסטו</w:t>
      </w:r>
      <w:proofErr w:type="spellEnd"/>
      <w:r>
        <w:rPr>
          <w:rtl/>
        </w:rPr>
        <w:t xml:space="preserve"> [קופל, מה שלומך]?”</w:t>
      </w:r>
    </w:p>
    <w:p w14:paraId="3D05513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הרגיש קרבה מיוחדת לתלמידיו. ר׳ שלמה לורנץ סיפר</w:t>
      </w:r>
      <w:bookmarkStart w:id="5677" w:name="_fnr4317"/>
      <w:r>
        <w:rPr>
          <w:vertAlign w:val="superscript"/>
          <w:rtl/>
        </w:rPr>
        <w:footnoteReference w:id="4327" w:customMarkFollows="0"/>
      </w:r>
      <w:bookmarkEnd w:id="5677"/>
      <w:r>
        <w:rPr>
          <w:rtl/>
        </w:rPr>
        <w:t xml:space="preserve"> שאחרי שלמד שנתיים וחצי בישיבת </w:t>
      </w:r>
      <w:proofErr w:type="spellStart"/>
      <w:r>
        <w:rPr>
          <w:rtl/>
        </w:rPr>
        <w:t>מיר</w:t>
      </w:r>
      <w:proofErr w:type="spellEnd"/>
      <w:r>
        <w:rPr>
          <w:rtl/>
        </w:rPr>
        <w:t xml:space="preserve"> נסע הביתה להונגריה דרך ורשה. הוא התאכסן באכסניית הרבנית </w:t>
      </w:r>
      <w:proofErr w:type="spellStart"/>
      <w:r>
        <w:rPr>
          <w:rtl/>
        </w:rPr>
        <w:t>מפרצ׳ב</w:t>
      </w:r>
      <w:proofErr w:type="spellEnd"/>
      <w:r>
        <w:rPr>
          <w:rtl/>
        </w:rPr>
        <w:t>, שהיו רגילים להתארח בה אנשי ישיבות</w:t>
      </w:r>
      <w:bookmarkStart w:id="5678" w:name="_fnr4318"/>
      <w:r>
        <w:rPr>
          <w:vertAlign w:val="superscript"/>
          <w:rtl/>
        </w:rPr>
        <w:footnoteReference w:id="4328" w:customMarkFollows="0"/>
      </w:r>
      <w:bookmarkEnd w:id="5678"/>
      <w:r>
        <w:rPr>
          <w:rtl/>
        </w:rPr>
        <w:t xml:space="preserve">, ור׳ </w:t>
      </w:r>
      <w:proofErr w:type="spellStart"/>
      <w:r>
        <w:rPr>
          <w:rtl/>
        </w:rPr>
        <w:t>ברוך־בער</w:t>
      </w:r>
      <w:proofErr w:type="spellEnd"/>
      <w:r>
        <w:rPr>
          <w:rtl/>
        </w:rPr>
        <w:t xml:space="preserve"> הזדמן להתארח שם באותה שעה. בבוקר סידר ר׳ שלמה את הופעתו מול המראה שבמסדרון, והבחין בר׳ </w:t>
      </w:r>
      <w:proofErr w:type="spellStart"/>
      <w:r>
        <w:rPr>
          <w:rtl/>
        </w:rPr>
        <w:t>ברוך־בער</w:t>
      </w:r>
      <w:proofErr w:type="spellEnd"/>
      <w:r>
        <w:rPr>
          <w:rtl/>
        </w:rPr>
        <w:t xml:space="preserve"> הולך לקראתו.</w:t>
      </w:r>
    </w:p>
    <w:p w14:paraId="100A54F9"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כבר שמע קודם לכן שבחור ישיבה מהונגריה מתארח </w:t>
      </w:r>
      <w:proofErr w:type="spellStart"/>
      <w:r>
        <w:rPr>
          <w:rtl/>
        </w:rPr>
        <w:t>באכסניה</w:t>
      </w:r>
      <w:proofErr w:type="spellEnd"/>
      <w:r>
        <w:rPr>
          <w:rtl/>
        </w:rPr>
        <w:t xml:space="preserve">. הוא בירך אותו בכבוד, וסיפר לו שאחד מתלמידיו – ונקב בשמו – עזב את </w:t>
      </w:r>
      <w:proofErr w:type="spellStart"/>
      <w:r>
        <w:rPr>
          <w:rtl/>
        </w:rPr>
        <w:t>קמניץ</w:t>
      </w:r>
      <w:proofErr w:type="spellEnd"/>
      <w:r>
        <w:rPr>
          <w:rtl/>
        </w:rPr>
        <w:t xml:space="preserve"> לפני זמן מה, ומאז לא שמע ממנו. הוא תהה מה עלה בגורל אותו תלמיד, והעלה את האפשרות שנסע לארץ אחרת. הוא ביקש מר׳ שלמה להיות ער לכך בהונגריה, שמא ייתקל בתלמיד שנעלם, ולומר לו שיודיע לרבו מה שלומו. ר׳ </w:t>
      </w:r>
      <w:proofErr w:type="spellStart"/>
      <w:r>
        <w:rPr>
          <w:rtl/>
        </w:rPr>
        <w:t>ברוך־בער</w:t>
      </w:r>
      <w:proofErr w:type="spellEnd"/>
      <w:r>
        <w:rPr>
          <w:rtl/>
        </w:rPr>
        <w:t xml:space="preserve"> לא אמר שהתלמיד היה אדם מיוחד – הוא היה תלמיד אחד מבין מאות שעברו תחת ידו – ובכל זאת זכר אותו ודאג לו</w:t>
      </w:r>
      <w:bookmarkStart w:id="5679" w:name="_fnr4319"/>
      <w:r>
        <w:rPr>
          <w:vertAlign w:val="superscript"/>
          <w:rtl/>
        </w:rPr>
        <w:footnoteReference w:id="4329" w:customMarkFollows="0"/>
      </w:r>
      <w:bookmarkEnd w:id="5679"/>
      <w:r>
        <w:rPr>
          <w:rtl/>
        </w:rPr>
        <w:t>.</w:t>
      </w:r>
    </w:p>
    <w:bookmarkStart w:id="5680" w:name="b4_excQ"/>
    <w:bookmarkStart w:id="5681" w:name="b4_annexQ"/>
    <w:p w14:paraId="776A96B1" w14:textId="77777777" w:rsidR="00AB3647" w:rsidRDefault="00000000" w:rsidP="007923E9">
      <w:pPr>
        <w:pStyle w:val="3"/>
        <w:pageBreakBefore w:val="0"/>
        <w:spacing w:line="276" w:lineRule="auto"/>
      </w:pPr>
      <w:r>
        <w:lastRenderedPageBreak/>
        <w:fldChar w:fldCharType="begin" w:dirty="true"/>
      </w:r>
      <w:r>
        <w:rPr>
          <w:rtl w:val="0"/>
        </w:rPr>
        <w:instrText>HYPERLINK \l "b4_note141</w:instrText>
      </w:r>
      <w:r>
        <w:instrText>"</w:instrText>
      </w:r>
      <w:r>
        <w:fldChar w:fldCharType="separate"/>
      </w:r>
      <w:r>
        <w:t xml:space="preserve">נספח </w:t>
      </w:r>
      <w:proofErr w:type="spellStart"/>
      <w:r>
        <w:t>יז</w:t>
      </w:r>
      <w:proofErr w:type="spellEnd"/>
      <w:r>
        <w:fldChar w:fldCharType="end"/>
      </w:r>
      <w:bookmarkEnd w:id="5680"/>
      <w:bookmarkEnd w:id="5681"/>
    </w:p>
    <w:p w14:paraId="4F23F405" w14:textId="77777777" w:rsidR="00AB3647" w:rsidRDefault="00000000" w:rsidP="007923E9">
      <w:pPr>
        <w:pStyle w:val="af"/>
        <w:spacing w:line="276" w:lineRule="auto"/>
      </w:pPr>
      <w:r>
        <w:t xml:space="preserve">על מועמדויות ר׳ </w:t>
      </w:r>
      <w:proofErr w:type="spellStart"/>
      <w:r>
        <w:t>דוד־טעביל</w:t>
      </w:r>
      <w:proofErr w:type="spellEnd"/>
      <w:r>
        <w:t xml:space="preserve"> לרבנות ועל גאונות ר׳ </w:t>
      </w:r>
      <w:proofErr w:type="spellStart"/>
      <w:r>
        <w:t>דוד׳ל</w:t>
      </w:r>
      <w:proofErr w:type="spellEnd"/>
      <w:r>
        <w:t xml:space="preserve"> פרידמן</w:t>
      </w:r>
    </w:p>
    <w:p w14:paraId="31553710" w14:textId="77777777" w:rsidR="00AB3647" w:rsidRDefault="00000000" w:rsidP="007923E9">
      <w:pPr>
        <w:pStyle w:val="4"/>
        <w:spacing w:line="276" w:lineRule="auto"/>
      </w:pPr>
      <w:r>
        <w:t>· הפסקה הראשונה ·</w:t>
      </w:r>
    </w:p>
    <w:p w14:paraId="2D2E3316" w14:textId="77777777" w:rsidR="00AB3647" w:rsidRDefault="00000000" w:rsidP="007923E9">
      <w:pPr>
        <w:pStyle w:val="5"/>
        <w:spacing w:line="276" w:lineRule="auto"/>
      </w:pPr>
      <w:r>
        <w:rPr>
          <w:bCs/>
          <w:szCs w:val="26"/>
        </w:rPr>
        <w:t xml:space="preserve">ר׳ </w:t>
      </w:r>
      <w:proofErr w:type="spellStart"/>
      <w:r>
        <w:rPr>
          <w:bCs/>
          <w:szCs w:val="26"/>
        </w:rPr>
        <w:t>דוד׳ל</w:t>
      </w:r>
      <w:proofErr w:type="spellEnd"/>
      <w:r>
        <w:rPr>
          <w:bCs/>
          <w:szCs w:val="26"/>
        </w:rPr>
        <w:t xml:space="preserve"> פרידמן נענש על פירוק שיעורו של ר׳ </w:t>
      </w:r>
      <w:proofErr w:type="spellStart"/>
      <w:r>
        <w:rPr>
          <w:bCs/>
          <w:szCs w:val="26"/>
        </w:rPr>
        <w:t>דוד־טעביל</w:t>
      </w:r>
      <w:proofErr w:type="spellEnd"/>
      <w:r>
        <w:rPr>
          <w:bCs/>
          <w:szCs w:val="26"/>
        </w:rPr>
        <w:t xml:space="preserve"> – לימים שוקל ר׳ </w:t>
      </w:r>
      <w:proofErr w:type="spellStart"/>
      <w:r>
        <w:rPr>
          <w:bCs/>
          <w:szCs w:val="26"/>
        </w:rPr>
        <w:t>דוד׳ל</w:t>
      </w:r>
      <w:proofErr w:type="spellEnd"/>
      <w:r>
        <w:rPr>
          <w:bCs/>
          <w:szCs w:val="26"/>
        </w:rPr>
        <w:t xml:space="preserve"> פרידמן לרשת את רבנות מינסק הראשית – ר׳ </w:t>
      </w:r>
      <w:proofErr w:type="spellStart"/>
      <w:r>
        <w:rPr>
          <w:bCs/>
          <w:szCs w:val="26"/>
        </w:rPr>
        <w:t>דוד׳ל</w:t>
      </w:r>
      <w:proofErr w:type="spellEnd"/>
      <w:r>
        <w:rPr>
          <w:bCs/>
          <w:szCs w:val="26"/>
        </w:rPr>
        <w:t xml:space="preserve"> ננזף על שהביך נואם בציבור – מסופר שר׳ </w:t>
      </w:r>
      <w:proofErr w:type="spellStart"/>
      <w:r>
        <w:rPr>
          <w:bCs/>
          <w:szCs w:val="26"/>
        </w:rPr>
        <w:t>דוד־טעביל</w:t>
      </w:r>
      <w:proofErr w:type="spellEnd"/>
      <w:r>
        <w:rPr>
          <w:bCs/>
          <w:szCs w:val="26"/>
        </w:rPr>
        <w:t xml:space="preserve"> מבקש עצה </w:t>
      </w:r>
      <w:proofErr w:type="spellStart"/>
      <w:r>
        <w:rPr>
          <w:bCs/>
          <w:szCs w:val="26"/>
        </w:rPr>
        <w:t>במיר</w:t>
      </w:r>
      <w:proofErr w:type="spellEnd"/>
      <w:r>
        <w:rPr>
          <w:bCs/>
          <w:szCs w:val="26"/>
        </w:rPr>
        <w:t xml:space="preserve"> – הוא פונה אל חברו לישיבה ר׳ ישראל </w:t>
      </w:r>
      <w:proofErr w:type="spellStart"/>
      <w:r>
        <w:rPr>
          <w:bCs/>
          <w:szCs w:val="26"/>
        </w:rPr>
        <w:t xml:space="preserve">הלר</w:t>
      </w:r>
      <w:proofErr w:type="spellEnd"/>
      <w:r>
        <w:rPr>
          <w:bCs/>
          <w:szCs w:val="26"/>
        </w:rPr>
        <w:t xml:space="preserve"> – ר׳ </w:t>
      </w:r>
      <w:proofErr w:type="spellStart"/>
      <w:r>
        <w:rPr>
          <w:bCs/>
          <w:szCs w:val="26"/>
        </w:rPr>
        <w:t>דוד־טעביל</w:t>
      </w:r>
      <w:proofErr w:type="spellEnd"/>
      <w:r>
        <w:rPr>
          <w:bCs/>
          <w:szCs w:val="26"/>
        </w:rPr>
        <w:t xml:space="preserve"> בדרכו </w:t>
      </w:r>
      <w:proofErr w:type="spellStart"/>
      <w:r>
        <w:rPr>
          <w:bCs/>
          <w:szCs w:val="26"/>
        </w:rPr>
        <w:t>לבריסק</w:t>
      </w:r>
      <w:proofErr w:type="spellEnd"/>
      <w:r>
        <w:rPr>
          <w:bCs/>
          <w:szCs w:val="26"/>
        </w:rPr>
        <w:t xml:space="preserve"> – ר׳ חיים </w:t>
      </w:r>
      <w:proofErr w:type="spellStart"/>
      <w:r>
        <w:rPr>
          <w:bCs/>
          <w:szCs w:val="26"/>
        </w:rPr>
        <w:t>מוולוז׳ין</w:t>
      </w:r>
      <w:proofErr w:type="spellEnd"/>
      <w:r>
        <w:rPr>
          <w:bCs/>
          <w:szCs w:val="26"/>
        </w:rPr>
        <w:t xml:space="preserve"> משבח את תלמידו – מיוחסת לו ראיית עתידם של תלמידיו</w:t>
      </w:r>
    </w:p>
    <w:p w14:paraId="606A9766" w14:textId="77777777" w:rsidR="00AB3647" w:rsidRDefault="00000000" w:rsidP="007923E9">
      <w:pPr>
        <w:spacing w:after="120" w:line="276" w:lineRule="auto"/>
        <w:ind w:firstLine="283"/>
        <w:jc w:val="both"/>
      </w:pPr>
      <w:r>
        <w:rPr>
          <w:rtl/>
        </w:rPr>
        <w:t xml:space="preserve">השווה תחילת הערה 142 בפרק זה. ר׳ אשר </w:t>
      </w:r>
      <w:proofErr w:type="spellStart"/>
      <w:r>
        <w:rPr>
          <w:rtl/>
        </w:rPr>
        <w:t>קצמן</w:t>
      </w:r>
      <w:bookmarkStart w:id="5682" w:name="_fnr4320"/>
      <w:proofErr w:type="spellEnd"/>
      <w:r>
        <w:rPr>
          <w:vertAlign w:val="superscript"/>
          <w:rtl/>
        </w:rPr>
        <w:footnoteReference w:id="4330" w:customMarkFollows="0"/>
      </w:r>
      <w:bookmarkEnd w:id="5682"/>
      <w:r>
        <w:rPr>
          <w:rtl/>
        </w:rPr>
        <w:t xml:space="preserve"> הביא את דברי אבי, </w:t>
      </w:r>
      <w:proofErr w:type="spellStart"/>
      <w:r>
        <w:rPr>
          <w:rtl/>
        </w:rPr>
        <w:t>ש“הכיר</w:t>
      </w:r>
      <w:proofErr w:type="spellEnd"/>
      <w:r>
        <w:rPr>
          <w:rtl/>
        </w:rPr>
        <w:t xml:space="preserve"> היטב את ר׳ </w:t>
      </w:r>
      <w:proofErr w:type="spellStart"/>
      <w:r>
        <w:rPr>
          <w:rtl/>
        </w:rPr>
        <w:t>דוד׳ל</w:t>
      </w:r>
      <w:proofErr w:type="spellEnd"/>
      <w:r>
        <w:rPr>
          <w:rtl/>
        </w:rPr>
        <w:t>”, כשסיפר עליו את המעשה הבא</w:t>
      </w:r>
      <w:bookmarkStart w:id="5683" w:name="_fnr4321"/>
      <w:r>
        <w:rPr>
          <w:vertAlign w:val="superscript"/>
          <w:rtl/>
        </w:rPr>
        <w:footnoteReference w:id="4331" w:customMarkFollows="0"/>
      </w:r>
      <w:bookmarkEnd w:id="5683"/>
      <w:r>
        <w:rPr>
          <w:rtl/>
        </w:rPr>
        <w:t xml:space="preserve">: “ר׳ </w:t>
      </w:r>
      <w:proofErr w:type="spellStart"/>
      <w:r>
        <w:rPr>
          <w:rtl/>
        </w:rPr>
        <w:t>דוד־טעביל</w:t>
      </w:r>
      <w:proofErr w:type="spellEnd"/>
      <w:r>
        <w:rPr>
          <w:rtl/>
        </w:rPr>
        <w:t>, בעל ‘נחלת דוד’ ולימים רבה של מינסק</w:t>
      </w:r>
      <w:bookmarkStart w:id="5684" w:name="_fnr4322"/>
      <w:r>
        <w:rPr>
          <w:vertAlign w:val="superscript"/>
          <w:rtl/>
        </w:rPr>
        <w:footnoteReference w:id="4332" w:customMarkFollows="0"/>
      </w:r>
      <w:bookmarkEnd w:id="5684"/>
      <w:r>
        <w:rPr>
          <w:rtl/>
        </w:rPr>
        <w:t xml:space="preserve">, ביקש להתמנות לרב בעיר אחרת בשעה שכיהן כרב </w:t>
      </w:r>
      <w:proofErr w:type="spellStart"/>
      <w:r>
        <w:rPr>
          <w:rtl/>
        </w:rPr>
        <w:t>בסטויבץ</w:t>
      </w:r>
      <w:proofErr w:type="spellEnd"/>
      <w:r>
        <w:rPr>
          <w:rtl/>
        </w:rPr>
        <w:t xml:space="preserve"> [שבה נשאר לבסוף שלושים ושתיים שנה]. כמועמד היה עליו למסור שיעור בשבת. ר׳ </w:t>
      </w:r>
      <w:proofErr w:type="spellStart"/>
      <w:r>
        <w:rPr>
          <w:rtl/>
        </w:rPr>
        <w:t>דוד׳ל</w:t>
      </w:r>
      <w:proofErr w:type="spellEnd"/>
      <w:r>
        <w:rPr>
          <w:rtl/>
        </w:rPr>
        <w:t xml:space="preserve">, שהיה אז בן תשע, שהה בעיר. לאחר שעיין במראי המקומות שתלה האורח לפני דרשתו, הבין הנער כיצד יתפתח השיעור. כמה ממתנגדי מועמדותו של ר׳ </w:t>
      </w:r>
      <w:proofErr w:type="spellStart"/>
      <w:r>
        <w:rPr>
          <w:rtl/>
        </w:rPr>
        <w:t>דוד־טעביל</w:t>
      </w:r>
      <w:proofErr w:type="spellEnd"/>
      <w:r>
        <w:rPr>
          <w:rtl/>
        </w:rPr>
        <w:t xml:space="preserve"> העמידו את העילוי על ספסל מול הנואם, והילד החל לפרק את השיעור תוך כדי בנייתו. הדבר פגע בר׳ </w:t>
      </w:r>
      <w:proofErr w:type="spellStart"/>
      <w:r>
        <w:rPr>
          <w:rtl/>
        </w:rPr>
        <w:t>דוד־טעביל</w:t>
      </w:r>
      <w:proofErr w:type="spellEnd"/>
      <w:r>
        <w:rPr>
          <w:rtl/>
        </w:rPr>
        <w:t xml:space="preserve">. הוא גער בילד ואמר: ‘אתה מנסה להקטין אותי. אבל קטן אתה, וקטן תישאר’. ר׳ </w:t>
      </w:r>
      <w:proofErr w:type="spellStart"/>
      <w:r>
        <w:rPr>
          <w:rtl/>
        </w:rPr>
        <w:t>דוד׳ל</w:t>
      </w:r>
      <w:proofErr w:type="spellEnd"/>
      <w:r>
        <w:rPr>
          <w:rtl/>
        </w:rPr>
        <w:t xml:space="preserve"> פרידמן אכן נשאר קטן בקומתו ובגופו, וסבל מחולשה באחת מידיו כל חייו; ואף שנעשה אחד מגדולי העולם, נשאר רב בעיירה הזעירה </w:t>
      </w:r>
      <w:proofErr w:type="spellStart"/>
      <w:r>
        <w:rPr>
          <w:rtl/>
        </w:rPr>
        <w:t>קרלין</w:t>
      </w:r>
      <w:proofErr w:type="spellEnd"/>
      <w:r>
        <w:rPr>
          <w:rtl/>
        </w:rPr>
        <w:t xml:space="preserve">, שאינה אלא פרוור של </w:t>
      </w:r>
      <w:proofErr w:type="spellStart"/>
      <w:r>
        <w:rPr>
          <w:rtl/>
        </w:rPr>
        <w:t>פינסק</w:t>
      </w:r>
      <w:proofErr w:type="spellEnd"/>
      <w:r>
        <w:rPr>
          <w:rtl/>
        </w:rPr>
        <w:t>, במשך חצי מאה”.</w:t>
      </w:r>
    </w:p>
    <w:p w14:paraId="743F1E09" w14:textId="77777777" w:rsidR="00AB3647" w:rsidRDefault="00000000" w:rsidP="007923E9">
      <w:pPr>
        <w:spacing w:after="120" w:line="276" w:lineRule="auto"/>
        <w:ind w:firstLine="283"/>
        <w:jc w:val="both"/>
      </w:pPr>
      <w:r>
        <w:rPr>
          <w:rtl/>
        </w:rPr>
        <w:t xml:space="preserve">מעניין שר׳ </w:t>
      </w:r>
      <w:proofErr w:type="spellStart"/>
      <w:r>
        <w:rPr>
          <w:rtl/>
        </w:rPr>
        <w:t>דוד׳ל</w:t>
      </w:r>
      <w:proofErr w:type="spellEnd"/>
      <w:r>
        <w:rPr>
          <w:rtl/>
        </w:rPr>
        <w:t xml:space="preserve"> שקל לרשת את ר׳ </w:t>
      </w:r>
      <w:proofErr w:type="spellStart"/>
      <w:r>
        <w:rPr>
          <w:rtl/>
        </w:rPr>
        <w:t>דוד־טעביל</w:t>
      </w:r>
      <w:proofErr w:type="spellEnd"/>
      <w:r>
        <w:rPr>
          <w:rtl/>
        </w:rPr>
        <w:t xml:space="preserve"> במינסק </w:t>
      </w:r>
      <w:proofErr w:type="spellStart"/>
      <w:r>
        <w:rPr>
          <w:rtl/>
        </w:rPr>
        <w:t>בתרנ״א</w:t>
      </w:r>
      <w:proofErr w:type="spellEnd"/>
      <w:r>
        <w:rPr>
          <w:rtl/>
        </w:rPr>
        <w:t xml:space="preserve">, אחרי </w:t>
      </w:r>
      <w:proofErr w:type="spellStart"/>
      <w:r>
        <w:rPr>
          <w:rtl/>
        </w:rPr>
        <w:t>שכסא</w:t>
      </w:r>
      <w:proofErr w:type="spellEnd"/>
      <w:r>
        <w:rPr>
          <w:rtl/>
        </w:rPr>
        <w:t xml:space="preserve"> הרבנות נשאר פנוי עשרים שנה לאחר פטירת הרב. כך עולה מחתימתו של ר׳ </w:t>
      </w:r>
      <w:proofErr w:type="spellStart"/>
      <w:r>
        <w:rPr>
          <w:rtl/>
        </w:rPr>
        <w:t>דוד׳ל</w:t>
      </w:r>
      <w:proofErr w:type="spellEnd"/>
      <w:r>
        <w:rPr>
          <w:rtl/>
        </w:rPr>
        <w:t xml:space="preserve"> על “קונטרס עמק ברכה”</w:t>
      </w:r>
      <w:bookmarkStart w:id="5685" w:name="_fnr4323"/>
      <w:r>
        <w:rPr>
          <w:vertAlign w:val="superscript"/>
          <w:rtl/>
        </w:rPr>
        <w:footnoteReference w:id="4333" w:customMarkFollows="0"/>
      </w:r>
      <w:bookmarkEnd w:id="5685"/>
      <w:r>
        <w:rPr>
          <w:rtl/>
        </w:rPr>
        <w:t xml:space="preserve">, שבו הוא מכנה את עצמו “החונה </w:t>
      </w:r>
      <w:proofErr w:type="spellStart"/>
      <w:r>
        <w:rPr>
          <w:rtl/>
        </w:rPr>
        <w:t>לע״ע</w:t>
      </w:r>
      <w:proofErr w:type="spellEnd"/>
      <w:r>
        <w:rPr>
          <w:rtl/>
        </w:rPr>
        <w:t xml:space="preserve"> פה </w:t>
      </w:r>
      <w:proofErr w:type="spellStart"/>
      <w:r>
        <w:rPr>
          <w:rtl/>
        </w:rPr>
        <w:t>קארלין</w:t>
      </w:r>
      <w:proofErr w:type="spellEnd"/>
      <w:r>
        <w:rPr>
          <w:rtl/>
        </w:rPr>
        <w:t xml:space="preserve"> </w:t>
      </w:r>
      <w:proofErr w:type="spellStart"/>
      <w:r>
        <w:rPr>
          <w:rtl/>
        </w:rPr>
        <w:t>פינסק</w:t>
      </w:r>
      <w:proofErr w:type="spellEnd"/>
      <w:r>
        <w:rPr>
          <w:rtl/>
        </w:rPr>
        <w:t xml:space="preserve"> ונתקבל למד״א בעיר מינסק”. המוציא לאור כותב שם גם את שם משפחתו של ר׳ </w:t>
      </w:r>
      <w:proofErr w:type="spellStart"/>
      <w:r>
        <w:rPr>
          <w:rtl/>
        </w:rPr>
        <w:t>דוד׳ל</w:t>
      </w:r>
      <w:proofErr w:type="spellEnd"/>
      <w:r>
        <w:rPr>
          <w:rtl/>
        </w:rPr>
        <w:t xml:space="preserve"> בצורה “</w:t>
      </w:r>
      <w:proofErr w:type="spellStart"/>
      <w:r>
        <w:rPr>
          <w:rtl/>
        </w:rPr>
        <w:t>איש־שלום</w:t>
      </w:r>
      <w:proofErr w:type="spellEnd"/>
      <w:r>
        <w:rPr>
          <w:rtl/>
        </w:rPr>
        <w:t>”, עברות של “פרידמן”, המתאים למגמה המפייסת של הפרסום (השווה הפסקה הבאה). לפי “הגדול ממינסק”</w:t>
      </w:r>
      <w:bookmarkStart w:id="5686" w:name="_fnr4324"/>
      <w:r>
        <w:rPr>
          <w:vertAlign w:val="superscript"/>
          <w:rtl/>
        </w:rPr>
        <w:footnoteReference w:id="4334" w:customMarkFollows="0"/>
      </w:r>
      <w:bookmarkEnd w:id="5686"/>
      <w:r>
        <w:rPr>
          <w:rtl/>
        </w:rPr>
        <w:t xml:space="preserve">, לא יצא המינוי לפועל, מפני ש”(ר׳ </w:t>
      </w:r>
      <w:proofErr w:type="spellStart"/>
      <w:r>
        <w:rPr>
          <w:rtl/>
        </w:rPr>
        <w:t>דוד׳ל</w:t>
      </w:r>
      <w:proofErr w:type="spellEnd"/>
      <w:r>
        <w:rPr>
          <w:rtl/>
        </w:rPr>
        <w:t xml:space="preserve">) לא רצה לעבור ממקומו מחמת זקנה וחולשה” – תיאור </w:t>
      </w:r>
      <w:proofErr w:type="spellStart"/>
      <w:r>
        <w:rPr>
          <w:rtl/>
        </w:rPr>
        <w:t>בלתי־רגיל</w:t>
      </w:r>
      <w:proofErr w:type="spellEnd"/>
      <w:r>
        <w:rPr>
          <w:rtl/>
        </w:rPr>
        <w:t xml:space="preserve"> לאדם בן שישים ושלוש.</w:t>
      </w:r>
    </w:p>
    <w:p w14:paraId="34703462" w14:textId="77777777" w:rsidR="00AB3647" w:rsidRDefault="00000000" w:rsidP="007923E9">
      <w:pPr>
        <w:spacing w:after="120" w:line="276" w:lineRule="auto"/>
        <w:ind w:firstLine="283"/>
        <w:jc w:val="both"/>
      </w:pPr>
      <w:r>
        <w:rPr>
          <w:rtl/>
        </w:rPr>
        <w:lastRenderedPageBreak/>
        <w:t xml:space="preserve">עיקר המעשה – כיצד הביס </w:t>
      </w:r>
      <w:proofErr w:type="spellStart"/>
      <w:r>
        <w:rPr>
          <w:rtl/>
        </w:rPr>
        <w:t>דוד׳ל</w:t>
      </w:r>
      <w:proofErr w:type="spellEnd"/>
      <w:r>
        <w:rPr>
          <w:rtl/>
        </w:rPr>
        <w:t xml:space="preserve"> הקטן גאון זקן – נמצא </w:t>
      </w:r>
      <w:proofErr w:type="spellStart"/>
      <w:r>
        <w:rPr>
          <w:rtl/>
        </w:rPr>
        <w:t>ב“אהלי</w:t>
      </w:r>
      <w:proofErr w:type="spellEnd"/>
      <w:r>
        <w:rPr>
          <w:rtl/>
        </w:rPr>
        <w:t xml:space="preserve"> שם”</w:t>
      </w:r>
      <w:bookmarkStart w:id="5687" w:name="_fnr4325"/>
      <w:r>
        <w:rPr>
          <w:vertAlign w:val="superscript"/>
          <w:rtl/>
        </w:rPr>
        <w:footnoteReference w:id="4335" w:customMarkFollows="0"/>
      </w:r>
      <w:bookmarkEnd w:id="5687"/>
      <w:r>
        <w:rPr>
          <w:rtl/>
        </w:rPr>
        <w:t xml:space="preserve">, ומשם מתברר שהמאורע התרחש </w:t>
      </w:r>
      <w:proofErr w:type="spellStart"/>
      <w:r>
        <w:rPr>
          <w:rtl/>
        </w:rPr>
        <w:t>בבריסק</w:t>
      </w:r>
      <w:proofErr w:type="spellEnd"/>
      <w:r>
        <w:rPr>
          <w:rtl/>
        </w:rPr>
        <w:t xml:space="preserve"> </w:t>
      </w:r>
      <w:proofErr w:type="spellStart"/>
      <w:r>
        <w:rPr>
          <w:rtl/>
        </w:rPr>
        <w:t>בתקצ״ז</w:t>
      </w:r>
      <w:proofErr w:type="spellEnd"/>
      <w:r>
        <w:rPr>
          <w:rtl/>
        </w:rPr>
        <w:t xml:space="preserve">. רבנות העיר התפנתה שנתיים קודם לכן, עם פטירת ר׳ </w:t>
      </w:r>
      <w:proofErr w:type="spellStart"/>
      <w:r>
        <w:rPr>
          <w:rtl/>
        </w:rPr>
        <w:t>אריה־לייב</w:t>
      </w:r>
      <w:proofErr w:type="spellEnd"/>
      <w:r>
        <w:rPr>
          <w:rtl/>
        </w:rPr>
        <w:t xml:space="preserve"> </w:t>
      </w:r>
      <w:proofErr w:type="spellStart"/>
      <w:r>
        <w:rPr>
          <w:rtl/>
        </w:rPr>
        <w:t>קצנלנבוגן</w:t>
      </w:r>
      <w:proofErr w:type="spellEnd"/>
      <w:r>
        <w:rPr>
          <w:rtl/>
        </w:rPr>
        <w:t xml:space="preserve">, ומחליפו, ר׳ </w:t>
      </w:r>
      <w:proofErr w:type="spellStart"/>
      <w:r>
        <w:rPr>
          <w:rtl/>
        </w:rPr>
        <w:t>יעקב־מאיר</w:t>
      </w:r>
      <w:proofErr w:type="spellEnd"/>
      <w:r>
        <w:rPr>
          <w:rtl/>
        </w:rPr>
        <w:t xml:space="preserve"> </w:t>
      </w:r>
      <w:proofErr w:type="spellStart"/>
      <w:r>
        <w:rPr>
          <w:rtl/>
        </w:rPr>
        <w:t>פדואה</w:t>
      </w:r>
      <w:proofErr w:type="spellEnd"/>
      <w:r>
        <w:rPr>
          <w:rtl/>
        </w:rPr>
        <w:t xml:space="preserve">, לא נתמנה עד ת״ר. אחרי ההתנצלות </w:t>
      </w:r>
      <w:proofErr w:type="spellStart"/>
      <w:r>
        <w:rPr>
          <w:rtl/>
        </w:rPr>
        <w:t>ש“הסיפור</w:t>
      </w:r>
      <w:proofErr w:type="spellEnd"/>
      <w:r>
        <w:rPr>
          <w:rtl/>
        </w:rPr>
        <w:t xml:space="preserve"> בכללו ידוע בציבור”, מוסיף “</w:t>
      </w:r>
      <w:proofErr w:type="spellStart"/>
      <w:r>
        <w:rPr>
          <w:rtl/>
        </w:rPr>
        <w:t>אהלי</w:t>
      </w:r>
      <w:proofErr w:type="spellEnd"/>
      <w:r>
        <w:rPr>
          <w:rtl/>
        </w:rPr>
        <w:t xml:space="preserve"> שם” שני פרטים שמחברו טוען ששמע מפי בעל המעשה, ר׳ </w:t>
      </w:r>
      <w:proofErr w:type="spellStart"/>
      <w:r>
        <w:rPr>
          <w:rtl/>
        </w:rPr>
        <w:t>דוד׳ל</w:t>
      </w:r>
      <w:proofErr w:type="spellEnd"/>
      <w:r>
        <w:rPr>
          <w:rtl/>
        </w:rPr>
        <w:t xml:space="preserve">: שהוא לא ידע שמתנגדי המועמד מנצלים אותו; ושר׳ </w:t>
      </w:r>
      <w:proofErr w:type="spellStart"/>
      <w:r>
        <w:rPr>
          <w:rtl/>
        </w:rPr>
        <w:t>דוד־טעביל</w:t>
      </w:r>
      <w:proofErr w:type="spellEnd"/>
      <w:r>
        <w:rPr>
          <w:rtl/>
        </w:rPr>
        <w:t xml:space="preserve"> הביע “חיבה רבה למקשה הקטן והודה </w:t>
      </w:r>
      <w:proofErr w:type="spellStart"/>
      <w:r>
        <w:rPr>
          <w:rtl/>
        </w:rPr>
        <w:t>שפירכת</w:t>
      </w:r>
      <w:proofErr w:type="spellEnd"/>
      <w:r>
        <w:rPr>
          <w:rtl/>
        </w:rPr>
        <w:t xml:space="preserve"> חידושו [שלו] הייתה נכונה, אך העיר שאין זה ראוי לסתור דברי נואם בפני קהל גדול”.</w:t>
      </w:r>
    </w:p>
    <w:p w14:paraId="4F9669D8" w14:textId="77777777" w:rsidR="00AB3647" w:rsidRDefault="00000000" w:rsidP="007923E9">
      <w:pPr>
        <w:spacing w:after="120" w:line="276" w:lineRule="auto"/>
        <w:ind w:firstLine="283"/>
        <w:jc w:val="both"/>
      </w:pPr>
      <w:r>
        <w:rPr>
          <w:rtl/>
        </w:rPr>
        <w:t xml:space="preserve">הראשונה משלוש ההסכמות </w:t>
      </w:r>
      <w:proofErr w:type="spellStart"/>
      <w:r>
        <w:rPr>
          <w:rtl/>
        </w:rPr>
        <w:t>ל“אהלי</w:t>
      </w:r>
      <w:proofErr w:type="spellEnd"/>
      <w:r>
        <w:rPr>
          <w:rtl/>
        </w:rPr>
        <w:t xml:space="preserve"> שם” היא של ר׳ </w:t>
      </w:r>
      <w:proofErr w:type="spellStart"/>
      <w:r>
        <w:rPr>
          <w:rtl/>
        </w:rPr>
        <w:t>דוד׳ל</w:t>
      </w:r>
      <w:proofErr w:type="spellEnd"/>
      <w:r>
        <w:rPr>
          <w:rtl/>
        </w:rPr>
        <w:t xml:space="preserve">, והוא מכנה בה את מחבר הספר, ר׳ </w:t>
      </w:r>
      <w:proofErr w:type="spellStart"/>
      <w:r>
        <w:rPr>
          <w:rtl/>
        </w:rPr>
        <w:t>שמואל־נח</w:t>
      </w:r>
      <w:proofErr w:type="spellEnd"/>
      <w:r>
        <w:rPr>
          <w:rtl/>
        </w:rPr>
        <w:t xml:space="preserve"> גוטליב, “עוזרי ואיש סודי בכל ענייני הציבור זה עשרות שנים”. שתי ההסכמות האחרות הן של ר׳ חיים </w:t>
      </w:r>
      <w:proofErr w:type="spellStart"/>
      <w:r>
        <w:rPr>
          <w:rtl/>
        </w:rPr>
        <w:t>סולובייצ׳יק</w:t>
      </w:r>
      <w:proofErr w:type="spellEnd"/>
      <w:r>
        <w:rPr>
          <w:rtl/>
        </w:rPr>
        <w:t xml:space="preserve"> ושל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הספר משמיט – ומובן מדוע – את גערתו החריפה של ר׳ </w:t>
      </w:r>
      <w:proofErr w:type="spellStart"/>
      <w:r>
        <w:rPr>
          <w:rtl/>
        </w:rPr>
        <w:t>דוד־טעביל</w:t>
      </w:r>
      <w:proofErr w:type="spellEnd"/>
      <w:r>
        <w:rPr>
          <w:rtl/>
        </w:rPr>
        <w:t xml:space="preserve"> ואת דברי הגנאי שלו, כפי שסיפר אבי; ולא עוד, אלא שהוא הופך את תגובתו מכעס לחיבה</w:t>
      </w:r>
      <w:bookmarkStart w:id="5688" w:name="_fnr4326"/>
      <w:bookmarkStart w:id="5689" w:name="pr_f_4209"/>
      <w:r>
        <w:rPr>
          <w:vertAlign w:val="superscript"/>
          <w:rtl/>
        </w:rPr>
        <w:footnoteReference w:id="4336" w:customMarkFollows="0"/>
      </w:r>
      <w:bookmarkEnd w:id="5688"/>
      <w:bookmarkEnd w:id="5689"/>
      <w:r>
        <w:rPr>
          <w:rtl/>
        </w:rPr>
        <w:t>.</w:t>
      </w:r>
    </w:p>
    <w:p w14:paraId="58675FEE" w14:textId="77777777" w:rsidR="00AB3647" w:rsidRDefault="00000000" w:rsidP="007923E9">
      <w:pPr>
        <w:spacing w:after="120" w:line="276" w:lineRule="auto"/>
        <w:ind w:firstLine="283"/>
        <w:jc w:val="both"/>
      </w:pPr>
      <w:r>
        <w:rPr>
          <w:rtl/>
        </w:rPr>
        <w:t xml:space="preserve">ר׳ אלי׳ </w:t>
      </w:r>
      <w:proofErr w:type="spellStart"/>
      <w:r>
        <w:rPr>
          <w:rtl/>
        </w:rPr>
        <w:t>קושלבסקי</w:t>
      </w:r>
      <w:proofErr w:type="spellEnd"/>
      <w:r>
        <w:rPr>
          <w:rtl/>
        </w:rPr>
        <w:t xml:space="preserve"> סיפר</w:t>
      </w:r>
      <w:bookmarkStart w:id="5690" w:name="_fnr4327"/>
      <w:r>
        <w:rPr>
          <w:vertAlign w:val="superscript"/>
          <w:rtl/>
        </w:rPr>
        <w:footnoteReference w:id="4337" w:customMarkFollows="0"/>
      </w:r>
      <w:bookmarkEnd w:id="5690"/>
      <w:r>
        <w:rPr>
          <w:rtl/>
        </w:rPr>
        <w:t xml:space="preserve"> את המעשה הבא, ששמע מהמגיד </w:t>
      </w:r>
      <w:proofErr w:type="spellStart"/>
      <w:r>
        <w:rPr>
          <w:rtl/>
        </w:rPr>
        <w:t>מביאליסטוק</w:t>
      </w:r>
      <w:proofErr w:type="spellEnd"/>
      <w:r>
        <w:rPr>
          <w:rtl/>
        </w:rPr>
        <w:t xml:space="preserve">, ר׳ מאיר רפפורט: “ר׳ </w:t>
      </w:r>
      <w:proofErr w:type="spellStart"/>
      <w:r>
        <w:rPr>
          <w:rtl/>
        </w:rPr>
        <w:t>דוד־טעביל</w:t>
      </w:r>
      <w:proofErr w:type="spellEnd"/>
      <w:r>
        <w:rPr>
          <w:rtl/>
        </w:rPr>
        <w:t xml:space="preserve"> היה מועמד לרבנות </w:t>
      </w:r>
      <w:proofErr w:type="spellStart"/>
      <w:r>
        <w:rPr>
          <w:rtl/>
        </w:rPr>
        <w:t>נובהרדוק</w:t>
      </w:r>
      <w:proofErr w:type="spellEnd"/>
      <w:r>
        <w:rPr>
          <w:rtl/>
        </w:rPr>
        <w:t xml:space="preserve">. בדרכו לשם עצר </w:t>
      </w:r>
      <w:proofErr w:type="spellStart"/>
      <w:r>
        <w:rPr>
          <w:rtl/>
        </w:rPr>
        <w:t>במיר</w:t>
      </w:r>
      <w:proofErr w:type="spellEnd"/>
      <w:r>
        <w:rPr>
          <w:rtl/>
        </w:rPr>
        <w:t xml:space="preserve">, שרבה, </w:t>
      </w:r>
      <w:r>
        <w:rPr>
          <w:b/>
          <w:bCs/>
          <w:rtl/>
        </w:rPr>
        <w:t xml:space="preserve">ר׳ </w:t>
      </w:r>
      <w:proofErr w:type="spellStart"/>
      <w:r>
        <w:rPr>
          <w:b/>
          <w:bCs/>
          <w:rtl/>
        </w:rPr>
        <w:t>ליפל׳ה</w:t>
      </w:r>
      <w:proofErr w:type="spellEnd"/>
      <w:r>
        <w:rPr>
          <w:rtl/>
        </w:rPr>
        <w:t xml:space="preserve"> (ההדגשה שלי לצורך הדיון להלן), היה חברו מימי לימודיהם בישיבה. ר׳ </w:t>
      </w:r>
      <w:proofErr w:type="spellStart"/>
      <w:r>
        <w:rPr>
          <w:rtl/>
        </w:rPr>
        <w:t>דוד־טעביל</w:t>
      </w:r>
      <w:proofErr w:type="spellEnd"/>
      <w:r>
        <w:rPr>
          <w:rtl/>
        </w:rPr>
        <w:t xml:space="preserve"> סיפר למארחו שרבם, ר׳ חיים </w:t>
      </w:r>
      <w:proofErr w:type="spellStart"/>
      <w:r>
        <w:rPr>
          <w:rtl/>
        </w:rPr>
        <w:t>מוולוז׳ין</w:t>
      </w:r>
      <w:proofErr w:type="spellEnd"/>
      <w:r>
        <w:rPr>
          <w:rtl/>
        </w:rPr>
        <w:t xml:space="preserve">, בירכו שביום מן הימים יהיה רב בעיר בירה של פלך. הוא הוסיף שאף </w:t>
      </w:r>
      <w:proofErr w:type="spellStart"/>
      <w:r>
        <w:rPr>
          <w:rtl/>
        </w:rPr>
        <w:t>שנובהרדוק</w:t>
      </w:r>
      <w:proofErr w:type="spellEnd"/>
      <w:r>
        <w:rPr>
          <w:rtl/>
        </w:rPr>
        <w:t xml:space="preserve"> אינה בירה רשמית, היא גדלה בשנים האחרונות לעיר גדולה מאוד בזכות מסילת הברזל שעברה בה, וסבר שברכת רבו תתקיים עתה בהתמנותו לרב שם. ר׳ </w:t>
      </w:r>
      <w:proofErr w:type="spellStart"/>
      <w:r>
        <w:rPr>
          <w:rtl/>
        </w:rPr>
        <w:t>ליפל׳ה</w:t>
      </w:r>
      <w:proofErr w:type="spellEnd"/>
      <w:r>
        <w:rPr>
          <w:rtl/>
        </w:rPr>
        <w:t xml:space="preserve"> חלק עליו: ‘אם רבנו אמר בירה – בירה היא צריכה להיות: גדולה ככל שנעשתה </w:t>
      </w:r>
      <w:proofErr w:type="spellStart"/>
      <w:r>
        <w:rPr>
          <w:rtl/>
        </w:rPr>
        <w:t>נובהרדוק</w:t>
      </w:r>
      <w:proofErr w:type="spellEnd"/>
      <w:r>
        <w:rPr>
          <w:rtl/>
        </w:rPr>
        <w:t>, לא אליה התכוון רבנו. אני בטוח שמועמדותך תיכשל’. ואכן נכשלה”</w:t>
      </w:r>
      <w:bookmarkStart w:id="5691" w:name="_fnr4328"/>
      <w:r>
        <w:rPr>
          <w:vertAlign w:val="superscript"/>
          <w:rtl/>
        </w:rPr>
        <w:footnoteReference w:id="4338" w:customMarkFollows="0"/>
      </w:r>
      <w:bookmarkEnd w:id="5691"/>
      <w:r>
        <w:rPr>
          <w:rtl/>
        </w:rPr>
        <w:t>.</w:t>
      </w:r>
    </w:p>
    <w:p w14:paraId="10D80CD9" w14:textId="77777777" w:rsidR="00AB3647" w:rsidRDefault="00000000" w:rsidP="007923E9">
      <w:pPr>
        <w:spacing w:after="120" w:line="276" w:lineRule="auto"/>
        <w:ind w:firstLine="283"/>
        <w:jc w:val="both"/>
      </w:pPr>
      <w:r>
        <w:rPr>
          <w:rtl/>
        </w:rPr>
        <w:t xml:space="preserve">פרט אחד שבו טעה ר׳ מאיר רפפורט </w:t>
      </w:r>
      <w:r>
        <w:rPr>
          <w:b/>
          <w:bCs/>
          <w:rtl/>
        </w:rPr>
        <w:t>בבירור</w:t>
      </w:r>
      <w:r>
        <w:rPr>
          <w:rtl/>
        </w:rPr>
        <w:t xml:space="preserve"> הוא דבריו שרבה של </w:t>
      </w:r>
      <w:proofErr w:type="spellStart"/>
      <w:r>
        <w:rPr>
          <w:rtl/>
        </w:rPr>
        <w:t>מיר</w:t>
      </w:r>
      <w:proofErr w:type="spellEnd"/>
      <w:r>
        <w:rPr>
          <w:rtl/>
        </w:rPr>
        <w:t xml:space="preserve"> באותה עת היה ר׳ </w:t>
      </w:r>
      <w:proofErr w:type="spellStart"/>
      <w:r>
        <w:rPr>
          <w:rtl/>
        </w:rPr>
        <w:t>ליפל׳ה</w:t>
      </w:r>
      <w:proofErr w:type="spellEnd"/>
      <w:r>
        <w:rPr>
          <w:rtl/>
        </w:rPr>
        <w:t xml:space="preserve"> (</w:t>
      </w:r>
      <w:proofErr w:type="spellStart"/>
      <w:r>
        <w:rPr>
          <w:rtl/>
        </w:rPr>
        <w:t>בסלבסקי</w:t>
      </w:r>
      <w:proofErr w:type="spellEnd"/>
      <w:r>
        <w:rPr>
          <w:rtl/>
        </w:rPr>
        <w:t xml:space="preserve">, בעל “מלבושי יום טוב”). למעשה, ר׳ </w:t>
      </w:r>
      <w:proofErr w:type="spellStart"/>
      <w:r>
        <w:rPr>
          <w:rtl/>
        </w:rPr>
        <w:t>ליפל׳ה</w:t>
      </w:r>
      <w:proofErr w:type="spellEnd"/>
      <w:r>
        <w:rPr>
          <w:rtl/>
        </w:rPr>
        <w:t xml:space="preserve"> נעשה רב </w:t>
      </w:r>
      <w:proofErr w:type="spellStart"/>
      <w:r>
        <w:rPr>
          <w:rtl/>
        </w:rPr>
        <w:t>במיר</w:t>
      </w:r>
      <w:proofErr w:type="spellEnd"/>
      <w:r>
        <w:rPr>
          <w:rtl/>
        </w:rPr>
        <w:t xml:space="preserve"> רק </w:t>
      </w:r>
      <w:proofErr w:type="spellStart"/>
      <w:r>
        <w:rPr>
          <w:rtl/>
        </w:rPr>
        <w:t>ארבע־עשרה</w:t>
      </w:r>
      <w:proofErr w:type="spellEnd"/>
      <w:r>
        <w:rPr>
          <w:rtl/>
        </w:rPr>
        <w:t xml:space="preserve"> שנה אחרי פטירת ר׳ </w:t>
      </w:r>
      <w:proofErr w:type="spellStart"/>
      <w:r>
        <w:rPr>
          <w:rtl/>
        </w:rPr>
        <w:t>דוד־טעביל</w:t>
      </w:r>
      <w:proofErr w:type="spellEnd"/>
      <w:r>
        <w:rPr>
          <w:rtl/>
        </w:rPr>
        <w:t xml:space="preserve"> – והוא נולד בשנה שבה נפטר ר׳ חיים </w:t>
      </w:r>
      <w:proofErr w:type="spellStart"/>
      <w:r>
        <w:rPr>
          <w:rtl/>
        </w:rPr>
        <w:t>מוולוז׳ין</w:t>
      </w:r>
      <w:proofErr w:type="spellEnd"/>
      <w:r>
        <w:rPr>
          <w:rtl/>
        </w:rPr>
        <w:t xml:space="preserve">. יתר על כן, המגיד טעה באומרו שהשיחה התקיימה עם רב כלשהו של </w:t>
      </w:r>
      <w:proofErr w:type="spellStart"/>
      <w:r>
        <w:rPr>
          <w:rtl/>
        </w:rPr>
        <w:t>מיר</w:t>
      </w:r>
      <w:proofErr w:type="spellEnd"/>
      <w:r>
        <w:rPr>
          <w:rtl/>
        </w:rPr>
        <w:t xml:space="preserve">, שכן בתקופת ר׳ </w:t>
      </w:r>
      <w:proofErr w:type="spellStart"/>
      <w:r>
        <w:rPr>
          <w:rtl/>
        </w:rPr>
        <w:t>דוד־טעביל</w:t>
      </w:r>
      <w:proofErr w:type="spellEnd"/>
      <w:r>
        <w:rPr>
          <w:rtl/>
        </w:rPr>
        <w:t xml:space="preserve"> היו </w:t>
      </w:r>
      <w:proofErr w:type="spellStart"/>
      <w:r>
        <w:rPr>
          <w:rtl/>
        </w:rPr>
        <w:t>במיר</w:t>
      </w:r>
      <w:proofErr w:type="spellEnd"/>
      <w:r>
        <w:rPr>
          <w:rtl/>
        </w:rPr>
        <w:t xml:space="preserve"> רק שני רבנים, ושניהם לא למדו </w:t>
      </w:r>
      <w:proofErr w:type="spellStart"/>
      <w:r>
        <w:rPr>
          <w:rtl/>
        </w:rPr>
        <w:t>בוולוז׳ין</w:t>
      </w:r>
      <w:proofErr w:type="spellEnd"/>
      <w:r>
        <w:rPr>
          <w:rtl/>
        </w:rPr>
        <w:t xml:space="preserve">: ר׳ </w:t>
      </w:r>
      <w:proofErr w:type="spellStart"/>
      <w:r>
        <w:rPr>
          <w:rtl/>
        </w:rPr>
        <w:t>יוסף־דוד</w:t>
      </w:r>
      <w:proofErr w:type="spellEnd"/>
      <w:r>
        <w:rPr>
          <w:rtl/>
        </w:rPr>
        <w:t xml:space="preserve"> </w:t>
      </w:r>
      <w:proofErr w:type="spellStart"/>
      <w:r>
        <w:rPr>
          <w:rtl/>
        </w:rPr>
        <w:t>אייזנשטט</w:t>
      </w:r>
      <w:proofErr w:type="spellEnd"/>
      <w:r>
        <w:rPr>
          <w:rtl/>
        </w:rPr>
        <w:t>, חתן נכדו של בעל שו״ת “פנים מאירות”</w:t>
      </w:r>
      <w:bookmarkStart w:id="5692" w:name="_fnr4329"/>
      <w:r>
        <w:rPr>
          <w:vertAlign w:val="superscript"/>
          <w:rtl/>
        </w:rPr>
        <w:footnoteReference w:id="4339" w:customMarkFollows="0"/>
      </w:r>
      <w:bookmarkEnd w:id="5692"/>
      <w:r>
        <w:rPr>
          <w:rtl/>
        </w:rPr>
        <w:t xml:space="preserve">, שכיהן ארבעים ותשע שנה החל </w:t>
      </w:r>
      <w:proofErr w:type="spellStart"/>
      <w:r>
        <w:rPr>
          <w:rtl/>
        </w:rPr>
        <w:t>מתקנ״ז</w:t>
      </w:r>
      <w:proofErr w:type="spellEnd"/>
      <w:r>
        <w:rPr>
          <w:rtl/>
        </w:rPr>
        <w:t xml:space="preserve">; ואחריו בנו ותלמידו ר׳ </w:t>
      </w:r>
      <w:proofErr w:type="spellStart"/>
      <w:r>
        <w:rPr>
          <w:rtl/>
        </w:rPr>
        <w:t>משה־אברהם</w:t>
      </w:r>
      <w:proofErr w:type="spellEnd"/>
      <w:r>
        <w:rPr>
          <w:rtl/>
        </w:rPr>
        <w:t xml:space="preserve"> </w:t>
      </w:r>
      <w:proofErr w:type="spellStart"/>
      <w:r>
        <w:rPr>
          <w:rtl/>
        </w:rPr>
        <w:t>אייזנשטט</w:t>
      </w:r>
      <w:proofErr w:type="spellEnd"/>
      <w:r>
        <w:rPr>
          <w:rtl/>
        </w:rPr>
        <w:t>, שכיהן עד תרכ״ז.</w:t>
      </w:r>
    </w:p>
    <w:p w14:paraId="4B719D13" w14:textId="77777777" w:rsidR="00AB3647" w:rsidRDefault="00000000" w:rsidP="007923E9">
      <w:pPr>
        <w:spacing w:after="120" w:line="276" w:lineRule="auto"/>
        <w:ind w:firstLine="283"/>
        <w:jc w:val="both"/>
      </w:pPr>
      <w:r>
        <w:rPr>
          <w:rtl/>
        </w:rPr>
        <w:lastRenderedPageBreak/>
        <w:t xml:space="preserve">מסתבר שבן שיחו של ר׳ </w:t>
      </w:r>
      <w:proofErr w:type="spellStart"/>
      <w:r>
        <w:rPr>
          <w:rtl/>
        </w:rPr>
        <w:t>דוד־טעביל</w:t>
      </w:r>
      <w:proofErr w:type="spellEnd"/>
      <w:r>
        <w:rPr>
          <w:rtl/>
        </w:rPr>
        <w:t xml:space="preserve"> </w:t>
      </w:r>
      <w:proofErr w:type="spellStart"/>
      <w:r>
        <w:rPr>
          <w:rtl/>
        </w:rPr>
        <w:t>במיר</w:t>
      </w:r>
      <w:proofErr w:type="spellEnd"/>
      <w:r>
        <w:rPr>
          <w:rtl/>
        </w:rPr>
        <w:t xml:space="preserve"> היה איש מצוות ישיבת </w:t>
      </w:r>
      <w:proofErr w:type="spellStart"/>
      <w:r>
        <w:rPr>
          <w:rtl/>
        </w:rPr>
        <w:t>מיר</w:t>
      </w:r>
      <w:proofErr w:type="spellEnd"/>
      <w:r>
        <w:rPr>
          <w:rtl/>
        </w:rPr>
        <w:t xml:space="preserve">, וליתר דיוק ר׳ ישראל </w:t>
      </w:r>
      <w:proofErr w:type="spellStart"/>
      <w:r>
        <w:rPr>
          <w:rtl/>
        </w:rPr>
        <w:t xml:space="preserve">הלר</w:t>
      </w:r>
      <w:proofErr w:type="spellEnd"/>
      <w:r>
        <w:rPr>
          <w:rtl/>
        </w:rPr>
        <w:t xml:space="preserve">, אחד מארבעת האחים </w:t>
      </w:r>
      <w:proofErr w:type="spellStart"/>
      <w:r>
        <w:rPr>
          <w:rtl/>
        </w:rPr>
        <w:t xml:space="preserve">הלר</w:t>
      </w:r>
      <w:bookmarkStart w:id="5693" w:name="_fnr4330"/>
      <w:proofErr w:type="spellEnd"/>
      <w:r>
        <w:rPr>
          <w:vertAlign w:val="superscript"/>
          <w:rtl/>
        </w:rPr>
        <w:footnoteReference w:id="4340" w:customMarkFollows="0"/>
      </w:r>
      <w:bookmarkEnd w:id="5693"/>
      <w:r>
        <w:rPr>
          <w:rtl/>
        </w:rPr>
        <w:t xml:space="preserve">, שכולם היו תלמידי ר׳ חיים </w:t>
      </w:r>
      <w:proofErr w:type="spellStart"/>
      <w:r>
        <w:rPr>
          <w:rtl/>
        </w:rPr>
        <w:t>מוולוז׳ין</w:t>
      </w:r>
      <w:proofErr w:type="spellEnd"/>
      <w:r>
        <w:rPr>
          <w:rtl/>
        </w:rPr>
        <w:t xml:space="preserve">. ר׳ ישראל חיבב במיוחד את ר׳ </w:t>
      </w:r>
      <w:proofErr w:type="spellStart"/>
      <w:r>
        <w:rPr>
          <w:rtl/>
        </w:rPr>
        <w:t>דוד־טעביל</w:t>
      </w:r>
      <w:proofErr w:type="spellEnd"/>
      <w:r>
        <w:rPr>
          <w:rtl/>
        </w:rPr>
        <w:t xml:space="preserve">, כפי שמעידה הדרך שבה הוא מזכירו בספרו כשהוא </w:t>
      </w:r>
      <w:r>
        <w:rPr>
          <w:b/>
          <w:bCs/>
          <w:rtl/>
        </w:rPr>
        <w:t>חולק עליו</w:t>
      </w:r>
      <w:bookmarkStart w:id="5694" w:name="_fnr4331"/>
      <w:r>
        <w:rPr>
          <w:vertAlign w:val="superscript"/>
          <w:rtl/>
        </w:rPr>
        <w:footnoteReference w:id="4341" w:customMarkFollows="0"/>
      </w:r>
      <w:bookmarkEnd w:id="5694"/>
      <w:r>
        <w:rPr>
          <w:rtl/>
        </w:rPr>
        <w:t xml:space="preserve">: “ראיתי בחידושי גדול יחיד בדורנו, שאיני מפרש את שמו מפני שאין דבריו מובנים לי [אני חולק עליו]”. ראש ישיבת </w:t>
      </w:r>
      <w:proofErr w:type="spellStart"/>
      <w:r>
        <w:rPr>
          <w:rtl/>
        </w:rPr>
        <w:t>מיר</w:t>
      </w:r>
      <w:proofErr w:type="spellEnd"/>
      <w:r>
        <w:rPr>
          <w:rtl/>
        </w:rPr>
        <w:t xml:space="preserve">, ר׳ אברהם </w:t>
      </w:r>
      <w:proofErr w:type="spellStart"/>
      <w:r>
        <w:rPr>
          <w:rtl/>
        </w:rPr>
        <w:t>טיקטינסקי</w:t>
      </w:r>
      <w:bookmarkStart w:id="5695" w:name="_fnr4332"/>
      <w:proofErr w:type="spellEnd"/>
      <w:r>
        <w:rPr>
          <w:vertAlign w:val="superscript"/>
          <w:rtl/>
        </w:rPr>
        <w:footnoteReference w:id="4342" w:customMarkFollows="0"/>
      </w:r>
      <w:bookmarkEnd w:id="5695"/>
      <w:r>
        <w:rPr>
          <w:rtl/>
        </w:rPr>
        <w:t xml:space="preserve">, מינה את ר׳ ישראל </w:t>
      </w:r>
      <w:proofErr w:type="spellStart"/>
      <w:r>
        <w:rPr>
          <w:rtl/>
        </w:rPr>
        <w:t xml:space="preserve">הלר</w:t>
      </w:r>
      <w:proofErr w:type="spellEnd"/>
      <w:r>
        <w:rPr>
          <w:rtl/>
        </w:rPr>
        <w:t xml:space="preserve"> לעוזרו בשלב כלשהו בעשר שנות כהונתו, שנמשכו </w:t>
      </w:r>
      <w:proofErr w:type="spellStart"/>
      <w:r>
        <w:rPr>
          <w:rtl/>
        </w:rPr>
        <w:t>מתקפ״ו</w:t>
      </w:r>
      <w:proofErr w:type="spellEnd"/>
      <w:r>
        <w:rPr>
          <w:rtl/>
        </w:rPr>
        <w:t xml:space="preserve"> ועד פטירתו בן ארבעים, </w:t>
      </w:r>
      <w:proofErr w:type="spellStart"/>
      <w:r>
        <w:rPr>
          <w:rtl/>
        </w:rPr>
        <w:t>בתקצ״ו</w:t>
      </w:r>
      <w:proofErr w:type="spellEnd"/>
      <w:r>
        <w:rPr>
          <w:rtl/>
        </w:rPr>
        <w:t>.</w:t>
      </w:r>
    </w:p>
    <w:p w14:paraId="60A3BD3D" w14:textId="7D7BCE27" w:rsidR="00AB3647" w:rsidRDefault="00000000" w:rsidP="007923E9">
      <w:pPr>
        <w:spacing w:after="120" w:line="276" w:lineRule="auto"/>
        <w:ind w:firstLine="283"/>
        <w:jc w:val="both"/>
      </w:pPr>
      <w:r>
        <w:rPr>
          <w:rtl/>
        </w:rPr>
        <w:t xml:space="preserve">כשנפטר הרב </w:t>
      </w:r>
      <w:proofErr w:type="spellStart"/>
      <w:r>
        <w:rPr>
          <w:rtl/>
        </w:rPr>
        <w:t>טיקטינסקי</w:t>
      </w:r>
      <w:proofErr w:type="spellEnd"/>
      <w:r>
        <w:rPr>
          <w:rtl/>
        </w:rPr>
        <w:t xml:space="preserve"> היה בנו </w:t>
      </w:r>
      <w:proofErr w:type="spellStart"/>
      <w:r>
        <w:rPr>
          <w:rtl/>
        </w:rPr>
        <w:t>חיים־לייב</w:t>
      </w:r>
      <w:proofErr w:type="spellEnd"/>
      <w:r>
        <w:rPr>
          <w:rtl/>
        </w:rPr>
        <w:t xml:space="preserve"> בן </w:t>
      </w:r>
      <w:proofErr w:type="spellStart"/>
      <w:r>
        <w:rPr>
          <w:rtl/>
        </w:rPr>
        <w:t>אחת־עשרה</w:t>
      </w:r>
      <w:proofErr w:type="spellEnd"/>
      <w:r>
        <w:rPr>
          <w:rtl/>
        </w:rPr>
        <w:t xml:space="preserve"> בלבד – השווה פרק 1, הפסקה הראשונה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עד תר״י, כשהבן כבר גדל לתלמיד חכם גדול היכול להנהיג את הישיבה, כיהנו רבני </w:t>
      </w:r>
      <w:proofErr w:type="spellStart"/>
      <w:r>
        <w:rPr>
          <w:rtl/>
        </w:rPr>
        <w:t>מיר</w:t>
      </w:r>
      <w:proofErr w:type="spellEnd"/>
      <w:r>
        <w:rPr>
          <w:rtl/>
        </w:rPr>
        <w:t xml:space="preserve"> בזה אחר זה, ר׳ </w:t>
      </w:r>
      <w:proofErr w:type="spellStart"/>
      <w:r>
        <w:rPr>
          <w:rtl/>
        </w:rPr>
        <w:t>יוסף־דוד</w:t>
      </w:r>
      <w:proofErr w:type="spellEnd"/>
      <w:r>
        <w:rPr>
          <w:rtl/>
        </w:rPr>
        <w:t xml:space="preserve"> ור׳ </w:t>
      </w:r>
      <w:proofErr w:type="spellStart"/>
      <w:r>
        <w:rPr>
          <w:rtl/>
        </w:rPr>
        <w:t>משה־אברהם</w:t>
      </w:r>
      <w:proofErr w:type="spellEnd"/>
      <w:r>
        <w:rPr>
          <w:rtl/>
        </w:rPr>
        <w:t xml:space="preserve"> </w:t>
      </w:r>
      <w:proofErr w:type="spellStart"/>
      <w:r>
        <w:rPr>
          <w:rtl/>
        </w:rPr>
        <w:t>אייזנשטט</w:t>
      </w:r>
      <w:proofErr w:type="spellEnd"/>
      <w:r>
        <w:rPr>
          <w:rtl/>
        </w:rPr>
        <w:t xml:space="preserve">, גם כראשי הישיבה. בראשות ר׳ </w:t>
      </w:r>
      <w:proofErr w:type="spellStart"/>
      <w:r>
        <w:rPr>
          <w:rtl/>
        </w:rPr>
        <w:t>חיים־לייב</w:t>
      </w:r>
      <w:proofErr w:type="spellEnd"/>
      <w:r>
        <w:rPr>
          <w:rtl/>
        </w:rPr>
        <w:t xml:space="preserve"> </w:t>
      </w:r>
      <w:proofErr w:type="spellStart"/>
      <w:r>
        <w:rPr>
          <w:rtl/>
        </w:rPr>
        <w:t>טיקטינסקי</w:t>
      </w:r>
      <w:proofErr w:type="spellEnd"/>
      <w:r>
        <w:rPr>
          <w:rtl/>
        </w:rPr>
        <w:t xml:space="preserve"> פרחה מאוד ישיבת </w:t>
      </w:r>
      <w:proofErr w:type="spellStart"/>
      <w:r>
        <w:rPr>
          <w:rtl/>
        </w:rPr>
        <w:t>מיר</w:t>
      </w:r>
      <w:proofErr w:type="spellEnd"/>
      <w:r>
        <w:rPr>
          <w:rtl/>
        </w:rPr>
        <w:t xml:space="preserve">, שייסד סבו </w:t>
      </w:r>
      <w:proofErr w:type="spellStart"/>
      <w:r>
        <w:rPr>
          <w:rtl/>
        </w:rPr>
        <w:t>בתקע״ה</w:t>
      </w:r>
      <w:bookmarkStart w:id="5696" w:name="_fnr4333"/>
      <w:proofErr w:type="spellEnd"/>
      <w:r>
        <w:rPr>
          <w:vertAlign w:val="superscript"/>
          <w:rtl/>
        </w:rPr>
        <w:footnoteReference w:id="4343" w:customMarkFollows="0"/>
      </w:r>
      <w:bookmarkEnd w:id="5696"/>
      <w:r>
        <w:rPr>
          <w:rtl/>
        </w:rPr>
        <w:t xml:space="preserve"> בתגובה לקריאת ר׳ חיים </w:t>
      </w:r>
      <w:proofErr w:type="spellStart"/>
      <w:r>
        <w:rPr>
          <w:rtl/>
        </w:rPr>
        <w:t>מוולוז׳ין</w:t>
      </w:r>
      <w:proofErr w:type="spellEnd"/>
      <w:r>
        <w:rPr>
          <w:rtl/>
        </w:rPr>
        <w:t xml:space="preserve"> ללכת בעקבות </w:t>
      </w:r>
      <w:proofErr w:type="spellStart"/>
      <w:r>
        <w:rPr>
          <w:rtl/>
        </w:rPr>
        <w:t>וולוז׳ין</w:t>
      </w:r>
      <w:proofErr w:type="spellEnd"/>
      <w:r>
        <w:rPr>
          <w:rtl/>
        </w:rPr>
        <w:t xml:space="preserve"> ולפתוח ישיבות במקומות אחרים. מסופר שר׳ ישראל </w:t>
      </w:r>
      <w:proofErr w:type="spellStart"/>
      <w:r>
        <w:rPr>
          <w:rtl/>
        </w:rPr>
        <w:t>סלנטר</w:t>
      </w:r>
      <w:proofErr w:type="spellEnd"/>
      <w:r>
        <w:rPr>
          <w:rtl/>
        </w:rPr>
        <w:t xml:space="preserve"> אמר שכדי להבין דף גמרא כראוי צריך לשמוע את שיעור ר׳ </w:t>
      </w:r>
      <w:proofErr w:type="spellStart"/>
      <w:r>
        <w:rPr>
          <w:rtl/>
        </w:rPr>
        <w:t>חיים־לייב</w:t>
      </w:r>
      <w:bookmarkStart w:id="5697" w:name="_fnr4334"/>
      <w:proofErr w:type="spellEnd"/>
      <w:r>
        <w:rPr>
          <w:vertAlign w:val="superscript"/>
          <w:rtl/>
        </w:rPr>
        <w:footnoteReference w:id="4344" w:customMarkFollows="0"/>
      </w:r>
      <w:bookmarkEnd w:id="5697"/>
      <w:r>
        <w:rPr>
          <w:rtl/>
        </w:rPr>
        <w:t>.</w:t>
      </w:r>
    </w:p>
    <w:p w14:paraId="049FB71D" w14:textId="77777777" w:rsidR="00AB3647" w:rsidRDefault="00000000" w:rsidP="007923E9">
      <w:pPr>
        <w:spacing w:after="120" w:line="276" w:lineRule="auto"/>
        <w:ind w:firstLine="283"/>
        <w:jc w:val="both"/>
      </w:pPr>
      <w:r>
        <w:rPr>
          <w:rtl/>
        </w:rPr>
        <w:t xml:space="preserve">מועמדותו של ר׳ </w:t>
      </w:r>
      <w:proofErr w:type="spellStart"/>
      <w:r>
        <w:rPr>
          <w:rtl/>
        </w:rPr>
        <w:t>דוד־טעביל</w:t>
      </w:r>
      <w:proofErr w:type="spellEnd"/>
      <w:r>
        <w:rPr>
          <w:rtl/>
        </w:rPr>
        <w:t xml:space="preserve"> </w:t>
      </w:r>
      <w:proofErr w:type="spellStart"/>
      <w:r>
        <w:rPr>
          <w:rtl/>
        </w:rPr>
        <w:t>בנובהרדוק</w:t>
      </w:r>
      <w:proofErr w:type="spellEnd"/>
      <w:r>
        <w:rPr>
          <w:rtl/>
        </w:rPr>
        <w:t xml:space="preserve">, כפי שמסופר עליה, הייתה בהכרח בשלב כלשהו בתוך שלוש שנות הביניים: </w:t>
      </w:r>
      <w:proofErr w:type="spellStart"/>
      <w:r>
        <w:rPr>
          <w:rtl/>
        </w:rPr>
        <w:t>מתקצ״ה</w:t>
      </w:r>
      <w:proofErr w:type="spellEnd"/>
      <w:r>
        <w:rPr>
          <w:rtl/>
        </w:rPr>
        <w:t>, שבה נפטר ר׳ דוד, בעל “</w:t>
      </w:r>
      <w:proofErr w:type="spellStart"/>
      <w:r>
        <w:rPr>
          <w:rtl/>
        </w:rPr>
        <w:t>גליא</w:t>
      </w:r>
      <w:proofErr w:type="spellEnd"/>
      <w:r>
        <w:rPr>
          <w:rtl/>
        </w:rPr>
        <w:t xml:space="preserve"> מסכת”, שכיהן כרב </w:t>
      </w:r>
      <w:proofErr w:type="spellStart"/>
      <w:r>
        <w:rPr>
          <w:rtl/>
        </w:rPr>
        <w:t>בנובהרדוק</w:t>
      </w:r>
      <w:proofErr w:type="spellEnd"/>
      <w:r>
        <w:rPr>
          <w:rtl/>
        </w:rPr>
        <w:t xml:space="preserve"> מאז תקנ״ח ונודע לאחר כהונתו הארוכה כר׳ דוד </w:t>
      </w:r>
      <w:proofErr w:type="spellStart"/>
      <w:r>
        <w:rPr>
          <w:rtl/>
        </w:rPr>
        <w:t>הנובהרדוקר</w:t>
      </w:r>
      <w:proofErr w:type="spellEnd"/>
      <w:r>
        <w:rPr>
          <w:rtl/>
        </w:rPr>
        <w:t xml:space="preserve">, ועד תקצ״ח, שבה נתמנה מחליפו, ר׳ </w:t>
      </w:r>
      <w:proofErr w:type="spellStart"/>
      <w:r>
        <w:rPr>
          <w:rtl/>
        </w:rPr>
        <w:t>אלכסנדר־זיסקינד</w:t>
      </w:r>
      <w:proofErr w:type="spellEnd"/>
      <w:r>
        <w:rPr>
          <w:rtl/>
        </w:rPr>
        <w:t xml:space="preserve"> הרכבי. (הרב הרכבי כיהן עד פטירתו </w:t>
      </w:r>
      <w:proofErr w:type="spellStart"/>
      <w:r>
        <w:rPr>
          <w:rtl/>
        </w:rPr>
        <w:t>בתר״י</w:t>
      </w:r>
      <w:bookmarkStart w:id="5698" w:name="_fnr4335"/>
      <w:bookmarkStart w:id="5699" w:name="pr_f_4219"/>
      <w:proofErr w:type="spellEnd"/>
      <w:r>
        <w:rPr>
          <w:vertAlign w:val="superscript"/>
          <w:rtl/>
        </w:rPr>
        <w:footnoteReference w:id="4345" w:customMarkFollows="0"/>
      </w:r>
      <w:bookmarkEnd w:id="5698"/>
      <w:bookmarkEnd w:id="5699"/>
      <w:r>
        <w:rPr>
          <w:rtl/>
        </w:rPr>
        <w:t xml:space="preserve">, שנה אחרי שר׳ </w:t>
      </w:r>
      <w:proofErr w:type="spellStart"/>
      <w:r>
        <w:rPr>
          <w:rtl/>
        </w:rPr>
        <w:t>דוד־טעביל</w:t>
      </w:r>
      <w:proofErr w:type="spellEnd"/>
      <w:r>
        <w:rPr>
          <w:rtl/>
        </w:rPr>
        <w:t xml:space="preserve"> הגיע למינסק.) והרי גם מועמדותו הכושלת של ר׳ </w:t>
      </w:r>
      <w:proofErr w:type="spellStart"/>
      <w:r>
        <w:rPr>
          <w:rtl/>
        </w:rPr>
        <w:t>דוד־טעביל</w:t>
      </w:r>
      <w:proofErr w:type="spellEnd"/>
      <w:r>
        <w:rPr>
          <w:rtl/>
        </w:rPr>
        <w:t xml:space="preserve"> </w:t>
      </w:r>
      <w:proofErr w:type="spellStart"/>
      <w:r>
        <w:rPr>
          <w:rtl/>
        </w:rPr>
        <w:t>לבריסק</w:t>
      </w:r>
      <w:proofErr w:type="spellEnd"/>
      <w:r>
        <w:rPr>
          <w:rtl/>
        </w:rPr>
        <w:t xml:space="preserve"> הוצעה באותן שלוש שנים, דווקא </w:t>
      </w:r>
      <w:proofErr w:type="spellStart"/>
      <w:r>
        <w:rPr>
          <w:rtl/>
        </w:rPr>
        <w:t>בתקצ״ז</w:t>
      </w:r>
      <w:proofErr w:type="spellEnd"/>
      <w:r>
        <w:rPr>
          <w:rtl/>
        </w:rPr>
        <w:t>!</w:t>
      </w:r>
    </w:p>
    <w:p w14:paraId="7E4080DD" w14:textId="77777777" w:rsidR="00AB3647" w:rsidRDefault="00000000" w:rsidP="007923E9">
      <w:pPr>
        <w:spacing w:after="120" w:line="276" w:lineRule="auto"/>
        <w:ind w:firstLine="283"/>
        <w:jc w:val="both"/>
      </w:pPr>
      <w:r>
        <w:rPr>
          <w:rtl/>
        </w:rPr>
        <w:t xml:space="preserve">ר׳ מאיר רפפורט טעה טעות חמורה גם באומרו </w:t>
      </w:r>
      <w:proofErr w:type="spellStart"/>
      <w:r>
        <w:rPr>
          <w:rtl/>
        </w:rPr>
        <w:t>שנובהרדוק</w:t>
      </w:r>
      <w:proofErr w:type="spellEnd"/>
      <w:r>
        <w:rPr>
          <w:rtl/>
        </w:rPr>
        <w:t xml:space="preserve"> נעשתה מרכז של מסילות ברזל, בעוד שלמעשה הרכבת מעולם לא עברה בעיר. לכן מסתבר שפגישתו המייאשת של ר׳ </w:t>
      </w:r>
      <w:proofErr w:type="spellStart"/>
      <w:r>
        <w:rPr>
          <w:rtl/>
        </w:rPr>
        <w:t>דוד־טעביל</w:t>
      </w:r>
      <w:proofErr w:type="spellEnd"/>
      <w:r>
        <w:rPr>
          <w:rtl/>
        </w:rPr>
        <w:t xml:space="preserve"> </w:t>
      </w:r>
      <w:proofErr w:type="spellStart"/>
      <w:r>
        <w:rPr>
          <w:rtl/>
        </w:rPr>
        <w:t>במיר</w:t>
      </w:r>
      <w:proofErr w:type="spellEnd"/>
      <w:r>
        <w:rPr>
          <w:rtl/>
        </w:rPr>
        <w:t xml:space="preserve"> התקיימה כשהיה בדרכו לא </w:t>
      </w:r>
      <w:proofErr w:type="spellStart"/>
      <w:r>
        <w:rPr>
          <w:rtl/>
        </w:rPr>
        <w:t>לנובהרדוק</w:t>
      </w:r>
      <w:proofErr w:type="spellEnd"/>
      <w:r>
        <w:rPr>
          <w:rtl/>
        </w:rPr>
        <w:t xml:space="preserve"> אלא </w:t>
      </w:r>
      <w:proofErr w:type="spellStart"/>
      <w:r>
        <w:rPr>
          <w:rtl/>
        </w:rPr>
        <w:t>לבריסק</w:t>
      </w:r>
      <w:proofErr w:type="spellEnd"/>
      <w:r>
        <w:rPr>
          <w:rtl/>
        </w:rPr>
        <w:t xml:space="preserve">, שהייתה מרכז של מסילות ברזל </w:t>
      </w:r>
      <w:r>
        <w:rPr>
          <w:b/>
          <w:bCs/>
          <w:rtl/>
        </w:rPr>
        <w:t>ולא הייתה בירת פלך</w:t>
      </w:r>
      <w:r>
        <w:rPr>
          <w:rtl/>
        </w:rPr>
        <w:t xml:space="preserve"> – בירת הפלך שלה (לפני שנעשתה חלק מפולין העצמאית) הייתה </w:t>
      </w:r>
      <w:proofErr w:type="spellStart"/>
      <w:r>
        <w:rPr>
          <w:rtl/>
        </w:rPr>
        <w:t>גרודנא</w:t>
      </w:r>
      <w:proofErr w:type="spellEnd"/>
      <w:r>
        <w:rPr>
          <w:rtl/>
        </w:rPr>
        <w:t>.</w:t>
      </w:r>
    </w:p>
    <w:p w14:paraId="0B9C9A5F" w14:textId="77777777" w:rsidR="00AB3647" w:rsidRDefault="00000000" w:rsidP="007923E9">
      <w:pPr>
        <w:spacing w:after="120" w:line="276" w:lineRule="auto"/>
        <w:ind w:firstLine="283"/>
        <w:jc w:val="both"/>
      </w:pPr>
      <w:r>
        <w:rPr>
          <w:rtl/>
        </w:rPr>
        <w:t xml:space="preserve">על יסוד עיקר סיפורו של המגיד </w:t>
      </w:r>
      <w:proofErr w:type="spellStart"/>
      <w:r>
        <w:rPr>
          <w:rtl/>
        </w:rPr>
        <w:t>מביאליסטוק</w:t>
      </w:r>
      <w:proofErr w:type="spellEnd"/>
      <w:r>
        <w:rPr>
          <w:rtl/>
        </w:rPr>
        <w:t xml:space="preserve"> – למרות שתי הטעויות שבו, זהות חברו של ר׳ </w:t>
      </w:r>
      <w:proofErr w:type="spellStart"/>
      <w:r>
        <w:rPr>
          <w:rtl/>
        </w:rPr>
        <w:t>דוד־טעביל</w:t>
      </w:r>
      <w:proofErr w:type="spellEnd"/>
      <w:r>
        <w:rPr>
          <w:rtl/>
        </w:rPr>
        <w:t xml:space="preserve"> ויעד נסיעתו – אפשר להוסיף לסיפור מפלתו של ר׳ </w:t>
      </w:r>
      <w:proofErr w:type="spellStart"/>
      <w:r>
        <w:rPr>
          <w:rtl/>
        </w:rPr>
        <w:t>דוד־טעביל</w:t>
      </w:r>
      <w:proofErr w:type="spellEnd"/>
      <w:r>
        <w:rPr>
          <w:rtl/>
        </w:rPr>
        <w:t xml:space="preserve"> מול </w:t>
      </w:r>
      <w:proofErr w:type="spellStart"/>
      <w:r>
        <w:rPr>
          <w:rtl/>
        </w:rPr>
        <w:t>דוד׳ל</w:t>
      </w:r>
      <w:proofErr w:type="spellEnd"/>
      <w:r>
        <w:rPr>
          <w:rtl/>
        </w:rPr>
        <w:t xml:space="preserve"> פרידמן הקטן פרטים מרתקים אלה: ר׳ </w:t>
      </w:r>
      <w:proofErr w:type="spellStart"/>
      <w:r>
        <w:rPr>
          <w:rtl/>
        </w:rPr>
        <w:t>דוד־טעביל</w:t>
      </w:r>
      <w:proofErr w:type="spellEnd"/>
      <w:r>
        <w:rPr>
          <w:rtl/>
        </w:rPr>
        <w:t xml:space="preserve">, שביקש לראות במרכז של מסילות ברזל </w:t>
      </w:r>
      <w:r>
        <w:rPr>
          <w:rtl/>
        </w:rPr>
        <w:lastRenderedPageBreak/>
        <w:t>את קיום ברכת רבו</w:t>
      </w:r>
      <w:bookmarkStart w:id="5700" w:name="_fnr4336"/>
      <w:r>
        <w:rPr>
          <w:vertAlign w:val="superscript"/>
          <w:rtl/>
        </w:rPr>
        <w:footnoteReference w:id="4346" w:customMarkFollows="0"/>
      </w:r>
      <w:bookmarkEnd w:id="5700"/>
      <w:r>
        <w:rPr>
          <w:rtl/>
        </w:rPr>
        <w:t xml:space="preserve"> לעיר בירה של פלך, לא שמע לעצת חברו שלא להציג את מועמדותו </w:t>
      </w:r>
      <w:proofErr w:type="spellStart"/>
      <w:r>
        <w:rPr>
          <w:rtl/>
        </w:rPr>
        <w:t>לבריסק</w:t>
      </w:r>
      <w:proofErr w:type="spellEnd"/>
      <w:r>
        <w:rPr>
          <w:rtl/>
        </w:rPr>
        <w:t>, ולבסוף נחטפה ממנו הרבנות בידי ילד בן תשע!</w:t>
      </w:r>
    </w:p>
    <w:p w14:paraId="11DADA33" w14:textId="11A0ACE0" w:rsidR="00AB3647" w:rsidRDefault="00000000" w:rsidP="007923E9">
      <w:pPr>
        <w:spacing w:after="120" w:line="276" w:lineRule="auto"/>
        <w:ind w:firstLine="283"/>
        <w:jc w:val="both"/>
      </w:pPr>
      <w:r>
        <w:rPr>
          <w:rtl/>
        </w:rPr>
        <w:t xml:space="preserve">השווה גם פרק 2, הפסקה השנייה של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שם מובאים (בתרגום) דברי ר׳ </w:t>
      </w:r>
      <w:proofErr w:type="spellStart"/>
      <w:r>
        <w:rPr>
          <w:rtl/>
        </w:rPr>
        <w:t>דוד־טעביל</w:t>
      </w:r>
      <w:proofErr w:type="spellEnd"/>
      <w:r>
        <w:rPr>
          <w:rtl/>
        </w:rPr>
        <w:t xml:space="preserve"> על ר׳ חיים </w:t>
      </w:r>
      <w:proofErr w:type="spellStart"/>
      <w:r>
        <w:rPr>
          <w:rtl/>
        </w:rPr>
        <w:t>מוולוז׳ין</w:t>
      </w:r>
      <w:proofErr w:type="spellEnd"/>
      <w:r>
        <w:rPr>
          <w:rtl/>
        </w:rPr>
        <w:t xml:space="preserve">, </w:t>
      </w:r>
      <w:proofErr w:type="spellStart"/>
      <w:r>
        <w:rPr>
          <w:rtl/>
        </w:rPr>
        <w:t>ש“בזכותו</w:t>
      </w:r>
      <w:proofErr w:type="spellEnd"/>
      <w:r>
        <w:rPr>
          <w:rtl/>
        </w:rPr>
        <w:t>” זכה ברבנות מינסק. ייתכן שזו הפניה לברכה שבירכו רבו.</w:t>
      </w:r>
    </w:p>
    <w:p w14:paraId="13F18609" w14:textId="77777777" w:rsidR="00AB3647" w:rsidRDefault="00000000" w:rsidP="007923E9">
      <w:pPr>
        <w:spacing w:after="120" w:line="276" w:lineRule="auto"/>
        <w:ind w:firstLine="283"/>
        <w:jc w:val="both"/>
      </w:pPr>
      <w:r>
        <w:rPr>
          <w:rtl/>
        </w:rPr>
        <w:t>“אבי הישיבות”</w:t>
      </w:r>
      <w:bookmarkStart w:id="5701" w:name="_fnr4337"/>
      <w:r>
        <w:rPr>
          <w:vertAlign w:val="superscript"/>
          <w:rtl/>
        </w:rPr>
        <w:footnoteReference w:id="4347" w:customMarkFollows="0"/>
      </w:r>
      <w:bookmarkEnd w:id="5701"/>
      <w:r>
        <w:rPr>
          <w:rtl/>
        </w:rPr>
        <w:t xml:space="preserve"> מביא מקור [ממינסק], שכאשר ביקשה קהילת </w:t>
      </w:r>
      <w:proofErr w:type="spellStart"/>
      <w:r>
        <w:rPr>
          <w:rtl/>
        </w:rPr>
        <w:t>סטויבץ</w:t>
      </w:r>
      <w:proofErr w:type="spellEnd"/>
      <w:r>
        <w:rPr>
          <w:rtl/>
        </w:rPr>
        <w:t xml:space="preserve"> את המלצתו של ר׳ חיים </w:t>
      </w:r>
      <w:proofErr w:type="spellStart"/>
      <w:r>
        <w:rPr>
          <w:rtl/>
        </w:rPr>
        <w:t>מוולוז׳ין</w:t>
      </w:r>
      <w:proofErr w:type="spellEnd"/>
      <w:r>
        <w:rPr>
          <w:rtl/>
        </w:rPr>
        <w:t xml:space="preserve"> לקבל את ר׳ </w:t>
      </w:r>
      <w:proofErr w:type="spellStart"/>
      <w:r>
        <w:rPr>
          <w:rtl/>
        </w:rPr>
        <w:t>דוד־טעביל</w:t>
      </w:r>
      <w:proofErr w:type="spellEnd"/>
      <w:r>
        <w:rPr>
          <w:rtl/>
        </w:rPr>
        <w:t xml:space="preserve"> לרב, אמר: “ר׳ </w:t>
      </w:r>
      <w:proofErr w:type="spellStart"/>
      <w:r>
        <w:rPr>
          <w:rtl/>
        </w:rPr>
        <w:t>דוד־טעביל</w:t>
      </w:r>
      <w:proofErr w:type="spellEnd"/>
      <w:r>
        <w:rPr>
          <w:rtl/>
        </w:rPr>
        <w:t xml:space="preserve"> ראוי אפילו להיות רבה של מינסק”. עוד מסופר שם שכעבור שנים, כשהציג ר׳ </w:t>
      </w:r>
      <w:proofErr w:type="spellStart"/>
      <w:r>
        <w:rPr>
          <w:rtl/>
        </w:rPr>
        <w:t>דוד־טעביל</w:t>
      </w:r>
      <w:proofErr w:type="spellEnd"/>
      <w:r>
        <w:rPr>
          <w:rtl/>
        </w:rPr>
        <w:t xml:space="preserve"> את מועמדותו במינסק, טען שרבו “רמז” שביום מן הימים יהיה רב העיר. זו טענה מוזרה בהחלט, שכן מה טבעי יותר, כשמשבחים את המועמד </w:t>
      </w:r>
      <w:proofErr w:type="spellStart"/>
      <w:r>
        <w:rPr>
          <w:rtl/>
        </w:rPr>
        <w:t>לסטויבץ</w:t>
      </w:r>
      <w:proofErr w:type="spellEnd"/>
      <w:r>
        <w:rPr>
          <w:rtl/>
        </w:rPr>
        <w:t>, מלהזכיר את מינסק, בירת הפלך שלה?!</w:t>
      </w:r>
    </w:p>
    <w:p w14:paraId="33AFC0E4" w14:textId="77777777" w:rsidR="00AB3647" w:rsidRDefault="00000000" w:rsidP="007923E9">
      <w:pPr>
        <w:spacing w:after="120" w:line="276" w:lineRule="auto"/>
        <w:ind w:firstLine="283"/>
        <w:jc w:val="both"/>
      </w:pPr>
      <w:r>
        <w:rPr>
          <w:rtl/>
        </w:rPr>
        <w:t xml:space="preserve">הכותב האלמוני של ההקדמה </w:t>
      </w:r>
      <w:proofErr w:type="spellStart"/>
      <w:r>
        <w:rPr>
          <w:rtl/>
        </w:rPr>
        <w:t>ל“נחלת</w:t>
      </w:r>
      <w:proofErr w:type="spellEnd"/>
      <w:r>
        <w:rPr>
          <w:rtl/>
        </w:rPr>
        <w:t xml:space="preserve"> דוד על הש״ס”</w:t>
      </w:r>
      <w:bookmarkStart w:id="5702" w:name="_fnr4338"/>
      <w:r>
        <w:rPr>
          <w:vertAlign w:val="superscript"/>
          <w:rtl/>
        </w:rPr>
        <w:footnoteReference w:id="4348" w:customMarkFollows="0"/>
      </w:r>
      <w:bookmarkEnd w:id="5702"/>
      <w:r>
        <w:rPr>
          <w:rtl/>
        </w:rPr>
        <w:t xml:space="preserve"> ריכך את הסיפור: הוא השמיט את הטענה, והזכיר רק את דברי ר׳ חיים כסיבה להצגת מועמדותו של ר׳ </w:t>
      </w:r>
      <w:proofErr w:type="spellStart"/>
      <w:r>
        <w:rPr>
          <w:rtl/>
        </w:rPr>
        <w:t>דוד־טעביל</w:t>
      </w:r>
      <w:proofErr w:type="spellEnd"/>
      <w:r>
        <w:rPr>
          <w:rtl/>
        </w:rPr>
        <w:t xml:space="preserve"> – כאילו אכן נדרשה סיבה מיוחדת להגיש מועמדות בעיר גדולה</w:t>
      </w:r>
      <w:bookmarkStart w:id="5703" w:name="_fnr4339"/>
      <w:r>
        <w:rPr>
          <w:vertAlign w:val="superscript"/>
          <w:rtl/>
        </w:rPr>
        <w:footnoteReference w:id="4349" w:customMarkFollows="0"/>
      </w:r>
      <w:bookmarkEnd w:id="5703"/>
      <w:r>
        <w:rPr>
          <w:rtl/>
        </w:rPr>
        <w:t xml:space="preserve">. על פי דברי ר׳ מאיר רפפורט, מסתבר שכל מה שאמר ר׳ חיים – ואכן בשעה שקיבלה </w:t>
      </w:r>
      <w:proofErr w:type="spellStart"/>
      <w:r>
        <w:rPr>
          <w:rtl/>
        </w:rPr>
        <w:t>סטויבץ</w:t>
      </w:r>
      <w:proofErr w:type="spellEnd"/>
      <w:r>
        <w:rPr>
          <w:rtl/>
        </w:rPr>
        <w:t xml:space="preserve"> את ר׳ </w:t>
      </w:r>
      <w:proofErr w:type="spellStart"/>
      <w:r>
        <w:rPr>
          <w:rtl/>
        </w:rPr>
        <w:t>דוד־טעביל</w:t>
      </w:r>
      <w:proofErr w:type="spellEnd"/>
      <w:r>
        <w:rPr>
          <w:rtl/>
        </w:rPr>
        <w:t xml:space="preserve"> – היה: “ר׳ </w:t>
      </w:r>
      <w:proofErr w:type="spellStart"/>
      <w:r>
        <w:rPr>
          <w:rtl/>
        </w:rPr>
        <w:t>דוד־טעביל</w:t>
      </w:r>
      <w:proofErr w:type="spellEnd"/>
      <w:r>
        <w:rPr>
          <w:rtl/>
        </w:rPr>
        <w:t xml:space="preserve"> ראוי אפילו להיות רבה של עיר בירה של פלך”, וזה היה יסוד הברכה שהתלמידים ציפו שתתגשם.</w:t>
      </w:r>
    </w:p>
    <w:p w14:paraId="7887B873" w14:textId="77777777" w:rsidR="00AB3647" w:rsidRDefault="00000000" w:rsidP="007923E9">
      <w:pPr>
        <w:spacing w:after="120" w:line="276" w:lineRule="auto"/>
        <w:ind w:firstLine="283"/>
        <w:jc w:val="both"/>
      </w:pPr>
      <w:r>
        <w:rPr>
          <w:rtl/>
        </w:rPr>
        <w:t>השווה גם “אבי הישיבות”</w:t>
      </w:r>
      <w:bookmarkStart w:id="5704" w:name="_fnr4340"/>
      <w:r>
        <w:rPr>
          <w:vertAlign w:val="superscript"/>
          <w:rtl/>
        </w:rPr>
        <w:footnoteReference w:id="4350" w:customMarkFollows="0"/>
      </w:r>
      <w:bookmarkEnd w:id="5704"/>
      <w:r>
        <w:rPr>
          <w:rtl/>
        </w:rPr>
        <w:t xml:space="preserve"> על כך שמנהיגי תורה אחרים האמינו שברכות ר׳ חיים להתעלותם בתורה נתקיימו. אבל מחברו</w:t>
      </w:r>
      <w:bookmarkStart w:id="5705" w:name="_fnr4341"/>
      <w:r>
        <w:rPr>
          <w:vertAlign w:val="superscript"/>
          <w:rtl/>
        </w:rPr>
        <w:footnoteReference w:id="4351" w:customMarkFollows="0"/>
      </w:r>
      <w:bookmarkEnd w:id="5705"/>
      <w:r>
        <w:rPr>
          <w:rtl/>
        </w:rPr>
        <w:t xml:space="preserve"> מפריז מעט כשהוא אומר: “על פי התמונה העולה, נהג ר׳ חיים – ובעקבותיו בנו ר׳ </w:t>
      </w:r>
      <w:proofErr w:type="spellStart"/>
      <w:r>
        <w:rPr>
          <w:rtl/>
        </w:rPr>
        <w:t>איצל׳ה</w:t>
      </w:r>
      <w:proofErr w:type="spellEnd"/>
      <w:r>
        <w:rPr>
          <w:rtl/>
        </w:rPr>
        <w:t xml:space="preserve"> – להתוות את נתיבות העתיד של התלמידים, בייחוד בשעת הפרידה </w:t>
      </w:r>
      <w:proofErr w:type="spellStart"/>
      <w:r>
        <w:rPr>
          <w:rtl/>
        </w:rPr>
        <w:t>כש</w:t>
      </w:r>
      <w:proofErr w:type="spellEnd"/>
      <w:r>
        <w:rPr>
          <w:rtl/>
        </w:rPr>
        <w:t xml:space="preserve">[התלמידים] עזבו את הישיבה. שעת הפרידה הייתה עת רצון להתבונן </w:t>
      </w:r>
      <w:proofErr w:type="spellStart"/>
      <w:r>
        <w:rPr>
          <w:rtl/>
        </w:rPr>
        <w:t>ב‘עתידו</w:t>
      </w:r>
      <w:proofErr w:type="spellEnd"/>
      <w:r>
        <w:rPr>
          <w:rtl/>
        </w:rPr>
        <w:t xml:space="preserve"> של כל תלמיד ולנבא עליו’</w:t>
      </w:r>
      <w:bookmarkStart w:id="5706" w:name="_fnr4342"/>
      <w:r>
        <w:rPr>
          <w:vertAlign w:val="superscript"/>
          <w:rtl/>
        </w:rPr>
        <w:footnoteReference w:id="4352" w:customMarkFollows="0"/>
      </w:r>
      <w:bookmarkEnd w:id="5706"/>
      <w:r>
        <w:rPr>
          <w:rtl/>
        </w:rPr>
        <w:t>, בבחינת ‘האספו ואגידה לכם את אשר יקרא אתכם באחרית הימים’</w:t>
      </w:r>
      <w:bookmarkStart w:id="5707" w:name="_fnr4343"/>
      <w:r>
        <w:rPr>
          <w:vertAlign w:val="superscript"/>
          <w:rtl/>
        </w:rPr>
        <w:footnoteReference w:id="4353" w:customMarkFollows="0"/>
      </w:r>
      <w:bookmarkEnd w:id="5707"/>
      <w:r>
        <w:rPr>
          <w:rtl/>
        </w:rPr>
        <w:t xml:space="preserve">. אכן הייתה זו שעה ראויה להכין ולהכשיר כל אחד למלא את שליחותו, לייעצו ולהורותו בדרכי העבודה הנכונות. לעיתים עשה זאת ר׳ חיים כהוראה ברורה שאינה משתמעת לשתי פנים, ולעיתים בדרך רמז ובזהירות – או, כפי שאירע לפעמים, ‘פלט’ משפט שהיה באותה שעה עמום </w:t>
      </w:r>
      <w:proofErr w:type="spellStart"/>
      <w:r>
        <w:rPr>
          <w:rtl/>
        </w:rPr>
        <w:t>ובלתי־מובן</w:t>
      </w:r>
      <w:proofErr w:type="spellEnd"/>
      <w:r>
        <w:rPr>
          <w:rtl/>
        </w:rPr>
        <w:t>, ובימים הבאים התברר למפרע, כאילו נבואה היא שנזרקה מפיו”.</w:t>
      </w:r>
    </w:p>
    <w:p w14:paraId="09BC1AE0" w14:textId="77777777" w:rsidR="00AB3647" w:rsidRDefault="00000000" w:rsidP="007923E9">
      <w:pPr>
        <w:spacing w:after="120" w:line="276" w:lineRule="auto"/>
        <w:ind w:firstLine="283"/>
        <w:jc w:val="both"/>
      </w:pPr>
      <w:r>
        <w:rPr>
          <w:rtl/>
        </w:rPr>
        <w:lastRenderedPageBreak/>
        <w:t>ברשימותיו של ר׳ משה גרוסמן</w:t>
      </w:r>
      <w:bookmarkStart w:id="5708" w:name="_fnr4344"/>
      <w:r>
        <w:rPr>
          <w:vertAlign w:val="superscript"/>
          <w:rtl/>
        </w:rPr>
        <w:footnoteReference w:id="4354" w:customMarkFollows="0"/>
      </w:r>
      <w:bookmarkEnd w:id="5708"/>
      <w:r>
        <w:rPr>
          <w:rtl/>
        </w:rPr>
        <w:t xml:space="preserve"> מובאים דברי ר׳ </w:t>
      </w:r>
      <w:proofErr w:type="spellStart"/>
      <w:r>
        <w:rPr>
          <w:rtl/>
        </w:rPr>
        <w:t>יעקב־יצחק</w:t>
      </w:r>
      <w:proofErr w:type="spellEnd"/>
      <w:r>
        <w:rPr>
          <w:rtl/>
        </w:rPr>
        <w:t xml:space="preserve"> </w:t>
      </w:r>
      <w:proofErr w:type="spellStart"/>
      <w:r>
        <w:rPr>
          <w:rtl/>
        </w:rPr>
        <w:t>רודרמן</w:t>
      </w:r>
      <w:proofErr w:type="spellEnd"/>
      <w:r>
        <w:rPr>
          <w:rtl/>
        </w:rPr>
        <w:t xml:space="preserve">, </w:t>
      </w:r>
      <w:proofErr w:type="spellStart"/>
      <w:r>
        <w:rPr>
          <w:rtl/>
        </w:rPr>
        <w:t>שהחתם־סופר</w:t>
      </w:r>
      <w:proofErr w:type="spellEnd"/>
      <w:r>
        <w:rPr>
          <w:rtl/>
        </w:rPr>
        <w:t xml:space="preserve"> שלח שאלה </w:t>
      </w:r>
      <w:proofErr w:type="spellStart"/>
      <w:r>
        <w:rPr>
          <w:rtl/>
        </w:rPr>
        <w:t>לר</w:t>
      </w:r>
      <w:proofErr w:type="spellEnd"/>
      <w:r>
        <w:rPr>
          <w:rtl/>
        </w:rPr>
        <w:t xml:space="preserve">׳ משולם איגרא, אז רבה של </w:t>
      </w:r>
      <w:proofErr w:type="spellStart"/>
      <w:r>
        <w:rPr>
          <w:rtl/>
        </w:rPr>
        <w:t>פרשבורג</w:t>
      </w:r>
      <w:proofErr w:type="spellEnd"/>
      <w:r>
        <w:rPr>
          <w:rtl/>
        </w:rPr>
        <w:t xml:space="preserve">, ולא קיבל תשובה. בפגישתם הבאה שאל </w:t>
      </w:r>
      <w:proofErr w:type="spellStart"/>
      <w:r>
        <w:rPr>
          <w:rtl/>
        </w:rPr>
        <w:t>החתם־סופר</w:t>
      </w:r>
      <w:proofErr w:type="spellEnd"/>
      <w:r>
        <w:rPr>
          <w:rtl/>
        </w:rPr>
        <w:t xml:space="preserve"> מדוע לא נענה. ר׳ משולם השיב: “כשתהיה רב </w:t>
      </w:r>
      <w:proofErr w:type="spellStart"/>
      <w:r>
        <w:rPr>
          <w:rtl/>
        </w:rPr>
        <w:t>בפרשבורג</w:t>
      </w:r>
      <w:proofErr w:type="spellEnd"/>
      <w:r>
        <w:rPr>
          <w:rtl/>
        </w:rPr>
        <w:t xml:space="preserve">, תראה כמה טרודים שם”, </w:t>
      </w:r>
      <w:proofErr w:type="spellStart"/>
      <w:r>
        <w:rPr>
          <w:rtl/>
        </w:rPr>
        <w:t>והחתם־סופר</w:t>
      </w:r>
      <w:proofErr w:type="spellEnd"/>
      <w:r>
        <w:rPr>
          <w:rtl/>
        </w:rPr>
        <w:t xml:space="preserve"> הבין זאת כסימן שביום מן הימים יכהן ברבנות זו. ואכן ירש את הרב איגרא.</w:t>
      </w:r>
    </w:p>
    <w:p w14:paraId="105FCA09" w14:textId="77777777" w:rsidR="00AB3647" w:rsidRDefault="00000000" w:rsidP="007923E9">
      <w:pPr>
        <w:pStyle w:val="4"/>
        <w:spacing w:line="276" w:lineRule="auto"/>
      </w:pPr>
      <w:r>
        <w:t>· הפסקה השנייה ·</w:t>
      </w:r>
    </w:p>
    <w:p w14:paraId="45D679C2" w14:textId="77777777" w:rsidR="00AB3647" w:rsidRDefault="00000000" w:rsidP="007923E9">
      <w:pPr>
        <w:pStyle w:val="5"/>
        <w:spacing w:line="276" w:lineRule="auto"/>
      </w:pPr>
      <w:r>
        <w:rPr>
          <w:bCs/>
          <w:szCs w:val="26"/>
        </w:rPr>
        <w:t xml:space="preserve">ר׳ </w:t>
      </w:r>
      <w:proofErr w:type="spellStart"/>
      <w:r>
        <w:rPr>
          <w:bCs/>
          <w:szCs w:val="26"/>
        </w:rPr>
        <w:t>שמרל</w:t>
      </w:r>
      <w:proofErr w:type="spellEnd"/>
      <w:r>
        <w:rPr>
          <w:bCs/>
          <w:szCs w:val="26"/>
        </w:rPr>
        <w:t xml:space="preserve"> לוריא האמיד בוחר בר׳ </w:t>
      </w:r>
      <w:proofErr w:type="spellStart"/>
      <w:r>
        <w:rPr>
          <w:bCs/>
          <w:szCs w:val="26"/>
        </w:rPr>
        <w:t>דוד׳ל</w:t>
      </w:r>
      <w:proofErr w:type="spellEnd"/>
      <w:r>
        <w:rPr>
          <w:bCs/>
          <w:szCs w:val="26"/>
        </w:rPr>
        <w:t xml:space="preserve"> פרידמן הקטן לבתו – ר׳ חיים </w:t>
      </w:r>
      <w:proofErr w:type="spellStart"/>
      <w:r>
        <w:rPr>
          <w:bCs/>
          <w:szCs w:val="26"/>
        </w:rPr>
        <w:t>הלברשטם</w:t>
      </w:r>
      <w:proofErr w:type="spellEnd"/>
      <w:r>
        <w:rPr>
          <w:bCs/>
          <w:szCs w:val="26"/>
        </w:rPr>
        <w:t xml:space="preserve"> משכנע את כלתו לעתיד להתעלם מנכותו – ר׳ </w:t>
      </w:r>
      <w:proofErr w:type="spellStart"/>
      <w:r>
        <w:rPr>
          <w:bCs/>
          <w:szCs w:val="26"/>
        </w:rPr>
        <w:t>דוד׳ל</w:t>
      </w:r>
      <w:proofErr w:type="spellEnd"/>
      <w:r>
        <w:rPr>
          <w:bCs/>
          <w:szCs w:val="26"/>
        </w:rPr>
        <w:t xml:space="preserve"> חושש מהגירה לארצות של התבוללות – ר׳ שמואל </w:t>
      </w:r>
      <w:proofErr w:type="spellStart"/>
      <w:r>
        <w:rPr>
          <w:bCs/>
          <w:szCs w:val="26"/>
        </w:rPr>
        <w:t>סלנט</w:t>
      </w:r>
      <w:proofErr w:type="spellEnd"/>
      <w:r>
        <w:rPr>
          <w:bCs/>
          <w:szCs w:val="26"/>
        </w:rPr>
        <w:t xml:space="preserve"> מסתכן ומסרב לחתום על חרם נגד לימוד שפות זרות – ר׳ </w:t>
      </w:r>
      <w:proofErr w:type="spellStart"/>
      <w:r>
        <w:rPr>
          <w:bCs/>
          <w:szCs w:val="26"/>
        </w:rPr>
        <w:t>דוד׳ל</w:t>
      </w:r>
      <w:proofErr w:type="spellEnd"/>
      <w:r>
        <w:rPr>
          <w:bCs/>
          <w:szCs w:val="26"/>
        </w:rPr>
        <w:t xml:space="preserve"> פרידמן תוקף בחריפות את גיסו – ר׳ </w:t>
      </w:r>
      <w:proofErr w:type="spellStart"/>
      <w:r>
        <w:rPr>
          <w:bCs/>
          <w:szCs w:val="26"/>
        </w:rPr>
        <w:t>דוד׳ל</w:t>
      </w:r>
      <w:proofErr w:type="spellEnd"/>
      <w:r>
        <w:rPr>
          <w:bCs/>
          <w:szCs w:val="26"/>
        </w:rPr>
        <w:t xml:space="preserve"> עסוק מכדי להמשיך לפתור בעיות מתמטיות – ר׳ </w:t>
      </w:r>
      <w:proofErr w:type="spellStart"/>
      <w:r>
        <w:rPr>
          <w:bCs/>
          <w:szCs w:val="26"/>
        </w:rPr>
        <w:t>נתן־נטע</w:t>
      </w:r>
      <w:proofErr w:type="spellEnd"/>
      <w:r>
        <w:rPr>
          <w:bCs/>
          <w:szCs w:val="26"/>
        </w:rPr>
        <w:t xml:space="preserve"> שפירא חוזר על ספר בלשון שאינה מוכרת לו – מגיד מתאר ביקור אצל ר׳ </w:t>
      </w:r>
      <w:proofErr w:type="spellStart"/>
      <w:r>
        <w:rPr>
          <w:bCs/>
          <w:szCs w:val="26"/>
        </w:rPr>
        <w:t>דוד׳ל</w:t>
      </w:r>
      <w:proofErr w:type="spellEnd"/>
      <w:r>
        <w:rPr>
          <w:bCs/>
          <w:szCs w:val="26"/>
        </w:rPr>
        <w:t xml:space="preserve"> באופן המניח את הדעת</w:t>
      </w:r>
    </w:p>
    <w:p w14:paraId="5009F40C" w14:textId="77777777" w:rsidR="00AB3647" w:rsidRDefault="00000000" w:rsidP="007923E9">
      <w:pPr>
        <w:spacing w:after="120" w:line="276" w:lineRule="auto"/>
        <w:ind w:firstLine="283"/>
        <w:jc w:val="both"/>
      </w:pPr>
      <w:r>
        <w:rPr>
          <w:rtl/>
        </w:rPr>
        <w:t xml:space="preserve">ר׳ </w:t>
      </w:r>
      <w:proofErr w:type="spellStart"/>
      <w:r>
        <w:rPr>
          <w:rtl/>
        </w:rPr>
        <w:t>שמרל</w:t>
      </w:r>
      <w:proofErr w:type="spellEnd"/>
      <w:r>
        <w:rPr>
          <w:rtl/>
        </w:rPr>
        <w:t xml:space="preserve"> לוריא האמיד </w:t>
      </w:r>
      <w:proofErr w:type="spellStart"/>
      <w:r>
        <w:rPr>
          <w:rtl/>
        </w:rPr>
        <w:t>ממוהילוב</w:t>
      </w:r>
      <w:proofErr w:type="spellEnd"/>
      <w:r>
        <w:rPr>
          <w:rtl/>
        </w:rPr>
        <w:t>, צאצא ישיר בדור העשירי של ר׳ שלמה לוריא (</w:t>
      </w:r>
      <w:proofErr w:type="spellStart"/>
      <w:r>
        <w:rPr>
          <w:rtl/>
        </w:rPr>
        <w:t>המהרש״ל</w:t>
      </w:r>
      <w:proofErr w:type="spellEnd"/>
      <w:r>
        <w:rPr>
          <w:rtl/>
        </w:rPr>
        <w:t xml:space="preserve">), זוכה לשבחים מפליגים בכלל </w:t>
      </w:r>
      <w:proofErr w:type="spellStart"/>
      <w:r>
        <w:rPr>
          <w:rtl/>
        </w:rPr>
        <w:t>ב“אהלי</w:t>
      </w:r>
      <w:proofErr w:type="spellEnd"/>
      <w:r>
        <w:rPr>
          <w:rtl/>
        </w:rPr>
        <w:t xml:space="preserve"> שם”</w:t>
      </w:r>
      <w:bookmarkStart w:id="5709" w:name="_fnr4345"/>
      <w:r>
        <w:rPr>
          <w:vertAlign w:val="superscript"/>
          <w:rtl/>
        </w:rPr>
        <w:footnoteReference w:id="4355" w:customMarkFollows="0"/>
      </w:r>
      <w:bookmarkEnd w:id="5709"/>
      <w:r>
        <w:rPr>
          <w:rtl/>
        </w:rPr>
        <w:t xml:space="preserve">, ומסופר שם שקידם את לימודיו של ר׳ </w:t>
      </w:r>
      <w:proofErr w:type="spellStart"/>
      <w:r>
        <w:rPr>
          <w:rtl/>
        </w:rPr>
        <w:t>דוד׳ל</w:t>
      </w:r>
      <w:proofErr w:type="spellEnd"/>
      <w:r>
        <w:rPr>
          <w:rtl/>
        </w:rPr>
        <w:t xml:space="preserve"> פרידמן, הן בתמיכה כספית והן בכך שהסדיר שגיסו ר׳ זלמן ריבלין משקלוב ידריך את פרידמן הצעיר </w:t>
      </w:r>
      <w:proofErr w:type="spellStart"/>
      <w:r>
        <w:rPr>
          <w:rtl/>
        </w:rPr>
        <w:t>ב“דרך</w:t>
      </w:r>
      <w:proofErr w:type="spellEnd"/>
      <w:r>
        <w:rPr>
          <w:rtl/>
        </w:rPr>
        <w:t xml:space="preserve"> הלמוד של </w:t>
      </w:r>
      <w:proofErr w:type="spellStart"/>
      <w:r>
        <w:rPr>
          <w:rtl/>
        </w:rPr>
        <w:t>הגר״א</w:t>
      </w:r>
      <w:proofErr w:type="spellEnd"/>
      <w:r>
        <w:rPr>
          <w:rtl/>
        </w:rPr>
        <w:t>”.</w:t>
      </w:r>
    </w:p>
    <w:p w14:paraId="28E451C5" w14:textId="77777777" w:rsidR="00AB3647" w:rsidRDefault="00000000" w:rsidP="007923E9">
      <w:pPr>
        <w:spacing w:after="120" w:line="276" w:lineRule="auto"/>
        <w:ind w:firstLine="283"/>
        <w:jc w:val="both"/>
      </w:pPr>
      <w:r>
        <w:rPr>
          <w:rtl/>
        </w:rPr>
        <w:t xml:space="preserve">ר׳ </w:t>
      </w:r>
      <w:proofErr w:type="spellStart"/>
      <w:r>
        <w:rPr>
          <w:rtl/>
        </w:rPr>
        <w:t>כתריאל־דוד</w:t>
      </w:r>
      <w:proofErr w:type="spellEnd"/>
      <w:r>
        <w:rPr>
          <w:rtl/>
        </w:rPr>
        <w:t xml:space="preserve"> קפלין סיפר</w:t>
      </w:r>
      <w:bookmarkStart w:id="5710" w:name="_fnr4346"/>
      <w:r>
        <w:rPr>
          <w:vertAlign w:val="superscript"/>
          <w:rtl/>
        </w:rPr>
        <w:footnoteReference w:id="4356" w:customMarkFollows="0"/>
      </w:r>
      <w:bookmarkEnd w:id="5710"/>
      <w:r>
        <w:rPr>
          <w:rtl/>
        </w:rPr>
        <w:t xml:space="preserve"> (בשם ר׳ גדליה </w:t>
      </w:r>
      <w:proofErr w:type="spellStart"/>
      <w:r>
        <w:rPr>
          <w:rtl/>
        </w:rPr>
        <w:t>רבינוביץ</w:t>
      </w:r>
      <w:proofErr w:type="spellEnd"/>
      <w:r>
        <w:rPr>
          <w:rtl/>
        </w:rPr>
        <w:t xml:space="preserve">) שכאשר הציג ר׳ </w:t>
      </w:r>
      <w:proofErr w:type="spellStart"/>
      <w:r>
        <w:rPr>
          <w:rtl/>
        </w:rPr>
        <w:t>שמרל</w:t>
      </w:r>
      <w:proofErr w:type="spellEnd"/>
      <w:r>
        <w:rPr>
          <w:rtl/>
        </w:rPr>
        <w:t xml:space="preserve"> את בתו האלגנטית בפני ר׳ </w:t>
      </w:r>
      <w:proofErr w:type="spellStart"/>
      <w:r>
        <w:rPr>
          <w:rtl/>
        </w:rPr>
        <w:t>דוד׳ל</w:t>
      </w:r>
      <w:proofErr w:type="spellEnd"/>
      <w:r>
        <w:rPr>
          <w:rtl/>
        </w:rPr>
        <w:t xml:space="preserve"> בן </w:t>
      </w:r>
      <w:proofErr w:type="spellStart"/>
      <w:r>
        <w:rPr>
          <w:rtl/>
        </w:rPr>
        <w:t>השבע־עשרה</w:t>
      </w:r>
      <w:proofErr w:type="spellEnd"/>
      <w:r>
        <w:rPr>
          <w:rtl/>
        </w:rPr>
        <w:t xml:space="preserve">, והיא ראתה את המחזר ננסי הגוף, התעלפה מרוב הלם, והספר שקראה נפל מידה. כשהתעוררה, ביקש ר׳ </w:t>
      </w:r>
      <w:proofErr w:type="spellStart"/>
      <w:r>
        <w:rPr>
          <w:rtl/>
        </w:rPr>
        <w:t>דוד׳ל</w:t>
      </w:r>
      <w:proofErr w:type="spellEnd"/>
      <w:r>
        <w:rPr>
          <w:rtl/>
        </w:rPr>
        <w:t xml:space="preserve"> מחותנו לעתיד רשות לדבר עם בתו ביחידות, והרשות ניתנה. הוא שאל את הצעירה מה קראה, והיא השיבה: “ספר ספרות צרפתית” – בבתים אמידים היה מקובל שהבנות קוראות ספרות יפה </w:t>
      </w:r>
      <w:proofErr w:type="spellStart"/>
      <w:r>
        <w:rPr>
          <w:rtl/>
        </w:rPr>
        <w:t>מערב־אירופית</w:t>
      </w:r>
      <w:proofErr w:type="spellEnd"/>
      <w:r>
        <w:rPr>
          <w:rtl/>
        </w:rPr>
        <w:t>. הוא ביקש ממנה לקרוא לפניו דף, ואז חזר עליו מילה במילה. המעשה שכנע אותה שהבחור הוא גאון עולם, והיא הסכימה להינשא לו. “</w:t>
      </w:r>
      <w:proofErr w:type="spellStart"/>
      <w:r>
        <w:rPr>
          <w:rtl/>
        </w:rPr>
        <w:t>אהלי</w:t>
      </w:r>
      <w:proofErr w:type="spellEnd"/>
      <w:r>
        <w:rPr>
          <w:rtl/>
        </w:rPr>
        <w:t xml:space="preserve"> שם”</w:t>
      </w:r>
      <w:bookmarkStart w:id="5711" w:name="_fnr4347"/>
      <w:r>
        <w:rPr>
          <w:vertAlign w:val="superscript"/>
          <w:rtl/>
        </w:rPr>
        <w:footnoteReference w:id="4357" w:customMarkFollows="0"/>
      </w:r>
      <w:bookmarkEnd w:id="5711"/>
      <w:r>
        <w:rPr>
          <w:rtl/>
        </w:rPr>
        <w:t xml:space="preserve"> מעיד על “</w:t>
      </w:r>
      <w:proofErr w:type="spellStart"/>
      <w:r>
        <w:rPr>
          <w:rtl/>
        </w:rPr>
        <w:t>האשה</w:t>
      </w:r>
      <w:proofErr w:type="spellEnd"/>
      <w:r>
        <w:rPr>
          <w:rtl/>
        </w:rPr>
        <w:t xml:space="preserve"> היקרה והנדיבה הרבנית מרת שרה ז״ל </w:t>
      </w:r>
      <w:proofErr w:type="spellStart"/>
      <w:r>
        <w:rPr>
          <w:rtl/>
        </w:rPr>
        <w:t>שהיתה</w:t>
      </w:r>
      <w:proofErr w:type="spellEnd"/>
      <w:r>
        <w:rPr>
          <w:rtl/>
        </w:rPr>
        <w:t xml:space="preserve"> עוזרתו ושומרת על צלו של גאון ישראל זה משך של שמונה וחמשים שנה. נפטרה בשם טוב ט״ו אלול שנת תרס״ד”.</w:t>
      </w:r>
    </w:p>
    <w:p w14:paraId="5A21AB23" w14:textId="77777777" w:rsidR="00AB3647" w:rsidRDefault="00000000" w:rsidP="007923E9">
      <w:pPr>
        <w:spacing w:after="120" w:line="276" w:lineRule="auto"/>
        <w:ind w:firstLine="283"/>
        <w:jc w:val="both"/>
      </w:pPr>
      <w:r>
        <w:rPr>
          <w:rtl/>
        </w:rPr>
        <w:t xml:space="preserve">מעשה דומה, שבו הצליח צעיר נכה מפורסם אחר לסגור את השידוך, עשה ר׳ חיים </w:t>
      </w:r>
      <w:proofErr w:type="spellStart"/>
      <w:r>
        <w:rPr>
          <w:rtl/>
        </w:rPr>
        <w:t>הלברשטם</w:t>
      </w:r>
      <w:proofErr w:type="spellEnd"/>
      <w:r>
        <w:rPr>
          <w:rtl/>
        </w:rPr>
        <w:t xml:space="preserve">, לימים רבה של </w:t>
      </w:r>
      <w:proofErr w:type="spellStart"/>
      <w:r>
        <w:rPr>
          <w:rtl/>
        </w:rPr>
        <w:t>צאנז</w:t>
      </w:r>
      <w:proofErr w:type="spellEnd"/>
      <w:r>
        <w:rPr>
          <w:rtl/>
        </w:rPr>
        <w:t xml:space="preserve"> ואבי שושלת חסידית.</w:t>
      </w:r>
    </w:p>
    <w:p w14:paraId="58AF3CDF" w14:textId="77777777" w:rsidR="00AB3647" w:rsidRDefault="00000000" w:rsidP="007923E9">
      <w:pPr>
        <w:spacing w:after="120" w:line="276" w:lineRule="auto"/>
        <w:ind w:firstLine="283"/>
        <w:jc w:val="both"/>
      </w:pPr>
      <w:r>
        <w:rPr>
          <w:rtl/>
        </w:rPr>
        <w:t xml:space="preserve">מסופר שבפגישתם הראשונה ראתה כלתו לעתיד שהוא צולע, וביקשה לבטל את האירוסין. הוא קיבל רשות מאביה ר׳ ברוך </w:t>
      </w:r>
      <w:proofErr w:type="spellStart"/>
      <w:r>
        <w:rPr>
          <w:rtl/>
        </w:rPr>
        <w:t>תאומים־פרנקל</w:t>
      </w:r>
      <w:bookmarkStart w:id="5712" w:name="_fnr4348"/>
      <w:proofErr w:type="spellEnd"/>
      <w:r>
        <w:rPr>
          <w:vertAlign w:val="superscript"/>
          <w:rtl/>
        </w:rPr>
        <w:footnoteReference w:id="4358" w:customMarkFollows="0"/>
      </w:r>
      <w:bookmarkEnd w:id="5712"/>
      <w:r>
        <w:rPr>
          <w:rtl/>
        </w:rPr>
        <w:t xml:space="preserve"> “לדבר עמה ביחידות כמה דקות, ולאחר שיחתם הקצרה יצאה בלב שמח ואמרה שהיא מסכימה בלב שלם להינשא לו. אין בידינו תיעוד </w:t>
      </w:r>
      <w:r>
        <w:rPr>
          <w:rtl/>
        </w:rPr>
        <w:lastRenderedPageBreak/>
        <w:t xml:space="preserve">למה שאמר לה בשיחה ההיא, אך מפי השמועה מסופר שאמר לה להביט במראה העומדת בחדר, והיא </w:t>
      </w:r>
      <w:proofErr w:type="spellStart"/>
      <w:r>
        <w:rPr>
          <w:rtl/>
        </w:rPr>
        <w:t>נזדעזעה</w:t>
      </w:r>
      <w:proofErr w:type="spellEnd"/>
      <w:r>
        <w:rPr>
          <w:rtl/>
        </w:rPr>
        <w:t xml:space="preserve"> לראות שהיא צולעת ברגל. אז הסביר: ‘דעי לך שאכן נגזר היה שתיוולדי כך, אבל מאחר שאני בן זוגך שנועד לך מן השמים, העברתי את הנכות אליי. לאור זה, האם עדיין תוכלי לסרב לי?!’”</w:t>
      </w:r>
      <w:bookmarkStart w:id="5713" w:name="_fnr4349"/>
      <w:r>
        <w:rPr>
          <w:vertAlign w:val="superscript"/>
          <w:rtl/>
        </w:rPr>
        <w:footnoteReference w:id="4359" w:customMarkFollows="0"/>
      </w:r>
      <w:bookmarkEnd w:id="5713"/>
    </w:p>
    <w:p w14:paraId="55BF2B13" w14:textId="77777777" w:rsidR="00AB3647" w:rsidRDefault="00000000" w:rsidP="007923E9">
      <w:pPr>
        <w:spacing w:after="120" w:line="276" w:lineRule="auto"/>
        <w:ind w:firstLine="283"/>
        <w:jc w:val="both"/>
      </w:pPr>
      <w:r>
        <w:rPr>
          <w:rtl/>
        </w:rPr>
        <w:t xml:space="preserve">תרגילו של ר׳ </w:t>
      </w:r>
      <w:proofErr w:type="spellStart"/>
      <w:r>
        <w:rPr>
          <w:rtl/>
        </w:rPr>
        <w:t>דוד׳ל</w:t>
      </w:r>
      <w:proofErr w:type="spellEnd"/>
      <w:r>
        <w:rPr>
          <w:rtl/>
        </w:rPr>
        <w:t xml:space="preserve"> </w:t>
      </w:r>
      <w:proofErr w:type="spellStart"/>
      <w:r>
        <w:rPr>
          <w:rtl/>
        </w:rPr>
        <w:t>קארלינער</w:t>
      </w:r>
      <w:proofErr w:type="spellEnd"/>
      <w:r>
        <w:rPr>
          <w:rtl/>
        </w:rPr>
        <w:t xml:space="preserve"> היה לכאורה הפגנה מבריקה של כוח זיכרון</w:t>
      </w:r>
      <w:bookmarkStart w:id="5714" w:name="_fnr4350"/>
      <w:r>
        <w:rPr>
          <w:vertAlign w:val="superscript"/>
          <w:rtl/>
        </w:rPr>
        <w:footnoteReference w:id="4360" w:customMarkFollows="0"/>
      </w:r>
      <w:bookmarkEnd w:id="5714"/>
      <w:r>
        <w:rPr>
          <w:rtl/>
        </w:rPr>
        <w:t xml:space="preserve">. אבל לפי טענת </w:t>
      </w:r>
      <w:proofErr w:type="spellStart"/>
      <w:r>
        <w:rPr>
          <w:rtl/>
        </w:rPr>
        <w:t>צינוביץ</w:t>
      </w:r>
      <w:proofErr w:type="spellEnd"/>
      <w:r>
        <w:rPr>
          <w:rtl/>
        </w:rPr>
        <w:t>, “אישים וקהילות”</w:t>
      </w:r>
      <w:bookmarkStart w:id="5715" w:name="_fnr4351"/>
      <w:r>
        <w:rPr>
          <w:vertAlign w:val="superscript"/>
          <w:rtl/>
        </w:rPr>
        <w:footnoteReference w:id="4361" w:customMarkFollows="0"/>
      </w:r>
      <w:bookmarkEnd w:id="5715"/>
      <w:r>
        <w:rPr>
          <w:rtl/>
        </w:rPr>
        <w:t xml:space="preserve">, היה ר׳ </w:t>
      </w:r>
      <w:proofErr w:type="spellStart"/>
      <w:r>
        <w:rPr>
          <w:rtl/>
        </w:rPr>
        <w:t>דוד׳ל</w:t>
      </w:r>
      <w:proofErr w:type="spellEnd"/>
      <w:r>
        <w:rPr>
          <w:rtl/>
        </w:rPr>
        <w:t xml:space="preserve"> בקיא </w:t>
      </w:r>
      <w:proofErr w:type="spellStart"/>
      <w:r>
        <w:rPr>
          <w:rtl/>
        </w:rPr>
        <w:t>ב“כמה</w:t>
      </w:r>
      <w:proofErr w:type="spellEnd"/>
      <w:r>
        <w:rPr>
          <w:rtl/>
        </w:rPr>
        <w:t xml:space="preserve"> לשונות זרות </w:t>
      </w:r>
      <w:proofErr w:type="spellStart"/>
      <w:r>
        <w:rPr>
          <w:rtl/>
        </w:rPr>
        <w:t>ובספרויותיהן</w:t>
      </w:r>
      <w:proofErr w:type="spellEnd"/>
      <w:r>
        <w:rPr>
          <w:rtl/>
        </w:rPr>
        <w:t>”, וייתכן שדווקא הפגנת ידיעותיו הרחבות היא שהכריעה את לב הצעירה.</w:t>
      </w:r>
    </w:p>
    <w:p w14:paraId="21E45F9B" w14:textId="77777777" w:rsidR="00AB3647" w:rsidRDefault="00000000" w:rsidP="007923E9">
      <w:pPr>
        <w:spacing w:after="120" w:line="276" w:lineRule="auto"/>
        <w:ind w:firstLine="283"/>
        <w:jc w:val="both"/>
      </w:pPr>
      <w:r>
        <w:rPr>
          <w:rtl/>
        </w:rPr>
        <w:t xml:space="preserve">אגב, ר׳ </w:t>
      </w:r>
      <w:proofErr w:type="spellStart"/>
      <w:r>
        <w:rPr>
          <w:rtl/>
        </w:rPr>
        <w:t>דוד׳ל</w:t>
      </w:r>
      <w:proofErr w:type="spellEnd"/>
      <w:r>
        <w:rPr>
          <w:rtl/>
        </w:rPr>
        <w:t xml:space="preserve"> תמך בהצעה שהועלתה באספת הרבנים בפטרבורג </w:t>
      </w:r>
      <w:proofErr w:type="spellStart"/>
      <w:r>
        <w:rPr>
          <w:rtl/>
        </w:rPr>
        <w:t>בתר״ע</w:t>
      </w:r>
      <w:proofErr w:type="spellEnd"/>
      <w:r>
        <w:rPr>
          <w:rtl/>
        </w:rPr>
        <w:t>, שהרבנים ילמדו את לשון המדינה</w:t>
      </w:r>
      <w:bookmarkStart w:id="5716" w:name="_fnr4352"/>
      <w:r>
        <w:rPr>
          <w:vertAlign w:val="superscript"/>
          <w:rtl/>
        </w:rPr>
        <w:footnoteReference w:id="4362" w:customMarkFollows="0"/>
      </w:r>
      <w:bookmarkEnd w:id="5716"/>
      <w:r>
        <w:rPr>
          <w:rtl/>
        </w:rPr>
        <w:t xml:space="preserve">. הוא גם התנגד לחרם שהכריז ר׳ </w:t>
      </w:r>
      <w:proofErr w:type="spellStart"/>
      <w:r>
        <w:rPr>
          <w:rtl/>
        </w:rPr>
        <w:t>יהושע־לייב</w:t>
      </w:r>
      <w:proofErr w:type="spellEnd"/>
      <w:r>
        <w:rPr>
          <w:rtl/>
        </w:rPr>
        <w:t xml:space="preserve"> דיסקין בירושלים עשרים ואחת שנה קודם לכן, </w:t>
      </w:r>
      <w:proofErr w:type="spellStart"/>
      <w:r>
        <w:rPr>
          <w:rtl/>
        </w:rPr>
        <w:t>בתרמ״ט</w:t>
      </w:r>
      <w:proofErr w:type="spellEnd"/>
      <w:r>
        <w:rPr>
          <w:rtl/>
        </w:rPr>
        <w:t xml:space="preserve">, על לימוד שפות זרות – לימוד שקידם שם גיסו של ר׳ </w:t>
      </w:r>
      <w:proofErr w:type="spellStart"/>
      <w:r>
        <w:rPr>
          <w:rtl/>
        </w:rPr>
        <w:t>דוד׳ל</w:t>
      </w:r>
      <w:proofErr w:type="spellEnd"/>
      <w:r>
        <w:rPr>
          <w:rtl/>
        </w:rPr>
        <w:t xml:space="preserve">, ר׳ </w:t>
      </w:r>
      <w:proofErr w:type="spellStart"/>
      <w:r>
        <w:rPr>
          <w:rtl/>
        </w:rPr>
        <w:t>יחיאל־מיכל</w:t>
      </w:r>
      <w:proofErr w:type="spellEnd"/>
      <w:r>
        <w:rPr>
          <w:rtl/>
        </w:rPr>
        <w:t xml:space="preserve"> פינס (תר״ג–תרע״ג)</w:t>
      </w:r>
      <w:bookmarkStart w:id="5717" w:name="_fnr4353"/>
      <w:r>
        <w:rPr>
          <w:vertAlign w:val="superscript"/>
          <w:rtl/>
        </w:rPr>
        <w:footnoteReference w:id="4363" w:customMarkFollows="0"/>
      </w:r>
      <w:bookmarkEnd w:id="5717"/>
      <w:r>
        <w:rPr>
          <w:rtl/>
        </w:rPr>
        <w:t>.</w:t>
      </w:r>
    </w:p>
    <w:p w14:paraId="51347FC5"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מנמק את התנגדותו </w:t>
      </w:r>
      <w:proofErr w:type="spellStart"/>
      <w:r>
        <w:rPr>
          <w:rtl/>
        </w:rPr>
        <w:t>ב“קונטרס</w:t>
      </w:r>
      <w:proofErr w:type="spellEnd"/>
      <w:r>
        <w:rPr>
          <w:rtl/>
        </w:rPr>
        <w:t xml:space="preserve"> עמק ברכה”</w:t>
      </w:r>
      <w:bookmarkStart w:id="5718" w:name="_fnr4354"/>
      <w:r>
        <w:rPr>
          <w:vertAlign w:val="superscript"/>
          <w:rtl/>
        </w:rPr>
        <w:footnoteReference w:id="4364" w:customMarkFollows="0"/>
      </w:r>
      <w:bookmarkEnd w:id="5718"/>
      <w:r>
        <w:rPr>
          <w:rtl/>
        </w:rPr>
        <w:t>: “מחמת החרם יימנעו רבים מן הנאלצים לעזוב את ארצותיהם כדי למצוא בתים ופרנסה מלעלות לארץ ישראל [שבה הייתה ידיעת שפות נחוצה כדי להתפרנס בכבוד]... ויתרה מזו, ילכו תחת זאת לאבד בין הגויים בקצות הימים, יפליגו למרחקים כדי למצוא מקום ישיבה באמריקה, באוסטרליה ובספרד” – כוונתו למושבות ספרד לשעבר בדרום אמריקה, ובייחוד לארגנטינה</w:t>
      </w:r>
      <w:bookmarkStart w:id="5719" w:name="_fnr4355"/>
      <w:r>
        <w:rPr>
          <w:vertAlign w:val="superscript"/>
          <w:rtl/>
        </w:rPr>
        <w:footnoteReference w:id="4365" w:customMarkFollows="0"/>
      </w:r>
      <w:bookmarkEnd w:id="5719"/>
      <w:r>
        <w:rPr>
          <w:rtl/>
        </w:rPr>
        <w:t xml:space="preserve"> – “ושם יתבוללו בין הגויים ויאבדו, חס ושלום. הוי ה׳, עד מתי לא תחוס על עמך הנבזז – הצאן הפזור, ישראל, הנפוץ בין האומות...?! חוס על עמך... והעלם אל נווה קודשך!” השווה גם “ארצות החיים”</w:t>
      </w:r>
      <w:bookmarkStart w:id="5720" w:name="_fnr4356"/>
      <w:r>
        <w:rPr>
          <w:vertAlign w:val="superscript"/>
          <w:rtl/>
        </w:rPr>
        <w:footnoteReference w:id="4366" w:customMarkFollows="0"/>
      </w:r>
      <w:bookmarkEnd w:id="5720"/>
      <w:r>
        <w:rPr>
          <w:rtl/>
        </w:rPr>
        <w:t xml:space="preserve">, המביא מכתב מאת ר׳ ישראל, האדמו״ר </w:t>
      </w:r>
      <w:proofErr w:type="spellStart"/>
      <w:r>
        <w:rPr>
          <w:rtl/>
        </w:rPr>
        <w:t>מרוז׳ין</w:t>
      </w:r>
      <w:proofErr w:type="spellEnd"/>
      <w:r>
        <w:rPr>
          <w:rtl/>
        </w:rPr>
        <w:t xml:space="preserve"> </w:t>
      </w:r>
      <w:proofErr w:type="spellStart"/>
      <w:r>
        <w:rPr>
          <w:rtl/>
        </w:rPr>
        <w:t>ומסדיגורה</w:t>
      </w:r>
      <w:bookmarkStart w:id="5721" w:name="_fnr4357"/>
      <w:proofErr w:type="spellEnd"/>
      <w:r>
        <w:rPr>
          <w:vertAlign w:val="superscript"/>
          <w:rtl/>
        </w:rPr>
        <w:footnoteReference w:id="4367" w:customMarkFollows="0"/>
      </w:r>
      <w:bookmarkEnd w:id="5721"/>
      <w:r>
        <w:rPr>
          <w:rtl/>
        </w:rPr>
        <w:t>: אם יאסור על חסידיו לעבור לאמריקה, ידרשו חלופה – ובאותה עת לא הייתה חלופה.</w:t>
      </w:r>
    </w:p>
    <w:p w14:paraId="661686D3" w14:textId="77777777" w:rsidR="00AB3647" w:rsidRDefault="00000000" w:rsidP="007923E9">
      <w:pPr>
        <w:spacing w:after="120" w:line="276" w:lineRule="auto"/>
        <w:ind w:firstLine="283"/>
        <w:jc w:val="both"/>
      </w:pPr>
      <w:r>
        <w:rPr>
          <w:rtl/>
        </w:rPr>
        <w:t xml:space="preserve">ואשר לחששו של ר׳ </w:t>
      </w:r>
      <w:proofErr w:type="spellStart"/>
      <w:r>
        <w:rPr>
          <w:rtl/>
        </w:rPr>
        <w:t>דוד׳ל</w:t>
      </w:r>
      <w:proofErr w:type="spellEnd"/>
      <w:r>
        <w:rPr>
          <w:rtl/>
        </w:rPr>
        <w:t xml:space="preserve"> שיהודים העוברים </w:t>
      </w:r>
      <w:proofErr w:type="spellStart"/>
      <w:r>
        <w:rPr>
          <w:rtl/>
        </w:rPr>
        <w:t>לספרד־ארגנטינה</w:t>
      </w:r>
      <w:proofErr w:type="spellEnd"/>
      <w:r>
        <w:rPr>
          <w:rtl/>
        </w:rPr>
        <w:t xml:space="preserve"> “יתבוללו בין הגויים”: מאמר של קלווין סימס מ־1996, “השמש שקעה על </w:t>
      </w:r>
      <w:proofErr w:type="spellStart"/>
      <w:r>
        <w:rPr>
          <w:rtl/>
        </w:rPr>
        <w:t>הגאוצ׳וס</w:t>
      </w:r>
      <w:proofErr w:type="spellEnd"/>
      <w:r>
        <w:rPr>
          <w:rtl/>
        </w:rPr>
        <w:t xml:space="preserve"> היהודים, אך המורשת חיה”</w:t>
      </w:r>
      <w:bookmarkStart w:id="5722" w:name="_fnr4358"/>
      <w:r>
        <w:rPr>
          <w:vertAlign w:val="superscript"/>
          <w:rtl/>
        </w:rPr>
        <w:footnoteReference w:id="4368" w:customMarkFollows="0"/>
      </w:r>
      <w:bookmarkEnd w:id="5722"/>
      <w:r>
        <w:rPr>
          <w:rtl/>
        </w:rPr>
        <w:t xml:space="preserve">, מגלה </w:t>
      </w:r>
      <w:proofErr w:type="spellStart"/>
      <w:r>
        <w:rPr>
          <w:rtl/>
        </w:rPr>
        <w:t>שבמויסס</w:t>
      </w:r>
      <w:proofErr w:type="spellEnd"/>
      <w:r>
        <w:rPr>
          <w:rtl/>
        </w:rPr>
        <w:t xml:space="preserve"> ויל (עיר משה) – שייסדו </w:t>
      </w:r>
      <w:proofErr w:type="spellStart"/>
      <w:r>
        <w:rPr>
          <w:rtl/>
        </w:rPr>
        <w:t>בתרמ״ט</w:t>
      </w:r>
      <w:proofErr w:type="spellEnd"/>
      <w:r>
        <w:rPr>
          <w:rtl/>
        </w:rPr>
        <w:t xml:space="preserve"> ראשוני המהגרים היהודים מרוסיה שנשלחו </w:t>
      </w:r>
      <w:r>
        <w:rPr>
          <w:rtl/>
        </w:rPr>
        <w:lastRenderedPageBreak/>
        <w:t xml:space="preserve">באמצעות </w:t>
      </w:r>
      <w:proofErr w:type="spellStart"/>
      <w:r>
        <w:rPr>
          <w:rtl/>
        </w:rPr>
        <w:t>יק״א</w:t>
      </w:r>
      <w:bookmarkStart w:id="5723" w:name="_fnr4359"/>
      <w:bookmarkEnd w:id="5723"/>
      <w:proofErr w:type="spellEnd"/>
      <w:r>
        <w:rPr>
          <w:rStyle w:val="a5"/>
        </w:rPr>
        <w:t/>
      </w:r>
      <w:bookmarkStart w:id="7046" w:name="_TranslatorNote_5399"/>
      <w:r>
        <w:rPr>
          <w:rStyle w:val="a5"/>
          <w:vertAlign w:val="superscript"/>
          <w:rtl/>
        </w:rPr>
        <w:footnoteReference w:id="4369" w:customMarkFollows="1"/>
        <w:t>*</w:t>
      </w:r>
      <w:bookmarkEnd w:id="7046"/>
      <w:bookmarkStart w:id="5724" w:name="_fnr4360"/>
      <w:r>
        <w:rPr>
          <w:vertAlign w:val="superscript"/>
          <w:rtl/>
        </w:rPr>
        <w:footnoteReference w:id="4370" w:customMarkFollows="0"/>
      </w:r>
      <w:bookmarkEnd w:id="5724"/>
      <w:r>
        <w:rPr>
          <w:rtl/>
        </w:rPr>
        <w:t xml:space="preserve">, כמושבה שכל תושביה יהודים – יש עתה רק “שלוש לידות יהודיות בשנה”, </w:t>
      </w:r>
      <w:proofErr w:type="spellStart"/>
      <w:r>
        <w:rPr>
          <w:rtl/>
        </w:rPr>
        <w:t>ו“רוב</w:t>
      </w:r>
      <w:proofErr w:type="spellEnd"/>
      <w:r>
        <w:rPr>
          <w:rtl/>
        </w:rPr>
        <w:t xml:space="preserve"> התושבים קתולים רומים”.</w:t>
      </w:r>
    </w:p>
    <w:p w14:paraId="093F39D4" w14:textId="77777777" w:rsidR="00AB3647" w:rsidRDefault="00000000" w:rsidP="007923E9">
      <w:pPr>
        <w:spacing w:after="120" w:line="276" w:lineRule="auto"/>
        <w:ind w:firstLine="283"/>
        <w:jc w:val="both"/>
      </w:pPr>
      <w:r>
        <w:rPr>
          <w:rtl/>
        </w:rPr>
        <w:t xml:space="preserve">נראה שגם ר׳ שמואל </w:t>
      </w:r>
      <w:proofErr w:type="spellStart"/>
      <w:r>
        <w:rPr>
          <w:rtl/>
        </w:rPr>
        <w:t>סלנט</w:t>
      </w:r>
      <w:proofErr w:type="spellEnd"/>
      <w:r>
        <w:rPr>
          <w:rtl/>
        </w:rPr>
        <w:t xml:space="preserve"> (תקע״ו–תרס״ט), רבה של ירושלים ומייסד ישיבת עץ חיים שבה, לא תמך בהטלת החרם. ר׳ חיים </w:t>
      </w:r>
      <w:proofErr w:type="spellStart"/>
      <w:r>
        <w:rPr>
          <w:rtl/>
        </w:rPr>
        <w:t>קרייזווירט</w:t>
      </w:r>
      <w:proofErr w:type="spellEnd"/>
      <w:r>
        <w:rPr>
          <w:rtl/>
        </w:rPr>
        <w:t xml:space="preserve"> סיפר בשם רבנו</w:t>
      </w:r>
      <w:bookmarkStart w:id="5725" w:name="_fnr4361"/>
      <w:r>
        <w:rPr>
          <w:vertAlign w:val="superscript"/>
          <w:rtl/>
        </w:rPr>
        <w:footnoteReference w:id="4371" w:customMarkFollows="0"/>
      </w:r>
      <w:bookmarkEnd w:id="5725"/>
      <w:r>
        <w:rPr>
          <w:rtl/>
        </w:rPr>
        <w:t xml:space="preserve"> שר׳ </w:t>
      </w:r>
      <w:proofErr w:type="spellStart"/>
      <w:r>
        <w:rPr>
          <w:rtl/>
        </w:rPr>
        <w:t>יהושע־לייב</w:t>
      </w:r>
      <w:proofErr w:type="spellEnd"/>
      <w:r>
        <w:rPr>
          <w:rtl/>
        </w:rPr>
        <w:t xml:space="preserve"> דיסקין שלח </w:t>
      </w:r>
      <w:proofErr w:type="spellStart"/>
      <w:r>
        <w:rPr>
          <w:rtl/>
        </w:rPr>
        <w:t>לר</w:t>
      </w:r>
      <w:proofErr w:type="spellEnd"/>
      <w:r>
        <w:rPr>
          <w:rtl/>
        </w:rPr>
        <w:t xml:space="preserve">׳ שמואל איגרת מסוימת – כנראה החרם על ר׳ </w:t>
      </w:r>
      <w:proofErr w:type="spellStart"/>
      <w:r>
        <w:rPr>
          <w:rtl/>
        </w:rPr>
        <w:t>יחיאל־מיכל</w:t>
      </w:r>
      <w:proofErr w:type="spellEnd"/>
      <w:r>
        <w:rPr>
          <w:rtl/>
        </w:rPr>
        <w:t xml:space="preserve"> פינס – כדי שיחתום עליה, והלה סירב. ר׳ </w:t>
      </w:r>
      <w:proofErr w:type="spellStart"/>
      <w:r>
        <w:rPr>
          <w:rtl/>
        </w:rPr>
        <w:t>יהושע־לייב</w:t>
      </w:r>
      <w:proofErr w:type="spellEnd"/>
      <w:r>
        <w:rPr>
          <w:rtl/>
        </w:rPr>
        <w:t xml:space="preserve"> הזהיר אותו שאם לא יחתום יאבד את חלקו בעולם הבא, אבל ר׳ שמואל השיב: “אינך בעל הבית של עולם הבא”. אז הכריז ר׳ </w:t>
      </w:r>
      <w:proofErr w:type="spellStart"/>
      <w:r>
        <w:rPr>
          <w:rtl/>
        </w:rPr>
        <w:t>יהושע־לייב</w:t>
      </w:r>
      <w:proofErr w:type="spellEnd"/>
      <w:r>
        <w:rPr>
          <w:rtl/>
        </w:rPr>
        <w:t xml:space="preserve">: “תהיה לך </w:t>
      </w:r>
      <w:proofErr w:type="spellStart"/>
      <w:r>
        <w:rPr>
          <w:rtl/>
        </w:rPr>
        <w:t>שווערע</w:t>
      </w:r>
      <w:proofErr w:type="spellEnd"/>
      <w:r>
        <w:rPr>
          <w:rtl/>
        </w:rPr>
        <w:t xml:space="preserve"> </w:t>
      </w:r>
      <w:proofErr w:type="spellStart"/>
      <w:r>
        <w:rPr>
          <w:rtl/>
        </w:rPr>
        <w:t>עלטער</w:t>
      </w:r>
      <w:proofErr w:type="spellEnd"/>
      <w:r>
        <w:rPr>
          <w:rtl/>
        </w:rPr>
        <w:t xml:space="preserve"> [זקנה קשה]”. ר׳ שמואל החל לבכות ואמר: “אני יכול לעבוד את ה׳ רק בראש שלי, לא בראש של ר׳ </w:t>
      </w:r>
      <w:proofErr w:type="spellStart"/>
      <w:r>
        <w:rPr>
          <w:rtl/>
        </w:rPr>
        <w:t>יהושע־לייב</w:t>
      </w:r>
      <w:proofErr w:type="spellEnd"/>
      <w:r>
        <w:rPr>
          <w:rtl/>
        </w:rPr>
        <w:t xml:space="preserve">”. והרב </w:t>
      </w:r>
      <w:proofErr w:type="spellStart"/>
      <w:r>
        <w:rPr>
          <w:rtl/>
        </w:rPr>
        <w:t>קרייזווירט</w:t>
      </w:r>
      <w:proofErr w:type="spellEnd"/>
      <w:r>
        <w:rPr>
          <w:rtl/>
        </w:rPr>
        <w:t xml:space="preserve"> הוסיף: “</w:t>
      </w:r>
      <w:proofErr w:type="spellStart"/>
      <w:r>
        <w:rPr>
          <w:rtl/>
        </w:rPr>
        <w:t>לר</w:t>
      </w:r>
      <w:proofErr w:type="spellEnd"/>
      <w:r>
        <w:rPr>
          <w:rtl/>
        </w:rPr>
        <w:t>׳ שמואל אכן הייתה זקנה קשה, ובכלל זה נעשה עיוור”.</w:t>
      </w:r>
    </w:p>
    <w:p w14:paraId="599A2014" w14:textId="77777777" w:rsidR="00AB3647" w:rsidRDefault="00000000" w:rsidP="007923E9">
      <w:pPr>
        <w:spacing w:after="120" w:line="276" w:lineRule="auto"/>
        <w:ind w:firstLine="283"/>
        <w:jc w:val="both"/>
      </w:pPr>
      <w:r>
        <w:rPr>
          <w:rtl/>
        </w:rPr>
        <w:t xml:space="preserve">ר׳ </w:t>
      </w:r>
      <w:proofErr w:type="spellStart"/>
      <w:r>
        <w:rPr>
          <w:rtl/>
        </w:rPr>
        <w:t>ניסן־אהרן</w:t>
      </w:r>
      <w:proofErr w:type="spellEnd"/>
      <w:r>
        <w:rPr>
          <w:rtl/>
        </w:rPr>
        <w:t xml:space="preserve"> </w:t>
      </w:r>
      <w:proofErr w:type="spellStart"/>
      <w:r>
        <w:rPr>
          <w:rtl/>
        </w:rPr>
        <w:t>טיקוצינסקי</w:t>
      </w:r>
      <w:proofErr w:type="spellEnd"/>
      <w:r>
        <w:rPr>
          <w:rtl/>
        </w:rPr>
        <w:t xml:space="preserve">, מצאצאי ר׳ שמואל </w:t>
      </w:r>
      <w:proofErr w:type="spellStart"/>
      <w:r>
        <w:rPr>
          <w:rtl/>
        </w:rPr>
        <w:t>סלנט</w:t>
      </w:r>
      <w:proofErr w:type="spellEnd"/>
      <w:r>
        <w:rPr>
          <w:rtl/>
        </w:rPr>
        <w:t xml:space="preserve">, נכח כשסיפר ר׳ חיים </w:t>
      </w:r>
      <w:proofErr w:type="spellStart"/>
      <w:r>
        <w:rPr>
          <w:rtl/>
        </w:rPr>
        <w:t>קרייזווירט</w:t>
      </w:r>
      <w:proofErr w:type="spellEnd"/>
      <w:r>
        <w:rPr>
          <w:rtl/>
        </w:rPr>
        <w:t xml:space="preserve"> את הדברים, והוסיף שר׳ שמואל אמר: “איך ווייס </w:t>
      </w:r>
      <w:proofErr w:type="spellStart"/>
      <w:r>
        <w:rPr>
          <w:rtl/>
        </w:rPr>
        <w:t>וואס</w:t>
      </w:r>
      <w:proofErr w:type="spellEnd"/>
      <w:r>
        <w:rPr>
          <w:rtl/>
        </w:rPr>
        <w:t xml:space="preserve"> איר </w:t>
      </w:r>
      <w:proofErr w:type="spellStart"/>
      <w:r>
        <w:rPr>
          <w:rtl/>
        </w:rPr>
        <w:t>מיינט</w:t>
      </w:r>
      <w:proofErr w:type="spellEnd"/>
      <w:r>
        <w:rPr>
          <w:rtl/>
        </w:rPr>
        <w:t xml:space="preserve">, אבער איך </w:t>
      </w:r>
      <w:proofErr w:type="spellStart"/>
      <w:r>
        <w:rPr>
          <w:rtl/>
        </w:rPr>
        <w:t>קען</w:t>
      </w:r>
      <w:proofErr w:type="spellEnd"/>
      <w:r>
        <w:rPr>
          <w:rtl/>
        </w:rPr>
        <w:t xml:space="preserve"> ניט [אני יודע למה אתם מתכוונים, אבל איני יכול לעשות זאת]”. משתמע מכך שר׳ שמואל הכיר בבעיה החמורה שבבתי הספר שהקים ר׳ </w:t>
      </w:r>
      <w:proofErr w:type="spellStart"/>
      <w:r>
        <w:rPr>
          <w:rtl/>
        </w:rPr>
        <w:t>יחיאל־מיכל</w:t>
      </w:r>
      <w:proofErr w:type="spellEnd"/>
      <w:r>
        <w:rPr>
          <w:rtl/>
        </w:rPr>
        <w:t xml:space="preserve"> פינס, וידע שבסירובו לחתום נגדם הוא עלול לסכן את ‘חלקו בעולם הבא׳, אבל שיקולים אחרים חייבו אותו להסתכן. השווה גם “עמוד אש”</w:t>
      </w:r>
      <w:bookmarkStart w:id="5726" w:name="_fnr4362"/>
      <w:r>
        <w:rPr>
          <w:vertAlign w:val="superscript"/>
          <w:rtl/>
        </w:rPr>
        <w:footnoteReference w:id="4372" w:customMarkFollows="0"/>
      </w:r>
      <w:bookmarkEnd w:id="5726"/>
      <w:r>
        <w:rPr>
          <w:rtl/>
        </w:rPr>
        <w:t>, שלפיו הקפידו מייסדי בתי הספר האלה על שמירת המצוות וחינכו לכך גם את תלמידיהם. וכפי שאמר לי ירושלמי אלמוני</w:t>
      </w:r>
      <w:bookmarkStart w:id="5727" w:name="_fnr4363"/>
      <w:r>
        <w:rPr>
          <w:vertAlign w:val="superscript"/>
          <w:rtl/>
        </w:rPr>
        <w:footnoteReference w:id="4373" w:customMarkFollows="0"/>
      </w:r>
      <w:bookmarkEnd w:id="5727"/>
      <w:r>
        <w:rPr>
          <w:rtl/>
        </w:rPr>
        <w:t>: “היה צריך רוח הקודש כדי לראות דבר רע בבתי הספר הללו”. ייתכן, כמובן, שרוח הקודש הזאת הגשימה את עצמה, כשילדי הבתים הטובים יותר לא נרשמו לבתי הספר השנויים במחלוקת.</w:t>
      </w:r>
    </w:p>
    <w:p w14:paraId="08CD8399" w14:textId="77777777" w:rsidR="00AB3647" w:rsidRDefault="00000000" w:rsidP="007923E9">
      <w:pPr>
        <w:spacing w:after="120" w:line="276" w:lineRule="auto"/>
        <w:ind w:firstLine="283"/>
        <w:jc w:val="both"/>
      </w:pPr>
      <w:r>
        <w:rPr>
          <w:rtl/>
        </w:rPr>
        <w:t xml:space="preserve">שמא יחשוב אדם שר׳ </w:t>
      </w:r>
      <w:proofErr w:type="spellStart"/>
      <w:r>
        <w:rPr>
          <w:rtl/>
        </w:rPr>
        <w:t>דוד׳ל</w:t>
      </w:r>
      <w:proofErr w:type="spellEnd"/>
      <w:r>
        <w:rPr>
          <w:rtl/>
        </w:rPr>
        <w:t xml:space="preserve"> נתן אמון עיוור בגיסו ר׳ </w:t>
      </w:r>
      <w:proofErr w:type="spellStart"/>
      <w:r>
        <w:rPr>
          <w:rtl/>
        </w:rPr>
        <w:t>יחיאל־מיכל</w:t>
      </w:r>
      <w:proofErr w:type="spellEnd"/>
      <w:r>
        <w:rPr>
          <w:rtl/>
        </w:rPr>
        <w:t xml:space="preserve"> פינס – לאחרונה התגלה מכתב ביקורתי מאוד ששלח אליו ר׳ </w:t>
      </w:r>
      <w:proofErr w:type="spellStart"/>
      <w:r>
        <w:rPr>
          <w:rtl/>
        </w:rPr>
        <w:t>דוד׳ל</w:t>
      </w:r>
      <w:proofErr w:type="spellEnd"/>
      <w:r>
        <w:rPr>
          <w:rtl/>
        </w:rPr>
        <w:t xml:space="preserve"> (מתאריך י״ד בשבט תרנ״ד), שלוש שנים לאחר פרסום “קונטרס עמק ברכה”</w:t>
      </w:r>
      <w:bookmarkStart w:id="5728" w:name="_fnr4364"/>
      <w:bookmarkStart w:id="5729" w:name="pr_f_4247"/>
      <w:r>
        <w:rPr>
          <w:vertAlign w:val="superscript"/>
          <w:rtl/>
        </w:rPr>
        <w:footnoteReference w:id="4374" w:customMarkFollows="0"/>
      </w:r>
      <w:bookmarkEnd w:id="5728"/>
      <w:bookmarkEnd w:id="5729"/>
      <w:r>
        <w:rPr>
          <w:rtl/>
        </w:rPr>
        <w:t xml:space="preserve">. ר׳ </w:t>
      </w:r>
      <w:proofErr w:type="spellStart"/>
      <w:r>
        <w:rPr>
          <w:rtl/>
        </w:rPr>
        <w:t>דוד׳ל</w:t>
      </w:r>
      <w:proofErr w:type="spellEnd"/>
      <w:r>
        <w:rPr>
          <w:rtl/>
        </w:rPr>
        <w:t xml:space="preserve"> מסר לגיסו מקצת כתביו, ובהם קונטרס שלא נועד לפרסום בעניין קיום השמיטה בזמן הזה. בשאלה כיצד צריכים חקלאי ארץ ישראל לנהוג </w:t>
      </w:r>
      <w:proofErr w:type="spellStart"/>
      <w:r>
        <w:rPr>
          <w:rtl/>
        </w:rPr>
        <w:t>ב“שנה</w:t>
      </w:r>
      <w:proofErr w:type="spellEnd"/>
      <w:r>
        <w:rPr>
          <w:rtl/>
        </w:rPr>
        <w:t xml:space="preserve"> השביעית” שחלה </w:t>
      </w:r>
      <w:proofErr w:type="spellStart"/>
      <w:r>
        <w:rPr>
          <w:rtl/>
        </w:rPr>
        <w:t>בתרמ״ט</w:t>
      </w:r>
      <w:proofErr w:type="spellEnd"/>
      <w:r>
        <w:rPr>
          <w:rtl/>
        </w:rPr>
        <w:t xml:space="preserve"> נחלקו הרבנים: כמה מגדולי הרבנים, ר׳ </w:t>
      </w:r>
      <w:proofErr w:type="spellStart"/>
      <w:r>
        <w:rPr>
          <w:rtl/>
        </w:rPr>
        <w:t>יצחק־אלחנן</w:t>
      </w:r>
      <w:proofErr w:type="spellEnd"/>
      <w:r>
        <w:rPr>
          <w:rtl/>
        </w:rPr>
        <w:t xml:space="preserve"> </w:t>
      </w:r>
      <w:proofErr w:type="spellStart"/>
      <w:r>
        <w:rPr>
          <w:rtl/>
        </w:rPr>
        <w:t>ספקטור</w:t>
      </w:r>
      <w:proofErr w:type="spellEnd"/>
      <w:r>
        <w:rPr>
          <w:rtl/>
        </w:rPr>
        <w:t xml:space="preserve"> ור׳ </w:t>
      </w:r>
      <w:proofErr w:type="spellStart"/>
      <w:r>
        <w:rPr>
          <w:rtl/>
        </w:rPr>
        <w:t>יהושע׳לה</w:t>
      </w:r>
      <w:proofErr w:type="spellEnd"/>
      <w:r>
        <w:rPr>
          <w:rtl/>
        </w:rPr>
        <w:t xml:space="preserve"> מקוטנה, התירו את מכירת הקרקע לנכרים, ואילו אחרים, ר׳ יוסף־דב </w:t>
      </w:r>
      <w:proofErr w:type="spellStart"/>
      <w:r>
        <w:rPr>
          <w:rtl/>
        </w:rPr>
        <w:t>סולובייצ׳יק</w:t>
      </w:r>
      <w:proofErr w:type="spellEnd"/>
      <w:r>
        <w:rPr>
          <w:rtl/>
        </w:rPr>
        <w:t xml:space="preserve"> </w:t>
      </w:r>
      <w:proofErr w:type="spellStart"/>
      <w:r>
        <w:rPr>
          <w:rtl/>
        </w:rPr>
        <w:t>והנצי״ב</w:t>
      </w:r>
      <w:bookmarkStart w:id="5730" w:name="_fnr4365"/>
      <w:proofErr w:type="spellEnd"/>
      <w:r>
        <w:rPr>
          <w:vertAlign w:val="superscript"/>
          <w:rtl/>
        </w:rPr>
        <w:footnoteReference w:id="4375" w:customMarkFollows="0"/>
      </w:r>
      <w:bookmarkEnd w:id="5730"/>
      <w:r>
        <w:rPr>
          <w:rtl/>
        </w:rPr>
        <w:t xml:space="preserve">, אסרו. במחלוקת זו ביקש ר׳ </w:t>
      </w:r>
      <w:proofErr w:type="spellStart"/>
      <w:r>
        <w:rPr>
          <w:rtl/>
        </w:rPr>
        <w:t>יחיאל־מיכל</w:t>
      </w:r>
      <w:proofErr w:type="spellEnd"/>
      <w:r>
        <w:rPr>
          <w:rtl/>
        </w:rPr>
        <w:t xml:space="preserve"> לפרסם קולות מסוימות שהציע ר׳ </w:t>
      </w:r>
      <w:proofErr w:type="spellStart"/>
      <w:r>
        <w:rPr>
          <w:rtl/>
        </w:rPr>
        <w:t>דוד׳ל</w:t>
      </w:r>
      <w:proofErr w:type="spellEnd"/>
      <w:r>
        <w:rPr>
          <w:rtl/>
        </w:rPr>
        <w:t xml:space="preserve"> </w:t>
      </w:r>
      <w:proofErr w:type="spellStart"/>
      <w:r>
        <w:rPr>
          <w:rtl/>
        </w:rPr>
        <w:t>בקונטרסו</w:t>
      </w:r>
      <w:proofErr w:type="spellEnd"/>
      <w:r>
        <w:rPr>
          <w:rtl/>
        </w:rPr>
        <w:t>, אף שהמחבר הורה מלכתחילה, במפורש, שלא לפרסמו.</w:t>
      </w:r>
    </w:p>
    <w:p w14:paraId="4F3E4060" w14:textId="77777777" w:rsidR="00AB3647" w:rsidRDefault="00000000" w:rsidP="007923E9">
      <w:pPr>
        <w:spacing w:after="120" w:line="276" w:lineRule="auto"/>
        <w:ind w:firstLine="283"/>
        <w:jc w:val="both"/>
      </w:pPr>
      <w:r>
        <w:rPr>
          <w:rtl/>
        </w:rPr>
        <w:lastRenderedPageBreak/>
        <w:t xml:space="preserve">ר׳ </w:t>
      </w:r>
      <w:proofErr w:type="spellStart"/>
      <w:r>
        <w:rPr>
          <w:rtl/>
        </w:rPr>
        <w:t>דוד׳ל</w:t>
      </w:r>
      <w:proofErr w:type="spellEnd"/>
      <w:r>
        <w:rPr>
          <w:rtl/>
        </w:rPr>
        <w:t xml:space="preserve"> הסביר שאינו חושש לחלוק על הרבנים שהחמירו ממנו, אבל לדעתו קולותיו אינן מבוססות היטב בהלכה. כשפרסם לבסוף ר׳ </w:t>
      </w:r>
      <w:proofErr w:type="spellStart"/>
      <w:r>
        <w:rPr>
          <w:rtl/>
        </w:rPr>
        <w:t>דוד׳ל</w:t>
      </w:r>
      <w:proofErr w:type="spellEnd"/>
      <w:r>
        <w:rPr>
          <w:rtl/>
        </w:rPr>
        <w:t xml:space="preserve"> עצמו את הקונטרס, הוסיף את המסקנה </w:t>
      </w:r>
      <w:proofErr w:type="spellStart"/>
      <w:r>
        <w:rPr>
          <w:rtl/>
        </w:rPr>
        <w:t>ש“תונח</w:t>
      </w:r>
      <w:proofErr w:type="spellEnd"/>
      <w:r>
        <w:rPr>
          <w:rtl/>
        </w:rPr>
        <w:t xml:space="preserve"> </w:t>
      </w:r>
      <w:proofErr w:type="spellStart"/>
      <w:r>
        <w:rPr>
          <w:rtl/>
        </w:rPr>
        <w:t>הקולא</w:t>
      </w:r>
      <w:proofErr w:type="spellEnd"/>
      <w:r>
        <w:rPr>
          <w:rtl/>
        </w:rPr>
        <w:t xml:space="preserve"> בצד ולא תיאמר עוד”. ר׳ </w:t>
      </w:r>
      <w:proofErr w:type="spellStart"/>
      <w:r>
        <w:rPr>
          <w:rtl/>
        </w:rPr>
        <w:t>דוד׳ל</w:t>
      </w:r>
      <w:proofErr w:type="spellEnd"/>
      <w:r>
        <w:rPr>
          <w:rtl/>
        </w:rPr>
        <w:t xml:space="preserve"> התייחס גם למשפט מסוים בעניין השמיטה שכתב לו גיסו: “לא יוכל העולם להתקיים [בזמן הזה] אם יישמרו דיני השמיטה”. גישה זו הרגיזה אותו, והוא כתב: “אני מצטער מאוד לראות כיצד המים הרעים ששתית בנעוריך מן הספרים של ההשכלה שקראת הפכו את קרביך </w:t>
      </w:r>
      <w:proofErr w:type="spellStart"/>
      <w:r>
        <w:rPr>
          <w:rtl/>
        </w:rPr>
        <w:t>למרורת</w:t>
      </w:r>
      <w:proofErr w:type="spellEnd"/>
      <w:r>
        <w:rPr>
          <w:rtl/>
        </w:rPr>
        <w:t xml:space="preserve"> פתנים”</w:t>
      </w:r>
      <w:bookmarkStart w:id="5731" w:name="_fnr4366"/>
      <w:r>
        <w:rPr>
          <w:vertAlign w:val="superscript"/>
          <w:rtl/>
        </w:rPr>
        <w:footnoteReference w:id="4376" w:customMarkFollows="0"/>
      </w:r>
      <w:bookmarkEnd w:id="5731"/>
      <w:r>
        <w:rPr>
          <w:rtl/>
        </w:rPr>
        <w:t>.</w:t>
      </w:r>
    </w:p>
    <w:p w14:paraId="22387AC5" w14:textId="77777777" w:rsidR="00AB3647" w:rsidRDefault="00000000" w:rsidP="007923E9">
      <w:pPr>
        <w:spacing w:after="120" w:line="276" w:lineRule="auto"/>
        <w:ind w:firstLine="283"/>
        <w:jc w:val="both"/>
      </w:pPr>
      <w:r>
        <w:rPr>
          <w:rtl/>
        </w:rPr>
        <w:t xml:space="preserve">מעשה מעניין על יחסו של ר׳ </w:t>
      </w:r>
      <w:proofErr w:type="spellStart"/>
      <w:r>
        <w:rPr>
          <w:rtl/>
        </w:rPr>
        <w:t>דוד׳ל</w:t>
      </w:r>
      <w:proofErr w:type="spellEnd"/>
      <w:r>
        <w:rPr>
          <w:rtl/>
        </w:rPr>
        <w:t xml:space="preserve"> לידיעות חילוניות סיפר ר׳ אלי׳ </w:t>
      </w:r>
      <w:proofErr w:type="spellStart"/>
      <w:r>
        <w:rPr>
          <w:rtl/>
        </w:rPr>
        <w:t>קושלבסקי</w:t>
      </w:r>
      <w:bookmarkStart w:id="5732" w:name="_fnr4367"/>
      <w:proofErr w:type="spellEnd"/>
      <w:r>
        <w:rPr>
          <w:vertAlign w:val="superscript"/>
          <w:rtl/>
        </w:rPr>
        <w:footnoteReference w:id="4377" w:customMarkFollows="0"/>
      </w:r>
      <w:bookmarkEnd w:id="5732"/>
      <w:r>
        <w:rPr>
          <w:rtl/>
        </w:rPr>
        <w:t xml:space="preserve">. הוא שמע אותו ארבעים וחמש שנה קודם לכן מרופא שיניים בברונקס, יליד </w:t>
      </w:r>
      <w:proofErr w:type="spellStart"/>
      <w:r>
        <w:rPr>
          <w:rtl/>
        </w:rPr>
        <w:t>קרלין</w:t>
      </w:r>
      <w:proofErr w:type="spellEnd"/>
      <w:r>
        <w:rPr>
          <w:rtl/>
        </w:rPr>
        <w:t xml:space="preserve">, שהיה עד למאורע. רופא השיניים היה חבר של אחיין של ר׳ </w:t>
      </w:r>
      <w:proofErr w:type="spellStart"/>
      <w:r>
        <w:rPr>
          <w:rtl/>
        </w:rPr>
        <w:t>דוד׳ל</w:t>
      </w:r>
      <w:proofErr w:type="spellEnd"/>
      <w:r>
        <w:rPr>
          <w:rtl/>
        </w:rPr>
        <w:t xml:space="preserve">, והאחיין הזמינו לבוא עמו לבית דודו ולראות מחזה </w:t>
      </w:r>
      <w:proofErr w:type="spellStart"/>
      <w:r>
        <w:rPr>
          <w:rtl/>
        </w:rPr>
        <w:t>בלתי־רגיל</w:t>
      </w:r>
      <w:proofErr w:type="spellEnd"/>
      <w:r>
        <w:rPr>
          <w:rtl/>
        </w:rPr>
        <w:t xml:space="preserve">. הם מצאו שם את בני ר׳ </w:t>
      </w:r>
      <w:proofErr w:type="spellStart"/>
      <w:r>
        <w:rPr>
          <w:rtl/>
        </w:rPr>
        <w:t>דוד׳ל</w:t>
      </w:r>
      <w:proofErr w:type="spellEnd"/>
      <w:r>
        <w:rPr>
          <w:rtl/>
        </w:rPr>
        <w:t xml:space="preserve"> ממתינים לסטודנט </w:t>
      </w:r>
      <w:proofErr w:type="spellStart"/>
      <w:r>
        <w:rPr>
          <w:rtl/>
        </w:rPr>
        <w:t>נכרי</w:t>
      </w:r>
      <w:proofErr w:type="spellEnd"/>
      <w:r>
        <w:rPr>
          <w:rtl/>
        </w:rPr>
        <w:t xml:space="preserve"> שגייסו כדי לשכנע את אביהם שהידיעות החילוניות חשובות. הסטודנט בא, וכתב </w:t>
      </w:r>
      <w:proofErr w:type="spellStart"/>
      <w:r>
        <w:rPr>
          <w:rtl/>
        </w:rPr>
        <w:t>לר</w:t>
      </w:r>
      <w:proofErr w:type="spellEnd"/>
      <w:r>
        <w:rPr>
          <w:rtl/>
        </w:rPr>
        <w:t xml:space="preserve">׳ </w:t>
      </w:r>
      <w:proofErr w:type="spellStart"/>
      <w:r>
        <w:rPr>
          <w:rtl/>
        </w:rPr>
        <w:t>דוד׳ל</w:t>
      </w:r>
      <w:proofErr w:type="spellEnd"/>
      <w:r>
        <w:rPr>
          <w:rtl/>
        </w:rPr>
        <w:t xml:space="preserve"> בעיה מתמטית קשה. החכם נטל את פיסת הנייר, נכנס לספריית ספרי הקודש שלו וחזר מיד עם הפתרון. אז נתן לו הסטודנט בעיה נוספת, והדבר חזר על עצמו. כשביקש הסטודנט לתת לו בעיה שלישית, דחהו ר׳ </w:t>
      </w:r>
      <w:proofErr w:type="spellStart"/>
      <w:r>
        <w:rPr>
          <w:rtl/>
        </w:rPr>
        <w:t>דוד׳ל</w:t>
      </w:r>
      <w:proofErr w:type="spellEnd"/>
      <w:r>
        <w:rPr>
          <w:rtl/>
        </w:rPr>
        <w:t xml:space="preserve"> בתנועת יד ושב ללימודו.</w:t>
      </w:r>
    </w:p>
    <w:p w14:paraId="6BCA8D83" w14:textId="77777777" w:rsidR="00AB3647" w:rsidRDefault="00000000" w:rsidP="007923E9">
      <w:pPr>
        <w:spacing w:after="120" w:line="276" w:lineRule="auto"/>
        <w:ind w:firstLine="283"/>
        <w:jc w:val="both"/>
      </w:pPr>
      <w:r>
        <w:rPr>
          <w:rtl/>
        </w:rPr>
        <w:t xml:space="preserve">השווה גם “עובדות והנהגות לבית </w:t>
      </w:r>
      <w:proofErr w:type="spellStart"/>
      <w:r>
        <w:rPr>
          <w:rtl/>
        </w:rPr>
        <w:t>בריסק</w:t>
      </w:r>
      <w:proofErr w:type="spellEnd"/>
      <w:r>
        <w:rPr>
          <w:rtl/>
        </w:rPr>
        <w:t>”</w:t>
      </w:r>
      <w:bookmarkStart w:id="5733" w:name="_fnr4368"/>
      <w:r>
        <w:rPr>
          <w:vertAlign w:val="superscript"/>
          <w:rtl/>
        </w:rPr>
        <w:footnoteReference w:id="4378" w:customMarkFollows="0"/>
      </w:r>
      <w:bookmarkEnd w:id="5733"/>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סבו ר׳ חיים שהה בוורשה, ונזקק לשליח למשימה חשובה. באכסנייתו לא היה איש פנוי מלבד סטודנט, וזה סירב מפני שהיה עליו להגיש עבודה ללימודיו. ר׳ חיים אמר לצעיר להשאיר אצלו את מחברתו, והבטיח לעשות במקומו את התרגיל – וכך עשה</w:t>
      </w:r>
      <w:bookmarkStart w:id="5734" w:name="_fnr4369"/>
      <w:bookmarkStart w:id="5735" w:name="pr_f_4252"/>
      <w:r>
        <w:rPr>
          <w:vertAlign w:val="superscript"/>
          <w:rtl/>
        </w:rPr>
        <w:footnoteReference w:id="4379" w:customMarkFollows="0"/>
      </w:r>
      <w:bookmarkEnd w:id="5734"/>
      <w:bookmarkEnd w:id="5735"/>
      <w:r>
        <w:rPr>
          <w:rtl/>
        </w:rPr>
        <w:t>. הסיפור מסתיים בכך שכשהגיש הסטודנט את העבודה למחרת, אמרו לו מוריו שהתשובות טובות מכדי שהגיע אליהן לבדו.</w:t>
      </w:r>
    </w:p>
    <w:p w14:paraId="54A3D266" w14:textId="77777777" w:rsidR="00AB3647" w:rsidRDefault="00000000" w:rsidP="007923E9">
      <w:pPr>
        <w:spacing w:after="120" w:line="276" w:lineRule="auto"/>
        <w:ind w:firstLine="283"/>
        <w:jc w:val="both"/>
      </w:pPr>
      <w:r>
        <w:rPr>
          <w:rtl/>
        </w:rPr>
        <w:t xml:space="preserve">גם אם הישג הזיכרון של ר׳ </w:t>
      </w:r>
      <w:proofErr w:type="spellStart"/>
      <w:r>
        <w:rPr>
          <w:rtl/>
        </w:rPr>
        <w:t>דוד׳ל</w:t>
      </w:r>
      <w:proofErr w:type="spellEnd"/>
      <w:r>
        <w:rPr>
          <w:rtl/>
        </w:rPr>
        <w:t xml:space="preserve"> למען כלתו לעתיד לא נעשה בלשון שאינה מוכרת לו, סיפור כזה מסופר גם על גדול תורה קדום בהרבה, ר׳ </w:t>
      </w:r>
      <w:proofErr w:type="spellStart"/>
      <w:r>
        <w:rPr>
          <w:rtl/>
        </w:rPr>
        <w:t>נתן־נטע</w:t>
      </w:r>
      <w:proofErr w:type="spellEnd"/>
      <w:r>
        <w:rPr>
          <w:rtl/>
        </w:rPr>
        <w:t xml:space="preserve"> שפירא, בעל “מגלה עמוקות” (שמ״ה–שצ״ג)</w:t>
      </w:r>
      <w:bookmarkStart w:id="5736" w:name="_fnr4370"/>
      <w:r>
        <w:rPr>
          <w:vertAlign w:val="superscript"/>
          <w:rtl/>
        </w:rPr>
        <w:footnoteReference w:id="4380" w:customMarkFollows="0"/>
      </w:r>
      <w:bookmarkEnd w:id="5736"/>
      <w:r>
        <w:rPr>
          <w:rtl/>
        </w:rPr>
        <w:t xml:space="preserve">. בנו של אותו גאון, “ר׳ שלמה, רב וראש ישיבה בעיר </w:t>
      </w:r>
      <w:proofErr w:type="spellStart"/>
      <w:r>
        <w:rPr>
          <w:rtl/>
        </w:rPr>
        <w:t>סטנוב</w:t>
      </w:r>
      <w:proofErr w:type="spellEnd"/>
      <w:r>
        <w:rPr>
          <w:rtl/>
        </w:rPr>
        <w:t xml:space="preserve">”, סיפר שכאשר היה אביו בן </w:t>
      </w:r>
      <w:proofErr w:type="spellStart"/>
      <w:r>
        <w:rPr>
          <w:rtl/>
        </w:rPr>
        <w:t>חמש־עשרה</w:t>
      </w:r>
      <w:proofErr w:type="spellEnd"/>
      <w:r>
        <w:rPr>
          <w:rtl/>
        </w:rPr>
        <w:t>, הגיע שמע זיכרונו המופלא לאוזני הנסיך הפולני ששלט בעיר מגוריו.</w:t>
      </w:r>
    </w:p>
    <w:p w14:paraId="2BCB7DFB" w14:textId="77777777" w:rsidR="00AB3647" w:rsidRDefault="00000000" w:rsidP="007923E9">
      <w:pPr>
        <w:spacing w:after="120" w:line="276" w:lineRule="auto"/>
        <w:ind w:firstLine="283"/>
        <w:jc w:val="both"/>
      </w:pPr>
      <w:r>
        <w:rPr>
          <w:rtl/>
        </w:rPr>
        <w:lastRenderedPageBreak/>
        <w:t xml:space="preserve">הנסיך ציווה להביא לפניו את ר׳ </w:t>
      </w:r>
      <w:proofErr w:type="spellStart"/>
      <w:r>
        <w:rPr>
          <w:rtl/>
        </w:rPr>
        <w:t>נתן־נטע</w:t>
      </w:r>
      <w:proofErr w:type="spellEnd"/>
      <w:r>
        <w:rPr>
          <w:rtl/>
        </w:rPr>
        <w:t xml:space="preserve">, והחל לקרוא לפניו ספר בצרפתית. באמצע הקריאה הניח ר׳ </w:t>
      </w:r>
      <w:proofErr w:type="spellStart"/>
      <w:r>
        <w:rPr>
          <w:rtl/>
        </w:rPr>
        <w:t>נתן־נטע</w:t>
      </w:r>
      <w:proofErr w:type="spellEnd"/>
      <w:r>
        <w:rPr>
          <w:rtl/>
        </w:rPr>
        <w:t xml:space="preserve"> את ראשו על זרועו, והנסיך פנה אל חותנו של הצעיר ושאל בפולנית: “האם נרדם?” החותן נענע בראשו לשלילה, והנסיך המשיך לקרוא. כשסיים, חזר ר׳ </w:t>
      </w:r>
      <w:proofErr w:type="spellStart"/>
      <w:r>
        <w:rPr>
          <w:rtl/>
        </w:rPr>
        <w:t>נתן־נטע</w:t>
      </w:r>
      <w:proofErr w:type="spellEnd"/>
      <w:r>
        <w:rPr>
          <w:rtl/>
        </w:rPr>
        <w:t xml:space="preserve"> על הספר כולו בלשון שלא הכיר, ובכלל זה על המילים “האם נרדם?” בפולנית – לשון שגם אותה לא דיבר: ר׳ </w:t>
      </w:r>
      <w:proofErr w:type="spellStart"/>
      <w:r>
        <w:rPr>
          <w:rtl/>
        </w:rPr>
        <w:t>נתן־נטע</w:t>
      </w:r>
      <w:proofErr w:type="spellEnd"/>
      <w:r>
        <w:rPr>
          <w:rtl/>
        </w:rPr>
        <w:t xml:space="preserve"> סבר שגם מילים אלה כתובות בספר.</w:t>
      </w:r>
    </w:p>
    <w:p w14:paraId="38ACC161" w14:textId="77777777" w:rsidR="00AB3647" w:rsidRDefault="00000000" w:rsidP="007923E9">
      <w:pPr>
        <w:spacing w:after="120" w:line="276" w:lineRule="auto"/>
        <w:ind w:firstLine="283"/>
        <w:jc w:val="both"/>
      </w:pPr>
      <w:r>
        <w:rPr>
          <w:rtl/>
        </w:rPr>
        <w:t xml:space="preserve">תמונה מעניינת נוספת של ר׳ </w:t>
      </w:r>
      <w:proofErr w:type="spellStart"/>
      <w:r>
        <w:rPr>
          <w:rtl/>
        </w:rPr>
        <w:t>דוד׳ל</w:t>
      </w:r>
      <w:proofErr w:type="spellEnd"/>
      <w:r>
        <w:rPr>
          <w:rtl/>
        </w:rPr>
        <w:t xml:space="preserve"> עולה ממעשה הקשור </w:t>
      </w:r>
      <w:proofErr w:type="spellStart"/>
      <w:r>
        <w:rPr>
          <w:rtl/>
        </w:rPr>
        <w:t>לחפץ־חיים</w:t>
      </w:r>
      <w:proofErr w:type="spellEnd"/>
      <w:r>
        <w:rPr>
          <w:rtl/>
        </w:rPr>
        <w:t xml:space="preserve">. </w:t>
      </w:r>
      <w:proofErr w:type="spellStart"/>
      <w:r>
        <w:rPr>
          <w:rtl/>
        </w:rPr>
        <w:t>החפץ־חיים</w:t>
      </w:r>
      <w:proofErr w:type="spellEnd"/>
      <w:r>
        <w:rPr>
          <w:rtl/>
        </w:rPr>
        <w:t xml:space="preserve"> שהה </w:t>
      </w:r>
      <w:proofErr w:type="spellStart"/>
      <w:r>
        <w:rPr>
          <w:rtl/>
        </w:rPr>
        <w:t>בז׳טל</w:t>
      </w:r>
      <w:proofErr w:type="spellEnd"/>
      <w:r>
        <w:rPr>
          <w:rtl/>
        </w:rPr>
        <w:t xml:space="preserve">, עיר מולדתו, כשהגיעה לשם הידיעה על פטירת ר׳ </w:t>
      </w:r>
      <w:proofErr w:type="spellStart"/>
      <w:r>
        <w:rPr>
          <w:rtl/>
        </w:rPr>
        <w:t>דוד׳ל</w:t>
      </w:r>
      <w:proofErr w:type="spellEnd"/>
      <w:r>
        <w:rPr>
          <w:rtl/>
        </w:rPr>
        <w:t xml:space="preserve">. באותה עת היה בעיר מגיד נודד, </w:t>
      </w:r>
      <w:proofErr w:type="spellStart"/>
      <w:r>
        <w:rPr>
          <w:rtl/>
        </w:rPr>
        <w:t>והחפץ־חיים</w:t>
      </w:r>
      <w:proofErr w:type="spellEnd"/>
      <w:r>
        <w:rPr>
          <w:rtl/>
        </w:rPr>
        <w:t xml:space="preserve"> ביקש ממנו להספיד את הגאון שנפטר. המגיד סירב, ואמר שראה את ר׳ </w:t>
      </w:r>
      <w:proofErr w:type="spellStart"/>
      <w:r>
        <w:rPr>
          <w:rtl/>
        </w:rPr>
        <w:t>דוד׳ל</w:t>
      </w:r>
      <w:proofErr w:type="spellEnd"/>
      <w:r>
        <w:rPr>
          <w:rtl/>
        </w:rPr>
        <w:t xml:space="preserve"> במסעותיו רק פעם אחת, ואינו מכירו די הצורך. </w:t>
      </w:r>
      <w:proofErr w:type="spellStart"/>
      <w:r>
        <w:rPr>
          <w:rtl/>
        </w:rPr>
        <w:t>החפץ־חיים</w:t>
      </w:r>
      <w:proofErr w:type="spellEnd"/>
      <w:r>
        <w:rPr>
          <w:rtl/>
        </w:rPr>
        <w:t xml:space="preserve"> ביקש מהמגיד לספר לו בדיוק מה התרחש כשראה את ר׳ </w:t>
      </w:r>
      <w:proofErr w:type="spellStart"/>
      <w:r>
        <w:rPr>
          <w:rtl/>
        </w:rPr>
        <w:t>דוד׳ל</w:t>
      </w:r>
      <w:proofErr w:type="spellEnd"/>
      <w:r>
        <w:rPr>
          <w:rtl/>
        </w:rPr>
        <w:t>, ושמע ממנו את הדברים האלה.</w:t>
      </w:r>
    </w:p>
    <w:p w14:paraId="56836CBF" w14:textId="77777777" w:rsidR="00AB3647" w:rsidRDefault="00000000" w:rsidP="007923E9">
      <w:pPr>
        <w:spacing w:after="120" w:line="276" w:lineRule="auto"/>
        <w:ind w:firstLine="283"/>
        <w:jc w:val="both"/>
      </w:pPr>
      <w:r>
        <w:rPr>
          <w:rtl/>
        </w:rPr>
        <w:t xml:space="preserve">המגיד דרש </w:t>
      </w:r>
      <w:proofErr w:type="spellStart"/>
      <w:r>
        <w:rPr>
          <w:rtl/>
        </w:rPr>
        <w:t>בקרלין</w:t>
      </w:r>
      <w:proofErr w:type="spellEnd"/>
      <w:r>
        <w:rPr>
          <w:rtl/>
        </w:rPr>
        <w:t xml:space="preserve">, וכמנהגו עבר אחר כך בבתים לאסוף צדקה. הוא בא לבית ר׳ </w:t>
      </w:r>
      <w:proofErr w:type="spellStart"/>
      <w:r>
        <w:rPr>
          <w:rtl/>
        </w:rPr>
        <w:t>דוד׳ל</w:t>
      </w:r>
      <w:proofErr w:type="spellEnd"/>
      <w:r>
        <w:rPr>
          <w:rtl/>
        </w:rPr>
        <w:t xml:space="preserve">, והרב הפסיק את לימודו, נתן לו תרומה, ומיד השיב את עיניו לספר. כה גדולה הייתה החוויה הרוחנית שבהתבוננות בפניו המאירות של ר׳ </w:t>
      </w:r>
      <w:proofErr w:type="spellStart"/>
      <w:r>
        <w:rPr>
          <w:rtl/>
        </w:rPr>
        <w:t>דוד׳ל</w:t>
      </w:r>
      <w:bookmarkStart w:id="5737" w:name="_fnr4371"/>
      <w:proofErr w:type="spellEnd"/>
      <w:r>
        <w:rPr>
          <w:vertAlign w:val="superscript"/>
          <w:rtl/>
        </w:rPr>
        <w:footnoteReference w:id="4381" w:customMarkFollows="0"/>
      </w:r>
      <w:bookmarkEnd w:id="5737"/>
      <w:r>
        <w:rPr>
          <w:rtl/>
        </w:rPr>
        <w:t xml:space="preserve">, שהמגיד התיישב בפינת החדר כדי להשביע את עיניו מן הגאון היושב אל שולחנו, שקוע בתורה. כעבור זמן מה הרים ר׳ </w:t>
      </w:r>
      <w:proofErr w:type="spellStart"/>
      <w:r>
        <w:rPr>
          <w:rtl/>
        </w:rPr>
        <w:t>דוד׳ל</w:t>
      </w:r>
      <w:proofErr w:type="spellEnd"/>
      <w:r>
        <w:rPr>
          <w:rtl/>
        </w:rPr>
        <w:t xml:space="preserve"> את עיניו, ראה את היהודי היושב בחדר ואמר: “עדיין לא נתתי לך תרומה?” הוא הוציא מטבע לתת לו, אבל המגיד השיב: “לא, הרב כבר נתן לי, אלא שאני נהנה לשבת כאן ולראות את הרב לומד”.</w:t>
      </w:r>
    </w:p>
    <w:p w14:paraId="0AEFB24F" w14:textId="77777777" w:rsidR="00AB3647" w:rsidRDefault="00000000" w:rsidP="007923E9">
      <w:pPr>
        <w:spacing w:after="120" w:line="276" w:lineRule="auto"/>
        <w:ind w:firstLine="283"/>
        <w:jc w:val="both"/>
      </w:pPr>
      <w:r>
        <w:rPr>
          <w:rtl/>
        </w:rPr>
        <w:t xml:space="preserve">ר׳ </w:t>
      </w:r>
      <w:proofErr w:type="spellStart"/>
      <w:r>
        <w:rPr>
          <w:rtl/>
        </w:rPr>
        <w:t>דוד׳ל</w:t>
      </w:r>
      <w:proofErr w:type="spellEnd"/>
      <w:r>
        <w:rPr>
          <w:rtl/>
        </w:rPr>
        <w:t xml:space="preserve"> השיב את עיניו לספר, והמגיד המשיך להתבונן בו. כעבור זמן מה שוב הרים ר׳ </w:t>
      </w:r>
      <w:proofErr w:type="spellStart"/>
      <w:r>
        <w:rPr>
          <w:rtl/>
        </w:rPr>
        <w:t>דוד׳ל</w:t>
      </w:r>
      <w:proofErr w:type="spellEnd"/>
      <w:r>
        <w:rPr>
          <w:rtl/>
        </w:rPr>
        <w:t xml:space="preserve"> את עיניו ושאל: “עדיין לא נתתי לך תרומה?”, ושוב ענה האורח: “כפי שאמרתי לרב, הוא אכן נתן לי תרומה, ואני רק יושב ורואה את הרב לומד”. הדבר חזר על עצמו פעם נוספת, ור׳ </w:t>
      </w:r>
      <w:proofErr w:type="spellStart"/>
      <w:r>
        <w:rPr>
          <w:rtl/>
        </w:rPr>
        <w:t>דוד׳ל</w:t>
      </w:r>
      <w:proofErr w:type="spellEnd"/>
      <w:r>
        <w:rPr>
          <w:rtl/>
        </w:rPr>
        <w:t xml:space="preserve"> אמר בהתנצלות: “זקנתי ואיני זוכר דברים היטב כל כך – אך רק ענייני העולם. בתורה דעתי רעננה כתמיד, ברוך ה׳”</w:t>
      </w:r>
      <w:bookmarkStart w:id="5738" w:name="_fnr4372"/>
      <w:r>
        <w:rPr>
          <w:vertAlign w:val="superscript"/>
          <w:rtl/>
        </w:rPr>
        <w:footnoteReference w:id="4382" w:customMarkFollows="0"/>
      </w:r>
      <w:bookmarkEnd w:id="5738"/>
      <w:r>
        <w:rPr>
          <w:rtl/>
        </w:rPr>
        <w:t xml:space="preserve">. כששמע </w:t>
      </w:r>
      <w:proofErr w:type="spellStart"/>
      <w:r>
        <w:rPr>
          <w:rtl/>
        </w:rPr>
        <w:t>החפץ־חיים</w:t>
      </w:r>
      <w:proofErr w:type="spellEnd"/>
      <w:r>
        <w:rPr>
          <w:rtl/>
        </w:rPr>
        <w:t xml:space="preserve"> את המעשה, אמר למגיד: “לך והספד את ר׳ </w:t>
      </w:r>
      <w:proofErr w:type="spellStart"/>
      <w:r>
        <w:rPr>
          <w:rtl/>
        </w:rPr>
        <w:t>דוד׳ל</w:t>
      </w:r>
      <w:proofErr w:type="spellEnd"/>
      <w:r>
        <w:rPr>
          <w:rtl/>
        </w:rPr>
        <w:t>. אתה אכן מכירו, מפני שמה שראית הוא תיאור מדויק של הגאון שנפטר”</w:t>
      </w:r>
      <w:bookmarkStart w:id="5739" w:name="_fnr4373"/>
      <w:r>
        <w:rPr>
          <w:vertAlign w:val="superscript"/>
          <w:rtl/>
        </w:rPr>
        <w:footnoteReference w:id="4383" w:customMarkFollows="0"/>
      </w:r>
      <w:bookmarkEnd w:id="5739"/>
      <w:r>
        <w:rPr>
          <w:rtl/>
        </w:rPr>
        <w:t>.</w:t>
      </w:r>
    </w:p>
    <w:bookmarkStart w:id="5740" w:name="b4_excR"/>
    <w:bookmarkStart w:id="5741" w:name="b4_annexR"/>
    <w:p w14:paraId="289828CA" w14:textId="77777777" w:rsidR="00AB3647" w:rsidRDefault="00000000" w:rsidP="007923E9">
      <w:pPr>
        <w:pStyle w:val="3"/>
        <w:pageBreakBefore w:val="0"/>
        <w:spacing w:line="276" w:lineRule="auto"/>
      </w:pPr>
      <w:r>
        <w:lastRenderedPageBreak/>
        <w:fldChar w:fldCharType="begin" w:dirty="true"/>
      </w:r>
      <w:r>
        <w:rPr>
          <w:rtl w:val="0"/>
        </w:rPr>
        <w:instrText>HYPERLINK \l "b4_note148</w:instrText>
      </w:r>
      <w:r>
        <w:instrText>"</w:instrText>
      </w:r>
      <w:r>
        <w:fldChar w:fldCharType="separate"/>
      </w:r>
      <w:r>
        <w:t xml:space="preserve">נספח </w:t>
      </w:r>
      <w:proofErr w:type="spellStart"/>
      <w:r>
        <w:t>יח</w:t>
      </w:r>
      <w:proofErr w:type="spellEnd"/>
      <w:r>
        <w:fldChar w:fldCharType="end"/>
      </w:r>
      <w:bookmarkEnd w:id="5740"/>
      <w:bookmarkEnd w:id="5741"/>
    </w:p>
    <w:p w14:paraId="706187AD" w14:textId="77777777" w:rsidR="00AB3647" w:rsidRDefault="00000000" w:rsidP="007923E9">
      <w:pPr>
        <w:pStyle w:val="af"/>
        <w:spacing w:line="276" w:lineRule="auto"/>
      </w:pPr>
      <w:r>
        <w:t xml:space="preserve">על משחק המלכים ועל התמנות ר׳ </w:t>
      </w:r>
      <w:proofErr w:type="spellStart"/>
      <w:r>
        <w:t>יוסף־שלמה</w:t>
      </w:r>
      <w:proofErr w:type="spellEnd"/>
      <w:r>
        <w:t xml:space="preserve"> </w:t>
      </w:r>
      <w:proofErr w:type="spellStart"/>
      <w:r>
        <w:t>כהנמן</w:t>
      </w:r>
      <w:proofErr w:type="spellEnd"/>
      <w:r>
        <w:t xml:space="preserve"> לרב </w:t>
      </w:r>
      <w:proofErr w:type="spellStart"/>
      <w:r>
        <w:t>פוניבז</w:t>
      </w:r>
      <w:proofErr w:type="spellEnd"/>
      <w:r>
        <w:t xml:space="preserve">׳ ור׳ </w:t>
      </w:r>
      <w:proofErr w:type="spellStart"/>
      <w:r>
        <w:t>משה־יום־טוב</w:t>
      </w:r>
      <w:proofErr w:type="spellEnd"/>
      <w:r>
        <w:t xml:space="preserve"> </w:t>
      </w:r>
      <w:proofErr w:type="spellStart"/>
      <w:r>
        <w:t>וכטפוגל</w:t>
      </w:r>
      <w:proofErr w:type="spellEnd"/>
      <w:r>
        <w:t xml:space="preserve"> לרב קול</w:t>
      </w:r>
    </w:p>
    <w:p w14:paraId="689EDDD3" w14:textId="77777777" w:rsidR="00AB3647" w:rsidRDefault="00000000" w:rsidP="007923E9">
      <w:pPr>
        <w:pStyle w:val="4"/>
        <w:spacing w:line="276" w:lineRule="auto"/>
      </w:pPr>
      <w:r>
        <w:t>· הפסקה הראשונה ·</w:t>
      </w:r>
    </w:p>
    <w:p w14:paraId="31B0C9BC" w14:textId="77777777" w:rsidR="00AB3647" w:rsidRDefault="00000000" w:rsidP="007923E9">
      <w:pPr>
        <w:pStyle w:val="5"/>
        <w:spacing w:line="276" w:lineRule="auto"/>
      </w:pPr>
      <w:r>
        <w:rPr>
          <w:bCs/>
          <w:szCs w:val="26"/>
        </w:rPr>
        <w:t xml:space="preserve">תלמידי </w:t>
      </w:r>
      <w:proofErr w:type="spellStart"/>
      <w:r>
        <w:rPr>
          <w:bCs/>
          <w:szCs w:val="26"/>
        </w:rPr>
        <w:t>סלבודקה</w:t>
      </w:r>
      <w:proofErr w:type="spellEnd"/>
      <w:r>
        <w:rPr>
          <w:bCs/>
          <w:szCs w:val="26"/>
        </w:rPr>
        <w:t xml:space="preserve"> משחקים שחמט – רבנו משחק לעיתים במשחק</w:t>
      </w:r>
    </w:p>
    <w:p w14:paraId="66380238" w14:textId="5C14C6D8" w:rsidR="00AB3647" w:rsidRDefault="00000000" w:rsidP="007923E9">
      <w:pPr>
        <w:spacing w:after="120" w:line="276" w:lineRule="auto"/>
        <w:ind w:firstLine="283"/>
        <w:jc w:val="both"/>
      </w:pPr>
      <w:r>
        <w:rPr>
          <w:rtl/>
        </w:rPr>
        <w:t xml:space="preserve">בכנסת ישראל עודדו גילויי חריפות, אולי מפני שהסבא נטה לחבב בעלי מוחות חריפים – השווה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 xml:space="preserve"> לעיל. כך, למשל, משחק השחמט, גם אם שיחקו בו רק לעיתים, היה נפוץ כל כך בין התלמידים, שאבי כינה אותו “מחלה של </w:t>
      </w:r>
      <w:proofErr w:type="spellStart"/>
      <w:r>
        <w:rPr>
          <w:rtl/>
        </w:rPr>
        <w:t>סלבודקה</w:t>
      </w:r>
      <w:proofErr w:type="spellEnd"/>
      <w:r>
        <w:rPr>
          <w:rtl/>
        </w:rPr>
        <w:t xml:space="preserve">”. הוא אמר זאת בעקבות שאלה של נכדו ר׳ יצחק </w:t>
      </w:r>
      <w:proofErr w:type="spellStart"/>
      <w:r>
        <w:rPr>
          <w:rtl/>
        </w:rPr>
        <w:t>שורין</w:t>
      </w:r>
      <w:bookmarkStart w:id="5742" w:name="_fnr4374"/>
      <w:proofErr w:type="spellEnd"/>
      <w:r>
        <w:rPr>
          <w:vertAlign w:val="superscript"/>
          <w:rtl/>
        </w:rPr>
        <w:footnoteReference w:id="4384" w:customMarkFollows="0"/>
      </w:r>
      <w:bookmarkEnd w:id="5742"/>
      <w:r>
        <w:rPr>
          <w:rtl/>
        </w:rPr>
        <w:t xml:space="preserve">, אז בן עשרים ושתיים, על אמרה ששמע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הקושרת את </w:t>
      </w:r>
      <w:proofErr w:type="spellStart"/>
      <w:r>
        <w:rPr>
          <w:rtl/>
        </w:rPr>
        <w:t>סלבודקה</w:t>
      </w:r>
      <w:proofErr w:type="spellEnd"/>
      <w:r>
        <w:rPr>
          <w:rtl/>
        </w:rPr>
        <w:t xml:space="preserve"> לשחמט: כשנשאל ר׳ </w:t>
      </w:r>
      <w:proofErr w:type="spellStart"/>
      <w:r>
        <w:rPr>
          <w:rtl/>
        </w:rPr>
        <w:t xml:space="preserve">יוסף־דב</w:t>
      </w:r>
      <w:proofErr w:type="spellEnd"/>
      <w:r>
        <w:rPr>
          <w:rtl/>
        </w:rPr>
        <w:t xml:space="preserve"> אם הוא יודע לשחק שחמט, השיב: “לא, לא למדתי </w:t>
      </w:r>
      <w:proofErr w:type="spellStart"/>
      <w:r>
        <w:rPr>
          <w:rtl/>
        </w:rPr>
        <w:t>בסלבודקה</w:t>
      </w:r>
      <w:proofErr w:type="spellEnd"/>
      <w:r>
        <w:rPr>
          <w:rtl/>
        </w:rPr>
        <w:t>”. אבי ניצל את ההזדמנות להזהיר את ר׳ יצחק שיתרחק מן השחמט, מפני שהמשחק כובש את כל מחשבתו של השחקן וגוזל זמן רב מדי מן הלימוד.</w:t>
      </w:r>
    </w:p>
    <w:p w14:paraId="0DB9FEC8" w14:textId="77777777" w:rsidR="00AB3647" w:rsidRDefault="00000000" w:rsidP="007923E9">
      <w:pPr>
        <w:spacing w:after="120" w:line="276" w:lineRule="auto"/>
        <w:ind w:firstLine="283"/>
        <w:jc w:val="both"/>
      </w:pPr>
      <w:r>
        <w:rPr>
          <w:rtl/>
        </w:rPr>
        <w:t xml:space="preserve">לא ידוע אם בנו של הסבא, ר׳ </w:t>
      </w:r>
      <w:proofErr w:type="spellStart"/>
      <w:r>
        <w:rPr>
          <w:rtl/>
        </w:rPr>
        <w:t>לייזר־יודל</w:t>
      </w:r>
      <w:proofErr w:type="spellEnd"/>
      <w:r>
        <w:rPr>
          <w:rtl/>
        </w:rPr>
        <w:t xml:space="preserve">, התעניין בשחמט, אבל בנו הרב בייניש – שלא למד </w:t>
      </w:r>
      <w:proofErr w:type="spellStart"/>
      <w:r>
        <w:rPr>
          <w:rtl/>
        </w:rPr>
        <w:t>בסלבודקה</w:t>
      </w:r>
      <w:proofErr w:type="spellEnd"/>
      <w:r>
        <w:rPr>
          <w:rtl/>
        </w:rPr>
        <w:t xml:space="preserve"> אלא בישיבת אביו </w:t>
      </w:r>
      <w:proofErr w:type="spellStart"/>
      <w:r>
        <w:rPr>
          <w:rtl/>
        </w:rPr>
        <w:t>במיר</w:t>
      </w:r>
      <w:proofErr w:type="spellEnd"/>
      <w:r>
        <w:rPr>
          <w:rtl/>
        </w:rPr>
        <w:t xml:space="preserve"> – היה שחקן מומחה. ר׳ שלמה לורנץ, שבא ללמוד בישיבת </w:t>
      </w:r>
      <w:proofErr w:type="spellStart"/>
      <w:r>
        <w:rPr>
          <w:rtl/>
        </w:rPr>
        <w:t>מיר</w:t>
      </w:r>
      <w:proofErr w:type="spellEnd"/>
      <w:r>
        <w:rPr>
          <w:rtl/>
        </w:rPr>
        <w:t xml:space="preserve"> </w:t>
      </w:r>
      <w:proofErr w:type="spellStart"/>
      <w:r>
        <w:rPr>
          <w:rtl/>
        </w:rPr>
        <w:t>בתרצ״ו</w:t>
      </w:r>
      <w:proofErr w:type="spellEnd"/>
      <w:r>
        <w:rPr>
          <w:rtl/>
        </w:rPr>
        <w:t>, סיפר</w:t>
      </w:r>
      <w:bookmarkStart w:id="5743" w:name="_fnr4375"/>
      <w:r>
        <w:rPr>
          <w:vertAlign w:val="superscript"/>
          <w:rtl/>
        </w:rPr>
        <w:footnoteReference w:id="4385" w:customMarkFollows="0"/>
      </w:r>
      <w:bookmarkEnd w:id="5743"/>
      <w:r>
        <w:rPr>
          <w:rtl/>
        </w:rPr>
        <w:t xml:space="preserve"> שבחופשת בין הזמנים היה הרב בייניש משחק בעיניים מכוסות מול שבעה יריבים בבת אחת. הרב בייניש </w:t>
      </w:r>
      <w:proofErr w:type="spellStart"/>
      <w:r>
        <w:rPr>
          <w:rtl/>
        </w:rPr>
        <w:t>פינקל</w:t>
      </w:r>
      <w:proofErr w:type="spellEnd"/>
      <w:r>
        <w:rPr>
          <w:rtl/>
        </w:rPr>
        <w:t xml:space="preserve"> ירש את אביו כראש ישיבת </w:t>
      </w:r>
      <w:proofErr w:type="spellStart"/>
      <w:r>
        <w:rPr>
          <w:rtl/>
        </w:rPr>
        <w:t>מיר</w:t>
      </w:r>
      <w:proofErr w:type="spellEnd"/>
      <w:r>
        <w:rPr>
          <w:rtl/>
        </w:rPr>
        <w:t xml:space="preserve"> בירושלים </w:t>
      </w:r>
      <w:proofErr w:type="spellStart"/>
      <w:r>
        <w:rPr>
          <w:rtl/>
        </w:rPr>
        <w:t>בתשכ״ה</w:t>
      </w:r>
      <w:proofErr w:type="spellEnd"/>
      <w:r>
        <w:rPr>
          <w:rtl/>
        </w:rPr>
        <w:t>.</w:t>
      </w:r>
    </w:p>
    <w:p w14:paraId="336FE95E" w14:textId="77777777" w:rsidR="00AB3647" w:rsidRDefault="00000000" w:rsidP="007923E9">
      <w:pPr>
        <w:spacing w:after="120" w:line="276" w:lineRule="auto"/>
        <w:ind w:firstLine="283"/>
        <w:jc w:val="both"/>
      </w:pPr>
      <w:r>
        <w:rPr>
          <w:rtl/>
        </w:rPr>
        <w:t xml:space="preserve">ר׳ שכנא </w:t>
      </w:r>
      <w:proofErr w:type="spellStart"/>
      <w:r>
        <w:rPr>
          <w:rtl/>
        </w:rPr>
        <w:t>קולודצקי</w:t>
      </w:r>
      <w:proofErr w:type="spellEnd"/>
      <w:r>
        <w:rPr>
          <w:rtl/>
        </w:rPr>
        <w:t xml:space="preserve"> סיפר</w:t>
      </w:r>
      <w:bookmarkStart w:id="5744" w:name="_fnr4376"/>
      <w:r>
        <w:rPr>
          <w:vertAlign w:val="superscript"/>
          <w:rtl/>
        </w:rPr>
        <w:footnoteReference w:id="4386" w:customMarkFollows="0"/>
      </w:r>
      <w:bookmarkEnd w:id="5744"/>
      <w:r>
        <w:rPr>
          <w:rtl/>
        </w:rPr>
        <w:t xml:space="preserve"> שאבי, שהיה אז מחברי כולל </w:t>
      </w:r>
      <w:proofErr w:type="spellStart"/>
      <w:r>
        <w:rPr>
          <w:rtl/>
        </w:rPr>
        <w:t>סלבודקה</w:t>
      </w:r>
      <w:bookmarkStart w:id="5745" w:name="_fnr4377"/>
      <w:proofErr w:type="spellEnd"/>
      <w:r>
        <w:rPr>
          <w:vertAlign w:val="superscript"/>
          <w:rtl/>
        </w:rPr>
        <w:footnoteReference w:id="4387" w:customMarkFollows="0"/>
      </w:r>
      <w:bookmarkEnd w:id="5745"/>
      <w:r>
        <w:rPr>
          <w:rtl/>
        </w:rPr>
        <w:t xml:space="preserve">, שיחק עמו שחמט שלוש פעמים בבין הזמנים של פסח תרפ״ה. ייתכן שאבי ביקש לשמח את ר׳ שכנא, נער בודד ויתום מאם שאביו התגורר מעבר לים, בבין הזמנים הראשון מאז בא לקובנה אחרי סוכות. הרב </w:t>
      </w:r>
      <w:proofErr w:type="spellStart"/>
      <w:r>
        <w:rPr>
          <w:rtl/>
        </w:rPr>
        <w:t>קולודצקי</w:t>
      </w:r>
      <w:proofErr w:type="spellEnd"/>
      <w:r>
        <w:rPr>
          <w:rtl/>
        </w:rPr>
        <w:t xml:space="preserve"> זכר שניצח באחד המשחקים – ואפשר שגם אותו הפסיד אבי בכוונה, לטובת היתום הצעיר.</w:t>
      </w:r>
    </w:p>
    <w:p w14:paraId="67588327" w14:textId="77777777" w:rsidR="00AB3647" w:rsidRDefault="00000000" w:rsidP="007923E9">
      <w:pPr>
        <w:spacing w:after="120" w:line="276" w:lineRule="auto"/>
        <w:ind w:firstLine="283"/>
        <w:jc w:val="both"/>
      </w:pPr>
      <w:r>
        <w:rPr>
          <w:rtl/>
        </w:rPr>
        <w:t xml:space="preserve">אבי שיחק שחמט גם בשנים שאחרי </w:t>
      </w:r>
      <w:proofErr w:type="spellStart"/>
      <w:r>
        <w:rPr>
          <w:rtl/>
        </w:rPr>
        <w:t>סלבודקה</w:t>
      </w:r>
      <w:proofErr w:type="spellEnd"/>
      <w:r>
        <w:rPr>
          <w:rtl/>
        </w:rPr>
        <w:t>, אם כי לעיתים רחוקות מאוד: למשל במחנה מתיבתא</w:t>
      </w:r>
      <w:bookmarkStart w:id="5746" w:name="_fnr4378"/>
      <w:r>
        <w:rPr>
          <w:vertAlign w:val="superscript"/>
          <w:rtl/>
        </w:rPr>
        <w:footnoteReference w:id="4388" w:customMarkFollows="0"/>
      </w:r>
      <w:bookmarkEnd w:id="5746"/>
      <w:r>
        <w:rPr>
          <w:rtl/>
        </w:rPr>
        <w:t xml:space="preserve">, ובמוצאי שבת פרשת חיי שרה תשכ״ז, עם נכדו ר׳ יצחק. מסתבר שהייתה למעשים אלה מטרה חינוכית. אבל השווה גם “אמת ליעקב על סדר נזיקין”, </w:t>
      </w:r>
      <w:proofErr w:type="spellStart"/>
      <w:r>
        <w:rPr>
          <w:rtl/>
        </w:rPr>
        <w:t>ח״ב</w:t>
      </w:r>
      <w:bookmarkStart w:id="5747" w:name="_fnr4379"/>
      <w:proofErr w:type="spellEnd"/>
      <w:r>
        <w:rPr>
          <w:vertAlign w:val="superscript"/>
          <w:rtl/>
        </w:rPr>
        <w:footnoteReference w:id="4389" w:customMarkFollows="0"/>
      </w:r>
      <w:bookmarkEnd w:id="5747"/>
      <w:r>
        <w:rPr>
          <w:rtl/>
        </w:rPr>
        <w:t>, שבו מסביר אבי דברי הרמב״ם על פי הרעיון שחידוד המחשבה בעניינים שמחוץ לתורה עשוי לסייע ללימוד התורה</w:t>
      </w:r>
      <w:bookmarkStart w:id="5748" w:name="_fnr4380"/>
      <w:r>
        <w:rPr>
          <w:vertAlign w:val="superscript"/>
          <w:rtl/>
        </w:rPr>
        <w:footnoteReference w:id="4390" w:customMarkFollows="0"/>
      </w:r>
      <w:bookmarkEnd w:id="5748"/>
      <w:r>
        <w:rPr>
          <w:rtl/>
        </w:rPr>
        <w:t>.</w:t>
      </w:r>
    </w:p>
    <w:p w14:paraId="49AC5E5C" w14:textId="241D3286" w:rsidR="00AB3647" w:rsidRDefault="00000000" w:rsidP="007923E9">
      <w:pPr>
        <w:spacing w:after="120" w:line="276" w:lineRule="auto"/>
        <w:ind w:firstLine="283"/>
        <w:jc w:val="both"/>
      </w:pPr>
      <w:r>
        <w:rPr>
          <w:rtl/>
        </w:rPr>
        <w:lastRenderedPageBreak/>
        <w:t xml:space="preserve">מובן מאליו שתלמידי </w:t>
      </w:r>
      <w:proofErr w:type="spellStart"/>
      <w:r>
        <w:rPr>
          <w:rtl/>
        </w:rPr>
        <w:t>סלבודקה</w:t>
      </w:r>
      <w:proofErr w:type="spellEnd"/>
      <w:r>
        <w:rPr>
          <w:rtl/>
        </w:rPr>
        <w:t xml:space="preserve"> לא שיחקו בכדור בשעות הפנאי. קוראים אמריקאים ימצאו עניין במה שמספר “ארצות החיים”</w:t>
      </w:r>
      <w:bookmarkStart w:id="5749" w:name="_fnr4381"/>
      <w:r>
        <w:rPr>
          <w:vertAlign w:val="superscript"/>
          <w:rtl/>
        </w:rPr>
        <w:footnoteReference w:id="4391" w:customMarkFollows="0"/>
      </w:r>
      <w:bookmarkEnd w:id="5749"/>
      <w:r>
        <w:rPr>
          <w:rtl/>
        </w:rPr>
        <w:t xml:space="preserve"> על ביקור ר׳ שמעון </w:t>
      </w:r>
      <w:proofErr w:type="spellStart"/>
      <w:r>
        <w:rPr>
          <w:rtl/>
        </w:rPr>
        <w:t>שקופ</w:t>
      </w:r>
      <w:proofErr w:type="spellEnd"/>
      <w:r>
        <w:rPr>
          <w:rtl/>
        </w:rPr>
        <w:t xml:space="preserve"> בארצות הברית </w:t>
      </w:r>
      <w:proofErr w:type="spellStart"/>
      <w:r>
        <w:rPr>
          <w:rtl/>
        </w:rPr>
        <w:t>בתרפ״ט</w:t>
      </w:r>
      <w:bookmarkStart w:id="5750" w:name="_fnr4382"/>
      <w:proofErr w:type="spellEnd"/>
      <w:r>
        <w:rPr>
          <w:vertAlign w:val="superscript"/>
          <w:rtl/>
        </w:rPr>
        <w:footnoteReference w:id="4392" w:customMarkFollows="0"/>
      </w:r>
      <w:bookmarkEnd w:id="5750"/>
      <w:r>
        <w:rPr>
          <w:rtl/>
        </w:rPr>
        <w:t xml:space="preserve">. הוא הוזמן לראות את ישיבת תורה ודעת – הישיבה </w:t>
      </w:r>
      <w:proofErr w:type="spellStart"/>
      <w:r>
        <w:rPr>
          <w:rtl/>
        </w:rPr>
        <w:t>ה“פרומה</w:t>
      </w:r>
      <w:proofErr w:type="spellEnd"/>
      <w:r>
        <w:rPr>
          <w:rtl/>
        </w:rPr>
        <w:t xml:space="preserve">” ביותר באמריקה באותה עת – והזדמן לשם בהפסקה, כשהבחורים שיחקו בייסבול בחצר. מספר הספר: “לא רצה להאמין למראות עיניו, כי איך יתכן כזאת שבחורי ישיבה אשר הוגים בתורת ה׳, יתעסקו בהבלים כאלה”. על פעילויות ספורט שהותרו </w:t>
      </w:r>
      <w:proofErr w:type="spellStart"/>
      <w:r>
        <w:rPr>
          <w:rtl/>
        </w:rPr>
        <w:t>בסלבודקה</w:t>
      </w:r>
      <w:proofErr w:type="spellEnd"/>
      <w:r>
        <w:rPr>
          <w:rtl/>
        </w:rPr>
        <w:t xml:space="preserve"> ראה הערה </w:t>
      </w:r>
      <w:r>
        <w:rPr>
          <w:rtl/>
        </w:rPr>
        <w:fldChar w:fldCharType="begin" w:dirty="true"/>
      </w:r>
      <w:r>
        <w:rPr>
          <w:rtl/>
        </w:rPr>
        <w:instrText xml:space="preserve"> REF b4_note62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62</w:t>
      </w:r>
      <w:r>
        <w:rPr>
          <w:rtl/>
        </w:rPr>
        <w:fldChar w:fldCharType="end"/>
      </w:r>
      <w:r>
        <w:rPr>
          <w:rtl/>
        </w:rPr>
        <w:t xml:space="preserve"> לעיל וסוף נספח ג בפרק 5.</w:t>
      </w:r>
    </w:p>
    <w:p w14:paraId="74ACDE8A" w14:textId="77777777" w:rsidR="00AB3647" w:rsidRDefault="00000000" w:rsidP="007923E9">
      <w:pPr>
        <w:pStyle w:val="4"/>
        <w:spacing w:line="276" w:lineRule="auto"/>
      </w:pPr>
      <w:r>
        <w:t>· הפסקה השנייה ·</w:t>
      </w:r>
    </w:p>
    <w:p w14:paraId="26E23C49" w14:textId="77777777" w:rsidR="00AB3647" w:rsidRDefault="00000000" w:rsidP="007923E9">
      <w:pPr>
        <w:pStyle w:val="5"/>
        <w:spacing w:line="276" w:lineRule="auto"/>
      </w:pPr>
      <w:r>
        <w:rPr>
          <w:bCs/>
          <w:szCs w:val="26"/>
        </w:rPr>
        <w:t xml:space="preserve">ר׳ </w:t>
      </w:r>
      <w:proofErr w:type="spellStart"/>
      <w:r>
        <w:rPr>
          <w:bCs/>
          <w:szCs w:val="26"/>
        </w:rPr>
        <w:t>יוסף־שלמה</w:t>
      </w:r>
      <w:proofErr w:type="spellEnd"/>
      <w:r>
        <w:rPr>
          <w:bCs/>
          <w:szCs w:val="26"/>
        </w:rPr>
        <w:t xml:space="preserve"> </w:t>
      </w:r>
      <w:proofErr w:type="spellStart"/>
      <w:r>
        <w:rPr>
          <w:bCs/>
          <w:szCs w:val="26"/>
        </w:rPr>
        <w:t>כהנמן</w:t>
      </w:r>
      <w:proofErr w:type="spellEnd"/>
      <w:r>
        <w:rPr>
          <w:bCs/>
          <w:szCs w:val="26"/>
        </w:rPr>
        <w:t xml:space="preserve"> מציל שבויים יהודים – הוא נבחר לרבנות </w:t>
      </w:r>
      <w:proofErr w:type="spellStart"/>
      <w:r>
        <w:rPr>
          <w:bCs/>
          <w:szCs w:val="26"/>
        </w:rPr>
        <w:t>פוניבז</w:t>
      </w:r>
      <w:proofErr w:type="spellEnd"/>
      <w:r>
        <w:rPr>
          <w:bCs/>
          <w:szCs w:val="26"/>
        </w:rPr>
        <w:t xml:space="preserve">׳ כהכרת טובה – ר׳ יצחק שניידר ממלא את מקום הרב הנעדר – ר׳ </w:t>
      </w:r>
      <w:proofErr w:type="spellStart"/>
      <w:r>
        <w:rPr>
          <w:bCs/>
          <w:szCs w:val="26"/>
        </w:rPr>
        <w:t>חיים־עוזר</w:t>
      </w:r>
      <w:proofErr w:type="spellEnd"/>
      <w:r>
        <w:rPr>
          <w:bCs/>
          <w:szCs w:val="26"/>
        </w:rPr>
        <w:t xml:space="preserve"> </w:t>
      </w:r>
      <w:proofErr w:type="spellStart"/>
      <w:r>
        <w:rPr>
          <w:bCs/>
          <w:szCs w:val="26"/>
        </w:rPr>
        <w:t>גרודזנסקי</w:t>
      </w:r>
      <w:proofErr w:type="spellEnd"/>
      <w:r>
        <w:rPr>
          <w:bCs/>
          <w:szCs w:val="26"/>
        </w:rPr>
        <w:t xml:space="preserve"> חוזה מי יירש את ר׳ </w:t>
      </w:r>
      <w:proofErr w:type="spellStart"/>
      <w:r>
        <w:rPr>
          <w:bCs/>
          <w:szCs w:val="26"/>
        </w:rPr>
        <w:t>איצל׳ה</w:t>
      </w:r>
      <w:proofErr w:type="spellEnd"/>
      <w:r>
        <w:rPr>
          <w:bCs/>
          <w:szCs w:val="26"/>
        </w:rPr>
        <w:t xml:space="preserve"> </w:t>
      </w:r>
      <w:proofErr w:type="spellStart"/>
      <w:r>
        <w:rPr>
          <w:bCs/>
          <w:szCs w:val="26"/>
        </w:rPr>
        <w:t>רבינוביץ</w:t>
      </w:r>
      <w:proofErr w:type="spellEnd"/>
      <w:r>
        <w:rPr>
          <w:bCs/>
          <w:szCs w:val="26"/>
        </w:rPr>
        <w:t xml:space="preserve"> – ר׳ </w:t>
      </w:r>
      <w:proofErr w:type="spellStart"/>
      <w:r>
        <w:rPr>
          <w:bCs/>
          <w:szCs w:val="26"/>
        </w:rPr>
        <w:t>נתן־מאיר</w:t>
      </w:r>
      <w:proofErr w:type="spellEnd"/>
      <w:r>
        <w:rPr>
          <w:bCs/>
          <w:szCs w:val="26"/>
        </w:rPr>
        <w:t xml:space="preserve"> </w:t>
      </w:r>
      <w:proofErr w:type="spellStart"/>
      <w:r>
        <w:rPr>
          <w:bCs/>
          <w:szCs w:val="26"/>
        </w:rPr>
        <w:t>וכטפוגל</w:t>
      </w:r>
      <w:proofErr w:type="spellEnd"/>
      <w:r>
        <w:rPr>
          <w:bCs/>
          <w:szCs w:val="26"/>
        </w:rPr>
        <w:t xml:space="preserve"> עושה קידושין בלא נישואין בקובנה – אביו מתמנה לרב בקול</w:t>
      </w:r>
    </w:p>
    <w:p w14:paraId="502F8294" w14:textId="77777777" w:rsidR="00AB3647" w:rsidRDefault="00000000" w:rsidP="007923E9">
      <w:pPr>
        <w:spacing w:after="120" w:line="276" w:lineRule="auto"/>
        <w:ind w:firstLine="283"/>
        <w:jc w:val="both"/>
      </w:pPr>
      <w:r>
        <w:rPr>
          <w:rtl/>
        </w:rPr>
        <w:t xml:space="preserve">מעשה מעניין סיפר ר׳ יעקב </w:t>
      </w:r>
      <w:proofErr w:type="spellStart"/>
      <w:r>
        <w:rPr>
          <w:rtl/>
        </w:rPr>
        <w:t>לויסון</w:t>
      </w:r>
      <w:bookmarkStart w:id="5751" w:name="_fnr4383"/>
      <w:proofErr w:type="spellEnd"/>
      <w:r>
        <w:rPr>
          <w:vertAlign w:val="superscript"/>
          <w:rtl/>
        </w:rPr>
        <w:footnoteReference w:id="4393" w:customMarkFollows="0"/>
      </w:r>
      <w:bookmarkEnd w:id="5751"/>
      <w:r>
        <w:rPr>
          <w:rtl/>
        </w:rPr>
        <w:t xml:space="preserve">, כפי ששמעו מפי בעל המעשה,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האחרון של </w:t>
      </w:r>
      <w:proofErr w:type="spellStart"/>
      <w:r>
        <w:rPr>
          <w:rtl/>
        </w:rPr>
        <w:t>פוניבז</w:t>
      </w:r>
      <w:proofErr w:type="spellEnd"/>
      <w:r>
        <w:rPr>
          <w:rtl/>
        </w:rPr>
        <w:t xml:space="preserve">׳: כיצד הציל משחק השחמט את חייהם של 900 יהודים במלחמת העולם הראשונה. ר׳ </w:t>
      </w:r>
      <w:proofErr w:type="spellStart"/>
      <w:r>
        <w:rPr>
          <w:rtl/>
        </w:rPr>
        <w:t>יוסף־שלמה</w:t>
      </w:r>
      <w:proofErr w:type="spellEnd"/>
      <w:r>
        <w:rPr>
          <w:rtl/>
        </w:rPr>
        <w:t xml:space="preserve"> ירש את חותנו כרב </w:t>
      </w:r>
      <w:proofErr w:type="spellStart"/>
      <w:r>
        <w:rPr>
          <w:rtl/>
        </w:rPr>
        <w:t>בווידז</w:t>
      </w:r>
      <w:proofErr w:type="spellEnd"/>
      <w:r>
        <w:rPr>
          <w:rtl/>
        </w:rPr>
        <w:t xml:space="preserve">׳ שבליטא (כארבעים קילומטר מדרום </w:t>
      </w:r>
      <w:proofErr w:type="spellStart"/>
      <w:r>
        <w:rPr>
          <w:rtl/>
        </w:rPr>
        <w:t>לדווינסק</w:t>
      </w:r>
      <w:proofErr w:type="spellEnd"/>
      <w:r>
        <w:rPr>
          <w:rtl/>
        </w:rPr>
        <w:t xml:space="preserve"> שבלטביה). במלחמה זו היו יהודי </w:t>
      </w:r>
      <w:proofErr w:type="spellStart"/>
      <w:r>
        <w:rPr>
          <w:rtl/>
        </w:rPr>
        <w:t>וידז</w:t>
      </w:r>
      <w:proofErr w:type="spellEnd"/>
      <w:r>
        <w:rPr>
          <w:rtl/>
        </w:rPr>
        <w:t>׳ ברי מזל יותר מאחיהם שבמערב ליטא, שכן הם לא הוגלו אל עומק רוסיה</w:t>
      </w:r>
      <w:bookmarkStart w:id="5752" w:name="_fnr4384"/>
      <w:r>
        <w:rPr>
          <w:vertAlign w:val="superscript"/>
          <w:rtl/>
        </w:rPr>
        <w:footnoteReference w:id="4394" w:customMarkFollows="0"/>
      </w:r>
      <w:bookmarkEnd w:id="5752"/>
      <w:r>
        <w:rPr>
          <w:rtl/>
        </w:rPr>
        <w:t>. כשעברה העיר לידי הגרמנים, הקימו הכובשים מחנה שבויים ובו כ־3,000 אסירים, מהם 900 יהודים.</w:t>
      </w:r>
    </w:p>
    <w:p w14:paraId="49B13B3C" w14:textId="77777777" w:rsidR="00AB3647" w:rsidRDefault="00000000" w:rsidP="007923E9">
      <w:pPr>
        <w:spacing w:after="120" w:line="276" w:lineRule="auto"/>
        <w:ind w:firstLine="283"/>
        <w:jc w:val="both"/>
      </w:pPr>
      <w:r>
        <w:rPr>
          <w:rtl/>
        </w:rPr>
        <w:t xml:space="preserve">המפקד הגרמני נתן לכל שבוי “פחות </w:t>
      </w:r>
      <w:proofErr w:type="spellStart"/>
      <w:r>
        <w:rPr>
          <w:rtl/>
        </w:rPr>
        <w:t>מכזית</w:t>
      </w:r>
      <w:proofErr w:type="spellEnd"/>
      <w:r>
        <w:rPr>
          <w:rtl/>
        </w:rPr>
        <w:t xml:space="preserve"> לחם ביום”. כרב העיר הייתה </w:t>
      </w:r>
      <w:proofErr w:type="spellStart"/>
      <w:r>
        <w:rPr>
          <w:rtl/>
        </w:rPr>
        <w:t>לר</w:t>
      </w:r>
      <w:proofErr w:type="spellEnd"/>
      <w:r>
        <w:rPr>
          <w:rtl/>
        </w:rPr>
        <w:t xml:space="preserve">׳ </w:t>
      </w:r>
      <w:proofErr w:type="spellStart"/>
      <w:r>
        <w:rPr>
          <w:rtl/>
        </w:rPr>
        <w:t>יוסף־שלמה</w:t>
      </w:r>
      <w:proofErr w:type="spellEnd"/>
      <w:r>
        <w:rPr>
          <w:rtl/>
        </w:rPr>
        <w:t xml:space="preserve"> גישה למחנה, והוא שאל את המפקד כמה זמן ימשיך להרעיב את שבוייו. המפקד השיב: “ביס </w:t>
      </w:r>
      <w:proofErr w:type="spellStart"/>
      <w:r>
        <w:rPr>
          <w:rtl/>
        </w:rPr>
        <w:t>נימאנד</w:t>
      </w:r>
      <w:proofErr w:type="spellEnd"/>
      <w:r>
        <w:rPr>
          <w:rtl/>
        </w:rPr>
        <w:t xml:space="preserve"> וירד זיין [עד שלא יישאר איש]”. פקיד גרמני אזרחי בשירות צבא הכיבוש, שניהל את העניינים האזרחיים של האזור כולו, הזמין את ר׳ </w:t>
      </w:r>
      <w:proofErr w:type="spellStart"/>
      <w:r>
        <w:rPr>
          <w:rtl/>
        </w:rPr>
        <w:t>יוסף־שלמה</w:t>
      </w:r>
      <w:proofErr w:type="spellEnd"/>
      <w:r>
        <w:rPr>
          <w:rtl/>
        </w:rPr>
        <w:t xml:space="preserve"> </w:t>
      </w:r>
      <w:proofErr w:type="spellStart"/>
      <w:r>
        <w:rPr>
          <w:rtl/>
        </w:rPr>
        <w:t>כהנמן</w:t>
      </w:r>
      <w:proofErr w:type="spellEnd"/>
      <w:r>
        <w:rPr>
          <w:rtl/>
        </w:rPr>
        <w:t xml:space="preserve"> לשחק עמו שחמט מדי ערב. ר׳ </w:t>
      </w:r>
      <w:proofErr w:type="spellStart"/>
      <w:r>
        <w:rPr>
          <w:rtl/>
        </w:rPr>
        <w:t>יוסף־שלמה</w:t>
      </w:r>
      <w:proofErr w:type="spellEnd"/>
      <w:r>
        <w:rPr>
          <w:rtl/>
        </w:rPr>
        <w:t xml:space="preserve"> לא היה תלמיד </w:t>
      </w:r>
      <w:proofErr w:type="spellStart"/>
      <w:r>
        <w:rPr>
          <w:rtl/>
        </w:rPr>
        <w:t>סלבודקה</w:t>
      </w:r>
      <w:bookmarkStart w:id="5753" w:name="_fnr4385"/>
      <w:proofErr w:type="spellEnd"/>
      <w:r>
        <w:rPr>
          <w:vertAlign w:val="superscript"/>
          <w:rtl/>
        </w:rPr>
        <w:footnoteReference w:id="4395" w:customMarkFollows="0"/>
      </w:r>
      <w:bookmarkEnd w:id="5753"/>
      <w:r>
        <w:rPr>
          <w:rtl/>
        </w:rPr>
        <w:t xml:space="preserve">, אבל היטיב לשחק. הוא ביקש לשמור על קשר קרוב עם הפקיד הגרמני כדי לדעת כיצד מתקדמת המלחמה, וכך יוכל להזהיר את היהודים בעוד מועד שיימלטו מן העיר, ולמנוע נפגעים כשהחזית תיטלטל שוב לעבר אזורם והרוסים יחזרו </w:t>
      </w:r>
      <w:proofErr w:type="spellStart"/>
      <w:r>
        <w:rPr>
          <w:rtl/>
        </w:rPr>
        <w:t>לווידז</w:t>
      </w:r>
      <w:proofErr w:type="spellEnd"/>
      <w:r>
        <w:rPr>
          <w:rtl/>
        </w:rPr>
        <w:t xml:space="preserve">׳. הוא קיווה למנוע הישנות של מה שעשה הצבא הרוסי </w:t>
      </w:r>
      <w:proofErr w:type="spellStart"/>
      <w:r>
        <w:rPr>
          <w:rtl/>
        </w:rPr>
        <w:t>בתרע״ה</w:t>
      </w:r>
      <w:proofErr w:type="spellEnd"/>
      <w:r>
        <w:rPr>
          <w:rtl/>
        </w:rPr>
        <w:t xml:space="preserve">, כשנסוג מפני ההתקדמות הגרמנית והמיט פורענות על היהודים. בערל </w:t>
      </w:r>
      <w:proofErr w:type="spellStart"/>
      <w:r>
        <w:rPr>
          <w:rtl/>
        </w:rPr>
        <w:t>קגן</w:t>
      </w:r>
      <w:bookmarkStart w:id="5754" w:name="_fnr4386"/>
      <w:proofErr w:type="spellEnd"/>
      <w:r>
        <w:rPr>
          <w:vertAlign w:val="superscript"/>
          <w:rtl/>
        </w:rPr>
        <w:footnoteReference w:id="4396" w:customMarkFollows="0"/>
      </w:r>
      <w:bookmarkEnd w:id="5754"/>
      <w:r>
        <w:rPr>
          <w:rtl/>
        </w:rPr>
        <w:t xml:space="preserve"> מספר: “רוב היהודים נמלטו מן העיירה, אך כחמישים משפחות – מן העניים – הסתתרו בבית הכנסת. הקוזקים גילו אותם, פרצו לבית הכנסת והכו את היהודים ללא רחמים”.</w:t>
      </w:r>
    </w:p>
    <w:p w14:paraId="2F3A53F9" w14:textId="77777777" w:rsidR="00AB3647" w:rsidRDefault="00000000" w:rsidP="007923E9">
      <w:pPr>
        <w:spacing w:after="120" w:line="276" w:lineRule="auto"/>
        <w:ind w:firstLine="283"/>
        <w:jc w:val="both"/>
      </w:pPr>
      <w:r>
        <w:rPr>
          <w:rtl/>
        </w:rPr>
        <w:lastRenderedPageBreak/>
        <w:t xml:space="preserve">יום אחד שאל הפקיד הגרמני את הרב אם הוא מכיר אדם שיש לו סוסים ועגלות ויוכל להיכנס לעסק הרווחי של כריתת עצים ביערות העבותים שסביב </w:t>
      </w:r>
      <w:proofErr w:type="spellStart"/>
      <w:r>
        <w:rPr>
          <w:rtl/>
        </w:rPr>
        <w:t>וידז</w:t>
      </w:r>
      <w:proofErr w:type="spellEnd"/>
      <w:r>
        <w:rPr>
          <w:rtl/>
        </w:rPr>
        <w:t xml:space="preserve">׳, למשלוח לגרמניה. ר׳ </w:t>
      </w:r>
      <w:proofErr w:type="spellStart"/>
      <w:r>
        <w:rPr>
          <w:rtl/>
        </w:rPr>
        <w:t>יוסף־שלמה</w:t>
      </w:r>
      <w:proofErr w:type="spellEnd"/>
      <w:r>
        <w:rPr>
          <w:rtl/>
        </w:rPr>
        <w:t xml:space="preserve"> מצא לו סוחר יהודי מתאים, והם עשו הסכם שלפיו יחלקו השלושה – הרב, היהודי והגרמני, להבדיל – את הרווחים בשווה. הרב הסדיר ששלישו ישולם לו מדי יום, ובכל ערב נפגש עם הסוחר היהודי וקיבל ממנו את כספו. בכספים אלה שיחד ר׳ </w:t>
      </w:r>
      <w:proofErr w:type="spellStart"/>
      <w:r>
        <w:rPr>
          <w:rtl/>
        </w:rPr>
        <w:t>יוסף־שלמה</w:t>
      </w:r>
      <w:proofErr w:type="spellEnd"/>
      <w:r>
        <w:rPr>
          <w:rtl/>
        </w:rPr>
        <w:t xml:space="preserve"> את שומרי מחנה השבויים, ומדי יום הניחו לשלושה או ארבעה שבויים יהודים לחמוק החוצה.</w:t>
      </w:r>
    </w:p>
    <w:p w14:paraId="6BB455DD" w14:textId="77777777" w:rsidR="00AB3647" w:rsidRDefault="00000000" w:rsidP="007923E9">
      <w:pPr>
        <w:spacing w:after="120" w:line="276" w:lineRule="auto"/>
        <w:ind w:firstLine="283"/>
        <w:jc w:val="both"/>
      </w:pPr>
      <w:r>
        <w:rPr>
          <w:rtl/>
        </w:rPr>
        <w:t xml:space="preserve">הרב חשש שעיירתו תתמלא יהודים באופן שיבלוט לעין, ולכן שלח אותם לעיר אחרת; </w:t>
      </w:r>
      <w:r>
        <w:rPr>
          <w:b/>
          <w:bCs/>
          <w:rtl/>
        </w:rPr>
        <w:t xml:space="preserve">ר׳ יעקב </w:t>
      </w:r>
      <w:proofErr w:type="spellStart"/>
      <w:r>
        <w:rPr>
          <w:b/>
          <w:bCs/>
          <w:rtl/>
        </w:rPr>
        <w:t>לויסון</w:t>
      </w:r>
      <w:proofErr w:type="spellEnd"/>
      <w:r>
        <w:rPr>
          <w:b/>
          <w:bCs/>
          <w:rtl/>
        </w:rPr>
        <w:t xml:space="preserve"> לא זכר לאן</w:t>
      </w:r>
      <w:r>
        <w:rPr>
          <w:rtl/>
        </w:rPr>
        <w:t xml:space="preserve"> (ההדגשה לצורך הדיון להלן). ר׳ </w:t>
      </w:r>
      <w:proofErr w:type="spellStart"/>
      <w:r>
        <w:rPr>
          <w:rtl/>
        </w:rPr>
        <w:t>יוסף־שלמה</w:t>
      </w:r>
      <w:proofErr w:type="spellEnd"/>
      <w:r>
        <w:rPr>
          <w:rtl/>
        </w:rPr>
        <w:t xml:space="preserve"> </w:t>
      </w:r>
      <w:proofErr w:type="spellStart"/>
      <w:r>
        <w:rPr>
          <w:rtl/>
        </w:rPr>
        <w:t>כהנמן</w:t>
      </w:r>
      <w:proofErr w:type="spellEnd"/>
      <w:r>
        <w:rPr>
          <w:rtl/>
        </w:rPr>
        <w:t xml:space="preserve"> סיפר שנסע לאותה עיר ודיבר שלוש פעמים בשבת אחת לפני הקהילה, כדי שיארחו את הבאים החדשים. אחרי הדרשה הראשונה אמרו שאינם יכולים להסתכן בהסתרת שבויי מלחמה נמלטים, מפני שזהו פשע שדינו מוות. אחרי הדרשה השנייה חזרו אל הרב, חלצו את נעליהם (כמנודים) וביקשו מחילה על שלא הסכימו מיד. בפעם השלישית הודה להם בדרשה על פרשת השבוע – ואותה חזר ואמר באוזני ר׳ יעקב </w:t>
      </w:r>
      <w:proofErr w:type="spellStart"/>
      <w:r>
        <w:rPr>
          <w:rtl/>
        </w:rPr>
        <w:t>לויסון</w:t>
      </w:r>
      <w:bookmarkStart w:id="5755" w:name="_fnr4387"/>
      <w:proofErr w:type="spellEnd"/>
      <w:r>
        <w:rPr>
          <w:vertAlign w:val="superscript"/>
          <w:rtl/>
        </w:rPr>
        <w:footnoteReference w:id="4397" w:customMarkFollows="0"/>
      </w:r>
      <w:bookmarkEnd w:id="5755"/>
      <w:r>
        <w:rPr>
          <w:rtl/>
        </w:rPr>
        <w:t>.</w:t>
      </w:r>
    </w:p>
    <w:p w14:paraId="004EFA66" w14:textId="77777777" w:rsidR="00AB3647" w:rsidRDefault="00000000" w:rsidP="007923E9">
      <w:pPr>
        <w:spacing w:after="120" w:line="276" w:lineRule="auto"/>
        <w:ind w:firstLine="283"/>
        <w:jc w:val="both"/>
      </w:pPr>
      <w:r>
        <w:rPr>
          <w:rtl/>
        </w:rPr>
        <w:t xml:space="preserve">כששמעתי את הסיפור, הצעתי לקשור אותו לשאלה כיצד נעשה ר׳ </w:t>
      </w:r>
      <w:proofErr w:type="spellStart"/>
      <w:r>
        <w:rPr>
          <w:rtl/>
        </w:rPr>
        <w:t>יוסף־שלמה</w:t>
      </w:r>
      <w:proofErr w:type="spellEnd"/>
      <w:r>
        <w:rPr>
          <w:rtl/>
        </w:rPr>
        <w:t xml:space="preserve"> </w:t>
      </w:r>
      <w:proofErr w:type="spellStart"/>
      <w:r>
        <w:rPr>
          <w:rtl/>
        </w:rPr>
        <w:t>כהנמן</w:t>
      </w:r>
      <w:proofErr w:type="spellEnd"/>
      <w:r>
        <w:rPr>
          <w:rtl/>
        </w:rPr>
        <w:t xml:space="preserve"> רבה של </w:t>
      </w:r>
      <w:proofErr w:type="spellStart"/>
      <w:r>
        <w:rPr>
          <w:rtl/>
        </w:rPr>
        <w:t>פוניבז</w:t>
      </w:r>
      <w:proofErr w:type="spellEnd"/>
      <w:r>
        <w:rPr>
          <w:rtl/>
        </w:rPr>
        <w:t xml:space="preserve">׳, יורשו של גאון מפורסם בעולם כר׳ </w:t>
      </w:r>
      <w:proofErr w:type="spellStart"/>
      <w:r>
        <w:rPr>
          <w:rtl/>
        </w:rPr>
        <w:t>איצל׳ה</w:t>
      </w:r>
      <w:proofErr w:type="spellEnd"/>
      <w:r>
        <w:rPr>
          <w:rtl/>
        </w:rPr>
        <w:t xml:space="preserve"> </w:t>
      </w:r>
      <w:proofErr w:type="spellStart"/>
      <w:r>
        <w:rPr>
          <w:rtl/>
        </w:rPr>
        <w:t>רבינוביץ</w:t>
      </w:r>
      <w:bookmarkStart w:id="5756" w:name="_fnr4388"/>
      <w:proofErr w:type="spellEnd"/>
      <w:r>
        <w:rPr>
          <w:vertAlign w:val="superscript"/>
          <w:rtl/>
        </w:rPr>
        <w:footnoteReference w:id="4398" w:customMarkFollows="0"/>
      </w:r>
      <w:bookmarkEnd w:id="5756"/>
      <w:r>
        <w:rPr>
          <w:rtl/>
        </w:rPr>
        <w:t xml:space="preserve">. את השאלה הזאת שאל פעם ר׳ ישראל </w:t>
      </w:r>
      <w:proofErr w:type="spellStart"/>
      <w:r>
        <w:rPr>
          <w:rtl/>
        </w:rPr>
        <w:t>שורין</w:t>
      </w:r>
      <w:bookmarkStart w:id="5757" w:name="_fnr4389"/>
      <w:proofErr w:type="spellEnd"/>
      <w:r>
        <w:rPr>
          <w:vertAlign w:val="superscript"/>
          <w:rtl/>
        </w:rPr>
        <w:footnoteReference w:id="4399" w:customMarkFollows="0"/>
      </w:r>
      <w:bookmarkEnd w:id="5757"/>
      <w:r>
        <w:rPr>
          <w:rtl/>
        </w:rPr>
        <w:t xml:space="preserve"> את ר׳ יצחק שניידר, מתלמידי </w:t>
      </w:r>
      <w:proofErr w:type="spellStart"/>
      <w:r>
        <w:rPr>
          <w:rtl/>
        </w:rPr>
        <w:t>פוניבז</w:t>
      </w:r>
      <w:proofErr w:type="spellEnd"/>
      <w:r>
        <w:rPr>
          <w:rtl/>
        </w:rPr>
        <w:t xml:space="preserve">׳ ומתושביה המפורסמים, והרב שניידר השיב בדרכו העוקצנית: “הוא נעשה רב </w:t>
      </w:r>
      <w:proofErr w:type="spellStart"/>
      <w:r>
        <w:rPr>
          <w:rtl/>
        </w:rPr>
        <w:t>לפוניבז</w:t>
      </w:r>
      <w:proofErr w:type="spellEnd"/>
      <w:r>
        <w:rPr>
          <w:rtl/>
        </w:rPr>
        <w:t xml:space="preserve">׳?! הוא היה רב </w:t>
      </w:r>
      <w:proofErr w:type="spellStart"/>
      <w:r>
        <w:rPr>
          <w:rtl/>
        </w:rPr>
        <w:t>בווידז</w:t>
      </w:r>
      <w:proofErr w:type="spellEnd"/>
      <w:r>
        <w:rPr>
          <w:rtl/>
        </w:rPr>
        <w:t xml:space="preserve">׳, ומפני המלחמה התיישבו יהודים רבים </w:t>
      </w:r>
      <w:proofErr w:type="spellStart"/>
      <w:r>
        <w:rPr>
          <w:rtl/>
        </w:rPr>
        <w:t>מווידז</w:t>
      </w:r>
      <w:proofErr w:type="spellEnd"/>
      <w:r>
        <w:rPr>
          <w:rtl/>
        </w:rPr>
        <w:t xml:space="preserve">׳ </w:t>
      </w:r>
      <w:proofErr w:type="spellStart"/>
      <w:r>
        <w:rPr>
          <w:rtl/>
        </w:rPr>
        <w:t>בפוניבז</w:t>
      </w:r>
      <w:proofErr w:type="spellEnd"/>
      <w:r>
        <w:rPr>
          <w:rtl/>
        </w:rPr>
        <w:t>׳, והם שבחרו בו”</w:t>
      </w:r>
      <w:bookmarkStart w:id="5758" w:name="_fnr4390"/>
      <w:r>
        <w:rPr>
          <w:vertAlign w:val="superscript"/>
          <w:rtl/>
        </w:rPr>
        <w:footnoteReference w:id="4400" w:customMarkFollows="0"/>
      </w:r>
      <w:bookmarkEnd w:id="5758"/>
      <w:r>
        <w:rPr>
          <w:rtl/>
        </w:rPr>
        <w:t>.</w:t>
      </w:r>
    </w:p>
    <w:p w14:paraId="70E8B8F3" w14:textId="77777777" w:rsidR="00AB3647" w:rsidRDefault="00000000" w:rsidP="007923E9">
      <w:pPr>
        <w:spacing w:after="120" w:line="276" w:lineRule="auto"/>
        <w:ind w:firstLine="283"/>
        <w:jc w:val="both"/>
      </w:pPr>
      <w:r>
        <w:rPr>
          <w:rtl/>
        </w:rPr>
        <w:t xml:space="preserve">הצעתי </w:t>
      </w:r>
      <w:proofErr w:type="spellStart"/>
      <w:r>
        <w:rPr>
          <w:rtl/>
        </w:rPr>
        <w:t>לר</w:t>
      </w:r>
      <w:proofErr w:type="spellEnd"/>
      <w:r>
        <w:rPr>
          <w:rtl/>
        </w:rPr>
        <w:t xml:space="preserve">׳ יעקב </w:t>
      </w:r>
      <w:proofErr w:type="spellStart"/>
      <w:r>
        <w:rPr>
          <w:rtl/>
        </w:rPr>
        <w:t>לויסון</w:t>
      </w:r>
      <w:proofErr w:type="spellEnd"/>
      <w:r>
        <w:rPr>
          <w:rtl/>
        </w:rPr>
        <w:t xml:space="preserve"> שאולי היו אלה השבויים, שהועברו </w:t>
      </w:r>
      <w:proofErr w:type="spellStart"/>
      <w:r>
        <w:rPr>
          <w:rtl/>
        </w:rPr>
        <w:t>מווידז</w:t>
      </w:r>
      <w:proofErr w:type="spellEnd"/>
      <w:r>
        <w:rPr>
          <w:rtl/>
        </w:rPr>
        <w:t xml:space="preserve">׳ שבקצה המזרחי של ליטא אל העיר הגדולה </w:t>
      </w:r>
      <w:proofErr w:type="spellStart"/>
      <w:r>
        <w:rPr>
          <w:rtl/>
        </w:rPr>
        <w:t>פוניבז</w:t>
      </w:r>
      <w:proofErr w:type="spellEnd"/>
      <w:r>
        <w:rPr>
          <w:rtl/>
        </w:rPr>
        <w:t xml:space="preserve">׳, 130 קילומטר ממערב – שם יכלו להיבלע בתוך האוכלוסייה היהודית המקומית הגדולה – והם שסיפקו אחר כך, בהכרת טובה, את הקולות לבחירת ר׳ </w:t>
      </w:r>
      <w:proofErr w:type="spellStart"/>
      <w:r>
        <w:rPr>
          <w:rtl/>
        </w:rPr>
        <w:t>יוסף־שלמה</w:t>
      </w:r>
      <w:proofErr w:type="spellEnd"/>
      <w:r>
        <w:rPr>
          <w:rtl/>
        </w:rPr>
        <w:t xml:space="preserve"> </w:t>
      </w:r>
      <w:proofErr w:type="spellStart"/>
      <w:r>
        <w:rPr>
          <w:rtl/>
        </w:rPr>
        <w:t>כהנמן</w:t>
      </w:r>
      <w:proofErr w:type="spellEnd"/>
      <w:r>
        <w:rPr>
          <w:rtl/>
        </w:rPr>
        <w:t xml:space="preserve">. אבל אם אכן נשלחו השבויים המשוחררים </w:t>
      </w:r>
      <w:proofErr w:type="spellStart"/>
      <w:r>
        <w:rPr>
          <w:rtl/>
        </w:rPr>
        <w:t>מווידז</w:t>
      </w:r>
      <w:proofErr w:type="spellEnd"/>
      <w:r>
        <w:rPr>
          <w:rtl/>
        </w:rPr>
        <w:t xml:space="preserve">׳ </w:t>
      </w:r>
      <w:proofErr w:type="spellStart"/>
      <w:r>
        <w:rPr>
          <w:rtl/>
        </w:rPr>
        <w:t>לפוניבז</w:t>
      </w:r>
      <w:proofErr w:type="spellEnd"/>
      <w:r>
        <w:rPr>
          <w:rtl/>
        </w:rPr>
        <w:t xml:space="preserve">׳, מפתיע ששמה של העיר שאת </w:t>
      </w:r>
      <w:proofErr w:type="spellStart"/>
      <w:r>
        <w:rPr>
          <w:rtl/>
        </w:rPr>
        <w:t>יהודיה</w:t>
      </w:r>
      <w:proofErr w:type="spellEnd"/>
      <w:r>
        <w:rPr>
          <w:rtl/>
        </w:rPr>
        <w:t xml:space="preserve"> היה צריך ר׳ </w:t>
      </w:r>
      <w:proofErr w:type="spellStart"/>
      <w:r>
        <w:rPr>
          <w:rtl/>
        </w:rPr>
        <w:t>יוסף־שלמה</w:t>
      </w:r>
      <w:proofErr w:type="spellEnd"/>
      <w:r>
        <w:rPr>
          <w:rtl/>
        </w:rPr>
        <w:t xml:space="preserve"> לשכנע לארח את היהודים המסכנים – </w:t>
      </w:r>
      <w:proofErr w:type="spellStart"/>
      <w:r>
        <w:rPr>
          <w:rtl/>
        </w:rPr>
        <w:t>פוניבז</w:t>
      </w:r>
      <w:proofErr w:type="spellEnd"/>
      <w:r>
        <w:rPr>
          <w:rtl/>
        </w:rPr>
        <w:t xml:space="preserve">׳ – נשמט מזיכרונו של ר׳ יעקב </w:t>
      </w:r>
      <w:proofErr w:type="spellStart"/>
      <w:r>
        <w:rPr>
          <w:rtl/>
        </w:rPr>
        <w:t>לויסון</w:t>
      </w:r>
      <w:proofErr w:type="spellEnd"/>
      <w:r>
        <w:rPr>
          <w:rtl/>
        </w:rPr>
        <w:t xml:space="preserve">. מסתבר שהיה צריך להביא תחילה את השבויים, הסובלים </w:t>
      </w:r>
      <w:proofErr w:type="spellStart"/>
      <w:r>
        <w:rPr>
          <w:rtl/>
        </w:rPr>
        <w:t>מתת־תזונה</w:t>
      </w:r>
      <w:proofErr w:type="spellEnd"/>
      <w:r>
        <w:rPr>
          <w:rtl/>
        </w:rPr>
        <w:t xml:space="preserve">, למקום כלשהו באמצע הדרך בין </w:t>
      </w:r>
      <w:proofErr w:type="spellStart"/>
      <w:r>
        <w:rPr>
          <w:rtl/>
        </w:rPr>
        <w:t>וידז</w:t>
      </w:r>
      <w:proofErr w:type="spellEnd"/>
      <w:r>
        <w:rPr>
          <w:rtl/>
        </w:rPr>
        <w:t xml:space="preserve">׳ </w:t>
      </w:r>
      <w:proofErr w:type="spellStart"/>
      <w:r>
        <w:rPr>
          <w:rtl/>
        </w:rPr>
        <w:t>לפוניבז</w:t>
      </w:r>
      <w:proofErr w:type="spellEnd"/>
      <w:r>
        <w:rPr>
          <w:rtl/>
        </w:rPr>
        <w:t xml:space="preserve">׳, כגון </w:t>
      </w:r>
      <w:proofErr w:type="spellStart"/>
      <w:r>
        <w:rPr>
          <w:rtl/>
        </w:rPr>
        <w:t>אוטיאן</w:t>
      </w:r>
      <w:proofErr w:type="spellEnd"/>
      <w:r>
        <w:rPr>
          <w:rtl/>
        </w:rPr>
        <w:t xml:space="preserve"> או </w:t>
      </w:r>
      <w:proofErr w:type="spellStart"/>
      <w:r>
        <w:rPr>
          <w:rtl/>
        </w:rPr>
        <w:t>אניקשט</w:t>
      </w:r>
      <w:proofErr w:type="spellEnd"/>
      <w:r>
        <w:rPr>
          <w:rtl/>
        </w:rPr>
        <w:t xml:space="preserve">, כדי שיאכלו וינוחו ויגיעו ליעדם במצב ראוי; ואל יהודי מקום מושבם הזמני היה על ר׳ </w:t>
      </w:r>
      <w:proofErr w:type="spellStart"/>
      <w:r>
        <w:rPr>
          <w:rtl/>
        </w:rPr>
        <w:t>יוסף־שלמה</w:t>
      </w:r>
      <w:proofErr w:type="spellEnd"/>
      <w:r>
        <w:rPr>
          <w:rtl/>
        </w:rPr>
        <w:t xml:space="preserve"> לפנות בבקשת אירוח.</w:t>
      </w:r>
    </w:p>
    <w:p w14:paraId="2B0C2E54" w14:textId="77777777" w:rsidR="00AB3647" w:rsidRDefault="00000000" w:rsidP="007923E9">
      <w:pPr>
        <w:spacing w:after="120" w:line="276" w:lineRule="auto"/>
        <w:ind w:firstLine="283"/>
        <w:jc w:val="both"/>
      </w:pPr>
      <w:r>
        <w:rPr>
          <w:rtl/>
        </w:rPr>
        <w:lastRenderedPageBreak/>
        <w:t xml:space="preserve">השווה גם מאמר על ר׳ </w:t>
      </w:r>
      <w:proofErr w:type="spellStart"/>
      <w:r>
        <w:rPr>
          <w:rtl/>
        </w:rPr>
        <w:t>יוסף־שלמה</w:t>
      </w:r>
      <w:proofErr w:type="spellEnd"/>
      <w:r>
        <w:rPr>
          <w:rtl/>
        </w:rPr>
        <w:t xml:space="preserve"> </w:t>
      </w:r>
      <w:proofErr w:type="spellStart"/>
      <w:r>
        <w:rPr>
          <w:rtl/>
        </w:rPr>
        <w:t>כהנמן</w:t>
      </w:r>
      <w:proofErr w:type="spellEnd"/>
      <w:r>
        <w:rPr>
          <w:rtl/>
        </w:rPr>
        <w:t xml:space="preserve"> </w:t>
      </w:r>
      <w:proofErr w:type="spellStart"/>
      <w:r>
        <w:rPr>
          <w:rtl/>
        </w:rPr>
        <w:t>ב“קשת</w:t>
      </w:r>
      <w:proofErr w:type="spellEnd"/>
      <w:r>
        <w:rPr>
          <w:rtl/>
        </w:rPr>
        <w:t xml:space="preserve"> </w:t>
      </w:r>
      <w:proofErr w:type="spellStart"/>
      <w:r>
        <w:rPr>
          <w:rtl/>
        </w:rPr>
        <w:t>גבורים</w:t>
      </w:r>
      <w:proofErr w:type="spellEnd"/>
      <w:r>
        <w:rPr>
          <w:rtl/>
        </w:rPr>
        <w:t>”</w:t>
      </w:r>
      <w:bookmarkStart w:id="5759" w:name="_fnr4391"/>
      <w:r>
        <w:rPr>
          <w:vertAlign w:val="superscript"/>
          <w:rtl/>
        </w:rPr>
        <w:footnoteReference w:id="4401" w:customMarkFollows="0"/>
      </w:r>
      <w:bookmarkEnd w:id="5759"/>
      <w:r>
        <w:rPr>
          <w:rtl/>
        </w:rPr>
        <w:t xml:space="preserve">, שאולי מתייחס גם הוא לאותם שבויי מלחמה נמלטים, ואולי רומז כיצד נעשה רב (כמודגש להלן). “קשת </w:t>
      </w:r>
      <w:proofErr w:type="spellStart"/>
      <w:r>
        <w:rPr>
          <w:rtl/>
        </w:rPr>
        <w:t>גבורים</w:t>
      </w:r>
      <w:proofErr w:type="spellEnd"/>
      <w:r>
        <w:rPr>
          <w:rtl/>
        </w:rPr>
        <w:t xml:space="preserve">” מספר: “ר׳ </w:t>
      </w:r>
      <w:proofErr w:type="spellStart"/>
      <w:r>
        <w:rPr>
          <w:rtl/>
        </w:rPr>
        <w:t>יוסף־שלמה</w:t>
      </w:r>
      <w:proofErr w:type="spellEnd"/>
      <w:r>
        <w:rPr>
          <w:rtl/>
        </w:rPr>
        <w:t xml:space="preserve"> </w:t>
      </w:r>
      <w:proofErr w:type="spellStart"/>
      <w:r>
        <w:rPr>
          <w:rtl/>
        </w:rPr>
        <w:t>כהנמן</w:t>
      </w:r>
      <w:proofErr w:type="spellEnd"/>
      <w:r>
        <w:rPr>
          <w:rtl/>
        </w:rPr>
        <w:t xml:space="preserve"> ביקר </w:t>
      </w:r>
      <w:proofErr w:type="spellStart"/>
      <w:r>
        <w:rPr>
          <w:rtl/>
        </w:rPr>
        <w:t>בפוניבז</w:t>
      </w:r>
      <w:proofErr w:type="spellEnd"/>
      <w:r>
        <w:rPr>
          <w:rtl/>
        </w:rPr>
        <w:t xml:space="preserve">׳ מפעם לפעם כדי ליישב שם משפחות פליטים ולמצוא להן מגורים ופרנסה כלשהי. העזרה והישועה שהביא </w:t>
      </w:r>
      <w:proofErr w:type="spellStart"/>
      <w:r>
        <w:rPr>
          <w:b/>
          <w:bCs/>
          <w:rtl/>
        </w:rPr>
        <w:t>בפוניבז</w:t>
      </w:r>
      <w:proofErr w:type="spellEnd"/>
      <w:r>
        <w:rPr>
          <w:b/>
          <w:bCs/>
          <w:rtl/>
        </w:rPr>
        <w:t>׳ ובסביבתה</w:t>
      </w:r>
      <w:bookmarkStart w:id="5760" w:name="_fnr4392"/>
      <w:r>
        <w:rPr>
          <w:vertAlign w:val="superscript"/>
          <w:rtl/>
        </w:rPr>
        <w:footnoteReference w:id="4402" w:customMarkFollows="0"/>
      </w:r>
      <w:bookmarkEnd w:id="5760"/>
      <w:r>
        <w:rPr>
          <w:rtl/>
        </w:rPr>
        <w:t xml:space="preserve"> באותה עת זיכו אותו בשבחים ובחיבה </w:t>
      </w:r>
      <w:r>
        <w:rPr>
          <w:b/>
          <w:bCs/>
          <w:rtl/>
        </w:rPr>
        <w:t>מכל יהודי העיר ללא יוצא מן הכלל</w:t>
      </w:r>
      <w:r>
        <w:rPr>
          <w:rtl/>
        </w:rPr>
        <w:t>. לפיכך היה נערץ על ראשי הקהילה עוד לפני שנבחר לרב הקהילה”.</w:t>
      </w:r>
    </w:p>
    <w:p w14:paraId="0D5A0B89" w14:textId="77777777" w:rsidR="00AB3647" w:rsidRDefault="00000000" w:rsidP="007923E9">
      <w:pPr>
        <w:spacing w:after="120" w:line="276" w:lineRule="auto"/>
        <w:ind w:firstLine="283"/>
        <w:jc w:val="both"/>
      </w:pPr>
      <w:r>
        <w:rPr>
          <w:rtl/>
        </w:rPr>
        <w:t xml:space="preserve">יש להוסיף שר׳ </w:t>
      </w:r>
      <w:proofErr w:type="spellStart"/>
      <w:r>
        <w:rPr>
          <w:rtl/>
        </w:rPr>
        <w:t>יוסף־שלמה</w:t>
      </w:r>
      <w:proofErr w:type="spellEnd"/>
      <w:r>
        <w:rPr>
          <w:rtl/>
        </w:rPr>
        <w:t xml:space="preserve"> </w:t>
      </w:r>
      <w:proofErr w:type="spellStart"/>
      <w:r>
        <w:rPr>
          <w:rtl/>
        </w:rPr>
        <w:t>כהנמן</w:t>
      </w:r>
      <w:proofErr w:type="spellEnd"/>
      <w:r>
        <w:rPr>
          <w:rtl/>
        </w:rPr>
        <w:t xml:space="preserve"> לא סיפר </w:t>
      </w:r>
      <w:proofErr w:type="spellStart"/>
      <w:r>
        <w:rPr>
          <w:rtl/>
        </w:rPr>
        <w:t>לר</w:t>
      </w:r>
      <w:proofErr w:type="spellEnd"/>
      <w:r>
        <w:rPr>
          <w:rtl/>
        </w:rPr>
        <w:t xml:space="preserve">׳ </w:t>
      </w:r>
      <w:proofErr w:type="spellStart"/>
      <w:r>
        <w:rPr>
          <w:rtl/>
        </w:rPr>
        <w:t>אהרן־בן־ציון</w:t>
      </w:r>
      <w:proofErr w:type="spellEnd"/>
      <w:r>
        <w:rPr>
          <w:rtl/>
        </w:rPr>
        <w:t xml:space="preserve"> </w:t>
      </w:r>
      <w:proofErr w:type="spellStart"/>
      <w:r>
        <w:rPr>
          <w:rtl/>
        </w:rPr>
        <w:t>שורין</w:t>
      </w:r>
      <w:proofErr w:type="spellEnd"/>
      <w:r>
        <w:rPr>
          <w:rtl/>
        </w:rPr>
        <w:t xml:space="preserve">, מחבר “קשת </w:t>
      </w:r>
      <w:proofErr w:type="spellStart"/>
      <w:r>
        <w:rPr>
          <w:rtl/>
        </w:rPr>
        <w:t>גבורים</w:t>
      </w:r>
      <w:proofErr w:type="spellEnd"/>
      <w:r>
        <w:rPr>
          <w:rtl/>
        </w:rPr>
        <w:t xml:space="preserve">”, מי היו הפליטים האלה – או שאולי סיפר וביקש שלא לפרסם – מפני שרבני ליטא בכלל הסתייגו מהפרת חוק המדינה. ובמקרים קיצוניים שבהם לא היה מנוס מהפרת החוק, כגון הצלת נפשות יהודיות שבה עסק ר׳ </w:t>
      </w:r>
      <w:proofErr w:type="spellStart"/>
      <w:r>
        <w:rPr>
          <w:rtl/>
        </w:rPr>
        <w:t>יוסף־שלמה</w:t>
      </w:r>
      <w:proofErr w:type="spellEnd"/>
      <w:r>
        <w:rPr>
          <w:rtl/>
        </w:rPr>
        <w:t>, הסתייגו מלגלות את מה שעשו.</w:t>
      </w:r>
    </w:p>
    <w:p w14:paraId="52793107" w14:textId="77777777" w:rsidR="00AB3647" w:rsidRDefault="00000000" w:rsidP="007923E9">
      <w:pPr>
        <w:spacing w:after="120" w:line="276" w:lineRule="auto"/>
        <w:ind w:firstLine="283"/>
        <w:jc w:val="both"/>
      </w:pPr>
      <w:r>
        <w:rPr>
          <w:rtl/>
        </w:rPr>
        <w:t xml:space="preserve">בלי ההסבר שהוצע לעיל, דברי הרב שניידר מעוררים שתי בעיות: 1) מדוע יתיישבו תושבי </w:t>
      </w:r>
      <w:proofErr w:type="spellStart"/>
      <w:r>
        <w:rPr>
          <w:rtl/>
        </w:rPr>
        <w:t>וידז</w:t>
      </w:r>
      <w:proofErr w:type="spellEnd"/>
      <w:r>
        <w:rPr>
          <w:rtl/>
        </w:rPr>
        <w:t xml:space="preserve">׳ בעיר רחוקה כל כך, ובצורה מאורגנת כל כך עד שיהיה להם בה משקל? 2) ר׳ </w:t>
      </w:r>
      <w:proofErr w:type="spellStart"/>
      <w:r>
        <w:rPr>
          <w:rtl/>
        </w:rPr>
        <w:t>יוסף־שלמה</w:t>
      </w:r>
      <w:proofErr w:type="spellEnd"/>
      <w:r>
        <w:rPr>
          <w:rtl/>
        </w:rPr>
        <w:t xml:space="preserve"> </w:t>
      </w:r>
      <w:proofErr w:type="spellStart"/>
      <w:r>
        <w:rPr>
          <w:rtl/>
        </w:rPr>
        <w:t>כהנמן</w:t>
      </w:r>
      <w:proofErr w:type="spellEnd"/>
      <w:r>
        <w:rPr>
          <w:rtl/>
        </w:rPr>
        <w:t xml:space="preserve"> ישב </w:t>
      </w:r>
      <w:proofErr w:type="spellStart"/>
      <w:r>
        <w:rPr>
          <w:rtl/>
        </w:rPr>
        <w:t>בווידז</w:t>
      </w:r>
      <w:proofErr w:type="spellEnd"/>
      <w:r>
        <w:rPr>
          <w:rtl/>
        </w:rPr>
        <w:t>׳ רק ארבע שנים רצופות</w:t>
      </w:r>
      <w:bookmarkStart w:id="5761" w:name="_fnr4393"/>
      <w:r>
        <w:rPr>
          <w:vertAlign w:val="superscript"/>
          <w:rtl/>
        </w:rPr>
        <w:footnoteReference w:id="4403" w:customMarkFollows="0"/>
      </w:r>
      <w:bookmarkEnd w:id="5761"/>
      <w:r>
        <w:rPr>
          <w:rtl/>
        </w:rPr>
        <w:t xml:space="preserve">, </w:t>
      </w:r>
      <w:proofErr w:type="spellStart"/>
      <w:r>
        <w:rPr>
          <w:rtl/>
        </w:rPr>
        <w:t>מתרע״א</w:t>
      </w:r>
      <w:proofErr w:type="spellEnd"/>
      <w:r>
        <w:rPr>
          <w:rtl/>
        </w:rPr>
        <w:t xml:space="preserve"> עד “אמצע חנוכה” תרע״ו. את שלוש השנים המלאות שאחריהן עשה </w:t>
      </w:r>
      <w:proofErr w:type="spellStart"/>
      <w:r>
        <w:rPr>
          <w:rtl/>
        </w:rPr>
        <w:t>בקולטיניאן</w:t>
      </w:r>
      <w:proofErr w:type="spellEnd"/>
      <w:r>
        <w:rPr>
          <w:rtl/>
        </w:rPr>
        <w:t xml:space="preserve"> (ליד </w:t>
      </w:r>
      <w:proofErr w:type="spellStart"/>
      <w:r>
        <w:rPr>
          <w:rtl/>
        </w:rPr>
        <w:t>שווינציאן</w:t>
      </w:r>
      <w:proofErr w:type="spellEnd"/>
      <w:r>
        <w:rPr>
          <w:rtl/>
        </w:rPr>
        <w:t xml:space="preserve">), כ־35 קילומטר מדרום </w:t>
      </w:r>
      <w:proofErr w:type="spellStart"/>
      <w:r>
        <w:rPr>
          <w:rtl/>
        </w:rPr>
        <w:t>לווידז</w:t>
      </w:r>
      <w:proofErr w:type="spellEnd"/>
      <w:r>
        <w:rPr>
          <w:rtl/>
        </w:rPr>
        <w:t xml:space="preserve">׳, ולעירו שב רק חודשיים לפני פטירת ר׳ </w:t>
      </w:r>
      <w:proofErr w:type="spellStart"/>
      <w:r>
        <w:rPr>
          <w:rtl/>
        </w:rPr>
        <w:t>איצל׳ה</w:t>
      </w:r>
      <w:proofErr w:type="spellEnd"/>
      <w:r>
        <w:rPr>
          <w:rtl/>
        </w:rPr>
        <w:t xml:space="preserve"> </w:t>
      </w:r>
      <w:proofErr w:type="spellStart"/>
      <w:r>
        <w:rPr>
          <w:rtl/>
        </w:rPr>
        <w:t>בפוניבז</w:t>
      </w:r>
      <w:proofErr w:type="spellEnd"/>
      <w:r>
        <w:rPr>
          <w:rtl/>
        </w:rPr>
        <w:t xml:space="preserve">׳. אם כן, מדוע חיבבו אותו אנשי </w:t>
      </w:r>
      <w:proofErr w:type="spellStart"/>
      <w:r>
        <w:rPr>
          <w:rtl/>
        </w:rPr>
        <w:t>וידז</w:t>
      </w:r>
      <w:proofErr w:type="spellEnd"/>
      <w:r>
        <w:rPr>
          <w:rtl/>
        </w:rPr>
        <w:t xml:space="preserve">׳ כל כך, עד שפעלו למענו אצל שכניהם החדשים </w:t>
      </w:r>
      <w:proofErr w:type="spellStart"/>
      <w:r>
        <w:rPr>
          <w:rtl/>
        </w:rPr>
        <w:t>בפוניבז</w:t>
      </w:r>
      <w:proofErr w:type="spellEnd"/>
      <w:r>
        <w:rPr>
          <w:rtl/>
        </w:rPr>
        <w:t>׳?</w:t>
      </w:r>
    </w:p>
    <w:p w14:paraId="0E5AC478" w14:textId="77777777" w:rsidR="00AB3647" w:rsidRDefault="00000000" w:rsidP="007923E9">
      <w:pPr>
        <w:spacing w:after="120" w:line="276" w:lineRule="auto"/>
        <w:ind w:firstLine="283"/>
        <w:jc w:val="both"/>
      </w:pPr>
      <w:r>
        <w:rPr>
          <w:rtl/>
        </w:rPr>
        <w:t xml:space="preserve">אפשר לשער גם שהסיבה שר׳ </w:t>
      </w:r>
      <w:proofErr w:type="spellStart"/>
      <w:r>
        <w:rPr>
          <w:rtl/>
        </w:rPr>
        <w:t>יוסף־שלמה</w:t>
      </w:r>
      <w:proofErr w:type="spellEnd"/>
      <w:r>
        <w:rPr>
          <w:rtl/>
        </w:rPr>
        <w:t xml:space="preserve"> נאלץ לעזוב את </w:t>
      </w:r>
      <w:proofErr w:type="spellStart"/>
      <w:r>
        <w:rPr>
          <w:rtl/>
        </w:rPr>
        <w:t>וידז</w:t>
      </w:r>
      <w:proofErr w:type="spellEnd"/>
      <w:r>
        <w:rPr>
          <w:rtl/>
        </w:rPr>
        <w:t xml:space="preserve">׳ פתאום, “באמצע חנוכה”, ולהישאר בכפר </w:t>
      </w:r>
      <w:proofErr w:type="spellStart"/>
      <w:r>
        <w:rPr>
          <w:rtl/>
        </w:rPr>
        <w:t>קולטיניאן</w:t>
      </w:r>
      <w:proofErr w:type="spellEnd"/>
      <w:r>
        <w:rPr>
          <w:rtl/>
        </w:rPr>
        <w:t xml:space="preserve"> זמן רב כל כך – עד שנסוגו הגרמנים </w:t>
      </w:r>
      <w:proofErr w:type="spellStart"/>
      <w:r>
        <w:rPr>
          <w:rtl/>
        </w:rPr>
        <w:t>מווידז</w:t>
      </w:r>
      <w:proofErr w:type="spellEnd"/>
      <w:r>
        <w:rPr>
          <w:rtl/>
        </w:rPr>
        <w:t>׳ – קשורה לחשש שפעולותיו הבלתי חוקיות למען השבויים היהודים יתגלו, או לגילוין בפועל</w:t>
      </w:r>
      <w:bookmarkStart w:id="5762" w:name="_fnr4394"/>
      <w:r>
        <w:rPr>
          <w:vertAlign w:val="superscript"/>
          <w:rtl/>
        </w:rPr>
        <w:footnoteReference w:id="4404" w:customMarkFollows="0"/>
      </w:r>
      <w:bookmarkEnd w:id="5762"/>
      <w:r>
        <w:rPr>
          <w:rtl/>
        </w:rPr>
        <w:t>.</w:t>
      </w:r>
    </w:p>
    <w:p w14:paraId="4B2FEAC9" w14:textId="77777777" w:rsidR="00AB3647" w:rsidRDefault="00000000" w:rsidP="007923E9">
      <w:pPr>
        <w:spacing w:after="120" w:line="276" w:lineRule="auto"/>
        <w:ind w:firstLine="283"/>
        <w:jc w:val="both"/>
      </w:pPr>
      <w:r>
        <w:rPr>
          <w:rtl/>
        </w:rPr>
        <w:t xml:space="preserve">ר׳ יעקב </w:t>
      </w:r>
      <w:proofErr w:type="spellStart"/>
      <w:r>
        <w:rPr>
          <w:rtl/>
        </w:rPr>
        <w:t>לויסון</w:t>
      </w:r>
      <w:proofErr w:type="spellEnd"/>
      <w:r>
        <w:rPr>
          <w:rtl/>
        </w:rPr>
        <w:t xml:space="preserve"> סיפר מה שאמר לו ר׳ </w:t>
      </w:r>
      <w:proofErr w:type="spellStart"/>
      <w:r>
        <w:rPr>
          <w:rtl/>
        </w:rPr>
        <w:t>יוסף־שלמה</w:t>
      </w:r>
      <w:proofErr w:type="spellEnd"/>
      <w:r>
        <w:rPr>
          <w:rtl/>
        </w:rPr>
        <w:t xml:space="preserve"> </w:t>
      </w:r>
      <w:proofErr w:type="spellStart"/>
      <w:r>
        <w:rPr>
          <w:rtl/>
        </w:rPr>
        <w:t>כהנמן</w:t>
      </w:r>
      <w:proofErr w:type="spellEnd"/>
      <w:r>
        <w:rPr>
          <w:rtl/>
        </w:rPr>
        <w:t xml:space="preserve"> עצמו על התמנותו לרב </w:t>
      </w:r>
      <w:proofErr w:type="spellStart"/>
      <w:r>
        <w:rPr>
          <w:rtl/>
        </w:rPr>
        <w:t>פוניבז</w:t>
      </w:r>
      <w:proofErr w:type="spellEnd"/>
      <w:r>
        <w:rPr>
          <w:rtl/>
        </w:rPr>
        <w:t xml:space="preserve">׳ – דברים שאינם מאשרים ואינם סותרים את דברי הרב שניידר. הרוסים שבו </w:t>
      </w:r>
      <w:proofErr w:type="spellStart"/>
      <w:r>
        <w:rPr>
          <w:rtl/>
        </w:rPr>
        <w:t>לווידז</w:t>
      </w:r>
      <w:proofErr w:type="spellEnd"/>
      <w:r>
        <w:rPr>
          <w:rtl/>
        </w:rPr>
        <w:t xml:space="preserve">׳ בחורף תרע״ט – הפעם לא היה זה צבאו הקיסרי של הצאר אלא הצבא האדום הבולשביקי – ומיד החלו להצר את צעדי הציבור הדתי. ר׳ </w:t>
      </w:r>
      <w:proofErr w:type="spellStart"/>
      <w:r>
        <w:rPr>
          <w:rtl/>
        </w:rPr>
        <w:t>יוסף־שלמה</w:t>
      </w:r>
      <w:proofErr w:type="spellEnd"/>
      <w:r>
        <w:rPr>
          <w:rtl/>
        </w:rPr>
        <w:t xml:space="preserve"> עזב את העיירה לווילנה, ונכנס לבית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כדי לדון עמו בצרות. ר׳ </w:t>
      </w:r>
      <w:proofErr w:type="spellStart"/>
      <w:r>
        <w:rPr>
          <w:rtl/>
        </w:rPr>
        <w:t>חיים־עוזר</w:t>
      </w:r>
      <w:proofErr w:type="spellEnd"/>
      <w:r>
        <w:rPr>
          <w:rtl/>
        </w:rPr>
        <w:t xml:space="preserve"> אמר לו לשוב מיד </w:t>
      </w:r>
      <w:proofErr w:type="spellStart"/>
      <w:r>
        <w:rPr>
          <w:rtl/>
        </w:rPr>
        <w:t>לווידז</w:t>
      </w:r>
      <w:proofErr w:type="spellEnd"/>
      <w:r>
        <w:rPr>
          <w:rtl/>
        </w:rPr>
        <w:t xml:space="preserve">׳. כשהגיע, מצא מברק שהמתין לו, ובו בקשה שיבוא </w:t>
      </w:r>
      <w:proofErr w:type="spellStart"/>
      <w:r>
        <w:rPr>
          <w:rtl/>
        </w:rPr>
        <w:t>לפוניבז</w:t>
      </w:r>
      <w:proofErr w:type="spellEnd"/>
      <w:r>
        <w:rPr>
          <w:rtl/>
        </w:rPr>
        <w:t xml:space="preserve">׳ להספיד את ר׳ </w:t>
      </w:r>
      <w:proofErr w:type="spellStart"/>
      <w:r>
        <w:rPr>
          <w:rtl/>
        </w:rPr>
        <w:t>איצל׳ה</w:t>
      </w:r>
      <w:proofErr w:type="spellEnd"/>
      <w:r>
        <w:rPr>
          <w:rtl/>
        </w:rPr>
        <w:t xml:space="preserve">. הוא נסע </w:t>
      </w:r>
      <w:proofErr w:type="spellStart"/>
      <w:r>
        <w:rPr>
          <w:rtl/>
        </w:rPr>
        <w:t>לפוניבז</w:t>
      </w:r>
      <w:proofErr w:type="spellEnd"/>
      <w:r>
        <w:rPr>
          <w:rtl/>
        </w:rPr>
        <w:t>׳ להספד, וזמן קצר אחר כך הוגש לו כתב רבנות.</w:t>
      </w:r>
    </w:p>
    <w:p w14:paraId="084F0DE5" w14:textId="77777777" w:rsidR="00AB3647" w:rsidRDefault="00000000" w:rsidP="007923E9">
      <w:pPr>
        <w:spacing w:after="120" w:line="276" w:lineRule="auto"/>
        <w:ind w:firstLine="283"/>
        <w:jc w:val="both"/>
      </w:pPr>
      <w:r>
        <w:rPr>
          <w:rtl/>
        </w:rPr>
        <w:t xml:space="preserve">כעבור תשע שנים פגש שוב את ר׳ </w:t>
      </w:r>
      <w:proofErr w:type="spellStart"/>
      <w:r>
        <w:rPr>
          <w:rtl/>
        </w:rPr>
        <w:t>חיים־עוזר</w:t>
      </w:r>
      <w:proofErr w:type="spellEnd"/>
      <w:r>
        <w:rPr>
          <w:rtl/>
        </w:rPr>
        <w:t xml:space="preserve"> ואמר לו: “[לפי מה שאני מכירך, ודאי] כשאמרת לי מה לעשות לא נהגת כמעשה רבי [חסידי, הטוען לידיעת הנסתרות]: אמור לי מה אירע!” ר׳ </w:t>
      </w:r>
      <w:proofErr w:type="spellStart"/>
      <w:r>
        <w:rPr>
          <w:rtl/>
        </w:rPr>
        <w:t>חיים־עוזר</w:t>
      </w:r>
      <w:proofErr w:type="spellEnd"/>
      <w:r>
        <w:rPr>
          <w:rtl/>
        </w:rPr>
        <w:t xml:space="preserve"> השיב: “יומיים לפני שבאת קיבלתי מברק שבו התבקשתי לומר תהילים </w:t>
      </w:r>
      <w:r>
        <w:rPr>
          <w:rtl/>
        </w:rPr>
        <w:lastRenderedPageBreak/>
        <w:t xml:space="preserve">על ר׳ </w:t>
      </w:r>
      <w:proofErr w:type="spellStart"/>
      <w:r>
        <w:rPr>
          <w:rtl/>
        </w:rPr>
        <w:t>איצל׳ה</w:t>
      </w:r>
      <w:proofErr w:type="spellEnd"/>
      <w:r>
        <w:rPr>
          <w:rtl/>
        </w:rPr>
        <w:t xml:space="preserve">, רבה של </w:t>
      </w:r>
      <w:proofErr w:type="spellStart"/>
      <w:r>
        <w:rPr>
          <w:rtl/>
        </w:rPr>
        <w:t>פוניבז</w:t>
      </w:r>
      <w:proofErr w:type="spellEnd"/>
      <w:r>
        <w:rPr>
          <w:rtl/>
        </w:rPr>
        <w:t>׳</w:t>
      </w:r>
      <w:bookmarkStart w:id="5763" w:name="_fnr4395"/>
      <w:r>
        <w:rPr>
          <w:vertAlign w:val="superscript"/>
          <w:rtl/>
        </w:rPr>
        <w:footnoteReference w:id="4405" w:customMarkFollows="0"/>
      </w:r>
      <w:bookmarkEnd w:id="5763"/>
      <w:r>
        <w:rPr>
          <w:rtl/>
        </w:rPr>
        <w:t xml:space="preserve">. למחרת קיבלתי מברק אחר, שלא לומר תהילים, והבנתי שנפטר. חשבתי לעצמי: ‘מי יכול להחליף את ר׳ </w:t>
      </w:r>
      <w:proofErr w:type="spellStart"/>
      <w:r>
        <w:rPr>
          <w:rtl/>
        </w:rPr>
        <w:t>איצל׳ה</w:t>
      </w:r>
      <w:proofErr w:type="spellEnd"/>
      <w:r>
        <w:rPr>
          <w:rtl/>
        </w:rPr>
        <w:t xml:space="preserve"> </w:t>
      </w:r>
      <w:proofErr w:type="spellStart"/>
      <w:r>
        <w:rPr>
          <w:rtl/>
        </w:rPr>
        <w:t>בפוניבז</w:t>
      </w:r>
      <w:proofErr w:type="spellEnd"/>
      <w:r>
        <w:rPr>
          <w:rtl/>
        </w:rPr>
        <w:t xml:space="preserve">׳ החשובה? אתה’. שיערתי שגם ראשי העיר יגיעו לאותה מסקנה, ויביאו אותך לעירם בהזמנתך להספיד את רבם. והנה, למחרת הופעת בווילנה, ולכן שלחתיך מיד בחזרה </w:t>
      </w:r>
      <w:proofErr w:type="spellStart"/>
      <w:r>
        <w:rPr>
          <w:rtl/>
        </w:rPr>
        <w:t>לווידז</w:t>
      </w:r>
      <w:proofErr w:type="spellEnd"/>
      <w:r>
        <w:rPr>
          <w:rtl/>
        </w:rPr>
        <w:t>׳”.</w:t>
      </w:r>
    </w:p>
    <w:p w14:paraId="5BD4BABE" w14:textId="77777777" w:rsidR="00AB3647" w:rsidRDefault="00000000" w:rsidP="007923E9">
      <w:pPr>
        <w:spacing w:after="120" w:line="276" w:lineRule="auto"/>
        <w:ind w:firstLine="283"/>
        <w:jc w:val="both"/>
      </w:pPr>
      <w:r>
        <w:rPr>
          <w:rtl/>
        </w:rPr>
        <w:t xml:space="preserve">השווה גם “קשת </w:t>
      </w:r>
      <w:proofErr w:type="spellStart"/>
      <w:r>
        <w:rPr>
          <w:rtl/>
        </w:rPr>
        <w:t>גבורים</w:t>
      </w:r>
      <w:proofErr w:type="spellEnd"/>
      <w:r>
        <w:rPr>
          <w:rtl/>
        </w:rPr>
        <w:t>”</w:t>
      </w:r>
      <w:bookmarkStart w:id="5764" w:name="_fnr4396"/>
      <w:r>
        <w:rPr>
          <w:vertAlign w:val="superscript"/>
          <w:rtl/>
        </w:rPr>
        <w:footnoteReference w:id="4406" w:customMarkFollows="0"/>
      </w:r>
      <w:bookmarkEnd w:id="5764"/>
      <w:r>
        <w:rPr>
          <w:rtl/>
        </w:rPr>
        <w:t xml:space="preserve">: אביו של ר׳ </w:t>
      </w:r>
      <w:proofErr w:type="spellStart"/>
      <w:r>
        <w:rPr>
          <w:rtl/>
        </w:rPr>
        <w:t>יוסף־שלמה</w:t>
      </w:r>
      <w:proofErr w:type="spellEnd"/>
      <w:r>
        <w:rPr>
          <w:rtl/>
        </w:rPr>
        <w:t xml:space="preserve">, ר׳ לייב </w:t>
      </w:r>
      <w:proofErr w:type="spellStart"/>
      <w:r>
        <w:rPr>
          <w:rtl/>
        </w:rPr>
        <w:t>כהנמן</w:t>
      </w:r>
      <w:proofErr w:type="spellEnd"/>
      <w:r>
        <w:rPr>
          <w:rtl/>
        </w:rPr>
        <w:t xml:space="preserve">, היה חולה אנוש בעיר מולדתו קול – שהייתה מנותקת בשל תנאי המלחמה גם </w:t>
      </w:r>
      <w:proofErr w:type="spellStart"/>
      <w:r>
        <w:rPr>
          <w:rtl/>
        </w:rPr>
        <w:t>מווידז</w:t>
      </w:r>
      <w:proofErr w:type="spellEnd"/>
      <w:r>
        <w:rPr>
          <w:rtl/>
        </w:rPr>
        <w:t xml:space="preserve">׳ וגם </w:t>
      </w:r>
      <w:proofErr w:type="spellStart"/>
      <w:r>
        <w:rPr>
          <w:rtl/>
        </w:rPr>
        <w:t>מפוניבז</w:t>
      </w:r>
      <w:proofErr w:type="spellEnd"/>
      <w:r>
        <w:rPr>
          <w:rtl/>
        </w:rPr>
        <w:t xml:space="preserve">׳ – כשהגיעה לעיירה הידיעה על פטירת ר׳ </w:t>
      </w:r>
      <w:proofErr w:type="spellStart"/>
      <w:r>
        <w:rPr>
          <w:rtl/>
        </w:rPr>
        <w:t>איצל׳ה</w:t>
      </w:r>
      <w:proofErr w:type="spellEnd"/>
      <w:r>
        <w:rPr>
          <w:rtl/>
        </w:rPr>
        <w:t xml:space="preserve">. הוא קרא לאשתו אל מיטת חוליו ואמר לה: “אני אומר לך </w:t>
      </w:r>
      <w:proofErr w:type="spellStart"/>
      <w:r>
        <w:rPr>
          <w:rtl/>
        </w:rPr>
        <w:t>שיוסף־שלמה</w:t>
      </w:r>
      <w:proofErr w:type="spellEnd"/>
      <w:r>
        <w:rPr>
          <w:rtl/>
        </w:rPr>
        <w:t xml:space="preserve"> שלנו עוד יהיה רבה של </w:t>
      </w:r>
      <w:proofErr w:type="spellStart"/>
      <w:r>
        <w:rPr>
          <w:rtl/>
        </w:rPr>
        <w:t>פוניבז</w:t>
      </w:r>
      <w:proofErr w:type="spellEnd"/>
      <w:r>
        <w:rPr>
          <w:rtl/>
        </w:rPr>
        <w:t xml:space="preserve">׳!” בלי שנודע הדבר </w:t>
      </w:r>
      <w:proofErr w:type="spellStart"/>
      <w:r>
        <w:rPr>
          <w:rtl/>
        </w:rPr>
        <w:t>לר</w:t>
      </w:r>
      <w:proofErr w:type="spellEnd"/>
      <w:r>
        <w:rPr>
          <w:rtl/>
        </w:rPr>
        <w:t xml:space="preserve">׳ לייב, שמונה ימים לאחר פטירת ר׳ </w:t>
      </w:r>
      <w:proofErr w:type="spellStart"/>
      <w:r>
        <w:rPr>
          <w:rtl/>
        </w:rPr>
        <w:t>איצל׳ה</w:t>
      </w:r>
      <w:proofErr w:type="spellEnd"/>
      <w:r>
        <w:rPr>
          <w:rtl/>
        </w:rPr>
        <w:t xml:space="preserve"> </w:t>
      </w:r>
      <w:proofErr w:type="spellStart"/>
      <w:r>
        <w:rPr>
          <w:rtl/>
        </w:rPr>
        <w:t>רבינוביץ</w:t>
      </w:r>
      <w:proofErr w:type="spellEnd"/>
      <w:r>
        <w:rPr>
          <w:rtl/>
        </w:rPr>
        <w:t xml:space="preserve"> נשא ר׳ </w:t>
      </w:r>
      <w:proofErr w:type="spellStart"/>
      <w:r>
        <w:rPr>
          <w:rtl/>
        </w:rPr>
        <w:t>יוסף־שלמה</w:t>
      </w:r>
      <w:proofErr w:type="spellEnd"/>
      <w:r>
        <w:rPr>
          <w:rtl/>
        </w:rPr>
        <w:t xml:space="preserve"> </w:t>
      </w:r>
      <w:proofErr w:type="spellStart"/>
      <w:r>
        <w:rPr>
          <w:rtl/>
        </w:rPr>
        <w:t>כהנמן</w:t>
      </w:r>
      <w:proofErr w:type="spellEnd"/>
      <w:r>
        <w:rPr>
          <w:rtl/>
        </w:rPr>
        <w:t xml:space="preserve"> את דרשתו הראשונה כמועמד לרבנות </w:t>
      </w:r>
      <w:proofErr w:type="spellStart"/>
      <w:r>
        <w:rPr>
          <w:rtl/>
        </w:rPr>
        <w:t>פוניבז</w:t>
      </w:r>
      <w:proofErr w:type="spellEnd"/>
      <w:r>
        <w:rPr>
          <w:rtl/>
        </w:rPr>
        <w:t xml:space="preserve">׳. ובאותה שבת ממש, בלי שנודע הדבר </w:t>
      </w:r>
      <w:proofErr w:type="spellStart"/>
      <w:r>
        <w:rPr>
          <w:rtl/>
        </w:rPr>
        <w:t>לר</w:t>
      </w:r>
      <w:proofErr w:type="spellEnd"/>
      <w:r>
        <w:rPr>
          <w:rtl/>
        </w:rPr>
        <w:t xml:space="preserve">׳ </w:t>
      </w:r>
      <w:proofErr w:type="spellStart"/>
      <w:r>
        <w:rPr>
          <w:rtl/>
        </w:rPr>
        <w:t>יוסף־שלמה</w:t>
      </w:r>
      <w:proofErr w:type="spellEnd"/>
      <w:r>
        <w:rPr>
          <w:rtl/>
        </w:rPr>
        <w:t xml:space="preserve">, נפטר אביו בקול. ולמחרת, בשעה שהוגש לבן כתב הרבנות, הובא האב למנוחות. רבה של קול באותה עת היה ר׳ </w:t>
      </w:r>
      <w:proofErr w:type="spellStart"/>
      <w:r>
        <w:rPr>
          <w:rtl/>
        </w:rPr>
        <w:t>משה־יום־טוב</w:t>
      </w:r>
      <w:proofErr w:type="spellEnd"/>
      <w:r>
        <w:rPr>
          <w:rtl/>
        </w:rPr>
        <w:t xml:space="preserve"> </w:t>
      </w:r>
      <w:proofErr w:type="spellStart"/>
      <w:r>
        <w:rPr>
          <w:rtl/>
        </w:rPr>
        <w:t>וכטפוגל</w:t>
      </w:r>
      <w:proofErr w:type="spellEnd"/>
      <w:r>
        <w:rPr>
          <w:rtl/>
        </w:rPr>
        <w:t>.</w:t>
      </w:r>
    </w:p>
    <w:p w14:paraId="0B0CFFD7" w14:textId="77777777" w:rsidR="00AB3647" w:rsidRDefault="00000000" w:rsidP="007923E9">
      <w:pPr>
        <w:spacing w:after="120" w:line="276" w:lineRule="auto"/>
        <w:ind w:firstLine="283"/>
        <w:jc w:val="both"/>
      </w:pPr>
      <w:r>
        <w:rPr>
          <w:rtl/>
        </w:rPr>
        <w:t xml:space="preserve">אם אכן מוצדקת השאלה ששאל ר׳ ישראל </w:t>
      </w:r>
      <w:proofErr w:type="spellStart"/>
      <w:r>
        <w:rPr>
          <w:rtl/>
        </w:rPr>
        <w:t>שורין</w:t>
      </w:r>
      <w:proofErr w:type="spellEnd"/>
      <w:r>
        <w:rPr>
          <w:rtl/>
        </w:rPr>
        <w:t xml:space="preserve"> את הרב שניידר – כיצד קרה </w:t>
      </w:r>
      <w:proofErr w:type="spellStart"/>
      <w:r>
        <w:rPr>
          <w:rtl/>
        </w:rPr>
        <w:t>שפוניבז</w:t>
      </w:r>
      <w:proofErr w:type="spellEnd"/>
      <w:r>
        <w:rPr>
          <w:rtl/>
        </w:rPr>
        <w:t xml:space="preserve">׳ קיבלה כיורשו של ר׳ </w:t>
      </w:r>
      <w:proofErr w:type="spellStart"/>
      <w:r>
        <w:rPr>
          <w:rtl/>
        </w:rPr>
        <w:t>איצל׳ה</w:t>
      </w:r>
      <w:proofErr w:type="spellEnd"/>
      <w:r>
        <w:rPr>
          <w:rtl/>
        </w:rPr>
        <w:t xml:space="preserve"> </w:t>
      </w:r>
      <w:proofErr w:type="spellStart"/>
      <w:r>
        <w:rPr>
          <w:rtl/>
        </w:rPr>
        <w:t>רבינוביץ</w:t>
      </w:r>
      <w:proofErr w:type="spellEnd"/>
      <w:r>
        <w:rPr>
          <w:rtl/>
        </w:rPr>
        <w:t xml:space="preserve"> אדם שמעלתו פחותה בהרבה משלו? – נראה שגם ר׳ </w:t>
      </w:r>
      <w:proofErr w:type="spellStart"/>
      <w:r>
        <w:rPr>
          <w:rtl/>
        </w:rPr>
        <w:t>חיים־עוזר</w:t>
      </w:r>
      <w:proofErr w:type="spellEnd"/>
      <w:r>
        <w:rPr>
          <w:rtl/>
        </w:rPr>
        <w:t xml:space="preserve"> (וגם ר׳ לייב </w:t>
      </w:r>
      <w:proofErr w:type="spellStart"/>
      <w:r>
        <w:rPr>
          <w:rtl/>
        </w:rPr>
        <w:t>כהנמן</w:t>
      </w:r>
      <w:proofErr w:type="spellEnd"/>
      <w:r>
        <w:rPr>
          <w:rtl/>
        </w:rPr>
        <w:t xml:space="preserve">) ידעו על פעולותיו החשאיות של ר׳ </w:t>
      </w:r>
      <w:proofErr w:type="spellStart"/>
      <w:r>
        <w:rPr>
          <w:rtl/>
        </w:rPr>
        <w:t>יוסף־שלמה</w:t>
      </w:r>
      <w:proofErr w:type="spellEnd"/>
      <w:r>
        <w:rPr>
          <w:rtl/>
        </w:rPr>
        <w:t xml:space="preserve"> להצלת נפשות בציר </w:t>
      </w:r>
      <w:proofErr w:type="spellStart"/>
      <w:r>
        <w:rPr>
          <w:rtl/>
        </w:rPr>
        <w:t>וידז׳־פוניבז</w:t>
      </w:r>
      <w:proofErr w:type="spellEnd"/>
      <w:r>
        <w:rPr>
          <w:rtl/>
        </w:rPr>
        <w:t>׳, ושיערו שייבחר.</w:t>
      </w:r>
    </w:p>
    <w:p w14:paraId="0CBF9567" w14:textId="77777777" w:rsidR="00AB3647" w:rsidRDefault="00000000" w:rsidP="007923E9">
      <w:pPr>
        <w:spacing w:after="120" w:line="276" w:lineRule="auto"/>
        <w:ind w:firstLine="283"/>
        <w:jc w:val="both"/>
      </w:pPr>
      <w:r>
        <w:rPr>
          <w:rtl/>
        </w:rPr>
        <w:t xml:space="preserve">רבה של קובנה,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נזהר מאוד מהפרת החוק האזרחי – אפילו במקרה שנגע לאנשי ישיבה בלבד, </w:t>
      </w:r>
      <w:proofErr w:type="spellStart"/>
      <w:r>
        <w:rPr>
          <w:rtl/>
        </w:rPr>
        <w:t>כשלא</w:t>
      </w:r>
      <w:proofErr w:type="spellEnd"/>
      <w:r>
        <w:rPr>
          <w:rtl/>
        </w:rPr>
        <w:t xml:space="preserve"> נראה שיש סכנה שהדבר ידווח לשלטונות. ר׳ </w:t>
      </w:r>
      <w:proofErr w:type="spellStart"/>
      <w:r>
        <w:rPr>
          <w:rtl/>
        </w:rPr>
        <w:t>נתן־מאיר</w:t>
      </w:r>
      <w:proofErr w:type="spellEnd"/>
      <w:r>
        <w:rPr>
          <w:rtl/>
        </w:rPr>
        <w:t xml:space="preserve"> </w:t>
      </w:r>
      <w:proofErr w:type="spellStart"/>
      <w:r>
        <w:rPr>
          <w:rtl/>
        </w:rPr>
        <w:t>וכטפוגל</w:t>
      </w:r>
      <w:proofErr w:type="spellEnd"/>
      <w:r>
        <w:rPr>
          <w:rtl/>
        </w:rPr>
        <w:t xml:space="preserve">, לימים משגיח בבית מדרש גבוה </w:t>
      </w:r>
      <w:proofErr w:type="spellStart"/>
      <w:r>
        <w:rPr>
          <w:rtl/>
        </w:rPr>
        <w:t>בלייקווד</w:t>
      </w:r>
      <w:proofErr w:type="spellEnd"/>
      <w:r>
        <w:rPr>
          <w:rtl/>
        </w:rPr>
        <w:t xml:space="preserve"> במשך חצי מאה, היה אזרח קנדי שלמד בליטא. אביו ר׳ </w:t>
      </w:r>
      <w:proofErr w:type="spellStart"/>
      <w:r>
        <w:rPr>
          <w:rtl/>
        </w:rPr>
        <w:t>משה־יום־טוב</w:t>
      </w:r>
      <w:proofErr w:type="spellEnd"/>
      <w:r>
        <w:rPr>
          <w:rtl/>
        </w:rPr>
        <w:t xml:space="preserve">, רבה לשעבר של קול, כיהן כרב במונטריאול, לאחר שעזב את ליטא אחרי מלחמת העולם הראשונה. ר׳ </w:t>
      </w:r>
      <w:proofErr w:type="spellStart"/>
      <w:r>
        <w:rPr>
          <w:rtl/>
        </w:rPr>
        <w:t>נתן־מאיר</w:t>
      </w:r>
      <w:proofErr w:type="spellEnd"/>
      <w:r>
        <w:rPr>
          <w:rtl/>
        </w:rPr>
        <w:t xml:space="preserve"> היה בין 200 נתינים בריטים, ובהם כמה תלמידי תורה, שהקונסול הבריטי בליטא הורה להם להתכנס בריגה שבלטביה בתחילת תש״א, לשם פינוי לאוסטרליה.</w:t>
      </w:r>
    </w:p>
    <w:p w14:paraId="2CD35009" w14:textId="77777777" w:rsidR="00AB3647" w:rsidRDefault="00000000" w:rsidP="007923E9">
      <w:pPr>
        <w:spacing w:after="120" w:line="276" w:lineRule="auto"/>
        <w:ind w:firstLine="283"/>
        <w:jc w:val="both"/>
      </w:pPr>
      <w:r>
        <w:rPr>
          <w:rtl/>
        </w:rPr>
        <w:t xml:space="preserve">ליטא נעשתה חלק מברית המועצות ארבעה חודשים קודם לכן, לאחר שהצבא האדום נכנס לארץ ונערך “משאל עם”, </w:t>
      </w:r>
      <w:proofErr w:type="spellStart"/>
      <w:r>
        <w:rPr>
          <w:rtl/>
        </w:rPr>
        <w:t>ש“הוכיח</w:t>
      </w:r>
      <w:proofErr w:type="spellEnd"/>
      <w:r>
        <w:rPr>
          <w:rtl/>
        </w:rPr>
        <w:t xml:space="preserve">” כי “הרוב הגדול” של הליטאים רוצה </w:t>
      </w:r>
      <w:proofErr w:type="spellStart"/>
      <w:r>
        <w:rPr>
          <w:rtl/>
        </w:rPr>
        <w:t>ב“זכות</w:t>
      </w:r>
      <w:proofErr w:type="spellEnd"/>
      <w:r>
        <w:rPr>
          <w:rtl/>
        </w:rPr>
        <w:t>” להיעשות אזרחים סובייטיים. באותו קיץ נקראו כל הנתינים הבריטים בארצות הבלטיות לקונסוליות הבריטיות המקומיות, ונאמר להם שיועברו מן הארץ – לאן, אפילו לא אמרו להם אז.</w:t>
      </w:r>
    </w:p>
    <w:p w14:paraId="41B224EA"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היה מאורס לפליטה מפולין הכבושה בידי הגרמנים, בתו של תלמיד חכם גדול, ר׳ </w:t>
      </w:r>
      <w:proofErr w:type="spellStart"/>
      <w:r>
        <w:rPr>
          <w:rtl/>
        </w:rPr>
        <w:t>ישראל־זלמן</w:t>
      </w:r>
      <w:proofErr w:type="spellEnd"/>
      <w:r>
        <w:rPr>
          <w:rtl/>
        </w:rPr>
        <w:t xml:space="preserve"> </w:t>
      </w:r>
      <w:proofErr w:type="spellStart"/>
      <w:r>
        <w:rPr>
          <w:rtl/>
        </w:rPr>
        <w:t>שלמוביץ</w:t>
      </w:r>
      <w:proofErr w:type="spellEnd"/>
      <w:r>
        <w:rPr>
          <w:rtl/>
        </w:rPr>
        <w:t xml:space="preserve">, תלמיד </w:t>
      </w:r>
      <w:proofErr w:type="spellStart"/>
      <w:r>
        <w:rPr>
          <w:rtl/>
        </w:rPr>
        <w:t>סלבודקה</w:t>
      </w:r>
      <w:proofErr w:type="spellEnd"/>
      <w:r>
        <w:rPr>
          <w:rtl/>
        </w:rPr>
        <w:t xml:space="preserve"> שהיה ראש ישיבה </w:t>
      </w:r>
      <w:proofErr w:type="spellStart"/>
      <w:r>
        <w:rPr>
          <w:rtl/>
        </w:rPr>
        <w:t>בלודז</w:t>
      </w:r>
      <w:proofErr w:type="spellEnd"/>
      <w:r>
        <w:rPr>
          <w:rtl/>
        </w:rPr>
        <w:t xml:space="preserve">׳. באלול, שישה שבועות </w:t>
      </w:r>
      <w:r>
        <w:rPr>
          <w:rtl/>
        </w:rPr>
        <w:lastRenderedPageBreak/>
        <w:t xml:space="preserve">לפני שניתנה הוראת הפינוי הבריטית, אמר ר׳ </w:t>
      </w:r>
      <w:proofErr w:type="spellStart"/>
      <w:r>
        <w:rPr>
          <w:rtl/>
        </w:rPr>
        <w:t>נתן־מאיר</w:t>
      </w:r>
      <w:proofErr w:type="spellEnd"/>
      <w:r>
        <w:rPr>
          <w:rtl/>
        </w:rPr>
        <w:t xml:space="preserve"> לפקידים הבריטים שנשא אישה, כדי להקל על יציאת כלתו מליטא עמו. אבל הקונסוליה הבריטית דרשה אישור רשמי לדבריו.</w:t>
      </w:r>
    </w:p>
    <w:p w14:paraId="6A3EEEF6" w14:textId="77777777" w:rsidR="00AB3647" w:rsidRDefault="00000000" w:rsidP="007923E9">
      <w:pPr>
        <w:spacing w:after="120" w:line="276" w:lineRule="auto"/>
        <w:ind w:firstLine="283"/>
        <w:jc w:val="both"/>
      </w:pPr>
      <w:r>
        <w:rPr>
          <w:rtl/>
        </w:rPr>
        <w:t xml:space="preserve">הוא פנה אל רבה של קובנה, שהיה מוסמך לרשום נישואין, וביקש את האישור, אבל נענה בשלילה: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לא היה מוכן להפר את החוק ולרשום כנשואה את הצעירה, שהייתה רק מאורסת. עם זאת הסכים הרב לתת את המסמך הדרוש, אם יקדש ר׳ </w:t>
      </w:r>
      <w:proofErr w:type="spellStart"/>
      <w:r>
        <w:rPr>
          <w:rtl/>
        </w:rPr>
        <w:t>נתן־מאיר</w:t>
      </w:r>
      <w:proofErr w:type="spellEnd"/>
      <w:r>
        <w:rPr>
          <w:rtl/>
        </w:rPr>
        <w:t xml:space="preserve"> </w:t>
      </w:r>
      <w:proofErr w:type="spellStart"/>
      <w:r>
        <w:rPr>
          <w:rtl/>
        </w:rPr>
        <w:t>וכטפוגל</w:t>
      </w:r>
      <w:proofErr w:type="spellEnd"/>
      <w:r>
        <w:rPr>
          <w:rtl/>
        </w:rPr>
        <w:t xml:space="preserve"> את כלתו בפני שני עדים, אף שהנישואין יידחו עד לאחר שיצאו הוא ואשתו המקודשת מן הארץ.</w:t>
      </w:r>
    </w:p>
    <w:p w14:paraId="0B6237ED" w14:textId="77777777" w:rsidR="00AB3647" w:rsidRDefault="00000000" w:rsidP="007923E9">
      <w:pPr>
        <w:spacing w:after="120" w:line="276" w:lineRule="auto"/>
        <w:ind w:firstLine="283"/>
        <w:jc w:val="both"/>
      </w:pPr>
      <w:r>
        <w:rPr>
          <w:rtl/>
        </w:rPr>
        <w:t xml:space="preserve">ר׳ </w:t>
      </w:r>
      <w:proofErr w:type="spellStart"/>
      <w:r>
        <w:rPr>
          <w:rtl/>
        </w:rPr>
        <w:t>נתן־מאיר</w:t>
      </w:r>
      <w:proofErr w:type="spellEnd"/>
      <w:r>
        <w:rPr>
          <w:rtl/>
        </w:rPr>
        <w:t xml:space="preserve"> וכלתו עשו כהוראת הרב, קיבלו את תעודת הנישואין, נסעו יחד לריגה, וחצו מחצית מכדור הארץ כשהם מקודשים ועדיין אינם נשואים: </w:t>
      </w:r>
      <w:proofErr w:type="spellStart"/>
      <w:r>
        <w:rPr>
          <w:rtl/>
        </w:rPr>
        <w:t>שלושה־עשר</w:t>
      </w:r>
      <w:proofErr w:type="spellEnd"/>
      <w:r>
        <w:rPr>
          <w:rtl/>
        </w:rPr>
        <w:t xml:space="preserve"> יום ברכבת דרך ברית המועצות עד </w:t>
      </w:r>
      <w:proofErr w:type="spellStart"/>
      <w:r>
        <w:rPr>
          <w:rtl/>
        </w:rPr>
        <w:t>ולדיווסטוק</w:t>
      </w:r>
      <w:proofErr w:type="spellEnd"/>
      <w:r>
        <w:rPr>
          <w:rtl/>
        </w:rPr>
        <w:t xml:space="preserve">, ושבועיים </w:t>
      </w:r>
      <w:proofErr w:type="spellStart"/>
      <w:r>
        <w:rPr>
          <w:rtl/>
        </w:rPr>
        <w:t>ב“ספינה</w:t>
      </w:r>
      <w:proofErr w:type="spellEnd"/>
      <w:r>
        <w:rPr>
          <w:rtl/>
        </w:rPr>
        <w:t xml:space="preserve"> רעועה בת 2,000 טון”, דרך הונג קונג </w:t>
      </w:r>
      <w:proofErr w:type="spellStart"/>
      <w:r>
        <w:rPr>
          <w:rtl/>
        </w:rPr>
        <w:t>לבריסביין</w:t>
      </w:r>
      <w:proofErr w:type="spellEnd"/>
      <w:r>
        <w:rPr>
          <w:rtl/>
        </w:rPr>
        <w:t xml:space="preserve"> שבאוסטרליה. כשהגיעו לאוסטרליה הועמדה חופה ונאמרו שבע ברכות, והם נעשו זוג נשוי לכל דבר</w:t>
      </w:r>
      <w:bookmarkStart w:id="5765" w:name="_fnr4397"/>
      <w:r>
        <w:rPr>
          <w:vertAlign w:val="superscript"/>
          <w:rtl/>
        </w:rPr>
        <w:footnoteReference w:id="4407" w:customMarkFollows="0"/>
      </w:r>
      <w:bookmarkEnd w:id="5765"/>
      <w:r>
        <w:rPr>
          <w:rtl/>
        </w:rPr>
        <w:t>.</w:t>
      </w:r>
    </w:p>
    <w:p w14:paraId="5208296E" w14:textId="77777777" w:rsidR="00AB3647" w:rsidRDefault="00000000" w:rsidP="007923E9">
      <w:pPr>
        <w:spacing w:after="120" w:line="276" w:lineRule="auto"/>
        <w:ind w:firstLine="283"/>
        <w:jc w:val="both"/>
      </w:pPr>
      <w:r>
        <w:rPr>
          <w:rtl/>
        </w:rPr>
        <w:t>דוד מור, בנו של מפונה אחר, סיפר</w:t>
      </w:r>
      <w:bookmarkStart w:id="5766" w:name="_fnr4398"/>
      <w:r>
        <w:rPr>
          <w:vertAlign w:val="superscript"/>
          <w:rtl/>
        </w:rPr>
        <w:footnoteReference w:id="4408" w:customMarkFollows="0"/>
      </w:r>
      <w:bookmarkEnd w:id="5766"/>
      <w:r>
        <w:rPr>
          <w:rtl/>
        </w:rPr>
        <w:t xml:space="preserve"> שכאשר באו תלמידי הישיבות הבריטים ברי המזל לשאול את רבה של קובנה אם מותר להם לעלות בבוקר שבת לרכבת המוציאה אותם מן הארץ, התיר להם. בירור נוסף העלה שהרכבת יצאה בשבת שלאחר שמיני עצרת ושמחת תורה, שחלו ביום חמישי וביום שישי, ושכאשר נשאל רבה של קובנה את השאלה, צעק עליהם ואמר: “שאלה כזאת אתם שואלים?! </w:t>
      </w:r>
      <w:proofErr w:type="spellStart"/>
      <w:r>
        <w:rPr>
          <w:rtl/>
        </w:rPr>
        <w:t>לויפט</w:t>
      </w:r>
      <w:proofErr w:type="spellEnd"/>
      <w:r>
        <w:rPr>
          <w:rtl/>
        </w:rPr>
        <w:t xml:space="preserve"> [רוצו]!” אנשי הישיבה הנוסעים מצאו יהודי מארץ ישראל שביקר בליטא, והוא עשה ביום שישי את ההכנות הנחוצות לנסיעתם: לבני המקום היה זה שמחת תורה, ואילו לו היה היום, מבחינה הלכתית, יום חול רגיל.</w:t>
      </w:r>
    </w:p>
    <w:p w14:paraId="1E2A52DB" w14:textId="77777777" w:rsidR="00AB3647" w:rsidRDefault="00000000" w:rsidP="007923E9">
      <w:pPr>
        <w:spacing w:after="120" w:line="276" w:lineRule="auto"/>
        <w:ind w:firstLine="283"/>
        <w:jc w:val="both"/>
      </w:pPr>
      <w:r>
        <w:rPr>
          <w:rtl/>
        </w:rPr>
        <w:t xml:space="preserve">מה הביא להתמנותו של ר׳ </w:t>
      </w:r>
      <w:proofErr w:type="spellStart"/>
      <w:r>
        <w:rPr>
          <w:rtl/>
        </w:rPr>
        <w:t>משה־יום־טוב</w:t>
      </w:r>
      <w:proofErr w:type="spellEnd"/>
      <w:r>
        <w:rPr>
          <w:rtl/>
        </w:rPr>
        <w:t xml:space="preserve"> </w:t>
      </w:r>
      <w:proofErr w:type="spellStart"/>
      <w:r>
        <w:rPr>
          <w:rtl/>
        </w:rPr>
        <w:t>וכטפוגל</w:t>
      </w:r>
      <w:proofErr w:type="spellEnd"/>
      <w:r>
        <w:rPr>
          <w:rtl/>
        </w:rPr>
        <w:t xml:space="preserve"> בקול – מתאר הרב י.ז. דיסקין</w:t>
      </w:r>
      <w:bookmarkStart w:id="5767" w:name="_fnr4399"/>
      <w:r>
        <w:rPr>
          <w:vertAlign w:val="superscript"/>
          <w:rtl/>
        </w:rPr>
        <w:footnoteReference w:id="4409" w:customMarkFollows="0"/>
      </w:r>
      <w:bookmarkEnd w:id="5767"/>
      <w:r>
        <w:rPr>
          <w:rtl/>
        </w:rPr>
        <w:t xml:space="preserve">. רבה של קול, ר׳ </w:t>
      </w:r>
      <w:proofErr w:type="spellStart"/>
      <w:r>
        <w:rPr>
          <w:rtl/>
        </w:rPr>
        <w:t>משה־נתן</w:t>
      </w:r>
      <w:proofErr w:type="spellEnd"/>
      <w:r>
        <w:rPr>
          <w:rtl/>
        </w:rPr>
        <w:t xml:space="preserve"> שפיץ, אובחן בקניגסברג כחולה בצרעת, מחלה מידבקת מאוד וחשוכת מרפא, ונשלח בחזרה אל מעבר לגבול </w:t>
      </w:r>
      <w:proofErr w:type="spellStart"/>
      <w:r>
        <w:rPr>
          <w:rtl/>
        </w:rPr>
        <w:t>גרמניה־ליטא</w:t>
      </w:r>
      <w:proofErr w:type="spellEnd"/>
      <w:r>
        <w:rPr>
          <w:rtl/>
        </w:rPr>
        <w:t xml:space="preserve"> בקרון רכבת חתום. הרוסים קיבלוהו, שרפו את הקרון ובודדוהו בבית סוהר. העיירה קול עמדה בפני הכרעה קשה. ברוסיה היו שני מוסדות לבידוד מצורעים: האחד ממשלתי, במפרץ פינלנד הרחוק, ליד פטרבורג; והאחר בית מרפא פרטי ויקר במפרץ ריגה, במרחק סביר מקול.</w:t>
      </w:r>
    </w:p>
    <w:p w14:paraId="58B952A1" w14:textId="77777777" w:rsidR="00AB3647" w:rsidRDefault="00000000" w:rsidP="007923E9">
      <w:pPr>
        <w:spacing w:after="120" w:line="276" w:lineRule="auto"/>
        <w:ind w:firstLine="283"/>
        <w:jc w:val="both"/>
      </w:pPr>
      <w:r>
        <w:rPr>
          <w:rtl/>
        </w:rPr>
        <w:t xml:space="preserve">הרב י.ז. דיסקין כותב: “מכה גדולה ניחתה על משפחת הרב ועל עיירתי הזעירה. ר׳ לייב </w:t>
      </w:r>
      <w:proofErr w:type="spellStart"/>
      <w:r>
        <w:rPr>
          <w:rtl/>
        </w:rPr>
        <w:t>כהנמן</w:t>
      </w:r>
      <w:proofErr w:type="spellEnd"/>
      <w:r>
        <w:rPr>
          <w:rtl/>
        </w:rPr>
        <w:t xml:space="preserve"> נסע </w:t>
      </w:r>
      <w:proofErr w:type="spellStart"/>
      <w:r>
        <w:rPr>
          <w:rtl/>
        </w:rPr>
        <w:t>לטלז</w:t>
      </w:r>
      <w:proofErr w:type="spellEnd"/>
      <w:r>
        <w:rPr>
          <w:rtl/>
        </w:rPr>
        <w:t xml:space="preserve">” – מרחק ארבעים וחמישה קילומטר; בנו ר׳ </w:t>
      </w:r>
      <w:proofErr w:type="spellStart"/>
      <w:r>
        <w:rPr>
          <w:rtl/>
        </w:rPr>
        <w:t>יוסף־שלמה</w:t>
      </w:r>
      <w:proofErr w:type="spellEnd"/>
      <w:r>
        <w:rPr>
          <w:rtl/>
        </w:rPr>
        <w:t xml:space="preserve"> למד שם אז – “והזדמן לפגוש שם את ר׳ </w:t>
      </w:r>
      <w:proofErr w:type="spellStart"/>
      <w:r>
        <w:rPr>
          <w:rtl/>
        </w:rPr>
        <w:t>אברהם־אהרן</w:t>
      </w:r>
      <w:proofErr w:type="spellEnd"/>
      <w:r>
        <w:rPr>
          <w:rtl/>
        </w:rPr>
        <w:t xml:space="preserve"> </w:t>
      </w:r>
      <w:proofErr w:type="spellStart"/>
      <w:r>
        <w:rPr>
          <w:rtl/>
        </w:rPr>
        <w:t>בורשטין</w:t>
      </w:r>
      <w:proofErr w:type="spellEnd"/>
      <w:r>
        <w:rPr>
          <w:rtl/>
        </w:rPr>
        <w:t xml:space="preserve">, אז רבה של </w:t>
      </w:r>
      <w:proofErr w:type="spellStart"/>
      <w:r>
        <w:rPr>
          <w:rtl/>
        </w:rPr>
        <w:t>טבריג</w:t>
      </w:r>
      <w:bookmarkStart w:id="5768" w:name="_fnr4400"/>
      <w:proofErr w:type="spellEnd"/>
      <w:r>
        <w:rPr>
          <w:vertAlign w:val="superscript"/>
          <w:rtl/>
        </w:rPr>
        <w:footnoteReference w:id="4410" w:customMarkFollows="0"/>
      </w:r>
      <w:bookmarkEnd w:id="5768"/>
      <w:r>
        <w:rPr>
          <w:rtl/>
        </w:rPr>
        <w:t xml:space="preserve">, ושאלו מה לעשות. הוא פסק ללא היסוס שיש לאשפז את הרב בבית המרפא הפרטי. העיירה קיבלה עליה עול שהיה מעבר לכוחה לשאת; [היהודים] נדרשו לשלם לבית המרפא יותר משכרו של ר׳ </w:t>
      </w:r>
      <w:proofErr w:type="spellStart"/>
      <w:r>
        <w:rPr>
          <w:rtl/>
        </w:rPr>
        <w:t>משה־נתן</w:t>
      </w:r>
      <w:proofErr w:type="spellEnd"/>
      <w:r>
        <w:rPr>
          <w:rtl/>
        </w:rPr>
        <w:t xml:space="preserve">, והוסיפו לפרנס את משפחת הרב. בני העיר השיאו את בת הרב לרב </w:t>
      </w:r>
      <w:proofErr w:type="spellStart"/>
      <w:r>
        <w:rPr>
          <w:rtl/>
        </w:rPr>
        <w:t>וכטפוגל</w:t>
      </w:r>
      <w:proofErr w:type="spellEnd"/>
      <w:r>
        <w:rPr>
          <w:rtl/>
        </w:rPr>
        <w:t xml:space="preserve">, אחד </w:t>
      </w:r>
      <w:proofErr w:type="spellStart"/>
      <w:r>
        <w:rPr>
          <w:rtl/>
        </w:rPr>
        <w:lastRenderedPageBreak/>
        <w:t>מארבעה־עשר</w:t>
      </w:r>
      <w:proofErr w:type="spellEnd"/>
      <w:r>
        <w:rPr>
          <w:rtl/>
        </w:rPr>
        <w:t xml:space="preserve"> התלמידים שייסדו את ישיבת </w:t>
      </w:r>
      <w:proofErr w:type="spellStart"/>
      <w:r>
        <w:rPr>
          <w:rtl/>
        </w:rPr>
        <w:t>סלוצק</w:t>
      </w:r>
      <w:proofErr w:type="spellEnd"/>
      <w:r>
        <w:rPr>
          <w:rtl/>
        </w:rPr>
        <w:t xml:space="preserve"> של ר׳ </w:t>
      </w:r>
      <w:proofErr w:type="spellStart"/>
      <w:r>
        <w:rPr>
          <w:rtl/>
        </w:rPr>
        <w:t>איסר־זלמן</w:t>
      </w:r>
      <w:proofErr w:type="spellEnd"/>
      <w:r>
        <w:rPr>
          <w:rtl/>
        </w:rPr>
        <w:t xml:space="preserve"> מלצר</w:t>
      </w:r>
      <w:bookmarkStart w:id="5769" w:name="_fnr4401"/>
      <w:r>
        <w:rPr>
          <w:vertAlign w:val="superscript"/>
          <w:rtl/>
        </w:rPr>
        <w:footnoteReference w:id="4411" w:customMarkFollows="0"/>
      </w:r>
      <w:bookmarkEnd w:id="5769"/>
      <w:r>
        <w:rPr>
          <w:rtl/>
        </w:rPr>
        <w:t xml:space="preserve">, וקיבלוהו לרב, ושלחו את לוי, בנו של ר׳ </w:t>
      </w:r>
      <w:proofErr w:type="spellStart"/>
      <w:r>
        <w:rPr>
          <w:rtl/>
        </w:rPr>
        <w:t>משה־נתן</w:t>
      </w:r>
      <w:proofErr w:type="spellEnd"/>
      <w:r>
        <w:rPr>
          <w:rtl/>
        </w:rPr>
        <w:t xml:space="preserve"> שפיץ, ללמוד </w:t>
      </w:r>
      <w:proofErr w:type="spellStart"/>
      <w:r>
        <w:rPr>
          <w:rtl/>
        </w:rPr>
        <w:t>בטלז</w:t>
      </w:r>
      <w:proofErr w:type="spellEnd"/>
      <w:r>
        <w:rPr>
          <w:rtl/>
        </w:rPr>
        <w:t xml:space="preserve">, שם גדל ונעשה לאחד מגדולי רבני ליטא שלפני מלחמת העולם השנייה, ולבסוף רבה של </w:t>
      </w:r>
      <w:proofErr w:type="spellStart"/>
      <w:r>
        <w:rPr>
          <w:rtl/>
        </w:rPr>
        <w:t>טבריג</w:t>
      </w:r>
      <w:proofErr w:type="spellEnd"/>
      <w:r>
        <w:rPr>
          <w:rtl/>
        </w:rPr>
        <w:t>”.</w:t>
      </w:r>
    </w:p>
    <w:p w14:paraId="58A3D7BC" w14:textId="77777777" w:rsidR="00AB3647" w:rsidRDefault="00000000" w:rsidP="007923E9">
      <w:pPr>
        <w:spacing w:after="120" w:line="276" w:lineRule="auto"/>
        <w:ind w:firstLine="283"/>
        <w:jc w:val="both"/>
      </w:pPr>
      <w:r>
        <w:rPr>
          <w:rtl/>
        </w:rPr>
        <w:t xml:space="preserve">המאמר אינו מציין מתי אירע המעשה, אבל מוכרח שהיה במחצית הראשונה של שנות </w:t>
      </w:r>
      <w:proofErr w:type="spellStart"/>
      <w:r>
        <w:rPr>
          <w:rtl/>
        </w:rPr>
        <w:t>התרס״א</w:t>
      </w:r>
      <w:proofErr w:type="spellEnd"/>
      <w:r>
        <w:rPr>
          <w:rtl/>
        </w:rPr>
        <w:t xml:space="preserve">–תר״ע: לאחר שנעשה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רבה של </w:t>
      </w:r>
      <w:proofErr w:type="spellStart"/>
      <w:r>
        <w:rPr>
          <w:rtl/>
        </w:rPr>
        <w:t>טבריג</w:t>
      </w:r>
      <w:proofErr w:type="spellEnd"/>
      <w:r>
        <w:rPr>
          <w:rtl/>
        </w:rPr>
        <w:t xml:space="preserve">, </w:t>
      </w:r>
      <w:proofErr w:type="spellStart"/>
      <w:r>
        <w:rPr>
          <w:rtl/>
        </w:rPr>
        <w:t>בתרס״א</w:t>
      </w:r>
      <w:proofErr w:type="spellEnd"/>
      <w:r>
        <w:rPr>
          <w:rtl/>
        </w:rPr>
        <w:t xml:space="preserve">, וכשהיה ר׳ לוי, יליד תרמ״ז, בגיל המתאים להישלח לישיבה גדולה. לפרטים נוספים על ר׳ לוי שפיץ ועל קשריו עם רבנו השווה כרך 2. הוא נהרג על קידוש השם </w:t>
      </w:r>
      <w:proofErr w:type="spellStart"/>
      <w:r>
        <w:rPr>
          <w:rtl/>
        </w:rPr>
        <w:t>בטבריג</w:t>
      </w:r>
      <w:proofErr w:type="spellEnd"/>
      <w:r>
        <w:rPr>
          <w:rtl/>
        </w:rPr>
        <w:t>.</w:t>
      </w:r>
    </w:p>
    <w:bookmarkStart w:id="5770" w:name="b4_excS"/>
    <w:bookmarkStart w:id="5771" w:name="b4_annexS"/>
    <w:p w14:paraId="20981AB2" w14:textId="77777777" w:rsidR="00AB3647" w:rsidRDefault="00000000" w:rsidP="007923E9">
      <w:pPr>
        <w:pStyle w:val="3"/>
        <w:pageBreakBefore w:val="0"/>
        <w:spacing w:line="276" w:lineRule="auto"/>
      </w:pPr>
      <w:r>
        <w:fldChar w:fldCharType="begin" w:dirty="true"/>
      </w:r>
      <w:r>
        <w:rPr>
          <w:rtl w:val="0"/>
        </w:rPr>
        <w:instrText>HYPERLINK \l "b4_note156</w:instrText>
      </w:r>
      <w:r>
        <w:instrText>"</w:instrText>
      </w:r>
      <w:r>
        <w:fldChar w:fldCharType="separate"/>
      </w:r>
      <w:r>
        <w:t xml:space="preserve">נספח </w:t>
      </w:r>
      <w:proofErr w:type="spellStart"/>
      <w:r>
        <w:t>יט</w:t>
      </w:r>
      <w:proofErr w:type="spellEnd"/>
      <w:r>
        <w:fldChar w:fldCharType="end"/>
      </w:r>
      <w:bookmarkEnd w:id="5770"/>
      <w:bookmarkEnd w:id="5771"/>
    </w:p>
    <w:p w14:paraId="0644D883" w14:textId="77777777" w:rsidR="00AB3647" w:rsidRDefault="00000000" w:rsidP="007923E9">
      <w:pPr>
        <w:pStyle w:val="af"/>
        <w:spacing w:line="276" w:lineRule="auto"/>
      </w:pPr>
      <w:r>
        <w:t xml:space="preserve">על אפיון הרבניות מנוחה </w:t>
      </w:r>
      <w:proofErr w:type="spellStart"/>
      <w:r>
        <w:t>פרנק־אפשטיין</w:t>
      </w:r>
      <w:proofErr w:type="spellEnd"/>
      <w:r>
        <w:t xml:space="preserve"> </w:t>
      </w:r>
      <w:proofErr w:type="spellStart"/>
      <w:r>
        <w:t>ובסיה־מרים</w:t>
      </w:r>
      <w:proofErr w:type="spellEnd"/>
      <w:r>
        <w:t xml:space="preserve"> </w:t>
      </w:r>
      <w:proofErr w:type="spellStart"/>
      <w:r>
        <w:t>אפשטיין־ברלין</w:t>
      </w:r>
      <w:proofErr w:type="spellEnd"/>
    </w:p>
    <w:p w14:paraId="1A32D5C3" w14:textId="77777777" w:rsidR="00AB3647" w:rsidRDefault="00000000" w:rsidP="007923E9">
      <w:pPr>
        <w:pStyle w:val="5"/>
        <w:spacing w:line="276" w:lineRule="auto"/>
      </w:pPr>
      <w:r>
        <w:rPr>
          <w:bCs/>
          <w:szCs w:val="26"/>
        </w:rPr>
        <w:t xml:space="preserve">מנוחה אפשטיין מתייצבת מול המהפכנים – </w:t>
      </w:r>
      <w:proofErr w:type="spellStart"/>
      <w:r>
        <w:rPr>
          <w:bCs/>
          <w:szCs w:val="26"/>
        </w:rPr>
        <w:t>בוולוז׳ין</w:t>
      </w:r>
      <w:proofErr w:type="spellEnd"/>
      <w:r>
        <w:rPr>
          <w:bCs/>
          <w:szCs w:val="26"/>
        </w:rPr>
        <w:t xml:space="preserve"> מתעבים התלמידים את התערבות רבנית </w:t>
      </w:r>
      <w:proofErr w:type="spellStart"/>
      <w:r>
        <w:rPr>
          <w:bCs/>
          <w:szCs w:val="26"/>
        </w:rPr>
        <w:t>הנצי״ב</w:t>
      </w:r>
      <w:proofErr w:type="spellEnd"/>
      <w:r>
        <w:rPr>
          <w:bCs/>
          <w:szCs w:val="26"/>
        </w:rPr>
        <w:t xml:space="preserve"> – מאשימים אותה שאינה מסכימה לגמרי למעמדו של ר׳ חיים </w:t>
      </w:r>
      <w:proofErr w:type="spellStart"/>
      <w:r>
        <w:rPr>
          <w:bCs/>
          <w:szCs w:val="26"/>
        </w:rPr>
        <w:t>סולובייצ׳יק</w:t>
      </w:r>
      <w:proofErr w:type="spellEnd"/>
      <w:r>
        <w:rPr>
          <w:bCs/>
          <w:szCs w:val="26"/>
        </w:rPr>
        <w:t xml:space="preserve"> בישיבה – ר׳ </w:t>
      </w:r>
      <w:proofErr w:type="spellStart"/>
      <w:r>
        <w:rPr>
          <w:bCs/>
          <w:szCs w:val="26"/>
        </w:rPr>
        <w:t>יהושע־העשיל</w:t>
      </w:r>
      <w:proofErr w:type="spellEnd"/>
      <w:r>
        <w:rPr>
          <w:bCs/>
          <w:szCs w:val="26"/>
        </w:rPr>
        <w:t xml:space="preserve"> לוין הועדף על פני </w:t>
      </w:r>
      <w:proofErr w:type="spellStart"/>
      <w:r>
        <w:rPr>
          <w:bCs/>
          <w:szCs w:val="26"/>
        </w:rPr>
        <w:t>הנצי״ב</w:t>
      </w:r>
      <w:proofErr w:type="spellEnd"/>
      <w:r>
        <w:rPr>
          <w:bCs/>
          <w:szCs w:val="26"/>
        </w:rPr>
        <w:t xml:space="preserve"> בשל רעייתו של כל אחד מהם – אשתו השנייה של </w:t>
      </w:r>
      <w:proofErr w:type="spellStart"/>
      <w:r>
        <w:rPr>
          <w:bCs/>
          <w:szCs w:val="26"/>
        </w:rPr>
        <w:t>הנצי״ב</w:t>
      </w:r>
      <w:proofErr w:type="spellEnd"/>
      <w:r>
        <w:rPr>
          <w:bCs/>
          <w:szCs w:val="26"/>
        </w:rPr>
        <w:t xml:space="preserve"> מטפלת בו היטב</w:t>
      </w:r>
    </w:p>
    <w:p w14:paraId="2B3F47D9" w14:textId="77777777" w:rsidR="00AB3647" w:rsidRDefault="00000000" w:rsidP="007923E9">
      <w:pPr>
        <w:spacing w:after="120" w:line="276" w:lineRule="auto"/>
        <w:ind w:firstLine="283"/>
        <w:jc w:val="both"/>
      </w:pPr>
      <w:r>
        <w:rPr>
          <w:rtl/>
        </w:rPr>
        <w:t xml:space="preserve">על יחסם של התלמידים </w:t>
      </w:r>
      <w:proofErr w:type="spellStart"/>
      <w:r>
        <w:rPr>
          <w:rtl/>
        </w:rPr>
        <w:t>לחיה־מנוחה</w:t>
      </w:r>
      <w:proofErr w:type="spellEnd"/>
      <w:r>
        <w:rPr>
          <w:rtl/>
        </w:rPr>
        <w:t xml:space="preserve"> אפשטיין מסר לי ר׳ ישראל </w:t>
      </w:r>
      <w:proofErr w:type="spellStart"/>
      <w:r>
        <w:rPr>
          <w:rtl/>
        </w:rPr>
        <w:t>שורין</w:t>
      </w:r>
      <w:proofErr w:type="spellEnd"/>
      <w:r>
        <w:rPr>
          <w:rtl/>
        </w:rPr>
        <w:t xml:space="preserve">, שלמד בישיבת חברון (כבר בירושלים) </w:t>
      </w:r>
      <w:proofErr w:type="spellStart"/>
      <w:r>
        <w:rPr>
          <w:rtl/>
        </w:rPr>
        <w:t>בתרצ״ה</w:t>
      </w:r>
      <w:proofErr w:type="spellEnd"/>
      <w:r>
        <w:rPr>
          <w:rtl/>
        </w:rPr>
        <w:t xml:space="preserve">, ושוב, לתקופה נוספת של יותר משנתיים, החל </w:t>
      </w:r>
      <w:proofErr w:type="spellStart"/>
      <w:r>
        <w:rPr>
          <w:rtl/>
        </w:rPr>
        <w:t>בתרצ״ז</w:t>
      </w:r>
      <w:proofErr w:type="spellEnd"/>
      <w:r>
        <w:rPr>
          <w:rtl/>
        </w:rPr>
        <w:t xml:space="preserve">. הרבנית אפשטיין נפטרה שנתיים לאחר מכן, </w:t>
      </w:r>
      <w:proofErr w:type="spellStart"/>
      <w:r>
        <w:rPr>
          <w:rtl/>
        </w:rPr>
        <w:t>בתש״א</w:t>
      </w:r>
      <w:proofErr w:type="spellEnd"/>
      <w:r>
        <w:rPr>
          <w:rtl/>
        </w:rPr>
        <w:t>.</w:t>
      </w:r>
    </w:p>
    <w:p w14:paraId="35B4178A" w14:textId="77777777" w:rsidR="00AB3647" w:rsidRDefault="00000000" w:rsidP="007923E9">
      <w:pPr>
        <w:spacing w:after="120" w:line="276" w:lineRule="auto"/>
        <w:ind w:firstLine="283"/>
        <w:jc w:val="both"/>
      </w:pPr>
      <w:r>
        <w:rPr>
          <w:rtl/>
        </w:rPr>
        <w:t>כץ, “תנועת המוסר”, כרך ג</w:t>
      </w:r>
      <w:bookmarkStart w:id="5772" w:name="_fnr4402"/>
      <w:r>
        <w:rPr>
          <w:vertAlign w:val="superscript"/>
          <w:rtl/>
        </w:rPr>
        <w:footnoteReference w:id="4412" w:customMarkFollows="0"/>
      </w:r>
      <w:bookmarkEnd w:id="5772"/>
      <w:r>
        <w:rPr>
          <w:rtl/>
        </w:rPr>
        <w:t>, מספר מעשה המעיד על תקיפותה: “בשבת אחר הצהריים הופיעה קבוצה גדולה של מהפכנים [בישיבת כנסת ישראל]</w:t>
      </w:r>
      <w:bookmarkStart w:id="5773" w:name="_fnr4403"/>
      <w:r>
        <w:rPr>
          <w:vertAlign w:val="superscript"/>
          <w:rtl/>
        </w:rPr>
        <w:footnoteReference w:id="4413" w:customMarkFollows="0"/>
      </w:r>
      <w:bookmarkEnd w:id="5773"/>
      <w:r>
        <w:rPr>
          <w:rtl/>
        </w:rPr>
        <w:t xml:space="preserve"> כדי לקיים עצרת. היו שם באותה שעה תלמידים [בבית המדרש] שישבו ולמדו בקול, ובכך הפריעו למהפכנים. אלה החלו להיאבק בהם, חטפו את הגמרות מידיהם וניסו לדחוף אותם החוצה. לבסוף עלה הנואם [המהפכן] על הספסל מול ארון הקודש והחל להלום על שולחן בגמרא כדי להשתיק את רעש הלומדים ולהמשיך בדבריו. התלמידים היו נבוכים – והיה גם חשש שהמשטרה תופיע ותחשוד שהישיבה מעורבת בפעילות מהפכנית. כשאשתו של ר׳ </w:t>
      </w:r>
      <w:proofErr w:type="spellStart"/>
      <w:r>
        <w:rPr>
          <w:rtl/>
        </w:rPr>
        <w:t>משה־מרדכי</w:t>
      </w:r>
      <w:proofErr w:type="spellEnd"/>
      <w:r>
        <w:rPr>
          <w:rtl/>
        </w:rPr>
        <w:t>, שגרה בבניין</w:t>
      </w:r>
      <w:bookmarkStart w:id="5774" w:name="_fnr4404"/>
      <w:r>
        <w:rPr>
          <w:vertAlign w:val="superscript"/>
          <w:rtl/>
        </w:rPr>
        <w:footnoteReference w:id="4414" w:customMarkFollows="0"/>
      </w:r>
      <w:bookmarkEnd w:id="5774"/>
      <w:r>
        <w:rPr>
          <w:rtl/>
        </w:rPr>
        <w:t>, העריכה את המצב, החלה לצעוק: ‘אש! אש!’ ובהלה פרצה. [ראשי] המהפכנים הבינו שזו תחבולה, והצמידו אקדח לראשה כדי להשתיקה, אך היא לא נכנעה והמשיכה לצעוק. המהפכנים, מחשש שהמשטרה תגיע, עזבו.”</w:t>
      </w:r>
    </w:p>
    <w:p w14:paraId="58F7DC74" w14:textId="77777777" w:rsidR="00AB3647" w:rsidRDefault="00000000" w:rsidP="007923E9">
      <w:pPr>
        <w:spacing w:after="120" w:line="276" w:lineRule="auto"/>
        <w:ind w:firstLine="283"/>
        <w:jc w:val="both"/>
      </w:pPr>
      <w:bookmarkStart w:id="5775" w:name="pr_b_2455"/>
      <w:bookmarkEnd w:id="5775"/>
      <w:r>
        <w:rPr>
          <w:rtl/>
        </w:rPr>
        <w:t xml:space="preserve">סביר </w:t>
      </w:r>
      <w:proofErr w:type="spellStart"/>
      <w:r>
        <w:rPr>
          <w:rtl/>
        </w:rPr>
        <w:t>שה“פורים־רב</w:t>
      </w:r>
      <w:proofErr w:type="spellEnd"/>
      <w:r>
        <w:rPr>
          <w:rtl/>
        </w:rPr>
        <w:t xml:space="preserve">” של </w:t>
      </w:r>
      <w:proofErr w:type="spellStart"/>
      <w:r>
        <w:rPr>
          <w:rtl/>
        </w:rPr>
        <w:t>סלבודקה</w:t>
      </w:r>
      <w:proofErr w:type="spellEnd"/>
      <w:r>
        <w:rPr>
          <w:rtl/>
        </w:rPr>
        <w:t xml:space="preserve">, בכנותו את ספרו של ראש הישיבה על שם אשתו, רמז שהבחורים סברו שיש לה דריסת רגל רבה מדי בענייני בעלה. השווה גם כרך 2, על חששו של </w:t>
      </w:r>
      <w:r>
        <w:rPr>
          <w:rtl/>
        </w:rPr>
        <w:lastRenderedPageBreak/>
        <w:t xml:space="preserve">הסבא שהישיבה עלולה ללקות אם לא יסכים לתוכניותיה של מנוחה אפשטיין להשיא את בתה </w:t>
      </w:r>
      <w:proofErr w:type="spellStart"/>
      <w:r>
        <w:rPr>
          <w:rtl/>
        </w:rPr>
        <w:t>זלטה</w:t>
      </w:r>
      <w:proofErr w:type="spellEnd"/>
      <w:r>
        <w:rPr>
          <w:rtl/>
        </w:rPr>
        <w:t xml:space="preserve"> לבנו.</w:t>
      </w:r>
    </w:p>
    <w:p w14:paraId="37D12762" w14:textId="0F28014B" w:rsidR="00AB3647" w:rsidRDefault="00000000" w:rsidP="007923E9">
      <w:pPr>
        <w:spacing w:after="120" w:line="276" w:lineRule="auto"/>
        <w:ind w:firstLine="283"/>
        <w:jc w:val="both"/>
      </w:pPr>
      <w:r>
        <w:rPr>
          <w:rtl/>
        </w:rPr>
        <w:t xml:space="preserve">מעניין שהמאמר של </w:t>
      </w:r>
      <w:proofErr w:type="spellStart"/>
      <w:r>
        <w:rPr>
          <w:rtl/>
        </w:rPr>
        <w:t>אייזנשטט</w:t>
      </w:r>
      <w:proofErr w:type="spellEnd"/>
      <w:r>
        <w:rPr>
          <w:rtl/>
        </w:rPr>
        <w:t xml:space="preserve"> שצוין בהערה </w:t>
      </w:r>
      <w:r>
        <w:rPr>
          <w:rtl/>
        </w:rPr>
        <w:fldChar w:fldCharType="begin" w:dirty="true"/>
      </w:r>
      <w:r>
        <w:rPr>
          <w:rtl/>
        </w:rPr>
        <w:instrText xml:space="preserve"> REF b4_note152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152</w:t>
      </w:r>
      <w:r>
        <w:rPr>
          <w:rtl/>
        </w:rPr>
        <w:fldChar w:fldCharType="end"/>
      </w:r>
      <w:r>
        <w:rPr>
          <w:rtl/>
        </w:rPr>
        <w:t xml:space="preserve"> לעיל רומז </w:t>
      </w:r>
      <w:proofErr w:type="spellStart"/>
      <w:r>
        <w:rPr>
          <w:rtl/>
        </w:rPr>
        <w:t>שה“פורים־רב</w:t>
      </w:r>
      <w:proofErr w:type="spellEnd"/>
      <w:r>
        <w:rPr>
          <w:rtl/>
        </w:rPr>
        <w:t xml:space="preserve">” </w:t>
      </w:r>
      <w:proofErr w:type="spellStart"/>
      <w:r>
        <w:rPr>
          <w:rtl/>
        </w:rPr>
        <w:t>בוולוז׳ין</w:t>
      </w:r>
      <w:proofErr w:type="spellEnd"/>
      <w:r>
        <w:rPr>
          <w:rtl/>
        </w:rPr>
        <w:t xml:space="preserve"> “לא נמנע מלבקר את חייו האישיים של </w:t>
      </w:r>
      <w:proofErr w:type="spellStart"/>
      <w:r>
        <w:rPr>
          <w:rtl/>
        </w:rPr>
        <w:t>הנצי״ב</w:t>
      </w:r>
      <w:proofErr w:type="spellEnd"/>
      <w:r>
        <w:rPr>
          <w:rtl/>
        </w:rPr>
        <w:t xml:space="preserve">”, ובעקבות זאת ביטל </w:t>
      </w:r>
      <w:proofErr w:type="spellStart"/>
      <w:r>
        <w:rPr>
          <w:rtl/>
        </w:rPr>
        <w:t>הנצי״ב</w:t>
      </w:r>
      <w:proofErr w:type="spellEnd"/>
      <w:r>
        <w:rPr>
          <w:rtl/>
        </w:rPr>
        <w:t xml:space="preserve"> את “מנהג </w:t>
      </w:r>
      <w:proofErr w:type="spellStart"/>
      <w:r>
        <w:rPr>
          <w:rtl/>
        </w:rPr>
        <w:t>הפורים־רב</w:t>
      </w:r>
      <w:proofErr w:type="spellEnd"/>
      <w:r>
        <w:rPr>
          <w:rtl/>
        </w:rPr>
        <w:t xml:space="preserve">”. הדבר אירע אחרי נישואיו השניים של </w:t>
      </w:r>
      <w:proofErr w:type="spellStart"/>
      <w:r>
        <w:rPr>
          <w:rtl/>
        </w:rPr>
        <w:t>הנצי״ב</w:t>
      </w:r>
      <w:proofErr w:type="spellEnd"/>
      <w:r>
        <w:rPr>
          <w:rtl/>
        </w:rPr>
        <w:t xml:space="preserve"> לאחייניתו </w:t>
      </w:r>
      <w:proofErr w:type="spellStart"/>
      <w:r>
        <w:rPr>
          <w:rtl/>
        </w:rPr>
        <w:t>בסיה־מרים</w:t>
      </w:r>
      <w:proofErr w:type="spellEnd"/>
      <w:r>
        <w:rPr>
          <w:rtl/>
        </w:rPr>
        <w:t xml:space="preserve">, בתם של אחותו ושל ר׳ </w:t>
      </w:r>
      <w:proofErr w:type="spellStart"/>
      <w:r>
        <w:rPr>
          <w:rtl/>
        </w:rPr>
        <w:t>יחיאל־מיכל</w:t>
      </w:r>
      <w:proofErr w:type="spellEnd"/>
      <w:r>
        <w:rPr>
          <w:rtl/>
        </w:rPr>
        <w:t xml:space="preserve"> אפשטיין, מחבר “ערוך השולחן” ורבה של </w:t>
      </w:r>
      <w:proofErr w:type="spellStart"/>
      <w:r>
        <w:rPr>
          <w:rtl/>
        </w:rPr>
        <w:t>נובהרדוק</w:t>
      </w:r>
      <w:proofErr w:type="spellEnd"/>
      <w:r>
        <w:rPr>
          <w:rtl/>
        </w:rPr>
        <w:t>.</w:t>
      </w:r>
    </w:p>
    <w:p w14:paraId="6DE09AE3" w14:textId="77777777" w:rsidR="00AB3647" w:rsidRDefault="00000000" w:rsidP="007923E9">
      <w:pPr>
        <w:spacing w:after="120" w:line="276" w:lineRule="auto"/>
        <w:ind w:firstLine="283"/>
        <w:jc w:val="both"/>
      </w:pPr>
      <w:r>
        <w:rPr>
          <w:rtl/>
        </w:rPr>
        <w:t xml:space="preserve">על התערבותה בישיבה נשמעו תלונות קשות, כמסופר </w:t>
      </w:r>
      <w:proofErr w:type="spellStart"/>
      <w:r>
        <w:rPr>
          <w:rtl/>
        </w:rPr>
        <w:t>ב“בר</w:t>
      </w:r>
      <w:proofErr w:type="spellEnd"/>
      <w:r>
        <w:rPr>
          <w:rtl/>
        </w:rPr>
        <w:t xml:space="preserve"> </w:t>
      </w:r>
      <w:proofErr w:type="spellStart"/>
      <w:r>
        <w:rPr>
          <w:rtl/>
        </w:rPr>
        <w:t>בי־רב</w:t>
      </w:r>
      <w:proofErr w:type="spellEnd"/>
      <w:r>
        <w:rPr>
          <w:rtl/>
        </w:rPr>
        <w:t>”</w:t>
      </w:r>
      <w:bookmarkStart w:id="5776" w:name="_fnr4405"/>
      <w:r>
        <w:rPr>
          <w:vertAlign w:val="superscript"/>
          <w:rtl/>
        </w:rPr>
        <w:footnoteReference w:id="4415" w:customMarkFollows="0"/>
      </w:r>
      <w:bookmarkEnd w:id="5776"/>
      <w:r>
        <w:rPr>
          <w:rtl/>
        </w:rPr>
        <w:t xml:space="preserve">: “המשגיח הטוב, העושה את עבודתו בישיבה בתום לב ואהוב על תלמידי הישיבה, מבלה את ימיו בכאב ועושה את מלאכתו בצער רק משום שאינו מוצא חן בעיני הרבנית, ופעמים רבות רצתה להסירו. הפרחחים שבישיבה עשו מעשה נורא וזרקו אבן דרך חלונה, ומפחד כמעט הגיעה לשערי מוות. השנאה הגיעה לידי כך שבשעה שהרופאים התייאשו מחייה, ובבית </w:t>
      </w:r>
      <w:proofErr w:type="spellStart"/>
      <w:r>
        <w:rPr>
          <w:rtl/>
        </w:rPr>
        <w:t>הנצי״ב</w:t>
      </w:r>
      <w:proofErr w:type="spellEnd"/>
      <w:r>
        <w:rPr>
          <w:rtl/>
        </w:rPr>
        <w:t xml:space="preserve"> שררו אנחות וגניחות, מצא האחרון </w:t>
      </w:r>
      <w:proofErr w:type="spellStart"/>
      <w:r>
        <w:rPr>
          <w:rtl/>
        </w:rPr>
        <w:t>בגמרתו</w:t>
      </w:r>
      <w:proofErr w:type="spellEnd"/>
      <w:r>
        <w:rPr>
          <w:rtl/>
        </w:rPr>
        <w:t xml:space="preserve"> פתק ועליו כתוב נוסח למצבתה.” המאמר ממשיך: “עתה” – אחרי שהחלימה – “כמו אז, היא עוינת את תלמידי הישיבה המעוררים את חשדותיה. כל מפתחות הישיבה בידה. ליצני הישיבה אומרים שאפילו הגבאי מתייעץ עמה לפני קריאת התורה את מי לקרוא לתורה ואת מי לא – ולמי לתת עלייה ‘שמנה’ ולמי ‘רזה’; ואי אפשר לשלול זאת.”</w:t>
      </w:r>
    </w:p>
    <w:p w14:paraId="5CA2F0D2" w14:textId="68537F57" w:rsidR="00AB3647" w:rsidRDefault="00000000" w:rsidP="007923E9">
      <w:pPr>
        <w:spacing w:after="120" w:line="276" w:lineRule="auto"/>
        <w:ind w:firstLine="283"/>
        <w:jc w:val="both"/>
      </w:pPr>
      <w:r>
        <w:rPr>
          <w:rtl/>
        </w:rPr>
        <w:t xml:space="preserve">המאמר ממשיך ומותח ביקורת על שיטת הלימוד </w:t>
      </w:r>
      <w:proofErr w:type="spellStart"/>
      <w:r>
        <w:rPr>
          <w:rtl/>
        </w:rPr>
        <w:t>ה“מיושנת</w:t>
      </w:r>
      <w:proofErr w:type="spellEnd"/>
      <w:r>
        <w:rPr>
          <w:rtl/>
        </w:rPr>
        <w:t xml:space="preserve">” של </w:t>
      </w:r>
      <w:proofErr w:type="spellStart"/>
      <w:r>
        <w:rPr>
          <w:rtl/>
        </w:rPr>
        <w:t>הנצי״ב</w:t>
      </w:r>
      <w:proofErr w:type="spellEnd"/>
      <w:r>
        <w:rPr>
          <w:rtl/>
        </w:rPr>
        <w:t xml:space="preserve">, בניגוד לשיטתו של ר׳ חיים </w:t>
      </w:r>
      <w:proofErr w:type="spellStart"/>
      <w:r>
        <w:rPr>
          <w:rtl/>
        </w:rPr>
        <w:t>סולובייצ׳יק</w:t>
      </w:r>
      <w:proofErr w:type="spellEnd"/>
      <w:r>
        <w:rPr>
          <w:rtl/>
        </w:rPr>
        <w:t xml:space="preserve">, כפי שהובא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בשלב זה אין הכותב קושר את הסלידה משיעורי </w:t>
      </w:r>
      <w:proofErr w:type="spellStart"/>
      <w:r>
        <w:rPr>
          <w:rtl/>
        </w:rPr>
        <w:t>הנצי״ב</w:t>
      </w:r>
      <w:proofErr w:type="spellEnd"/>
      <w:r>
        <w:rPr>
          <w:rtl/>
        </w:rPr>
        <w:t xml:space="preserve"> לסלידת התלמידים מן הרבנית, אבל הקורא אינו יכול שלא לקשור בין השניים. לפי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ולפי פרק 3, </w:t>
      </w:r>
      <w:r>
        <w:rPr>
          <w:rtl/>
        </w:rPr>
        <w:fldChar w:fldCharType="begin" w:dirty="true"/>
      </w:r>
      <w:r>
        <w:rPr>
          <w:rtl/>
        </w:rPr>
        <w:instrText xml:space="preserve"> REF b3_excK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יא</w:t>
      </w:r>
      <w:r>
        <w:rPr>
          <w:rtl/>
        </w:rPr>
        <w:fldChar w:fldCharType="end"/>
      </w:r>
      <w:r>
        <w:rPr>
          <w:rtl/>
        </w:rPr>
        <w:t>, משוער שהסלידה משיעורים אלה היא שהובילה לבסוף לסגירת הישיבה.</w:t>
      </w:r>
    </w:p>
    <w:p w14:paraId="71FD99F4" w14:textId="77777777" w:rsidR="00AB3647" w:rsidRDefault="00000000" w:rsidP="007923E9">
      <w:pPr>
        <w:spacing w:after="120" w:line="276" w:lineRule="auto"/>
        <w:ind w:firstLine="283"/>
        <w:jc w:val="both"/>
      </w:pPr>
      <w:r>
        <w:rPr>
          <w:rtl/>
        </w:rPr>
        <w:t xml:space="preserve">דברי הסיום של המאמר, לעומת זאת, אכן קושרים בין השניים, בעקיפין: הם מציינים שגם בעניין השיעורים עמדה דעת התלמידים מול דעת הרבנית. לאחר ששיבח את ר׳ חיים </w:t>
      </w:r>
      <w:proofErr w:type="spellStart"/>
      <w:r>
        <w:rPr>
          <w:rtl/>
        </w:rPr>
        <w:t>סולובייצ׳יק</w:t>
      </w:r>
      <w:proofErr w:type="spellEnd"/>
      <w:r>
        <w:rPr>
          <w:rtl/>
        </w:rPr>
        <w:t xml:space="preserve"> שבחים מופלגים, אומר הכותב: “מזלו של ר׳ חיים טוב ממזל אביו, ר׳ יוסף־דב; [האחרון] נאלץ בידי אנשי </w:t>
      </w:r>
      <w:proofErr w:type="spellStart"/>
      <w:r>
        <w:rPr>
          <w:rtl/>
        </w:rPr>
        <w:t>הנצי״ב</w:t>
      </w:r>
      <w:proofErr w:type="spellEnd"/>
      <w:r>
        <w:rPr>
          <w:rtl/>
        </w:rPr>
        <w:t xml:space="preserve"> לפרוש ממשרת ראש הישיבה [</w:t>
      </w:r>
      <w:proofErr w:type="spellStart"/>
      <w:r>
        <w:rPr>
          <w:rtl/>
        </w:rPr>
        <w:t>בתרכ״ג</w:t>
      </w:r>
      <w:proofErr w:type="spellEnd"/>
      <w:r>
        <w:rPr>
          <w:rtl/>
        </w:rPr>
        <w:t xml:space="preserve">] ולעזוב את </w:t>
      </w:r>
      <w:proofErr w:type="spellStart"/>
      <w:r>
        <w:rPr>
          <w:rtl/>
        </w:rPr>
        <w:t>וולוז׳ין</w:t>
      </w:r>
      <w:proofErr w:type="spellEnd"/>
      <w:r>
        <w:rPr>
          <w:rtl/>
        </w:rPr>
        <w:t>, ואילו גורל בנו מצוין, והוא רצוי לאנשי הישיבה. רק הרבנית לא תטה אליו שלום בלב שלם.”</w:t>
      </w:r>
    </w:p>
    <w:p w14:paraId="29081489" w14:textId="77777777" w:rsidR="00AB3647" w:rsidRDefault="00000000" w:rsidP="007923E9">
      <w:pPr>
        <w:spacing w:after="120" w:line="276" w:lineRule="auto"/>
        <w:ind w:firstLine="283"/>
        <w:jc w:val="both"/>
      </w:pPr>
      <w:r>
        <w:rPr>
          <w:rtl/>
        </w:rPr>
        <w:t xml:space="preserve">ראה גם מאמרו של ש״ל </w:t>
      </w:r>
      <w:proofErr w:type="spellStart"/>
      <w:r>
        <w:rPr>
          <w:rtl/>
        </w:rPr>
        <w:t>ציטרון</w:t>
      </w:r>
      <w:proofErr w:type="spellEnd"/>
      <w:r>
        <w:rPr>
          <w:rtl/>
        </w:rPr>
        <w:t xml:space="preserve"> על “מלחמת הדינסטיות” </w:t>
      </w:r>
      <w:proofErr w:type="spellStart"/>
      <w:r>
        <w:rPr>
          <w:rtl/>
        </w:rPr>
        <w:t>בוולוז׳ין</w:t>
      </w:r>
      <w:bookmarkStart w:id="5777" w:name="_fnr4406"/>
      <w:proofErr w:type="spellEnd"/>
      <w:r>
        <w:rPr>
          <w:vertAlign w:val="superscript"/>
          <w:rtl/>
        </w:rPr>
        <w:footnoteReference w:id="4416" w:customMarkFollows="0"/>
      </w:r>
      <w:bookmarkEnd w:id="5777"/>
      <w:r>
        <w:rPr>
          <w:rtl/>
        </w:rPr>
        <w:t xml:space="preserve">: אחד הטעמים שבגללם העדיפו התלמידים את ר׳ </w:t>
      </w:r>
      <w:proofErr w:type="spellStart"/>
      <w:r>
        <w:rPr>
          <w:rtl/>
        </w:rPr>
        <w:t>יהושע־העשיל</w:t>
      </w:r>
      <w:proofErr w:type="spellEnd"/>
      <w:r>
        <w:rPr>
          <w:rtl/>
        </w:rPr>
        <w:t xml:space="preserve"> לוין על </w:t>
      </w:r>
      <w:proofErr w:type="spellStart"/>
      <w:r>
        <w:rPr>
          <w:rtl/>
        </w:rPr>
        <w:t>הנצי״ב</w:t>
      </w:r>
      <w:bookmarkStart w:id="5778" w:name="_fnr4407"/>
      <w:proofErr w:type="spellEnd"/>
      <w:r>
        <w:rPr>
          <w:vertAlign w:val="superscript"/>
          <w:rtl/>
        </w:rPr>
        <w:footnoteReference w:id="4417" w:customMarkFollows="0"/>
      </w:r>
      <w:bookmarkEnd w:id="5778"/>
      <w:r>
        <w:rPr>
          <w:rtl/>
        </w:rPr>
        <w:t xml:space="preserve"> היה שהראשון “ישב בבית נאה ומרווח עם כלים וכלי בית נאים וריהוט מקושט, וספרייה יפהפייה הדורה בשפע כרכים, ומן החדרים הציצה רעננות הנעורים...”. חותנו של ר׳ </w:t>
      </w:r>
      <w:proofErr w:type="spellStart"/>
      <w:r>
        <w:rPr>
          <w:rtl/>
        </w:rPr>
        <w:t>יהושע־העשיל</w:t>
      </w:r>
      <w:proofErr w:type="spellEnd"/>
      <w:r>
        <w:rPr>
          <w:rtl/>
        </w:rPr>
        <w:t xml:space="preserve"> לוין, ר׳ </w:t>
      </w:r>
      <w:proofErr w:type="spellStart"/>
      <w:r>
        <w:rPr>
          <w:rtl/>
        </w:rPr>
        <w:t>אליהו־זלמן</w:t>
      </w:r>
      <w:proofErr w:type="spellEnd"/>
      <w:r>
        <w:rPr>
          <w:rtl/>
        </w:rPr>
        <w:t xml:space="preserve">, בנו של ר׳ </w:t>
      </w:r>
      <w:proofErr w:type="spellStart"/>
      <w:r>
        <w:rPr>
          <w:rtl/>
        </w:rPr>
        <w:t>איצל׳ה</w:t>
      </w:r>
      <w:proofErr w:type="spellEnd"/>
      <w:r>
        <w:rPr>
          <w:rtl/>
        </w:rPr>
        <w:t xml:space="preserve"> </w:t>
      </w:r>
      <w:proofErr w:type="spellStart"/>
      <w:r>
        <w:rPr>
          <w:rtl/>
        </w:rPr>
        <w:t>מוולוז׳ין</w:t>
      </w:r>
      <w:proofErr w:type="spellEnd"/>
      <w:r>
        <w:rPr>
          <w:rtl/>
        </w:rPr>
        <w:t xml:space="preserve">, פנה לעסקים והתעשר. האחרון, </w:t>
      </w:r>
      <w:proofErr w:type="spellStart"/>
      <w:r>
        <w:rPr>
          <w:rtl/>
        </w:rPr>
        <w:t>הנצי״ב</w:t>
      </w:r>
      <w:proofErr w:type="spellEnd"/>
      <w:r>
        <w:rPr>
          <w:rtl/>
        </w:rPr>
        <w:t xml:space="preserve">, חי לעומתו “בבית עץ ישן ורעוע בשוק העיירה, שבו מתחילת הבוקר ועד מאוחר בלילה נשמע רק קול ציוץ צרוד </w:t>
      </w:r>
      <w:r>
        <w:rPr>
          <w:rtl/>
        </w:rPr>
        <w:lastRenderedPageBreak/>
        <w:t xml:space="preserve">של אשתו, הרבנית [הראשונה]...”. והרי נישואי </w:t>
      </w:r>
      <w:proofErr w:type="spellStart"/>
      <w:r>
        <w:rPr>
          <w:rtl/>
        </w:rPr>
        <w:t>הנצי״ב</w:t>
      </w:r>
      <w:proofErr w:type="spellEnd"/>
      <w:r>
        <w:rPr>
          <w:rtl/>
        </w:rPr>
        <w:t xml:space="preserve"> לאותה רבנית, בתו של ר׳ </w:t>
      </w:r>
      <w:proofErr w:type="spellStart"/>
      <w:r>
        <w:rPr>
          <w:rtl/>
        </w:rPr>
        <w:t>איצל׳ה</w:t>
      </w:r>
      <w:proofErr w:type="spellEnd"/>
      <w:r>
        <w:rPr>
          <w:rtl/>
        </w:rPr>
        <w:t xml:space="preserve"> </w:t>
      </w:r>
      <w:proofErr w:type="spellStart"/>
      <w:r>
        <w:rPr>
          <w:rtl/>
        </w:rPr>
        <w:t>מוולוז׳ין</w:t>
      </w:r>
      <w:proofErr w:type="spellEnd"/>
      <w:r>
        <w:rPr>
          <w:rtl/>
        </w:rPr>
        <w:t xml:space="preserve">, הם שהקנו לו מלכתחילה את רבנות </w:t>
      </w:r>
      <w:proofErr w:type="spellStart"/>
      <w:r>
        <w:rPr>
          <w:rtl/>
        </w:rPr>
        <w:t>וולוז׳ין</w:t>
      </w:r>
      <w:proofErr w:type="spellEnd"/>
      <w:r>
        <w:rPr>
          <w:rtl/>
        </w:rPr>
        <w:t xml:space="preserve"> ואת ראשות הישיבה.</w:t>
      </w:r>
    </w:p>
    <w:p w14:paraId="36089F04" w14:textId="77777777" w:rsidR="00AB3647" w:rsidRDefault="00000000" w:rsidP="007923E9">
      <w:pPr>
        <w:spacing w:after="120" w:line="276" w:lineRule="auto"/>
        <w:ind w:firstLine="283"/>
        <w:jc w:val="both"/>
      </w:pPr>
      <w:r>
        <w:rPr>
          <w:rtl/>
        </w:rPr>
        <w:t xml:space="preserve">להשקפה הפוכה, אוהדת, על רבניתו השנייה של </w:t>
      </w:r>
      <w:proofErr w:type="spellStart"/>
      <w:r>
        <w:rPr>
          <w:rtl/>
        </w:rPr>
        <w:t>הנצי״ב</w:t>
      </w:r>
      <w:proofErr w:type="spellEnd"/>
      <w:r>
        <w:rPr>
          <w:rtl/>
        </w:rPr>
        <w:t xml:space="preserve">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5779" w:name="_fnr4408"/>
      <w:r>
        <w:rPr>
          <w:vertAlign w:val="superscript"/>
          <w:rtl/>
        </w:rPr>
        <w:footnoteReference w:id="4418" w:customMarkFollows="0"/>
      </w:r>
      <w:bookmarkEnd w:id="5779"/>
      <w:r>
        <w:rPr>
          <w:rtl/>
        </w:rPr>
        <w:t>: המחבר, בנה, מהלל שם את “מעורבותה הנמרצת” בענייני הישיבה. השווה גם “מקור ברוך”</w:t>
      </w:r>
      <w:bookmarkStart w:id="5780" w:name="_fnr4409"/>
      <w:r>
        <w:rPr>
          <w:vertAlign w:val="superscript"/>
          <w:rtl/>
        </w:rPr>
        <w:footnoteReference w:id="4419" w:customMarkFollows="0"/>
      </w:r>
      <w:bookmarkEnd w:id="5780"/>
      <w:r>
        <w:rPr>
          <w:rtl/>
        </w:rPr>
        <w:t xml:space="preserve">, המשווה בין הטיפול האישי הלקוי שקיבל </w:t>
      </w:r>
      <w:proofErr w:type="spellStart"/>
      <w:r>
        <w:rPr>
          <w:rtl/>
        </w:rPr>
        <w:t>הנצי״ב</w:t>
      </w:r>
      <w:proofErr w:type="spellEnd"/>
      <w:r>
        <w:rPr>
          <w:rtl/>
        </w:rPr>
        <w:t xml:space="preserve"> מאשתו הראשונה – אף שהייתה למדנית במידה יוצאת דופן לזמנה, ואולי בגלל זה, כפי שנדון שם</w:t>
      </w:r>
      <w:bookmarkStart w:id="5781" w:name="_fnr4410"/>
      <w:r>
        <w:rPr>
          <w:vertAlign w:val="superscript"/>
          <w:rtl/>
        </w:rPr>
        <w:footnoteReference w:id="4420" w:customMarkFollows="0"/>
      </w:r>
      <w:bookmarkEnd w:id="5781"/>
      <w:r>
        <w:rPr>
          <w:rtl/>
        </w:rPr>
        <w:t xml:space="preserve"> – לבין הטיפול המעולה שזכה לו מאשתו השנייה, אחותו של מחבר “מקור ברוך”, ר׳ ברוך אפשטיין.</w:t>
      </w:r>
    </w:p>
    <w:bookmarkStart w:id="5782" w:name="b4_excT"/>
    <w:bookmarkStart w:id="5783" w:name="b4_annexT"/>
    <w:p w14:paraId="03C92EBA" w14:textId="77777777" w:rsidR="00AB3647" w:rsidRDefault="00000000" w:rsidP="007923E9">
      <w:pPr>
        <w:pStyle w:val="3"/>
        <w:pageBreakBefore w:val="0"/>
        <w:spacing w:line="276" w:lineRule="auto"/>
      </w:pPr>
      <w:r>
        <w:fldChar w:fldCharType="begin" w:dirty="true"/>
      </w:r>
      <w:r>
        <w:rPr>
          <w:rtl w:val="0"/>
        </w:rPr>
        <w:instrText>HYPERLINK \l "b4_note163</w:instrText>
      </w:r>
      <w:r>
        <w:instrText>"</w:instrText>
      </w:r>
      <w:r>
        <w:fldChar w:fldCharType="separate"/>
      </w:r>
      <w:r>
        <w:t>נספח כ</w:t>
      </w:r>
      <w:r>
        <w:fldChar w:fldCharType="end"/>
      </w:r>
      <w:bookmarkEnd w:id="5782"/>
      <w:bookmarkEnd w:id="5783"/>
    </w:p>
    <w:p w14:paraId="581259FB" w14:textId="77777777" w:rsidR="00AB3647" w:rsidRDefault="00000000" w:rsidP="007923E9">
      <w:pPr>
        <w:pStyle w:val="af"/>
        <w:spacing w:line="276" w:lineRule="auto"/>
      </w:pPr>
      <w:r>
        <w:t xml:space="preserve">על משפחת </w:t>
      </w:r>
      <w:proofErr w:type="spellStart"/>
      <w:r>
        <w:t>זלדוביץ׳־פינס</w:t>
      </w:r>
      <w:proofErr w:type="spellEnd"/>
      <w:r>
        <w:t xml:space="preserve"> ממינסק ובני אבן </w:t>
      </w:r>
      <w:proofErr w:type="spellStart"/>
      <w:r>
        <w:t>מסלוצק</w:t>
      </w:r>
      <w:proofErr w:type="spellEnd"/>
      <w:r>
        <w:t xml:space="preserve">, ועל המחלוקת בין שני תלמידיו המובהקים של ר׳ חיים </w:t>
      </w:r>
      <w:proofErr w:type="spellStart"/>
      <w:r>
        <w:t>מוולוז׳ין</w:t>
      </w:r>
      <w:proofErr w:type="spellEnd"/>
      <w:r>
        <w:t xml:space="preserve"> בשאלה כיצד ראוי לזכור את בנו ר׳ </w:t>
      </w:r>
      <w:proofErr w:type="spellStart"/>
      <w:r>
        <w:t>איצל׳ה</w:t>
      </w:r>
      <w:proofErr w:type="spellEnd"/>
    </w:p>
    <w:p w14:paraId="5312C5CD" w14:textId="77777777" w:rsidR="00AB3647" w:rsidRDefault="00000000" w:rsidP="007923E9">
      <w:pPr>
        <w:pStyle w:val="4"/>
        <w:spacing w:line="276" w:lineRule="auto"/>
      </w:pPr>
      <w:r>
        <w:t>· הפסקה הראשונה ·</w:t>
      </w:r>
    </w:p>
    <w:p w14:paraId="123B3E97" w14:textId="77777777" w:rsidR="00AB3647" w:rsidRDefault="00000000" w:rsidP="007923E9">
      <w:pPr>
        <w:pStyle w:val="5"/>
        <w:spacing w:line="276" w:lineRule="auto"/>
      </w:pPr>
      <w:r>
        <w:rPr>
          <w:bCs/>
          <w:szCs w:val="26"/>
        </w:rPr>
        <w:t xml:space="preserve">שני גיסים במינסק תומכים נלהבים בתורה – ר׳ ברוך </w:t>
      </w:r>
      <w:proofErr w:type="spellStart"/>
      <w:r>
        <w:rPr>
          <w:bCs/>
          <w:szCs w:val="26"/>
        </w:rPr>
        <w:t>זלדוביץ</w:t>
      </w:r>
      <w:proofErr w:type="spellEnd"/>
      <w:r>
        <w:rPr>
          <w:bCs/>
          <w:szCs w:val="26"/>
        </w:rPr>
        <w:t xml:space="preserve">׳ ור׳ בער פינס דנים למי הזכות לחלץ את </w:t>
      </w:r>
      <w:proofErr w:type="spellStart"/>
      <w:r>
        <w:rPr>
          <w:bCs/>
          <w:szCs w:val="26"/>
        </w:rPr>
        <w:t>וולוז׳ין</w:t>
      </w:r>
      <w:proofErr w:type="spellEnd"/>
      <w:r>
        <w:rPr>
          <w:bCs/>
          <w:szCs w:val="26"/>
        </w:rPr>
        <w:t xml:space="preserve"> מחובותיה – ר׳ ברוך מסביר </w:t>
      </w:r>
      <w:proofErr w:type="spellStart"/>
      <w:r>
        <w:rPr>
          <w:bCs/>
          <w:szCs w:val="26"/>
        </w:rPr>
        <w:t>לר</w:t>
      </w:r>
      <w:proofErr w:type="spellEnd"/>
      <w:r>
        <w:rPr>
          <w:bCs/>
          <w:szCs w:val="26"/>
        </w:rPr>
        <w:t xml:space="preserve">׳ חיים </w:t>
      </w:r>
      <w:proofErr w:type="spellStart"/>
      <w:r>
        <w:rPr>
          <w:bCs/>
          <w:szCs w:val="26"/>
        </w:rPr>
        <w:t>סולובייצ׳יק</w:t>
      </w:r>
      <w:proofErr w:type="spellEnd"/>
      <w:r>
        <w:rPr>
          <w:bCs/>
          <w:szCs w:val="26"/>
        </w:rPr>
        <w:t xml:space="preserve"> מדוע ארך גיוס הכסף זמן רב – דין תורה על מתנה לישיבת לובלין – ר׳ יצחק־זאב מסרב לקבל מתנה – ר׳ יונה אבן נאלץ להכפיל את הצעתו לצדקה – 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סובל מנקיפות מצפון – </w:t>
      </w:r>
      <w:proofErr w:type="spellStart"/>
      <w:r>
        <w:rPr>
          <w:bCs/>
          <w:szCs w:val="26"/>
        </w:rPr>
        <w:t>החפץ־חיים</w:t>
      </w:r>
      <w:proofErr w:type="spellEnd"/>
      <w:r>
        <w:rPr>
          <w:bCs/>
          <w:szCs w:val="26"/>
        </w:rPr>
        <w:t xml:space="preserve"> מסביר פסוק בתורה – ר׳ בנימין אבן נודע בחסכנותו</w:t>
      </w:r>
    </w:p>
    <w:p w14:paraId="05DCD6AA" w14:textId="77777777" w:rsidR="00AB3647" w:rsidRDefault="00000000" w:rsidP="007923E9">
      <w:pPr>
        <w:spacing w:after="120" w:line="276" w:lineRule="auto"/>
        <w:ind w:firstLine="283"/>
        <w:jc w:val="both"/>
      </w:pPr>
      <w:r>
        <w:rPr>
          <w:rtl/>
        </w:rPr>
        <w:t>רחל חדש, ילידת מינסק</w:t>
      </w:r>
      <w:bookmarkStart w:id="5784" w:name="_fnr4411"/>
      <w:r>
        <w:rPr>
          <w:vertAlign w:val="superscript"/>
          <w:rtl/>
        </w:rPr>
        <w:footnoteReference w:id="4421" w:customMarkFollows="0"/>
      </w:r>
      <w:bookmarkEnd w:id="5784"/>
      <w:r>
        <w:rPr>
          <w:rtl/>
        </w:rPr>
        <w:t xml:space="preserve">, נזכרה: “גיסו של ר׳ ברוך </w:t>
      </w:r>
      <w:proofErr w:type="spellStart"/>
      <w:r>
        <w:rPr>
          <w:rtl/>
        </w:rPr>
        <w:t>זלדוביץ</w:t>
      </w:r>
      <w:proofErr w:type="spellEnd"/>
      <w:r>
        <w:rPr>
          <w:rtl/>
        </w:rPr>
        <w:t xml:space="preserve">׳, ר׳ בער פינס [שאחותו היא </w:t>
      </w:r>
      <w:proofErr w:type="spellStart"/>
      <w:r>
        <w:rPr>
          <w:rtl/>
        </w:rPr>
        <w:t>אמם</w:t>
      </w:r>
      <w:proofErr w:type="spellEnd"/>
      <w:r>
        <w:rPr>
          <w:rtl/>
        </w:rPr>
        <w:t xml:space="preserve"> של בני </w:t>
      </w:r>
      <w:proofErr w:type="spellStart"/>
      <w:r>
        <w:rPr>
          <w:rtl/>
        </w:rPr>
        <w:t>שטרנבוך</w:t>
      </w:r>
      <w:proofErr w:type="spellEnd"/>
      <w:r>
        <w:rPr>
          <w:rtl/>
        </w:rPr>
        <w:t xml:space="preserve">], עסק גם הוא בעסקי עצים, וכן המיליונרים ר׳ חיים לוריא, בנימין גוטמן, יצחק גוטמן, גיסו </w:t>
      </w:r>
      <w:proofErr w:type="spellStart"/>
      <w:r>
        <w:rPr>
          <w:rtl/>
        </w:rPr>
        <w:t>פלצקין</w:t>
      </w:r>
      <w:proofErr w:type="spellEnd"/>
      <w:r>
        <w:rPr>
          <w:rtl/>
        </w:rPr>
        <w:t xml:space="preserve"> ור׳ </w:t>
      </w:r>
      <w:proofErr w:type="spellStart"/>
      <w:r>
        <w:rPr>
          <w:rtl/>
        </w:rPr>
        <w:t>זיסל</w:t>
      </w:r>
      <w:proofErr w:type="spellEnd"/>
      <w:r>
        <w:rPr>
          <w:rtl/>
        </w:rPr>
        <w:t xml:space="preserve"> רפפורט”. בתחילת חשוון תשנ״ט, בהספדו על ר׳ מאיר פינס מירושלים, אמר ר׳ מיכל </w:t>
      </w:r>
      <w:proofErr w:type="spellStart"/>
      <w:r>
        <w:rPr>
          <w:rtl/>
        </w:rPr>
        <w:t>פיינשטיין</w:t>
      </w:r>
      <w:proofErr w:type="spellEnd"/>
      <w:r>
        <w:rPr>
          <w:rtl/>
        </w:rPr>
        <w:t xml:space="preserve"> בשם חותנו ר׳ יצחק־זאב </w:t>
      </w:r>
      <w:proofErr w:type="spellStart"/>
      <w:r>
        <w:rPr>
          <w:rtl/>
        </w:rPr>
        <w:t>סולובייצ׳יק</w:t>
      </w:r>
      <w:proofErr w:type="spellEnd"/>
      <w:r>
        <w:rPr>
          <w:rtl/>
        </w:rPr>
        <w:t xml:space="preserve">: “מחצית התורה שהייתה ברוסיה נשענה על [תמיכתה הכספית של] משפחת </w:t>
      </w:r>
      <w:proofErr w:type="spellStart"/>
      <w:r>
        <w:rPr>
          <w:rtl/>
        </w:rPr>
        <w:t>זלדוביץ׳־פינס</w:t>
      </w:r>
      <w:proofErr w:type="spellEnd"/>
      <w:r>
        <w:rPr>
          <w:rtl/>
        </w:rPr>
        <w:t>”.</w:t>
      </w:r>
    </w:p>
    <w:p w14:paraId="0423E6E4" w14:textId="77777777" w:rsidR="00AB3647" w:rsidRDefault="00000000" w:rsidP="007923E9">
      <w:pPr>
        <w:spacing w:after="120" w:line="276" w:lineRule="auto"/>
        <w:ind w:firstLine="283"/>
        <w:jc w:val="both"/>
      </w:pPr>
      <w:r>
        <w:rPr>
          <w:rtl/>
        </w:rPr>
        <w:t>ר׳ מאיר פינס, יליד תרס״ה, סיפר</w:t>
      </w:r>
      <w:bookmarkStart w:id="5785" w:name="_fnr4412"/>
      <w:r>
        <w:rPr>
          <w:vertAlign w:val="superscript"/>
          <w:rtl/>
        </w:rPr>
        <w:footnoteReference w:id="4422" w:customMarkFollows="0"/>
      </w:r>
      <w:bookmarkEnd w:id="5785"/>
      <w:r>
        <w:rPr>
          <w:rtl/>
        </w:rPr>
        <w:t xml:space="preserve">: “סבי מצד אמי ר׳ ברוך וסבי מצד אבי ר׳ בער היו נשואים לשתי אחיות, מצאצאי ר׳ אברהם בן הגאון מווילנה בשושלת של בנות. אחות שלישית הייתה נשואה ל[ר׳ </w:t>
      </w:r>
      <w:proofErr w:type="spellStart"/>
      <w:r>
        <w:rPr>
          <w:rtl/>
        </w:rPr>
        <w:t>זיסל</w:t>
      </w:r>
      <w:proofErr w:type="spellEnd"/>
      <w:r>
        <w:rPr>
          <w:rtl/>
        </w:rPr>
        <w:t xml:space="preserve">] רפפורט, שלא היה עשיר כל כך אך היה תלמיד חכם גדול. מפני שהוסיף ללמוד תורה תחת הקומוניסטים הוגלה לסיביר, שם אכל רק עשבים ומת. משני סביי חשבו הבריות שר׳ ברוך עשיר יותר, אך ההפך היה נכון: ר׳ ברוך פשוט היה פזרן [לצדקה]. פעם היה ‘דין תורה’ בין הגיסים; ר׳ בער כיסה את כל הגירעון של ישיבת </w:t>
      </w:r>
      <w:proofErr w:type="spellStart"/>
      <w:r>
        <w:rPr>
          <w:rtl/>
        </w:rPr>
        <w:t>וולוז׳ין</w:t>
      </w:r>
      <w:proofErr w:type="spellEnd"/>
      <w:r>
        <w:rPr>
          <w:rtl/>
        </w:rPr>
        <w:t xml:space="preserve">, ור׳ ברוך </w:t>
      </w:r>
      <w:r>
        <w:rPr>
          <w:rtl/>
        </w:rPr>
        <w:lastRenderedPageBreak/>
        <w:t>תבעו בטענה שהיה שותפו של גיסו בכל מעשה צדקה, ויש לו ‘זכות’ לשלם לו מחצית מהוצאתו ולקנות חלק שווה במצווה”.</w:t>
      </w:r>
    </w:p>
    <w:p w14:paraId="705D75F8" w14:textId="77777777" w:rsidR="00AB3647" w:rsidRDefault="00000000" w:rsidP="007923E9">
      <w:pPr>
        <w:spacing w:after="120" w:line="276" w:lineRule="auto"/>
        <w:ind w:firstLine="283"/>
        <w:jc w:val="both"/>
      </w:pPr>
      <w:r>
        <w:rPr>
          <w:rtl/>
        </w:rPr>
        <w:t xml:space="preserve">שמעתי על דין תורה זה מפי רבנו, אבל ארשום כאן את המעשה כפי שהוא מפורט במלואו </w:t>
      </w:r>
      <w:proofErr w:type="spellStart"/>
      <w:r>
        <w:rPr>
          <w:rtl/>
        </w:rPr>
        <w:t>ב“חומש</w:t>
      </w:r>
      <w:proofErr w:type="spellEnd"/>
      <w:r>
        <w:rPr>
          <w:rtl/>
        </w:rPr>
        <w:t xml:space="preserve"> אזנים לתורה” </w:t>
      </w:r>
      <w:proofErr w:type="spellStart"/>
      <w:r>
        <w:rPr>
          <w:rtl/>
        </w:rPr>
        <w:t>לר</w:t>
      </w:r>
      <w:proofErr w:type="spellEnd"/>
      <w:r>
        <w:rPr>
          <w:rtl/>
        </w:rPr>
        <w:t xml:space="preserve">׳ זלמן </w:t>
      </w:r>
      <w:proofErr w:type="spellStart"/>
      <w:r>
        <w:rPr>
          <w:rtl/>
        </w:rPr>
        <w:t>סורוצקין</w:t>
      </w:r>
      <w:proofErr w:type="spellEnd"/>
      <w:r>
        <w:rPr>
          <w:rtl/>
        </w:rPr>
        <w:t xml:space="preserve">, רבה של </w:t>
      </w:r>
      <w:proofErr w:type="spellStart"/>
      <w:r>
        <w:rPr>
          <w:rtl/>
        </w:rPr>
        <w:t>לוצק</w:t>
      </w:r>
      <w:bookmarkStart w:id="5786" w:name="_fnr4413"/>
      <w:proofErr w:type="spellEnd"/>
      <w:r>
        <w:rPr>
          <w:vertAlign w:val="superscript"/>
          <w:rtl/>
        </w:rPr>
        <w:footnoteReference w:id="4423" w:customMarkFollows="0"/>
      </w:r>
      <w:bookmarkEnd w:id="5786"/>
      <w:r>
        <w:rPr>
          <w:rtl/>
        </w:rPr>
        <w:t xml:space="preserve">: “ר׳ חיים </w:t>
      </w:r>
      <w:proofErr w:type="spellStart"/>
      <w:r>
        <w:rPr>
          <w:rtl/>
        </w:rPr>
        <w:t>סולובייצ׳יק</w:t>
      </w:r>
      <w:proofErr w:type="spellEnd"/>
      <w:r>
        <w:rPr>
          <w:rtl/>
        </w:rPr>
        <w:t xml:space="preserve"> בא למינסק לגייס 6,000 רובל כדי לחלץ את ישיבת </w:t>
      </w:r>
      <w:proofErr w:type="spellStart"/>
      <w:r>
        <w:rPr>
          <w:rtl/>
        </w:rPr>
        <w:t>וולוז׳ין</w:t>
      </w:r>
      <w:proofErr w:type="spellEnd"/>
      <w:r>
        <w:rPr>
          <w:rtl/>
        </w:rPr>
        <w:t xml:space="preserve"> מחובותיה, והתארח אצל אחד מגבאי הישיבה במינסק, ר׳ ברוך </w:t>
      </w:r>
      <w:proofErr w:type="spellStart"/>
      <w:r>
        <w:rPr>
          <w:rtl/>
        </w:rPr>
        <w:t>זלדוביץ</w:t>
      </w:r>
      <w:proofErr w:type="spellEnd"/>
      <w:r>
        <w:rPr>
          <w:rtl/>
        </w:rPr>
        <w:t xml:space="preserve">׳, שהבטיח לטפל בעניין. כעבור כמה ימים מנה ר׳ ברוך </w:t>
      </w:r>
      <w:proofErr w:type="spellStart"/>
      <w:r>
        <w:rPr>
          <w:rtl/>
        </w:rPr>
        <w:t>לר</w:t>
      </w:r>
      <w:proofErr w:type="spellEnd"/>
      <w:r>
        <w:rPr>
          <w:rtl/>
        </w:rPr>
        <w:t xml:space="preserve">׳ חיים 3,000 רובל, והציע שיישאר עוד </w:t>
      </w:r>
      <w:proofErr w:type="spellStart"/>
      <w:r>
        <w:rPr>
          <w:rtl/>
        </w:rPr>
        <w:t>זמן־מה</w:t>
      </w:r>
      <w:proofErr w:type="spellEnd"/>
      <w:r>
        <w:rPr>
          <w:rtl/>
        </w:rPr>
        <w:t xml:space="preserve"> במינסק, שבמהלכו קיווה ר׳ ברוך להשיג את היתרה. לאחר שעשה ר׳ חיים שבועיים בעיר, שב ר׳ ברוך עם 3,000 הרובל הנותרים. זמן קצר לאחר שחזר ר׳ חיים </w:t>
      </w:r>
      <w:proofErr w:type="spellStart"/>
      <w:r>
        <w:rPr>
          <w:rtl/>
        </w:rPr>
        <w:t>לוולוז׳ין</w:t>
      </w:r>
      <w:proofErr w:type="spellEnd"/>
      <w:r>
        <w:rPr>
          <w:rtl/>
        </w:rPr>
        <w:t xml:space="preserve">, בא לשם </w:t>
      </w:r>
      <w:proofErr w:type="spellStart"/>
      <w:r>
        <w:rPr>
          <w:rtl/>
        </w:rPr>
        <w:t>זלדוביץ</w:t>
      </w:r>
      <w:proofErr w:type="spellEnd"/>
      <w:r>
        <w:rPr>
          <w:rtl/>
        </w:rPr>
        <w:t xml:space="preserve">׳ עם גיסו ר׳ בער פינס. מר </w:t>
      </w:r>
      <w:proofErr w:type="spellStart"/>
      <w:r>
        <w:rPr>
          <w:rtl/>
        </w:rPr>
        <w:t>זלדוביץ</w:t>
      </w:r>
      <w:proofErr w:type="spellEnd"/>
      <w:r>
        <w:rPr>
          <w:rtl/>
        </w:rPr>
        <w:t xml:space="preserve">׳ היה נתבע בדין תורה שפתח נגדו גיסו, בטענה שהיה שותפו של </w:t>
      </w:r>
      <w:proofErr w:type="spellStart"/>
      <w:r>
        <w:rPr>
          <w:rtl/>
        </w:rPr>
        <w:t>זלדוביץ</w:t>
      </w:r>
      <w:proofErr w:type="spellEnd"/>
      <w:r>
        <w:rPr>
          <w:rtl/>
        </w:rPr>
        <w:t xml:space="preserve">׳ בכל עסק במשך שנים רבות, והצלת ישיבת </w:t>
      </w:r>
      <w:proofErr w:type="spellStart"/>
      <w:r>
        <w:rPr>
          <w:rtl/>
        </w:rPr>
        <w:t>וולוז׳ין</w:t>
      </w:r>
      <w:proofErr w:type="spellEnd"/>
      <w:r>
        <w:rPr>
          <w:rtl/>
        </w:rPr>
        <w:t xml:space="preserve"> היא השקעה שראוי לו להשתתף בה בחלק שווה”.</w:t>
      </w:r>
    </w:p>
    <w:p w14:paraId="4C838D53" w14:textId="77777777" w:rsidR="00AB3647" w:rsidRDefault="00000000" w:rsidP="007923E9">
      <w:pPr>
        <w:spacing w:after="120" w:line="276" w:lineRule="auto"/>
        <w:ind w:firstLine="283"/>
        <w:jc w:val="both"/>
      </w:pPr>
      <w:r>
        <w:rPr>
          <w:rtl/>
        </w:rPr>
        <w:t xml:space="preserve">המעשה כפי שנדפס וכפי שסיפרו אבי שונה מגרסת הנכד בשני דברים: ר׳ בער פינס תבע את ר׳ ברוך </w:t>
      </w:r>
      <w:proofErr w:type="spellStart"/>
      <w:r>
        <w:rPr>
          <w:rtl/>
        </w:rPr>
        <w:t>זלדוביץ</w:t>
      </w:r>
      <w:proofErr w:type="spellEnd"/>
      <w:r>
        <w:rPr>
          <w:rtl/>
        </w:rPr>
        <w:t xml:space="preserve">׳, ולא להפך; וטענת התובע התבססה על שותפותם הכללית בעסקים, ולא דווקא על מפעלי צדקה. גרסת ר׳ מאיר פינס מבליטה דבר הנוגע יותר לענייננו: שמבין השניים היה </w:t>
      </w:r>
      <w:proofErr w:type="spellStart"/>
      <w:r>
        <w:rPr>
          <w:rtl/>
        </w:rPr>
        <w:t>זלדוביץ</w:t>
      </w:r>
      <w:proofErr w:type="spellEnd"/>
      <w:r>
        <w:rPr>
          <w:rtl/>
        </w:rPr>
        <w:t xml:space="preserve">׳ – התובע לפי ר׳ מאיר – “פזרן” יותר לצדקה, וזו הנקודה שר׳ מאיר התכוון להבליט. נראה שיש בכך כדי ללמד שגרסתו עשויה להיות הנכונה, למרות המסורת שבידי אבי ור׳ זלמן </w:t>
      </w:r>
      <w:proofErr w:type="spellStart"/>
      <w:r>
        <w:rPr>
          <w:rtl/>
        </w:rPr>
        <w:t>סורוצקין</w:t>
      </w:r>
      <w:proofErr w:type="spellEnd"/>
      <w:r>
        <w:rPr>
          <w:rtl/>
        </w:rPr>
        <w:t>.</w:t>
      </w:r>
    </w:p>
    <w:p w14:paraId="6DD18816" w14:textId="77777777" w:rsidR="00AB3647" w:rsidRDefault="00000000" w:rsidP="007923E9">
      <w:pPr>
        <w:spacing w:after="120" w:line="276" w:lineRule="auto"/>
        <w:ind w:firstLine="283"/>
        <w:jc w:val="both"/>
      </w:pPr>
      <w:r>
        <w:rPr>
          <w:rtl/>
        </w:rPr>
        <w:t xml:space="preserve">“אזנים לתורה” ממשיך: “עתה, כשנודע </w:t>
      </w:r>
      <w:proofErr w:type="spellStart"/>
      <w:r>
        <w:rPr>
          <w:rtl/>
        </w:rPr>
        <w:t>לר</w:t>
      </w:r>
      <w:proofErr w:type="spellEnd"/>
      <w:r>
        <w:rPr>
          <w:rtl/>
        </w:rPr>
        <w:t xml:space="preserve">׳ חיים שר׳ ברוך </w:t>
      </w:r>
      <w:proofErr w:type="spellStart"/>
      <w:r>
        <w:rPr>
          <w:rtl/>
        </w:rPr>
        <w:t>זלדוביץ</w:t>
      </w:r>
      <w:proofErr w:type="spellEnd"/>
      <w:r>
        <w:rPr>
          <w:rtl/>
        </w:rPr>
        <w:t>׳ נתן את כל 6,000 הרובל מכיסו, שאלו [ר׳ חיים] מדוע</w:t>
      </w:r>
      <w:r>
        <w:rPr>
          <w:b/>
          <w:bCs/>
          <w:rtl/>
        </w:rPr>
        <w:t xml:space="preserve"> השאירו ממתין במינסק שבועיים</w:t>
      </w:r>
      <w:r>
        <w:rPr>
          <w:rtl/>
        </w:rPr>
        <w:t xml:space="preserve"> (ההדגשה שלי, לצורך הדיון להלן), ור׳ ברוך השיב: ‘וכי קל כל כך להיפרד מסכום כסף גדול? לפני שנתתי לך את 3,000 הרובל הראשונים עמלתי קשה להתגבר על תאוות הממון המושרשת בלב כל אדם; ואחר כך הייתי צריך להילחם מלחמה פנימית קשה עד שיכולתי לתרום את 3,000 הרובל הנותרים’”.</w:t>
      </w:r>
    </w:p>
    <w:p w14:paraId="1A5E9327" w14:textId="77777777" w:rsidR="00AB3647" w:rsidRDefault="00000000" w:rsidP="007923E9">
      <w:pPr>
        <w:spacing w:after="120" w:line="276" w:lineRule="auto"/>
        <w:ind w:firstLine="283"/>
        <w:jc w:val="both"/>
      </w:pPr>
      <w:r>
        <w:rPr>
          <w:rtl/>
        </w:rPr>
        <w:t xml:space="preserve">כשסיפר אבי את המעשה, מסר כך את שאלתו של ר׳ חיים </w:t>
      </w:r>
      <w:proofErr w:type="spellStart"/>
      <w:r>
        <w:rPr>
          <w:rtl/>
        </w:rPr>
        <w:t>לר</w:t>
      </w:r>
      <w:proofErr w:type="spellEnd"/>
      <w:r>
        <w:rPr>
          <w:rtl/>
        </w:rPr>
        <w:t>׳ ברוך: “מדוע השארת אותי ממתין במינסק זמן רב כל כך? חשוב כמה שיעורים הפסדתי מלומר, מפני שלא חזרתי לישיבה שבועיים קודם לכן!”</w:t>
      </w:r>
      <w:bookmarkStart w:id="5787" w:name="_fnr4414"/>
      <w:r>
        <w:rPr>
          <w:vertAlign w:val="superscript"/>
          <w:rtl/>
        </w:rPr>
        <w:footnoteReference w:id="4424" w:customMarkFollows="0"/>
      </w:r>
      <w:bookmarkEnd w:id="5787"/>
      <w:r>
        <w:rPr>
          <w:rtl/>
        </w:rPr>
        <w:t>.</w:t>
      </w:r>
    </w:p>
    <w:p w14:paraId="39400D05" w14:textId="77777777" w:rsidR="00AB3647" w:rsidRDefault="00000000" w:rsidP="007923E9">
      <w:pPr>
        <w:spacing w:after="120" w:line="276" w:lineRule="auto"/>
        <w:ind w:firstLine="283"/>
        <w:jc w:val="both"/>
      </w:pPr>
      <w:r>
        <w:rPr>
          <w:rtl/>
        </w:rPr>
        <w:t xml:space="preserve">דין תורה מסוג זה – שגם בו נזקק התורם לשהות כדי להחליט – מסופר </w:t>
      </w:r>
      <w:proofErr w:type="spellStart"/>
      <w:r>
        <w:rPr>
          <w:rtl/>
        </w:rPr>
        <w:t>ב“הרב</w:t>
      </w:r>
      <w:proofErr w:type="spellEnd"/>
      <w:r>
        <w:rPr>
          <w:rtl/>
        </w:rPr>
        <w:t xml:space="preserve"> הגדול”</w:t>
      </w:r>
      <w:bookmarkStart w:id="5788" w:name="_fnr4415"/>
      <w:r>
        <w:rPr>
          <w:vertAlign w:val="superscript"/>
          <w:rtl/>
        </w:rPr>
        <w:footnoteReference w:id="4425" w:customMarkFollows="0"/>
      </w:r>
      <w:bookmarkEnd w:id="5788"/>
      <w:r>
        <w:rPr>
          <w:rtl/>
        </w:rPr>
        <w:t xml:space="preserve">, בעניין קניית מגרש גדול לישיבת חכמי לובלין, שביקש ר׳ מאיר שפירא מן העשיר ר׳ שמואל </w:t>
      </w:r>
      <w:proofErr w:type="spellStart"/>
      <w:r>
        <w:rPr>
          <w:rtl/>
        </w:rPr>
        <w:t>אייכנבוים</w:t>
      </w:r>
      <w:proofErr w:type="spellEnd"/>
      <w:r>
        <w:rPr>
          <w:rtl/>
        </w:rPr>
        <w:t xml:space="preserve">. ר׳ מאיר שפירא ביקש ממנו “את חלקו הקדמי של המגרש”, והנדבן השיב שהוא צריך חצי שעה כדי לשקול את הדבר. הוא חזר ואמר </w:t>
      </w:r>
      <w:proofErr w:type="spellStart"/>
      <w:r>
        <w:rPr>
          <w:rtl/>
        </w:rPr>
        <w:t>לר</w:t>
      </w:r>
      <w:proofErr w:type="spellEnd"/>
      <w:r>
        <w:rPr>
          <w:rtl/>
        </w:rPr>
        <w:t>׳ מאיר: “איני יכול לתת לך את החלק הקדמי... אלא את המגרש כולו”.</w:t>
      </w:r>
    </w:p>
    <w:p w14:paraId="69404817" w14:textId="77777777" w:rsidR="00AB3647" w:rsidRDefault="00000000" w:rsidP="007923E9">
      <w:pPr>
        <w:spacing w:after="120" w:line="276" w:lineRule="auto"/>
        <w:ind w:firstLine="283"/>
        <w:jc w:val="both"/>
      </w:pPr>
      <w:r>
        <w:rPr>
          <w:rtl/>
        </w:rPr>
        <w:lastRenderedPageBreak/>
        <w:t xml:space="preserve">כששמעה אשתו של ר׳ שמואל </w:t>
      </w:r>
      <w:proofErr w:type="spellStart"/>
      <w:r>
        <w:rPr>
          <w:rtl/>
        </w:rPr>
        <w:t>אייכנבוים</w:t>
      </w:r>
      <w:proofErr w:type="spellEnd"/>
      <w:r>
        <w:rPr>
          <w:rtl/>
        </w:rPr>
        <w:t xml:space="preserve"> על תרומתו, תבעה אותו לדין תורה, ולעיני קהל סקרן הצהירה שהיא “מרוצה בהחלט” מכך שבעלה תרם את הקרקע לבניין הישיבה הנודעת בעולם. אבל היא דרשה שהמתנה תירשם גם על שמה, כדי שיהיה לה חלק במצווה הגדולה. בית הדין פסק לטובתה, והורה לבטל את החוזה הרשום על שם בעלה ולערוך חוזה חדש שבו יופיעו שניהם כתורמים.</w:t>
      </w:r>
    </w:p>
    <w:p w14:paraId="621A7AF0" w14:textId="77777777" w:rsidR="00AB3647" w:rsidRDefault="00000000" w:rsidP="007923E9">
      <w:pPr>
        <w:spacing w:after="120" w:line="276" w:lineRule="auto"/>
        <w:ind w:firstLine="283"/>
        <w:jc w:val="both"/>
      </w:pPr>
      <w:r>
        <w:rPr>
          <w:rtl/>
        </w:rPr>
        <w:t>דוגמה נוספת לנדבן הזקוק לשהות כדי להחליט לפני שהוא תורם הביא ר׳ שלמה לורנץ</w:t>
      </w:r>
      <w:bookmarkStart w:id="5789" w:name="_fnr4416"/>
      <w:r>
        <w:rPr>
          <w:vertAlign w:val="superscript"/>
          <w:rtl/>
        </w:rPr>
        <w:footnoteReference w:id="4426" w:customMarkFollows="0"/>
      </w:r>
      <w:bookmarkEnd w:id="5789"/>
      <w:r>
        <w:rPr>
          <w:rtl/>
        </w:rPr>
        <w:t xml:space="preserve">. כשביקר בארצות הברית בסביבות תש״י, קיבל מכתב שכתב ר׳ יחזקאל </w:t>
      </w:r>
      <w:proofErr w:type="spellStart"/>
      <w:r>
        <w:rPr>
          <w:rtl/>
        </w:rPr>
        <w:t>אברמסקי</w:t>
      </w:r>
      <w:proofErr w:type="spellEnd"/>
      <w:r>
        <w:rPr>
          <w:rtl/>
        </w:rPr>
        <w:t xml:space="preserve"> </w:t>
      </w:r>
      <w:proofErr w:type="spellStart"/>
      <w:r>
        <w:rPr>
          <w:rtl/>
        </w:rPr>
        <w:t>לר</w:t>
      </w:r>
      <w:proofErr w:type="spellEnd"/>
      <w:r>
        <w:rPr>
          <w:rtl/>
        </w:rPr>
        <w:t xml:space="preserve">׳ אלכסנדר </w:t>
      </w:r>
      <w:proofErr w:type="spellStart"/>
      <w:r>
        <w:rPr>
          <w:rtl/>
        </w:rPr>
        <w:t>לינצ׳נר</w:t>
      </w:r>
      <w:proofErr w:type="spellEnd"/>
      <w:r>
        <w:rPr>
          <w:rtl/>
        </w:rPr>
        <w:t xml:space="preserve">. ר׳ יחזקאל </w:t>
      </w:r>
      <w:proofErr w:type="spellStart"/>
      <w:r>
        <w:rPr>
          <w:rtl/>
        </w:rPr>
        <w:t>אברמסקי</w:t>
      </w:r>
      <w:proofErr w:type="spellEnd"/>
      <w:r>
        <w:rPr>
          <w:rtl/>
        </w:rPr>
        <w:t xml:space="preserve"> סבר בטעות שהרב </w:t>
      </w:r>
      <w:proofErr w:type="spellStart"/>
      <w:r>
        <w:rPr>
          <w:rtl/>
        </w:rPr>
        <w:t>לינצ׳נר</w:t>
      </w:r>
      <w:proofErr w:type="spellEnd"/>
      <w:r>
        <w:rPr>
          <w:rtl/>
        </w:rPr>
        <w:t xml:space="preserve"> עומד לנסוע לארצות הברית, והרב </w:t>
      </w:r>
      <w:proofErr w:type="spellStart"/>
      <w:r>
        <w:rPr>
          <w:rtl/>
        </w:rPr>
        <w:t>לינצ׳נר</w:t>
      </w:r>
      <w:proofErr w:type="spellEnd"/>
      <w:r>
        <w:rPr>
          <w:rtl/>
        </w:rPr>
        <w:t xml:space="preserve"> העביר את המכתב </w:t>
      </w:r>
      <w:proofErr w:type="spellStart"/>
      <w:r>
        <w:rPr>
          <w:rtl/>
        </w:rPr>
        <w:t>לר</w:t>
      </w:r>
      <w:proofErr w:type="spellEnd"/>
      <w:r>
        <w:rPr>
          <w:rtl/>
        </w:rPr>
        <w:t xml:space="preserve">׳ שלמה לורנץ, שכבר היה באמריקה. במכתב כתב ר׳ יחזקאל שר׳ יצחק־זאב </w:t>
      </w:r>
      <w:proofErr w:type="spellStart"/>
      <w:r>
        <w:rPr>
          <w:rtl/>
        </w:rPr>
        <w:t>סולובייצ׳יק</w:t>
      </w:r>
      <w:proofErr w:type="spellEnd"/>
      <w:r>
        <w:rPr>
          <w:rtl/>
        </w:rPr>
        <w:t xml:space="preserve">, הרב </w:t>
      </w:r>
      <w:proofErr w:type="spellStart"/>
      <w:r>
        <w:rPr>
          <w:rtl/>
        </w:rPr>
        <w:t>מבריסק</w:t>
      </w:r>
      <w:proofErr w:type="spellEnd"/>
      <w:r>
        <w:rPr>
          <w:rtl/>
        </w:rPr>
        <w:t xml:space="preserve">, סובל מהצטננויות חוזרות, והרופאים תולים אותן במגוריו בדירה חשוכה. הוא הציע לנמען לבקש תורם שיממן את מעבר הרב </w:t>
      </w:r>
      <w:proofErr w:type="spellStart"/>
      <w:r>
        <w:rPr>
          <w:rtl/>
        </w:rPr>
        <w:t>מבריסק</w:t>
      </w:r>
      <w:proofErr w:type="spellEnd"/>
      <w:r>
        <w:rPr>
          <w:rtl/>
        </w:rPr>
        <w:t xml:space="preserve"> לדירה שטופת שמש.</w:t>
      </w:r>
    </w:p>
    <w:p w14:paraId="2CEB2833" w14:textId="77777777" w:rsidR="00AB3647" w:rsidRDefault="00000000" w:rsidP="007923E9">
      <w:pPr>
        <w:spacing w:after="120" w:line="276" w:lineRule="auto"/>
        <w:ind w:firstLine="283"/>
        <w:jc w:val="both"/>
      </w:pPr>
      <w:r>
        <w:rPr>
          <w:rtl/>
        </w:rPr>
        <w:t xml:space="preserve">ר׳ שלמה לורנץ, שהכיר היטב את ר׳ יצחק־זאב, הופתע שהרב </w:t>
      </w:r>
      <w:proofErr w:type="spellStart"/>
      <w:r>
        <w:rPr>
          <w:rtl/>
        </w:rPr>
        <w:t>מבריסק</w:t>
      </w:r>
      <w:proofErr w:type="spellEnd"/>
      <w:r>
        <w:rPr>
          <w:rtl/>
        </w:rPr>
        <w:t xml:space="preserve"> יסכים לתוכנית כזו. אבל מאחר שר׳ יחזקאל </w:t>
      </w:r>
      <w:proofErr w:type="spellStart"/>
      <w:r>
        <w:rPr>
          <w:rtl/>
        </w:rPr>
        <w:t>אברמסקי</w:t>
      </w:r>
      <w:proofErr w:type="spellEnd"/>
      <w:r>
        <w:rPr>
          <w:rtl/>
        </w:rPr>
        <w:t xml:space="preserve"> נתן לה את הסכמתו, פנה לקרובו ר׳ יהודה בודנהיימר והציע לו אחת משלוש אפשרויות: שיקנה בית בשביל הרב </w:t>
      </w:r>
      <w:proofErr w:type="spellStart"/>
      <w:r>
        <w:rPr>
          <w:rtl/>
        </w:rPr>
        <w:t>מבריסק</w:t>
      </w:r>
      <w:proofErr w:type="spellEnd"/>
      <w:r>
        <w:rPr>
          <w:rtl/>
        </w:rPr>
        <w:t xml:space="preserve"> במתנה גמורה; שיקנה בית לעצמו וישכיר אותו לרב במחיר סמלי; או שהרב </w:t>
      </w:r>
      <w:proofErr w:type="spellStart"/>
      <w:r>
        <w:rPr>
          <w:rtl/>
        </w:rPr>
        <w:t>מבריסק</w:t>
      </w:r>
      <w:proofErr w:type="spellEnd"/>
      <w:r>
        <w:rPr>
          <w:rtl/>
        </w:rPr>
        <w:t xml:space="preserve"> ישכור אותו בשכר שהרב עצמו יקבע. ר׳ יהודה ביקש כמה שעות לשקול את הבקשה, ושב עם תשובה חיובית, והשאיר לרב </w:t>
      </w:r>
      <w:proofErr w:type="spellStart"/>
      <w:r>
        <w:rPr>
          <w:rtl/>
        </w:rPr>
        <w:t>מבריסק</w:t>
      </w:r>
      <w:proofErr w:type="spellEnd"/>
      <w:r>
        <w:rPr>
          <w:rtl/>
        </w:rPr>
        <w:t xml:space="preserve"> את הבחירה בין האפשרויות. באותה עת עלה בית בין 20,000 ל־25,000 דולר – סכום גדול בשביל ר׳ יהודה באותו שלב בחייו.</w:t>
      </w:r>
    </w:p>
    <w:p w14:paraId="5471EC4A" w14:textId="77777777" w:rsidR="00AB3647" w:rsidRDefault="00000000" w:rsidP="007923E9">
      <w:pPr>
        <w:spacing w:after="120" w:line="276" w:lineRule="auto"/>
        <w:ind w:firstLine="283"/>
        <w:jc w:val="both"/>
      </w:pPr>
      <w:r>
        <w:rPr>
          <w:rtl/>
        </w:rPr>
        <w:t xml:space="preserve">ר׳ שלמה לורנץ שלח מברק לרב </w:t>
      </w:r>
      <w:proofErr w:type="spellStart"/>
      <w:r>
        <w:rPr>
          <w:rtl/>
        </w:rPr>
        <w:t>מבריסק</w:t>
      </w:r>
      <w:proofErr w:type="spellEnd"/>
      <w:r>
        <w:rPr>
          <w:rtl/>
        </w:rPr>
        <w:t xml:space="preserve"> </w:t>
      </w:r>
      <w:proofErr w:type="spellStart"/>
      <w:r>
        <w:rPr>
          <w:rtl/>
        </w:rPr>
        <w:t>שבן־דודו</w:t>
      </w:r>
      <w:proofErr w:type="spellEnd"/>
      <w:r>
        <w:rPr>
          <w:rtl/>
        </w:rPr>
        <w:t xml:space="preserve">, “תלמיד חכם וירא שמים”, רוצה לקנות בית שטוף שמש לשימוש הרב, ושאל איזו משלוש האפשרויות הוא מעדיף. מן הרב </w:t>
      </w:r>
      <w:proofErr w:type="spellStart"/>
      <w:r>
        <w:rPr>
          <w:rtl/>
        </w:rPr>
        <w:t>מבריסק</w:t>
      </w:r>
      <w:proofErr w:type="spellEnd"/>
      <w:r>
        <w:rPr>
          <w:rtl/>
        </w:rPr>
        <w:t xml:space="preserve"> הגיע מברק קצר: “בשום אופן לא”</w:t>
      </w:r>
      <w:bookmarkStart w:id="5790" w:name="_fnr4417"/>
      <w:r>
        <w:rPr>
          <w:vertAlign w:val="superscript"/>
          <w:rtl/>
        </w:rPr>
        <w:footnoteReference w:id="4427" w:customMarkFollows="0"/>
      </w:r>
      <w:bookmarkEnd w:id="5790"/>
      <w:r>
        <w:rPr>
          <w:rtl/>
        </w:rPr>
        <w:t xml:space="preserve">. הערכתו של ר׳ שלמה לורנץ בדבר תגובת הרב התבררה כנכונה, אבל כששב לארץ ישראל הלך לשאול אותו מה בדיוק גרם לו לסרב להצעה שהייתה מועילה לבריאותו. ר׳ יצחק־זאב השיב: “איך </w:t>
      </w:r>
      <w:proofErr w:type="spellStart"/>
      <w:r>
        <w:rPr>
          <w:rtl/>
        </w:rPr>
        <w:t>וואלט</w:t>
      </w:r>
      <w:proofErr w:type="spellEnd"/>
      <w:r>
        <w:rPr>
          <w:rtl/>
        </w:rPr>
        <w:t xml:space="preserve"> </w:t>
      </w:r>
      <w:proofErr w:type="spellStart"/>
      <w:r>
        <w:rPr>
          <w:rtl/>
        </w:rPr>
        <w:t>זיך</w:t>
      </w:r>
      <w:proofErr w:type="spellEnd"/>
      <w:r>
        <w:rPr>
          <w:rtl/>
        </w:rPr>
        <w:t xml:space="preserve"> </w:t>
      </w:r>
      <w:proofErr w:type="spellStart"/>
      <w:r>
        <w:rPr>
          <w:rtl/>
        </w:rPr>
        <w:t>געשעהמט</w:t>
      </w:r>
      <w:proofErr w:type="spellEnd"/>
      <w:r>
        <w:rPr>
          <w:rtl/>
        </w:rPr>
        <w:t xml:space="preserve"> </w:t>
      </w:r>
      <w:proofErr w:type="spellStart"/>
      <w:r>
        <w:rPr>
          <w:rtl/>
        </w:rPr>
        <w:t>ארויסגעהן</w:t>
      </w:r>
      <w:proofErr w:type="spellEnd"/>
      <w:r>
        <w:rPr>
          <w:rtl/>
        </w:rPr>
        <w:t xml:space="preserve"> אין </w:t>
      </w:r>
      <w:proofErr w:type="spellStart"/>
      <w:r>
        <w:rPr>
          <w:rtl/>
        </w:rPr>
        <w:t>גאס</w:t>
      </w:r>
      <w:proofErr w:type="spellEnd"/>
      <w:r>
        <w:rPr>
          <w:rtl/>
        </w:rPr>
        <w:t xml:space="preserve"> </w:t>
      </w:r>
      <w:proofErr w:type="spellStart"/>
      <w:r>
        <w:rPr>
          <w:rtl/>
        </w:rPr>
        <w:t>ווען</w:t>
      </w:r>
      <w:proofErr w:type="spellEnd"/>
      <w:r>
        <w:rPr>
          <w:rtl/>
        </w:rPr>
        <w:t xml:space="preserve"> איך </w:t>
      </w:r>
      <w:proofErr w:type="spellStart"/>
      <w:r>
        <w:rPr>
          <w:rtl/>
        </w:rPr>
        <w:t>וואלט</w:t>
      </w:r>
      <w:proofErr w:type="spellEnd"/>
      <w:r>
        <w:rPr>
          <w:rtl/>
        </w:rPr>
        <w:t xml:space="preserve"> </w:t>
      </w:r>
      <w:proofErr w:type="spellStart"/>
      <w:r>
        <w:rPr>
          <w:rtl/>
        </w:rPr>
        <w:t>אנגענומען</w:t>
      </w:r>
      <w:proofErr w:type="spellEnd"/>
      <w:r>
        <w:rPr>
          <w:rtl/>
        </w:rPr>
        <w:t xml:space="preserve"> א טובה פון א בשר ודם [הייתי מתבייש לצאת לרחוב אילו קיבלתי טובה מבשר ודם]”.</w:t>
      </w:r>
    </w:p>
    <w:p w14:paraId="3182C2D4" w14:textId="77777777" w:rsidR="00AB3647" w:rsidRDefault="00000000" w:rsidP="007923E9">
      <w:pPr>
        <w:spacing w:after="120" w:line="276" w:lineRule="auto"/>
        <w:ind w:firstLine="283"/>
        <w:jc w:val="both"/>
      </w:pPr>
      <w:r>
        <w:rPr>
          <w:rtl/>
        </w:rPr>
        <w:lastRenderedPageBreak/>
        <w:t xml:space="preserve">אגב המחשבות העוברות </w:t>
      </w:r>
      <w:proofErr w:type="spellStart"/>
      <w:r>
        <w:rPr>
          <w:rtl/>
        </w:rPr>
        <w:t>בלבו</w:t>
      </w:r>
      <w:proofErr w:type="spellEnd"/>
      <w:r>
        <w:rPr>
          <w:rtl/>
        </w:rPr>
        <w:t xml:space="preserve"> של נדבן לפני התרומה ואחריה, סיפר אבי את המעשה הבא</w:t>
      </w:r>
      <w:bookmarkStart w:id="5791" w:name="_fnr4418"/>
      <w:bookmarkStart w:id="5792" w:name="pr_f_4301"/>
      <w:r>
        <w:rPr>
          <w:vertAlign w:val="superscript"/>
          <w:rtl/>
        </w:rPr>
        <w:footnoteReference w:id="4428" w:customMarkFollows="0"/>
      </w:r>
      <w:bookmarkEnd w:id="5791"/>
      <w:bookmarkEnd w:id="5792"/>
      <w:r>
        <w:rPr>
          <w:rtl/>
        </w:rPr>
        <w:t xml:space="preserve"> על ר׳ יונה אבן, עשיר </w:t>
      </w:r>
      <w:proofErr w:type="spellStart"/>
      <w:r>
        <w:rPr>
          <w:rtl/>
        </w:rPr>
        <w:t>בסלוצק</w:t>
      </w:r>
      <w:proofErr w:type="spellEnd"/>
      <w:r>
        <w:rPr>
          <w:rtl/>
        </w:rPr>
        <w:t xml:space="preserve"> בימי ר׳ </w:t>
      </w:r>
      <w:proofErr w:type="spellStart"/>
      <w:r>
        <w:rPr>
          <w:rtl/>
        </w:rPr>
        <w:t>יוסל׳ה</w:t>
      </w:r>
      <w:proofErr w:type="spellEnd"/>
      <w:r>
        <w:rPr>
          <w:rtl/>
        </w:rPr>
        <w:t xml:space="preserve"> </w:t>
      </w:r>
      <w:proofErr w:type="spellStart"/>
      <w:r>
        <w:rPr>
          <w:rtl/>
        </w:rPr>
        <w:t>פיימר</w:t>
      </w:r>
      <w:bookmarkStart w:id="5793" w:name="_fnr4419"/>
      <w:proofErr w:type="spellEnd"/>
      <w:r>
        <w:rPr>
          <w:vertAlign w:val="superscript"/>
          <w:rtl/>
        </w:rPr>
        <w:footnoteReference w:id="4429" w:customMarkFollows="0"/>
      </w:r>
      <w:bookmarkEnd w:id="5793"/>
      <w:r>
        <w:rPr>
          <w:rtl/>
        </w:rPr>
        <w:t xml:space="preserve">. אבי שמע אותו מפי ר׳ </w:t>
      </w:r>
      <w:proofErr w:type="spellStart"/>
      <w:r>
        <w:rPr>
          <w:rtl/>
        </w:rPr>
        <w:t>אברהם־דובער</w:t>
      </w:r>
      <w:proofErr w:type="spellEnd"/>
      <w:r>
        <w:rPr>
          <w:rtl/>
        </w:rPr>
        <w:t xml:space="preserve"> </w:t>
      </w:r>
      <w:proofErr w:type="spellStart"/>
      <w:r>
        <w:rPr>
          <w:rtl/>
        </w:rPr>
        <w:t>כהנא־שפירא</w:t>
      </w:r>
      <w:proofErr w:type="spellEnd"/>
      <w:r>
        <w:rPr>
          <w:rtl/>
        </w:rPr>
        <w:t xml:space="preserve">, רבה של קובנה, והוא שמעו מאביו ר׳ </w:t>
      </w:r>
      <w:proofErr w:type="spellStart"/>
      <w:r>
        <w:rPr>
          <w:rtl/>
        </w:rPr>
        <w:t>זלמן־סנדר</w:t>
      </w:r>
      <w:proofErr w:type="spellEnd"/>
      <w:r>
        <w:rPr>
          <w:rtl/>
        </w:rPr>
        <w:t>.</w:t>
      </w:r>
    </w:p>
    <w:p w14:paraId="007900BB" w14:textId="77777777" w:rsidR="00AB3647" w:rsidRDefault="00000000" w:rsidP="007923E9">
      <w:pPr>
        <w:spacing w:after="120" w:line="276" w:lineRule="auto"/>
        <w:ind w:firstLine="283"/>
        <w:jc w:val="both"/>
      </w:pPr>
      <w:r>
        <w:rPr>
          <w:rtl/>
        </w:rPr>
        <w:t xml:space="preserve">“כשר׳ </w:t>
      </w:r>
      <w:proofErr w:type="spellStart"/>
      <w:r>
        <w:rPr>
          <w:rtl/>
        </w:rPr>
        <w:t>יוסל׳ה</w:t>
      </w:r>
      <w:proofErr w:type="spellEnd"/>
      <w:r>
        <w:rPr>
          <w:rtl/>
        </w:rPr>
        <w:t xml:space="preserve">, תלמידו המובהק של ר׳ חיים </w:t>
      </w:r>
      <w:proofErr w:type="spellStart"/>
      <w:r>
        <w:rPr>
          <w:rtl/>
        </w:rPr>
        <w:t>מוולוז׳ין</w:t>
      </w:r>
      <w:proofErr w:type="spellEnd"/>
      <w:r>
        <w:rPr>
          <w:rtl/>
        </w:rPr>
        <w:t xml:space="preserve">, נתמנה לרבה של </w:t>
      </w:r>
      <w:proofErr w:type="spellStart"/>
      <w:r>
        <w:rPr>
          <w:rtl/>
        </w:rPr>
        <w:t>סלוצק</w:t>
      </w:r>
      <w:proofErr w:type="spellEnd"/>
      <w:r>
        <w:rPr>
          <w:rtl/>
        </w:rPr>
        <w:t xml:space="preserve">, התאספו בחורים בעיר ללמוד אצלו. כל אימת שראה שתלמיד זקוק לזוג נעליים חדש או לפריט לבוש, היה ר׳ </w:t>
      </w:r>
      <w:proofErr w:type="spellStart"/>
      <w:r>
        <w:rPr>
          <w:rtl/>
        </w:rPr>
        <w:t>יוסל׳ה</w:t>
      </w:r>
      <w:proofErr w:type="spellEnd"/>
      <w:r>
        <w:rPr>
          <w:rtl/>
        </w:rPr>
        <w:t xml:space="preserve"> שולחו לאחד הסנדלרים או החייטים עם פתק שבו התחייב לשלם. עם הזמן הצטברו פתקי הרב, והחוב הכולל הגיע ל־1,000 רובל, סכום גדול דיו לרושש את העיירה. איש מבעלי המלאכה לא העז לגשת אל הרב ולבקש תשלום, אלא נועדו עם הפרנס. הוחלט שאין ברירה אלא לערוך מגבית בכל העיר כדי לכסות את החוב – ולבקש מהרב שלא לשלוח עוד תלמידים אל בעלי המלאכה. אך לא היה קל לאסוף 1,000 רובל </w:t>
      </w:r>
      <w:proofErr w:type="spellStart"/>
      <w:r>
        <w:rPr>
          <w:rtl/>
        </w:rPr>
        <w:t>בסלוצק</w:t>
      </w:r>
      <w:proofErr w:type="spellEnd"/>
      <w:r>
        <w:rPr>
          <w:rtl/>
        </w:rPr>
        <w:t xml:space="preserve">, וקבעו שאם יצליחו להביא את הנדבן ר׳ יונה אבן לפתוח את המגבית בתרומה של 200 רובל, יוכלו לפנות לשאר בני העיר לקבלת היתרה. אלא שכדי לבקש מר׳ יונה את תרומתו היה על הפרנס לבקרו עם ר׳ </w:t>
      </w:r>
      <w:proofErr w:type="spellStart"/>
      <w:r>
        <w:rPr>
          <w:rtl/>
        </w:rPr>
        <w:t>יוסל׳ה</w:t>
      </w:r>
      <w:proofErr w:type="spellEnd"/>
      <w:r>
        <w:rPr>
          <w:rtl/>
        </w:rPr>
        <w:t>! כשפתחה אשת ר׳ יונה את הדלת לאורחים הנכבדים, אמרה להם שבעלה במיטה, אך הם יכולים להיכנס בכל זאת. הם נכנסו לחדר השינה</w:t>
      </w:r>
      <w:bookmarkStart w:id="5794" w:name="_fnr4420"/>
      <w:r>
        <w:rPr>
          <w:vertAlign w:val="superscript"/>
          <w:rtl/>
        </w:rPr>
        <w:footnoteReference w:id="4430" w:customMarkFollows="0"/>
      </w:r>
      <w:bookmarkEnd w:id="5794"/>
      <w:r>
        <w:rPr>
          <w:rtl/>
        </w:rPr>
        <w:t xml:space="preserve">, ור׳ </w:t>
      </w:r>
      <w:proofErr w:type="spellStart"/>
      <w:r>
        <w:rPr>
          <w:rtl/>
        </w:rPr>
        <w:t>יוסל׳ה</w:t>
      </w:r>
      <w:proofErr w:type="spellEnd"/>
      <w:r>
        <w:rPr>
          <w:rtl/>
        </w:rPr>
        <w:t xml:space="preserve">, שסבר שר׳ יונה ודאי חולה, אם הלך לישון באמצע היום, איחל לו רפואה שלמה. אולם המארח השיב: ‘אינני חולה, ברוך השם; רק גברה עליי עייפות מעמלי הקשה בעסקיי, ונמנמתי מעט’. ר׳ </w:t>
      </w:r>
      <w:proofErr w:type="spellStart"/>
      <w:r>
        <w:rPr>
          <w:rtl/>
        </w:rPr>
        <w:t>יוסל׳ה</w:t>
      </w:r>
      <w:proofErr w:type="spellEnd"/>
      <w:r>
        <w:rPr>
          <w:rtl/>
        </w:rPr>
        <w:t xml:space="preserve"> סיפר אז </w:t>
      </w:r>
      <w:proofErr w:type="spellStart"/>
      <w:r>
        <w:rPr>
          <w:rtl/>
        </w:rPr>
        <w:t>לר</w:t>
      </w:r>
      <w:proofErr w:type="spellEnd"/>
      <w:r>
        <w:rPr>
          <w:rtl/>
        </w:rPr>
        <w:t xml:space="preserve">׳ יונה את מטרת ביקורם, הראה לו את כל שטרי החוב שהגיעו לפירעון, וביקש שיתרום 200 רובל. תגובתו הראשונה של ר׳ יונה הייתה שביכולתו לתת רק מאה רובל, וכשהוציא את הכסף מתחת למזרנו הוסיף: ‘ריבונו של עולם הוא עדי שאינני יכול לתת יותר’. אך ר׳ </w:t>
      </w:r>
      <w:proofErr w:type="spellStart"/>
      <w:r>
        <w:rPr>
          <w:rtl/>
        </w:rPr>
        <w:t>יוסל׳ה</w:t>
      </w:r>
      <w:proofErr w:type="spellEnd"/>
      <w:r>
        <w:rPr>
          <w:rtl/>
        </w:rPr>
        <w:t xml:space="preserve"> עמד על שלו והצהיר שלא ייקח פחות ממאתיים, והתחיל לצאת מבית אבן. כשראה עד כמה הרב נחוש, אמר ר׳ יונה שאינו יכול להניח </w:t>
      </w:r>
      <w:proofErr w:type="spellStart"/>
      <w:r>
        <w:rPr>
          <w:rtl/>
        </w:rPr>
        <w:t>לר</w:t>
      </w:r>
      <w:proofErr w:type="spellEnd"/>
      <w:r>
        <w:rPr>
          <w:rtl/>
        </w:rPr>
        <w:t xml:space="preserve">׳ </w:t>
      </w:r>
      <w:proofErr w:type="spellStart"/>
      <w:r>
        <w:rPr>
          <w:rtl/>
        </w:rPr>
        <w:t>יוסל׳ה</w:t>
      </w:r>
      <w:proofErr w:type="spellEnd"/>
      <w:r>
        <w:rPr>
          <w:rtl/>
        </w:rPr>
        <w:t xml:space="preserve"> לצאת בלי תרומה; אז נכנע בעל העסק, הוציא את מלוא 200 הרובל ונתנם לרב.</w:t>
      </w:r>
    </w:p>
    <w:p w14:paraId="3D1DC4E0" w14:textId="77777777" w:rsidR="00AB3647" w:rsidRDefault="00000000" w:rsidP="007923E9">
      <w:pPr>
        <w:spacing w:after="120" w:line="276" w:lineRule="auto"/>
        <w:ind w:firstLine="283"/>
        <w:jc w:val="both"/>
      </w:pPr>
      <w:r>
        <w:rPr>
          <w:rtl/>
        </w:rPr>
        <w:t xml:space="preserve">“כשהגיע ר׳ </w:t>
      </w:r>
      <w:proofErr w:type="spellStart"/>
      <w:r>
        <w:rPr>
          <w:rtl/>
        </w:rPr>
        <w:t>יוסל׳ה</w:t>
      </w:r>
      <w:proofErr w:type="spellEnd"/>
      <w:r>
        <w:rPr>
          <w:rtl/>
        </w:rPr>
        <w:t xml:space="preserve"> לביתו”, המשיך אבי, “חשב על הדבר והצטער. ‘מה ההבדל בין שודד המחזיק אקדח לביני?’ הרהר. ‘מה עשיתי? לחצתי על ר׳ יונה להוציא כסף שלא היה יכול להרשות לעצמו לתת!’ הוא החליט שמיד לאחר התפילה למחרת בבוקר ישיב </w:t>
      </w:r>
      <w:proofErr w:type="spellStart"/>
      <w:r>
        <w:rPr>
          <w:rtl/>
        </w:rPr>
        <w:t>לר</w:t>
      </w:r>
      <w:proofErr w:type="spellEnd"/>
      <w:r>
        <w:rPr>
          <w:rtl/>
        </w:rPr>
        <w:t xml:space="preserve">׳ יונה את מאה הרובל הנוספים. בבוקר אמרה לו הרבנית: ‘שתה תחילה כוס </w:t>
      </w:r>
      <w:proofErr w:type="spellStart"/>
      <w:r>
        <w:rPr>
          <w:rtl/>
        </w:rPr>
        <w:t>ציקוריה</w:t>
      </w:r>
      <w:proofErr w:type="spellEnd"/>
      <w:r>
        <w:rPr>
          <w:rtl/>
        </w:rPr>
        <w:t xml:space="preserve"> [עולש, תחליף זול לקפה], ואחר כך תלך’. כששתה את הקפה הביט מבעד לחלון חדרו וראה את ר׳ יונה אבן הולך לעבר ביתו של הרב. הרב רץ החוצה לקבל את פניו במילים: ‘ר׳ יונה, האמן לי, הייתי בדרכי </w:t>
      </w:r>
      <w:r>
        <w:rPr>
          <w:rtl/>
        </w:rPr>
        <w:lastRenderedPageBreak/>
        <w:t>לביתך להחזיר לך את הכסף שהוצאתי ממך בלחץ, אך אשתי הציעה שאשתה תחילה כוס קפה’. ר׳ יונה השיב: ‘חס ושלום! לא באתי לבקש את הכסף בחזרה. באתי להודיע לרב שאף שהקב״ה היה עדי שלא יכולתי לתת את התרומה, לאחר שנתתיה שמחתי שנתתי’”</w:t>
      </w:r>
      <w:bookmarkStart w:id="5795" w:name="_fnr4421"/>
      <w:bookmarkStart w:id="5796" w:name="pr_f_4304"/>
      <w:r>
        <w:rPr>
          <w:vertAlign w:val="superscript"/>
          <w:rtl/>
        </w:rPr>
        <w:footnoteReference w:id="4431" w:customMarkFollows="0"/>
      </w:r>
      <w:bookmarkEnd w:id="5795"/>
      <w:bookmarkEnd w:id="5796"/>
      <w:r>
        <w:rPr>
          <w:rtl/>
        </w:rPr>
        <w:t>.</w:t>
      </w:r>
    </w:p>
    <w:p w14:paraId="3A168F08" w14:textId="77777777" w:rsidR="00AB3647" w:rsidRDefault="00000000" w:rsidP="007923E9">
      <w:pPr>
        <w:spacing w:after="120" w:line="276" w:lineRule="auto"/>
        <w:ind w:firstLine="283"/>
        <w:jc w:val="both"/>
      </w:pPr>
      <w:proofErr w:type="spellStart"/>
      <w:r>
        <w:rPr>
          <w:rtl/>
        </w:rPr>
        <w:t>ב“החפץ</w:t>
      </w:r>
      <w:proofErr w:type="spellEnd"/>
      <w:r>
        <w:rPr>
          <w:rtl/>
        </w:rPr>
        <w:t xml:space="preserve"> חיים (ישר)”</w:t>
      </w:r>
      <w:bookmarkStart w:id="5797" w:name="_fnr4422"/>
      <w:r>
        <w:rPr>
          <w:vertAlign w:val="superscript"/>
          <w:rtl/>
        </w:rPr>
        <w:footnoteReference w:id="4432" w:customMarkFollows="0"/>
      </w:r>
      <w:bookmarkEnd w:id="5797"/>
      <w:r>
        <w:rPr>
          <w:rtl/>
        </w:rPr>
        <w:t xml:space="preserve"> מביא בנו של </w:t>
      </w:r>
      <w:proofErr w:type="spellStart"/>
      <w:r>
        <w:rPr>
          <w:rtl/>
        </w:rPr>
        <w:t>החפץ־חיים</w:t>
      </w:r>
      <w:proofErr w:type="spellEnd"/>
      <w:r>
        <w:rPr>
          <w:rtl/>
        </w:rPr>
        <w:t xml:space="preserve"> בשם ר׳ </w:t>
      </w:r>
      <w:proofErr w:type="spellStart"/>
      <w:r>
        <w:rPr>
          <w:rtl/>
        </w:rPr>
        <w:t>מרדכי־פסח</w:t>
      </w:r>
      <w:proofErr w:type="spellEnd"/>
      <w:r>
        <w:rPr>
          <w:rtl/>
        </w:rPr>
        <w:t xml:space="preserve"> </w:t>
      </w:r>
      <w:proofErr w:type="spellStart"/>
      <w:r>
        <w:rPr>
          <w:rtl/>
        </w:rPr>
        <w:t>פודרבסקי</w:t>
      </w:r>
      <w:proofErr w:type="spellEnd"/>
      <w:r>
        <w:rPr>
          <w:rtl/>
        </w:rPr>
        <w:t xml:space="preserve"> “</w:t>
      </w:r>
      <w:proofErr w:type="spellStart"/>
      <w:r>
        <w:rPr>
          <w:rtl/>
        </w:rPr>
        <w:t>מקוברין</w:t>
      </w:r>
      <w:proofErr w:type="spellEnd"/>
      <w:r>
        <w:rPr>
          <w:rtl/>
        </w:rPr>
        <w:t xml:space="preserve">, ששימש את אביו כמה שנים לפני פטירתו ורשם את כל השיחות האלה בספר מיוחד”, </w:t>
      </w:r>
      <w:proofErr w:type="spellStart"/>
      <w:r>
        <w:rPr>
          <w:rtl/>
        </w:rPr>
        <w:t>שהחפץ־חיים</w:t>
      </w:r>
      <w:proofErr w:type="spellEnd"/>
      <w:r>
        <w:rPr>
          <w:rtl/>
        </w:rPr>
        <w:t xml:space="preserve"> פירש כך את המילים הנראות מיותרות [המודגשות כאן]</w:t>
      </w:r>
      <w:bookmarkStart w:id="5798" w:name="_fnr4423"/>
      <w:r>
        <w:rPr>
          <w:vertAlign w:val="superscript"/>
          <w:rtl/>
        </w:rPr>
        <w:footnoteReference w:id="4433" w:customMarkFollows="0"/>
      </w:r>
      <w:bookmarkEnd w:id="5798"/>
      <w:r>
        <w:rPr>
          <w:rtl/>
        </w:rPr>
        <w:t xml:space="preserve">, “נתון </w:t>
      </w:r>
      <w:proofErr w:type="spellStart"/>
      <w:r>
        <w:rPr>
          <w:rtl/>
        </w:rPr>
        <w:t>תתן</w:t>
      </w:r>
      <w:proofErr w:type="spellEnd"/>
      <w:r>
        <w:rPr>
          <w:rtl/>
        </w:rPr>
        <w:t xml:space="preserve"> לו ולא ירע לבבך </w:t>
      </w:r>
      <w:r>
        <w:rPr>
          <w:b/>
          <w:bCs/>
          <w:rtl/>
        </w:rPr>
        <w:t>בתתך לו</w:t>
      </w:r>
      <w:r>
        <w:rPr>
          <w:rtl/>
        </w:rPr>
        <w:t>”: נתינת צדקה קשה במקצת, ולעיתים אינה נעשית בלב שלם. אבל אחרי שנתן אדם את הצדקה הוא מרוצה שעשה כן, שהרי ממילא אין הכסף עוד בידו. לתורם זה אומרת התורה: “אל ירע לבבך על הנתינה – לא רק לאחריה, אלא אף בשעת הנתינה”.</w:t>
      </w:r>
    </w:p>
    <w:p w14:paraId="0E79FA0E" w14:textId="77777777" w:rsidR="00AB3647" w:rsidRDefault="00000000" w:rsidP="007923E9">
      <w:pPr>
        <w:spacing w:after="120" w:line="276" w:lineRule="auto"/>
        <w:ind w:firstLine="283"/>
        <w:jc w:val="both"/>
      </w:pPr>
      <w:r>
        <w:rPr>
          <w:rtl/>
        </w:rPr>
        <w:t xml:space="preserve">יש לדון אם ביקורת </w:t>
      </w:r>
      <w:proofErr w:type="spellStart"/>
      <w:r>
        <w:rPr>
          <w:rtl/>
        </w:rPr>
        <w:t>החפץ־חיים</w:t>
      </w:r>
      <w:proofErr w:type="spellEnd"/>
      <w:r>
        <w:rPr>
          <w:rtl/>
        </w:rPr>
        <w:t xml:space="preserve"> שייכת במקרה של ר׳ יונה אבן: הרי יכול היה לקבל את כספו בחזרה מר׳ </w:t>
      </w:r>
      <w:proofErr w:type="spellStart"/>
      <w:r>
        <w:rPr>
          <w:rtl/>
        </w:rPr>
        <w:t>יוסל׳ה</w:t>
      </w:r>
      <w:proofErr w:type="spellEnd"/>
      <w:r>
        <w:rPr>
          <w:rtl/>
        </w:rPr>
        <w:t xml:space="preserve">, ובכל זאת לא נתן </w:t>
      </w:r>
      <w:proofErr w:type="spellStart"/>
      <w:r>
        <w:rPr>
          <w:rtl/>
        </w:rPr>
        <w:t>ללבו</w:t>
      </w:r>
      <w:proofErr w:type="spellEnd"/>
      <w:r>
        <w:rPr>
          <w:rtl/>
        </w:rPr>
        <w:t xml:space="preserve"> להצטער על נתינתו!</w:t>
      </w:r>
    </w:p>
    <w:p w14:paraId="787A9DE2" w14:textId="77777777" w:rsidR="00AB3647" w:rsidRDefault="00000000" w:rsidP="007923E9">
      <w:pPr>
        <w:spacing w:after="120" w:line="276" w:lineRule="auto"/>
        <w:ind w:firstLine="283"/>
        <w:jc w:val="both"/>
      </w:pPr>
      <w:r>
        <w:rPr>
          <w:rtl/>
        </w:rPr>
        <w:t xml:space="preserve">“פנקס </w:t>
      </w:r>
      <w:proofErr w:type="spellStart"/>
      <w:r>
        <w:rPr>
          <w:rtl/>
        </w:rPr>
        <w:t>סלוצק</w:t>
      </w:r>
      <w:proofErr w:type="spellEnd"/>
      <w:r>
        <w:rPr>
          <w:rtl/>
        </w:rPr>
        <w:t>”</w:t>
      </w:r>
      <w:bookmarkStart w:id="5799" w:name="_fnr4424"/>
      <w:r>
        <w:rPr>
          <w:vertAlign w:val="superscript"/>
          <w:rtl/>
        </w:rPr>
        <w:footnoteReference w:id="4434" w:customMarkFollows="0"/>
      </w:r>
      <w:bookmarkEnd w:id="5799"/>
      <w:r>
        <w:rPr>
          <w:rtl/>
        </w:rPr>
        <w:t xml:space="preserve"> מספר על בן למשפחת אבן מן הדור הבא, בנימין, שהיה ראש הקהילה כשכיהן ר׳ יוסף־דב </w:t>
      </w:r>
      <w:proofErr w:type="spellStart"/>
      <w:r>
        <w:rPr>
          <w:rtl/>
        </w:rPr>
        <w:t>סולובייצ׳יק</w:t>
      </w:r>
      <w:proofErr w:type="spellEnd"/>
      <w:r>
        <w:rPr>
          <w:rtl/>
        </w:rPr>
        <w:t xml:space="preserve"> ברבנות העיר (לפי “הראשון לשושלת </w:t>
      </w:r>
      <w:proofErr w:type="spellStart"/>
      <w:r>
        <w:rPr>
          <w:rtl/>
        </w:rPr>
        <w:t>בריסק</w:t>
      </w:r>
      <w:proofErr w:type="spellEnd"/>
      <w:r>
        <w:rPr>
          <w:rtl/>
        </w:rPr>
        <w:t>”</w:t>
      </w:r>
      <w:bookmarkStart w:id="5800" w:name="_fnr4425"/>
      <w:r>
        <w:rPr>
          <w:vertAlign w:val="superscript"/>
          <w:rtl/>
        </w:rPr>
        <w:footnoteReference w:id="4435" w:customMarkFollows="0"/>
      </w:r>
      <w:bookmarkEnd w:id="5800"/>
      <w:r>
        <w:rPr>
          <w:rtl/>
        </w:rPr>
        <w:t xml:space="preserve">). נאמר עליו שהיה “השלישי בעושרו </w:t>
      </w:r>
      <w:proofErr w:type="spellStart"/>
      <w:r>
        <w:rPr>
          <w:rtl/>
        </w:rPr>
        <w:t>בסלוצק</w:t>
      </w:r>
      <w:proofErr w:type="spellEnd"/>
      <w:r>
        <w:rPr>
          <w:rtl/>
        </w:rPr>
        <w:t xml:space="preserve"> ונודע בקמצנותו לכל ילד ברחוב”.</w:t>
      </w:r>
    </w:p>
    <w:p w14:paraId="1307ED27" w14:textId="77777777" w:rsidR="00AB3647" w:rsidRDefault="00000000" w:rsidP="007923E9">
      <w:pPr>
        <w:spacing w:after="120" w:line="276" w:lineRule="auto"/>
        <w:ind w:firstLine="283"/>
        <w:jc w:val="both"/>
      </w:pPr>
      <w:r>
        <w:rPr>
          <w:rtl/>
        </w:rPr>
        <w:t>מסופר עליו המעשה הבא, שאין לו יסוד ודאי</w:t>
      </w:r>
      <w:bookmarkStart w:id="5801" w:name="_fnr4426"/>
      <w:r>
        <w:rPr>
          <w:vertAlign w:val="superscript"/>
          <w:rtl/>
        </w:rPr>
        <w:footnoteReference w:id="4436" w:customMarkFollows="0"/>
      </w:r>
      <w:bookmarkEnd w:id="5801"/>
      <w:r>
        <w:rPr>
          <w:rtl/>
        </w:rPr>
        <w:t xml:space="preserve">: צעיר ממינסק היה פזרן גדול, ומשפחתו החליטה לשלוח אותו </w:t>
      </w:r>
      <w:proofErr w:type="spellStart"/>
      <w:r>
        <w:rPr>
          <w:rtl/>
        </w:rPr>
        <w:t>לסלוצק</w:t>
      </w:r>
      <w:proofErr w:type="spellEnd"/>
      <w:r>
        <w:rPr>
          <w:rtl/>
        </w:rPr>
        <w:t xml:space="preserve"> ללמוד דרכי חסכנות מר׳ בנימין אבן. כשהוזמן לסעודת שבת אצל משפחת אבן, ראה תחילה שמארחו מגיש לסעודה לחם פומפרניקל במקום החלות היקרות יותר, אבל אמר </w:t>
      </w:r>
      <w:proofErr w:type="spellStart"/>
      <w:r>
        <w:rPr>
          <w:rtl/>
        </w:rPr>
        <w:t>בלבו</w:t>
      </w:r>
      <w:proofErr w:type="spellEnd"/>
      <w:r>
        <w:rPr>
          <w:rtl/>
        </w:rPr>
        <w:t xml:space="preserve">: “בשביל שיעור זה בקמצנות לא הייתי צריך לנסוע עד </w:t>
      </w:r>
      <w:proofErr w:type="spellStart"/>
      <w:r>
        <w:rPr>
          <w:rtl/>
        </w:rPr>
        <w:t>סלוצק</w:t>
      </w:r>
      <w:proofErr w:type="spellEnd"/>
      <w:r>
        <w:rPr>
          <w:rtl/>
        </w:rPr>
        <w:t xml:space="preserve">”. אחר כך ראה שמגישים למשפחה הרינג, מזונם של העניים, במקום הגפילטע פיש הרגיל, ושוב חשב </w:t>
      </w:r>
      <w:proofErr w:type="spellStart"/>
      <w:r>
        <w:rPr>
          <w:rtl/>
        </w:rPr>
        <w:t>בלבו</w:t>
      </w:r>
      <w:proofErr w:type="spellEnd"/>
      <w:r>
        <w:rPr>
          <w:rtl/>
        </w:rPr>
        <w:t xml:space="preserve">: “וכי כדי ללמוד תושייה מעין זו הייתי צריך לנסוע?!” כשהגישו את החמין, הוציאה בעלת הבית את </w:t>
      </w:r>
      <w:proofErr w:type="spellStart"/>
      <w:r>
        <w:rPr>
          <w:rtl/>
        </w:rPr>
        <w:t>ההעלדזעלע</w:t>
      </w:r>
      <w:proofErr w:type="spellEnd"/>
      <w:r>
        <w:rPr>
          <w:rtl/>
        </w:rPr>
        <w:t xml:space="preserve"> [עור צוואר התרנגולת הממולא] וחתכה אותו לבני המשפחה ולאורח. אחר כך הניחה בצד את החוט שבו נתפרה </w:t>
      </w:r>
      <w:proofErr w:type="spellStart"/>
      <w:r>
        <w:rPr>
          <w:rtl/>
        </w:rPr>
        <w:t>ההעלדזעלע</w:t>
      </w:r>
      <w:proofErr w:type="spellEnd"/>
      <w:r>
        <w:rPr>
          <w:rtl/>
        </w:rPr>
        <w:t xml:space="preserve">, ותלתה אותו על וו בחדר האוכל. כששאל האורח לפשר הדבר, הסביר ר׳ בנימין: “הרי נוכל להשתמש בחוט שוב </w:t>
      </w:r>
      <w:proofErr w:type="spellStart"/>
      <w:r>
        <w:rPr>
          <w:rtl/>
        </w:rPr>
        <w:t>בהעלדזעלע</w:t>
      </w:r>
      <w:proofErr w:type="spellEnd"/>
      <w:r>
        <w:rPr>
          <w:rtl/>
        </w:rPr>
        <w:t xml:space="preserve"> של השבוע הבא, הלא כן?” אז הבין האורח ממינסק את תכלית נסיעתו </w:t>
      </w:r>
      <w:proofErr w:type="spellStart"/>
      <w:r>
        <w:rPr>
          <w:rtl/>
        </w:rPr>
        <w:t>לסלוצק</w:t>
      </w:r>
      <w:proofErr w:type="spellEnd"/>
      <w:r>
        <w:rPr>
          <w:rtl/>
        </w:rPr>
        <w:t>: הראו לו את שיא החסכנות!</w:t>
      </w:r>
    </w:p>
    <w:p w14:paraId="3221A2FF" w14:textId="77777777" w:rsidR="00AB3647" w:rsidRDefault="00000000" w:rsidP="007923E9">
      <w:pPr>
        <w:spacing w:after="120" w:line="276" w:lineRule="auto"/>
        <w:ind w:firstLine="283"/>
        <w:jc w:val="both"/>
      </w:pPr>
      <w:r>
        <w:rPr>
          <w:rtl/>
        </w:rPr>
        <w:lastRenderedPageBreak/>
        <w:t xml:space="preserve">ר׳ ישראל </w:t>
      </w:r>
      <w:proofErr w:type="spellStart"/>
      <w:r>
        <w:rPr>
          <w:rtl/>
        </w:rPr>
        <w:t>שורין</w:t>
      </w:r>
      <w:proofErr w:type="spellEnd"/>
      <w:r>
        <w:rPr>
          <w:rtl/>
        </w:rPr>
        <w:t xml:space="preserve"> הוסיף</w:t>
      </w:r>
      <w:bookmarkStart w:id="5802" w:name="_fnr4427"/>
      <w:r>
        <w:rPr>
          <w:vertAlign w:val="superscript"/>
          <w:rtl/>
        </w:rPr>
        <w:footnoteReference w:id="4437" w:customMarkFollows="0"/>
      </w:r>
      <w:bookmarkEnd w:id="5802"/>
      <w:r>
        <w:rPr>
          <w:rtl/>
        </w:rPr>
        <w:t xml:space="preserve"> על מעשה זה: בליטא אמרו שלבסוף השתמשה אשת אבן בחוט כדי לתפור את תפר מכנסיו של ר׳ בנימין, והוא בא אל הרב בשאלה הלכתית: האם מותר לו ללבוש את המכנסיים </w:t>
      </w:r>
      <w:proofErr w:type="spellStart"/>
      <w:r>
        <w:rPr>
          <w:rtl/>
        </w:rPr>
        <w:t>ה“בשריים</w:t>
      </w:r>
      <w:proofErr w:type="spellEnd"/>
      <w:r>
        <w:rPr>
          <w:rtl/>
        </w:rPr>
        <w:t>” בתשעת הימים, שבהם בשר אסור!</w:t>
      </w:r>
    </w:p>
    <w:p w14:paraId="4F76E275" w14:textId="77777777" w:rsidR="00AB3647" w:rsidRDefault="00000000" w:rsidP="007923E9">
      <w:pPr>
        <w:pStyle w:val="4"/>
        <w:spacing w:line="276" w:lineRule="auto"/>
      </w:pPr>
      <w:r>
        <w:t>· הפסקה השנייה ·</w:t>
      </w:r>
    </w:p>
    <w:p w14:paraId="1EDA89D5" w14:textId="77777777" w:rsidR="00AB3647" w:rsidRDefault="00000000" w:rsidP="007923E9">
      <w:pPr>
        <w:pStyle w:val="5"/>
        <w:spacing w:line="276" w:lineRule="auto"/>
      </w:pPr>
      <w:r>
        <w:rPr>
          <w:bCs/>
          <w:szCs w:val="26"/>
        </w:rPr>
        <w:t xml:space="preserve">ר׳ </w:t>
      </w:r>
      <w:proofErr w:type="spellStart"/>
      <w:r>
        <w:rPr>
          <w:bCs/>
          <w:szCs w:val="26"/>
        </w:rPr>
        <w:t>יוסל׳ה</w:t>
      </w:r>
      <w:proofErr w:type="spellEnd"/>
      <w:r>
        <w:rPr>
          <w:bCs/>
          <w:szCs w:val="26"/>
        </w:rPr>
        <w:t xml:space="preserve"> </w:t>
      </w:r>
      <w:proofErr w:type="spellStart"/>
      <w:r>
        <w:rPr>
          <w:bCs/>
          <w:szCs w:val="26"/>
        </w:rPr>
        <w:t>פיימר</w:t>
      </w:r>
      <w:proofErr w:type="spellEnd"/>
      <w:r>
        <w:rPr>
          <w:bCs/>
          <w:szCs w:val="26"/>
        </w:rPr>
        <w:t xml:space="preserve"> נמנע מהספד חברו </w:t>
      </w:r>
      <w:proofErr w:type="spellStart"/>
      <w:r>
        <w:rPr>
          <w:bCs/>
          <w:szCs w:val="26"/>
        </w:rPr>
        <w:t>מוולוז׳ין</w:t>
      </w:r>
      <w:proofErr w:type="spellEnd"/>
      <w:r>
        <w:rPr>
          <w:bCs/>
          <w:szCs w:val="26"/>
        </w:rPr>
        <w:t xml:space="preserve"> – ר׳ </w:t>
      </w:r>
      <w:proofErr w:type="spellStart"/>
      <w:r>
        <w:rPr>
          <w:bCs/>
          <w:szCs w:val="26"/>
        </w:rPr>
        <w:t>יוסל׳ה</w:t>
      </w:r>
      <w:proofErr w:type="spellEnd"/>
      <w:r>
        <w:rPr>
          <w:bCs/>
          <w:szCs w:val="26"/>
        </w:rPr>
        <w:t xml:space="preserve"> מלמד את ר׳ ישראל </w:t>
      </w:r>
      <w:proofErr w:type="spellStart"/>
      <w:r>
        <w:rPr>
          <w:bCs/>
          <w:szCs w:val="26"/>
        </w:rPr>
        <w:t>סלנטר</w:t>
      </w:r>
      <w:proofErr w:type="spellEnd"/>
      <w:r>
        <w:rPr>
          <w:bCs/>
          <w:szCs w:val="26"/>
        </w:rPr>
        <w:t xml:space="preserve"> – ר׳ </w:t>
      </w:r>
      <w:proofErr w:type="spellStart"/>
      <w:r>
        <w:rPr>
          <w:bCs/>
          <w:szCs w:val="26"/>
        </w:rPr>
        <w:t>משולם־דוד</w:t>
      </w:r>
      <w:proofErr w:type="spellEnd"/>
      <w:r>
        <w:rPr>
          <w:bCs/>
          <w:szCs w:val="26"/>
        </w:rPr>
        <w:t xml:space="preserve"> </w:t>
      </w:r>
      <w:proofErr w:type="spellStart"/>
      <w:r>
        <w:rPr>
          <w:bCs/>
          <w:szCs w:val="26"/>
        </w:rPr>
        <w:t>סולובייצ׳יק</w:t>
      </w:r>
      <w:proofErr w:type="spellEnd"/>
      <w:r>
        <w:rPr>
          <w:bCs/>
          <w:szCs w:val="26"/>
        </w:rPr>
        <w:t xml:space="preserve"> מפרש את דברי ר׳ </w:t>
      </w:r>
      <w:proofErr w:type="spellStart"/>
      <w:r>
        <w:rPr>
          <w:bCs/>
          <w:szCs w:val="26"/>
        </w:rPr>
        <w:t>דוד־טעביל</w:t>
      </w:r>
      <w:proofErr w:type="spellEnd"/>
      <w:r>
        <w:rPr>
          <w:bCs/>
          <w:szCs w:val="26"/>
        </w:rPr>
        <w:t xml:space="preserve"> על ר׳ </w:t>
      </w:r>
      <w:proofErr w:type="spellStart"/>
      <w:r>
        <w:rPr>
          <w:bCs/>
          <w:szCs w:val="26"/>
        </w:rPr>
        <w:t>איצל׳ה</w:t>
      </w:r>
      <w:proofErr w:type="spellEnd"/>
      <w:r>
        <w:rPr>
          <w:bCs/>
          <w:szCs w:val="26"/>
        </w:rPr>
        <w:t xml:space="preserve"> </w:t>
      </w:r>
      <w:proofErr w:type="spellStart"/>
      <w:r>
        <w:rPr>
          <w:bCs/>
          <w:szCs w:val="26"/>
        </w:rPr>
        <w:t>מוולוז׳ין</w:t>
      </w:r>
      <w:proofErr w:type="spellEnd"/>
      <w:r>
        <w:rPr>
          <w:bCs/>
          <w:szCs w:val="26"/>
        </w:rPr>
        <w:t xml:space="preserve"> – הלה נפטר </w:t>
      </w:r>
      <w:proofErr w:type="spellStart"/>
      <w:r>
        <w:rPr>
          <w:bCs/>
          <w:szCs w:val="26"/>
        </w:rPr>
        <w:t>באיווניץ</w:t>
      </w:r>
      <w:proofErr w:type="spellEnd"/>
      <w:r>
        <w:rPr>
          <w:bCs/>
          <w:szCs w:val="26"/>
        </w:rPr>
        <w:t xml:space="preserve"> ונקבר שם – </w:t>
      </w:r>
      <w:proofErr w:type="spellStart"/>
      <w:r>
        <w:rPr>
          <w:bCs/>
          <w:szCs w:val="26"/>
        </w:rPr>
        <w:t>אוטבוצק</w:t>
      </w:r>
      <w:proofErr w:type="spellEnd"/>
      <w:r>
        <w:rPr>
          <w:bCs/>
          <w:szCs w:val="26"/>
        </w:rPr>
        <w:t xml:space="preserve"> רוצה שר׳ חיים </w:t>
      </w:r>
      <w:proofErr w:type="spellStart"/>
      <w:r>
        <w:rPr>
          <w:bCs/>
          <w:szCs w:val="26"/>
        </w:rPr>
        <w:t>סולובייצ׳יק</w:t>
      </w:r>
      <w:proofErr w:type="spellEnd"/>
      <w:r>
        <w:rPr>
          <w:bCs/>
          <w:szCs w:val="26"/>
        </w:rPr>
        <w:t xml:space="preserve"> ייקבר בבית העלמין שלה</w:t>
      </w:r>
    </w:p>
    <w:p w14:paraId="40E6765D" w14:textId="77777777" w:rsidR="00AB3647" w:rsidRDefault="00000000" w:rsidP="007923E9">
      <w:pPr>
        <w:spacing w:after="120" w:line="276" w:lineRule="auto"/>
        <w:ind w:firstLine="283"/>
        <w:jc w:val="both"/>
      </w:pPr>
      <w:r>
        <w:rPr>
          <w:rtl/>
        </w:rPr>
        <w:t xml:space="preserve">כמו המעשה הקודם, גם המעשה הבא מלמד על מצפונו המעודן של ר׳ </w:t>
      </w:r>
      <w:proofErr w:type="spellStart"/>
      <w:r>
        <w:rPr>
          <w:rtl/>
        </w:rPr>
        <w:t>יוסל׳ה</w:t>
      </w:r>
      <w:proofErr w:type="spellEnd"/>
      <w:r>
        <w:rPr>
          <w:rtl/>
        </w:rPr>
        <w:t xml:space="preserve">. לצד המעשה מובא פירושו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לעיקריו. מאמר </w:t>
      </w:r>
      <w:proofErr w:type="spellStart"/>
      <w:r>
        <w:rPr>
          <w:rtl/>
        </w:rPr>
        <w:t>ב“פנקס</w:t>
      </w:r>
      <w:proofErr w:type="spellEnd"/>
      <w:r>
        <w:rPr>
          <w:rtl/>
        </w:rPr>
        <w:t xml:space="preserve"> </w:t>
      </w:r>
      <w:proofErr w:type="spellStart"/>
      <w:r>
        <w:rPr>
          <w:rtl/>
        </w:rPr>
        <w:t>סלוצק</w:t>
      </w:r>
      <w:proofErr w:type="spellEnd"/>
      <w:r>
        <w:rPr>
          <w:rtl/>
        </w:rPr>
        <w:t>”</w:t>
      </w:r>
      <w:bookmarkStart w:id="5803" w:name="_fnr4428"/>
      <w:r>
        <w:rPr>
          <w:vertAlign w:val="superscript"/>
          <w:rtl/>
        </w:rPr>
        <w:footnoteReference w:id="4438" w:customMarkFollows="0"/>
      </w:r>
      <w:bookmarkEnd w:id="5803"/>
      <w:r>
        <w:rPr>
          <w:rtl/>
        </w:rPr>
        <w:t xml:space="preserve">, שנכתב ללא ספק בידי נכדו של ר׳ </w:t>
      </w:r>
      <w:proofErr w:type="spellStart"/>
      <w:r>
        <w:rPr>
          <w:rtl/>
        </w:rPr>
        <w:t>יוסל׳ה</w:t>
      </w:r>
      <w:proofErr w:type="spellEnd"/>
      <w:r>
        <w:rPr>
          <w:rtl/>
        </w:rPr>
        <w:t xml:space="preserve">, ר׳ יוסף </w:t>
      </w:r>
      <w:proofErr w:type="spellStart"/>
      <w:r>
        <w:rPr>
          <w:rtl/>
        </w:rPr>
        <w:t>פיימר</w:t>
      </w:r>
      <w:proofErr w:type="spellEnd"/>
      <w:r>
        <w:rPr>
          <w:rtl/>
        </w:rPr>
        <w:t xml:space="preserve">, כולל מעשה ששמע המחבר – כמצוין בסוגריים בסופו – “מפי ידידי הישיש הנכבד ה׳ דוד נ״י </w:t>
      </w:r>
      <w:proofErr w:type="spellStart"/>
      <w:r>
        <w:rPr>
          <w:rtl/>
        </w:rPr>
        <w:t>קאסאווסקי</w:t>
      </w:r>
      <w:proofErr w:type="spellEnd"/>
      <w:r>
        <w:rPr>
          <w:rtl/>
        </w:rPr>
        <w:t>”:</w:t>
      </w:r>
    </w:p>
    <w:p w14:paraId="64579A49" w14:textId="77777777" w:rsidR="00AB3647" w:rsidRDefault="00000000" w:rsidP="007923E9">
      <w:pPr>
        <w:spacing w:after="120" w:line="276" w:lineRule="auto"/>
        <w:ind w:firstLine="283"/>
        <w:jc w:val="both"/>
      </w:pPr>
      <w:r>
        <w:rPr>
          <w:rtl/>
        </w:rPr>
        <w:t xml:space="preserve">“כשר׳ </w:t>
      </w:r>
      <w:proofErr w:type="spellStart"/>
      <w:r>
        <w:rPr>
          <w:rtl/>
        </w:rPr>
        <w:t>איצל׳ה</w:t>
      </w:r>
      <w:proofErr w:type="spellEnd"/>
      <w:r>
        <w:rPr>
          <w:rtl/>
        </w:rPr>
        <w:t xml:space="preserve"> [בנו וממלא מקומו של ר׳ חיים </w:t>
      </w:r>
      <w:proofErr w:type="spellStart"/>
      <w:r>
        <w:rPr>
          <w:rtl/>
        </w:rPr>
        <w:t>מוולוז׳ין</w:t>
      </w:r>
      <w:proofErr w:type="spellEnd"/>
      <w:r>
        <w:rPr>
          <w:rtl/>
        </w:rPr>
        <w:t xml:space="preserve">] נפטר – ביום שישי, כ״ו באייר תר״ט – העיר ר׳ </w:t>
      </w:r>
      <w:proofErr w:type="spellStart"/>
      <w:r>
        <w:rPr>
          <w:rtl/>
        </w:rPr>
        <w:t>דוד־טעביל</w:t>
      </w:r>
      <w:proofErr w:type="spellEnd"/>
      <w:r>
        <w:rPr>
          <w:rtl/>
        </w:rPr>
        <w:t xml:space="preserve"> ממינסק, שהיה לפי “רבני מינסק”, מאת </w:t>
      </w:r>
      <w:proofErr w:type="spellStart"/>
      <w:r>
        <w:rPr>
          <w:rtl/>
        </w:rPr>
        <w:t>בנציון</w:t>
      </w:r>
      <w:proofErr w:type="spellEnd"/>
      <w:r>
        <w:rPr>
          <w:rtl/>
        </w:rPr>
        <w:t xml:space="preserve"> </w:t>
      </w:r>
      <w:proofErr w:type="spellStart"/>
      <w:r>
        <w:rPr>
          <w:rtl/>
        </w:rPr>
        <w:t>אייזנשטדט</w:t>
      </w:r>
      <w:bookmarkStart w:id="5804" w:name="_fnr4429"/>
      <w:proofErr w:type="spellEnd"/>
      <w:r>
        <w:rPr>
          <w:vertAlign w:val="superscript"/>
          <w:rtl/>
        </w:rPr>
        <w:footnoteReference w:id="4439" w:customMarkFollows="0"/>
      </w:r>
      <w:bookmarkEnd w:id="5804"/>
      <w:r>
        <w:rPr>
          <w:rtl/>
        </w:rPr>
        <w:t xml:space="preserve">, “חכם נמרץ בהוויות העולם”, על הנפטר: ‘חי כרבי חסידי ומת כרבי חסידי’. כשר׳ </w:t>
      </w:r>
      <w:proofErr w:type="spellStart"/>
      <w:r>
        <w:rPr>
          <w:rtl/>
        </w:rPr>
        <w:t>דוד־טעביל</w:t>
      </w:r>
      <w:proofErr w:type="spellEnd"/>
      <w:r>
        <w:rPr>
          <w:rtl/>
        </w:rPr>
        <w:t xml:space="preserve"> נפטר כעבור </w:t>
      </w:r>
      <w:proofErr w:type="spellStart"/>
      <w:r>
        <w:rPr>
          <w:rtl/>
        </w:rPr>
        <w:t>אחת־עשרה</w:t>
      </w:r>
      <w:proofErr w:type="spellEnd"/>
      <w:r>
        <w:rPr>
          <w:rtl/>
        </w:rPr>
        <w:t xml:space="preserve"> שנה, בשמיני עצרת תרכ״א, והתבקש חברו מישיבת </w:t>
      </w:r>
      <w:proofErr w:type="spellStart"/>
      <w:r>
        <w:rPr>
          <w:rtl/>
        </w:rPr>
        <w:t>וולוז׳ין</w:t>
      </w:r>
      <w:proofErr w:type="spellEnd"/>
      <w:r>
        <w:rPr>
          <w:rtl/>
        </w:rPr>
        <w:t xml:space="preserve">, ר׳ </w:t>
      </w:r>
      <w:proofErr w:type="spellStart"/>
      <w:r>
        <w:rPr>
          <w:rtl/>
        </w:rPr>
        <w:t>יוסל׳ה</w:t>
      </w:r>
      <w:proofErr w:type="spellEnd"/>
      <w:r>
        <w:rPr>
          <w:rtl/>
        </w:rPr>
        <w:t xml:space="preserve"> </w:t>
      </w:r>
      <w:proofErr w:type="spellStart"/>
      <w:r>
        <w:rPr>
          <w:rtl/>
        </w:rPr>
        <w:t>פיימר</w:t>
      </w:r>
      <w:proofErr w:type="spellEnd"/>
      <w:r>
        <w:rPr>
          <w:rtl/>
        </w:rPr>
        <w:t xml:space="preserve">, להספידו </w:t>
      </w:r>
      <w:proofErr w:type="spellStart"/>
      <w:r>
        <w:rPr>
          <w:rtl/>
        </w:rPr>
        <w:t>בסלוצק</w:t>
      </w:r>
      <w:proofErr w:type="spellEnd"/>
      <w:r>
        <w:rPr>
          <w:rtl/>
        </w:rPr>
        <w:t xml:space="preserve">, השיב: ‘עוד יש זמן עד השלושים’. כשהניח הרב לתקופה זו לחלוף בלי הספד, בא אליו ר׳ </w:t>
      </w:r>
      <w:proofErr w:type="spellStart"/>
      <w:r>
        <w:rPr>
          <w:rtl/>
        </w:rPr>
        <w:t>צבי־הירש</w:t>
      </w:r>
      <w:proofErr w:type="spellEnd"/>
      <w:r>
        <w:rPr>
          <w:rtl/>
        </w:rPr>
        <w:t xml:space="preserve"> חפץ ואמר שהבריות מתרעמות על הפגיעה בכבודו של המרא דאתרא המנוח של מינסק, ר׳ </w:t>
      </w:r>
      <w:proofErr w:type="spellStart"/>
      <w:r>
        <w:rPr>
          <w:rtl/>
        </w:rPr>
        <w:t>דוד־טעביל</w:t>
      </w:r>
      <w:proofErr w:type="spellEnd"/>
      <w:r>
        <w:rPr>
          <w:rtl/>
        </w:rPr>
        <w:t xml:space="preserve">, [שהיה] תלמיד חכם גדול כל כך; ור׳ </w:t>
      </w:r>
      <w:proofErr w:type="spellStart"/>
      <w:r>
        <w:rPr>
          <w:rtl/>
        </w:rPr>
        <w:t>יוסל׳ה</w:t>
      </w:r>
      <w:proofErr w:type="spellEnd"/>
      <w:r>
        <w:rPr>
          <w:rtl/>
        </w:rPr>
        <w:t xml:space="preserve"> השיב תשובה מתחמקת. כשהגיע לבסוף יום השנה, שמיני עצרת, שאלוהו מדוע [הניח לכל שנת האבל לחלוף בלי הספד]. הוא השיב: ‘כשנפטר ר׳ </w:t>
      </w:r>
      <w:proofErr w:type="spellStart"/>
      <w:r>
        <w:rPr>
          <w:rtl/>
        </w:rPr>
        <w:t>איצל׳ה</w:t>
      </w:r>
      <w:proofErr w:type="spellEnd"/>
      <w:r>
        <w:rPr>
          <w:rtl/>
        </w:rPr>
        <w:t xml:space="preserve"> </w:t>
      </w:r>
      <w:proofErr w:type="spellStart"/>
      <w:r>
        <w:rPr>
          <w:rtl/>
        </w:rPr>
        <w:t>מוולוז׳ין</w:t>
      </w:r>
      <w:proofErr w:type="spellEnd"/>
      <w:r>
        <w:rPr>
          <w:rtl/>
        </w:rPr>
        <w:t xml:space="preserve"> אמר ר׳ </w:t>
      </w:r>
      <w:proofErr w:type="spellStart"/>
      <w:r>
        <w:rPr>
          <w:rtl/>
        </w:rPr>
        <w:t>דוד־טעביל</w:t>
      </w:r>
      <w:proofErr w:type="spellEnd"/>
      <w:r>
        <w:rPr>
          <w:rtl/>
        </w:rPr>
        <w:t xml:space="preserve"> שר׳ </w:t>
      </w:r>
      <w:proofErr w:type="spellStart"/>
      <w:r>
        <w:rPr>
          <w:rtl/>
        </w:rPr>
        <w:t>איצל׳ה</w:t>
      </w:r>
      <w:proofErr w:type="spellEnd"/>
      <w:r>
        <w:rPr>
          <w:rtl/>
        </w:rPr>
        <w:t xml:space="preserve"> חי כרבי חסידי ומת כרבי חסידי – ודבר זה לא היה לו לומר. היה עליו לקרוע את בגדו כשם שעשיתי אני, ולתת אפר על ראשו, מפני ששר וגדול נפל בישראל</w:t>
      </w:r>
      <w:bookmarkStart w:id="5805" w:name="_fnr4430"/>
      <w:r>
        <w:rPr>
          <w:vertAlign w:val="superscript"/>
          <w:rtl/>
        </w:rPr>
        <w:footnoteReference w:id="4440" w:customMarkFollows="0"/>
      </w:r>
      <w:bookmarkEnd w:id="5805"/>
      <w:r>
        <w:rPr>
          <w:rtl/>
        </w:rPr>
        <w:t xml:space="preserve">. לפיכך לא הספדתי את ידידי הטוב ר׳ </w:t>
      </w:r>
      <w:proofErr w:type="spellStart"/>
      <w:r>
        <w:rPr>
          <w:rtl/>
        </w:rPr>
        <w:t>דוד־טעביל</w:t>
      </w:r>
      <w:proofErr w:type="spellEnd"/>
      <w:r>
        <w:rPr>
          <w:rtl/>
        </w:rPr>
        <w:t xml:space="preserve"> – כדי שהביזיון יהיה לו לכפרה’”.</w:t>
      </w:r>
    </w:p>
    <w:p w14:paraId="0FC6CDD2" w14:textId="77777777" w:rsidR="00AB3647" w:rsidRDefault="00000000" w:rsidP="007923E9">
      <w:pPr>
        <w:spacing w:after="120" w:line="276" w:lineRule="auto"/>
        <w:ind w:firstLine="283"/>
        <w:jc w:val="both"/>
      </w:pPr>
      <w:r>
        <w:rPr>
          <w:rtl/>
        </w:rPr>
        <w:t xml:space="preserve">ביקורתו של ר׳ </w:t>
      </w:r>
      <w:proofErr w:type="spellStart"/>
      <w:r>
        <w:rPr>
          <w:rtl/>
        </w:rPr>
        <w:t>יוסל׳ה</w:t>
      </w:r>
      <w:proofErr w:type="spellEnd"/>
      <w:r>
        <w:rPr>
          <w:rtl/>
        </w:rPr>
        <w:t xml:space="preserve"> לא מנעה ממנו לתת הסכמה לספר הראשון שחיבר ידידו, שו״ת “בית דוד”, שנדפס חמש שנים לאחר פטירת ר׳ </w:t>
      </w:r>
      <w:proofErr w:type="spellStart"/>
      <w:r>
        <w:rPr>
          <w:rtl/>
        </w:rPr>
        <w:t>איצל׳ה</w:t>
      </w:r>
      <w:proofErr w:type="spellEnd"/>
      <w:r>
        <w:rPr>
          <w:rtl/>
        </w:rPr>
        <w:t>.</w:t>
      </w:r>
    </w:p>
    <w:p w14:paraId="58D2A8F6" w14:textId="77777777" w:rsidR="00AB3647" w:rsidRDefault="00000000" w:rsidP="007923E9">
      <w:pPr>
        <w:spacing w:after="120" w:line="276" w:lineRule="auto"/>
        <w:ind w:firstLine="283"/>
        <w:jc w:val="both"/>
      </w:pPr>
      <w:bookmarkStart w:id="5806" w:name="pr_b_2476"/>
      <w:bookmarkEnd w:id="5806"/>
      <w:r>
        <w:rPr>
          <w:rtl/>
        </w:rPr>
        <w:t xml:space="preserve">ר׳ </w:t>
      </w:r>
      <w:proofErr w:type="spellStart"/>
      <w:r>
        <w:rPr>
          <w:rtl/>
        </w:rPr>
        <w:t>יוסל׳ה</w:t>
      </w:r>
      <w:proofErr w:type="spellEnd"/>
      <w:r>
        <w:rPr>
          <w:rtl/>
        </w:rPr>
        <w:t xml:space="preserve"> נולד בסביבות תקנ״ז ונפטר </w:t>
      </w:r>
      <w:proofErr w:type="spellStart"/>
      <w:r>
        <w:rPr>
          <w:rtl/>
        </w:rPr>
        <w:t>בתרכ״ד</w:t>
      </w:r>
      <w:proofErr w:type="spellEnd"/>
      <w:r>
        <w:rPr>
          <w:rtl/>
        </w:rPr>
        <w:t xml:space="preserve">, לפי “הראשון לשושלת </w:t>
      </w:r>
      <w:proofErr w:type="spellStart"/>
      <w:r>
        <w:rPr>
          <w:rtl/>
        </w:rPr>
        <w:t>בריסק</w:t>
      </w:r>
      <w:proofErr w:type="spellEnd"/>
      <w:r>
        <w:rPr>
          <w:rtl/>
        </w:rPr>
        <w:t>”</w:t>
      </w:r>
      <w:bookmarkStart w:id="5807" w:name="_fnr4431"/>
      <w:r>
        <w:rPr>
          <w:vertAlign w:val="superscript"/>
          <w:rtl/>
        </w:rPr>
        <w:footnoteReference w:id="4441" w:customMarkFollows="0"/>
      </w:r>
      <w:bookmarkEnd w:id="5807"/>
      <w:r>
        <w:rPr>
          <w:rtl/>
        </w:rPr>
        <w:t>. לפי “רבותינו שבגולה”, כרך א</w:t>
      </w:r>
      <w:bookmarkStart w:id="5808" w:name="_fnr4432"/>
      <w:r>
        <w:rPr>
          <w:vertAlign w:val="superscript"/>
          <w:rtl/>
        </w:rPr>
        <w:footnoteReference w:id="4442" w:customMarkFollows="0"/>
      </w:r>
      <w:bookmarkEnd w:id="5808"/>
      <w:r>
        <w:rPr>
          <w:rtl/>
        </w:rPr>
        <w:t xml:space="preserve">, היה מתמיד יוצא מן הכלל, </w:t>
      </w:r>
      <w:proofErr w:type="spellStart"/>
      <w:r>
        <w:rPr>
          <w:rtl/>
        </w:rPr>
        <w:t>ו“נודע</w:t>
      </w:r>
      <w:proofErr w:type="spellEnd"/>
      <w:r>
        <w:rPr>
          <w:rtl/>
        </w:rPr>
        <w:t xml:space="preserve"> בישיבת </w:t>
      </w:r>
      <w:proofErr w:type="spellStart"/>
      <w:r>
        <w:rPr>
          <w:rtl/>
        </w:rPr>
        <w:t>וולוז׳ין</w:t>
      </w:r>
      <w:proofErr w:type="spellEnd"/>
      <w:r>
        <w:rPr>
          <w:rtl/>
        </w:rPr>
        <w:t xml:space="preserve"> בשם </w:t>
      </w:r>
      <w:r>
        <w:rPr>
          <w:rtl/>
        </w:rPr>
        <w:lastRenderedPageBreak/>
        <w:t>‘עמוד הישיבה’</w:t>
      </w:r>
      <w:bookmarkStart w:id="5809" w:name="_fnr4433"/>
      <w:r>
        <w:rPr>
          <w:vertAlign w:val="superscript"/>
          <w:rtl/>
        </w:rPr>
        <w:footnoteReference w:id="4443" w:customMarkFollows="0"/>
      </w:r>
      <w:bookmarkEnd w:id="5809"/>
      <w:r>
        <w:rPr>
          <w:rtl/>
        </w:rPr>
        <w:t xml:space="preserve">”. בשנותיו האחרונות היה ר׳ חיים </w:t>
      </w:r>
      <w:proofErr w:type="spellStart"/>
      <w:r>
        <w:rPr>
          <w:rtl/>
        </w:rPr>
        <w:t>מוולוז׳ין</w:t>
      </w:r>
      <w:proofErr w:type="spellEnd"/>
      <w:r>
        <w:rPr>
          <w:rtl/>
        </w:rPr>
        <w:t xml:space="preserve"> חולה ומשותק במחצית גופו</w:t>
      </w:r>
      <w:bookmarkStart w:id="5810" w:name="_fnr4434"/>
      <w:r>
        <w:rPr>
          <w:vertAlign w:val="superscript"/>
          <w:rtl/>
        </w:rPr>
        <w:footnoteReference w:id="4444" w:customMarkFollows="0"/>
      </w:r>
      <w:bookmarkEnd w:id="5810"/>
      <w:r>
        <w:rPr>
          <w:rtl/>
        </w:rPr>
        <w:t xml:space="preserve">, ור׳ </w:t>
      </w:r>
      <w:proofErr w:type="spellStart"/>
      <w:r>
        <w:rPr>
          <w:rtl/>
        </w:rPr>
        <w:t>יוסל׳ה</w:t>
      </w:r>
      <w:proofErr w:type="spellEnd"/>
      <w:r>
        <w:rPr>
          <w:rtl/>
        </w:rPr>
        <w:t xml:space="preserve"> עוד הספיק לקבל ממנו הוראות לפני שיצא לכהונתו הראשונה ברבנות, </w:t>
      </w:r>
      <w:proofErr w:type="spellStart"/>
      <w:r>
        <w:rPr>
          <w:rtl/>
        </w:rPr>
        <w:t>בלוקניק</w:t>
      </w:r>
      <w:proofErr w:type="spellEnd"/>
      <w:r>
        <w:rPr>
          <w:rtl/>
        </w:rPr>
        <w:t xml:space="preserve"> (שם נתמנה “בעודו צעיר”</w:t>
      </w:r>
      <w:bookmarkStart w:id="5811" w:name="_fnr4435"/>
      <w:r>
        <w:rPr>
          <w:vertAlign w:val="superscript"/>
          <w:rtl/>
        </w:rPr>
        <w:footnoteReference w:id="4445" w:customMarkFollows="0"/>
      </w:r>
      <w:bookmarkEnd w:id="5811"/>
      <w:r>
        <w:rPr>
          <w:rtl/>
        </w:rPr>
        <w:t xml:space="preserve">). מוכרח אפוא שעזב את ישיבת </w:t>
      </w:r>
      <w:proofErr w:type="spellStart"/>
      <w:r>
        <w:rPr>
          <w:rtl/>
        </w:rPr>
        <w:t>וולוז׳ין</w:t>
      </w:r>
      <w:proofErr w:type="spellEnd"/>
      <w:r>
        <w:rPr>
          <w:rtl/>
        </w:rPr>
        <w:t xml:space="preserve"> שלוש או ארבע שנים לפני פטירת רבו </w:t>
      </w:r>
      <w:proofErr w:type="spellStart"/>
      <w:r>
        <w:rPr>
          <w:rtl/>
        </w:rPr>
        <w:t>בתקפ״א</w:t>
      </w:r>
      <w:proofErr w:type="spellEnd"/>
      <w:r>
        <w:rPr>
          <w:rtl/>
        </w:rPr>
        <w:t xml:space="preserve">, באותה עת שעזב ר׳ </w:t>
      </w:r>
      <w:proofErr w:type="spellStart"/>
      <w:r>
        <w:rPr>
          <w:rtl/>
        </w:rPr>
        <w:t>דוד־טעביל</w:t>
      </w:r>
      <w:proofErr w:type="spellEnd"/>
      <w:r>
        <w:rPr>
          <w:rtl/>
        </w:rPr>
        <w:t>, שהיה מבוגר ממנו בשלוש שנים.</w:t>
      </w:r>
    </w:p>
    <w:p w14:paraId="24A8BDA2" w14:textId="77777777" w:rsidR="00AB3647" w:rsidRDefault="00000000" w:rsidP="007923E9">
      <w:pPr>
        <w:spacing w:after="120" w:line="276" w:lineRule="auto"/>
        <w:ind w:firstLine="283"/>
        <w:jc w:val="both"/>
      </w:pPr>
      <w:proofErr w:type="spellStart"/>
      <w:r>
        <w:rPr>
          <w:rtl/>
        </w:rPr>
        <w:t>לוקניק</w:t>
      </w:r>
      <w:proofErr w:type="spellEnd"/>
      <w:r>
        <w:rPr>
          <w:rtl/>
        </w:rPr>
        <w:t xml:space="preserve"> מרוחקת כ־65 קילומטר </w:t>
      </w:r>
      <w:proofErr w:type="spellStart"/>
      <w:r>
        <w:rPr>
          <w:rtl/>
        </w:rPr>
        <w:t>מזאגר</w:t>
      </w:r>
      <w:proofErr w:type="spellEnd"/>
      <w:r>
        <w:rPr>
          <w:rtl/>
        </w:rPr>
        <w:t xml:space="preserve">, מקום הולדתו של ר׳ ישראל </w:t>
      </w:r>
      <w:proofErr w:type="spellStart"/>
      <w:r>
        <w:rPr>
          <w:rtl/>
        </w:rPr>
        <w:t>סלנטר</w:t>
      </w:r>
      <w:proofErr w:type="spellEnd"/>
      <w:r>
        <w:rPr>
          <w:rtl/>
        </w:rPr>
        <w:t xml:space="preserve"> </w:t>
      </w:r>
      <w:proofErr w:type="spellStart"/>
      <w:r>
        <w:rPr>
          <w:rtl/>
        </w:rPr>
        <w:t>בתק״ע</w:t>
      </w:r>
      <w:proofErr w:type="spellEnd"/>
      <w:r>
        <w:rPr>
          <w:rtl/>
        </w:rPr>
        <w:t xml:space="preserve">. ר׳ ישראל למד אצל ר׳ </w:t>
      </w:r>
      <w:proofErr w:type="spellStart"/>
      <w:r>
        <w:rPr>
          <w:rtl/>
        </w:rPr>
        <w:t>יוסל׳ה</w:t>
      </w:r>
      <w:proofErr w:type="spellEnd"/>
      <w:r>
        <w:rPr>
          <w:rtl/>
        </w:rPr>
        <w:t xml:space="preserve"> </w:t>
      </w:r>
      <w:proofErr w:type="spellStart"/>
      <w:r>
        <w:rPr>
          <w:rtl/>
        </w:rPr>
        <w:t>זמן־מה</w:t>
      </w:r>
      <w:proofErr w:type="spellEnd"/>
      <w:r>
        <w:rPr>
          <w:rtl/>
        </w:rPr>
        <w:t xml:space="preserve"> לפני שעבר הלה </w:t>
      </w:r>
      <w:proofErr w:type="spellStart"/>
      <w:r>
        <w:rPr>
          <w:rtl/>
        </w:rPr>
        <w:t>לסלוצק</w:t>
      </w:r>
      <w:proofErr w:type="spellEnd"/>
      <w:r>
        <w:rPr>
          <w:rtl/>
        </w:rPr>
        <w:t xml:space="preserve"> </w:t>
      </w:r>
      <w:proofErr w:type="spellStart"/>
      <w:r>
        <w:rPr>
          <w:rtl/>
        </w:rPr>
        <w:t>בתקפ״ט</w:t>
      </w:r>
      <w:bookmarkStart w:id="5812" w:name="_fnr4436"/>
      <w:proofErr w:type="spellEnd"/>
      <w:r>
        <w:rPr>
          <w:vertAlign w:val="superscript"/>
          <w:rtl/>
        </w:rPr>
        <w:footnoteReference w:id="4446" w:customMarkFollows="0"/>
      </w:r>
      <w:bookmarkEnd w:id="5812"/>
      <w:r>
        <w:rPr>
          <w:rtl/>
        </w:rPr>
        <w:t xml:space="preserve">, ולמרבה הפלא נשמטה עובדה זו מעיני כותבי תולדותיו של ר׳ ישראל. ר׳ </w:t>
      </w:r>
      <w:proofErr w:type="spellStart"/>
      <w:r>
        <w:rPr>
          <w:rtl/>
        </w:rPr>
        <w:t>יוסל׳ה</w:t>
      </w:r>
      <w:proofErr w:type="spellEnd"/>
      <w:r>
        <w:rPr>
          <w:rtl/>
        </w:rPr>
        <w:t xml:space="preserve"> היה רבו של ר׳ ישראל לפני שהגיע לגיל </w:t>
      </w:r>
      <w:proofErr w:type="spellStart"/>
      <w:r>
        <w:rPr>
          <w:rtl/>
        </w:rPr>
        <w:t>שתים־עשרה</w:t>
      </w:r>
      <w:proofErr w:type="spellEnd"/>
      <w:r>
        <w:rPr>
          <w:rtl/>
        </w:rPr>
        <w:t xml:space="preserve">, כשעבר ללמוד אצל ר׳ </w:t>
      </w:r>
      <w:proofErr w:type="spellStart"/>
      <w:r>
        <w:rPr>
          <w:rtl/>
        </w:rPr>
        <w:t>צבי־הירש</w:t>
      </w:r>
      <w:proofErr w:type="spellEnd"/>
      <w:r>
        <w:rPr>
          <w:rtl/>
        </w:rPr>
        <w:t xml:space="preserve"> </w:t>
      </w:r>
      <w:proofErr w:type="spellStart"/>
      <w:r>
        <w:rPr>
          <w:rtl/>
        </w:rPr>
        <w:t>ברוידא</w:t>
      </w:r>
      <w:proofErr w:type="spellEnd"/>
      <w:r>
        <w:rPr>
          <w:rtl/>
        </w:rPr>
        <w:t xml:space="preserve"> </w:t>
      </w:r>
      <w:proofErr w:type="spellStart"/>
      <w:r>
        <w:rPr>
          <w:rtl/>
        </w:rPr>
        <w:t>בסלנט</w:t>
      </w:r>
      <w:proofErr w:type="spellEnd"/>
      <w:r>
        <w:rPr>
          <w:rtl/>
        </w:rPr>
        <w:t xml:space="preserve">. שם נישא ר׳ ישראל כעבור שנתיים, ונודע בשם “ר׳ ישראל </w:t>
      </w:r>
      <w:proofErr w:type="spellStart"/>
      <w:r>
        <w:rPr>
          <w:rtl/>
        </w:rPr>
        <w:t>סלנטר</w:t>
      </w:r>
      <w:proofErr w:type="spellEnd"/>
      <w:r>
        <w:rPr>
          <w:rtl/>
        </w:rPr>
        <w:t xml:space="preserve">” במקום “ר׳ ישראל </w:t>
      </w:r>
      <w:proofErr w:type="spellStart"/>
      <w:r>
        <w:rPr>
          <w:rtl/>
        </w:rPr>
        <w:t>לוקניקר</w:t>
      </w:r>
      <w:proofErr w:type="spellEnd"/>
      <w:r>
        <w:rPr>
          <w:rtl/>
        </w:rPr>
        <w:t>”.</w:t>
      </w:r>
    </w:p>
    <w:p w14:paraId="787FC8A3" w14:textId="77777777" w:rsidR="00AB3647" w:rsidRDefault="00000000" w:rsidP="007923E9">
      <w:pPr>
        <w:spacing w:after="120" w:line="276" w:lineRule="auto"/>
        <w:ind w:firstLine="283"/>
        <w:jc w:val="both"/>
      </w:pPr>
      <w:r>
        <w:rPr>
          <w:rtl/>
        </w:rPr>
        <w:t xml:space="preserve">כשנפטר ר׳ </w:t>
      </w:r>
      <w:proofErr w:type="spellStart"/>
      <w:r>
        <w:rPr>
          <w:rtl/>
        </w:rPr>
        <w:t>דוד־טעביל</w:t>
      </w:r>
      <w:proofErr w:type="spellEnd"/>
      <w:r>
        <w:rPr>
          <w:rtl/>
        </w:rPr>
        <w:t xml:space="preserve">, הסכים ר׳ </w:t>
      </w:r>
      <w:proofErr w:type="spellStart"/>
      <w:r>
        <w:rPr>
          <w:rtl/>
        </w:rPr>
        <w:t>יוסל׳ה</w:t>
      </w:r>
      <w:proofErr w:type="spellEnd"/>
      <w:r>
        <w:rPr>
          <w:rtl/>
        </w:rPr>
        <w:t xml:space="preserve"> לרשת את כיסא הרבנות של ידידו במינסק, אך “גברו תחנוני בני קהילתו [שלו] שלא יעזבם, והסכים להישאר </w:t>
      </w:r>
      <w:proofErr w:type="spellStart"/>
      <w:r>
        <w:rPr>
          <w:rtl/>
        </w:rPr>
        <w:t>בסלוצק</w:t>
      </w:r>
      <w:proofErr w:type="spellEnd"/>
      <w:r>
        <w:rPr>
          <w:rtl/>
        </w:rPr>
        <w:t xml:space="preserve"> בתנאי שיקבלו בחזרה את מכתבו לקהילת מינסק [שהסכים לעבור אליה], ובתנאי שלא יעלו את שכרו [</w:t>
      </w:r>
      <w:proofErr w:type="spellStart"/>
      <w:r>
        <w:rPr>
          <w:rtl/>
        </w:rPr>
        <w:t>בסלוצק</w:t>
      </w:r>
      <w:proofErr w:type="spellEnd"/>
      <w:r>
        <w:rPr>
          <w:rtl/>
        </w:rPr>
        <w:t>], כדי שלא יאמרו [במינסק] שחזר בו מהסכמתו [מפני שקיבל תוספת שכר]</w:t>
      </w:r>
      <w:bookmarkStart w:id="5813" w:name="_fnr4437"/>
      <w:r>
        <w:rPr>
          <w:vertAlign w:val="superscript"/>
          <w:rtl/>
        </w:rPr>
        <w:footnoteReference w:id="4447" w:customMarkFollows="0"/>
      </w:r>
      <w:bookmarkEnd w:id="5813"/>
      <w:r>
        <w:rPr>
          <w:rtl/>
        </w:rPr>
        <w:t>”.</w:t>
      </w:r>
    </w:p>
    <w:p w14:paraId="59411EC8" w14:textId="77777777" w:rsidR="00AB3647" w:rsidRDefault="00000000" w:rsidP="007923E9">
      <w:pPr>
        <w:spacing w:after="120" w:line="276" w:lineRule="auto"/>
        <w:ind w:firstLine="283"/>
        <w:jc w:val="both"/>
      </w:pPr>
      <w:r>
        <w:rPr>
          <w:rtl/>
        </w:rPr>
        <w:t xml:space="preserve">שאלתי את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כיצד הבינו שני החברים המתנגדים, ר׳ </w:t>
      </w:r>
      <w:proofErr w:type="spellStart"/>
      <w:r>
        <w:rPr>
          <w:rtl/>
        </w:rPr>
        <w:t>יוסל׳ה</w:t>
      </w:r>
      <w:proofErr w:type="spellEnd"/>
      <w:r>
        <w:rPr>
          <w:rtl/>
        </w:rPr>
        <w:t xml:space="preserve"> ור׳ </w:t>
      </w:r>
      <w:proofErr w:type="spellStart"/>
      <w:r>
        <w:rPr>
          <w:rtl/>
        </w:rPr>
        <w:t>דוד־טעביל</w:t>
      </w:r>
      <w:proofErr w:type="spellEnd"/>
      <w:r>
        <w:rPr>
          <w:rtl/>
        </w:rPr>
        <w:t xml:space="preserve">, את דברי הלה על ר׳ </w:t>
      </w:r>
      <w:proofErr w:type="spellStart"/>
      <w:r>
        <w:rPr>
          <w:rtl/>
        </w:rPr>
        <w:t>איצל׳ה</w:t>
      </w:r>
      <w:proofErr w:type="spellEnd"/>
      <w:r>
        <w:rPr>
          <w:rtl/>
        </w:rPr>
        <w:t xml:space="preserve"> – “חי כרבי חסידי ומת כרבי חסידי”</w:t>
      </w:r>
      <w:bookmarkStart w:id="5814" w:name="_fnr4438"/>
      <w:r>
        <w:rPr>
          <w:vertAlign w:val="superscript"/>
          <w:rtl/>
        </w:rPr>
        <w:footnoteReference w:id="4448" w:customMarkFollows="0"/>
      </w:r>
      <w:bookmarkEnd w:id="5814"/>
      <w:r>
        <w:rPr>
          <w:rtl/>
        </w:rPr>
        <w:t xml:space="preserve">. ר׳ </w:t>
      </w:r>
      <w:proofErr w:type="spellStart"/>
      <w:r>
        <w:rPr>
          <w:rtl/>
        </w:rPr>
        <w:t>משולם־דוד</w:t>
      </w:r>
      <w:proofErr w:type="spellEnd"/>
      <w:r>
        <w:rPr>
          <w:rtl/>
        </w:rPr>
        <w:t xml:space="preserve"> חשב דקה ואמר: “את המחצית הראשונה אני מבין כך: המתנגדים אומרים שבקשת הדרכה מרב מותירה לעיתים את המבקש בלתי מרוצה, ואילו שאלה לרבי משמחת תמיד. לדבריהם, הטעם לכך הוא שהרב מוכרח לתת לשואל את דעת השולחן ערוך – שלעיתים קשה לעמוד בה – ואילו הרבי, שהוא בדרך כלל פיקח מאוד, מבין מה החסיד רוצה לשמוע ואומר לו בדיוק זאת. בסיכום – כלשון האמרה </w:t>
      </w:r>
      <w:proofErr w:type="spellStart"/>
      <w:r>
        <w:rPr>
          <w:rtl/>
        </w:rPr>
        <w:t>המתנגדית</w:t>
      </w:r>
      <w:proofErr w:type="spellEnd"/>
      <w:r>
        <w:rPr>
          <w:rtl/>
        </w:rPr>
        <w:t xml:space="preserve"> – הרבי הוא </w:t>
      </w:r>
      <w:proofErr w:type="spellStart"/>
      <w:r>
        <w:rPr>
          <w:rtl/>
        </w:rPr>
        <w:t>קליגער</w:t>
      </w:r>
      <w:proofErr w:type="spellEnd"/>
      <w:r>
        <w:rPr>
          <w:rtl/>
        </w:rPr>
        <w:t xml:space="preserve"> ווי </w:t>
      </w:r>
      <w:proofErr w:type="spellStart"/>
      <w:r>
        <w:rPr>
          <w:rtl/>
        </w:rPr>
        <w:t>פרימער</w:t>
      </w:r>
      <w:proofErr w:type="spellEnd"/>
      <w:r>
        <w:rPr>
          <w:rtl/>
        </w:rPr>
        <w:t xml:space="preserve"> [פיקח יותר מאשר אדוק], והרב הוא </w:t>
      </w:r>
      <w:proofErr w:type="spellStart"/>
      <w:r>
        <w:rPr>
          <w:rtl/>
        </w:rPr>
        <w:t>פרימער</w:t>
      </w:r>
      <w:proofErr w:type="spellEnd"/>
      <w:r>
        <w:rPr>
          <w:rtl/>
        </w:rPr>
        <w:t xml:space="preserve"> ווי </w:t>
      </w:r>
      <w:proofErr w:type="spellStart"/>
      <w:r>
        <w:rPr>
          <w:rtl/>
        </w:rPr>
        <w:t>קליגער</w:t>
      </w:r>
      <w:proofErr w:type="spellEnd"/>
      <w:r>
        <w:rPr>
          <w:rtl/>
        </w:rPr>
        <w:t xml:space="preserve"> [אדוק יותר מאשר פיקח]. ר׳ </w:t>
      </w:r>
      <w:proofErr w:type="spellStart"/>
      <w:r>
        <w:rPr>
          <w:rtl/>
        </w:rPr>
        <w:t>איצל׳ה</w:t>
      </w:r>
      <w:proofErr w:type="spellEnd"/>
      <w:r>
        <w:rPr>
          <w:rtl/>
        </w:rPr>
        <w:t xml:space="preserve"> נודע כפיקח מאוד וכונה ‘חכימא </w:t>
      </w:r>
      <w:proofErr w:type="spellStart"/>
      <w:r>
        <w:rPr>
          <w:rtl/>
        </w:rPr>
        <w:t>דיהודאי</w:t>
      </w:r>
      <w:proofErr w:type="spellEnd"/>
      <w:r>
        <w:rPr>
          <w:rtl/>
        </w:rPr>
        <w:t>’</w:t>
      </w:r>
      <w:bookmarkStart w:id="5815" w:name="_fnr4439"/>
      <w:r>
        <w:rPr>
          <w:vertAlign w:val="superscript"/>
          <w:rtl/>
        </w:rPr>
        <w:footnoteReference w:id="4449" w:customMarkFollows="0"/>
      </w:r>
      <w:bookmarkEnd w:id="5815"/>
      <w:r>
        <w:rPr>
          <w:rtl/>
        </w:rPr>
        <w:t xml:space="preserve">; ר׳ </w:t>
      </w:r>
      <w:proofErr w:type="spellStart"/>
      <w:r>
        <w:rPr>
          <w:rtl/>
        </w:rPr>
        <w:t>דוד־טעביל</w:t>
      </w:r>
      <w:proofErr w:type="spellEnd"/>
      <w:r>
        <w:rPr>
          <w:rtl/>
        </w:rPr>
        <w:t xml:space="preserve"> התכוון לומר שר׳ </w:t>
      </w:r>
      <w:proofErr w:type="spellStart"/>
      <w:r>
        <w:rPr>
          <w:rtl/>
        </w:rPr>
        <w:t>איצל׳ה</w:t>
      </w:r>
      <w:proofErr w:type="spellEnd"/>
      <w:r>
        <w:rPr>
          <w:rtl/>
        </w:rPr>
        <w:t xml:space="preserve"> היה, כרבי חסידי, ‘פיקח יותר מאשר אדוק’. כנגד זאת טען ר׳ </w:t>
      </w:r>
      <w:proofErr w:type="spellStart"/>
      <w:r>
        <w:rPr>
          <w:rtl/>
        </w:rPr>
        <w:t>יוסל׳ה</w:t>
      </w:r>
      <w:proofErr w:type="spellEnd"/>
      <w:r>
        <w:rPr>
          <w:rtl/>
        </w:rPr>
        <w:t xml:space="preserve"> שבנו של רבם היה שר וגדול בישראל – גם פיקח וגם אדוק”.</w:t>
      </w:r>
    </w:p>
    <w:p w14:paraId="3246CB61" w14:textId="77777777" w:rsidR="00AB3647" w:rsidRDefault="00000000" w:rsidP="007923E9">
      <w:pPr>
        <w:spacing w:after="120" w:line="276" w:lineRule="auto"/>
        <w:ind w:firstLine="283"/>
        <w:jc w:val="both"/>
      </w:pPr>
      <w:r>
        <w:rPr>
          <w:rtl/>
        </w:rPr>
        <w:t xml:space="preserve">אפשר להוסיף שר׳ </w:t>
      </w:r>
      <w:proofErr w:type="spellStart"/>
      <w:r>
        <w:rPr>
          <w:rtl/>
        </w:rPr>
        <w:t>יוסל׳ה</w:t>
      </w:r>
      <w:proofErr w:type="spellEnd"/>
      <w:r>
        <w:rPr>
          <w:rtl/>
        </w:rPr>
        <w:t xml:space="preserve"> עשוי היה להסכים שר׳ </w:t>
      </w:r>
      <w:proofErr w:type="spellStart"/>
      <w:r>
        <w:rPr>
          <w:rtl/>
        </w:rPr>
        <w:t>איצל׳ה</w:t>
      </w:r>
      <w:proofErr w:type="spellEnd"/>
      <w:r>
        <w:rPr>
          <w:rtl/>
        </w:rPr>
        <w:t xml:space="preserve"> היה “</w:t>
      </w:r>
      <w:proofErr w:type="spellStart"/>
      <w:r>
        <w:rPr>
          <w:rtl/>
        </w:rPr>
        <w:t>קליגער</w:t>
      </w:r>
      <w:proofErr w:type="spellEnd"/>
      <w:r>
        <w:rPr>
          <w:rtl/>
        </w:rPr>
        <w:t xml:space="preserve"> ווי </w:t>
      </w:r>
      <w:proofErr w:type="spellStart"/>
      <w:r>
        <w:rPr>
          <w:rtl/>
        </w:rPr>
        <w:t>פרימער</w:t>
      </w:r>
      <w:proofErr w:type="spellEnd"/>
      <w:r>
        <w:rPr>
          <w:rtl/>
        </w:rPr>
        <w:t xml:space="preserve">”, אבל לא במובן המגונה שבו ראה אותו ר׳ </w:t>
      </w:r>
      <w:proofErr w:type="spellStart"/>
      <w:r>
        <w:rPr>
          <w:rtl/>
        </w:rPr>
        <w:t>דוד־טעביל</w:t>
      </w:r>
      <w:proofErr w:type="spellEnd"/>
      <w:r>
        <w:rPr>
          <w:rtl/>
        </w:rPr>
        <w:t xml:space="preserve">. לדעת ר׳ </w:t>
      </w:r>
      <w:proofErr w:type="spellStart"/>
      <w:r>
        <w:rPr>
          <w:rtl/>
        </w:rPr>
        <w:t>יוסל׳ה</w:t>
      </w:r>
      <w:proofErr w:type="spellEnd"/>
      <w:r>
        <w:rPr>
          <w:rtl/>
        </w:rPr>
        <w:t xml:space="preserve">, ר׳ </w:t>
      </w:r>
      <w:proofErr w:type="spellStart"/>
      <w:r>
        <w:rPr>
          <w:rtl/>
        </w:rPr>
        <w:t>איצל׳ה</w:t>
      </w:r>
      <w:proofErr w:type="spellEnd"/>
      <w:r>
        <w:rPr>
          <w:rtl/>
        </w:rPr>
        <w:t xml:space="preserve"> היה כפי שתיאר </w:t>
      </w:r>
      <w:r>
        <w:rPr>
          <w:rtl/>
        </w:rPr>
        <w:lastRenderedPageBreak/>
        <w:t xml:space="preserve">הגאון מווילנה את רבם, אביו של ר׳ </w:t>
      </w:r>
      <w:proofErr w:type="spellStart"/>
      <w:r>
        <w:rPr>
          <w:rtl/>
        </w:rPr>
        <w:t>איצל׳ה</w:t>
      </w:r>
      <w:proofErr w:type="spellEnd"/>
      <w:r>
        <w:rPr>
          <w:rtl/>
        </w:rPr>
        <w:t xml:space="preserve">: הגאון אמר לתלמידו הגדול ר׳ חיים </w:t>
      </w:r>
      <w:proofErr w:type="spellStart"/>
      <w:r>
        <w:rPr>
          <w:rtl/>
        </w:rPr>
        <w:t>מוולוז׳ין</w:t>
      </w:r>
      <w:proofErr w:type="spellEnd"/>
      <w:r>
        <w:rPr>
          <w:rtl/>
        </w:rPr>
        <w:t xml:space="preserve"> שהוא </w:t>
      </w:r>
      <w:proofErr w:type="spellStart"/>
      <w:r>
        <w:rPr>
          <w:rtl/>
        </w:rPr>
        <w:t>קלוג</w:t>
      </w:r>
      <w:proofErr w:type="spellEnd"/>
      <w:r>
        <w:rPr>
          <w:rtl/>
        </w:rPr>
        <w:t xml:space="preserve"> [פיקח] – ברמיזה שהוא “</w:t>
      </w:r>
      <w:proofErr w:type="spellStart"/>
      <w:r>
        <w:rPr>
          <w:rtl/>
        </w:rPr>
        <w:t>קליגער</w:t>
      </w:r>
      <w:proofErr w:type="spellEnd"/>
      <w:r>
        <w:rPr>
          <w:rtl/>
        </w:rPr>
        <w:t xml:space="preserve"> ווי </w:t>
      </w:r>
      <w:proofErr w:type="spellStart"/>
      <w:r>
        <w:rPr>
          <w:rtl/>
        </w:rPr>
        <w:t>פרימער</w:t>
      </w:r>
      <w:proofErr w:type="spellEnd"/>
      <w:r>
        <w:rPr>
          <w:rtl/>
        </w:rPr>
        <w:t>”. ר׳ חיים נבהל, עד שהוסיף הגאון: “אתה אדוק במידה שראוי להיות, ומלבד זאת פיקח עוד יותר – ואין בכך פסול”</w:t>
      </w:r>
      <w:bookmarkStart w:id="5816" w:name="_fnr4440"/>
      <w:r>
        <w:rPr>
          <w:vertAlign w:val="superscript"/>
          <w:rtl/>
        </w:rPr>
        <w:footnoteReference w:id="4450" w:customMarkFollows="0"/>
      </w:r>
      <w:bookmarkEnd w:id="5816"/>
      <w:r>
        <w:rPr>
          <w:rtl/>
        </w:rPr>
        <w:t xml:space="preserve">. כשכינה ר׳ </w:t>
      </w:r>
      <w:proofErr w:type="spellStart"/>
      <w:r>
        <w:rPr>
          <w:rtl/>
        </w:rPr>
        <w:t>יוסל׳ה</w:t>
      </w:r>
      <w:proofErr w:type="spellEnd"/>
      <w:r>
        <w:rPr>
          <w:rtl/>
        </w:rPr>
        <w:t xml:space="preserve"> את ר׳ </w:t>
      </w:r>
      <w:proofErr w:type="spellStart"/>
      <w:r>
        <w:rPr>
          <w:rtl/>
        </w:rPr>
        <w:t>איצל׳ה</w:t>
      </w:r>
      <w:proofErr w:type="spellEnd"/>
      <w:r>
        <w:rPr>
          <w:rtl/>
        </w:rPr>
        <w:t xml:space="preserve"> “שר”, עשוי היה להתכוון שהיה פיקח במיוחד, מעבר למידת אדיקותו, שלא הייתה פחותה מן הראוי. בלשון יידיש אומרים על אדם פיקח במיוחד: “יש לו מוח של שר”.</w:t>
      </w:r>
    </w:p>
    <w:p w14:paraId="60F51137" w14:textId="664909E4" w:rsidR="00AB3647" w:rsidRDefault="00000000" w:rsidP="007923E9">
      <w:pPr>
        <w:spacing w:after="120" w:line="276" w:lineRule="auto"/>
        <w:ind w:firstLine="283"/>
        <w:jc w:val="both"/>
      </w:pPr>
      <w:r>
        <w:rPr>
          <w:rtl/>
        </w:rPr>
        <w:t xml:space="preserve">שני החברים </w:t>
      </w:r>
      <w:proofErr w:type="spellStart"/>
      <w:r>
        <w:rPr>
          <w:rtl/>
        </w:rPr>
        <w:t>מוולוז׳ין</w:t>
      </w:r>
      <w:proofErr w:type="spellEnd"/>
      <w:r>
        <w:rPr>
          <w:rtl/>
        </w:rPr>
        <w:t xml:space="preserve"> הכירו את ר׳ </w:t>
      </w:r>
      <w:proofErr w:type="spellStart"/>
      <w:r>
        <w:rPr>
          <w:rtl/>
        </w:rPr>
        <w:t>איצל׳ה</w:t>
      </w:r>
      <w:proofErr w:type="spellEnd"/>
      <w:r>
        <w:rPr>
          <w:rtl/>
        </w:rPr>
        <w:t xml:space="preserve"> מימי לימודיהם בישיבה. אם נבחן את מחלוקתם במבט אובייקטיבי, עלינו לשער שהערכתו של ר׳ </w:t>
      </w:r>
      <w:proofErr w:type="spellStart"/>
      <w:r>
        <w:rPr>
          <w:rtl/>
        </w:rPr>
        <w:t>דוד־טעביל</w:t>
      </w:r>
      <w:proofErr w:type="spellEnd"/>
      <w:r>
        <w:rPr>
          <w:rtl/>
        </w:rPr>
        <w:t xml:space="preserve"> הייתה מדויקת יותר משל ר׳ </w:t>
      </w:r>
      <w:proofErr w:type="spellStart"/>
      <w:r>
        <w:rPr>
          <w:rtl/>
        </w:rPr>
        <w:t>יוסל׳ה</w:t>
      </w:r>
      <w:proofErr w:type="spellEnd"/>
      <w:r>
        <w:rPr>
          <w:rtl/>
        </w:rPr>
        <w:t xml:space="preserve">, מכמה טעמים: ר׳ </w:t>
      </w:r>
      <w:proofErr w:type="spellStart"/>
      <w:r>
        <w:rPr>
          <w:rtl/>
        </w:rPr>
        <w:t>דוד־טעביל</w:t>
      </w:r>
      <w:proofErr w:type="spellEnd"/>
      <w:r>
        <w:rPr>
          <w:rtl/>
        </w:rPr>
        <w:t xml:space="preserve"> היה “חכם נמרץ”</w:t>
      </w:r>
      <w:bookmarkStart w:id="5817" w:name="_fnr4441"/>
      <w:r>
        <w:rPr>
          <w:vertAlign w:val="superscript"/>
          <w:rtl/>
        </w:rPr>
        <w:footnoteReference w:id="4451" w:customMarkFollows="0"/>
      </w:r>
      <w:bookmarkEnd w:id="5817"/>
      <w:r>
        <w:rPr>
          <w:rtl/>
        </w:rPr>
        <w:t xml:space="preserve">; הוא היה בוגר יותר כשעזב את </w:t>
      </w:r>
      <w:proofErr w:type="spellStart"/>
      <w:r>
        <w:rPr>
          <w:rtl/>
        </w:rPr>
        <w:t>וולוז׳ין</w:t>
      </w:r>
      <w:proofErr w:type="spellEnd"/>
      <w:r>
        <w:rPr>
          <w:rtl/>
        </w:rPr>
        <w:t xml:space="preserve">; ו[מסתבר] שהיה מתמיד פחות בלימודו מר׳ </w:t>
      </w:r>
      <w:proofErr w:type="spellStart"/>
      <w:r>
        <w:rPr>
          <w:rtl/>
        </w:rPr>
        <w:t>יוסל׳ה</w:t>
      </w:r>
      <w:proofErr w:type="spellEnd"/>
      <w:r>
        <w:rPr>
          <w:rtl/>
        </w:rPr>
        <w:t xml:space="preserve">, ולכן היה לו פנאי רב יותר להעריך את סביבתו. השווה גם פרק 2, סוף </w:t>
      </w:r>
      <w:r>
        <w:rPr>
          <w:rtl/>
        </w:rPr>
        <w:fldChar w:fldCharType="begin" w:dirty="true"/>
      </w:r>
      <w:r>
        <w:rPr>
          <w:rtl/>
        </w:rPr>
        <w:instrText xml:space="preserve"> REF b2_excA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34A26809"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חשב אז רגעים אחדים על מחציתה השנייה של אמרת ר׳ </w:t>
      </w:r>
      <w:proofErr w:type="spellStart"/>
      <w:r>
        <w:rPr>
          <w:rtl/>
        </w:rPr>
        <w:t>דוד־טעביל</w:t>
      </w:r>
      <w:proofErr w:type="spellEnd"/>
      <w:r>
        <w:rPr>
          <w:rtl/>
        </w:rPr>
        <w:t xml:space="preserve"> על ר׳ </w:t>
      </w:r>
      <w:proofErr w:type="spellStart"/>
      <w:r>
        <w:rPr>
          <w:rtl/>
        </w:rPr>
        <w:t>איצל׳ה</w:t>
      </w:r>
      <w:proofErr w:type="spellEnd"/>
      <w:r>
        <w:rPr>
          <w:rtl/>
        </w:rPr>
        <w:t xml:space="preserve">, ואמר: “ר׳ </w:t>
      </w:r>
      <w:proofErr w:type="spellStart"/>
      <w:r>
        <w:rPr>
          <w:rtl/>
        </w:rPr>
        <w:t>איצל׳ה</w:t>
      </w:r>
      <w:proofErr w:type="spellEnd"/>
      <w:r>
        <w:rPr>
          <w:rtl/>
        </w:rPr>
        <w:t xml:space="preserve"> נפטר </w:t>
      </w:r>
      <w:proofErr w:type="spellStart"/>
      <w:r>
        <w:rPr>
          <w:rtl/>
        </w:rPr>
        <w:t>באיווניץ</w:t>
      </w:r>
      <w:proofErr w:type="spellEnd"/>
      <w:r>
        <w:rPr>
          <w:rtl/>
        </w:rPr>
        <w:t xml:space="preserve">, עיירה המרוחקת כעשרים ושלושה קילומטר </w:t>
      </w:r>
      <w:proofErr w:type="spellStart"/>
      <w:r>
        <w:rPr>
          <w:rtl/>
        </w:rPr>
        <w:t>מוולוז׳ין</w:t>
      </w:r>
      <w:proofErr w:type="spellEnd"/>
      <w:r>
        <w:rPr>
          <w:rtl/>
        </w:rPr>
        <w:t xml:space="preserve">, שם ביקר אצל בתו, ונקבר שם. מדוע לא הביאוהו </w:t>
      </w:r>
      <w:proofErr w:type="spellStart"/>
      <w:r>
        <w:rPr>
          <w:rtl/>
        </w:rPr>
        <w:t>לוולוז׳ין</w:t>
      </w:r>
      <w:proofErr w:type="spellEnd"/>
      <w:r>
        <w:rPr>
          <w:rtl/>
        </w:rPr>
        <w:t xml:space="preserve"> להיקבר ליד אביו הגדול? אולי העיר שבה נפטר לא הניחה להוציאו – כפי שעושים החסידים כשרבי חסידי מעיר אחרת נפטר בקרבם. ר׳ </w:t>
      </w:r>
      <w:proofErr w:type="spellStart"/>
      <w:r>
        <w:rPr>
          <w:rtl/>
        </w:rPr>
        <w:t>דוד־טעביל</w:t>
      </w:r>
      <w:proofErr w:type="spellEnd"/>
      <w:r>
        <w:rPr>
          <w:rtl/>
        </w:rPr>
        <w:t xml:space="preserve"> התכוון לומר: ‘מפני שר׳ </w:t>
      </w:r>
      <w:proofErr w:type="spellStart"/>
      <w:r>
        <w:rPr>
          <w:rtl/>
        </w:rPr>
        <w:t>איצל׳ה</w:t>
      </w:r>
      <w:proofErr w:type="spellEnd"/>
      <w:r>
        <w:rPr>
          <w:rtl/>
        </w:rPr>
        <w:t xml:space="preserve"> חי כרבי חסידי – שהיה פיקח יותר מאשר אדוק – מת כרבי חסידי ולא זכה להיקבר ליד אביו הגדול בבית העלמין של </w:t>
      </w:r>
      <w:proofErr w:type="spellStart"/>
      <w:r>
        <w:rPr>
          <w:rtl/>
        </w:rPr>
        <w:t>וולוז׳ין</w:t>
      </w:r>
      <w:proofErr w:type="spellEnd"/>
      <w:r>
        <w:rPr>
          <w:rtl/>
        </w:rPr>
        <w:t>’”.</w:t>
      </w:r>
    </w:p>
    <w:p w14:paraId="557E01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שקל את הצעתי, שאולי נקבר ר׳ </w:t>
      </w:r>
      <w:proofErr w:type="spellStart"/>
      <w:r>
        <w:rPr>
          <w:rtl/>
        </w:rPr>
        <w:t>איצל׳ה</w:t>
      </w:r>
      <w:proofErr w:type="spellEnd"/>
      <w:r>
        <w:rPr>
          <w:rtl/>
        </w:rPr>
        <w:t xml:space="preserve"> במקום שבו נפטר מפני שנפטר בערב שבת. אך ר׳ </w:t>
      </w:r>
      <w:proofErr w:type="spellStart"/>
      <w:r>
        <w:rPr>
          <w:rtl/>
        </w:rPr>
        <w:t>משולם־דוד</w:t>
      </w:r>
      <w:proofErr w:type="spellEnd"/>
      <w:r>
        <w:rPr>
          <w:rtl/>
        </w:rPr>
        <w:t xml:space="preserve"> דחה אותה, שכן אילו הייתה הבעיה השבת, היו יכולים לקבור את ר׳ </w:t>
      </w:r>
      <w:proofErr w:type="spellStart"/>
      <w:r>
        <w:rPr>
          <w:rtl/>
        </w:rPr>
        <w:t>איצל׳ה</w:t>
      </w:r>
      <w:proofErr w:type="spellEnd"/>
      <w:r>
        <w:rPr>
          <w:rtl/>
        </w:rPr>
        <w:t xml:space="preserve"> בתנאי שיעבירוהו </w:t>
      </w:r>
      <w:proofErr w:type="spellStart"/>
      <w:r>
        <w:rPr>
          <w:rtl/>
        </w:rPr>
        <w:t>לוולוז׳ין</w:t>
      </w:r>
      <w:proofErr w:type="spellEnd"/>
      <w:r>
        <w:rPr>
          <w:rtl/>
        </w:rPr>
        <w:t xml:space="preserve"> לאחר השבת – וגם בלי תנאי זה מותר להעביר נפטר קבור לקבורת משפחה</w:t>
      </w:r>
      <w:bookmarkStart w:id="5818" w:name="_fnr4442"/>
      <w:r>
        <w:rPr>
          <w:vertAlign w:val="superscript"/>
          <w:rtl/>
        </w:rPr>
        <w:footnoteReference w:id="4452" w:customMarkFollows="0"/>
      </w:r>
      <w:bookmarkEnd w:id="5818"/>
      <w:r>
        <w:rPr>
          <w:rtl/>
        </w:rPr>
        <w:t>.</w:t>
      </w:r>
    </w:p>
    <w:p w14:paraId="5E00085E" w14:textId="77777777" w:rsidR="00AB3647" w:rsidRDefault="00000000" w:rsidP="007923E9">
      <w:pPr>
        <w:spacing w:after="120" w:line="276" w:lineRule="auto"/>
        <w:ind w:firstLine="283"/>
        <w:jc w:val="both"/>
      </w:pPr>
      <w:r>
        <w:rPr>
          <w:rtl/>
        </w:rPr>
        <w:t xml:space="preserve">לפי ר׳ </w:t>
      </w:r>
      <w:proofErr w:type="spellStart"/>
      <w:r>
        <w:rPr>
          <w:rtl/>
        </w:rPr>
        <w:t>אברהם־ישעיה</w:t>
      </w:r>
      <w:proofErr w:type="spellEnd"/>
      <w:r>
        <w:rPr>
          <w:rtl/>
        </w:rPr>
        <w:t xml:space="preserve"> </w:t>
      </w:r>
      <w:proofErr w:type="spellStart"/>
      <w:r>
        <w:rPr>
          <w:rtl/>
        </w:rPr>
        <w:t>אלינסון</w:t>
      </w:r>
      <w:bookmarkStart w:id="5819" w:name="_fnr4443"/>
      <w:proofErr w:type="spellEnd"/>
      <w:r>
        <w:rPr>
          <w:vertAlign w:val="superscript"/>
          <w:rtl/>
        </w:rPr>
        <w:footnoteReference w:id="4453" w:customMarkFollows="0"/>
      </w:r>
      <w:bookmarkEnd w:id="5819"/>
      <w:r>
        <w:rPr>
          <w:rtl/>
        </w:rPr>
        <w:t xml:space="preserve">, מספרים בחוגי </w:t>
      </w:r>
      <w:proofErr w:type="spellStart"/>
      <w:r>
        <w:rPr>
          <w:rtl/>
        </w:rPr>
        <w:t>בריסק</w:t>
      </w:r>
      <w:proofErr w:type="spellEnd"/>
      <w:r>
        <w:rPr>
          <w:rtl/>
        </w:rPr>
        <w:t xml:space="preserve"> בירושלים שאף שר׳ </w:t>
      </w:r>
      <w:proofErr w:type="spellStart"/>
      <w:r>
        <w:rPr>
          <w:rtl/>
        </w:rPr>
        <w:t>איצל׳ה</w:t>
      </w:r>
      <w:proofErr w:type="spellEnd"/>
      <w:r>
        <w:rPr>
          <w:rtl/>
        </w:rPr>
        <w:t xml:space="preserve"> לא נקבר ליד אביו, נתקיימה בדרך עקיפה המשאלה שהביע בחייו, שהוא “רוצה לשכב ליד ר׳ חיים”: כשנפטר במפתיע </w:t>
      </w:r>
      <w:proofErr w:type="spellStart"/>
      <w:r>
        <w:rPr>
          <w:rtl/>
        </w:rPr>
        <w:t>באיווניץ</w:t>
      </w:r>
      <w:proofErr w:type="spellEnd"/>
      <w:r>
        <w:rPr>
          <w:rtl/>
        </w:rPr>
        <w:t xml:space="preserve">, נקבר בבית העלמין שבו היה קבור הצדיק הגדול ר׳ חיים </w:t>
      </w:r>
      <w:proofErr w:type="spellStart"/>
      <w:r>
        <w:rPr>
          <w:rtl/>
        </w:rPr>
        <w:t>ז׳לודקר</w:t>
      </w:r>
      <w:proofErr w:type="spellEnd"/>
      <w:r>
        <w:rPr>
          <w:rtl/>
        </w:rPr>
        <w:t xml:space="preserve">. אדיקותו של </w:t>
      </w:r>
      <w:proofErr w:type="spellStart"/>
      <w:r>
        <w:rPr>
          <w:rtl/>
        </w:rPr>
        <w:t>הז׳לודקר</w:t>
      </w:r>
      <w:proofErr w:type="spellEnd"/>
      <w:r>
        <w:rPr>
          <w:rtl/>
        </w:rPr>
        <w:t xml:space="preserve"> הייתה מופלגת כל כך, עד שאמרו שתפילותיו נענות תמיד בחיוב – עד כדי כך שר׳ חיים </w:t>
      </w:r>
      <w:proofErr w:type="spellStart"/>
      <w:r>
        <w:rPr>
          <w:rtl/>
        </w:rPr>
        <w:t>מוולוז׳ין</w:t>
      </w:r>
      <w:proofErr w:type="spellEnd"/>
      <w:r>
        <w:rPr>
          <w:rtl/>
        </w:rPr>
        <w:t xml:space="preserve"> פסק שבמקרה של סכנת חיים מותר לנסוע אל ר׳ חיים </w:t>
      </w:r>
      <w:proofErr w:type="spellStart"/>
      <w:r>
        <w:rPr>
          <w:rtl/>
        </w:rPr>
        <w:t>ז׳לודקר</w:t>
      </w:r>
      <w:proofErr w:type="spellEnd"/>
      <w:r>
        <w:rPr>
          <w:rtl/>
        </w:rPr>
        <w:t xml:space="preserve"> בסוס ועגלה בשבת, כדי לבקש שיתפלל לפני הקב״ה</w:t>
      </w:r>
      <w:bookmarkStart w:id="5820" w:name="_fnr4444"/>
      <w:bookmarkStart w:id="5821" w:name="pr_f_4327"/>
      <w:r>
        <w:rPr>
          <w:vertAlign w:val="superscript"/>
          <w:rtl/>
        </w:rPr>
        <w:footnoteReference w:id="4454" w:customMarkFollows="0"/>
      </w:r>
      <w:bookmarkEnd w:id="5820"/>
      <w:bookmarkEnd w:id="5821"/>
      <w:r>
        <w:rPr>
          <w:rtl/>
        </w:rPr>
        <w:t>.</w:t>
      </w:r>
    </w:p>
    <w:p w14:paraId="424DE301" w14:textId="77777777" w:rsidR="00AB3647" w:rsidRDefault="00000000" w:rsidP="007923E9">
      <w:pPr>
        <w:spacing w:after="120" w:line="276" w:lineRule="auto"/>
        <w:ind w:firstLine="283"/>
        <w:jc w:val="both"/>
      </w:pPr>
      <w:r>
        <w:rPr>
          <w:rtl/>
        </w:rPr>
        <w:lastRenderedPageBreak/>
        <w:t xml:space="preserve">אין לקבל כפשוטו את המעשה </w:t>
      </w:r>
      <w:proofErr w:type="spellStart"/>
      <w:r>
        <w:rPr>
          <w:rtl/>
        </w:rPr>
        <w:t>הבריסקאי</w:t>
      </w:r>
      <w:proofErr w:type="spellEnd"/>
      <w:r>
        <w:rPr>
          <w:rtl/>
        </w:rPr>
        <w:t xml:space="preserve"> על משאלתו של ר׳ </w:t>
      </w:r>
      <w:proofErr w:type="spellStart"/>
      <w:r>
        <w:rPr>
          <w:rtl/>
        </w:rPr>
        <w:t>איצל׳ה</w:t>
      </w:r>
      <w:proofErr w:type="spellEnd"/>
      <w:r>
        <w:rPr>
          <w:rtl/>
        </w:rPr>
        <w:t xml:space="preserve">, שהרי ודאי לא היה מכנה את אביו “ר׳ חיים”. עלינו אפוא להבין מסורת זו כך: כדי להצדיק את קבורתו </w:t>
      </w:r>
      <w:proofErr w:type="spellStart"/>
      <w:r>
        <w:rPr>
          <w:rtl/>
        </w:rPr>
        <w:t>באיווניץ</w:t>
      </w:r>
      <w:proofErr w:type="spellEnd"/>
      <w:r>
        <w:rPr>
          <w:rtl/>
        </w:rPr>
        <w:t xml:space="preserve"> ולא </w:t>
      </w:r>
      <w:proofErr w:type="spellStart"/>
      <w:r>
        <w:rPr>
          <w:rtl/>
        </w:rPr>
        <w:t>בוולוז׳ין</w:t>
      </w:r>
      <w:proofErr w:type="spellEnd"/>
      <w:r>
        <w:rPr>
          <w:rtl/>
        </w:rPr>
        <w:t xml:space="preserve">, אמרו הבריות שר׳ </w:t>
      </w:r>
      <w:proofErr w:type="spellStart"/>
      <w:r>
        <w:rPr>
          <w:rtl/>
        </w:rPr>
        <w:t>איצל׳ה</w:t>
      </w:r>
      <w:proofErr w:type="spellEnd"/>
      <w:r>
        <w:rPr>
          <w:rtl/>
        </w:rPr>
        <w:t xml:space="preserve"> הובא למנוחות, אם לא ליד ר׳ חיים גדול אחד (אביו), ליד ר׳ חיים גדול אחר (</w:t>
      </w:r>
      <w:proofErr w:type="spellStart"/>
      <w:r>
        <w:rPr>
          <w:rtl/>
        </w:rPr>
        <w:t>מז׳לודוק</w:t>
      </w:r>
      <w:proofErr w:type="spellEnd"/>
      <w:r>
        <w:rPr>
          <w:rtl/>
        </w:rPr>
        <w:t xml:space="preserve">). הצורך בהתנצלות מוכיח שהרגישו שר׳ </w:t>
      </w:r>
      <w:proofErr w:type="spellStart"/>
      <w:r>
        <w:rPr>
          <w:rtl/>
        </w:rPr>
        <w:t>איצל׳ה</w:t>
      </w:r>
      <w:proofErr w:type="spellEnd"/>
      <w:r>
        <w:rPr>
          <w:rtl/>
        </w:rPr>
        <w:t xml:space="preserve"> נקבר במקום שאינו מקומו – כנראה מפני שהעיירה עמדה על כך שישאירוהו בתחומה, כפי שהיה עשוי לקרות ברבי חסידי.</w:t>
      </w:r>
    </w:p>
    <w:p w14:paraId="410A6392" w14:textId="77777777" w:rsidR="00AB3647" w:rsidRDefault="00000000" w:rsidP="007923E9">
      <w:pPr>
        <w:spacing w:after="120" w:line="276" w:lineRule="auto"/>
        <w:ind w:firstLine="283"/>
        <w:jc w:val="both"/>
      </w:pPr>
      <w:r>
        <w:rPr>
          <w:rtl/>
        </w:rPr>
        <w:t xml:space="preserve">לאור זאת אפשר להבין גם את מה שעשתה העיר אחרי הקבורה, כפי שמתאר </w:t>
      </w:r>
      <w:proofErr w:type="spellStart"/>
      <w:r>
        <w:rPr>
          <w:rtl/>
        </w:rPr>
        <w:t>הנצי״ב</w:t>
      </w:r>
      <w:proofErr w:type="spellEnd"/>
      <w:r>
        <w:rPr>
          <w:rtl/>
        </w:rPr>
        <w:t xml:space="preserve"> </w:t>
      </w:r>
      <w:proofErr w:type="spellStart"/>
      <w:r>
        <w:rPr>
          <w:rtl/>
        </w:rPr>
        <w:t>בשו״ת</w:t>
      </w:r>
      <w:proofErr w:type="spellEnd"/>
      <w:r>
        <w:rPr>
          <w:rtl/>
        </w:rPr>
        <w:t xml:space="preserve"> “משיב דבר”</w:t>
      </w:r>
      <w:bookmarkStart w:id="5822" w:name="_fnr4445"/>
      <w:r>
        <w:rPr>
          <w:vertAlign w:val="superscript"/>
          <w:rtl/>
        </w:rPr>
        <w:footnoteReference w:id="4455" w:customMarkFollows="0"/>
      </w:r>
      <w:bookmarkEnd w:id="5822"/>
      <w:r>
        <w:rPr>
          <w:rtl/>
        </w:rPr>
        <w:t>. בנו ר׳ חיים ברלין שאל אותו על המנהג הכללי ללמוד תורה בבית האבל, שנראה סותר את הגמרא, “חכם שמת בית מדרשו בטל”</w:t>
      </w:r>
      <w:bookmarkStart w:id="5823" w:name="_fnr4446"/>
      <w:r>
        <w:rPr>
          <w:vertAlign w:val="superscript"/>
          <w:rtl/>
        </w:rPr>
        <w:footnoteReference w:id="4456" w:customMarkFollows="0"/>
      </w:r>
      <w:bookmarkEnd w:id="5823"/>
      <w:r>
        <w:rPr>
          <w:rtl/>
        </w:rPr>
        <w:t xml:space="preserve">, </w:t>
      </w:r>
      <w:proofErr w:type="spellStart"/>
      <w:r>
        <w:rPr>
          <w:rtl/>
        </w:rPr>
        <w:t>והנצי״ב</w:t>
      </w:r>
      <w:proofErr w:type="spellEnd"/>
      <w:r>
        <w:rPr>
          <w:rtl/>
        </w:rPr>
        <w:t xml:space="preserve"> השיב שהדבר חל רק על תלמידי החכם, ולא על “חבריו וכיוצא בהם”. הוא מוסיף ומספר: “בפטירת חותני הגאון ז״ל ר׳ </w:t>
      </w:r>
      <w:proofErr w:type="spellStart"/>
      <w:r>
        <w:rPr>
          <w:rtl/>
        </w:rPr>
        <w:t>איצל׳ה</w:t>
      </w:r>
      <w:proofErr w:type="spellEnd"/>
      <w:r>
        <w:rPr>
          <w:rtl/>
        </w:rPr>
        <w:t xml:space="preserve"> עשינו כך: בבית המדרש של ישיבת </w:t>
      </w:r>
      <w:proofErr w:type="spellStart"/>
      <w:r>
        <w:rPr>
          <w:rtl/>
        </w:rPr>
        <w:t>וולוז׳ין</w:t>
      </w:r>
      <w:proofErr w:type="spellEnd"/>
      <w:r>
        <w:rPr>
          <w:rtl/>
        </w:rPr>
        <w:t xml:space="preserve"> בטלו, אך בכל זאת במקום שבו נפטר [</w:t>
      </w:r>
      <w:proofErr w:type="spellStart"/>
      <w:r>
        <w:rPr>
          <w:rtl/>
        </w:rPr>
        <w:t>איווניץ</w:t>
      </w:r>
      <w:proofErr w:type="spellEnd"/>
      <w:r>
        <w:rPr>
          <w:rtl/>
        </w:rPr>
        <w:t>] למדו עשרה אנשים מן השוק תורה לנחת רוח לנשמתו”.</w:t>
      </w:r>
    </w:p>
    <w:p w14:paraId="469AB972" w14:textId="77777777" w:rsidR="00AB3647" w:rsidRDefault="00000000" w:rsidP="007923E9">
      <w:pPr>
        <w:spacing w:after="120" w:line="276" w:lineRule="auto"/>
        <w:ind w:firstLine="283"/>
        <w:jc w:val="both"/>
      </w:pPr>
      <w:r>
        <w:rPr>
          <w:rtl/>
        </w:rPr>
        <w:t xml:space="preserve">ייתכן שאנשי </w:t>
      </w:r>
      <w:proofErr w:type="spellStart"/>
      <w:r>
        <w:rPr>
          <w:rtl/>
        </w:rPr>
        <w:t>איווניץ</w:t>
      </w:r>
      <w:proofErr w:type="spellEnd"/>
      <w:r>
        <w:rPr>
          <w:rtl/>
        </w:rPr>
        <w:t xml:space="preserve"> עשו מעשה בלתי רגיל זה מפני שחשו שבמידה מסוימת פגעו בר׳ </w:t>
      </w:r>
      <w:proofErr w:type="spellStart"/>
      <w:r>
        <w:rPr>
          <w:rtl/>
        </w:rPr>
        <w:t>איצל׳ה</w:t>
      </w:r>
      <w:proofErr w:type="spellEnd"/>
      <w:r>
        <w:rPr>
          <w:rtl/>
        </w:rPr>
        <w:t xml:space="preserve"> כשהשאירו אותו בעירם. אפשר עוד לשער שדווקא האנשים ששכנעו את ראשי העיר להשאיר את ר׳ </w:t>
      </w:r>
      <w:proofErr w:type="spellStart"/>
      <w:r>
        <w:rPr>
          <w:rtl/>
        </w:rPr>
        <w:t>איצל׳ה</w:t>
      </w:r>
      <w:proofErr w:type="spellEnd"/>
      <w:r>
        <w:rPr>
          <w:rtl/>
        </w:rPr>
        <w:t xml:space="preserve"> בעירם הם שלמדו תורה למענו, ומשום כך מכנה אותם </w:t>
      </w:r>
      <w:proofErr w:type="spellStart"/>
      <w:r>
        <w:rPr>
          <w:rtl/>
        </w:rPr>
        <w:t>הנצי״ב</w:t>
      </w:r>
      <w:proofErr w:type="spellEnd"/>
      <w:r>
        <w:rPr>
          <w:rtl/>
        </w:rPr>
        <w:t xml:space="preserve"> בלשון משונה “אנשים מן השוק”</w:t>
      </w:r>
      <w:bookmarkStart w:id="5824" w:name="_fnr4447"/>
      <w:r>
        <w:rPr>
          <w:vertAlign w:val="superscript"/>
          <w:rtl/>
        </w:rPr>
        <w:footnoteReference w:id="4457" w:customMarkFollows="0"/>
      </w:r>
      <w:bookmarkEnd w:id="5824"/>
      <w:r>
        <w:rPr>
          <w:rtl/>
        </w:rPr>
        <w:t>, ולא בפשטות “אנשי העיר”.</w:t>
      </w:r>
    </w:p>
    <w:p w14:paraId="38C92959" w14:textId="1B0D4F24" w:rsidR="00AB3647" w:rsidRDefault="00000000" w:rsidP="007923E9">
      <w:pPr>
        <w:spacing w:after="120" w:line="276" w:lineRule="auto"/>
        <w:ind w:firstLine="283"/>
        <w:jc w:val="both"/>
      </w:pPr>
      <w:bookmarkStart w:id="5825" w:name="pr_b_2480"/>
      <w:bookmarkEnd w:id="5825"/>
      <w:r>
        <w:rPr>
          <w:rtl/>
        </w:rPr>
        <w:t xml:space="preserve">ר׳ מאיר </w:t>
      </w:r>
      <w:proofErr w:type="spellStart"/>
      <w:r>
        <w:rPr>
          <w:rtl/>
        </w:rPr>
        <w:t>סולובייצ׳יק</w:t>
      </w:r>
      <w:proofErr w:type="spellEnd"/>
      <w:r>
        <w:rPr>
          <w:rtl/>
        </w:rPr>
        <w:t xml:space="preserve">, אחיו של ר׳ </w:t>
      </w:r>
      <w:proofErr w:type="spellStart"/>
      <w:r>
        <w:rPr>
          <w:rtl/>
        </w:rPr>
        <w:t>משולם־דוד</w:t>
      </w:r>
      <w:proofErr w:type="spellEnd"/>
      <w:r>
        <w:rPr>
          <w:rtl/>
        </w:rPr>
        <w:t>, גילה</w:t>
      </w:r>
      <w:bookmarkStart w:id="5826" w:name="_fnr4448"/>
      <w:r>
        <w:rPr>
          <w:vertAlign w:val="superscript"/>
          <w:rtl/>
        </w:rPr>
        <w:footnoteReference w:id="4458" w:customMarkFollows="0"/>
      </w:r>
      <w:bookmarkEnd w:id="5826"/>
      <w:r>
        <w:rPr>
          <w:rtl/>
        </w:rPr>
        <w:t xml:space="preserve"> שכאשר נפטר עוד אחד מבני בית הרב (ראה פרק 3, הערה </w:t>
      </w:r>
      <w:r>
        <w:rPr>
          <w:rtl/>
        </w:rPr>
        <w:fldChar w:fldCharType="begin" w:dirty="true"/>
      </w:r>
      <w:r>
        <w:rPr>
          <w:rtl/>
        </w:rPr>
        <w:instrText xml:space="preserve"> REF b3_note11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w:t>
      </w:r>
      <w:r>
        <w:rPr>
          <w:rtl/>
        </w:rPr>
        <w:fldChar w:fldCharType="end"/>
      </w:r>
      <w:r>
        <w:rPr>
          <w:rtl/>
        </w:rPr>
        <w:t xml:space="preserve">), ביקשה גם העיר שבה נפטר לקבור אותו בה. היה זה סבו של המרואיין, ר׳ חיים </w:t>
      </w:r>
      <w:proofErr w:type="spellStart"/>
      <w:r>
        <w:rPr>
          <w:rtl/>
        </w:rPr>
        <w:t>סולובייצ׳יק</w:t>
      </w:r>
      <w:proofErr w:type="spellEnd"/>
      <w:r>
        <w:rPr>
          <w:rtl/>
        </w:rPr>
        <w:t xml:space="preserve">, והעיירה הייתה </w:t>
      </w:r>
      <w:proofErr w:type="spellStart"/>
      <w:r>
        <w:rPr>
          <w:rtl/>
        </w:rPr>
        <w:t>אוטבוצק</w:t>
      </w:r>
      <w:proofErr w:type="spellEnd"/>
      <w:r>
        <w:rPr>
          <w:rtl/>
        </w:rPr>
        <w:t xml:space="preserve">, מקום נופש שלפי תיאורו של ר׳ מאיר היו בו בתים מרוחקים זה מזה, וכל אחד מהם מוקף חורשות. בנו של ר׳ חיים, ר׳ יצחק־זאב, אמר לבני העיירה שישאל את הצדיק ר׳ נפתלי </w:t>
      </w:r>
      <w:proofErr w:type="spellStart"/>
      <w:r>
        <w:rPr>
          <w:rtl/>
        </w:rPr>
        <w:t>זילברברג</w:t>
      </w:r>
      <w:proofErr w:type="spellEnd"/>
      <w:r>
        <w:rPr>
          <w:rtl/>
        </w:rPr>
        <w:t xml:space="preserve"> (</w:t>
      </w:r>
      <w:proofErr w:type="spellStart"/>
      <w:r>
        <w:rPr>
          <w:rtl/>
        </w:rPr>
        <w:t>הוויירושובר</w:t>
      </w:r>
      <w:proofErr w:type="spellEnd"/>
      <w:r>
        <w:rPr>
          <w:rtl/>
        </w:rPr>
        <w:t>)</w:t>
      </w:r>
      <w:bookmarkStart w:id="5827" w:name="_fnr4449"/>
      <w:r>
        <w:rPr>
          <w:vertAlign w:val="superscript"/>
          <w:rtl/>
        </w:rPr>
        <w:footnoteReference w:id="4459" w:customMarkFollows="0"/>
      </w:r>
      <w:bookmarkEnd w:id="5827"/>
      <w:r>
        <w:rPr>
          <w:rtl/>
        </w:rPr>
        <w:t xml:space="preserve">, מו״ץ גדול מוורשה שגם הוא נפש בעיירה, היכן ראוי להביא את הנפטר למנוחות. ר׳ מאיר סיפר שר׳ יצחק־זאב חשש לקבור את אביו בבית העלמין הקטן של </w:t>
      </w:r>
      <w:proofErr w:type="spellStart"/>
      <w:r>
        <w:rPr>
          <w:rtl/>
        </w:rPr>
        <w:t>אוטבוצק</w:t>
      </w:r>
      <w:proofErr w:type="spellEnd"/>
      <w:r>
        <w:rPr>
          <w:rtl/>
        </w:rPr>
        <w:t>, המרוחק מן העיירה, מפני שנפוצה שמועה שבמהומה ובמחסור ששררו בפולין בסוף מלחמת העולם הראשונה היו גויים חופרים קברים חדשים בעיירות קטנות כדי לגנוב את תכריכי המתים!</w:t>
      </w:r>
    </w:p>
    <w:p w14:paraId="18441A7E" w14:textId="77777777" w:rsidR="00AB3647" w:rsidRDefault="00000000" w:rsidP="007923E9">
      <w:pPr>
        <w:spacing w:after="120" w:line="276" w:lineRule="auto"/>
        <w:ind w:firstLine="283"/>
        <w:jc w:val="both"/>
      </w:pPr>
      <w:r>
        <w:rPr>
          <w:rtl/>
        </w:rPr>
        <w:lastRenderedPageBreak/>
        <w:t xml:space="preserve">ר׳ נפתלי </w:t>
      </w:r>
      <w:proofErr w:type="spellStart"/>
      <w:r>
        <w:rPr>
          <w:rtl/>
        </w:rPr>
        <w:t>זילברברג</w:t>
      </w:r>
      <w:proofErr w:type="spellEnd"/>
      <w:r>
        <w:rPr>
          <w:rtl/>
        </w:rPr>
        <w:t xml:space="preserve"> פסק שמפני </w:t>
      </w:r>
      <w:proofErr w:type="spellStart"/>
      <w:r>
        <w:rPr>
          <w:rtl/>
        </w:rPr>
        <w:t>ש“חתנו</w:t>
      </w:r>
      <w:proofErr w:type="spellEnd"/>
      <w:r>
        <w:rPr>
          <w:rtl/>
        </w:rPr>
        <w:t xml:space="preserve"> כבנו”</w:t>
      </w:r>
      <w:bookmarkStart w:id="5828" w:name="_fnr4450"/>
      <w:bookmarkStart w:id="5829" w:name="pr_f_4333"/>
      <w:r>
        <w:rPr>
          <w:vertAlign w:val="superscript"/>
          <w:rtl/>
        </w:rPr>
        <w:footnoteReference w:id="4460" w:customMarkFollows="0"/>
      </w:r>
      <w:bookmarkEnd w:id="5828"/>
      <w:bookmarkEnd w:id="5829"/>
      <w:r>
        <w:rPr>
          <w:rtl/>
        </w:rPr>
        <w:t xml:space="preserve">, ראוי שר׳ חיים ייקבר בבית העלמין בוורשה, שבו מצוי קבר “חותנו”</w:t>
      </w:r>
      <w:bookmarkStart w:id="5830" w:name="_fnr4451"/>
      <w:r>
        <w:rPr>
          <w:vertAlign w:val="superscript"/>
          <w:rtl/>
        </w:rPr>
        <w:footnoteReference w:id="4461" w:customMarkFollows="0"/>
      </w:r>
      <w:bookmarkEnd w:id="5830"/>
      <w:r>
        <w:rPr>
          <w:rtl/>
        </w:rPr>
        <w:t xml:space="preserve">, </w:t>
      </w:r>
      <w:proofErr w:type="spellStart"/>
      <w:r>
        <w:rPr>
          <w:rtl/>
        </w:rPr>
        <w:t>הנצי״ב</w:t>
      </w:r>
      <w:bookmarkStart w:id="5831" w:name="_fnr4452"/>
      <w:proofErr w:type="spellEnd"/>
      <w:r>
        <w:rPr>
          <w:vertAlign w:val="superscript"/>
          <w:rtl/>
        </w:rPr>
        <w:footnoteReference w:id="4462" w:customMarkFollows="0"/>
      </w:r>
      <w:bookmarkEnd w:id="5831"/>
      <w:r>
        <w:rPr>
          <w:rtl/>
        </w:rPr>
        <w:t xml:space="preserve">. </w:t>
      </w:r>
      <w:proofErr w:type="spellStart"/>
      <w:r>
        <w:rPr>
          <w:rtl/>
        </w:rPr>
        <w:t>באוטבוצק</w:t>
      </w:r>
      <w:proofErr w:type="spellEnd"/>
      <w:r>
        <w:rPr>
          <w:rtl/>
        </w:rPr>
        <w:t xml:space="preserve"> נשמעו הספדים גדולים, ובהם הספדו של הרבי </w:t>
      </w:r>
      <w:proofErr w:type="spellStart"/>
      <w:r>
        <w:rPr>
          <w:rtl/>
        </w:rPr>
        <w:t>מרדזין</w:t>
      </w:r>
      <w:proofErr w:type="spellEnd"/>
      <w:r>
        <w:rPr>
          <w:rtl/>
        </w:rPr>
        <w:t xml:space="preserve"> (ר׳ </w:t>
      </w:r>
      <w:proofErr w:type="spellStart"/>
      <w:r>
        <w:rPr>
          <w:rtl/>
        </w:rPr>
        <w:t>מרדכי־יוסף</w:t>
      </w:r>
      <w:proofErr w:type="spellEnd"/>
      <w:r>
        <w:rPr>
          <w:rtl/>
        </w:rPr>
        <w:t xml:space="preserve"> </w:t>
      </w:r>
      <w:proofErr w:type="spellStart"/>
      <w:r>
        <w:rPr>
          <w:rtl/>
        </w:rPr>
        <w:t>ליינר</w:t>
      </w:r>
      <w:proofErr w:type="spellEnd"/>
      <w:r>
        <w:rPr>
          <w:rtl/>
        </w:rPr>
        <w:t xml:space="preserve">), שגם הוא שהה אז בעיר, ואחר כך יצאה הלוויה לוורשה.</w:t>
      </w:r>
    </w:p>
    <w:p w14:paraId="07B9217A" w14:textId="77777777" w:rsidR="00AB3647" w:rsidRDefault="00000000" w:rsidP="007923E9">
      <w:pPr>
        <w:spacing w:after="120" w:line="276" w:lineRule="auto"/>
        <w:ind w:firstLine="283"/>
        <w:jc w:val="both"/>
      </w:pPr>
      <w:r>
        <w:rPr>
          <w:rtl/>
        </w:rPr>
        <w:t xml:space="preserve">ר׳ מאיר סיפר גם שראש הקהל בוורשה, ר׳ </w:t>
      </w:r>
      <w:proofErr w:type="spellStart"/>
      <w:r>
        <w:rPr>
          <w:rtl/>
        </w:rPr>
        <w:t>לייביש</w:t>
      </w:r>
      <w:proofErr w:type="spellEnd"/>
      <w:r>
        <w:rPr>
          <w:rtl/>
        </w:rPr>
        <w:t xml:space="preserve"> </w:t>
      </w:r>
      <w:proofErr w:type="spellStart"/>
      <w:r>
        <w:rPr>
          <w:rtl/>
        </w:rPr>
        <w:t>דוידזון</w:t>
      </w:r>
      <w:proofErr w:type="spellEnd"/>
      <w:r>
        <w:rPr>
          <w:rtl/>
        </w:rPr>
        <w:t xml:space="preserve"> – נכדו של רבה של ורשה ר׳ חיים </w:t>
      </w:r>
      <w:proofErr w:type="spellStart"/>
      <w:r>
        <w:rPr>
          <w:rtl/>
        </w:rPr>
        <w:t>דוידזון</w:t>
      </w:r>
      <w:proofErr w:type="spellEnd"/>
      <w:r>
        <w:rPr>
          <w:rtl/>
        </w:rPr>
        <w:t xml:space="preserve">, וחסידו של הנפטר – ביקש לקבור את ר׳ חיים </w:t>
      </w:r>
      <w:proofErr w:type="spellStart"/>
      <w:r>
        <w:rPr>
          <w:rtl/>
        </w:rPr>
        <w:t>סולובייצ׳יק</w:t>
      </w:r>
      <w:proofErr w:type="spellEnd"/>
      <w:r>
        <w:rPr>
          <w:rtl/>
        </w:rPr>
        <w:t xml:space="preserve"> במקום נפרד ומכובד בבית העלמין של ורשה. אבל במהלך מסע הלוויה הביע ר׳ יצחק־זאב את הסתייגותו באוזני ר׳ משה </w:t>
      </w:r>
      <w:proofErr w:type="spellStart"/>
      <w:r>
        <w:rPr>
          <w:rtl/>
        </w:rPr>
        <w:t>גווירצמן</w:t>
      </w:r>
      <w:proofErr w:type="spellEnd"/>
      <w:r>
        <w:rPr>
          <w:rtl/>
        </w:rPr>
        <w:t xml:space="preserve">, יליד </w:t>
      </w:r>
      <w:proofErr w:type="spellStart"/>
      <w:r>
        <w:rPr>
          <w:rtl/>
        </w:rPr>
        <w:t>בריסק</w:t>
      </w:r>
      <w:proofErr w:type="spellEnd"/>
      <w:r>
        <w:rPr>
          <w:rtl/>
        </w:rPr>
        <w:t xml:space="preserve"> שהיה מקורב </w:t>
      </w:r>
      <w:proofErr w:type="spellStart"/>
      <w:r>
        <w:rPr>
          <w:rtl/>
        </w:rPr>
        <w:t>לר</w:t>
      </w:r>
      <w:proofErr w:type="spellEnd"/>
      <w:r>
        <w:rPr>
          <w:rtl/>
        </w:rPr>
        <w:t xml:space="preserve">׳ חיים והתגורר </w:t>
      </w:r>
      <w:proofErr w:type="spellStart"/>
      <w:r>
        <w:rPr>
          <w:rtl/>
        </w:rPr>
        <w:t>בלודז</w:t>
      </w:r>
      <w:proofErr w:type="spellEnd"/>
      <w:r>
        <w:rPr>
          <w:rtl/>
        </w:rPr>
        <w:t xml:space="preserve">׳. ר׳ משה </w:t>
      </w:r>
      <w:proofErr w:type="spellStart"/>
      <w:r>
        <w:rPr>
          <w:rtl/>
        </w:rPr>
        <w:t>גווירצמן</w:t>
      </w:r>
      <w:proofErr w:type="spellEnd"/>
      <w:r>
        <w:rPr>
          <w:rtl/>
        </w:rPr>
        <w:t xml:space="preserve"> סבר בעצמו שיש להביא את ר׳ חיים למנוחות בחלקה נפרדת, ובכל זאת העביר לחברה קדישא את רצונו של בן הנפטר. ר׳ יצחק־זאב הסביר אחר כך מה חששו: אילו נקבר ר׳ חיים במקום נפרד, הייתה החברה קדישא בוורשה עושה עסק ממכירת חלקות ליד קברו במחירים מופרזים, מנהג שר׳ חיים לא היה מסכים לו.</w:t>
      </w:r>
    </w:p>
    <w:p w14:paraId="644606A8" w14:textId="77777777" w:rsidR="00AB3647" w:rsidRDefault="00000000" w:rsidP="007923E9">
      <w:pPr>
        <w:spacing w:after="120" w:line="276" w:lineRule="auto"/>
        <w:ind w:firstLine="283"/>
        <w:jc w:val="both"/>
      </w:pPr>
      <w:r>
        <w:rPr>
          <w:rtl/>
        </w:rPr>
        <w:t xml:space="preserve">לפיכך הוחלט לקבור את ר׳ חיים בתוך האוהל שבו היה קבר </w:t>
      </w:r>
      <w:proofErr w:type="spellStart"/>
      <w:r>
        <w:rPr>
          <w:rtl/>
        </w:rPr>
        <w:t>הנצי״ב</w:t>
      </w:r>
      <w:proofErr w:type="spellEnd"/>
      <w:r>
        <w:rPr>
          <w:rtl/>
        </w:rPr>
        <w:t xml:space="preserve">, ונאלצו להרוס את הקיר החיצוני של האוהל כדי שיוכל להכיל קבר נוסף. לאחר השואה, שבה נהרס האוהל המקורי, נבנה אוהל חדש, ובו קבורים </w:t>
      </w:r>
      <w:proofErr w:type="spellStart"/>
      <w:r>
        <w:rPr>
          <w:rtl/>
        </w:rPr>
        <w:t>הנצי״ב</w:t>
      </w:r>
      <w:proofErr w:type="spellEnd"/>
      <w:r>
        <w:rPr>
          <w:rtl/>
        </w:rPr>
        <w:t>, ר׳ חיים וחתנו ר׳ הירש גליקסון</w:t>
      </w:r>
      <w:bookmarkStart w:id="5832" w:name="_fnr4453"/>
      <w:r>
        <w:rPr>
          <w:vertAlign w:val="superscript"/>
          <w:rtl/>
        </w:rPr>
        <w:footnoteReference w:id="4463" w:customMarkFollows="0"/>
      </w:r>
      <w:bookmarkEnd w:id="5832"/>
      <w:r>
        <w:rPr>
          <w:rtl/>
        </w:rPr>
        <w:t>, שקברו היה קודם לכן מחוץ לאוהל.</w:t>
      </w:r>
    </w:p>
    <w:p w14:paraId="6D7A43DA" w14:textId="77777777" w:rsidR="00AB3647" w:rsidRDefault="00000000" w:rsidP="007923E9">
      <w:pPr>
        <w:spacing w:after="120" w:line="276" w:lineRule="auto"/>
        <w:ind w:firstLine="283"/>
        <w:jc w:val="both"/>
      </w:pPr>
      <w:r>
        <w:rPr>
          <w:rtl/>
        </w:rPr>
        <w:t xml:space="preserve">ר׳ מאיר </w:t>
      </w:r>
      <w:proofErr w:type="spellStart"/>
      <w:r>
        <w:rPr>
          <w:rtl/>
        </w:rPr>
        <w:t>סולובייצ׳יק</w:t>
      </w:r>
      <w:proofErr w:type="spellEnd"/>
      <w:r>
        <w:rPr>
          <w:rtl/>
        </w:rPr>
        <w:t xml:space="preserve"> דחה את השאלה מדוע לא הועבר ר׳ </w:t>
      </w:r>
      <w:proofErr w:type="spellStart"/>
      <w:r>
        <w:rPr>
          <w:rtl/>
        </w:rPr>
        <w:t>איצל׳ה</w:t>
      </w:r>
      <w:proofErr w:type="spellEnd"/>
      <w:r>
        <w:rPr>
          <w:rtl/>
        </w:rPr>
        <w:t xml:space="preserve"> </w:t>
      </w:r>
      <w:proofErr w:type="spellStart"/>
      <w:r>
        <w:rPr>
          <w:rtl/>
        </w:rPr>
        <w:t>מאיווניץ</w:t>
      </w:r>
      <w:proofErr w:type="spellEnd"/>
      <w:r>
        <w:rPr>
          <w:rtl/>
        </w:rPr>
        <w:t xml:space="preserve"> </w:t>
      </w:r>
      <w:proofErr w:type="spellStart"/>
      <w:r>
        <w:rPr>
          <w:rtl/>
        </w:rPr>
        <w:t>לוולוז׳ין</w:t>
      </w:r>
      <w:proofErr w:type="spellEnd"/>
      <w:r>
        <w:rPr>
          <w:rtl/>
        </w:rPr>
        <w:t xml:space="preserve"> לאחר השבת. הוא הסביר שהעוני באותה עת היה גדול כל כך – ר׳ </w:t>
      </w:r>
      <w:proofErr w:type="spellStart"/>
      <w:r>
        <w:rPr>
          <w:rtl/>
        </w:rPr>
        <w:t>איצל׳ה</w:t>
      </w:r>
      <w:proofErr w:type="spellEnd"/>
      <w:r>
        <w:rPr>
          <w:rtl/>
        </w:rPr>
        <w:t xml:space="preserve"> אף בא </w:t>
      </w:r>
      <w:proofErr w:type="spellStart"/>
      <w:r>
        <w:rPr>
          <w:rtl/>
        </w:rPr>
        <w:t>לאיווניץ</w:t>
      </w:r>
      <w:proofErr w:type="spellEnd"/>
      <w:r>
        <w:rPr>
          <w:rtl/>
        </w:rPr>
        <w:t xml:space="preserve"> לא רק לבקר אצל בתו, אלא כדי לאסוף כסף לישיבה הענייה – עד שהעברת גופתו לא הייתה אפשרות מעשית. “דבר כזה לא נשמע באותן שנים”, סיכם. עם זאת, באמרו “מת כרבי חסידי” עשוי היה ר׳ </w:t>
      </w:r>
      <w:proofErr w:type="spellStart"/>
      <w:r>
        <w:rPr>
          <w:rtl/>
        </w:rPr>
        <w:t>דוד־טעביל</w:t>
      </w:r>
      <w:proofErr w:type="spellEnd"/>
      <w:r>
        <w:rPr>
          <w:rtl/>
        </w:rPr>
        <w:t xml:space="preserve"> להתכוון לכך שבהשגחה אירע שר׳ </w:t>
      </w:r>
      <w:proofErr w:type="spellStart"/>
      <w:r>
        <w:rPr>
          <w:rtl/>
        </w:rPr>
        <w:t>איצל׳ה</w:t>
      </w:r>
      <w:proofErr w:type="spellEnd"/>
      <w:r>
        <w:rPr>
          <w:rtl/>
        </w:rPr>
        <w:t xml:space="preserve"> נפטר – ולכן נשאר קבור – במקום אחר מן המקום שבו היה אמור להימצא. מצב כזה היה עשוי לקרות הרבה יותר לרביים חסידיים (כאלה שהכיר ר׳ </w:t>
      </w:r>
      <w:proofErr w:type="spellStart"/>
      <w:r>
        <w:rPr>
          <w:rtl/>
        </w:rPr>
        <w:t>דוד־טעביל</w:t>
      </w:r>
      <w:proofErr w:type="spellEnd"/>
      <w:r>
        <w:rPr>
          <w:rtl/>
        </w:rPr>
        <w:t xml:space="preserve"> ברוסיה הלבנה</w:t>
      </w:r>
      <w:bookmarkStart w:id="5833" w:name="_fnr4454"/>
      <w:r>
        <w:rPr>
          <w:vertAlign w:val="superscript"/>
          <w:rtl/>
        </w:rPr>
        <w:footnoteReference w:id="4464" w:customMarkFollows="0"/>
      </w:r>
      <w:bookmarkEnd w:id="5833"/>
      <w:r>
        <w:rPr>
          <w:rtl/>
        </w:rPr>
        <w:t>), ששהו תקופות בקהילות השונות שבהן היו חסידיהם מפוזרים, מאשר לרבנים שחיו את שנותיהם בערים ששימשו בהן ברבנות</w:t>
      </w:r>
      <w:bookmarkStart w:id="5834" w:name="_fnr4455"/>
      <w:r>
        <w:rPr>
          <w:vertAlign w:val="superscript"/>
          <w:rtl/>
        </w:rPr>
        <w:footnoteReference w:id="4465" w:customMarkFollows="0"/>
      </w:r>
      <w:bookmarkEnd w:id="5834"/>
      <w:r>
        <w:rPr>
          <w:rtl/>
        </w:rPr>
        <w:t>.</w:t>
      </w:r>
    </w:p>
    <w:p w14:paraId="068A06D2" w14:textId="77777777" w:rsidR="00AB3647" w:rsidRDefault="00000000" w:rsidP="007923E9">
      <w:pPr>
        <w:spacing w:after="120" w:line="276" w:lineRule="auto"/>
        <w:ind w:firstLine="283"/>
        <w:jc w:val="both"/>
      </w:pPr>
      <w:r>
        <w:rPr>
          <w:rtl/>
        </w:rPr>
        <w:t xml:space="preserve">ר׳ </w:t>
      </w:r>
      <w:proofErr w:type="spellStart"/>
      <w:r>
        <w:rPr>
          <w:rtl/>
        </w:rPr>
        <w:t>אברהם־אביש</w:t>
      </w:r>
      <w:proofErr w:type="spellEnd"/>
      <w:r>
        <w:rPr>
          <w:rtl/>
        </w:rPr>
        <w:t xml:space="preserve"> שור הציע</w:t>
      </w:r>
      <w:bookmarkStart w:id="5835" w:name="_fnr4456"/>
      <w:r>
        <w:rPr>
          <w:vertAlign w:val="superscript"/>
          <w:rtl/>
        </w:rPr>
        <w:footnoteReference w:id="4466" w:customMarkFollows="0"/>
      </w:r>
      <w:bookmarkEnd w:id="5835"/>
      <w:r>
        <w:rPr>
          <w:rtl/>
        </w:rPr>
        <w:t xml:space="preserve"> שר׳ </w:t>
      </w:r>
      <w:proofErr w:type="spellStart"/>
      <w:r>
        <w:rPr>
          <w:rtl/>
        </w:rPr>
        <w:t>דוד־טעביל</w:t>
      </w:r>
      <w:proofErr w:type="spellEnd"/>
      <w:r>
        <w:rPr>
          <w:rtl/>
        </w:rPr>
        <w:t xml:space="preserve"> התכוון לרבי מסוים, שגם הוא שהה מחוץ לעירו כשנפטר, ונקבר </w:t>
      </w:r>
      <w:proofErr w:type="spellStart"/>
      <w:r>
        <w:rPr>
          <w:rtl/>
        </w:rPr>
        <w:t>באיווניץ</w:t>
      </w:r>
      <w:proofErr w:type="spellEnd"/>
      <w:r>
        <w:rPr>
          <w:rtl/>
        </w:rPr>
        <w:t xml:space="preserve"> למעלה מחצי מאה קודם לכן, </w:t>
      </w:r>
      <w:proofErr w:type="spellStart"/>
      <w:r>
        <w:rPr>
          <w:rtl/>
        </w:rPr>
        <w:t>בתקנ״ז</w:t>
      </w:r>
      <w:proofErr w:type="spellEnd"/>
      <w:r>
        <w:rPr>
          <w:rtl/>
        </w:rPr>
        <w:t xml:space="preserve">: ר׳ </w:t>
      </w:r>
      <w:proofErr w:type="spellStart"/>
      <w:r>
        <w:rPr>
          <w:rtl/>
        </w:rPr>
        <w:t>זאב־וולף</w:t>
      </w:r>
      <w:proofErr w:type="spellEnd"/>
      <w:r>
        <w:rPr>
          <w:rtl/>
        </w:rPr>
        <w:t xml:space="preserve"> </w:t>
      </w:r>
      <w:proofErr w:type="spellStart"/>
      <w:r>
        <w:rPr>
          <w:rtl/>
        </w:rPr>
        <w:t>מז׳יטומיר</w:t>
      </w:r>
      <w:proofErr w:type="spellEnd"/>
      <w:r>
        <w:rPr>
          <w:rtl/>
        </w:rPr>
        <w:t xml:space="preserve">, </w:t>
      </w:r>
      <w:r>
        <w:rPr>
          <w:rtl/>
        </w:rPr>
        <w:lastRenderedPageBreak/>
        <w:t xml:space="preserve">תלמידו של תלמידו הגדול של </w:t>
      </w:r>
      <w:proofErr w:type="spellStart"/>
      <w:r>
        <w:rPr>
          <w:rtl/>
        </w:rPr>
        <w:t>הבעש״ט</w:t>
      </w:r>
      <w:proofErr w:type="spellEnd"/>
      <w:r>
        <w:rPr>
          <w:rtl/>
        </w:rPr>
        <w:t xml:space="preserve">, ר׳ </w:t>
      </w:r>
      <w:proofErr w:type="spellStart"/>
      <w:r>
        <w:rPr>
          <w:rtl/>
        </w:rPr>
        <w:t>דוב־בער</w:t>
      </w:r>
      <w:proofErr w:type="spellEnd"/>
      <w:r>
        <w:rPr>
          <w:rtl/>
        </w:rPr>
        <w:t xml:space="preserve"> </w:t>
      </w:r>
      <w:proofErr w:type="spellStart"/>
      <w:r>
        <w:rPr>
          <w:rtl/>
        </w:rPr>
        <w:t>ממזריטש</w:t>
      </w:r>
      <w:proofErr w:type="spellEnd"/>
      <w:r>
        <w:rPr>
          <w:rtl/>
        </w:rPr>
        <w:t xml:space="preserve"> (וחברם של ר׳ נחום </w:t>
      </w:r>
      <w:proofErr w:type="spellStart"/>
      <w:r>
        <w:rPr>
          <w:rtl/>
        </w:rPr>
        <w:t>מצ׳רנוביל</w:t>
      </w:r>
      <w:proofErr w:type="spellEnd"/>
      <w:r>
        <w:rPr>
          <w:rtl/>
        </w:rPr>
        <w:t xml:space="preserve"> ור׳ </w:t>
      </w:r>
      <w:proofErr w:type="spellStart"/>
      <w:r>
        <w:rPr>
          <w:rtl/>
        </w:rPr>
        <w:t>לוי־יצחק</w:t>
      </w:r>
      <w:proofErr w:type="spellEnd"/>
      <w:r>
        <w:rPr>
          <w:rtl/>
        </w:rPr>
        <w:t xml:space="preserve"> </w:t>
      </w:r>
      <w:proofErr w:type="spellStart"/>
      <w:r>
        <w:rPr>
          <w:rtl/>
        </w:rPr>
        <w:t>מברדיצ׳ב</w:t>
      </w:r>
      <w:proofErr w:type="spellEnd"/>
      <w:r>
        <w:rPr>
          <w:rtl/>
        </w:rPr>
        <w:t>).</w:t>
      </w:r>
    </w:p>
    <w:p w14:paraId="78346D3E" w14:textId="77777777" w:rsidR="00AB3647" w:rsidRDefault="00000000" w:rsidP="007923E9">
      <w:pPr>
        <w:pStyle w:val="4"/>
        <w:spacing w:line="276" w:lineRule="auto"/>
      </w:pPr>
      <w:r>
        <w:t>· הפסקה השלישית ·</w:t>
      </w:r>
    </w:p>
    <w:p w14:paraId="0E4FE441" w14:textId="77777777" w:rsidR="00AB3647" w:rsidRDefault="00000000" w:rsidP="007923E9">
      <w:pPr>
        <w:pStyle w:val="5"/>
        <w:spacing w:line="276" w:lineRule="auto"/>
      </w:pPr>
      <w:r>
        <w:rPr>
          <w:bCs/>
          <w:szCs w:val="26"/>
        </w:rPr>
        <w:t xml:space="preserve">אשתו של ר׳ ברוך </w:t>
      </w:r>
      <w:proofErr w:type="spellStart"/>
      <w:r>
        <w:rPr>
          <w:bCs/>
          <w:szCs w:val="26"/>
        </w:rPr>
        <w:t>זלדוביץ</w:t>
      </w:r>
      <w:proofErr w:type="spellEnd"/>
      <w:r>
        <w:rPr>
          <w:bCs/>
          <w:szCs w:val="26"/>
        </w:rPr>
        <w:t xml:space="preserve">׳ מייעצת </w:t>
      </w:r>
      <w:proofErr w:type="spellStart"/>
      <w:r>
        <w:rPr>
          <w:bCs/>
          <w:szCs w:val="26"/>
        </w:rPr>
        <w:t>לר</w:t>
      </w:r>
      <w:proofErr w:type="spellEnd"/>
      <w:r>
        <w:rPr>
          <w:bCs/>
          <w:szCs w:val="26"/>
        </w:rPr>
        <w:t xml:space="preserve">׳ חיים </w:t>
      </w:r>
      <w:proofErr w:type="spellStart"/>
      <w:r>
        <w:rPr>
          <w:bCs/>
          <w:szCs w:val="26"/>
        </w:rPr>
        <w:t>סולובייצ׳יק</w:t>
      </w:r>
      <w:proofErr w:type="spellEnd"/>
    </w:p>
    <w:p w14:paraId="29F4477D" w14:textId="68A1CD5A" w:rsidR="00AB3647" w:rsidRDefault="00000000" w:rsidP="007923E9">
      <w:pPr>
        <w:spacing w:after="120" w:line="276" w:lineRule="auto"/>
        <w:ind w:firstLine="283"/>
        <w:jc w:val="both"/>
      </w:pPr>
      <w:r>
        <w:rPr>
          <w:rtl/>
        </w:rPr>
        <w:t>כשביקרתי שוב בביתו של ר׳ מאיר פינס</w:t>
      </w:r>
      <w:bookmarkStart w:id="5836" w:name="_fnr4457"/>
      <w:r>
        <w:rPr>
          <w:vertAlign w:val="superscript"/>
          <w:rtl/>
        </w:rPr>
        <w:footnoteReference w:id="4467" w:customMarkFollows="0"/>
      </w:r>
      <w:bookmarkEnd w:id="5836"/>
      <w:r>
        <w:rPr>
          <w:rtl/>
        </w:rPr>
        <w:t xml:space="preserve">, הצביעה אשתו, בתו של ר׳ שלמה </w:t>
      </w:r>
      <w:proofErr w:type="spellStart"/>
      <w:r>
        <w:rPr>
          <w:rtl/>
        </w:rPr>
        <w:t>גולובנצ׳יץ</w:t>
      </w:r>
      <w:bookmarkStart w:id="5837" w:name="_fnr4458"/>
      <w:proofErr w:type="spellEnd"/>
      <w:r>
        <w:rPr>
          <w:vertAlign w:val="superscript"/>
          <w:rtl/>
        </w:rPr>
        <w:footnoteReference w:id="4468" w:customMarkFollows="0"/>
      </w:r>
      <w:bookmarkEnd w:id="5837"/>
      <w:r>
        <w:rPr>
          <w:rtl/>
        </w:rPr>
        <w:t xml:space="preserve">, על תמונה תלויה על הקיר – תמונת סבתו של בעלה מצד </w:t>
      </w:r>
      <w:proofErr w:type="spellStart"/>
      <w:r>
        <w:rPr>
          <w:rtl/>
        </w:rPr>
        <w:t>אמו</w:t>
      </w:r>
      <w:proofErr w:type="spellEnd"/>
      <w:r>
        <w:rPr>
          <w:rtl/>
        </w:rPr>
        <w:t xml:space="preserve">, חנה </w:t>
      </w:r>
      <w:proofErr w:type="spellStart"/>
      <w:r>
        <w:rPr>
          <w:rtl/>
        </w:rPr>
        <w:t>זלדוביץ</w:t>
      </w:r>
      <w:proofErr w:type="spellEnd"/>
      <w:r>
        <w:rPr>
          <w:rtl/>
        </w:rPr>
        <w:t xml:space="preserve">׳ – והעירה: “היא מתה לפני גיל ארבעים, אך ר׳ ברוך לא נישא שוב, מפני שאמר: ‘אין כחנה’. היא ידעה תנ״ך, אפילו תרי עשר, בעל פה, לפי בתה, </w:t>
      </w:r>
      <w:proofErr w:type="spellStart"/>
      <w:r>
        <w:rPr>
          <w:rtl/>
        </w:rPr>
        <w:t>אמו</w:t>
      </w:r>
      <w:proofErr w:type="spellEnd"/>
      <w:r>
        <w:rPr>
          <w:rtl/>
        </w:rPr>
        <w:t xml:space="preserve"> של בעלי, </w:t>
      </w:r>
      <w:proofErr w:type="spellStart"/>
      <w:r>
        <w:rPr>
          <w:rtl/>
        </w:rPr>
        <w:t>שרל׳ה</w:t>
      </w:r>
      <w:proofErr w:type="spellEnd"/>
      <w:r>
        <w:rPr>
          <w:rtl/>
        </w:rPr>
        <w:t xml:space="preserve">”. כשהוזכרה </w:t>
      </w:r>
      <w:proofErr w:type="spellStart"/>
      <w:r>
        <w:rPr>
          <w:rtl/>
        </w:rPr>
        <w:t>אמו</w:t>
      </w:r>
      <w:proofErr w:type="spellEnd"/>
      <w:r>
        <w:rPr>
          <w:rtl/>
        </w:rPr>
        <w:t xml:space="preserve">, אמר ר׳ מאיר דבר מופלא: ר׳ חיים </w:t>
      </w:r>
      <w:proofErr w:type="spellStart"/>
      <w:r>
        <w:rPr>
          <w:rtl/>
        </w:rPr>
        <w:t>סולובייצ׳יק</w:t>
      </w:r>
      <w:proofErr w:type="spellEnd"/>
      <w:r>
        <w:rPr>
          <w:rtl/>
        </w:rPr>
        <w:t>, בשהותו במינסק במלחמת העולם הראשונה</w:t>
      </w:r>
      <w:bookmarkStart w:id="5838" w:name="_fnr4459"/>
      <w:r>
        <w:rPr>
          <w:rStyle w:val="a5"/>
        </w:rPr>
        <w:t/>
      </w:r>
      <w:bookmarkStart w:id="7047" w:name="_TranslatorNote_4457"/>
      <w:r>
        <w:rPr>
          <w:rStyle w:val="a5"/>
          <w:vertAlign w:val="superscript"/>
          <w:rtl/>
        </w:rPr>
        <w:footnoteReference w:id="4469" w:customMarkFollows="1"/>
        <w:t>*</w:t>
      </w:r>
      <w:bookmarkEnd w:id="7047"/>
      <w:bookmarkEnd w:id="5838"/>
      <w:r>
        <w:rPr>
          <w:rtl/>
        </w:rPr>
        <w:t xml:space="preserve">, היה מבקש ממנה עצה – דבר מופלא אצל מי שהיה בעצמו “חכם מחוכם”, כמצוטט בפסקה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w:t>
      </w:r>
    </w:p>
    <w:p w14:paraId="1B6750E4" w14:textId="77777777" w:rsidR="00AB3647" w:rsidRDefault="00000000" w:rsidP="007923E9">
      <w:pPr>
        <w:pStyle w:val="4"/>
        <w:spacing w:line="276" w:lineRule="auto"/>
      </w:pPr>
      <w:r>
        <w:t>· הפסקה הרביעית ·</w:t>
      </w:r>
    </w:p>
    <w:p w14:paraId="6597036F" w14:textId="77777777" w:rsidR="00AB3647" w:rsidRDefault="00000000" w:rsidP="007923E9">
      <w:pPr>
        <w:pStyle w:val="5"/>
        <w:spacing w:line="276" w:lineRule="auto"/>
      </w:pPr>
      <w:r>
        <w:rPr>
          <w:bCs/>
          <w:szCs w:val="26"/>
        </w:rPr>
        <w:t>ספרייה מפורסמת במינסק מגיעה לפטרבורג</w:t>
      </w:r>
    </w:p>
    <w:p w14:paraId="6D6B9389" w14:textId="224FD528" w:rsidR="00AB3647" w:rsidRDefault="00000000" w:rsidP="007923E9">
      <w:pPr>
        <w:spacing w:after="120" w:line="276" w:lineRule="auto"/>
        <w:ind w:firstLine="283"/>
        <w:jc w:val="both"/>
      </w:pPr>
      <w:r>
        <w:rPr>
          <w:rtl/>
        </w:rPr>
        <w:t xml:space="preserve">ספרייה מפורסמת מאוד נוספת במינסק הייתה של ר׳ בער </w:t>
      </w:r>
      <w:proofErr w:type="spellStart"/>
      <w:r>
        <w:rPr>
          <w:rtl/>
        </w:rPr>
        <w:t>בומפה</w:t>
      </w:r>
      <w:proofErr w:type="spellEnd"/>
      <w:r>
        <w:rPr>
          <w:rtl/>
        </w:rPr>
        <w:t xml:space="preserve">, שנמנה </w:t>
      </w:r>
      <w:proofErr w:type="spellStart"/>
      <w:r>
        <w:rPr>
          <w:rtl/>
        </w:rPr>
        <w:t>ב“מינסק</w:t>
      </w:r>
      <w:proofErr w:type="spellEnd"/>
      <w:r>
        <w:rPr>
          <w:rtl/>
        </w:rPr>
        <w:t xml:space="preserve"> עיר ואם א”</w:t>
      </w:r>
      <w:bookmarkStart w:id="5839" w:name="_fnr4460"/>
      <w:r>
        <w:rPr>
          <w:vertAlign w:val="superscript"/>
          <w:rtl/>
        </w:rPr>
        <w:footnoteReference w:id="4470" w:customMarkFollows="0"/>
      </w:r>
      <w:bookmarkEnd w:id="5839"/>
      <w:r>
        <w:rPr>
          <w:rtl/>
        </w:rPr>
        <w:t xml:space="preserve"> עם רבני העיר. לפי “מינסק עיר ואם א”</w:t>
      </w:r>
      <w:bookmarkStart w:id="5840" w:name="_fnr4461"/>
      <w:r>
        <w:rPr>
          <w:vertAlign w:val="superscript"/>
          <w:rtl/>
        </w:rPr>
        <w:footnoteReference w:id="4471" w:customMarkFollows="0"/>
      </w:r>
      <w:bookmarkEnd w:id="5840"/>
      <w:r>
        <w:rPr>
          <w:rtl/>
        </w:rPr>
        <w:t xml:space="preserve">, ספרייה זו “נקנתה לאחר פטירת ר׳ בער </w:t>
      </w:r>
      <w:proofErr w:type="spellStart"/>
      <w:r>
        <w:rPr>
          <w:rtl/>
        </w:rPr>
        <w:t>בומפה</w:t>
      </w:r>
      <w:proofErr w:type="spellEnd"/>
      <w:r>
        <w:rPr>
          <w:rtl/>
        </w:rPr>
        <w:t xml:space="preserve"> בידי המיליונר </w:t>
      </w:r>
      <w:proofErr w:type="spellStart"/>
      <w:r>
        <w:rPr>
          <w:rtl/>
        </w:rPr>
        <w:t>פרידלנדר</w:t>
      </w:r>
      <w:proofErr w:type="spellEnd"/>
      <w:r>
        <w:rPr>
          <w:rtl/>
        </w:rPr>
        <w:t xml:space="preserve"> והועברה לפטרוגרד [פטרבורג], שם היא שמורה</w:t>
      </w:r>
      <w:bookmarkStart w:id="5841" w:name="_fnr4462"/>
      <w:r>
        <w:rPr>
          <w:vertAlign w:val="superscript"/>
          <w:rtl/>
        </w:rPr>
        <w:footnoteReference w:id="4472" w:customMarkFollows="0"/>
      </w:r>
      <w:bookmarkEnd w:id="5841"/>
      <w:bookmarkStart w:id="7048" w:name="_TranslatorNote_5400"/>
      <w:r>
        <w:rPr>
          <w:rStyle w:val="a5"/>
          <w:vertAlign w:val="superscript"/>
          <w:rtl/>
        </w:rPr>
        <w:footnoteReference w:id="4473" w:customMarkFollows="1"/>
        <w:t>*</w:t>
      </w:r>
      <w:bookmarkEnd w:id="7048"/>
      <w:r>
        <w:rPr>
          <w:rtl/>
        </w:rPr>
        <w:t xml:space="preserve"> בספרייה המלכותית”. ר׳ בער </w:t>
      </w:r>
      <w:proofErr w:type="spellStart"/>
      <w:r>
        <w:rPr>
          <w:rtl/>
        </w:rPr>
        <w:t>בומפה</w:t>
      </w:r>
      <w:proofErr w:type="spellEnd"/>
      <w:r>
        <w:rPr>
          <w:rtl/>
        </w:rPr>
        <w:t xml:space="preserve"> נפטר </w:t>
      </w:r>
      <w:proofErr w:type="spellStart"/>
      <w:r>
        <w:rPr>
          <w:rtl/>
        </w:rPr>
        <w:t>בתרמ״ח</w:t>
      </w:r>
      <w:bookmarkStart w:id="5842" w:name="_fnr4463"/>
      <w:proofErr w:type="spellEnd"/>
      <w:r>
        <w:rPr>
          <w:vertAlign w:val="superscript"/>
          <w:rtl/>
        </w:rPr>
        <w:footnoteReference w:id="4474" w:customMarkFollows="0"/>
      </w:r>
      <w:bookmarkEnd w:id="5842"/>
      <w:r>
        <w:rPr>
          <w:rtl/>
        </w:rPr>
        <w:t xml:space="preserve">, ובימי אבי כבר לא הייתה הספרייה במינסק. השווה גם סוף הפסקה השנייה של </w:t>
      </w:r>
      <w:r>
        <w:rPr>
          <w:rtl/>
        </w:rPr>
        <w:fldChar w:fldCharType="begin" w:dirty="true"/>
      </w:r>
      <w:r>
        <w:rPr>
          <w:rtl/>
        </w:rPr>
        <w:instrText xml:space="preserve"> REF b4_excH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לעיל, על ספריית </w:t>
      </w:r>
      <w:proofErr w:type="spellStart"/>
      <w:r>
        <w:rPr>
          <w:rtl/>
        </w:rPr>
        <w:t>גינצבורג</w:t>
      </w:r>
      <w:proofErr w:type="spellEnd"/>
      <w:r>
        <w:rPr>
          <w:rtl/>
        </w:rPr>
        <w:t xml:space="preserve"> המפורסמת של ספרי יהדות, שגם היא הגיעה לבסוף לידי הרוסים, משום שהקומוניסטים החרימו אותה.</w:t>
      </w:r>
    </w:p>
    <w:p w14:paraId="5307E348" w14:textId="77777777" w:rsidR="00AB3647" w:rsidRDefault="00AB3647" w:rsidP="007923E9">
      <w:pPr>
        <w:spacing w:line="276" w:lineRule="auto"/>
        <w:sectPr w:rsidR="00AB3647">
          <w:footerReference w:type="default" r:id="rId15"/>
          <w:footnotePr>
            <w:pos w:val="pageBottom"/>
            <w:numRestart w:val="eachSect"/>
          </w:footnotePr>
          <w:pgSz w:w="9638" w:h="13606"/>
          <w:pgMar w:top="1134" w:right="1077" w:bottom="1134" w:left="1077" w:header="567" w:footer="567" w:gutter="0"/>
          <w:cols w:space="720"/>
          <w:bidi/>
          <w:docGrid w:linePitch="360"/>
        </w:sectPr>
      </w:pPr>
    </w:p>
    <w:p w14:paraId="70A72C60" w14:textId="77777777" w:rsidR="00AB3647" w:rsidRDefault="00000000" w:rsidP="007923E9">
      <w:pPr>
        <w:pStyle w:val="ae"/>
        <w:spacing w:line="276" w:lineRule="auto"/>
      </w:pPr>
      <w:bookmarkStart w:id="5843" w:name="b5_chapter"/>
      <w:r>
        <w:lastRenderedPageBreak/>
        <w:t>פרק חמישי</w:t>
      </w:r>
      <w:bookmarkEnd w:id="5843"/>
    </w:p>
    <w:p w14:paraId="585E5C4E" w14:textId="77777777" w:rsidR="00AB3647" w:rsidRDefault="00000000" w:rsidP="007923E9">
      <w:pPr>
        <w:pStyle w:val="1"/>
        <w:spacing w:line="276" w:lineRule="auto"/>
      </w:pPr>
      <w:r>
        <w:t xml:space="preserve">העשור השני – ד: </w:t>
      </w:r>
      <w:proofErr w:type="spellStart"/>
      <w:r>
        <w:t>מאלטש</w:t>
      </w:r>
      <w:proofErr w:type="spellEnd"/>
    </w:p>
    <w:p w14:paraId="3707F8E0" w14:textId="77777777" w:rsidR="00AB3647" w:rsidRDefault="00000000" w:rsidP="007923E9">
      <w:pPr>
        <w:pStyle w:val="2"/>
        <w:spacing w:before="240" w:after="160" w:line="276" w:lineRule="auto"/>
      </w:pPr>
      <w:bookmarkStart w:id="5844" w:name="b5_notes"/>
      <w:r>
        <w:rPr>
          <w:sz w:val="30"/>
        </w:rPr>
        <w:t>הסיפור וההערות</w:t>
      </w:r>
      <w:bookmarkEnd w:id="5844"/>
    </w:p>
    <w:p w14:paraId="47E3695D" w14:textId="77777777" w:rsidR="00AB3647" w:rsidRDefault="00000000" w:rsidP="007923E9">
      <w:pPr>
        <w:pStyle w:val="2"/>
        <w:spacing w:line="276" w:lineRule="auto"/>
      </w:pPr>
      <w:bookmarkStart w:id="5845" w:name="b5_sec1"/>
      <w:r>
        <w:t>1.</w:t>
      </w:r>
      <w:bookmarkEnd w:id="5845"/>
    </w:p>
    <w:p w14:paraId="7A4DF344" w14:textId="6BB122BD"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לאחר פסח שב בן הישיבה הצעיר </w:t>
      </w:r>
      <w:proofErr w:type="spellStart"/>
      <w:r>
        <w:rPr>
          <w:rtl/>
        </w:rPr>
        <w:t>לסלבודקה</w:t>
      </w:r>
      <w:proofErr w:type="spellEnd"/>
      <w:r>
        <w:rPr>
          <w:rtl/>
        </w:rPr>
        <w:t>, מרכיב משקפיים ומצויד במכונת תספורת לגילוח</w:t>
      </w:r>
      <w:bookmarkStart w:id="5846" w:name="b5_ref1"/>
      <w:bookmarkEnd w:id="5846"/>
      <w:r>
        <w:rPr>
          <w:vertAlign w:val="superscript"/>
          <w:rtl/>
        </w:rPr>
        <w:fldChar w:fldCharType="begin" w:dirty="true"/>
      </w:r>
      <w:r>
        <w:rPr>
          <w:vertAlign w:val="superscript"/>
          <w:rtl/>
        </w:rPr>
        <w:instrText xml:space="preserve"> REF b5_note1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w:t>
      </w:r>
      <w:r>
        <w:rPr>
          <w:vertAlign w:val="superscript"/>
          <w:rtl/>
        </w:rPr>
        <w:fldChar w:fldCharType="end"/>
      </w:r>
      <w:r>
        <w:rPr>
          <w:rtl/>
        </w:rPr>
        <w:t>. הוא שב לסדרי הישיבה באותה התלהבות שהייתה בו שנה קודם לכן, אבל מעשה פזיזות ילדותי באותו זמן קיץ השפיע על כל חייו.</w:t>
      </w:r>
    </w:p>
    <w:bookmarkStart w:id="5847" w:name="b5_note1"/>
    <w:p w14:paraId="1B7A79C8" w14:textId="058EAA3E" w:rsidR="00AB3647" w:rsidRDefault="00000000" w:rsidP="007923E9">
      <w:pPr>
        <w:spacing w:before="120" w:after="100" w:line="276" w:lineRule="auto"/>
        <w:jc w:val="both"/>
      </w:pPr>
      <w:r>
        <w:fldChar w:fldCharType="begin" w:dirty="true"/>
      </w:r>
      <w:r>
        <w:instrText>HYPERLINK \l "b5_ref1"</w:instrText>
      </w:r>
      <w:r>
        <w:fldChar w:fldCharType="separate"/>
      </w:r>
      <w:r>
        <w:rPr>
          <w:b/>
          <w:bCs/>
          <w:rtl/>
        </w:rPr>
        <w:t>1</w:t>
      </w:r>
      <w:r>
        <w:rPr>
          <w:b/>
          <w:bCs/>
        </w:rPr>
        <w:fldChar w:fldCharType="end"/>
      </w:r>
      <w:bookmarkEnd w:id="5847"/>
      <w:r>
        <w:rPr>
          <w:rtl/>
        </w:rPr>
        <w:t xml:space="preserve"> ראה </w:t>
      </w:r>
      <w:r>
        <w:rPr>
          <w:rtl/>
        </w:rPr>
        <w:fldChar w:fldCharType="begin" w:dirty="true"/>
      </w:r>
      <w:r>
        <w:rPr>
          <w:rtl/>
        </w:rPr>
        <w:instrText xml:space="preserve"> REF b5_excA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w:t>
      </w:r>
    </w:p>
    <w:p w14:paraId="449EADB8" w14:textId="4BBB4CD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כשלמד עם </w:t>
      </w:r>
      <w:proofErr w:type="spellStart"/>
      <w:r>
        <w:rPr>
          <w:rtl/>
        </w:rPr>
        <w:t>חברותתו</w:t>
      </w:r>
      <w:proofErr w:type="spellEnd"/>
      <w:r>
        <w:rPr>
          <w:rtl/>
        </w:rPr>
        <w:t>, בחור פיקח שהיה מבוגר ממנו, נתקלו בתוספות מורכב, סבוך דיו להקשות גם על תלמידים מוכשרים. שותפו ללימוד הציע לרבנו סיגריה ואמר שהעישון מסייע לצלילות המחשבה</w:t>
      </w:r>
      <w:bookmarkStart w:id="5848" w:name="b5_ref2"/>
      <w:bookmarkEnd w:id="5848"/>
      <w:r>
        <w:rPr>
          <w:vertAlign w:val="superscript"/>
          <w:rtl/>
        </w:rPr>
        <w:fldChar w:fldCharType="begin" w:dirty="true"/>
      </w:r>
      <w:r>
        <w:rPr>
          <w:vertAlign w:val="superscript"/>
          <w:rtl/>
        </w:rPr>
        <w:instrText xml:space="preserve"> REF b5_note2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w:t>
      </w:r>
      <w:r>
        <w:rPr>
          <w:vertAlign w:val="superscript"/>
          <w:rtl/>
        </w:rPr>
        <w:fldChar w:fldCharType="end"/>
      </w:r>
      <w:r>
        <w:rPr>
          <w:rtl/>
        </w:rPr>
        <w:t>. סיגריה אחת גררה אחריה עוד אחת</w:t>
      </w:r>
      <w:bookmarkStart w:id="5849" w:name="b5_ref3"/>
      <w:bookmarkEnd w:id="5849"/>
      <w:r>
        <w:rPr>
          <w:vertAlign w:val="superscript"/>
          <w:rtl/>
        </w:rPr>
        <w:fldChar w:fldCharType="begin" w:dirty="true"/>
      </w:r>
      <w:r>
        <w:rPr>
          <w:vertAlign w:val="superscript"/>
          <w:rtl/>
        </w:rPr>
        <w:instrText xml:space="preserve"> REF b5_note3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w:t>
      </w:r>
      <w:r>
        <w:rPr>
          <w:vertAlign w:val="superscript"/>
          <w:rtl/>
        </w:rPr>
        <w:fldChar w:fldCharType="end"/>
      </w:r>
      <w:r>
        <w:rPr>
          <w:rtl/>
        </w:rPr>
        <w:t xml:space="preserve">, ועד מהרה כבר לא היסס לבקש </w:t>
      </w:r>
      <w:proofErr w:type="spellStart"/>
      <w:r>
        <w:rPr>
          <w:rtl/>
        </w:rPr>
        <w:t>מחברותתו</w:t>
      </w:r>
      <w:proofErr w:type="spellEnd"/>
      <w:r>
        <w:rPr>
          <w:rtl/>
        </w:rPr>
        <w:t xml:space="preserve"> סיגריה תמורת ביאור קטע קשה שביאר לו</w:t>
      </w:r>
      <w:bookmarkStart w:id="5850" w:name="b5_ref4"/>
      <w:bookmarkEnd w:id="5850"/>
      <w:r>
        <w:rPr>
          <w:vertAlign w:val="superscript"/>
          <w:rtl/>
        </w:rPr>
        <w:fldChar w:fldCharType="begin" w:dirty="true"/>
      </w:r>
      <w:r>
        <w:rPr>
          <w:vertAlign w:val="superscript"/>
          <w:rtl/>
        </w:rPr>
        <w:instrText xml:space="preserve"> REF b5_note4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w:t>
      </w:r>
      <w:r>
        <w:rPr>
          <w:vertAlign w:val="superscript"/>
          <w:rtl/>
        </w:rPr>
        <w:fldChar w:fldCharType="end"/>
      </w:r>
      <w:r>
        <w:rPr>
          <w:rtl/>
        </w:rPr>
        <w:t xml:space="preserve">. כפי שלא היה נדיר בקרב צעירי אותו דור, נעשה </w:t>
      </w:r>
      <w:proofErr w:type="spellStart"/>
      <w:r>
        <w:rPr>
          <w:rtl/>
        </w:rPr>
        <w:t>הדולהינובר</w:t>
      </w:r>
      <w:proofErr w:type="spellEnd"/>
      <w:r>
        <w:rPr>
          <w:rtl/>
        </w:rPr>
        <w:t xml:space="preserve"> מעשן קבוע.</w:t>
      </w:r>
    </w:p>
    <w:bookmarkStart w:id="5851" w:name="b5_note2"/>
    <w:p w14:paraId="167B514D" w14:textId="6B7EE835" w:rsidR="00AB3647" w:rsidRDefault="00000000" w:rsidP="007923E9">
      <w:pPr>
        <w:spacing w:before="120" w:after="100" w:line="276" w:lineRule="auto"/>
        <w:jc w:val="both"/>
      </w:pPr>
      <w:r>
        <w:fldChar w:fldCharType="begin" w:dirty="true"/>
      </w:r>
      <w:r>
        <w:instrText>HYPERLINK \l "b5_ref2"</w:instrText>
      </w:r>
      <w:r>
        <w:fldChar w:fldCharType="separate"/>
      </w:r>
      <w:r>
        <w:rPr>
          <w:b/>
          <w:bCs/>
          <w:rtl/>
        </w:rPr>
        <w:t>2</w:t>
      </w:r>
      <w:r>
        <w:rPr>
          <w:b/>
          <w:bCs/>
        </w:rPr>
        <w:fldChar w:fldCharType="end"/>
      </w:r>
      <w:bookmarkEnd w:id="5851"/>
      <w:r>
        <w:rPr>
          <w:rtl/>
        </w:rPr>
        <w:t xml:space="preserve"> ראה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52" w:name="b5_note3"/>
    <w:p w14:paraId="13EAA834" w14:textId="77777777" w:rsidR="00AB3647" w:rsidRDefault="00000000" w:rsidP="007923E9">
      <w:pPr>
        <w:spacing w:before="120" w:after="100" w:line="276" w:lineRule="auto"/>
        <w:jc w:val="both"/>
      </w:pPr>
      <w:r>
        <w:fldChar w:fldCharType="begin" w:dirty="true"/>
      </w:r>
      <w:r>
        <w:instrText>HYPERLINK \l "b5_ref3"</w:instrText>
      </w:r>
      <w:r>
        <w:fldChar w:fldCharType="separate"/>
      </w:r>
      <w:r>
        <w:rPr>
          <w:b/>
          <w:bCs/>
          <w:rtl/>
        </w:rPr>
        <w:t>3</w:t>
      </w:r>
      <w:r>
        <w:rPr>
          <w:b/>
          <w:bCs/>
        </w:rPr>
        <w:fldChar w:fldCharType="end"/>
      </w:r>
      <w:bookmarkEnd w:id="5852"/>
      <w:r>
        <w:rPr>
          <w:rtl/>
        </w:rPr>
        <w:t xml:space="preserve"> רבנו למד לגלגל סיגריות לעצמו שנים רבות קודם לכן, במשק סבו</w:t>
      </w:r>
      <w:bookmarkStart w:id="5853" w:name="_fnr4464"/>
      <w:r>
        <w:rPr>
          <w:rStyle w:val="a5"/>
        </w:rPr>
        <w:footnoteReference w:id="4475" w:customMarkFollows="0"/>
      </w:r>
      <w:bookmarkEnd w:id="5853"/>
      <w:r>
        <w:rPr>
          <w:rtl/>
        </w:rPr>
        <w:t>.</w:t>
      </w:r>
    </w:p>
    <w:bookmarkStart w:id="5854" w:name="b5_note4"/>
    <w:p w14:paraId="2C439355" w14:textId="77777777" w:rsidR="00AB3647" w:rsidRDefault="00000000" w:rsidP="007923E9">
      <w:pPr>
        <w:spacing w:before="120" w:after="100" w:line="276" w:lineRule="auto"/>
        <w:jc w:val="both"/>
      </w:pPr>
      <w:r>
        <w:fldChar w:fldCharType="begin" w:dirty="true"/>
      </w:r>
      <w:r>
        <w:instrText>HYPERLINK \l "b5_ref4"</w:instrText>
      </w:r>
      <w:r>
        <w:fldChar w:fldCharType="separate"/>
      </w:r>
      <w:r>
        <w:rPr>
          <w:b/>
          <w:bCs/>
          <w:rtl/>
        </w:rPr>
        <w:t>4</w:t>
      </w:r>
      <w:r>
        <w:rPr>
          <w:b/>
          <w:bCs/>
        </w:rPr>
        <w:fldChar w:fldCharType="end"/>
      </w:r>
      <w:bookmarkEnd w:id="5854"/>
      <w:r>
        <w:rPr>
          <w:rtl/>
        </w:rPr>
        <w:t xml:space="preserve"> אבי סיפר פעמים רבות באילו נסיבות הוצעה לו הסיגריה הראשונה שלו. כיצד החל לבקש סיגריות סיפר ר׳ </w:t>
      </w:r>
      <w:proofErr w:type="spellStart"/>
      <w:r>
        <w:rPr>
          <w:rtl/>
        </w:rPr>
        <w:t>לייבל</w:t>
      </w:r>
      <w:proofErr w:type="spellEnd"/>
      <w:r>
        <w:rPr>
          <w:rtl/>
        </w:rPr>
        <w:t xml:space="preserve"> </w:t>
      </w:r>
      <w:proofErr w:type="spellStart"/>
      <w:r>
        <w:rPr>
          <w:rtl/>
        </w:rPr>
        <w:t>פרלשטיין</w:t>
      </w:r>
      <w:bookmarkStart w:id="5855" w:name="_fnr4465"/>
      <w:proofErr w:type="spellEnd"/>
      <w:r>
        <w:rPr>
          <w:rStyle w:val="a5"/>
        </w:rPr>
        <w:footnoteReference w:id="4476" w:customMarkFollows="0"/>
      </w:r>
      <w:bookmarkEnd w:id="5855"/>
      <w:r>
        <w:rPr>
          <w:rtl/>
        </w:rPr>
        <w:t>.</w:t>
      </w:r>
    </w:p>
    <w:p w14:paraId="3777DF73" w14:textId="665ACA2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בסוף זמן הקיץ כבר היה רבנו אהוב כל כך בישיבה, שתלמידים מבוגרים ממנו ראו זכות לעצמם ללמוד עמו. לקראת סוף אלול</w:t>
      </w:r>
      <w:bookmarkStart w:id="5856" w:name="b5_ref5"/>
      <w:bookmarkEnd w:id="5856"/>
      <w:r>
        <w:rPr>
          <w:vertAlign w:val="superscript"/>
          <w:rtl/>
        </w:rPr>
        <w:fldChar w:fldCharType="begin" w:dirty="true"/>
      </w:r>
      <w:r>
        <w:rPr>
          <w:vertAlign w:val="superscript"/>
          <w:rtl/>
        </w:rPr>
        <w:instrText xml:space="preserve"> REF b5_note5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w:t>
      </w:r>
      <w:r>
        <w:rPr>
          <w:vertAlign w:val="superscript"/>
          <w:rtl/>
        </w:rPr>
        <w:fldChar w:fldCharType="end"/>
      </w:r>
      <w:r>
        <w:rPr>
          <w:rtl/>
        </w:rPr>
        <w:t xml:space="preserve"> בא בן הסבא, ר׳ </w:t>
      </w:r>
      <w:proofErr w:type="spellStart"/>
      <w:r>
        <w:rPr>
          <w:rtl/>
        </w:rPr>
        <w:t>לייזר־יודל</w:t>
      </w:r>
      <w:proofErr w:type="spellEnd"/>
      <w:r>
        <w:rPr>
          <w:rtl/>
        </w:rPr>
        <w:t xml:space="preserve">, לבקר את אביו </w:t>
      </w:r>
      <w:proofErr w:type="spellStart"/>
      <w:r>
        <w:rPr>
          <w:rtl/>
        </w:rPr>
        <w:t>בסלבודקה</w:t>
      </w:r>
      <w:proofErr w:type="spellEnd"/>
      <w:r>
        <w:rPr>
          <w:rtl/>
        </w:rPr>
        <w:t xml:space="preserve">. ר׳ </w:t>
      </w:r>
      <w:proofErr w:type="spellStart"/>
      <w:r>
        <w:rPr>
          <w:rtl/>
        </w:rPr>
        <w:t>לייזר־יודל</w:t>
      </w:r>
      <w:proofErr w:type="spellEnd"/>
      <w:r>
        <w:rPr>
          <w:rtl/>
        </w:rPr>
        <w:t xml:space="preserve"> כבר היה נשוי, ושימש משנה לראש הישיבה בישיבת חותנו במיר</w:t>
      </w:r>
      <w:bookmarkStart w:id="5857" w:name="b5_ref6"/>
      <w:bookmarkEnd w:id="5857"/>
      <w:r>
        <w:rPr>
          <w:vertAlign w:val="superscript"/>
          <w:rtl/>
        </w:rPr>
        <w:fldChar w:fldCharType="begin" w:dirty="true"/>
      </w:r>
      <w:r>
        <w:rPr>
          <w:vertAlign w:val="superscript"/>
          <w:rtl/>
        </w:rPr>
        <w:instrText xml:space="preserve"> REF b5_note6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w:t>
      </w:r>
      <w:r>
        <w:rPr>
          <w:vertAlign w:val="superscript"/>
          <w:rtl/>
        </w:rPr>
        <w:fldChar w:fldCharType="end"/>
      </w:r>
      <w:r>
        <w:rPr>
          <w:rtl/>
        </w:rPr>
        <w:t xml:space="preserve">. סיפרו לו על התלמיד הצעיר המבריק </w:t>
      </w:r>
      <w:proofErr w:type="spellStart"/>
      <w:r>
        <w:rPr>
          <w:rtl/>
        </w:rPr>
        <w:t>מדולהינוב</w:t>
      </w:r>
      <w:proofErr w:type="spellEnd"/>
      <w:r>
        <w:rPr>
          <w:rtl/>
        </w:rPr>
        <w:t xml:space="preserve">, שיצא לו שם </w:t>
      </w:r>
      <w:proofErr w:type="spellStart"/>
      <w:r>
        <w:rPr>
          <w:rtl/>
        </w:rPr>
        <w:t>בסלבודקה</w:t>
      </w:r>
      <w:proofErr w:type="spellEnd"/>
      <w:r>
        <w:rPr>
          <w:rtl/>
        </w:rPr>
        <w:t xml:space="preserve"> מאז בואו, פחות משנה וחצי קודם לכן. ר׳ </w:t>
      </w:r>
      <w:proofErr w:type="spellStart"/>
      <w:r>
        <w:rPr>
          <w:rtl/>
        </w:rPr>
        <w:t>לייזר־יודל</w:t>
      </w:r>
      <w:proofErr w:type="spellEnd"/>
      <w:r>
        <w:rPr>
          <w:rtl/>
        </w:rPr>
        <w:t xml:space="preserve"> החליט לשוחח עם הנער, ושאל אותו אם נכון שהוא יודע את כל התנ״ך בטעמים. התשובה שקיבל הייתה: “די שיאמרו לי טעם אחד בפסוק, ואוכל למצוא את השאר”</w:t>
      </w:r>
      <w:bookmarkStart w:id="5858" w:name="b5_ref7"/>
      <w:bookmarkEnd w:id="5858"/>
      <w:r>
        <w:rPr>
          <w:vertAlign w:val="superscript"/>
          <w:rtl/>
        </w:rPr>
        <w:fldChar w:fldCharType="begin" w:dirty="true"/>
      </w:r>
      <w:r>
        <w:rPr>
          <w:vertAlign w:val="superscript"/>
          <w:rtl/>
        </w:rPr>
        <w:instrText xml:space="preserve"> REF b5_note7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w:t>
      </w:r>
      <w:r>
        <w:rPr>
          <w:vertAlign w:val="superscript"/>
          <w:rtl/>
        </w:rPr>
        <w:fldChar w:fldCharType="end"/>
      </w:r>
      <w:r>
        <w:rPr>
          <w:rtl/>
        </w:rPr>
        <w:t>.</w:t>
      </w:r>
    </w:p>
    <w:bookmarkStart w:id="5859" w:name="b5_note5"/>
    <w:p w14:paraId="0CC401C4" w14:textId="440AD240" w:rsidR="00AB3647" w:rsidRDefault="00000000" w:rsidP="007923E9">
      <w:pPr>
        <w:spacing w:before="120" w:after="100" w:line="276" w:lineRule="auto"/>
        <w:jc w:val="both"/>
      </w:pPr>
      <w:r>
        <w:fldChar w:fldCharType="begin" w:dirty="true"/>
      </w:r>
      <w:r>
        <w:instrText>HYPERLINK \l "b5_ref5"</w:instrText>
      </w:r>
      <w:r>
        <w:fldChar w:fldCharType="separate"/>
      </w:r>
      <w:r>
        <w:rPr>
          <w:b/>
          <w:bCs/>
          <w:rtl/>
        </w:rPr>
        <w:t>5</w:t>
      </w:r>
      <w:r>
        <w:rPr>
          <w:b/>
          <w:bCs/>
        </w:rPr>
        <w:fldChar w:fldCharType="end"/>
      </w:r>
      <w:bookmarkEnd w:id="5859"/>
      <w:r>
        <w:rPr>
          <w:rtl/>
        </w:rPr>
        <w:t xml:space="preserve"> ראה הערה </w:t>
      </w:r>
      <w:r>
        <w:rPr>
          <w:rtl/>
        </w:rPr>
        <w:fldChar w:fldCharType="begin" w:dirty="true"/>
      </w:r>
      <w:r>
        <w:rPr>
          <w:rtl/>
        </w:rPr>
        <w:instrText xml:space="preserve"> REF b5_note9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w:t>
      </w:r>
      <w:r>
        <w:rPr>
          <w:rtl/>
        </w:rPr>
        <w:fldChar w:fldCharType="end"/>
      </w:r>
      <w:r>
        <w:rPr>
          <w:rtl/>
        </w:rPr>
        <w:t xml:space="preserve"> להלן.</w:t>
      </w:r>
    </w:p>
    <w:bookmarkStart w:id="5860" w:name="b5_note6"/>
    <w:p w14:paraId="56847E83" w14:textId="6E30BA0A" w:rsidR="00AB3647" w:rsidRDefault="00000000" w:rsidP="007923E9">
      <w:pPr>
        <w:spacing w:before="120" w:after="100" w:line="276" w:lineRule="auto"/>
        <w:jc w:val="both"/>
      </w:pPr>
      <w:r>
        <w:fldChar w:fldCharType="begin" w:dirty="true"/>
      </w:r>
      <w:r>
        <w:instrText>HYPERLINK \l "b5_ref6"</w:instrText>
      </w:r>
      <w:r>
        <w:fldChar w:fldCharType="separate"/>
      </w:r>
      <w:r>
        <w:rPr>
          <w:b/>
          <w:bCs/>
          <w:rtl/>
        </w:rPr>
        <w:t>6</w:t>
      </w:r>
      <w:r>
        <w:rPr>
          <w:b/>
          <w:bCs/>
        </w:rPr>
        <w:fldChar w:fldCharType="end"/>
      </w:r>
      <w:bookmarkEnd w:id="5860"/>
      <w:r>
        <w:rPr>
          <w:rtl/>
        </w:rPr>
        <w:t xml:space="preserve"> השווה פרק 3, הפסקה השנייה של </w:t>
      </w:r>
      <w:r>
        <w:rPr>
          <w:rtl/>
        </w:rPr>
        <w:fldChar w:fldCharType="begin" w:dirty="true"/>
      </w:r>
      <w:r>
        <w:rPr>
          <w:rtl/>
        </w:rPr>
        <w:instrText xml:space="preserve"> REF b3_excV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כב</w:t>
      </w:r>
      <w:proofErr w:type="spellEnd"/>
      <w:r>
        <w:rPr>
          <w:rtl/>
        </w:rPr>
        <w:fldChar w:fldCharType="end"/>
      </w:r>
      <w:r>
        <w:rPr>
          <w:rtl/>
        </w:rPr>
        <w:t>.</w:t>
      </w:r>
    </w:p>
    <w:bookmarkStart w:id="5861" w:name="b5_note7"/>
    <w:p w14:paraId="33F65E47" w14:textId="77777777" w:rsidR="00AB3647" w:rsidRDefault="00000000" w:rsidP="007923E9">
      <w:pPr>
        <w:spacing w:before="120" w:after="100" w:line="276" w:lineRule="auto"/>
        <w:jc w:val="both"/>
      </w:pPr>
      <w:r>
        <w:fldChar w:fldCharType="begin" w:dirty="true"/>
      </w:r>
      <w:r>
        <w:instrText>HYPERLINK \l "b5_ref7"</w:instrText>
      </w:r>
      <w:r>
        <w:fldChar w:fldCharType="separate"/>
      </w:r>
      <w:r>
        <w:rPr>
          <w:b/>
          <w:bCs/>
          <w:rtl/>
        </w:rPr>
        <w:t>7</w:t>
      </w:r>
      <w:r>
        <w:rPr>
          <w:b/>
          <w:bCs/>
        </w:rPr>
        <w:fldChar w:fldCharType="end"/>
      </w:r>
      <w:bookmarkEnd w:id="5861"/>
      <w:r>
        <w:rPr>
          <w:rtl/>
        </w:rPr>
        <w:t xml:space="preserve"> לפי דעה רווחת, בפורים אחד </w:t>
      </w:r>
      <w:proofErr w:type="spellStart"/>
      <w:r>
        <w:rPr>
          <w:rtl/>
        </w:rPr>
        <w:t>בסלבודקה</w:t>
      </w:r>
      <w:proofErr w:type="spellEnd"/>
      <w:r>
        <w:rPr>
          <w:rtl/>
        </w:rPr>
        <w:t xml:space="preserve"> כתב רבנו טעמי מקרא לדף גמרא. איני יודע מה מקור הדבר, אבל הוא בהחלט מתקבל על הדעת ומתאים לאופיו. את סיפור כתיבת הטעמים לפסוקי התנ״ך מסרתי כפי שסיפר אותו גיסי ר׳ ישראל </w:t>
      </w:r>
      <w:proofErr w:type="spellStart"/>
      <w:r>
        <w:rPr>
          <w:rtl/>
        </w:rPr>
        <w:t>שורין</w:t>
      </w:r>
      <w:bookmarkStart w:id="5862" w:name="_fnr4466"/>
      <w:proofErr w:type="spellEnd"/>
      <w:r>
        <w:rPr>
          <w:rStyle w:val="a5"/>
        </w:rPr>
        <w:footnoteReference w:id="4477" w:customMarkFollows="0"/>
      </w:r>
      <w:bookmarkEnd w:id="5862"/>
      <w:r>
        <w:rPr>
          <w:rtl/>
        </w:rPr>
        <w:t>, כלומר שאבי היה זקוק לאחד מטעמי הפסוק כדי להשלים את שאר הטעמים. אולם מבחינה דקדוקית, כל מה שהיה עליו לדעת הוא היכן מסתיים הפסוק. כדי ליצור טעמים לדף גמרא היה עליו לחלק את הטקסט לפסוקים משלו, ואז יכול היה לכתוב טעמים לכל אחד מהם. השווה גם ספרו “לעיתים”</w:t>
      </w:r>
      <w:bookmarkStart w:id="5863" w:name="_fnr4467"/>
      <w:r>
        <w:rPr>
          <w:rStyle w:val="a5"/>
        </w:rPr>
        <w:footnoteReference w:id="4478" w:customMarkFollows="0"/>
      </w:r>
      <w:bookmarkEnd w:id="5863"/>
      <w:r>
        <w:rPr>
          <w:rtl/>
        </w:rPr>
        <w:t>, שבו הוא קובע טעמים לתחילת הברכה השנייה של העמידה, כדי לקבוע באיזו הברה יש להטעים את המילה “אתה”.</w:t>
      </w:r>
    </w:p>
    <w:p w14:paraId="0D8B98D9" w14:textId="6AF7864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בשעה שבחן ר׳ </w:t>
      </w:r>
      <w:proofErr w:type="spellStart"/>
      <w:r>
        <w:rPr>
          <w:rtl/>
        </w:rPr>
        <w:t>לייזר־יודל</w:t>
      </w:r>
      <w:proofErr w:type="spellEnd"/>
      <w:r>
        <w:rPr>
          <w:rtl/>
        </w:rPr>
        <w:t xml:space="preserve"> את </w:t>
      </w:r>
      <w:proofErr w:type="spellStart"/>
      <w:r>
        <w:rPr>
          <w:rtl/>
        </w:rPr>
        <w:t>הדולהינובר</w:t>
      </w:r>
      <w:proofErr w:type="spellEnd"/>
      <w:r>
        <w:rPr>
          <w:rtl/>
        </w:rPr>
        <w:t xml:space="preserve"> נכנס אביו, וכשראה תנ״ך פתוח ביניהם – האדים</w:t>
      </w:r>
      <w:bookmarkStart w:id="5864" w:name="b5_ref8"/>
      <w:bookmarkEnd w:id="5864"/>
      <w:r>
        <w:rPr>
          <w:vertAlign w:val="superscript"/>
          <w:rtl/>
        </w:rPr>
        <w:fldChar w:fldCharType="begin" w:dirty="true"/>
      </w:r>
      <w:r>
        <w:rPr>
          <w:vertAlign w:val="superscript"/>
          <w:rtl/>
        </w:rPr>
        <w:instrText xml:space="preserve"> REF b5_note8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w:t>
      </w:r>
      <w:r>
        <w:rPr>
          <w:vertAlign w:val="superscript"/>
          <w:rtl/>
        </w:rPr>
        <w:fldChar w:fldCharType="end"/>
      </w:r>
      <w:r>
        <w:rPr>
          <w:rtl/>
        </w:rPr>
        <w:t>. הסבא הביע את הסתייגותו באמירת שורה מתפילות הסליחות של אותו שבוע: “כי קטן יעקב ודל”</w:t>
      </w:r>
      <w:bookmarkStart w:id="5865" w:name="b5_ref9"/>
      <w:bookmarkEnd w:id="5865"/>
      <w:r>
        <w:rPr>
          <w:vertAlign w:val="superscript"/>
          <w:rtl/>
        </w:rPr>
        <w:fldChar w:fldCharType="begin" w:dirty="true"/>
      </w:r>
      <w:r>
        <w:rPr>
          <w:vertAlign w:val="superscript"/>
          <w:rtl/>
        </w:rPr>
        <w:instrText xml:space="preserve"> REF b5_note9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9</w:t>
      </w:r>
      <w:r>
        <w:rPr>
          <w:vertAlign w:val="superscript"/>
          <w:rtl/>
        </w:rPr>
        <w:fldChar w:fldCharType="end"/>
      </w:r>
      <w:r>
        <w:rPr>
          <w:rtl/>
        </w:rPr>
        <w:t>. אף שהסבא נהנה מגילויי גאונות</w:t>
      </w:r>
      <w:bookmarkStart w:id="5866" w:name="b5_ref10"/>
      <w:bookmarkEnd w:id="5866"/>
      <w:r>
        <w:rPr>
          <w:vertAlign w:val="superscript"/>
          <w:rtl/>
        </w:rPr>
        <w:fldChar w:fldCharType="begin" w:dirty="true"/>
      </w:r>
      <w:r>
        <w:rPr>
          <w:vertAlign w:val="superscript"/>
          <w:rtl/>
        </w:rPr>
        <w:instrText xml:space="preserve"> REF b5_note10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10</w:t>
      </w:r>
      <w:r>
        <w:rPr>
          <w:vertAlign w:val="superscript"/>
          <w:rtl/>
        </w:rPr>
        <w:fldChar w:fldCharType="end"/>
      </w:r>
      <w:r>
        <w:rPr>
          <w:rtl/>
        </w:rPr>
        <w:t>, הוא העדיף שתלמידו ישקיע את כישרונו בתורה שבעל פה, שאין לה גבול, ולא בתנ״ך הכתוב, שגבולותיו קבועים</w:t>
      </w:r>
      <w:bookmarkStart w:id="5867" w:name="b5_ref11"/>
      <w:bookmarkEnd w:id="5867"/>
      <w:r>
        <w:rPr>
          <w:vertAlign w:val="superscript"/>
          <w:rtl/>
        </w:rPr>
        <w:fldChar w:fldCharType="begin" w:dirty="true"/>
      </w:r>
      <w:r>
        <w:rPr>
          <w:vertAlign w:val="superscript"/>
          <w:rtl/>
        </w:rPr>
        <w:instrText xml:space="preserve"> REF b5_note11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11</w:t>
      </w:r>
      <w:r>
        <w:rPr>
          <w:vertAlign w:val="superscript"/>
          <w:rtl/>
        </w:rPr>
        <w:fldChar w:fldCharType="end"/>
      </w:r>
      <w:r>
        <w:rPr>
          <w:rtl/>
        </w:rPr>
        <w:t>.</w:t>
      </w:r>
    </w:p>
    <w:bookmarkStart w:id="5868" w:name="b5_note8"/>
    <w:p w14:paraId="3F736226" w14:textId="34E8649C" w:rsidR="00AB3647" w:rsidRDefault="00000000" w:rsidP="007923E9">
      <w:pPr>
        <w:spacing w:before="120" w:after="100" w:line="276" w:lineRule="auto"/>
        <w:jc w:val="both"/>
      </w:pPr>
      <w:r>
        <w:fldChar w:fldCharType="begin" w:dirty="true"/>
      </w:r>
      <w:r>
        <w:instrText>HYPERLINK \l "b5_ref8"</w:instrText>
      </w:r>
      <w:r>
        <w:fldChar w:fldCharType="separate"/>
      </w:r>
      <w:r>
        <w:rPr>
          <w:b/>
          <w:bCs/>
          <w:rtl/>
        </w:rPr>
        <w:t>8</w:t>
      </w:r>
      <w:r>
        <w:rPr>
          <w:b/>
          <w:bCs/>
        </w:rPr>
        <w:fldChar w:fldCharType="end"/>
      </w:r>
      <w:bookmarkEnd w:id="5868"/>
      <w:r>
        <w:rPr>
          <w:rtl/>
        </w:rPr>
        <w:t xml:space="preserve"> אבי לא הסביר מדוע האדים הסבא, אבל אפשר לשער שבשעה שמתח ביקורת על תלמידו על עיסוקו בתנ״ך, נזכר בעיסוקו שלו כמלמד תנ״ך </w:t>
      </w:r>
      <w:proofErr w:type="spellStart"/>
      <w:r>
        <w:rPr>
          <w:rtl/>
        </w:rPr>
        <w:t>בגרובין</w:t>
      </w:r>
      <w:proofErr w:type="spellEnd"/>
      <w:r>
        <w:rPr>
          <w:rtl/>
        </w:rPr>
        <w:t xml:space="preserve"> – השווה פרק 4, הפסקה השנייה של </w:t>
      </w:r>
      <w:r>
        <w:rPr>
          <w:rtl/>
        </w:rPr>
        <w:fldChar w:fldCharType="begin" w:dirty="true"/>
      </w:r>
      <w:r>
        <w:rPr>
          <w:rtl/>
        </w:rPr>
        <w:instrText xml:space="preserve"> REF b4_excB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 עיסוק אשר ודאי דרש ממנו להתעמק בתחום זה</w:t>
      </w:r>
      <w:bookmarkStart w:id="5869" w:name="_fnr4468"/>
      <w:r>
        <w:rPr>
          <w:rStyle w:val="a5"/>
        </w:rPr>
        <w:footnoteReference w:id="4479" w:customMarkFollows="0"/>
      </w:r>
      <w:bookmarkEnd w:id="5869"/>
      <w:r>
        <w:rPr>
          <w:rtl/>
        </w:rPr>
        <w:t>.</w:t>
      </w:r>
    </w:p>
    <w:bookmarkStart w:id="5870" w:name="b5_note9"/>
    <w:p w14:paraId="488910D0" w14:textId="77777777" w:rsidR="00AB3647" w:rsidRDefault="00000000" w:rsidP="007923E9">
      <w:pPr>
        <w:spacing w:before="120" w:after="100" w:line="276" w:lineRule="auto"/>
        <w:jc w:val="both"/>
      </w:pPr>
      <w:r>
        <w:fldChar w:fldCharType="begin" w:dirty="true"/>
      </w:r>
      <w:r>
        <w:instrText>HYPERLINK \l "b5_ref9"</w:instrText>
      </w:r>
      <w:r>
        <w:fldChar w:fldCharType="separate"/>
      </w:r>
      <w:r>
        <w:rPr>
          <w:b/>
          <w:bCs/>
          <w:rtl/>
        </w:rPr>
        <w:t>9</w:t>
      </w:r>
      <w:r>
        <w:rPr>
          <w:b/>
          <w:bCs/>
        </w:rPr>
        <w:fldChar w:fldCharType="end"/>
      </w:r>
      <w:bookmarkEnd w:id="5870"/>
      <w:r>
        <w:rPr>
          <w:rtl/>
        </w:rPr>
        <w:t xml:space="preserve"> הפייטן האלמוני שפיוטו נאמר ביום החמישי של הסליחות לפי מנהג ליטא – </w:t>
      </w:r>
      <w:proofErr w:type="spellStart"/>
      <w:r>
        <w:rPr>
          <w:rtl/>
        </w:rPr>
        <w:t>ב“שנייה</w:t>
      </w:r>
      <w:proofErr w:type="spellEnd"/>
      <w:r>
        <w:rPr>
          <w:rtl/>
        </w:rPr>
        <w:t>” הפותחת “</w:t>
      </w:r>
      <w:proofErr w:type="spellStart"/>
      <w:r>
        <w:rPr>
          <w:rtl/>
        </w:rPr>
        <w:t>א־להים</w:t>
      </w:r>
      <w:proofErr w:type="spellEnd"/>
      <w:r>
        <w:rPr>
          <w:rtl/>
        </w:rPr>
        <w:t xml:space="preserve"> בישראל”; בפולין הוא נאמר ביום שלפני ערב יום הכיפורים – ביסס שורה זו על צירוף של שני פסוקים בתנ״ך: “מי יקום יעקב כי קטון הוא” (עמוס ז, ב; ה), </w:t>
      </w:r>
      <w:proofErr w:type="spellStart"/>
      <w:r>
        <w:rPr>
          <w:rtl/>
        </w:rPr>
        <w:t>ו“ידל</w:t>
      </w:r>
      <w:proofErr w:type="spellEnd"/>
      <w:r>
        <w:rPr>
          <w:rtl/>
        </w:rPr>
        <w:t xml:space="preserve"> כבוד יעקב” (</w:t>
      </w:r>
      <w:proofErr w:type="spellStart"/>
      <w:r>
        <w:rPr>
          <w:rtl/>
        </w:rPr>
        <w:t>ישעי</w:t>
      </w:r>
      <w:proofErr w:type="spellEnd"/>
      <w:r>
        <w:rPr>
          <w:rtl/>
        </w:rPr>
        <w:t xml:space="preserve">’ </w:t>
      </w:r>
      <w:proofErr w:type="spellStart"/>
      <w:r>
        <w:rPr>
          <w:rtl/>
        </w:rPr>
        <w:t>יז</w:t>
      </w:r>
      <w:proofErr w:type="spellEnd"/>
      <w:r>
        <w:rPr>
          <w:rtl/>
        </w:rPr>
        <w:t xml:space="preserve">, ד). השווה גם את סוף הסליחה ליום השני, הפותחת “אם </w:t>
      </w:r>
      <w:proofErr w:type="spellStart"/>
      <w:r>
        <w:rPr>
          <w:rtl/>
        </w:rPr>
        <w:t>עוונינו</w:t>
      </w:r>
      <w:proofErr w:type="spellEnd"/>
      <w:r>
        <w:rPr>
          <w:rtl/>
        </w:rPr>
        <w:t xml:space="preserve">”: היא </w:t>
      </w:r>
      <w:r>
        <w:rPr>
          <w:rtl/>
        </w:rPr>
        <w:lastRenderedPageBreak/>
        <w:t>משתמשת באותה לשון, אבל הופכת את סדר שתי המילים הראשונות (“קטן כי”), כדי להשלים את האקרוסטיכון שבו חתם המחבר את שמו בפיוט: שלמה (הבבלי) הקטן.</w:t>
      </w:r>
    </w:p>
    <w:p w14:paraId="4D56E091" w14:textId="77777777" w:rsidR="00AB3647" w:rsidRDefault="00000000" w:rsidP="007923E9">
      <w:pPr>
        <w:spacing w:after="100" w:line="276" w:lineRule="auto"/>
        <w:ind w:firstLine="340"/>
        <w:jc w:val="both"/>
      </w:pPr>
      <w:r>
        <w:rPr>
          <w:rtl/>
        </w:rPr>
        <w:t xml:space="preserve">כשסיפר אבי מעשה זה לחתנו, לא הזכיר מתי בדיוק אירע. שני דברים הביאו אותי לשער שהמעשה אירע בסוף תרס״ז, כשראש השנה נכנס במוצאי יום ראשון, והסליחות נאמרו במשך שבוע שלם לפניו: ציטוטו </w:t>
      </w:r>
      <w:proofErr w:type="spellStart"/>
      <w:r>
        <w:rPr>
          <w:rtl/>
        </w:rPr>
        <w:t>הלא־מוכר</w:t>
      </w:r>
      <w:proofErr w:type="spellEnd"/>
      <w:r>
        <w:rPr>
          <w:rtl/>
        </w:rPr>
        <w:t xml:space="preserve"> של הסבא, שטבעי היה שיעלה על דעתו של ר׳ </w:t>
      </w:r>
      <w:proofErr w:type="spellStart"/>
      <w:r>
        <w:rPr>
          <w:rtl/>
        </w:rPr>
        <w:t>נתן־צבי</w:t>
      </w:r>
      <w:proofErr w:type="spellEnd"/>
      <w:r>
        <w:rPr>
          <w:rtl/>
        </w:rPr>
        <w:t xml:space="preserve"> </w:t>
      </w:r>
      <w:proofErr w:type="spellStart"/>
      <w:r>
        <w:rPr>
          <w:rtl/>
        </w:rPr>
        <w:t>פינקל</w:t>
      </w:r>
      <w:proofErr w:type="spellEnd"/>
      <w:r>
        <w:rPr>
          <w:rtl/>
        </w:rPr>
        <w:t xml:space="preserve"> ביום שבו נאמר; ובדיקת הלוח – באיזו שנה היה שבוע הסליחות ארוך דיו כדי שר׳ </w:t>
      </w:r>
      <w:proofErr w:type="spellStart"/>
      <w:r>
        <w:rPr>
          <w:rtl/>
        </w:rPr>
        <w:t>לייזר־יודל</w:t>
      </w:r>
      <w:proofErr w:type="spellEnd"/>
      <w:r>
        <w:rPr>
          <w:rtl/>
        </w:rPr>
        <w:t xml:space="preserve"> יפנה זמן מתפקידיו בישיבתו הרחוקה, ייסע ממיר </w:t>
      </w:r>
      <w:proofErr w:type="spellStart"/>
      <w:r>
        <w:rPr>
          <w:rtl/>
        </w:rPr>
        <w:t>לסלבודקה</w:t>
      </w:r>
      <w:proofErr w:type="spellEnd"/>
      <w:r>
        <w:rPr>
          <w:rtl/>
        </w:rPr>
        <w:t xml:space="preserve"> ויחזור לראש השנה.</w:t>
      </w:r>
    </w:p>
    <w:p w14:paraId="18F1EED3" w14:textId="77777777" w:rsidR="00AB3647" w:rsidRDefault="00000000" w:rsidP="007923E9">
      <w:pPr>
        <w:spacing w:after="100" w:line="276" w:lineRule="auto"/>
        <w:ind w:firstLine="340"/>
        <w:jc w:val="both"/>
      </w:pPr>
      <w:r>
        <w:rPr>
          <w:rtl/>
        </w:rPr>
        <w:t xml:space="preserve">לפי הלוח, ייתכן גם שהמעשה אירע </w:t>
      </w:r>
      <w:proofErr w:type="spellStart"/>
      <w:r>
        <w:rPr>
          <w:rtl/>
        </w:rPr>
        <w:t>בתר״ע</w:t>
      </w:r>
      <w:proofErr w:type="spellEnd"/>
      <w:r>
        <w:rPr>
          <w:rtl/>
        </w:rPr>
        <w:t xml:space="preserve"> או </w:t>
      </w:r>
      <w:proofErr w:type="spellStart"/>
      <w:r>
        <w:rPr>
          <w:rtl/>
        </w:rPr>
        <w:t>בתרע״ד</w:t>
      </w:r>
      <w:proofErr w:type="spellEnd"/>
      <w:r>
        <w:rPr>
          <w:rtl/>
        </w:rPr>
        <w:t xml:space="preserve">. אבל בתאריך המאוחר ודאי, ואף במוקדם, כבר היה אבי, בן עשרים ושלוש או </w:t>
      </w:r>
      <w:proofErr w:type="spellStart"/>
      <w:r>
        <w:rPr>
          <w:rtl/>
        </w:rPr>
        <w:t>תשע־עשרה</w:t>
      </w:r>
      <w:proofErr w:type="spellEnd"/>
      <w:r>
        <w:rPr>
          <w:rtl/>
        </w:rPr>
        <w:t xml:space="preserve">, מבוגר מכדי שהסבא ימעיט בערכו בהערה כזו. התיארוך </w:t>
      </w:r>
      <w:proofErr w:type="spellStart"/>
      <w:r>
        <w:rPr>
          <w:rtl/>
        </w:rPr>
        <w:t>לתרס״ז</w:t>
      </w:r>
      <w:proofErr w:type="spellEnd"/>
      <w:r>
        <w:rPr>
          <w:rtl/>
        </w:rPr>
        <w:t xml:space="preserve">, כשהיה בן </w:t>
      </w:r>
      <w:proofErr w:type="spellStart"/>
      <w:r>
        <w:rPr>
          <w:rtl/>
        </w:rPr>
        <w:t>שש־עשרה</w:t>
      </w:r>
      <w:proofErr w:type="spellEnd"/>
      <w:r>
        <w:rPr>
          <w:rtl/>
        </w:rPr>
        <w:t xml:space="preserve"> בלבד, נראה מתאים.</w:t>
      </w:r>
    </w:p>
    <w:bookmarkStart w:id="5871" w:name="b5_note10"/>
    <w:p w14:paraId="1463C775" w14:textId="52687B54" w:rsidR="00AB3647" w:rsidRDefault="00000000" w:rsidP="007923E9">
      <w:pPr>
        <w:spacing w:before="120" w:after="100" w:line="276" w:lineRule="auto"/>
        <w:jc w:val="both"/>
      </w:pPr>
      <w:r>
        <w:fldChar w:fldCharType="begin" w:dirty="true"/>
      </w:r>
      <w:r>
        <w:instrText>HYPERLINK \l "b5_ref10"</w:instrText>
      </w:r>
      <w:r>
        <w:fldChar w:fldCharType="separate"/>
      </w:r>
      <w:r>
        <w:rPr>
          <w:b/>
          <w:bCs/>
          <w:rtl/>
        </w:rPr>
        <w:t>10</w:t>
      </w:r>
      <w:r>
        <w:rPr>
          <w:b/>
          <w:bCs/>
        </w:rPr>
        <w:fldChar w:fldCharType="end"/>
      </w:r>
      <w:bookmarkEnd w:id="5871"/>
      <w:r>
        <w:rPr>
          <w:rtl/>
        </w:rPr>
        <w:t xml:space="preserve"> השווה פרק 4, הפסקה הראשונה של הערה </w:t>
      </w:r>
      <w:r>
        <w:rPr>
          <w:rtl/>
        </w:rPr>
        <w:fldChar w:fldCharType="begin" w:dirty="true"/>
      </w:r>
      <w:r>
        <w:rPr>
          <w:rtl/>
        </w:rPr>
        <w:instrText xml:space="preserve"> REF b4_note20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20</w:t>
      </w:r>
      <w:r>
        <w:rPr>
          <w:rtl/>
        </w:rPr>
        <w:fldChar w:fldCharType="end"/>
      </w:r>
      <w:r>
        <w:rPr>
          <w:rtl/>
        </w:rPr>
        <w:t>.</w:t>
      </w:r>
    </w:p>
    <w:bookmarkStart w:id="5872" w:name="b5_note11"/>
    <w:p w14:paraId="52E78CD3" w14:textId="0D502A5F" w:rsidR="00AB3647" w:rsidRDefault="00000000" w:rsidP="007923E9">
      <w:pPr>
        <w:spacing w:before="120" w:after="100" w:line="276" w:lineRule="auto"/>
        <w:jc w:val="both"/>
      </w:pPr>
      <w:r>
        <w:fldChar w:fldCharType="begin" w:dirty="true"/>
      </w:r>
      <w:r>
        <w:instrText>HYPERLINK \l "b5_ref11"</w:instrText>
      </w:r>
      <w:r>
        <w:fldChar w:fldCharType="separate"/>
      </w:r>
      <w:r>
        <w:rPr>
          <w:b/>
          <w:bCs/>
          <w:rtl/>
        </w:rPr>
        <w:t>11</w:t>
      </w:r>
      <w:r>
        <w:rPr>
          <w:b/>
          <w:bCs/>
        </w:rPr>
        <w:fldChar w:fldCharType="end"/>
      </w:r>
      <w:bookmarkEnd w:id="5872"/>
      <w:r>
        <w:rPr>
          <w:rtl/>
        </w:rPr>
        <w:t xml:space="preserve"> ראה </w:t>
      </w:r>
      <w:r>
        <w:rPr>
          <w:rtl/>
        </w:rPr>
        <w:fldChar w:fldCharType="begin" w:dirty="true"/>
      </w:r>
      <w:r>
        <w:rPr>
          <w:rtl/>
        </w:rPr>
        <w:instrText xml:space="preserve"> REF b5_excC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ג</w:t>
      </w:r>
      <w:r>
        <w:rPr>
          <w:rtl/>
        </w:rPr>
        <w:fldChar w:fldCharType="end"/>
      </w:r>
      <w:r>
        <w:rPr>
          <w:rtl/>
        </w:rPr>
        <w:t>.</w:t>
      </w:r>
    </w:p>
    <w:p w14:paraId="181252C5" w14:textId="05251B5F"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בסוף אלול התקבלה בכנסת ישראל החלטה נועזת: לראשונה בתולדותיה תלמד הישיבה בזמן החורף</w:t>
      </w:r>
      <w:bookmarkStart w:id="5873" w:name="b5_ref12"/>
      <w:bookmarkEnd w:id="5873"/>
      <w:r>
        <w:rPr>
          <w:vertAlign w:val="superscript"/>
          <w:rtl/>
        </w:rPr>
        <w:fldChar w:fldCharType="begin" w:dirty="true"/>
      </w:r>
      <w:r>
        <w:rPr>
          <w:vertAlign w:val="superscript"/>
          <w:rtl/>
        </w:rPr>
        <w:instrText xml:space="preserve"> REF b5_note12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12</w:t>
      </w:r>
      <w:r>
        <w:rPr>
          <w:vertAlign w:val="superscript"/>
          <w:rtl/>
        </w:rPr>
        <w:fldChar w:fldCharType="end"/>
      </w:r>
      <w:r>
        <w:rPr>
          <w:rtl/>
        </w:rPr>
        <w:t xml:space="preserve"> את אחת משלוש המסכתות הקשות ביותר בתלמוד, מסכת יבמות</w:t>
      </w:r>
      <w:bookmarkStart w:id="5874" w:name="b5_ref13"/>
      <w:bookmarkEnd w:id="5874"/>
      <w:r>
        <w:rPr>
          <w:vertAlign w:val="superscript"/>
          <w:rtl/>
        </w:rPr>
        <w:fldChar w:fldCharType="begin" w:dirty="true"/>
      </w:r>
      <w:r>
        <w:rPr>
          <w:vertAlign w:val="superscript"/>
          <w:rtl/>
        </w:rPr>
        <w:instrText xml:space="preserve"> REF b5_note13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13</w:t>
      </w:r>
      <w:r>
        <w:rPr>
          <w:vertAlign w:val="superscript"/>
          <w:rtl/>
        </w:rPr>
        <w:fldChar w:fldCharType="end"/>
      </w:r>
      <w:r>
        <w:rPr>
          <w:rtl/>
        </w:rPr>
        <w:t>. כל תלמידי הישיבה ניגשו לזמן החדש בחשש, ואפילו ראש הישיבה פחד</w:t>
      </w:r>
      <w:bookmarkStart w:id="5875" w:name="b5_ref14"/>
      <w:bookmarkEnd w:id="5875"/>
      <w:r>
        <w:rPr>
          <w:vertAlign w:val="superscript"/>
          <w:rtl/>
        </w:rPr>
        <w:fldChar w:fldCharType="begin" w:dirty="true"/>
      </w:r>
      <w:r>
        <w:rPr>
          <w:vertAlign w:val="superscript"/>
          <w:rtl/>
        </w:rPr>
        <w:instrText xml:space="preserve"> REF b5_note14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14</w:t>
      </w:r>
      <w:r>
        <w:rPr>
          <w:vertAlign w:val="superscript"/>
          <w:rtl/>
        </w:rPr>
        <w:fldChar w:fldCharType="end"/>
      </w:r>
      <w:r>
        <w:rPr>
          <w:rtl/>
        </w:rPr>
        <w:t xml:space="preserve">. </w:t>
      </w:r>
      <w:proofErr w:type="spellStart"/>
      <w:r>
        <w:rPr>
          <w:rtl/>
        </w:rPr>
        <w:t>הדולהינובר</w:t>
      </w:r>
      <w:proofErr w:type="spellEnd"/>
      <w:r>
        <w:rPr>
          <w:rtl/>
        </w:rPr>
        <w:t xml:space="preserve">, לעומת זאת, לא חשש, מפני שלמד את המסכת </w:t>
      </w:r>
      <w:proofErr w:type="spellStart"/>
      <w:r>
        <w:rPr>
          <w:rtl/>
        </w:rPr>
        <w:t>בקצובישער</w:t>
      </w:r>
      <w:proofErr w:type="spellEnd"/>
      <w:r>
        <w:rPr>
          <w:rtl/>
        </w:rPr>
        <w:t xml:space="preserve"> שול במינסק</w:t>
      </w:r>
      <w:bookmarkStart w:id="5876" w:name="b5_ref15"/>
      <w:bookmarkEnd w:id="5876"/>
      <w:r>
        <w:rPr>
          <w:vertAlign w:val="superscript"/>
          <w:rtl/>
        </w:rPr>
        <w:fldChar w:fldCharType="begin" w:dirty="true"/>
      </w:r>
      <w:r>
        <w:rPr>
          <w:vertAlign w:val="superscript"/>
          <w:rtl/>
        </w:rPr>
        <w:instrText xml:space="preserve"> REF b5_note15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15</w:t>
      </w:r>
      <w:r>
        <w:rPr>
          <w:vertAlign w:val="superscript"/>
          <w:rtl/>
        </w:rPr>
        <w:fldChar w:fldCharType="end"/>
      </w:r>
      <w:r>
        <w:rPr>
          <w:rtl/>
        </w:rPr>
        <w:t>, ובזיכרונו המבורך לא שכח ממנה שורה. אומנם מן התוספות למד אז רק מעט</w:t>
      </w:r>
      <w:bookmarkStart w:id="5877" w:name="b5_ref16"/>
      <w:bookmarkEnd w:id="5877"/>
      <w:r>
        <w:rPr>
          <w:vertAlign w:val="superscript"/>
          <w:rtl/>
        </w:rPr>
        <w:fldChar w:fldCharType="begin" w:dirty="true"/>
      </w:r>
      <w:r>
        <w:rPr>
          <w:vertAlign w:val="superscript"/>
          <w:rtl/>
        </w:rPr>
        <w:instrText xml:space="preserve"> REF b5_note16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16</w:t>
      </w:r>
      <w:r>
        <w:rPr>
          <w:vertAlign w:val="superscript"/>
          <w:rtl/>
        </w:rPr>
        <w:fldChar w:fldCharType="end"/>
      </w:r>
      <w:r>
        <w:rPr>
          <w:rtl/>
        </w:rPr>
        <w:t>, אבל הגמרא נשארה בזיכרונו ברורה, בלי שתימחק.</w:t>
      </w:r>
    </w:p>
    <w:bookmarkStart w:id="5878" w:name="b5_note12"/>
    <w:p w14:paraId="11FE1A6C" w14:textId="77777777" w:rsidR="00AB3647" w:rsidRDefault="00000000" w:rsidP="007923E9">
      <w:pPr>
        <w:spacing w:before="120" w:after="100" w:line="276" w:lineRule="auto"/>
        <w:jc w:val="both"/>
      </w:pPr>
      <w:r>
        <w:fldChar w:fldCharType="begin" w:dirty="true"/>
      </w:r>
      <w:r>
        <w:instrText>HYPERLINK \l "b5_ref12"</w:instrText>
      </w:r>
      <w:r>
        <w:fldChar w:fldCharType="separate"/>
      </w:r>
      <w:r>
        <w:rPr>
          <w:b/>
          <w:bCs/>
          <w:rtl/>
        </w:rPr>
        <w:t>12</w:t>
      </w:r>
      <w:r>
        <w:rPr>
          <w:b/>
          <w:bCs/>
        </w:rPr>
        <w:fldChar w:fldCharType="end"/>
      </w:r>
      <w:bookmarkEnd w:id="5878"/>
      <w:r>
        <w:rPr>
          <w:rtl/>
        </w:rPr>
        <w:t xml:space="preserve"> בישיבת </w:t>
      </w:r>
      <w:proofErr w:type="spellStart"/>
      <w:r>
        <w:rPr>
          <w:rtl/>
        </w:rPr>
        <w:t>וולוז׳ין</w:t>
      </w:r>
      <w:proofErr w:type="spellEnd"/>
      <w:r>
        <w:rPr>
          <w:rtl/>
        </w:rPr>
        <w:t xml:space="preserve"> הקיף השיעור דף שלם בכל יום, והתקדם ממסכת ברכות עד מסכת נידה</w:t>
      </w:r>
      <w:bookmarkStart w:id="5879" w:name="_fnr4469"/>
      <w:r>
        <w:rPr>
          <w:rStyle w:val="a5"/>
        </w:rPr>
        <w:footnoteReference w:id="4480" w:customMarkFollows="0"/>
      </w:r>
      <w:bookmarkEnd w:id="5879"/>
      <w:r>
        <w:rPr>
          <w:rtl/>
        </w:rPr>
        <w:t>, כשהמגיד שיעור קורא את הדף כולו, לרבות קטעי האגדה. יתרה מזו, התלמידים לא נדרשו ללמוד את המסכת שעליה נאמרו השיעורים</w:t>
      </w:r>
      <w:bookmarkStart w:id="5880" w:name="_fnr4470"/>
      <w:r>
        <w:rPr>
          <w:rStyle w:val="a5"/>
        </w:rPr>
        <w:footnoteReference w:id="4481" w:customMarkFollows="0"/>
      </w:r>
      <w:bookmarkEnd w:id="5880"/>
      <w:r>
        <w:rPr>
          <w:rtl/>
        </w:rPr>
        <w:t xml:space="preserve">. </w:t>
      </w:r>
      <w:proofErr w:type="spellStart"/>
      <w:r>
        <w:rPr>
          <w:rtl/>
        </w:rPr>
        <w:t>בסלבודקה</w:t>
      </w:r>
      <w:proofErr w:type="spellEnd"/>
      <w:r>
        <w:rPr>
          <w:rtl/>
        </w:rPr>
        <w:t xml:space="preserve">, לעומת זאת, היו השיעורים בסוגיות נבחרות, ורק במסכתות מסדרי נשים </w:t>
      </w:r>
      <w:proofErr w:type="spellStart"/>
      <w:r>
        <w:rPr>
          <w:rtl/>
        </w:rPr>
        <w:t>ונזיקין</w:t>
      </w:r>
      <w:proofErr w:type="spellEnd"/>
      <w:r>
        <w:rPr>
          <w:rtl/>
        </w:rPr>
        <w:t>, והתלמידים נדרשו ללמוד את המסכת שהישיבה למדה באותה שעה. רק התלמידים המבוגרים יכלו ללמוד “מה שלבם חפץ”</w:t>
      </w:r>
      <w:bookmarkStart w:id="5881" w:name="_fnr4471"/>
      <w:r>
        <w:rPr>
          <w:rStyle w:val="a5"/>
        </w:rPr>
        <w:footnoteReference w:id="4482" w:customMarkFollows="0"/>
      </w:r>
      <w:bookmarkEnd w:id="5881"/>
      <w:r>
        <w:rPr>
          <w:rtl/>
        </w:rPr>
        <w:t>.</w:t>
      </w:r>
    </w:p>
    <w:p w14:paraId="5C486651" w14:textId="7B97C8BA" w:rsidR="00AB3647" w:rsidRDefault="00000000" w:rsidP="007923E9">
      <w:pPr>
        <w:spacing w:before="120" w:after="100" w:line="276" w:lineRule="auto"/>
        <w:jc w:val="both"/>
      </w:pPr>
      <w:proofErr w:type="spellStart"/>
      <w:r>
        <w:rPr>
          <w:rtl/>
        </w:rPr>
        <w:t>ב“עלי</w:t>
      </w:r>
      <w:proofErr w:type="spellEnd"/>
      <w:r>
        <w:rPr>
          <w:rtl/>
        </w:rPr>
        <w:t xml:space="preserve"> </w:t>
      </w:r>
      <w:proofErr w:type="spellStart"/>
      <w:r>
        <w:rPr>
          <w:rtl/>
        </w:rPr>
        <w:t>חלדי</w:t>
      </w:r>
      <w:proofErr w:type="spellEnd"/>
      <w:r>
        <w:rPr>
          <w:rtl/>
        </w:rPr>
        <w:t>”</w:t>
      </w:r>
      <w:bookmarkStart w:id="5882" w:name="_fnr4472"/>
      <w:r>
        <w:rPr>
          <w:rStyle w:val="a5"/>
        </w:rPr>
        <w:footnoteReference w:id="4483" w:customMarkFollows="0"/>
      </w:r>
      <w:bookmarkEnd w:id="5882"/>
      <w:r>
        <w:rPr>
          <w:rtl/>
        </w:rPr>
        <w:t xml:space="preserve"> מתאר ר׳ יצחק </w:t>
      </w:r>
      <w:proofErr w:type="spellStart"/>
      <w:r>
        <w:rPr>
          <w:rtl/>
        </w:rPr>
        <w:t>ניסנבוים</w:t>
      </w:r>
      <w:proofErr w:type="spellEnd"/>
      <w:r>
        <w:rPr>
          <w:rtl/>
        </w:rPr>
        <w:t xml:space="preserve"> את לימודיו </w:t>
      </w:r>
      <w:proofErr w:type="spellStart"/>
      <w:r>
        <w:rPr>
          <w:rtl/>
        </w:rPr>
        <w:t>בוולוז׳ין</w:t>
      </w:r>
      <w:proofErr w:type="spellEnd"/>
      <w:r>
        <w:rPr>
          <w:rtl/>
        </w:rPr>
        <w:t xml:space="preserve"> </w:t>
      </w:r>
      <w:proofErr w:type="spellStart"/>
      <w:r>
        <w:rPr>
          <w:rtl/>
        </w:rPr>
        <w:t>בתרמ״ד</w:t>
      </w:r>
      <w:proofErr w:type="spellEnd"/>
      <w:r>
        <w:rPr>
          <w:rtl/>
        </w:rPr>
        <w:t xml:space="preserve">: “ביום הראשון, השני והשלישי לשבוע הגיד רבי חיים </w:t>
      </w:r>
      <w:proofErr w:type="spellStart"/>
      <w:r>
        <w:rPr>
          <w:rtl/>
        </w:rPr>
        <w:t>סולוביציק</w:t>
      </w:r>
      <w:proofErr w:type="spellEnd"/>
      <w:r>
        <w:rPr>
          <w:rtl/>
        </w:rPr>
        <w:t xml:space="preserve">, וביום הרביעי, החמישי </w:t>
      </w:r>
      <w:proofErr w:type="spellStart"/>
      <w:r>
        <w:rPr>
          <w:rtl/>
        </w:rPr>
        <w:t>והששי</w:t>
      </w:r>
      <w:proofErr w:type="spellEnd"/>
      <w:r>
        <w:rPr>
          <w:rtl/>
        </w:rPr>
        <w:t xml:space="preserve"> </w:t>
      </w:r>
      <w:proofErr w:type="spellStart"/>
      <w:r>
        <w:rPr>
          <w:rtl/>
        </w:rPr>
        <w:t>הנצי״ב</w:t>
      </w:r>
      <w:proofErr w:type="spellEnd"/>
      <w:r>
        <w:rPr>
          <w:rtl/>
        </w:rPr>
        <w:t xml:space="preserve"> – ביום הששי את </w:t>
      </w:r>
      <w:proofErr w:type="spellStart"/>
      <w:r>
        <w:rPr>
          <w:rtl/>
        </w:rPr>
        <w:t>הרא״ש</w:t>
      </w:r>
      <w:proofErr w:type="spellEnd"/>
      <w:r>
        <w:rPr>
          <w:rtl/>
        </w:rPr>
        <w:t xml:space="preserve">. – </w:t>
      </w:r>
      <w:proofErr w:type="spellStart"/>
      <w:r>
        <w:rPr>
          <w:rtl/>
        </w:rPr>
        <w:t>הנצי״ב</w:t>
      </w:r>
      <w:proofErr w:type="spellEnd"/>
      <w:r>
        <w:rPr>
          <w:rtl/>
        </w:rPr>
        <w:t xml:space="preserve"> לא היה חולץ את </w:t>
      </w:r>
      <w:proofErr w:type="spellStart"/>
      <w:r>
        <w:rPr>
          <w:rtl/>
        </w:rPr>
        <w:t>תפליו</w:t>
      </w:r>
      <w:proofErr w:type="spellEnd"/>
      <w:r>
        <w:rPr>
          <w:rtl/>
        </w:rPr>
        <w:t xml:space="preserve"> כל היום </w:t>
      </w:r>
      <w:proofErr w:type="spellStart"/>
      <w:r>
        <w:rPr>
          <w:rtl/>
        </w:rPr>
        <w:t>ובתפליו</w:t>
      </w:r>
      <w:proofErr w:type="spellEnd"/>
      <w:r>
        <w:rPr>
          <w:rtl/>
        </w:rPr>
        <w:t xml:space="preserve"> הגיד גם את </w:t>
      </w:r>
      <w:proofErr w:type="spellStart"/>
      <w:r>
        <w:rPr>
          <w:rtl/>
        </w:rPr>
        <w:t>השעור</w:t>
      </w:r>
      <w:proofErr w:type="spellEnd"/>
      <w:r>
        <w:rPr>
          <w:rtl/>
        </w:rPr>
        <w:t xml:space="preserve">. עצם </w:t>
      </w:r>
      <w:proofErr w:type="spellStart"/>
      <w:r>
        <w:rPr>
          <w:rtl/>
        </w:rPr>
        <w:t>השעור</w:t>
      </w:r>
      <w:proofErr w:type="spellEnd"/>
      <w:r>
        <w:rPr>
          <w:rtl/>
        </w:rPr>
        <w:t xml:space="preserve"> של רבי חיים היה באמת רק פעם אחת בשבוע, ביום השני, אז אמר את </w:t>
      </w:r>
      <w:proofErr w:type="spellStart"/>
      <w:r>
        <w:rPr>
          <w:rtl/>
        </w:rPr>
        <w:t>חדושו</w:t>
      </w:r>
      <w:proofErr w:type="spellEnd"/>
      <w:r>
        <w:rPr>
          <w:rtl/>
        </w:rPr>
        <w:t xml:space="preserve">. בשני הימים הנשארים היה עובר במהירות רבה על דף הגמרא ועד שהתלמידים נאספו כולם אל שלחנו, כבר גמר את </w:t>
      </w:r>
      <w:proofErr w:type="spellStart"/>
      <w:r>
        <w:rPr>
          <w:rtl/>
        </w:rPr>
        <w:t>השעור</w:t>
      </w:r>
      <w:proofErr w:type="spellEnd"/>
      <w:r>
        <w:rPr>
          <w:rtl/>
        </w:rPr>
        <w:t xml:space="preserve">. אולם </w:t>
      </w:r>
      <w:proofErr w:type="spellStart"/>
      <w:r>
        <w:rPr>
          <w:rtl/>
        </w:rPr>
        <w:t>בחדוש</w:t>
      </w:r>
      <w:proofErr w:type="spellEnd"/>
      <w:r>
        <w:rPr>
          <w:rtl/>
        </w:rPr>
        <w:t xml:space="preserve"> שחדש ביום השני הספיק מזון רוחני לטובי </w:t>
      </w:r>
      <w:r>
        <w:rPr>
          <w:rtl/>
        </w:rPr>
        <w:lastRenderedPageBreak/>
        <w:t xml:space="preserve">התלמידים לכל ימות השבוע. התלמידים האלה היו מבקרים גם בביתו של רבי חיים והיו מפלפלים עמו בדברי תורה... שעוריו של </w:t>
      </w:r>
      <w:proofErr w:type="spellStart"/>
      <w:r>
        <w:rPr>
          <w:rtl/>
        </w:rPr>
        <w:t>הנצי״ב</w:t>
      </w:r>
      <w:proofErr w:type="spellEnd"/>
      <w:r>
        <w:rPr>
          <w:rtl/>
        </w:rPr>
        <w:t xml:space="preserve"> הצטיינו בפשט הגמרא </w:t>
      </w:r>
      <w:proofErr w:type="spellStart"/>
      <w:r>
        <w:rPr>
          <w:rtl/>
        </w:rPr>
        <w:t>ובחדושים</w:t>
      </w:r>
      <w:proofErr w:type="spellEnd"/>
      <w:r>
        <w:rPr>
          <w:rtl/>
        </w:rPr>
        <w:t xml:space="preserve"> קצרים בלתי עמוקים. כשהקשה איזה תלמיד על </w:t>
      </w:r>
      <w:proofErr w:type="spellStart"/>
      <w:r>
        <w:rPr>
          <w:rtl/>
        </w:rPr>
        <w:t>החדוש</w:t>
      </w:r>
      <w:proofErr w:type="spellEnd"/>
      <w:r>
        <w:rPr>
          <w:rtl/>
        </w:rPr>
        <w:t xml:space="preserve"> שחדש, אז חשב מעט. אם מצא תשובה, השיב, ואם לא, אמר: ‘</w:t>
      </w:r>
      <w:proofErr w:type="spellStart"/>
      <w:r>
        <w:rPr>
          <w:rtl/>
        </w:rPr>
        <w:t>הקושיא</w:t>
      </w:r>
      <w:proofErr w:type="spellEnd"/>
      <w:r>
        <w:rPr>
          <w:rtl/>
        </w:rPr>
        <w:t xml:space="preserve"> שהקשית – היא קושיא, אבל </w:t>
      </w:r>
      <w:proofErr w:type="spellStart"/>
      <w:r>
        <w:rPr>
          <w:rtl/>
        </w:rPr>
        <w:t>חדושי</w:t>
      </w:r>
      <w:proofErr w:type="spellEnd"/>
      <w:r>
        <w:rPr>
          <w:rtl/>
        </w:rPr>
        <w:t xml:space="preserve"> הוא נכון’, ולמד הלאה. לי התאימו אז יותר שעוריו של </w:t>
      </w:r>
      <w:proofErr w:type="spellStart"/>
      <w:r>
        <w:rPr>
          <w:rtl/>
        </w:rPr>
        <w:t>הנצי״ב</w:t>
      </w:r>
      <w:proofErr w:type="spellEnd"/>
      <w:r>
        <w:rPr>
          <w:rtl/>
        </w:rPr>
        <w:t xml:space="preserve">”. השווה גם את הציטוט מזיכרונותיו של </w:t>
      </w:r>
      <w:proofErr w:type="spellStart"/>
      <w:r>
        <w:rPr>
          <w:rtl/>
        </w:rPr>
        <w:t>יהושע־לייב</w:t>
      </w:r>
      <w:proofErr w:type="spellEnd"/>
      <w:r>
        <w:rPr>
          <w:rtl/>
        </w:rPr>
        <w:t xml:space="preserve"> </w:t>
      </w:r>
      <w:proofErr w:type="spellStart"/>
      <w:r>
        <w:rPr>
          <w:rtl/>
        </w:rPr>
        <w:t>ראדוס</w:t>
      </w:r>
      <w:bookmarkStart w:id="5883" w:name="_fnr4473"/>
      <w:proofErr w:type="spellEnd"/>
      <w:r>
        <w:rPr>
          <w:rStyle w:val="a5"/>
        </w:rPr>
        <w:footnoteReference w:id="4484" w:customMarkFollows="0"/>
      </w:r>
      <w:bookmarkEnd w:id="5883"/>
      <w:r>
        <w:rPr>
          <w:rtl/>
        </w:rPr>
        <w:t xml:space="preserve">, המובא בפרק 4, הפסקה החמישית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על ההבדלים בין </w:t>
      </w:r>
      <w:proofErr w:type="spellStart"/>
      <w:r>
        <w:rPr>
          <w:rtl/>
        </w:rPr>
        <w:t>הנצי״ב</w:t>
      </w:r>
      <w:proofErr w:type="spellEnd"/>
      <w:r>
        <w:rPr>
          <w:rtl/>
        </w:rPr>
        <w:t xml:space="preserve"> </w:t>
      </w:r>
      <w:proofErr w:type="spellStart"/>
      <w:r>
        <w:rPr>
          <w:rtl/>
        </w:rPr>
        <w:t>לר</w:t>
      </w:r>
      <w:proofErr w:type="spellEnd"/>
      <w:r>
        <w:rPr>
          <w:rtl/>
        </w:rPr>
        <w:t>׳ חיים.</w:t>
      </w:r>
    </w:p>
    <w:p w14:paraId="608A1D65" w14:textId="40A158E7" w:rsidR="00AB3647" w:rsidRDefault="00000000" w:rsidP="007923E9">
      <w:pPr>
        <w:spacing w:before="120" w:after="100" w:line="276" w:lineRule="auto"/>
        <w:jc w:val="both"/>
      </w:pPr>
      <w:r>
        <w:rPr>
          <w:rtl/>
        </w:rPr>
        <w:t xml:space="preserve">מסתבר שישיבת </w:t>
      </w:r>
      <w:proofErr w:type="spellStart"/>
      <w:r>
        <w:rPr>
          <w:rtl/>
        </w:rPr>
        <w:t>סלבודקה</w:t>
      </w:r>
      <w:proofErr w:type="spellEnd"/>
      <w:r>
        <w:rPr>
          <w:rtl/>
        </w:rPr>
        <w:t>, בהנחיית הסבא ו</w:t>
      </w:r>
      <w:r>
        <w:rPr>
          <w:b/>
          <w:bCs/>
          <w:rtl/>
        </w:rPr>
        <w:t>כנראה בשנותיה הראשונות</w:t>
      </w:r>
      <w:r>
        <w:rPr>
          <w:rtl/>
        </w:rPr>
        <w:t>, הנהיגה לימוד בלעדי של “</w:t>
      </w:r>
      <w:proofErr w:type="spellStart"/>
      <w:r>
        <w:rPr>
          <w:rtl/>
        </w:rPr>
        <w:t>ישיבה־מסכתות</w:t>
      </w:r>
      <w:proofErr w:type="spellEnd"/>
      <w:r>
        <w:rPr>
          <w:rtl/>
        </w:rPr>
        <w:t xml:space="preserve">”, ושאר הישיבות הלכו בעקבותיה – השווה פרק 3, 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השווה גם פרק 4, הפסקה הרביעית של </w:t>
      </w:r>
      <w:r>
        <w:rPr>
          <w:rtl/>
        </w:rPr>
        <w:fldChar w:fldCharType="begin" w:dirty="true"/>
      </w:r>
      <w:r>
        <w:rPr>
          <w:rtl/>
        </w:rPr>
        <w:instrText xml:space="preserve"> REF b4_excA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א</w:t>
      </w:r>
      <w:r>
        <w:rPr>
          <w:rtl/>
        </w:rPr>
        <w:fldChar w:fldCharType="end"/>
      </w:r>
      <w:r>
        <w:rPr>
          <w:rtl/>
        </w:rPr>
        <w:t xml:space="preserve">, על מנהגים אחרים של </w:t>
      </w:r>
      <w:proofErr w:type="spellStart"/>
      <w:r>
        <w:rPr>
          <w:rtl/>
        </w:rPr>
        <w:t>סלבודקה</w:t>
      </w:r>
      <w:proofErr w:type="spellEnd"/>
      <w:r>
        <w:rPr>
          <w:rtl/>
        </w:rPr>
        <w:t xml:space="preserve"> שאומצו בעולם הישיבות, ופרק 3,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שר׳ </w:t>
      </w:r>
      <w:proofErr w:type="spellStart"/>
      <w:r>
        <w:rPr>
          <w:rtl/>
        </w:rPr>
        <w:t>איסר־זלמן</w:t>
      </w:r>
      <w:proofErr w:type="spellEnd"/>
      <w:r>
        <w:rPr>
          <w:rtl/>
        </w:rPr>
        <w:t xml:space="preserve"> מלצר אמר: “[ב]’הלכות ישיבה’... הסבא </w:t>
      </w:r>
      <w:proofErr w:type="spellStart"/>
      <w:r>
        <w:rPr>
          <w:rtl/>
        </w:rPr>
        <w:t>מסלבודקה</w:t>
      </w:r>
      <w:proofErr w:type="spellEnd"/>
      <w:r>
        <w:rPr>
          <w:rtl/>
        </w:rPr>
        <w:t>... הוא פוסק הדור”.</w:t>
      </w:r>
    </w:p>
    <w:bookmarkStart w:id="5884" w:name="b5_note13"/>
    <w:p w14:paraId="2D96A214" w14:textId="08DC6439" w:rsidR="00AB3647" w:rsidRDefault="00000000" w:rsidP="007923E9">
      <w:pPr>
        <w:spacing w:before="120" w:after="100" w:line="276" w:lineRule="auto"/>
        <w:jc w:val="both"/>
      </w:pPr>
      <w:r>
        <w:fldChar w:fldCharType="begin" w:dirty="true"/>
      </w:r>
      <w:r>
        <w:instrText>HYPERLINK \l "b5_ref13"</w:instrText>
      </w:r>
      <w:r>
        <w:fldChar w:fldCharType="separate"/>
      </w:r>
      <w:r>
        <w:rPr>
          <w:b/>
          <w:bCs/>
          <w:rtl/>
        </w:rPr>
        <w:t>13</w:t>
      </w:r>
      <w:r>
        <w:rPr>
          <w:b/>
          <w:bCs/>
        </w:rPr>
        <w:fldChar w:fldCharType="end"/>
      </w:r>
      <w:bookmarkEnd w:id="5884"/>
      <w:r>
        <w:rPr>
          <w:rtl/>
        </w:rPr>
        <w:t xml:space="preserve"> מלבד יבמות, שתי המסכתות הקשות האחרות הן עירובין ונידה. הקושי בשלושתן הוא בירור המציאות של המקרים הנידונים. מסכתות אחרות קשות בתוכנן – כפי שמצא ר׳ לייזר גורדון במסכת בבא מציעא: השווה פרק 3, אמצע הפסקה השנייה של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w:t>
      </w:r>
    </w:p>
    <w:bookmarkStart w:id="5885" w:name="b5_note14"/>
    <w:p w14:paraId="06D4B2CF" w14:textId="77777777" w:rsidR="00AB3647" w:rsidRDefault="00000000" w:rsidP="007923E9">
      <w:pPr>
        <w:spacing w:before="120" w:after="100" w:line="276" w:lineRule="auto"/>
        <w:jc w:val="both"/>
      </w:pPr>
      <w:r>
        <w:fldChar w:fldCharType="begin" w:dirty="true"/>
      </w:r>
      <w:r>
        <w:instrText>HYPERLINK \l "b5_ref14"</w:instrText>
      </w:r>
      <w:r>
        <w:fldChar w:fldCharType="separate"/>
      </w:r>
      <w:r>
        <w:rPr>
          <w:b/>
          <w:bCs/>
          <w:rtl/>
        </w:rPr>
        <w:t>14</w:t>
      </w:r>
      <w:r>
        <w:rPr>
          <w:b/>
          <w:bCs/>
        </w:rPr>
        <w:fldChar w:fldCharType="end"/>
      </w:r>
      <w:bookmarkEnd w:id="5885"/>
      <w:r>
        <w:rPr>
          <w:rtl/>
        </w:rPr>
        <w:t xml:space="preserve"> לפי ר׳ יצחק </w:t>
      </w:r>
      <w:proofErr w:type="spellStart"/>
      <w:r>
        <w:rPr>
          <w:rtl/>
        </w:rPr>
        <w:t>שורין</w:t>
      </w:r>
      <w:bookmarkStart w:id="5886" w:name="_fnr4474"/>
      <w:proofErr w:type="spellEnd"/>
      <w:r>
        <w:rPr>
          <w:rStyle w:val="a5"/>
        </w:rPr>
        <w:footnoteReference w:id="4485" w:customMarkFollows="0"/>
      </w:r>
      <w:bookmarkEnd w:id="5886"/>
      <w:r>
        <w:rPr>
          <w:rtl/>
        </w:rPr>
        <w:t xml:space="preserve">. וזו לשונו של אבי על ראש הישיבה: “אפילו ר׳ </w:t>
      </w:r>
      <w:proofErr w:type="spellStart"/>
      <w:r>
        <w:rPr>
          <w:rtl/>
        </w:rPr>
        <w:t>משה־מרדכי</w:t>
      </w:r>
      <w:proofErr w:type="spellEnd"/>
      <w:r>
        <w:rPr>
          <w:rtl/>
        </w:rPr>
        <w:t xml:space="preserve"> רעד – האט </w:t>
      </w:r>
      <w:proofErr w:type="spellStart"/>
      <w:r>
        <w:rPr>
          <w:rtl/>
        </w:rPr>
        <w:t>געציטערט</w:t>
      </w:r>
      <w:proofErr w:type="spellEnd"/>
      <w:r>
        <w:rPr>
          <w:rtl/>
        </w:rPr>
        <w:t>”.</w:t>
      </w:r>
    </w:p>
    <w:bookmarkStart w:id="5887" w:name="b5_note15"/>
    <w:p w14:paraId="28DC6500" w14:textId="77777777" w:rsidR="00AB3647" w:rsidRDefault="00000000" w:rsidP="007923E9">
      <w:pPr>
        <w:spacing w:before="120" w:after="100" w:line="276" w:lineRule="auto"/>
        <w:jc w:val="both"/>
      </w:pPr>
      <w:r>
        <w:fldChar w:fldCharType="begin" w:dirty="true"/>
      </w:r>
      <w:r>
        <w:instrText>HYPERLINK \l "b5_ref15"</w:instrText>
      </w:r>
      <w:r>
        <w:fldChar w:fldCharType="separate"/>
      </w:r>
      <w:r>
        <w:rPr>
          <w:b/>
          <w:bCs/>
          <w:rtl/>
        </w:rPr>
        <w:t>15</w:t>
      </w:r>
      <w:r>
        <w:rPr>
          <w:b/>
          <w:bCs/>
        </w:rPr>
        <w:fldChar w:fldCharType="end"/>
      </w:r>
      <w:bookmarkEnd w:id="5887"/>
      <w:r>
        <w:rPr>
          <w:rtl/>
        </w:rPr>
        <w:t xml:space="preserve"> השווה פרק 2.3.</w:t>
      </w:r>
    </w:p>
    <w:bookmarkStart w:id="5888" w:name="b5_note16"/>
    <w:p w14:paraId="2A1B7483" w14:textId="09FD8B11" w:rsidR="00AB3647" w:rsidRDefault="00000000" w:rsidP="007923E9">
      <w:pPr>
        <w:spacing w:before="120" w:after="100" w:line="276" w:lineRule="auto"/>
        <w:jc w:val="both"/>
      </w:pPr>
      <w:r>
        <w:fldChar w:fldCharType="begin" w:dirty="true"/>
      </w:r>
      <w:r>
        <w:instrText>HYPERLINK \l "b5_ref16"</w:instrText>
      </w:r>
      <w:r>
        <w:fldChar w:fldCharType="separate"/>
      </w:r>
      <w:r>
        <w:rPr>
          <w:b/>
          <w:bCs/>
          <w:rtl/>
        </w:rPr>
        <w:t>16</w:t>
      </w:r>
      <w:r>
        <w:rPr>
          <w:b/>
          <w:bCs/>
        </w:rPr>
        <w:fldChar w:fldCharType="end"/>
      </w:r>
      <w:bookmarkEnd w:id="5888"/>
      <w:r>
        <w:rPr>
          <w:rtl/>
        </w:rPr>
        <w:t xml:space="preserve"> השווה פרק 2, הערה </w:t>
      </w:r>
      <w:r>
        <w:rPr>
          <w:rtl/>
        </w:rPr>
        <w:fldChar w:fldCharType="begin" w:dirty="true"/>
      </w:r>
      <w:r>
        <w:rPr>
          <w:rtl/>
        </w:rPr>
        <w:instrText xml:space="preserve"> REF b2_note63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63</w:t>
      </w:r>
      <w:r>
        <w:rPr>
          <w:rtl/>
        </w:rPr>
        <w:fldChar w:fldCharType="end"/>
      </w:r>
      <w:r>
        <w:rPr>
          <w:rtl/>
        </w:rPr>
        <w:t>.</w:t>
      </w:r>
    </w:p>
    <w:p w14:paraId="7A519250" w14:textId="72C8BB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צירפו אליו לחברותא בחור מבוגר ממנו, והם התחילו ללמוד יחד מיד אחרי יום הכיפורים. מסיבה שרבנו לא ידע להגדיר, לא יכול היה לסבול את חברו. האם הזמן שנזקק לו אפילו בחור מבוגר כדי לפענח את קשרי המשפחה הסבוכים, שהמסכת מלאה בהם, היה בזבוז משעמם לנער שזכר הכול ויכול היה לסדר לעצמו את מקרי הגמרא ברגע</w:t>
      </w:r>
      <w:bookmarkStart w:id="5889" w:name="b5_ref17"/>
      <w:bookmarkEnd w:id="5889"/>
      <w:r>
        <w:rPr>
          <w:vertAlign w:val="superscript"/>
          <w:rtl/>
        </w:rPr>
        <w:fldChar w:fldCharType="begin" w:dirty="true"/>
      </w:r>
      <w:r>
        <w:rPr>
          <w:vertAlign w:val="superscript"/>
          <w:rtl/>
        </w:rPr>
        <w:instrText xml:space="preserve"> REF b5_note17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17</w:t>
      </w:r>
      <w:r>
        <w:rPr>
          <w:vertAlign w:val="superscript"/>
          <w:rtl/>
        </w:rPr>
        <w:fldChar w:fldCharType="end"/>
      </w:r>
      <w:r>
        <w:rPr>
          <w:rtl/>
        </w:rPr>
        <w:t>? או שמא אופיו של חברו ללימוד הוא שצרם לרגישותו של צעיר שהבחין בחדות באופיים של בני אדם? תהא הבעיה אשר תהא, הוא היה ביישן מכדי לפצות פה ולבקש מן הסבא להחליף את חברותתו</w:t>
      </w:r>
      <w:bookmarkStart w:id="5890" w:name="b5_ref18"/>
      <w:bookmarkEnd w:id="5890"/>
      <w:r>
        <w:rPr>
          <w:vertAlign w:val="superscript"/>
          <w:rtl/>
        </w:rPr>
        <w:fldChar w:fldCharType="begin" w:dirty="true"/>
      </w:r>
      <w:r>
        <w:rPr>
          <w:vertAlign w:val="superscript"/>
          <w:rtl/>
        </w:rPr>
        <w:instrText xml:space="preserve"> REF b5_note18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18</w:t>
      </w:r>
      <w:r>
        <w:rPr>
          <w:vertAlign w:val="superscript"/>
          <w:rtl/>
        </w:rPr>
        <w:fldChar w:fldCharType="end"/>
      </w:r>
      <w:r>
        <w:rPr>
          <w:rtl/>
        </w:rPr>
        <w:t xml:space="preserve"> – כיצד יכול היה הוא, חדש יחסית בישיבה, להיפרד מתלמיד מבוגר, מכובד ומבוסס!</w:t>
      </w:r>
    </w:p>
    <w:bookmarkStart w:id="5891" w:name="b5_note17"/>
    <w:p w14:paraId="26670744" w14:textId="77777777" w:rsidR="00AB3647" w:rsidRDefault="00000000" w:rsidP="007923E9">
      <w:pPr>
        <w:spacing w:before="120" w:after="100" w:line="276" w:lineRule="auto"/>
        <w:jc w:val="both"/>
      </w:pPr>
      <w:r>
        <w:fldChar w:fldCharType="begin" w:dirty="true"/>
      </w:r>
      <w:r>
        <w:instrText>HYPERLINK \l "b5_ref17"</w:instrText>
      </w:r>
      <w:r>
        <w:fldChar w:fldCharType="separate"/>
      </w:r>
      <w:r>
        <w:rPr>
          <w:b/>
          <w:bCs/>
          <w:rtl/>
        </w:rPr>
        <w:t>17</w:t>
      </w:r>
      <w:r>
        <w:rPr>
          <w:b/>
          <w:bCs/>
        </w:rPr>
        <w:fldChar w:fldCharType="end"/>
      </w:r>
      <w:bookmarkEnd w:id="5891"/>
      <w:r>
        <w:rPr>
          <w:rtl/>
        </w:rPr>
        <w:t xml:space="preserve"> אף שלא למד את התוספות במינסק, לא נרתע מן המסכת, שהקושי בה נעוץ בסיבוכי המקרים הנידונים בגוף הגמרא ולא בפירושיה</w:t>
      </w:r>
      <w:bookmarkStart w:id="5892" w:name="_fnr4475"/>
      <w:r>
        <w:rPr>
          <w:rStyle w:val="a5"/>
        </w:rPr>
        <w:footnoteReference w:id="4486" w:customMarkFollows="0"/>
      </w:r>
      <w:bookmarkEnd w:id="5892"/>
      <w:r>
        <w:rPr>
          <w:rtl/>
        </w:rPr>
        <w:t>.</w:t>
      </w:r>
    </w:p>
    <w:bookmarkStart w:id="5893" w:name="b5_note18"/>
    <w:p w14:paraId="598E8D73" w14:textId="77777777" w:rsidR="00AB3647" w:rsidRDefault="00000000" w:rsidP="007923E9">
      <w:pPr>
        <w:spacing w:before="120" w:after="100" w:line="276" w:lineRule="auto"/>
        <w:jc w:val="both"/>
      </w:pPr>
      <w:r>
        <w:fldChar w:fldCharType="begin" w:dirty="true"/>
      </w:r>
      <w:r>
        <w:instrText>HYPERLINK \l "b5_ref18"</w:instrText>
      </w:r>
      <w:r>
        <w:fldChar w:fldCharType="separate"/>
      </w:r>
      <w:r>
        <w:rPr>
          <w:b/>
          <w:bCs/>
          <w:rtl/>
        </w:rPr>
        <w:t>18</w:t>
      </w:r>
      <w:r>
        <w:rPr>
          <w:b/>
          <w:bCs/>
        </w:rPr>
        <w:fldChar w:fldCharType="end"/>
      </w:r>
      <w:bookmarkEnd w:id="5893"/>
      <w:r>
        <w:rPr>
          <w:rtl/>
        </w:rPr>
        <w:t xml:space="preserve"> אבי סיפר זאת </w:t>
      </w:r>
      <w:proofErr w:type="spellStart"/>
      <w:r>
        <w:rPr>
          <w:rtl/>
        </w:rPr>
        <w:t>לר</w:t>
      </w:r>
      <w:proofErr w:type="spellEnd"/>
      <w:r>
        <w:rPr>
          <w:rtl/>
        </w:rPr>
        <w:t>׳ אלי׳ שווי</w:t>
      </w:r>
      <w:bookmarkStart w:id="5894" w:name="_fnr4476"/>
      <w:r>
        <w:rPr>
          <w:rStyle w:val="a5"/>
        </w:rPr>
        <w:footnoteReference w:id="4487" w:customMarkFollows="0"/>
      </w:r>
      <w:bookmarkEnd w:id="5894"/>
      <w:r>
        <w:rPr>
          <w:rtl/>
        </w:rPr>
        <w:t>.</w:t>
      </w:r>
    </w:p>
    <w:p w14:paraId="4CD55522" w14:textId="4178DA4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כשראה שתלמיד ותיק אחר עדיין לא מצא חברותא, הודיע לו שישמח לוותר לטובתו על חברו שלו. אבל תחבולה זו, למרבה הצער, לא הועילה, ואבי נשאר עם חבר שסלד ממנו</w:t>
      </w:r>
      <w:bookmarkStart w:id="5895" w:name="b5_ref19"/>
      <w:bookmarkEnd w:id="5895"/>
      <w:r>
        <w:rPr>
          <w:vertAlign w:val="superscript"/>
          <w:rtl/>
        </w:rPr>
        <w:fldChar w:fldCharType="begin" w:dirty="true"/>
      </w:r>
      <w:r>
        <w:rPr>
          <w:vertAlign w:val="superscript"/>
          <w:rtl/>
        </w:rPr>
        <w:instrText xml:space="preserve"> REF b5_note19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19</w:t>
      </w:r>
      <w:r>
        <w:rPr>
          <w:vertAlign w:val="superscript"/>
          <w:rtl/>
        </w:rPr>
        <w:fldChar w:fldCharType="end"/>
      </w:r>
      <w:r>
        <w:rPr>
          <w:rtl/>
        </w:rPr>
        <w:t>. עד שעבר חג הסוכות והחלו להגיע לזמן החדש כמה תלמידים מצוינים במיוחד</w:t>
      </w:r>
      <w:bookmarkStart w:id="5896" w:name="b5_ref20"/>
      <w:bookmarkEnd w:id="5896"/>
      <w:r>
        <w:rPr>
          <w:vertAlign w:val="superscript"/>
          <w:rtl/>
        </w:rPr>
        <w:fldChar w:fldCharType="begin" w:dirty="true"/>
      </w:r>
      <w:r>
        <w:rPr>
          <w:vertAlign w:val="superscript"/>
          <w:rtl/>
        </w:rPr>
        <w:instrText xml:space="preserve"> REF b5_note20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20</w:t>
      </w:r>
      <w:r>
        <w:rPr>
          <w:vertAlign w:val="superscript"/>
          <w:rtl/>
        </w:rPr>
        <w:fldChar w:fldCharType="end"/>
      </w:r>
      <w:r>
        <w:rPr>
          <w:rtl/>
        </w:rPr>
        <w:t xml:space="preserve">, כבר התחיל </w:t>
      </w:r>
      <w:proofErr w:type="spellStart"/>
      <w:r>
        <w:rPr>
          <w:rtl/>
        </w:rPr>
        <w:t>הדולהינובר</w:t>
      </w:r>
      <w:proofErr w:type="spellEnd"/>
      <w:r>
        <w:rPr>
          <w:rtl/>
        </w:rPr>
        <w:t xml:space="preserve"> להימנע מלשבת וללמוד עם החברותא שנקבע לו</w:t>
      </w:r>
      <w:bookmarkStart w:id="5897" w:name="b5_ref21"/>
      <w:bookmarkEnd w:id="5897"/>
      <w:r>
        <w:rPr>
          <w:vertAlign w:val="superscript"/>
          <w:rtl/>
        </w:rPr>
        <w:fldChar w:fldCharType="begin" w:dirty="true"/>
      </w:r>
      <w:r>
        <w:rPr>
          <w:vertAlign w:val="superscript"/>
          <w:rtl/>
        </w:rPr>
        <w:instrText xml:space="preserve"> REF b5_note21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21</w:t>
      </w:r>
      <w:r>
        <w:rPr>
          <w:vertAlign w:val="superscript"/>
          <w:rtl/>
        </w:rPr>
        <w:fldChar w:fldCharType="end"/>
      </w:r>
      <w:r>
        <w:rPr>
          <w:rtl/>
        </w:rPr>
        <w:t xml:space="preserve">. הוא היה ניגש לשוחח עם בחור אחד, לבקש סיגריה מאחר ולהתבטל עם שלישי. אורח שהגיע לישיבה בהשגחה פרטית – ר׳ </w:t>
      </w:r>
      <w:proofErr w:type="spellStart"/>
      <w:r>
        <w:rPr>
          <w:rtl/>
        </w:rPr>
        <w:t>דוד־טעביל</w:t>
      </w:r>
      <w:proofErr w:type="spellEnd"/>
      <w:r>
        <w:rPr>
          <w:rtl/>
        </w:rPr>
        <w:t xml:space="preserve"> </w:t>
      </w:r>
      <w:proofErr w:type="spellStart"/>
      <w:r>
        <w:rPr>
          <w:rtl/>
        </w:rPr>
        <w:t>דינובסקי</w:t>
      </w:r>
      <w:proofErr w:type="spellEnd"/>
      <w:r>
        <w:rPr>
          <w:rtl/>
        </w:rPr>
        <w:t xml:space="preserve">, שנתמנה לא מכבר לרבה של </w:t>
      </w:r>
      <w:proofErr w:type="spellStart"/>
      <w:r>
        <w:rPr>
          <w:rtl/>
        </w:rPr>
        <w:t>מאלטש</w:t>
      </w:r>
      <w:proofErr w:type="spellEnd"/>
      <w:r>
        <w:rPr>
          <w:rtl/>
        </w:rPr>
        <w:t xml:space="preserve"> – הוא שהיה למושיעו מן המצב הקשה הזה.</w:t>
      </w:r>
    </w:p>
    <w:bookmarkStart w:id="5898" w:name="b5_note19"/>
    <w:p w14:paraId="2F2FE9D2" w14:textId="77777777" w:rsidR="00AB3647" w:rsidRDefault="00000000" w:rsidP="007923E9">
      <w:pPr>
        <w:spacing w:before="120" w:after="100" w:line="276" w:lineRule="auto"/>
        <w:jc w:val="both"/>
      </w:pPr>
      <w:r>
        <w:fldChar w:fldCharType="begin" w:dirty="true"/>
      </w:r>
      <w:r>
        <w:instrText>HYPERLINK \l "b5_ref19"</w:instrText>
      </w:r>
      <w:r>
        <w:fldChar w:fldCharType="separate"/>
      </w:r>
      <w:r>
        <w:rPr>
          <w:b/>
          <w:bCs/>
          <w:rtl/>
        </w:rPr>
        <w:t>19</w:t>
      </w:r>
      <w:r>
        <w:rPr>
          <w:b/>
          <w:bCs/>
        </w:rPr>
        <w:fldChar w:fldCharType="end"/>
      </w:r>
      <w:bookmarkEnd w:id="5898"/>
      <w:r>
        <w:rPr>
          <w:rtl/>
        </w:rPr>
        <w:t xml:space="preserve"> אבי כינה את חוסר התבונה שבהסתרת הדבר מן הסבא “פסיכוטי”. רבנו הוכיח ממאורע זה </w:t>
      </w:r>
      <w:proofErr w:type="spellStart"/>
      <w:r>
        <w:rPr>
          <w:rtl/>
        </w:rPr>
        <w:t>ש“גם</w:t>
      </w:r>
      <w:proofErr w:type="spellEnd"/>
      <w:r>
        <w:rPr>
          <w:rtl/>
        </w:rPr>
        <w:t xml:space="preserve"> לעילוי יכולות להיות חריגות”</w:t>
      </w:r>
      <w:bookmarkStart w:id="5899" w:name="_fnr4477"/>
      <w:r>
        <w:rPr>
          <w:rStyle w:val="a5"/>
        </w:rPr>
        <w:footnoteReference w:id="4488" w:customMarkFollows="0"/>
      </w:r>
      <w:bookmarkEnd w:id="5899"/>
      <w:r>
        <w:rPr>
          <w:rtl/>
        </w:rPr>
        <w:t>.</w:t>
      </w:r>
    </w:p>
    <w:bookmarkStart w:id="5900" w:name="b5_note20"/>
    <w:p w14:paraId="5C29E96A" w14:textId="77777777" w:rsidR="00AB3647" w:rsidRDefault="00000000" w:rsidP="007923E9">
      <w:pPr>
        <w:spacing w:before="120" w:after="100" w:line="276" w:lineRule="auto"/>
        <w:jc w:val="both"/>
      </w:pPr>
      <w:r>
        <w:fldChar w:fldCharType="begin" w:dirty="true"/>
      </w:r>
      <w:r>
        <w:instrText>HYPERLINK \l "b5_ref20"</w:instrText>
      </w:r>
      <w:r>
        <w:fldChar w:fldCharType="separate"/>
      </w:r>
      <w:r>
        <w:rPr>
          <w:b/>
          <w:bCs/>
          <w:rtl/>
        </w:rPr>
        <w:t>20</w:t>
      </w:r>
      <w:r>
        <w:rPr>
          <w:b/>
          <w:bCs/>
        </w:rPr>
        <w:fldChar w:fldCharType="end"/>
      </w:r>
      <w:bookmarkEnd w:id="5900"/>
      <w:r>
        <w:rPr>
          <w:rtl/>
        </w:rPr>
        <w:t xml:space="preserve"> בריאיון על הסבא</w:t>
      </w:r>
      <w:bookmarkStart w:id="5901" w:name="_fnr4478"/>
      <w:r>
        <w:rPr>
          <w:rStyle w:val="a5"/>
        </w:rPr>
        <w:footnoteReference w:id="4489" w:customMarkFollows="0"/>
      </w:r>
      <w:bookmarkEnd w:id="5901"/>
      <w:r>
        <w:rPr>
          <w:rtl/>
        </w:rPr>
        <w:t xml:space="preserve"> אמר אבי </w:t>
      </w:r>
      <w:proofErr w:type="spellStart"/>
      <w:r>
        <w:rPr>
          <w:rtl/>
        </w:rPr>
        <w:t>ש“תרס״ח</w:t>
      </w:r>
      <w:proofErr w:type="spellEnd"/>
      <w:r>
        <w:rPr>
          <w:rtl/>
        </w:rPr>
        <w:t xml:space="preserve"> הייתה השנה הפורייה ביותר בכנסת ישראל, מפני שהגיעו </w:t>
      </w:r>
      <w:proofErr w:type="spellStart"/>
      <w:r>
        <w:rPr>
          <w:rtl/>
        </w:rPr>
        <w:t>ה‘אריות</w:t>
      </w:r>
      <w:proofErr w:type="spellEnd"/>
      <w:r>
        <w:rPr>
          <w:rtl/>
        </w:rPr>
        <w:t xml:space="preserve">’ – כגון ר׳ ראובן </w:t>
      </w:r>
      <w:proofErr w:type="spellStart"/>
      <w:r>
        <w:rPr>
          <w:rtl/>
        </w:rPr>
        <w:t>מינסקר</w:t>
      </w:r>
      <w:proofErr w:type="spellEnd"/>
      <w:r>
        <w:rPr>
          <w:rtl/>
        </w:rPr>
        <w:t xml:space="preserve"> (</w:t>
      </w:r>
      <w:proofErr w:type="spellStart"/>
      <w:r>
        <w:rPr>
          <w:rtl/>
        </w:rPr>
        <w:t>גרוזובסקי</w:t>
      </w:r>
      <w:proofErr w:type="spellEnd"/>
      <w:r>
        <w:rPr>
          <w:rtl/>
        </w:rPr>
        <w:t>)</w:t>
      </w:r>
      <w:bookmarkStart w:id="5902" w:name="_fnr4479"/>
      <w:r>
        <w:rPr>
          <w:rStyle w:val="a5"/>
        </w:rPr>
        <w:footnoteReference w:id="4490" w:customMarkFollows="0"/>
      </w:r>
      <w:bookmarkEnd w:id="5902"/>
      <w:r>
        <w:rPr>
          <w:rtl/>
        </w:rPr>
        <w:t xml:space="preserve">, ר׳ </w:t>
      </w:r>
      <w:proofErr w:type="spellStart"/>
      <w:r>
        <w:rPr>
          <w:rtl/>
        </w:rPr>
        <w:t>חצקל</w:t>
      </w:r>
      <w:proofErr w:type="spellEnd"/>
      <w:r>
        <w:rPr>
          <w:rtl/>
        </w:rPr>
        <w:t xml:space="preserve"> </w:t>
      </w:r>
      <w:proofErr w:type="spellStart"/>
      <w:r>
        <w:rPr>
          <w:rtl/>
        </w:rPr>
        <w:t>טרסטינר</w:t>
      </w:r>
      <w:proofErr w:type="spellEnd"/>
      <w:r>
        <w:rPr>
          <w:rtl/>
        </w:rPr>
        <w:t xml:space="preserve"> (יחזקאל </w:t>
      </w:r>
      <w:proofErr w:type="spellStart"/>
      <w:r>
        <w:rPr>
          <w:rtl/>
        </w:rPr>
        <w:t>ברשטיין</w:t>
      </w:r>
      <w:proofErr w:type="spellEnd"/>
      <w:r>
        <w:rPr>
          <w:rtl/>
        </w:rPr>
        <w:t>)</w:t>
      </w:r>
      <w:bookmarkStart w:id="5903" w:name="_fnr4480"/>
      <w:r>
        <w:rPr>
          <w:rStyle w:val="a5"/>
        </w:rPr>
        <w:footnoteReference w:id="4491" w:customMarkFollows="0"/>
      </w:r>
      <w:bookmarkEnd w:id="5903"/>
      <w:r>
        <w:rPr>
          <w:rtl/>
        </w:rPr>
        <w:t xml:space="preserve"> ור׳ דניאל </w:t>
      </w:r>
      <w:proofErr w:type="spellStart"/>
      <w:r>
        <w:rPr>
          <w:rtl/>
        </w:rPr>
        <w:t>סידרער</w:t>
      </w:r>
      <w:proofErr w:type="spellEnd"/>
      <w:r>
        <w:rPr>
          <w:rtl/>
        </w:rPr>
        <w:t xml:space="preserve"> (</w:t>
      </w:r>
      <w:proofErr w:type="spellStart"/>
      <w:r>
        <w:rPr>
          <w:rtl/>
        </w:rPr>
        <w:t>מובשוביץ</w:t>
      </w:r>
      <w:proofErr w:type="spellEnd"/>
      <w:r>
        <w:rPr>
          <w:rtl/>
        </w:rPr>
        <w:t>)</w:t>
      </w:r>
      <w:bookmarkStart w:id="5904" w:name="_fnr4481"/>
      <w:r>
        <w:rPr>
          <w:rStyle w:val="a5"/>
        </w:rPr>
        <w:footnoteReference w:id="4492" w:customMarkFollows="0"/>
      </w:r>
      <w:bookmarkEnd w:id="5904"/>
      <w:r>
        <w:rPr>
          <w:rtl/>
        </w:rPr>
        <w:t xml:space="preserve">”. תלמידים שהצטרפו לישיבה אחרי מלחמת העולם הראשונה סברו שאז הגיעה </w:t>
      </w:r>
      <w:proofErr w:type="spellStart"/>
      <w:r>
        <w:rPr>
          <w:rtl/>
        </w:rPr>
        <w:t>סלבודקה</w:t>
      </w:r>
      <w:proofErr w:type="spellEnd"/>
      <w:r>
        <w:rPr>
          <w:rtl/>
        </w:rPr>
        <w:t xml:space="preserve"> לשיאה והייתה </w:t>
      </w:r>
      <w:proofErr w:type="spellStart"/>
      <w:r>
        <w:rPr>
          <w:rtl/>
        </w:rPr>
        <w:t>ישיבת־העל</w:t>
      </w:r>
      <w:proofErr w:type="spellEnd"/>
      <w:r>
        <w:rPr>
          <w:rtl/>
        </w:rPr>
        <w:t xml:space="preserve">. אבי, לעומתם, החזיק בדעה – וכך אמר בהספדו על בנו של הסבא, ר׳ </w:t>
      </w:r>
      <w:proofErr w:type="spellStart"/>
      <w:r>
        <w:rPr>
          <w:rtl/>
        </w:rPr>
        <w:t>לייזר־יודל</w:t>
      </w:r>
      <w:proofErr w:type="spellEnd"/>
      <w:r>
        <w:rPr>
          <w:rtl/>
        </w:rPr>
        <w:t xml:space="preserve"> </w:t>
      </w:r>
      <w:proofErr w:type="spellStart"/>
      <w:r>
        <w:rPr>
          <w:rtl/>
        </w:rPr>
        <w:t>פינקל</w:t>
      </w:r>
      <w:proofErr w:type="spellEnd"/>
      <w:r>
        <w:rPr>
          <w:rtl/>
        </w:rPr>
        <w:t xml:space="preserve"> (שנפטר בי״ט בתמוז תשכ״ה) – שאחרי מלחמת העולם הראשונה הייתה ישיבת </w:t>
      </w:r>
      <w:proofErr w:type="spellStart"/>
      <w:r>
        <w:rPr>
          <w:rtl/>
        </w:rPr>
        <w:t>מיר</w:t>
      </w:r>
      <w:proofErr w:type="spellEnd"/>
      <w:r>
        <w:rPr>
          <w:rtl/>
        </w:rPr>
        <w:t xml:space="preserve"> “</w:t>
      </w:r>
      <w:proofErr w:type="spellStart"/>
      <w:r>
        <w:rPr>
          <w:rtl/>
        </w:rPr>
        <w:t>הוועלט־ישיבה</w:t>
      </w:r>
      <w:proofErr w:type="spellEnd"/>
      <w:r>
        <w:rPr>
          <w:rtl/>
        </w:rPr>
        <w:t xml:space="preserve"> [הישיבה העולמית]”, ולא </w:t>
      </w:r>
      <w:proofErr w:type="spellStart"/>
      <w:r>
        <w:rPr>
          <w:rtl/>
        </w:rPr>
        <w:t>סלבודקה</w:t>
      </w:r>
      <w:proofErr w:type="spellEnd"/>
      <w:r>
        <w:rPr>
          <w:rtl/>
        </w:rPr>
        <w:t xml:space="preserve">. ר׳ </w:t>
      </w:r>
      <w:proofErr w:type="spellStart"/>
      <w:r>
        <w:rPr>
          <w:rtl/>
        </w:rPr>
        <w:t>לייזר־יודל</w:t>
      </w:r>
      <w:proofErr w:type="spellEnd"/>
      <w:r>
        <w:rPr>
          <w:rtl/>
        </w:rPr>
        <w:t xml:space="preserve"> נעשה ראש ישיבת </w:t>
      </w:r>
      <w:proofErr w:type="spellStart"/>
      <w:r>
        <w:rPr>
          <w:rtl/>
        </w:rPr>
        <w:t>מיר</w:t>
      </w:r>
      <w:proofErr w:type="spellEnd"/>
      <w:r>
        <w:rPr>
          <w:rtl/>
        </w:rPr>
        <w:t xml:space="preserve"> אחרי פטירת חותנו, ר׳ </w:t>
      </w:r>
      <w:proofErr w:type="spellStart"/>
      <w:r>
        <w:rPr>
          <w:rtl/>
        </w:rPr>
        <w:t>אלי׳־ברוך</w:t>
      </w:r>
      <w:proofErr w:type="spellEnd"/>
      <w:r>
        <w:rPr>
          <w:rtl/>
        </w:rPr>
        <w:t xml:space="preserve"> קמאי, </w:t>
      </w:r>
      <w:proofErr w:type="spellStart"/>
      <w:r>
        <w:rPr>
          <w:rtl/>
        </w:rPr>
        <w:t>בתרע״ז</w:t>
      </w:r>
      <w:bookmarkStart w:id="5905" w:name="_fnr4482"/>
      <w:proofErr w:type="spellEnd"/>
      <w:r>
        <w:rPr>
          <w:rStyle w:val="a5"/>
        </w:rPr>
        <w:footnoteReference w:id="4493" w:customMarkFollows="0"/>
      </w:r>
      <w:bookmarkEnd w:id="5905"/>
      <w:r>
        <w:rPr>
          <w:rtl/>
        </w:rPr>
        <w:t>.</w:t>
      </w:r>
    </w:p>
    <w:bookmarkStart w:id="5906" w:name="b5_note21"/>
    <w:p w14:paraId="4EEC7653" w14:textId="545A9A0D" w:rsidR="00AB3647" w:rsidRDefault="00000000" w:rsidP="007923E9">
      <w:pPr>
        <w:spacing w:before="120" w:after="100" w:line="276" w:lineRule="auto"/>
        <w:jc w:val="both"/>
      </w:pPr>
      <w:r>
        <w:fldChar w:fldCharType="begin" w:dirty="true"/>
      </w:r>
      <w:r>
        <w:instrText>HYPERLINK \l "b5_ref21"</w:instrText>
      </w:r>
      <w:r>
        <w:fldChar w:fldCharType="separate"/>
      </w:r>
      <w:r>
        <w:rPr>
          <w:b/>
          <w:bCs/>
          <w:rtl/>
        </w:rPr>
        <w:t>21</w:t>
      </w:r>
      <w:r>
        <w:rPr>
          <w:b/>
          <w:bCs/>
        </w:rPr>
        <w:fldChar w:fldCharType="end"/>
      </w:r>
      <w:bookmarkEnd w:id="5906"/>
      <w:r>
        <w:rPr>
          <w:rtl/>
        </w:rPr>
        <w:t xml:space="preserve"> לפי בני ר׳ יוסף</w:t>
      </w:r>
      <w:bookmarkStart w:id="5907" w:name="_fnr4483"/>
      <w:r>
        <w:rPr>
          <w:rStyle w:val="a5"/>
        </w:rPr>
        <w:footnoteReference w:id="4494" w:customMarkFollows="0"/>
      </w:r>
      <w:bookmarkEnd w:id="5907"/>
      <w:r>
        <w:rPr>
          <w:rtl/>
        </w:rPr>
        <w:t xml:space="preserve">, רק כעבור שנים הבין אבי שסלידתו מן החברותא היא שגרמה לבטלתו. באותה שעה ראה בהן שתי עובדות שאינן תלויות זו בזו (ראה הערה </w:t>
      </w:r>
      <w:r>
        <w:rPr>
          <w:rtl/>
        </w:rPr>
        <w:fldChar w:fldCharType="begin" w:dirty="true"/>
      </w:r>
      <w:r>
        <w:rPr>
          <w:rtl/>
        </w:rPr>
        <w:instrText xml:space="preserve"> REF b5_note19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19</w:t>
      </w:r>
      <w:r>
        <w:rPr>
          <w:rtl/>
        </w:rPr>
        <w:fldChar w:fldCharType="end"/>
      </w:r>
      <w:r>
        <w:rPr>
          <w:rtl/>
        </w:rPr>
        <w:t xml:space="preserve"> לעיל).</w:t>
      </w:r>
    </w:p>
    <w:p w14:paraId="608440CA" w14:textId="7736828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מאלטש</w:t>
      </w:r>
      <w:proofErr w:type="spellEnd"/>
      <w:r>
        <w:rPr>
          <w:rtl/>
        </w:rPr>
        <w:t xml:space="preserve">, עיירה בין </w:t>
      </w:r>
      <w:proofErr w:type="spellStart"/>
      <w:r>
        <w:rPr>
          <w:rtl/>
        </w:rPr>
        <w:t>ברנוביץ</w:t>
      </w:r>
      <w:proofErr w:type="spellEnd"/>
      <w:r>
        <w:rPr>
          <w:rtl/>
        </w:rPr>
        <w:t xml:space="preserve">׳ </w:t>
      </w:r>
      <w:proofErr w:type="spellStart"/>
      <w:r>
        <w:rPr>
          <w:rtl/>
        </w:rPr>
        <w:t>לבריסק</w:t>
      </w:r>
      <w:proofErr w:type="spellEnd"/>
      <w:r>
        <w:rPr>
          <w:rtl/>
        </w:rPr>
        <w:t xml:space="preserve">, כ־19 קילומטרים </w:t>
      </w:r>
      <w:proofErr w:type="spellStart"/>
      <w:r>
        <w:rPr>
          <w:rtl/>
        </w:rPr>
        <w:t>מדרום־מזרח</w:t>
      </w:r>
      <w:proofErr w:type="spellEnd"/>
      <w:r>
        <w:rPr>
          <w:rtl/>
        </w:rPr>
        <w:t xml:space="preserve"> </w:t>
      </w:r>
      <w:proofErr w:type="spellStart"/>
      <w:r>
        <w:rPr>
          <w:rtl/>
        </w:rPr>
        <w:t>לפרוז׳ני</w:t>
      </w:r>
      <w:proofErr w:type="spellEnd"/>
      <w:r>
        <w:rPr>
          <w:rtl/>
        </w:rPr>
        <w:t xml:space="preserve">, התהדרה בשנים קודמות בישיבה. ר׳ </w:t>
      </w:r>
      <w:proofErr w:type="spellStart"/>
      <w:r>
        <w:rPr>
          <w:rtl/>
        </w:rPr>
        <w:t>זלמן־סנדר</w:t>
      </w:r>
      <w:proofErr w:type="spellEnd"/>
      <w:r>
        <w:rPr>
          <w:rtl/>
        </w:rPr>
        <w:t xml:space="preserve"> כהנא־שפירא</w:t>
      </w:r>
      <w:bookmarkStart w:id="5908" w:name="b5_ref22"/>
      <w:bookmarkEnd w:id="5908"/>
      <w:r>
        <w:rPr>
          <w:vertAlign w:val="superscript"/>
          <w:rtl/>
        </w:rPr>
        <w:fldChar w:fldCharType="begin" w:dirty="true"/>
      </w:r>
      <w:r>
        <w:rPr>
          <w:vertAlign w:val="superscript"/>
          <w:rtl/>
        </w:rPr>
        <w:instrText xml:space="preserve"> REF b5_note22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22</w:t>
      </w:r>
      <w:r>
        <w:rPr>
          <w:vertAlign w:val="superscript"/>
          <w:rtl/>
        </w:rPr>
        <w:fldChar w:fldCharType="end"/>
      </w:r>
      <w:r>
        <w:rPr>
          <w:rtl/>
        </w:rPr>
        <w:t xml:space="preserve">, תלמיד ר׳ יוסף־דב </w:t>
      </w:r>
      <w:proofErr w:type="spellStart"/>
      <w:r>
        <w:rPr>
          <w:rtl/>
        </w:rPr>
        <w:t>סולובייצ׳יק</w:t>
      </w:r>
      <w:proofErr w:type="spellEnd"/>
      <w:r>
        <w:rPr>
          <w:rtl/>
        </w:rPr>
        <w:t xml:space="preserve"> בסלוצק</w:t>
      </w:r>
      <w:bookmarkStart w:id="5909" w:name="b5_ref23"/>
      <w:bookmarkEnd w:id="5909"/>
      <w:r>
        <w:rPr>
          <w:vertAlign w:val="superscript"/>
          <w:rtl/>
        </w:rPr>
        <w:fldChar w:fldCharType="begin" w:dirty="true"/>
      </w:r>
      <w:r>
        <w:rPr>
          <w:vertAlign w:val="superscript"/>
          <w:rtl/>
        </w:rPr>
        <w:instrText xml:space="preserve"> REF b5_note23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23</w:t>
      </w:r>
      <w:r>
        <w:rPr>
          <w:vertAlign w:val="superscript"/>
          <w:rtl/>
        </w:rPr>
        <w:fldChar w:fldCharType="end"/>
      </w:r>
      <w:r>
        <w:rPr>
          <w:rtl/>
        </w:rPr>
        <w:t xml:space="preserve">, עמד בראש ישיבה </w:t>
      </w:r>
      <w:proofErr w:type="spellStart"/>
      <w:r>
        <w:rPr>
          <w:rtl/>
        </w:rPr>
        <w:t>במאלטש</w:t>
      </w:r>
      <w:proofErr w:type="spellEnd"/>
      <w:r>
        <w:rPr>
          <w:rtl/>
        </w:rPr>
        <w:t xml:space="preserve"> בשנים שכיהן בה כרב</w:t>
      </w:r>
      <w:bookmarkStart w:id="5910" w:name="b5_ref24"/>
      <w:bookmarkEnd w:id="5910"/>
      <w:r>
        <w:rPr>
          <w:vertAlign w:val="superscript"/>
          <w:rtl/>
        </w:rPr>
        <w:fldChar w:fldCharType="begin" w:dirty="true"/>
      </w:r>
      <w:r>
        <w:rPr>
          <w:vertAlign w:val="superscript"/>
          <w:rtl/>
        </w:rPr>
        <w:instrText xml:space="preserve"> REF b5_note24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24</w:t>
      </w:r>
      <w:r>
        <w:rPr>
          <w:vertAlign w:val="superscript"/>
          <w:rtl/>
        </w:rPr>
        <w:fldChar w:fldCharType="end"/>
      </w:r>
      <w:r>
        <w:rPr>
          <w:rtl/>
        </w:rPr>
        <w:t xml:space="preserve">, וכך גם יורשו לזמן קצר, ר׳ שמעון </w:t>
      </w:r>
      <w:proofErr w:type="spellStart"/>
      <w:r>
        <w:rPr>
          <w:rtl/>
        </w:rPr>
        <w:t>שקופ</w:t>
      </w:r>
      <w:proofErr w:type="spellEnd"/>
      <w:r>
        <w:rPr>
          <w:rtl/>
        </w:rPr>
        <w:t>, ראש הישיבה המפורסם מטלז</w:t>
      </w:r>
      <w:bookmarkStart w:id="5911" w:name="b5_ref25"/>
      <w:bookmarkEnd w:id="5911"/>
      <w:r>
        <w:rPr>
          <w:vertAlign w:val="superscript"/>
          <w:rtl/>
        </w:rPr>
        <w:fldChar w:fldCharType="begin" w:dirty="true"/>
      </w:r>
      <w:r>
        <w:rPr>
          <w:vertAlign w:val="superscript"/>
          <w:rtl/>
        </w:rPr>
        <w:instrText xml:space="preserve"> REF b5_note25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25</w:t>
      </w:r>
      <w:r>
        <w:rPr>
          <w:vertAlign w:val="superscript"/>
          <w:rtl/>
        </w:rPr>
        <w:fldChar w:fldCharType="end"/>
      </w:r>
      <w:r>
        <w:rPr>
          <w:rtl/>
        </w:rPr>
        <w:t xml:space="preserve">. כשנקרא ר׳ </w:t>
      </w:r>
      <w:proofErr w:type="spellStart"/>
      <w:r>
        <w:rPr>
          <w:rtl/>
        </w:rPr>
        <w:t>דוד־טעביל</w:t>
      </w:r>
      <w:proofErr w:type="spellEnd"/>
      <w:r>
        <w:rPr>
          <w:rtl/>
        </w:rPr>
        <w:t xml:space="preserve"> </w:t>
      </w:r>
      <w:proofErr w:type="spellStart"/>
      <w:r>
        <w:rPr>
          <w:rtl/>
        </w:rPr>
        <w:t>למאלטש</w:t>
      </w:r>
      <w:proofErr w:type="spellEnd"/>
      <w:r>
        <w:rPr>
          <w:rtl/>
        </w:rPr>
        <w:t xml:space="preserve"> ממשרת ההוראה הבכירה ביותר בישיבת לומז׳ה</w:t>
      </w:r>
      <w:bookmarkStart w:id="5912" w:name="b5_ref26"/>
      <w:bookmarkEnd w:id="5912"/>
      <w:r>
        <w:rPr>
          <w:vertAlign w:val="superscript"/>
          <w:rtl/>
        </w:rPr>
        <w:fldChar w:fldCharType="begin" w:dirty="true"/>
      </w:r>
      <w:r>
        <w:rPr>
          <w:vertAlign w:val="superscript"/>
          <w:rtl/>
        </w:rPr>
        <w:instrText xml:space="preserve"> REF b5_note26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26</w:t>
      </w:r>
      <w:r>
        <w:rPr>
          <w:vertAlign w:val="superscript"/>
          <w:rtl/>
        </w:rPr>
        <w:fldChar w:fldCharType="end"/>
      </w:r>
      <w:r>
        <w:rPr>
          <w:rtl/>
        </w:rPr>
        <w:t>, התנו מנהיגי העיירה את מינויו בכך שיפתח מחדש את הישיבה המקומית</w:t>
      </w:r>
      <w:bookmarkStart w:id="5913" w:name="b5_ref27"/>
      <w:bookmarkEnd w:id="5913"/>
      <w:r>
        <w:rPr>
          <w:vertAlign w:val="superscript"/>
          <w:rtl/>
        </w:rPr>
        <w:fldChar w:fldCharType="begin" w:dirty="true"/>
      </w:r>
      <w:r>
        <w:rPr>
          <w:vertAlign w:val="superscript"/>
          <w:rtl/>
        </w:rPr>
        <w:instrText xml:space="preserve"> REF b5_note27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27</w:t>
      </w:r>
      <w:r>
        <w:rPr>
          <w:vertAlign w:val="superscript"/>
          <w:rtl/>
        </w:rPr>
        <w:fldChar w:fldCharType="end"/>
      </w:r>
      <w:r>
        <w:rPr>
          <w:rtl/>
        </w:rPr>
        <w:t>.</w:t>
      </w:r>
    </w:p>
    <w:bookmarkStart w:id="5914" w:name="b5_note22"/>
    <w:p w14:paraId="4CB68223" w14:textId="77777777" w:rsidR="00AB3647" w:rsidRDefault="00000000" w:rsidP="007923E9">
      <w:pPr>
        <w:spacing w:before="120" w:after="100" w:line="276" w:lineRule="auto"/>
        <w:jc w:val="both"/>
      </w:pPr>
      <w:r>
        <w:lastRenderedPageBreak/>
        <w:fldChar w:fldCharType="begin" w:dirty="true"/>
      </w:r>
      <w:r>
        <w:instrText>HYPERLINK \l "b5_ref22"</w:instrText>
      </w:r>
      <w:r>
        <w:fldChar w:fldCharType="separate"/>
      </w:r>
      <w:r>
        <w:rPr>
          <w:b/>
          <w:bCs/>
          <w:rtl/>
        </w:rPr>
        <w:t>22</w:t>
      </w:r>
      <w:r>
        <w:rPr>
          <w:b/>
          <w:bCs/>
        </w:rPr>
        <w:fldChar w:fldCharType="end"/>
      </w:r>
      <w:bookmarkEnd w:id="5914"/>
      <w:r>
        <w:rPr>
          <w:rtl/>
        </w:rPr>
        <w:t xml:space="preserve"> ר׳ </w:t>
      </w:r>
      <w:proofErr w:type="spellStart"/>
      <w:r>
        <w:rPr>
          <w:rtl/>
        </w:rPr>
        <w:t>זלמן־סנדר</w:t>
      </w:r>
      <w:proofErr w:type="spellEnd"/>
      <w:r>
        <w:rPr>
          <w:rtl/>
        </w:rPr>
        <w:t xml:space="preserve"> </w:t>
      </w:r>
      <w:proofErr w:type="spellStart"/>
      <w:r>
        <w:rPr>
          <w:rtl/>
        </w:rPr>
        <w:t>כהנא־שפירא</w:t>
      </w:r>
      <w:proofErr w:type="spellEnd"/>
      <w:r>
        <w:rPr>
          <w:rtl/>
        </w:rPr>
        <w:t xml:space="preserve"> היה </w:t>
      </w:r>
      <w:proofErr w:type="spellStart"/>
      <w:r>
        <w:rPr>
          <w:rtl/>
        </w:rPr>
        <w:t>נינו</w:t>
      </w:r>
      <w:proofErr w:type="spellEnd"/>
      <w:r>
        <w:rPr>
          <w:rtl/>
        </w:rPr>
        <w:t xml:space="preserve"> של ר׳ חיים </w:t>
      </w:r>
      <w:proofErr w:type="spellStart"/>
      <w:r>
        <w:rPr>
          <w:rtl/>
        </w:rPr>
        <w:t>מוולוז׳ין</w:t>
      </w:r>
      <w:proofErr w:type="spellEnd"/>
      <w:r>
        <w:rPr>
          <w:rtl/>
        </w:rPr>
        <w:t xml:space="preserve">, מנישואיה השניים של בתו </w:t>
      </w:r>
      <w:proofErr w:type="spellStart"/>
      <w:r>
        <w:rPr>
          <w:rtl/>
        </w:rPr>
        <w:t>רלקה</w:t>
      </w:r>
      <w:bookmarkStart w:id="5915" w:name="_fnr4484"/>
      <w:proofErr w:type="spellEnd"/>
      <w:r>
        <w:rPr>
          <w:rStyle w:val="a5"/>
        </w:rPr>
        <w:footnoteReference w:id="4495" w:customMarkFollows="0"/>
      </w:r>
      <w:bookmarkEnd w:id="5915"/>
      <w:r>
        <w:rPr>
          <w:rtl/>
        </w:rPr>
        <w:t xml:space="preserve">. הוא נולד </w:t>
      </w:r>
      <w:proofErr w:type="spellStart"/>
      <w:r>
        <w:rPr>
          <w:rtl/>
        </w:rPr>
        <w:t>בניאסוויז</w:t>
      </w:r>
      <w:proofErr w:type="spellEnd"/>
      <w:r>
        <w:rPr>
          <w:rtl/>
        </w:rPr>
        <w:t xml:space="preserve">׳ </w:t>
      </w:r>
      <w:proofErr w:type="spellStart"/>
      <w:r>
        <w:rPr>
          <w:rtl/>
        </w:rPr>
        <w:t>בתרי״א</w:t>
      </w:r>
      <w:proofErr w:type="spellEnd"/>
      <w:r>
        <w:rPr>
          <w:rtl/>
        </w:rPr>
        <w:t xml:space="preserve">, ובא </w:t>
      </w:r>
      <w:proofErr w:type="spellStart"/>
      <w:r>
        <w:rPr>
          <w:rtl/>
        </w:rPr>
        <w:t>לוולוז׳ין</w:t>
      </w:r>
      <w:proofErr w:type="spellEnd"/>
      <w:r>
        <w:rPr>
          <w:rtl/>
        </w:rPr>
        <w:t xml:space="preserve"> כעילוי צעיר. שם היה </w:t>
      </w:r>
      <w:proofErr w:type="spellStart"/>
      <w:r>
        <w:rPr>
          <w:rtl/>
        </w:rPr>
        <w:t>חברותתו</w:t>
      </w:r>
      <w:proofErr w:type="spellEnd"/>
      <w:r>
        <w:rPr>
          <w:rtl/>
        </w:rPr>
        <w:t xml:space="preserve"> של ר׳ חיים, בנו המצטיין של המשנה לראש הישיבה, ר׳ יוסף־דב </w:t>
      </w:r>
      <w:proofErr w:type="spellStart"/>
      <w:r>
        <w:rPr>
          <w:rtl/>
        </w:rPr>
        <w:t>סולובייצ׳יק</w:t>
      </w:r>
      <w:proofErr w:type="spellEnd"/>
      <w:r>
        <w:rPr>
          <w:rtl/>
        </w:rPr>
        <w:t>.</w:t>
      </w:r>
    </w:p>
    <w:p w14:paraId="10AB631E" w14:textId="77777777" w:rsidR="00AB3647" w:rsidRDefault="00000000" w:rsidP="007923E9">
      <w:pPr>
        <w:spacing w:before="120" w:after="100" w:line="276" w:lineRule="auto"/>
        <w:jc w:val="both"/>
      </w:pPr>
      <w:r>
        <w:rPr>
          <w:rtl/>
        </w:rPr>
        <w:t xml:space="preserve">מסופר שר׳ יוסף־דב נכנס פעם בשעה שלמדו יחד, ובחן את פיקחותם בשאלה מביכה: “מי משניכם למדן גדול יותר?” ר׳ </w:t>
      </w:r>
      <w:proofErr w:type="spellStart"/>
      <w:r>
        <w:rPr>
          <w:rtl/>
        </w:rPr>
        <w:t>זלמן־סנדר</w:t>
      </w:r>
      <w:proofErr w:type="spellEnd"/>
      <w:r>
        <w:rPr>
          <w:rtl/>
        </w:rPr>
        <w:t xml:space="preserve"> היה מבוגר מחברו ללימוד בשנתיים, ולכן ניתנה לו ההזדמנות להשיב ראשון. אמר: “אינני יכול להשיב על השאלה: אם אומר שאני גדול יותר, יחשיבוני בעל גאווה; ואם אומר שחיים גדול יותר, אהיה שקרן”. מיד קפץ ר׳ חיים והשיב את התשובה המוחצת: “אבא”, אמר, “אני אומר </w:t>
      </w:r>
      <w:proofErr w:type="spellStart"/>
      <w:r>
        <w:rPr>
          <w:rtl/>
        </w:rPr>
        <w:t>שזלמן־סנדר</w:t>
      </w:r>
      <w:proofErr w:type="spellEnd"/>
      <w:r>
        <w:rPr>
          <w:rtl/>
        </w:rPr>
        <w:t xml:space="preserve"> הוא שניהם!”</w:t>
      </w:r>
      <w:bookmarkStart w:id="5916" w:name="_fnr4485"/>
      <w:r>
        <w:rPr>
          <w:rStyle w:val="a5"/>
        </w:rPr>
        <w:footnoteReference w:id="4496" w:customMarkFollows="0"/>
      </w:r>
      <w:bookmarkEnd w:id="5916"/>
    </w:p>
    <w:p w14:paraId="1A0626AE" w14:textId="77777777" w:rsidR="00AB3647" w:rsidRDefault="00000000" w:rsidP="007923E9">
      <w:pPr>
        <w:spacing w:before="120" w:after="100" w:line="276" w:lineRule="auto"/>
        <w:jc w:val="both"/>
      </w:pPr>
      <w:r>
        <w:rPr>
          <w:rtl/>
        </w:rPr>
        <w:t>יעקב מארק</w:t>
      </w:r>
      <w:bookmarkStart w:id="5917" w:name="_fnr4486"/>
      <w:r>
        <w:rPr>
          <w:rStyle w:val="a5"/>
        </w:rPr>
        <w:footnoteReference w:id="4497" w:customMarkFollows="0"/>
      </w:r>
      <w:bookmarkEnd w:id="5917"/>
      <w:r>
        <w:rPr>
          <w:rtl/>
        </w:rPr>
        <w:t xml:space="preserve"> מביא אותו מעשה, אבל מחליף את תפקידי שני המשתתפים. הגרסה הראשונה של תשובת הסיום מתאימה יותר למחשבתו האנליטית של ר׳ חיים</w:t>
      </w:r>
      <w:bookmarkStart w:id="5918" w:name="_fnr4487"/>
      <w:r>
        <w:rPr>
          <w:rStyle w:val="a5"/>
        </w:rPr>
        <w:footnoteReference w:id="4498" w:customMarkFollows="0"/>
      </w:r>
      <w:bookmarkEnd w:id="5918"/>
      <w:r>
        <w:rPr>
          <w:rtl/>
        </w:rPr>
        <w:t>.</w:t>
      </w:r>
    </w:p>
    <w:bookmarkStart w:id="5919" w:name="b5_note23"/>
    <w:p w14:paraId="79069E33" w14:textId="77777777" w:rsidR="00AB3647" w:rsidRDefault="00000000" w:rsidP="007923E9">
      <w:pPr>
        <w:spacing w:before="120" w:after="100" w:line="276" w:lineRule="auto"/>
        <w:jc w:val="both"/>
      </w:pPr>
      <w:r>
        <w:fldChar w:fldCharType="begin" w:dirty="true"/>
      </w:r>
      <w:r>
        <w:instrText>HYPERLINK \l "b5_ref23"</w:instrText>
      </w:r>
      <w:r>
        <w:fldChar w:fldCharType="separate"/>
      </w:r>
      <w:r>
        <w:rPr>
          <w:b/>
          <w:bCs/>
          <w:rtl/>
        </w:rPr>
        <w:t>23</w:t>
      </w:r>
      <w:r>
        <w:rPr>
          <w:b/>
          <w:bCs/>
        </w:rPr>
        <w:fldChar w:fldCharType="end"/>
      </w:r>
      <w:bookmarkEnd w:id="5919"/>
      <w:r>
        <w:rPr>
          <w:rtl/>
        </w:rPr>
        <w:t xml:space="preserve"> </w:t>
      </w:r>
      <w:proofErr w:type="spellStart"/>
      <w:r>
        <w:rPr>
          <w:rtl/>
        </w:rPr>
        <w:t>בתרכ״ד</w:t>
      </w:r>
      <w:proofErr w:type="spellEnd"/>
      <w:r>
        <w:rPr>
          <w:rtl/>
        </w:rPr>
        <w:t xml:space="preserve">, כשעזב ר׳ יוסף־דב את </w:t>
      </w:r>
      <w:proofErr w:type="spellStart"/>
      <w:r>
        <w:rPr>
          <w:rtl/>
        </w:rPr>
        <w:t>וולוז׳ין</w:t>
      </w:r>
      <w:proofErr w:type="spellEnd"/>
      <w:r>
        <w:rPr>
          <w:rtl/>
        </w:rPr>
        <w:t xml:space="preserve"> לכהן כרבה של </w:t>
      </w:r>
      <w:proofErr w:type="spellStart"/>
      <w:r>
        <w:rPr>
          <w:rtl/>
        </w:rPr>
        <w:t>סלוצק</w:t>
      </w:r>
      <w:proofErr w:type="spellEnd"/>
      <w:r>
        <w:rPr>
          <w:rtl/>
        </w:rPr>
        <w:t xml:space="preserve">, הלך אחריו ר׳ </w:t>
      </w:r>
      <w:proofErr w:type="spellStart"/>
      <w:r>
        <w:rPr>
          <w:rtl/>
        </w:rPr>
        <w:t>זלמן־סנדר</w:t>
      </w:r>
      <w:proofErr w:type="spellEnd"/>
      <w:r>
        <w:rPr>
          <w:rtl/>
        </w:rPr>
        <w:t>. לפי “הראשון”</w:t>
      </w:r>
      <w:bookmarkStart w:id="5920" w:name="_fnr4488"/>
      <w:r>
        <w:rPr>
          <w:rStyle w:val="a5"/>
        </w:rPr>
        <w:footnoteReference w:id="4499" w:customMarkFollows="0"/>
      </w:r>
      <w:bookmarkEnd w:id="5920"/>
      <w:r>
        <w:rPr>
          <w:rtl/>
        </w:rPr>
        <w:t xml:space="preserve">, באו </w:t>
      </w:r>
      <w:proofErr w:type="spellStart"/>
      <w:r>
        <w:rPr>
          <w:rtl/>
        </w:rPr>
        <w:t>לסלוצק</w:t>
      </w:r>
      <w:proofErr w:type="spellEnd"/>
      <w:r>
        <w:rPr>
          <w:rtl/>
        </w:rPr>
        <w:t xml:space="preserve"> תלמידים נוספים של ר׳ יוסף־דב מישיבת </w:t>
      </w:r>
      <w:proofErr w:type="spellStart"/>
      <w:r>
        <w:rPr>
          <w:rtl/>
        </w:rPr>
        <w:t>וולוז׳ין</w:t>
      </w:r>
      <w:proofErr w:type="spellEnd"/>
      <w:r>
        <w:rPr>
          <w:rtl/>
        </w:rPr>
        <w:t xml:space="preserve"> כדי להצטרף לרבם, אבל הוא שלח את כולם בחזרה, חוץ מן הצעיר שבהם – קרובו בן </w:t>
      </w:r>
      <w:proofErr w:type="spellStart"/>
      <w:r>
        <w:rPr>
          <w:rtl/>
        </w:rPr>
        <w:t>הארבע־עשרה</w:t>
      </w:r>
      <w:proofErr w:type="spellEnd"/>
      <w:r>
        <w:rPr>
          <w:rtl/>
        </w:rPr>
        <w:t xml:space="preserve">, </w:t>
      </w:r>
      <w:proofErr w:type="spellStart"/>
      <w:r>
        <w:rPr>
          <w:rtl/>
        </w:rPr>
        <w:t>חברותתו</w:t>
      </w:r>
      <w:proofErr w:type="spellEnd"/>
      <w:r>
        <w:rPr>
          <w:rtl/>
        </w:rPr>
        <w:t xml:space="preserve"> של בנו, ר׳ </w:t>
      </w:r>
      <w:proofErr w:type="spellStart"/>
      <w:r>
        <w:rPr>
          <w:rtl/>
        </w:rPr>
        <w:t>זלמן־סנדר</w:t>
      </w:r>
      <w:bookmarkStart w:id="5921" w:name="_fnr4489"/>
      <w:proofErr w:type="spellEnd"/>
      <w:r>
        <w:rPr>
          <w:rStyle w:val="a5"/>
        </w:rPr>
        <w:footnoteReference w:id="4500" w:customMarkFollows="0"/>
      </w:r>
      <w:bookmarkEnd w:id="5921"/>
      <w:r>
        <w:rPr>
          <w:rtl/>
        </w:rPr>
        <w:t>.</w:t>
      </w:r>
    </w:p>
    <w:bookmarkStart w:id="5922" w:name="b5_note24"/>
    <w:p w14:paraId="0DF00530" w14:textId="013A539B" w:rsidR="00AB3647" w:rsidRDefault="00000000" w:rsidP="007923E9">
      <w:pPr>
        <w:spacing w:before="120" w:after="100" w:line="276" w:lineRule="auto"/>
        <w:jc w:val="both"/>
      </w:pPr>
      <w:r>
        <w:fldChar w:fldCharType="begin" w:dirty="true"/>
      </w:r>
      <w:r>
        <w:instrText>HYPERLINK \l "b5_ref24"</w:instrText>
      </w:r>
      <w:r>
        <w:fldChar w:fldCharType="separate"/>
      </w:r>
      <w:r>
        <w:rPr>
          <w:b/>
          <w:bCs/>
          <w:rtl/>
        </w:rPr>
        <w:t>24</w:t>
      </w:r>
      <w:r>
        <w:rPr>
          <w:b/>
          <w:bCs/>
        </w:rPr>
        <w:fldChar w:fldCharType="end"/>
      </w:r>
      <w:bookmarkEnd w:id="5922"/>
      <w:r>
        <w:rPr>
          <w:rtl/>
        </w:rPr>
        <w:t xml:space="preserve"> </w:t>
      </w:r>
      <w:proofErr w:type="spellStart"/>
      <w:r>
        <w:rPr>
          <w:rtl/>
        </w:rPr>
        <w:t>זמן־מה</w:t>
      </w:r>
      <w:proofErr w:type="spellEnd"/>
      <w:r>
        <w:rPr>
          <w:rtl/>
        </w:rPr>
        <w:t xml:space="preserve"> אחרי שנתמנה ר׳ </w:t>
      </w:r>
      <w:proofErr w:type="spellStart"/>
      <w:r>
        <w:rPr>
          <w:rtl/>
        </w:rPr>
        <w:t>זלמן־סנדר</w:t>
      </w:r>
      <w:proofErr w:type="spellEnd"/>
      <w:r>
        <w:rPr>
          <w:rtl/>
        </w:rPr>
        <w:t xml:space="preserve"> לרבה של </w:t>
      </w:r>
      <w:proofErr w:type="spellStart"/>
      <w:r>
        <w:rPr>
          <w:rtl/>
        </w:rPr>
        <w:t>מאלטש</w:t>
      </w:r>
      <w:proofErr w:type="spellEnd"/>
      <w:r>
        <w:rPr>
          <w:rtl/>
        </w:rPr>
        <w:t xml:space="preserve"> (</w:t>
      </w:r>
      <w:proofErr w:type="spellStart"/>
      <w:r>
        <w:rPr>
          <w:rtl/>
        </w:rPr>
        <w:t>בתרמ״ה</w:t>
      </w:r>
      <w:proofErr w:type="spellEnd"/>
      <w:r>
        <w:rPr>
          <w:rtl/>
        </w:rPr>
        <w:t>), הציע לו חברו ר׳ חיים</w:t>
      </w:r>
      <w:bookmarkStart w:id="5923" w:name="_fnr4490"/>
      <w:r>
        <w:rPr>
          <w:rStyle w:val="a5"/>
        </w:rPr>
        <w:footnoteReference w:id="4501" w:customMarkFollows="0"/>
      </w:r>
      <w:bookmarkEnd w:id="5923"/>
      <w:r>
        <w:rPr>
          <w:rtl/>
        </w:rPr>
        <w:t xml:space="preserve"> לפתוח שם ישיבה. היא נפתחה </w:t>
      </w:r>
      <w:proofErr w:type="spellStart"/>
      <w:r>
        <w:rPr>
          <w:rtl/>
        </w:rPr>
        <w:t>בתרנ״ח</w:t>
      </w:r>
      <w:proofErr w:type="spellEnd"/>
      <w:r>
        <w:rPr>
          <w:rtl/>
        </w:rPr>
        <w:t xml:space="preserve">, עם קבוצת תלמידים </w:t>
      </w:r>
      <w:proofErr w:type="spellStart"/>
      <w:r>
        <w:rPr>
          <w:rtl/>
        </w:rPr>
        <w:t>מבריסק</w:t>
      </w:r>
      <w:bookmarkStart w:id="5924" w:name="_fnr4491"/>
      <w:proofErr w:type="spellEnd"/>
      <w:r>
        <w:rPr>
          <w:rStyle w:val="a5"/>
        </w:rPr>
        <w:footnoteReference w:id="4502" w:customMarkFollows="0"/>
      </w:r>
      <w:bookmarkEnd w:id="5924"/>
      <w:r>
        <w:rPr>
          <w:rtl/>
        </w:rPr>
        <w:t xml:space="preserve">. השווה פרק 3, הפסקה השנייה בהערה </w:t>
      </w:r>
      <w:r>
        <w:rPr>
          <w:rtl/>
        </w:rPr>
        <w:fldChar w:fldCharType="begin" w:dirty="true"/>
      </w:r>
      <w:r>
        <w:rPr>
          <w:rtl/>
        </w:rPr>
        <w:instrText xml:space="preserve"> REF b3_note48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48</w:t>
      </w:r>
      <w:r>
        <w:rPr>
          <w:rtl/>
        </w:rPr>
        <w:fldChar w:fldCharType="end"/>
      </w:r>
      <w:r>
        <w:rPr>
          <w:rtl/>
        </w:rPr>
        <w:t xml:space="preserve">: הצעת ר׳ חיים אולי באה בעקבות מה שחווה ר׳ </w:t>
      </w:r>
      <w:proofErr w:type="spellStart"/>
      <w:r>
        <w:rPr>
          <w:rtl/>
        </w:rPr>
        <w:t>זלמן־סנדר</w:t>
      </w:r>
      <w:proofErr w:type="spellEnd"/>
      <w:r>
        <w:rPr>
          <w:rtl/>
        </w:rPr>
        <w:t xml:space="preserve"> בסוף השבוע ששהה </w:t>
      </w:r>
      <w:proofErr w:type="spellStart"/>
      <w:r>
        <w:rPr>
          <w:rtl/>
        </w:rPr>
        <w:t>בסלבודקה</w:t>
      </w:r>
      <w:proofErr w:type="spellEnd"/>
      <w:r>
        <w:rPr>
          <w:rtl/>
        </w:rPr>
        <w:t>, בערך באותה עת.</w:t>
      </w:r>
    </w:p>
    <w:p w14:paraId="4C03C340" w14:textId="77777777" w:rsidR="00AB3647" w:rsidRDefault="00000000" w:rsidP="007923E9">
      <w:pPr>
        <w:spacing w:before="120" w:after="100" w:line="276" w:lineRule="auto"/>
        <w:jc w:val="both"/>
      </w:pPr>
      <w:r>
        <w:rPr>
          <w:rtl/>
        </w:rPr>
        <w:t>הישיבה נקראה “ענף עץ חיים”. נאמר שקרא לה כך לא רק מפני שהיה מבית הרב</w:t>
      </w:r>
      <w:bookmarkStart w:id="5925" w:name="_fnr4492"/>
      <w:r>
        <w:rPr>
          <w:rStyle w:val="a5"/>
        </w:rPr>
        <w:footnoteReference w:id="4503" w:customMarkFollows="0"/>
      </w:r>
      <w:bookmarkEnd w:id="5925"/>
      <w:r>
        <w:rPr>
          <w:rtl/>
        </w:rPr>
        <w:t xml:space="preserve"> – ענף בעץ המשפחה של ר׳ חיים </w:t>
      </w:r>
      <w:proofErr w:type="spellStart"/>
      <w:r>
        <w:rPr>
          <w:rtl/>
        </w:rPr>
        <w:t>מוולוז׳ין</w:t>
      </w:r>
      <w:bookmarkStart w:id="5926" w:name="_fnr4493"/>
      <w:proofErr w:type="spellEnd"/>
      <w:r>
        <w:rPr>
          <w:rStyle w:val="a5"/>
        </w:rPr>
        <w:footnoteReference w:id="4504" w:customMarkFollows="0"/>
      </w:r>
      <w:bookmarkEnd w:id="5926"/>
      <w:r>
        <w:rPr>
          <w:rtl/>
        </w:rPr>
        <w:t xml:space="preserve"> – אלא מפני שרצה שישיבתו תהיה תחייה בזעיר אנפין של ישיבת </w:t>
      </w:r>
      <w:proofErr w:type="spellStart"/>
      <w:r>
        <w:rPr>
          <w:rtl/>
        </w:rPr>
        <w:t>וולוז׳ין</w:t>
      </w:r>
      <w:proofErr w:type="spellEnd"/>
      <w:r>
        <w:rPr>
          <w:rtl/>
        </w:rPr>
        <w:t>, ששמה הרשמי היה “עץ חיים”</w:t>
      </w:r>
      <w:bookmarkStart w:id="5927" w:name="_fnr4494"/>
      <w:r>
        <w:rPr>
          <w:rStyle w:val="a5"/>
        </w:rPr>
        <w:footnoteReference w:id="4505" w:customMarkFollows="0"/>
      </w:r>
      <w:bookmarkEnd w:id="5927"/>
      <w:r>
        <w:rPr>
          <w:rtl/>
        </w:rPr>
        <w:t xml:space="preserve"> ושנסגרה שש שנים קודם לכן. ואכן, דרך הלימוד הייתה דומה לזו של ישיבת עץ חיים </w:t>
      </w:r>
      <w:proofErr w:type="spellStart"/>
      <w:r>
        <w:rPr>
          <w:rtl/>
        </w:rPr>
        <w:t>בוולוז׳ין</w:t>
      </w:r>
      <w:proofErr w:type="spellEnd"/>
      <w:r>
        <w:rPr>
          <w:rtl/>
        </w:rPr>
        <w:t xml:space="preserve">: השיעורים התקדמו מדף לדף, לרבות </w:t>
      </w:r>
      <w:r>
        <w:rPr>
          <w:rtl/>
        </w:rPr>
        <w:lastRenderedPageBreak/>
        <w:t>אגדות וסוגיות בקודשים</w:t>
      </w:r>
      <w:bookmarkStart w:id="5928" w:name="_fnr4495"/>
      <w:r>
        <w:rPr>
          <w:rStyle w:val="a5"/>
        </w:rPr>
        <w:footnoteReference w:id="4506" w:customMarkFollows="0"/>
      </w:r>
      <w:bookmarkEnd w:id="5928"/>
      <w:r>
        <w:rPr>
          <w:rtl/>
        </w:rPr>
        <w:t xml:space="preserve">. ר׳ </w:t>
      </w:r>
      <w:proofErr w:type="spellStart"/>
      <w:r>
        <w:rPr>
          <w:rtl/>
        </w:rPr>
        <w:t>זלמן־סנדר</w:t>
      </w:r>
      <w:proofErr w:type="spellEnd"/>
      <w:r>
        <w:rPr>
          <w:rtl/>
        </w:rPr>
        <w:t xml:space="preserve"> כיהן </w:t>
      </w:r>
      <w:proofErr w:type="spellStart"/>
      <w:r>
        <w:rPr>
          <w:rtl/>
        </w:rPr>
        <w:t>במאלטש</w:t>
      </w:r>
      <w:proofErr w:type="spellEnd"/>
      <w:r>
        <w:rPr>
          <w:rtl/>
        </w:rPr>
        <w:t xml:space="preserve"> </w:t>
      </w:r>
      <w:proofErr w:type="spellStart"/>
      <w:r>
        <w:rPr>
          <w:rtl/>
        </w:rPr>
        <w:t>שמונה־עשרה</w:t>
      </w:r>
      <w:proofErr w:type="spellEnd"/>
      <w:r>
        <w:rPr>
          <w:rtl/>
        </w:rPr>
        <w:t xml:space="preserve"> שנה, ועבר </w:t>
      </w:r>
      <w:proofErr w:type="spellStart"/>
      <w:r>
        <w:rPr>
          <w:rtl/>
        </w:rPr>
        <w:t>לקרינק</w:t>
      </w:r>
      <w:proofErr w:type="spellEnd"/>
      <w:r>
        <w:rPr>
          <w:rtl/>
        </w:rPr>
        <w:t xml:space="preserve"> – שם למד אבי אצלו זמן קצר</w:t>
      </w:r>
      <w:bookmarkStart w:id="5929" w:name="_fnr4496"/>
      <w:bookmarkStart w:id="5930" w:name="pr_f_4379"/>
      <w:r>
        <w:rPr>
          <w:rStyle w:val="a5"/>
        </w:rPr>
        <w:footnoteReference w:id="4507" w:customMarkFollows="0"/>
      </w:r>
      <w:bookmarkEnd w:id="5929"/>
      <w:bookmarkEnd w:id="5930"/>
      <w:r>
        <w:rPr>
          <w:rtl/>
        </w:rPr>
        <w:t xml:space="preserve">. </w:t>
      </w:r>
      <w:proofErr w:type="spellStart"/>
      <w:r>
        <w:rPr>
          <w:rtl/>
        </w:rPr>
        <w:t>בתרפ״א</w:t>
      </w:r>
      <w:proofErr w:type="spellEnd"/>
      <w:r>
        <w:rPr>
          <w:rtl/>
        </w:rPr>
        <w:t xml:space="preserve"> השתקע בארץ ישראל, ושם נפטר כעבור שנה וחצי</w:t>
      </w:r>
      <w:bookmarkStart w:id="5931" w:name="_fnr4497"/>
      <w:r>
        <w:rPr>
          <w:rStyle w:val="a5"/>
        </w:rPr>
        <w:footnoteReference w:id="4508" w:customMarkFollows="0"/>
      </w:r>
      <w:bookmarkEnd w:id="5931"/>
      <w:r>
        <w:rPr>
          <w:rtl/>
        </w:rPr>
        <w:t xml:space="preserve">. ר׳ </w:t>
      </w:r>
      <w:proofErr w:type="spellStart"/>
      <w:r>
        <w:rPr>
          <w:rtl/>
        </w:rPr>
        <w:t>זלמן־סנדר</w:t>
      </w:r>
      <w:proofErr w:type="spellEnd"/>
      <w:r>
        <w:rPr>
          <w:rtl/>
        </w:rPr>
        <w:t xml:space="preserve"> היה אביו של רבה האחרון של קובנה, ר׳ </w:t>
      </w:r>
      <w:proofErr w:type="spellStart"/>
      <w:r>
        <w:rPr>
          <w:rtl/>
        </w:rPr>
        <w:t>אברהם־דובער</w:t>
      </w:r>
      <w:proofErr w:type="spellEnd"/>
      <w:r>
        <w:rPr>
          <w:rtl/>
        </w:rPr>
        <w:t xml:space="preserve"> </w:t>
      </w:r>
      <w:proofErr w:type="spellStart"/>
      <w:r>
        <w:rPr>
          <w:rtl/>
        </w:rPr>
        <w:t>כהנא־שפירא</w:t>
      </w:r>
      <w:bookmarkStart w:id="5932" w:name="_fnr4498"/>
      <w:proofErr w:type="spellEnd"/>
      <w:r>
        <w:rPr>
          <w:rStyle w:val="a5"/>
        </w:rPr>
        <w:footnoteReference w:id="4509" w:customMarkFollows="0"/>
      </w:r>
      <w:bookmarkEnd w:id="5932"/>
      <w:r>
        <w:rPr>
          <w:rtl/>
        </w:rPr>
        <w:t>.</w:t>
      </w:r>
    </w:p>
    <w:bookmarkStart w:id="5933" w:name="b5_note25"/>
    <w:p w14:paraId="47664CA9" w14:textId="35A61DC7" w:rsidR="00AB3647" w:rsidRDefault="00000000" w:rsidP="007923E9">
      <w:pPr>
        <w:spacing w:before="120" w:after="100" w:line="276" w:lineRule="auto"/>
        <w:jc w:val="both"/>
      </w:pPr>
      <w:r>
        <w:fldChar w:fldCharType="begin" w:dirty="true"/>
      </w:r>
      <w:r>
        <w:instrText>HYPERLINK \l "b5_ref25"</w:instrText>
      </w:r>
      <w:r>
        <w:fldChar w:fldCharType="separate"/>
      </w:r>
      <w:r>
        <w:rPr>
          <w:b/>
          <w:bCs/>
          <w:rtl/>
        </w:rPr>
        <w:t>25</w:t>
      </w:r>
      <w:r>
        <w:rPr>
          <w:b/>
          <w:bCs/>
        </w:rPr>
        <w:fldChar w:fldCharType="end"/>
      </w:r>
      <w:bookmarkEnd w:id="5933"/>
      <w:r>
        <w:rPr>
          <w:rtl/>
        </w:rPr>
        <w:t xml:space="preserve"> השווה פרק 4, הערה </w:t>
      </w:r>
      <w:r>
        <w:rPr>
          <w:rtl/>
        </w:rPr>
        <w:fldChar w:fldCharType="begin" w:dirty="true"/>
      </w:r>
      <w:r>
        <w:rPr>
          <w:rtl/>
        </w:rPr>
        <w:instrText xml:space="preserve"> REF b4_note113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113</w:t>
      </w:r>
      <w:r>
        <w:rPr>
          <w:rtl/>
        </w:rPr>
        <w:fldChar w:fldCharType="end"/>
      </w:r>
      <w:r>
        <w:rPr>
          <w:rtl/>
        </w:rPr>
        <w:t xml:space="preserve">. חותני ר׳ דוד ליפשיץ, תלמידו הקרוב של ר׳ שמעון בתקופתו האחרונה </w:t>
      </w:r>
      <w:proofErr w:type="spellStart"/>
      <w:r>
        <w:rPr>
          <w:rtl/>
        </w:rPr>
        <w:t>בגרודנא</w:t>
      </w:r>
      <w:proofErr w:type="spellEnd"/>
      <w:r>
        <w:rPr>
          <w:rtl/>
        </w:rPr>
        <w:t xml:space="preserve">, אמר שרבו עזב את </w:t>
      </w:r>
      <w:proofErr w:type="spellStart"/>
      <w:r>
        <w:rPr>
          <w:rtl/>
        </w:rPr>
        <w:t>טלז</w:t>
      </w:r>
      <w:proofErr w:type="spellEnd"/>
      <w:r>
        <w:rPr>
          <w:rtl/>
        </w:rPr>
        <w:t xml:space="preserve"> מפני שביקש להיות גם ראש ישיבה וגם רב. גם ר׳ ישראל </w:t>
      </w:r>
      <w:proofErr w:type="spellStart"/>
      <w:r>
        <w:rPr>
          <w:rtl/>
        </w:rPr>
        <w:t>שורין</w:t>
      </w:r>
      <w:proofErr w:type="spellEnd"/>
      <w:r>
        <w:rPr>
          <w:rtl/>
        </w:rPr>
        <w:t xml:space="preserve"> סיפר</w:t>
      </w:r>
      <w:bookmarkStart w:id="5934" w:name="_fnr4499"/>
      <w:r>
        <w:rPr>
          <w:rStyle w:val="a5"/>
        </w:rPr>
        <w:footnoteReference w:id="4510" w:customMarkFollows="0"/>
      </w:r>
      <w:bookmarkEnd w:id="5934"/>
      <w:r>
        <w:rPr>
          <w:rtl/>
        </w:rPr>
        <w:t xml:space="preserve"> ששאל את בנו של ר׳ שמעון, ר׳ </w:t>
      </w:r>
      <w:proofErr w:type="spellStart"/>
      <w:r>
        <w:rPr>
          <w:rtl/>
        </w:rPr>
        <w:t>משה־מרדכי</w:t>
      </w:r>
      <w:proofErr w:type="spellEnd"/>
      <w:r>
        <w:rPr>
          <w:rtl/>
        </w:rPr>
        <w:t xml:space="preserve"> </w:t>
      </w:r>
      <w:proofErr w:type="spellStart"/>
      <w:r>
        <w:rPr>
          <w:rtl/>
        </w:rPr>
        <w:t>שקופ</w:t>
      </w:r>
      <w:proofErr w:type="spellEnd"/>
      <w:r>
        <w:rPr>
          <w:rtl/>
        </w:rPr>
        <w:t xml:space="preserve">, מדוע עזב אביו את </w:t>
      </w:r>
      <w:proofErr w:type="spellStart"/>
      <w:r>
        <w:rPr>
          <w:rtl/>
        </w:rPr>
        <w:t>טלז</w:t>
      </w:r>
      <w:proofErr w:type="spellEnd"/>
      <w:r>
        <w:rPr>
          <w:rtl/>
        </w:rPr>
        <w:t>, שבה היו שיעוריו חביבים כל כך על התלמידים, ונענה: “זו הייתה חולשה של אבי, שרצה להיות אב״ד ור״מ”.</w:t>
      </w:r>
    </w:p>
    <w:p w14:paraId="3A97C424" w14:textId="40D1252C" w:rsidR="00AB3647" w:rsidRDefault="00000000" w:rsidP="007923E9">
      <w:pPr>
        <w:spacing w:before="120" w:after="100" w:line="276" w:lineRule="auto"/>
        <w:jc w:val="both"/>
      </w:pPr>
      <w:r>
        <w:rPr>
          <w:rtl/>
        </w:rPr>
        <w:t xml:space="preserve">ראה גם פרק 4, הפסקה הראשונה בהערה </w:t>
      </w:r>
      <w:r>
        <w:rPr>
          <w:rtl/>
        </w:rPr>
        <w:fldChar w:fldCharType="begin" w:dirty="true"/>
      </w:r>
      <w:r>
        <w:rPr>
          <w:rtl/>
        </w:rPr>
        <w:instrText xml:space="preserve"> REF b4_note93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93</w:t>
      </w:r>
      <w:r>
        <w:rPr>
          <w:rtl/>
        </w:rPr>
        <w:fldChar w:fldCharType="end"/>
      </w:r>
      <w:r>
        <w:rPr>
          <w:rtl/>
        </w:rPr>
        <w:t xml:space="preserve">, שבה מצוטט רבנו </w:t>
      </w:r>
      <w:proofErr w:type="spellStart"/>
      <w:r>
        <w:rPr>
          <w:rtl/>
        </w:rPr>
        <w:t>ש“מעמדו</w:t>
      </w:r>
      <w:proofErr w:type="spellEnd"/>
      <w:r>
        <w:rPr>
          <w:rtl/>
        </w:rPr>
        <w:t xml:space="preserve"> של ראש ישיבה היה נמוך ממעמדו של רב”. אבי התכוון לסוף שנות </w:t>
      </w:r>
      <w:proofErr w:type="spellStart"/>
      <w:r>
        <w:rPr>
          <w:rtl/>
        </w:rPr>
        <w:t>התר״ל</w:t>
      </w:r>
      <w:proofErr w:type="spellEnd"/>
      <w:r>
        <w:rPr>
          <w:rtl/>
        </w:rPr>
        <w:t xml:space="preserve"> ולתחילת שנות </w:t>
      </w:r>
      <w:proofErr w:type="spellStart"/>
      <w:r>
        <w:rPr>
          <w:rtl/>
        </w:rPr>
        <w:t>התר״מ</w:t>
      </w:r>
      <w:proofErr w:type="spellEnd"/>
      <w:r>
        <w:rPr>
          <w:rtl/>
        </w:rPr>
        <w:t xml:space="preserve">. אף שמעמד ראשי הישיבות עלה בשני העשורים שחלפו מאז ועד הזמן הנדון כאן, עדיין נחשבה הרבנות לכהונה מכובדת, שראש ישיבה בעל כישורי רבנות עשוי לשאוף אליה. לפי ר׳ </w:t>
      </w:r>
      <w:proofErr w:type="spellStart"/>
      <w:r>
        <w:rPr>
          <w:rtl/>
        </w:rPr>
        <w:t xml:space="preserve">יושע־בערל</w:t>
      </w:r>
      <w:proofErr w:type="spellEnd"/>
      <w:r>
        <w:rPr>
          <w:rtl/>
        </w:rPr>
        <w:t xml:space="preserve"> </w:t>
      </w:r>
      <w:proofErr w:type="spellStart"/>
      <w:r>
        <w:rPr>
          <w:rtl/>
        </w:rPr>
        <w:t>סולובייצ׳יק</w:t>
      </w:r>
      <w:bookmarkStart w:id="5935" w:name="_fnr4500"/>
      <w:proofErr w:type="spellEnd"/>
      <w:r>
        <w:rPr>
          <w:rStyle w:val="a5"/>
        </w:rPr>
        <w:footnoteReference w:id="4511" w:customMarkFollows="0"/>
      </w:r>
      <w:bookmarkEnd w:id="5935"/>
      <w:r>
        <w:rPr>
          <w:rtl/>
        </w:rPr>
        <w:t xml:space="preserve">, יעץ ר׳ חיים </w:t>
      </w:r>
      <w:proofErr w:type="spellStart"/>
      <w:r>
        <w:rPr>
          <w:rtl/>
        </w:rPr>
        <w:t>לר</w:t>
      </w:r>
      <w:proofErr w:type="spellEnd"/>
      <w:r>
        <w:rPr>
          <w:rtl/>
        </w:rPr>
        <w:t xml:space="preserve">׳ שמעון </w:t>
      </w:r>
      <w:r>
        <w:rPr>
          <w:b/>
          <w:bCs/>
          <w:rtl/>
        </w:rPr>
        <w:t>שלא</w:t>
      </w:r>
      <w:r>
        <w:rPr>
          <w:rtl/>
        </w:rPr>
        <w:t xml:space="preserve"> לחדש את ישיבת </w:t>
      </w:r>
      <w:proofErr w:type="spellStart"/>
      <w:r>
        <w:rPr>
          <w:rtl/>
        </w:rPr>
        <w:t>מאלטש</w:t>
      </w:r>
      <w:proofErr w:type="spellEnd"/>
      <w:r>
        <w:rPr>
          <w:rtl/>
        </w:rPr>
        <w:t>, אבל עצתו לא נשמעה.</w:t>
      </w:r>
    </w:p>
    <w:p w14:paraId="6B4C5D43" w14:textId="328BF209" w:rsidR="00AB3647" w:rsidRDefault="00000000" w:rsidP="007923E9">
      <w:pPr>
        <w:spacing w:before="120" w:after="100" w:line="276" w:lineRule="auto"/>
        <w:jc w:val="both"/>
      </w:pPr>
      <w:r>
        <w:rPr>
          <w:rtl/>
        </w:rPr>
        <w:t xml:space="preserve">ר׳ שמעון למד </w:t>
      </w:r>
      <w:proofErr w:type="spellStart"/>
      <w:r>
        <w:rPr>
          <w:rtl/>
        </w:rPr>
        <w:t>בוולוז׳ין</w:t>
      </w:r>
      <w:proofErr w:type="spellEnd"/>
      <w:r>
        <w:rPr>
          <w:rtl/>
        </w:rPr>
        <w:t xml:space="preserve"> שש שנים, החל </w:t>
      </w:r>
      <w:proofErr w:type="spellStart"/>
      <w:r>
        <w:rPr>
          <w:rtl/>
        </w:rPr>
        <w:t>מתרל״ה</w:t>
      </w:r>
      <w:proofErr w:type="spellEnd"/>
      <w:r>
        <w:rPr>
          <w:rtl/>
        </w:rPr>
        <w:t xml:space="preserve">. שנים אלה חפפו את תקופת </w:t>
      </w:r>
      <w:proofErr w:type="spellStart"/>
      <w:r>
        <w:rPr>
          <w:rtl/>
        </w:rPr>
        <w:t>ה“קעסט</w:t>
      </w:r>
      <w:proofErr w:type="spellEnd"/>
      <w:r>
        <w:rPr>
          <w:rtl/>
        </w:rPr>
        <w:t xml:space="preserve">” של ר׳ חיים – מסוף תרל״ג עד תרל״ט ועד בכלל – ואת שנתו הראשונה כמשנה לראש הישיבה, שהחלה בערך בקיץ תר״מ. ר׳ שמעון, שהיה צעיר מר׳ חיים בשבע שנים, לא ראה את עצמו תלמידו במלוא מובן המילה, אלא </w:t>
      </w:r>
      <w:proofErr w:type="spellStart"/>
      <w:r>
        <w:rPr>
          <w:rtl/>
        </w:rPr>
        <w:t>תלמיד־חבר</w:t>
      </w:r>
      <w:bookmarkStart w:id="5936" w:name="_fnr4501"/>
      <w:proofErr w:type="spellEnd"/>
      <w:r>
        <w:rPr>
          <w:rStyle w:val="a5"/>
        </w:rPr>
        <w:footnoteReference w:id="4512" w:customMarkFollows="0"/>
      </w:r>
      <w:bookmarkEnd w:id="5936"/>
      <w:r>
        <w:rPr>
          <w:rtl/>
        </w:rPr>
        <w:t xml:space="preserve">. השווה גם סוף הערה </w:t>
      </w:r>
      <w:r>
        <w:rPr>
          <w:rtl/>
        </w:rPr>
        <w:fldChar w:fldCharType="begin" w:dirty="true"/>
      </w:r>
      <w:r>
        <w:rPr>
          <w:rtl/>
        </w:rPr>
        <w:instrText xml:space="preserve"> REF b5_note30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30</w:t>
      </w:r>
      <w:r>
        <w:rPr>
          <w:rtl/>
        </w:rPr>
        <w:fldChar w:fldCharType="end"/>
      </w:r>
      <w:r>
        <w:rPr>
          <w:rtl/>
        </w:rPr>
        <w:t xml:space="preserve"> להלן, שמבסס היטב את חששו של ר׳ חיים מפני פתיחת ישיבת </w:t>
      </w:r>
      <w:proofErr w:type="spellStart"/>
      <w:r>
        <w:rPr>
          <w:rtl/>
        </w:rPr>
        <w:t>מאלטש</w:t>
      </w:r>
      <w:proofErr w:type="spellEnd"/>
      <w:r>
        <w:rPr>
          <w:rtl/>
        </w:rPr>
        <w:t xml:space="preserve"> מחדש.</w:t>
      </w:r>
    </w:p>
    <w:bookmarkStart w:id="5937" w:name="b5_note26"/>
    <w:p w14:paraId="6BA2B86A" w14:textId="77777777" w:rsidR="00AB3647" w:rsidRDefault="00000000" w:rsidP="007923E9">
      <w:pPr>
        <w:spacing w:before="120" w:after="100" w:line="276" w:lineRule="auto"/>
        <w:jc w:val="both"/>
      </w:pPr>
      <w:r>
        <w:fldChar w:fldCharType="begin" w:dirty="true"/>
      </w:r>
      <w:r>
        <w:instrText>HYPERLINK \l "b5_ref26"</w:instrText>
      </w:r>
      <w:r>
        <w:fldChar w:fldCharType="separate"/>
      </w:r>
      <w:r>
        <w:rPr>
          <w:b/>
          <w:bCs/>
          <w:rtl/>
        </w:rPr>
        <w:t>26</w:t>
      </w:r>
      <w:r>
        <w:rPr>
          <w:b/>
          <w:bCs/>
        </w:rPr>
        <w:fldChar w:fldCharType="end"/>
      </w:r>
      <w:bookmarkEnd w:id="5937"/>
      <w:r>
        <w:rPr>
          <w:rtl/>
        </w:rPr>
        <w:t xml:space="preserve"> העובדה שלימד בישיבת </w:t>
      </w:r>
      <w:proofErr w:type="spellStart"/>
      <w:r>
        <w:rPr>
          <w:rtl/>
        </w:rPr>
        <w:t>לומז׳ה</w:t>
      </w:r>
      <w:proofErr w:type="spellEnd"/>
      <w:r>
        <w:rPr>
          <w:rtl/>
        </w:rPr>
        <w:t xml:space="preserve"> מובאת בספרו של כץ, “תנועת המוסר”, כרך ב</w:t>
      </w:r>
      <w:bookmarkStart w:id="5938" w:name="_fnr4502"/>
      <w:r>
        <w:rPr>
          <w:rStyle w:val="a5"/>
        </w:rPr>
        <w:footnoteReference w:id="4513" w:customMarkFollows="0"/>
      </w:r>
      <w:bookmarkEnd w:id="5938"/>
      <w:r>
        <w:rPr>
          <w:rtl/>
        </w:rPr>
        <w:t>, אבל בריאיון על הסבא</w:t>
      </w:r>
      <w:bookmarkStart w:id="5939" w:name="_fnr4503"/>
      <w:r>
        <w:rPr>
          <w:rStyle w:val="a5"/>
        </w:rPr>
        <w:footnoteReference w:id="4514" w:customMarkFollows="0"/>
      </w:r>
      <w:bookmarkEnd w:id="5939"/>
      <w:r>
        <w:rPr>
          <w:rtl/>
        </w:rPr>
        <w:t xml:space="preserve"> הגדיר אבי במדויק את תפקידו של ר׳ </w:t>
      </w:r>
      <w:proofErr w:type="spellStart"/>
      <w:r>
        <w:rPr>
          <w:rtl/>
        </w:rPr>
        <w:t>דוד־טעביל</w:t>
      </w:r>
      <w:proofErr w:type="spellEnd"/>
      <w:r>
        <w:rPr>
          <w:rtl/>
        </w:rPr>
        <w:t xml:space="preserve"> שם: “ראש הישיבה הבכיר ביותר”. הדבר מאושר </w:t>
      </w:r>
      <w:proofErr w:type="spellStart"/>
      <w:r>
        <w:rPr>
          <w:rtl/>
        </w:rPr>
        <w:t>ב“אהלי</w:t>
      </w:r>
      <w:proofErr w:type="spellEnd"/>
      <w:r>
        <w:rPr>
          <w:rtl/>
        </w:rPr>
        <w:t xml:space="preserve"> שם”</w:t>
      </w:r>
      <w:bookmarkStart w:id="5940" w:name="_fnr4504"/>
      <w:r>
        <w:rPr>
          <w:rStyle w:val="a5"/>
        </w:rPr>
        <w:footnoteReference w:id="4515" w:customMarkFollows="0"/>
      </w:r>
      <w:bookmarkEnd w:id="5940"/>
      <w:r>
        <w:rPr>
          <w:rtl/>
        </w:rPr>
        <w:t xml:space="preserve">: “הוא נתמנה לר״מ ראשי בישיבת </w:t>
      </w:r>
      <w:proofErr w:type="spellStart"/>
      <w:r>
        <w:rPr>
          <w:rtl/>
        </w:rPr>
        <w:t>לומז׳ה</w:t>
      </w:r>
      <w:proofErr w:type="spellEnd"/>
      <w:r>
        <w:rPr>
          <w:rtl/>
        </w:rPr>
        <w:t xml:space="preserve"> </w:t>
      </w:r>
      <w:proofErr w:type="spellStart"/>
      <w:r>
        <w:rPr>
          <w:rtl/>
        </w:rPr>
        <w:t>בתרנ״ג</w:t>
      </w:r>
      <w:proofErr w:type="spellEnd"/>
      <w:r>
        <w:rPr>
          <w:rtl/>
        </w:rPr>
        <w:t xml:space="preserve">”. ר׳ שרגא אברמסון, שלמד בישיבת </w:t>
      </w:r>
      <w:proofErr w:type="spellStart"/>
      <w:r>
        <w:rPr>
          <w:rtl/>
        </w:rPr>
        <w:t>לומז׳ה</w:t>
      </w:r>
      <w:proofErr w:type="spellEnd"/>
      <w:r>
        <w:rPr>
          <w:rtl/>
        </w:rPr>
        <w:t xml:space="preserve"> תשע שנים בין שתי מלחמות העולם (תרפ״ז–תרצ״ו), אמר</w:t>
      </w:r>
      <w:bookmarkStart w:id="5941" w:name="_fnr4505"/>
      <w:r>
        <w:rPr>
          <w:rStyle w:val="a5"/>
        </w:rPr>
        <w:footnoteReference w:id="4516" w:customMarkFollows="0"/>
      </w:r>
      <w:bookmarkEnd w:id="5941"/>
      <w:r>
        <w:rPr>
          <w:rtl/>
        </w:rPr>
        <w:t xml:space="preserve">: “ר׳ </w:t>
      </w:r>
      <w:proofErr w:type="spellStart"/>
      <w:r>
        <w:rPr>
          <w:rtl/>
        </w:rPr>
        <w:t>דוד־טעביל</w:t>
      </w:r>
      <w:proofErr w:type="spellEnd"/>
      <w:r>
        <w:rPr>
          <w:rtl/>
        </w:rPr>
        <w:t xml:space="preserve"> היה מאנשי הצוות הראשונים בישיבת </w:t>
      </w:r>
      <w:proofErr w:type="spellStart"/>
      <w:r>
        <w:rPr>
          <w:rtl/>
        </w:rPr>
        <w:t>לומז׳ה</w:t>
      </w:r>
      <w:proofErr w:type="spellEnd"/>
      <w:r>
        <w:rPr>
          <w:rtl/>
        </w:rPr>
        <w:t xml:space="preserve">, אך </w:t>
      </w:r>
      <w:r>
        <w:rPr>
          <w:rtl/>
        </w:rPr>
        <w:lastRenderedPageBreak/>
        <w:t>כרבים מן המגידים שיעור</w:t>
      </w:r>
      <w:bookmarkStart w:id="5942" w:name="_fnr4506"/>
      <w:r>
        <w:rPr>
          <w:rStyle w:val="a5"/>
        </w:rPr>
        <w:footnoteReference w:id="4517" w:customMarkFollows="0"/>
      </w:r>
      <w:bookmarkEnd w:id="5942"/>
      <w:r>
        <w:rPr>
          <w:rtl/>
        </w:rPr>
        <w:t xml:space="preserve">, היו לו קשיים עם מייסד הישיבה, ר׳ לייזר </w:t>
      </w:r>
      <w:proofErr w:type="spellStart"/>
      <w:r>
        <w:rPr>
          <w:rtl/>
        </w:rPr>
        <w:t>שולביץ</w:t>
      </w:r>
      <w:proofErr w:type="spellEnd"/>
      <w:r>
        <w:rPr>
          <w:rtl/>
        </w:rPr>
        <w:t xml:space="preserve">. גם בעלי הבתים </w:t>
      </w:r>
      <w:proofErr w:type="spellStart"/>
      <w:r>
        <w:rPr>
          <w:rtl/>
        </w:rPr>
        <w:t>בלומז׳ה</w:t>
      </w:r>
      <w:proofErr w:type="spellEnd"/>
      <w:r>
        <w:rPr>
          <w:rtl/>
        </w:rPr>
        <w:t xml:space="preserve"> היו קשים; רבנות העיר הגדולה הייתה מכובדת, אך </w:t>
      </w:r>
      <w:proofErr w:type="spellStart"/>
      <w:r>
        <w:rPr>
          <w:rtl/>
        </w:rPr>
        <w:t>לומז׳ה</w:t>
      </w:r>
      <w:proofErr w:type="spellEnd"/>
      <w:r>
        <w:rPr>
          <w:rtl/>
        </w:rPr>
        <w:t xml:space="preserve"> לא הייתה מקום תורה טוב – ומשום כך אמר </w:t>
      </w:r>
      <w:proofErr w:type="spellStart"/>
      <w:r>
        <w:rPr>
          <w:rtl/>
        </w:rPr>
        <w:t>החפץ־חיים</w:t>
      </w:r>
      <w:proofErr w:type="spellEnd"/>
      <w:r>
        <w:rPr>
          <w:rtl/>
        </w:rPr>
        <w:t xml:space="preserve"> </w:t>
      </w:r>
      <w:proofErr w:type="spellStart"/>
      <w:r>
        <w:rPr>
          <w:rtl/>
        </w:rPr>
        <w:t>לר</w:t>
      </w:r>
      <w:proofErr w:type="spellEnd"/>
      <w:r>
        <w:rPr>
          <w:rtl/>
        </w:rPr>
        <w:t xml:space="preserve">׳ לייזר מלכתחילה להקים בה ישיבה. </w:t>
      </w:r>
      <w:proofErr w:type="spellStart"/>
      <w:r>
        <w:rPr>
          <w:rtl/>
        </w:rPr>
        <w:t>לומז׳ה</w:t>
      </w:r>
      <w:proofErr w:type="spellEnd"/>
      <w:r>
        <w:rPr>
          <w:rtl/>
        </w:rPr>
        <w:t xml:space="preserve"> הייתה השער לפולין, והייתה תקווה שייסוד ישיבה ישפיע לטובה על קידום לימוד התורה בארץ זו</w:t>
      </w:r>
      <w:bookmarkStart w:id="5943" w:name="_fnr4507"/>
      <w:r>
        <w:rPr>
          <w:rStyle w:val="a5"/>
        </w:rPr>
        <w:footnoteReference w:id="4518" w:customMarkFollows="0"/>
      </w:r>
      <w:bookmarkEnd w:id="5943"/>
      <w:r>
        <w:rPr>
          <w:rtl/>
        </w:rPr>
        <w:t>”.</w:t>
      </w:r>
    </w:p>
    <w:p w14:paraId="5C89BC0F" w14:textId="77777777" w:rsidR="00AB3647" w:rsidRDefault="00000000" w:rsidP="007923E9">
      <w:pPr>
        <w:spacing w:before="120" w:after="100" w:line="276" w:lineRule="auto"/>
        <w:jc w:val="both"/>
      </w:pPr>
      <w:r>
        <w:rPr>
          <w:rtl/>
        </w:rPr>
        <w:t xml:space="preserve">ר׳ </w:t>
      </w:r>
      <w:proofErr w:type="spellStart"/>
      <w:r>
        <w:rPr>
          <w:rtl/>
        </w:rPr>
        <w:t>דוד־טעביל</w:t>
      </w:r>
      <w:proofErr w:type="spellEnd"/>
      <w:r>
        <w:rPr>
          <w:rtl/>
        </w:rPr>
        <w:t xml:space="preserve"> כיהן </w:t>
      </w:r>
      <w:proofErr w:type="spellStart"/>
      <w:r>
        <w:rPr>
          <w:rtl/>
        </w:rPr>
        <w:t>בלומז׳ה</w:t>
      </w:r>
      <w:proofErr w:type="spellEnd"/>
      <w:r>
        <w:rPr>
          <w:rtl/>
        </w:rPr>
        <w:t xml:space="preserve"> כמה שנים. ר׳ </w:t>
      </w:r>
      <w:proofErr w:type="spellStart"/>
      <w:r>
        <w:rPr>
          <w:rtl/>
        </w:rPr>
        <w:t>חצקל</w:t>
      </w:r>
      <w:proofErr w:type="spellEnd"/>
      <w:r>
        <w:rPr>
          <w:rtl/>
        </w:rPr>
        <w:t xml:space="preserve"> </w:t>
      </w:r>
      <w:proofErr w:type="spellStart"/>
      <w:r>
        <w:rPr>
          <w:rtl/>
        </w:rPr>
        <w:t>לוינשטיין</w:t>
      </w:r>
      <w:proofErr w:type="spellEnd"/>
      <w:r>
        <w:rPr>
          <w:rtl/>
        </w:rPr>
        <w:t xml:space="preserve"> (תרמ״ו–תשל״ד) תיאר באחת משיחותיו בישיבת </w:t>
      </w:r>
      <w:proofErr w:type="spellStart"/>
      <w:r>
        <w:rPr>
          <w:rtl/>
        </w:rPr>
        <w:t>פוניבז</w:t>
      </w:r>
      <w:proofErr w:type="spellEnd"/>
      <w:r>
        <w:rPr>
          <w:rtl/>
        </w:rPr>
        <w:t xml:space="preserve">׳ בבני ברק את האווירה בישיבת </w:t>
      </w:r>
      <w:proofErr w:type="spellStart"/>
      <w:r>
        <w:rPr>
          <w:rtl/>
        </w:rPr>
        <w:t>לומז׳ה</w:t>
      </w:r>
      <w:proofErr w:type="spellEnd"/>
      <w:r>
        <w:rPr>
          <w:rtl/>
        </w:rPr>
        <w:t xml:space="preserve">, שאליה הצטרף אחרי בר המצווה שלו. לפי המסופר אמר: “התלמידים היו מתאספים למעריב בחדר חשוך במוצאי שבת, והגאון והצדיק ר׳ </w:t>
      </w:r>
      <w:proofErr w:type="spellStart"/>
      <w:r>
        <w:rPr>
          <w:rtl/>
        </w:rPr>
        <w:t>דוד־טעביל</w:t>
      </w:r>
      <w:proofErr w:type="spellEnd"/>
      <w:r>
        <w:rPr>
          <w:rtl/>
        </w:rPr>
        <w:t>, מתלמידי ר׳ ישראל, היה משמיע דברי התעוררות שהציתו את הלבבות ועוררו לתשובה”</w:t>
      </w:r>
      <w:bookmarkStart w:id="5944" w:name="_fnr4508"/>
      <w:r>
        <w:rPr>
          <w:rStyle w:val="a5"/>
        </w:rPr>
        <w:footnoteReference w:id="4519" w:customMarkFollows="0"/>
      </w:r>
      <w:bookmarkEnd w:id="5944"/>
      <w:r>
        <w:rPr>
          <w:rtl/>
        </w:rPr>
        <w:t>.</w:t>
      </w:r>
    </w:p>
    <w:bookmarkStart w:id="5945" w:name="b5_note27"/>
    <w:p w14:paraId="2B00678A" w14:textId="3DD11012" w:rsidR="00AB3647" w:rsidRDefault="00000000" w:rsidP="007923E9">
      <w:pPr>
        <w:spacing w:before="120" w:after="100" w:line="276" w:lineRule="auto"/>
        <w:jc w:val="both"/>
      </w:pPr>
      <w:r>
        <w:fldChar w:fldCharType="begin" w:dirty="true"/>
      </w:r>
      <w:r>
        <w:instrText>HYPERLINK \l "b5_ref27"</w:instrText>
      </w:r>
      <w:r>
        <w:fldChar w:fldCharType="separate"/>
      </w:r>
      <w:r>
        <w:rPr>
          <w:b/>
          <w:bCs/>
          <w:rtl/>
        </w:rPr>
        <w:t>27</w:t>
      </w:r>
      <w:r>
        <w:rPr>
          <w:b/>
          <w:bCs/>
        </w:rPr>
        <w:fldChar w:fldCharType="end"/>
      </w:r>
      <w:bookmarkEnd w:id="5945"/>
      <w:r>
        <w:rPr>
          <w:rtl/>
        </w:rPr>
        <w:t xml:space="preserve"> השווה פרק 3, הערה </w:t>
      </w:r>
      <w:r>
        <w:rPr>
          <w:rtl/>
        </w:rPr>
        <w:fldChar w:fldCharType="begin" w:dirty="true"/>
      </w:r>
      <w:r>
        <w:rPr>
          <w:rtl/>
        </w:rPr>
        <w:instrText xml:space="preserve"> REF b3_note69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69</w:t>
      </w:r>
      <w:r>
        <w:rPr>
          <w:rtl/>
        </w:rPr>
        <w:fldChar w:fldCharType="end"/>
      </w:r>
      <w:r>
        <w:rPr>
          <w:rtl/>
        </w:rPr>
        <w:t xml:space="preserve">, כיצד הגדילו בני העיירות את הכנסותיהם בזכות ישיבה בעיירתם. </w:t>
      </w:r>
      <w:proofErr w:type="spellStart"/>
      <w:r>
        <w:rPr>
          <w:rtl/>
        </w:rPr>
        <w:t>דבורץ</w:t>
      </w:r>
      <w:proofErr w:type="spellEnd"/>
      <w:r>
        <w:rPr>
          <w:rtl/>
        </w:rPr>
        <w:t>, “הגאון רבי משה מרדכי אפשטיין”</w:t>
      </w:r>
      <w:bookmarkStart w:id="5946" w:name="_fnr4509"/>
      <w:r>
        <w:rPr>
          <w:rStyle w:val="a5"/>
        </w:rPr>
        <w:footnoteReference w:id="4520" w:customMarkFollows="0"/>
      </w:r>
      <w:bookmarkEnd w:id="5946"/>
      <w:r>
        <w:rPr>
          <w:rtl/>
        </w:rPr>
        <w:t xml:space="preserve">, רומז שעזיבת ר׳ </w:t>
      </w:r>
      <w:proofErr w:type="spellStart"/>
      <w:r>
        <w:rPr>
          <w:rtl/>
        </w:rPr>
        <w:t>זלמן־סנדר</w:t>
      </w:r>
      <w:proofErr w:type="spellEnd"/>
      <w:r>
        <w:rPr>
          <w:rtl/>
        </w:rPr>
        <w:t xml:space="preserve"> את </w:t>
      </w:r>
      <w:proofErr w:type="spellStart"/>
      <w:r>
        <w:rPr>
          <w:rtl/>
        </w:rPr>
        <w:t>מאלטש</w:t>
      </w:r>
      <w:proofErr w:type="spellEnd"/>
      <w:r>
        <w:rPr>
          <w:rtl/>
        </w:rPr>
        <w:t xml:space="preserve"> באה בעקבות סגירת ישיבתו שם – ראה ההערה הבאה. ודאי חש שהעיירה אינה מרוצה ממנו, מפני שכבר לא סיפק לה מוסד שמעלה את מעמדה ומכניס לה הכנסה.</w:t>
      </w:r>
    </w:p>
    <w:p w14:paraId="4990D5AD" w14:textId="3601D26A"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המקורית חלתה בחיידק ההשכלה, שחדר אל ציבור תלמידיה והשתלט עליו</w:t>
      </w:r>
      <w:bookmarkStart w:id="5947" w:name="b5_ref28"/>
      <w:bookmarkEnd w:id="5947"/>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וגם ישיבתו המחודשת של ר׳ שמעון לקתה שוב באותו נגע</w:t>
      </w:r>
      <w:r>
        <w:rPr>
          <w:vertAlign w:val="superscript"/>
          <w:rtl/>
        </w:rPr>
        <w:fldChar w:fldCharType="begin" w:dirty="true"/>
      </w:r>
      <w:r>
        <w:rPr>
          <w:vertAlign w:val="superscript"/>
          <w:rtl/>
        </w:rPr>
        <w:instrText xml:space="preserve"> REF b5_note28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28</w:t>
      </w:r>
      <w:r>
        <w:rPr>
          <w:vertAlign w:val="superscript"/>
          <w:rtl/>
        </w:rPr>
        <w:fldChar w:fldCharType="end"/>
      </w:r>
      <w:r>
        <w:rPr>
          <w:rtl/>
        </w:rPr>
        <w:t xml:space="preserve">. כשעזב ר׳ שמעון כדי לכהן כרבה של </w:t>
      </w:r>
      <w:proofErr w:type="spellStart"/>
      <w:r>
        <w:rPr>
          <w:rtl/>
        </w:rPr>
        <w:t>בריינסק</w:t>
      </w:r>
      <w:proofErr w:type="spellEnd"/>
      <w:r>
        <w:rPr>
          <w:rtl/>
        </w:rPr>
        <w:t xml:space="preserve"> באביב תרס״ז</w:t>
      </w:r>
      <w:bookmarkStart w:id="5948" w:name="b5_ref29"/>
      <w:bookmarkEnd w:id="5948"/>
      <w:r>
        <w:rPr>
          <w:vertAlign w:val="superscript"/>
          <w:rtl/>
        </w:rPr>
        <w:fldChar w:fldCharType="begin" w:dirty="true"/>
      </w:r>
      <w:r>
        <w:rPr>
          <w:vertAlign w:val="superscript"/>
          <w:rtl/>
        </w:rPr>
        <w:instrText xml:space="preserve"> REF b5_note29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29</w:t>
      </w:r>
      <w:r>
        <w:rPr>
          <w:vertAlign w:val="superscript"/>
          <w:rtl/>
        </w:rPr>
        <w:fldChar w:fldCharType="end"/>
      </w:r>
      <w:r>
        <w:rPr>
          <w:rtl/>
        </w:rPr>
        <w:t>, הלך אחריו לשם גרעין התלמידים הבריא</w:t>
      </w:r>
      <w:bookmarkStart w:id="5949" w:name="b5_ref30"/>
      <w:bookmarkEnd w:id="5949"/>
      <w:r>
        <w:rPr>
          <w:vertAlign w:val="superscript"/>
          <w:rtl/>
        </w:rPr>
        <w:fldChar w:fldCharType="begin" w:dirty="true"/>
      </w:r>
      <w:r>
        <w:rPr>
          <w:vertAlign w:val="superscript"/>
          <w:rtl/>
        </w:rPr>
        <w:instrText xml:space="preserve"> REF b5_note30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30</w:t>
      </w:r>
      <w:r>
        <w:rPr>
          <w:vertAlign w:val="superscript"/>
          <w:rtl/>
        </w:rPr>
        <w:fldChar w:fldCharType="end"/>
      </w:r>
      <w:r>
        <w:rPr>
          <w:rtl/>
        </w:rPr>
        <w:t xml:space="preserve">, </w:t>
      </w:r>
      <w:proofErr w:type="spellStart"/>
      <w:r>
        <w:rPr>
          <w:rtl/>
        </w:rPr>
        <w:t>ומאלטש</w:t>
      </w:r>
      <w:proofErr w:type="spellEnd"/>
      <w:r>
        <w:rPr>
          <w:rtl/>
        </w:rPr>
        <w:t xml:space="preserve"> נשארה בלי ישיבה. מתוך רצון להימנע מן המכשול שהוציא שם רע לישיבות </w:t>
      </w:r>
      <w:proofErr w:type="spellStart"/>
      <w:r>
        <w:rPr>
          <w:rtl/>
        </w:rPr>
        <w:t>מאלטש</w:t>
      </w:r>
      <w:proofErr w:type="spellEnd"/>
      <w:r>
        <w:rPr>
          <w:rtl/>
        </w:rPr>
        <w:t xml:space="preserve">, החליט הרב </w:t>
      </w:r>
      <w:proofErr w:type="spellStart"/>
      <w:r>
        <w:rPr>
          <w:rtl/>
        </w:rPr>
        <w:t>דינובסקי</w:t>
      </w:r>
      <w:proofErr w:type="spellEnd"/>
      <w:r>
        <w:rPr>
          <w:rtl/>
        </w:rPr>
        <w:t xml:space="preserve"> – שהיה בעצמו תלמיד</w:t>
      </w:r>
      <w:bookmarkStart w:id="5950" w:name="b5_ref31"/>
      <w:bookmarkEnd w:id="5950"/>
      <w:r>
        <w:rPr>
          <w:vertAlign w:val="superscript"/>
          <w:rtl/>
        </w:rPr>
        <w:fldChar w:fldCharType="begin" w:dirty="true"/>
      </w:r>
      <w:r>
        <w:rPr>
          <w:vertAlign w:val="superscript"/>
          <w:rtl/>
        </w:rPr>
        <w:instrText xml:space="preserve"> REF b5_note31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31</w:t>
      </w:r>
      <w:r>
        <w:rPr>
          <w:vertAlign w:val="superscript"/>
          <w:rtl/>
        </w:rPr>
        <w:fldChar w:fldCharType="end"/>
      </w:r>
      <w:r>
        <w:rPr>
          <w:rtl/>
        </w:rPr>
        <w:t xml:space="preserve"> של תלמידו המובהק של ר׳ ישראל </w:t>
      </w:r>
      <w:proofErr w:type="spellStart"/>
      <w:r>
        <w:rPr>
          <w:rtl/>
        </w:rPr>
        <w:t>סלנטר</w:t>
      </w:r>
      <w:proofErr w:type="spellEnd"/>
      <w:r>
        <w:rPr>
          <w:rtl/>
        </w:rPr>
        <w:t xml:space="preserve">, ר׳ </w:t>
      </w:r>
      <w:proofErr w:type="spellStart"/>
      <w:r>
        <w:rPr>
          <w:rtl/>
        </w:rPr>
        <w:t>שמחה־זיסל</w:t>
      </w:r>
      <w:proofErr w:type="spellEnd"/>
      <w:r>
        <w:rPr>
          <w:rtl/>
        </w:rPr>
        <w:t xml:space="preserve"> מקלם</w:t>
      </w:r>
      <w:bookmarkStart w:id="5951" w:name="b5_ref32"/>
      <w:bookmarkEnd w:id="5951"/>
      <w:r>
        <w:rPr>
          <w:vertAlign w:val="superscript"/>
          <w:rtl/>
        </w:rPr>
        <w:fldChar w:fldCharType="begin" w:dirty="true"/>
      </w:r>
      <w:r>
        <w:rPr>
          <w:vertAlign w:val="superscript"/>
          <w:rtl/>
        </w:rPr>
        <w:instrText xml:space="preserve"> REF b5_note32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32</w:t>
      </w:r>
      <w:r>
        <w:rPr>
          <w:vertAlign w:val="superscript"/>
          <w:rtl/>
        </w:rPr>
        <w:fldChar w:fldCharType="end"/>
      </w:r>
      <w:r>
        <w:rPr>
          <w:rtl/>
        </w:rPr>
        <w:t xml:space="preserve"> – להקים בעיירתו ישיבת מוסר, והוא ידע היטב לאן לפנות לעזרה</w:t>
      </w:r>
      <w:bookmarkStart w:id="5952" w:name="b5_ref33"/>
      <w:bookmarkEnd w:id="5952"/>
      <w:r>
        <w:rPr>
          <w:vertAlign w:val="superscript"/>
          <w:rtl/>
        </w:rPr>
        <w:fldChar w:fldCharType="begin" w:dirty="true"/>
      </w:r>
      <w:r>
        <w:rPr>
          <w:vertAlign w:val="superscript"/>
          <w:rtl/>
        </w:rPr>
        <w:instrText xml:space="preserve"> REF b5_note33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33</w:t>
      </w:r>
      <w:r>
        <w:rPr>
          <w:vertAlign w:val="superscript"/>
          <w:rtl/>
        </w:rPr>
        <w:fldChar w:fldCharType="end"/>
      </w:r>
      <w:r>
        <w:rPr>
          <w:rtl/>
        </w:rPr>
        <w:t xml:space="preserve">. מיד אחרי שמחת תורה בא </w:t>
      </w:r>
      <w:proofErr w:type="spellStart"/>
      <w:r>
        <w:rPr>
          <w:rtl/>
        </w:rPr>
        <w:t>לסלבודקה</w:t>
      </w:r>
      <w:proofErr w:type="spellEnd"/>
      <w:r>
        <w:rPr>
          <w:rtl/>
        </w:rPr>
        <w:t>, להודיע לסבא על המצב ולבקש את עזרתו. הסבא, שמטרת חייו הייתה לבנות ישיבות</w:t>
      </w:r>
      <w:bookmarkStart w:id="5953" w:name="b5_ref34"/>
      <w:bookmarkEnd w:id="5953"/>
      <w:r>
        <w:rPr>
          <w:vertAlign w:val="superscript"/>
          <w:rtl/>
        </w:rPr>
        <w:fldChar w:fldCharType="begin" w:dirty="true"/>
      </w:r>
      <w:r>
        <w:rPr>
          <w:vertAlign w:val="superscript"/>
          <w:rtl/>
        </w:rPr>
        <w:instrText xml:space="preserve"> REF b5_note34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34</w:t>
      </w:r>
      <w:r>
        <w:rPr>
          <w:vertAlign w:val="superscript"/>
          <w:rtl/>
        </w:rPr>
        <w:fldChar w:fldCharType="end"/>
      </w:r>
      <w:r>
        <w:rPr>
          <w:rtl/>
        </w:rPr>
        <w:t xml:space="preserve">, נענה לבקשתו של הרב </w:t>
      </w:r>
      <w:proofErr w:type="spellStart"/>
      <w:r>
        <w:rPr>
          <w:rtl/>
        </w:rPr>
        <w:t>דינובסקי</w:t>
      </w:r>
      <w:proofErr w:type="spellEnd"/>
      <w:r>
        <w:rPr>
          <w:rtl/>
        </w:rPr>
        <w:t xml:space="preserve"> מיד בחיוב.</w:t>
      </w:r>
    </w:p>
    <w:bookmarkStart w:id="5954" w:name="b5_note28"/>
    <w:p w14:paraId="54621EB2" w14:textId="77777777" w:rsidR="00AB3647" w:rsidRDefault="00000000" w:rsidP="007923E9">
      <w:pPr>
        <w:spacing w:before="120" w:after="100" w:line="276" w:lineRule="auto"/>
        <w:jc w:val="both"/>
      </w:pPr>
      <w:r>
        <w:fldChar w:fldCharType="begin" w:dirty="true"/>
      </w:r>
      <w:r>
        <w:instrText>HYPERLINK \l "b5_ref28"</w:instrText>
      </w:r>
      <w:r>
        <w:fldChar w:fldCharType="separate"/>
      </w:r>
      <w:r>
        <w:rPr>
          <w:b/>
          <w:bCs/>
          <w:rtl/>
        </w:rPr>
        <w:t>28</w:t>
      </w:r>
      <w:r>
        <w:rPr>
          <w:b/>
          <w:bCs/>
        </w:rPr>
        <w:fldChar w:fldCharType="end"/>
      </w:r>
      <w:bookmarkEnd w:id="5954"/>
      <w:r>
        <w:rPr>
          <w:rtl/>
        </w:rPr>
        <w:t xml:space="preserve"> ר׳ אברהם </w:t>
      </w:r>
      <w:proofErr w:type="spellStart"/>
      <w:r>
        <w:rPr>
          <w:rtl/>
        </w:rPr>
        <w:t>פרבשטיין</w:t>
      </w:r>
      <w:proofErr w:type="spellEnd"/>
      <w:r>
        <w:rPr>
          <w:rtl/>
        </w:rPr>
        <w:t xml:space="preserve"> גילה</w:t>
      </w:r>
      <w:bookmarkStart w:id="5955" w:name="_fnr4510"/>
      <w:r>
        <w:rPr>
          <w:rStyle w:val="a5"/>
        </w:rPr>
        <w:footnoteReference w:id="4521" w:customMarkFollows="0"/>
      </w:r>
      <w:bookmarkEnd w:id="5955"/>
      <w:r>
        <w:rPr>
          <w:rtl/>
        </w:rPr>
        <w:t xml:space="preserve"> בשם חותנו, ר׳ </w:t>
      </w:r>
      <w:proofErr w:type="spellStart"/>
      <w:r>
        <w:rPr>
          <w:rtl/>
        </w:rPr>
        <w:t>חצקל</w:t>
      </w:r>
      <w:proofErr w:type="spellEnd"/>
      <w:r>
        <w:rPr>
          <w:rtl/>
        </w:rPr>
        <w:t xml:space="preserve"> </w:t>
      </w:r>
      <w:proofErr w:type="spellStart"/>
      <w:r>
        <w:rPr>
          <w:rtl/>
        </w:rPr>
        <w:t>סרנא</w:t>
      </w:r>
      <w:proofErr w:type="spellEnd"/>
      <w:r>
        <w:rPr>
          <w:rtl/>
        </w:rPr>
        <w:t xml:space="preserve">, שהדבר הרחיק לכת במידה מזעזעת כל כך, עד שכמה תלמידים כיבו בלילות שבת את הנר שלמדו לאורו! לפי מאמר ביוגרפי מאת הרב דב כץ </w:t>
      </w:r>
      <w:proofErr w:type="spellStart"/>
      <w:r>
        <w:rPr>
          <w:rtl/>
        </w:rPr>
        <w:t>ב“ספר</w:t>
      </w:r>
      <w:proofErr w:type="spellEnd"/>
      <w:r>
        <w:rPr>
          <w:rtl/>
        </w:rPr>
        <w:t xml:space="preserve"> זיכרון הרב יחזקאל </w:t>
      </w:r>
      <w:proofErr w:type="spellStart"/>
      <w:r>
        <w:rPr>
          <w:rtl/>
        </w:rPr>
        <w:t>סרנא</w:t>
      </w:r>
      <w:proofErr w:type="spellEnd"/>
      <w:r>
        <w:rPr>
          <w:rtl/>
        </w:rPr>
        <w:t>”</w:t>
      </w:r>
      <w:bookmarkStart w:id="5956" w:name="_fnr4511"/>
      <w:r>
        <w:rPr>
          <w:rStyle w:val="a5"/>
        </w:rPr>
        <w:footnoteReference w:id="4522" w:customMarkFollows="0"/>
      </w:r>
      <w:bookmarkEnd w:id="5956"/>
      <w:r>
        <w:rPr>
          <w:rtl/>
        </w:rPr>
        <w:t xml:space="preserve">, ר׳ </w:t>
      </w:r>
      <w:proofErr w:type="spellStart"/>
      <w:r>
        <w:rPr>
          <w:rtl/>
        </w:rPr>
        <w:t>חצקל</w:t>
      </w:r>
      <w:proofErr w:type="spellEnd"/>
      <w:r>
        <w:rPr>
          <w:rtl/>
        </w:rPr>
        <w:t xml:space="preserve"> </w:t>
      </w:r>
      <w:proofErr w:type="spellStart"/>
      <w:r>
        <w:rPr>
          <w:rtl/>
        </w:rPr>
        <w:t>סרנא</w:t>
      </w:r>
      <w:proofErr w:type="spellEnd"/>
      <w:r>
        <w:rPr>
          <w:rtl/>
        </w:rPr>
        <w:t xml:space="preserve">, שנולד </w:t>
      </w:r>
      <w:proofErr w:type="spellStart"/>
      <w:r>
        <w:rPr>
          <w:rtl/>
        </w:rPr>
        <w:t>בתר״ן</w:t>
      </w:r>
      <w:proofErr w:type="spellEnd"/>
      <w:r>
        <w:rPr>
          <w:rtl/>
        </w:rPr>
        <w:t xml:space="preserve">, למד </w:t>
      </w:r>
      <w:proofErr w:type="spellStart"/>
      <w:r>
        <w:rPr>
          <w:rtl/>
        </w:rPr>
        <w:t>במאלטש</w:t>
      </w:r>
      <w:proofErr w:type="spellEnd"/>
      <w:r>
        <w:rPr>
          <w:rtl/>
        </w:rPr>
        <w:t xml:space="preserve"> בשתי תקופות קצרות. הראשונה הייתה בשנת כהונתו האחרונה של ר׳ </w:t>
      </w:r>
      <w:proofErr w:type="spellStart"/>
      <w:r>
        <w:rPr>
          <w:rtl/>
        </w:rPr>
        <w:t>זלמן־סנדר</w:t>
      </w:r>
      <w:proofErr w:type="spellEnd"/>
      <w:r>
        <w:rPr>
          <w:rtl/>
        </w:rPr>
        <w:t xml:space="preserve">; אחריה יצא ר׳ </w:t>
      </w:r>
      <w:proofErr w:type="spellStart"/>
      <w:r>
        <w:rPr>
          <w:rtl/>
        </w:rPr>
        <w:t>חצקל</w:t>
      </w:r>
      <w:proofErr w:type="spellEnd"/>
      <w:r>
        <w:rPr>
          <w:rtl/>
        </w:rPr>
        <w:t xml:space="preserve"> לכנסת בית יצחק לשנה, והלך בעקבות ראש ישיבתה, ר׳ חיים </w:t>
      </w:r>
      <w:proofErr w:type="spellStart"/>
      <w:r>
        <w:rPr>
          <w:rtl/>
        </w:rPr>
        <w:lastRenderedPageBreak/>
        <w:t>רבינוביץ</w:t>
      </w:r>
      <w:proofErr w:type="spellEnd"/>
      <w:r>
        <w:rPr>
          <w:rtl/>
        </w:rPr>
        <w:t xml:space="preserve">, </w:t>
      </w:r>
      <w:proofErr w:type="spellStart"/>
      <w:r>
        <w:rPr>
          <w:rtl/>
        </w:rPr>
        <w:t>לטלז</w:t>
      </w:r>
      <w:bookmarkStart w:id="5957" w:name="_fnr4512"/>
      <w:proofErr w:type="spellEnd"/>
      <w:r>
        <w:rPr>
          <w:rStyle w:val="a5"/>
        </w:rPr>
        <w:footnoteReference w:id="4523" w:customMarkFollows="0"/>
      </w:r>
      <w:bookmarkEnd w:id="5957"/>
      <w:r>
        <w:rPr>
          <w:rtl/>
        </w:rPr>
        <w:t>, ושהה שם עד שנסגרה הישיבה זמנית בתחילת תרס״ו</w:t>
      </w:r>
      <w:bookmarkStart w:id="5958" w:name="_fnr4513"/>
      <w:r>
        <w:rPr>
          <w:rStyle w:val="a5"/>
        </w:rPr>
        <w:footnoteReference w:id="4524" w:customMarkFollows="0"/>
      </w:r>
      <w:bookmarkEnd w:id="5958"/>
      <w:r>
        <w:rPr>
          <w:rtl/>
        </w:rPr>
        <w:t xml:space="preserve">. השנייה הייתה בשנה וחצי האחרונות לכהונת ר׳ שמעון </w:t>
      </w:r>
      <w:proofErr w:type="spellStart"/>
      <w:r>
        <w:rPr>
          <w:rtl/>
        </w:rPr>
        <w:t>שקופ</w:t>
      </w:r>
      <w:proofErr w:type="spellEnd"/>
      <w:r>
        <w:rPr>
          <w:rtl/>
        </w:rPr>
        <w:t xml:space="preserve"> </w:t>
      </w:r>
      <w:proofErr w:type="spellStart"/>
      <w:r>
        <w:rPr>
          <w:rtl/>
        </w:rPr>
        <w:t>במאלטש</w:t>
      </w:r>
      <w:proofErr w:type="spellEnd"/>
      <w:r>
        <w:rPr>
          <w:rtl/>
        </w:rPr>
        <w:t xml:space="preserve">. הרב </w:t>
      </w:r>
      <w:proofErr w:type="spellStart"/>
      <w:r>
        <w:rPr>
          <w:rtl/>
        </w:rPr>
        <w:t>פרבשטיין</w:t>
      </w:r>
      <w:proofErr w:type="spellEnd"/>
      <w:r>
        <w:rPr>
          <w:rtl/>
        </w:rPr>
        <w:t xml:space="preserve"> לא היה בטוח איזו משתי התקופות של ר׳ </w:t>
      </w:r>
      <w:proofErr w:type="spellStart"/>
      <w:r>
        <w:rPr>
          <w:rtl/>
        </w:rPr>
        <w:t>חצקל</w:t>
      </w:r>
      <w:proofErr w:type="spellEnd"/>
      <w:r>
        <w:rPr>
          <w:rtl/>
        </w:rPr>
        <w:t xml:space="preserve"> </w:t>
      </w:r>
      <w:proofErr w:type="spellStart"/>
      <w:r>
        <w:rPr>
          <w:rtl/>
        </w:rPr>
        <w:t>סרנא</w:t>
      </w:r>
      <w:proofErr w:type="spellEnd"/>
      <w:r>
        <w:rPr>
          <w:rtl/>
        </w:rPr>
        <w:t xml:space="preserve"> שם תיאר חותנו, אבל </w:t>
      </w:r>
      <w:r>
        <w:rPr>
          <w:b/>
          <w:bCs/>
          <w:rtl/>
        </w:rPr>
        <w:t>נטה לחשוב</w:t>
      </w:r>
      <w:r>
        <w:rPr>
          <w:rtl/>
        </w:rPr>
        <w:t xml:space="preserve"> שזו הייתה המוקדמת.</w:t>
      </w:r>
    </w:p>
    <w:p w14:paraId="53406C21" w14:textId="7EF207FE" w:rsidR="00AB3647" w:rsidRDefault="00000000" w:rsidP="007923E9">
      <w:pPr>
        <w:spacing w:before="120" w:after="100" w:line="276" w:lineRule="auto"/>
        <w:jc w:val="both"/>
      </w:pPr>
      <w:r>
        <w:rPr>
          <w:rtl/>
        </w:rPr>
        <w:t xml:space="preserve">בנו של ר׳ </w:t>
      </w:r>
      <w:proofErr w:type="spellStart"/>
      <w:r>
        <w:rPr>
          <w:rtl/>
        </w:rPr>
        <w:t>חצקל</w:t>
      </w:r>
      <w:proofErr w:type="spellEnd"/>
      <w:r>
        <w:rPr>
          <w:rtl/>
        </w:rPr>
        <w:t xml:space="preserve"> </w:t>
      </w:r>
      <w:proofErr w:type="spellStart"/>
      <w:r>
        <w:rPr>
          <w:rtl/>
        </w:rPr>
        <w:t>סרנא</w:t>
      </w:r>
      <w:proofErr w:type="spellEnd"/>
      <w:r>
        <w:rPr>
          <w:rtl/>
        </w:rPr>
        <w:t>, ר׳ חיים</w:t>
      </w:r>
      <w:bookmarkStart w:id="5959" w:name="_fnr4514"/>
      <w:r>
        <w:rPr>
          <w:rStyle w:val="a5"/>
        </w:rPr>
        <w:footnoteReference w:id="4525" w:customMarkFollows="0"/>
      </w:r>
      <w:bookmarkEnd w:id="5959"/>
      <w:r>
        <w:rPr>
          <w:rtl/>
        </w:rPr>
        <w:t xml:space="preserve">, סיפר ששמע מאביו שר׳ </w:t>
      </w:r>
      <w:proofErr w:type="spellStart"/>
      <w:r>
        <w:rPr>
          <w:rtl/>
        </w:rPr>
        <w:t>זלמן־סנדר</w:t>
      </w:r>
      <w:proofErr w:type="spellEnd"/>
      <w:r>
        <w:rPr>
          <w:rtl/>
        </w:rPr>
        <w:t xml:space="preserve"> נסע </w:t>
      </w:r>
      <w:proofErr w:type="spellStart"/>
      <w:r>
        <w:rPr>
          <w:rtl/>
        </w:rPr>
        <w:t>לבריסק</w:t>
      </w:r>
      <w:proofErr w:type="spellEnd"/>
      <w:r>
        <w:rPr>
          <w:rtl/>
        </w:rPr>
        <w:t xml:space="preserve"> להתייעץ עם </w:t>
      </w:r>
      <w:proofErr w:type="spellStart"/>
      <w:r>
        <w:rPr>
          <w:rtl/>
        </w:rPr>
        <w:t>חברותתו</w:t>
      </w:r>
      <w:proofErr w:type="spellEnd"/>
      <w:r>
        <w:rPr>
          <w:rtl/>
        </w:rPr>
        <w:t xml:space="preserve"> לשעבר, ר׳ חיים </w:t>
      </w:r>
      <w:proofErr w:type="spellStart"/>
      <w:r>
        <w:rPr>
          <w:rtl/>
        </w:rPr>
        <w:t>סולובייצ׳יק</w:t>
      </w:r>
      <w:proofErr w:type="spellEnd"/>
      <w:r>
        <w:rPr>
          <w:rtl/>
        </w:rPr>
        <w:t xml:space="preserve">, ונענה: “סגור את הישיבה ותלה עליה מנעול גדול”. מדבריו נראה שדווקא ישיבת </w:t>
      </w:r>
      <w:proofErr w:type="spellStart"/>
      <w:r>
        <w:rPr>
          <w:rtl/>
        </w:rPr>
        <w:t>מאלטש</w:t>
      </w:r>
      <w:proofErr w:type="spellEnd"/>
      <w:r>
        <w:rPr>
          <w:rtl/>
        </w:rPr>
        <w:t xml:space="preserve"> </w:t>
      </w:r>
      <w:r>
        <w:rPr>
          <w:b/>
          <w:bCs/>
          <w:rtl/>
        </w:rPr>
        <w:t>הראשונה</w:t>
      </w:r>
      <w:r>
        <w:rPr>
          <w:rtl/>
        </w:rPr>
        <w:t xml:space="preserve"> הייתה מקום של חילול שבת – כפי ששיער הרב </w:t>
      </w:r>
      <w:proofErr w:type="spellStart"/>
      <w:r>
        <w:rPr>
          <w:rtl/>
        </w:rPr>
        <w:t>פרבשטיין</w:t>
      </w:r>
      <w:bookmarkStart w:id="5960" w:name="_fnr4515"/>
      <w:proofErr w:type="spellEnd"/>
      <w:r>
        <w:rPr>
          <w:rStyle w:val="a5"/>
        </w:rPr>
        <w:footnoteReference w:id="4526" w:customMarkFollows="0"/>
      </w:r>
      <w:bookmarkEnd w:id="5960"/>
      <w:r>
        <w:rPr>
          <w:rtl/>
        </w:rPr>
        <w:t xml:space="preserve">. השווה גם הערה </w:t>
      </w:r>
      <w:r>
        <w:rPr>
          <w:rtl/>
        </w:rPr>
        <w:fldChar w:fldCharType="begin" w:dirty="true"/>
      </w:r>
      <w:r>
        <w:rPr>
          <w:rtl/>
        </w:rPr>
        <w:instrText xml:space="preserve"> REF b5_note24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24</w:t>
      </w:r>
      <w:r>
        <w:rPr>
          <w:rtl/>
        </w:rPr>
        <w:fldChar w:fldCharType="end"/>
      </w:r>
      <w:r>
        <w:rPr>
          <w:rtl/>
        </w:rPr>
        <w:t xml:space="preserve"> לעיל: ר׳ חיים הוא שיעץ </w:t>
      </w:r>
      <w:proofErr w:type="spellStart"/>
      <w:r>
        <w:rPr>
          <w:rtl/>
        </w:rPr>
        <w:t>לר</w:t>
      </w:r>
      <w:proofErr w:type="spellEnd"/>
      <w:r>
        <w:rPr>
          <w:rtl/>
        </w:rPr>
        <w:t xml:space="preserve">׳ </w:t>
      </w:r>
      <w:proofErr w:type="spellStart"/>
      <w:r>
        <w:rPr>
          <w:rtl/>
        </w:rPr>
        <w:t>זלמן־סנדר</w:t>
      </w:r>
      <w:proofErr w:type="spellEnd"/>
      <w:r>
        <w:rPr>
          <w:rtl/>
        </w:rPr>
        <w:t xml:space="preserve"> מלכתחילה לפתוח את הישיבה – עם בחורים </w:t>
      </w:r>
      <w:proofErr w:type="spellStart"/>
      <w:r>
        <w:rPr>
          <w:rtl/>
        </w:rPr>
        <w:t>מבריסק</w:t>
      </w:r>
      <w:proofErr w:type="spellEnd"/>
      <w:r>
        <w:rPr>
          <w:rtl/>
        </w:rPr>
        <w:t>, שכנראה עודד אותם להצטרף אליה.</w:t>
      </w:r>
    </w:p>
    <w:p w14:paraId="6981032E" w14:textId="77777777" w:rsidR="00AB3647" w:rsidRDefault="00000000" w:rsidP="007923E9">
      <w:pPr>
        <w:spacing w:before="120" w:after="100" w:line="276" w:lineRule="auto"/>
        <w:jc w:val="both"/>
      </w:pPr>
      <w:r>
        <w:rPr>
          <w:rtl/>
        </w:rPr>
        <w:t xml:space="preserve">השווה גם את המעשה המופלא </w:t>
      </w:r>
      <w:proofErr w:type="spellStart"/>
      <w:r>
        <w:rPr>
          <w:rtl/>
        </w:rPr>
        <w:t>ב“ארחות</w:t>
      </w:r>
      <w:proofErr w:type="spellEnd"/>
      <w:r>
        <w:rPr>
          <w:rtl/>
        </w:rPr>
        <w:t xml:space="preserve"> חסידיך”</w:t>
      </w:r>
      <w:bookmarkStart w:id="5961" w:name="_fnr4516"/>
      <w:r>
        <w:rPr>
          <w:rStyle w:val="a5"/>
        </w:rPr>
        <w:footnoteReference w:id="4527" w:customMarkFollows="0"/>
      </w:r>
      <w:bookmarkEnd w:id="5961"/>
      <w:r>
        <w:rPr>
          <w:rtl/>
        </w:rPr>
        <w:t xml:space="preserve">: כשהגיע ר׳ </w:t>
      </w:r>
      <w:proofErr w:type="spellStart"/>
      <w:r>
        <w:rPr>
          <w:rtl/>
        </w:rPr>
        <w:t>אלעזר־מנחם־מן</w:t>
      </w:r>
      <w:proofErr w:type="spellEnd"/>
      <w:r>
        <w:rPr>
          <w:rtl/>
        </w:rPr>
        <w:t xml:space="preserve"> שך לגיל שבו יכול היה למסור חבורות בישיבות שלמד בהן, היה מתאמץ מאוד – אף שעישן בעצמו – לשכנע בחורים שלא לעשן. הוא גילה לתלמידים המבוגרים [והאיתנים] שהוא חושש שאחדים מחבריו יסטו מדרך התורה, ורצה לצמצם את ריבוי חילול השבת שהעישון יביא עליהם לבסוף. על פעולות חתרניות נוספות, אף שלא פליליות, בישיבת </w:t>
      </w:r>
      <w:proofErr w:type="spellStart"/>
      <w:r>
        <w:rPr>
          <w:rtl/>
        </w:rPr>
        <w:t>מאלטש</w:t>
      </w:r>
      <w:proofErr w:type="spellEnd"/>
      <w:r>
        <w:rPr>
          <w:rtl/>
        </w:rPr>
        <w:t xml:space="preserve"> בסוף תקופת ר׳ </w:t>
      </w:r>
      <w:proofErr w:type="spellStart"/>
      <w:r>
        <w:rPr>
          <w:rtl/>
        </w:rPr>
        <w:t>זלמן־סנדר</w:t>
      </w:r>
      <w:proofErr w:type="spellEnd"/>
      <w:r>
        <w:rPr>
          <w:rtl/>
        </w:rPr>
        <w:t>, ראה “ספר היובל”</w:t>
      </w:r>
      <w:bookmarkStart w:id="5962" w:name="_fnr4517"/>
      <w:r>
        <w:rPr>
          <w:rStyle w:val="a5"/>
        </w:rPr>
        <w:footnoteReference w:id="4528" w:customMarkFollows="0"/>
      </w:r>
      <w:bookmarkEnd w:id="5962"/>
      <w:r>
        <w:rPr>
          <w:rtl/>
        </w:rPr>
        <w:t>. השווה גם שם</w:t>
      </w:r>
      <w:bookmarkStart w:id="5963" w:name="_fnr4518"/>
      <w:r>
        <w:rPr>
          <w:rStyle w:val="a5"/>
        </w:rPr>
        <w:footnoteReference w:id="4529" w:customMarkFollows="0"/>
      </w:r>
      <w:bookmarkEnd w:id="5963"/>
      <w:r>
        <w:rPr>
          <w:rtl/>
        </w:rPr>
        <w:t xml:space="preserve"> על התנהגות אחרת, אולי גרועה יותר, בקרב צעירי העיירה בסוף שהותו של ר׳ שמעון – התנהגות שסחפה גם תלמידים משולי הישיבה. ר׳ </w:t>
      </w:r>
      <w:proofErr w:type="spellStart"/>
      <w:r>
        <w:rPr>
          <w:rtl/>
        </w:rPr>
        <w:t>זלמן־סנדר</w:t>
      </w:r>
      <w:proofErr w:type="spellEnd"/>
      <w:r>
        <w:rPr>
          <w:rtl/>
        </w:rPr>
        <w:t xml:space="preserve"> עזב את </w:t>
      </w:r>
      <w:proofErr w:type="spellStart"/>
      <w:r>
        <w:rPr>
          <w:rtl/>
        </w:rPr>
        <w:t>מאלטש</w:t>
      </w:r>
      <w:proofErr w:type="spellEnd"/>
      <w:r>
        <w:rPr>
          <w:rtl/>
        </w:rPr>
        <w:t xml:space="preserve"> </w:t>
      </w:r>
      <w:proofErr w:type="spellStart"/>
      <w:r>
        <w:rPr>
          <w:rtl/>
        </w:rPr>
        <w:t>לקרינק</w:t>
      </w:r>
      <w:proofErr w:type="spellEnd"/>
      <w:r>
        <w:rPr>
          <w:rtl/>
        </w:rPr>
        <w:t xml:space="preserve"> </w:t>
      </w:r>
      <w:proofErr w:type="spellStart"/>
      <w:r>
        <w:rPr>
          <w:rtl/>
        </w:rPr>
        <w:t>ב“סוף</w:t>
      </w:r>
      <w:proofErr w:type="spellEnd"/>
      <w:r>
        <w:rPr>
          <w:rtl/>
        </w:rPr>
        <w:t xml:space="preserve"> חורף תרס״ג”</w:t>
      </w:r>
      <w:bookmarkStart w:id="5964" w:name="_fnr4519"/>
      <w:r>
        <w:rPr>
          <w:rStyle w:val="a5"/>
        </w:rPr>
        <w:footnoteReference w:id="4530" w:customMarkFollows="0"/>
      </w:r>
      <w:bookmarkEnd w:id="5964"/>
      <w:r>
        <w:rPr>
          <w:rtl/>
        </w:rPr>
        <w:t>.</w:t>
      </w:r>
    </w:p>
    <w:bookmarkStart w:id="5965" w:name="b5_note29"/>
    <w:p w14:paraId="1563E9B5" w14:textId="77777777" w:rsidR="00AB3647" w:rsidRDefault="00000000" w:rsidP="007923E9">
      <w:pPr>
        <w:spacing w:before="120" w:after="100" w:line="276" w:lineRule="auto"/>
        <w:jc w:val="both"/>
      </w:pPr>
      <w:r>
        <w:fldChar w:fldCharType="begin" w:dirty="true"/>
      </w:r>
      <w:r>
        <w:instrText>HYPERLINK \l "b5_ref29"</w:instrText>
      </w:r>
      <w:r>
        <w:fldChar w:fldCharType="separate"/>
      </w:r>
      <w:r>
        <w:rPr>
          <w:b/>
          <w:bCs/>
          <w:rtl/>
        </w:rPr>
        <w:t>29</w:t>
      </w:r>
      <w:r>
        <w:rPr>
          <w:b/>
          <w:bCs/>
        </w:rPr>
        <w:fldChar w:fldCharType="end"/>
      </w:r>
      <w:bookmarkEnd w:id="5965"/>
      <w:r>
        <w:rPr>
          <w:rtl/>
        </w:rPr>
        <w:t xml:space="preserve"> “ספר היובל”</w:t>
      </w:r>
      <w:bookmarkStart w:id="5966" w:name="_fnr4520"/>
      <w:r>
        <w:rPr>
          <w:rStyle w:val="a5"/>
        </w:rPr>
        <w:footnoteReference w:id="4531" w:customMarkFollows="0"/>
      </w:r>
      <w:bookmarkEnd w:id="5966"/>
      <w:r>
        <w:rPr>
          <w:rtl/>
        </w:rPr>
        <w:t>.</w:t>
      </w:r>
    </w:p>
    <w:bookmarkStart w:id="5967" w:name="b5_note30"/>
    <w:p w14:paraId="3509911B" w14:textId="26299329" w:rsidR="00AB3647" w:rsidRDefault="00000000" w:rsidP="007923E9">
      <w:pPr>
        <w:spacing w:before="120" w:after="100" w:line="276" w:lineRule="auto"/>
        <w:jc w:val="both"/>
      </w:pPr>
      <w:r>
        <w:fldChar w:fldCharType="begin" w:dirty="true"/>
      </w:r>
      <w:r>
        <w:instrText>HYPERLINK \l "b5_ref30"</w:instrText>
      </w:r>
      <w:r>
        <w:fldChar w:fldCharType="separate"/>
      </w:r>
      <w:r>
        <w:rPr>
          <w:b/>
          <w:bCs/>
          <w:rtl/>
        </w:rPr>
        <w:t>30</w:t>
      </w:r>
      <w:r>
        <w:rPr>
          <w:b/>
          <w:bCs/>
        </w:rPr>
        <w:fldChar w:fldCharType="end"/>
      </w:r>
      <w:bookmarkEnd w:id="5967"/>
      <w:r>
        <w:rPr>
          <w:rtl/>
        </w:rPr>
        <w:t xml:space="preserve"> כץ, “תנועת המוסר”, כרך ג</w:t>
      </w:r>
      <w:bookmarkStart w:id="5968" w:name="_fnr4521"/>
      <w:r>
        <w:rPr>
          <w:rStyle w:val="a5"/>
        </w:rPr>
        <w:footnoteReference w:id="4532" w:customMarkFollows="0"/>
      </w:r>
      <w:bookmarkEnd w:id="5968"/>
      <w:r>
        <w:rPr>
          <w:rtl/>
        </w:rPr>
        <w:t xml:space="preserve">, מונה את </w:t>
      </w:r>
      <w:proofErr w:type="spellStart"/>
      <w:r>
        <w:rPr>
          <w:rtl/>
        </w:rPr>
        <w:t>בריינסק</w:t>
      </w:r>
      <w:proofErr w:type="spellEnd"/>
      <w:r>
        <w:rPr>
          <w:rtl/>
        </w:rPr>
        <w:t xml:space="preserve"> בין הישיבות שהסבא סייע לייסד – כמובא בפרק 3, סוף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 xml:space="preserve">. השווה גם שם: כשעזב ר׳ </w:t>
      </w:r>
      <w:proofErr w:type="spellStart"/>
      <w:r>
        <w:rPr>
          <w:rtl/>
        </w:rPr>
        <w:t>זלמן־סנדר</w:t>
      </w:r>
      <w:proofErr w:type="spellEnd"/>
      <w:r>
        <w:rPr>
          <w:rtl/>
        </w:rPr>
        <w:t xml:space="preserve"> את </w:t>
      </w:r>
      <w:proofErr w:type="spellStart"/>
      <w:r>
        <w:rPr>
          <w:rtl/>
        </w:rPr>
        <w:t>מאלטש</w:t>
      </w:r>
      <w:proofErr w:type="spellEnd"/>
      <w:r>
        <w:rPr>
          <w:rtl/>
        </w:rPr>
        <w:t xml:space="preserve"> ובא אליה ר׳ שמעון עם קבוצת תלמידים </w:t>
      </w:r>
      <w:proofErr w:type="spellStart"/>
      <w:r>
        <w:rPr>
          <w:rtl/>
        </w:rPr>
        <w:t>מטלז</w:t>
      </w:r>
      <w:proofErr w:type="spellEnd"/>
      <w:r>
        <w:rPr>
          <w:rtl/>
        </w:rPr>
        <w:t xml:space="preserve">, סייע לו הסבא “כעבור </w:t>
      </w:r>
      <w:proofErr w:type="spellStart"/>
      <w:r>
        <w:rPr>
          <w:rtl/>
        </w:rPr>
        <w:t>זמן־מה</w:t>
      </w:r>
      <w:proofErr w:type="spellEnd"/>
      <w:r>
        <w:rPr>
          <w:rtl/>
        </w:rPr>
        <w:t xml:space="preserve">” בשני משגיחים </w:t>
      </w:r>
      <w:proofErr w:type="spellStart"/>
      <w:r>
        <w:rPr>
          <w:rtl/>
        </w:rPr>
        <w:t>מסלבודקה</w:t>
      </w:r>
      <w:proofErr w:type="spellEnd"/>
      <w:r>
        <w:rPr>
          <w:rtl/>
        </w:rPr>
        <w:t xml:space="preserve">: ר׳ אנשל </w:t>
      </w:r>
      <w:proofErr w:type="spellStart"/>
      <w:r>
        <w:rPr>
          <w:rtl/>
        </w:rPr>
        <w:t>אטינגן</w:t>
      </w:r>
      <w:proofErr w:type="spellEnd"/>
      <w:r>
        <w:rPr>
          <w:rtl/>
        </w:rPr>
        <w:t>, ואחריו ר׳ נח פלאי. “ספר היובל”</w:t>
      </w:r>
      <w:bookmarkStart w:id="5969" w:name="_fnr4522"/>
      <w:r>
        <w:rPr>
          <w:rStyle w:val="a5"/>
        </w:rPr>
        <w:footnoteReference w:id="4533" w:customMarkFollows="0"/>
      </w:r>
      <w:bookmarkEnd w:id="5969"/>
      <w:r>
        <w:rPr>
          <w:rtl/>
        </w:rPr>
        <w:t xml:space="preserve"> מפרט שהמשגיח הראשון בא שנתיים אחרי ייסוד הישיבה (מחדש), והשני – כשעזב הראשון, שנה אחר כך. “ספר היובל” מגלה גם שהמשגיח השני משך תלמידים צעירים רבים, </w:t>
      </w:r>
      <w:proofErr w:type="spellStart"/>
      <w:r>
        <w:rPr>
          <w:rtl/>
        </w:rPr>
        <w:t>ו“מאלטש</w:t>
      </w:r>
      <w:proofErr w:type="spellEnd"/>
      <w:r>
        <w:rPr>
          <w:rtl/>
        </w:rPr>
        <w:t xml:space="preserve"> הייתה לכמה מהם מעין ישיבת מעבר, שממנה המשיכו </w:t>
      </w:r>
      <w:proofErr w:type="spellStart"/>
      <w:r>
        <w:rPr>
          <w:rtl/>
        </w:rPr>
        <w:t>לסלבודקה</w:t>
      </w:r>
      <w:proofErr w:type="spellEnd"/>
      <w:r>
        <w:rPr>
          <w:rtl/>
        </w:rPr>
        <w:t>”.</w:t>
      </w:r>
    </w:p>
    <w:p w14:paraId="4B10962B" w14:textId="77777777" w:rsidR="00AB3647" w:rsidRDefault="00000000" w:rsidP="007923E9">
      <w:pPr>
        <w:spacing w:before="120" w:after="100" w:line="276" w:lineRule="auto"/>
        <w:jc w:val="both"/>
      </w:pPr>
      <w:r>
        <w:rPr>
          <w:rtl/>
        </w:rPr>
        <w:lastRenderedPageBreak/>
        <w:t>לפי “ספר היובל”</w:t>
      </w:r>
      <w:bookmarkStart w:id="5970" w:name="_fnr4523"/>
      <w:r>
        <w:rPr>
          <w:rStyle w:val="a5"/>
        </w:rPr>
        <w:footnoteReference w:id="4534" w:customMarkFollows="0"/>
      </w:r>
      <w:bookmarkEnd w:id="5970"/>
      <w:r>
        <w:rPr>
          <w:rtl/>
        </w:rPr>
        <w:t xml:space="preserve">, כאשר סגר ר׳ </w:t>
      </w:r>
      <w:proofErr w:type="spellStart"/>
      <w:r>
        <w:rPr>
          <w:rtl/>
        </w:rPr>
        <w:t>זלמן־סנדר</w:t>
      </w:r>
      <w:proofErr w:type="spellEnd"/>
      <w:r>
        <w:rPr>
          <w:rtl/>
        </w:rPr>
        <w:t xml:space="preserve"> את ישיבתו ויצא </w:t>
      </w:r>
      <w:proofErr w:type="spellStart"/>
      <w:r>
        <w:rPr>
          <w:rtl/>
        </w:rPr>
        <w:t>לקרינק</w:t>
      </w:r>
      <w:proofErr w:type="spellEnd"/>
      <w:r>
        <w:rPr>
          <w:rtl/>
        </w:rPr>
        <w:t xml:space="preserve">, “תלמידים רבים לא רצו להתפזר בישיבות שונות, ונשארו יחד בעיר </w:t>
      </w:r>
      <w:proofErr w:type="spellStart"/>
      <w:r>
        <w:rPr>
          <w:rtl/>
        </w:rPr>
        <w:t>מאלטש</w:t>
      </w:r>
      <w:proofErr w:type="spellEnd"/>
      <w:r>
        <w:rPr>
          <w:rtl/>
        </w:rPr>
        <w:t xml:space="preserve"> בתקווה, שנתמלאה אחר כך, שתוקם שם מחדש ישיבה ראויה”. מחבר המאמר, הרב </w:t>
      </w:r>
      <w:proofErr w:type="spellStart"/>
      <w:r>
        <w:rPr>
          <w:rtl/>
        </w:rPr>
        <w:t>אונטרמן</w:t>
      </w:r>
      <w:proofErr w:type="spellEnd"/>
      <w:r>
        <w:rPr>
          <w:rtl/>
        </w:rPr>
        <w:t xml:space="preserve">, היה אחד מהם. ישיבת ר׳ שמעון </w:t>
      </w:r>
      <w:proofErr w:type="spellStart"/>
      <w:r>
        <w:rPr>
          <w:rtl/>
        </w:rPr>
        <w:t>שקופ</w:t>
      </w:r>
      <w:proofErr w:type="spellEnd"/>
      <w:r>
        <w:rPr>
          <w:rtl/>
        </w:rPr>
        <w:t xml:space="preserve"> הורכבה אפוא משתי קבוצות – תלמידיו </w:t>
      </w:r>
      <w:proofErr w:type="spellStart"/>
      <w:r>
        <w:rPr>
          <w:rtl/>
        </w:rPr>
        <w:t>מטלז</w:t>
      </w:r>
      <w:proofErr w:type="spellEnd"/>
      <w:r>
        <w:rPr>
          <w:rtl/>
        </w:rPr>
        <w:t xml:space="preserve"> ושרידי ישיבת </w:t>
      </w:r>
      <w:proofErr w:type="spellStart"/>
      <w:r>
        <w:rPr>
          <w:rtl/>
        </w:rPr>
        <w:t>מאלטש</w:t>
      </w:r>
      <w:proofErr w:type="spellEnd"/>
      <w:r>
        <w:rPr>
          <w:rtl/>
        </w:rPr>
        <w:t xml:space="preserve"> הקודמת – ואחר כך נוסף לה כוח שלישי: משגיחי </w:t>
      </w:r>
      <w:proofErr w:type="spellStart"/>
      <w:r>
        <w:rPr>
          <w:rtl/>
        </w:rPr>
        <w:t>סלבודקה</w:t>
      </w:r>
      <w:proofErr w:type="spellEnd"/>
      <w:r>
        <w:rPr>
          <w:rtl/>
        </w:rPr>
        <w:t xml:space="preserve"> ששלח הסבא.</w:t>
      </w:r>
    </w:p>
    <w:p w14:paraId="565DD5E6" w14:textId="77777777" w:rsidR="00AB3647" w:rsidRDefault="00000000" w:rsidP="007923E9">
      <w:pPr>
        <w:spacing w:before="120" w:after="100" w:line="276" w:lineRule="auto"/>
        <w:jc w:val="both"/>
      </w:pPr>
      <w:r>
        <w:rPr>
          <w:rtl/>
        </w:rPr>
        <w:t xml:space="preserve">יוצא, באופן מעניין, שהסבא היה מעורב תחילה בחיזוק ישיבת </w:t>
      </w:r>
      <w:proofErr w:type="spellStart"/>
      <w:r>
        <w:rPr>
          <w:rtl/>
        </w:rPr>
        <w:t>מאלטש</w:t>
      </w:r>
      <w:proofErr w:type="spellEnd"/>
      <w:r>
        <w:rPr>
          <w:rtl/>
        </w:rPr>
        <w:t xml:space="preserve"> (השנייה), אחר כך במתן ישיבה אחרת לרבה, ר׳ שמעון </w:t>
      </w:r>
      <w:proofErr w:type="spellStart"/>
      <w:r>
        <w:rPr>
          <w:rtl/>
        </w:rPr>
        <w:t>שקופ</w:t>
      </w:r>
      <w:proofErr w:type="spellEnd"/>
      <w:r>
        <w:rPr>
          <w:rtl/>
        </w:rPr>
        <w:t xml:space="preserve">, כשעזב את </w:t>
      </w:r>
      <w:proofErr w:type="spellStart"/>
      <w:r>
        <w:rPr>
          <w:rtl/>
        </w:rPr>
        <w:t>מאלטש</w:t>
      </w:r>
      <w:proofErr w:type="spellEnd"/>
      <w:r>
        <w:rPr>
          <w:rtl/>
        </w:rPr>
        <w:t xml:space="preserve"> </w:t>
      </w:r>
      <w:proofErr w:type="spellStart"/>
      <w:r>
        <w:rPr>
          <w:rtl/>
        </w:rPr>
        <w:t>לבריינסק</w:t>
      </w:r>
      <w:proofErr w:type="spellEnd"/>
      <w:r>
        <w:rPr>
          <w:rtl/>
        </w:rPr>
        <w:t xml:space="preserve">, ולבסוף בהקמת ישיבת </w:t>
      </w:r>
      <w:proofErr w:type="spellStart"/>
      <w:r>
        <w:rPr>
          <w:rtl/>
        </w:rPr>
        <w:t>מאלטש</w:t>
      </w:r>
      <w:proofErr w:type="spellEnd"/>
      <w:r>
        <w:rPr>
          <w:rtl/>
        </w:rPr>
        <w:t xml:space="preserve"> חלופית (שלישית), תחת הרב החדש, ר׳ </w:t>
      </w:r>
      <w:proofErr w:type="spellStart"/>
      <w:r>
        <w:rPr>
          <w:rtl/>
        </w:rPr>
        <w:t>דוד־טעביל</w:t>
      </w:r>
      <w:proofErr w:type="spellEnd"/>
      <w:r>
        <w:rPr>
          <w:rtl/>
        </w:rPr>
        <w:t xml:space="preserve"> </w:t>
      </w:r>
      <w:proofErr w:type="spellStart"/>
      <w:r>
        <w:rPr>
          <w:rtl/>
        </w:rPr>
        <w:t>דינובסקי</w:t>
      </w:r>
      <w:proofErr w:type="spellEnd"/>
      <w:r>
        <w:rPr>
          <w:rtl/>
        </w:rPr>
        <w:t>.</w:t>
      </w:r>
    </w:p>
    <w:bookmarkStart w:id="5971" w:name="b5_note31"/>
    <w:p w14:paraId="68E3B012" w14:textId="77777777" w:rsidR="00AB3647" w:rsidRDefault="00000000" w:rsidP="007923E9">
      <w:pPr>
        <w:spacing w:before="120" w:after="100" w:line="276" w:lineRule="auto"/>
        <w:jc w:val="both"/>
      </w:pPr>
      <w:r>
        <w:fldChar w:fldCharType="begin" w:dirty="true"/>
      </w:r>
      <w:r>
        <w:instrText>HYPERLINK \l "b5_ref31"</w:instrText>
      </w:r>
      <w:r>
        <w:fldChar w:fldCharType="separate"/>
      </w:r>
      <w:r>
        <w:rPr>
          <w:b/>
          <w:bCs/>
          <w:rtl/>
        </w:rPr>
        <w:t>31</w:t>
      </w:r>
      <w:r>
        <w:rPr>
          <w:b/>
          <w:bCs/>
        </w:rPr>
        <w:fldChar w:fldCharType="end"/>
      </w:r>
      <w:bookmarkEnd w:id="5971"/>
      <w:r>
        <w:rPr>
          <w:rtl/>
        </w:rPr>
        <w:t xml:space="preserve"> ריאיון עם נכדתו ובעלה, תמר ור׳ יהודה </w:t>
      </w:r>
      <w:proofErr w:type="spellStart"/>
      <w:r>
        <w:rPr>
          <w:rtl/>
        </w:rPr>
        <w:t>קיל</w:t>
      </w:r>
      <w:bookmarkStart w:id="5972" w:name="_fnr4524"/>
      <w:proofErr w:type="spellEnd"/>
      <w:r>
        <w:rPr>
          <w:rStyle w:val="a5"/>
        </w:rPr>
        <w:footnoteReference w:id="4535" w:customMarkFollows="0"/>
      </w:r>
      <w:bookmarkEnd w:id="5972"/>
      <w:r>
        <w:rPr>
          <w:rtl/>
        </w:rPr>
        <w:t>; והשווה כץ, “תנועת המוסר”, כרך ג</w:t>
      </w:r>
      <w:bookmarkStart w:id="5973" w:name="_fnr4525"/>
      <w:r>
        <w:rPr>
          <w:rStyle w:val="a5"/>
        </w:rPr>
        <w:footnoteReference w:id="4536" w:customMarkFollows="0"/>
      </w:r>
      <w:bookmarkEnd w:id="5973"/>
      <w:r>
        <w:rPr>
          <w:rtl/>
        </w:rPr>
        <w:t xml:space="preserve">. ר׳ </w:t>
      </w:r>
      <w:proofErr w:type="spellStart"/>
      <w:r>
        <w:rPr>
          <w:rtl/>
        </w:rPr>
        <w:t>דוד־טעביל</w:t>
      </w:r>
      <w:proofErr w:type="spellEnd"/>
      <w:r>
        <w:rPr>
          <w:rtl/>
        </w:rPr>
        <w:t xml:space="preserve"> </w:t>
      </w:r>
      <w:proofErr w:type="spellStart"/>
      <w:r>
        <w:rPr>
          <w:rtl/>
        </w:rPr>
        <w:t>דינובסקי</w:t>
      </w:r>
      <w:proofErr w:type="spellEnd"/>
      <w:r>
        <w:rPr>
          <w:rtl/>
        </w:rPr>
        <w:t xml:space="preserve"> נולד </w:t>
      </w:r>
      <w:proofErr w:type="spellStart"/>
      <w:r>
        <w:rPr>
          <w:rtl/>
        </w:rPr>
        <w:t>בתרכ״ה</w:t>
      </w:r>
      <w:proofErr w:type="spellEnd"/>
      <w:r>
        <w:rPr>
          <w:rtl/>
        </w:rPr>
        <w:t xml:space="preserve">, ונפטר תחת הכיבוש הנאצי בפולין, </w:t>
      </w:r>
      <w:proofErr w:type="spellStart"/>
      <w:r>
        <w:rPr>
          <w:rtl/>
        </w:rPr>
        <w:t>בת״ש</w:t>
      </w:r>
      <w:proofErr w:type="spellEnd"/>
      <w:r>
        <w:rPr>
          <w:rtl/>
        </w:rPr>
        <w:t xml:space="preserve"> או </w:t>
      </w:r>
      <w:proofErr w:type="spellStart"/>
      <w:r>
        <w:rPr>
          <w:rtl/>
        </w:rPr>
        <w:t>בתש״א</w:t>
      </w:r>
      <w:proofErr w:type="spellEnd"/>
      <w:r>
        <w:rPr>
          <w:rtl/>
        </w:rPr>
        <w:t xml:space="preserve">, בעיר שבה כיהן, </w:t>
      </w:r>
      <w:proofErr w:type="spellStart"/>
      <w:r>
        <w:rPr>
          <w:rtl/>
        </w:rPr>
        <w:t>פיונטניצה</w:t>
      </w:r>
      <w:proofErr w:type="spellEnd"/>
      <w:r>
        <w:rPr>
          <w:rtl/>
        </w:rPr>
        <w:t>. בני העיירה הצליחו להביאו לקבר ישראל בחצר האחורית של ביתו.</w:t>
      </w:r>
    </w:p>
    <w:bookmarkStart w:id="5974" w:name="b5_note32"/>
    <w:p w14:paraId="01E68260" w14:textId="05EBCE7B" w:rsidR="00AB3647" w:rsidRDefault="00000000" w:rsidP="007923E9">
      <w:pPr>
        <w:spacing w:before="120" w:after="100" w:line="276" w:lineRule="auto"/>
        <w:jc w:val="both"/>
      </w:pPr>
      <w:r>
        <w:fldChar w:fldCharType="begin" w:dirty="true"/>
      </w:r>
      <w:r>
        <w:instrText>HYPERLINK \l "b5_ref32"</w:instrText>
      </w:r>
      <w:r>
        <w:fldChar w:fldCharType="separate"/>
      </w:r>
      <w:r>
        <w:rPr>
          <w:b/>
          <w:bCs/>
          <w:rtl/>
        </w:rPr>
        <w:t>32</w:t>
      </w:r>
      <w:r>
        <w:rPr>
          <w:b/>
          <w:bCs/>
        </w:rPr>
        <w:fldChar w:fldCharType="end"/>
      </w:r>
      <w:bookmarkEnd w:id="5974"/>
      <w:r>
        <w:rPr>
          <w:rtl/>
        </w:rPr>
        <w:t xml:space="preserve"> השווה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מדברי ר׳ </w:t>
      </w:r>
      <w:proofErr w:type="spellStart"/>
      <w:r>
        <w:rPr>
          <w:rtl/>
        </w:rPr>
        <w:t>חצקל</w:t>
      </w:r>
      <w:proofErr w:type="spellEnd"/>
      <w:r>
        <w:rPr>
          <w:rtl/>
        </w:rPr>
        <w:t xml:space="preserve"> </w:t>
      </w:r>
      <w:proofErr w:type="spellStart"/>
      <w:r>
        <w:rPr>
          <w:rtl/>
        </w:rPr>
        <w:t>לוינשטיין</w:t>
      </w:r>
      <w:proofErr w:type="spellEnd"/>
      <w:r>
        <w:rPr>
          <w:rtl/>
        </w:rPr>
        <w:t xml:space="preserve"> המובאים בהערה </w:t>
      </w:r>
      <w:r>
        <w:rPr>
          <w:rtl/>
        </w:rPr>
        <w:fldChar w:fldCharType="begin" w:dirty="true"/>
      </w:r>
      <w:r>
        <w:rPr>
          <w:rtl/>
        </w:rPr>
        <w:instrText xml:space="preserve"> REF b5_note26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 xml:space="preserve"> לעיל עולה שהרב </w:t>
      </w:r>
      <w:proofErr w:type="spellStart"/>
      <w:r>
        <w:rPr>
          <w:rtl/>
        </w:rPr>
        <w:t>דינובסקי</w:t>
      </w:r>
      <w:proofErr w:type="spellEnd"/>
      <w:r>
        <w:rPr>
          <w:rtl/>
        </w:rPr>
        <w:t xml:space="preserve"> הושפע מר׳ ישראל </w:t>
      </w:r>
      <w:proofErr w:type="spellStart"/>
      <w:r>
        <w:rPr>
          <w:rtl/>
        </w:rPr>
        <w:t>סלנטר</w:t>
      </w:r>
      <w:proofErr w:type="spellEnd"/>
      <w:r>
        <w:rPr>
          <w:rtl/>
        </w:rPr>
        <w:t xml:space="preserve"> גם במישרין. אבל ר׳ </w:t>
      </w:r>
      <w:proofErr w:type="spellStart"/>
      <w:r>
        <w:rPr>
          <w:rtl/>
        </w:rPr>
        <w:t>דוד־טעביל</w:t>
      </w:r>
      <w:proofErr w:type="spellEnd"/>
      <w:r>
        <w:rPr>
          <w:rtl/>
        </w:rPr>
        <w:t xml:space="preserve"> היה בן </w:t>
      </w:r>
      <w:proofErr w:type="spellStart"/>
      <w:r>
        <w:rPr>
          <w:rtl/>
        </w:rPr>
        <w:t>שמונה־עשרה</w:t>
      </w:r>
      <w:proofErr w:type="spellEnd"/>
      <w:r>
        <w:rPr>
          <w:rtl/>
        </w:rPr>
        <w:t xml:space="preserve"> בלבד כשנפטר ר׳ ישראל, ואם למד אצלו, ודאי היה זה בגיל </w:t>
      </w:r>
      <w:proofErr w:type="spellStart"/>
      <w:r>
        <w:rPr>
          <w:rtl/>
        </w:rPr>
        <w:t>שבע־עשרה</w:t>
      </w:r>
      <w:proofErr w:type="spellEnd"/>
      <w:r>
        <w:rPr>
          <w:rtl/>
        </w:rPr>
        <w:t>, בקיץ תרמ״ב</w:t>
      </w:r>
      <w:bookmarkStart w:id="5975" w:name="_fnr4526"/>
      <w:r>
        <w:rPr>
          <w:rStyle w:val="a5"/>
        </w:rPr>
        <w:footnoteReference w:id="4537" w:customMarkFollows="0"/>
      </w:r>
      <w:bookmarkEnd w:id="5975"/>
      <w:r>
        <w:rPr>
          <w:rtl/>
        </w:rPr>
        <w:t xml:space="preserve"> – באותה תקופה שבה נפגש הסבא </w:t>
      </w:r>
      <w:proofErr w:type="spellStart"/>
      <w:r>
        <w:rPr>
          <w:rtl/>
        </w:rPr>
        <w:t>מסלבודקה</w:t>
      </w:r>
      <w:proofErr w:type="spellEnd"/>
      <w:r>
        <w:rPr>
          <w:rtl/>
        </w:rPr>
        <w:t xml:space="preserve"> עם ר׳ ישראל, כמבואר בפרק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6" w:name="b5_note33"/>
    <w:p w14:paraId="03245C91" w14:textId="425CF157" w:rsidR="00AB3647" w:rsidRDefault="00000000" w:rsidP="007923E9">
      <w:pPr>
        <w:spacing w:before="120" w:after="100" w:line="276" w:lineRule="auto"/>
        <w:jc w:val="both"/>
      </w:pPr>
      <w:r>
        <w:fldChar w:fldCharType="begin" w:dirty="true"/>
      </w:r>
      <w:r>
        <w:instrText>HYPERLINK \l "b5_ref33"</w:instrText>
      </w:r>
      <w:r>
        <w:fldChar w:fldCharType="separate"/>
      </w:r>
      <w:r>
        <w:rPr>
          <w:b/>
          <w:bCs/>
          <w:rtl/>
        </w:rPr>
        <w:t>33</w:t>
      </w:r>
      <w:r>
        <w:rPr>
          <w:b/>
          <w:bCs/>
        </w:rPr>
        <w:fldChar w:fldCharType="end"/>
      </w:r>
      <w:bookmarkEnd w:id="5976"/>
      <w:r>
        <w:rPr>
          <w:rtl/>
        </w:rPr>
        <w:t xml:space="preserve"> אם נניח, כמשוער בהערה הקודמת, שר׳ </w:t>
      </w:r>
      <w:proofErr w:type="spellStart"/>
      <w:r>
        <w:rPr>
          <w:rtl/>
        </w:rPr>
        <w:t>דוד־טעביל</w:t>
      </w:r>
      <w:proofErr w:type="spellEnd"/>
      <w:r>
        <w:rPr>
          <w:rtl/>
        </w:rPr>
        <w:t xml:space="preserve"> שהה </w:t>
      </w:r>
      <w:proofErr w:type="spellStart"/>
      <w:r>
        <w:rPr>
          <w:rtl/>
        </w:rPr>
        <w:t>בצלו</w:t>
      </w:r>
      <w:proofErr w:type="spellEnd"/>
      <w:r>
        <w:rPr>
          <w:rtl/>
        </w:rPr>
        <w:t xml:space="preserve"> של ר׳ ישראל </w:t>
      </w:r>
      <w:proofErr w:type="spellStart"/>
      <w:r>
        <w:rPr>
          <w:rtl/>
        </w:rPr>
        <w:t>סלנטר</w:t>
      </w:r>
      <w:proofErr w:type="spellEnd"/>
      <w:r>
        <w:rPr>
          <w:rtl/>
        </w:rPr>
        <w:t xml:space="preserve"> עשרים וחמש שנה קודם לכן, ייתכן שפגש את הסבא </w:t>
      </w:r>
      <w:proofErr w:type="spellStart"/>
      <w:r>
        <w:rPr>
          <w:rtl/>
        </w:rPr>
        <w:t>מסלבודקה</w:t>
      </w:r>
      <w:proofErr w:type="spellEnd"/>
      <w:r>
        <w:rPr>
          <w:rtl/>
        </w:rPr>
        <w:t xml:space="preserve">, המבוגר ממנו </w:t>
      </w:r>
      <w:proofErr w:type="spellStart"/>
      <w:r>
        <w:rPr>
          <w:rtl/>
        </w:rPr>
        <w:t>בשש־עשרה</w:t>
      </w:r>
      <w:proofErr w:type="spellEnd"/>
      <w:r>
        <w:rPr>
          <w:rtl/>
        </w:rPr>
        <w:t xml:space="preserve"> שנה, בשעה שהסבא שאל את ר׳ ישראל אילו מטרות להציב לישיבתו החדשה </w:t>
      </w:r>
      <w:proofErr w:type="spellStart"/>
      <w:r>
        <w:rPr>
          <w:rtl/>
        </w:rPr>
        <w:t>בסלבודקה</w:t>
      </w:r>
      <w:proofErr w:type="spellEnd"/>
      <w:r>
        <w:rPr>
          <w:rtl/>
        </w:rPr>
        <w:t xml:space="preserve"> – השווה פרק 3, סוף </w:t>
      </w:r>
      <w:r>
        <w:rPr>
          <w:rtl/>
        </w:rPr>
        <w:fldChar w:fldCharType="begin" w:dirty="true"/>
      </w:r>
      <w:r>
        <w:rPr>
          <w:rtl/>
        </w:rPr>
        <w:instrText xml:space="preserve"> REF b3_excD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bookmarkStart w:id="5977" w:name="b5_note34"/>
    <w:p w14:paraId="24FFE94B" w14:textId="02A37A57" w:rsidR="00AB3647" w:rsidRDefault="00000000" w:rsidP="007923E9">
      <w:pPr>
        <w:spacing w:before="120" w:after="100" w:line="276" w:lineRule="auto"/>
        <w:jc w:val="both"/>
      </w:pPr>
      <w:r>
        <w:fldChar w:fldCharType="begin" w:dirty="true"/>
      </w:r>
      <w:r>
        <w:instrText>HYPERLINK \l "b5_ref34"</w:instrText>
      </w:r>
      <w:r>
        <w:fldChar w:fldCharType="separate"/>
      </w:r>
      <w:r>
        <w:rPr>
          <w:b/>
          <w:bCs/>
          <w:rtl/>
        </w:rPr>
        <w:t>34</w:t>
      </w:r>
      <w:r>
        <w:rPr>
          <w:b/>
          <w:bCs/>
        </w:rPr>
        <w:fldChar w:fldCharType="end"/>
      </w:r>
      <w:bookmarkEnd w:id="5977"/>
      <w:r>
        <w:rPr>
          <w:rtl/>
        </w:rPr>
        <w:t xml:space="preserve"> השווה פרק 3, </w:t>
      </w:r>
      <w:r>
        <w:rPr>
          <w:rtl/>
        </w:rPr>
        <w:fldChar w:fldCharType="begin" w:dirty="true"/>
      </w:r>
      <w:r>
        <w:rPr>
          <w:rtl/>
        </w:rPr>
        <w:instrText xml:space="preserve"> REF b3_excQ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יז</w:t>
      </w:r>
      <w:proofErr w:type="spellEnd"/>
      <w:r>
        <w:rPr>
          <w:rtl/>
        </w:rPr>
        <w:fldChar w:fldCharType="end"/>
      </w:r>
      <w:r>
        <w:rPr>
          <w:rtl/>
        </w:rPr>
        <w:t>.</w:t>
      </w:r>
    </w:p>
    <w:p w14:paraId="08A598B8" w14:textId="6FA27EC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proofErr w:type="spellStart"/>
      <w:r>
        <w:rPr>
          <w:rtl/>
        </w:rPr>
        <w:t>לר</w:t>
      </w:r>
      <w:proofErr w:type="spellEnd"/>
      <w:r>
        <w:rPr>
          <w:rtl/>
        </w:rPr>
        <w:t xml:space="preserve">׳ </w:t>
      </w:r>
      <w:proofErr w:type="spellStart"/>
      <w:r>
        <w:rPr>
          <w:rtl/>
        </w:rPr>
        <w:t>דוד־טעביל</w:t>
      </w:r>
      <w:proofErr w:type="spellEnd"/>
      <w:r>
        <w:rPr>
          <w:rtl/>
        </w:rPr>
        <w:t xml:space="preserve"> הייתה בת בגיל הנישואין, והוא לא היה להוט לעמוד בעצמו בראש הישיבה. לפיכך ביקש מן הסבא לשלוח לו, עם התלמידים, בחור מבוגר מצטיין, שיהיה ראוי להיות חתנו ולבסוף ראש ישיבת </w:t>
      </w:r>
      <w:proofErr w:type="spellStart"/>
      <w:r>
        <w:rPr>
          <w:rtl/>
        </w:rPr>
        <w:t>מאלטש</w:t>
      </w:r>
      <w:proofErr w:type="spellEnd"/>
      <w:r>
        <w:rPr>
          <w:rtl/>
        </w:rPr>
        <w:t>. בארבעת הימים שעד שבת בראשית הצליח הסבא לארגן קבוצה של ארבעים בחורים, מבוגרים וצעירים</w:t>
      </w:r>
      <w:bookmarkStart w:id="5978" w:name="b5_ref35"/>
      <w:bookmarkEnd w:id="5978"/>
      <w:r>
        <w:rPr>
          <w:vertAlign w:val="superscript"/>
          <w:rtl/>
        </w:rPr>
        <w:fldChar w:fldCharType="begin" w:dirty="true"/>
      </w:r>
      <w:r>
        <w:rPr>
          <w:vertAlign w:val="superscript"/>
          <w:rtl/>
        </w:rPr>
        <w:instrText xml:space="preserve"> REF b5_note35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35</w:t>
      </w:r>
      <w:r>
        <w:rPr>
          <w:vertAlign w:val="superscript"/>
          <w:rtl/>
        </w:rPr>
        <w:fldChar w:fldCharType="end"/>
      </w:r>
      <w:r>
        <w:rPr>
          <w:rtl/>
        </w:rPr>
        <w:t xml:space="preserve"> – ישיבה שלמה – לשלוח </w:t>
      </w:r>
      <w:proofErr w:type="spellStart"/>
      <w:r>
        <w:rPr>
          <w:rtl/>
        </w:rPr>
        <w:t>למאלטש</w:t>
      </w:r>
      <w:proofErr w:type="spellEnd"/>
      <w:r>
        <w:rPr>
          <w:rtl/>
        </w:rPr>
        <w:t xml:space="preserve">. עמם שלח מועמד להיות חתנו של הרב </w:t>
      </w:r>
      <w:proofErr w:type="spellStart"/>
      <w:r>
        <w:rPr>
          <w:rtl/>
        </w:rPr>
        <w:t>דינובסקי</w:t>
      </w:r>
      <w:proofErr w:type="spellEnd"/>
      <w:r>
        <w:rPr>
          <w:rtl/>
        </w:rPr>
        <w:t xml:space="preserve"> – אחד משלושת התלמידים המעולים ביותר</w:t>
      </w:r>
      <w:bookmarkStart w:id="5979" w:name="b5_ref36"/>
      <w:bookmarkEnd w:id="5979"/>
      <w:r>
        <w:rPr>
          <w:vertAlign w:val="superscript"/>
          <w:rtl/>
        </w:rPr>
        <w:fldChar w:fldCharType="begin" w:dirty="true"/>
      </w:r>
      <w:r>
        <w:rPr>
          <w:vertAlign w:val="superscript"/>
          <w:rtl/>
        </w:rPr>
        <w:instrText xml:space="preserve"> REF b5_note36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36</w:t>
      </w:r>
      <w:r>
        <w:rPr>
          <w:vertAlign w:val="superscript"/>
          <w:rtl/>
        </w:rPr>
        <w:fldChar w:fldCharType="end"/>
      </w:r>
      <w:r>
        <w:rPr>
          <w:rtl/>
        </w:rPr>
        <w:t xml:space="preserve"> בכנסת ישראל, שגם אותו שלח הסבא </w:t>
      </w:r>
      <w:proofErr w:type="spellStart"/>
      <w:r>
        <w:rPr>
          <w:rtl/>
        </w:rPr>
        <w:t>לטלז</w:t>
      </w:r>
      <w:proofErr w:type="spellEnd"/>
      <w:r>
        <w:rPr>
          <w:rtl/>
        </w:rPr>
        <w:t xml:space="preserve"> שנתיים קודם לכן</w:t>
      </w:r>
      <w:bookmarkStart w:id="5980" w:name="b5_ref37"/>
      <w:bookmarkEnd w:id="5980"/>
      <w:r>
        <w:rPr>
          <w:vertAlign w:val="superscript"/>
          <w:rtl/>
        </w:rPr>
        <w:fldChar w:fldCharType="begin" w:dirty="true"/>
      </w:r>
      <w:r>
        <w:rPr>
          <w:vertAlign w:val="superscript"/>
          <w:rtl/>
        </w:rPr>
        <w:instrText xml:space="preserve"> REF b5_note37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37</w:t>
      </w:r>
      <w:r>
        <w:rPr>
          <w:vertAlign w:val="superscript"/>
          <w:rtl/>
        </w:rPr>
        <w:fldChar w:fldCharType="end"/>
      </w:r>
      <w:r>
        <w:rPr>
          <w:rtl/>
        </w:rPr>
        <w:t>: ר׳ שלמה גבורין</w:t>
      </w:r>
      <w:bookmarkStart w:id="5981" w:name="b5_ref38"/>
      <w:bookmarkEnd w:id="5981"/>
      <w:r>
        <w:rPr>
          <w:vertAlign w:val="superscript"/>
          <w:rtl/>
        </w:rPr>
        <w:fldChar w:fldCharType="begin" w:dirty="true"/>
      </w:r>
      <w:r>
        <w:rPr>
          <w:vertAlign w:val="superscript"/>
          <w:rtl/>
        </w:rPr>
        <w:instrText xml:space="preserve"> REF b5_note38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38</w:t>
      </w:r>
      <w:r>
        <w:rPr>
          <w:vertAlign w:val="superscript"/>
          <w:rtl/>
        </w:rPr>
        <w:fldChar w:fldCharType="end"/>
      </w:r>
      <w:r>
        <w:rPr>
          <w:rtl/>
        </w:rPr>
        <w:t>.</w:t>
      </w:r>
    </w:p>
    <w:bookmarkStart w:id="5982" w:name="b5_note35"/>
    <w:p w14:paraId="53E078B3" w14:textId="77777777" w:rsidR="00AB3647" w:rsidRDefault="00000000" w:rsidP="007923E9">
      <w:pPr>
        <w:spacing w:before="120" w:after="100" w:line="276" w:lineRule="auto"/>
        <w:jc w:val="both"/>
      </w:pPr>
      <w:r>
        <w:lastRenderedPageBreak/>
        <w:fldChar w:fldCharType="begin" w:dirty="true"/>
      </w:r>
      <w:r>
        <w:instrText>HYPERLINK \l "b5_ref35"</w:instrText>
      </w:r>
      <w:r>
        <w:fldChar w:fldCharType="separate"/>
      </w:r>
      <w:r>
        <w:rPr>
          <w:b/>
          <w:bCs/>
          <w:rtl/>
        </w:rPr>
        <w:t>35</w:t>
      </w:r>
      <w:r>
        <w:rPr>
          <w:b/>
          <w:bCs/>
        </w:rPr>
        <w:fldChar w:fldCharType="end"/>
      </w:r>
      <w:bookmarkEnd w:id="5982"/>
      <w:r>
        <w:rPr>
          <w:rtl/>
        </w:rPr>
        <w:t xml:space="preserve"> המספר הכולל של התלמידים שנשלחו מובא במאמרו של הרב </w:t>
      </w:r>
      <w:proofErr w:type="spellStart"/>
      <w:r>
        <w:rPr>
          <w:rtl/>
        </w:rPr>
        <w:t>אהרן־בן־ציון</w:t>
      </w:r>
      <w:proofErr w:type="spellEnd"/>
      <w:r>
        <w:rPr>
          <w:rtl/>
        </w:rPr>
        <w:t xml:space="preserve"> </w:t>
      </w:r>
      <w:proofErr w:type="spellStart"/>
      <w:r>
        <w:rPr>
          <w:rtl/>
        </w:rPr>
        <w:t>שורין</w:t>
      </w:r>
      <w:proofErr w:type="spellEnd"/>
      <w:r>
        <w:rPr>
          <w:rtl/>
        </w:rPr>
        <w:t xml:space="preserve"> </w:t>
      </w:r>
      <w:proofErr w:type="spellStart"/>
      <w:r>
        <w:rPr>
          <w:rtl/>
        </w:rPr>
        <w:t>ב“פארווערטס</w:t>
      </w:r>
      <w:proofErr w:type="spellEnd"/>
      <w:r>
        <w:rPr>
          <w:rtl/>
        </w:rPr>
        <w:t>”</w:t>
      </w:r>
      <w:bookmarkStart w:id="5983" w:name="_fnr4527"/>
      <w:r>
        <w:rPr>
          <w:rStyle w:val="a5"/>
        </w:rPr>
        <w:footnoteReference w:id="4538" w:customMarkFollows="0"/>
      </w:r>
      <w:bookmarkEnd w:id="5983"/>
      <w:r>
        <w:rPr>
          <w:rtl/>
        </w:rPr>
        <w:t>.</w:t>
      </w:r>
    </w:p>
    <w:bookmarkStart w:id="5984" w:name="b5_note36"/>
    <w:p w14:paraId="65834B29" w14:textId="77777777" w:rsidR="00AB3647" w:rsidRDefault="00000000" w:rsidP="007923E9">
      <w:pPr>
        <w:spacing w:before="120" w:after="100" w:line="276" w:lineRule="auto"/>
        <w:jc w:val="both"/>
      </w:pPr>
      <w:r>
        <w:fldChar w:fldCharType="begin" w:dirty="true"/>
      </w:r>
      <w:r>
        <w:instrText>HYPERLINK \l "b5_ref36"</w:instrText>
      </w:r>
      <w:r>
        <w:fldChar w:fldCharType="separate"/>
      </w:r>
      <w:r>
        <w:rPr>
          <w:b/>
          <w:bCs/>
          <w:rtl/>
        </w:rPr>
        <w:t>36</w:t>
      </w:r>
      <w:r>
        <w:rPr>
          <w:b/>
          <w:bCs/>
        </w:rPr>
        <w:fldChar w:fldCharType="end"/>
      </w:r>
      <w:bookmarkEnd w:id="5984"/>
      <w:r>
        <w:rPr>
          <w:rtl/>
        </w:rPr>
        <w:t xml:space="preserve"> בני הזוג </w:t>
      </w:r>
      <w:proofErr w:type="spellStart"/>
      <w:r>
        <w:rPr>
          <w:rtl/>
        </w:rPr>
        <w:t>קיל</w:t>
      </w:r>
      <w:proofErr w:type="spellEnd"/>
      <w:r>
        <w:rPr>
          <w:rtl/>
        </w:rPr>
        <w:t xml:space="preserve"> שמעו זאת מפי ר׳ </w:t>
      </w:r>
      <w:proofErr w:type="spellStart"/>
      <w:r>
        <w:rPr>
          <w:rtl/>
        </w:rPr>
        <w:t>חצקל</w:t>
      </w:r>
      <w:proofErr w:type="spellEnd"/>
      <w:r>
        <w:rPr>
          <w:rtl/>
        </w:rPr>
        <w:t xml:space="preserve"> </w:t>
      </w:r>
      <w:proofErr w:type="spellStart"/>
      <w:r>
        <w:rPr>
          <w:rtl/>
        </w:rPr>
        <w:t>סרנא</w:t>
      </w:r>
      <w:proofErr w:type="spellEnd"/>
      <w:r>
        <w:rPr>
          <w:rtl/>
        </w:rPr>
        <w:t xml:space="preserve"> בשבע ברכות לבנם הבכור.</w:t>
      </w:r>
    </w:p>
    <w:bookmarkStart w:id="5985" w:name="b5_note37"/>
    <w:p w14:paraId="78E73F74" w14:textId="77777777" w:rsidR="00AB3647" w:rsidRDefault="00000000" w:rsidP="007923E9">
      <w:pPr>
        <w:spacing w:before="120" w:after="100" w:line="276" w:lineRule="auto"/>
        <w:jc w:val="both"/>
      </w:pPr>
      <w:r>
        <w:fldChar w:fldCharType="begin" w:dirty="true"/>
      </w:r>
      <w:r>
        <w:instrText>HYPERLINK \l "b5_ref37"</w:instrText>
      </w:r>
      <w:r>
        <w:fldChar w:fldCharType="separate"/>
      </w:r>
      <w:r>
        <w:rPr>
          <w:b/>
          <w:bCs/>
          <w:rtl/>
        </w:rPr>
        <w:t>37</w:t>
      </w:r>
      <w:r>
        <w:rPr>
          <w:b/>
          <w:bCs/>
        </w:rPr>
        <w:fldChar w:fldCharType="end"/>
      </w:r>
      <w:bookmarkEnd w:id="5985"/>
      <w:r>
        <w:rPr>
          <w:rtl/>
        </w:rPr>
        <w:t xml:space="preserve"> השווה פרק 4.2, הפסקה השביעית, וההערה הבאה.</w:t>
      </w:r>
    </w:p>
    <w:bookmarkStart w:id="5986" w:name="b5_note38"/>
    <w:p w14:paraId="5A7A43FE" w14:textId="77777777" w:rsidR="00AB3647" w:rsidRDefault="00000000" w:rsidP="007923E9">
      <w:pPr>
        <w:spacing w:before="120" w:after="100" w:line="276" w:lineRule="auto"/>
        <w:jc w:val="both"/>
      </w:pPr>
      <w:r>
        <w:fldChar w:fldCharType="begin" w:dirty="true"/>
      </w:r>
      <w:r>
        <w:instrText>HYPERLINK \l "b5_ref38"</w:instrText>
      </w:r>
      <w:r>
        <w:fldChar w:fldCharType="separate"/>
      </w:r>
      <w:r>
        <w:rPr>
          <w:b/>
          <w:bCs/>
          <w:rtl/>
        </w:rPr>
        <w:t>38</w:t>
      </w:r>
      <w:r>
        <w:rPr>
          <w:b/>
          <w:bCs/>
        </w:rPr>
        <w:fldChar w:fldCharType="end"/>
      </w:r>
      <w:bookmarkEnd w:id="5986"/>
      <w:r>
        <w:rPr>
          <w:rtl/>
        </w:rPr>
        <w:t xml:space="preserve"> הוא נולד </w:t>
      </w:r>
      <w:proofErr w:type="spellStart"/>
      <w:r>
        <w:rPr>
          <w:rtl/>
        </w:rPr>
        <w:t>בתרמ״ג</w:t>
      </w:r>
      <w:proofErr w:type="spellEnd"/>
      <w:r>
        <w:rPr>
          <w:rtl/>
        </w:rPr>
        <w:t xml:space="preserve">, ולמד </w:t>
      </w:r>
      <w:proofErr w:type="spellStart"/>
      <w:r>
        <w:rPr>
          <w:rtl/>
        </w:rPr>
        <w:t>בסלבודקה</w:t>
      </w:r>
      <w:proofErr w:type="spellEnd"/>
      <w:r>
        <w:rPr>
          <w:rtl/>
        </w:rPr>
        <w:t xml:space="preserve"> שמונה שנים לפני שנשלח </w:t>
      </w:r>
      <w:proofErr w:type="spellStart"/>
      <w:r>
        <w:rPr>
          <w:rtl/>
        </w:rPr>
        <w:t>לטלז</w:t>
      </w:r>
      <w:proofErr w:type="spellEnd"/>
      <w:r>
        <w:rPr>
          <w:rtl/>
        </w:rPr>
        <w:t xml:space="preserve"> (בגיל עשרים ושתיים)</w:t>
      </w:r>
      <w:bookmarkStart w:id="5987" w:name="_fnr4528"/>
      <w:r>
        <w:rPr>
          <w:rStyle w:val="a5"/>
        </w:rPr>
        <w:t/>
      </w:r>
      <w:bookmarkStart w:id="7049" w:name="_TranslatorNote_4526"/>
      <w:r>
        <w:rPr>
          <w:rStyle w:val="a5"/>
          <w:vertAlign w:val="superscript"/>
          <w:rtl/>
        </w:rPr>
        <w:footnoteReference w:id="4539" w:customMarkFollows="1"/>
        <w:t>*</w:t>
      </w:r>
      <w:bookmarkEnd w:id="7049"/>
      <w:bookmarkStart w:id="5988" w:name="_fnr4529"/>
      <w:bookmarkStart w:id="5989" w:name="pr_f_4411"/>
      <w:bookmarkEnd w:id="5987"/>
      <w:r>
        <w:rPr>
          <w:rStyle w:val="a5"/>
        </w:rPr>
        <w:footnoteReference w:id="4540" w:customMarkFollows="0"/>
      </w:r>
      <w:bookmarkEnd w:id="5988"/>
      <w:bookmarkEnd w:id="5989"/>
      <w:r>
        <w:rPr>
          <w:rtl/>
        </w:rPr>
        <w:t>.</w:t>
      </w:r>
    </w:p>
    <w:p w14:paraId="1F8F550C" w14:textId="47E642A1" w:rsidR="00AB3647" w:rsidRDefault="00000000" w:rsidP="007923E9">
      <w:pPr>
        <w:spacing w:after="100" w:line="276" w:lineRule="auto"/>
        <w:ind w:firstLine="340"/>
        <w:jc w:val="both"/>
      </w:pPr>
      <w:r>
        <w:rPr>
          <w:rtl/>
        </w:rPr>
        <w:t xml:space="preserve">מפליא שהסבא הפקיד בידי ר׳ שלמה את הנהגת קבוצת המייסדים של </w:t>
      </w:r>
      <w:proofErr w:type="spellStart"/>
      <w:r>
        <w:rPr>
          <w:rtl/>
        </w:rPr>
        <w:t>מאלטש</w:t>
      </w:r>
      <w:proofErr w:type="spellEnd"/>
      <w:r>
        <w:rPr>
          <w:rtl/>
        </w:rPr>
        <w:t xml:space="preserve">, אף שר׳ שלמה פעל נגד המוסר </w:t>
      </w:r>
      <w:proofErr w:type="spellStart"/>
      <w:r>
        <w:rPr>
          <w:rtl/>
        </w:rPr>
        <w:t>בסלבודקה</w:t>
      </w:r>
      <w:proofErr w:type="spellEnd"/>
      <w:r>
        <w:rPr>
          <w:rtl/>
        </w:rPr>
        <w:t xml:space="preserve"> שנים אחדות קודם לכן</w:t>
      </w:r>
      <w:bookmarkStart w:id="5990" w:name="_fnr4530"/>
      <w:r>
        <w:rPr>
          <w:rStyle w:val="a5"/>
        </w:rPr>
        <w:footnoteReference w:id="4541" w:customMarkFollows="0"/>
      </w:r>
      <w:bookmarkEnd w:id="5990"/>
      <w:r>
        <w:rPr>
          <w:rtl/>
        </w:rPr>
        <w:t>. או שחדירתו המופלגת של הסבא לאופיים של תלמידיו</w:t>
      </w:r>
      <w:bookmarkStart w:id="5991" w:name="_fnr4531"/>
      <w:r>
        <w:rPr>
          <w:rStyle w:val="a5"/>
        </w:rPr>
        <w:footnoteReference w:id="4542" w:customMarkFollows="0"/>
      </w:r>
      <w:bookmarkEnd w:id="5991"/>
      <w:r>
        <w:rPr>
          <w:rtl/>
        </w:rPr>
        <w:t xml:space="preserve"> שכנעה אותו שר׳ שלמה נעשה אדם אחר לגמרי, או </w:t>
      </w:r>
      <w:proofErr w:type="spellStart"/>
      <w:r>
        <w:rPr>
          <w:rtl/>
        </w:rPr>
        <w:t>שהיקסמותו</w:t>
      </w:r>
      <w:proofErr w:type="spellEnd"/>
      <w:r>
        <w:rPr>
          <w:rtl/>
        </w:rPr>
        <w:t xml:space="preserve"> מגאונות</w:t>
      </w:r>
      <w:bookmarkStart w:id="5992" w:name="_fnr4532"/>
      <w:r>
        <w:rPr>
          <w:rStyle w:val="a5"/>
        </w:rPr>
        <w:footnoteReference w:id="4543" w:customMarkFollows="0"/>
      </w:r>
      <w:bookmarkEnd w:id="5992"/>
      <w:r>
        <w:rPr>
          <w:rtl/>
        </w:rPr>
        <w:t xml:space="preserve"> ביטלה אצלו את כל שיקולי הזהירות. מכל מקום, ברב </w:t>
      </w:r>
      <w:proofErr w:type="spellStart"/>
      <w:r>
        <w:rPr>
          <w:rtl/>
        </w:rPr>
        <w:t>גבורין</w:t>
      </w:r>
      <w:proofErr w:type="spellEnd"/>
      <w:r>
        <w:rPr>
          <w:rtl/>
        </w:rPr>
        <w:t xml:space="preserve"> לא טעה – השווה הערה </w:t>
      </w:r>
      <w:r>
        <w:rPr>
          <w:rtl/>
        </w:rPr>
        <w:fldChar w:fldCharType="begin" w:dirty="true"/>
      </w:r>
      <w:r>
        <w:rPr>
          <w:rtl/>
        </w:rPr>
        <w:instrText xml:space="preserve"> REF b5_note54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54</w:t>
      </w:r>
      <w:r>
        <w:rPr>
          <w:rtl/>
        </w:rPr>
        <w:fldChar w:fldCharType="end"/>
      </w:r>
      <w:r>
        <w:rPr>
          <w:rtl/>
        </w:rPr>
        <w:t xml:space="preserve"> להלן.</w:t>
      </w:r>
    </w:p>
    <w:p w14:paraId="58BE64C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המשלחת הייתה בשלבי הארגון האחרונים, כשישב הסבא עם אורחו ליד שולחן השבת, יחד עם כמה תלמידים מבוגרים ועם חתנו ר׳ אייזיק שר. ר׳ אייזיק העיר לסבא </w:t>
      </w:r>
      <w:proofErr w:type="spellStart"/>
      <w:r>
        <w:rPr>
          <w:rtl/>
        </w:rPr>
        <w:t>שהדולהינובר</w:t>
      </w:r>
      <w:proofErr w:type="spellEnd"/>
      <w:r>
        <w:rPr>
          <w:rtl/>
        </w:rPr>
        <w:t xml:space="preserve"> הצעיר המצטיין מסתובב לאחרונה בבית המדרש ומבזבז את זמנו. השיחה פנתה אחר כך לעניינים אחרים, ועד מהרה בירכו ברכת המזון. מיד אחריה ביקש הסבא רשות, קם מן השולחן ונכנס לבית המדרש.</w:t>
      </w:r>
    </w:p>
    <w:p w14:paraId="1B2E1C90" w14:textId="6796E61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האורח ניצל את היעדרו של מארחו ושאל את ר׳ אייזיק מיהו </w:t>
      </w:r>
      <w:proofErr w:type="spellStart"/>
      <w:r>
        <w:rPr>
          <w:rtl/>
        </w:rPr>
        <w:t>הדולהינובר</w:t>
      </w:r>
      <w:proofErr w:type="spellEnd"/>
      <w:r>
        <w:rPr>
          <w:rtl/>
        </w:rPr>
        <w:t xml:space="preserve"> שהוזכר קודם לכן ליד השולחן. ר׳ אייזיק השיב שאם ייכנס מיד לבית המדרש, יראה את הסבא משוחח עם בחור מרכיב משקפיים – זה </w:t>
      </w:r>
      <w:proofErr w:type="spellStart"/>
      <w:r>
        <w:rPr>
          <w:rtl/>
        </w:rPr>
        <w:t>הדולהינובר</w:t>
      </w:r>
      <w:proofErr w:type="spellEnd"/>
      <w:r>
        <w:rPr>
          <w:rtl/>
        </w:rPr>
        <w:t xml:space="preserve"> שדיברו עליו</w:t>
      </w:r>
      <w:bookmarkStart w:id="5993" w:name="b5_ref39"/>
      <w:bookmarkEnd w:id="5993"/>
      <w:r>
        <w:rPr>
          <w:vertAlign w:val="superscript"/>
          <w:rtl/>
        </w:rPr>
        <w:fldChar w:fldCharType="begin" w:dirty="true"/>
      </w:r>
      <w:r>
        <w:rPr>
          <w:vertAlign w:val="superscript"/>
          <w:rtl/>
        </w:rPr>
        <w:instrText xml:space="preserve"> REF b5_note39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39</w:t>
      </w:r>
      <w:r>
        <w:rPr>
          <w:vertAlign w:val="superscript"/>
          <w:rtl/>
        </w:rPr>
        <w:fldChar w:fldCharType="end"/>
      </w:r>
      <w:r>
        <w:rPr>
          <w:rtl/>
        </w:rPr>
        <w:t>. כעבור זמן קצר חזר הסבא להמשיך לארח את אורחו הנכבד, ואמר: “זה עתה גייסתי לישיבתך תלמיד צעיר מצוין”.</w:t>
      </w:r>
    </w:p>
    <w:bookmarkStart w:id="5994" w:name="b5_note39"/>
    <w:p w14:paraId="530A7F1A" w14:textId="77777777" w:rsidR="00AB3647" w:rsidRDefault="00000000" w:rsidP="007923E9">
      <w:pPr>
        <w:spacing w:before="120" w:after="100" w:line="276" w:lineRule="auto"/>
        <w:jc w:val="both"/>
      </w:pPr>
      <w:r>
        <w:lastRenderedPageBreak/>
        <w:fldChar w:fldCharType="begin" w:dirty="true"/>
      </w:r>
      <w:r>
        <w:instrText>HYPERLINK \l "b5_ref39"</w:instrText>
      </w:r>
      <w:r>
        <w:fldChar w:fldCharType="separate"/>
      </w:r>
      <w:r>
        <w:rPr>
          <w:b/>
          <w:bCs/>
          <w:rtl/>
        </w:rPr>
        <w:t>39</w:t>
      </w:r>
      <w:r>
        <w:rPr>
          <w:b/>
          <w:bCs/>
        </w:rPr>
        <w:fldChar w:fldCharType="end"/>
      </w:r>
      <w:bookmarkEnd w:id="5994"/>
      <w:r>
        <w:rPr>
          <w:rtl/>
        </w:rPr>
        <w:t xml:space="preserve"> אבי סיפר מעשה זה לנכדו ר׳ יצחק </w:t>
      </w:r>
      <w:proofErr w:type="spellStart"/>
      <w:r>
        <w:rPr>
          <w:rtl/>
        </w:rPr>
        <w:t>שורין</w:t>
      </w:r>
      <w:proofErr w:type="spellEnd"/>
      <w:r>
        <w:rPr>
          <w:rtl/>
        </w:rPr>
        <w:t>, כשזה שאל אותו אם עילוי יכול להיות חריג</w:t>
      </w:r>
      <w:bookmarkStart w:id="5995" w:name="_fnr4533"/>
      <w:r>
        <w:rPr>
          <w:rStyle w:val="a5"/>
        </w:rPr>
        <w:footnoteReference w:id="4544" w:customMarkFollows="0"/>
      </w:r>
      <w:bookmarkEnd w:id="5995"/>
      <w:r>
        <w:rPr>
          <w:rtl/>
        </w:rPr>
        <w:t>. את מה שהתרחש ליד שולחן הסבא גילה ר׳ אייזיק לרבנו שנים רבות אחר כך. אבי ציין גם שמעשי הסבא הוכיחו הן את זריזותו לפעול מיד כשנודע לו על בעיה, הן את דאגתו לכל בחור. ענוותנותו של אבי מנעה ממנו לשער שאולי היה מושא ל</w:t>
      </w:r>
      <w:r>
        <w:rPr>
          <w:b/>
          <w:bCs/>
          <w:rtl/>
        </w:rPr>
        <w:t>התעניינותו ולדאגתו המיוחדת</w:t>
      </w:r>
      <w:r>
        <w:rPr>
          <w:rtl/>
        </w:rPr>
        <w:t xml:space="preserve"> של הסבא. ר׳ אייזיק היה בטוח כל כך במידות אלה של חותנו, עד שיכול היה לומר לאורח בדיוק מה יעשה הסבא מיד אחרי הסעודה.</w:t>
      </w:r>
    </w:p>
    <w:p w14:paraId="54BAEA87" w14:textId="7A62BFD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הקבוצה, ובה אבי, יצאה </w:t>
      </w:r>
      <w:proofErr w:type="spellStart"/>
      <w:r>
        <w:rPr>
          <w:rtl/>
        </w:rPr>
        <w:t>למאלטש</w:t>
      </w:r>
      <w:proofErr w:type="spellEnd"/>
      <w:r>
        <w:rPr>
          <w:rtl/>
        </w:rPr>
        <w:t xml:space="preserve"> אחרי סוכות תרס״ח. התלמידים נהנו ללמוד אצל ר׳ </w:t>
      </w:r>
      <w:proofErr w:type="spellStart"/>
      <w:r>
        <w:rPr>
          <w:rtl/>
        </w:rPr>
        <w:t>דוד־טעביל</w:t>
      </w:r>
      <w:proofErr w:type="spellEnd"/>
      <w:r>
        <w:rPr>
          <w:rtl/>
        </w:rPr>
        <w:t>, שכן מלבד למדנותו הגדולה ומוחו המבריק</w:t>
      </w:r>
      <w:bookmarkStart w:id="5996" w:name="b5_ref40"/>
      <w:bookmarkEnd w:id="5996"/>
      <w:r>
        <w:rPr>
          <w:vertAlign w:val="superscript"/>
          <w:rtl/>
        </w:rPr>
        <w:fldChar w:fldCharType="begin" w:dirty="true"/>
      </w:r>
      <w:r>
        <w:rPr>
          <w:vertAlign w:val="superscript"/>
          <w:rtl/>
        </w:rPr>
        <w:instrText xml:space="preserve"> REF b5_note40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40</w:t>
      </w:r>
      <w:r>
        <w:rPr>
          <w:vertAlign w:val="superscript"/>
          <w:rtl/>
        </w:rPr>
        <w:fldChar w:fldCharType="end"/>
      </w:r>
      <w:r>
        <w:rPr>
          <w:rtl/>
        </w:rPr>
        <w:t xml:space="preserve"> הוא היה בעל אישיות מעוררת השראה, וחינוכו בקלם</w:t>
      </w:r>
      <w:bookmarkStart w:id="5997" w:name="b5_ref41"/>
      <w:bookmarkEnd w:id="5997"/>
      <w:r>
        <w:rPr>
          <w:vertAlign w:val="superscript"/>
          <w:rtl/>
        </w:rPr>
        <w:fldChar w:fldCharType="begin" w:dirty="true"/>
      </w:r>
      <w:r>
        <w:rPr>
          <w:vertAlign w:val="superscript"/>
          <w:rtl/>
        </w:rPr>
        <w:instrText xml:space="preserve"> REF b5_note41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41</w:t>
      </w:r>
      <w:r>
        <w:rPr>
          <w:vertAlign w:val="superscript"/>
          <w:rtl/>
        </w:rPr>
        <w:fldChar w:fldCharType="end"/>
      </w:r>
      <w:r>
        <w:rPr>
          <w:rtl/>
        </w:rPr>
        <w:t xml:space="preserve"> ניכר בכל מעשיו</w:t>
      </w:r>
      <w:bookmarkStart w:id="5998" w:name="b5_ref42"/>
      <w:bookmarkEnd w:id="5998"/>
      <w:r>
        <w:rPr>
          <w:vertAlign w:val="superscript"/>
          <w:rtl/>
        </w:rPr>
        <w:fldChar w:fldCharType="begin" w:dirty="true"/>
      </w:r>
      <w:r>
        <w:rPr>
          <w:vertAlign w:val="superscript"/>
          <w:rtl/>
        </w:rPr>
        <w:instrText xml:space="preserve"> REF b5_note42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42</w:t>
      </w:r>
      <w:r>
        <w:rPr>
          <w:vertAlign w:val="superscript"/>
          <w:rtl/>
        </w:rPr>
        <w:fldChar w:fldCharType="end"/>
      </w:r>
      <w:r>
        <w:rPr>
          <w:rtl/>
        </w:rPr>
        <w:t>. הוא נהג כבוד בלתי רגיל בכל אדם, אפילו בצעיר תלמידיו</w:t>
      </w:r>
      <w:bookmarkStart w:id="5999" w:name="b5_ref43"/>
      <w:bookmarkEnd w:id="5999"/>
      <w:r>
        <w:rPr>
          <w:vertAlign w:val="superscript"/>
          <w:rtl/>
        </w:rPr>
        <w:fldChar w:fldCharType="begin" w:dirty="true"/>
      </w:r>
      <w:r>
        <w:rPr>
          <w:vertAlign w:val="superscript"/>
          <w:rtl/>
        </w:rPr>
        <w:instrText xml:space="preserve"> REF b5_note43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43</w:t>
      </w:r>
      <w:r>
        <w:rPr>
          <w:vertAlign w:val="superscript"/>
          <w:rtl/>
        </w:rPr>
        <w:fldChar w:fldCharType="end"/>
      </w:r>
      <w:r>
        <w:rPr>
          <w:rtl/>
        </w:rPr>
        <w:t>. היה לו קול זמרה יפה ונפש של משורר</w:t>
      </w:r>
      <w:bookmarkStart w:id="6000" w:name="b5_ref44"/>
      <w:bookmarkEnd w:id="6000"/>
      <w:r>
        <w:rPr>
          <w:vertAlign w:val="superscript"/>
          <w:rtl/>
        </w:rPr>
        <w:fldChar w:fldCharType="begin" w:dirty="true"/>
      </w:r>
      <w:r>
        <w:rPr>
          <w:vertAlign w:val="superscript"/>
          <w:rtl/>
        </w:rPr>
        <w:instrText xml:space="preserve"> REF b5_note44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44</w:t>
      </w:r>
      <w:r>
        <w:rPr>
          <w:vertAlign w:val="superscript"/>
          <w:rtl/>
        </w:rPr>
        <w:fldChar w:fldCharType="end"/>
      </w:r>
      <w:r>
        <w:rPr>
          <w:rtl/>
        </w:rPr>
        <w:t>. הוא ידע את כל התנ״ך בעל פה</w:t>
      </w:r>
      <w:bookmarkStart w:id="6001" w:name="b5_ref45"/>
      <w:bookmarkEnd w:id="6001"/>
      <w:r>
        <w:rPr>
          <w:vertAlign w:val="superscript"/>
          <w:rtl/>
        </w:rPr>
        <w:fldChar w:fldCharType="begin" w:dirty="true"/>
      </w:r>
      <w:r>
        <w:rPr>
          <w:vertAlign w:val="superscript"/>
          <w:rtl/>
        </w:rPr>
        <w:instrText xml:space="preserve"> REF b5_note45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45</w:t>
      </w:r>
      <w:r>
        <w:rPr>
          <w:vertAlign w:val="superscript"/>
          <w:rtl/>
        </w:rPr>
        <w:fldChar w:fldCharType="end"/>
      </w:r>
      <w:r>
        <w:rPr>
          <w:rtl/>
        </w:rPr>
        <w:t>, והייתה לו ידיעה רחבה במאמרי חז״ל ובמדרשים. הוא לא אהב “לדבר בלימוד”, מפני שכבעל מוסר חשש שמא יסטה מן האמת כשיעמוד על דעתו</w:t>
      </w:r>
      <w:bookmarkStart w:id="6002" w:name="b5_ref46"/>
      <w:bookmarkEnd w:id="6002"/>
      <w:r>
        <w:rPr>
          <w:vertAlign w:val="superscript"/>
          <w:rtl/>
        </w:rPr>
        <w:fldChar w:fldCharType="begin" w:dirty="true"/>
      </w:r>
      <w:r>
        <w:rPr>
          <w:vertAlign w:val="superscript"/>
          <w:rtl/>
        </w:rPr>
        <w:instrText xml:space="preserve"> REF b5_note46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46</w:t>
      </w:r>
      <w:r>
        <w:rPr>
          <w:vertAlign w:val="superscript"/>
          <w:rtl/>
        </w:rPr>
        <w:fldChar w:fldCharType="end"/>
      </w:r>
      <w:r>
        <w:rPr>
          <w:rtl/>
        </w:rPr>
        <w:t>, וכשהיה מוסר מפעם לפעם שיחת מוסר, לא הרגיש כיצד הזמן חולף</w:t>
      </w:r>
      <w:bookmarkStart w:id="6003" w:name="b5_ref47"/>
      <w:bookmarkEnd w:id="6003"/>
      <w:r>
        <w:rPr>
          <w:vertAlign w:val="superscript"/>
          <w:rtl/>
        </w:rPr>
        <w:fldChar w:fldCharType="begin" w:dirty="true"/>
      </w:r>
      <w:r>
        <w:rPr>
          <w:vertAlign w:val="superscript"/>
          <w:rtl/>
        </w:rPr>
        <w:instrText xml:space="preserve"> REF b5_note47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47</w:t>
      </w:r>
      <w:r>
        <w:rPr>
          <w:vertAlign w:val="superscript"/>
          <w:rtl/>
        </w:rPr>
        <w:fldChar w:fldCharType="end"/>
      </w:r>
      <w:r>
        <w:rPr>
          <w:rtl/>
        </w:rPr>
        <w:t>.</w:t>
      </w:r>
    </w:p>
    <w:bookmarkStart w:id="6004" w:name="b5_note40"/>
    <w:p w14:paraId="21C40DF8" w14:textId="77777777" w:rsidR="00AB3647" w:rsidRDefault="00000000" w:rsidP="007923E9">
      <w:pPr>
        <w:spacing w:before="120" w:after="100" w:line="276" w:lineRule="auto"/>
        <w:jc w:val="both"/>
      </w:pPr>
      <w:r>
        <w:fldChar w:fldCharType="begin" w:dirty="true"/>
      </w:r>
      <w:r>
        <w:instrText>HYPERLINK \l "b5_ref40"</w:instrText>
      </w:r>
      <w:r>
        <w:fldChar w:fldCharType="separate"/>
      </w:r>
      <w:r>
        <w:rPr>
          <w:b/>
          <w:bCs/>
          <w:rtl/>
        </w:rPr>
        <w:t>40</w:t>
      </w:r>
      <w:r>
        <w:rPr>
          <w:b/>
          <w:bCs/>
        </w:rPr>
        <w:fldChar w:fldCharType="end"/>
      </w:r>
      <w:bookmarkEnd w:id="6004"/>
      <w:r>
        <w:rPr>
          <w:rtl/>
        </w:rPr>
        <w:t xml:space="preserve"> הוא היה גאון מוכר, </w:t>
      </w:r>
      <w:proofErr w:type="spellStart"/>
      <w:r>
        <w:rPr>
          <w:rtl/>
        </w:rPr>
        <w:t>שהחפץ־חיים</w:t>
      </w:r>
      <w:proofErr w:type="spellEnd"/>
      <w:r>
        <w:rPr>
          <w:rtl/>
        </w:rPr>
        <w:t xml:space="preserve"> היה קם לכבודו – כך לפי נכדתו תמר </w:t>
      </w:r>
      <w:proofErr w:type="spellStart"/>
      <w:r>
        <w:rPr>
          <w:rtl/>
        </w:rPr>
        <w:t>קיל</w:t>
      </w:r>
      <w:bookmarkStart w:id="6005" w:name="_fnr4534"/>
      <w:proofErr w:type="spellEnd"/>
      <w:r>
        <w:rPr>
          <w:rStyle w:val="a5"/>
        </w:rPr>
        <w:footnoteReference w:id="4545" w:customMarkFollows="0"/>
      </w:r>
      <w:bookmarkEnd w:id="6005"/>
      <w:r>
        <w:rPr>
          <w:rtl/>
        </w:rPr>
        <w:t xml:space="preserve">. </w:t>
      </w:r>
      <w:proofErr w:type="spellStart"/>
      <w:r>
        <w:rPr>
          <w:rtl/>
        </w:rPr>
        <w:t>החפץ־חיים</w:t>
      </w:r>
      <w:proofErr w:type="spellEnd"/>
      <w:r>
        <w:rPr>
          <w:rtl/>
        </w:rPr>
        <w:t xml:space="preserve"> היה חמיה של גיסתו: אשת הרב </w:t>
      </w:r>
      <w:proofErr w:type="spellStart"/>
      <w:r>
        <w:rPr>
          <w:rtl/>
        </w:rPr>
        <w:t>דינובסקי</w:t>
      </w:r>
      <w:proofErr w:type="spellEnd"/>
      <w:r>
        <w:rPr>
          <w:rtl/>
        </w:rPr>
        <w:t xml:space="preserve"> הייתה אחותה הצעירה של אשת ר׳ </w:t>
      </w:r>
      <w:proofErr w:type="spellStart"/>
      <w:r>
        <w:rPr>
          <w:rtl/>
        </w:rPr>
        <w:t>אריה־לייב</w:t>
      </w:r>
      <w:proofErr w:type="spellEnd"/>
      <w:r>
        <w:rPr>
          <w:rtl/>
        </w:rPr>
        <w:t xml:space="preserve"> </w:t>
      </w:r>
      <w:proofErr w:type="spellStart"/>
      <w:r>
        <w:rPr>
          <w:rtl/>
        </w:rPr>
        <w:t>פופקו</w:t>
      </w:r>
      <w:proofErr w:type="spellEnd"/>
      <w:r>
        <w:rPr>
          <w:rtl/>
        </w:rPr>
        <w:t xml:space="preserve">, בנו הבכור של </w:t>
      </w:r>
      <w:proofErr w:type="spellStart"/>
      <w:r>
        <w:rPr>
          <w:rtl/>
        </w:rPr>
        <w:t>החפץ־חיים</w:t>
      </w:r>
      <w:bookmarkStart w:id="6006" w:name="_fnr4535"/>
      <w:proofErr w:type="spellEnd"/>
      <w:r>
        <w:rPr>
          <w:rStyle w:val="a5"/>
        </w:rPr>
        <w:footnoteReference w:id="4546" w:customMarkFollows="0"/>
      </w:r>
      <w:bookmarkEnd w:id="6006"/>
      <w:r>
        <w:rPr>
          <w:rtl/>
        </w:rPr>
        <w:t>.</w:t>
      </w:r>
    </w:p>
    <w:p w14:paraId="79589D29" w14:textId="77777777" w:rsidR="00AB3647" w:rsidRDefault="00000000" w:rsidP="007923E9">
      <w:pPr>
        <w:spacing w:before="120" w:after="100" w:line="276" w:lineRule="auto"/>
        <w:jc w:val="both"/>
      </w:pPr>
      <w:r>
        <w:rPr>
          <w:rtl/>
        </w:rPr>
        <w:t>ר׳ שרגא אברמסון</w:t>
      </w:r>
      <w:bookmarkStart w:id="6007" w:name="_fnr4536"/>
      <w:r>
        <w:rPr>
          <w:rStyle w:val="a5"/>
        </w:rPr>
        <w:footnoteReference w:id="4547" w:customMarkFollows="0"/>
      </w:r>
      <w:bookmarkEnd w:id="6007"/>
      <w:r>
        <w:rPr>
          <w:rtl/>
        </w:rPr>
        <w:t xml:space="preserve"> סיפר: “בעקבות הטלטלה שחוללה מלחמת העולם הראשונה הצטמצמה האוכלוסייה היהודית </w:t>
      </w:r>
      <w:proofErr w:type="spellStart"/>
      <w:r>
        <w:rPr>
          <w:rtl/>
        </w:rPr>
        <w:t>במאלטש</w:t>
      </w:r>
      <w:proofErr w:type="spellEnd"/>
      <w:r>
        <w:rPr>
          <w:rtl/>
        </w:rPr>
        <w:t xml:space="preserve">, ובערך </w:t>
      </w:r>
      <w:proofErr w:type="spellStart"/>
      <w:r>
        <w:rPr>
          <w:rtl/>
        </w:rPr>
        <w:t>בתרפ״א</w:t>
      </w:r>
      <w:proofErr w:type="spellEnd"/>
      <w:r>
        <w:rPr>
          <w:rtl/>
        </w:rPr>
        <w:t xml:space="preserve"> קיבל ר׳ </w:t>
      </w:r>
      <w:proofErr w:type="spellStart"/>
      <w:r>
        <w:rPr>
          <w:rtl/>
        </w:rPr>
        <w:t>דוד־טעביל</w:t>
      </w:r>
      <w:proofErr w:type="spellEnd"/>
      <w:r>
        <w:rPr>
          <w:rtl/>
        </w:rPr>
        <w:t xml:space="preserve"> את רבנות </w:t>
      </w:r>
      <w:proofErr w:type="spellStart"/>
      <w:r>
        <w:rPr>
          <w:rtl/>
        </w:rPr>
        <w:t>פיונטניצה</w:t>
      </w:r>
      <w:proofErr w:type="spellEnd"/>
      <w:r>
        <w:rPr>
          <w:rtl/>
        </w:rPr>
        <w:t xml:space="preserve">, עיירה במרחק שני קילומטרים </w:t>
      </w:r>
      <w:proofErr w:type="spellStart"/>
      <w:r>
        <w:rPr>
          <w:rtl/>
        </w:rPr>
        <w:t>מלומז׳ה</w:t>
      </w:r>
      <w:proofErr w:type="spellEnd"/>
      <w:r>
        <w:rPr>
          <w:rtl/>
        </w:rPr>
        <w:t xml:space="preserve">. </w:t>
      </w:r>
      <w:proofErr w:type="spellStart"/>
      <w:r>
        <w:rPr>
          <w:rtl/>
        </w:rPr>
        <w:t>בתרפ״ו</w:t>
      </w:r>
      <w:proofErr w:type="spellEnd"/>
      <w:r>
        <w:rPr>
          <w:rtl/>
        </w:rPr>
        <w:t xml:space="preserve"> הוצעה רבנות </w:t>
      </w:r>
      <w:proofErr w:type="spellStart"/>
      <w:r>
        <w:rPr>
          <w:rtl/>
        </w:rPr>
        <w:t>לומז׳ה</w:t>
      </w:r>
      <w:proofErr w:type="spellEnd"/>
      <w:r>
        <w:rPr>
          <w:rtl/>
        </w:rPr>
        <w:t xml:space="preserve"> לחכם ר׳ </w:t>
      </w:r>
      <w:proofErr w:type="spellStart"/>
      <w:r>
        <w:rPr>
          <w:rtl/>
        </w:rPr>
        <w:t>ארצ׳יק</w:t>
      </w:r>
      <w:proofErr w:type="spellEnd"/>
      <w:r>
        <w:rPr>
          <w:rtl/>
        </w:rPr>
        <w:t xml:space="preserve"> בקשט</w:t>
      </w:r>
      <w:bookmarkStart w:id="6008" w:name="_fnr4537"/>
      <w:r>
        <w:rPr>
          <w:rStyle w:val="a5"/>
        </w:rPr>
        <w:footnoteReference w:id="4548" w:customMarkFollows="0"/>
      </w:r>
      <w:bookmarkEnd w:id="6008"/>
      <w:r>
        <w:rPr>
          <w:rtl/>
        </w:rPr>
        <w:t xml:space="preserve">, תלמיד קלם כרב </w:t>
      </w:r>
      <w:proofErr w:type="spellStart"/>
      <w:r>
        <w:rPr>
          <w:rtl/>
        </w:rPr>
        <w:t>דינובסקי</w:t>
      </w:r>
      <w:proofErr w:type="spellEnd"/>
      <w:r>
        <w:rPr>
          <w:rtl/>
        </w:rPr>
        <w:t xml:space="preserve"> אך צעיר ממנו בשנים אחדות</w:t>
      </w:r>
      <w:bookmarkStart w:id="6009" w:name="_fnr4538"/>
      <w:r>
        <w:rPr>
          <w:rStyle w:val="a5"/>
        </w:rPr>
        <w:footnoteReference w:id="4549" w:customMarkFollows="0"/>
      </w:r>
      <w:bookmarkEnd w:id="6009"/>
      <w:r>
        <w:rPr>
          <w:rtl/>
        </w:rPr>
        <w:t xml:space="preserve">, והוא הכריז: ‘כיצד אוכל להיות רב בעיר הגדולה </w:t>
      </w:r>
      <w:proofErr w:type="spellStart"/>
      <w:r>
        <w:rPr>
          <w:rtl/>
        </w:rPr>
        <w:t>לומז׳ה</w:t>
      </w:r>
      <w:proofErr w:type="spellEnd"/>
      <w:r>
        <w:rPr>
          <w:rtl/>
        </w:rPr>
        <w:t xml:space="preserve">, כשבפרוור הזעיר </w:t>
      </w:r>
      <w:proofErr w:type="spellStart"/>
      <w:r>
        <w:rPr>
          <w:rtl/>
        </w:rPr>
        <w:t>פיונטניצה</w:t>
      </w:r>
      <w:proofErr w:type="spellEnd"/>
      <w:r>
        <w:rPr>
          <w:rtl/>
        </w:rPr>
        <w:t xml:space="preserve"> יושב גאון כר׳ </w:t>
      </w:r>
      <w:proofErr w:type="spellStart"/>
      <w:r>
        <w:rPr>
          <w:rtl/>
        </w:rPr>
        <w:t>דוד־טעביל</w:t>
      </w:r>
      <w:proofErr w:type="spellEnd"/>
      <w:r>
        <w:rPr>
          <w:rtl/>
        </w:rPr>
        <w:t xml:space="preserve"> </w:t>
      </w:r>
      <w:proofErr w:type="spellStart"/>
      <w:r>
        <w:rPr>
          <w:rtl/>
        </w:rPr>
        <w:t>דינובסקי</w:t>
      </w:r>
      <w:proofErr w:type="spellEnd"/>
      <w:r>
        <w:rPr>
          <w:rtl/>
        </w:rPr>
        <w:t xml:space="preserve">?!’ לפני שהסכים לקבל את הרבנות </w:t>
      </w:r>
      <w:proofErr w:type="spellStart"/>
      <w:r>
        <w:rPr>
          <w:rtl/>
        </w:rPr>
        <w:t>בלומז׳ה</w:t>
      </w:r>
      <w:proofErr w:type="spellEnd"/>
      <w:r>
        <w:rPr>
          <w:rtl/>
        </w:rPr>
        <w:t xml:space="preserve">, היה צריך ר׳ </w:t>
      </w:r>
      <w:proofErr w:type="spellStart"/>
      <w:r>
        <w:rPr>
          <w:rtl/>
        </w:rPr>
        <w:t>ארצ׳יק</w:t>
      </w:r>
      <w:proofErr w:type="spellEnd"/>
      <w:r>
        <w:rPr>
          <w:rtl/>
        </w:rPr>
        <w:t xml:space="preserve"> בקשט לקבל אישור שר׳ </w:t>
      </w:r>
      <w:proofErr w:type="spellStart"/>
      <w:r>
        <w:rPr>
          <w:rtl/>
        </w:rPr>
        <w:t>דוד־טעביל</w:t>
      </w:r>
      <w:proofErr w:type="spellEnd"/>
      <w:r>
        <w:rPr>
          <w:rtl/>
        </w:rPr>
        <w:t xml:space="preserve"> שמח שיכהן כרב בעיר הגדולה הסמוכה. כשדרש הרב </w:t>
      </w:r>
      <w:proofErr w:type="spellStart"/>
      <w:r>
        <w:rPr>
          <w:rtl/>
        </w:rPr>
        <w:t>דינובסקי</w:t>
      </w:r>
      <w:proofErr w:type="spellEnd"/>
      <w:r>
        <w:rPr>
          <w:rtl/>
        </w:rPr>
        <w:t xml:space="preserve"> לפני קהילתו את הדרשות המסורתיות של שבת הגדול ושבת שובה, דיבר שעות – הוא היה מעיין המתגבר ממש. בעלי הבתים של </w:t>
      </w:r>
      <w:proofErr w:type="spellStart"/>
      <w:r>
        <w:rPr>
          <w:rtl/>
        </w:rPr>
        <w:t>פיונטניצה</w:t>
      </w:r>
      <w:proofErr w:type="spellEnd"/>
      <w:r>
        <w:rPr>
          <w:rtl/>
        </w:rPr>
        <w:t xml:space="preserve"> לא היו מסוגלים להעריכו: לא היו מבינים אותו גם אילו דיבר חצי שעה בלבד, כל שכן שעות. ראש ישיבתנו, ר׳ </w:t>
      </w:r>
      <w:proofErr w:type="spellStart"/>
      <w:r>
        <w:rPr>
          <w:rtl/>
        </w:rPr>
        <w:t>יחיאל־מרדכי</w:t>
      </w:r>
      <w:proofErr w:type="spellEnd"/>
      <w:r>
        <w:rPr>
          <w:rtl/>
        </w:rPr>
        <w:t xml:space="preserve"> גורדון, כיבדו בהזמנה למסור שיעור בישיבת </w:t>
      </w:r>
      <w:proofErr w:type="spellStart"/>
      <w:r>
        <w:rPr>
          <w:rtl/>
        </w:rPr>
        <w:t>לומז׳ה</w:t>
      </w:r>
      <w:proofErr w:type="spellEnd"/>
      <w:r>
        <w:rPr>
          <w:rtl/>
        </w:rPr>
        <w:t xml:space="preserve"> פעם בכל זמן. אני זוכר שפעם סיים שיעור על המשנה </w:t>
      </w:r>
      <w:r>
        <w:rPr>
          <w:rtl/>
        </w:rPr>
        <w:lastRenderedPageBreak/>
        <w:t>במסכת בבא מציעא</w:t>
      </w:r>
      <w:bookmarkStart w:id="6010" w:name="_fnr4539"/>
      <w:r>
        <w:rPr>
          <w:rStyle w:val="a5"/>
        </w:rPr>
        <w:footnoteReference w:id="4550" w:customMarkFollows="0"/>
      </w:r>
      <w:bookmarkEnd w:id="6010"/>
      <w:r>
        <w:rPr>
          <w:rtl/>
        </w:rPr>
        <w:t>, בדבר פרה רצה בין הכרמים, בלקח מוסרי לנו התלמידים, והזהירנו מפני ‘ריצה כבהמות חסרות רסן בין הנאות העולם’”.</w:t>
      </w:r>
    </w:p>
    <w:bookmarkStart w:id="6011" w:name="b5_note41"/>
    <w:p w14:paraId="57922554" w14:textId="77777777" w:rsidR="00AB3647" w:rsidRDefault="00000000" w:rsidP="007923E9">
      <w:pPr>
        <w:spacing w:before="120" w:after="100" w:line="276" w:lineRule="auto"/>
        <w:jc w:val="both"/>
      </w:pPr>
      <w:r>
        <w:fldChar w:fldCharType="begin" w:dirty="true"/>
      </w:r>
      <w:r>
        <w:instrText>HYPERLINK \l "b5_ref41"</w:instrText>
      </w:r>
      <w:r>
        <w:fldChar w:fldCharType="separate"/>
      </w:r>
      <w:r>
        <w:rPr>
          <w:b/>
          <w:bCs/>
          <w:rtl/>
        </w:rPr>
        <w:t>41</w:t>
      </w:r>
      <w:r>
        <w:rPr>
          <w:b/>
          <w:bCs/>
        </w:rPr>
        <w:fldChar w:fldCharType="end"/>
      </w:r>
      <w:bookmarkEnd w:id="6011"/>
      <w:r>
        <w:rPr>
          <w:rtl/>
        </w:rPr>
        <w:t xml:space="preserve"> ראה סוף ההערה הבאה.</w:t>
      </w:r>
    </w:p>
    <w:bookmarkStart w:id="6012" w:name="b5_note42"/>
    <w:p w14:paraId="1CAEF60A" w14:textId="77777777" w:rsidR="00AB3647" w:rsidRDefault="00000000" w:rsidP="007923E9">
      <w:pPr>
        <w:spacing w:before="120" w:after="100" w:line="276" w:lineRule="auto"/>
        <w:jc w:val="both"/>
      </w:pPr>
      <w:r>
        <w:fldChar w:fldCharType="begin" w:dirty="true"/>
      </w:r>
      <w:r>
        <w:instrText>HYPERLINK \l "b5_ref42"</w:instrText>
      </w:r>
      <w:r>
        <w:fldChar w:fldCharType="separate"/>
      </w:r>
      <w:r>
        <w:rPr>
          <w:b/>
          <w:bCs/>
          <w:rtl/>
        </w:rPr>
        <w:t>42</w:t>
      </w:r>
      <w:r>
        <w:rPr>
          <w:b/>
          <w:bCs/>
        </w:rPr>
        <w:fldChar w:fldCharType="end"/>
      </w:r>
      <w:bookmarkEnd w:id="6012"/>
      <w:r>
        <w:rPr>
          <w:rtl/>
        </w:rPr>
        <w:t xml:space="preserve"> לפי תמר </w:t>
      </w:r>
      <w:proofErr w:type="spellStart"/>
      <w:r>
        <w:rPr>
          <w:rtl/>
        </w:rPr>
        <w:t>קיל</w:t>
      </w:r>
      <w:proofErr w:type="spellEnd"/>
      <w:r>
        <w:rPr>
          <w:rtl/>
        </w:rPr>
        <w:t xml:space="preserve">, סבה ר׳ </w:t>
      </w:r>
      <w:proofErr w:type="spellStart"/>
      <w:r>
        <w:rPr>
          <w:rtl/>
        </w:rPr>
        <w:t>דוד־טעביל</w:t>
      </w:r>
      <w:proofErr w:type="spellEnd"/>
      <w:r>
        <w:rPr>
          <w:rtl/>
        </w:rPr>
        <w:t xml:space="preserve">, שנתחנך </w:t>
      </w:r>
      <w:proofErr w:type="spellStart"/>
      <w:r>
        <w:rPr>
          <w:rtl/>
        </w:rPr>
        <w:t>בקלם</w:t>
      </w:r>
      <w:proofErr w:type="spellEnd"/>
      <w:r>
        <w:rPr>
          <w:rtl/>
        </w:rPr>
        <w:t xml:space="preserve"> – ששם היה האידיאל להצמיח בעלי בתים שהם גם בעלי מוסר – רצה להיות מנהל חשבונות, ואף השלים את הלימודים הנחוצים לכך. אבל </w:t>
      </w:r>
      <w:proofErr w:type="spellStart"/>
      <w:r>
        <w:rPr>
          <w:rtl/>
        </w:rPr>
        <w:t>החפץ־חיים</w:t>
      </w:r>
      <w:bookmarkStart w:id="6013" w:name="_fnr4540"/>
      <w:proofErr w:type="spellEnd"/>
      <w:r>
        <w:rPr>
          <w:rStyle w:val="a5"/>
        </w:rPr>
        <w:footnoteReference w:id="4551" w:customMarkFollows="0"/>
      </w:r>
      <w:bookmarkEnd w:id="6013"/>
      <w:r>
        <w:rPr>
          <w:rtl/>
        </w:rPr>
        <w:t xml:space="preserve"> לא התיר לו להיות אלא רב</w:t>
      </w:r>
      <w:bookmarkStart w:id="6014" w:name="_fnr4541"/>
      <w:r>
        <w:rPr>
          <w:rStyle w:val="a5"/>
        </w:rPr>
        <w:footnoteReference w:id="4552" w:customMarkFollows="0"/>
      </w:r>
      <w:bookmarkEnd w:id="6014"/>
      <w:r>
        <w:rPr>
          <w:rtl/>
        </w:rPr>
        <w:t>.</w:t>
      </w:r>
    </w:p>
    <w:p w14:paraId="7F218E08" w14:textId="77777777" w:rsidR="00AB3647" w:rsidRDefault="00000000" w:rsidP="007923E9">
      <w:pPr>
        <w:spacing w:before="120" w:after="100" w:line="276" w:lineRule="auto"/>
        <w:jc w:val="both"/>
      </w:pPr>
      <w:r>
        <w:rPr>
          <w:rtl/>
        </w:rPr>
        <w:t xml:space="preserve">ר׳ יהושע </w:t>
      </w:r>
      <w:proofErr w:type="spellStart"/>
      <w:r>
        <w:rPr>
          <w:rtl/>
        </w:rPr>
        <w:t>הוטנר</w:t>
      </w:r>
      <w:proofErr w:type="spellEnd"/>
      <w:r>
        <w:rPr>
          <w:rtl/>
        </w:rPr>
        <w:t xml:space="preserve">, שבבית הוריו בוורשה התארח הרב </w:t>
      </w:r>
      <w:proofErr w:type="spellStart"/>
      <w:r>
        <w:rPr>
          <w:rtl/>
        </w:rPr>
        <w:t>דינובסקי</w:t>
      </w:r>
      <w:proofErr w:type="spellEnd"/>
      <w:r>
        <w:rPr>
          <w:rtl/>
        </w:rPr>
        <w:t xml:space="preserve"> מדי שנה בשנים תרפ״ב–תרפ״ה – “בכל פעם שהה חודשיים”, אמר ר׳ יהושע – תיאר אותו כך</w:t>
      </w:r>
      <w:bookmarkStart w:id="6015" w:name="_fnr4542"/>
      <w:r>
        <w:rPr>
          <w:rStyle w:val="a5"/>
        </w:rPr>
        <w:footnoteReference w:id="4553" w:customMarkFollows="0"/>
      </w:r>
      <w:bookmarkEnd w:id="6015"/>
      <w:r>
        <w:rPr>
          <w:rtl/>
        </w:rPr>
        <w:t>: “הוא היה לבוש בגדים מסודרים ואופנתיים, רבניים, אך כאיש קלם שהיה – כובע מגבעת קשיח, צווארון נוקשה ועניבה. בכל יום מימי שהותו היה מגיע לביתנו בשעת ארוחת הערב, ומשוחח עם אבי</w:t>
      </w:r>
      <w:bookmarkStart w:id="6016" w:name="_fnr4543"/>
      <w:r>
        <w:rPr>
          <w:rStyle w:val="a5"/>
        </w:rPr>
        <w:footnoteReference w:id="4554" w:customMarkFollows="0"/>
      </w:r>
      <w:bookmarkEnd w:id="6016"/>
      <w:r>
        <w:rPr>
          <w:rtl/>
        </w:rPr>
        <w:t xml:space="preserve">, שסדר יומו בענייני הרבנות הסתיים אז. כשנכנס הרב </w:t>
      </w:r>
      <w:proofErr w:type="spellStart"/>
      <w:r>
        <w:rPr>
          <w:rtl/>
        </w:rPr>
        <w:t>דינובסקי</w:t>
      </w:r>
      <w:proofErr w:type="spellEnd"/>
      <w:r>
        <w:rPr>
          <w:rtl/>
        </w:rPr>
        <w:t xml:space="preserve"> לבית היה מכריז: ‘עכשיו מעביר אדם את עול דרך ארץ’</w:t>
      </w:r>
      <w:bookmarkStart w:id="6017" w:name="_fnr4544"/>
      <w:r>
        <w:rPr>
          <w:rStyle w:val="a5"/>
        </w:rPr>
        <w:footnoteReference w:id="4555" w:customMarkFollows="0"/>
      </w:r>
      <w:bookmarkEnd w:id="6017"/>
      <w:r>
        <w:rPr>
          <w:rtl/>
        </w:rPr>
        <w:t>, מסיר את צווארונו ומתרווח. הוא הרשים אותי בחנו ובכובד ראשו; והיה מדקדק בכל תנועה, מדקדק עצום”.</w:t>
      </w:r>
    </w:p>
    <w:p w14:paraId="4552D625" w14:textId="77777777" w:rsidR="00AB3647" w:rsidRDefault="00000000" w:rsidP="007923E9">
      <w:pPr>
        <w:spacing w:before="120" w:after="100" w:line="276" w:lineRule="auto"/>
        <w:jc w:val="both"/>
      </w:pPr>
      <w:r>
        <w:rPr>
          <w:rtl/>
        </w:rPr>
        <w:t xml:space="preserve">מעניין שגם רבו </w:t>
      </w:r>
      <w:proofErr w:type="spellStart"/>
      <w:r>
        <w:rPr>
          <w:rtl/>
        </w:rPr>
        <w:t>בקלם</w:t>
      </w:r>
      <w:proofErr w:type="spellEnd"/>
      <w:r>
        <w:rPr>
          <w:rtl/>
        </w:rPr>
        <w:t xml:space="preserve">, ר׳ </w:t>
      </w:r>
      <w:proofErr w:type="spellStart"/>
      <w:r>
        <w:rPr>
          <w:rtl/>
        </w:rPr>
        <w:t>שמחה־זיסל</w:t>
      </w:r>
      <w:proofErr w:type="spellEnd"/>
      <w:r>
        <w:rPr>
          <w:rtl/>
        </w:rPr>
        <w:t xml:space="preserve">, מתואר ארבעים שנה קודם לכן על פי לבושו וניקיונו. השווה המאמר הראשון על </w:t>
      </w:r>
      <w:proofErr w:type="spellStart"/>
      <w:r>
        <w:rPr>
          <w:rtl/>
        </w:rPr>
        <w:t>גרובין</w:t>
      </w:r>
      <w:proofErr w:type="spellEnd"/>
      <w:r>
        <w:rPr>
          <w:rtl/>
        </w:rPr>
        <w:t xml:space="preserve"> </w:t>
      </w:r>
      <w:proofErr w:type="spellStart"/>
      <w:r>
        <w:rPr>
          <w:rtl/>
        </w:rPr>
        <w:t>ב“העבר</w:t>
      </w:r>
      <w:proofErr w:type="spellEnd"/>
      <w:r>
        <w:rPr>
          <w:rtl/>
        </w:rPr>
        <w:t>”</w:t>
      </w:r>
      <w:bookmarkStart w:id="6018" w:name="_fnr4545"/>
      <w:r>
        <w:rPr>
          <w:rStyle w:val="a5"/>
        </w:rPr>
        <w:footnoteReference w:id="4556" w:customMarkFollows="0"/>
      </w:r>
      <w:bookmarkEnd w:id="6018"/>
      <w:r>
        <w:rPr>
          <w:rtl/>
        </w:rPr>
        <w:t xml:space="preserve">: “ר׳ </w:t>
      </w:r>
      <w:proofErr w:type="spellStart"/>
      <w:r>
        <w:rPr>
          <w:rtl/>
        </w:rPr>
        <w:t>שמחה־זיסל</w:t>
      </w:r>
      <w:proofErr w:type="spellEnd"/>
      <w:r>
        <w:rPr>
          <w:rtl/>
        </w:rPr>
        <w:t xml:space="preserve"> זיו היה לבוש בגדים אפורים כהים, נעליים מצוחצחות וצווארון לבן מקופל, שמתחתיו נראתה עניבה שחורה על חזית חולצה לבנה – ועשה רושם של ג׳נטלמן מאירופה, הקשור לאיזה סמינר תאולוגי שם. פאותיו המאפירות היו מסורקות מאחורי אוזניו, וגם זקנו לא היה פרוע”.</w:t>
      </w:r>
    </w:p>
    <w:p w14:paraId="15EE326B" w14:textId="39657F1B" w:rsidR="00AB3647" w:rsidRDefault="00000000" w:rsidP="007923E9">
      <w:pPr>
        <w:spacing w:before="120" w:after="100" w:line="276" w:lineRule="auto"/>
        <w:jc w:val="both"/>
      </w:pPr>
      <w:r>
        <w:rPr>
          <w:rtl/>
        </w:rPr>
        <w:t>ר׳ זליג אפשטיין</w:t>
      </w:r>
      <w:bookmarkStart w:id="6019" w:name="_fnr4546"/>
      <w:r>
        <w:rPr>
          <w:rStyle w:val="a5"/>
        </w:rPr>
        <w:footnoteReference w:id="4557" w:customMarkFollows="0"/>
      </w:r>
      <w:bookmarkEnd w:id="6019"/>
      <w:r>
        <w:rPr>
          <w:rtl/>
        </w:rPr>
        <w:t xml:space="preserve">, ששבת בבית ר׳ </w:t>
      </w:r>
      <w:proofErr w:type="spellStart"/>
      <w:r>
        <w:rPr>
          <w:rtl/>
        </w:rPr>
        <w:t>דוד־טעביל</w:t>
      </w:r>
      <w:proofErr w:type="spellEnd"/>
      <w:r>
        <w:rPr>
          <w:rtl/>
        </w:rPr>
        <w:t xml:space="preserve"> </w:t>
      </w:r>
      <w:proofErr w:type="spellStart"/>
      <w:r>
        <w:rPr>
          <w:rtl/>
        </w:rPr>
        <w:t>בפיונטניצה</w:t>
      </w:r>
      <w:proofErr w:type="spellEnd"/>
      <w:r>
        <w:rPr>
          <w:rtl/>
        </w:rPr>
        <w:t xml:space="preserve"> בקיץ תרצ״ו, סיפר: “מארחי היה מפורסם בישיבת </w:t>
      </w:r>
      <w:proofErr w:type="spellStart"/>
      <w:r>
        <w:rPr>
          <w:rtl/>
        </w:rPr>
        <w:t>מיר</w:t>
      </w:r>
      <w:proofErr w:type="spellEnd"/>
      <w:r>
        <w:rPr>
          <w:rtl/>
        </w:rPr>
        <w:t xml:space="preserve"> כצדיק גדול בהנהגתו – היה ידוע שהוא עומד זקוף בנסיעה </w:t>
      </w:r>
      <w:proofErr w:type="spellStart"/>
      <w:r>
        <w:rPr>
          <w:rtl/>
        </w:rPr>
        <w:t>בדרושקה</w:t>
      </w:r>
      <w:proofErr w:type="spellEnd"/>
      <w:r>
        <w:rPr>
          <w:rtl/>
        </w:rPr>
        <w:t xml:space="preserve"> [מונית רתומה לסוס], מחשש שמושב הבד עשוי שעטנז – אף שלא היה בו עומק המוסר שנודע בו רבו, ר׳ </w:t>
      </w:r>
      <w:proofErr w:type="spellStart"/>
      <w:r>
        <w:rPr>
          <w:rtl/>
        </w:rPr>
        <w:t>שמחה־זיסל</w:t>
      </w:r>
      <w:proofErr w:type="spellEnd"/>
      <w:r>
        <w:rPr>
          <w:rtl/>
        </w:rPr>
        <w:t xml:space="preserve">”. על הנהגת ר׳ </w:t>
      </w:r>
      <w:proofErr w:type="spellStart"/>
      <w:r>
        <w:rPr>
          <w:rtl/>
        </w:rPr>
        <w:t>דוד־טעביל</w:t>
      </w:r>
      <w:proofErr w:type="spellEnd"/>
      <w:r>
        <w:rPr>
          <w:rtl/>
        </w:rPr>
        <w:t xml:space="preserve"> בנסיעה </w:t>
      </w:r>
      <w:proofErr w:type="spellStart"/>
      <w:r>
        <w:rPr>
          <w:rtl/>
        </w:rPr>
        <w:t>בדרושקה</w:t>
      </w:r>
      <w:proofErr w:type="spellEnd"/>
      <w:r>
        <w:rPr>
          <w:rtl/>
        </w:rPr>
        <w:t xml:space="preserve"> ראה גם את התיאור על </w:t>
      </w:r>
      <w:proofErr w:type="spellStart"/>
      <w:r>
        <w:rPr>
          <w:rtl/>
        </w:rPr>
        <w:t>החפץ־חיים</w:t>
      </w:r>
      <w:proofErr w:type="spellEnd"/>
      <w:r>
        <w:rPr>
          <w:rtl/>
        </w:rPr>
        <w:t xml:space="preserve">, המובא בפסקה השנייה של </w:t>
      </w:r>
      <w:r>
        <w:rPr>
          <w:rtl/>
        </w:rPr>
        <w:fldChar w:fldCharType="begin" w:dirty="true"/>
      </w:r>
      <w:r>
        <w:rPr>
          <w:rtl/>
        </w:rPr>
        <w:instrText xml:space="preserve"> REF b5_excB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להלן.</w:t>
      </w:r>
    </w:p>
    <w:bookmarkStart w:id="6020" w:name="b5_note43"/>
    <w:p w14:paraId="6E10F8B4" w14:textId="77777777" w:rsidR="00AB3647" w:rsidRDefault="00000000" w:rsidP="007923E9">
      <w:pPr>
        <w:spacing w:before="120" w:after="100" w:line="276" w:lineRule="auto"/>
        <w:jc w:val="both"/>
      </w:pPr>
      <w:r>
        <w:fldChar w:fldCharType="begin" w:dirty="true"/>
      </w:r>
      <w:r>
        <w:instrText>HYPERLINK \l "b5_ref43"</w:instrText>
      </w:r>
      <w:r>
        <w:fldChar w:fldCharType="separate"/>
      </w:r>
      <w:r>
        <w:rPr>
          <w:b/>
          <w:bCs/>
          <w:rtl/>
        </w:rPr>
        <w:t>43</w:t>
      </w:r>
      <w:r>
        <w:rPr>
          <w:b/>
          <w:bCs/>
        </w:rPr>
        <w:fldChar w:fldCharType="end"/>
      </w:r>
      <w:bookmarkEnd w:id="6020"/>
      <w:r>
        <w:rPr>
          <w:rtl/>
        </w:rPr>
        <w:t xml:space="preserve"> ר׳ שרגא אברמסון</w:t>
      </w:r>
      <w:bookmarkStart w:id="6021" w:name="_fnr4547"/>
      <w:r>
        <w:rPr>
          <w:rStyle w:val="a5"/>
        </w:rPr>
        <w:footnoteReference w:id="4558" w:customMarkFollows="0"/>
      </w:r>
      <w:bookmarkEnd w:id="6021"/>
      <w:r>
        <w:rPr>
          <w:rtl/>
        </w:rPr>
        <w:t xml:space="preserve"> היה בן </w:t>
      </w:r>
      <w:proofErr w:type="spellStart"/>
      <w:r>
        <w:rPr>
          <w:rtl/>
        </w:rPr>
        <w:t>שתים־עשרה</w:t>
      </w:r>
      <w:proofErr w:type="spellEnd"/>
      <w:r>
        <w:rPr>
          <w:rtl/>
        </w:rPr>
        <w:t xml:space="preserve"> כשבא ללמוד </w:t>
      </w:r>
      <w:proofErr w:type="spellStart"/>
      <w:r>
        <w:rPr>
          <w:rtl/>
        </w:rPr>
        <w:t>בלומז׳ה</w:t>
      </w:r>
      <w:proofErr w:type="spellEnd"/>
      <w:r>
        <w:rPr>
          <w:rtl/>
        </w:rPr>
        <w:t xml:space="preserve"> והתחיל לבקר תכופות אצל ר׳ </w:t>
      </w:r>
      <w:proofErr w:type="spellStart"/>
      <w:r>
        <w:rPr>
          <w:rtl/>
        </w:rPr>
        <w:t>דוד־טעביל</w:t>
      </w:r>
      <w:proofErr w:type="spellEnd"/>
      <w:r>
        <w:rPr>
          <w:rtl/>
        </w:rPr>
        <w:t xml:space="preserve">. הוא סיפר: “כמה מתלמידי הישיבה היו מקורבים אליו מאוד, והיו מרבים ללכת לשוחח עמו: הוא היה </w:t>
      </w:r>
      <w:proofErr w:type="spellStart"/>
      <w:r>
        <w:rPr>
          <w:rtl/>
        </w:rPr>
        <w:t>אויסגעקלונגענער</w:t>
      </w:r>
      <w:proofErr w:type="spellEnd"/>
      <w:r>
        <w:rPr>
          <w:rtl/>
        </w:rPr>
        <w:t xml:space="preserve"> </w:t>
      </w:r>
      <w:proofErr w:type="spellStart"/>
      <w:r>
        <w:rPr>
          <w:rtl/>
        </w:rPr>
        <w:t>מענש</w:t>
      </w:r>
      <w:proofErr w:type="spellEnd"/>
      <w:r>
        <w:rPr>
          <w:rtl/>
        </w:rPr>
        <w:t xml:space="preserve"> [אדם בעל שם], והייתה זו זכות להכירו. </w:t>
      </w:r>
      <w:proofErr w:type="spellStart"/>
      <w:r>
        <w:rPr>
          <w:rtl/>
        </w:rPr>
        <w:lastRenderedPageBreak/>
        <w:t>איידעלקייט</w:t>
      </w:r>
      <w:proofErr w:type="spellEnd"/>
      <w:r>
        <w:rPr>
          <w:rtl/>
        </w:rPr>
        <w:t xml:space="preserve"> [עדינותו] הייתה אין לשער – יחסו לאדם! הייתי ילד קטן, </w:t>
      </w:r>
      <w:proofErr w:type="spellStart"/>
      <w:r>
        <w:rPr>
          <w:rtl/>
        </w:rPr>
        <w:t>לא־כלום</w:t>
      </w:r>
      <w:proofErr w:type="spellEnd"/>
      <w:r>
        <w:rPr>
          <w:rtl/>
        </w:rPr>
        <w:t>, והכבוד שבו נהג בי היה למעלה מהבנה. ביקרתי אצלו פעמים רבות: היה נעים לשהות בחברתו... אינני יודע מדוע מצאתי חן בעיניו, אבל הוא אהב אותי מאוד”, המשיך ר׳ שרגא.</w:t>
      </w:r>
    </w:p>
    <w:p w14:paraId="1C21F652" w14:textId="77777777" w:rsidR="00AB3647" w:rsidRDefault="00000000" w:rsidP="007923E9">
      <w:pPr>
        <w:spacing w:before="120" w:after="100" w:line="276" w:lineRule="auto"/>
        <w:jc w:val="both"/>
      </w:pPr>
      <w:r>
        <w:rPr>
          <w:rtl/>
        </w:rPr>
        <w:t xml:space="preserve">“כשעמדתי לצאת לארץ ישראל, באתי בשבת להיפרד מן החכם. הוא גר בקומה העליונה, ליווה אותי עד הדלת ונפרד ממני במשחק מילים – ‘א </w:t>
      </w:r>
      <w:proofErr w:type="spellStart"/>
      <w:r>
        <w:rPr>
          <w:rtl/>
        </w:rPr>
        <w:t>כאפ</w:t>
      </w:r>
      <w:proofErr w:type="spellEnd"/>
      <w:r>
        <w:rPr>
          <w:rtl/>
        </w:rPr>
        <w:t xml:space="preserve">’ [תפיסה] – בשתי מילים ביידיש הנשמעות זהות, </w:t>
      </w:r>
      <w:proofErr w:type="spellStart"/>
      <w:r>
        <w:rPr>
          <w:rtl/>
        </w:rPr>
        <w:t>פאהרט</w:t>
      </w:r>
      <w:proofErr w:type="spellEnd"/>
      <w:r>
        <w:rPr>
          <w:rtl/>
        </w:rPr>
        <w:t xml:space="preserve"> </w:t>
      </w:r>
      <w:proofErr w:type="spellStart"/>
      <w:r>
        <w:rPr>
          <w:rtl/>
        </w:rPr>
        <w:t>ופארט</w:t>
      </w:r>
      <w:proofErr w:type="spellEnd"/>
      <w:r>
        <w:rPr>
          <w:rtl/>
        </w:rPr>
        <w:t xml:space="preserve">: הראשונה צורת ציווי מן הפועל </w:t>
      </w:r>
      <w:proofErr w:type="spellStart"/>
      <w:r>
        <w:rPr>
          <w:rtl/>
        </w:rPr>
        <w:t>פאהרען</w:t>
      </w:r>
      <w:proofErr w:type="spellEnd"/>
      <w:r>
        <w:rPr>
          <w:rtl/>
        </w:rPr>
        <w:t xml:space="preserve"> [לנסוע], והשנייה תואר פועל שפירושו ‘בכל זאת’. ר׳ </w:t>
      </w:r>
      <w:proofErr w:type="spellStart"/>
      <w:r>
        <w:rPr>
          <w:rtl/>
        </w:rPr>
        <w:t>דוד־טעביל</w:t>
      </w:r>
      <w:proofErr w:type="spellEnd"/>
      <w:r>
        <w:rPr>
          <w:rtl/>
        </w:rPr>
        <w:t xml:space="preserve"> אמר: ‘בשבת אסור לומר את צורת הציווי של הפועל נסע; לכן אין נפרדים בנוסח הפרידה הרגיל, </w:t>
      </w:r>
      <w:proofErr w:type="spellStart"/>
      <w:r>
        <w:rPr>
          <w:rtl/>
        </w:rPr>
        <w:t>פאהרט</w:t>
      </w:r>
      <w:proofErr w:type="spellEnd"/>
      <w:r>
        <w:rPr>
          <w:rtl/>
        </w:rPr>
        <w:t xml:space="preserve"> </w:t>
      </w:r>
      <w:proofErr w:type="spellStart"/>
      <w:r>
        <w:rPr>
          <w:rtl/>
        </w:rPr>
        <w:t>געזונט</w:t>
      </w:r>
      <w:proofErr w:type="spellEnd"/>
      <w:r>
        <w:rPr>
          <w:rtl/>
        </w:rPr>
        <w:t xml:space="preserve"> [סע בבריאות]’. ואחר כך המשיך: ‘אבער איר </w:t>
      </w:r>
      <w:proofErr w:type="spellStart"/>
      <w:r>
        <w:rPr>
          <w:rtl/>
        </w:rPr>
        <w:t>פאהרט</w:t>
      </w:r>
      <w:proofErr w:type="spellEnd"/>
      <w:r>
        <w:rPr>
          <w:rtl/>
        </w:rPr>
        <w:t xml:space="preserve"> דאך </w:t>
      </w:r>
      <w:proofErr w:type="spellStart"/>
      <w:r>
        <w:rPr>
          <w:rtl/>
        </w:rPr>
        <w:t>פארט</w:t>
      </w:r>
      <w:proofErr w:type="spellEnd"/>
      <w:r>
        <w:rPr>
          <w:rtl/>
        </w:rPr>
        <w:t xml:space="preserve"> – אין </w:t>
      </w:r>
      <w:proofErr w:type="spellStart"/>
      <w:r>
        <w:rPr>
          <w:rtl/>
        </w:rPr>
        <w:t>געזונט</w:t>
      </w:r>
      <w:proofErr w:type="spellEnd"/>
      <w:r>
        <w:rPr>
          <w:rtl/>
        </w:rPr>
        <w:t xml:space="preserve"> [אבל אתם נוסעים הרי בכל זאת – בבריאות]!’ כך אמר הרב את שתי המילים הסמוכות של נוסח הפרידה המסורתי, ‘</w:t>
      </w:r>
      <w:proofErr w:type="spellStart"/>
      <w:r>
        <w:rPr>
          <w:rtl/>
        </w:rPr>
        <w:t>פארט</w:t>
      </w:r>
      <w:proofErr w:type="spellEnd"/>
      <w:r>
        <w:rPr>
          <w:rtl/>
        </w:rPr>
        <w:t xml:space="preserve"> </w:t>
      </w:r>
      <w:proofErr w:type="spellStart"/>
      <w:r>
        <w:rPr>
          <w:rtl/>
        </w:rPr>
        <w:t>געזונט</w:t>
      </w:r>
      <w:proofErr w:type="spellEnd"/>
      <w:r>
        <w:rPr>
          <w:rtl/>
        </w:rPr>
        <w:t>’, בדרך שעקפה את איסור השבת”.</w:t>
      </w:r>
    </w:p>
    <w:bookmarkStart w:id="6022" w:name="b5_note44"/>
    <w:p w14:paraId="5DF3750A" w14:textId="77777777" w:rsidR="00AB3647" w:rsidRDefault="00000000" w:rsidP="007923E9">
      <w:pPr>
        <w:spacing w:before="120" w:after="100" w:line="276" w:lineRule="auto"/>
        <w:jc w:val="both"/>
      </w:pPr>
      <w:r>
        <w:fldChar w:fldCharType="begin" w:dirty="true"/>
      </w:r>
      <w:r>
        <w:instrText>HYPERLINK \l "b5_ref44"</w:instrText>
      </w:r>
      <w:r>
        <w:fldChar w:fldCharType="separate"/>
      </w:r>
      <w:r>
        <w:rPr>
          <w:b/>
          <w:bCs/>
          <w:rtl/>
        </w:rPr>
        <w:t>44</w:t>
      </w:r>
      <w:r>
        <w:rPr>
          <w:b/>
          <w:bCs/>
        </w:rPr>
        <w:fldChar w:fldCharType="end"/>
      </w:r>
      <w:bookmarkEnd w:id="6022"/>
      <w:r>
        <w:rPr>
          <w:rtl/>
        </w:rPr>
        <w:t xml:space="preserve"> “היה לו קול יפה, כמו לכל ילדיו”, אמרה תמר </w:t>
      </w:r>
      <w:proofErr w:type="spellStart"/>
      <w:r>
        <w:rPr>
          <w:rtl/>
        </w:rPr>
        <w:t>קיל</w:t>
      </w:r>
      <w:proofErr w:type="spellEnd"/>
      <w:r>
        <w:rPr>
          <w:rtl/>
        </w:rPr>
        <w:t xml:space="preserve">. בריאיון עם בני הזוג </w:t>
      </w:r>
      <w:proofErr w:type="spellStart"/>
      <w:r>
        <w:rPr>
          <w:rtl/>
        </w:rPr>
        <w:t>קיל</w:t>
      </w:r>
      <w:bookmarkStart w:id="6023" w:name="_fnr4548"/>
      <w:proofErr w:type="spellEnd"/>
      <w:r>
        <w:rPr>
          <w:rStyle w:val="a5"/>
        </w:rPr>
        <w:footnoteReference w:id="4559" w:customMarkFollows="0"/>
      </w:r>
      <w:bookmarkEnd w:id="6023"/>
      <w:r>
        <w:rPr>
          <w:rtl/>
        </w:rPr>
        <w:t xml:space="preserve"> הראו לי ספר בכריכה רכה, בלי שם המחבר, שכתב ר׳ </w:t>
      </w:r>
      <w:proofErr w:type="spellStart"/>
      <w:r>
        <w:rPr>
          <w:rtl/>
        </w:rPr>
        <w:t>דוד־טעביל</w:t>
      </w:r>
      <w:proofErr w:type="spellEnd"/>
      <w:r>
        <w:rPr>
          <w:rtl/>
        </w:rPr>
        <w:t xml:space="preserve"> בגנות שיתוף הפעולה העקר של מפלגת המזרחי הציונית עם הגופים הציוניים </w:t>
      </w:r>
      <w:proofErr w:type="spellStart"/>
      <w:r>
        <w:rPr>
          <w:rtl/>
        </w:rPr>
        <w:t>הלא־דתיים</w:t>
      </w:r>
      <w:proofErr w:type="spellEnd"/>
      <w:r>
        <w:rPr>
          <w:rtl/>
        </w:rPr>
        <w:t>. הספר נקרא “מאמר לקראת צמא</w:t>
      </w:r>
      <w:bookmarkStart w:id="6024" w:name="_fnr4549"/>
      <w:r>
        <w:rPr>
          <w:rStyle w:val="a5"/>
        </w:rPr>
        <w:footnoteReference w:id="4560" w:customMarkFollows="0"/>
      </w:r>
      <w:bookmarkEnd w:id="6024"/>
      <w:r>
        <w:rPr>
          <w:rtl/>
        </w:rPr>
        <w:t xml:space="preserve"> (</w:t>
      </w:r>
      <w:r>
        <w:rPr>
          <w:b/>
          <w:bCs/>
          <w:rtl/>
        </w:rPr>
        <w:t>צ</w:t>
      </w:r>
      <w:r>
        <w:rPr>
          <w:rtl/>
        </w:rPr>
        <w:t xml:space="preserve">יונים </w:t>
      </w:r>
      <w:r>
        <w:rPr>
          <w:b/>
          <w:bCs/>
          <w:rtl/>
        </w:rPr>
        <w:t>מ</w:t>
      </w:r>
      <w:r>
        <w:rPr>
          <w:rtl/>
        </w:rPr>
        <w:t xml:space="preserve">זרחים </w:t>
      </w:r>
      <w:proofErr w:type="spellStart"/>
      <w:r>
        <w:rPr>
          <w:b/>
          <w:bCs/>
          <w:rtl/>
        </w:rPr>
        <w:t>א</w:t>
      </w:r>
      <w:r>
        <w:rPr>
          <w:rtl/>
        </w:rPr>
        <w:t>ורטודוקסים</w:t>
      </w:r>
      <w:proofErr w:type="spellEnd"/>
      <w:r>
        <w:rPr>
          <w:rtl/>
        </w:rPr>
        <w:t>)</w:t>
      </w:r>
      <w:bookmarkStart w:id="6025" w:name="_fnr4550"/>
      <w:r>
        <w:rPr>
          <w:rStyle w:val="a5"/>
        </w:rPr>
        <w:footnoteReference w:id="4561" w:customMarkFollows="0"/>
      </w:r>
      <w:bookmarkEnd w:id="6025"/>
      <w:r>
        <w:rPr>
          <w:rtl/>
        </w:rPr>
        <w:t xml:space="preserve"> יתבררו ויתלבנו הדברים”</w:t>
      </w:r>
      <w:bookmarkStart w:id="6026" w:name="_fnr4551"/>
      <w:r>
        <w:rPr>
          <w:rStyle w:val="a5"/>
        </w:rPr>
        <w:footnoteReference w:id="4562" w:customMarkFollows="0"/>
      </w:r>
      <w:bookmarkEnd w:id="6026"/>
      <w:r>
        <w:rPr>
          <w:rtl/>
        </w:rPr>
        <w:t xml:space="preserve">, ונדפס </w:t>
      </w:r>
      <w:proofErr w:type="spellStart"/>
      <w:r>
        <w:rPr>
          <w:rtl/>
        </w:rPr>
        <w:t>בפיוטרקוב</w:t>
      </w:r>
      <w:proofErr w:type="spellEnd"/>
      <w:r>
        <w:rPr>
          <w:rtl/>
        </w:rPr>
        <w:t xml:space="preserve"> </w:t>
      </w:r>
      <w:proofErr w:type="spellStart"/>
      <w:r>
        <w:rPr>
          <w:rtl/>
        </w:rPr>
        <w:t>בתר״ץ</w:t>
      </w:r>
      <w:proofErr w:type="spellEnd"/>
      <w:r>
        <w:rPr>
          <w:rtl/>
        </w:rPr>
        <w:t>.</w:t>
      </w:r>
    </w:p>
    <w:p w14:paraId="5FDDE4E3" w14:textId="77777777" w:rsidR="00AB3647" w:rsidRDefault="00000000" w:rsidP="007923E9">
      <w:pPr>
        <w:spacing w:before="120" w:after="100" w:line="276" w:lineRule="auto"/>
        <w:jc w:val="both"/>
      </w:pPr>
      <w:r>
        <w:rPr>
          <w:rtl/>
        </w:rPr>
        <w:t>בצדו הפנימי של השער משנה המחבר מלשון המשנה</w:t>
      </w:r>
      <w:bookmarkStart w:id="6027" w:name="_fnr4552"/>
      <w:r>
        <w:rPr>
          <w:rStyle w:val="a5"/>
        </w:rPr>
        <w:footnoteReference w:id="4563" w:customMarkFollows="0"/>
      </w:r>
      <w:bookmarkEnd w:id="6027"/>
      <w:r>
        <w:rPr>
          <w:rtl/>
        </w:rPr>
        <w:t xml:space="preserve"> וכותב: “השער מצפון ‘טדי’” – כלומר, </w:t>
      </w:r>
      <w:proofErr w:type="spellStart"/>
      <w:r>
        <w:rPr>
          <w:rtl/>
        </w:rPr>
        <w:t>ב“שער</w:t>
      </w:r>
      <w:proofErr w:type="spellEnd"/>
      <w:r>
        <w:rPr>
          <w:rtl/>
        </w:rPr>
        <w:t>” הספר הסתיר</w:t>
      </w:r>
      <w:bookmarkStart w:id="6028" w:name="_fnr4553"/>
      <w:r>
        <w:rPr>
          <w:rStyle w:val="a5"/>
        </w:rPr>
        <w:footnoteReference w:id="4564" w:customMarkFollows="0"/>
      </w:r>
      <w:bookmarkEnd w:id="6028"/>
      <w:r>
        <w:rPr>
          <w:rtl/>
        </w:rPr>
        <w:t xml:space="preserve"> המחבר את ראשי התיבות של שמו (המקוצר), “</w:t>
      </w:r>
      <w:proofErr w:type="spellStart"/>
      <w:r>
        <w:rPr>
          <w:rtl/>
        </w:rPr>
        <w:t>טעביל</w:t>
      </w:r>
      <w:proofErr w:type="spellEnd"/>
      <w:r>
        <w:rPr>
          <w:rtl/>
        </w:rPr>
        <w:t xml:space="preserve"> </w:t>
      </w:r>
      <w:proofErr w:type="spellStart"/>
      <w:r>
        <w:rPr>
          <w:rtl/>
        </w:rPr>
        <w:t>דיינובסקי</w:t>
      </w:r>
      <w:proofErr w:type="spellEnd"/>
      <w:r>
        <w:rPr>
          <w:rtl/>
        </w:rPr>
        <w:t>”. הוא מפנה את הקורא גם לפירוש “תוספות יום טוב”</w:t>
      </w:r>
      <w:bookmarkStart w:id="6029" w:name="_fnr4554"/>
      <w:r>
        <w:rPr>
          <w:rStyle w:val="a5"/>
        </w:rPr>
        <w:footnoteReference w:id="4565" w:customMarkFollows="0"/>
      </w:r>
      <w:bookmarkEnd w:id="6029"/>
      <w:r>
        <w:rPr>
          <w:rtl/>
        </w:rPr>
        <w:t xml:space="preserve">, שלפיו יש לטדי שתי משמעויות: הצנע, ופיוט ושירה. נראה שר׳ </w:t>
      </w:r>
      <w:proofErr w:type="spellStart"/>
      <w:r>
        <w:rPr>
          <w:rtl/>
        </w:rPr>
        <w:t>דוד־טעביל</w:t>
      </w:r>
      <w:proofErr w:type="spellEnd"/>
      <w:r>
        <w:rPr>
          <w:rtl/>
        </w:rPr>
        <w:t xml:space="preserve"> רצה לומר שהמחבר האלמוני (</w:t>
      </w:r>
      <w:r>
        <w:rPr>
          <w:b/>
          <w:bCs/>
          <w:rtl/>
        </w:rPr>
        <w:t>המצניע</w:t>
      </w:r>
      <w:r>
        <w:rPr>
          <w:rtl/>
        </w:rPr>
        <w:t xml:space="preserve">) הוא </w:t>
      </w:r>
      <w:r>
        <w:rPr>
          <w:b/>
          <w:bCs/>
          <w:rtl/>
        </w:rPr>
        <w:t>משורר וזמר</w:t>
      </w:r>
      <w:r>
        <w:rPr>
          <w:rtl/>
        </w:rPr>
        <w:t xml:space="preserve"> – כפי שראה את עצמו.</w:t>
      </w:r>
    </w:p>
    <w:p w14:paraId="5EA2B3A7" w14:textId="77777777" w:rsidR="00AB3647" w:rsidRDefault="00000000" w:rsidP="007923E9">
      <w:pPr>
        <w:spacing w:before="120" w:after="100" w:line="276" w:lineRule="auto"/>
        <w:jc w:val="both"/>
      </w:pPr>
      <w:r>
        <w:rPr>
          <w:rtl/>
        </w:rPr>
        <w:t xml:space="preserve">מלבד תוכנו העיקרי מביא הספר שיר ארוך בלשון המקרא. באותו מעמד הראו לי בני הזוג </w:t>
      </w:r>
      <w:proofErr w:type="spellStart"/>
      <w:r>
        <w:rPr>
          <w:rtl/>
        </w:rPr>
        <w:t>קיל</w:t>
      </w:r>
      <w:proofErr w:type="spellEnd"/>
      <w:r>
        <w:rPr>
          <w:rtl/>
        </w:rPr>
        <w:t xml:space="preserve"> גם שיר אחר של ר׳ </w:t>
      </w:r>
      <w:proofErr w:type="spellStart"/>
      <w:r>
        <w:rPr>
          <w:rtl/>
        </w:rPr>
        <w:t>דוד־טעביל</w:t>
      </w:r>
      <w:proofErr w:type="spellEnd"/>
      <w:r>
        <w:rPr>
          <w:rtl/>
        </w:rPr>
        <w:t>, כתוב בכתב יד בצד הפנימי של כריכות העצם של סידור (עם תרגום לגרמנית</w:t>
      </w:r>
      <w:bookmarkStart w:id="6030" w:name="_fnr4555"/>
      <w:r>
        <w:rPr>
          <w:rStyle w:val="a5"/>
        </w:rPr>
        <w:footnoteReference w:id="4566" w:customMarkFollows="0"/>
      </w:r>
      <w:bookmarkEnd w:id="6030"/>
      <w:r>
        <w:rPr>
          <w:rtl/>
        </w:rPr>
        <w:t xml:space="preserve">). השיר מכיל הוראות אב לבתו </w:t>
      </w:r>
      <w:proofErr w:type="spellStart"/>
      <w:r>
        <w:rPr>
          <w:rtl/>
        </w:rPr>
        <w:t>ברכה־חיה</w:t>
      </w:r>
      <w:proofErr w:type="spellEnd"/>
      <w:r>
        <w:rPr>
          <w:rtl/>
        </w:rPr>
        <w:t xml:space="preserve">, שרשם הרב </w:t>
      </w:r>
      <w:proofErr w:type="spellStart"/>
      <w:r>
        <w:rPr>
          <w:rtl/>
        </w:rPr>
        <w:t>דינובסקי</w:t>
      </w:r>
      <w:proofErr w:type="spellEnd"/>
      <w:r>
        <w:rPr>
          <w:rtl/>
        </w:rPr>
        <w:t xml:space="preserve"> בתוך מתנת הפרידה שנתן לה כשיצאה לארץ ישראל.</w:t>
      </w:r>
    </w:p>
    <w:p w14:paraId="22D2E9AF" w14:textId="77777777" w:rsidR="00AB3647" w:rsidRDefault="00000000" w:rsidP="007923E9">
      <w:pPr>
        <w:spacing w:after="100" w:line="276" w:lineRule="auto"/>
        <w:ind w:firstLine="340"/>
        <w:jc w:val="both"/>
      </w:pPr>
      <w:r>
        <w:rPr>
          <w:rtl/>
        </w:rPr>
        <w:t>ספרו של החכם מנתח את כישלונה של מפלגת המזרחי להשפיע על התנועה הציונית בכללותה. הוא מצטט דיווחי עיתונות על מאורעות הזמן, ומביא שפע מקורות רבניים המאירים דרכי פעולה ראויות ובלתי ראויות ביחס למאורעות אלה, ומבקש להוכיח שהמזרחי טעתה בהתנהגותה ובתגובותיה.</w:t>
      </w:r>
    </w:p>
    <w:p w14:paraId="105B9427" w14:textId="77777777" w:rsidR="00AB3647" w:rsidRDefault="00000000" w:rsidP="007923E9">
      <w:pPr>
        <w:spacing w:after="100" w:line="276" w:lineRule="auto"/>
        <w:ind w:firstLine="340"/>
        <w:jc w:val="both"/>
      </w:pPr>
      <w:r>
        <w:rPr>
          <w:rtl/>
        </w:rPr>
        <w:lastRenderedPageBreak/>
        <w:t xml:space="preserve">ר׳ שרגא אברמסון סיפר שתלמידי ישיבת </w:t>
      </w:r>
      <w:proofErr w:type="spellStart"/>
      <w:r>
        <w:rPr>
          <w:rtl/>
        </w:rPr>
        <w:t>לומז׳ה</w:t>
      </w:r>
      <w:proofErr w:type="spellEnd"/>
      <w:r>
        <w:rPr>
          <w:rtl/>
        </w:rPr>
        <w:t xml:space="preserve"> שהיו בני טיפוחיו של הרב </w:t>
      </w:r>
      <w:proofErr w:type="spellStart"/>
      <w:r>
        <w:rPr>
          <w:rtl/>
        </w:rPr>
        <w:t>דינובסקי</w:t>
      </w:r>
      <w:proofErr w:type="spellEnd"/>
      <w:r>
        <w:rPr>
          <w:rtl/>
        </w:rPr>
        <w:t>, והוא עצמו בכללם, עזרו להכין את הספר לדפוס: “הסדר לא היה מסוגל לקרוא את כתב היד של הרב – המילים היו נערמות זו על זו – והעתקנו את כתיבתו כדי שתהיה קריאה. האמת היא שהבחורים תמהו מה עושה גאון כמותו בציטוט עיתון [יידיש] ‘</w:t>
      </w:r>
      <w:proofErr w:type="spellStart"/>
      <w:r>
        <w:rPr>
          <w:rtl/>
        </w:rPr>
        <w:t>מאמענט</w:t>
      </w:r>
      <w:proofErr w:type="spellEnd"/>
      <w:r>
        <w:rPr>
          <w:rtl/>
        </w:rPr>
        <w:t>’ או ‘</w:t>
      </w:r>
      <w:proofErr w:type="spellStart"/>
      <w:r>
        <w:rPr>
          <w:rtl/>
        </w:rPr>
        <w:t>היינט</w:t>
      </w:r>
      <w:proofErr w:type="spellEnd"/>
      <w:r>
        <w:rPr>
          <w:rtl/>
        </w:rPr>
        <w:t>’, אבל מאחר שביקש שנכתוב, כתבנו. הזמנים היו סוערים, והוא עסק בענייני כלל ישראל”, אמר ר׳ שרגא.</w:t>
      </w:r>
    </w:p>
    <w:p w14:paraId="244F4AC6" w14:textId="77777777" w:rsidR="00AB3647" w:rsidRDefault="00000000" w:rsidP="007923E9">
      <w:pPr>
        <w:spacing w:after="100" w:line="276" w:lineRule="auto"/>
        <w:ind w:firstLine="340"/>
        <w:jc w:val="both"/>
      </w:pPr>
      <w:r>
        <w:rPr>
          <w:rtl/>
        </w:rPr>
        <w:t xml:space="preserve">ר׳ זליג אפשטיין, שנזכר בביקורו בבית הרב </w:t>
      </w:r>
      <w:proofErr w:type="spellStart"/>
      <w:r>
        <w:rPr>
          <w:rtl/>
        </w:rPr>
        <w:t>דינובסקי</w:t>
      </w:r>
      <w:bookmarkStart w:id="6031" w:name="_fnr4556"/>
      <w:proofErr w:type="spellEnd"/>
      <w:r>
        <w:rPr>
          <w:rStyle w:val="a5"/>
        </w:rPr>
        <w:footnoteReference w:id="4567" w:customMarkFollows="0"/>
      </w:r>
      <w:bookmarkEnd w:id="6031"/>
      <w:r>
        <w:rPr>
          <w:rtl/>
        </w:rPr>
        <w:t xml:space="preserve">, תיאר כיצד קראה בת ר׳ </w:t>
      </w:r>
      <w:proofErr w:type="spellStart"/>
      <w:r>
        <w:rPr>
          <w:rtl/>
        </w:rPr>
        <w:t>דוד־טעביל</w:t>
      </w:r>
      <w:proofErr w:type="spellEnd"/>
      <w:r>
        <w:rPr>
          <w:rtl/>
        </w:rPr>
        <w:t xml:space="preserve"> באוזני אביה את </w:t>
      </w:r>
      <w:proofErr w:type="spellStart"/>
      <w:r>
        <w:rPr>
          <w:rtl/>
        </w:rPr>
        <w:t>ה“מאמענט</w:t>
      </w:r>
      <w:proofErr w:type="spellEnd"/>
      <w:r>
        <w:rPr>
          <w:rtl/>
        </w:rPr>
        <w:t xml:space="preserve">” בשבת אחר הצהריים, וכיצד הפסיק אותה מפעם לפעם כדי לערער על דברי העיתון. “אחר כך נישאה לתלמיד ישיבת </w:t>
      </w:r>
      <w:proofErr w:type="spellStart"/>
      <w:r>
        <w:rPr>
          <w:rtl/>
        </w:rPr>
        <w:t>מיר</w:t>
      </w:r>
      <w:bookmarkStart w:id="6032" w:name="_fnr4557"/>
      <w:proofErr w:type="spellEnd"/>
      <w:r>
        <w:rPr>
          <w:rStyle w:val="a5"/>
        </w:rPr>
        <w:footnoteReference w:id="4568" w:customMarkFollows="0"/>
      </w:r>
      <w:bookmarkEnd w:id="6032"/>
      <w:r>
        <w:rPr>
          <w:rtl/>
        </w:rPr>
        <w:t xml:space="preserve">”, סיפר ר׳ זליג. ר׳ יהושע </w:t>
      </w:r>
      <w:proofErr w:type="spellStart"/>
      <w:r>
        <w:rPr>
          <w:rtl/>
        </w:rPr>
        <w:t>הוטנר</w:t>
      </w:r>
      <w:proofErr w:type="spellEnd"/>
      <w:r>
        <w:rPr>
          <w:rtl/>
        </w:rPr>
        <w:t xml:space="preserve"> הוסיף: “ר׳ </w:t>
      </w:r>
      <w:proofErr w:type="spellStart"/>
      <w:r>
        <w:rPr>
          <w:rtl/>
        </w:rPr>
        <w:t>דוד־טעביל</w:t>
      </w:r>
      <w:proofErr w:type="spellEnd"/>
      <w:r>
        <w:rPr>
          <w:rtl/>
        </w:rPr>
        <w:t xml:space="preserve"> היה מראשוני תנועת חובבי ציון, ויחד עם ר׳ </w:t>
      </w:r>
      <w:proofErr w:type="spellStart"/>
      <w:r>
        <w:rPr>
          <w:rtl/>
        </w:rPr>
        <w:t>משה־מרדכי</w:t>
      </w:r>
      <w:proofErr w:type="spellEnd"/>
      <w:r>
        <w:rPr>
          <w:rtl/>
        </w:rPr>
        <w:t xml:space="preserve"> אפשטיין קנה אדמה בחדרה</w:t>
      </w:r>
      <w:bookmarkStart w:id="6033" w:name="_fnr4558"/>
      <w:r>
        <w:rPr>
          <w:rStyle w:val="a5"/>
        </w:rPr>
        <w:footnoteReference w:id="4569" w:customMarkFollows="0"/>
      </w:r>
      <w:bookmarkEnd w:id="6033"/>
      <w:r>
        <w:rPr>
          <w:rtl/>
        </w:rPr>
        <w:t xml:space="preserve">. שניהם התאכזבו עם הופעת הציונות המדינית, ובייחוד כשהשתלטו עליה הגורמים </w:t>
      </w:r>
      <w:proofErr w:type="spellStart"/>
      <w:r>
        <w:rPr>
          <w:rtl/>
        </w:rPr>
        <w:t>האנטי־דתיים</w:t>
      </w:r>
      <w:bookmarkStart w:id="6034" w:name="_fnr4559"/>
      <w:proofErr w:type="spellEnd"/>
      <w:r>
        <w:rPr>
          <w:rStyle w:val="a5"/>
        </w:rPr>
        <w:footnoteReference w:id="4570" w:customMarkFollows="0"/>
      </w:r>
      <w:bookmarkEnd w:id="6034"/>
      <w:r>
        <w:rPr>
          <w:rtl/>
        </w:rPr>
        <w:t xml:space="preserve">. ר׳ </w:t>
      </w:r>
      <w:proofErr w:type="spellStart"/>
      <w:r>
        <w:rPr>
          <w:rtl/>
        </w:rPr>
        <w:t>דוד־טעביל</w:t>
      </w:r>
      <w:proofErr w:type="spellEnd"/>
      <w:r>
        <w:rPr>
          <w:rtl/>
        </w:rPr>
        <w:t xml:space="preserve"> ואני חלקנו חדר שינה בוורשה. </w:t>
      </w:r>
      <w:proofErr w:type="spellStart"/>
      <w:r>
        <w:rPr>
          <w:rtl/>
        </w:rPr>
        <w:t>באחת־עשרה</w:t>
      </w:r>
      <w:proofErr w:type="spellEnd"/>
      <w:r>
        <w:rPr>
          <w:rtl/>
        </w:rPr>
        <w:t xml:space="preserve"> בלילה היה מתחיל להתהלך הלוך ושוב בחדר ולזמזם ניגון. הוא היה צריך שעה עד שתשרה עליו ההשראה; אז התיישב וכתב עד שלוש לפנות בוקר – הוא ישן רק שלוש שעות בלילה. סבורני שביקוריו בוורשה נועדו למחקר בשביל הספר”.</w:t>
      </w:r>
    </w:p>
    <w:p w14:paraId="10F46706" w14:textId="77777777" w:rsidR="00AB3647" w:rsidRDefault="00000000" w:rsidP="007923E9">
      <w:pPr>
        <w:spacing w:after="100" w:line="276" w:lineRule="auto"/>
        <w:ind w:firstLine="340"/>
        <w:jc w:val="both"/>
      </w:pPr>
      <w:r>
        <w:rPr>
          <w:rtl/>
        </w:rPr>
        <w:t xml:space="preserve">תמר </w:t>
      </w:r>
      <w:proofErr w:type="spellStart"/>
      <w:r>
        <w:rPr>
          <w:rtl/>
        </w:rPr>
        <w:t>קיל</w:t>
      </w:r>
      <w:proofErr w:type="spellEnd"/>
      <w:r>
        <w:rPr>
          <w:rtl/>
        </w:rPr>
        <w:t xml:space="preserve"> סברה שסבה בא לוורשה לקנות ספרים “אחרי השרפות השכיחות”, אבל לא סביר שלשם כך </w:t>
      </w:r>
      <w:r>
        <w:rPr>
          <w:b/>
          <w:bCs/>
          <w:rtl/>
        </w:rPr>
        <w:t>היה עליו</w:t>
      </w:r>
      <w:r>
        <w:rPr>
          <w:rtl/>
        </w:rPr>
        <w:t xml:space="preserve"> לנסוע מדי שנה לבירת פולין במשך שנים רצופות, ולשהות שם שבועות רבים בכל פעם. ייתכן שבא לשם גם כדי להכין את ספרו לדפוס בבית הדפוס של משפחת </w:t>
      </w:r>
      <w:proofErr w:type="spellStart"/>
      <w:r>
        <w:rPr>
          <w:rtl/>
        </w:rPr>
        <w:t>הוטנר</w:t>
      </w:r>
      <w:proofErr w:type="spellEnd"/>
      <w:r>
        <w:rPr>
          <w:rtl/>
        </w:rPr>
        <w:t xml:space="preserve">, משפחת מארחו, שהדפיסה גם את “ספר שערי יושר” </w:t>
      </w:r>
      <w:proofErr w:type="spellStart"/>
      <w:r>
        <w:rPr>
          <w:rtl/>
        </w:rPr>
        <w:t>לר</w:t>
      </w:r>
      <w:proofErr w:type="spellEnd"/>
      <w:r>
        <w:rPr>
          <w:rtl/>
        </w:rPr>
        <w:t xml:space="preserve">׳ שמעון </w:t>
      </w:r>
      <w:proofErr w:type="spellStart"/>
      <w:r>
        <w:rPr>
          <w:rtl/>
        </w:rPr>
        <w:t>שקופ</w:t>
      </w:r>
      <w:proofErr w:type="spellEnd"/>
      <w:r>
        <w:rPr>
          <w:rtl/>
        </w:rPr>
        <w:t xml:space="preserve"> ואת “המדרש והמעשה” </w:t>
      </w:r>
      <w:proofErr w:type="spellStart"/>
      <w:r>
        <w:rPr>
          <w:rtl/>
        </w:rPr>
        <w:t>לר</w:t>
      </w:r>
      <w:proofErr w:type="spellEnd"/>
      <w:r>
        <w:rPr>
          <w:rtl/>
        </w:rPr>
        <w:t xml:space="preserve">׳ יחזקאל </w:t>
      </w:r>
      <w:proofErr w:type="spellStart"/>
      <w:r>
        <w:rPr>
          <w:rtl/>
        </w:rPr>
        <w:t>ליבשיץ</w:t>
      </w:r>
      <w:bookmarkStart w:id="6035" w:name="_fnr4560"/>
      <w:proofErr w:type="spellEnd"/>
      <w:r>
        <w:rPr>
          <w:rStyle w:val="a5"/>
        </w:rPr>
        <w:footnoteReference w:id="4571" w:customMarkFollows="0"/>
      </w:r>
      <w:bookmarkEnd w:id="6035"/>
      <w:r>
        <w:rPr>
          <w:rtl/>
        </w:rPr>
        <w:t>.</w:t>
      </w:r>
    </w:p>
    <w:bookmarkStart w:id="6036" w:name="b5_note45"/>
    <w:p w14:paraId="0B210389" w14:textId="05CA020F" w:rsidR="00AB3647" w:rsidRDefault="00000000" w:rsidP="007923E9">
      <w:pPr>
        <w:spacing w:before="120" w:after="100" w:line="276" w:lineRule="auto"/>
        <w:jc w:val="both"/>
      </w:pPr>
      <w:r>
        <w:fldChar w:fldCharType="begin" w:dirty="true"/>
      </w:r>
      <w:r>
        <w:instrText>HYPERLINK \l "b5_ref45"</w:instrText>
      </w:r>
      <w:r>
        <w:fldChar w:fldCharType="separate"/>
      </w:r>
      <w:r>
        <w:rPr>
          <w:b/>
          <w:bCs/>
          <w:rtl/>
        </w:rPr>
        <w:t>45</w:t>
      </w:r>
      <w:r>
        <w:rPr>
          <w:b/>
          <w:bCs/>
        </w:rPr>
        <w:fldChar w:fldCharType="end"/>
      </w:r>
      <w:bookmarkEnd w:id="6036"/>
      <w:r>
        <w:rPr>
          <w:rtl/>
        </w:rPr>
        <w:t xml:space="preserve"> תמר </w:t>
      </w:r>
      <w:proofErr w:type="spellStart"/>
      <w:r>
        <w:rPr>
          <w:rtl/>
        </w:rPr>
        <w:t>קיל</w:t>
      </w:r>
      <w:proofErr w:type="spellEnd"/>
      <w:r>
        <w:rPr>
          <w:rtl/>
        </w:rPr>
        <w:t>. הדבר ניכר בלשון הרהוטה של שירתו ושל כתיבתו בפרוזה כאחת. המרואיינת הוסיפה: “הוא היה מן הרבנים היחידים שידעו תנ״ך טוב כל כך. אבל אף שהיה משכיל ברוחב ידיעותיו ובכישרונו הספרותי, היה ‘</w:t>
      </w:r>
      <w:proofErr w:type="spellStart"/>
      <w:r>
        <w:rPr>
          <w:rtl/>
        </w:rPr>
        <w:t>מוסרניק</w:t>
      </w:r>
      <w:proofErr w:type="spellEnd"/>
      <w:r>
        <w:rPr>
          <w:rtl/>
        </w:rPr>
        <w:t xml:space="preserve">’ קיצוני בהנהגתו ובהשקפתו. הוא לא האמין שאפשר לשלב תורה ומדע, והיה אומר שכשמתחילים ללמוד </w:t>
      </w:r>
      <w:proofErr w:type="spellStart"/>
      <w:r>
        <w:rPr>
          <w:rtl/>
        </w:rPr>
        <w:t>גלאגול</w:t>
      </w:r>
      <w:proofErr w:type="spellEnd"/>
      <w:r>
        <w:rPr>
          <w:rtl/>
        </w:rPr>
        <w:t xml:space="preserve"> [הטיות הפועל ברוסית], מפסיקים להניח תפילין. אבל הוא ידע גרמנית, ובכרך התנ״ך שבביתו היה תרגום לגרמנית – ולא ליידיש”. ר׳ </w:t>
      </w:r>
      <w:proofErr w:type="spellStart"/>
      <w:r>
        <w:rPr>
          <w:rtl/>
        </w:rPr>
        <w:t>דוד־טעביל</w:t>
      </w:r>
      <w:proofErr w:type="spellEnd"/>
      <w:r>
        <w:rPr>
          <w:rtl/>
        </w:rPr>
        <w:t xml:space="preserve"> היה אמן המילים, כפי שעולה משתי ההערות הקודמות ומהערה </w:t>
      </w:r>
      <w:r>
        <w:rPr>
          <w:rtl/>
        </w:rPr>
        <w:fldChar w:fldCharType="begin" w:dirty="true"/>
      </w:r>
      <w:r>
        <w:rPr>
          <w:rtl/>
        </w:rPr>
        <w:instrText xml:space="preserve"> REF b5_note50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50</w:t>
      </w:r>
      <w:r>
        <w:rPr>
          <w:rtl/>
        </w:rPr>
        <w:fldChar w:fldCharType="end"/>
      </w:r>
      <w:r>
        <w:rPr>
          <w:rtl/>
        </w:rPr>
        <w:t xml:space="preserve"> להלן. ר׳ יהודה </w:t>
      </w:r>
      <w:proofErr w:type="spellStart"/>
      <w:r>
        <w:rPr>
          <w:rtl/>
        </w:rPr>
        <w:t>קיל</w:t>
      </w:r>
      <w:proofErr w:type="spellEnd"/>
      <w:r>
        <w:rPr>
          <w:rtl/>
        </w:rPr>
        <w:t xml:space="preserve"> סיפר גם שכשכתב הרב </w:t>
      </w:r>
      <w:proofErr w:type="spellStart"/>
      <w:r>
        <w:rPr>
          <w:rtl/>
        </w:rPr>
        <w:t>דינובסקי</w:t>
      </w:r>
      <w:proofErr w:type="spellEnd"/>
      <w:r>
        <w:rPr>
          <w:rtl/>
        </w:rPr>
        <w:t xml:space="preserve"> לתלמידיו, היה חותם “מילי </w:t>
      </w:r>
      <w:proofErr w:type="spellStart"/>
      <w:r>
        <w:rPr>
          <w:rtl/>
        </w:rPr>
        <w:t>דטב״א</w:t>
      </w:r>
      <w:proofErr w:type="spellEnd"/>
      <w:r>
        <w:rPr>
          <w:rtl/>
        </w:rPr>
        <w:t xml:space="preserve">”, והסתיר במילה השנייה את ראשי התיבות של חתימת שמו, “דוד </w:t>
      </w:r>
      <w:proofErr w:type="spellStart"/>
      <w:r>
        <w:rPr>
          <w:rtl/>
        </w:rPr>
        <w:t>טעביל</w:t>
      </w:r>
      <w:proofErr w:type="spellEnd"/>
      <w:r>
        <w:rPr>
          <w:rtl/>
        </w:rPr>
        <w:t xml:space="preserve"> בן אלחנן”.</w:t>
      </w:r>
    </w:p>
    <w:bookmarkStart w:id="6037" w:name="b5_note46"/>
    <w:p w14:paraId="0C9154A5" w14:textId="77777777" w:rsidR="00AB3647" w:rsidRDefault="00000000" w:rsidP="007923E9">
      <w:pPr>
        <w:spacing w:before="120" w:after="100" w:line="276" w:lineRule="auto"/>
        <w:jc w:val="both"/>
      </w:pPr>
      <w:r>
        <w:fldChar w:fldCharType="begin" w:dirty="true"/>
      </w:r>
      <w:r>
        <w:instrText>HYPERLINK \l "b5_ref46"</w:instrText>
      </w:r>
      <w:r>
        <w:fldChar w:fldCharType="separate"/>
      </w:r>
      <w:r>
        <w:rPr>
          <w:b/>
          <w:bCs/>
          <w:rtl/>
        </w:rPr>
        <w:t>46</w:t>
      </w:r>
      <w:r>
        <w:rPr>
          <w:b/>
          <w:bCs/>
        </w:rPr>
        <w:fldChar w:fldCharType="end"/>
      </w:r>
      <w:bookmarkEnd w:id="6037"/>
      <w:r>
        <w:rPr>
          <w:rtl/>
        </w:rPr>
        <w:t xml:space="preserve"> ר׳ שרגא אברמסון. תמר </w:t>
      </w:r>
      <w:proofErr w:type="spellStart"/>
      <w:r>
        <w:rPr>
          <w:rtl/>
        </w:rPr>
        <w:t>קיל</w:t>
      </w:r>
      <w:proofErr w:type="spellEnd"/>
      <w:r>
        <w:rPr>
          <w:rtl/>
        </w:rPr>
        <w:t xml:space="preserve"> סיפרה שסבה “היה ירא הוראה”. ר׳ שרגא תלה פחד זה בהיותו “מחמיר מאוד”, ולכן העדיף שהשואלים ישאלו פוסקים אחרים. בהקשר זה סיפר: “</w:t>
      </w:r>
      <w:proofErr w:type="spellStart"/>
      <w:r>
        <w:rPr>
          <w:rtl/>
        </w:rPr>
        <w:t>הקצבים</w:t>
      </w:r>
      <w:proofErr w:type="spellEnd"/>
      <w:r>
        <w:rPr>
          <w:rtl/>
        </w:rPr>
        <w:t xml:space="preserve"> הביאו את שאלותיהם ההלכתיות על בהמותיהם לא אליו, אלא לדיין זקן </w:t>
      </w:r>
      <w:proofErr w:type="spellStart"/>
      <w:r>
        <w:rPr>
          <w:rtl/>
        </w:rPr>
        <w:t>בלומז׳ה</w:t>
      </w:r>
      <w:proofErr w:type="spellEnd"/>
      <w:r>
        <w:rPr>
          <w:rtl/>
        </w:rPr>
        <w:t xml:space="preserve">, ר׳ </w:t>
      </w:r>
      <w:proofErr w:type="spellStart"/>
      <w:r>
        <w:rPr>
          <w:rtl/>
        </w:rPr>
        <w:t>יוסף־צבי</w:t>
      </w:r>
      <w:proofErr w:type="spellEnd"/>
      <w:r>
        <w:rPr>
          <w:rtl/>
        </w:rPr>
        <w:t xml:space="preserve"> </w:t>
      </w:r>
      <w:proofErr w:type="spellStart"/>
      <w:r>
        <w:rPr>
          <w:rtl/>
        </w:rPr>
        <w:lastRenderedPageBreak/>
        <w:t>צינוביץ</w:t>
      </w:r>
      <w:proofErr w:type="spellEnd"/>
      <w:r>
        <w:rPr>
          <w:rtl/>
        </w:rPr>
        <w:t xml:space="preserve">. הוא היה יהודי חסידי, אבל </w:t>
      </w:r>
      <w:proofErr w:type="spellStart"/>
      <w:r>
        <w:rPr>
          <w:rtl/>
        </w:rPr>
        <w:t>מ״ץ</w:t>
      </w:r>
      <w:proofErr w:type="spellEnd"/>
      <w:r>
        <w:rPr>
          <w:rtl/>
        </w:rPr>
        <w:t xml:space="preserve"> שלושים שנה, וגם ר׳ </w:t>
      </w:r>
      <w:proofErr w:type="spellStart"/>
      <w:r>
        <w:rPr>
          <w:rtl/>
        </w:rPr>
        <w:t>ארצ׳יק</w:t>
      </w:r>
      <w:proofErr w:type="spellEnd"/>
      <w:r>
        <w:rPr>
          <w:rtl/>
        </w:rPr>
        <w:t xml:space="preserve"> [אהרן בקשט]</w:t>
      </w:r>
      <w:bookmarkStart w:id="6038" w:name="_fnr4561"/>
      <w:r>
        <w:rPr>
          <w:rStyle w:val="a5"/>
        </w:rPr>
        <w:footnoteReference w:id="4572" w:customMarkFollows="0"/>
      </w:r>
      <w:bookmarkEnd w:id="6038"/>
      <w:r>
        <w:rPr>
          <w:rtl/>
        </w:rPr>
        <w:t xml:space="preserve"> היה שולח אליו שאלות הלכתיות. כשייסד ר׳ </w:t>
      </w:r>
      <w:proofErr w:type="spellStart"/>
      <w:r>
        <w:rPr>
          <w:rtl/>
        </w:rPr>
        <w:t>ארצ׳יק</w:t>
      </w:r>
      <w:proofErr w:type="spellEnd"/>
      <w:r>
        <w:rPr>
          <w:rtl/>
        </w:rPr>
        <w:t xml:space="preserve"> כולל </w:t>
      </w:r>
      <w:proofErr w:type="spellStart"/>
      <w:r>
        <w:rPr>
          <w:rtl/>
        </w:rPr>
        <w:t>בלומז׳ה</w:t>
      </w:r>
      <w:proofErr w:type="spellEnd"/>
      <w:r>
        <w:rPr>
          <w:rtl/>
        </w:rPr>
        <w:t>, שלח את האברכים לקבל שימוש אצלו”.</w:t>
      </w:r>
    </w:p>
    <w:bookmarkStart w:id="6039" w:name="b5_note47"/>
    <w:p w14:paraId="3E69086C" w14:textId="77777777" w:rsidR="00AB3647" w:rsidRDefault="00000000" w:rsidP="007923E9">
      <w:pPr>
        <w:spacing w:before="120" w:after="100" w:line="276" w:lineRule="auto"/>
        <w:jc w:val="both"/>
      </w:pPr>
      <w:r>
        <w:fldChar w:fldCharType="begin" w:dirty="true"/>
      </w:r>
      <w:r>
        <w:instrText>HYPERLINK \l "b5_ref47"</w:instrText>
      </w:r>
      <w:r>
        <w:fldChar w:fldCharType="separate"/>
      </w:r>
      <w:r>
        <w:rPr>
          <w:b/>
          <w:bCs/>
          <w:rtl/>
        </w:rPr>
        <w:t>47</w:t>
      </w:r>
      <w:r>
        <w:rPr>
          <w:b/>
          <w:bCs/>
        </w:rPr>
        <w:fldChar w:fldCharType="end"/>
      </w:r>
      <w:bookmarkEnd w:id="6039"/>
      <w:r>
        <w:rPr>
          <w:rtl/>
        </w:rPr>
        <w:t xml:space="preserve"> ר׳ שרגא אברמסון נזכר </w:t>
      </w:r>
      <w:proofErr w:type="spellStart"/>
      <w:r>
        <w:rPr>
          <w:rtl/>
        </w:rPr>
        <w:t>בשמועסים</w:t>
      </w:r>
      <w:proofErr w:type="spellEnd"/>
      <w:r>
        <w:rPr>
          <w:rtl/>
        </w:rPr>
        <w:t xml:space="preserve"> שמסר ר׳ </w:t>
      </w:r>
      <w:proofErr w:type="spellStart"/>
      <w:r>
        <w:rPr>
          <w:rtl/>
        </w:rPr>
        <w:t>דוד־טעביל</w:t>
      </w:r>
      <w:proofErr w:type="spellEnd"/>
      <w:r>
        <w:rPr>
          <w:rtl/>
        </w:rPr>
        <w:t xml:space="preserve"> כאורח בישיבת </w:t>
      </w:r>
      <w:proofErr w:type="spellStart"/>
      <w:r>
        <w:rPr>
          <w:rtl/>
        </w:rPr>
        <w:t>לומז׳ה</w:t>
      </w:r>
      <w:bookmarkStart w:id="6040" w:name="_fnr4562"/>
      <w:proofErr w:type="spellEnd"/>
      <w:r>
        <w:rPr>
          <w:rStyle w:val="a5"/>
        </w:rPr>
        <w:footnoteReference w:id="4573" w:customMarkFollows="0"/>
      </w:r>
      <w:bookmarkEnd w:id="6040"/>
      <w:r>
        <w:rPr>
          <w:rtl/>
        </w:rPr>
        <w:t xml:space="preserve">, וסיפר: “אחרי שדיבר שעתיים אמר לראש הישיבה ר׳ </w:t>
      </w:r>
      <w:proofErr w:type="spellStart"/>
      <w:r>
        <w:rPr>
          <w:rtl/>
        </w:rPr>
        <w:t>יחיאל־מרדכי</w:t>
      </w:r>
      <w:proofErr w:type="spellEnd"/>
      <w:r>
        <w:rPr>
          <w:rtl/>
        </w:rPr>
        <w:t xml:space="preserve"> גורדון זצ״ל: ‘אתה יודע?! נדמה לי שדיברתי יותר מחצי שעה’. כששאל ר׳ גורדון: ‘ומניין לך?’, השיב: ‘מפני שרגליי התחילו לכאוב מן העמידה הארוכה כל כך׳”.</w:t>
      </w:r>
    </w:p>
    <w:p w14:paraId="5E74DFD7" w14:textId="54361FC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זמן קצר אחרי שהגיעה הישיבה </w:t>
      </w:r>
      <w:proofErr w:type="spellStart"/>
      <w:r>
        <w:rPr>
          <w:rtl/>
        </w:rPr>
        <w:t>למאלטש</w:t>
      </w:r>
      <w:proofErr w:type="spellEnd"/>
      <w:r>
        <w:rPr>
          <w:rtl/>
        </w:rPr>
        <w:t xml:space="preserve"> הוכרזו אירוסי ר׳ שלמה </w:t>
      </w:r>
      <w:proofErr w:type="spellStart"/>
      <w:r>
        <w:rPr>
          <w:rtl/>
        </w:rPr>
        <w:t>גבורין</w:t>
      </w:r>
      <w:proofErr w:type="spellEnd"/>
      <w:r>
        <w:rPr>
          <w:rtl/>
        </w:rPr>
        <w:t xml:space="preserve"> עם בת הרב, שרה־חסיה</w:t>
      </w:r>
      <w:bookmarkStart w:id="6041" w:name="b5_ref48"/>
      <w:bookmarkEnd w:id="6041"/>
      <w:r>
        <w:rPr>
          <w:vertAlign w:val="superscript"/>
          <w:rtl/>
        </w:rPr>
        <w:fldChar w:fldCharType="begin" w:dirty="true"/>
      </w:r>
      <w:r>
        <w:rPr>
          <w:vertAlign w:val="superscript"/>
          <w:rtl/>
        </w:rPr>
        <w:instrText xml:space="preserve"> REF b5_note48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48</w:t>
      </w:r>
      <w:r>
        <w:rPr>
          <w:vertAlign w:val="superscript"/>
          <w:rtl/>
        </w:rPr>
        <w:fldChar w:fldCharType="end"/>
      </w:r>
      <w:r>
        <w:rPr>
          <w:rtl/>
        </w:rPr>
        <w:t xml:space="preserve">, והחתונה נערכה כעבור חודש. במסיבת חנוכה בביתו הכריז ר׳ </w:t>
      </w:r>
      <w:proofErr w:type="spellStart"/>
      <w:r>
        <w:rPr>
          <w:rtl/>
        </w:rPr>
        <w:t>דוד־טעביל</w:t>
      </w:r>
      <w:proofErr w:type="spellEnd"/>
      <w:r>
        <w:rPr>
          <w:rtl/>
        </w:rPr>
        <w:t>: “לפי המדרש, רשאי אדם לקרוא לחתנו ‘בן’</w:t>
      </w:r>
      <w:bookmarkStart w:id="6042" w:name="b5_ref49"/>
      <w:bookmarkEnd w:id="6042"/>
      <w:r>
        <w:rPr>
          <w:vertAlign w:val="superscript"/>
          <w:rtl/>
        </w:rPr>
        <w:fldChar w:fldCharType="begin" w:dirty="true"/>
      </w:r>
      <w:r>
        <w:rPr>
          <w:vertAlign w:val="superscript"/>
          <w:rtl/>
        </w:rPr>
        <w:instrText xml:space="preserve"> REF b5_note49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49</w:t>
      </w:r>
      <w:r>
        <w:rPr>
          <w:vertAlign w:val="superscript"/>
          <w:rtl/>
        </w:rPr>
        <w:fldChar w:fldCharType="end"/>
      </w:r>
      <w:r>
        <w:rPr>
          <w:rtl/>
        </w:rPr>
        <w:t>; נעים לי להכריז ששלמה [</w:t>
      </w:r>
      <w:proofErr w:type="spellStart"/>
      <w:r>
        <w:rPr>
          <w:rtl/>
        </w:rPr>
        <w:t>גבורין</w:t>
      </w:r>
      <w:proofErr w:type="spellEnd"/>
      <w:r>
        <w:rPr>
          <w:rtl/>
        </w:rPr>
        <w:t>] בן דוד [</w:t>
      </w:r>
      <w:proofErr w:type="spellStart"/>
      <w:r>
        <w:rPr>
          <w:rtl/>
        </w:rPr>
        <w:t>דינובסקי</w:t>
      </w:r>
      <w:proofErr w:type="spellEnd"/>
      <w:r>
        <w:rPr>
          <w:rtl/>
        </w:rPr>
        <w:t>]</w:t>
      </w:r>
      <w:bookmarkStart w:id="6043" w:name="b5_ref50"/>
      <w:bookmarkEnd w:id="6043"/>
      <w:r>
        <w:rPr>
          <w:vertAlign w:val="superscript"/>
          <w:rtl/>
        </w:rPr>
        <w:fldChar w:fldCharType="begin" w:dirty="true"/>
      </w:r>
      <w:r>
        <w:rPr>
          <w:vertAlign w:val="superscript"/>
          <w:rtl/>
        </w:rPr>
        <w:instrText xml:space="preserve"> REF b5_note50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50</w:t>
      </w:r>
      <w:r>
        <w:rPr>
          <w:vertAlign w:val="superscript"/>
          <w:rtl/>
        </w:rPr>
        <w:fldChar w:fldCharType="end"/>
      </w:r>
      <w:r>
        <w:rPr>
          <w:rtl/>
        </w:rPr>
        <w:t xml:space="preserve"> הוא ראש הישיבה מכאן ואילך”</w:t>
      </w:r>
      <w:bookmarkStart w:id="6044" w:name="b5_ref51"/>
      <w:bookmarkEnd w:id="6044"/>
      <w:r>
        <w:rPr>
          <w:vertAlign w:val="superscript"/>
          <w:rtl/>
        </w:rPr>
        <w:fldChar w:fldCharType="begin" w:dirty="true"/>
      </w:r>
      <w:r>
        <w:rPr>
          <w:vertAlign w:val="superscript"/>
          <w:rtl/>
        </w:rPr>
        <w:instrText xml:space="preserve"> REF b5_note51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51</w:t>
      </w:r>
      <w:r>
        <w:rPr>
          <w:vertAlign w:val="superscript"/>
          <w:rtl/>
        </w:rPr>
        <w:fldChar w:fldCharType="end"/>
      </w:r>
      <w:r>
        <w:rPr>
          <w:rtl/>
        </w:rPr>
        <w:t>.</w:t>
      </w:r>
    </w:p>
    <w:bookmarkStart w:id="6045" w:name="b5_note48"/>
    <w:p w14:paraId="44BC1552" w14:textId="77777777" w:rsidR="00AB3647" w:rsidRDefault="00000000" w:rsidP="007923E9">
      <w:pPr>
        <w:spacing w:before="120" w:after="100" w:line="276" w:lineRule="auto"/>
        <w:jc w:val="both"/>
      </w:pPr>
      <w:r>
        <w:fldChar w:fldCharType="begin" w:dirty="true"/>
      </w:r>
      <w:r>
        <w:instrText>HYPERLINK \l "b5_ref48"</w:instrText>
      </w:r>
      <w:r>
        <w:fldChar w:fldCharType="separate"/>
      </w:r>
      <w:r>
        <w:rPr>
          <w:b/>
          <w:bCs/>
          <w:rtl/>
        </w:rPr>
        <w:t>48</w:t>
      </w:r>
      <w:r>
        <w:rPr>
          <w:b/>
          <w:bCs/>
        </w:rPr>
        <w:fldChar w:fldCharType="end"/>
      </w:r>
      <w:bookmarkEnd w:id="6045"/>
      <w:r>
        <w:rPr>
          <w:rtl/>
        </w:rPr>
        <w:t xml:space="preserve"> “כמו אביה, הייתה בקיאה בתנ״ך, שכן למדה אותו באופן פרטי”, אמרה בתה, תמר </w:t>
      </w:r>
      <w:proofErr w:type="spellStart"/>
      <w:r>
        <w:rPr>
          <w:rtl/>
        </w:rPr>
        <w:t>קיל</w:t>
      </w:r>
      <w:proofErr w:type="spellEnd"/>
      <w:r>
        <w:rPr>
          <w:rtl/>
        </w:rPr>
        <w:t xml:space="preserve">, והמשיכה: “בת אחרת של ר׳ </w:t>
      </w:r>
      <w:proofErr w:type="spellStart"/>
      <w:r>
        <w:rPr>
          <w:rtl/>
        </w:rPr>
        <w:t>דוד־טעביל</w:t>
      </w:r>
      <w:proofErr w:type="spellEnd"/>
      <w:r>
        <w:rPr>
          <w:rtl/>
        </w:rPr>
        <w:t xml:space="preserve"> נישאה אחר כך לתלמיד ישיבת </w:t>
      </w:r>
      <w:proofErr w:type="spellStart"/>
      <w:r>
        <w:rPr>
          <w:rtl/>
        </w:rPr>
        <w:t>מיר</w:t>
      </w:r>
      <w:proofErr w:type="spellEnd"/>
      <w:r>
        <w:rPr>
          <w:rtl/>
        </w:rPr>
        <w:t xml:space="preserve">” – הוא היה </w:t>
      </w:r>
      <w:proofErr w:type="spellStart"/>
      <w:r>
        <w:rPr>
          <w:rtl/>
        </w:rPr>
        <w:t>לייבל</w:t>
      </w:r>
      <w:proofErr w:type="spellEnd"/>
      <w:r>
        <w:rPr>
          <w:rtl/>
        </w:rPr>
        <w:t xml:space="preserve"> </w:t>
      </w:r>
      <w:proofErr w:type="spellStart"/>
      <w:r>
        <w:rPr>
          <w:rtl/>
        </w:rPr>
        <w:t>איזבוטקער</w:t>
      </w:r>
      <w:proofErr w:type="spellEnd"/>
      <w:r>
        <w:rPr>
          <w:rtl/>
        </w:rPr>
        <w:t>, מן התלמידים הבולטים של אותה ישיבה</w:t>
      </w:r>
      <w:bookmarkStart w:id="6046" w:name="_fnr4563"/>
      <w:r>
        <w:rPr>
          <w:rStyle w:val="a5"/>
        </w:rPr>
        <w:footnoteReference w:id="4574" w:customMarkFollows="0"/>
      </w:r>
      <w:bookmarkEnd w:id="6046"/>
      <w:r>
        <w:rPr>
          <w:rtl/>
        </w:rPr>
        <w:t xml:space="preserve"> – “אבל שאר ילדיו היו טיפוסים שלא מן העולם הזה, ורחוקים מאוד מדרך חייו. אחד היה משורר יידיש גרוש בוורשה, אחר חזן, ושניים אחרים לא נישאו מעולם. כדי להוכיח את ילדיו היה כותב להם שיר תוכחה. הם לא העזו להשיב לו, אבל כטיעון שכנגד היו משאירים לו את שירם, שיקרא אותו למחרת בבוקר. הוא היה חזק ברוחו, אבל לא הצליח למשול בביתו”.</w:t>
      </w:r>
    </w:p>
    <w:p w14:paraId="7E8AB8F0" w14:textId="77777777" w:rsidR="00AB3647" w:rsidRDefault="00000000" w:rsidP="007923E9">
      <w:pPr>
        <w:spacing w:before="120" w:after="100" w:line="276" w:lineRule="auto"/>
        <w:jc w:val="both"/>
      </w:pPr>
      <w:r>
        <w:rPr>
          <w:rtl/>
        </w:rPr>
        <w:t xml:space="preserve">גם ר׳ יהושע </w:t>
      </w:r>
      <w:proofErr w:type="spellStart"/>
      <w:r>
        <w:rPr>
          <w:rtl/>
        </w:rPr>
        <w:t>הוטנר</w:t>
      </w:r>
      <w:proofErr w:type="spellEnd"/>
      <w:r>
        <w:rPr>
          <w:rtl/>
        </w:rPr>
        <w:t xml:space="preserve"> הכיר את ילדי </w:t>
      </w:r>
      <w:proofErr w:type="spellStart"/>
      <w:r>
        <w:rPr>
          <w:rtl/>
        </w:rPr>
        <w:t>דינובסקי</w:t>
      </w:r>
      <w:proofErr w:type="spellEnd"/>
      <w:r>
        <w:rPr>
          <w:rtl/>
        </w:rPr>
        <w:t xml:space="preserve">, ובהם המשורר ישראל, שקרא באוזניו כמה משיריו. הרב </w:t>
      </w:r>
      <w:proofErr w:type="spellStart"/>
      <w:r>
        <w:rPr>
          <w:rtl/>
        </w:rPr>
        <w:t>הוטנר</w:t>
      </w:r>
      <w:proofErr w:type="spellEnd"/>
      <w:r>
        <w:rPr>
          <w:rtl/>
        </w:rPr>
        <w:t xml:space="preserve"> זכר שאחד השירים נקרא בשם שאי אפשר לשכוח: “</w:t>
      </w:r>
      <w:proofErr w:type="spellStart"/>
      <w:r>
        <w:rPr>
          <w:rtl/>
        </w:rPr>
        <w:t>דער</w:t>
      </w:r>
      <w:proofErr w:type="spellEnd"/>
      <w:r>
        <w:rPr>
          <w:rtl/>
        </w:rPr>
        <w:t xml:space="preserve"> </w:t>
      </w:r>
      <w:proofErr w:type="spellStart"/>
      <w:r>
        <w:rPr>
          <w:rtl/>
        </w:rPr>
        <w:t>געזעץ</w:t>
      </w:r>
      <w:proofErr w:type="spellEnd"/>
      <w:r>
        <w:rPr>
          <w:rtl/>
        </w:rPr>
        <w:t xml:space="preserve"> פון </w:t>
      </w:r>
      <w:proofErr w:type="spellStart"/>
      <w:r>
        <w:rPr>
          <w:rtl/>
        </w:rPr>
        <w:t>קיילעכדיקייט</w:t>
      </w:r>
      <w:proofErr w:type="spellEnd"/>
      <w:r>
        <w:rPr>
          <w:rtl/>
        </w:rPr>
        <w:t xml:space="preserve"> [חוק המעגליות]”. ר׳ זליג אפשטיין זכר בן אחד “שהסתובב בבית אביו אבל כבר סר מן הדרך; הוא לבש חולצה שחורה ואבנט, שזיהו אותו כקיצוני”</w:t>
      </w:r>
      <w:bookmarkStart w:id="6047" w:name="_fnr4564"/>
      <w:r>
        <w:rPr>
          <w:rStyle w:val="a5"/>
        </w:rPr>
        <w:footnoteReference w:id="4575" w:customMarkFollows="0"/>
      </w:r>
      <w:bookmarkEnd w:id="6047"/>
      <w:r>
        <w:rPr>
          <w:rtl/>
        </w:rPr>
        <w:t>.</w:t>
      </w:r>
    </w:p>
    <w:bookmarkStart w:id="6048" w:name="b5_note49"/>
    <w:p w14:paraId="2AE5BA56" w14:textId="3B6CDEEB" w:rsidR="00AB3647" w:rsidRDefault="00000000" w:rsidP="007923E9">
      <w:pPr>
        <w:spacing w:before="120" w:after="100" w:line="276" w:lineRule="auto"/>
        <w:jc w:val="both"/>
      </w:pPr>
      <w:r>
        <w:fldChar w:fldCharType="begin" w:dirty="true"/>
      </w:r>
      <w:r>
        <w:instrText>HYPERLINK \l "b5_ref49"</w:instrText>
      </w:r>
      <w:r>
        <w:fldChar w:fldCharType="separate"/>
      </w:r>
      <w:r>
        <w:rPr>
          <w:b/>
          <w:bCs/>
          <w:rtl/>
        </w:rPr>
        <w:t>49</w:t>
      </w:r>
      <w:r>
        <w:rPr>
          <w:b/>
          <w:bCs/>
        </w:rPr>
        <w:fldChar w:fldCharType="end"/>
      </w:r>
      <w:bookmarkEnd w:id="6048"/>
      <w:r>
        <w:rPr>
          <w:rtl/>
        </w:rPr>
        <w:t xml:space="preserve"> “אין אדם נמנע מלקרא לחתנו בנו”</w:t>
      </w:r>
      <w:bookmarkStart w:id="6049" w:name="_fnr4565"/>
      <w:r>
        <w:rPr>
          <w:rStyle w:val="a5"/>
        </w:rPr>
        <w:footnoteReference w:id="4576" w:customMarkFollows="0"/>
      </w:r>
      <w:bookmarkEnd w:id="6049"/>
      <w:r>
        <w:rPr>
          <w:rtl/>
        </w:rPr>
        <w:t xml:space="preserve">. ראה גם פרק 4, סוף הפסקה השנייה של </w:t>
      </w:r>
      <w:r>
        <w:rPr>
          <w:rtl/>
        </w:rPr>
        <w:fldChar w:fldCharType="begin" w:dirty="true"/>
      </w:r>
      <w:r>
        <w:rPr>
          <w:rtl/>
        </w:rPr>
        <w:instrText xml:space="preserve"> REF b4_excT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כיצד התבסס פסק על עיקרון זה.</w:t>
      </w:r>
    </w:p>
    <w:bookmarkStart w:id="6050" w:name="b5_note50"/>
    <w:p w14:paraId="4A2A457D" w14:textId="77777777" w:rsidR="00AB3647" w:rsidRDefault="00000000" w:rsidP="007923E9">
      <w:pPr>
        <w:spacing w:before="120" w:after="100" w:line="276" w:lineRule="auto"/>
        <w:jc w:val="both"/>
      </w:pPr>
      <w:r>
        <w:fldChar w:fldCharType="begin" w:dirty="true"/>
      </w:r>
      <w:r>
        <w:instrText>HYPERLINK \l "b5_ref50"</w:instrText>
      </w:r>
      <w:r>
        <w:fldChar w:fldCharType="separate"/>
      </w:r>
      <w:r>
        <w:rPr>
          <w:b/>
          <w:bCs/>
          <w:rtl/>
        </w:rPr>
        <w:t>50</w:t>
      </w:r>
      <w:r>
        <w:rPr>
          <w:b/>
          <w:bCs/>
        </w:rPr>
        <w:fldChar w:fldCharType="end"/>
      </w:r>
      <w:bookmarkEnd w:id="6050"/>
      <w:r>
        <w:rPr>
          <w:rtl/>
        </w:rPr>
        <w:t xml:space="preserve"> התנ״ך היה לפניו כספר פתוח, והוא השתמש במשחק מילים מחוכם כדי לקשור את חתנו לשלמה המלך החכם, שהיה חכם אף מאביו, דוד המלך</w:t>
      </w:r>
      <w:bookmarkStart w:id="6051" w:name="_fnr4566"/>
      <w:r>
        <w:rPr>
          <w:rStyle w:val="a5"/>
        </w:rPr>
        <w:footnoteReference w:id="4577" w:customMarkFollows="0"/>
      </w:r>
      <w:bookmarkEnd w:id="6051"/>
      <w:r>
        <w:rPr>
          <w:rtl/>
        </w:rPr>
        <w:t xml:space="preserve">. בענווה רצה הרב </w:t>
      </w:r>
      <w:proofErr w:type="spellStart"/>
      <w:r>
        <w:rPr>
          <w:rtl/>
        </w:rPr>
        <w:t>דינובסקי</w:t>
      </w:r>
      <w:proofErr w:type="spellEnd"/>
      <w:r>
        <w:rPr>
          <w:rtl/>
        </w:rPr>
        <w:t xml:space="preserve"> לומר לתלמידים שהם מקבלים ראש ישיבה טוב יותר – שלמה (</w:t>
      </w:r>
      <w:proofErr w:type="spellStart"/>
      <w:r>
        <w:rPr>
          <w:rtl/>
        </w:rPr>
        <w:t>גבורין</w:t>
      </w:r>
      <w:proofErr w:type="spellEnd"/>
      <w:r>
        <w:rPr>
          <w:rtl/>
        </w:rPr>
        <w:t>) – מזה שהיה להם עד אז בדוד (־</w:t>
      </w:r>
      <w:proofErr w:type="spellStart"/>
      <w:r>
        <w:rPr>
          <w:rtl/>
        </w:rPr>
        <w:t>טעביל</w:t>
      </w:r>
      <w:proofErr w:type="spellEnd"/>
      <w:r>
        <w:rPr>
          <w:rtl/>
        </w:rPr>
        <w:t xml:space="preserve"> </w:t>
      </w:r>
      <w:proofErr w:type="spellStart"/>
      <w:r>
        <w:rPr>
          <w:rtl/>
        </w:rPr>
        <w:t>דינובסקי</w:t>
      </w:r>
      <w:proofErr w:type="spellEnd"/>
      <w:r>
        <w:rPr>
          <w:rtl/>
        </w:rPr>
        <w:t>).</w:t>
      </w:r>
    </w:p>
    <w:bookmarkStart w:id="6052" w:name="b5_note51"/>
    <w:p w14:paraId="52B8BADB" w14:textId="5AB0B2DD" w:rsidR="00AB3647" w:rsidRDefault="00000000" w:rsidP="007923E9">
      <w:pPr>
        <w:spacing w:before="120" w:after="100" w:line="276" w:lineRule="auto"/>
        <w:jc w:val="both"/>
      </w:pPr>
      <w:r>
        <w:lastRenderedPageBreak/>
        <w:fldChar w:fldCharType="begin" w:dirty="true"/>
      </w:r>
      <w:r>
        <w:instrText>HYPERLINK \l "b5_ref51"</w:instrText>
      </w:r>
      <w:r>
        <w:fldChar w:fldCharType="separate"/>
      </w:r>
      <w:r>
        <w:rPr>
          <w:b/>
          <w:bCs/>
          <w:rtl/>
        </w:rPr>
        <w:t>51</w:t>
      </w:r>
      <w:r>
        <w:rPr>
          <w:b/>
          <w:bCs/>
        </w:rPr>
        <w:fldChar w:fldCharType="end"/>
      </w:r>
      <w:bookmarkEnd w:id="6052"/>
      <w:r>
        <w:rPr>
          <w:rtl/>
        </w:rPr>
        <w:t xml:space="preserve"> השיחה המוקלטת במלאות חמישים שנה לפטירת הסבא (פרק 3, הערה </w:t>
      </w:r>
      <w:r>
        <w:rPr>
          <w:rtl/>
        </w:rPr>
        <w:fldChar w:fldCharType="begin" w:dirty="true"/>
      </w:r>
      <w:r>
        <w:rPr>
          <w:rtl/>
        </w:rPr>
        <w:instrText xml:space="preserve"> REF b3_note26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26</w:t>
      </w:r>
      <w:r>
        <w:rPr>
          <w:rtl/>
        </w:rPr>
        <w:fldChar w:fldCharType="end"/>
      </w:r>
      <w:r>
        <w:rPr>
          <w:rtl/>
        </w:rPr>
        <w:t>).</w:t>
      </w:r>
    </w:p>
    <w:p w14:paraId="13E5335C" w14:textId="559FD062"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ישיבת </w:t>
      </w:r>
      <w:proofErr w:type="spellStart"/>
      <w:r>
        <w:rPr>
          <w:rtl/>
        </w:rPr>
        <w:t>מאלטש</w:t>
      </w:r>
      <w:proofErr w:type="spellEnd"/>
      <w:r>
        <w:rPr>
          <w:rtl/>
        </w:rPr>
        <w:t xml:space="preserve"> החדשה התבססה היטב כבר בזמנה הראשון, מפני שגם ראש הישיבה המייסד וגם חתנו, ראש הישיבה החדש, היו בעלי אישיות מעניינת</w:t>
      </w:r>
      <w:bookmarkStart w:id="6053" w:name="b5_ref52"/>
      <w:bookmarkEnd w:id="6053"/>
      <w:r>
        <w:rPr>
          <w:vertAlign w:val="superscript"/>
          <w:rtl/>
        </w:rPr>
        <w:fldChar w:fldCharType="begin" w:dirty="true"/>
      </w:r>
      <w:r>
        <w:rPr>
          <w:vertAlign w:val="superscript"/>
          <w:rtl/>
        </w:rPr>
        <w:instrText xml:space="preserve"> REF b5_note52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52</w:t>
      </w:r>
      <w:r>
        <w:rPr>
          <w:vertAlign w:val="superscript"/>
          <w:rtl/>
        </w:rPr>
        <w:fldChar w:fldCharType="end"/>
      </w:r>
      <w:r>
        <w:rPr>
          <w:rtl/>
        </w:rPr>
        <w:t xml:space="preserve"> ומושכת</w:t>
      </w:r>
      <w:bookmarkStart w:id="6054" w:name="b5_ref53"/>
      <w:bookmarkEnd w:id="6054"/>
      <w:r>
        <w:rPr>
          <w:vertAlign w:val="superscript"/>
          <w:rtl/>
        </w:rPr>
        <w:fldChar w:fldCharType="begin" w:dirty="true"/>
      </w:r>
      <w:r>
        <w:rPr>
          <w:vertAlign w:val="superscript"/>
          <w:rtl/>
        </w:rPr>
        <w:instrText xml:space="preserve"> REF b5_note53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53</w:t>
      </w:r>
      <w:r>
        <w:rPr>
          <w:vertAlign w:val="superscript"/>
          <w:rtl/>
        </w:rPr>
        <w:fldChar w:fldCharType="end"/>
      </w:r>
      <w:r>
        <w:rPr>
          <w:rtl/>
        </w:rPr>
        <w:t>. שיעוריו המבריקים של ר׳ שלמה היו חביבים על הבחורים, והקנו לו את הכינוי “ר׳ שלמה החריף”</w:t>
      </w:r>
      <w:bookmarkStart w:id="6055" w:name="b5_ref54"/>
      <w:bookmarkEnd w:id="6055"/>
      <w:r>
        <w:rPr>
          <w:vertAlign w:val="superscript"/>
          <w:rtl/>
        </w:rPr>
        <w:fldChar w:fldCharType="begin" w:dirty="true"/>
      </w:r>
      <w:r>
        <w:rPr>
          <w:vertAlign w:val="superscript"/>
          <w:rtl/>
        </w:rPr>
        <w:instrText xml:space="preserve"> REF b5_note54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54</w:t>
      </w:r>
      <w:r>
        <w:rPr>
          <w:vertAlign w:val="superscript"/>
          <w:rtl/>
        </w:rPr>
        <w:fldChar w:fldCharType="end"/>
      </w:r>
      <w:r>
        <w:rPr>
          <w:rtl/>
        </w:rPr>
        <w:t>. נוסף על כך, התלמידים חשו סיפוק מכך שהקימו מבצר תורה חדש על המפה היהודית</w:t>
      </w:r>
      <w:bookmarkStart w:id="6056" w:name="b5_ref55"/>
      <w:bookmarkEnd w:id="6056"/>
      <w:r>
        <w:rPr>
          <w:vertAlign w:val="superscript"/>
          <w:rtl/>
        </w:rPr>
        <w:fldChar w:fldCharType="begin" w:dirty="true"/>
      </w:r>
      <w:r>
        <w:rPr>
          <w:vertAlign w:val="superscript"/>
          <w:rtl/>
        </w:rPr>
        <w:instrText xml:space="preserve"> REF b5_note55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55</w:t>
      </w:r>
      <w:r>
        <w:rPr>
          <w:vertAlign w:val="superscript"/>
          <w:rtl/>
        </w:rPr>
        <w:fldChar w:fldCharType="end"/>
      </w:r>
      <w:r>
        <w:rPr>
          <w:rtl/>
        </w:rPr>
        <w:t>.</w:t>
      </w:r>
    </w:p>
    <w:bookmarkStart w:id="6057" w:name="b5_note52"/>
    <w:p w14:paraId="5AF0150E" w14:textId="704E236E" w:rsidR="00AB3647" w:rsidRDefault="00000000" w:rsidP="007923E9">
      <w:pPr>
        <w:spacing w:before="120" w:after="100" w:line="276" w:lineRule="auto"/>
        <w:jc w:val="both"/>
      </w:pPr>
      <w:r>
        <w:fldChar w:fldCharType="begin" w:dirty="true"/>
      </w:r>
      <w:r>
        <w:instrText>HYPERLINK \l "b5_ref52"</w:instrText>
      </w:r>
      <w:r>
        <w:fldChar w:fldCharType="separate"/>
      </w:r>
      <w:r>
        <w:rPr>
          <w:b/>
          <w:bCs/>
          <w:rtl/>
        </w:rPr>
        <w:t>52</w:t>
      </w:r>
      <w:r>
        <w:rPr>
          <w:b/>
          <w:bCs/>
        </w:rPr>
        <w:fldChar w:fldCharType="end"/>
      </w:r>
      <w:bookmarkEnd w:id="6057"/>
      <w:r>
        <w:rPr>
          <w:rtl/>
        </w:rPr>
        <w:t xml:space="preserve"> על ר׳ </w:t>
      </w:r>
      <w:proofErr w:type="spellStart"/>
      <w:r>
        <w:rPr>
          <w:rtl/>
        </w:rPr>
        <w:t>דוד־טעביל</w:t>
      </w:r>
      <w:proofErr w:type="spellEnd"/>
      <w:r>
        <w:rPr>
          <w:rtl/>
        </w:rPr>
        <w:t xml:space="preserve"> השווה הערות 42, 44 ו־45 לעיל; על ר׳ שלמה השווה פרק 3, הפסקאות השנייה והשלישית של </w:t>
      </w:r>
      <w:r>
        <w:rPr>
          <w:rtl/>
        </w:rPr>
        <w:fldChar w:fldCharType="begin" w:dirty="true"/>
      </w:r>
      <w:r>
        <w:rPr>
          <w:rtl/>
        </w:rPr>
        <w:instrText xml:space="preserve"> REF b3_excT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כ</w:t>
      </w:r>
      <w:r>
        <w:rPr>
          <w:rtl/>
        </w:rPr>
        <w:fldChar w:fldCharType="end"/>
      </w:r>
      <w:r>
        <w:rPr>
          <w:rtl/>
        </w:rPr>
        <w:t xml:space="preserve">. שני הגאונים האלה, בעלי הידיעות הרחבות, יכלו לשמש דמויות מופת לבחורי ישיבה בעלי נטייה אינטלקטואלית. הרב </w:t>
      </w:r>
      <w:proofErr w:type="spellStart"/>
      <w:r>
        <w:rPr>
          <w:rtl/>
        </w:rPr>
        <w:t>גבורין</w:t>
      </w:r>
      <w:proofErr w:type="spellEnd"/>
      <w:r>
        <w:rPr>
          <w:rtl/>
        </w:rPr>
        <w:t xml:space="preserve"> לא היה רק למדן מופלג, אלא גם בקי בתולדות ישראל ומומחה לסדר הדורות של חכמי התלמוד</w:t>
      </w:r>
      <w:bookmarkStart w:id="6058" w:name="_fnr4567"/>
      <w:r>
        <w:rPr>
          <w:rStyle w:val="a5"/>
        </w:rPr>
        <w:footnoteReference w:id="4578" w:customMarkFollows="0"/>
      </w:r>
      <w:bookmarkEnd w:id="6058"/>
      <w:r>
        <w:rPr>
          <w:rtl/>
        </w:rPr>
        <w:t xml:space="preserve">. ר׳ שרגא אברמסון, שמעולם לא פגש את ר׳ שלמה פנים אל פנים, סיפר שהחכם הגדול היה ידוע גם כאמן שחמט (ראה גם תחילת פרק 4,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w:t>
      </w:r>
    </w:p>
    <w:bookmarkStart w:id="6059" w:name="b5_note53"/>
    <w:p w14:paraId="4764A29C" w14:textId="77777777" w:rsidR="00AB3647" w:rsidRDefault="00000000" w:rsidP="007923E9">
      <w:pPr>
        <w:spacing w:before="120" w:after="100" w:line="276" w:lineRule="auto"/>
        <w:jc w:val="both"/>
      </w:pPr>
      <w:r>
        <w:fldChar w:fldCharType="begin" w:dirty="true"/>
      </w:r>
      <w:r>
        <w:instrText>HYPERLINK \l "b5_ref53"</w:instrText>
      </w:r>
      <w:r>
        <w:fldChar w:fldCharType="separate"/>
      </w:r>
      <w:r>
        <w:rPr>
          <w:b/>
          <w:bCs/>
          <w:rtl/>
        </w:rPr>
        <w:t>53</w:t>
      </w:r>
      <w:r>
        <w:rPr>
          <w:b/>
          <w:bCs/>
        </w:rPr>
        <w:fldChar w:fldCharType="end"/>
      </w:r>
      <w:bookmarkEnd w:id="6059"/>
      <w:r>
        <w:rPr>
          <w:rtl/>
        </w:rPr>
        <w:t xml:space="preserve"> ר׳ דוד </w:t>
      </w:r>
      <w:proofErr w:type="spellStart"/>
      <w:r>
        <w:rPr>
          <w:rtl/>
        </w:rPr>
        <w:t>אוסטרוב</w:t>
      </w:r>
      <w:proofErr w:type="spellEnd"/>
      <w:r>
        <w:rPr>
          <w:rtl/>
        </w:rPr>
        <w:t xml:space="preserve">, תלמיד הרב </w:t>
      </w:r>
      <w:proofErr w:type="spellStart"/>
      <w:r>
        <w:rPr>
          <w:rtl/>
        </w:rPr>
        <w:t>גבורין</w:t>
      </w:r>
      <w:proofErr w:type="spellEnd"/>
      <w:r>
        <w:rPr>
          <w:rtl/>
        </w:rPr>
        <w:t xml:space="preserve"> בשנותיו האחרונות </w:t>
      </w:r>
      <w:proofErr w:type="spellStart"/>
      <w:r>
        <w:rPr>
          <w:rtl/>
        </w:rPr>
        <w:t>בביאליסטוק</w:t>
      </w:r>
      <w:proofErr w:type="spellEnd"/>
      <w:r>
        <w:rPr>
          <w:rtl/>
        </w:rPr>
        <w:t>, שאחרי מלחמת העולם הראשונה</w:t>
      </w:r>
      <w:bookmarkStart w:id="6060" w:name="_fnr4568"/>
      <w:r>
        <w:rPr>
          <w:rStyle w:val="a5"/>
        </w:rPr>
        <w:footnoteReference w:id="4579" w:customMarkFollows="0"/>
      </w:r>
      <w:bookmarkEnd w:id="6060"/>
      <w:r>
        <w:rPr>
          <w:rtl/>
        </w:rPr>
        <w:t>, האיר תכונה של ר׳ שלמה שבלי ספק חיבבה אותו על אבי</w:t>
      </w:r>
      <w:bookmarkStart w:id="6061" w:name="_fnr4569"/>
      <w:r>
        <w:rPr>
          <w:rStyle w:val="a5"/>
        </w:rPr>
        <w:footnoteReference w:id="4580" w:customMarkFollows="0"/>
      </w:r>
      <w:bookmarkEnd w:id="6061"/>
      <w:r>
        <w:rPr>
          <w:rtl/>
        </w:rPr>
        <w:t xml:space="preserve">: “הוא היה אדם ישר – </w:t>
      </w:r>
      <w:proofErr w:type="spellStart"/>
      <w:r>
        <w:rPr>
          <w:rtl/>
        </w:rPr>
        <w:t>ראייעלער</w:t>
      </w:r>
      <w:proofErr w:type="spellEnd"/>
      <w:r>
        <w:rPr>
          <w:rtl/>
        </w:rPr>
        <w:t xml:space="preserve"> </w:t>
      </w:r>
      <w:proofErr w:type="spellStart"/>
      <w:r>
        <w:rPr>
          <w:rtl/>
        </w:rPr>
        <w:t>מענש</w:t>
      </w:r>
      <w:proofErr w:type="spellEnd"/>
      <w:r>
        <w:rPr>
          <w:rtl/>
        </w:rPr>
        <w:t xml:space="preserve"> [אדם הגון]: לא נשא פנים – ניט </w:t>
      </w:r>
      <w:proofErr w:type="spellStart"/>
      <w:r>
        <w:rPr>
          <w:rtl/>
        </w:rPr>
        <w:t>געשאנעוועט</w:t>
      </w:r>
      <w:proofErr w:type="spellEnd"/>
      <w:r>
        <w:rPr>
          <w:rtl/>
        </w:rPr>
        <w:t xml:space="preserve">. פעם בחנו הרבנים את כל התלמידים בבת אחת. נשאלה שאלה, וכמה נערים מלפנים ניסו להשיב נכון ולא הצליחו. אני, מאחור, צעיר ונמוך, הרמתי יד והשבתי נכון. אז קרא אחד הנערים, שלאביו הייתה השפעה פוליטית בבית הספר: ‘זו הייתה גם </w:t>
      </w:r>
      <w:r>
        <w:rPr>
          <w:b/>
          <w:bCs/>
          <w:rtl/>
        </w:rPr>
        <w:t>תשובתי</w:t>
      </w:r>
      <w:r>
        <w:rPr>
          <w:rtl/>
        </w:rPr>
        <w:t>!’ ענה לו ר׳ שלמה: ‘</w:t>
      </w:r>
      <w:proofErr w:type="spellStart"/>
      <w:r>
        <w:rPr>
          <w:rtl/>
        </w:rPr>
        <w:t>טערק</w:t>
      </w:r>
      <w:proofErr w:type="spellEnd"/>
      <w:r>
        <w:rPr>
          <w:rtl/>
        </w:rPr>
        <w:t xml:space="preserve">, </w:t>
      </w:r>
      <w:proofErr w:type="spellStart"/>
      <w:r>
        <w:rPr>
          <w:rtl/>
        </w:rPr>
        <w:t>זאג</w:t>
      </w:r>
      <w:proofErr w:type="spellEnd"/>
      <w:r>
        <w:rPr>
          <w:rtl/>
        </w:rPr>
        <w:t xml:space="preserve"> </w:t>
      </w:r>
      <w:proofErr w:type="spellStart"/>
      <w:r>
        <w:rPr>
          <w:rtl/>
        </w:rPr>
        <w:t>יעצט</w:t>
      </w:r>
      <w:proofErr w:type="spellEnd"/>
      <w:r>
        <w:rPr>
          <w:rtl/>
        </w:rPr>
        <w:t xml:space="preserve"> </w:t>
      </w:r>
      <w:proofErr w:type="spellStart"/>
      <w:r>
        <w:rPr>
          <w:rtl/>
        </w:rPr>
        <w:t>איבער</w:t>
      </w:r>
      <w:proofErr w:type="spellEnd"/>
      <w:r>
        <w:rPr>
          <w:rtl/>
        </w:rPr>
        <w:t xml:space="preserve"> [טורקי</w:t>
      </w:r>
      <w:bookmarkStart w:id="6062" w:name="_fnr4570"/>
      <w:r>
        <w:rPr>
          <w:rStyle w:val="a5"/>
        </w:rPr>
        <w:footnoteReference w:id="4581" w:customMarkFollows="0"/>
      </w:r>
      <w:bookmarkEnd w:id="6062"/>
      <w:r>
        <w:rPr>
          <w:rtl/>
        </w:rPr>
        <w:t>, חזור על כך עכשיו]’ – כלומר, ‘פטפטן, [לא יכולת לומר תשובה זו, מפני שאינך מבין אותה די הצורך אפילו כדי] לחזור עליה עכשיו [אחרי ששמעת מפי אחר]!’ לציון הסופי רצה רבי לתת לי ציון נמוך משל הנער האחר, אבל ר׳ שלמה לא הניח לו לקפחני. ר׳ שלמה היה נעים לשיחה, תמיד בחיוך ובסבר פנים יפות למרות צרותיו הקודמות”.</w:t>
      </w:r>
    </w:p>
    <w:p w14:paraId="7ABF236B" w14:textId="00B21B31" w:rsidR="00AB3647" w:rsidRDefault="00000000" w:rsidP="007923E9">
      <w:pPr>
        <w:spacing w:before="120" w:after="100" w:line="276" w:lineRule="auto"/>
        <w:jc w:val="both"/>
      </w:pPr>
      <w:r>
        <w:rPr>
          <w:rtl/>
        </w:rPr>
        <w:t xml:space="preserve">ר׳ דוד </w:t>
      </w:r>
      <w:proofErr w:type="spellStart"/>
      <w:r>
        <w:rPr>
          <w:rtl/>
        </w:rPr>
        <w:t>אוסטרוב</w:t>
      </w:r>
      <w:proofErr w:type="spellEnd"/>
      <w:r>
        <w:rPr>
          <w:rtl/>
        </w:rPr>
        <w:t xml:space="preserve"> התכוון לשנותיו הקשות של ר׳ שלמה במינסק, המתוארות בפסקה השנייה של הערה </w:t>
      </w:r>
      <w:r>
        <w:rPr>
          <w:rtl/>
        </w:rPr>
        <w:fldChar w:fldCharType="begin" w:dirty="true"/>
      </w:r>
      <w:r>
        <w:rPr>
          <w:rtl/>
        </w:rPr>
        <w:instrText xml:space="preserve"> REF b5_note55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55</w:t>
      </w:r>
      <w:r>
        <w:rPr>
          <w:rtl/>
        </w:rPr>
        <w:fldChar w:fldCharType="end"/>
      </w:r>
      <w:r>
        <w:rPr>
          <w:rtl/>
        </w:rPr>
        <w:t xml:space="preserve"> להלן, ולשנות בדידותו שבין פטירת אשתו לנישואיו השניים, בזמן שהיה </w:t>
      </w:r>
      <w:proofErr w:type="spellStart"/>
      <w:r>
        <w:rPr>
          <w:rtl/>
        </w:rPr>
        <w:t>אוסטרוב</w:t>
      </w:r>
      <w:proofErr w:type="spellEnd"/>
      <w:r>
        <w:rPr>
          <w:rtl/>
        </w:rPr>
        <w:t xml:space="preserve"> תלמיד בבית הספר שבו לימד הרב </w:t>
      </w:r>
      <w:proofErr w:type="spellStart"/>
      <w:r>
        <w:rPr>
          <w:rtl/>
        </w:rPr>
        <w:t>גבורין</w:t>
      </w:r>
      <w:proofErr w:type="spellEnd"/>
      <w:r>
        <w:rPr>
          <w:rtl/>
        </w:rPr>
        <w:t>.</w:t>
      </w:r>
    </w:p>
    <w:p w14:paraId="11BEBD87" w14:textId="77777777" w:rsidR="00AB3647" w:rsidRDefault="00000000" w:rsidP="007923E9">
      <w:pPr>
        <w:spacing w:after="100" w:line="276" w:lineRule="auto"/>
        <w:ind w:firstLine="340"/>
        <w:jc w:val="both"/>
      </w:pPr>
      <w:r>
        <w:rPr>
          <w:rtl/>
        </w:rPr>
        <w:t xml:space="preserve">על תכונה נעימה נוספת של ר׳ שלמה סיפר ר׳ ישראל </w:t>
      </w:r>
      <w:proofErr w:type="spellStart"/>
      <w:r>
        <w:rPr>
          <w:rtl/>
        </w:rPr>
        <w:t>כצנלן</w:t>
      </w:r>
      <w:bookmarkStart w:id="6063" w:name="_fnr4571"/>
      <w:proofErr w:type="spellEnd"/>
      <w:r>
        <w:rPr>
          <w:rStyle w:val="a5"/>
        </w:rPr>
        <w:footnoteReference w:id="4582" w:customMarkFollows="0"/>
      </w:r>
      <w:bookmarkEnd w:id="6063"/>
      <w:r>
        <w:rPr>
          <w:rtl/>
        </w:rPr>
        <w:t>, שלמד אצלו בבית הכנסת שואבי מים במינסק</w:t>
      </w:r>
      <w:bookmarkStart w:id="6064" w:name="_fnr4572"/>
      <w:r>
        <w:rPr>
          <w:rStyle w:val="a5"/>
        </w:rPr>
        <w:footnoteReference w:id="4583" w:customMarkFollows="0"/>
      </w:r>
      <w:bookmarkEnd w:id="6064"/>
      <w:r>
        <w:rPr>
          <w:rtl/>
        </w:rPr>
        <w:t xml:space="preserve"> בגיל </w:t>
      </w:r>
      <w:proofErr w:type="spellStart"/>
      <w:r>
        <w:rPr>
          <w:rtl/>
        </w:rPr>
        <w:t>חמש־עשרה</w:t>
      </w:r>
      <w:proofErr w:type="spellEnd"/>
      <w:r>
        <w:rPr>
          <w:rtl/>
        </w:rPr>
        <w:t xml:space="preserve">: “ר׳ שלמה היה ידוע בישיבה </w:t>
      </w:r>
      <w:proofErr w:type="spellStart"/>
      <w:r>
        <w:rPr>
          <w:rtl/>
        </w:rPr>
        <w:t>כוויצלינג</w:t>
      </w:r>
      <w:proofErr w:type="spellEnd"/>
      <w:r>
        <w:rPr>
          <w:rtl/>
        </w:rPr>
        <w:t xml:space="preserve"> [בדחן]”, אמר ר׳ ישראל. אחד החידודים שזכר עסק בהגדרת שנאת חינם</w:t>
      </w:r>
      <w:bookmarkStart w:id="6065" w:name="_fnr4573"/>
      <w:r>
        <w:rPr>
          <w:rStyle w:val="a5"/>
        </w:rPr>
        <w:footnoteReference w:id="4584" w:customMarkFollows="0"/>
      </w:r>
      <w:bookmarkEnd w:id="6065"/>
      <w:r>
        <w:rPr>
          <w:rtl/>
        </w:rPr>
        <w:t xml:space="preserve">. ר׳ שלמה שאל: “כיצד ייתכן שאדם ישנא את אחיו היהודי בלי כל סיבה?” והשיב: “עם הארץ שונא תלמיד חכם </w:t>
      </w:r>
      <w:r>
        <w:rPr>
          <w:rtl/>
        </w:rPr>
        <w:lastRenderedPageBreak/>
        <w:t>מטבעו</w:t>
      </w:r>
      <w:bookmarkStart w:id="6066" w:name="_fnr4574"/>
      <w:r>
        <w:rPr>
          <w:rStyle w:val="a5"/>
        </w:rPr>
        <w:footnoteReference w:id="4585" w:customMarkFollows="0"/>
      </w:r>
      <w:bookmarkEnd w:id="6066"/>
      <w:r>
        <w:rPr>
          <w:rtl/>
        </w:rPr>
        <w:t>. כשעם הארץ רואה שני אנשים מתווכחים על עניין בתורה, הוא מניח שזה שצועק יותר הוא הלמדן, והשקט הוא הבור, והוא מתחיל לשנוא את הצועק. באמת, השקט הוא הלמדן, והצועק, כרגיל, אינו יודע על מה הוא מדבר. וכך נמצא עם הארץ שונא יהודי לחינם!”</w:t>
      </w:r>
    </w:p>
    <w:p w14:paraId="5D79AF0B" w14:textId="77777777" w:rsidR="00AB3647" w:rsidRDefault="00000000" w:rsidP="007923E9">
      <w:pPr>
        <w:spacing w:after="100" w:line="276" w:lineRule="auto"/>
        <w:ind w:firstLine="340"/>
        <w:jc w:val="both"/>
      </w:pPr>
      <w:r>
        <w:rPr>
          <w:rtl/>
        </w:rPr>
        <w:t xml:space="preserve">אבי חש חיבה עמוקה </w:t>
      </w:r>
      <w:proofErr w:type="spellStart"/>
      <w:r>
        <w:rPr>
          <w:rtl/>
        </w:rPr>
        <w:t>לר</w:t>
      </w:r>
      <w:proofErr w:type="spellEnd"/>
      <w:r>
        <w:rPr>
          <w:rtl/>
        </w:rPr>
        <w:t xml:space="preserve">׳ שלמה, אף שלמד אצלו פחות מזמן אחד. יש לשים לב שכשהביא רבנו, כמו ר׳ </w:t>
      </w:r>
      <w:proofErr w:type="spellStart"/>
      <w:r>
        <w:rPr>
          <w:rtl/>
        </w:rPr>
        <w:t>חצקל</w:t>
      </w:r>
      <w:proofErr w:type="spellEnd"/>
      <w:r>
        <w:rPr>
          <w:rtl/>
        </w:rPr>
        <w:t xml:space="preserve"> </w:t>
      </w:r>
      <w:proofErr w:type="spellStart"/>
      <w:r>
        <w:rPr>
          <w:rtl/>
        </w:rPr>
        <w:t>סרנא</w:t>
      </w:r>
      <w:proofErr w:type="spellEnd"/>
      <w:r>
        <w:rPr>
          <w:rtl/>
        </w:rPr>
        <w:t xml:space="preserve">, את סירובו של הסבא לסלק </w:t>
      </w:r>
      <w:proofErr w:type="spellStart"/>
      <w:r>
        <w:rPr>
          <w:rtl/>
        </w:rPr>
        <w:t>מסלבודקה</w:t>
      </w:r>
      <w:proofErr w:type="spellEnd"/>
      <w:r>
        <w:rPr>
          <w:rtl/>
        </w:rPr>
        <w:t xml:space="preserve"> את מתנגדי המוסר ואת נימוקו לכך</w:t>
      </w:r>
      <w:bookmarkStart w:id="6067" w:name="_fnr4575"/>
      <w:r>
        <w:rPr>
          <w:rStyle w:val="a5"/>
        </w:rPr>
        <w:footnoteReference w:id="4586" w:customMarkFollows="0"/>
      </w:r>
      <w:bookmarkEnd w:id="6067"/>
      <w:r>
        <w:rPr>
          <w:rtl/>
        </w:rPr>
        <w:t xml:space="preserve">, הזכיר כדוגמה רק את ר׳ יוסף </w:t>
      </w:r>
      <w:proofErr w:type="spellStart"/>
      <w:r>
        <w:rPr>
          <w:rtl/>
        </w:rPr>
        <w:t>לובצ׳ר</w:t>
      </w:r>
      <w:proofErr w:type="spellEnd"/>
      <w:r>
        <w:rPr>
          <w:rtl/>
        </w:rPr>
        <w:t xml:space="preserve"> (</w:t>
      </w:r>
      <w:proofErr w:type="spellStart"/>
      <w:r>
        <w:rPr>
          <w:rtl/>
        </w:rPr>
        <w:t>יוסלביץ</w:t>
      </w:r>
      <w:proofErr w:type="spellEnd"/>
      <w:r>
        <w:rPr>
          <w:rtl/>
        </w:rPr>
        <w:t xml:space="preserve">), והצביע על דיוק תחזיתו של ר׳ </w:t>
      </w:r>
      <w:proofErr w:type="spellStart"/>
      <w:r>
        <w:rPr>
          <w:rtl/>
        </w:rPr>
        <w:t>נתן־צבי</w:t>
      </w:r>
      <w:proofErr w:type="spellEnd"/>
      <w:r>
        <w:rPr>
          <w:rtl/>
        </w:rPr>
        <w:t xml:space="preserve"> לגביו; את ר׳ שלמה </w:t>
      </w:r>
      <w:proofErr w:type="spellStart"/>
      <w:r>
        <w:rPr>
          <w:rtl/>
        </w:rPr>
        <w:t>גבורין</w:t>
      </w:r>
      <w:proofErr w:type="spellEnd"/>
      <w:r>
        <w:rPr>
          <w:rtl/>
        </w:rPr>
        <w:t xml:space="preserve"> לא הזכיר רבנו.</w:t>
      </w:r>
    </w:p>
    <w:p w14:paraId="203D3262" w14:textId="77777777" w:rsidR="00AB3647" w:rsidRDefault="00000000" w:rsidP="007923E9">
      <w:pPr>
        <w:spacing w:after="100" w:line="276" w:lineRule="auto"/>
        <w:ind w:firstLine="340"/>
        <w:jc w:val="both"/>
      </w:pPr>
      <w:r>
        <w:rPr>
          <w:rtl/>
        </w:rPr>
        <w:t xml:space="preserve">אני סבור שאבי אהב את ר׳ שלמה יותר מכדי שידבר על פעילותו </w:t>
      </w:r>
      <w:proofErr w:type="spellStart"/>
      <w:r>
        <w:rPr>
          <w:rtl/>
        </w:rPr>
        <w:t>הבלתי־שקולה</w:t>
      </w:r>
      <w:proofErr w:type="spellEnd"/>
      <w:r>
        <w:rPr>
          <w:rtl/>
        </w:rPr>
        <w:t xml:space="preserve"> נגד המוסר, שעליה התחרט אחר כך. גם נימוקו של הסבא לסירובו לסלק את הרב </w:t>
      </w:r>
      <w:proofErr w:type="spellStart"/>
      <w:r>
        <w:rPr>
          <w:rtl/>
        </w:rPr>
        <w:t>גבורין</w:t>
      </w:r>
      <w:proofErr w:type="spellEnd"/>
      <w:r>
        <w:rPr>
          <w:rtl/>
        </w:rPr>
        <w:t xml:space="preserve"> לא היה ראוי לציטוט, שכן בניגוד </w:t>
      </w:r>
      <w:proofErr w:type="spellStart"/>
      <w:r>
        <w:rPr>
          <w:rtl/>
        </w:rPr>
        <w:t>ללובצ׳ר</w:t>
      </w:r>
      <w:proofErr w:type="spellEnd"/>
      <w:r>
        <w:rPr>
          <w:rtl/>
        </w:rPr>
        <w:t xml:space="preserve">, הסבא לא </w:t>
      </w:r>
      <w:r>
        <w:rPr>
          <w:b/>
          <w:bCs/>
          <w:rtl/>
        </w:rPr>
        <w:t>ניבא</w:t>
      </w:r>
      <w:r>
        <w:rPr>
          <w:rtl/>
        </w:rPr>
        <w:t xml:space="preserve"> את תפקידו העתידי של ר׳ שלמה כראש ישיבה; ר׳ </w:t>
      </w:r>
      <w:proofErr w:type="spellStart"/>
      <w:r>
        <w:rPr>
          <w:rtl/>
        </w:rPr>
        <w:t>נתן־צבי</w:t>
      </w:r>
      <w:proofErr w:type="spellEnd"/>
      <w:r>
        <w:rPr>
          <w:rtl/>
        </w:rPr>
        <w:t xml:space="preserve"> פשוט תכנן להעמידו בראש ישיבה כשתזדמן האפשרות – כפי שאכן אירע.</w:t>
      </w:r>
    </w:p>
    <w:bookmarkStart w:id="6068" w:name="b5_note54"/>
    <w:p w14:paraId="66C296F7" w14:textId="77777777" w:rsidR="00AB3647" w:rsidRDefault="00000000" w:rsidP="007923E9">
      <w:pPr>
        <w:spacing w:before="120" w:after="100" w:line="276" w:lineRule="auto"/>
        <w:jc w:val="both"/>
      </w:pPr>
      <w:r>
        <w:fldChar w:fldCharType="begin" w:dirty="true"/>
      </w:r>
      <w:r>
        <w:instrText>HYPERLINK \l "b5_ref54"</w:instrText>
      </w:r>
      <w:r>
        <w:fldChar w:fldCharType="separate"/>
      </w:r>
      <w:r>
        <w:rPr>
          <w:b/>
          <w:bCs/>
          <w:rtl/>
        </w:rPr>
        <w:t>54</w:t>
      </w:r>
      <w:r>
        <w:rPr>
          <w:b/>
          <w:bCs/>
        </w:rPr>
        <w:fldChar w:fldCharType="end"/>
      </w:r>
      <w:bookmarkEnd w:id="6068"/>
      <w:r>
        <w:rPr>
          <w:rtl/>
        </w:rPr>
        <w:t xml:space="preserve"> שיעוריו הפליאו את כל שומעיהם, ותלמידיו אהבוהו אהבה בלי גבול. הוא לא היה רק מחנך ומדריך, אלא אב נאמן לתלמידיו</w:t>
      </w:r>
      <w:bookmarkStart w:id="6069" w:name="_fnr4576"/>
      <w:r>
        <w:rPr>
          <w:rStyle w:val="a5"/>
        </w:rPr>
        <w:footnoteReference w:id="4587" w:customMarkFollows="0"/>
      </w:r>
      <w:bookmarkEnd w:id="6069"/>
      <w:r>
        <w:rPr>
          <w:rtl/>
        </w:rPr>
        <w:t xml:space="preserve">. עובדיה פורת, תלמידו </w:t>
      </w:r>
      <w:proofErr w:type="spellStart"/>
      <w:r>
        <w:rPr>
          <w:rtl/>
        </w:rPr>
        <w:t>בתחכמוני</w:t>
      </w:r>
      <w:proofErr w:type="spellEnd"/>
      <w:r>
        <w:rPr>
          <w:rtl/>
        </w:rPr>
        <w:t xml:space="preserve"> בשנים תרפ״ד–תרפ״ה</w:t>
      </w:r>
      <w:bookmarkStart w:id="6070" w:name="_fnr4577"/>
      <w:r>
        <w:rPr>
          <w:rStyle w:val="a5"/>
        </w:rPr>
        <w:footnoteReference w:id="4588" w:customMarkFollows="0"/>
      </w:r>
      <w:bookmarkEnd w:id="6070"/>
      <w:r>
        <w:rPr>
          <w:rtl/>
        </w:rPr>
        <w:t>, אמר</w:t>
      </w:r>
      <w:bookmarkStart w:id="6071" w:name="_fnr4578"/>
      <w:r>
        <w:rPr>
          <w:rStyle w:val="a5"/>
        </w:rPr>
        <w:footnoteReference w:id="4589" w:customMarkFollows="0"/>
      </w:r>
      <w:bookmarkEnd w:id="6071"/>
      <w:r>
        <w:rPr>
          <w:rtl/>
        </w:rPr>
        <w:t xml:space="preserve">: “הרב </w:t>
      </w:r>
      <w:proofErr w:type="spellStart"/>
      <w:r>
        <w:rPr>
          <w:rtl/>
        </w:rPr>
        <w:t>גבורין</w:t>
      </w:r>
      <w:proofErr w:type="spellEnd"/>
      <w:r>
        <w:rPr>
          <w:rtl/>
        </w:rPr>
        <w:t xml:space="preserve"> היה גבוה משכמו ומעלה משאר אנשי הצוות, ואישיותו הקרינה על המוסד כולו”.</w:t>
      </w:r>
    </w:p>
    <w:bookmarkStart w:id="6072" w:name="b5_note55"/>
    <w:p w14:paraId="522678DE" w14:textId="77777777" w:rsidR="00AB3647" w:rsidRDefault="00000000" w:rsidP="007923E9">
      <w:pPr>
        <w:spacing w:before="120" w:after="100" w:line="276" w:lineRule="auto"/>
        <w:jc w:val="both"/>
      </w:pPr>
      <w:r>
        <w:fldChar w:fldCharType="begin" w:dirty="true"/>
      </w:r>
      <w:r>
        <w:instrText>HYPERLINK \l "b5_ref55"</w:instrText>
      </w:r>
      <w:r>
        <w:fldChar w:fldCharType="separate"/>
      </w:r>
      <w:r>
        <w:rPr>
          <w:b/>
          <w:bCs/>
          <w:rtl/>
        </w:rPr>
        <w:t>55</w:t>
      </w:r>
      <w:r>
        <w:rPr>
          <w:b/>
          <w:bCs/>
        </w:rPr>
        <w:fldChar w:fldCharType="end"/>
      </w:r>
      <w:bookmarkEnd w:id="6072"/>
      <w:r>
        <w:rPr>
          <w:rtl/>
        </w:rPr>
        <w:t xml:space="preserve"> ישיבת </w:t>
      </w:r>
      <w:proofErr w:type="spellStart"/>
      <w:r>
        <w:rPr>
          <w:rtl/>
        </w:rPr>
        <w:t>מאלטש</w:t>
      </w:r>
      <w:proofErr w:type="spellEnd"/>
      <w:r>
        <w:rPr>
          <w:rtl/>
        </w:rPr>
        <w:t xml:space="preserve"> התקיימה עד שמלחמת העולם הראשונה שטפה את העיירה. משפחת ר׳ </w:t>
      </w:r>
      <w:proofErr w:type="spellStart"/>
      <w:r>
        <w:rPr>
          <w:rtl/>
        </w:rPr>
        <w:t>דוד־טעביל</w:t>
      </w:r>
      <w:proofErr w:type="spellEnd"/>
      <w:r>
        <w:rPr>
          <w:rtl/>
        </w:rPr>
        <w:t xml:space="preserve"> ברחה למינסק, והוא הצטרף אליה כשברחו גם יהודי </w:t>
      </w:r>
      <w:proofErr w:type="spellStart"/>
      <w:r>
        <w:rPr>
          <w:rtl/>
        </w:rPr>
        <w:t>מאלטש</w:t>
      </w:r>
      <w:proofErr w:type="spellEnd"/>
      <w:r>
        <w:rPr>
          <w:rtl/>
        </w:rPr>
        <w:t xml:space="preserve">. אחרי המלחמה חזר ר׳ </w:t>
      </w:r>
      <w:proofErr w:type="spellStart"/>
      <w:r>
        <w:rPr>
          <w:rtl/>
        </w:rPr>
        <w:t>דוד־טעביל</w:t>
      </w:r>
      <w:proofErr w:type="spellEnd"/>
      <w:r>
        <w:rPr>
          <w:rtl/>
        </w:rPr>
        <w:t xml:space="preserve"> </w:t>
      </w:r>
      <w:proofErr w:type="spellStart"/>
      <w:r>
        <w:rPr>
          <w:rtl/>
        </w:rPr>
        <w:t>למאלטש</w:t>
      </w:r>
      <w:proofErr w:type="spellEnd"/>
      <w:r>
        <w:rPr>
          <w:rtl/>
        </w:rPr>
        <w:t xml:space="preserve">, ומשם “כתב </w:t>
      </w:r>
      <w:proofErr w:type="spellStart"/>
      <w:r>
        <w:rPr>
          <w:rtl/>
        </w:rPr>
        <w:t>בתר״פ</w:t>
      </w:r>
      <w:proofErr w:type="spellEnd"/>
      <w:r>
        <w:rPr>
          <w:rtl/>
        </w:rPr>
        <w:t xml:space="preserve"> לארגון סיוע המלחמה של רבני ניו יורק (‘עזרת תורה’), ותיאר את התנאים הנוראים [שסביבו]”</w:t>
      </w:r>
      <w:bookmarkStart w:id="6073" w:name="_fnr4579"/>
      <w:r>
        <w:rPr>
          <w:rStyle w:val="a5"/>
        </w:rPr>
        <w:footnoteReference w:id="4590" w:customMarkFollows="0"/>
      </w:r>
      <w:bookmarkEnd w:id="6073"/>
      <w:r>
        <w:rPr>
          <w:rtl/>
        </w:rPr>
        <w:t xml:space="preserve">. בשנה שלאחר מכן עבר לכהן כרבה של </w:t>
      </w:r>
      <w:proofErr w:type="spellStart"/>
      <w:r>
        <w:rPr>
          <w:rtl/>
        </w:rPr>
        <w:t>פיונטניצה</w:t>
      </w:r>
      <w:proofErr w:type="spellEnd"/>
      <w:r>
        <w:rPr>
          <w:rtl/>
        </w:rPr>
        <w:t xml:space="preserve">. ר׳ שלמה, שלא הייתה לו ישיבה לשוב אליה, לא חזר לפולין עם שאר הפליטים אלא נשאר במינסק. שם מסר שיעורים בבית הכנסת שואבי מים תחת ר׳ </w:t>
      </w:r>
      <w:proofErr w:type="spellStart"/>
      <w:r>
        <w:rPr>
          <w:rtl/>
        </w:rPr>
        <w:t>יהושע׳לה</w:t>
      </w:r>
      <w:proofErr w:type="spellEnd"/>
      <w:r>
        <w:rPr>
          <w:rtl/>
        </w:rPr>
        <w:t xml:space="preserve"> </w:t>
      </w:r>
      <w:proofErr w:type="spellStart"/>
      <w:r>
        <w:rPr>
          <w:rtl/>
        </w:rPr>
        <w:t>הורודנר</w:t>
      </w:r>
      <w:bookmarkStart w:id="6074" w:name="_fnr4580"/>
      <w:proofErr w:type="spellEnd"/>
      <w:r>
        <w:rPr>
          <w:rStyle w:val="a5"/>
        </w:rPr>
        <w:footnoteReference w:id="4591" w:customMarkFollows="0"/>
      </w:r>
      <w:bookmarkEnd w:id="6074"/>
      <w:r>
        <w:rPr>
          <w:rtl/>
        </w:rPr>
        <w:t xml:space="preserve">, ואחר כך נעשה ראש ישיבה </w:t>
      </w:r>
      <w:proofErr w:type="spellStart"/>
      <w:r>
        <w:rPr>
          <w:rtl/>
        </w:rPr>
        <w:t>בקצובישער</w:t>
      </w:r>
      <w:proofErr w:type="spellEnd"/>
      <w:r>
        <w:rPr>
          <w:rtl/>
        </w:rPr>
        <w:t xml:space="preserve"> שול</w:t>
      </w:r>
      <w:bookmarkStart w:id="6075" w:name="_fnr4581"/>
      <w:r>
        <w:rPr>
          <w:rStyle w:val="a5"/>
        </w:rPr>
        <w:footnoteReference w:id="4592" w:customMarkFollows="0"/>
      </w:r>
      <w:bookmarkEnd w:id="6075"/>
      <w:r>
        <w:rPr>
          <w:rtl/>
        </w:rPr>
        <w:t xml:space="preserve">. במינסק כינו אותו ר׳ שלמה </w:t>
      </w:r>
      <w:proofErr w:type="spellStart"/>
      <w:r>
        <w:rPr>
          <w:rtl/>
        </w:rPr>
        <w:t>מאלטשער</w:t>
      </w:r>
      <w:bookmarkStart w:id="6076" w:name="_fnr4582"/>
      <w:proofErr w:type="spellEnd"/>
      <w:r>
        <w:rPr>
          <w:rStyle w:val="a5"/>
        </w:rPr>
        <w:footnoteReference w:id="4593" w:customMarkFollows="0"/>
      </w:r>
      <w:bookmarkEnd w:id="6076"/>
      <w:r>
        <w:rPr>
          <w:rtl/>
        </w:rPr>
        <w:t>.</w:t>
      </w:r>
    </w:p>
    <w:p w14:paraId="28F7AF25" w14:textId="77777777" w:rsidR="00AB3647" w:rsidRDefault="00000000" w:rsidP="007923E9">
      <w:pPr>
        <w:spacing w:after="100" w:line="276" w:lineRule="auto"/>
        <w:ind w:firstLine="340"/>
        <w:jc w:val="both"/>
      </w:pPr>
      <w:r>
        <w:rPr>
          <w:rtl/>
        </w:rPr>
        <w:t xml:space="preserve">לפי תמר </w:t>
      </w:r>
      <w:proofErr w:type="spellStart"/>
      <w:r>
        <w:rPr>
          <w:rtl/>
        </w:rPr>
        <w:t>קיל</w:t>
      </w:r>
      <w:proofErr w:type="spellEnd"/>
      <w:r>
        <w:rPr>
          <w:rtl/>
        </w:rPr>
        <w:t xml:space="preserve">, בתו של ר׳ שלמה, נפטרה אמה, בתו של ר׳ </w:t>
      </w:r>
      <w:proofErr w:type="spellStart"/>
      <w:r>
        <w:rPr>
          <w:rtl/>
        </w:rPr>
        <w:t>דוד־טעביל</w:t>
      </w:r>
      <w:proofErr w:type="spellEnd"/>
      <w:r>
        <w:rPr>
          <w:rtl/>
        </w:rPr>
        <w:t xml:space="preserve">, </w:t>
      </w:r>
      <w:proofErr w:type="spellStart"/>
      <w:r>
        <w:rPr>
          <w:rtl/>
        </w:rPr>
        <w:t>בתרפ״א</w:t>
      </w:r>
      <w:proofErr w:type="spellEnd"/>
      <w:r>
        <w:rPr>
          <w:rtl/>
        </w:rPr>
        <w:t xml:space="preserve">. ר׳ שלמה נאסר אז בידי הבולשביקים על שלימד תורה, והושלך לכלא, ושם חלה בשחפת. הוא נידון למוות, אבל נמלט בדרך נס והתגנב מעבר לגבול לפולין </w:t>
      </w:r>
      <w:proofErr w:type="spellStart"/>
      <w:r>
        <w:rPr>
          <w:rtl/>
        </w:rPr>
        <w:t>בתרפ״ב</w:t>
      </w:r>
      <w:proofErr w:type="spellEnd"/>
      <w:r>
        <w:rPr>
          <w:rtl/>
        </w:rPr>
        <w:t xml:space="preserve">. הוא לימד בבית הספר </w:t>
      </w:r>
      <w:proofErr w:type="spellStart"/>
      <w:r>
        <w:rPr>
          <w:rtl/>
        </w:rPr>
        <w:t>תחכמוני</w:t>
      </w:r>
      <w:proofErr w:type="spellEnd"/>
      <w:r>
        <w:rPr>
          <w:rtl/>
        </w:rPr>
        <w:t xml:space="preserve"> </w:t>
      </w:r>
      <w:proofErr w:type="spellStart"/>
      <w:r>
        <w:rPr>
          <w:rtl/>
        </w:rPr>
        <w:t>בביאליסטוק</w:t>
      </w:r>
      <w:proofErr w:type="spellEnd"/>
      <w:r>
        <w:rPr>
          <w:rtl/>
        </w:rPr>
        <w:t xml:space="preserve">, עיר הולדתו, וגם שם כינו אותו ר׳ שלמה החריף, הן התלמידים הן שאר </w:t>
      </w:r>
      <w:r>
        <w:rPr>
          <w:rtl/>
        </w:rPr>
        <w:lastRenderedPageBreak/>
        <w:t>אנשי הצוות</w:t>
      </w:r>
      <w:bookmarkStart w:id="6077" w:name="_fnr4583"/>
      <w:r>
        <w:rPr>
          <w:rStyle w:val="a5"/>
        </w:rPr>
        <w:footnoteReference w:id="4594" w:customMarkFollows="0"/>
      </w:r>
      <w:bookmarkEnd w:id="6077"/>
      <w:r>
        <w:rPr>
          <w:rtl/>
        </w:rPr>
        <w:t xml:space="preserve">. לפי ר׳ שרגא אברמסון, נישא הרב </w:t>
      </w:r>
      <w:proofErr w:type="spellStart"/>
      <w:r>
        <w:rPr>
          <w:rtl/>
        </w:rPr>
        <w:t>גבורין</w:t>
      </w:r>
      <w:proofErr w:type="spellEnd"/>
      <w:r>
        <w:rPr>
          <w:rtl/>
        </w:rPr>
        <w:t xml:space="preserve"> בשנית, בערך </w:t>
      </w:r>
      <w:proofErr w:type="spellStart"/>
      <w:r>
        <w:rPr>
          <w:rtl/>
        </w:rPr>
        <w:t>בתרפ״ח</w:t>
      </w:r>
      <w:proofErr w:type="spellEnd"/>
      <w:r>
        <w:rPr>
          <w:rtl/>
        </w:rPr>
        <w:t xml:space="preserve">, לאישה </w:t>
      </w:r>
      <w:proofErr w:type="spellStart"/>
      <w:r>
        <w:rPr>
          <w:rtl/>
        </w:rPr>
        <w:t>מטיקטין</w:t>
      </w:r>
      <w:proofErr w:type="spellEnd"/>
      <w:r>
        <w:rPr>
          <w:rtl/>
        </w:rPr>
        <w:t xml:space="preserve">. בריאותו הלכה והידרדרה בשל השחפת, עד שנפטר </w:t>
      </w:r>
      <w:proofErr w:type="spellStart"/>
      <w:r>
        <w:rPr>
          <w:rtl/>
        </w:rPr>
        <w:t>בתר״ץ</w:t>
      </w:r>
      <w:proofErr w:type="spellEnd"/>
      <w:r>
        <w:rPr>
          <w:rtl/>
        </w:rPr>
        <w:t>, בגיל ארבעים ושבע.</w:t>
      </w:r>
    </w:p>
    <w:p w14:paraId="4106F7C2" w14:textId="4BC9CD63" w:rsidR="00AB3647" w:rsidRDefault="00000000" w:rsidP="007923E9">
      <w:pPr>
        <w:spacing w:after="100" w:line="276" w:lineRule="auto"/>
        <w:ind w:firstLine="340"/>
        <w:jc w:val="both"/>
      </w:pPr>
      <w:r>
        <w:rPr>
          <w:rtl/>
        </w:rPr>
        <w:t xml:space="preserve">מדברי ר׳ דוד </w:t>
      </w:r>
      <w:proofErr w:type="spellStart"/>
      <w:r>
        <w:rPr>
          <w:rtl/>
        </w:rPr>
        <w:t>אוסטרוב</w:t>
      </w:r>
      <w:proofErr w:type="spellEnd"/>
      <w:r>
        <w:rPr>
          <w:rtl/>
        </w:rPr>
        <w:t xml:space="preserve"> המצוטטים בהערה </w:t>
      </w:r>
      <w:r>
        <w:rPr>
          <w:rtl/>
        </w:rPr>
        <w:fldChar w:fldCharType="begin" w:dirty="true"/>
      </w:r>
      <w:r>
        <w:rPr>
          <w:rtl/>
        </w:rPr>
        <w:instrText xml:space="preserve"> REF b5_note53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53</w:t>
      </w:r>
      <w:r>
        <w:rPr>
          <w:rtl/>
        </w:rPr>
        <w:fldChar w:fldCharType="end"/>
      </w:r>
      <w:r>
        <w:rPr>
          <w:rtl/>
        </w:rPr>
        <w:t xml:space="preserve"> לעיל, </w:t>
      </w:r>
      <w:proofErr w:type="spellStart"/>
      <w:r>
        <w:rPr>
          <w:rtl/>
        </w:rPr>
        <w:t>שלר</w:t>
      </w:r>
      <w:proofErr w:type="spellEnd"/>
      <w:r>
        <w:rPr>
          <w:rtl/>
        </w:rPr>
        <w:t xml:space="preserve">׳ שלמה היה “סבר פנים יפות למרות צרותיו </w:t>
      </w:r>
      <w:r>
        <w:rPr>
          <w:b/>
          <w:bCs/>
          <w:rtl/>
        </w:rPr>
        <w:t>הקודמות</w:t>
      </w:r>
      <w:r>
        <w:rPr>
          <w:rtl/>
        </w:rPr>
        <w:t xml:space="preserve"> [ההדגשה שלי]”, ברור שמצבו הבריאותי של המורה הוסתר מתלמידיו – כנראה מפני שמדבקות המחלה הייתה עלולה להבריחם מבית הספר. אילולא כן, היה התלמיד </w:t>
      </w:r>
      <w:proofErr w:type="spellStart"/>
      <w:r>
        <w:rPr>
          <w:rtl/>
        </w:rPr>
        <w:t>אוסטרוב</w:t>
      </w:r>
      <w:proofErr w:type="spellEnd"/>
      <w:r>
        <w:rPr>
          <w:rtl/>
        </w:rPr>
        <w:t xml:space="preserve"> מתרשם יותר ממזגו של הרב </w:t>
      </w:r>
      <w:proofErr w:type="spellStart"/>
      <w:r>
        <w:rPr>
          <w:rtl/>
        </w:rPr>
        <w:t>גבורין</w:t>
      </w:r>
      <w:proofErr w:type="spellEnd"/>
      <w:r>
        <w:rPr>
          <w:rtl/>
        </w:rPr>
        <w:t xml:space="preserve"> “למרות צרותיו </w:t>
      </w:r>
      <w:r>
        <w:rPr>
          <w:b/>
          <w:bCs/>
          <w:rtl/>
        </w:rPr>
        <w:t>הנוכחיות</w:t>
      </w:r>
      <w:r>
        <w:rPr>
          <w:rtl/>
        </w:rPr>
        <w:t>”, כלומר מחלתו הממיתה.</w:t>
      </w:r>
    </w:p>
    <w:p w14:paraId="435B94BC" w14:textId="3F56A97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רבנו נהנה הן מן הלימוד והן מידידותם של ראשי ישיבתו</w:t>
      </w:r>
      <w:bookmarkStart w:id="6078" w:name="b5_ref56"/>
      <w:bookmarkEnd w:id="6078"/>
      <w:r>
        <w:rPr>
          <w:vertAlign w:val="superscript"/>
          <w:rtl/>
        </w:rPr>
        <w:fldChar w:fldCharType="begin" w:dirty="true"/>
      </w:r>
      <w:r>
        <w:rPr>
          <w:vertAlign w:val="superscript"/>
          <w:rtl/>
        </w:rPr>
        <w:instrText xml:space="preserve"> REF b5_note56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56</w:t>
      </w:r>
      <w:r>
        <w:rPr>
          <w:vertAlign w:val="superscript"/>
          <w:rtl/>
        </w:rPr>
        <w:fldChar w:fldCharType="end"/>
      </w:r>
      <w:r>
        <w:rPr>
          <w:rtl/>
        </w:rPr>
        <w:t>, ומיד חזר להיות המתמיד שהיה. אחרי הסטייה הקלה בראשית השנה שב לדרך ההתקדמות שסללו שני הגאונים, שנהנה מחברתם הנעימה. אבל שהותו בעיירה היפה, המוקפת יערות</w:t>
      </w:r>
      <w:bookmarkStart w:id="6079" w:name="b5_ref57"/>
      <w:bookmarkEnd w:id="6079"/>
      <w:r>
        <w:rPr>
          <w:vertAlign w:val="superscript"/>
          <w:rtl/>
        </w:rPr>
        <w:fldChar w:fldCharType="begin" w:dirty="true"/>
      </w:r>
      <w:r>
        <w:rPr>
          <w:vertAlign w:val="superscript"/>
          <w:rtl/>
        </w:rPr>
        <w:instrText xml:space="preserve"> REF b5_note57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57</w:t>
      </w:r>
      <w:r>
        <w:rPr>
          <w:vertAlign w:val="superscript"/>
          <w:rtl/>
        </w:rPr>
        <w:fldChar w:fldCharType="end"/>
      </w:r>
      <w:r>
        <w:rPr>
          <w:rtl/>
        </w:rPr>
        <w:t>, הייתה קצרה, שכן לקראת סוף החורף של אותה שנה מעוברת</w:t>
      </w:r>
      <w:bookmarkStart w:id="6080" w:name="b5_ref58"/>
      <w:bookmarkEnd w:id="6080"/>
      <w:r>
        <w:rPr>
          <w:vertAlign w:val="superscript"/>
          <w:rtl/>
        </w:rPr>
        <w:fldChar w:fldCharType="begin" w:dirty="true"/>
      </w:r>
      <w:r>
        <w:rPr>
          <w:vertAlign w:val="superscript"/>
          <w:rtl/>
        </w:rPr>
        <w:instrText xml:space="preserve"> REF b5_note58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58</w:t>
      </w:r>
      <w:r>
        <w:rPr>
          <w:vertAlign w:val="superscript"/>
          <w:rtl/>
        </w:rPr>
        <w:fldChar w:fldCharType="end"/>
      </w:r>
      <w:r>
        <w:rPr>
          <w:rtl/>
        </w:rPr>
        <w:t xml:space="preserve"> קיבל הודעה </w:t>
      </w:r>
      <w:proofErr w:type="spellStart"/>
      <w:r>
        <w:rPr>
          <w:rtl/>
        </w:rPr>
        <w:t>מסלבודקה</w:t>
      </w:r>
      <w:proofErr w:type="spellEnd"/>
      <w:r>
        <w:rPr>
          <w:rtl/>
        </w:rPr>
        <w:t>: הסבא רוצה שישוב לכנסת ישראל אחרי פסח, וסידר בשבילו במיוחד חברותא מצוין</w:t>
      </w:r>
      <w:bookmarkStart w:id="6081" w:name="b5_ref59"/>
      <w:bookmarkEnd w:id="6081"/>
      <w:r>
        <w:rPr>
          <w:vertAlign w:val="superscript"/>
          <w:rtl/>
        </w:rPr>
        <w:fldChar w:fldCharType="begin" w:dirty="true"/>
      </w:r>
      <w:r>
        <w:rPr>
          <w:vertAlign w:val="superscript"/>
          <w:rtl/>
        </w:rPr>
        <w:instrText xml:space="preserve"> REF b5_note59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59</w:t>
      </w:r>
      <w:r>
        <w:rPr>
          <w:vertAlign w:val="superscript"/>
          <w:rtl/>
        </w:rPr>
        <w:fldChar w:fldCharType="end"/>
      </w:r>
      <w:r>
        <w:rPr>
          <w:rtl/>
        </w:rPr>
        <w:t>.</w:t>
      </w:r>
    </w:p>
    <w:bookmarkStart w:id="6082" w:name="b5_note56"/>
    <w:p w14:paraId="2B65C02C" w14:textId="77777777" w:rsidR="00AB3647" w:rsidRDefault="00000000" w:rsidP="007923E9">
      <w:pPr>
        <w:spacing w:before="120" w:after="100" w:line="276" w:lineRule="auto"/>
        <w:jc w:val="both"/>
      </w:pPr>
      <w:r>
        <w:fldChar w:fldCharType="begin" w:dirty="true"/>
      </w:r>
      <w:r>
        <w:instrText>HYPERLINK \l "b5_ref56"</w:instrText>
      </w:r>
      <w:r>
        <w:fldChar w:fldCharType="separate"/>
      </w:r>
      <w:r>
        <w:rPr>
          <w:b/>
          <w:bCs/>
          <w:rtl/>
        </w:rPr>
        <w:t>56</w:t>
      </w:r>
      <w:r>
        <w:rPr>
          <w:b/>
          <w:bCs/>
        </w:rPr>
        <w:fldChar w:fldCharType="end"/>
      </w:r>
      <w:bookmarkEnd w:id="6082"/>
      <w:r>
        <w:rPr>
          <w:rtl/>
        </w:rPr>
        <w:t xml:space="preserve"> אני סבור שמתקופה זו בחייו נובעות נטייתו </w:t>
      </w:r>
      <w:proofErr w:type="spellStart"/>
      <w:r>
        <w:rPr>
          <w:rtl/>
        </w:rPr>
        <w:t>הלא־רגילה</w:t>
      </w:r>
      <w:proofErr w:type="spellEnd"/>
      <w:r>
        <w:rPr>
          <w:rtl/>
        </w:rPr>
        <w:t xml:space="preserve"> של אבי לתנ״ך, ללשון ולטעמי המקרא, והכללת נושאים אלה בתחומי לימוד תורתו – אף שאינם מקובלים כיום</w:t>
      </w:r>
      <w:bookmarkStart w:id="6083" w:name="_fnr4584"/>
      <w:r>
        <w:rPr>
          <w:rStyle w:val="a5"/>
        </w:rPr>
        <w:footnoteReference w:id="4595" w:customMarkFollows="0"/>
      </w:r>
      <w:bookmarkEnd w:id="6083"/>
      <w:r>
        <w:rPr>
          <w:rtl/>
        </w:rPr>
        <w:t xml:space="preserve"> – וכן התעניינותו בתולדות חכמי תקופת התלמוד. כשרבנו היה דורש בפרקי אבות בבית הכנסת שלו </w:t>
      </w:r>
      <w:proofErr w:type="spellStart"/>
      <w:r>
        <w:rPr>
          <w:rtl/>
        </w:rPr>
        <w:t>במונסי</w:t>
      </w:r>
      <w:proofErr w:type="spellEnd"/>
      <w:r>
        <w:rPr>
          <w:rtl/>
        </w:rPr>
        <w:t xml:space="preserve">, היה קושר את דברי כל תנא לתקופה שבה חי: אבי ראה בסדר הדורות של חכמי התלמוד חלק בלתי נפרד מן התורה. </w:t>
      </w:r>
      <w:proofErr w:type="spellStart"/>
      <w:r>
        <w:rPr>
          <w:rtl/>
        </w:rPr>
        <w:t>במאלטש</w:t>
      </w:r>
      <w:proofErr w:type="spellEnd"/>
      <w:r>
        <w:rPr>
          <w:rtl/>
        </w:rPr>
        <w:t xml:space="preserve"> ראה שגדולי תורה מתעניינים בנושאים אלה – תופעה שלא נתקל בה עד אז.</w:t>
      </w:r>
    </w:p>
    <w:p w14:paraId="798A2395" w14:textId="77777777" w:rsidR="00AB3647" w:rsidRDefault="00000000" w:rsidP="007923E9">
      <w:pPr>
        <w:spacing w:after="100" w:line="276" w:lineRule="auto"/>
        <w:ind w:firstLine="340"/>
        <w:jc w:val="both"/>
      </w:pPr>
      <w:r>
        <w:rPr>
          <w:rtl/>
        </w:rPr>
        <w:t xml:space="preserve">גיסי ר׳ </w:t>
      </w:r>
      <w:proofErr w:type="spellStart"/>
      <w:r>
        <w:rPr>
          <w:rtl/>
        </w:rPr>
        <w:t>חיים־אייזיק</w:t>
      </w:r>
      <w:proofErr w:type="spellEnd"/>
      <w:r>
        <w:rPr>
          <w:rtl/>
        </w:rPr>
        <w:t xml:space="preserve"> וקסמן נזכר</w:t>
      </w:r>
      <w:bookmarkStart w:id="6084" w:name="_fnr4585"/>
      <w:r>
        <w:rPr>
          <w:rStyle w:val="a5"/>
        </w:rPr>
        <w:footnoteReference w:id="4596" w:customMarkFollows="0"/>
      </w:r>
      <w:bookmarkEnd w:id="6084"/>
      <w:r>
        <w:rPr>
          <w:rtl/>
        </w:rPr>
        <w:t xml:space="preserve"> במסיבת מלווה מלכה משפחתית בג׳ בטבת תשכ״ג</w:t>
      </w:r>
      <w:bookmarkStart w:id="6085" w:name="_fnr4586"/>
      <w:r>
        <w:rPr>
          <w:rStyle w:val="a5"/>
        </w:rPr>
        <w:footnoteReference w:id="4597" w:customMarkFollows="0"/>
      </w:r>
      <w:bookmarkEnd w:id="6085"/>
      <w:r>
        <w:rPr>
          <w:rtl/>
        </w:rPr>
        <w:t>, שבה אירע ליקוי ירח</w:t>
      </w:r>
      <w:bookmarkStart w:id="6086" w:name="_fnr4587"/>
      <w:bookmarkEnd w:id="6086"/>
      <w:r>
        <w:rPr>
          <w:rStyle w:val="a5"/>
        </w:rPr>
        <w:t/>
      </w:r>
      <w:bookmarkStart w:id="7050" w:name="_TranslatorNote_4585"/>
      <w:r>
        <w:rPr>
          <w:rStyle w:val="a5"/>
          <w:vertAlign w:val="superscript"/>
          <w:rtl/>
        </w:rPr>
        <w:footnoteReference w:id="4598" w:customMarkFollows="1"/>
        <w:t>*</w:t>
      </w:r>
      <w:bookmarkEnd w:id="7050"/>
      <w:r>
        <w:rPr>
          <w:rtl/>
        </w:rPr>
        <w:t xml:space="preserve">. רבנו סיפר אז </w:t>
      </w:r>
      <w:proofErr w:type="spellStart"/>
      <w:r>
        <w:rPr>
          <w:rtl/>
        </w:rPr>
        <w:t>ש“כשהיה</w:t>
      </w:r>
      <w:proofErr w:type="spellEnd"/>
      <w:r>
        <w:rPr>
          <w:rtl/>
        </w:rPr>
        <w:t xml:space="preserve"> בחור ישיבה התעניין </w:t>
      </w:r>
      <w:proofErr w:type="spellStart"/>
      <w:r>
        <w:rPr>
          <w:rtl/>
        </w:rPr>
        <w:t>ב‘דברים</w:t>
      </w:r>
      <w:proofErr w:type="spellEnd"/>
      <w:r>
        <w:rPr>
          <w:rtl/>
        </w:rPr>
        <w:t xml:space="preserve"> אחרים’, מלבד ‘לימוד’”. אבי נזכר שנתקל </w:t>
      </w:r>
      <w:proofErr w:type="spellStart"/>
      <w:r>
        <w:rPr>
          <w:rtl/>
        </w:rPr>
        <w:t>ב“ספר</w:t>
      </w:r>
      <w:proofErr w:type="spellEnd"/>
      <w:r>
        <w:rPr>
          <w:rtl/>
        </w:rPr>
        <w:t xml:space="preserve"> סִינִי”, שהתיימר להביא היסטוריה של יותר מ־10,000 שנה. הוא קרא את הספר, והתברר לו שהמחבר אינו יודע שליקויי ירח מתרחשים בזמנים קבועים: הספר רשם ליקויים במועדים נכונים לתקופה של פחות מ־5,000 שנה, אבל בתקופה המוקדמת יותר רשם אותם באקראי – הוכחה שלא הייתה “היסטוריה” לתקופה הקדומה. אפשר לשער שחוויית </w:t>
      </w:r>
      <w:proofErr w:type="spellStart"/>
      <w:r>
        <w:rPr>
          <w:rtl/>
        </w:rPr>
        <w:t>מאלטש</w:t>
      </w:r>
      <w:proofErr w:type="spellEnd"/>
      <w:r>
        <w:rPr>
          <w:rtl/>
        </w:rPr>
        <w:t xml:space="preserve"> טיפחה את התעניינותו </w:t>
      </w:r>
      <w:proofErr w:type="spellStart"/>
      <w:r>
        <w:rPr>
          <w:rtl/>
        </w:rPr>
        <w:t>ב“דברים</w:t>
      </w:r>
      <w:proofErr w:type="spellEnd"/>
      <w:r>
        <w:rPr>
          <w:rtl/>
        </w:rPr>
        <w:t xml:space="preserve"> אחרים”.</w:t>
      </w:r>
    </w:p>
    <w:bookmarkStart w:id="6087" w:name="b5_note57"/>
    <w:p w14:paraId="438415E5" w14:textId="77777777" w:rsidR="00AB3647" w:rsidRDefault="00000000" w:rsidP="007923E9">
      <w:pPr>
        <w:spacing w:before="120" w:after="100" w:line="276" w:lineRule="auto"/>
        <w:jc w:val="both"/>
      </w:pPr>
      <w:r>
        <w:lastRenderedPageBreak/>
        <w:fldChar w:fldCharType="begin" w:dirty="true"/>
      </w:r>
      <w:r>
        <w:instrText>HYPERLINK \l "b5_ref57"</w:instrText>
      </w:r>
      <w:r>
        <w:fldChar w:fldCharType="separate"/>
      </w:r>
      <w:r>
        <w:rPr>
          <w:b/>
          <w:bCs/>
          <w:rtl/>
        </w:rPr>
        <w:t>57</w:t>
      </w:r>
      <w:r>
        <w:rPr>
          <w:b/>
          <w:bCs/>
        </w:rPr>
        <w:fldChar w:fldCharType="end"/>
      </w:r>
      <w:bookmarkEnd w:id="6087"/>
      <w:r>
        <w:rPr>
          <w:rtl/>
        </w:rPr>
        <w:t xml:space="preserve"> ר׳ שמואל </w:t>
      </w:r>
      <w:proofErr w:type="spellStart"/>
      <w:r>
        <w:rPr>
          <w:rtl/>
        </w:rPr>
        <w:t>אורלנסקי</w:t>
      </w:r>
      <w:proofErr w:type="spellEnd"/>
      <w:r>
        <w:rPr>
          <w:rtl/>
        </w:rPr>
        <w:t xml:space="preserve">, תושב </w:t>
      </w:r>
      <w:proofErr w:type="spellStart"/>
      <w:r>
        <w:rPr>
          <w:rtl/>
        </w:rPr>
        <w:t>קמניץ</w:t>
      </w:r>
      <w:proofErr w:type="spellEnd"/>
      <w:r>
        <w:rPr>
          <w:rtl/>
        </w:rPr>
        <w:t>, סיפר</w:t>
      </w:r>
      <w:bookmarkStart w:id="6088" w:name="_fnr4588"/>
      <w:r>
        <w:rPr>
          <w:rStyle w:val="a5"/>
        </w:rPr>
        <w:footnoteReference w:id="4599" w:customMarkFollows="0"/>
      </w:r>
      <w:bookmarkEnd w:id="6088"/>
      <w:r>
        <w:rPr>
          <w:rtl/>
        </w:rPr>
        <w:t xml:space="preserve"> שתלמידים רבים בישיבת ר׳ </w:t>
      </w:r>
      <w:proofErr w:type="spellStart"/>
      <w:r>
        <w:rPr>
          <w:rtl/>
        </w:rPr>
        <w:t>ברוך־בער</w:t>
      </w:r>
      <w:proofErr w:type="spellEnd"/>
      <w:r>
        <w:rPr>
          <w:rtl/>
        </w:rPr>
        <w:t xml:space="preserve"> שם היו נופשים </w:t>
      </w:r>
      <w:proofErr w:type="spellStart"/>
      <w:r>
        <w:rPr>
          <w:rtl/>
        </w:rPr>
        <w:t>במאלטש</w:t>
      </w:r>
      <w:proofErr w:type="spellEnd"/>
      <w:r>
        <w:rPr>
          <w:rtl/>
        </w:rPr>
        <w:t xml:space="preserve">, הרחוקה </w:t>
      </w:r>
      <w:proofErr w:type="spellStart"/>
      <w:r>
        <w:rPr>
          <w:rtl/>
        </w:rPr>
        <w:t>חמישה־עשר</w:t>
      </w:r>
      <w:proofErr w:type="spellEnd"/>
      <w:r>
        <w:rPr>
          <w:rtl/>
        </w:rPr>
        <w:t xml:space="preserve"> קילומטרים. ר׳ </w:t>
      </w:r>
      <w:proofErr w:type="spellStart"/>
      <w:r>
        <w:rPr>
          <w:rtl/>
        </w:rPr>
        <w:t>ברוך־בער</w:t>
      </w:r>
      <w:proofErr w:type="spellEnd"/>
      <w:r>
        <w:rPr>
          <w:rtl/>
        </w:rPr>
        <w:t xml:space="preserve"> העביר את ישיבתו </w:t>
      </w:r>
      <w:proofErr w:type="spellStart"/>
      <w:r>
        <w:rPr>
          <w:rtl/>
        </w:rPr>
        <w:t>לקמניץ</w:t>
      </w:r>
      <w:proofErr w:type="spellEnd"/>
      <w:r>
        <w:rPr>
          <w:rtl/>
        </w:rPr>
        <w:t xml:space="preserve"> באלול תרפ״ו.</w:t>
      </w:r>
    </w:p>
    <w:bookmarkStart w:id="6089" w:name="b5_note58"/>
    <w:p w14:paraId="3D48DB51" w14:textId="7AB027D9" w:rsidR="00AB3647" w:rsidRDefault="00000000" w:rsidP="007923E9">
      <w:pPr>
        <w:spacing w:before="120" w:after="100" w:line="276" w:lineRule="auto"/>
        <w:jc w:val="both"/>
      </w:pPr>
      <w:r>
        <w:fldChar w:fldCharType="begin" w:dirty="true"/>
      </w:r>
      <w:r>
        <w:instrText>HYPERLINK \l "b5_ref58"</w:instrText>
      </w:r>
      <w:r>
        <w:fldChar w:fldCharType="separate"/>
      </w:r>
      <w:r>
        <w:rPr>
          <w:b/>
          <w:bCs/>
          <w:rtl/>
        </w:rPr>
        <w:t>58</w:t>
      </w:r>
      <w:r>
        <w:rPr>
          <w:b/>
          <w:bCs/>
        </w:rPr>
        <w:fldChar w:fldCharType="end"/>
      </w:r>
      <w:bookmarkEnd w:id="6089"/>
      <w:r>
        <w:rPr>
          <w:rtl/>
        </w:rPr>
        <w:t xml:space="preserve"> בשיחה המוקלטת בבית הכנסת “בית ישראל” במיאמי </w:t>
      </w:r>
      <w:proofErr w:type="spellStart"/>
      <w:r>
        <w:rPr>
          <w:rtl/>
        </w:rPr>
        <w:t>ביץ</w:t>
      </w:r>
      <w:proofErr w:type="spellEnd"/>
      <w:r>
        <w:rPr>
          <w:rtl/>
        </w:rPr>
        <w:t>׳</w:t>
      </w:r>
      <w:bookmarkStart w:id="6090" w:name="_fnr4589"/>
      <w:r>
        <w:rPr>
          <w:rStyle w:val="a5"/>
        </w:rPr>
        <w:footnoteReference w:id="4600" w:customMarkFollows="0"/>
      </w:r>
      <w:bookmarkEnd w:id="6090"/>
      <w:r>
        <w:rPr>
          <w:rtl/>
        </w:rPr>
        <w:t xml:space="preserve"> הזכיר אבי שבכ״ה בשבט באותו חורף, יום השנה העשרים וחמישה לפטירת ר׳ ישראל </w:t>
      </w:r>
      <w:proofErr w:type="spellStart"/>
      <w:r>
        <w:rPr>
          <w:rtl/>
        </w:rPr>
        <w:t>סלנטר</w:t>
      </w:r>
      <w:proofErr w:type="spellEnd"/>
      <w:r>
        <w:rPr>
          <w:rtl/>
        </w:rPr>
        <w:t xml:space="preserve">, דיבר ר׳ </w:t>
      </w:r>
      <w:proofErr w:type="spellStart"/>
      <w:r>
        <w:rPr>
          <w:rtl/>
        </w:rPr>
        <w:t>דוד־טעביל</w:t>
      </w:r>
      <w:proofErr w:type="spellEnd"/>
      <w:r>
        <w:rPr>
          <w:rtl/>
        </w:rPr>
        <w:t xml:space="preserve">, “בעל מוסר שראה את ר׳ ישראל בצעירותו, וסיפר מעט על ר׳ ישראל”. השווה הערה </w:t>
      </w:r>
      <w:r>
        <w:rPr>
          <w:rtl/>
        </w:rPr>
        <w:fldChar w:fldCharType="begin" w:dirty="true"/>
      </w:r>
      <w:r>
        <w:rPr>
          <w:rtl/>
        </w:rPr>
        <w:instrText xml:space="preserve"> REF b5_note32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32</w:t>
      </w:r>
      <w:r>
        <w:rPr>
          <w:rtl/>
        </w:rPr>
        <w:fldChar w:fldCharType="end"/>
      </w:r>
      <w:r>
        <w:rPr>
          <w:rtl/>
        </w:rPr>
        <w:t xml:space="preserve"> לעיל: הרב </w:t>
      </w:r>
      <w:proofErr w:type="spellStart"/>
      <w:r>
        <w:rPr>
          <w:rtl/>
        </w:rPr>
        <w:t>דינובסקי</w:t>
      </w:r>
      <w:proofErr w:type="spellEnd"/>
      <w:r>
        <w:rPr>
          <w:rtl/>
        </w:rPr>
        <w:t xml:space="preserve"> היה בן </w:t>
      </w:r>
      <w:proofErr w:type="spellStart"/>
      <w:r>
        <w:rPr>
          <w:rtl/>
        </w:rPr>
        <w:t>שמונה־עשרה</w:t>
      </w:r>
      <w:proofErr w:type="spellEnd"/>
      <w:r>
        <w:rPr>
          <w:rtl/>
        </w:rPr>
        <w:t xml:space="preserve"> כשנפטר ר׳ ישראל, ומוכרח שהיה בן </w:t>
      </w:r>
      <w:proofErr w:type="spellStart"/>
      <w:r>
        <w:rPr>
          <w:rtl/>
        </w:rPr>
        <w:t>שבע־עשרה</w:t>
      </w:r>
      <w:proofErr w:type="spellEnd"/>
      <w:r>
        <w:rPr>
          <w:rtl/>
        </w:rPr>
        <w:t xml:space="preserve"> </w:t>
      </w:r>
      <w:proofErr w:type="spellStart"/>
      <w:r>
        <w:rPr>
          <w:rtl/>
        </w:rPr>
        <w:t>כשראהו</w:t>
      </w:r>
      <w:proofErr w:type="spellEnd"/>
      <w:r>
        <w:rPr>
          <w:rtl/>
        </w:rPr>
        <w:t xml:space="preserve">. אבי לא חזר על מה שסיפר ר׳ </w:t>
      </w:r>
      <w:proofErr w:type="spellStart"/>
      <w:r>
        <w:rPr>
          <w:rtl/>
        </w:rPr>
        <w:t>דוד־טעביל</w:t>
      </w:r>
      <w:proofErr w:type="spellEnd"/>
      <w:r>
        <w:rPr>
          <w:rtl/>
        </w:rPr>
        <w:t xml:space="preserve"> על ר׳ ישראל.</w:t>
      </w:r>
    </w:p>
    <w:bookmarkStart w:id="6091" w:name="b5_note59"/>
    <w:p w14:paraId="2F128632" w14:textId="52F5A611" w:rsidR="00AB3647" w:rsidRDefault="00000000" w:rsidP="007923E9">
      <w:pPr>
        <w:spacing w:before="120" w:after="100" w:line="276" w:lineRule="auto"/>
        <w:jc w:val="both"/>
      </w:pPr>
      <w:r>
        <w:fldChar w:fldCharType="begin" w:dirty="true"/>
      </w:r>
      <w:r>
        <w:instrText>HYPERLINK \l "b5_ref59"</w:instrText>
      </w:r>
      <w:r>
        <w:fldChar w:fldCharType="separate"/>
      </w:r>
      <w:r>
        <w:rPr>
          <w:b/>
          <w:bCs/>
          <w:rtl/>
        </w:rPr>
        <w:t>59</w:t>
      </w:r>
      <w:r>
        <w:rPr>
          <w:b/>
          <w:bCs/>
        </w:rPr>
        <w:fldChar w:fldCharType="end"/>
      </w:r>
      <w:bookmarkEnd w:id="6091"/>
      <w:r>
        <w:rPr>
          <w:rtl/>
        </w:rPr>
        <w:t xml:space="preserve"> ראה </w:t>
      </w:r>
      <w:r>
        <w:rPr>
          <w:rtl/>
        </w:rPr>
        <w:fldChar w:fldCharType="begin" w:dirty="true"/>
      </w:r>
      <w:r>
        <w:rPr>
          <w:rtl/>
        </w:rPr>
        <w:instrText xml:space="preserve"> REF b5_excD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ד</w:t>
      </w:r>
      <w:r>
        <w:rPr>
          <w:rtl/>
        </w:rPr>
        <w:fldChar w:fldCharType="end"/>
      </w:r>
      <w:r>
        <w:rPr>
          <w:rtl/>
        </w:rPr>
        <w:t>.</w:t>
      </w:r>
    </w:p>
    <w:p w14:paraId="74B308D9" w14:textId="77777777" w:rsidR="00AB3647" w:rsidRDefault="00000000" w:rsidP="007923E9">
      <w:pPr>
        <w:pStyle w:val="2"/>
        <w:spacing w:line="276" w:lineRule="auto"/>
      </w:pPr>
      <w:bookmarkStart w:id="6092" w:name="b5_sec2"/>
      <w:r>
        <w:t>2.</w:t>
      </w:r>
      <w:bookmarkEnd w:id="6092"/>
    </w:p>
    <w:p w14:paraId="13676120" w14:textId="34F0CC4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אבי עזב את </w:t>
      </w:r>
      <w:proofErr w:type="spellStart"/>
      <w:r>
        <w:rPr>
          <w:rtl/>
        </w:rPr>
        <w:t>מאלטש</w:t>
      </w:r>
      <w:proofErr w:type="spellEnd"/>
      <w:r>
        <w:rPr>
          <w:rtl/>
        </w:rPr>
        <w:t xml:space="preserve"> בראשית ניסן, כדי לעשות את הפסח בביתו במינסק. אחיו ואחיותיו הצעירים גדלו במשך השנה הארוכה שבה לא התראו, ואחיו הבכור כבר היה גבר שנדרש להתייצב לפני ועדת הגיוס</w:t>
      </w:r>
      <w:bookmarkStart w:id="6093" w:name="b5_ref60"/>
      <w:bookmarkEnd w:id="6093"/>
      <w:r>
        <w:rPr>
          <w:vertAlign w:val="superscript"/>
          <w:rtl/>
        </w:rPr>
        <w:fldChar w:fldCharType="begin" w:dirty="true"/>
      </w:r>
      <w:r>
        <w:rPr>
          <w:vertAlign w:val="superscript"/>
          <w:rtl/>
        </w:rPr>
        <w:instrText xml:space="preserve"> REF b5_note60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60</w:t>
      </w:r>
      <w:r>
        <w:rPr>
          <w:vertAlign w:val="superscript"/>
          <w:rtl/>
        </w:rPr>
        <w:fldChar w:fldCharType="end"/>
      </w:r>
      <w:r>
        <w:rPr>
          <w:rtl/>
        </w:rPr>
        <w:t xml:space="preserve">. אהרן, האח שנולד אחרי אבי, עכשיו נער בן </w:t>
      </w:r>
      <w:proofErr w:type="spellStart"/>
      <w:r>
        <w:rPr>
          <w:rtl/>
        </w:rPr>
        <w:t>שתים־עשרה</w:t>
      </w:r>
      <w:proofErr w:type="spellEnd"/>
      <w:r>
        <w:rPr>
          <w:rtl/>
        </w:rPr>
        <w:t xml:space="preserve"> המושפע בנקל, נשא אליו עיניים, והבחין בקלות שהשב הביתה מתקדם בכיוון שונה לגמרי מזה של אחיו ואחיותיו. רבנו רשם לעצמו </w:t>
      </w:r>
      <w:proofErr w:type="spellStart"/>
      <w:r>
        <w:rPr>
          <w:rtl/>
        </w:rPr>
        <w:t>בלבו</w:t>
      </w:r>
      <w:proofErr w:type="spellEnd"/>
      <w:r>
        <w:rPr>
          <w:rtl/>
        </w:rPr>
        <w:t xml:space="preserve"> שיש תקווה שגם אהרן ילמד יום אחד בישיבה.</w:t>
      </w:r>
    </w:p>
    <w:bookmarkStart w:id="6094" w:name="b5_note60"/>
    <w:p w14:paraId="0005B882" w14:textId="14DA253A" w:rsidR="00AB3647" w:rsidRDefault="00000000" w:rsidP="007923E9">
      <w:pPr>
        <w:spacing w:before="120" w:after="100" w:line="276" w:lineRule="auto"/>
        <w:jc w:val="both"/>
      </w:pPr>
      <w:r>
        <w:fldChar w:fldCharType="begin" w:dirty="true"/>
      </w:r>
      <w:r>
        <w:instrText>HYPERLINK \l "b5_ref60"</w:instrText>
      </w:r>
      <w:r>
        <w:fldChar w:fldCharType="separate"/>
      </w:r>
      <w:r>
        <w:rPr>
          <w:b/>
          <w:bCs/>
          <w:rtl/>
        </w:rPr>
        <w:t>60</w:t>
      </w:r>
      <w:r>
        <w:rPr>
          <w:b/>
          <w:bCs/>
        </w:rPr>
        <w:fldChar w:fldCharType="end"/>
      </w:r>
      <w:bookmarkEnd w:id="6094"/>
      <w:r>
        <w:rPr>
          <w:rtl/>
        </w:rPr>
        <w:t xml:space="preserve"> ראה </w:t>
      </w:r>
      <w:r>
        <w:rPr>
          <w:rtl/>
        </w:rPr>
        <w:fldChar w:fldCharType="begin" w:dirty="true"/>
      </w:r>
      <w:r>
        <w:rPr>
          <w:rtl/>
        </w:rPr>
        <w:instrText xml:space="preserve"> REF b5_excE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ה</w:t>
      </w:r>
      <w:r>
        <w:rPr>
          <w:rtl/>
        </w:rPr>
        <w:fldChar w:fldCharType="end"/>
      </w:r>
      <w:r>
        <w:rPr>
          <w:rtl/>
        </w:rPr>
        <w:t>.</w:t>
      </w:r>
    </w:p>
    <w:p w14:paraId="76840952" w14:textId="0FD2DC98"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ההורים הבינו שבנם בחור הישיבה ואחיו מתרחקים זה מזה בהשקפתם יותר מאשר במקום מגוריהם, ולכן החליטו שיש צורך במעשה שיבטא את אחדות המשפחה. הם קבעו מועד לצילום משפחתי</w:t>
      </w:r>
      <w:bookmarkStart w:id="6095" w:name="b5_ref61"/>
      <w:bookmarkEnd w:id="6095"/>
      <w:r>
        <w:rPr>
          <w:vertAlign w:val="superscript"/>
          <w:rtl/>
        </w:rPr>
        <w:fldChar w:fldCharType="begin" w:dirty="true"/>
      </w:r>
      <w:r>
        <w:rPr>
          <w:vertAlign w:val="superscript"/>
          <w:rtl/>
        </w:rPr>
        <w:instrText xml:space="preserve"> REF b5_note61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61</w:t>
      </w:r>
      <w:r>
        <w:rPr>
          <w:vertAlign w:val="superscript"/>
          <w:rtl/>
        </w:rPr>
        <w:fldChar w:fldCharType="end"/>
      </w:r>
      <w:r>
        <w:rPr>
          <w:rtl/>
        </w:rPr>
        <w:t>, שילדיהם ישמרו באהבה – ככל שירחיק העתיד כל אחד מהם מאחיו ואחיותיו.</w:t>
      </w:r>
    </w:p>
    <w:bookmarkStart w:id="6096" w:name="b5_note61"/>
    <w:p w14:paraId="4266948A" w14:textId="77777777" w:rsidR="00AB3647" w:rsidRDefault="00000000" w:rsidP="007923E9">
      <w:pPr>
        <w:spacing w:before="120" w:after="100" w:line="276" w:lineRule="auto"/>
        <w:jc w:val="both"/>
      </w:pPr>
      <w:r>
        <w:fldChar w:fldCharType="begin" w:dirty="true"/>
      </w:r>
      <w:r>
        <w:instrText>HYPERLINK \l "b5_ref61"</w:instrText>
      </w:r>
      <w:r>
        <w:fldChar w:fldCharType="separate"/>
      </w:r>
      <w:r>
        <w:rPr>
          <w:b/>
          <w:bCs/>
          <w:rtl/>
        </w:rPr>
        <w:t>61</w:t>
      </w:r>
      <w:r>
        <w:rPr>
          <w:b/>
          <w:bCs/>
        </w:rPr>
        <w:fldChar w:fldCharType="end"/>
      </w:r>
      <w:bookmarkEnd w:id="6096"/>
      <w:r>
        <w:rPr>
          <w:rtl/>
        </w:rPr>
        <w:t xml:space="preserve"> עותק התמונה של רבנו מצוי בידי משפחתנו. הדודה דבורה הראתה לי את העותק שלה כשביקרתי אצלה </w:t>
      </w:r>
      <w:proofErr w:type="spellStart"/>
      <w:r>
        <w:rPr>
          <w:rtl/>
        </w:rPr>
        <w:t>בתשנ״א</w:t>
      </w:r>
      <w:bookmarkStart w:id="6097" w:name="_fnr4590"/>
      <w:proofErr w:type="spellEnd"/>
      <w:r>
        <w:rPr>
          <w:rStyle w:val="a5"/>
        </w:rPr>
        <w:footnoteReference w:id="4601" w:customMarkFollows="0"/>
      </w:r>
      <w:bookmarkEnd w:id="6097"/>
      <w:r>
        <w:rPr>
          <w:rtl/>
        </w:rPr>
        <w:t>, וכך עשתה גם אלמנתו של אהרן, אחיו של רבנו</w:t>
      </w:r>
      <w:bookmarkStart w:id="6098" w:name="_fnr4591"/>
      <w:r>
        <w:rPr>
          <w:rStyle w:val="a5"/>
        </w:rPr>
        <w:footnoteReference w:id="4602" w:customMarkFollows="0"/>
      </w:r>
      <w:bookmarkEnd w:id="6098"/>
      <w:r>
        <w:rPr>
          <w:rtl/>
        </w:rPr>
        <w:t xml:space="preserve">. תמונת אבי שכותרתה “ר׳ יעקב הצעיר”, ותמונות אביו </w:t>
      </w:r>
      <w:proofErr w:type="spellStart"/>
      <w:r>
        <w:rPr>
          <w:rtl/>
        </w:rPr>
        <w:t>ואמו</w:t>
      </w:r>
      <w:proofErr w:type="spellEnd"/>
      <w:r>
        <w:rPr>
          <w:rtl/>
        </w:rPr>
        <w:t xml:space="preserve"> בעמ׳ 39 ו־35 (בהתאמה) </w:t>
      </w:r>
      <w:proofErr w:type="spellStart"/>
      <w:r>
        <w:rPr>
          <w:rtl/>
        </w:rPr>
        <w:t>ב“רבי</w:t>
      </w:r>
      <w:proofErr w:type="spellEnd"/>
      <w:r>
        <w:rPr>
          <w:rtl/>
        </w:rPr>
        <w:t xml:space="preserve"> יעקב”</w:t>
      </w:r>
      <w:bookmarkStart w:id="6099" w:name="_fnr4592"/>
      <w:r>
        <w:rPr>
          <w:rStyle w:val="a5"/>
        </w:rPr>
        <w:footnoteReference w:id="4603" w:customMarkFollows="0"/>
      </w:r>
      <w:bookmarkEnd w:id="6099"/>
      <w:r>
        <w:rPr>
          <w:rtl/>
        </w:rPr>
        <w:t>, נלקחו מדיוקן המשפחה כולה – ההורים וששת האחים והאחיות – שמסר למו״ל אחי הבכור ר׳ בנימין, שבידו היה העותק של אבינו.</w:t>
      </w:r>
    </w:p>
    <w:p w14:paraId="745D3C3C" w14:textId="2765616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גם אהרן </w:t>
      </w:r>
      <w:proofErr w:type="spellStart"/>
      <w:r>
        <w:rPr>
          <w:rtl/>
        </w:rPr>
        <w:t>הסיסלוביצ׳ר</w:t>
      </w:r>
      <w:proofErr w:type="spellEnd"/>
      <w:r>
        <w:rPr>
          <w:rtl/>
        </w:rPr>
        <w:t xml:space="preserve"> ותלמידי </w:t>
      </w:r>
      <w:proofErr w:type="spellStart"/>
      <w:r>
        <w:rPr>
          <w:rtl/>
        </w:rPr>
        <w:t>סלבודקה</w:t>
      </w:r>
      <w:proofErr w:type="spellEnd"/>
      <w:r>
        <w:rPr>
          <w:rtl/>
        </w:rPr>
        <w:t xml:space="preserve"> אחרים ממינסק באו הביתה לפסח, וסיפרו לרבנו כיצד עבר החורף בכנסת ישראל. הם אמרו לו שר׳ </w:t>
      </w:r>
      <w:proofErr w:type="spellStart"/>
      <w:r>
        <w:rPr>
          <w:rtl/>
        </w:rPr>
        <w:t>משה־מרדכי</w:t>
      </w:r>
      <w:proofErr w:type="spellEnd"/>
      <w:r>
        <w:rPr>
          <w:rtl/>
        </w:rPr>
        <w:t>, שחשש תחילה מלימוד יבמות בישיבה, מסר שיעורים מצוינים. תלמידים ותיקים, שכבר עברו מחזור שלם של המסכתות הנלמדות בישיבה, אמרו שאלה השיעורים הטובים ביותר שמסר מעולם</w:t>
      </w:r>
      <w:bookmarkStart w:id="6100" w:name="b5_ref62"/>
      <w:bookmarkEnd w:id="6100"/>
      <w:r>
        <w:rPr>
          <w:vertAlign w:val="superscript"/>
          <w:rtl/>
        </w:rPr>
        <w:fldChar w:fldCharType="begin" w:dirty="true"/>
      </w:r>
      <w:r>
        <w:rPr>
          <w:vertAlign w:val="superscript"/>
          <w:rtl/>
        </w:rPr>
        <w:instrText xml:space="preserve"> REF b5_note62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62</w:t>
      </w:r>
      <w:r>
        <w:rPr>
          <w:vertAlign w:val="superscript"/>
          <w:rtl/>
        </w:rPr>
        <w:fldChar w:fldCharType="end"/>
      </w:r>
      <w:r>
        <w:rPr>
          <w:rtl/>
        </w:rPr>
        <w:t>.</w:t>
      </w:r>
    </w:p>
    <w:bookmarkStart w:id="6101" w:name="b5_note62"/>
    <w:p w14:paraId="37DCBC4A" w14:textId="77557584" w:rsidR="00AB3647" w:rsidRDefault="00000000" w:rsidP="007923E9">
      <w:pPr>
        <w:spacing w:before="120" w:after="100" w:line="276" w:lineRule="auto"/>
        <w:jc w:val="both"/>
      </w:pPr>
      <w:r>
        <w:fldChar w:fldCharType="begin" w:dirty="true"/>
      </w:r>
      <w:r>
        <w:instrText>HYPERLINK \l "b5_ref62"</w:instrText>
      </w:r>
      <w:r>
        <w:fldChar w:fldCharType="separate"/>
      </w:r>
      <w:r>
        <w:rPr>
          <w:b/>
          <w:bCs/>
          <w:rtl/>
        </w:rPr>
        <w:t>62</w:t>
      </w:r>
      <w:r>
        <w:rPr>
          <w:b/>
          <w:bCs/>
        </w:rPr>
        <w:fldChar w:fldCharType="end"/>
      </w:r>
      <w:bookmarkEnd w:id="6101"/>
      <w:r>
        <w:rPr>
          <w:rtl/>
        </w:rPr>
        <w:t xml:space="preserve"> “רשימות ביוגרפיות” (פרק 1, הערה </w:t>
      </w:r>
      <w:r>
        <w:rPr>
          <w:rtl/>
        </w:rPr>
        <w:fldChar w:fldCharType="begin" w:dirty="true"/>
      </w:r>
      <w:r>
        <w:rPr>
          <w:rtl/>
        </w:rPr>
        <w:instrText xml:space="preserve"> REF b1_note68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68</w:t>
      </w:r>
      <w:r>
        <w:rPr>
          <w:rtl/>
        </w:rPr>
        <w:fldChar w:fldCharType="end"/>
      </w:r>
      <w:r>
        <w:rPr>
          <w:rtl/>
        </w:rPr>
        <w:t>).</w:t>
      </w:r>
    </w:p>
    <w:p w14:paraId="2A302B57"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מתוך “דיבור בלימוד” עם ראובן </w:t>
      </w:r>
      <w:proofErr w:type="spellStart"/>
      <w:r>
        <w:rPr>
          <w:rtl/>
        </w:rPr>
        <w:t>גרוזובסקי</w:t>
      </w:r>
      <w:proofErr w:type="spellEnd"/>
      <w:r>
        <w:rPr>
          <w:rtl/>
        </w:rPr>
        <w:t xml:space="preserve"> ועם אהרן ראה השב </w:t>
      </w:r>
      <w:proofErr w:type="spellStart"/>
      <w:r>
        <w:rPr>
          <w:rtl/>
        </w:rPr>
        <w:t>ממאלטש</w:t>
      </w:r>
      <w:proofErr w:type="spellEnd"/>
      <w:r>
        <w:rPr>
          <w:rtl/>
        </w:rPr>
        <w:t xml:space="preserve"> עד כמה התקדמו בזמן שלא היה שם, והצטער שהחמיץ את ששת החודשים האחרונים </w:t>
      </w:r>
      <w:proofErr w:type="spellStart"/>
      <w:r>
        <w:rPr>
          <w:rtl/>
        </w:rPr>
        <w:t>בסלבודקה</w:t>
      </w:r>
      <w:proofErr w:type="spellEnd"/>
      <w:r>
        <w:rPr>
          <w:rtl/>
        </w:rPr>
        <w:t xml:space="preserve"> במחיצתם. אבל לא יכול היה להאשים בכך איש מלבד עצמו. כשהסבא שאל אותו בשבת בראשית אם הוא רוצה להצטרף לקבוצה היוצאת </w:t>
      </w:r>
      <w:proofErr w:type="spellStart"/>
      <w:r>
        <w:rPr>
          <w:rtl/>
        </w:rPr>
        <w:t>למאלטש</w:t>
      </w:r>
      <w:proofErr w:type="spellEnd"/>
      <w:r>
        <w:rPr>
          <w:rtl/>
        </w:rPr>
        <w:t xml:space="preserve">, הוא התנדב בשמחה. מצד שני, גם הוא למד היטב </w:t>
      </w:r>
      <w:proofErr w:type="spellStart"/>
      <w:r>
        <w:rPr>
          <w:rtl/>
        </w:rPr>
        <w:t>במאלטש</w:t>
      </w:r>
      <w:proofErr w:type="spellEnd"/>
      <w:r>
        <w:rPr>
          <w:rtl/>
        </w:rPr>
        <w:t>, ושם התעורר מחדש אחרי תקופה קצרה של בטלה.</w:t>
      </w:r>
    </w:p>
    <w:p w14:paraId="14FB74E3" w14:textId="1F18C890"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חבריו סיפרו לו גם שהחמיץ את ביקורו של אורח חשוב בקובנה לקראת סוף החורף שעבר: ר׳ חיים </w:t>
      </w:r>
      <w:proofErr w:type="spellStart"/>
      <w:r>
        <w:rPr>
          <w:rtl/>
        </w:rPr>
        <w:t>סולובייצ׳יק</w:t>
      </w:r>
      <w:proofErr w:type="spellEnd"/>
      <w:r>
        <w:rPr>
          <w:rtl/>
        </w:rPr>
        <w:t xml:space="preserve"> הגדול </w:t>
      </w:r>
      <w:proofErr w:type="spellStart"/>
      <w:r>
        <w:rPr>
          <w:rtl/>
        </w:rPr>
        <w:t>מבריסק</w:t>
      </w:r>
      <w:proofErr w:type="spellEnd"/>
      <w:r>
        <w:rPr>
          <w:rtl/>
        </w:rPr>
        <w:t xml:space="preserve"> היה שם</w:t>
      </w:r>
      <w:bookmarkStart w:id="6102" w:name="b5_ref63"/>
      <w:bookmarkEnd w:id="6102"/>
      <w:r>
        <w:rPr>
          <w:vertAlign w:val="superscript"/>
          <w:rtl/>
        </w:rPr>
        <w:fldChar w:fldCharType="begin" w:dirty="true"/>
      </w:r>
      <w:r>
        <w:rPr>
          <w:vertAlign w:val="superscript"/>
          <w:rtl/>
        </w:rPr>
        <w:instrText xml:space="preserve"> REF b5_note63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63</w:t>
      </w:r>
      <w:r>
        <w:rPr>
          <w:vertAlign w:val="superscript"/>
          <w:rtl/>
        </w:rPr>
        <w:fldChar w:fldCharType="end"/>
      </w:r>
      <w:r>
        <w:rPr>
          <w:rtl/>
        </w:rPr>
        <w:t xml:space="preserve">. תלמידי </w:t>
      </w:r>
      <w:proofErr w:type="spellStart"/>
      <w:r>
        <w:rPr>
          <w:rtl/>
        </w:rPr>
        <w:t>סלבודקה</w:t>
      </w:r>
      <w:proofErr w:type="spellEnd"/>
      <w:r>
        <w:rPr>
          <w:rtl/>
        </w:rPr>
        <w:t xml:space="preserve"> תיארו את ביקורו של ר׳ חיים בכלל, ואת האהבה שגילה כלפי תלמידו ר׳ </w:t>
      </w:r>
      <w:proofErr w:type="spellStart"/>
      <w:r>
        <w:rPr>
          <w:rtl/>
        </w:rPr>
        <w:t>ברוך־בער</w:t>
      </w:r>
      <w:proofErr w:type="spellEnd"/>
      <w:r>
        <w:rPr>
          <w:rtl/>
        </w:rPr>
        <w:t xml:space="preserve"> בפרט. ר׳ חיים הגיע לקובנה בצוהרי יום חמישי של קור עז, יומיים לפני ראש חודש שבט, ובו בערב נהרו הבחורים משתי ישיבות </w:t>
      </w:r>
      <w:proofErr w:type="spellStart"/>
      <w:r>
        <w:rPr>
          <w:rtl/>
        </w:rPr>
        <w:t>סלבודקה</w:t>
      </w:r>
      <w:proofErr w:type="spellEnd"/>
      <w:r>
        <w:rPr>
          <w:rtl/>
        </w:rPr>
        <w:t xml:space="preserve"> אל המלון שבו התאכסן. אחד מחבריהם, </w:t>
      </w:r>
      <w:proofErr w:type="spellStart"/>
      <w:r>
        <w:rPr>
          <w:rtl/>
        </w:rPr>
        <w:t>אברהם־אליהו</w:t>
      </w:r>
      <w:proofErr w:type="spellEnd"/>
      <w:r>
        <w:rPr>
          <w:rtl/>
        </w:rPr>
        <w:t xml:space="preserve"> </w:t>
      </w:r>
      <w:proofErr w:type="spellStart"/>
      <w:r>
        <w:rPr>
          <w:rtl/>
        </w:rPr>
        <w:t>טעלזער</w:t>
      </w:r>
      <w:proofErr w:type="spellEnd"/>
      <w:r>
        <w:rPr>
          <w:rtl/>
        </w:rPr>
        <w:t xml:space="preserve"> (קפלן)</w:t>
      </w:r>
      <w:bookmarkStart w:id="6103" w:name="b5_ref64"/>
      <w:bookmarkEnd w:id="6103"/>
      <w:r>
        <w:rPr>
          <w:vertAlign w:val="superscript"/>
          <w:rtl/>
        </w:rPr>
        <w:fldChar w:fldCharType="begin" w:dirty="true"/>
      </w:r>
      <w:r>
        <w:rPr>
          <w:vertAlign w:val="superscript"/>
          <w:rtl/>
        </w:rPr>
        <w:instrText xml:space="preserve"> REF b5_note64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64</w:t>
      </w:r>
      <w:r>
        <w:rPr>
          <w:vertAlign w:val="superscript"/>
          <w:rtl/>
        </w:rPr>
        <w:fldChar w:fldCharType="end"/>
      </w:r>
      <w:r>
        <w:rPr>
          <w:rtl/>
        </w:rPr>
        <w:t xml:space="preserve">, שהצטרף לכנסת ישראל כחצי שנה אחרי </w:t>
      </w:r>
      <w:proofErr w:type="spellStart"/>
      <w:r>
        <w:rPr>
          <w:rtl/>
        </w:rPr>
        <w:t>הדולהינובר</w:t>
      </w:r>
      <w:proofErr w:type="spellEnd"/>
      <w:r>
        <w:rPr>
          <w:rtl/>
        </w:rPr>
        <w:t xml:space="preserve"> </w:t>
      </w:r>
      <w:proofErr w:type="spellStart"/>
      <w:r>
        <w:rPr>
          <w:rtl/>
        </w:rPr>
        <w:t>והסיסלוביצ׳ר</w:t>
      </w:r>
      <w:proofErr w:type="spellEnd"/>
      <w:r>
        <w:rPr>
          <w:rtl/>
        </w:rPr>
        <w:t>, היה בין הראשונים שבאו לחזות</w:t>
      </w:r>
      <w:bookmarkStart w:id="6104" w:name="b5_ref65"/>
      <w:bookmarkEnd w:id="6104"/>
      <w:r>
        <w:rPr>
          <w:vertAlign w:val="superscript"/>
          <w:rtl/>
        </w:rPr>
        <w:fldChar w:fldCharType="begin" w:dirty="true"/>
      </w:r>
      <w:r>
        <w:rPr>
          <w:vertAlign w:val="superscript"/>
          <w:rtl/>
        </w:rPr>
        <w:instrText xml:space="preserve"> REF b5_note65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65</w:t>
      </w:r>
      <w:r>
        <w:rPr>
          <w:vertAlign w:val="superscript"/>
          <w:rtl/>
        </w:rPr>
        <w:fldChar w:fldCharType="end"/>
      </w:r>
      <w:r>
        <w:rPr>
          <w:rtl/>
        </w:rPr>
        <w:t xml:space="preserve"> באורח הנכבד.</w:t>
      </w:r>
    </w:p>
    <w:bookmarkStart w:id="6105" w:name="b5_note63"/>
    <w:p w14:paraId="0DBFD87F" w14:textId="14D30538" w:rsidR="00AB3647" w:rsidRDefault="00000000" w:rsidP="007923E9">
      <w:pPr>
        <w:spacing w:before="120" w:after="100" w:line="276" w:lineRule="auto"/>
        <w:jc w:val="both"/>
      </w:pPr>
      <w:r>
        <w:fldChar w:fldCharType="begin" w:dirty="true"/>
      </w:r>
      <w:r>
        <w:instrText>HYPERLINK \l "b5_ref63"</w:instrText>
      </w:r>
      <w:r>
        <w:fldChar w:fldCharType="separate"/>
      </w:r>
      <w:r>
        <w:rPr>
          <w:b/>
          <w:bCs/>
          <w:rtl/>
        </w:rPr>
        <w:t>63</w:t>
      </w:r>
      <w:r>
        <w:rPr>
          <w:b/>
          <w:bCs/>
        </w:rPr>
        <w:fldChar w:fldCharType="end"/>
      </w:r>
      <w:bookmarkEnd w:id="6105"/>
      <w:r>
        <w:rPr>
          <w:rtl/>
        </w:rPr>
        <w:t xml:space="preserve"> ראה </w:t>
      </w:r>
      <w:r>
        <w:rPr>
          <w:rtl/>
        </w:rPr>
        <w:fldChar w:fldCharType="begin" w:dirty="true"/>
      </w:r>
      <w:r>
        <w:rPr>
          <w:rtl/>
        </w:rPr>
        <w:instrText xml:space="preserve"> REF b5_excF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bookmarkStart w:id="6106" w:name="b5_note64"/>
    <w:p w14:paraId="13E1442D" w14:textId="7E7C0510" w:rsidR="00AB3647" w:rsidRDefault="00000000" w:rsidP="007923E9">
      <w:pPr>
        <w:spacing w:before="120" w:after="100" w:line="276" w:lineRule="auto"/>
        <w:jc w:val="both"/>
      </w:pPr>
      <w:r>
        <w:fldChar w:fldCharType="begin" w:dirty="true"/>
      </w:r>
      <w:r>
        <w:instrText>HYPERLINK \l "b5_ref64"</w:instrText>
      </w:r>
      <w:r>
        <w:fldChar w:fldCharType="separate"/>
      </w:r>
      <w:r>
        <w:rPr>
          <w:b/>
          <w:bCs/>
          <w:rtl/>
        </w:rPr>
        <w:t>64</w:t>
      </w:r>
      <w:r>
        <w:rPr>
          <w:b/>
          <w:bCs/>
        </w:rPr>
        <w:fldChar w:fldCharType="end"/>
      </w:r>
      <w:bookmarkEnd w:id="6106"/>
      <w:r>
        <w:rPr>
          <w:rtl/>
        </w:rPr>
        <w:t xml:space="preserve"> ראה </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w:t>
      </w:r>
    </w:p>
    <w:bookmarkStart w:id="6107" w:name="b5_note65"/>
    <w:p w14:paraId="44012320" w14:textId="77777777" w:rsidR="00AB3647" w:rsidRDefault="00000000" w:rsidP="007923E9">
      <w:pPr>
        <w:spacing w:before="120" w:after="100" w:line="276" w:lineRule="auto"/>
        <w:jc w:val="both"/>
      </w:pPr>
      <w:r>
        <w:fldChar w:fldCharType="begin" w:dirty="true"/>
      </w:r>
      <w:r>
        <w:instrText>HYPERLINK \l "b5_ref65"</w:instrText>
      </w:r>
      <w:r>
        <w:fldChar w:fldCharType="separate"/>
      </w:r>
      <w:r>
        <w:rPr>
          <w:b/>
          <w:bCs/>
          <w:rtl/>
        </w:rPr>
        <w:t>65</w:t>
      </w:r>
      <w:r>
        <w:rPr>
          <w:b/>
          <w:bCs/>
        </w:rPr>
        <w:fldChar w:fldCharType="end"/>
      </w:r>
      <w:bookmarkEnd w:id="6107"/>
      <w:r>
        <w:rPr>
          <w:rtl/>
        </w:rPr>
        <w:t xml:space="preserve"> בזיכרונותיו של </w:t>
      </w:r>
      <w:proofErr w:type="spellStart"/>
      <w:r>
        <w:rPr>
          <w:rtl/>
        </w:rPr>
        <w:t>צבי־הירש</w:t>
      </w:r>
      <w:proofErr w:type="spellEnd"/>
      <w:r>
        <w:rPr>
          <w:rtl/>
        </w:rPr>
        <w:t xml:space="preserve"> </w:t>
      </w:r>
      <w:proofErr w:type="spellStart"/>
      <w:r>
        <w:rPr>
          <w:rtl/>
        </w:rPr>
        <w:t>מסליאנסקי</w:t>
      </w:r>
      <w:proofErr w:type="spellEnd"/>
      <w:r>
        <w:rPr>
          <w:rtl/>
        </w:rPr>
        <w:t xml:space="preserve"> באנגלית (1929)</w:t>
      </w:r>
      <w:bookmarkStart w:id="6108" w:name="_fnr4593"/>
      <w:r>
        <w:rPr>
          <w:rStyle w:val="a5"/>
        </w:rPr>
        <w:footnoteReference w:id="4604" w:customMarkFollows="0"/>
      </w:r>
      <w:bookmarkEnd w:id="6108"/>
      <w:r>
        <w:rPr>
          <w:rtl/>
        </w:rPr>
        <w:t xml:space="preserve"> מתאר המחבר</w:t>
      </w:r>
      <w:bookmarkStart w:id="6109" w:name="_fnr4594"/>
      <w:bookmarkStart w:id="6110" w:name="pr_f_4475"/>
      <w:r>
        <w:rPr>
          <w:rStyle w:val="a5"/>
        </w:rPr>
        <w:footnoteReference w:id="4605" w:customMarkFollows="0"/>
      </w:r>
      <w:bookmarkEnd w:id="6109"/>
      <w:bookmarkEnd w:id="6110"/>
      <w:r>
        <w:rPr>
          <w:rtl/>
        </w:rPr>
        <w:t xml:space="preserve"> את מראהו של ר׳ חיים </w:t>
      </w:r>
      <w:proofErr w:type="spellStart"/>
      <w:r>
        <w:rPr>
          <w:rtl/>
        </w:rPr>
        <w:t>בבריסק</w:t>
      </w:r>
      <w:proofErr w:type="spellEnd"/>
      <w:r>
        <w:rPr>
          <w:rtl/>
        </w:rPr>
        <w:t xml:space="preserve"> </w:t>
      </w:r>
      <w:proofErr w:type="spellStart"/>
      <w:r>
        <w:rPr>
          <w:rtl/>
        </w:rPr>
        <w:t>בתרנ״ג</w:t>
      </w:r>
      <w:proofErr w:type="spellEnd"/>
      <w:r>
        <w:rPr>
          <w:rtl/>
        </w:rPr>
        <w:t xml:space="preserve"> (שנה לאחר שנעשה שם רב): “במראהו החיצוני אינו מרשים. קומתו נמוכה, זקנו חד, עיניו חדות; רק הראש גדול, גדול מדי, וכל הרואה אותו מבין שהוא כלי קיבול למוח גדול, למוח ההוגה רעיונות עמוקים”. גם ר׳ מאיר פינס</w:t>
      </w:r>
      <w:bookmarkStart w:id="6111" w:name="_fnr4595"/>
      <w:r>
        <w:rPr>
          <w:rStyle w:val="a5"/>
        </w:rPr>
        <w:footnoteReference w:id="4606" w:customMarkFollows="0"/>
      </w:r>
      <w:bookmarkEnd w:id="6111"/>
      <w:r>
        <w:rPr>
          <w:rtl/>
        </w:rPr>
        <w:t xml:space="preserve">, שראה את ר׳ חיים במינסק בזמן מלחמת העולם הראשונה, תיאר אותו </w:t>
      </w:r>
      <w:proofErr w:type="spellStart"/>
      <w:r>
        <w:rPr>
          <w:rtl/>
        </w:rPr>
        <w:t>כ“נמוך</w:t>
      </w:r>
      <w:proofErr w:type="spellEnd"/>
      <w:r>
        <w:rPr>
          <w:rtl/>
        </w:rPr>
        <w:t xml:space="preserve"> אבל בעל ראש ענקי”.</w:t>
      </w:r>
    </w:p>
    <w:p w14:paraId="7AAD65FA" w14:textId="77777777" w:rsidR="00AB3647" w:rsidRDefault="00000000" w:rsidP="007923E9">
      <w:pPr>
        <w:spacing w:before="120" w:after="100" w:line="276" w:lineRule="auto"/>
        <w:jc w:val="both"/>
      </w:pPr>
      <w:r>
        <w:rPr>
          <w:rtl/>
        </w:rPr>
        <w:lastRenderedPageBreak/>
        <w:t xml:space="preserve">תלמיד משנותיו האחרונות </w:t>
      </w:r>
      <w:proofErr w:type="spellStart"/>
      <w:r>
        <w:rPr>
          <w:rtl/>
        </w:rPr>
        <w:t>בוולוז׳ין</w:t>
      </w:r>
      <w:proofErr w:type="spellEnd"/>
      <w:r>
        <w:rPr>
          <w:rtl/>
        </w:rPr>
        <w:t xml:space="preserve">, הרב יהודה ליב </w:t>
      </w:r>
      <w:proofErr w:type="spellStart"/>
      <w:r>
        <w:rPr>
          <w:rtl/>
        </w:rPr>
        <w:t>דון־יחייא</w:t>
      </w:r>
      <w:bookmarkStart w:id="6112" w:name="_fnr4596"/>
      <w:proofErr w:type="spellEnd"/>
      <w:r>
        <w:rPr>
          <w:rStyle w:val="a5"/>
        </w:rPr>
        <w:footnoteReference w:id="4607" w:customMarkFollows="0"/>
      </w:r>
      <w:bookmarkEnd w:id="6112"/>
      <w:r>
        <w:rPr>
          <w:rtl/>
        </w:rPr>
        <w:t>, מוסר את התיאור הבא: “ר׳ חיים היה בינוני בקומתו. מראהו משך את העין, הן בישיבתו במקום אחד, כשפניו מביעות מאמץ – עיניו הגדולות כולאות בתוכן אריות אש וגולגולתו רבת ההבעה כפופה מעט ושקועה במחשבות עמוקות ביותר – והן כשהיה משוטט באולם הישיבה, וראשו האדיר (ראשו של אריה זקן), המכיל כמות עצומה של מוח, מכביד במשקלו הרב על כתפיו. התמונה על כל פרטיה חרותה לעד בזיכרונם של רואיה”.</w:t>
      </w:r>
    </w:p>
    <w:p w14:paraId="692E227A" w14:textId="77777777" w:rsidR="00AB3647" w:rsidRDefault="00000000" w:rsidP="007923E9">
      <w:pPr>
        <w:spacing w:before="120" w:after="100" w:line="276" w:lineRule="auto"/>
        <w:jc w:val="both"/>
      </w:pPr>
      <w:r>
        <w:rPr>
          <w:rtl/>
        </w:rPr>
        <w:t xml:space="preserve">אבא </w:t>
      </w:r>
      <w:proofErr w:type="spellStart"/>
      <w:r>
        <w:rPr>
          <w:rtl/>
        </w:rPr>
        <w:t>בלושר</w:t>
      </w:r>
      <w:proofErr w:type="spellEnd"/>
      <w:r>
        <w:rPr>
          <w:rtl/>
        </w:rPr>
        <w:t xml:space="preserve">, תלמיד נוסף </w:t>
      </w:r>
      <w:proofErr w:type="spellStart"/>
      <w:r>
        <w:rPr>
          <w:rtl/>
        </w:rPr>
        <w:t>בוולוז׳ין</w:t>
      </w:r>
      <w:proofErr w:type="spellEnd"/>
      <w:r>
        <w:rPr>
          <w:rtl/>
        </w:rPr>
        <w:t xml:space="preserve"> מאותה תקופה</w:t>
      </w:r>
      <w:bookmarkStart w:id="6113" w:name="_fnr4597"/>
      <w:r>
        <w:rPr>
          <w:rStyle w:val="a5"/>
        </w:rPr>
        <w:footnoteReference w:id="4608" w:customMarkFollows="0"/>
      </w:r>
      <w:bookmarkEnd w:id="6113"/>
      <w:r>
        <w:rPr>
          <w:rtl/>
        </w:rPr>
        <w:t xml:space="preserve">, נראה כמי שהושפע הן מן הרב יהודה ליב </w:t>
      </w:r>
      <w:proofErr w:type="spellStart"/>
      <w:r>
        <w:rPr>
          <w:rtl/>
        </w:rPr>
        <w:t>דון־יחייא</w:t>
      </w:r>
      <w:proofErr w:type="spellEnd"/>
      <w:r>
        <w:rPr>
          <w:rtl/>
        </w:rPr>
        <w:t xml:space="preserve"> הן מן הרב צ״ה </w:t>
      </w:r>
      <w:proofErr w:type="spellStart"/>
      <w:r>
        <w:rPr>
          <w:rtl/>
        </w:rPr>
        <w:t>מסליאנסקי</w:t>
      </w:r>
      <w:proofErr w:type="spellEnd"/>
      <w:r>
        <w:rPr>
          <w:rtl/>
        </w:rPr>
        <w:t>, כשכתב</w:t>
      </w:r>
      <w:bookmarkStart w:id="6114" w:name="_fnr4598"/>
      <w:r>
        <w:rPr>
          <w:rStyle w:val="a5"/>
        </w:rPr>
        <w:footnoteReference w:id="4609" w:customMarkFollows="0"/>
      </w:r>
      <w:bookmarkEnd w:id="6114"/>
      <w:r>
        <w:rPr>
          <w:rtl/>
        </w:rPr>
        <w:t>: “כשם שר׳ חיים היה גדול מחבריו בתורה, כך היה גדול בגופו. היקף גופו היה רחב, וראשו כראש אריה. עיניו העקומות, הפונות ימינה, היו עמוקות וחודרות עד עמקי עמקים. וכתפיו הרחבות היו כפופות כאילו קשה להן לשאת את משקלו של הראש הגדול, ששימש כלי קיבול לקב מוח”.</w:t>
      </w:r>
    </w:p>
    <w:p w14:paraId="29ED8980" w14:textId="77777777" w:rsidR="00AB3647" w:rsidRDefault="00000000" w:rsidP="007923E9">
      <w:pPr>
        <w:spacing w:after="100" w:line="276" w:lineRule="auto"/>
        <w:ind w:firstLine="340"/>
        <w:jc w:val="both"/>
      </w:pPr>
      <w:r>
        <w:rPr>
          <w:rtl/>
        </w:rPr>
        <w:t>כאמור, עיניו של ר׳ חיים היו ראויות לציון במיוחד. נחום סוקולוב</w:t>
      </w:r>
      <w:bookmarkStart w:id="6115" w:name="_fnr4599"/>
      <w:r>
        <w:rPr>
          <w:rStyle w:val="a5"/>
        </w:rPr>
        <w:footnoteReference w:id="4610" w:customMarkFollows="0"/>
      </w:r>
      <w:bookmarkEnd w:id="6115"/>
      <w:r>
        <w:rPr>
          <w:rtl/>
        </w:rPr>
        <w:t xml:space="preserve"> מדגיש אותן בתיאור מראהו של ר׳ חיים: “איש בגיל העמידה, נמוך, בעל עיניים גדולות ויפות מאוד, כאילו בולטות מחוריהן – סימן לאדם בעל זיכרון יוצא דופן; בגדיו אינם מגוהצים ואין בהם הדר, והם מגלים פשטות רבה”.</w:t>
      </w:r>
    </w:p>
    <w:p w14:paraId="18C0AB8D" w14:textId="77777777" w:rsidR="00AB3647" w:rsidRDefault="00000000" w:rsidP="007923E9">
      <w:pPr>
        <w:spacing w:after="100" w:line="276" w:lineRule="auto"/>
        <w:ind w:firstLine="340"/>
        <w:jc w:val="both"/>
      </w:pPr>
      <w:r>
        <w:rPr>
          <w:rtl/>
        </w:rPr>
        <w:t>ר׳ שלמה פיש</w:t>
      </w:r>
      <w:bookmarkStart w:id="6116" w:name="_fnr4600"/>
      <w:r>
        <w:rPr>
          <w:rStyle w:val="a5"/>
        </w:rPr>
        <w:footnoteReference w:id="4611" w:customMarkFollows="0"/>
      </w:r>
      <w:bookmarkEnd w:id="6116"/>
      <w:r>
        <w:rPr>
          <w:rtl/>
        </w:rPr>
        <w:t xml:space="preserve"> מתאר את ר׳ חיים כפי שנראה בדרכו לכינוס הייסוד של אגודת ישראל </w:t>
      </w:r>
      <w:proofErr w:type="spellStart"/>
      <w:r>
        <w:rPr>
          <w:rtl/>
        </w:rPr>
        <w:t>בקטוביץ</w:t>
      </w:r>
      <w:proofErr w:type="spellEnd"/>
      <w:r>
        <w:rPr>
          <w:rtl/>
        </w:rPr>
        <w:t xml:space="preserve"> </w:t>
      </w:r>
      <w:proofErr w:type="spellStart"/>
      <w:r>
        <w:rPr>
          <w:rtl/>
        </w:rPr>
        <w:t>בתרע״ב</w:t>
      </w:r>
      <w:proofErr w:type="spellEnd"/>
      <w:r>
        <w:rPr>
          <w:rtl/>
        </w:rPr>
        <w:t xml:space="preserve">: “כל משתתפי הכינוס שבאו מן המזרח היו צריכים לעבור דרך </w:t>
      </w:r>
      <w:proofErr w:type="spellStart"/>
      <w:r>
        <w:rPr>
          <w:rtl/>
        </w:rPr>
        <w:t>סוסנוביץ</w:t>
      </w:r>
      <w:proofErr w:type="spellEnd"/>
      <w:r>
        <w:rPr>
          <w:rtl/>
        </w:rPr>
        <w:t xml:space="preserve">, ושם להחליף לרכבת אחרת הנוסעת </w:t>
      </w:r>
      <w:proofErr w:type="spellStart"/>
      <w:r>
        <w:rPr>
          <w:rtl/>
        </w:rPr>
        <w:t>לקטוביץ</w:t>
      </w:r>
      <w:proofErr w:type="spellEnd"/>
      <w:r>
        <w:rPr>
          <w:rtl/>
        </w:rPr>
        <w:t xml:space="preserve">. בתוכם היה גאון הדור, ר׳ חיים </w:t>
      </w:r>
      <w:proofErr w:type="spellStart"/>
      <w:r>
        <w:rPr>
          <w:rtl/>
        </w:rPr>
        <w:t>סולובייצ׳יק</w:t>
      </w:r>
      <w:proofErr w:type="spellEnd"/>
      <w:r>
        <w:rPr>
          <w:rtl/>
        </w:rPr>
        <w:t xml:space="preserve">, שבא מעירו </w:t>
      </w:r>
      <w:proofErr w:type="spellStart"/>
      <w:r>
        <w:rPr>
          <w:rtl/>
        </w:rPr>
        <w:t>בריסק</w:t>
      </w:r>
      <w:proofErr w:type="spellEnd"/>
      <w:r>
        <w:rPr>
          <w:rtl/>
        </w:rPr>
        <w:t xml:space="preserve">. הוא ישב בחדר ההמתנה בתחנה כמה שעות, וכל יהודי </w:t>
      </w:r>
      <w:proofErr w:type="spellStart"/>
      <w:r>
        <w:rPr>
          <w:rtl/>
        </w:rPr>
        <w:t>סוסנוביץ</w:t>
      </w:r>
      <w:proofErr w:type="spellEnd"/>
      <w:r>
        <w:rPr>
          <w:rtl/>
        </w:rPr>
        <w:t xml:space="preserve"> באו לחלוק לו כבוד – ואני ביניהם. זוכר אני את מראהו: ר׳ חיים היה נמוך קומה ובעל עיניים בוערות – בכל חיי לא ראיתי עיניים כאלה”.</w:t>
      </w:r>
    </w:p>
    <w:p w14:paraId="3281EE9B" w14:textId="77777777" w:rsidR="00AB3647" w:rsidRDefault="00000000" w:rsidP="007923E9">
      <w:pPr>
        <w:spacing w:after="100" w:line="276" w:lineRule="auto"/>
        <w:ind w:firstLine="340"/>
        <w:jc w:val="both"/>
      </w:pP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117" w:name="_fnr4601"/>
      <w:r>
        <w:rPr>
          <w:rStyle w:val="a5"/>
        </w:rPr>
        <w:footnoteReference w:id="4612" w:customMarkFollows="0"/>
      </w:r>
      <w:bookmarkEnd w:id="6117"/>
      <w:r>
        <w:rPr>
          <w:rtl/>
        </w:rPr>
        <w:t xml:space="preserve"> מספר “גאון” ששמו לא נזכר, שר׳ מאיר </w:t>
      </w:r>
      <w:proofErr w:type="spellStart"/>
      <w:r>
        <w:rPr>
          <w:rtl/>
        </w:rPr>
        <w:t>סולובייצ׳יק</w:t>
      </w:r>
      <w:proofErr w:type="spellEnd"/>
      <w:r>
        <w:rPr>
          <w:rtl/>
        </w:rPr>
        <w:t xml:space="preserve"> סיפר בשם אביו ר׳ יצחק־זאב: במלחמת העולם הראשונה, כשהחיילים הגרמנים כבשו את </w:t>
      </w:r>
      <w:proofErr w:type="spellStart"/>
      <w:r>
        <w:rPr>
          <w:rtl/>
        </w:rPr>
        <w:t>בריסק</w:t>
      </w:r>
      <w:bookmarkStart w:id="6118" w:name="_fnr4602"/>
      <w:proofErr w:type="spellEnd"/>
      <w:r>
        <w:rPr>
          <w:rStyle w:val="a5"/>
        </w:rPr>
        <w:footnoteReference w:id="4613" w:customMarkFollows="0"/>
      </w:r>
      <w:bookmarkEnd w:id="6118"/>
      <w:r>
        <w:rPr>
          <w:rtl/>
        </w:rPr>
        <w:t xml:space="preserve"> וראו לראשונה את ר׳ חיים, הם “קפאו על מקומם” ואמרו שמעולם לא ראו עיניים כאלה.</w:t>
      </w:r>
    </w:p>
    <w:p w14:paraId="3DAB747E" w14:textId="77777777" w:rsidR="00AB3647" w:rsidRDefault="00000000" w:rsidP="007923E9">
      <w:pPr>
        <w:spacing w:after="100" w:line="276" w:lineRule="auto"/>
        <w:ind w:firstLine="340"/>
        <w:jc w:val="both"/>
      </w:pPr>
      <w:r>
        <w:rPr>
          <w:rtl/>
        </w:rPr>
        <w:lastRenderedPageBreak/>
        <w:t xml:space="preserve">מעניין </w:t>
      </w:r>
      <w:proofErr w:type="spellStart"/>
      <w:r>
        <w:rPr>
          <w:rtl/>
        </w:rPr>
        <w:t>ש“רבותינו</w:t>
      </w:r>
      <w:proofErr w:type="spellEnd"/>
      <w:r>
        <w:rPr>
          <w:rtl/>
        </w:rPr>
        <w:t xml:space="preserve"> שבגולה”</w:t>
      </w:r>
      <w:bookmarkStart w:id="6119" w:name="_fnr4603"/>
      <w:r>
        <w:rPr>
          <w:rStyle w:val="a5"/>
        </w:rPr>
        <w:footnoteReference w:id="4614" w:customMarkFollows="0"/>
      </w:r>
      <w:bookmarkEnd w:id="6119"/>
      <w:r>
        <w:rPr>
          <w:rtl/>
        </w:rPr>
        <w:t xml:space="preserve"> מספר כיצד סיפר ר׳ חיים עצמו שכשהיה בן חמש ביקר ר׳ </w:t>
      </w:r>
      <w:proofErr w:type="spellStart"/>
      <w:r>
        <w:rPr>
          <w:rtl/>
        </w:rPr>
        <w:t>יוסל׳ה</w:t>
      </w:r>
      <w:proofErr w:type="spellEnd"/>
      <w:r>
        <w:rPr>
          <w:rtl/>
        </w:rPr>
        <w:t xml:space="preserve"> </w:t>
      </w:r>
      <w:proofErr w:type="spellStart"/>
      <w:r>
        <w:rPr>
          <w:rtl/>
        </w:rPr>
        <w:t>פיימר</w:t>
      </w:r>
      <w:bookmarkStart w:id="6120" w:name="_fnr4604"/>
      <w:proofErr w:type="spellEnd"/>
      <w:r>
        <w:rPr>
          <w:rStyle w:val="a5"/>
        </w:rPr>
        <w:footnoteReference w:id="4615" w:customMarkFollows="0"/>
      </w:r>
      <w:bookmarkEnd w:id="6120"/>
      <w:r>
        <w:rPr>
          <w:rtl/>
        </w:rPr>
        <w:t xml:space="preserve"> </w:t>
      </w:r>
      <w:proofErr w:type="spellStart"/>
      <w:r>
        <w:rPr>
          <w:rtl/>
        </w:rPr>
        <w:t>בוולוז׳ין</w:t>
      </w:r>
      <w:proofErr w:type="spellEnd"/>
      <w:r>
        <w:rPr>
          <w:rtl/>
        </w:rPr>
        <w:t xml:space="preserve">, והכול נדהמו ונבהלו מאוד ממראה פניו של ר׳ </w:t>
      </w:r>
      <w:proofErr w:type="spellStart"/>
      <w:r>
        <w:rPr>
          <w:rtl/>
        </w:rPr>
        <w:t>יוסל׳ה</w:t>
      </w:r>
      <w:proofErr w:type="spellEnd"/>
      <w:r>
        <w:rPr>
          <w:rtl/>
        </w:rPr>
        <w:t>.</w:t>
      </w:r>
    </w:p>
    <w:p w14:paraId="75A0EAD9" w14:textId="2290540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עיניו של ר׳ חיים שוטטו על פני הבחורים, שמספרם הלך וגדל. כשהבחין בפניו של </w:t>
      </w:r>
      <w:proofErr w:type="spellStart"/>
      <w:r>
        <w:rPr>
          <w:rtl/>
        </w:rPr>
        <w:t>אברהם־אליהו</w:t>
      </w:r>
      <w:proofErr w:type="spellEnd"/>
      <w:r>
        <w:rPr>
          <w:rtl/>
        </w:rPr>
        <w:t xml:space="preserve">, התבונן בו ר׳ חיים לרגע ושאל אם הוא בנו של ר׳ </w:t>
      </w:r>
      <w:proofErr w:type="spellStart"/>
      <w:r>
        <w:rPr>
          <w:rtl/>
        </w:rPr>
        <w:t>אברהם־אליהו</w:t>
      </w:r>
      <w:proofErr w:type="spellEnd"/>
      <w:r>
        <w:rPr>
          <w:rtl/>
        </w:rPr>
        <w:t xml:space="preserve"> קפלן</w:t>
      </w:r>
      <w:bookmarkStart w:id="6121" w:name="b5_ref66"/>
      <w:bookmarkEnd w:id="6121"/>
      <w:r>
        <w:rPr>
          <w:vertAlign w:val="superscript"/>
          <w:rtl/>
        </w:rPr>
        <w:fldChar w:fldCharType="begin" w:dirty="true"/>
      </w:r>
      <w:r>
        <w:rPr>
          <w:vertAlign w:val="superscript"/>
          <w:rtl/>
        </w:rPr>
        <w:instrText xml:space="preserve"> REF b5_note66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66</w:t>
      </w:r>
      <w:r>
        <w:rPr>
          <w:vertAlign w:val="superscript"/>
          <w:rtl/>
        </w:rPr>
        <w:fldChar w:fldCharType="end"/>
      </w:r>
      <w:r>
        <w:rPr>
          <w:rtl/>
        </w:rPr>
        <w:t>. כשנענה בחיוב, קרא: “כלום יש בן לאותו צדיק</w:t>
      </w:r>
      <w:bookmarkStart w:id="6122" w:name="b5_ref67"/>
      <w:bookmarkEnd w:id="6122"/>
      <w:r>
        <w:rPr>
          <w:vertAlign w:val="superscript"/>
          <w:rtl/>
        </w:rPr>
        <w:fldChar w:fldCharType="begin" w:dirty="true"/>
      </w:r>
      <w:r>
        <w:rPr>
          <w:vertAlign w:val="superscript"/>
          <w:rtl/>
        </w:rPr>
        <w:instrText xml:space="preserve"> REF b5_note67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67</w:t>
      </w:r>
      <w:r>
        <w:rPr>
          <w:vertAlign w:val="superscript"/>
          <w:rtl/>
        </w:rPr>
        <w:fldChar w:fldCharType="end"/>
      </w:r>
      <w:r>
        <w:rPr>
          <w:rtl/>
        </w:rPr>
        <w:t>!”, וקם מלוא קומתו</w:t>
      </w:r>
      <w:bookmarkStart w:id="6123" w:name="b5_ref68"/>
      <w:bookmarkEnd w:id="6123"/>
      <w:r>
        <w:rPr>
          <w:vertAlign w:val="superscript"/>
          <w:rtl/>
        </w:rPr>
        <w:fldChar w:fldCharType="begin" w:dirty="true"/>
      </w:r>
      <w:r>
        <w:rPr>
          <w:vertAlign w:val="superscript"/>
          <w:rtl/>
        </w:rPr>
        <w:instrText xml:space="preserve"> REF b5_note68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68</w:t>
      </w:r>
      <w:r>
        <w:rPr>
          <w:vertAlign w:val="superscript"/>
          <w:rtl/>
        </w:rPr>
        <w:fldChar w:fldCharType="end"/>
      </w:r>
      <w:r>
        <w:rPr>
          <w:rtl/>
        </w:rPr>
        <w:t xml:space="preserve">. עינו החדה קלטה גם את תווי פניו של ידידו של רבנו, אהרן פינס. ר׳ חיים שיער שהנער ודאי בנו של מי שנפטר שבע שנים קודם לכן, רבה של </w:t>
      </w:r>
      <w:proofErr w:type="spellStart"/>
      <w:r>
        <w:rPr>
          <w:rtl/>
        </w:rPr>
        <w:t>סיסלוביץ</w:t>
      </w:r>
      <w:proofErr w:type="spellEnd"/>
      <w:r>
        <w:rPr>
          <w:rtl/>
        </w:rPr>
        <w:t xml:space="preserve">׳, ר׳ </w:t>
      </w:r>
      <w:proofErr w:type="spellStart"/>
      <w:r>
        <w:rPr>
          <w:rtl/>
        </w:rPr>
        <w:t>שניאור־זלמן</w:t>
      </w:r>
      <w:proofErr w:type="spellEnd"/>
      <w:r>
        <w:rPr>
          <w:rtl/>
        </w:rPr>
        <w:t xml:space="preserve"> – והשערתו נתאמתה. את האב ראה ר׳ חיים לאחרונה עשרים שנה קודם לכן, בימים שלימד בוולוז׳ין</w:t>
      </w:r>
      <w:bookmarkStart w:id="6124" w:name="b5_ref69"/>
      <w:bookmarkEnd w:id="6124"/>
      <w:r>
        <w:rPr>
          <w:vertAlign w:val="superscript"/>
          <w:rtl/>
        </w:rPr>
        <w:fldChar w:fldCharType="begin" w:dirty="true"/>
      </w:r>
      <w:r>
        <w:rPr>
          <w:vertAlign w:val="superscript"/>
          <w:rtl/>
        </w:rPr>
        <w:instrText xml:space="preserve"> REF b5_note69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69</w:t>
      </w:r>
      <w:r>
        <w:rPr>
          <w:vertAlign w:val="superscript"/>
          <w:rtl/>
        </w:rPr>
        <w:fldChar w:fldCharType="end"/>
      </w:r>
      <w:r>
        <w:rPr>
          <w:rtl/>
        </w:rPr>
        <w:t>.</w:t>
      </w:r>
    </w:p>
    <w:bookmarkStart w:id="6125" w:name="b5_note66"/>
    <w:p w14:paraId="395E884F" w14:textId="15F3F93E" w:rsidR="00AB3647" w:rsidRDefault="00000000" w:rsidP="007923E9">
      <w:pPr>
        <w:spacing w:before="120" w:after="100" w:line="276" w:lineRule="auto"/>
        <w:jc w:val="both"/>
      </w:pPr>
      <w:r>
        <w:fldChar w:fldCharType="begin" w:dirty="true"/>
      </w:r>
      <w:r>
        <w:instrText>HYPERLINK \l "b5_ref66"</w:instrText>
      </w:r>
      <w:r>
        <w:fldChar w:fldCharType="separate"/>
      </w:r>
      <w:r>
        <w:rPr>
          <w:b/>
          <w:bCs/>
          <w:rtl/>
        </w:rPr>
        <w:t>66</w:t>
      </w:r>
      <w:r>
        <w:rPr>
          <w:b/>
          <w:bCs/>
        </w:rPr>
        <w:fldChar w:fldCharType="end"/>
      </w:r>
      <w:bookmarkEnd w:id="6125"/>
      <w:r>
        <w:rPr>
          <w:rtl/>
        </w:rPr>
        <w:t xml:space="preserve">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w:t>
      </w:r>
    </w:p>
    <w:bookmarkStart w:id="6126" w:name="b5_note67"/>
    <w:p w14:paraId="7AA013BD" w14:textId="77777777" w:rsidR="00AB3647" w:rsidRDefault="00000000" w:rsidP="007923E9">
      <w:pPr>
        <w:spacing w:before="120" w:after="100" w:line="276" w:lineRule="auto"/>
        <w:jc w:val="both"/>
      </w:pPr>
      <w:r>
        <w:fldChar w:fldCharType="begin" w:dirty="true"/>
      </w:r>
      <w:r>
        <w:instrText>HYPERLINK \l "b5_ref67"</w:instrText>
      </w:r>
      <w:r>
        <w:fldChar w:fldCharType="separate"/>
      </w:r>
      <w:r>
        <w:rPr>
          <w:b/>
          <w:bCs/>
          <w:rtl/>
        </w:rPr>
        <w:t>67</w:t>
      </w:r>
      <w:r>
        <w:rPr>
          <w:b/>
          <w:bCs/>
        </w:rPr>
        <w:fldChar w:fldCharType="end"/>
      </w:r>
      <w:bookmarkEnd w:id="6126"/>
      <w:r>
        <w:rPr>
          <w:rtl/>
        </w:rPr>
        <w:t xml:space="preserve"> “כלום יש בן לאותו צדיק?” הוא הנוסח המדויק שמסר המרואיין</w:t>
      </w:r>
      <w:bookmarkStart w:id="6127" w:name="_fnr4605"/>
      <w:r>
        <w:rPr>
          <w:rStyle w:val="a5"/>
        </w:rPr>
        <w:footnoteReference w:id="4616" w:customMarkFollows="0"/>
      </w:r>
      <w:bookmarkEnd w:id="6127"/>
      <w:r>
        <w:rPr>
          <w:rtl/>
        </w:rPr>
        <w:t>. נוסח מעודן יותר, על פי מסכת יבמות</w:t>
      </w:r>
      <w:bookmarkStart w:id="6128" w:name="_fnr4606"/>
      <w:r>
        <w:rPr>
          <w:rStyle w:val="a5"/>
        </w:rPr>
        <w:footnoteReference w:id="4617" w:customMarkFollows="0"/>
      </w:r>
      <w:bookmarkEnd w:id="6128"/>
      <w:r>
        <w:rPr>
          <w:rtl/>
        </w:rPr>
        <w:t xml:space="preserve">, היה: “ויש לו </w:t>
      </w:r>
      <w:r>
        <w:rPr>
          <w:b/>
          <w:bCs/>
          <w:rtl/>
        </w:rPr>
        <w:t>בן</w:t>
      </w:r>
      <w:r>
        <w:rPr>
          <w:rtl/>
        </w:rPr>
        <w:t xml:space="preserve"> </w:t>
      </w:r>
      <w:proofErr w:type="spellStart"/>
      <w:r>
        <w:rPr>
          <w:rtl/>
        </w:rPr>
        <w:t>לאברהם־אליהו</w:t>
      </w:r>
      <w:proofErr w:type="spellEnd"/>
      <w:r>
        <w:rPr>
          <w:rtl/>
        </w:rPr>
        <w:t xml:space="preserve"> </w:t>
      </w:r>
      <w:proofErr w:type="spellStart"/>
      <w:r>
        <w:rPr>
          <w:b/>
          <w:bCs/>
          <w:rtl/>
        </w:rPr>
        <w:t>חבירנו</w:t>
      </w:r>
      <w:proofErr w:type="spellEnd"/>
      <w:r>
        <w:rPr>
          <w:rtl/>
        </w:rPr>
        <w:t xml:space="preserve">” – אף שאין בו אזכור לצדיקות. לשון הגמרא היא: “[אמר רבי </w:t>
      </w:r>
      <w:proofErr w:type="spellStart"/>
      <w:r>
        <w:rPr>
          <w:rtl/>
        </w:rPr>
        <w:t>דוסא</w:t>
      </w:r>
      <w:proofErr w:type="spellEnd"/>
      <w:r>
        <w:rPr>
          <w:rtl/>
        </w:rPr>
        <w:t xml:space="preserve"> בן </w:t>
      </w:r>
      <w:proofErr w:type="spellStart"/>
      <w:r>
        <w:rPr>
          <w:rtl/>
        </w:rPr>
        <w:t>הורכינס</w:t>
      </w:r>
      <w:proofErr w:type="spellEnd"/>
      <w:r>
        <w:rPr>
          <w:rtl/>
        </w:rPr>
        <w:t xml:space="preserve">] ויש לו </w:t>
      </w:r>
      <w:r>
        <w:rPr>
          <w:b/>
          <w:bCs/>
          <w:rtl/>
        </w:rPr>
        <w:t>בן</w:t>
      </w:r>
      <w:r>
        <w:rPr>
          <w:rtl/>
        </w:rPr>
        <w:t xml:space="preserve"> לעזריה </w:t>
      </w:r>
      <w:r>
        <w:rPr>
          <w:b/>
          <w:bCs/>
          <w:rtl/>
        </w:rPr>
        <w:t>חברנו</w:t>
      </w:r>
      <w:r>
        <w:rPr>
          <w:rtl/>
        </w:rPr>
        <w:t xml:space="preserve">; קרא עליו המקרא הזה [תהלים </w:t>
      </w:r>
      <w:proofErr w:type="spellStart"/>
      <w:r>
        <w:rPr>
          <w:rtl/>
        </w:rPr>
        <w:t>לז,כה</w:t>
      </w:r>
      <w:proofErr w:type="spellEnd"/>
      <w:r>
        <w:rPr>
          <w:rtl/>
        </w:rPr>
        <w:t xml:space="preserve">] נער הייתי גם זקנתי ולא ראיתי </w:t>
      </w:r>
      <w:r>
        <w:rPr>
          <w:b/>
          <w:bCs/>
          <w:rtl/>
        </w:rPr>
        <w:t>צדיק</w:t>
      </w:r>
      <w:r>
        <w:rPr>
          <w:rtl/>
        </w:rPr>
        <w:t xml:space="preserve"> נעזב וזרעו מבקש לחם”. עם זאת, את השפעתה של גמרא זו על הדברים שיוחסו </w:t>
      </w:r>
      <w:proofErr w:type="spellStart"/>
      <w:r>
        <w:rPr>
          <w:rtl/>
        </w:rPr>
        <w:t>לר</w:t>
      </w:r>
      <w:proofErr w:type="spellEnd"/>
      <w:r>
        <w:rPr>
          <w:rtl/>
        </w:rPr>
        <w:t>׳ חיים אפשר למצוא בשלוש ההדגשות שהכנסתי לציטוט שבמשפט הקודם.</w:t>
      </w:r>
    </w:p>
    <w:p w14:paraId="6A224014" w14:textId="77777777" w:rsidR="00AB3647" w:rsidRDefault="00000000" w:rsidP="007923E9">
      <w:pPr>
        <w:spacing w:before="120" w:after="100" w:line="276" w:lineRule="auto"/>
        <w:jc w:val="both"/>
      </w:pPr>
      <w:r>
        <w:rPr>
          <w:rtl/>
        </w:rPr>
        <w:t>“בעקבות היראה”</w:t>
      </w:r>
      <w:bookmarkStart w:id="6129" w:name="_fnr4607"/>
      <w:r>
        <w:rPr>
          <w:rStyle w:val="a5"/>
        </w:rPr>
        <w:footnoteReference w:id="4618" w:customMarkFollows="0"/>
      </w:r>
      <w:bookmarkEnd w:id="6129"/>
      <w:r>
        <w:rPr>
          <w:rtl/>
        </w:rPr>
        <w:t xml:space="preserve"> מצטט מאמר </w:t>
      </w:r>
      <w:proofErr w:type="spellStart"/>
      <w:r>
        <w:rPr>
          <w:rtl/>
        </w:rPr>
        <w:t>ב“ישורון</w:t>
      </w:r>
      <w:proofErr w:type="spellEnd"/>
      <w:r>
        <w:rPr>
          <w:rtl/>
        </w:rPr>
        <w:t xml:space="preserve">” מאת ר׳ </w:t>
      </w:r>
      <w:proofErr w:type="spellStart"/>
      <w:r>
        <w:rPr>
          <w:rtl/>
        </w:rPr>
        <w:t>אברהם־יעקב</w:t>
      </w:r>
      <w:proofErr w:type="spellEnd"/>
      <w:r>
        <w:rPr>
          <w:rtl/>
        </w:rPr>
        <w:t xml:space="preserve"> </w:t>
      </w:r>
      <w:proofErr w:type="spellStart"/>
      <w:r>
        <w:rPr>
          <w:rtl/>
        </w:rPr>
        <w:t>ניימרק</w:t>
      </w:r>
      <w:proofErr w:type="spellEnd"/>
      <w:r>
        <w:rPr>
          <w:rtl/>
        </w:rPr>
        <w:t xml:space="preserve"> (תרל״ח–תשכ״ב), שאשתו </w:t>
      </w:r>
      <w:proofErr w:type="spellStart"/>
      <w:r>
        <w:rPr>
          <w:rtl/>
        </w:rPr>
        <w:t>שרה־אסתר</w:t>
      </w:r>
      <w:proofErr w:type="spellEnd"/>
      <w:r>
        <w:rPr>
          <w:rtl/>
        </w:rPr>
        <w:t xml:space="preserve"> הייתה אחותו של חותנו של ר׳ </w:t>
      </w:r>
      <w:proofErr w:type="spellStart"/>
      <w:r>
        <w:rPr>
          <w:rtl/>
        </w:rPr>
        <w:t>אברהם־אליהו</w:t>
      </w:r>
      <w:proofErr w:type="spellEnd"/>
      <w:r>
        <w:rPr>
          <w:rtl/>
        </w:rPr>
        <w:t xml:space="preserve">. גם מאמר זה מעיד על השפעתה של הגמרא, באומרו: “ושמח ר׳ חיים שמחה גדולה שזכה </w:t>
      </w:r>
      <w:r>
        <w:rPr>
          <w:b/>
          <w:bCs/>
          <w:rtl/>
        </w:rPr>
        <w:t>לראות בן של אותו צדיק</w:t>
      </w:r>
      <w:r>
        <w:rPr>
          <w:rtl/>
        </w:rPr>
        <w:t>”.</w:t>
      </w:r>
    </w:p>
    <w:bookmarkStart w:id="6130" w:name="b5_note68"/>
    <w:p w14:paraId="3F013A60" w14:textId="77777777" w:rsidR="00AB3647" w:rsidRDefault="00000000" w:rsidP="007923E9">
      <w:pPr>
        <w:spacing w:before="120" w:after="100" w:line="276" w:lineRule="auto"/>
        <w:jc w:val="both"/>
      </w:pPr>
      <w:r>
        <w:fldChar w:fldCharType="begin" w:dirty="true"/>
      </w:r>
      <w:r>
        <w:instrText>HYPERLINK \l "b5_ref68"</w:instrText>
      </w:r>
      <w:r>
        <w:fldChar w:fldCharType="separate"/>
      </w:r>
      <w:r>
        <w:rPr>
          <w:b/>
          <w:bCs/>
          <w:rtl/>
        </w:rPr>
        <w:t>68</w:t>
      </w:r>
      <w:r>
        <w:rPr>
          <w:b/>
          <w:bCs/>
        </w:rPr>
        <w:fldChar w:fldCharType="end"/>
      </w:r>
      <w:bookmarkEnd w:id="6130"/>
      <w:r>
        <w:rPr>
          <w:rtl/>
        </w:rPr>
        <w:t xml:space="preserve"> על פי ר׳ אלי׳ </w:t>
      </w:r>
      <w:proofErr w:type="spellStart"/>
      <w:r>
        <w:rPr>
          <w:rtl/>
        </w:rPr>
        <w:t>קושלבסקי</w:t>
      </w:r>
      <w:bookmarkStart w:id="6131" w:name="_fnr4608"/>
      <w:proofErr w:type="spellEnd"/>
      <w:r>
        <w:rPr>
          <w:rStyle w:val="a5"/>
        </w:rPr>
        <w:footnoteReference w:id="4619" w:customMarkFollows="0"/>
      </w:r>
      <w:bookmarkEnd w:id="6131"/>
      <w:r>
        <w:rPr>
          <w:rtl/>
        </w:rPr>
        <w:t xml:space="preserve">, ששמע זאת מפי ר׳ יחזקאל </w:t>
      </w:r>
      <w:proofErr w:type="spellStart"/>
      <w:r>
        <w:rPr>
          <w:rtl/>
        </w:rPr>
        <w:t>ברשטיין</w:t>
      </w:r>
      <w:bookmarkStart w:id="6132" w:name="_fnr4609"/>
      <w:proofErr w:type="spellEnd"/>
      <w:r>
        <w:rPr>
          <w:rStyle w:val="a5"/>
        </w:rPr>
        <w:footnoteReference w:id="4620" w:customMarkFollows="0"/>
      </w:r>
      <w:bookmarkEnd w:id="6132"/>
      <w:r>
        <w:rPr>
          <w:rtl/>
        </w:rPr>
        <w:t xml:space="preserve">. לפי מרואיין זה אירע המעשה כששהה ר׳ חיים בקובנה בעניין רבנות בנו </w:t>
      </w:r>
      <w:proofErr w:type="spellStart"/>
      <w:r>
        <w:rPr>
          <w:rtl/>
        </w:rPr>
        <w:t>בראסיין</w:t>
      </w:r>
      <w:proofErr w:type="spellEnd"/>
      <w:r>
        <w:rPr>
          <w:rtl/>
        </w:rPr>
        <w:t xml:space="preserve">, כפי שאני מביא. אבל השווה את מאמרו של ר׳ </w:t>
      </w:r>
      <w:proofErr w:type="spellStart"/>
      <w:r>
        <w:rPr>
          <w:rtl/>
        </w:rPr>
        <w:t>אברהם־יעקב</w:t>
      </w:r>
      <w:proofErr w:type="spellEnd"/>
      <w:r>
        <w:rPr>
          <w:rtl/>
        </w:rPr>
        <w:t xml:space="preserve"> </w:t>
      </w:r>
      <w:proofErr w:type="spellStart"/>
      <w:r>
        <w:rPr>
          <w:rtl/>
        </w:rPr>
        <w:t>ניימרק</w:t>
      </w:r>
      <w:bookmarkStart w:id="6133" w:name="_fnr4610"/>
      <w:proofErr w:type="spellEnd"/>
      <w:r>
        <w:rPr>
          <w:rStyle w:val="a5"/>
        </w:rPr>
        <w:footnoteReference w:id="4621" w:customMarkFollows="0"/>
      </w:r>
      <w:bookmarkEnd w:id="6133"/>
      <w:r>
        <w:rPr>
          <w:rtl/>
        </w:rPr>
        <w:t xml:space="preserve">, הממקם את המעשה על כל פרטיו בעיר המרפא </w:t>
      </w:r>
      <w:proofErr w:type="spellStart"/>
      <w:r>
        <w:rPr>
          <w:rtl/>
        </w:rPr>
        <w:t>ליבאו</w:t>
      </w:r>
      <w:proofErr w:type="spellEnd"/>
      <w:r>
        <w:rPr>
          <w:rtl/>
        </w:rPr>
        <w:t xml:space="preserve">, </w:t>
      </w:r>
      <w:proofErr w:type="spellStart"/>
      <w:r>
        <w:rPr>
          <w:rtl/>
        </w:rPr>
        <w:t>שלוש־עשרה</w:t>
      </w:r>
      <w:proofErr w:type="spellEnd"/>
      <w:r>
        <w:rPr>
          <w:rtl/>
        </w:rPr>
        <w:t xml:space="preserve"> שנה קודם לכן. אף שר׳ </w:t>
      </w:r>
      <w:proofErr w:type="spellStart"/>
      <w:r>
        <w:rPr>
          <w:rtl/>
        </w:rPr>
        <w:t>אברהם־יעקב</w:t>
      </w:r>
      <w:proofErr w:type="spellEnd"/>
      <w:r>
        <w:rPr>
          <w:rtl/>
        </w:rPr>
        <w:t xml:space="preserve"> </w:t>
      </w:r>
      <w:proofErr w:type="spellStart"/>
      <w:r>
        <w:rPr>
          <w:rtl/>
        </w:rPr>
        <w:t>ניימרק</w:t>
      </w:r>
      <w:proofErr w:type="spellEnd"/>
      <w:r>
        <w:rPr>
          <w:rtl/>
        </w:rPr>
        <w:t xml:space="preserve"> טוען ששמע זאת מפי הרב קפלן עצמו, הבאתי את הדברים כפי שהבאתי, משום שתמוה שר׳ חיים קם לכבוד ילד בן חמש: לכבוד כזה אין משמעות בעיני ילד, ולכן אין בו טעם</w:t>
      </w:r>
      <w:bookmarkStart w:id="6134" w:name="_fnr4611"/>
      <w:r>
        <w:rPr>
          <w:rStyle w:val="a5"/>
        </w:rPr>
        <w:footnoteReference w:id="4622" w:customMarkFollows="0"/>
      </w:r>
      <w:bookmarkEnd w:id="6134"/>
      <w:r>
        <w:rPr>
          <w:rtl/>
        </w:rPr>
        <w:t>.</w:t>
      </w:r>
    </w:p>
    <w:p w14:paraId="2D293910" w14:textId="77777777" w:rsidR="00AB3647" w:rsidRDefault="00000000" w:rsidP="007923E9">
      <w:pPr>
        <w:spacing w:before="120" w:after="100" w:line="276" w:lineRule="auto"/>
        <w:jc w:val="both"/>
      </w:pPr>
      <w:r>
        <w:rPr>
          <w:rtl/>
        </w:rPr>
        <w:lastRenderedPageBreak/>
        <w:t xml:space="preserve">מסתבר שבפעם הראשונה זיהה ר׳ חיים את תווי פני הילד וקרא: “כלום יש בן לאותו צדיק?”, </w:t>
      </w:r>
      <w:proofErr w:type="spellStart"/>
      <w:r>
        <w:rPr>
          <w:rtl/>
        </w:rPr>
        <w:t>ובתרס״ח</w:t>
      </w:r>
      <w:proofErr w:type="spellEnd"/>
      <w:r>
        <w:rPr>
          <w:rtl/>
        </w:rPr>
        <w:t xml:space="preserve">, כשראה שהנער נעשה תלמיד </w:t>
      </w:r>
      <w:proofErr w:type="spellStart"/>
      <w:r>
        <w:rPr>
          <w:rtl/>
        </w:rPr>
        <w:t>סלבודקה</w:t>
      </w:r>
      <w:proofErr w:type="spellEnd"/>
      <w:r>
        <w:rPr>
          <w:rtl/>
        </w:rPr>
        <w:t xml:space="preserve">, חזר על הקריאה </w:t>
      </w:r>
      <w:r>
        <w:rPr>
          <w:b/>
          <w:bCs/>
          <w:rtl/>
        </w:rPr>
        <w:t>והוסיף</w:t>
      </w:r>
      <w:r>
        <w:rPr>
          <w:rtl/>
        </w:rPr>
        <w:t xml:space="preserve"> גילוי כבוד בקומו לפניו. אפשר שר׳ </w:t>
      </w:r>
      <w:proofErr w:type="spellStart"/>
      <w:r>
        <w:rPr>
          <w:rtl/>
        </w:rPr>
        <w:t>אברהם־יעקב</w:t>
      </w:r>
      <w:proofErr w:type="spellEnd"/>
      <w:r>
        <w:rPr>
          <w:rtl/>
        </w:rPr>
        <w:t xml:space="preserve"> </w:t>
      </w:r>
      <w:proofErr w:type="spellStart"/>
      <w:r>
        <w:rPr>
          <w:rtl/>
        </w:rPr>
        <w:t>ניימרק</w:t>
      </w:r>
      <w:proofErr w:type="spellEnd"/>
      <w:r>
        <w:rPr>
          <w:rtl/>
        </w:rPr>
        <w:t xml:space="preserve"> צירף את שני המעשים שלא מדעת.</w:t>
      </w:r>
    </w:p>
    <w:bookmarkStart w:id="6135" w:name="b5_note69"/>
    <w:p w14:paraId="217ED988" w14:textId="77777777" w:rsidR="00AB3647" w:rsidRDefault="00000000" w:rsidP="007923E9">
      <w:pPr>
        <w:spacing w:before="120" w:after="100" w:line="276" w:lineRule="auto"/>
        <w:jc w:val="both"/>
      </w:pPr>
      <w:r>
        <w:fldChar w:fldCharType="begin" w:dirty="true"/>
      </w:r>
      <w:r>
        <w:instrText>HYPERLINK \l "b5_ref69"</w:instrText>
      </w:r>
      <w:r>
        <w:fldChar w:fldCharType="separate"/>
      </w:r>
      <w:r>
        <w:rPr>
          <w:b/>
          <w:bCs/>
          <w:rtl/>
        </w:rPr>
        <w:t>69</w:t>
      </w:r>
      <w:r>
        <w:rPr>
          <w:b/>
          <w:bCs/>
        </w:rPr>
        <w:fldChar w:fldCharType="end"/>
      </w:r>
      <w:bookmarkEnd w:id="6135"/>
      <w:r>
        <w:rPr>
          <w:rtl/>
        </w:rPr>
        <w:t xml:space="preserve"> על פי “אוסף חידושי תורה ממרן </w:t>
      </w:r>
      <w:proofErr w:type="spellStart"/>
      <w:r>
        <w:rPr>
          <w:rtl/>
        </w:rPr>
        <w:t>הגר״א</w:t>
      </w:r>
      <w:proofErr w:type="spellEnd"/>
      <w:r>
        <w:rPr>
          <w:rtl/>
        </w:rPr>
        <w:t xml:space="preserve"> קוטלר”</w:t>
      </w:r>
      <w:bookmarkStart w:id="6136" w:name="_fnr4612"/>
      <w:r>
        <w:rPr>
          <w:rStyle w:val="a5"/>
        </w:rPr>
        <w:footnoteReference w:id="4623" w:customMarkFollows="0"/>
      </w:r>
      <w:bookmarkEnd w:id="6136"/>
      <w:r>
        <w:rPr>
          <w:rtl/>
        </w:rPr>
        <w:t>.</w:t>
      </w:r>
    </w:p>
    <w:p w14:paraId="1A6BEB29" w14:textId="47A5A296"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מלבד עשרות התלמידים הרבות שגדשו את החדר הגדול עד שבא ר׳ ברוך־בער</w:t>
      </w:r>
      <w:bookmarkStart w:id="6137" w:name="b5_ref70"/>
      <w:bookmarkEnd w:id="6137"/>
      <w:r>
        <w:rPr>
          <w:vertAlign w:val="superscript"/>
          <w:rtl/>
        </w:rPr>
        <w:fldChar w:fldCharType="begin" w:dirty="true"/>
      </w:r>
      <w:r>
        <w:rPr>
          <w:vertAlign w:val="superscript"/>
          <w:rtl/>
        </w:rPr>
        <w:instrText xml:space="preserve"> REF b5_note70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70</w:t>
      </w:r>
      <w:r>
        <w:rPr>
          <w:vertAlign w:val="superscript"/>
          <w:rtl/>
        </w:rPr>
        <w:fldChar w:fldCharType="end"/>
      </w:r>
      <w:r>
        <w:rPr>
          <w:rtl/>
        </w:rPr>
        <w:t>, היו שם ר׳ משה־מרדכי</w:t>
      </w:r>
      <w:bookmarkStart w:id="6138" w:name="b5_ref71"/>
      <w:bookmarkEnd w:id="6138"/>
      <w:r>
        <w:rPr>
          <w:vertAlign w:val="superscript"/>
          <w:rtl/>
        </w:rPr>
        <w:fldChar w:fldCharType="begin" w:dirty="true"/>
      </w:r>
      <w:r>
        <w:rPr>
          <w:vertAlign w:val="superscript"/>
          <w:rtl/>
        </w:rPr>
        <w:instrText xml:space="preserve"> REF b5_note71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71</w:t>
      </w:r>
      <w:r>
        <w:rPr>
          <w:vertAlign w:val="superscript"/>
          <w:rtl/>
        </w:rPr>
        <w:fldChar w:fldCharType="end"/>
      </w:r>
      <w:r>
        <w:rPr>
          <w:rtl/>
        </w:rPr>
        <w:t>, ר׳ ברוך הורביץ, רבה של אלקסוט</w:t>
      </w:r>
      <w:bookmarkStart w:id="6139" w:name="b5_ref72"/>
      <w:bookmarkEnd w:id="6139"/>
      <w:r>
        <w:rPr>
          <w:vertAlign w:val="superscript"/>
          <w:rtl/>
        </w:rPr>
        <w:fldChar w:fldCharType="begin" w:dirty="true"/>
      </w:r>
      <w:r>
        <w:rPr>
          <w:vertAlign w:val="superscript"/>
          <w:rtl/>
        </w:rPr>
        <w:instrText xml:space="preserve"> REF b5_note72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72</w:t>
      </w:r>
      <w:r>
        <w:rPr>
          <w:vertAlign w:val="superscript"/>
          <w:rtl/>
        </w:rPr>
        <w:fldChar w:fldCharType="end"/>
      </w:r>
      <w:r>
        <w:rPr>
          <w:rtl/>
        </w:rPr>
        <w:t>, ר׳ פנחס גלמן, רבה של יקטרינוסלב</w:t>
      </w:r>
      <w:bookmarkStart w:id="6140" w:name="b5_ref73"/>
      <w:bookmarkEnd w:id="6140"/>
      <w:r>
        <w:rPr>
          <w:vertAlign w:val="superscript"/>
          <w:rtl/>
        </w:rPr>
        <w:fldChar w:fldCharType="begin" w:dirty="true"/>
      </w:r>
      <w:r>
        <w:rPr>
          <w:vertAlign w:val="superscript"/>
          <w:rtl/>
        </w:rPr>
        <w:instrText xml:space="preserve"> REF b5_note73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73</w:t>
      </w:r>
      <w:r>
        <w:rPr>
          <w:vertAlign w:val="superscript"/>
          <w:rtl/>
        </w:rPr>
        <w:fldChar w:fldCharType="end"/>
      </w:r>
      <w:r>
        <w:rPr>
          <w:rtl/>
        </w:rPr>
        <w:t xml:space="preserve">, שאר רבני קובנה </w:t>
      </w:r>
      <w:proofErr w:type="spellStart"/>
      <w:r>
        <w:rPr>
          <w:rtl/>
        </w:rPr>
        <w:t>וסלבודקה</w:t>
      </w:r>
      <w:proofErr w:type="spellEnd"/>
      <w:r>
        <w:rPr>
          <w:rtl/>
        </w:rPr>
        <w:t xml:space="preserve"> וחברי כולל קובנה. כשראה הקהל שר׳ </w:t>
      </w:r>
      <w:proofErr w:type="spellStart"/>
      <w:r>
        <w:rPr>
          <w:rtl/>
        </w:rPr>
        <w:t>ברוך־בער</w:t>
      </w:r>
      <w:proofErr w:type="spellEnd"/>
      <w:r>
        <w:rPr>
          <w:rtl/>
        </w:rPr>
        <w:t xml:space="preserve"> נכנס, פינו לו דרך, כדי שראש ישיבת כנסת בית יצחק יוכל לגשת אל רבו</w:t>
      </w:r>
      <w:bookmarkStart w:id="6141" w:name="b5_ref74"/>
      <w:bookmarkEnd w:id="6141"/>
      <w:r>
        <w:rPr>
          <w:vertAlign w:val="superscript"/>
          <w:rtl/>
        </w:rPr>
        <w:fldChar w:fldCharType="begin" w:dirty="true"/>
      </w:r>
      <w:r>
        <w:rPr>
          <w:vertAlign w:val="superscript"/>
          <w:rtl/>
        </w:rPr>
        <w:instrText xml:space="preserve"> REF b5_note74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74</w:t>
      </w:r>
      <w:r>
        <w:rPr>
          <w:vertAlign w:val="superscript"/>
          <w:rtl/>
        </w:rPr>
        <w:fldChar w:fldCharType="end"/>
      </w:r>
      <w:r>
        <w:rPr>
          <w:rtl/>
        </w:rPr>
        <w:t xml:space="preserve">. אבל כשמישהו רצה לפנות לו את כיסאו ליד ר׳ חיים, דחה ר׳ </w:t>
      </w:r>
      <w:proofErr w:type="spellStart"/>
      <w:r>
        <w:rPr>
          <w:rtl/>
        </w:rPr>
        <w:t>ברוך־בער</w:t>
      </w:r>
      <w:proofErr w:type="spellEnd"/>
      <w:r>
        <w:rPr>
          <w:rtl/>
        </w:rPr>
        <w:t xml:space="preserve"> את ההצעה בתנועת יד</w:t>
      </w:r>
      <w:bookmarkStart w:id="6142" w:name="b5_ref75"/>
      <w:bookmarkEnd w:id="6142"/>
      <w:r>
        <w:rPr>
          <w:vertAlign w:val="superscript"/>
          <w:rtl/>
        </w:rPr>
        <w:fldChar w:fldCharType="begin" w:dirty="true"/>
      </w:r>
      <w:r>
        <w:rPr>
          <w:vertAlign w:val="superscript"/>
          <w:rtl/>
        </w:rPr>
        <w:instrText xml:space="preserve"> REF b5_note75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75</w:t>
      </w:r>
      <w:r>
        <w:rPr>
          <w:vertAlign w:val="superscript"/>
          <w:rtl/>
        </w:rPr>
        <w:fldChar w:fldCharType="end"/>
      </w:r>
      <w:r>
        <w:rPr>
          <w:rtl/>
        </w:rPr>
        <w:t>.</w:t>
      </w:r>
    </w:p>
    <w:bookmarkStart w:id="6143" w:name="b5_note70"/>
    <w:p w14:paraId="39293293" w14:textId="77777777" w:rsidR="00AB3647" w:rsidRDefault="00000000" w:rsidP="007923E9">
      <w:pPr>
        <w:spacing w:before="120" w:after="100" w:line="276" w:lineRule="auto"/>
        <w:jc w:val="both"/>
      </w:pPr>
      <w:r>
        <w:fldChar w:fldCharType="begin" w:dirty="true"/>
      </w:r>
      <w:r>
        <w:instrText>HYPERLINK \l "b5_ref70"</w:instrText>
      </w:r>
      <w:r>
        <w:fldChar w:fldCharType="separate"/>
      </w:r>
      <w:r>
        <w:rPr>
          <w:b/>
          <w:bCs/>
          <w:rtl/>
        </w:rPr>
        <w:t>70</w:t>
      </w:r>
      <w:r>
        <w:rPr>
          <w:b/>
          <w:bCs/>
        </w:rPr>
        <w:fldChar w:fldCharType="end"/>
      </w:r>
      <w:bookmarkEnd w:id="6143"/>
      <w:r>
        <w:rPr>
          <w:rtl/>
        </w:rPr>
        <w:t xml:space="preserve"> את אירועי ביקורו של ר׳ חיים המתוארים להלן תיאר ר׳ קופל </w:t>
      </w:r>
      <w:proofErr w:type="spellStart"/>
      <w:r>
        <w:rPr>
          <w:rtl/>
        </w:rPr>
        <w:t>וולפרט</w:t>
      </w:r>
      <w:bookmarkStart w:id="6144" w:name="_fnr4613"/>
      <w:proofErr w:type="spellEnd"/>
      <w:r>
        <w:rPr>
          <w:rStyle w:val="a5"/>
        </w:rPr>
        <w:footnoteReference w:id="4624" w:customMarkFollows="0"/>
      </w:r>
      <w:bookmarkEnd w:id="6144"/>
      <w:r>
        <w:rPr>
          <w:rtl/>
        </w:rPr>
        <w:t>.</w:t>
      </w:r>
    </w:p>
    <w:bookmarkStart w:id="6145" w:name="b5_note71"/>
    <w:p w14:paraId="7C861175" w14:textId="385B2B8F" w:rsidR="00AB3647" w:rsidRDefault="00000000" w:rsidP="007923E9">
      <w:pPr>
        <w:spacing w:before="120" w:after="100" w:line="276" w:lineRule="auto"/>
        <w:jc w:val="both"/>
      </w:pPr>
      <w:r>
        <w:fldChar w:fldCharType="begin" w:dirty="true"/>
      </w:r>
      <w:r>
        <w:instrText>HYPERLINK \l "b5_ref71"</w:instrText>
      </w:r>
      <w:r>
        <w:fldChar w:fldCharType="separate"/>
      </w:r>
      <w:r>
        <w:rPr>
          <w:b/>
          <w:bCs/>
          <w:rtl/>
        </w:rPr>
        <w:t>71</w:t>
      </w:r>
      <w:r>
        <w:rPr>
          <w:b/>
          <w:bCs/>
        </w:rPr>
        <w:fldChar w:fldCharType="end"/>
      </w:r>
      <w:bookmarkEnd w:id="6145"/>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46" w:name="b5_note72"/>
    <w:p w14:paraId="3E58B076" w14:textId="1CA2E957" w:rsidR="00AB3647" w:rsidRDefault="00000000" w:rsidP="007923E9">
      <w:pPr>
        <w:spacing w:before="120" w:after="100" w:line="276" w:lineRule="auto"/>
        <w:jc w:val="both"/>
      </w:pPr>
      <w:r>
        <w:fldChar w:fldCharType="begin" w:dirty="true"/>
      </w:r>
      <w:r>
        <w:instrText>HYPERLINK \l "b5_ref72"</w:instrText>
      </w:r>
      <w:r>
        <w:fldChar w:fldCharType="separate"/>
      </w:r>
      <w:r>
        <w:rPr>
          <w:b/>
          <w:bCs/>
          <w:rtl/>
        </w:rPr>
        <w:t>72</w:t>
      </w:r>
      <w:r>
        <w:rPr>
          <w:b/>
          <w:bCs/>
        </w:rPr>
        <w:fldChar w:fldCharType="end"/>
      </w:r>
      <w:bookmarkEnd w:id="6146"/>
      <w:r>
        <w:rPr>
          <w:rtl/>
        </w:rPr>
        <w:t xml:space="preserve"> הוא נולד </w:t>
      </w:r>
      <w:proofErr w:type="spellStart"/>
      <w:r>
        <w:rPr>
          <w:rtl/>
        </w:rPr>
        <w:t>בתר״ל</w:t>
      </w:r>
      <w:proofErr w:type="spellEnd"/>
      <w:r>
        <w:rPr>
          <w:rtl/>
        </w:rPr>
        <w:t xml:space="preserve">, ולמד אצל ר׳ </w:t>
      </w:r>
      <w:proofErr w:type="spellStart"/>
      <w:r>
        <w:rPr>
          <w:rtl/>
        </w:rPr>
        <w:t>איצל׳ה</w:t>
      </w:r>
      <w:proofErr w:type="spellEnd"/>
      <w:r>
        <w:rPr>
          <w:rtl/>
        </w:rPr>
        <w:t xml:space="preserve"> </w:t>
      </w:r>
      <w:proofErr w:type="spellStart"/>
      <w:r>
        <w:rPr>
          <w:rtl/>
        </w:rPr>
        <w:t>מפוניבז</w:t>
      </w:r>
      <w:proofErr w:type="spellEnd"/>
      <w:r>
        <w:rPr>
          <w:rtl/>
        </w:rPr>
        <w:t>׳</w:t>
      </w:r>
      <w:bookmarkStart w:id="6147" w:name="_fnr4614"/>
      <w:r>
        <w:rPr>
          <w:rStyle w:val="a5"/>
        </w:rPr>
        <w:footnoteReference w:id="4625" w:customMarkFollows="0"/>
      </w:r>
      <w:bookmarkEnd w:id="6147"/>
      <w:r>
        <w:rPr>
          <w:rtl/>
        </w:rPr>
        <w:t xml:space="preserve"> ואצל </w:t>
      </w:r>
      <w:proofErr w:type="spellStart"/>
      <w:r>
        <w:rPr>
          <w:rtl/>
        </w:rPr>
        <w:t>החפץ־חיים</w:t>
      </w:r>
      <w:proofErr w:type="spellEnd"/>
      <w:r>
        <w:rPr>
          <w:rtl/>
        </w:rPr>
        <w:t xml:space="preserve">. הרב הורביץ נעשה רבה של </w:t>
      </w:r>
      <w:proofErr w:type="spellStart"/>
      <w:r>
        <w:rPr>
          <w:rtl/>
        </w:rPr>
        <w:t>אלקסוט</w:t>
      </w:r>
      <w:proofErr w:type="spellEnd"/>
      <w:r>
        <w:rPr>
          <w:rtl/>
        </w:rPr>
        <w:t xml:space="preserve"> </w:t>
      </w:r>
      <w:proofErr w:type="spellStart"/>
      <w:r>
        <w:rPr>
          <w:rtl/>
        </w:rPr>
        <w:t>בתר״ס</w:t>
      </w:r>
      <w:proofErr w:type="spellEnd"/>
      <w:r>
        <w:rPr>
          <w:rtl/>
        </w:rPr>
        <w:t xml:space="preserve">, והיה אחד ממארגני אגודת הרבנים בליטא. הוא נפטר </w:t>
      </w:r>
      <w:proofErr w:type="spellStart"/>
      <w:r>
        <w:rPr>
          <w:rtl/>
        </w:rPr>
        <w:t>בתרצ״ו</w:t>
      </w:r>
      <w:proofErr w:type="spellEnd"/>
      <w:r>
        <w:rPr>
          <w:rtl/>
        </w:rPr>
        <w:t xml:space="preserve">. הפרטים הביוגרפיים נלקטו מספרו של </w:t>
      </w:r>
      <w:proofErr w:type="spellStart"/>
      <w:r>
        <w:rPr>
          <w:rtl/>
        </w:rPr>
        <w:t>ידעאל</w:t>
      </w:r>
      <w:proofErr w:type="spellEnd"/>
      <w:r>
        <w:rPr>
          <w:rtl/>
        </w:rPr>
        <w:t xml:space="preserve"> מלצר, “בדרך עץ החיים”</w:t>
      </w:r>
      <w:bookmarkStart w:id="6148" w:name="_fnr4615"/>
      <w:r>
        <w:rPr>
          <w:rStyle w:val="a5"/>
        </w:rPr>
        <w:footnoteReference w:id="4626" w:customMarkFollows="0"/>
      </w:r>
      <w:bookmarkEnd w:id="6148"/>
      <w:r>
        <w:rPr>
          <w:rtl/>
        </w:rPr>
        <w:t xml:space="preserve">; השווה גם פרק 3, סוף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וכרך 2.</w:t>
      </w:r>
    </w:p>
    <w:bookmarkStart w:id="6149" w:name="b5_note73"/>
    <w:p w14:paraId="6B767B8D" w14:textId="77777777" w:rsidR="00AB3647" w:rsidRDefault="00000000" w:rsidP="007923E9">
      <w:pPr>
        <w:spacing w:before="120" w:after="100" w:line="276" w:lineRule="auto"/>
        <w:jc w:val="both"/>
      </w:pPr>
      <w:r>
        <w:fldChar w:fldCharType="begin" w:dirty="true"/>
      </w:r>
      <w:r>
        <w:instrText>HYPERLINK \l "b5_ref73"</w:instrText>
      </w:r>
      <w:r>
        <w:fldChar w:fldCharType="separate"/>
      </w:r>
      <w:r>
        <w:rPr>
          <w:b/>
          <w:bCs/>
          <w:rtl/>
        </w:rPr>
        <w:t>73</w:t>
      </w:r>
      <w:r>
        <w:rPr>
          <w:b/>
          <w:bCs/>
        </w:rPr>
        <w:fldChar w:fldCharType="end"/>
      </w:r>
      <w:bookmarkEnd w:id="6149"/>
      <w:r>
        <w:rPr>
          <w:rtl/>
        </w:rPr>
        <w:t xml:space="preserve"> המקור הזכיר רק שרבה של העיר ההיא היה נוכח. את שמו, ואת העובדה שהתמנה שם בשנה הקודמת, מצאתי </w:t>
      </w:r>
      <w:proofErr w:type="spellStart"/>
      <w:r>
        <w:rPr>
          <w:rtl/>
        </w:rPr>
        <w:t>ב“אהלי</w:t>
      </w:r>
      <w:proofErr w:type="spellEnd"/>
      <w:r>
        <w:rPr>
          <w:rtl/>
        </w:rPr>
        <w:t xml:space="preserve"> שם”</w:t>
      </w:r>
      <w:bookmarkStart w:id="6150" w:name="_fnr4616"/>
      <w:r>
        <w:rPr>
          <w:rStyle w:val="a5"/>
        </w:rPr>
        <w:footnoteReference w:id="4627" w:customMarkFollows="0"/>
      </w:r>
      <w:bookmarkEnd w:id="6150"/>
      <w:r>
        <w:rPr>
          <w:rtl/>
        </w:rPr>
        <w:t>.</w:t>
      </w:r>
    </w:p>
    <w:p w14:paraId="3B6EC483" w14:textId="77777777" w:rsidR="00AB3647" w:rsidRDefault="00000000" w:rsidP="007923E9">
      <w:pPr>
        <w:spacing w:before="120" w:after="100" w:line="276" w:lineRule="auto"/>
        <w:jc w:val="both"/>
      </w:pPr>
      <w:r>
        <w:rPr>
          <w:rtl/>
        </w:rPr>
        <w:t xml:space="preserve">מאמר מאת בן העיר, “הרב </w:t>
      </w:r>
      <w:proofErr w:type="spellStart"/>
      <w:r>
        <w:rPr>
          <w:rtl/>
        </w:rPr>
        <w:t>יהודה־לייב</w:t>
      </w:r>
      <w:proofErr w:type="spellEnd"/>
      <w:r>
        <w:rPr>
          <w:rtl/>
        </w:rPr>
        <w:t xml:space="preserve"> לוין, רבה של מוסקבה”, </w:t>
      </w:r>
      <w:proofErr w:type="spellStart"/>
      <w:r>
        <w:rPr>
          <w:rtl/>
        </w:rPr>
        <w:t>ב“ספר</w:t>
      </w:r>
      <w:proofErr w:type="spellEnd"/>
      <w:r>
        <w:rPr>
          <w:rtl/>
        </w:rPr>
        <w:t xml:space="preserve"> </w:t>
      </w:r>
      <w:proofErr w:type="spellStart"/>
      <w:r>
        <w:rPr>
          <w:rtl/>
        </w:rPr>
        <w:t>יקטרינוסלב־דנפרופטרובסק</w:t>
      </w:r>
      <w:proofErr w:type="spellEnd"/>
      <w:r>
        <w:rPr>
          <w:rtl/>
        </w:rPr>
        <w:t xml:space="preserve">” (שם, דברי פתיחה, עמ׳ </w:t>
      </w:r>
      <w:proofErr w:type="spellStart"/>
      <w:r>
        <w:rPr>
          <w:rtl/>
        </w:rPr>
        <w:t>xxvi</w:t>
      </w:r>
      <w:proofErr w:type="spellEnd"/>
      <w:r>
        <w:rPr>
          <w:rtl/>
        </w:rPr>
        <w:t xml:space="preserve">), מספר שהקהילה סערה מפני </w:t>
      </w:r>
      <w:proofErr w:type="spellStart"/>
      <w:r>
        <w:rPr>
          <w:rtl/>
        </w:rPr>
        <w:t>ש“החסידים</w:t>
      </w:r>
      <w:proofErr w:type="spellEnd"/>
      <w:r>
        <w:rPr>
          <w:rtl/>
        </w:rPr>
        <w:t xml:space="preserve"> רצו להושיב את ר׳ </w:t>
      </w:r>
      <w:proofErr w:type="spellStart"/>
      <w:r>
        <w:rPr>
          <w:rtl/>
        </w:rPr>
        <w:t>לוי־יצחק</w:t>
      </w:r>
      <w:proofErr w:type="spellEnd"/>
      <w:r>
        <w:rPr>
          <w:rtl/>
        </w:rPr>
        <w:t xml:space="preserve"> שניאורסון” [לימים אביו של הרבי האחרון </w:t>
      </w:r>
      <w:proofErr w:type="spellStart"/>
      <w:r>
        <w:rPr>
          <w:rtl/>
        </w:rPr>
        <w:t>מליובאוויטש</w:t>
      </w:r>
      <w:proofErr w:type="spellEnd"/>
      <w:r>
        <w:rPr>
          <w:rtl/>
        </w:rPr>
        <w:t xml:space="preserve">], “והמתנגדים, המשכילים והעשירים נשאו עיניהם אל ר׳ פנחס גלמן, שהיה רבה של </w:t>
      </w:r>
      <w:proofErr w:type="spellStart"/>
      <w:r>
        <w:rPr>
          <w:rtl/>
        </w:rPr>
        <w:t>טאראשצ׳ה</w:t>
      </w:r>
      <w:proofErr w:type="spellEnd"/>
      <w:r>
        <w:rPr>
          <w:rtl/>
        </w:rPr>
        <w:t xml:space="preserve">. המחלוקת גבהה עד לשמים, עד שהגיעו לידי מכות וחילול השם בכל בתי הכנסת. כך נמשך הדבר כמה חודשים, ולבסוף הגיעו להסכם: ר׳ פנחס גלמן יכהן בחלק העיר הסמוך לנהר, ור׳ </w:t>
      </w:r>
      <w:proofErr w:type="spellStart"/>
      <w:r>
        <w:rPr>
          <w:rtl/>
        </w:rPr>
        <w:t>לוי־יצחק</w:t>
      </w:r>
      <w:proofErr w:type="spellEnd"/>
      <w:r>
        <w:rPr>
          <w:rtl/>
        </w:rPr>
        <w:t xml:space="preserve"> שניאורסון בחלק העיר שבו כיהן אביו כרב”.</w:t>
      </w:r>
    </w:p>
    <w:bookmarkStart w:id="6151" w:name="b5_note74"/>
    <w:p w14:paraId="2375ABD6" w14:textId="5E2EF3C2" w:rsidR="00AB3647" w:rsidRDefault="00000000" w:rsidP="007923E9">
      <w:pPr>
        <w:spacing w:before="120" w:after="100" w:line="276" w:lineRule="auto"/>
        <w:jc w:val="both"/>
      </w:pPr>
      <w:r>
        <w:fldChar w:fldCharType="begin" w:dirty="true"/>
      </w:r>
      <w:r>
        <w:instrText>HYPERLINK \l "b5_ref74"</w:instrText>
      </w:r>
      <w:r>
        <w:fldChar w:fldCharType="separate"/>
      </w:r>
      <w:r>
        <w:rPr>
          <w:b/>
          <w:bCs/>
          <w:rtl/>
        </w:rPr>
        <w:t>74</w:t>
      </w:r>
      <w:r>
        <w:rPr>
          <w:b/>
          <w:bCs/>
        </w:rPr>
        <w:fldChar w:fldCharType="end"/>
      </w:r>
      <w:bookmarkEnd w:id="6151"/>
      <w:r>
        <w:rPr>
          <w:rtl/>
        </w:rPr>
        <w:t xml:space="preserve"> השווה פרק 3, הפסקה הראשונה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והערה </w:t>
      </w:r>
      <w:r>
        <w:rPr>
          <w:rtl/>
        </w:rPr>
        <w:fldChar w:fldCharType="begin" w:dirty="true"/>
      </w:r>
      <w:r>
        <w:rPr>
          <w:rtl/>
        </w:rPr>
        <w:instrText xml:space="preserve"> REF b3_note137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137</w:t>
      </w:r>
      <w:r>
        <w:rPr>
          <w:rtl/>
        </w:rPr>
        <w:fldChar w:fldCharType="end"/>
      </w:r>
      <w:r>
        <w:rPr>
          <w:rtl/>
        </w:rPr>
        <w:t>.</w:t>
      </w:r>
    </w:p>
    <w:bookmarkStart w:id="6152" w:name="b5_note75"/>
    <w:p w14:paraId="744DE6D6" w14:textId="77777777" w:rsidR="00AB3647" w:rsidRDefault="00000000" w:rsidP="007923E9">
      <w:pPr>
        <w:spacing w:before="120" w:after="100" w:line="276" w:lineRule="auto"/>
        <w:jc w:val="both"/>
      </w:pPr>
      <w:r>
        <w:lastRenderedPageBreak/>
        <w:fldChar w:fldCharType="begin" w:dirty="true"/>
      </w:r>
      <w:r>
        <w:instrText>HYPERLINK \l "b5_ref75"</w:instrText>
      </w:r>
      <w:r>
        <w:fldChar w:fldCharType="separate"/>
      </w:r>
      <w:r>
        <w:rPr>
          <w:b/>
          <w:bCs/>
          <w:rtl/>
        </w:rPr>
        <w:t>75</w:t>
      </w:r>
      <w:r>
        <w:rPr>
          <w:b/>
          <w:bCs/>
        </w:rPr>
        <w:fldChar w:fldCharType="end"/>
      </w:r>
      <w:bookmarkEnd w:id="6152"/>
      <w:r>
        <w:rPr>
          <w:rtl/>
        </w:rPr>
        <w:t xml:space="preserve"> השווה </w:t>
      </w:r>
      <w:proofErr w:type="spellStart"/>
      <w:r>
        <w:rPr>
          <w:rtl/>
        </w:rPr>
        <w:t>רבינר</w:t>
      </w:r>
      <w:proofErr w:type="spellEnd"/>
      <w:r>
        <w:rPr>
          <w:rtl/>
        </w:rPr>
        <w:t>, “רבינו מאיר שמחה הכהן”</w:t>
      </w:r>
      <w:bookmarkStart w:id="6153" w:name="_fnr4617"/>
      <w:r>
        <w:rPr>
          <w:rStyle w:val="a5"/>
        </w:rPr>
        <w:footnoteReference w:id="4628" w:customMarkFollows="0"/>
      </w:r>
      <w:bookmarkEnd w:id="6153"/>
      <w:r>
        <w:rPr>
          <w:rtl/>
        </w:rPr>
        <w:t xml:space="preserve">, המספר בשם ר׳ </w:t>
      </w:r>
      <w:proofErr w:type="spellStart"/>
      <w:r>
        <w:rPr>
          <w:rtl/>
        </w:rPr>
        <w:t>שמשון־דוב</w:t>
      </w:r>
      <w:proofErr w:type="spellEnd"/>
      <w:r>
        <w:rPr>
          <w:rtl/>
        </w:rPr>
        <w:t xml:space="preserve"> ירושלמי: כשבא </w:t>
      </w:r>
      <w:proofErr w:type="spellStart"/>
      <w:r>
        <w:rPr>
          <w:rtl/>
        </w:rPr>
        <w:t>החפץ־חיים</w:t>
      </w:r>
      <w:proofErr w:type="spellEnd"/>
      <w:r>
        <w:rPr>
          <w:rtl/>
        </w:rPr>
        <w:t xml:space="preserve">, בלי שהוזמן, לאספת הרבנים בפטרבורג </w:t>
      </w:r>
      <w:proofErr w:type="spellStart"/>
      <w:r>
        <w:rPr>
          <w:rtl/>
        </w:rPr>
        <w:t>בתר״ע</w:t>
      </w:r>
      <w:bookmarkStart w:id="6154" w:name="_fnr4618"/>
      <w:proofErr w:type="spellEnd"/>
      <w:r>
        <w:rPr>
          <w:rStyle w:val="a5"/>
        </w:rPr>
        <w:footnoteReference w:id="4629" w:customMarkFollows="0"/>
      </w:r>
      <w:bookmarkEnd w:id="6154"/>
      <w:r>
        <w:rPr>
          <w:rtl/>
        </w:rPr>
        <w:t xml:space="preserve">, ונכנס למסעדה שבה ישבו הרבנים ואכלו, כל הכיסאות היו תפוסים. הכול קמו לכבודו, והרב ירושלמי הציע לו את מקומו. </w:t>
      </w:r>
      <w:proofErr w:type="spellStart"/>
      <w:r>
        <w:rPr>
          <w:rtl/>
        </w:rPr>
        <w:t>החפץ־חיים</w:t>
      </w:r>
      <w:proofErr w:type="spellEnd"/>
      <w:r>
        <w:rPr>
          <w:rtl/>
        </w:rPr>
        <w:t xml:space="preserve"> סירב “בשום אופן” לתפוס את מקומו של הרב ירושלמי. רק כשהביא אחד המלצרים כיסא </w:t>
      </w:r>
      <w:proofErr w:type="spellStart"/>
      <w:r>
        <w:rPr>
          <w:rtl/>
        </w:rPr>
        <w:t>לחפץ־חיים</w:t>
      </w:r>
      <w:proofErr w:type="spellEnd"/>
      <w:r>
        <w:rPr>
          <w:rtl/>
        </w:rPr>
        <w:t>, חזרו כל הרבנים העומדים וישבו במקומותיהם.</w:t>
      </w:r>
    </w:p>
    <w:p w14:paraId="6B9DA57D" w14:textId="1BCA9A29"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אז הזיז ר׳ חיים את רגלו הצדה, הצביע על חיקו ואמר, כשהוא מגלגל את הרי״ש: “</w:t>
      </w:r>
      <w:proofErr w:type="spellStart"/>
      <w:r>
        <w:rPr>
          <w:rtl/>
        </w:rPr>
        <w:t>ברוך־בר</w:t>
      </w:r>
      <w:proofErr w:type="spellEnd"/>
      <w:r>
        <w:rPr>
          <w:rtl/>
        </w:rPr>
        <w:t xml:space="preserve">, שב כאן”. ר׳ </w:t>
      </w:r>
      <w:proofErr w:type="spellStart"/>
      <w:r>
        <w:rPr>
          <w:rtl/>
        </w:rPr>
        <w:t>ברוך־בער</w:t>
      </w:r>
      <w:proofErr w:type="spellEnd"/>
      <w:r>
        <w:rPr>
          <w:rtl/>
        </w:rPr>
        <w:t xml:space="preserve"> עוד עמד מהסס מעל חיק רבו, כשציווה ר׳ חיים: “</w:t>
      </w:r>
      <w:proofErr w:type="spellStart"/>
      <w:r>
        <w:rPr>
          <w:rtl/>
        </w:rPr>
        <w:t>ברוך־בר</w:t>
      </w:r>
      <w:proofErr w:type="spellEnd"/>
      <w:r>
        <w:rPr>
          <w:rtl/>
        </w:rPr>
        <w:t xml:space="preserve">, שב!”, ור׳ </w:t>
      </w:r>
      <w:proofErr w:type="spellStart"/>
      <w:r>
        <w:rPr>
          <w:rtl/>
        </w:rPr>
        <w:t>ברוך־בער</w:t>
      </w:r>
      <w:proofErr w:type="spellEnd"/>
      <w:r>
        <w:rPr>
          <w:rtl/>
        </w:rPr>
        <w:t xml:space="preserve"> התיישב. כעבור רגע ביקש ר׳ </w:t>
      </w:r>
      <w:proofErr w:type="spellStart"/>
      <w:r>
        <w:rPr>
          <w:rtl/>
        </w:rPr>
        <w:t>ברוך־בער</w:t>
      </w:r>
      <w:proofErr w:type="spellEnd"/>
      <w:r>
        <w:rPr>
          <w:rtl/>
        </w:rPr>
        <w:t xml:space="preserve"> סליחה ויצא אל המסדרון, ואחריו התלמיד</w:t>
      </w:r>
      <w:bookmarkStart w:id="6155" w:name="b5_ref76"/>
      <w:bookmarkEnd w:id="6155"/>
      <w:r>
        <w:rPr>
          <w:vertAlign w:val="superscript"/>
          <w:rtl/>
        </w:rPr>
        <w:fldChar w:fldCharType="begin" w:dirty="true"/>
      </w:r>
      <w:r>
        <w:rPr>
          <w:vertAlign w:val="superscript"/>
          <w:rtl/>
        </w:rPr>
        <w:instrText xml:space="preserve"> REF b5_note76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76</w:t>
      </w:r>
      <w:r>
        <w:rPr>
          <w:vertAlign w:val="superscript"/>
          <w:rtl/>
        </w:rPr>
        <w:fldChar w:fldCharType="end"/>
      </w:r>
      <w:r>
        <w:rPr>
          <w:rtl/>
        </w:rPr>
        <w:t xml:space="preserve"> שליווה אותו מביתו ברחובות הקפואים. הבחור סיפר אחר כך שבמסדרון נאנח ראש ישיבתו בקול תחנונים: “אוי וויי </w:t>
      </w:r>
      <w:proofErr w:type="spellStart"/>
      <w:r>
        <w:rPr>
          <w:rtl/>
        </w:rPr>
        <w:t>איז</w:t>
      </w:r>
      <w:proofErr w:type="spellEnd"/>
      <w:r>
        <w:rPr>
          <w:rtl/>
        </w:rPr>
        <w:t xml:space="preserve"> </w:t>
      </w:r>
      <w:proofErr w:type="spellStart"/>
      <w:r>
        <w:rPr>
          <w:rtl/>
        </w:rPr>
        <w:t>מיר</w:t>
      </w:r>
      <w:proofErr w:type="spellEnd"/>
      <w:r>
        <w:rPr>
          <w:rtl/>
        </w:rPr>
        <w:t xml:space="preserve"> [אוי, אוי לי]! הרבי חולה כל כך</w:t>
      </w:r>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ואני, יהודי כבד כל כך, ישבתי עליו. יסלח לי ריבונו של עולם!” בינתיים הובא כיסא, ור׳ </w:t>
      </w:r>
      <w:proofErr w:type="spellStart"/>
      <w:r>
        <w:rPr>
          <w:rtl/>
        </w:rPr>
        <w:t>ברוך־בער</w:t>
      </w:r>
      <w:proofErr w:type="spellEnd"/>
      <w:r>
        <w:rPr>
          <w:rtl/>
        </w:rPr>
        <w:t xml:space="preserve"> שב לשבת לצד רבו.</w:t>
      </w:r>
    </w:p>
    <w:bookmarkStart w:id="6156" w:name="b5_note76"/>
    <w:p w14:paraId="19E28F18" w14:textId="77777777" w:rsidR="00AB3647" w:rsidRDefault="00000000" w:rsidP="007923E9">
      <w:pPr>
        <w:spacing w:before="120" w:after="100" w:line="276" w:lineRule="auto"/>
        <w:jc w:val="both"/>
      </w:pPr>
      <w:r>
        <w:fldChar w:fldCharType="begin" w:dirty="true"/>
      </w:r>
      <w:r>
        <w:instrText>HYPERLINK \l "b5_ref76"</w:instrText>
      </w:r>
      <w:r>
        <w:fldChar w:fldCharType="separate"/>
      </w:r>
      <w:r>
        <w:rPr>
          <w:b/>
          <w:bCs/>
          <w:rtl/>
        </w:rPr>
        <w:t>76</w:t>
      </w:r>
      <w:r>
        <w:rPr>
          <w:b/>
          <w:bCs/>
        </w:rPr>
        <w:fldChar w:fldCharType="end"/>
      </w:r>
      <w:bookmarkEnd w:id="6156"/>
      <w:r>
        <w:rPr>
          <w:rtl/>
        </w:rPr>
        <w:t xml:space="preserve"> תלמיד זה, קופל </w:t>
      </w:r>
      <w:proofErr w:type="spellStart"/>
      <w:r>
        <w:rPr>
          <w:rtl/>
        </w:rPr>
        <w:t>וולפרט</w:t>
      </w:r>
      <w:proofErr w:type="spellEnd"/>
      <w:r>
        <w:rPr>
          <w:rtl/>
        </w:rPr>
        <w:t xml:space="preserve">, ליווה את ר׳ </w:t>
      </w:r>
      <w:proofErr w:type="spellStart"/>
      <w:r>
        <w:rPr>
          <w:rtl/>
        </w:rPr>
        <w:t>ברוך־בער</w:t>
      </w:r>
      <w:proofErr w:type="spellEnd"/>
      <w:r>
        <w:rPr>
          <w:rtl/>
        </w:rPr>
        <w:t xml:space="preserve"> גם בביקורו אצל ר׳ </w:t>
      </w:r>
      <w:proofErr w:type="spellStart"/>
      <w:r>
        <w:rPr>
          <w:rtl/>
        </w:rPr>
        <w:t>דוד׳ל</w:t>
      </w:r>
      <w:proofErr w:type="spellEnd"/>
      <w:r>
        <w:rPr>
          <w:rtl/>
        </w:rPr>
        <w:t xml:space="preserve"> שנה קודם לכן</w:t>
      </w:r>
      <w:bookmarkStart w:id="6157" w:name="_fnr4619"/>
      <w:r>
        <w:rPr>
          <w:rStyle w:val="a5"/>
        </w:rPr>
        <w:footnoteReference w:id="4630" w:customMarkFollows="0"/>
      </w:r>
      <w:bookmarkEnd w:id="6157"/>
      <w:r>
        <w:rPr>
          <w:rtl/>
        </w:rPr>
        <w:t>.</w:t>
      </w:r>
    </w:p>
    <w:bookmarkStart w:id="6158" w:name="b5_note77"/>
    <w:p w14:paraId="239847BD" w14:textId="4688D8D5" w:rsidR="00AB3647" w:rsidRDefault="00000000" w:rsidP="007923E9">
      <w:pPr>
        <w:spacing w:before="120" w:after="100" w:line="276" w:lineRule="auto"/>
        <w:jc w:val="both"/>
      </w:pPr>
      <w:r>
        <w:fldChar w:fldCharType="begin" w:dirty="true"/>
      </w:r>
      <w:r>
        <w:instrText>HYPERLINK \l "b5_ref77"</w:instrText>
      </w:r>
      <w:r>
        <w:fldChar w:fldCharType="separate"/>
      </w:r>
      <w:r>
        <w:rPr>
          <w:b/>
          <w:bCs/>
          <w:rtl/>
        </w:rPr>
        <w:t>77</w:t>
      </w:r>
      <w:r>
        <w:rPr>
          <w:b/>
          <w:bCs/>
        </w:rPr>
        <w:fldChar w:fldCharType="end"/>
      </w:r>
      <w:bookmarkEnd w:id="6158"/>
      <w:r>
        <w:rPr>
          <w:rtl/>
        </w:rPr>
        <w:t xml:space="preserve"> ראה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w:t>
      </w:r>
    </w:p>
    <w:p w14:paraId="2404E418" w14:textId="51C8DE9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אז אמרו הנכבדים שהתאספו </w:t>
      </w:r>
      <w:proofErr w:type="spellStart"/>
      <w:r>
        <w:rPr>
          <w:rtl/>
        </w:rPr>
        <w:t>לר</w:t>
      </w:r>
      <w:proofErr w:type="spellEnd"/>
      <w:r>
        <w:rPr>
          <w:rtl/>
        </w:rPr>
        <w:t>׳ חיים: “יאמר לנו הרב דבר תורה”. ר׳ חיים היה פעם מעשן בשרשרת, אבל כשהחל לירוק דם ציווה עליו הרופא</w:t>
      </w:r>
      <w:bookmarkStart w:id="6159" w:name="b5_ref77"/>
      <w:bookmarkEnd w:id="6159"/>
      <w:r>
        <w:rPr>
          <w:vertAlign w:val="superscript"/>
          <w:rtl/>
        </w:rPr>
        <w:fldChar w:fldCharType="begin" w:dirty="true"/>
      </w:r>
      <w:r>
        <w:rPr>
          <w:vertAlign w:val="superscript"/>
          <w:rtl/>
        </w:rPr>
        <w:instrText xml:space="preserve"> REF b5_note77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77</w:t>
      </w:r>
      <w:r>
        <w:rPr>
          <w:vertAlign w:val="superscript"/>
          <w:rtl/>
        </w:rPr>
        <w:fldChar w:fldCharType="end"/>
      </w:r>
      <w:r>
        <w:rPr>
          <w:rtl/>
        </w:rPr>
        <w:t xml:space="preserve"> להפסיק לעשן. ואולם עדיין היה מכור לטבק, ולקראת דבריו לפני הקהל הוציא את קופסת טבק ההרחה שלו, הקיש עליה באצבעו, פתח אותה בקפידה ומשך את האבקה הטחונה אל שני נחיריו. מאחוריו עמד שמשו הגבוה</w:t>
      </w:r>
      <w:bookmarkStart w:id="6160" w:name="b5_ref78"/>
      <w:bookmarkEnd w:id="6160"/>
      <w:r>
        <w:rPr>
          <w:vertAlign w:val="superscript"/>
          <w:rtl/>
        </w:rPr>
        <w:fldChar w:fldCharType="begin" w:dirty="true"/>
      </w:r>
      <w:r>
        <w:rPr>
          <w:vertAlign w:val="superscript"/>
          <w:rtl/>
        </w:rPr>
        <w:instrText xml:space="preserve"> REF b5_note78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78</w:t>
      </w:r>
      <w:r>
        <w:rPr>
          <w:vertAlign w:val="superscript"/>
          <w:rtl/>
        </w:rPr>
        <w:fldChar w:fldCharType="end"/>
      </w:r>
      <w:r>
        <w:rPr>
          <w:rtl/>
        </w:rPr>
        <w:t xml:space="preserve">, ששמו כשם מזכירו של ר׳ </w:t>
      </w:r>
      <w:proofErr w:type="spellStart"/>
      <w:r>
        <w:rPr>
          <w:rtl/>
        </w:rPr>
        <w:t>יצחק־אלחנן</w:t>
      </w:r>
      <w:proofErr w:type="spellEnd"/>
      <w:r>
        <w:rPr>
          <w:rtl/>
        </w:rPr>
        <w:t>, ר׳ יעקב ליפשיץ. השמש פתח את פיו ואמר: “רבי, הרופא שלך הורה לי שלא להניח לך לדבר, וגם הרבנית</w:t>
      </w:r>
      <w:bookmarkStart w:id="6161" w:name="b5_ref79"/>
      <w:bookmarkEnd w:id="6161"/>
      <w:r>
        <w:rPr>
          <w:vertAlign w:val="superscript"/>
          <w:rtl/>
        </w:rPr>
        <w:fldChar w:fldCharType="begin" w:dirty="true"/>
      </w:r>
      <w:r>
        <w:rPr>
          <w:vertAlign w:val="superscript"/>
          <w:rtl/>
        </w:rPr>
        <w:instrText xml:space="preserve"> REF b5_note79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79</w:t>
      </w:r>
      <w:r>
        <w:rPr>
          <w:vertAlign w:val="superscript"/>
          <w:rtl/>
        </w:rPr>
        <w:fldChar w:fldCharType="end"/>
      </w:r>
      <w:r>
        <w:rPr>
          <w:rtl/>
        </w:rPr>
        <w:t xml:space="preserve"> הורתה כך”. ר׳ חיים פנה למבקריו ואמר: “נו, אתם רואים שהגזלן אינו מרשה; </w:t>
      </w:r>
      <w:proofErr w:type="spellStart"/>
      <w:r>
        <w:rPr>
          <w:rtl/>
        </w:rPr>
        <w:t>ברוך־בערל</w:t>
      </w:r>
      <w:proofErr w:type="spellEnd"/>
      <w:r>
        <w:rPr>
          <w:rtl/>
        </w:rPr>
        <w:t xml:space="preserve">, נו...” אבל עוד לפני שסיים לבקש מתלמידו לדבר במקומו, כבר הרים ר׳ </w:t>
      </w:r>
      <w:proofErr w:type="spellStart"/>
      <w:r>
        <w:rPr>
          <w:rtl/>
        </w:rPr>
        <w:t>ברוך־בער</w:t>
      </w:r>
      <w:proofErr w:type="spellEnd"/>
      <w:r>
        <w:rPr>
          <w:rtl/>
        </w:rPr>
        <w:t xml:space="preserve"> את ידיו לפני פניו, כאומר: “חס וחלילה שאדבר בפני רבי”.</w:t>
      </w:r>
    </w:p>
    <w:bookmarkStart w:id="6162" w:name="b5_note78"/>
    <w:p w14:paraId="6AAF3CAA" w14:textId="77777777" w:rsidR="00AB3647" w:rsidRDefault="00000000" w:rsidP="007923E9">
      <w:pPr>
        <w:spacing w:before="120" w:after="100" w:line="276" w:lineRule="auto"/>
        <w:jc w:val="both"/>
      </w:pPr>
      <w:r>
        <w:fldChar w:fldCharType="begin" w:dirty="true"/>
      </w:r>
      <w:r>
        <w:instrText>HYPERLINK \l "b5_ref78"</w:instrText>
      </w:r>
      <w:r>
        <w:fldChar w:fldCharType="separate"/>
      </w:r>
      <w:r>
        <w:rPr>
          <w:b/>
          <w:bCs/>
          <w:rtl/>
        </w:rPr>
        <w:t>78</w:t>
      </w:r>
      <w:r>
        <w:rPr>
          <w:b/>
          <w:bCs/>
        </w:rPr>
        <w:fldChar w:fldCharType="end"/>
      </w:r>
      <w:bookmarkEnd w:id="6162"/>
      <w:r>
        <w:rPr>
          <w:rtl/>
        </w:rPr>
        <w:t xml:space="preserve"> תיארתי את תפקידו של ליפשיץ זה כפי שמסר לי המרואיין, אבל אני בטוח שמלווהו של ר׳ חיים היה אדם חשוב הרבה יותר: ר׳ </w:t>
      </w:r>
      <w:proofErr w:type="spellStart"/>
      <w:r>
        <w:rPr>
          <w:rtl/>
        </w:rPr>
        <w:t>יעקב־זלמן</w:t>
      </w:r>
      <w:proofErr w:type="spellEnd"/>
      <w:r>
        <w:rPr>
          <w:rtl/>
        </w:rPr>
        <w:t xml:space="preserve"> ליפשיץ, שהוזכר סמוך לתחילת נספח ט כדמות מפתח בתוכניות נסיעתו של ר׳ חיים </w:t>
      </w:r>
      <w:proofErr w:type="spellStart"/>
      <w:r>
        <w:rPr>
          <w:rtl/>
        </w:rPr>
        <w:t>סולובייצ׳יק</w:t>
      </w:r>
      <w:proofErr w:type="spellEnd"/>
      <w:r>
        <w:rPr>
          <w:rtl/>
        </w:rPr>
        <w:t xml:space="preserve">, ואף כונה על ידו “גאון”. ר׳ </w:t>
      </w:r>
      <w:proofErr w:type="spellStart"/>
      <w:r>
        <w:rPr>
          <w:rtl/>
        </w:rPr>
        <w:t>יעקב־זלמן</w:t>
      </w:r>
      <w:proofErr w:type="spellEnd"/>
      <w:r>
        <w:rPr>
          <w:rtl/>
        </w:rPr>
        <w:t xml:space="preserve"> ליפשיץ מתואר ומשובח מאוד גם בהקשר של מאמצי גיוס הכספים בחוץ לארץ למען ישיבת תורת חיים בירושלים, בציטוט הבא </w:t>
      </w:r>
      <w:proofErr w:type="spellStart"/>
      <w:r>
        <w:rPr>
          <w:rtl/>
        </w:rPr>
        <w:t>מ“אהלי</w:t>
      </w:r>
      <w:proofErr w:type="spellEnd"/>
      <w:r>
        <w:rPr>
          <w:rtl/>
        </w:rPr>
        <w:t xml:space="preserve"> שם”</w:t>
      </w:r>
      <w:bookmarkStart w:id="6163" w:name="_fnr4620"/>
      <w:r>
        <w:rPr>
          <w:rStyle w:val="a5"/>
        </w:rPr>
        <w:footnoteReference w:id="4631" w:customMarkFollows="0"/>
      </w:r>
      <w:bookmarkEnd w:id="6163"/>
      <w:r>
        <w:rPr>
          <w:rtl/>
        </w:rPr>
        <w:t xml:space="preserve">: “מספר תלמידיה עולים למאות וכו׳ </w:t>
      </w:r>
      <w:r>
        <w:rPr>
          <w:rtl/>
        </w:rPr>
        <w:lastRenderedPageBreak/>
        <w:t xml:space="preserve">הספקת התלמידים עולה להרבה עשיריות אלפים רוב’ לשנה, והיא </w:t>
      </w:r>
      <w:proofErr w:type="spellStart"/>
      <w:r>
        <w:rPr>
          <w:rtl/>
        </w:rPr>
        <w:t>ניזונת</w:t>
      </w:r>
      <w:proofErr w:type="spellEnd"/>
      <w:r>
        <w:rPr>
          <w:rtl/>
        </w:rPr>
        <w:t xml:space="preserve"> מן הרוח, מן רוח</w:t>
      </w:r>
      <w:bookmarkStart w:id="6164" w:name="_fnr4621"/>
      <w:bookmarkStart w:id="6165" w:name="pr_f_4501"/>
      <w:r>
        <w:rPr>
          <w:rStyle w:val="a5"/>
        </w:rPr>
        <w:footnoteReference w:id="4632" w:customMarkFollows="0"/>
      </w:r>
      <w:bookmarkEnd w:id="6164"/>
      <w:bookmarkEnd w:id="6165"/>
      <w:r>
        <w:rPr>
          <w:rtl/>
        </w:rPr>
        <w:t xml:space="preserve"> הנדיבה של אחינו בני ישראל חובבי תורה, והרוח הזה יתעורר כפעם בפעם עפ״י פסוקי </w:t>
      </w:r>
      <w:proofErr w:type="spellStart"/>
      <w:r>
        <w:rPr>
          <w:rtl/>
        </w:rPr>
        <w:t>דרחמי</w:t>
      </w:r>
      <w:bookmarkStart w:id="6166" w:name="_fnr4622"/>
      <w:proofErr w:type="spellEnd"/>
      <w:r>
        <w:rPr>
          <w:rStyle w:val="a5"/>
        </w:rPr>
        <w:footnoteReference w:id="4633" w:customMarkFollows="0"/>
      </w:r>
      <w:bookmarkEnd w:id="6166"/>
      <w:r>
        <w:rPr>
          <w:rtl/>
        </w:rPr>
        <w:t xml:space="preserve"> של מרן מאור הגולה ר׳ חיים </w:t>
      </w:r>
      <w:proofErr w:type="spellStart"/>
      <w:r>
        <w:rPr>
          <w:rtl/>
        </w:rPr>
        <w:t>סאלאווייציג</w:t>
      </w:r>
      <w:proofErr w:type="spellEnd"/>
      <w:r>
        <w:rPr>
          <w:rtl/>
        </w:rPr>
        <w:t xml:space="preserve"> </w:t>
      </w:r>
      <w:proofErr w:type="spellStart"/>
      <w:r>
        <w:rPr>
          <w:rtl/>
        </w:rPr>
        <w:t>שליט״א</w:t>
      </w:r>
      <w:proofErr w:type="spellEnd"/>
      <w:r>
        <w:rPr>
          <w:rtl/>
        </w:rPr>
        <w:t xml:space="preserve"> </w:t>
      </w:r>
      <w:proofErr w:type="spellStart"/>
      <w:r>
        <w:rPr>
          <w:rtl/>
        </w:rPr>
        <w:t>הגאב״ד</w:t>
      </w:r>
      <w:proofErr w:type="spellEnd"/>
      <w:r>
        <w:rPr>
          <w:rtl/>
        </w:rPr>
        <w:t xml:space="preserve"> </w:t>
      </w:r>
      <w:proofErr w:type="spellStart"/>
      <w:r>
        <w:rPr>
          <w:rtl/>
        </w:rPr>
        <w:t>דבריסק</w:t>
      </w:r>
      <w:proofErr w:type="spellEnd"/>
      <w:r>
        <w:rPr>
          <w:rtl/>
        </w:rPr>
        <w:t xml:space="preserve"> </w:t>
      </w:r>
      <w:r>
        <w:rPr>
          <w:b/>
          <w:bCs/>
          <w:rtl/>
        </w:rPr>
        <w:t>ומשנהו לחביבת התורה</w:t>
      </w:r>
      <w:r>
        <w:rPr>
          <w:rtl/>
        </w:rPr>
        <w:t xml:space="preserve"> הגאון ר׳ יעקב זלמן ליפשיץ </w:t>
      </w:r>
      <w:proofErr w:type="spellStart"/>
      <w:r>
        <w:rPr>
          <w:rtl/>
        </w:rPr>
        <w:t>שליט״א</w:t>
      </w:r>
      <w:proofErr w:type="spellEnd"/>
      <w:r>
        <w:rPr>
          <w:rtl/>
        </w:rPr>
        <w:t xml:space="preserve"> </w:t>
      </w:r>
      <w:proofErr w:type="spellStart"/>
      <w:r>
        <w:rPr>
          <w:rtl/>
        </w:rPr>
        <w:t>מבריסק</w:t>
      </w:r>
      <w:proofErr w:type="spellEnd"/>
      <w:r>
        <w:rPr>
          <w:rtl/>
        </w:rPr>
        <w:t xml:space="preserve"> אשר לא יחשכו מכל עמל נפשם לעורר את הלבבות לקיומה והפצתה של תורתנו הקדושה” (ההדגשה שלי)</w:t>
      </w:r>
      <w:bookmarkStart w:id="6167" w:name="_fnr4623"/>
      <w:r>
        <w:rPr>
          <w:rStyle w:val="a5"/>
        </w:rPr>
        <w:footnoteReference w:id="4634" w:customMarkFollows="0"/>
      </w:r>
      <w:bookmarkEnd w:id="6167"/>
      <w:r>
        <w:rPr>
          <w:rtl/>
        </w:rPr>
        <w:t>.</w:t>
      </w:r>
    </w:p>
    <w:p w14:paraId="5FB73EB1" w14:textId="77777777" w:rsidR="00AB3647" w:rsidRDefault="00000000" w:rsidP="007923E9">
      <w:pPr>
        <w:spacing w:before="120" w:after="100" w:line="276" w:lineRule="auto"/>
        <w:jc w:val="both"/>
      </w:pPr>
      <w:r>
        <w:rPr>
          <w:rtl/>
        </w:rPr>
        <w:t>“קובץ מכתבים”</w:t>
      </w:r>
      <w:bookmarkStart w:id="6168" w:name="_fnr4624"/>
      <w:r>
        <w:rPr>
          <w:rStyle w:val="a5"/>
        </w:rPr>
        <w:footnoteReference w:id="4635" w:customMarkFollows="0"/>
      </w:r>
      <w:bookmarkEnd w:id="6168"/>
      <w:r>
        <w:rPr>
          <w:rtl/>
        </w:rPr>
        <w:t xml:space="preserve"> מביא מכתב מאת ר׳ </w:t>
      </w:r>
      <w:proofErr w:type="spellStart"/>
      <w:r>
        <w:rPr>
          <w:rtl/>
        </w:rPr>
        <w:t>יעקב־זלמן</w:t>
      </w:r>
      <w:proofErr w:type="spellEnd"/>
      <w:r>
        <w:rPr>
          <w:rtl/>
        </w:rPr>
        <w:t xml:space="preserve"> ליפשיץ עצמו אל ר׳ </w:t>
      </w:r>
      <w:proofErr w:type="spellStart"/>
      <w:r>
        <w:rPr>
          <w:rtl/>
        </w:rPr>
        <w:t>יצחק־אייזיק</w:t>
      </w:r>
      <w:proofErr w:type="spellEnd"/>
      <w:r>
        <w:rPr>
          <w:rtl/>
        </w:rPr>
        <w:t xml:space="preserve"> הלוי, שנכתב למעלה מארבע שנים אחרי הביקור בקובנה המתואר כאן. המכתב מגלה את גדולת כותבו ועוד פרטים הנוגעים לענייננו, ואף מזכיר במקרה את ר׳ יעקב הלוי, בן שמו מקובנה. להלן שלוש פסקאותיו הראשונות:</w:t>
      </w:r>
    </w:p>
    <w:p w14:paraId="13ECEC96" w14:textId="77777777" w:rsidR="00AB3647" w:rsidRDefault="00000000" w:rsidP="007923E9">
      <w:pPr>
        <w:spacing w:after="100" w:line="276" w:lineRule="auto"/>
        <w:ind w:firstLine="340"/>
        <w:jc w:val="both"/>
      </w:pPr>
      <w:r>
        <w:rPr>
          <w:rtl/>
        </w:rPr>
        <w:t xml:space="preserve">“כל מכתביו למרן גאון </w:t>
      </w:r>
      <w:proofErr w:type="spellStart"/>
      <w:r>
        <w:rPr>
          <w:rtl/>
        </w:rPr>
        <w:t>עוזינו</w:t>
      </w:r>
      <w:proofErr w:type="spellEnd"/>
      <w:r>
        <w:rPr>
          <w:rtl/>
        </w:rPr>
        <w:t xml:space="preserve"> </w:t>
      </w:r>
      <w:proofErr w:type="spellStart"/>
      <w:r>
        <w:rPr>
          <w:rtl/>
        </w:rPr>
        <w:t>פאה״ד</w:t>
      </w:r>
      <w:proofErr w:type="spellEnd"/>
      <w:r>
        <w:rPr>
          <w:rtl/>
        </w:rPr>
        <w:t xml:space="preserve"> </w:t>
      </w:r>
      <w:proofErr w:type="spellStart"/>
      <w:r>
        <w:rPr>
          <w:rtl/>
        </w:rPr>
        <w:t>שליט״א</w:t>
      </w:r>
      <w:proofErr w:type="spellEnd"/>
      <w:r>
        <w:rPr>
          <w:rtl/>
        </w:rPr>
        <w:t xml:space="preserve"> [הוא מרן </w:t>
      </w:r>
      <w:proofErr w:type="spellStart"/>
      <w:r>
        <w:rPr>
          <w:rtl/>
        </w:rPr>
        <w:t>הגר״ח</w:t>
      </w:r>
      <w:proofErr w:type="spellEnd"/>
      <w:r>
        <w:rPr>
          <w:rtl/>
        </w:rPr>
        <w:t xml:space="preserve"> </w:t>
      </w:r>
      <w:proofErr w:type="spellStart"/>
      <w:r>
        <w:rPr>
          <w:rtl/>
        </w:rPr>
        <w:t>מבריסק</w:t>
      </w:r>
      <w:proofErr w:type="spellEnd"/>
      <w:r>
        <w:rPr>
          <w:rtl/>
        </w:rPr>
        <w:t xml:space="preserve"> זצ״ל] קראתי, כן הגיעני מכתבים הזמנה לנסיעה </w:t>
      </w:r>
      <w:proofErr w:type="spellStart"/>
      <w:r>
        <w:rPr>
          <w:rtl/>
        </w:rPr>
        <w:t>לקאטאויץ</w:t>
      </w:r>
      <w:proofErr w:type="spellEnd"/>
      <w:r>
        <w:rPr>
          <w:rtl/>
        </w:rPr>
        <w:t xml:space="preserve"> מועד הזמני </w:t>
      </w:r>
      <w:proofErr w:type="spellStart"/>
      <w:r>
        <w:rPr>
          <w:rtl/>
        </w:rPr>
        <w:t>בפפד״מ</w:t>
      </w:r>
      <w:proofErr w:type="spellEnd"/>
      <w:r>
        <w:rPr>
          <w:rtl/>
        </w:rPr>
        <w:t xml:space="preserve"> [של אגודת ישראל המתהווה].</w:t>
      </w:r>
    </w:p>
    <w:p w14:paraId="033CF9A2" w14:textId="77777777" w:rsidR="00AB3647" w:rsidRDefault="00000000" w:rsidP="007923E9">
      <w:pPr>
        <w:spacing w:after="100" w:line="276" w:lineRule="auto"/>
        <w:ind w:firstLine="340"/>
        <w:jc w:val="both"/>
      </w:pPr>
      <w:r>
        <w:rPr>
          <w:rtl/>
        </w:rPr>
        <w:t xml:space="preserve">“והנה עד כה לא יכולתי לפעול בעצמי לקחת חבל </w:t>
      </w:r>
      <w:proofErr w:type="spellStart"/>
      <w:r>
        <w:rPr>
          <w:rtl/>
        </w:rPr>
        <w:t>באסיפה</w:t>
      </w:r>
      <w:proofErr w:type="spellEnd"/>
      <w:r>
        <w:rPr>
          <w:rtl/>
        </w:rPr>
        <w:t xml:space="preserve"> יען כי מאד רפה </w:t>
      </w:r>
      <w:proofErr w:type="spellStart"/>
      <w:r>
        <w:rPr>
          <w:rtl/>
        </w:rPr>
        <w:t>כח</w:t>
      </w:r>
      <w:proofErr w:type="spellEnd"/>
      <w:r>
        <w:rPr>
          <w:rtl/>
        </w:rPr>
        <w:t xml:space="preserve"> אנכי ומוכרח להיות זהיר מכל תנועה כבדה </w:t>
      </w:r>
      <w:proofErr w:type="spellStart"/>
      <w:r>
        <w:rPr>
          <w:rtl/>
        </w:rPr>
        <w:t>המיגעת</w:t>
      </w:r>
      <w:proofErr w:type="spellEnd"/>
      <w:r>
        <w:rPr>
          <w:rtl/>
        </w:rPr>
        <w:t xml:space="preserve">, וגם לפרקים תכופים יאחזני חולשה ודפיקת הלב אשר יפרפרני </w:t>
      </w:r>
      <w:proofErr w:type="spellStart"/>
      <w:r>
        <w:rPr>
          <w:rtl/>
        </w:rPr>
        <w:t>ואשאר</w:t>
      </w:r>
      <w:proofErr w:type="spellEnd"/>
      <w:r>
        <w:rPr>
          <w:rtl/>
        </w:rPr>
        <w:t xml:space="preserve"> באין אונים, ד׳ ירחם עלי לחזקני ולאמצני להשיבני לאיתני, ואולם כי </w:t>
      </w:r>
      <w:r>
        <w:rPr>
          <w:b/>
          <w:bCs/>
          <w:rtl/>
        </w:rPr>
        <w:t xml:space="preserve">מרן גאון ישראל </w:t>
      </w:r>
      <w:proofErr w:type="spellStart"/>
      <w:r>
        <w:rPr>
          <w:b/>
          <w:bCs/>
          <w:rtl/>
        </w:rPr>
        <w:t>וקדושו</w:t>
      </w:r>
      <w:proofErr w:type="spellEnd"/>
      <w:r>
        <w:rPr>
          <w:b/>
          <w:bCs/>
          <w:rtl/>
        </w:rPr>
        <w:t xml:space="preserve"> </w:t>
      </w:r>
      <w:proofErr w:type="spellStart"/>
      <w:r>
        <w:rPr>
          <w:b/>
          <w:bCs/>
          <w:rtl/>
        </w:rPr>
        <w:t>שליט״א</w:t>
      </w:r>
      <w:proofErr w:type="spellEnd"/>
      <w:r>
        <w:rPr>
          <w:b/>
          <w:bCs/>
          <w:rtl/>
        </w:rPr>
        <w:t xml:space="preserve"> לא יאבה לנסוע בלעדי</w:t>
      </w:r>
      <w:r>
        <w:rPr>
          <w:rtl/>
        </w:rPr>
        <w:t xml:space="preserve">, ואדע עד כמה השפעתו על </w:t>
      </w:r>
      <w:proofErr w:type="spellStart"/>
      <w:r>
        <w:rPr>
          <w:rtl/>
        </w:rPr>
        <w:t>האסיפה</w:t>
      </w:r>
      <w:proofErr w:type="spellEnd"/>
      <w:r>
        <w:rPr>
          <w:rtl/>
        </w:rPr>
        <w:t xml:space="preserve"> נחוצה, שהוא יהי׳ הרוח החי’, ובתבונתו </w:t>
      </w:r>
      <w:proofErr w:type="spellStart"/>
      <w:r>
        <w:rPr>
          <w:rtl/>
        </w:rPr>
        <w:t>וחכמתו</w:t>
      </w:r>
      <w:proofErr w:type="spellEnd"/>
      <w:r>
        <w:rPr>
          <w:rtl/>
        </w:rPr>
        <w:t xml:space="preserve"> הרבה </w:t>
      </w:r>
      <w:proofErr w:type="spellStart"/>
      <w:r>
        <w:rPr>
          <w:rtl/>
        </w:rPr>
        <w:t>המקפת</w:t>
      </w:r>
      <w:proofErr w:type="spellEnd"/>
      <w:r>
        <w:rPr>
          <w:rtl/>
        </w:rPr>
        <w:t xml:space="preserve"> כל דבר </w:t>
      </w:r>
      <w:proofErr w:type="spellStart"/>
      <w:r>
        <w:rPr>
          <w:rtl/>
        </w:rPr>
        <w:t>ויחקר</w:t>
      </w:r>
      <w:proofErr w:type="spellEnd"/>
      <w:r>
        <w:rPr>
          <w:rtl/>
        </w:rPr>
        <w:t xml:space="preserve"> עד עומקה ישמור שלא יוצא דבר שאין מתוקן כל צרכו, וגם כל אחב״י בכל מקומות מושבותיהם החרדים אשר לשמו וזכרו יאמרו קדוש כי מדעתו הגדולה </w:t>
      </w:r>
      <w:proofErr w:type="spellStart"/>
      <w:r>
        <w:rPr>
          <w:rtl/>
        </w:rPr>
        <w:t>נתאשר</w:t>
      </w:r>
      <w:proofErr w:type="spellEnd"/>
      <w:r>
        <w:rPr>
          <w:rtl/>
        </w:rPr>
        <w:t xml:space="preserve"> ימשכו אחריו </w:t>
      </w:r>
      <w:proofErr w:type="spellStart"/>
      <w:r>
        <w:rPr>
          <w:rtl/>
        </w:rPr>
        <w:t>ויתן</w:t>
      </w:r>
      <w:proofErr w:type="spellEnd"/>
      <w:r>
        <w:rPr>
          <w:rtl/>
        </w:rPr>
        <w:t xml:space="preserve"> יד לאגודה הזאת, ואם לא יופיע בהדרו </w:t>
      </w:r>
      <w:proofErr w:type="spellStart"/>
      <w:r>
        <w:rPr>
          <w:rtl/>
        </w:rPr>
        <w:t>יקח</w:t>
      </w:r>
      <w:proofErr w:type="spellEnd"/>
      <w:r>
        <w:rPr>
          <w:rtl/>
        </w:rPr>
        <w:t xml:space="preserve"> הדבר צורה אחרת וגם מי יודע עד כמה יעבטון </w:t>
      </w:r>
      <w:proofErr w:type="spellStart"/>
      <w:r>
        <w:rPr>
          <w:rtl/>
        </w:rPr>
        <w:t>ארחות</w:t>
      </w:r>
      <w:bookmarkStart w:id="6169" w:name="_fnr4625"/>
      <w:proofErr w:type="spellEnd"/>
      <w:r>
        <w:rPr>
          <w:rStyle w:val="a5"/>
        </w:rPr>
        <w:footnoteReference w:id="4636" w:customMarkFollows="0"/>
      </w:r>
      <w:bookmarkEnd w:id="6169"/>
      <w:r>
        <w:rPr>
          <w:rtl/>
        </w:rPr>
        <w:t xml:space="preserve">, אשר רוב החרדים יעמדו מרחוק, זאת הביאני להבליג </w:t>
      </w:r>
      <w:proofErr w:type="spellStart"/>
      <w:r>
        <w:rPr>
          <w:rtl/>
        </w:rPr>
        <w:t>ואאות</w:t>
      </w:r>
      <w:proofErr w:type="spellEnd"/>
      <w:r>
        <w:rPr>
          <w:rtl/>
        </w:rPr>
        <w:t xml:space="preserve"> למען כבוד השי״ת </w:t>
      </w:r>
      <w:r>
        <w:rPr>
          <w:b/>
          <w:bCs/>
          <w:rtl/>
        </w:rPr>
        <w:t xml:space="preserve">לחזק </w:t>
      </w:r>
      <w:proofErr w:type="spellStart"/>
      <w:r>
        <w:rPr>
          <w:b/>
          <w:bCs/>
          <w:rtl/>
        </w:rPr>
        <w:t>דתהי״ק</w:t>
      </w:r>
      <w:proofErr w:type="spellEnd"/>
      <w:r>
        <w:rPr>
          <w:rtl/>
        </w:rPr>
        <w:t xml:space="preserve"> (ההדגשות שלי) לקחת גם אנכי חלק </w:t>
      </w:r>
      <w:proofErr w:type="spellStart"/>
      <w:r>
        <w:rPr>
          <w:rtl/>
        </w:rPr>
        <w:t>בהאסיפה</w:t>
      </w:r>
      <w:proofErr w:type="spellEnd"/>
      <w:r>
        <w:rPr>
          <w:rtl/>
        </w:rPr>
        <w:t xml:space="preserve">, </w:t>
      </w:r>
      <w:proofErr w:type="spellStart"/>
      <w:r>
        <w:rPr>
          <w:rtl/>
        </w:rPr>
        <w:t>וליסע</w:t>
      </w:r>
      <w:proofErr w:type="spellEnd"/>
      <w:r>
        <w:rPr>
          <w:rtl/>
        </w:rPr>
        <w:t xml:space="preserve"> בצוותא </w:t>
      </w:r>
      <w:proofErr w:type="spellStart"/>
      <w:r>
        <w:rPr>
          <w:rtl/>
        </w:rPr>
        <w:t>בסימא</w:t>
      </w:r>
      <w:proofErr w:type="spellEnd"/>
      <w:r>
        <w:rPr>
          <w:rtl/>
        </w:rPr>
        <w:t xml:space="preserve"> עם מרן הגאון </w:t>
      </w:r>
      <w:proofErr w:type="spellStart"/>
      <w:r>
        <w:rPr>
          <w:rtl/>
        </w:rPr>
        <w:t>שליט״א</w:t>
      </w:r>
      <w:proofErr w:type="spellEnd"/>
      <w:r>
        <w:rPr>
          <w:rtl/>
        </w:rPr>
        <w:t>.</w:t>
      </w:r>
    </w:p>
    <w:p w14:paraId="554165BC" w14:textId="77777777" w:rsidR="00AB3647" w:rsidRDefault="00000000" w:rsidP="007923E9">
      <w:pPr>
        <w:spacing w:after="100" w:line="276" w:lineRule="auto"/>
        <w:ind w:firstLine="340"/>
        <w:jc w:val="both"/>
      </w:pPr>
      <w:r>
        <w:rPr>
          <w:rtl/>
        </w:rPr>
        <w:t>“</w:t>
      </w:r>
      <w:proofErr w:type="spellStart"/>
      <w:r>
        <w:rPr>
          <w:rtl/>
        </w:rPr>
        <w:t>שעפ״ז</w:t>
      </w:r>
      <w:proofErr w:type="spellEnd"/>
      <w:r>
        <w:rPr>
          <w:rtl/>
        </w:rPr>
        <w:t xml:space="preserve"> נתתי לכ״ג הרמה </w:t>
      </w:r>
      <w:proofErr w:type="spellStart"/>
      <w:r>
        <w:rPr>
          <w:rtl/>
        </w:rPr>
        <w:t>שליט״א</w:t>
      </w:r>
      <w:proofErr w:type="spellEnd"/>
      <w:r>
        <w:rPr>
          <w:rtl/>
        </w:rPr>
        <w:t xml:space="preserve"> </w:t>
      </w:r>
      <w:proofErr w:type="spellStart"/>
      <w:r>
        <w:rPr>
          <w:rtl/>
        </w:rPr>
        <w:t>ט״ג</w:t>
      </w:r>
      <w:proofErr w:type="spellEnd"/>
      <w:r>
        <w:rPr>
          <w:rtl/>
        </w:rPr>
        <w:t xml:space="preserve"> לבשרו זה. קראתי ממכתבו עד כמה מצטער ונכנס בעובי הקורה, וכן נתתי </w:t>
      </w:r>
      <w:proofErr w:type="spellStart"/>
      <w:r>
        <w:rPr>
          <w:rtl/>
        </w:rPr>
        <w:t>ט״ג</w:t>
      </w:r>
      <w:proofErr w:type="spellEnd"/>
      <w:r>
        <w:rPr>
          <w:rtl/>
        </w:rPr>
        <w:t xml:space="preserve"> </w:t>
      </w:r>
      <w:proofErr w:type="spellStart"/>
      <w:r>
        <w:rPr>
          <w:rtl/>
        </w:rPr>
        <w:t>לקאוונא</w:t>
      </w:r>
      <w:proofErr w:type="spellEnd"/>
      <w:r>
        <w:rPr>
          <w:rtl/>
        </w:rPr>
        <w:t xml:space="preserve"> </w:t>
      </w:r>
      <w:proofErr w:type="spellStart"/>
      <w:r>
        <w:rPr>
          <w:rtl/>
        </w:rPr>
        <w:t>לר״י</w:t>
      </w:r>
      <w:proofErr w:type="spellEnd"/>
      <w:r>
        <w:rPr>
          <w:rtl/>
        </w:rPr>
        <w:t xml:space="preserve"> [ר׳ יעקב הלוי] ליפשיץ להודיע כי נכונים אנחנו בע״ה לנסוע </w:t>
      </w:r>
      <w:proofErr w:type="spellStart"/>
      <w:r>
        <w:rPr>
          <w:rtl/>
        </w:rPr>
        <w:t>לקאטויץ</w:t>
      </w:r>
      <w:proofErr w:type="spellEnd"/>
      <w:r>
        <w:rPr>
          <w:rtl/>
        </w:rPr>
        <w:t>, למען יחדל מלעשות הוצ׳ לבוא הנה [</w:t>
      </w:r>
      <w:proofErr w:type="spellStart"/>
      <w:r>
        <w:rPr>
          <w:rtl/>
        </w:rPr>
        <w:t>לבריסק</w:t>
      </w:r>
      <w:proofErr w:type="spellEnd"/>
      <w:r>
        <w:rPr>
          <w:rtl/>
        </w:rPr>
        <w:t xml:space="preserve"> כדי לשכנענו].”</w:t>
      </w:r>
    </w:p>
    <w:bookmarkStart w:id="6170" w:name="b5_note79"/>
    <w:p w14:paraId="48E8CBBE" w14:textId="22101D7A" w:rsidR="00AB3647" w:rsidRDefault="00000000" w:rsidP="007923E9">
      <w:pPr>
        <w:spacing w:before="120" w:after="100" w:line="276" w:lineRule="auto"/>
        <w:jc w:val="both"/>
      </w:pPr>
      <w:r>
        <w:fldChar w:fldCharType="begin" w:dirty="true"/>
      </w:r>
      <w:r>
        <w:instrText>HYPERLINK \l "b5_ref79"</w:instrText>
      </w:r>
      <w:r>
        <w:fldChar w:fldCharType="separate"/>
      </w:r>
      <w:r>
        <w:rPr>
          <w:b/>
          <w:bCs/>
          <w:rtl/>
        </w:rPr>
        <w:t>79</w:t>
      </w:r>
      <w:r>
        <w:rPr>
          <w:b/>
          <w:bCs/>
        </w:rPr>
        <w:fldChar w:fldCharType="end"/>
      </w:r>
      <w:bookmarkEnd w:id="6170"/>
      <w:r>
        <w:rPr>
          <w:rtl/>
        </w:rPr>
        <w:t xml:space="preserve"> השווה פרק 3, ראשית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על זהותה של הרבנית.</w:t>
      </w:r>
    </w:p>
    <w:p w14:paraId="25DD1ED4" w14:textId="5F4783E5"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lastRenderedPageBreak/>
        <w:t xml:space="preserve">ר׳ חיים הפנה את ראשו מצד לצד, </w:t>
      </w:r>
      <w:proofErr w:type="spellStart"/>
      <w:r>
        <w:rPr>
          <w:rtl/>
        </w:rPr>
        <w:t>וב“נו</w:t>
      </w:r>
      <w:proofErr w:type="spellEnd"/>
      <w:r>
        <w:rPr>
          <w:rtl/>
        </w:rPr>
        <w:t xml:space="preserve">, נו” ביקש מן הנכבדים שאחד מהם יתנדב. כולם התביישו, עד שר׳ </w:t>
      </w:r>
      <w:proofErr w:type="spellStart"/>
      <w:r>
        <w:rPr>
          <w:rtl/>
        </w:rPr>
        <w:t>משה־מרדכי</w:t>
      </w:r>
      <w:proofErr w:type="spellEnd"/>
      <w:r>
        <w:rPr>
          <w:rtl/>
        </w:rPr>
        <w:t xml:space="preserve"> אזר עוז ואמר: “אני אדבר”, ור׳ חיים השיב: “נו, נשמע”. אז נשא ראש ישיבת כנסת ישראל דבר תורה קצר לפני מי שהיה רבו בוולוז׳ין</w:t>
      </w:r>
      <w:bookmarkStart w:id="6171" w:name="b5_ref80"/>
      <w:bookmarkEnd w:id="6171"/>
      <w:r>
        <w:rPr>
          <w:vertAlign w:val="superscript"/>
          <w:rtl/>
        </w:rPr>
        <w:fldChar w:fldCharType="begin" w:dirty="true"/>
      </w:r>
      <w:r>
        <w:rPr>
          <w:vertAlign w:val="superscript"/>
          <w:rtl/>
        </w:rPr>
        <w:instrText xml:space="preserve"> REF b5_note80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80</w:t>
      </w:r>
      <w:r>
        <w:rPr>
          <w:vertAlign w:val="superscript"/>
          <w:rtl/>
        </w:rPr>
        <w:fldChar w:fldCharType="end"/>
      </w:r>
      <w:r>
        <w:rPr>
          <w:rtl/>
        </w:rPr>
        <w:t>.</w:t>
      </w:r>
    </w:p>
    <w:bookmarkStart w:id="6172" w:name="b5_note80"/>
    <w:p w14:paraId="2EF46696" w14:textId="559BD955" w:rsidR="00AB3647" w:rsidRDefault="00000000" w:rsidP="007923E9">
      <w:pPr>
        <w:spacing w:before="120" w:after="100" w:line="276" w:lineRule="auto"/>
        <w:jc w:val="both"/>
      </w:pPr>
      <w:r>
        <w:fldChar w:fldCharType="begin" w:dirty="true"/>
      </w:r>
      <w:r>
        <w:instrText>HYPERLINK \l "b5_ref80"</w:instrText>
      </w:r>
      <w:r>
        <w:fldChar w:fldCharType="separate"/>
      </w:r>
      <w:r>
        <w:rPr>
          <w:b/>
          <w:bCs/>
          <w:rtl/>
        </w:rPr>
        <w:t>80</w:t>
      </w:r>
      <w:r>
        <w:rPr>
          <w:b/>
          <w:bCs/>
        </w:rPr>
        <w:fldChar w:fldCharType="end"/>
      </w:r>
      <w:bookmarkEnd w:id="6172"/>
      <w:r>
        <w:rPr>
          <w:rtl/>
        </w:rPr>
        <w:t xml:space="preserve"> השווה פרק 3, </w:t>
      </w:r>
      <w:r>
        <w:rPr>
          <w:rtl/>
        </w:rPr>
        <w:fldChar w:fldCharType="begin" w:dirty="true"/>
      </w:r>
      <w:r>
        <w:rPr>
          <w:rtl/>
        </w:rPr>
        <w:instrText xml:space="preserve"> REF b3_excJ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p w14:paraId="71104B7A" w14:textId="56ED765B"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בשבת ראש חודש התארח ר׳ חיים בבית רבה של קובנה, ר׳ </w:t>
      </w:r>
      <w:proofErr w:type="spellStart"/>
      <w:r>
        <w:rPr>
          <w:rtl/>
        </w:rPr>
        <w:t>צבי־הירש</w:t>
      </w:r>
      <w:proofErr w:type="spellEnd"/>
      <w:r>
        <w:rPr>
          <w:rtl/>
        </w:rPr>
        <w:t xml:space="preserve"> רבינוביץ</w:t>
      </w:r>
      <w:bookmarkStart w:id="6173" w:name="b5_ref81"/>
      <w:bookmarkEnd w:id="6173"/>
      <w:r>
        <w:rPr>
          <w:vertAlign w:val="superscript"/>
          <w:rtl/>
        </w:rPr>
        <w:fldChar w:fldCharType="begin" w:dirty="true"/>
      </w:r>
      <w:r>
        <w:rPr>
          <w:vertAlign w:val="superscript"/>
          <w:rtl/>
        </w:rPr>
        <w:instrText xml:space="preserve"> REF b5_note81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81</w:t>
      </w:r>
      <w:r>
        <w:rPr>
          <w:vertAlign w:val="superscript"/>
          <w:rtl/>
        </w:rPr>
        <w:fldChar w:fldCharType="end"/>
      </w:r>
      <w:r>
        <w:rPr>
          <w:rtl/>
        </w:rPr>
        <w:t xml:space="preserve">. סופת שלגים השתוללה, אבל קבוצת תלמידים, שהשתוקקו לשמוע עוד מילה מפי ר׳ חיים הדגול, עברה </w:t>
      </w:r>
      <w:proofErr w:type="spellStart"/>
      <w:r>
        <w:rPr>
          <w:rtl/>
        </w:rPr>
        <w:t>מסלבודקה</w:t>
      </w:r>
      <w:proofErr w:type="spellEnd"/>
      <w:r>
        <w:rPr>
          <w:rtl/>
        </w:rPr>
        <w:t xml:space="preserve"> כדי להשתתף בתפילה בבית הכנסת הראשי של קובנה, שבו התפלל הרב. ואולם ר׳ חיים, שהיה רגיל לשמור על בריאותו ונתון להשגחת ר׳ יעקב ליפשיץ, לא העז לצאת במזג אוויר כזה לבית הכנסת עם מארחו, ובאותה שבת נשאר בבית.</w:t>
      </w:r>
    </w:p>
    <w:bookmarkStart w:id="6174" w:name="b5_note81"/>
    <w:p w14:paraId="192C6FFF" w14:textId="6EE27126" w:rsidR="00AB3647" w:rsidRDefault="00000000" w:rsidP="007923E9">
      <w:pPr>
        <w:spacing w:before="120" w:after="100" w:line="276" w:lineRule="auto"/>
        <w:jc w:val="both"/>
      </w:pPr>
      <w:r>
        <w:fldChar w:fldCharType="begin" w:dirty="true"/>
      </w:r>
      <w:r>
        <w:instrText>HYPERLINK \l "b5_ref81"</w:instrText>
      </w:r>
      <w:r>
        <w:fldChar w:fldCharType="separate"/>
      </w:r>
      <w:r>
        <w:rPr>
          <w:b/>
          <w:bCs/>
          <w:rtl/>
        </w:rPr>
        <w:t>81</w:t>
      </w:r>
      <w:r>
        <w:rPr>
          <w:b/>
          <w:bCs/>
        </w:rPr>
        <w:fldChar w:fldCharType="end"/>
      </w:r>
      <w:bookmarkEnd w:id="6174"/>
      <w:r>
        <w:rPr>
          <w:rtl/>
        </w:rPr>
        <w:t xml:space="preserve"> השווה פרק 3,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r>
        <w:rPr>
          <w:rtl/>
        </w:rPr>
        <w:t xml:space="preserve">, על ההערכה הרבה שרחש ר׳ חיים </w:t>
      </w:r>
      <w:proofErr w:type="spellStart"/>
      <w:r>
        <w:rPr>
          <w:rtl/>
        </w:rPr>
        <w:t>לר</w:t>
      </w:r>
      <w:proofErr w:type="spellEnd"/>
      <w:r>
        <w:rPr>
          <w:rtl/>
        </w:rPr>
        <w:t xml:space="preserve">׳ </w:t>
      </w:r>
      <w:proofErr w:type="spellStart"/>
      <w:r>
        <w:rPr>
          <w:rtl/>
        </w:rPr>
        <w:t>צבי־הירש</w:t>
      </w:r>
      <w:proofErr w:type="spellEnd"/>
      <w:r>
        <w:rPr>
          <w:rtl/>
        </w:rPr>
        <w:t>.</w:t>
      </w:r>
    </w:p>
    <w:p w14:paraId="58D15A09" w14:textId="3853635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הבחורים המתינו עד שהרב ישוב לביתו בתום התפילה, והלכו אחריו לשם. עד שדשדשו אל תוך הבית כבר היו מכוסים שלג – אבל בית של רב לעולם אינו נעול בפני הבאים. מארח נרגז קידם את פניהם בשאלה בגרמנית־יידיש</w:t>
      </w:r>
      <w:bookmarkStart w:id="6175" w:name="b5_ref82"/>
      <w:bookmarkEnd w:id="6175"/>
      <w:r>
        <w:rPr>
          <w:vertAlign w:val="superscript"/>
          <w:rtl/>
        </w:rPr>
        <w:fldChar w:fldCharType="begin" w:dirty="true"/>
      </w:r>
      <w:r>
        <w:rPr>
          <w:vertAlign w:val="superscript"/>
          <w:rtl/>
        </w:rPr>
        <w:instrText xml:space="preserve"> REF b5_note82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82</w:t>
      </w:r>
      <w:r>
        <w:rPr>
          <w:vertAlign w:val="superscript"/>
          <w:rtl/>
        </w:rPr>
        <w:fldChar w:fldCharType="end"/>
      </w:r>
      <w:r>
        <w:rPr>
          <w:rtl/>
        </w:rPr>
        <w:t>: “</w:t>
      </w:r>
      <w:proofErr w:type="spellStart"/>
      <w:r>
        <w:rPr>
          <w:rtl/>
        </w:rPr>
        <w:t>וארום</w:t>
      </w:r>
      <w:proofErr w:type="spellEnd"/>
      <w:r>
        <w:rPr>
          <w:rtl/>
        </w:rPr>
        <w:t xml:space="preserve"> </w:t>
      </w:r>
      <w:proofErr w:type="spellStart"/>
      <w:r>
        <w:rPr>
          <w:rtl/>
        </w:rPr>
        <w:t>ברינגען</w:t>
      </w:r>
      <w:proofErr w:type="spellEnd"/>
      <w:r>
        <w:rPr>
          <w:rtl/>
        </w:rPr>
        <w:t xml:space="preserve"> זי </w:t>
      </w:r>
      <w:proofErr w:type="spellStart"/>
      <w:r>
        <w:rPr>
          <w:rtl/>
        </w:rPr>
        <w:t>העריין</w:t>
      </w:r>
      <w:proofErr w:type="spellEnd"/>
      <w:r>
        <w:rPr>
          <w:rtl/>
        </w:rPr>
        <w:t xml:space="preserve"> </w:t>
      </w:r>
      <w:proofErr w:type="spellStart"/>
      <w:r>
        <w:rPr>
          <w:rtl/>
        </w:rPr>
        <w:t>דעם</w:t>
      </w:r>
      <w:proofErr w:type="spellEnd"/>
      <w:r>
        <w:rPr>
          <w:rtl/>
        </w:rPr>
        <w:t xml:space="preserve"> </w:t>
      </w:r>
      <w:proofErr w:type="spellStart"/>
      <w:r>
        <w:rPr>
          <w:rtl/>
        </w:rPr>
        <w:t>שניי</w:t>
      </w:r>
      <w:proofErr w:type="spellEnd"/>
      <w:r>
        <w:rPr>
          <w:rtl/>
        </w:rPr>
        <w:t xml:space="preserve"> [מדוע אתם מכניסים פנימה את השלג]?” הם השיבו בגלוי: “באנו לראות את הרב מבריסק”</w:t>
      </w:r>
      <w:bookmarkStart w:id="6176" w:name="b5_ref83"/>
      <w:bookmarkEnd w:id="6176"/>
      <w:r>
        <w:rPr>
          <w:vertAlign w:val="superscript"/>
          <w:rtl/>
        </w:rPr>
        <w:fldChar w:fldCharType="begin" w:dirty="true"/>
      </w:r>
      <w:r>
        <w:rPr>
          <w:vertAlign w:val="superscript"/>
          <w:rtl/>
        </w:rPr>
        <w:instrText xml:space="preserve"> REF b5_note83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83</w:t>
      </w:r>
      <w:r>
        <w:rPr>
          <w:vertAlign w:val="superscript"/>
          <w:rtl/>
        </w:rPr>
        <w:fldChar w:fldCharType="end"/>
      </w:r>
      <w:r>
        <w:rPr>
          <w:rtl/>
        </w:rPr>
        <w:t>. האורח שמע מן החדר הפנימי את ההמולה ואת חילופי הדברים, ויצא כשהוא אומר: “</w:t>
      </w:r>
      <w:proofErr w:type="spellStart"/>
      <w:r>
        <w:rPr>
          <w:rtl/>
        </w:rPr>
        <w:t>גוט</w:t>
      </w:r>
      <w:proofErr w:type="spellEnd"/>
      <w:r>
        <w:rPr>
          <w:rtl/>
        </w:rPr>
        <w:t xml:space="preserve"> שבת, </w:t>
      </w:r>
      <w:proofErr w:type="spellStart"/>
      <w:r>
        <w:rPr>
          <w:rtl/>
        </w:rPr>
        <w:t>גוט</w:t>
      </w:r>
      <w:proofErr w:type="spellEnd"/>
      <w:r>
        <w:rPr>
          <w:rtl/>
        </w:rPr>
        <w:t xml:space="preserve"> שבת. נו, באתם לראות, אז תראו: א </w:t>
      </w:r>
      <w:proofErr w:type="spellStart"/>
      <w:r>
        <w:rPr>
          <w:rtl/>
        </w:rPr>
        <w:t>פשוטער</w:t>
      </w:r>
      <w:proofErr w:type="spellEnd"/>
      <w:r>
        <w:rPr>
          <w:rtl/>
        </w:rPr>
        <w:t xml:space="preserve"> מענטש (אדם פשוט), א </w:t>
      </w:r>
      <w:proofErr w:type="spellStart"/>
      <w:r>
        <w:rPr>
          <w:rtl/>
        </w:rPr>
        <w:t>פשוטער</w:t>
      </w:r>
      <w:proofErr w:type="spellEnd"/>
      <w:r>
        <w:rPr>
          <w:rtl/>
        </w:rPr>
        <w:t xml:space="preserve"> מענטש</w:t>
      </w:r>
      <w:bookmarkStart w:id="6177" w:name="b5_ref84"/>
      <w:bookmarkEnd w:id="6177"/>
      <w:r>
        <w:rPr>
          <w:vertAlign w:val="superscript"/>
          <w:rtl/>
        </w:rPr>
        <w:fldChar w:fldCharType="begin" w:dirty="true"/>
      </w:r>
      <w:r>
        <w:rPr>
          <w:vertAlign w:val="superscript"/>
          <w:rtl/>
        </w:rPr>
        <w:instrText xml:space="preserve"> REF b5_note84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84</w:t>
      </w:r>
      <w:r>
        <w:rPr>
          <w:vertAlign w:val="superscript"/>
          <w:rtl/>
        </w:rPr>
        <w:fldChar w:fldCharType="end"/>
      </w:r>
      <w:r>
        <w:rPr>
          <w:rtl/>
        </w:rPr>
        <w:t xml:space="preserve">”. הם אזרו אומץ וביקשו ממנו לומר להם דבר תורה. רבה טוב הלב של </w:t>
      </w:r>
      <w:proofErr w:type="spellStart"/>
      <w:r>
        <w:rPr>
          <w:rtl/>
        </w:rPr>
        <w:t>בריסק</w:t>
      </w:r>
      <w:proofErr w:type="spellEnd"/>
      <w:r>
        <w:rPr>
          <w:rtl/>
        </w:rPr>
        <w:t xml:space="preserve"> נענה ואמר דבר קצר, בהיר וחריף</w:t>
      </w:r>
      <w:bookmarkStart w:id="6178" w:name="b5_ref85"/>
      <w:bookmarkEnd w:id="6178"/>
      <w:r>
        <w:rPr>
          <w:vertAlign w:val="superscript"/>
          <w:rtl/>
        </w:rPr>
        <w:fldChar w:fldCharType="begin" w:dirty="true"/>
      </w:r>
      <w:r>
        <w:rPr>
          <w:vertAlign w:val="superscript"/>
          <w:rtl/>
        </w:rPr>
        <w:instrText xml:space="preserve"> REF b5_note85 \h \* CHARFORMAT </w:instrText>
      </w:r>
      <w:r>
        <w:rPr>
          <w:vertAlign w:val="superscript"/>
          <w:rtl/>
        </w:rPr>
      </w:r>
      <w:r w:rsidR="007923E9">
        <w:rPr>
          <w:vertAlign w:val="superscript"/>
          <w:rtl/>
        </w:rPr>
        <w:instrText xml:space="preserve"> \* </w:instrText>
      </w:r>
      <w:r w:rsidR="007923E9">
        <w:rPr>
          <w:vertAlign w:val="superscript"/>
        </w:rPr>
        <w:instrText>MERGEFORMAT</w:instrText>
      </w:r>
      <w:r w:rsidR="007923E9">
        <w:rPr>
          <w:vertAlign w:val="superscript"/>
          <w:rtl/>
        </w:rPr>
        <w:instrText xml:space="preserve"> </w:instrText>
      </w:r>
      <w:r>
        <w:rPr>
          <w:vertAlign w:val="superscript"/>
          <w:rtl/>
        </w:rPr>
        <w:fldChar w:fldCharType="separate"/>
      </w:r>
      <w:r w:rsidR="007923E9" w:rsidRPr="007923E9">
        <w:rPr>
          <w:vertAlign w:val="superscript"/>
          <w:rtl/>
        </w:rPr>
        <w:t>85</w:t>
      </w:r>
      <w:r>
        <w:rPr>
          <w:vertAlign w:val="superscript"/>
          <w:rtl/>
        </w:rPr>
        <w:fldChar w:fldCharType="end"/>
      </w:r>
      <w:r>
        <w:rPr>
          <w:rtl/>
        </w:rPr>
        <w:t>, והם הלכו.</w:t>
      </w:r>
    </w:p>
    <w:bookmarkStart w:id="6179" w:name="b5_note82"/>
    <w:p w14:paraId="7277E149" w14:textId="77777777" w:rsidR="00AB3647" w:rsidRDefault="00000000" w:rsidP="007923E9">
      <w:pPr>
        <w:spacing w:before="120" w:after="100" w:line="276" w:lineRule="auto"/>
        <w:jc w:val="both"/>
      </w:pPr>
      <w:r>
        <w:fldChar w:fldCharType="begin" w:dirty="true"/>
      </w:r>
      <w:r>
        <w:instrText>HYPERLINK \l "b5_ref82"</w:instrText>
      </w:r>
      <w:r>
        <w:fldChar w:fldCharType="separate"/>
      </w:r>
      <w:r>
        <w:rPr>
          <w:b/>
          <w:bCs/>
          <w:rtl/>
        </w:rPr>
        <w:t>82</w:t>
      </w:r>
      <w:r>
        <w:rPr>
          <w:b/>
          <w:bCs/>
        </w:rPr>
        <w:fldChar w:fldCharType="end"/>
      </w:r>
      <w:bookmarkEnd w:id="6179"/>
      <w:r>
        <w:rPr>
          <w:rtl/>
        </w:rPr>
        <w:t xml:space="preserve"> הוא כיהן ברבנות </w:t>
      </w:r>
      <w:proofErr w:type="spellStart"/>
      <w:r>
        <w:rPr>
          <w:rtl/>
        </w:rPr>
        <w:t>מיטאו</w:t>
      </w:r>
      <w:proofErr w:type="spellEnd"/>
      <w:r>
        <w:rPr>
          <w:rtl/>
        </w:rPr>
        <w:t xml:space="preserve"> </w:t>
      </w:r>
      <w:proofErr w:type="spellStart"/>
      <w:r>
        <w:rPr>
          <w:rtl/>
        </w:rPr>
        <w:t>שבקורלנד</w:t>
      </w:r>
      <w:proofErr w:type="spellEnd"/>
      <w:r>
        <w:rPr>
          <w:rtl/>
        </w:rPr>
        <w:t xml:space="preserve"> </w:t>
      </w:r>
      <w:proofErr w:type="spellStart"/>
      <w:r>
        <w:rPr>
          <w:rtl/>
        </w:rPr>
        <w:t>המגורמנת</w:t>
      </w:r>
      <w:proofErr w:type="spellEnd"/>
      <w:r>
        <w:rPr>
          <w:rtl/>
        </w:rPr>
        <w:t xml:space="preserve"> שבע שנים, החל </w:t>
      </w:r>
      <w:proofErr w:type="spellStart"/>
      <w:r>
        <w:rPr>
          <w:rtl/>
        </w:rPr>
        <w:t>בתרמ״ב</w:t>
      </w:r>
      <w:proofErr w:type="spellEnd"/>
      <w:r>
        <w:rPr>
          <w:rtl/>
        </w:rPr>
        <w:t xml:space="preserve">, ואחר כך נעשה המגיד של וילנה במקום ר׳ </w:t>
      </w:r>
      <w:proofErr w:type="spellStart"/>
      <w:r>
        <w:rPr>
          <w:rtl/>
        </w:rPr>
        <w:t>יעקב־יוסף</w:t>
      </w:r>
      <w:proofErr w:type="spellEnd"/>
      <w:r>
        <w:rPr>
          <w:rtl/>
        </w:rPr>
        <w:t>, שנתמנה לרב הראשי של ניו יורק. “בתחילה היו [תושבי וילנה] בלתי מרוצים כלל מדרשותיו החדשניות – שהיה נוטל מאמר קשה של חז״ל, נותן בו ‘חיים ונשמה’, ומוציא ממנו תשובה נאותה לבעיה כלשהי של השעה – ומלשונו הגרמנית למחצה. אבל ברבות הימים התרגלו אליו עד שנעשה ‘חביב ההמונים’”</w:t>
      </w:r>
      <w:bookmarkStart w:id="6180" w:name="_fnr4626"/>
      <w:r>
        <w:rPr>
          <w:rStyle w:val="a5"/>
        </w:rPr>
        <w:footnoteReference w:id="4637" w:customMarkFollows="0"/>
      </w:r>
      <w:bookmarkEnd w:id="6180"/>
      <w:r>
        <w:rPr>
          <w:rtl/>
        </w:rPr>
        <w:t>.</w:t>
      </w:r>
    </w:p>
    <w:bookmarkStart w:id="6181" w:name="b5_note83"/>
    <w:p w14:paraId="7C0A9B70" w14:textId="77777777" w:rsidR="00AB3647" w:rsidRDefault="00000000" w:rsidP="007923E9">
      <w:pPr>
        <w:spacing w:before="120" w:after="100" w:line="276" w:lineRule="auto"/>
        <w:jc w:val="both"/>
      </w:pPr>
      <w:r>
        <w:fldChar w:fldCharType="begin" w:dirty="true"/>
      </w:r>
      <w:r>
        <w:instrText>HYPERLINK \l "b5_ref83"</w:instrText>
      </w:r>
      <w:r>
        <w:fldChar w:fldCharType="separate"/>
      </w:r>
      <w:r>
        <w:rPr>
          <w:b/>
          <w:bCs/>
          <w:rtl/>
        </w:rPr>
        <w:t>83</w:t>
      </w:r>
      <w:r>
        <w:rPr>
          <w:b/>
          <w:bCs/>
        </w:rPr>
        <w:fldChar w:fldCharType="end"/>
      </w:r>
      <w:bookmarkEnd w:id="6181"/>
      <w:r>
        <w:rPr>
          <w:rtl/>
        </w:rPr>
        <w:t xml:space="preserve"> השווה “עובדות והנהגות לבית </w:t>
      </w:r>
      <w:proofErr w:type="spellStart"/>
      <w:r>
        <w:rPr>
          <w:rtl/>
        </w:rPr>
        <w:t>בריסק</w:t>
      </w:r>
      <w:proofErr w:type="spellEnd"/>
      <w:r>
        <w:rPr>
          <w:rtl/>
        </w:rPr>
        <w:t>”</w:t>
      </w:r>
      <w:bookmarkStart w:id="6182" w:name="_fnr4627"/>
      <w:r>
        <w:rPr>
          <w:rStyle w:val="a5"/>
        </w:rPr>
        <w:footnoteReference w:id="4638" w:customMarkFollows="0"/>
      </w:r>
      <w:bookmarkEnd w:id="6182"/>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ר׳ חיים ביקר אצל ר׳ </w:t>
      </w:r>
      <w:proofErr w:type="spellStart"/>
      <w:r>
        <w:rPr>
          <w:rtl/>
        </w:rPr>
        <w:t>אליהו־חיים</w:t>
      </w:r>
      <w:proofErr w:type="spellEnd"/>
      <w:r>
        <w:rPr>
          <w:rtl/>
        </w:rPr>
        <w:t xml:space="preserve"> </w:t>
      </w:r>
      <w:proofErr w:type="spellStart"/>
      <w:r>
        <w:rPr>
          <w:rtl/>
        </w:rPr>
        <w:t>מייזל</w:t>
      </w:r>
      <w:proofErr w:type="spellEnd"/>
      <w:r>
        <w:rPr>
          <w:rtl/>
        </w:rPr>
        <w:t xml:space="preserve"> בלודז׳ כמה פעמים</w:t>
      </w:r>
      <w:bookmarkStart w:id="6183" w:name="_fnr4628"/>
      <w:r>
        <w:rPr>
          <w:rStyle w:val="a5"/>
        </w:rPr>
        <w:footnoteReference w:id="4639" w:customMarkFollows="0"/>
      </w:r>
      <w:bookmarkEnd w:id="6183"/>
      <w:r>
        <w:rPr>
          <w:rtl/>
        </w:rPr>
        <w:t xml:space="preserve">, ואנשים רבים היו באים לשם לראות את ר׳ חיים. אברכים חסידיים היו עומדים ומביטים בו כל היום. כששאלם ר׳ חיים על מה הם מסתכלים, השיבו שבספרים הקדושים כתוב שהסתכלות בצדיק היא סגולה לקניית יראת </w:t>
      </w:r>
      <w:r>
        <w:rPr>
          <w:rtl/>
        </w:rPr>
        <w:lastRenderedPageBreak/>
        <w:t>שמים. אמר להם: “כתוב ‘ועמך כולם צדיקים’</w:t>
      </w:r>
      <w:bookmarkStart w:id="6184" w:name="_fnr4629"/>
      <w:r>
        <w:rPr>
          <w:rStyle w:val="a5"/>
        </w:rPr>
        <w:footnoteReference w:id="4640" w:customMarkFollows="0"/>
      </w:r>
      <w:bookmarkEnd w:id="6184"/>
      <w:r>
        <w:rPr>
          <w:rtl/>
        </w:rPr>
        <w:t>; אילו הייתם מסתכלים בעצמכם, הייתה בידכם בוודאי סגולה בדוקה להשגת יראת שמים”.</w:t>
      </w:r>
    </w:p>
    <w:p w14:paraId="3DFA0383" w14:textId="77777777" w:rsidR="00AB3647" w:rsidRDefault="00000000" w:rsidP="007923E9">
      <w:pPr>
        <w:spacing w:before="120" w:after="100" w:line="276" w:lineRule="auto"/>
        <w:jc w:val="both"/>
      </w:pPr>
      <w:r>
        <w:rPr>
          <w:rtl/>
        </w:rPr>
        <w:t xml:space="preserve">תלמידי ישיבת </w:t>
      </w:r>
      <w:proofErr w:type="spellStart"/>
      <w:r>
        <w:rPr>
          <w:rtl/>
        </w:rPr>
        <w:t>סלבודקה</w:t>
      </w:r>
      <w:proofErr w:type="spellEnd"/>
      <w:r>
        <w:rPr>
          <w:rtl/>
        </w:rPr>
        <w:t xml:space="preserve"> רק ביקשו לזכות בזכות ההיסטורית לראות אדם גדול ולשמוע ממנו דבר תורה – ועל כך השיב ר׳ חיים בענווה שאינו אדם גדול אלא יהודי פשוט, כאמור לעיל. ואילו לאברכים החסידיים, שביקשו להשיג יראת שמים באמצעים נסתרים אלה, אמר ר׳ חיים שדרך בטוחה ויעילה יותר להשגת מטרה זו היא שכל אחד </w:t>
      </w:r>
      <w:r>
        <w:rPr>
          <w:b/>
          <w:bCs/>
          <w:rtl/>
        </w:rPr>
        <w:t>יתבונן בעצמו</w:t>
      </w:r>
      <w:r>
        <w:rPr>
          <w:rtl/>
        </w:rPr>
        <w:t xml:space="preserve">, יברר את חסרונותיו ויסלקם. גם בזה ניכרת קרבתו של ר׳ חיים לדרך המוסר, ויש בזה אישור לטענת הסבא שר׳ חיים </w:t>
      </w:r>
      <w:proofErr w:type="spellStart"/>
      <w:r>
        <w:rPr>
          <w:rtl/>
        </w:rPr>
        <w:t>סולובייצ׳יק</w:t>
      </w:r>
      <w:proofErr w:type="spellEnd"/>
      <w:r>
        <w:rPr>
          <w:rtl/>
        </w:rPr>
        <w:t xml:space="preserve"> היה בעצם בעל מוסר</w:t>
      </w:r>
      <w:bookmarkStart w:id="6185" w:name="_fnr4630"/>
      <w:r>
        <w:rPr>
          <w:rStyle w:val="a5"/>
        </w:rPr>
        <w:footnoteReference w:id="4641" w:customMarkFollows="0"/>
      </w:r>
      <w:bookmarkEnd w:id="6185"/>
      <w:r>
        <w:rPr>
          <w:rtl/>
        </w:rPr>
        <w:t>.</w:t>
      </w:r>
    </w:p>
    <w:bookmarkStart w:id="6186" w:name="b5_note84"/>
    <w:p w14:paraId="3B657AC1" w14:textId="7216DA84" w:rsidR="00AB3647" w:rsidRDefault="00000000" w:rsidP="007923E9">
      <w:pPr>
        <w:spacing w:before="120" w:after="100" w:line="276" w:lineRule="auto"/>
        <w:jc w:val="both"/>
      </w:pPr>
      <w:r>
        <w:fldChar w:fldCharType="begin" w:dirty="true"/>
      </w:r>
      <w:r>
        <w:instrText>HYPERLINK \l "b5_ref84"</w:instrText>
      </w:r>
      <w:r>
        <w:fldChar w:fldCharType="separate"/>
      </w:r>
      <w:r>
        <w:rPr>
          <w:b/>
          <w:bCs/>
          <w:rtl/>
        </w:rPr>
        <w:t>84</w:t>
      </w:r>
      <w:r>
        <w:rPr>
          <w:b/>
          <w:bCs/>
        </w:rPr>
        <w:fldChar w:fldCharType="end"/>
      </w:r>
      <w:bookmarkEnd w:id="6186"/>
      <w:r>
        <w:rPr>
          <w:rtl/>
        </w:rPr>
        <w:t xml:space="preserve"> ראה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w:t>
      </w:r>
    </w:p>
    <w:bookmarkStart w:id="6187" w:name="b5_note85"/>
    <w:p w14:paraId="3F230080" w14:textId="71C9F8F4" w:rsidR="00AB3647" w:rsidRDefault="00000000" w:rsidP="007923E9">
      <w:pPr>
        <w:spacing w:before="120" w:after="100" w:line="276" w:lineRule="auto"/>
        <w:jc w:val="both"/>
      </w:pPr>
      <w:r>
        <w:fldChar w:fldCharType="begin" w:dirty="true"/>
      </w:r>
      <w:r>
        <w:instrText>HYPERLINK \l "b5_ref85"</w:instrText>
      </w:r>
      <w:r>
        <w:fldChar w:fldCharType="separate"/>
      </w:r>
      <w:r>
        <w:rPr>
          <w:b/>
          <w:bCs/>
          <w:rtl/>
        </w:rPr>
        <w:t>85</w:t>
      </w:r>
      <w:r>
        <w:rPr>
          <w:b/>
          <w:bCs/>
        </w:rPr>
        <w:fldChar w:fldCharType="end"/>
      </w:r>
      <w:bookmarkEnd w:id="6187"/>
      <w:r>
        <w:rPr>
          <w:rtl/>
        </w:rPr>
        <w:t xml:space="preserve"> השווה פרק 3, הפסקה השנייה בהערה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כשביקר ר׳ </w:t>
      </w:r>
      <w:proofErr w:type="spellStart"/>
      <w:r>
        <w:rPr>
          <w:rtl/>
        </w:rPr>
        <w:t>דוד׳ל</w:t>
      </w:r>
      <w:proofErr w:type="spellEnd"/>
      <w:r>
        <w:rPr>
          <w:rtl/>
        </w:rPr>
        <w:t xml:space="preserve"> פרידמן בקובנה וביקשו ממנו בחורי הישיבות לומר דבר תורה, היה מסרב. “שמושה של תורה”</w:t>
      </w:r>
      <w:bookmarkStart w:id="6188" w:name="_fnr4631"/>
      <w:r>
        <w:rPr>
          <w:rStyle w:val="a5"/>
        </w:rPr>
        <w:footnoteReference w:id="4642" w:customMarkFollows="0"/>
      </w:r>
      <w:bookmarkEnd w:id="6188"/>
      <w:r>
        <w:rPr>
          <w:rtl/>
        </w:rPr>
        <w:t xml:space="preserve"> מספר: “פעם אחת [בביקור אצל בנו</w:t>
      </w:r>
      <w:bookmarkStart w:id="6189" w:name="_fnr4632"/>
      <w:r>
        <w:rPr>
          <w:rStyle w:val="a5"/>
        </w:rPr>
        <w:footnoteReference w:id="4643" w:customMarkFollows="0"/>
      </w:r>
      <w:bookmarkEnd w:id="6189"/>
      <w:r>
        <w:rPr>
          <w:rtl/>
        </w:rPr>
        <w:t xml:space="preserve"> בקובנה] רצו תלמידי </w:t>
      </w:r>
      <w:proofErr w:type="spellStart"/>
      <w:r>
        <w:rPr>
          <w:rtl/>
        </w:rPr>
        <w:t>סלבודקה</w:t>
      </w:r>
      <w:proofErr w:type="spellEnd"/>
      <w:r>
        <w:rPr>
          <w:rtl/>
        </w:rPr>
        <w:t xml:space="preserve"> לשמוע משהו מתורתו... התחננו והפצירו בו, אך הוא סירב... באומרו: ‘חז״ל אומרים שלפני שדורשים בפני הציבור, יש לחזור על הדבר לעצמך ארבע פעמים</w:t>
      </w:r>
      <w:bookmarkStart w:id="6190" w:name="_fnr4633"/>
      <w:r>
        <w:rPr>
          <w:rStyle w:val="a5"/>
        </w:rPr>
        <w:footnoteReference w:id="4644" w:customMarkFollows="0"/>
      </w:r>
      <w:bookmarkEnd w:id="6190"/>
      <w:r>
        <w:rPr>
          <w:rtl/>
        </w:rPr>
        <w:t>, ואני לא [עשיתי זאת]; לכן אי אפשר לי להיענות לבקשתכם’”.</w:t>
      </w:r>
    </w:p>
    <w:p w14:paraId="3CD705CB" w14:textId="6C60A458" w:rsidR="00AB3647" w:rsidRDefault="00000000" w:rsidP="007923E9">
      <w:pPr>
        <w:spacing w:before="120" w:after="100" w:line="276" w:lineRule="auto"/>
        <w:jc w:val="both"/>
      </w:pPr>
      <w:r>
        <w:rPr>
          <w:rtl/>
        </w:rPr>
        <w:t xml:space="preserve">בהזכרת מאמר חז״ל זה לימד ר׳ </w:t>
      </w:r>
      <w:proofErr w:type="spellStart"/>
      <w:r>
        <w:rPr>
          <w:rtl/>
        </w:rPr>
        <w:t>דוד׳ל</w:t>
      </w:r>
      <w:proofErr w:type="spellEnd"/>
      <w:r>
        <w:rPr>
          <w:rtl/>
        </w:rPr>
        <w:t xml:space="preserve"> את התלמידים דבר שעליהם לזכור לעתידם שלהם, אבל אצלו היה זה ללא ספק תירוץ דחוק – שכן בשקידתו ובתפיסתו המהירה בוודאי יכול היה לחזור בן רגע על “</w:t>
      </w:r>
      <w:proofErr w:type="spellStart"/>
      <w:r>
        <w:rPr>
          <w:rtl/>
        </w:rPr>
        <w:t>ווארט</w:t>
      </w:r>
      <w:proofErr w:type="spellEnd"/>
      <w:r>
        <w:rPr>
          <w:rtl/>
        </w:rPr>
        <w:t xml:space="preserve">” שלא חזר עליו ארבע פעמים לאחרונה. נותר לנו לשער מה הייתה הסיבה האמיתית לסירובו. ייתכן שבניגוד </w:t>
      </w:r>
      <w:proofErr w:type="spellStart"/>
      <w:r>
        <w:rPr>
          <w:rtl/>
        </w:rPr>
        <w:t>לר</w:t>
      </w:r>
      <w:proofErr w:type="spellEnd"/>
      <w:r>
        <w:rPr>
          <w:rtl/>
        </w:rPr>
        <w:t xml:space="preserve">׳ חיים </w:t>
      </w:r>
      <w:proofErr w:type="spellStart"/>
      <w:r>
        <w:rPr>
          <w:rtl/>
        </w:rPr>
        <w:t>סולובייצ׳יק</w:t>
      </w:r>
      <w:proofErr w:type="spellEnd"/>
      <w:r>
        <w:rPr>
          <w:rtl/>
        </w:rPr>
        <w:t xml:space="preserve">, שלימד </w:t>
      </w:r>
      <w:proofErr w:type="spellStart"/>
      <w:r>
        <w:rPr>
          <w:rtl/>
        </w:rPr>
        <w:t>בוולוז׳ין</w:t>
      </w:r>
      <w:proofErr w:type="spellEnd"/>
      <w:r>
        <w:rPr>
          <w:rtl/>
        </w:rPr>
        <w:t xml:space="preserve"> (וקצת אחר כך </w:t>
      </w:r>
      <w:proofErr w:type="spellStart"/>
      <w:r>
        <w:rPr>
          <w:rtl/>
        </w:rPr>
        <w:t>בבריסק</w:t>
      </w:r>
      <w:proofErr w:type="spellEnd"/>
      <w:r>
        <w:rPr>
          <w:rtl/>
        </w:rPr>
        <w:t xml:space="preserve">, כמוזכר בפרק 4, הפסקה הראשונה של </w:t>
      </w:r>
      <w:r>
        <w:rPr>
          <w:rtl/>
        </w:rPr>
        <w:fldChar w:fldCharType="begin" w:dirty="true"/>
      </w:r>
      <w:r>
        <w:rPr>
          <w:rtl/>
        </w:rPr>
        <w:instrText xml:space="preserve"> REF b4_excM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יג</w:t>
      </w:r>
      <w:proofErr w:type="spellEnd"/>
      <w:r>
        <w:rPr>
          <w:rtl/>
        </w:rPr>
        <w:fldChar w:fldCharType="end"/>
      </w:r>
      <w:r>
        <w:rPr>
          <w:rtl/>
        </w:rPr>
        <w:t xml:space="preserve">), ר׳ </w:t>
      </w:r>
      <w:proofErr w:type="spellStart"/>
      <w:r>
        <w:rPr>
          <w:rtl/>
        </w:rPr>
        <w:t>דוד׳ל</w:t>
      </w:r>
      <w:proofErr w:type="spellEnd"/>
      <w:r>
        <w:rPr>
          <w:rtl/>
        </w:rPr>
        <w:t xml:space="preserve"> פרידמן מעולם לא עסק בהוראת תלמידים, ולא הייתה לו סבלנות לבחורי הישיבה</w:t>
      </w:r>
      <w:bookmarkStart w:id="6191" w:name="_fnr4634"/>
      <w:r>
        <w:rPr>
          <w:rStyle w:val="a5"/>
        </w:rPr>
        <w:footnoteReference w:id="4645" w:customMarkFollows="0"/>
      </w:r>
      <w:bookmarkEnd w:id="6191"/>
      <w:r>
        <w:rPr>
          <w:rtl/>
        </w:rPr>
        <w:t>.</w:t>
      </w:r>
    </w:p>
    <w:p w14:paraId="200607AD" w14:textId="77777777" w:rsidR="00AB3647" w:rsidRDefault="00000000" w:rsidP="007923E9">
      <w:pPr>
        <w:spacing w:after="100" w:line="276" w:lineRule="auto"/>
        <w:jc w:val="both"/>
      </w:pPr>
      <w:r>
        <w:rPr>
          <w:rtl/>
        </w:rPr>
        <w:t xml:space="preserve">מעניין שר׳ חיים לא ביקר בפרוור </w:t>
      </w:r>
      <w:proofErr w:type="spellStart"/>
      <w:r>
        <w:rPr>
          <w:rtl/>
        </w:rPr>
        <w:t>סלבודקה</w:t>
      </w:r>
      <w:proofErr w:type="spellEnd"/>
      <w:r>
        <w:rPr>
          <w:rtl/>
        </w:rPr>
        <w:t xml:space="preserve">, ובכך החמיץ את ההזדמנות למסור שיעור בישיבת תלמידו ר׳ </w:t>
      </w:r>
      <w:proofErr w:type="spellStart"/>
      <w:r>
        <w:rPr>
          <w:rtl/>
        </w:rPr>
        <w:t>ברוך־בער</w:t>
      </w:r>
      <w:proofErr w:type="spellEnd"/>
      <w:r>
        <w:rPr>
          <w:rtl/>
        </w:rPr>
        <w:t xml:space="preserve">. ר׳ קופל </w:t>
      </w:r>
      <w:proofErr w:type="spellStart"/>
      <w:r>
        <w:rPr>
          <w:rtl/>
        </w:rPr>
        <w:t>וולפרט</w:t>
      </w:r>
      <w:proofErr w:type="spellEnd"/>
      <w:r>
        <w:rPr>
          <w:rtl/>
        </w:rPr>
        <w:t xml:space="preserve"> הציע </w:t>
      </w:r>
      <w:proofErr w:type="spellStart"/>
      <w:r>
        <w:rPr>
          <w:rtl/>
        </w:rPr>
        <w:t>ש“לא</w:t>
      </w:r>
      <w:proofErr w:type="spellEnd"/>
      <w:r>
        <w:rPr>
          <w:rtl/>
        </w:rPr>
        <w:t xml:space="preserve"> רצה לפגוע בכבוד תלמידו ר׳ </w:t>
      </w:r>
      <w:proofErr w:type="spellStart"/>
      <w:r>
        <w:rPr>
          <w:rtl/>
        </w:rPr>
        <w:t>ברוך־בער</w:t>
      </w:r>
      <w:proofErr w:type="spellEnd"/>
      <w:r>
        <w:rPr>
          <w:rtl/>
        </w:rPr>
        <w:t xml:space="preserve"> בעיני תלמידיו, בהראותו שיש גדול מרבם”. אבל אין זה סביר, שכן ר׳ חיים בוודאי ידע שר׳ </w:t>
      </w:r>
      <w:proofErr w:type="spellStart"/>
      <w:r>
        <w:rPr>
          <w:rtl/>
        </w:rPr>
        <w:t>ברוך־בער</w:t>
      </w:r>
      <w:proofErr w:type="spellEnd"/>
      <w:r>
        <w:rPr>
          <w:rtl/>
        </w:rPr>
        <w:t xml:space="preserve"> מרומם בכל מקרה את רבו הרבה מעל עצמו בכל הזדמנות; הושבתו של ר׳ </w:t>
      </w:r>
      <w:proofErr w:type="spellStart"/>
      <w:r>
        <w:rPr>
          <w:rtl/>
        </w:rPr>
        <w:t>ברוך־בער</w:t>
      </w:r>
      <w:proofErr w:type="spellEnd"/>
      <w:r>
        <w:rPr>
          <w:rtl/>
        </w:rPr>
        <w:t xml:space="preserve"> על ברכי ר׳ חיים כבר הייתה הפגנה פומבית </w:t>
      </w:r>
      <w:proofErr w:type="spellStart"/>
      <w:r>
        <w:rPr>
          <w:rtl/>
        </w:rPr>
        <w:t>חד־משמעית</w:t>
      </w:r>
      <w:proofErr w:type="spellEnd"/>
      <w:r>
        <w:rPr>
          <w:rtl/>
        </w:rPr>
        <w:t xml:space="preserve"> של יחסי האב והבן שביניהם.</w:t>
      </w:r>
    </w:p>
    <w:p w14:paraId="226143E7" w14:textId="77777777" w:rsidR="00AB3647" w:rsidRDefault="00000000" w:rsidP="007923E9">
      <w:pPr>
        <w:spacing w:after="100" w:line="276" w:lineRule="auto"/>
        <w:jc w:val="both"/>
      </w:pPr>
      <w:r>
        <w:rPr>
          <w:rtl/>
        </w:rPr>
        <w:t xml:space="preserve">ייתכן שהסיבה האמיתית לכך שר׳ חיים לא ביקר </w:t>
      </w:r>
      <w:proofErr w:type="spellStart"/>
      <w:r>
        <w:rPr>
          <w:rtl/>
        </w:rPr>
        <w:t>בסלבודקה</w:t>
      </w:r>
      <w:proofErr w:type="spellEnd"/>
      <w:r>
        <w:rPr>
          <w:rtl/>
        </w:rPr>
        <w:t xml:space="preserve"> הייתה שאילו עבר את הגשר אל הפרוור, היה נאלץ למסור שיעור גם בכנסת ישראל. הרי בראשה עמדו חבר טוב, ר׳ </w:t>
      </w:r>
      <w:proofErr w:type="spellStart"/>
      <w:r>
        <w:rPr>
          <w:rtl/>
        </w:rPr>
        <w:t>נתן־צבי</w:t>
      </w:r>
      <w:proofErr w:type="spellEnd"/>
      <w:r>
        <w:rPr>
          <w:rtl/>
        </w:rPr>
        <w:t xml:space="preserve"> </w:t>
      </w:r>
      <w:proofErr w:type="spellStart"/>
      <w:r>
        <w:rPr>
          <w:rtl/>
        </w:rPr>
        <w:t>פינקל</w:t>
      </w:r>
      <w:proofErr w:type="spellEnd"/>
      <w:r>
        <w:rPr>
          <w:rtl/>
        </w:rPr>
        <w:t xml:space="preserve"> (כפי שמוכיחה היטב מטרת שליחותו לקובנה</w:t>
      </w:r>
      <w:bookmarkStart w:id="6192" w:name="_fnr4635"/>
      <w:r>
        <w:rPr>
          <w:rStyle w:val="a5"/>
        </w:rPr>
        <w:footnoteReference w:id="4646" w:customMarkFollows="0"/>
      </w:r>
      <w:bookmarkEnd w:id="6192"/>
      <w:r>
        <w:rPr>
          <w:rtl/>
        </w:rPr>
        <w:t xml:space="preserve">), ותלמידו שלו </w:t>
      </w:r>
      <w:proofErr w:type="spellStart"/>
      <w:r>
        <w:rPr>
          <w:rtl/>
        </w:rPr>
        <w:t>מוולוז׳ין</w:t>
      </w:r>
      <w:proofErr w:type="spellEnd"/>
      <w:r>
        <w:rPr>
          <w:rtl/>
        </w:rPr>
        <w:t xml:space="preserve">, ר׳ </w:t>
      </w:r>
      <w:proofErr w:type="spellStart"/>
      <w:r>
        <w:rPr>
          <w:rtl/>
        </w:rPr>
        <w:t>משה־</w:t>
      </w:r>
      <w:r>
        <w:rPr>
          <w:rtl/>
        </w:rPr>
        <w:lastRenderedPageBreak/>
        <w:t>מרדכי</w:t>
      </w:r>
      <w:proofErr w:type="spellEnd"/>
      <w:r>
        <w:rPr>
          <w:rtl/>
        </w:rPr>
        <w:t xml:space="preserve"> אפשטיין. יחסו הדו־ערכי (או עוינותו) למוסר</w:t>
      </w:r>
      <w:bookmarkStart w:id="6193" w:name="_fnr4636"/>
      <w:r>
        <w:rPr>
          <w:rStyle w:val="a5"/>
        </w:rPr>
        <w:footnoteReference w:id="4647" w:customMarkFollows="0"/>
      </w:r>
      <w:bookmarkEnd w:id="6193"/>
      <w:r>
        <w:rPr>
          <w:rtl/>
        </w:rPr>
        <w:t xml:space="preserve"> מנע ממנו למסור שיעור בישיבת מוסר, שמא יתפרש הדבר כהסכמה להשקפתה.</w:t>
      </w:r>
    </w:p>
    <w:p w14:paraId="0876B669" w14:textId="230AA4FA" w:rsidR="00AB3647" w:rsidRDefault="00000000" w:rsidP="007923E9">
      <w:pPr>
        <w:spacing w:after="100" w:line="276" w:lineRule="auto"/>
        <w:jc w:val="both"/>
      </w:pPr>
      <w:r>
        <w:rPr>
          <w:rtl/>
        </w:rPr>
        <w:t xml:space="preserve">ואשר להסכמתו למסור שיעורים בישיבת </w:t>
      </w:r>
      <w:proofErr w:type="spellStart"/>
      <w:r>
        <w:rPr>
          <w:rtl/>
        </w:rPr>
        <w:t>לובביץ</w:t>
      </w:r>
      <w:proofErr w:type="spellEnd"/>
      <w:r>
        <w:rPr>
          <w:rtl/>
        </w:rPr>
        <w:t xml:space="preserve">׳ במינסק, כאמור בפרק 3, הפסקה השישית של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מסירת שיעורים בקביעות מבטאת הסכמה פחותה למוסד בכללותו מאשר מסירת שיעור אורח יחיד. יתר על כן, איש לא היה מייחס </w:t>
      </w:r>
      <w:proofErr w:type="spellStart"/>
      <w:r>
        <w:rPr>
          <w:rtl/>
        </w:rPr>
        <w:t>לר</w:t>
      </w:r>
      <w:proofErr w:type="spellEnd"/>
      <w:r>
        <w:rPr>
          <w:rtl/>
        </w:rPr>
        <w:t xml:space="preserve">׳ חיים </w:t>
      </w:r>
      <w:proofErr w:type="spellStart"/>
      <w:r>
        <w:rPr>
          <w:rtl/>
        </w:rPr>
        <w:t>סולובייצ׳יק</w:t>
      </w:r>
      <w:proofErr w:type="spellEnd"/>
      <w:r>
        <w:rPr>
          <w:rtl/>
        </w:rPr>
        <w:t xml:space="preserve"> נטייה לחב״ד, ומסירת שיעורים באחד ממוסדות </w:t>
      </w:r>
      <w:proofErr w:type="spellStart"/>
      <w:r>
        <w:rPr>
          <w:rtl/>
        </w:rPr>
        <w:t>לובביץ</w:t>
      </w:r>
      <w:proofErr w:type="spellEnd"/>
      <w:r>
        <w:rPr>
          <w:rtl/>
        </w:rPr>
        <w:t xml:space="preserve">׳ לא הייתה יכולה בשום אופן להיתפס בטעות כסימן להסכמה. אבל בשאלת המוסר אפשר היה לראות בו בעל מוסר, כפי שאכן סבר הסבא </w:t>
      </w:r>
      <w:proofErr w:type="spellStart"/>
      <w:r>
        <w:rPr>
          <w:rtl/>
        </w:rPr>
        <w:t>מסלבודקה</w:t>
      </w:r>
      <w:proofErr w:type="spellEnd"/>
      <w:r>
        <w:rPr>
          <w:rtl/>
        </w:rPr>
        <w:t xml:space="preserve"> שהוא [“אלא שלא ידע זאת”] – כאמור בפרק 3, סוף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w:t>
      </w:r>
    </w:p>
    <w:p w14:paraId="4D40842E" w14:textId="77777777" w:rsidR="00AB3647" w:rsidRDefault="00000000" w:rsidP="007923E9">
      <w:pPr>
        <w:pBdr>
          <w:top w:val="single" w:sz="6" w:space="7" w:color="000000"/>
          <w:left w:val="single" w:sz="6" w:space="7" w:color="000000"/>
          <w:bottom w:val="single" w:sz="6" w:space="7" w:color="000000"/>
          <w:right w:val="single" w:sz="6" w:space="7" w:color="000000"/>
        </w:pBdr>
        <w:spacing w:before="180" w:after="180" w:line="276" w:lineRule="auto"/>
        <w:ind w:firstLine="340"/>
        <w:jc w:val="both"/>
      </w:pPr>
      <w:r>
        <w:rPr>
          <w:rtl/>
        </w:rPr>
        <w:t xml:space="preserve">רבנו השתוקק להתעדכן בכל מה שהחמיץ בזמן בריחתו </w:t>
      </w:r>
      <w:proofErr w:type="spellStart"/>
      <w:r>
        <w:rPr>
          <w:rtl/>
        </w:rPr>
        <w:t>מסלבודקה</w:t>
      </w:r>
      <w:proofErr w:type="spellEnd"/>
      <w:r>
        <w:rPr>
          <w:rtl/>
        </w:rPr>
        <w:t xml:space="preserve"> – במאורעות הגדולים ובקטנים – ושמח לשוב אחרי פסח אל קנו.</w:t>
      </w:r>
    </w:p>
    <w:p w14:paraId="3F1BAEBB" w14:textId="77777777" w:rsidR="00AB3647" w:rsidRDefault="00000000" w:rsidP="007923E9">
      <w:pPr>
        <w:pStyle w:val="2"/>
        <w:pageBreakBefore/>
        <w:spacing w:before="240" w:after="160" w:line="276" w:lineRule="auto"/>
      </w:pPr>
      <w:bookmarkStart w:id="6194" w:name="b5_excursuses"/>
      <w:r>
        <w:lastRenderedPageBreak/>
        <w:t>נספחים</w:t>
      </w:r>
      <w:bookmarkEnd w:id="6194"/>
    </w:p>
    <w:bookmarkStart w:id="6195" w:name="b5_excA"/>
    <w:p w14:paraId="240B037E" w14:textId="77777777" w:rsidR="00AB3647" w:rsidRDefault="00000000" w:rsidP="007923E9">
      <w:pPr>
        <w:pStyle w:val="3"/>
        <w:pageBreakBefore w:val="0"/>
        <w:spacing w:line="276" w:lineRule="auto"/>
      </w:pPr>
      <w:r>
        <w:fldChar w:fldCharType="begin" w:dirty="true"/>
      </w:r>
      <w:r>
        <w:rPr>
          <w:rtl w:val="0"/>
        </w:rPr>
        <w:instrText>HYPERLINK \l "b5_note1</w:instrText>
      </w:r>
      <w:r>
        <w:instrText>"</w:instrText>
      </w:r>
      <w:r>
        <w:fldChar w:fldCharType="separate"/>
      </w:r>
      <w:r>
        <w:t>נספח א</w:t>
      </w:r>
      <w:r>
        <w:fldChar w:fldCharType="end"/>
      </w:r>
      <w:bookmarkEnd w:id="6195"/>
    </w:p>
    <w:p w14:paraId="5591BE28" w14:textId="77777777" w:rsidR="00AB3647" w:rsidRDefault="00000000" w:rsidP="007923E9">
      <w:pPr>
        <w:pStyle w:val="af"/>
        <w:spacing w:line="276" w:lineRule="auto"/>
      </w:pPr>
      <w:r>
        <w:t xml:space="preserve">על גילוח הזקנים בישיבות </w:t>
      </w:r>
      <w:proofErr w:type="spellStart"/>
      <w:r>
        <w:t>וולוז׳ין</w:t>
      </w:r>
      <w:proofErr w:type="spellEnd"/>
      <w:r>
        <w:t xml:space="preserve"> </w:t>
      </w:r>
      <w:proofErr w:type="spellStart"/>
      <w:r>
        <w:t>וסלבודקה</w:t>
      </w:r>
      <w:proofErr w:type="spellEnd"/>
    </w:p>
    <w:p w14:paraId="5338E603" w14:textId="77777777" w:rsidR="00AB3647" w:rsidRDefault="00000000" w:rsidP="007923E9">
      <w:pPr>
        <w:pStyle w:val="5"/>
        <w:spacing w:line="276" w:lineRule="auto"/>
      </w:pPr>
      <w:r>
        <w:t xml:space="preserve">ר׳ </w:t>
      </w:r>
      <w:proofErr w:type="spellStart"/>
      <w:r>
        <w:t>אברהם־יצחק</w:t>
      </w:r>
      <w:proofErr w:type="spellEnd"/>
      <w:r>
        <w:t xml:space="preserve"> קוק שונה מן המקובל </w:t>
      </w:r>
      <w:proofErr w:type="spellStart"/>
      <w:r>
        <w:t>בוולוז׳ין</w:t>
      </w:r>
      <w:proofErr w:type="spellEnd"/>
      <w:r>
        <w:t xml:space="preserve"> מפני שבצדקותו אינו מקצר את זקנו – ר׳ דוד </w:t>
      </w:r>
      <w:proofErr w:type="spellStart"/>
      <w:r>
        <w:t>ליבוביץ</w:t>
      </w:r>
      <w:proofErr w:type="spellEnd"/>
      <w:r>
        <w:t xml:space="preserve">, שבא </w:t>
      </w:r>
      <w:proofErr w:type="spellStart"/>
      <w:r>
        <w:t>לסלבודקה</w:t>
      </w:r>
      <w:proofErr w:type="spellEnd"/>
      <w:r>
        <w:t xml:space="preserve"> בלא גילוח, נחשב לבעל תשובה – תלמידי </w:t>
      </w:r>
      <w:proofErr w:type="spellStart"/>
      <w:r>
        <w:t>סלבודקה</w:t>
      </w:r>
      <w:proofErr w:type="spellEnd"/>
      <w:r>
        <w:t xml:space="preserve"> מתלבשים בלבוש מודרני – כיצד השפיע לבושו של תלמיד על סיכוייו לשידוך – רבנו מתאר כיצד התגלחו התלמידים </w:t>
      </w:r>
      <w:proofErr w:type="spellStart"/>
      <w:r>
        <w:t>בסלבודקה</w:t>
      </w:r>
      <w:proofErr w:type="spellEnd"/>
    </w:p>
    <w:p w14:paraId="48DCE6FE" w14:textId="6A67C569" w:rsidR="00AB3647" w:rsidRDefault="00000000" w:rsidP="007923E9">
      <w:pPr>
        <w:spacing w:after="120" w:line="276" w:lineRule="auto"/>
        <w:ind w:firstLine="283"/>
        <w:jc w:val="both"/>
      </w:pPr>
      <w:r>
        <w:rPr>
          <w:rtl/>
        </w:rPr>
        <w:t xml:space="preserve">כבר בישיבת </w:t>
      </w:r>
      <w:proofErr w:type="spellStart"/>
      <w:r>
        <w:rPr>
          <w:rtl/>
        </w:rPr>
        <w:t>וולוז׳ין</w:t>
      </w:r>
      <w:proofErr w:type="spellEnd"/>
      <w:r>
        <w:rPr>
          <w:rtl/>
        </w:rPr>
        <w:t>, ובוודאי בעשור שקדם לסגירתה, היו התלמידים מקצרים את זקניהם</w:t>
      </w:r>
      <w:bookmarkStart w:id="6196" w:name="_fnr4637"/>
      <w:r>
        <w:rPr>
          <w:rStyle w:val="a5"/>
        </w:rPr>
        <w:footnoteReference w:id="4648" w:customMarkFollows="0"/>
      </w:r>
      <w:bookmarkEnd w:id="6196"/>
      <w:r>
        <w:rPr>
          <w:rtl/>
        </w:rPr>
        <w:t xml:space="preserve">. באמצע שנות </w:t>
      </w:r>
      <w:proofErr w:type="spellStart"/>
      <w:r>
        <w:rPr>
          <w:rtl/>
        </w:rPr>
        <w:t xml:space="preserve">התר״מ</w:t>
      </w:r>
      <w:proofErr w:type="spellEnd"/>
      <w:r>
        <w:rPr>
          <w:rtl/>
        </w:rPr>
        <w:t xml:space="preserve"> כבר היו גם כאלה שגילחו את זקנם לגמרי, והמנהג היה נפוץ כל כך </w:t>
      </w:r>
      <w:proofErr w:type="spellStart"/>
      <w:r>
        <w:rPr>
          <w:rtl/>
        </w:rPr>
        <w:t>שהנצי״ב</w:t>
      </w:r>
      <w:proofErr w:type="spellEnd"/>
      <w:r>
        <w:rPr>
          <w:rtl/>
        </w:rPr>
        <w:t xml:space="preserve"> היה בודק את לחיי הבחורים שנחשדו בשימוש בתער! ראה פרק 4, הפסקה השלישית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לפרטים נוספים על כך</w:t>
      </w:r>
      <w:bookmarkStart w:id="6197" w:name="_fnr4638"/>
      <w:r>
        <w:rPr>
          <w:rStyle w:val="a5"/>
        </w:rPr>
        <w:footnoteReference w:id="4649" w:customMarkFollows="0"/>
      </w:r>
      <w:bookmarkEnd w:id="6197"/>
      <w:r>
        <w:rPr>
          <w:rtl/>
        </w:rPr>
        <w:t>.</w:t>
      </w:r>
    </w:p>
    <w:p w14:paraId="5D96794F" w14:textId="77777777" w:rsidR="00AB3647" w:rsidRDefault="00000000" w:rsidP="007923E9">
      <w:pPr>
        <w:spacing w:after="120" w:line="276" w:lineRule="auto"/>
        <w:ind w:firstLine="283"/>
        <w:jc w:val="both"/>
      </w:pPr>
      <w:r>
        <w:rPr>
          <w:rtl/>
        </w:rPr>
        <w:t xml:space="preserve">ר׳ </w:t>
      </w:r>
      <w:proofErr w:type="spellStart"/>
      <w:r>
        <w:rPr>
          <w:rtl/>
        </w:rPr>
        <w:t>אברהם־יצחק</w:t>
      </w:r>
      <w:proofErr w:type="spellEnd"/>
      <w:r>
        <w:rPr>
          <w:rtl/>
        </w:rPr>
        <w:t xml:space="preserve"> קוק</w:t>
      </w:r>
      <w:bookmarkStart w:id="6198" w:name="_fnr4639"/>
      <w:r>
        <w:rPr>
          <w:rStyle w:val="a5"/>
        </w:rPr>
        <w:footnoteReference w:id="4650" w:customMarkFollows="0"/>
      </w:r>
      <w:bookmarkEnd w:id="6198"/>
      <w:r>
        <w:rPr>
          <w:rtl/>
        </w:rPr>
        <w:t xml:space="preserve"> היה חריג מפורסם למנהג קיצור הזקן, והמשנה לראש הישיבה, ר׳ חיים </w:t>
      </w:r>
      <w:proofErr w:type="spellStart"/>
      <w:r>
        <w:rPr>
          <w:rtl/>
        </w:rPr>
        <w:t>סולובייצ׳יק</w:t>
      </w:r>
      <w:proofErr w:type="spellEnd"/>
      <w:r>
        <w:rPr>
          <w:rtl/>
        </w:rPr>
        <w:t xml:space="preserve">, מתח עליו ביקורת על שהוא שונה מחבריו. לפי מסורת בבית </w:t>
      </w:r>
      <w:proofErr w:type="spellStart"/>
      <w:r>
        <w:rPr>
          <w:rtl/>
        </w:rPr>
        <w:t>סולובייצ׳יק</w:t>
      </w:r>
      <w:proofErr w:type="spellEnd"/>
      <w:r>
        <w:rPr>
          <w:rtl/>
        </w:rPr>
        <w:t xml:space="preserve"> בארץ ישראל, מסופר שר׳ חיים אמר לתלמידים “להיזהר מן הבחור </w:t>
      </w:r>
      <w:proofErr w:type="spellStart"/>
      <w:r>
        <w:rPr>
          <w:rtl/>
        </w:rPr>
        <w:t>הפרומער</w:t>
      </w:r>
      <w:proofErr w:type="spellEnd"/>
      <w:r>
        <w:rPr>
          <w:rtl/>
        </w:rPr>
        <w:t xml:space="preserve"> [האדוק] </w:t>
      </w:r>
      <w:proofErr w:type="spellStart"/>
      <w:r>
        <w:rPr>
          <w:rtl/>
        </w:rPr>
        <w:t>מגריבה</w:t>
      </w:r>
      <w:proofErr w:type="spellEnd"/>
      <w:r>
        <w:rPr>
          <w:rtl/>
        </w:rPr>
        <w:t>”</w:t>
      </w:r>
      <w:bookmarkStart w:id="6199" w:name="_fnr4640"/>
      <w:r>
        <w:rPr>
          <w:rStyle w:val="a5"/>
        </w:rPr>
        <w:footnoteReference w:id="4651" w:customMarkFollows="0"/>
      </w:r>
      <w:bookmarkEnd w:id="6199"/>
      <w:r>
        <w:rPr>
          <w:rtl/>
        </w:rPr>
        <w:t xml:space="preserve">. מסתבר שמה שהטריד את ר׳ חיים היה שהתנהגותו העצמאית של תלמיד זה – אדוקה ככל שתהיה – העידה שאינו רוצה להכפיף עצמו להדרכת הישיבה בשום תחום. מסתבר שר׳ </w:t>
      </w:r>
      <w:proofErr w:type="spellStart"/>
      <w:r>
        <w:rPr>
          <w:rtl/>
        </w:rPr>
        <w:t>אברהם־יצחק</w:t>
      </w:r>
      <w:proofErr w:type="spellEnd"/>
      <w:r>
        <w:rPr>
          <w:rtl/>
        </w:rPr>
        <w:t xml:space="preserve"> קוק נמנע מלסדר את זקנו מטעמים קבליים – ראה הערה 106 בפרק 4, על הצעתו שתלמידי ישיבות ילמדו זוהר.</w:t>
      </w:r>
    </w:p>
    <w:p w14:paraId="70B8C023" w14:textId="77777777" w:rsidR="00AB3647" w:rsidRDefault="00000000" w:rsidP="007923E9">
      <w:pPr>
        <w:spacing w:after="120" w:line="276" w:lineRule="auto"/>
        <w:ind w:firstLine="283"/>
        <w:jc w:val="both"/>
      </w:pPr>
      <w:r>
        <w:rPr>
          <w:rtl/>
        </w:rPr>
        <w:t xml:space="preserve">אגב, לפי דברי ר׳ ישראל </w:t>
      </w:r>
      <w:proofErr w:type="spellStart"/>
      <w:r>
        <w:rPr>
          <w:rtl/>
        </w:rPr>
        <w:t>שורין</w:t>
      </w:r>
      <w:bookmarkStart w:id="6200" w:name="_fnr4641"/>
      <w:proofErr w:type="spellEnd"/>
      <w:r>
        <w:rPr>
          <w:rStyle w:val="a5"/>
        </w:rPr>
        <w:footnoteReference w:id="4652" w:customMarkFollows="0"/>
      </w:r>
      <w:bookmarkEnd w:id="6200"/>
      <w:r>
        <w:rPr>
          <w:rtl/>
        </w:rPr>
        <w:t xml:space="preserve">, כינה אבי את ר׳ </w:t>
      </w:r>
      <w:proofErr w:type="spellStart"/>
      <w:r>
        <w:rPr>
          <w:rtl/>
        </w:rPr>
        <w:t>אברהם־יצחק</w:t>
      </w:r>
      <w:proofErr w:type="spellEnd"/>
      <w:r>
        <w:rPr>
          <w:rtl/>
        </w:rPr>
        <w:t xml:space="preserve"> קוק “גאון וצדיק”. </w:t>
      </w:r>
      <w:proofErr w:type="spellStart"/>
      <w:r>
        <w:rPr>
          <w:rtl/>
        </w:rPr>
        <w:t>ב“מורי</w:t>
      </w:r>
      <w:proofErr w:type="spellEnd"/>
      <w:r>
        <w:rPr>
          <w:rtl/>
        </w:rPr>
        <w:t xml:space="preserve"> האומה”, כרך ו</w:t>
      </w:r>
      <w:bookmarkStart w:id="6201" w:name="_fnr4642"/>
      <w:r>
        <w:rPr>
          <w:rStyle w:val="a5"/>
        </w:rPr>
        <w:footnoteReference w:id="4653" w:customMarkFollows="0"/>
      </w:r>
      <w:bookmarkEnd w:id="6201"/>
      <w:r>
        <w:rPr>
          <w:rtl/>
        </w:rPr>
        <w:t xml:space="preserve">, מביא ר׳ ישראל </w:t>
      </w:r>
      <w:proofErr w:type="spellStart"/>
      <w:r>
        <w:rPr>
          <w:rtl/>
        </w:rPr>
        <w:t>שורין</w:t>
      </w:r>
      <w:proofErr w:type="spellEnd"/>
      <w:r>
        <w:rPr>
          <w:rtl/>
        </w:rPr>
        <w:t xml:space="preserve"> אמרה שאמר ר׳ לייב חסמן</w:t>
      </w:r>
      <w:bookmarkStart w:id="6202" w:name="_fnr4643"/>
      <w:r>
        <w:rPr>
          <w:rStyle w:val="a5"/>
        </w:rPr>
        <w:footnoteReference w:id="4654" w:customMarkFollows="0"/>
      </w:r>
      <w:bookmarkEnd w:id="6202"/>
      <w:r>
        <w:rPr>
          <w:rtl/>
        </w:rPr>
        <w:t xml:space="preserve"> בהלוויית ר׳ </w:t>
      </w:r>
      <w:proofErr w:type="spellStart"/>
      <w:r>
        <w:rPr>
          <w:rtl/>
        </w:rPr>
        <w:t>אברהם־יצחק</w:t>
      </w:r>
      <w:proofErr w:type="spellEnd"/>
      <w:r>
        <w:rPr>
          <w:rtl/>
        </w:rPr>
        <w:t xml:space="preserve"> קוק בירושלים [חודשיים לפני פטירתו שלו], שבה השתתפו “כחמישים אלף אנשים”: “סמוך לקבר עמד רבי יהודה לייב חסמן, המשגיח של ישיבת חברון, פניו </w:t>
      </w:r>
      <w:proofErr w:type="spellStart"/>
      <w:r>
        <w:rPr>
          <w:rtl/>
        </w:rPr>
        <w:t>חורות</w:t>
      </w:r>
      <w:proofErr w:type="spellEnd"/>
      <w:r>
        <w:rPr>
          <w:rtl/>
        </w:rPr>
        <w:t xml:space="preserve"> כסיד וראשו מורד לארץ. </w:t>
      </w:r>
      <w:proofErr w:type="spellStart"/>
      <w:r>
        <w:rPr>
          <w:rtl/>
        </w:rPr>
        <w:t>פתאם</w:t>
      </w:r>
      <w:proofErr w:type="spellEnd"/>
      <w:r>
        <w:rPr>
          <w:rtl/>
        </w:rPr>
        <w:t xml:space="preserve"> הרים את ראשו ואמר לכל התלמידים אשר הקיפו אותו: ‘איר </w:t>
      </w:r>
      <w:proofErr w:type="spellStart"/>
      <w:r>
        <w:rPr>
          <w:rtl/>
        </w:rPr>
        <w:t>זעט</w:t>
      </w:r>
      <w:proofErr w:type="spellEnd"/>
      <w:r>
        <w:rPr>
          <w:rtl/>
        </w:rPr>
        <w:t xml:space="preserve"> די </w:t>
      </w:r>
      <w:proofErr w:type="spellStart"/>
      <w:r>
        <w:rPr>
          <w:rtl/>
        </w:rPr>
        <w:t>אלע</w:t>
      </w:r>
      <w:proofErr w:type="spellEnd"/>
      <w:r>
        <w:rPr>
          <w:rtl/>
        </w:rPr>
        <w:t xml:space="preserve"> </w:t>
      </w:r>
      <w:proofErr w:type="spellStart"/>
      <w:r>
        <w:rPr>
          <w:rtl/>
        </w:rPr>
        <w:t>קעפ</w:t>
      </w:r>
      <w:proofErr w:type="spellEnd"/>
      <w:r>
        <w:rPr>
          <w:rtl/>
        </w:rPr>
        <w:t xml:space="preserve"> </w:t>
      </w:r>
      <w:proofErr w:type="spellStart"/>
      <w:r>
        <w:rPr>
          <w:rtl/>
        </w:rPr>
        <w:t>וואס</w:t>
      </w:r>
      <w:proofErr w:type="spellEnd"/>
      <w:r>
        <w:rPr>
          <w:rtl/>
        </w:rPr>
        <w:t xml:space="preserve"> </w:t>
      </w:r>
      <w:proofErr w:type="spellStart"/>
      <w:r>
        <w:rPr>
          <w:rtl/>
        </w:rPr>
        <w:t>זיינען</w:t>
      </w:r>
      <w:proofErr w:type="spellEnd"/>
      <w:r>
        <w:rPr>
          <w:rtl/>
        </w:rPr>
        <w:t xml:space="preserve"> דא, </w:t>
      </w:r>
      <w:proofErr w:type="spellStart"/>
      <w:r>
        <w:rPr>
          <w:rtl/>
        </w:rPr>
        <w:t>אזא</w:t>
      </w:r>
      <w:proofErr w:type="spellEnd"/>
      <w:r>
        <w:rPr>
          <w:rtl/>
        </w:rPr>
        <w:t xml:space="preserve"> </w:t>
      </w:r>
      <w:proofErr w:type="spellStart"/>
      <w:r>
        <w:rPr>
          <w:rtl/>
        </w:rPr>
        <w:t>קאפ</w:t>
      </w:r>
      <w:proofErr w:type="spellEnd"/>
      <w:r>
        <w:rPr>
          <w:rtl/>
        </w:rPr>
        <w:t xml:space="preserve"> </w:t>
      </w:r>
      <w:proofErr w:type="spellStart"/>
      <w:r>
        <w:rPr>
          <w:rtl/>
        </w:rPr>
        <w:t>צונויפגענומען</w:t>
      </w:r>
      <w:proofErr w:type="spellEnd"/>
      <w:r>
        <w:rPr>
          <w:rtl/>
        </w:rPr>
        <w:t xml:space="preserve"> </w:t>
      </w:r>
      <w:proofErr w:type="spellStart"/>
      <w:r>
        <w:rPr>
          <w:rtl/>
        </w:rPr>
        <w:t>לייגט</w:t>
      </w:r>
      <w:proofErr w:type="spellEnd"/>
      <w:r>
        <w:rPr>
          <w:rtl/>
        </w:rPr>
        <w:t xml:space="preserve"> מען </w:t>
      </w:r>
      <w:proofErr w:type="spellStart"/>
      <w:r>
        <w:rPr>
          <w:rtl/>
        </w:rPr>
        <w:t>יעצט</w:t>
      </w:r>
      <w:proofErr w:type="spellEnd"/>
      <w:r>
        <w:rPr>
          <w:rtl/>
        </w:rPr>
        <w:t xml:space="preserve"> </w:t>
      </w:r>
      <w:proofErr w:type="spellStart"/>
      <w:r>
        <w:rPr>
          <w:rtl/>
        </w:rPr>
        <w:t>אריין</w:t>
      </w:r>
      <w:proofErr w:type="spellEnd"/>
      <w:r>
        <w:rPr>
          <w:rtl/>
        </w:rPr>
        <w:t xml:space="preserve"> אין קבר’ </w:t>
      </w:r>
      <w:r>
        <w:rPr>
          <w:rtl/>
        </w:rPr>
        <w:lastRenderedPageBreak/>
        <w:t xml:space="preserve">[הסתכלו והביטו, רואים אתם את כל הראשים – ראש שקול כנגד כל הראשים מורידים לקבר]”. ירושלמים מוסרים מפי ר׳ ראובן </w:t>
      </w:r>
      <w:proofErr w:type="spellStart"/>
      <w:r>
        <w:rPr>
          <w:rtl/>
        </w:rPr>
        <w:t>בנגיס</w:t>
      </w:r>
      <w:proofErr w:type="spellEnd"/>
      <w:r>
        <w:rPr>
          <w:rtl/>
        </w:rPr>
        <w:t xml:space="preserve">, שלמד </w:t>
      </w:r>
      <w:proofErr w:type="spellStart"/>
      <w:r>
        <w:rPr>
          <w:rtl/>
        </w:rPr>
        <w:t>בוולוז׳ין</w:t>
      </w:r>
      <w:proofErr w:type="spellEnd"/>
      <w:r>
        <w:rPr>
          <w:rtl/>
        </w:rPr>
        <w:t xml:space="preserve"> עם ר׳ </w:t>
      </w:r>
      <w:proofErr w:type="spellStart"/>
      <w:r>
        <w:rPr>
          <w:rtl/>
        </w:rPr>
        <w:t>אברהם־יצחק</w:t>
      </w:r>
      <w:proofErr w:type="spellEnd"/>
      <w:r>
        <w:rPr>
          <w:rtl/>
        </w:rPr>
        <w:t xml:space="preserve"> קוק, אמרה מעניינת: “</w:t>
      </w:r>
      <w:proofErr w:type="spellStart"/>
      <w:r>
        <w:rPr>
          <w:rtl/>
        </w:rPr>
        <w:t>בוולוז׳ין</w:t>
      </w:r>
      <w:proofErr w:type="spellEnd"/>
      <w:r>
        <w:rPr>
          <w:rtl/>
        </w:rPr>
        <w:t xml:space="preserve"> נודעתי כתלמיד החכם ור׳ </w:t>
      </w:r>
      <w:proofErr w:type="spellStart"/>
      <w:r>
        <w:rPr>
          <w:rtl/>
        </w:rPr>
        <w:t>אברהם־יצחק</w:t>
      </w:r>
      <w:proofErr w:type="spellEnd"/>
      <w:r>
        <w:rPr>
          <w:rtl/>
        </w:rPr>
        <w:t xml:space="preserve"> קוק נודע כצדיק; כשבאתי לירושלים נודעתי כצדיק והוא כתלמיד החכם”.</w:t>
      </w:r>
    </w:p>
    <w:p w14:paraId="7AAFE2E4" w14:textId="77777777" w:rsidR="00AB3647" w:rsidRDefault="00000000" w:rsidP="007923E9">
      <w:pPr>
        <w:spacing w:after="120" w:line="276" w:lineRule="auto"/>
        <w:ind w:firstLine="283"/>
        <w:jc w:val="both"/>
      </w:pPr>
      <w:r>
        <w:rPr>
          <w:rtl/>
        </w:rPr>
        <w:t xml:space="preserve">כוונתו הייתה שר׳ </w:t>
      </w:r>
      <w:proofErr w:type="spellStart"/>
      <w:r>
        <w:rPr>
          <w:rtl/>
        </w:rPr>
        <w:t>אברהם־יצחק</w:t>
      </w:r>
      <w:proofErr w:type="spellEnd"/>
      <w:r>
        <w:rPr>
          <w:rtl/>
        </w:rPr>
        <w:t xml:space="preserve"> קוק נעשה לבסוף שנוי במחלוקת בחוגי תורה מסוימים, וצדקותו הועמדה בספק; על למדנותו לא הייתה דרך לערער, תהא המדרגה שבה הוכרה </w:t>
      </w:r>
      <w:proofErr w:type="spellStart"/>
      <w:r>
        <w:rPr>
          <w:rtl/>
        </w:rPr>
        <w:t>בוולוז׳ין</w:t>
      </w:r>
      <w:proofErr w:type="spellEnd"/>
      <w:r>
        <w:rPr>
          <w:rtl/>
        </w:rPr>
        <w:t xml:space="preserve"> [נמוכה יחסית לצדקותו] אשר תהא. ואילו צדקותו של ר׳ ראובן </w:t>
      </w:r>
      <w:proofErr w:type="spellStart"/>
      <w:r>
        <w:rPr>
          <w:rtl/>
        </w:rPr>
        <w:t>בנגיס</w:t>
      </w:r>
      <w:proofErr w:type="spellEnd"/>
      <w:r>
        <w:rPr>
          <w:rtl/>
        </w:rPr>
        <w:t xml:space="preserve"> עצמו, אף שלא הייתה מופלגת במיוחד </w:t>
      </w:r>
      <w:proofErr w:type="spellStart"/>
      <w:r>
        <w:rPr>
          <w:rtl/>
        </w:rPr>
        <w:t>בוולוז׳ין</w:t>
      </w:r>
      <w:proofErr w:type="spellEnd"/>
      <w:r>
        <w:rPr>
          <w:rtl/>
        </w:rPr>
        <w:t xml:space="preserve"> [לפי ענוותנותו], לא נפגעה. ר׳ ראובן </w:t>
      </w:r>
      <w:proofErr w:type="spellStart"/>
      <w:r>
        <w:rPr>
          <w:rtl/>
        </w:rPr>
        <w:t>בנגיס</w:t>
      </w:r>
      <w:proofErr w:type="spellEnd"/>
      <w:r>
        <w:rPr>
          <w:rtl/>
        </w:rPr>
        <w:t xml:space="preserve"> בא לארץ ישראל שלוש שנים לאחר פטירת ר׳ </w:t>
      </w:r>
      <w:proofErr w:type="spellStart"/>
      <w:r>
        <w:rPr>
          <w:rtl/>
        </w:rPr>
        <w:t>אברהם־יצחק</w:t>
      </w:r>
      <w:proofErr w:type="spellEnd"/>
      <w:r>
        <w:rPr>
          <w:rtl/>
        </w:rPr>
        <w:t xml:space="preserve"> קוק.</w:t>
      </w:r>
    </w:p>
    <w:p w14:paraId="48A03F7C" w14:textId="77777777" w:rsidR="00AB3647" w:rsidRDefault="00000000" w:rsidP="007923E9">
      <w:pPr>
        <w:spacing w:after="120" w:line="276" w:lineRule="auto"/>
        <w:ind w:firstLine="283"/>
        <w:jc w:val="both"/>
      </w:pPr>
      <w:proofErr w:type="spellStart"/>
      <w:r>
        <w:rPr>
          <w:rtl/>
        </w:rPr>
        <w:t>בסלבודקה</w:t>
      </w:r>
      <w:proofErr w:type="spellEnd"/>
      <w:r>
        <w:rPr>
          <w:rtl/>
        </w:rPr>
        <w:t xml:space="preserve"> גילחו כמעט כל התלמידים את זקניהם</w:t>
      </w:r>
      <w:bookmarkStart w:id="6203" w:name="_fnr4644"/>
      <w:r>
        <w:rPr>
          <w:rStyle w:val="a5"/>
        </w:rPr>
        <w:footnoteReference w:id="4655" w:customMarkFollows="0"/>
      </w:r>
      <w:bookmarkEnd w:id="6203"/>
      <w:r>
        <w:rPr>
          <w:rtl/>
        </w:rPr>
        <w:t>; זה היה חלק מן המראה המודרני והמטופח שהישיבה עודדה</w:t>
      </w:r>
      <w:bookmarkStart w:id="6204" w:name="_fnr4645"/>
      <w:r>
        <w:rPr>
          <w:rStyle w:val="a5"/>
        </w:rPr>
        <w:footnoteReference w:id="4656" w:customMarkFollows="0"/>
      </w:r>
      <w:bookmarkEnd w:id="6204"/>
      <w:r>
        <w:rPr>
          <w:rtl/>
        </w:rPr>
        <w:t xml:space="preserve">. ר׳ דוד </w:t>
      </w:r>
      <w:proofErr w:type="spellStart"/>
      <w:r>
        <w:rPr>
          <w:rtl/>
        </w:rPr>
        <w:t>ליבוביץ</w:t>
      </w:r>
      <w:proofErr w:type="spellEnd"/>
      <w:r>
        <w:rPr>
          <w:rtl/>
        </w:rPr>
        <w:t xml:space="preserve">, שלמד עם אבי בישיבת </w:t>
      </w:r>
      <w:proofErr w:type="spellStart"/>
      <w:r>
        <w:rPr>
          <w:rtl/>
        </w:rPr>
        <w:t>סלבודקה</w:t>
      </w:r>
      <w:proofErr w:type="spellEnd"/>
      <w:r>
        <w:rPr>
          <w:rtl/>
        </w:rPr>
        <w:t xml:space="preserve"> ובכולל </w:t>
      </w:r>
      <w:proofErr w:type="spellStart"/>
      <w:r>
        <w:rPr>
          <w:rtl/>
        </w:rPr>
        <w:t>סלבודקה</w:t>
      </w:r>
      <w:bookmarkStart w:id="6205" w:name="_fnr4646"/>
      <w:proofErr w:type="spellEnd"/>
      <w:r>
        <w:rPr>
          <w:rStyle w:val="a5"/>
        </w:rPr>
        <w:footnoteReference w:id="4657" w:customMarkFollows="0"/>
      </w:r>
      <w:bookmarkEnd w:id="6205"/>
      <w:r>
        <w:rPr>
          <w:rtl/>
        </w:rPr>
        <w:t>, סיפר לתלמידיו באמריקה</w:t>
      </w:r>
      <w:bookmarkStart w:id="6206" w:name="_fnr4647"/>
      <w:r>
        <w:rPr>
          <w:rStyle w:val="a5"/>
        </w:rPr>
        <w:footnoteReference w:id="4658" w:customMarkFollows="0"/>
      </w:r>
      <w:bookmarkEnd w:id="6206"/>
      <w:r>
        <w:rPr>
          <w:rtl/>
        </w:rPr>
        <w:t xml:space="preserve"> מעשה שהיה. הוא בא </w:t>
      </w:r>
      <w:proofErr w:type="spellStart"/>
      <w:r>
        <w:rPr>
          <w:rtl/>
        </w:rPr>
        <w:t>לסלבודקה</w:t>
      </w:r>
      <w:proofErr w:type="spellEnd"/>
      <w:r>
        <w:rPr>
          <w:rtl/>
        </w:rPr>
        <w:t xml:space="preserve"> </w:t>
      </w:r>
      <w:proofErr w:type="spellStart"/>
      <w:r>
        <w:rPr>
          <w:rtl/>
        </w:rPr>
        <w:t>מראדין</w:t>
      </w:r>
      <w:proofErr w:type="spellEnd"/>
      <w:r>
        <w:rPr>
          <w:rtl/>
        </w:rPr>
        <w:t xml:space="preserve">, שם נהגו בדרך כלל לגדל זקן. שלושה ימים ישב בבית המדרש בלי שאיש יתייחס אליו, ואז ניגש אל הסבא להשמיע את טענתו. הסבא השיב: “באת ללמוד כאן? והרי כשראינו שאתה בעל זקן חשבנו שאתה בעל תשובה מברלין! אנשים כאלה באים הנה לעיתים קרובות לראות כיצד נראית ישיבה”. מסתבר שהסבא ידע היטב לשם מה בא ר׳ דוד לישיבה; ר׳ </w:t>
      </w:r>
      <w:proofErr w:type="spellStart"/>
      <w:r>
        <w:rPr>
          <w:rtl/>
        </w:rPr>
        <w:t>נתן־צבי</w:t>
      </w:r>
      <w:proofErr w:type="spellEnd"/>
      <w:r>
        <w:rPr>
          <w:rtl/>
        </w:rPr>
        <w:t xml:space="preserve"> </w:t>
      </w:r>
      <w:proofErr w:type="spellStart"/>
      <w:r>
        <w:rPr>
          <w:rtl/>
        </w:rPr>
        <w:t>פינקל</w:t>
      </w:r>
      <w:proofErr w:type="spellEnd"/>
      <w:r>
        <w:rPr>
          <w:rtl/>
        </w:rPr>
        <w:t xml:space="preserve"> רק רמז בכך שהוא רוצה שהתלמיד החדש יקצר את זקנו, כמו שאר התלמידים.</w:t>
      </w:r>
    </w:p>
    <w:p w14:paraId="46B05F39" w14:textId="77777777" w:rsidR="00AB3647" w:rsidRDefault="00000000" w:rsidP="007923E9">
      <w:pPr>
        <w:spacing w:after="120" w:line="276" w:lineRule="auto"/>
        <w:ind w:firstLine="283"/>
        <w:jc w:val="both"/>
      </w:pPr>
      <w:r>
        <w:rPr>
          <w:rtl/>
        </w:rPr>
        <w:t>מאמר מגמתי</w:t>
      </w:r>
      <w:bookmarkStart w:id="6207" w:name="_fnr4648"/>
      <w:r>
        <w:rPr>
          <w:rStyle w:val="a5"/>
        </w:rPr>
        <w:footnoteReference w:id="4659" w:customMarkFollows="0"/>
      </w:r>
      <w:bookmarkEnd w:id="6207"/>
      <w:r>
        <w:rPr>
          <w:rtl/>
        </w:rPr>
        <w:t xml:space="preserve"> מאת הרב טוביה בלוי, “</w:t>
      </w:r>
      <w:proofErr w:type="spellStart"/>
      <w:r>
        <w:rPr>
          <w:rtl/>
        </w:rPr>
        <w:t>נצחון</w:t>
      </w:r>
      <w:proofErr w:type="spellEnd"/>
      <w:r>
        <w:rPr>
          <w:rtl/>
        </w:rPr>
        <w:t xml:space="preserve"> </w:t>
      </w:r>
      <w:proofErr w:type="spellStart"/>
      <w:r>
        <w:rPr>
          <w:rtl/>
        </w:rPr>
        <w:t>הבעש״ט</w:t>
      </w:r>
      <w:proofErr w:type="spellEnd"/>
      <w:r>
        <w:rPr>
          <w:rtl/>
        </w:rPr>
        <w:t xml:space="preserve"> </w:t>
      </w:r>
      <w:proofErr w:type="spellStart"/>
      <w:r>
        <w:rPr>
          <w:rtl/>
        </w:rPr>
        <w:t>הק</w:t>
      </w:r>
      <w:proofErr w:type="spellEnd"/>
      <w:r>
        <w:rPr>
          <w:rtl/>
        </w:rPr>
        <w:t xml:space="preserve">׳”, מספר </w:t>
      </w:r>
      <w:proofErr w:type="spellStart"/>
      <w:r>
        <w:rPr>
          <w:rtl/>
        </w:rPr>
        <w:t>ש“אחד</w:t>
      </w:r>
      <w:proofErr w:type="spellEnd"/>
      <w:r>
        <w:rPr>
          <w:rtl/>
        </w:rPr>
        <w:t xml:space="preserve"> מזקני ירושלים” אמר למחבר שכאשר בא הסבא לארץ ישראל, הלכה משלחת בראשות ר׳ דוד </w:t>
      </w:r>
      <w:proofErr w:type="spellStart"/>
      <w:r>
        <w:rPr>
          <w:rtl/>
        </w:rPr>
        <w:t>בהר״ן</w:t>
      </w:r>
      <w:proofErr w:type="spellEnd"/>
      <w:r>
        <w:rPr>
          <w:rtl/>
        </w:rPr>
        <w:t xml:space="preserve"> להביע את מורת רוחה </w:t>
      </w:r>
      <w:proofErr w:type="spellStart"/>
      <w:r>
        <w:rPr>
          <w:rtl/>
        </w:rPr>
        <w:t>מ“קולות</w:t>
      </w:r>
      <w:proofErr w:type="spellEnd"/>
      <w:r>
        <w:rPr>
          <w:rtl/>
        </w:rPr>
        <w:t xml:space="preserve"> </w:t>
      </w:r>
      <w:proofErr w:type="spellStart"/>
      <w:r>
        <w:rPr>
          <w:rtl/>
        </w:rPr>
        <w:t>מסויימות</w:t>
      </w:r>
      <w:proofErr w:type="spellEnd"/>
      <w:r>
        <w:rPr>
          <w:rtl/>
        </w:rPr>
        <w:t xml:space="preserve">” שנהגו בחורי </w:t>
      </w:r>
      <w:proofErr w:type="spellStart"/>
      <w:r>
        <w:rPr>
          <w:rtl/>
        </w:rPr>
        <w:t>סלבודקה</w:t>
      </w:r>
      <w:proofErr w:type="spellEnd"/>
      <w:r>
        <w:rPr>
          <w:rtl/>
        </w:rPr>
        <w:t xml:space="preserve"> – מסתבר שהכוונה ללבושם ולמראם המודרני. הסבא השיב בשאלה: “וכסטודנטים [חילונים] אתם אוהבים את מראם?” אם חילופי הדברים נאמנים למציאות, רמז הסבא בחריפותו כך: מאבקה של היהדות המסורתית באותה עת היה למנוע מצעיריה לעבור לעולם האוניברסיטאות, ולכן הלבוש והטיפוח המודרניים של תלמידי ישיבתו היו מדי הקרב של צבאו.</w:t>
      </w:r>
    </w:p>
    <w:p w14:paraId="7741EC1D" w14:textId="77777777" w:rsidR="00AB3647" w:rsidRDefault="00000000" w:rsidP="007923E9">
      <w:pPr>
        <w:spacing w:after="120" w:line="276" w:lineRule="auto"/>
        <w:ind w:firstLine="283"/>
        <w:jc w:val="both"/>
      </w:pPr>
      <w:r>
        <w:rPr>
          <w:rtl/>
        </w:rPr>
        <w:t xml:space="preserve">אכן היו ביישוב הישן שהסתייגו מלבושם של תלמידי הישיבה שזה מקרוב באו, אבל מסופר שר׳ </w:t>
      </w:r>
      <w:proofErr w:type="spellStart"/>
      <w:r>
        <w:rPr>
          <w:rtl/>
        </w:rPr>
        <w:t>יוסף־חיים</w:t>
      </w:r>
      <w:proofErr w:type="spellEnd"/>
      <w:r>
        <w:rPr>
          <w:rtl/>
        </w:rPr>
        <w:t xml:space="preserve"> </w:t>
      </w:r>
      <w:proofErr w:type="spellStart"/>
      <w:r>
        <w:rPr>
          <w:rtl/>
        </w:rPr>
        <w:t>זוננפלד</w:t>
      </w:r>
      <w:proofErr w:type="spellEnd"/>
      <w:r>
        <w:rPr>
          <w:rtl/>
        </w:rPr>
        <w:t xml:space="preserve"> (תר״ט–תרצ״ב), רבה של ירושלים, השתיק את המבקרים באמרו: “הניחו להם: הם שיביאו את המשיח”. ייתכן שהתכוון לאותו רעיון שהביע ר׳ </w:t>
      </w:r>
      <w:proofErr w:type="spellStart"/>
      <w:r>
        <w:rPr>
          <w:rtl/>
        </w:rPr>
        <w:t>נתן־צבי</w:t>
      </w:r>
      <w:proofErr w:type="spellEnd"/>
      <w:r>
        <w:rPr>
          <w:rtl/>
        </w:rPr>
        <w:t xml:space="preserve"> </w:t>
      </w:r>
      <w:proofErr w:type="spellStart"/>
      <w:r>
        <w:rPr>
          <w:rtl/>
        </w:rPr>
        <w:t>פינקל</w:t>
      </w:r>
      <w:proofErr w:type="spellEnd"/>
      <w:r>
        <w:rPr>
          <w:rtl/>
        </w:rPr>
        <w:t xml:space="preserve"> בפני ר׳ דוד </w:t>
      </w:r>
      <w:proofErr w:type="spellStart"/>
      <w:r>
        <w:rPr>
          <w:rtl/>
        </w:rPr>
        <w:t>בהר״ן</w:t>
      </w:r>
      <w:proofErr w:type="spellEnd"/>
      <w:r>
        <w:rPr>
          <w:rtl/>
        </w:rPr>
        <w:t>.</w:t>
      </w:r>
    </w:p>
    <w:p w14:paraId="370C0FA5" w14:textId="77777777" w:rsidR="00AB3647" w:rsidRDefault="00000000" w:rsidP="007923E9">
      <w:pPr>
        <w:spacing w:after="120" w:line="276" w:lineRule="auto"/>
        <w:ind w:firstLine="283"/>
        <w:jc w:val="both"/>
      </w:pPr>
      <w:r>
        <w:rPr>
          <w:rtl/>
        </w:rPr>
        <w:t xml:space="preserve">להפתעת רבים שלח הרב </w:t>
      </w:r>
      <w:proofErr w:type="spellStart"/>
      <w:r>
        <w:rPr>
          <w:rtl/>
        </w:rPr>
        <w:t>זוננפלד</w:t>
      </w:r>
      <w:proofErr w:type="spellEnd"/>
      <w:r>
        <w:rPr>
          <w:rtl/>
        </w:rPr>
        <w:t xml:space="preserve"> את נכדיו שלו ללמוד בישיבת </w:t>
      </w:r>
      <w:proofErr w:type="spellStart"/>
      <w:r>
        <w:rPr>
          <w:rtl/>
        </w:rPr>
        <w:t>סלבודקה</w:t>
      </w:r>
      <w:proofErr w:type="spellEnd"/>
      <w:r>
        <w:rPr>
          <w:rtl/>
        </w:rPr>
        <w:t xml:space="preserve"> בחברון. ר׳ חיים </w:t>
      </w:r>
      <w:proofErr w:type="spellStart"/>
      <w:r>
        <w:rPr>
          <w:rtl/>
        </w:rPr>
        <w:t>סרנא</w:t>
      </w:r>
      <w:proofErr w:type="spellEnd"/>
      <w:r>
        <w:rPr>
          <w:rtl/>
        </w:rPr>
        <w:t xml:space="preserve"> סיפר</w:t>
      </w:r>
      <w:bookmarkStart w:id="6208" w:name="_fnr4649"/>
      <w:r>
        <w:rPr>
          <w:rStyle w:val="a5"/>
        </w:rPr>
        <w:footnoteReference w:id="4660" w:customMarkFollows="0"/>
      </w:r>
      <w:bookmarkEnd w:id="6208"/>
      <w:r>
        <w:rPr>
          <w:rtl/>
        </w:rPr>
        <w:t xml:space="preserve"> שר׳ </w:t>
      </w:r>
      <w:proofErr w:type="spellStart"/>
      <w:r>
        <w:rPr>
          <w:rtl/>
        </w:rPr>
        <w:t>יוסף־חיים</w:t>
      </w:r>
      <w:proofErr w:type="spellEnd"/>
      <w:r>
        <w:rPr>
          <w:rtl/>
        </w:rPr>
        <w:t xml:space="preserve"> אמר את הדברים על המשיח לא על התלמידים, אלא על הסבא </w:t>
      </w:r>
      <w:r>
        <w:rPr>
          <w:rtl/>
        </w:rPr>
        <w:lastRenderedPageBreak/>
        <w:t xml:space="preserve">עצמו. באותו ריאיון סיפר ר׳ חיים </w:t>
      </w:r>
      <w:proofErr w:type="spellStart"/>
      <w:r>
        <w:rPr>
          <w:rtl/>
        </w:rPr>
        <w:t>סרנא</w:t>
      </w:r>
      <w:proofErr w:type="spellEnd"/>
      <w:r>
        <w:rPr>
          <w:rtl/>
        </w:rPr>
        <w:t xml:space="preserve">: “הסבא חזר ואמר לאבי ר׳ </w:t>
      </w:r>
      <w:proofErr w:type="spellStart"/>
      <w:r>
        <w:rPr>
          <w:rtl/>
        </w:rPr>
        <w:t>חצקל</w:t>
      </w:r>
      <w:proofErr w:type="spellEnd"/>
      <w:r>
        <w:rPr>
          <w:rtl/>
        </w:rPr>
        <w:t xml:space="preserve"> </w:t>
      </w:r>
      <w:proofErr w:type="spellStart"/>
      <w:r>
        <w:rPr>
          <w:rtl/>
        </w:rPr>
        <w:t>סרנא</w:t>
      </w:r>
      <w:proofErr w:type="spellEnd"/>
      <w:r>
        <w:rPr>
          <w:rtl/>
        </w:rPr>
        <w:t xml:space="preserve"> להעביר את הישיבה מחברון, ואמר: ‘אינני יודע אם האבות מרוצים מהנהגתנו’. כשהיה הסבא חולה בירושלים [כמעט שלוש שנים לפני הטבח בחברון], שאל שוב את ר׳ </w:t>
      </w:r>
      <w:proofErr w:type="spellStart"/>
      <w:r>
        <w:rPr>
          <w:rtl/>
        </w:rPr>
        <w:t>חצקל</w:t>
      </w:r>
      <w:proofErr w:type="spellEnd"/>
      <w:r>
        <w:rPr>
          <w:rtl/>
        </w:rPr>
        <w:t xml:space="preserve"> מדוע אין הישיבה יוצאת מחברון. כשהשיב [הלה]: ‘מען </w:t>
      </w:r>
      <w:proofErr w:type="spellStart"/>
      <w:r>
        <w:rPr>
          <w:rtl/>
        </w:rPr>
        <w:t>קען</w:t>
      </w:r>
      <w:proofErr w:type="spellEnd"/>
      <w:r>
        <w:rPr>
          <w:rtl/>
        </w:rPr>
        <w:t xml:space="preserve"> ניט [אין אנו יכולים]’, השיב הסבא: ‘מען </w:t>
      </w:r>
      <w:proofErr w:type="spellStart"/>
      <w:r>
        <w:rPr>
          <w:rtl/>
        </w:rPr>
        <w:t>קען</w:t>
      </w:r>
      <w:proofErr w:type="spellEnd"/>
      <w:r>
        <w:rPr>
          <w:rtl/>
        </w:rPr>
        <w:t xml:space="preserve"> ניט?! </w:t>
      </w:r>
      <w:proofErr w:type="spellStart"/>
      <w:r>
        <w:rPr>
          <w:rtl/>
        </w:rPr>
        <w:t>זאג</w:t>
      </w:r>
      <w:proofErr w:type="spellEnd"/>
      <w:r>
        <w:rPr>
          <w:rtl/>
        </w:rPr>
        <w:t xml:space="preserve"> אז מען וויל ניט [אין אתם יכולים?! אמור שאין אתם רוצים]’”. לא ברור איזו “הנהגה” של ישיבת </w:t>
      </w:r>
      <w:proofErr w:type="spellStart"/>
      <w:r>
        <w:rPr>
          <w:rtl/>
        </w:rPr>
        <w:t>סלבודקה</w:t>
      </w:r>
      <w:proofErr w:type="spellEnd"/>
      <w:r>
        <w:rPr>
          <w:rtl/>
        </w:rPr>
        <w:t xml:space="preserve"> העיקה על מצפונו של הסבא; אבל ודאי לא היה זה סגנון לבושם וטיפוחם של הבחורים.</w:t>
      </w:r>
    </w:p>
    <w:p w14:paraId="64C0F133" w14:textId="77777777" w:rsidR="00AB3647" w:rsidRDefault="00000000" w:rsidP="007923E9">
      <w:pPr>
        <w:spacing w:after="120" w:line="276" w:lineRule="auto"/>
        <w:ind w:firstLine="283"/>
        <w:jc w:val="both"/>
      </w:pPr>
      <w:r>
        <w:rPr>
          <w:rtl/>
        </w:rPr>
        <w:t xml:space="preserve">על המראה הנדרש מתלמיד </w:t>
      </w:r>
      <w:proofErr w:type="spellStart"/>
      <w:r>
        <w:rPr>
          <w:rtl/>
        </w:rPr>
        <w:t>סלבודקה</w:t>
      </w:r>
      <w:proofErr w:type="spellEnd"/>
      <w:r>
        <w:rPr>
          <w:rtl/>
        </w:rPr>
        <w:t xml:space="preserve"> סיפר אבי סיפור משעשע</w:t>
      </w:r>
      <w:bookmarkStart w:id="6209" w:name="_fnr4650"/>
      <w:r>
        <w:rPr>
          <w:rStyle w:val="a5"/>
        </w:rPr>
        <w:footnoteReference w:id="4661" w:customMarkFollows="0"/>
      </w:r>
      <w:bookmarkEnd w:id="6209"/>
      <w:r>
        <w:rPr>
          <w:rtl/>
        </w:rPr>
        <w:t xml:space="preserve">: אדם עשיר בא </w:t>
      </w:r>
      <w:proofErr w:type="spellStart"/>
      <w:r>
        <w:rPr>
          <w:rtl/>
        </w:rPr>
        <w:t>לסלבודקה</w:t>
      </w:r>
      <w:proofErr w:type="spellEnd"/>
      <w:r>
        <w:rPr>
          <w:rtl/>
        </w:rPr>
        <w:t xml:space="preserve"> וביקש מר׳ </w:t>
      </w:r>
      <w:proofErr w:type="spellStart"/>
      <w:r>
        <w:rPr>
          <w:rtl/>
        </w:rPr>
        <w:t>משה־מרדכי</w:t>
      </w:r>
      <w:proofErr w:type="spellEnd"/>
      <w:r>
        <w:rPr>
          <w:rtl/>
        </w:rPr>
        <w:t xml:space="preserve"> להמליץ לו על חתן לבתו, שבו יתמוך לאחר החתונה. ראש הישיבה אמר לאורח להישאר בישיבה בסדר הבוקר ולעקוב אחר בחור מסוים שהצביע עליו. האורח ראה את הצעיר לומד בשקידה, ותלמידים אחרים באים אליו לבקש עזרה, והתרשם. לפני מנחה ניגש אל ראש הישיבה והביע נכונות להתקדם בשידוך. אבל אחרי מנחה כבר חזר בו: הוא אמר </w:t>
      </w:r>
      <w:proofErr w:type="spellStart"/>
      <w:r>
        <w:rPr>
          <w:rtl/>
        </w:rPr>
        <w:t>לר</w:t>
      </w:r>
      <w:proofErr w:type="spellEnd"/>
      <w:r>
        <w:rPr>
          <w:rtl/>
        </w:rPr>
        <w:t xml:space="preserve">׳ </w:t>
      </w:r>
      <w:proofErr w:type="spellStart"/>
      <w:r>
        <w:rPr>
          <w:rtl/>
        </w:rPr>
        <w:t>משה־מרדכי</w:t>
      </w:r>
      <w:proofErr w:type="spellEnd"/>
      <w:r>
        <w:rPr>
          <w:rtl/>
        </w:rPr>
        <w:t xml:space="preserve"> שהבחור חגר </w:t>
      </w:r>
      <w:proofErr w:type="spellStart"/>
      <w:r>
        <w:rPr>
          <w:rtl/>
        </w:rPr>
        <w:t>גארטל</w:t>
      </w:r>
      <w:proofErr w:type="spellEnd"/>
      <w:r>
        <w:rPr>
          <w:rtl/>
        </w:rPr>
        <w:t xml:space="preserve"> לתפילה. כשהבטיח לו ראש הישיבה שהצעיר אינו חסיד, טען האורח: “אבל בהתנהגות כזאת הוא עלול להוליד בן שיהיה חסיד”.</w:t>
      </w:r>
    </w:p>
    <w:p w14:paraId="58F21D93" w14:textId="77777777" w:rsidR="00AB3647" w:rsidRDefault="00000000" w:rsidP="007923E9">
      <w:pPr>
        <w:spacing w:after="120" w:line="276" w:lineRule="auto"/>
        <w:ind w:firstLine="283"/>
        <w:jc w:val="both"/>
      </w:pPr>
      <w:r>
        <w:rPr>
          <w:rtl/>
        </w:rPr>
        <w:t xml:space="preserve">כשנשאל אבי באמריקה על היתר השימוש במכונת גילוח חשמלית, אמר </w:t>
      </w:r>
      <w:proofErr w:type="spellStart"/>
      <w:r>
        <w:rPr>
          <w:rtl/>
        </w:rPr>
        <w:t>שבסלבודקה</w:t>
      </w:r>
      <w:proofErr w:type="spellEnd"/>
      <w:r>
        <w:rPr>
          <w:rtl/>
        </w:rPr>
        <w:t xml:space="preserve"> השתמשו במכונות תספורת שהשאירו זיפים קצרים על הפנים</w:t>
      </w:r>
      <w:bookmarkStart w:id="6210" w:name="_fnr4651"/>
      <w:r>
        <w:rPr>
          <w:rStyle w:val="a5"/>
        </w:rPr>
        <w:footnoteReference w:id="4662" w:customMarkFollows="0"/>
      </w:r>
      <w:bookmarkEnd w:id="6210"/>
      <w:r>
        <w:rPr>
          <w:rtl/>
        </w:rPr>
        <w:t>. אבי מעולם לא פסק שהשימוש במכונת גילוח חשמלית מותר בהלכה.</w:t>
      </w:r>
    </w:p>
    <w:bookmarkStart w:id="6211" w:name="b5_excB"/>
    <w:p w14:paraId="5B656765" w14:textId="77777777" w:rsidR="00AB3647" w:rsidRDefault="00000000" w:rsidP="007923E9">
      <w:pPr>
        <w:pStyle w:val="3"/>
        <w:spacing w:line="276" w:lineRule="auto"/>
      </w:pPr>
      <w:r>
        <w:lastRenderedPageBreak/>
        <w:fldChar w:fldCharType="begin" w:dirty="true"/>
      </w:r>
      <w:r>
        <w:rPr>
          <w:rtl w:val="0"/>
        </w:rPr>
        <w:instrText>HYPERLINK \l "b5_note2</w:instrText>
      </w:r>
      <w:r>
        <w:instrText>"</w:instrText>
      </w:r>
      <w:r>
        <w:fldChar w:fldCharType="separate"/>
      </w:r>
      <w:r>
        <w:t>נספח ב</w:t>
      </w:r>
      <w:r>
        <w:fldChar w:fldCharType="end"/>
      </w:r>
      <w:bookmarkEnd w:id="6211"/>
    </w:p>
    <w:p w14:paraId="5C3C631C" w14:textId="77777777" w:rsidR="00AB3647" w:rsidRDefault="00000000" w:rsidP="007923E9">
      <w:pPr>
        <w:pStyle w:val="af"/>
        <w:spacing w:line="276" w:lineRule="auto"/>
      </w:pPr>
      <w:r>
        <w:t xml:space="preserve">על מאמצו השכלי של ר׳ ישראל </w:t>
      </w:r>
      <w:proofErr w:type="spellStart"/>
      <w:r>
        <w:t>סלנטר</w:t>
      </w:r>
      <w:proofErr w:type="spellEnd"/>
      <w:r>
        <w:t>, על פסקו המדהים להצלת חייו ועל מורת רוחו מדרכו להרוויח את לחמו</w:t>
      </w:r>
    </w:p>
    <w:p w14:paraId="13B305B6" w14:textId="77777777" w:rsidR="00AB3647" w:rsidRDefault="00000000" w:rsidP="007923E9">
      <w:pPr>
        <w:pStyle w:val="4"/>
        <w:spacing w:line="276" w:lineRule="auto"/>
      </w:pPr>
      <w:r>
        <w:t>· הפסקה הראשונה ·</w:t>
      </w:r>
    </w:p>
    <w:p w14:paraId="55EED71B" w14:textId="77777777" w:rsidR="00AB3647" w:rsidRDefault="00000000" w:rsidP="007923E9">
      <w:pPr>
        <w:pStyle w:val="5"/>
        <w:spacing w:line="276" w:lineRule="auto"/>
      </w:pPr>
      <w:r>
        <w:t xml:space="preserve">הרגל העישון והכישלון בשליטה עצמית – פרשת העישון של רבנו </w:t>
      </w:r>
      <w:proofErr w:type="spellStart"/>
      <w:r>
        <w:t>בציטוביאן</w:t>
      </w:r>
      <w:proofErr w:type="spellEnd"/>
      <w:r>
        <w:t xml:space="preserve"> – חזרה להרגל והתגברות עליו בתורה ודעת – הפרידה הסופית מן הסיגריות – דעתו המאוחרת על העישון – הצהרת רבנו מדוע עלה עליו ר׳ אהרן קוטלר בלימוד – ההשתמטות המוצלחת מגיוס לצבא הצאר – מה הביא את ר׳ </w:t>
      </w:r>
      <w:proofErr w:type="spellStart"/>
      <w:r>
        <w:t>שלמה־זלמן</w:t>
      </w:r>
      <w:proofErr w:type="spellEnd"/>
      <w:r>
        <w:t xml:space="preserve"> </w:t>
      </w:r>
      <w:proofErr w:type="spellStart"/>
      <w:r>
        <w:t xml:space="preserve">אוירבך</w:t>
      </w:r>
      <w:proofErr w:type="spellEnd"/>
      <w:r>
        <w:t xml:space="preserve"> להפסיק לעשן – גרסה נוספת להסבר רבנו מדוע עלה עליו ר׳ אהרן קוטלר</w:t>
      </w:r>
    </w:p>
    <w:p w14:paraId="46BF054B" w14:textId="77777777" w:rsidR="00AB3647" w:rsidRDefault="00000000" w:rsidP="007923E9">
      <w:pPr>
        <w:spacing w:after="120" w:line="276" w:lineRule="auto"/>
        <w:ind w:firstLine="283"/>
        <w:jc w:val="both"/>
      </w:pPr>
      <w:r>
        <w:rPr>
          <w:rtl/>
        </w:rPr>
        <w:t xml:space="preserve">ר׳ דוד </w:t>
      </w:r>
      <w:proofErr w:type="spellStart"/>
      <w:r>
        <w:rPr>
          <w:rtl/>
        </w:rPr>
        <w:t>צימט</w:t>
      </w:r>
      <w:bookmarkStart w:id="6212" w:name="_fnr4652"/>
      <w:proofErr w:type="spellEnd"/>
      <w:r>
        <w:rPr>
          <w:rStyle w:val="a5"/>
        </w:rPr>
        <w:footnoteReference w:id="4663" w:customMarkFollows="0"/>
      </w:r>
      <w:bookmarkEnd w:id="6212"/>
      <w:r>
        <w:rPr>
          <w:rtl/>
        </w:rPr>
        <w:t>, תלמיד מתיבתא תורה ודעת (תש״ד–תש״ח), סיפר שבאחת משיחותיו השבועיות</w:t>
      </w:r>
      <w:bookmarkStart w:id="6213" w:name="_fnr4653"/>
      <w:r>
        <w:rPr>
          <w:rStyle w:val="a5"/>
        </w:rPr>
        <w:footnoteReference w:id="4664" w:customMarkFollows="0"/>
      </w:r>
      <w:bookmarkEnd w:id="6213"/>
      <w:r>
        <w:rPr>
          <w:rtl/>
        </w:rPr>
        <w:t xml:space="preserve"> דיבר רבנו על שליטה עצמית, וסיפר מדוע הפסיק לעשן בצעירותו: פעם אזלו הסיגריות שלו, וביקש אבי מן השמש הגוי שלו לגלגל לו סיגריה מטבק </w:t>
      </w:r>
      <w:proofErr w:type="spellStart"/>
      <w:r>
        <w:rPr>
          <w:rtl/>
        </w:rPr>
        <w:t>המחורקה</w:t>
      </w:r>
      <w:proofErr w:type="spellEnd"/>
      <w:r>
        <w:rPr>
          <w:rtl/>
        </w:rPr>
        <w:t xml:space="preserve"> הזול שלו. כשבחן אחר כך לאיזו שפלות הביאה אותו תשוקתו לטבק, הפסיק רבנו לעשן</w:t>
      </w:r>
      <w:bookmarkStart w:id="6214" w:name="_fnr4654"/>
      <w:r>
        <w:rPr>
          <w:rStyle w:val="a5"/>
        </w:rPr>
        <w:footnoteReference w:id="4665" w:customMarkFollows="0"/>
      </w:r>
      <w:bookmarkEnd w:id="6214"/>
      <w:r>
        <w:rPr>
          <w:rtl/>
        </w:rPr>
        <w:t>.</w:t>
      </w:r>
    </w:p>
    <w:p w14:paraId="293AE9F6" w14:textId="77777777" w:rsidR="00AB3647" w:rsidRDefault="00000000" w:rsidP="007923E9">
      <w:pPr>
        <w:spacing w:after="120" w:line="276" w:lineRule="auto"/>
        <w:ind w:firstLine="283"/>
        <w:jc w:val="both"/>
      </w:pPr>
      <w:bookmarkStart w:id="6215" w:name="pr_b_2619"/>
      <w:bookmarkEnd w:id="6215"/>
      <w:r>
        <w:rPr>
          <w:rtl/>
        </w:rPr>
        <w:t xml:space="preserve">אבל פרידתו מן ההרגל הייתה זמנית. לא ברור מתי שב לעשן, אבל כשגר </w:t>
      </w:r>
      <w:proofErr w:type="spellStart"/>
      <w:r>
        <w:rPr>
          <w:rtl/>
        </w:rPr>
        <w:t>בציטוביאן</w:t>
      </w:r>
      <w:proofErr w:type="spellEnd"/>
      <w:r>
        <w:rPr>
          <w:rtl/>
        </w:rPr>
        <w:t xml:space="preserve">, שבה התחיל לכהן כרב </w:t>
      </w:r>
      <w:proofErr w:type="spellStart"/>
      <w:r>
        <w:rPr>
          <w:rtl/>
        </w:rPr>
        <w:t>בתרפ״ו</w:t>
      </w:r>
      <w:proofErr w:type="spellEnd"/>
      <w:r>
        <w:rPr>
          <w:rtl/>
        </w:rPr>
        <w:t xml:space="preserve">, כבר היה שוב מכור. המעבר מאברך כולל למנהיג רוחני האחראי לשלומה של עיירה שלמה, אף כי קטנה, עשוי היה להפעיל עליו לחץ שהעישון הקל עליו. ר׳ </w:t>
      </w:r>
      <w:proofErr w:type="spellStart"/>
      <w:r>
        <w:rPr>
          <w:rtl/>
        </w:rPr>
        <w:t>יאשה־לייזר</w:t>
      </w:r>
      <w:proofErr w:type="spellEnd"/>
      <w:r>
        <w:rPr>
          <w:rtl/>
        </w:rPr>
        <w:t xml:space="preserve"> </w:t>
      </w:r>
      <w:proofErr w:type="spellStart"/>
      <w:r>
        <w:rPr>
          <w:rtl/>
        </w:rPr>
        <w:t>סנסוליס</w:t>
      </w:r>
      <w:proofErr w:type="spellEnd"/>
      <w:r>
        <w:rPr>
          <w:rtl/>
        </w:rPr>
        <w:t xml:space="preserve">, יליד </w:t>
      </w:r>
      <w:proofErr w:type="spellStart"/>
      <w:r>
        <w:rPr>
          <w:rtl/>
        </w:rPr>
        <w:t>ציטוביאן</w:t>
      </w:r>
      <w:bookmarkStart w:id="6216" w:name="_fnr4655"/>
      <w:proofErr w:type="spellEnd"/>
      <w:r>
        <w:rPr>
          <w:rStyle w:val="a5"/>
        </w:rPr>
        <w:footnoteReference w:id="4666" w:customMarkFollows="0"/>
      </w:r>
      <w:bookmarkEnd w:id="6216"/>
      <w:r>
        <w:rPr>
          <w:rtl/>
        </w:rPr>
        <w:t>, זכר</w:t>
      </w:r>
      <w:bookmarkStart w:id="6217" w:name="_fnr4656"/>
      <w:r>
        <w:rPr>
          <w:rStyle w:val="a5"/>
        </w:rPr>
        <w:footnoteReference w:id="4667" w:customMarkFollows="0"/>
      </w:r>
      <w:bookmarkEnd w:id="6217"/>
      <w:r>
        <w:rPr>
          <w:rtl/>
        </w:rPr>
        <w:t xml:space="preserve"> שבעיירה סיפרו שאבי עשה שני דברים כהכנה לשבת: קילף פתיתים מחפיסת סבון כדי להמיסם לשימוש בשבת, ומילא בקבוק בעשן סיגריות כדי שיוכל לשאוף ממנו בשבת!</w:t>
      </w:r>
    </w:p>
    <w:p w14:paraId="542E426E" w14:textId="77777777" w:rsidR="00AB3647" w:rsidRDefault="00000000" w:rsidP="007923E9">
      <w:pPr>
        <w:spacing w:after="120" w:line="276" w:lineRule="auto"/>
        <w:ind w:firstLine="283"/>
        <w:jc w:val="both"/>
      </w:pPr>
      <w:bookmarkStart w:id="6218" w:name="pr_close_b_4120"/>
      <w:bookmarkEnd w:id="6218"/>
      <w:r>
        <w:rPr>
          <w:rtl/>
        </w:rPr>
        <w:t xml:space="preserve">מתי הפסיק אבי שוב לעשן נודע מפי ר׳ פרץ </w:t>
      </w:r>
      <w:proofErr w:type="spellStart"/>
      <w:r>
        <w:rPr>
          <w:rtl/>
        </w:rPr>
        <w:t>פוזן</w:t>
      </w:r>
      <w:bookmarkStart w:id="6219" w:name="_fnr4657"/>
      <w:proofErr w:type="spellEnd"/>
      <w:r>
        <w:rPr>
          <w:rStyle w:val="a5"/>
        </w:rPr>
        <w:footnoteReference w:id="4668" w:customMarkFollows="0"/>
      </w:r>
      <w:bookmarkEnd w:id="6219"/>
      <w:r>
        <w:rPr>
          <w:rtl/>
        </w:rPr>
        <w:t xml:space="preserve">, שסיפר: “בחתונתי בטורונטו, באב תש״ו, היה צורך באפר </w:t>
      </w:r>
      <w:proofErr w:type="spellStart"/>
      <w:r>
        <w:rPr>
          <w:rtl/>
        </w:rPr>
        <w:t>ל“אפר</w:t>
      </w:r>
      <w:proofErr w:type="spellEnd"/>
      <w:r>
        <w:rPr>
          <w:rtl/>
        </w:rPr>
        <w:t xml:space="preserve"> מקלה”</w:t>
      </w:r>
      <w:bookmarkStart w:id="6220" w:name="_fnr4658"/>
      <w:r>
        <w:rPr>
          <w:rStyle w:val="a5"/>
        </w:rPr>
        <w:footnoteReference w:id="4669" w:customMarkFollows="0"/>
      </w:r>
      <w:bookmarkEnd w:id="6220"/>
      <w:r>
        <w:rPr>
          <w:rtl/>
        </w:rPr>
        <w:t xml:space="preserve">, והרב” – רבנו – “אמר: ‘אני יכול להדליק סיגריה [כדי ליצור אפר] בלי חשש שאשוב להתמכר’. הרב” – רבנו – “המשיך וסיפר: ‘ביום שישי ארוך של קיץ </w:t>
      </w:r>
      <w:proofErr w:type="spellStart"/>
      <w:r>
        <w:rPr>
          <w:rtl/>
        </w:rPr>
        <w:t>בסלבודקה</w:t>
      </w:r>
      <w:proofErr w:type="spellEnd"/>
      <w:r>
        <w:rPr>
          <w:rtl/>
        </w:rPr>
        <w:t xml:space="preserve"> היה חותני, ר׳ </w:t>
      </w:r>
      <w:proofErr w:type="spellStart"/>
      <w:r>
        <w:rPr>
          <w:rtl/>
        </w:rPr>
        <w:t xml:space="preserve">בער־הירש</w:t>
      </w:r>
      <w:proofErr w:type="spellEnd"/>
      <w:r>
        <w:rPr>
          <w:rtl/>
        </w:rPr>
        <w:t xml:space="preserve"> </w:t>
      </w:r>
      <w:proofErr w:type="spellStart"/>
      <w:r>
        <w:rPr>
          <w:rtl/>
        </w:rPr>
        <w:t xml:space="preserve">הלר</w:t>
      </w:r>
      <w:proofErr w:type="spellEnd"/>
      <w:r>
        <w:rPr>
          <w:rtl/>
        </w:rPr>
        <w:t xml:space="preserve">, גוסס, וחשבו שהוא עומד למות; הוא נאבק על כל נשימה ונשימה. הבנתי אז שעלול אני להתחרט יום אחד על אובדן אפילו </w:t>
      </w:r>
      <w:r>
        <w:rPr>
          <w:rtl/>
        </w:rPr>
        <w:lastRenderedPageBreak/>
        <w:t>נשימה אחת מחמת העישון, ולא חזרתי לעשן אחרי אותה שבת׳. סופו המפתיע של המעשה היה: ‘ואחרי כל זה הבריא החולה!’”</w:t>
      </w:r>
    </w:p>
    <w:p w14:paraId="0DB75B6B" w14:textId="77777777" w:rsidR="00AB3647" w:rsidRDefault="00000000" w:rsidP="007923E9">
      <w:pPr>
        <w:spacing w:after="120" w:line="276" w:lineRule="auto"/>
        <w:ind w:firstLine="283"/>
        <w:jc w:val="both"/>
      </w:pPr>
      <w:r>
        <w:rPr>
          <w:rtl/>
        </w:rPr>
        <w:t xml:space="preserve">לפי חשבוני אירע המעשה </w:t>
      </w:r>
      <w:proofErr w:type="spellStart"/>
      <w:r>
        <w:rPr>
          <w:rtl/>
        </w:rPr>
        <w:t>בתרצ״ב</w:t>
      </w:r>
      <w:proofErr w:type="spellEnd"/>
      <w:r>
        <w:rPr>
          <w:rtl/>
        </w:rPr>
        <w:t xml:space="preserve"> (שנה וחצי לפני שעבר ר׳ </w:t>
      </w:r>
      <w:proofErr w:type="spellStart"/>
      <w:r>
        <w:rPr>
          <w:rtl/>
        </w:rPr>
        <w:t xml:space="preserve">בער־הירש</w:t>
      </w:r>
      <w:proofErr w:type="spellEnd"/>
      <w:r>
        <w:rPr>
          <w:rtl/>
        </w:rPr>
        <w:t xml:space="preserve"> לארץ ישראל</w:t>
      </w:r>
      <w:bookmarkStart w:id="6221" w:name="_fnr4659"/>
      <w:r>
        <w:rPr>
          <w:rStyle w:val="a5"/>
        </w:rPr>
        <w:footnoteReference w:id="4670" w:customMarkFollows="0"/>
      </w:r>
      <w:bookmarkEnd w:id="6221"/>
      <w:r>
        <w:rPr>
          <w:rtl/>
        </w:rPr>
        <w:t xml:space="preserve">). נמצא שאבי עישן שוב בשש שנותיו הראשונות ברבנות </w:t>
      </w:r>
      <w:proofErr w:type="spellStart"/>
      <w:r>
        <w:rPr>
          <w:rtl/>
        </w:rPr>
        <w:t>ציטוביאן</w:t>
      </w:r>
      <w:proofErr w:type="spellEnd"/>
      <w:r>
        <w:rPr>
          <w:rtl/>
        </w:rPr>
        <w:t>, ואחר כך הפסיק.</w:t>
      </w:r>
    </w:p>
    <w:p w14:paraId="4E3AC919" w14:textId="77777777" w:rsidR="00AB3647" w:rsidRDefault="00000000" w:rsidP="007923E9">
      <w:pPr>
        <w:spacing w:after="120" w:line="276" w:lineRule="auto"/>
        <w:ind w:firstLine="283"/>
        <w:jc w:val="both"/>
      </w:pPr>
      <w:r>
        <w:rPr>
          <w:rtl/>
        </w:rPr>
        <w:t xml:space="preserve">אף שאבי קשר את המעשה עם חותנו להתגברותו על הרגל העישון, גם הפסקה זו הייתה זמנית בלבד. </w:t>
      </w:r>
      <w:proofErr w:type="spellStart"/>
      <w:r>
        <w:rPr>
          <w:rtl/>
        </w:rPr>
        <w:t>כחמש־עשרה</w:t>
      </w:r>
      <w:proofErr w:type="spellEnd"/>
      <w:r>
        <w:rPr>
          <w:rtl/>
        </w:rPr>
        <w:t xml:space="preserve"> שנה אחר כך התחיל לעשן בפעם השלישית, </w:t>
      </w:r>
      <w:proofErr w:type="spellStart"/>
      <w:r>
        <w:rPr>
          <w:rtl/>
        </w:rPr>
        <w:t>זמן־מה</w:t>
      </w:r>
      <w:proofErr w:type="spellEnd"/>
      <w:r>
        <w:rPr>
          <w:rtl/>
        </w:rPr>
        <w:t xml:space="preserve"> לאחר שהצטרף למתיבתא תורה ודעת – לא זמן רב אחרי מעשה </w:t>
      </w:r>
      <w:proofErr w:type="spellStart"/>
      <w:r>
        <w:rPr>
          <w:rtl/>
        </w:rPr>
        <w:t>פוזן</w:t>
      </w:r>
      <w:proofErr w:type="spellEnd"/>
      <w:r>
        <w:rPr>
          <w:rtl/>
        </w:rPr>
        <w:t xml:space="preserve">. לפי תלמיד מאותה תקופה, ר׳ משה </w:t>
      </w:r>
      <w:proofErr w:type="spellStart"/>
      <w:r>
        <w:rPr>
          <w:rtl/>
        </w:rPr>
        <w:t>שוואב</w:t>
      </w:r>
      <w:bookmarkStart w:id="6222" w:name="_fnr4660"/>
      <w:proofErr w:type="spellEnd"/>
      <w:r>
        <w:rPr>
          <w:rStyle w:val="a5"/>
        </w:rPr>
        <w:footnoteReference w:id="4671" w:customMarkFollows="0"/>
      </w:r>
      <w:bookmarkEnd w:id="6222"/>
      <w:r>
        <w:rPr>
          <w:rtl/>
        </w:rPr>
        <w:t>, היה אבי מוציא אולר מכיס אפודתו וחותך חפיסה של עשרים סיגריות באמצעה, כדי לעשות מהן ארבעים סיגריות. את האולר נשא אבי עמו כדי לנתח חלקים מסופקים של עופות, שנשות שכונת המתיבתא הביאו לעיתים לפסיקתו בענייני כשרות.</w:t>
      </w:r>
    </w:p>
    <w:p w14:paraId="4041AAE2" w14:textId="77777777" w:rsidR="00AB3647" w:rsidRDefault="00000000" w:rsidP="007923E9">
      <w:pPr>
        <w:spacing w:after="120" w:line="276" w:lineRule="auto"/>
        <w:ind w:firstLine="283"/>
        <w:jc w:val="both"/>
      </w:pPr>
      <w:r>
        <w:rPr>
          <w:rtl/>
        </w:rPr>
        <w:t xml:space="preserve">נראה שהמעבר מן הרבנות להוראה – והעדר ההערכה לדרך לימודו העצמאית, כפי שנידון בכרך 3 – החזירו את אבי להרגל שהיה נפוץ מאוד בחברת הישיבות באותה עת. אבל לא עבר זמן רב ושוב הפסיק לעשן, כשר׳ שמואל </w:t>
      </w:r>
      <w:proofErr w:type="spellStart"/>
      <w:r>
        <w:rPr>
          <w:rtl/>
        </w:rPr>
        <w:t>קושלביץ</w:t>
      </w:r>
      <w:proofErr w:type="spellEnd"/>
      <w:r>
        <w:rPr>
          <w:rtl/>
        </w:rPr>
        <w:t xml:space="preserve">, ראש ישיבה ותיק ומכובד מאוד (וחתנו של ר׳ </w:t>
      </w:r>
      <w:proofErr w:type="spellStart"/>
      <w:r>
        <w:rPr>
          <w:rtl/>
        </w:rPr>
        <w:t>בן־ציון</w:t>
      </w:r>
      <w:proofErr w:type="spellEnd"/>
      <w:r>
        <w:rPr>
          <w:rtl/>
        </w:rPr>
        <w:t xml:space="preserve"> </w:t>
      </w:r>
      <w:proofErr w:type="spellStart"/>
      <w:r>
        <w:rPr>
          <w:rtl/>
        </w:rPr>
        <w:t>לויתן</w:t>
      </w:r>
      <w:proofErr w:type="spellEnd"/>
      <w:r>
        <w:rPr>
          <w:rtl/>
        </w:rPr>
        <w:t xml:space="preserve">, רבה של </w:t>
      </w:r>
      <w:proofErr w:type="spellStart"/>
      <w:r>
        <w:rPr>
          <w:rtl/>
        </w:rPr>
        <w:t>שידלובה</w:t>
      </w:r>
      <w:bookmarkStart w:id="6223" w:name="_fnr4661"/>
      <w:proofErr w:type="spellEnd"/>
      <w:r>
        <w:rPr>
          <w:rStyle w:val="a5"/>
        </w:rPr>
        <w:footnoteReference w:id="4672" w:customMarkFollows="0"/>
      </w:r>
      <w:bookmarkEnd w:id="6223"/>
      <w:r>
        <w:rPr>
          <w:rtl/>
        </w:rPr>
        <w:t xml:space="preserve">, עיירה הסמוכה </w:t>
      </w:r>
      <w:proofErr w:type="spellStart"/>
      <w:r>
        <w:rPr>
          <w:rtl/>
        </w:rPr>
        <w:t>לציטוביאן</w:t>
      </w:r>
      <w:proofErr w:type="spellEnd"/>
      <w:r>
        <w:rPr>
          <w:rtl/>
        </w:rPr>
        <w:t>), נזף בו ואמר: “</w:t>
      </w:r>
      <w:proofErr w:type="spellStart"/>
      <w:r>
        <w:rPr>
          <w:rtl/>
        </w:rPr>
        <w:t>עס</w:t>
      </w:r>
      <w:proofErr w:type="spellEnd"/>
      <w:r>
        <w:rPr>
          <w:rtl/>
        </w:rPr>
        <w:t xml:space="preserve"> </w:t>
      </w:r>
      <w:proofErr w:type="spellStart"/>
      <w:r>
        <w:rPr>
          <w:rtl/>
        </w:rPr>
        <w:t>פאסט</w:t>
      </w:r>
      <w:proofErr w:type="spellEnd"/>
      <w:r>
        <w:rPr>
          <w:rtl/>
        </w:rPr>
        <w:t xml:space="preserve"> ניט [אין זה מתאים] לך לעשן”</w:t>
      </w:r>
      <w:bookmarkStart w:id="6224" w:name="_fnr4662"/>
      <w:r>
        <w:rPr>
          <w:rStyle w:val="a5"/>
        </w:rPr>
        <w:footnoteReference w:id="4673" w:customMarkFollows="0"/>
      </w:r>
      <w:bookmarkEnd w:id="6224"/>
      <w:r>
        <w:rPr>
          <w:rtl/>
        </w:rPr>
        <w:t>.</w:t>
      </w:r>
    </w:p>
    <w:p w14:paraId="32458209" w14:textId="77777777" w:rsidR="00AB3647" w:rsidRDefault="00000000" w:rsidP="007923E9">
      <w:pPr>
        <w:spacing w:after="120" w:line="276" w:lineRule="auto"/>
        <w:ind w:firstLine="283"/>
        <w:jc w:val="both"/>
      </w:pPr>
      <w:r>
        <w:rPr>
          <w:rtl/>
        </w:rPr>
        <w:t>אבל מאבקו בהתמכרות לא הסתיים, מפני שכעבור חמש שנים שב לעשן – עד שתי חפיסות ביום</w:t>
      </w:r>
      <w:bookmarkStart w:id="6225" w:name="_fnr4663"/>
      <w:r>
        <w:rPr>
          <w:rStyle w:val="a5"/>
        </w:rPr>
        <w:footnoteReference w:id="4674" w:customMarkFollows="0"/>
      </w:r>
      <w:bookmarkEnd w:id="6225"/>
      <w:r>
        <w:rPr>
          <w:rtl/>
        </w:rPr>
        <w:t xml:space="preserve">. רישומה של נזיפת ר׳ שמואל </w:t>
      </w:r>
      <w:proofErr w:type="spellStart"/>
      <w:r>
        <w:rPr>
          <w:rtl/>
        </w:rPr>
        <w:t>קושלביץ</w:t>
      </w:r>
      <w:proofErr w:type="spellEnd"/>
      <w:r>
        <w:rPr>
          <w:rtl/>
        </w:rPr>
        <w:t>, שכבר פרש אז, ודאי דהה ונמוג – בייחוד מפני שאבי כמעט לא הושפע משיקולים של מה “</w:t>
      </w:r>
      <w:proofErr w:type="spellStart"/>
      <w:r>
        <w:rPr>
          <w:rtl/>
        </w:rPr>
        <w:t>פאסט</w:t>
      </w:r>
      <w:proofErr w:type="spellEnd"/>
      <w:r>
        <w:rPr>
          <w:rtl/>
        </w:rPr>
        <w:t xml:space="preserve"> [מתאים]” ומה לא, ומסתבר שהפסיק לעשן אחרי אותה הערה רק כדי לרצות את האיש המבוגר והמכובד.</w:t>
      </w:r>
    </w:p>
    <w:p w14:paraId="2F9A5642" w14:textId="77777777" w:rsidR="00AB3647" w:rsidRDefault="00000000" w:rsidP="007923E9">
      <w:pPr>
        <w:spacing w:after="120" w:line="276" w:lineRule="auto"/>
        <w:ind w:firstLine="283"/>
        <w:jc w:val="both"/>
      </w:pPr>
      <w:r>
        <w:rPr>
          <w:rtl/>
        </w:rPr>
        <w:t xml:space="preserve">אבי הכניע את ההרגל לבסוף </w:t>
      </w:r>
      <w:proofErr w:type="spellStart"/>
      <w:r>
        <w:rPr>
          <w:rtl/>
        </w:rPr>
        <w:t>בתשי״ד</w:t>
      </w:r>
      <w:proofErr w:type="spellEnd"/>
      <w:r>
        <w:rPr>
          <w:rtl/>
        </w:rPr>
        <w:t xml:space="preserve">. רופא – שהיה בעצמו מעשן – לקח ממנו בבוקר יום שישי דגימת דם לבדיקה, ואמר לו שהעישון מזיק לבריאותו. החולה אמר שכשתיכנס השבת יניח את </w:t>
      </w:r>
      <w:proofErr w:type="spellStart"/>
      <w:r>
        <w:rPr>
          <w:rtl/>
        </w:rPr>
        <w:t>סיגריותיו</w:t>
      </w:r>
      <w:proofErr w:type="spellEnd"/>
      <w:r>
        <w:rPr>
          <w:rtl/>
        </w:rPr>
        <w:t xml:space="preserve"> ולא ישוב לקחתן. ביום שלישי שלאחר מכן, כשבא למרפאה לקבל את תוצאות הבדיקה, העיר רבנו שביקורו הקודם כבר הועיל במשהו: הוא הפסיק לעשן. הוא שאל את הרופא: “מדוע אינך הולך לרופא שיצווה עליך להפסיק לעשן – כפי שציווית עליי?” והלה השיב: “אשריך שיש לך שבת שבאמצעותה אתה יכול להפסיק את ההרגל”</w:t>
      </w:r>
      <w:bookmarkStart w:id="6226" w:name="_fnr4664"/>
      <w:r>
        <w:rPr>
          <w:rStyle w:val="a5"/>
        </w:rPr>
        <w:footnoteReference w:id="4675" w:customMarkFollows="0"/>
      </w:r>
      <w:bookmarkEnd w:id="6226"/>
      <w:r>
        <w:rPr>
          <w:rtl/>
        </w:rPr>
        <w:t>.</w:t>
      </w:r>
    </w:p>
    <w:p w14:paraId="4EEBE44A" w14:textId="77777777" w:rsidR="00AB3647" w:rsidRDefault="00000000" w:rsidP="007923E9">
      <w:pPr>
        <w:spacing w:after="120" w:line="276" w:lineRule="auto"/>
        <w:ind w:firstLine="283"/>
        <w:jc w:val="both"/>
      </w:pPr>
      <w:r>
        <w:rPr>
          <w:rtl/>
        </w:rPr>
        <w:t>אבי אמר שרק האמרה “אין לך דבר העומד בפני הרצון”</w:t>
      </w:r>
      <w:bookmarkStart w:id="6227" w:name="_fnr4665"/>
      <w:r>
        <w:rPr>
          <w:rStyle w:val="a5"/>
        </w:rPr>
        <w:footnoteReference w:id="4676" w:customMarkFollows="0"/>
      </w:r>
      <w:bookmarkEnd w:id="6227"/>
      <w:r>
        <w:rPr>
          <w:rtl/>
        </w:rPr>
        <w:t xml:space="preserve"> שכנעה אותו שביכולתו להפסיק הרגל מושרש כל כך. נראה שרבנו התחזק באמרת חז״ל זו ברגע שנתן הרופא את הוראתו, ויכול היה להשיב מיד שיקיימה. אבל הדרך שבה הפסיק אבי את ההרגל מעידה על נחישות </w:t>
      </w:r>
      <w:r>
        <w:rPr>
          <w:rtl/>
        </w:rPr>
        <w:lastRenderedPageBreak/>
        <w:t xml:space="preserve">פחותה מזו שבמעשה המובא </w:t>
      </w:r>
      <w:proofErr w:type="spellStart"/>
      <w:r>
        <w:rPr>
          <w:rtl/>
        </w:rPr>
        <w:t>ב“גוט</w:t>
      </w:r>
      <w:proofErr w:type="spellEnd"/>
      <w:r>
        <w:rPr>
          <w:rtl/>
        </w:rPr>
        <w:t xml:space="preserve"> </w:t>
      </w:r>
      <w:proofErr w:type="spellStart"/>
      <w:r>
        <w:rPr>
          <w:rtl/>
        </w:rPr>
        <w:t>וואָך</w:t>
      </w:r>
      <w:proofErr w:type="spellEnd"/>
      <w:r>
        <w:rPr>
          <w:rtl/>
        </w:rPr>
        <w:t>”</w:t>
      </w:r>
      <w:bookmarkStart w:id="6228" w:name="_fnr4666"/>
      <w:r>
        <w:rPr>
          <w:rStyle w:val="a5"/>
        </w:rPr>
        <w:footnoteReference w:id="4677" w:customMarkFollows="0"/>
      </w:r>
      <w:bookmarkEnd w:id="6228"/>
      <w:r>
        <w:rPr>
          <w:rtl/>
        </w:rPr>
        <w:t xml:space="preserve"> על ר׳ </w:t>
      </w:r>
      <w:proofErr w:type="spellStart"/>
      <w:r>
        <w:rPr>
          <w:rtl/>
        </w:rPr>
        <w:t>בן־ציון</w:t>
      </w:r>
      <w:proofErr w:type="spellEnd"/>
      <w:r>
        <w:rPr>
          <w:rtl/>
        </w:rPr>
        <w:t xml:space="preserve"> </w:t>
      </w:r>
      <w:proofErr w:type="spellStart"/>
      <w:r>
        <w:rPr>
          <w:rtl/>
        </w:rPr>
        <w:t>הלברשטם</w:t>
      </w:r>
      <w:proofErr w:type="spellEnd"/>
      <w:r>
        <w:rPr>
          <w:rtl/>
        </w:rPr>
        <w:t xml:space="preserve">, הרבי </w:t>
      </w:r>
      <w:proofErr w:type="spellStart"/>
      <w:r>
        <w:rPr>
          <w:rtl/>
        </w:rPr>
        <w:t>מבובוב</w:t>
      </w:r>
      <w:proofErr w:type="spellEnd"/>
      <w:r>
        <w:rPr>
          <w:rtl/>
        </w:rPr>
        <w:t xml:space="preserve"> שלפני השואה.</w:t>
      </w:r>
    </w:p>
    <w:p w14:paraId="4AA1BB35" w14:textId="77777777" w:rsidR="00AB3647" w:rsidRDefault="00000000" w:rsidP="007923E9">
      <w:pPr>
        <w:spacing w:after="120" w:line="276" w:lineRule="auto"/>
        <w:ind w:firstLine="283"/>
        <w:jc w:val="both"/>
      </w:pPr>
      <w:r>
        <w:rPr>
          <w:rtl/>
        </w:rPr>
        <w:t xml:space="preserve">הרבי עישן סיגר בחדר ההמתנה של רופא. כשיצא הרופא מחדרו לקרוא לו לבדיקה והעיר: “הר </w:t>
      </w:r>
      <w:proofErr w:type="spellStart"/>
      <w:r>
        <w:rPr>
          <w:rtl/>
        </w:rPr>
        <w:t>רבינר</w:t>
      </w:r>
      <w:proofErr w:type="spellEnd"/>
      <w:r>
        <w:rPr>
          <w:rtl/>
        </w:rPr>
        <w:t xml:space="preserve"> [אדוני הרב], העישון אינו בריא לך”, הניח הרבי את הסיגר היקר במאפרה ונכנס אחרי הרופא לחדרו. בתום הבדיקה לבש ר׳ </w:t>
      </w:r>
      <w:proofErr w:type="spellStart"/>
      <w:r>
        <w:rPr>
          <w:rtl/>
        </w:rPr>
        <w:t>בן־ציון</w:t>
      </w:r>
      <w:proofErr w:type="spellEnd"/>
      <w:r>
        <w:rPr>
          <w:rtl/>
        </w:rPr>
        <w:t xml:space="preserve"> את מעילו כדי לצאת, בלי לקחת את הסיגר. העיר הרופא: “</w:t>
      </w:r>
      <w:proofErr w:type="spellStart"/>
      <w:r>
        <w:rPr>
          <w:rtl/>
        </w:rPr>
        <w:t>רבינר</w:t>
      </w:r>
      <w:proofErr w:type="spellEnd"/>
      <w:r>
        <w:rPr>
          <w:rtl/>
        </w:rPr>
        <w:t>, אל תשכח את הסיגר שלך”, והוא השיב: “</w:t>
      </w:r>
      <w:proofErr w:type="spellStart"/>
      <w:r>
        <w:rPr>
          <w:rtl/>
        </w:rPr>
        <w:t>דנקה</w:t>
      </w:r>
      <w:proofErr w:type="spellEnd"/>
      <w:r>
        <w:rPr>
          <w:rtl/>
        </w:rPr>
        <w:t xml:space="preserve"> שיין [תודה רבה], אך אינני מעשן”.</w:t>
      </w:r>
    </w:p>
    <w:p w14:paraId="3997AF4E" w14:textId="77777777" w:rsidR="00AB3647" w:rsidRDefault="00000000" w:rsidP="007923E9">
      <w:pPr>
        <w:spacing w:after="120" w:line="276" w:lineRule="auto"/>
        <w:ind w:firstLine="283"/>
        <w:jc w:val="both"/>
      </w:pPr>
      <w:r>
        <w:rPr>
          <w:rtl/>
        </w:rPr>
        <w:t>השווה גם “</w:t>
      </w:r>
      <w:proofErr w:type="spellStart"/>
      <w:r>
        <w:rPr>
          <w:rtl/>
        </w:rPr>
        <w:t>ארחות</w:t>
      </w:r>
      <w:proofErr w:type="spellEnd"/>
      <w:r>
        <w:rPr>
          <w:rtl/>
        </w:rPr>
        <w:t xml:space="preserve"> חסידיך”</w:t>
      </w:r>
      <w:bookmarkStart w:id="6229" w:name="_fnr4667"/>
      <w:r>
        <w:rPr>
          <w:rStyle w:val="a5"/>
        </w:rPr>
        <w:footnoteReference w:id="4678" w:customMarkFollows="0"/>
      </w:r>
      <w:bookmarkEnd w:id="6229"/>
      <w:r>
        <w:rPr>
          <w:rtl/>
        </w:rPr>
        <w:t xml:space="preserve">, שגם ר׳ </w:t>
      </w:r>
      <w:proofErr w:type="spellStart"/>
      <w:r>
        <w:rPr>
          <w:rtl/>
        </w:rPr>
        <w:t>אלעזר־מנחם</w:t>
      </w:r>
      <w:proofErr w:type="spellEnd"/>
      <w:r>
        <w:rPr>
          <w:rtl/>
        </w:rPr>
        <w:t xml:space="preserve"> שך הפסיק לעשן בבת אחת [כמו ר׳ </w:t>
      </w:r>
      <w:proofErr w:type="spellStart"/>
      <w:r>
        <w:rPr>
          <w:rtl/>
        </w:rPr>
        <w:t>בן־ציון</w:t>
      </w:r>
      <w:proofErr w:type="spellEnd"/>
      <w:r>
        <w:rPr>
          <w:rtl/>
        </w:rPr>
        <w:t xml:space="preserve"> </w:t>
      </w:r>
      <w:proofErr w:type="spellStart"/>
      <w:r>
        <w:rPr>
          <w:rtl/>
        </w:rPr>
        <w:t>הלברשטם</w:t>
      </w:r>
      <w:proofErr w:type="spellEnd"/>
      <w:r>
        <w:rPr>
          <w:rtl/>
        </w:rPr>
        <w:t>], וכמו רבנו השתמש באמרה “אין לך דבר העומד בפני הרצון” לחיזוק החלטתו.</w:t>
      </w:r>
    </w:p>
    <w:p w14:paraId="0B2D0F04" w14:textId="77777777" w:rsidR="00AB3647" w:rsidRDefault="00000000" w:rsidP="007923E9">
      <w:pPr>
        <w:spacing w:after="120" w:line="276" w:lineRule="auto"/>
        <w:ind w:firstLine="283"/>
        <w:jc w:val="both"/>
      </w:pPr>
      <w:r>
        <w:rPr>
          <w:rtl/>
        </w:rPr>
        <w:t>ד״ר יעקב פליישמן</w:t>
      </w:r>
      <w:bookmarkStart w:id="6230" w:name="_fnr4668"/>
      <w:r>
        <w:rPr>
          <w:rStyle w:val="a5"/>
        </w:rPr>
        <w:footnoteReference w:id="4679" w:customMarkFollows="0"/>
      </w:r>
      <w:bookmarkEnd w:id="6230"/>
      <w:r>
        <w:rPr>
          <w:rtl/>
        </w:rPr>
        <w:t xml:space="preserve"> שאל את אבי לעת זקנתו מה דעתו על העישון, שלושים שנה לאחר שהפסיק לעשן. הוא השיב שהעישון אסור מדאורייתא.</w:t>
      </w:r>
    </w:p>
    <w:p w14:paraId="5AA5D176" w14:textId="77777777" w:rsidR="00AB3647" w:rsidRDefault="00000000" w:rsidP="007923E9">
      <w:pPr>
        <w:spacing w:after="120" w:line="276" w:lineRule="auto"/>
        <w:ind w:firstLine="283"/>
        <w:jc w:val="both"/>
      </w:pPr>
      <w:r>
        <w:rPr>
          <w:rtl/>
        </w:rPr>
        <w:t>ר׳ יוסף רנד סיפר</w:t>
      </w:r>
      <w:bookmarkStart w:id="6231" w:name="_fnr4669"/>
      <w:r>
        <w:rPr>
          <w:rStyle w:val="a5"/>
        </w:rPr>
        <w:footnoteReference w:id="4680" w:customMarkFollows="0"/>
      </w:r>
      <w:bookmarkEnd w:id="6231"/>
      <w:r>
        <w:rPr>
          <w:rtl/>
        </w:rPr>
        <w:t xml:space="preserve"> שבתקופת לימודו במתיבתא תורה ודעת, </w:t>
      </w:r>
      <w:proofErr w:type="spellStart"/>
      <w:r>
        <w:rPr>
          <w:rtl/>
        </w:rPr>
        <w:t>מתשכ״ג</w:t>
      </w:r>
      <w:proofErr w:type="spellEnd"/>
      <w:r>
        <w:rPr>
          <w:rtl/>
        </w:rPr>
        <w:t xml:space="preserve"> עד תשכ״ז, היה אבי מזהיר את התלמידים בשיחותיו שלפני פורים מפני עישון בחג זה, שבו גוברת ההתרופפות. על יסוד ניסיונו שלו בנעוריו אמר: “הכול מתחיל בסיגריה הראשונה”. במיוחד הקפיד על מורים שעישנו ובכך נתנו דוגמה רעה לתלמידיהם</w:t>
      </w:r>
      <w:bookmarkStart w:id="6232" w:name="_fnr4670"/>
      <w:r>
        <w:rPr>
          <w:rStyle w:val="a5"/>
        </w:rPr>
        <w:footnoteReference w:id="4681" w:customMarkFollows="0"/>
      </w:r>
      <w:bookmarkEnd w:id="6232"/>
      <w:r>
        <w:rPr>
          <w:rtl/>
        </w:rPr>
        <w:t xml:space="preserve">. ר׳ יעקב </w:t>
      </w:r>
      <w:proofErr w:type="spellStart"/>
      <w:r>
        <w:rPr>
          <w:rtl/>
        </w:rPr>
        <w:t>שכט</w:t>
      </w:r>
      <w:proofErr w:type="spellEnd"/>
      <w:r>
        <w:rPr>
          <w:rtl/>
        </w:rPr>
        <w:t xml:space="preserve"> סיפר</w:t>
      </w:r>
      <w:bookmarkStart w:id="6233" w:name="_fnr4671"/>
      <w:r>
        <w:rPr>
          <w:rStyle w:val="a5"/>
        </w:rPr>
        <w:footnoteReference w:id="4682" w:customMarkFollows="0"/>
      </w:r>
      <w:bookmarkEnd w:id="6233"/>
      <w:r>
        <w:rPr>
          <w:rtl/>
        </w:rPr>
        <w:t xml:space="preserve"> שאחרי שסיים את לימודיו במתיבתא תורה ודעת והתארס, היה בדרכו אל ישיבתו לשעבר כדי לחלק את מה שנקרא “סיגריות חתן”; אבל בדרך פגש תלמיד של הישיבה שאמר לו שאבי הוציא איסור על המנהג.</w:t>
      </w:r>
    </w:p>
    <w:p w14:paraId="266180DF" w14:textId="77777777" w:rsidR="00AB3647" w:rsidRDefault="00000000" w:rsidP="007923E9">
      <w:pPr>
        <w:spacing w:after="120" w:line="276" w:lineRule="auto"/>
        <w:ind w:firstLine="283"/>
        <w:jc w:val="both"/>
      </w:pPr>
      <w:r>
        <w:rPr>
          <w:rtl/>
        </w:rPr>
        <w:t xml:space="preserve">ר׳ דוד </w:t>
      </w:r>
      <w:proofErr w:type="spellStart"/>
      <w:r>
        <w:rPr>
          <w:rtl/>
        </w:rPr>
        <w:t>קמינצקי</w:t>
      </w:r>
      <w:proofErr w:type="spellEnd"/>
      <w:r>
        <w:rPr>
          <w:rtl/>
        </w:rPr>
        <w:t xml:space="preserve"> סיפר</w:t>
      </w:r>
      <w:bookmarkStart w:id="6234" w:name="_fnr4672"/>
      <w:r>
        <w:rPr>
          <w:rStyle w:val="a5"/>
        </w:rPr>
        <w:footnoteReference w:id="4683" w:customMarkFollows="0"/>
      </w:r>
      <w:bookmarkEnd w:id="6234"/>
      <w:r>
        <w:rPr>
          <w:rtl/>
        </w:rPr>
        <w:t xml:space="preserve"> שסבו, רבנו, אמר לו שמוחו היה מעולה משל ר׳ ראובן </w:t>
      </w:r>
      <w:proofErr w:type="spellStart"/>
      <w:r>
        <w:rPr>
          <w:rtl/>
        </w:rPr>
        <w:t>גרוזובסקי</w:t>
      </w:r>
      <w:proofErr w:type="spellEnd"/>
      <w:r>
        <w:rPr>
          <w:rtl/>
        </w:rPr>
        <w:t xml:space="preserve"> ור׳ אהרן קוטלר, אבל העישון – שהם נמנעו ממנו – החליש את כוחות שכלו, ובעקבות זאת עלו עליו השניים. הוא מעולם לא סלח לאותו חבר שהכיר לו את הטבק, וסיכם: “במקום </w:t>
      </w:r>
      <w:proofErr w:type="spellStart"/>
      <w:r>
        <w:rPr>
          <w:rtl/>
        </w:rPr>
        <w:t>להצליל</w:t>
      </w:r>
      <w:proofErr w:type="spellEnd"/>
      <w:r>
        <w:rPr>
          <w:rtl/>
        </w:rPr>
        <w:t xml:space="preserve"> את המחשבה, העישון מעכיר אותה”</w:t>
      </w:r>
      <w:bookmarkStart w:id="6235" w:name="_fnr4673"/>
      <w:r>
        <w:rPr>
          <w:rStyle w:val="a5"/>
        </w:rPr>
        <w:footnoteReference w:id="4684" w:customMarkFollows="0"/>
      </w:r>
      <w:bookmarkEnd w:id="6235"/>
      <w:r>
        <w:rPr>
          <w:rtl/>
        </w:rPr>
        <w:t>.</w:t>
      </w:r>
    </w:p>
    <w:p w14:paraId="0599BF29" w14:textId="77777777" w:rsidR="00AB3647" w:rsidRDefault="00000000" w:rsidP="007923E9">
      <w:pPr>
        <w:spacing w:after="120" w:line="276" w:lineRule="auto"/>
        <w:ind w:firstLine="283"/>
        <w:jc w:val="both"/>
      </w:pPr>
      <w:r>
        <w:rPr>
          <w:rtl/>
        </w:rPr>
        <w:t xml:space="preserve">מפי ר׳ דוד </w:t>
      </w:r>
      <w:proofErr w:type="spellStart"/>
      <w:r>
        <w:rPr>
          <w:rtl/>
        </w:rPr>
        <w:t>צימט</w:t>
      </w:r>
      <w:proofErr w:type="spellEnd"/>
      <w:r>
        <w:rPr>
          <w:rtl/>
        </w:rPr>
        <w:t xml:space="preserve"> נודע שרבנו נחשב לעילוי גדול מר׳ אהרן קוטלר גם כמה שנים אחרי שהתחיל לעשן. ר׳ דוד העיד: “ר׳ דוד </w:t>
      </w:r>
      <w:proofErr w:type="spellStart"/>
      <w:r>
        <w:rPr>
          <w:rtl/>
        </w:rPr>
        <w:t>רפאלין</w:t>
      </w:r>
      <w:proofErr w:type="spellEnd"/>
      <w:r>
        <w:rPr>
          <w:rtl/>
        </w:rPr>
        <w:t xml:space="preserve">, רבה של מקסיקו סיטי, תלמיד </w:t>
      </w:r>
      <w:proofErr w:type="spellStart"/>
      <w:r>
        <w:rPr>
          <w:rtl/>
        </w:rPr>
        <w:t>סלבודקה</w:t>
      </w:r>
      <w:proofErr w:type="spellEnd"/>
      <w:r>
        <w:rPr>
          <w:rtl/>
        </w:rPr>
        <w:t xml:space="preserve"> שהיה צעיר מעט מר׳ מאיר חדש</w:t>
      </w:r>
      <w:bookmarkStart w:id="6236" w:name="_fnr4674"/>
      <w:r>
        <w:rPr>
          <w:rStyle w:val="a5"/>
        </w:rPr>
        <w:footnoteReference w:id="4685" w:customMarkFollows="0"/>
      </w:r>
      <w:bookmarkEnd w:id="6236"/>
      <w:r>
        <w:rPr>
          <w:rtl/>
        </w:rPr>
        <w:t xml:space="preserve">, היה מקורב לסבא – ובמיוחד לסבתא, שסידרה את שידוכו – והכיר היטב את ראש הישיבה רבנו ואת ר׳ אהרן קוטלר. הוא הכריז: ‘ראש הישיבה היה מספר </w:t>
      </w:r>
      <w:r>
        <w:rPr>
          <w:rtl/>
        </w:rPr>
        <w:lastRenderedPageBreak/>
        <w:t xml:space="preserve">אחת </w:t>
      </w:r>
      <w:proofErr w:type="spellStart"/>
      <w:r>
        <w:rPr>
          <w:rtl/>
        </w:rPr>
        <w:t>בסלבודקה</w:t>
      </w:r>
      <w:proofErr w:type="spellEnd"/>
      <w:r>
        <w:rPr>
          <w:rtl/>
        </w:rPr>
        <w:t xml:space="preserve"> – נחשב לעילוי גדול יותר מר׳ אהרן – מלבד היותו המכובד ביותר והאישיות הראשונה במעלה בישיבה; אלה היו עובדות שאין עליהן עוררין’”.</w:t>
      </w:r>
    </w:p>
    <w:p w14:paraId="76473AB1" w14:textId="77777777" w:rsidR="00AB3647" w:rsidRDefault="00000000" w:rsidP="007923E9">
      <w:pPr>
        <w:spacing w:after="120" w:line="276" w:lineRule="auto"/>
        <w:ind w:firstLine="283"/>
        <w:jc w:val="both"/>
      </w:pPr>
      <w:r>
        <w:rPr>
          <w:rtl/>
        </w:rPr>
        <w:t xml:space="preserve">בהספד בישיבת עטרת יעקב בסוף שנת האבל על רבנו, סיפר אחי ר׳ בנימין שאבינו דיבר פעם על כך שבחורי ישיבת </w:t>
      </w:r>
      <w:proofErr w:type="spellStart"/>
      <w:r>
        <w:rPr>
          <w:rtl/>
        </w:rPr>
        <w:t>סלבודקה</w:t>
      </w:r>
      <w:proofErr w:type="spellEnd"/>
      <w:r>
        <w:rPr>
          <w:rtl/>
        </w:rPr>
        <w:t xml:space="preserve"> – ככל בחורי הישיבות – היו עושים הכול כדי להשתמט מן הגיוס הרוסי. “היו שהקפידו במשך שבועות על דיאטות קיצוניות להפחתת משקל, ואחרים העמידו פנים שהם צולעים או כמעט עיוורים”, סיפר אבי. אחד מנכדיו שאל אותו אם אי־פעם גויס בפועל אחד מתלמידי הישיבה, והוא השיב: “אני זוכר רק בחור אחד שגויס, זה שנתן לי סיגריות ולימד אותי לעשן. מי יודע, אולי היה זה עונשו על כך, מפני שאילו לא עישנתי היה מוחי צלול יותר והייתי גדול יותר בלימוד. אילו לא עישנתי אולי הייתי עולה על ר׳ אהרן, אך מוחי נסתם מן העשן”. ר׳ יעקב </w:t>
      </w:r>
      <w:proofErr w:type="spellStart"/>
      <w:r>
        <w:rPr>
          <w:rtl/>
        </w:rPr>
        <w:t>שכט</w:t>
      </w:r>
      <w:proofErr w:type="spellEnd"/>
      <w:r>
        <w:rPr>
          <w:rtl/>
        </w:rPr>
        <w:t xml:space="preserve"> סיפר בשם אבי שאותו בחור היה מתהלך בבית המדרש, נותן לתלמידים סיגריות ומרגילם לעשן.</w:t>
      </w:r>
    </w:p>
    <w:p w14:paraId="25A39E59" w14:textId="77777777" w:rsidR="00AB3647" w:rsidRDefault="00000000" w:rsidP="007923E9">
      <w:pPr>
        <w:spacing w:after="120" w:line="276" w:lineRule="auto"/>
        <w:ind w:firstLine="283"/>
        <w:jc w:val="both"/>
      </w:pPr>
      <w:r>
        <w:rPr>
          <w:rtl/>
        </w:rPr>
        <w:t xml:space="preserve">על העובדה המפליאה שכמעט כל תלמידי הישיבות נמנעו בהצלחה מן הגיוס, נאמר בצוואתו המוסרית של ר׳ </w:t>
      </w:r>
      <w:proofErr w:type="spellStart"/>
      <w:r>
        <w:rPr>
          <w:rtl/>
        </w:rPr>
        <w:t>יצחק־אייזיק</w:t>
      </w:r>
      <w:proofErr w:type="spellEnd"/>
      <w:r>
        <w:rPr>
          <w:rtl/>
        </w:rPr>
        <w:t xml:space="preserve"> </w:t>
      </w:r>
      <w:proofErr w:type="spellStart"/>
      <w:r>
        <w:rPr>
          <w:rtl/>
        </w:rPr>
        <w:t>הירשוביץ</w:t>
      </w:r>
      <w:bookmarkStart w:id="6237" w:name="_fnr4675"/>
      <w:proofErr w:type="spellEnd"/>
      <w:r>
        <w:rPr>
          <w:rStyle w:val="a5"/>
        </w:rPr>
        <w:footnoteReference w:id="4686" w:customMarkFollows="0"/>
      </w:r>
      <w:bookmarkEnd w:id="6237"/>
      <w:r>
        <w:rPr>
          <w:rtl/>
        </w:rPr>
        <w:t xml:space="preserve"> (בתרגום): “בימיי, בשנת תרל״ד, הונהג ברוסיה מחדש גיוס חובה כללי, והקב״ה ברוב חסדו הצילני בדרך מופלאה, וגם אתכם הציל” – הוא פנה לילדיו, בני דורו של רבנו – “מעול מלכות הצאר הרשעה. כשאני מדבר על כך אינני יכול לעבור בשתיקה על מעשי ה׳ – לא רק אותנו הציל, אלא כמעט את כל בני הישיבות הדבקים בתורה, כך שבכל עשרות השנים הללו ניצלו כמעט כולם משירות צבאי. בכך התקיימה המשנה בפרק השלישי של מסכת אבות: ‘כל המקבל עליו עול תורה </w:t>
      </w:r>
      <w:proofErr w:type="spellStart"/>
      <w:r>
        <w:rPr>
          <w:rtl/>
        </w:rPr>
        <w:t>מעבירין</w:t>
      </w:r>
      <w:proofErr w:type="spellEnd"/>
      <w:r>
        <w:rPr>
          <w:rtl/>
        </w:rPr>
        <w:t xml:space="preserve"> ממנו עול מלכות’”.</w:t>
      </w:r>
    </w:p>
    <w:p w14:paraId="10FE9487" w14:textId="77777777" w:rsidR="00AB3647" w:rsidRDefault="00000000" w:rsidP="007923E9">
      <w:pPr>
        <w:spacing w:after="120" w:line="276" w:lineRule="auto"/>
        <w:ind w:firstLine="283"/>
        <w:jc w:val="both"/>
      </w:pPr>
      <w:r>
        <w:rPr>
          <w:rtl/>
        </w:rPr>
        <w:t xml:space="preserve">ר׳ בערל </w:t>
      </w:r>
      <w:proofErr w:type="spellStart"/>
      <w:r>
        <w:rPr>
          <w:rtl/>
        </w:rPr>
        <w:t xml:space="preserve">אוירבך</w:t>
      </w:r>
      <w:proofErr w:type="spellEnd"/>
      <w:r>
        <w:rPr>
          <w:rtl/>
        </w:rPr>
        <w:t xml:space="preserve"> סיפר לי</w:t>
      </w:r>
      <w:bookmarkStart w:id="6238" w:name="_fnr4676"/>
      <w:r>
        <w:rPr>
          <w:rStyle w:val="a5"/>
        </w:rPr>
        <w:footnoteReference w:id="4687" w:customMarkFollows="0"/>
      </w:r>
      <w:bookmarkEnd w:id="6238"/>
      <w:r>
        <w:rPr>
          <w:rtl/>
        </w:rPr>
        <w:t xml:space="preserve"> שאחיו ר׳ </w:t>
      </w:r>
      <w:proofErr w:type="spellStart"/>
      <w:r>
        <w:rPr>
          <w:rtl/>
        </w:rPr>
        <w:t>שלמה־זלמן</w:t>
      </w:r>
      <w:proofErr w:type="spellEnd"/>
      <w:r>
        <w:rPr>
          <w:rtl/>
        </w:rPr>
        <w:t xml:space="preserve"> היה מעשן כבד בצעירותו. “ואז”, אמר ר׳ בערל, “קרא ידיעה – הוא היה מרבה לקרוא – שרופא צרפתי סבור שהעישון מזיק לזיכרון, ואחי אמר: ‘אם נזהרים אנו שלא לאכול זיתים בלא שמן מפני שהם קשים לשכחה</w:t>
      </w:r>
      <w:bookmarkStart w:id="6239" w:name="_fnr4677"/>
      <w:r>
        <w:rPr>
          <w:rStyle w:val="a5"/>
        </w:rPr>
        <w:footnoteReference w:id="4688" w:customMarkFollows="0"/>
      </w:r>
      <w:bookmarkEnd w:id="6239"/>
      <w:r>
        <w:rPr>
          <w:rtl/>
        </w:rPr>
        <w:t>, עלינו בוודאי לשמוע לדברי הרופאים בני זמננו’, והפסיק לעשן”.</w:t>
      </w:r>
    </w:p>
    <w:p w14:paraId="1194AA81" w14:textId="77777777" w:rsidR="00AB3647" w:rsidRDefault="00000000" w:rsidP="007923E9">
      <w:pPr>
        <w:spacing w:after="120" w:line="276" w:lineRule="auto"/>
        <w:ind w:firstLine="283"/>
        <w:jc w:val="both"/>
      </w:pPr>
      <w:r>
        <w:rPr>
          <w:rtl/>
        </w:rPr>
        <w:t xml:space="preserve">אבל ר׳ </w:t>
      </w:r>
      <w:proofErr w:type="spellStart"/>
      <w:r>
        <w:rPr>
          <w:rtl/>
        </w:rPr>
        <w:t>חצקל</w:t>
      </w:r>
      <w:proofErr w:type="spellEnd"/>
      <w:r>
        <w:rPr>
          <w:rtl/>
        </w:rPr>
        <w:t xml:space="preserve"> </w:t>
      </w:r>
      <w:proofErr w:type="spellStart"/>
      <w:r>
        <w:rPr>
          <w:rtl/>
        </w:rPr>
        <w:t>ויינפלד</w:t>
      </w:r>
      <w:proofErr w:type="spellEnd"/>
      <w:r>
        <w:rPr>
          <w:rtl/>
        </w:rPr>
        <w:t xml:space="preserve"> סיפר</w:t>
      </w:r>
      <w:bookmarkStart w:id="6240" w:name="_fnr4678"/>
      <w:r>
        <w:rPr>
          <w:rStyle w:val="a5"/>
        </w:rPr>
        <w:footnoteReference w:id="4689" w:customMarkFollows="0"/>
      </w:r>
      <w:bookmarkEnd w:id="6240"/>
      <w:r>
        <w:rPr>
          <w:rtl/>
        </w:rPr>
        <w:t xml:space="preserve"> שאבי תלה את עליונותו של ר׳ אהרן עליו לא בכך שנמנע מן הטבק, אלא </w:t>
      </w:r>
      <w:proofErr w:type="spellStart"/>
      <w:r>
        <w:rPr>
          <w:rtl/>
        </w:rPr>
        <w:t>ב“קאכען</w:t>
      </w:r>
      <w:proofErr w:type="spellEnd"/>
      <w:r>
        <w:rPr>
          <w:rtl/>
        </w:rPr>
        <w:t xml:space="preserve"> אין </w:t>
      </w:r>
      <w:proofErr w:type="spellStart"/>
      <w:r>
        <w:rPr>
          <w:rtl/>
        </w:rPr>
        <w:t>לערנען</w:t>
      </w:r>
      <w:proofErr w:type="spellEnd"/>
      <w:r>
        <w:rPr>
          <w:rtl/>
        </w:rPr>
        <w:t xml:space="preserve"> [להט בלימוד]”. רבנו ציין במפורש </w:t>
      </w:r>
      <w:proofErr w:type="spellStart"/>
      <w:r>
        <w:rPr>
          <w:rtl/>
        </w:rPr>
        <w:t>ש“מאמר</w:t>
      </w:r>
      <w:proofErr w:type="spellEnd"/>
      <w:r>
        <w:rPr>
          <w:rtl/>
        </w:rPr>
        <w:t xml:space="preserve"> חז״ל ‘[בתחילת דיון בתורה, המתדיינים] נעשים אויבים זה את זה’</w:t>
      </w:r>
      <w:bookmarkStart w:id="6241" w:name="_fnr4679"/>
      <w:r>
        <w:rPr>
          <w:rStyle w:val="a5"/>
        </w:rPr>
        <w:footnoteReference w:id="4690" w:customMarkFollows="0"/>
      </w:r>
      <w:bookmarkEnd w:id="6241"/>
      <w:r>
        <w:rPr>
          <w:rtl/>
        </w:rPr>
        <w:t xml:space="preserve"> התגשם בר׳ אהרן קוטלר, </w:t>
      </w:r>
      <w:r>
        <w:rPr>
          <w:rtl/>
        </w:rPr>
        <w:lastRenderedPageBreak/>
        <w:t xml:space="preserve">שכאשר התווכח בלימוד סבר שרק דעתו נכונה”. על עצמו אמר אבי </w:t>
      </w:r>
      <w:proofErr w:type="spellStart"/>
      <w:r>
        <w:rPr>
          <w:rtl/>
        </w:rPr>
        <w:t>ש“ראה</w:t>
      </w:r>
      <w:proofErr w:type="spellEnd"/>
      <w:r>
        <w:rPr>
          <w:rtl/>
        </w:rPr>
        <w:t xml:space="preserve"> שגם לטענת הזולת יש תוקף”.</w:t>
      </w:r>
    </w:p>
    <w:p w14:paraId="0F5DD7D4" w14:textId="77777777" w:rsidR="00AB3647" w:rsidRDefault="00000000" w:rsidP="007923E9">
      <w:pPr>
        <w:spacing w:after="120" w:line="276" w:lineRule="auto"/>
        <w:ind w:firstLine="283"/>
        <w:jc w:val="both"/>
      </w:pPr>
      <w:r>
        <w:rPr>
          <w:rtl/>
        </w:rPr>
        <w:t>השווה גם “אור ישראל”</w:t>
      </w:r>
      <w:bookmarkStart w:id="6242" w:name="_fnr4680"/>
      <w:r>
        <w:rPr>
          <w:rStyle w:val="a5"/>
        </w:rPr>
        <w:footnoteReference w:id="4691" w:customMarkFollows="0"/>
      </w:r>
      <w:bookmarkEnd w:id="6242"/>
      <w:r>
        <w:rPr>
          <w:rtl/>
        </w:rPr>
        <w:t xml:space="preserve">, המביא מאמר חז״ל זה ומכנה את צורת הלימוד המשובחת בו “לימוד בארסיות – </w:t>
      </w:r>
      <w:proofErr w:type="spellStart"/>
      <w:r>
        <w:rPr>
          <w:rtl/>
        </w:rPr>
        <w:t>גיפטיג</w:t>
      </w:r>
      <w:proofErr w:type="spellEnd"/>
      <w:r>
        <w:rPr>
          <w:rtl/>
        </w:rPr>
        <w:t xml:space="preserve"> ביידיש”, ומוסיף: “זהו לימוד תורה שאפשר באמת לכנותו ‘לימוד’”. המאמר מורה לסיים את הלימוד </w:t>
      </w:r>
      <w:proofErr w:type="spellStart"/>
      <w:r>
        <w:rPr>
          <w:rtl/>
        </w:rPr>
        <w:t>ב“מנוחת</w:t>
      </w:r>
      <w:proofErr w:type="spellEnd"/>
      <w:r>
        <w:rPr>
          <w:rtl/>
        </w:rPr>
        <w:t xml:space="preserve"> הנפש, הנקראת ‘לשמה’, כשאין הבדל בעיניו אם דבריו מתקבלים או דברי חברו. נמצא ששני המצבים – זה שבתחילת הדיון בתורה וזה שבסופו – כמעט הפוכים זה מזה”. השווה גם “תורת אברהם”</w:t>
      </w:r>
      <w:bookmarkStart w:id="6243" w:name="_fnr4681"/>
      <w:r>
        <w:rPr>
          <w:rStyle w:val="a5"/>
        </w:rPr>
        <w:footnoteReference w:id="4692" w:customMarkFollows="0"/>
      </w:r>
      <w:bookmarkEnd w:id="6243"/>
      <w:r>
        <w:rPr>
          <w:rtl/>
        </w:rPr>
        <w:t xml:space="preserve">, שדרך הדיון בלימוד שיש בה “נעשים אויבים זה את זה” זכתה לעידוד רב בשיחות הסבא </w:t>
      </w:r>
      <w:proofErr w:type="spellStart"/>
      <w:r>
        <w:rPr>
          <w:rtl/>
        </w:rPr>
        <w:t>מסלבודקה</w:t>
      </w:r>
      <w:proofErr w:type="spellEnd"/>
      <w:r>
        <w:rPr>
          <w:rtl/>
        </w:rPr>
        <w:t xml:space="preserve">, ושצורת לימוד זו שלטה בפועל בכנסת ישראל. לפי זה – ולפי ההגדרה שמסר אבי להבדל בין דרכו בדיון בסוגיה תלמודית לבין דרכו של ר׳ אהרן – נהג ר׳ אהרן כתלמיד </w:t>
      </w:r>
      <w:proofErr w:type="spellStart"/>
      <w:r>
        <w:rPr>
          <w:rtl/>
        </w:rPr>
        <w:t>סלבודקה</w:t>
      </w:r>
      <w:proofErr w:type="spellEnd"/>
      <w:r>
        <w:rPr>
          <w:rtl/>
        </w:rPr>
        <w:t xml:space="preserve"> אמיתי יותר מרבנו!</w:t>
      </w:r>
    </w:p>
    <w:p w14:paraId="1E2DA600" w14:textId="77777777" w:rsidR="00AB3647" w:rsidRDefault="00000000" w:rsidP="007923E9">
      <w:pPr>
        <w:spacing w:after="120" w:line="276" w:lineRule="auto"/>
        <w:ind w:firstLine="283"/>
        <w:jc w:val="both"/>
      </w:pPr>
      <w:r>
        <w:rPr>
          <w:rtl/>
        </w:rPr>
        <w:t>“תורת אברהם”</w:t>
      </w:r>
      <w:bookmarkStart w:id="6244" w:name="_fnr4682"/>
      <w:r>
        <w:rPr>
          <w:rStyle w:val="a5"/>
        </w:rPr>
        <w:footnoteReference w:id="4693" w:customMarkFollows="0"/>
      </w:r>
      <w:bookmarkEnd w:id="6244"/>
      <w:r>
        <w:rPr>
          <w:rtl/>
        </w:rPr>
        <w:t xml:space="preserve"> מתאר גם כיצד גלשה “מלחמה מרה” זו לרחובות </w:t>
      </w:r>
      <w:proofErr w:type="spellStart"/>
      <w:r>
        <w:rPr>
          <w:rtl/>
        </w:rPr>
        <w:t>סלבודקה</w:t>
      </w:r>
      <w:proofErr w:type="spellEnd"/>
      <w:r>
        <w:rPr>
          <w:rtl/>
        </w:rPr>
        <w:t xml:space="preserve"> והפכה את העיר כולה </w:t>
      </w:r>
      <w:proofErr w:type="spellStart"/>
      <w:r>
        <w:rPr>
          <w:rtl/>
        </w:rPr>
        <w:t>ל“שדה</w:t>
      </w:r>
      <w:proofErr w:type="spellEnd"/>
      <w:r>
        <w:rPr>
          <w:rtl/>
        </w:rPr>
        <w:t xml:space="preserve"> קרב של תורה” – כשם שרחובות </w:t>
      </w:r>
      <w:proofErr w:type="spellStart"/>
      <w:r>
        <w:rPr>
          <w:rtl/>
        </w:rPr>
        <w:t>טלז</w:t>
      </w:r>
      <w:proofErr w:type="spellEnd"/>
      <w:r>
        <w:rPr>
          <w:rtl/>
        </w:rPr>
        <w:t xml:space="preserve"> הושפעו מן הישיבה שבעיר</w:t>
      </w:r>
      <w:bookmarkStart w:id="6245" w:name="_fnr4683"/>
      <w:r>
        <w:rPr>
          <w:rStyle w:val="a5"/>
        </w:rPr>
        <w:footnoteReference w:id="4694" w:customMarkFollows="0"/>
      </w:r>
      <w:bookmarkEnd w:id="6245"/>
      <w:r>
        <w:rPr>
          <w:rtl/>
        </w:rPr>
        <w:t xml:space="preserve">. ר׳ אהרן קוטלר הביע פעם את “איבתו” לחותנו, הצדיק ר׳ </w:t>
      </w:r>
      <w:proofErr w:type="spellStart"/>
      <w:r>
        <w:rPr>
          <w:rtl/>
        </w:rPr>
        <w:t>איסר־זלמן</w:t>
      </w:r>
      <w:proofErr w:type="spellEnd"/>
      <w:r>
        <w:rPr>
          <w:rtl/>
        </w:rPr>
        <w:t xml:space="preserve"> מלצר, כשקרא בתוך מלחמתה של תורה: “אני יודע ללמוד טוב ממך!” ר׳ </w:t>
      </w:r>
      <w:proofErr w:type="spellStart"/>
      <w:r>
        <w:rPr>
          <w:rtl/>
        </w:rPr>
        <w:t>איסר־זלמן</w:t>
      </w:r>
      <w:proofErr w:type="spellEnd"/>
      <w:r>
        <w:rPr>
          <w:rtl/>
        </w:rPr>
        <w:t xml:space="preserve"> השיב בלי להתרגש: “נו, זה לא הרבה!”</w:t>
      </w:r>
      <w:bookmarkStart w:id="6246" w:name="_fnr4684"/>
      <w:r>
        <w:rPr>
          <w:rStyle w:val="a5"/>
        </w:rPr>
        <w:footnoteReference w:id="4695" w:customMarkFollows="0"/>
      </w:r>
      <w:bookmarkEnd w:id="6246"/>
      <w:r>
        <w:rPr>
          <w:rtl/>
        </w:rPr>
        <w:t xml:space="preserve">. סירובו של ר׳ אהרן לתת תוקף לדעת הזולת בא לידי ביטוי חריף כשיצא מפגישה בת כמה שעות עם החזון איש ואמר: “מעולם לא פגשתי אדם עקשן כחזון איש”. ר׳ אהרן ראה במחלוקת החזון איש עליו עקשנות גרידא; שאם לא כן, כיצד אפשר שלא לראות את הדברים בדרך </w:t>
      </w:r>
      <w:proofErr w:type="spellStart"/>
      <w:r>
        <w:rPr>
          <w:rtl/>
        </w:rPr>
        <w:t>ה“נכונה</w:t>
      </w:r>
      <w:proofErr w:type="spellEnd"/>
      <w:r>
        <w:rPr>
          <w:rtl/>
        </w:rPr>
        <w:t>” – דרכו שלו, דרך ר׳ אהרן?</w:t>
      </w:r>
      <w:bookmarkStart w:id="6247" w:name="_fnr4685"/>
      <w:r>
        <w:rPr>
          <w:rStyle w:val="a5"/>
        </w:rPr>
        <w:footnoteReference w:id="4696" w:customMarkFollows="0"/>
      </w:r>
      <w:bookmarkEnd w:id="6247"/>
    </w:p>
    <w:p w14:paraId="58461A80" w14:textId="77777777" w:rsidR="00AB3647" w:rsidRDefault="00000000" w:rsidP="007923E9">
      <w:pPr>
        <w:pStyle w:val="4"/>
        <w:spacing w:line="276" w:lineRule="auto"/>
      </w:pPr>
      <w:r>
        <w:t>· הפסקה השנייה ·</w:t>
      </w:r>
    </w:p>
    <w:p w14:paraId="14738BCD"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עישונו של ר׳ ישראל </w:t>
      </w:r>
      <w:proofErr w:type="spellStart"/>
      <w:r>
        <w:rPr>
          <w:color w:val="404040"/>
          <w:sz w:val="22"/>
          <w:szCs w:val="22"/>
          <w:rtl/>
        </w:rPr>
        <w:t>סלנטר</w:t>
      </w:r>
      <w:proofErr w:type="spellEnd"/>
      <w:r>
        <w:rPr>
          <w:color w:val="404040"/>
          <w:sz w:val="22"/>
          <w:szCs w:val="22"/>
          <w:rtl/>
        </w:rPr>
        <w:t xml:space="preserve"> אינו מידה רעה – גם ר׳ שמעון </w:t>
      </w:r>
      <w:proofErr w:type="spellStart"/>
      <w:r>
        <w:rPr>
          <w:color w:val="404040"/>
          <w:sz w:val="22"/>
          <w:szCs w:val="22"/>
          <w:rtl/>
        </w:rPr>
        <w:t>שקופ</w:t>
      </w:r>
      <w:proofErr w:type="spellEnd"/>
      <w:r>
        <w:rPr>
          <w:color w:val="404040"/>
          <w:sz w:val="22"/>
          <w:szCs w:val="22"/>
          <w:rtl/>
        </w:rPr>
        <w:t xml:space="preserve"> מעשן – הוא מחקה את ר׳ ישראל – ר׳ שמעון רואה בר׳ ישראל את רבו ולפיכך רוצה להישאר בארצות הברית – ד״ר ברנרד </w:t>
      </w:r>
      <w:proofErr w:type="spellStart"/>
      <w:r>
        <w:rPr>
          <w:color w:val="404040"/>
          <w:sz w:val="22"/>
          <w:szCs w:val="22"/>
          <w:rtl/>
        </w:rPr>
        <w:t>רבל</w:t>
      </w:r>
      <w:proofErr w:type="spellEnd"/>
      <w:r>
        <w:rPr>
          <w:color w:val="404040"/>
          <w:sz w:val="22"/>
          <w:szCs w:val="22"/>
          <w:rtl/>
        </w:rPr>
        <w:t xml:space="preserve"> אינו מעסיק נוח – ר׳ שמעון מצטער על העישון – הרופאים מצווים על ר׳ ישראל להניח למוחו – גם </w:t>
      </w:r>
      <w:proofErr w:type="spellStart"/>
      <w:r>
        <w:rPr>
          <w:color w:val="404040"/>
          <w:sz w:val="22"/>
          <w:szCs w:val="22"/>
          <w:rtl/>
        </w:rPr>
        <w:t>החפץ־חיים</w:t>
      </w:r>
      <w:proofErr w:type="spellEnd"/>
      <w:r>
        <w:rPr>
          <w:color w:val="404040"/>
          <w:sz w:val="22"/>
          <w:szCs w:val="22"/>
          <w:rtl/>
        </w:rPr>
        <w:t xml:space="preserve"> צריך להניח למוחו – ר׳ ישראל עושה “קידוש” ביום הכיפורים ומבטל לחלוטין את הצום – כמה שנים חי </w:t>
      </w:r>
      <w:proofErr w:type="spellStart"/>
      <w:r>
        <w:rPr>
          <w:color w:val="404040"/>
          <w:sz w:val="22"/>
          <w:szCs w:val="22"/>
          <w:rtl/>
        </w:rPr>
        <w:t>החפץ־חיים</w:t>
      </w:r>
      <w:proofErr w:type="spellEnd"/>
      <w:r>
        <w:rPr>
          <w:color w:val="404040"/>
          <w:sz w:val="22"/>
          <w:szCs w:val="22"/>
          <w:rtl/>
        </w:rPr>
        <w:t xml:space="preserve">? – הקושי שבמעשה ר׳ ישראל – הוא נקרא לתת דין וחשבון – יום הכיפורים הראשון של אבי בטורונטו – גדולתו של ר׳ ישראל </w:t>
      </w:r>
      <w:proofErr w:type="spellStart"/>
      <w:r>
        <w:rPr>
          <w:color w:val="404040"/>
          <w:sz w:val="22"/>
          <w:szCs w:val="22"/>
          <w:rtl/>
        </w:rPr>
        <w:t>סלנטר</w:t>
      </w:r>
      <w:proofErr w:type="spellEnd"/>
      <w:r>
        <w:rPr>
          <w:color w:val="404040"/>
          <w:sz w:val="22"/>
          <w:szCs w:val="22"/>
          <w:rtl/>
        </w:rPr>
        <w:t xml:space="preserve"> – דעת בית </w:t>
      </w:r>
      <w:proofErr w:type="spellStart"/>
      <w:r>
        <w:rPr>
          <w:color w:val="404040"/>
          <w:sz w:val="22"/>
          <w:szCs w:val="22"/>
          <w:rtl/>
        </w:rPr>
        <w:t>סולובייצ׳יק</w:t>
      </w:r>
      <w:proofErr w:type="spellEnd"/>
      <w:r>
        <w:rPr>
          <w:color w:val="404040"/>
          <w:sz w:val="22"/>
          <w:szCs w:val="22"/>
          <w:rtl/>
        </w:rPr>
        <w:t xml:space="preserve"> על ר׳ ישראל – גדולתו ותלאותיו של </w:t>
      </w:r>
      <w:proofErr w:type="spellStart"/>
      <w:r>
        <w:rPr>
          <w:color w:val="404040"/>
          <w:sz w:val="22"/>
          <w:szCs w:val="22"/>
          <w:rtl/>
        </w:rPr>
        <w:t>המלבי״ם</w:t>
      </w:r>
      <w:proofErr w:type="spellEnd"/>
      <w:r>
        <w:rPr>
          <w:color w:val="404040"/>
          <w:sz w:val="22"/>
          <w:szCs w:val="22"/>
          <w:rtl/>
        </w:rPr>
        <w:t xml:space="preserve"> – מדוע עזב ר׳ ישראל את וילנה – דעת הרב </w:t>
      </w:r>
      <w:proofErr w:type="spellStart"/>
      <w:r>
        <w:rPr>
          <w:color w:val="404040"/>
          <w:sz w:val="22"/>
          <w:szCs w:val="22"/>
          <w:rtl/>
        </w:rPr>
        <w:t>בריט</w:t>
      </w:r>
      <w:proofErr w:type="spellEnd"/>
      <w:r>
        <w:rPr>
          <w:color w:val="404040"/>
          <w:sz w:val="22"/>
          <w:szCs w:val="22"/>
          <w:rtl/>
        </w:rPr>
        <w:t xml:space="preserve"> על בית המדרש לרבנים – קבלת הפנים המפוקפקת </w:t>
      </w:r>
      <w:proofErr w:type="spellStart"/>
      <w:r>
        <w:rPr>
          <w:color w:val="404040"/>
          <w:sz w:val="22"/>
          <w:szCs w:val="22"/>
          <w:rtl/>
        </w:rPr>
        <w:t>לר</w:t>
      </w:r>
      <w:proofErr w:type="spellEnd"/>
      <w:r>
        <w:rPr>
          <w:color w:val="404040"/>
          <w:sz w:val="22"/>
          <w:szCs w:val="22"/>
          <w:rtl/>
        </w:rPr>
        <w:t xml:space="preserve">׳ ישראל בקובנה – ר׳ </w:t>
      </w:r>
      <w:proofErr w:type="spellStart"/>
      <w:r>
        <w:rPr>
          <w:color w:val="404040"/>
          <w:sz w:val="22"/>
          <w:szCs w:val="22"/>
          <w:rtl/>
        </w:rPr>
        <w:t>לייבל׳ה</w:t>
      </w:r>
      <w:proofErr w:type="spellEnd"/>
      <w:r>
        <w:rPr>
          <w:color w:val="404040"/>
          <w:sz w:val="22"/>
          <w:szCs w:val="22"/>
          <w:rtl/>
        </w:rPr>
        <w:t xml:space="preserve"> קובנר נלחם בו – דעות אחרות בשאלה מדוע עזב ר׳ ישראל את וילנה – הוא אינו משיב לשאלת ר׳ יעקב הלוי ליפשיץ – המשכילים תולים את כישלון בית המדרש לרבנים בר׳ ישראל </w:t>
      </w:r>
      <w:proofErr w:type="spellStart"/>
      <w:r>
        <w:rPr>
          <w:color w:val="404040"/>
          <w:sz w:val="22"/>
          <w:szCs w:val="22"/>
          <w:rtl/>
        </w:rPr>
        <w:t>סלנטר</w:t>
      </w:r>
      <w:proofErr w:type="spellEnd"/>
    </w:p>
    <w:p w14:paraId="2FC6EF25" w14:textId="77777777" w:rsidR="00AB3647" w:rsidRDefault="00000000" w:rsidP="007923E9">
      <w:pPr>
        <w:spacing w:after="120" w:line="276" w:lineRule="auto"/>
        <w:ind w:firstLine="283"/>
        <w:jc w:val="both"/>
      </w:pPr>
      <w:r>
        <w:rPr>
          <w:rtl/>
        </w:rPr>
        <w:lastRenderedPageBreak/>
        <w:t xml:space="preserve">בקשר למגרעת העישון נתן אבי טעם – כפי שנרשם להלן, בעמ׳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 לעובדה המתמיהה שר׳ ישראל </w:t>
      </w:r>
      <w:proofErr w:type="spellStart"/>
      <w:r>
        <w:rPr>
          <w:rtl/>
        </w:rPr>
        <w:t>סלנטר</w:t>
      </w:r>
      <w:proofErr w:type="spellEnd"/>
      <w:r>
        <w:rPr>
          <w:rtl/>
        </w:rPr>
        <w:t>, מורה השליטה העצמית הגדול, היה בעצמו מעשן</w:t>
      </w:r>
      <w:bookmarkStart w:id="6248" w:name="_fnr4686"/>
      <w:r>
        <w:rPr>
          <w:rStyle w:val="a5"/>
        </w:rPr>
        <w:footnoteReference w:id="4697" w:customMarkFollows="0"/>
      </w:r>
      <w:bookmarkEnd w:id="6248"/>
      <w:r>
        <w:rPr>
          <w:rtl/>
        </w:rPr>
        <w:t>. אבי ציין אז גם שלפני כל יום טוב היה ר׳ ישראל לומד מחדש את השאלה אם העישון הוא “מלאכה” האסורה בחג, ומסיק שהעישון מותר רק ביום טוב שני (בחוץ לארץ). רבנו הוסיף שבשאלות של הלכה למעשה ראוי ללמוד את העניין מחדש בכל פעם שעומדת לפני האדם בעיה שנראית זהה.</w:t>
      </w:r>
    </w:p>
    <w:p w14:paraId="7DD136B4" w14:textId="77777777" w:rsidR="00AB3647" w:rsidRDefault="00000000" w:rsidP="007923E9">
      <w:pPr>
        <w:spacing w:after="120" w:line="276" w:lineRule="auto"/>
        <w:ind w:firstLine="283"/>
        <w:jc w:val="both"/>
      </w:pPr>
      <w:r>
        <w:rPr>
          <w:rtl/>
        </w:rPr>
        <w:t xml:space="preserve">עיקרון זה קיים ר׳ </w:t>
      </w:r>
      <w:proofErr w:type="spellStart"/>
      <w:r>
        <w:rPr>
          <w:rtl/>
        </w:rPr>
        <w:t>זלמל׳ה</w:t>
      </w:r>
      <w:proofErr w:type="spellEnd"/>
      <w:r>
        <w:rPr>
          <w:rtl/>
        </w:rPr>
        <w:t xml:space="preserve">, אחיו הצעיר של ר׳ חיים </w:t>
      </w:r>
      <w:proofErr w:type="spellStart"/>
      <w:r>
        <w:rPr>
          <w:rtl/>
        </w:rPr>
        <w:t>מוולוז׳ין</w:t>
      </w:r>
      <w:proofErr w:type="spellEnd"/>
      <w:r>
        <w:rPr>
          <w:rtl/>
        </w:rPr>
        <w:t xml:space="preserve">, ככתוב </w:t>
      </w:r>
      <w:proofErr w:type="spellStart"/>
      <w:r>
        <w:rPr>
          <w:rtl/>
        </w:rPr>
        <w:t>ב“תולדות</w:t>
      </w:r>
      <w:proofErr w:type="spellEnd"/>
      <w:r>
        <w:rPr>
          <w:rtl/>
        </w:rPr>
        <w:t xml:space="preserve"> אדם”, חלק ראשון, מאת הרב וכו׳ יחזקאל </w:t>
      </w:r>
      <w:proofErr w:type="spellStart"/>
      <w:r>
        <w:rPr>
          <w:rtl/>
        </w:rPr>
        <w:t>פייוויל</w:t>
      </w:r>
      <w:proofErr w:type="spellEnd"/>
      <w:r>
        <w:rPr>
          <w:rtl/>
        </w:rPr>
        <w:t xml:space="preserve"> מ״מ ומו״צ </w:t>
      </w:r>
      <w:proofErr w:type="spellStart"/>
      <w:r>
        <w:rPr>
          <w:rtl/>
        </w:rPr>
        <w:t>דק״ק</w:t>
      </w:r>
      <w:proofErr w:type="spellEnd"/>
      <w:r>
        <w:rPr>
          <w:rtl/>
        </w:rPr>
        <w:t xml:space="preserve"> </w:t>
      </w:r>
      <w:proofErr w:type="spellStart"/>
      <w:r>
        <w:rPr>
          <w:rtl/>
        </w:rPr>
        <w:t>ווילנא</w:t>
      </w:r>
      <w:bookmarkStart w:id="6249" w:name="_fnr4687"/>
      <w:proofErr w:type="spellEnd"/>
      <w:r>
        <w:rPr>
          <w:rStyle w:val="a5"/>
        </w:rPr>
        <w:footnoteReference w:id="4698" w:customMarkFollows="0"/>
      </w:r>
      <w:bookmarkEnd w:id="6249"/>
      <w:r>
        <w:rPr>
          <w:rtl/>
        </w:rPr>
        <w:t xml:space="preserve"> – אלא שאצל צדיק מיוחד זה היה העיון החוזר בהלכות כל עניין שהזדמן לו, ואילו אבי התכוון רק לעניינים השנויים במחלוקת, כגון עישון ביום טוב</w:t>
      </w:r>
      <w:bookmarkStart w:id="6250" w:name="_fnr4688"/>
      <w:bookmarkStart w:id="6251" w:name="pr_f_4569"/>
      <w:r>
        <w:rPr>
          <w:rStyle w:val="a5"/>
        </w:rPr>
        <w:footnoteReference w:id="4699" w:customMarkFollows="0"/>
      </w:r>
      <w:bookmarkEnd w:id="6250"/>
      <w:bookmarkEnd w:id="6251"/>
      <w:r>
        <w:rPr>
          <w:rtl/>
        </w:rPr>
        <w:t xml:space="preserve">. ר׳ יוסף </w:t>
      </w:r>
      <w:proofErr w:type="spellStart"/>
      <w:r>
        <w:rPr>
          <w:rtl/>
        </w:rPr>
        <w:t>וולק</w:t>
      </w:r>
      <w:proofErr w:type="spellEnd"/>
      <w:r>
        <w:rPr>
          <w:rtl/>
        </w:rPr>
        <w:t xml:space="preserve"> סיפר</w:t>
      </w:r>
      <w:bookmarkStart w:id="6252" w:name="_fnr4689"/>
      <w:r>
        <w:rPr>
          <w:rStyle w:val="a5"/>
        </w:rPr>
        <w:footnoteReference w:id="4700" w:customMarkFollows="0"/>
      </w:r>
      <w:bookmarkEnd w:id="6252"/>
      <w:r>
        <w:rPr>
          <w:rtl/>
        </w:rPr>
        <w:t xml:space="preserve"> שניסה להצדיק את הרגל העישון שלו בדוגמת ר׳ ישראל, ורבנו דחה זאת בתשובה: “וכי אתה סבור שאתה חייב לעשן? ר׳ ישראל עישן מפני שסבר שהוא חייב לעשות כן”.</w:t>
      </w:r>
    </w:p>
    <w:p w14:paraId="5E2C968B" w14:textId="77777777" w:rsidR="00AB3647" w:rsidRDefault="00000000" w:rsidP="007923E9">
      <w:pPr>
        <w:spacing w:after="120" w:line="276" w:lineRule="auto"/>
        <w:ind w:firstLine="283"/>
        <w:jc w:val="both"/>
      </w:pPr>
      <w:bookmarkStart w:id="6253" w:name="pr_b_2631"/>
      <w:bookmarkEnd w:id="6253"/>
      <w:r>
        <w:rPr>
          <w:rtl/>
        </w:rPr>
        <w:t>ר׳ זליג אפשטיין</w:t>
      </w:r>
      <w:bookmarkStart w:id="6254" w:name="_fnr4690"/>
      <w:r>
        <w:rPr>
          <w:rStyle w:val="a5"/>
        </w:rPr>
        <w:footnoteReference w:id="4701" w:customMarkFollows="0"/>
      </w:r>
      <w:bookmarkEnd w:id="6254"/>
      <w:r>
        <w:rPr>
          <w:rtl/>
        </w:rPr>
        <w:t xml:space="preserve"> נדהם כשראה את ר׳ שמעון </w:t>
      </w:r>
      <w:proofErr w:type="spellStart"/>
      <w:r>
        <w:rPr>
          <w:rtl/>
        </w:rPr>
        <w:t>שקופ</w:t>
      </w:r>
      <w:proofErr w:type="spellEnd"/>
      <w:r>
        <w:rPr>
          <w:rtl/>
        </w:rPr>
        <w:t xml:space="preserve"> מעשן, שהרי “ר׳ שמעון לא עסק מעולם בפעילות ציבורית, שהעימותים </w:t>
      </w:r>
      <w:proofErr w:type="spellStart"/>
      <w:r>
        <w:rPr>
          <w:rtl/>
        </w:rPr>
        <w:t>הבין־אישיים</w:t>
      </w:r>
      <w:proofErr w:type="spellEnd"/>
      <w:r>
        <w:rPr>
          <w:rtl/>
        </w:rPr>
        <w:t xml:space="preserve"> הכרוכים בה עשויים היו להפעיל עליו לחץ שהעישון נחוץ להפגתו; הוא לא יצא מעולם מד׳ אמות של הלכה”</w:t>
      </w:r>
      <w:bookmarkStart w:id="6255" w:name="_fnr4691"/>
      <w:r>
        <w:rPr>
          <w:rStyle w:val="a5"/>
        </w:rPr>
        <w:footnoteReference w:id="4702" w:customMarkFollows="0"/>
      </w:r>
      <w:bookmarkEnd w:id="6255"/>
      <w:r>
        <w:rPr>
          <w:rtl/>
        </w:rPr>
        <w:t xml:space="preserve">. עוד אמר שר׳ לייב </w:t>
      </w:r>
      <w:proofErr w:type="spellStart"/>
      <w:r>
        <w:rPr>
          <w:rtl/>
        </w:rPr>
        <w:t>מאלין</w:t>
      </w:r>
      <w:proofErr w:type="spellEnd"/>
      <w:r>
        <w:rPr>
          <w:rtl/>
        </w:rPr>
        <w:t xml:space="preserve">, שלמד אצל ר׳ שמעון וגם פגש את שאר גדולי עולם הישיבות שלאחר מלחמת העולם הראשונה, הכריז על הרב </w:t>
      </w:r>
      <w:proofErr w:type="spellStart"/>
      <w:r>
        <w:rPr>
          <w:rtl/>
        </w:rPr>
        <w:t>שקופ</w:t>
      </w:r>
      <w:proofErr w:type="spellEnd"/>
      <w:r>
        <w:rPr>
          <w:rtl/>
        </w:rPr>
        <w:t xml:space="preserve"> שהוא “היחיד בדורו הדבוק במחשבה </w:t>
      </w:r>
      <w:proofErr w:type="spellStart"/>
      <w:r>
        <w:rPr>
          <w:rtl/>
        </w:rPr>
        <w:t>עילאה</w:t>
      </w:r>
      <w:bookmarkStart w:id="6256" w:name="_fnr4692"/>
      <w:proofErr w:type="spellEnd"/>
      <w:r>
        <w:rPr>
          <w:rStyle w:val="a5"/>
        </w:rPr>
        <w:footnoteReference w:id="4703" w:customMarkFollows="0"/>
      </w:r>
      <w:bookmarkEnd w:id="6256"/>
      <w:r>
        <w:rPr>
          <w:rtl/>
        </w:rPr>
        <w:t xml:space="preserve"> בכל עת”. השווה גם “תורה יבקשו מפיהו”</w:t>
      </w:r>
      <w:bookmarkStart w:id="6257" w:name="_fnr4693"/>
      <w:r>
        <w:rPr>
          <w:rStyle w:val="a5"/>
        </w:rPr>
        <w:footnoteReference w:id="4704" w:customMarkFollows="0"/>
      </w:r>
      <w:bookmarkEnd w:id="6257"/>
      <w:r>
        <w:rPr>
          <w:rtl/>
        </w:rPr>
        <w:t xml:space="preserve">, המביא את דברי ר׳ זלמן </w:t>
      </w:r>
      <w:proofErr w:type="spellStart"/>
      <w:r>
        <w:rPr>
          <w:rtl/>
        </w:rPr>
        <w:t>רוטברג</w:t>
      </w:r>
      <w:bookmarkStart w:id="6258" w:name="_fnr4694"/>
      <w:proofErr w:type="spellEnd"/>
      <w:r>
        <w:rPr>
          <w:rStyle w:val="a5"/>
        </w:rPr>
        <w:footnoteReference w:id="4705" w:customMarkFollows="0"/>
      </w:r>
      <w:bookmarkEnd w:id="6258"/>
      <w:r>
        <w:rPr>
          <w:rtl/>
        </w:rPr>
        <w:t xml:space="preserve">, שזכה לישון כמה שבועות בחדרו של ר׳ שמעון ולראות שגם כשהרב </w:t>
      </w:r>
      <w:proofErr w:type="spellStart"/>
      <w:r>
        <w:rPr>
          <w:rtl/>
        </w:rPr>
        <w:t>שקופ</w:t>
      </w:r>
      <w:proofErr w:type="spellEnd"/>
      <w:r>
        <w:rPr>
          <w:rtl/>
        </w:rPr>
        <w:t xml:space="preserve"> ישן, “כולו תורה – ולא ניתן זה לתיאור”</w:t>
      </w:r>
      <w:bookmarkStart w:id="6259" w:name="_fnr4695"/>
      <w:r>
        <w:rPr>
          <w:rStyle w:val="a5"/>
        </w:rPr>
        <w:footnoteReference w:id="4706" w:customMarkFollows="0"/>
      </w:r>
      <w:bookmarkEnd w:id="6259"/>
      <w:bookmarkStart w:id="7051" w:name="_TranslatorNote_5401"/>
      <w:r>
        <w:rPr>
          <w:rStyle w:val="a5"/>
          <w:vertAlign w:val="superscript"/>
          <w:rtl/>
        </w:rPr>
        <w:footnoteReference w:id="4707" w:customMarkFollows="1"/>
        <w:t>*</w:t>
      </w:r>
      <w:bookmarkEnd w:id="7051"/>
      <w:r>
        <w:rPr>
          <w:rtl/>
        </w:rPr>
        <w:t>.</w:t>
      </w:r>
    </w:p>
    <w:p w14:paraId="6F9835C6" w14:textId="77777777" w:rsidR="00AB3647" w:rsidRDefault="00000000" w:rsidP="007923E9">
      <w:pPr>
        <w:spacing w:after="120" w:line="276" w:lineRule="auto"/>
        <w:ind w:firstLine="283"/>
        <w:jc w:val="both"/>
      </w:pPr>
      <w:r>
        <w:rPr>
          <w:rtl/>
        </w:rPr>
        <w:lastRenderedPageBreak/>
        <w:t xml:space="preserve">ור׳ שמעון היה מעשן כבד: “מורי האומה”, כרך ה, מאת הרב ישראל </w:t>
      </w:r>
      <w:proofErr w:type="spellStart"/>
      <w:r>
        <w:rPr>
          <w:rtl/>
        </w:rPr>
        <w:t>שורין</w:t>
      </w:r>
      <w:bookmarkStart w:id="6260" w:name="_fnr4696"/>
      <w:proofErr w:type="spellEnd"/>
      <w:r>
        <w:rPr>
          <w:rStyle w:val="a5"/>
        </w:rPr>
        <w:footnoteReference w:id="4708" w:customMarkFollows="0"/>
      </w:r>
      <w:bookmarkEnd w:id="6260"/>
      <w:r>
        <w:rPr>
          <w:rtl/>
        </w:rPr>
        <w:t xml:space="preserve">, מביא את תיאורו של ר׳ מאיר ברלין את ר׳ שמעון בזמן שלמד אצלו </w:t>
      </w:r>
      <w:proofErr w:type="spellStart"/>
      <w:r>
        <w:rPr>
          <w:rtl/>
        </w:rPr>
        <w:t>בטלז</w:t>
      </w:r>
      <w:proofErr w:type="spellEnd"/>
      <w:r>
        <w:rPr>
          <w:rtl/>
        </w:rPr>
        <w:t xml:space="preserve"> (</w:t>
      </w:r>
      <w:proofErr w:type="spellStart"/>
      <w:r>
        <w:rPr>
          <w:rtl/>
        </w:rPr>
        <w:t>בתרנ״ה</w:t>
      </w:r>
      <w:proofErr w:type="spellEnd"/>
      <w:r>
        <w:rPr>
          <w:rtl/>
        </w:rPr>
        <w:t xml:space="preserve">): “פעם נכנסתי אצל רבי שמעון בשעה שש בבקר (הרב היה צריך להגיד שעורו) ומצאתיו יושב על יד השלחן, מגבת </w:t>
      </w:r>
      <w:proofErr w:type="spellStart"/>
      <w:r>
        <w:rPr>
          <w:rtl/>
        </w:rPr>
        <w:t>רטבה־לחה</w:t>
      </w:r>
      <w:proofErr w:type="spellEnd"/>
      <w:r>
        <w:rPr>
          <w:rtl/>
        </w:rPr>
        <w:t xml:space="preserve"> מסביב לראשו, המאפרה מלאה </w:t>
      </w:r>
      <w:proofErr w:type="spellStart"/>
      <w:r>
        <w:rPr>
          <w:rtl/>
        </w:rPr>
        <w:t>בדלי־סיגריות</w:t>
      </w:r>
      <w:proofErr w:type="spellEnd"/>
      <w:r>
        <w:rPr>
          <w:rtl/>
        </w:rPr>
        <w:t xml:space="preserve"> ומחוטמו נזל דם. </w:t>
      </w:r>
      <w:proofErr w:type="spellStart"/>
      <w:r>
        <w:rPr>
          <w:rtl/>
        </w:rPr>
        <w:t>נכר</w:t>
      </w:r>
      <w:proofErr w:type="spellEnd"/>
      <w:r>
        <w:rPr>
          <w:rtl/>
        </w:rPr>
        <w:t xml:space="preserve"> היה: שהיה ער כל הלילה [בלימוד]”.</w:t>
      </w:r>
    </w:p>
    <w:p w14:paraId="3D53E09F" w14:textId="77777777" w:rsidR="00AB3647" w:rsidRDefault="00000000" w:rsidP="007923E9">
      <w:pPr>
        <w:spacing w:after="120" w:line="276" w:lineRule="auto"/>
        <w:ind w:firstLine="283"/>
        <w:jc w:val="both"/>
      </w:pPr>
      <w:r>
        <w:rPr>
          <w:rtl/>
        </w:rPr>
        <w:t xml:space="preserve">תעלומת עישונו של ר׳ שמעון התבררה </w:t>
      </w:r>
      <w:proofErr w:type="spellStart"/>
      <w:r>
        <w:rPr>
          <w:rtl/>
        </w:rPr>
        <w:t>לר</w:t>
      </w:r>
      <w:proofErr w:type="spellEnd"/>
      <w:r>
        <w:rPr>
          <w:rtl/>
        </w:rPr>
        <w:t xml:space="preserve">׳ זליג אפשטיין אחרי פטירת הרב </w:t>
      </w:r>
      <w:proofErr w:type="spellStart"/>
      <w:r>
        <w:rPr>
          <w:rtl/>
        </w:rPr>
        <w:t>שקופ</w:t>
      </w:r>
      <w:proofErr w:type="spellEnd"/>
      <w:r>
        <w:rPr>
          <w:rtl/>
        </w:rPr>
        <w:t xml:space="preserve">. ר׳ זליג שמע מר׳ </w:t>
      </w:r>
      <w:proofErr w:type="spellStart"/>
      <w:r>
        <w:rPr>
          <w:rtl/>
        </w:rPr>
        <w:t>נחום־אבא</w:t>
      </w:r>
      <w:proofErr w:type="spellEnd"/>
      <w:r>
        <w:rPr>
          <w:rtl/>
        </w:rPr>
        <w:t xml:space="preserve"> </w:t>
      </w:r>
      <w:proofErr w:type="spellStart"/>
      <w:r>
        <w:rPr>
          <w:rtl/>
        </w:rPr>
        <w:t>גרוסברד</w:t>
      </w:r>
      <w:proofErr w:type="spellEnd"/>
      <w:r>
        <w:rPr>
          <w:rtl/>
        </w:rPr>
        <w:t xml:space="preserve"> שר׳ שמעון גילה לו, כשנתיים לפני פטירתו, שעישן רק מפני שסבר שיש בעישון תועלת</w:t>
      </w:r>
      <w:bookmarkStart w:id="6261" w:name="_fnr4697"/>
      <w:r>
        <w:rPr>
          <w:rStyle w:val="a5"/>
        </w:rPr>
        <w:footnoteReference w:id="4709" w:customMarkFollows="0"/>
      </w:r>
      <w:bookmarkEnd w:id="6261"/>
      <w:r>
        <w:rPr>
          <w:rtl/>
        </w:rPr>
        <w:t xml:space="preserve">. את הנחתו ביסס על כך שר׳ ישראל עישן – ר׳ ישראל, שנמנע מכל פינוק ומותרות מאז היותו בר מצווה. ר׳ שמעון סיפר </w:t>
      </w:r>
      <w:proofErr w:type="spellStart"/>
      <w:r>
        <w:rPr>
          <w:rtl/>
        </w:rPr>
        <w:t>לר</w:t>
      </w:r>
      <w:proofErr w:type="spellEnd"/>
      <w:r>
        <w:rPr>
          <w:rtl/>
        </w:rPr>
        <w:t xml:space="preserve">׳ </w:t>
      </w:r>
      <w:proofErr w:type="spellStart"/>
      <w:r>
        <w:rPr>
          <w:rtl/>
        </w:rPr>
        <w:t>נחום־אבא</w:t>
      </w:r>
      <w:proofErr w:type="spellEnd"/>
      <w:r>
        <w:rPr>
          <w:rtl/>
        </w:rPr>
        <w:t xml:space="preserve"> שכשהגיע ר׳ ישראל לגיל בר מצווה, החליט להימנע ממאכל שנהנה ממנו יתר על המידה: לביבות תפוחי אדמה. כעבור שנה, כשבא לבית חותנו וחמותו לעתיד כדי להתארס, הניחו לפניו לביבות. הוא התלבט בינו לבין עצמו איזה משני הרעים שניצבו לפניו קל יותר – לוותר על החלטתו או להעליב את מארחיו – ואכל שתי לביבות. לימים אמר ר׳ ישראל שהצטער על החלטה זו כל ימי חייו!</w:t>
      </w:r>
    </w:p>
    <w:p w14:paraId="55DCF89F" w14:textId="77777777" w:rsidR="00AB3647" w:rsidRDefault="00000000" w:rsidP="007923E9">
      <w:pPr>
        <w:spacing w:after="120" w:line="276" w:lineRule="auto"/>
        <w:ind w:firstLine="283"/>
        <w:jc w:val="both"/>
      </w:pPr>
      <w:r>
        <w:rPr>
          <w:rtl/>
        </w:rPr>
        <w:t>המבוא הביוגרפי שכתב ר׳ אריה לוין לספרו של בעל “לשם שבו ואחלמה”</w:t>
      </w:r>
      <w:bookmarkStart w:id="6262" w:name="_fnr4698"/>
      <w:r>
        <w:rPr>
          <w:rStyle w:val="a5"/>
        </w:rPr>
        <w:footnoteReference w:id="4710" w:customMarkFollows="0"/>
      </w:r>
      <w:bookmarkEnd w:id="6262"/>
      <w:r>
        <w:rPr>
          <w:rtl/>
        </w:rPr>
        <w:t xml:space="preserve"> מביא בשם ר׳ שלמה אלישיב: “ר׳ ישראל לא נהנה מן העולם הזה, וכו׳</w:t>
      </w:r>
      <w:bookmarkStart w:id="6263" w:name="_fnr4699"/>
      <w:r>
        <w:rPr>
          <w:rStyle w:val="a5"/>
        </w:rPr>
        <w:footnoteReference w:id="4711" w:customMarkFollows="0"/>
      </w:r>
      <w:bookmarkEnd w:id="6263"/>
      <w:r>
        <w:rPr>
          <w:rtl/>
        </w:rPr>
        <w:t xml:space="preserve">, כי מאס בכבוד, שנא את הכסף ולא הניח מקום </w:t>
      </w:r>
      <w:proofErr w:type="spellStart"/>
      <w:r>
        <w:rPr>
          <w:rtl/>
        </w:rPr>
        <w:t>בלבו</w:t>
      </w:r>
      <w:proofErr w:type="spellEnd"/>
      <w:r>
        <w:rPr>
          <w:rtl/>
        </w:rPr>
        <w:t xml:space="preserve"> לאהבת ילדיו – שלושת יסודות הנאת האדם בעולם הזה”. “ר׳ ישראל”, אמר ר׳ זליג, “היה </w:t>
      </w:r>
      <w:proofErr w:type="spellStart"/>
      <w:r>
        <w:rPr>
          <w:rtl/>
        </w:rPr>
        <w:t>לר</w:t>
      </w:r>
      <w:proofErr w:type="spellEnd"/>
      <w:r>
        <w:rPr>
          <w:rtl/>
        </w:rPr>
        <w:t>׳ שמעון דוגמה של רוממות, טהרה וחכמה – הוא פגש את ר׳ ישראל בצעירותו – ובהחלטותיו האישיות הכריע תמיד לפי השאלה מה היה ר׳ ישראל מייעץ לעשות במצב שלפניו</w:t>
      </w:r>
      <w:bookmarkStart w:id="6264" w:name="_fnr4700"/>
      <w:r>
        <w:rPr>
          <w:rStyle w:val="a5"/>
        </w:rPr>
        <w:footnoteReference w:id="4712" w:customMarkFollows="0"/>
      </w:r>
      <w:bookmarkEnd w:id="6264"/>
      <w:r>
        <w:rPr>
          <w:rtl/>
        </w:rPr>
        <w:t xml:space="preserve">. ואכן, ר׳ שמעון דחה את עצתם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ושל </w:t>
      </w:r>
      <w:proofErr w:type="spellStart"/>
      <w:r>
        <w:rPr>
          <w:rtl/>
        </w:rPr>
        <w:t>החפץ־חיים</w:t>
      </w:r>
      <w:proofErr w:type="spellEnd"/>
      <w:r>
        <w:rPr>
          <w:rtl/>
        </w:rPr>
        <w:t xml:space="preserve"> גם יחד להתפטר מראשות ישיבת רבנו יצחק אלחנן בניו יורק, שקיבל עליו </w:t>
      </w:r>
      <w:proofErr w:type="spellStart"/>
      <w:r>
        <w:rPr>
          <w:rtl/>
        </w:rPr>
        <w:t>בתרפ״ט</w:t>
      </w:r>
      <w:proofErr w:type="spellEnd"/>
      <w:r>
        <w:rPr>
          <w:rtl/>
        </w:rPr>
        <w:t>, מפני שהיה בטוח שר׳ ישראל היה מורה לו להישאר בה. הוא עזב את תפקידו כעבור חצי שנה, ורק מסיבות משפחתיות</w:t>
      </w:r>
      <w:bookmarkStart w:id="6265" w:name="_fnr4701"/>
      <w:bookmarkStart w:id="6266" w:name="pr_f_4582"/>
      <w:r>
        <w:rPr>
          <w:rStyle w:val="a5"/>
        </w:rPr>
        <w:footnoteReference w:id="4713" w:customMarkFollows="0"/>
      </w:r>
      <w:bookmarkEnd w:id="6265"/>
      <w:bookmarkEnd w:id="6266"/>
      <w:r>
        <w:rPr>
          <w:rtl/>
        </w:rPr>
        <w:t>”.</w:t>
      </w:r>
    </w:p>
    <w:p w14:paraId="193AC2D5" w14:textId="77777777" w:rsidR="00AB3647" w:rsidRDefault="00000000" w:rsidP="007923E9">
      <w:pPr>
        <w:spacing w:after="120" w:line="276" w:lineRule="auto"/>
        <w:ind w:firstLine="283"/>
        <w:jc w:val="both"/>
      </w:pPr>
      <w:r>
        <w:rPr>
          <w:rtl/>
        </w:rPr>
        <w:t>יש להוסיף שכשהחליט ר׳ שמעון להישאר באמריקה, לא התחשב גם ברגשות תלמידיו באירופה, שלבם נשבר כששמעו שרבם יישאר בארצות הברית. ראה “תורה יבקשו מפיהו”</w:t>
      </w:r>
      <w:bookmarkStart w:id="6267" w:name="_fnr4702"/>
      <w:r>
        <w:rPr>
          <w:rStyle w:val="a5"/>
        </w:rPr>
        <w:footnoteReference w:id="4714" w:customMarkFollows="0"/>
      </w:r>
      <w:bookmarkEnd w:id="6267"/>
      <w:r>
        <w:rPr>
          <w:rtl/>
        </w:rPr>
        <w:t xml:space="preserve">, המביא מזיכרונות ר׳ </w:t>
      </w:r>
      <w:proofErr w:type="spellStart"/>
      <w:r>
        <w:rPr>
          <w:rtl/>
        </w:rPr>
        <w:t>ישראל־זאב</w:t>
      </w:r>
      <w:proofErr w:type="spellEnd"/>
      <w:r>
        <w:rPr>
          <w:rtl/>
        </w:rPr>
        <w:t xml:space="preserve"> </w:t>
      </w:r>
      <w:proofErr w:type="spellStart"/>
      <w:r>
        <w:rPr>
          <w:rtl/>
        </w:rPr>
        <w:t>גוסטמן</w:t>
      </w:r>
      <w:proofErr w:type="spellEnd"/>
      <w:r>
        <w:rPr>
          <w:rtl/>
        </w:rPr>
        <w:t xml:space="preserve">: “אני זוכר שהיו בחורים שישבו על הארץ ובכו כששמעו שאין ר׳ שמעון מתכוון לשוב </w:t>
      </w:r>
      <w:proofErr w:type="spellStart"/>
      <w:r>
        <w:rPr>
          <w:rtl/>
        </w:rPr>
        <w:t>לגרודנא</w:t>
      </w:r>
      <w:proofErr w:type="spellEnd"/>
      <w:r>
        <w:rPr>
          <w:rtl/>
        </w:rPr>
        <w:t>”.</w:t>
      </w:r>
    </w:p>
    <w:p w14:paraId="7E511B66" w14:textId="77777777" w:rsidR="00AB3647" w:rsidRDefault="00000000" w:rsidP="007923E9">
      <w:pPr>
        <w:spacing w:after="120" w:line="276" w:lineRule="auto"/>
        <w:ind w:firstLine="283"/>
        <w:jc w:val="both"/>
      </w:pPr>
      <w:r>
        <w:rPr>
          <w:rtl/>
        </w:rPr>
        <w:lastRenderedPageBreak/>
        <w:t xml:space="preserve">ברור שר׳ שמעון ביקש ללכת בדרכו של ר׳ ישראל </w:t>
      </w:r>
      <w:proofErr w:type="spellStart"/>
      <w:r>
        <w:rPr>
          <w:rtl/>
        </w:rPr>
        <w:t>סלנטר</w:t>
      </w:r>
      <w:proofErr w:type="spellEnd"/>
      <w:r>
        <w:rPr>
          <w:rtl/>
        </w:rPr>
        <w:t xml:space="preserve"> בשליש האחרון של חייו: לצאת מסביבת התורה המבוססת שברוסיה ולפעול במערב אירופה (ולבקר ברוסיה רק לעתים רחוקות). ר׳ ישראל יצא אל קהילות גרמניה ואל פריז מפני שלפי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68" w:name="_fnr4703"/>
      <w:r>
        <w:rPr>
          <w:rStyle w:val="a5"/>
        </w:rPr>
        <w:footnoteReference w:id="4715" w:customMarkFollows="0"/>
      </w:r>
      <w:bookmarkEnd w:id="6268"/>
      <w:r>
        <w:rPr>
          <w:rtl/>
        </w:rPr>
        <w:t>, “האתגר של השבת ערכים מסורתיים ודרכי התנהגות מסורתיות היה בעיקרו מה שמשך אותו [לשם]”</w:t>
      </w:r>
      <w:bookmarkStart w:id="6269" w:name="_fnr4704"/>
      <w:r>
        <w:rPr>
          <w:rStyle w:val="a5"/>
        </w:rPr>
        <w:footnoteReference w:id="4716" w:customMarkFollows="0"/>
      </w:r>
      <w:bookmarkEnd w:id="6269"/>
      <w:r>
        <w:rPr>
          <w:rtl/>
        </w:rPr>
        <w:t>. כץ, “תנועת המוסר”, כרך א</w:t>
      </w:r>
      <w:bookmarkStart w:id="6270" w:name="_fnr4705"/>
      <w:r>
        <w:rPr>
          <w:rStyle w:val="a5"/>
        </w:rPr>
        <w:footnoteReference w:id="4717" w:customMarkFollows="0"/>
      </w:r>
      <w:bookmarkEnd w:id="6270"/>
      <w:r>
        <w:rPr>
          <w:rtl/>
        </w:rPr>
        <w:t>, מתאר זאת בדרמטיות רבה יותר: “</w:t>
      </w:r>
      <w:proofErr w:type="spellStart"/>
      <w:r>
        <w:rPr>
          <w:rtl/>
        </w:rPr>
        <w:t>לר</w:t>
      </w:r>
      <w:proofErr w:type="spellEnd"/>
      <w:r>
        <w:rPr>
          <w:rtl/>
        </w:rPr>
        <w:t xml:space="preserve">׳ ישראל היה </w:t>
      </w:r>
      <w:proofErr w:type="spellStart"/>
      <w:r>
        <w:rPr>
          <w:rtl/>
        </w:rPr>
        <w:t>חזון</w:t>
      </w:r>
      <w:proofErr w:type="spellEnd"/>
      <w:r>
        <w:rPr>
          <w:rtl/>
        </w:rPr>
        <w:t xml:space="preserve"> גדול יותר: לא הסתפק בהישגיו ברוסיה. שאיפותיו הקיפו עולמות רחוקים ועיניו שוטטו במרחבים גדולים, לחזק את יראת ה׳ בכל מקום ולהחדיר את רוח המוסר, שבה ראה את הצלת היהדות, לכל פינות בית ישראל. מבטו הראשון נפל על גרמניה הקרובה, שם שלטה הרפורמה בכל כוחה וסחפה כל שריד של יהדות. ההתבוללות התפשטה בצעדי ענק, ועד מהרה לא יישאר זכר לבית ישראל. ר׳ ישראל עבר לגרמניה וניגש לבלום הידרדרות זו ולהרעיף טל תחייה על היהדות [שם]”.</w:t>
      </w:r>
    </w:p>
    <w:p w14:paraId="089516D6" w14:textId="77777777" w:rsidR="00AB3647" w:rsidRDefault="00000000" w:rsidP="007923E9">
      <w:pPr>
        <w:spacing w:after="120" w:line="276" w:lineRule="auto"/>
        <w:ind w:firstLine="283"/>
        <w:jc w:val="both"/>
      </w:pPr>
      <w:r>
        <w:rPr>
          <w:rtl/>
        </w:rPr>
        <w:t>גם ר׳ שמעון נמשך לאתגר הרוחני שהציבה אמריקה בין שתי מלחמות העולם</w:t>
      </w:r>
      <w:bookmarkStart w:id="6271" w:name="_fnr4706"/>
      <w:r>
        <w:rPr>
          <w:rStyle w:val="a5"/>
        </w:rPr>
        <w:footnoteReference w:id="4718" w:customMarkFollows="0"/>
      </w:r>
      <w:bookmarkEnd w:id="6271"/>
      <w:r>
        <w:rPr>
          <w:rtl/>
        </w:rPr>
        <w:t>. השווה גם “החפץ חיים (ישר)”</w:t>
      </w:r>
      <w:bookmarkStart w:id="6272" w:name="_fnr4707"/>
      <w:r>
        <w:rPr>
          <w:rStyle w:val="a5"/>
        </w:rPr>
        <w:footnoteReference w:id="4719" w:customMarkFollows="0"/>
      </w:r>
      <w:bookmarkEnd w:id="6272"/>
      <w:r>
        <w:rPr>
          <w:rtl/>
        </w:rPr>
        <w:t xml:space="preserve">, הטוען על </w:t>
      </w:r>
      <w:proofErr w:type="spellStart"/>
      <w:r>
        <w:rPr>
          <w:rtl/>
        </w:rPr>
        <w:t>החפץ־חיים</w:t>
      </w:r>
      <w:proofErr w:type="spellEnd"/>
      <w:r>
        <w:rPr>
          <w:rtl/>
        </w:rPr>
        <w:t xml:space="preserve"> </w:t>
      </w:r>
      <w:proofErr w:type="spellStart"/>
      <w:r>
        <w:rPr>
          <w:rtl/>
        </w:rPr>
        <w:t>ש“במובן</w:t>
      </w:r>
      <w:proofErr w:type="spellEnd"/>
      <w:r>
        <w:rPr>
          <w:rtl/>
        </w:rPr>
        <w:t xml:space="preserve"> מסוים ראה בר׳ ישראל את רבו ואת מדריכו בחיים” – כמו שטען ר׳ זליג אפשטיין על ר׳ שמעון </w:t>
      </w:r>
      <w:proofErr w:type="spellStart"/>
      <w:r>
        <w:rPr>
          <w:rtl/>
        </w:rPr>
        <w:t>שקופ</w:t>
      </w:r>
      <w:proofErr w:type="spellEnd"/>
      <w:r>
        <w:rPr>
          <w:rtl/>
        </w:rPr>
        <w:t>.</w:t>
      </w:r>
    </w:p>
    <w:p w14:paraId="5A99D01B" w14:textId="77777777" w:rsidR="00AB3647" w:rsidRDefault="00000000" w:rsidP="007923E9">
      <w:pPr>
        <w:spacing w:after="120" w:line="276" w:lineRule="auto"/>
        <w:ind w:firstLine="283"/>
        <w:jc w:val="both"/>
      </w:pPr>
      <w:r>
        <w:rPr>
          <w:rtl/>
        </w:rPr>
        <w:t xml:space="preserve">ר׳ מרדכי </w:t>
      </w:r>
      <w:proofErr w:type="spellStart"/>
      <w:r>
        <w:rPr>
          <w:rtl/>
        </w:rPr>
        <w:t>קרלינסקי</w:t>
      </w:r>
      <w:proofErr w:type="spellEnd"/>
      <w:r>
        <w:rPr>
          <w:rtl/>
        </w:rPr>
        <w:t>, שלמד אצל ר׳ שמעון בישיבת רבנו יצחק אלחנן, סיפר</w:t>
      </w:r>
      <w:bookmarkStart w:id="6273" w:name="_fnr4708"/>
      <w:r>
        <w:rPr>
          <w:rStyle w:val="a5"/>
        </w:rPr>
        <w:footnoteReference w:id="4720" w:customMarkFollows="0"/>
      </w:r>
      <w:bookmarkEnd w:id="6273"/>
      <w:r>
        <w:rPr>
          <w:rtl/>
        </w:rPr>
        <w:t xml:space="preserve"> שהרב </w:t>
      </w:r>
      <w:proofErr w:type="spellStart"/>
      <w:r>
        <w:rPr>
          <w:rtl/>
        </w:rPr>
        <w:t>שקופ</w:t>
      </w:r>
      <w:proofErr w:type="spellEnd"/>
      <w:r>
        <w:rPr>
          <w:rtl/>
        </w:rPr>
        <w:t xml:space="preserve">, ראש ישיבתו באותה עת, אמר לו כשיצא לחזור לאירופה שהוא רואה באמריקה את בית התורה העתידי, והיה שמח לכהן בישיבה אחרת אילו הייתה כזאת – באותה עת הייתה ישיבת תורה ודעת רק ברמת בית ספר יסודי. הדבר מתיישב עם דברי ר׳ זליג אפשטיין, שהרב </w:t>
      </w:r>
      <w:proofErr w:type="spellStart"/>
      <w:r>
        <w:rPr>
          <w:rtl/>
        </w:rPr>
        <w:t>שקופ</w:t>
      </w:r>
      <w:proofErr w:type="spellEnd"/>
      <w:r>
        <w:rPr>
          <w:rtl/>
        </w:rPr>
        <w:t xml:space="preserve"> נהג כדרכו של ר׳ ישראל כשנשאר באמריקה. אבל בפרט צדדי חלק הרב </w:t>
      </w:r>
      <w:proofErr w:type="spellStart"/>
      <w:r>
        <w:rPr>
          <w:rtl/>
        </w:rPr>
        <w:t>קרלינסקי</w:t>
      </w:r>
      <w:proofErr w:type="spellEnd"/>
      <w:r>
        <w:rPr>
          <w:rtl/>
        </w:rPr>
        <w:t xml:space="preserve">: הוא אמר שר׳ שמעון סיפר לו שעזיבתו את ישיבת רבנו יצחק אלחנן הייתה קשורה ליחסים המעיקים שהיו לו עם ד״ר ברנרד </w:t>
      </w:r>
      <w:proofErr w:type="spellStart"/>
      <w:r>
        <w:rPr>
          <w:rtl/>
        </w:rPr>
        <w:t>רבל</w:t>
      </w:r>
      <w:proofErr w:type="spellEnd"/>
      <w:r>
        <w:rPr>
          <w:rtl/>
        </w:rPr>
        <w:t xml:space="preserve">, נשיא הישיבה – ולא </w:t>
      </w:r>
      <w:proofErr w:type="spellStart"/>
      <w:r>
        <w:rPr>
          <w:rtl/>
        </w:rPr>
        <w:t>ל“סיבות</w:t>
      </w:r>
      <w:proofErr w:type="spellEnd"/>
      <w:r>
        <w:rPr>
          <w:rtl/>
        </w:rPr>
        <w:t xml:space="preserve"> משפחתיות” מעורפלות, כפי שאמר ר׳ זליג אפשטיין. ר׳ מרדכי תלה את יחסו הבלתי ראוי של ד״ר </w:t>
      </w:r>
      <w:proofErr w:type="spellStart"/>
      <w:r>
        <w:rPr>
          <w:rtl/>
        </w:rPr>
        <w:t>רבל</w:t>
      </w:r>
      <w:proofErr w:type="spellEnd"/>
      <w:r>
        <w:rPr>
          <w:rtl/>
        </w:rPr>
        <w:t xml:space="preserve"> לרב </w:t>
      </w:r>
      <w:proofErr w:type="spellStart"/>
      <w:r>
        <w:rPr>
          <w:rtl/>
        </w:rPr>
        <w:t>שקופ</w:t>
      </w:r>
      <w:proofErr w:type="spellEnd"/>
      <w:r>
        <w:rPr>
          <w:rtl/>
        </w:rPr>
        <w:t xml:space="preserve"> בכך שהיה מעסיק קשה במיוחד.</w:t>
      </w:r>
    </w:p>
    <w:p w14:paraId="59D176C5" w14:textId="77777777" w:rsidR="00AB3647" w:rsidRDefault="00000000" w:rsidP="007923E9">
      <w:pPr>
        <w:spacing w:after="120" w:line="276" w:lineRule="auto"/>
        <w:ind w:firstLine="283"/>
        <w:jc w:val="both"/>
      </w:pPr>
      <w:r>
        <w:rPr>
          <w:rtl/>
        </w:rPr>
        <w:t xml:space="preserve">הרב </w:t>
      </w:r>
      <w:proofErr w:type="spellStart"/>
      <w:r>
        <w:rPr>
          <w:rtl/>
        </w:rPr>
        <w:t>קרלינסקי</w:t>
      </w:r>
      <w:proofErr w:type="spellEnd"/>
      <w:r>
        <w:rPr>
          <w:rtl/>
        </w:rPr>
        <w:t xml:space="preserve"> סיפר על חילופי דברים שראה בין ד״ר </w:t>
      </w:r>
      <w:proofErr w:type="spellStart"/>
      <w:r>
        <w:rPr>
          <w:rtl/>
        </w:rPr>
        <w:t>רבל</w:t>
      </w:r>
      <w:proofErr w:type="spellEnd"/>
      <w:r>
        <w:rPr>
          <w:rtl/>
        </w:rPr>
        <w:t xml:space="preserve"> לבין קודמו של ר׳ שמעון,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עם פטירתו בטרם עת של העילוי </w:t>
      </w:r>
      <w:proofErr w:type="spellStart"/>
      <w:r>
        <w:rPr>
          <w:rtl/>
        </w:rPr>
        <w:t>ממייצ׳ט</w:t>
      </w:r>
      <w:proofErr w:type="spellEnd"/>
      <w:r>
        <w:rPr>
          <w:rtl/>
        </w:rPr>
        <w:t xml:space="preserve"> </w:t>
      </w:r>
      <w:proofErr w:type="spellStart"/>
      <w:r>
        <w:rPr>
          <w:rtl/>
        </w:rPr>
        <w:t>בתרפ״ח</w:t>
      </w:r>
      <w:proofErr w:type="spellEnd"/>
      <w:r>
        <w:rPr>
          <w:rtl/>
        </w:rPr>
        <w:t xml:space="preserve"> נתמנה ר׳ שמעון לתפקיד; הוא היה אז באמריקה, במסע לגיוס כספים לישיבתו </w:t>
      </w:r>
      <w:proofErr w:type="spellStart"/>
      <w:r>
        <w:rPr>
          <w:rtl/>
        </w:rPr>
        <w:t>בגרודנא</w:t>
      </w:r>
      <w:proofErr w:type="spellEnd"/>
      <w:r>
        <w:rPr>
          <w:rtl/>
        </w:rPr>
        <w:t xml:space="preserve">. “העילוי </w:t>
      </w:r>
      <w:proofErr w:type="spellStart"/>
      <w:r>
        <w:rPr>
          <w:rtl/>
        </w:rPr>
        <w:t>ממייצ׳ט</w:t>
      </w:r>
      <w:proofErr w:type="spellEnd"/>
      <w:r>
        <w:rPr>
          <w:rtl/>
        </w:rPr>
        <w:t xml:space="preserve"> סיים את שיעורו חמש דקות לפני השעה המיועדת, אחת, ואני ליוויתי אותו ושוחחתי עמו על התוספות במסכת כתובות שעסק בהם”, סיפר הרב </w:t>
      </w:r>
      <w:proofErr w:type="spellStart"/>
      <w:r>
        <w:rPr>
          <w:rtl/>
        </w:rPr>
        <w:t>קרלינסקי</w:t>
      </w:r>
      <w:proofErr w:type="spellEnd"/>
      <w:r>
        <w:rPr>
          <w:rtl/>
        </w:rPr>
        <w:t xml:space="preserve">. “כשעברנו ליד משרדו, אמר ד״ר </w:t>
      </w:r>
      <w:proofErr w:type="spellStart"/>
      <w:r>
        <w:rPr>
          <w:rtl/>
        </w:rPr>
        <w:t>רבל</w:t>
      </w:r>
      <w:proofErr w:type="spellEnd"/>
      <w:r>
        <w:rPr>
          <w:rtl/>
        </w:rPr>
        <w:t xml:space="preserve">: ‘ר׳ שלמה, נשארו עוד חמש דקות’. השיב ר׳ שלמה: ‘כבר סיימתי את שיעורי </w:t>
      </w:r>
      <w:r>
        <w:rPr>
          <w:rtl/>
        </w:rPr>
        <w:lastRenderedPageBreak/>
        <w:t xml:space="preserve">בעניין, ומה אעשה? וכי אתה חושב שמסירת שיעור היא שיחה בעלמא?’ ראיתי שלא הייתה זו הפעם הראשונה שד״ר </w:t>
      </w:r>
      <w:proofErr w:type="spellStart"/>
      <w:r>
        <w:rPr>
          <w:rtl/>
        </w:rPr>
        <w:t>רבל</w:t>
      </w:r>
      <w:proofErr w:type="spellEnd"/>
      <w:r>
        <w:rPr>
          <w:rtl/>
        </w:rPr>
        <w:t xml:space="preserve"> נהג כך בעילוי </w:t>
      </w:r>
      <w:proofErr w:type="spellStart"/>
      <w:r>
        <w:rPr>
          <w:rtl/>
        </w:rPr>
        <w:t>ממייצ׳ט</w:t>
      </w:r>
      <w:proofErr w:type="spellEnd"/>
      <w:r>
        <w:rPr>
          <w:rtl/>
        </w:rPr>
        <w:t xml:space="preserve">. עם ר׳ שמעון היה ד״ר </w:t>
      </w:r>
      <w:proofErr w:type="spellStart"/>
      <w:r>
        <w:rPr>
          <w:rtl/>
        </w:rPr>
        <w:t>רבל</w:t>
      </w:r>
      <w:proofErr w:type="spellEnd"/>
      <w:r>
        <w:rPr>
          <w:rtl/>
        </w:rPr>
        <w:t xml:space="preserve"> קשה עוד יותר, מפני שהוא עצמו סולק </w:t>
      </w:r>
      <w:proofErr w:type="spellStart"/>
      <w:r>
        <w:rPr>
          <w:rtl/>
        </w:rPr>
        <w:t>מטלז</w:t>
      </w:r>
      <w:proofErr w:type="spellEnd"/>
      <w:r>
        <w:rPr>
          <w:rtl/>
        </w:rPr>
        <w:t xml:space="preserve"> </w:t>
      </w:r>
      <w:proofErr w:type="spellStart"/>
      <w:r>
        <w:rPr>
          <w:rtl/>
        </w:rPr>
        <w:t>בתרס״א</w:t>
      </w:r>
      <w:proofErr w:type="spellEnd"/>
      <w:r>
        <w:rPr>
          <w:rtl/>
        </w:rPr>
        <w:t xml:space="preserve">, כשהיה בן </w:t>
      </w:r>
      <w:proofErr w:type="spellStart"/>
      <w:r>
        <w:rPr>
          <w:rtl/>
        </w:rPr>
        <w:t>שש־עשרה</w:t>
      </w:r>
      <w:proofErr w:type="spellEnd"/>
      <w:r>
        <w:rPr>
          <w:rtl/>
        </w:rPr>
        <w:t xml:space="preserve">, בשעה שר׳ שמעון היה מרבני הישיבה שם; </w:t>
      </w:r>
      <w:proofErr w:type="spellStart"/>
      <w:r>
        <w:rPr>
          <w:rtl/>
        </w:rPr>
        <w:t>רבל</w:t>
      </w:r>
      <w:proofErr w:type="spellEnd"/>
      <w:r>
        <w:rPr>
          <w:rtl/>
        </w:rPr>
        <w:t xml:space="preserve"> היה מעורב בתנועה המהפכנית של אותה עת. שום דבר לא הסב לו הנאה גדולה יותר מלהזכיר </w:t>
      </w:r>
      <w:proofErr w:type="spellStart"/>
      <w:r>
        <w:rPr>
          <w:rtl/>
        </w:rPr>
        <w:t>לר</w:t>
      </w:r>
      <w:proofErr w:type="spellEnd"/>
      <w:r>
        <w:rPr>
          <w:rtl/>
        </w:rPr>
        <w:t>׳ שמעון מי מעסיקו עכשיו”.</w:t>
      </w:r>
    </w:p>
    <w:p w14:paraId="53C65109" w14:textId="77777777" w:rsidR="00AB3647" w:rsidRDefault="00000000" w:rsidP="007923E9">
      <w:pPr>
        <w:spacing w:after="120" w:line="276" w:lineRule="auto"/>
        <w:ind w:firstLine="283"/>
        <w:jc w:val="both"/>
      </w:pPr>
      <w:r>
        <w:rPr>
          <w:rtl/>
        </w:rPr>
        <w:t xml:space="preserve">לפי “ברנרד </w:t>
      </w:r>
      <w:proofErr w:type="spellStart"/>
      <w:r>
        <w:rPr>
          <w:rtl/>
        </w:rPr>
        <w:t>רבל</w:t>
      </w:r>
      <w:proofErr w:type="spellEnd"/>
      <w:r>
        <w:rPr>
          <w:rtl/>
        </w:rPr>
        <w:t xml:space="preserve"> – בונה האורתודוקסיה היהודית באמריקה”</w:t>
      </w:r>
      <w:bookmarkStart w:id="6274" w:name="_fnr4709"/>
      <w:r>
        <w:rPr>
          <w:rStyle w:val="a5"/>
        </w:rPr>
        <w:footnoteReference w:id="4721" w:customMarkFollows="0"/>
      </w:r>
      <w:bookmarkEnd w:id="6274"/>
      <w:r>
        <w:rPr>
          <w:rtl/>
        </w:rPr>
        <w:t xml:space="preserve">, נשאר ד״ר </w:t>
      </w:r>
      <w:proofErr w:type="spellStart"/>
      <w:r>
        <w:rPr>
          <w:rtl/>
        </w:rPr>
        <w:t>רבל</w:t>
      </w:r>
      <w:proofErr w:type="spellEnd"/>
      <w:r>
        <w:rPr>
          <w:rtl/>
        </w:rPr>
        <w:t xml:space="preserve"> </w:t>
      </w:r>
      <w:proofErr w:type="spellStart"/>
      <w:r>
        <w:rPr>
          <w:rtl/>
        </w:rPr>
        <w:t>בטלז</w:t>
      </w:r>
      <w:proofErr w:type="spellEnd"/>
      <w:r>
        <w:rPr>
          <w:rtl/>
        </w:rPr>
        <w:t xml:space="preserve"> פחות משנה, והחברותא שלו שם היה ר׳ </w:t>
      </w:r>
      <w:proofErr w:type="spellStart"/>
      <w:r>
        <w:rPr>
          <w:rtl/>
        </w:rPr>
        <w:t>אברהם־שמואל</w:t>
      </w:r>
      <w:proofErr w:type="spellEnd"/>
      <w:r>
        <w:rPr>
          <w:rtl/>
        </w:rPr>
        <w:t xml:space="preserve"> </w:t>
      </w:r>
      <w:proofErr w:type="spellStart"/>
      <w:r>
        <w:rPr>
          <w:rtl/>
        </w:rPr>
        <w:t>פינקל</w:t>
      </w:r>
      <w:proofErr w:type="spellEnd"/>
      <w:r>
        <w:rPr>
          <w:rtl/>
        </w:rPr>
        <w:t xml:space="preserve">, בנו של הסבא ואחיו התאום של ר׳ משה. בתקופה שבה היה ד״ר </w:t>
      </w:r>
      <w:proofErr w:type="spellStart"/>
      <w:r>
        <w:rPr>
          <w:rtl/>
        </w:rPr>
        <w:t>רבל</w:t>
      </w:r>
      <w:proofErr w:type="spellEnd"/>
      <w:r>
        <w:rPr>
          <w:rtl/>
        </w:rPr>
        <w:t xml:space="preserve"> </w:t>
      </w:r>
      <w:proofErr w:type="spellStart"/>
      <w:r>
        <w:rPr>
          <w:rtl/>
        </w:rPr>
        <w:t>בטלז</w:t>
      </w:r>
      <w:proofErr w:type="spellEnd"/>
      <w:r>
        <w:rPr>
          <w:rtl/>
        </w:rPr>
        <w:t xml:space="preserve"> היה המשגיח ר׳ לייב חסמן, ששש שנות כהונתו התאפיינו </w:t>
      </w:r>
      <w:proofErr w:type="spellStart"/>
      <w:r>
        <w:rPr>
          <w:rtl/>
        </w:rPr>
        <w:t>ב“הופקעס</w:t>
      </w:r>
      <w:proofErr w:type="spellEnd"/>
      <w:r>
        <w:rPr>
          <w:rtl/>
        </w:rPr>
        <w:t>”</w:t>
      </w:r>
      <w:bookmarkStart w:id="6275" w:name="_fnr4710"/>
      <w:r>
        <w:rPr>
          <w:rStyle w:val="a5"/>
        </w:rPr>
        <w:footnoteReference w:id="4722" w:customMarkFollows="0"/>
      </w:r>
      <w:bookmarkEnd w:id="6275"/>
      <w:r>
        <w:rPr>
          <w:rtl/>
        </w:rPr>
        <w:t>.</w:t>
      </w:r>
    </w:p>
    <w:p w14:paraId="7A1FAE91" w14:textId="77777777" w:rsidR="00AB3647" w:rsidRDefault="00000000" w:rsidP="007923E9">
      <w:pPr>
        <w:spacing w:after="120" w:line="276" w:lineRule="auto"/>
        <w:ind w:firstLine="283"/>
        <w:jc w:val="both"/>
      </w:pPr>
      <w:r>
        <w:rPr>
          <w:rtl/>
        </w:rPr>
        <w:t xml:space="preserve">ר׳ זליג אפשטיין המשיך: “ר׳ שמעון סבר שמאחר שר׳ ישראל עישן, ודאי יש בטבק תועלת כלשהי, ולכן עישן גם הוא. אחר כך גילה ר׳ שמעון </w:t>
      </w:r>
      <w:proofErr w:type="spellStart"/>
      <w:r>
        <w:rPr>
          <w:rtl/>
        </w:rPr>
        <w:t>לר</w:t>
      </w:r>
      <w:proofErr w:type="spellEnd"/>
      <w:r>
        <w:rPr>
          <w:rtl/>
        </w:rPr>
        <w:t xml:space="preserve">׳ </w:t>
      </w:r>
      <w:proofErr w:type="spellStart"/>
      <w:r>
        <w:rPr>
          <w:rtl/>
        </w:rPr>
        <w:t>נחום־אבא</w:t>
      </w:r>
      <w:proofErr w:type="spellEnd"/>
      <w:r>
        <w:rPr>
          <w:rtl/>
        </w:rPr>
        <w:t xml:space="preserve"> </w:t>
      </w:r>
      <w:proofErr w:type="spellStart"/>
      <w:r>
        <w:rPr>
          <w:rtl/>
        </w:rPr>
        <w:t>גרוסברד</w:t>
      </w:r>
      <w:proofErr w:type="spellEnd"/>
      <w:r>
        <w:rPr>
          <w:rtl/>
        </w:rPr>
        <w:t xml:space="preserve"> שלעת זקנתו הוא מצטער שהרגיל את עצמו לעשן: הוא גילה מדוע עישן ר׳ ישראל, והטעם לא היה שייך לו עצמו. יש שתי גרסאות לטעם עישונו של ר׳ ישראל – או מפני שסבל מריח רע בפיו, ועשן הטבק הסתירו</w:t>
      </w:r>
      <w:bookmarkStart w:id="6276" w:name="_fnr4711"/>
      <w:r>
        <w:rPr>
          <w:rStyle w:val="a5"/>
        </w:rPr>
        <w:footnoteReference w:id="4723" w:customMarkFollows="0"/>
      </w:r>
      <w:bookmarkEnd w:id="6276"/>
      <w:r>
        <w:rPr>
          <w:rtl/>
        </w:rPr>
        <w:t>, או מטעם אחר, שאינני זוכר”.</w:t>
      </w:r>
    </w:p>
    <w:p w14:paraId="2C78EAE3" w14:textId="77777777" w:rsidR="00AB3647" w:rsidRDefault="00000000" w:rsidP="007923E9">
      <w:pPr>
        <w:spacing w:after="120" w:line="276" w:lineRule="auto"/>
        <w:ind w:firstLine="283"/>
        <w:jc w:val="both"/>
      </w:pPr>
      <w:bookmarkStart w:id="6277" w:name="pr_b_2635"/>
      <w:bookmarkEnd w:id="6277"/>
      <w:r>
        <w:rPr>
          <w:rtl/>
        </w:rPr>
        <w:t>בהתאם לדעתו על השפעת העישון, הציע אבי</w:t>
      </w:r>
      <w:bookmarkStart w:id="6278" w:name="_fnr4712"/>
      <w:r>
        <w:rPr>
          <w:rStyle w:val="a5"/>
        </w:rPr>
        <w:footnoteReference w:id="4724" w:customMarkFollows="0"/>
      </w:r>
      <w:bookmarkEnd w:id="6278"/>
      <w:r>
        <w:rPr>
          <w:rtl/>
        </w:rPr>
        <w:t xml:space="preserve"> טעם נוסף לעישונו של ר׳ ישראל: “ר׳ ישראל </w:t>
      </w:r>
      <w:proofErr w:type="spellStart"/>
      <w:r>
        <w:rPr>
          <w:rtl/>
        </w:rPr>
        <w:t>סלנטר</w:t>
      </w:r>
      <w:proofErr w:type="spellEnd"/>
      <w:r>
        <w:rPr>
          <w:rtl/>
        </w:rPr>
        <w:t xml:space="preserve"> התעלף פעם ברחוב ולקה בשיתוק זמני” – אבי לא ציין מתי אירע הדבר</w:t>
      </w:r>
      <w:bookmarkStart w:id="6279" w:name="_fnr4713"/>
      <w:r>
        <w:rPr>
          <w:rStyle w:val="a5"/>
        </w:rPr>
        <w:footnoteReference w:id="4725" w:customMarkFollows="0"/>
      </w:r>
      <w:bookmarkEnd w:id="6279"/>
      <w:r>
        <w:rPr>
          <w:rtl/>
        </w:rPr>
        <w:t xml:space="preserve"> – “והרופאים אמרו לו שמקור האירוע המוחי היה במאמץ המתמיד שהטיל על מוחו. ציוו עליו להימנע ממחשבה שעתיים בכל יום, והוא התחיל לעשן כאמצעי להקהיית המחשבה!” ר׳ פסח </w:t>
      </w:r>
      <w:proofErr w:type="spellStart"/>
      <w:r>
        <w:rPr>
          <w:rtl/>
        </w:rPr>
        <w:t>דיסקינד</w:t>
      </w:r>
      <w:bookmarkStart w:id="6280" w:name="_fnr4714"/>
      <w:proofErr w:type="spellEnd"/>
      <w:r>
        <w:rPr>
          <w:rStyle w:val="a5"/>
        </w:rPr>
        <w:footnoteReference w:id="4726" w:customMarkFollows="0"/>
      </w:r>
      <w:bookmarkEnd w:id="6280"/>
      <w:r>
        <w:rPr>
          <w:rtl/>
        </w:rPr>
        <w:t xml:space="preserve"> סיפר בשם אבי שאחד מאותם רופאים השתומם: מכל מטופליו מרחבי העולם, שמקצתם הוציאו הון כדי שיטפל בהם, לא פגש מעולם אדם בעל רצון חיים עז כשל ר׳ ישראל.</w:t>
      </w:r>
    </w:p>
    <w:p w14:paraId="35D7C3D5" w14:textId="77777777" w:rsidR="00AB3647" w:rsidRDefault="00000000" w:rsidP="007923E9">
      <w:pPr>
        <w:spacing w:after="120" w:line="276" w:lineRule="auto"/>
        <w:ind w:firstLine="283"/>
        <w:jc w:val="both"/>
      </w:pPr>
      <w:r>
        <w:rPr>
          <w:rtl/>
        </w:rPr>
        <w:t xml:space="preserve">אבי סיפר גם בשיחה המוקלטת בבית הכנסת “בית ישראל” במיאמי </w:t>
      </w:r>
      <w:proofErr w:type="spellStart"/>
      <w:r>
        <w:rPr>
          <w:rtl/>
        </w:rPr>
        <w:t>ביץ</w:t>
      </w:r>
      <w:proofErr w:type="spellEnd"/>
      <w:r>
        <w:rPr>
          <w:rtl/>
        </w:rPr>
        <w:t>׳</w:t>
      </w:r>
      <w:bookmarkStart w:id="6281" w:name="_fnr4715"/>
      <w:r>
        <w:rPr>
          <w:rStyle w:val="a5"/>
        </w:rPr>
        <w:footnoteReference w:id="4727" w:customMarkFollows="0"/>
      </w:r>
      <w:bookmarkEnd w:id="6281"/>
      <w:r>
        <w:rPr>
          <w:rtl/>
        </w:rPr>
        <w:t xml:space="preserve"> שר׳ ישראל למד נגרות רהיטים ועסק בה כמה שעות בכל יום. רבנו הוסיף בחיוך שחבר שלמד עמו </w:t>
      </w:r>
      <w:proofErr w:type="spellStart"/>
      <w:r>
        <w:rPr>
          <w:rtl/>
        </w:rPr>
        <w:t>בסלבודקה</w:t>
      </w:r>
      <w:proofErr w:type="spellEnd"/>
      <w:r>
        <w:rPr>
          <w:rtl/>
        </w:rPr>
        <w:t xml:space="preserve"> זכר שסבו בא פעם אל ר׳ ישראל להתאונן שאין לו מקצוע, ור׳ ישראל הציע ללמדו נגרות, וכך לעשותו “תלמיד של ר׳ ישראל”. השווה גם “כתבי הסבא”</w:t>
      </w:r>
      <w:bookmarkStart w:id="6282" w:name="_fnr4716"/>
      <w:r>
        <w:rPr>
          <w:rStyle w:val="a5"/>
        </w:rPr>
        <w:footnoteReference w:id="4728" w:customMarkFollows="0"/>
      </w:r>
      <w:bookmarkEnd w:id="6282"/>
      <w:r>
        <w:rPr>
          <w:rtl/>
        </w:rPr>
        <w:t xml:space="preserve">, המביא את דברי ר׳ גרשון </w:t>
      </w:r>
      <w:proofErr w:type="spellStart"/>
      <w:r>
        <w:rPr>
          <w:rtl/>
        </w:rPr>
        <w:t>מיאדניק</w:t>
      </w:r>
      <w:proofErr w:type="spellEnd"/>
      <w:r>
        <w:rPr>
          <w:rtl/>
        </w:rPr>
        <w:t xml:space="preserve"> בשם ר׳ נפתלי אמסטרדם, שר׳ ישראל “קיבל פעם עצה מרופאים מומחים, שלמען בריאותו ראוי שיעסוק בכל יום </w:t>
      </w:r>
      <w:proofErr w:type="spellStart"/>
      <w:r>
        <w:rPr>
          <w:rtl/>
        </w:rPr>
        <w:t>זמן־מה</w:t>
      </w:r>
      <w:proofErr w:type="spellEnd"/>
      <w:r>
        <w:rPr>
          <w:rtl/>
        </w:rPr>
        <w:t xml:space="preserve"> בעבודה גופנית קשה, ובמשך תקופה הלך בכל יום לנגר לעשות עבודות נגרות”</w:t>
      </w:r>
      <w:bookmarkStart w:id="6283" w:name="_fnr4717"/>
      <w:r>
        <w:rPr>
          <w:rStyle w:val="a5"/>
        </w:rPr>
        <w:footnoteReference w:id="4729" w:customMarkFollows="0"/>
      </w:r>
      <w:bookmarkEnd w:id="6283"/>
      <w:r>
        <w:rPr>
          <w:rtl/>
        </w:rPr>
        <w:t>.</w:t>
      </w:r>
    </w:p>
    <w:p w14:paraId="31809327" w14:textId="77777777" w:rsidR="00AB3647" w:rsidRDefault="00000000" w:rsidP="007923E9">
      <w:pPr>
        <w:spacing w:after="120" w:line="276" w:lineRule="auto"/>
        <w:ind w:firstLine="283"/>
        <w:jc w:val="both"/>
      </w:pPr>
      <w:bookmarkStart w:id="6284" w:name="pr_b_2636"/>
      <w:bookmarkEnd w:id="6284"/>
      <w:r>
        <w:rPr>
          <w:rtl/>
        </w:rPr>
        <w:lastRenderedPageBreak/>
        <w:t xml:space="preserve">מעניין להביא את המסופר </w:t>
      </w:r>
      <w:proofErr w:type="spellStart"/>
      <w:r>
        <w:rPr>
          <w:rtl/>
        </w:rPr>
        <w:t>ב“כל</w:t>
      </w:r>
      <w:proofErr w:type="spellEnd"/>
      <w:r>
        <w:rPr>
          <w:rtl/>
        </w:rPr>
        <w:t xml:space="preserve"> כתבי חפץ חיים השלם”</w:t>
      </w:r>
      <w:bookmarkStart w:id="6285" w:name="_fnr4718"/>
      <w:r>
        <w:rPr>
          <w:rStyle w:val="a5"/>
        </w:rPr>
        <w:footnoteReference w:id="4730" w:customMarkFollows="0"/>
      </w:r>
      <w:bookmarkEnd w:id="6285"/>
      <w:r>
        <w:rPr>
          <w:rtl/>
        </w:rPr>
        <w:t xml:space="preserve"> על המאמץ השכלי של </w:t>
      </w:r>
      <w:proofErr w:type="spellStart"/>
      <w:r>
        <w:rPr>
          <w:rtl/>
        </w:rPr>
        <w:t>החפץ־חיים</w:t>
      </w:r>
      <w:proofErr w:type="spellEnd"/>
      <w:r>
        <w:rPr>
          <w:rtl/>
        </w:rPr>
        <w:t>: “אבי [</w:t>
      </w:r>
      <w:proofErr w:type="spellStart"/>
      <w:r>
        <w:rPr>
          <w:rtl/>
        </w:rPr>
        <w:t>החפץ־חיים</w:t>
      </w:r>
      <w:proofErr w:type="spellEnd"/>
      <w:r>
        <w:rPr>
          <w:rtl/>
        </w:rPr>
        <w:t xml:space="preserve">] סיפר שכשהיה בן עשרים חלה, ומוחו נפגע עד שלא היה יכול ללמוד שום עניין הדורש ריכוז. לבסוף התקשה גם לחשוב ולהתרכז בתפילתו. גם שנתו נפגעה ונעשתה תנומה בלבד, שבה שמע את כל מה שדיברו הבריות סביבו. מובן שהדבר בא לו מרוב ריכוזו בהלכה, ופעמים רבות סיפר לנו על הצער הגדול [שסבל] אז, כשחשב שאבדה תקוותו להוסיף ללמוד תורה. הוא ניסה תרופות שונות שרשמו רופאי וילנה, אך ללא הועיל. כך עברה עליו שנה שלמה בצער, עד שריחם עליו ה׳ ושב לאיתנו... אך כל ימי חייו היה נזהר שכאשר שהה עמנו ושקע בעומקה </w:t>
      </w:r>
      <w:proofErr w:type="spellStart"/>
      <w:r>
        <w:rPr>
          <w:rtl/>
        </w:rPr>
        <w:t>ובעמקותה</w:t>
      </w:r>
      <w:proofErr w:type="spellEnd"/>
      <w:r>
        <w:rPr>
          <w:rtl/>
        </w:rPr>
        <w:t xml:space="preserve"> של הלכה, היה מפסיק לאחר שלוש או ארבע שעות ואומר: ‘אסור לי לאמץ את מוחי יותר מדי בבת אחת’”.</w:t>
      </w:r>
    </w:p>
    <w:p w14:paraId="2C9A11AA" w14:textId="77777777" w:rsidR="00AB3647" w:rsidRDefault="00000000" w:rsidP="007923E9">
      <w:pPr>
        <w:spacing w:after="120" w:line="276" w:lineRule="auto"/>
        <w:ind w:firstLine="283"/>
        <w:jc w:val="both"/>
      </w:pPr>
      <w:bookmarkStart w:id="6286" w:name="pr_b_2637"/>
      <w:bookmarkEnd w:id="6286"/>
      <w:r>
        <w:rPr>
          <w:rtl/>
        </w:rPr>
        <w:t xml:space="preserve">בריאיון על ר׳ ישראל </w:t>
      </w:r>
      <w:proofErr w:type="spellStart"/>
      <w:r>
        <w:rPr>
          <w:rtl/>
        </w:rPr>
        <w:t>סלנטר</w:t>
      </w:r>
      <w:bookmarkStart w:id="6287" w:name="_fnr4719"/>
      <w:proofErr w:type="spellEnd"/>
      <w:r>
        <w:rPr>
          <w:rStyle w:val="a5"/>
        </w:rPr>
        <w:footnoteReference w:id="4731" w:customMarkFollows="0"/>
      </w:r>
      <w:bookmarkEnd w:id="6287"/>
      <w:r>
        <w:rPr>
          <w:rtl/>
        </w:rPr>
        <w:t xml:space="preserve"> הוסיף אבי: “חסידי </w:t>
      </w:r>
      <w:proofErr w:type="spellStart"/>
      <w:r>
        <w:rPr>
          <w:rtl/>
        </w:rPr>
        <w:t>קוידנוב</w:t>
      </w:r>
      <w:proofErr w:type="spellEnd"/>
      <w:r>
        <w:rPr>
          <w:rtl/>
        </w:rPr>
        <w:t xml:space="preserve"> תלו את השבץ של ר׳ ישראל בקללה שקילל אותו רבם, מצאצאי האדמו״רים </w:t>
      </w:r>
      <w:proofErr w:type="spellStart"/>
      <w:r>
        <w:rPr>
          <w:rtl/>
        </w:rPr>
        <w:t>מז׳ליחוב</w:t>
      </w:r>
      <w:proofErr w:type="spellEnd"/>
      <w:r>
        <w:rPr>
          <w:rtl/>
        </w:rPr>
        <w:t xml:space="preserve">, שר׳ ישראל </w:t>
      </w:r>
      <w:proofErr w:type="spellStart"/>
      <w:r>
        <w:rPr>
          <w:rtl/>
        </w:rPr>
        <w:t>סלנטר</w:t>
      </w:r>
      <w:proofErr w:type="spellEnd"/>
      <w:r>
        <w:rPr>
          <w:rtl/>
        </w:rPr>
        <w:t xml:space="preserve"> בוודאי התנגד לו בתקיפות”. רבנו לא ידע על עימות מסוים בין ר׳ ישראל לאדמו״ר, אבל לא יכול היה להבין בדרך אחרת מדוע העלו החסידים הסבר כזה. “הם אמרו שהקללה הוטלה על ר׳ ישראל כשבזמן מגפת הכולרה בווילנה, </w:t>
      </w:r>
      <w:proofErr w:type="spellStart"/>
      <w:r>
        <w:rPr>
          <w:rtl/>
        </w:rPr>
        <w:t>בתר״ח</w:t>
      </w:r>
      <w:proofErr w:type="spellEnd"/>
      <w:r>
        <w:rPr>
          <w:rtl/>
        </w:rPr>
        <w:t>–תר״ט [סוף 1848], הכריז בבית הכנסת בבוקר יום הכיפורים [שבת, 7 באוקטובר 1848] שהכול חייבים להפסיק את צומם”, אמר אבי. “הוא הקדים ונתן דוגמה אישית, ועשה קידוש על הבימה”.</w:t>
      </w:r>
    </w:p>
    <w:p w14:paraId="2DA48013"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תיאר אבי את המעשה ביום הכיפורים באופן שונה במקצת, וגם ציין היכן אירע: “לפני קריאת התורה הביא גוי סמובר של תה חם וכוסות אל </w:t>
      </w:r>
      <w:proofErr w:type="spellStart"/>
      <w:r>
        <w:rPr>
          <w:rtl/>
        </w:rPr>
        <w:t>הזארעצ׳ר</w:t>
      </w:r>
      <w:proofErr w:type="spellEnd"/>
      <w:r>
        <w:rPr>
          <w:rtl/>
        </w:rPr>
        <w:t xml:space="preserve"> </w:t>
      </w:r>
      <w:proofErr w:type="spellStart"/>
      <w:r>
        <w:rPr>
          <w:rtl/>
        </w:rPr>
        <w:t>קלויז</w:t>
      </w:r>
      <w:bookmarkStart w:id="6288" w:name="_fnr4720"/>
      <w:proofErr w:type="spellEnd"/>
      <w:r>
        <w:rPr>
          <w:rStyle w:val="a5"/>
        </w:rPr>
        <w:footnoteReference w:id="4732" w:customMarkFollows="0"/>
      </w:r>
      <w:bookmarkEnd w:id="6288"/>
      <w:r>
        <w:rPr>
          <w:rtl/>
        </w:rPr>
        <w:t>, שבו התפלל ר׳ ישראל. ר׳ ישראל לקח כוס תה וקרא לציבור לעשות כמוהו”. כדי ליישב את הסתירה לכאורה בין שני תיאוריו של אבי למעשה ר׳ ישראל באותו בוקר, יש להבין את המילה “קידוש” כלשון מושאלת</w:t>
      </w:r>
      <w:bookmarkStart w:id="6289" w:name="_fnr4721"/>
      <w:r>
        <w:rPr>
          <w:rStyle w:val="a5"/>
        </w:rPr>
        <w:footnoteReference w:id="4733" w:customMarkFollows="0"/>
      </w:r>
      <w:bookmarkEnd w:id="6289"/>
      <w:r>
        <w:rPr>
          <w:rtl/>
        </w:rPr>
        <w:t xml:space="preserve">. באומרו שר׳ ישראל עשה קידוש, ביקש רבנו לומר בפשטות שר׳ ישראל לא הגביל לא את </w:t>
      </w:r>
      <w:r>
        <w:rPr>
          <w:b/>
          <w:bCs/>
          <w:rtl/>
        </w:rPr>
        <w:t>כמות</w:t>
      </w:r>
      <w:r>
        <w:rPr>
          <w:rtl/>
        </w:rPr>
        <w:t xml:space="preserve"> המזון שהותר למתפללים לאכול ולא את </w:t>
      </w:r>
      <w:r>
        <w:rPr>
          <w:b/>
          <w:bCs/>
          <w:rtl/>
        </w:rPr>
        <w:t>מי</w:t>
      </w:r>
      <w:r>
        <w:rPr>
          <w:rtl/>
        </w:rPr>
        <w:t xml:space="preserve"> שהותר לו לאכול, אלא ביטל את הצום לגמרי. יתרה מזו, אף שאבי סיפר במפורש רק שהציבור ור׳ ישראל שתו יין או תה, הלשון “עשו קידוש” רומזת שאכלו גם משהו.</w:t>
      </w:r>
    </w:p>
    <w:p w14:paraId="1AD22029" w14:textId="77777777" w:rsidR="00AB3647" w:rsidRDefault="00000000" w:rsidP="007923E9">
      <w:pPr>
        <w:spacing w:after="120" w:line="276" w:lineRule="auto"/>
        <w:ind w:firstLine="283"/>
        <w:jc w:val="both"/>
      </w:pPr>
      <w:r>
        <w:rPr>
          <w:rtl/>
        </w:rPr>
        <w:t>ואכן, יעקב מארק</w:t>
      </w:r>
      <w:bookmarkStart w:id="6290" w:name="_fnr4722"/>
      <w:r>
        <w:rPr>
          <w:rStyle w:val="a5"/>
        </w:rPr>
        <w:footnoteReference w:id="4734" w:customMarkFollows="0"/>
      </w:r>
      <w:bookmarkEnd w:id="6290"/>
      <w:r>
        <w:rPr>
          <w:rtl/>
        </w:rPr>
        <w:t xml:space="preserve">, המצוטט להלן, מזכיר שלפי הוראת ר׳ ישראל הוכנו בבתי הכנסת חתיכות עוגה לפני היום הקדוש; ובספרו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291" w:name="_fnr4723"/>
      <w:r>
        <w:rPr>
          <w:rStyle w:val="a5"/>
        </w:rPr>
        <w:footnoteReference w:id="4735" w:customMarkFollows="0"/>
      </w:r>
      <w:bookmarkEnd w:id="6291"/>
      <w:r>
        <w:rPr>
          <w:rtl/>
        </w:rPr>
        <w:t>, מובא מקור</w:t>
      </w:r>
      <w:bookmarkStart w:id="6292" w:name="_fnr4724"/>
      <w:r>
        <w:rPr>
          <w:rStyle w:val="a5"/>
        </w:rPr>
        <w:footnoteReference w:id="4736" w:customMarkFollows="0"/>
      </w:r>
      <w:bookmarkEnd w:id="6292"/>
      <w:r>
        <w:rPr>
          <w:rtl/>
        </w:rPr>
        <w:t xml:space="preserve"> המתאר את ר׳ ישראל אוכל עוגה (ואינו מזכיר מאכל אחר): “אחרי </w:t>
      </w:r>
      <w:r>
        <w:rPr>
          <w:rtl/>
        </w:rPr>
        <w:lastRenderedPageBreak/>
        <w:t>שחרית לקח ר׳ ישראל מיני מאפה, עלה על הבימה, בירך... ואכל בפני כולם, כדי שכולם יראו ויעשו כמוהו”. גם כץ, “תנועת המוסר”, כרך א</w:t>
      </w:r>
      <w:bookmarkStart w:id="6293" w:name="_fnr4725"/>
      <w:r>
        <w:rPr>
          <w:rStyle w:val="a5"/>
        </w:rPr>
        <w:footnoteReference w:id="4737" w:customMarkFollows="0"/>
      </w:r>
      <w:bookmarkEnd w:id="6293"/>
      <w:r>
        <w:rPr>
          <w:rtl/>
        </w:rPr>
        <w:t xml:space="preserve">, מספר: “ר׳ ישראל הוציא יין ועוגות, עשה קידוש ואכל בפני כל הקהל”. מסתבר שגם בשיחה זו, כשתיאר את הגוי המביא את התה החם, לא ביקש אבי לתאר במדויק כיצד הפסיק ר׳ ישראל את צומו, אלא דיבר בלשון מושאלת. רבנו הצביע על כך שמלבד ביטולו הגמור של הצום, בהזמנת הכול לשתות תה, הורה ר׳ ישראל לגוי גם </w:t>
      </w:r>
      <w:r>
        <w:rPr>
          <w:b/>
          <w:bCs/>
          <w:rtl/>
        </w:rPr>
        <w:t>לעשות מלאכה האסורה ביום הכיפורים בהכנת מזון לאכילה</w:t>
      </w:r>
      <w:r>
        <w:rPr>
          <w:rtl/>
        </w:rPr>
        <w:t xml:space="preserve"> – הרתחת התה – דבר שאינו נזכר אצל כץ. אשר למה שעשה ר׳ ישראל בפועל כדי להפסיק את הצום, ייתכן שאבי הסכים עם כץ: הוא אכל עוגה ושתה יין – וגם קצת תה חם.</w:t>
      </w:r>
    </w:p>
    <w:p w14:paraId="0A2894C6" w14:textId="77777777" w:rsidR="00AB3647" w:rsidRDefault="00000000" w:rsidP="007923E9">
      <w:pPr>
        <w:spacing w:after="120" w:line="276" w:lineRule="auto"/>
        <w:ind w:firstLine="283"/>
        <w:jc w:val="both"/>
      </w:pPr>
      <w:r>
        <w:rPr>
          <w:rtl/>
        </w:rPr>
        <w:t>עם זאת יש לציין שהמסורת שרשם יעקב מארק</w:t>
      </w:r>
      <w:bookmarkStart w:id="6294" w:name="_fnr4726"/>
      <w:r>
        <w:rPr>
          <w:rStyle w:val="a5"/>
        </w:rPr>
        <w:footnoteReference w:id="4738" w:customMarkFollows="0"/>
      </w:r>
      <w:bookmarkEnd w:id="6294"/>
      <w:r>
        <w:rPr>
          <w:rtl/>
        </w:rPr>
        <w:t xml:space="preserve"> חולקת בעיקרו של דבר על תיאור המאורעות של אבי. יעקב מארק אומר: “ר׳ ישראל דאג לפרסום מודעות בכל העיר שהתפילות יקוצרו והמתפללים יצאו לשאוף אוויר צח; במבואות בתי הכנסת הכין </w:t>
      </w:r>
      <w:r>
        <w:rPr>
          <w:b/>
          <w:bCs/>
          <w:rtl/>
        </w:rPr>
        <w:t>חתיכות עוגה זעירות</w:t>
      </w:r>
      <w:r>
        <w:rPr>
          <w:rtl/>
        </w:rPr>
        <w:t xml:space="preserve"> למקרה הצורך; ואחרי שחרית הכריז </w:t>
      </w:r>
      <w:r>
        <w:rPr>
          <w:b/>
          <w:bCs/>
          <w:rtl/>
        </w:rPr>
        <w:t>שכל מי שמרגיש חולשה רשאי לטעום</w:t>
      </w:r>
      <w:r>
        <w:rPr>
          <w:rtl/>
        </w:rPr>
        <w:t xml:space="preserve"> מן העוגות המוכנות </w:t>
      </w:r>
      <w:r>
        <w:rPr>
          <w:b/>
          <w:bCs/>
          <w:rtl/>
        </w:rPr>
        <w:t>בלי לשאול רופא</w:t>
      </w:r>
      <w:r>
        <w:rPr>
          <w:rtl/>
        </w:rPr>
        <w:t xml:space="preserve"> (ההדגשה שלי)”. לפי יעקב מארק, צום יום הכיפורים לא בוטל כלל, שכן רק אנשים מסוימים קיבלו היתר לאכול, ואף הוגבלה כמות המזון שהותר להם לאכול: מי שחשו חולשה יכלו רק לטעום חתיכת עוגה זעירה. עוד לפי יעקב מארק, שני הדברים הראשונים בתוכניתו של ר׳ ישראל – המודעות בכל העיר והכנת המזון – נעשו לפני החג באישור בית הדין של וילנה; את השלישי, הכרזתו ביום הכיפורים, עשה על דעת עצמו, והיא נתקלה בהתנגדותו של הדיין הרשמי</w:t>
      </w:r>
      <w:bookmarkStart w:id="6295" w:name="_fnr4727"/>
      <w:r>
        <w:rPr>
          <w:rStyle w:val="a5"/>
        </w:rPr>
        <w:footnoteReference w:id="4739" w:customMarkFollows="0"/>
      </w:r>
      <w:bookmarkEnd w:id="6295"/>
      <w:r>
        <w:rPr>
          <w:rtl/>
        </w:rPr>
        <w:t>.</w:t>
      </w:r>
    </w:p>
    <w:p w14:paraId="51E0152B" w14:textId="77777777" w:rsidR="00AB3647" w:rsidRDefault="00000000" w:rsidP="007923E9">
      <w:pPr>
        <w:spacing w:after="120" w:line="276" w:lineRule="auto"/>
        <w:ind w:firstLine="283"/>
        <w:jc w:val="both"/>
      </w:pPr>
      <w:r>
        <w:rPr>
          <w:rtl/>
        </w:rPr>
        <w:t xml:space="preserve">מלבד הפרטים על המאורע יוצא הדופן שנרשמו בספרו של כץ, “תנועת המוסר”, כרך א, מסר אבי בריאיון על ר׳ ישראל </w:t>
      </w:r>
      <w:proofErr w:type="spellStart"/>
      <w:r>
        <w:rPr>
          <w:rtl/>
        </w:rPr>
        <w:t>סלנטר</w:t>
      </w:r>
      <w:proofErr w:type="spellEnd"/>
      <w:r>
        <w:rPr>
          <w:rtl/>
        </w:rPr>
        <w:t xml:space="preserve"> עובדות מעניינות, ששולבו לאחר מכן במאמרו של הרב </w:t>
      </w:r>
      <w:proofErr w:type="spellStart"/>
      <w:r>
        <w:rPr>
          <w:rtl/>
        </w:rPr>
        <w:t>גלדוורט</w:t>
      </w:r>
      <w:bookmarkStart w:id="6296" w:name="_fnr4728"/>
      <w:proofErr w:type="spellEnd"/>
      <w:r>
        <w:rPr>
          <w:rStyle w:val="a5"/>
        </w:rPr>
        <w:footnoteReference w:id="4740" w:customMarkFollows="0"/>
      </w:r>
      <w:bookmarkEnd w:id="6296"/>
      <w:r>
        <w:rPr>
          <w:rtl/>
        </w:rPr>
        <w:t xml:space="preserve"> (ויוחסו לרבנו בהערה 19 שבמאמר). את הידיעות על שהתרחש באותו יום הכיפורים ובעקבותיו שמע אבי מר׳ דוד </w:t>
      </w:r>
      <w:proofErr w:type="spellStart"/>
      <w:r>
        <w:rPr>
          <w:rtl/>
        </w:rPr>
        <w:t>ליבוביץ</w:t>
      </w:r>
      <w:bookmarkStart w:id="6297" w:name="_fnr4729"/>
      <w:proofErr w:type="spellEnd"/>
      <w:r>
        <w:rPr>
          <w:rStyle w:val="a5"/>
        </w:rPr>
        <w:footnoteReference w:id="4741" w:customMarkFollows="0"/>
      </w:r>
      <w:bookmarkEnd w:id="6297"/>
      <w:r>
        <w:rPr>
          <w:rtl/>
        </w:rPr>
        <w:t xml:space="preserve">, ששמע אותן </w:t>
      </w:r>
      <w:proofErr w:type="spellStart"/>
      <w:r>
        <w:rPr>
          <w:rtl/>
        </w:rPr>
        <w:t>מדודו־זקנו</w:t>
      </w:r>
      <w:proofErr w:type="spellEnd"/>
      <w:r>
        <w:rPr>
          <w:rtl/>
        </w:rPr>
        <w:t xml:space="preserve"> </w:t>
      </w:r>
      <w:proofErr w:type="spellStart"/>
      <w:r>
        <w:rPr>
          <w:rtl/>
        </w:rPr>
        <w:t>החפץ־חיים</w:t>
      </w:r>
      <w:proofErr w:type="spellEnd"/>
      <w:r>
        <w:rPr>
          <w:rtl/>
        </w:rPr>
        <w:t xml:space="preserve">, אחי סבו מצד </w:t>
      </w:r>
      <w:proofErr w:type="spellStart"/>
      <w:r>
        <w:rPr>
          <w:rtl/>
        </w:rPr>
        <w:t>אמו</w:t>
      </w:r>
      <w:proofErr w:type="spellEnd"/>
      <w:r>
        <w:rPr>
          <w:rtl/>
        </w:rPr>
        <w:t xml:space="preserve">, ששהה בווילנה בשעת המאורעות. אביו של </w:t>
      </w:r>
      <w:proofErr w:type="spellStart"/>
      <w:r>
        <w:rPr>
          <w:rtl/>
        </w:rPr>
        <w:t>החפץ־חיים</w:t>
      </w:r>
      <w:proofErr w:type="spellEnd"/>
      <w:r>
        <w:rPr>
          <w:rtl/>
        </w:rPr>
        <w:t xml:space="preserve"> היה אחד מקורבנות המגפה: הוא נפטר שבועיים אחרי אותו יום הכיפורים, בשמחת תורה.</w:t>
      </w:r>
    </w:p>
    <w:p w14:paraId="1C98F707" w14:textId="77777777" w:rsidR="00AB3647" w:rsidRDefault="00000000" w:rsidP="007923E9">
      <w:pPr>
        <w:spacing w:after="120" w:line="276" w:lineRule="auto"/>
        <w:ind w:firstLine="283"/>
        <w:jc w:val="both"/>
      </w:pPr>
      <w:r>
        <w:rPr>
          <w:rtl/>
        </w:rPr>
        <w:t xml:space="preserve">לפי ההנחה המקובלת, </w:t>
      </w:r>
      <w:proofErr w:type="spellStart"/>
      <w:r>
        <w:rPr>
          <w:rtl/>
        </w:rPr>
        <w:t>שהחפץ־חיים</w:t>
      </w:r>
      <w:proofErr w:type="spellEnd"/>
      <w:r>
        <w:rPr>
          <w:rtl/>
        </w:rPr>
        <w:t xml:space="preserve"> נפטר בן תשעים וארבע, היה בן פחות מעשר בעת המגפה. אבל נכדו של </w:t>
      </w:r>
      <w:proofErr w:type="spellStart"/>
      <w:r>
        <w:rPr>
          <w:rtl/>
        </w:rPr>
        <w:t>החפץ־חיים</w:t>
      </w:r>
      <w:proofErr w:type="spellEnd"/>
      <w:r>
        <w:rPr>
          <w:rtl/>
        </w:rPr>
        <w:t>, ר׳ הלל זקס</w:t>
      </w:r>
      <w:bookmarkStart w:id="6298" w:name="_fnr4730"/>
      <w:r>
        <w:rPr>
          <w:rStyle w:val="a5"/>
        </w:rPr>
        <w:footnoteReference w:id="4742" w:customMarkFollows="0"/>
      </w:r>
      <w:bookmarkEnd w:id="6298"/>
      <w:r>
        <w:rPr>
          <w:rtl/>
        </w:rPr>
        <w:t xml:space="preserve">, מסר לי שר׳ חיים </w:t>
      </w:r>
      <w:proofErr w:type="spellStart"/>
      <w:r>
        <w:rPr>
          <w:rtl/>
        </w:rPr>
        <w:t xml:space="preserve">קניבסקי</w:t>
      </w:r>
      <w:proofErr w:type="spellEnd"/>
      <w:r>
        <w:rPr>
          <w:rtl/>
        </w:rPr>
        <w:t xml:space="preserve"> שמע בעצמו מפי ר׳ </w:t>
      </w:r>
      <w:proofErr w:type="spellStart"/>
      <w:r>
        <w:rPr>
          <w:rtl/>
        </w:rPr>
        <w:t>אברהם־ישעיהו</w:t>
      </w:r>
      <w:proofErr w:type="spellEnd"/>
      <w:r>
        <w:rPr>
          <w:rtl/>
        </w:rPr>
        <w:t xml:space="preserve"> </w:t>
      </w:r>
      <w:proofErr w:type="spellStart"/>
      <w:r>
        <w:rPr>
          <w:rtl/>
        </w:rPr>
        <w:t>קרליץ</w:t>
      </w:r>
      <w:proofErr w:type="spellEnd"/>
      <w:r>
        <w:rPr>
          <w:rtl/>
        </w:rPr>
        <w:t xml:space="preserve">, </w:t>
      </w:r>
      <w:proofErr w:type="spellStart"/>
      <w:r>
        <w:rPr>
          <w:rtl/>
        </w:rPr>
        <w:t>החזון־איש</w:t>
      </w:r>
      <w:proofErr w:type="spellEnd"/>
      <w:r>
        <w:rPr>
          <w:rtl/>
        </w:rPr>
        <w:t xml:space="preserve">, </w:t>
      </w:r>
      <w:proofErr w:type="spellStart"/>
      <w:r>
        <w:rPr>
          <w:rtl/>
        </w:rPr>
        <w:t>שהחפץ־חיים</w:t>
      </w:r>
      <w:proofErr w:type="spellEnd"/>
      <w:r>
        <w:rPr>
          <w:rtl/>
        </w:rPr>
        <w:t xml:space="preserve"> היה בן 104 כשנפטר</w:t>
      </w:r>
      <w:bookmarkStart w:id="6299" w:name="_fnr4731"/>
      <w:r>
        <w:rPr>
          <w:rStyle w:val="a5"/>
        </w:rPr>
        <w:footnoteReference w:id="4743" w:customMarkFollows="0"/>
      </w:r>
      <w:bookmarkEnd w:id="6299"/>
      <w:r>
        <w:rPr>
          <w:rtl/>
        </w:rPr>
        <w:t xml:space="preserve">; לפי זה היה כבר בן </w:t>
      </w:r>
      <w:proofErr w:type="spellStart"/>
      <w:r>
        <w:rPr>
          <w:rtl/>
        </w:rPr>
        <w:t>תשע־עשרה</w:t>
      </w:r>
      <w:proofErr w:type="spellEnd"/>
      <w:r>
        <w:rPr>
          <w:rtl/>
        </w:rPr>
        <w:t xml:space="preserve"> בעת המגפה. גם לשון הברכה שבהסכמת </w:t>
      </w:r>
      <w:proofErr w:type="spellStart"/>
      <w:r>
        <w:rPr>
          <w:rtl/>
        </w:rPr>
        <w:t>האדר״ת</w:t>
      </w:r>
      <w:proofErr w:type="spellEnd"/>
      <w:r>
        <w:rPr>
          <w:rtl/>
        </w:rPr>
        <w:t xml:space="preserve"> לספרו של </w:t>
      </w:r>
      <w:proofErr w:type="spellStart"/>
      <w:r>
        <w:rPr>
          <w:rtl/>
        </w:rPr>
        <w:t>החפץ־חיים</w:t>
      </w:r>
      <w:proofErr w:type="spellEnd"/>
      <w:r>
        <w:rPr>
          <w:rtl/>
        </w:rPr>
        <w:t xml:space="preserve"> “ליקוטי הלכות”, שניתנה </w:t>
      </w:r>
      <w:proofErr w:type="spellStart"/>
      <w:r>
        <w:rPr>
          <w:rtl/>
        </w:rPr>
        <w:t>בתרנ״ו</w:t>
      </w:r>
      <w:proofErr w:type="spellEnd"/>
      <w:r>
        <w:rPr>
          <w:rtl/>
        </w:rPr>
        <w:t xml:space="preserve">, מלמדת שהיה אז מבוגר בהרבה מכפי שהיה אילו נפטר בן </w:t>
      </w:r>
      <w:r>
        <w:rPr>
          <w:rtl/>
        </w:rPr>
        <w:lastRenderedPageBreak/>
        <w:t>תשעים וארבע. נאמר בה: “ה׳ יאריך ימיו ושנותיו” – לשון ההולמת אדם שכבר הזקין. אם נפטר בן 104, היה אז בן שישים ושבע (</w:t>
      </w:r>
      <w:proofErr w:type="spellStart"/>
      <w:r>
        <w:rPr>
          <w:rtl/>
        </w:rPr>
        <w:t>והאדר״ת</w:t>
      </w:r>
      <w:proofErr w:type="spellEnd"/>
      <w:r>
        <w:rPr>
          <w:rtl/>
        </w:rPr>
        <w:t xml:space="preserve"> בן חמישים ואחת); ואילו לפי החשבון האחר היה רק בן חמישים ושמונה </w:t>
      </w:r>
      <w:proofErr w:type="spellStart"/>
      <w:r>
        <w:rPr>
          <w:rtl/>
        </w:rPr>
        <w:t>בתרנ״ו</w:t>
      </w:r>
      <w:proofErr w:type="spellEnd"/>
      <w:r>
        <w:rPr>
          <w:rtl/>
        </w:rPr>
        <w:t>.</w:t>
      </w:r>
    </w:p>
    <w:p w14:paraId="33498A4E" w14:textId="77777777" w:rsidR="00AB3647" w:rsidRDefault="00000000" w:rsidP="007923E9">
      <w:pPr>
        <w:spacing w:after="120" w:line="276" w:lineRule="auto"/>
        <w:ind w:firstLine="283"/>
        <w:jc w:val="both"/>
      </w:pPr>
      <w:r>
        <w:rPr>
          <w:rtl/>
        </w:rPr>
        <w:t xml:space="preserve">השווה גם </w:t>
      </w:r>
      <w:proofErr w:type="spellStart"/>
      <w:r>
        <w:rPr>
          <w:rtl/>
        </w:rPr>
        <w:t>שאשקעס</w:t>
      </w:r>
      <w:bookmarkStart w:id="6300" w:name="_fnr4732"/>
      <w:proofErr w:type="spellEnd"/>
      <w:r>
        <w:rPr>
          <w:rStyle w:val="a5"/>
        </w:rPr>
        <w:footnoteReference w:id="4744" w:customMarkFollows="0"/>
      </w:r>
      <w:bookmarkEnd w:id="6300"/>
      <w:r>
        <w:rPr>
          <w:rtl/>
        </w:rPr>
        <w:t xml:space="preserve">, המתאר את נסיעתו עם </w:t>
      </w:r>
      <w:proofErr w:type="spellStart"/>
      <w:r>
        <w:rPr>
          <w:rtl/>
        </w:rPr>
        <w:t>החפץ־חיים</w:t>
      </w:r>
      <w:proofErr w:type="spellEnd"/>
      <w:r>
        <w:rPr>
          <w:rtl/>
        </w:rPr>
        <w:t xml:space="preserve">, “כבר </w:t>
      </w:r>
      <w:proofErr w:type="spellStart"/>
      <w:r>
        <w:rPr>
          <w:rtl/>
        </w:rPr>
        <w:t>אלטיטשקער</w:t>
      </w:r>
      <w:proofErr w:type="spellEnd"/>
      <w:r>
        <w:rPr>
          <w:rtl/>
        </w:rPr>
        <w:t xml:space="preserve"> [זקן קטן]”, כשנכבדי הקהילה ולומדי </w:t>
      </w:r>
      <w:proofErr w:type="spellStart"/>
      <w:r>
        <w:rPr>
          <w:rtl/>
        </w:rPr>
        <w:t>ביאליסטוק</w:t>
      </w:r>
      <w:proofErr w:type="spellEnd"/>
      <w:r>
        <w:rPr>
          <w:rtl/>
        </w:rPr>
        <w:t xml:space="preserve"> ליוו אותו לתחנת הרכבת, </w:t>
      </w:r>
      <w:proofErr w:type="spellStart"/>
      <w:r>
        <w:rPr>
          <w:rtl/>
        </w:rPr>
        <w:t>זמן־מה</w:t>
      </w:r>
      <w:proofErr w:type="spellEnd"/>
      <w:r>
        <w:rPr>
          <w:rtl/>
        </w:rPr>
        <w:t xml:space="preserve"> במחצית השנייה של שנות </w:t>
      </w:r>
      <w:proofErr w:type="spellStart"/>
      <w:r>
        <w:rPr>
          <w:rtl/>
        </w:rPr>
        <w:t xml:space="preserve">התר״נ</w:t>
      </w:r>
      <w:proofErr w:type="spellEnd"/>
      <w:r>
        <w:rPr>
          <w:rtl/>
        </w:rPr>
        <w:t xml:space="preserve">. תיאור זה אינו הולם כלל אדם בן חמישים ושמונה עד שישים ושתיים; לפי חשבון </w:t>
      </w:r>
      <w:proofErr w:type="spellStart"/>
      <w:r>
        <w:rPr>
          <w:rtl/>
        </w:rPr>
        <w:t>החזון־איש</w:t>
      </w:r>
      <w:proofErr w:type="spellEnd"/>
      <w:r>
        <w:rPr>
          <w:rtl/>
        </w:rPr>
        <w:t xml:space="preserve"> היה אז בן שישים ושמונה עד שבעים ושתיים.</w:t>
      </w:r>
    </w:p>
    <w:p w14:paraId="274BA61C" w14:textId="77777777" w:rsidR="00AB3647" w:rsidRDefault="00000000" w:rsidP="007923E9">
      <w:pPr>
        <w:spacing w:after="120" w:line="276" w:lineRule="auto"/>
        <w:ind w:firstLine="283"/>
        <w:jc w:val="both"/>
      </w:pPr>
      <w:r>
        <w:rPr>
          <w:rtl/>
        </w:rPr>
        <w:t xml:space="preserve">אגב, </w:t>
      </w:r>
      <w:proofErr w:type="spellStart"/>
      <w:r>
        <w:rPr>
          <w:rtl/>
        </w:rPr>
        <w:t>שאשקעס</w:t>
      </w:r>
      <w:proofErr w:type="spellEnd"/>
      <w:r>
        <w:rPr>
          <w:rtl/>
        </w:rPr>
        <w:t xml:space="preserve"> מספר </w:t>
      </w:r>
      <w:proofErr w:type="spellStart"/>
      <w:r>
        <w:rPr>
          <w:rtl/>
        </w:rPr>
        <w:t>שהחפץ־חיים</w:t>
      </w:r>
      <w:proofErr w:type="spellEnd"/>
      <w:r>
        <w:rPr>
          <w:rtl/>
        </w:rPr>
        <w:t xml:space="preserve"> נשאר עומד בכרכרה, וכשמלוויו לא חדלו להפציר בו לשבת, השיב שאינו יכול, מפני שאינו חש בטוב. “אבל לאחר מכן”, כותב </w:t>
      </w:r>
      <w:proofErr w:type="spellStart"/>
      <w:r>
        <w:rPr>
          <w:rtl/>
        </w:rPr>
        <w:t>שאשקעס</w:t>
      </w:r>
      <w:proofErr w:type="spellEnd"/>
      <w:r>
        <w:rPr>
          <w:rtl/>
        </w:rPr>
        <w:t xml:space="preserve">, “גילה הדוד [שלי] את הסוד. </w:t>
      </w:r>
      <w:proofErr w:type="spellStart"/>
      <w:r>
        <w:rPr>
          <w:rtl/>
        </w:rPr>
        <w:t>החפץ־חיים</w:t>
      </w:r>
      <w:proofErr w:type="spellEnd"/>
      <w:r>
        <w:rPr>
          <w:rtl/>
        </w:rPr>
        <w:t xml:space="preserve"> לא רצה לשבת על האריג מפני חשש שעטנז, אך לא רצה לומר זאת למלוויו כדי שלא להביכם”. תשובתו המתחמקת של </w:t>
      </w:r>
      <w:proofErr w:type="spellStart"/>
      <w:r>
        <w:rPr>
          <w:rtl/>
        </w:rPr>
        <w:t>החפץ־חיים</w:t>
      </w:r>
      <w:proofErr w:type="spellEnd"/>
      <w:r>
        <w:rPr>
          <w:rtl/>
        </w:rPr>
        <w:t>, שאינו חש בטוב, מזכירה מעשה</w:t>
      </w:r>
      <w:bookmarkStart w:id="6301" w:name="_fnr4733"/>
      <w:r>
        <w:rPr>
          <w:rStyle w:val="a5"/>
        </w:rPr>
        <w:footnoteReference w:id="4745" w:customMarkFollows="0"/>
      </w:r>
      <w:bookmarkEnd w:id="6301"/>
      <w:r>
        <w:rPr>
          <w:rtl/>
        </w:rPr>
        <w:t xml:space="preserve"> בר׳ </w:t>
      </w:r>
      <w:proofErr w:type="spellStart"/>
      <w:r>
        <w:rPr>
          <w:rtl/>
        </w:rPr>
        <w:t>צבי־הירש</w:t>
      </w:r>
      <w:proofErr w:type="spellEnd"/>
      <w:r>
        <w:rPr>
          <w:rtl/>
        </w:rPr>
        <w:t xml:space="preserve">, המגיד </w:t>
      </w:r>
      <w:proofErr w:type="spellStart"/>
      <w:r>
        <w:rPr>
          <w:rtl/>
        </w:rPr>
        <w:t>מסמיאטיץ</w:t>
      </w:r>
      <w:proofErr w:type="spellEnd"/>
      <w:r>
        <w:rPr>
          <w:rtl/>
        </w:rPr>
        <w:t xml:space="preserve">׳, שביקר בבית רבו, הגאון מווילנה, ומצא את התלמידים אוכלים. כשהזמינוהו להצטרף לסעודה, השיב: “הרופא אינו מתיר לי לאכול”. הגאון העיר מיד: “אמת: גם הרמב״ם היה רופא”. הוא הבין שר׳ </w:t>
      </w:r>
      <w:proofErr w:type="spellStart"/>
      <w:r>
        <w:rPr>
          <w:rtl/>
        </w:rPr>
        <w:t>צבי־הירש</w:t>
      </w:r>
      <w:proofErr w:type="spellEnd"/>
      <w:r>
        <w:rPr>
          <w:rtl/>
        </w:rPr>
        <w:t xml:space="preserve"> התכוון לפסק הרמב״ם שאין לאדם להשתתף </w:t>
      </w:r>
      <w:proofErr w:type="spellStart"/>
      <w:r>
        <w:rPr>
          <w:rtl/>
        </w:rPr>
        <w:t>ב“סעודה</w:t>
      </w:r>
      <w:proofErr w:type="spellEnd"/>
      <w:r>
        <w:rPr>
          <w:rtl/>
        </w:rPr>
        <w:t xml:space="preserve"> שאינה מספקת לבעליה”</w:t>
      </w:r>
      <w:bookmarkStart w:id="6302" w:name="_fnr4734"/>
      <w:r>
        <w:rPr>
          <w:rStyle w:val="a5"/>
        </w:rPr>
        <w:footnoteReference w:id="4746" w:customMarkFollows="0"/>
      </w:r>
      <w:bookmarkEnd w:id="6302"/>
      <w:r>
        <w:rPr>
          <w:rtl/>
        </w:rPr>
        <w:t>.</w:t>
      </w:r>
    </w:p>
    <w:p w14:paraId="1C30367F" w14:textId="77777777" w:rsidR="00AB3647" w:rsidRDefault="00000000" w:rsidP="007923E9">
      <w:pPr>
        <w:spacing w:after="120" w:line="276" w:lineRule="auto"/>
        <w:ind w:firstLine="283"/>
        <w:jc w:val="both"/>
      </w:pPr>
      <w:r>
        <w:rPr>
          <w:rtl/>
        </w:rPr>
        <w:t>ואולם לפי “הליכות והלכות בר מצוה”</w:t>
      </w:r>
      <w:bookmarkStart w:id="6303" w:name="_fnr4735"/>
      <w:r>
        <w:rPr>
          <w:rStyle w:val="a5"/>
        </w:rPr>
        <w:footnoteReference w:id="4747" w:customMarkFollows="0"/>
      </w:r>
      <w:bookmarkEnd w:id="6303"/>
      <w:r>
        <w:rPr>
          <w:rtl/>
        </w:rPr>
        <w:t xml:space="preserve">, סיפר ר׳ </w:t>
      </w:r>
      <w:proofErr w:type="spellStart"/>
      <w:r>
        <w:rPr>
          <w:rtl/>
        </w:rPr>
        <w:t>יוסף־שלמה</w:t>
      </w:r>
      <w:proofErr w:type="spellEnd"/>
      <w:r>
        <w:rPr>
          <w:rtl/>
        </w:rPr>
        <w:t xml:space="preserve"> </w:t>
      </w:r>
      <w:proofErr w:type="spellStart"/>
      <w:r>
        <w:rPr>
          <w:rtl/>
        </w:rPr>
        <w:t>כהנמן</w:t>
      </w:r>
      <w:proofErr w:type="spellEnd"/>
      <w:r>
        <w:rPr>
          <w:rtl/>
        </w:rPr>
        <w:t xml:space="preserve">, הרב </w:t>
      </w:r>
      <w:proofErr w:type="spellStart"/>
      <w:r>
        <w:rPr>
          <w:rtl/>
        </w:rPr>
        <w:t>מפוניבז</w:t>
      </w:r>
      <w:proofErr w:type="spellEnd"/>
      <w:r>
        <w:rPr>
          <w:rtl/>
        </w:rPr>
        <w:t xml:space="preserve">׳, שהיה נוכח כשחגג </w:t>
      </w:r>
      <w:proofErr w:type="spellStart"/>
      <w:r>
        <w:rPr>
          <w:rtl/>
        </w:rPr>
        <w:t>החפץ־חיים</w:t>
      </w:r>
      <w:proofErr w:type="spellEnd"/>
      <w:r>
        <w:rPr>
          <w:rtl/>
        </w:rPr>
        <w:t xml:space="preserve"> את יום הולדתו השבעים, </w:t>
      </w:r>
      <w:proofErr w:type="spellStart"/>
      <w:r>
        <w:rPr>
          <w:rtl/>
        </w:rPr>
        <w:t>ושהחפץ־חיים</w:t>
      </w:r>
      <w:proofErr w:type="spellEnd"/>
      <w:r>
        <w:rPr>
          <w:rtl/>
        </w:rPr>
        <w:t xml:space="preserve"> לבש בגד חדש כדי לברך שהחיינו</w:t>
      </w:r>
      <w:bookmarkStart w:id="6304" w:name="_fnr4736"/>
      <w:r>
        <w:rPr>
          <w:rStyle w:val="a5"/>
        </w:rPr>
        <w:footnoteReference w:id="4748" w:customMarkFollows="0"/>
      </w:r>
      <w:bookmarkEnd w:id="6304"/>
      <w:r>
        <w:rPr>
          <w:rtl/>
        </w:rPr>
        <w:t xml:space="preserve"> – והרב </w:t>
      </w:r>
      <w:proofErr w:type="spellStart"/>
      <w:r>
        <w:rPr>
          <w:rtl/>
        </w:rPr>
        <w:t>מפוניבז</w:t>
      </w:r>
      <w:proofErr w:type="spellEnd"/>
      <w:r>
        <w:rPr>
          <w:rtl/>
        </w:rPr>
        <w:t xml:space="preserve">׳ היה </w:t>
      </w:r>
      <w:proofErr w:type="spellStart"/>
      <w:r>
        <w:rPr>
          <w:rtl/>
        </w:rPr>
        <w:t>בראדין</w:t>
      </w:r>
      <w:proofErr w:type="spellEnd"/>
      <w:r>
        <w:rPr>
          <w:rtl/>
        </w:rPr>
        <w:t xml:space="preserve"> </w:t>
      </w:r>
      <w:proofErr w:type="spellStart"/>
      <w:r>
        <w:rPr>
          <w:rtl/>
        </w:rPr>
        <w:t>בתרס״ט</w:t>
      </w:r>
      <w:proofErr w:type="spellEnd"/>
      <w:r>
        <w:rPr>
          <w:rtl/>
        </w:rPr>
        <w:t xml:space="preserve">, ולא </w:t>
      </w:r>
      <w:proofErr w:type="spellStart"/>
      <w:r>
        <w:rPr>
          <w:rtl/>
        </w:rPr>
        <w:t>בתרנ״ט</w:t>
      </w:r>
      <w:proofErr w:type="spellEnd"/>
      <w:r>
        <w:rPr>
          <w:rtl/>
        </w:rPr>
        <w:t xml:space="preserve">. נמצא </w:t>
      </w:r>
      <w:proofErr w:type="spellStart"/>
      <w:r>
        <w:rPr>
          <w:rtl/>
        </w:rPr>
        <w:t>שהחפץ־חיים</w:t>
      </w:r>
      <w:proofErr w:type="spellEnd"/>
      <w:r>
        <w:rPr>
          <w:rtl/>
        </w:rPr>
        <w:t xml:space="preserve"> נולד </w:t>
      </w:r>
      <w:proofErr w:type="spellStart"/>
      <w:r>
        <w:rPr>
          <w:rtl/>
        </w:rPr>
        <w:t>בתקצ״ט</w:t>
      </w:r>
      <w:proofErr w:type="spellEnd"/>
      <w:r>
        <w:rPr>
          <w:rtl/>
        </w:rPr>
        <w:t>, והיה בן פחות מעשר בעת המגפה. השווה גם “ספר מאיר עיני ישראל”</w:t>
      </w:r>
      <w:bookmarkStart w:id="6305" w:name="_fnr4737"/>
      <w:r>
        <w:rPr>
          <w:rStyle w:val="a5"/>
        </w:rPr>
        <w:footnoteReference w:id="4749" w:customMarkFollows="0"/>
      </w:r>
      <w:bookmarkEnd w:id="6305"/>
      <w:r>
        <w:rPr>
          <w:rtl/>
        </w:rPr>
        <w:t xml:space="preserve">, המספר בשם ר׳ שלום גלאי </w:t>
      </w:r>
      <w:proofErr w:type="spellStart"/>
      <w:r>
        <w:rPr>
          <w:rtl/>
        </w:rPr>
        <w:t>שהחפץ־חיים</w:t>
      </w:r>
      <w:proofErr w:type="spellEnd"/>
      <w:r>
        <w:rPr>
          <w:rtl/>
        </w:rPr>
        <w:t xml:space="preserve"> תיאר כיצד היה נוכח בשעת פטירת אביו כשהיה “ילד צעיר” – הגדרה ההולמת ילד בן עשר, ולא בן </w:t>
      </w:r>
      <w:proofErr w:type="spellStart"/>
      <w:r>
        <w:rPr>
          <w:rtl/>
        </w:rPr>
        <w:t>תשע־עשרה</w:t>
      </w:r>
      <w:proofErr w:type="spellEnd"/>
      <w:r>
        <w:rPr>
          <w:rtl/>
        </w:rPr>
        <w:t xml:space="preserve"> שכבר היה נשוי מגיל </w:t>
      </w:r>
      <w:proofErr w:type="spellStart"/>
      <w:r>
        <w:rPr>
          <w:rtl/>
        </w:rPr>
        <w:t>שבע־עשרה</w:t>
      </w:r>
      <w:bookmarkStart w:id="6306" w:name="_fnr4738"/>
      <w:proofErr w:type="spellEnd"/>
      <w:r>
        <w:rPr>
          <w:rStyle w:val="a5"/>
        </w:rPr>
        <w:footnoteReference w:id="4750" w:customMarkFollows="0"/>
      </w:r>
      <w:bookmarkEnd w:id="6306"/>
      <w:r>
        <w:rPr>
          <w:rtl/>
        </w:rPr>
        <w:t>.</w:t>
      </w:r>
    </w:p>
    <w:p w14:paraId="00A77411" w14:textId="77777777" w:rsidR="00AB3647" w:rsidRDefault="00000000" w:rsidP="007923E9">
      <w:pPr>
        <w:spacing w:after="120" w:line="276" w:lineRule="auto"/>
        <w:ind w:firstLine="283"/>
        <w:jc w:val="both"/>
      </w:pPr>
      <w:r>
        <w:rPr>
          <w:rtl/>
        </w:rPr>
        <w:t xml:space="preserve">בנו של </w:t>
      </w:r>
      <w:proofErr w:type="spellStart"/>
      <w:r>
        <w:rPr>
          <w:rtl/>
        </w:rPr>
        <w:t>החפץ־חיים</w:t>
      </w:r>
      <w:proofErr w:type="spellEnd"/>
      <w:r>
        <w:rPr>
          <w:rtl/>
        </w:rPr>
        <w:t xml:space="preserve">, ר׳ </w:t>
      </w:r>
      <w:proofErr w:type="spellStart"/>
      <w:r>
        <w:rPr>
          <w:rtl/>
        </w:rPr>
        <w:t>אריה־לייב</w:t>
      </w:r>
      <w:proofErr w:type="spellEnd"/>
      <w:r>
        <w:rPr>
          <w:rtl/>
        </w:rPr>
        <w:t xml:space="preserve">, טעה </w:t>
      </w:r>
      <w:proofErr w:type="spellStart"/>
      <w:r>
        <w:rPr>
          <w:rtl/>
        </w:rPr>
        <w:t>ב“כל</w:t>
      </w:r>
      <w:proofErr w:type="spellEnd"/>
      <w:r>
        <w:rPr>
          <w:rtl/>
        </w:rPr>
        <w:t xml:space="preserve"> כתבי חפץ חיים השלם”</w:t>
      </w:r>
      <w:bookmarkStart w:id="6307" w:name="_fnr4739"/>
      <w:r>
        <w:rPr>
          <w:rStyle w:val="a5"/>
        </w:rPr>
        <w:footnoteReference w:id="4751" w:customMarkFollows="0"/>
      </w:r>
      <w:bookmarkEnd w:id="6307"/>
      <w:r>
        <w:rPr>
          <w:rtl/>
        </w:rPr>
        <w:t xml:space="preserve"> וכתב </w:t>
      </w:r>
      <w:proofErr w:type="spellStart"/>
      <w:r>
        <w:rPr>
          <w:rtl/>
        </w:rPr>
        <w:t>ש“כמדומה</w:t>
      </w:r>
      <w:proofErr w:type="spellEnd"/>
      <w:r>
        <w:rPr>
          <w:rtl/>
        </w:rPr>
        <w:t xml:space="preserve">” אירעה המגפה </w:t>
      </w:r>
      <w:proofErr w:type="spellStart"/>
      <w:r>
        <w:rPr>
          <w:rtl/>
        </w:rPr>
        <w:t>בתרי״ג</w:t>
      </w:r>
      <w:proofErr w:type="spellEnd"/>
      <w:r>
        <w:rPr>
          <w:rtl/>
        </w:rPr>
        <w:t xml:space="preserve">, ולא ארבע שנים קודם לכן, כשאירעה בפועל; על יסוד טעות זו טעה בחשבון וכתב שאביו היה “קרוב לגיל </w:t>
      </w:r>
      <w:proofErr w:type="spellStart"/>
      <w:r>
        <w:rPr>
          <w:rtl/>
        </w:rPr>
        <w:t>ארבע־עשרה</w:t>
      </w:r>
      <w:proofErr w:type="spellEnd"/>
      <w:r>
        <w:rPr>
          <w:rtl/>
        </w:rPr>
        <w:t xml:space="preserve">” באותה עת. משנתקן את </w:t>
      </w:r>
      <w:r>
        <w:rPr>
          <w:rtl/>
        </w:rPr>
        <w:lastRenderedPageBreak/>
        <w:t xml:space="preserve">תאריך המגפה, יסכים גם בנו של </w:t>
      </w:r>
      <w:proofErr w:type="spellStart"/>
      <w:r>
        <w:rPr>
          <w:rtl/>
        </w:rPr>
        <w:t>החפץ־חיים</w:t>
      </w:r>
      <w:proofErr w:type="spellEnd"/>
      <w:r>
        <w:rPr>
          <w:rtl/>
        </w:rPr>
        <w:t xml:space="preserve"> שאביו היה אז רק קרוב לגיל עשר. הרי לנו אישור מפי בנו של </w:t>
      </w:r>
      <w:proofErr w:type="spellStart"/>
      <w:r>
        <w:rPr>
          <w:rtl/>
        </w:rPr>
        <w:t>החפץ־חיים</w:t>
      </w:r>
      <w:proofErr w:type="spellEnd"/>
      <w:r>
        <w:rPr>
          <w:rtl/>
        </w:rPr>
        <w:t xml:space="preserve"> עצמו לגיל אביו, והוא תואם את זיכרונות הרב </w:t>
      </w:r>
      <w:proofErr w:type="spellStart"/>
      <w:r>
        <w:rPr>
          <w:rtl/>
        </w:rPr>
        <w:t>מפוניבז</w:t>
      </w:r>
      <w:proofErr w:type="spellEnd"/>
      <w:r>
        <w:rPr>
          <w:rtl/>
        </w:rPr>
        <w:t>׳.</w:t>
      </w:r>
    </w:p>
    <w:p w14:paraId="331C600E" w14:textId="77777777" w:rsidR="00AB3647" w:rsidRDefault="00000000" w:rsidP="007923E9">
      <w:pPr>
        <w:spacing w:after="120" w:line="276" w:lineRule="auto"/>
        <w:ind w:firstLine="283"/>
        <w:jc w:val="both"/>
      </w:pPr>
      <w:r>
        <w:rPr>
          <w:rtl/>
        </w:rPr>
        <w:t>ראה גם הכרך שיצא לאחרונה, “שנות דור ודור”</w:t>
      </w:r>
      <w:bookmarkStart w:id="6308" w:name="_fnr4740"/>
      <w:r>
        <w:rPr>
          <w:rStyle w:val="a5"/>
        </w:rPr>
        <w:footnoteReference w:id="4752" w:customMarkFollows="0"/>
      </w:r>
      <w:bookmarkEnd w:id="6308"/>
      <w:r>
        <w:rPr>
          <w:rtl/>
        </w:rPr>
        <w:t xml:space="preserve">, שבו נדפס מכתב שכתב </w:t>
      </w:r>
      <w:proofErr w:type="spellStart"/>
      <w:r>
        <w:rPr>
          <w:rtl/>
        </w:rPr>
        <w:t>החפץ־חיים</w:t>
      </w:r>
      <w:proofErr w:type="spellEnd"/>
      <w:r>
        <w:rPr>
          <w:rtl/>
        </w:rPr>
        <w:t xml:space="preserve"> </w:t>
      </w:r>
      <w:proofErr w:type="spellStart"/>
      <w:r>
        <w:rPr>
          <w:rtl/>
        </w:rPr>
        <w:t>בתרפ״ו</w:t>
      </w:r>
      <w:proofErr w:type="spellEnd"/>
      <w:r>
        <w:rPr>
          <w:rtl/>
        </w:rPr>
        <w:t xml:space="preserve">, ובו ביקש ממכר המתגורר בתל אביב להשיג לו מסמכים לעלייה לארץ ישראל, בתנאי “שלא יפרסם הדבר”. במכתב הוא מציין את הגילים המדויקים שלו ושל חמשת בני המשפחה הקרובים שהתכוונו לעלות עמו – אשתו; בנו הצעיר אהרן; חתנו ר׳ מנדל זקס; בתו הרבנית </w:t>
      </w:r>
      <w:proofErr w:type="spellStart"/>
      <w:r>
        <w:rPr>
          <w:rtl/>
        </w:rPr>
        <w:t>פייגל</w:t>
      </w:r>
      <w:proofErr w:type="spellEnd"/>
      <w:r>
        <w:rPr>
          <w:rtl/>
        </w:rPr>
        <w:t xml:space="preserve"> זקס; ותינוקם הירש – ומצהיר שהוא בן שמונים ושש. אפשר כמובן לטעון ששמונים ושש היה הגיל הרשום במסמכיו </w:t>
      </w:r>
      <w:proofErr w:type="spellStart"/>
      <w:r>
        <w:rPr>
          <w:rtl/>
        </w:rPr>
        <w:t>הרוסיים־פולניים</w:t>
      </w:r>
      <w:proofErr w:type="spellEnd"/>
      <w:r>
        <w:rPr>
          <w:rtl/>
        </w:rPr>
        <w:t xml:space="preserve"> הרשמיים, אף שהיה מבוגר יותר. אך לנוכח שאר המקורות המאשרים שנמנו לעיל, יש להניח שזה היה גילו בפועל באותה עת; ובכך נדחית דעת </w:t>
      </w:r>
      <w:proofErr w:type="spellStart"/>
      <w:r>
        <w:rPr>
          <w:rtl/>
        </w:rPr>
        <w:t>החזון־איש</w:t>
      </w:r>
      <w:proofErr w:type="spellEnd"/>
      <w:r>
        <w:rPr>
          <w:rtl/>
        </w:rPr>
        <w:t>.</w:t>
      </w:r>
    </w:p>
    <w:p w14:paraId="629DD58C" w14:textId="77777777" w:rsidR="00AB3647" w:rsidRDefault="00000000" w:rsidP="007923E9">
      <w:pPr>
        <w:spacing w:after="120" w:line="276" w:lineRule="auto"/>
        <w:ind w:firstLine="283"/>
        <w:jc w:val="both"/>
      </w:pPr>
      <w:r>
        <w:rPr>
          <w:rtl/>
        </w:rPr>
        <w:t>נשארנו עם קושיה שאבי לא עסק בה: על איזה יסוד הלכתי יכול היה ר׳ ישראל לבטל את כל צום יום הכיפורים? צום יום הכיפורים אינו נחשב מופר – כך שהמפר אותו חייב כרת (או, כשיש בית דין, מלקות) במזיד, וקרבן חטאת בשוגג – אלא אם נאכלה או נשתתה כמות מזערית מסוימת. במזון, כמות זו פחותה במקצת מנפח ביצה בינונית; במשקה, היא מלוא לוגמיו. כדי שייחשב הצום מופר, צריך לאכול או לשתות כל אחת מן הכמויות בתוך ארבע דקות</w:t>
      </w:r>
      <w:bookmarkStart w:id="6309" w:name="_fnr4741"/>
      <w:bookmarkStart w:id="6310" w:name="pr_f_4622"/>
      <w:r>
        <w:rPr>
          <w:rStyle w:val="a5"/>
        </w:rPr>
        <w:footnoteReference w:id="4753" w:customMarkFollows="0"/>
      </w:r>
      <w:bookmarkEnd w:id="6309"/>
      <w:bookmarkEnd w:id="6310"/>
      <w:r>
        <w:rPr>
          <w:rtl/>
        </w:rPr>
        <w:t xml:space="preserve">. כמות זו נקראת בלשון ההלכה “שיעור”. גם אכילה או שתייה של פחות משיעור אסורה, אך אין בה העונשים האמורים, ואף אין הצום נחשב מופר בה. בחולה שמחלתו מסכנת את חייו, הדין הוא שאם הגבלת אכילתו לפחות </w:t>
      </w:r>
      <w:proofErr w:type="spellStart"/>
      <w:r>
        <w:rPr>
          <w:rtl/>
        </w:rPr>
        <w:t>מכשיעור</w:t>
      </w:r>
      <w:proofErr w:type="spellEnd"/>
      <w:r>
        <w:rPr>
          <w:rtl/>
        </w:rPr>
        <w:t xml:space="preserve"> לא תגדיל את סכנתו, </w:t>
      </w:r>
      <w:r>
        <w:rPr>
          <w:b/>
          <w:bCs/>
          <w:rtl/>
        </w:rPr>
        <w:t>אינו רשאי</w:t>
      </w:r>
      <w:r>
        <w:rPr>
          <w:rtl/>
        </w:rPr>
        <w:t xml:space="preserve"> לאכול שיעור שלם</w:t>
      </w:r>
      <w:bookmarkStart w:id="6311" w:name="_fnr4742"/>
      <w:bookmarkStart w:id="6312" w:name="pr_f_4623"/>
      <w:r>
        <w:rPr>
          <w:rStyle w:val="a5"/>
        </w:rPr>
        <w:footnoteReference w:id="4754" w:customMarkFollows="0"/>
      </w:r>
      <w:bookmarkEnd w:id="6311"/>
      <w:bookmarkEnd w:id="6312"/>
      <w:r>
        <w:rPr>
          <w:rtl/>
        </w:rPr>
        <w:t>.</w:t>
      </w:r>
    </w:p>
    <w:p w14:paraId="5C1646BE" w14:textId="77777777" w:rsidR="00AB3647" w:rsidRDefault="00000000" w:rsidP="007923E9">
      <w:pPr>
        <w:spacing w:after="120" w:line="276" w:lineRule="auto"/>
        <w:ind w:firstLine="283"/>
        <w:jc w:val="both"/>
      </w:pPr>
      <w:r>
        <w:rPr>
          <w:rtl/>
        </w:rPr>
        <w:t xml:space="preserve">הקושיה אפוא היא מדוע התיר ר׳ ישראל לבטל את הצום לגמרי, בשעה שאת המזון הדרוש לשמירת בריאות הציבור אפשר היה לספק באותה מידה באכילות קטנות לאורך כל היום, כל אחת פחות </w:t>
      </w:r>
      <w:proofErr w:type="spellStart"/>
      <w:r>
        <w:rPr>
          <w:rtl/>
        </w:rPr>
        <w:t>מכשיעור</w:t>
      </w:r>
      <w:proofErr w:type="spellEnd"/>
      <w:r>
        <w:rPr>
          <w:rtl/>
        </w:rPr>
        <w:t xml:space="preserve"> ובהפרש של יותר מארבע דקות. אבל מעשהו של אבי בטורונטו, בדיוק תשעים שנה לאחר מכן, </w:t>
      </w:r>
      <w:proofErr w:type="spellStart"/>
      <w:r>
        <w:rPr>
          <w:rtl/>
        </w:rPr>
        <w:t>בתרצ״ח</w:t>
      </w:r>
      <w:proofErr w:type="spellEnd"/>
      <w:r>
        <w:rPr>
          <w:rtl/>
        </w:rPr>
        <w:t xml:space="preserve">, המתואר להלן, ישפוך אור על הבנתו של רבנו את פסקו של ר׳ ישראל </w:t>
      </w:r>
      <w:proofErr w:type="spellStart"/>
      <w:r>
        <w:rPr>
          <w:rtl/>
        </w:rPr>
        <w:t>סלנטר</w:t>
      </w:r>
      <w:proofErr w:type="spellEnd"/>
      <w:r>
        <w:rPr>
          <w:rtl/>
        </w:rPr>
        <w:t xml:space="preserve"> בזמן המגפה בווילנה.</w:t>
      </w:r>
    </w:p>
    <w:p w14:paraId="5DA4D850" w14:textId="77777777" w:rsidR="00AB3647" w:rsidRDefault="00000000" w:rsidP="007923E9">
      <w:pPr>
        <w:spacing w:after="120" w:line="276" w:lineRule="auto"/>
        <w:ind w:firstLine="283"/>
        <w:jc w:val="both"/>
      </w:pPr>
      <w:r>
        <w:rPr>
          <w:rtl/>
        </w:rPr>
        <w:t xml:space="preserve">לשם התיעוד אעתיק חלק מן הריאיון על ר׳ ישראל </w:t>
      </w:r>
      <w:proofErr w:type="spellStart"/>
      <w:r>
        <w:rPr>
          <w:rtl/>
        </w:rPr>
        <w:t>סלנטר</w:t>
      </w:r>
      <w:proofErr w:type="spellEnd"/>
      <w:r>
        <w:rPr>
          <w:rtl/>
        </w:rPr>
        <w:t xml:space="preserve"> (שלא נכלל במאמר </w:t>
      </w:r>
      <w:proofErr w:type="spellStart"/>
      <w:r>
        <w:rPr>
          <w:rtl/>
        </w:rPr>
        <w:t>גלדוורט</w:t>
      </w:r>
      <w:bookmarkStart w:id="6313" w:name="_fnr4743"/>
      <w:proofErr w:type="spellEnd"/>
      <w:r>
        <w:rPr>
          <w:rStyle w:val="a5"/>
        </w:rPr>
        <w:footnoteReference w:id="4755" w:customMarkFollows="0"/>
      </w:r>
      <w:bookmarkEnd w:id="6313"/>
      <w:r>
        <w:rPr>
          <w:rtl/>
        </w:rPr>
        <w:t xml:space="preserve">), ובו יראה הקורא כמה מתוצאות המעשה שרבנו כינה “מרעיש עולמות”: “ר׳ ישראל היה אז רב צעיר [בן שלושים ותשע] בין רבנים גדולים אחרים בווילנה. אחרי יום הכיפורים זומן לבית </w:t>
      </w:r>
      <w:r>
        <w:rPr>
          <w:rtl/>
        </w:rPr>
        <w:lastRenderedPageBreak/>
        <w:t xml:space="preserve">הדין של העיר ונאמר לו: ‘לא ניכנס עמך לוויכוח אם מעשך היה נכון מבחינה הלכתית אם לאו. אבל אתה יודע שיש כאן בית דין; היה עליך להביא לפנינו את השאלה לדיון. או שהיית משכנע אותנו שצדקת וכל וילנה הייתה אוכלת, או שהיינו משכנעים אותך שלא צדקת. נהגת שלא כראוי </w:t>
      </w:r>
      <w:proofErr w:type="spellStart"/>
      <w:r>
        <w:rPr>
          <w:rtl/>
        </w:rPr>
        <w:t>כשלא</w:t>
      </w:r>
      <w:proofErr w:type="spellEnd"/>
      <w:r>
        <w:rPr>
          <w:rtl/>
        </w:rPr>
        <w:t xml:space="preserve"> באת אלינו’”</w:t>
      </w:r>
      <w:bookmarkStart w:id="6314" w:name="_fnr4744"/>
      <w:bookmarkStart w:id="6315" w:name="pr_f_4625"/>
      <w:r>
        <w:rPr>
          <w:rStyle w:val="a5"/>
        </w:rPr>
        <w:footnoteReference w:id="4756" w:customMarkFollows="0"/>
      </w:r>
      <w:bookmarkEnd w:id="6314"/>
      <w:bookmarkEnd w:id="6315"/>
      <w:r>
        <w:rPr>
          <w:rtl/>
        </w:rPr>
        <w:t>.</w:t>
      </w:r>
    </w:p>
    <w:p w14:paraId="180B677B" w14:textId="77777777" w:rsidR="00AB3647" w:rsidRDefault="00000000" w:rsidP="007923E9">
      <w:pPr>
        <w:spacing w:after="120" w:line="276" w:lineRule="auto"/>
        <w:ind w:firstLine="283"/>
        <w:jc w:val="both"/>
      </w:pPr>
      <w:r>
        <w:rPr>
          <w:rtl/>
        </w:rPr>
        <w:t>אבי הצדיק את ר׳ ישראל על שלא הביא את השאלה לפני בית הדין הרשמי, והביא ראיה מן הטור</w:t>
      </w:r>
      <w:bookmarkStart w:id="6316" w:name="_fnr4745"/>
      <w:r>
        <w:rPr>
          <w:rStyle w:val="a5"/>
        </w:rPr>
        <w:footnoteReference w:id="4757" w:customMarkFollows="0"/>
      </w:r>
      <w:bookmarkEnd w:id="6316"/>
      <w:r>
        <w:rPr>
          <w:rtl/>
        </w:rPr>
        <w:t xml:space="preserve">: “ואין צריך ליטול רשות מבית דין” [למחלל שבת כדי להציל נפש] – אף שנראה שמקור זה עוסק בשאלה המתעוררת בשבת עצמה. אבל בהחלט ייתכן שר׳ ישראל החליט רק ביום הכיפורים שהמצב אכן חמור, כפי שעולה מן הקטע המודגש בזיכרונות ר׳ יצחק ליפקין המצוטטים להלן בעמ׳ </w:t>
      </w:r>
      <w:r>
        <w:rPr>
          <w:rtl/>
        </w:rPr>
        <w:fldChar w:fldCharType="begin" w:dirty="true"/>
      </w:r>
      <w:r>
        <w:rPr>
          <w:rtl/>
        </w:rPr>
        <w:instrText xml:space="preserve"> PAGEREF pr_close_b_4229 \h </w:instrText>
      </w:r>
      <w:r>
        <w:rPr>
          <w:rtl/>
        </w:rPr>
      </w:r>
      <w:r>
        <w:rPr>
          <w:rtl/>
        </w:rPr>
        <w:fldChar w:fldCharType="separate"/>
      </w:r>
      <w:r w:rsidR="007923E9">
        <w:rPr>
          <w:noProof/>
          <w:rtl/>
        </w:rPr>
        <w:t>1</w:t>
      </w:r>
      <w:r>
        <w:rPr>
          <w:rtl/>
        </w:rPr>
        <w:fldChar w:fldCharType="end"/>
      </w:r>
      <w:r>
        <w:rPr>
          <w:rtl/>
        </w:rPr>
        <w:t>.</w:t>
      </w:r>
    </w:p>
    <w:p w14:paraId="088D9B2D" w14:textId="77777777" w:rsidR="00AB3647" w:rsidRDefault="00000000" w:rsidP="007923E9">
      <w:pPr>
        <w:spacing w:after="120" w:line="276" w:lineRule="auto"/>
        <w:ind w:firstLine="283"/>
        <w:jc w:val="both"/>
      </w:pPr>
      <w:r>
        <w:rPr>
          <w:rtl/>
        </w:rPr>
        <w:t>ובהמשך הריאיון: “הרבנים חתמו את תוכחתם באומרם: ‘בעצם ראוי להטיל עליך עונש. אבל במקום לפסוק כיצד להענישך, נניח לך לבחור את העונש הנראה לך מתאים’”. אבי הבין שכוונתם הייתה להזמין את ר׳ ישראל, בדרך של כבוד, לקבל עליו “תשובת המשקל” – ייסורים שאדם מטיל על עצמו במידה התואמת את חומרת חטאו.</w:t>
      </w:r>
    </w:p>
    <w:p w14:paraId="3B86B762" w14:textId="77777777" w:rsidR="00AB3647" w:rsidRDefault="00000000" w:rsidP="007923E9">
      <w:pPr>
        <w:spacing w:after="120" w:line="276" w:lineRule="auto"/>
        <w:ind w:firstLine="283"/>
        <w:jc w:val="both"/>
      </w:pPr>
      <w:r>
        <w:rPr>
          <w:rtl/>
        </w:rPr>
        <w:t xml:space="preserve">“ר׳ ישראל השיב”, המשיך אבי, “‘אם אתם שוקלים להעניש אותי, הריני מזהיר אתכם שאבטל את כל </w:t>
      </w:r>
      <w:proofErr w:type="spellStart"/>
      <w:r>
        <w:rPr>
          <w:rtl/>
        </w:rPr>
        <w:t>הגיטין</w:t>
      </w:r>
      <w:proofErr w:type="spellEnd"/>
      <w:r>
        <w:rPr>
          <w:rtl/>
        </w:rPr>
        <w:t xml:space="preserve"> שסידר בית הדין של וילנה’. ר׳ ישראל הוסיף והסביר: ‘בית הדין של </w:t>
      </w:r>
      <w:r>
        <w:rPr>
          <w:rtl/>
        </w:rPr>
        <w:lastRenderedPageBreak/>
        <w:t xml:space="preserve">וילנה נוהג בסדר הגט שקבע </w:t>
      </w:r>
      <w:proofErr w:type="spellStart"/>
      <w:r>
        <w:rPr>
          <w:rtl/>
        </w:rPr>
        <w:t>ה“בית</w:t>
      </w:r>
      <w:proofErr w:type="spellEnd"/>
      <w:r>
        <w:rPr>
          <w:rtl/>
        </w:rPr>
        <w:t xml:space="preserve"> שמואל”</w:t>
      </w:r>
      <w:bookmarkStart w:id="6317" w:name="_fnr4746"/>
      <w:r>
        <w:rPr>
          <w:rStyle w:val="a5"/>
        </w:rPr>
        <w:footnoteReference w:id="4758" w:customMarkFollows="0"/>
      </w:r>
      <w:bookmarkEnd w:id="6317"/>
      <w:r>
        <w:rPr>
          <w:rtl/>
        </w:rPr>
        <w:t xml:space="preserve">, ויש לי עליו טענה שלא תוכלו להפריך’. ר׳ ישראל הציג את טענתו, ובית הדין הרבני של וילנה נותר נבוך – ור׳ ישראל זוכה”. מראיינו שאל את אבי אם ידע איזו שאלה הציג ר׳ ישראל, והשיב שלא. בטענתו זו ודאי לא הטיל ר׳ ישראל ספק </w:t>
      </w:r>
      <w:proofErr w:type="spellStart"/>
      <w:r>
        <w:rPr>
          <w:rtl/>
        </w:rPr>
        <w:t>בטהרת</w:t>
      </w:r>
      <w:proofErr w:type="spellEnd"/>
      <w:r>
        <w:rPr>
          <w:rtl/>
        </w:rPr>
        <w:t xml:space="preserve"> </w:t>
      </w:r>
      <w:proofErr w:type="spellStart"/>
      <w:r>
        <w:rPr>
          <w:rtl/>
        </w:rPr>
        <w:t>יחוסם</w:t>
      </w:r>
      <w:proofErr w:type="spellEnd"/>
      <w:r>
        <w:rPr>
          <w:rtl/>
        </w:rPr>
        <w:t xml:space="preserve"> של כל צאצאי הנשים שקיבלו את גיטיהן בווילנה במשך מאתיים שנה לפי הסדר שביאר </w:t>
      </w:r>
      <w:proofErr w:type="spellStart"/>
      <w:r>
        <w:rPr>
          <w:rtl/>
        </w:rPr>
        <w:t>ה“בית</w:t>
      </w:r>
      <w:proofErr w:type="spellEnd"/>
      <w:r>
        <w:rPr>
          <w:rtl/>
        </w:rPr>
        <w:t xml:space="preserve"> שמואל”. או שר׳ ישראל ידע את התשובה לשאלתו, ובעלי שיחו לא ידעוה, או שבטח שמחבר </w:t>
      </w:r>
      <w:proofErr w:type="spellStart"/>
      <w:r>
        <w:rPr>
          <w:rtl/>
        </w:rPr>
        <w:t>ה“בית</w:t>
      </w:r>
      <w:proofErr w:type="spellEnd"/>
      <w:r>
        <w:rPr>
          <w:rtl/>
        </w:rPr>
        <w:t xml:space="preserve"> שמואל” צדק על אף כל קושיה שתהיה. השאלה הייתה דרכו של ר׳ ישראל להראות להם שאינם ראויים לשבת עליו בדין; בית הדין של וילנה הבין זאת, וזיכה אותו.</w:t>
      </w:r>
    </w:p>
    <w:p w14:paraId="3A36009F" w14:textId="77777777" w:rsidR="00AB3647" w:rsidRDefault="00000000" w:rsidP="007923E9">
      <w:pPr>
        <w:spacing w:after="120" w:line="276" w:lineRule="auto"/>
        <w:ind w:firstLine="283"/>
        <w:jc w:val="both"/>
      </w:pPr>
      <w:r>
        <w:rPr>
          <w:rtl/>
        </w:rPr>
        <w:t xml:space="preserve">אבי הוסיף שר׳ </w:t>
      </w:r>
      <w:proofErr w:type="spellStart"/>
      <w:r>
        <w:rPr>
          <w:rtl/>
        </w:rPr>
        <w:t>ברוך־בער</w:t>
      </w:r>
      <w:proofErr w:type="spellEnd"/>
      <w:r>
        <w:rPr>
          <w:rtl/>
        </w:rPr>
        <w:t xml:space="preserve"> מסר פעם שיעור – מן הסתם בשנותיו של רבנו </w:t>
      </w:r>
      <w:proofErr w:type="spellStart"/>
      <w:r>
        <w:rPr>
          <w:rtl/>
        </w:rPr>
        <w:t>בסלבודקה</w:t>
      </w:r>
      <w:bookmarkStart w:id="6318" w:name="_fnr4747"/>
      <w:proofErr w:type="spellEnd"/>
      <w:r>
        <w:rPr>
          <w:rStyle w:val="a5"/>
        </w:rPr>
        <w:footnoteReference w:id="4759" w:customMarkFollows="0"/>
      </w:r>
      <w:bookmarkEnd w:id="6318"/>
      <w:r>
        <w:rPr>
          <w:rtl/>
        </w:rPr>
        <w:t xml:space="preserve"> – על שני צדדי השאלה אם לבטל את הצום לגמרי במקום פיקוח נפש. בסוף השיעור הכריע ר׳ </w:t>
      </w:r>
      <w:proofErr w:type="spellStart"/>
      <w:r>
        <w:rPr>
          <w:rtl/>
        </w:rPr>
        <w:t>ברוך־בער</w:t>
      </w:r>
      <w:proofErr w:type="spellEnd"/>
      <w:r>
        <w:rPr>
          <w:rtl/>
        </w:rPr>
        <w:t xml:space="preserve"> שבית הדין של וילנה צדק, ור׳ ישראל טעה.</w:t>
      </w:r>
    </w:p>
    <w:p w14:paraId="44C29B51" w14:textId="77777777" w:rsidR="00AB3647" w:rsidRDefault="00000000" w:rsidP="007923E9">
      <w:pPr>
        <w:spacing w:after="120" w:line="276" w:lineRule="auto"/>
        <w:ind w:firstLine="283"/>
        <w:jc w:val="both"/>
      </w:pPr>
      <w:r>
        <w:rPr>
          <w:rtl/>
        </w:rPr>
        <w:t xml:space="preserve">מעשה – או מוטב לומר, הימנעות ממעשה – של אבי כשנכנס לרבנות בטורונטו </w:t>
      </w:r>
      <w:proofErr w:type="spellStart"/>
      <w:r>
        <w:rPr>
          <w:rtl/>
        </w:rPr>
        <w:t>בתרצ״ח</w:t>
      </w:r>
      <w:proofErr w:type="spellEnd"/>
      <w:r>
        <w:rPr>
          <w:rtl/>
        </w:rPr>
        <w:t xml:space="preserve"> יגלה את גישתו לביטול הצום במצב דומה. לפני יום הכיפורים הראשון שלו כרב חשוב בעיר, התבקש לפרסם בעיתון היומי ביידיש מודעה שהצום אינו מסתיים עד שעה מסוימת. כששאל מדוע דרושה מודעה כזאת, נאמר לו שיש בעיר בתי כנסת רבים שאין בהם רבנים להדריך את המתפללים, ונוהגים בהם לסיים את התפילות מוקדם ולהפסיק את הצום לפני זמנו. אבל אבי סירב לפרסם הכרזה כזאת. הוא הסביר שבין אלפי היהודים המתפללים במקומות הללו יש בוודאי לפחות אחד שאסור לו לצום כלל. דווקא מפני שאין לאדם כזה רב שיוכל לפנות אליו אישית, הוא עלול לסכן את חייו בדקות הנוספות שבהן תדחה המודעה הציבורית המוצעת את סיום יום הכיפורים. לפיכך, הדרך היחידה למנוע מאותו אדם לצום את הדקות הנוספות הייתה להניח לכל שאר היהודים הבריאים להפסיק את צומם מוקדם. הוא הביא דוגמה: אדם הנתון בסכנת נפשות מסרב לאכול אלא אם יאכל עמו מניין יהודים – במצב זה מותר לכל המניין לאכול.</w:t>
      </w:r>
    </w:p>
    <w:p w14:paraId="78CD5E2B" w14:textId="77777777" w:rsidR="00AB3647" w:rsidRDefault="00000000" w:rsidP="007923E9">
      <w:pPr>
        <w:spacing w:after="120" w:line="276" w:lineRule="auto"/>
        <w:ind w:firstLine="283"/>
        <w:jc w:val="both"/>
      </w:pPr>
      <w:r>
        <w:rPr>
          <w:rtl/>
        </w:rPr>
        <w:t>השווה “</w:t>
      </w:r>
      <w:proofErr w:type="spellStart"/>
      <w:r>
        <w:rPr>
          <w:rtl/>
        </w:rPr>
        <w:t>החפץ־חיים</w:t>
      </w:r>
      <w:proofErr w:type="spellEnd"/>
      <w:r>
        <w:rPr>
          <w:rtl/>
        </w:rPr>
        <w:t>”</w:t>
      </w:r>
      <w:bookmarkStart w:id="6319" w:name="_fnr4748"/>
      <w:r>
        <w:rPr>
          <w:rStyle w:val="a5"/>
        </w:rPr>
        <w:footnoteReference w:id="4760" w:customMarkFollows="0"/>
      </w:r>
      <w:bookmarkEnd w:id="6319"/>
      <w:r>
        <w:rPr>
          <w:rtl/>
        </w:rPr>
        <w:t xml:space="preserve">: </w:t>
      </w:r>
      <w:proofErr w:type="spellStart"/>
      <w:r>
        <w:rPr>
          <w:rtl/>
        </w:rPr>
        <w:t>החפץ־חיים</w:t>
      </w:r>
      <w:proofErr w:type="spellEnd"/>
      <w:r>
        <w:rPr>
          <w:rtl/>
        </w:rPr>
        <w:t xml:space="preserve"> סירב להורות על חרם גורף על עובדי בית חרושת לסיגריות </w:t>
      </w:r>
      <w:proofErr w:type="spellStart"/>
      <w:r>
        <w:rPr>
          <w:rtl/>
        </w:rPr>
        <w:t>בגרודנא</w:t>
      </w:r>
      <w:proofErr w:type="spellEnd"/>
      <w:r>
        <w:rPr>
          <w:rtl/>
        </w:rPr>
        <w:t xml:space="preserve"> שפעל בשבת, בנימוק </w:t>
      </w:r>
      <w:proofErr w:type="spellStart"/>
      <w:r>
        <w:rPr>
          <w:rtl/>
        </w:rPr>
        <w:t>ש“בין</w:t>
      </w:r>
      <w:proofErr w:type="spellEnd"/>
      <w:r>
        <w:rPr>
          <w:rtl/>
        </w:rPr>
        <w:t xml:space="preserve"> מאות המשפחות, על נשיהן וילדיהן, עלול להיות מקרה של סכנת חיים” אם יפסיק המפרנס לעבוד</w:t>
      </w:r>
      <w:bookmarkStart w:id="6320" w:name="_fnr4749"/>
      <w:r>
        <w:rPr>
          <w:rStyle w:val="a5"/>
        </w:rPr>
        <w:footnoteReference w:id="4761" w:customMarkFollows="0"/>
      </w:r>
      <w:bookmarkEnd w:id="6320"/>
      <w:r>
        <w:rPr>
          <w:rtl/>
        </w:rPr>
        <w:t>. השווה גם “תורת חיים”</w:t>
      </w:r>
      <w:bookmarkStart w:id="6321" w:name="_fnr4750"/>
      <w:r>
        <w:rPr>
          <w:rStyle w:val="a5"/>
        </w:rPr>
        <w:footnoteReference w:id="4762" w:customMarkFollows="0"/>
      </w:r>
      <w:bookmarkEnd w:id="6321"/>
      <w:r>
        <w:rPr>
          <w:rtl/>
        </w:rPr>
        <w:t xml:space="preserve">: </w:t>
      </w:r>
      <w:proofErr w:type="spellStart"/>
      <w:r>
        <w:rPr>
          <w:rtl/>
        </w:rPr>
        <w:t>שנים־עשר</w:t>
      </w:r>
      <w:proofErr w:type="spellEnd"/>
      <w:r>
        <w:rPr>
          <w:rtl/>
        </w:rPr>
        <w:t xml:space="preserve"> יום לפני פטירתו שכנע ר׳ חיים </w:t>
      </w:r>
      <w:proofErr w:type="spellStart"/>
      <w:r>
        <w:rPr>
          <w:rtl/>
        </w:rPr>
        <w:t>סולובייצ׳יק</w:t>
      </w:r>
      <w:proofErr w:type="spellEnd"/>
      <w:r>
        <w:rPr>
          <w:rtl/>
        </w:rPr>
        <w:t xml:space="preserve"> צעיר שהיה נתון בסכנת נפשות להפסיק את צום תשעה באב, באומרו שגם הוא עצמו יפסיק את צומו. מן הלשון שם עולה שר׳ חיים הפסיק </w:t>
      </w:r>
      <w:r>
        <w:rPr>
          <w:rtl/>
        </w:rPr>
        <w:lastRenderedPageBreak/>
        <w:t>את צומו כדי להביא את הצעיר לאכול; אך ייתכן שהניסוח אינו מדויק, ור׳ חיים אכל בשל בריאותו הרופפת שלו. יתרה מזו, צום תשעה באב אינו חמור כיום הכיפורים.</w:t>
      </w:r>
    </w:p>
    <w:p w14:paraId="79A29F77" w14:textId="77777777" w:rsidR="00AB3647" w:rsidRDefault="00000000" w:rsidP="007923E9">
      <w:pPr>
        <w:spacing w:after="120" w:line="276" w:lineRule="auto"/>
        <w:ind w:firstLine="283"/>
        <w:jc w:val="both"/>
      </w:pPr>
      <w:r>
        <w:rPr>
          <w:rtl/>
        </w:rPr>
        <w:t xml:space="preserve">מובן מאליו שחובת הרב אינה רק לדאוג שמי שיכולים לצום יצומו, אלא גם שמי שאינם יכולים לצום לא יצומו. השווה הערת העורך אלתר </w:t>
      </w:r>
      <w:proofErr w:type="spellStart"/>
      <w:r>
        <w:rPr>
          <w:rtl/>
        </w:rPr>
        <w:t>דרויאנוב</w:t>
      </w:r>
      <w:proofErr w:type="spellEnd"/>
      <w:r>
        <w:rPr>
          <w:rtl/>
        </w:rPr>
        <w:t xml:space="preserve"> על </w:t>
      </w:r>
      <w:proofErr w:type="spellStart"/>
      <w:r>
        <w:rPr>
          <w:rtl/>
        </w:rPr>
        <w:t>אלזט</w:t>
      </w:r>
      <w:bookmarkStart w:id="6322" w:name="_fnr4751"/>
      <w:proofErr w:type="spellEnd"/>
      <w:r>
        <w:rPr>
          <w:rStyle w:val="a5"/>
        </w:rPr>
        <w:footnoteReference w:id="4763" w:customMarkFollows="0"/>
      </w:r>
      <w:bookmarkEnd w:id="6322"/>
      <w:r>
        <w:rPr>
          <w:rtl/>
        </w:rPr>
        <w:t xml:space="preserve">, שבערב יום הכיפורים היה הרב מבקר בבתיהם של החולים המסוכנים ושל היולדות, כדי לצוות עליהם שלא לצום וללמדם כיצד להכין את מאכליהם לאותו יום </w:t>
      </w:r>
      <w:proofErr w:type="spellStart"/>
      <w:r>
        <w:rPr>
          <w:rtl/>
        </w:rPr>
        <w:t>ב“פחות</w:t>
      </w:r>
      <w:proofErr w:type="spellEnd"/>
      <w:r>
        <w:rPr>
          <w:rtl/>
        </w:rPr>
        <w:t xml:space="preserve"> </w:t>
      </w:r>
      <w:proofErr w:type="spellStart"/>
      <w:r>
        <w:rPr>
          <w:rtl/>
        </w:rPr>
        <w:t>מכשיעור</w:t>
      </w:r>
      <w:proofErr w:type="spellEnd"/>
      <w:r>
        <w:rPr>
          <w:rtl/>
        </w:rPr>
        <w:t xml:space="preserve">”. אבי מילא אפוא את חובתו הרבנית כלפי העיר טורונטו דווקא </w:t>
      </w:r>
      <w:proofErr w:type="spellStart"/>
      <w:r>
        <w:rPr>
          <w:b/>
          <w:bCs/>
          <w:rtl/>
        </w:rPr>
        <w:t>באי־פרסום</w:t>
      </w:r>
      <w:proofErr w:type="spellEnd"/>
      <w:r>
        <w:rPr>
          <w:rtl/>
        </w:rPr>
        <w:t xml:space="preserve"> המודעה בעיתון. מסתבר שרבנו הבין שביטול הצום בידי ר׳ ישראל </w:t>
      </w:r>
      <w:proofErr w:type="spellStart"/>
      <w:r>
        <w:rPr>
          <w:rtl/>
        </w:rPr>
        <w:t>סלנטר</w:t>
      </w:r>
      <w:proofErr w:type="spellEnd"/>
      <w:r>
        <w:rPr>
          <w:rtl/>
        </w:rPr>
        <w:t xml:space="preserve"> בזמן המגפה בווילנה נשען על אותו שיקול שהביאו לסרב לפרסם את המודעה בטורונטו.</w:t>
      </w:r>
    </w:p>
    <w:p w14:paraId="6ECC7E35" w14:textId="77777777" w:rsidR="00AB3647" w:rsidRDefault="00000000" w:rsidP="007923E9">
      <w:pPr>
        <w:spacing w:after="120" w:line="276" w:lineRule="auto"/>
        <w:ind w:firstLine="283"/>
        <w:jc w:val="both"/>
      </w:pPr>
      <w:r>
        <w:rPr>
          <w:rtl/>
        </w:rPr>
        <w:t xml:space="preserve">אילו הכריז ר׳ ישראל רק שכל מי שחש חולשה יפסיק את צומו באכילת </w:t>
      </w:r>
      <w:r>
        <w:rPr>
          <w:b/>
          <w:bCs/>
          <w:rtl/>
        </w:rPr>
        <w:t xml:space="preserve">פחות </w:t>
      </w:r>
      <w:proofErr w:type="spellStart"/>
      <w:r>
        <w:rPr>
          <w:b/>
          <w:bCs/>
          <w:rtl/>
        </w:rPr>
        <w:t>מכשיעור</w:t>
      </w:r>
      <w:proofErr w:type="spellEnd"/>
      <w:r>
        <w:rPr>
          <w:rtl/>
        </w:rPr>
        <w:t xml:space="preserve"> (בדיוק כמו שמורים ל</w:t>
      </w:r>
      <w:r>
        <w:rPr>
          <w:b/>
          <w:bCs/>
          <w:rtl/>
        </w:rPr>
        <w:t>חולה יחיד</w:t>
      </w:r>
      <w:r>
        <w:rPr>
          <w:rtl/>
        </w:rPr>
        <w:t xml:space="preserve">), כפי שסבור יעקב מארק שעשה – היו בוודאי בין המוני יהודי וילנה אנשים פשוטים </w:t>
      </w:r>
      <w:proofErr w:type="spellStart"/>
      <w:r>
        <w:rPr>
          <w:rtl/>
        </w:rPr>
        <w:t>ו“יראים</w:t>
      </w:r>
      <w:proofErr w:type="spellEnd"/>
      <w:r>
        <w:rPr>
          <w:rtl/>
        </w:rPr>
        <w:t xml:space="preserve">” שהיו ממשיכים לצום על אף חולשתם, ובכך מסכנים את חייהם. כדי להתגבר על “יראת היתר” של אנשים אלו, היה הכרח להכריז שהצום בטל לציבור כולו. אבי חשש לחיי יהודים בטורונטו אם יחזיר את הדקות המעטות שגרעו הבלתי מלומדים מסוף יום הכיפורים, ובעניין זה סיפר מעשה שאירע בעיר הליטאית שאוול. אדם ניגש אל </w:t>
      </w:r>
      <w:proofErr w:type="spellStart"/>
      <w:r>
        <w:rPr>
          <w:rtl/>
        </w:rPr>
        <w:t>המ״ץ</w:t>
      </w:r>
      <w:proofErr w:type="spellEnd"/>
      <w:r>
        <w:rPr>
          <w:rtl/>
        </w:rPr>
        <w:t xml:space="preserve"> </w:t>
      </w:r>
      <w:r>
        <w:rPr>
          <w:b/>
          <w:bCs/>
          <w:rtl/>
        </w:rPr>
        <w:t>דקות אחדות לפני סוף</w:t>
      </w:r>
      <w:r>
        <w:rPr>
          <w:rtl/>
        </w:rPr>
        <w:t xml:space="preserve"> יום הצום ואמר שאינו חש בטוב, </w:t>
      </w:r>
      <w:proofErr w:type="spellStart"/>
      <w:r>
        <w:rPr>
          <w:rtl/>
        </w:rPr>
        <w:t>והמ״ץ</w:t>
      </w:r>
      <w:proofErr w:type="spellEnd"/>
      <w:r>
        <w:rPr>
          <w:rtl/>
        </w:rPr>
        <w:t xml:space="preserve"> אמר לו: “הרי נשארו רק דקות אחדות”. האיש חזר למקומו ונפל מת. אבי הוסיף שרב – להבדיל </w:t>
      </w:r>
      <w:proofErr w:type="spellStart"/>
      <w:r>
        <w:rPr>
          <w:rtl/>
        </w:rPr>
        <w:t>ממ״ץ</w:t>
      </w:r>
      <w:proofErr w:type="spellEnd"/>
      <w:r>
        <w:rPr>
          <w:rtl/>
        </w:rPr>
        <w:t xml:space="preserve"> – היה אומר: “שתה מיד”</w:t>
      </w:r>
      <w:bookmarkStart w:id="6323" w:name="_fnr4752"/>
      <w:bookmarkStart w:id="6324" w:name="pr_f_4633"/>
      <w:r>
        <w:rPr>
          <w:rStyle w:val="a5"/>
        </w:rPr>
        <w:footnoteReference w:id="4764" w:customMarkFollows="0"/>
      </w:r>
      <w:bookmarkEnd w:id="6323"/>
      <w:bookmarkEnd w:id="6324"/>
      <w:r>
        <w:rPr>
          <w:rtl/>
        </w:rPr>
        <w:t>.</w:t>
      </w:r>
    </w:p>
    <w:p w14:paraId="36129956" w14:textId="77777777" w:rsidR="00AB3647" w:rsidRDefault="00000000" w:rsidP="007923E9">
      <w:pPr>
        <w:spacing w:after="120" w:line="276" w:lineRule="auto"/>
        <w:ind w:firstLine="283"/>
        <w:jc w:val="both"/>
      </w:pPr>
      <w:r>
        <w:rPr>
          <w:rtl/>
        </w:rPr>
        <w:t xml:space="preserve">מדבריו בטורונטו נראה שרבנו צידד בפסקו של ר׳ ישראל על אף התנגדותו של ר׳ </w:t>
      </w:r>
      <w:proofErr w:type="spellStart"/>
      <w:r>
        <w:rPr>
          <w:rtl/>
        </w:rPr>
        <w:t>ברוך־בער</w:t>
      </w:r>
      <w:bookmarkStart w:id="6325" w:name="_fnr4753"/>
      <w:bookmarkStart w:id="6326" w:name="pr_f_4634"/>
      <w:proofErr w:type="spellEnd"/>
      <w:r>
        <w:rPr>
          <w:rStyle w:val="a5"/>
        </w:rPr>
        <w:footnoteReference w:id="4765" w:customMarkFollows="0"/>
      </w:r>
      <w:bookmarkEnd w:id="6325"/>
      <w:bookmarkEnd w:id="6326"/>
      <w:r>
        <w:rPr>
          <w:rtl/>
        </w:rPr>
        <w:t xml:space="preserve">. גם </w:t>
      </w:r>
      <w:proofErr w:type="spellStart"/>
      <w:r>
        <w:rPr>
          <w:rtl/>
        </w:rPr>
        <w:t>החפץ־חיים</w:t>
      </w:r>
      <w:proofErr w:type="spellEnd"/>
      <w:r>
        <w:rPr>
          <w:rtl/>
        </w:rPr>
        <w:t xml:space="preserve">, שסיפר את כל מעשה המאורעות בווילנה, כאמור לעיל, לא מצא דופי במעשיו של ר׳ ישראל </w:t>
      </w:r>
      <w:proofErr w:type="spellStart"/>
      <w:r>
        <w:rPr>
          <w:rtl/>
        </w:rPr>
        <w:t>סלנטר</w:t>
      </w:r>
      <w:proofErr w:type="spellEnd"/>
      <w:r>
        <w:rPr>
          <w:rtl/>
        </w:rPr>
        <w:t xml:space="preserve">. ראיה נוספת לכך היא ההערכה הגבוהה שרחש </w:t>
      </w:r>
      <w:proofErr w:type="spellStart"/>
      <w:r>
        <w:rPr>
          <w:rtl/>
        </w:rPr>
        <w:t>החפץ־חיים</w:t>
      </w:r>
      <w:proofErr w:type="spellEnd"/>
      <w:r>
        <w:rPr>
          <w:rtl/>
        </w:rPr>
        <w:t xml:space="preserve"> ליראתו של ר׳ ישראל בשנים מאוחרות יותר, כמסופר </w:t>
      </w:r>
      <w:proofErr w:type="spellStart"/>
      <w:r>
        <w:rPr>
          <w:rtl/>
        </w:rPr>
        <w:t>ב“כל</w:t>
      </w:r>
      <w:proofErr w:type="spellEnd"/>
      <w:r>
        <w:rPr>
          <w:rtl/>
        </w:rPr>
        <w:t xml:space="preserve"> כתבי חפץ חיים השלם”</w:t>
      </w:r>
      <w:bookmarkStart w:id="6327" w:name="_fnr4754"/>
      <w:r>
        <w:rPr>
          <w:rStyle w:val="a5"/>
        </w:rPr>
        <w:footnoteReference w:id="4766" w:customMarkFollows="0"/>
      </w:r>
      <w:bookmarkEnd w:id="6327"/>
      <w:r>
        <w:rPr>
          <w:rtl/>
        </w:rPr>
        <w:t xml:space="preserve">: </w:t>
      </w:r>
      <w:proofErr w:type="spellStart"/>
      <w:r>
        <w:rPr>
          <w:rtl/>
        </w:rPr>
        <w:t>בתרל״ז</w:t>
      </w:r>
      <w:proofErr w:type="spellEnd"/>
      <w:r>
        <w:rPr>
          <w:rtl/>
        </w:rPr>
        <w:t xml:space="preserve"> סבל </w:t>
      </w:r>
      <w:proofErr w:type="spellStart"/>
      <w:r>
        <w:rPr>
          <w:rtl/>
        </w:rPr>
        <w:t>החפץ־חיים</w:t>
      </w:r>
      <w:proofErr w:type="spellEnd"/>
      <w:r>
        <w:rPr>
          <w:rtl/>
        </w:rPr>
        <w:t xml:space="preserve"> חודשים רבים ממחלת קיבה קשה. הוא שהה בווילנה לצורך טיפול </w:t>
      </w:r>
      <w:r>
        <w:rPr>
          <w:rtl/>
        </w:rPr>
        <w:lastRenderedPageBreak/>
        <w:t xml:space="preserve">רפואי כשנזדמן לשם ר׳ ישראל לבקר את חתנו, ר׳ </w:t>
      </w:r>
      <w:proofErr w:type="spellStart"/>
      <w:r>
        <w:rPr>
          <w:rtl/>
        </w:rPr>
        <w:t>אלי׳־לייזר</w:t>
      </w:r>
      <w:proofErr w:type="spellEnd"/>
      <w:r>
        <w:rPr>
          <w:rtl/>
        </w:rPr>
        <w:t xml:space="preserve"> </w:t>
      </w:r>
      <w:proofErr w:type="spellStart"/>
      <w:r>
        <w:rPr>
          <w:rtl/>
        </w:rPr>
        <w:t>גרודננסקי</w:t>
      </w:r>
      <w:proofErr w:type="spellEnd"/>
      <w:r>
        <w:rPr>
          <w:rtl/>
        </w:rPr>
        <w:t xml:space="preserve">, לימים חותנו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ונודע </w:t>
      </w:r>
      <w:proofErr w:type="spellStart"/>
      <w:r>
        <w:rPr>
          <w:rtl/>
        </w:rPr>
        <w:t>לר</w:t>
      </w:r>
      <w:proofErr w:type="spellEnd"/>
      <w:r>
        <w:rPr>
          <w:rtl/>
        </w:rPr>
        <w:t xml:space="preserve">׳ ישראל על מצבו של </w:t>
      </w:r>
      <w:proofErr w:type="spellStart"/>
      <w:r>
        <w:rPr>
          <w:rtl/>
        </w:rPr>
        <w:t>החפץ־חיים</w:t>
      </w:r>
      <w:proofErr w:type="spellEnd"/>
      <w:r>
        <w:rPr>
          <w:rtl/>
        </w:rPr>
        <w:t xml:space="preserve">. </w:t>
      </w:r>
      <w:proofErr w:type="spellStart"/>
      <w:r>
        <w:rPr>
          <w:rtl/>
        </w:rPr>
        <w:t>החפץ־חיים</w:t>
      </w:r>
      <w:proofErr w:type="spellEnd"/>
      <w:r>
        <w:rPr>
          <w:rtl/>
        </w:rPr>
        <w:t xml:space="preserve"> תלה לאחר מכן את ריפויו, שעמד לו כל ימי חייו, בתפילותיו של ר׳ ישראל עליו</w:t>
      </w:r>
      <w:bookmarkStart w:id="6328" w:name="_fnr4755"/>
      <w:r>
        <w:rPr>
          <w:rStyle w:val="a5"/>
        </w:rPr>
        <w:footnoteReference w:id="4767" w:customMarkFollows="0"/>
      </w:r>
      <w:bookmarkEnd w:id="6328"/>
      <w:r>
        <w:rPr>
          <w:rtl/>
        </w:rPr>
        <w:t xml:space="preserve">. אגב, טוהר כוונותיו של בית הדין בווילנה כשהוכיח את ר׳ ישראל </w:t>
      </w:r>
      <w:proofErr w:type="spellStart"/>
      <w:r>
        <w:rPr>
          <w:rtl/>
        </w:rPr>
        <w:t>סלנטר</w:t>
      </w:r>
      <w:proofErr w:type="spellEnd"/>
      <w:r>
        <w:rPr>
          <w:rtl/>
        </w:rPr>
        <w:t xml:space="preserve"> מוכח – אם דרושה הוכחה – מעצם מינוי חתנו, הרב </w:t>
      </w:r>
      <w:proofErr w:type="spellStart"/>
      <w:r>
        <w:rPr>
          <w:rtl/>
        </w:rPr>
        <w:t>גרודננסקי</w:t>
      </w:r>
      <w:bookmarkStart w:id="6329" w:name="_fnr4756"/>
      <w:proofErr w:type="spellEnd"/>
      <w:r>
        <w:rPr>
          <w:rStyle w:val="a5"/>
        </w:rPr>
        <w:footnoteReference w:id="4768" w:customMarkFollows="0"/>
      </w:r>
      <w:bookmarkEnd w:id="6329"/>
      <w:r>
        <w:rPr>
          <w:rtl/>
        </w:rPr>
        <w:t>, לבית דין זה רק שמונה שנים אחרי המאורעות השנויים במחלוקת.</w:t>
      </w:r>
    </w:p>
    <w:p w14:paraId="0291493E" w14:textId="77777777" w:rsidR="00AB3647" w:rsidRDefault="00000000" w:rsidP="007923E9">
      <w:pPr>
        <w:spacing w:after="120" w:line="276" w:lineRule="auto"/>
        <w:ind w:firstLine="283"/>
        <w:jc w:val="both"/>
      </w:pPr>
      <w:proofErr w:type="spellStart"/>
      <w:r>
        <w:rPr>
          <w:rtl/>
        </w:rPr>
        <w:t>ב“שרידי</w:t>
      </w:r>
      <w:proofErr w:type="spellEnd"/>
      <w:r>
        <w:rPr>
          <w:rtl/>
        </w:rPr>
        <w:t xml:space="preserve"> אש”</w:t>
      </w:r>
      <w:bookmarkStart w:id="6330" w:name="_fnr4757"/>
      <w:r>
        <w:rPr>
          <w:rStyle w:val="a5"/>
        </w:rPr>
        <w:footnoteReference w:id="4769" w:customMarkFollows="0"/>
      </w:r>
      <w:bookmarkEnd w:id="6330"/>
      <w:r>
        <w:rPr>
          <w:rtl/>
        </w:rPr>
        <w:t xml:space="preserve"> מובאת גרסה שונה מזו של אבי – ושל </w:t>
      </w:r>
      <w:proofErr w:type="spellStart"/>
      <w:r>
        <w:rPr>
          <w:rtl/>
        </w:rPr>
        <w:t>החפץ־חיים</w:t>
      </w:r>
      <w:proofErr w:type="spellEnd"/>
      <w:r>
        <w:rPr>
          <w:rtl/>
        </w:rPr>
        <w:t xml:space="preserve"> – על שאירע בעקבות מעשהו הנועז של ר׳ ישראל: “כשנודע </w:t>
      </w:r>
      <w:proofErr w:type="spellStart"/>
      <w:r>
        <w:rPr>
          <w:rtl/>
        </w:rPr>
        <w:t>לר</w:t>
      </w:r>
      <w:proofErr w:type="spellEnd"/>
      <w:r>
        <w:rPr>
          <w:rtl/>
        </w:rPr>
        <w:t xml:space="preserve">׳ ישראל שרבים מן הרבנים הזקנים כועסים עליו, הכריז שימסור פלפול בבית הכנסת הגדול. הלומדים סברו שבשיעורו יציג הצדקה הלכתית למעשהו החריג, וכולם התכנסו לשומעו. אבל הוא מסר שיעור עמוק בנושא אחר לגמרי, שעלה בחריפותו ובברק פלפולו על כל הפלפולים האחרים שהשמיע בווילנה עד אז. בכך הושתקו כל מתנגדיו”. אפשר לשער שר׳ ישראל בחר בכוונה שלא לדון בצד ההלכתי של מעשהו ביום הכיפורים, מפני שלא רצה שמי שאכלו בעקבות הכרזתו ירגישו שמעשיהם טעונים הצדקה.</w:t>
      </w:r>
    </w:p>
    <w:p w14:paraId="1AB39090" w14:textId="77777777" w:rsidR="00AB3647" w:rsidRDefault="00000000" w:rsidP="007923E9">
      <w:pPr>
        <w:spacing w:after="120" w:line="276" w:lineRule="auto"/>
        <w:ind w:firstLine="283"/>
        <w:jc w:val="both"/>
      </w:pPr>
      <w:bookmarkStart w:id="6331" w:name="pr_b_2644"/>
      <w:bookmarkEnd w:id="6331"/>
      <w:r>
        <w:rPr>
          <w:rtl/>
        </w:rPr>
        <w:t xml:space="preserve">תשובתו של ר׳ ישראל לבית הדין בווילנה, הן לפי גרסת ר׳ </w:t>
      </w:r>
      <w:proofErr w:type="spellStart"/>
      <w:r>
        <w:rPr>
          <w:rtl/>
        </w:rPr>
        <w:t>יחיאל־יעקב</w:t>
      </w:r>
      <w:proofErr w:type="spellEnd"/>
      <w:r>
        <w:rPr>
          <w:rtl/>
        </w:rPr>
        <w:t xml:space="preserve"> ויינברג, בעל “שרידי אש”, הן לפי גרסת אבי, היא דוגמה יפה לגדלותו האגדית של ר׳ ישראל בתורה. השווה גם “</w:t>
      </w:r>
      <w:proofErr w:type="spellStart"/>
      <w:r>
        <w:rPr>
          <w:rtl/>
        </w:rPr>
        <w:t>החפץ־חיים</w:t>
      </w:r>
      <w:proofErr w:type="spellEnd"/>
      <w:r>
        <w:rPr>
          <w:rtl/>
        </w:rPr>
        <w:t>”</w:t>
      </w:r>
      <w:bookmarkStart w:id="6332" w:name="_fnr4758"/>
      <w:r>
        <w:rPr>
          <w:rStyle w:val="a5"/>
        </w:rPr>
        <w:footnoteReference w:id="4770" w:customMarkFollows="0"/>
      </w:r>
      <w:bookmarkEnd w:id="6332"/>
      <w:r>
        <w:rPr>
          <w:rtl/>
        </w:rPr>
        <w:t xml:space="preserve"> על הערכת </w:t>
      </w:r>
      <w:proofErr w:type="spellStart"/>
      <w:r>
        <w:rPr>
          <w:rtl/>
        </w:rPr>
        <w:t>החפץ־חיים</w:t>
      </w:r>
      <w:proofErr w:type="spellEnd"/>
      <w:r>
        <w:rPr>
          <w:rtl/>
        </w:rPr>
        <w:t xml:space="preserve"> לגדלותו של ר׳ ישראל. פעמים רבות, ובכללן בריאיון על ר׳ ישראל </w:t>
      </w:r>
      <w:proofErr w:type="spellStart"/>
      <w:r>
        <w:rPr>
          <w:rtl/>
        </w:rPr>
        <w:t>סלנטר</w:t>
      </w:r>
      <w:proofErr w:type="spellEnd"/>
      <w:r>
        <w:rPr>
          <w:rtl/>
        </w:rPr>
        <w:t xml:space="preserve">, חזר אבי על עדותו של ר׳ </w:t>
      </w:r>
      <w:proofErr w:type="spellStart"/>
      <w:r>
        <w:rPr>
          <w:rtl/>
        </w:rPr>
        <w:t xml:space="preserve">יוסף־דב</w:t>
      </w:r>
      <w:proofErr w:type="spellEnd"/>
      <w:r>
        <w:rPr>
          <w:rtl/>
        </w:rPr>
        <w:t xml:space="preserve"> </w:t>
      </w:r>
      <w:proofErr w:type="spellStart"/>
      <w:r>
        <w:rPr>
          <w:rtl/>
        </w:rPr>
        <w:t>סולובייצ׳יק</w:t>
      </w:r>
      <w:bookmarkStart w:id="6333" w:name="_fnr4759"/>
      <w:proofErr w:type="spellEnd"/>
      <w:r>
        <w:rPr>
          <w:rStyle w:val="a5"/>
        </w:rPr>
        <w:footnoteReference w:id="4771" w:customMarkFollows="0"/>
      </w:r>
      <w:bookmarkEnd w:id="6333"/>
      <w:r>
        <w:rPr>
          <w:rtl/>
        </w:rPr>
        <w:t xml:space="preserve"> שסבו, ר׳ חיים, ראה “ארבעה מחכמי [דורו] כמעין ראשונים”</w:t>
      </w:r>
      <w:bookmarkStart w:id="6334" w:name="_fnr4760"/>
      <w:bookmarkStart w:id="6335" w:name="pr_f_4641"/>
      <w:r>
        <w:rPr>
          <w:rStyle w:val="a5"/>
        </w:rPr>
        <w:footnoteReference w:id="4772" w:customMarkFollows="0"/>
      </w:r>
      <w:bookmarkEnd w:id="6334"/>
      <w:bookmarkEnd w:id="6335"/>
      <w:r>
        <w:rPr>
          <w:rtl/>
        </w:rPr>
        <w:t xml:space="preserve">. ארבעת הגדולים היו: ר׳ </w:t>
      </w:r>
      <w:proofErr w:type="spellStart"/>
      <w:r>
        <w:rPr>
          <w:rtl/>
        </w:rPr>
        <w:t>יהושע־לייב</w:t>
      </w:r>
      <w:proofErr w:type="spellEnd"/>
      <w:r>
        <w:rPr>
          <w:rtl/>
        </w:rPr>
        <w:t xml:space="preserve"> דיסקין</w:t>
      </w:r>
      <w:bookmarkStart w:id="6336" w:name="_fnr4761"/>
      <w:r>
        <w:rPr>
          <w:rStyle w:val="a5"/>
        </w:rPr>
        <w:footnoteReference w:id="4773" w:customMarkFollows="0"/>
      </w:r>
      <w:bookmarkEnd w:id="6336"/>
      <w:r>
        <w:rPr>
          <w:rtl/>
        </w:rPr>
        <w:t xml:space="preserve"> (תקע״ז–תרנ״ח); ר׳ </w:t>
      </w:r>
      <w:proofErr w:type="spellStart"/>
      <w:r>
        <w:rPr>
          <w:rtl/>
        </w:rPr>
        <w:t>מאיר־לייבוש</w:t>
      </w:r>
      <w:proofErr w:type="spellEnd"/>
      <w:r>
        <w:rPr>
          <w:rtl/>
        </w:rPr>
        <w:t xml:space="preserve"> </w:t>
      </w:r>
      <w:proofErr w:type="spellStart"/>
      <w:r>
        <w:rPr>
          <w:rtl/>
        </w:rPr>
        <w:t>וייזר</w:t>
      </w:r>
      <w:proofErr w:type="spellEnd"/>
      <w:r>
        <w:rPr>
          <w:rtl/>
        </w:rPr>
        <w:t xml:space="preserve"> (</w:t>
      </w:r>
      <w:proofErr w:type="spellStart"/>
      <w:r>
        <w:rPr>
          <w:rtl/>
        </w:rPr>
        <w:t>המלבי״ם</w:t>
      </w:r>
      <w:proofErr w:type="spellEnd"/>
      <w:r>
        <w:rPr>
          <w:rtl/>
        </w:rPr>
        <w:t>, תקס״ט–</w:t>
      </w:r>
      <w:proofErr w:type="spellStart"/>
      <w:r>
        <w:rPr>
          <w:rtl/>
        </w:rPr>
        <w:t>תר״ם</w:t>
      </w:r>
      <w:proofErr w:type="spellEnd"/>
      <w:r>
        <w:rPr>
          <w:rtl/>
        </w:rPr>
        <w:t xml:space="preserve">); אביו של ר׳ חיים, ר׳ יוסף־דב </w:t>
      </w:r>
      <w:proofErr w:type="spellStart"/>
      <w:r>
        <w:rPr>
          <w:rtl/>
        </w:rPr>
        <w:t>סולובייצ׳יק</w:t>
      </w:r>
      <w:bookmarkStart w:id="6337" w:name="_fnr4762"/>
      <w:proofErr w:type="spellEnd"/>
      <w:r>
        <w:rPr>
          <w:rStyle w:val="a5"/>
        </w:rPr>
        <w:footnoteReference w:id="4774" w:customMarkFollows="0"/>
      </w:r>
      <w:bookmarkEnd w:id="6337"/>
      <w:r>
        <w:rPr>
          <w:rtl/>
        </w:rPr>
        <w:t xml:space="preserve">; ור׳ ישראל </w:t>
      </w:r>
      <w:proofErr w:type="spellStart"/>
      <w:r>
        <w:rPr>
          <w:rtl/>
        </w:rPr>
        <w:t>סלנטר</w:t>
      </w:r>
      <w:bookmarkStart w:id="6338" w:name="_fnr4763"/>
      <w:proofErr w:type="spellEnd"/>
      <w:r>
        <w:rPr>
          <w:rStyle w:val="a5"/>
        </w:rPr>
        <w:footnoteReference w:id="4775" w:customMarkFollows="0"/>
      </w:r>
      <w:bookmarkEnd w:id="6338"/>
      <w:r>
        <w:rPr>
          <w:rtl/>
        </w:rPr>
        <w:t>. השווה גם “מורי האומה”, כרך ג</w:t>
      </w:r>
      <w:bookmarkStart w:id="6339" w:name="_fnr4764"/>
      <w:r>
        <w:rPr>
          <w:rStyle w:val="a5"/>
        </w:rPr>
        <w:footnoteReference w:id="4776" w:customMarkFollows="0"/>
      </w:r>
      <w:bookmarkEnd w:id="6339"/>
      <w:r>
        <w:rPr>
          <w:rtl/>
        </w:rPr>
        <w:t xml:space="preserve">, המצטט אף הוא את ר׳ </w:t>
      </w:r>
      <w:proofErr w:type="spellStart"/>
      <w:r>
        <w:rPr>
          <w:rtl/>
        </w:rPr>
        <w:t xml:space="preserve">יוסף־דב</w:t>
      </w:r>
      <w:proofErr w:type="spellEnd"/>
      <w:r>
        <w:rPr>
          <w:rtl/>
        </w:rPr>
        <w:t xml:space="preserve"> בעניין הערכת ר׳ חיים לארבעה, אך מחליף בין מקומותיהם של </w:t>
      </w:r>
      <w:proofErr w:type="spellStart"/>
      <w:r>
        <w:rPr>
          <w:rtl/>
        </w:rPr>
        <w:t>המלבי״ם</w:t>
      </w:r>
      <w:proofErr w:type="spellEnd"/>
      <w:r>
        <w:rPr>
          <w:rtl/>
        </w:rPr>
        <w:t xml:space="preserve"> ושל ר׳ ישראל; וכך גם “הגאון </w:t>
      </w:r>
      <w:proofErr w:type="spellStart"/>
      <w:r>
        <w:rPr>
          <w:rtl/>
        </w:rPr>
        <w:t>מלבי״ם</w:t>
      </w:r>
      <w:proofErr w:type="spellEnd"/>
      <w:r>
        <w:rPr>
          <w:rtl/>
        </w:rPr>
        <w:t>”</w:t>
      </w:r>
      <w:bookmarkStart w:id="6340" w:name="_fnr4765"/>
      <w:r>
        <w:rPr>
          <w:rStyle w:val="a5"/>
        </w:rPr>
        <w:footnoteReference w:id="4777" w:customMarkFollows="0"/>
      </w:r>
      <w:bookmarkEnd w:id="6340"/>
      <w:r>
        <w:rPr>
          <w:rtl/>
        </w:rPr>
        <w:t>, המעלה את ר׳ ישראל עוד יותר.</w:t>
      </w:r>
      <w:bookmarkStart w:id="6341" w:name="_fnr4766"/>
      <w:bookmarkStart w:id="6342" w:name="pr_f_4647"/>
      <w:r>
        <w:rPr>
          <w:rStyle w:val="a5"/>
        </w:rPr>
        <w:footnoteReference w:id="4778" w:customMarkFollows="0"/>
      </w:r>
      <w:bookmarkEnd w:id="6341"/>
      <w:bookmarkEnd w:id="6342"/>
    </w:p>
    <w:p w14:paraId="75BDB143" w14:textId="2A0D4EFF" w:rsidR="00AB3647" w:rsidRDefault="00000000" w:rsidP="007923E9">
      <w:pPr>
        <w:spacing w:after="120" w:line="276" w:lineRule="auto"/>
        <w:ind w:firstLine="283"/>
        <w:jc w:val="both"/>
      </w:pPr>
      <w:r>
        <w:rPr>
          <w:rtl/>
        </w:rPr>
        <w:lastRenderedPageBreak/>
        <w:t xml:space="preserve">אגב, לפי עד ראייה, כשסיפר ר׳ </w:t>
      </w:r>
      <w:proofErr w:type="spellStart"/>
      <w:r>
        <w:rPr>
          <w:rtl/>
        </w:rPr>
        <w:t xml:space="preserve">יוסף־דב</w:t>
      </w:r>
      <w:proofErr w:type="spellEnd"/>
      <w:r>
        <w:rPr>
          <w:rtl/>
        </w:rPr>
        <w:t xml:space="preserve"> לרבנו על הערכתו של ר׳ חיים </w:t>
      </w:r>
      <w:proofErr w:type="spellStart"/>
      <w:r>
        <w:rPr>
          <w:rtl/>
        </w:rPr>
        <w:t>לר</w:t>
      </w:r>
      <w:proofErr w:type="spellEnd"/>
      <w:r>
        <w:rPr>
          <w:rtl/>
        </w:rPr>
        <w:t xml:space="preserve">׳ ישראל, העיר שאינו מבין מדוע כלל סבו את ר׳ ישראל בין ענקים כאלה. אבי דחה את ההערה בתשובה: “כנראה ר׳ חיים האט </w:t>
      </w:r>
      <w:proofErr w:type="spellStart"/>
      <w:r>
        <w:rPr>
          <w:rtl/>
        </w:rPr>
        <w:t>געקענט</w:t>
      </w:r>
      <w:proofErr w:type="spellEnd"/>
      <w:r>
        <w:rPr>
          <w:rtl/>
        </w:rPr>
        <w:t xml:space="preserve"> ר׳ </w:t>
      </w:r>
      <w:proofErr w:type="spellStart"/>
      <w:r>
        <w:rPr>
          <w:rtl/>
        </w:rPr>
        <w:t>ישראל׳ן</w:t>
      </w:r>
      <w:proofErr w:type="spellEnd"/>
      <w:r>
        <w:rPr>
          <w:rtl/>
        </w:rPr>
        <w:t xml:space="preserve"> [הכיר את ר׳ ישראל]”</w:t>
      </w:r>
      <w:bookmarkStart w:id="6343" w:name="_fnr4767"/>
      <w:r>
        <w:rPr>
          <w:rStyle w:val="a5"/>
        </w:rPr>
        <w:footnoteReference w:id="4779" w:customMarkFollows="0"/>
      </w:r>
      <w:bookmarkEnd w:id="6343"/>
      <w:r>
        <w:rPr>
          <w:rtl/>
        </w:rPr>
        <w:t xml:space="preserve">. ר׳ </w:t>
      </w:r>
      <w:proofErr w:type="spellStart"/>
      <w:r>
        <w:rPr>
          <w:rtl/>
        </w:rPr>
        <w:t>משולם־דוד</w:t>
      </w:r>
      <w:proofErr w:type="spellEnd"/>
      <w:r>
        <w:rPr>
          <w:rtl/>
        </w:rPr>
        <w:t xml:space="preserve"> </w:t>
      </w:r>
      <w:proofErr w:type="spellStart"/>
      <w:r>
        <w:rPr>
          <w:rtl/>
        </w:rPr>
        <w:t>סולובייצ׳יק</w:t>
      </w:r>
      <w:bookmarkStart w:id="6344" w:name="_fnr4768"/>
      <w:proofErr w:type="spellEnd"/>
      <w:r>
        <w:rPr>
          <w:rStyle w:val="a5"/>
        </w:rPr>
        <w:footnoteReference w:id="4780" w:customMarkFollows="0"/>
      </w:r>
      <w:bookmarkEnd w:id="6344"/>
      <w:r>
        <w:rPr>
          <w:rtl/>
        </w:rPr>
        <w:t xml:space="preserve"> אמר ששמע “עוד </w:t>
      </w:r>
      <w:proofErr w:type="spellStart"/>
      <w:r>
        <w:rPr>
          <w:rtl/>
        </w:rPr>
        <w:t>בבריסק</w:t>
      </w:r>
      <w:proofErr w:type="spellEnd"/>
      <w:r>
        <w:rPr>
          <w:rtl/>
        </w:rPr>
        <w:t xml:space="preserve">” שר׳ חיים תיאר את ר׳ ישראל בלשון מופלגת: “למוחו של ר׳ ישראל </w:t>
      </w:r>
      <w:proofErr w:type="spellStart"/>
      <w:r>
        <w:rPr>
          <w:rtl/>
        </w:rPr>
        <w:t>סלנטר</w:t>
      </w:r>
      <w:proofErr w:type="spellEnd"/>
      <w:r>
        <w:rPr>
          <w:rtl/>
        </w:rPr>
        <w:t xml:space="preserve"> הייתה קדושת תפילין”. מסתבר שר׳ חיים התכוון להגדרת הרמב״ם לקדושת התפילין</w:t>
      </w:r>
      <w:bookmarkStart w:id="6345" w:name="_fnr4769"/>
      <w:r>
        <w:rPr>
          <w:rStyle w:val="a5"/>
        </w:rPr>
        <w:footnoteReference w:id="4781" w:customMarkFollows="0"/>
      </w:r>
      <w:bookmarkEnd w:id="6345"/>
      <w:r>
        <w:rPr>
          <w:rtl/>
        </w:rPr>
        <w:t>, ורמז שר׳ ישראל הקרין מאליו “ענוה, יראת שמים ודברי אמת וצדק” וסילק “שחוק, שיחה בטילה ומחשבות רעות” מסביבתו – כלומר, מכל מי שבא עמו במגע. השווה גם אדלשטיין</w:t>
      </w:r>
      <w:bookmarkStart w:id="6346" w:name="_fnr4770"/>
      <w:r>
        <w:rPr>
          <w:rStyle w:val="a5"/>
        </w:rPr>
        <w:footnoteReference w:id="4782" w:customMarkFollows="0"/>
      </w:r>
      <w:bookmarkEnd w:id="6346"/>
      <w:r>
        <w:rPr>
          <w:rtl/>
        </w:rPr>
        <w:t xml:space="preserve">, המביא בשם ר׳ </w:t>
      </w:r>
      <w:proofErr w:type="spellStart"/>
      <w:r>
        <w:rPr>
          <w:rtl/>
        </w:rPr>
        <w:t>ברוך־בער</w:t>
      </w:r>
      <w:proofErr w:type="spellEnd"/>
      <w:r>
        <w:rPr>
          <w:rtl/>
        </w:rPr>
        <w:t xml:space="preserve">: “הרבי ר׳ חיים היה רועד כשהזכיר את ר׳ ישראל”. ברור שר׳ </w:t>
      </w:r>
      <w:proofErr w:type="spellStart"/>
      <w:r>
        <w:rPr>
          <w:rtl/>
        </w:rPr>
        <w:t xml:space="preserve">יוסף־דב</w:t>
      </w:r>
      <w:proofErr w:type="spellEnd"/>
      <w:r>
        <w:rPr>
          <w:rtl/>
        </w:rPr>
        <w:t xml:space="preserve"> לא ידע על מסורות אלו. להערכתו של רבנו עצמו את ר׳ ישראל השווה פרק 3, סוף הערה </w:t>
      </w:r>
      <w:r>
        <w:rPr>
          <w:rtl/>
        </w:rPr>
        <w:fldChar w:fldCharType="begin" w:dirty="true"/>
      </w:r>
      <w:r>
        <w:rPr>
          <w:rtl/>
        </w:rPr>
        <w:instrText xml:space="preserve"> REF b3_note51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51</w:t>
      </w:r>
      <w:r>
        <w:rPr>
          <w:rtl/>
        </w:rPr>
        <w:fldChar w:fldCharType="end"/>
      </w:r>
      <w:r>
        <w:rPr>
          <w:rtl/>
        </w:rPr>
        <w:t>.</w:t>
      </w:r>
    </w:p>
    <w:p w14:paraId="09465D17" w14:textId="77777777" w:rsidR="00AB3647" w:rsidRDefault="00000000" w:rsidP="007923E9">
      <w:pPr>
        <w:spacing w:after="120" w:line="276" w:lineRule="auto"/>
        <w:ind w:firstLine="283"/>
        <w:jc w:val="both"/>
      </w:pPr>
      <w:r>
        <w:rPr>
          <w:rtl/>
        </w:rPr>
        <w:t>השווה גם “אבי הישיבות”</w:t>
      </w:r>
      <w:bookmarkStart w:id="6347" w:name="_fnr4771"/>
      <w:r>
        <w:rPr>
          <w:rStyle w:val="a5"/>
        </w:rPr>
        <w:footnoteReference w:id="4783" w:customMarkFollows="0"/>
      </w:r>
      <w:bookmarkEnd w:id="6347"/>
      <w:r>
        <w:rPr>
          <w:rtl/>
        </w:rPr>
        <w:t xml:space="preserve"> על סיפור נסתרות הנוגע </w:t>
      </w:r>
      <w:proofErr w:type="spellStart"/>
      <w:r>
        <w:rPr>
          <w:rtl/>
        </w:rPr>
        <w:t>לר</w:t>
      </w:r>
      <w:proofErr w:type="spellEnd"/>
      <w:r>
        <w:rPr>
          <w:rtl/>
        </w:rPr>
        <w:t xml:space="preserve">׳ חיים </w:t>
      </w:r>
      <w:proofErr w:type="spellStart"/>
      <w:r>
        <w:rPr>
          <w:rtl/>
        </w:rPr>
        <w:t>מוולוז׳ין</w:t>
      </w:r>
      <w:proofErr w:type="spellEnd"/>
      <w:r>
        <w:rPr>
          <w:rtl/>
        </w:rPr>
        <w:t xml:space="preserve">, שסיפר ר׳ אלי׳ </w:t>
      </w:r>
      <w:proofErr w:type="spellStart"/>
      <w:r>
        <w:rPr>
          <w:rtl/>
        </w:rPr>
        <w:t>לופיאן</w:t>
      </w:r>
      <w:proofErr w:type="spellEnd"/>
      <w:r>
        <w:rPr>
          <w:rtl/>
        </w:rPr>
        <w:t xml:space="preserve">, “ששמע אותו מפי ר׳ הירש </w:t>
      </w:r>
      <w:proofErr w:type="spellStart"/>
      <w:r>
        <w:rPr>
          <w:rtl/>
        </w:rPr>
        <w:t>ברוידא</w:t>
      </w:r>
      <w:proofErr w:type="spellEnd"/>
      <w:r>
        <w:rPr>
          <w:rtl/>
        </w:rPr>
        <w:t xml:space="preserve">, ששמע מפי חותנו ר׳ </w:t>
      </w:r>
      <w:proofErr w:type="spellStart"/>
      <w:r>
        <w:rPr>
          <w:rtl/>
        </w:rPr>
        <w:t>שמחה־זיסל</w:t>
      </w:r>
      <w:proofErr w:type="spellEnd"/>
      <w:r>
        <w:rPr>
          <w:rtl/>
        </w:rPr>
        <w:t xml:space="preserve"> זיו, ששמע מפי ר׳ ישראל </w:t>
      </w:r>
      <w:proofErr w:type="spellStart"/>
      <w:r>
        <w:rPr>
          <w:rtl/>
        </w:rPr>
        <w:t>סלנטר</w:t>
      </w:r>
      <w:proofErr w:type="spellEnd"/>
      <w:r>
        <w:rPr>
          <w:rtl/>
        </w:rPr>
        <w:t xml:space="preserve">, ששמע מפי רבו ר׳ </w:t>
      </w:r>
      <w:proofErr w:type="spellStart"/>
      <w:r>
        <w:rPr>
          <w:rtl/>
        </w:rPr>
        <w:t>זונדל</w:t>
      </w:r>
      <w:proofErr w:type="spellEnd"/>
      <w:r>
        <w:rPr>
          <w:rtl/>
        </w:rPr>
        <w:t xml:space="preserve">, ששמע מפי ר׳ חיים עצמו”. כשהסיפור נמסר שוב, עם שלשלת מקורותיו, </w:t>
      </w:r>
      <w:proofErr w:type="spellStart"/>
      <w:r>
        <w:rPr>
          <w:rtl/>
        </w:rPr>
        <w:t>לר</w:t>
      </w:r>
      <w:proofErr w:type="spellEnd"/>
      <w:r>
        <w:rPr>
          <w:rtl/>
        </w:rPr>
        <w:t xml:space="preserve">׳ יצחק־זאב </w:t>
      </w:r>
      <w:proofErr w:type="spellStart"/>
      <w:r>
        <w:rPr>
          <w:rtl/>
        </w:rPr>
        <w:t>סולובייצ׳יק</w:t>
      </w:r>
      <w:proofErr w:type="spellEnd"/>
      <w:r>
        <w:rPr>
          <w:rtl/>
        </w:rPr>
        <w:t xml:space="preserve">, הפסיק את המספר ברגע שהגיעה השלשלת </w:t>
      </w:r>
      <w:r>
        <w:rPr>
          <w:rtl/>
        </w:rPr>
        <w:lastRenderedPageBreak/>
        <w:t xml:space="preserve">עד ר׳ ישראל </w:t>
      </w:r>
      <w:proofErr w:type="spellStart"/>
      <w:r>
        <w:rPr>
          <w:rtl/>
        </w:rPr>
        <w:t>סלנטר</w:t>
      </w:r>
      <w:proofErr w:type="spellEnd"/>
      <w:r>
        <w:rPr>
          <w:rtl/>
        </w:rPr>
        <w:t xml:space="preserve">, ואמר: “די! זה מספיק: ‘אין </w:t>
      </w:r>
      <w:proofErr w:type="spellStart"/>
      <w:r>
        <w:rPr>
          <w:rtl/>
        </w:rPr>
        <w:t>בודקין</w:t>
      </w:r>
      <w:proofErr w:type="spellEnd"/>
      <w:r>
        <w:rPr>
          <w:rtl/>
        </w:rPr>
        <w:t xml:space="preserve"> מן המזבח ולמעלה’”</w:t>
      </w:r>
      <w:bookmarkStart w:id="6348" w:name="_fnr4772"/>
      <w:r>
        <w:rPr>
          <w:rStyle w:val="a5"/>
        </w:rPr>
        <w:footnoteReference w:id="4784" w:customMarkFollows="0"/>
      </w:r>
      <w:bookmarkEnd w:id="6348"/>
      <w:r>
        <w:rPr>
          <w:rtl/>
        </w:rPr>
        <w:t xml:space="preserve"> – כלומר, משנאמר הדבר מפי ר׳ ישראל, לא היה עוד צורך לבדוק את </w:t>
      </w:r>
      <w:proofErr w:type="spellStart"/>
      <w:r>
        <w:rPr>
          <w:rtl/>
        </w:rPr>
        <w:t>אמיתותו</w:t>
      </w:r>
      <w:proofErr w:type="spellEnd"/>
      <w:r>
        <w:rPr>
          <w:rtl/>
        </w:rPr>
        <w:t>.</w:t>
      </w:r>
    </w:p>
    <w:p w14:paraId="6B6DF7AC" w14:textId="77777777" w:rsidR="00AB3647" w:rsidRDefault="00000000" w:rsidP="007923E9">
      <w:pPr>
        <w:spacing w:after="120" w:line="276" w:lineRule="auto"/>
        <w:ind w:firstLine="283"/>
        <w:jc w:val="both"/>
      </w:pPr>
      <w:r>
        <w:rPr>
          <w:rtl/>
        </w:rPr>
        <w:t xml:space="preserve">ראוי לציין גם ששניים מארבעת הגדולים שנמנו הקדישו את עיקר כוחם ושכלם למלחמה בהשכלה וברפורמה: ר׳ ישראל </w:t>
      </w:r>
      <w:proofErr w:type="spellStart"/>
      <w:r>
        <w:rPr>
          <w:rtl/>
        </w:rPr>
        <w:t>סלנטר</w:t>
      </w:r>
      <w:proofErr w:type="spellEnd"/>
      <w:r>
        <w:rPr>
          <w:rtl/>
        </w:rPr>
        <w:t xml:space="preserve"> </w:t>
      </w:r>
      <w:proofErr w:type="spellStart"/>
      <w:r>
        <w:rPr>
          <w:rtl/>
        </w:rPr>
        <w:t>והמלבי״ם</w:t>
      </w:r>
      <w:proofErr w:type="spellEnd"/>
      <w:r>
        <w:rPr>
          <w:rtl/>
        </w:rPr>
        <w:t xml:space="preserve">. על מפעלו הגדול של </w:t>
      </w:r>
      <w:proofErr w:type="spellStart"/>
      <w:r>
        <w:rPr>
          <w:rtl/>
        </w:rPr>
        <w:t>המלבי״ם</w:t>
      </w:r>
      <w:proofErr w:type="spellEnd"/>
      <w:r>
        <w:rPr>
          <w:rtl/>
        </w:rPr>
        <w:t xml:space="preserve"> בתנ״ך, שחובר כנשק במלחמה במדע ביקורת המקרא שמקורו בגרמניה, אמר ר׳ </w:t>
      </w:r>
      <w:proofErr w:type="spellStart"/>
      <w:r>
        <w:rPr>
          <w:rtl/>
        </w:rPr>
        <w:t>אייזל</w:t>
      </w:r>
      <w:proofErr w:type="spellEnd"/>
      <w:r>
        <w:rPr>
          <w:rtl/>
        </w:rPr>
        <w:t xml:space="preserve"> שפירא מסלונים בשנינות</w:t>
      </w:r>
      <w:bookmarkStart w:id="6349" w:name="_fnr4773"/>
      <w:r>
        <w:rPr>
          <w:rStyle w:val="a5"/>
        </w:rPr>
        <w:footnoteReference w:id="4785" w:customMarkFollows="0"/>
      </w:r>
      <w:bookmarkEnd w:id="6349"/>
      <w:r>
        <w:rPr>
          <w:rtl/>
        </w:rPr>
        <w:t xml:space="preserve">: “מזלנו הטוב </w:t>
      </w:r>
      <w:proofErr w:type="spellStart"/>
      <w:r>
        <w:rPr>
          <w:rtl/>
        </w:rPr>
        <w:t>שהמלבי״ם</w:t>
      </w:r>
      <w:proofErr w:type="spellEnd"/>
      <w:r>
        <w:rPr>
          <w:rtl/>
        </w:rPr>
        <w:t xml:space="preserve"> בחר לעסוק בפירושו לתנ״ך, שכן עתה אנו עדיין יכולים להרים את ראשנו בפניו [בתחום הש״ס והפוסקים]”. עוד מסופר</w:t>
      </w:r>
      <w:bookmarkStart w:id="6350" w:name="_fnr4774"/>
      <w:r>
        <w:rPr>
          <w:rStyle w:val="a5"/>
        </w:rPr>
        <w:footnoteReference w:id="4786" w:customMarkFollows="0"/>
      </w:r>
      <w:bookmarkEnd w:id="6350"/>
      <w:r>
        <w:rPr>
          <w:rtl/>
        </w:rPr>
        <w:t xml:space="preserve"> שכאשר פגש ר׳ ישראל </w:t>
      </w:r>
      <w:proofErr w:type="spellStart"/>
      <w:r>
        <w:rPr>
          <w:rtl/>
        </w:rPr>
        <w:t>סלנטר</w:t>
      </w:r>
      <w:proofErr w:type="spellEnd"/>
      <w:r>
        <w:rPr>
          <w:rtl/>
        </w:rPr>
        <w:t xml:space="preserve"> את </w:t>
      </w:r>
      <w:proofErr w:type="spellStart"/>
      <w:r>
        <w:rPr>
          <w:rtl/>
        </w:rPr>
        <w:t>המלבי״ם</w:t>
      </w:r>
      <w:proofErr w:type="spellEnd"/>
      <w:r>
        <w:rPr>
          <w:rtl/>
        </w:rPr>
        <w:t xml:space="preserve">, בן גילו, אחרי שלא ראהו זמן רב, קרא: “ר׳ </w:t>
      </w:r>
      <w:proofErr w:type="spellStart"/>
      <w:r>
        <w:rPr>
          <w:rtl/>
        </w:rPr>
        <w:t>מאיר־לייבוש</w:t>
      </w:r>
      <w:proofErr w:type="spellEnd"/>
      <w:r>
        <w:rPr>
          <w:rtl/>
        </w:rPr>
        <w:t xml:space="preserve"> יקירנו, מה אירע לך? הרי היית תקוותנו שיהיה בדורנו גדול כמו </w:t>
      </w:r>
      <w:proofErr w:type="spellStart"/>
      <w:r>
        <w:rPr>
          <w:rtl/>
        </w:rPr>
        <w:t>הגר״א</w:t>
      </w:r>
      <w:proofErr w:type="spellEnd"/>
      <w:r>
        <w:rPr>
          <w:rtl/>
        </w:rPr>
        <w:t xml:space="preserve"> בדורו!”</w:t>
      </w:r>
      <w:bookmarkStart w:id="6351" w:name="_fnr4775"/>
      <w:r>
        <w:rPr>
          <w:rStyle w:val="a5"/>
        </w:rPr>
        <w:footnoteReference w:id="4787" w:customMarkFollows="0"/>
      </w:r>
      <w:bookmarkEnd w:id="6351"/>
      <w:r>
        <w:rPr>
          <w:rtl/>
        </w:rPr>
        <w:t xml:space="preserve"> נראה שכוונת ר׳ ישראל הייתה שנטישת התלמוד בידי </w:t>
      </w:r>
      <w:proofErr w:type="spellStart"/>
      <w:r>
        <w:rPr>
          <w:rtl/>
        </w:rPr>
        <w:t>המלבי״ם</w:t>
      </w:r>
      <w:proofErr w:type="spellEnd"/>
      <w:r>
        <w:rPr>
          <w:rtl/>
        </w:rPr>
        <w:t xml:space="preserve"> והקדשת עצמו לתנ״ך היו אכזבה גדולה לכלל ישראל – ואפילו ר׳ ישראל, שהמאבק בהשכלה עמד בראש דאגותיו, כאמור לעיל, התאכזב.</w:t>
      </w:r>
    </w:p>
    <w:p w14:paraId="74C363CA" w14:textId="77777777" w:rsidR="00AB3647" w:rsidRDefault="00000000" w:rsidP="007923E9">
      <w:pPr>
        <w:spacing w:after="120" w:line="276" w:lineRule="auto"/>
        <w:ind w:firstLine="283"/>
        <w:jc w:val="both"/>
      </w:pPr>
      <w:r>
        <w:rPr>
          <w:rtl/>
        </w:rPr>
        <w:t>השווה גם “ושמושה של תורה”</w:t>
      </w:r>
      <w:bookmarkStart w:id="6352" w:name="_fnr4776"/>
      <w:r>
        <w:rPr>
          <w:rStyle w:val="a5"/>
        </w:rPr>
        <w:footnoteReference w:id="4788" w:customMarkFollows="0"/>
      </w:r>
      <w:bookmarkEnd w:id="6352"/>
      <w:r>
        <w:rPr>
          <w:rtl/>
        </w:rPr>
        <w:t xml:space="preserve">: כשהתחיל </w:t>
      </w:r>
      <w:proofErr w:type="spellStart"/>
      <w:r>
        <w:rPr>
          <w:rtl/>
        </w:rPr>
        <w:t>המלבי״ם</w:t>
      </w:r>
      <w:proofErr w:type="spellEnd"/>
      <w:r>
        <w:rPr>
          <w:rtl/>
        </w:rPr>
        <w:t xml:space="preserve"> את פירושו לתנ״ך, ביקרו אצלו ר׳ </w:t>
      </w:r>
      <w:proofErr w:type="spellStart"/>
      <w:r>
        <w:rPr>
          <w:rtl/>
        </w:rPr>
        <w:t>רובל׳ה</w:t>
      </w:r>
      <w:proofErr w:type="spellEnd"/>
      <w:r>
        <w:rPr>
          <w:rtl/>
        </w:rPr>
        <w:t xml:space="preserve"> </w:t>
      </w:r>
      <w:proofErr w:type="spellStart"/>
      <w:r>
        <w:rPr>
          <w:rtl/>
        </w:rPr>
        <w:t>מדווינסק</w:t>
      </w:r>
      <w:bookmarkStart w:id="6353" w:name="_fnr4777"/>
      <w:proofErr w:type="spellEnd"/>
      <w:r>
        <w:rPr>
          <w:rStyle w:val="a5"/>
        </w:rPr>
        <w:footnoteReference w:id="4789" w:customMarkFollows="0"/>
      </w:r>
      <w:bookmarkEnd w:id="6353"/>
      <w:r>
        <w:rPr>
          <w:rtl/>
        </w:rPr>
        <w:t xml:space="preserve"> ור׳ </w:t>
      </w:r>
      <w:proofErr w:type="spellStart"/>
      <w:r>
        <w:rPr>
          <w:rtl/>
        </w:rPr>
        <w:t>ליפל׳ה</w:t>
      </w:r>
      <w:proofErr w:type="spellEnd"/>
      <w:r>
        <w:rPr>
          <w:rtl/>
        </w:rPr>
        <w:t xml:space="preserve"> ממיר, וניסו לשכנעו להמשיך במקום זאת בפירושו החריף לשולחן ערוך. את הכרך הראשון של פירוש זה, “ארצות החיים”, חיבר בגיל </w:t>
      </w:r>
      <w:proofErr w:type="spellStart"/>
      <w:r>
        <w:rPr>
          <w:rtl/>
        </w:rPr>
        <w:t>שמונה־עשרה</w:t>
      </w:r>
      <w:proofErr w:type="spellEnd"/>
      <w:r>
        <w:rPr>
          <w:rtl/>
        </w:rPr>
        <w:t xml:space="preserve"> והוציא לאור עשר שנים אחר כך. הוא אמר להם: “עבודתי [בתורה שבכתב] היא צורך השעה בשל מצב הדור – כדי למשוך את הציבור לדרך מסורת התורה ולהבטיח שלא יילכד ברשתות ההשכלה המדבקת. רק אם אתם שניכם תעשו את עבודתי בתורה שבכתב, אשוב לכתיבת ‘ארצות החיים’”.</w:t>
      </w:r>
    </w:p>
    <w:p w14:paraId="06D82237" w14:textId="77777777" w:rsidR="00AB3647" w:rsidRDefault="00000000" w:rsidP="007923E9">
      <w:pPr>
        <w:spacing w:after="120" w:line="276" w:lineRule="auto"/>
        <w:ind w:firstLine="283"/>
        <w:jc w:val="both"/>
      </w:pPr>
      <w:r>
        <w:rPr>
          <w:rtl/>
        </w:rPr>
        <w:t xml:space="preserve">אולם יש אגדה </w:t>
      </w:r>
      <w:proofErr w:type="spellStart"/>
      <w:r>
        <w:rPr>
          <w:rtl/>
        </w:rPr>
        <w:t>ה“מסבירה</w:t>
      </w:r>
      <w:proofErr w:type="spellEnd"/>
      <w:r>
        <w:rPr>
          <w:rtl/>
        </w:rPr>
        <w:t xml:space="preserve">” מדוע לא היה </w:t>
      </w:r>
      <w:proofErr w:type="spellStart"/>
      <w:r>
        <w:rPr>
          <w:rtl/>
        </w:rPr>
        <w:t>המלבי״ם</w:t>
      </w:r>
      <w:proofErr w:type="spellEnd"/>
      <w:r>
        <w:rPr>
          <w:rtl/>
        </w:rPr>
        <w:t xml:space="preserve"> יכול לכתוב בענייני הלכה אלא רק בתנ״ך. בן עשרים ושש, כשעמד להוציא לאור את “ארצות החיים”, ביקר אצל גדולים רבים כדי לקבל את הסכמותיהם, ובהם ר׳ עקיבא איגר </w:t>
      </w:r>
      <w:proofErr w:type="spellStart"/>
      <w:r>
        <w:rPr>
          <w:rtl/>
        </w:rPr>
        <w:t>בפוזנא</w:t>
      </w:r>
      <w:proofErr w:type="spellEnd"/>
      <w:r>
        <w:rPr>
          <w:rtl/>
        </w:rPr>
        <w:t xml:space="preserve"> ור׳ משה סופר, </w:t>
      </w:r>
      <w:proofErr w:type="spellStart"/>
      <w:r>
        <w:rPr>
          <w:rtl/>
        </w:rPr>
        <w:t>החתם־סופר</w:t>
      </w:r>
      <w:proofErr w:type="spellEnd"/>
      <w:r>
        <w:rPr>
          <w:rtl/>
        </w:rPr>
        <w:t xml:space="preserve">, </w:t>
      </w:r>
      <w:proofErr w:type="spellStart"/>
      <w:r>
        <w:rPr>
          <w:rtl/>
        </w:rPr>
        <w:t>בפרשבורג</w:t>
      </w:r>
      <w:proofErr w:type="spellEnd"/>
      <w:r>
        <w:rPr>
          <w:rtl/>
        </w:rPr>
        <w:t>. בפגישותיו עם שני החכמים הגדולים האלה עשה שני מעשים שעל פי המסורת השפיעו לרעה על כל חייו.</w:t>
      </w:r>
    </w:p>
    <w:p w14:paraId="2CA545C3" w14:textId="77777777" w:rsidR="00AB3647" w:rsidRDefault="00000000" w:rsidP="007923E9">
      <w:pPr>
        <w:spacing w:after="120" w:line="276" w:lineRule="auto"/>
        <w:ind w:firstLine="283"/>
        <w:jc w:val="both"/>
      </w:pPr>
      <w:r>
        <w:rPr>
          <w:rtl/>
        </w:rPr>
        <w:t xml:space="preserve">בביקורו אצל ר׳ עקיבא איגר ביקש </w:t>
      </w:r>
      <w:proofErr w:type="spellStart"/>
      <w:r>
        <w:rPr>
          <w:rtl/>
        </w:rPr>
        <w:t>המלבי״ם</w:t>
      </w:r>
      <w:proofErr w:type="spellEnd"/>
      <w:r>
        <w:rPr>
          <w:rtl/>
        </w:rPr>
        <w:t xml:space="preserve"> סמיכה ממארחו. אחרי שיחות ארוכות בתורה עם </w:t>
      </w:r>
      <w:proofErr w:type="spellStart"/>
      <w:r>
        <w:rPr>
          <w:rtl/>
        </w:rPr>
        <w:t>המלבי״ם</w:t>
      </w:r>
      <w:proofErr w:type="spellEnd"/>
      <w:r>
        <w:rPr>
          <w:rtl/>
        </w:rPr>
        <w:t xml:space="preserve"> המבריק, ואחרי עיון בכתב ידו הנפלא, הכריז החכם הזקן והענוותן שאורחו כבר יודע די הצורך כדי למלא את מקומו כרב </w:t>
      </w:r>
      <w:proofErr w:type="spellStart"/>
      <w:r>
        <w:rPr>
          <w:rtl/>
        </w:rPr>
        <w:t>בפוזנא</w:t>
      </w:r>
      <w:proofErr w:type="spellEnd"/>
      <w:r>
        <w:rPr>
          <w:rtl/>
        </w:rPr>
        <w:t>, ואמר לצעיר לשבת על כיסא הרבנות</w:t>
      </w:r>
      <w:bookmarkStart w:id="6354" w:name="_fnr4778"/>
      <w:bookmarkStart w:id="6355" w:name="pr_f_4659"/>
      <w:r>
        <w:rPr>
          <w:rStyle w:val="a5"/>
        </w:rPr>
        <w:footnoteReference w:id="4790" w:customMarkFollows="0"/>
      </w:r>
      <w:bookmarkEnd w:id="6354"/>
      <w:bookmarkEnd w:id="6355"/>
      <w:r>
        <w:rPr>
          <w:rtl/>
        </w:rPr>
        <w:t xml:space="preserve">. הלה </w:t>
      </w:r>
      <w:r>
        <w:rPr>
          <w:rtl/>
        </w:rPr>
        <w:lastRenderedPageBreak/>
        <w:t xml:space="preserve">לא היסס, וישב על כיסאו של ר׳ עקיבא איגר! על פי האגדה, בשל שגגה זו סבל </w:t>
      </w:r>
      <w:proofErr w:type="spellStart"/>
      <w:r>
        <w:rPr>
          <w:rtl/>
        </w:rPr>
        <w:t>המלבי״ם</w:t>
      </w:r>
      <w:proofErr w:type="spellEnd"/>
      <w:r>
        <w:rPr>
          <w:rtl/>
        </w:rPr>
        <w:t xml:space="preserve"> רדיפות כל ימי חייו</w:t>
      </w:r>
      <w:bookmarkStart w:id="6356" w:name="_fnr4779"/>
      <w:r>
        <w:rPr>
          <w:rStyle w:val="a5"/>
        </w:rPr>
        <w:footnoteReference w:id="4791" w:customMarkFollows="0"/>
      </w:r>
      <w:bookmarkEnd w:id="6356"/>
      <w:r>
        <w:rPr>
          <w:rtl/>
        </w:rPr>
        <w:t xml:space="preserve">, ונאלץ לנדוד מארץ לארץ ומכהונה לכהונה: מרבנות ורשן שבפרוסיה (ארבעים וחמישה קילומטרים ממזרח </w:t>
      </w:r>
      <w:proofErr w:type="spellStart"/>
      <w:r>
        <w:rPr>
          <w:rtl/>
        </w:rPr>
        <w:t>לפוזנא</w:t>
      </w:r>
      <w:proofErr w:type="spellEnd"/>
      <w:r>
        <w:rPr>
          <w:rtl/>
        </w:rPr>
        <w:t xml:space="preserve">) לרבנות </w:t>
      </w:r>
      <w:proofErr w:type="spellStart"/>
      <w:r>
        <w:rPr>
          <w:rtl/>
        </w:rPr>
        <w:t>קמפן</w:t>
      </w:r>
      <w:proofErr w:type="spellEnd"/>
      <w:r>
        <w:rPr>
          <w:rtl/>
        </w:rPr>
        <w:t xml:space="preserve"> (שם התחיל לעיין עיון מעמיק בתנ״ך), לרבנות בוקרשט, להפוגה בפריז</w:t>
      </w:r>
      <w:bookmarkStart w:id="6357" w:name="_fnr4780"/>
      <w:r>
        <w:rPr>
          <w:rStyle w:val="a5"/>
        </w:rPr>
        <w:footnoteReference w:id="4792" w:customMarkFollows="0"/>
      </w:r>
      <w:bookmarkEnd w:id="6357"/>
      <w:r>
        <w:rPr>
          <w:rtl/>
        </w:rPr>
        <w:t xml:space="preserve">, לרבנות </w:t>
      </w:r>
      <w:proofErr w:type="spellStart"/>
      <w:r>
        <w:rPr>
          <w:rtl/>
        </w:rPr>
        <w:t>חרסון</w:t>
      </w:r>
      <w:proofErr w:type="spellEnd"/>
      <w:r>
        <w:rPr>
          <w:rtl/>
        </w:rPr>
        <w:t xml:space="preserve"> שבאוקראינה, לרבנות </w:t>
      </w:r>
      <w:proofErr w:type="spellStart"/>
      <w:r>
        <w:rPr>
          <w:rtl/>
        </w:rPr>
        <w:t>לנצ׳יץ</w:t>
      </w:r>
      <w:proofErr w:type="spellEnd"/>
      <w:r>
        <w:rPr>
          <w:rtl/>
        </w:rPr>
        <w:t xml:space="preserve">’ שבפולין, לרבנות </w:t>
      </w:r>
      <w:proofErr w:type="spellStart"/>
      <w:r>
        <w:rPr>
          <w:rtl/>
        </w:rPr>
        <w:t>מוהילוב</w:t>
      </w:r>
      <w:proofErr w:type="spellEnd"/>
      <w:r>
        <w:rPr>
          <w:rtl/>
        </w:rPr>
        <w:t xml:space="preserve"> שבבלארוס, ולרבנות קהילת המהגרים הליטאים והפולנים בקניגסברג שבפרוסיה. הוא נפטר בקייב, בדרכו לכהונה חדשה נוספת – רבנות </w:t>
      </w:r>
      <w:proofErr w:type="spellStart"/>
      <w:r>
        <w:rPr>
          <w:rtl/>
        </w:rPr>
        <w:t>קרמנצ׳וג</w:t>
      </w:r>
      <w:proofErr w:type="spellEnd"/>
      <w:r>
        <w:rPr>
          <w:rtl/>
        </w:rPr>
        <w:t xml:space="preserve"> שבאוקראינה.</w:t>
      </w:r>
    </w:p>
    <w:p w14:paraId="5B722301" w14:textId="77777777" w:rsidR="00AB3647" w:rsidRDefault="00000000" w:rsidP="007923E9">
      <w:pPr>
        <w:spacing w:after="120" w:line="276" w:lineRule="auto"/>
        <w:ind w:firstLine="283"/>
        <w:jc w:val="both"/>
      </w:pPr>
      <w:r>
        <w:rPr>
          <w:rtl/>
        </w:rPr>
        <w:t xml:space="preserve">ר׳ עקיבא איגר, שבדרך כלל נמנע מלתת הסכמות, נתן לאורחו מכתב שבו דן בכמה עניינים הלכתיים שכתב עליהם המחבר הצעיר. מעשהו האחר של </w:t>
      </w:r>
      <w:proofErr w:type="spellStart"/>
      <w:r>
        <w:rPr>
          <w:rtl/>
        </w:rPr>
        <w:t>המלבי״ם</w:t>
      </w:r>
      <w:proofErr w:type="spellEnd"/>
      <w:r>
        <w:rPr>
          <w:rtl/>
        </w:rPr>
        <w:t xml:space="preserve">, שנעשה בלי מחשבה, אירע לפנות ערב באחת השבתות, כשישב – בשגגה הפעם – על כיסאו של </w:t>
      </w:r>
      <w:proofErr w:type="spellStart"/>
      <w:r>
        <w:rPr>
          <w:rtl/>
        </w:rPr>
        <w:t>החתם־סופר</w:t>
      </w:r>
      <w:proofErr w:type="spellEnd"/>
      <w:r>
        <w:rPr>
          <w:rtl/>
        </w:rPr>
        <w:t xml:space="preserve">, ומארחו אמר לו “להישאר במקומו”. מאז הרגיש שאינו יכול להתקדם בלימודי ההלכה: </w:t>
      </w:r>
      <w:r>
        <w:rPr>
          <w:b/>
          <w:bCs/>
          <w:rtl/>
        </w:rPr>
        <w:t>הוא נשאר במקומו מבחינת הלימוד</w:t>
      </w:r>
      <w:bookmarkStart w:id="6358" w:name="_fnr4781"/>
      <w:bookmarkStart w:id="6359" w:name="pr_f_4662"/>
      <w:r>
        <w:rPr>
          <w:rStyle w:val="a5"/>
        </w:rPr>
        <w:footnoteReference w:id="4793" w:customMarkFollows="0"/>
      </w:r>
      <w:bookmarkEnd w:id="6358"/>
      <w:bookmarkEnd w:id="6359"/>
      <w:r>
        <w:rPr>
          <w:rtl/>
        </w:rPr>
        <w:t>.</w:t>
      </w:r>
    </w:p>
    <w:p w14:paraId="44B5BD0C" w14:textId="77777777" w:rsidR="00AB3647" w:rsidRDefault="00000000" w:rsidP="007923E9">
      <w:pPr>
        <w:spacing w:after="120" w:line="276" w:lineRule="auto"/>
        <w:ind w:firstLine="283"/>
        <w:jc w:val="both"/>
      </w:pPr>
      <w:proofErr w:type="spellStart"/>
      <w:r>
        <w:rPr>
          <w:rtl/>
        </w:rPr>
        <w:lastRenderedPageBreak/>
        <w:t>המלבי״ם</w:t>
      </w:r>
      <w:proofErr w:type="spellEnd"/>
      <w:r>
        <w:rPr>
          <w:rtl/>
        </w:rPr>
        <w:t xml:space="preserve"> התרחק מן החלקים ההלכתיים של התורה עד כדי כך שנמנע </w:t>
      </w:r>
      <w:proofErr w:type="spellStart"/>
      <w:r>
        <w:rPr>
          <w:rtl/>
        </w:rPr>
        <w:t>מ“לדבר</w:t>
      </w:r>
      <w:proofErr w:type="spellEnd"/>
      <w:r>
        <w:rPr>
          <w:rtl/>
        </w:rPr>
        <w:t xml:space="preserve"> בלימוד”, אף שבתוקף כהונותיו ברבנות היה עליו לפסוק שאלות הלכתיות, וכן להשיב על שאלות שנשלחו אליו בדואר. “הגאון </w:t>
      </w:r>
      <w:proofErr w:type="spellStart"/>
      <w:r>
        <w:rPr>
          <w:rtl/>
        </w:rPr>
        <w:t>מלבי״ם</w:t>
      </w:r>
      <w:proofErr w:type="spellEnd"/>
      <w:r>
        <w:rPr>
          <w:rtl/>
        </w:rPr>
        <w:t>”</w:t>
      </w:r>
      <w:bookmarkStart w:id="6360" w:name="_fnr4782"/>
      <w:r>
        <w:rPr>
          <w:rStyle w:val="a5"/>
        </w:rPr>
        <w:footnoteReference w:id="4794" w:customMarkFollows="0"/>
      </w:r>
      <w:bookmarkEnd w:id="6360"/>
      <w:r>
        <w:rPr>
          <w:rtl/>
        </w:rPr>
        <w:t xml:space="preserve"> מספר </w:t>
      </w:r>
      <w:proofErr w:type="spellStart"/>
      <w:r>
        <w:rPr>
          <w:rtl/>
        </w:rPr>
        <w:t>שהמלבי״ם</w:t>
      </w:r>
      <w:proofErr w:type="spellEnd"/>
      <w:r>
        <w:rPr>
          <w:rtl/>
        </w:rPr>
        <w:t xml:space="preserve"> נזדמן לפטרבורג, </w:t>
      </w:r>
      <w:proofErr w:type="spellStart"/>
      <w:r>
        <w:rPr>
          <w:rtl/>
        </w:rPr>
        <w:t>ו“איש</w:t>
      </w:r>
      <w:proofErr w:type="spellEnd"/>
      <w:r>
        <w:rPr>
          <w:rtl/>
        </w:rPr>
        <w:t xml:space="preserve"> תורה פולני גדול” בא לשם “ממרחק רב” כדי “לדבר בלימוד” ולעזור לו “לפתור כמה שאלות הלכתיות קשות שהיו לו”. </w:t>
      </w:r>
      <w:proofErr w:type="spellStart"/>
      <w:r>
        <w:rPr>
          <w:rtl/>
        </w:rPr>
        <w:t>המלבי״ם</w:t>
      </w:r>
      <w:proofErr w:type="spellEnd"/>
      <w:r>
        <w:rPr>
          <w:rtl/>
        </w:rPr>
        <w:t xml:space="preserve"> דחה אותו באומרו </w:t>
      </w:r>
      <w:proofErr w:type="spellStart"/>
      <w:r>
        <w:rPr>
          <w:rtl/>
        </w:rPr>
        <w:t>ש“טרדות</w:t>
      </w:r>
      <w:proofErr w:type="spellEnd"/>
      <w:r>
        <w:rPr>
          <w:rtl/>
        </w:rPr>
        <w:t xml:space="preserve"> אישיות מונעות [ממנו] לעסוק בענייני הלכה, אך כיוון [שהוא] שקוע מאוד בלימוד התנ״ך, הוא מוכן לדבר [עמו] בכל נושא מקראי [שיבחר] – אך לא במשא ומתן תלמודי”.</w:t>
      </w:r>
    </w:p>
    <w:p w14:paraId="0B224D7B" w14:textId="5B9C5E28" w:rsidR="00AB3647" w:rsidRDefault="00000000" w:rsidP="007923E9">
      <w:pPr>
        <w:spacing w:after="120" w:line="276" w:lineRule="auto"/>
        <w:ind w:firstLine="283"/>
        <w:jc w:val="both"/>
      </w:pPr>
      <w:r>
        <w:rPr>
          <w:rtl/>
        </w:rPr>
        <w:t xml:space="preserve">האורח התעקש “לדבר בלימוד”, ולא הועיל, עד שהוציא מכיסו מכתב שכתב ר׳ עקיבא איגר לאביו, ואמר: “אבי הכיר את ר׳ עקיבא איגר אחרי שפגשו כשבא </w:t>
      </w:r>
      <w:proofErr w:type="spellStart"/>
      <w:r>
        <w:rPr>
          <w:rtl/>
        </w:rPr>
        <w:t>ללומז׳ה</w:t>
      </w:r>
      <w:proofErr w:type="spellEnd"/>
      <w:r>
        <w:rPr>
          <w:rtl/>
        </w:rPr>
        <w:t xml:space="preserve"> לחתונת בנו” – ראה פרק 3, הערה </w:t>
      </w:r>
      <w:r>
        <w:rPr>
          <w:rtl/>
        </w:rPr>
        <w:fldChar w:fldCharType="begin" w:dirty="true"/>
      </w:r>
      <w:r>
        <w:rPr>
          <w:rtl/>
        </w:rPr>
        <w:instrText xml:space="preserve"> REF b3_note10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10</w:t>
      </w:r>
      <w:r>
        <w:rPr>
          <w:rtl/>
        </w:rPr>
        <w:fldChar w:fldCharType="end"/>
      </w:r>
      <w:r>
        <w:rPr>
          <w:rtl/>
        </w:rPr>
        <w:t xml:space="preserve">. “לפני שעזב ר׳ עקיבא איגר, ביקש ממנו אבי להתפלל שיזכה לבן, וכשחזר הגאון לביתו כתב לאבי מכתב זה: ברכת הרב כוונה ללידתי. רק אם תסכים ‘לדבר בלימוד’ עמי אראה לך את המכתב”. עתה לא הועילו תחנוני </w:t>
      </w:r>
      <w:proofErr w:type="spellStart"/>
      <w:r>
        <w:rPr>
          <w:rtl/>
        </w:rPr>
        <w:t>המלבי״ם</w:t>
      </w:r>
      <w:proofErr w:type="spellEnd"/>
      <w:r>
        <w:rPr>
          <w:rtl/>
        </w:rPr>
        <w:t xml:space="preserve"> לראות את המכתב, והוא נענה לנהל משא ומתן תלמודי עם אורחו. כשהראו לו את המכתב, אמר: “זה אכן כתב ידו של ר׳ עקיבא איגר”, ונישק אותו.</w:t>
      </w:r>
    </w:p>
    <w:p w14:paraId="3E030C2D" w14:textId="77777777" w:rsidR="00AB3647" w:rsidRDefault="00000000" w:rsidP="007923E9">
      <w:pPr>
        <w:spacing w:after="120" w:line="276" w:lineRule="auto"/>
        <w:ind w:firstLine="283"/>
        <w:jc w:val="both"/>
      </w:pPr>
      <w:bookmarkStart w:id="6361" w:name="pr_b_2649"/>
      <w:bookmarkEnd w:id="6361"/>
      <w:r>
        <w:rPr>
          <w:rtl/>
        </w:rPr>
        <w:t xml:space="preserve">אבי סיפר </w:t>
      </w:r>
      <w:proofErr w:type="spellStart"/>
      <w:r>
        <w:rPr>
          <w:rtl/>
        </w:rPr>
        <w:t>לר</w:t>
      </w:r>
      <w:proofErr w:type="spellEnd"/>
      <w:r>
        <w:rPr>
          <w:rtl/>
        </w:rPr>
        <w:t xml:space="preserve">׳ דוד </w:t>
      </w:r>
      <w:proofErr w:type="spellStart"/>
      <w:r>
        <w:rPr>
          <w:rtl/>
        </w:rPr>
        <w:t>צימט</w:t>
      </w:r>
      <w:bookmarkStart w:id="6362" w:name="_fnr4783"/>
      <w:proofErr w:type="spellEnd"/>
      <w:r>
        <w:rPr>
          <w:rStyle w:val="a5"/>
        </w:rPr>
        <w:footnoteReference w:id="4795" w:customMarkFollows="0"/>
      </w:r>
      <w:bookmarkEnd w:id="6362"/>
      <w:r>
        <w:rPr>
          <w:rtl/>
        </w:rPr>
        <w:t xml:space="preserve"> שר׳ ישראל עזב את וילנה בחיפזון, זמן קצר אחרי מעשה יום הכיפורים, כתוצאה ישירה של המרירות שבינו ובין בית הדין. אבי חלק על הגרסה המקובלת, המובאת בספרו של כץ, “תנועת המוסר”, כרך א</w:t>
      </w:r>
      <w:bookmarkStart w:id="6363" w:name="_fnr4784"/>
      <w:r>
        <w:rPr>
          <w:rStyle w:val="a5"/>
        </w:rPr>
        <w:footnoteReference w:id="4796" w:customMarkFollows="0"/>
      </w:r>
      <w:bookmarkEnd w:id="6363"/>
      <w:r>
        <w:rPr>
          <w:rtl/>
        </w:rPr>
        <w:t xml:space="preserve">, ומצוטטת ממקורות מוקדמים בספרו של </w:t>
      </w:r>
      <w:proofErr w:type="spellStart"/>
      <w:r>
        <w:rPr>
          <w:rtl/>
        </w:rPr>
        <w:lastRenderedPageBreak/>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64" w:name="_fnr4785"/>
      <w:r>
        <w:rPr>
          <w:rStyle w:val="a5"/>
        </w:rPr>
        <w:footnoteReference w:id="4797" w:customMarkFollows="0"/>
      </w:r>
      <w:bookmarkEnd w:id="6364"/>
      <w:r>
        <w:rPr>
          <w:rtl/>
        </w:rPr>
        <w:t xml:space="preserve">, שר׳ ישראל עזב את וילנה מפני שהמשכילים ניסו לכפות עליו, באמצעות פקידי ממשלת רוסיה, ללמד בבית המדרש לרבנים, </w:t>
      </w:r>
      <w:r>
        <w:rPr>
          <w:rtl/>
        </w:rPr>
        <w:lastRenderedPageBreak/>
        <w:t>שהוקם זמן לא רב יחסית לפני המגפה</w:t>
      </w:r>
      <w:bookmarkStart w:id="6365" w:name="fx_ref_560"/>
      <w:bookmarkStart w:id="6366" w:name="_fnr4786"/>
      <w:r>
        <w:rPr>
          <w:rStyle w:val="a5"/>
        </w:rPr>
        <w:footnoteReference w:id="4798" w:customMarkFollows="0"/>
      </w:r>
      <w:bookmarkEnd w:id="6365"/>
      <w:bookmarkEnd w:id="6366"/>
      <w:r>
        <w:rPr>
          <w:rtl/>
        </w:rPr>
        <w:t>. שם</w:t>
      </w:r>
      <w:bookmarkStart w:id="6367" w:name="_fnr4787"/>
      <w:r>
        <w:rPr>
          <w:rStyle w:val="a5"/>
        </w:rPr>
        <w:footnoteReference w:id="4799" w:customMarkFollows="0"/>
      </w:r>
      <w:bookmarkEnd w:id="6367"/>
      <w:r>
        <w:rPr>
          <w:rtl/>
        </w:rPr>
        <w:t xml:space="preserve"> מוכח שר׳ ישראל עזב את וילנה לא יאוחר מדצמבר 1848 (אך מסתבר יותר שבנובמבר, שכן באמצע דצמבר כבר נתמנה אדם אחר לתפקיד שיועד </w:t>
      </w:r>
      <w:proofErr w:type="spellStart"/>
      <w:r>
        <w:rPr>
          <w:rtl/>
        </w:rPr>
        <w:t>לר</w:t>
      </w:r>
      <w:proofErr w:type="spellEnd"/>
      <w:r>
        <w:rPr>
          <w:rtl/>
        </w:rPr>
        <w:t xml:space="preserve">׳ ישראל), </w:t>
      </w:r>
      <w:proofErr w:type="spellStart"/>
      <w:r>
        <w:rPr>
          <w:rtl/>
        </w:rPr>
        <w:t>שלושה־עשר</w:t>
      </w:r>
      <w:proofErr w:type="spellEnd"/>
      <w:r>
        <w:rPr>
          <w:rtl/>
        </w:rPr>
        <w:t xml:space="preserve"> חודש בלבד אחרי ייסוד בית המדרש. אין זה מתקבל </w:t>
      </w:r>
      <w:r>
        <w:rPr>
          <w:rtl/>
        </w:rPr>
        <w:lastRenderedPageBreak/>
        <w:t>על הדעת שזמן קצר כל כך אחרי פתיחת בית המדרש יסור חנו בעיני הרשויות במידה מסוכנת כל כך, בשל סירובו לשמש בסגל, עד שייאלץ לברוח מן העיר.</w:t>
      </w:r>
    </w:p>
    <w:p w14:paraId="15F6DF6F" w14:textId="77777777" w:rsidR="00AB3647" w:rsidRDefault="00000000" w:rsidP="007923E9">
      <w:pPr>
        <w:spacing w:after="120" w:line="276" w:lineRule="auto"/>
        <w:ind w:firstLine="283"/>
        <w:jc w:val="both"/>
      </w:pPr>
      <w:r>
        <w:rPr>
          <w:rtl/>
        </w:rPr>
        <w:t xml:space="preserve">יתרה מזו, בית הספר נפתח בשלוש מחלקות יסוד (המתחילות </w:t>
      </w:r>
      <w:r>
        <w:rPr>
          <w:b/>
          <w:bCs/>
          <w:rtl/>
        </w:rPr>
        <w:t>בילדים בני עשר!</w:t>
      </w:r>
      <w:r>
        <w:rPr>
          <w:rtl/>
        </w:rPr>
        <w:t>), שבהן התורה שבעל פה היחידה שנלמדה הייתה משניות, ובשנתו השנייה נוספו המחלקות הרביעית והחמישית, שבהן נלמדה רק גמרא בסיסית</w:t>
      </w:r>
      <w:bookmarkStart w:id="6368" w:name="_fnr4788"/>
      <w:r>
        <w:rPr>
          <w:rStyle w:val="a5"/>
        </w:rPr>
        <w:footnoteReference w:id="4800" w:customMarkFollows="0"/>
      </w:r>
      <w:bookmarkEnd w:id="6368"/>
      <w:r>
        <w:rPr>
          <w:rtl/>
        </w:rPr>
        <w:t xml:space="preserve">. לכן הייתה </w:t>
      </w:r>
      <w:proofErr w:type="spellStart"/>
      <w:r>
        <w:rPr>
          <w:rtl/>
        </w:rPr>
        <w:t>לר</w:t>
      </w:r>
      <w:proofErr w:type="spellEnd"/>
      <w:r>
        <w:rPr>
          <w:rtl/>
        </w:rPr>
        <w:t>׳ ישראל, גאון ולא מלמד גמרא פשוט, אמתלה מצוינת שלא לקבל משרה בבית ספר שתוכנית לימודי התלמוד שלו בסיסית כל כך</w:t>
      </w:r>
      <w:bookmarkStart w:id="6369" w:name="_fnr4789"/>
      <w:bookmarkStart w:id="6370" w:name="pr_f_4670"/>
      <w:r>
        <w:rPr>
          <w:rStyle w:val="a5"/>
        </w:rPr>
        <w:footnoteReference w:id="4801" w:customMarkFollows="0"/>
      </w:r>
      <w:bookmarkEnd w:id="6369"/>
      <w:bookmarkEnd w:id="6370"/>
      <w:r>
        <w:rPr>
          <w:rtl/>
        </w:rPr>
        <w:t>. ועוד, ר׳ ישראל לא היה היחיד שהוצעה לו המשרה וסירב לה. “מקור ברוך”</w:t>
      </w:r>
      <w:bookmarkStart w:id="6371" w:name="_fnr4790"/>
      <w:r>
        <w:rPr>
          <w:rStyle w:val="a5"/>
        </w:rPr>
        <w:footnoteReference w:id="4802" w:customMarkFollows="0"/>
      </w:r>
      <w:bookmarkEnd w:id="6371"/>
      <w:r>
        <w:rPr>
          <w:rtl/>
        </w:rPr>
        <w:t xml:space="preserve"> אומר: “הגאונים ר׳ יעקב </w:t>
      </w:r>
      <w:proofErr w:type="spellStart"/>
      <w:r>
        <w:rPr>
          <w:rtl/>
        </w:rPr>
        <w:t>באריט</w:t>
      </w:r>
      <w:proofErr w:type="spellEnd"/>
      <w:r>
        <w:rPr>
          <w:rtl/>
        </w:rPr>
        <w:t xml:space="preserve">, ר׳ ישראל </w:t>
      </w:r>
      <w:proofErr w:type="spellStart"/>
      <w:r>
        <w:rPr>
          <w:rtl/>
        </w:rPr>
        <w:t>סלנטר</w:t>
      </w:r>
      <w:proofErr w:type="spellEnd"/>
      <w:r>
        <w:rPr>
          <w:rtl/>
        </w:rPr>
        <w:t xml:space="preserve">, ר׳ שמואל </w:t>
      </w:r>
      <w:proofErr w:type="spellStart"/>
      <w:r>
        <w:rPr>
          <w:rtl/>
        </w:rPr>
        <w:t>שטראשון</w:t>
      </w:r>
      <w:proofErr w:type="spellEnd"/>
      <w:r>
        <w:rPr>
          <w:rtl/>
        </w:rPr>
        <w:t xml:space="preserve"> ואחרים דחו את ההצעה, מפני שידעו אילו זרעים רוצה הממשלה לזרוע בשדה [בתי המדרש הללו], ואיזה יבול היא מתכוונת לקצור”</w:t>
      </w:r>
      <w:bookmarkStart w:id="6372" w:name="_fnr4791"/>
      <w:r>
        <w:rPr>
          <w:rStyle w:val="a5"/>
        </w:rPr>
        <w:footnoteReference w:id="4803" w:customMarkFollows="0"/>
      </w:r>
      <w:bookmarkEnd w:id="6372"/>
      <w:r>
        <w:rPr>
          <w:rtl/>
        </w:rPr>
        <w:t xml:space="preserve"> – ואילו שאר המועמדים לא ברחו</w:t>
      </w:r>
      <w:bookmarkStart w:id="6373" w:name="_fnr4792"/>
      <w:r>
        <w:rPr>
          <w:rStyle w:val="a5"/>
        </w:rPr>
        <w:footnoteReference w:id="4804" w:customMarkFollows="0"/>
      </w:r>
      <w:bookmarkEnd w:id="6373"/>
      <w:r>
        <w:rPr>
          <w:rtl/>
        </w:rPr>
        <w:t>.</w:t>
      </w:r>
    </w:p>
    <w:p w14:paraId="3AE66AEF" w14:textId="77777777" w:rsidR="00AB3647" w:rsidRDefault="00000000" w:rsidP="007923E9">
      <w:pPr>
        <w:spacing w:after="120" w:line="276" w:lineRule="auto"/>
        <w:ind w:firstLine="283"/>
        <w:jc w:val="both"/>
      </w:pPr>
      <w:r>
        <w:rPr>
          <w:rtl/>
        </w:rPr>
        <w:t xml:space="preserve">“מקור ברוך” מגלה שר׳ יעקב </w:t>
      </w:r>
      <w:proofErr w:type="spellStart"/>
      <w:r>
        <w:rPr>
          <w:rtl/>
        </w:rPr>
        <w:t>באריט</w:t>
      </w:r>
      <w:proofErr w:type="spellEnd"/>
      <w:r>
        <w:rPr>
          <w:rtl/>
        </w:rPr>
        <w:t xml:space="preserve"> הוזמן לקבל את המשרה בבית המדרש לרבנים. ר׳ יעקב היה רבם של שני האחים שכיהנו לימים ברבנות בווילנה, ר׳ בצלאל הכהן ור׳ שלמה הכהן, ורבו של </w:t>
      </w:r>
      <w:proofErr w:type="spellStart"/>
      <w:r>
        <w:rPr>
          <w:rtl/>
        </w:rPr>
        <w:t>החפץ־חיים</w:t>
      </w:r>
      <w:proofErr w:type="spellEnd"/>
      <w:r>
        <w:rPr>
          <w:rtl/>
        </w:rPr>
        <w:t xml:space="preserve"> בנעוריו</w:t>
      </w:r>
      <w:bookmarkStart w:id="6374" w:name="_fnr4793"/>
      <w:r>
        <w:rPr>
          <w:rStyle w:val="a5"/>
        </w:rPr>
        <w:footnoteReference w:id="4805" w:customMarkFollows="0"/>
      </w:r>
      <w:bookmarkEnd w:id="6374"/>
      <w:r>
        <w:rPr>
          <w:rtl/>
        </w:rPr>
        <w:t xml:space="preserve">. לפי “מקור ברוך”, דחה ר׳ יעקב את המשרה משום שחשד, כשאר החכמים המובילים שהוצעה להם, שתכליתה היסודית של הממשלה בהקמת בתי המדרש בווילנה </w:t>
      </w:r>
      <w:proofErr w:type="spellStart"/>
      <w:r>
        <w:rPr>
          <w:rtl/>
        </w:rPr>
        <w:t>ובז׳יטומיר</w:t>
      </w:r>
      <w:proofErr w:type="spellEnd"/>
      <w:r>
        <w:rPr>
          <w:rtl/>
        </w:rPr>
        <w:t xml:space="preserve"> הייתה לערער את האמונה היהודית</w:t>
      </w:r>
      <w:bookmarkStart w:id="6375" w:name="_fnr4794"/>
      <w:r>
        <w:rPr>
          <w:rStyle w:val="a5"/>
        </w:rPr>
        <w:footnoteReference w:id="4806" w:customMarkFollows="0"/>
      </w:r>
      <w:bookmarkEnd w:id="6375"/>
      <w:r>
        <w:rPr>
          <w:rtl/>
        </w:rPr>
        <w:t>.</w:t>
      </w:r>
    </w:p>
    <w:p w14:paraId="34A122D9" w14:textId="77777777" w:rsidR="00AB3647" w:rsidRDefault="00000000" w:rsidP="007923E9">
      <w:pPr>
        <w:spacing w:after="120" w:line="276" w:lineRule="auto"/>
        <w:ind w:firstLine="283"/>
        <w:jc w:val="both"/>
      </w:pPr>
      <w:r>
        <w:rPr>
          <w:rtl/>
        </w:rPr>
        <w:t xml:space="preserve">אבל פירוש זה ליחסו של הרב </w:t>
      </w:r>
      <w:proofErr w:type="spellStart"/>
      <w:r>
        <w:rPr>
          <w:rtl/>
        </w:rPr>
        <w:t>באריט</w:t>
      </w:r>
      <w:proofErr w:type="spellEnd"/>
      <w:r>
        <w:rPr>
          <w:rtl/>
        </w:rPr>
        <w:t xml:space="preserve"> למוסד סותר את עדותו של אחד מתלמידי המוסד, אחיינו של הרב </w:t>
      </w:r>
      <w:proofErr w:type="spellStart"/>
      <w:r>
        <w:rPr>
          <w:rtl/>
        </w:rPr>
        <w:t>באריט</w:t>
      </w:r>
      <w:proofErr w:type="spellEnd"/>
      <w:r>
        <w:rPr>
          <w:rtl/>
        </w:rPr>
        <w:t xml:space="preserve"> ח.ז. מרגליות, </w:t>
      </w:r>
      <w:proofErr w:type="spellStart"/>
      <w:r>
        <w:rPr>
          <w:rtl/>
        </w:rPr>
        <w:t>ש“לא</w:t>
      </w:r>
      <w:proofErr w:type="spellEnd"/>
      <w:r>
        <w:rPr>
          <w:rtl/>
        </w:rPr>
        <w:t xml:space="preserve"> זו בלבד שלא היה אויבם של בתי המדרש לרבנים, אלא אף יעץ לצעירים ששאלו לדעתו ללמוד בהם”</w:t>
      </w:r>
      <w:bookmarkStart w:id="6376" w:name="_fnr4795"/>
      <w:r>
        <w:rPr>
          <w:rStyle w:val="a5"/>
        </w:rPr>
        <w:footnoteReference w:id="4807" w:customMarkFollows="0"/>
      </w:r>
      <w:bookmarkEnd w:id="6376"/>
      <w:r>
        <w:rPr>
          <w:rtl/>
        </w:rPr>
        <w:t xml:space="preserve">. גם חוברת ביוגרפית על הרב </w:t>
      </w:r>
      <w:proofErr w:type="spellStart"/>
      <w:r>
        <w:rPr>
          <w:rtl/>
        </w:rPr>
        <w:t>באריט</w:t>
      </w:r>
      <w:proofErr w:type="spellEnd"/>
      <w:r>
        <w:rPr>
          <w:rtl/>
        </w:rPr>
        <w:t xml:space="preserve">, “לתולדות יעקב”, מאת בנו משה </w:t>
      </w:r>
      <w:proofErr w:type="spellStart"/>
      <w:r>
        <w:rPr>
          <w:rtl/>
        </w:rPr>
        <w:t>יהודא</w:t>
      </w:r>
      <w:proofErr w:type="spellEnd"/>
      <w:r>
        <w:rPr>
          <w:rtl/>
        </w:rPr>
        <w:t xml:space="preserve"> </w:t>
      </w:r>
      <w:proofErr w:type="spellStart"/>
      <w:r>
        <w:rPr>
          <w:rtl/>
        </w:rPr>
        <w:t>באריט</w:t>
      </w:r>
      <w:bookmarkStart w:id="6377" w:name="_fnr4796"/>
      <w:proofErr w:type="spellEnd"/>
      <w:r>
        <w:rPr>
          <w:rStyle w:val="a5"/>
        </w:rPr>
        <w:footnoteReference w:id="4808" w:customMarkFollows="0"/>
      </w:r>
      <w:bookmarkEnd w:id="6377"/>
      <w:r>
        <w:rPr>
          <w:rtl/>
        </w:rPr>
        <w:t>, מספרת שהרב בחן את תלמידי בית המדרש “לסמיכה כרב מטעם, וגם במקצועות אחרים בזמנים אחרים של השנה” – דבר המלמד על שיתוף פעולה הדוק עם הנהלת בית המדרש.</w:t>
      </w:r>
    </w:p>
    <w:p w14:paraId="24C2B860" w14:textId="77777777" w:rsidR="00AB3647" w:rsidRDefault="00000000" w:rsidP="007923E9">
      <w:pPr>
        <w:spacing w:after="120" w:line="276" w:lineRule="auto"/>
        <w:ind w:firstLine="283"/>
        <w:jc w:val="both"/>
      </w:pPr>
      <w:r>
        <w:rPr>
          <w:rtl/>
        </w:rPr>
        <w:lastRenderedPageBreak/>
        <w:t xml:space="preserve">ואילו האוטוביוגרפיה של </w:t>
      </w:r>
      <w:proofErr w:type="spellStart"/>
      <w:r>
        <w:rPr>
          <w:rtl/>
        </w:rPr>
        <w:t>אליקום</w:t>
      </w:r>
      <w:proofErr w:type="spellEnd"/>
      <w:r>
        <w:rPr>
          <w:rtl/>
        </w:rPr>
        <w:t xml:space="preserve"> צונזר</w:t>
      </w:r>
      <w:bookmarkStart w:id="6378" w:name="_fnr4797"/>
      <w:r>
        <w:rPr>
          <w:rStyle w:val="a5"/>
        </w:rPr>
        <w:footnoteReference w:id="4809" w:customMarkFollows="0"/>
      </w:r>
      <w:bookmarkEnd w:id="6378"/>
      <w:r>
        <w:rPr>
          <w:rtl/>
        </w:rPr>
        <w:t xml:space="preserve"> מוכיחה לכאורה </w:t>
      </w:r>
      <w:proofErr w:type="spellStart"/>
      <w:r>
        <w:rPr>
          <w:rtl/>
        </w:rPr>
        <w:t>ש“מקור</w:t>
      </w:r>
      <w:proofErr w:type="spellEnd"/>
      <w:r>
        <w:rPr>
          <w:rtl/>
        </w:rPr>
        <w:t xml:space="preserve"> ברוך” צדק. נאמר בה שתשובה שהשיב ר׳ יעקב </w:t>
      </w:r>
      <w:proofErr w:type="spellStart"/>
      <w:r>
        <w:rPr>
          <w:rtl/>
        </w:rPr>
        <w:t>באריט</w:t>
      </w:r>
      <w:proofErr w:type="spellEnd"/>
      <w:r>
        <w:rPr>
          <w:rtl/>
        </w:rPr>
        <w:t xml:space="preserve"> – או, כפי שכונה גם, ר׳ יענקל׳ה קובנר – לגנרל </w:t>
      </w:r>
      <w:proofErr w:type="spellStart"/>
      <w:r>
        <w:rPr>
          <w:rtl/>
        </w:rPr>
        <w:t xml:space="preserve">פוטאפוב</w:t>
      </w:r>
      <w:bookmarkStart w:id="6379" w:name="_fnr4798"/>
      <w:bookmarkEnd w:id="6379"/>
      <w:proofErr w:type="spellEnd"/>
      <w:r>
        <w:rPr>
          <w:rStyle w:val="a5"/>
        </w:rPr>
        <w:t/>
      </w:r>
      <w:bookmarkStart w:id="7052" w:name="_TranslatorNote_4796"/>
      <w:r>
        <w:rPr>
          <w:rStyle w:val="a5"/>
          <w:vertAlign w:val="superscript"/>
          <w:rtl/>
        </w:rPr>
        <w:footnoteReference w:id="4810" w:customMarkFollows="1"/>
        <w:t>*</w:t>
      </w:r>
      <w:bookmarkEnd w:id="7052"/>
      <w:r>
        <w:rPr>
          <w:rtl/>
        </w:rPr>
        <w:t xml:space="preserve">, מושל פלך וילנה, היא שהובילה </w:t>
      </w:r>
      <w:r>
        <w:rPr>
          <w:b/>
          <w:bCs/>
          <w:rtl/>
        </w:rPr>
        <w:t>לסגירת</w:t>
      </w:r>
      <w:r>
        <w:rPr>
          <w:rtl/>
        </w:rPr>
        <w:t xml:space="preserve"> המוסד בווילנה. </w:t>
      </w:r>
      <w:proofErr w:type="spellStart"/>
      <w:r>
        <w:rPr>
          <w:rtl/>
        </w:rPr>
        <w:t>בתרל״ב</w:t>
      </w:r>
      <w:proofErr w:type="spellEnd"/>
      <w:r>
        <w:rPr>
          <w:rtl/>
        </w:rPr>
        <w:t xml:space="preserve"> פשטה המשטרה על ארבעים צעירים יהודים ועצרה אותם כנִיהיליסטים, והגנרל זימן כמה יהודים חשובים, ובהם ר׳ יעקב, כדי לגעור בהם על שחינכו את צעיריהם </w:t>
      </w:r>
      <w:proofErr w:type="spellStart"/>
      <w:r>
        <w:rPr>
          <w:rtl/>
        </w:rPr>
        <w:t>לאי־נאמנות</w:t>
      </w:r>
      <w:proofErr w:type="spellEnd"/>
      <w:r>
        <w:rPr>
          <w:rtl/>
        </w:rPr>
        <w:t xml:space="preserve"> לצאר. הרב </w:t>
      </w:r>
      <w:proofErr w:type="spellStart"/>
      <w:r>
        <w:rPr>
          <w:rtl/>
        </w:rPr>
        <w:t>באריט</w:t>
      </w:r>
      <w:proofErr w:type="spellEnd"/>
      <w:r>
        <w:rPr>
          <w:rtl/>
        </w:rPr>
        <w:t xml:space="preserve"> השיב שדבר כזה אירע רק מחמת התערבותה של ממשלת רוסיה בחינוך היהודי. תשובה זו הועברה לפטרבורג, והביאה לסגירתם המיידית של שני בתי המדרש לרבנים ברוסיה, בווילנה </w:t>
      </w:r>
      <w:proofErr w:type="spellStart"/>
      <w:r>
        <w:rPr>
          <w:rtl/>
        </w:rPr>
        <w:t>ובז׳יטומיר</w:t>
      </w:r>
      <w:proofErr w:type="spellEnd"/>
      <w:r>
        <w:rPr>
          <w:rtl/>
        </w:rPr>
        <w:t>, באותה שנה, תרל״ב.</w:t>
      </w:r>
    </w:p>
    <w:p w14:paraId="5D27F0AC" w14:textId="77777777" w:rsidR="00AB3647" w:rsidRDefault="00000000" w:rsidP="007923E9">
      <w:pPr>
        <w:spacing w:after="120" w:line="276" w:lineRule="auto"/>
        <w:ind w:firstLine="283"/>
        <w:jc w:val="both"/>
      </w:pPr>
      <w:r>
        <w:rPr>
          <w:rtl/>
        </w:rPr>
        <w:t xml:space="preserve">אפשר כמובן שר׳ יעקב התאכזב מבית המדרש – ואולי הבין מדוע ייסדה הממשלה בתי ספר כאלה – בשלב מאוחר יותר מתקופת לימודיו של אחיינו. יתרה מזו, אולי מה שראה הרב </w:t>
      </w:r>
      <w:proofErr w:type="spellStart"/>
      <w:r>
        <w:rPr>
          <w:rtl/>
        </w:rPr>
        <w:t>באריט</w:t>
      </w:r>
      <w:proofErr w:type="spellEnd"/>
      <w:r>
        <w:rPr>
          <w:rtl/>
        </w:rPr>
        <w:t xml:space="preserve">, כיצד השפיע בית הספר לרעה על אחיינו, הוא שהביא אותו להכרה זו! אולם עדיין אין בכך כדי להסביר מדוע כתב בנו של ר׳ יעקב, </w:t>
      </w:r>
      <w:r>
        <w:rPr>
          <w:b/>
          <w:bCs/>
          <w:rtl/>
        </w:rPr>
        <w:t>אחרי פטירת אביו</w:t>
      </w:r>
      <w:r>
        <w:rPr>
          <w:rtl/>
        </w:rPr>
        <w:t xml:space="preserve">, על יחסו החיובי לבית המדרש, בלי לסייג שבשלב מאוחר יותר שינה את דעתו. גם הטעם שמייחס “מקור ברוך” לסירובו לקבל את המשרה בבית המדרש – משרה שהוצעה </w:t>
      </w:r>
      <w:r>
        <w:rPr>
          <w:b/>
          <w:bCs/>
          <w:rtl/>
        </w:rPr>
        <w:t>מיד עם ייסוד המוסד</w:t>
      </w:r>
      <w:r>
        <w:rPr>
          <w:rtl/>
        </w:rPr>
        <w:t xml:space="preserve"> – נשאר בסתירה לעדות אחיינו של הרב </w:t>
      </w:r>
      <w:proofErr w:type="spellStart"/>
      <w:r>
        <w:rPr>
          <w:rtl/>
        </w:rPr>
        <w:t>באריט</w:t>
      </w:r>
      <w:proofErr w:type="spellEnd"/>
      <w:r>
        <w:rPr>
          <w:rtl/>
        </w:rPr>
        <w:t xml:space="preserve"> על תמיכת דודו במוסד, </w:t>
      </w:r>
      <w:r>
        <w:rPr>
          <w:b/>
          <w:bCs/>
          <w:rtl/>
        </w:rPr>
        <w:t>לפחות בתחילה</w:t>
      </w:r>
      <w:r>
        <w:rPr>
          <w:rtl/>
        </w:rPr>
        <w:t>.</w:t>
      </w:r>
    </w:p>
    <w:p w14:paraId="6048E05B" w14:textId="77777777" w:rsidR="00AB3647" w:rsidRDefault="00000000" w:rsidP="007923E9">
      <w:pPr>
        <w:spacing w:after="120" w:line="276" w:lineRule="auto"/>
        <w:ind w:firstLine="283"/>
        <w:jc w:val="both"/>
      </w:pPr>
      <w:r>
        <w:rPr>
          <w:rtl/>
        </w:rPr>
        <w:t>אילו נועד מעברו של ר׳ ישראל לקובנה להימלט מידו הכבדה של השלטון, לא היה מרוויח דבר במעבר מעיר אחת לחברתה תחת אותו משטר. אבל אם, כדברי רבנו, מאורעות יום הכיפורים הם שגרמו למעברו של ר׳ ישראל, מובנים היטב הן המעבר עצמו הן מועדו – בייחוד לנוכח פרט נוסף שסיפר אבי</w:t>
      </w:r>
      <w:bookmarkStart w:id="6380" w:name="_fnr4799"/>
      <w:r>
        <w:rPr>
          <w:rStyle w:val="a5"/>
        </w:rPr>
        <w:footnoteReference w:id="4811" w:customMarkFollows="0"/>
      </w:r>
      <w:bookmarkEnd w:id="6380"/>
      <w:r>
        <w:rPr>
          <w:rtl/>
        </w:rPr>
        <w:t>.</w:t>
      </w:r>
    </w:p>
    <w:p w14:paraId="66D3F625" w14:textId="77777777" w:rsidR="00AB3647" w:rsidRDefault="00000000" w:rsidP="007923E9">
      <w:pPr>
        <w:spacing w:after="120" w:line="276" w:lineRule="auto"/>
        <w:ind w:firstLine="283"/>
        <w:jc w:val="both"/>
      </w:pPr>
      <w:r>
        <w:rPr>
          <w:rtl/>
        </w:rPr>
        <w:t>הציגו לפני אבי צאצא בדור חמישי</w:t>
      </w:r>
      <w:bookmarkStart w:id="6381" w:name="_fnr4800"/>
      <w:r>
        <w:rPr>
          <w:rStyle w:val="a5"/>
        </w:rPr>
        <w:footnoteReference w:id="4812" w:customMarkFollows="0"/>
      </w:r>
      <w:bookmarkEnd w:id="6381"/>
      <w:r>
        <w:rPr>
          <w:rtl/>
        </w:rPr>
        <w:t xml:space="preserve"> של ר׳ </w:t>
      </w:r>
      <w:proofErr w:type="spellStart"/>
      <w:r>
        <w:rPr>
          <w:rtl/>
        </w:rPr>
        <w:t>לייבל׳ה</w:t>
      </w:r>
      <w:proofErr w:type="spellEnd"/>
      <w:r>
        <w:rPr>
          <w:rtl/>
        </w:rPr>
        <w:t xml:space="preserve"> שפירא</w:t>
      </w:r>
      <w:bookmarkStart w:id="6382" w:name="_fnr4801"/>
      <w:r>
        <w:rPr>
          <w:rStyle w:val="a5"/>
        </w:rPr>
        <w:footnoteReference w:id="4813" w:customMarkFollows="0"/>
      </w:r>
      <w:bookmarkEnd w:id="6382"/>
      <w:r>
        <w:rPr>
          <w:rtl/>
        </w:rPr>
        <w:t xml:space="preserve">, והוא קרא: “הדבר מחמם את לבי! למדתי עם אביך </w:t>
      </w:r>
      <w:proofErr w:type="spellStart"/>
      <w:r>
        <w:rPr>
          <w:rtl/>
        </w:rPr>
        <w:t>בסלבודקה</w:t>
      </w:r>
      <w:proofErr w:type="spellEnd"/>
      <w:r>
        <w:rPr>
          <w:rtl/>
        </w:rPr>
        <w:t xml:space="preserve">; ואיזה עילוי היה! אבי משפחתכם ר׳ </w:t>
      </w:r>
      <w:proofErr w:type="spellStart"/>
      <w:r>
        <w:rPr>
          <w:rtl/>
        </w:rPr>
        <w:t>לייבל׳ה</w:t>
      </w:r>
      <w:proofErr w:type="spellEnd"/>
      <w:r>
        <w:rPr>
          <w:rtl/>
        </w:rPr>
        <w:t xml:space="preserve"> היה מתנגד למוסר</w:t>
      </w:r>
      <w:bookmarkStart w:id="6383" w:name="_fnr4802"/>
      <w:r>
        <w:rPr>
          <w:rStyle w:val="a5"/>
        </w:rPr>
        <w:footnoteReference w:id="4814" w:customMarkFollows="0"/>
      </w:r>
      <w:bookmarkEnd w:id="6383"/>
      <w:r>
        <w:rPr>
          <w:rtl/>
        </w:rPr>
        <w:t xml:space="preserve"> – ואספר לך כיצד נהגו מתנגדי המוסר באותם ימים. כשרצה ר׳ ישראל </w:t>
      </w:r>
      <w:proofErr w:type="spellStart"/>
      <w:r>
        <w:rPr>
          <w:rtl/>
        </w:rPr>
        <w:t>סלנטר</w:t>
      </w:r>
      <w:proofErr w:type="spellEnd"/>
      <w:r>
        <w:rPr>
          <w:rtl/>
        </w:rPr>
        <w:t xml:space="preserve"> לעבור לקובנה, ביקש רשות מר׳ </w:t>
      </w:r>
      <w:proofErr w:type="spellStart"/>
      <w:r>
        <w:rPr>
          <w:rtl/>
        </w:rPr>
        <w:t>לייבל׳ה</w:t>
      </w:r>
      <w:proofErr w:type="spellEnd"/>
      <w:r>
        <w:rPr>
          <w:rtl/>
        </w:rPr>
        <w:t>, שנתמנה זה עתה. הלה השיב שאם ר׳ ישראל מוכן לקבל עליו משרה רבנית, הוא יכול לבוא – אבל לא יוכל להישאר בקובנה בלי תפקיד</w:t>
      </w:r>
      <w:bookmarkStart w:id="6384" w:name="_fnr4803"/>
      <w:bookmarkStart w:id="6385" w:name="pr_f_4683"/>
      <w:r>
        <w:rPr>
          <w:rStyle w:val="a5"/>
        </w:rPr>
        <w:footnoteReference w:id="4815" w:customMarkFollows="0"/>
      </w:r>
      <w:bookmarkEnd w:id="6384"/>
      <w:bookmarkEnd w:id="6385"/>
      <w:r>
        <w:rPr>
          <w:rtl/>
        </w:rPr>
        <w:t xml:space="preserve">. אחר כך השיא ר׳ </w:t>
      </w:r>
      <w:proofErr w:type="spellStart"/>
      <w:r>
        <w:rPr>
          <w:rtl/>
        </w:rPr>
        <w:t>לייבל׳ה</w:t>
      </w:r>
      <w:proofErr w:type="spellEnd"/>
      <w:r>
        <w:rPr>
          <w:rtl/>
        </w:rPr>
        <w:t xml:space="preserve"> בן, ור׳ ישראל לא קיבל הזמנה. ר׳ ישראל עמד בפני דילמה: אם לא יבוא לחתונה, יבזה את הרב; ואם יבוא, הוא עלול לעשות מעשה גזל. הוא הסיק שמאחר שגם יהודים פשוטים, ובכללם עניי העיר, מקבלים מעט ממטעמי החתונה – הללו חולקו לכל אדם </w:t>
      </w:r>
      <w:r>
        <w:rPr>
          <w:rtl/>
        </w:rPr>
        <w:lastRenderedPageBreak/>
        <w:t xml:space="preserve">– יבוא ויאכל רק ממה שמיועד לציבור הרחב. בחתונה הבחין ר׳ </w:t>
      </w:r>
      <w:proofErr w:type="spellStart"/>
      <w:r>
        <w:rPr>
          <w:rtl/>
        </w:rPr>
        <w:t>לייבל׳ה</w:t>
      </w:r>
      <w:proofErr w:type="spellEnd"/>
      <w:r>
        <w:rPr>
          <w:rtl/>
        </w:rPr>
        <w:t xml:space="preserve"> שר׳ ישראל ממעט לאכול מן הסעודה. ר׳ </w:t>
      </w:r>
      <w:proofErr w:type="spellStart"/>
      <w:r>
        <w:rPr>
          <w:rtl/>
        </w:rPr>
        <w:t>לייבל׳ה</w:t>
      </w:r>
      <w:proofErr w:type="spellEnd"/>
      <w:r>
        <w:rPr>
          <w:rtl/>
        </w:rPr>
        <w:t xml:space="preserve"> שפירא חשד מיד במה שקרה, ושאל את שמשו אם הזמין את ר׳ ישראל. כשנענה בשלילה [‘למה שיהיה כאן </w:t>
      </w:r>
      <w:proofErr w:type="spellStart"/>
      <w:r>
        <w:rPr>
          <w:rtl/>
        </w:rPr>
        <w:t>המוסרניק</w:t>
      </w:r>
      <w:proofErr w:type="spellEnd"/>
      <w:r>
        <w:rPr>
          <w:rtl/>
        </w:rPr>
        <w:t>?!’], מחה הרב: ‘אבל הרי אמרתי לך להזמין אותו!’ זו”, סיים אבי, “תמונה של [רוחם העדינה של] מתנגדי המוסר בימים ההם”.</w:t>
      </w:r>
    </w:p>
    <w:p w14:paraId="6C96E9A4" w14:textId="77777777" w:rsidR="00AB3647" w:rsidRDefault="00000000" w:rsidP="007923E9">
      <w:pPr>
        <w:spacing w:after="120" w:line="276" w:lineRule="auto"/>
        <w:ind w:firstLine="283"/>
        <w:jc w:val="both"/>
      </w:pPr>
      <w:r>
        <w:rPr>
          <w:rtl/>
        </w:rPr>
        <w:t xml:space="preserve">לפי רבנו, בעקבות העימות עם בית הדין של וילנה החליט ר׳ ישראל שלא נאה לו להישאר בעיר – ואולי הביע בית הדין את מורת רוחו ממנו באיזו הזדמנות אחרי מעשה יום הכיפורים – וכתב </w:t>
      </w:r>
      <w:proofErr w:type="spellStart"/>
      <w:r>
        <w:rPr>
          <w:rtl/>
        </w:rPr>
        <w:t>לר</w:t>
      </w:r>
      <w:proofErr w:type="spellEnd"/>
      <w:r>
        <w:rPr>
          <w:rtl/>
        </w:rPr>
        <w:t xml:space="preserve">׳ </w:t>
      </w:r>
      <w:proofErr w:type="spellStart"/>
      <w:r>
        <w:rPr>
          <w:rtl/>
        </w:rPr>
        <w:t>לייבל׳ה</w:t>
      </w:r>
      <w:proofErr w:type="spellEnd"/>
      <w:r>
        <w:rPr>
          <w:rtl/>
        </w:rPr>
        <w:t xml:space="preserve"> וביקש רשות לעבור לקובנה. ההתכתבות והסידורים הטכניים ארכו כמה שבועות, והמעבר לקובנה נעשה בחשוון (נובמבר) או בכסלו (דצמבר)</w:t>
      </w:r>
      <w:bookmarkStart w:id="6386" w:name="_fnr4804"/>
      <w:r>
        <w:rPr>
          <w:rStyle w:val="a5"/>
        </w:rPr>
        <w:footnoteReference w:id="4816" w:customMarkFollows="0"/>
      </w:r>
      <w:bookmarkEnd w:id="6386"/>
      <w:r>
        <w:rPr>
          <w:rtl/>
        </w:rPr>
        <w:t>.</w:t>
      </w:r>
    </w:p>
    <w:p w14:paraId="748E309C" w14:textId="18D5165A" w:rsidR="00AB3647" w:rsidRDefault="00000000" w:rsidP="007923E9">
      <w:pPr>
        <w:spacing w:after="120" w:line="276" w:lineRule="auto"/>
        <w:ind w:firstLine="283"/>
        <w:jc w:val="both"/>
      </w:pPr>
      <w:r>
        <w:rPr>
          <w:rtl/>
        </w:rPr>
        <w:t xml:space="preserve">על היחסים בין רבה של קובנה ובין מי שבא זה עתה לעיר סיפר ר׳ ישראל </w:t>
      </w:r>
      <w:proofErr w:type="spellStart"/>
      <w:r>
        <w:rPr>
          <w:rtl/>
        </w:rPr>
        <w:t>שורין</w:t>
      </w:r>
      <w:bookmarkStart w:id="6387" w:name="_fnr4805"/>
      <w:proofErr w:type="spellEnd"/>
      <w:r>
        <w:rPr>
          <w:rStyle w:val="a5"/>
        </w:rPr>
        <w:footnoteReference w:id="4817" w:customMarkFollows="0"/>
      </w:r>
      <w:bookmarkEnd w:id="6387"/>
      <w:r>
        <w:rPr>
          <w:rtl/>
        </w:rPr>
        <w:t xml:space="preserve">, שבברית משפחתית אמר ר׳ </w:t>
      </w:r>
      <w:proofErr w:type="spellStart"/>
      <w:r>
        <w:rPr>
          <w:rtl/>
        </w:rPr>
        <w:t>לייבל׳ה</w:t>
      </w:r>
      <w:proofErr w:type="spellEnd"/>
      <w:r>
        <w:rPr>
          <w:rtl/>
        </w:rPr>
        <w:t xml:space="preserve"> לנוכחים שלא להתחיל את המעמד עד שיבוא ר׳ ישראל </w:t>
      </w:r>
      <w:proofErr w:type="spellStart"/>
      <w:r>
        <w:rPr>
          <w:rtl/>
        </w:rPr>
        <w:t>סלנטר</w:t>
      </w:r>
      <w:proofErr w:type="spellEnd"/>
      <w:r>
        <w:rPr>
          <w:rtl/>
        </w:rPr>
        <w:t xml:space="preserve">. הנוכחים סברו שר׳ ישראל לא יבוא לשמחת מתנגדו, אבל ר׳ </w:t>
      </w:r>
      <w:proofErr w:type="spellStart"/>
      <w:r>
        <w:rPr>
          <w:rtl/>
        </w:rPr>
        <w:t>לייבל׳ה</w:t>
      </w:r>
      <w:proofErr w:type="spellEnd"/>
      <w:r>
        <w:rPr>
          <w:rtl/>
        </w:rPr>
        <w:t xml:space="preserve"> צדק: ר׳ ישראל בא כעבור דקות אחדות. השווה גם פרק 1, סוף הפסקה השנייה של </w:t>
      </w:r>
      <w:r>
        <w:rPr>
          <w:rtl/>
        </w:rPr>
        <w:fldChar w:fldCharType="begin" w:dirty="true"/>
      </w:r>
      <w:r>
        <w:rPr>
          <w:rtl/>
        </w:rPr>
        <w:instrText xml:space="preserve"> REF b1_excB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xml:space="preserve">, על פעם שר׳ </w:t>
      </w:r>
      <w:proofErr w:type="spellStart"/>
      <w:r>
        <w:rPr>
          <w:rtl/>
        </w:rPr>
        <w:t>לייבל׳ה</w:t>
      </w:r>
      <w:proofErr w:type="spellEnd"/>
      <w:r>
        <w:rPr>
          <w:rtl/>
        </w:rPr>
        <w:t xml:space="preserve"> לא רצה שר׳ ישראל יבקר אצלו.</w:t>
      </w:r>
    </w:p>
    <w:p w14:paraId="0DEBD094" w14:textId="77777777" w:rsidR="00AB3647" w:rsidRDefault="00000000" w:rsidP="007923E9">
      <w:pPr>
        <w:spacing w:after="120" w:line="276" w:lineRule="auto"/>
        <w:ind w:firstLine="283"/>
        <w:jc w:val="both"/>
      </w:pPr>
      <w:r>
        <w:rPr>
          <w:rtl/>
        </w:rPr>
        <w:t xml:space="preserve">הערה מעניינת, שאולי יש לייחסה </w:t>
      </w:r>
      <w:proofErr w:type="spellStart"/>
      <w:r>
        <w:rPr>
          <w:rtl/>
        </w:rPr>
        <w:t>לר</w:t>
      </w:r>
      <w:proofErr w:type="spellEnd"/>
      <w:r>
        <w:rPr>
          <w:rtl/>
        </w:rPr>
        <w:t xml:space="preserve">׳ </w:t>
      </w:r>
      <w:proofErr w:type="spellStart"/>
      <w:r>
        <w:rPr>
          <w:rtl/>
        </w:rPr>
        <w:t>לייבל׳ה</w:t>
      </w:r>
      <w:proofErr w:type="spellEnd"/>
      <w:r>
        <w:rPr>
          <w:rtl/>
        </w:rPr>
        <w:t xml:space="preserve">, מאירה את יחסו לתנועה דתית אחרת. בכתבתו של </w:t>
      </w:r>
      <w:proofErr w:type="spellStart"/>
      <w:r>
        <w:rPr>
          <w:rtl/>
        </w:rPr>
        <w:t>חיים־צבי־הירש</w:t>
      </w:r>
      <w:proofErr w:type="spellEnd"/>
      <w:r>
        <w:rPr>
          <w:rtl/>
        </w:rPr>
        <w:t xml:space="preserve"> </w:t>
      </w:r>
      <w:proofErr w:type="spellStart"/>
      <w:r>
        <w:rPr>
          <w:rtl/>
        </w:rPr>
        <w:t>ברודא</w:t>
      </w:r>
      <w:proofErr w:type="spellEnd"/>
      <w:r>
        <w:rPr>
          <w:rtl/>
        </w:rPr>
        <w:t xml:space="preserve"> </w:t>
      </w:r>
      <w:proofErr w:type="spellStart"/>
      <w:r>
        <w:rPr>
          <w:rtl/>
        </w:rPr>
        <w:t>ב“המליץ</w:t>
      </w:r>
      <w:proofErr w:type="spellEnd"/>
      <w:r>
        <w:rPr>
          <w:rtl/>
        </w:rPr>
        <w:t>”</w:t>
      </w:r>
      <w:bookmarkStart w:id="6388" w:name="_fnr4806"/>
      <w:r>
        <w:rPr>
          <w:rStyle w:val="a5"/>
        </w:rPr>
        <w:footnoteReference w:id="4818" w:customMarkFollows="0"/>
      </w:r>
      <w:bookmarkEnd w:id="6388"/>
      <w:r>
        <w:rPr>
          <w:rtl/>
        </w:rPr>
        <w:t xml:space="preserve"> נזכר המחבר: “אני זוכר מן התקופה שבה הייתי נער וזכיתי לשמש את הגאון, צדיק ותמים ר׳ </w:t>
      </w:r>
      <w:proofErr w:type="spellStart"/>
      <w:r>
        <w:rPr>
          <w:rtl/>
        </w:rPr>
        <w:t>אברהם־שמואל</w:t>
      </w:r>
      <w:proofErr w:type="spellEnd"/>
      <w:r>
        <w:rPr>
          <w:rtl/>
        </w:rPr>
        <w:t xml:space="preserve"> </w:t>
      </w:r>
      <w:proofErr w:type="spellStart"/>
      <w:r>
        <w:rPr>
          <w:rtl/>
        </w:rPr>
        <w:t>מראסיין</w:t>
      </w:r>
      <w:proofErr w:type="spellEnd"/>
      <w:r>
        <w:rPr>
          <w:rtl/>
        </w:rPr>
        <w:t>, זי״ע</w:t>
      </w:r>
      <w:bookmarkStart w:id="6389" w:name="_fnr4807"/>
      <w:r>
        <w:rPr>
          <w:rStyle w:val="a5"/>
        </w:rPr>
        <w:footnoteReference w:id="4819" w:customMarkFollows="0"/>
      </w:r>
      <w:bookmarkEnd w:id="6389"/>
      <w:r>
        <w:rPr>
          <w:rtl/>
        </w:rPr>
        <w:t xml:space="preserve">, כשנתיים וחצי, ושמעתי לא מעט פעמים את פיו הקדוש מתאונן על תנועת המוסר, שרק התחילה בימיו. אינני זוכר היטב אם אמר זאת מדעת עצמו, או, כמדומה, בשם הגאון ר׳ </w:t>
      </w:r>
      <w:proofErr w:type="spellStart"/>
      <w:r>
        <w:rPr>
          <w:rtl/>
        </w:rPr>
        <w:t>לייבל׳ה</w:t>
      </w:r>
      <w:proofErr w:type="spellEnd"/>
      <w:r>
        <w:rPr>
          <w:rtl/>
        </w:rPr>
        <w:t xml:space="preserve"> שפירא מקובנה, </w:t>
      </w:r>
      <w:proofErr w:type="spellStart"/>
      <w:r>
        <w:rPr>
          <w:rtl/>
        </w:rPr>
        <w:t>זצללה״ה</w:t>
      </w:r>
      <w:proofErr w:type="spellEnd"/>
      <w:r>
        <w:rPr>
          <w:rtl/>
        </w:rPr>
        <w:t xml:space="preserve">, זי״ע, בלשון זו: חסידי </w:t>
      </w:r>
      <w:proofErr w:type="spellStart"/>
      <w:r>
        <w:rPr>
          <w:rtl/>
        </w:rPr>
        <w:t>זאמוט</w:t>
      </w:r>
      <w:proofErr w:type="spellEnd"/>
      <w:r>
        <w:rPr>
          <w:rtl/>
        </w:rPr>
        <w:t xml:space="preserve"> [בעלי המוסר] יזיקו לנו ויחריבו יותר בימים הבאים מחסידי גליציה [תנועת החסידות], ונצטרך לסבול ולהתענות מהם”.</w:t>
      </w:r>
    </w:p>
    <w:p w14:paraId="2AAD73A4" w14:textId="77777777" w:rsidR="00AB3647" w:rsidRDefault="00000000" w:rsidP="007923E9">
      <w:pPr>
        <w:spacing w:after="120" w:line="276" w:lineRule="auto"/>
        <w:ind w:firstLine="283"/>
        <w:jc w:val="both"/>
      </w:pPr>
      <w:r>
        <w:rPr>
          <w:rtl/>
        </w:rPr>
        <w:t xml:space="preserve">השווה גם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390" w:name="_fnr4808"/>
      <w:r>
        <w:rPr>
          <w:rStyle w:val="a5"/>
        </w:rPr>
        <w:footnoteReference w:id="4820" w:customMarkFollows="0"/>
      </w:r>
      <w:bookmarkEnd w:id="6390"/>
      <w:r>
        <w:rPr>
          <w:rtl/>
        </w:rPr>
        <w:t>, על טיב משרתו הראשונה של ר׳ ישראל בקובנה ועל הסיבה שעזב אותה אחרי זמן קצר. בתחילה הופקד “על עניינים הנוגעים ליראת שמים”</w:t>
      </w:r>
      <w:bookmarkStart w:id="6391" w:name="_fnr4809"/>
      <w:r>
        <w:rPr>
          <w:rStyle w:val="a5"/>
        </w:rPr>
        <w:footnoteReference w:id="4821" w:customMarkFollows="0"/>
      </w:r>
      <w:bookmarkEnd w:id="6391"/>
      <w:r>
        <w:rPr>
          <w:rtl/>
        </w:rPr>
        <w:t xml:space="preserve">, ודרש מדי שבוע בכל העיר דרשות למדניות ומעוררות. אבל בתחילת העשור הבא, כשהבין ר׳ </w:t>
      </w:r>
      <w:proofErr w:type="spellStart"/>
      <w:r>
        <w:rPr>
          <w:rtl/>
        </w:rPr>
        <w:t>לייבל׳ה</w:t>
      </w:r>
      <w:proofErr w:type="spellEnd"/>
      <w:r>
        <w:rPr>
          <w:rtl/>
        </w:rPr>
        <w:t xml:space="preserve"> שגישה זו ליראת שמים – כלומר, דרך המוסר – אינה שגרתית, הכריח את ר׳ ישראל להתפטר. אז נודעה התנגדותו של ר׳ </w:t>
      </w:r>
      <w:proofErr w:type="spellStart"/>
      <w:r>
        <w:rPr>
          <w:rtl/>
        </w:rPr>
        <w:t>לייבל׳ה</w:t>
      </w:r>
      <w:proofErr w:type="spellEnd"/>
      <w:r>
        <w:rPr>
          <w:rtl/>
        </w:rPr>
        <w:t xml:space="preserve"> למוסר ברבים, והגיעה לעוצמה כזו שהביאה את שמשו לנהוג ביד רמה ולא להזמין את “</w:t>
      </w:r>
      <w:proofErr w:type="spellStart"/>
      <w:r>
        <w:rPr>
          <w:rtl/>
        </w:rPr>
        <w:t>המוסרניק</w:t>
      </w:r>
      <w:proofErr w:type="spellEnd"/>
      <w:r>
        <w:rPr>
          <w:rtl/>
        </w:rPr>
        <w:t xml:space="preserve">” לחתונת בנו של ר׳ </w:t>
      </w:r>
      <w:proofErr w:type="spellStart"/>
      <w:r>
        <w:rPr>
          <w:rtl/>
        </w:rPr>
        <w:t>לייבל׳ה</w:t>
      </w:r>
      <w:proofErr w:type="spellEnd"/>
      <w:r>
        <w:rPr>
          <w:rtl/>
        </w:rPr>
        <w:t xml:space="preserve">, בניגוד להוראותיו המפורשות של הרב. לפי זה, מעשה ההזמנה </w:t>
      </w:r>
      <w:r>
        <w:rPr>
          <w:rtl/>
        </w:rPr>
        <w:lastRenderedPageBreak/>
        <w:t xml:space="preserve">שלא נמסרה מוכרח היה להתרחש </w:t>
      </w:r>
      <w:proofErr w:type="spellStart"/>
      <w:r>
        <w:rPr>
          <w:rtl/>
        </w:rPr>
        <w:t>בתרי״ב</w:t>
      </w:r>
      <w:proofErr w:type="spellEnd"/>
      <w:r>
        <w:rPr>
          <w:rtl/>
        </w:rPr>
        <w:t xml:space="preserve">, השנה האחרונה לחייו של ר׳ </w:t>
      </w:r>
      <w:proofErr w:type="spellStart"/>
      <w:r>
        <w:rPr>
          <w:rtl/>
        </w:rPr>
        <w:t>לייבל׳ה</w:t>
      </w:r>
      <w:proofErr w:type="spellEnd"/>
      <w:r>
        <w:rPr>
          <w:rtl/>
        </w:rPr>
        <w:t xml:space="preserve"> ולכהונתו בקובנה, שנמשכה חמש שנים</w:t>
      </w:r>
      <w:bookmarkStart w:id="6392" w:name="_fnr4810"/>
      <w:r>
        <w:rPr>
          <w:rStyle w:val="a5"/>
        </w:rPr>
        <w:footnoteReference w:id="4822" w:customMarkFollows="0"/>
      </w:r>
      <w:bookmarkEnd w:id="6392"/>
      <w:r>
        <w:rPr>
          <w:rtl/>
        </w:rPr>
        <w:t>.</w:t>
      </w:r>
    </w:p>
    <w:p w14:paraId="5B3A250E" w14:textId="77777777" w:rsidR="00AB3647" w:rsidRDefault="00000000" w:rsidP="007923E9">
      <w:pPr>
        <w:spacing w:after="120" w:line="276" w:lineRule="auto"/>
        <w:ind w:firstLine="283"/>
        <w:jc w:val="both"/>
      </w:pPr>
      <w:r>
        <w:rPr>
          <w:rtl/>
        </w:rPr>
        <w:t xml:space="preserve">אפשר לשער שנטייתם של פשוטי העם – כמו זו של יעקב מארק, כאמור לעיל – לשנות את הסיפור המזעזע על אכילת ר׳ ישראל ביום הכיפורים, חייבה בחוגים </w:t>
      </w:r>
      <w:r>
        <w:rPr>
          <w:b/>
          <w:bCs/>
          <w:rtl/>
        </w:rPr>
        <w:t>שלא היו רבניים</w:t>
      </w:r>
      <w:r>
        <w:rPr>
          <w:rtl/>
        </w:rPr>
        <w:t xml:space="preserve"> להמציא סיבה אחרת למעבר ר׳ ישראל לקובנה. התנגדותו הנמרצת של ר׳ ישראל לרעיון בתי המדרש לרבנים סיפקה את האמתלה המתקבלת על הדעת. התנגדות זו הופגנה באופן </w:t>
      </w:r>
      <w:proofErr w:type="spellStart"/>
      <w:r>
        <w:rPr>
          <w:rtl/>
        </w:rPr>
        <w:t>חד־משמעי</w:t>
      </w:r>
      <w:proofErr w:type="spellEnd"/>
      <w:r>
        <w:rPr>
          <w:rtl/>
        </w:rPr>
        <w:t xml:space="preserve"> בחצי השנה האחרונה לחייו, כאשר נשקלה הקמת בית מדרש חדש כזה</w:t>
      </w:r>
      <w:bookmarkStart w:id="6393" w:name="_fnr4811"/>
      <w:r>
        <w:rPr>
          <w:rStyle w:val="a5"/>
        </w:rPr>
        <w:footnoteReference w:id="4823" w:customMarkFollows="0"/>
      </w:r>
      <w:bookmarkEnd w:id="6393"/>
      <w:r>
        <w:rPr>
          <w:rtl/>
        </w:rPr>
        <w:t xml:space="preserve">. אפשר לשער גם שאם על יחסו של ר׳ יעקב </w:t>
      </w:r>
      <w:proofErr w:type="spellStart"/>
      <w:r>
        <w:rPr>
          <w:rtl/>
        </w:rPr>
        <w:t>באריט</w:t>
      </w:r>
      <w:proofErr w:type="spellEnd"/>
      <w:r>
        <w:rPr>
          <w:rtl/>
        </w:rPr>
        <w:t>, חכם וילנאי מיושב בדעתו, לבית המדרש לרבנים יש עדויות סותרות, כאמור לעיל, בוודאי אפשר שהיו דעות חלוקות על יחסו של ר׳ ישראל למוסד – אדם בעל רעיונות בלתי רגילים כל כך, כמו שליחת תלמידים לאוניברסיטאות</w:t>
      </w:r>
      <w:bookmarkStart w:id="6394" w:name="_fnr4812"/>
      <w:r>
        <w:rPr>
          <w:rStyle w:val="a5"/>
        </w:rPr>
        <w:footnoteReference w:id="4824" w:customMarkFollows="0"/>
      </w:r>
      <w:bookmarkEnd w:id="6394"/>
      <w:r>
        <w:rPr>
          <w:rtl/>
        </w:rPr>
        <w:t>.</w:t>
      </w:r>
    </w:p>
    <w:p w14:paraId="60AC790E" w14:textId="77777777" w:rsidR="00AB3647" w:rsidRDefault="00000000" w:rsidP="007923E9">
      <w:pPr>
        <w:spacing w:after="120" w:line="276" w:lineRule="auto"/>
        <w:ind w:firstLine="283"/>
        <w:jc w:val="both"/>
      </w:pPr>
      <w:r>
        <w:rPr>
          <w:rtl/>
        </w:rPr>
        <w:t xml:space="preserve">כדי להבהיר בלי ספק שר׳ ישראל מתנגד לבית המדרש לרבנים, היה צורך להפיץ בחוגים </w:t>
      </w:r>
      <w:r>
        <w:rPr>
          <w:b/>
          <w:bCs/>
          <w:rtl/>
        </w:rPr>
        <w:t>הרבניים</w:t>
      </w:r>
      <w:r>
        <w:rPr>
          <w:rtl/>
        </w:rPr>
        <w:t xml:space="preserve"> שהרחיק לכת כדי להימנע מכל זיהוי עמו. כך חברו החוגים הרבניים </w:t>
      </w:r>
      <w:proofErr w:type="spellStart"/>
      <w:r>
        <w:rPr>
          <w:rtl/>
        </w:rPr>
        <w:t>והלא־רבניים</w:t>
      </w:r>
      <w:proofErr w:type="spellEnd"/>
      <w:r>
        <w:rPr>
          <w:rtl/>
        </w:rPr>
        <w:t xml:space="preserve"> להפצת הסיבה הכוזבת </w:t>
      </w:r>
      <w:proofErr w:type="spellStart"/>
      <w:r>
        <w:rPr>
          <w:rtl/>
        </w:rPr>
        <w:t>ל“בריחתו</w:t>
      </w:r>
      <w:proofErr w:type="spellEnd"/>
      <w:r>
        <w:rPr>
          <w:rtl/>
        </w:rPr>
        <w:t xml:space="preserve">” של ר׳ ישראל לקובנה. סיבה זו, על אף חולשותיה ההגיוניות, אולי כבר הועלתה בידי חסידיו של ר׳ ישראל בשעת מעברו לקובנה. לו עצמו לא היה עניין להכחיש את הסיבה הבדויה, מפני שהבלטת הסיבה האמיתית – כלומר, מחלוקתו עם הממסד הרבני בווילנה – הייתה עלולה רק לעורר חשד כלפיו במקום מגוריו החדש, שבו היה עליו לקבל משרה ציבורית כלשהי, כפי שהתנה ר׳ </w:t>
      </w:r>
      <w:proofErr w:type="spellStart"/>
      <w:r>
        <w:rPr>
          <w:rtl/>
        </w:rPr>
        <w:t>לייבל׳ה</w:t>
      </w:r>
      <w:proofErr w:type="spellEnd"/>
      <w:r>
        <w:rPr>
          <w:rtl/>
        </w:rPr>
        <w:t xml:space="preserve"> ברשות שנתן לו להתגורר בעיר.</w:t>
      </w:r>
    </w:p>
    <w:p w14:paraId="53ACE84C" w14:textId="77777777" w:rsidR="00AB3647" w:rsidRDefault="00000000" w:rsidP="007923E9">
      <w:pPr>
        <w:spacing w:after="120" w:line="276" w:lineRule="auto"/>
        <w:ind w:firstLine="283"/>
        <w:jc w:val="both"/>
      </w:pPr>
      <w:r>
        <w:rPr>
          <w:rtl/>
        </w:rPr>
        <w:t xml:space="preserve">בכך מוסבר מדוע גם ר׳ יהונתן </w:t>
      </w:r>
      <w:proofErr w:type="spellStart"/>
      <w:r>
        <w:rPr>
          <w:rtl/>
        </w:rPr>
        <w:t>אליאשברג</w:t>
      </w:r>
      <w:proofErr w:type="spellEnd"/>
      <w:r>
        <w:rPr>
          <w:rtl/>
        </w:rPr>
        <w:t xml:space="preserve"> טעה כשכתב</w:t>
      </w:r>
      <w:bookmarkStart w:id="6395" w:name="_fnr4813"/>
      <w:r>
        <w:rPr>
          <w:rStyle w:val="a5"/>
        </w:rPr>
        <w:footnoteReference w:id="4825" w:customMarkFollows="0"/>
      </w:r>
      <w:bookmarkEnd w:id="6395"/>
      <w:r>
        <w:rPr>
          <w:rtl/>
        </w:rPr>
        <w:t xml:space="preserve"> – כארבעים שנה אחר כך</w:t>
      </w:r>
      <w:bookmarkStart w:id="6396" w:name="_fnr4814"/>
      <w:r>
        <w:rPr>
          <w:rStyle w:val="a5"/>
        </w:rPr>
        <w:footnoteReference w:id="4826" w:customMarkFollows="0"/>
      </w:r>
      <w:bookmarkEnd w:id="6396"/>
      <w:r>
        <w:rPr>
          <w:rtl/>
        </w:rPr>
        <w:t xml:space="preserve"> – שר׳ ישראל </w:t>
      </w:r>
      <w:r>
        <w:rPr>
          <w:b/>
          <w:bCs/>
          <w:rtl/>
        </w:rPr>
        <w:t>אמר</w:t>
      </w:r>
      <w:r>
        <w:rPr>
          <w:rtl/>
        </w:rPr>
        <w:t xml:space="preserve"> לאביו, כשהסדירו את המעבר לקובנה, שבית המדרש לרבנים הוא הסיבה. ההסבר המוצע הוא שהרב </w:t>
      </w:r>
      <w:proofErr w:type="spellStart"/>
      <w:r>
        <w:rPr>
          <w:rtl/>
        </w:rPr>
        <w:t>אליאשברג</w:t>
      </w:r>
      <w:proofErr w:type="spellEnd"/>
      <w:r>
        <w:rPr>
          <w:rtl/>
        </w:rPr>
        <w:t xml:space="preserve">, בנו של האיש שהיה אחראי להסדרת משכורתו של ר׳ ישראל בקובנה, ייפה בתום לב את השיחה בין השניים. בשיחה זו, אם אכן הוזכר בה בית המדרש, </w:t>
      </w:r>
      <w:r>
        <w:rPr>
          <w:b/>
          <w:bCs/>
          <w:rtl/>
        </w:rPr>
        <w:t>לא אמר</w:t>
      </w:r>
      <w:r>
        <w:rPr>
          <w:rtl/>
        </w:rPr>
        <w:t xml:space="preserve"> ר׳ ישראל שעזב את וילנה בגללו, אלא לא תיקן את הנחתו (המוטעית) של המנהיג </w:t>
      </w:r>
      <w:proofErr w:type="spellStart"/>
      <w:r>
        <w:rPr>
          <w:rtl/>
        </w:rPr>
        <w:t>הקובנאי</w:t>
      </w:r>
      <w:proofErr w:type="spellEnd"/>
      <w:r>
        <w:rPr>
          <w:rtl/>
        </w:rPr>
        <w:t>.</w:t>
      </w:r>
    </w:p>
    <w:p w14:paraId="2B58A020" w14:textId="77777777" w:rsidR="00AB3647" w:rsidRDefault="00000000" w:rsidP="007923E9">
      <w:pPr>
        <w:spacing w:after="120" w:line="276" w:lineRule="auto"/>
        <w:ind w:firstLine="283"/>
        <w:jc w:val="both"/>
      </w:pPr>
      <w:r>
        <w:rPr>
          <w:rtl/>
        </w:rPr>
        <w:t xml:space="preserve">ראיה נוספת, אם כי חלשה, לכך שההצעה מבית המדרש לא הייתה סיבת עזיבתו את וילנה, אפשר לראות בכך שר׳ ישראל הסתיר את סיבת עזיבתו. הדבר עולה </w:t>
      </w:r>
      <w:proofErr w:type="spellStart"/>
      <w:r>
        <w:rPr>
          <w:rtl/>
        </w:rPr>
        <w:t>מ“זכרון</w:t>
      </w:r>
      <w:proofErr w:type="spellEnd"/>
      <w:r>
        <w:rPr>
          <w:rtl/>
        </w:rPr>
        <w:t xml:space="preserve"> יעקב”</w:t>
      </w:r>
      <w:bookmarkStart w:id="6397" w:name="_fnr4815"/>
      <w:r>
        <w:rPr>
          <w:rStyle w:val="a5"/>
        </w:rPr>
        <w:footnoteReference w:id="4827" w:customMarkFollows="0"/>
      </w:r>
      <w:bookmarkEnd w:id="6397"/>
      <w:r>
        <w:rPr>
          <w:rtl/>
        </w:rPr>
        <w:t xml:space="preserve">, שבו </w:t>
      </w:r>
      <w:r>
        <w:rPr>
          <w:rtl/>
        </w:rPr>
        <w:lastRenderedPageBreak/>
        <w:t>מספר המחבר: “באחת משיחותיי עם ר׳ ישראל</w:t>
      </w:r>
      <w:bookmarkStart w:id="6398" w:name="_fnr4816"/>
      <w:r>
        <w:rPr>
          <w:rStyle w:val="a5"/>
        </w:rPr>
        <w:footnoteReference w:id="4828" w:customMarkFollows="0"/>
      </w:r>
      <w:bookmarkEnd w:id="6398"/>
      <w:r>
        <w:rPr>
          <w:rtl/>
        </w:rPr>
        <w:t xml:space="preserve">, שאלתיו... אם יש לו עוד טעמים ונימוקים נסתרים יותר, שבגללם לא רצה לקבל משרה זו – מלבד הטעם היסודי שמוסד זה נוסד רק על כוח המנהל </w:t>
      </w:r>
      <w:proofErr w:type="spellStart"/>
      <w:r>
        <w:rPr>
          <w:rtl/>
        </w:rPr>
        <w:t>הלא־יהודי</w:t>
      </w:r>
      <w:proofErr w:type="spellEnd"/>
      <w:r>
        <w:rPr>
          <w:rtl/>
        </w:rPr>
        <w:t xml:space="preserve">. הוא השיב </w:t>
      </w:r>
      <w:r>
        <w:rPr>
          <w:b/>
          <w:bCs/>
          <w:rtl/>
        </w:rPr>
        <w:t>בארשת רצינית</w:t>
      </w:r>
      <w:r>
        <w:rPr>
          <w:rtl/>
        </w:rPr>
        <w:t xml:space="preserve"> (ההדגשה שלי): ‘אילו היה כדאי לחרדים לקבל בתים אלו תחת השגחתם והנהגתם, היה ר׳ דוד</w:t>
      </w:r>
      <w:bookmarkStart w:id="6399" w:name="_fnr4817"/>
      <w:r>
        <w:rPr>
          <w:rStyle w:val="a5"/>
        </w:rPr>
        <w:footnoteReference w:id="4829" w:customMarkFollows="0"/>
      </w:r>
      <w:bookmarkEnd w:id="6399"/>
      <w:r>
        <w:rPr>
          <w:rtl/>
        </w:rPr>
        <w:t xml:space="preserve"> </w:t>
      </w:r>
      <w:proofErr w:type="spellStart"/>
      <w:r>
        <w:rPr>
          <w:rtl/>
        </w:rPr>
        <w:t>מביחוב</w:t>
      </w:r>
      <w:proofErr w:type="spellEnd"/>
      <w:r>
        <w:rPr>
          <w:rtl/>
        </w:rPr>
        <w:t xml:space="preserve"> ראוי ומסוגל לכך יותר ממני’. ראיתי שרצונו הקדוש שלא לדבר עוד על כך, וחדלתי”.</w:t>
      </w:r>
    </w:p>
    <w:p w14:paraId="0203B06A" w14:textId="77777777" w:rsidR="00AB3647" w:rsidRDefault="00000000" w:rsidP="007923E9">
      <w:pPr>
        <w:spacing w:after="120" w:line="276" w:lineRule="auto"/>
        <w:ind w:firstLine="283"/>
        <w:jc w:val="both"/>
      </w:pPr>
      <w:r>
        <w:rPr>
          <w:rtl/>
        </w:rPr>
        <w:t xml:space="preserve">יש משמעות לכך שר׳ ישראל לא השיב שדחה את המשרה מפני שהיה אדם ראוי ממנו לקבלה. הוא רק הביע את דעתו על התאמתו למשרה במצב היפותטי, שבו הציבור החרדי היה מנהל את בית המדרש. נראה שבמילים שהודגשו מבקש ר׳ יעקב הלוי ליפשיץ להבליט שאף שתשובת ר׳ ישראל הייתה היפותטית – ר׳ יעקב הלוי ליפשיץ הבין שר׳ ישראל אינו משיב על שאלתו אלא רק מעלה אפשרות – נשאר ר׳ ישראל בעל “ארשת רצינית”. ר׳ ישראל השיב בהתחמקות להנחה (הכוזבת) שעזיבתו את וילנה הייתה קשורה להצעה מבית המדרש, בדומה לתגובתו כאשר טעה אביו של הרב </w:t>
      </w:r>
      <w:proofErr w:type="spellStart"/>
      <w:r>
        <w:rPr>
          <w:rtl/>
        </w:rPr>
        <w:t>אליאשברג</w:t>
      </w:r>
      <w:proofErr w:type="spellEnd"/>
      <w:r>
        <w:rPr>
          <w:rtl/>
        </w:rPr>
        <w:t xml:space="preserve"> באותה טעות</w:t>
      </w:r>
      <w:bookmarkStart w:id="6400" w:name="_fnr4818"/>
      <w:r>
        <w:rPr>
          <w:rStyle w:val="a5"/>
        </w:rPr>
        <w:footnoteReference w:id="4830" w:customMarkFollows="0"/>
      </w:r>
      <w:bookmarkEnd w:id="6400"/>
      <w:r>
        <w:rPr>
          <w:rtl/>
        </w:rPr>
        <w:t>.</w:t>
      </w:r>
    </w:p>
    <w:p w14:paraId="62937C3E" w14:textId="77777777" w:rsidR="00AB3647" w:rsidRDefault="00000000" w:rsidP="007923E9">
      <w:pPr>
        <w:spacing w:after="120" w:line="276" w:lineRule="auto"/>
        <w:ind w:firstLine="283"/>
        <w:jc w:val="both"/>
      </w:pPr>
      <w:r>
        <w:rPr>
          <w:rtl/>
        </w:rPr>
        <w:t>ההשערה שר׳ ישראל עזב את וילנה בגלל ההצעה מבית המדרש השתרשה היטב כאשר המשכילים, שחיפשו שעיר לעזאזל להטיל עליו את אשמת כישלונו של בית המדרש לרבנים הראשון, טענו שאילו קיבל את המשרה היה המוסד מצליח. השווה “הכרמל”, תרמ״ח</w:t>
      </w:r>
      <w:bookmarkStart w:id="6401" w:name="_fnr4819"/>
      <w:r>
        <w:rPr>
          <w:rStyle w:val="a5"/>
        </w:rPr>
        <w:footnoteReference w:id="4831" w:customMarkFollows="0"/>
      </w:r>
      <w:bookmarkEnd w:id="6401"/>
      <w:r>
        <w:rPr>
          <w:rtl/>
        </w:rPr>
        <w:t xml:space="preserve">: את הטענה הזאת מעלה שם כותב שלמד שנה </w:t>
      </w:r>
      <w:proofErr w:type="spellStart"/>
      <w:r>
        <w:rPr>
          <w:rtl/>
        </w:rPr>
        <w:t>בוולוז׳ין</w:t>
      </w:r>
      <w:proofErr w:type="spellEnd"/>
      <w:r>
        <w:rPr>
          <w:rtl/>
        </w:rPr>
        <w:t xml:space="preserve"> ובדרך כלל היה יחסו לישיבה אוהד – </w:t>
      </w:r>
      <w:proofErr w:type="spellStart"/>
      <w:r>
        <w:rPr>
          <w:rtl/>
        </w:rPr>
        <w:t>יב״ם</w:t>
      </w:r>
      <w:proofErr w:type="spellEnd"/>
      <w:r>
        <w:rPr>
          <w:rtl/>
        </w:rPr>
        <w:t xml:space="preserve">, שם העט של מיכה יוסף </w:t>
      </w:r>
      <w:proofErr w:type="spellStart"/>
      <w:r>
        <w:rPr>
          <w:rtl/>
        </w:rPr>
        <w:t>ברדיצבסקי</w:t>
      </w:r>
      <w:proofErr w:type="spellEnd"/>
      <w:r>
        <w:rPr>
          <w:rtl/>
        </w:rPr>
        <w:t xml:space="preserve"> – בתשובה לטענת </w:t>
      </w:r>
      <w:proofErr w:type="spellStart"/>
      <w:r>
        <w:rPr>
          <w:rtl/>
        </w:rPr>
        <w:t>הנצי״ב</w:t>
      </w:r>
      <w:proofErr w:type="spellEnd"/>
      <w:r>
        <w:rPr>
          <w:rtl/>
        </w:rPr>
        <w:t xml:space="preserve"> שכישלונם של בתי המדרש לרבנים הוא טענה נגד הכנסת לימודי חול לישיבה. השווה גם “השחר”</w:t>
      </w:r>
      <w:bookmarkStart w:id="6402" w:name="_fnr4820"/>
      <w:r>
        <w:rPr>
          <w:rStyle w:val="a5"/>
        </w:rPr>
        <w:footnoteReference w:id="4832" w:customMarkFollows="0"/>
      </w:r>
      <w:bookmarkEnd w:id="6402"/>
      <w:r>
        <w:rPr>
          <w:rtl/>
        </w:rPr>
        <w:t>, שבו נאמר</w:t>
      </w:r>
      <w:bookmarkStart w:id="6403" w:name="_fnr4821"/>
      <w:r>
        <w:rPr>
          <w:rStyle w:val="a5"/>
        </w:rPr>
        <w:footnoteReference w:id="4833" w:customMarkFollows="0"/>
      </w:r>
      <w:bookmarkEnd w:id="6403"/>
      <w:r>
        <w:rPr>
          <w:rtl/>
        </w:rPr>
        <w:t xml:space="preserve"> במאמר מאת ישראל </w:t>
      </w:r>
      <w:proofErr w:type="spellStart"/>
      <w:r>
        <w:rPr>
          <w:rtl/>
        </w:rPr>
        <w:t>בערנשטיין</w:t>
      </w:r>
      <w:proofErr w:type="spellEnd"/>
      <w:r>
        <w:rPr>
          <w:rtl/>
        </w:rPr>
        <w:t xml:space="preserve"> בשם “למהר גאולה”: “חכמי הדור [המשכילים] ראו ב[דחיית המשרה] עוון פלילי מצד ר׳ ישראל”.</w:t>
      </w:r>
    </w:p>
    <w:p w14:paraId="4F123708" w14:textId="77777777" w:rsidR="00AB3647" w:rsidRDefault="00000000" w:rsidP="007923E9">
      <w:pPr>
        <w:spacing w:after="120" w:line="276" w:lineRule="auto"/>
        <w:ind w:firstLine="283"/>
        <w:jc w:val="both"/>
      </w:pPr>
      <w:r>
        <w:rPr>
          <w:rtl/>
        </w:rPr>
        <w:t xml:space="preserve">המשכילים התעלמו, כנוח להם, ממטרתה של ממשלת רוסיה בייסוד בתי המדרש לרבנים, כפי שנוסחה בתזכירו של שר ההשכלה </w:t>
      </w:r>
      <w:proofErr w:type="spellStart"/>
      <w:r>
        <w:rPr>
          <w:rtl/>
        </w:rPr>
        <w:t>אוברוב</w:t>
      </w:r>
      <w:bookmarkStart w:id="6404" w:name="_fnr4822"/>
      <w:proofErr w:type="spellEnd"/>
      <w:r>
        <w:rPr>
          <w:rStyle w:val="a5"/>
        </w:rPr>
        <w:t/>
      </w:r>
      <w:bookmarkStart w:id="7053" w:name="_TranslatorNote_4820"/>
      <w:r>
        <w:rPr>
          <w:rStyle w:val="a5"/>
          <w:vertAlign w:val="superscript"/>
          <w:rtl/>
        </w:rPr>
        <w:footnoteReference w:id="4834" w:customMarkFollows="1"/>
        <w:t>*</w:t>
      </w:r>
      <w:bookmarkEnd w:id="7053"/>
      <w:bookmarkEnd w:id="6404"/>
      <w:r>
        <w:rPr>
          <w:rtl/>
        </w:rPr>
        <w:t xml:space="preserve"> לצאר ניקולאי הראשון. התזכיר נתפרסם</w:t>
      </w:r>
      <w:bookmarkStart w:id="6405" w:name="_fnr4823"/>
      <w:r>
        <w:rPr>
          <w:rStyle w:val="a5"/>
        </w:rPr>
        <w:footnoteReference w:id="4835" w:customMarkFollows="0"/>
      </w:r>
      <w:bookmarkEnd w:id="6405"/>
      <w:r>
        <w:rPr>
          <w:rtl/>
        </w:rPr>
        <w:t xml:space="preserve"> </w:t>
      </w:r>
      <w:proofErr w:type="spellStart"/>
      <w:r>
        <w:rPr>
          <w:rtl/>
        </w:rPr>
        <w:t>בתרכ״ו</w:t>
      </w:r>
      <w:proofErr w:type="spellEnd"/>
      <w:r>
        <w:rPr>
          <w:rtl/>
        </w:rPr>
        <w:t xml:space="preserve">, </w:t>
      </w:r>
      <w:proofErr w:type="spellStart"/>
      <w:r>
        <w:rPr>
          <w:b/>
          <w:bCs/>
          <w:rtl/>
        </w:rPr>
        <w:t>ארבע־עשרה</w:t>
      </w:r>
      <w:proofErr w:type="spellEnd"/>
      <w:r>
        <w:rPr>
          <w:b/>
          <w:bCs/>
          <w:rtl/>
        </w:rPr>
        <w:t xml:space="preserve"> שנה לפני פרסום מאמרו של </w:t>
      </w:r>
      <w:proofErr w:type="spellStart"/>
      <w:r>
        <w:rPr>
          <w:b/>
          <w:bCs/>
          <w:rtl/>
        </w:rPr>
        <w:t>בערנשטיין</w:t>
      </w:r>
      <w:proofErr w:type="spellEnd"/>
      <w:r>
        <w:rPr>
          <w:rtl/>
        </w:rPr>
        <w:t>, ונאמר בו: “באמצעות הרבנים שיסיימו את בתי המדרש לרבנים ימאסו היהודים בתלמוד, שהוא המכשול העומד בדרך התנצרותם”</w:t>
      </w:r>
      <w:bookmarkStart w:id="6406" w:name="_fnr4824"/>
      <w:r>
        <w:rPr>
          <w:rStyle w:val="a5"/>
        </w:rPr>
        <w:footnoteReference w:id="4836" w:customMarkFollows="0"/>
      </w:r>
      <w:bookmarkEnd w:id="6406"/>
      <w:r>
        <w:rPr>
          <w:rtl/>
        </w:rPr>
        <w:t xml:space="preserve">. כעסם של המשכילים על ר׳ ישראל היה גדול מכעסם על האחרים שדחו את המשרה – “ר׳ יעקב </w:t>
      </w:r>
      <w:proofErr w:type="spellStart"/>
      <w:r>
        <w:rPr>
          <w:rtl/>
        </w:rPr>
        <w:t>באריט</w:t>
      </w:r>
      <w:proofErr w:type="spellEnd"/>
      <w:r>
        <w:rPr>
          <w:rtl/>
        </w:rPr>
        <w:t xml:space="preserve">... ר׳ שמואל </w:t>
      </w:r>
      <w:proofErr w:type="spellStart"/>
      <w:r>
        <w:rPr>
          <w:rtl/>
        </w:rPr>
        <w:t>שטראשון</w:t>
      </w:r>
      <w:proofErr w:type="spellEnd"/>
      <w:r>
        <w:rPr>
          <w:rtl/>
        </w:rPr>
        <w:t xml:space="preserve"> ואחרים”, כפי שצוטט </w:t>
      </w:r>
      <w:proofErr w:type="spellStart"/>
      <w:r>
        <w:rPr>
          <w:rtl/>
        </w:rPr>
        <w:t>מ“מקור</w:t>
      </w:r>
      <w:proofErr w:type="spellEnd"/>
      <w:r>
        <w:rPr>
          <w:rtl/>
        </w:rPr>
        <w:t xml:space="preserve"> ברוך” בעמ׳ </w:t>
      </w:r>
      <w:r>
        <w:rPr>
          <w:rtl/>
        </w:rPr>
        <w:lastRenderedPageBreak/>
        <w:fldChar w:fldCharType="begin" w:dirty="true"/>
      </w:r>
      <w:r>
        <w:rPr>
          <w:rtl/>
        </w:rPr>
        <w:instrText xml:space="preserve"> PAGEREF pr_b_2649 \h </w:instrText>
      </w:r>
      <w:r>
        <w:rPr>
          <w:rtl/>
        </w:rPr>
      </w:r>
      <w:r>
        <w:rPr>
          <w:rtl/>
        </w:rPr>
        <w:fldChar w:fldCharType="separate"/>
      </w:r>
      <w:r w:rsidR="007923E9">
        <w:rPr>
          <w:noProof/>
          <w:rtl/>
        </w:rPr>
        <w:t>1</w:t>
      </w:r>
      <w:r>
        <w:rPr>
          <w:rtl/>
        </w:rPr>
        <w:fldChar w:fldCharType="end"/>
      </w:r>
      <w:r>
        <w:rPr>
          <w:rtl/>
        </w:rPr>
        <w:t xml:space="preserve"> לעיל – מפני שאחרי שחשבוהו לאחד מהם, כמסופר בפרק 3, הפסקה השנייה של נספח </w:t>
      </w:r>
      <w:proofErr w:type="spellStart"/>
      <w:r>
        <w:rPr>
          <w:rtl/>
        </w:rPr>
        <w:t>יט</w:t>
      </w:r>
      <w:proofErr w:type="spellEnd"/>
      <w:r>
        <w:rPr>
          <w:rtl/>
        </w:rPr>
        <w:t xml:space="preserve"> (עמ׳ </w:t>
      </w:r>
      <w:r>
        <w:rPr>
          <w:rtl/>
        </w:rPr>
        <w:fldChar w:fldCharType="begin" w:dirty="true"/>
      </w:r>
      <w:r>
        <w:rPr>
          <w:rtl/>
        </w:rPr>
        <w:instrText xml:space="preserve"> PAGEREF pr_b_1383 \h </w:instrText>
      </w:r>
      <w:r>
        <w:rPr>
          <w:rtl/>
        </w:rPr>
      </w:r>
      <w:r>
        <w:rPr>
          <w:rtl/>
        </w:rPr>
        <w:fldChar w:fldCharType="separate"/>
      </w:r>
      <w:r w:rsidR="007923E9">
        <w:rPr>
          <w:noProof/>
          <w:rtl/>
        </w:rPr>
        <w:t>1</w:t>
      </w:r>
      <w:r>
        <w:rPr>
          <w:rtl/>
        </w:rPr>
        <w:fldChar w:fldCharType="end"/>
      </w:r>
      <w:r>
        <w:rPr>
          <w:rtl/>
        </w:rPr>
        <w:t xml:space="preserve">), נהפכה אכזבתם</w:t>
      </w:r>
      <w:hyperlink w:anchor="b3_excS" w:history="1">
        <w:r w:rsidR="007923E9" w:rsidRPr="007923E9">
          <w:rPr>
            <w:rStyle w:val="Hyperlink"/>
          </w:rPr>
          <w:t xml:space="preserve"/>
        </w:r>
      </w:hyperlink>
      <w:r>
        <w:rPr>
          <w:rtl/>
        </w:rPr>
        <w:t xml:space="preserve"> ממנו לעוינות.</w:t>
      </w:r>
    </w:p>
    <w:p w14:paraId="08D61CF4" w14:textId="77777777" w:rsidR="00AB3647" w:rsidRDefault="00000000" w:rsidP="007923E9">
      <w:pPr>
        <w:pStyle w:val="4"/>
        <w:spacing w:line="276" w:lineRule="auto"/>
      </w:pPr>
      <w:r>
        <w:t>· הפסקה השלישית ·</w:t>
      </w:r>
    </w:p>
    <w:p w14:paraId="19217776" w14:textId="77777777" w:rsidR="00AB3647" w:rsidRDefault="00000000" w:rsidP="007923E9">
      <w:pPr>
        <w:pStyle w:val="5"/>
        <w:spacing w:line="276" w:lineRule="auto"/>
      </w:pPr>
      <w:r>
        <w:t xml:space="preserve">סיבה אפשרית להתנגדות חסידי </w:t>
      </w:r>
      <w:proofErr w:type="spellStart"/>
      <w:r>
        <w:t>קוידנוב</w:t>
      </w:r>
      <w:proofErr w:type="spellEnd"/>
      <w:r>
        <w:t xml:space="preserve"> </w:t>
      </w:r>
      <w:proofErr w:type="spellStart"/>
      <w:r>
        <w:t>לר</w:t>
      </w:r>
      <w:proofErr w:type="spellEnd"/>
      <w:r>
        <w:t xml:space="preserve">׳ ישראל </w:t>
      </w:r>
      <w:proofErr w:type="spellStart"/>
      <w:r>
        <w:t>סלנטר</w:t>
      </w:r>
      <w:proofErr w:type="spellEnd"/>
      <w:r>
        <w:t xml:space="preserve"> – ר׳ שלמה </w:t>
      </w:r>
      <w:proofErr w:type="spellStart"/>
      <w:r>
        <w:t>מקרלין</w:t>
      </w:r>
      <w:proofErr w:type="spellEnd"/>
      <w:r>
        <w:t xml:space="preserve"> מסרב לטפל בשבת בפצע שפצעו קוזק – </w:t>
      </w:r>
      <w:proofErr w:type="spellStart"/>
      <w:r>
        <w:t>ז׳ליחוב</w:t>
      </w:r>
      <w:proofErr w:type="spellEnd"/>
      <w:r>
        <w:t xml:space="preserve"> משמשת מקלט לחסידים נרדפים – נכדו של רבנו נישא לנכדתו של נין האדמו״ר </w:t>
      </w:r>
      <w:proofErr w:type="spellStart"/>
      <w:r>
        <w:t>מקוידנוב</w:t>
      </w:r>
      <w:proofErr w:type="spellEnd"/>
    </w:p>
    <w:p w14:paraId="33F0B3E6" w14:textId="77777777" w:rsidR="00AB3647" w:rsidRDefault="00000000" w:rsidP="007923E9">
      <w:pPr>
        <w:spacing w:after="120" w:line="276" w:lineRule="auto"/>
        <w:ind w:firstLine="283"/>
        <w:jc w:val="both"/>
      </w:pPr>
      <w:r>
        <w:rPr>
          <w:rtl/>
        </w:rPr>
        <w:t xml:space="preserve">להבנת הלשון שבה תיאר אבי את האדמו״רים החסידיים מבלארוס בריאיון על ר׳ ישראל </w:t>
      </w:r>
      <w:proofErr w:type="spellStart"/>
      <w:r>
        <w:rPr>
          <w:rtl/>
        </w:rPr>
        <w:t>סלנטר</w:t>
      </w:r>
      <w:proofErr w:type="spellEnd"/>
      <w:r>
        <w:rPr>
          <w:rtl/>
        </w:rPr>
        <w:t xml:space="preserve">, שצוטט בעמ׳ </w:t>
      </w:r>
      <w:r>
        <w:rPr>
          <w:rtl/>
        </w:rPr>
        <w:fldChar w:fldCharType="begin" w:dirty="true"/>
      </w:r>
      <w:r>
        <w:rPr>
          <w:rtl/>
        </w:rPr>
        <w:instrText xml:space="preserve"> PAGEREF pr_b_2637 \h </w:instrText>
      </w:r>
      <w:r>
        <w:rPr>
          <w:rtl/>
        </w:rPr>
      </w:r>
      <w:r>
        <w:rPr>
          <w:rtl/>
        </w:rPr>
        <w:fldChar w:fldCharType="separate"/>
      </w:r>
      <w:r w:rsidR="007923E9">
        <w:rPr>
          <w:noProof/>
          <w:rtl/>
        </w:rPr>
        <w:t>1</w:t>
      </w:r>
      <w:r>
        <w:rPr>
          <w:rtl/>
        </w:rPr>
        <w:fldChar w:fldCharType="end"/>
      </w:r>
      <w:r>
        <w:rPr>
          <w:rtl/>
        </w:rPr>
        <w:t xml:space="preserve"> לעיל: הרבי </w:t>
      </w:r>
      <w:proofErr w:type="spellStart"/>
      <w:r>
        <w:rPr>
          <w:rtl/>
        </w:rPr>
        <w:t>מקוידנוב</w:t>
      </w:r>
      <w:proofErr w:type="spellEnd"/>
      <w:r>
        <w:rPr>
          <w:rtl/>
        </w:rPr>
        <w:t xml:space="preserve"> בזמן מגפת הכולרה בווילנה היה הראשון בשושלת </w:t>
      </w:r>
      <w:proofErr w:type="spellStart"/>
      <w:r>
        <w:rPr>
          <w:rtl/>
        </w:rPr>
        <w:t>קוידנוב</w:t>
      </w:r>
      <w:proofErr w:type="spellEnd"/>
      <w:r>
        <w:rPr>
          <w:rtl/>
        </w:rPr>
        <w:t xml:space="preserve">, ר׳ </w:t>
      </w:r>
      <w:proofErr w:type="spellStart"/>
      <w:r>
        <w:rPr>
          <w:rtl/>
        </w:rPr>
        <w:t>שלמה־חיים</w:t>
      </w:r>
      <w:proofErr w:type="spellEnd"/>
      <w:r>
        <w:rPr>
          <w:rtl/>
        </w:rPr>
        <w:t xml:space="preserve"> </w:t>
      </w:r>
      <w:proofErr w:type="spellStart"/>
      <w:r>
        <w:rPr>
          <w:rtl/>
        </w:rPr>
        <w:t>פרלוב</w:t>
      </w:r>
      <w:proofErr w:type="spellEnd"/>
      <w:r>
        <w:rPr>
          <w:rtl/>
        </w:rPr>
        <w:t xml:space="preserve"> (תקנ״ז–תרכ״ב), בן ר׳ אהרן, בן ר׳ מרדכי </w:t>
      </w:r>
      <w:proofErr w:type="spellStart"/>
      <w:r>
        <w:rPr>
          <w:rtl/>
        </w:rPr>
        <w:t>מלכוביץ</w:t>
      </w:r>
      <w:proofErr w:type="spellEnd"/>
      <w:r>
        <w:rPr>
          <w:rtl/>
        </w:rPr>
        <w:t xml:space="preserve">׳ (תק״ב–תק״ע). ר׳ </w:t>
      </w:r>
      <w:proofErr w:type="spellStart"/>
      <w:r>
        <w:rPr>
          <w:rtl/>
        </w:rPr>
        <w:t>שלמה־חיים</w:t>
      </w:r>
      <w:proofErr w:type="spellEnd"/>
      <w:r>
        <w:rPr>
          <w:rtl/>
        </w:rPr>
        <w:t xml:space="preserve"> היה רק בן תשע כשנפטר אביו, וגדל אצל אבי </w:t>
      </w:r>
      <w:proofErr w:type="spellStart"/>
      <w:r>
        <w:rPr>
          <w:rtl/>
        </w:rPr>
        <w:t>אמו</w:t>
      </w:r>
      <w:proofErr w:type="spellEnd"/>
      <w:r>
        <w:rPr>
          <w:rtl/>
        </w:rPr>
        <w:t xml:space="preserve"> </w:t>
      </w:r>
      <w:proofErr w:type="spellStart"/>
      <w:r>
        <w:rPr>
          <w:rtl/>
        </w:rPr>
        <w:t>פערל</w:t>
      </w:r>
      <w:bookmarkStart w:id="6407" w:name="_fnr4825"/>
      <w:proofErr w:type="spellEnd"/>
      <w:r>
        <w:rPr>
          <w:rStyle w:val="a5"/>
        </w:rPr>
        <w:footnoteReference w:id="4837" w:customMarkFollows="0"/>
      </w:r>
      <w:bookmarkEnd w:id="6407"/>
      <w:r>
        <w:rPr>
          <w:rtl/>
        </w:rPr>
        <w:t xml:space="preserve">, ר׳ אשר (הראשון) </w:t>
      </w:r>
      <w:proofErr w:type="spellStart"/>
      <w:r>
        <w:rPr>
          <w:rtl/>
        </w:rPr>
        <w:t>מסטולין</w:t>
      </w:r>
      <w:proofErr w:type="spellEnd"/>
      <w:r>
        <w:rPr>
          <w:rtl/>
        </w:rPr>
        <w:t xml:space="preserve"> (תק״כ–תקפ״ו), בן ר׳ אהרן (הגדול) </w:t>
      </w:r>
      <w:proofErr w:type="spellStart"/>
      <w:r>
        <w:rPr>
          <w:rtl/>
        </w:rPr>
        <w:t>מקרלין</w:t>
      </w:r>
      <w:proofErr w:type="spellEnd"/>
      <w:r>
        <w:rPr>
          <w:rtl/>
        </w:rPr>
        <w:t xml:space="preserve"> (ה׳תצ״ו–תקל״ב). גם ר׳ אשר התייתם בצעירותו, וגדל אצל תלמיד מובהק של אביו, ר׳ שלמה </w:t>
      </w:r>
      <w:proofErr w:type="spellStart"/>
      <w:r>
        <w:rPr>
          <w:rtl/>
        </w:rPr>
        <w:t>מקרלין</w:t>
      </w:r>
      <w:proofErr w:type="spellEnd"/>
      <w:r>
        <w:rPr>
          <w:rtl/>
        </w:rPr>
        <w:t xml:space="preserve"> (ה׳תצ״ח–תקנ״ב), שהיה צעיר מאביו בשנתיים בלבד; ותלמידו של ר׳ שלמה היה ר׳ מרדכי </w:t>
      </w:r>
      <w:proofErr w:type="spellStart"/>
      <w:r>
        <w:rPr>
          <w:rtl/>
        </w:rPr>
        <w:t>מלכוביץ</w:t>
      </w:r>
      <w:proofErr w:type="spellEnd"/>
      <w:r>
        <w:rPr>
          <w:rtl/>
        </w:rPr>
        <w:t>׳.</w:t>
      </w:r>
    </w:p>
    <w:p w14:paraId="343243B7" w14:textId="77777777" w:rsidR="00AB3647" w:rsidRDefault="00000000" w:rsidP="007923E9">
      <w:pPr>
        <w:spacing w:after="120" w:line="276" w:lineRule="auto"/>
        <w:ind w:firstLine="283"/>
        <w:jc w:val="both"/>
      </w:pPr>
      <w:r>
        <w:rPr>
          <w:rtl/>
        </w:rPr>
        <w:t xml:space="preserve">ר׳ </w:t>
      </w:r>
      <w:proofErr w:type="spellStart"/>
      <w:r>
        <w:rPr>
          <w:rtl/>
        </w:rPr>
        <w:t>שניאור־זלמן</w:t>
      </w:r>
      <w:proofErr w:type="spellEnd"/>
      <w:r>
        <w:rPr>
          <w:rtl/>
        </w:rPr>
        <w:t xml:space="preserve"> </w:t>
      </w:r>
      <w:proofErr w:type="spellStart"/>
      <w:r>
        <w:rPr>
          <w:rtl/>
        </w:rPr>
        <w:t>מלאדי</w:t>
      </w:r>
      <w:proofErr w:type="spellEnd"/>
      <w:r>
        <w:rPr>
          <w:rtl/>
        </w:rPr>
        <w:t xml:space="preserve"> (תק״ז–תקע״ג) ביקר את ר׳ שלמה על שהוא “משפיל את הלומדים”, או לפחות “לא מכבד את הלומדים”</w:t>
      </w:r>
      <w:bookmarkStart w:id="6408" w:name="_fnr4826"/>
      <w:r>
        <w:rPr>
          <w:rStyle w:val="a5"/>
        </w:rPr>
        <w:footnoteReference w:id="4838" w:customMarkFollows="0"/>
      </w:r>
      <w:bookmarkEnd w:id="6408"/>
      <w:r>
        <w:rPr>
          <w:rtl/>
        </w:rPr>
        <w:t xml:space="preserve">. אפשר לשער שמשום כך אולי העביר ר׳ שלמה מסורת זו לחניכו ר׳ אשר, וזה מסרה לחניכו ולנכדו, הרבי </w:t>
      </w:r>
      <w:proofErr w:type="spellStart"/>
      <w:r>
        <w:rPr>
          <w:rtl/>
        </w:rPr>
        <w:t>מקוידנוב</w:t>
      </w:r>
      <w:proofErr w:type="spellEnd"/>
      <w:r>
        <w:rPr>
          <w:rtl/>
        </w:rPr>
        <w:t xml:space="preserve">. ייתכן שהמסורת התחזקה גם בידי סבו של הרבי </w:t>
      </w:r>
      <w:proofErr w:type="spellStart"/>
      <w:r>
        <w:rPr>
          <w:rtl/>
        </w:rPr>
        <w:t>מקוידנוב</w:t>
      </w:r>
      <w:proofErr w:type="spellEnd"/>
      <w:r>
        <w:rPr>
          <w:rtl/>
        </w:rPr>
        <w:t xml:space="preserve"> מצד אביו, שהיה תלמידו של ר׳ שלמה, כאמור</w:t>
      </w:r>
      <w:bookmarkStart w:id="6409" w:name="_fnr4827"/>
      <w:r>
        <w:rPr>
          <w:rStyle w:val="a5"/>
        </w:rPr>
        <w:footnoteReference w:id="4839" w:customMarkFollows="0"/>
      </w:r>
      <w:bookmarkEnd w:id="6409"/>
      <w:r>
        <w:rPr>
          <w:rtl/>
        </w:rPr>
        <w:t xml:space="preserve">. יחס זה לחכמי התורה אולי עורר את “התנגדותו הגדולה” של ר׳ ישראל </w:t>
      </w:r>
      <w:proofErr w:type="spellStart"/>
      <w:r>
        <w:rPr>
          <w:rtl/>
        </w:rPr>
        <w:t>לר</w:t>
      </w:r>
      <w:proofErr w:type="spellEnd"/>
      <w:r>
        <w:rPr>
          <w:rtl/>
        </w:rPr>
        <w:t xml:space="preserve">׳ </w:t>
      </w:r>
      <w:proofErr w:type="spellStart"/>
      <w:r>
        <w:rPr>
          <w:rtl/>
        </w:rPr>
        <w:t>שלמה־חיים</w:t>
      </w:r>
      <w:proofErr w:type="spellEnd"/>
      <w:r>
        <w:rPr>
          <w:rtl/>
        </w:rPr>
        <w:t>, שאבי שיער שהיא שעמדה ביסוד קללתו הנטענת של הרבי.</w:t>
      </w:r>
    </w:p>
    <w:p w14:paraId="075C9010" w14:textId="77777777" w:rsidR="00AB3647" w:rsidRDefault="00000000" w:rsidP="007923E9">
      <w:pPr>
        <w:spacing w:after="120" w:line="276" w:lineRule="auto"/>
        <w:ind w:firstLine="283"/>
        <w:jc w:val="both"/>
      </w:pPr>
      <w:bookmarkStart w:id="6410" w:name="pr_b_2659"/>
      <w:bookmarkEnd w:id="6410"/>
      <w:r>
        <w:rPr>
          <w:rtl/>
        </w:rPr>
        <w:t xml:space="preserve">אולם אפשר שר׳ ישראל לא עשה דבר לעורר את כעסם של חסידים אלו מלבד אכילתו ביום הכיפורים. מתקבל על הדעת </w:t>
      </w:r>
      <w:proofErr w:type="spellStart"/>
      <w:r>
        <w:rPr>
          <w:rtl/>
        </w:rPr>
        <w:t>ש“חילול</w:t>
      </w:r>
      <w:proofErr w:type="spellEnd"/>
      <w:r>
        <w:rPr>
          <w:rtl/>
        </w:rPr>
        <w:t>” יום הכיפורים בידי ר׳ ישראל היה מקומם אותם במיוחד, מפני שחמישים ושש שנה קודם לכן לא הרשה ר׳ שלמה לאיש לחלל בשבילו את השבת כשנורה בידי קוזק, ובעקבות זאת נפטר כעבור חמישה ימים</w:t>
      </w:r>
      <w:bookmarkStart w:id="6411" w:name="_fnr4828"/>
      <w:bookmarkStart w:id="6412" w:name="pr_f_4707"/>
      <w:r>
        <w:rPr>
          <w:rStyle w:val="a5"/>
        </w:rPr>
        <w:footnoteReference w:id="4840" w:customMarkFollows="0"/>
      </w:r>
      <w:bookmarkEnd w:id="6411"/>
      <w:bookmarkEnd w:id="6412"/>
      <w:r>
        <w:rPr>
          <w:rtl/>
        </w:rPr>
        <w:t xml:space="preserve">. ייתכן שהסיבה האמיתית לסירובו לקבל טיפול רפואי בשבת הייתה פשוט שטעה בהערכת חומרת פצעו – </w:t>
      </w:r>
      <w:r>
        <w:rPr>
          <w:rtl/>
        </w:rPr>
        <w:lastRenderedPageBreak/>
        <w:t>טעות שהחסידים לא רצו לייחס לרבם. תחת זאת ראוהו</w:t>
      </w:r>
      <w:bookmarkStart w:id="6413" w:name="_fnr4829"/>
      <w:r>
        <w:rPr>
          <w:rStyle w:val="a5"/>
        </w:rPr>
        <w:footnoteReference w:id="4841" w:customMarkFollows="0"/>
      </w:r>
      <w:bookmarkEnd w:id="6413"/>
      <w:r>
        <w:rPr>
          <w:rtl/>
        </w:rPr>
        <w:t xml:space="preserve"> כמי שמצפה למות על קידוש השם, כתנא רבי עקיבא</w:t>
      </w:r>
      <w:bookmarkStart w:id="6414" w:name="_fnr4830"/>
      <w:r>
        <w:rPr>
          <w:rStyle w:val="a5"/>
        </w:rPr>
        <w:footnoteReference w:id="4842" w:customMarkFollows="0"/>
      </w:r>
      <w:bookmarkEnd w:id="6414"/>
      <w:r>
        <w:rPr>
          <w:rtl/>
        </w:rPr>
        <w:t>, או</w:t>
      </w:r>
      <w:bookmarkStart w:id="6415" w:name="_fnr4831"/>
      <w:r>
        <w:rPr>
          <w:rStyle w:val="a5"/>
        </w:rPr>
        <w:footnoteReference w:id="4843" w:customMarkFollows="0"/>
      </w:r>
      <w:bookmarkEnd w:id="6415"/>
      <w:r>
        <w:rPr>
          <w:rtl/>
        </w:rPr>
        <w:t xml:space="preserve"> כמי שנועד להיות “משיח בן יוסף” הנרצח</w:t>
      </w:r>
      <w:bookmarkStart w:id="6416" w:name="_fnr4832"/>
      <w:r>
        <w:rPr>
          <w:rStyle w:val="a5"/>
        </w:rPr>
        <w:footnoteReference w:id="4844" w:customMarkFollows="0"/>
      </w:r>
      <w:bookmarkEnd w:id="6416"/>
      <w:r>
        <w:rPr>
          <w:rtl/>
        </w:rPr>
        <w:t>.</w:t>
      </w:r>
    </w:p>
    <w:p w14:paraId="050F5B5B" w14:textId="77777777" w:rsidR="00AB3647" w:rsidRDefault="00000000" w:rsidP="007923E9">
      <w:pPr>
        <w:spacing w:after="120" w:line="276" w:lineRule="auto"/>
        <w:ind w:firstLine="283"/>
        <w:jc w:val="both"/>
      </w:pPr>
      <w:r>
        <w:rPr>
          <w:rtl/>
        </w:rPr>
        <w:t xml:space="preserve">מבחינה הלכתית נראה בוודאי שאסור לאדם – או לעומדים סביבו – להניח לפצעיו בלי טיפול מפני שהוא שואף להיות כרבי עקיבא או רואה עצמו </w:t>
      </w:r>
      <w:proofErr w:type="spellStart"/>
      <w:r>
        <w:rPr>
          <w:rtl/>
        </w:rPr>
        <w:t>כ“משיח</w:t>
      </w:r>
      <w:proofErr w:type="spellEnd"/>
      <w:r>
        <w:rPr>
          <w:rtl/>
        </w:rPr>
        <w:t xml:space="preserve"> בן יוסף”. אולי אכן הבין ר׳ שלמה את חומרת פצעו, ובכל זאת לא הרשה לחלל את השבת כדי להציל את חייו, מפני שסבר, כמו ר׳ ישראל </w:t>
      </w:r>
      <w:proofErr w:type="spellStart"/>
      <w:r>
        <w:rPr>
          <w:rtl/>
        </w:rPr>
        <w:t>סלנטר</w:t>
      </w:r>
      <w:proofErr w:type="spellEnd"/>
      <w:r>
        <w:rPr>
          <w:rtl/>
        </w:rPr>
        <w:t xml:space="preserve"> בשנותיו המאוחרות</w:t>
      </w:r>
      <w:bookmarkStart w:id="6417" w:name="_fnr4833"/>
      <w:r>
        <w:rPr>
          <w:rStyle w:val="a5"/>
        </w:rPr>
        <w:footnoteReference w:id="4845" w:customMarkFollows="0"/>
      </w:r>
      <w:bookmarkEnd w:id="6417"/>
      <w:r>
        <w:rPr>
          <w:rtl/>
        </w:rPr>
        <w:t>, שאסור לחלל את השבת בשביל חוטא כמותו (ובצירוף ההשפעה ההלכתית שאולי הייתה על המצב לשיקולים כגון היותו כרבי עקיבא וכיוצא באלה</w:t>
      </w:r>
      <w:bookmarkStart w:id="6418" w:name="_fnr4834"/>
      <w:r>
        <w:rPr>
          <w:rStyle w:val="a5"/>
        </w:rPr>
        <w:footnoteReference w:id="4846" w:customMarkFollows="0"/>
      </w:r>
      <w:bookmarkEnd w:id="6418"/>
      <w:r>
        <w:rPr>
          <w:rtl/>
        </w:rPr>
        <w:t xml:space="preserve">). תהא הסיבה שר׳ שלמה לא הציל את עצמו במחיר חילול השבת אשר תהא, החסידים – בלי לבחון אם טעמו של רבם שייך למעשה בווילנה – סברו שר׳ ישראל היה צריך לנהוג כמוהו, ולכן צידדו בבית הדין של וילנה, עד כדי תחושה שראוי להטיל עליו קללה.</w:t>
      </w:r>
    </w:p>
    <w:p w14:paraId="3930659C" w14:textId="77777777" w:rsidR="00AB3647" w:rsidRDefault="00000000" w:rsidP="007923E9">
      <w:pPr>
        <w:spacing w:after="120" w:line="276" w:lineRule="auto"/>
        <w:ind w:firstLine="283"/>
        <w:jc w:val="both"/>
      </w:pPr>
      <w:r>
        <w:rPr>
          <w:rtl/>
        </w:rPr>
        <w:t xml:space="preserve">אשר לתיאורו של אבי את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w:t>
      </w:r>
      <w:proofErr w:type="spellStart"/>
      <w:r>
        <w:rPr>
          <w:rtl/>
        </w:rPr>
        <w:t>כ“צאצא</w:t>
      </w:r>
      <w:proofErr w:type="spellEnd"/>
      <w:r>
        <w:rPr>
          <w:rtl/>
        </w:rPr>
        <w:t xml:space="preserve"> האדמו״רים </w:t>
      </w:r>
      <w:proofErr w:type="spellStart"/>
      <w:r>
        <w:rPr>
          <w:rtl/>
        </w:rPr>
        <w:t>מז׳ליחוב</w:t>
      </w:r>
      <w:proofErr w:type="spellEnd"/>
      <w:r>
        <w:rPr>
          <w:rtl/>
        </w:rPr>
        <w:t xml:space="preserve">” בריאיון על ר׳ ישראל </w:t>
      </w:r>
      <w:proofErr w:type="spellStart"/>
      <w:r>
        <w:rPr>
          <w:rtl/>
        </w:rPr>
        <w:t>סלנטר</w:t>
      </w:r>
      <w:proofErr w:type="spellEnd"/>
      <w:r>
        <w:rPr>
          <w:rtl/>
        </w:rPr>
        <w:t xml:space="preserve"> המצוטט לעיל: סבו של ר׳ </w:t>
      </w:r>
      <w:proofErr w:type="spellStart"/>
      <w:r>
        <w:rPr>
          <w:rtl/>
        </w:rPr>
        <w:t>שלמה־חיים</w:t>
      </w:r>
      <w:proofErr w:type="spellEnd"/>
      <w:r>
        <w:rPr>
          <w:rtl/>
        </w:rPr>
        <w:t xml:space="preserve"> מצד </w:t>
      </w:r>
      <w:proofErr w:type="spellStart"/>
      <w:r>
        <w:rPr>
          <w:rtl/>
        </w:rPr>
        <w:t>אמו</w:t>
      </w:r>
      <w:proofErr w:type="spellEnd"/>
      <w:r>
        <w:rPr>
          <w:rtl/>
        </w:rPr>
        <w:t xml:space="preserve"> (ואביו המאמץ), ר׳ אשר, ברח ממתנגדי ליטא אל </w:t>
      </w:r>
      <w:proofErr w:type="spellStart"/>
      <w:r>
        <w:rPr>
          <w:rtl/>
        </w:rPr>
        <w:t>ז׳ליחוב</w:t>
      </w:r>
      <w:proofErr w:type="spellEnd"/>
      <w:r>
        <w:rPr>
          <w:rtl/>
        </w:rPr>
        <w:t xml:space="preserve"> הרחוקה (</w:t>
      </w:r>
      <w:proofErr w:type="spellStart"/>
      <w:r>
        <w:rPr>
          <w:rtl/>
        </w:rPr>
        <w:t>מצפון־מערב</w:t>
      </w:r>
      <w:proofErr w:type="spellEnd"/>
      <w:r>
        <w:rPr>
          <w:rtl/>
        </w:rPr>
        <w:t xml:space="preserve"> ללובלין), ואף שהיה שם פחות מעשר שנים</w:t>
      </w:r>
      <w:bookmarkStart w:id="6419" w:name="_fnr4835"/>
      <w:r>
        <w:rPr>
          <w:rStyle w:val="a5"/>
        </w:rPr>
        <w:footnoteReference w:id="4847" w:customMarkFollows="0"/>
      </w:r>
      <w:bookmarkEnd w:id="6419"/>
      <w:r>
        <w:rPr>
          <w:rtl/>
        </w:rPr>
        <w:t xml:space="preserve">, אולי כונה “הרבי </w:t>
      </w:r>
      <w:proofErr w:type="spellStart"/>
      <w:r>
        <w:rPr>
          <w:rtl/>
        </w:rPr>
        <w:t>מז׳ליחוב</w:t>
      </w:r>
      <w:proofErr w:type="spellEnd"/>
      <w:r>
        <w:rPr>
          <w:rtl/>
        </w:rPr>
        <w:t>” בחוגי המתנגדים, וכך גם חתנו ר׳ אהרן</w:t>
      </w:r>
      <w:bookmarkStart w:id="6420" w:name="_fnr4836"/>
      <w:r>
        <w:rPr>
          <w:rStyle w:val="a5"/>
        </w:rPr>
        <w:footnoteReference w:id="4848" w:customMarkFollows="0"/>
      </w:r>
      <w:bookmarkEnd w:id="6420"/>
      <w:r>
        <w:rPr>
          <w:rtl/>
        </w:rPr>
        <w:t>.</w:t>
      </w:r>
    </w:p>
    <w:p w14:paraId="10B6EA51" w14:textId="77777777" w:rsidR="00AB3647" w:rsidRDefault="00000000" w:rsidP="007923E9">
      <w:pPr>
        <w:spacing w:after="120" w:line="276" w:lineRule="auto"/>
        <w:ind w:firstLine="283"/>
        <w:jc w:val="both"/>
      </w:pPr>
      <w:r>
        <w:rPr>
          <w:rtl/>
        </w:rPr>
        <w:t xml:space="preserve">לעניין השערתו של אבי שר׳ ישראל התנגד לרבי </w:t>
      </w:r>
      <w:proofErr w:type="spellStart"/>
      <w:r>
        <w:rPr>
          <w:rtl/>
        </w:rPr>
        <w:t>מקוידנוב</w:t>
      </w:r>
      <w:proofErr w:type="spellEnd"/>
      <w:r>
        <w:rPr>
          <w:rtl/>
        </w:rPr>
        <w:t xml:space="preserve"> שבימיו, ר׳ </w:t>
      </w:r>
      <w:proofErr w:type="spellStart"/>
      <w:r>
        <w:rPr>
          <w:rtl/>
        </w:rPr>
        <w:t>שלמה־חיים</w:t>
      </w:r>
      <w:proofErr w:type="spellEnd"/>
      <w:r>
        <w:rPr>
          <w:rtl/>
        </w:rPr>
        <w:t xml:space="preserve"> </w:t>
      </w:r>
      <w:proofErr w:type="spellStart"/>
      <w:r>
        <w:rPr>
          <w:rtl/>
        </w:rPr>
        <w:t>פרלוב</w:t>
      </w:r>
      <w:proofErr w:type="spellEnd"/>
      <w:r>
        <w:rPr>
          <w:rtl/>
        </w:rPr>
        <w:t xml:space="preserve">: ר׳ ישראל </w:t>
      </w:r>
      <w:proofErr w:type="spellStart"/>
      <w:r>
        <w:rPr>
          <w:rtl/>
        </w:rPr>
        <w:t>שורין</w:t>
      </w:r>
      <w:proofErr w:type="spellEnd"/>
      <w:r>
        <w:rPr>
          <w:rtl/>
        </w:rPr>
        <w:t xml:space="preserve"> נזכר</w:t>
      </w:r>
      <w:bookmarkStart w:id="6421" w:name="_fnr4837"/>
      <w:r>
        <w:rPr>
          <w:rStyle w:val="a5"/>
        </w:rPr>
        <w:footnoteReference w:id="4849" w:customMarkFollows="0"/>
      </w:r>
      <w:bookmarkEnd w:id="6421"/>
      <w:r>
        <w:rPr>
          <w:rtl/>
        </w:rPr>
        <w:t xml:space="preserve"> שאף על פי כן סיפר רבנו שבמינסק, בימי מלחמת העולם הראשונה, נכח בסעודה שלישית חגיגית (“טיש”) של </w:t>
      </w:r>
      <w:proofErr w:type="spellStart"/>
      <w:r>
        <w:rPr>
          <w:rtl/>
        </w:rPr>
        <w:t>נינו</w:t>
      </w:r>
      <w:proofErr w:type="spellEnd"/>
      <w:r>
        <w:rPr>
          <w:rtl/>
        </w:rPr>
        <w:t xml:space="preserve"> של ר׳ </w:t>
      </w:r>
      <w:proofErr w:type="spellStart"/>
      <w:r>
        <w:rPr>
          <w:rtl/>
        </w:rPr>
        <w:t>שלמה־חיים</w:t>
      </w:r>
      <w:proofErr w:type="spellEnd"/>
      <w:r>
        <w:rPr>
          <w:rtl/>
        </w:rPr>
        <w:t xml:space="preserve">, הרבי </w:t>
      </w:r>
      <w:proofErr w:type="spellStart"/>
      <w:r>
        <w:rPr>
          <w:rtl/>
        </w:rPr>
        <w:t>מקוידנוב</w:t>
      </w:r>
      <w:proofErr w:type="spellEnd"/>
      <w:r>
        <w:rPr>
          <w:rtl/>
        </w:rPr>
        <w:t xml:space="preserve"> ר׳ יוסף </w:t>
      </w:r>
      <w:proofErr w:type="spellStart"/>
      <w:r>
        <w:rPr>
          <w:rtl/>
        </w:rPr>
        <w:t>פרלוב</w:t>
      </w:r>
      <w:proofErr w:type="spellEnd"/>
      <w:r>
        <w:rPr>
          <w:rtl/>
        </w:rPr>
        <w:t xml:space="preserve"> (תרי״ד–תרע״ו [נפטר בחנוכה], בן ר׳ </w:t>
      </w:r>
      <w:proofErr w:type="spellStart"/>
      <w:r>
        <w:rPr>
          <w:rtl/>
        </w:rPr>
        <w:t>אהרל׳ה</w:t>
      </w:r>
      <w:proofErr w:type="spellEnd"/>
      <w:r>
        <w:rPr>
          <w:rtl/>
        </w:rPr>
        <w:t xml:space="preserve">, בן ר׳ </w:t>
      </w:r>
      <w:proofErr w:type="spellStart"/>
      <w:r>
        <w:rPr>
          <w:rtl/>
        </w:rPr>
        <w:t>ברוך־מרדכי</w:t>
      </w:r>
      <w:proofErr w:type="spellEnd"/>
      <w:r>
        <w:rPr>
          <w:rtl/>
        </w:rPr>
        <w:t xml:space="preserve">), “שבה גילה הרבי רוח הקודש”. הרבי הכריז “מען </w:t>
      </w:r>
      <w:proofErr w:type="spellStart"/>
      <w:r>
        <w:rPr>
          <w:rtl/>
        </w:rPr>
        <w:t>שינדט</w:t>
      </w:r>
      <w:proofErr w:type="spellEnd"/>
      <w:r>
        <w:rPr>
          <w:rtl/>
        </w:rPr>
        <w:t xml:space="preserve"> </w:t>
      </w:r>
      <w:proofErr w:type="spellStart"/>
      <w:r>
        <w:rPr>
          <w:rtl/>
        </w:rPr>
        <w:t>שוין</w:t>
      </w:r>
      <w:proofErr w:type="spellEnd"/>
      <w:r>
        <w:rPr>
          <w:rtl/>
        </w:rPr>
        <w:t xml:space="preserve"> די נבילה [כבר פושטים את עור הנבלה]”, ולאחר השבת נודע לנוכחים שאנטישמי ידוע נהרג בשעה שאמר הרבי את הדברים. אבי סיפר סיפור זה בשמחת האירוסין של נכדו הבכור, ר׳ משה </w:t>
      </w:r>
      <w:proofErr w:type="spellStart"/>
      <w:r>
        <w:rPr>
          <w:rtl/>
        </w:rPr>
        <w:t>שורין</w:t>
      </w:r>
      <w:proofErr w:type="spellEnd"/>
      <w:r>
        <w:rPr>
          <w:rtl/>
        </w:rPr>
        <w:t>, בנו של המרואיין, עם נכדתו של הרבי בעל רוח הקודש!</w:t>
      </w:r>
    </w:p>
    <w:p w14:paraId="5447D454" w14:textId="77777777" w:rsidR="00AB3647" w:rsidRDefault="00000000" w:rsidP="007923E9">
      <w:pPr>
        <w:pStyle w:val="4"/>
        <w:spacing w:line="276" w:lineRule="auto"/>
      </w:pPr>
      <w:r>
        <w:lastRenderedPageBreak/>
        <w:t>· הפסקה הרביעית ·</w:t>
      </w:r>
    </w:p>
    <w:p w14:paraId="62A98F7A" w14:textId="77777777" w:rsidR="00AB3647" w:rsidRDefault="00000000" w:rsidP="007923E9">
      <w:pPr>
        <w:pStyle w:val="5"/>
        <w:spacing w:line="276" w:lineRule="auto"/>
      </w:pPr>
      <w:r>
        <w:t>מתי לקה ר׳ ישראל בשיתוק – היכן אירע השבץ – “מחלתו הפנימית” של ר׳ ישראל</w:t>
      </w:r>
    </w:p>
    <w:p w14:paraId="1DF229EB" w14:textId="77777777" w:rsidR="00AB3647" w:rsidRDefault="00000000" w:rsidP="007923E9">
      <w:pPr>
        <w:spacing w:after="120" w:line="276" w:lineRule="auto"/>
        <w:ind w:firstLine="283"/>
        <w:jc w:val="both"/>
      </w:pPr>
      <w:r>
        <w:rPr>
          <w:rtl/>
        </w:rPr>
        <w:t>אשר למועד השבץ של ר׳ ישראל, נראה לכאורה שאירע בסוף התקופה שבה ישב בקובנה, שכן יעקב מארק</w:t>
      </w:r>
      <w:bookmarkStart w:id="6422" w:name="_fnr4838"/>
      <w:r>
        <w:rPr>
          <w:rStyle w:val="a5"/>
        </w:rPr>
        <w:footnoteReference w:id="4850" w:customMarkFollows="0"/>
      </w:r>
      <w:bookmarkEnd w:id="6422"/>
      <w:r>
        <w:rPr>
          <w:rtl/>
        </w:rPr>
        <w:t xml:space="preserve"> אומר: “תשע שנים [</w:t>
      </w:r>
      <w:proofErr w:type="spellStart"/>
      <w:r>
        <w:rPr>
          <w:rtl/>
        </w:rPr>
        <w:t>מתר״ט</w:t>
      </w:r>
      <w:proofErr w:type="spellEnd"/>
      <w:r>
        <w:rPr>
          <w:rtl/>
        </w:rPr>
        <w:t xml:space="preserve"> עד תרי״ז] נשאר בקובנה, עד שלאחר שאימץ מאוד את מוחו נפגעה מערכת העצבים שלו, וסבל ממחלה זו כמעט בכל שלושים השנים שנותרו לחייו. ידידיו שלחוהו לחוץ לארץ לטיפול, ושם נשאר עד סמוך לסוף ימיו”.</w:t>
      </w:r>
    </w:p>
    <w:p w14:paraId="6E3ED3BE" w14:textId="77777777" w:rsidR="00AB3647" w:rsidRDefault="00000000" w:rsidP="007923E9">
      <w:pPr>
        <w:spacing w:after="120" w:line="276" w:lineRule="auto"/>
        <w:ind w:firstLine="283"/>
        <w:jc w:val="both"/>
      </w:pPr>
      <w:r>
        <w:rPr>
          <w:rtl/>
        </w:rPr>
        <w:t xml:space="preserve">אולם טענת החסידים שקללת רבם היא שגרמה לשיתוקו של ר׳ ישראל התפרסמה כנראה </w:t>
      </w:r>
      <w:r>
        <w:rPr>
          <w:b/>
          <w:bCs/>
          <w:rtl/>
        </w:rPr>
        <w:t>רק אחרי</w:t>
      </w:r>
      <w:r>
        <w:rPr>
          <w:rtl/>
        </w:rPr>
        <w:t xml:space="preserve"> פטירת המקלל הנטען. לכן מסתבר שהשבץ אירע אחרי פטירת ר׳ </w:t>
      </w:r>
      <w:proofErr w:type="spellStart"/>
      <w:r>
        <w:rPr>
          <w:rtl/>
        </w:rPr>
        <w:t>שלמה־חיים</w:t>
      </w:r>
      <w:proofErr w:type="spellEnd"/>
      <w:r>
        <w:rPr>
          <w:rtl/>
        </w:rPr>
        <w:t xml:space="preserve"> </w:t>
      </w:r>
      <w:proofErr w:type="spellStart"/>
      <w:r>
        <w:rPr>
          <w:rtl/>
        </w:rPr>
        <w:t>בתרכ״ב</w:t>
      </w:r>
      <w:proofErr w:type="spellEnd"/>
      <w:r>
        <w:rPr>
          <w:rtl/>
        </w:rPr>
        <w:t xml:space="preserve">, כאשר בנו ר׳ </w:t>
      </w:r>
      <w:proofErr w:type="spellStart"/>
      <w:r>
        <w:rPr>
          <w:rtl/>
        </w:rPr>
        <w:t>ברוך־מרדכי</w:t>
      </w:r>
      <w:proofErr w:type="spellEnd"/>
      <w:r>
        <w:rPr>
          <w:rtl/>
        </w:rPr>
        <w:t xml:space="preserve"> (תקע״ח–תרל״א) כבר קיבל את הנהגת </w:t>
      </w:r>
      <w:proofErr w:type="spellStart"/>
      <w:r>
        <w:rPr>
          <w:rtl/>
        </w:rPr>
        <w:t>קוידנוב</w:t>
      </w:r>
      <w:proofErr w:type="spellEnd"/>
      <w:r>
        <w:rPr>
          <w:rtl/>
        </w:rPr>
        <w:t xml:space="preserve"> – ובאותה עת כבר עבר ר׳ ישראל מקובנה לגרמניה. השיתוק מוכרח אפוא היה להופיע באחד מביקוריו הרבים של ר׳ ישראל בליטא לאחר מכן. ואכן, בשיחה המוקלטת בבית הכנסת “בית ישראל” במיאמי </w:t>
      </w:r>
      <w:proofErr w:type="spellStart"/>
      <w:r>
        <w:rPr>
          <w:rtl/>
        </w:rPr>
        <w:t>ביץ</w:t>
      </w:r>
      <w:proofErr w:type="spellEnd"/>
      <w:r>
        <w:rPr>
          <w:rtl/>
        </w:rPr>
        <w:t xml:space="preserve">׳ ציין אבי שהמעשה אירע בווילנה. מאחר שהידיעה הקדומה ביותר על בריאותו הרופפת של ר׳ ישראל קושרת אותה לקובנה, </w:t>
      </w:r>
      <w:r>
        <w:rPr>
          <w:b/>
          <w:bCs/>
          <w:rtl/>
        </w:rPr>
        <w:t xml:space="preserve">אחרי שחדל להתגורר בווילנה</w:t>
      </w:r>
      <w:r>
        <w:rPr>
          <w:rtl/>
        </w:rPr>
        <w:t>, בוודאי לקה בשבץ באחד מביקוריו המאוחרים בעיר, שבה התגורר חתנו.</w:t>
      </w:r>
    </w:p>
    <w:p w14:paraId="7B4E02C7" w14:textId="77777777" w:rsidR="00AB3647" w:rsidRDefault="00000000" w:rsidP="007923E9">
      <w:pPr>
        <w:spacing w:after="120" w:line="276" w:lineRule="auto"/>
        <w:ind w:firstLine="283"/>
        <w:jc w:val="both"/>
      </w:pPr>
      <w:r>
        <w:rPr>
          <w:rtl/>
        </w:rPr>
        <w:t>כפי שעולה מן הציטוט לעיל מיעקב מארק, הטיפול בגרמניה לא הועיל הרבה. יעקב מארק</w:t>
      </w:r>
      <w:bookmarkStart w:id="6423" w:name="_fnr4839"/>
      <w:r>
        <w:rPr>
          <w:rStyle w:val="a5"/>
        </w:rPr>
        <w:footnoteReference w:id="4851" w:customMarkFollows="0"/>
      </w:r>
      <w:bookmarkEnd w:id="6423"/>
      <w:r>
        <w:rPr>
          <w:rtl/>
        </w:rPr>
        <w:t xml:space="preserve"> מתאר את כאבי הראש המתמידים של ר׳ ישראל, ואובדן הכרה שהמחבר עצמו היה עד לו עוד בסוף שנות </w:t>
      </w:r>
      <w:proofErr w:type="spellStart"/>
      <w:r>
        <w:rPr>
          <w:rtl/>
        </w:rPr>
        <w:t>התר״ל</w:t>
      </w:r>
      <w:proofErr w:type="spellEnd"/>
      <w:r>
        <w:rPr>
          <w:rtl/>
        </w:rPr>
        <w:t xml:space="preserve">, </w:t>
      </w:r>
      <w:proofErr w:type="spellStart"/>
      <w:r>
        <w:rPr>
          <w:rtl/>
        </w:rPr>
        <w:t>זמן־מה</w:t>
      </w:r>
      <w:proofErr w:type="spellEnd"/>
      <w:r>
        <w:rPr>
          <w:rtl/>
        </w:rPr>
        <w:t xml:space="preserve"> בחמש השנים האחרונות לחיי ר׳ ישראל.</w:t>
      </w:r>
    </w:p>
    <w:p w14:paraId="7ACD75B7" w14:textId="77777777" w:rsidR="00AB3647" w:rsidRDefault="00000000" w:rsidP="007923E9">
      <w:pPr>
        <w:spacing w:after="120" w:line="276" w:lineRule="auto"/>
        <w:ind w:firstLine="283"/>
        <w:jc w:val="both"/>
      </w:pPr>
      <w:r>
        <w:rPr>
          <w:rtl/>
        </w:rPr>
        <w:t xml:space="preserve">מסתבר שבשנות מגוריו האחרונות בקובנה, מיד כשפקדה אותו המחלה לראשונה (המחלה שגרמה </w:t>
      </w:r>
      <w:r>
        <w:rPr>
          <w:b/>
          <w:bCs/>
          <w:rtl/>
        </w:rPr>
        <w:t>כעבור זמן</w:t>
      </w:r>
      <w:r>
        <w:rPr>
          <w:rtl/>
        </w:rPr>
        <w:t xml:space="preserve"> לשיתוק) ונקבע שהיא נובעת </w:t>
      </w:r>
      <w:proofErr w:type="spellStart"/>
      <w:r>
        <w:rPr>
          <w:rtl/>
        </w:rPr>
        <w:t>מ“אימוץ</w:t>
      </w:r>
      <w:proofErr w:type="spellEnd"/>
      <w:r>
        <w:rPr>
          <w:rtl/>
        </w:rPr>
        <w:t xml:space="preserve"> רב של מוחו”, הורו לו הרופאים “להימנע ממחשבה שעתיים בכל יום”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ושם, בקובנה, למד נגרות רהיטים. לפי השערתו של רבנו שעישונו של ר׳ ישראל היה קשור לאבחנה זו, נמצא שהתחיל לעשן בקובנה. מתקופה זו, שבה עדיין היה בין תלמידיו הליטאים, באה המסורת שלפני יום טוב היה חוזר על ההלכה הנוגעת להיתר העישון ביום טוב – ולא משהותו בגרמניה, כשהיה כמעט בין זרים.</w:t>
      </w:r>
    </w:p>
    <w:p w14:paraId="3729DD33" w14:textId="77777777" w:rsidR="00AB3647" w:rsidRDefault="00000000" w:rsidP="007923E9">
      <w:pPr>
        <w:spacing w:after="120" w:line="276" w:lineRule="auto"/>
        <w:ind w:firstLine="283"/>
        <w:jc w:val="both"/>
      </w:pPr>
      <w:r>
        <w:rPr>
          <w:rtl/>
        </w:rPr>
        <w:t xml:space="preserve">תימוכין להשערה זו אפשר למצוא אצל </w:t>
      </w:r>
      <w:proofErr w:type="spellStart"/>
      <w:r>
        <w:rPr>
          <w:rtl/>
        </w:rPr>
        <w:t>רבינר</w:t>
      </w:r>
      <w:proofErr w:type="spellEnd"/>
      <w:r>
        <w:rPr>
          <w:rtl/>
        </w:rPr>
        <w:t>, “הגאון רבי אליעזר גורדון”</w:t>
      </w:r>
      <w:bookmarkStart w:id="6424" w:name="_fnr4840"/>
      <w:r>
        <w:rPr>
          <w:rStyle w:val="a5"/>
        </w:rPr>
        <w:footnoteReference w:id="4852" w:customMarkFollows="0"/>
      </w:r>
      <w:bookmarkEnd w:id="6424"/>
      <w:r>
        <w:rPr>
          <w:rtl/>
        </w:rPr>
        <w:t xml:space="preserve">. שם מסופר שר׳ ישראל דן עם ר׳ לייזר גורדון (ואולי עם תלמידים נוספים) בשאלה הלכתית זו עצמה כשהדבר נגע לו, </w:t>
      </w:r>
      <w:r>
        <w:rPr>
          <w:b/>
          <w:bCs/>
          <w:rtl/>
        </w:rPr>
        <w:t>כבר כמעשן כבד</w:t>
      </w:r>
      <w:r>
        <w:rPr>
          <w:rtl/>
        </w:rPr>
        <w:t xml:space="preserve"> – וזה היה בהכרח בשנותיו האחרונות בקובנה. הדיון לא יכול היה להתקיים זמן רב קודם לכן, שכן ר׳ לייזר גורדון היה רק בן </w:t>
      </w:r>
      <w:proofErr w:type="spellStart"/>
      <w:r>
        <w:rPr>
          <w:rtl/>
        </w:rPr>
        <w:t>שבע־עשרה</w:t>
      </w:r>
      <w:proofErr w:type="spellEnd"/>
      <w:r>
        <w:rPr>
          <w:rtl/>
        </w:rPr>
        <w:t xml:space="preserve"> כשעזב ר׳ ישראל. לפי זה, הקשר שקשר אבי בין השיתוק ובין העישון (עמ׳ </w:t>
      </w:r>
      <w:r>
        <w:rPr>
          <w:rtl/>
        </w:rPr>
        <w:fldChar w:fldCharType="begin" w:dirty="true"/>
      </w:r>
      <w:r>
        <w:rPr>
          <w:rtl/>
        </w:rPr>
        <w:instrText xml:space="preserve"> PAGEREF pr_b_2635 \h </w:instrText>
      </w:r>
      <w:r>
        <w:rPr>
          <w:rtl/>
        </w:rPr>
      </w:r>
      <w:r>
        <w:rPr>
          <w:rtl/>
        </w:rPr>
        <w:fldChar w:fldCharType="separate"/>
      </w:r>
      <w:r w:rsidR="007923E9">
        <w:rPr>
          <w:noProof/>
          <w:rtl/>
        </w:rPr>
        <w:t>1</w:t>
      </w:r>
      <w:r>
        <w:rPr>
          <w:rtl/>
        </w:rPr>
        <w:fldChar w:fldCharType="end"/>
      </w:r>
      <w:r>
        <w:rPr>
          <w:rtl/>
        </w:rPr>
        <w:t xml:space="preserve">) אינו קשר של זמן אלא של סיבה: אבחון המחלה (שגרמה לאחר מכן לשבץ) </w:t>
      </w:r>
      <w:r>
        <w:rPr>
          <w:b/>
          <w:bCs/>
          <w:rtl/>
        </w:rPr>
        <w:t>בצורתה הראשונית</w:t>
      </w:r>
      <w:r>
        <w:rPr>
          <w:rtl/>
        </w:rPr>
        <w:t xml:space="preserve"> הביא, בצד ההוראה לעסוק בעבודה גופנית, גם לטיפול הנטען באמצעות עישון.</w:t>
      </w:r>
    </w:p>
    <w:p w14:paraId="5C17C0C5" w14:textId="77777777" w:rsidR="00AB3647" w:rsidRDefault="00000000" w:rsidP="007923E9">
      <w:pPr>
        <w:spacing w:after="120" w:line="276" w:lineRule="auto"/>
        <w:ind w:firstLine="283"/>
        <w:jc w:val="both"/>
      </w:pPr>
      <w:r>
        <w:rPr>
          <w:rtl/>
        </w:rPr>
        <w:lastRenderedPageBreak/>
        <w:t xml:space="preserve">יהא מועדו אשר יהא, השבץ המשתק של ר׳ ישראל מאיר באור חדש את מצבו הרפואי. את מחלתו, המתוארת </w:t>
      </w:r>
      <w:proofErr w:type="spellStart"/>
      <w:r>
        <w:rPr>
          <w:rtl/>
        </w:rPr>
        <w:t>ב“עיר</w:t>
      </w:r>
      <w:proofErr w:type="spellEnd"/>
      <w:r>
        <w:rPr>
          <w:rtl/>
        </w:rPr>
        <w:t xml:space="preserve"> </w:t>
      </w:r>
      <w:proofErr w:type="spellStart"/>
      <w:r>
        <w:rPr>
          <w:rtl/>
        </w:rPr>
        <w:t>ווילנא</w:t>
      </w:r>
      <w:proofErr w:type="spellEnd"/>
      <w:r>
        <w:rPr>
          <w:rtl/>
        </w:rPr>
        <w:t>”</w:t>
      </w:r>
      <w:bookmarkStart w:id="6425" w:name="_fnr4841"/>
      <w:r>
        <w:rPr>
          <w:rStyle w:val="a5"/>
        </w:rPr>
        <w:footnoteReference w:id="4853" w:customMarkFollows="0"/>
      </w:r>
      <w:bookmarkEnd w:id="6425"/>
      <w:r>
        <w:rPr>
          <w:rtl/>
        </w:rPr>
        <w:t xml:space="preserve"> בלשון “מחלה פנימית”, אין עוד צורך לאבחן כמלנכוליה, כמו שעשו מחברים שקשרו אותה למחלת הנפש שפקדה אחר כך את בנו (כפי שטענה אשת הבן במבוא לכרך שחיבר, “חיי אריה”</w:t>
      </w:r>
      <w:bookmarkStart w:id="6426" w:name="_fnr4842"/>
      <w:r>
        <w:rPr>
          <w:rStyle w:val="a5"/>
        </w:rPr>
        <w:footnoteReference w:id="4854" w:customMarkFollows="0"/>
      </w:r>
      <w:bookmarkEnd w:id="6426"/>
      <w:r>
        <w:rPr>
          <w:rtl/>
        </w:rPr>
        <w:t>); אפשר שבעייתו של ר׳ ישראל הייתה נוירולוגית.</w:t>
      </w:r>
    </w:p>
    <w:p w14:paraId="164B3E34" w14:textId="77777777" w:rsidR="00AB3647" w:rsidRDefault="00000000" w:rsidP="007923E9">
      <w:pPr>
        <w:pStyle w:val="4"/>
        <w:spacing w:line="276" w:lineRule="auto"/>
      </w:pPr>
      <w:r>
        <w:t>· הפסקה החמישית ·</w:t>
      </w:r>
    </w:p>
    <w:p w14:paraId="5F9E154C" w14:textId="77777777" w:rsidR="00AB3647" w:rsidRDefault="00000000" w:rsidP="007923E9">
      <w:pPr>
        <w:pStyle w:val="5"/>
        <w:spacing w:line="276" w:lineRule="auto"/>
      </w:pPr>
      <w:r>
        <w:t xml:space="preserve">ראיה שר׳ ישראל אכן אכל ביום הכיפורים בזמן מגפת הכולרה בווילנה – מוצע טעם חדש לביטול הצום בידי ר׳ ישראל – דרך הלכתית לעקוף את איסור האכילה בכמויות קטנות – ר׳ ישראל נשבע כנראה</w:t>
      </w:r>
    </w:p>
    <w:p w14:paraId="4EA3FE98" w14:textId="77777777" w:rsidR="00AB3647" w:rsidRDefault="00000000" w:rsidP="007923E9">
      <w:pPr>
        <w:spacing w:after="120" w:line="276" w:lineRule="auto"/>
        <w:ind w:firstLine="283"/>
        <w:jc w:val="both"/>
      </w:pPr>
      <w:bookmarkStart w:id="6427" w:name="pr_b_2669"/>
      <w:bookmarkEnd w:id="6427"/>
      <w:r>
        <w:rPr>
          <w:rtl/>
        </w:rPr>
        <w:t xml:space="preserve">תיאורו של אבי את מעשה ר׳ ישראל </w:t>
      </w:r>
      <w:proofErr w:type="spellStart"/>
      <w:r>
        <w:rPr>
          <w:rtl/>
        </w:rPr>
        <w:t>סלנטר</w:t>
      </w:r>
      <w:proofErr w:type="spellEnd"/>
      <w:r>
        <w:rPr>
          <w:rtl/>
        </w:rPr>
        <w:t xml:space="preserve"> באותו יום כיפור, שהיה </w:t>
      </w:r>
      <w:proofErr w:type="spellStart"/>
      <w:r>
        <w:rPr>
          <w:rtl/>
        </w:rPr>
        <w:t>הרה־גורל</w:t>
      </w:r>
      <w:proofErr w:type="spellEnd"/>
      <w:r>
        <w:rPr>
          <w:rtl/>
        </w:rPr>
        <w:t xml:space="preserve"> בשבילו, חולק בשתי נקודות יסוד על מסורת יעקב מארק (שצוטטה בפסקה השנייה לעיל), שלפיה ר׳ ישראל רק “הכין במבואות בתי הכנסת חתיכות עוגה זעירות למקרה הצורך” </w:t>
      </w:r>
      <w:proofErr w:type="spellStart"/>
      <w:r>
        <w:rPr>
          <w:rtl/>
        </w:rPr>
        <w:t>ו“הכריז</w:t>
      </w:r>
      <w:proofErr w:type="spellEnd"/>
      <w:r>
        <w:rPr>
          <w:rtl/>
        </w:rPr>
        <w:t xml:space="preserve"> שכל מי שמרגיש חולשה רשאי לטעום מן העוגות המוכנות בלי לשאול רופא”. ראשית, לפי אבי ביטל ר׳ ישראל את הצום כולו: הוא הכריז שהכול יאכלו, ולא הגביל את אכילתם לפחות </w:t>
      </w:r>
      <w:proofErr w:type="spellStart"/>
      <w:r>
        <w:rPr>
          <w:rtl/>
        </w:rPr>
        <w:t>מכשיעור</w:t>
      </w:r>
      <w:proofErr w:type="spellEnd"/>
      <w:r>
        <w:rPr>
          <w:rtl/>
        </w:rPr>
        <w:t xml:space="preserve">. שנית, ר׳ ישראל עצמו אכל. הידיעה על תגובת חסידי </w:t>
      </w:r>
      <w:proofErr w:type="spellStart"/>
      <w:r>
        <w:rPr>
          <w:rtl/>
        </w:rPr>
        <w:t>קוידנוב</w:t>
      </w:r>
      <w:proofErr w:type="spellEnd"/>
      <w:r>
        <w:rPr>
          <w:rtl/>
        </w:rPr>
        <w:t xml:space="preserve"> למאורעות יום הכיפורים מחזקת את הדעה שר׳ ישראל ביטל את הצום, שאם לא כן בוודאי לא היו מגנים אותו עד כדי הטלת קללה על ראשו. אפילו הכרזה שהכול רשאים לאכול כנראה לא הייתה מעוררת את כעסם, אלמלא אכל גם הוא עצמו. התנגדות אחרת להתנהגות ר׳ ישראל הייתה אולי על שנטל לעצמו את סמכות בית הדין – ועל כך, לפי אבי, זומן להופיע לפני בית הדין למחרת. אבל מעשה כזה בוודאי לא היה מעורר את ביקורתם הקשה של החסידים, ואולי אף לא היה נחשב אצלם פסול, שהרי עצם תנועתם נוסדה מתוך התנגדות לממסד.</w:t>
      </w:r>
    </w:p>
    <w:p w14:paraId="046ADBF9" w14:textId="77777777" w:rsidR="00AB3647" w:rsidRDefault="00000000" w:rsidP="007923E9">
      <w:pPr>
        <w:spacing w:after="120" w:line="276" w:lineRule="auto"/>
        <w:ind w:firstLine="283"/>
        <w:jc w:val="both"/>
      </w:pPr>
      <w:bookmarkStart w:id="6428" w:name="pr_close_b_4229"/>
      <w:bookmarkEnd w:id="6428"/>
      <w:r>
        <w:rPr>
          <w:rtl/>
        </w:rPr>
        <w:t>השווה גם “מקור ברוך”</w:t>
      </w:r>
      <w:bookmarkStart w:id="6429" w:name="_fnr4843"/>
      <w:r>
        <w:rPr>
          <w:rStyle w:val="a5"/>
        </w:rPr>
        <w:footnoteReference w:id="4855" w:customMarkFollows="0"/>
      </w:r>
      <w:bookmarkEnd w:id="6429"/>
      <w:r>
        <w:rPr>
          <w:rtl/>
        </w:rPr>
        <w:t xml:space="preserve">, האומר שר׳ ישראל עצמו אכל. אבל טענתו </w:t>
      </w:r>
      <w:proofErr w:type="spellStart"/>
      <w:r>
        <w:rPr>
          <w:rtl/>
        </w:rPr>
        <w:t>ש“עלה</w:t>
      </w:r>
      <w:proofErr w:type="spellEnd"/>
      <w:r>
        <w:rPr>
          <w:rtl/>
        </w:rPr>
        <w:t xml:space="preserve"> על הבימה בבית הכנסת הגדול בווילנה ועמו שני </w:t>
      </w:r>
      <w:proofErr w:type="spellStart"/>
      <w:r>
        <w:rPr>
          <w:rtl/>
        </w:rPr>
        <w:t>מ״צים</w:t>
      </w:r>
      <w:proofErr w:type="spellEnd"/>
      <w:r>
        <w:rPr>
          <w:rtl/>
        </w:rPr>
        <w:t xml:space="preserve"> ידועים” מוטעית הן במקום הן במלוויו, כפי שעולה מן הפסקה השנייה לעיל</w:t>
      </w:r>
      <w:bookmarkStart w:id="6430" w:name="_fnr4844"/>
      <w:r>
        <w:rPr>
          <w:rStyle w:val="a5"/>
        </w:rPr>
        <w:footnoteReference w:id="4856" w:customMarkFollows="0"/>
      </w:r>
      <w:bookmarkEnd w:id="6430"/>
      <w:bookmarkStart w:id="7054" w:name="_TranslatorNote_5402"/>
      <w:r>
        <w:rPr>
          <w:rStyle w:val="a5"/>
          <w:vertAlign w:val="superscript"/>
          <w:rtl/>
        </w:rPr>
        <w:footnoteReference w:id="4857" w:customMarkFollows="1"/>
        <w:t>*</w:t>
      </w:r>
      <w:bookmarkEnd w:id="7054"/>
      <w:r>
        <w:rPr>
          <w:rtl/>
        </w:rPr>
        <w:t xml:space="preserve">.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31" w:name="_fnr4845"/>
      <w:r>
        <w:rPr>
          <w:rStyle w:val="a5"/>
        </w:rPr>
        <w:footnoteReference w:id="4858" w:customMarkFollows="0"/>
      </w:r>
      <w:bookmarkEnd w:id="6431"/>
      <w:r>
        <w:rPr>
          <w:rtl/>
        </w:rPr>
        <w:t xml:space="preserve">, מוצא תמיכה בגרסת יעקב מארק למאורעות יום הכיפורים בזיכרונות בנו של ר׳ ישראל, ר׳ יצחק ליפקין, שכתב: “בעת ‘המחלה’, לא עלינו, כשהגיע יום הכיפורים, ידוע שהתיר לאכול פחות </w:t>
      </w:r>
      <w:proofErr w:type="spellStart"/>
      <w:r>
        <w:rPr>
          <w:rtl/>
        </w:rPr>
        <w:t>מכשיעור</w:t>
      </w:r>
      <w:proofErr w:type="spellEnd"/>
      <w:r>
        <w:rPr>
          <w:rtl/>
        </w:rPr>
        <w:t xml:space="preserve">, </w:t>
      </w:r>
      <w:proofErr w:type="spellStart"/>
      <w:r>
        <w:rPr>
          <w:b/>
          <w:bCs/>
          <w:rtl/>
        </w:rPr>
        <w:t>וכו</w:t>
      </w:r>
      <w:proofErr w:type="spellEnd"/>
      <w:r>
        <w:rPr>
          <w:b/>
          <w:bCs/>
          <w:rtl/>
        </w:rPr>
        <w:t>׳</w:t>
      </w:r>
      <w:r>
        <w:rPr>
          <w:rtl/>
        </w:rPr>
        <w:t xml:space="preserve">, ואת זאת </w:t>
      </w:r>
      <w:r>
        <w:rPr>
          <w:b/>
          <w:bCs/>
          <w:rtl/>
        </w:rPr>
        <w:t>החליט רק בלילה שלפני יום הכיפורים</w:t>
      </w:r>
      <w:r>
        <w:rPr>
          <w:rtl/>
        </w:rPr>
        <w:t xml:space="preserve">... וצירף להיתר את </w:t>
      </w:r>
      <w:r>
        <w:rPr>
          <w:rtl/>
        </w:rPr>
        <w:lastRenderedPageBreak/>
        <w:t xml:space="preserve">שיקול חילול השם </w:t>
      </w:r>
      <w:proofErr w:type="spellStart"/>
      <w:r>
        <w:rPr>
          <w:rtl/>
        </w:rPr>
        <w:t>מהעכו״ם</w:t>
      </w:r>
      <w:bookmarkStart w:id="6432" w:name="_fnr4846"/>
      <w:proofErr w:type="spellEnd"/>
      <w:r>
        <w:rPr>
          <w:rStyle w:val="a5"/>
        </w:rPr>
        <w:footnoteReference w:id="4859" w:customMarkFollows="0"/>
      </w:r>
      <w:bookmarkEnd w:id="6432"/>
      <w:r>
        <w:rPr>
          <w:rtl/>
        </w:rPr>
        <w:t xml:space="preserve">, שמא יאמרו כי בגלל האמונה היהודית באה עליהם ‘המחלה’, חס ושלום (ההדגשות שלי)”. עיון בדברי הרב ליפקין תומך בדברי רבנו, שבית הדין של וילנה הביע מורת רוח מוצדקת על שר׳ ישראל לא התייעץ עמו קודם לכן. בטענה </w:t>
      </w:r>
      <w:proofErr w:type="spellStart"/>
      <w:r>
        <w:rPr>
          <w:rtl/>
        </w:rPr>
        <w:t>ש“רק</w:t>
      </w:r>
      <w:proofErr w:type="spellEnd"/>
      <w:r>
        <w:rPr>
          <w:rtl/>
        </w:rPr>
        <w:t xml:space="preserve"> בלילה שלפני יום הכיפורים” החליט ר׳ ישראל לפעול כפי שפעל, ביקש בנו להדוף את עיקר תלונתו של בית הדין.</w:t>
      </w:r>
    </w:p>
    <w:p w14:paraId="12858F44" w14:textId="77777777" w:rsidR="00AB3647" w:rsidRDefault="00000000" w:rsidP="007923E9">
      <w:pPr>
        <w:spacing w:after="120" w:line="276" w:lineRule="auto"/>
        <w:ind w:firstLine="283"/>
        <w:jc w:val="both"/>
      </w:pPr>
      <w:r>
        <w:rPr>
          <w:rtl/>
        </w:rPr>
        <w:t xml:space="preserve">אין בדברי ר׳ יצחק ליפקין ראיה מכרעת שר׳ ישראל עצמו לא אכל. </w:t>
      </w:r>
      <w:proofErr w:type="spellStart"/>
      <w:r>
        <w:rPr>
          <w:rtl/>
        </w:rPr>
        <w:t>אטקס</w:t>
      </w:r>
      <w:proofErr w:type="spellEnd"/>
      <w:r>
        <w:rPr>
          <w:rtl/>
        </w:rPr>
        <w:t xml:space="preserve"> מוכרח להודות שהרב ליפקין </w:t>
      </w:r>
      <w:r>
        <w:rPr>
          <w:b/>
          <w:bCs/>
          <w:rtl/>
        </w:rPr>
        <w:t>הרחיק לכת יותר מיעקב מארק</w:t>
      </w:r>
      <w:r>
        <w:rPr>
          <w:rtl/>
        </w:rPr>
        <w:t xml:space="preserve">, באומרו שאביו התיר לכל אדם “לאכול פחות </w:t>
      </w:r>
      <w:proofErr w:type="spellStart"/>
      <w:r>
        <w:rPr>
          <w:rtl/>
        </w:rPr>
        <w:t>מכשיעור</w:t>
      </w:r>
      <w:proofErr w:type="spellEnd"/>
      <w:r>
        <w:rPr>
          <w:rtl/>
        </w:rPr>
        <w:t xml:space="preserve">”: לפי יעקב מארק, ההיתר היחיד שנתן היה “לכל מי שמרגיש חולשה לטעום מן העוגות המוכנות בלי לשאול רופא”. אם הותר לכל אדם לאכול, גם למי שחש בטוב, כפי שמורה הרב ליפקין – אף שרק פחות </w:t>
      </w:r>
      <w:proofErr w:type="spellStart"/>
      <w:r>
        <w:rPr>
          <w:rtl/>
        </w:rPr>
        <w:t>מכשיעור</w:t>
      </w:r>
      <w:proofErr w:type="spellEnd"/>
      <w:r>
        <w:rPr>
          <w:rtl/>
        </w:rPr>
        <w:t xml:space="preserve"> – באיזה היגיון יכול היה ר׳ ישראל להצדיק את המשך הימנעותו מאוכל? מוכרח שגם הוא טעם </w:t>
      </w:r>
      <w:proofErr w:type="spellStart"/>
      <w:r>
        <w:rPr>
          <w:rtl/>
        </w:rPr>
        <w:t>דבר־מה</w:t>
      </w:r>
      <w:proofErr w:type="spellEnd"/>
      <w:r>
        <w:rPr>
          <w:rtl/>
        </w:rPr>
        <w:t xml:space="preserve">, כדי שפסקו יתקבל באמון. יתרה מזו, ובניגוד לתפיסת </w:t>
      </w:r>
      <w:proofErr w:type="spellStart"/>
      <w:r>
        <w:rPr>
          <w:rtl/>
        </w:rPr>
        <w:t>אטקס</w:t>
      </w:r>
      <w:proofErr w:type="spellEnd"/>
      <w:r>
        <w:rPr>
          <w:rtl/>
        </w:rPr>
        <w:t xml:space="preserve">: בהכניסו את </w:t>
      </w:r>
      <w:proofErr w:type="spellStart"/>
      <w:r>
        <w:rPr>
          <w:rtl/>
        </w:rPr>
        <w:t>ה“וכו</w:t>
      </w:r>
      <w:proofErr w:type="spellEnd"/>
      <w:r>
        <w:rPr>
          <w:rtl/>
        </w:rPr>
        <w:t>׳” התמוה (שהודגש לעיל), רמז הרב ליפקין ש</w:t>
      </w:r>
      <w:r>
        <w:rPr>
          <w:b/>
          <w:bCs/>
          <w:rtl/>
        </w:rPr>
        <w:t>השמיט בכוונה</w:t>
      </w:r>
      <w:r>
        <w:rPr>
          <w:rtl/>
        </w:rPr>
        <w:t xml:space="preserve"> </w:t>
      </w:r>
      <w:proofErr w:type="spellStart"/>
      <w:r>
        <w:rPr>
          <w:rtl/>
        </w:rPr>
        <w:t>דבר־מה</w:t>
      </w:r>
      <w:proofErr w:type="spellEnd"/>
      <w:r>
        <w:rPr>
          <w:rtl/>
        </w:rPr>
        <w:t xml:space="preserve"> שקוראים מסוימים – הלומדים – אמורים להבין, כגון שגם </w:t>
      </w:r>
      <w:r>
        <w:rPr>
          <w:b/>
          <w:bCs/>
          <w:rtl/>
        </w:rPr>
        <w:t>ר׳ ישראל עצמו</w:t>
      </w:r>
      <w:r>
        <w:rPr>
          <w:rtl/>
        </w:rPr>
        <w:t xml:space="preserve"> הפסיק את הצום! בנו לא ציין עובדה זו במפורש, וזה משקף רק את רצונו לסלק מעל אביו את מראית חוסר הדתיות שבמעשה כזה.</w:t>
      </w:r>
    </w:p>
    <w:p w14:paraId="28D5D2D6" w14:textId="77777777" w:rsidR="00AB3647" w:rsidRDefault="00000000" w:rsidP="007923E9">
      <w:pPr>
        <w:spacing w:after="120" w:line="276" w:lineRule="auto"/>
        <w:ind w:firstLine="283"/>
        <w:jc w:val="both"/>
      </w:pPr>
      <w:r>
        <w:rPr>
          <w:rtl/>
        </w:rPr>
        <w:t xml:space="preserve">הסתירה בין דברי הרב ליפקין לדברי אבי, בשאלה אם הגביל ר׳ ישראל לפחות </w:t>
      </w:r>
      <w:proofErr w:type="spellStart"/>
      <w:r>
        <w:rPr>
          <w:rtl/>
        </w:rPr>
        <w:t>מכשיעור</w:t>
      </w:r>
      <w:proofErr w:type="spellEnd"/>
      <w:r>
        <w:rPr>
          <w:rtl/>
        </w:rPr>
        <w:t xml:space="preserve"> את כמות המזון שהתיר לציבור אם לאו, נראית בלתי ניתנת ליישוב. אבל בפסקה השנייה הוסבר שר׳ ישראל נזקק להיתר גורף להפסיק את הצום כדי שפשוטי העם שחייהם נתונים בסכנה יאכלו, ומכאן נמצא פתרון לסתירה בין דברי אבי לזיכרונות הרב ליפקין. כדי להביא חולים מפשוטי העם לאכול, די היה בהכרזה שהצום בטל; לא היה </w:t>
      </w:r>
      <w:r>
        <w:rPr>
          <w:b/>
          <w:bCs/>
          <w:rtl/>
        </w:rPr>
        <w:t>צורך ממשי</w:t>
      </w:r>
      <w:r>
        <w:rPr>
          <w:rtl/>
        </w:rPr>
        <w:t xml:space="preserve"> שאנשים שאינם בסכנה יאכלו. בדוגמה שנתן אבי בטורונטו, חולה מסוכן מתעקש שלא יאכל אלא אם יאכל עמו מניין יהודים, ובכך מותר לכל העשרה לאכול כדי להציל את החולה היחיד. אם אחד או יותר מן העשרה יכולים להסתפק </w:t>
      </w:r>
      <w:r>
        <w:rPr>
          <w:b/>
          <w:bCs/>
          <w:rtl/>
        </w:rPr>
        <w:t>בהעמדת פנים של אכילה</w:t>
      </w:r>
      <w:r>
        <w:rPr>
          <w:rtl/>
        </w:rPr>
        <w:t xml:space="preserve"> ולהטעות את החולה, שיחשוב שהם אוכלים עמו, הם בוודאי חייבים לעשות כן (ואם יאכלו בכל זאת, יהיו חייבים על העבירה). כך גם כל אדם בווילנה שיכול היה </w:t>
      </w:r>
      <w:r>
        <w:rPr>
          <w:b/>
          <w:bCs/>
          <w:rtl/>
        </w:rPr>
        <w:t>להימנע</w:t>
      </w:r>
      <w:r>
        <w:rPr>
          <w:rtl/>
        </w:rPr>
        <w:t xml:space="preserve"> מקיום הכרזת ר׳ ישראל – בלי לשים אותה ללעג – היה חייב להתעלם ממנה, </w:t>
      </w:r>
      <w:r>
        <w:rPr>
          <w:b/>
          <w:bCs/>
          <w:rtl/>
        </w:rPr>
        <w:t>ובכלל זה ר׳ ישראל עצמו</w:t>
      </w:r>
      <w:r>
        <w:rPr>
          <w:rtl/>
        </w:rPr>
        <w:t>.</w:t>
      </w:r>
    </w:p>
    <w:p w14:paraId="2E0618E3" w14:textId="77777777" w:rsidR="00AB3647" w:rsidRDefault="00000000" w:rsidP="007923E9">
      <w:pPr>
        <w:spacing w:after="120" w:line="276" w:lineRule="auto"/>
        <w:ind w:firstLine="283"/>
        <w:jc w:val="both"/>
      </w:pPr>
      <w:r>
        <w:rPr>
          <w:rtl/>
        </w:rPr>
        <w:t xml:space="preserve">לפיכך, אף שר׳ ישראל סבר שגם עליו לטעום מאכל כדי שהציבור יתייחס ברצינות להכרזתו, די היה שיאכל </w:t>
      </w:r>
      <w:r>
        <w:rPr>
          <w:b/>
          <w:bCs/>
          <w:rtl/>
        </w:rPr>
        <w:t xml:space="preserve">פחות </w:t>
      </w:r>
      <w:proofErr w:type="spellStart"/>
      <w:r>
        <w:rPr>
          <w:b/>
          <w:bCs/>
          <w:rtl/>
        </w:rPr>
        <w:t>מכשיעור</w:t>
      </w:r>
      <w:proofErr w:type="spellEnd"/>
      <w:r>
        <w:rPr>
          <w:rtl/>
        </w:rPr>
        <w:t xml:space="preserve">, שבכך לא הופר צומו מבחינה הלכתית – ורק כך אכל מן העוגה, היין והתה החם! נמצא שדברי הבן שר׳ ישראל “התיר לאכול פחות </w:t>
      </w:r>
      <w:proofErr w:type="spellStart"/>
      <w:r>
        <w:rPr>
          <w:rtl/>
        </w:rPr>
        <w:t>מכשיעור</w:t>
      </w:r>
      <w:proofErr w:type="spellEnd"/>
      <w:r>
        <w:rPr>
          <w:rtl/>
        </w:rPr>
        <w:t xml:space="preserve">, </w:t>
      </w:r>
      <w:proofErr w:type="spellStart"/>
      <w:r>
        <w:rPr>
          <w:rtl/>
        </w:rPr>
        <w:t>וכו</w:t>
      </w:r>
      <w:proofErr w:type="spellEnd"/>
      <w:r>
        <w:rPr>
          <w:rtl/>
        </w:rPr>
        <w:t xml:space="preserve">׳” מתייחסים רק אליו עצמו: את הכול ציווה לאכול שיעורי מזון שלמים (דבר שהבן אינו מגלה), ואילו ר׳ ישראל התיר </w:t>
      </w:r>
      <w:r>
        <w:rPr>
          <w:b/>
          <w:bCs/>
          <w:rtl/>
        </w:rPr>
        <w:t>לעצמו</w:t>
      </w:r>
      <w:r>
        <w:rPr>
          <w:rtl/>
        </w:rPr>
        <w:t xml:space="preserve"> לאכול רק </w:t>
      </w:r>
      <w:r>
        <w:rPr>
          <w:b/>
          <w:bCs/>
          <w:rtl/>
        </w:rPr>
        <w:t xml:space="preserve">פחות </w:t>
      </w:r>
      <w:proofErr w:type="spellStart"/>
      <w:r>
        <w:rPr>
          <w:b/>
          <w:bCs/>
          <w:rtl/>
        </w:rPr>
        <w:t>מכשיעור</w:t>
      </w:r>
      <w:proofErr w:type="spellEnd"/>
      <w:r>
        <w:rPr>
          <w:rtl/>
        </w:rPr>
        <w:t xml:space="preserve">. אם כן, הרב ליפקין לא רק רומז </w:t>
      </w:r>
      <w:proofErr w:type="spellStart"/>
      <w:r>
        <w:rPr>
          <w:rtl/>
        </w:rPr>
        <w:t>ב“וכו</w:t>
      </w:r>
      <w:proofErr w:type="spellEnd"/>
      <w:r>
        <w:rPr>
          <w:rtl/>
        </w:rPr>
        <w:t xml:space="preserve">׳” הסתום שר׳ ישראל עצמו אכל ביום הכיפורים, אלא כל המשפט שלפני מילה זו מתאר </w:t>
      </w:r>
      <w:r>
        <w:rPr>
          <w:rtl/>
        </w:rPr>
        <w:lastRenderedPageBreak/>
        <w:t xml:space="preserve">למעשה </w:t>
      </w:r>
      <w:r>
        <w:rPr>
          <w:b/>
          <w:bCs/>
          <w:rtl/>
        </w:rPr>
        <w:t>מה שעשה</w:t>
      </w:r>
      <w:r>
        <w:rPr>
          <w:rtl/>
        </w:rPr>
        <w:t>. כנראה אמר ר׳ ישראל גם לתלמידיו שהיו בריאים ומהימנים כאחד שלא ישמעו להכרזתו, ויצומו בסתר</w:t>
      </w:r>
      <w:bookmarkStart w:id="6433" w:name="_fnr4847"/>
      <w:r>
        <w:rPr>
          <w:rStyle w:val="a5"/>
        </w:rPr>
        <w:footnoteReference w:id="4860" w:customMarkFollows="0"/>
      </w:r>
      <w:bookmarkEnd w:id="6433"/>
      <w:r>
        <w:rPr>
          <w:rtl/>
        </w:rPr>
        <w:t>.</w:t>
      </w:r>
    </w:p>
    <w:p w14:paraId="3AF57855" w14:textId="77777777" w:rsidR="00AB3647" w:rsidRDefault="00000000" w:rsidP="007923E9">
      <w:pPr>
        <w:spacing w:after="120" w:line="276" w:lineRule="auto"/>
        <w:ind w:firstLine="283"/>
        <w:jc w:val="both"/>
      </w:pPr>
      <w:r>
        <w:rPr>
          <w:rtl/>
        </w:rPr>
        <w:t xml:space="preserve">עיון בטעם הנוסף והמחודש שנתן הרב ליפקין למעשה אביו – למנוע מן הגויים לטעון שיום הצום היהודי גורם להתפשטות המגפה – יביא אותנו לראיה שבן ר׳ ישראל הסכים עם מסורת אבי, שר׳ ישראל התיר גם אכילה של שיעורים שלמים. יש להבין שבמילים “חילול השם </w:t>
      </w:r>
      <w:proofErr w:type="spellStart"/>
      <w:r>
        <w:rPr>
          <w:rtl/>
        </w:rPr>
        <w:t>מהעכו״ם</w:t>
      </w:r>
      <w:proofErr w:type="spellEnd"/>
      <w:r>
        <w:rPr>
          <w:rtl/>
        </w:rPr>
        <w:t xml:space="preserve">” התכוון הרב ליפקין למעשה </w:t>
      </w:r>
      <w:proofErr w:type="spellStart"/>
      <w:r>
        <w:rPr>
          <w:rtl/>
        </w:rPr>
        <w:t>ל“סכנת</w:t>
      </w:r>
      <w:proofErr w:type="spellEnd"/>
      <w:r>
        <w:rPr>
          <w:rtl/>
        </w:rPr>
        <w:t xml:space="preserve"> נפשות מצד </w:t>
      </w:r>
      <w:proofErr w:type="spellStart"/>
      <w:r>
        <w:rPr>
          <w:rtl/>
        </w:rPr>
        <w:t>העכו״ם</w:t>
      </w:r>
      <w:proofErr w:type="spellEnd"/>
      <w:r>
        <w:rPr>
          <w:rtl/>
        </w:rPr>
        <w:t>”. אף כעבור עשרות שנים השתמש בלשון נקייה – חילול השם במקום סכנת נפשות – מפחד לעורר את עוינות הגויים. לקורא החריף גילה הרב ליפקין את כוונתו האמיתית בכך שכתב חילול השם “</w:t>
      </w:r>
      <w:proofErr w:type="spellStart"/>
      <w:r>
        <w:rPr>
          <w:rtl/>
        </w:rPr>
        <w:t>מהעכו״ם</w:t>
      </w:r>
      <w:proofErr w:type="spellEnd"/>
      <w:r>
        <w:rPr>
          <w:rtl/>
        </w:rPr>
        <w:t>”, במקום הלשון המתאימה לחילול השם: “</w:t>
      </w:r>
      <w:proofErr w:type="spellStart"/>
      <w:r>
        <w:rPr>
          <w:rtl/>
        </w:rPr>
        <w:t>להעכו״ם</w:t>
      </w:r>
      <w:proofErr w:type="spellEnd"/>
      <w:r>
        <w:rPr>
          <w:rtl/>
        </w:rPr>
        <w:t>”.</w:t>
      </w:r>
    </w:p>
    <w:p w14:paraId="761633BC" w14:textId="77777777" w:rsidR="00AB3647" w:rsidRDefault="00000000" w:rsidP="007923E9">
      <w:pPr>
        <w:spacing w:after="120" w:line="276" w:lineRule="auto"/>
        <w:ind w:firstLine="283"/>
        <w:jc w:val="both"/>
      </w:pPr>
      <w:r>
        <w:rPr>
          <w:rtl/>
        </w:rPr>
        <w:t xml:space="preserve">ההצעה שהרב ליפקין אינו מתכוון באמת לחילול השם אינה נובעת מפלפול בחילוף אות עברית אחת, אלא מן האמירה כולה: חילול השם – בייחוד כלפי </w:t>
      </w:r>
      <w:proofErr w:type="spellStart"/>
      <w:r>
        <w:rPr>
          <w:rtl/>
        </w:rPr>
        <w:t>לא־יהודים</w:t>
      </w:r>
      <w:proofErr w:type="spellEnd"/>
      <w:r>
        <w:rPr>
          <w:rtl/>
        </w:rPr>
        <w:t xml:space="preserve"> – אינו מוכר אצל הפוסקים אפילו כשיקול מצטרף להיתר לעבור עבירה</w:t>
      </w:r>
      <w:bookmarkStart w:id="6434" w:name="_fnr4848"/>
      <w:r>
        <w:rPr>
          <w:rStyle w:val="a5"/>
        </w:rPr>
        <w:footnoteReference w:id="4861" w:customMarkFollows="0"/>
      </w:r>
      <w:bookmarkEnd w:id="6434"/>
      <w:r>
        <w:rPr>
          <w:rtl/>
        </w:rPr>
        <w:t xml:space="preserve">! אבל אם התכוון ר׳ יצחק ליפקין </w:t>
      </w:r>
      <w:proofErr w:type="spellStart"/>
      <w:r>
        <w:rPr>
          <w:rtl/>
        </w:rPr>
        <w:t>ל“סכנת</w:t>
      </w:r>
      <w:proofErr w:type="spellEnd"/>
      <w:r>
        <w:rPr>
          <w:rtl/>
        </w:rPr>
        <w:t xml:space="preserve"> נפשות מצד </w:t>
      </w:r>
      <w:proofErr w:type="spellStart"/>
      <w:r>
        <w:rPr>
          <w:rtl/>
        </w:rPr>
        <w:t>העכו״ם</w:t>
      </w:r>
      <w:proofErr w:type="spellEnd"/>
      <w:r>
        <w:rPr>
          <w:rtl/>
        </w:rPr>
        <w:t>”, כפי שמוצע כאן, נמצא היתר המבוסס על שיקול כזה בשולחן ערוך</w:t>
      </w:r>
      <w:bookmarkStart w:id="6435" w:name="_fnr4849"/>
      <w:r>
        <w:rPr>
          <w:rStyle w:val="a5"/>
        </w:rPr>
        <w:footnoteReference w:id="4862" w:customMarkFollows="0"/>
      </w:r>
      <w:bookmarkEnd w:id="6435"/>
      <w:r>
        <w:rPr>
          <w:rtl/>
        </w:rPr>
        <w:t xml:space="preserve">: </w:t>
      </w:r>
      <w:proofErr w:type="spellStart"/>
      <w:r>
        <w:rPr>
          <w:rtl/>
        </w:rPr>
        <w:t>הרמ״א</w:t>
      </w:r>
      <w:proofErr w:type="spellEnd"/>
      <w:r>
        <w:rPr>
          <w:rtl/>
        </w:rPr>
        <w:t xml:space="preserve"> מבטל שם את כל ההגבלות על כיבוי אש בשבת בעיר שגרים בה </w:t>
      </w:r>
      <w:proofErr w:type="spellStart"/>
      <w:r>
        <w:rPr>
          <w:rtl/>
        </w:rPr>
        <w:t>לא־יהודים</w:t>
      </w:r>
      <w:proofErr w:type="spellEnd"/>
      <w:r>
        <w:rPr>
          <w:rtl/>
        </w:rPr>
        <w:t>, מפני שתגובת הגויים עלולה לסכן חיי יהודים</w:t>
      </w:r>
      <w:bookmarkStart w:id="6436" w:name="_fnr4850"/>
      <w:r>
        <w:rPr>
          <w:rStyle w:val="a5"/>
        </w:rPr>
        <w:footnoteReference w:id="4863" w:customMarkFollows="0"/>
      </w:r>
      <w:bookmarkEnd w:id="6436"/>
      <w:r>
        <w:rPr>
          <w:rtl/>
        </w:rPr>
        <w:t>. האשמת יהודים במגפות והריגתם בהמוניהם בעקבותיהן היא עובדה היסטורית</w:t>
      </w:r>
      <w:bookmarkStart w:id="6437" w:name="_fnr4851"/>
      <w:r>
        <w:rPr>
          <w:rStyle w:val="a5"/>
        </w:rPr>
        <w:footnoteReference w:id="4864" w:customMarkFollows="0"/>
      </w:r>
      <w:bookmarkEnd w:id="6437"/>
      <w:r>
        <w:rPr>
          <w:rtl/>
        </w:rPr>
        <w:t xml:space="preserve">, והיא שעשתה שיקול זה נוגע לפסיקה בשעת מגפת הכולרה בווילנה. כך גם כשמביא הרב ליפקין את חשש אביו שהגויים יאמרו “שבגלל האמונה היהודית באה עליהם המחלה”, כוונתו להתפשטות המחלה לא בקרב היהודים (שבכך ייתכן שהיה חילול השם!), אלא </w:t>
      </w:r>
      <w:r>
        <w:rPr>
          <w:b/>
          <w:bCs/>
          <w:rtl/>
        </w:rPr>
        <w:t>מהם</w:t>
      </w:r>
      <w:r>
        <w:rPr>
          <w:rtl/>
        </w:rPr>
        <w:t xml:space="preserve"> אל הציבור הכללי, </w:t>
      </w:r>
      <w:proofErr w:type="spellStart"/>
      <w:r>
        <w:rPr>
          <w:rtl/>
        </w:rPr>
        <w:t>הלא־יהודי</w:t>
      </w:r>
      <w:proofErr w:type="spellEnd"/>
      <w:r>
        <w:rPr>
          <w:rtl/>
        </w:rPr>
        <w:t>.</w:t>
      </w:r>
    </w:p>
    <w:p w14:paraId="4CCBB1DA" w14:textId="77777777" w:rsidR="00AB3647" w:rsidRDefault="00000000" w:rsidP="007923E9">
      <w:pPr>
        <w:spacing w:after="120" w:line="276" w:lineRule="auto"/>
        <w:ind w:firstLine="283"/>
        <w:jc w:val="both"/>
      </w:pPr>
      <w:r>
        <w:rPr>
          <w:rtl/>
        </w:rPr>
        <w:t xml:space="preserve">עיון זה מוביל למסקנה שהרב ליפקין רמז שר׳ ישראל </w:t>
      </w:r>
      <w:r>
        <w:rPr>
          <w:b/>
          <w:bCs/>
          <w:rtl/>
        </w:rPr>
        <w:t>ביטל את הצום לגמרי</w:t>
      </w:r>
      <w:r>
        <w:rPr>
          <w:rtl/>
        </w:rPr>
        <w:t xml:space="preserve">. שאם לא כן – כלומר, אם התיר רק לחלשים לאכול בלי הוראת רופא מפורשת (או אף אם התיר לכל אדם לאכול רק כמויות מזעריות) – עדיין היו הגויים יכולים לטעון </w:t>
      </w:r>
      <w:proofErr w:type="spellStart"/>
      <w:r>
        <w:rPr>
          <w:rtl/>
        </w:rPr>
        <w:t>ש“האמונה</w:t>
      </w:r>
      <w:proofErr w:type="spellEnd"/>
      <w:r>
        <w:rPr>
          <w:rtl/>
        </w:rPr>
        <w:t xml:space="preserve"> היהודית”, כלומר יום הצום, גורמת להתפשטות המחלה, ועדיין היו עלולים לצאת למסע רצח ביהודים. נמצא שדברי הרב ליפקין מאשרים בשלמות את מסורת אבי שר׳ ישראל ביטל את הצום. אולם די היה בהכרזה הפומבית כדי לשכך את החשש שהגויים יאשימו את היהודים בהתפשטות הכולרה. ואילו לגבי כל יחיד, רק הסכנה לבריאות שבמגפה התירה להפסיק את הצום, והחולים היו צריכים לאכול רק פחות </w:t>
      </w:r>
      <w:proofErr w:type="spellStart"/>
      <w:r>
        <w:rPr>
          <w:rtl/>
        </w:rPr>
        <w:t>מכשיעור</w:t>
      </w:r>
      <w:proofErr w:type="spellEnd"/>
      <w:r>
        <w:rPr>
          <w:rtl/>
        </w:rPr>
        <w:t>.</w:t>
      </w:r>
    </w:p>
    <w:p w14:paraId="3D72CA18" w14:textId="77777777" w:rsidR="00AB3647" w:rsidRDefault="00000000" w:rsidP="007923E9">
      <w:pPr>
        <w:spacing w:after="120" w:line="276" w:lineRule="auto"/>
        <w:ind w:firstLine="283"/>
        <w:jc w:val="both"/>
      </w:pPr>
      <w:proofErr w:type="spellStart"/>
      <w:r>
        <w:rPr>
          <w:rtl/>
        </w:rPr>
        <w:lastRenderedPageBreak/>
        <w:t>ב“שערי</w:t>
      </w:r>
      <w:proofErr w:type="spellEnd"/>
      <w:r>
        <w:rPr>
          <w:rtl/>
        </w:rPr>
        <w:t xml:space="preserve"> ציון”</w:t>
      </w:r>
      <w:bookmarkStart w:id="6438" w:name="_fnr4852"/>
      <w:r>
        <w:rPr>
          <w:rStyle w:val="a5"/>
        </w:rPr>
        <w:footnoteReference w:id="4865" w:customMarkFollows="0"/>
      </w:r>
      <w:bookmarkEnd w:id="6438"/>
      <w:r>
        <w:rPr>
          <w:rtl/>
        </w:rPr>
        <w:t xml:space="preserve"> מספר ר׳ </w:t>
      </w:r>
      <w:proofErr w:type="spellStart"/>
      <w:r>
        <w:rPr>
          <w:rtl/>
        </w:rPr>
        <w:t>צבי־הירש</w:t>
      </w:r>
      <w:proofErr w:type="spellEnd"/>
      <w:r>
        <w:rPr>
          <w:rtl/>
        </w:rPr>
        <w:t xml:space="preserve"> פרבר שר׳ ישראל מצא דרך הלכתית להתיר לכל אדם לאכול פחות </w:t>
      </w:r>
      <w:proofErr w:type="spellStart"/>
      <w:r>
        <w:rPr>
          <w:rtl/>
        </w:rPr>
        <w:t>מכשיעור</w:t>
      </w:r>
      <w:proofErr w:type="spellEnd"/>
      <w:r>
        <w:rPr>
          <w:rtl/>
        </w:rPr>
        <w:t xml:space="preserve"> ביום הכיפורים אפילו </w:t>
      </w:r>
      <w:r>
        <w:rPr>
          <w:b/>
          <w:bCs/>
          <w:rtl/>
        </w:rPr>
        <w:t>בלי נסיבות מיוחדות</w:t>
      </w:r>
      <w:r>
        <w:rPr>
          <w:rtl/>
        </w:rPr>
        <w:t xml:space="preserve">: שבועה שלא אוכל כשיעור. מצד האיסור שקבעה השבועה נשאר האדם רשאי לאכול פחות </w:t>
      </w:r>
      <w:proofErr w:type="spellStart"/>
      <w:r>
        <w:rPr>
          <w:rtl/>
        </w:rPr>
        <w:t>מכשיעור</w:t>
      </w:r>
      <w:proofErr w:type="spellEnd"/>
      <w:r>
        <w:rPr>
          <w:rtl/>
        </w:rPr>
        <w:t xml:space="preserve">, ובשל השבועה אין איסור יום הכיפורים לאכול שיעור שלם חל, מחמת הכלל “אין איסור חל על איסור”. כשבא יום הכיפורים, לא יחול איסורו על שיעור מזון שכבר נאסר מחמת השבועה, ובעקבות זאת אין איסור יום הכיפורים חל גם על פחות </w:t>
      </w:r>
      <w:proofErr w:type="spellStart"/>
      <w:r>
        <w:rPr>
          <w:rtl/>
        </w:rPr>
        <w:t>מכשיעור</w:t>
      </w:r>
      <w:proofErr w:type="spellEnd"/>
      <w:r>
        <w:rPr>
          <w:rtl/>
        </w:rPr>
        <w:t xml:space="preserve">. הטעם הוא שאיסורו של דבר שהוא פחות מן השיעור ההלכתי מבוסס על “חזי </w:t>
      </w:r>
      <w:proofErr w:type="spellStart"/>
      <w:r>
        <w:rPr>
          <w:rtl/>
        </w:rPr>
        <w:t>לאיצטרופי</w:t>
      </w:r>
      <w:proofErr w:type="spellEnd"/>
      <w:r>
        <w:rPr>
          <w:rtl/>
        </w:rPr>
        <w:t>” [אפשר לצרפו לכמות קטנה נוספת ולהגיע לשיעור שלם]</w:t>
      </w:r>
      <w:bookmarkStart w:id="6439" w:name="_fnr4853"/>
      <w:r>
        <w:rPr>
          <w:rStyle w:val="a5"/>
        </w:rPr>
        <w:footnoteReference w:id="4866" w:customMarkFollows="0"/>
      </w:r>
      <w:bookmarkEnd w:id="6439"/>
      <w:r>
        <w:rPr>
          <w:rtl/>
        </w:rPr>
        <w:t xml:space="preserve">. </w:t>
      </w:r>
      <w:proofErr w:type="spellStart"/>
      <w:r>
        <w:rPr>
          <w:rtl/>
        </w:rPr>
        <w:t>וכשאפילו</w:t>
      </w:r>
      <w:proofErr w:type="spellEnd"/>
      <w:r>
        <w:rPr>
          <w:rtl/>
        </w:rPr>
        <w:t xml:space="preserve"> שיעור שלם אינו אסור ביום הכיפורים, כפי שהוסבר, אין פחות </w:t>
      </w:r>
      <w:proofErr w:type="spellStart"/>
      <w:r>
        <w:rPr>
          <w:rtl/>
        </w:rPr>
        <w:t>מכשיעור</w:t>
      </w:r>
      <w:proofErr w:type="spellEnd"/>
      <w:r>
        <w:rPr>
          <w:rtl/>
        </w:rPr>
        <w:t xml:space="preserve"> ראוי עוד להצטרף עם כמות נוספת לשיעור שלם האסור. לפיכך פחות </w:t>
      </w:r>
      <w:proofErr w:type="spellStart"/>
      <w:r>
        <w:rPr>
          <w:rtl/>
        </w:rPr>
        <w:t>מכשיעור</w:t>
      </w:r>
      <w:proofErr w:type="spellEnd"/>
      <w:r>
        <w:rPr>
          <w:rtl/>
        </w:rPr>
        <w:t xml:space="preserve"> מותר לגמרי.</w:t>
      </w:r>
    </w:p>
    <w:p w14:paraId="77BFC2A6" w14:textId="77777777" w:rsidR="00AB3647" w:rsidRDefault="00000000" w:rsidP="007923E9">
      <w:pPr>
        <w:spacing w:after="120" w:line="276" w:lineRule="auto"/>
        <w:ind w:firstLine="283"/>
        <w:jc w:val="both"/>
      </w:pPr>
      <w:r>
        <w:rPr>
          <w:rtl/>
        </w:rPr>
        <w:t xml:space="preserve">מסתבר אפוא שר׳ ישראל לא הפסיק את צומו מן הבחינה ההלכתית – אף באכילת פחות </w:t>
      </w:r>
      <w:proofErr w:type="spellStart"/>
      <w:r>
        <w:rPr>
          <w:rtl/>
        </w:rPr>
        <w:t>מכשיעור</w:t>
      </w:r>
      <w:proofErr w:type="spellEnd"/>
      <w:r>
        <w:rPr>
          <w:rtl/>
        </w:rPr>
        <w:t xml:space="preserve"> בלבד, כאמור לעיל – רק כדי לתת תוקף להכרזתו שהצום בטל. וכך עשה: ביום שלפני יום הכיפורים נשבע שלא יאכל שיעור מזון שלם בעשרה בתשרי, יום הכיפורים, ולפי חידושו ההלכתי שמסר ר׳ </w:t>
      </w:r>
      <w:proofErr w:type="spellStart"/>
      <w:r>
        <w:rPr>
          <w:rtl/>
        </w:rPr>
        <w:t>צבי־הירש</w:t>
      </w:r>
      <w:proofErr w:type="spellEnd"/>
      <w:r>
        <w:rPr>
          <w:rtl/>
        </w:rPr>
        <w:t xml:space="preserve"> פרבר יכול היה אפוא לאכול פחות </w:t>
      </w:r>
      <w:proofErr w:type="spellStart"/>
      <w:r>
        <w:rPr>
          <w:rtl/>
        </w:rPr>
        <w:t>מכשיעור</w:t>
      </w:r>
      <w:proofErr w:type="spellEnd"/>
      <w:r>
        <w:rPr>
          <w:rtl/>
        </w:rPr>
        <w:t xml:space="preserve"> בלי צורך בהיתר מיוחד. כנראה אמר גם לתלמידיו</w:t>
      </w:r>
      <w:bookmarkStart w:id="6440" w:name="_fnr4854"/>
      <w:r>
        <w:rPr>
          <w:rStyle w:val="a5"/>
        </w:rPr>
        <w:footnoteReference w:id="4867" w:customMarkFollows="0"/>
      </w:r>
      <w:bookmarkEnd w:id="6440"/>
      <w:r>
        <w:rPr>
          <w:rtl/>
        </w:rPr>
        <w:t xml:space="preserve"> להישבע כך, וגם הם יכלו להטעות את פשוטי העם בטעימת מעט אוכל, ולהניח להם להאמין שהם מקיימים את ביטול הצום של רבם!</w:t>
      </w:r>
    </w:p>
    <w:p w14:paraId="129B4288" w14:textId="77777777" w:rsidR="00AB3647" w:rsidRDefault="00000000" w:rsidP="007923E9">
      <w:pPr>
        <w:spacing w:after="120" w:line="276" w:lineRule="auto"/>
        <w:ind w:firstLine="283"/>
        <w:jc w:val="both"/>
      </w:pPr>
      <w:r>
        <w:rPr>
          <w:rtl/>
        </w:rPr>
        <w:t xml:space="preserve">אבל העובדה שר׳ ישראל לא פרסם היתר גורף כזה לאכול פחות </w:t>
      </w:r>
      <w:proofErr w:type="spellStart"/>
      <w:r>
        <w:rPr>
          <w:rtl/>
        </w:rPr>
        <w:t>מכשיעור</w:t>
      </w:r>
      <w:proofErr w:type="spellEnd"/>
      <w:r>
        <w:rPr>
          <w:rtl/>
        </w:rPr>
        <w:t xml:space="preserve"> אינה מוכיחה שהתכוון, בניגוד ליעקב מארק, להתיר גם אכילה של שיעורים שלמים. עדיין אפשר שהתיר רק פחות </w:t>
      </w:r>
      <w:proofErr w:type="spellStart"/>
      <w:r>
        <w:rPr>
          <w:rtl/>
        </w:rPr>
        <w:t>מכשיעור</w:t>
      </w:r>
      <w:proofErr w:type="spellEnd"/>
      <w:r>
        <w:rPr>
          <w:rtl/>
        </w:rPr>
        <w:t xml:space="preserve">, אלא שמאחר שהגיע להחלטתו לפעול “רק בלילה שלפני יום הכיפורים”, לא מוקדם מעשרים וארבע שעות לפני החג – כפי שכתב בנו הרב ליפקין – לא היה די זמן לפרסם דרך זו. יתרה מזו, ר׳ ישראל לא היה מפרסם את חידושו, מפני שהיתר מסוג זה מתאים רק ללומדים ולא לציבור הרחב, שהיה רואה בו רק דרך פלפולית לחלל את היום הקדוש. ואכן, ר׳ </w:t>
      </w:r>
      <w:proofErr w:type="spellStart"/>
      <w:r>
        <w:rPr>
          <w:rtl/>
        </w:rPr>
        <w:t>צבי־הירש</w:t>
      </w:r>
      <w:proofErr w:type="spellEnd"/>
      <w:r>
        <w:rPr>
          <w:rtl/>
        </w:rPr>
        <w:t xml:space="preserve"> פרבר אומר במפורש </w:t>
      </w:r>
      <w:proofErr w:type="spellStart"/>
      <w:r>
        <w:rPr>
          <w:rtl/>
        </w:rPr>
        <w:t>ש“בדרך</w:t>
      </w:r>
      <w:proofErr w:type="spellEnd"/>
      <w:r>
        <w:rPr>
          <w:rtl/>
        </w:rPr>
        <w:t xml:space="preserve"> מבריקה מסר רעיון מחוכם זה לתלמידים השומעים את תורתו” – רק לתלמידים.</w:t>
      </w:r>
    </w:p>
    <w:p w14:paraId="6954285B" w14:textId="77777777" w:rsidR="00AB3647" w:rsidRDefault="00000000" w:rsidP="007923E9">
      <w:pPr>
        <w:spacing w:after="120" w:line="276" w:lineRule="auto"/>
        <w:ind w:firstLine="283"/>
        <w:jc w:val="both"/>
      </w:pPr>
      <w:r>
        <w:rPr>
          <w:rtl/>
        </w:rPr>
        <w:t xml:space="preserve">לנוכח גילוי זה </w:t>
      </w:r>
      <w:proofErr w:type="spellStart"/>
      <w:r>
        <w:rPr>
          <w:rtl/>
        </w:rPr>
        <w:t>ב“שערי</w:t>
      </w:r>
      <w:proofErr w:type="spellEnd"/>
      <w:r>
        <w:rPr>
          <w:rtl/>
        </w:rPr>
        <w:t xml:space="preserve"> ציון” אפשר להבין את </w:t>
      </w:r>
      <w:proofErr w:type="spellStart"/>
      <w:r>
        <w:rPr>
          <w:rtl/>
        </w:rPr>
        <w:t>ה“וכו</w:t>
      </w:r>
      <w:proofErr w:type="spellEnd"/>
      <w:r>
        <w:rPr>
          <w:rtl/>
        </w:rPr>
        <w:t xml:space="preserve">׳” בדברי הרב ליפקין כרמז לאו דווקא לכך שאביו אכל באותו יום הכיפורים, אלא לכך שמצא דרך להימנע מאיסור פחות </w:t>
      </w:r>
      <w:proofErr w:type="spellStart"/>
      <w:r>
        <w:rPr>
          <w:rtl/>
        </w:rPr>
        <w:t>מכשיעור</w:t>
      </w:r>
      <w:proofErr w:type="spellEnd"/>
      <w:r>
        <w:rPr>
          <w:rtl/>
        </w:rPr>
        <w:t xml:space="preserve">. מכל מקום, אם סבר שיש לחידושו תוקף הלכתי מלא – ושאינו רק פלפול – לא הייתה סיבה שר׳ ישראל לא ישתמש בו בעצמו ויאכל פחות </w:t>
      </w:r>
      <w:proofErr w:type="spellStart"/>
      <w:r>
        <w:rPr>
          <w:rtl/>
        </w:rPr>
        <w:t>מכשיעור</w:t>
      </w:r>
      <w:proofErr w:type="spellEnd"/>
      <w:r>
        <w:rPr>
          <w:rtl/>
        </w:rPr>
        <w:t>.</w:t>
      </w:r>
    </w:p>
    <w:p w14:paraId="5C9D19CD" w14:textId="77777777" w:rsidR="00AB3647" w:rsidRDefault="00000000" w:rsidP="007923E9">
      <w:pPr>
        <w:pStyle w:val="4"/>
        <w:spacing w:line="276" w:lineRule="auto"/>
      </w:pPr>
      <w:r>
        <w:lastRenderedPageBreak/>
        <w:t>· הפסקה השישית ·</w:t>
      </w:r>
    </w:p>
    <w:p w14:paraId="11F3B926" w14:textId="77777777" w:rsidR="00AB3647" w:rsidRDefault="00000000" w:rsidP="007923E9">
      <w:pPr>
        <w:pStyle w:val="5"/>
        <w:spacing w:line="276" w:lineRule="auto"/>
      </w:pPr>
      <w:r>
        <w:t xml:space="preserve">הגרסה האחרת על שאירע ביום הכיפורים בזמן המגפה – גישתו של ר׳ חיים </w:t>
      </w:r>
      <w:proofErr w:type="spellStart"/>
      <w:r>
        <w:t>סולובייצ׳יק</w:t>
      </w:r>
      <w:proofErr w:type="spellEnd"/>
      <w:r>
        <w:t xml:space="preserve"> לשאלות של חיים ומוות</w:t>
      </w:r>
    </w:p>
    <w:p w14:paraId="4E129AF4" w14:textId="77777777" w:rsidR="00AB3647" w:rsidRDefault="00000000" w:rsidP="007923E9">
      <w:pPr>
        <w:spacing w:after="120" w:line="276" w:lineRule="auto"/>
        <w:ind w:firstLine="283"/>
        <w:jc w:val="both"/>
      </w:pPr>
      <w:r>
        <w:rPr>
          <w:rtl/>
        </w:rPr>
        <w:t xml:space="preserve">קיומן של שתי גרסאות על מעשה ר׳ ישראל באותו יום כיפור – האחת שאכל בעצמו, והאחרת שלא אכל – מוסבר בספרו של </w:t>
      </w:r>
      <w:proofErr w:type="spellStart"/>
      <w:r>
        <w:rPr>
          <w:rtl/>
        </w:rPr>
        <w:t>אטקס</w:t>
      </w:r>
      <w:proofErr w:type="spellEnd"/>
      <w:r>
        <w:rPr>
          <w:rtl/>
        </w:rPr>
        <w:t xml:space="preserve">, “ר׳ ישראל </w:t>
      </w:r>
      <w:proofErr w:type="spellStart"/>
      <w:r>
        <w:rPr>
          <w:rtl/>
        </w:rPr>
        <w:t>סלנטר</w:t>
      </w:r>
      <w:proofErr w:type="spellEnd"/>
      <w:r>
        <w:rPr>
          <w:rtl/>
        </w:rPr>
        <w:t xml:space="preserve"> וראשיתה של תנועת המוסר”</w:t>
      </w:r>
      <w:bookmarkStart w:id="6441" w:name="_fnr4855"/>
      <w:r>
        <w:rPr>
          <w:rStyle w:val="a5"/>
        </w:rPr>
        <w:footnoteReference w:id="4868" w:customMarkFollows="0"/>
      </w:r>
      <w:bookmarkEnd w:id="6441"/>
      <w:r>
        <w:rPr>
          <w:rtl/>
        </w:rPr>
        <w:t xml:space="preserve">. לשם הקיצור נכנה את מסורת רבנו ואת זו של כץ, “תנועת המוסר”, כרך א, </w:t>
      </w:r>
      <w:r>
        <w:rPr>
          <w:b/>
          <w:bCs/>
          <w:rtl/>
        </w:rPr>
        <w:t>“גרסת האכילה”</w:t>
      </w:r>
      <w:r>
        <w:rPr>
          <w:rtl/>
        </w:rPr>
        <w:t xml:space="preserve">, ואת מסורת יעקב מארק </w:t>
      </w:r>
      <w:r>
        <w:rPr>
          <w:b/>
          <w:bCs/>
          <w:rtl/>
        </w:rPr>
        <w:t>“גרסת ההכרזה”</w:t>
      </w:r>
      <w:r>
        <w:rPr>
          <w:rtl/>
        </w:rPr>
        <w:t xml:space="preserve">. </w:t>
      </w:r>
      <w:proofErr w:type="spellStart"/>
      <w:r>
        <w:rPr>
          <w:rtl/>
        </w:rPr>
        <w:t>אטקס</w:t>
      </w:r>
      <w:proofErr w:type="spellEnd"/>
      <w:r>
        <w:rPr>
          <w:rtl/>
        </w:rPr>
        <w:t xml:space="preserve"> טוען שגרסת ההכרזה היא האמיתית, וגרסת האכילה היא המחזה מוגזמת של העובדות. יתרה מזו, הוא סבור גם</w:t>
      </w:r>
      <w:bookmarkStart w:id="6442" w:name="_fnr4856"/>
      <w:r>
        <w:rPr>
          <w:rStyle w:val="a5"/>
        </w:rPr>
        <w:footnoteReference w:id="4869" w:customMarkFollows="0"/>
      </w:r>
      <w:bookmarkEnd w:id="6442"/>
      <w:r>
        <w:rPr>
          <w:rtl/>
        </w:rPr>
        <w:t xml:space="preserve"> שגרסת ההכרזה הולמת יותר את “דמותו השקולה והזהירה” של ר׳ ישראל.</w:t>
      </w:r>
    </w:p>
    <w:p w14:paraId="3ACF6CAA" w14:textId="77777777" w:rsidR="00AB3647" w:rsidRDefault="00000000" w:rsidP="007923E9">
      <w:pPr>
        <w:spacing w:after="120" w:line="276" w:lineRule="auto"/>
        <w:ind w:firstLine="283"/>
        <w:jc w:val="both"/>
      </w:pPr>
      <w:r>
        <w:rPr>
          <w:rtl/>
        </w:rPr>
        <w:t xml:space="preserve">אבל על יסוד המסורת שמסר רבנו אני מקבל את גרסת האכילה, ואת היווצרות גרסת ההכרזה אני תולה בניסיון להמעיט בחומרת מעשה שנראה בלתי דתי של אחד מגדולי החכמים: הבלתי מלומדים ראו בו עקיפת דין תורה מתוך שיקולים אנושיים, ולא קיום ציווי התורה “ושמרתם את </w:t>
      </w:r>
      <w:proofErr w:type="spellStart"/>
      <w:r>
        <w:rPr>
          <w:rtl/>
        </w:rPr>
        <w:t>חוקותי</w:t>
      </w:r>
      <w:proofErr w:type="spellEnd"/>
      <w:r>
        <w:rPr>
          <w:rtl/>
        </w:rPr>
        <w:t xml:space="preserve"> ואת משפטי אשר יעשה אותם האדם </w:t>
      </w:r>
      <w:r>
        <w:rPr>
          <w:b/>
          <w:bCs/>
          <w:rtl/>
        </w:rPr>
        <w:t>וחי בהם</w:t>
      </w:r>
      <w:r>
        <w:rPr>
          <w:rtl/>
        </w:rPr>
        <w:t>”</w:t>
      </w:r>
      <w:bookmarkStart w:id="6443" w:name="_fnr4857"/>
      <w:r>
        <w:rPr>
          <w:rStyle w:val="a5"/>
        </w:rPr>
        <w:footnoteReference w:id="4870" w:customMarkFollows="0"/>
      </w:r>
      <w:bookmarkEnd w:id="6443"/>
      <w:r>
        <w:rPr>
          <w:rtl/>
        </w:rPr>
        <w:t xml:space="preserve">, כפי שהיה באמת. המשכיל </w:t>
      </w:r>
      <w:proofErr w:type="spellStart"/>
      <w:r>
        <w:rPr>
          <w:rtl/>
        </w:rPr>
        <w:t>האנטי־דתי</w:t>
      </w:r>
      <w:proofErr w:type="spellEnd"/>
      <w:r>
        <w:rPr>
          <w:rtl/>
        </w:rPr>
        <w:t xml:space="preserve"> דוד פרישמן נתן לגרסת האכילה ביטוי מלא כשתיאר את המאורע בהמחזה, בסיפור קצר</w:t>
      </w:r>
      <w:bookmarkStart w:id="6444" w:name="_fnr4858"/>
      <w:r>
        <w:rPr>
          <w:rStyle w:val="a5"/>
        </w:rPr>
        <w:footnoteReference w:id="4871" w:customMarkFollows="0"/>
      </w:r>
      <w:bookmarkEnd w:id="6444"/>
      <w:r>
        <w:rPr>
          <w:rtl/>
        </w:rPr>
        <w:t xml:space="preserve"> בשם “שלשה שאכלו כאחד”</w:t>
      </w:r>
      <w:bookmarkStart w:id="6445" w:name="_fnr4859"/>
      <w:r>
        <w:rPr>
          <w:rStyle w:val="a5"/>
        </w:rPr>
        <w:footnoteReference w:id="4872" w:customMarkFollows="0"/>
      </w:r>
      <w:bookmarkEnd w:id="6445"/>
      <w:r>
        <w:rPr>
          <w:rtl/>
        </w:rPr>
        <w:t xml:space="preserve"> – דווקא מפני שהבלתי מלומדים ראו במעשהו הנטען של ר׳ ישראל מעשה אנושי ונוגד את ההלכה.</w:t>
      </w:r>
    </w:p>
    <w:p w14:paraId="4288906C" w14:textId="77777777" w:rsidR="00AB3647" w:rsidRDefault="00000000" w:rsidP="007923E9">
      <w:pPr>
        <w:spacing w:after="120" w:line="276" w:lineRule="auto"/>
        <w:ind w:firstLine="283"/>
        <w:jc w:val="both"/>
      </w:pPr>
      <w:r>
        <w:rPr>
          <w:rtl/>
        </w:rPr>
        <w:t xml:space="preserve">על ההצעה </w:t>
      </w:r>
      <w:proofErr w:type="spellStart"/>
      <w:r>
        <w:rPr>
          <w:rtl/>
        </w:rPr>
        <w:t>ש“דמותו</w:t>
      </w:r>
      <w:proofErr w:type="spellEnd"/>
      <w:r>
        <w:rPr>
          <w:rtl/>
        </w:rPr>
        <w:t xml:space="preserve"> השקולה והזהירה” של ר׳ ישראל אינה מתיישבת עם גרסת האכילה, השווה “אישים ושיטות”</w:t>
      </w:r>
      <w:bookmarkStart w:id="6446" w:name="_fnr4860"/>
      <w:r>
        <w:rPr>
          <w:rStyle w:val="a5"/>
        </w:rPr>
        <w:footnoteReference w:id="4873" w:customMarkFollows="0"/>
      </w:r>
      <w:bookmarkEnd w:id="6446"/>
      <w:r>
        <w:rPr>
          <w:rtl/>
        </w:rPr>
        <w:t xml:space="preserve">, המביא ידיעה שר׳ חיים </w:t>
      </w:r>
      <w:proofErr w:type="spellStart"/>
      <w:r>
        <w:rPr>
          <w:rtl/>
        </w:rPr>
        <w:t>סולובייצ׳יק</w:t>
      </w:r>
      <w:proofErr w:type="spellEnd"/>
      <w:r>
        <w:rPr>
          <w:rtl/>
        </w:rPr>
        <w:t xml:space="preserve"> השיב למי שביקר את קולותיו בשאלות פיקוח נפש: “אינני </w:t>
      </w:r>
      <w:proofErr w:type="spellStart"/>
      <w:r>
        <w:rPr>
          <w:rtl/>
        </w:rPr>
        <w:t>מקיל</w:t>
      </w:r>
      <w:proofErr w:type="spellEnd"/>
      <w:r>
        <w:rPr>
          <w:rtl/>
        </w:rPr>
        <w:t xml:space="preserve"> באיסורים; אני מחמיר בענייני פיקוח נפשות”. דווקא מפני זהירותו היה ר׳ ישראל </w:t>
      </w:r>
      <w:r>
        <w:rPr>
          <w:b/>
          <w:bCs/>
          <w:rtl/>
        </w:rPr>
        <w:t>מחמיר כל כך עד שאכל ביום הכיפורים בעצמו</w:t>
      </w:r>
      <w:r>
        <w:rPr>
          <w:rtl/>
        </w:rPr>
        <w:t xml:space="preserve">, ובכך הבטיח שגם כל האחרים יאכלו. נקודה זו נעלמה כל כך מעיני הציבור הפשוט (ומעיני חסידי </w:t>
      </w:r>
      <w:proofErr w:type="spellStart"/>
      <w:r>
        <w:rPr>
          <w:rtl/>
        </w:rPr>
        <w:t>קוידנוב</w:t>
      </w:r>
      <w:proofErr w:type="spellEnd"/>
      <w:r>
        <w:rPr>
          <w:rtl/>
        </w:rPr>
        <w:t>), עד שהיה צורך להמציא את גרסת ההכרזה, ובנו של ר׳ ישראל נאלץ לכסות את אכילת אביו ברמזים נסתרים (והחסידים דימו שנפל קורבן לקללת רבם).</w:t>
      </w:r>
    </w:p>
    <w:p w14:paraId="0C1950D6" w14:textId="77777777" w:rsidR="00AB3647" w:rsidRDefault="00000000" w:rsidP="007923E9">
      <w:pPr>
        <w:spacing w:after="120" w:line="276" w:lineRule="auto"/>
        <w:ind w:firstLine="283"/>
        <w:jc w:val="both"/>
      </w:pPr>
      <w:r>
        <w:rPr>
          <w:rtl/>
        </w:rPr>
        <w:t xml:space="preserve">ר׳ אהרן </w:t>
      </w:r>
      <w:proofErr w:type="spellStart"/>
      <w:r>
        <w:rPr>
          <w:rtl/>
        </w:rPr>
        <w:t>סולובייצ׳יק</w:t>
      </w:r>
      <w:proofErr w:type="spellEnd"/>
      <w:r>
        <w:rPr>
          <w:rtl/>
        </w:rPr>
        <w:t xml:space="preserve"> סיפר</w:t>
      </w:r>
      <w:bookmarkStart w:id="6447" w:name="_fnr4861"/>
      <w:r>
        <w:rPr>
          <w:rStyle w:val="a5"/>
        </w:rPr>
        <w:footnoteReference w:id="4874" w:customMarkFollows="0"/>
      </w:r>
      <w:bookmarkEnd w:id="6447"/>
      <w:r>
        <w:rPr>
          <w:rtl/>
        </w:rPr>
        <w:t xml:space="preserve"> שהביטוי שבו השתמש סבו ר׳ חיים היה: “אפילו </w:t>
      </w:r>
      <w:r>
        <w:rPr>
          <w:b/>
          <w:bCs/>
          <w:rtl/>
        </w:rPr>
        <w:t>מיליונית</w:t>
      </w:r>
      <w:r>
        <w:rPr>
          <w:rtl/>
        </w:rPr>
        <w:t xml:space="preserve"> של ספק פיקוח נפש מחייבת את </w:t>
      </w:r>
      <w:proofErr w:type="spellStart"/>
      <w:r>
        <w:rPr>
          <w:rtl/>
        </w:rPr>
        <w:t>החומרא</w:t>
      </w:r>
      <w:proofErr w:type="spellEnd"/>
      <w:r>
        <w:rPr>
          <w:rtl/>
        </w:rPr>
        <w:t>”</w:t>
      </w:r>
      <w:bookmarkStart w:id="6448" w:name="_fnr4862"/>
      <w:r>
        <w:rPr>
          <w:rStyle w:val="a5"/>
        </w:rPr>
        <w:footnoteReference w:id="4875" w:customMarkFollows="0"/>
      </w:r>
      <w:bookmarkEnd w:id="6448"/>
      <w:r>
        <w:rPr>
          <w:rtl/>
        </w:rPr>
        <w:t xml:space="preserve">. דוגמה לפסק כזה של ר׳ חיים </w:t>
      </w:r>
      <w:proofErr w:type="spellStart"/>
      <w:r>
        <w:rPr>
          <w:rtl/>
        </w:rPr>
        <w:t>סולובייצ׳יק</w:t>
      </w:r>
      <w:proofErr w:type="spellEnd"/>
      <w:r>
        <w:rPr>
          <w:rtl/>
        </w:rPr>
        <w:t xml:space="preserve"> נמצאת </w:t>
      </w:r>
      <w:proofErr w:type="spellStart"/>
      <w:r>
        <w:rPr>
          <w:rtl/>
        </w:rPr>
        <w:t>ב“לבני</w:t>
      </w:r>
      <w:proofErr w:type="spellEnd"/>
      <w:r>
        <w:rPr>
          <w:rtl/>
        </w:rPr>
        <w:t xml:space="preserve"> בינה”</w:t>
      </w:r>
      <w:bookmarkStart w:id="6449" w:name="_fnr4863"/>
      <w:r>
        <w:rPr>
          <w:rStyle w:val="a5"/>
        </w:rPr>
        <w:footnoteReference w:id="4876" w:customMarkFollows="0"/>
      </w:r>
      <w:bookmarkEnd w:id="6449"/>
      <w:r>
        <w:rPr>
          <w:rtl/>
        </w:rPr>
        <w:t xml:space="preserve">: “יהודי בא </w:t>
      </w:r>
      <w:proofErr w:type="spellStart"/>
      <w:r>
        <w:rPr>
          <w:rtl/>
        </w:rPr>
        <w:t>לר</w:t>
      </w:r>
      <w:proofErr w:type="spellEnd"/>
      <w:r>
        <w:rPr>
          <w:rtl/>
        </w:rPr>
        <w:t xml:space="preserve">׳ חיים באחד מלילות שבת לשאול אם מותר לו לנסוע בשבת לעיר שבה עמד בנו להתייצב לפני ועדת הגיוס, מתוך אפשרות שאביו יצליח להשיג לו פטור, ור׳ חיים התיר את הנסיעה. כשהלך היהודי ומקורבי הרב שאלוהו על פסקו, הסביר: ‘אם </w:t>
      </w:r>
      <w:r>
        <w:rPr>
          <w:rtl/>
        </w:rPr>
        <w:lastRenderedPageBreak/>
        <w:t>יגויס הצעיר, יהיה עליו לשרת חמש שנים, שבמהלכן עלולה לפרוץ מלחמה, וייתכן שיישלח לחזית, ושם עלול להיהרג. הרי זה אפוא פיקוח נפש הדוחה את השבת’”</w:t>
      </w:r>
      <w:bookmarkStart w:id="6450" w:name="_fnr4864"/>
      <w:r>
        <w:rPr>
          <w:rStyle w:val="a5"/>
        </w:rPr>
        <w:footnoteReference w:id="4877" w:customMarkFollows="0"/>
      </w:r>
      <w:bookmarkEnd w:id="6450"/>
      <w:r>
        <w:rPr>
          <w:rtl/>
        </w:rPr>
        <w:t>.</w:t>
      </w:r>
    </w:p>
    <w:p w14:paraId="423ECDCD" w14:textId="77777777" w:rsidR="00AB3647" w:rsidRDefault="00000000" w:rsidP="007923E9">
      <w:pPr>
        <w:spacing w:after="120" w:line="276" w:lineRule="auto"/>
        <w:ind w:firstLine="283"/>
        <w:jc w:val="both"/>
      </w:pPr>
      <w:r>
        <w:rPr>
          <w:rtl/>
        </w:rPr>
        <w:t>לצד חומרת פיקוח נפש המוטלת על הרב הפוסק, מוטלת גם על החולה חובה להיזהר ביותר בבריאותו – התורה אומרת “ונשמרתם מאד לנפשותיכם”</w:t>
      </w:r>
      <w:bookmarkStart w:id="6451" w:name="_fnr4865"/>
      <w:r>
        <w:rPr>
          <w:rStyle w:val="a5"/>
        </w:rPr>
        <w:footnoteReference w:id="4878" w:customMarkFollows="0"/>
      </w:r>
      <w:bookmarkEnd w:id="6451"/>
      <w:r>
        <w:rPr>
          <w:rtl/>
        </w:rPr>
        <w:t xml:space="preserve">. על חובה זו אמר ר׳ יצחק־זאב, בנו הצעיר של ר׳ חיים וממלא מקומו </w:t>
      </w:r>
      <w:proofErr w:type="spellStart"/>
      <w:r>
        <w:rPr>
          <w:rtl/>
        </w:rPr>
        <w:t>בבריסק</w:t>
      </w:r>
      <w:proofErr w:type="spellEnd"/>
      <w:r>
        <w:rPr>
          <w:rtl/>
        </w:rPr>
        <w:t xml:space="preserve">, </w:t>
      </w:r>
      <w:r>
        <w:rPr>
          <w:b/>
          <w:bCs/>
          <w:rtl/>
        </w:rPr>
        <w:t xml:space="preserve">בשם ר׳ ישראל </w:t>
      </w:r>
      <w:proofErr w:type="spellStart"/>
      <w:r>
        <w:rPr>
          <w:b/>
          <w:bCs/>
          <w:rtl/>
        </w:rPr>
        <w:t>סלנטר</w:t>
      </w:r>
      <w:proofErr w:type="spellEnd"/>
      <w:r>
        <w:rPr>
          <w:rtl/>
        </w:rPr>
        <w:t>: “החולה פטור מכל המצוות חוץ מזו, ובא היצר הרע ומסיתו להקל בה”</w:t>
      </w:r>
      <w:bookmarkStart w:id="6452" w:name="_fnr4866"/>
      <w:r>
        <w:rPr>
          <w:rStyle w:val="a5"/>
        </w:rPr>
        <w:footnoteReference w:id="4879" w:customMarkFollows="0"/>
      </w:r>
      <w:bookmarkEnd w:id="6452"/>
      <w:r>
        <w:rPr>
          <w:rtl/>
        </w:rPr>
        <w:t xml:space="preserve">. ר׳ מרדכי </w:t>
      </w:r>
      <w:proofErr w:type="spellStart"/>
      <w:r>
        <w:rPr>
          <w:rtl/>
        </w:rPr>
        <w:t>וייספיש</w:t>
      </w:r>
      <w:bookmarkStart w:id="6453" w:name="_fnr4867"/>
      <w:proofErr w:type="spellEnd"/>
      <w:r>
        <w:rPr>
          <w:rStyle w:val="a5"/>
        </w:rPr>
        <w:footnoteReference w:id="4880" w:customMarkFollows="0"/>
      </w:r>
      <w:bookmarkEnd w:id="6453"/>
      <w:r>
        <w:rPr>
          <w:rtl/>
        </w:rPr>
        <w:t xml:space="preserve"> ציין שבעניין קולותיו של ר׳ חיים בפטור החולים מן הצום ביום הכיפורים היה מסופר בירושלים שאמר: “כנגד הציווי ‘ועיניתם את נפשותיכם’</w:t>
      </w:r>
      <w:bookmarkStart w:id="6454" w:name="_fnr4868"/>
      <w:r>
        <w:rPr>
          <w:rStyle w:val="a5"/>
        </w:rPr>
        <w:footnoteReference w:id="4881" w:customMarkFollows="0"/>
      </w:r>
      <w:bookmarkEnd w:id="6454"/>
      <w:r>
        <w:rPr>
          <w:rtl/>
        </w:rPr>
        <w:t xml:space="preserve"> עומד הציווי ‘ונשמרתם מאד לנפשותיכם’ [והימנעו מסכנה זו]”.</w:t>
      </w:r>
    </w:p>
    <w:p w14:paraId="7E6A03D1" w14:textId="77777777" w:rsidR="00AB3647" w:rsidRDefault="00000000" w:rsidP="007923E9">
      <w:pPr>
        <w:spacing w:after="120" w:line="276" w:lineRule="auto"/>
        <w:ind w:firstLine="283"/>
        <w:jc w:val="both"/>
      </w:pPr>
      <w:r>
        <w:rPr>
          <w:rtl/>
        </w:rPr>
        <w:t>ר׳ שלמה לורנץ</w:t>
      </w:r>
      <w:bookmarkStart w:id="6455" w:name="_fnr4869"/>
      <w:r>
        <w:rPr>
          <w:rStyle w:val="a5"/>
        </w:rPr>
        <w:footnoteReference w:id="4882" w:customMarkFollows="0"/>
      </w:r>
      <w:bookmarkEnd w:id="6455"/>
      <w:r>
        <w:rPr>
          <w:rtl/>
        </w:rPr>
        <w:t xml:space="preserve"> סיפר מעשה מעניין בר׳ </w:t>
      </w:r>
      <w:proofErr w:type="spellStart"/>
      <w:r>
        <w:rPr>
          <w:rtl/>
        </w:rPr>
        <w:t>ברוך־בער</w:t>
      </w:r>
      <w:proofErr w:type="spellEnd"/>
      <w:r>
        <w:rPr>
          <w:rtl/>
        </w:rPr>
        <w:t xml:space="preserve">. באחת משנותיו האחרונות היה חולה, ונזקק לנסוע לוורשה כדי להתייעץ עם פרופסור בכיר אם מותר לו לצום ביום הכיפורים. הוא נאלץ לשהות ימים אחדים בבירת פולין כדי לקבל תור אצל הפרופסור, והתאכסן באותו מלון שבו שהה ר׳ שמעון </w:t>
      </w:r>
      <w:proofErr w:type="spellStart"/>
      <w:r>
        <w:rPr>
          <w:rtl/>
        </w:rPr>
        <w:t>שקופ</w:t>
      </w:r>
      <w:proofErr w:type="spellEnd"/>
      <w:r>
        <w:rPr>
          <w:rtl/>
        </w:rPr>
        <w:t xml:space="preserve">, אכסניית הרבנית </w:t>
      </w:r>
      <w:proofErr w:type="spellStart"/>
      <w:r>
        <w:rPr>
          <w:rtl/>
        </w:rPr>
        <w:t>מפרצ׳ב</w:t>
      </w:r>
      <w:proofErr w:type="spellEnd"/>
      <w:r>
        <w:rPr>
          <w:rtl/>
        </w:rPr>
        <w:t xml:space="preserve">. ר׳ שמעון הבחין שר׳ </w:t>
      </w:r>
      <w:proofErr w:type="spellStart"/>
      <w:r>
        <w:rPr>
          <w:rtl/>
        </w:rPr>
        <w:t>ברוך־בער</w:t>
      </w:r>
      <w:proofErr w:type="spellEnd"/>
      <w:r>
        <w:rPr>
          <w:rtl/>
        </w:rPr>
        <w:t xml:space="preserve"> מוטרד מאוד, והוכיחו על שאינו מקבל את העובדה שאכילה לאדם הנתון בסכנה היא מצווה גדולה בדיוק כצום למי שאינו בסכנה. ר׳ </w:t>
      </w:r>
      <w:proofErr w:type="spellStart"/>
      <w:r>
        <w:rPr>
          <w:rtl/>
        </w:rPr>
        <w:t>ברוך־בער</w:t>
      </w:r>
      <w:proofErr w:type="spellEnd"/>
      <w:r>
        <w:rPr>
          <w:rtl/>
        </w:rPr>
        <w:t xml:space="preserve"> השיב: “בוודאי אני יודע זאת. הבעיה שלי היא שיום הכיפורים מתקרב, ועדיין אינני יודע </w:t>
      </w:r>
      <w:r>
        <w:rPr>
          <w:b/>
          <w:bCs/>
          <w:rtl/>
        </w:rPr>
        <w:t>לאיזו מצווה להתכונן</w:t>
      </w:r>
      <w:r>
        <w:rPr>
          <w:rtl/>
        </w:rPr>
        <w:t xml:space="preserve"> – למצוות האכילה או למצוות הצום”</w:t>
      </w:r>
      <w:bookmarkStart w:id="6456" w:name="_fnr4870"/>
      <w:r>
        <w:rPr>
          <w:rStyle w:val="a5"/>
        </w:rPr>
        <w:footnoteReference w:id="4883" w:customMarkFollows="0"/>
      </w:r>
      <w:bookmarkEnd w:id="6456"/>
      <w:r>
        <w:rPr>
          <w:rtl/>
        </w:rPr>
        <w:t>.</w:t>
      </w:r>
    </w:p>
    <w:p w14:paraId="44215AAB" w14:textId="77777777" w:rsidR="00AB3647" w:rsidRDefault="00000000" w:rsidP="007923E9">
      <w:pPr>
        <w:spacing w:after="120" w:line="276" w:lineRule="auto"/>
        <w:ind w:firstLine="283"/>
        <w:jc w:val="both"/>
      </w:pPr>
      <w:r>
        <w:rPr>
          <w:rtl/>
        </w:rPr>
        <w:t>ר׳ שלמה לורנץ סיפר גם</w:t>
      </w:r>
      <w:bookmarkStart w:id="6457" w:name="_fnr4871"/>
      <w:r>
        <w:rPr>
          <w:rStyle w:val="a5"/>
        </w:rPr>
        <w:footnoteReference w:id="4884" w:customMarkFollows="0"/>
      </w:r>
      <w:bookmarkEnd w:id="6457"/>
      <w:r>
        <w:rPr>
          <w:rtl/>
        </w:rPr>
        <w:t xml:space="preserve"> על מצב שנקלע אליו ר׳ </w:t>
      </w:r>
      <w:proofErr w:type="spellStart"/>
      <w:r>
        <w:rPr>
          <w:rtl/>
        </w:rPr>
        <w:t>אליהו־ברוך</w:t>
      </w:r>
      <w:proofErr w:type="spellEnd"/>
      <w:r>
        <w:rPr>
          <w:rtl/>
        </w:rPr>
        <w:t xml:space="preserve"> קמאי </w:t>
      </w:r>
      <w:proofErr w:type="spellStart"/>
      <w:r>
        <w:rPr>
          <w:rtl/>
        </w:rPr>
        <w:t>במיר</w:t>
      </w:r>
      <w:proofErr w:type="spellEnd"/>
      <w:r>
        <w:rPr>
          <w:rtl/>
        </w:rPr>
        <w:t xml:space="preserve">, כשאמר לאישה חולה אחת שעליה לאכול ביום הכיפורים. היא סירבה בעקשנות להישמע לפסקו, עד שהציע לה “עסקה”: הוא יחליף את שכרו </w:t>
      </w:r>
      <w:proofErr w:type="spellStart"/>
      <w:r>
        <w:rPr>
          <w:rtl/>
        </w:rPr>
        <w:t>השמימי</w:t>
      </w:r>
      <w:proofErr w:type="spellEnd"/>
      <w:r>
        <w:rPr>
          <w:rtl/>
        </w:rPr>
        <w:t xml:space="preserve"> על הצום בשכרה על האכילה, ויוסיף עוד עשרה רובלים במזומן, “מפני ששכרה על האכילה גדול משכרו על הצום”. לכך הסכימה, ואכלה בתיאבון באותו יום כיפור.</w:t>
      </w:r>
      <w:bookmarkStart w:id="6458" w:name="_fnr4872"/>
      <w:r>
        <w:rPr>
          <w:rStyle w:val="a5"/>
        </w:rPr>
        <w:footnoteReference w:id="4885" w:customMarkFollows="0"/>
      </w:r>
      <w:bookmarkEnd w:id="6458"/>
    </w:p>
    <w:p w14:paraId="4EA021C5" w14:textId="77777777" w:rsidR="00AB3647" w:rsidRDefault="00000000" w:rsidP="007923E9">
      <w:pPr>
        <w:spacing w:after="120" w:line="276" w:lineRule="auto"/>
        <w:ind w:firstLine="283"/>
        <w:jc w:val="both"/>
      </w:pPr>
      <w:r>
        <w:rPr>
          <w:rtl/>
        </w:rPr>
        <w:lastRenderedPageBreak/>
        <w:t xml:space="preserve">מכל מקום, באשר לשתי הגרסאות הסותרות על מעשהו של ר׳ ישראל – האחת אמיתית והאחרת בדויה – לא נטייה להמחזה, כדעת </w:t>
      </w:r>
      <w:proofErr w:type="spellStart"/>
      <w:r>
        <w:rPr>
          <w:rtl/>
        </w:rPr>
        <w:t>אטקס</w:t>
      </w:r>
      <w:proofErr w:type="spellEnd"/>
      <w:r>
        <w:rPr>
          <w:rtl/>
        </w:rPr>
        <w:t xml:space="preserve"> (נטייה שאינה אופיינית כלל ליהודי וילנה), היא שהולידה את המחזה המקומם של ר׳ ישראל אוכל ביום הכיפורים. להיפך: יראת שמים פשטנית היא שדחקה את פרשת מעשהו ההרואי – האכילה ביום הכיפורים – והשאירה בידו רק הכרזה חסרת תוכן.</w:t>
      </w:r>
    </w:p>
    <w:p w14:paraId="703C5FA0" w14:textId="77777777" w:rsidR="00AB3647" w:rsidRDefault="00000000" w:rsidP="007923E9">
      <w:pPr>
        <w:pStyle w:val="4"/>
        <w:spacing w:line="276" w:lineRule="auto"/>
      </w:pPr>
      <w:r>
        <w:t>· הפסקה השביעית ·</w:t>
      </w:r>
    </w:p>
    <w:p w14:paraId="572D6DE4" w14:textId="77777777" w:rsidR="00AB3647" w:rsidRDefault="00000000" w:rsidP="007923E9">
      <w:pPr>
        <w:pStyle w:val="5"/>
        <w:spacing w:line="276" w:lineRule="auto"/>
      </w:pPr>
      <w:r>
        <w:t xml:space="preserve">הוראותיו החמורות של ר׳ ישראל </w:t>
      </w:r>
      <w:proofErr w:type="spellStart"/>
      <w:r>
        <w:t>סלנטר</w:t>
      </w:r>
      <w:proofErr w:type="spellEnd"/>
      <w:r>
        <w:t xml:space="preserve"> – ר׳ ישראל מתייסר בשל דרך פרנסתו – </w:t>
      </w:r>
      <w:proofErr w:type="spellStart"/>
      <w:r>
        <w:t>החפץ־חיים</w:t>
      </w:r>
      <w:proofErr w:type="spellEnd"/>
      <w:r>
        <w:t xml:space="preserve"> נזהר שלא ליהנות מצדקותו המיוחסת לו – ר׳ </w:t>
      </w:r>
      <w:proofErr w:type="spellStart"/>
      <w:r>
        <w:t>יואליש</w:t>
      </w:r>
      <w:proofErr w:type="spellEnd"/>
      <w:r>
        <w:t xml:space="preserve"> </w:t>
      </w:r>
      <w:proofErr w:type="spellStart"/>
      <w:r>
        <w:t>טייטלבוים</w:t>
      </w:r>
      <w:proofErr w:type="spellEnd"/>
      <w:r>
        <w:t xml:space="preserve"> רואה בחסידיו צדיקים ממנו – כמה מקומות שבהם חזר ר׳ ישראל על הוראותיו החמורות – האסון בבית בנו של ר׳ </w:t>
      </w:r>
      <w:proofErr w:type="spellStart"/>
      <w:r>
        <w:t>יצחק־אלחנן</w:t>
      </w:r>
      <w:proofErr w:type="spellEnd"/>
      <w:r>
        <w:t xml:space="preserve"> </w:t>
      </w:r>
      <w:proofErr w:type="spellStart"/>
      <w:r>
        <w:t>ספקטור</w:t>
      </w:r>
      <w:proofErr w:type="spellEnd"/>
      <w:r>
        <w:t xml:space="preserve"> – ר׳ ישראל נפטר בערב שבת – חסיה </w:t>
      </w:r>
      <w:proofErr w:type="spellStart"/>
      <w:r>
        <w:t>גרודזינסקי</w:t>
      </w:r>
      <w:proofErr w:type="spellEnd"/>
      <w:r>
        <w:t xml:space="preserve"> נקברת בשורה הסמוכה – טוהרו וענוותנותו של ר׳ שלמה </w:t>
      </w:r>
      <w:proofErr w:type="spellStart"/>
      <w:r>
        <w:t>מקרלין</w:t>
      </w:r>
      <w:proofErr w:type="spellEnd"/>
    </w:p>
    <w:p w14:paraId="04DDABE8" w14:textId="77777777" w:rsidR="00AB3647" w:rsidRDefault="00000000" w:rsidP="007923E9">
      <w:pPr>
        <w:spacing w:after="120" w:line="276" w:lineRule="auto"/>
        <w:ind w:firstLine="283"/>
        <w:jc w:val="both"/>
      </w:pPr>
      <w:r>
        <w:rPr>
          <w:rtl/>
        </w:rPr>
        <w:t xml:space="preserve">כפי שצוין בפסקה השלישית לעיל, אביא כאן את פסקו של ר׳ ישראל בשאלה אם מותר לחלל את השבת כדי להצילו מסכנת נפשות – פסק העשוי להאיר את סירובו של ר׳ שלמה </w:t>
      </w:r>
      <w:proofErr w:type="spellStart"/>
      <w:r>
        <w:rPr>
          <w:rtl/>
        </w:rPr>
        <w:t>מקרלין</w:t>
      </w:r>
      <w:proofErr w:type="spellEnd"/>
      <w:r>
        <w:rPr>
          <w:rtl/>
        </w:rPr>
        <w:t xml:space="preserve"> להרשות חילול שבת כדי להציל את עצמו. בריאיון על ר׳ ישראל </w:t>
      </w:r>
      <w:proofErr w:type="spellStart"/>
      <w:r>
        <w:rPr>
          <w:rtl/>
        </w:rPr>
        <w:t>סלנטר</w:t>
      </w:r>
      <w:proofErr w:type="spellEnd"/>
      <w:r>
        <w:rPr>
          <w:rtl/>
        </w:rPr>
        <w:t xml:space="preserve"> פתח אבי את הסיפור הבא במילים: “זהו סיפור שצריך לדעת – מען </w:t>
      </w:r>
      <w:proofErr w:type="spellStart"/>
      <w:r>
        <w:rPr>
          <w:rtl/>
        </w:rPr>
        <w:t>מעג</w:t>
      </w:r>
      <w:proofErr w:type="spellEnd"/>
      <w:r>
        <w:rPr>
          <w:rtl/>
        </w:rPr>
        <w:t xml:space="preserve"> </w:t>
      </w:r>
      <w:proofErr w:type="spellStart"/>
      <w:r>
        <w:rPr>
          <w:rtl/>
        </w:rPr>
        <w:t>וויסען</w:t>
      </w:r>
      <w:proofErr w:type="spellEnd"/>
      <w:r>
        <w:rPr>
          <w:rtl/>
        </w:rPr>
        <w:t xml:space="preserve"> [מותר לדעת]”. הוא סיפר: “ר׳ פישל בר</w:t>
      </w:r>
      <w:bookmarkStart w:id="6459" w:name="_fnr4873"/>
      <w:r>
        <w:rPr>
          <w:rStyle w:val="a5"/>
        </w:rPr>
        <w:footnoteReference w:id="4886" w:customMarkFollows="0"/>
      </w:r>
      <w:bookmarkEnd w:id="6459"/>
      <w:r>
        <w:rPr>
          <w:rtl/>
        </w:rPr>
        <w:t xml:space="preserve"> אמר לי ש</w:t>
      </w:r>
      <w:r>
        <w:rPr>
          <w:b/>
          <w:bCs/>
          <w:rtl/>
        </w:rPr>
        <w:t>בחודשים האחרונים לחיי ר׳ ישראל</w:t>
      </w:r>
      <w:r>
        <w:rPr>
          <w:rtl/>
        </w:rPr>
        <w:t xml:space="preserve"> שהה </w:t>
      </w:r>
      <w:proofErr w:type="spellStart"/>
      <w:r>
        <w:rPr>
          <w:rtl/>
        </w:rPr>
        <w:t>זמן־מה</w:t>
      </w:r>
      <w:proofErr w:type="spellEnd"/>
      <w:r>
        <w:rPr>
          <w:rtl/>
        </w:rPr>
        <w:t xml:space="preserve"> בבית הוריו של ר׳ פישל בממל, לפני שהמשיך לקניגסברג [שבה נפטר]. ר׳ ישראל אמר לו ולאחיו נפתלי, שהיו אז נערים, שהוא חושש שלפתע לא יוכל עוד לטפל בעצמו”. בשיחה המוקלטת בבית הכנסת “בית ישראל” במיאמי </w:t>
      </w:r>
      <w:proofErr w:type="spellStart"/>
      <w:r>
        <w:rPr>
          <w:rtl/>
        </w:rPr>
        <w:t>ביץ</w:t>
      </w:r>
      <w:proofErr w:type="spellEnd"/>
      <w:r>
        <w:rPr>
          <w:rtl/>
        </w:rPr>
        <w:t xml:space="preserve">׳, שגם בה סיפר אבי מעשה זה, הוסיף שחשש זה היה </w:t>
      </w:r>
      <w:proofErr w:type="spellStart"/>
      <w:r>
        <w:rPr>
          <w:rtl/>
        </w:rPr>
        <w:t>לר</w:t>
      </w:r>
      <w:proofErr w:type="spellEnd"/>
      <w:r>
        <w:rPr>
          <w:rtl/>
        </w:rPr>
        <w:t>׳ ישראל מאז אירוע השיתוק שנידון לעיל.</w:t>
      </w:r>
    </w:p>
    <w:p w14:paraId="4718A239" w14:textId="77777777" w:rsidR="00AB3647" w:rsidRDefault="00000000" w:rsidP="007923E9">
      <w:pPr>
        <w:spacing w:after="120" w:line="276" w:lineRule="auto"/>
        <w:ind w:firstLine="283"/>
        <w:jc w:val="both"/>
      </w:pPr>
      <w:r>
        <w:rPr>
          <w:rtl/>
        </w:rPr>
        <w:t>השווה כץ, “תנועת המוסר”, כרך א</w:t>
      </w:r>
      <w:bookmarkStart w:id="6460" w:name="_fnr4874"/>
      <w:r>
        <w:rPr>
          <w:rStyle w:val="a5"/>
        </w:rPr>
        <w:footnoteReference w:id="4887" w:customMarkFollows="0"/>
      </w:r>
      <w:bookmarkEnd w:id="6460"/>
      <w:r>
        <w:rPr>
          <w:rtl/>
        </w:rPr>
        <w:t>, האומר: “בוקר אחד [באביב תרמ״ב] קם, ארז את חפציו ועזב את פריז, באומרו למכריו המשתוממים: ‘לא טוב למות בפריז’</w:t>
      </w:r>
      <w:bookmarkStart w:id="6461" w:name="_fnr4875"/>
      <w:r>
        <w:rPr>
          <w:rStyle w:val="a5"/>
        </w:rPr>
        <w:footnoteReference w:id="4888" w:customMarkFollows="0"/>
      </w:r>
      <w:bookmarkEnd w:id="6461"/>
      <w:r>
        <w:rPr>
          <w:rtl/>
        </w:rPr>
        <w:t xml:space="preserve"> – כאילו אמר לו לבו שימיו ספורים”. אין בכך סתירה לידיעת אבי, שחששו מפני אובדן היכולת לטפל בעצמו התחיל באירוע הנוירולוגי שלו. דאגתו ודאי התחזקה </w:t>
      </w:r>
      <w:proofErr w:type="spellStart"/>
      <w:r>
        <w:rPr>
          <w:rtl/>
        </w:rPr>
        <w:t>ב“חודשים</w:t>
      </w:r>
      <w:proofErr w:type="spellEnd"/>
      <w:r>
        <w:rPr>
          <w:rtl/>
        </w:rPr>
        <w:t xml:space="preserve"> האחרונים לחייו”, מפני שחש שימיו מגיעים לקצם.</w:t>
      </w:r>
    </w:p>
    <w:p w14:paraId="17142E5D" w14:textId="77777777" w:rsidR="00AB3647" w:rsidRDefault="00000000" w:rsidP="007923E9">
      <w:pPr>
        <w:spacing w:after="120" w:line="276" w:lineRule="auto"/>
        <w:ind w:firstLine="283"/>
        <w:jc w:val="both"/>
      </w:pPr>
      <w:r>
        <w:rPr>
          <w:rtl/>
        </w:rPr>
        <w:t xml:space="preserve">“ר׳ ישראל אמר אז לבני בר”, המשיך אבי: “‘ילדים, אם יקרה לי </w:t>
      </w:r>
      <w:proofErr w:type="spellStart"/>
      <w:r>
        <w:rPr>
          <w:rtl/>
        </w:rPr>
        <w:t>דבר־מה</w:t>
      </w:r>
      <w:proofErr w:type="spellEnd"/>
      <w:r>
        <w:rPr>
          <w:rtl/>
        </w:rPr>
        <w:t>, אסור לחלל שבת כדי להציל את חיי. מדוע? הגמרא</w:t>
      </w:r>
      <w:bookmarkStart w:id="6462" w:name="_fnr4876"/>
      <w:r>
        <w:rPr>
          <w:rStyle w:val="a5"/>
        </w:rPr>
        <w:footnoteReference w:id="4889" w:customMarkFollows="0"/>
      </w:r>
      <w:bookmarkEnd w:id="6462"/>
      <w:r>
        <w:rPr>
          <w:rtl/>
        </w:rPr>
        <w:t xml:space="preserve"> אומרת שרועי בהמה דקה לא מעלין ולא מורידין [מן הבור שנפלו אליו, אף שאסור להשליכם לתוכו], מפני שהם מתפרנסים מרעיית צאנם בשדות אחרים [חיים מממון גזול]</w:t>
      </w:r>
      <w:bookmarkStart w:id="6463" w:name="_fnr4877"/>
      <w:r>
        <w:rPr>
          <w:rStyle w:val="a5"/>
        </w:rPr>
        <w:footnoteReference w:id="4890" w:customMarkFollows="0"/>
      </w:r>
      <w:bookmarkEnd w:id="6463"/>
      <w:r>
        <w:rPr>
          <w:rtl/>
        </w:rPr>
        <w:t xml:space="preserve">. אף פרנסתי מושגת בגזל: אין לי כסף – הבריות תומכות </w:t>
      </w:r>
      <w:r>
        <w:rPr>
          <w:rtl/>
        </w:rPr>
        <w:lastRenderedPageBreak/>
        <w:t>בי מתוך מחשבה שאני צדיק; אילו ידעו את האמת, שאינני כזה, לא היו תומכות בי. לפיכך אני חי מממון גזול, ואין להצילני מסכנת נפשות’”.</w:t>
      </w:r>
    </w:p>
    <w:p w14:paraId="7C436E76" w14:textId="77777777" w:rsidR="00AB3647" w:rsidRDefault="00000000" w:rsidP="007923E9">
      <w:pPr>
        <w:spacing w:after="120" w:line="276" w:lineRule="auto"/>
        <w:ind w:firstLine="283"/>
        <w:jc w:val="both"/>
      </w:pPr>
      <w:r>
        <w:rPr>
          <w:rtl/>
        </w:rPr>
        <w:t xml:space="preserve">גם תלמידו ר׳ </w:t>
      </w:r>
      <w:proofErr w:type="spellStart"/>
      <w:r>
        <w:rPr>
          <w:rtl/>
        </w:rPr>
        <w:t>איצל׳ה</w:t>
      </w:r>
      <w:proofErr w:type="spellEnd"/>
      <w:r>
        <w:rPr>
          <w:rtl/>
        </w:rPr>
        <w:t xml:space="preserve"> </w:t>
      </w:r>
      <w:proofErr w:type="spellStart"/>
      <w:r>
        <w:rPr>
          <w:rtl/>
        </w:rPr>
        <w:t>בלאזר</w:t>
      </w:r>
      <w:proofErr w:type="spellEnd"/>
      <w:r>
        <w:rPr>
          <w:rtl/>
        </w:rPr>
        <w:t xml:space="preserve"> מגלה, בחלק “נתיבות אור” </w:t>
      </w:r>
      <w:proofErr w:type="spellStart"/>
      <w:r>
        <w:rPr>
          <w:rtl/>
        </w:rPr>
        <w:t>שב“אור</w:t>
      </w:r>
      <w:proofErr w:type="spellEnd"/>
      <w:r>
        <w:rPr>
          <w:rtl/>
        </w:rPr>
        <w:t xml:space="preserve"> ישראל”</w:t>
      </w:r>
      <w:bookmarkStart w:id="6464" w:name="_fnr4878"/>
      <w:r>
        <w:rPr>
          <w:rStyle w:val="a5"/>
        </w:rPr>
        <w:footnoteReference w:id="4891" w:customMarkFollows="0"/>
      </w:r>
      <w:bookmarkEnd w:id="6464"/>
      <w:r>
        <w:rPr>
          <w:rtl/>
        </w:rPr>
        <w:t xml:space="preserve">, שדרך פרנסתו של ר׳ ישראל הכבידה מאוד על מצפונו. ר׳ </w:t>
      </w:r>
      <w:proofErr w:type="spellStart"/>
      <w:r>
        <w:rPr>
          <w:rtl/>
        </w:rPr>
        <w:t>איצל׳ה</w:t>
      </w:r>
      <w:proofErr w:type="spellEnd"/>
      <w:r>
        <w:rPr>
          <w:rtl/>
        </w:rPr>
        <w:t xml:space="preserve"> כותב: “אחרי שעזב את משרתו בקובנה [</w:t>
      </w:r>
      <w:proofErr w:type="spellStart"/>
      <w:r>
        <w:rPr>
          <w:rtl/>
        </w:rPr>
        <w:t>בתרי״ז</w:t>
      </w:r>
      <w:proofErr w:type="spellEnd"/>
      <w:r>
        <w:rPr>
          <w:rtl/>
        </w:rPr>
        <w:t xml:space="preserve">], נאלץ ר׳ ישראל להיתמך בידי אחרים, ופרנסתו ניתנה לו בידי אחד </w:t>
      </w:r>
      <w:proofErr w:type="spellStart"/>
      <w:r>
        <w:rPr>
          <w:rtl/>
        </w:rPr>
        <w:t>מיח״ס</w:t>
      </w:r>
      <w:bookmarkStart w:id="6465" w:name="_fnr4879"/>
      <w:proofErr w:type="spellEnd"/>
      <w:r>
        <w:rPr>
          <w:rStyle w:val="a5"/>
        </w:rPr>
        <w:footnoteReference w:id="4892" w:customMarkFollows="0"/>
      </w:r>
      <w:bookmarkEnd w:id="6465"/>
      <w:r>
        <w:rPr>
          <w:rtl/>
        </w:rPr>
        <w:t xml:space="preserve"> מבין תלמידיו המצטיינים. הצדיק הצטער על כך כל ימיו... במיוחד פחד ודאג שמא הבריות טועות בו והוא נכשל בגזל – ותמיד היה נאנח ומתייסר על כך”. וכן שם</w:t>
      </w:r>
      <w:bookmarkStart w:id="6466" w:name="_fnr4880"/>
      <w:r>
        <w:rPr>
          <w:rStyle w:val="a5"/>
        </w:rPr>
        <w:footnoteReference w:id="4893" w:customMarkFollows="0"/>
      </w:r>
      <w:bookmarkEnd w:id="6466"/>
      <w:r>
        <w:rPr>
          <w:rtl/>
        </w:rPr>
        <w:t xml:space="preserve">: “בזקנותו כינה את עצמו עני זקן”. מסתבר שכאן, מתוך כבוד לרבו, תרגם ר׳ </w:t>
      </w:r>
      <w:proofErr w:type="spellStart"/>
      <w:r>
        <w:rPr>
          <w:rtl/>
        </w:rPr>
        <w:t>איצל׳ה</w:t>
      </w:r>
      <w:proofErr w:type="spellEnd"/>
      <w:r>
        <w:rPr>
          <w:rtl/>
        </w:rPr>
        <w:t xml:space="preserve"> </w:t>
      </w:r>
      <w:proofErr w:type="spellStart"/>
      <w:r>
        <w:rPr>
          <w:rtl/>
        </w:rPr>
        <w:t>בלאזר</w:t>
      </w:r>
      <w:proofErr w:type="spellEnd"/>
      <w:r>
        <w:rPr>
          <w:rtl/>
        </w:rPr>
        <w:t xml:space="preserve"> לעברית שלא בדיוק את המילים ביידיש שאמר ר׳ ישראל. ר׳ ישראל לא התכוון למחסורו אלא לתלותו הכספית באחרים, וכנראה לא כינה את עצמו “אן </w:t>
      </w:r>
      <w:proofErr w:type="spellStart"/>
      <w:r>
        <w:rPr>
          <w:rtl/>
        </w:rPr>
        <w:t>אלטער</w:t>
      </w:r>
      <w:proofErr w:type="spellEnd"/>
      <w:r>
        <w:rPr>
          <w:rtl/>
        </w:rPr>
        <w:t xml:space="preserve"> </w:t>
      </w:r>
      <w:proofErr w:type="spellStart"/>
      <w:r>
        <w:rPr>
          <w:rtl/>
        </w:rPr>
        <w:t>ארימאן</w:t>
      </w:r>
      <w:proofErr w:type="spellEnd"/>
      <w:r>
        <w:rPr>
          <w:rtl/>
        </w:rPr>
        <w:t xml:space="preserve"> [עני זקן]”, אלא “אן </w:t>
      </w:r>
      <w:proofErr w:type="spellStart"/>
      <w:r>
        <w:rPr>
          <w:rtl/>
        </w:rPr>
        <w:t>אלטער</w:t>
      </w:r>
      <w:proofErr w:type="spellEnd"/>
      <w:r>
        <w:rPr>
          <w:rtl/>
        </w:rPr>
        <w:t xml:space="preserve"> </w:t>
      </w:r>
      <w:proofErr w:type="spellStart"/>
      <w:r>
        <w:rPr>
          <w:rtl/>
        </w:rPr>
        <w:t>בעטלער</w:t>
      </w:r>
      <w:proofErr w:type="spellEnd"/>
      <w:r>
        <w:rPr>
          <w:rtl/>
        </w:rPr>
        <w:t xml:space="preserve"> [קבצן זקן]” – הביטוי המבזה. ר׳ </w:t>
      </w:r>
      <w:proofErr w:type="spellStart"/>
      <w:r>
        <w:rPr>
          <w:rtl/>
        </w:rPr>
        <w:t>איצל׳ה</w:t>
      </w:r>
      <w:proofErr w:type="spellEnd"/>
      <w:r>
        <w:rPr>
          <w:rtl/>
        </w:rPr>
        <w:t xml:space="preserve"> </w:t>
      </w:r>
      <w:proofErr w:type="spellStart"/>
      <w:r>
        <w:rPr>
          <w:rtl/>
        </w:rPr>
        <w:t>בלאזר</w:t>
      </w:r>
      <w:proofErr w:type="spellEnd"/>
      <w:r>
        <w:rPr>
          <w:rtl/>
        </w:rPr>
        <w:t xml:space="preserve"> ממשיך: “אדם נאמן מן העיר קניגסברג סיפר לי שכאשר חלה שם את מחלתו האחרונה ומצבו החמיר, ובני קהילה חשובים ונכבדים רבים באו לבקרו לעיתים קרובות, הבחינו בשעון גדול שתקתק בקול רם מאוד בחדר שבו שכב. הם שוחחו ביניהם על האפשרות להוציא את השעון מן החדר ולהניחו במקום אחר. כששמע רבנו ר׳ ישראל את לחישתם, התרעם עליהם ואמר: ‘מה אתם רוצים? עני זקן’” – מוטב לומר, קבצן זקן – “‘חולה, אז מה אם שעון מתקתק באוזניו? האם תדאגו גם לרפד את הרחוב בתבן ובקש [כדי לעמעם את רעש הרחוב]?’”</w:t>
      </w:r>
      <w:bookmarkStart w:id="6467" w:name="_fnr4881"/>
      <w:r>
        <w:rPr>
          <w:rStyle w:val="a5"/>
        </w:rPr>
        <w:footnoteReference w:id="4894" w:customMarkFollows="0"/>
      </w:r>
      <w:bookmarkEnd w:id="6467"/>
    </w:p>
    <w:p w14:paraId="41F1AC6A" w14:textId="77777777" w:rsidR="00AB3647" w:rsidRDefault="00000000" w:rsidP="007923E9">
      <w:pPr>
        <w:spacing w:after="120" w:line="276" w:lineRule="auto"/>
        <w:ind w:firstLine="283"/>
        <w:jc w:val="both"/>
      </w:pPr>
      <w:r>
        <w:rPr>
          <w:rtl/>
        </w:rPr>
        <w:t>השווה גם יעקב מארק</w:t>
      </w:r>
      <w:bookmarkStart w:id="6468" w:name="_fnr4882"/>
      <w:r>
        <w:rPr>
          <w:rStyle w:val="a5"/>
        </w:rPr>
        <w:footnoteReference w:id="4895" w:customMarkFollows="0"/>
      </w:r>
      <w:bookmarkEnd w:id="6468"/>
      <w:r>
        <w:rPr>
          <w:rtl/>
        </w:rPr>
        <w:t xml:space="preserve">, שר׳ ישראל הזמין פעם רב לאכול עמו ארוחת ערב, ואמר: “מותר לך לאכול הכול, שכן בשבילך הכול כשר”. הרב שאל מדוע כשר הדבר רק בשבילו, ור׳ ישראל השיב: “אנשים טובים תומכים בי: הם נותנים לי את פרנסתי מפני שהם רואים בי אדם גדול. אך מאחר שאינני כזה, הכסף שהם נותנים לי </w:t>
      </w:r>
      <w:r>
        <w:rPr>
          <w:b/>
          <w:bCs/>
          <w:rtl/>
        </w:rPr>
        <w:t>נחשב מאליו ממון גזול</w:t>
      </w:r>
      <w:r>
        <w:rPr>
          <w:rtl/>
        </w:rPr>
        <w:t xml:space="preserve"> (ההדגשה שלי), אפילו </w:t>
      </w:r>
      <w:proofErr w:type="spellStart"/>
      <w:r>
        <w:rPr>
          <w:rtl/>
        </w:rPr>
        <w:t>נתייאשו</w:t>
      </w:r>
      <w:proofErr w:type="spellEnd"/>
      <w:r>
        <w:rPr>
          <w:rtl/>
        </w:rPr>
        <w:t xml:space="preserve"> </w:t>
      </w:r>
      <w:proofErr w:type="spellStart"/>
      <w:r>
        <w:rPr>
          <w:rtl/>
        </w:rPr>
        <w:t>מלקבלו</w:t>
      </w:r>
      <w:proofErr w:type="spellEnd"/>
      <w:r>
        <w:rPr>
          <w:rtl/>
        </w:rPr>
        <w:t xml:space="preserve"> בחזרה. אבל כשאני נותן לך אותו, קנית אותו בשינוי רשות, ולכן הוא כשר לגמרי בשבילך”.</w:t>
      </w:r>
    </w:p>
    <w:p w14:paraId="6F70289C" w14:textId="77777777" w:rsidR="00AB3647" w:rsidRDefault="00000000" w:rsidP="007923E9">
      <w:pPr>
        <w:spacing w:after="120" w:line="276" w:lineRule="auto"/>
        <w:ind w:firstLine="283"/>
        <w:jc w:val="both"/>
      </w:pPr>
      <w:r>
        <w:rPr>
          <w:rtl/>
        </w:rPr>
        <w:t xml:space="preserve">מעשה זה מסופר גם </w:t>
      </w:r>
      <w:proofErr w:type="spellStart"/>
      <w:r>
        <w:rPr>
          <w:rtl/>
        </w:rPr>
        <w:t>ב“אור</w:t>
      </w:r>
      <w:proofErr w:type="spellEnd"/>
      <w:r>
        <w:rPr>
          <w:rtl/>
        </w:rPr>
        <w:t xml:space="preserve"> ישראל”</w:t>
      </w:r>
      <w:bookmarkStart w:id="6469" w:name="_fnr4883"/>
      <w:r>
        <w:rPr>
          <w:rStyle w:val="a5"/>
        </w:rPr>
        <w:footnoteReference w:id="4896" w:customMarkFollows="0"/>
      </w:r>
      <w:bookmarkEnd w:id="6469"/>
      <w:r>
        <w:rPr>
          <w:rtl/>
        </w:rPr>
        <w:t xml:space="preserve">, ושם נאמר שהאורח היה “רב גדול מבין מקורבי ר׳ ישראל”. אבל בדומה לתרגומו המוטעה של “קבצן זקן” שהוזכר לעיל, מסלק כאן ר׳ </w:t>
      </w:r>
      <w:proofErr w:type="spellStart"/>
      <w:r>
        <w:rPr>
          <w:rtl/>
        </w:rPr>
        <w:t>איצל׳ה</w:t>
      </w:r>
      <w:proofErr w:type="spellEnd"/>
      <w:r>
        <w:rPr>
          <w:rtl/>
        </w:rPr>
        <w:t xml:space="preserve"> </w:t>
      </w:r>
      <w:proofErr w:type="spellStart"/>
      <w:r>
        <w:rPr>
          <w:rtl/>
        </w:rPr>
        <w:t>בלאזר</w:t>
      </w:r>
      <w:proofErr w:type="spellEnd"/>
      <w:r>
        <w:rPr>
          <w:rtl/>
        </w:rPr>
        <w:t xml:space="preserve"> מקצת החריפות בשלושה שינויים קלים, המודגשים והממוספרים להלן. הוא כותב: “רבנו אמר [לאורחו]: ‘אולי תרצה מעט אוכל; מותר לך לאוכלו מפני </w:t>
      </w:r>
      <w:r>
        <w:rPr>
          <w:b/>
          <w:bCs/>
          <w:rtl/>
        </w:rPr>
        <w:t>שהוא כשר [1]</w:t>
      </w:r>
      <w:r>
        <w:rPr>
          <w:rtl/>
        </w:rPr>
        <w:t xml:space="preserve">’. הרב </w:t>
      </w:r>
      <w:r>
        <w:rPr>
          <w:rtl/>
        </w:rPr>
        <w:lastRenderedPageBreak/>
        <w:t xml:space="preserve">שאל למה התכוון [באומרו שהוא כשר], ורבנו השיב </w:t>
      </w:r>
      <w:r>
        <w:rPr>
          <w:b/>
          <w:bCs/>
          <w:rtl/>
        </w:rPr>
        <w:t>בצחות לשונו [2]</w:t>
      </w:r>
      <w:r>
        <w:rPr>
          <w:rtl/>
        </w:rPr>
        <w:t xml:space="preserve">: ‘האוכל </w:t>
      </w:r>
      <w:r>
        <w:rPr>
          <w:b/>
          <w:bCs/>
          <w:rtl/>
        </w:rPr>
        <w:t>אולי [3]</w:t>
      </w:r>
      <w:r>
        <w:rPr>
          <w:rtl/>
        </w:rPr>
        <w:t xml:space="preserve"> אינו כשר בשבילי, מפני שנגזל על ידי’”</w:t>
      </w:r>
      <w:bookmarkStart w:id="6470" w:name="_fnr4884"/>
      <w:r>
        <w:rPr>
          <w:rStyle w:val="a5"/>
        </w:rPr>
        <w:footnoteReference w:id="4897" w:customMarkFollows="0"/>
      </w:r>
      <w:bookmarkEnd w:id="6470"/>
      <w:r>
        <w:rPr>
          <w:rtl/>
        </w:rPr>
        <w:t xml:space="preserve">. [1] ר׳ </w:t>
      </w:r>
      <w:proofErr w:type="spellStart"/>
      <w:r>
        <w:rPr>
          <w:rtl/>
        </w:rPr>
        <w:t>איצל׳ה</w:t>
      </w:r>
      <w:proofErr w:type="spellEnd"/>
      <w:r>
        <w:rPr>
          <w:rtl/>
        </w:rPr>
        <w:t xml:space="preserve"> </w:t>
      </w:r>
      <w:proofErr w:type="spellStart"/>
      <w:r>
        <w:rPr>
          <w:rtl/>
        </w:rPr>
        <w:t>בלאזר</w:t>
      </w:r>
      <w:proofErr w:type="spellEnd"/>
      <w:r>
        <w:rPr>
          <w:rtl/>
        </w:rPr>
        <w:t xml:space="preserve"> נמנע מלומר שר׳ ישראל רמז בתחילת שיחתו שהאוכל אינו כשר לעצמו. [2] ר׳ </w:t>
      </w:r>
      <w:proofErr w:type="spellStart"/>
      <w:r>
        <w:rPr>
          <w:rtl/>
        </w:rPr>
        <w:t>איצל׳ה</w:t>
      </w:r>
      <w:proofErr w:type="spellEnd"/>
      <w:r>
        <w:rPr>
          <w:rtl/>
        </w:rPr>
        <w:t xml:space="preserve"> </w:t>
      </w:r>
      <w:proofErr w:type="spellStart"/>
      <w:r>
        <w:rPr>
          <w:rtl/>
        </w:rPr>
        <w:t>בלאזר</w:t>
      </w:r>
      <w:proofErr w:type="spellEnd"/>
      <w:r>
        <w:rPr>
          <w:rtl/>
        </w:rPr>
        <w:t xml:space="preserve"> הבין את דברי ר׳ ישראל כדרך שנונה לבטא מורת רוח מדרך פרנסתו, ולא כביטוי לכך שראה את עצמו גזלן ממש. [3] במקום לומר בוודאות שהאוכל אינו כשר לו עצמו, שם ר׳ </w:t>
      </w:r>
      <w:proofErr w:type="spellStart"/>
      <w:r>
        <w:rPr>
          <w:rtl/>
        </w:rPr>
        <w:t>איצל׳ה</w:t>
      </w:r>
      <w:proofErr w:type="spellEnd"/>
      <w:r>
        <w:rPr>
          <w:rtl/>
        </w:rPr>
        <w:t xml:space="preserve"> </w:t>
      </w:r>
      <w:proofErr w:type="spellStart"/>
      <w:r>
        <w:rPr>
          <w:rtl/>
        </w:rPr>
        <w:t>בלאזר</w:t>
      </w:r>
      <w:proofErr w:type="spellEnd"/>
      <w:r>
        <w:rPr>
          <w:rtl/>
        </w:rPr>
        <w:t xml:space="preserve"> בפי ר׳ ישראל רק אמירה שיש אפשרות כזאת.</w:t>
      </w:r>
    </w:p>
    <w:p w14:paraId="3CD2DB2A" w14:textId="77777777" w:rsidR="00AB3647" w:rsidRDefault="00000000" w:rsidP="007923E9">
      <w:pPr>
        <w:spacing w:after="120" w:line="276" w:lineRule="auto"/>
        <w:ind w:firstLine="283"/>
        <w:jc w:val="both"/>
      </w:pPr>
      <w:proofErr w:type="spellStart"/>
      <w:r>
        <w:rPr>
          <w:rtl/>
        </w:rPr>
        <w:t>החפץ־חיים</w:t>
      </w:r>
      <w:proofErr w:type="spellEnd"/>
      <w:r>
        <w:rPr>
          <w:rtl/>
        </w:rPr>
        <w:t xml:space="preserve"> התייסר בייסורי מצפון דומים, לפי גיליון “שערי ציון” לזכרו, שיצא ביום השנה הראשון לפטירתו</w:t>
      </w:r>
      <w:bookmarkStart w:id="6471" w:name="_fnr4885"/>
      <w:r>
        <w:rPr>
          <w:rStyle w:val="a5"/>
        </w:rPr>
        <w:footnoteReference w:id="4898" w:customMarkFollows="0"/>
      </w:r>
      <w:bookmarkEnd w:id="6471"/>
      <w:r>
        <w:rPr>
          <w:rtl/>
        </w:rPr>
        <w:t xml:space="preserve">. “שערי ציון” מספר: “במלחמת העולם [הראשונה], </w:t>
      </w:r>
      <w:proofErr w:type="spellStart"/>
      <w:r>
        <w:rPr>
          <w:rtl/>
        </w:rPr>
        <w:t>כשהחפץ־חיים</w:t>
      </w:r>
      <w:proofErr w:type="spellEnd"/>
      <w:r>
        <w:rPr>
          <w:rtl/>
        </w:rPr>
        <w:t xml:space="preserve"> וכמה מתלמידיו נדדו ברוסיה</w:t>
      </w:r>
      <w:bookmarkStart w:id="6472" w:name="_fnr4886"/>
      <w:r>
        <w:rPr>
          <w:rStyle w:val="a5"/>
        </w:rPr>
        <w:footnoteReference w:id="4899" w:customMarkFollows="0"/>
      </w:r>
      <w:bookmarkEnd w:id="6472"/>
      <w:r>
        <w:rPr>
          <w:rtl/>
        </w:rPr>
        <w:t xml:space="preserve">, נכנס פעם ד״ר מ.ס. ממוסקבה, שהיה אף הוא בין הפליטים, לחדר </w:t>
      </w:r>
      <w:proofErr w:type="spellStart"/>
      <w:r>
        <w:rPr>
          <w:rtl/>
        </w:rPr>
        <w:t>החפץ־חיים</w:t>
      </w:r>
      <w:proofErr w:type="spellEnd"/>
      <w:r>
        <w:rPr>
          <w:rtl/>
        </w:rPr>
        <w:t xml:space="preserve"> וראה אותו מהלך הלוך ושוב. </w:t>
      </w:r>
      <w:proofErr w:type="spellStart"/>
      <w:r>
        <w:rPr>
          <w:rtl/>
        </w:rPr>
        <w:t>החפץ־חיים</w:t>
      </w:r>
      <w:proofErr w:type="spellEnd"/>
      <w:r>
        <w:rPr>
          <w:rtl/>
        </w:rPr>
        <w:t xml:space="preserve"> הבחין באורח ואמר: ‘צריך להחזיר את 300 הרובל שקיבלתי בדואר מן הגביר מר [</w:t>
      </w:r>
      <w:proofErr w:type="spellStart"/>
      <w:r>
        <w:rPr>
          <w:rtl/>
        </w:rPr>
        <w:t>רפאל־שלמה</w:t>
      </w:r>
      <w:proofErr w:type="spellEnd"/>
      <w:r>
        <w:rPr>
          <w:rtl/>
        </w:rPr>
        <w:t>] גוץ</w:t>
      </w:r>
      <w:bookmarkStart w:id="6473" w:name="_fnr4887"/>
      <w:r>
        <w:rPr>
          <w:rStyle w:val="a5"/>
        </w:rPr>
        <w:footnoteReference w:id="4900" w:customMarkFollows="0"/>
      </w:r>
      <w:bookmarkEnd w:id="6473"/>
      <w:r>
        <w:rPr>
          <w:rtl/>
        </w:rPr>
        <w:t xml:space="preserve">’. ‘אבל מדוע צריך להחזיר את הכסף הנחוץ?’ שאל הרופא. </w:t>
      </w:r>
      <w:proofErr w:type="spellStart"/>
      <w:r>
        <w:rPr>
          <w:rtl/>
        </w:rPr>
        <w:t>החפץ־חיים</w:t>
      </w:r>
      <w:proofErr w:type="spellEnd"/>
      <w:r>
        <w:rPr>
          <w:rtl/>
        </w:rPr>
        <w:t xml:space="preserve"> השיב: ‘זו שאלה של גזל. אתה רואה את המכתב המצורף, שבו הוא מתאר אותי בתארים מופלגים בשבחי? כנראה הוא חושב שאני אדם הראוי לתארים הללו, ומשום כך שלח סכום גדול כל כך לפרנסתי. אילו ידע שבעצם אין שום תואר מן התארים האלה מתאר אותי, לא היה שולח לי את הכסף. לפיכך החזקת הכסף תהיה גנבה’. מאמצי הרופא לשנות את דעת </w:t>
      </w:r>
      <w:proofErr w:type="spellStart"/>
      <w:r>
        <w:rPr>
          <w:rtl/>
        </w:rPr>
        <w:t>החפץ־חיים</w:t>
      </w:r>
      <w:proofErr w:type="spellEnd"/>
      <w:r>
        <w:rPr>
          <w:rtl/>
        </w:rPr>
        <w:t xml:space="preserve"> לא הועילו, והוא נאלץ להחזיר את הכסף. בביקורו הבא אצל </w:t>
      </w:r>
      <w:proofErr w:type="spellStart"/>
      <w:r>
        <w:rPr>
          <w:rtl/>
        </w:rPr>
        <w:t>החפץ־חיים</w:t>
      </w:r>
      <w:proofErr w:type="spellEnd"/>
      <w:r>
        <w:rPr>
          <w:rtl/>
        </w:rPr>
        <w:t xml:space="preserve"> שאל אותו הלה אם החזיר את הכסף, וכשהשיב בחיוב עדיין לא נחה דעת הצדיק, מפחד שמטעים אותו – עד שהראה לו הרופא את הקבלה מבית הדואר. אז נחה דעתו, כאילו נגולה מעל חזהו אבן כבדה”.</w:t>
      </w:r>
    </w:p>
    <w:p w14:paraId="002EA2B8" w14:textId="77777777" w:rsidR="00AB3647" w:rsidRDefault="00000000" w:rsidP="007923E9">
      <w:pPr>
        <w:spacing w:after="120" w:line="276" w:lineRule="auto"/>
        <w:ind w:firstLine="283"/>
        <w:jc w:val="both"/>
      </w:pPr>
      <w:r>
        <w:rPr>
          <w:rtl/>
        </w:rPr>
        <w:t xml:space="preserve">מצאתי גישה דומה אצל צדיק מדור מאוחר יותר, הרב </w:t>
      </w:r>
      <w:proofErr w:type="spellStart"/>
      <w:r>
        <w:rPr>
          <w:rtl/>
        </w:rPr>
        <w:t>מסאטמר</w:t>
      </w:r>
      <w:proofErr w:type="spellEnd"/>
      <w:r>
        <w:rPr>
          <w:rtl/>
        </w:rPr>
        <w:t xml:space="preserve">, ר׳ </w:t>
      </w:r>
      <w:proofErr w:type="spellStart"/>
      <w:r>
        <w:rPr>
          <w:rtl/>
        </w:rPr>
        <w:t>יואליש</w:t>
      </w:r>
      <w:proofErr w:type="spellEnd"/>
      <w:r>
        <w:rPr>
          <w:rtl/>
        </w:rPr>
        <w:t xml:space="preserve"> </w:t>
      </w:r>
      <w:proofErr w:type="spellStart"/>
      <w:r>
        <w:rPr>
          <w:rtl/>
        </w:rPr>
        <w:t>טייטלבוים</w:t>
      </w:r>
      <w:proofErr w:type="spellEnd"/>
      <w:r>
        <w:rPr>
          <w:rtl/>
        </w:rPr>
        <w:t xml:space="preserve">. </w:t>
      </w:r>
      <w:proofErr w:type="spellStart"/>
      <w:r>
        <w:rPr>
          <w:rtl/>
        </w:rPr>
        <w:t>ב“זכרונות</w:t>
      </w:r>
      <w:proofErr w:type="spellEnd"/>
      <w:r>
        <w:rPr>
          <w:rtl/>
        </w:rPr>
        <w:t xml:space="preserve"> פון רבנו הקדוש </w:t>
      </w:r>
      <w:proofErr w:type="spellStart"/>
      <w:r>
        <w:rPr>
          <w:rtl/>
        </w:rPr>
        <w:t>מסאטמאר</w:t>
      </w:r>
      <w:proofErr w:type="spellEnd"/>
      <w:r>
        <w:rPr>
          <w:rtl/>
        </w:rPr>
        <w:t xml:space="preserve">” [זיכרונות מרבנו הקדוש </w:t>
      </w:r>
      <w:proofErr w:type="spellStart"/>
      <w:r>
        <w:rPr>
          <w:rtl/>
        </w:rPr>
        <w:t>מסאטמר</w:t>
      </w:r>
      <w:proofErr w:type="spellEnd"/>
      <w:r>
        <w:rPr>
          <w:rtl/>
        </w:rPr>
        <w:t>]</w:t>
      </w:r>
      <w:bookmarkStart w:id="6474" w:name="_fnr4888"/>
      <w:r>
        <w:rPr>
          <w:rStyle w:val="a5"/>
        </w:rPr>
        <w:footnoteReference w:id="4901" w:customMarkFollows="0"/>
      </w:r>
      <w:bookmarkEnd w:id="6474"/>
      <w:r>
        <w:rPr>
          <w:rtl/>
        </w:rPr>
        <w:t xml:space="preserve">, כותב המחבר חיים משה </w:t>
      </w:r>
      <w:proofErr w:type="spellStart"/>
      <w:r>
        <w:rPr>
          <w:rtl/>
        </w:rPr>
        <w:t>שטאובער</w:t>
      </w:r>
      <w:proofErr w:type="spellEnd"/>
      <w:r>
        <w:rPr>
          <w:rtl/>
        </w:rPr>
        <w:t xml:space="preserve"> (בתרגום מיידיש): “[שמשו של הרב], ר׳ עזריאל גליק, סיפר שפעם לפני הימים הנוראים... הבחין שהרבי שבור </w:t>
      </w:r>
      <w:proofErr w:type="spellStart"/>
      <w:r>
        <w:rPr>
          <w:rtl/>
        </w:rPr>
        <w:t>בלבו</w:t>
      </w:r>
      <w:proofErr w:type="spellEnd"/>
      <w:r>
        <w:rPr>
          <w:rtl/>
        </w:rPr>
        <w:t xml:space="preserve"> יותר מן הרגיל – </w:t>
      </w:r>
      <w:proofErr w:type="spellStart"/>
      <w:r>
        <w:rPr>
          <w:rtl/>
        </w:rPr>
        <w:t>צובראכען</w:t>
      </w:r>
      <w:proofErr w:type="spellEnd"/>
      <w:r>
        <w:rPr>
          <w:rtl/>
        </w:rPr>
        <w:t xml:space="preserve"> ביי </w:t>
      </w:r>
      <w:proofErr w:type="spellStart"/>
      <w:r>
        <w:rPr>
          <w:rtl/>
        </w:rPr>
        <w:t>זיך</w:t>
      </w:r>
      <w:proofErr w:type="spellEnd"/>
      <w:r>
        <w:rPr>
          <w:rtl/>
        </w:rPr>
        <w:t xml:space="preserve"> [שבור בתוך עצמו]. פתח ר׳ עזריאל בשיחה עם הרבי וניסה לחזקו: ‘יהיה טוב; הימים הנוראים מגיעים; העולם מחכה לשמוע את תפילת הרבי ולהתעורר לתשובה שלמה’. הרב פרץ בבכי ואמר: ‘העולם צריך לשוב בתשובה? הרי הם יהודים יקרים וטובים – לא חטאו. אבל </w:t>
      </w:r>
      <w:r>
        <w:rPr>
          <w:b/>
          <w:bCs/>
          <w:rtl/>
        </w:rPr>
        <w:t>לי יש</w:t>
      </w:r>
      <w:r>
        <w:rPr>
          <w:rtl/>
        </w:rPr>
        <w:t xml:space="preserve"> על מה לשוב בתשובה</w:t>
      </w:r>
      <w:bookmarkStart w:id="6475" w:name="_fnr4889"/>
      <w:r>
        <w:rPr>
          <w:rStyle w:val="a5"/>
        </w:rPr>
        <w:footnoteReference w:id="4902" w:customMarkFollows="0"/>
      </w:r>
      <w:bookmarkEnd w:id="6475"/>
      <w:r>
        <w:rPr>
          <w:rtl/>
        </w:rPr>
        <w:t>’</w:t>
      </w:r>
      <w:bookmarkStart w:id="6476" w:name="_fnr4890"/>
      <w:r>
        <w:rPr>
          <w:rStyle w:val="a5"/>
        </w:rPr>
        <w:footnoteReference w:id="4903" w:customMarkFollows="0"/>
      </w:r>
      <w:bookmarkEnd w:id="6476"/>
      <w:r>
        <w:rPr>
          <w:rtl/>
        </w:rPr>
        <w:t xml:space="preserve">. הוא אחז... בזקנו הלבן כשלג בשתי... ידיו, וקרא: ‘אני כבר זקן, ואני </w:t>
      </w:r>
      <w:r>
        <w:rPr>
          <w:rtl/>
        </w:rPr>
        <w:lastRenderedPageBreak/>
        <w:t>חושש שלעולם לא אוכל לשוב בתשובה על לקיחת הכסף מן הבריות. אני מוציא מהם את כספם במרמה, מפני שהם חושבים שאני יודע משהו, שאני מישהו. אוי לי, אוי לי!’”</w:t>
      </w:r>
    </w:p>
    <w:p w14:paraId="182512C3" w14:textId="77777777" w:rsidR="00AB3647" w:rsidRDefault="00000000" w:rsidP="007923E9">
      <w:pPr>
        <w:spacing w:after="120" w:line="276" w:lineRule="auto"/>
        <w:ind w:firstLine="283"/>
        <w:jc w:val="both"/>
      </w:pPr>
      <w:r>
        <w:rPr>
          <w:rtl/>
        </w:rPr>
        <w:t xml:space="preserve">אבי המשיך את המעשה ששמע מר׳ פישל בר: “האחים חייכו כששמעו את ר׳ ישראל </w:t>
      </w:r>
      <w:proofErr w:type="spellStart"/>
      <w:r>
        <w:rPr>
          <w:rtl/>
        </w:rPr>
        <w:t>סלנטר</w:t>
      </w:r>
      <w:proofErr w:type="spellEnd"/>
      <w:r>
        <w:rPr>
          <w:rtl/>
        </w:rPr>
        <w:t xml:space="preserve"> הגדול אומר להם שאסור להם להציל את חייו בשבת, ולכן הוסיף: ‘אני פוסק זאת כהלכה. דעו שתיחשבו מחללי שבת [אם תעשו מלאכה בשבת כדי להצילני]. זו ההלכה; זו אינה צדקות [מצדי]. אין זו ענווה; זהו הדין’”. ר׳ חיים </w:t>
      </w:r>
      <w:proofErr w:type="spellStart"/>
      <w:r>
        <w:rPr>
          <w:rtl/>
        </w:rPr>
        <w:t>קרייזווירט</w:t>
      </w:r>
      <w:proofErr w:type="spellEnd"/>
      <w:r>
        <w:rPr>
          <w:rtl/>
        </w:rPr>
        <w:t xml:space="preserve"> חזר על פסק זה של ר׳ ישראל </w:t>
      </w:r>
      <w:r>
        <w:rPr>
          <w:b/>
          <w:bCs/>
          <w:rtl/>
        </w:rPr>
        <w:t>בשם רבנו</w:t>
      </w:r>
      <w:bookmarkStart w:id="6477" w:name="_fnr4891"/>
      <w:r>
        <w:rPr>
          <w:rStyle w:val="a5"/>
        </w:rPr>
        <w:footnoteReference w:id="4904" w:customMarkFollows="0"/>
      </w:r>
      <w:bookmarkEnd w:id="6477"/>
      <w:r>
        <w:rPr>
          <w:rtl/>
        </w:rPr>
        <w:t xml:space="preserve">, אבל הוסיף שר׳ ישראל נתן את ההוראה עוד קודם לכן, </w:t>
      </w:r>
      <w:proofErr w:type="spellStart"/>
      <w:r>
        <w:rPr>
          <w:rtl/>
        </w:rPr>
        <w:t>לר</w:t>
      </w:r>
      <w:proofErr w:type="spellEnd"/>
      <w:r>
        <w:rPr>
          <w:rtl/>
        </w:rPr>
        <w:t xml:space="preserve">׳ ברוך </w:t>
      </w:r>
      <w:proofErr w:type="spellStart"/>
      <w:r>
        <w:rPr>
          <w:rtl/>
        </w:rPr>
        <w:t>זלדוביץ</w:t>
      </w:r>
      <w:proofErr w:type="spellEnd"/>
      <w:r>
        <w:rPr>
          <w:rtl/>
        </w:rPr>
        <w:t>׳ במינסק</w:t>
      </w:r>
      <w:bookmarkStart w:id="6478" w:name="_fnr4892"/>
      <w:r>
        <w:rPr>
          <w:rStyle w:val="a5"/>
        </w:rPr>
        <w:footnoteReference w:id="4905" w:customMarkFollows="0"/>
      </w:r>
      <w:bookmarkEnd w:id="6478"/>
      <w:r>
        <w:rPr>
          <w:rtl/>
        </w:rPr>
        <w:t>.</w:t>
      </w:r>
    </w:p>
    <w:p w14:paraId="614D72DE" w14:textId="77777777" w:rsidR="00AB3647" w:rsidRDefault="00000000" w:rsidP="007923E9">
      <w:pPr>
        <w:spacing w:after="120" w:line="276" w:lineRule="auto"/>
        <w:ind w:firstLine="283"/>
        <w:jc w:val="both"/>
      </w:pPr>
      <w:r>
        <w:rPr>
          <w:rtl/>
        </w:rPr>
        <w:t xml:space="preserve">באותו מעמד המחיש הרב </w:t>
      </w:r>
      <w:proofErr w:type="spellStart"/>
      <w:r>
        <w:rPr>
          <w:rtl/>
        </w:rPr>
        <w:t>קרייזווירט</w:t>
      </w:r>
      <w:proofErr w:type="spellEnd"/>
      <w:r>
        <w:rPr>
          <w:rtl/>
        </w:rPr>
        <w:t xml:space="preserve"> את “טוהרו” של ר׳ ישראל בענייני ממון, בסיפור ששמע מפי ר׳ אייזיק שר. הרב שר נסע </w:t>
      </w:r>
      <w:proofErr w:type="spellStart"/>
      <w:r>
        <w:rPr>
          <w:rtl/>
        </w:rPr>
        <w:t>לצ׳רקס</w:t>
      </w:r>
      <w:proofErr w:type="spellEnd"/>
      <w:r>
        <w:rPr>
          <w:rtl/>
        </w:rPr>
        <w:t xml:space="preserve">, עיר שבין </w:t>
      </w:r>
      <w:proofErr w:type="spellStart"/>
      <w:r>
        <w:rPr>
          <w:rtl/>
        </w:rPr>
        <w:t>קרמנצ׳וג</w:t>
      </w:r>
      <w:proofErr w:type="spellEnd"/>
      <w:r>
        <w:rPr>
          <w:rtl/>
        </w:rPr>
        <w:t xml:space="preserve"> לקייב, לגייס כספים לישיבת </w:t>
      </w:r>
      <w:proofErr w:type="spellStart"/>
      <w:r>
        <w:rPr>
          <w:rtl/>
        </w:rPr>
        <w:t>סלבודקה</w:t>
      </w:r>
      <w:proofErr w:type="spellEnd"/>
      <w:r>
        <w:rPr>
          <w:rtl/>
        </w:rPr>
        <w:t xml:space="preserve"> [מן הסתם בעת גלותה </w:t>
      </w:r>
      <w:proofErr w:type="spellStart"/>
      <w:r>
        <w:rPr>
          <w:rtl/>
        </w:rPr>
        <w:t>בקרמנצ׳וג</w:t>
      </w:r>
      <w:bookmarkStart w:id="6479" w:name="_fnr4893"/>
      <w:proofErr w:type="spellEnd"/>
      <w:r>
        <w:rPr>
          <w:rStyle w:val="a5"/>
        </w:rPr>
        <w:footnoteReference w:id="4906" w:customMarkFollows="0"/>
      </w:r>
      <w:bookmarkEnd w:id="6479"/>
      <w:r>
        <w:rPr>
          <w:rtl/>
        </w:rPr>
        <w:t xml:space="preserve">]. אחרי שנשא את דבריו ניגש אליו זקן אחד ואמר שדבריו מזכירים את הדרשה שנשא ר׳ ישראל </w:t>
      </w:r>
      <w:proofErr w:type="spellStart"/>
      <w:r>
        <w:rPr>
          <w:rtl/>
        </w:rPr>
        <w:t>סלנטר</w:t>
      </w:r>
      <w:proofErr w:type="spellEnd"/>
      <w:r>
        <w:rPr>
          <w:rtl/>
        </w:rPr>
        <w:t xml:space="preserve"> באותה עיר עשרות שנים קודם לכן. הרב שר שמח, ושאל אם הוא יודע מה עשה ר׳ ישראל בעיר רחוקה זו. האיש השיב שר׳ ישראל אמר לבתו, שנישאה בעיר זו, שאין לו כסף לבוא לחתונתה, ובהזדמנות הבאה יבוא לבקרה שם; וכעבור שנים הגיע. הקהילה ניצלה את ביקורו וביקשה שידבר לפני בני העיר. הרי שר׳ ישראל, </w:t>
      </w:r>
      <w:proofErr w:type="spellStart"/>
      <w:r>
        <w:rPr>
          <w:rtl/>
        </w:rPr>
        <w:t>כשלא</w:t>
      </w:r>
      <w:proofErr w:type="spellEnd"/>
      <w:r>
        <w:rPr>
          <w:rtl/>
        </w:rPr>
        <w:t xml:space="preserve"> היו בידו האמצעים, לא העלה בדעתו ללוות כסף אפילו כדי להשתתף בחתונת בתו</w:t>
      </w:r>
      <w:bookmarkStart w:id="6480" w:name="_fnr4894"/>
      <w:r>
        <w:rPr>
          <w:rStyle w:val="a5"/>
        </w:rPr>
        <w:footnoteReference w:id="4907" w:customMarkFollows="0"/>
      </w:r>
      <w:bookmarkEnd w:id="6480"/>
      <w:r>
        <w:rPr>
          <w:rtl/>
        </w:rPr>
        <w:t>!</w:t>
      </w:r>
    </w:p>
    <w:p w14:paraId="733CA769" w14:textId="77777777" w:rsidR="00AB3647" w:rsidRDefault="00000000" w:rsidP="007923E9">
      <w:pPr>
        <w:spacing w:after="120" w:line="276" w:lineRule="auto"/>
        <w:ind w:firstLine="283"/>
        <w:jc w:val="both"/>
      </w:pPr>
      <w:r>
        <w:rPr>
          <w:rtl/>
        </w:rPr>
        <w:t>השווה גם “כתבי הסבא”</w:t>
      </w:r>
      <w:bookmarkStart w:id="6481" w:name="_fnr4895"/>
      <w:r>
        <w:rPr>
          <w:rStyle w:val="a5"/>
        </w:rPr>
        <w:footnoteReference w:id="4908" w:customMarkFollows="0"/>
      </w:r>
      <w:bookmarkEnd w:id="6481"/>
      <w:r>
        <w:rPr>
          <w:rtl/>
        </w:rPr>
        <w:t xml:space="preserve">, שבהם מוסר ר׳ גרשון </w:t>
      </w:r>
      <w:proofErr w:type="spellStart"/>
      <w:r>
        <w:rPr>
          <w:rtl/>
        </w:rPr>
        <w:t>מיאדניק</w:t>
      </w:r>
      <w:proofErr w:type="spellEnd"/>
      <w:r>
        <w:rPr>
          <w:rtl/>
        </w:rPr>
        <w:t xml:space="preserve"> שהוראת ר׳ ישראל שלא לחלל שבת בשבילו נאמרה לא בממל, כפי שסיפר אבי בשם ר׳ פישל בר, אלא “באמצע שיחה </w:t>
      </w:r>
      <w:proofErr w:type="spellStart"/>
      <w:r>
        <w:rPr>
          <w:rtl/>
        </w:rPr>
        <w:t>בנבייזר</w:t>
      </w:r>
      <w:proofErr w:type="spellEnd"/>
      <w:r>
        <w:rPr>
          <w:rtl/>
        </w:rPr>
        <w:t xml:space="preserve"> </w:t>
      </w:r>
      <w:proofErr w:type="spellStart"/>
      <w:r>
        <w:rPr>
          <w:rtl/>
        </w:rPr>
        <w:t>קלויז</w:t>
      </w:r>
      <w:proofErr w:type="spellEnd"/>
      <w:r>
        <w:rPr>
          <w:rtl/>
        </w:rPr>
        <w:t xml:space="preserve"> בקובנה – ור׳ ישראל פרסם אותה פעמיים במהלך השיחה – בלשון זו: ‘הריני מודיע בפירוש שאם, חס ושלום, אחלה, אין לחלל שבת בשבילי, מפני שאני חושש שיש לי דין רועה, שאין לחלל שבת כדי להציל את חייו’”. הלשון מוכרחה להיות מצוטטת שלא במדויק, שכן אילו רק “חשש” ר׳ ישראל שאין חייו ראויים להצלה, אבל הכיר באפשרות שהם ראויים להצלה, היה עליו להתיר את חילול השבת, כשם שמחללים אותה בשביל אדם שספק אם הוא חי וספק אם לאו</w:t>
      </w:r>
      <w:bookmarkStart w:id="6482" w:name="_fnr4896"/>
      <w:r>
        <w:rPr>
          <w:rStyle w:val="a5"/>
        </w:rPr>
        <w:footnoteReference w:id="4909" w:customMarkFollows="0"/>
      </w:r>
      <w:bookmarkEnd w:id="6482"/>
      <w:r>
        <w:rPr>
          <w:rtl/>
        </w:rPr>
        <w:t>.</w:t>
      </w:r>
    </w:p>
    <w:p w14:paraId="78EF67B8" w14:textId="41C72ACD" w:rsidR="00AB3647" w:rsidRDefault="00000000" w:rsidP="007923E9">
      <w:pPr>
        <w:spacing w:after="120" w:line="276" w:lineRule="auto"/>
        <w:ind w:firstLine="283"/>
        <w:jc w:val="both"/>
      </w:pPr>
      <w:r>
        <w:rPr>
          <w:rtl/>
        </w:rPr>
        <w:t xml:space="preserve">אם נתן ר׳ ישראל את הוראתו גם בקובנה, מסתבר שהדבר היה בביקורו שם בקיץ, לפני בואו לממל – ראה פרק 3, הפסקה החמישית של </w:t>
      </w:r>
      <w:r>
        <w:rPr>
          <w:rtl/>
        </w:rPr>
        <w:fldChar w:fldCharType="begin" w:dirty="true"/>
      </w:r>
      <w:r>
        <w:rPr>
          <w:rtl/>
        </w:rPr>
        <w:instrText xml:space="preserve"> REF b3_excZ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כו</w:t>
      </w:r>
      <w:proofErr w:type="spellEnd"/>
      <w:r>
        <w:rPr>
          <w:rtl/>
        </w:rPr>
        <w:fldChar w:fldCharType="end"/>
      </w:r>
      <w:r>
        <w:rPr>
          <w:rtl/>
        </w:rPr>
        <w:t>. לפי כץ, “תנועת המוסר”, כרך א</w:t>
      </w:r>
      <w:bookmarkStart w:id="6483" w:name="_fnr4897"/>
      <w:r>
        <w:rPr>
          <w:rStyle w:val="a5"/>
        </w:rPr>
        <w:footnoteReference w:id="4910" w:customMarkFollows="0"/>
      </w:r>
      <w:bookmarkEnd w:id="6483"/>
      <w:r>
        <w:rPr>
          <w:rtl/>
        </w:rPr>
        <w:t xml:space="preserve">, </w:t>
      </w:r>
      <w:r>
        <w:rPr>
          <w:rtl/>
        </w:rPr>
        <w:lastRenderedPageBreak/>
        <w:t>ביקר ר׳ ישראל גם במינסק בשובו מפריז באותה עת</w:t>
      </w:r>
      <w:bookmarkStart w:id="6484" w:name="_fnr4898"/>
      <w:r>
        <w:rPr>
          <w:rStyle w:val="a5"/>
        </w:rPr>
        <w:footnoteReference w:id="4911" w:customMarkFollows="0"/>
      </w:r>
      <w:bookmarkEnd w:id="6484"/>
      <w:r>
        <w:rPr>
          <w:rtl/>
        </w:rPr>
        <w:t xml:space="preserve">; אם אכן נתן הוראות דומות </w:t>
      </w:r>
      <w:proofErr w:type="spellStart"/>
      <w:r>
        <w:rPr>
          <w:rtl/>
        </w:rPr>
        <w:t>לזלדוביץ</w:t>
      </w:r>
      <w:proofErr w:type="spellEnd"/>
      <w:r>
        <w:rPr>
          <w:rtl/>
        </w:rPr>
        <w:t xml:space="preserve">׳, כפי שמסר הרב </w:t>
      </w:r>
      <w:proofErr w:type="spellStart"/>
      <w:r>
        <w:rPr>
          <w:rtl/>
        </w:rPr>
        <w:t>קרייזווירט</w:t>
      </w:r>
      <w:proofErr w:type="spellEnd"/>
      <w:r>
        <w:rPr>
          <w:rtl/>
        </w:rPr>
        <w:t xml:space="preserve"> בשם רבנו, גם דבר זה היה אז. לפי כץ, שם</w:t>
      </w:r>
      <w:bookmarkStart w:id="6485" w:name="_fnr4899"/>
      <w:r>
        <w:rPr>
          <w:rStyle w:val="a5"/>
        </w:rPr>
        <w:footnoteReference w:id="4912" w:customMarkFollows="0"/>
      </w:r>
      <w:bookmarkEnd w:id="6485"/>
      <w:r>
        <w:rPr>
          <w:rtl/>
        </w:rPr>
        <w:t xml:space="preserve">, “ביקר אז ר׳ ישראל גם את בניו ובנותיו ואת שאר קרוביו במקומות מגוריהם השונים”. אבל ספק אם ביקורו </w:t>
      </w:r>
      <w:proofErr w:type="spellStart"/>
      <w:r>
        <w:rPr>
          <w:rtl/>
        </w:rPr>
        <w:t>בצ׳רקס</w:t>
      </w:r>
      <w:proofErr w:type="spellEnd"/>
      <w:r>
        <w:rPr>
          <w:rtl/>
        </w:rPr>
        <w:t xml:space="preserve"> היה בחודשיו האחרונים, כשנפרד [או אולי מסר את צוואתו המוסרית] מכל יקיריו בארץ, כשלושים וחמש שנה לפני ביקור הרב שר שם. שהרי לפי הנקודה שביקש הרב </w:t>
      </w:r>
      <w:proofErr w:type="spellStart"/>
      <w:r>
        <w:rPr>
          <w:rtl/>
        </w:rPr>
        <w:t>קרייזווירט</w:t>
      </w:r>
      <w:proofErr w:type="spellEnd"/>
      <w:r>
        <w:rPr>
          <w:rtl/>
        </w:rPr>
        <w:t xml:space="preserve"> להמחיש במעשה זה, נראה שר׳ ישראל בא לשם שנים אחדות בלבד אחרי חתונת בתו, מיד כשעלה בידו לאסוף די כסף לנסיעה.</w:t>
      </w:r>
    </w:p>
    <w:p w14:paraId="136AF25C" w14:textId="77777777" w:rsidR="00AB3647" w:rsidRDefault="00000000" w:rsidP="007923E9">
      <w:pPr>
        <w:spacing w:after="120" w:line="276" w:lineRule="auto"/>
        <w:ind w:firstLine="283"/>
        <w:jc w:val="both"/>
      </w:pPr>
      <w:r>
        <w:rPr>
          <w:rtl/>
        </w:rPr>
        <w:t>רבנו המשיך: “</w:t>
      </w:r>
      <w:proofErr w:type="spellStart"/>
      <w:r>
        <w:rPr>
          <w:rtl/>
        </w:rPr>
        <w:t>לר</w:t>
      </w:r>
      <w:proofErr w:type="spellEnd"/>
      <w:r>
        <w:rPr>
          <w:rtl/>
        </w:rPr>
        <w:t xml:space="preserve">׳ פישל הייתה אחות שהייתה כלתו של ר׳ </w:t>
      </w:r>
      <w:proofErr w:type="spellStart"/>
      <w:r>
        <w:rPr>
          <w:rtl/>
        </w:rPr>
        <w:t>יצחק־אלחנן</w:t>
      </w:r>
      <w:proofErr w:type="spellEnd"/>
      <w:r>
        <w:rPr>
          <w:rtl/>
        </w:rPr>
        <w:t xml:space="preserve"> </w:t>
      </w:r>
      <w:proofErr w:type="spellStart"/>
      <w:r>
        <w:rPr>
          <w:rtl/>
        </w:rPr>
        <w:t>ספקטור</w:t>
      </w:r>
      <w:proofErr w:type="spellEnd"/>
      <w:r>
        <w:rPr>
          <w:rtl/>
        </w:rPr>
        <w:t>, רבה של קובנה. עוד הכרתי את בעלה, ר׳ בנימין, שנורה בשוד”.</w:t>
      </w:r>
    </w:p>
    <w:p w14:paraId="08E07849" w14:textId="77777777" w:rsidR="00AB3647" w:rsidRDefault="00000000" w:rsidP="007923E9">
      <w:pPr>
        <w:spacing w:after="120" w:line="276" w:lineRule="auto"/>
        <w:ind w:firstLine="283"/>
        <w:jc w:val="both"/>
      </w:pPr>
      <w:r>
        <w:rPr>
          <w:rtl/>
        </w:rPr>
        <w:t xml:space="preserve">בשיחה המוקלטת בבית הכנסת “בית ישראל” במיאמי </w:t>
      </w:r>
      <w:proofErr w:type="spellStart"/>
      <w:r>
        <w:rPr>
          <w:rtl/>
        </w:rPr>
        <w:t>ביץ</w:t>
      </w:r>
      <w:proofErr w:type="spellEnd"/>
      <w:r>
        <w:rPr>
          <w:rtl/>
        </w:rPr>
        <w:t xml:space="preserve">׳ הוסיף אבי שהשוד התרחש במטבח, ואחר כך באו השודדים לחדר המגורים, שבו למד ר׳ בנימין, והרגוהו. פרטים נוספים על אסון זה מצויים </w:t>
      </w:r>
      <w:proofErr w:type="spellStart"/>
      <w:r>
        <w:rPr>
          <w:rtl/>
        </w:rPr>
        <w:t>ב“הדואר</w:t>
      </w:r>
      <w:proofErr w:type="spellEnd"/>
      <w:r>
        <w:rPr>
          <w:rtl/>
        </w:rPr>
        <w:t xml:space="preserve">” [תשכ״ד], במאמרו של </w:t>
      </w:r>
      <w:proofErr w:type="spellStart"/>
      <w:r>
        <w:rPr>
          <w:rtl/>
        </w:rPr>
        <w:t>הירש־לייב</w:t>
      </w:r>
      <w:proofErr w:type="spellEnd"/>
      <w:r>
        <w:rPr>
          <w:rtl/>
        </w:rPr>
        <w:t xml:space="preserve"> גורדון, תלמיד כנסת בית יצחק</w:t>
      </w:r>
      <w:bookmarkStart w:id="6486" w:name="_fnr4900"/>
      <w:r>
        <w:rPr>
          <w:rStyle w:val="a5"/>
        </w:rPr>
        <w:footnoteReference w:id="4913" w:customMarkFollows="0"/>
      </w:r>
      <w:bookmarkEnd w:id="6486"/>
      <w:r>
        <w:rPr>
          <w:rtl/>
        </w:rPr>
        <w:t xml:space="preserve">: “הנוער הסוער של </w:t>
      </w:r>
      <w:proofErr w:type="spellStart"/>
      <w:r>
        <w:rPr>
          <w:rtl/>
        </w:rPr>
        <w:t>סלבודקה</w:t>
      </w:r>
      <w:proofErr w:type="spellEnd"/>
      <w:r>
        <w:rPr>
          <w:rtl/>
        </w:rPr>
        <w:t xml:space="preserve"> היה הולך בראש מורם ברחובות, לבוש חולצות צבעוניות ואבנטים, כל חבורה וצבעה. הבולטים והניכרים ביותר היו האנרכיסטים הטרוריסטים. הם הטילו פחד על האחרים, מפני שתמיד היו אקדחים בכיסיהם, מוכנים לירי. לא היו לאנרכיסטים הללו אידיאלים חיוביים לתקן את העולם למען אחרים. שיטתם הייתה גזל פשוט – ‘הפקעה’, בלשון המקובלת – כמין נקמה בעשירים. וכך נהרג ר׳ בנימין, בנו של ר׳ </w:t>
      </w:r>
      <w:proofErr w:type="spellStart"/>
      <w:r>
        <w:rPr>
          <w:rtl/>
        </w:rPr>
        <w:t>יצחק־אלחנן</w:t>
      </w:r>
      <w:proofErr w:type="spellEnd"/>
      <w:r>
        <w:rPr>
          <w:rtl/>
        </w:rPr>
        <w:t xml:space="preserve">, כשנכנסו הפושעים הללו לביתו ורצחוהו בלי כל מניע. המעשה עורר מהומה גדולה בין היהודים, אך האשמים לא נתפסו. המזימה כולה נרקמה בחדר קרוב </w:t>
      </w:r>
      <w:proofErr w:type="spellStart"/>
      <w:r>
        <w:rPr>
          <w:rtl/>
        </w:rPr>
        <w:t>לסטאנציע</w:t>
      </w:r>
      <w:proofErr w:type="spellEnd"/>
      <w:r>
        <w:rPr>
          <w:rtl/>
        </w:rPr>
        <w:t xml:space="preserve"> שלי, בבית הסנדלר, שבו סרגה אנרכיסטית גרביים ומילאה אותן בנשק. בערבים התקיימו שם </w:t>
      </w:r>
      <w:proofErr w:type="spellStart"/>
      <w:r>
        <w:rPr>
          <w:rtl/>
        </w:rPr>
        <w:t>אספות</w:t>
      </w:r>
      <w:proofErr w:type="spellEnd"/>
      <w:r>
        <w:rPr>
          <w:rtl/>
        </w:rPr>
        <w:t xml:space="preserve"> אנרכיסטים. אני זוכר שבשבת אחת, כשטיילנו בין גדרות התיל שסביב המבצרים, מצאנו גופה מוטלת בחוץ. היה זה אחד האנרכיסטים הטורפים”.</w:t>
      </w:r>
    </w:p>
    <w:p w14:paraId="2673393A" w14:textId="77777777" w:rsidR="00AB3647" w:rsidRDefault="00000000" w:rsidP="007923E9">
      <w:pPr>
        <w:spacing w:after="120" w:line="276" w:lineRule="auto"/>
        <w:ind w:firstLine="283"/>
        <w:jc w:val="both"/>
      </w:pPr>
      <w:r>
        <w:rPr>
          <w:rtl/>
        </w:rPr>
        <w:t>“בגלל אחות זו”, המשיך אבי, “היה אביו של ר׳ פישל, ר׳ אלי׳ בר</w:t>
      </w:r>
      <w:bookmarkStart w:id="6487" w:name="_fnr4901"/>
      <w:r>
        <w:rPr>
          <w:rStyle w:val="a5"/>
        </w:rPr>
        <w:footnoteReference w:id="4914" w:customMarkFollows="0"/>
      </w:r>
      <w:bookmarkEnd w:id="6487"/>
      <w:r>
        <w:rPr>
          <w:rtl/>
        </w:rPr>
        <w:t xml:space="preserve">, בן בית אצל הרב מקובנה; ובפעם הבאה שבא ר׳ אלי׳ לקובנה, חזר לפני ר׳ </w:t>
      </w:r>
      <w:proofErr w:type="spellStart"/>
      <w:r>
        <w:rPr>
          <w:rtl/>
        </w:rPr>
        <w:t>יצחק־אלחנן</w:t>
      </w:r>
      <w:proofErr w:type="spellEnd"/>
      <w:r>
        <w:rPr>
          <w:rtl/>
        </w:rPr>
        <w:t xml:space="preserve"> על פסקו של ר׳ ישראל </w:t>
      </w:r>
      <w:proofErr w:type="spellStart"/>
      <w:r>
        <w:rPr>
          <w:rtl/>
        </w:rPr>
        <w:t>סלנטר</w:t>
      </w:r>
      <w:proofErr w:type="spellEnd"/>
      <w:r>
        <w:rPr>
          <w:rtl/>
        </w:rPr>
        <w:t xml:space="preserve">. ר׳ </w:t>
      </w:r>
      <w:proofErr w:type="spellStart"/>
      <w:r>
        <w:rPr>
          <w:rtl/>
        </w:rPr>
        <w:t>יצחק־אלחנן</w:t>
      </w:r>
      <w:proofErr w:type="spellEnd"/>
      <w:r>
        <w:rPr>
          <w:rtl/>
        </w:rPr>
        <w:t xml:space="preserve"> </w:t>
      </w:r>
      <w:proofErr w:type="spellStart"/>
      <w:r>
        <w:rPr>
          <w:rtl/>
        </w:rPr>
        <w:t>ספקטור</w:t>
      </w:r>
      <w:proofErr w:type="spellEnd"/>
      <w:r>
        <w:rPr>
          <w:rtl/>
        </w:rPr>
        <w:t xml:space="preserve"> לא צחק. הוא הקשיב לדברי מחותנו והרהר בהם; ואחר כך אמר: ‘אמור </w:t>
      </w:r>
      <w:proofErr w:type="spellStart"/>
      <w:r>
        <w:rPr>
          <w:rtl/>
        </w:rPr>
        <w:t>לר</w:t>
      </w:r>
      <w:proofErr w:type="spellEnd"/>
      <w:r>
        <w:rPr>
          <w:rtl/>
        </w:rPr>
        <w:t xml:space="preserve">׳ ישראל שהרב מקובנה פוסק שמותר – מען </w:t>
      </w:r>
      <w:proofErr w:type="spellStart"/>
      <w:r>
        <w:rPr>
          <w:rtl/>
        </w:rPr>
        <w:t>מעג</w:t>
      </w:r>
      <w:proofErr w:type="spellEnd"/>
      <w:r>
        <w:rPr>
          <w:rtl/>
        </w:rPr>
        <w:t xml:space="preserve">. אני פוסק לכם שמותר לחלל בשבילו את השבת’”. העובדה שר׳ </w:t>
      </w:r>
      <w:proofErr w:type="spellStart"/>
      <w:r>
        <w:rPr>
          <w:rtl/>
        </w:rPr>
        <w:t>יצחק־אלחנן</w:t>
      </w:r>
      <w:proofErr w:type="spellEnd"/>
      <w:r>
        <w:rPr>
          <w:rtl/>
        </w:rPr>
        <w:t xml:space="preserve"> שמע לראשונה על פסקו של ר׳ ישראל מפי חותן בנו, מחותנו מממל, מעוררת ספק בדברי ר׳ גרשון </w:t>
      </w:r>
      <w:proofErr w:type="spellStart"/>
      <w:r>
        <w:rPr>
          <w:rtl/>
        </w:rPr>
        <w:t>מיאדניק</w:t>
      </w:r>
      <w:proofErr w:type="spellEnd"/>
      <w:r>
        <w:rPr>
          <w:rtl/>
        </w:rPr>
        <w:t xml:space="preserve"> שר׳ ישראל הכריז על פסקו </w:t>
      </w:r>
      <w:r>
        <w:rPr>
          <w:rtl/>
        </w:rPr>
        <w:lastRenderedPageBreak/>
        <w:t xml:space="preserve">ההלכתי עוד קודם לכן </w:t>
      </w:r>
      <w:proofErr w:type="spellStart"/>
      <w:r>
        <w:rPr>
          <w:rtl/>
        </w:rPr>
        <w:t>בנביאזר</w:t>
      </w:r>
      <w:proofErr w:type="spellEnd"/>
      <w:r>
        <w:rPr>
          <w:rtl/>
        </w:rPr>
        <w:t xml:space="preserve"> </w:t>
      </w:r>
      <w:proofErr w:type="spellStart"/>
      <w:r>
        <w:rPr>
          <w:rtl/>
        </w:rPr>
        <w:t>קלויז</w:t>
      </w:r>
      <w:proofErr w:type="spellEnd"/>
      <w:r>
        <w:rPr>
          <w:rtl/>
        </w:rPr>
        <w:t xml:space="preserve"> [ולא רק פעם אחת, אלא פעמיים], שכן הכרזה כזאת מפי ר׳ ישראל </w:t>
      </w:r>
      <w:proofErr w:type="spellStart"/>
      <w:r>
        <w:rPr>
          <w:rtl/>
        </w:rPr>
        <w:t>סלנטר</w:t>
      </w:r>
      <w:proofErr w:type="spellEnd"/>
      <w:r>
        <w:rPr>
          <w:rtl/>
        </w:rPr>
        <w:t xml:space="preserve"> ודאי הייתה מהדהדת בעיר כולה ומגיעה לאוזני הרב מקובנה.</w:t>
      </w:r>
    </w:p>
    <w:p w14:paraId="2D671C18" w14:textId="77777777" w:rsidR="00AB3647" w:rsidRDefault="00000000" w:rsidP="007923E9">
      <w:pPr>
        <w:spacing w:after="120" w:line="276" w:lineRule="auto"/>
        <w:ind w:firstLine="283"/>
        <w:jc w:val="both"/>
      </w:pPr>
      <w:r>
        <w:rPr>
          <w:rtl/>
        </w:rPr>
        <w:t>אבי המשיך: “כשר׳ ישראל נפטר באותו חורף בקניגסברג, הסתקרן פישל בר הצעיר לדעת אם חיללו בשבילו את השבת אם לאו, ובירר אצל האנשים שאצלם התאכסן ר׳ ישראל לאחרונה. הם אמרו לנער שר׳ ישראל היה בריא כל זמן שהותו שם, פרט לסוף ממש: אז חלה במוצאי שבת, ונפטר בערב השבת שלאחריה. השאלה אם לחלל בשבילו את השבת כלל לא התעוררה”.</w:t>
      </w:r>
    </w:p>
    <w:p w14:paraId="67AD9D22" w14:textId="77777777" w:rsidR="00AB3647" w:rsidRDefault="00000000" w:rsidP="007923E9">
      <w:pPr>
        <w:spacing w:after="120" w:line="276" w:lineRule="auto"/>
        <w:ind w:firstLine="283"/>
        <w:jc w:val="both"/>
      </w:pPr>
      <w:r>
        <w:rPr>
          <w:rtl/>
        </w:rPr>
        <w:t xml:space="preserve">לסיפורו של ר׳ פישל בר הוסיף אבי הערה זו: “זאת אני יודע בעצמי – שר׳ ישראל נפטר ביום שישי בקניגסברג – מפני שגיסתי [חסיה, אשת ר׳ אברהם </w:t>
      </w:r>
      <w:proofErr w:type="spellStart"/>
      <w:r>
        <w:rPr>
          <w:rtl/>
        </w:rPr>
        <w:t>גרודזינסקי</w:t>
      </w:r>
      <w:proofErr w:type="spellEnd"/>
      <w:r>
        <w:rPr>
          <w:rtl/>
        </w:rPr>
        <w:t xml:space="preserve">] נקברה בקניגסברג בקרבתו, ובעלה, ר׳ אברהם </w:t>
      </w:r>
      <w:proofErr w:type="spellStart"/>
      <w:r>
        <w:rPr>
          <w:rtl/>
        </w:rPr>
        <w:t>גרודזינסקי</w:t>
      </w:r>
      <w:proofErr w:type="spellEnd"/>
      <w:r>
        <w:rPr>
          <w:rtl/>
        </w:rPr>
        <w:t xml:space="preserve">, סיפר לי שקרא על מצבת ר׳ ישראל שיום פטירתו היה יום שישי. קבורתה סמוך </w:t>
      </w:r>
      <w:proofErr w:type="spellStart"/>
      <w:r>
        <w:rPr>
          <w:rtl/>
        </w:rPr>
        <w:t>לר</w:t>
      </w:r>
      <w:proofErr w:type="spellEnd"/>
      <w:r>
        <w:rPr>
          <w:rtl/>
        </w:rPr>
        <w:t xml:space="preserve">׳ ישראל הסתדרה בדרך משונה – א </w:t>
      </w:r>
      <w:proofErr w:type="spellStart"/>
      <w:r>
        <w:rPr>
          <w:rtl/>
        </w:rPr>
        <w:t>מאדנע</w:t>
      </w:r>
      <w:proofErr w:type="spellEnd"/>
      <w:r>
        <w:rPr>
          <w:rtl/>
        </w:rPr>
        <w:t xml:space="preserve"> היכי </w:t>
      </w:r>
      <w:proofErr w:type="spellStart"/>
      <w:r>
        <w:rPr>
          <w:rtl/>
        </w:rPr>
        <w:t>תימצי</w:t>
      </w:r>
      <w:proofErr w:type="spellEnd"/>
      <w:r>
        <w:rPr>
          <w:rtl/>
        </w:rPr>
        <w:t xml:space="preserve">. היא נפטרה ארבעים ושש שנה אחרי ר׳ ישראל, אבל בינתיים הרחיבו את בית הקברות בשורת קברים חדשה. הוא היה קבור בראש שורה, וכמעט חצי מאה אחר כך נקברה היא בראש השורה החדשה, ורק שביל הפריד ביניהם. מעולם לא הייתי שם, אבל גיסי גילה את כל זה בבואו לשם וסיפר לי. </w:t>
      </w:r>
    </w:p>
    <w:p w14:paraId="0A720815" w14:textId="77777777" w:rsidR="00AB3647" w:rsidRDefault="00000000" w:rsidP="007923E9">
      <w:pPr>
        <w:spacing w:after="120" w:line="276" w:lineRule="auto"/>
        <w:ind w:firstLine="283"/>
        <w:jc w:val="both"/>
      </w:pPr>
      <w:r>
        <w:rPr>
          <w:rtl/>
        </w:rPr>
        <w:t xml:space="preserve">לפני פטירתה אמרה גיסתי שר׳ ישראל </w:t>
      </w:r>
      <w:proofErr w:type="spellStart"/>
      <w:r>
        <w:rPr>
          <w:rtl/>
        </w:rPr>
        <w:t>סלנטר</w:t>
      </w:r>
      <w:proofErr w:type="spellEnd"/>
      <w:r>
        <w:rPr>
          <w:rtl/>
        </w:rPr>
        <w:t xml:space="preserve"> נראה לה. היא הייתה בעלת מעלה, ותמיד שמעה “ר׳ ישראל”, “ר׳ ישראל” מפי בעלה, שהיה משפיע המוסר </w:t>
      </w:r>
      <w:proofErr w:type="spellStart"/>
      <w:r>
        <w:rPr>
          <w:rtl/>
        </w:rPr>
        <w:t>בסלבודקה</w:t>
      </w:r>
      <w:proofErr w:type="spellEnd"/>
      <w:r>
        <w:rPr>
          <w:rtl/>
        </w:rPr>
        <w:t>”. (</w:t>
      </w:r>
      <w:proofErr w:type="spellStart"/>
      <w:r>
        <w:rPr>
          <w:rtl/>
        </w:rPr>
        <w:t>ב“ואמונתך</w:t>
      </w:r>
      <w:proofErr w:type="spellEnd"/>
      <w:r>
        <w:rPr>
          <w:rtl/>
        </w:rPr>
        <w:t xml:space="preserve"> בלילות”</w:t>
      </w:r>
      <w:bookmarkStart w:id="6488" w:name="_fnr4902"/>
      <w:r>
        <w:rPr>
          <w:rStyle w:val="a5"/>
        </w:rPr>
        <w:footnoteReference w:id="4915" w:customMarkFollows="0"/>
      </w:r>
      <w:bookmarkEnd w:id="6488"/>
      <w:r>
        <w:rPr>
          <w:rtl/>
        </w:rPr>
        <w:t xml:space="preserve"> מאת רבקה </w:t>
      </w:r>
      <w:proofErr w:type="spellStart"/>
      <w:r>
        <w:rPr>
          <w:rtl/>
        </w:rPr>
        <w:t>וולבה</w:t>
      </w:r>
      <w:proofErr w:type="spellEnd"/>
      <w:r>
        <w:rPr>
          <w:rtl/>
        </w:rPr>
        <w:t xml:space="preserve"> [בתה של חסיה </w:t>
      </w:r>
      <w:proofErr w:type="spellStart"/>
      <w:r>
        <w:rPr>
          <w:rtl/>
        </w:rPr>
        <w:t>גרודזינסקי</w:t>
      </w:r>
      <w:proofErr w:type="spellEnd"/>
      <w:r>
        <w:rPr>
          <w:rtl/>
        </w:rPr>
        <w:t xml:space="preserve">] מסופר: “זמן קצר לפני פטירתה אמרה שר׳ ישראל והסבא </w:t>
      </w:r>
      <w:proofErr w:type="spellStart"/>
      <w:r>
        <w:rPr>
          <w:rtl/>
        </w:rPr>
        <w:t>מסלבודקה</w:t>
      </w:r>
      <w:proofErr w:type="spellEnd"/>
      <w:r>
        <w:rPr>
          <w:rtl/>
        </w:rPr>
        <w:t xml:space="preserve"> באו בחלומה לקבל את פניה”.)</w:t>
      </w:r>
    </w:p>
    <w:p w14:paraId="53ACC23A" w14:textId="77777777" w:rsidR="00AB3647" w:rsidRDefault="00000000" w:rsidP="007923E9">
      <w:pPr>
        <w:spacing w:after="120" w:line="276" w:lineRule="auto"/>
        <w:ind w:firstLine="283"/>
        <w:jc w:val="both"/>
      </w:pPr>
      <w:r>
        <w:rPr>
          <w:rtl/>
        </w:rPr>
        <w:t xml:space="preserve">את הכתובת על מצבת ר׳ ישראל, שראה הרב </w:t>
      </w:r>
      <w:proofErr w:type="spellStart"/>
      <w:r>
        <w:rPr>
          <w:rtl/>
        </w:rPr>
        <w:t>גרודזינסקי</w:t>
      </w:r>
      <w:proofErr w:type="spellEnd"/>
      <w:r>
        <w:rPr>
          <w:rtl/>
        </w:rPr>
        <w:t xml:space="preserve">, ראה הרב י. ברמן </w:t>
      </w:r>
      <w:proofErr w:type="spellStart"/>
      <w:r>
        <w:rPr>
          <w:rtl/>
        </w:rPr>
        <w:t>שבע־עשרה</w:t>
      </w:r>
      <w:proofErr w:type="spellEnd"/>
      <w:r>
        <w:rPr>
          <w:rtl/>
        </w:rPr>
        <w:t xml:space="preserve"> שנה קודם לכן, והיא נדפסה </w:t>
      </w:r>
      <w:proofErr w:type="spellStart"/>
      <w:r>
        <w:rPr>
          <w:rtl/>
        </w:rPr>
        <w:t>ב“יתד</w:t>
      </w:r>
      <w:proofErr w:type="spellEnd"/>
      <w:r>
        <w:rPr>
          <w:rtl/>
        </w:rPr>
        <w:t xml:space="preserve"> נאמן”</w:t>
      </w:r>
      <w:bookmarkStart w:id="6489" w:name="_fnr4903"/>
      <w:r>
        <w:rPr>
          <w:rStyle w:val="a5"/>
        </w:rPr>
        <w:footnoteReference w:id="4916" w:customMarkFollows="0"/>
      </w:r>
      <w:bookmarkEnd w:id="6489"/>
      <w:r>
        <w:rPr>
          <w:rtl/>
        </w:rPr>
        <w:t>. השורות האחרונות, שבהן מצוין יום השבוע שבו נפטר ר׳ ישראל, הן: “נולד בשנת תק״ע ונאסף אל עמיו ביום ו׳ עש״ק כ״ה שבט”. “הרב י. ברמן” זה הוא כנראה הרב יעקב ברמן, שישב לימים ברחובות והוציא חוברת</w:t>
      </w:r>
      <w:bookmarkStart w:id="6490" w:name="_fnr4904"/>
      <w:r>
        <w:rPr>
          <w:rStyle w:val="a5"/>
        </w:rPr>
        <w:footnoteReference w:id="4917" w:customMarkFollows="0"/>
      </w:r>
      <w:bookmarkEnd w:id="6490"/>
      <w:r>
        <w:rPr>
          <w:rtl/>
        </w:rPr>
        <w:t xml:space="preserve"> בשם “ר׳ ישראל </w:t>
      </w:r>
      <w:proofErr w:type="spellStart"/>
      <w:r>
        <w:rPr>
          <w:rtl/>
        </w:rPr>
        <w:t>סלנטר</w:t>
      </w:r>
      <w:proofErr w:type="spellEnd"/>
      <w:r>
        <w:rPr>
          <w:rtl/>
        </w:rPr>
        <w:t xml:space="preserve"> ובני דורו” (ללא תאריך). בחוברת כתב </w:t>
      </w:r>
      <w:proofErr w:type="spellStart"/>
      <w:r>
        <w:rPr>
          <w:rtl/>
        </w:rPr>
        <w:t>שבתשי״ב</w:t>
      </w:r>
      <w:proofErr w:type="spellEnd"/>
      <w:r>
        <w:rPr>
          <w:rtl/>
        </w:rPr>
        <w:t xml:space="preserve"> ביקר שוב בקבר ר׳ ישראל, ארבעים שנה אחרי ביקורו הראשון, והוסיף: “גדר של ברזל יפה מוקם סביב קברו ועל ידו שטח ריק כדי מקום שלם </w:t>
      </w:r>
      <w:proofErr w:type="spellStart"/>
      <w:r>
        <w:rPr>
          <w:rtl/>
        </w:rPr>
        <w:t>הכל</w:t>
      </w:r>
      <w:proofErr w:type="spellEnd"/>
      <w:r>
        <w:rPr>
          <w:rtl/>
        </w:rPr>
        <w:t xml:space="preserve"> לכבודו, וידע השמש של בית הקברות להראות לתיירים את </w:t>
      </w:r>
      <w:proofErr w:type="spellStart"/>
      <w:r>
        <w:rPr>
          <w:rtl/>
        </w:rPr>
        <w:t>ציונו</w:t>
      </w:r>
      <w:proofErr w:type="spellEnd"/>
      <w:r>
        <w:rPr>
          <w:rtl/>
        </w:rPr>
        <w:t xml:space="preserve"> של ‘הרב הגאון הצדיק’ כי הרגיש לשם מה בא התייר לבית קברות עתיק זה”.</w:t>
      </w:r>
    </w:p>
    <w:p w14:paraId="25A4188B" w14:textId="77777777" w:rsidR="00AB3647" w:rsidRDefault="00000000" w:rsidP="007923E9">
      <w:pPr>
        <w:spacing w:after="120" w:line="276" w:lineRule="auto"/>
        <w:ind w:firstLine="283"/>
        <w:jc w:val="both"/>
      </w:pPr>
      <w:r>
        <w:rPr>
          <w:rtl/>
        </w:rPr>
        <w:lastRenderedPageBreak/>
        <w:t xml:space="preserve">נוסח מוקדם יותר וארוך הרבה יותר, שנלקח </w:t>
      </w:r>
      <w:proofErr w:type="spellStart"/>
      <w:r>
        <w:rPr>
          <w:rtl/>
        </w:rPr>
        <w:t>מ“עיר</w:t>
      </w:r>
      <w:proofErr w:type="spellEnd"/>
      <w:r>
        <w:rPr>
          <w:rtl/>
        </w:rPr>
        <w:t xml:space="preserve"> </w:t>
      </w:r>
      <w:proofErr w:type="spellStart"/>
      <w:r>
        <w:rPr>
          <w:rtl/>
        </w:rPr>
        <w:t>וילנא</w:t>
      </w:r>
      <w:proofErr w:type="spellEnd"/>
      <w:r>
        <w:rPr>
          <w:rtl/>
        </w:rPr>
        <w:t xml:space="preserve">” שיצא </w:t>
      </w:r>
      <w:proofErr w:type="spellStart"/>
      <w:r>
        <w:rPr>
          <w:rtl/>
        </w:rPr>
        <w:t>בתר״ס</w:t>
      </w:r>
      <w:proofErr w:type="spellEnd"/>
      <w:r>
        <w:rPr>
          <w:rtl/>
        </w:rPr>
        <w:t>, מובא בספרו של כץ, “תנועת המוסר”, כרך א</w:t>
      </w:r>
      <w:bookmarkStart w:id="6491" w:name="_fnr4905"/>
      <w:r>
        <w:rPr>
          <w:rStyle w:val="a5"/>
        </w:rPr>
        <w:footnoteReference w:id="4918" w:customMarkFollows="0"/>
      </w:r>
      <w:bookmarkEnd w:id="6491"/>
      <w:r>
        <w:rPr>
          <w:rtl/>
        </w:rPr>
        <w:t xml:space="preserve">. שורות הסיום של המצבה המקורית אומרות: “נולד </w:t>
      </w:r>
      <w:proofErr w:type="spellStart"/>
      <w:r>
        <w:rPr>
          <w:rtl/>
        </w:rPr>
        <w:t>בש</w:t>
      </w:r>
      <w:proofErr w:type="spellEnd"/>
      <w:r>
        <w:rPr>
          <w:rtl/>
        </w:rPr>
        <w:t xml:space="preserve">׳ תק״ע </w:t>
      </w:r>
      <w:r>
        <w:rPr>
          <w:b/>
          <w:bCs/>
          <w:rtl/>
        </w:rPr>
        <w:t>מת בעש״ק סימן יפה לו</w:t>
      </w:r>
      <w:r>
        <w:rPr>
          <w:rtl/>
        </w:rPr>
        <w:t xml:space="preserve"> והוא כ״ה שבט שנת תרמ״ג” (ההדגשה שלי).</w:t>
      </w:r>
    </w:p>
    <w:p w14:paraId="234E4E6F" w14:textId="77777777" w:rsidR="00AB3647" w:rsidRDefault="00000000" w:rsidP="007923E9">
      <w:pPr>
        <w:spacing w:after="120" w:line="276" w:lineRule="auto"/>
        <w:ind w:firstLine="283"/>
        <w:jc w:val="both"/>
      </w:pPr>
      <w:r>
        <w:rPr>
          <w:rtl/>
        </w:rPr>
        <w:t>כתובת זו חריגה בשני דברים: היא מציינת באיזה יום בשבוע אירעה הפטירה, ומוסיפה שיום זה מבשר “סימן יפה” – פרט שכל יהודי למדני יודע ממסכת כתובות</w:t>
      </w:r>
      <w:bookmarkStart w:id="6492" w:name="_fnr4906"/>
      <w:r>
        <w:rPr>
          <w:rStyle w:val="a5"/>
        </w:rPr>
        <w:footnoteReference w:id="4919" w:customMarkFollows="0"/>
      </w:r>
      <w:bookmarkEnd w:id="6492"/>
      <w:r>
        <w:rPr>
          <w:rtl/>
        </w:rPr>
        <w:t xml:space="preserve">. אני סבור שהיא עשויה בהחלט לרמוז למעשה שסיפר ר׳ פישל: ר׳ ישראל חלה </w:t>
      </w:r>
      <w:r>
        <w:rPr>
          <w:b/>
          <w:bCs/>
          <w:rtl/>
        </w:rPr>
        <w:t>אחרי השבת</w:t>
      </w:r>
      <w:r>
        <w:rPr>
          <w:rtl/>
        </w:rPr>
        <w:t xml:space="preserve"> ונפטר </w:t>
      </w:r>
      <w:r>
        <w:rPr>
          <w:b/>
          <w:bCs/>
          <w:rtl/>
        </w:rPr>
        <w:t>בערב שבת</w:t>
      </w:r>
      <w:r>
        <w:rPr>
          <w:rtl/>
        </w:rPr>
        <w:t xml:space="preserve">, ולכן לא היה צורך לחלל בשבילו את השבת, וזה היה “סימן יפה” לו. אילו חלה בשבת, בוודאי היו מחללים אותה בשבילו, מפני שפסקו של ר׳ ישראל נדחה מפני פסקו של הפוסק המפורסם בעולם, ר׳ </w:t>
      </w:r>
      <w:proofErr w:type="spellStart"/>
      <w:r>
        <w:rPr>
          <w:rtl/>
        </w:rPr>
        <w:t>יצחק־אלחנן</w:t>
      </w:r>
      <w:proofErr w:type="spellEnd"/>
      <w:r>
        <w:rPr>
          <w:rtl/>
        </w:rPr>
        <w:t xml:space="preserve">. גם המילה “והוא” שנוספה, המלמדת שיום השבוע היה מרכיב חשוב בתאריך הפטירה (לפחות) כמו היום בחודש שבט, מעידה שהיה משהו מיוחד ביום השבוע שבו נפטר. ר׳ ישראל הסתלק כך שנתמלאה בקשתו – כדברי בעל התהלים, “רצון </w:t>
      </w:r>
      <w:proofErr w:type="spellStart"/>
      <w:r>
        <w:rPr>
          <w:rtl/>
        </w:rPr>
        <w:t>יראיו</w:t>
      </w:r>
      <w:proofErr w:type="spellEnd"/>
      <w:r>
        <w:rPr>
          <w:rtl/>
        </w:rPr>
        <w:t xml:space="preserve"> יעשה”</w:t>
      </w:r>
      <w:bookmarkStart w:id="6493" w:name="_fnr4907"/>
      <w:r>
        <w:rPr>
          <w:rStyle w:val="a5"/>
        </w:rPr>
        <w:footnoteReference w:id="4920" w:customMarkFollows="0"/>
      </w:r>
      <w:bookmarkEnd w:id="6493"/>
      <w:r>
        <w:rPr>
          <w:rtl/>
        </w:rPr>
        <w:t>: ירא ה׳ המובהק נפטר בלי חילול שבת!</w:t>
      </w:r>
    </w:p>
    <w:p w14:paraId="0E23CC2C" w14:textId="77777777" w:rsidR="00AB3647" w:rsidRDefault="00000000" w:rsidP="007923E9">
      <w:pPr>
        <w:spacing w:after="120" w:line="276" w:lineRule="auto"/>
        <w:ind w:firstLine="283"/>
        <w:jc w:val="both"/>
      </w:pPr>
      <w:r>
        <w:rPr>
          <w:rtl/>
        </w:rPr>
        <w:t xml:space="preserve">גם מי ששינו את נוסח המצבה, בזמן כלשהו לפני תרע״ב, ציינו את יום השבוע שבו נפטר, אף שלא הצביעו על משמעותו – שזה היה סימן יפה </w:t>
      </w:r>
      <w:proofErr w:type="spellStart"/>
      <w:r>
        <w:rPr>
          <w:rtl/>
        </w:rPr>
        <w:t>לר</w:t>
      </w:r>
      <w:proofErr w:type="spellEnd"/>
      <w:r>
        <w:rPr>
          <w:rtl/>
        </w:rPr>
        <w:t xml:space="preserve">׳ ישראל (ולפיכך השמיטו את המילה “והוא”). אולי בשעה שתוקן נוסח המצבה כבר הוכר ר׳ ישראל בכל העולם </w:t>
      </w:r>
      <w:proofErr w:type="spellStart"/>
      <w:r>
        <w:rPr>
          <w:rtl/>
        </w:rPr>
        <w:t>כ</w:t>
      </w:r>
      <w:r>
        <w:rPr>
          <w:b/>
          <w:bCs/>
          <w:rtl/>
        </w:rPr>
        <w:t>“ירא</w:t>
      </w:r>
      <w:proofErr w:type="spellEnd"/>
      <w:r>
        <w:rPr>
          <w:b/>
          <w:bCs/>
          <w:rtl/>
        </w:rPr>
        <w:t xml:space="preserve"> ה׳”</w:t>
      </w:r>
      <w:r>
        <w:rPr>
          <w:rtl/>
        </w:rPr>
        <w:t xml:space="preserve"> מופלג מן הדור הקודם, ושוב לא היה צורך </w:t>
      </w:r>
      <w:proofErr w:type="spellStart"/>
      <w:r>
        <w:rPr>
          <w:rtl/>
        </w:rPr>
        <w:t>ב“סימן</w:t>
      </w:r>
      <w:proofErr w:type="spellEnd"/>
      <w:r>
        <w:rPr>
          <w:rtl/>
        </w:rPr>
        <w:t>” מן השמים שיעיד על מדרגתו.</w:t>
      </w:r>
    </w:p>
    <w:p w14:paraId="0E5C7147" w14:textId="77777777" w:rsidR="00AB3647" w:rsidRDefault="00000000" w:rsidP="007923E9">
      <w:pPr>
        <w:spacing w:after="120" w:line="276" w:lineRule="auto"/>
        <w:ind w:firstLine="283"/>
        <w:jc w:val="both"/>
      </w:pPr>
      <w:r>
        <w:rPr>
          <w:rtl/>
        </w:rPr>
        <w:t xml:space="preserve">ייתכן בהחלט שר׳ שלמה </w:t>
      </w:r>
      <w:proofErr w:type="spellStart"/>
      <w:r>
        <w:rPr>
          <w:rtl/>
        </w:rPr>
        <w:t>מקרלין</w:t>
      </w:r>
      <w:proofErr w:type="spellEnd"/>
      <w:r>
        <w:rPr>
          <w:rtl/>
        </w:rPr>
        <w:t xml:space="preserve"> לא התיר לחסידיו לחלל שבת כדי להציל את חייו, מאותו טעם שבגללו לא התיר זאת ר׳ ישראל תשעים שנה אחריו. גם ר׳ שלמה היה משוכנע שדין “רועה” חל עליו, שכן לדעתו גם הוא לא היה ראוי שיתפרנס מתמיכת חסידיו כל ימיו. יחס כזה ודאי הולם את אופיו של ר׳ שלמה. מסופר</w:t>
      </w:r>
      <w:bookmarkStart w:id="6494" w:name="_fnr4908"/>
      <w:r>
        <w:rPr>
          <w:rStyle w:val="a5"/>
        </w:rPr>
        <w:footnoteReference w:id="4921" w:customMarkFollows="0"/>
      </w:r>
      <w:bookmarkEnd w:id="6494"/>
      <w:r>
        <w:rPr>
          <w:rtl/>
        </w:rPr>
        <w:t xml:space="preserve"> שר׳ אשר </w:t>
      </w:r>
      <w:proofErr w:type="spellStart"/>
      <w:r>
        <w:rPr>
          <w:rtl/>
        </w:rPr>
        <w:t>מסטולין</w:t>
      </w:r>
      <w:proofErr w:type="spellEnd"/>
      <w:r>
        <w:rPr>
          <w:rtl/>
        </w:rPr>
        <w:t xml:space="preserve"> אמר: “[אבי האומן] ר׳ שלמה היה בטוח כל כך בחייו שיורד לגיהינום, עד שאחרי פטירתו, כשהופיעו כתות מלאכי השרת וצדיקים וגדולים רבים ללוותו לגן עדן, תמה: ‘הזהו עולם האמת, שבו אני, הראוי לגיהינום, מלוּוה דווקא לגן עדן?!’</w:t>
      </w:r>
      <w:bookmarkStart w:id="6495" w:name="_fnr4909"/>
      <w:r>
        <w:rPr>
          <w:rStyle w:val="a5"/>
        </w:rPr>
        <w:footnoteReference w:id="4922" w:customMarkFollows="0"/>
      </w:r>
      <w:bookmarkEnd w:id="6495"/>
      <w:r>
        <w:rPr>
          <w:rtl/>
        </w:rPr>
        <w:t xml:space="preserve"> הוא נמנע מלהיכנס לגן עדן עד שאמרה לו השכינה שניתנת לו מתנת חינם”</w:t>
      </w:r>
      <w:bookmarkStart w:id="6496" w:name="_fnr4910"/>
      <w:r>
        <w:rPr>
          <w:rStyle w:val="a5"/>
        </w:rPr>
        <w:footnoteReference w:id="4923" w:customMarkFollows="0"/>
      </w:r>
      <w:bookmarkEnd w:id="6496"/>
      <w:r>
        <w:rPr>
          <w:rtl/>
        </w:rPr>
        <w:t xml:space="preserve">. ר׳ אשר לא הסביר מדוע היה ר׳ שלמה בטוח כל כך שמקומו בגיהינום. ייתכן שהחטא שהעיק כל כך על ר׳ שלמה היה המשא שהעיק על ר׳ ישראל </w:t>
      </w:r>
      <w:proofErr w:type="spellStart"/>
      <w:r>
        <w:rPr>
          <w:rtl/>
        </w:rPr>
        <w:t>סלנטר</w:t>
      </w:r>
      <w:proofErr w:type="spellEnd"/>
      <w:r>
        <w:rPr>
          <w:rtl/>
        </w:rPr>
        <w:t xml:space="preserve"> – מה שנקרא גזל, שאפילו הקב״ה אינו יכול, כביכול, למחוק בלי מחילת הנגזלים</w:t>
      </w:r>
      <w:bookmarkStart w:id="6497" w:name="_fnr4911"/>
      <w:r>
        <w:rPr>
          <w:rStyle w:val="a5"/>
        </w:rPr>
        <w:footnoteReference w:id="4924" w:customMarkFollows="0"/>
      </w:r>
      <w:bookmarkEnd w:id="6497"/>
      <w:r>
        <w:rPr>
          <w:rtl/>
        </w:rPr>
        <w:t>.</w:t>
      </w:r>
    </w:p>
    <w:p w14:paraId="0B727A9A" w14:textId="77777777" w:rsidR="00AB3647" w:rsidRDefault="00000000" w:rsidP="007923E9">
      <w:pPr>
        <w:spacing w:after="120" w:line="276" w:lineRule="auto"/>
        <w:ind w:firstLine="283"/>
        <w:jc w:val="both"/>
      </w:pPr>
      <w:r>
        <w:rPr>
          <w:rtl/>
        </w:rPr>
        <w:lastRenderedPageBreak/>
        <w:t xml:space="preserve">גישה זו עשויה להסביר את הטעמים, הנראים מנוגדים להלכה, שנתנו החסידים לסירובו של ר׳ שלמה לקבל טיפול בפציעתו בשבת, כפי שנזכר לעיל, בפסקה השלישית (עמ׳ </w:t>
      </w:r>
      <w:r>
        <w:rPr>
          <w:rtl/>
        </w:rPr>
        <w:fldChar w:fldCharType="begin" w:dirty="true"/>
      </w:r>
      <w:r>
        <w:rPr>
          <w:rtl/>
        </w:rPr>
        <w:instrText xml:space="preserve"> PAGEREF pr_b_2659 \h </w:instrText>
      </w:r>
      <w:r>
        <w:rPr>
          <w:rtl/>
        </w:rPr>
      </w:r>
      <w:r>
        <w:rPr>
          <w:rtl/>
        </w:rPr>
        <w:fldChar w:fldCharType="separate"/>
      </w:r>
      <w:r w:rsidR="007923E9">
        <w:rPr>
          <w:noProof/>
          <w:rtl/>
        </w:rPr>
        <w:t>1</w:t>
      </w:r>
      <w:r>
        <w:rPr>
          <w:rtl/>
        </w:rPr>
        <w:fldChar w:fldCharType="end"/>
      </w:r>
      <w:r>
        <w:rPr>
          <w:rtl/>
        </w:rPr>
        <w:t xml:space="preserve">). מצד אחד, ר׳ שלמה ראה את עצמו – כמו ר׳ ישראל </w:t>
      </w:r>
      <w:proofErr w:type="spellStart"/>
      <w:r>
        <w:rPr>
          <w:rtl/>
        </w:rPr>
        <w:t>סלנטר</w:t>
      </w:r>
      <w:proofErr w:type="spellEnd"/>
      <w:r>
        <w:rPr>
          <w:rtl/>
        </w:rPr>
        <w:t xml:space="preserve"> עשרות שנים אחריו – </w:t>
      </w:r>
      <w:proofErr w:type="spellStart"/>
      <w:r>
        <w:rPr>
          <w:rtl/>
        </w:rPr>
        <w:t>כ“רועה</w:t>
      </w:r>
      <w:proofErr w:type="spellEnd"/>
      <w:r>
        <w:rPr>
          <w:rtl/>
        </w:rPr>
        <w:t xml:space="preserve">” על פי ההלכה, שבסכנת מותו יש לנהוג בשב ואל תעשה. לכן היה על אחרים (שהסכימו עם ר׳ שלמה שהוא “רועה”) להימנע מלטפל בפצעו, מפני שטיפול כזה נאסר בכלל “לא מעלין מן הבור”. מצד שני, הפצוע עצמו רשאי לרפא את פצעו, כשם שהרועה הרגיל אינו מחויב מכוח “לא מעלין” להישאר בבור. אדרבה, עליו לנסות לחלץ את עצמו, בגלל מחציתו השנייה של הכלל, “לא מורידין [לבור]”. לגבי הרועה עצמו, </w:t>
      </w:r>
      <w:r>
        <w:rPr>
          <w:b/>
          <w:bCs/>
          <w:rtl/>
        </w:rPr>
        <w:t>שיש לו דחף טבעי לחיות</w:t>
      </w:r>
      <w:r>
        <w:rPr>
          <w:rtl/>
        </w:rPr>
        <w:t xml:space="preserve">, הישארות בבור אינה שב ואל תעשה, אלא כמוה כהשלכת עצמו פנימה. לפיכך, בכל הנוגע </w:t>
      </w:r>
      <w:proofErr w:type="spellStart"/>
      <w:r>
        <w:rPr>
          <w:rtl/>
        </w:rPr>
        <w:t>ל“רועה</w:t>
      </w:r>
      <w:proofErr w:type="spellEnd"/>
      <w:r>
        <w:rPr>
          <w:rtl/>
        </w:rPr>
        <w:t>” עצמו, עליו לעשות הכול כדי להציל את עצמו – ואפילו לבקש מאחרים לרפאו, אם רק ישמעו לו.</w:t>
      </w:r>
    </w:p>
    <w:p w14:paraId="41D61633" w14:textId="77777777" w:rsidR="00AB3647" w:rsidRDefault="00000000" w:rsidP="007923E9">
      <w:pPr>
        <w:spacing w:after="120" w:line="276" w:lineRule="auto"/>
        <w:ind w:firstLine="283"/>
        <w:jc w:val="both"/>
      </w:pPr>
      <w:r>
        <w:rPr>
          <w:rtl/>
        </w:rPr>
        <w:t xml:space="preserve">אולם אם </w:t>
      </w:r>
      <w:proofErr w:type="spellStart"/>
      <w:r>
        <w:rPr>
          <w:rtl/>
        </w:rPr>
        <w:t>ה“רועה</w:t>
      </w:r>
      <w:proofErr w:type="spellEnd"/>
      <w:r>
        <w:rPr>
          <w:rtl/>
        </w:rPr>
        <w:t>” אינו מסוגל לפעול באותה שעה (כפי שחשש ר׳ ישראל שיהיה, ואולי אכן היה בסוף ימיו), או שרצונו הטבעי לשרוד הוכנע – כמו אצל ר׳ שלמה, שראה בעצמו רבי עקיבא נוסף או “משיח בן יוסף” – שוב אין הישארותו “בבור” נחשבת להשלכת עצמו לתוכו, ועליו לשכב ולמות בשב ואל תעשה גמור, ולהחיל על עצמו את הכלל “לא מעלין”.</w:t>
      </w:r>
    </w:p>
    <w:bookmarkStart w:id="6498" w:name="b5_excC"/>
    <w:p w14:paraId="4D1E7B77" w14:textId="77777777" w:rsidR="00AB3647" w:rsidRDefault="00000000" w:rsidP="007923E9">
      <w:pPr>
        <w:pStyle w:val="3"/>
        <w:spacing w:line="276" w:lineRule="auto"/>
      </w:pPr>
      <w:r>
        <w:lastRenderedPageBreak/>
        <w:fldChar w:fldCharType="begin" w:dirty="true"/>
      </w:r>
      <w:r>
        <w:rPr>
          <w:rtl w:val="0"/>
        </w:rPr>
        <w:instrText>HYPERLINK \l "b5_note11</w:instrText>
      </w:r>
      <w:r>
        <w:instrText>"</w:instrText>
      </w:r>
      <w:r>
        <w:fldChar w:fldCharType="separate"/>
      </w:r>
      <w:r>
        <w:t>נספח ג</w:t>
      </w:r>
      <w:r>
        <w:fldChar w:fldCharType="end"/>
      </w:r>
      <w:bookmarkEnd w:id="6498"/>
    </w:p>
    <w:p w14:paraId="25737560" w14:textId="77777777" w:rsidR="00AB3647" w:rsidRDefault="00000000" w:rsidP="007923E9">
      <w:pPr>
        <w:pStyle w:val="af"/>
        <w:spacing w:line="276" w:lineRule="auto"/>
        <w:ind w:firstLine="340"/>
      </w:pPr>
      <w:r>
        <w:t xml:space="preserve">על לימוד תנ״ך בישיבות לצעירים ועל גאונותו של העילוי </w:t>
      </w:r>
      <w:proofErr w:type="spellStart"/>
      <w:r>
        <w:t>מווישקי</w:t>
      </w:r>
      <w:proofErr w:type="spellEnd"/>
    </w:p>
    <w:p w14:paraId="596AA1FD" w14:textId="77777777" w:rsidR="00AB3647" w:rsidRDefault="00000000" w:rsidP="007923E9">
      <w:pPr>
        <w:pStyle w:val="5"/>
        <w:spacing w:line="276" w:lineRule="auto"/>
      </w:pPr>
      <w:r>
        <w:t xml:space="preserve">לימוד תנ״ך אינו מתקבל בעין יפה – העילוי </w:t>
      </w:r>
      <w:proofErr w:type="spellStart"/>
      <w:r>
        <w:t>מווישקי</w:t>
      </w:r>
      <w:proofErr w:type="spellEnd"/>
      <w:r>
        <w:t xml:space="preserve"> מגלה את התנ״ך – הוא נחשב צדיק – הוא נודד בעולם בחיפוש אחר תורה נוספת – הוא מובא למנוחות בארץ ישראל</w:t>
      </w:r>
    </w:p>
    <w:p w14:paraId="6AD55700" w14:textId="77777777" w:rsidR="00AB3647" w:rsidRDefault="00000000" w:rsidP="007923E9">
      <w:pPr>
        <w:spacing w:after="120" w:line="276" w:lineRule="auto"/>
        <w:ind w:firstLine="283"/>
        <w:jc w:val="both"/>
      </w:pPr>
      <w:r>
        <w:rPr>
          <w:rtl/>
        </w:rPr>
        <w:t xml:space="preserve">לימוד תנ״ך היה מקובל בחדר, אבל לא התקבל בעין יפה אצל תלמידים בגיל הישיבה. שכנו של אבי </w:t>
      </w:r>
      <w:proofErr w:type="spellStart"/>
      <w:r>
        <w:rPr>
          <w:rtl/>
        </w:rPr>
        <w:t>במונסי</w:t>
      </w:r>
      <w:proofErr w:type="spellEnd"/>
      <w:r>
        <w:rPr>
          <w:rtl/>
        </w:rPr>
        <w:t xml:space="preserve">, ר׳ </w:t>
      </w:r>
      <w:proofErr w:type="spellStart"/>
      <w:r>
        <w:rPr>
          <w:rtl/>
        </w:rPr>
        <w:t>חיים־מאיר</w:t>
      </w:r>
      <w:proofErr w:type="spellEnd"/>
      <w:r>
        <w:rPr>
          <w:rtl/>
        </w:rPr>
        <w:t xml:space="preserve"> </w:t>
      </w:r>
      <w:proofErr w:type="spellStart"/>
      <w:r>
        <w:rPr>
          <w:rtl/>
        </w:rPr>
        <w:t>גרפינקל</w:t>
      </w:r>
      <w:proofErr w:type="spellEnd"/>
      <w:r>
        <w:rPr>
          <w:rtl/>
        </w:rPr>
        <w:t>, סיפר</w:t>
      </w:r>
      <w:bookmarkStart w:id="6499" w:name="_fnr4912"/>
      <w:r>
        <w:rPr>
          <w:rStyle w:val="a5"/>
        </w:rPr>
        <w:footnoteReference w:id="4925" w:customMarkFollows="0"/>
      </w:r>
      <w:bookmarkEnd w:id="6499"/>
      <w:r>
        <w:rPr>
          <w:rtl/>
        </w:rPr>
        <w:t xml:space="preserve"> על מעשה שאירע כשאביו, ר׳ דוד</w:t>
      </w:r>
      <w:bookmarkStart w:id="6500" w:name="_fnr4913"/>
      <w:r>
        <w:rPr>
          <w:rStyle w:val="a5"/>
        </w:rPr>
        <w:footnoteReference w:id="4926" w:customMarkFollows="0"/>
      </w:r>
      <w:bookmarkEnd w:id="6500"/>
      <w:r>
        <w:rPr>
          <w:rtl/>
        </w:rPr>
        <w:t xml:space="preserve">, למד </w:t>
      </w:r>
      <w:proofErr w:type="spellStart"/>
      <w:r>
        <w:rPr>
          <w:rtl/>
        </w:rPr>
        <w:t>ב“ישיבת</w:t>
      </w:r>
      <w:proofErr w:type="spellEnd"/>
      <w:r>
        <w:rPr>
          <w:rtl/>
        </w:rPr>
        <w:t xml:space="preserve"> ר׳ חיים </w:t>
      </w:r>
      <w:proofErr w:type="spellStart"/>
      <w:r>
        <w:rPr>
          <w:rtl/>
        </w:rPr>
        <w:t>סולובייצ׳יק</w:t>
      </w:r>
      <w:proofErr w:type="spellEnd"/>
      <w:r>
        <w:rPr>
          <w:rtl/>
        </w:rPr>
        <w:t xml:space="preserve">” </w:t>
      </w:r>
      <w:proofErr w:type="spellStart"/>
      <w:r>
        <w:rPr>
          <w:rtl/>
        </w:rPr>
        <w:t>בבריסק</w:t>
      </w:r>
      <w:proofErr w:type="spellEnd"/>
      <w:r>
        <w:rPr>
          <w:rtl/>
        </w:rPr>
        <w:t xml:space="preserve">, בן </w:t>
      </w:r>
      <w:proofErr w:type="spellStart"/>
      <w:r>
        <w:rPr>
          <w:rtl/>
        </w:rPr>
        <w:t>שש־עשרה</w:t>
      </w:r>
      <w:proofErr w:type="spellEnd"/>
      <w:r>
        <w:rPr>
          <w:rtl/>
        </w:rPr>
        <w:t xml:space="preserve">, זמן קצר לפני שיצא לאמריקה </w:t>
      </w:r>
      <w:proofErr w:type="spellStart"/>
      <w:r>
        <w:rPr>
          <w:rtl/>
        </w:rPr>
        <w:t>בתרס״ד</w:t>
      </w:r>
      <w:proofErr w:type="spellEnd"/>
      <w:r>
        <w:rPr>
          <w:rtl/>
        </w:rPr>
        <w:t xml:space="preserve">. ר׳ דוד קנה תנ״ך קטן במכירה פומבית של ספרים ישנים, ומישהו סיפר על כך </w:t>
      </w:r>
      <w:proofErr w:type="spellStart"/>
      <w:r>
        <w:rPr>
          <w:rtl/>
        </w:rPr>
        <w:t>לר</w:t>
      </w:r>
      <w:proofErr w:type="spellEnd"/>
      <w:r>
        <w:rPr>
          <w:rtl/>
        </w:rPr>
        <w:t>׳ חיים. ר׳ חיים קרא לו ואמר: “כבר אתה יודע ש״ס כל כך ברור [שהלכת וקנית תנ״ך]?!” והנער החזיר את הכרך למוכר.</w:t>
      </w:r>
    </w:p>
    <w:p w14:paraId="15779104" w14:textId="77777777" w:rsidR="00AB3647" w:rsidRDefault="00000000" w:rsidP="007923E9">
      <w:pPr>
        <w:spacing w:after="120" w:line="276" w:lineRule="auto"/>
        <w:ind w:firstLine="283"/>
        <w:jc w:val="both"/>
      </w:pPr>
      <w:r>
        <w:rPr>
          <w:rtl/>
        </w:rPr>
        <w:t xml:space="preserve">מעשה זה מפתיע למדי, מפני שתלמידי </w:t>
      </w:r>
      <w:proofErr w:type="spellStart"/>
      <w:r>
        <w:rPr>
          <w:rtl/>
        </w:rPr>
        <w:t>וולוז׳ין</w:t>
      </w:r>
      <w:proofErr w:type="spellEnd"/>
      <w:r>
        <w:rPr>
          <w:rtl/>
        </w:rPr>
        <w:t xml:space="preserve"> נהגו להחזיק כרכי תנ״ך קטנים, כמסופר </w:t>
      </w:r>
      <w:proofErr w:type="spellStart"/>
      <w:r>
        <w:rPr>
          <w:rtl/>
        </w:rPr>
        <w:t>ב“עלי</w:t>
      </w:r>
      <w:proofErr w:type="spellEnd"/>
      <w:r>
        <w:rPr>
          <w:rtl/>
        </w:rPr>
        <w:t xml:space="preserve"> </w:t>
      </w:r>
      <w:proofErr w:type="spellStart"/>
      <w:r>
        <w:rPr>
          <w:rtl/>
        </w:rPr>
        <w:t>חלדי</w:t>
      </w:r>
      <w:proofErr w:type="spellEnd"/>
      <w:r>
        <w:rPr>
          <w:rtl/>
        </w:rPr>
        <w:t>”</w:t>
      </w:r>
      <w:bookmarkStart w:id="6501" w:name="_fnr4914"/>
      <w:r>
        <w:rPr>
          <w:rStyle w:val="a5"/>
        </w:rPr>
        <w:footnoteReference w:id="4927" w:customMarkFollows="0"/>
      </w:r>
      <w:bookmarkEnd w:id="6501"/>
      <w:r>
        <w:rPr>
          <w:rtl/>
        </w:rPr>
        <w:t>: “</w:t>
      </w:r>
      <w:proofErr w:type="spellStart"/>
      <w:r>
        <w:rPr>
          <w:rtl/>
        </w:rPr>
        <w:t>הנצי״ב</w:t>
      </w:r>
      <w:proofErr w:type="spellEnd"/>
      <w:r>
        <w:rPr>
          <w:rtl/>
        </w:rPr>
        <w:t xml:space="preserve"> היה מתפלל בישיבה בקול רם, ושליח הציבור... היה ממתין לו בסוף כל מזמור. כל תלמיד ישיבה שהתפלל מהר יותר היה מנצל את ‘הזמן הפנוי’ לעיין בתנ״ך הקטן שבידו”. ביומנו רשם ר׳ דוד פירוש מחודש של ר׳ חיים לביטוי התלמודי “עורבא פרח”</w:t>
      </w:r>
      <w:bookmarkStart w:id="6502" w:name="_fnr4915"/>
      <w:r>
        <w:rPr>
          <w:rStyle w:val="a5"/>
        </w:rPr>
        <w:footnoteReference w:id="4928" w:customMarkFollows="0"/>
      </w:r>
      <w:bookmarkEnd w:id="6502"/>
      <w:r>
        <w:rPr>
          <w:rtl/>
        </w:rPr>
        <w:t>. רש״י מפרש שכאשר אמורא סירב להשיב על שאלה שהעלה חברו, היה רק משנה את הנושא ואומר: “ראה, עורב פורח”</w:t>
      </w:r>
      <w:bookmarkStart w:id="6503" w:name="_fnr4916"/>
      <w:r>
        <w:rPr>
          <w:rStyle w:val="a5"/>
        </w:rPr>
        <w:footnoteReference w:id="4929" w:customMarkFollows="0"/>
      </w:r>
      <w:bookmarkEnd w:id="6503"/>
      <w:r>
        <w:rPr>
          <w:rtl/>
        </w:rPr>
        <w:t>. ר׳ חיים הסביר את הביטוי על פי סיפור נח שבתורה</w:t>
      </w:r>
      <w:bookmarkStart w:id="6504" w:name="_fnr4917"/>
      <w:r>
        <w:rPr>
          <w:rStyle w:val="a5"/>
        </w:rPr>
        <w:footnoteReference w:id="4930" w:customMarkFollows="0"/>
      </w:r>
      <w:bookmarkEnd w:id="6504"/>
      <w:r>
        <w:rPr>
          <w:rtl/>
        </w:rPr>
        <w:t>: כשם שהעורב ששלח נח לברר את מצב מי המבול מחוץ לתיבה לא חזר עם תשובה, כך גם אל תצפה שאשיב על שאלתך.</w:t>
      </w:r>
    </w:p>
    <w:p w14:paraId="2702FD3A" w14:textId="77777777" w:rsidR="00AB3647" w:rsidRDefault="00000000" w:rsidP="007923E9">
      <w:pPr>
        <w:spacing w:after="120" w:line="276" w:lineRule="auto"/>
        <w:ind w:firstLine="283"/>
        <w:jc w:val="both"/>
      </w:pPr>
      <w:r>
        <w:rPr>
          <w:rtl/>
        </w:rPr>
        <w:t xml:space="preserve">דבר שנינה זה נרשם בשם ר׳ חיים </w:t>
      </w:r>
      <w:proofErr w:type="spellStart"/>
      <w:r>
        <w:rPr>
          <w:rtl/>
        </w:rPr>
        <w:t>סולובייצ׳יק</w:t>
      </w:r>
      <w:proofErr w:type="spellEnd"/>
      <w:r>
        <w:rPr>
          <w:rtl/>
        </w:rPr>
        <w:t xml:space="preserve"> </w:t>
      </w:r>
      <w:proofErr w:type="spellStart"/>
      <w:r>
        <w:rPr>
          <w:rtl/>
        </w:rPr>
        <w:t>ב“תורת</w:t>
      </w:r>
      <w:proofErr w:type="spellEnd"/>
      <w:r>
        <w:rPr>
          <w:rtl/>
        </w:rPr>
        <w:t xml:space="preserve"> חיים”</w:t>
      </w:r>
      <w:bookmarkStart w:id="6505" w:name="_fnr4918"/>
      <w:r>
        <w:rPr>
          <w:rStyle w:val="a5"/>
        </w:rPr>
        <w:footnoteReference w:id="4931" w:customMarkFollows="0"/>
      </w:r>
      <w:bookmarkEnd w:id="6505"/>
      <w:r>
        <w:rPr>
          <w:rtl/>
        </w:rPr>
        <w:t xml:space="preserve">, המצטט את “ספר ליקוטי בתר ליקוטי” – ר׳ דוד </w:t>
      </w:r>
      <w:proofErr w:type="spellStart"/>
      <w:r>
        <w:rPr>
          <w:rtl/>
        </w:rPr>
        <w:t>גרפינקל</w:t>
      </w:r>
      <w:proofErr w:type="spellEnd"/>
      <w:r>
        <w:rPr>
          <w:rtl/>
        </w:rPr>
        <w:t xml:space="preserve"> שמעו מפי הרב עצמו. ישיבת </w:t>
      </w:r>
      <w:proofErr w:type="spellStart"/>
      <w:r>
        <w:rPr>
          <w:rtl/>
        </w:rPr>
        <w:t>בריסק</w:t>
      </w:r>
      <w:proofErr w:type="spellEnd"/>
      <w:r>
        <w:rPr>
          <w:rtl/>
        </w:rPr>
        <w:t xml:space="preserve"> שר׳ דוד כינה, כאמור, “ישיבת ר׳ חיים </w:t>
      </w:r>
      <w:proofErr w:type="spellStart"/>
      <w:r>
        <w:rPr>
          <w:rtl/>
        </w:rPr>
        <w:t>סולובייצ׳יק</w:t>
      </w:r>
      <w:proofErr w:type="spellEnd"/>
      <w:r>
        <w:rPr>
          <w:rtl/>
        </w:rPr>
        <w:t xml:space="preserve">” הייתה למעשה הישיבה הקטנה של </w:t>
      </w:r>
      <w:proofErr w:type="spellStart"/>
      <w:r>
        <w:rPr>
          <w:rtl/>
        </w:rPr>
        <w:t>בריסק</w:t>
      </w:r>
      <w:bookmarkStart w:id="6506" w:name="_fnr4919"/>
      <w:proofErr w:type="spellEnd"/>
      <w:r>
        <w:rPr>
          <w:rStyle w:val="a5"/>
        </w:rPr>
        <w:footnoteReference w:id="4932" w:customMarkFollows="0"/>
      </w:r>
      <w:bookmarkEnd w:id="6506"/>
      <w:r>
        <w:rPr>
          <w:rtl/>
        </w:rPr>
        <w:t>, שבה אולי אמר ר׳ חיים דבר קליל כזה.</w:t>
      </w:r>
    </w:p>
    <w:p w14:paraId="38B96B71" w14:textId="77777777" w:rsidR="00AB3647" w:rsidRDefault="00000000" w:rsidP="007923E9">
      <w:pPr>
        <w:spacing w:after="120" w:line="276" w:lineRule="auto"/>
        <w:ind w:firstLine="283"/>
        <w:jc w:val="both"/>
      </w:pPr>
      <w:bookmarkStart w:id="6507" w:name="pr_b_2696"/>
      <w:bookmarkEnd w:id="6507"/>
      <w:r>
        <w:rPr>
          <w:rtl/>
        </w:rPr>
        <w:t xml:space="preserve">מעשה מעניין נוסף בכרך תנ״ך יעניין במיוחד את הקורא האמריקני. הוא אירע בכנסת בית יצחק, ומובא במאמרו של </w:t>
      </w:r>
      <w:proofErr w:type="spellStart"/>
      <w:r>
        <w:rPr>
          <w:rtl/>
        </w:rPr>
        <w:t>הירש־לייב</w:t>
      </w:r>
      <w:proofErr w:type="spellEnd"/>
      <w:r>
        <w:rPr>
          <w:rtl/>
        </w:rPr>
        <w:t xml:space="preserve"> גורדון “על גדות </w:t>
      </w:r>
      <w:proofErr w:type="spellStart"/>
      <w:r>
        <w:rPr>
          <w:rtl/>
        </w:rPr>
        <w:t>הוויליה</w:t>
      </w:r>
      <w:proofErr w:type="spellEnd"/>
      <w:r>
        <w:rPr>
          <w:rtl/>
        </w:rPr>
        <w:t xml:space="preserve"> </w:t>
      </w:r>
      <w:proofErr w:type="spellStart"/>
      <w:r>
        <w:rPr>
          <w:rtl/>
        </w:rPr>
        <w:t>והנימן</w:t>
      </w:r>
      <w:proofErr w:type="spellEnd"/>
      <w:r>
        <w:rPr>
          <w:rtl/>
        </w:rPr>
        <w:t xml:space="preserve">” </w:t>
      </w:r>
      <w:proofErr w:type="spellStart"/>
      <w:r>
        <w:rPr>
          <w:rtl/>
        </w:rPr>
        <w:t>ב“הדואר</w:t>
      </w:r>
      <w:proofErr w:type="spellEnd"/>
      <w:r>
        <w:rPr>
          <w:rtl/>
        </w:rPr>
        <w:t>”</w:t>
      </w:r>
      <w:bookmarkStart w:id="6508" w:name="_fnr4920"/>
      <w:r>
        <w:rPr>
          <w:rStyle w:val="a5"/>
        </w:rPr>
        <w:footnoteReference w:id="4933" w:customMarkFollows="0"/>
      </w:r>
      <w:bookmarkEnd w:id="6508"/>
      <w:r>
        <w:rPr>
          <w:rtl/>
        </w:rPr>
        <w:t>.</w:t>
      </w:r>
    </w:p>
    <w:p w14:paraId="3C5BB1EE" w14:textId="77777777" w:rsidR="00AB3647" w:rsidRDefault="00000000" w:rsidP="007923E9">
      <w:pPr>
        <w:spacing w:after="120" w:line="276" w:lineRule="auto"/>
        <w:ind w:firstLine="283"/>
        <w:jc w:val="both"/>
      </w:pPr>
      <w:r>
        <w:rPr>
          <w:rtl/>
        </w:rPr>
        <w:lastRenderedPageBreak/>
        <w:t xml:space="preserve">הכותב מספר: “תלמיד ישיבה בלתי רגיל היה העילוי </w:t>
      </w:r>
      <w:proofErr w:type="spellStart"/>
      <w:r>
        <w:rPr>
          <w:rtl/>
        </w:rPr>
        <w:t>מווישקי</w:t>
      </w:r>
      <w:proofErr w:type="spellEnd"/>
      <w:r>
        <w:rPr>
          <w:rtl/>
        </w:rPr>
        <w:t xml:space="preserve">... גדולתו הייתה בכוח זיכרונו </w:t>
      </w:r>
      <w:proofErr w:type="spellStart"/>
      <w:r>
        <w:rPr>
          <w:rtl/>
        </w:rPr>
        <w:t>הצילומי</w:t>
      </w:r>
      <w:proofErr w:type="spellEnd"/>
      <w:r>
        <w:rPr>
          <w:rtl/>
        </w:rPr>
        <w:t xml:space="preserve">. הוא היה יושב ליד כותל המזרח, סמוך לראש הישיבה ר׳ </w:t>
      </w:r>
      <w:proofErr w:type="spellStart"/>
      <w:r>
        <w:rPr>
          <w:rtl/>
        </w:rPr>
        <w:t>ברוך־בר</w:t>
      </w:r>
      <w:proofErr w:type="spellEnd"/>
      <w:r>
        <w:rPr>
          <w:rtl/>
        </w:rPr>
        <w:t xml:space="preserve"> </w:t>
      </w:r>
      <w:proofErr w:type="spellStart"/>
      <w:r>
        <w:rPr>
          <w:rtl/>
        </w:rPr>
        <w:t>ליבוביץ</w:t>
      </w:r>
      <w:proofErr w:type="spellEnd"/>
      <w:r>
        <w:rPr>
          <w:rtl/>
        </w:rPr>
        <w:t xml:space="preserve">, מדפדף בגמרא, ובעיניים </w:t>
      </w:r>
      <w:proofErr w:type="spellStart"/>
      <w:r>
        <w:rPr>
          <w:rtl/>
        </w:rPr>
        <w:t>קצרות־ראייה</w:t>
      </w:r>
      <w:proofErr w:type="spellEnd"/>
      <w:r>
        <w:rPr>
          <w:rtl/>
        </w:rPr>
        <w:t xml:space="preserve"> עצומות למחצה עובר מדף לדף בדקות ספורות – והכול נשתמר בזיכרונו ‘כמונח בקופסא’</w:t>
      </w:r>
      <w:bookmarkStart w:id="6509" w:name="_fnr4921"/>
      <w:r>
        <w:rPr>
          <w:rStyle w:val="a5"/>
        </w:rPr>
        <w:footnoteReference w:id="4934" w:customMarkFollows="0"/>
      </w:r>
      <w:bookmarkEnd w:id="6509"/>
      <w:r>
        <w:rPr>
          <w:rtl/>
        </w:rPr>
        <w:t>. בתחילה השתוממנו על כישרונו זה. היינו בוחנים אותו בתקיעת מחט דרך דפי הגמרא, והוא היה אומר איזו מילה ניקבה בכל דף – אפילו היה הדף רחוק מאה דפים... כשהתרגלנו לכך, חדלנו לבוחנו. פעם ביקש ממני לתת לו ספר לעיין בו בשבת, והשאלתי לו את התנ״ך הקטן שלי – מימיו לא ראה כרך תנ״ך</w:t>
      </w:r>
      <w:bookmarkStart w:id="6510" w:name="_fnr4922"/>
      <w:r>
        <w:rPr>
          <w:rStyle w:val="a5"/>
        </w:rPr>
        <w:footnoteReference w:id="4935" w:customMarkFollows="0"/>
      </w:r>
      <w:bookmarkEnd w:id="6510"/>
      <w:r>
        <w:rPr>
          <w:rtl/>
        </w:rPr>
        <w:t xml:space="preserve">. במשך השבת קרא את הכרך כולו; הוא התפלא ונהנה, ובייחוד משיר השירים. למחרת סיפר לראש הישיבה על פסוק נפלא שמצא בתנ״ך, והרבי שאל: ‘מי נתן לך את הספר?’ השיב בתמימות: ‘הוילנאי הקטן’, והצביע עליי. ציפיתי לנזיפה, אך הכול עבר בשלום”.</w:t>
      </w:r>
    </w:p>
    <w:p w14:paraId="24C5D62C" w14:textId="77777777" w:rsidR="00AB3647" w:rsidRDefault="00000000" w:rsidP="007923E9">
      <w:pPr>
        <w:spacing w:after="120" w:line="276" w:lineRule="auto"/>
        <w:ind w:firstLine="283"/>
        <w:jc w:val="both"/>
      </w:pPr>
      <w:r>
        <w:rPr>
          <w:rtl/>
        </w:rPr>
        <w:t xml:space="preserve">העילוי </w:t>
      </w:r>
      <w:proofErr w:type="spellStart"/>
      <w:r>
        <w:rPr>
          <w:rtl/>
        </w:rPr>
        <w:t>מווישקי</w:t>
      </w:r>
      <w:proofErr w:type="spellEnd"/>
      <w:r>
        <w:rPr>
          <w:rtl/>
        </w:rPr>
        <w:t xml:space="preserve">, ר׳ </w:t>
      </w:r>
      <w:proofErr w:type="spellStart"/>
      <w:r>
        <w:rPr>
          <w:rtl/>
        </w:rPr>
        <w:t>יעקב־דוב</w:t>
      </w:r>
      <w:proofErr w:type="spellEnd"/>
      <w:r>
        <w:rPr>
          <w:rtl/>
        </w:rPr>
        <w:t xml:space="preserve"> ספסל, היה בנו של השוחט בעיר שבה כיהן ברבנות ר׳ </w:t>
      </w:r>
      <w:proofErr w:type="spellStart"/>
      <w:r>
        <w:rPr>
          <w:rtl/>
        </w:rPr>
        <w:t>שלמה־יהודה־לייב</w:t>
      </w:r>
      <w:proofErr w:type="spellEnd"/>
      <w:r>
        <w:rPr>
          <w:rtl/>
        </w:rPr>
        <w:t xml:space="preserve"> </w:t>
      </w:r>
      <w:proofErr w:type="spellStart"/>
      <w:r>
        <w:rPr>
          <w:rtl/>
        </w:rPr>
        <w:t>פלצ׳ינסקי</w:t>
      </w:r>
      <w:proofErr w:type="spellEnd"/>
      <w:r>
        <w:rPr>
          <w:rtl/>
        </w:rPr>
        <w:t xml:space="preserve">, חתנו הגדול של הסבא. אחרי מלחמת העולם הראשונה בא לאמריקה, ושימש ראש ישיבה בניו </w:t>
      </w:r>
      <w:proofErr w:type="spellStart"/>
      <w:r>
        <w:rPr>
          <w:rtl/>
        </w:rPr>
        <w:t>הייבן</w:t>
      </w:r>
      <w:proofErr w:type="spellEnd"/>
      <w:r>
        <w:rPr>
          <w:rtl/>
        </w:rPr>
        <w:t xml:space="preserve"> ואחר כך </w:t>
      </w:r>
      <w:proofErr w:type="spellStart"/>
      <w:r>
        <w:rPr>
          <w:rtl/>
        </w:rPr>
        <w:t>בקולצ׳סטר</w:t>
      </w:r>
      <w:proofErr w:type="spellEnd"/>
      <w:r>
        <w:rPr>
          <w:rtl/>
        </w:rPr>
        <w:t xml:space="preserve">, לפני שעבר לניו יורק. לפי מאמר עליו </w:t>
      </w:r>
      <w:proofErr w:type="spellStart"/>
      <w:r>
        <w:rPr>
          <w:rtl/>
        </w:rPr>
        <w:t>ב“מורי</w:t>
      </w:r>
      <w:proofErr w:type="spellEnd"/>
      <w:r>
        <w:rPr>
          <w:rtl/>
        </w:rPr>
        <w:t xml:space="preserve"> האומה” מאת הרב ישראל </w:t>
      </w:r>
      <w:proofErr w:type="spellStart"/>
      <w:r>
        <w:rPr>
          <w:rtl/>
        </w:rPr>
        <w:t>שורין</w:t>
      </w:r>
      <w:bookmarkStart w:id="6511" w:name="_fnr4923"/>
      <w:proofErr w:type="spellEnd"/>
      <w:r>
        <w:rPr>
          <w:rStyle w:val="a5"/>
        </w:rPr>
        <w:footnoteReference w:id="4936" w:customMarkFollows="0"/>
      </w:r>
      <w:bookmarkEnd w:id="6511"/>
      <w:r>
        <w:rPr>
          <w:rtl/>
        </w:rPr>
        <w:t xml:space="preserve">, סיפר ר׳ אליעזר </w:t>
      </w:r>
      <w:proofErr w:type="spellStart"/>
      <w:r>
        <w:rPr>
          <w:rtl/>
        </w:rPr>
        <w:t>סילבר</w:t>
      </w:r>
      <w:proofErr w:type="spellEnd"/>
      <w:r>
        <w:rPr>
          <w:rtl/>
        </w:rPr>
        <w:t xml:space="preserve"> ששאל את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מיהו הגאון הגדול ביותר בישיבות, ור׳ </w:t>
      </w:r>
      <w:proofErr w:type="spellStart"/>
      <w:r>
        <w:rPr>
          <w:rtl/>
        </w:rPr>
        <w:t>חיים־עוזר</w:t>
      </w:r>
      <w:proofErr w:type="spellEnd"/>
      <w:r>
        <w:rPr>
          <w:rtl/>
        </w:rPr>
        <w:t xml:space="preserve"> השיב אחרי מחשבה קצרה: ר׳ יעקב(־דוב) ספסל.</w:t>
      </w:r>
    </w:p>
    <w:p w14:paraId="54B6203D" w14:textId="77777777" w:rsidR="00AB3647" w:rsidRDefault="00000000" w:rsidP="007923E9">
      <w:pPr>
        <w:spacing w:after="120" w:line="276" w:lineRule="auto"/>
        <w:ind w:firstLine="283"/>
        <w:jc w:val="both"/>
      </w:pPr>
      <w:r>
        <w:rPr>
          <w:rtl/>
        </w:rPr>
        <w:t>מסופר שם: “בקיץ היה הולך ברחובות ניו יורק בלי קפוטה, עטוף בטלית קטן מעל חולצתו. מעולם לא הפסיק ללמוד: למד בנסיעות, בעל פה או בכתיבת חידושים – המחברת שבה רשם את חידושיו הייתה תמיד בהישג יד – ודמות הזקן הרכון על מחברתו וכותב במהירות מפליאה זכורה היטב לנוסעי קו הרכבת התחתית מנהטן–</w:t>
      </w:r>
      <w:proofErr w:type="spellStart"/>
      <w:r>
        <w:rPr>
          <w:rtl/>
        </w:rPr>
        <w:t>רוקאוויי</w:t>
      </w:r>
      <w:proofErr w:type="spellEnd"/>
      <w:r>
        <w:rPr>
          <w:rtl/>
        </w:rPr>
        <w:t xml:space="preserve">. מסופר שכשבא לאמריקה שכנעוהו ללמוד אנגלית. הביאו לו מילון וובסטר, ובמשך חודש למד את המילון עד שידעו בעל פה. אך כל ימיו הצטער שהסיח דעתו מן התורה למשך חודש”.</w:t>
      </w:r>
    </w:p>
    <w:p w14:paraId="69FF9E39" w14:textId="77777777" w:rsidR="00AB3647" w:rsidRDefault="00000000" w:rsidP="007923E9">
      <w:pPr>
        <w:spacing w:after="120" w:line="276" w:lineRule="auto"/>
        <w:ind w:firstLine="283"/>
        <w:jc w:val="both"/>
      </w:pPr>
      <w:r>
        <w:rPr>
          <w:rtl/>
        </w:rPr>
        <w:t xml:space="preserve">חבריו לישיבה </w:t>
      </w:r>
      <w:proofErr w:type="spellStart"/>
      <w:r>
        <w:rPr>
          <w:rtl/>
        </w:rPr>
        <w:t>בסלבודקה</w:t>
      </w:r>
      <w:proofErr w:type="spellEnd"/>
      <w:r>
        <w:rPr>
          <w:rtl/>
        </w:rPr>
        <w:t xml:space="preserve"> החשיבוהו לצדיק גדול, כפי שמסר ר׳ </w:t>
      </w:r>
      <w:proofErr w:type="spellStart"/>
      <w:r>
        <w:rPr>
          <w:rtl/>
        </w:rPr>
        <w:t>יענקל</w:t>
      </w:r>
      <w:proofErr w:type="spellEnd"/>
      <w:r>
        <w:rPr>
          <w:rtl/>
        </w:rPr>
        <w:t xml:space="preserve"> </w:t>
      </w:r>
      <w:proofErr w:type="spellStart"/>
      <w:r>
        <w:rPr>
          <w:rtl/>
        </w:rPr>
        <w:t>לשינסקי</w:t>
      </w:r>
      <w:bookmarkStart w:id="6512" w:name="_fnr4924"/>
      <w:proofErr w:type="spellEnd"/>
      <w:r>
        <w:rPr>
          <w:rStyle w:val="a5"/>
        </w:rPr>
        <w:footnoteReference w:id="4937" w:customMarkFollows="0"/>
      </w:r>
      <w:bookmarkEnd w:id="6512"/>
      <w:r>
        <w:rPr>
          <w:rtl/>
        </w:rPr>
        <w:t xml:space="preserve">. ר׳ </w:t>
      </w:r>
      <w:proofErr w:type="spellStart"/>
      <w:r>
        <w:rPr>
          <w:rtl/>
        </w:rPr>
        <w:t>יענקל</w:t>
      </w:r>
      <w:proofErr w:type="spellEnd"/>
      <w:r>
        <w:rPr>
          <w:rtl/>
        </w:rPr>
        <w:t>, שהיה מקורב מאוד לראשי ישיבת תורה ודעת בזה אחר זה, סיפר שכאשר חלה ראש הישיבה ר׳ שלמה היימן</w:t>
      </w:r>
      <w:bookmarkStart w:id="6513" w:name="_fnr4925"/>
      <w:r>
        <w:rPr>
          <w:rStyle w:val="a5"/>
        </w:rPr>
        <w:footnoteReference w:id="4938" w:customMarkFollows="0"/>
      </w:r>
      <w:bookmarkEnd w:id="6513"/>
      <w:r>
        <w:rPr>
          <w:rtl/>
        </w:rPr>
        <w:t xml:space="preserve"> בסרטן, ביקש ממנו הרב החולה לפנות אל העילוי </w:t>
      </w:r>
      <w:proofErr w:type="spellStart"/>
      <w:r>
        <w:rPr>
          <w:rtl/>
        </w:rPr>
        <w:t>מווישקי</w:t>
      </w:r>
      <w:proofErr w:type="spellEnd"/>
      <w:r>
        <w:rPr>
          <w:rtl/>
        </w:rPr>
        <w:t xml:space="preserve"> שיתפלל להחלמתו. הדבר מפליא במיוחד, שהרי ר׳ שלמה ידע שר׳ </w:t>
      </w:r>
      <w:proofErr w:type="spellStart"/>
      <w:r>
        <w:rPr>
          <w:rtl/>
        </w:rPr>
        <w:t>יעקב־דוב</w:t>
      </w:r>
      <w:proofErr w:type="spellEnd"/>
      <w:r>
        <w:rPr>
          <w:rtl/>
        </w:rPr>
        <w:t xml:space="preserve"> ספסל מתרחק ממנו, משום שר׳ שלמה הסכים לבוא במקומו של ר׳ דוד </w:t>
      </w:r>
      <w:proofErr w:type="spellStart"/>
      <w:r>
        <w:rPr>
          <w:rtl/>
        </w:rPr>
        <w:t>ליבוביץ</w:t>
      </w:r>
      <w:proofErr w:type="spellEnd"/>
      <w:r>
        <w:rPr>
          <w:rtl/>
        </w:rPr>
        <w:t xml:space="preserve"> – אומנם בעצת ר׳ </w:t>
      </w:r>
      <w:proofErr w:type="spellStart"/>
      <w:r>
        <w:rPr>
          <w:rtl/>
        </w:rPr>
        <w:t>חיים־עוזר</w:t>
      </w:r>
      <w:proofErr w:type="spellEnd"/>
      <w:r>
        <w:rPr>
          <w:rtl/>
        </w:rPr>
        <w:t xml:space="preserve"> </w:t>
      </w:r>
      <w:proofErr w:type="spellStart"/>
      <w:r>
        <w:rPr>
          <w:rtl/>
        </w:rPr>
        <w:t>גרודזנסקי</w:t>
      </w:r>
      <w:proofErr w:type="spellEnd"/>
      <w:r>
        <w:rPr>
          <w:rtl/>
        </w:rPr>
        <w:t xml:space="preserve"> – אחרי שר׳ דוד </w:t>
      </w:r>
      <w:proofErr w:type="spellStart"/>
      <w:r>
        <w:rPr>
          <w:rtl/>
        </w:rPr>
        <w:t>ליבוביץ</w:t>
      </w:r>
      <w:proofErr w:type="spellEnd"/>
      <w:r>
        <w:rPr>
          <w:rtl/>
        </w:rPr>
        <w:t xml:space="preserve"> נאלץ להתפטר מתפקידו בתורה ודעת</w:t>
      </w:r>
      <w:bookmarkStart w:id="6514" w:name="_fnr4926"/>
      <w:r>
        <w:rPr>
          <w:rStyle w:val="a5"/>
        </w:rPr>
        <w:footnoteReference w:id="4939" w:customMarkFollows="0"/>
      </w:r>
      <w:bookmarkEnd w:id="6514"/>
      <w:r>
        <w:rPr>
          <w:rtl/>
        </w:rPr>
        <w:t>.</w:t>
      </w:r>
    </w:p>
    <w:p w14:paraId="0E65D74A" w14:textId="77777777" w:rsidR="00AB3647" w:rsidRDefault="00000000" w:rsidP="007923E9">
      <w:pPr>
        <w:spacing w:after="120" w:line="276" w:lineRule="auto"/>
        <w:ind w:firstLine="283"/>
        <w:jc w:val="both"/>
      </w:pPr>
      <w:r>
        <w:rPr>
          <w:rtl/>
        </w:rPr>
        <w:lastRenderedPageBreak/>
        <w:t xml:space="preserve">ממלא מקומו של ר׳ שלמה, ר׳ ראובן </w:t>
      </w:r>
      <w:proofErr w:type="spellStart"/>
      <w:r>
        <w:rPr>
          <w:rtl/>
        </w:rPr>
        <w:t>גרוזובסקי</w:t>
      </w:r>
      <w:proofErr w:type="spellEnd"/>
      <w:r>
        <w:rPr>
          <w:rtl/>
        </w:rPr>
        <w:t xml:space="preserve">, תלמיד כנסת ישראל וחתנו של ר׳ </w:t>
      </w:r>
      <w:proofErr w:type="spellStart"/>
      <w:r>
        <w:rPr>
          <w:rtl/>
        </w:rPr>
        <w:t>ברוך־בער</w:t>
      </w:r>
      <w:proofErr w:type="spellEnd"/>
      <w:r>
        <w:rPr>
          <w:rtl/>
        </w:rPr>
        <w:t xml:space="preserve"> </w:t>
      </w:r>
      <w:proofErr w:type="spellStart"/>
      <w:r>
        <w:rPr>
          <w:rtl/>
        </w:rPr>
        <w:t>ליבוביץ</w:t>
      </w:r>
      <w:bookmarkStart w:id="6515" w:name="_fnr4927"/>
      <w:proofErr w:type="spellEnd"/>
      <w:r>
        <w:rPr>
          <w:rStyle w:val="a5"/>
        </w:rPr>
        <w:footnoteReference w:id="4940" w:customMarkFollows="0"/>
      </w:r>
      <w:bookmarkEnd w:id="6515"/>
      <w:r>
        <w:rPr>
          <w:rtl/>
        </w:rPr>
        <w:t xml:space="preserve">, שלח אף הוא את ר׳ </w:t>
      </w:r>
      <w:proofErr w:type="spellStart"/>
      <w:r>
        <w:rPr>
          <w:rtl/>
        </w:rPr>
        <w:t>יענקל</w:t>
      </w:r>
      <w:proofErr w:type="spellEnd"/>
      <w:r>
        <w:rPr>
          <w:rtl/>
        </w:rPr>
        <w:t xml:space="preserve"> </w:t>
      </w:r>
      <w:proofErr w:type="spellStart"/>
      <w:r>
        <w:rPr>
          <w:rtl/>
        </w:rPr>
        <w:t>לשינסקי</w:t>
      </w:r>
      <w:proofErr w:type="spellEnd"/>
      <w:r>
        <w:rPr>
          <w:rtl/>
        </w:rPr>
        <w:t xml:space="preserve"> אל ר׳ </w:t>
      </w:r>
      <w:proofErr w:type="spellStart"/>
      <w:r>
        <w:rPr>
          <w:rtl/>
        </w:rPr>
        <w:t>יעקב־דוב</w:t>
      </w:r>
      <w:proofErr w:type="spellEnd"/>
      <w:r>
        <w:rPr>
          <w:rtl/>
        </w:rPr>
        <w:t xml:space="preserve"> ספסל, לבקשו שיתפלל לרפואת הרבנית כשחלתה. הוא הורה </w:t>
      </w:r>
      <w:proofErr w:type="spellStart"/>
      <w:r>
        <w:rPr>
          <w:rtl/>
        </w:rPr>
        <w:t>לר</w:t>
      </w:r>
      <w:proofErr w:type="spellEnd"/>
      <w:r>
        <w:rPr>
          <w:rtl/>
        </w:rPr>
        <w:t xml:space="preserve">׳ </w:t>
      </w:r>
      <w:proofErr w:type="spellStart"/>
      <w:r>
        <w:rPr>
          <w:rtl/>
        </w:rPr>
        <w:t>יענקל</w:t>
      </w:r>
      <w:proofErr w:type="spellEnd"/>
      <w:r>
        <w:rPr>
          <w:rtl/>
        </w:rPr>
        <w:t xml:space="preserve"> לחצות את גשר </w:t>
      </w:r>
      <w:proofErr w:type="spellStart"/>
      <w:r>
        <w:rPr>
          <w:rtl/>
        </w:rPr>
        <w:t>וויליאמסבורג</w:t>
      </w:r>
      <w:proofErr w:type="spellEnd"/>
      <w:r>
        <w:rPr>
          <w:rtl/>
        </w:rPr>
        <w:t xml:space="preserve"> אל אגודת אנשי מעמד</w:t>
      </w:r>
      <w:bookmarkStart w:id="6516" w:name="_fnr4928"/>
      <w:r>
        <w:rPr>
          <w:rStyle w:val="a5"/>
        </w:rPr>
        <w:footnoteReference w:id="4941" w:customMarkFollows="0"/>
      </w:r>
      <w:bookmarkEnd w:id="6516"/>
      <w:r>
        <w:rPr>
          <w:rtl/>
        </w:rPr>
        <w:t xml:space="preserve">, ולומר לעילוי </w:t>
      </w:r>
      <w:proofErr w:type="spellStart"/>
      <w:r>
        <w:rPr>
          <w:rtl/>
        </w:rPr>
        <w:t>מווישקי</w:t>
      </w:r>
      <w:proofErr w:type="spellEnd"/>
      <w:r>
        <w:rPr>
          <w:rtl/>
        </w:rPr>
        <w:t xml:space="preserve"> “בדיוק את המילים האלה: בתו של הרב חולה”.</w:t>
      </w:r>
    </w:p>
    <w:p w14:paraId="7400D88B" w14:textId="77777777" w:rsidR="00AB3647" w:rsidRDefault="00000000" w:rsidP="007923E9">
      <w:pPr>
        <w:spacing w:after="120" w:line="276" w:lineRule="auto"/>
        <w:ind w:firstLine="283"/>
        <w:jc w:val="both"/>
      </w:pPr>
      <w:r>
        <w:rPr>
          <w:rtl/>
        </w:rPr>
        <w:t>ר׳ ישראל ברגשטיין, מחותנו של בן העילוי, מסר</w:t>
      </w:r>
      <w:bookmarkStart w:id="6517" w:name="_fnr4929"/>
      <w:r>
        <w:rPr>
          <w:rStyle w:val="a5"/>
        </w:rPr>
        <w:footnoteReference w:id="4942" w:customMarkFollows="0"/>
      </w:r>
      <w:bookmarkEnd w:id="6517"/>
      <w:r>
        <w:rPr>
          <w:rtl/>
        </w:rPr>
        <w:t xml:space="preserve"> בשם אבי שבאירופה היה ר׳ </w:t>
      </w:r>
      <w:proofErr w:type="spellStart"/>
      <w:r>
        <w:rPr>
          <w:rtl/>
        </w:rPr>
        <w:t>יעקב־דוב</w:t>
      </w:r>
      <w:proofErr w:type="spellEnd"/>
      <w:r>
        <w:rPr>
          <w:rtl/>
        </w:rPr>
        <w:t xml:space="preserve"> ספסל נוסע מגדול לגדול כדי לשוחח בדברי תורה, </w:t>
      </w:r>
      <w:proofErr w:type="spellStart"/>
      <w:r>
        <w:rPr>
          <w:rtl/>
        </w:rPr>
        <w:t>ו“כשבא</w:t>
      </w:r>
      <w:proofErr w:type="spellEnd"/>
      <w:r>
        <w:rPr>
          <w:rtl/>
        </w:rPr>
        <w:t xml:space="preserve"> לבית ר׳ חיים </w:t>
      </w:r>
      <w:proofErr w:type="spellStart"/>
      <w:r>
        <w:rPr>
          <w:rtl/>
        </w:rPr>
        <w:t>סולובייצ׳יק</w:t>
      </w:r>
      <w:proofErr w:type="spellEnd"/>
      <w:r>
        <w:rPr>
          <w:rtl/>
        </w:rPr>
        <w:t xml:space="preserve">, פשוט נשכב העילוי </w:t>
      </w:r>
      <w:proofErr w:type="spellStart"/>
      <w:r>
        <w:rPr>
          <w:rtl/>
        </w:rPr>
        <w:t>מווישקי</w:t>
      </w:r>
      <w:proofErr w:type="spellEnd"/>
      <w:r>
        <w:rPr>
          <w:rtl/>
        </w:rPr>
        <w:t xml:space="preserve"> על הספה לישון ולנוח מן הדרך הארוכה”. לפי “מורי האומה”, היה ר׳ </w:t>
      </w:r>
      <w:proofErr w:type="spellStart"/>
      <w:r>
        <w:rPr>
          <w:rtl/>
        </w:rPr>
        <w:t>יעקב־דוב</w:t>
      </w:r>
      <w:proofErr w:type="spellEnd"/>
      <w:r>
        <w:rPr>
          <w:rtl/>
        </w:rPr>
        <w:t xml:space="preserve"> ספסל הולך ברגל עשרות קילומטרים לבתי גדולי תורה, כדי לעיין בספרים נדירים או לשוחח בדברי תורה. הוא למד </w:t>
      </w:r>
      <w:proofErr w:type="spellStart"/>
      <w:r>
        <w:rPr>
          <w:rtl/>
        </w:rPr>
        <w:t>בטלז</w:t>
      </w:r>
      <w:proofErr w:type="spellEnd"/>
      <w:r>
        <w:rPr>
          <w:rtl/>
        </w:rPr>
        <w:t xml:space="preserve">, </w:t>
      </w:r>
      <w:proofErr w:type="spellStart"/>
      <w:r>
        <w:rPr>
          <w:rtl/>
        </w:rPr>
        <w:t>בסלבודקה</w:t>
      </w:r>
      <w:proofErr w:type="spellEnd"/>
      <w:r>
        <w:rPr>
          <w:rtl/>
        </w:rPr>
        <w:t xml:space="preserve">, </w:t>
      </w:r>
      <w:proofErr w:type="spellStart"/>
      <w:r>
        <w:rPr>
          <w:rtl/>
        </w:rPr>
        <w:t>במיר</w:t>
      </w:r>
      <w:proofErr w:type="spellEnd"/>
      <w:r>
        <w:rPr>
          <w:rtl/>
        </w:rPr>
        <w:t xml:space="preserve">, </w:t>
      </w:r>
      <w:proofErr w:type="spellStart"/>
      <w:r>
        <w:rPr>
          <w:rtl/>
        </w:rPr>
        <w:t>בוולוז׳ין</w:t>
      </w:r>
      <w:proofErr w:type="spellEnd"/>
      <w:r>
        <w:rPr>
          <w:rtl/>
        </w:rPr>
        <w:t xml:space="preserve"> </w:t>
      </w:r>
      <w:proofErr w:type="spellStart"/>
      <w:r>
        <w:rPr>
          <w:rtl/>
        </w:rPr>
        <w:t>ובראדין</w:t>
      </w:r>
      <w:proofErr w:type="spellEnd"/>
      <w:r>
        <w:rPr>
          <w:rtl/>
        </w:rPr>
        <w:t>. מסופר שם</w:t>
      </w:r>
      <w:bookmarkStart w:id="6518" w:name="_fnr4930"/>
      <w:r>
        <w:rPr>
          <w:rStyle w:val="a5"/>
        </w:rPr>
        <w:footnoteReference w:id="4943" w:customMarkFollows="0"/>
      </w:r>
      <w:bookmarkEnd w:id="6518"/>
      <w:r>
        <w:rPr>
          <w:rtl/>
        </w:rPr>
        <w:t xml:space="preserve">: “ר׳ </w:t>
      </w:r>
      <w:proofErr w:type="spellStart"/>
      <w:r>
        <w:rPr>
          <w:rtl/>
        </w:rPr>
        <w:t>יוסף־אליהו</w:t>
      </w:r>
      <w:proofErr w:type="spellEnd"/>
      <w:r>
        <w:rPr>
          <w:rtl/>
        </w:rPr>
        <w:t xml:space="preserve"> </w:t>
      </w:r>
      <w:proofErr w:type="spellStart"/>
      <w:r>
        <w:rPr>
          <w:rtl/>
        </w:rPr>
        <w:t>הענקין</w:t>
      </w:r>
      <w:proofErr w:type="spellEnd"/>
      <w:r>
        <w:rPr>
          <w:rtl/>
        </w:rPr>
        <w:t xml:space="preserve"> העיד: ‘ר׳ </w:t>
      </w:r>
      <w:proofErr w:type="spellStart"/>
      <w:r>
        <w:rPr>
          <w:rtl/>
        </w:rPr>
        <w:t>יעקב־דוב</w:t>
      </w:r>
      <w:proofErr w:type="spellEnd"/>
      <w:r>
        <w:rPr>
          <w:rtl/>
        </w:rPr>
        <w:t xml:space="preserve"> ספסל עבר חמישים או שישים דפי גמרא בשעה!’”</w:t>
      </w:r>
    </w:p>
    <w:p w14:paraId="5F804235" w14:textId="77777777" w:rsidR="00AB3647" w:rsidRDefault="00000000" w:rsidP="007923E9">
      <w:pPr>
        <w:spacing w:after="120" w:line="276" w:lineRule="auto"/>
        <w:ind w:firstLine="283"/>
        <w:jc w:val="both"/>
      </w:pPr>
      <w:bookmarkStart w:id="6519" w:name="pr_b_2700"/>
      <w:bookmarkEnd w:id="6519"/>
      <w:r>
        <w:rPr>
          <w:rtl/>
        </w:rPr>
        <w:t xml:space="preserve">ר׳ </w:t>
      </w:r>
      <w:proofErr w:type="spellStart"/>
      <w:r>
        <w:rPr>
          <w:rtl/>
        </w:rPr>
        <w:t>יעקב־דוב</w:t>
      </w:r>
      <w:proofErr w:type="spellEnd"/>
      <w:r>
        <w:rPr>
          <w:rtl/>
        </w:rPr>
        <w:t xml:space="preserve"> ספסל נפטר </w:t>
      </w:r>
      <w:proofErr w:type="spellStart"/>
      <w:r>
        <w:rPr>
          <w:rtl/>
        </w:rPr>
        <w:t>בתשכ״ח</w:t>
      </w:r>
      <w:proofErr w:type="spellEnd"/>
      <w:r>
        <w:rPr>
          <w:rtl/>
        </w:rPr>
        <w:t xml:space="preserve">, בגיל שמונים, וחידושי תורתו יצאו לאור בידי בנו ר׳ </w:t>
      </w:r>
      <w:proofErr w:type="spellStart"/>
      <w:r>
        <w:rPr>
          <w:rtl/>
        </w:rPr>
        <w:t>יוסף־שלמה</w:t>
      </w:r>
      <w:proofErr w:type="spellEnd"/>
      <w:r>
        <w:rPr>
          <w:rtl/>
        </w:rPr>
        <w:t xml:space="preserve"> </w:t>
      </w:r>
      <w:proofErr w:type="spellStart"/>
      <w:r>
        <w:rPr>
          <w:rtl/>
        </w:rPr>
        <w:t>ב“ספר</w:t>
      </w:r>
      <w:proofErr w:type="spellEnd"/>
      <w:r>
        <w:rPr>
          <w:rtl/>
        </w:rPr>
        <w:t xml:space="preserve"> דברי יעקב”. ר׳ </w:t>
      </w:r>
      <w:proofErr w:type="spellStart"/>
      <w:r>
        <w:rPr>
          <w:rtl/>
        </w:rPr>
        <w:t>יוסף־שלמה</w:t>
      </w:r>
      <w:proofErr w:type="spellEnd"/>
      <w:r>
        <w:rPr>
          <w:rtl/>
        </w:rPr>
        <w:t xml:space="preserve"> סיפר לי</w:t>
      </w:r>
      <w:bookmarkStart w:id="6520" w:name="_fnr4931"/>
      <w:r>
        <w:rPr>
          <w:rStyle w:val="a5"/>
        </w:rPr>
        <w:footnoteReference w:id="4944" w:customMarkFollows="0"/>
      </w:r>
      <w:bookmarkEnd w:id="6520"/>
      <w:r>
        <w:rPr>
          <w:rtl/>
        </w:rPr>
        <w:t>: “אביך הספיד את אבי ובכה מרה, מפני שהיה מקניט אותו כשהלכו לשחות יחד בצעירותם – שניהם היו שחיינים גדולים. משפחתי תכננה לקבור אותו בארץ ישראל, ולכן הציע מישהו בהלוויה שאשאל את אביך אם עליי ללוות את הארון. קיבלתי תשובה שהיא משחק מילים בשמות האב והבן: ‘הקב״ה הבטיח ליעקב, “יוסף ישית ידו על עיניך” [</w:t>
      </w:r>
      <w:proofErr w:type="spellStart"/>
      <w:r>
        <w:rPr>
          <w:rtl/>
        </w:rPr>
        <w:t>יקברך</w:t>
      </w:r>
      <w:proofErr w:type="spellEnd"/>
      <w:r>
        <w:rPr>
          <w:rtl/>
        </w:rPr>
        <w:t>]</w:t>
      </w:r>
      <w:bookmarkStart w:id="6521" w:name="_fnr4932"/>
      <w:r>
        <w:rPr>
          <w:rStyle w:val="a5"/>
        </w:rPr>
        <w:footnoteReference w:id="4945" w:customMarkFollows="0"/>
      </w:r>
      <w:bookmarkEnd w:id="6521"/>
      <w:r>
        <w:rPr>
          <w:rtl/>
        </w:rPr>
        <w:t xml:space="preserve">’”. לפי הרב ברגשטיין, גם ר׳ </w:t>
      </w:r>
      <w:proofErr w:type="spellStart"/>
      <w:r>
        <w:rPr>
          <w:rtl/>
        </w:rPr>
        <w:t>יעקב־דוב</w:t>
      </w:r>
      <w:proofErr w:type="spellEnd"/>
      <w:r>
        <w:rPr>
          <w:rtl/>
        </w:rPr>
        <w:t xml:space="preserve"> עצמו היה מתייעץ לפעמים עם רבנו.</w:t>
      </w:r>
    </w:p>
    <w:bookmarkStart w:id="6522" w:name="b5_excD"/>
    <w:p w14:paraId="5678D2E1" w14:textId="77777777" w:rsidR="00AB3647" w:rsidRDefault="00000000" w:rsidP="007923E9">
      <w:pPr>
        <w:pStyle w:val="3"/>
        <w:pageBreakBefore w:val="0"/>
        <w:spacing w:line="276" w:lineRule="auto"/>
      </w:pPr>
      <w:r>
        <w:fldChar w:fldCharType="begin" w:dirty="true"/>
      </w:r>
      <w:r>
        <w:rPr>
          <w:rtl w:val="0"/>
        </w:rPr>
        <w:instrText>HYPERLINK \l "b5_note59</w:instrText>
      </w:r>
      <w:r>
        <w:instrText>"</w:instrText>
      </w:r>
      <w:r>
        <w:fldChar w:fldCharType="separate"/>
      </w:r>
      <w:r>
        <w:t>נספח ד</w:t>
      </w:r>
      <w:r>
        <w:fldChar w:fldCharType="end"/>
      </w:r>
      <w:bookmarkEnd w:id="6522"/>
    </w:p>
    <w:p w14:paraId="743EE397" w14:textId="77777777" w:rsidR="00AB3647" w:rsidRDefault="00000000" w:rsidP="007923E9">
      <w:pPr>
        <w:pStyle w:val="af"/>
        <w:spacing w:line="276" w:lineRule="auto"/>
        <w:ind w:firstLine="340"/>
      </w:pPr>
      <w:r>
        <w:t xml:space="preserve">על טעם אפשרי להחזרת רבנו </w:t>
      </w:r>
      <w:proofErr w:type="spellStart"/>
      <w:r>
        <w:t>ממאלטש</w:t>
      </w:r>
      <w:proofErr w:type="spellEnd"/>
      <w:r>
        <w:t xml:space="preserve"> בידי הסבא ועל ויתורו של הרב על האמת לטובת תלמידיו</w:t>
      </w:r>
    </w:p>
    <w:p w14:paraId="2BAE209A" w14:textId="77777777" w:rsidR="00AB3647" w:rsidRDefault="00000000" w:rsidP="007923E9">
      <w:pPr>
        <w:pStyle w:val="4"/>
        <w:spacing w:line="276" w:lineRule="auto"/>
      </w:pPr>
      <w:r>
        <w:t>· הפסקה הראשונה ·</w:t>
      </w:r>
    </w:p>
    <w:p w14:paraId="52257A74" w14:textId="77777777" w:rsidR="00AB3647" w:rsidRDefault="00000000" w:rsidP="007923E9">
      <w:pPr>
        <w:pStyle w:val="5"/>
        <w:spacing w:line="276" w:lineRule="auto"/>
      </w:pPr>
      <w:r>
        <w:t xml:space="preserve">הסבא דואג לגורל רבנו </w:t>
      </w:r>
      <w:proofErr w:type="spellStart"/>
      <w:r>
        <w:t>במאלטש</w:t>
      </w:r>
      <w:proofErr w:type="spellEnd"/>
      <w:r>
        <w:t xml:space="preserve"> – רבנו רחב אופקים – הוא נזכר במגידים – יש לו דרך </w:t>
      </w:r>
      <w:proofErr w:type="spellStart"/>
      <w:r>
        <w:t>לא־רגילה</w:t>
      </w:r>
      <w:proofErr w:type="spellEnd"/>
      <w:r>
        <w:t xml:space="preserve"> למדוד בני אדם – ר׳ שאול ליברמן רואה עצמו תלמיד ר׳ </w:t>
      </w:r>
      <w:proofErr w:type="spellStart"/>
      <w:r>
        <w:t>דוד־טעביל</w:t>
      </w:r>
      <w:proofErr w:type="spellEnd"/>
      <w:r>
        <w:t xml:space="preserve"> </w:t>
      </w:r>
      <w:proofErr w:type="spellStart"/>
      <w:r>
        <w:t>דינובסקי</w:t>
      </w:r>
      <w:proofErr w:type="spellEnd"/>
    </w:p>
    <w:p w14:paraId="02D78B10" w14:textId="10C1C57B" w:rsidR="00AB3647" w:rsidRDefault="00000000" w:rsidP="007923E9">
      <w:pPr>
        <w:spacing w:after="120" w:line="276" w:lineRule="auto"/>
        <w:ind w:firstLine="283"/>
        <w:jc w:val="both"/>
      </w:pPr>
      <w:r>
        <w:rPr>
          <w:rtl/>
        </w:rPr>
        <w:t xml:space="preserve">על הבטחת הסבא למצוא לו חברותא מצוינת סיפר אבי לנכדו ר׳ יצחק </w:t>
      </w:r>
      <w:proofErr w:type="spellStart"/>
      <w:r>
        <w:rPr>
          <w:rtl/>
        </w:rPr>
        <w:t>שורין</w:t>
      </w:r>
      <w:bookmarkStart w:id="6523" w:name="_fnr4933"/>
      <w:proofErr w:type="spellEnd"/>
      <w:r>
        <w:rPr>
          <w:rStyle w:val="a5"/>
        </w:rPr>
        <w:footnoteReference w:id="4946" w:customMarkFollows="0"/>
      </w:r>
      <w:bookmarkEnd w:id="6523"/>
      <w:r>
        <w:rPr>
          <w:rtl/>
        </w:rPr>
        <w:t xml:space="preserve">, והוסיף שכשחזר </w:t>
      </w:r>
      <w:proofErr w:type="spellStart"/>
      <w:r>
        <w:rPr>
          <w:rtl/>
        </w:rPr>
        <w:t>לסלבודקה</w:t>
      </w:r>
      <w:proofErr w:type="spellEnd"/>
      <w:r>
        <w:rPr>
          <w:rtl/>
        </w:rPr>
        <w:t xml:space="preserve"> לא חיכה לו שום חברותא: “לא דובים ולא יער</w:t>
      </w:r>
      <w:bookmarkStart w:id="6524" w:name="_fnr4934"/>
      <w:r>
        <w:rPr>
          <w:rStyle w:val="a5"/>
        </w:rPr>
        <w:footnoteReference w:id="4947" w:customMarkFollows="0"/>
      </w:r>
      <w:bookmarkEnd w:id="6524"/>
      <w:r>
        <w:rPr>
          <w:rtl/>
        </w:rPr>
        <w:t xml:space="preserve">”, הכריז – כלומר, להבטחת הסבא לא היה שום יסוד. נראה שהסבא נקט תחבולה כדי להבטיח שרבנו יחזור </w:t>
      </w:r>
      <w:r>
        <w:rPr>
          <w:rtl/>
        </w:rPr>
        <w:lastRenderedPageBreak/>
        <w:t>לכנסת ישראל</w:t>
      </w:r>
      <w:bookmarkStart w:id="6525" w:name="_fnr4935"/>
      <w:r>
        <w:rPr>
          <w:rStyle w:val="a5"/>
        </w:rPr>
        <w:footnoteReference w:id="4948" w:customMarkFollows="0"/>
      </w:r>
      <w:bookmarkEnd w:id="6525"/>
      <w:r>
        <w:rPr>
          <w:rtl/>
        </w:rPr>
        <w:t>. כל זה ראוי לציון משלוש בחינות. ראשית, הסבא חשב עליו אף שלא היה לנגד עיניו, ואף שהישיבה הייתה מלאה באותה שעה תלמידים מבריקים</w:t>
      </w:r>
      <w:bookmarkStart w:id="6526" w:name="_fnr4936"/>
      <w:r>
        <w:rPr>
          <w:rStyle w:val="a5"/>
        </w:rPr>
        <w:footnoteReference w:id="4949" w:customMarkFollows="0"/>
      </w:r>
      <w:bookmarkEnd w:id="6526"/>
      <w:r>
        <w:rPr>
          <w:rtl/>
        </w:rPr>
        <w:t xml:space="preserve">. שנית, ההודעה שסודרה בשבילו חברותא רומזת רמז חזק שהסבא הבין – אחרי שהחליט במהירות לחלץ את אבי מן המבוי הסתום </w:t>
      </w:r>
      <w:proofErr w:type="spellStart"/>
      <w:r>
        <w:rPr>
          <w:rtl/>
        </w:rPr>
        <w:t>בסלבודקה</w:t>
      </w:r>
      <w:proofErr w:type="spellEnd"/>
      <w:r>
        <w:rPr>
          <w:rtl/>
        </w:rPr>
        <w:t xml:space="preserve"> ולשלחו משם – שבעיית החברותא היא שעמדה מאחורי חוסר שביעות רצונו של רבנו, והיא שהביאה לבטלתו. אבי עצמו לא עמד על כך (ראה הערה </w:t>
      </w:r>
      <w:r>
        <w:rPr>
          <w:rtl/>
        </w:rPr>
        <w:fldChar w:fldCharType="begin" w:dirty="true"/>
      </w:r>
      <w:r>
        <w:rPr>
          <w:rtl/>
        </w:rPr>
        <w:instrText xml:space="preserve"> REF b5_note21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21</w:t>
      </w:r>
      <w:r>
        <w:rPr>
          <w:rtl/>
        </w:rPr>
        <w:fldChar w:fldCharType="end"/>
      </w:r>
      <w:r>
        <w:rPr>
          <w:rtl/>
        </w:rPr>
        <w:t xml:space="preserve"> לעיל).</w:t>
      </w:r>
    </w:p>
    <w:p w14:paraId="21FE8CE7" w14:textId="77777777" w:rsidR="00AB3647" w:rsidRDefault="00000000" w:rsidP="007923E9">
      <w:pPr>
        <w:spacing w:after="120" w:line="276" w:lineRule="auto"/>
        <w:ind w:firstLine="283"/>
        <w:jc w:val="both"/>
      </w:pPr>
      <w:r>
        <w:rPr>
          <w:rtl/>
        </w:rPr>
        <w:t>שלישית, הצד המפתיע ביותר בתמרון הסבא היה השימוש ב</w:t>
      </w:r>
      <w:r>
        <w:rPr>
          <w:b/>
          <w:bCs/>
          <w:rtl/>
        </w:rPr>
        <w:t>מרמה</w:t>
      </w:r>
      <w:bookmarkStart w:id="6527" w:name="_fnr4937"/>
      <w:r>
        <w:rPr>
          <w:rStyle w:val="a5"/>
        </w:rPr>
        <w:footnoteReference w:id="4950" w:customMarkFollows="0"/>
      </w:r>
      <w:bookmarkEnd w:id="6527"/>
      <w:r>
        <w:rPr>
          <w:rtl/>
        </w:rPr>
        <w:t xml:space="preserve"> כדי להבטיח את שובו של אבי, ולנוכח זה ודאי חש הסבא שחובה להחזירו תחת חסותו בכל מחיר. ברור שהסבא ידע (באמצעות “מערכת הדואר”</w:t>
      </w:r>
      <w:bookmarkStart w:id="6528" w:name="_fnr4938"/>
      <w:r>
        <w:rPr>
          <w:rStyle w:val="a5"/>
        </w:rPr>
        <w:footnoteReference w:id="4951" w:customMarkFollows="0"/>
      </w:r>
      <w:bookmarkEnd w:id="6528"/>
      <w:r>
        <w:rPr>
          <w:rtl/>
        </w:rPr>
        <w:t xml:space="preserve">) שאבי אוהב מאוד את ישיבת </w:t>
      </w:r>
      <w:proofErr w:type="spellStart"/>
      <w:r>
        <w:rPr>
          <w:rtl/>
        </w:rPr>
        <w:t>מאלטש</w:t>
      </w:r>
      <w:proofErr w:type="spellEnd"/>
      <w:r>
        <w:rPr>
          <w:rtl/>
        </w:rPr>
        <w:t xml:space="preserve">, ושיש לפתותו כדי שיחזור </w:t>
      </w:r>
      <w:proofErr w:type="spellStart"/>
      <w:r>
        <w:rPr>
          <w:rtl/>
        </w:rPr>
        <w:t>לסלבודקה</w:t>
      </w:r>
      <w:proofErr w:type="spellEnd"/>
      <w:r>
        <w:rPr>
          <w:rtl/>
        </w:rPr>
        <w:t xml:space="preserve">. מסתבר שלנוכח רוחב תחומי העניין של רבנו וסובלנותו לרעיונות, חש הסבא שאווירת תורה מגבילה יותר ודמויות מופת שמרניות יועילו לחינוכו יותר מסביבת </w:t>
      </w:r>
      <w:proofErr w:type="spellStart"/>
      <w:r>
        <w:rPr>
          <w:rtl/>
        </w:rPr>
        <w:t>מאלטש</w:t>
      </w:r>
      <w:proofErr w:type="spellEnd"/>
      <w:r>
        <w:rPr>
          <w:rtl/>
        </w:rPr>
        <w:t xml:space="preserve"> וממה ששני ראשי ישיבתה ייצגו</w:t>
      </w:r>
      <w:bookmarkStart w:id="6529" w:name="_fnr4939"/>
      <w:r>
        <w:rPr>
          <w:rStyle w:val="a5"/>
        </w:rPr>
        <w:footnoteReference w:id="4952" w:customMarkFollows="0"/>
      </w:r>
      <w:bookmarkEnd w:id="6529"/>
      <w:r>
        <w:rPr>
          <w:rtl/>
        </w:rPr>
        <w:t>.</w:t>
      </w:r>
    </w:p>
    <w:p w14:paraId="3D703437" w14:textId="77777777" w:rsidR="00AB3647" w:rsidRDefault="00000000" w:rsidP="007923E9">
      <w:pPr>
        <w:spacing w:after="120" w:line="276" w:lineRule="auto"/>
        <w:ind w:firstLine="283"/>
        <w:jc w:val="both"/>
      </w:pPr>
      <w:r>
        <w:rPr>
          <w:rtl/>
        </w:rPr>
        <w:t xml:space="preserve">שתי דוגמאות מעניינות לרוחב אופקיו של אבי הביא תלמידו ר׳ </w:t>
      </w:r>
      <w:proofErr w:type="spellStart"/>
      <w:r>
        <w:rPr>
          <w:rtl/>
        </w:rPr>
        <w:t>יענקל</w:t>
      </w:r>
      <w:proofErr w:type="spellEnd"/>
      <w:r>
        <w:rPr>
          <w:rtl/>
        </w:rPr>
        <w:t xml:space="preserve"> פולק</w:t>
      </w:r>
      <w:bookmarkStart w:id="6530" w:name="_fnr4940"/>
      <w:r>
        <w:rPr>
          <w:rStyle w:val="a5"/>
        </w:rPr>
        <w:footnoteReference w:id="4953" w:customMarkFollows="0"/>
      </w:r>
      <w:bookmarkEnd w:id="6530"/>
      <w:r>
        <w:rPr>
          <w:rtl/>
        </w:rPr>
        <w:t xml:space="preserve">, אחת משנות בגרותו של רבנו ואחת מנעוריו: “פעם, כשאביך עוד היה ראש ישיבת תורה ודעת, סיפרתי לו שהלכתי לשמוע את השיעור השנתי של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[שבחוגי מתיבתא תורה ודעת נמנעו ממנו] ביום השנה לפטירת אביו, ר׳ משה, ותיארתי כמה עצום היה הקהל. ראש הישיבה השיב: ‘זה קידוש השם, שעולם התורה הולך לשמוע נכד של ר׳ חיים </w:t>
      </w:r>
      <w:proofErr w:type="spellStart"/>
      <w:r>
        <w:rPr>
          <w:rtl/>
        </w:rPr>
        <w:t>סולובייצ׳יק</w:t>
      </w:r>
      <w:proofErr w:type="spellEnd"/>
      <w:r>
        <w:rPr>
          <w:rtl/>
        </w:rPr>
        <w:t xml:space="preserve"> מכבד בן של ר׳ חיים’. בפעם אחרת סיפר לי ראש הישיבה שכבחור צעיר התגנב מן הישיבה וחצה לקובנה לשמוע את ר׳ </w:t>
      </w:r>
      <w:proofErr w:type="spellStart"/>
      <w:r>
        <w:rPr>
          <w:rtl/>
        </w:rPr>
        <w:t>שלום־בצלאל</w:t>
      </w:r>
      <w:proofErr w:type="spellEnd"/>
      <w:r>
        <w:rPr>
          <w:rtl/>
        </w:rPr>
        <w:t xml:space="preserve"> </w:t>
      </w:r>
      <w:proofErr w:type="spellStart"/>
      <w:r>
        <w:rPr>
          <w:rtl/>
        </w:rPr>
        <w:t>צדוקוב</w:t>
      </w:r>
      <w:proofErr w:type="spellEnd"/>
      <w:r>
        <w:rPr>
          <w:rtl/>
        </w:rPr>
        <w:t xml:space="preserve">, נואם ציוני [שר׳ לייזר גורדון לא הרשה לו לדבר </w:t>
      </w:r>
      <w:proofErr w:type="spellStart"/>
      <w:r>
        <w:rPr>
          <w:rtl/>
        </w:rPr>
        <w:t>בטלז</w:t>
      </w:r>
      <w:proofErr w:type="spellEnd"/>
      <w:r>
        <w:rPr>
          <w:rtl/>
        </w:rPr>
        <w:t>]. אביך תיאר את הנואם כמי שידע לצייר מעשה תלמודי כך שהסיפור קם לתחייה, ואף זכר את נושא הדרשה שנשא אז – על שמעון אחי עזריה במסכת סוטה</w:t>
      </w:r>
      <w:bookmarkStart w:id="6531" w:name="_fnr4941"/>
      <w:r>
        <w:rPr>
          <w:rStyle w:val="a5"/>
        </w:rPr>
        <w:footnoteReference w:id="4954" w:customMarkFollows="0"/>
      </w:r>
      <w:bookmarkStart w:id="6532" w:name="_fnr4942"/>
      <w:bookmarkEnd w:id="6531"/>
      <w:r>
        <w:rPr>
          <w:rStyle w:val="a5"/>
        </w:rPr>
        <w:footnoteReference w:id="4955" w:customMarkFollows="0"/>
      </w:r>
      <w:bookmarkEnd w:id="6532"/>
      <w:r>
        <w:rPr>
          <w:rtl/>
        </w:rPr>
        <w:t xml:space="preserve">. למעשה, ראש הישיבה נהג כבוד באשתי, מפני </w:t>
      </w:r>
      <w:proofErr w:type="spellStart"/>
      <w:r>
        <w:rPr>
          <w:rtl/>
        </w:rPr>
        <w:t>שצדוקוב</w:t>
      </w:r>
      <w:proofErr w:type="spellEnd"/>
      <w:r>
        <w:rPr>
          <w:rtl/>
        </w:rPr>
        <w:t xml:space="preserve"> היה אבי סבה מצד אמה”.</w:t>
      </w:r>
    </w:p>
    <w:p w14:paraId="148FF89A" w14:textId="77777777" w:rsidR="00AB3647" w:rsidRDefault="00000000" w:rsidP="007923E9">
      <w:pPr>
        <w:spacing w:after="120" w:line="276" w:lineRule="auto"/>
        <w:ind w:firstLine="283"/>
        <w:jc w:val="both"/>
      </w:pPr>
      <w:bookmarkStart w:id="6533" w:name="pr_b_2708"/>
      <w:bookmarkEnd w:id="6533"/>
      <w:r>
        <w:rPr>
          <w:rtl/>
        </w:rPr>
        <w:t xml:space="preserve">למגיד טוב היה תמיד פירוש חד, שנחרת בזיכרון, לפסוק או למאמר חז״ל. למשל, </w:t>
      </w:r>
      <w:proofErr w:type="spellStart"/>
      <w:r>
        <w:rPr>
          <w:rtl/>
        </w:rPr>
        <w:t>ב“זכרונות</w:t>
      </w:r>
      <w:proofErr w:type="spellEnd"/>
      <w:r>
        <w:rPr>
          <w:rtl/>
        </w:rPr>
        <w:t xml:space="preserve"> מתוך עברי”</w:t>
      </w:r>
      <w:bookmarkStart w:id="6534" w:name="_fnr4943"/>
      <w:r>
        <w:rPr>
          <w:rStyle w:val="a5"/>
        </w:rPr>
        <w:footnoteReference w:id="4956" w:customMarkFollows="0"/>
      </w:r>
      <w:bookmarkEnd w:id="6534"/>
      <w:r>
        <w:rPr>
          <w:rtl/>
        </w:rPr>
        <w:t xml:space="preserve"> מספר המחבר ששמע </w:t>
      </w:r>
      <w:proofErr w:type="spellStart"/>
      <w:r>
        <w:rPr>
          <w:rtl/>
        </w:rPr>
        <w:t>בסמורגון</w:t>
      </w:r>
      <w:proofErr w:type="spellEnd"/>
      <w:r>
        <w:rPr>
          <w:rtl/>
        </w:rPr>
        <w:t xml:space="preserve">, בהיותו בן עשר, את “המגיד מקלם” (כנראה ר׳ </w:t>
      </w:r>
      <w:proofErr w:type="spellStart"/>
      <w:r>
        <w:rPr>
          <w:rtl/>
        </w:rPr>
        <w:t>שלום־בצלאל</w:t>
      </w:r>
      <w:proofErr w:type="spellEnd"/>
      <w:r>
        <w:rPr>
          <w:rtl/>
        </w:rPr>
        <w:t xml:space="preserve"> </w:t>
      </w:r>
      <w:proofErr w:type="spellStart"/>
      <w:r>
        <w:rPr>
          <w:rtl/>
        </w:rPr>
        <w:t>צדוקוב</w:t>
      </w:r>
      <w:proofErr w:type="spellEnd"/>
      <w:r>
        <w:rPr>
          <w:rtl/>
        </w:rPr>
        <w:t xml:space="preserve"> הנזכר לעיל) מפרש את הפסוק “ויקרבו ימי דוד למות ויצו את שלמה בנו </w:t>
      </w:r>
      <w:proofErr w:type="spellStart"/>
      <w:r>
        <w:rPr>
          <w:rtl/>
        </w:rPr>
        <w:t>לאמר</w:t>
      </w:r>
      <w:proofErr w:type="spellEnd"/>
      <w:r>
        <w:rPr>
          <w:rtl/>
        </w:rPr>
        <w:t xml:space="preserve"> ‘אנכי הולך בדרך כל הארץ’”</w:t>
      </w:r>
      <w:bookmarkStart w:id="6535" w:name="_fnr4944"/>
      <w:r>
        <w:rPr>
          <w:rStyle w:val="a5"/>
        </w:rPr>
        <w:footnoteReference w:id="4957" w:customMarkFollows="0"/>
      </w:r>
      <w:bookmarkEnd w:id="6535"/>
      <w:r>
        <w:rPr>
          <w:rtl/>
        </w:rPr>
        <w:t xml:space="preserve"> כך: דוד ציווה את בנו שלמה </w:t>
      </w:r>
      <w:r>
        <w:rPr>
          <w:b/>
          <w:bCs/>
          <w:rtl/>
        </w:rPr>
        <w:t>לומר</w:t>
      </w:r>
      <w:r>
        <w:rPr>
          <w:rtl/>
        </w:rPr>
        <w:t xml:space="preserve"> </w:t>
      </w:r>
      <w:r>
        <w:rPr>
          <w:rtl/>
        </w:rPr>
        <w:lastRenderedPageBreak/>
        <w:t xml:space="preserve">(על עצמו, תמיד) “אנכי הולך בדרך כל הארץ – אמות פעם – </w:t>
      </w:r>
      <w:proofErr w:type="spellStart"/>
      <w:r>
        <w:rPr>
          <w:rtl/>
        </w:rPr>
        <w:t>מ‘דארף</w:t>
      </w:r>
      <w:proofErr w:type="spellEnd"/>
      <w:r>
        <w:rPr>
          <w:rtl/>
        </w:rPr>
        <w:t xml:space="preserve"> </w:t>
      </w:r>
      <w:proofErr w:type="spellStart"/>
      <w:r>
        <w:rPr>
          <w:rtl/>
        </w:rPr>
        <w:t>שטארבען</w:t>
      </w:r>
      <w:proofErr w:type="spellEnd"/>
      <w:r>
        <w:rPr>
          <w:rtl/>
        </w:rPr>
        <w:t xml:space="preserve"> [צריך למות]”, ולנהוג בחייו מתוך הכרת מציאות זו</w:t>
      </w:r>
      <w:bookmarkStart w:id="6536" w:name="_fnr4945"/>
      <w:r>
        <w:rPr>
          <w:rStyle w:val="a5"/>
        </w:rPr>
        <w:footnoteReference w:id="4958" w:customMarkFollows="0"/>
      </w:r>
      <w:bookmarkEnd w:id="6536"/>
      <w:r>
        <w:rPr>
          <w:rtl/>
        </w:rPr>
        <w:t>.</w:t>
      </w:r>
    </w:p>
    <w:p w14:paraId="7240DE85" w14:textId="77777777" w:rsidR="00AB3647" w:rsidRDefault="00000000" w:rsidP="007923E9">
      <w:pPr>
        <w:spacing w:after="120" w:line="276" w:lineRule="auto"/>
        <w:ind w:firstLine="283"/>
        <w:jc w:val="both"/>
      </w:pPr>
      <w:r>
        <w:rPr>
          <w:rtl/>
        </w:rPr>
        <w:t xml:space="preserve">אבי אהב גם לצטט את פירושו של המגיד </w:t>
      </w:r>
      <w:proofErr w:type="spellStart"/>
      <w:r>
        <w:rPr>
          <w:rtl/>
        </w:rPr>
        <w:t>ממוז׳יר</w:t>
      </w:r>
      <w:proofErr w:type="spellEnd"/>
      <w:r>
        <w:rPr>
          <w:rtl/>
        </w:rPr>
        <w:t xml:space="preserve">, ר׳ שמואל </w:t>
      </w:r>
      <w:proofErr w:type="spellStart"/>
      <w:r>
        <w:rPr>
          <w:rtl/>
        </w:rPr>
        <w:t>רבינוביץ</w:t>
      </w:r>
      <w:bookmarkStart w:id="6537" w:name="_fnr4946"/>
      <w:proofErr w:type="spellEnd"/>
      <w:r>
        <w:rPr>
          <w:rStyle w:val="a5"/>
        </w:rPr>
        <w:footnoteReference w:id="4959" w:customMarkFollows="0"/>
      </w:r>
      <w:bookmarkEnd w:id="6537"/>
      <w:r>
        <w:rPr>
          <w:rtl/>
        </w:rPr>
        <w:t>, לגמרא במסכת ברכות</w:t>
      </w:r>
      <w:bookmarkStart w:id="6538" w:name="_fnr4947"/>
      <w:r>
        <w:rPr>
          <w:rStyle w:val="a5"/>
        </w:rPr>
        <w:footnoteReference w:id="4960" w:customMarkFollows="0"/>
      </w:r>
      <w:bookmarkEnd w:id="6538"/>
      <w:r>
        <w:rPr>
          <w:rtl/>
        </w:rPr>
        <w:t>, “</w:t>
      </w:r>
      <w:proofErr w:type="spellStart"/>
      <w:r>
        <w:rPr>
          <w:rtl/>
        </w:rPr>
        <w:t>כנור</w:t>
      </w:r>
      <w:proofErr w:type="spellEnd"/>
      <w:r>
        <w:rPr>
          <w:rtl/>
        </w:rPr>
        <w:t xml:space="preserve"> היה תלוי למעלה </w:t>
      </w:r>
      <w:proofErr w:type="spellStart"/>
      <w:r>
        <w:rPr>
          <w:rtl/>
        </w:rPr>
        <w:t>ממטתו</w:t>
      </w:r>
      <w:proofErr w:type="spellEnd"/>
      <w:r>
        <w:rPr>
          <w:rtl/>
        </w:rPr>
        <w:t xml:space="preserve"> של דוד וכו׳ ומנגן מאליו”</w:t>
      </w:r>
      <w:bookmarkStart w:id="6539" w:name="_fnr4948"/>
      <w:r>
        <w:rPr>
          <w:rStyle w:val="a5"/>
        </w:rPr>
        <w:footnoteReference w:id="4961" w:customMarkFollows="0"/>
      </w:r>
      <w:bookmarkEnd w:id="6539"/>
      <w:r>
        <w:rPr>
          <w:rtl/>
        </w:rPr>
        <w:t xml:space="preserve">: ישראל חשים איזו דרך חיונית לקיומם, ואינם בודקים אם דרך הפעולה (או ההימנעות מפעולה) מבוססת על ההלכה אם לאו. אחת הדוגמאות שנתן הייתה השאלה הרטורית: “מי נתן לבחורי ישיבת </w:t>
      </w:r>
      <w:proofErr w:type="spellStart"/>
      <w:r>
        <w:rPr>
          <w:rtl/>
        </w:rPr>
        <w:t>סלבודקה</w:t>
      </w:r>
      <w:proofErr w:type="spellEnd"/>
      <w:r>
        <w:rPr>
          <w:rtl/>
        </w:rPr>
        <w:t xml:space="preserve"> היתר להינשא בגיל מאוחר כל כך?” ובתשובה הביא, בשינוי לשון, את דברי הגמרא (שתרגם ליידיש): “און </w:t>
      </w:r>
      <w:proofErr w:type="spellStart"/>
      <w:r>
        <w:rPr>
          <w:rtl/>
        </w:rPr>
        <w:t>דער</w:t>
      </w:r>
      <w:proofErr w:type="spellEnd"/>
      <w:r>
        <w:rPr>
          <w:rtl/>
        </w:rPr>
        <w:t xml:space="preserve"> </w:t>
      </w:r>
      <w:proofErr w:type="spellStart"/>
      <w:r>
        <w:rPr>
          <w:rtl/>
        </w:rPr>
        <w:t>פידעלע</w:t>
      </w:r>
      <w:proofErr w:type="spellEnd"/>
      <w:r>
        <w:rPr>
          <w:rtl/>
        </w:rPr>
        <w:t xml:space="preserve"> שפילט פון </w:t>
      </w:r>
      <w:proofErr w:type="spellStart"/>
      <w:r>
        <w:rPr>
          <w:rtl/>
        </w:rPr>
        <w:t>זיך</w:t>
      </w:r>
      <w:proofErr w:type="spellEnd"/>
      <w:r>
        <w:rPr>
          <w:rtl/>
        </w:rPr>
        <w:t xml:space="preserve"> </w:t>
      </w:r>
      <w:proofErr w:type="spellStart"/>
      <w:r>
        <w:rPr>
          <w:rtl/>
        </w:rPr>
        <w:t>אליין</w:t>
      </w:r>
      <w:proofErr w:type="spellEnd"/>
      <w:r>
        <w:rPr>
          <w:rtl/>
        </w:rPr>
        <w:t xml:space="preserve"> [והכינור הקטן מנגן מאליו]”. הוא ביקש להוכיח שכאשר עמדה מסוימת חיונית לישראל – כגון הגדלת מספר היהודים הנבונים שלומדים תורה שנים נוספות לפני שהם יוצאים לעיסוקיהם – פרטי ההלכה נדחים</w:t>
      </w:r>
      <w:bookmarkStart w:id="6540" w:name="_fnr4949"/>
      <w:r>
        <w:rPr>
          <w:rStyle w:val="a5"/>
        </w:rPr>
        <w:footnoteReference w:id="4962" w:customMarkFollows="0"/>
      </w:r>
      <w:bookmarkEnd w:id="6540"/>
      <w:r>
        <w:rPr>
          <w:rtl/>
        </w:rPr>
        <w:t xml:space="preserve">. על כל דוגמה שהביא חזר המגיד על הפזמון: “והכינור הקטן מנגן מאליו”. כשחזר אבי על אמרת המגיד, שר אותה באותו ניגון ובאותה תהודה ששמע מפי המגיד </w:t>
      </w:r>
      <w:proofErr w:type="spellStart"/>
      <w:r>
        <w:rPr>
          <w:rtl/>
        </w:rPr>
        <w:t>ממוז׳יר</w:t>
      </w:r>
      <w:proofErr w:type="spellEnd"/>
      <w:r>
        <w:rPr>
          <w:rtl/>
        </w:rPr>
        <w:t xml:space="preserve"> במינסק</w:t>
      </w:r>
      <w:bookmarkStart w:id="6541" w:name="_fnr4950"/>
      <w:r>
        <w:rPr>
          <w:rStyle w:val="a5"/>
        </w:rPr>
        <w:footnoteReference w:id="4963" w:customMarkFollows="0"/>
      </w:r>
      <w:bookmarkEnd w:id="6541"/>
      <w:r>
        <w:rPr>
          <w:rtl/>
        </w:rPr>
        <w:t>.</w:t>
      </w:r>
    </w:p>
    <w:p w14:paraId="3DA58575" w14:textId="74C1AC57" w:rsidR="00AB3647" w:rsidRDefault="00000000" w:rsidP="007923E9">
      <w:pPr>
        <w:spacing w:after="120" w:line="276" w:lineRule="auto"/>
        <w:ind w:firstLine="283"/>
        <w:jc w:val="both"/>
      </w:pPr>
      <w:bookmarkStart w:id="6542" w:name="pr_close_b_4300"/>
      <w:bookmarkEnd w:id="6542"/>
      <w:r>
        <w:rPr>
          <w:rtl/>
        </w:rPr>
        <w:t>סובלנותו של אבי לכל סוגי האנשים התבטאה בכך שהרבה לצטט את הגמרא במסכת ברכות</w:t>
      </w:r>
      <w:bookmarkStart w:id="6543" w:name="_fnr4951"/>
      <w:r>
        <w:rPr>
          <w:rStyle w:val="a5"/>
        </w:rPr>
        <w:footnoteReference w:id="4964" w:customMarkFollows="0"/>
      </w:r>
      <w:bookmarkEnd w:id="6543"/>
      <w:r>
        <w:rPr>
          <w:rtl/>
        </w:rPr>
        <w:t>: “</w:t>
      </w:r>
      <w:proofErr w:type="spellStart"/>
      <w:r>
        <w:rPr>
          <w:rtl/>
        </w:rPr>
        <w:t>מרגלא</w:t>
      </w:r>
      <w:proofErr w:type="spellEnd"/>
      <w:r>
        <w:rPr>
          <w:rtl/>
        </w:rPr>
        <w:t xml:space="preserve"> </w:t>
      </w:r>
      <w:proofErr w:type="spellStart"/>
      <w:r>
        <w:rPr>
          <w:rtl/>
        </w:rPr>
        <w:t>בפומייהו</w:t>
      </w:r>
      <w:proofErr w:type="spellEnd"/>
      <w:r>
        <w:rPr>
          <w:rtl/>
        </w:rPr>
        <w:t xml:space="preserve"> דרבנן </w:t>
      </w:r>
      <w:proofErr w:type="spellStart"/>
      <w:r>
        <w:rPr>
          <w:rtl/>
        </w:rPr>
        <w:t>דיבנה</w:t>
      </w:r>
      <w:proofErr w:type="spellEnd"/>
      <w:r>
        <w:rPr>
          <w:rtl/>
        </w:rPr>
        <w:t xml:space="preserve">: אני בריה </w:t>
      </w:r>
      <w:r>
        <w:rPr>
          <w:b/>
          <w:bCs/>
          <w:rtl/>
        </w:rPr>
        <w:t>וחברי בריה</w:t>
      </w:r>
      <w:r>
        <w:rPr>
          <w:rtl/>
        </w:rPr>
        <w:t xml:space="preserve"> אני מלאכתי בעיר והוא מלאכתו בשדה אני משכים למלאכתי והוא משכים למלאכתו כשם שהוא אינו מתגדר במלאכתי כך אני אינני מתגדר במלאכתו”. רבנו קיים את מאמר חז״ל “אל תהי בז לכל אדם”</w:t>
      </w:r>
      <w:bookmarkStart w:id="6544" w:name="_fnr4952"/>
      <w:r>
        <w:rPr>
          <w:rStyle w:val="a5"/>
        </w:rPr>
        <w:footnoteReference w:id="4965" w:customMarkFollows="0"/>
      </w:r>
      <w:bookmarkStart w:id="6545" w:name="_fnr4953"/>
      <w:bookmarkEnd w:id="6544"/>
      <w:r>
        <w:rPr>
          <w:rStyle w:val="a5"/>
        </w:rPr>
        <w:footnoteReference w:id="4966" w:customMarkFollows="0"/>
      </w:r>
      <w:bookmarkEnd w:id="6545"/>
      <w:r>
        <w:rPr>
          <w:rtl/>
        </w:rPr>
        <w:t xml:space="preserve">. ראוי לציין – והיבט זה קשור למידה שתוארה לעיל – שהוא מדד את האחרים לפי “תבונתם”. כשחזר מביקורו הראשון בישראל </w:t>
      </w:r>
      <w:proofErr w:type="spellStart"/>
      <w:r>
        <w:rPr>
          <w:rtl/>
        </w:rPr>
        <w:t>בתשט״ז</w:t>
      </w:r>
      <w:proofErr w:type="spellEnd"/>
      <w:r>
        <w:rPr>
          <w:rtl/>
        </w:rPr>
        <w:t xml:space="preserve"> ונשאל מה התרשמותו מר׳ יצחק־זאב </w:t>
      </w:r>
      <w:proofErr w:type="spellStart"/>
      <w:r>
        <w:rPr>
          <w:rtl/>
        </w:rPr>
        <w:t>סולובייצ׳יק</w:t>
      </w:r>
      <w:proofErr w:type="spellEnd"/>
      <w:r>
        <w:rPr>
          <w:rtl/>
        </w:rPr>
        <w:t xml:space="preserve">, שפגש אז בפעם הראשונה והיחידה, הייתה תשובתו בלתי צפויה לגמרי: “הוא אדם </w:t>
      </w:r>
      <w:r>
        <w:rPr>
          <w:b/>
          <w:bCs/>
          <w:rtl/>
        </w:rPr>
        <w:t>נבון</w:t>
      </w:r>
      <w:r>
        <w:rPr>
          <w:rtl/>
        </w:rPr>
        <w:t>”</w:t>
      </w:r>
      <w:bookmarkStart w:id="6546" w:name="_fnr4954"/>
      <w:r>
        <w:rPr>
          <w:rStyle w:val="a5"/>
        </w:rPr>
        <w:footnoteReference w:id="4967" w:customMarkFollows="0"/>
      </w:r>
      <w:bookmarkEnd w:id="6546"/>
      <w:r>
        <w:rPr>
          <w:rtl/>
        </w:rPr>
        <w:t xml:space="preserve">. השווה גם פרק 1, סוף </w:t>
      </w:r>
      <w:r>
        <w:rPr>
          <w:rtl/>
        </w:rPr>
        <w:fldChar w:fldCharType="begin" w:dirty="true"/>
      </w:r>
      <w:r>
        <w:rPr>
          <w:rtl/>
        </w:rPr>
        <w:instrText xml:space="preserve"> REF b1_excF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ו</w:t>
      </w:r>
      <w:r>
        <w:rPr>
          <w:rtl/>
        </w:rPr>
        <w:fldChar w:fldCharType="end"/>
      </w:r>
      <w:r>
        <w:rPr>
          <w:rtl/>
        </w:rPr>
        <w:t>.</w:t>
      </w:r>
    </w:p>
    <w:p w14:paraId="11FDBE23" w14:textId="77777777" w:rsidR="00AB3647" w:rsidRDefault="00000000" w:rsidP="007923E9">
      <w:pPr>
        <w:spacing w:after="120" w:line="276" w:lineRule="auto"/>
        <w:ind w:firstLine="283"/>
        <w:jc w:val="both"/>
      </w:pPr>
      <w:r>
        <w:rPr>
          <w:rtl/>
        </w:rPr>
        <w:lastRenderedPageBreak/>
        <w:t xml:space="preserve">בקשר להשערה שהסבא לא נתן אמון מלא בכישורי החינוך של הרב </w:t>
      </w:r>
      <w:proofErr w:type="spellStart"/>
      <w:r>
        <w:rPr>
          <w:rtl/>
        </w:rPr>
        <w:t>דינובסקי</w:t>
      </w:r>
      <w:proofErr w:type="spellEnd"/>
      <w:r>
        <w:rPr>
          <w:rtl/>
        </w:rPr>
        <w:t>, ראוי לציין שהישיבה הראשונה שבה למד ר׳ שאול ליברמן</w:t>
      </w:r>
      <w:bookmarkStart w:id="6547" w:name="_fnr4955"/>
      <w:r>
        <w:rPr>
          <w:rStyle w:val="a5"/>
        </w:rPr>
        <w:footnoteReference w:id="4968" w:customMarkFollows="0"/>
      </w:r>
      <w:bookmarkEnd w:id="6547"/>
      <w:r>
        <w:rPr>
          <w:rtl/>
        </w:rPr>
        <w:t xml:space="preserve">, מגיל </w:t>
      </w:r>
      <w:proofErr w:type="spellStart"/>
      <w:r>
        <w:rPr>
          <w:rtl/>
        </w:rPr>
        <w:t>שתים־עשרה</w:t>
      </w:r>
      <w:proofErr w:type="spellEnd"/>
      <w:r>
        <w:rPr>
          <w:rtl/>
        </w:rPr>
        <w:t xml:space="preserve"> עד </w:t>
      </w:r>
      <w:proofErr w:type="spellStart"/>
      <w:r>
        <w:rPr>
          <w:rtl/>
        </w:rPr>
        <w:t>ארבע־עשרה</w:t>
      </w:r>
      <w:proofErr w:type="spellEnd"/>
      <w:r>
        <w:rPr>
          <w:rtl/>
        </w:rPr>
        <w:t xml:space="preserve">, הייתה </w:t>
      </w:r>
      <w:proofErr w:type="spellStart"/>
      <w:r>
        <w:rPr>
          <w:rtl/>
        </w:rPr>
        <w:t>מאלטש</w:t>
      </w:r>
      <w:proofErr w:type="spellEnd"/>
      <w:r>
        <w:rPr>
          <w:rtl/>
        </w:rPr>
        <w:t xml:space="preserve">. לפי ר׳ שרגא אברמסון (שמסר רבים מן הפרטים הביוגרפיים שלהלן), ראה הרב ליברמן בר׳ </w:t>
      </w:r>
      <w:proofErr w:type="spellStart"/>
      <w:r>
        <w:rPr>
          <w:rtl/>
        </w:rPr>
        <w:t>דוד־טעביל</w:t>
      </w:r>
      <w:proofErr w:type="spellEnd"/>
      <w:r>
        <w:rPr>
          <w:rtl/>
        </w:rPr>
        <w:t xml:space="preserve"> את רבו המובהק כל ימיו.</w:t>
      </w:r>
    </w:p>
    <w:p w14:paraId="4E73F604" w14:textId="77777777" w:rsidR="00AB3647" w:rsidRDefault="00000000" w:rsidP="007923E9">
      <w:pPr>
        <w:spacing w:after="120" w:line="276" w:lineRule="auto"/>
        <w:ind w:firstLine="283"/>
        <w:jc w:val="both"/>
      </w:pPr>
      <w:r>
        <w:rPr>
          <w:rtl/>
        </w:rPr>
        <w:t xml:space="preserve">אחרי </w:t>
      </w:r>
      <w:proofErr w:type="spellStart"/>
      <w:r>
        <w:rPr>
          <w:rtl/>
        </w:rPr>
        <w:t>מאלטש</w:t>
      </w:r>
      <w:proofErr w:type="spellEnd"/>
      <w:r>
        <w:rPr>
          <w:rtl/>
        </w:rPr>
        <w:t xml:space="preserve"> למד הרב ליברמן כשנה </w:t>
      </w:r>
      <w:proofErr w:type="spellStart"/>
      <w:r>
        <w:rPr>
          <w:rtl/>
        </w:rPr>
        <w:t>בסלבודקה</w:t>
      </w:r>
      <w:proofErr w:type="spellEnd"/>
      <w:r>
        <w:rPr>
          <w:rtl/>
        </w:rPr>
        <w:t>, והסבא הוקסם מגאונותו</w:t>
      </w:r>
      <w:bookmarkStart w:id="6548" w:name="_fnr4956"/>
      <w:r>
        <w:rPr>
          <w:rStyle w:val="a5"/>
        </w:rPr>
        <w:footnoteReference w:id="4969" w:customMarkFollows="0"/>
      </w:r>
      <w:bookmarkEnd w:id="6548"/>
      <w:r>
        <w:rPr>
          <w:rtl/>
        </w:rPr>
        <w:t>. סמוך לפרוץ מלחמת העולם יצא אל קרוב בקייב, כדי להירשם לאוניברסיטה</w:t>
      </w:r>
      <w:bookmarkStart w:id="6549" w:name="_fnr4957"/>
      <w:r>
        <w:rPr>
          <w:rStyle w:val="a5"/>
        </w:rPr>
        <w:footnoteReference w:id="4970" w:customMarkFollows="0"/>
      </w:r>
      <w:bookmarkEnd w:id="6549"/>
      <w:r>
        <w:rPr>
          <w:rtl/>
        </w:rPr>
        <w:t xml:space="preserve">. כעבור זמן קצר הפסיק את לימודיו וחזר לישיבת </w:t>
      </w:r>
      <w:proofErr w:type="spellStart"/>
      <w:r>
        <w:rPr>
          <w:rtl/>
        </w:rPr>
        <w:t>סלבודקה</w:t>
      </w:r>
      <w:proofErr w:type="spellEnd"/>
      <w:r>
        <w:rPr>
          <w:rtl/>
        </w:rPr>
        <w:t>, שהייתה אז במינסק, ושם אמר הסבא על הצעיר: “הוא לא יהיה גאון, מפני שכבר הוא גאון!”</w:t>
      </w:r>
      <w:bookmarkStart w:id="6550" w:name="_fnr4958"/>
      <w:r>
        <w:rPr>
          <w:rStyle w:val="a5"/>
        </w:rPr>
        <w:footnoteReference w:id="4971" w:customMarkFollows="0"/>
      </w:r>
      <w:bookmarkEnd w:id="6550"/>
      <w:r>
        <w:rPr>
          <w:rtl/>
        </w:rPr>
        <w:t xml:space="preserve"> אחר כך נפרד הרב ליברמן מן הסבא, ואמר לו</w:t>
      </w:r>
      <w:bookmarkStart w:id="6551" w:name="_fnr4959"/>
      <w:r>
        <w:rPr>
          <w:rStyle w:val="a5"/>
        </w:rPr>
        <w:footnoteReference w:id="4972" w:customMarkFollows="0"/>
      </w:r>
      <w:bookmarkEnd w:id="6551"/>
      <w:r>
        <w:rPr>
          <w:rtl/>
        </w:rPr>
        <w:t xml:space="preserve"> שהוא יוצא </w:t>
      </w:r>
      <w:proofErr w:type="spellStart"/>
      <w:r>
        <w:rPr>
          <w:rtl/>
        </w:rPr>
        <w:t>להומל</w:t>
      </w:r>
      <w:proofErr w:type="spellEnd"/>
      <w:r>
        <w:rPr>
          <w:rtl/>
        </w:rPr>
        <w:t xml:space="preserve"> [שאליה נמלט ר׳ יוזל </w:t>
      </w:r>
      <w:proofErr w:type="spellStart"/>
      <w:r>
        <w:rPr>
          <w:rtl/>
        </w:rPr>
        <w:t>הורוויץ</w:t>
      </w:r>
      <w:proofErr w:type="spellEnd"/>
      <w:r>
        <w:rPr>
          <w:rtl/>
        </w:rPr>
        <w:t xml:space="preserve"> עם ישיבתו </w:t>
      </w:r>
      <w:proofErr w:type="spellStart"/>
      <w:r>
        <w:rPr>
          <w:rtl/>
        </w:rPr>
        <w:t>מנובהרדוק</w:t>
      </w:r>
      <w:proofErr w:type="spellEnd"/>
      <w:r>
        <w:rPr>
          <w:rtl/>
        </w:rPr>
        <w:t xml:space="preserve">] “לראות מהי [דרך] </w:t>
      </w:r>
      <w:proofErr w:type="spellStart"/>
      <w:r>
        <w:rPr>
          <w:rtl/>
        </w:rPr>
        <w:t>נובהרדוק</w:t>
      </w:r>
      <w:proofErr w:type="spellEnd"/>
      <w:r>
        <w:rPr>
          <w:rtl/>
        </w:rPr>
        <w:t xml:space="preserve">”. משם חזר לאוניברסיטה ללמוד רפואה. לימים נשא את בתו של ר׳ לייזר </w:t>
      </w:r>
      <w:proofErr w:type="spellStart"/>
      <w:r>
        <w:rPr>
          <w:rtl/>
        </w:rPr>
        <w:t>רבינוביץ</w:t>
      </w:r>
      <w:proofErr w:type="spellEnd"/>
      <w:r>
        <w:rPr>
          <w:rtl/>
        </w:rPr>
        <w:t>, רבה של מינסק</w:t>
      </w:r>
      <w:bookmarkStart w:id="6552" w:name="_fnr4960"/>
      <w:r>
        <w:rPr>
          <w:rStyle w:val="a5"/>
        </w:rPr>
        <w:footnoteReference w:id="4973" w:customMarkFollows="0"/>
      </w:r>
      <w:bookmarkEnd w:id="6552"/>
      <w:r>
        <w:rPr>
          <w:rtl/>
        </w:rPr>
        <w:t>.</w:t>
      </w:r>
    </w:p>
    <w:p w14:paraId="51B1E539" w14:textId="77777777" w:rsidR="00AB3647" w:rsidRDefault="00000000" w:rsidP="007923E9">
      <w:pPr>
        <w:spacing w:after="120" w:line="276" w:lineRule="auto"/>
        <w:ind w:firstLine="283"/>
        <w:jc w:val="both"/>
      </w:pPr>
      <w:r>
        <w:rPr>
          <w:rtl/>
        </w:rPr>
        <w:t xml:space="preserve">בשנות השלושים לחייו למד ר׳ שאול את השיטה המדעית בלימוד התלמוד מפרופסור </w:t>
      </w:r>
      <w:proofErr w:type="spellStart"/>
      <w:r>
        <w:rPr>
          <w:rtl/>
        </w:rPr>
        <w:t>יעקב־נחום</w:t>
      </w:r>
      <w:proofErr w:type="spellEnd"/>
      <w:r>
        <w:rPr>
          <w:rtl/>
        </w:rPr>
        <w:t xml:space="preserve"> אפשטיין באוניברסיטה העברית בירושלים, ובשנותיו המאוחרות שימש ראש המחלקה לתלמוד בבית המדרש לרבנים (הקונסרבטיבי) בניו יורק</w:t>
      </w:r>
      <w:bookmarkStart w:id="6553" w:name="_fnr4961"/>
      <w:r>
        <w:rPr>
          <w:rStyle w:val="a5"/>
        </w:rPr>
        <w:footnoteReference w:id="4974" w:customMarkFollows="0"/>
      </w:r>
      <w:bookmarkEnd w:id="6553"/>
      <w:r>
        <w:rPr>
          <w:rtl/>
        </w:rPr>
        <w:t>.</w:t>
      </w:r>
    </w:p>
    <w:p w14:paraId="30B39985" w14:textId="77777777" w:rsidR="00AB3647" w:rsidRDefault="00000000" w:rsidP="007923E9">
      <w:pPr>
        <w:pStyle w:val="4"/>
        <w:spacing w:line="276" w:lineRule="auto"/>
      </w:pPr>
      <w:r>
        <w:t>· הפסקה השנייה ·</w:t>
      </w:r>
    </w:p>
    <w:p w14:paraId="751546AD" w14:textId="77777777" w:rsidR="00AB3647" w:rsidRDefault="00000000" w:rsidP="007923E9">
      <w:pPr>
        <w:pStyle w:val="5"/>
        <w:spacing w:line="276" w:lineRule="auto"/>
      </w:pPr>
      <w:r>
        <w:t>הסבא רואה באמירת דבר שאינו אמת כלי מותר – רבנו מערים על תלמיד עקשן – אבי מטעה את בנו כדי שלא יבזבז זמן – הסבא לוקח את דרכונו של תלמיד</w:t>
      </w:r>
    </w:p>
    <w:p w14:paraId="4C454000" w14:textId="48BED917" w:rsidR="00AB3647" w:rsidRDefault="00000000" w:rsidP="007923E9">
      <w:pPr>
        <w:spacing w:after="120" w:line="276" w:lineRule="auto"/>
        <w:ind w:firstLine="283"/>
        <w:jc w:val="both"/>
      </w:pPr>
      <w:r>
        <w:rPr>
          <w:rtl/>
        </w:rPr>
        <w:t xml:space="preserve">ראוי לציין שהסבא התיר לומר דברי כזב לטובת חניכיו – כפי שעשה כדי להחזיר את אבי </w:t>
      </w:r>
      <w:proofErr w:type="spellStart"/>
      <w:r>
        <w:rPr>
          <w:rtl/>
        </w:rPr>
        <w:t>לסלבודקה</w:t>
      </w:r>
      <w:proofErr w:type="spellEnd"/>
      <w:r>
        <w:rPr>
          <w:rtl/>
        </w:rPr>
        <w:t xml:space="preserve">. ר׳ ישראל </w:t>
      </w:r>
      <w:proofErr w:type="spellStart"/>
      <w:r>
        <w:rPr>
          <w:rtl/>
        </w:rPr>
        <w:t>שורין</w:t>
      </w:r>
      <w:proofErr w:type="spellEnd"/>
      <w:r>
        <w:rPr>
          <w:rtl/>
        </w:rPr>
        <w:t xml:space="preserve"> סיפר</w:t>
      </w:r>
      <w:bookmarkStart w:id="6554" w:name="_fnr4962"/>
      <w:r>
        <w:rPr>
          <w:rStyle w:val="a5"/>
        </w:rPr>
        <w:footnoteReference w:id="4975" w:customMarkFollows="0"/>
      </w:r>
      <w:bookmarkEnd w:id="6554"/>
      <w:r>
        <w:rPr>
          <w:rtl/>
        </w:rPr>
        <w:t xml:space="preserve"> שר׳ יצחק </w:t>
      </w:r>
      <w:proofErr w:type="spellStart"/>
      <w:r>
        <w:rPr>
          <w:rtl/>
        </w:rPr>
        <w:t>הוטנר</w:t>
      </w:r>
      <w:proofErr w:type="spellEnd"/>
      <w:r>
        <w:rPr>
          <w:rtl/>
        </w:rPr>
        <w:t xml:space="preserve"> מסר </w:t>
      </w:r>
      <w:proofErr w:type="spellStart"/>
      <w:r>
        <w:rPr>
          <w:rtl/>
        </w:rPr>
        <w:t>לר</w:t>
      </w:r>
      <w:proofErr w:type="spellEnd"/>
      <w:r>
        <w:rPr>
          <w:rtl/>
        </w:rPr>
        <w:t xml:space="preserve">׳ אהרן </w:t>
      </w:r>
      <w:proofErr w:type="spellStart"/>
      <w:r>
        <w:rPr>
          <w:rtl/>
        </w:rPr>
        <w:t>סולובייצ׳יק</w:t>
      </w:r>
      <w:proofErr w:type="spellEnd"/>
      <w:r>
        <w:rPr>
          <w:rtl/>
        </w:rPr>
        <w:t xml:space="preserve"> שלמד מרבו, הסבא, שאמירת דבר שאינו אמת היא כלי חינוכי מותר. השווה גם את המעשה המסופר </w:t>
      </w:r>
      <w:r>
        <w:rPr>
          <w:rtl/>
        </w:rPr>
        <w:lastRenderedPageBreak/>
        <w:t xml:space="preserve">בזיכרונותיו של </w:t>
      </w:r>
      <w:proofErr w:type="spellStart"/>
      <w:r>
        <w:rPr>
          <w:rtl/>
        </w:rPr>
        <w:t>יהושע־לייב</w:t>
      </w:r>
      <w:proofErr w:type="spellEnd"/>
      <w:r>
        <w:rPr>
          <w:rtl/>
        </w:rPr>
        <w:t xml:space="preserve"> </w:t>
      </w:r>
      <w:proofErr w:type="spellStart"/>
      <w:r>
        <w:rPr>
          <w:rtl/>
        </w:rPr>
        <w:t>ראדוס</w:t>
      </w:r>
      <w:bookmarkStart w:id="6555" w:name="_fnr4963"/>
      <w:proofErr w:type="spellEnd"/>
      <w:r>
        <w:rPr>
          <w:rStyle w:val="a5"/>
        </w:rPr>
        <w:footnoteReference w:id="4976" w:customMarkFollows="0"/>
      </w:r>
      <w:bookmarkEnd w:id="6555"/>
      <w:r>
        <w:rPr>
          <w:rtl/>
        </w:rPr>
        <w:t xml:space="preserve">, ומובא בפרק 3, בפסקאות השניות של </w:t>
      </w:r>
      <w:r>
        <w:rPr>
          <w:rtl/>
        </w:rPr>
        <w:fldChar w:fldCharType="begin" w:dirty="true"/>
      </w:r>
      <w:r>
        <w:rPr>
          <w:rtl/>
        </w:rPr>
        <w:instrText xml:space="preserve"> REF b3_excII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לה</w:t>
      </w:r>
      <w:r>
        <w:rPr>
          <w:rtl/>
        </w:rPr>
        <w:fldChar w:fldCharType="end"/>
      </w:r>
      <w:r>
        <w:rPr>
          <w:rtl/>
        </w:rPr>
        <w:t xml:space="preserve"> ושל הערה </w:t>
      </w:r>
      <w:r>
        <w:rPr>
          <w:rtl/>
        </w:rPr>
        <w:fldChar w:fldCharType="begin" w:dirty="true"/>
      </w:r>
      <w:r>
        <w:rPr>
          <w:rtl/>
        </w:rPr>
        <w:instrText xml:space="preserve"> REF b3_note47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47</w:t>
      </w:r>
      <w:r>
        <w:rPr>
          <w:rtl/>
        </w:rPr>
        <w:fldChar w:fldCharType="end"/>
      </w:r>
      <w:r>
        <w:rPr>
          <w:rtl/>
        </w:rPr>
        <w:t>.</w:t>
      </w:r>
    </w:p>
    <w:p w14:paraId="17B5223C" w14:textId="77777777" w:rsidR="00AB3647" w:rsidRDefault="00000000" w:rsidP="007923E9">
      <w:pPr>
        <w:spacing w:after="120" w:line="276" w:lineRule="auto"/>
        <w:ind w:firstLine="283"/>
        <w:jc w:val="both"/>
      </w:pPr>
      <w:r>
        <w:rPr>
          <w:rtl/>
        </w:rPr>
        <w:t xml:space="preserve">באשר לרבנו, ידועים לי רק שני מקרים שבהם נקט תחבולות שאפשר למנותן בסוג זה. מקרה אחד נמסר בריאיון עם ר׳ שלמה </w:t>
      </w:r>
      <w:proofErr w:type="spellStart"/>
      <w:r>
        <w:rPr>
          <w:rtl/>
        </w:rPr>
        <w:t>גיסינגר</w:t>
      </w:r>
      <w:bookmarkStart w:id="6556" w:name="_fnr4964"/>
      <w:proofErr w:type="spellEnd"/>
      <w:r>
        <w:rPr>
          <w:rStyle w:val="a5"/>
        </w:rPr>
        <w:footnoteReference w:id="4977" w:customMarkFollows="0"/>
      </w:r>
      <w:bookmarkEnd w:id="6556"/>
      <w:r>
        <w:rPr>
          <w:rtl/>
        </w:rPr>
        <w:t>. כשפרש אבי ממתיבתא תורה ודעת</w:t>
      </w:r>
      <w:bookmarkStart w:id="6557" w:name="_fnr4965"/>
      <w:r>
        <w:rPr>
          <w:rStyle w:val="a5"/>
        </w:rPr>
        <w:footnoteReference w:id="4978" w:customMarkFollows="0"/>
      </w:r>
      <w:bookmarkEnd w:id="6557"/>
      <w:r>
        <w:rPr>
          <w:rtl/>
        </w:rPr>
        <w:t xml:space="preserve">, סידר ר׳ שלמה את מעברו מאותה ישיבה לבית מדרש גבוה </w:t>
      </w:r>
      <w:proofErr w:type="spellStart"/>
      <w:r>
        <w:rPr>
          <w:rtl/>
        </w:rPr>
        <w:t>בלייקווד</w:t>
      </w:r>
      <w:proofErr w:type="spellEnd"/>
      <w:r>
        <w:rPr>
          <w:rtl/>
        </w:rPr>
        <w:t xml:space="preserve">. הוא נדרש להגיע לשם ביום הראשון של ראש חודש אלול תשכ״ז (יום שלישי) – היום שבו עבר אבי </w:t>
      </w:r>
      <w:proofErr w:type="spellStart"/>
      <w:r>
        <w:rPr>
          <w:rtl/>
        </w:rPr>
        <w:t>מוויליאמסבורג</w:t>
      </w:r>
      <w:proofErr w:type="spellEnd"/>
      <w:r>
        <w:rPr>
          <w:rtl/>
        </w:rPr>
        <w:t xml:space="preserve"> שבברוקלין </w:t>
      </w:r>
      <w:proofErr w:type="spellStart"/>
      <w:r>
        <w:rPr>
          <w:rtl/>
        </w:rPr>
        <w:t>למונסי</w:t>
      </w:r>
      <w:proofErr w:type="spellEnd"/>
      <w:r>
        <w:rPr>
          <w:rtl/>
        </w:rPr>
        <w:t xml:space="preserve">. אחרי שעזר לאבי ולרבנית להעמיס במכונית את שארית חפציהם, התעקש הרב </w:t>
      </w:r>
      <w:proofErr w:type="spellStart"/>
      <w:r>
        <w:rPr>
          <w:rtl/>
        </w:rPr>
        <w:t>גיסינגר</w:t>
      </w:r>
      <w:proofErr w:type="spellEnd"/>
      <w:r>
        <w:rPr>
          <w:rtl/>
        </w:rPr>
        <w:t xml:space="preserve"> ללוות את שניהם לביתם החדש כדי לעזור בפריקה. אבי ניסה לשכנעו שחשוב יותר שיתייצב בישיבתו החדשה ביום הראשון של הזמן, אבל הפצרותיו לא הזיזו את ר׳ שלמה מעמדתו; וכשהשיב ר׳ שלמה שרוב התלמידים לא יגיעו עד </w:t>
      </w:r>
      <w:r>
        <w:rPr>
          <w:b/>
          <w:bCs/>
          <w:rtl/>
        </w:rPr>
        <w:t>למחרת</w:t>
      </w:r>
      <w:r>
        <w:rPr>
          <w:rtl/>
        </w:rPr>
        <w:t>, דחה רבנו את טענתו.</w:t>
      </w:r>
    </w:p>
    <w:p w14:paraId="1AEF104C" w14:textId="77777777" w:rsidR="00AB3647" w:rsidRDefault="00000000" w:rsidP="007923E9">
      <w:pPr>
        <w:spacing w:after="120" w:line="276" w:lineRule="auto"/>
        <w:ind w:firstLine="283"/>
        <w:jc w:val="both"/>
      </w:pPr>
      <w:r>
        <w:rPr>
          <w:rtl/>
        </w:rPr>
        <w:t xml:space="preserve">ר׳ שלמה </w:t>
      </w:r>
      <w:proofErr w:type="spellStart"/>
      <w:r>
        <w:rPr>
          <w:rtl/>
        </w:rPr>
        <w:t>גיסינגר</w:t>
      </w:r>
      <w:proofErr w:type="spellEnd"/>
      <w:r>
        <w:rPr>
          <w:rtl/>
        </w:rPr>
        <w:t xml:space="preserve"> החליט שלא להוסיף להתווכח, ולקח את העניין לידיו: הוא התיישב במכונית כשהייתה מוכנה לצאת. אבי אמר אז לנהג לעצור כמה רחובות משם, לפני ביתו של אחד מחבריו הקרובים </w:t>
      </w:r>
      <w:proofErr w:type="spellStart"/>
      <w:r>
        <w:rPr>
          <w:rtl/>
        </w:rPr>
        <w:t>בוויליאמסבורג</w:t>
      </w:r>
      <w:proofErr w:type="spellEnd"/>
      <w:r>
        <w:rPr>
          <w:rtl/>
        </w:rPr>
        <w:t xml:space="preserve">, ר׳ </w:t>
      </w:r>
      <w:proofErr w:type="spellStart"/>
      <w:r>
        <w:rPr>
          <w:rtl/>
        </w:rPr>
        <w:t>יונה־זאב</w:t>
      </w:r>
      <w:proofErr w:type="spellEnd"/>
      <w:r>
        <w:rPr>
          <w:rtl/>
        </w:rPr>
        <w:t xml:space="preserve"> הרשקוביץ. רבנו אמר לאורחו </w:t>
      </w:r>
      <w:proofErr w:type="spellStart"/>
      <w:r>
        <w:rPr>
          <w:rtl/>
        </w:rPr>
        <w:t>הלא־רצוי</w:t>
      </w:r>
      <w:proofErr w:type="spellEnd"/>
      <w:r>
        <w:rPr>
          <w:rtl/>
        </w:rPr>
        <w:t xml:space="preserve"> להיכנס לבית משפחת הרשקוביץ ולבדוק אם יש להם משהו לשלוח עמם. כשחזר ר׳ שלמה עם תשובה שלילית, גילה שהמכונית איננה: הערימו עליו והשאירוהו </w:t>
      </w:r>
      <w:proofErr w:type="spellStart"/>
      <w:r>
        <w:rPr>
          <w:rtl/>
        </w:rPr>
        <w:t>בוויליאמסבורג</w:t>
      </w:r>
      <w:proofErr w:type="spellEnd"/>
      <w:r>
        <w:rPr>
          <w:rtl/>
        </w:rPr>
        <w:t>.</w:t>
      </w:r>
    </w:p>
    <w:p w14:paraId="6050E56F" w14:textId="77777777" w:rsidR="00AB3647" w:rsidRDefault="00000000" w:rsidP="007923E9">
      <w:pPr>
        <w:spacing w:after="120" w:line="276" w:lineRule="auto"/>
        <w:ind w:firstLine="283"/>
        <w:jc w:val="both"/>
      </w:pPr>
      <w:r>
        <w:rPr>
          <w:rtl/>
        </w:rPr>
        <w:t>המקרה השני שבו השתמש אבי במרמה לטובתו של אדם אירע מיד אחרי בר המצווה שלי (ח׳ בתמוז תש״ג). ימים אחדים אחרי תחילת חופשת הקיץ נתן לי אבי מחברת, ובה הייתי צריך להעתיק, בעזרת קונקורדנציה, את כל הפסוקים בתנ״ך שיש בהם צורה כלשהי של הפועל “הלך” – יש קרוב לחמש מאות פסוקים כאלה. אחרי כמה ימי עבודה מייגעת שאלתי את אבי אם הוא באמת צריך את רשימת הפסוקים שאני מכין. רק כעבור שנתיים הבנתי שתשובתו החיובית של רבנו לא הייתה אמת: כשראה אבי שבנו הנער מתבטל, המציא משימה כדי להעסיקו, בהתאם לכלל שכתב לי במכתב מאוחר יותר, “כי אם כל חטאת היא הבטלה”</w:t>
      </w:r>
      <w:bookmarkStart w:id="6558" w:name="_fnr4966"/>
      <w:r>
        <w:rPr>
          <w:rStyle w:val="a5"/>
        </w:rPr>
        <w:footnoteReference w:id="4979" w:customMarkFollows="0"/>
      </w:r>
      <w:bookmarkEnd w:id="6558"/>
      <w:r>
        <w:rPr>
          <w:rtl/>
        </w:rPr>
        <w:t>.</w:t>
      </w:r>
    </w:p>
    <w:p w14:paraId="1A7ECB83" w14:textId="77777777" w:rsidR="00AB3647" w:rsidRDefault="00000000" w:rsidP="007923E9">
      <w:pPr>
        <w:spacing w:after="120" w:line="276" w:lineRule="auto"/>
        <w:ind w:firstLine="283"/>
        <w:jc w:val="both"/>
      </w:pPr>
      <w:r>
        <w:rPr>
          <w:rtl/>
        </w:rPr>
        <w:t xml:space="preserve">ר׳ ישראל </w:t>
      </w:r>
      <w:proofErr w:type="spellStart"/>
      <w:r>
        <w:rPr>
          <w:rtl/>
        </w:rPr>
        <w:t>שורין</w:t>
      </w:r>
      <w:proofErr w:type="spellEnd"/>
      <w:r>
        <w:rPr>
          <w:rtl/>
        </w:rPr>
        <w:t xml:space="preserve"> שמע מפי ר׳ </w:t>
      </w:r>
      <w:proofErr w:type="spellStart"/>
      <w:r>
        <w:rPr>
          <w:rtl/>
        </w:rPr>
        <w:t>שמואל־דוד</w:t>
      </w:r>
      <w:proofErr w:type="spellEnd"/>
      <w:r>
        <w:rPr>
          <w:rtl/>
        </w:rPr>
        <w:t xml:space="preserve"> </w:t>
      </w:r>
      <w:proofErr w:type="spellStart"/>
      <w:r>
        <w:rPr>
          <w:rtl/>
        </w:rPr>
        <w:t>וולקין</w:t>
      </w:r>
      <w:proofErr w:type="spellEnd"/>
      <w:r>
        <w:rPr>
          <w:rtl/>
        </w:rPr>
        <w:t xml:space="preserve"> על מעשה מרמה מפליא עוד יותר של הסבא. </w:t>
      </w:r>
      <w:proofErr w:type="spellStart"/>
      <w:r>
        <w:rPr>
          <w:rtl/>
        </w:rPr>
        <w:t>לר</w:t>
      </w:r>
      <w:proofErr w:type="spellEnd"/>
      <w:r>
        <w:rPr>
          <w:rtl/>
        </w:rPr>
        <w:t xml:space="preserve">׳ </w:t>
      </w:r>
      <w:proofErr w:type="spellStart"/>
      <w:r>
        <w:rPr>
          <w:rtl/>
        </w:rPr>
        <w:t>שמואל־דוד</w:t>
      </w:r>
      <w:proofErr w:type="spellEnd"/>
      <w:r>
        <w:rPr>
          <w:rtl/>
        </w:rPr>
        <w:t xml:space="preserve"> </w:t>
      </w:r>
      <w:proofErr w:type="spellStart"/>
      <w:r>
        <w:rPr>
          <w:rtl/>
        </w:rPr>
        <w:t>וולקין</w:t>
      </w:r>
      <w:proofErr w:type="spellEnd"/>
      <w:r>
        <w:rPr>
          <w:rtl/>
        </w:rPr>
        <w:t xml:space="preserve"> סיפר אותו ר׳ שמואל </w:t>
      </w:r>
      <w:proofErr w:type="spellStart"/>
      <w:r>
        <w:rPr>
          <w:rtl/>
        </w:rPr>
        <w:t>צפח</w:t>
      </w:r>
      <w:proofErr w:type="spellEnd"/>
      <w:r>
        <w:rPr>
          <w:rtl/>
        </w:rPr>
        <w:t xml:space="preserve">, עילוי שנודע בישיבה בשם שמואל </w:t>
      </w:r>
      <w:proofErr w:type="spellStart"/>
      <w:r>
        <w:rPr>
          <w:rtl/>
        </w:rPr>
        <w:t>צ׳רקסער</w:t>
      </w:r>
      <w:proofErr w:type="spellEnd"/>
      <w:r>
        <w:rPr>
          <w:rtl/>
        </w:rPr>
        <w:t xml:space="preserve">. הוריו עברו לארצות הברית זמן קצר אחרי סוף מלחמת העולם הראשונה, ור׳ שמואל תכנן לעזוב את ישיבת </w:t>
      </w:r>
      <w:proofErr w:type="spellStart"/>
      <w:r>
        <w:rPr>
          <w:rtl/>
        </w:rPr>
        <w:t>סלבודקה</w:t>
      </w:r>
      <w:proofErr w:type="spellEnd"/>
      <w:r>
        <w:rPr>
          <w:rtl/>
        </w:rPr>
        <w:t xml:space="preserve"> ולהצטרף אליהם שם. כשבא להיפרד מן הסבא, חיבק אותו הסבא “בחיבה”, ובאותה שעה כייס את דרכונו מכיס מקטורנו! בעקבות “אובדן” המסמך לא יכול היה </w:t>
      </w:r>
      <w:proofErr w:type="spellStart"/>
      <w:r>
        <w:rPr>
          <w:rtl/>
        </w:rPr>
        <w:t>צפח</w:t>
      </w:r>
      <w:proofErr w:type="spellEnd"/>
      <w:r>
        <w:rPr>
          <w:rtl/>
        </w:rPr>
        <w:t xml:space="preserve"> לנסוע לארצות הברית, ונאלץ להצטרף לשאר תלמידי </w:t>
      </w:r>
      <w:proofErr w:type="spellStart"/>
      <w:r>
        <w:rPr>
          <w:rtl/>
        </w:rPr>
        <w:t>סלבודקה</w:t>
      </w:r>
      <w:proofErr w:type="spellEnd"/>
      <w:r>
        <w:rPr>
          <w:rtl/>
        </w:rPr>
        <w:t xml:space="preserve"> שיצאו לארץ ישראל להקים את ישיבת חברון.</w:t>
      </w:r>
    </w:p>
    <w:p w14:paraId="0D52218E" w14:textId="77777777" w:rsidR="00AB3647" w:rsidRDefault="00000000" w:rsidP="007923E9">
      <w:pPr>
        <w:spacing w:after="120" w:line="276" w:lineRule="auto"/>
        <w:ind w:firstLine="283"/>
        <w:jc w:val="both"/>
      </w:pPr>
      <w:r>
        <w:rPr>
          <w:rtl/>
        </w:rPr>
        <w:t>לפי תיאור אחר</w:t>
      </w:r>
      <w:bookmarkStart w:id="6559" w:name="_fnr4967"/>
      <w:r>
        <w:rPr>
          <w:rStyle w:val="a5"/>
        </w:rPr>
        <w:footnoteReference w:id="4980" w:customMarkFollows="0"/>
      </w:r>
      <w:bookmarkEnd w:id="6559"/>
      <w:r>
        <w:rPr>
          <w:rtl/>
        </w:rPr>
        <w:t xml:space="preserve">, שלח הסבא יד לכיסו של שמואל גם בפעם אחרת – כנראה לפני המאורע שתואר לעיל – ואז הוציא ממנו כרטיס לקולנוע. כשהבין </w:t>
      </w:r>
      <w:proofErr w:type="spellStart"/>
      <w:r>
        <w:rPr>
          <w:rtl/>
        </w:rPr>
        <w:t>הצ׳רקסער</w:t>
      </w:r>
      <w:proofErr w:type="spellEnd"/>
      <w:r>
        <w:rPr>
          <w:rtl/>
        </w:rPr>
        <w:t xml:space="preserve"> החריף מה אירע, השתמש </w:t>
      </w:r>
      <w:r>
        <w:rPr>
          <w:rtl/>
        </w:rPr>
        <w:lastRenderedPageBreak/>
        <w:t>בלשונו של הסבא ואמר לרבו בהלצה: “עכשיו צמצמת את ‘גדלות האדם’ כשנטלת ממנו את ‘חופש הבחירה’”.</w:t>
      </w:r>
    </w:p>
    <w:bookmarkStart w:id="6560" w:name="b5_excE"/>
    <w:p w14:paraId="22DE0A92" w14:textId="77777777" w:rsidR="00AB3647" w:rsidRDefault="00000000" w:rsidP="007923E9">
      <w:pPr>
        <w:pStyle w:val="3"/>
        <w:spacing w:line="276" w:lineRule="auto"/>
      </w:pPr>
      <w:r>
        <w:lastRenderedPageBreak/>
        <w:fldChar w:fldCharType="begin" w:dirty="true"/>
      </w:r>
      <w:r>
        <w:rPr>
          <w:rtl w:val="0"/>
        </w:rPr>
        <w:instrText>HYPERLINK \l "b5_note60</w:instrText>
      </w:r>
      <w:r>
        <w:instrText>"</w:instrText>
      </w:r>
      <w:r>
        <w:fldChar w:fldCharType="separate"/>
      </w:r>
      <w:r>
        <w:t>נספח ה</w:t>
      </w:r>
      <w:r>
        <w:fldChar w:fldCharType="end"/>
      </w:r>
      <w:bookmarkEnd w:id="6560"/>
    </w:p>
    <w:p w14:paraId="3B484F8B" w14:textId="77777777" w:rsidR="00AB3647" w:rsidRDefault="00000000" w:rsidP="007923E9">
      <w:pPr>
        <w:pStyle w:val="af"/>
        <w:spacing w:line="276" w:lineRule="auto"/>
        <w:ind w:firstLine="340"/>
      </w:pPr>
      <w:r>
        <w:t>על גיוס יהודים לצבא הצאר</w:t>
      </w:r>
    </w:p>
    <w:p w14:paraId="60204C6E" w14:textId="77777777" w:rsidR="00AB3647" w:rsidRDefault="00000000" w:rsidP="007923E9">
      <w:pPr>
        <w:pStyle w:val="5"/>
        <w:spacing w:line="276" w:lineRule="auto"/>
      </w:pPr>
      <w:r>
        <w:t xml:space="preserve">נכדי </w:t>
      </w:r>
      <w:proofErr w:type="spellStart"/>
      <w:r>
        <w:t>שמואל־הירש</w:t>
      </w:r>
      <w:proofErr w:type="spellEnd"/>
      <w:r>
        <w:t xml:space="preserve"> </w:t>
      </w:r>
      <w:proofErr w:type="spellStart"/>
      <w:r>
        <w:t>קמינצקי</w:t>
      </w:r>
      <w:proofErr w:type="spellEnd"/>
      <w:r>
        <w:t xml:space="preserve"> אינם מתגייסים – התחמקות מן הגיוס אינה נחשבת מבישה – משפחות </w:t>
      </w:r>
      <w:proofErr w:type="spellStart"/>
      <w:r>
        <w:t>קמינצקי</w:t>
      </w:r>
      <w:proofErr w:type="spellEnd"/>
      <w:r>
        <w:t xml:space="preserve"> </w:t>
      </w:r>
      <w:proofErr w:type="spellStart"/>
      <w:r>
        <w:t>מדולהינוב</w:t>
      </w:r>
      <w:proofErr w:type="spellEnd"/>
      <w:r>
        <w:t>, מסלונים ומלידה קרובות זו לזו</w:t>
      </w:r>
    </w:p>
    <w:p w14:paraId="5220F5FF" w14:textId="77777777" w:rsidR="00AB3647" w:rsidRDefault="00000000" w:rsidP="007923E9">
      <w:pPr>
        <w:spacing w:after="120" w:line="276" w:lineRule="auto"/>
        <w:ind w:firstLine="283"/>
        <w:jc w:val="both"/>
      </w:pPr>
      <w:r>
        <w:rPr>
          <w:rtl/>
        </w:rPr>
        <w:t>באותה תקופה שבה התכתבתי ביידיש עם אחות אבי, הדודה דבורה</w:t>
      </w:r>
      <w:bookmarkStart w:id="6561" w:name="_fnr4968"/>
      <w:r>
        <w:rPr>
          <w:rStyle w:val="a5"/>
        </w:rPr>
        <w:footnoteReference w:id="4981" w:customMarkFollows="0"/>
      </w:r>
      <w:bookmarkEnd w:id="6561"/>
      <w:r>
        <w:rPr>
          <w:rtl/>
        </w:rPr>
        <w:t xml:space="preserve">, התכתבתי באנגלית גם עם קרובתי פימה </w:t>
      </w:r>
      <w:proofErr w:type="spellStart"/>
      <w:r>
        <w:rPr>
          <w:rtl/>
        </w:rPr>
        <w:t>קמינצקי</w:t>
      </w:r>
      <w:proofErr w:type="spellEnd"/>
      <w:r>
        <w:rPr>
          <w:rtl/>
        </w:rPr>
        <w:t xml:space="preserve">, כלתו של אחיו הבכור של אבי, </w:t>
      </w:r>
      <w:proofErr w:type="spellStart"/>
      <w:r>
        <w:rPr>
          <w:rtl/>
        </w:rPr>
        <w:t>חיים־זרח</w:t>
      </w:r>
      <w:bookmarkStart w:id="6562" w:name="_fnr4969"/>
      <w:proofErr w:type="spellEnd"/>
      <w:r>
        <w:rPr>
          <w:rStyle w:val="a5"/>
        </w:rPr>
        <w:footnoteReference w:id="4982" w:customMarkFollows="0"/>
      </w:r>
      <w:bookmarkEnd w:id="6562"/>
      <w:r>
        <w:rPr>
          <w:rtl/>
        </w:rPr>
        <w:t>. גם פימה גרה במינסק, והמידע שמסרה בא מדודתנו דבורה.</w:t>
      </w:r>
    </w:p>
    <w:p w14:paraId="558A0FE7" w14:textId="77777777" w:rsidR="00AB3647" w:rsidRDefault="00000000" w:rsidP="007923E9">
      <w:pPr>
        <w:spacing w:after="120" w:line="276" w:lineRule="auto"/>
        <w:ind w:firstLine="283"/>
        <w:jc w:val="both"/>
      </w:pPr>
      <w:r>
        <w:rPr>
          <w:rtl/>
        </w:rPr>
        <w:t xml:space="preserve">במכתב מ־28 במאי 1988 כתבה פימה: “לאבי אביך, </w:t>
      </w:r>
      <w:proofErr w:type="spellStart"/>
      <w:r>
        <w:rPr>
          <w:rtl/>
        </w:rPr>
        <w:t>שמואל־הירש</w:t>
      </w:r>
      <w:proofErr w:type="spellEnd"/>
      <w:r>
        <w:rPr>
          <w:rtl/>
        </w:rPr>
        <w:t xml:space="preserve"> </w:t>
      </w:r>
      <w:proofErr w:type="spellStart"/>
      <w:r>
        <w:rPr>
          <w:rtl/>
        </w:rPr>
        <w:t>קמינצקי</w:t>
      </w:r>
      <w:bookmarkStart w:id="6563" w:name="_fnr4970"/>
      <w:bookmarkEnd w:id="6563"/>
      <w:proofErr w:type="spellEnd"/>
      <w:r>
        <w:rPr>
          <w:rStyle w:val="a5"/>
        </w:rPr>
        <w:t/>
      </w:r>
      <w:bookmarkStart w:id="7055" w:name="_TranslatorNote_5403"/>
      <w:r>
        <w:rPr>
          <w:rStyle w:val="a5"/>
          <w:vertAlign w:val="superscript"/>
          <w:rtl/>
        </w:rPr>
        <w:footnoteReference w:id="4983" w:customMarkFollows="1"/>
        <w:t>*</w:t>
      </w:r>
      <w:bookmarkEnd w:id="7055"/>
      <w:r>
        <w:rPr>
          <w:rtl/>
        </w:rPr>
        <w:t xml:space="preserve">, היה אח למחצה [לשניהם אותה אם] בשם משפחה </w:t>
      </w:r>
      <w:proofErr w:type="spellStart"/>
      <w:r>
        <w:rPr>
          <w:rtl/>
        </w:rPr>
        <w:t>רוגוב</w:t>
      </w:r>
      <w:proofErr w:type="spellEnd"/>
      <w:r>
        <w:rPr>
          <w:rtl/>
        </w:rPr>
        <w:t xml:space="preserve">, והוא היה רופא בווילנה</w:t>
      </w:r>
      <w:bookmarkStart w:id="6564" w:name="_fnr4971"/>
      <w:r>
        <w:rPr>
          <w:rStyle w:val="a5"/>
        </w:rPr>
        <w:footnoteReference w:id="4984" w:customMarkFollows="0"/>
      </w:r>
      <w:bookmarkEnd w:id="6564"/>
      <w:r>
        <w:rPr>
          <w:rtl/>
        </w:rPr>
        <w:t xml:space="preserve">. בכל שנה, כשיצאה הקריאה לשירות צבאי, נסע ד״ר </w:t>
      </w:r>
      <w:proofErr w:type="spellStart"/>
      <w:r>
        <w:rPr>
          <w:rtl/>
        </w:rPr>
        <w:t>רוגוב</w:t>
      </w:r>
      <w:proofErr w:type="spellEnd"/>
      <w:r>
        <w:rPr>
          <w:rtl/>
        </w:rPr>
        <w:t xml:space="preserve"> ללידה, שהייתה אז עיר מחוז, כדי לבדוק את המתגייסים ולהעיד על בריאותם. </w:t>
      </w:r>
      <w:proofErr w:type="spellStart"/>
      <w:r>
        <w:rPr>
          <w:rtl/>
        </w:rPr>
        <w:t>רוגוב</w:t>
      </w:r>
      <w:proofErr w:type="spellEnd"/>
      <w:r>
        <w:rPr>
          <w:rtl/>
        </w:rPr>
        <w:t xml:space="preserve"> אמר </w:t>
      </w:r>
      <w:proofErr w:type="spellStart"/>
      <w:r>
        <w:rPr>
          <w:rtl/>
        </w:rPr>
        <w:t>לשמואל־הירש</w:t>
      </w:r>
      <w:proofErr w:type="spellEnd"/>
      <w:r>
        <w:rPr>
          <w:rtl/>
        </w:rPr>
        <w:t xml:space="preserve"> להוסיף שנתיים או שלוש לגיל נכדיו בשעת לידתם, ולטעון שנולדו בלידה – אף שהמשפחה מעולם לא גרה שם. מאחר שגופם היה מטבעו מפותח הרבה פחות מן המתאים ל</w:t>
      </w:r>
      <w:r>
        <w:rPr>
          <w:b/>
          <w:bCs/>
          <w:rtl/>
        </w:rPr>
        <w:t>גילם הרשום</w:t>
      </w:r>
      <w:r>
        <w:rPr>
          <w:rtl/>
        </w:rPr>
        <w:t xml:space="preserve">, קיבלו כרטיסים לבנים, כלומר פטור מגיוס. כך לא שירת איש מנכדי </w:t>
      </w:r>
      <w:proofErr w:type="spellStart"/>
      <w:r>
        <w:rPr>
          <w:rtl/>
        </w:rPr>
        <w:t>שמואל־הירש</w:t>
      </w:r>
      <w:proofErr w:type="spellEnd"/>
      <w:r>
        <w:rPr>
          <w:rtl/>
        </w:rPr>
        <w:t xml:space="preserve"> בצבא הצאר”</w:t>
      </w:r>
      <w:bookmarkStart w:id="6565" w:name="_fnr4972"/>
      <w:r>
        <w:rPr>
          <w:rStyle w:val="a5"/>
        </w:rPr>
        <w:footnoteReference w:id="4985" w:customMarkFollows="0"/>
      </w:r>
      <w:bookmarkEnd w:id="6565"/>
      <w:r>
        <w:rPr>
          <w:rtl/>
        </w:rPr>
        <w:t>.</w:t>
      </w:r>
    </w:p>
    <w:p w14:paraId="2C90E9B6" w14:textId="77777777" w:rsidR="00AB3647" w:rsidRDefault="00000000" w:rsidP="007923E9">
      <w:pPr>
        <w:spacing w:after="120" w:line="276" w:lineRule="auto"/>
        <w:ind w:firstLine="283"/>
        <w:jc w:val="both"/>
      </w:pPr>
      <w:r>
        <w:rPr>
          <w:rtl/>
        </w:rPr>
        <w:t xml:space="preserve">זיכרונותיו של </w:t>
      </w:r>
      <w:proofErr w:type="spellStart"/>
      <w:r>
        <w:rPr>
          <w:rtl/>
        </w:rPr>
        <w:t>יהושע־לייב</w:t>
      </w:r>
      <w:proofErr w:type="spellEnd"/>
      <w:r>
        <w:rPr>
          <w:rtl/>
        </w:rPr>
        <w:t xml:space="preserve"> </w:t>
      </w:r>
      <w:proofErr w:type="spellStart"/>
      <w:r>
        <w:rPr>
          <w:rtl/>
        </w:rPr>
        <w:t>ראדוס</w:t>
      </w:r>
      <w:bookmarkStart w:id="6566" w:name="_fnr4973"/>
      <w:proofErr w:type="spellEnd"/>
      <w:r>
        <w:rPr>
          <w:rStyle w:val="a5"/>
        </w:rPr>
        <w:footnoteReference w:id="4986" w:customMarkFollows="0"/>
      </w:r>
      <w:bookmarkEnd w:id="6566"/>
      <w:r>
        <w:rPr>
          <w:rtl/>
        </w:rPr>
        <w:t xml:space="preserve"> מספרים מעשה – מופלא אך אמיתי – באדם </w:t>
      </w:r>
      <w:proofErr w:type="spellStart"/>
      <w:r>
        <w:rPr>
          <w:rtl/>
        </w:rPr>
        <w:t>מדווינסק</w:t>
      </w:r>
      <w:proofErr w:type="spellEnd"/>
      <w:r>
        <w:rPr>
          <w:rtl/>
        </w:rPr>
        <w:t xml:space="preserve"> ששמו אינו נמסר, מלבד האות ר׳. הוא היה “גדול בתורה, דרשן בציבור, שנאומיו השפיעו מאוד על לב האנשים, אך לא רצה להתפרנס מן התורה”, ועבד כרוכל צנוע. אחר כך השיג רישיון לעסוק במסחר במבצר הרוסי הגדול שבעיר, וקנה לו את אמונו של הרופא הראשי בבית החולים הצבאי שם. לימים הציגו הרופא לפני מפקד המבצר ולפני קצינים אחרים </w:t>
      </w:r>
      <w:proofErr w:type="spellStart"/>
      <w:r>
        <w:rPr>
          <w:rtl/>
        </w:rPr>
        <w:t>כ“היהודי</w:t>
      </w:r>
      <w:proofErr w:type="spellEnd"/>
      <w:r>
        <w:rPr>
          <w:rtl/>
        </w:rPr>
        <w:t xml:space="preserve"> הלמדן שלו”, וכשערך הרופא מסיבה להם ולאורחים נוספים, ביקש מר׳, נמוך הקומה, לנאום “מעל שולחן עגול באמצע האולם, וכולם התרשמו מאוד”.</w:t>
      </w:r>
    </w:p>
    <w:p w14:paraId="4E62A7F5" w14:textId="5C9B20D2" w:rsidR="00AB3647" w:rsidRDefault="00000000" w:rsidP="007923E9">
      <w:pPr>
        <w:spacing w:after="120" w:line="276" w:lineRule="auto"/>
        <w:ind w:firstLine="283"/>
        <w:jc w:val="both"/>
      </w:pPr>
      <w:r>
        <w:rPr>
          <w:rtl/>
        </w:rPr>
        <w:t xml:space="preserve">דבר גרר דבר, עד שר׳ הגיע למעמד שבו יכול היה להשפיע על הרופא לשחרר מגיוס מועמדים מסוימים. המעשה </w:t>
      </w:r>
      <w:proofErr w:type="spellStart"/>
      <w:r>
        <w:rPr>
          <w:rtl/>
        </w:rPr>
        <w:t>הלא־ייאמן</w:t>
      </w:r>
      <w:proofErr w:type="spellEnd"/>
      <w:r>
        <w:rPr>
          <w:rtl/>
        </w:rPr>
        <w:t xml:space="preserve"> מסתיים במשפט הבא: “אחרי זמן רב, כשהעבירה הממשלה את הרופא לבית החולים בווילנה, עזב גם ר׳ את עירנו והשתקע בווילנה”. אפשר לשער </w:t>
      </w:r>
      <w:proofErr w:type="spellStart"/>
      <w:r>
        <w:rPr>
          <w:rtl/>
        </w:rPr>
        <w:t>ש“ר</w:t>
      </w:r>
      <w:proofErr w:type="spellEnd"/>
      <w:r>
        <w:rPr>
          <w:rtl/>
        </w:rPr>
        <w:t>׳”, שהיה בעליל אדם נבון מאוד, אינו אלא “</w:t>
      </w:r>
      <w:proofErr w:type="spellStart"/>
      <w:r>
        <w:rPr>
          <w:rtl/>
        </w:rPr>
        <w:t>רוגוב</w:t>
      </w:r>
      <w:proofErr w:type="spellEnd"/>
      <w:r>
        <w:rPr>
          <w:rtl/>
        </w:rPr>
        <w:t xml:space="preserve">”, שלבסוף רכש מן המיטיב עמו </w:t>
      </w:r>
      <w:r>
        <w:rPr>
          <w:rtl/>
        </w:rPr>
        <w:lastRenderedPageBreak/>
        <w:t xml:space="preserve">– עתה הרופא הצבאי הראשי בווילנה – די ידיעות רפואיות וקשרים כדי לפעול כשליחו בענייני גיוס בלידה, עיר באזור וילנה! השווה גם פרק 1, הערה </w:t>
      </w:r>
      <w:r>
        <w:rPr>
          <w:rtl/>
        </w:rPr>
        <w:fldChar w:fldCharType="begin" w:dirty="true"/>
      </w:r>
      <w:r>
        <w:rPr>
          <w:rtl/>
        </w:rPr>
        <w:instrText xml:space="preserve"> REF b1_note28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28</w:t>
      </w:r>
      <w:r>
        <w:rPr>
          <w:rtl/>
        </w:rPr>
        <w:fldChar w:fldCharType="end"/>
      </w:r>
      <w:r>
        <w:rPr>
          <w:rtl/>
        </w:rPr>
        <w:t>.</w:t>
      </w:r>
    </w:p>
    <w:p w14:paraId="39D24EBA" w14:textId="77777777" w:rsidR="00AB3647" w:rsidRDefault="00000000" w:rsidP="007923E9">
      <w:pPr>
        <w:spacing w:after="120" w:line="276" w:lineRule="auto"/>
        <w:ind w:firstLine="283"/>
        <w:jc w:val="both"/>
      </w:pPr>
      <w:bookmarkStart w:id="6567" w:name="pr_b_2723"/>
      <w:bookmarkEnd w:id="6567"/>
      <w:r>
        <w:rPr>
          <w:rtl/>
        </w:rPr>
        <w:t>על האמצעים הבלתי חוקיים שבהם התחמקו יהודים מן הגיוס</w:t>
      </w:r>
      <w:bookmarkStart w:id="6568" w:name="_fnr4974"/>
      <w:r>
        <w:rPr>
          <w:rStyle w:val="a5"/>
        </w:rPr>
        <w:footnoteReference w:id="4987" w:customMarkFollows="0"/>
      </w:r>
      <w:bookmarkEnd w:id="6568"/>
      <w:r>
        <w:rPr>
          <w:rtl/>
        </w:rPr>
        <w:t xml:space="preserve"> מביא </w:t>
      </w:r>
      <w:proofErr w:type="spellStart"/>
      <w:r>
        <w:rPr>
          <w:rtl/>
        </w:rPr>
        <w:t>שאשקעס</w:t>
      </w:r>
      <w:bookmarkStart w:id="6569" w:name="_fnr4975"/>
      <w:proofErr w:type="spellEnd"/>
      <w:r>
        <w:rPr>
          <w:rStyle w:val="a5"/>
        </w:rPr>
        <w:footnoteReference w:id="4988" w:customMarkFollows="0"/>
      </w:r>
      <w:bookmarkEnd w:id="6569"/>
      <w:r>
        <w:rPr>
          <w:rtl/>
        </w:rPr>
        <w:t xml:space="preserve"> ניתוח מעניין: דירוג עוברי החוק היהודים ברוסיה הצארית, כפי שקבעה אותו החברה היהודית שם. וזו לשונו: “ישיבה בכלא בגלל גנבה, שלא לדבר על שוד, הייתה מאוסה בעיני החברה [היהודית]. ואף על פי כן, אני זוכר שכאשר אסרו את הרשל </w:t>
      </w:r>
      <w:proofErr w:type="spellStart"/>
      <w:r>
        <w:rPr>
          <w:rtl/>
        </w:rPr>
        <w:t>דער</w:t>
      </w:r>
      <w:proofErr w:type="spellEnd"/>
      <w:r>
        <w:rPr>
          <w:rtl/>
        </w:rPr>
        <w:t xml:space="preserve"> </w:t>
      </w:r>
      <w:proofErr w:type="spellStart"/>
      <w:r>
        <w:rPr>
          <w:rtl/>
        </w:rPr>
        <w:t>געלער</w:t>
      </w:r>
      <w:proofErr w:type="spellEnd"/>
      <w:r>
        <w:rPr>
          <w:rtl/>
        </w:rPr>
        <w:t xml:space="preserve"> [הבלונדיני] בגלל זיוף </w:t>
      </w:r>
      <w:proofErr w:type="spellStart"/>
      <w:r>
        <w:rPr>
          <w:rtl/>
        </w:rPr>
        <w:t>בנדרולים</w:t>
      </w:r>
      <w:proofErr w:type="spellEnd"/>
      <w:r>
        <w:rPr>
          <w:rtl/>
        </w:rPr>
        <w:t xml:space="preserve"> [פתקי מס בלו] שהודבקו על חפיסות סיגריות ועל אריזות שמרים, או את יאשה הרופא בגלל ‘הורדת מעיים’ מלאכותית כדי להציל יהודי משירות הצאר, היו מצקצקים בלשונם באהדה ואוספים תרומות למשפחת האסיר. בין מיטב בני הקהילה הייתה מעין הסכמה פסיכולוגית, שלהונות את ‘</w:t>
      </w:r>
      <w:proofErr w:type="spellStart"/>
      <w:r>
        <w:rPr>
          <w:rtl/>
        </w:rPr>
        <w:t>פוניה</w:t>
      </w:r>
      <w:proofErr w:type="spellEnd"/>
      <w:r>
        <w:rPr>
          <w:rtl/>
        </w:rPr>
        <w:t xml:space="preserve"> גנב [</w:t>
      </w:r>
      <w:proofErr w:type="spellStart"/>
      <w:r>
        <w:rPr>
          <w:rtl/>
        </w:rPr>
        <w:t>פוניה</w:t>
      </w:r>
      <w:proofErr w:type="spellEnd"/>
      <w:r>
        <w:rPr>
          <w:rtl/>
        </w:rPr>
        <w:t xml:space="preserve"> – כינוי לשלטון הרוסי – הגנב]’ באמצעות מעט סחורה מוברחת מעבר לגבול, או באמצעות הדפסת ניירות ‘רשמיים’ </w:t>
      </w:r>
      <w:proofErr w:type="spellStart"/>
      <w:r>
        <w:rPr>
          <w:rtl/>
        </w:rPr>
        <w:t>ובנדרולים</w:t>
      </w:r>
      <w:proofErr w:type="spellEnd"/>
      <w:r>
        <w:rPr>
          <w:rtl/>
        </w:rPr>
        <w:t xml:space="preserve"> מזויפים – או בריחה לאמריקה אחרי שבועת אמונים לצאר – אינו פשע שעל המשפחה להתבייש בו. הייתה זו מחאתו האינסטינקטיבית של היהודי המדוכא והמבוזה נגד השלטון הצארי, שהשתמש בעצמו באמצעים בלתי חוקיים כדי </w:t>
      </w:r>
      <w:proofErr w:type="spellStart"/>
      <w:r>
        <w:rPr>
          <w:rtl/>
        </w:rPr>
        <w:t>להרסו</w:t>
      </w:r>
      <w:proofErr w:type="spellEnd"/>
      <w:r>
        <w:rPr>
          <w:rtl/>
        </w:rPr>
        <w:t xml:space="preserve"> ולהשמידו”.</w:t>
      </w:r>
    </w:p>
    <w:p w14:paraId="5422FE8D" w14:textId="77777777" w:rsidR="00AB3647" w:rsidRDefault="00000000" w:rsidP="007923E9">
      <w:pPr>
        <w:spacing w:after="120" w:line="276" w:lineRule="auto"/>
        <w:ind w:firstLine="283"/>
        <w:jc w:val="both"/>
      </w:pPr>
      <w:r>
        <w:rPr>
          <w:rtl/>
        </w:rPr>
        <w:t xml:space="preserve">גזרת </w:t>
      </w:r>
      <w:proofErr w:type="spellStart"/>
      <w:r>
        <w:rPr>
          <w:rtl/>
        </w:rPr>
        <w:t>הקנטוניסטים</w:t>
      </w:r>
      <w:proofErr w:type="spellEnd"/>
      <w:r>
        <w:rPr>
          <w:rtl/>
        </w:rPr>
        <w:t xml:space="preserve"> הטרגית היא מן העוולות הידועות של הצארים ושל הממסד הצבאי הרוסי: ילדים, מהם מתחת לגיל עשר, נחטפו מהוריהם</w:t>
      </w:r>
      <w:bookmarkStart w:id="6570" w:name="_fnr4976"/>
      <w:r>
        <w:rPr>
          <w:rStyle w:val="a5"/>
        </w:rPr>
        <w:footnoteReference w:id="4989" w:customMarkFollows="0"/>
      </w:r>
      <w:bookmarkEnd w:id="6570"/>
      <w:r>
        <w:rPr>
          <w:rtl/>
        </w:rPr>
        <w:t xml:space="preserve">, גודלו בקסרקטינים או אצל איכרים גויים פרימיטיביים ברוסיה הפנימית עד גיל </w:t>
      </w:r>
      <w:proofErr w:type="spellStart"/>
      <w:r>
        <w:rPr>
          <w:rtl/>
        </w:rPr>
        <w:t>שמונה־עשרה</w:t>
      </w:r>
      <w:proofErr w:type="spellEnd"/>
      <w:r>
        <w:rPr>
          <w:rtl/>
        </w:rPr>
        <w:t>, ואז גויסו לצבא הרוסי לעשרים וחמש שנה. מכ־130,000 נערים שנחטפו בשנים תקפ״ז–תרט״ז, פחות ממחצית שרדו את מסעות הכפייה מתחום המושב היהודי לסיביר הרחוקה. מן הנותרים, שעונו ונלחצו בדרכים אחרות לקבל את הנצרות, בחרו אלפים להתאבד, והשאר המירו את דתם. רק יוצאי דופן מעטים נשארו יהודים אחרי שירותם הצבאי</w:t>
      </w:r>
      <w:bookmarkStart w:id="6571" w:name="_fnr4977"/>
      <w:r>
        <w:rPr>
          <w:rStyle w:val="a5"/>
        </w:rPr>
        <w:footnoteReference w:id="4990" w:customMarkFollows="0"/>
      </w:r>
      <w:bookmarkEnd w:id="6571"/>
      <w:r>
        <w:rPr>
          <w:rtl/>
        </w:rPr>
        <w:t xml:space="preserve">. אם כן, לפי </w:t>
      </w:r>
      <w:proofErr w:type="spellStart"/>
      <w:r>
        <w:rPr>
          <w:rtl/>
        </w:rPr>
        <w:t>שאשקעס</w:t>
      </w:r>
      <w:proofErr w:type="spellEnd"/>
      <w:r>
        <w:rPr>
          <w:rtl/>
        </w:rPr>
        <w:t xml:space="preserve">, התחמקות מן הגיוס, כמו זו של נכדי ר׳ </w:t>
      </w:r>
      <w:proofErr w:type="spellStart"/>
      <w:r>
        <w:rPr>
          <w:rtl/>
        </w:rPr>
        <w:t>שמואל־הירש</w:t>
      </w:r>
      <w:proofErr w:type="spellEnd"/>
      <w:r>
        <w:rPr>
          <w:rtl/>
        </w:rPr>
        <w:t>, לא נחשבה מבישה כלל.</w:t>
      </w:r>
    </w:p>
    <w:p w14:paraId="5D8C3DEA" w14:textId="77777777" w:rsidR="00AB3647" w:rsidRDefault="00000000" w:rsidP="007923E9">
      <w:pPr>
        <w:spacing w:after="120" w:line="276" w:lineRule="auto"/>
        <w:ind w:firstLine="283"/>
        <w:jc w:val="both"/>
      </w:pPr>
      <w:r>
        <w:rPr>
          <w:rtl/>
        </w:rPr>
        <w:t xml:space="preserve">רבנו סיפר גם לנכדו ר׳ דוד </w:t>
      </w:r>
      <w:proofErr w:type="spellStart"/>
      <w:r>
        <w:rPr>
          <w:rtl/>
        </w:rPr>
        <w:t>קמינצקי</w:t>
      </w:r>
      <w:bookmarkStart w:id="6572" w:name="_fnr4978"/>
      <w:proofErr w:type="spellEnd"/>
      <w:r>
        <w:rPr>
          <w:rStyle w:val="a5"/>
        </w:rPr>
        <w:footnoteReference w:id="4991" w:customMarkFollows="0"/>
      </w:r>
      <w:bookmarkEnd w:id="6572"/>
      <w:r>
        <w:rPr>
          <w:rtl/>
        </w:rPr>
        <w:t xml:space="preserve"> </w:t>
      </w:r>
      <w:proofErr w:type="spellStart"/>
      <w:r>
        <w:rPr>
          <w:rtl/>
        </w:rPr>
        <w:t>ש“מעולם</w:t>
      </w:r>
      <w:proofErr w:type="spellEnd"/>
      <w:r>
        <w:rPr>
          <w:rtl/>
        </w:rPr>
        <w:t xml:space="preserve"> לא ביקר בלידה, ומשפחתו הקרובה מעולם לא גרה שם”, והוסיף: “אך ייתכן שמוצאם משם!”</w:t>
      </w:r>
      <w:bookmarkStart w:id="6573" w:name="_fnr4979"/>
      <w:r>
        <w:rPr>
          <w:rStyle w:val="a5"/>
        </w:rPr>
        <w:footnoteReference w:id="4992" w:customMarkFollows="0"/>
      </w:r>
      <w:bookmarkEnd w:id="6573"/>
      <w:r>
        <w:rPr>
          <w:rtl/>
        </w:rPr>
        <w:t xml:space="preserve"> אבי הביע ספק רק בשאלה אם מוצא משפחת </w:t>
      </w:r>
      <w:proofErr w:type="spellStart"/>
      <w:r>
        <w:rPr>
          <w:rtl/>
        </w:rPr>
        <w:t>קמינצקי</w:t>
      </w:r>
      <w:proofErr w:type="spellEnd"/>
      <w:r>
        <w:rPr>
          <w:rtl/>
        </w:rPr>
        <w:t xml:space="preserve"> מלידה, אבל היה בטוח שהוא קרוב למשפחות בשם זה שישבו שם, כפי שמוכיח מעשה שמסר לי ד״ר יוסף </w:t>
      </w:r>
      <w:proofErr w:type="spellStart"/>
      <w:r>
        <w:rPr>
          <w:rtl/>
        </w:rPr>
        <w:t>קמינצקי</w:t>
      </w:r>
      <w:bookmarkStart w:id="6574" w:name="_fnr4980"/>
      <w:proofErr w:type="spellEnd"/>
      <w:r>
        <w:rPr>
          <w:rStyle w:val="a5"/>
        </w:rPr>
        <w:footnoteReference w:id="4993" w:customMarkFollows="0"/>
      </w:r>
      <w:bookmarkEnd w:id="6574"/>
      <w:r>
        <w:rPr>
          <w:rtl/>
        </w:rPr>
        <w:t>.</w:t>
      </w:r>
    </w:p>
    <w:p w14:paraId="683019EA" w14:textId="77777777" w:rsidR="00AB3647" w:rsidRDefault="00000000" w:rsidP="007923E9">
      <w:pPr>
        <w:spacing w:after="120" w:line="276" w:lineRule="auto"/>
        <w:ind w:firstLine="283"/>
        <w:jc w:val="both"/>
      </w:pPr>
      <w:r>
        <w:rPr>
          <w:rtl/>
        </w:rPr>
        <w:t xml:space="preserve">אביו של ד״ר </w:t>
      </w:r>
      <w:proofErr w:type="spellStart"/>
      <w:r>
        <w:rPr>
          <w:rtl/>
        </w:rPr>
        <w:t>קמינצקי</w:t>
      </w:r>
      <w:proofErr w:type="spellEnd"/>
      <w:r>
        <w:rPr>
          <w:rtl/>
        </w:rPr>
        <w:t xml:space="preserve"> סבל ממחלה ניוונית, שבגללה נזקק לגירויים שיעוררו את מודעותו לסביבתו. אבי פתח עמו בשיחה ושאל מאין מוצא משפחתו. כשהשיב “העיר סלונים”, אמר </w:t>
      </w:r>
      <w:r>
        <w:rPr>
          <w:rtl/>
        </w:rPr>
        <w:lastRenderedPageBreak/>
        <w:t xml:space="preserve">אבי: “אם כן אנחנו קרובים, מפני שמשפחות </w:t>
      </w:r>
      <w:proofErr w:type="spellStart"/>
      <w:r>
        <w:rPr>
          <w:rtl/>
        </w:rPr>
        <w:t>קמינצקי</w:t>
      </w:r>
      <w:proofErr w:type="spellEnd"/>
      <w:r>
        <w:rPr>
          <w:rtl/>
        </w:rPr>
        <w:t xml:space="preserve"> מלידה – שאליהן אני קשור – ומשפחות </w:t>
      </w:r>
      <w:proofErr w:type="spellStart"/>
      <w:r>
        <w:rPr>
          <w:rtl/>
        </w:rPr>
        <w:t>קמינצקי</w:t>
      </w:r>
      <w:proofErr w:type="spellEnd"/>
      <w:r>
        <w:rPr>
          <w:rtl/>
        </w:rPr>
        <w:t xml:space="preserve"> מסלונים היו קרובות”.</w:t>
      </w:r>
    </w:p>
    <w:p w14:paraId="185F1308" w14:textId="77777777" w:rsidR="00AB3647" w:rsidRDefault="00000000" w:rsidP="007923E9">
      <w:pPr>
        <w:spacing w:after="120" w:line="276" w:lineRule="auto"/>
        <w:ind w:firstLine="283"/>
        <w:jc w:val="both"/>
      </w:pPr>
      <w:r>
        <w:rPr>
          <w:rtl/>
        </w:rPr>
        <w:t xml:space="preserve">לפי מכתב של ר׳ </w:t>
      </w:r>
      <w:proofErr w:type="spellStart"/>
      <w:r>
        <w:rPr>
          <w:rtl/>
        </w:rPr>
        <w:t xml:space="preserve">יוסף־דב</w:t>
      </w:r>
      <w:proofErr w:type="spellEnd"/>
      <w:r>
        <w:rPr>
          <w:rtl/>
        </w:rPr>
        <w:t xml:space="preserve"> הלוי </w:t>
      </w:r>
      <w:proofErr w:type="spellStart"/>
      <w:r>
        <w:rPr>
          <w:rtl/>
        </w:rPr>
        <w:t>ליינר</w:t>
      </w:r>
      <w:proofErr w:type="spellEnd"/>
      <w:r>
        <w:rPr>
          <w:rtl/>
        </w:rPr>
        <w:t xml:space="preserve"> מיום י״א בניסן תשנ״ה, גילה רבנו מהי בדיוק קרבתו לד״ר יוסף </w:t>
      </w:r>
      <w:proofErr w:type="spellStart"/>
      <w:r>
        <w:rPr>
          <w:rtl/>
        </w:rPr>
        <w:t>קמינצקי</w:t>
      </w:r>
      <w:proofErr w:type="spellEnd"/>
      <w:r>
        <w:rPr>
          <w:rtl/>
        </w:rPr>
        <w:t xml:space="preserve">, כשביקר אצלו ר׳ </w:t>
      </w:r>
      <w:proofErr w:type="spellStart"/>
      <w:r>
        <w:rPr>
          <w:rtl/>
        </w:rPr>
        <w:t xml:space="preserve">יוסף־דב</w:t>
      </w:r>
      <w:proofErr w:type="spellEnd"/>
      <w:r>
        <w:rPr>
          <w:rtl/>
        </w:rPr>
        <w:t xml:space="preserve"> הלוי </w:t>
      </w:r>
      <w:proofErr w:type="spellStart"/>
      <w:r>
        <w:rPr>
          <w:rtl/>
        </w:rPr>
        <w:t>במונסי</w:t>
      </w:r>
      <w:proofErr w:type="spellEnd"/>
      <w:r>
        <w:rPr>
          <w:rtl/>
        </w:rPr>
        <w:t xml:space="preserve"> עם חתנו ר׳ אברהם </w:t>
      </w:r>
      <w:proofErr w:type="spellStart"/>
      <w:r>
        <w:rPr>
          <w:rtl/>
        </w:rPr>
        <w:t>קמינצקי</w:t>
      </w:r>
      <w:proofErr w:type="spellEnd"/>
      <w:r>
        <w:rPr>
          <w:rtl/>
        </w:rPr>
        <w:t xml:space="preserve">, בנו של ר׳ ישעיה, אחיו של ד״ר </w:t>
      </w:r>
      <w:proofErr w:type="spellStart"/>
      <w:r>
        <w:rPr>
          <w:rtl/>
        </w:rPr>
        <w:t>קמינצקי</w:t>
      </w:r>
      <w:proofErr w:type="spellEnd"/>
      <w:r>
        <w:rPr>
          <w:rtl/>
        </w:rPr>
        <w:t xml:space="preserve">. אבי הצביע על דיוקן שהיה תלוי על הקיר ואמר לאורח הצעיר: “זו תמונת סבי, ר׳ </w:t>
      </w:r>
      <w:proofErr w:type="spellStart"/>
      <w:r>
        <w:rPr>
          <w:rtl/>
        </w:rPr>
        <w:t>שמואל־הירש</w:t>
      </w:r>
      <w:proofErr w:type="spellEnd"/>
      <w:r>
        <w:rPr>
          <w:rtl/>
        </w:rPr>
        <w:t xml:space="preserve"> </w:t>
      </w:r>
      <w:proofErr w:type="spellStart"/>
      <w:r>
        <w:rPr>
          <w:rtl/>
        </w:rPr>
        <w:t>קמינצקי</w:t>
      </w:r>
      <w:proofErr w:type="spellEnd"/>
      <w:r>
        <w:rPr>
          <w:rtl/>
        </w:rPr>
        <w:t xml:space="preserve"> – וסבו של אביך היה אחיו”. לפיכך היה אבי בן דוד שני של ד״ר יוסף ושל ר׳ ישעיה </w:t>
      </w:r>
      <w:proofErr w:type="spellStart"/>
      <w:r>
        <w:rPr>
          <w:rtl/>
        </w:rPr>
        <w:t>קמינצקי</w:t>
      </w:r>
      <w:bookmarkStart w:id="6575" w:name="_fnr4981"/>
      <w:proofErr w:type="spellEnd"/>
      <w:r>
        <w:rPr>
          <w:rStyle w:val="a5"/>
        </w:rPr>
        <w:footnoteReference w:id="4994" w:customMarkFollows="0"/>
      </w:r>
      <w:bookmarkEnd w:id="6575"/>
      <w:r>
        <w:rPr>
          <w:rtl/>
        </w:rPr>
        <w:t>.</w:t>
      </w:r>
    </w:p>
    <w:bookmarkStart w:id="6576" w:name="b5_excF"/>
    <w:p w14:paraId="1269D866" w14:textId="77777777" w:rsidR="00AB3647" w:rsidRDefault="00000000" w:rsidP="007923E9">
      <w:pPr>
        <w:pStyle w:val="3"/>
        <w:spacing w:line="276" w:lineRule="auto"/>
      </w:pPr>
      <w:r>
        <w:lastRenderedPageBreak/>
        <w:fldChar w:fldCharType="begin" w:dirty="true"/>
      </w:r>
      <w:r>
        <w:rPr>
          <w:rtl w:val="0"/>
        </w:rPr>
        <w:instrText>HYPERLINK \l "b5_note63</w:instrText>
      </w:r>
      <w:r>
        <w:instrText>"</w:instrText>
      </w:r>
      <w:r>
        <w:fldChar w:fldCharType="separate"/>
      </w:r>
      <w:r>
        <w:t>נספח ו</w:t>
      </w:r>
      <w:r>
        <w:fldChar w:fldCharType="end"/>
      </w:r>
      <w:bookmarkEnd w:id="6576"/>
    </w:p>
    <w:p w14:paraId="019F8744" w14:textId="77777777" w:rsidR="00AB3647" w:rsidRDefault="00000000" w:rsidP="007923E9">
      <w:pPr>
        <w:pStyle w:val="af"/>
        <w:spacing w:line="276" w:lineRule="auto"/>
        <w:ind w:firstLine="340"/>
      </w:pPr>
      <w:r>
        <w:t xml:space="preserve">על כושר המחשבה המיוחד של ר׳ חיים </w:t>
      </w:r>
      <w:proofErr w:type="spellStart"/>
      <w:r>
        <w:t>סולובייצ׳יק</w:t>
      </w:r>
      <w:proofErr w:type="spellEnd"/>
      <w:r>
        <w:t xml:space="preserve"> ועל חסדו המופלג</w:t>
      </w:r>
    </w:p>
    <w:p w14:paraId="6014F6BF" w14:textId="77777777" w:rsidR="00AB3647" w:rsidRDefault="00000000" w:rsidP="007923E9">
      <w:pPr>
        <w:pStyle w:val="4"/>
        <w:spacing w:line="276" w:lineRule="auto"/>
      </w:pPr>
      <w:r>
        <w:t>· הפסקה הראשונה ·</w:t>
      </w:r>
    </w:p>
    <w:p w14:paraId="1F4ADC53"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ר׳ חיים </w:t>
      </w:r>
      <w:proofErr w:type="spellStart"/>
      <w:r>
        <w:rPr>
          <w:color w:val="404040"/>
          <w:sz w:val="22"/>
          <w:szCs w:val="22"/>
          <w:rtl/>
        </w:rPr>
        <w:t>סולובייצ׳יק</w:t>
      </w:r>
      <w:proofErr w:type="spellEnd"/>
      <w:r>
        <w:rPr>
          <w:color w:val="404040"/>
          <w:sz w:val="22"/>
          <w:szCs w:val="22"/>
          <w:rtl/>
        </w:rPr>
        <w:t xml:space="preserve"> מבקש לבנו ר׳ משה את כיסא הרבנות הבעייתי </w:t>
      </w:r>
      <w:proofErr w:type="spellStart"/>
      <w:r>
        <w:rPr>
          <w:color w:val="404040"/>
          <w:sz w:val="22"/>
          <w:szCs w:val="22"/>
          <w:rtl/>
        </w:rPr>
        <w:t>בראסיין</w:t>
      </w:r>
      <w:proofErr w:type="spellEnd"/>
      <w:r>
        <w:rPr>
          <w:color w:val="404040"/>
          <w:sz w:val="22"/>
          <w:szCs w:val="22"/>
          <w:rtl/>
        </w:rPr>
        <w:t xml:space="preserve"> – ר׳ פישל בר מסרב לחתום על כתב הרבנות – הסבא מתבקש לשלוח תלמידים לפתוח ישיבה </w:t>
      </w:r>
      <w:proofErr w:type="spellStart"/>
      <w:r>
        <w:rPr>
          <w:color w:val="404040"/>
          <w:sz w:val="22"/>
          <w:szCs w:val="22"/>
          <w:rtl/>
        </w:rPr>
        <w:t>לר</w:t>
      </w:r>
      <w:proofErr w:type="spellEnd"/>
      <w:r>
        <w:rPr>
          <w:color w:val="404040"/>
          <w:sz w:val="22"/>
          <w:szCs w:val="22"/>
          <w:rtl/>
        </w:rPr>
        <w:t xml:space="preserve">׳ משה, שבה ימסור ר׳ חיים שיעורים – לסבא </w:t>
      </w:r>
      <w:proofErr w:type="spellStart"/>
      <w:r>
        <w:rPr>
          <w:color w:val="404040"/>
          <w:sz w:val="22"/>
          <w:szCs w:val="22"/>
          <w:rtl/>
        </w:rPr>
        <w:t>מסלבודקה</w:t>
      </w:r>
      <w:proofErr w:type="spellEnd"/>
      <w:r>
        <w:rPr>
          <w:color w:val="404040"/>
          <w:sz w:val="22"/>
          <w:szCs w:val="22"/>
          <w:rtl/>
        </w:rPr>
        <w:t xml:space="preserve"> מניע אישי לעזור לבן ר׳ חיים – בנו של הסבא חוזר על חסדו של אביו כלפי בן ר׳ חיים – ר׳ משה נעשה רבה של </w:t>
      </w:r>
      <w:proofErr w:type="spellStart"/>
      <w:r>
        <w:rPr>
          <w:color w:val="404040"/>
          <w:sz w:val="22"/>
          <w:szCs w:val="22"/>
          <w:rtl/>
        </w:rPr>
        <w:t>ראסיין</w:t>
      </w:r>
      <w:proofErr w:type="spellEnd"/>
      <w:r>
        <w:rPr>
          <w:color w:val="404040"/>
          <w:sz w:val="22"/>
          <w:szCs w:val="22"/>
          <w:rtl/>
        </w:rPr>
        <w:t xml:space="preserve"> – הצעות רבנות קודמות ששקל ר׳ משה – גיסו </w:t>
      </w:r>
      <w:proofErr w:type="spellStart"/>
      <w:r>
        <w:rPr>
          <w:color w:val="404040"/>
          <w:sz w:val="22"/>
          <w:szCs w:val="22"/>
          <w:rtl/>
        </w:rPr>
        <w:t>מחסלוויץ</w:t>
      </w:r>
      <w:proofErr w:type="spellEnd"/>
      <w:r>
        <w:rPr>
          <w:color w:val="404040"/>
          <w:sz w:val="22"/>
          <w:szCs w:val="22"/>
          <w:rtl/>
        </w:rPr>
        <w:t xml:space="preserve">׳ בא במקום מי שכיהן זמן קצר כרב </w:t>
      </w:r>
      <w:proofErr w:type="spellStart"/>
      <w:r>
        <w:rPr>
          <w:color w:val="404040"/>
          <w:sz w:val="22"/>
          <w:szCs w:val="22"/>
          <w:rtl/>
        </w:rPr>
        <w:t>נובהרדוק</w:t>
      </w:r>
      <w:proofErr w:type="spellEnd"/>
      <w:r>
        <w:rPr>
          <w:color w:val="404040"/>
          <w:sz w:val="22"/>
          <w:szCs w:val="22"/>
          <w:rtl/>
        </w:rPr>
        <w:t xml:space="preserve">, ור׳ משה בא במקומו – ר׳ </w:t>
      </w:r>
      <w:proofErr w:type="spellStart"/>
      <w:r>
        <w:rPr>
          <w:color w:val="404040"/>
          <w:sz w:val="22"/>
          <w:szCs w:val="22"/>
          <w:rtl/>
        </w:rPr>
        <w:t>אברהם־אהרן</w:t>
      </w:r>
      <w:proofErr w:type="spellEnd"/>
      <w:r>
        <w:rPr>
          <w:color w:val="404040"/>
          <w:sz w:val="22"/>
          <w:szCs w:val="22"/>
          <w:rtl/>
        </w:rPr>
        <w:t xml:space="preserve"> </w:t>
      </w:r>
      <w:proofErr w:type="spellStart"/>
      <w:r>
        <w:rPr>
          <w:color w:val="404040"/>
          <w:sz w:val="22"/>
          <w:szCs w:val="22"/>
          <w:rtl/>
        </w:rPr>
        <w:t>בורשטין</w:t>
      </w:r>
      <w:proofErr w:type="spellEnd"/>
      <w:r>
        <w:rPr>
          <w:color w:val="404040"/>
          <w:sz w:val="22"/>
          <w:szCs w:val="22"/>
          <w:rtl/>
        </w:rPr>
        <w:t xml:space="preserve"> ניצב </w:t>
      </w:r>
      <w:proofErr w:type="spellStart"/>
      <w:r>
        <w:rPr>
          <w:color w:val="404040"/>
          <w:sz w:val="22"/>
          <w:szCs w:val="22"/>
          <w:rtl/>
        </w:rPr>
        <w:t>בנובהרדוק</w:t>
      </w:r>
      <w:proofErr w:type="spellEnd"/>
      <w:r>
        <w:rPr>
          <w:color w:val="404040"/>
          <w:sz w:val="22"/>
          <w:szCs w:val="22"/>
          <w:rtl/>
        </w:rPr>
        <w:t xml:space="preserve"> לפני בעיה שאין לה פתרון – הסכם מפוקפק</w:t>
      </w:r>
    </w:p>
    <w:p w14:paraId="15F3206A" w14:textId="77777777" w:rsidR="00AB3647" w:rsidRDefault="00000000" w:rsidP="007923E9">
      <w:pPr>
        <w:spacing w:after="120" w:line="276" w:lineRule="auto"/>
        <w:ind w:firstLine="283"/>
        <w:jc w:val="both"/>
      </w:pPr>
      <w:r>
        <w:rPr>
          <w:rtl/>
        </w:rPr>
        <w:t xml:space="preserve">אפשר לשער שביקורו של ר׳ חיים בקובנה היה קשור בניסיונו להשיג לבנו ר׳ משה את כיסא הרבנות </w:t>
      </w:r>
      <w:proofErr w:type="spellStart"/>
      <w:r>
        <w:rPr>
          <w:rtl/>
        </w:rPr>
        <w:t>בראסיין</w:t>
      </w:r>
      <w:proofErr w:type="spellEnd"/>
      <w:r>
        <w:rPr>
          <w:rtl/>
        </w:rPr>
        <w:t xml:space="preserve">. הרב הקודם, ר׳ </w:t>
      </w:r>
      <w:proofErr w:type="spellStart"/>
      <w:r>
        <w:rPr>
          <w:rtl/>
        </w:rPr>
        <w:t>אלכסנדר־משה</w:t>
      </w:r>
      <w:proofErr w:type="spellEnd"/>
      <w:r>
        <w:rPr>
          <w:rtl/>
        </w:rPr>
        <w:t xml:space="preserve"> לפידות</w:t>
      </w:r>
      <w:bookmarkStart w:id="6577" w:name="_fnr4982"/>
      <w:r>
        <w:rPr>
          <w:rStyle w:val="a5"/>
        </w:rPr>
        <w:footnoteReference w:id="4995" w:customMarkFollows="0"/>
      </w:r>
      <w:bookmarkEnd w:id="6577"/>
      <w:r>
        <w:rPr>
          <w:rtl/>
        </w:rPr>
        <w:t>, נפטר שנתיים קודם לכן, והעיר חיפשה לו מחליף. בריאיון על ר׳ ישראל</w:t>
      </w:r>
      <w:bookmarkStart w:id="6578" w:name="_fnr4983"/>
      <w:r>
        <w:rPr>
          <w:rStyle w:val="a5"/>
        </w:rPr>
        <w:footnoteReference w:id="4996" w:customMarkFollows="0"/>
      </w:r>
      <w:bookmarkEnd w:id="6578"/>
      <w:r>
        <w:rPr>
          <w:rtl/>
        </w:rPr>
        <w:t xml:space="preserve"> תיאר אבי את המצב </w:t>
      </w:r>
      <w:proofErr w:type="spellStart"/>
      <w:r>
        <w:rPr>
          <w:rtl/>
        </w:rPr>
        <w:t>בראסיין</w:t>
      </w:r>
      <w:proofErr w:type="spellEnd"/>
      <w:r>
        <w:rPr>
          <w:rtl/>
        </w:rPr>
        <w:t xml:space="preserve"> כך: “ר׳ </w:t>
      </w:r>
      <w:proofErr w:type="spellStart"/>
      <w:r>
        <w:rPr>
          <w:rtl/>
        </w:rPr>
        <w:t>אלכסנדר־משה</w:t>
      </w:r>
      <w:proofErr w:type="spellEnd"/>
      <w:r>
        <w:rPr>
          <w:rtl/>
        </w:rPr>
        <w:t xml:space="preserve"> היה מן הרבנים החשובים ביותר בזמנו. הוא הגיע לזקנה מופלגת</w:t>
      </w:r>
      <w:bookmarkStart w:id="6579" w:name="_fnr4984"/>
      <w:r>
        <w:rPr>
          <w:rStyle w:val="a5"/>
        </w:rPr>
        <w:footnoteReference w:id="4997" w:customMarkFollows="0"/>
      </w:r>
      <w:bookmarkEnd w:id="6579"/>
      <w:r>
        <w:rPr>
          <w:rtl/>
        </w:rPr>
        <w:t xml:space="preserve">, אבל בשנותיו האחרונות לא היה שפוי בדעתו, והעיר הייתה </w:t>
      </w:r>
      <w:proofErr w:type="spellStart"/>
      <w:r>
        <w:rPr>
          <w:rtl/>
        </w:rPr>
        <w:t>אויף</w:t>
      </w:r>
      <w:proofErr w:type="spellEnd"/>
      <w:r>
        <w:rPr>
          <w:rtl/>
        </w:rPr>
        <w:t xml:space="preserve"> צרות [בצרות]. [ראשי העיר] לא יכלו למנות רב אחר, מפני שהרב הזקן היה בחיים, ולא היה את מי לשאול שאלה רצינית; לכן קיבלו דיין, אחיינו של רבם”.</w:t>
      </w:r>
    </w:p>
    <w:p w14:paraId="2B2F4831" w14:textId="77777777" w:rsidR="00AB3647" w:rsidRDefault="00000000" w:rsidP="007923E9">
      <w:pPr>
        <w:spacing w:after="120" w:line="276" w:lineRule="auto"/>
        <w:ind w:firstLine="283"/>
        <w:jc w:val="both"/>
      </w:pPr>
      <w:proofErr w:type="spellStart"/>
      <w:r>
        <w:rPr>
          <w:rtl/>
        </w:rPr>
        <w:t>ב“אהלי</w:t>
      </w:r>
      <w:proofErr w:type="spellEnd"/>
      <w:r>
        <w:rPr>
          <w:rtl/>
        </w:rPr>
        <w:t xml:space="preserve"> שם”</w:t>
      </w:r>
      <w:bookmarkStart w:id="6580" w:name="_fnr4985"/>
      <w:r>
        <w:rPr>
          <w:rStyle w:val="a5"/>
        </w:rPr>
        <w:footnoteReference w:id="4998" w:customMarkFollows="0"/>
      </w:r>
      <w:bookmarkEnd w:id="6580"/>
      <w:r>
        <w:rPr>
          <w:rtl/>
        </w:rPr>
        <w:t xml:space="preserve"> נקרא הדיין ר׳ </w:t>
      </w:r>
      <w:proofErr w:type="spellStart"/>
      <w:r>
        <w:rPr>
          <w:rtl/>
        </w:rPr>
        <w:t>אהרן־שמואל</w:t>
      </w:r>
      <w:proofErr w:type="spellEnd"/>
      <w:r>
        <w:rPr>
          <w:rtl/>
        </w:rPr>
        <w:t xml:space="preserve"> כץ, חתנו של ר׳ </w:t>
      </w:r>
      <w:proofErr w:type="spellStart"/>
      <w:r>
        <w:rPr>
          <w:rtl/>
        </w:rPr>
        <w:t>בן־ציון</w:t>
      </w:r>
      <w:proofErr w:type="spellEnd"/>
      <w:r>
        <w:rPr>
          <w:rtl/>
        </w:rPr>
        <w:t xml:space="preserve"> </w:t>
      </w:r>
      <w:proofErr w:type="spellStart"/>
      <w:r>
        <w:rPr>
          <w:rtl/>
        </w:rPr>
        <w:t>גינזבורג</w:t>
      </w:r>
      <w:proofErr w:type="spellEnd"/>
      <w:r>
        <w:rPr>
          <w:rtl/>
        </w:rPr>
        <w:t xml:space="preserve">, גיסו של ר׳ </w:t>
      </w:r>
      <w:proofErr w:type="spellStart"/>
      <w:r>
        <w:rPr>
          <w:rtl/>
        </w:rPr>
        <w:t>אלכסנדר־משה</w:t>
      </w:r>
      <w:proofErr w:type="spellEnd"/>
      <w:r>
        <w:rPr>
          <w:rtl/>
        </w:rPr>
        <w:t xml:space="preserve"> לפידות, ושם נמסר שר׳ </w:t>
      </w:r>
      <w:proofErr w:type="spellStart"/>
      <w:r>
        <w:rPr>
          <w:rtl/>
        </w:rPr>
        <w:t>אהרן־שמואל</w:t>
      </w:r>
      <w:proofErr w:type="spellEnd"/>
      <w:r>
        <w:rPr>
          <w:rtl/>
        </w:rPr>
        <w:t xml:space="preserve"> כץ נכנס לתפקידו </w:t>
      </w:r>
      <w:proofErr w:type="spellStart"/>
      <w:r>
        <w:rPr>
          <w:rtl/>
        </w:rPr>
        <w:t>בתרס״א</w:t>
      </w:r>
      <w:proofErr w:type="spellEnd"/>
      <w:r>
        <w:rPr>
          <w:rtl/>
        </w:rPr>
        <w:t xml:space="preserve">, חמש שנים לפני פטירת ר׳ </w:t>
      </w:r>
      <w:proofErr w:type="spellStart"/>
      <w:r>
        <w:rPr>
          <w:rtl/>
        </w:rPr>
        <w:t>אלכסנדר־משה</w:t>
      </w:r>
      <w:proofErr w:type="spellEnd"/>
      <w:r>
        <w:rPr>
          <w:rtl/>
        </w:rPr>
        <w:t xml:space="preserve">. אבי המשיך: “האחיין היה יושב בבית הרב, וכשבאו אנשים אל הרב, היה הדיין פוסק. </w:t>
      </w:r>
      <w:proofErr w:type="spellStart"/>
      <w:r>
        <w:rPr>
          <w:rtl/>
        </w:rPr>
        <w:t>בתרס״ו</w:t>
      </w:r>
      <w:proofErr w:type="spellEnd"/>
      <w:r>
        <w:rPr>
          <w:rtl/>
        </w:rPr>
        <w:t xml:space="preserve"> נפטר ר׳ </w:t>
      </w:r>
      <w:proofErr w:type="spellStart"/>
      <w:r>
        <w:rPr>
          <w:rtl/>
        </w:rPr>
        <w:t>אלכסנדר־משה</w:t>
      </w:r>
      <w:proofErr w:type="spellEnd"/>
      <w:r>
        <w:rPr>
          <w:rtl/>
        </w:rPr>
        <w:t xml:space="preserve"> לפידות, אבל הדיין הפיקח לא הניח לשום רב להיכנס [לעיר] – ער </w:t>
      </w:r>
      <w:proofErr w:type="spellStart"/>
      <w:r>
        <w:rPr>
          <w:rtl/>
        </w:rPr>
        <w:t>פלעגט</w:t>
      </w:r>
      <w:proofErr w:type="spellEnd"/>
      <w:r>
        <w:rPr>
          <w:rtl/>
        </w:rPr>
        <w:t xml:space="preserve"> ניט </w:t>
      </w:r>
      <w:proofErr w:type="spellStart"/>
      <w:r>
        <w:rPr>
          <w:rtl/>
        </w:rPr>
        <w:t>צולאזען</w:t>
      </w:r>
      <w:proofErr w:type="spellEnd"/>
      <w:r>
        <w:rPr>
          <w:rtl/>
        </w:rPr>
        <w:t xml:space="preserve"> קיין רב</w:t>
      </w:r>
      <w:bookmarkStart w:id="6581" w:name="_fnr4986"/>
      <w:r>
        <w:rPr>
          <w:rStyle w:val="a5"/>
        </w:rPr>
        <w:footnoteReference w:id="4999" w:customMarkFollows="0"/>
      </w:r>
      <w:bookmarkEnd w:id="6581"/>
      <w:r>
        <w:rPr>
          <w:rtl/>
        </w:rPr>
        <w:t xml:space="preserve">. ר׳ יוסף לייב בלוך, לימים רבה של </w:t>
      </w:r>
      <w:proofErr w:type="spellStart"/>
      <w:r>
        <w:rPr>
          <w:rtl/>
        </w:rPr>
        <w:t>טלז</w:t>
      </w:r>
      <w:bookmarkStart w:id="6582" w:name="_fnr4987"/>
      <w:proofErr w:type="spellEnd"/>
      <w:r>
        <w:rPr>
          <w:rStyle w:val="a5"/>
        </w:rPr>
        <w:footnoteReference w:id="5000" w:customMarkFollows="0"/>
      </w:r>
      <w:bookmarkEnd w:id="6582"/>
      <w:r>
        <w:rPr>
          <w:rtl/>
        </w:rPr>
        <w:t>, נסע לשם כמועמד לרבנות, ויצא בפחי נפש”.</w:t>
      </w:r>
    </w:p>
    <w:p w14:paraId="4FF156CB" w14:textId="77777777" w:rsidR="00AB3647" w:rsidRDefault="00000000" w:rsidP="007923E9">
      <w:pPr>
        <w:spacing w:after="120" w:line="276" w:lineRule="auto"/>
        <w:ind w:firstLine="283"/>
        <w:jc w:val="both"/>
      </w:pPr>
      <w:r>
        <w:rPr>
          <w:rtl/>
        </w:rPr>
        <w:t xml:space="preserve">מעניין שבערל </w:t>
      </w:r>
      <w:proofErr w:type="spellStart"/>
      <w:r>
        <w:rPr>
          <w:rtl/>
        </w:rPr>
        <w:t>קגן</w:t>
      </w:r>
      <w:bookmarkStart w:id="6583" w:name="_fnr4988"/>
      <w:proofErr w:type="spellEnd"/>
      <w:r>
        <w:rPr>
          <w:rStyle w:val="a5"/>
        </w:rPr>
        <w:footnoteReference w:id="5001" w:customMarkFollows="0"/>
      </w:r>
      <w:bookmarkEnd w:id="6583"/>
      <w:r>
        <w:rPr>
          <w:rtl/>
        </w:rPr>
        <w:t xml:space="preserve"> מונה את ר׳ </w:t>
      </w:r>
      <w:proofErr w:type="spellStart"/>
      <w:r>
        <w:rPr>
          <w:rtl/>
        </w:rPr>
        <w:t>יהושע־מרדכי</w:t>
      </w:r>
      <w:proofErr w:type="spellEnd"/>
      <w:r>
        <w:rPr>
          <w:rtl/>
        </w:rPr>
        <w:t xml:space="preserve"> </w:t>
      </w:r>
      <w:proofErr w:type="spellStart"/>
      <w:r>
        <w:rPr>
          <w:rtl/>
        </w:rPr>
        <w:t>קלצקין</w:t>
      </w:r>
      <w:proofErr w:type="spellEnd"/>
      <w:r>
        <w:rPr>
          <w:rtl/>
        </w:rPr>
        <w:t xml:space="preserve"> כיורשו של ר׳ משה </w:t>
      </w:r>
      <w:proofErr w:type="spellStart"/>
      <w:r>
        <w:rPr>
          <w:rtl/>
        </w:rPr>
        <w:t>סולובייצ׳יק</w:t>
      </w:r>
      <w:proofErr w:type="spellEnd"/>
      <w:r>
        <w:rPr>
          <w:rtl/>
        </w:rPr>
        <w:t xml:space="preserve">, שירש את ר׳ </w:t>
      </w:r>
      <w:proofErr w:type="spellStart"/>
      <w:r>
        <w:rPr>
          <w:rtl/>
        </w:rPr>
        <w:t>אלכסנדר־משה</w:t>
      </w:r>
      <w:proofErr w:type="spellEnd"/>
      <w:r>
        <w:rPr>
          <w:rtl/>
        </w:rPr>
        <w:t xml:space="preserve"> לפידות, וכך גם “לקורות”</w:t>
      </w:r>
      <w:bookmarkStart w:id="6584" w:name="_fnr4989"/>
      <w:r>
        <w:rPr>
          <w:rStyle w:val="a5"/>
        </w:rPr>
        <w:footnoteReference w:id="5002" w:customMarkFollows="0"/>
      </w:r>
      <w:bookmarkEnd w:id="6584"/>
      <w:r>
        <w:rPr>
          <w:rtl/>
        </w:rPr>
        <w:t xml:space="preserve">. כלומר, הרב </w:t>
      </w:r>
      <w:proofErr w:type="spellStart"/>
      <w:r>
        <w:rPr>
          <w:rtl/>
        </w:rPr>
        <w:t>קלצקין</w:t>
      </w:r>
      <w:proofErr w:type="spellEnd"/>
      <w:r>
        <w:rPr>
          <w:rtl/>
        </w:rPr>
        <w:t xml:space="preserve"> בא </w:t>
      </w:r>
      <w:proofErr w:type="spellStart"/>
      <w:r>
        <w:rPr>
          <w:rtl/>
        </w:rPr>
        <w:t>לראסיין</w:t>
      </w:r>
      <w:proofErr w:type="spellEnd"/>
      <w:r>
        <w:rPr>
          <w:rtl/>
        </w:rPr>
        <w:t xml:space="preserve"> אחרי תרע״ב, כשעזב ר׳ משה, ונשאר בה זמן שלא נמסר. אבל בערל </w:t>
      </w:r>
      <w:proofErr w:type="spellStart"/>
      <w:r>
        <w:rPr>
          <w:rtl/>
        </w:rPr>
        <w:t>קגן</w:t>
      </w:r>
      <w:bookmarkStart w:id="6585" w:name="_fnr4990"/>
      <w:proofErr w:type="spellEnd"/>
      <w:r>
        <w:rPr>
          <w:rStyle w:val="a5"/>
        </w:rPr>
        <w:footnoteReference w:id="5003" w:customMarkFollows="0"/>
      </w:r>
      <w:bookmarkEnd w:id="6585"/>
      <w:r>
        <w:rPr>
          <w:rtl/>
        </w:rPr>
        <w:t xml:space="preserve"> ממשיך ומונה את ר׳ </w:t>
      </w:r>
      <w:proofErr w:type="spellStart"/>
      <w:r>
        <w:rPr>
          <w:rtl/>
        </w:rPr>
        <w:t>אהרן־שמואל</w:t>
      </w:r>
      <w:proofErr w:type="spellEnd"/>
      <w:r>
        <w:rPr>
          <w:rtl/>
        </w:rPr>
        <w:t xml:space="preserve"> כץ כרבה של </w:t>
      </w:r>
      <w:proofErr w:type="spellStart"/>
      <w:r>
        <w:rPr>
          <w:rtl/>
        </w:rPr>
        <w:t>ראסיין</w:t>
      </w:r>
      <w:proofErr w:type="spellEnd"/>
      <w:r>
        <w:rPr>
          <w:rtl/>
        </w:rPr>
        <w:t xml:space="preserve"> משנת תרס״ו – עוד לפני בוא ר׳ משה </w:t>
      </w:r>
      <w:proofErr w:type="spellStart"/>
      <w:r>
        <w:rPr>
          <w:rtl/>
        </w:rPr>
        <w:t>סולובייצ׳יק</w:t>
      </w:r>
      <w:proofErr w:type="spellEnd"/>
      <w:r>
        <w:rPr>
          <w:rtl/>
        </w:rPr>
        <w:t xml:space="preserve"> – ועד </w:t>
      </w:r>
      <w:r>
        <w:rPr>
          <w:rtl/>
        </w:rPr>
        <w:lastRenderedPageBreak/>
        <w:t xml:space="preserve">שנהרג על קידוש השם תחת הגרמנים. לאור דברי אבי, ההסבר הוא זה: ר׳ </w:t>
      </w:r>
      <w:proofErr w:type="spellStart"/>
      <w:r>
        <w:rPr>
          <w:rtl/>
        </w:rPr>
        <w:t>אהרן־שמואל</w:t>
      </w:r>
      <w:proofErr w:type="spellEnd"/>
      <w:r>
        <w:rPr>
          <w:rtl/>
        </w:rPr>
        <w:t xml:space="preserve"> כץ היה קוץ בבשרם של המועמדים לרבנות מאז פטירת ר׳ </w:t>
      </w:r>
      <w:proofErr w:type="spellStart"/>
      <w:r>
        <w:rPr>
          <w:rtl/>
        </w:rPr>
        <w:t>אלכסנדר־משה</w:t>
      </w:r>
      <w:proofErr w:type="spellEnd"/>
      <w:r>
        <w:rPr>
          <w:rtl/>
        </w:rPr>
        <w:t xml:space="preserve"> לפידות; ואחרי כהונת הרב </w:t>
      </w:r>
      <w:proofErr w:type="spellStart"/>
      <w:r>
        <w:rPr>
          <w:rtl/>
        </w:rPr>
        <w:t>קלצקין</w:t>
      </w:r>
      <w:proofErr w:type="spellEnd"/>
      <w:r>
        <w:rPr>
          <w:rtl/>
        </w:rPr>
        <w:t xml:space="preserve"> [שהייתה כנראה קצרה] החליטה העיר לקבל את הטוען העיקש </w:t>
      </w:r>
      <w:proofErr w:type="spellStart"/>
      <w:r>
        <w:rPr>
          <w:rtl/>
        </w:rPr>
        <w:t>לכסא</w:t>
      </w:r>
      <w:proofErr w:type="spellEnd"/>
      <w:r>
        <w:rPr>
          <w:rtl/>
        </w:rPr>
        <w:t xml:space="preserve"> הרבנות [מאז תרס״ו!] כרבה הרשמי, ובמובן מסוים – למפרע.</w:t>
      </w:r>
    </w:p>
    <w:p w14:paraId="789B7F29" w14:textId="77777777" w:rsidR="00AB3647" w:rsidRDefault="00000000" w:rsidP="007923E9">
      <w:pPr>
        <w:spacing w:after="120" w:line="276" w:lineRule="auto"/>
        <w:ind w:firstLine="283"/>
        <w:jc w:val="both"/>
      </w:pPr>
      <w:r>
        <w:rPr>
          <w:rtl/>
        </w:rPr>
        <w:t xml:space="preserve">בערל </w:t>
      </w:r>
      <w:proofErr w:type="spellStart"/>
      <w:r>
        <w:rPr>
          <w:rtl/>
        </w:rPr>
        <w:t>קגן</w:t>
      </w:r>
      <w:bookmarkStart w:id="6586" w:name="_fnr4991"/>
      <w:proofErr w:type="spellEnd"/>
      <w:r>
        <w:rPr>
          <w:rStyle w:val="a5"/>
        </w:rPr>
        <w:footnoteReference w:id="5004" w:customMarkFollows="0"/>
      </w:r>
      <w:bookmarkEnd w:id="6586"/>
      <w:r>
        <w:rPr>
          <w:rtl/>
        </w:rPr>
        <w:t xml:space="preserve"> מצטט רשימה </w:t>
      </w:r>
      <w:proofErr w:type="spellStart"/>
      <w:r>
        <w:rPr>
          <w:rtl/>
        </w:rPr>
        <w:t>מתרע״ג</w:t>
      </w:r>
      <w:proofErr w:type="spellEnd"/>
      <w:r>
        <w:rPr>
          <w:rtl/>
        </w:rPr>
        <w:t xml:space="preserve"> של תומכי אגודת ישראל </w:t>
      </w:r>
      <w:proofErr w:type="spellStart"/>
      <w:r>
        <w:rPr>
          <w:rtl/>
        </w:rPr>
        <w:t>בראסיין</w:t>
      </w:r>
      <w:proofErr w:type="spellEnd"/>
      <w:r>
        <w:rPr>
          <w:rtl/>
        </w:rPr>
        <w:t xml:space="preserve">, ור׳ </w:t>
      </w:r>
      <w:proofErr w:type="spellStart"/>
      <w:r>
        <w:rPr>
          <w:rtl/>
        </w:rPr>
        <w:t>יהושע־מרדכי</w:t>
      </w:r>
      <w:proofErr w:type="spellEnd"/>
      <w:r>
        <w:rPr>
          <w:rtl/>
        </w:rPr>
        <w:t xml:space="preserve"> </w:t>
      </w:r>
      <w:proofErr w:type="spellStart"/>
      <w:r>
        <w:rPr>
          <w:rtl/>
        </w:rPr>
        <w:t>קלצקין</w:t>
      </w:r>
      <w:proofErr w:type="spellEnd"/>
      <w:r>
        <w:rPr>
          <w:rtl/>
        </w:rPr>
        <w:t xml:space="preserve"> נמנה בה </w:t>
      </w:r>
      <w:r>
        <w:rPr>
          <w:b/>
          <w:bCs/>
          <w:rtl/>
        </w:rPr>
        <w:t>לפני</w:t>
      </w:r>
      <w:r>
        <w:rPr>
          <w:rtl/>
        </w:rPr>
        <w:t xml:space="preserve"> ר׳ </w:t>
      </w:r>
      <w:proofErr w:type="spellStart"/>
      <w:r>
        <w:rPr>
          <w:rtl/>
        </w:rPr>
        <w:t>אהרן־שמואל</w:t>
      </w:r>
      <w:proofErr w:type="spellEnd"/>
      <w:r>
        <w:rPr>
          <w:rtl/>
        </w:rPr>
        <w:t xml:space="preserve"> כץ – מה שמעיד שהרב </w:t>
      </w:r>
      <w:proofErr w:type="spellStart"/>
      <w:r>
        <w:rPr>
          <w:rtl/>
        </w:rPr>
        <w:t>קלצקין</w:t>
      </w:r>
      <w:proofErr w:type="spellEnd"/>
      <w:r>
        <w:rPr>
          <w:rtl/>
        </w:rPr>
        <w:t xml:space="preserve"> היה אז הרב, והאחר רק הדיין. אגב, בערל </w:t>
      </w:r>
      <w:proofErr w:type="spellStart"/>
      <w:r>
        <w:rPr>
          <w:rtl/>
        </w:rPr>
        <w:t>קגן</w:t>
      </w:r>
      <w:proofErr w:type="spellEnd"/>
      <w:r>
        <w:rPr>
          <w:rtl/>
        </w:rPr>
        <w:t xml:space="preserve"> מתאר את ר׳ </w:t>
      </w:r>
      <w:proofErr w:type="spellStart"/>
      <w:r>
        <w:rPr>
          <w:rtl/>
        </w:rPr>
        <w:t>אהרן־שמואל</w:t>
      </w:r>
      <w:proofErr w:type="spellEnd"/>
      <w:r>
        <w:rPr>
          <w:rtl/>
        </w:rPr>
        <w:t xml:space="preserve"> כץ כגיסו של ר׳ </w:t>
      </w:r>
      <w:proofErr w:type="spellStart"/>
      <w:r>
        <w:rPr>
          <w:rtl/>
        </w:rPr>
        <w:t>אלכסנדר־משה</w:t>
      </w:r>
      <w:proofErr w:type="spellEnd"/>
      <w:r>
        <w:rPr>
          <w:rtl/>
        </w:rPr>
        <w:t xml:space="preserve">, בעוד שלמעשה היה </w:t>
      </w:r>
      <w:r>
        <w:rPr>
          <w:b/>
          <w:bCs/>
          <w:rtl/>
        </w:rPr>
        <w:t>אחיינו</w:t>
      </w:r>
      <w:r>
        <w:rPr>
          <w:rtl/>
        </w:rPr>
        <w:t xml:space="preserve"> של ר׳ </w:t>
      </w:r>
      <w:proofErr w:type="spellStart"/>
      <w:r>
        <w:rPr>
          <w:rtl/>
        </w:rPr>
        <w:t>אלכסנדר־משה</w:t>
      </w:r>
      <w:proofErr w:type="spellEnd"/>
      <w:r>
        <w:rPr>
          <w:rtl/>
        </w:rPr>
        <w:t xml:space="preserve"> לפידות.</w:t>
      </w:r>
    </w:p>
    <w:p w14:paraId="006A4ACC" w14:textId="77777777" w:rsidR="00AB3647" w:rsidRDefault="00000000" w:rsidP="007923E9">
      <w:pPr>
        <w:spacing w:after="120" w:line="276" w:lineRule="auto"/>
        <w:ind w:firstLine="283"/>
        <w:jc w:val="both"/>
      </w:pPr>
      <w:r>
        <w:rPr>
          <w:rtl/>
        </w:rPr>
        <w:t xml:space="preserve">רבנו המשיך: “ר׳ חיים </w:t>
      </w:r>
      <w:proofErr w:type="spellStart"/>
      <w:r>
        <w:rPr>
          <w:rtl/>
        </w:rPr>
        <w:t>סולובייצ׳יק</w:t>
      </w:r>
      <w:proofErr w:type="spellEnd"/>
      <w:r>
        <w:rPr>
          <w:rtl/>
        </w:rPr>
        <w:t xml:space="preserve"> כתב אז </w:t>
      </w:r>
      <w:proofErr w:type="spellStart"/>
      <w:r>
        <w:rPr>
          <w:rtl/>
        </w:rPr>
        <w:t>לר</w:t>
      </w:r>
      <w:proofErr w:type="spellEnd"/>
      <w:r>
        <w:rPr>
          <w:rtl/>
        </w:rPr>
        <w:t xml:space="preserve">׳ </w:t>
      </w:r>
      <w:proofErr w:type="spellStart"/>
      <w:r>
        <w:rPr>
          <w:rtl/>
        </w:rPr>
        <w:t>ברוך־בער</w:t>
      </w:r>
      <w:proofErr w:type="spellEnd"/>
      <w:r>
        <w:rPr>
          <w:rtl/>
        </w:rPr>
        <w:t xml:space="preserve"> </w:t>
      </w:r>
      <w:proofErr w:type="spellStart"/>
      <w:r>
        <w:rPr>
          <w:rtl/>
        </w:rPr>
        <w:t>ליבוביץ</w:t>
      </w:r>
      <w:proofErr w:type="spellEnd"/>
      <w:r>
        <w:rPr>
          <w:rtl/>
        </w:rPr>
        <w:t xml:space="preserve"> שייסע </w:t>
      </w:r>
      <w:proofErr w:type="spellStart"/>
      <w:r>
        <w:rPr>
          <w:rtl/>
        </w:rPr>
        <w:t>לראסיין</w:t>
      </w:r>
      <w:proofErr w:type="spellEnd"/>
      <w:r>
        <w:rPr>
          <w:rtl/>
        </w:rPr>
        <w:t xml:space="preserve"> וישיג את הרבנות שם לבנו [השני של ר׳ חיים], ר׳ משה, שהיה אז רק בשלהי שנות העשרים לחייו ועדיין לא כיהן ברבנות. ואם </w:t>
      </w:r>
      <w:proofErr w:type="spellStart"/>
      <w:r>
        <w:rPr>
          <w:rtl/>
        </w:rPr>
        <w:t>ה‘רבי</w:t>
      </w:r>
      <w:proofErr w:type="spellEnd"/>
      <w:r>
        <w:rPr>
          <w:rtl/>
        </w:rPr>
        <w:t xml:space="preserve">’ מצווה – ר׳ </w:t>
      </w:r>
      <w:proofErr w:type="spellStart"/>
      <w:r>
        <w:rPr>
          <w:rtl/>
        </w:rPr>
        <w:t>ברוך־בער</w:t>
      </w:r>
      <w:proofErr w:type="spellEnd"/>
      <w:r>
        <w:rPr>
          <w:rtl/>
        </w:rPr>
        <w:t xml:space="preserve"> מציית!</w:t>
      </w:r>
      <w:bookmarkStart w:id="6587" w:name="_fnr4992"/>
      <w:r>
        <w:rPr>
          <w:rStyle w:val="a5"/>
        </w:rPr>
        <w:footnoteReference w:id="5005" w:customMarkFollows="0"/>
      </w:r>
      <w:bookmarkEnd w:id="6587"/>
      <w:r>
        <w:rPr>
          <w:rtl/>
        </w:rPr>
        <w:t xml:space="preserve"> ר׳ </w:t>
      </w:r>
      <w:proofErr w:type="spellStart"/>
      <w:r>
        <w:rPr>
          <w:rtl/>
        </w:rPr>
        <w:t>ברוך־בער</w:t>
      </w:r>
      <w:proofErr w:type="spellEnd"/>
      <w:r>
        <w:rPr>
          <w:rtl/>
        </w:rPr>
        <w:t xml:space="preserve"> נשא בעיר נאום בשבח המועמד, ואמר בו שר׳ משה מסוגל </w:t>
      </w:r>
      <w:proofErr w:type="spellStart"/>
      <w:r>
        <w:rPr>
          <w:rtl/>
        </w:rPr>
        <w:t>פארענטפערען</w:t>
      </w:r>
      <w:proofErr w:type="spellEnd"/>
      <w:r>
        <w:rPr>
          <w:rtl/>
        </w:rPr>
        <w:t xml:space="preserve"> </w:t>
      </w:r>
      <w:proofErr w:type="spellStart"/>
      <w:r>
        <w:rPr>
          <w:rtl/>
        </w:rPr>
        <w:t>אלע</w:t>
      </w:r>
      <w:proofErr w:type="spellEnd"/>
      <w:r>
        <w:rPr>
          <w:rtl/>
        </w:rPr>
        <w:t xml:space="preserve"> </w:t>
      </w:r>
      <w:proofErr w:type="spellStart"/>
      <w:r>
        <w:rPr>
          <w:rtl/>
        </w:rPr>
        <w:t>שווערע</w:t>
      </w:r>
      <w:proofErr w:type="spellEnd"/>
      <w:r>
        <w:rPr>
          <w:rtl/>
        </w:rPr>
        <w:t xml:space="preserve"> </w:t>
      </w:r>
      <w:proofErr w:type="spellStart"/>
      <w:r>
        <w:rPr>
          <w:rtl/>
        </w:rPr>
        <w:t>רמב״מ׳ס</w:t>
      </w:r>
      <w:proofErr w:type="spellEnd"/>
      <w:r>
        <w:rPr>
          <w:rtl/>
        </w:rPr>
        <w:t xml:space="preserve"> [ליישב את כל </w:t>
      </w:r>
      <w:proofErr w:type="spellStart"/>
      <w:r>
        <w:rPr>
          <w:rtl/>
        </w:rPr>
        <w:t>הרמב״מים</w:t>
      </w:r>
      <w:proofErr w:type="spellEnd"/>
      <w:r>
        <w:rPr>
          <w:rtl/>
        </w:rPr>
        <w:t xml:space="preserve"> הקשים]. אבל איש מבעלי הבתים לא זז. הם ראו מעט חוצפה בכך שצעיר חסר ניסיון רוצה לרשת רבנות שבה כיהן ארבעים שנה אחד מגדולי רבני דורו”. (את תחושתם של אנשי </w:t>
      </w:r>
      <w:proofErr w:type="spellStart"/>
      <w:r>
        <w:rPr>
          <w:rtl/>
        </w:rPr>
        <w:t>ראסיין</w:t>
      </w:r>
      <w:proofErr w:type="spellEnd"/>
      <w:r>
        <w:rPr>
          <w:rtl/>
        </w:rPr>
        <w:t xml:space="preserve"> אפשר לנסח בלשון התנגדותו של “הגדול” ממינסק למינוי ר׳ חיים לרבנות </w:t>
      </w:r>
      <w:proofErr w:type="spellStart"/>
      <w:r>
        <w:rPr>
          <w:rtl/>
        </w:rPr>
        <w:t>בריסק</w:t>
      </w:r>
      <w:proofErr w:type="spellEnd"/>
      <w:r>
        <w:rPr>
          <w:rtl/>
        </w:rPr>
        <w:t xml:space="preserve"> </w:t>
      </w:r>
      <w:proofErr w:type="spellStart"/>
      <w:r>
        <w:rPr>
          <w:rtl/>
        </w:rPr>
        <w:t>שש־עשרה</w:t>
      </w:r>
      <w:proofErr w:type="spellEnd"/>
      <w:r>
        <w:rPr>
          <w:rtl/>
        </w:rPr>
        <w:t xml:space="preserve"> שנה קודם לכן, המובאת בפסקה החמישית להלן: “גלייך </w:t>
      </w:r>
      <w:proofErr w:type="spellStart"/>
      <w:r>
        <w:rPr>
          <w:rtl/>
        </w:rPr>
        <w:t>ראסיין</w:t>
      </w:r>
      <w:proofErr w:type="spellEnd"/>
      <w:r>
        <w:rPr>
          <w:rtl/>
        </w:rPr>
        <w:t xml:space="preserve">?! [ישר </w:t>
      </w:r>
      <w:proofErr w:type="spellStart"/>
      <w:r>
        <w:rPr>
          <w:rtl/>
        </w:rPr>
        <w:t>לראסיין</w:t>
      </w:r>
      <w:proofErr w:type="spellEnd"/>
      <w:r>
        <w:rPr>
          <w:rtl/>
        </w:rPr>
        <w:t>?!]”)</w:t>
      </w:r>
    </w:p>
    <w:p w14:paraId="08C4342D" w14:textId="77777777" w:rsidR="00AB3647" w:rsidRDefault="00000000" w:rsidP="007923E9">
      <w:pPr>
        <w:spacing w:after="120" w:line="276" w:lineRule="auto"/>
        <w:ind w:firstLine="283"/>
        <w:jc w:val="both"/>
      </w:pPr>
      <w:r>
        <w:rPr>
          <w:rtl/>
        </w:rPr>
        <w:t xml:space="preserve">“ר׳ </w:t>
      </w:r>
      <w:proofErr w:type="spellStart"/>
      <w:r>
        <w:rPr>
          <w:rtl/>
        </w:rPr>
        <w:t>ברוך־בער</w:t>
      </w:r>
      <w:proofErr w:type="spellEnd"/>
      <w:r>
        <w:rPr>
          <w:rtl/>
        </w:rPr>
        <w:t xml:space="preserve"> חש”, המשיך אבי, “שיש למלא את רצון </w:t>
      </w:r>
      <w:proofErr w:type="spellStart"/>
      <w:r>
        <w:rPr>
          <w:rtl/>
        </w:rPr>
        <w:t>ה‘רבי</w:t>
      </w:r>
      <w:proofErr w:type="spellEnd"/>
      <w:r>
        <w:rPr>
          <w:rtl/>
        </w:rPr>
        <w:t xml:space="preserve">’. לכן לקח עמו אחד מן המכובדים בעיר, סבב בבתי בני הקהילה וביקש שיחתמו על כתב הרבנות. אם ר׳ </w:t>
      </w:r>
      <w:proofErr w:type="spellStart"/>
      <w:r>
        <w:rPr>
          <w:rtl/>
        </w:rPr>
        <w:t>ברוך־בער</w:t>
      </w:r>
      <w:proofErr w:type="spellEnd"/>
      <w:r>
        <w:rPr>
          <w:rtl/>
        </w:rPr>
        <w:t xml:space="preserve"> בא בעצמו – מי יכול לסרב לו?! אבל כשבא </w:t>
      </w:r>
      <w:proofErr w:type="spellStart"/>
      <w:r>
        <w:rPr>
          <w:rtl/>
        </w:rPr>
        <w:t>לר</w:t>
      </w:r>
      <w:proofErr w:type="spellEnd"/>
      <w:r>
        <w:rPr>
          <w:rtl/>
        </w:rPr>
        <w:t>׳ פישל בר</w:t>
      </w:r>
      <w:bookmarkStart w:id="6588" w:name="_fnr4993"/>
      <w:r>
        <w:rPr>
          <w:rStyle w:val="a5"/>
        </w:rPr>
        <w:footnoteReference w:id="5006" w:customMarkFollows="0"/>
      </w:r>
      <w:bookmarkEnd w:id="6588"/>
      <w:r>
        <w:rPr>
          <w:rtl/>
        </w:rPr>
        <w:t xml:space="preserve"> – הכרתי את ר׳ פישל אישית מימי הקיץ שבילה </w:t>
      </w:r>
      <w:proofErr w:type="spellStart"/>
      <w:r>
        <w:rPr>
          <w:rtl/>
        </w:rPr>
        <w:t>בציטוביאן</w:t>
      </w:r>
      <w:proofErr w:type="spellEnd"/>
      <w:r>
        <w:rPr>
          <w:rtl/>
        </w:rPr>
        <w:t xml:space="preserve">, עיירתי, והוא ידע ממש הכול, ער האט אלץ </w:t>
      </w:r>
      <w:proofErr w:type="spellStart"/>
      <w:r>
        <w:rPr>
          <w:rtl/>
        </w:rPr>
        <w:t>געקענט</w:t>
      </w:r>
      <w:proofErr w:type="spellEnd"/>
      <w:r>
        <w:rPr>
          <w:rtl/>
        </w:rPr>
        <w:t xml:space="preserve">! – אמר </w:t>
      </w:r>
      <w:proofErr w:type="spellStart"/>
      <w:r>
        <w:rPr>
          <w:rtl/>
        </w:rPr>
        <w:t>לר</w:t>
      </w:r>
      <w:proofErr w:type="spellEnd"/>
      <w:r>
        <w:rPr>
          <w:rtl/>
        </w:rPr>
        <w:t xml:space="preserve">׳ </w:t>
      </w:r>
      <w:proofErr w:type="spellStart"/>
      <w:r>
        <w:rPr>
          <w:rtl/>
        </w:rPr>
        <w:t>ברוך־בער</w:t>
      </w:r>
      <w:proofErr w:type="spellEnd"/>
      <w:r>
        <w:rPr>
          <w:rtl/>
        </w:rPr>
        <w:t xml:space="preserve"> בגלוי שאינו יכול לחתום, מפני </w:t>
      </w:r>
      <w:proofErr w:type="spellStart"/>
      <w:r>
        <w:rPr>
          <w:rtl/>
        </w:rPr>
        <w:t>ש‘ראסיין</w:t>
      </w:r>
      <w:proofErr w:type="spellEnd"/>
      <w:r>
        <w:rPr>
          <w:rtl/>
        </w:rPr>
        <w:t xml:space="preserve"> ראויה לרב גדול יותר’. </w:t>
      </w:r>
      <w:proofErr w:type="spellStart"/>
      <w:r>
        <w:rPr>
          <w:rtl/>
        </w:rPr>
        <w:t>ראסיין</w:t>
      </w:r>
      <w:proofErr w:type="spellEnd"/>
      <w:r>
        <w:rPr>
          <w:rtl/>
        </w:rPr>
        <w:t xml:space="preserve">”, הוסיף אבי במאמר מוסגר, “לא הייתה כרך, אלא עיירה גדולה יותר, מן העיירות </w:t>
      </w:r>
      <w:proofErr w:type="spellStart"/>
      <w:r>
        <w:rPr>
          <w:rtl/>
        </w:rPr>
        <w:t>החשוב׳ע</w:t>
      </w:r>
      <w:proofErr w:type="spellEnd"/>
      <w:r>
        <w:rPr>
          <w:rtl/>
        </w:rPr>
        <w:t xml:space="preserve"> בליטא”. והמשיך: “‘ואשר לבקיאותו ברמב״ם׳, הוסיף ר׳ פישל, ‘מי אמר שעליו ליישב את </w:t>
      </w:r>
      <w:proofErr w:type="spellStart"/>
      <w:r>
        <w:rPr>
          <w:rtl/>
        </w:rPr>
        <w:t>הרמב״מים</w:t>
      </w:r>
      <w:proofErr w:type="spellEnd"/>
      <w:r>
        <w:rPr>
          <w:rtl/>
        </w:rPr>
        <w:t xml:space="preserve"> הקשים דווקא </w:t>
      </w:r>
      <w:proofErr w:type="spellStart"/>
      <w:r>
        <w:rPr>
          <w:rtl/>
        </w:rPr>
        <w:t>בראסיין</w:t>
      </w:r>
      <w:proofErr w:type="spellEnd"/>
      <w:r>
        <w:rPr>
          <w:rtl/>
        </w:rPr>
        <w:t xml:space="preserve">? שיישב אותם </w:t>
      </w:r>
      <w:proofErr w:type="spellStart"/>
      <w:r>
        <w:rPr>
          <w:rtl/>
        </w:rPr>
        <w:t>בבריסק</w:t>
      </w:r>
      <w:proofErr w:type="spellEnd"/>
      <w:r>
        <w:rPr>
          <w:rtl/>
        </w:rPr>
        <w:t>’”.</w:t>
      </w:r>
    </w:p>
    <w:p w14:paraId="6A126170" w14:textId="77777777" w:rsidR="00AB3647" w:rsidRDefault="00000000" w:rsidP="007923E9">
      <w:pPr>
        <w:spacing w:after="120" w:line="276" w:lineRule="auto"/>
        <w:ind w:firstLine="283"/>
        <w:jc w:val="both"/>
      </w:pPr>
      <w:r>
        <w:rPr>
          <w:rtl/>
        </w:rPr>
        <w:t xml:space="preserve">(ר׳ </w:t>
      </w:r>
      <w:proofErr w:type="spellStart"/>
      <w:r>
        <w:rPr>
          <w:rtl/>
        </w:rPr>
        <w:t>יענקל</w:t>
      </w:r>
      <w:proofErr w:type="spellEnd"/>
      <w:r>
        <w:rPr>
          <w:rtl/>
        </w:rPr>
        <w:t xml:space="preserve"> </w:t>
      </w:r>
      <w:proofErr w:type="spellStart"/>
      <w:r>
        <w:rPr>
          <w:rtl/>
        </w:rPr>
        <w:t>לשינסקי</w:t>
      </w:r>
      <w:proofErr w:type="spellEnd"/>
      <w:r>
        <w:rPr>
          <w:rtl/>
        </w:rPr>
        <w:t xml:space="preserve"> סיפר ששמע מרבנו</w:t>
      </w:r>
      <w:bookmarkStart w:id="6589" w:name="_fnr4994"/>
      <w:r>
        <w:rPr>
          <w:rStyle w:val="a5"/>
        </w:rPr>
        <w:footnoteReference w:id="5007" w:customMarkFollows="0"/>
      </w:r>
      <w:bookmarkEnd w:id="6589"/>
      <w:r>
        <w:rPr>
          <w:rtl/>
        </w:rPr>
        <w:t xml:space="preserve"> טיעון מקביל מפי ר׳ פישל: “</w:t>
      </w:r>
      <w:proofErr w:type="spellStart"/>
      <w:r>
        <w:rPr>
          <w:rtl/>
        </w:rPr>
        <w:t>שראסיין</w:t>
      </w:r>
      <w:proofErr w:type="spellEnd"/>
      <w:r>
        <w:rPr>
          <w:rtl/>
        </w:rPr>
        <w:t xml:space="preserve"> צריכה רב – אין ספק; שר׳ משה </w:t>
      </w:r>
      <w:proofErr w:type="spellStart"/>
      <w:r>
        <w:rPr>
          <w:rtl/>
        </w:rPr>
        <w:t>סולובייצ׳יק</w:t>
      </w:r>
      <w:proofErr w:type="spellEnd"/>
      <w:r>
        <w:rPr>
          <w:rtl/>
        </w:rPr>
        <w:t xml:space="preserve"> צריך משרה – אין להכחיש; אבל מי אומר שדווקא את ר׳ משה </w:t>
      </w:r>
      <w:proofErr w:type="spellStart"/>
      <w:r>
        <w:rPr>
          <w:rtl/>
        </w:rPr>
        <w:t>סולובייצ׳יק</w:t>
      </w:r>
      <w:proofErr w:type="spellEnd"/>
      <w:r>
        <w:rPr>
          <w:rtl/>
        </w:rPr>
        <w:t xml:space="preserve"> חייבת </w:t>
      </w:r>
      <w:proofErr w:type="spellStart"/>
      <w:r>
        <w:rPr>
          <w:rtl/>
        </w:rPr>
        <w:t>ראסיין</w:t>
      </w:r>
      <w:proofErr w:type="spellEnd"/>
      <w:r>
        <w:rPr>
          <w:rtl/>
        </w:rPr>
        <w:t xml:space="preserve"> לקחת?”) “היו עוד אנשים אחדים שלא חתמו, אבל ר׳ משה יכול היה על פי דין להיות רב גם בלי הסכמת מיעוט קטן, וכך היה”, סיים אבי.</w:t>
      </w:r>
    </w:p>
    <w:p w14:paraId="5E30E8C7" w14:textId="77777777" w:rsidR="00AB3647" w:rsidRDefault="00000000" w:rsidP="007923E9">
      <w:pPr>
        <w:spacing w:after="120" w:line="276" w:lineRule="auto"/>
        <w:ind w:firstLine="283"/>
        <w:jc w:val="both"/>
      </w:pPr>
      <w:r>
        <w:rPr>
          <w:rtl/>
        </w:rPr>
        <w:t xml:space="preserve">הדבר לא מנע מר׳ פישל בר לנסות לחשוף את בורותו המשוערת של הרב החדש באחרונים – כך לפי בנו של ר׳ משה, ר׳ אהרן </w:t>
      </w:r>
      <w:proofErr w:type="spellStart"/>
      <w:r>
        <w:rPr>
          <w:rtl/>
        </w:rPr>
        <w:t>סולובייצ׳יק</w:t>
      </w:r>
      <w:bookmarkStart w:id="6590" w:name="_fnr4995"/>
      <w:proofErr w:type="spellEnd"/>
      <w:r>
        <w:rPr>
          <w:rStyle w:val="a5"/>
        </w:rPr>
        <w:footnoteReference w:id="5008" w:customMarkFollows="0"/>
      </w:r>
      <w:bookmarkEnd w:id="6590"/>
      <w:r>
        <w:rPr>
          <w:rtl/>
        </w:rPr>
        <w:t xml:space="preserve">. “ר׳ פישל ידע היטב שאת אבא ר׳ משה אי </w:t>
      </w:r>
      <w:r>
        <w:rPr>
          <w:rtl/>
        </w:rPr>
        <w:lastRenderedPageBreak/>
        <w:t>אפשר להכשיל בשום ראשון”, אמר ר׳ אהרן. “אך ר׳ פישל שאלו מה המקור לפסול אתרוג מורכב, עניין שאין הראשונים עוסקים בו. ר׳ משה ידע את התשובה והשיב: ‘המגן אברהם, אחרון, הוא המקור; ועוד, הגמרא פוסלת אותו כשאומרת שנדרש אתרוג ולא לימון’”. “הרב”</w:t>
      </w:r>
      <w:bookmarkStart w:id="6591" w:name="_fnr4996"/>
      <w:r>
        <w:rPr>
          <w:rStyle w:val="a5"/>
        </w:rPr>
        <w:footnoteReference w:id="5009" w:customMarkFollows="0"/>
      </w:r>
      <w:bookmarkEnd w:id="6591"/>
      <w:r>
        <w:rPr>
          <w:rtl/>
        </w:rPr>
        <w:t xml:space="preserve"> טועה כשהוא מוסר בשם בנו הבכור של ר׳ משה, ר׳ </w:t>
      </w:r>
      <w:proofErr w:type="spellStart"/>
      <w:r>
        <w:rPr>
          <w:rtl/>
        </w:rPr>
        <w:t xml:space="preserve">יוסף־דב</w:t>
      </w:r>
      <w:proofErr w:type="spellEnd"/>
      <w:r>
        <w:rPr>
          <w:rtl/>
        </w:rPr>
        <w:t xml:space="preserve">, </w:t>
      </w:r>
      <w:proofErr w:type="spellStart"/>
      <w:r>
        <w:rPr>
          <w:rtl/>
        </w:rPr>
        <w:t>ש“דיין</w:t>
      </w:r>
      <w:proofErr w:type="spellEnd"/>
      <w:r>
        <w:rPr>
          <w:rtl/>
        </w:rPr>
        <w:t xml:space="preserve">” מסוים </w:t>
      </w:r>
      <w:proofErr w:type="spellStart"/>
      <w:r>
        <w:rPr>
          <w:rtl/>
        </w:rPr>
        <w:t>בראסיין</w:t>
      </w:r>
      <w:proofErr w:type="spellEnd"/>
      <w:r>
        <w:rPr>
          <w:rtl/>
        </w:rPr>
        <w:t xml:space="preserve"> סירב לחתום על כתב הרבנות של ר׳ משה, ושדיין זה, “שהתפרנס ממכירת אתרוגים”, ניסה לתפוס את ר׳ משה בעניין האתרוג המורכב. מי </w:t>
      </w:r>
      <w:proofErr w:type="spellStart"/>
      <w:r>
        <w:rPr>
          <w:rtl/>
        </w:rPr>
        <w:t>ש“בחן</w:t>
      </w:r>
      <w:proofErr w:type="spellEnd"/>
      <w:r>
        <w:rPr>
          <w:rtl/>
        </w:rPr>
        <w:t>” את ר׳ משה באתרוגים מורכבים היה ר׳ פישל, והוא לא היה עובד ציבור, אלא, כפי שתיארו אבי, מנהיג קהילה עשיר ותלמיד חכם מופלג</w:t>
      </w:r>
      <w:bookmarkStart w:id="6592" w:name="_fnr4997"/>
      <w:r>
        <w:rPr>
          <w:rStyle w:val="a5"/>
        </w:rPr>
        <w:footnoteReference w:id="5010" w:customMarkFollows="0"/>
      </w:r>
      <w:bookmarkEnd w:id="6592"/>
      <w:r>
        <w:rPr>
          <w:rtl/>
        </w:rPr>
        <w:t>.</w:t>
      </w:r>
    </w:p>
    <w:p w14:paraId="155F0FC9" w14:textId="77777777" w:rsidR="00AB3647" w:rsidRDefault="00000000" w:rsidP="007923E9">
      <w:pPr>
        <w:spacing w:after="120" w:line="276" w:lineRule="auto"/>
        <w:ind w:firstLine="283"/>
        <w:jc w:val="both"/>
      </w:pPr>
      <w:r>
        <w:rPr>
          <w:rtl/>
        </w:rPr>
        <w:t>בשיעור תנ״ך מוקלט</w:t>
      </w:r>
      <w:bookmarkStart w:id="6593" w:name="_fnr4998"/>
      <w:bookmarkStart w:id="6594" w:name="pr_f_4876"/>
      <w:r>
        <w:rPr>
          <w:rStyle w:val="a5"/>
        </w:rPr>
        <w:footnoteReference w:id="5011" w:customMarkFollows="0"/>
      </w:r>
      <w:bookmarkEnd w:id="6593"/>
      <w:bookmarkEnd w:id="6594"/>
      <w:r>
        <w:rPr>
          <w:rtl/>
        </w:rPr>
        <w:t xml:space="preserve"> הוסיף אבי: “ר׳ פישל היה האיש העשיר ביותר </w:t>
      </w:r>
      <w:proofErr w:type="spellStart"/>
      <w:r>
        <w:rPr>
          <w:rtl/>
        </w:rPr>
        <w:t>בראסיין</w:t>
      </w:r>
      <w:proofErr w:type="spellEnd"/>
      <w:r>
        <w:rPr>
          <w:rtl/>
        </w:rPr>
        <w:t xml:space="preserve">, ובלי חתימתו הייתה </w:t>
      </w:r>
      <w:proofErr w:type="spellStart"/>
      <w:r>
        <w:rPr>
          <w:rtl/>
        </w:rPr>
        <w:t>לר</w:t>
      </w:r>
      <w:proofErr w:type="spellEnd"/>
      <w:r>
        <w:rPr>
          <w:rtl/>
        </w:rPr>
        <w:t xml:space="preserve">׳ משה רק ‘חצי רבנות’”. אגב, אצל בערל </w:t>
      </w:r>
      <w:proofErr w:type="spellStart"/>
      <w:r>
        <w:rPr>
          <w:rtl/>
        </w:rPr>
        <w:t>קגן</w:t>
      </w:r>
      <w:bookmarkStart w:id="6595" w:name="_fnr4999"/>
      <w:proofErr w:type="spellEnd"/>
      <w:r>
        <w:rPr>
          <w:rStyle w:val="a5"/>
        </w:rPr>
        <w:footnoteReference w:id="5012" w:customMarkFollows="0"/>
      </w:r>
      <w:bookmarkEnd w:id="6595"/>
      <w:r>
        <w:rPr>
          <w:rtl/>
        </w:rPr>
        <w:t xml:space="preserve"> נמנה ר׳ פישל בר עם תומכי אגודת ישראל </w:t>
      </w:r>
      <w:proofErr w:type="spellStart"/>
      <w:r>
        <w:rPr>
          <w:rtl/>
        </w:rPr>
        <w:t>בראסיין</w:t>
      </w:r>
      <w:proofErr w:type="spellEnd"/>
      <w:r>
        <w:rPr>
          <w:rtl/>
        </w:rPr>
        <w:t xml:space="preserve"> – כבר שנה אחרי ייסוד הארגון היה בעיר זו “חוג ניכר של חברים ותומכים” של אגודת ישראל. ברבעון הירושלמי “שערי ציון”</w:t>
      </w:r>
      <w:bookmarkStart w:id="6596" w:name="_fnr5000"/>
      <w:r>
        <w:rPr>
          <w:rStyle w:val="a5"/>
        </w:rPr>
        <w:footnoteReference w:id="5013" w:customMarkFollows="0"/>
      </w:r>
      <w:bookmarkEnd w:id="6596"/>
      <w:r>
        <w:rPr>
          <w:rtl/>
        </w:rPr>
        <w:t xml:space="preserve"> איחלה לו הנהלת כולל ליטא </w:t>
      </w:r>
      <w:proofErr w:type="spellStart"/>
      <w:r>
        <w:rPr>
          <w:rtl/>
        </w:rPr>
        <w:t>זאמוט</w:t>
      </w:r>
      <w:proofErr w:type="spellEnd"/>
      <w:r>
        <w:rPr>
          <w:rtl/>
        </w:rPr>
        <w:t xml:space="preserve"> </w:t>
      </w:r>
      <w:proofErr w:type="spellStart"/>
      <w:r>
        <w:rPr>
          <w:rtl/>
        </w:rPr>
        <w:t>קורלאנד</w:t>
      </w:r>
      <w:proofErr w:type="spellEnd"/>
      <w:r>
        <w:rPr>
          <w:rtl/>
        </w:rPr>
        <w:t xml:space="preserve"> </w:t>
      </w:r>
      <w:proofErr w:type="spellStart"/>
      <w:r>
        <w:rPr>
          <w:rtl/>
        </w:rPr>
        <w:t>וליפלאנד</w:t>
      </w:r>
      <w:proofErr w:type="spellEnd"/>
      <w:r>
        <w:rPr>
          <w:rtl/>
        </w:rPr>
        <w:t xml:space="preserve"> שנה טובה, </w:t>
      </w:r>
      <w:proofErr w:type="spellStart"/>
      <w:r>
        <w:rPr>
          <w:rtl/>
        </w:rPr>
        <w:t>כ“גבאי</w:t>
      </w:r>
      <w:proofErr w:type="spellEnd"/>
      <w:r>
        <w:rPr>
          <w:rtl/>
        </w:rPr>
        <w:t xml:space="preserve"> הנכבד בעיר </w:t>
      </w:r>
      <w:proofErr w:type="spellStart"/>
      <w:r>
        <w:rPr>
          <w:rtl/>
        </w:rPr>
        <w:t>ראסיין</w:t>
      </w:r>
      <w:proofErr w:type="spellEnd"/>
      <w:r>
        <w:rPr>
          <w:rtl/>
        </w:rPr>
        <w:t>”, וכינתה אותו “הרה״ג המפורסם רב פעלים”</w:t>
      </w:r>
      <w:bookmarkStart w:id="6597" w:name="_fnr5001"/>
      <w:r>
        <w:rPr>
          <w:rStyle w:val="a5"/>
        </w:rPr>
        <w:footnoteReference w:id="5014" w:customMarkFollows="0"/>
      </w:r>
      <w:bookmarkEnd w:id="6597"/>
      <w:r>
        <w:rPr>
          <w:rtl/>
        </w:rPr>
        <w:t xml:space="preserve">. כשנפטר ר׳ פישל, נשלחו תנחומים למשפחתו </w:t>
      </w:r>
      <w:proofErr w:type="spellStart"/>
      <w:r>
        <w:rPr>
          <w:rtl/>
        </w:rPr>
        <w:t>ב“שערי</w:t>
      </w:r>
      <w:proofErr w:type="spellEnd"/>
      <w:r>
        <w:rPr>
          <w:rtl/>
        </w:rPr>
        <w:t xml:space="preserve"> ציון”</w:t>
      </w:r>
      <w:bookmarkStart w:id="6598" w:name="_fnr5002"/>
      <w:r>
        <w:rPr>
          <w:rStyle w:val="a5"/>
        </w:rPr>
        <w:footnoteReference w:id="5015" w:customMarkFollows="0"/>
      </w:r>
      <w:bookmarkEnd w:id="6598"/>
      <w:r>
        <w:rPr>
          <w:rtl/>
        </w:rPr>
        <w:t>.</w:t>
      </w:r>
    </w:p>
    <w:p w14:paraId="7AED3E4D" w14:textId="77777777" w:rsidR="00AB3647" w:rsidRDefault="00000000" w:rsidP="007923E9">
      <w:pPr>
        <w:spacing w:after="120" w:line="276" w:lineRule="auto"/>
        <w:ind w:firstLine="283"/>
        <w:jc w:val="both"/>
      </w:pPr>
      <w:bookmarkStart w:id="6599" w:name="pr_b_2733"/>
      <w:bookmarkEnd w:id="6599"/>
      <w:r>
        <w:rPr>
          <w:rtl/>
        </w:rPr>
        <w:t xml:space="preserve">אבי המשיך: “כדי לחזק את מעמד בנו בקהילה, ביקש ר׳ חיים מן הסבא </w:t>
      </w:r>
      <w:proofErr w:type="spellStart"/>
      <w:r>
        <w:rPr>
          <w:rtl/>
        </w:rPr>
        <w:t>מסלבודקה</w:t>
      </w:r>
      <w:proofErr w:type="spellEnd"/>
      <w:r>
        <w:rPr>
          <w:rtl/>
        </w:rPr>
        <w:t xml:space="preserve"> – שתלמידיו הוכשרו לצאת ולהקים ישיבות חדשות</w:t>
      </w:r>
      <w:bookmarkStart w:id="6600" w:name="_fnr5003"/>
      <w:r>
        <w:rPr>
          <w:rStyle w:val="a5"/>
        </w:rPr>
        <w:footnoteReference w:id="5016" w:customMarkFollows="0"/>
      </w:r>
      <w:bookmarkEnd w:id="6600"/>
      <w:r>
        <w:rPr>
          <w:rtl/>
        </w:rPr>
        <w:t xml:space="preserve"> – לשלוח קבוצה של תלמידים מעולים </w:t>
      </w:r>
      <w:proofErr w:type="spellStart"/>
      <w:r>
        <w:rPr>
          <w:rtl/>
        </w:rPr>
        <w:t>לר</w:t>
      </w:r>
      <w:proofErr w:type="spellEnd"/>
      <w:r>
        <w:rPr>
          <w:rtl/>
        </w:rPr>
        <w:t xml:space="preserve">׳ משה </w:t>
      </w:r>
      <w:proofErr w:type="spellStart"/>
      <w:r>
        <w:rPr>
          <w:rtl/>
        </w:rPr>
        <w:t>בראסיין</w:t>
      </w:r>
      <w:proofErr w:type="spellEnd"/>
      <w:r>
        <w:rPr>
          <w:rtl/>
        </w:rPr>
        <w:t xml:space="preserve">. כתמריץ הציע ר׳ חיים לבוא </w:t>
      </w:r>
      <w:proofErr w:type="spellStart"/>
      <w:r>
        <w:rPr>
          <w:rtl/>
        </w:rPr>
        <w:t>מבריסק</w:t>
      </w:r>
      <w:proofErr w:type="spellEnd"/>
      <w:r>
        <w:rPr>
          <w:rtl/>
        </w:rPr>
        <w:t xml:space="preserve"> פעם בחודש למסור שיעור”. תמריץ זה בא נוסף על הדרך הרגילה למשוך תלמידי ישיבה לעבור למוסד חדש</w:t>
      </w:r>
      <w:bookmarkStart w:id="6601" w:name="_fnr5004"/>
      <w:r>
        <w:rPr>
          <w:rStyle w:val="a5"/>
        </w:rPr>
        <w:footnoteReference w:id="5017" w:customMarkFollows="0"/>
      </w:r>
      <w:bookmarkEnd w:id="6601"/>
      <w:r>
        <w:rPr>
          <w:rtl/>
        </w:rPr>
        <w:t xml:space="preserve"> – פירעון החובות שצברו; גם לכך התחייב ר׳ חיים, בשביל התלמידים שיבחר הסבא</w:t>
      </w:r>
      <w:bookmarkStart w:id="6602" w:name="_fnr5005"/>
      <w:r>
        <w:rPr>
          <w:rStyle w:val="a5"/>
        </w:rPr>
        <w:footnoteReference w:id="5018" w:customMarkFollows="0"/>
      </w:r>
      <w:bookmarkEnd w:id="6602"/>
      <w:r>
        <w:rPr>
          <w:rtl/>
        </w:rPr>
        <w:t>.</w:t>
      </w:r>
    </w:p>
    <w:p w14:paraId="7A7BF73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אמר</w:t>
      </w:r>
      <w:bookmarkStart w:id="6603" w:name="_fnr5006"/>
      <w:r>
        <w:rPr>
          <w:rStyle w:val="a5"/>
        </w:rPr>
        <w:footnoteReference w:id="5019" w:customMarkFollows="0"/>
      </w:r>
      <w:bookmarkEnd w:id="6603"/>
      <w:r>
        <w:rPr>
          <w:rtl/>
        </w:rPr>
        <w:t xml:space="preserve"> שנשלחו </w:t>
      </w:r>
      <w:proofErr w:type="spellStart"/>
      <w:r>
        <w:rPr>
          <w:rtl/>
        </w:rPr>
        <w:t>לראסיין</w:t>
      </w:r>
      <w:proofErr w:type="spellEnd"/>
      <w:r>
        <w:rPr>
          <w:rtl/>
        </w:rPr>
        <w:t xml:space="preserve"> לא פחות מעשרים וחמישה בחורים </w:t>
      </w:r>
      <w:proofErr w:type="spellStart"/>
      <w:r>
        <w:rPr>
          <w:rtl/>
        </w:rPr>
        <w:t>מסלבודקה</w:t>
      </w:r>
      <w:proofErr w:type="spellEnd"/>
      <w:r>
        <w:rPr>
          <w:rtl/>
        </w:rPr>
        <w:t xml:space="preserve">. בעיירה גדולה יותר </w:t>
      </w:r>
      <w:proofErr w:type="spellStart"/>
      <w:r>
        <w:rPr>
          <w:rtl/>
        </w:rPr>
        <w:t>כראסיין</w:t>
      </w:r>
      <w:proofErr w:type="spellEnd"/>
      <w:r>
        <w:rPr>
          <w:rtl/>
        </w:rPr>
        <w:t xml:space="preserve">, אירוחם של עשרים וחמישה בחורים לא היה שיקול כלכלי; אבל </w:t>
      </w:r>
      <w:r>
        <w:rPr>
          <w:rtl/>
        </w:rPr>
        <w:lastRenderedPageBreak/>
        <w:t>עיירה “חשובה” כמותה ודאי הייתה מעריכה את נוכחותה של קבוצת בחורים מעולים הלומדים תורה בתוכה.</w:t>
      </w:r>
    </w:p>
    <w:p w14:paraId="00C82B3D" w14:textId="77777777" w:rsidR="00AB3647" w:rsidRDefault="00000000" w:rsidP="007923E9">
      <w:pPr>
        <w:spacing w:after="120" w:line="276" w:lineRule="auto"/>
        <w:ind w:firstLine="283"/>
        <w:jc w:val="both"/>
      </w:pPr>
      <w:r>
        <w:rPr>
          <w:rtl/>
        </w:rPr>
        <w:t>ר׳ בערל שחר אמר</w:t>
      </w:r>
      <w:bookmarkStart w:id="6604" w:name="_fnr5007"/>
      <w:r>
        <w:rPr>
          <w:rStyle w:val="a5"/>
        </w:rPr>
        <w:footnoteReference w:id="5020" w:customMarkFollows="0"/>
      </w:r>
      <w:bookmarkEnd w:id="6604"/>
      <w:r>
        <w:rPr>
          <w:rtl/>
        </w:rPr>
        <w:t xml:space="preserve"> שרבנו סיפר כך</w:t>
      </w:r>
      <w:bookmarkStart w:id="6605" w:name="_fnr5008"/>
      <w:r>
        <w:rPr>
          <w:rStyle w:val="a5"/>
        </w:rPr>
        <w:footnoteReference w:id="5021" w:customMarkFollows="0"/>
      </w:r>
      <w:bookmarkEnd w:id="6605"/>
      <w:r>
        <w:rPr>
          <w:rtl/>
        </w:rPr>
        <w:t xml:space="preserve">: “הסבא </w:t>
      </w:r>
      <w:proofErr w:type="spellStart"/>
      <w:r>
        <w:rPr>
          <w:rtl/>
        </w:rPr>
        <w:t>מסלבודקה</w:t>
      </w:r>
      <w:proofErr w:type="spellEnd"/>
      <w:r>
        <w:rPr>
          <w:rtl/>
        </w:rPr>
        <w:t xml:space="preserve"> ביקש מר׳ משה </w:t>
      </w:r>
      <w:proofErr w:type="spellStart"/>
      <w:r>
        <w:rPr>
          <w:rtl/>
        </w:rPr>
        <w:t>סולובייצ׳יק</w:t>
      </w:r>
      <w:proofErr w:type="spellEnd"/>
      <w:r>
        <w:rPr>
          <w:rtl/>
        </w:rPr>
        <w:t xml:space="preserve"> לסדר שהתלמידים ששלח </w:t>
      </w:r>
      <w:proofErr w:type="spellStart"/>
      <w:r>
        <w:rPr>
          <w:rtl/>
        </w:rPr>
        <w:t>מסלבודקה</w:t>
      </w:r>
      <w:proofErr w:type="spellEnd"/>
      <w:r>
        <w:rPr>
          <w:rtl/>
        </w:rPr>
        <w:t xml:space="preserve"> ילמדו אצל ר׳ חיים </w:t>
      </w:r>
      <w:proofErr w:type="spellStart"/>
      <w:r>
        <w:rPr>
          <w:rtl/>
        </w:rPr>
        <w:t>בבריסק</w:t>
      </w:r>
      <w:proofErr w:type="spellEnd"/>
      <w:r>
        <w:rPr>
          <w:rtl/>
        </w:rPr>
        <w:t xml:space="preserve"> אחרי הזמן הראשון שלהם </w:t>
      </w:r>
      <w:proofErr w:type="spellStart"/>
      <w:r>
        <w:rPr>
          <w:rtl/>
        </w:rPr>
        <w:t>בראסיין</w:t>
      </w:r>
      <w:proofErr w:type="spellEnd"/>
      <w:r>
        <w:rPr>
          <w:rtl/>
        </w:rPr>
        <w:t xml:space="preserve">, ור׳ משה אמר שינסה לסייע בכך. כשהציע זאת לאביו, הזכיר לו ר׳ חיים שר׳ משה עצמו תמך בפיזור קבוצת תלמידי </w:t>
      </w:r>
      <w:proofErr w:type="spellStart"/>
      <w:r>
        <w:rPr>
          <w:rtl/>
        </w:rPr>
        <w:t>טלז</w:t>
      </w:r>
      <w:proofErr w:type="spellEnd"/>
      <w:r>
        <w:rPr>
          <w:rtl/>
        </w:rPr>
        <w:t xml:space="preserve"> שבאה ללמוד אצלו [אצל ר׳ חיים] </w:t>
      </w:r>
      <w:proofErr w:type="spellStart"/>
      <w:r>
        <w:rPr>
          <w:rtl/>
        </w:rPr>
        <w:t>בבריסק</w:t>
      </w:r>
      <w:proofErr w:type="spellEnd"/>
      <w:r>
        <w:rPr>
          <w:rtl/>
        </w:rPr>
        <w:t xml:space="preserve"> עם סגירת </w:t>
      </w:r>
      <w:proofErr w:type="spellStart"/>
      <w:r>
        <w:rPr>
          <w:rtl/>
        </w:rPr>
        <w:t>וולוז׳ין</w:t>
      </w:r>
      <w:proofErr w:type="spellEnd"/>
      <w:r>
        <w:rPr>
          <w:rtl/>
        </w:rPr>
        <w:t>, מפני שבלי הרקע הנכון לא הבינו את דרך לימודו</w:t>
      </w:r>
      <w:bookmarkStart w:id="6606" w:name="_fnr5009"/>
      <w:r>
        <w:rPr>
          <w:rStyle w:val="a5"/>
        </w:rPr>
        <w:footnoteReference w:id="5022" w:customMarkFollows="0"/>
      </w:r>
      <w:bookmarkEnd w:id="6606"/>
      <w:r>
        <w:rPr>
          <w:rtl/>
        </w:rPr>
        <w:t xml:space="preserve">. ר׳ משה השיב שתלמידים אלה יבואו אל אביו אחרי שהוא יניח את היסודות בחצי השנה שלהם </w:t>
      </w:r>
      <w:proofErr w:type="spellStart"/>
      <w:r>
        <w:rPr>
          <w:rtl/>
        </w:rPr>
        <w:t>בראסיין</w:t>
      </w:r>
      <w:proofErr w:type="spellEnd"/>
      <w:r>
        <w:rPr>
          <w:rtl/>
        </w:rPr>
        <w:t xml:space="preserve">. כשטען ר׳ חיים ‘מי </w:t>
      </w:r>
      <w:proofErr w:type="spellStart"/>
      <w:r>
        <w:rPr>
          <w:rtl/>
        </w:rPr>
        <w:t>יימר</w:t>
      </w:r>
      <w:proofErr w:type="spellEnd"/>
      <w:r>
        <w:rPr>
          <w:rtl/>
        </w:rPr>
        <w:t xml:space="preserve"> [מי אומר – שתניח תשתית מספקת]?’, הוחלט שר׳ </w:t>
      </w:r>
      <w:proofErr w:type="spellStart"/>
      <w:r>
        <w:rPr>
          <w:rtl/>
        </w:rPr>
        <w:t xml:space="preserve">וועלוול׳ה</w:t>
      </w:r>
      <w:proofErr w:type="spellEnd"/>
      <w:r>
        <w:rPr>
          <w:rtl/>
        </w:rPr>
        <w:t xml:space="preserve">, שכבר היה נשוי ותכנן לשהות </w:t>
      </w:r>
      <w:proofErr w:type="spellStart"/>
      <w:r>
        <w:rPr>
          <w:rtl/>
        </w:rPr>
        <w:t>זמן־מה</w:t>
      </w:r>
      <w:proofErr w:type="spellEnd"/>
      <w:r>
        <w:rPr>
          <w:rtl/>
        </w:rPr>
        <w:t xml:space="preserve"> בבית חותניו בוורשה, יסטה </w:t>
      </w:r>
      <w:proofErr w:type="spellStart"/>
      <w:r>
        <w:rPr>
          <w:rtl/>
        </w:rPr>
        <w:t>לראסיין</w:t>
      </w:r>
      <w:proofErr w:type="spellEnd"/>
      <w:r>
        <w:rPr>
          <w:rtl/>
        </w:rPr>
        <w:t xml:space="preserve"> בדרכו </w:t>
      </w:r>
      <w:proofErr w:type="spellStart"/>
      <w:r>
        <w:rPr>
          <w:rtl/>
        </w:rPr>
        <w:t>מבריסק</w:t>
      </w:r>
      <w:proofErr w:type="spellEnd"/>
      <w:r>
        <w:rPr>
          <w:rtl/>
        </w:rPr>
        <w:t xml:space="preserve"> ויבחן את תלמידי </w:t>
      </w:r>
      <w:proofErr w:type="spellStart"/>
      <w:r>
        <w:rPr>
          <w:rtl/>
        </w:rPr>
        <w:t>סלבודקה</w:t>
      </w:r>
      <w:proofErr w:type="spellEnd"/>
      <w:r>
        <w:rPr>
          <w:rtl/>
        </w:rPr>
        <w:t xml:space="preserve"> לשעבר</w:t>
      </w:r>
      <w:bookmarkStart w:id="6607" w:name="_fnr5010"/>
      <w:r>
        <w:rPr>
          <w:rStyle w:val="a5"/>
        </w:rPr>
        <w:footnoteReference w:id="5023" w:customMarkFollows="0"/>
      </w:r>
      <w:bookmarkEnd w:id="6607"/>
      <w:r>
        <w:rPr>
          <w:rtl/>
        </w:rPr>
        <w:t>.</w:t>
      </w:r>
    </w:p>
    <w:p w14:paraId="1A2F7B6F" w14:textId="77777777" w:rsidR="00AB3647" w:rsidRDefault="00000000" w:rsidP="007923E9">
      <w:pPr>
        <w:spacing w:after="120" w:line="276" w:lineRule="auto"/>
        <w:ind w:firstLine="283"/>
        <w:jc w:val="both"/>
      </w:pPr>
      <w:r>
        <w:rPr>
          <w:rtl/>
        </w:rPr>
        <w:t xml:space="preserve">אבל אשתו של ר׳ יצחק־זאב, </w:t>
      </w:r>
      <w:proofErr w:type="spellStart"/>
      <w:r>
        <w:rPr>
          <w:rtl/>
        </w:rPr>
        <w:t>הינדל</w:t>
      </w:r>
      <w:proofErr w:type="spellEnd"/>
      <w:r>
        <w:rPr>
          <w:rtl/>
        </w:rPr>
        <w:t xml:space="preserve">, הייתה ביחסים מתוחים עם גיסתה פשה, וסירבה לנסוע אליה </w:t>
      </w:r>
      <w:proofErr w:type="spellStart"/>
      <w:r>
        <w:rPr>
          <w:rtl/>
        </w:rPr>
        <w:t>לראסיין</w:t>
      </w:r>
      <w:proofErr w:type="spellEnd"/>
      <w:r>
        <w:rPr>
          <w:rtl/>
        </w:rPr>
        <w:t xml:space="preserve">. כשהתוכנית נכשלה, דרשו תלמידי </w:t>
      </w:r>
      <w:proofErr w:type="spellStart"/>
      <w:r>
        <w:rPr>
          <w:rtl/>
        </w:rPr>
        <w:t>סלבודקה</w:t>
      </w:r>
      <w:proofErr w:type="spellEnd"/>
      <w:r>
        <w:rPr>
          <w:rtl/>
        </w:rPr>
        <w:t xml:space="preserve"> בשינוי לשון את הגמרא במסכת גיטין</w:t>
      </w:r>
      <w:bookmarkStart w:id="6608" w:name="_fnr5011"/>
      <w:r>
        <w:rPr>
          <w:rStyle w:val="a5"/>
        </w:rPr>
        <w:footnoteReference w:id="5024" w:customMarkFollows="0"/>
      </w:r>
      <w:bookmarkEnd w:id="6608"/>
      <w:r>
        <w:rPr>
          <w:rtl/>
        </w:rPr>
        <w:t xml:space="preserve"> על חורבן טור </w:t>
      </w:r>
      <w:proofErr w:type="spellStart"/>
      <w:r>
        <w:rPr>
          <w:rtl/>
        </w:rPr>
        <w:t>מלכא</w:t>
      </w:r>
      <w:proofErr w:type="spellEnd"/>
      <w:r>
        <w:rPr>
          <w:rtl/>
        </w:rPr>
        <w:t xml:space="preserve"> לפני יותר מ־17 מאות שנה – חורבן שבא כאשר יהודי העיר הגדולה ההיא התקיפו גדוד רומאי שהחרים “תרנגול ותרנגולת”. תלמידי </w:t>
      </w:r>
      <w:proofErr w:type="spellStart"/>
      <w:r>
        <w:rPr>
          <w:rtl/>
        </w:rPr>
        <w:t>סלבודקה</w:t>
      </w:r>
      <w:proofErr w:type="spellEnd"/>
      <w:r>
        <w:rPr>
          <w:rtl/>
        </w:rPr>
        <w:t xml:space="preserve"> הכריזו: ‘בגלל... </w:t>
      </w:r>
      <w:proofErr w:type="spellStart"/>
      <w:r>
        <w:rPr>
          <w:rtl/>
        </w:rPr>
        <w:t>הינדל</w:t>
      </w:r>
      <w:proofErr w:type="spellEnd"/>
      <w:r>
        <w:rPr>
          <w:rtl/>
        </w:rPr>
        <w:t xml:space="preserve"> [תרנגולת ביידיש] נחרבה </w:t>
      </w:r>
      <w:proofErr w:type="spellStart"/>
      <w:r>
        <w:rPr>
          <w:rtl/>
        </w:rPr>
        <w:t>ראסיין</w:t>
      </w:r>
      <w:proofErr w:type="spellEnd"/>
      <w:r>
        <w:rPr>
          <w:rtl/>
        </w:rPr>
        <w:t xml:space="preserve"> [הישיבה]’”.</w:t>
      </w:r>
    </w:p>
    <w:p w14:paraId="2A9F149D" w14:textId="77777777" w:rsidR="00AB3647" w:rsidRDefault="00000000" w:rsidP="007923E9">
      <w:pPr>
        <w:spacing w:after="120" w:line="276" w:lineRule="auto"/>
        <w:ind w:firstLine="283"/>
        <w:jc w:val="both"/>
      </w:pPr>
      <w:r>
        <w:rPr>
          <w:rtl/>
        </w:rPr>
        <w:t xml:space="preserve">נראה שמלכתחילה הסכים ר׳ חיים למסור שיעורים מדי חודש מפני שהדבר לא דרש מן התלמידים אותה תשתית שדורש לימוד קבוע אצל הרב. ייתכן שהתוכנית לשיעור החודשי לא יצאה לפועל מפני שהנסיעות התכופות </w:t>
      </w:r>
      <w:proofErr w:type="spellStart"/>
      <w:r>
        <w:rPr>
          <w:rtl/>
        </w:rPr>
        <w:t>לראסיין</w:t>
      </w:r>
      <w:proofErr w:type="spellEnd"/>
      <w:r>
        <w:rPr>
          <w:rtl/>
        </w:rPr>
        <w:t xml:space="preserve"> הכבידו מדי על בריאותו של ר׳ חיים. אפשרות אחרת היא שר׳ חיים הבין </w:t>
      </w:r>
      <w:r>
        <w:rPr>
          <w:b/>
          <w:bCs/>
          <w:rtl/>
        </w:rPr>
        <w:t>אחרי המינוי</w:t>
      </w:r>
      <w:r>
        <w:rPr>
          <w:rtl/>
        </w:rPr>
        <w:t xml:space="preserve"> שלמרות כל תמיכתו – ובעיקרה הייתה תמיכה זו ייסוד הקיבוץ בידי הרב החדש</w:t>
      </w:r>
      <w:bookmarkStart w:id="6609" w:name="_fnr5012"/>
      <w:r>
        <w:rPr>
          <w:rStyle w:val="a5"/>
        </w:rPr>
        <w:footnoteReference w:id="5025" w:customMarkFollows="0"/>
      </w:r>
      <w:bookmarkEnd w:id="6609"/>
      <w:r>
        <w:rPr>
          <w:rtl/>
        </w:rPr>
        <w:t xml:space="preserve"> – לא יוכל בנו להישאר זמן רב על כיסא הרבנות בעיר שנאלצה לקבלו לרב</w:t>
      </w:r>
      <w:bookmarkStart w:id="6610" w:name="_fnr5013"/>
      <w:bookmarkStart w:id="6611" w:name="pr_f_4891"/>
      <w:r>
        <w:rPr>
          <w:rStyle w:val="a5"/>
        </w:rPr>
        <w:footnoteReference w:id="5026" w:customMarkFollows="0"/>
      </w:r>
      <w:bookmarkEnd w:id="6610"/>
      <w:bookmarkEnd w:id="6611"/>
      <w:r>
        <w:rPr>
          <w:rtl/>
        </w:rPr>
        <w:t xml:space="preserve">. תהא הסיבה שר׳ חיים חזר בו מהתחייבותו לבוא אליהם אשר תהא, ודאי הגה הסבא את הרעיון לפייס את הבחורים המאוכזבים בכך שיסדיר את מעברם </w:t>
      </w:r>
      <w:proofErr w:type="spellStart"/>
      <w:r>
        <w:rPr>
          <w:rtl/>
        </w:rPr>
        <w:t>לבריסק</w:t>
      </w:r>
      <w:proofErr w:type="spellEnd"/>
      <w:r>
        <w:rPr>
          <w:rtl/>
        </w:rPr>
        <w:t xml:space="preserve"> אחרי חצי השנה </w:t>
      </w:r>
      <w:proofErr w:type="spellStart"/>
      <w:r>
        <w:rPr>
          <w:rtl/>
        </w:rPr>
        <w:t>בראסיין</w:t>
      </w:r>
      <w:proofErr w:type="spellEnd"/>
      <w:r>
        <w:rPr>
          <w:rtl/>
        </w:rPr>
        <w:t xml:space="preserve"> – וגם זה לא הצליח.</w:t>
      </w:r>
    </w:p>
    <w:p w14:paraId="33E68E5C" w14:textId="4646ED7C" w:rsidR="00AB3647" w:rsidRDefault="00000000" w:rsidP="007923E9">
      <w:pPr>
        <w:spacing w:after="120" w:line="276" w:lineRule="auto"/>
        <w:ind w:firstLine="283"/>
        <w:jc w:val="both"/>
      </w:pPr>
      <w:r>
        <w:rPr>
          <w:rtl/>
        </w:rPr>
        <w:lastRenderedPageBreak/>
        <w:t xml:space="preserve">ר׳ חיים </w:t>
      </w:r>
      <w:proofErr w:type="spellStart"/>
      <w:r>
        <w:rPr>
          <w:rtl/>
        </w:rPr>
        <w:t>סרנא</w:t>
      </w:r>
      <w:proofErr w:type="spellEnd"/>
      <w:r>
        <w:rPr>
          <w:rtl/>
        </w:rPr>
        <w:t xml:space="preserve"> אמר שבתוך שנה חזרה הקבוצה כולה לישיבתה המקורית. כנראה הייתה זו תוצאה ישירה של אכזבתם מכך שאף אחת משתי התוכניות לשמיעת שיעורי ר׳ חיים לא יצאה לפועל. אף שר׳ חיים לא בא בעצמו למסור שיעורים </w:t>
      </w:r>
      <w:proofErr w:type="spellStart"/>
      <w:r>
        <w:rPr>
          <w:rtl/>
        </w:rPr>
        <w:t>בראסיין</w:t>
      </w:r>
      <w:proofErr w:type="spellEnd"/>
      <w:r>
        <w:rPr>
          <w:rtl/>
        </w:rPr>
        <w:t xml:space="preserve">, הוא שלח </w:t>
      </w:r>
      <w:proofErr w:type="spellStart"/>
      <w:r>
        <w:rPr>
          <w:rtl/>
        </w:rPr>
        <w:t>לר</w:t>
      </w:r>
      <w:proofErr w:type="spellEnd"/>
      <w:r>
        <w:rPr>
          <w:rtl/>
        </w:rPr>
        <w:t xml:space="preserve">׳ משה (או נתן לו מיד כשיצא </w:t>
      </w:r>
      <w:proofErr w:type="spellStart"/>
      <w:r>
        <w:rPr>
          <w:rtl/>
        </w:rPr>
        <w:t>לראסיין</w:t>
      </w:r>
      <w:proofErr w:type="spellEnd"/>
      <w:r>
        <w:rPr>
          <w:rtl/>
        </w:rPr>
        <w:t xml:space="preserve">) את רשימות השיעורים שמסר </w:t>
      </w:r>
      <w:proofErr w:type="spellStart"/>
      <w:r>
        <w:rPr>
          <w:rtl/>
        </w:rPr>
        <w:t>בוולוז׳ין</w:t>
      </w:r>
      <w:proofErr w:type="spellEnd"/>
      <w:r>
        <w:rPr>
          <w:rtl/>
        </w:rPr>
        <w:t xml:space="preserve"> בתחילת כהונתו שם</w:t>
      </w:r>
      <w:bookmarkStart w:id="6612" w:name="_fnr5014"/>
      <w:r>
        <w:rPr>
          <w:rStyle w:val="a5"/>
        </w:rPr>
        <w:footnoteReference w:id="5027" w:customMarkFollows="0"/>
      </w:r>
      <w:bookmarkEnd w:id="6612"/>
      <w:r>
        <w:rPr>
          <w:rtl/>
        </w:rPr>
        <w:t xml:space="preserve">, כדי שישתמש בהן בשיעוריו לקיבוץ. אולי חש ר׳ חיים שבכך שבנו מוסר את השיעורים שהגה ויצר אביו, הוא מקיים את התחייבותו לתלמידים ממש כאילו לימדם בעצמו. ראה הערת השוליים </w:t>
      </w:r>
      <w:r>
        <w:rPr>
          <w:rtl/>
        </w:rPr>
        <w:fldChar w:fldCharType="begin" w:dirty="true"/>
      </w:r>
      <w:r>
        <w:rPr>
          <w:rtl/>
        </w:rPr>
        <w:instrText xml:space="preserve"> NOTEREF pr_f_4252 \h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Pr>
          <w:rtl/>
        </w:rPr>
        <w:t>1329</w:t>
      </w:r>
      <w:r>
        <w:rPr>
          <w:rtl/>
        </w:rPr>
        <w:fldChar w:fldCharType="end"/>
      </w:r>
      <w:r>
        <w:rPr>
          <w:rtl/>
        </w:rPr>
        <w:t xml:space="preserve"> בעמ׳ </w:t>
      </w:r>
      <w:r>
        <w:rPr>
          <w:rtl/>
        </w:rPr>
        <w:fldChar w:fldCharType="begin" w:dirty="true"/>
      </w:r>
      <w:r>
        <w:rPr>
          <w:rtl/>
        </w:rPr>
        <w:instrText xml:space="preserve"> PAGEREF pr_f_4252 \h </w:instrText>
      </w:r>
      <w:r>
        <w:rPr>
          <w:rtl/>
        </w:rPr>
      </w:r>
      <w:r>
        <w:rPr>
          <w:rtl/>
        </w:rPr>
        <w:fldChar w:fldCharType="separate"/>
      </w:r>
      <w:r w:rsidR="007923E9">
        <w:rPr>
          <w:noProof/>
          <w:rtl/>
        </w:rPr>
        <w:t>1</w:t>
      </w:r>
      <w:r>
        <w:rPr>
          <w:rtl/>
        </w:rPr>
        <w:fldChar w:fldCharType="end"/>
      </w:r>
      <w:r>
        <w:rPr>
          <w:rtl/>
        </w:rPr>
        <w:t>, שלדעת ר׳ חיים הוא עצמו כותב מכתב ברוסית גם כשכל מה שעשה היה לתת “נייר, עט ודיו”, עם הוראות לתוכן המכתב, למי שיודע רוסית. אבל התלמידים רצו לשמוע את התורה ישר מפי ר׳ חיים</w:t>
      </w:r>
      <w:bookmarkStart w:id="6613" w:name="_fnr5015"/>
      <w:r>
        <w:rPr>
          <w:rStyle w:val="a5"/>
        </w:rPr>
        <w:footnoteReference w:id="5028" w:customMarkFollows="0"/>
      </w:r>
      <w:bookmarkEnd w:id="6613"/>
      <w:r>
        <w:rPr>
          <w:rtl/>
        </w:rPr>
        <w:t>.</w:t>
      </w:r>
    </w:p>
    <w:p w14:paraId="2EF02DE9"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השלים פרטים נוספים</w:t>
      </w:r>
      <w:bookmarkStart w:id="6614" w:name="_fnr5016"/>
      <w:r>
        <w:rPr>
          <w:rStyle w:val="a5"/>
        </w:rPr>
        <w:footnoteReference w:id="5029" w:customMarkFollows="0"/>
      </w:r>
      <w:bookmarkEnd w:id="6614"/>
      <w:r>
        <w:rPr>
          <w:rtl/>
        </w:rPr>
        <w:t xml:space="preserve"> בסיפור ששמע מאביו, ר׳ </w:t>
      </w:r>
      <w:proofErr w:type="spellStart"/>
      <w:r>
        <w:rPr>
          <w:rtl/>
        </w:rPr>
        <w:t>חצקל</w:t>
      </w:r>
      <w:proofErr w:type="spellEnd"/>
      <w:r>
        <w:rPr>
          <w:rtl/>
        </w:rPr>
        <w:t xml:space="preserve">, והדפיס </w:t>
      </w:r>
      <w:proofErr w:type="spellStart"/>
      <w:r>
        <w:rPr>
          <w:rtl/>
        </w:rPr>
        <w:t>ב“במשך</w:t>
      </w:r>
      <w:proofErr w:type="spellEnd"/>
      <w:r>
        <w:rPr>
          <w:rtl/>
        </w:rPr>
        <w:t xml:space="preserve"> היובל”</w:t>
      </w:r>
      <w:bookmarkStart w:id="6615" w:name="_fnr5017"/>
      <w:r>
        <w:rPr>
          <w:rStyle w:val="a5"/>
        </w:rPr>
        <w:footnoteReference w:id="5030" w:customMarkFollows="0"/>
      </w:r>
      <w:bookmarkEnd w:id="6615"/>
      <w:r>
        <w:rPr>
          <w:rtl/>
        </w:rPr>
        <w:t xml:space="preserve">. שלא כרבנו, הוא זקף לזכות הסבא עצמו את </w:t>
      </w:r>
      <w:r>
        <w:rPr>
          <w:b/>
          <w:bCs/>
          <w:rtl/>
        </w:rPr>
        <w:t>היוזמה</w:t>
      </w:r>
      <w:r>
        <w:rPr>
          <w:rtl/>
        </w:rPr>
        <w:t xml:space="preserve"> לשלוח מלכתחילה תלמידים </w:t>
      </w:r>
      <w:proofErr w:type="spellStart"/>
      <w:r>
        <w:rPr>
          <w:rtl/>
        </w:rPr>
        <w:t>לראסיין</w:t>
      </w:r>
      <w:bookmarkStart w:id="6616" w:name="_fnr5018"/>
      <w:proofErr w:type="spellEnd"/>
      <w:r>
        <w:rPr>
          <w:rStyle w:val="a5"/>
        </w:rPr>
        <w:footnoteReference w:id="5031" w:customMarkFollows="0"/>
      </w:r>
      <w:bookmarkEnd w:id="6616"/>
      <w:r>
        <w:rPr>
          <w:rtl/>
        </w:rPr>
        <w:t xml:space="preserve">. ר׳ חיים </w:t>
      </w:r>
      <w:proofErr w:type="spellStart"/>
      <w:r>
        <w:rPr>
          <w:rtl/>
        </w:rPr>
        <w:t>סרנא</w:t>
      </w:r>
      <w:proofErr w:type="spellEnd"/>
      <w:r>
        <w:rPr>
          <w:rtl/>
        </w:rPr>
        <w:t xml:space="preserve"> אמר: “לסבא הייתה סיבה </w:t>
      </w:r>
      <w:r>
        <w:rPr>
          <w:b/>
          <w:bCs/>
          <w:rtl/>
        </w:rPr>
        <w:t>מיוחדת</w:t>
      </w:r>
      <w:r>
        <w:rPr>
          <w:rtl/>
        </w:rPr>
        <w:t xml:space="preserve"> לשלוח קבוצה של עשרים בחורים</w:t>
      </w:r>
      <w:bookmarkStart w:id="6617" w:name="_fnr5019"/>
      <w:r>
        <w:rPr>
          <w:rStyle w:val="a5"/>
        </w:rPr>
        <w:footnoteReference w:id="5032" w:customMarkFollows="0"/>
      </w:r>
      <w:bookmarkEnd w:id="6617"/>
      <w:r>
        <w:rPr>
          <w:rtl/>
        </w:rPr>
        <w:t xml:space="preserve"> ללמוד אצל ר׳ משה. הסבא נפגע פעם מר׳ חיים, ובכך שהעניק טובה יוצאת דופן למי שהיה פעם יריבו, וידא ר׳ </w:t>
      </w:r>
      <w:proofErr w:type="spellStart"/>
      <w:r>
        <w:rPr>
          <w:rtl/>
        </w:rPr>
        <w:t>נתן־צבי</w:t>
      </w:r>
      <w:proofErr w:type="spellEnd"/>
      <w:r>
        <w:rPr>
          <w:rtl/>
        </w:rPr>
        <w:t xml:space="preserve"> </w:t>
      </w:r>
      <w:proofErr w:type="spellStart"/>
      <w:r>
        <w:rPr>
          <w:rtl/>
        </w:rPr>
        <w:t>פינקל</w:t>
      </w:r>
      <w:proofErr w:type="spellEnd"/>
      <w:r>
        <w:rPr>
          <w:rtl/>
        </w:rPr>
        <w:t xml:space="preserve"> שלא נותר </w:t>
      </w:r>
      <w:proofErr w:type="spellStart"/>
      <w:r>
        <w:rPr>
          <w:rtl/>
        </w:rPr>
        <w:t>בלבו</w:t>
      </w:r>
      <w:proofErr w:type="spellEnd"/>
      <w:r>
        <w:rPr>
          <w:rtl/>
        </w:rPr>
        <w:t xml:space="preserve"> שום שמץ של טינה מן העימות”. (מעשה מוסר זה מזכיר סיפור על ר׳ ישראל </w:t>
      </w:r>
      <w:proofErr w:type="spellStart"/>
      <w:r>
        <w:rPr>
          <w:rtl/>
        </w:rPr>
        <w:t>סלנטר</w:t>
      </w:r>
      <w:proofErr w:type="spellEnd"/>
      <w:r>
        <w:rPr>
          <w:rtl/>
        </w:rPr>
        <w:t xml:space="preserve"> המובא בספרו של כץ, “תנועת המוסר”, כרך א</w:t>
      </w:r>
      <w:bookmarkStart w:id="6618" w:name="_fnr5020"/>
      <w:r>
        <w:rPr>
          <w:rStyle w:val="a5"/>
        </w:rPr>
        <w:footnoteReference w:id="5033" w:customMarkFollows="0"/>
      </w:r>
      <w:bookmarkEnd w:id="6618"/>
      <w:r>
        <w:rPr>
          <w:rtl/>
        </w:rPr>
        <w:t xml:space="preserve">.) “הפגיעה אירעה במהלך דין תורה בין ישיבות </w:t>
      </w:r>
      <w:proofErr w:type="spellStart"/>
      <w:r>
        <w:rPr>
          <w:rtl/>
        </w:rPr>
        <w:t>וולוז׳ין</w:t>
      </w:r>
      <w:proofErr w:type="spellEnd"/>
      <w:r>
        <w:rPr>
          <w:rtl/>
        </w:rPr>
        <w:t xml:space="preserve"> </w:t>
      </w:r>
      <w:proofErr w:type="spellStart"/>
      <w:r>
        <w:rPr>
          <w:rtl/>
        </w:rPr>
        <w:t>וסלבודקה</w:t>
      </w:r>
      <w:proofErr w:type="spellEnd"/>
      <w:r>
        <w:rPr>
          <w:rtl/>
        </w:rPr>
        <w:t xml:space="preserve">, שבו ייצגו ר׳ חיים והסבא את מוסדותיהם. </w:t>
      </w:r>
      <w:proofErr w:type="spellStart"/>
      <w:r>
        <w:rPr>
          <w:rtl/>
        </w:rPr>
        <w:t>וולוז׳ין</w:t>
      </w:r>
      <w:proofErr w:type="spellEnd"/>
      <w:r>
        <w:rPr>
          <w:rtl/>
        </w:rPr>
        <w:t xml:space="preserve"> טענה שאין </w:t>
      </w:r>
      <w:proofErr w:type="spellStart"/>
      <w:r>
        <w:rPr>
          <w:rtl/>
        </w:rPr>
        <w:t>לסלבודקה</w:t>
      </w:r>
      <w:proofErr w:type="spellEnd"/>
      <w:r>
        <w:rPr>
          <w:rtl/>
        </w:rPr>
        <w:t xml:space="preserve"> לשלוח משולחים לעיירות שמבקרים בהן משולחי ישיבת </w:t>
      </w:r>
      <w:proofErr w:type="spellStart"/>
      <w:r>
        <w:rPr>
          <w:rtl/>
        </w:rPr>
        <w:t>וולוז׳ין</w:t>
      </w:r>
      <w:proofErr w:type="spellEnd"/>
      <w:r>
        <w:rPr>
          <w:rtl/>
        </w:rPr>
        <w:t>” – לפרטי דין התורה השווה כץ, “תנועת המוסר”, כרך ב</w:t>
      </w:r>
      <w:bookmarkStart w:id="6619" w:name="_fnr5021"/>
      <w:r>
        <w:rPr>
          <w:rStyle w:val="a5"/>
        </w:rPr>
        <w:footnoteReference w:id="5034" w:customMarkFollows="0"/>
      </w:r>
      <w:bookmarkEnd w:id="6619"/>
      <w:r>
        <w:rPr>
          <w:rtl/>
        </w:rPr>
        <w:t>.</w:t>
      </w:r>
    </w:p>
    <w:p w14:paraId="4F1E149B" w14:textId="77777777" w:rsidR="00AB3647" w:rsidRDefault="00000000" w:rsidP="007923E9">
      <w:pPr>
        <w:spacing w:after="120" w:line="276" w:lineRule="auto"/>
        <w:ind w:firstLine="283"/>
        <w:jc w:val="both"/>
      </w:pPr>
      <w:r>
        <w:rPr>
          <w:rtl/>
        </w:rPr>
        <w:t xml:space="preserve">כץ אינו מגלה מי היה בית הדין שערך את דין התורה, אבל השווה הפסקה הרביעית להלן, בשם ר׳ יצחק־זאב </w:t>
      </w:r>
      <w:proofErr w:type="spellStart"/>
      <w:r>
        <w:rPr>
          <w:rtl/>
        </w:rPr>
        <w:t>סולובייצ׳יק</w:t>
      </w:r>
      <w:proofErr w:type="spellEnd"/>
      <w:r>
        <w:rPr>
          <w:rtl/>
        </w:rPr>
        <w:t xml:space="preserve">, שהוא נערך לפני ר׳ ראובן לוין </w:t>
      </w:r>
      <w:proofErr w:type="spellStart"/>
      <w:r>
        <w:rPr>
          <w:rtl/>
        </w:rPr>
        <w:t>בדינבורג</w:t>
      </w:r>
      <w:proofErr w:type="spellEnd"/>
      <w:r>
        <w:rPr>
          <w:rtl/>
        </w:rPr>
        <w:t xml:space="preserve">. הוא ודאי נערך זמן לא רב לפני תרמ״ז, שנת פטירת ר׳ ראובן, מפני שבאותה עת כבר התבססה ישיבת </w:t>
      </w:r>
      <w:proofErr w:type="spellStart"/>
      <w:r>
        <w:rPr>
          <w:rtl/>
        </w:rPr>
        <w:t>סלבודקה</w:t>
      </w:r>
      <w:proofErr w:type="spellEnd"/>
      <w:r>
        <w:rPr>
          <w:rtl/>
        </w:rPr>
        <w:t xml:space="preserve"> עד כדי כך </w:t>
      </w:r>
      <w:proofErr w:type="spellStart"/>
      <w:r>
        <w:rPr>
          <w:rtl/>
        </w:rPr>
        <w:t>שוולוז׳ין</w:t>
      </w:r>
      <w:proofErr w:type="spellEnd"/>
      <w:r>
        <w:rPr>
          <w:rtl/>
        </w:rPr>
        <w:t xml:space="preserve"> החלה לחוש בתחרותה בגיוס הכספים.</w:t>
      </w:r>
    </w:p>
    <w:p w14:paraId="50094F0B" w14:textId="77777777" w:rsidR="00AB3647" w:rsidRDefault="00000000" w:rsidP="007923E9">
      <w:pPr>
        <w:spacing w:after="120" w:line="276" w:lineRule="auto"/>
        <w:ind w:firstLine="283"/>
        <w:jc w:val="both"/>
      </w:pPr>
      <w:r>
        <w:rPr>
          <w:rtl/>
        </w:rPr>
        <w:t xml:space="preserve">כעבור שש שנים כבר התרחבה פעילות איסוף הכספים של </w:t>
      </w:r>
      <w:proofErr w:type="spellStart"/>
      <w:r>
        <w:rPr>
          <w:rtl/>
        </w:rPr>
        <w:t>סלבודקה</w:t>
      </w:r>
      <w:proofErr w:type="spellEnd"/>
      <w:r>
        <w:rPr>
          <w:rtl/>
        </w:rPr>
        <w:t xml:space="preserve"> לממדים כאלה, שלפי מכתבו של אלתר </w:t>
      </w:r>
      <w:proofErr w:type="spellStart"/>
      <w:r>
        <w:rPr>
          <w:rtl/>
        </w:rPr>
        <w:t>דרויאנוב</w:t>
      </w:r>
      <w:proofErr w:type="spellEnd"/>
      <w:r>
        <w:rPr>
          <w:rtl/>
        </w:rPr>
        <w:t xml:space="preserve"> </w:t>
      </w:r>
      <w:proofErr w:type="spellStart"/>
      <w:r>
        <w:rPr>
          <w:rtl/>
        </w:rPr>
        <w:t>ב“תלפיות</w:t>
      </w:r>
      <w:proofErr w:type="spellEnd"/>
      <w:r>
        <w:rPr>
          <w:rtl/>
        </w:rPr>
        <w:t>”</w:t>
      </w:r>
      <w:bookmarkStart w:id="6620" w:name="_fnr5022"/>
      <w:r>
        <w:rPr>
          <w:rStyle w:val="a5"/>
        </w:rPr>
        <w:footnoteReference w:id="5035" w:customMarkFollows="0"/>
      </w:r>
      <w:bookmarkEnd w:id="6620"/>
      <w:r>
        <w:rPr>
          <w:rtl/>
        </w:rPr>
        <w:t xml:space="preserve">, המתוארך </w:t>
      </w:r>
      <w:proofErr w:type="spellStart"/>
      <w:r>
        <w:rPr>
          <w:rtl/>
        </w:rPr>
        <w:t>לתרנ״ג</w:t>
      </w:r>
      <w:proofErr w:type="spellEnd"/>
      <w:r>
        <w:rPr>
          <w:rtl/>
        </w:rPr>
        <w:t xml:space="preserve">, “ישיבת קובנה עולה [על </w:t>
      </w:r>
      <w:proofErr w:type="spellStart"/>
      <w:r>
        <w:rPr>
          <w:rtl/>
        </w:rPr>
        <w:lastRenderedPageBreak/>
        <w:t>וולוז׳ין</w:t>
      </w:r>
      <w:proofErr w:type="spellEnd"/>
      <w:r>
        <w:rPr>
          <w:rtl/>
        </w:rPr>
        <w:t>] בסכום הכסף הנכנס למשרד הנהלת החשבונות שלה מכל קצות תבל – לץ בן זמננו כבר אמר שהראיה הטובה ביותר לכך שאין בני אדם במאדים היא שאין שם משולח של ישיבת קובנה”. הכותב טוען: “[לישיבת קובנה</w:t>
      </w:r>
      <w:bookmarkStart w:id="6621" w:name="_fnr5023"/>
      <w:r>
        <w:rPr>
          <w:rStyle w:val="a5"/>
        </w:rPr>
        <w:footnoteReference w:id="5036" w:customMarkFollows="0"/>
      </w:r>
      <w:bookmarkEnd w:id="6621"/>
      <w:r>
        <w:rPr>
          <w:rtl/>
        </w:rPr>
        <w:t xml:space="preserve"> ולישיבת </w:t>
      </w:r>
      <w:proofErr w:type="spellStart"/>
      <w:r>
        <w:rPr>
          <w:rtl/>
        </w:rPr>
        <w:t>וולוז׳ין</w:t>
      </w:r>
      <w:proofErr w:type="spellEnd"/>
      <w:r>
        <w:rPr>
          <w:rtl/>
        </w:rPr>
        <w:t xml:space="preserve">] משותף רק דבר זה: לשתיהן אותו שם, ‘ישיבת עץ חיים’, ושתיהן מרעישות בטענה שהן הקן היחיד לתורה, וטוענות שמשימתן הראשונה, האחרונה והאמצעית היא להוציא רבנים לעם ישראל. כמה אמת יש בהכרזה זו נראה בעוד רגע – וכעד ראיה ושמיעה גם יחד, אספר לקוראים מה מידת התועלת שמביאות לנו ישיבות אלו”. מכאן עובר הכותב לביקורת קטלנית ומקיפה על ישיבת קובנה – שבמינוחו היא כוללת הן את כולל קובנה והן את ישיבת </w:t>
      </w:r>
      <w:proofErr w:type="spellStart"/>
      <w:r>
        <w:rPr>
          <w:rtl/>
        </w:rPr>
        <w:t>סלבודקה</w:t>
      </w:r>
      <w:bookmarkStart w:id="6622" w:name="_fnr5024"/>
      <w:proofErr w:type="spellEnd"/>
      <w:r>
        <w:rPr>
          <w:rStyle w:val="a5"/>
        </w:rPr>
        <w:footnoteReference w:id="5037" w:customMarkFollows="0"/>
      </w:r>
      <w:bookmarkEnd w:id="6622"/>
      <w:r>
        <w:rPr>
          <w:rtl/>
        </w:rPr>
        <w:t xml:space="preserve"> – ואילו על ישיבת </w:t>
      </w:r>
      <w:proofErr w:type="spellStart"/>
      <w:r>
        <w:rPr>
          <w:rtl/>
        </w:rPr>
        <w:t>וולוז׳ין</w:t>
      </w:r>
      <w:proofErr w:type="spellEnd"/>
      <w:r>
        <w:rPr>
          <w:rtl/>
        </w:rPr>
        <w:t xml:space="preserve"> הוא מותח רק ביקורת קלה. בהערת שוליים שבה הוא מסביר מדוע הוא מדבר על ישיבת </w:t>
      </w:r>
      <w:proofErr w:type="spellStart"/>
      <w:r>
        <w:rPr>
          <w:rtl/>
        </w:rPr>
        <w:t>וולוז׳ין</w:t>
      </w:r>
      <w:proofErr w:type="spellEnd"/>
      <w:r>
        <w:rPr>
          <w:rtl/>
        </w:rPr>
        <w:t xml:space="preserve"> כעל מוסד קיים, אף שנסגרה בשנה הקודמת, תרנ״ב, הוא אומר</w:t>
      </w:r>
      <w:bookmarkStart w:id="6623" w:name="_fnr5025"/>
      <w:r>
        <w:rPr>
          <w:rStyle w:val="a5"/>
        </w:rPr>
        <w:footnoteReference w:id="5038" w:customMarkFollows="0"/>
      </w:r>
      <w:bookmarkEnd w:id="6623"/>
      <w:r>
        <w:rPr>
          <w:rtl/>
        </w:rPr>
        <w:t xml:space="preserve">: “לפי הידיעות האחרונות, הסגירה זמנית בלבד, ו... ר׳ חיים ברלין, בנו של </w:t>
      </w:r>
      <w:proofErr w:type="spellStart"/>
      <w:r>
        <w:rPr>
          <w:rtl/>
        </w:rPr>
        <w:t>הנצי״ב</w:t>
      </w:r>
      <w:proofErr w:type="spellEnd"/>
      <w:r>
        <w:rPr>
          <w:rtl/>
        </w:rPr>
        <w:t>, משתדל לפתוח אותה מחדש, ולשם כך אוסף כספים בארצות המערב [האירופיות]”.</w:t>
      </w:r>
    </w:p>
    <w:p w14:paraId="102A3B28" w14:textId="77777777"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המשיך: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[שנקר]</w:t>
      </w:r>
      <w:bookmarkStart w:id="6624" w:name="_fnr5026"/>
      <w:r>
        <w:rPr>
          <w:rStyle w:val="a5"/>
        </w:rPr>
        <w:footnoteReference w:id="5039" w:customMarkFollows="0"/>
      </w:r>
      <w:bookmarkEnd w:id="6624"/>
      <w:r>
        <w:rPr>
          <w:rtl/>
        </w:rPr>
        <w:t xml:space="preserve"> היה עד לדיונים, וכששמע את ר׳ חיים פוגע בר׳ </w:t>
      </w:r>
      <w:proofErr w:type="spellStart"/>
      <w:r>
        <w:rPr>
          <w:rtl/>
        </w:rPr>
        <w:t>נתן־צבי</w:t>
      </w:r>
      <w:proofErr w:type="spellEnd"/>
      <w:r>
        <w:rPr>
          <w:rtl/>
        </w:rPr>
        <w:t xml:space="preserve"> </w:t>
      </w:r>
      <w:proofErr w:type="spellStart"/>
      <w:r>
        <w:rPr>
          <w:rtl/>
        </w:rPr>
        <w:t>פינקל</w:t>
      </w:r>
      <w:proofErr w:type="spellEnd"/>
      <w:r>
        <w:rPr>
          <w:rtl/>
        </w:rPr>
        <w:t>, השיב: ‘לפי גודל שכלך, ר׳ חיים, הייתה צריכה להיות לך יותר יראת שמים</w:t>
      </w:r>
      <w:bookmarkStart w:id="6625" w:name="_fnr5027"/>
      <w:r>
        <w:rPr>
          <w:rStyle w:val="a5"/>
        </w:rPr>
        <w:footnoteReference w:id="5040" w:customMarkFollows="0"/>
      </w:r>
      <w:bookmarkEnd w:id="6625"/>
      <w:r>
        <w:rPr>
          <w:rtl/>
        </w:rPr>
        <w:t>’. אז ביקש ר׳ חיים מבית הדין לפסוק בו במקום</w:t>
      </w:r>
      <w:bookmarkStart w:id="6626" w:name="_fnr5028"/>
      <w:r>
        <w:rPr>
          <w:rStyle w:val="a5"/>
        </w:rPr>
        <w:footnoteReference w:id="5041" w:customMarkFollows="0"/>
      </w:r>
      <w:bookmarkEnd w:id="6626"/>
      <w:r>
        <w:rPr>
          <w:rtl/>
        </w:rPr>
        <w:t xml:space="preserve"> אם כוונת הרב שנקר הייתה לפגוע או להוכיח. הפסיקה הייתה לזכות הרב שנקר, על יסוד שמו הטוב, </w:t>
      </w:r>
      <w:proofErr w:type="spellStart"/>
      <w:r>
        <w:rPr>
          <w:rtl/>
        </w:rPr>
        <w:t>ש‘כל</w:t>
      </w:r>
      <w:proofErr w:type="spellEnd"/>
      <w:r>
        <w:rPr>
          <w:rtl/>
        </w:rPr>
        <w:t xml:space="preserve"> מעשיו לשם שמים’</w:t>
      </w:r>
      <w:bookmarkStart w:id="6627" w:name="_fnr5029"/>
      <w:r>
        <w:rPr>
          <w:rStyle w:val="a5"/>
        </w:rPr>
        <w:footnoteReference w:id="5042" w:customMarkFollows="0"/>
      </w:r>
      <w:bookmarkEnd w:id="6627"/>
      <w:r>
        <w:rPr>
          <w:rtl/>
        </w:rPr>
        <w:t>”. אצל כץ</w:t>
      </w:r>
      <w:bookmarkStart w:id="6628" w:name="_fnr5030"/>
      <w:r>
        <w:rPr>
          <w:rStyle w:val="a5"/>
        </w:rPr>
        <w:footnoteReference w:id="5043" w:customMarkFollows="0"/>
      </w:r>
      <w:bookmarkEnd w:id="6628"/>
      <w:r>
        <w:rPr>
          <w:rtl/>
        </w:rPr>
        <w:t xml:space="preserve"> מובאת פסיקת בית הדין בפשטות, כאילו התבססה על “העובדה הידועה שר׳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אינו מעליב איש לעולם”.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נפטר שנה אחרי ר׳ ראובן.</w:t>
      </w:r>
    </w:p>
    <w:p w14:paraId="3F2C1F0F" w14:textId="77777777" w:rsidR="00AB3647" w:rsidRDefault="00000000" w:rsidP="007923E9">
      <w:pPr>
        <w:spacing w:after="120" w:line="276" w:lineRule="auto"/>
        <w:ind w:firstLine="283"/>
        <w:jc w:val="both"/>
      </w:pPr>
      <w:r>
        <w:rPr>
          <w:rtl/>
        </w:rPr>
        <w:t xml:space="preserve">אשר לדין התורה עצמו, פסק בית הדין שאין </w:t>
      </w:r>
      <w:proofErr w:type="spellStart"/>
      <w:r>
        <w:rPr>
          <w:rtl/>
        </w:rPr>
        <w:t>לוולוז׳ין</w:t>
      </w:r>
      <w:proofErr w:type="spellEnd"/>
      <w:r>
        <w:rPr>
          <w:rtl/>
        </w:rPr>
        <w:t xml:space="preserve"> מונופול על שום עיירה. אילו נתקבלה תביעת </w:t>
      </w:r>
      <w:proofErr w:type="spellStart"/>
      <w:r>
        <w:rPr>
          <w:rtl/>
        </w:rPr>
        <w:t>וולוז׳ין</w:t>
      </w:r>
      <w:proofErr w:type="spellEnd"/>
      <w:r>
        <w:rPr>
          <w:rtl/>
        </w:rPr>
        <w:t xml:space="preserve">, היו משולחי </w:t>
      </w:r>
      <w:proofErr w:type="spellStart"/>
      <w:r>
        <w:rPr>
          <w:rtl/>
        </w:rPr>
        <w:t>סלבודקה</w:t>
      </w:r>
      <w:proofErr w:type="spellEnd"/>
      <w:r>
        <w:rPr>
          <w:rtl/>
        </w:rPr>
        <w:t xml:space="preserve"> נאלצים למעשה להפסיק את פעילותם, אף שהיו מצויים בכל מקום. עורך “</w:t>
      </w:r>
      <w:proofErr w:type="spellStart"/>
      <w:r>
        <w:rPr>
          <w:rtl/>
        </w:rPr>
        <w:t>הכרם־תרמ״ח</w:t>
      </w:r>
      <w:proofErr w:type="spellEnd"/>
      <w:r>
        <w:rPr>
          <w:rtl/>
        </w:rPr>
        <w:t xml:space="preserve">”, בדווחו על ריבוי המשולחים שהעסיקה </w:t>
      </w:r>
      <w:proofErr w:type="spellStart"/>
      <w:r>
        <w:rPr>
          <w:rtl/>
        </w:rPr>
        <w:t>וולוז׳ין</w:t>
      </w:r>
      <w:proofErr w:type="spellEnd"/>
      <w:r>
        <w:rPr>
          <w:rtl/>
        </w:rPr>
        <w:t>, כותב</w:t>
      </w:r>
      <w:bookmarkStart w:id="6629" w:name="_fnr5031"/>
      <w:r>
        <w:rPr>
          <w:rStyle w:val="a5"/>
        </w:rPr>
        <w:footnoteReference w:id="5044" w:customMarkFollows="0"/>
      </w:r>
      <w:bookmarkEnd w:id="6629"/>
      <w:r>
        <w:rPr>
          <w:rtl/>
        </w:rPr>
        <w:t xml:space="preserve"> שליצני דורנו כופרים בקיומם של עשרת השבטים האבודים, שאם לא כן כבר היו משולחי </w:t>
      </w:r>
      <w:proofErr w:type="spellStart"/>
      <w:r>
        <w:rPr>
          <w:rtl/>
        </w:rPr>
        <w:t>וולוז׳ין</w:t>
      </w:r>
      <w:proofErr w:type="spellEnd"/>
      <w:r>
        <w:rPr>
          <w:rtl/>
        </w:rPr>
        <w:t xml:space="preserve"> מגלים אותם.</w:t>
      </w:r>
    </w:p>
    <w:p w14:paraId="1AB05EC3" w14:textId="77777777" w:rsidR="00AB3647" w:rsidRDefault="00000000" w:rsidP="007923E9">
      <w:pPr>
        <w:spacing w:after="120" w:line="276" w:lineRule="auto"/>
        <w:ind w:firstLine="283"/>
        <w:jc w:val="both"/>
      </w:pPr>
      <w:bookmarkStart w:id="6630" w:name="pr_b_2738"/>
      <w:bookmarkEnd w:id="6630"/>
      <w:r>
        <w:rPr>
          <w:rtl/>
        </w:rPr>
        <w:lastRenderedPageBreak/>
        <w:t xml:space="preserve">ר׳ חיים </w:t>
      </w:r>
      <w:proofErr w:type="spellStart"/>
      <w:r>
        <w:rPr>
          <w:rtl/>
        </w:rPr>
        <w:t>סרנא</w:t>
      </w:r>
      <w:proofErr w:type="spellEnd"/>
      <w:r>
        <w:rPr>
          <w:rtl/>
        </w:rPr>
        <w:t xml:space="preserve"> ציין גם שנדיבותו של הסבא כלפי ר׳ חיים נמשכה לדור הבא: ר׳ </w:t>
      </w:r>
      <w:proofErr w:type="spellStart"/>
      <w:r>
        <w:rPr>
          <w:rtl/>
        </w:rPr>
        <w:t>לייזר־יודל</w:t>
      </w:r>
      <w:proofErr w:type="spellEnd"/>
      <w:r>
        <w:rPr>
          <w:rtl/>
        </w:rPr>
        <w:t xml:space="preserve"> </w:t>
      </w:r>
      <w:proofErr w:type="spellStart"/>
      <w:r>
        <w:rPr>
          <w:rtl/>
        </w:rPr>
        <w:t>פינקל</w:t>
      </w:r>
      <w:proofErr w:type="spellEnd"/>
      <w:r>
        <w:rPr>
          <w:rtl/>
        </w:rPr>
        <w:t xml:space="preserve"> הקים ישיבה </w:t>
      </w:r>
      <w:proofErr w:type="spellStart"/>
      <w:r>
        <w:rPr>
          <w:rtl/>
        </w:rPr>
        <w:t>לר</w:t>
      </w:r>
      <w:proofErr w:type="spellEnd"/>
      <w:r>
        <w:rPr>
          <w:rtl/>
        </w:rPr>
        <w:t xml:space="preserve">׳ יצחק־זאב </w:t>
      </w:r>
      <w:proofErr w:type="spellStart"/>
      <w:r>
        <w:rPr>
          <w:rtl/>
        </w:rPr>
        <w:t>סולובייצ׳יק</w:t>
      </w:r>
      <w:proofErr w:type="spellEnd"/>
      <w:r>
        <w:rPr>
          <w:rtl/>
        </w:rPr>
        <w:t xml:space="preserve"> </w:t>
      </w:r>
      <w:proofErr w:type="spellStart"/>
      <w:r>
        <w:rPr>
          <w:rtl/>
        </w:rPr>
        <w:t>בבריסק</w:t>
      </w:r>
      <w:proofErr w:type="spellEnd"/>
      <w:r>
        <w:rPr>
          <w:rtl/>
        </w:rPr>
        <w:t xml:space="preserve"> – </w:t>
      </w:r>
      <w:proofErr w:type="spellStart"/>
      <w:r>
        <w:rPr>
          <w:rtl/>
        </w:rPr>
        <w:t>לר</w:t>
      </w:r>
      <w:proofErr w:type="spellEnd"/>
      <w:r>
        <w:rPr>
          <w:rtl/>
        </w:rPr>
        <w:t xml:space="preserve">׳ יצחק־זאב היה רק חוג קטן של תלמידים בעיר ציונית מאוד זו, שחוגיה הציוניים כבר התעמתו עם אביו</w:t>
      </w:r>
      <w:bookmarkStart w:id="6631" w:name="_fnr5032"/>
      <w:r>
        <w:rPr>
          <w:rStyle w:val="a5"/>
        </w:rPr>
        <w:footnoteReference w:id="5045" w:customMarkFollows="0"/>
      </w:r>
      <w:bookmarkEnd w:id="6631"/>
      <w:r>
        <w:rPr>
          <w:rtl/>
        </w:rPr>
        <w:t xml:space="preserve"> – ולא רק סיפק לו תלמידים, אלא גם החזיק אותם שם בתמיכה כספית. כך ביסס ר׳ </w:t>
      </w:r>
      <w:proofErr w:type="spellStart"/>
      <w:r>
        <w:rPr>
          <w:rtl/>
        </w:rPr>
        <w:t>לייזר־יודל</w:t>
      </w:r>
      <w:proofErr w:type="spellEnd"/>
      <w:r>
        <w:rPr>
          <w:rtl/>
        </w:rPr>
        <w:t xml:space="preserve"> את שמו של ר׳ יצחק־זאב בעולם הישיבות לדורות.</w:t>
      </w:r>
    </w:p>
    <w:p w14:paraId="7B303049" w14:textId="77777777" w:rsidR="00AB3647" w:rsidRDefault="00000000" w:rsidP="007923E9">
      <w:pPr>
        <w:spacing w:after="120" w:line="276" w:lineRule="auto"/>
        <w:ind w:firstLine="283"/>
        <w:jc w:val="both"/>
      </w:pPr>
      <w:bookmarkStart w:id="6632" w:name="pr_close_b_4349"/>
      <w:bookmarkEnd w:id="6632"/>
      <w:r>
        <w:rPr>
          <w:rtl/>
        </w:rPr>
        <w:t xml:space="preserve">השווה מאמרו של הרב ניסן וקסמן על ר׳ </w:t>
      </w:r>
      <w:proofErr w:type="spellStart"/>
      <w:r>
        <w:rPr>
          <w:rtl/>
        </w:rPr>
        <w:t>אליעזר־יהודה</w:t>
      </w:r>
      <w:proofErr w:type="spellEnd"/>
      <w:r>
        <w:rPr>
          <w:rtl/>
        </w:rPr>
        <w:t xml:space="preserve"> </w:t>
      </w:r>
      <w:proofErr w:type="spellStart"/>
      <w:r>
        <w:rPr>
          <w:rtl/>
        </w:rPr>
        <w:t>פינקל</w:t>
      </w:r>
      <w:bookmarkStart w:id="6633" w:name="_fnr5033"/>
      <w:proofErr w:type="spellEnd"/>
      <w:r>
        <w:rPr>
          <w:rStyle w:val="a5"/>
        </w:rPr>
        <w:footnoteReference w:id="5046" w:customMarkFollows="0"/>
      </w:r>
      <w:bookmarkEnd w:id="6633"/>
      <w:r>
        <w:rPr>
          <w:rtl/>
        </w:rPr>
        <w:t xml:space="preserve">, הזוקף לזכות ר׳ </w:t>
      </w:r>
      <w:proofErr w:type="spellStart"/>
      <w:r>
        <w:rPr>
          <w:rtl/>
        </w:rPr>
        <w:t>איסר־זלמן</w:t>
      </w:r>
      <w:proofErr w:type="spellEnd"/>
      <w:r>
        <w:rPr>
          <w:rtl/>
        </w:rPr>
        <w:t xml:space="preserve"> מלצר את ההערה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ש“כישרונו</w:t>
      </w:r>
      <w:proofErr w:type="spellEnd"/>
      <w:r>
        <w:rPr>
          <w:rtl/>
        </w:rPr>
        <w:t xml:space="preserve"> וכוחותיו הגדולים” של ר׳ יצחק־זאב “אינם מנוצלים</w:t>
      </w:r>
      <w:bookmarkStart w:id="6634" w:name="_fnr5034"/>
      <w:r>
        <w:rPr>
          <w:rStyle w:val="a5"/>
        </w:rPr>
        <w:footnoteReference w:id="5047" w:customMarkFollows="0"/>
      </w:r>
      <w:bookmarkEnd w:id="6634"/>
      <w:r>
        <w:rPr>
          <w:rtl/>
        </w:rPr>
        <w:t xml:space="preserve"> בידי מנהלי הישיבות הגדולות בפולין”, ואת העצה שנתן </w:t>
      </w:r>
      <w:proofErr w:type="spellStart"/>
      <w:r>
        <w:rPr>
          <w:rtl/>
        </w:rPr>
        <w:t>לר</w:t>
      </w:r>
      <w:proofErr w:type="spellEnd"/>
      <w:r>
        <w:rPr>
          <w:rtl/>
        </w:rPr>
        <w:t xml:space="preserve">׳ </w:t>
      </w:r>
      <w:proofErr w:type="spellStart"/>
      <w:r>
        <w:rPr>
          <w:rtl/>
        </w:rPr>
        <w:t>לייזר־יודל</w:t>
      </w:r>
      <w:proofErr w:type="spellEnd"/>
      <w:r>
        <w:rPr>
          <w:rtl/>
        </w:rPr>
        <w:t xml:space="preserve"> </w:t>
      </w:r>
      <w:proofErr w:type="spellStart"/>
      <w:r>
        <w:rPr>
          <w:rtl/>
        </w:rPr>
        <w:t>פינקל</w:t>
      </w:r>
      <w:proofErr w:type="spellEnd"/>
      <w:r>
        <w:rPr>
          <w:rtl/>
        </w:rPr>
        <w:t xml:space="preserve"> לשלוח </w:t>
      </w:r>
      <w:proofErr w:type="spellStart"/>
      <w:r>
        <w:rPr>
          <w:rtl/>
        </w:rPr>
        <w:t>לבריסק</w:t>
      </w:r>
      <w:proofErr w:type="spellEnd"/>
      <w:r>
        <w:rPr>
          <w:rtl/>
        </w:rPr>
        <w:t xml:space="preserve"> קבוצה מטובי תלמידיו. ר׳ </w:t>
      </w:r>
      <w:proofErr w:type="spellStart"/>
      <w:r>
        <w:rPr>
          <w:rtl/>
        </w:rPr>
        <w:t>איסר־זלמן</w:t>
      </w:r>
      <w:proofErr w:type="spellEnd"/>
      <w:r>
        <w:rPr>
          <w:rtl/>
        </w:rPr>
        <w:t xml:space="preserve"> מלצר בא מארץ ישראל לביקור בפולין כדי להשתתף בחנוכת בניין ישיבה חדש שחנך חתנו, ר׳ אהרן קוטלר, </w:t>
      </w:r>
      <w:proofErr w:type="spellStart"/>
      <w:r>
        <w:rPr>
          <w:rtl/>
        </w:rPr>
        <w:t>בקלצק</w:t>
      </w:r>
      <w:proofErr w:type="spellEnd"/>
      <w:r>
        <w:rPr>
          <w:rtl/>
        </w:rPr>
        <w:t xml:space="preserve"> בסוף תרפ״ט, ור׳ </w:t>
      </w:r>
      <w:proofErr w:type="spellStart"/>
      <w:r>
        <w:rPr>
          <w:rtl/>
        </w:rPr>
        <w:t>לייזר־יודל</w:t>
      </w:r>
      <w:proofErr w:type="spellEnd"/>
      <w:r>
        <w:rPr>
          <w:rtl/>
        </w:rPr>
        <w:t xml:space="preserve"> השתתף במעמד. לכאורה נראה שר׳ יצחק־זאב, שלא כאביו, יכול היה ללמד תלמידים שלא היה להם היסוד הראוי בדרך לימודו. אבל סביר יותר שבסוף שנות </w:t>
      </w:r>
      <w:proofErr w:type="spellStart"/>
      <w:r>
        <w:rPr>
          <w:rtl/>
        </w:rPr>
        <w:t xml:space="preserve">התר״פ</w:t>
      </w:r>
      <w:proofErr w:type="spellEnd"/>
      <w:r>
        <w:rPr>
          <w:rtl/>
        </w:rPr>
        <w:t xml:space="preserve"> כבר נפוצה שיטת לימודו של ר׳ חיים </w:t>
      </w:r>
      <w:proofErr w:type="spellStart"/>
      <w:r>
        <w:rPr>
          <w:rtl/>
        </w:rPr>
        <w:t>סולובייצ׳יק</w:t>
      </w:r>
      <w:proofErr w:type="spellEnd"/>
      <w:r>
        <w:rPr>
          <w:rtl/>
        </w:rPr>
        <w:t xml:space="preserve"> בכל הישיבות די הצורך, והתלמידים הטובים בכל מקום כבר יכלו לתפוס את דברי תורתו של ר׳ יצחק־זאב. שני תלמידי חכמים ידועים שבאו מישיבת </w:t>
      </w:r>
      <w:proofErr w:type="spellStart"/>
      <w:r>
        <w:rPr>
          <w:rtl/>
        </w:rPr>
        <w:t>מיר</w:t>
      </w:r>
      <w:proofErr w:type="spellEnd"/>
      <w:r>
        <w:rPr>
          <w:rtl/>
        </w:rPr>
        <w:t xml:space="preserve"> ללמוד אצל ר׳ יצחק־זאב היו ר׳ מיכל </w:t>
      </w:r>
      <w:proofErr w:type="spellStart"/>
      <w:r>
        <w:rPr>
          <w:rtl/>
        </w:rPr>
        <w:t>פיינשטיין</w:t>
      </w:r>
      <w:proofErr w:type="spellEnd"/>
      <w:r>
        <w:rPr>
          <w:rtl/>
        </w:rPr>
        <w:t xml:space="preserve">, שלימים נשא את </w:t>
      </w:r>
      <w:proofErr w:type="spellStart"/>
      <w:r>
        <w:rPr>
          <w:rtl/>
        </w:rPr>
        <w:t>ליפשה</w:t>
      </w:r>
      <w:proofErr w:type="spellEnd"/>
      <w:r>
        <w:rPr>
          <w:rtl/>
        </w:rPr>
        <w:t xml:space="preserve"> בתו של ר׳ יצחק־זאב, ור׳ לייב </w:t>
      </w:r>
      <w:proofErr w:type="spellStart"/>
      <w:r>
        <w:rPr>
          <w:rtl/>
        </w:rPr>
        <w:t>מאלין</w:t>
      </w:r>
      <w:proofErr w:type="spellEnd"/>
      <w:r>
        <w:rPr>
          <w:rtl/>
        </w:rPr>
        <w:t xml:space="preserve">, מרבותיי, שיצא ממיר לשנה </w:t>
      </w:r>
      <w:proofErr w:type="spellStart"/>
      <w:r>
        <w:rPr>
          <w:rtl/>
        </w:rPr>
        <w:t>בתרצ״ז</w:t>
      </w:r>
      <w:proofErr w:type="spellEnd"/>
      <w:r>
        <w:rPr>
          <w:rtl/>
        </w:rPr>
        <w:t xml:space="preserve"> כדי ללמוד </w:t>
      </w:r>
      <w:proofErr w:type="spellStart"/>
      <w:r>
        <w:rPr>
          <w:rtl/>
        </w:rPr>
        <w:t>בבריסק</w:t>
      </w:r>
      <w:proofErr w:type="spellEnd"/>
      <w:r>
        <w:rPr>
          <w:rtl/>
        </w:rPr>
        <w:t>.</w:t>
      </w:r>
    </w:p>
    <w:p w14:paraId="02B94B5F" w14:textId="77777777" w:rsidR="00AB3647" w:rsidRDefault="00000000" w:rsidP="007923E9">
      <w:pPr>
        <w:spacing w:after="120" w:line="276" w:lineRule="auto"/>
        <w:ind w:firstLine="283"/>
        <w:jc w:val="both"/>
      </w:pPr>
      <w:r>
        <w:rPr>
          <w:rtl/>
        </w:rPr>
        <w:t xml:space="preserve">לפי מועד ביקורו של ר׳ חיים בקובנה אפשר לשער שבא לברר עם הסבא אם אפשר לסדר שליחת קיבוץ תלמידים </w:t>
      </w:r>
      <w:proofErr w:type="spellStart"/>
      <w:r>
        <w:rPr>
          <w:rtl/>
        </w:rPr>
        <w:t>לראסיין</w:t>
      </w:r>
      <w:proofErr w:type="spellEnd"/>
      <w:r>
        <w:rPr>
          <w:rtl/>
        </w:rPr>
        <w:t xml:space="preserve">. למעשה נתמנה ר׳ משה לרב </w:t>
      </w:r>
      <w:proofErr w:type="spellStart"/>
      <w:r>
        <w:rPr>
          <w:rtl/>
        </w:rPr>
        <w:t>בראסיין</w:t>
      </w:r>
      <w:proofErr w:type="spellEnd"/>
      <w:r>
        <w:rPr>
          <w:rtl/>
        </w:rPr>
        <w:t xml:space="preserve"> רק כעבור שנתיים, </w:t>
      </w:r>
      <w:proofErr w:type="spellStart"/>
      <w:r>
        <w:rPr>
          <w:rtl/>
        </w:rPr>
        <w:t>בתר״ע</w:t>
      </w:r>
      <w:proofErr w:type="spellEnd"/>
      <w:r>
        <w:rPr>
          <w:rtl/>
        </w:rPr>
        <w:t xml:space="preserve">, כפי שרשם הבקי בתולדות </w:t>
      </w:r>
      <w:proofErr w:type="spellStart"/>
      <w:r>
        <w:rPr>
          <w:rtl/>
        </w:rPr>
        <w:t>ראסיין</w:t>
      </w:r>
      <w:proofErr w:type="spellEnd"/>
      <w:r>
        <w:rPr>
          <w:rtl/>
        </w:rPr>
        <w:t xml:space="preserve">, ר׳ משה </w:t>
      </w:r>
      <w:proofErr w:type="spellStart"/>
      <w:r>
        <w:rPr>
          <w:rtl/>
        </w:rPr>
        <w:t>מרקוביץ</w:t>
      </w:r>
      <w:proofErr w:type="spellEnd"/>
      <w:r>
        <w:rPr>
          <w:rtl/>
        </w:rPr>
        <w:t xml:space="preserve">, </w:t>
      </w:r>
      <w:proofErr w:type="spellStart"/>
      <w:r>
        <w:rPr>
          <w:rtl/>
        </w:rPr>
        <w:t>ב“לקורות</w:t>
      </w:r>
      <w:proofErr w:type="spellEnd"/>
      <w:r>
        <w:rPr>
          <w:rtl/>
        </w:rPr>
        <w:t>”</w:t>
      </w:r>
      <w:bookmarkStart w:id="6635" w:name="_fnr5035"/>
      <w:r>
        <w:rPr>
          <w:rStyle w:val="a5"/>
        </w:rPr>
        <w:footnoteReference w:id="5048" w:customMarkFollows="0"/>
      </w:r>
      <w:bookmarkEnd w:id="6635"/>
      <w:r>
        <w:rPr>
          <w:rtl/>
        </w:rPr>
        <w:t xml:space="preserve">, וכפי שאישר לי ר׳ אהרן </w:t>
      </w:r>
      <w:proofErr w:type="spellStart"/>
      <w:r>
        <w:rPr>
          <w:rtl/>
        </w:rPr>
        <w:t>סולובייצ׳יק</w:t>
      </w:r>
      <w:proofErr w:type="spellEnd"/>
      <w:r>
        <w:rPr>
          <w:rtl/>
        </w:rPr>
        <w:t xml:space="preserve">, בנו של ר׳ משה שנולד מאוחר יותר. אבל בערל </w:t>
      </w:r>
      <w:proofErr w:type="spellStart"/>
      <w:r>
        <w:rPr>
          <w:rtl/>
        </w:rPr>
        <w:t>קגן</w:t>
      </w:r>
      <w:bookmarkStart w:id="6636" w:name="_fnr5036"/>
      <w:proofErr w:type="spellEnd"/>
      <w:r>
        <w:rPr>
          <w:rStyle w:val="a5"/>
        </w:rPr>
        <w:footnoteReference w:id="5049" w:customMarkFollows="0"/>
      </w:r>
      <w:bookmarkEnd w:id="6636"/>
      <w:r>
        <w:rPr>
          <w:rtl/>
        </w:rPr>
        <w:t xml:space="preserve"> נותן את שנת 1908 (תרס״ח) כשנת עלייתו של ר׳ משה </w:t>
      </w:r>
      <w:proofErr w:type="spellStart"/>
      <w:r>
        <w:rPr>
          <w:rtl/>
        </w:rPr>
        <w:t>סולובייצ׳יק</w:t>
      </w:r>
      <w:proofErr w:type="spellEnd"/>
      <w:r>
        <w:rPr>
          <w:rtl/>
        </w:rPr>
        <w:t xml:space="preserve"> על כס הרבנות, ואבי אמר שר׳ משה, שנולד </w:t>
      </w:r>
      <w:proofErr w:type="spellStart"/>
      <w:r>
        <w:rPr>
          <w:rtl/>
        </w:rPr>
        <w:t>בתרל״ח</w:t>
      </w:r>
      <w:proofErr w:type="spellEnd"/>
      <w:r>
        <w:rPr>
          <w:rtl/>
        </w:rPr>
        <w:t xml:space="preserve">, היה כבן שלושים כאשר דחף אותו אביו אל העיר. לכן מסתבר שר׳ חיים החל לפעול </w:t>
      </w:r>
      <w:r>
        <w:rPr>
          <w:b/>
          <w:bCs/>
          <w:rtl/>
        </w:rPr>
        <w:t>לקראת</w:t>
      </w:r>
      <w:r>
        <w:rPr>
          <w:rtl/>
        </w:rPr>
        <w:t xml:space="preserve"> המינוי שנתיים לפני שבנו זכה בפועל ברבנות, כלומר </w:t>
      </w:r>
      <w:proofErr w:type="spellStart"/>
      <w:r>
        <w:rPr>
          <w:rtl/>
        </w:rPr>
        <w:t>בתרס״ח</w:t>
      </w:r>
      <w:proofErr w:type="spellEnd"/>
      <w:r>
        <w:rPr>
          <w:rtl/>
        </w:rPr>
        <w:t>.</w:t>
      </w:r>
    </w:p>
    <w:p w14:paraId="198D2FE4" w14:textId="77777777" w:rsidR="00AB3647" w:rsidRDefault="00000000" w:rsidP="007923E9">
      <w:pPr>
        <w:spacing w:after="120" w:line="276" w:lineRule="auto"/>
        <w:ind w:firstLine="283"/>
        <w:jc w:val="both"/>
      </w:pPr>
      <w:r>
        <w:rPr>
          <w:rtl/>
        </w:rPr>
        <w:t xml:space="preserve">מאמציו המוקדמים של ר׳ חיים לא נשאו פרי, עד שבייאושו שיתף בהם את תלמידו ר׳ </w:t>
      </w:r>
      <w:proofErr w:type="spellStart"/>
      <w:r>
        <w:rPr>
          <w:rtl/>
        </w:rPr>
        <w:t>ברוך־בער</w:t>
      </w:r>
      <w:proofErr w:type="spellEnd"/>
      <w:r>
        <w:rPr>
          <w:rtl/>
        </w:rPr>
        <w:t xml:space="preserve">, כאמור לעיל. אם כן, רבנו אינו מדייק כשהוא מצמיד את נסיעת ר׳ </w:t>
      </w:r>
      <w:proofErr w:type="spellStart"/>
      <w:r>
        <w:rPr>
          <w:rtl/>
        </w:rPr>
        <w:t>ברוך־בער</w:t>
      </w:r>
      <w:proofErr w:type="spellEnd"/>
      <w:r>
        <w:rPr>
          <w:rtl/>
        </w:rPr>
        <w:t xml:space="preserve"> </w:t>
      </w:r>
      <w:proofErr w:type="spellStart"/>
      <w:r>
        <w:rPr>
          <w:rtl/>
        </w:rPr>
        <w:t>לראסיין</w:t>
      </w:r>
      <w:proofErr w:type="spellEnd"/>
      <w:r>
        <w:rPr>
          <w:rtl/>
        </w:rPr>
        <w:t xml:space="preserve"> לגילו של ר׳ משה, שלושים: ר׳ חיים </w:t>
      </w:r>
      <w:r>
        <w:rPr>
          <w:b/>
          <w:bCs/>
          <w:rtl/>
        </w:rPr>
        <w:t>החל</w:t>
      </w:r>
      <w:r>
        <w:rPr>
          <w:rtl/>
        </w:rPr>
        <w:t xml:space="preserve"> לפעול להשגת הרבנות כשבנו היה קרוב לשלושים, ור׳ </w:t>
      </w:r>
      <w:proofErr w:type="spellStart"/>
      <w:r>
        <w:rPr>
          <w:rtl/>
        </w:rPr>
        <w:t>ברוך־בער</w:t>
      </w:r>
      <w:proofErr w:type="spellEnd"/>
      <w:r>
        <w:rPr>
          <w:rtl/>
        </w:rPr>
        <w:t xml:space="preserve"> נרתם להוציא לפועל את תוכנית רבו כעבור שנתיים. “מורשת”</w:t>
      </w:r>
      <w:bookmarkStart w:id="6637" w:name="_fnr5037"/>
      <w:r>
        <w:rPr>
          <w:rStyle w:val="a5"/>
        </w:rPr>
        <w:footnoteReference w:id="5050" w:customMarkFollows="0"/>
      </w:r>
      <w:bookmarkEnd w:id="6637"/>
      <w:r>
        <w:rPr>
          <w:rtl/>
        </w:rPr>
        <w:t xml:space="preserve"> טועה כנראה כשהיא מתארת ביקור של ר׳ חיים עצמו </w:t>
      </w:r>
      <w:proofErr w:type="spellStart"/>
      <w:r>
        <w:rPr>
          <w:rtl/>
        </w:rPr>
        <w:t>בראסיין</w:t>
      </w:r>
      <w:proofErr w:type="spellEnd"/>
      <w:r>
        <w:rPr>
          <w:rtl/>
        </w:rPr>
        <w:t xml:space="preserve"> כדי להבטיח את בחירת בנו. היא מתארת אותו מבעד לעיניו של אדם שהמחברת אינה זוכרת את שמו, אך קראה את תיאורו “לפני שנים אחדות”; התיאור היה כנראה של ביקורו </w:t>
      </w:r>
      <w:r>
        <w:rPr>
          <w:b/>
          <w:bCs/>
          <w:rtl/>
        </w:rPr>
        <w:t>המאוחר יותר</w:t>
      </w:r>
      <w:r>
        <w:rPr>
          <w:rtl/>
        </w:rPr>
        <w:t xml:space="preserve"> של ר׳ חיים, שאכן </w:t>
      </w:r>
      <w:r>
        <w:rPr>
          <w:b/>
          <w:bCs/>
          <w:rtl/>
        </w:rPr>
        <w:t>חיזק</w:t>
      </w:r>
      <w:r>
        <w:rPr>
          <w:rtl/>
        </w:rPr>
        <w:t xml:space="preserve"> את מעמד בנו </w:t>
      </w:r>
      <w:r>
        <w:rPr>
          <w:rtl/>
        </w:rPr>
        <w:lastRenderedPageBreak/>
        <w:t>בעיר – ראה הפסקה השלישית להלן. אגב, התאריך שנותן כץ, “תנועת המוסר”, כרך ג</w:t>
      </w:r>
      <w:bookmarkStart w:id="6638" w:name="_fnr5038"/>
      <w:r>
        <w:rPr>
          <w:rStyle w:val="a5"/>
        </w:rPr>
        <w:footnoteReference w:id="5051" w:customMarkFollows="0"/>
      </w:r>
      <w:bookmarkEnd w:id="6638"/>
      <w:r>
        <w:rPr>
          <w:rtl/>
        </w:rPr>
        <w:t>, למינויו של ר׳ משה</w:t>
      </w:r>
      <w:bookmarkStart w:id="6639" w:name="_fnr5039"/>
      <w:r>
        <w:rPr>
          <w:rStyle w:val="a5"/>
        </w:rPr>
        <w:footnoteReference w:id="5052" w:customMarkFollows="0"/>
      </w:r>
      <w:bookmarkEnd w:id="6639"/>
      <w:r>
        <w:rPr>
          <w:rtl/>
        </w:rPr>
        <w:t xml:space="preserve"> – תרע״ב – שגוי: לפי בנו ר׳ אהרן, באותה שנה </w:t>
      </w:r>
      <w:r>
        <w:rPr>
          <w:b/>
          <w:bCs/>
          <w:rtl/>
        </w:rPr>
        <w:t>עזב</w:t>
      </w:r>
      <w:r>
        <w:rPr>
          <w:rtl/>
        </w:rPr>
        <w:t xml:space="preserve"> ר׳ משה את </w:t>
      </w:r>
      <w:proofErr w:type="spellStart"/>
      <w:r>
        <w:rPr>
          <w:rtl/>
        </w:rPr>
        <w:t>ראסיין</w:t>
      </w:r>
      <w:proofErr w:type="spellEnd"/>
      <w:r>
        <w:rPr>
          <w:rtl/>
        </w:rPr>
        <w:t xml:space="preserve"> </w:t>
      </w:r>
      <w:proofErr w:type="spellStart"/>
      <w:r>
        <w:rPr>
          <w:rtl/>
        </w:rPr>
        <w:t>לחסלוויץ</w:t>
      </w:r>
      <w:proofErr w:type="spellEnd"/>
      <w:r>
        <w:rPr>
          <w:rtl/>
        </w:rPr>
        <w:t>׳.</w:t>
      </w:r>
    </w:p>
    <w:p w14:paraId="5872F008" w14:textId="77777777" w:rsidR="00AB3647" w:rsidRDefault="00000000" w:rsidP="007923E9">
      <w:pPr>
        <w:spacing w:after="120" w:line="276" w:lineRule="auto"/>
        <w:ind w:firstLine="283"/>
        <w:jc w:val="both"/>
      </w:pPr>
      <w:r>
        <w:rPr>
          <w:rtl/>
        </w:rPr>
        <w:t xml:space="preserve">ר׳ דוד </w:t>
      </w:r>
      <w:proofErr w:type="spellStart"/>
      <w:r>
        <w:rPr>
          <w:rtl/>
        </w:rPr>
        <w:t>מוסטופסקי</w:t>
      </w:r>
      <w:bookmarkStart w:id="6640" w:name="_fnr5040"/>
      <w:proofErr w:type="spellEnd"/>
      <w:r>
        <w:rPr>
          <w:rStyle w:val="a5"/>
        </w:rPr>
        <w:footnoteReference w:id="5053" w:customMarkFollows="0"/>
      </w:r>
      <w:bookmarkEnd w:id="6640"/>
      <w:r>
        <w:rPr>
          <w:rtl/>
        </w:rPr>
        <w:t xml:space="preserve"> סיפר שלפני שעלה ר׳ משה על כס הרבנות </w:t>
      </w:r>
      <w:proofErr w:type="spellStart"/>
      <w:r>
        <w:rPr>
          <w:rtl/>
        </w:rPr>
        <w:t>בראסיין</w:t>
      </w:r>
      <w:proofErr w:type="spellEnd"/>
      <w:r>
        <w:rPr>
          <w:rtl/>
        </w:rPr>
        <w:t xml:space="preserve">, ניסה ר׳ חיים להשיג עבורו את רבנות </w:t>
      </w:r>
      <w:proofErr w:type="spellStart"/>
      <w:r>
        <w:rPr>
          <w:rtl/>
        </w:rPr>
        <w:t>קמניץ</w:t>
      </w:r>
      <w:proofErr w:type="spellEnd"/>
      <w:r>
        <w:rPr>
          <w:rtl/>
        </w:rPr>
        <w:t xml:space="preserve">, ולא הצליח. בני העיר נועצו בר׳ חיים את מי לקבל לרב במקום ר׳ </w:t>
      </w:r>
      <w:proofErr w:type="spellStart"/>
      <w:r>
        <w:rPr>
          <w:rtl/>
        </w:rPr>
        <w:t>משה־יצחק</w:t>
      </w:r>
      <w:proofErr w:type="spellEnd"/>
      <w:r>
        <w:rPr>
          <w:rtl/>
        </w:rPr>
        <w:t xml:space="preserve"> </w:t>
      </w:r>
      <w:proofErr w:type="spellStart"/>
      <w:r>
        <w:rPr>
          <w:rtl/>
        </w:rPr>
        <w:t>רבינוביץ</w:t>
      </w:r>
      <w:proofErr w:type="spellEnd"/>
      <w:r>
        <w:rPr>
          <w:rtl/>
        </w:rPr>
        <w:t xml:space="preserve">, שהיה רבם כמעט שלושה עשורים ונפטר בחורף תרס״ח. כשהציע להם לקחת את בנו שלו, שלח </w:t>
      </w:r>
      <w:proofErr w:type="spellStart"/>
      <w:r>
        <w:rPr>
          <w:rtl/>
        </w:rPr>
        <w:t>אבי־סבו</w:t>
      </w:r>
      <w:proofErr w:type="spellEnd"/>
      <w:r>
        <w:rPr>
          <w:rtl/>
        </w:rPr>
        <w:t xml:space="preserve"> של המרואיין, ר׳ </w:t>
      </w:r>
      <w:proofErr w:type="spellStart"/>
      <w:r>
        <w:rPr>
          <w:rtl/>
        </w:rPr>
        <w:t xml:space="preserve">וועלוול־חיים</w:t>
      </w:r>
      <w:proofErr w:type="spellEnd"/>
      <w:r>
        <w:rPr>
          <w:rtl/>
        </w:rPr>
        <w:t xml:space="preserve"> – תושב בעל השפעה שעבד כפחח אבל ידע את כל המשניות על פה – את התשובה: “אילו היה ר׳ חיים עצמו מציע את מועמדותו, נו [היינו, אפשר שהיה נשקל בחיוב], אבל בבנו אין </w:t>
      </w:r>
      <w:proofErr w:type="spellStart"/>
      <w:r>
        <w:rPr>
          <w:rtl/>
        </w:rPr>
        <w:t>קמניץ</w:t>
      </w:r>
      <w:proofErr w:type="spellEnd"/>
      <w:r>
        <w:rPr>
          <w:rtl/>
        </w:rPr>
        <w:t xml:space="preserve"> מעוניינת”. נראה </w:t>
      </w:r>
      <w:proofErr w:type="spellStart"/>
      <w:r>
        <w:rPr>
          <w:rtl/>
        </w:rPr>
        <w:t>שקמניץ</w:t>
      </w:r>
      <w:proofErr w:type="spellEnd"/>
      <w:r>
        <w:rPr>
          <w:rtl/>
        </w:rPr>
        <w:t xml:space="preserve">, כמו </w:t>
      </w:r>
      <w:proofErr w:type="spellStart"/>
      <w:r>
        <w:rPr>
          <w:rtl/>
        </w:rPr>
        <w:t>ראסיין</w:t>
      </w:r>
      <w:proofErr w:type="spellEnd"/>
      <w:r>
        <w:rPr>
          <w:rtl/>
        </w:rPr>
        <w:t xml:space="preserve">, חשה </w:t>
      </w:r>
      <w:proofErr w:type="spellStart"/>
      <w:r>
        <w:rPr>
          <w:rtl/>
        </w:rPr>
        <w:t>ש“יש</w:t>
      </w:r>
      <w:proofErr w:type="spellEnd"/>
      <w:r>
        <w:rPr>
          <w:rtl/>
        </w:rPr>
        <w:t xml:space="preserve"> כאן מעט חוצפה” – כלשונו של אבי על </w:t>
      </w:r>
      <w:proofErr w:type="spellStart"/>
      <w:r>
        <w:rPr>
          <w:rtl/>
        </w:rPr>
        <w:t>ראסיין</w:t>
      </w:r>
      <w:proofErr w:type="spellEnd"/>
      <w:r>
        <w:rPr>
          <w:rtl/>
        </w:rPr>
        <w:t xml:space="preserve"> – מצד ר׳ חיים להציע שבנו חסר הניסיון יירש את רבם, ולכן השיבו תושביה בעזות פנים כזאת.</w:t>
      </w:r>
    </w:p>
    <w:p w14:paraId="4C6F4835" w14:textId="2A1175AE" w:rsidR="00AB3647" w:rsidRDefault="00000000" w:rsidP="007923E9">
      <w:pPr>
        <w:spacing w:after="120" w:line="276" w:lineRule="auto"/>
        <w:ind w:firstLine="283"/>
        <w:jc w:val="both"/>
      </w:pPr>
      <w:r>
        <w:rPr>
          <w:rtl/>
        </w:rPr>
        <w:t xml:space="preserve">בן </w:t>
      </w:r>
      <w:proofErr w:type="spellStart"/>
      <w:r>
        <w:rPr>
          <w:rtl/>
        </w:rPr>
        <w:t>נינו</w:t>
      </w:r>
      <w:proofErr w:type="spellEnd"/>
      <w:r>
        <w:rPr>
          <w:rtl/>
        </w:rPr>
        <w:t xml:space="preserve"> של ר׳ </w:t>
      </w:r>
      <w:proofErr w:type="spellStart"/>
      <w:r>
        <w:rPr>
          <w:rtl/>
        </w:rPr>
        <w:t xml:space="preserve">וועלוול־חיים</w:t>
      </w:r>
      <w:proofErr w:type="spellEnd"/>
      <w:r>
        <w:rPr>
          <w:rtl/>
        </w:rPr>
        <w:t xml:space="preserve">, ר׳ מרדכי </w:t>
      </w:r>
      <w:proofErr w:type="spellStart"/>
      <w:r>
        <w:rPr>
          <w:rtl/>
        </w:rPr>
        <w:t>דולינסקי</w:t>
      </w:r>
      <w:proofErr w:type="spellEnd"/>
      <w:r>
        <w:rPr>
          <w:rtl/>
        </w:rPr>
        <w:t>, סיפר</w:t>
      </w:r>
      <w:bookmarkStart w:id="6641" w:name="_fnr5041"/>
      <w:r>
        <w:rPr>
          <w:rStyle w:val="a5"/>
        </w:rPr>
        <w:footnoteReference w:id="5054" w:customMarkFollows="0"/>
      </w:r>
      <w:bookmarkEnd w:id="6641"/>
      <w:r>
        <w:rPr>
          <w:rtl/>
        </w:rPr>
        <w:t xml:space="preserve"> </w:t>
      </w:r>
      <w:proofErr w:type="spellStart"/>
      <w:r>
        <w:rPr>
          <w:rtl/>
        </w:rPr>
        <w:t>שאבי־אבותיו</w:t>
      </w:r>
      <w:proofErr w:type="spellEnd"/>
      <w:r>
        <w:rPr>
          <w:rtl/>
        </w:rPr>
        <w:t xml:space="preserve"> גר </w:t>
      </w:r>
      <w:proofErr w:type="spellStart"/>
      <w:r>
        <w:rPr>
          <w:rtl/>
        </w:rPr>
        <w:t>בבריסק</w:t>
      </w:r>
      <w:proofErr w:type="spellEnd"/>
      <w:r>
        <w:rPr>
          <w:rtl/>
        </w:rPr>
        <w:t xml:space="preserve"> זמן מה לפני שהשתקע </w:t>
      </w:r>
      <w:proofErr w:type="spellStart"/>
      <w:r>
        <w:rPr>
          <w:rtl/>
        </w:rPr>
        <w:t>בקמניץ</w:t>
      </w:r>
      <w:proofErr w:type="spellEnd"/>
      <w:r>
        <w:rPr>
          <w:rtl/>
        </w:rPr>
        <w:t xml:space="preserve">, </w:t>
      </w:r>
      <w:proofErr w:type="spellStart"/>
      <w:r>
        <w:rPr>
          <w:rtl/>
        </w:rPr>
        <w:t>ו“דיבר</w:t>
      </w:r>
      <w:proofErr w:type="spellEnd"/>
      <w:r>
        <w:rPr>
          <w:rtl/>
        </w:rPr>
        <w:t xml:space="preserve"> בלימוד עם ר׳ חיים פעמים רבות”. אולי היכרותו עם ר׳ חיים הגדול היא שאפשרה לפחח להשיב תשובה מזלזלת כל כך. (השווה גם פרק 3, הערה </w:t>
      </w:r>
      <w:r>
        <w:rPr>
          <w:rtl/>
        </w:rPr>
        <w:fldChar w:fldCharType="begin" w:dirty="true"/>
      </w:r>
      <w:r>
        <w:rPr>
          <w:rtl/>
        </w:rPr>
        <w:instrText xml:space="preserve"> REF b3_note135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135</w:t>
      </w:r>
      <w:r>
        <w:rPr>
          <w:rtl/>
        </w:rPr>
        <w:fldChar w:fldCharType="end"/>
      </w:r>
      <w:r>
        <w:rPr>
          <w:rtl/>
        </w:rPr>
        <w:t xml:space="preserve">, שכוח ההסברה של ר׳ חיים אפשר גם לפשוטי העם להבין את דברי תורתו, ומשום כך ייתכן שר׳ </w:t>
      </w:r>
      <w:proofErr w:type="spellStart"/>
      <w:r>
        <w:rPr>
          <w:rtl/>
        </w:rPr>
        <w:t xml:space="preserve">וועלוול־חיים</w:t>
      </w:r>
      <w:proofErr w:type="spellEnd"/>
      <w:r>
        <w:rPr>
          <w:rtl/>
        </w:rPr>
        <w:t xml:space="preserve"> לא עמד על גדלותו של ר׳ חיים.) אפשר להציע שיהודי </w:t>
      </w:r>
      <w:proofErr w:type="spellStart"/>
      <w:r>
        <w:rPr>
          <w:rtl/>
        </w:rPr>
        <w:t>ראסיין</w:t>
      </w:r>
      <w:proofErr w:type="spellEnd"/>
      <w:r>
        <w:rPr>
          <w:rtl/>
        </w:rPr>
        <w:t xml:space="preserve">, אפילו כשחשו שמועמדותו של ר׳ משה גובלת בחוצפה, לא היו פונים כך </w:t>
      </w:r>
      <w:proofErr w:type="spellStart"/>
      <w:r>
        <w:rPr>
          <w:rtl/>
        </w:rPr>
        <w:t>לר</w:t>
      </w:r>
      <w:proofErr w:type="spellEnd"/>
      <w:r>
        <w:rPr>
          <w:rtl/>
        </w:rPr>
        <w:t xml:space="preserve">׳ חיים לעולם, מפני שבכל </w:t>
      </w:r>
      <w:proofErr w:type="spellStart"/>
      <w:r>
        <w:rPr>
          <w:rtl/>
        </w:rPr>
        <w:t>זאמוט</w:t>
      </w:r>
      <w:proofErr w:type="spellEnd"/>
      <w:r>
        <w:rPr>
          <w:rtl/>
        </w:rPr>
        <w:t xml:space="preserve"> – </w:t>
      </w:r>
      <w:proofErr w:type="spellStart"/>
      <w:r>
        <w:rPr>
          <w:rtl/>
        </w:rPr>
        <w:t>ראסיין</w:t>
      </w:r>
      <w:proofErr w:type="spellEnd"/>
      <w:r>
        <w:rPr>
          <w:rtl/>
        </w:rPr>
        <w:t xml:space="preserve"> נחשבה בעיני אחדים “ירושלים </w:t>
      </w:r>
      <w:proofErr w:type="spellStart"/>
      <w:r>
        <w:rPr>
          <w:rtl/>
        </w:rPr>
        <w:t>דזאמוט</w:t>
      </w:r>
      <w:proofErr w:type="spellEnd"/>
      <w:r>
        <w:rPr>
          <w:rtl/>
        </w:rPr>
        <w:t>”</w:t>
      </w:r>
      <w:bookmarkStart w:id="6642" w:name="_fnr5042"/>
      <w:r>
        <w:rPr>
          <w:rStyle w:val="a5"/>
        </w:rPr>
        <w:footnoteReference w:id="5055" w:customMarkFollows="0"/>
      </w:r>
      <w:bookmarkEnd w:id="6642"/>
      <w:r>
        <w:rPr>
          <w:rtl/>
        </w:rPr>
        <w:t xml:space="preserve"> – הייתה הערכת התורה רבה מכדי להתיר שמץ של זלזול בתלמיד חכם בשיעור קומתו</w:t>
      </w:r>
      <w:bookmarkStart w:id="6643" w:name="_fnr5043"/>
      <w:r>
        <w:rPr>
          <w:rStyle w:val="a5"/>
        </w:rPr>
        <w:footnoteReference w:id="5056" w:customMarkFollows="0"/>
      </w:r>
      <w:bookmarkEnd w:id="6643"/>
      <w:r>
        <w:rPr>
          <w:rtl/>
        </w:rPr>
        <w:t>.</w:t>
      </w:r>
    </w:p>
    <w:p w14:paraId="64320945" w14:textId="77777777" w:rsidR="00AB3647" w:rsidRDefault="00000000" w:rsidP="007923E9">
      <w:pPr>
        <w:spacing w:after="120" w:line="276" w:lineRule="auto"/>
        <w:ind w:firstLine="283"/>
        <w:jc w:val="both"/>
      </w:pPr>
      <w:r>
        <w:rPr>
          <w:rtl/>
        </w:rPr>
        <w:t xml:space="preserve">מאמציו של ר׳ חיים להשיג את רבנות </w:t>
      </w:r>
      <w:proofErr w:type="spellStart"/>
      <w:r>
        <w:rPr>
          <w:rtl/>
        </w:rPr>
        <w:t>ראסיין</w:t>
      </w:r>
      <w:proofErr w:type="spellEnd"/>
      <w:r>
        <w:rPr>
          <w:rtl/>
        </w:rPr>
        <w:t xml:space="preserve"> ודאי החלו מיד כשירדה </w:t>
      </w:r>
      <w:proofErr w:type="spellStart"/>
      <w:r>
        <w:rPr>
          <w:rtl/>
        </w:rPr>
        <w:t>קמניץ</w:t>
      </w:r>
      <w:proofErr w:type="spellEnd"/>
      <w:r>
        <w:rPr>
          <w:rtl/>
        </w:rPr>
        <w:t xml:space="preserve"> מן הפרק. (</w:t>
      </w:r>
      <w:proofErr w:type="spellStart"/>
      <w:r>
        <w:rPr>
          <w:rtl/>
        </w:rPr>
        <w:t>קמניץ</w:t>
      </w:r>
      <w:proofErr w:type="spellEnd"/>
      <w:r>
        <w:rPr>
          <w:rtl/>
        </w:rPr>
        <w:t xml:space="preserve"> הייתה כנראה עדיפה </w:t>
      </w:r>
      <w:proofErr w:type="spellStart"/>
      <w:r>
        <w:rPr>
          <w:rtl/>
        </w:rPr>
        <w:t>לר</w:t>
      </w:r>
      <w:proofErr w:type="spellEnd"/>
      <w:r>
        <w:rPr>
          <w:rtl/>
        </w:rPr>
        <w:t xml:space="preserve">׳ משה על </w:t>
      </w:r>
      <w:proofErr w:type="spellStart"/>
      <w:r>
        <w:rPr>
          <w:rtl/>
        </w:rPr>
        <w:t>ראסיין</w:t>
      </w:r>
      <w:proofErr w:type="spellEnd"/>
      <w:r>
        <w:rPr>
          <w:rtl/>
        </w:rPr>
        <w:t xml:space="preserve">, מפני שעיירה זו הייתה קרובה הן </w:t>
      </w:r>
      <w:proofErr w:type="spellStart"/>
      <w:r>
        <w:rPr>
          <w:rtl/>
        </w:rPr>
        <w:t>לבריסק</w:t>
      </w:r>
      <w:proofErr w:type="spellEnd"/>
      <w:r>
        <w:rPr>
          <w:rtl/>
        </w:rPr>
        <w:t xml:space="preserve">, מקום רבנות אביו, והן </w:t>
      </w:r>
      <w:proofErr w:type="spellStart"/>
      <w:r>
        <w:rPr>
          <w:rtl/>
        </w:rPr>
        <w:t>לפרוז׳ני</w:t>
      </w:r>
      <w:proofErr w:type="spellEnd"/>
      <w:r>
        <w:rPr>
          <w:rtl/>
        </w:rPr>
        <w:t xml:space="preserve">, מקום רבנות חותנו.) “מורשת” אינה מזכירה את רבנות </w:t>
      </w:r>
      <w:proofErr w:type="spellStart"/>
      <w:r>
        <w:rPr>
          <w:rtl/>
        </w:rPr>
        <w:t>קמניץ</w:t>
      </w:r>
      <w:proofErr w:type="spellEnd"/>
      <w:r>
        <w:rPr>
          <w:rtl/>
        </w:rPr>
        <w:t xml:space="preserve"> האפשרית, אך טוענת</w:t>
      </w:r>
      <w:bookmarkStart w:id="6644" w:name="_fnr5044"/>
      <w:r>
        <w:rPr>
          <w:rStyle w:val="a5"/>
        </w:rPr>
        <w:footnoteReference w:id="5057" w:customMarkFollows="0"/>
      </w:r>
      <w:bookmarkEnd w:id="6644"/>
      <w:r>
        <w:rPr>
          <w:rtl/>
        </w:rPr>
        <w:t xml:space="preserve"> שהמשרה הראשונה שעלתה לדיון עבור אבי המחברת הייתה ראשות ישיבת עץ חיים שנוסדה זה עתה בניו יורק, מוסד שנעשה לבסוף לגרעינה של ישיבת רבנו יצחק אלחנן</w:t>
      </w:r>
      <w:bookmarkStart w:id="6645" w:name="_fnr5045"/>
      <w:r>
        <w:rPr>
          <w:rStyle w:val="a5"/>
        </w:rPr>
        <w:footnoteReference w:id="5058" w:customMarkFollows="0"/>
      </w:r>
      <w:bookmarkEnd w:id="6645"/>
      <w:r>
        <w:rPr>
          <w:rtl/>
        </w:rPr>
        <w:t xml:space="preserve">. אבל ר׳ חיים פסל זאת, חרף “התלהבותה” של כלתו לקבל את המשרה, מפני </w:t>
      </w:r>
      <w:proofErr w:type="spellStart"/>
      <w:r>
        <w:rPr>
          <w:rtl/>
        </w:rPr>
        <w:t>ש“בשום</w:t>
      </w:r>
      <w:proofErr w:type="spellEnd"/>
      <w:r>
        <w:rPr>
          <w:rtl/>
        </w:rPr>
        <w:t xml:space="preserve"> פנים ואופן” לא התיר לבנו לתת לילדיו את החינוך הכללי שהיה חובה באמריקה: “פשה [כלתו של ר׳ חיים] לא סלחה לו על כך לעולם”, קובעת “מורשת”</w:t>
      </w:r>
      <w:bookmarkStart w:id="6646" w:name="_fnr5046"/>
      <w:r>
        <w:rPr>
          <w:rStyle w:val="a5"/>
        </w:rPr>
        <w:footnoteReference w:id="5059" w:customMarkFollows="0"/>
      </w:r>
      <w:bookmarkEnd w:id="6646"/>
      <w:r>
        <w:rPr>
          <w:rtl/>
        </w:rPr>
        <w:t xml:space="preserve">. “זמן קצר לאחר </w:t>
      </w:r>
      <w:r>
        <w:rPr>
          <w:rtl/>
        </w:rPr>
        <w:lastRenderedPageBreak/>
        <w:t xml:space="preserve">[דחיית ההצעה מאמריקה] </w:t>
      </w:r>
      <w:proofErr w:type="spellStart"/>
      <w:r>
        <w:rPr>
          <w:rtl/>
        </w:rPr>
        <w:t>נזדמנה</w:t>
      </w:r>
      <w:proofErr w:type="spellEnd"/>
      <w:r>
        <w:rPr>
          <w:rtl/>
        </w:rPr>
        <w:t xml:space="preserve"> האפשרות של </w:t>
      </w:r>
      <w:proofErr w:type="spellStart"/>
      <w:r>
        <w:rPr>
          <w:rtl/>
        </w:rPr>
        <w:t>ראסיין</w:t>
      </w:r>
      <w:proofErr w:type="spellEnd"/>
      <w:r>
        <w:rPr>
          <w:rtl/>
        </w:rPr>
        <w:t xml:space="preserve">”. (מאחר </w:t>
      </w:r>
      <w:proofErr w:type="spellStart"/>
      <w:r>
        <w:rPr>
          <w:rtl/>
        </w:rPr>
        <w:t>ש“מורשת</w:t>
      </w:r>
      <w:proofErr w:type="spellEnd"/>
      <w:r>
        <w:rPr>
          <w:rtl/>
        </w:rPr>
        <w:t xml:space="preserve">” משמיטה לגמרי את המועמדות </w:t>
      </w:r>
      <w:proofErr w:type="spellStart"/>
      <w:r>
        <w:rPr>
          <w:rtl/>
        </w:rPr>
        <w:t>בקמניץ</w:t>
      </w:r>
      <w:proofErr w:type="spellEnd"/>
      <w:r>
        <w:rPr>
          <w:rtl/>
        </w:rPr>
        <w:t xml:space="preserve">, תיאורה את ישיבת עץ חיים </w:t>
      </w:r>
      <w:proofErr w:type="spellStart"/>
      <w:r>
        <w:rPr>
          <w:rtl/>
        </w:rPr>
        <w:t>כ“משרה</w:t>
      </w:r>
      <w:proofErr w:type="spellEnd"/>
      <w:r>
        <w:rPr>
          <w:rtl/>
        </w:rPr>
        <w:t xml:space="preserve"> הראשונה שעלתה” אינו שולל את האפשרות שרבנות </w:t>
      </w:r>
      <w:proofErr w:type="spellStart"/>
      <w:r>
        <w:rPr>
          <w:rtl/>
        </w:rPr>
        <w:t>קמניץ</w:t>
      </w:r>
      <w:proofErr w:type="spellEnd"/>
      <w:r>
        <w:rPr>
          <w:rtl/>
        </w:rPr>
        <w:t xml:space="preserve"> הייתה הראשונה שנשקלה – ולא רק בידי ר׳ חיים.)</w:t>
      </w:r>
    </w:p>
    <w:p w14:paraId="6E9A8B1C" w14:textId="77777777" w:rsidR="00AB3647" w:rsidRDefault="00000000" w:rsidP="007923E9">
      <w:pPr>
        <w:spacing w:after="120" w:line="276" w:lineRule="auto"/>
        <w:ind w:firstLine="283"/>
        <w:jc w:val="both"/>
      </w:pPr>
      <w:r>
        <w:rPr>
          <w:rtl/>
        </w:rPr>
        <w:t>“לקורות”</w:t>
      </w:r>
      <w:bookmarkStart w:id="6647" w:name="_fnr5047"/>
      <w:r>
        <w:rPr>
          <w:rStyle w:val="a5"/>
        </w:rPr>
        <w:footnoteReference w:id="5060" w:customMarkFollows="0"/>
      </w:r>
      <w:bookmarkEnd w:id="6647"/>
      <w:r>
        <w:rPr>
          <w:rtl/>
        </w:rPr>
        <w:t xml:space="preserve"> מתאר כך את ישיבתו של ר׳ משה </w:t>
      </w:r>
      <w:proofErr w:type="spellStart"/>
      <w:r>
        <w:rPr>
          <w:rtl/>
        </w:rPr>
        <w:t>בראסיין</w:t>
      </w:r>
      <w:proofErr w:type="spellEnd"/>
      <w:r>
        <w:rPr>
          <w:rtl/>
        </w:rPr>
        <w:t>: “סביב גאון זה נתאסף קיבוץ של בחורים יקרים, מן המובחרים שבתלמידים המצוינים, ששתו בצמא את חידושיו העמוקים וסברתו הטהורה. גאון זה דאג לכל צורכיהם של תלמידים מצוינים אלה, כדי שלבם ודעתם של הלומדים יהיו פנויים לעסוק בתורת ה׳ בכל נפשם. עתה</w:t>
      </w:r>
      <w:bookmarkStart w:id="6648" w:name="_fnr5048"/>
      <w:r>
        <w:rPr>
          <w:rStyle w:val="a5"/>
        </w:rPr>
        <w:footnoteReference w:id="5061" w:customMarkFollows="0"/>
      </w:r>
      <w:bookmarkEnd w:id="6648"/>
      <w:r>
        <w:rPr>
          <w:rtl/>
        </w:rPr>
        <w:t xml:space="preserve"> נקרא לכבוד בעיר </w:t>
      </w:r>
      <w:proofErr w:type="spellStart"/>
      <w:r>
        <w:rPr>
          <w:rtl/>
        </w:rPr>
        <w:t>חסלוויץ</w:t>
      </w:r>
      <w:proofErr w:type="spellEnd"/>
      <w:r>
        <w:rPr>
          <w:rtl/>
        </w:rPr>
        <w:t xml:space="preserve">׳, [ב]פלך </w:t>
      </w:r>
      <w:proofErr w:type="spellStart"/>
      <w:r>
        <w:rPr>
          <w:rtl/>
        </w:rPr>
        <w:t>מוהילוב</w:t>
      </w:r>
      <w:proofErr w:type="spellEnd"/>
      <w:r>
        <w:rPr>
          <w:rtl/>
        </w:rPr>
        <w:t xml:space="preserve">, להיות רבה, וגם שם נהרו אליו תלמידים מצוינים”. “לקורות” אינו מזכיר כלל את מסירת שיעוריו של ר׳ חיים לתלמידים, וזו הוכחה שחלק זה בתוכנית לא יצא לפועל מעולם, כאמור לעיל. את רבנות </w:t>
      </w:r>
      <w:proofErr w:type="spellStart"/>
      <w:r>
        <w:rPr>
          <w:rtl/>
        </w:rPr>
        <w:t>חסלוויץ</w:t>
      </w:r>
      <w:proofErr w:type="spellEnd"/>
      <w:r>
        <w:rPr>
          <w:rtl/>
        </w:rPr>
        <w:t xml:space="preserve">׳ קיבל ר׳ משה אחרי שגיסו ר׳ מנחם </w:t>
      </w:r>
      <w:proofErr w:type="spellStart"/>
      <w:r>
        <w:rPr>
          <w:rtl/>
        </w:rPr>
        <w:t>קרקובסקי</w:t>
      </w:r>
      <w:proofErr w:type="spellEnd"/>
      <w:r>
        <w:rPr>
          <w:rtl/>
        </w:rPr>
        <w:t xml:space="preserve"> פינה אותה – שניהם היו חתניו של ר׳ אליהו </w:t>
      </w:r>
      <w:proofErr w:type="spellStart"/>
      <w:r>
        <w:rPr>
          <w:rtl/>
        </w:rPr>
        <w:t>פיינשטיין</w:t>
      </w:r>
      <w:proofErr w:type="spellEnd"/>
      <w:r>
        <w:rPr>
          <w:rtl/>
        </w:rPr>
        <w:t xml:space="preserve">, רבה של </w:t>
      </w:r>
      <w:proofErr w:type="spellStart"/>
      <w:r>
        <w:rPr>
          <w:rtl/>
        </w:rPr>
        <w:t>פרוז׳ני</w:t>
      </w:r>
      <w:proofErr w:type="spellEnd"/>
      <w:r>
        <w:rPr>
          <w:rtl/>
        </w:rPr>
        <w:t xml:space="preserve"> – כשעבר לרבנות הגדולה יותר </w:t>
      </w:r>
      <w:proofErr w:type="spellStart"/>
      <w:r>
        <w:rPr>
          <w:rtl/>
        </w:rPr>
        <w:t>בנובהרדוק</w:t>
      </w:r>
      <w:proofErr w:type="spellEnd"/>
      <w:r>
        <w:rPr>
          <w:rtl/>
        </w:rPr>
        <w:t xml:space="preserve">, במקום רבה הוותיק, ר׳ </w:t>
      </w:r>
      <w:proofErr w:type="spellStart"/>
      <w:r>
        <w:rPr>
          <w:rtl/>
        </w:rPr>
        <w:t>יחיאל־מיכל</w:t>
      </w:r>
      <w:proofErr w:type="spellEnd"/>
      <w:r>
        <w:rPr>
          <w:rtl/>
        </w:rPr>
        <w:t xml:space="preserve"> אפשטיין, בעל “ערוך השולחן”.</w:t>
      </w:r>
    </w:p>
    <w:p w14:paraId="39D7925B" w14:textId="77777777" w:rsidR="00AB3647" w:rsidRDefault="00000000" w:rsidP="007923E9">
      <w:pPr>
        <w:spacing w:after="120" w:line="276" w:lineRule="auto"/>
        <w:ind w:firstLine="283"/>
        <w:jc w:val="both"/>
      </w:pPr>
      <w:r>
        <w:rPr>
          <w:rtl/>
        </w:rPr>
        <w:t xml:space="preserve">מועמד מוקדם יותר לרבנות </w:t>
      </w:r>
      <w:proofErr w:type="spellStart"/>
      <w:r>
        <w:rPr>
          <w:rtl/>
        </w:rPr>
        <w:t>נובהרדוק</w:t>
      </w:r>
      <w:proofErr w:type="spellEnd"/>
      <w:r>
        <w:rPr>
          <w:rtl/>
        </w:rPr>
        <w:t xml:space="preserve"> – כנראה </w:t>
      </w:r>
      <w:proofErr w:type="spellStart"/>
      <w:r>
        <w:rPr>
          <w:rtl/>
        </w:rPr>
        <w:t>בתרס״ט</w:t>
      </w:r>
      <w:proofErr w:type="spellEnd"/>
      <w:r>
        <w:rPr>
          <w:rtl/>
        </w:rPr>
        <w:t xml:space="preserve">, שנה אחרי פטירת ר׳ </w:t>
      </w:r>
      <w:proofErr w:type="spellStart"/>
      <w:r>
        <w:rPr>
          <w:rtl/>
        </w:rPr>
        <w:t>יחיאל־מיכל</w:t>
      </w:r>
      <w:proofErr w:type="spellEnd"/>
      <w:r>
        <w:rPr>
          <w:rtl/>
        </w:rPr>
        <w:t xml:space="preserve"> אפשטיין – היה ר׳ </w:t>
      </w:r>
      <w:proofErr w:type="spellStart"/>
      <w:r>
        <w:rPr>
          <w:rtl/>
        </w:rPr>
        <w:t>אברהם־אהרן</w:t>
      </w:r>
      <w:proofErr w:type="spellEnd"/>
      <w:r>
        <w:rPr>
          <w:rtl/>
        </w:rPr>
        <w:t xml:space="preserve"> </w:t>
      </w:r>
      <w:proofErr w:type="spellStart"/>
      <w:r>
        <w:rPr>
          <w:rtl/>
        </w:rPr>
        <w:t>בורשטין</w:t>
      </w:r>
      <w:proofErr w:type="spellEnd"/>
      <w:r>
        <w:rPr>
          <w:rtl/>
        </w:rPr>
        <w:t xml:space="preserve">. ר׳ יוזל </w:t>
      </w:r>
      <w:proofErr w:type="spellStart"/>
      <w:r>
        <w:rPr>
          <w:rtl/>
        </w:rPr>
        <w:t>הורוויץ</w:t>
      </w:r>
      <w:bookmarkStart w:id="6649" w:name="_fnr5049"/>
      <w:proofErr w:type="spellEnd"/>
      <w:r>
        <w:rPr>
          <w:rStyle w:val="a5"/>
        </w:rPr>
        <w:footnoteReference w:id="5062" w:customMarkFollows="0"/>
      </w:r>
      <w:bookmarkEnd w:id="6649"/>
      <w:r>
        <w:rPr>
          <w:rtl/>
        </w:rPr>
        <w:t xml:space="preserve"> כבר היה מבוסס אז </w:t>
      </w:r>
      <w:proofErr w:type="spellStart"/>
      <w:r>
        <w:rPr>
          <w:rtl/>
        </w:rPr>
        <w:t>בנובהרדוק</w:t>
      </w:r>
      <w:proofErr w:type="spellEnd"/>
      <w:r>
        <w:rPr>
          <w:rtl/>
        </w:rPr>
        <w:t xml:space="preserve"> יותר מעשור, ולכן לא היה </w:t>
      </w:r>
      <w:proofErr w:type="spellStart"/>
      <w:r>
        <w:rPr>
          <w:rtl/>
        </w:rPr>
        <w:t>לר</w:t>
      </w:r>
      <w:proofErr w:type="spellEnd"/>
      <w:r>
        <w:rPr>
          <w:rtl/>
        </w:rPr>
        <w:t xml:space="preserve">׳ </w:t>
      </w:r>
      <w:proofErr w:type="spellStart"/>
      <w:r>
        <w:rPr>
          <w:rtl/>
        </w:rPr>
        <w:t>אברהם־אהרן</w:t>
      </w:r>
      <w:proofErr w:type="spellEnd"/>
      <w:r>
        <w:rPr>
          <w:rtl/>
        </w:rPr>
        <w:t xml:space="preserve"> </w:t>
      </w:r>
      <w:proofErr w:type="spellStart"/>
      <w:r>
        <w:rPr>
          <w:rtl/>
        </w:rPr>
        <w:t>בורשטין</w:t>
      </w:r>
      <w:proofErr w:type="spellEnd"/>
      <w:r>
        <w:rPr>
          <w:rtl/>
        </w:rPr>
        <w:t>, שהתנגד בעבר למוסר</w:t>
      </w:r>
      <w:bookmarkStart w:id="6650" w:name="_fnr5050"/>
      <w:r>
        <w:rPr>
          <w:rStyle w:val="a5"/>
        </w:rPr>
        <w:footnoteReference w:id="5063" w:customMarkFollows="0"/>
      </w:r>
      <w:bookmarkEnd w:id="6650"/>
      <w:r>
        <w:rPr>
          <w:rtl/>
        </w:rPr>
        <w:t xml:space="preserve">, שום סיכוי לכהן שם כרב בשלווה. השווה </w:t>
      </w:r>
      <w:proofErr w:type="spellStart"/>
      <w:r>
        <w:rPr>
          <w:rtl/>
        </w:rPr>
        <w:t>קנציפולסקי</w:t>
      </w:r>
      <w:bookmarkStart w:id="6651" w:name="_fnr5051"/>
      <w:proofErr w:type="spellEnd"/>
      <w:r>
        <w:rPr>
          <w:rStyle w:val="a5"/>
        </w:rPr>
        <w:footnoteReference w:id="5064" w:customMarkFollows="0"/>
      </w:r>
      <w:bookmarkEnd w:id="6651"/>
      <w:r>
        <w:rPr>
          <w:rtl/>
        </w:rPr>
        <w:t xml:space="preserve">, האומר: “מאחר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פרסם זמן מה קודם לכן מאמרים נגד המוסר, פרצה בעיר מחלוקת גדולה [כשבא אליה]. ר׳ יוזל ואנשיו רדפו אותו מאוד; הוא נאלץ לעזוב את העיר”.</w:t>
      </w:r>
    </w:p>
    <w:p w14:paraId="1E16772A" w14:textId="77777777" w:rsidR="00AB3647" w:rsidRDefault="00000000" w:rsidP="007923E9">
      <w:pPr>
        <w:spacing w:after="120" w:line="276" w:lineRule="auto"/>
        <w:ind w:firstLine="283"/>
        <w:jc w:val="both"/>
      </w:pPr>
      <w:r>
        <w:rPr>
          <w:rtl/>
        </w:rPr>
        <w:t xml:space="preserve">מאמר מאת ד״ר </w:t>
      </w:r>
      <w:proofErr w:type="spellStart"/>
      <w:r>
        <w:rPr>
          <w:rtl/>
        </w:rPr>
        <w:t>שמואל־שרגא</w:t>
      </w:r>
      <w:proofErr w:type="spellEnd"/>
      <w:r>
        <w:rPr>
          <w:rtl/>
        </w:rPr>
        <w:t xml:space="preserve"> </w:t>
      </w:r>
      <w:proofErr w:type="spellStart"/>
      <w:r>
        <w:rPr>
          <w:rtl/>
        </w:rPr>
        <w:t>ביאלובלוצקי</w:t>
      </w:r>
      <w:proofErr w:type="spellEnd"/>
      <w:r>
        <w:rPr>
          <w:rtl/>
        </w:rPr>
        <w:t xml:space="preserve"> </w:t>
      </w:r>
      <w:proofErr w:type="spellStart"/>
      <w:r>
        <w:rPr>
          <w:rtl/>
        </w:rPr>
        <w:t>ב“יהדות</w:t>
      </w:r>
      <w:proofErr w:type="spellEnd"/>
      <w:r>
        <w:rPr>
          <w:rtl/>
        </w:rPr>
        <w:t xml:space="preserve"> ליטא”</w:t>
      </w:r>
      <w:bookmarkStart w:id="6652" w:name="_fnr5052"/>
      <w:r>
        <w:rPr>
          <w:rStyle w:val="a5"/>
        </w:rPr>
        <w:footnoteReference w:id="5065" w:customMarkFollows="0"/>
      </w:r>
      <w:bookmarkEnd w:id="6652"/>
      <w:r>
        <w:rPr>
          <w:rtl/>
        </w:rPr>
        <w:t xml:space="preserve"> אומר שר׳ יוזל “הסכים בתחילה שענייני התורה בישיבת </w:t>
      </w:r>
      <w:proofErr w:type="spellStart"/>
      <w:r>
        <w:rPr>
          <w:rtl/>
        </w:rPr>
        <w:t>נובהרדוק</w:t>
      </w:r>
      <w:proofErr w:type="spellEnd"/>
      <w:r>
        <w:rPr>
          <w:rtl/>
        </w:rPr>
        <w:t xml:space="preserve"> יוכרעו בידי ר׳ </w:t>
      </w:r>
      <w:proofErr w:type="spellStart"/>
      <w:r>
        <w:rPr>
          <w:rtl/>
        </w:rPr>
        <w:t>אברהם־אהרן</w:t>
      </w:r>
      <w:proofErr w:type="spellEnd"/>
      <w:r>
        <w:rPr>
          <w:rtl/>
        </w:rPr>
        <w:t xml:space="preserve"> </w:t>
      </w:r>
      <w:proofErr w:type="spellStart"/>
      <w:r>
        <w:rPr>
          <w:rtl/>
        </w:rPr>
        <w:t>בורשטין</w:t>
      </w:r>
      <w:proofErr w:type="spellEnd"/>
      <w:r>
        <w:rPr>
          <w:rtl/>
        </w:rPr>
        <w:t xml:space="preserve">, שישמש ראש ישיבה, ואילו ההנהלה תהיה בידיו שלו. ר׳ </w:t>
      </w:r>
      <w:proofErr w:type="spellStart"/>
      <w:r>
        <w:rPr>
          <w:rtl/>
        </w:rPr>
        <w:t>אברהם־אהרן</w:t>
      </w:r>
      <w:proofErr w:type="spellEnd"/>
      <w:r>
        <w:rPr>
          <w:rtl/>
        </w:rPr>
        <w:t xml:space="preserve"> </w:t>
      </w:r>
      <w:proofErr w:type="spellStart"/>
      <w:r>
        <w:rPr>
          <w:rtl/>
        </w:rPr>
        <w:t>בורשטין</w:t>
      </w:r>
      <w:proofErr w:type="spellEnd"/>
      <w:r>
        <w:rPr>
          <w:rtl/>
        </w:rPr>
        <w:t xml:space="preserve"> עבר [לעיר] עם משפחתו, אך [אז] איים ר׳ יוזל... להעביר את הישיבה לעיר אחרת, ועשה עצמו כמי שמתחיל בכך. כך הצליח לעורר התנגדות [לרב] בקרב חלק קטן מבני העיר. ר׳ </w:t>
      </w:r>
      <w:proofErr w:type="spellStart"/>
      <w:r>
        <w:rPr>
          <w:rtl/>
        </w:rPr>
        <w:t>אברהם־אהרן</w:t>
      </w:r>
      <w:proofErr w:type="spellEnd"/>
      <w:r>
        <w:rPr>
          <w:rtl/>
        </w:rPr>
        <w:t xml:space="preserve"> </w:t>
      </w:r>
      <w:proofErr w:type="spellStart"/>
      <w:r>
        <w:rPr>
          <w:rtl/>
        </w:rPr>
        <w:t>בורשטין</w:t>
      </w:r>
      <w:proofErr w:type="spellEnd"/>
      <w:r>
        <w:rPr>
          <w:rtl/>
        </w:rPr>
        <w:t xml:space="preserve"> החליט לעזוב את העיר, אך מאחר שבאותם ימים עדיין לא הגיעה מסילת ברזל </w:t>
      </w:r>
      <w:proofErr w:type="spellStart"/>
      <w:r>
        <w:rPr>
          <w:rtl/>
        </w:rPr>
        <w:t>לנובהרדוק</w:t>
      </w:r>
      <w:proofErr w:type="spellEnd"/>
      <w:r>
        <w:rPr>
          <w:rtl/>
        </w:rPr>
        <w:t xml:space="preserve">, היה הרב תלוי בבעלי העגלות, והם החליטו שלא להניח לגאון לצאת מן העיר. לפיכך יצא מן העיר בסתר בלילה וחזר </w:t>
      </w:r>
      <w:proofErr w:type="spellStart"/>
      <w:r>
        <w:rPr>
          <w:rtl/>
        </w:rPr>
        <w:t>לטבריג</w:t>
      </w:r>
      <w:proofErr w:type="spellEnd"/>
      <w:r>
        <w:rPr>
          <w:rtl/>
        </w:rPr>
        <w:t xml:space="preserve">”. שלא </w:t>
      </w:r>
      <w:proofErr w:type="spellStart"/>
      <w:r>
        <w:rPr>
          <w:rtl/>
        </w:rPr>
        <w:t>כקנציפולסקי</w:t>
      </w:r>
      <w:proofErr w:type="spellEnd"/>
      <w:r>
        <w:rPr>
          <w:rtl/>
        </w:rPr>
        <w:t xml:space="preserve">, “יהדות ליטא” מניח שר׳ יוזל רצה בתחילה שר׳ </w:t>
      </w:r>
      <w:proofErr w:type="spellStart"/>
      <w:r>
        <w:rPr>
          <w:rtl/>
        </w:rPr>
        <w:t>אברהם־אהרן</w:t>
      </w:r>
      <w:proofErr w:type="spellEnd"/>
      <w:r>
        <w:rPr>
          <w:rtl/>
        </w:rPr>
        <w:t xml:space="preserve"> יהיה ראש הישיבה, ואינו מסביר מדוע שינה ר׳ יוזל את דעתו. אפשר שהבין שראש ישיבה מלהיב כל כך ימשוך את הבחורים מן המוסר. כשנתמנה ר׳ </w:t>
      </w:r>
      <w:proofErr w:type="spellStart"/>
      <w:r>
        <w:rPr>
          <w:rtl/>
        </w:rPr>
        <w:t>אברהם־אהרן</w:t>
      </w:r>
      <w:proofErr w:type="spellEnd"/>
      <w:r>
        <w:rPr>
          <w:rtl/>
        </w:rPr>
        <w:t xml:space="preserve"> </w:t>
      </w:r>
      <w:proofErr w:type="spellStart"/>
      <w:r>
        <w:rPr>
          <w:rtl/>
        </w:rPr>
        <w:t>בורשטין</w:t>
      </w:r>
      <w:proofErr w:type="spellEnd"/>
      <w:r>
        <w:rPr>
          <w:rtl/>
        </w:rPr>
        <w:t xml:space="preserve"> לראש ישיבה בירושלים בשנותיו האחרונות, מסר את שיעוריו בהתלהבות רבה כל כך ובשיתוף התלמידים במידה כזאת, </w:t>
      </w:r>
      <w:proofErr w:type="spellStart"/>
      <w:r>
        <w:rPr>
          <w:rtl/>
        </w:rPr>
        <w:t>ש“שיעורו</w:t>
      </w:r>
      <w:proofErr w:type="spellEnd"/>
      <w:r>
        <w:rPr>
          <w:rtl/>
        </w:rPr>
        <w:t xml:space="preserve"> היה מתחיל ליד ארון הקודש ומסתיים ליד </w:t>
      </w:r>
      <w:r>
        <w:rPr>
          <w:rtl/>
        </w:rPr>
        <w:lastRenderedPageBreak/>
        <w:t>הדלת”</w:t>
      </w:r>
      <w:bookmarkStart w:id="6653" w:name="_fnr5053"/>
      <w:r>
        <w:rPr>
          <w:rStyle w:val="a5"/>
        </w:rPr>
        <w:footnoteReference w:id="5066" w:customMarkFollows="0"/>
      </w:r>
      <w:bookmarkEnd w:id="6653"/>
      <w:r>
        <w:rPr>
          <w:rtl/>
        </w:rPr>
        <w:t xml:space="preserve">. אפשר לשער שאילו עמד הגאון ר׳ </w:t>
      </w:r>
      <w:proofErr w:type="spellStart"/>
      <w:r>
        <w:rPr>
          <w:rtl/>
        </w:rPr>
        <w:t>אברהם־אהרן</w:t>
      </w:r>
      <w:proofErr w:type="spellEnd"/>
      <w:r>
        <w:rPr>
          <w:rtl/>
        </w:rPr>
        <w:t xml:space="preserve"> </w:t>
      </w:r>
      <w:proofErr w:type="spellStart"/>
      <w:r>
        <w:rPr>
          <w:rtl/>
        </w:rPr>
        <w:t>בורשטין</w:t>
      </w:r>
      <w:proofErr w:type="spellEnd"/>
      <w:r>
        <w:rPr>
          <w:rtl/>
        </w:rPr>
        <w:t xml:space="preserve"> בראש ישיבת האם של רשת </w:t>
      </w:r>
      <w:proofErr w:type="spellStart"/>
      <w:r>
        <w:rPr>
          <w:rtl/>
        </w:rPr>
        <w:t>נובהרדוק</w:t>
      </w:r>
      <w:proofErr w:type="spellEnd"/>
      <w:r>
        <w:rPr>
          <w:rtl/>
        </w:rPr>
        <w:t>, היה מעמדה בעולם הישיבות עולה לאין שיעור.</w:t>
      </w:r>
    </w:p>
    <w:p w14:paraId="5EE65262" w14:textId="77777777" w:rsidR="00AB3647" w:rsidRDefault="00000000" w:rsidP="007923E9">
      <w:pPr>
        <w:spacing w:after="120" w:line="276" w:lineRule="auto"/>
        <w:ind w:firstLine="283"/>
        <w:jc w:val="both"/>
      </w:pPr>
      <w:r>
        <w:rPr>
          <w:rtl/>
        </w:rPr>
        <w:t xml:space="preserve">ר׳ </w:t>
      </w:r>
      <w:proofErr w:type="spellStart"/>
      <w:r>
        <w:rPr>
          <w:rtl/>
        </w:rPr>
        <w:t xml:space="preserve">זליג</w:t>
      </w:r>
      <w:proofErr w:type="spellEnd"/>
      <w:r>
        <w:rPr>
          <w:rtl/>
        </w:rPr>
        <w:t xml:space="preserve"> סטאר</w:t>
      </w:r>
      <w:bookmarkStart w:id="6654" w:name="_fnr5054"/>
      <w:r>
        <w:rPr>
          <w:rStyle w:val="a5"/>
        </w:rPr>
        <w:footnoteReference w:id="5067" w:customMarkFollows="0"/>
      </w:r>
      <w:bookmarkEnd w:id="6654"/>
      <w:r>
        <w:rPr>
          <w:rtl/>
        </w:rPr>
        <w:t xml:space="preserve">, שהיה אז בישיבת </w:t>
      </w:r>
      <w:proofErr w:type="spellStart"/>
      <w:r>
        <w:rPr>
          <w:rtl/>
        </w:rPr>
        <w:t>נובהרדוק</w:t>
      </w:r>
      <w:proofErr w:type="spellEnd"/>
      <w:r>
        <w:rPr>
          <w:rtl/>
        </w:rPr>
        <w:t xml:space="preserve">, סיפר: “ר׳ יוזל שלח סופר לשאול שאלה [מקצועית] שהרב יצטרך לעיין בה בספרים. ר׳ יוזל יצא אז לעיר ואמר שר׳ </w:t>
      </w:r>
      <w:proofErr w:type="spellStart"/>
      <w:r>
        <w:rPr>
          <w:rtl/>
        </w:rPr>
        <w:t>אברהם־אהרן</w:t>
      </w:r>
      <w:proofErr w:type="spellEnd"/>
      <w:r>
        <w:rPr>
          <w:rtl/>
        </w:rPr>
        <w:t xml:space="preserve"> </w:t>
      </w:r>
      <w:proofErr w:type="spellStart"/>
      <w:r>
        <w:rPr>
          <w:rtl/>
        </w:rPr>
        <w:t>בורשטין</w:t>
      </w:r>
      <w:proofErr w:type="spellEnd"/>
      <w:r>
        <w:rPr>
          <w:rtl/>
        </w:rPr>
        <w:t xml:space="preserve"> אינו יודע ללמוד. ר׳ יוזל הכריז גם שרק אם הרב החדש יוכל להשיב על שאלה שישאל אחד מטובי תלמידי ישיבתו, יהיה ראוי לרבנות – כלומר, ר׳ יוזל פקפק אם ר׳ </w:t>
      </w:r>
      <w:proofErr w:type="spellStart"/>
      <w:r>
        <w:rPr>
          <w:rtl/>
        </w:rPr>
        <w:t>אברהם־אהרן</w:t>
      </w:r>
      <w:proofErr w:type="spellEnd"/>
      <w:r>
        <w:rPr>
          <w:rtl/>
        </w:rPr>
        <w:t xml:space="preserve"> </w:t>
      </w:r>
      <w:proofErr w:type="spellStart"/>
      <w:r>
        <w:rPr>
          <w:rtl/>
        </w:rPr>
        <w:t>בורשטין</w:t>
      </w:r>
      <w:proofErr w:type="spellEnd"/>
      <w:r>
        <w:rPr>
          <w:rtl/>
        </w:rPr>
        <w:t xml:space="preserve"> מלומד כבחורים הטובים בישיבתו! בקיצור, ר׳ יוזל הציגו </w:t>
      </w:r>
      <w:proofErr w:type="spellStart"/>
      <w:r>
        <w:rPr>
          <w:rtl/>
        </w:rPr>
        <w:t>כ‘עם</w:t>
      </w:r>
      <w:proofErr w:type="spellEnd"/>
      <w:r>
        <w:rPr>
          <w:rtl/>
        </w:rPr>
        <w:t xml:space="preserve"> הארץ’, ור׳ </w:t>
      </w:r>
      <w:proofErr w:type="spellStart"/>
      <w:r>
        <w:rPr>
          <w:rtl/>
        </w:rPr>
        <w:t>אברהם־אהרן</w:t>
      </w:r>
      <w:proofErr w:type="spellEnd"/>
      <w:r>
        <w:rPr>
          <w:rtl/>
        </w:rPr>
        <w:t xml:space="preserve"> נאלץ לצאת מן העיר לפני שיגרשוהו”. שאלה הלכתית שלא הייתה לרב החדש תשובה מוכנה עליה הייתה יעילה במיוחד נגד יורשו של פוסק בעל שיעור קומה עולמי כבעל “ערוך השולחן”.</w:t>
      </w:r>
    </w:p>
    <w:p w14:paraId="44F3686C" w14:textId="77777777" w:rsidR="00AB3647" w:rsidRDefault="00000000" w:rsidP="007923E9">
      <w:pPr>
        <w:spacing w:after="120" w:line="276" w:lineRule="auto"/>
        <w:ind w:firstLine="283"/>
        <w:jc w:val="both"/>
      </w:pPr>
      <w:r>
        <w:rPr>
          <w:rtl/>
        </w:rPr>
        <w:t xml:space="preserve">אבל את דברי הרב סטאר </w:t>
      </w:r>
      <w:proofErr w:type="spellStart"/>
      <w:r>
        <w:rPr>
          <w:rtl/>
        </w:rPr>
        <w:t>ש“נאלץ</w:t>
      </w:r>
      <w:proofErr w:type="spellEnd"/>
      <w:r>
        <w:rPr>
          <w:rtl/>
        </w:rPr>
        <w:t xml:space="preserve"> לצאת מן העיר לפני שיגרשוהו” יש לסייג, מפני שבהקדמת חתנו של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ל“נר</w:t>
      </w:r>
      <w:proofErr w:type="spellEnd"/>
      <w:r>
        <w:rPr>
          <w:rtl/>
        </w:rPr>
        <w:t xml:space="preserve"> אהרן”, כרך משיעוריו שנדפס לאחר פטירתו</w:t>
      </w:r>
      <w:bookmarkStart w:id="6655" w:name="_fnr5055"/>
      <w:r>
        <w:rPr>
          <w:rStyle w:val="a5"/>
        </w:rPr>
        <w:footnoteReference w:id="5068" w:customMarkFollows="0"/>
      </w:r>
      <w:bookmarkEnd w:id="6655"/>
      <w:r>
        <w:rPr>
          <w:rtl/>
        </w:rPr>
        <w:t xml:space="preserve">, משמשת עזיבתו את העיר דוגמה </w:t>
      </w:r>
      <w:proofErr w:type="spellStart"/>
      <w:r>
        <w:rPr>
          <w:rtl/>
        </w:rPr>
        <w:t>ל“יפה</w:t>
      </w:r>
      <w:proofErr w:type="spellEnd"/>
      <w:r>
        <w:rPr>
          <w:rtl/>
        </w:rPr>
        <w:t xml:space="preserve"> רוח, נקי הדעת ועדינות” שלו. “נר אהרן” מספר: “בעודו בעיר [</w:t>
      </w:r>
      <w:proofErr w:type="spellStart"/>
      <w:r>
        <w:rPr>
          <w:rtl/>
        </w:rPr>
        <w:t>נובהרדוק</w:t>
      </w:r>
      <w:proofErr w:type="spellEnd"/>
      <w:r>
        <w:rPr>
          <w:rtl/>
        </w:rPr>
        <w:t>], נודע לו שמיעוט קטן... מתנגד לו, וביקש לעזוב... אך לא עלה בידו, מפני שבעלי העגלות בעיר החליטו ביניהם שלא להוציאו בשום אופן. לכן יצא בלילה בסתר ברגל, ואילו אשתו וילדיו נשארו בעיר. כשנודע הדבר בבוקר, החליטו בני העיר למנוע מן המשפחה לצאת כדי להשיבו. אך בתחבולות רבות הצליחה הרבנית להוציא [את עצמה ואת ילדיה] מן העיר”.</w:t>
      </w:r>
    </w:p>
    <w:p w14:paraId="48F9C383" w14:textId="77777777" w:rsidR="00AB3647" w:rsidRDefault="00000000" w:rsidP="007923E9">
      <w:pPr>
        <w:spacing w:after="120" w:line="276" w:lineRule="auto"/>
        <w:ind w:firstLine="283"/>
        <w:jc w:val="both"/>
      </w:pPr>
      <w:r>
        <w:rPr>
          <w:rtl/>
        </w:rPr>
        <w:t xml:space="preserve">תיאור מאורעות זה מתאים לדיווח </w:t>
      </w:r>
      <w:proofErr w:type="spellStart"/>
      <w:r>
        <w:rPr>
          <w:rtl/>
        </w:rPr>
        <w:t>ב“יהדות</w:t>
      </w:r>
      <w:proofErr w:type="spellEnd"/>
      <w:r>
        <w:rPr>
          <w:rtl/>
        </w:rPr>
        <w:t xml:space="preserve"> ליטא” שרק “חלק קטן מבני העיר” עמד לצד ר׳ יוזל – כנראה היו אלה המשכירים </w:t>
      </w:r>
      <w:proofErr w:type="spellStart"/>
      <w:r>
        <w:rPr>
          <w:rtl/>
        </w:rPr>
        <w:t>סטאנציעס</w:t>
      </w:r>
      <w:proofErr w:type="spellEnd"/>
      <w:r>
        <w:rPr>
          <w:rtl/>
        </w:rPr>
        <w:t xml:space="preserve"> לתלמידים, שחששו שהכנסתם תקטן אם תצא הישיבה מן העיר</w:t>
      </w:r>
      <w:bookmarkStart w:id="6656" w:name="_fnr5056"/>
      <w:r>
        <w:rPr>
          <w:rStyle w:val="a5"/>
        </w:rPr>
        <w:footnoteReference w:id="5069" w:customMarkFollows="0"/>
      </w:r>
      <w:bookmarkEnd w:id="6656"/>
      <w:r>
        <w:rPr>
          <w:rtl/>
        </w:rPr>
        <w:t xml:space="preserve">. העובדה שר׳ </w:t>
      </w:r>
      <w:proofErr w:type="spellStart"/>
      <w:r>
        <w:rPr>
          <w:rtl/>
        </w:rPr>
        <w:t>אברהם־אהרן</w:t>
      </w:r>
      <w:proofErr w:type="spellEnd"/>
      <w:r>
        <w:rPr>
          <w:rtl/>
        </w:rPr>
        <w:t xml:space="preserve"> כבר הביא את משפחתו </w:t>
      </w:r>
      <w:proofErr w:type="spellStart"/>
      <w:r>
        <w:rPr>
          <w:rtl/>
        </w:rPr>
        <w:t>לנובהרדוק</w:t>
      </w:r>
      <w:proofErr w:type="spellEnd"/>
      <w:r>
        <w:rPr>
          <w:rtl/>
        </w:rPr>
        <w:t xml:space="preserve"> מוכיחה בבירור שכבר לא היה מועמד בלבד, ושהעיר בעיקרה עמדה לצדו. מנהיגי ההתנגדות אליו – אנשי המוסר ותומכיהם בעלי העניין – היו רק מחרחרי ריב, בלי כוח “לגרשו”, כדברי הרב סטאר. הרב סטאר, שהיה אז בחור צעיר, ראה את המאורעות מבעד לאספקלריה של ישיבת </w:t>
      </w:r>
      <w:proofErr w:type="spellStart"/>
      <w:r>
        <w:rPr>
          <w:rtl/>
        </w:rPr>
        <w:t>נובהרדוק</w:t>
      </w:r>
      <w:proofErr w:type="spellEnd"/>
      <w:r>
        <w:rPr>
          <w:rtl/>
        </w:rPr>
        <w:t xml:space="preserve"> שבה למד, וכך תואר שם המצב בעיר. אבל למעשה עזב ר׳ </w:t>
      </w:r>
      <w:proofErr w:type="spellStart"/>
      <w:r>
        <w:rPr>
          <w:rtl/>
        </w:rPr>
        <w:t>אברהם־אהרן</w:t>
      </w:r>
      <w:proofErr w:type="spellEnd"/>
      <w:r>
        <w:rPr>
          <w:rtl/>
        </w:rPr>
        <w:t xml:space="preserve"> </w:t>
      </w:r>
      <w:proofErr w:type="spellStart"/>
      <w:r>
        <w:rPr>
          <w:rtl/>
        </w:rPr>
        <w:t>בורשטין</w:t>
      </w:r>
      <w:proofErr w:type="spellEnd"/>
      <w:r>
        <w:rPr>
          <w:rtl/>
        </w:rPr>
        <w:t xml:space="preserve"> מפני שהיה עדין מכדי להסתבך במחלוקת.</w:t>
      </w:r>
    </w:p>
    <w:p w14:paraId="30CE4EFC" w14:textId="7ADC608F" w:rsidR="00AB3647" w:rsidRDefault="00000000" w:rsidP="007923E9">
      <w:pPr>
        <w:spacing w:after="120" w:line="276" w:lineRule="auto"/>
        <w:ind w:firstLine="283"/>
        <w:jc w:val="both"/>
      </w:pPr>
      <w:r>
        <w:rPr>
          <w:rtl/>
        </w:rPr>
        <w:t>ברשימותיו של ר׳ משה גרוסמן</w:t>
      </w:r>
      <w:bookmarkStart w:id="6657" w:name="_fnr5057"/>
      <w:r>
        <w:rPr>
          <w:rStyle w:val="a5"/>
        </w:rPr>
        <w:footnoteReference w:id="5070" w:customMarkFollows="0"/>
      </w:r>
      <w:bookmarkEnd w:id="6657"/>
      <w:r>
        <w:rPr>
          <w:rtl/>
        </w:rPr>
        <w:t xml:space="preserve"> מובא בשם ר׳ </w:t>
      </w:r>
      <w:proofErr w:type="spellStart"/>
      <w:r>
        <w:rPr>
          <w:rtl/>
        </w:rPr>
        <w:t>יעקב־יצחק</w:t>
      </w:r>
      <w:proofErr w:type="spellEnd"/>
      <w:r>
        <w:rPr>
          <w:rtl/>
        </w:rPr>
        <w:t xml:space="preserve"> </w:t>
      </w:r>
      <w:proofErr w:type="spellStart"/>
      <w:r>
        <w:rPr>
          <w:rtl/>
        </w:rPr>
        <w:t>רודרמן</w:t>
      </w:r>
      <w:proofErr w:type="spellEnd"/>
      <w:r>
        <w:rPr>
          <w:rtl/>
        </w:rPr>
        <w:t xml:space="preserve"> שאנשי המוסר – כלומר, תלמידי ישיבת </w:t>
      </w:r>
      <w:proofErr w:type="spellStart"/>
      <w:r>
        <w:rPr>
          <w:rtl/>
        </w:rPr>
        <w:t>נובהרדוק</w:t>
      </w:r>
      <w:proofErr w:type="spellEnd"/>
      <w:r>
        <w:rPr>
          <w:rtl/>
        </w:rPr>
        <w:t xml:space="preserve"> – מרחו דבק על כיסא הרב לפני שבת, והקפוטה שלו נדבקה אליו; הוא נאלץ להשאיר את בגדו בבית הכנסת עד מוצאי שבת, ובאותו לילה עזב את העיר. המאמר </w:t>
      </w:r>
      <w:proofErr w:type="spellStart"/>
      <w:r>
        <w:rPr>
          <w:rtl/>
        </w:rPr>
        <w:t>ב“יהדות</w:t>
      </w:r>
      <w:proofErr w:type="spellEnd"/>
      <w:r>
        <w:rPr>
          <w:rtl/>
        </w:rPr>
        <w:t xml:space="preserve"> ליטא”</w:t>
      </w:r>
      <w:bookmarkStart w:id="6658" w:name="_fnr5058"/>
      <w:r>
        <w:rPr>
          <w:rStyle w:val="a5"/>
        </w:rPr>
        <w:footnoteReference w:id="5071" w:customMarkFollows="0"/>
      </w:r>
      <w:bookmarkEnd w:id="6658"/>
      <w:r>
        <w:rPr>
          <w:rtl/>
        </w:rPr>
        <w:t xml:space="preserve"> אומר על 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ש“כשהיה</w:t>
      </w:r>
      <w:proofErr w:type="spellEnd"/>
      <w:r>
        <w:rPr>
          <w:rtl/>
        </w:rPr>
        <w:t xml:space="preserve"> מקבל כתב רבנות </w:t>
      </w:r>
      <w:r>
        <w:rPr>
          <w:rtl/>
        </w:rPr>
        <w:lastRenderedPageBreak/>
        <w:t xml:space="preserve">מעיר גדולה, כתוב וחתום בידי כל טובי העיר, ונודע לו שרב [אחר] מבקש את המשרה – אף אם ידע שרוב מניינה ובניינה של העיר אינו רוצה באותו רב – היה מסיר את מועמדותו לאותה רבנות”. אדם עדין כל כך לא היה מעלה על דעתו אף לרגע להישאר במקום שבו יכול לקרות מעשה מחפיר כמו זה שנעשה לו, והוא ברח. השווה גם פרק 3, </w:t>
      </w:r>
      <w:r>
        <w:rPr>
          <w:rtl/>
        </w:rPr>
        <w:fldChar w:fldCharType="begin" w:dirty="true"/>
      </w:r>
      <w:r>
        <w:rPr>
          <w:rtl/>
        </w:rPr>
        <w:instrText xml:space="preserve"> REF b3_excG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על מידותיו הנאות של ר׳ </w:t>
      </w:r>
      <w:proofErr w:type="spellStart"/>
      <w:r>
        <w:rPr>
          <w:rtl/>
        </w:rPr>
        <w:t>אברהם־אהרן</w:t>
      </w:r>
      <w:proofErr w:type="spellEnd"/>
      <w:r>
        <w:rPr>
          <w:rtl/>
        </w:rPr>
        <w:t xml:space="preserve"> </w:t>
      </w:r>
      <w:proofErr w:type="spellStart"/>
      <w:r>
        <w:rPr>
          <w:rtl/>
        </w:rPr>
        <w:t>בורשטין</w:t>
      </w:r>
      <w:proofErr w:type="spellEnd"/>
      <w:r>
        <w:rPr>
          <w:rtl/>
        </w:rPr>
        <w:t>. הרב סטאר לא סיפר את מעשה הקפוטה מפני שכנראה לא ידע שהתרחש: מעשה נבזי כזה ודאי נעשה ביוזמה פרטית של מישהו, וחוג הישיבה לא נטל עליו ‘קרדיט’ רשמי. הסיפור ודאי היה מביש מכדי להזכירו, והתלמידים המבוגרים והבקיאים בישיבה העלימו אותו.</w:t>
      </w:r>
    </w:p>
    <w:p w14:paraId="75B8DD94" w14:textId="737151AC" w:rsidR="00AB3647" w:rsidRDefault="00000000" w:rsidP="007923E9">
      <w:pPr>
        <w:spacing w:after="120" w:line="276" w:lineRule="auto"/>
        <w:ind w:firstLine="283"/>
        <w:jc w:val="both"/>
      </w:pPr>
      <w:proofErr w:type="spellStart"/>
      <w:r>
        <w:rPr>
          <w:rtl/>
        </w:rPr>
        <w:t>דבורץ</w:t>
      </w:r>
      <w:proofErr w:type="spellEnd"/>
      <w:r>
        <w:rPr>
          <w:rtl/>
        </w:rPr>
        <w:t>, “הגאון רבי משה מרדכי אפשטיין”</w:t>
      </w:r>
      <w:bookmarkStart w:id="6659" w:name="_fnr5059"/>
      <w:r>
        <w:rPr>
          <w:rStyle w:val="a5"/>
        </w:rPr>
        <w:footnoteReference w:id="5072" w:customMarkFollows="0"/>
      </w:r>
      <w:bookmarkEnd w:id="6659"/>
      <w:r>
        <w:rPr>
          <w:rtl/>
        </w:rPr>
        <w:t xml:space="preserve">, מציע השערה מעניינת: “המעשה רב שבהתקרבות זו – [בחורי </w:t>
      </w:r>
      <w:proofErr w:type="spellStart"/>
      <w:r>
        <w:rPr>
          <w:rtl/>
        </w:rPr>
        <w:t>סלבודקה</w:t>
      </w:r>
      <w:proofErr w:type="spellEnd"/>
      <w:r>
        <w:rPr>
          <w:rtl/>
        </w:rPr>
        <w:t xml:space="preserve"> שייסדו קיבוץ בחסות משפחת </w:t>
      </w:r>
      <w:proofErr w:type="spellStart"/>
      <w:r>
        <w:rPr>
          <w:rtl/>
        </w:rPr>
        <w:t>סולובייצ׳יק</w:t>
      </w:r>
      <w:proofErr w:type="spellEnd"/>
      <w:r>
        <w:rPr>
          <w:rtl/>
        </w:rPr>
        <w:t xml:space="preserve"> </w:t>
      </w:r>
      <w:proofErr w:type="spellStart"/>
      <w:r>
        <w:rPr>
          <w:rtl/>
        </w:rPr>
        <w:t>בראסיין</w:t>
      </w:r>
      <w:proofErr w:type="spellEnd"/>
      <w:r>
        <w:rPr>
          <w:rtl/>
        </w:rPr>
        <w:t xml:space="preserve">] – נעשה מעין ברית בין </w:t>
      </w:r>
      <w:proofErr w:type="spellStart"/>
      <w:r>
        <w:rPr>
          <w:rtl/>
        </w:rPr>
        <w:t>סלבודקה</w:t>
      </w:r>
      <w:proofErr w:type="spellEnd"/>
      <w:r>
        <w:rPr>
          <w:rtl/>
        </w:rPr>
        <w:t xml:space="preserve"> ומשטר המוסר שלה לבין מאור ישראל, רשכבה״ג, ר׳ חיים </w:t>
      </w:r>
      <w:proofErr w:type="spellStart"/>
      <w:r>
        <w:rPr>
          <w:rtl/>
        </w:rPr>
        <w:t>סולובייצ׳יק</w:t>
      </w:r>
      <w:proofErr w:type="spellEnd"/>
      <w:r>
        <w:rPr>
          <w:rtl/>
        </w:rPr>
        <w:t xml:space="preserve">, שדעתו בכל ענייני היהדות הייתה מכרעת ומקובלת בין גדולי ישראל בכל העולם. בכך נמחקו הפגמים שהטילה על המוסר המחלוקת [על המוסר] </w:t>
      </w:r>
      <w:proofErr w:type="spellStart"/>
      <w:r>
        <w:rPr>
          <w:rtl/>
        </w:rPr>
        <w:t>בתרנ״ז</w:t>
      </w:r>
      <w:bookmarkStart w:id="6660" w:name="_fnr5060"/>
      <w:proofErr w:type="spellEnd"/>
      <w:r>
        <w:rPr>
          <w:rStyle w:val="a5"/>
        </w:rPr>
        <w:footnoteReference w:id="5073" w:customMarkFollows="0"/>
      </w:r>
      <w:bookmarkEnd w:id="6660"/>
      <w:r>
        <w:rPr>
          <w:rtl/>
        </w:rPr>
        <w:t xml:space="preserve">, ותוצאותיה נמחקו לחלוטין”. לא שיקול זה הניע את הסבא כשהסכים לשלוח תלמידים – או כשיזם את שליחותם, כאמור לעיל. למעשה, סביר שלא קיבל כלל תאוריה זו, כפי שמעידה העובדה שגם באלול תרע״ג עדיין היה טרוד במחלוקות הישנות נגד המוסר, כמתואר בפרק 3, סוף </w:t>
      </w:r>
      <w:r>
        <w:rPr>
          <w:rtl/>
        </w:rPr>
        <w:fldChar w:fldCharType="begin" w:dirty="true"/>
      </w:r>
      <w:r>
        <w:rPr>
          <w:rtl/>
        </w:rPr>
        <w:instrText xml:space="preserve"> REF b3_excU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כא</w:t>
      </w:r>
      <w:proofErr w:type="spellEnd"/>
      <w:r>
        <w:rPr>
          <w:rtl/>
        </w:rPr>
        <w:fldChar w:fldCharType="end"/>
      </w:r>
      <w:r>
        <w:rPr>
          <w:rtl/>
        </w:rPr>
        <w:t>.</w:t>
      </w:r>
    </w:p>
    <w:p w14:paraId="50197445" w14:textId="77777777" w:rsidR="00AB3647" w:rsidRDefault="00000000" w:rsidP="007923E9">
      <w:pPr>
        <w:pStyle w:val="4"/>
        <w:spacing w:line="276" w:lineRule="auto"/>
      </w:pPr>
      <w:r>
        <w:t>· הפסקה השנייה ·</w:t>
      </w:r>
    </w:p>
    <w:p w14:paraId="7B8E5E7E" w14:textId="77777777" w:rsidR="00AB3647" w:rsidRDefault="00000000" w:rsidP="007923E9">
      <w:pPr>
        <w:pStyle w:val="5"/>
        <w:spacing w:line="276" w:lineRule="auto"/>
      </w:pPr>
      <w:r>
        <w:t xml:space="preserve">הערכתו הרבה של ר׳ חיים לבנו ר׳ משה – הערכתו הרבה יותר של ר׳ חיים לבנו ר׳ יצחק־זאב – הערכתו הרבה של ר׳ יוסף־דב </w:t>
      </w:r>
      <w:proofErr w:type="spellStart"/>
      <w:r>
        <w:t>סולובייצ׳יק</w:t>
      </w:r>
      <w:proofErr w:type="spellEnd"/>
      <w:r>
        <w:t xml:space="preserve"> לבנו ר׳ חיים</w:t>
      </w:r>
    </w:p>
    <w:p w14:paraId="1FCC0967" w14:textId="77777777" w:rsidR="00AB3647" w:rsidRDefault="00000000" w:rsidP="007923E9">
      <w:pPr>
        <w:spacing w:after="120" w:line="276" w:lineRule="auto"/>
        <w:ind w:firstLine="283"/>
        <w:jc w:val="both"/>
      </w:pPr>
      <w:r>
        <w:rPr>
          <w:rtl/>
        </w:rPr>
        <w:t xml:space="preserve">בניגוד לדעה הרווחת </w:t>
      </w:r>
      <w:proofErr w:type="spellStart"/>
      <w:r>
        <w:rPr>
          <w:rtl/>
        </w:rPr>
        <w:t>בראסיין</w:t>
      </w:r>
      <w:proofErr w:type="spellEnd"/>
      <w:r>
        <w:rPr>
          <w:rtl/>
        </w:rPr>
        <w:t xml:space="preserve"> על ר׳ משה, ר׳ חיים לא סבר שבנו אינו מסוגל למלא את מקומו של ר׳ </w:t>
      </w:r>
      <w:proofErr w:type="spellStart"/>
      <w:r>
        <w:rPr>
          <w:rtl/>
        </w:rPr>
        <w:t>אלכסנדר־משה</w:t>
      </w:r>
      <w:proofErr w:type="spellEnd"/>
      <w:r>
        <w:rPr>
          <w:rtl/>
        </w:rPr>
        <w:t xml:space="preserve"> לפידות. עד כמה העריך ר׳ חיים את ר׳ משה אפשר ללמוד ממה שסיפר ר׳ ישראל </w:t>
      </w:r>
      <w:proofErr w:type="spellStart"/>
      <w:r>
        <w:rPr>
          <w:rtl/>
        </w:rPr>
        <w:t>שורין</w:t>
      </w:r>
      <w:bookmarkStart w:id="6661" w:name="_fnr5061"/>
      <w:proofErr w:type="spellEnd"/>
      <w:r>
        <w:rPr>
          <w:rStyle w:val="a5"/>
        </w:rPr>
        <w:footnoteReference w:id="5074" w:customMarkFollows="0"/>
      </w:r>
      <w:bookmarkEnd w:id="6661"/>
      <w:r>
        <w:rPr>
          <w:rtl/>
        </w:rPr>
        <w:t xml:space="preserve"> ששמע מר׳ </w:t>
      </w:r>
      <w:proofErr w:type="spellStart"/>
      <w:r>
        <w:rPr>
          <w:rtl/>
        </w:rPr>
        <w:t>אורצ׳יק</w:t>
      </w:r>
      <w:proofErr w:type="spellEnd"/>
      <w:r>
        <w:rPr>
          <w:rtl/>
        </w:rPr>
        <w:t xml:space="preserve"> </w:t>
      </w:r>
      <w:proofErr w:type="spellStart"/>
      <w:r>
        <w:rPr>
          <w:rtl/>
        </w:rPr>
        <w:t>צעלקער</w:t>
      </w:r>
      <w:proofErr w:type="spellEnd"/>
      <w:r>
        <w:rPr>
          <w:rtl/>
        </w:rPr>
        <w:t xml:space="preserve">, משולח של ישיבת תורת חיים בירושלים לפני מלחמת העולם הראשונה, שר׳ חיים </w:t>
      </w:r>
      <w:proofErr w:type="spellStart"/>
      <w:r>
        <w:rPr>
          <w:rtl/>
        </w:rPr>
        <w:t>סולובייצ׳יק</w:t>
      </w:r>
      <w:proofErr w:type="spellEnd"/>
      <w:r>
        <w:rPr>
          <w:rtl/>
        </w:rPr>
        <w:t xml:space="preserve"> היה נאמנה</w:t>
      </w:r>
      <w:bookmarkStart w:id="6662" w:name="_fnr5062"/>
      <w:r>
        <w:rPr>
          <w:rStyle w:val="a5"/>
        </w:rPr>
        <w:footnoteReference w:id="5075" w:customMarkFollows="0"/>
      </w:r>
      <w:bookmarkEnd w:id="6662"/>
      <w:r>
        <w:rPr>
          <w:rtl/>
        </w:rPr>
        <w:t xml:space="preserve">. כשדיבר על דחיפת בנו </w:t>
      </w:r>
      <w:proofErr w:type="spellStart"/>
      <w:r>
        <w:rPr>
          <w:rtl/>
        </w:rPr>
        <w:t>לראסיין</w:t>
      </w:r>
      <w:proofErr w:type="spellEnd"/>
      <w:r>
        <w:rPr>
          <w:rtl/>
        </w:rPr>
        <w:t xml:space="preserve">, אמר ר׳ חיים לרב </w:t>
      </w:r>
      <w:proofErr w:type="spellStart"/>
      <w:r>
        <w:rPr>
          <w:rtl/>
        </w:rPr>
        <w:t>צעלקער</w:t>
      </w:r>
      <w:proofErr w:type="spellEnd"/>
      <w:r>
        <w:rPr>
          <w:rtl/>
        </w:rPr>
        <w:t xml:space="preserve"> שר׳ משה “יודע ללמוד יותר מכל רבני </w:t>
      </w:r>
      <w:proofErr w:type="spellStart"/>
      <w:r>
        <w:rPr>
          <w:rtl/>
        </w:rPr>
        <w:t>זאמוט</w:t>
      </w:r>
      <w:proofErr w:type="spellEnd"/>
      <w:r>
        <w:rPr>
          <w:rtl/>
        </w:rPr>
        <w:t xml:space="preserve">”. כששאלו הרב </w:t>
      </w:r>
      <w:proofErr w:type="spellStart"/>
      <w:r>
        <w:rPr>
          <w:rtl/>
        </w:rPr>
        <w:t>צעלקער</w:t>
      </w:r>
      <w:proofErr w:type="spellEnd"/>
      <w:r>
        <w:rPr>
          <w:rtl/>
        </w:rPr>
        <w:t xml:space="preserve">: “כוונתך ליותר מר׳ </w:t>
      </w:r>
      <w:proofErr w:type="spellStart"/>
      <w:r>
        <w:rPr>
          <w:rtl/>
        </w:rPr>
        <w:t>אברהם־אהרן</w:t>
      </w:r>
      <w:proofErr w:type="spellEnd"/>
      <w:r>
        <w:rPr>
          <w:rtl/>
        </w:rPr>
        <w:t xml:space="preserve"> [</w:t>
      </w:r>
      <w:proofErr w:type="spellStart"/>
      <w:r>
        <w:rPr>
          <w:rtl/>
        </w:rPr>
        <w:t>בורשטין</w:t>
      </w:r>
      <w:proofErr w:type="spellEnd"/>
      <w:r>
        <w:rPr>
          <w:rtl/>
        </w:rPr>
        <w:t xml:space="preserve">] </w:t>
      </w:r>
      <w:proofErr w:type="spellStart"/>
      <w:r>
        <w:rPr>
          <w:rtl/>
        </w:rPr>
        <w:t>מטבריג</w:t>
      </w:r>
      <w:bookmarkStart w:id="6663" w:name="_fnr5063"/>
      <w:proofErr w:type="spellEnd"/>
      <w:r>
        <w:rPr>
          <w:rStyle w:val="a5"/>
        </w:rPr>
        <w:footnoteReference w:id="5076" w:customMarkFollows="0"/>
      </w:r>
      <w:bookmarkEnd w:id="6663"/>
      <w:r>
        <w:rPr>
          <w:rtl/>
        </w:rPr>
        <w:t xml:space="preserve">?”, השיב ר׳ חיים: “גם יותר ממנו”. אבל כשהוסיף הרב </w:t>
      </w:r>
      <w:proofErr w:type="spellStart"/>
      <w:r>
        <w:rPr>
          <w:rtl/>
        </w:rPr>
        <w:t>צעלקער</w:t>
      </w:r>
      <w:proofErr w:type="spellEnd"/>
      <w:r>
        <w:rPr>
          <w:rtl/>
        </w:rPr>
        <w:t xml:space="preserve"> ושאל: “יותר מר׳ </w:t>
      </w:r>
      <w:proofErr w:type="spellStart"/>
      <w:r>
        <w:rPr>
          <w:rtl/>
        </w:rPr>
        <w:t>איצל׳ה</w:t>
      </w:r>
      <w:proofErr w:type="spellEnd"/>
      <w:r>
        <w:rPr>
          <w:rtl/>
        </w:rPr>
        <w:t xml:space="preserve"> </w:t>
      </w:r>
      <w:proofErr w:type="spellStart"/>
      <w:r>
        <w:rPr>
          <w:rtl/>
        </w:rPr>
        <w:t>פוניבז׳ער</w:t>
      </w:r>
      <w:proofErr w:type="spellEnd"/>
      <w:r>
        <w:rPr>
          <w:rtl/>
        </w:rPr>
        <w:t>?”, חזר בו ר׳ חיים ואמר: “חס ושלום!”</w:t>
      </w:r>
    </w:p>
    <w:p w14:paraId="7191712F" w14:textId="77777777" w:rsidR="00AB3647" w:rsidRDefault="00000000" w:rsidP="007923E9">
      <w:pPr>
        <w:spacing w:after="120" w:line="276" w:lineRule="auto"/>
        <w:ind w:firstLine="283"/>
        <w:jc w:val="both"/>
      </w:pPr>
      <w:r>
        <w:rPr>
          <w:rtl/>
        </w:rPr>
        <w:t>“</w:t>
      </w:r>
      <w:proofErr w:type="spellStart"/>
      <w:r>
        <w:rPr>
          <w:rtl/>
        </w:rPr>
        <w:t>אהלי</w:t>
      </w:r>
      <w:proofErr w:type="spellEnd"/>
      <w:r>
        <w:rPr>
          <w:rtl/>
        </w:rPr>
        <w:t xml:space="preserve"> שם”, ספר שר׳ חיים נתן לו מכתב הסכמה המעיד שהכיר את מחברו אישית, הוכן לדפוס בערך בזמן שנתקבל ר׳ משה לרב </w:t>
      </w:r>
      <w:proofErr w:type="spellStart"/>
      <w:r>
        <w:rPr>
          <w:rtl/>
        </w:rPr>
        <w:t>בראסיין</w:t>
      </w:r>
      <w:proofErr w:type="spellEnd"/>
      <w:r>
        <w:rPr>
          <w:rtl/>
        </w:rPr>
        <w:t>. המחבר מספר</w:t>
      </w:r>
      <w:bookmarkStart w:id="6664" w:name="_fnr5064"/>
      <w:r>
        <w:rPr>
          <w:rStyle w:val="a5"/>
        </w:rPr>
        <w:footnoteReference w:id="5077" w:customMarkFollows="0"/>
      </w:r>
      <w:bookmarkEnd w:id="6664"/>
      <w:r>
        <w:rPr>
          <w:rtl/>
        </w:rPr>
        <w:t xml:space="preserve"> במאמר מוסגר שקיבל </w:t>
      </w:r>
      <w:r>
        <w:rPr>
          <w:rtl/>
        </w:rPr>
        <w:lastRenderedPageBreak/>
        <w:t>הוראות מר׳ חיים – “הייתי אנוס על פי אזהרה [שלו]” – מה לכתוב ברשימה הקצרה עליו (כפי שיש על כל רב ורב בעולם). יש להניח שר׳ חיים הורה גם מה לכתוב שם על ילדיו. “</w:t>
      </w:r>
      <w:proofErr w:type="spellStart"/>
      <w:r>
        <w:rPr>
          <w:rtl/>
        </w:rPr>
        <w:t>אהלי</w:t>
      </w:r>
      <w:proofErr w:type="spellEnd"/>
      <w:r>
        <w:rPr>
          <w:rtl/>
        </w:rPr>
        <w:t xml:space="preserve"> שם” משבח מאוד את ר׳ משה, אבל ר׳ יצחק־זאב, האח הצעיר שירש לימים את אביו ברבנות </w:t>
      </w:r>
      <w:proofErr w:type="spellStart"/>
      <w:r>
        <w:rPr>
          <w:rtl/>
        </w:rPr>
        <w:t>בריסק</w:t>
      </w:r>
      <w:proofErr w:type="spellEnd"/>
      <w:r>
        <w:rPr>
          <w:rtl/>
        </w:rPr>
        <w:t xml:space="preserve">, זוכה לשבחים מופלגים יותר. אך השווה גם “קשת </w:t>
      </w:r>
      <w:proofErr w:type="spellStart"/>
      <w:r>
        <w:rPr>
          <w:rtl/>
        </w:rPr>
        <w:t>גבורים</w:t>
      </w:r>
      <w:proofErr w:type="spellEnd"/>
      <w:r>
        <w:rPr>
          <w:rtl/>
        </w:rPr>
        <w:t>”</w:t>
      </w:r>
      <w:bookmarkStart w:id="6665" w:name="_fnr5065"/>
      <w:r>
        <w:rPr>
          <w:rStyle w:val="a5"/>
        </w:rPr>
        <w:footnoteReference w:id="5078" w:customMarkFollows="0"/>
      </w:r>
      <w:bookmarkEnd w:id="6665"/>
      <w:r>
        <w:rPr>
          <w:rtl/>
        </w:rPr>
        <w:t xml:space="preserve">, המספר שר׳ יצחק־זאב ירש את אביו </w:t>
      </w:r>
      <w:proofErr w:type="spellStart"/>
      <w:r>
        <w:rPr>
          <w:rtl/>
        </w:rPr>
        <w:t>בבריסק</w:t>
      </w:r>
      <w:proofErr w:type="spellEnd"/>
      <w:r>
        <w:rPr>
          <w:rtl/>
        </w:rPr>
        <w:t xml:space="preserve"> (אחרי שנה שבילה בוורשה לאחר פטירת ר׳ חיים) </w:t>
      </w:r>
      <w:r>
        <w:rPr>
          <w:b/>
          <w:bCs/>
          <w:rtl/>
        </w:rPr>
        <w:t>רק מפני</w:t>
      </w:r>
      <w:r>
        <w:rPr>
          <w:rtl/>
        </w:rPr>
        <w:t xml:space="preserve"> שר׳ משה לא יכול היה לחצות את הגבול שלאחר מלחמת העולם, כדי להגיע </w:t>
      </w:r>
      <w:proofErr w:type="spellStart"/>
      <w:r>
        <w:rPr>
          <w:rtl/>
        </w:rPr>
        <w:t>מחסלוויץ</w:t>
      </w:r>
      <w:proofErr w:type="spellEnd"/>
      <w:r>
        <w:rPr>
          <w:rtl/>
        </w:rPr>
        <w:t xml:space="preserve">׳ שברוסיה </w:t>
      </w:r>
      <w:proofErr w:type="spellStart"/>
      <w:r>
        <w:rPr>
          <w:rtl/>
        </w:rPr>
        <w:t>לבריסק</w:t>
      </w:r>
      <w:proofErr w:type="spellEnd"/>
      <w:r>
        <w:rPr>
          <w:rtl/>
        </w:rPr>
        <w:t>, שהייתה עתה בפולין, עד שנתיים אחרי פטירת אביהם.</w:t>
      </w:r>
    </w:p>
    <w:p w14:paraId="73AFFDD3" w14:textId="77777777" w:rsidR="00AB3647" w:rsidRDefault="00000000" w:rsidP="007923E9">
      <w:pPr>
        <w:spacing w:after="120" w:line="276" w:lineRule="auto"/>
        <w:ind w:firstLine="283"/>
        <w:jc w:val="both"/>
      </w:pPr>
      <w:r>
        <w:rPr>
          <w:rtl/>
        </w:rPr>
        <w:t>בדרך אגב ברצוני להציע הסבר למה שרמז מחבר “</w:t>
      </w:r>
      <w:proofErr w:type="spellStart"/>
      <w:r>
        <w:rPr>
          <w:rtl/>
        </w:rPr>
        <w:t>אהלי</w:t>
      </w:r>
      <w:proofErr w:type="spellEnd"/>
      <w:r>
        <w:rPr>
          <w:rtl/>
        </w:rPr>
        <w:t xml:space="preserve"> שם” כשכתב</w:t>
      </w:r>
      <w:bookmarkStart w:id="6666" w:name="_fnr5066"/>
      <w:r>
        <w:rPr>
          <w:rStyle w:val="a5"/>
        </w:rPr>
        <w:footnoteReference w:id="5079" w:customMarkFollows="0"/>
      </w:r>
      <w:bookmarkEnd w:id="6666"/>
      <w:r>
        <w:rPr>
          <w:rtl/>
        </w:rPr>
        <w:t xml:space="preserve"> שהיה “אנוס על פי אזהרה של ר׳ חיים להימנע מלדבר על רוחב ועומק דעתו של ר׳ חיים כשהיה ילד בן ארבע”. ר׳ יוסף </w:t>
      </w:r>
      <w:proofErr w:type="spellStart"/>
      <w:r>
        <w:rPr>
          <w:rtl/>
        </w:rPr>
        <w:t>סולובייצ׳יק</w:t>
      </w:r>
      <w:bookmarkStart w:id="6667" w:name="_fnr5067"/>
      <w:proofErr w:type="spellEnd"/>
      <w:r>
        <w:rPr>
          <w:rStyle w:val="a5"/>
        </w:rPr>
        <w:footnoteReference w:id="5080" w:customMarkFollows="0"/>
      </w:r>
      <w:bookmarkEnd w:id="6667"/>
      <w:r>
        <w:rPr>
          <w:rtl/>
        </w:rPr>
        <w:t xml:space="preserve"> סיפר שכאשר נפטר ר׳ חיים, השיב ר׳ משה, סבו של המרואיין, על מכתב תנחומים מחתנו של </w:t>
      </w:r>
      <w:proofErr w:type="spellStart"/>
      <w:r>
        <w:rPr>
          <w:rtl/>
        </w:rPr>
        <w:t>החפץ־חיים</w:t>
      </w:r>
      <w:proofErr w:type="spellEnd"/>
      <w:r>
        <w:rPr>
          <w:rtl/>
        </w:rPr>
        <w:t xml:space="preserve">, ר׳ הירש </w:t>
      </w:r>
      <w:proofErr w:type="spellStart"/>
      <w:r>
        <w:rPr>
          <w:rtl/>
        </w:rPr>
        <w:t>לוינסון</w:t>
      </w:r>
      <w:proofErr w:type="spellEnd"/>
      <w:r>
        <w:rPr>
          <w:rtl/>
        </w:rPr>
        <w:t>, וגילה בו: כאשר היה ר׳ חיים בן שלוש ואביו סיפר לו את מעשה אברהם אבינו והשלכתו לכבשן האש</w:t>
      </w:r>
      <w:bookmarkStart w:id="6668" w:name="_fnr5068"/>
      <w:r>
        <w:rPr>
          <w:rStyle w:val="a5"/>
        </w:rPr>
        <w:footnoteReference w:id="5081" w:customMarkFollows="0"/>
      </w:r>
      <w:bookmarkEnd w:id="6668"/>
      <w:r>
        <w:rPr>
          <w:rtl/>
        </w:rPr>
        <w:t xml:space="preserve">, אמר דבר שממנו הבין ר׳ יוסף־דב שבנו הקטן כבר מכיר את בוראו, והאב בכה משמחה. ייתכן בהחלט שלכך רמז “</w:t>
      </w:r>
      <w:proofErr w:type="spellStart"/>
      <w:r>
        <w:rPr>
          <w:rtl/>
        </w:rPr>
        <w:t>אהלי</w:t>
      </w:r>
      <w:proofErr w:type="spellEnd"/>
      <w:r>
        <w:rPr>
          <w:rtl/>
        </w:rPr>
        <w:t xml:space="preserve"> שם” (אף שלדברי המחבר היה ר׳ חיים אז בן ארבע, ולא בן שלוש). באותו מכתב לרב </w:t>
      </w:r>
      <w:proofErr w:type="spellStart"/>
      <w:r>
        <w:rPr>
          <w:rtl/>
        </w:rPr>
        <w:t>לוינסון</w:t>
      </w:r>
      <w:proofErr w:type="spellEnd"/>
      <w:r>
        <w:rPr>
          <w:rtl/>
        </w:rPr>
        <w:t xml:space="preserve"> כתב ר׳ משה: “אחרי פטירת אבי לבש אחי ר׳ </w:t>
      </w:r>
      <w:proofErr w:type="spellStart"/>
      <w:r>
        <w:rPr>
          <w:rtl/>
        </w:rPr>
        <w:t xml:space="preserve">וועלוול׳ה</w:t>
      </w:r>
      <w:proofErr w:type="spellEnd"/>
      <w:r>
        <w:rPr>
          <w:rtl/>
        </w:rPr>
        <w:t xml:space="preserve"> את אדרת הגדול בתורה שבדור</w:t>
      </w:r>
      <w:bookmarkStart w:id="6669" w:name="_fnr5069"/>
      <w:r>
        <w:rPr>
          <w:rStyle w:val="a5"/>
        </w:rPr>
        <w:footnoteReference w:id="5082" w:customMarkFollows="0"/>
      </w:r>
      <w:bookmarkEnd w:id="6669"/>
      <w:r>
        <w:rPr>
          <w:rtl/>
        </w:rPr>
        <w:t xml:space="preserve">, הבקי בכל ‘חדרי התורה’: קדשים וטהרות, נגעים </w:t>
      </w:r>
      <w:proofErr w:type="spellStart"/>
      <w:r>
        <w:rPr>
          <w:rtl/>
        </w:rPr>
        <w:t>ואהלות</w:t>
      </w:r>
      <w:proofErr w:type="spellEnd"/>
      <w:r>
        <w:rPr>
          <w:rtl/>
        </w:rPr>
        <w:t>, עירובין ומקוואות”.</w:t>
      </w:r>
    </w:p>
    <w:p w14:paraId="41A97B44" w14:textId="77777777" w:rsidR="00AB3647" w:rsidRDefault="00000000" w:rsidP="007923E9">
      <w:pPr>
        <w:spacing w:after="120" w:line="276" w:lineRule="auto"/>
        <w:ind w:firstLine="283"/>
        <w:jc w:val="both"/>
      </w:pPr>
      <w:r>
        <w:rPr>
          <w:rtl/>
        </w:rPr>
        <w:t xml:space="preserve">ביטוי להערכה הגבוהה שרחש ר׳ חיים </w:t>
      </w:r>
      <w:proofErr w:type="spellStart"/>
      <w:r>
        <w:rPr>
          <w:rtl/>
        </w:rPr>
        <w:t>לר</w:t>
      </w:r>
      <w:proofErr w:type="spellEnd"/>
      <w:r>
        <w:rPr>
          <w:rtl/>
        </w:rPr>
        <w:t xml:space="preserve">׳ יצחק־זאב – כפי שאישר האחרון – הביא ר׳ שלמה לורנץ בזיכרונותיו על ר׳ יצחק־זאב </w:t>
      </w:r>
      <w:proofErr w:type="spellStart"/>
      <w:r>
        <w:rPr>
          <w:rtl/>
        </w:rPr>
        <w:t>ב“דגלנו</w:t>
      </w:r>
      <w:proofErr w:type="spellEnd"/>
      <w:r>
        <w:rPr>
          <w:rtl/>
        </w:rPr>
        <w:t>”</w:t>
      </w:r>
      <w:bookmarkStart w:id="6670" w:name="_fnr5070"/>
      <w:r>
        <w:rPr>
          <w:rStyle w:val="a5"/>
        </w:rPr>
        <w:footnoteReference w:id="5083" w:customMarkFollows="0"/>
      </w:r>
      <w:bookmarkEnd w:id="6670"/>
      <w:r>
        <w:rPr>
          <w:rtl/>
        </w:rPr>
        <w:t xml:space="preserve">. ר׳ שלמה לורנץ כתב שר׳ יצחק־זאב אמר לו פעם: “אין לך מושג בגדלותם של גדולי התורה בדור הקודם: הפער ביני, וכן בין שאר גדולי דורנו, לבין אבי גדול מן הפער שבינך לביני”. ר׳ שלמה הקשה: “אבל שמעתי שפעם אמרת לאביך חידוש שהרשים אותו כל כך, עד שנכנס למטבח ואמר </w:t>
      </w:r>
      <w:proofErr w:type="spellStart"/>
      <w:r>
        <w:rPr>
          <w:rtl/>
        </w:rPr>
        <w:t>לאמך</w:t>
      </w:r>
      <w:proofErr w:type="spellEnd"/>
      <w:r>
        <w:rPr>
          <w:rtl/>
        </w:rPr>
        <w:t xml:space="preserve">: ‘מזל טוב, בננו יודע ללמוד יותר ממני!’”, והרב </w:t>
      </w:r>
      <w:proofErr w:type="spellStart"/>
      <w:r>
        <w:rPr>
          <w:rtl/>
        </w:rPr>
        <w:t>מבריסק</w:t>
      </w:r>
      <w:proofErr w:type="spellEnd"/>
      <w:r>
        <w:rPr>
          <w:rtl/>
        </w:rPr>
        <w:t xml:space="preserve"> השיב בלשון חידתית: “הסיפור אמת, אבל אינו נוגע [לדבריי]”. (אפשר שבעיני ר׳ יצחק־זאב לא הייתה “ידיעה ללמוד” אמת המידה היחידה </w:t>
      </w:r>
      <w:proofErr w:type="spellStart"/>
      <w:r>
        <w:rPr>
          <w:rtl/>
        </w:rPr>
        <w:t>ל“גדלות</w:t>
      </w:r>
      <w:proofErr w:type="spellEnd"/>
      <w:r>
        <w:rPr>
          <w:rtl/>
        </w:rPr>
        <w:t>”</w:t>
      </w:r>
      <w:bookmarkStart w:id="6671" w:name="_fnr5071"/>
      <w:r>
        <w:rPr>
          <w:rStyle w:val="a5"/>
        </w:rPr>
        <w:footnoteReference w:id="5084" w:customMarkFollows="0"/>
      </w:r>
      <w:bookmarkEnd w:id="6671"/>
      <w:r>
        <w:rPr>
          <w:rtl/>
        </w:rPr>
        <w:t>.)</w:t>
      </w:r>
    </w:p>
    <w:p w14:paraId="1DEAC409" w14:textId="77777777" w:rsidR="00AB3647" w:rsidRDefault="00000000" w:rsidP="007923E9">
      <w:pPr>
        <w:spacing w:after="120" w:line="276" w:lineRule="auto"/>
        <w:ind w:firstLine="283"/>
        <w:jc w:val="both"/>
      </w:pPr>
      <w:r>
        <w:rPr>
          <w:rtl/>
        </w:rPr>
        <w:t>בקשר ליחס ההערצה של ר׳ חיים לבניו, מעניין לציין ש</w:t>
      </w:r>
      <w:r>
        <w:rPr>
          <w:b/>
          <w:bCs/>
          <w:rtl/>
        </w:rPr>
        <w:t>אביו שלו</w:t>
      </w:r>
      <w:r>
        <w:rPr>
          <w:rtl/>
        </w:rPr>
        <w:t xml:space="preserve">, ר׳ יוסף־דב, רחש הערצה כזאת </w:t>
      </w:r>
      <w:r>
        <w:rPr>
          <w:b/>
          <w:bCs/>
          <w:rtl/>
        </w:rPr>
        <w:t>כלפיו</w:t>
      </w:r>
      <w:r>
        <w:rPr>
          <w:rtl/>
        </w:rPr>
        <w:t xml:space="preserve">. הדבר התגלה כשהתכונן ר׳ חיים לחתונתו בעיירה </w:t>
      </w:r>
      <w:proofErr w:type="spellStart"/>
      <w:r>
        <w:rPr>
          <w:rtl/>
        </w:rPr>
        <w:t>וולוז׳ין</w:t>
      </w:r>
      <w:proofErr w:type="spellEnd"/>
      <w:r>
        <w:rPr>
          <w:rtl/>
        </w:rPr>
        <w:t xml:space="preserve">, ור׳ יוסף־דב הורה לו להכין דבר תורה מעולה, שיישא לפני הרבנים הרבים שהיו עתידים לבוא. לפי “הראשון לשושלת </w:t>
      </w:r>
      <w:proofErr w:type="spellStart"/>
      <w:r>
        <w:rPr>
          <w:rtl/>
        </w:rPr>
        <w:t>בריסק</w:t>
      </w:r>
      <w:proofErr w:type="spellEnd"/>
      <w:r>
        <w:rPr>
          <w:rtl/>
        </w:rPr>
        <w:t>”</w:t>
      </w:r>
      <w:bookmarkStart w:id="6672" w:name="_fnr5072"/>
      <w:r>
        <w:rPr>
          <w:rStyle w:val="a5"/>
        </w:rPr>
        <w:footnoteReference w:id="5085" w:customMarkFollows="0"/>
      </w:r>
      <w:bookmarkEnd w:id="6672"/>
      <w:r>
        <w:rPr>
          <w:rtl/>
        </w:rPr>
        <w:t xml:space="preserve"> השתתפו במעמד עשרים ושישה “מגדולי הרבנים במדינה”. ר׳ יוסף־דב </w:t>
      </w:r>
      <w:r>
        <w:rPr>
          <w:rtl/>
        </w:rPr>
        <w:lastRenderedPageBreak/>
        <w:t>התרשם מדרשת בנו כל כך, עד שמסופר שאמר לאחד הרבנים האורחים: “כל הרבנים הנוכחים אינם יכולים להבין אפילו את שיחת החולין של בני, כל שכן את דברי תורתו”</w:t>
      </w:r>
      <w:bookmarkStart w:id="6673" w:name="_fnr5073"/>
      <w:r>
        <w:rPr>
          <w:rStyle w:val="a5"/>
        </w:rPr>
        <w:footnoteReference w:id="5086" w:customMarkFollows="0"/>
      </w:r>
      <w:bookmarkEnd w:id="6673"/>
      <w:r>
        <w:rPr>
          <w:rtl/>
        </w:rPr>
        <w:t>.</w:t>
      </w:r>
    </w:p>
    <w:p w14:paraId="526F4910" w14:textId="77777777" w:rsidR="00AB3647" w:rsidRDefault="00000000" w:rsidP="007923E9">
      <w:pPr>
        <w:spacing w:after="120" w:line="276" w:lineRule="auto"/>
        <w:ind w:firstLine="283"/>
        <w:jc w:val="both"/>
      </w:pPr>
      <w:r>
        <w:rPr>
          <w:rtl/>
        </w:rPr>
        <w:t>השווה גם “תורת חיים”</w:t>
      </w:r>
      <w:bookmarkStart w:id="6674" w:name="_fnr5074"/>
      <w:r>
        <w:rPr>
          <w:rStyle w:val="a5"/>
        </w:rPr>
        <w:footnoteReference w:id="5087" w:customMarkFollows="0"/>
      </w:r>
      <w:bookmarkEnd w:id="6674"/>
      <w:r>
        <w:rPr>
          <w:rtl/>
        </w:rPr>
        <w:t xml:space="preserve">. מסופר שם שר׳ יוסף־דב שאל את תלמידו ר׳ </w:t>
      </w:r>
      <w:proofErr w:type="spellStart"/>
      <w:r>
        <w:rPr>
          <w:rtl/>
        </w:rPr>
        <w:t>אריה־לייב</w:t>
      </w:r>
      <w:proofErr w:type="spellEnd"/>
      <w:r>
        <w:rPr>
          <w:rtl/>
        </w:rPr>
        <w:t xml:space="preserve"> </w:t>
      </w:r>
      <w:proofErr w:type="spellStart"/>
      <w:r>
        <w:rPr>
          <w:rtl/>
        </w:rPr>
        <w:t>פופקו</w:t>
      </w:r>
      <w:proofErr w:type="spellEnd"/>
      <w:r>
        <w:rPr>
          <w:rtl/>
        </w:rPr>
        <w:t xml:space="preserve">, בנו של </w:t>
      </w:r>
      <w:proofErr w:type="spellStart"/>
      <w:r>
        <w:rPr>
          <w:rtl/>
        </w:rPr>
        <w:t>החפץ־חיים</w:t>
      </w:r>
      <w:proofErr w:type="spellEnd"/>
      <w:r>
        <w:rPr>
          <w:rtl/>
        </w:rPr>
        <w:t>: “</w:t>
      </w:r>
      <w:proofErr w:type="spellStart"/>
      <w:r>
        <w:rPr>
          <w:rtl/>
        </w:rPr>
        <w:t>ראדינער</w:t>
      </w:r>
      <w:proofErr w:type="spellEnd"/>
      <w:r>
        <w:rPr>
          <w:rtl/>
        </w:rPr>
        <w:t xml:space="preserve">, מה דעתך על חיים [בני]?”, וכשהשיב: “ר׳ חיים יהיה גאון גדול”, התרחק ממנו רבו שישה שבועות. אחר כך הסביר ר׳ יוסף־דב: “איך העזת להפחית מערכו של בני באומרך שהוא </w:t>
      </w:r>
      <w:r>
        <w:rPr>
          <w:b/>
          <w:bCs/>
          <w:rtl/>
        </w:rPr>
        <w:t>יהיה</w:t>
      </w:r>
      <w:r>
        <w:rPr>
          <w:rtl/>
        </w:rPr>
        <w:t xml:space="preserve"> גאון, כאשר </w:t>
      </w:r>
      <w:r>
        <w:rPr>
          <w:b/>
          <w:bCs/>
          <w:rtl/>
        </w:rPr>
        <w:t>כבר הוא גאון</w:t>
      </w:r>
      <w:r>
        <w:rPr>
          <w:rtl/>
        </w:rPr>
        <w:t>?!”</w:t>
      </w:r>
      <w:bookmarkStart w:id="6675" w:name="_fnr5075"/>
      <w:bookmarkStart w:id="6676" w:name="pr_f_4953"/>
      <w:r>
        <w:rPr>
          <w:rStyle w:val="a5"/>
        </w:rPr>
        <w:footnoteReference w:id="5088" w:customMarkFollows="0"/>
      </w:r>
      <w:bookmarkEnd w:id="6675"/>
      <w:bookmarkEnd w:id="6676"/>
      <w:r>
        <w:rPr>
          <w:rtl/>
        </w:rPr>
        <w:t>.</w:t>
      </w:r>
    </w:p>
    <w:p w14:paraId="1252C2B5" w14:textId="77777777" w:rsidR="00AB3647" w:rsidRDefault="00000000" w:rsidP="007923E9">
      <w:pPr>
        <w:spacing w:after="120" w:line="276" w:lineRule="auto"/>
        <w:ind w:firstLine="283"/>
        <w:jc w:val="both"/>
      </w:pPr>
      <w:r>
        <w:rPr>
          <w:rtl/>
        </w:rPr>
        <w:t xml:space="preserve">נראה שהשיחה הזאת בין ר׳ יוסף־דב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 xml:space="preserve"> התקיימה בין סוף תקופת </w:t>
      </w:r>
      <w:proofErr w:type="spellStart"/>
      <w:r>
        <w:rPr>
          <w:rtl/>
        </w:rPr>
        <w:t>הקעסט</w:t>
      </w:r>
      <w:proofErr w:type="spellEnd"/>
      <w:r>
        <w:rPr>
          <w:rtl/>
        </w:rPr>
        <w:t xml:space="preserve"> של ר׳ חיים לבין תחילת כהונתו בישיבת </w:t>
      </w:r>
      <w:proofErr w:type="spellStart"/>
      <w:r>
        <w:rPr>
          <w:rtl/>
        </w:rPr>
        <w:t>וולוז׳ין</w:t>
      </w:r>
      <w:proofErr w:type="spellEnd"/>
      <w:r>
        <w:rPr>
          <w:rtl/>
        </w:rPr>
        <w:t xml:space="preserve">, כלומר </w:t>
      </w:r>
      <w:proofErr w:type="spellStart"/>
      <w:r>
        <w:rPr>
          <w:rtl/>
        </w:rPr>
        <w:t>בתרל״ט</w:t>
      </w:r>
      <w:proofErr w:type="spellEnd"/>
      <w:r>
        <w:rPr>
          <w:rtl/>
        </w:rPr>
        <w:t>–</w:t>
      </w:r>
      <w:proofErr w:type="spellStart"/>
      <w:r>
        <w:rPr>
          <w:rtl/>
        </w:rPr>
        <w:t>תר״ם</w:t>
      </w:r>
      <w:proofErr w:type="spellEnd"/>
      <w:r>
        <w:rPr>
          <w:rtl/>
        </w:rPr>
        <w:t xml:space="preserve">, כשהיה בן עשרים ושש ור׳ לייב בן </w:t>
      </w:r>
      <w:proofErr w:type="spellStart"/>
      <w:r>
        <w:rPr>
          <w:rtl/>
        </w:rPr>
        <w:t>שמונה־עשרה</w:t>
      </w:r>
      <w:proofErr w:type="spellEnd"/>
      <w:r>
        <w:rPr>
          <w:rtl/>
        </w:rPr>
        <w:t xml:space="preserve">. היה זה זמן קצר אחרי שנתמנה ר׳ יוסף־דב לרבה של </w:t>
      </w:r>
      <w:proofErr w:type="spellStart"/>
      <w:r>
        <w:rPr>
          <w:rtl/>
        </w:rPr>
        <w:t>בריסק</w:t>
      </w:r>
      <w:proofErr w:type="spellEnd"/>
      <w:r>
        <w:rPr>
          <w:rtl/>
        </w:rPr>
        <w:t xml:space="preserve">. ר׳ </w:t>
      </w:r>
      <w:proofErr w:type="spellStart"/>
      <w:r>
        <w:rPr>
          <w:rtl/>
        </w:rPr>
        <w:t>אריה־לייב</w:t>
      </w:r>
      <w:proofErr w:type="spellEnd"/>
      <w:r>
        <w:rPr>
          <w:rtl/>
        </w:rPr>
        <w:t xml:space="preserve"> שהה </w:t>
      </w:r>
      <w:proofErr w:type="spellStart"/>
      <w:r>
        <w:rPr>
          <w:rtl/>
        </w:rPr>
        <w:t>בבריסק</w:t>
      </w:r>
      <w:proofErr w:type="spellEnd"/>
      <w:r>
        <w:rPr>
          <w:rtl/>
        </w:rPr>
        <w:t xml:space="preserve"> זמן קצר בלבד, מפני שבגיל </w:t>
      </w:r>
      <w:proofErr w:type="spellStart"/>
      <w:r>
        <w:rPr>
          <w:rtl/>
        </w:rPr>
        <w:t>תשע־עשרה</w:t>
      </w:r>
      <w:proofErr w:type="spellEnd"/>
      <w:r>
        <w:rPr>
          <w:rtl/>
        </w:rPr>
        <w:t xml:space="preserve"> כבר למד אצל ר׳ </w:t>
      </w:r>
      <w:proofErr w:type="spellStart"/>
      <w:r>
        <w:rPr>
          <w:rtl/>
        </w:rPr>
        <w:t>בן־ציון</w:t>
      </w:r>
      <w:proofErr w:type="spellEnd"/>
      <w:r>
        <w:rPr>
          <w:rtl/>
        </w:rPr>
        <w:t xml:space="preserve"> </w:t>
      </w:r>
      <w:proofErr w:type="spellStart"/>
      <w:r>
        <w:rPr>
          <w:rtl/>
        </w:rPr>
        <w:t>שטרנפלד</w:t>
      </w:r>
      <w:proofErr w:type="spellEnd"/>
      <w:r>
        <w:rPr>
          <w:rtl/>
        </w:rPr>
        <w:t xml:space="preserve">, שהיה אז </w:t>
      </w:r>
      <w:proofErr w:type="spellStart"/>
      <w:r>
        <w:rPr>
          <w:rtl/>
        </w:rPr>
        <w:t>בקלווריה</w:t>
      </w:r>
      <w:bookmarkStart w:id="6677" w:name="_fnr5076"/>
      <w:proofErr w:type="spellEnd"/>
      <w:r>
        <w:rPr>
          <w:rStyle w:val="a5"/>
        </w:rPr>
        <w:footnoteReference w:id="5089" w:customMarkFollows="0"/>
      </w:r>
      <w:bookmarkEnd w:id="6677"/>
      <w:r>
        <w:rPr>
          <w:rtl/>
        </w:rPr>
        <w:t xml:space="preserve">. חתונתו של ר׳ חיים התקיימה שש שנים לפני השיחה בין ר׳ יוסף־דב </w:t>
      </w:r>
      <w:proofErr w:type="spellStart"/>
      <w:r>
        <w:rPr>
          <w:rtl/>
        </w:rPr>
        <w:t>סולובייצ׳יק</w:t>
      </w:r>
      <w:proofErr w:type="spellEnd"/>
      <w:r>
        <w:rPr>
          <w:rtl/>
        </w:rPr>
        <w:t xml:space="preserve"> </w:t>
      </w:r>
      <w:proofErr w:type="spellStart"/>
      <w:r>
        <w:rPr>
          <w:rtl/>
        </w:rPr>
        <w:t>לר</w:t>
      </w:r>
      <w:proofErr w:type="spellEnd"/>
      <w:r>
        <w:rPr>
          <w:rtl/>
        </w:rPr>
        <w:t xml:space="preserve">׳ </w:t>
      </w:r>
      <w:proofErr w:type="spellStart"/>
      <w:r>
        <w:rPr>
          <w:rtl/>
        </w:rPr>
        <w:t>אריה־לייב</w:t>
      </w:r>
      <w:proofErr w:type="spellEnd"/>
      <w:r>
        <w:rPr>
          <w:rtl/>
        </w:rPr>
        <w:t xml:space="preserve"> </w:t>
      </w:r>
      <w:proofErr w:type="spellStart"/>
      <w:r>
        <w:rPr>
          <w:rtl/>
        </w:rPr>
        <w:t>פופקו</w:t>
      </w:r>
      <w:proofErr w:type="spellEnd"/>
      <w:r>
        <w:rPr>
          <w:rtl/>
        </w:rPr>
        <w:t>.</w:t>
      </w:r>
    </w:p>
    <w:p w14:paraId="0C044FB5" w14:textId="77777777" w:rsidR="00AB3647" w:rsidRDefault="00000000" w:rsidP="007923E9">
      <w:pPr>
        <w:pStyle w:val="4"/>
        <w:spacing w:line="276" w:lineRule="auto"/>
      </w:pPr>
      <w:r>
        <w:t>· הפסקה השלישית ·</w:t>
      </w:r>
    </w:p>
    <w:p w14:paraId="1C727DD7" w14:textId="77777777" w:rsidR="00AB3647" w:rsidRDefault="00000000" w:rsidP="007923E9">
      <w:pPr>
        <w:pStyle w:val="5"/>
        <w:spacing w:line="276" w:lineRule="auto"/>
      </w:pPr>
      <w:r>
        <w:t xml:space="preserve">ר׳ חיים מבקר אצל בנו ר׳ משה </w:t>
      </w:r>
      <w:proofErr w:type="spellStart"/>
      <w:r>
        <w:t>בראסיין</w:t>
      </w:r>
      <w:proofErr w:type="spellEnd"/>
      <w:r>
        <w:t xml:space="preserve"> ופוגש את ר׳ פישל בר – ר׳ חיים קורא את מחשבות ר׳ פישל, והלה קונה בו “אמונה”</w:t>
      </w:r>
    </w:p>
    <w:p w14:paraId="6F526596" w14:textId="77777777" w:rsidR="00AB3647" w:rsidRDefault="00000000" w:rsidP="007923E9">
      <w:pPr>
        <w:spacing w:after="120" w:line="276" w:lineRule="auto"/>
        <w:ind w:firstLine="283"/>
        <w:jc w:val="both"/>
      </w:pPr>
      <w:r>
        <w:rPr>
          <w:rtl/>
        </w:rPr>
        <w:t xml:space="preserve">בריאיון על ר׳ ישראל תיאר אבי ביקור מאוחר יותר של ר׳ חיים </w:t>
      </w:r>
      <w:proofErr w:type="spellStart"/>
      <w:r>
        <w:rPr>
          <w:rtl/>
        </w:rPr>
        <w:t>בראסיין</w:t>
      </w:r>
      <w:proofErr w:type="spellEnd"/>
      <w:r>
        <w:rPr>
          <w:rtl/>
        </w:rPr>
        <w:t xml:space="preserve">, תשעים קילומטר מקובנה: “כשבא לבקר אצל בנו, התאכסן ר׳ חיים כמובן בבית ר׳ משה, ור׳ פישל בר בא לראותו. אחרי ששוחח מעט עם ר׳ חיים, החל ר׳ פישל, שהיה באמצע כתיבתו של ספר </w:t>
      </w:r>
      <w:proofErr w:type="spellStart"/>
      <w:r>
        <w:rPr>
          <w:rtl/>
        </w:rPr>
        <w:t>ממאדנער</w:t>
      </w:r>
      <w:proofErr w:type="spellEnd"/>
      <w:r>
        <w:rPr>
          <w:rtl/>
        </w:rPr>
        <w:t xml:space="preserve"> </w:t>
      </w:r>
      <w:proofErr w:type="spellStart"/>
      <w:r>
        <w:rPr>
          <w:rtl/>
        </w:rPr>
        <w:t>סארט</w:t>
      </w:r>
      <w:proofErr w:type="spellEnd"/>
      <w:r>
        <w:rPr>
          <w:rtl/>
        </w:rPr>
        <w:t xml:space="preserve"> [סוג משונה] – הוא היה איש מדעי, וראוי לקרוא לספרו, העוסק בתנ״ך ולוחם במבקרי המקרא, ובתקופות היסטוריות שונות, ‘מדעי’ – לדבר עם ר׳ חיים על אן </w:t>
      </w:r>
      <w:proofErr w:type="spellStart"/>
      <w:r>
        <w:rPr>
          <w:rtl/>
        </w:rPr>
        <w:t>אפהאנדלונג</w:t>
      </w:r>
      <w:proofErr w:type="spellEnd"/>
      <w:r>
        <w:rPr>
          <w:rtl/>
        </w:rPr>
        <w:t xml:space="preserve"> [מאמר] שר׳ פישל בר עתיד היה להדפיס בספרו, בשאלת זהותו של מחבר ‘הלכות גדולות’”. אבי הוסיף</w:t>
      </w:r>
      <w:bookmarkStart w:id="6678" w:name="_fnr5077"/>
      <w:r>
        <w:rPr>
          <w:rStyle w:val="a5"/>
        </w:rPr>
        <w:footnoteReference w:id="5090" w:customMarkFollows="0"/>
      </w:r>
      <w:bookmarkEnd w:id="6678"/>
      <w:r>
        <w:rPr>
          <w:rtl/>
        </w:rPr>
        <w:t xml:space="preserve"> בהערת אגב: “ר׳ פישל, בעל כשרון עצום, הדפיס רק כמה מאות עותקים מספרו – שמו ‘דברי משולם’ – והעניק לי אחד כשנפש </w:t>
      </w:r>
      <w:proofErr w:type="spellStart"/>
      <w:r>
        <w:rPr>
          <w:rtl/>
        </w:rPr>
        <w:t>בציטוביאן</w:t>
      </w:r>
      <w:bookmarkStart w:id="6679" w:name="_fnr5078"/>
      <w:proofErr w:type="spellEnd"/>
      <w:r>
        <w:rPr>
          <w:rStyle w:val="a5"/>
        </w:rPr>
        <w:footnoteReference w:id="5091" w:customMarkFollows="0"/>
      </w:r>
      <w:bookmarkEnd w:id="6679"/>
      <w:r>
        <w:rPr>
          <w:rtl/>
        </w:rPr>
        <w:t>”.</w:t>
      </w:r>
    </w:p>
    <w:p w14:paraId="47102C72" w14:textId="77777777" w:rsidR="00AB3647" w:rsidRDefault="00000000" w:rsidP="007923E9">
      <w:pPr>
        <w:spacing w:after="120" w:line="276" w:lineRule="auto"/>
        <w:ind w:firstLine="283"/>
        <w:jc w:val="both"/>
      </w:pPr>
      <w:r>
        <w:rPr>
          <w:rtl/>
        </w:rPr>
        <w:lastRenderedPageBreak/>
        <w:t xml:space="preserve">“ר׳ פישל עיין בראיה על זהות מחבר ‘ספר הלכות גדולות’, מתוך דברי בעל המאור על מסכת שבת, שהציעו כמה חוקרים. לפני שהתחיל האורח להרצות את טענתו נגד הראיה, אמר לו ר׳ חיים, שבדקות מעטות של שיחה כללית תפס את דרך סברתו של בן שיחו וחזה בדיוק מה בדעתו: ‘ובכן, אתה רוצה לטעון כך וכך; אבל אתה טועה, מפני שכך וכך׳. כשסיפר לי על שיחתו עם ר׳ חיים </w:t>
      </w:r>
      <w:proofErr w:type="spellStart"/>
      <w:r>
        <w:rPr>
          <w:rtl/>
        </w:rPr>
        <w:t>סולובייצ׳יק</w:t>
      </w:r>
      <w:proofErr w:type="spellEnd"/>
      <w:r>
        <w:rPr>
          <w:rtl/>
        </w:rPr>
        <w:t>, הוסיף ר׳ פישל: ‘באותו רגע קניתי אמונה בר׳ חיים. אז ביקשתי מר׳ משה את כתב הרבנות והוספתי עליו את חתימתי’”.</w:t>
      </w:r>
    </w:p>
    <w:p w14:paraId="5285DC1E" w14:textId="77777777" w:rsidR="00AB3647" w:rsidRDefault="00000000" w:rsidP="007923E9">
      <w:pPr>
        <w:spacing w:after="120" w:line="276" w:lineRule="auto"/>
        <w:ind w:firstLine="283"/>
        <w:jc w:val="both"/>
      </w:pPr>
      <w:r>
        <w:rPr>
          <w:rtl/>
        </w:rPr>
        <w:t xml:space="preserve">ייתכן </w:t>
      </w:r>
      <w:proofErr w:type="spellStart"/>
      <w:r>
        <w:rPr>
          <w:rtl/>
        </w:rPr>
        <w:t>ש“אמונתו</w:t>
      </w:r>
      <w:proofErr w:type="spellEnd"/>
      <w:r>
        <w:rPr>
          <w:rtl/>
        </w:rPr>
        <w:t xml:space="preserve">” של ר׳ פישל בר </w:t>
      </w:r>
      <w:proofErr w:type="spellStart"/>
      <w:r>
        <w:rPr>
          <w:rtl/>
        </w:rPr>
        <w:t>בר</w:t>
      </w:r>
      <w:proofErr w:type="spellEnd"/>
      <w:r>
        <w:rPr>
          <w:rtl/>
        </w:rPr>
        <w:t xml:space="preserve">׳ חיים לא הייתה במקומה, שכן לפי תלמיד החכם הגדול וההיסטוריון ר׳ </w:t>
      </w:r>
      <w:proofErr w:type="spellStart"/>
      <w:r>
        <w:rPr>
          <w:rtl/>
        </w:rPr>
        <w:t>יצחק־אייזיק</w:t>
      </w:r>
      <w:proofErr w:type="spellEnd"/>
      <w:r>
        <w:rPr>
          <w:rtl/>
        </w:rPr>
        <w:t xml:space="preserve"> הלוי, במכתב שבאגרותיו</w:t>
      </w:r>
      <w:bookmarkStart w:id="6680" w:name="_fnr5079"/>
      <w:r>
        <w:rPr>
          <w:rStyle w:val="a5"/>
        </w:rPr>
        <w:footnoteReference w:id="5092" w:customMarkFollows="0"/>
      </w:r>
      <w:bookmarkEnd w:id="6680"/>
      <w:r>
        <w:rPr>
          <w:rtl/>
        </w:rPr>
        <w:t xml:space="preserve">, “בכל שנה ושנה ישב ר׳ חיים בביתו של הלוי בווילנה חודשים שלמים”. אומנם הלוי נאלץ לברוח מרוסיה </w:t>
      </w:r>
      <w:proofErr w:type="spellStart"/>
      <w:r>
        <w:rPr>
          <w:rtl/>
        </w:rPr>
        <w:t>בתרנ״ה</w:t>
      </w:r>
      <w:proofErr w:type="spellEnd"/>
      <w:r>
        <w:rPr>
          <w:rtl/>
        </w:rPr>
        <w:t xml:space="preserve">, </w:t>
      </w:r>
      <w:proofErr w:type="spellStart"/>
      <w:r>
        <w:rPr>
          <w:rtl/>
        </w:rPr>
        <w:t>חמש־עשרה</w:t>
      </w:r>
      <w:proofErr w:type="spellEnd"/>
      <w:r>
        <w:rPr>
          <w:rtl/>
        </w:rPr>
        <w:t xml:space="preserve"> שנה לפני פגישת ר׳ חיים עם ר׳ פישל בר, אבל אין זה רחוק מן הסברה לשער שר׳ חיים קלט ממארחו בווילנה מידע על אותו נושא ממש שדן בו ר׳ פישל. ר׳ </w:t>
      </w:r>
      <w:proofErr w:type="spellStart"/>
      <w:r>
        <w:rPr>
          <w:rtl/>
        </w:rPr>
        <w:t>יצחק־אייזיק</w:t>
      </w:r>
      <w:proofErr w:type="spellEnd"/>
      <w:r>
        <w:rPr>
          <w:rtl/>
        </w:rPr>
        <w:t xml:space="preserve"> הלוי היה מחבר “דורות הראשונים”, שהכרך הראשון שלו שנדפס (</w:t>
      </w:r>
      <w:proofErr w:type="spellStart"/>
      <w:r>
        <w:rPr>
          <w:rtl/>
        </w:rPr>
        <w:t>בפרשבורג</w:t>
      </w:r>
      <w:proofErr w:type="spellEnd"/>
      <w:r>
        <w:rPr>
          <w:rtl/>
        </w:rPr>
        <w:t xml:space="preserve"> </w:t>
      </w:r>
      <w:proofErr w:type="spellStart"/>
      <w:r>
        <w:rPr>
          <w:rtl/>
        </w:rPr>
        <w:t>בתרנ״ז</w:t>
      </w:r>
      <w:proofErr w:type="spellEnd"/>
      <w:r>
        <w:rPr>
          <w:rtl/>
        </w:rPr>
        <w:t>) עוסק, בין השאר, בתקופתו של “הלכות גדולות” ובזהות מחברו.</w:t>
      </w:r>
    </w:p>
    <w:p w14:paraId="745A4868" w14:textId="77777777" w:rsidR="00AB3647" w:rsidRDefault="00000000" w:rsidP="007923E9">
      <w:pPr>
        <w:pStyle w:val="4"/>
        <w:spacing w:line="276" w:lineRule="auto"/>
      </w:pPr>
      <w:r>
        <w:t>· הפסקה הרביעית ·</w:t>
      </w:r>
    </w:p>
    <w:p w14:paraId="4698B1FF"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שליחותו של ר׳ חיים </w:t>
      </w:r>
      <w:proofErr w:type="spellStart"/>
      <w:r>
        <w:rPr>
          <w:color w:val="404040"/>
          <w:sz w:val="22"/>
          <w:szCs w:val="22"/>
          <w:rtl/>
        </w:rPr>
        <w:t>לר</w:t>
      </w:r>
      <w:proofErr w:type="spellEnd"/>
      <w:r>
        <w:rPr>
          <w:color w:val="404040"/>
          <w:sz w:val="22"/>
          <w:szCs w:val="22"/>
          <w:rtl/>
        </w:rPr>
        <w:t xml:space="preserve">׳ ראובן </w:t>
      </w:r>
      <w:proofErr w:type="spellStart"/>
      <w:r>
        <w:rPr>
          <w:color w:val="404040"/>
          <w:sz w:val="22"/>
          <w:szCs w:val="22"/>
          <w:rtl/>
        </w:rPr>
        <w:t>דננבורגר</w:t>
      </w:r>
      <w:proofErr w:type="spellEnd"/>
      <w:r>
        <w:rPr>
          <w:color w:val="404040"/>
          <w:sz w:val="22"/>
          <w:szCs w:val="22"/>
          <w:rtl/>
        </w:rPr>
        <w:t xml:space="preserve"> – ר׳ חיים מרשים את מארחו – ר׳ חיים קורא את מחשבות ר׳ ראובן – ר׳ ראובן משמש לימים דיין בדין תורה של </w:t>
      </w:r>
      <w:proofErr w:type="spellStart"/>
      <w:r>
        <w:rPr>
          <w:color w:val="404040"/>
          <w:sz w:val="22"/>
          <w:szCs w:val="22"/>
          <w:rtl/>
        </w:rPr>
        <w:t>וולוז׳ין</w:t>
      </w:r>
      <w:proofErr w:type="spellEnd"/>
      <w:r>
        <w:rPr>
          <w:color w:val="404040"/>
          <w:sz w:val="22"/>
          <w:szCs w:val="22"/>
          <w:rtl/>
        </w:rPr>
        <w:t xml:space="preserve"> – ר׳ חיים מכיר את דרך מחשבתו של ר׳ ראובן מפי תלמיד </w:t>
      </w:r>
      <w:proofErr w:type="spellStart"/>
      <w:r>
        <w:rPr>
          <w:color w:val="404040"/>
          <w:sz w:val="22"/>
          <w:szCs w:val="22"/>
          <w:rtl/>
        </w:rPr>
        <w:t>וולוז׳ין</w:t>
      </w:r>
      <w:proofErr w:type="spellEnd"/>
      <w:r>
        <w:rPr>
          <w:color w:val="404040"/>
          <w:sz w:val="22"/>
          <w:szCs w:val="22"/>
          <w:rtl/>
        </w:rPr>
        <w:t xml:space="preserve">, ר׳ </w:t>
      </w:r>
      <w:proofErr w:type="spellStart"/>
      <w:r>
        <w:rPr>
          <w:color w:val="404040"/>
          <w:sz w:val="22"/>
          <w:szCs w:val="22"/>
          <w:rtl/>
        </w:rPr>
        <w:t>אברהם־יצחק</w:t>
      </w:r>
      <w:proofErr w:type="spellEnd"/>
      <w:r>
        <w:rPr>
          <w:color w:val="404040"/>
          <w:sz w:val="22"/>
          <w:szCs w:val="22"/>
          <w:rtl/>
        </w:rPr>
        <w:t xml:space="preserve"> קוק – גרסה מוטעית על סיבת נסיעתו של ר׳ חיים </w:t>
      </w:r>
      <w:proofErr w:type="spellStart"/>
      <w:r>
        <w:rPr>
          <w:color w:val="404040"/>
          <w:sz w:val="22"/>
          <w:szCs w:val="22"/>
          <w:rtl/>
        </w:rPr>
        <w:t>לדננבורג</w:t>
      </w:r>
      <w:proofErr w:type="spellEnd"/>
      <w:r>
        <w:rPr>
          <w:color w:val="404040"/>
          <w:sz w:val="22"/>
          <w:szCs w:val="22"/>
          <w:rtl/>
        </w:rPr>
        <w:t xml:space="preserve"> – הוא נבחן אם ראוי לתפקידו </w:t>
      </w:r>
      <w:proofErr w:type="spellStart"/>
      <w:r>
        <w:rPr>
          <w:color w:val="404040"/>
          <w:sz w:val="22"/>
          <w:szCs w:val="22"/>
          <w:rtl/>
        </w:rPr>
        <w:t>בוולוז׳ין</w:t>
      </w:r>
      <w:proofErr w:type="spellEnd"/>
      <w:r>
        <w:rPr>
          <w:color w:val="404040"/>
          <w:sz w:val="22"/>
          <w:szCs w:val="22"/>
          <w:rtl/>
        </w:rPr>
        <w:t xml:space="preserve"> – הוא משיב בחריפות כשמזכירים לו את הערעור הזה – ר׳ חיים פוגש בנסיעה זו גם תלמיד של ר׳ מנשה מאיליה</w:t>
      </w:r>
    </w:p>
    <w:p w14:paraId="6AF152FC" w14:textId="77777777" w:rsidR="00AB3647" w:rsidRDefault="00000000" w:rsidP="007923E9">
      <w:pPr>
        <w:spacing w:after="120" w:line="276" w:lineRule="auto"/>
        <w:ind w:firstLine="283"/>
        <w:jc w:val="both"/>
      </w:pPr>
      <w:r>
        <w:rPr>
          <w:rtl/>
        </w:rPr>
        <w:t>אבי המשיך</w:t>
      </w:r>
      <w:bookmarkStart w:id="6681" w:name="_fnr5080"/>
      <w:r>
        <w:rPr>
          <w:rStyle w:val="a5"/>
        </w:rPr>
        <w:footnoteReference w:id="5093" w:customMarkFollows="0"/>
      </w:r>
      <w:bookmarkEnd w:id="6681"/>
      <w:r>
        <w:rPr>
          <w:rtl/>
        </w:rPr>
        <w:t xml:space="preserve">: “העולם אומר שר׳ חיים התמחה </w:t>
      </w:r>
      <w:proofErr w:type="spellStart"/>
      <w:r>
        <w:rPr>
          <w:rtl/>
        </w:rPr>
        <w:t>בצוטרעפען</w:t>
      </w:r>
      <w:proofErr w:type="spellEnd"/>
      <w:r>
        <w:rPr>
          <w:rtl/>
        </w:rPr>
        <w:t xml:space="preserve"> [ניחוש] מחשבותיו של אדם”, וסיפר: “כשפתחה ישיבת </w:t>
      </w:r>
      <w:proofErr w:type="spellStart"/>
      <w:r>
        <w:rPr>
          <w:rtl/>
        </w:rPr>
        <w:t>וולוז׳ין</w:t>
      </w:r>
      <w:proofErr w:type="spellEnd"/>
      <w:r>
        <w:rPr>
          <w:rtl/>
        </w:rPr>
        <w:t xml:space="preserve"> כולל בפעם הראשונה, רצתה ההנהלה לקבל הסכמה לכך”. רבנו הוסיף כאן הערת אגב: “שלא כבימינו, באותה עת לא יכול אדם לעשות ככל העולה על רוחו: כדי לפתוח כולל [נדרשה] הסכמתם של גדולי תורה ידועים”. “ראש הישיבה, </w:t>
      </w:r>
      <w:proofErr w:type="spellStart"/>
      <w:r>
        <w:rPr>
          <w:rtl/>
        </w:rPr>
        <w:t>הנצי״ב</w:t>
      </w:r>
      <w:proofErr w:type="spellEnd"/>
      <w:r>
        <w:rPr>
          <w:rtl/>
        </w:rPr>
        <w:t xml:space="preserve">, החליט לשלוח את ר׳ חיים </w:t>
      </w:r>
      <w:proofErr w:type="spellStart"/>
      <w:r>
        <w:rPr>
          <w:rtl/>
        </w:rPr>
        <w:t>לר</w:t>
      </w:r>
      <w:proofErr w:type="spellEnd"/>
      <w:r>
        <w:rPr>
          <w:rtl/>
        </w:rPr>
        <w:t xml:space="preserve">׳ ראובן [לוין] </w:t>
      </w:r>
      <w:proofErr w:type="spellStart"/>
      <w:r>
        <w:rPr>
          <w:rtl/>
        </w:rPr>
        <w:t>דננבורגר</w:t>
      </w:r>
      <w:proofErr w:type="spellEnd"/>
      <w:r>
        <w:rPr>
          <w:rtl/>
        </w:rPr>
        <w:t xml:space="preserve"> – </w:t>
      </w:r>
      <w:proofErr w:type="spellStart"/>
      <w:r>
        <w:rPr>
          <w:rtl/>
        </w:rPr>
        <w:t>דווינסק</w:t>
      </w:r>
      <w:proofErr w:type="spellEnd"/>
      <w:r>
        <w:rPr>
          <w:rtl/>
        </w:rPr>
        <w:t xml:space="preserve"> נקראה אז </w:t>
      </w:r>
      <w:proofErr w:type="spellStart"/>
      <w:r>
        <w:rPr>
          <w:rtl/>
        </w:rPr>
        <w:t>דננבורג</w:t>
      </w:r>
      <w:proofErr w:type="spellEnd"/>
      <w:r>
        <w:rPr>
          <w:rtl/>
        </w:rPr>
        <w:t xml:space="preserve"> – לשם קבלת מכתב הסכמה. ר׳ ראובן היה תלמידו של ר׳ </w:t>
      </w:r>
      <w:proofErr w:type="spellStart"/>
      <w:r>
        <w:rPr>
          <w:rtl/>
        </w:rPr>
        <w:t>לייבל׳ה</w:t>
      </w:r>
      <w:proofErr w:type="spellEnd"/>
      <w:r>
        <w:rPr>
          <w:rtl/>
        </w:rPr>
        <w:t xml:space="preserve"> שפירא, רבה הראשון של קובנה</w:t>
      </w:r>
      <w:bookmarkStart w:id="6682" w:name="_fnr5081"/>
      <w:r>
        <w:rPr>
          <w:rStyle w:val="a5"/>
        </w:rPr>
        <w:footnoteReference w:id="5094" w:customMarkFollows="0"/>
      </w:r>
      <w:bookmarkEnd w:id="6682"/>
      <w:r>
        <w:rPr>
          <w:rtl/>
        </w:rPr>
        <w:t>, ונחשב אז גדול הדור”, הוסיף אבי</w:t>
      </w:r>
      <w:bookmarkStart w:id="6683" w:name="_fnr5082"/>
      <w:r>
        <w:rPr>
          <w:rStyle w:val="a5"/>
        </w:rPr>
        <w:footnoteReference w:id="5095" w:customMarkFollows="0"/>
      </w:r>
      <w:bookmarkEnd w:id="6683"/>
      <w:r>
        <w:rPr>
          <w:rtl/>
        </w:rPr>
        <w:t>.</w:t>
      </w:r>
    </w:p>
    <w:p w14:paraId="47097519" w14:textId="77777777" w:rsidR="00AB3647" w:rsidRDefault="00000000" w:rsidP="007923E9">
      <w:pPr>
        <w:spacing w:after="120" w:line="276" w:lineRule="auto"/>
        <w:ind w:firstLine="283"/>
        <w:jc w:val="both"/>
      </w:pPr>
      <w:r>
        <w:rPr>
          <w:rtl/>
        </w:rPr>
        <w:t xml:space="preserve">השווה גם זיכרונות </w:t>
      </w:r>
      <w:proofErr w:type="spellStart"/>
      <w:r>
        <w:rPr>
          <w:rtl/>
        </w:rPr>
        <w:t>ראדוס</w:t>
      </w:r>
      <w:bookmarkStart w:id="6684" w:name="_fnr5083"/>
      <w:proofErr w:type="spellEnd"/>
      <w:r>
        <w:rPr>
          <w:rStyle w:val="a5"/>
        </w:rPr>
        <w:footnoteReference w:id="5096" w:customMarkFollows="0"/>
      </w:r>
      <w:bookmarkEnd w:id="6684"/>
      <w:r>
        <w:rPr>
          <w:rtl/>
        </w:rPr>
        <w:t xml:space="preserve">, המספר שכאשר ניסה רבה החסידי של </w:t>
      </w:r>
      <w:proofErr w:type="spellStart"/>
      <w:r>
        <w:rPr>
          <w:rtl/>
        </w:rPr>
        <w:t>דננבורג</w:t>
      </w:r>
      <w:proofErr w:type="spellEnd"/>
      <w:r>
        <w:rPr>
          <w:rtl/>
        </w:rPr>
        <w:t xml:space="preserve"> במשך חודשים לגייס רבנים ואדמו״רים נגד פסק של ר׳ ראובן, שלח ר׳ </w:t>
      </w:r>
      <w:proofErr w:type="spellStart"/>
      <w:r>
        <w:rPr>
          <w:rtl/>
        </w:rPr>
        <w:t>יצחק־אלחנן</w:t>
      </w:r>
      <w:proofErr w:type="spellEnd"/>
      <w:r>
        <w:rPr>
          <w:rtl/>
        </w:rPr>
        <w:t xml:space="preserve"> </w:t>
      </w:r>
      <w:proofErr w:type="spellStart"/>
      <w:r>
        <w:rPr>
          <w:rtl/>
        </w:rPr>
        <w:t>ספקטור</w:t>
      </w:r>
      <w:proofErr w:type="spellEnd"/>
      <w:r>
        <w:rPr>
          <w:rtl/>
        </w:rPr>
        <w:t xml:space="preserve"> לאדמו״ר איגרת ובה: “כבר הורה זקן הגאונים</w:t>
      </w:r>
      <w:bookmarkStart w:id="6685" w:name="_fnr5084"/>
      <w:r>
        <w:rPr>
          <w:rStyle w:val="a5"/>
        </w:rPr>
        <w:footnoteReference w:id="5097" w:customMarkFollows="0"/>
      </w:r>
      <w:bookmarkEnd w:id="6685"/>
      <w:r>
        <w:rPr>
          <w:rtl/>
        </w:rPr>
        <w:t>, ואי אפשר לחלוק על פסק שכבר פסק”.</w:t>
      </w:r>
    </w:p>
    <w:p w14:paraId="50DE1B1F" w14:textId="77777777" w:rsidR="00AB3647" w:rsidRDefault="00000000" w:rsidP="007923E9">
      <w:pPr>
        <w:spacing w:after="120" w:line="276" w:lineRule="auto"/>
        <w:ind w:firstLine="283"/>
        <w:jc w:val="both"/>
      </w:pPr>
      <w:r>
        <w:rPr>
          <w:rtl/>
        </w:rPr>
        <w:lastRenderedPageBreak/>
        <w:t xml:space="preserve">בהנחה שהכולל שהזכיר אבי הוא הכולל שמימן איל הסוכר מקייב ר׳ ישראל </w:t>
      </w:r>
      <w:proofErr w:type="spellStart"/>
      <w:r>
        <w:rPr>
          <w:rtl/>
        </w:rPr>
        <w:t>ברודסקי</w:t>
      </w:r>
      <w:proofErr w:type="spellEnd"/>
      <w:r>
        <w:rPr>
          <w:rtl/>
        </w:rPr>
        <w:t xml:space="preserve">, שנוסד בישיבת </w:t>
      </w:r>
      <w:proofErr w:type="spellStart"/>
      <w:r>
        <w:rPr>
          <w:rtl/>
        </w:rPr>
        <w:t>וולוז׳ין</w:t>
      </w:r>
      <w:proofErr w:type="spellEnd"/>
      <w:r>
        <w:rPr>
          <w:rtl/>
        </w:rPr>
        <w:t xml:space="preserve"> בתחילת תרמ״ו, אפשר לקבוע את נסיעת ר׳ חיים </w:t>
      </w:r>
      <w:proofErr w:type="spellStart"/>
      <w:r>
        <w:rPr>
          <w:rtl/>
        </w:rPr>
        <w:t>לדננבורג</w:t>
      </w:r>
      <w:proofErr w:type="spellEnd"/>
      <w:r>
        <w:rPr>
          <w:rtl/>
        </w:rPr>
        <w:t xml:space="preserve"> </w:t>
      </w:r>
      <w:proofErr w:type="spellStart"/>
      <w:r>
        <w:rPr>
          <w:rtl/>
        </w:rPr>
        <w:t>בתרמ״ה</w:t>
      </w:r>
      <w:proofErr w:type="spellEnd"/>
      <w:r>
        <w:rPr>
          <w:rtl/>
        </w:rPr>
        <w:t xml:space="preserve"> – שנתיים לפני פטירת ר׳ ראובן, וחמש שנים אחרי שהחל ר׳ חיים למסור שיעורים </w:t>
      </w:r>
      <w:proofErr w:type="spellStart"/>
      <w:r>
        <w:rPr>
          <w:rtl/>
        </w:rPr>
        <w:t>בוולוז׳ין</w:t>
      </w:r>
      <w:proofErr w:type="spellEnd"/>
      <w:r>
        <w:rPr>
          <w:rtl/>
        </w:rPr>
        <w:t>.</w:t>
      </w:r>
    </w:p>
    <w:p w14:paraId="73C34256" w14:textId="77777777" w:rsidR="00AB3647" w:rsidRDefault="00000000" w:rsidP="007923E9">
      <w:pPr>
        <w:spacing w:after="120" w:line="276" w:lineRule="auto"/>
        <w:ind w:firstLine="283"/>
        <w:jc w:val="both"/>
      </w:pPr>
      <w:r>
        <w:rPr>
          <w:rtl/>
        </w:rPr>
        <w:t>לפי “</w:t>
      </w:r>
      <w:proofErr w:type="spellStart"/>
      <w:r>
        <w:rPr>
          <w:rtl/>
        </w:rPr>
        <w:t>זכרון</w:t>
      </w:r>
      <w:proofErr w:type="spellEnd"/>
      <w:r>
        <w:rPr>
          <w:rtl/>
        </w:rPr>
        <w:t xml:space="preserve"> יעקב”</w:t>
      </w:r>
      <w:bookmarkStart w:id="6686" w:name="_fnr5085"/>
      <w:r>
        <w:rPr>
          <w:rStyle w:val="a5"/>
        </w:rPr>
        <w:footnoteReference w:id="5098" w:customMarkFollows="0"/>
      </w:r>
      <w:bookmarkEnd w:id="6686"/>
      <w:r>
        <w:rPr>
          <w:rtl/>
        </w:rPr>
        <w:t xml:space="preserve"> </w:t>
      </w:r>
      <w:proofErr w:type="spellStart"/>
      <w:r>
        <w:rPr>
          <w:rtl/>
        </w:rPr>
        <w:t>וצינוביץ</w:t>
      </w:r>
      <w:proofErr w:type="spellEnd"/>
      <w:r>
        <w:rPr>
          <w:rtl/>
        </w:rPr>
        <w:t>, “עץ חיים”</w:t>
      </w:r>
      <w:bookmarkStart w:id="6687" w:name="_fnr5086"/>
      <w:r>
        <w:rPr>
          <w:rStyle w:val="a5"/>
        </w:rPr>
        <w:footnoteReference w:id="5099" w:customMarkFollows="0"/>
      </w:r>
      <w:bookmarkEnd w:id="6687"/>
      <w:r>
        <w:rPr>
          <w:rtl/>
        </w:rPr>
        <w:t xml:space="preserve">, השלטונות לא אסרו על עשרת אנשי כולל </w:t>
      </w:r>
      <w:proofErr w:type="spellStart"/>
      <w:r>
        <w:rPr>
          <w:rtl/>
        </w:rPr>
        <w:t>ברודסקי</w:t>
      </w:r>
      <w:proofErr w:type="spellEnd"/>
      <w:r>
        <w:rPr>
          <w:rtl/>
        </w:rPr>
        <w:t xml:space="preserve"> להישאר </w:t>
      </w:r>
      <w:proofErr w:type="spellStart"/>
      <w:r>
        <w:rPr>
          <w:rtl/>
        </w:rPr>
        <w:t>בוולוז׳ין</w:t>
      </w:r>
      <w:proofErr w:type="spellEnd"/>
      <w:r>
        <w:rPr>
          <w:rtl/>
        </w:rPr>
        <w:t xml:space="preserve"> אחרי שנסגרה הישיבה כעבור שבע שנים, </w:t>
      </w:r>
      <w:proofErr w:type="spellStart"/>
      <w:r>
        <w:rPr>
          <w:rtl/>
        </w:rPr>
        <w:t>בתרנ״ב</w:t>
      </w:r>
      <w:proofErr w:type="spellEnd"/>
      <w:r>
        <w:rPr>
          <w:rtl/>
        </w:rPr>
        <w:t xml:space="preserve">. כעבור שנתיים וחצי הצטרפה לאברכים המצוינים האלה קבוצה נוספת של שלושים ממינסק, ואחר כך תלמידים נוספים שיכלו לפרנס את עצמם. הקורא ימצא עניין בפנייה למען הישיבה המתחדשת שהפנו אל יהודי אמריקה ר׳ </w:t>
      </w:r>
      <w:proofErr w:type="spellStart"/>
      <w:r>
        <w:rPr>
          <w:rtl/>
        </w:rPr>
        <w:t>ירוחם־יהודה־לייב</w:t>
      </w:r>
      <w:proofErr w:type="spellEnd"/>
      <w:r>
        <w:rPr>
          <w:rtl/>
        </w:rPr>
        <w:t xml:space="preserve"> פרלמן, </w:t>
      </w:r>
      <w:proofErr w:type="spellStart"/>
      <w:r>
        <w:rPr>
          <w:rtl/>
        </w:rPr>
        <w:t>ה“גדול</w:t>
      </w:r>
      <w:proofErr w:type="spellEnd"/>
      <w:r>
        <w:rPr>
          <w:rtl/>
        </w:rPr>
        <w:t>” ממינסק</w:t>
      </w:r>
      <w:bookmarkStart w:id="6688" w:name="_fnr5087"/>
      <w:r>
        <w:rPr>
          <w:rStyle w:val="a5"/>
        </w:rPr>
        <w:footnoteReference w:id="5100" w:customMarkFollows="0"/>
      </w:r>
      <w:bookmarkEnd w:id="6688"/>
      <w:r>
        <w:rPr>
          <w:rtl/>
        </w:rPr>
        <w:t xml:space="preserve">, ור׳ </w:t>
      </w:r>
      <w:proofErr w:type="spellStart"/>
      <w:r>
        <w:rPr>
          <w:rtl/>
        </w:rPr>
        <w:t>אלי׳־חיים</w:t>
      </w:r>
      <w:proofErr w:type="spellEnd"/>
      <w:r>
        <w:rPr>
          <w:rtl/>
        </w:rPr>
        <w:t xml:space="preserve"> </w:t>
      </w:r>
      <w:proofErr w:type="spellStart"/>
      <w:r>
        <w:rPr>
          <w:rtl/>
        </w:rPr>
        <w:t>מייזל</w:t>
      </w:r>
      <w:proofErr w:type="spellEnd"/>
      <w:r>
        <w:rPr>
          <w:rtl/>
        </w:rPr>
        <w:t xml:space="preserve"> </w:t>
      </w:r>
      <w:proofErr w:type="spellStart"/>
      <w:r>
        <w:rPr>
          <w:rtl/>
        </w:rPr>
        <w:t>מלודז</w:t>
      </w:r>
      <w:proofErr w:type="spellEnd"/>
      <w:r>
        <w:rPr>
          <w:rtl/>
        </w:rPr>
        <w:t xml:space="preserve">׳, כפי שהיא מצוטטת בספרו של </w:t>
      </w:r>
      <w:proofErr w:type="spellStart"/>
      <w:r>
        <w:rPr>
          <w:rtl/>
        </w:rPr>
        <w:t>צינוביץ</w:t>
      </w:r>
      <w:bookmarkStart w:id="6689" w:name="_fnr5088"/>
      <w:proofErr w:type="spellEnd"/>
      <w:r>
        <w:rPr>
          <w:rStyle w:val="a5"/>
        </w:rPr>
        <w:footnoteReference w:id="5101" w:customMarkFollows="0"/>
      </w:r>
      <w:bookmarkEnd w:id="6689"/>
      <w:r>
        <w:rPr>
          <w:rtl/>
        </w:rPr>
        <w:t xml:space="preserve">. </w:t>
      </w:r>
      <w:proofErr w:type="spellStart"/>
      <w:r>
        <w:rPr>
          <w:rtl/>
        </w:rPr>
        <w:t>ב“מגד</w:t>
      </w:r>
      <w:proofErr w:type="spellEnd"/>
      <w:r>
        <w:rPr>
          <w:rtl/>
        </w:rPr>
        <w:t xml:space="preserve"> גבעות עולם”</w:t>
      </w:r>
      <w:bookmarkStart w:id="6690" w:name="_fnr5089"/>
      <w:r>
        <w:rPr>
          <w:rStyle w:val="a5"/>
        </w:rPr>
        <w:footnoteReference w:id="5102" w:customMarkFollows="0"/>
      </w:r>
      <w:bookmarkEnd w:id="6690"/>
      <w:r>
        <w:rPr>
          <w:rtl/>
        </w:rPr>
        <w:t xml:space="preserve"> מובא בשם סבו של מחברו, ר׳ יעקב </w:t>
      </w:r>
      <w:proofErr w:type="spellStart"/>
      <w:r>
        <w:rPr>
          <w:rtl/>
        </w:rPr>
        <w:t>קנטרוביץ</w:t>
      </w:r>
      <w:proofErr w:type="spellEnd"/>
      <w:r>
        <w:rPr>
          <w:rtl/>
        </w:rPr>
        <w:t xml:space="preserve">, אחד מאנשי כולל </w:t>
      </w:r>
      <w:proofErr w:type="spellStart"/>
      <w:r>
        <w:rPr>
          <w:rtl/>
        </w:rPr>
        <w:t>ברודסקי</w:t>
      </w:r>
      <w:proofErr w:type="spellEnd"/>
      <w:r>
        <w:rPr>
          <w:rtl/>
        </w:rPr>
        <w:t>, שהרב פרלמן הוא שבחן את המועמדים לקבלה לכולל.</w:t>
      </w:r>
    </w:p>
    <w:p w14:paraId="24D4C16C" w14:textId="77777777" w:rsidR="00AB3647" w:rsidRDefault="00000000" w:rsidP="007923E9">
      <w:pPr>
        <w:spacing w:after="120" w:line="276" w:lineRule="auto"/>
        <w:ind w:firstLine="283"/>
        <w:jc w:val="both"/>
      </w:pPr>
      <w:r>
        <w:rPr>
          <w:rtl/>
        </w:rPr>
        <w:t xml:space="preserve">מאוחר יותר באה קבוצה נוספת </w:t>
      </w:r>
      <w:proofErr w:type="spellStart"/>
      <w:r>
        <w:rPr>
          <w:rtl/>
        </w:rPr>
        <w:t>מטלז</w:t>
      </w:r>
      <w:proofErr w:type="spellEnd"/>
      <w:r>
        <w:rPr>
          <w:rtl/>
        </w:rPr>
        <w:t xml:space="preserve"> וממקומות אחרים, וכשהגיע מספר התלמידים </w:t>
      </w:r>
      <w:proofErr w:type="spellStart"/>
      <w:r>
        <w:rPr>
          <w:rtl/>
        </w:rPr>
        <w:t>ל“קרוב</w:t>
      </w:r>
      <w:proofErr w:type="spellEnd"/>
      <w:r>
        <w:rPr>
          <w:rtl/>
        </w:rPr>
        <w:t xml:space="preserve"> למאתיים”</w:t>
      </w:r>
      <w:bookmarkStart w:id="6691" w:name="_fnr5090"/>
      <w:r>
        <w:rPr>
          <w:rStyle w:val="a5"/>
        </w:rPr>
        <w:footnoteReference w:id="5103" w:customMarkFollows="0"/>
      </w:r>
      <w:bookmarkEnd w:id="6691"/>
      <w:r>
        <w:rPr>
          <w:rtl/>
        </w:rPr>
        <w:t xml:space="preserve">, נדרש ראש ישיבה. עוד </w:t>
      </w:r>
      <w:proofErr w:type="spellStart"/>
      <w:r>
        <w:rPr>
          <w:rtl/>
        </w:rPr>
        <w:t>בתר״ם</w:t>
      </w:r>
      <w:proofErr w:type="spellEnd"/>
      <w:r>
        <w:rPr>
          <w:rtl/>
        </w:rPr>
        <w:t xml:space="preserve">, בימים שחותנו של ר׳ רפאל שפירא, </w:t>
      </w:r>
      <w:proofErr w:type="spellStart"/>
      <w:r>
        <w:rPr>
          <w:rtl/>
        </w:rPr>
        <w:t>הנצי״ב</w:t>
      </w:r>
      <w:proofErr w:type="spellEnd"/>
      <w:r>
        <w:rPr>
          <w:rtl/>
        </w:rPr>
        <w:t xml:space="preserve">, היה ראש הישיבה ור׳ רפאל עוזרו, העביר ר׳ רפאל את מקומו בישיבת </w:t>
      </w:r>
      <w:proofErr w:type="spellStart"/>
      <w:r>
        <w:rPr>
          <w:rtl/>
        </w:rPr>
        <w:t>וולוז׳ין</w:t>
      </w:r>
      <w:proofErr w:type="spellEnd"/>
      <w:r>
        <w:rPr>
          <w:rtl/>
        </w:rPr>
        <w:t xml:space="preserve"> לחתנו, ר׳ חיים </w:t>
      </w:r>
      <w:proofErr w:type="spellStart"/>
      <w:r>
        <w:rPr>
          <w:rtl/>
        </w:rPr>
        <w:t>סולובייצ׳יק</w:t>
      </w:r>
      <w:bookmarkStart w:id="6692" w:name="_fnr5091"/>
      <w:proofErr w:type="spellEnd"/>
      <w:r>
        <w:rPr>
          <w:rStyle w:val="a5"/>
        </w:rPr>
        <w:footnoteReference w:id="5104" w:customMarkFollows="0"/>
      </w:r>
      <w:bookmarkEnd w:id="6692"/>
      <w:r>
        <w:rPr>
          <w:rtl/>
        </w:rPr>
        <w:t xml:space="preserve">. </w:t>
      </w:r>
      <w:proofErr w:type="spellStart"/>
      <w:r>
        <w:rPr>
          <w:rtl/>
        </w:rPr>
        <w:t>בתרנ״ט</w:t>
      </w:r>
      <w:proofErr w:type="spellEnd"/>
      <w:r>
        <w:rPr>
          <w:rtl/>
        </w:rPr>
        <w:t xml:space="preserve"> התפטר ר׳ רפאל מרבנות </w:t>
      </w:r>
      <w:proofErr w:type="spellStart"/>
      <w:r>
        <w:rPr>
          <w:rtl/>
        </w:rPr>
        <w:t>בוברויסק</w:t>
      </w:r>
      <w:proofErr w:type="spellEnd"/>
      <w:r>
        <w:rPr>
          <w:rtl/>
        </w:rPr>
        <w:t xml:space="preserve">, שאליה בא </w:t>
      </w:r>
      <w:proofErr w:type="spellStart"/>
      <w:r>
        <w:rPr>
          <w:rtl/>
        </w:rPr>
        <w:t>בתרמ״ו</w:t>
      </w:r>
      <w:proofErr w:type="spellEnd"/>
      <w:r>
        <w:rPr>
          <w:rtl/>
        </w:rPr>
        <w:t xml:space="preserve"> </w:t>
      </w:r>
      <w:proofErr w:type="spellStart"/>
      <w:r>
        <w:rPr>
          <w:rtl/>
        </w:rPr>
        <w:t>מכסא</w:t>
      </w:r>
      <w:proofErr w:type="spellEnd"/>
      <w:r>
        <w:rPr>
          <w:rtl/>
        </w:rPr>
        <w:t xml:space="preserve"> </w:t>
      </w:r>
      <w:proofErr w:type="spellStart"/>
      <w:r>
        <w:rPr>
          <w:rtl/>
        </w:rPr>
        <w:t>רבנותו</w:t>
      </w:r>
      <w:proofErr w:type="spellEnd"/>
      <w:r>
        <w:rPr>
          <w:rtl/>
        </w:rPr>
        <w:t xml:space="preserve"> הקודם </w:t>
      </w:r>
      <w:proofErr w:type="spellStart"/>
      <w:r>
        <w:rPr>
          <w:rtl/>
        </w:rPr>
        <w:t>בנובו־אלכסנדרובסק</w:t>
      </w:r>
      <w:bookmarkStart w:id="6693" w:name="_fnr5092"/>
      <w:proofErr w:type="spellEnd"/>
      <w:r>
        <w:rPr>
          <w:rStyle w:val="a5"/>
        </w:rPr>
        <w:footnoteReference w:id="5105" w:customMarkFollows="0"/>
      </w:r>
      <w:bookmarkEnd w:id="6693"/>
      <w:r>
        <w:rPr>
          <w:rtl/>
        </w:rPr>
        <w:t xml:space="preserve">, וקיבל את רבנות העיירה הקטנה הרבה יותר, </w:t>
      </w:r>
      <w:proofErr w:type="spellStart"/>
      <w:r>
        <w:rPr>
          <w:rtl/>
        </w:rPr>
        <w:t>וולוז׳ין</w:t>
      </w:r>
      <w:proofErr w:type="spellEnd"/>
      <w:r>
        <w:rPr>
          <w:rtl/>
        </w:rPr>
        <w:t>, כדי להחזיר עטרה ליושנה בישיבתה המתחדשת</w:t>
      </w:r>
      <w:bookmarkStart w:id="6694" w:name="_fnr5093"/>
      <w:r>
        <w:rPr>
          <w:rStyle w:val="a5"/>
        </w:rPr>
        <w:footnoteReference w:id="5106" w:customMarkFollows="0"/>
      </w:r>
      <w:bookmarkEnd w:id="6694"/>
      <w:r>
        <w:rPr>
          <w:rtl/>
        </w:rPr>
        <w:t xml:space="preserve">. לסיכום, באמצעות כולל </w:t>
      </w:r>
      <w:proofErr w:type="spellStart"/>
      <w:r>
        <w:rPr>
          <w:rtl/>
        </w:rPr>
        <w:t>ברודסקי</w:t>
      </w:r>
      <w:proofErr w:type="spellEnd"/>
      <w:r>
        <w:rPr>
          <w:rtl/>
        </w:rPr>
        <w:t xml:space="preserve"> שוקמה לבסוף הישיבה </w:t>
      </w:r>
      <w:proofErr w:type="spellStart"/>
      <w:r>
        <w:rPr>
          <w:rtl/>
        </w:rPr>
        <w:t>בוולוז׳ין</w:t>
      </w:r>
      <w:proofErr w:type="spellEnd"/>
      <w:r>
        <w:rPr>
          <w:rtl/>
        </w:rPr>
        <w:t>.</w:t>
      </w:r>
    </w:p>
    <w:p w14:paraId="110D2088" w14:textId="77777777" w:rsidR="00AB3647" w:rsidRDefault="00000000" w:rsidP="007923E9">
      <w:pPr>
        <w:spacing w:after="120" w:line="276" w:lineRule="auto"/>
        <w:ind w:firstLine="283"/>
        <w:jc w:val="both"/>
      </w:pPr>
      <w:r>
        <w:rPr>
          <w:rtl/>
        </w:rPr>
        <w:t>ר׳ מאיר ליברמן</w:t>
      </w:r>
      <w:bookmarkStart w:id="6695" w:name="_fnr5094"/>
      <w:r>
        <w:rPr>
          <w:rStyle w:val="a5"/>
        </w:rPr>
        <w:footnoteReference w:id="5107" w:customMarkFollows="0"/>
      </w:r>
      <w:bookmarkEnd w:id="6695"/>
      <w:r>
        <w:rPr>
          <w:rtl/>
        </w:rPr>
        <w:t xml:space="preserve"> סיפר שר׳ יצחק־זאב </w:t>
      </w:r>
      <w:proofErr w:type="spellStart"/>
      <w:r>
        <w:rPr>
          <w:rtl/>
        </w:rPr>
        <w:t>סולובייצ׳יק</w:t>
      </w:r>
      <w:proofErr w:type="spellEnd"/>
      <w:r>
        <w:rPr>
          <w:rtl/>
        </w:rPr>
        <w:t xml:space="preserve"> אמר לו </w:t>
      </w:r>
      <w:proofErr w:type="spellStart"/>
      <w:r>
        <w:rPr>
          <w:rtl/>
        </w:rPr>
        <w:t>שהנצי״ב</w:t>
      </w:r>
      <w:proofErr w:type="spellEnd"/>
      <w:r>
        <w:rPr>
          <w:rtl/>
        </w:rPr>
        <w:t xml:space="preserve"> שלח את ר׳ חיים </w:t>
      </w:r>
      <w:proofErr w:type="spellStart"/>
      <w:r>
        <w:rPr>
          <w:rtl/>
        </w:rPr>
        <w:t>לר</w:t>
      </w:r>
      <w:proofErr w:type="spellEnd"/>
      <w:r>
        <w:rPr>
          <w:rtl/>
        </w:rPr>
        <w:t xml:space="preserve">׳ ראובן מפני שר׳ ראובן לא העריך כל כך את ישיבת </w:t>
      </w:r>
      <w:proofErr w:type="spellStart"/>
      <w:r>
        <w:rPr>
          <w:rtl/>
        </w:rPr>
        <w:t>וולוז׳ין</w:t>
      </w:r>
      <w:proofErr w:type="spellEnd"/>
      <w:r>
        <w:rPr>
          <w:rtl/>
        </w:rPr>
        <w:t xml:space="preserve">, ושאחרי ששוחח עמו אורחו אמר ר׳ ראובן – בלשון חידתית, כנראה – “כשאומרים </w:t>
      </w:r>
      <w:proofErr w:type="spellStart"/>
      <w:r>
        <w:rPr>
          <w:rtl/>
        </w:rPr>
        <w:t>שבוולוז׳ין</w:t>
      </w:r>
      <w:proofErr w:type="spellEnd"/>
      <w:r>
        <w:rPr>
          <w:rtl/>
        </w:rPr>
        <w:t xml:space="preserve"> יש הכול, אפשר להאמין לכך”.</w:t>
      </w:r>
    </w:p>
    <w:p w14:paraId="3FA5C225" w14:textId="77777777" w:rsidR="00AB3647" w:rsidRDefault="00000000" w:rsidP="007923E9">
      <w:pPr>
        <w:spacing w:after="120" w:line="276" w:lineRule="auto"/>
        <w:ind w:firstLine="283"/>
        <w:jc w:val="both"/>
      </w:pPr>
      <w:r>
        <w:rPr>
          <w:rtl/>
        </w:rPr>
        <w:t xml:space="preserve">ייתכן שאין סתירה בין גרסת רבנו על מטרת הנסיעה לבין דברי ר׳ יצחק־זאב, מפני שהטעם הגלוי לביקור </w:t>
      </w:r>
      <w:proofErr w:type="spellStart"/>
      <w:r>
        <w:rPr>
          <w:rtl/>
        </w:rPr>
        <w:t>בדננבורג</w:t>
      </w:r>
      <w:proofErr w:type="spellEnd"/>
      <w:r>
        <w:rPr>
          <w:rtl/>
        </w:rPr>
        <w:t xml:space="preserve"> היה שאלת כולל </w:t>
      </w:r>
      <w:proofErr w:type="spellStart"/>
      <w:r>
        <w:rPr>
          <w:rtl/>
        </w:rPr>
        <w:t>ברודסקי</w:t>
      </w:r>
      <w:proofErr w:type="spellEnd"/>
      <w:r>
        <w:rPr>
          <w:rtl/>
        </w:rPr>
        <w:t xml:space="preserve">, ואילו מאחוריו עמדה הכוונה להביא את ר׳ ראובן לשנות את דעתו על הישיבה. אלמלא רצתה הישיבה להציג את פניה היפות של </w:t>
      </w:r>
      <w:proofErr w:type="spellStart"/>
      <w:r>
        <w:rPr>
          <w:rtl/>
        </w:rPr>
        <w:t>וולוז׳ין</w:t>
      </w:r>
      <w:proofErr w:type="spellEnd"/>
      <w:r>
        <w:rPr>
          <w:rtl/>
        </w:rPr>
        <w:t xml:space="preserve"> לפני ר׳ ראובן </w:t>
      </w:r>
      <w:proofErr w:type="spellStart"/>
      <w:r>
        <w:rPr>
          <w:rtl/>
        </w:rPr>
        <w:t>דננבורגר</w:t>
      </w:r>
      <w:proofErr w:type="spellEnd"/>
      <w:r>
        <w:rPr>
          <w:rtl/>
        </w:rPr>
        <w:t xml:space="preserve">, אפשר היה להכריע בשאלת הכולל בפנייה לאחד מגדולי התורה האחרים – או להניח </w:t>
      </w:r>
      <w:proofErr w:type="spellStart"/>
      <w:r>
        <w:rPr>
          <w:rtl/>
        </w:rPr>
        <w:t>לנצי״ב</w:t>
      </w:r>
      <w:proofErr w:type="spellEnd"/>
      <w:r>
        <w:rPr>
          <w:rtl/>
        </w:rPr>
        <w:t xml:space="preserve"> עצמו, שהיה בוודאי סמכות עולמית, להכריע לבדו. אולם נראה ששינוי דעתו של ר׳ ראובן על </w:t>
      </w:r>
      <w:proofErr w:type="spellStart"/>
      <w:r>
        <w:rPr>
          <w:rtl/>
        </w:rPr>
        <w:t>וולוז׳ין</w:t>
      </w:r>
      <w:proofErr w:type="spellEnd"/>
      <w:r>
        <w:rPr>
          <w:rtl/>
        </w:rPr>
        <w:t xml:space="preserve"> </w:t>
      </w:r>
      <w:r>
        <w:rPr>
          <w:b/>
          <w:bCs/>
          <w:rtl/>
        </w:rPr>
        <w:t>אחרי</w:t>
      </w:r>
      <w:r>
        <w:rPr>
          <w:rtl/>
        </w:rPr>
        <w:t xml:space="preserve"> שפגש את ר׳ חיים היה מסויג.</w:t>
      </w:r>
    </w:p>
    <w:p w14:paraId="5515DCE2" w14:textId="77777777" w:rsidR="00AB3647" w:rsidRDefault="00000000" w:rsidP="007923E9">
      <w:pPr>
        <w:spacing w:after="120" w:line="276" w:lineRule="auto"/>
        <w:ind w:firstLine="283"/>
        <w:jc w:val="both"/>
      </w:pPr>
      <w:r>
        <w:rPr>
          <w:rtl/>
        </w:rPr>
        <w:lastRenderedPageBreak/>
        <w:t xml:space="preserve">אבי המשיך: “כשהציג ר׳ חיים את עצמו כחתנו של בן רבו, ר׳ רפאל שפירא, אמר ר׳ ראובן: ‘אז אתה הוא ר׳ חיים שמדברים עליו כל כך הרבה? שאל קושיא!’ ר׳ חיים השיב: ‘[שאשאל] קושיא? אתה שאל את </w:t>
      </w:r>
      <w:proofErr w:type="spellStart"/>
      <w:r>
        <w:rPr>
          <w:rtl/>
        </w:rPr>
        <w:t>הקושיא</w:t>
      </w:r>
      <w:proofErr w:type="spellEnd"/>
      <w:r>
        <w:rPr>
          <w:rtl/>
        </w:rPr>
        <w:t>, ואני אומר גם את תירוצך וגם את תירוצי’, וכך עשה”. ר׳ שלמה לורנץ חזר על סיפור זה</w:t>
      </w:r>
      <w:bookmarkStart w:id="6696" w:name="_fnr5095"/>
      <w:r>
        <w:rPr>
          <w:rStyle w:val="a5"/>
        </w:rPr>
        <w:footnoteReference w:id="5108" w:customMarkFollows="0"/>
      </w:r>
      <w:bookmarkEnd w:id="6696"/>
      <w:r>
        <w:rPr>
          <w:rtl/>
        </w:rPr>
        <w:t xml:space="preserve"> כפי ששמעו מרבנו בביקורו בארץ ישראל </w:t>
      </w:r>
      <w:proofErr w:type="spellStart"/>
      <w:r>
        <w:rPr>
          <w:rtl/>
        </w:rPr>
        <w:t>בתשכ״ג</w:t>
      </w:r>
      <w:proofErr w:type="spellEnd"/>
      <w:r>
        <w:rPr>
          <w:rtl/>
        </w:rPr>
        <w:t xml:space="preserve">: אבי אמר שר׳ חיים הסביר </w:t>
      </w:r>
      <w:proofErr w:type="spellStart"/>
      <w:r>
        <w:rPr>
          <w:rtl/>
        </w:rPr>
        <w:t>לר</w:t>
      </w:r>
      <w:proofErr w:type="spellEnd"/>
      <w:r>
        <w:rPr>
          <w:rtl/>
        </w:rPr>
        <w:t xml:space="preserve">׳ ראובן מדוע קושיא משלו לא תספיק להוכיח שהוא ראוי לכך </w:t>
      </w:r>
      <w:proofErr w:type="spellStart"/>
      <w:r>
        <w:rPr>
          <w:rtl/>
        </w:rPr>
        <w:t>ש“מדברים</w:t>
      </w:r>
      <w:proofErr w:type="spellEnd"/>
      <w:r>
        <w:rPr>
          <w:rtl/>
        </w:rPr>
        <w:t xml:space="preserve"> עליו כל כך הרבה” – שהרי “</w:t>
      </w:r>
      <w:r>
        <w:rPr>
          <w:b/>
          <w:bCs/>
          <w:rtl/>
        </w:rPr>
        <w:t>כל</w:t>
      </w:r>
      <w:r>
        <w:rPr>
          <w:rtl/>
        </w:rPr>
        <w:t xml:space="preserve"> תלמיד ישיבה מגיע במהלך לימודו לפחות </w:t>
      </w:r>
      <w:proofErr w:type="spellStart"/>
      <w:r>
        <w:rPr>
          <w:rtl/>
        </w:rPr>
        <w:t>לקושיא</w:t>
      </w:r>
      <w:proofErr w:type="spellEnd"/>
      <w:r>
        <w:rPr>
          <w:rtl/>
        </w:rPr>
        <w:t xml:space="preserve"> מעולה אחת!”</w:t>
      </w:r>
    </w:p>
    <w:p w14:paraId="42C7A2F7" w14:textId="77777777" w:rsidR="00AB3647" w:rsidRDefault="00000000" w:rsidP="007923E9">
      <w:pPr>
        <w:spacing w:after="120" w:line="276" w:lineRule="auto"/>
        <w:ind w:firstLine="283"/>
        <w:jc w:val="both"/>
      </w:pPr>
      <w:r>
        <w:rPr>
          <w:rtl/>
        </w:rPr>
        <w:t xml:space="preserve">לפי ר׳ </w:t>
      </w:r>
      <w:proofErr w:type="spellStart"/>
      <w:r>
        <w:rPr>
          <w:rtl/>
        </w:rPr>
        <w:t>משולם־דוד</w:t>
      </w:r>
      <w:proofErr w:type="spellEnd"/>
      <w:r>
        <w:rPr>
          <w:rtl/>
        </w:rPr>
        <w:t xml:space="preserve"> </w:t>
      </w:r>
      <w:proofErr w:type="spellStart"/>
      <w:r>
        <w:rPr>
          <w:rtl/>
        </w:rPr>
        <w:t>סולובייצ׳יק</w:t>
      </w:r>
      <w:bookmarkStart w:id="6697" w:name="_fnr5096"/>
      <w:proofErr w:type="spellEnd"/>
      <w:r>
        <w:rPr>
          <w:rStyle w:val="a5"/>
        </w:rPr>
        <w:footnoteReference w:id="5109" w:customMarkFollows="0"/>
      </w:r>
      <w:bookmarkEnd w:id="6697"/>
      <w:r>
        <w:rPr>
          <w:rtl/>
        </w:rPr>
        <w:t xml:space="preserve">, אחרי שאמר ר׳ ראובן: “ישבתי אמש וכתבתי תשובה על שאלה הלכתית מסוימת”, הציע לו ר׳ חיים לומר מה הוא עומד לומר, וקלע בדיוק למה שכתב מארחו – התשובה הראשונה, הקושי שבה, והמסקנה. אין הדבר סותר במישרין את גרסת אבי, שכן ייתכן שאירע </w:t>
      </w:r>
      <w:r>
        <w:rPr>
          <w:b/>
          <w:bCs/>
          <w:rtl/>
        </w:rPr>
        <w:t>אחרי</w:t>
      </w:r>
      <w:r>
        <w:rPr>
          <w:rtl/>
        </w:rPr>
        <w:t xml:space="preserve"> שסירב ר׳ חיים לבקשת הפתיחה שיקשה קושיא משלו, והחזיר את הכדור למגרשו של ר׳ ראובן.</w:t>
      </w:r>
    </w:p>
    <w:p w14:paraId="7FC3C7E6" w14:textId="77777777" w:rsidR="00AB3647" w:rsidRDefault="00000000" w:rsidP="007923E9">
      <w:pPr>
        <w:spacing w:after="120" w:line="276" w:lineRule="auto"/>
        <w:ind w:firstLine="283"/>
        <w:jc w:val="both"/>
      </w:pPr>
      <w:r>
        <w:rPr>
          <w:rtl/>
        </w:rPr>
        <w:t xml:space="preserve">ר׳ שלמה לורנץ מסר גם בשם אבי שר׳ חיים יכול היה להסיק את תשובת מארחו מהאזנה לאופן שבו הציג את </w:t>
      </w:r>
      <w:proofErr w:type="spellStart"/>
      <w:r>
        <w:rPr>
          <w:rtl/>
        </w:rPr>
        <w:t>הקושיא</w:t>
      </w:r>
      <w:proofErr w:type="spellEnd"/>
      <w:r>
        <w:rPr>
          <w:rtl/>
        </w:rPr>
        <w:t>. לפי תפיסה זו פענח ר׳ חיים את דרך מחשבתו של ר׳ ראובן באותו אופן שבו פענח, לפי המסופר, את זו של ר׳ פישל בר – מן השיחה בלבד, זו שהתנהלה כשנפגשו וקדמה לשיחתם בדברי תורה.</w:t>
      </w:r>
    </w:p>
    <w:p w14:paraId="14D8D185" w14:textId="77777777" w:rsidR="00AB3647" w:rsidRDefault="00000000" w:rsidP="007923E9">
      <w:pPr>
        <w:spacing w:after="120" w:line="276" w:lineRule="auto"/>
        <w:ind w:firstLine="283"/>
        <w:jc w:val="both"/>
      </w:pPr>
      <w:r>
        <w:rPr>
          <w:rtl/>
        </w:rPr>
        <w:t xml:space="preserve">סיפור פגישתו של ר׳ חיים עם ר׳ ראובן מובא גם אצל </w:t>
      </w:r>
      <w:proofErr w:type="spellStart"/>
      <w:r>
        <w:rPr>
          <w:rtl/>
        </w:rPr>
        <w:t>רבינר</w:t>
      </w:r>
      <w:proofErr w:type="spellEnd"/>
      <w:r>
        <w:rPr>
          <w:rtl/>
        </w:rPr>
        <w:t>, “רבינו מאיר שמחה הכהן”</w:t>
      </w:r>
      <w:bookmarkStart w:id="6698" w:name="_fnr5097"/>
      <w:r>
        <w:rPr>
          <w:rStyle w:val="a5"/>
        </w:rPr>
        <w:footnoteReference w:id="5110" w:customMarkFollows="0"/>
      </w:r>
      <w:bookmarkEnd w:id="6698"/>
      <w:r>
        <w:rPr>
          <w:rtl/>
        </w:rPr>
        <w:t xml:space="preserve">, בשני שינויים עיקריים: 1) ר׳ חיים בא </w:t>
      </w:r>
      <w:proofErr w:type="spellStart"/>
      <w:r>
        <w:rPr>
          <w:rtl/>
        </w:rPr>
        <w:t>לדננבורג</w:t>
      </w:r>
      <w:proofErr w:type="spellEnd"/>
      <w:r>
        <w:rPr>
          <w:rtl/>
        </w:rPr>
        <w:t xml:space="preserve"> לאסוף כספים יחד עם חותנו; 2) ר׳ חיים אמר </w:t>
      </w:r>
      <w:proofErr w:type="spellStart"/>
      <w:r>
        <w:rPr>
          <w:rtl/>
        </w:rPr>
        <w:t>לר</w:t>
      </w:r>
      <w:proofErr w:type="spellEnd"/>
      <w:r>
        <w:rPr>
          <w:rtl/>
        </w:rPr>
        <w:t xml:space="preserve">׳ ראובן שאת דרך סברתו הכיר מפי תלמיד </w:t>
      </w:r>
      <w:proofErr w:type="spellStart"/>
      <w:r>
        <w:rPr>
          <w:rtl/>
        </w:rPr>
        <w:t>וולוז׳ין</w:t>
      </w:r>
      <w:proofErr w:type="spellEnd"/>
      <w:r>
        <w:rPr>
          <w:rtl/>
        </w:rPr>
        <w:t xml:space="preserve"> יליד </w:t>
      </w:r>
      <w:proofErr w:type="spellStart"/>
      <w:r>
        <w:rPr>
          <w:rtl/>
        </w:rPr>
        <w:t>דננבורג</w:t>
      </w:r>
      <w:proofErr w:type="spellEnd"/>
      <w:r>
        <w:rPr>
          <w:rtl/>
        </w:rPr>
        <w:t xml:space="preserve">, שחזר לפניו על כמה מחידושי תורתו של רבו. יש שם גם שני שינויים קלים לעומת גרסת אבי: ר׳ חיים לא אמר </w:t>
      </w:r>
      <w:proofErr w:type="spellStart"/>
      <w:r>
        <w:rPr>
          <w:rtl/>
        </w:rPr>
        <w:t>לר</w:t>
      </w:r>
      <w:proofErr w:type="spellEnd"/>
      <w:r>
        <w:rPr>
          <w:rtl/>
        </w:rPr>
        <w:t xml:space="preserve">׳ ראובן </w:t>
      </w:r>
      <w:r>
        <w:rPr>
          <w:b/>
          <w:bCs/>
          <w:rtl/>
        </w:rPr>
        <w:t>מראש</w:t>
      </w:r>
      <w:r>
        <w:rPr>
          <w:rtl/>
        </w:rPr>
        <w:t xml:space="preserve"> שיכוון לתשובתו, ואף לא הודיעו שפתרונו שלו יהיה שונה מזה של מארחו.</w:t>
      </w:r>
    </w:p>
    <w:p w14:paraId="5CEAA4AB" w14:textId="77777777" w:rsidR="00AB3647" w:rsidRDefault="00000000" w:rsidP="007923E9">
      <w:pPr>
        <w:spacing w:after="120" w:line="276" w:lineRule="auto"/>
        <w:ind w:firstLine="283"/>
        <w:jc w:val="both"/>
      </w:pPr>
      <w:proofErr w:type="spellStart"/>
      <w:r>
        <w:rPr>
          <w:rtl/>
        </w:rPr>
        <w:t>רבינר</w:t>
      </w:r>
      <w:proofErr w:type="spellEnd"/>
      <w:r>
        <w:rPr>
          <w:rtl/>
        </w:rPr>
        <w:t xml:space="preserve"> מייחס את גרסתו </w:t>
      </w:r>
      <w:proofErr w:type="spellStart"/>
      <w:r>
        <w:rPr>
          <w:rtl/>
        </w:rPr>
        <w:t>לר</w:t>
      </w:r>
      <w:proofErr w:type="spellEnd"/>
      <w:r>
        <w:rPr>
          <w:rtl/>
        </w:rPr>
        <w:t xml:space="preserve">׳ </w:t>
      </w:r>
      <w:proofErr w:type="spellStart"/>
      <w:r>
        <w:rPr>
          <w:rtl/>
        </w:rPr>
        <w:t>נפתלי־צבי־יהודה</w:t>
      </w:r>
      <w:proofErr w:type="spellEnd"/>
      <w:r>
        <w:rPr>
          <w:rtl/>
        </w:rPr>
        <w:t xml:space="preserve"> ריף, ומוסיף: “על הדיון שבין ר׳ ראובן </w:t>
      </w:r>
      <w:proofErr w:type="spellStart"/>
      <w:r>
        <w:rPr>
          <w:rtl/>
        </w:rPr>
        <w:t>לר</w:t>
      </w:r>
      <w:proofErr w:type="spellEnd"/>
      <w:r>
        <w:rPr>
          <w:rtl/>
        </w:rPr>
        <w:t xml:space="preserve">׳ חיים שמעתי גם מר׳ מיכל </w:t>
      </w:r>
      <w:proofErr w:type="spellStart"/>
      <w:r>
        <w:rPr>
          <w:rtl/>
        </w:rPr>
        <w:t>פיינשטיין</w:t>
      </w:r>
      <w:proofErr w:type="spellEnd"/>
      <w:r>
        <w:rPr>
          <w:rtl/>
        </w:rPr>
        <w:t xml:space="preserve"> בשם חותנו, ר׳ </w:t>
      </w:r>
      <w:proofErr w:type="spellStart"/>
      <w:r>
        <w:rPr>
          <w:rtl/>
        </w:rPr>
        <w:t xml:space="preserve">וועלוול׳ה</w:t>
      </w:r>
      <w:proofErr w:type="spellEnd"/>
      <w:r>
        <w:rPr>
          <w:rtl/>
        </w:rPr>
        <w:t xml:space="preserve">” – ניסוח המעיד שגרסת ר׳ יצחק־זאב, כגרסת רבנו, לא הייתה זהה לגמרי לזו של הרב ריף. אולם ייתכן שגרסת ר׳ יצחק־זאב לפגישת ההיכרות של ר׳ חיים עם ר׳ ראובן אינה זהה לגרסת רבנו. אפשר שהיא הגרסה המצוטטת בשמו </w:t>
      </w:r>
      <w:proofErr w:type="spellStart"/>
      <w:r>
        <w:rPr>
          <w:rtl/>
        </w:rPr>
        <w:t>ב“שמושה</w:t>
      </w:r>
      <w:proofErr w:type="spellEnd"/>
      <w:r>
        <w:rPr>
          <w:rtl/>
        </w:rPr>
        <w:t xml:space="preserve"> של תורה”</w:t>
      </w:r>
      <w:bookmarkStart w:id="6699" w:name="_fnr5098"/>
      <w:r>
        <w:rPr>
          <w:rStyle w:val="a5"/>
        </w:rPr>
        <w:footnoteReference w:id="5111" w:customMarkFollows="0"/>
      </w:r>
      <w:bookmarkEnd w:id="6699"/>
      <w:r>
        <w:rPr>
          <w:rtl/>
        </w:rPr>
        <w:t xml:space="preserve">, שלפיה נפגשו השניים כאשר “את ישיבת </w:t>
      </w:r>
      <w:proofErr w:type="spellStart"/>
      <w:r>
        <w:rPr>
          <w:rtl/>
        </w:rPr>
        <w:t>וולוז׳ין</w:t>
      </w:r>
      <w:proofErr w:type="spellEnd"/>
      <w:r>
        <w:rPr>
          <w:rtl/>
        </w:rPr>
        <w:t xml:space="preserve"> ייצג ר׳ חיים בדין תורה שערכה נגד כולל קובנה על זכויות איסוף כספים”. פתיחת כולל </w:t>
      </w:r>
      <w:proofErr w:type="spellStart"/>
      <w:r>
        <w:rPr>
          <w:rtl/>
        </w:rPr>
        <w:t>ברודסקי</w:t>
      </w:r>
      <w:proofErr w:type="spellEnd"/>
      <w:r>
        <w:rPr>
          <w:rtl/>
        </w:rPr>
        <w:t xml:space="preserve"> ודין התורה אכן אירעו בערך באותו זמן!</w:t>
      </w:r>
    </w:p>
    <w:p w14:paraId="30BC2DA8" w14:textId="77777777" w:rsidR="00AB3647" w:rsidRDefault="00000000" w:rsidP="007923E9">
      <w:pPr>
        <w:spacing w:after="120" w:line="276" w:lineRule="auto"/>
        <w:ind w:firstLine="283"/>
        <w:jc w:val="both"/>
      </w:pPr>
      <w:r>
        <w:rPr>
          <w:rtl/>
        </w:rPr>
        <w:t xml:space="preserve">נכון שר׳ חיים ייצג את ישיבת </w:t>
      </w:r>
      <w:proofErr w:type="spellStart"/>
      <w:r>
        <w:rPr>
          <w:rtl/>
        </w:rPr>
        <w:t>וולוז׳ין</w:t>
      </w:r>
      <w:proofErr w:type="spellEnd"/>
      <w:r>
        <w:rPr>
          <w:rtl/>
        </w:rPr>
        <w:t xml:space="preserve"> בדין התורה – שבו אירעו חילופי הדברים החריפים עם ר׳ </w:t>
      </w:r>
      <w:proofErr w:type="spellStart"/>
      <w:r>
        <w:rPr>
          <w:rtl/>
        </w:rPr>
        <w:t xml:space="preserve">אברמצ׳יק</w:t>
      </w:r>
      <w:proofErr w:type="spellEnd"/>
      <w:r>
        <w:rPr>
          <w:rtl/>
        </w:rPr>
        <w:t xml:space="preserve"> </w:t>
      </w:r>
      <w:proofErr w:type="spellStart"/>
      <w:r>
        <w:rPr>
          <w:rtl/>
        </w:rPr>
        <w:t>טאנעס</w:t>
      </w:r>
      <w:proofErr w:type="spellEnd"/>
      <w:r>
        <w:rPr>
          <w:rtl/>
        </w:rPr>
        <w:t xml:space="preserve">, כמסופר בפסקה הראשונה לעיל. אבל רבנו החזיק בדעה שהטעם לביקורו [הראשון] של ר׳ חיים אצל ר׳ ראובן היה קשור, כאמור לעיל, לשאלת הכולל, שכן לא </w:t>
      </w:r>
      <w:r>
        <w:rPr>
          <w:rtl/>
        </w:rPr>
        <w:lastRenderedPageBreak/>
        <w:t xml:space="preserve">סביר שר׳ חיים ביקר אצל דיין שנבחר לדון בהיעדר בעל הדין האחר. מובן שאין בכך כדי לשלול את דברי ר׳ יצחק־זאב שדין התורה נערך לפני ר׳ ראובן – אך זמן [קצר] </w:t>
      </w:r>
      <w:r>
        <w:rPr>
          <w:b/>
          <w:bCs/>
          <w:rtl/>
        </w:rPr>
        <w:t>אחרי</w:t>
      </w:r>
      <w:r>
        <w:rPr>
          <w:rtl/>
        </w:rPr>
        <w:t xml:space="preserve"> ביקורו הראשון של ר׳ חיים אצלו, שלא היה קשור אליו.</w:t>
      </w:r>
    </w:p>
    <w:p w14:paraId="3E305156" w14:textId="77777777" w:rsidR="00AB3647" w:rsidRDefault="00000000" w:rsidP="007923E9">
      <w:pPr>
        <w:spacing w:after="120" w:line="276" w:lineRule="auto"/>
        <w:ind w:firstLine="283"/>
        <w:jc w:val="both"/>
      </w:pPr>
      <w:r>
        <w:rPr>
          <w:rtl/>
        </w:rPr>
        <w:t xml:space="preserve">גם העדות אצל </w:t>
      </w:r>
      <w:proofErr w:type="spellStart"/>
      <w:r>
        <w:rPr>
          <w:rtl/>
        </w:rPr>
        <w:t>רבינר</w:t>
      </w:r>
      <w:proofErr w:type="spellEnd"/>
      <w:r>
        <w:rPr>
          <w:rtl/>
        </w:rPr>
        <w:t xml:space="preserve"> שביקור ר׳ חיים </w:t>
      </w:r>
      <w:proofErr w:type="spellStart"/>
      <w:r>
        <w:rPr>
          <w:rtl/>
        </w:rPr>
        <w:t>בדווינסק</w:t>
      </w:r>
      <w:proofErr w:type="spellEnd"/>
      <w:r>
        <w:rPr>
          <w:rtl/>
        </w:rPr>
        <w:t xml:space="preserve"> היה לשם איסוף כספים מוטלת בספק, אף שסביר שחותנו ליווהו, שכן </w:t>
      </w:r>
      <w:proofErr w:type="spellStart"/>
      <w:r>
        <w:rPr>
          <w:rtl/>
        </w:rPr>
        <w:t>נובו־אלכסנדרובסק</w:t>
      </w:r>
      <w:proofErr w:type="spellEnd"/>
      <w:r>
        <w:rPr>
          <w:rtl/>
        </w:rPr>
        <w:t xml:space="preserve">, שבה כיהן ר׳ רפאל כרב עוד שנה לפני שעבר </w:t>
      </w:r>
      <w:proofErr w:type="spellStart"/>
      <w:r>
        <w:rPr>
          <w:rtl/>
        </w:rPr>
        <w:t>לבוברויסק</w:t>
      </w:r>
      <w:proofErr w:type="spellEnd"/>
      <w:r>
        <w:rPr>
          <w:rtl/>
        </w:rPr>
        <w:t xml:space="preserve">, כאמור לעיל, הייתה במרחק עשרים קילומטר בלבד </w:t>
      </w:r>
      <w:proofErr w:type="spellStart"/>
      <w:r>
        <w:rPr>
          <w:rtl/>
        </w:rPr>
        <w:t>מדננבורג</w:t>
      </w:r>
      <w:proofErr w:type="spellEnd"/>
      <w:r>
        <w:rPr>
          <w:rtl/>
        </w:rPr>
        <w:t xml:space="preserve">. אולם דברי אבי </w:t>
      </w:r>
      <w:proofErr w:type="spellStart"/>
      <w:r>
        <w:rPr>
          <w:rtl/>
        </w:rPr>
        <w:t>ש“ר</w:t>
      </w:r>
      <w:proofErr w:type="spellEnd"/>
      <w:r>
        <w:rPr>
          <w:rtl/>
        </w:rPr>
        <w:t>׳ חיים הציג עצמו כחתנו של... ר׳ רפאל שפירא” מורים שרבנו סבר שר׳ רפאל לא נכח בפגישה.</w:t>
      </w:r>
    </w:p>
    <w:p w14:paraId="5EAD18C5" w14:textId="77777777" w:rsidR="00AB3647" w:rsidRDefault="00000000" w:rsidP="007923E9">
      <w:pPr>
        <w:spacing w:after="120" w:line="276" w:lineRule="auto"/>
        <w:ind w:firstLine="283"/>
        <w:jc w:val="both"/>
      </w:pPr>
      <w:r>
        <w:rPr>
          <w:rtl/>
        </w:rPr>
        <w:t xml:space="preserve">אשר לטענת </w:t>
      </w:r>
      <w:proofErr w:type="spellStart"/>
      <w:r>
        <w:rPr>
          <w:rtl/>
        </w:rPr>
        <w:t>רבינר</w:t>
      </w:r>
      <w:proofErr w:type="spellEnd"/>
      <w:r>
        <w:rPr>
          <w:rtl/>
        </w:rPr>
        <w:t xml:space="preserve">, “רבינו מאיר שמחה הכהן”, שר׳ חיים הכיר את דרך סברתו של ר׳ ראובן משמיעת חידושיו מפי אחד מתלמידי </w:t>
      </w:r>
      <w:proofErr w:type="spellStart"/>
      <w:r>
        <w:rPr>
          <w:rtl/>
        </w:rPr>
        <w:t>וולוז׳ין</w:t>
      </w:r>
      <w:proofErr w:type="spellEnd"/>
      <w:r>
        <w:rPr>
          <w:rtl/>
        </w:rPr>
        <w:t xml:space="preserve"> – שמעתי מר׳ יוסף </w:t>
      </w:r>
      <w:proofErr w:type="spellStart"/>
      <w:r>
        <w:rPr>
          <w:rtl/>
        </w:rPr>
        <w:t>סולובייצ׳יק</w:t>
      </w:r>
      <w:bookmarkStart w:id="6700" w:name="_fnr5099"/>
      <w:proofErr w:type="spellEnd"/>
      <w:r>
        <w:rPr>
          <w:rStyle w:val="a5"/>
        </w:rPr>
        <w:footnoteReference w:id="5112" w:customMarkFollows="0"/>
      </w:r>
      <w:bookmarkEnd w:id="6700"/>
      <w:r>
        <w:rPr>
          <w:rtl/>
        </w:rPr>
        <w:t xml:space="preserve"> שיש מסורת כזאת במשפחת </w:t>
      </w:r>
      <w:proofErr w:type="spellStart"/>
      <w:r>
        <w:rPr>
          <w:rtl/>
        </w:rPr>
        <w:t>סולובייצ׳יק</w:t>
      </w:r>
      <w:proofErr w:type="spellEnd"/>
      <w:r>
        <w:rPr>
          <w:rtl/>
        </w:rPr>
        <w:t xml:space="preserve"> (אף שהטענה שר׳ חיים </w:t>
      </w:r>
      <w:r>
        <w:rPr>
          <w:b/>
          <w:bCs/>
          <w:rtl/>
        </w:rPr>
        <w:t>סיפר זאת</w:t>
      </w:r>
      <w:r>
        <w:rPr>
          <w:rtl/>
        </w:rPr>
        <w:t xml:space="preserve"> </w:t>
      </w:r>
      <w:proofErr w:type="spellStart"/>
      <w:r>
        <w:rPr>
          <w:rtl/>
        </w:rPr>
        <w:t>לר</w:t>
      </w:r>
      <w:proofErr w:type="spellEnd"/>
      <w:r>
        <w:rPr>
          <w:rtl/>
        </w:rPr>
        <w:t xml:space="preserve">׳ ראובן עודנה, כמובן, שאלה פתוחה). לפי מסורת </w:t>
      </w:r>
      <w:proofErr w:type="spellStart"/>
      <w:r>
        <w:rPr>
          <w:rtl/>
        </w:rPr>
        <w:t>סולובייצ׳יק</w:t>
      </w:r>
      <w:proofErr w:type="spellEnd"/>
      <w:r>
        <w:rPr>
          <w:rtl/>
        </w:rPr>
        <w:t xml:space="preserve">, התלמיד שממנו שמע ר׳ חיים את דברי תורתו של ר׳ ראובן היה ר׳ </w:t>
      </w:r>
      <w:proofErr w:type="spellStart"/>
      <w:r>
        <w:rPr>
          <w:rtl/>
        </w:rPr>
        <w:t>אברהם־יצחק</w:t>
      </w:r>
      <w:proofErr w:type="spellEnd"/>
      <w:r>
        <w:rPr>
          <w:rtl/>
        </w:rPr>
        <w:t xml:space="preserve"> קוק, שמוצאו </w:t>
      </w:r>
      <w:proofErr w:type="spellStart"/>
      <w:r>
        <w:rPr>
          <w:rtl/>
        </w:rPr>
        <w:t>מגריבה</w:t>
      </w:r>
      <w:bookmarkStart w:id="6701" w:name="_fnr5100"/>
      <w:proofErr w:type="spellEnd"/>
      <w:r>
        <w:rPr>
          <w:rStyle w:val="a5"/>
        </w:rPr>
        <w:footnoteReference w:id="5113" w:customMarkFollows="0"/>
      </w:r>
      <w:bookmarkEnd w:id="6701"/>
      <w:r>
        <w:rPr>
          <w:rtl/>
        </w:rPr>
        <w:t xml:space="preserve">, עיירה סמוכה </w:t>
      </w:r>
      <w:proofErr w:type="spellStart"/>
      <w:r>
        <w:rPr>
          <w:rtl/>
        </w:rPr>
        <w:t>לדננבורג</w:t>
      </w:r>
      <w:proofErr w:type="spellEnd"/>
      <w:r>
        <w:rPr>
          <w:rtl/>
        </w:rPr>
        <w:t xml:space="preserve">, והרבה לדבר עם רבה. ר׳ מאיר ליברמן מסר גם בשם ר׳ יצחק־זאב שלפני נסיעתו ביקש ר׳ חיים מבחור </w:t>
      </w:r>
      <w:proofErr w:type="spellStart"/>
      <w:r>
        <w:rPr>
          <w:rtl/>
        </w:rPr>
        <w:t>מדננבורג</w:t>
      </w:r>
      <w:proofErr w:type="spellEnd"/>
      <w:r>
        <w:rPr>
          <w:rtl/>
        </w:rPr>
        <w:t>, ששמו לא נמסר, לכתוב כמה שאלות לרבו, ומתוך העיון בתשובות ידע ר׳ חיים כיצד פועלת מחשבתו של ר׳ ראובן.</w:t>
      </w:r>
    </w:p>
    <w:p w14:paraId="319C372D"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אישר זאת</w:t>
      </w:r>
      <w:bookmarkStart w:id="6702" w:name="_fnr5101"/>
      <w:r>
        <w:rPr>
          <w:rStyle w:val="a5"/>
        </w:rPr>
        <w:footnoteReference w:id="5114" w:customMarkFollows="0"/>
      </w:r>
      <w:bookmarkEnd w:id="6702"/>
      <w:r>
        <w:rPr>
          <w:rtl/>
        </w:rPr>
        <w:t xml:space="preserve">, אך הוסיף שבתחילה ביקש ר׳ חיים מתלמיד לחזור על דברים ששמע מר׳ ראובן, </w:t>
      </w:r>
      <w:proofErr w:type="spellStart"/>
      <w:r>
        <w:rPr>
          <w:rtl/>
        </w:rPr>
        <w:t>וכשלא</w:t>
      </w:r>
      <w:proofErr w:type="spellEnd"/>
      <w:r>
        <w:rPr>
          <w:rtl/>
        </w:rPr>
        <w:t xml:space="preserve"> קיבל תשובה מספקת, ביקש מן הצעיר לכתוב לרב שאלה מסוימת. הרב השיב על השאלה בכתב, ופתח בהקדמה הזאת: “מכיר אני אותך, </w:t>
      </w:r>
      <w:proofErr w:type="spellStart"/>
      <w:r>
        <w:rPr>
          <w:rtl/>
        </w:rPr>
        <w:t>ויכולני</w:t>
      </w:r>
      <w:proofErr w:type="spellEnd"/>
      <w:r>
        <w:rPr>
          <w:rtl/>
        </w:rPr>
        <w:t xml:space="preserve"> לדעת </w:t>
      </w:r>
      <w:proofErr w:type="spellStart"/>
      <w:r>
        <w:rPr>
          <w:rtl/>
        </w:rPr>
        <w:t>שהקושיא</w:t>
      </w:r>
      <w:proofErr w:type="spellEnd"/>
      <w:r>
        <w:rPr>
          <w:rtl/>
        </w:rPr>
        <w:t xml:space="preserve"> אינה שלך. </w:t>
      </w:r>
      <w:proofErr w:type="spellStart"/>
      <w:r>
        <w:rPr>
          <w:rtl/>
        </w:rPr>
        <w:t>הקושיא</w:t>
      </w:r>
      <w:proofErr w:type="spellEnd"/>
      <w:r>
        <w:rPr>
          <w:rtl/>
        </w:rPr>
        <w:t xml:space="preserve"> קשה כברזל, והיא באה [לא ממך, אלא] מאדם שהוא קשה כברזל</w:t>
      </w:r>
      <w:bookmarkStart w:id="6703" w:name="_fnr5102"/>
      <w:r>
        <w:rPr>
          <w:rStyle w:val="a5"/>
        </w:rPr>
        <w:footnoteReference w:id="5115" w:customMarkFollows="0"/>
      </w:r>
      <w:bookmarkEnd w:id="6703"/>
      <w:r>
        <w:rPr>
          <w:rtl/>
        </w:rPr>
        <w:t>”.</w:t>
      </w:r>
    </w:p>
    <w:p w14:paraId="50FD8B9E" w14:textId="77777777" w:rsidR="00AB3647" w:rsidRDefault="00000000" w:rsidP="007923E9">
      <w:pPr>
        <w:spacing w:after="120" w:line="276" w:lineRule="auto"/>
        <w:ind w:firstLine="283"/>
        <w:jc w:val="both"/>
      </w:pPr>
      <w:bookmarkStart w:id="6704" w:name="pr_b_2761"/>
      <w:bookmarkEnd w:id="6704"/>
      <w:r>
        <w:rPr>
          <w:rtl/>
        </w:rPr>
        <w:t>השווה גם “שמושה של תורה”</w:t>
      </w:r>
      <w:bookmarkStart w:id="6705" w:name="_fnr5103"/>
      <w:r>
        <w:rPr>
          <w:rStyle w:val="a5"/>
        </w:rPr>
        <w:footnoteReference w:id="5116" w:customMarkFollows="0"/>
      </w:r>
      <w:bookmarkEnd w:id="6705"/>
      <w:r>
        <w:rPr>
          <w:rtl/>
        </w:rPr>
        <w:t xml:space="preserve">, המספר שהבחור [ששמו לא נמסר] בא אל ר׳ ראובן לשאול את </w:t>
      </w:r>
      <w:proofErr w:type="spellStart"/>
      <w:r>
        <w:rPr>
          <w:rtl/>
        </w:rPr>
        <w:t>הקושיא</w:t>
      </w:r>
      <w:proofErr w:type="spellEnd"/>
      <w:r>
        <w:rPr>
          <w:rtl/>
        </w:rPr>
        <w:t xml:space="preserve"> בעת ביקור בביתו [ולא כתב אותה אליו </w:t>
      </w:r>
      <w:proofErr w:type="spellStart"/>
      <w:r>
        <w:rPr>
          <w:rtl/>
        </w:rPr>
        <w:t>מוולוז׳ין</w:t>
      </w:r>
      <w:proofErr w:type="spellEnd"/>
      <w:r>
        <w:rPr>
          <w:rtl/>
        </w:rPr>
        <w:t>].</w:t>
      </w:r>
    </w:p>
    <w:p w14:paraId="29E2172C" w14:textId="77777777" w:rsidR="00AB3647" w:rsidRDefault="00000000" w:rsidP="007923E9">
      <w:pPr>
        <w:spacing w:after="120" w:line="276" w:lineRule="auto"/>
        <w:ind w:firstLine="283"/>
        <w:jc w:val="both"/>
      </w:pPr>
      <w:r>
        <w:rPr>
          <w:rtl/>
        </w:rPr>
        <w:t xml:space="preserve">השווה גם “שיחות </w:t>
      </w:r>
      <w:proofErr w:type="spellStart"/>
      <w:r>
        <w:rPr>
          <w:rtl/>
        </w:rPr>
        <w:t>הראי״ה</w:t>
      </w:r>
      <w:proofErr w:type="spellEnd"/>
      <w:r>
        <w:rPr>
          <w:rtl/>
        </w:rPr>
        <w:t xml:space="preserve"> ואורות משנתו” מאת הרב משה צבי נריה</w:t>
      </w:r>
      <w:bookmarkStart w:id="6706" w:name="_fnr5104"/>
      <w:r>
        <w:rPr>
          <w:rStyle w:val="a5"/>
        </w:rPr>
        <w:footnoteReference w:id="5117" w:customMarkFollows="0"/>
      </w:r>
      <w:bookmarkEnd w:id="6706"/>
      <w:r>
        <w:rPr>
          <w:rtl/>
        </w:rPr>
        <w:t xml:space="preserve">. הרב נריה כותב שם שר׳ </w:t>
      </w:r>
      <w:proofErr w:type="spellStart"/>
      <w:r>
        <w:rPr>
          <w:rtl/>
        </w:rPr>
        <w:t>אברהם־יצחק</w:t>
      </w:r>
      <w:proofErr w:type="spellEnd"/>
      <w:r>
        <w:rPr>
          <w:rtl/>
        </w:rPr>
        <w:t xml:space="preserve"> קוק התחנך על שיטת לימודו של ר׳ ראובן, ולכן העדיף את שיעורי </w:t>
      </w:r>
      <w:proofErr w:type="spellStart"/>
      <w:r>
        <w:rPr>
          <w:rtl/>
        </w:rPr>
        <w:t>הנצי״ב</w:t>
      </w:r>
      <w:proofErr w:type="spellEnd"/>
      <w:r>
        <w:rPr>
          <w:rtl/>
        </w:rPr>
        <w:t xml:space="preserve"> על פני שיעורי ר׳ חיים. אותו מחבר מצטט את ר׳ </w:t>
      </w:r>
      <w:proofErr w:type="spellStart"/>
      <w:r>
        <w:rPr>
          <w:rtl/>
        </w:rPr>
        <w:t>אברהם־יצחק</w:t>
      </w:r>
      <w:proofErr w:type="spellEnd"/>
      <w:r>
        <w:rPr>
          <w:rtl/>
        </w:rPr>
        <w:t xml:space="preserve"> קוק שאמר לו שהוראת ר׳ ראובן, </w:t>
      </w:r>
      <w:proofErr w:type="spellStart"/>
      <w:r>
        <w:rPr>
          <w:rtl/>
        </w:rPr>
        <w:t>ש“כל</w:t>
      </w:r>
      <w:proofErr w:type="spellEnd"/>
      <w:r>
        <w:rPr>
          <w:rtl/>
        </w:rPr>
        <w:t xml:space="preserve"> </w:t>
      </w:r>
      <w:proofErr w:type="spellStart"/>
      <w:r>
        <w:rPr>
          <w:rtl/>
        </w:rPr>
        <w:t>סברא</w:t>
      </w:r>
      <w:proofErr w:type="spellEnd"/>
      <w:r>
        <w:rPr>
          <w:rtl/>
        </w:rPr>
        <w:t xml:space="preserve"> שבעולם חשודה – עליה להיות מפורשת או כמעט מפורשת [בש״ס ובראשונים] כדי להיות תקפה”, מנעה את קבלת שיטת לימודו של ר׳ חיים</w:t>
      </w:r>
      <w:bookmarkStart w:id="6707" w:name="_fnr5105"/>
      <w:r>
        <w:rPr>
          <w:rStyle w:val="a5"/>
        </w:rPr>
        <w:footnoteReference w:id="5118" w:customMarkFollows="0"/>
      </w:r>
      <w:bookmarkEnd w:id="6707"/>
      <w:r>
        <w:rPr>
          <w:rtl/>
        </w:rPr>
        <w:t xml:space="preserve">. אולי מסקנתו </w:t>
      </w:r>
      <w:r>
        <w:rPr>
          <w:rtl/>
        </w:rPr>
        <w:lastRenderedPageBreak/>
        <w:t xml:space="preserve">החידתית של ר׳ ראובן על </w:t>
      </w:r>
      <w:proofErr w:type="spellStart"/>
      <w:r>
        <w:rPr>
          <w:rtl/>
        </w:rPr>
        <w:t>וולוז׳ין</w:t>
      </w:r>
      <w:proofErr w:type="spellEnd"/>
      <w:r>
        <w:rPr>
          <w:rtl/>
        </w:rPr>
        <w:t>, “</w:t>
      </w:r>
      <w:proofErr w:type="spellStart"/>
      <w:r>
        <w:rPr>
          <w:rtl/>
        </w:rPr>
        <w:t>בוולוז׳ין</w:t>
      </w:r>
      <w:proofErr w:type="spellEnd"/>
      <w:r>
        <w:rPr>
          <w:rtl/>
        </w:rPr>
        <w:t xml:space="preserve"> יש הכול”, שהובאה לעיל, משקפת מיתון מסוים של התנגדותו לשיטת ר׳ חיים, ורבה של </w:t>
      </w:r>
      <w:proofErr w:type="spellStart"/>
      <w:r>
        <w:rPr>
          <w:rtl/>
        </w:rPr>
        <w:t>דננבורג</w:t>
      </w:r>
      <w:proofErr w:type="spellEnd"/>
      <w:r>
        <w:rPr>
          <w:rtl/>
        </w:rPr>
        <w:t xml:space="preserve"> התכוון שאף ששיטת </w:t>
      </w:r>
      <w:proofErr w:type="spellStart"/>
      <w:r>
        <w:rPr>
          <w:rtl/>
        </w:rPr>
        <w:t>הנצי״ב</w:t>
      </w:r>
      <w:proofErr w:type="spellEnd"/>
      <w:r>
        <w:rPr>
          <w:rtl/>
        </w:rPr>
        <w:t xml:space="preserve"> עדיפה, יש באותה ישיבה גם שיטת לימוד אחרת שיש בה ערך מסוים. (מנגד טוענים ההולכים בשיטת “</w:t>
      </w:r>
      <w:proofErr w:type="spellStart"/>
      <w:r>
        <w:rPr>
          <w:rtl/>
        </w:rPr>
        <w:t>בריסק</w:t>
      </w:r>
      <w:proofErr w:type="spellEnd"/>
      <w:r>
        <w:rPr>
          <w:rtl/>
        </w:rPr>
        <w:t>” של ר׳ חיים שכל חידושיהם אינם למעשה אלא הפשט הפשוט, אף שהוא עמוק, בתלמוד ובמפרשיו הקלאסיים</w:t>
      </w:r>
      <w:bookmarkStart w:id="6708" w:name="_fnr5106"/>
      <w:bookmarkStart w:id="6709" w:name="pr_f_4984"/>
      <w:r>
        <w:rPr>
          <w:rStyle w:val="a5"/>
        </w:rPr>
        <w:footnoteReference w:id="5119" w:customMarkFollows="0"/>
      </w:r>
      <w:bookmarkEnd w:id="6708"/>
      <w:bookmarkEnd w:id="6709"/>
      <w:r>
        <w:rPr>
          <w:rtl/>
        </w:rPr>
        <w:t>.)</w:t>
      </w:r>
    </w:p>
    <w:p w14:paraId="619FC69A" w14:textId="77777777" w:rsidR="00AB3647" w:rsidRDefault="00000000" w:rsidP="007923E9">
      <w:pPr>
        <w:spacing w:after="120" w:line="276" w:lineRule="auto"/>
        <w:ind w:firstLine="283"/>
        <w:jc w:val="both"/>
      </w:pPr>
      <w:r>
        <w:rPr>
          <w:rtl/>
        </w:rPr>
        <w:t xml:space="preserve">לפי “שיחות </w:t>
      </w:r>
      <w:proofErr w:type="spellStart"/>
      <w:r>
        <w:rPr>
          <w:rtl/>
        </w:rPr>
        <w:t>הראי״ה</w:t>
      </w:r>
      <w:proofErr w:type="spellEnd"/>
      <w:r>
        <w:rPr>
          <w:rtl/>
        </w:rPr>
        <w:t xml:space="preserve">”, למד ר׳ </w:t>
      </w:r>
      <w:proofErr w:type="spellStart"/>
      <w:r>
        <w:rPr>
          <w:rtl/>
        </w:rPr>
        <w:t>אברהם־יצחק</w:t>
      </w:r>
      <w:proofErr w:type="spellEnd"/>
      <w:r>
        <w:rPr>
          <w:rtl/>
        </w:rPr>
        <w:t xml:space="preserve"> קוק </w:t>
      </w:r>
      <w:proofErr w:type="spellStart"/>
      <w:r>
        <w:rPr>
          <w:rtl/>
        </w:rPr>
        <w:t>בוולוז׳ין</w:t>
      </w:r>
      <w:proofErr w:type="spellEnd"/>
      <w:r>
        <w:rPr>
          <w:rtl/>
        </w:rPr>
        <w:t xml:space="preserve"> שנה אחת – בדיוק השנה ששיערנו לעיל כמועד הפגישה </w:t>
      </w:r>
      <w:proofErr w:type="spellStart"/>
      <w:r>
        <w:rPr>
          <w:rtl/>
        </w:rPr>
        <w:t>בדננבורג</w:t>
      </w:r>
      <w:proofErr w:type="spellEnd"/>
      <w:r>
        <w:rPr>
          <w:rtl/>
        </w:rPr>
        <w:t>, תרמ״ה – ולפי “סדר אליהו”</w:t>
      </w:r>
      <w:bookmarkStart w:id="6710" w:name="_fnr5107"/>
      <w:r>
        <w:rPr>
          <w:rStyle w:val="a5"/>
        </w:rPr>
        <w:footnoteReference w:id="5120" w:customMarkFollows="0"/>
      </w:r>
      <w:bookmarkEnd w:id="6710"/>
      <w:r>
        <w:rPr>
          <w:rtl/>
        </w:rPr>
        <w:t xml:space="preserve">, יומנו של חותנו של ר׳ </w:t>
      </w:r>
      <w:proofErr w:type="spellStart"/>
      <w:r>
        <w:rPr>
          <w:rtl/>
        </w:rPr>
        <w:t>אברהם־יצחק</w:t>
      </w:r>
      <w:proofErr w:type="spellEnd"/>
      <w:r>
        <w:rPr>
          <w:rtl/>
        </w:rPr>
        <w:t xml:space="preserve"> קוק, </w:t>
      </w:r>
      <w:proofErr w:type="spellStart"/>
      <w:r>
        <w:rPr>
          <w:rtl/>
        </w:rPr>
        <w:t>האדר״ת</w:t>
      </w:r>
      <w:proofErr w:type="spellEnd"/>
      <w:r>
        <w:rPr>
          <w:rtl/>
        </w:rPr>
        <w:t>, נראה שלמד שם עוד חצי שנה, המחצית הראשונה של תרמ״ו.</w:t>
      </w:r>
    </w:p>
    <w:p w14:paraId="4992F70F" w14:textId="77777777" w:rsidR="00AB3647" w:rsidRDefault="00000000" w:rsidP="007923E9">
      <w:pPr>
        <w:spacing w:after="120" w:line="276" w:lineRule="auto"/>
        <w:ind w:firstLine="283"/>
        <w:jc w:val="both"/>
      </w:pPr>
      <w:r>
        <w:rPr>
          <w:rtl/>
        </w:rPr>
        <w:t xml:space="preserve">ר׳ יוסף </w:t>
      </w:r>
      <w:proofErr w:type="spellStart"/>
      <w:r>
        <w:rPr>
          <w:rtl/>
        </w:rPr>
        <w:t>סולובייצ׳יק</w:t>
      </w:r>
      <w:proofErr w:type="spellEnd"/>
      <w:r>
        <w:rPr>
          <w:rtl/>
        </w:rPr>
        <w:t xml:space="preserve"> הציע גרסה נוספת למטרת הביקור אצל ר׳ ראובן: לפני שהחל ר׳ חיים למסור שיעורים התעוררה בחוגי </w:t>
      </w:r>
      <w:proofErr w:type="spellStart"/>
      <w:r>
        <w:rPr>
          <w:rtl/>
        </w:rPr>
        <w:t>וולוז׳ין</w:t>
      </w:r>
      <w:proofErr w:type="spellEnd"/>
      <w:r>
        <w:rPr>
          <w:rtl/>
        </w:rPr>
        <w:t xml:space="preserve"> שאלה אם הוא ראוי לתפקיד, ולכן היה עליו לקבל את אישורו של תלמיד חכם מוכר. אבל הצעה זו שגויה, שהרי ר׳ חיים כבר מסר שיעורים חמש שנים </w:t>
      </w:r>
      <w:r>
        <w:rPr>
          <w:b/>
          <w:bCs/>
          <w:rtl/>
        </w:rPr>
        <w:t>לפני</w:t>
      </w:r>
      <w:r>
        <w:rPr>
          <w:rtl/>
        </w:rPr>
        <w:t xml:space="preserve"> בואו של ר׳ </w:t>
      </w:r>
      <w:proofErr w:type="spellStart"/>
      <w:r>
        <w:rPr>
          <w:rtl/>
        </w:rPr>
        <w:t>אברהם־יצחק</w:t>
      </w:r>
      <w:proofErr w:type="spellEnd"/>
      <w:r>
        <w:rPr>
          <w:rtl/>
        </w:rPr>
        <w:t xml:space="preserve"> קוק, ומזמן הוכיח שהוא מתאים ביותר לתפקיד.</w:t>
      </w:r>
    </w:p>
    <w:p w14:paraId="261CD09E" w14:textId="5229A78B" w:rsidR="00AB3647" w:rsidRDefault="00000000" w:rsidP="007923E9">
      <w:pPr>
        <w:spacing w:after="120" w:line="276" w:lineRule="auto"/>
        <w:ind w:firstLine="283"/>
        <w:jc w:val="both"/>
      </w:pPr>
      <w:r>
        <w:rPr>
          <w:rtl/>
        </w:rPr>
        <w:t xml:space="preserve">אומנם נכון מבחינה היסטורית שהיה דיון בין גדולי התורה אם ר׳ חיים ראוי למסור שיעורים – השווה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ו“נפש</w:t>
      </w:r>
      <w:proofErr w:type="spellEnd"/>
      <w:r>
        <w:rPr>
          <w:rtl/>
        </w:rPr>
        <w:t xml:space="preserve"> הרב”</w:t>
      </w:r>
      <w:bookmarkStart w:id="6711" w:name="_fnr5108"/>
      <w:r>
        <w:rPr>
          <w:rStyle w:val="a5"/>
        </w:rPr>
        <w:footnoteReference w:id="5121" w:customMarkFollows="0"/>
      </w:r>
      <w:bookmarkEnd w:id="6711"/>
      <w:r>
        <w:rPr>
          <w:rtl/>
        </w:rPr>
        <w:t xml:space="preserve">, שם מובא הדבר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שחזר עליו בשם אביו. </w:t>
      </w:r>
      <w:proofErr w:type="spellStart"/>
      <w:r>
        <w:rPr>
          <w:rtl/>
        </w:rPr>
        <w:t>ב“נפש</w:t>
      </w:r>
      <w:proofErr w:type="spellEnd"/>
      <w:r>
        <w:rPr>
          <w:rtl/>
        </w:rPr>
        <w:t xml:space="preserve"> הרב” נאמר שהביקורת על מינוי ר׳ חיים הועלתה לא בחוגי </w:t>
      </w:r>
      <w:proofErr w:type="spellStart"/>
      <w:r>
        <w:rPr>
          <w:rtl/>
        </w:rPr>
        <w:t>וולוז׳ין</w:t>
      </w:r>
      <w:proofErr w:type="spellEnd"/>
      <w:r>
        <w:rPr>
          <w:rtl/>
        </w:rPr>
        <w:t xml:space="preserve">, אלא בידי גדולי התורה עצמם, ונבעה משיטתו החדשה. זו הייתה גם הבעיה שהייתה </w:t>
      </w:r>
      <w:proofErr w:type="spellStart"/>
      <w:r>
        <w:rPr>
          <w:rtl/>
        </w:rPr>
        <w:t>לר</w:t>
      </w:r>
      <w:proofErr w:type="spellEnd"/>
      <w:r>
        <w:rPr>
          <w:rtl/>
        </w:rPr>
        <w:t xml:space="preserve">׳ </w:t>
      </w:r>
      <w:proofErr w:type="spellStart"/>
      <w:r>
        <w:rPr>
          <w:rtl/>
        </w:rPr>
        <w:t>יצחק־אלחנן</w:t>
      </w:r>
      <w:proofErr w:type="spellEnd"/>
      <w:r>
        <w:rPr>
          <w:rtl/>
        </w:rPr>
        <w:t xml:space="preserve"> </w:t>
      </w:r>
      <w:proofErr w:type="spellStart"/>
      <w:r>
        <w:rPr>
          <w:rtl/>
        </w:rPr>
        <w:t>ספקטור</w:t>
      </w:r>
      <w:proofErr w:type="spellEnd"/>
      <w:r>
        <w:rPr>
          <w:rtl/>
        </w:rPr>
        <w:t xml:space="preserve"> עם </w:t>
      </w:r>
      <w:proofErr w:type="spellStart"/>
      <w:r>
        <w:rPr>
          <w:rtl/>
        </w:rPr>
        <w:t>ההדרן</w:t>
      </w:r>
      <w:proofErr w:type="spellEnd"/>
      <w:r>
        <w:rPr>
          <w:rtl/>
        </w:rPr>
        <w:t xml:space="preserve"> של ר׳ </w:t>
      </w:r>
      <w:proofErr w:type="spellStart"/>
      <w:r>
        <w:rPr>
          <w:rtl/>
        </w:rPr>
        <w:t>איצל׳ה</w:t>
      </w:r>
      <w:proofErr w:type="spellEnd"/>
      <w:r>
        <w:rPr>
          <w:rtl/>
        </w:rPr>
        <w:t xml:space="preserve"> </w:t>
      </w:r>
      <w:proofErr w:type="spellStart"/>
      <w:r>
        <w:rPr>
          <w:rtl/>
        </w:rPr>
        <w:t>רבינוביץ</w:t>
      </w:r>
      <w:proofErr w:type="spellEnd"/>
      <w:r>
        <w:rPr>
          <w:rtl/>
        </w:rPr>
        <w:t xml:space="preserve"> [</w:t>
      </w:r>
      <w:proofErr w:type="spellStart"/>
      <w:r>
        <w:rPr>
          <w:rtl/>
        </w:rPr>
        <w:t>הפוניבז׳ער</w:t>
      </w:r>
      <w:proofErr w:type="spellEnd"/>
      <w:r>
        <w:rPr>
          <w:rtl/>
        </w:rPr>
        <w:t xml:space="preserve">] בקובנה כעבור עשור, כפי שסיפר רבנו, ודבריו מובאים בפרק 3, הפסקה הראשונה של </w:t>
      </w:r>
      <w:r>
        <w:rPr>
          <w:rtl/>
        </w:rPr>
        <w:fldChar w:fldCharType="begin" w:dirty="true"/>
      </w:r>
      <w:r>
        <w:rPr>
          <w:rtl/>
        </w:rPr>
        <w:instrText xml:space="preserve"> REF b3_excH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ראה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שכש</w:t>
      </w:r>
      <w:r>
        <w:rPr>
          <w:b/>
          <w:bCs/>
          <w:rtl/>
        </w:rPr>
        <w:t>החל</w:t>
      </w:r>
      <w:r>
        <w:rPr>
          <w:rtl/>
        </w:rPr>
        <w:t xml:space="preserve"> ר׳ חיים למסור שיעורים, עדיין לא הייתה שיטתו שונה מן השיטה המקובלת במידה כה קיצונית כפי שנעשתה לימים.</w:t>
      </w:r>
    </w:p>
    <w:p w14:paraId="3A7C12E4" w14:textId="77777777" w:rsidR="00AB3647" w:rsidRDefault="00000000" w:rsidP="007923E9">
      <w:pPr>
        <w:spacing w:after="120" w:line="276" w:lineRule="auto"/>
        <w:ind w:firstLine="283"/>
        <w:jc w:val="both"/>
      </w:pPr>
      <w:r>
        <w:rPr>
          <w:rtl/>
        </w:rPr>
        <w:t xml:space="preserve">הדיון בין גדולי התורה אם ראוי ר׳ חיים למינוי מובא גם </w:t>
      </w:r>
      <w:proofErr w:type="spellStart"/>
      <w:r>
        <w:rPr>
          <w:rtl/>
        </w:rPr>
        <w:t>ב“הרב</w:t>
      </w:r>
      <w:proofErr w:type="spellEnd"/>
      <w:r>
        <w:rPr>
          <w:rtl/>
        </w:rPr>
        <w:t>”</w:t>
      </w:r>
      <w:bookmarkStart w:id="6712" w:name="_fnr5109"/>
      <w:r>
        <w:rPr>
          <w:rStyle w:val="a5"/>
        </w:rPr>
        <w:footnoteReference w:id="5122" w:customMarkFollows="0"/>
      </w:r>
      <w:bookmarkEnd w:id="6712"/>
      <w:r>
        <w:rPr>
          <w:rtl/>
        </w:rPr>
        <w:t xml:space="preserve">. אבל לא יעלה על הדעת </w:t>
      </w:r>
      <w:proofErr w:type="spellStart"/>
      <w:r>
        <w:rPr>
          <w:rtl/>
        </w:rPr>
        <w:t>שהנצי״ב</w:t>
      </w:r>
      <w:proofErr w:type="spellEnd"/>
      <w:r>
        <w:rPr>
          <w:rtl/>
        </w:rPr>
        <w:t xml:space="preserve"> יניח למי שמינה, שהוא גם בעל נכדתו, לנסוע </w:t>
      </w:r>
      <w:r>
        <w:rPr>
          <w:b/>
          <w:bCs/>
          <w:rtl/>
        </w:rPr>
        <w:t>למקום אחר</w:t>
      </w:r>
      <w:r>
        <w:rPr>
          <w:rtl/>
        </w:rPr>
        <w:t xml:space="preserve"> – </w:t>
      </w:r>
      <w:proofErr w:type="spellStart"/>
      <w:r>
        <w:rPr>
          <w:rtl/>
        </w:rPr>
        <w:t>לדננבורג</w:t>
      </w:r>
      <w:proofErr w:type="spellEnd"/>
      <w:r>
        <w:rPr>
          <w:rtl/>
        </w:rPr>
        <w:t xml:space="preserve"> – לקבל </w:t>
      </w:r>
      <w:r>
        <w:rPr>
          <w:rtl/>
        </w:rPr>
        <w:lastRenderedPageBreak/>
        <w:t xml:space="preserve">אישור. לפי “נפש הרב”, כמה רבנים גדולים באו </w:t>
      </w:r>
      <w:proofErr w:type="spellStart"/>
      <w:r>
        <w:rPr>
          <w:rtl/>
        </w:rPr>
        <w:t>לוולוז׳ין</w:t>
      </w:r>
      <w:proofErr w:type="spellEnd"/>
      <w:r>
        <w:rPr>
          <w:rtl/>
        </w:rPr>
        <w:t xml:space="preserve"> לשמוע את ר׳ חיים, ונתנו את אישורם שם!</w:t>
      </w:r>
    </w:p>
    <w:p w14:paraId="44ED9855" w14:textId="77777777" w:rsidR="00AB3647" w:rsidRDefault="00000000" w:rsidP="007923E9">
      <w:pPr>
        <w:spacing w:after="120" w:line="276" w:lineRule="auto"/>
        <w:ind w:firstLine="283"/>
        <w:jc w:val="both"/>
      </w:pPr>
      <w:r>
        <w:rPr>
          <w:rtl/>
        </w:rPr>
        <w:t xml:space="preserve">ייתכן שדבריו התמוהים של ר׳ חיים, המובאים </w:t>
      </w:r>
      <w:proofErr w:type="spellStart"/>
      <w:r>
        <w:rPr>
          <w:rtl/>
        </w:rPr>
        <w:t>ב“שמושה</w:t>
      </w:r>
      <w:proofErr w:type="spellEnd"/>
      <w:r>
        <w:rPr>
          <w:rtl/>
        </w:rPr>
        <w:t xml:space="preserve"> של תורה”</w:t>
      </w:r>
      <w:bookmarkStart w:id="6713" w:name="_fnr5110"/>
      <w:r>
        <w:rPr>
          <w:rStyle w:val="a5"/>
        </w:rPr>
        <w:footnoteReference w:id="5123" w:customMarkFollows="0"/>
      </w:r>
      <w:bookmarkEnd w:id="6713"/>
      <w:r>
        <w:rPr>
          <w:rtl/>
        </w:rPr>
        <w:t xml:space="preserve"> ממקור שאינו נזכר בשמו [“מספרים”] – “עולם רב עמי, ואני עם איש לא” – מתייחסים לתקופה זו בחייו, כשנמתחה ביקורת על שיעוריו מצדדים רבים, הן מפי תלמידי חכמים מפורסמים הן מפי תלמידים בישיבה</w:t>
      </w:r>
      <w:bookmarkStart w:id="6714" w:name="_fnr5111"/>
      <w:r>
        <w:rPr>
          <w:rStyle w:val="a5"/>
        </w:rPr>
        <w:footnoteReference w:id="5124" w:customMarkFollows="0"/>
      </w:r>
      <w:bookmarkEnd w:id="6714"/>
      <w:r>
        <w:rPr>
          <w:rtl/>
        </w:rPr>
        <w:t xml:space="preserve">. בדיווחים ששיעורי ר׳ חיים עמדו לבחינתם של תלמידי חכמים מפורסמים – הן </w:t>
      </w:r>
      <w:proofErr w:type="spellStart"/>
      <w:r>
        <w:rPr>
          <w:rtl/>
        </w:rPr>
        <w:t>ב“נפש</w:t>
      </w:r>
      <w:proofErr w:type="spellEnd"/>
      <w:r>
        <w:rPr>
          <w:rtl/>
        </w:rPr>
        <w:t xml:space="preserve"> הרב” הן </w:t>
      </w:r>
      <w:proofErr w:type="spellStart"/>
      <w:r>
        <w:rPr>
          <w:rtl/>
        </w:rPr>
        <w:t>ב“הרב</w:t>
      </w:r>
      <w:proofErr w:type="spellEnd"/>
      <w:r>
        <w:rPr>
          <w:rtl/>
        </w:rPr>
        <w:t xml:space="preserve">” – יש כמה </w:t>
      </w:r>
      <w:proofErr w:type="spellStart"/>
      <w:r>
        <w:rPr>
          <w:rtl/>
        </w:rPr>
        <w:t>אי־דיוקים</w:t>
      </w:r>
      <w:proofErr w:type="spellEnd"/>
      <w:r>
        <w:rPr>
          <w:rtl/>
        </w:rPr>
        <w:t xml:space="preserve"> היסטוריים, ועליהם </w:t>
      </w:r>
      <w:proofErr w:type="spellStart"/>
      <w:r>
        <w:rPr>
          <w:rtl/>
        </w:rPr>
        <w:t>יוצבע</w:t>
      </w:r>
      <w:proofErr w:type="spellEnd"/>
      <w:r>
        <w:rPr>
          <w:rtl/>
        </w:rPr>
        <w:t xml:space="preserve"> בהערות שוטפות לדברים.</w:t>
      </w:r>
    </w:p>
    <w:p w14:paraId="69F9D71C" w14:textId="230D6254" w:rsidR="00AB3647" w:rsidRDefault="00000000" w:rsidP="007923E9">
      <w:pPr>
        <w:spacing w:after="120" w:line="276" w:lineRule="auto"/>
        <w:ind w:firstLine="283"/>
        <w:jc w:val="both"/>
      </w:pPr>
      <w:r>
        <w:rPr>
          <w:rtl/>
        </w:rPr>
        <w:t xml:space="preserve">“נפש הרב” אומר: “כמה גדולי תורה באו לישיבה לשמוע כיצד הוא מוסר את השיעור, ולדון על פיו אם הוא באמת מתאים למשרה. בין הגאונים ששימשו אז בוועד המנהל של הישיבה היו: ר׳ </w:t>
      </w:r>
      <w:proofErr w:type="spellStart"/>
      <w:r>
        <w:rPr>
          <w:rtl/>
        </w:rPr>
        <w:t>אלעזר־משה</w:t>
      </w:r>
      <w:proofErr w:type="spellEnd"/>
      <w:r>
        <w:rPr>
          <w:rtl/>
        </w:rPr>
        <w:t xml:space="preserve"> הורוביץ” [</w:t>
      </w:r>
      <w:proofErr w:type="spellStart"/>
      <w:r>
        <w:rPr>
          <w:rtl/>
        </w:rPr>
        <w:t>מפינסק</w:t>
      </w:r>
      <w:proofErr w:type="spellEnd"/>
      <w:r>
        <w:rPr>
          <w:rtl/>
        </w:rPr>
        <w:t xml:space="preserve">; ייתכן שהדבר מדויק, שכן כשהחל ר׳ חיים למסור שיעורים היה ר׳ </w:t>
      </w:r>
      <w:proofErr w:type="spellStart"/>
      <w:r>
        <w:rPr>
          <w:rtl/>
        </w:rPr>
        <w:t>אלעזר־משה</w:t>
      </w:r>
      <w:proofErr w:type="spellEnd"/>
      <w:r>
        <w:rPr>
          <w:rtl/>
        </w:rPr>
        <w:t xml:space="preserve"> בן שישים ושתיים – וכעבור שנתיים לקה בשבץ שנטל ממנו את יכולת הדיבור הברור, לפי “רבותינו שבגולה”, כרך 1</w:t>
      </w:r>
      <w:bookmarkStart w:id="6715" w:name="_fnr5112"/>
      <w:r>
        <w:rPr>
          <w:rStyle w:val="a5"/>
        </w:rPr>
        <w:footnoteReference w:id="5125" w:customMarkFollows="0"/>
      </w:r>
      <w:bookmarkEnd w:id="6715"/>
      <w:r>
        <w:rPr>
          <w:rtl/>
        </w:rPr>
        <w:t xml:space="preserve">]; “ר׳ </w:t>
      </w:r>
      <w:proofErr w:type="spellStart"/>
      <w:r>
        <w:rPr>
          <w:rtl/>
        </w:rPr>
        <w:t>אייזיל</w:t>
      </w:r>
      <w:proofErr w:type="spellEnd"/>
      <w:r>
        <w:rPr>
          <w:rtl/>
        </w:rPr>
        <w:t xml:space="preserve"> חריף” [מסלונים, אך הדבר אינו נכון, שהרי נפטר </w:t>
      </w:r>
      <w:proofErr w:type="spellStart"/>
      <w:r>
        <w:rPr>
          <w:rtl/>
        </w:rPr>
        <w:t>בתרל״ג</w:t>
      </w:r>
      <w:proofErr w:type="spellEnd"/>
      <w:r>
        <w:rPr>
          <w:rtl/>
        </w:rPr>
        <w:t>, שנת נישואיו של ר׳ חיים</w:t>
      </w:r>
      <w:bookmarkStart w:id="6716" w:name="_fnr5113"/>
      <w:r>
        <w:rPr>
          <w:rStyle w:val="a5"/>
        </w:rPr>
        <w:footnoteReference w:id="5126" w:customMarkFollows="0"/>
      </w:r>
      <w:bookmarkEnd w:id="6716"/>
      <w:r>
        <w:rPr>
          <w:rtl/>
        </w:rPr>
        <w:t xml:space="preserve">; אולי הכוונה לחתנו ויורשו של ר׳ </w:t>
      </w:r>
      <w:proofErr w:type="spellStart"/>
      <w:r>
        <w:rPr>
          <w:rtl/>
        </w:rPr>
        <w:t>אייזיל</w:t>
      </w:r>
      <w:proofErr w:type="spellEnd"/>
      <w:r>
        <w:rPr>
          <w:rtl/>
        </w:rPr>
        <w:t xml:space="preserve"> בסלונים, ר׳ יוסל </w:t>
      </w:r>
      <w:proofErr w:type="spellStart"/>
      <w:r>
        <w:rPr>
          <w:rtl/>
        </w:rPr>
        <w:t>שלופפר</w:t>
      </w:r>
      <w:proofErr w:type="spellEnd"/>
      <w:r>
        <w:rPr>
          <w:rtl/>
        </w:rPr>
        <w:t xml:space="preserve"> – הידוע כעילוי </w:t>
      </w:r>
      <w:proofErr w:type="spellStart"/>
      <w:r>
        <w:rPr>
          <w:rtl/>
        </w:rPr>
        <w:t>מדננבורג</w:t>
      </w:r>
      <w:proofErr w:type="spellEnd"/>
      <w:r>
        <w:rPr>
          <w:rtl/>
        </w:rPr>
        <w:t xml:space="preserve">, הנזכר בפרק 3,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והשווה “שמושה של תורה”</w:t>
      </w:r>
      <w:bookmarkStart w:id="6717" w:name="_fnr5114"/>
      <w:r>
        <w:rPr>
          <w:rStyle w:val="a5"/>
        </w:rPr>
        <w:footnoteReference w:id="5127" w:customMarkFollows="0"/>
      </w:r>
      <w:bookmarkEnd w:id="6717"/>
      <w:r>
        <w:rPr>
          <w:rtl/>
        </w:rPr>
        <w:t xml:space="preserve"> למה שסיפר ר׳ </w:t>
      </w:r>
      <w:proofErr w:type="spellStart"/>
      <w:r>
        <w:rPr>
          <w:rtl/>
        </w:rPr>
        <w:t>איסר־זלמן</w:t>
      </w:r>
      <w:proofErr w:type="spellEnd"/>
      <w:r>
        <w:rPr>
          <w:rtl/>
        </w:rPr>
        <w:t xml:space="preserve"> על בחירת הרב </w:t>
      </w:r>
      <w:proofErr w:type="spellStart"/>
      <w:r>
        <w:rPr>
          <w:rtl/>
        </w:rPr>
        <w:t>שלופפר</w:t>
      </w:r>
      <w:proofErr w:type="spellEnd"/>
      <w:r>
        <w:rPr>
          <w:rtl/>
        </w:rPr>
        <w:t xml:space="preserve"> לחתנו של ר׳ </w:t>
      </w:r>
      <w:proofErr w:type="spellStart"/>
      <w:r>
        <w:rPr>
          <w:rtl/>
        </w:rPr>
        <w:t>אייזיל</w:t>
      </w:r>
      <w:proofErr w:type="spellEnd"/>
      <w:r>
        <w:rPr>
          <w:rtl/>
        </w:rPr>
        <w:t xml:space="preserve">]; “ור׳ אלי׳ ממיר” [צריך להיות ר׳ </w:t>
      </w:r>
      <w:proofErr w:type="spellStart"/>
      <w:r>
        <w:rPr>
          <w:rtl/>
        </w:rPr>
        <w:t>ליפא</w:t>
      </w:r>
      <w:proofErr w:type="spellEnd"/>
      <w:r>
        <w:rPr>
          <w:rtl/>
        </w:rPr>
        <w:t xml:space="preserve"> ממיר, שהרי ר׳ </w:t>
      </w:r>
      <w:proofErr w:type="spellStart"/>
      <w:r>
        <w:rPr>
          <w:rtl/>
        </w:rPr>
        <w:t>אלי׳־ברוך</w:t>
      </w:r>
      <w:proofErr w:type="spellEnd"/>
      <w:r>
        <w:rPr>
          <w:rtl/>
        </w:rPr>
        <w:t xml:space="preserve"> לא בא </w:t>
      </w:r>
      <w:proofErr w:type="spellStart"/>
      <w:r>
        <w:rPr>
          <w:rtl/>
        </w:rPr>
        <w:t>למיר</w:t>
      </w:r>
      <w:proofErr w:type="spellEnd"/>
      <w:r>
        <w:rPr>
          <w:rtl/>
        </w:rPr>
        <w:t xml:space="preserve"> עד תרנ״ט, זמן רב אחרי שנסגרה ישיבת </w:t>
      </w:r>
      <w:proofErr w:type="spellStart"/>
      <w:r>
        <w:rPr>
          <w:rtl/>
        </w:rPr>
        <w:t>וולוז׳ין</w:t>
      </w:r>
      <w:proofErr w:type="spellEnd"/>
      <w:r>
        <w:rPr>
          <w:rtl/>
        </w:rPr>
        <w:t xml:space="preserve"> ור׳ חיים החל לכהן כרב </w:t>
      </w:r>
      <w:proofErr w:type="spellStart"/>
      <w:r>
        <w:rPr>
          <w:rtl/>
        </w:rPr>
        <w:t>בבריסק</w:t>
      </w:r>
      <w:proofErr w:type="spellEnd"/>
      <w:r>
        <w:rPr>
          <w:rtl/>
        </w:rPr>
        <w:t>].</w:t>
      </w:r>
    </w:p>
    <w:p w14:paraId="30BE2C08" w14:textId="5381FA65" w:rsidR="00AB3647" w:rsidRDefault="00000000" w:rsidP="007923E9">
      <w:pPr>
        <w:spacing w:after="120" w:line="276" w:lineRule="auto"/>
        <w:ind w:firstLine="283"/>
        <w:jc w:val="both"/>
      </w:pPr>
      <w:r>
        <w:rPr>
          <w:rtl/>
        </w:rPr>
        <w:t xml:space="preserve">גרסת “הרב” משמיטה שניים מן השמות שמונה “נפש הרב”, ר׳ </w:t>
      </w:r>
      <w:proofErr w:type="spellStart"/>
      <w:r>
        <w:rPr>
          <w:rtl/>
        </w:rPr>
        <w:t>אלעזר־משה</w:t>
      </w:r>
      <w:proofErr w:type="spellEnd"/>
      <w:r>
        <w:rPr>
          <w:rtl/>
        </w:rPr>
        <w:t xml:space="preserve"> הורוביץ ור׳ אלי׳[־ר׳ </w:t>
      </w:r>
      <w:proofErr w:type="spellStart"/>
      <w:r>
        <w:rPr>
          <w:rtl/>
        </w:rPr>
        <w:t>ליפא</w:t>
      </w:r>
      <w:proofErr w:type="spellEnd"/>
      <w:r>
        <w:rPr>
          <w:rtl/>
        </w:rPr>
        <w:t xml:space="preserve">] ממיר, ומחליפה אותם בשניים אחרים: “ר׳ ראובן </w:t>
      </w:r>
      <w:proofErr w:type="spellStart"/>
      <w:r>
        <w:rPr>
          <w:rtl/>
        </w:rPr>
        <w:t>מדננבורג</w:t>
      </w:r>
      <w:proofErr w:type="spellEnd"/>
      <w:r>
        <w:rPr>
          <w:rtl/>
        </w:rPr>
        <w:t xml:space="preserve"> ור׳ </w:t>
      </w:r>
      <w:proofErr w:type="spellStart"/>
      <w:r>
        <w:rPr>
          <w:rtl/>
        </w:rPr>
        <w:t>יצחק־אלחנן</w:t>
      </w:r>
      <w:proofErr w:type="spellEnd"/>
      <w:r>
        <w:rPr>
          <w:rtl/>
        </w:rPr>
        <w:t xml:space="preserve"> </w:t>
      </w:r>
      <w:proofErr w:type="spellStart"/>
      <w:r>
        <w:rPr>
          <w:rtl/>
        </w:rPr>
        <w:t>ספקטור</w:t>
      </w:r>
      <w:proofErr w:type="spellEnd"/>
      <w:r>
        <w:rPr>
          <w:rtl/>
        </w:rPr>
        <w:t xml:space="preserve">” [הראשון בוודאי לא בא </w:t>
      </w:r>
      <w:proofErr w:type="spellStart"/>
      <w:r>
        <w:rPr>
          <w:rtl/>
        </w:rPr>
        <w:t>לוולוז׳ין</w:t>
      </w:r>
      <w:proofErr w:type="spellEnd"/>
      <w:r>
        <w:rPr>
          <w:rtl/>
        </w:rPr>
        <w:t xml:space="preserve"> להשתתף בבחינת ר׳ חיים, כפי שציין גם ר׳ יוסף </w:t>
      </w:r>
      <w:proofErr w:type="spellStart"/>
      <w:r>
        <w:rPr>
          <w:rtl/>
        </w:rPr>
        <w:t>סולובייצ׳יק</w:t>
      </w:r>
      <w:proofErr w:type="spellEnd"/>
      <w:r>
        <w:rPr>
          <w:rtl/>
        </w:rPr>
        <w:t xml:space="preserve"> בריאיון עמי]. השווה גם פרק 4, הפסקה הרביעית של </w:t>
      </w:r>
      <w:r>
        <w:rPr>
          <w:rtl/>
        </w:rPr>
        <w:fldChar w:fldCharType="begin" w:dirty="true"/>
      </w:r>
      <w:r>
        <w:rPr>
          <w:rtl/>
        </w:rPr>
        <w:instrText xml:space="preserve"> REF b4_excI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w:t>
      </w:r>
      <w:proofErr w:type="spellStart"/>
      <w:r>
        <w:rPr>
          <w:rtl/>
        </w:rPr>
        <w:t>לאי־דיוקים</w:t>
      </w:r>
      <w:proofErr w:type="spellEnd"/>
      <w:r>
        <w:rPr>
          <w:rtl/>
        </w:rPr>
        <w:t xml:space="preserve"> נוספים בדיווחי “נפש הרב” </w:t>
      </w:r>
      <w:proofErr w:type="spellStart"/>
      <w:r>
        <w:rPr>
          <w:rtl/>
        </w:rPr>
        <w:t>ו“הרב</w:t>
      </w:r>
      <w:proofErr w:type="spellEnd"/>
      <w:r>
        <w:rPr>
          <w:rtl/>
        </w:rPr>
        <w:t>”.</w:t>
      </w:r>
    </w:p>
    <w:p w14:paraId="0AAC071A" w14:textId="77777777" w:rsidR="00AB3647" w:rsidRDefault="00000000" w:rsidP="007923E9">
      <w:pPr>
        <w:spacing w:after="120" w:line="276" w:lineRule="auto"/>
        <w:ind w:firstLine="283"/>
        <w:jc w:val="both"/>
      </w:pPr>
      <w:r>
        <w:rPr>
          <w:rtl/>
        </w:rPr>
        <w:t xml:space="preserve">אף שמטרת ביקורו של ר׳ חיים אצל ר׳ ראובן לא הייתה להראות לו שהאורח מתאים למסור שיעורים – שאלה זו כבר הוכרעה לטובת ר׳ חיים חמש שנים קודם לכן – אפשר שהערעור המוקדם על התאמתו כמגיד שיעור עמד ברקע חילופי הדברים המשונים שאבי סיפר עליהם ושאירעו בפתיחת השיחה בין שני גדולי התורה. רקע היסטורי זה מסביר את יסוד הערתו המתגרה של ר׳ ראובן כשהציג ר׳ חיים את עצמו לפניו: “אז אתה הוא ר׳ חיים שמדברים עליו כל כך הרבה? שאל קושיא!” ר׳ ראובן נזכר – והזכיר </w:t>
      </w:r>
      <w:proofErr w:type="spellStart"/>
      <w:r>
        <w:rPr>
          <w:rtl/>
        </w:rPr>
        <w:t>לר</w:t>
      </w:r>
      <w:proofErr w:type="spellEnd"/>
      <w:r>
        <w:rPr>
          <w:rtl/>
        </w:rPr>
        <w:t xml:space="preserve">׳ חיים – שמינויו </w:t>
      </w:r>
      <w:proofErr w:type="spellStart"/>
      <w:r>
        <w:rPr>
          <w:rtl/>
        </w:rPr>
        <w:t>בוולוז׳ין</w:t>
      </w:r>
      <w:proofErr w:type="spellEnd"/>
      <w:r>
        <w:rPr>
          <w:rtl/>
        </w:rPr>
        <w:t xml:space="preserve"> הועמד </w:t>
      </w:r>
      <w:r>
        <w:rPr>
          <w:rtl/>
        </w:rPr>
        <w:lastRenderedPageBreak/>
        <w:t>בספק חמש שנים קודם לכן. ר׳ חיים, שהיה צעיר מר׳ ראובן כמעט בארבעים שנה, השיב לו אז בחריפות: “</w:t>
      </w:r>
      <w:r>
        <w:rPr>
          <w:b/>
          <w:bCs/>
          <w:rtl/>
        </w:rPr>
        <w:t>אתה</w:t>
      </w:r>
      <w:r>
        <w:rPr>
          <w:rtl/>
        </w:rPr>
        <w:t xml:space="preserve"> שאל את </w:t>
      </w:r>
      <w:proofErr w:type="spellStart"/>
      <w:r>
        <w:rPr>
          <w:rtl/>
        </w:rPr>
        <w:t>הקושיא</w:t>
      </w:r>
      <w:proofErr w:type="spellEnd"/>
      <w:r>
        <w:rPr>
          <w:rtl/>
        </w:rPr>
        <w:t>, ואני אומר גם את תירוצך וגם את תירוצי”.</w:t>
      </w:r>
    </w:p>
    <w:p w14:paraId="04991BE8" w14:textId="77777777" w:rsidR="00AB3647" w:rsidRDefault="00000000" w:rsidP="007923E9">
      <w:pPr>
        <w:spacing w:after="120" w:line="276" w:lineRule="auto"/>
        <w:ind w:firstLine="283"/>
        <w:jc w:val="both"/>
      </w:pPr>
      <w:r>
        <w:rPr>
          <w:rtl/>
        </w:rPr>
        <w:t xml:space="preserve">הגרסה שמסר ר׳ יוסף </w:t>
      </w:r>
      <w:proofErr w:type="spellStart"/>
      <w:r>
        <w:rPr>
          <w:rtl/>
        </w:rPr>
        <w:t>סולובייצ׳יק</w:t>
      </w:r>
      <w:proofErr w:type="spellEnd"/>
      <w:r>
        <w:rPr>
          <w:rtl/>
        </w:rPr>
        <w:t>, ש</w:t>
      </w:r>
      <w:r>
        <w:rPr>
          <w:b/>
          <w:bCs/>
          <w:rtl/>
        </w:rPr>
        <w:t>כל מטרת</w:t>
      </w:r>
      <w:r>
        <w:rPr>
          <w:rtl/>
        </w:rPr>
        <w:t xml:space="preserve"> נסיעתו של ר׳ חיים </w:t>
      </w:r>
      <w:proofErr w:type="spellStart"/>
      <w:r>
        <w:rPr>
          <w:rtl/>
        </w:rPr>
        <w:t>לדננבורג</w:t>
      </w:r>
      <w:proofErr w:type="spellEnd"/>
      <w:r>
        <w:rPr>
          <w:rtl/>
        </w:rPr>
        <w:t xml:space="preserve"> הייתה לקבל את אישור ר׳ ראובן למסירת שיעורים, הוסקה בטעות מחילופי דברים אלה, שאכן </w:t>
      </w:r>
      <w:r>
        <w:rPr>
          <w:b/>
          <w:bCs/>
          <w:rtl/>
        </w:rPr>
        <w:t>הדהד בהם הדיון הישן, שכבר עבר זמנו</w:t>
      </w:r>
      <w:r>
        <w:rPr>
          <w:rtl/>
        </w:rPr>
        <w:t xml:space="preserve">, בין גדולי התורה, אם ראוי להפיץ את שיטת לימודו של ר׳ חיים מעל במת ישיבת </w:t>
      </w:r>
      <w:proofErr w:type="spellStart"/>
      <w:r>
        <w:rPr>
          <w:rtl/>
        </w:rPr>
        <w:t>וולוז׳ין</w:t>
      </w:r>
      <w:proofErr w:type="spellEnd"/>
      <w:r>
        <w:rPr>
          <w:rtl/>
        </w:rPr>
        <w:t>.</w:t>
      </w:r>
    </w:p>
    <w:p w14:paraId="00D05440" w14:textId="77777777" w:rsidR="00AB3647" w:rsidRDefault="00000000" w:rsidP="007923E9">
      <w:pPr>
        <w:spacing w:after="120" w:line="276" w:lineRule="auto"/>
        <w:ind w:firstLine="283"/>
        <w:jc w:val="both"/>
      </w:pPr>
      <w:r>
        <w:rPr>
          <w:rtl/>
        </w:rPr>
        <w:t xml:space="preserve">ר׳ </w:t>
      </w:r>
      <w:proofErr w:type="spellStart"/>
      <w:r>
        <w:rPr>
          <w:rtl/>
        </w:rPr>
        <w:t>משולם־דוד</w:t>
      </w:r>
      <w:proofErr w:type="spellEnd"/>
      <w:r>
        <w:rPr>
          <w:rtl/>
        </w:rPr>
        <w:t xml:space="preserve"> הזכיר גם תלמיד חכם גדול אחר שאליו נשלח ר׳ חיים </w:t>
      </w:r>
      <w:r>
        <w:rPr>
          <w:b/>
          <w:bCs/>
          <w:rtl/>
        </w:rPr>
        <w:t xml:space="preserve">באותו זמן שנשלח </w:t>
      </w:r>
      <w:proofErr w:type="spellStart"/>
      <w:r>
        <w:rPr>
          <w:b/>
          <w:bCs/>
          <w:rtl/>
        </w:rPr>
        <w:t>לר</w:t>
      </w:r>
      <w:proofErr w:type="spellEnd"/>
      <w:r>
        <w:rPr>
          <w:b/>
          <w:bCs/>
          <w:rtl/>
        </w:rPr>
        <w:t>׳ ראובן</w:t>
      </w:r>
      <w:r>
        <w:rPr>
          <w:rtl/>
        </w:rPr>
        <w:t xml:space="preserve">: ר׳ אריה </w:t>
      </w:r>
      <w:proofErr w:type="spellStart"/>
      <w:r>
        <w:rPr>
          <w:rtl/>
        </w:rPr>
        <w:t>האיהומינר</w:t>
      </w:r>
      <w:proofErr w:type="spellEnd"/>
      <w:r>
        <w:rPr>
          <w:rtl/>
        </w:rPr>
        <w:t xml:space="preserve">, </w:t>
      </w:r>
      <w:proofErr w:type="spellStart"/>
      <w:r>
        <w:rPr>
          <w:rtl/>
        </w:rPr>
        <w:t>מ״ץ</w:t>
      </w:r>
      <w:proofErr w:type="spellEnd"/>
      <w:r>
        <w:rPr>
          <w:rtl/>
        </w:rPr>
        <w:t xml:space="preserve"> במינסק. כשבא ר׳ חיים לפני ר׳ אריה, הזכיר פירוש קשה ברש״י, ור׳ אריה עצרו במילים: “קושיא זו ידועה”. אמר ר׳ חיים: “כן, אבל אני רוצה להציע תירוץ”. השיב ר׳ אריה, תלמיד ר׳ מנשה מאיליה</w:t>
      </w:r>
      <w:bookmarkStart w:id="6718" w:name="_fnr5115"/>
      <w:r>
        <w:rPr>
          <w:rStyle w:val="a5"/>
        </w:rPr>
        <w:footnoteReference w:id="5128" w:customMarkFollows="0"/>
      </w:r>
      <w:bookmarkEnd w:id="6718"/>
      <w:r>
        <w:rPr>
          <w:rtl/>
        </w:rPr>
        <w:t xml:space="preserve">: “אתה תציע תירוץ הסוטה מן הפשטות – ואני שונא </w:t>
      </w:r>
      <w:proofErr w:type="spellStart"/>
      <w:r>
        <w:rPr>
          <w:rtl/>
        </w:rPr>
        <w:t>פשעטלאך</w:t>
      </w:r>
      <w:proofErr w:type="spellEnd"/>
      <w:r>
        <w:rPr>
          <w:rtl/>
        </w:rPr>
        <w:t xml:space="preserve"> [תירוצים מפולפלים] שנאת מוות. אך מאחר שזה רצונך, אורחי, אסבול את הכאב חצי שעה ואשמע את </w:t>
      </w:r>
      <w:proofErr w:type="spellStart"/>
      <w:r>
        <w:rPr>
          <w:rtl/>
        </w:rPr>
        <w:t>הפשעטל</w:t>
      </w:r>
      <w:proofErr w:type="spellEnd"/>
      <w:r>
        <w:rPr>
          <w:rtl/>
        </w:rPr>
        <w:t xml:space="preserve"> שלך”.</w:t>
      </w:r>
    </w:p>
    <w:p w14:paraId="533CBADE" w14:textId="77777777" w:rsidR="00AB3647" w:rsidRDefault="00000000" w:rsidP="007923E9">
      <w:pPr>
        <w:spacing w:after="120" w:line="276" w:lineRule="auto"/>
        <w:ind w:firstLine="283"/>
        <w:jc w:val="both"/>
      </w:pPr>
      <w:r>
        <w:rPr>
          <w:rtl/>
        </w:rPr>
        <w:t>ר׳ חיים, כמובן, אמר שלא יעלה על דעתו לצער כך את מארחו, ועבר להזכיר דברי רמב״ם, ואחר כך גמרא ותוספות – עד שקפץ מארחו על רגליו ואמר: “עתה, כשהובלת אותי דרך המקורות, אני מבין מה יהיה תירוצך לרש״י הקשה; תירוצך טוב, ואני מבקש את סליחתך”</w:t>
      </w:r>
      <w:bookmarkStart w:id="6719" w:name="_fnr5116"/>
      <w:r>
        <w:rPr>
          <w:rStyle w:val="a5"/>
        </w:rPr>
        <w:footnoteReference w:id="5129" w:customMarkFollows="0"/>
      </w:r>
      <w:bookmarkEnd w:id="6719"/>
      <w:r>
        <w:rPr>
          <w:rtl/>
        </w:rPr>
        <w:t>.</w:t>
      </w:r>
    </w:p>
    <w:p w14:paraId="5BD9C983" w14:textId="77777777" w:rsidR="00AB3647" w:rsidRDefault="00000000" w:rsidP="007923E9">
      <w:pPr>
        <w:spacing w:after="120" w:line="276" w:lineRule="auto"/>
        <w:ind w:firstLine="283"/>
        <w:jc w:val="both"/>
      </w:pPr>
      <w:r>
        <w:rPr>
          <w:rtl/>
        </w:rPr>
        <w:t xml:space="preserve">סיפור זה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20" w:name="_fnr5117"/>
      <w:r>
        <w:rPr>
          <w:rStyle w:val="a5"/>
        </w:rPr>
        <w:footnoteReference w:id="5130" w:customMarkFollows="0"/>
      </w:r>
      <w:bookmarkEnd w:id="6720"/>
      <w:r>
        <w:rPr>
          <w:rtl/>
        </w:rPr>
        <w:t xml:space="preserve"> בשם ר׳ </w:t>
      </w:r>
      <w:proofErr w:type="spellStart"/>
      <w:r>
        <w:rPr>
          <w:rtl/>
        </w:rPr>
        <w:t>משולם־דוד</w:t>
      </w:r>
      <w:proofErr w:type="spellEnd"/>
      <w:r>
        <w:rPr>
          <w:rtl/>
        </w:rPr>
        <w:t xml:space="preserve">, ובמועד שאינו מתאים לנסיעת ר׳ חיים </w:t>
      </w:r>
      <w:proofErr w:type="spellStart"/>
      <w:r>
        <w:rPr>
          <w:rtl/>
        </w:rPr>
        <w:t>לדננבורג</w:t>
      </w:r>
      <w:proofErr w:type="spellEnd"/>
      <w:r>
        <w:rPr>
          <w:rtl/>
        </w:rPr>
        <w:t xml:space="preserve">. נאמר שם: “פעם נזקקה ישיבת </w:t>
      </w:r>
      <w:proofErr w:type="spellStart"/>
      <w:r>
        <w:rPr>
          <w:rtl/>
        </w:rPr>
        <w:t>וולוז׳ין</w:t>
      </w:r>
      <w:proofErr w:type="spellEnd"/>
      <w:r>
        <w:rPr>
          <w:rtl/>
        </w:rPr>
        <w:t xml:space="preserve"> למכתבים מגדולי התורה בעניין מסוים, </w:t>
      </w:r>
      <w:proofErr w:type="spellStart"/>
      <w:r>
        <w:rPr>
          <w:rtl/>
        </w:rPr>
        <w:t>והנצי״ב</w:t>
      </w:r>
      <w:proofErr w:type="spellEnd"/>
      <w:r>
        <w:rPr>
          <w:rtl/>
        </w:rPr>
        <w:t xml:space="preserve"> שלח את ר׳ חיים להשיג את המכתבים. </w:t>
      </w:r>
      <w:r>
        <w:rPr>
          <w:b/>
          <w:bCs/>
          <w:rtl/>
        </w:rPr>
        <w:t>הדבר אירע מיד אחרי נישואיו</w:t>
      </w:r>
      <w:r>
        <w:rPr>
          <w:rtl/>
        </w:rPr>
        <w:t xml:space="preserve"> (ההדגשה שלי)”. ר׳ חיים נישא </w:t>
      </w:r>
      <w:proofErr w:type="spellStart"/>
      <w:r>
        <w:rPr>
          <w:rtl/>
        </w:rPr>
        <w:t>בתרל״ג</w:t>
      </w:r>
      <w:proofErr w:type="spellEnd"/>
      <w:r>
        <w:rPr>
          <w:rtl/>
        </w:rPr>
        <w:t xml:space="preserve">, ונסיעתו </w:t>
      </w:r>
      <w:proofErr w:type="spellStart"/>
      <w:r>
        <w:rPr>
          <w:rtl/>
        </w:rPr>
        <w:t>לדננבורג</w:t>
      </w:r>
      <w:proofErr w:type="spellEnd"/>
      <w:r>
        <w:rPr>
          <w:rtl/>
        </w:rPr>
        <w:t xml:space="preserve"> הייתה כעבור </w:t>
      </w:r>
      <w:proofErr w:type="spellStart"/>
      <w:r>
        <w:rPr>
          <w:rtl/>
        </w:rPr>
        <w:t>שתים־עשרה</w:t>
      </w:r>
      <w:proofErr w:type="spellEnd"/>
      <w:r>
        <w:rPr>
          <w:rtl/>
        </w:rPr>
        <w:t xml:space="preserve"> שנה, כמבואר בראש פסקה זו. אני נוטה לקבל את דברי ר׳ </w:t>
      </w:r>
      <w:proofErr w:type="spellStart"/>
      <w:r>
        <w:rPr>
          <w:rtl/>
        </w:rPr>
        <w:t>משולם־דוד</w:t>
      </w:r>
      <w:proofErr w:type="spellEnd"/>
      <w:r>
        <w:rPr>
          <w:rtl/>
        </w:rPr>
        <w:t xml:space="preserve"> בעל פה על פני הכתוב בספר הנזכר: אני מניח שהפגישה עם ר׳ אריה </w:t>
      </w:r>
      <w:proofErr w:type="spellStart"/>
      <w:r>
        <w:rPr>
          <w:rtl/>
        </w:rPr>
        <w:t>האיהומינר</w:t>
      </w:r>
      <w:proofErr w:type="spellEnd"/>
      <w:r>
        <w:rPr>
          <w:rtl/>
        </w:rPr>
        <w:t xml:space="preserve"> התקיימה כשנסע ר׳ חיים </w:t>
      </w:r>
      <w:proofErr w:type="spellStart"/>
      <w:r>
        <w:rPr>
          <w:rtl/>
        </w:rPr>
        <w:t>לדננבורג</w:t>
      </w:r>
      <w:proofErr w:type="spellEnd"/>
      <w:r>
        <w:rPr>
          <w:rtl/>
        </w:rPr>
        <w:t xml:space="preserve">, </w:t>
      </w:r>
      <w:proofErr w:type="spellStart"/>
      <w:r>
        <w:rPr>
          <w:rtl/>
        </w:rPr>
        <w:t>ושה“מכתבים</w:t>
      </w:r>
      <w:proofErr w:type="spellEnd"/>
      <w:r>
        <w:rPr>
          <w:rtl/>
        </w:rPr>
        <w:t xml:space="preserve"> שנדרשו” היו לשם פתיחת כולל, כפי שהובא מדברי רבנו בתחילת פסקה זו.</w:t>
      </w:r>
    </w:p>
    <w:p w14:paraId="4D149D5A" w14:textId="77777777" w:rsidR="00AB3647" w:rsidRDefault="00000000" w:rsidP="007923E9">
      <w:pPr>
        <w:spacing w:after="120" w:line="276" w:lineRule="auto"/>
        <w:ind w:firstLine="283"/>
        <w:jc w:val="both"/>
      </w:pPr>
      <w:r>
        <w:rPr>
          <w:rtl/>
        </w:rPr>
        <w:t xml:space="preserve">אגב, יש דרכים חלופיות </w:t>
      </w:r>
      <w:proofErr w:type="spellStart"/>
      <w:r>
        <w:rPr>
          <w:rtl/>
        </w:rPr>
        <w:t>מוולוז׳ין</w:t>
      </w:r>
      <w:proofErr w:type="spellEnd"/>
      <w:r>
        <w:rPr>
          <w:rtl/>
        </w:rPr>
        <w:t xml:space="preserve"> </w:t>
      </w:r>
      <w:proofErr w:type="spellStart"/>
      <w:r>
        <w:rPr>
          <w:rtl/>
        </w:rPr>
        <w:t>לדננבורג</w:t>
      </w:r>
      <w:proofErr w:type="spellEnd"/>
      <w:r>
        <w:rPr>
          <w:rtl/>
        </w:rPr>
        <w:t xml:space="preserve">. הדרך דרך מינסק ארוכה מעט מזו שדרך וילנה, אך מסתבר שהיו קשרי מסחר רבים יותר בין מינסק </w:t>
      </w:r>
      <w:proofErr w:type="spellStart"/>
      <w:r>
        <w:rPr>
          <w:rtl/>
        </w:rPr>
        <w:t>לדננבורג</w:t>
      </w:r>
      <w:proofErr w:type="spellEnd"/>
      <w:r>
        <w:rPr>
          <w:rtl/>
        </w:rPr>
        <w:t xml:space="preserve"> מאשר בין וילנה </w:t>
      </w:r>
      <w:proofErr w:type="spellStart"/>
      <w:r>
        <w:rPr>
          <w:rtl/>
        </w:rPr>
        <w:t>לדננבורג</w:t>
      </w:r>
      <w:proofErr w:type="spellEnd"/>
      <w:r>
        <w:rPr>
          <w:rtl/>
        </w:rPr>
        <w:t xml:space="preserve">, ולכן קל היה יותר להסדיר את הנסיעה דרך מינסק. כך יכול היה ר׳ חיים לסור אל ר׳ אריה </w:t>
      </w:r>
      <w:r>
        <w:rPr>
          <w:b/>
          <w:bCs/>
          <w:rtl/>
        </w:rPr>
        <w:t>בדרכו</w:t>
      </w:r>
      <w:r>
        <w:rPr>
          <w:rtl/>
        </w:rPr>
        <w:t xml:space="preserve"> </w:t>
      </w:r>
      <w:proofErr w:type="spellStart"/>
      <w:r>
        <w:rPr>
          <w:rtl/>
        </w:rPr>
        <w:t>לר</w:t>
      </w:r>
      <w:proofErr w:type="spellEnd"/>
      <w:r>
        <w:rPr>
          <w:rtl/>
        </w:rPr>
        <w:t xml:space="preserve">׳ ראובן. אילו התכוון ר׳ חיים לאסוף מעט כספים </w:t>
      </w:r>
      <w:r>
        <w:rPr>
          <w:b/>
          <w:bCs/>
          <w:rtl/>
        </w:rPr>
        <w:t>בדרך</w:t>
      </w:r>
      <w:r>
        <w:rPr>
          <w:rtl/>
        </w:rPr>
        <w:t xml:space="preserve"> – ולא </w:t>
      </w:r>
      <w:proofErr w:type="spellStart"/>
      <w:r>
        <w:rPr>
          <w:rtl/>
        </w:rPr>
        <w:t>בדננבורג</w:t>
      </w:r>
      <w:proofErr w:type="spellEnd"/>
      <w:r>
        <w:rPr>
          <w:rtl/>
        </w:rPr>
        <w:t xml:space="preserve">, שלפי </w:t>
      </w:r>
      <w:proofErr w:type="spellStart"/>
      <w:r>
        <w:rPr>
          <w:rtl/>
        </w:rPr>
        <w:t>רבינר</w:t>
      </w:r>
      <w:proofErr w:type="spellEnd"/>
      <w:r>
        <w:rPr>
          <w:rtl/>
        </w:rPr>
        <w:t xml:space="preserve">, “רבינו מאיר שמחה הכהן”, שצוטט לעיל, איסוף הכספים שם היה מטרת נסיעתו – הייתה דרכו עוברת כנראה במינסק, שבה גרו תומכיה הנאמנים ביותר של ישיבת </w:t>
      </w:r>
      <w:proofErr w:type="spellStart"/>
      <w:r>
        <w:rPr>
          <w:rtl/>
        </w:rPr>
        <w:t>וולוז׳ין</w:t>
      </w:r>
      <w:proofErr w:type="spellEnd"/>
      <w:r>
        <w:rPr>
          <w:rtl/>
        </w:rPr>
        <w:t>.</w:t>
      </w:r>
    </w:p>
    <w:p w14:paraId="2AE55BB7" w14:textId="77777777" w:rsidR="00AB3647" w:rsidRDefault="00000000" w:rsidP="007923E9">
      <w:pPr>
        <w:pStyle w:val="4"/>
        <w:spacing w:line="276" w:lineRule="auto"/>
      </w:pPr>
      <w:r>
        <w:lastRenderedPageBreak/>
        <w:t>· הפסקה החמישית ·</w:t>
      </w:r>
    </w:p>
    <w:p w14:paraId="3BFC430A" w14:textId="77777777" w:rsidR="00AB3647" w:rsidRDefault="00000000" w:rsidP="007923E9">
      <w:pPr>
        <w:shd w:val="clear" w:color="auto" w:fill="F2F2F2"/>
        <w:spacing w:before="40" w:after="200" w:line="276" w:lineRule="auto"/>
        <w:ind w:left="283" w:right="283"/>
        <w:jc w:val="both"/>
      </w:pPr>
      <w:r>
        <w:rPr>
          <w:color w:val="404040"/>
          <w:sz w:val="22"/>
          <w:szCs w:val="22"/>
          <w:rtl/>
        </w:rPr>
        <w:t xml:space="preserve">כישרונו המיוחד של ר׳ חיים מתגלה, לפי המסופר, בדרשת בר המצווה שלו – הוא מגלה אותו שוב בביקור לאיסוף כספים במינסק – חסדו של ר׳ חיים לעניי </w:t>
      </w:r>
      <w:proofErr w:type="spellStart"/>
      <w:r>
        <w:rPr>
          <w:color w:val="404040"/>
          <w:sz w:val="22"/>
          <w:szCs w:val="22"/>
          <w:rtl/>
        </w:rPr>
        <w:t>בריסק</w:t>
      </w:r>
      <w:proofErr w:type="spellEnd"/>
      <w:r>
        <w:rPr>
          <w:color w:val="404040"/>
          <w:sz w:val="22"/>
          <w:szCs w:val="22"/>
          <w:rtl/>
        </w:rPr>
        <w:t xml:space="preserve"> וגבורתו בהצלת ילדים מן השרפה הגדולה – מדוע רצה להרשים את רבה של מינסק – כיצד נתמנה ר׳ חיים לרבה של </w:t>
      </w:r>
      <w:proofErr w:type="spellStart"/>
      <w:r>
        <w:rPr>
          <w:color w:val="404040"/>
          <w:sz w:val="22"/>
          <w:szCs w:val="22"/>
          <w:rtl/>
        </w:rPr>
        <w:t>בריסק</w:t>
      </w:r>
      <w:proofErr w:type="spellEnd"/>
      <w:r>
        <w:rPr>
          <w:color w:val="404040"/>
          <w:sz w:val="22"/>
          <w:szCs w:val="22"/>
          <w:rtl/>
        </w:rPr>
        <w:t xml:space="preserve"> – אהבתו למשפחת </w:t>
      </w:r>
      <w:proofErr w:type="spellStart"/>
      <w:r>
        <w:rPr>
          <w:color w:val="404040"/>
          <w:sz w:val="22"/>
          <w:szCs w:val="22"/>
          <w:rtl/>
        </w:rPr>
        <w:t>ה“גדול</w:t>
      </w:r>
      <w:proofErr w:type="spellEnd"/>
      <w:r>
        <w:rPr>
          <w:color w:val="404040"/>
          <w:sz w:val="22"/>
          <w:szCs w:val="22"/>
          <w:rtl/>
        </w:rPr>
        <w:t xml:space="preserve">” ממינסק – ר׳ </w:t>
      </w:r>
      <w:proofErr w:type="spellStart"/>
      <w:r>
        <w:rPr>
          <w:color w:val="404040"/>
          <w:sz w:val="22"/>
          <w:szCs w:val="22"/>
          <w:rtl/>
        </w:rPr>
        <w:t>דוד־טעביל</w:t>
      </w:r>
      <w:proofErr w:type="spellEnd"/>
      <w:r>
        <w:rPr>
          <w:color w:val="404040"/>
          <w:sz w:val="22"/>
          <w:szCs w:val="22"/>
          <w:rtl/>
        </w:rPr>
        <w:t xml:space="preserve"> זוכה לבנו היחיד לעת זקנתו – ניסיונותיו של ר׳ חיים למנות יורשים </w:t>
      </w:r>
      <w:proofErr w:type="spellStart"/>
      <w:r>
        <w:rPr>
          <w:color w:val="404040"/>
          <w:sz w:val="22"/>
          <w:szCs w:val="22"/>
          <w:rtl/>
        </w:rPr>
        <w:t>ברבנויות</w:t>
      </w:r>
      <w:proofErr w:type="spellEnd"/>
      <w:r>
        <w:rPr>
          <w:color w:val="404040"/>
          <w:sz w:val="22"/>
          <w:szCs w:val="22"/>
          <w:rtl/>
        </w:rPr>
        <w:t xml:space="preserve"> שונות – ר׳ לייזר </w:t>
      </w:r>
      <w:proofErr w:type="spellStart"/>
      <w:r>
        <w:rPr>
          <w:color w:val="404040"/>
          <w:sz w:val="22"/>
          <w:szCs w:val="22"/>
          <w:rtl/>
        </w:rPr>
        <w:t>רבינוביץ</w:t>
      </w:r>
      <w:proofErr w:type="spellEnd"/>
      <w:r>
        <w:rPr>
          <w:color w:val="404040"/>
          <w:sz w:val="22"/>
          <w:szCs w:val="22"/>
          <w:rtl/>
        </w:rPr>
        <w:t xml:space="preserve"> ממנה את בנו של ר׳ </w:t>
      </w:r>
      <w:proofErr w:type="spellStart"/>
      <w:r>
        <w:rPr>
          <w:color w:val="404040"/>
          <w:sz w:val="22"/>
          <w:szCs w:val="22"/>
          <w:rtl/>
        </w:rPr>
        <w:t>אלי׳־ברוך</w:t>
      </w:r>
      <w:proofErr w:type="spellEnd"/>
      <w:r>
        <w:rPr>
          <w:color w:val="404040"/>
          <w:sz w:val="22"/>
          <w:szCs w:val="22"/>
          <w:rtl/>
        </w:rPr>
        <w:t xml:space="preserve"> קמאי לרבה של </w:t>
      </w:r>
      <w:proofErr w:type="spellStart"/>
      <w:r>
        <w:rPr>
          <w:color w:val="404040"/>
          <w:sz w:val="22"/>
          <w:szCs w:val="22"/>
          <w:rtl/>
        </w:rPr>
        <w:t>מיר</w:t>
      </w:r>
      <w:proofErr w:type="spellEnd"/>
    </w:p>
    <w:p w14:paraId="57A49C04" w14:textId="77777777" w:rsidR="00AB3647" w:rsidRDefault="00000000" w:rsidP="007923E9">
      <w:pPr>
        <w:spacing w:after="120" w:line="276" w:lineRule="auto"/>
        <w:ind w:firstLine="283"/>
        <w:jc w:val="both"/>
      </w:pPr>
      <w:r>
        <w:rPr>
          <w:rtl/>
        </w:rPr>
        <w:t xml:space="preserve">שני סיפורים נוספים המדגימים את כישרונו המיוחד של ר׳ חיים להבנת דרכי מחשבתם של אחרים מובאים </w:t>
      </w:r>
      <w:proofErr w:type="spellStart"/>
      <w:r>
        <w:rPr>
          <w:rtl/>
        </w:rPr>
        <w:t>ב“אישים</w:t>
      </w:r>
      <w:proofErr w:type="spellEnd"/>
      <w:r>
        <w:rPr>
          <w:rtl/>
        </w:rPr>
        <w:t xml:space="preserve"> ושיטות”</w:t>
      </w:r>
      <w:bookmarkStart w:id="6721" w:name="_fnr5118"/>
      <w:r>
        <w:rPr>
          <w:rStyle w:val="a5"/>
        </w:rPr>
        <w:footnoteReference w:id="5131" w:customMarkFollows="0"/>
      </w:r>
      <w:bookmarkEnd w:id="6721"/>
      <w:r>
        <w:rPr>
          <w:rtl/>
        </w:rPr>
        <w:t xml:space="preserve">. הראשון מספר בשם נכדו,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שכאשר נזקק ר׳ חיים לדרשת בר מצווה, אמר לו אביו להכין דבר תורה על הלכה מסוימת ברמב״ם </w:t>
      </w:r>
      <w:proofErr w:type="spellStart"/>
      <w:r>
        <w:rPr>
          <w:rtl/>
        </w:rPr>
        <w:t>ו“להסבירה</w:t>
      </w:r>
      <w:proofErr w:type="spellEnd"/>
      <w:r>
        <w:rPr>
          <w:rtl/>
        </w:rPr>
        <w:t xml:space="preserve"> כפי שהוא (ר׳ </w:t>
      </w:r>
      <w:proofErr w:type="spellStart"/>
      <w:r>
        <w:rPr>
          <w:rtl/>
        </w:rPr>
        <w:t xml:space="preserve">יושע־בער</w:t>
      </w:r>
      <w:proofErr w:type="spellEnd"/>
      <w:r>
        <w:rPr>
          <w:rtl/>
        </w:rPr>
        <w:t>) היה מסביר”, והנער עשה כך. (אך “שמושה של תורה”</w:t>
      </w:r>
      <w:bookmarkStart w:id="6722" w:name="_fnr5119"/>
      <w:r>
        <w:rPr>
          <w:rStyle w:val="a5"/>
        </w:rPr>
        <w:footnoteReference w:id="5132" w:customMarkFollows="0"/>
      </w:r>
      <w:bookmarkEnd w:id="6722"/>
      <w:r>
        <w:rPr>
          <w:rtl/>
        </w:rPr>
        <w:t xml:space="preserve"> טוען בשם ר׳ יצחק־זאב </w:t>
      </w:r>
      <w:proofErr w:type="spellStart"/>
      <w:r>
        <w:rPr>
          <w:rtl/>
        </w:rPr>
        <w:t>סולובייצ׳יק</w:t>
      </w:r>
      <w:proofErr w:type="spellEnd"/>
      <w:r>
        <w:rPr>
          <w:rtl/>
        </w:rPr>
        <w:t xml:space="preserve"> שר׳ חיים כלל לא הכין דרשה, אלא “דיבר בלימוד” עם האורחים המוזמנים.)</w:t>
      </w:r>
    </w:p>
    <w:p w14:paraId="610226EF" w14:textId="77777777" w:rsidR="00AB3647" w:rsidRDefault="00000000" w:rsidP="007923E9">
      <w:pPr>
        <w:spacing w:after="120" w:line="276" w:lineRule="auto"/>
        <w:ind w:firstLine="283"/>
        <w:jc w:val="both"/>
      </w:pPr>
      <w:bookmarkStart w:id="6723" w:name="pr_b_2769"/>
      <w:bookmarkEnd w:id="6723"/>
      <w:r>
        <w:rPr>
          <w:rtl/>
        </w:rPr>
        <w:t xml:space="preserve">הסיפור השני ממחיש אותו עניין, אבל פרטים רבים חסרים בו: “בעת ביקור בעיר גדולה, יחד עם רבה של </w:t>
      </w:r>
      <w:proofErr w:type="spellStart"/>
      <w:r>
        <w:rPr>
          <w:rtl/>
        </w:rPr>
        <w:t>איהומן</w:t>
      </w:r>
      <w:proofErr w:type="spellEnd"/>
      <w:r>
        <w:rPr>
          <w:rtl/>
        </w:rPr>
        <w:t xml:space="preserve">, ר׳ </w:t>
      </w:r>
      <w:proofErr w:type="spellStart"/>
      <w:r>
        <w:rPr>
          <w:rtl/>
        </w:rPr>
        <w:t>ישראל־יהונתן</w:t>
      </w:r>
      <w:proofErr w:type="spellEnd"/>
      <w:r>
        <w:rPr>
          <w:rtl/>
        </w:rPr>
        <w:t xml:space="preserve"> </w:t>
      </w:r>
      <w:proofErr w:type="spellStart"/>
      <w:r>
        <w:rPr>
          <w:rtl/>
        </w:rPr>
        <w:t>ירושלמסקי</w:t>
      </w:r>
      <w:bookmarkStart w:id="6724" w:name="_fnr5120"/>
      <w:proofErr w:type="spellEnd"/>
      <w:r>
        <w:rPr>
          <w:rStyle w:val="a5"/>
        </w:rPr>
        <w:footnoteReference w:id="5133" w:customMarkFollows="0"/>
      </w:r>
      <w:bookmarkEnd w:id="6724"/>
      <w:r>
        <w:rPr>
          <w:rtl/>
        </w:rPr>
        <w:t xml:space="preserve">, הציע ר׳ חיים שיעלו לבקר את הרב המקומי. כשעלו במדרגות אמר ר׳ חיים למלווהו: ‘אנא, אל תקשה על מה שתראה עכשיו’. אחרי שבירך את רב העיר לשלום, ביקש ממנו ר׳ חיים לומר דבר תורה. ברגע שהרב חזר על לשון הגמרא, הפסיקו ר׳ חיים ואמר: ‘ודאי אתה עומד להקשות את </w:t>
      </w:r>
      <w:proofErr w:type="spellStart"/>
      <w:r>
        <w:rPr>
          <w:rtl/>
        </w:rPr>
        <w:t>הקושיא</w:t>
      </w:r>
      <w:proofErr w:type="spellEnd"/>
      <w:r>
        <w:rPr>
          <w:rtl/>
        </w:rPr>
        <w:t xml:space="preserve"> הזאת’, והציג אותה. הרב אמר: ‘נכון, ואני רוצה לתרץ כך...’ שוב הפסיקו ר׳ חיים ואמר: ‘בוודאי אתה רוצה להציע את התירוץ הזה’, והמשיך והביע מה שהיה בדעת הרב. אמר הרב: ‘נכון. אבל הקושי שיש לי בתירוץ הזה הוא...’ ולפני שיכול היה להמשיך, נכנס ר׳ חיים לדבריו: ‘הקושי הוא מדברי הגמרא במסכת פלונית’, ושוב הקדים את מחשבות הרב. כך נמשך הדבר עד שסיים הרב את חידוש התורה, ור׳ חיים צפה אותו מראשיתו ועד סופו. מיד אחר כך נפרדו ר׳ חיים ומלווהו מן הרב ויצאו. כשירדו במדרגות הסביר ר׳ חיים </w:t>
      </w:r>
      <w:proofErr w:type="spellStart"/>
      <w:r>
        <w:rPr>
          <w:rtl/>
        </w:rPr>
        <w:t>לר</w:t>
      </w:r>
      <w:proofErr w:type="spellEnd"/>
      <w:r>
        <w:rPr>
          <w:rtl/>
        </w:rPr>
        <w:t xml:space="preserve">׳ </w:t>
      </w:r>
      <w:proofErr w:type="spellStart"/>
      <w:r>
        <w:rPr>
          <w:rtl/>
        </w:rPr>
        <w:t>ישראל־יהונתן</w:t>
      </w:r>
      <w:proofErr w:type="spellEnd"/>
      <w:r>
        <w:rPr>
          <w:rtl/>
        </w:rPr>
        <w:t xml:space="preserve">: ‘עכשיו לא יאמר עוד שרבה של </w:t>
      </w:r>
      <w:proofErr w:type="spellStart"/>
      <w:r>
        <w:rPr>
          <w:rtl/>
        </w:rPr>
        <w:t>בריסק</w:t>
      </w:r>
      <w:proofErr w:type="spellEnd"/>
      <w:r>
        <w:rPr>
          <w:rtl/>
        </w:rPr>
        <w:t xml:space="preserve"> אינו יודע ללמוד’”.</w:t>
      </w:r>
    </w:p>
    <w:p w14:paraId="2A9C84BA" w14:textId="77777777" w:rsidR="00AB3647" w:rsidRDefault="00000000" w:rsidP="007923E9">
      <w:pPr>
        <w:spacing w:after="120" w:line="276" w:lineRule="auto"/>
        <w:ind w:firstLine="283"/>
        <w:jc w:val="both"/>
      </w:pPr>
      <w:r>
        <w:rPr>
          <w:rtl/>
        </w:rPr>
        <w:t xml:space="preserve">ר׳ ישראל </w:t>
      </w:r>
      <w:proofErr w:type="spellStart"/>
      <w:r>
        <w:rPr>
          <w:rtl/>
        </w:rPr>
        <w:t>שורין</w:t>
      </w:r>
      <w:bookmarkStart w:id="6725" w:name="_fnr5121"/>
      <w:proofErr w:type="spellEnd"/>
      <w:r>
        <w:rPr>
          <w:rStyle w:val="a5"/>
        </w:rPr>
        <w:footnoteReference w:id="5134" w:customMarkFollows="0"/>
      </w:r>
      <w:bookmarkEnd w:id="6725"/>
      <w:r>
        <w:rPr>
          <w:rtl/>
        </w:rPr>
        <w:t xml:space="preserve"> שמע מר׳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פרטים ששופכים אור על מעשה מעניין זה, שנראה בלתי אופייני </w:t>
      </w:r>
      <w:proofErr w:type="spellStart"/>
      <w:r>
        <w:rPr>
          <w:rtl/>
        </w:rPr>
        <w:t>לר</w:t>
      </w:r>
      <w:proofErr w:type="spellEnd"/>
      <w:r>
        <w:rPr>
          <w:rtl/>
        </w:rPr>
        <w:t>׳ חיים. הדבר התרחש במינסק, והרב היה המרא דאתרא</w:t>
      </w:r>
      <w:bookmarkStart w:id="6726" w:name="_fnr5122"/>
      <w:r>
        <w:rPr>
          <w:rStyle w:val="a5"/>
        </w:rPr>
        <w:footnoteReference w:id="5135" w:customMarkFollows="0"/>
      </w:r>
      <w:bookmarkEnd w:id="6726"/>
      <w:r>
        <w:rPr>
          <w:rtl/>
        </w:rPr>
        <w:t xml:space="preserve">, ר׳ </w:t>
      </w:r>
      <w:proofErr w:type="spellStart"/>
      <w:r>
        <w:rPr>
          <w:rtl/>
        </w:rPr>
        <w:t>ירוחם־יהודה־לייב</w:t>
      </w:r>
      <w:proofErr w:type="spellEnd"/>
      <w:r>
        <w:rPr>
          <w:rtl/>
        </w:rPr>
        <w:t xml:space="preserve"> פרלמן, </w:t>
      </w:r>
      <w:proofErr w:type="spellStart"/>
      <w:r>
        <w:rPr>
          <w:rtl/>
        </w:rPr>
        <w:t>ה“גדול</w:t>
      </w:r>
      <w:proofErr w:type="spellEnd"/>
      <w:r>
        <w:rPr>
          <w:rtl/>
        </w:rPr>
        <w:t>”</w:t>
      </w:r>
      <w:bookmarkStart w:id="6727" w:name="_fnr5123"/>
      <w:r>
        <w:rPr>
          <w:rStyle w:val="a5"/>
        </w:rPr>
        <w:footnoteReference w:id="5136" w:customMarkFollows="0"/>
      </w:r>
      <w:bookmarkEnd w:id="6727"/>
      <w:r>
        <w:rPr>
          <w:rtl/>
        </w:rPr>
        <w:t xml:space="preserve">. השנה הייתה תרנ״ה, שלוש שנים אחרי שנתמנה ר׳ חיים לרבה של </w:t>
      </w:r>
      <w:proofErr w:type="spellStart"/>
      <w:r>
        <w:rPr>
          <w:rtl/>
        </w:rPr>
        <w:t>בריסק</w:t>
      </w:r>
      <w:proofErr w:type="spellEnd"/>
      <w:r>
        <w:rPr>
          <w:rtl/>
        </w:rPr>
        <w:t xml:space="preserve">, ומטרת ביקורו הייתה לאסוף כספים מעשירי מינסק עבור בני </w:t>
      </w:r>
      <w:proofErr w:type="spellStart"/>
      <w:r>
        <w:rPr>
          <w:rtl/>
        </w:rPr>
        <w:t>בריסק</w:t>
      </w:r>
      <w:proofErr w:type="spellEnd"/>
      <w:r>
        <w:rPr>
          <w:rtl/>
        </w:rPr>
        <w:t xml:space="preserve"> שאיבדו את בתיהם ורכושם בשרפה הגדולה של אותה שנה. “אישים ושיטות” מספר גם</w:t>
      </w:r>
      <w:bookmarkStart w:id="6728" w:name="_fnr5124"/>
      <w:r>
        <w:rPr>
          <w:rStyle w:val="a5"/>
        </w:rPr>
        <w:footnoteReference w:id="5137" w:customMarkFollows="0"/>
      </w:r>
      <w:bookmarkEnd w:id="6728"/>
      <w:r>
        <w:rPr>
          <w:rtl/>
        </w:rPr>
        <w:t xml:space="preserve"> </w:t>
      </w:r>
      <w:r>
        <w:rPr>
          <w:rtl/>
        </w:rPr>
        <w:lastRenderedPageBreak/>
        <w:t>שר׳ חיים, שהשתתף בצער בני עירו חסרי הכול, ישן על רצפת מבוא בית הכנסת עד שלכל אחד הייתה קורת גג מעל ראשו.</w:t>
      </w:r>
    </w:p>
    <w:p w14:paraId="519CAE9C" w14:textId="77777777" w:rsidR="00AB3647" w:rsidRDefault="00000000" w:rsidP="007923E9">
      <w:pPr>
        <w:spacing w:after="120" w:line="276" w:lineRule="auto"/>
        <w:ind w:firstLine="283"/>
        <w:jc w:val="both"/>
      </w:pPr>
      <w:r>
        <w:rPr>
          <w:rtl/>
        </w:rPr>
        <w:t xml:space="preserve">דוגמה נוספת להשתתפותו בצער הנזקקים מובאת </w:t>
      </w:r>
      <w:proofErr w:type="spellStart"/>
      <w:r>
        <w:rPr>
          <w:rtl/>
        </w:rPr>
        <w:t>ב“וולוז׳ין</w:t>
      </w:r>
      <w:proofErr w:type="spellEnd"/>
      <w:r>
        <w:rPr>
          <w:rtl/>
        </w:rPr>
        <w:t xml:space="preserve"> – ספרה של העיר ושל ישיבת עץ חיים”</w:t>
      </w:r>
      <w:bookmarkStart w:id="6729" w:name="_fnr5125"/>
      <w:r>
        <w:rPr>
          <w:rStyle w:val="a5"/>
        </w:rPr>
        <w:footnoteReference w:id="5138" w:customMarkFollows="0"/>
      </w:r>
      <w:bookmarkEnd w:id="6729"/>
      <w:r>
        <w:rPr>
          <w:rtl/>
        </w:rPr>
        <w:t xml:space="preserve">: “פרנסי </w:t>
      </w:r>
      <w:proofErr w:type="spellStart"/>
      <w:r>
        <w:rPr>
          <w:rtl/>
        </w:rPr>
        <w:t>בריסק</w:t>
      </w:r>
      <w:proofErr w:type="spellEnd"/>
      <w:r>
        <w:rPr>
          <w:rtl/>
        </w:rPr>
        <w:t xml:space="preserve"> הבחינו שההוצאה על עצי ההסקה שסיפקו לחימום בית הרב מופרזת. הם בדקו ומצאו שהמחסן שבו נשמרו עצי ההסקה לא היה נעול, ועניי העיר היו באים ולוקחים ממנו כאילו היה שלהם; הלכו ונעלו את המחסן ונתנו את המפתח לשמש. כשנודע הדבר </w:t>
      </w:r>
      <w:proofErr w:type="spellStart"/>
      <w:r>
        <w:rPr>
          <w:rtl/>
        </w:rPr>
        <w:t>לר</w:t>
      </w:r>
      <w:proofErr w:type="spellEnd"/>
      <w:r>
        <w:rPr>
          <w:rtl/>
        </w:rPr>
        <w:t>׳ חיים, הורה להסיר מיד את המנעול. שוב היה המחסן פתוח לרווחה, והעניים באו ולקחו את צורכיהם. כשטענו מנהיגי העיר לפני ר׳ חיים שאין קופת הקהל יכולה לספק עצים לכל עניי העיר, השיב: ‘אם כן, גם בביתי לא תהיה הסקה: איך אוכל לשבת בחום כשהעניים קופאים בקור?!’”.</w:t>
      </w:r>
    </w:p>
    <w:p w14:paraId="02E364C0" w14:textId="77777777" w:rsidR="00AB3647" w:rsidRDefault="00000000" w:rsidP="007923E9">
      <w:pPr>
        <w:spacing w:after="120" w:line="276" w:lineRule="auto"/>
        <w:ind w:firstLine="283"/>
        <w:jc w:val="both"/>
      </w:pPr>
      <w:r>
        <w:rPr>
          <w:rtl/>
        </w:rPr>
        <w:t xml:space="preserve">על השרפה הגדולה השווה “אנציקלופדיה </w:t>
      </w:r>
      <w:proofErr w:type="spellStart"/>
      <w:r>
        <w:rPr>
          <w:rtl/>
        </w:rPr>
        <w:t>בריסק</w:t>
      </w:r>
      <w:proofErr w:type="spellEnd"/>
      <w:r>
        <w:rPr>
          <w:rtl/>
        </w:rPr>
        <w:t>”</w:t>
      </w:r>
      <w:bookmarkStart w:id="6730" w:name="_fnr5126"/>
      <w:r>
        <w:rPr>
          <w:rStyle w:val="a5"/>
        </w:rPr>
        <w:footnoteReference w:id="5139" w:customMarkFollows="0"/>
      </w:r>
      <w:bookmarkEnd w:id="6730"/>
      <w:r>
        <w:rPr>
          <w:rtl/>
        </w:rPr>
        <w:t xml:space="preserve">, ושם אומר מאמר מאת פרופ׳ נ. </w:t>
      </w:r>
      <w:proofErr w:type="spellStart"/>
      <w:r>
        <w:rPr>
          <w:rtl/>
        </w:rPr>
        <w:t>סלושץ</w:t>
      </w:r>
      <w:proofErr w:type="spellEnd"/>
      <w:r>
        <w:rPr>
          <w:rtl/>
        </w:rPr>
        <w:t xml:space="preserve"> </w:t>
      </w:r>
      <w:proofErr w:type="spellStart"/>
      <w:r>
        <w:rPr>
          <w:rtl/>
        </w:rPr>
        <w:t>ש“הכול</w:t>
      </w:r>
      <w:proofErr w:type="spellEnd"/>
      <w:r>
        <w:rPr>
          <w:rtl/>
        </w:rPr>
        <w:t xml:space="preserve"> יודעים מה עשה (ר׳ חיים) בשעת השרפה, כיצד סיכן את חייו כדי להציל את ילדי התלמוד תורה שעמדו בפני מוות – עוד לפני שהספיק להציל את ביתו שלו”. מאמר זה מתאר גם את “התמונה הנהדרת, הפיוטית [כך במקור]” של “זקנים שפרצו אל בית הכנסת להציל את ספרי התורה ונשרפו חיים יחד עמם... סימן שלא פסו יהודים נאמנים וקדושים מליטא”.</w:t>
      </w:r>
    </w:p>
    <w:p w14:paraId="689CD790" w14:textId="77777777" w:rsidR="00AB3647" w:rsidRDefault="00000000" w:rsidP="007923E9">
      <w:pPr>
        <w:spacing w:after="120" w:line="276" w:lineRule="auto"/>
        <w:ind w:firstLine="283"/>
        <w:jc w:val="both"/>
      </w:pPr>
      <w:r>
        <w:rPr>
          <w:rtl/>
        </w:rPr>
        <w:t xml:space="preserve">שרפה זו החריבה מחצית העיר – את אזור </w:t>
      </w:r>
      <w:proofErr w:type="spellStart"/>
      <w:r>
        <w:rPr>
          <w:rtl/>
        </w:rPr>
        <w:t>בריסק</w:t>
      </w:r>
      <w:proofErr w:type="spellEnd"/>
      <w:r>
        <w:rPr>
          <w:rtl/>
        </w:rPr>
        <w:t xml:space="preserve"> שבו גרו העניים. כעבור שש שנים, כשבני המעמד הנמוך כבר בנו מחדש את בתיהם עמידים יותר בפני אש, כילתה שרפה נוספת את שכונות העשירים, כמתואר במאמר מאת נחום סוקולוב</w:t>
      </w:r>
      <w:bookmarkStart w:id="6731" w:name="_fnr5127"/>
      <w:r>
        <w:rPr>
          <w:rStyle w:val="a5"/>
        </w:rPr>
        <w:footnoteReference w:id="5140" w:customMarkFollows="0"/>
      </w:r>
      <w:bookmarkEnd w:id="6731"/>
      <w:r>
        <w:rPr>
          <w:rtl/>
        </w:rPr>
        <w:t>. נאמר בו ששתי השרפות הגדולות, “כמעט לא ייאמן, פרצו בדיוק באותו מקום, באותו יום ובאותה שעה – בכ״ב באייר, היום השלושים ושניים לספירת העומר</w:t>
      </w:r>
      <w:bookmarkStart w:id="6732" w:name="_fnr5128"/>
      <w:r>
        <w:rPr>
          <w:rStyle w:val="a5"/>
        </w:rPr>
        <w:footnoteReference w:id="5141" w:customMarkFollows="0"/>
      </w:r>
      <w:bookmarkEnd w:id="6732"/>
      <w:bookmarkStart w:id="7056" w:name="_TranslatorNote_5404"/>
      <w:r>
        <w:rPr>
          <w:rStyle w:val="a5"/>
          <w:vertAlign w:val="superscript"/>
          <w:rtl/>
        </w:rPr>
        <w:footnoteReference w:id="5142" w:customMarkFollows="1"/>
        <w:t>*</w:t>
      </w:r>
      <w:bookmarkEnd w:id="7056"/>
      <w:r>
        <w:rPr>
          <w:rtl/>
        </w:rPr>
        <w:t>”, ושבשרפה הראשונה “יש אומרים שנהרגו שבעים איש ויש אומרים מאה”.</w:t>
      </w:r>
    </w:p>
    <w:p w14:paraId="6406A9E5" w14:textId="77777777" w:rsidR="00AB3647" w:rsidRDefault="00000000" w:rsidP="007923E9">
      <w:pPr>
        <w:spacing w:after="120" w:line="276" w:lineRule="auto"/>
        <w:ind w:firstLine="283"/>
        <w:jc w:val="both"/>
      </w:pPr>
      <w:r>
        <w:rPr>
          <w:rtl/>
        </w:rPr>
        <w:t xml:space="preserve">מאמר נוסף </w:t>
      </w:r>
      <w:proofErr w:type="spellStart"/>
      <w:r>
        <w:rPr>
          <w:rtl/>
        </w:rPr>
        <w:t>ב“אנציקלופדיה</w:t>
      </w:r>
      <w:proofErr w:type="spellEnd"/>
      <w:r>
        <w:rPr>
          <w:rtl/>
        </w:rPr>
        <w:t xml:space="preserve"> </w:t>
      </w:r>
      <w:proofErr w:type="spellStart"/>
      <w:r>
        <w:rPr>
          <w:rtl/>
        </w:rPr>
        <w:t>בריסק</w:t>
      </w:r>
      <w:proofErr w:type="spellEnd"/>
      <w:r>
        <w:rPr>
          <w:rtl/>
        </w:rPr>
        <w:t xml:space="preserve">”, “רבני </w:t>
      </w:r>
      <w:proofErr w:type="spellStart"/>
      <w:r>
        <w:rPr>
          <w:rtl/>
        </w:rPr>
        <w:t>בריסק</w:t>
      </w:r>
      <w:proofErr w:type="spellEnd"/>
      <w:r>
        <w:rPr>
          <w:rtl/>
        </w:rPr>
        <w:t xml:space="preserve"> האחרונים”</w:t>
      </w:r>
      <w:bookmarkStart w:id="6733" w:name="_fnr5129"/>
      <w:r>
        <w:rPr>
          <w:rStyle w:val="a5"/>
        </w:rPr>
        <w:footnoteReference w:id="5143" w:customMarkFollows="0"/>
      </w:r>
      <w:bookmarkEnd w:id="6733"/>
      <w:r>
        <w:rPr>
          <w:rtl/>
        </w:rPr>
        <w:t xml:space="preserve">, מספר: “נאמר... שמי שלא ראה את מסירותו של ר׳ חיים למען תושבי </w:t>
      </w:r>
      <w:proofErr w:type="spellStart"/>
      <w:r>
        <w:rPr>
          <w:rtl/>
        </w:rPr>
        <w:t>בריסק</w:t>
      </w:r>
      <w:proofErr w:type="spellEnd"/>
      <w:r>
        <w:rPr>
          <w:rtl/>
        </w:rPr>
        <w:t xml:space="preserve"> אחרי השרפה הגדולה [הראשונה] בשנת תרנ״ה, לא ראה מידה שלמה של רחמים”. ר׳ </w:t>
      </w:r>
      <w:proofErr w:type="spellStart"/>
      <w:r>
        <w:rPr>
          <w:rtl/>
        </w:rPr>
        <w:t>זלמן־נחמיה</w:t>
      </w:r>
      <w:proofErr w:type="spellEnd"/>
      <w:r>
        <w:rPr>
          <w:rtl/>
        </w:rPr>
        <w:t xml:space="preserve"> גולדברג סיפר</w:t>
      </w:r>
      <w:bookmarkStart w:id="6734" w:name="_fnr5130"/>
      <w:r>
        <w:rPr>
          <w:rStyle w:val="a5"/>
        </w:rPr>
        <w:footnoteReference w:id="5144" w:customMarkFollows="0"/>
      </w:r>
      <w:bookmarkEnd w:id="6734"/>
      <w:r>
        <w:rPr>
          <w:rtl/>
        </w:rPr>
        <w:t xml:space="preserve"> ששמע מר׳ </w:t>
      </w:r>
      <w:proofErr w:type="spellStart"/>
      <w:r>
        <w:rPr>
          <w:rtl/>
        </w:rPr>
        <w:t>איסר־יהודה</w:t>
      </w:r>
      <w:proofErr w:type="spellEnd"/>
      <w:r>
        <w:rPr>
          <w:rtl/>
        </w:rPr>
        <w:t xml:space="preserve"> </w:t>
      </w:r>
      <w:proofErr w:type="spellStart"/>
      <w:r>
        <w:rPr>
          <w:rtl/>
        </w:rPr>
        <w:t>אונטרמן</w:t>
      </w:r>
      <w:proofErr w:type="spellEnd"/>
      <w:r>
        <w:rPr>
          <w:rtl/>
        </w:rPr>
        <w:t xml:space="preserve"> – יליד </w:t>
      </w:r>
      <w:proofErr w:type="spellStart"/>
      <w:r>
        <w:rPr>
          <w:rtl/>
        </w:rPr>
        <w:t>בריסק</w:t>
      </w:r>
      <w:proofErr w:type="spellEnd"/>
      <w:r>
        <w:rPr>
          <w:rtl/>
        </w:rPr>
        <w:t xml:space="preserve"> שהיה בן </w:t>
      </w:r>
      <w:proofErr w:type="spellStart"/>
      <w:r>
        <w:rPr>
          <w:rtl/>
        </w:rPr>
        <w:t>אחת־עשרה</w:t>
      </w:r>
      <w:proofErr w:type="spellEnd"/>
      <w:r>
        <w:rPr>
          <w:rtl/>
        </w:rPr>
        <w:t xml:space="preserve"> בשעת השרפה</w:t>
      </w:r>
      <w:bookmarkStart w:id="6735" w:name="_fnr5131"/>
      <w:bookmarkEnd w:id="6735"/>
      <w:r>
        <w:rPr>
          <w:rStyle w:val="a5"/>
        </w:rPr>
        <w:t/>
      </w:r>
      <w:bookmarkStart w:id="7057" w:name="_TranslatorNote_5129"/>
      <w:r>
        <w:rPr>
          <w:rStyle w:val="a5"/>
          <w:vertAlign w:val="superscript"/>
          <w:rtl/>
        </w:rPr>
        <w:footnoteReference w:id="5145" w:customMarkFollows="1"/>
        <w:t>*</w:t>
      </w:r>
      <w:bookmarkEnd w:id="7057"/>
      <w:r>
        <w:rPr>
          <w:rtl/>
        </w:rPr>
        <w:t xml:space="preserve"> – שביום שאחרי </w:t>
      </w:r>
      <w:r>
        <w:rPr>
          <w:rtl/>
        </w:rPr>
        <w:lastRenderedPageBreak/>
        <w:t>האסון באו פועלים לתקן את בניין המקווה. הם אמרו לתושבים המופתעים שר׳ חיים הורה לתת לבניין זה עדיפות עליונה.</w:t>
      </w:r>
    </w:p>
    <w:p w14:paraId="6EB0AD53" w14:textId="77777777" w:rsidR="00AB3647" w:rsidRDefault="00000000" w:rsidP="007923E9">
      <w:pPr>
        <w:spacing w:after="120" w:line="276" w:lineRule="auto"/>
        <w:ind w:firstLine="283"/>
        <w:jc w:val="both"/>
      </w:pPr>
      <w:r>
        <w:rPr>
          <w:rtl/>
        </w:rPr>
        <w:t xml:space="preserve">בדרך מן הדירה של </w:t>
      </w:r>
      <w:proofErr w:type="spellStart"/>
      <w:r>
        <w:rPr>
          <w:rtl/>
        </w:rPr>
        <w:t>ה“גדול</w:t>
      </w:r>
      <w:proofErr w:type="spellEnd"/>
      <w:r>
        <w:rPr>
          <w:rtl/>
        </w:rPr>
        <w:t xml:space="preserve">” ממינסק, כך סיפר ר׳ </w:t>
      </w:r>
      <w:proofErr w:type="spellStart"/>
      <w:r>
        <w:rPr>
          <w:rtl/>
        </w:rPr>
        <w:t xml:space="preserve">יוסף־דב</w:t>
      </w:r>
      <w:proofErr w:type="spellEnd"/>
      <w:r>
        <w:rPr>
          <w:rtl/>
        </w:rPr>
        <w:t xml:space="preserve">, לא יכול היה ר׳ </w:t>
      </w:r>
      <w:proofErr w:type="spellStart"/>
      <w:r>
        <w:rPr>
          <w:rtl/>
        </w:rPr>
        <w:t>ישראל־יהונתן</w:t>
      </w:r>
      <w:proofErr w:type="spellEnd"/>
      <w:r>
        <w:rPr>
          <w:rtl/>
        </w:rPr>
        <w:t xml:space="preserve"> להתאפק ואמר: “שמעתי שרבה של </w:t>
      </w:r>
      <w:proofErr w:type="spellStart"/>
      <w:r>
        <w:rPr>
          <w:rtl/>
        </w:rPr>
        <w:t>בריסק</w:t>
      </w:r>
      <w:proofErr w:type="spellEnd"/>
      <w:r>
        <w:rPr>
          <w:rtl/>
        </w:rPr>
        <w:t xml:space="preserve"> הוא בטלן [אדם שאינו מבין בענייני העולם]</w:t>
      </w:r>
      <w:bookmarkStart w:id="6736" w:name="_fnr5132"/>
      <w:r>
        <w:rPr>
          <w:rStyle w:val="a5"/>
        </w:rPr>
        <w:footnoteReference w:id="5146" w:customMarkFollows="0"/>
      </w:r>
      <w:bookmarkEnd w:id="6736"/>
      <w:r>
        <w:rPr>
          <w:rtl/>
        </w:rPr>
        <w:t xml:space="preserve">, אבל לא האמנתי עד שראיתי זאת היום במו עיניי! באת לעיר זו לאסוף כספים; וכי זו השעה להלבין את פני רבה?” השיב ר׳ חיים: “אני יודע שאומרים כאן </w:t>
      </w:r>
      <w:proofErr w:type="spellStart"/>
      <w:r>
        <w:rPr>
          <w:rtl/>
        </w:rPr>
        <w:t>שבריסק</w:t>
      </w:r>
      <w:proofErr w:type="spellEnd"/>
      <w:r>
        <w:rPr>
          <w:rtl/>
        </w:rPr>
        <w:t xml:space="preserve"> נשרפה מפני שבית רבה – המטבח שלי – אינו כשר למהדרין. לכן רציתי שבני מינסק ידעו </w:t>
      </w:r>
      <w:proofErr w:type="spellStart"/>
      <w:r>
        <w:rPr>
          <w:rtl/>
        </w:rPr>
        <w:t>שבבריסק</w:t>
      </w:r>
      <w:proofErr w:type="spellEnd"/>
      <w:r>
        <w:rPr>
          <w:rtl/>
        </w:rPr>
        <w:t xml:space="preserve"> אנחנו יודעים ללמוד!”</w:t>
      </w:r>
    </w:p>
    <w:p w14:paraId="0AF64204" w14:textId="77777777" w:rsidR="00AB3647" w:rsidRDefault="00000000" w:rsidP="007923E9">
      <w:pPr>
        <w:spacing w:after="120" w:line="276" w:lineRule="auto"/>
        <w:ind w:firstLine="283"/>
        <w:jc w:val="both"/>
      </w:pPr>
      <w:r>
        <w:rPr>
          <w:rtl/>
        </w:rPr>
        <w:t>מסתבר שהשמועה המשונה על פגם בכשרותו של ר׳ חיים נולדה מצדקתו המופלאה. הוא הותיר את מטבחו פתוח לכל נווד ונפש סובלת, שיעשה בו כבתוך שלו, ואנשים חשו שאין לסמוך על האורחים הנודדים האלה שישמרו על כשרות ביתו.</w:t>
      </w:r>
    </w:p>
    <w:p w14:paraId="244F467B" w14:textId="77777777" w:rsidR="00AB3647" w:rsidRDefault="00000000" w:rsidP="007923E9">
      <w:pPr>
        <w:spacing w:after="120" w:line="276" w:lineRule="auto"/>
        <w:ind w:firstLine="283"/>
        <w:jc w:val="both"/>
      </w:pPr>
      <w:r>
        <w:rPr>
          <w:rtl/>
        </w:rPr>
        <w:t xml:space="preserve">נראה שאת מדיניות הבית הפתוח קבע אביו של ר׳ חיים. ר׳ דוד </w:t>
      </w:r>
      <w:proofErr w:type="spellStart"/>
      <w:r>
        <w:rPr>
          <w:rtl/>
        </w:rPr>
        <w:t>הנמן</w:t>
      </w:r>
      <w:proofErr w:type="spellEnd"/>
      <w:r>
        <w:rPr>
          <w:rtl/>
        </w:rPr>
        <w:t xml:space="preserve"> סיפר</w:t>
      </w:r>
      <w:bookmarkStart w:id="6737" w:name="_fnr5133"/>
      <w:r>
        <w:rPr>
          <w:rStyle w:val="a5"/>
        </w:rPr>
        <w:footnoteReference w:id="5147" w:customMarkFollows="0"/>
      </w:r>
      <w:bookmarkEnd w:id="6737"/>
      <w:r>
        <w:rPr>
          <w:rtl/>
        </w:rPr>
        <w:t xml:space="preserve"> שאביו, ר׳ </w:t>
      </w:r>
      <w:proofErr w:type="spellStart"/>
      <w:r>
        <w:rPr>
          <w:rtl/>
        </w:rPr>
        <w:t>יהודה־לייב</w:t>
      </w:r>
      <w:bookmarkStart w:id="6738" w:name="_fnr5134"/>
      <w:proofErr w:type="spellEnd"/>
      <w:r>
        <w:rPr>
          <w:rStyle w:val="a5"/>
        </w:rPr>
        <w:footnoteReference w:id="5148" w:customMarkFollows="0"/>
      </w:r>
      <w:bookmarkEnd w:id="6738"/>
      <w:r>
        <w:rPr>
          <w:rtl/>
        </w:rPr>
        <w:t xml:space="preserve">, נסע בערך </w:t>
      </w:r>
      <w:proofErr w:type="spellStart"/>
      <w:r>
        <w:rPr>
          <w:rtl/>
        </w:rPr>
        <w:t>בתרמ״ג</w:t>
      </w:r>
      <w:proofErr w:type="spellEnd"/>
      <w:r>
        <w:rPr>
          <w:rtl/>
        </w:rPr>
        <w:t xml:space="preserve"> מעיר מולדתו ממל </w:t>
      </w:r>
      <w:proofErr w:type="spellStart"/>
      <w:r>
        <w:rPr>
          <w:rtl/>
        </w:rPr>
        <w:t>לוולוז׳ין</w:t>
      </w:r>
      <w:proofErr w:type="spellEnd"/>
      <w:r>
        <w:rPr>
          <w:rtl/>
        </w:rPr>
        <w:t xml:space="preserve">, להתחיל בלימוד התורה, ועשה דרך עקיפה דרך </w:t>
      </w:r>
      <w:proofErr w:type="spellStart"/>
      <w:r>
        <w:rPr>
          <w:rtl/>
        </w:rPr>
        <w:t>בריסק</w:t>
      </w:r>
      <w:proofErr w:type="spellEnd"/>
      <w:r>
        <w:rPr>
          <w:rtl/>
        </w:rPr>
        <w:t xml:space="preserve"> כדי לראות את ר׳ יוסף־דב </w:t>
      </w:r>
      <w:proofErr w:type="spellStart"/>
      <w:r>
        <w:rPr>
          <w:rtl/>
        </w:rPr>
        <w:t>סולובייצ׳יק</w:t>
      </w:r>
      <w:proofErr w:type="spellEnd"/>
      <w:r>
        <w:rPr>
          <w:rtl/>
        </w:rPr>
        <w:t>. הוא מסר: “הבית היה הפקר – חוץ מן החדר שבו ישב הרב ולמד”. השווה גם “תורת חיים”</w:t>
      </w:r>
      <w:bookmarkStart w:id="6739" w:name="_fnr5135"/>
      <w:r>
        <w:rPr>
          <w:rStyle w:val="a5"/>
        </w:rPr>
        <w:footnoteReference w:id="5149" w:customMarkFollows="0"/>
      </w:r>
      <w:bookmarkEnd w:id="6739"/>
      <w:r>
        <w:rPr>
          <w:rtl/>
        </w:rPr>
        <w:t xml:space="preserve">, שבו סיפר ר׳ יצחק־זאב על ר׳ חיים: “אבא לא הרגיש שהוא בעל הבית יותר מן הזר הנכנס אליו. כל מי שרצה נכנס, הכין לעצמו כוס תה, בישל דבר מה במטבח, ישב לאכול ואחר כך שכב לישון באחד החדרים. לפעמים באו משפחות שלמות עם ילדים רבים ונשארו בבית חודשים רבים, עד שאבא, ברצותו לשכב לנוח, מצא שמיטתו תפוסה ונאלץ לישון על ספסל”</w:t>
      </w:r>
      <w:bookmarkStart w:id="6740" w:name="_fnr5136"/>
      <w:bookmarkStart w:id="6741" w:name="pr_f_5013"/>
      <w:r>
        <w:rPr>
          <w:rStyle w:val="a5"/>
        </w:rPr>
        <w:footnoteReference w:id="5150" w:customMarkFollows="0"/>
      </w:r>
      <w:bookmarkEnd w:id="6740"/>
      <w:bookmarkEnd w:id="6741"/>
      <w:r>
        <w:rPr>
          <w:rtl/>
        </w:rPr>
        <w:t>.</w:t>
      </w:r>
    </w:p>
    <w:p w14:paraId="104FAAE9" w14:textId="77777777" w:rsidR="00AB3647" w:rsidRDefault="00000000" w:rsidP="007923E9">
      <w:pPr>
        <w:spacing w:after="120" w:line="276" w:lineRule="auto"/>
        <w:ind w:firstLine="283"/>
        <w:jc w:val="both"/>
      </w:pPr>
      <w:r>
        <w:rPr>
          <w:rtl/>
        </w:rPr>
        <w:t xml:space="preserve">עוד סיפר ר׳ יצחק־זאב </w:t>
      </w:r>
      <w:proofErr w:type="spellStart"/>
      <w:r>
        <w:rPr>
          <w:rtl/>
        </w:rPr>
        <w:t>שלר</w:t>
      </w:r>
      <w:proofErr w:type="spellEnd"/>
      <w:r>
        <w:rPr>
          <w:rtl/>
        </w:rPr>
        <w:t>׳ חיים הייתה פינה פרטית שיוחדה [לא ללימוד, כאביו</w:t>
      </w:r>
      <w:bookmarkStart w:id="6742" w:name="_fnr5137"/>
      <w:r>
        <w:rPr>
          <w:rStyle w:val="a5"/>
        </w:rPr>
        <w:footnoteReference w:id="5151" w:customMarkFollows="0"/>
      </w:r>
      <w:bookmarkEnd w:id="6742"/>
      <w:r>
        <w:rPr>
          <w:rtl/>
        </w:rPr>
        <w:t>, אלא] לתפילה, והאורחים ידעו שאין להם רשות להיכנס אליה. “משפחה עם עשרה ילדים שהתה בבית חודשים רבים”, סיפר</w:t>
      </w:r>
      <w:bookmarkStart w:id="6743" w:name="_fnr5138"/>
      <w:r>
        <w:rPr>
          <w:rStyle w:val="a5"/>
        </w:rPr>
        <w:footnoteReference w:id="5152" w:customMarkFollows="0"/>
      </w:r>
      <w:bookmarkEnd w:id="6743"/>
      <w:r>
        <w:rPr>
          <w:rtl/>
        </w:rPr>
        <w:t xml:space="preserve">, “ואבא התאזר בסבלנות ושמר כלפיהם על נועם הליכותיו כמו כלפי כל אדם. פעם ניגש אבא לפינה להתפלל ערבית, ומצא שדווקא אותה פינה נתפסה בידי אם המשפחה. באותו רגע חלפה על פניו ארשת של </w:t>
      </w:r>
      <w:proofErr w:type="spellStart"/>
      <w:r>
        <w:rPr>
          <w:rtl/>
        </w:rPr>
        <w:t>אי־נחת</w:t>
      </w:r>
      <w:proofErr w:type="spellEnd"/>
      <w:r>
        <w:rPr>
          <w:rtl/>
        </w:rPr>
        <w:t xml:space="preserve">, כאילו חשב: ‘וכי לא יכולה רק פינה קטנה זו להישאר שלי, כדי שאוכל להתייחד עם בוראי?’” האב והבן כאחד לא ביקשו בעלות בלעדית על חדר או על פינה קטנה, אלא פרטיות להתבוננות. (נתקלתי גם במעשה שר׳ </w:t>
      </w:r>
      <w:r>
        <w:rPr>
          <w:rtl/>
        </w:rPr>
        <w:lastRenderedPageBreak/>
        <w:t xml:space="preserve">חיים ישב פעם ליד שולחנו וכתב, ואחד </w:t>
      </w:r>
      <w:proofErr w:type="spellStart"/>
      <w:r>
        <w:rPr>
          <w:rtl/>
        </w:rPr>
        <w:t>מ“אורחיו</w:t>
      </w:r>
      <w:proofErr w:type="spellEnd"/>
      <w:r>
        <w:rPr>
          <w:rtl/>
        </w:rPr>
        <w:t>” הצעירים משך את העט מידו, מפני שנזקק לו לשרבוטיו.)</w:t>
      </w:r>
    </w:p>
    <w:p w14:paraId="5B5C7865" w14:textId="77777777" w:rsidR="00AB3647" w:rsidRDefault="00000000" w:rsidP="007923E9">
      <w:pPr>
        <w:spacing w:after="120" w:line="276" w:lineRule="auto"/>
        <w:ind w:firstLine="283"/>
        <w:jc w:val="both"/>
      </w:pPr>
      <w:r>
        <w:rPr>
          <w:rtl/>
        </w:rPr>
        <w:t xml:space="preserve">ר׳ אלימלך </w:t>
      </w:r>
      <w:proofErr w:type="spellStart"/>
      <w:r>
        <w:rPr>
          <w:rtl/>
        </w:rPr>
        <w:t>רטמן</w:t>
      </w:r>
      <w:proofErr w:type="spellEnd"/>
      <w:r>
        <w:rPr>
          <w:rtl/>
        </w:rPr>
        <w:t xml:space="preserve"> מסר</w:t>
      </w:r>
      <w:bookmarkStart w:id="6744" w:name="_fnr5139"/>
      <w:r>
        <w:rPr>
          <w:rStyle w:val="a5"/>
        </w:rPr>
        <w:footnoteReference w:id="5153" w:customMarkFollows="0"/>
      </w:r>
      <w:bookmarkEnd w:id="6744"/>
      <w:r>
        <w:rPr>
          <w:rtl/>
        </w:rPr>
        <w:t xml:space="preserve"> בשם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שר׳ חיים אמר על ביתו שהוא רשות הרבים </w:t>
      </w:r>
      <w:r>
        <w:rPr>
          <w:b/>
          <w:bCs/>
          <w:rtl/>
        </w:rPr>
        <w:t>יותר</w:t>
      </w:r>
      <w:r>
        <w:rPr>
          <w:rtl/>
        </w:rPr>
        <w:t xml:space="preserve"> מן הרחוב: הציבור היה מוחה במי שמציע את מיטתו ברחוב, ואילו בבית ר׳ חיים נכנסו אנשים בכל עת ושכבו לישון</w:t>
      </w:r>
      <w:bookmarkStart w:id="6745" w:name="_fnr5140"/>
      <w:r>
        <w:rPr>
          <w:rStyle w:val="a5"/>
        </w:rPr>
        <w:footnoteReference w:id="5154" w:customMarkFollows="0"/>
      </w:r>
      <w:bookmarkEnd w:id="6745"/>
      <w:r>
        <w:rPr>
          <w:rtl/>
        </w:rPr>
        <w:t>. “תורת חיים”</w:t>
      </w:r>
      <w:bookmarkStart w:id="6746" w:name="_fnr5141"/>
      <w:r>
        <w:rPr>
          <w:rStyle w:val="a5"/>
        </w:rPr>
        <w:footnoteReference w:id="5155" w:customMarkFollows="0"/>
      </w:r>
      <w:bookmarkEnd w:id="6746"/>
      <w:r>
        <w:rPr>
          <w:rtl/>
        </w:rPr>
        <w:t xml:space="preserve"> מצטט את ר׳ חיים, שלמד מן הסיפור המופתי של הכנסת אורחים אצל אברהם אבינו: מאחר שאורחיו נראו כערבים נודדים</w:t>
      </w:r>
      <w:bookmarkStart w:id="6747" w:name="_fnr5142"/>
      <w:r>
        <w:rPr>
          <w:rStyle w:val="a5"/>
        </w:rPr>
        <w:footnoteReference w:id="5156" w:customMarkFollows="0"/>
      </w:r>
      <w:bookmarkEnd w:id="6747"/>
      <w:r>
        <w:rPr>
          <w:rtl/>
        </w:rPr>
        <w:t>, ודאי עשה את ביתו הפקר.</w:t>
      </w:r>
    </w:p>
    <w:p w14:paraId="0583AD09" w14:textId="77777777" w:rsidR="00AB3647" w:rsidRDefault="00000000" w:rsidP="007923E9">
      <w:pPr>
        <w:spacing w:after="120" w:line="276" w:lineRule="auto"/>
        <w:ind w:firstLine="283"/>
        <w:jc w:val="both"/>
      </w:pPr>
      <w:r>
        <w:rPr>
          <w:rtl/>
        </w:rPr>
        <w:t>ר׳ אהרן ליכטנשטיין חזר</w:t>
      </w:r>
      <w:bookmarkStart w:id="6748" w:name="_fnr5143"/>
      <w:r>
        <w:rPr>
          <w:rStyle w:val="a5"/>
        </w:rPr>
        <w:footnoteReference w:id="5157" w:customMarkFollows="0"/>
      </w:r>
      <w:bookmarkEnd w:id="6748"/>
      <w:r>
        <w:rPr>
          <w:rtl/>
        </w:rPr>
        <w:t xml:space="preserve"> על גרסה אחרת לטעם שהוטל ספק בכשרות מטבחו של ר׳ חיים: </w:t>
      </w:r>
      <w:proofErr w:type="spellStart"/>
      <w:r>
        <w:rPr>
          <w:rtl/>
        </w:rPr>
        <w:t>ה“גדול</w:t>
      </w:r>
      <w:proofErr w:type="spellEnd"/>
      <w:r>
        <w:rPr>
          <w:rtl/>
        </w:rPr>
        <w:t xml:space="preserve">” מתח ביקורת על ר׳ חיים שאינו מחמיר דיו בהלכות טרפות, מפני שהקל בשאלת תרתי </w:t>
      </w:r>
      <w:proofErr w:type="spellStart"/>
      <w:r>
        <w:rPr>
          <w:rtl/>
        </w:rPr>
        <w:t>לריעותא</w:t>
      </w:r>
      <w:proofErr w:type="spellEnd"/>
      <w:r>
        <w:rPr>
          <w:rtl/>
        </w:rPr>
        <w:t xml:space="preserve"> – השווה “בית דוד”</w:t>
      </w:r>
      <w:bookmarkStart w:id="6749" w:name="_fnr5144"/>
      <w:r>
        <w:rPr>
          <w:rStyle w:val="a5"/>
        </w:rPr>
        <w:footnoteReference w:id="5158" w:customMarkFollows="0"/>
      </w:r>
      <w:bookmarkEnd w:id="6749"/>
      <w:r>
        <w:rPr>
          <w:rtl/>
        </w:rPr>
        <w:t xml:space="preserve">, המחמיר יותר. אגב, ר׳ חיים כתב הסכמה </w:t>
      </w:r>
      <w:proofErr w:type="spellStart"/>
      <w:r>
        <w:rPr>
          <w:rtl/>
        </w:rPr>
        <w:t>ל“בית</w:t>
      </w:r>
      <w:proofErr w:type="spellEnd"/>
      <w:r>
        <w:rPr>
          <w:rtl/>
        </w:rPr>
        <w:t xml:space="preserve"> דוד” בראש חודש סיוון תרס״א, אך אין בזה כדי ללמד שבין ביקורו במינסק </w:t>
      </w:r>
      <w:proofErr w:type="spellStart"/>
      <w:r>
        <w:rPr>
          <w:rtl/>
        </w:rPr>
        <w:t>בתרנ״ה</w:t>
      </w:r>
      <w:proofErr w:type="spellEnd"/>
      <w:r>
        <w:rPr>
          <w:rtl/>
        </w:rPr>
        <w:t xml:space="preserve"> לבין מתן ההסכמה חזר בו בעניין תרתי </w:t>
      </w:r>
      <w:proofErr w:type="spellStart"/>
      <w:r>
        <w:rPr>
          <w:rtl/>
        </w:rPr>
        <w:t>לריעותא</w:t>
      </w:r>
      <w:proofErr w:type="spellEnd"/>
      <w:r>
        <w:rPr>
          <w:rtl/>
        </w:rPr>
        <w:t xml:space="preserve"> ונעשה מחמיר יותר. ראה “עובדות והנהגות לבית </w:t>
      </w:r>
      <w:proofErr w:type="spellStart"/>
      <w:r>
        <w:rPr>
          <w:rtl/>
        </w:rPr>
        <w:t>בריסק</w:t>
      </w:r>
      <w:proofErr w:type="spellEnd"/>
      <w:r>
        <w:rPr>
          <w:rtl/>
        </w:rPr>
        <w:t>”</w:t>
      </w:r>
      <w:bookmarkStart w:id="6750" w:name="_fnr5145"/>
      <w:r>
        <w:rPr>
          <w:rStyle w:val="a5"/>
        </w:rPr>
        <w:footnoteReference w:id="5159" w:customMarkFollows="0"/>
      </w:r>
      <w:bookmarkEnd w:id="6750"/>
      <w:r>
        <w:rPr>
          <w:rtl/>
        </w:rPr>
        <w:t xml:space="preserve">, שנתן הסכמות לספרי הלכה בלי להבחין ביניהם, עד שלפי המסופר היה נכדו ר׳ </w:t>
      </w:r>
      <w:proofErr w:type="spellStart"/>
      <w:r>
        <w:rPr>
          <w:rtl/>
        </w:rPr>
        <w:t xml:space="preserve">יושע־בערל</w:t>
      </w:r>
      <w:proofErr w:type="spellEnd"/>
      <w:r>
        <w:rPr>
          <w:rtl/>
        </w:rPr>
        <w:t xml:space="preserve"> מכנה את הסכמות סבו “חסרות ערך”. מכל מקום, בגרסת הרב ליכטנשטיין היה עוד שינוי קל: ר׳ חיים נימק את התנהגותו המשונה בבית רבה של מינסק </w:t>
      </w:r>
      <w:proofErr w:type="spellStart"/>
      <w:r>
        <w:rPr>
          <w:rtl/>
        </w:rPr>
        <w:t>ב“רצונו</w:t>
      </w:r>
      <w:proofErr w:type="spellEnd"/>
      <w:r>
        <w:rPr>
          <w:rtl/>
        </w:rPr>
        <w:t xml:space="preserve"> </w:t>
      </w:r>
      <w:proofErr w:type="spellStart"/>
      <w:r>
        <w:rPr>
          <w:rtl/>
        </w:rPr>
        <w:t>שה‘גדול</w:t>
      </w:r>
      <w:proofErr w:type="spellEnd"/>
      <w:r>
        <w:rPr>
          <w:rtl/>
        </w:rPr>
        <w:t xml:space="preserve">’ ידע </w:t>
      </w:r>
      <w:proofErr w:type="spellStart"/>
      <w:r>
        <w:rPr>
          <w:rtl/>
        </w:rPr>
        <w:t>שבבריסק</w:t>
      </w:r>
      <w:proofErr w:type="spellEnd"/>
      <w:r>
        <w:rPr>
          <w:rtl/>
        </w:rPr>
        <w:t xml:space="preserve"> אין אוכלים מאכלות אסורות”.</w:t>
      </w:r>
    </w:p>
    <w:p w14:paraId="2791ECCA" w14:textId="77777777" w:rsidR="00AB3647" w:rsidRDefault="00000000" w:rsidP="007923E9">
      <w:pPr>
        <w:spacing w:after="120" w:line="276" w:lineRule="auto"/>
        <w:ind w:firstLine="283"/>
        <w:jc w:val="both"/>
      </w:pPr>
      <w:r>
        <w:rPr>
          <w:rtl/>
        </w:rPr>
        <w:t>ר׳ שלמה סלונים</w:t>
      </w:r>
      <w:bookmarkStart w:id="6751" w:name="_fnr5146"/>
      <w:r>
        <w:rPr>
          <w:rStyle w:val="a5"/>
        </w:rPr>
        <w:footnoteReference w:id="5160" w:customMarkFollows="0"/>
      </w:r>
      <w:bookmarkEnd w:id="6751"/>
      <w:r>
        <w:rPr>
          <w:rtl/>
        </w:rPr>
        <w:t xml:space="preserve"> חזר על סיפור ששמע מחותנו ר׳ </w:t>
      </w:r>
      <w:proofErr w:type="spellStart"/>
      <w:r>
        <w:rPr>
          <w:rtl/>
        </w:rPr>
        <w:t>יעקב־מאיר</w:t>
      </w:r>
      <w:proofErr w:type="spellEnd"/>
      <w:r>
        <w:rPr>
          <w:rtl/>
        </w:rPr>
        <w:t xml:space="preserve"> </w:t>
      </w:r>
      <w:proofErr w:type="spellStart"/>
      <w:r>
        <w:rPr>
          <w:rtl/>
        </w:rPr>
        <w:t>פומרנץ</w:t>
      </w:r>
      <w:proofErr w:type="spellEnd"/>
      <w:r>
        <w:rPr>
          <w:rtl/>
        </w:rPr>
        <w:t xml:space="preserve">, תלמיד </w:t>
      </w:r>
      <w:proofErr w:type="spellStart"/>
      <w:r>
        <w:rPr>
          <w:rtl/>
        </w:rPr>
        <w:t>ראדין</w:t>
      </w:r>
      <w:proofErr w:type="spellEnd"/>
      <w:r>
        <w:rPr>
          <w:rtl/>
        </w:rPr>
        <w:t xml:space="preserve">, ששמעו מתלמיד </w:t>
      </w:r>
      <w:proofErr w:type="spellStart"/>
      <w:r>
        <w:rPr>
          <w:rtl/>
        </w:rPr>
        <w:t>ראדין</w:t>
      </w:r>
      <w:proofErr w:type="spellEnd"/>
      <w:r>
        <w:rPr>
          <w:rtl/>
        </w:rPr>
        <w:t xml:space="preserve"> אחר, ר׳ משה־מאיר ישר</w:t>
      </w:r>
      <w:bookmarkStart w:id="6752" w:name="_fnr5147"/>
      <w:r>
        <w:rPr>
          <w:rStyle w:val="a5"/>
        </w:rPr>
        <w:footnoteReference w:id="5161" w:customMarkFollows="0"/>
      </w:r>
      <w:bookmarkEnd w:id="6752"/>
      <w:r>
        <w:rPr>
          <w:rtl/>
        </w:rPr>
        <w:t xml:space="preserve">, על פגישה נוספת של ר׳ חיים עם </w:t>
      </w:r>
      <w:proofErr w:type="spellStart"/>
      <w:r>
        <w:rPr>
          <w:rtl/>
        </w:rPr>
        <w:t>ה“גדול</w:t>
      </w:r>
      <w:proofErr w:type="spellEnd"/>
      <w:r>
        <w:rPr>
          <w:rtl/>
        </w:rPr>
        <w:t xml:space="preserve">” ממינסק. בכינוס רבנים, בשיחה לא רשמית בין הרבנים, הקשה </w:t>
      </w:r>
      <w:proofErr w:type="spellStart"/>
      <w:r>
        <w:rPr>
          <w:rtl/>
        </w:rPr>
        <w:t>ה“גדול</w:t>
      </w:r>
      <w:proofErr w:type="spellEnd"/>
      <w:r>
        <w:rPr>
          <w:rtl/>
        </w:rPr>
        <w:t xml:space="preserve">” קושיא על דברי רמב״ם ותירץ תירוץ מבריק, כדרכו. ר׳ חיים דיבר על </w:t>
      </w:r>
      <w:r>
        <w:rPr>
          <w:b/>
          <w:bCs/>
          <w:rtl/>
        </w:rPr>
        <w:t>אותו רמב״ם</w:t>
      </w:r>
      <w:r>
        <w:rPr>
          <w:rtl/>
        </w:rPr>
        <w:t xml:space="preserve"> וביארו כך שהכול הבינו שכל יסוד קושיית </w:t>
      </w:r>
      <w:proofErr w:type="spellStart"/>
      <w:r>
        <w:rPr>
          <w:rtl/>
        </w:rPr>
        <w:t>ה“גדול</w:t>
      </w:r>
      <w:proofErr w:type="spellEnd"/>
      <w:r>
        <w:rPr>
          <w:rtl/>
        </w:rPr>
        <w:t>” נשמט – כדרכו של ר׳ חיים</w:t>
      </w:r>
      <w:bookmarkStart w:id="6753" w:name="_fnr5148"/>
      <w:r>
        <w:rPr>
          <w:rStyle w:val="a5"/>
        </w:rPr>
        <w:footnoteReference w:id="5162" w:customMarkFollows="0"/>
      </w:r>
      <w:bookmarkEnd w:id="6753"/>
      <w:r>
        <w:rPr>
          <w:rtl/>
        </w:rPr>
        <w:t>. אחר כך, ביחידות, שאל אחד ממקורביו את ר׳ חיים מדוע בחר לדון ב</w:t>
      </w:r>
      <w:r>
        <w:rPr>
          <w:b/>
          <w:bCs/>
          <w:rtl/>
        </w:rPr>
        <w:t>אותו רמב״ם</w:t>
      </w:r>
      <w:r>
        <w:rPr>
          <w:rtl/>
        </w:rPr>
        <w:t xml:space="preserve"> שדיבר עליו </w:t>
      </w:r>
      <w:proofErr w:type="spellStart"/>
      <w:r>
        <w:rPr>
          <w:rtl/>
        </w:rPr>
        <w:t>ה“גדול</w:t>
      </w:r>
      <w:proofErr w:type="spellEnd"/>
      <w:r>
        <w:rPr>
          <w:rtl/>
        </w:rPr>
        <w:t xml:space="preserve">”: “וכי אין עניינים אחרים ברמב״ם שיכולת לבאר?”, שאל בתמיהה. ר׳ חיים גילה שכאשר נפטר אביו ועלתה </w:t>
      </w:r>
      <w:r>
        <w:rPr>
          <w:rtl/>
        </w:rPr>
        <w:lastRenderedPageBreak/>
        <w:t xml:space="preserve">ההצעה למנותו על כס הרבנות </w:t>
      </w:r>
      <w:proofErr w:type="spellStart"/>
      <w:r>
        <w:rPr>
          <w:rtl/>
        </w:rPr>
        <w:t>בבריסק</w:t>
      </w:r>
      <w:proofErr w:type="spellEnd"/>
      <w:r>
        <w:rPr>
          <w:rtl/>
        </w:rPr>
        <w:t xml:space="preserve">, העיר </w:t>
      </w:r>
      <w:proofErr w:type="spellStart"/>
      <w:r>
        <w:rPr>
          <w:rtl/>
        </w:rPr>
        <w:t>ה“גדול</w:t>
      </w:r>
      <w:proofErr w:type="spellEnd"/>
      <w:r>
        <w:rPr>
          <w:rtl/>
        </w:rPr>
        <w:t xml:space="preserve">”: “גלייך [מיד] </w:t>
      </w:r>
      <w:proofErr w:type="spellStart"/>
      <w:r>
        <w:rPr>
          <w:rtl/>
        </w:rPr>
        <w:t>בריסק</w:t>
      </w:r>
      <w:proofErr w:type="spellEnd"/>
      <w:r>
        <w:rPr>
          <w:rtl/>
        </w:rPr>
        <w:t>?!” – כלומר, העיר ראויה לרב בעל ניסיון רב יותר</w:t>
      </w:r>
      <w:bookmarkStart w:id="6754" w:name="_fnr5149"/>
      <w:r>
        <w:rPr>
          <w:rStyle w:val="a5"/>
        </w:rPr>
        <w:footnoteReference w:id="5163" w:customMarkFollows="0"/>
      </w:r>
      <w:bookmarkEnd w:id="6754"/>
      <w:r>
        <w:rPr>
          <w:rtl/>
        </w:rPr>
        <w:t>.</w:t>
      </w:r>
    </w:p>
    <w:p w14:paraId="2435D5E7" w14:textId="77777777" w:rsidR="00AB3647" w:rsidRDefault="00000000" w:rsidP="007923E9">
      <w:pPr>
        <w:spacing w:after="120" w:line="276" w:lineRule="auto"/>
        <w:ind w:firstLine="283"/>
        <w:jc w:val="both"/>
      </w:pPr>
      <w:r>
        <w:rPr>
          <w:rtl/>
        </w:rPr>
        <w:t xml:space="preserve">על חוסר ניסיונו של ר׳ חיים כרב קהילה השווה “הראשון לשושלת </w:t>
      </w:r>
      <w:proofErr w:type="spellStart"/>
      <w:r>
        <w:rPr>
          <w:rtl/>
        </w:rPr>
        <w:t>בריסק</w:t>
      </w:r>
      <w:proofErr w:type="spellEnd"/>
      <w:r>
        <w:rPr>
          <w:rtl/>
        </w:rPr>
        <w:t>”</w:t>
      </w:r>
      <w:bookmarkStart w:id="6755" w:name="_fnr5150"/>
      <w:r>
        <w:rPr>
          <w:rStyle w:val="a5"/>
        </w:rPr>
        <w:footnoteReference w:id="5164" w:customMarkFollows="0"/>
      </w:r>
      <w:bookmarkEnd w:id="6755"/>
      <w:r>
        <w:rPr>
          <w:rtl/>
        </w:rPr>
        <w:t xml:space="preserve">: אחרי הלוויית ר׳ יוסף־דב נשאר אחי הנפטר, ר׳ </w:t>
      </w:r>
      <w:proofErr w:type="spellStart"/>
      <w:r>
        <w:rPr>
          <w:rtl/>
        </w:rPr>
        <w:t>חיים־שמחה</w:t>
      </w:r>
      <w:proofErr w:type="spellEnd"/>
      <w:r>
        <w:rPr>
          <w:rtl/>
        </w:rPr>
        <w:t xml:space="preserve">, </w:t>
      </w:r>
      <w:proofErr w:type="spellStart"/>
      <w:r>
        <w:rPr>
          <w:rtl/>
        </w:rPr>
        <w:t>בבריסק</w:t>
      </w:r>
      <w:proofErr w:type="spellEnd"/>
      <w:r>
        <w:rPr>
          <w:rtl/>
        </w:rPr>
        <w:t xml:space="preserve"> יותר מחודשיים, כדי להדריך את ר׳ חיים בצעדיו הראשונים ברבנות, ורק אחר כך חזר לקובנה, עיר מולדתו [כנראה]</w:t>
      </w:r>
      <w:bookmarkStart w:id="6756" w:name="_fnr5151"/>
      <w:r>
        <w:rPr>
          <w:rStyle w:val="a5"/>
        </w:rPr>
        <w:footnoteReference w:id="5165" w:customMarkFollows="0"/>
      </w:r>
      <w:bookmarkEnd w:id="6756"/>
      <w:r>
        <w:rPr>
          <w:rtl/>
        </w:rPr>
        <w:t>. עוד מסופר שם</w:t>
      </w:r>
      <w:bookmarkStart w:id="6757" w:name="_fnr5152"/>
      <w:r>
        <w:rPr>
          <w:rStyle w:val="a5"/>
        </w:rPr>
        <w:footnoteReference w:id="5166" w:customMarkFollows="0"/>
      </w:r>
      <w:bookmarkEnd w:id="6757"/>
      <w:r>
        <w:rPr>
          <w:rtl/>
        </w:rPr>
        <w:t xml:space="preserve"> שר׳ חיים קיבל את סמיכתו – משני ידידיו הקרובים של ר׳ יוסף־דב, ר׳ </w:t>
      </w:r>
      <w:proofErr w:type="spellStart"/>
      <w:r>
        <w:rPr>
          <w:rtl/>
        </w:rPr>
        <w:t>אלי׳־חיים</w:t>
      </w:r>
      <w:proofErr w:type="spellEnd"/>
      <w:r>
        <w:rPr>
          <w:rtl/>
        </w:rPr>
        <w:t xml:space="preserve"> </w:t>
      </w:r>
      <w:proofErr w:type="spellStart"/>
      <w:r>
        <w:rPr>
          <w:rtl/>
        </w:rPr>
        <w:t>מייזל</w:t>
      </w:r>
      <w:proofErr w:type="spellEnd"/>
      <w:r>
        <w:rPr>
          <w:rtl/>
        </w:rPr>
        <w:t xml:space="preserve"> ור׳ </w:t>
      </w:r>
      <w:proofErr w:type="spellStart"/>
      <w:r>
        <w:rPr>
          <w:rtl/>
        </w:rPr>
        <w:t>ישראל־איסר</w:t>
      </w:r>
      <w:proofErr w:type="spellEnd"/>
      <w:r>
        <w:rPr>
          <w:rtl/>
        </w:rPr>
        <w:t xml:space="preserve"> שפירא</w:t>
      </w:r>
      <w:bookmarkStart w:id="6758" w:name="_fnr5153"/>
      <w:r>
        <w:rPr>
          <w:rStyle w:val="a5"/>
        </w:rPr>
        <w:footnoteReference w:id="5167" w:customMarkFollows="0"/>
      </w:r>
      <w:bookmarkEnd w:id="6758"/>
      <w:r>
        <w:rPr>
          <w:rtl/>
        </w:rPr>
        <w:t xml:space="preserve"> – </w:t>
      </w:r>
      <w:r>
        <w:rPr>
          <w:b/>
          <w:bCs/>
          <w:rtl/>
        </w:rPr>
        <w:t>רק בתום השבעה</w:t>
      </w:r>
      <w:r>
        <w:rPr>
          <w:rtl/>
        </w:rPr>
        <w:t xml:space="preserve"> על אביו, </w:t>
      </w:r>
      <w:r>
        <w:rPr>
          <w:b/>
          <w:bCs/>
          <w:rtl/>
        </w:rPr>
        <w:t>לאחר</w:t>
      </w:r>
      <w:r>
        <w:rPr>
          <w:rtl/>
        </w:rPr>
        <w:t xml:space="preserve"> שנתמנה לרבה של העיר.</w:t>
      </w:r>
    </w:p>
    <w:p w14:paraId="405BD490" w14:textId="77777777" w:rsidR="00AB3647" w:rsidRDefault="00000000" w:rsidP="007923E9">
      <w:pPr>
        <w:spacing w:after="120" w:line="276" w:lineRule="auto"/>
        <w:ind w:firstLine="283"/>
        <w:jc w:val="both"/>
      </w:pPr>
      <w:proofErr w:type="spellStart"/>
      <w:r>
        <w:rPr>
          <w:rtl/>
        </w:rPr>
        <w:t>ב“הראשון</w:t>
      </w:r>
      <w:proofErr w:type="spellEnd"/>
      <w:r>
        <w:rPr>
          <w:rtl/>
        </w:rPr>
        <w:t xml:space="preserve"> לשושלת </w:t>
      </w:r>
      <w:proofErr w:type="spellStart"/>
      <w:r>
        <w:rPr>
          <w:rtl/>
        </w:rPr>
        <w:t>בריסק</w:t>
      </w:r>
      <w:proofErr w:type="spellEnd"/>
      <w:r>
        <w:rPr>
          <w:rtl/>
        </w:rPr>
        <w:t xml:space="preserve">” לא ברור מתי בדיוק נתמנה ר׳ חיים, אך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59" w:name="_fnr5154"/>
      <w:r>
        <w:rPr>
          <w:rStyle w:val="a5"/>
        </w:rPr>
        <w:footnoteReference w:id="5168" w:customMarkFollows="0"/>
      </w:r>
      <w:bookmarkEnd w:id="6759"/>
      <w:r>
        <w:rPr>
          <w:rtl/>
        </w:rPr>
        <w:t xml:space="preserve"> מגלה את המועד המדויק: “כמקובל במקרה כזה, [נתמנה ר׳ חיים לרב] לפני קבורת אביו, בהכרזה לנפטר לפני שטמנו את גופתו באדמה: ‘מזל טוב, בנך ר׳ חיים נעשה רבנו!’” ניסוח מסורתו של ר׳ משה־מאיר ישר, שהובאה לעיל, מורה שר׳ חיים לא נתמנה ליד הקבר, ולכן היה זמן להתייעץ עם </w:t>
      </w:r>
      <w:proofErr w:type="spellStart"/>
      <w:r>
        <w:rPr>
          <w:rtl/>
        </w:rPr>
        <w:t>ה“גדול</w:t>
      </w:r>
      <w:proofErr w:type="spellEnd"/>
      <w:r>
        <w:rPr>
          <w:rtl/>
        </w:rPr>
        <w:t>” על המינוי.</w:t>
      </w:r>
    </w:p>
    <w:p w14:paraId="1DF66365" w14:textId="77777777" w:rsidR="00AB3647" w:rsidRDefault="00000000" w:rsidP="007923E9">
      <w:pPr>
        <w:spacing w:after="120" w:line="276" w:lineRule="auto"/>
        <w:ind w:firstLine="283"/>
        <w:jc w:val="both"/>
      </w:pPr>
      <w:r>
        <w:rPr>
          <w:rtl/>
        </w:rPr>
        <w:t>“הרב”</w:t>
      </w:r>
      <w:bookmarkStart w:id="6760" w:name="_fnr5155"/>
      <w:r>
        <w:rPr>
          <w:rStyle w:val="a5"/>
        </w:rPr>
        <w:footnoteReference w:id="5169" w:customMarkFollows="0"/>
      </w:r>
      <w:bookmarkEnd w:id="6760"/>
      <w:r>
        <w:rPr>
          <w:rtl/>
        </w:rPr>
        <w:t xml:space="preserve"> מספר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כיצד “</w:t>
      </w:r>
      <w:r>
        <w:rPr>
          <w:b/>
          <w:bCs/>
          <w:rtl/>
        </w:rPr>
        <w:t>הוועדה</w:t>
      </w:r>
      <w:r>
        <w:rPr>
          <w:rtl/>
        </w:rPr>
        <w:t xml:space="preserve"> [לבחירת רב </w:t>
      </w:r>
      <w:proofErr w:type="spellStart"/>
      <w:r>
        <w:rPr>
          <w:rtl/>
        </w:rPr>
        <w:t>לבריסק</w:t>
      </w:r>
      <w:proofErr w:type="spellEnd"/>
      <w:r>
        <w:rPr>
          <w:rtl/>
        </w:rPr>
        <w:t xml:space="preserve">] שנפגשה תחילה עם ר׳ חיים טענה שאינו מלומד די הצורך” כדי להתקבל. אז “נפגש עם </w:t>
      </w:r>
      <w:r>
        <w:rPr>
          <w:b/>
          <w:bCs/>
          <w:rtl/>
        </w:rPr>
        <w:t>המועמד</w:t>
      </w:r>
      <w:r>
        <w:rPr>
          <w:rtl/>
        </w:rPr>
        <w:t xml:space="preserve">” (ההדגשה שלי) עשיר אחד, </w:t>
      </w:r>
      <w:proofErr w:type="spellStart"/>
      <w:r>
        <w:rPr>
          <w:rtl/>
        </w:rPr>
        <w:t>ש“היה</w:t>
      </w:r>
      <w:proofErr w:type="spellEnd"/>
      <w:r>
        <w:rPr>
          <w:rtl/>
        </w:rPr>
        <w:t xml:space="preserve"> תלמיד חכם מופלג, ועד מהרה פרסם את הגדלות והייחוד שבגישתו של ר׳ חיים ללימוד התלמוד”, ור׳ חיים אושר. תלמיד חכם מופלג ומנהיג קהילה זה נקרא שם</w:t>
      </w:r>
      <w:bookmarkStart w:id="6761" w:name="_fnr5156"/>
      <w:r>
        <w:rPr>
          <w:rStyle w:val="a5"/>
        </w:rPr>
        <w:footnoteReference w:id="5170" w:customMarkFollows="0"/>
      </w:r>
      <w:bookmarkEnd w:id="6761"/>
      <w:r>
        <w:rPr>
          <w:rtl/>
        </w:rPr>
        <w:t xml:space="preserve"> ר׳ </w:t>
      </w:r>
      <w:proofErr w:type="spellStart"/>
      <w:r>
        <w:rPr>
          <w:rtl/>
        </w:rPr>
        <w:t>חיים־זלמן</w:t>
      </w:r>
      <w:proofErr w:type="spellEnd"/>
      <w:r>
        <w:rPr>
          <w:rtl/>
        </w:rPr>
        <w:t xml:space="preserve"> ליפשיץ. מאחר שההחלטה לקבל את ר׳ חיים </w:t>
      </w:r>
      <w:proofErr w:type="spellStart"/>
      <w:r>
        <w:rPr>
          <w:rtl/>
        </w:rPr>
        <w:t>סולובייצ׳יק</w:t>
      </w:r>
      <w:proofErr w:type="spellEnd"/>
      <w:r>
        <w:rPr>
          <w:rtl/>
        </w:rPr>
        <w:t xml:space="preserve"> התקבלה בשעת קבורת אביו או בתום השבעה, לא ברור מתי יכלו להתקיים כל הפגישות המתוארות </w:t>
      </w:r>
      <w:proofErr w:type="spellStart"/>
      <w:r>
        <w:rPr>
          <w:rtl/>
        </w:rPr>
        <w:t>ב“הרב</w:t>
      </w:r>
      <w:proofErr w:type="spellEnd"/>
      <w:r>
        <w:rPr>
          <w:rtl/>
        </w:rPr>
        <w:t>”. אפשר לשער שבחצי השנה שבין פסח תרנ״א לבין ראש השנה שלאחריו</w:t>
      </w:r>
      <w:bookmarkStart w:id="6762" w:name="_fnr5157"/>
      <w:r>
        <w:rPr>
          <w:rStyle w:val="a5"/>
        </w:rPr>
        <w:footnoteReference w:id="5171" w:customMarkFollows="0"/>
      </w:r>
      <w:bookmarkEnd w:id="6762"/>
      <w:r>
        <w:rPr>
          <w:rtl/>
        </w:rPr>
        <w:t xml:space="preserve">, כשר׳ יוסף־דב שכב על ערש דווי והחלים, תכננו אחדים מזקני העיר לקראת האפשרות שרבם ייפטר, ודנו שלא באופן רשמי באפשרויות ליורש. ר׳ </w:t>
      </w:r>
      <w:proofErr w:type="spellStart"/>
      <w:r>
        <w:rPr>
          <w:rtl/>
        </w:rPr>
        <w:t xml:space="preserve">יוסף־דב</w:t>
      </w:r>
      <w:proofErr w:type="spellEnd"/>
      <w:r>
        <w:rPr>
          <w:rtl/>
        </w:rPr>
        <w:t xml:space="preserve"> השתמש במונחים “ועדה” </w:t>
      </w:r>
      <w:proofErr w:type="spellStart"/>
      <w:r>
        <w:rPr>
          <w:rtl/>
        </w:rPr>
        <w:t>ו“מועמד</w:t>
      </w:r>
      <w:proofErr w:type="spellEnd"/>
      <w:r>
        <w:rPr>
          <w:rtl/>
        </w:rPr>
        <w:t>” (שהודגשו לעיל) רק כדי שהסיפור יהיה מובן יותר לקהל שומעיו האמריקאי.</w:t>
      </w:r>
    </w:p>
    <w:p w14:paraId="104FCD52" w14:textId="77777777" w:rsidR="00AB3647" w:rsidRDefault="00000000" w:rsidP="007923E9">
      <w:pPr>
        <w:spacing w:after="120" w:line="276" w:lineRule="auto"/>
        <w:ind w:firstLine="283"/>
        <w:jc w:val="both"/>
      </w:pPr>
      <w:r>
        <w:rPr>
          <w:rtl/>
        </w:rPr>
        <w:t xml:space="preserve">ביקורת </w:t>
      </w:r>
      <w:proofErr w:type="spellStart"/>
      <w:r>
        <w:rPr>
          <w:rtl/>
        </w:rPr>
        <w:t>ה“גדול</w:t>
      </w:r>
      <w:proofErr w:type="spellEnd"/>
      <w:r>
        <w:rPr>
          <w:rtl/>
        </w:rPr>
        <w:t xml:space="preserve">” על מינויו של ר׳ חיים לרבנות </w:t>
      </w:r>
      <w:proofErr w:type="spellStart"/>
      <w:r>
        <w:rPr>
          <w:rtl/>
        </w:rPr>
        <w:t>בריסק</w:t>
      </w:r>
      <w:proofErr w:type="spellEnd"/>
      <w:r>
        <w:rPr>
          <w:rtl/>
        </w:rPr>
        <w:t xml:space="preserve"> עוררה את מורת רוחו של ר׳ חיים. “בחרתי דווקא באותו רמב״ם של </w:t>
      </w:r>
      <w:proofErr w:type="spellStart"/>
      <w:r>
        <w:rPr>
          <w:rtl/>
        </w:rPr>
        <w:t>ה‘גדול</w:t>
      </w:r>
      <w:proofErr w:type="spellEnd"/>
      <w:r>
        <w:rPr>
          <w:rtl/>
        </w:rPr>
        <w:t xml:space="preserve">’ כדי להודיעו שעליו לדאוג פחות </w:t>
      </w:r>
      <w:proofErr w:type="spellStart"/>
      <w:r>
        <w:rPr>
          <w:rtl/>
        </w:rPr>
        <w:t>לבריסק</w:t>
      </w:r>
      <w:proofErr w:type="spellEnd"/>
      <w:r>
        <w:rPr>
          <w:rtl/>
        </w:rPr>
        <w:t xml:space="preserve">”, סיים. המעשה שתיאר ר׳ משה־מאיר ישר אירע בבירור לפני מעשה “אישים ושיטות” </w:t>
      </w:r>
      <w:proofErr w:type="spellStart"/>
      <w:r>
        <w:rPr>
          <w:rtl/>
        </w:rPr>
        <w:t>בתרנ״ה</w:t>
      </w:r>
      <w:proofErr w:type="spellEnd"/>
      <w:r>
        <w:rPr>
          <w:rtl/>
        </w:rPr>
        <w:t>, כלומר בשלב כלשהו בשנתיים הראשונות אחרי מינויו של ר׳ חיים לרבנות.</w:t>
      </w:r>
    </w:p>
    <w:p w14:paraId="60847C08" w14:textId="77777777" w:rsidR="00AB3647" w:rsidRDefault="00000000" w:rsidP="007923E9">
      <w:pPr>
        <w:spacing w:after="120" w:line="276" w:lineRule="auto"/>
        <w:ind w:firstLine="283"/>
        <w:jc w:val="both"/>
      </w:pPr>
      <w:r>
        <w:rPr>
          <w:rtl/>
        </w:rPr>
        <w:lastRenderedPageBreak/>
        <w:t xml:space="preserve">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סיפר מעשה שנראה כשילוב של סיפור “אישים ושיטות” ושל מעשה ר׳ משה־מאיר ישר: סבו ר׳ חיים הלך עם הרב </w:t>
      </w:r>
      <w:proofErr w:type="spellStart"/>
      <w:r>
        <w:rPr>
          <w:rtl/>
        </w:rPr>
        <w:t>ירושלמסקי</w:t>
      </w:r>
      <w:proofErr w:type="spellEnd"/>
      <w:r>
        <w:rPr>
          <w:rtl/>
        </w:rPr>
        <w:t xml:space="preserve"> לבקר את </w:t>
      </w:r>
      <w:proofErr w:type="spellStart"/>
      <w:r>
        <w:rPr>
          <w:rtl/>
        </w:rPr>
        <w:t>ה“גדול</w:t>
      </w:r>
      <w:proofErr w:type="spellEnd"/>
      <w:r>
        <w:rPr>
          <w:rtl/>
        </w:rPr>
        <w:t xml:space="preserve">”, וביטל את כל מה שאמר המארח. כששאלו הרב </w:t>
      </w:r>
      <w:proofErr w:type="spellStart"/>
      <w:r>
        <w:rPr>
          <w:rtl/>
        </w:rPr>
        <w:t>ירושלמסקי</w:t>
      </w:r>
      <w:proofErr w:type="spellEnd"/>
      <w:r>
        <w:rPr>
          <w:rtl/>
        </w:rPr>
        <w:t xml:space="preserve"> אחר כך מדוע ציער את הרב הזקן, שהיה מבוגר מר׳ חיים </w:t>
      </w:r>
      <w:proofErr w:type="spellStart"/>
      <w:r>
        <w:rPr>
          <w:rtl/>
        </w:rPr>
        <w:t>בשמונה־עשרה</w:t>
      </w:r>
      <w:proofErr w:type="spellEnd"/>
      <w:r>
        <w:rPr>
          <w:rtl/>
        </w:rPr>
        <w:t xml:space="preserve"> שנה, השיב: “אדרבה, עכשיו טוב לו; הוא היה מודאג </w:t>
      </w:r>
      <w:proofErr w:type="spellStart"/>
      <w:r>
        <w:rPr>
          <w:rtl/>
        </w:rPr>
        <w:t>שבריסק</w:t>
      </w:r>
      <w:proofErr w:type="spellEnd"/>
      <w:r>
        <w:rPr>
          <w:rtl/>
        </w:rPr>
        <w:t xml:space="preserve"> לא קיבלה רב שאפשר להשוותו לקודמו – אבי, ר׳ </w:t>
      </w:r>
      <w:proofErr w:type="spellStart"/>
      <w:r>
        <w:rPr>
          <w:rtl/>
        </w:rPr>
        <w:t xml:space="preserve">יושע־בער</w:t>
      </w:r>
      <w:proofErr w:type="spellEnd"/>
      <w:r>
        <w:rPr>
          <w:rtl/>
        </w:rPr>
        <w:t xml:space="preserve"> – אבל אחרי שהראיתי לו מה ביכולתי לעשות, נחה דעתו”. לפי זה מתבאר משפט הסיום המעורפל </w:t>
      </w:r>
      <w:proofErr w:type="spellStart"/>
      <w:r>
        <w:rPr>
          <w:rtl/>
        </w:rPr>
        <w:t>ב“אישים</w:t>
      </w:r>
      <w:proofErr w:type="spellEnd"/>
      <w:r>
        <w:rPr>
          <w:rtl/>
        </w:rPr>
        <w:t xml:space="preserve"> ושיטות”, “עכשיו [</w:t>
      </w:r>
      <w:proofErr w:type="spellStart"/>
      <w:r>
        <w:rPr>
          <w:rtl/>
        </w:rPr>
        <w:t>ה‘גדול</w:t>
      </w:r>
      <w:proofErr w:type="spellEnd"/>
      <w:r>
        <w:rPr>
          <w:rtl/>
        </w:rPr>
        <w:t xml:space="preserve">’ ממינסק] לא יאמר עוד שרבה של </w:t>
      </w:r>
      <w:proofErr w:type="spellStart"/>
      <w:r>
        <w:rPr>
          <w:rtl/>
        </w:rPr>
        <w:t>בריסק</w:t>
      </w:r>
      <w:proofErr w:type="spellEnd"/>
      <w:r>
        <w:rPr>
          <w:rtl/>
        </w:rPr>
        <w:t xml:space="preserve"> אינו יודע ללמוד” [עמ׳ </w:t>
      </w:r>
      <w:r>
        <w:rPr>
          <w:rtl/>
        </w:rPr>
        <w:fldChar w:fldCharType="begin" w:dirty="true"/>
      </w:r>
      <w:r>
        <w:rPr>
          <w:rtl/>
        </w:rPr>
        <w:instrText xml:space="preserve"> PAGEREF pr_b_2769 \h </w:instrText>
      </w:r>
      <w:r>
        <w:rPr>
          <w:rtl/>
        </w:rPr>
      </w:r>
      <w:r>
        <w:rPr>
          <w:rtl/>
        </w:rPr>
        <w:fldChar w:fldCharType="separate"/>
      </w:r>
      <w:r w:rsidR="007923E9">
        <w:rPr>
          <w:noProof/>
          <w:rtl/>
        </w:rPr>
        <w:t>1</w:t>
      </w:r>
      <w:r>
        <w:rPr>
          <w:rtl/>
        </w:rPr>
        <w:fldChar w:fldCharType="end"/>
      </w:r>
      <w:r>
        <w:rPr>
          <w:rtl/>
        </w:rPr>
        <w:t xml:space="preserve">], ומשמעותו: “עכשיו לא [ידאג] עוד שרבה של </w:t>
      </w:r>
      <w:proofErr w:type="spellStart"/>
      <w:r>
        <w:rPr>
          <w:rtl/>
        </w:rPr>
        <w:t>בריסק</w:t>
      </w:r>
      <w:proofErr w:type="spellEnd"/>
      <w:r>
        <w:rPr>
          <w:rtl/>
        </w:rPr>
        <w:t xml:space="preserve"> אינו יודע ללמוד כקודמו”.</w:t>
      </w:r>
    </w:p>
    <w:p w14:paraId="5597366A" w14:textId="77777777" w:rsidR="00AB3647" w:rsidRDefault="00000000" w:rsidP="007923E9">
      <w:pPr>
        <w:spacing w:after="120" w:line="276" w:lineRule="auto"/>
        <w:ind w:firstLine="283"/>
        <w:jc w:val="both"/>
      </w:pPr>
      <w:r>
        <w:rPr>
          <w:rtl/>
        </w:rPr>
        <w:t xml:space="preserve">גרסה נוספת שנראית כשילוב מעשי ישר </w:t>
      </w:r>
      <w:proofErr w:type="spellStart"/>
      <w:r>
        <w:rPr>
          <w:rtl/>
        </w:rPr>
        <w:t>ו“אישים</w:t>
      </w:r>
      <w:proofErr w:type="spellEnd"/>
      <w:r>
        <w:rPr>
          <w:rtl/>
        </w:rPr>
        <w:t xml:space="preserve"> ושיטות” מובאת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3" w:name="_fnr5158"/>
      <w:r>
        <w:rPr>
          <w:rStyle w:val="a5"/>
        </w:rPr>
        <w:footnoteReference w:id="5172" w:customMarkFollows="0"/>
      </w:r>
      <w:bookmarkEnd w:id="6763"/>
      <w:r>
        <w:rPr>
          <w:rtl/>
        </w:rPr>
        <w:t xml:space="preserve"> בשם ר׳ יצחק־זאב</w:t>
      </w:r>
      <w:bookmarkStart w:id="6764" w:name="_fnr5159"/>
      <w:r>
        <w:rPr>
          <w:rStyle w:val="a5"/>
        </w:rPr>
        <w:footnoteReference w:id="5173" w:customMarkFollows="0"/>
      </w:r>
      <w:bookmarkEnd w:id="6764"/>
      <w:r>
        <w:rPr>
          <w:rtl/>
        </w:rPr>
        <w:t xml:space="preserve">: בחתונת בת </w:t>
      </w:r>
      <w:proofErr w:type="spellStart"/>
      <w:r>
        <w:rPr>
          <w:rtl/>
        </w:rPr>
        <w:t>ה“גדול</w:t>
      </w:r>
      <w:proofErr w:type="spellEnd"/>
      <w:r>
        <w:rPr>
          <w:rtl/>
        </w:rPr>
        <w:t xml:space="preserve">” עם ר׳ </w:t>
      </w:r>
      <w:proofErr w:type="spellStart"/>
      <w:r>
        <w:rPr>
          <w:rtl/>
        </w:rPr>
        <w:t>אברהם־דובער</w:t>
      </w:r>
      <w:proofErr w:type="spellEnd"/>
      <w:r>
        <w:rPr>
          <w:rtl/>
        </w:rPr>
        <w:t xml:space="preserve"> </w:t>
      </w:r>
      <w:proofErr w:type="spellStart"/>
      <w:r>
        <w:rPr>
          <w:rtl/>
        </w:rPr>
        <w:t>כהנא־שפירא</w:t>
      </w:r>
      <w:proofErr w:type="spellEnd"/>
      <w:r>
        <w:rPr>
          <w:rtl/>
        </w:rPr>
        <w:t>, לימים רבה של קובנה</w:t>
      </w:r>
      <w:bookmarkStart w:id="6765" w:name="_fnr5160"/>
      <w:r>
        <w:rPr>
          <w:rStyle w:val="a5"/>
        </w:rPr>
        <w:footnoteReference w:id="5174" w:customMarkFollows="0"/>
      </w:r>
      <w:bookmarkEnd w:id="6765"/>
      <w:r>
        <w:rPr>
          <w:rtl/>
        </w:rPr>
        <w:t>, אמר הרב פרלמן פלפול גדול, ופנה אל ר׳ חיים, שנכח שם בשל קרבתו לחתן</w:t>
      </w:r>
      <w:bookmarkStart w:id="6766" w:name="_fnr5161"/>
      <w:r>
        <w:rPr>
          <w:rStyle w:val="a5"/>
        </w:rPr>
        <w:footnoteReference w:id="5175" w:customMarkFollows="0"/>
      </w:r>
      <w:bookmarkEnd w:id="6766"/>
      <w:r>
        <w:rPr>
          <w:rtl/>
        </w:rPr>
        <w:t xml:space="preserve">: “האם גם רבה של </w:t>
      </w:r>
      <w:proofErr w:type="spellStart"/>
      <w:r>
        <w:rPr>
          <w:rtl/>
        </w:rPr>
        <w:t>בריסק</w:t>
      </w:r>
      <w:proofErr w:type="spellEnd"/>
      <w:r>
        <w:rPr>
          <w:rtl/>
        </w:rPr>
        <w:t xml:space="preserve"> יכול לומר פלפול כזה?” ר׳ חיים, שנתמנה לרבנות </w:t>
      </w:r>
      <w:proofErr w:type="spellStart"/>
      <w:r>
        <w:rPr>
          <w:rtl/>
        </w:rPr>
        <w:t>בריסק</w:t>
      </w:r>
      <w:proofErr w:type="spellEnd"/>
      <w:r>
        <w:rPr>
          <w:rtl/>
        </w:rPr>
        <w:t xml:space="preserve"> רק שנתיים קודם לכן, נענה לאתגר ומסר דבר תורה מזהיר שהאפיל על דברי תורתו של המארח. כשנשאל אחר כך מדוע גרם </w:t>
      </w:r>
      <w:proofErr w:type="spellStart"/>
      <w:r>
        <w:rPr>
          <w:rtl/>
        </w:rPr>
        <w:t>ל“גדול</w:t>
      </w:r>
      <w:proofErr w:type="spellEnd"/>
      <w:r>
        <w:rPr>
          <w:rtl/>
        </w:rPr>
        <w:t xml:space="preserve">” </w:t>
      </w:r>
      <w:proofErr w:type="spellStart"/>
      <w:r>
        <w:rPr>
          <w:rtl/>
        </w:rPr>
        <w:t>אי־נעימות</w:t>
      </w:r>
      <w:proofErr w:type="spellEnd"/>
      <w:r>
        <w:rPr>
          <w:rtl/>
        </w:rPr>
        <w:t xml:space="preserve"> כזו, השיב: “אילו הדגיש </w:t>
      </w:r>
      <w:proofErr w:type="spellStart"/>
      <w:r>
        <w:rPr>
          <w:rtl/>
        </w:rPr>
        <w:t>ה‘גדול</w:t>
      </w:r>
      <w:proofErr w:type="spellEnd"/>
      <w:r>
        <w:rPr>
          <w:rtl/>
        </w:rPr>
        <w:t xml:space="preserve">’ שהוא קורא תיגר לא על ‘רבה של </w:t>
      </w:r>
      <w:proofErr w:type="spellStart"/>
      <w:r>
        <w:rPr>
          <w:rtl/>
        </w:rPr>
        <w:t>בריסק</w:t>
      </w:r>
      <w:proofErr w:type="spellEnd"/>
      <w:r>
        <w:rPr>
          <w:rtl/>
        </w:rPr>
        <w:t xml:space="preserve">’ אלא על ‘חיים </w:t>
      </w:r>
      <w:proofErr w:type="spellStart"/>
      <w:r>
        <w:rPr>
          <w:rtl/>
        </w:rPr>
        <w:t>סולובייצ׳יק</w:t>
      </w:r>
      <w:proofErr w:type="spellEnd"/>
      <w:r>
        <w:rPr>
          <w:rtl/>
        </w:rPr>
        <w:t>’, הייתי מוותר. אך כשמתגרים בכבוד העיר – כאילו לא קיבלה רב בשיעור הקומה הראוי לה – לא יכולתי לעבור על כך”.</w:t>
      </w:r>
    </w:p>
    <w:p w14:paraId="250F75D9" w14:textId="77777777" w:rsidR="00AB3647" w:rsidRDefault="00000000" w:rsidP="007923E9">
      <w:pPr>
        <w:spacing w:after="120" w:line="276" w:lineRule="auto"/>
        <w:ind w:firstLine="283"/>
        <w:jc w:val="both"/>
      </w:pPr>
      <w:r>
        <w:rPr>
          <w:rtl/>
        </w:rPr>
        <w:t xml:space="preserve">סיפור נוסף על פגישה בין ר׳ חיים </w:t>
      </w:r>
      <w:proofErr w:type="spellStart"/>
      <w:r>
        <w:rPr>
          <w:rtl/>
        </w:rPr>
        <w:t>ל“גדול</w:t>
      </w:r>
      <w:proofErr w:type="spellEnd"/>
      <w:r>
        <w:rPr>
          <w:rtl/>
        </w:rPr>
        <w:t xml:space="preserve">” ממינסק מובא </w:t>
      </w:r>
      <w:proofErr w:type="spellStart"/>
      <w:r>
        <w:rPr>
          <w:rtl/>
        </w:rPr>
        <w:t>ב“עובדות</w:t>
      </w:r>
      <w:proofErr w:type="spellEnd"/>
      <w:r>
        <w:rPr>
          <w:rtl/>
        </w:rPr>
        <w:t xml:space="preserve"> והנהגות לבית </w:t>
      </w:r>
      <w:proofErr w:type="spellStart"/>
      <w:r>
        <w:rPr>
          <w:rtl/>
        </w:rPr>
        <w:t>בריסק</w:t>
      </w:r>
      <w:proofErr w:type="spellEnd"/>
      <w:r>
        <w:rPr>
          <w:rtl/>
        </w:rPr>
        <w:t>”</w:t>
      </w:r>
      <w:bookmarkStart w:id="6767" w:name="_fnr5162"/>
      <w:r>
        <w:rPr>
          <w:rStyle w:val="a5"/>
        </w:rPr>
        <w:footnoteReference w:id="5176" w:customMarkFollows="0"/>
      </w:r>
      <w:bookmarkEnd w:id="6767"/>
      <w:r>
        <w:rPr>
          <w:rtl/>
        </w:rPr>
        <w:t xml:space="preserve">, גם הוא בשם ר׳ יצחק־זאב. בכינוס במינסק אמר הרב פרלמן דבר תורה מרשים, ש</w:t>
      </w:r>
      <w:r>
        <w:rPr>
          <w:b/>
          <w:bCs/>
          <w:rtl/>
        </w:rPr>
        <w:t>במהלכו</w:t>
      </w:r>
      <w:r>
        <w:rPr>
          <w:rtl/>
        </w:rPr>
        <w:t xml:space="preserve"> קרץ ר׳ חיים פעמים אחדות כדי לרמוז שיש לו קושיות – “</w:t>
      </w:r>
      <w:r>
        <w:rPr>
          <w:b/>
          <w:bCs/>
          <w:rtl/>
        </w:rPr>
        <w:t>אבל לא שאל אותן ברבים</w:t>
      </w:r>
      <w:r>
        <w:rPr>
          <w:rtl/>
        </w:rPr>
        <w:t xml:space="preserve">”. אחר כך השמיע ר׳ חיים את הקושיות לפני </w:t>
      </w:r>
      <w:proofErr w:type="spellStart"/>
      <w:r>
        <w:rPr>
          <w:rtl/>
        </w:rPr>
        <w:t>ה“גדול</w:t>
      </w:r>
      <w:proofErr w:type="spellEnd"/>
      <w:r>
        <w:rPr>
          <w:rtl/>
        </w:rPr>
        <w:t xml:space="preserve">”, וזה הודה שהן נכונות והחל לבכות. הוא הסביר שזה דבר התורה שהכין לומר במתיבתא </w:t>
      </w:r>
      <w:proofErr w:type="spellStart"/>
      <w:r>
        <w:rPr>
          <w:rtl/>
        </w:rPr>
        <w:t>דרקיע</w:t>
      </w:r>
      <w:bookmarkStart w:id="6768" w:name="_fnr5163"/>
      <w:proofErr w:type="spellEnd"/>
      <w:r>
        <w:rPr>
          <w:rStyle w:val="a5"/>
        </w:rPr>
        <w:footnoteReference w:id="5177" w:customMarkFollows="0"/>
      </w:r>
      <w:bookmarkEnd w:id="6768"/>
      <w:r>
        <w:rPr>
          <w:rtl/>
        </w:rPr>
        <w:t xml:space="preserve"> אחרי מותו, ועכשיו יישאר בלא מילים כשיגיע לשם.</w:t>
      </w:r>
    </w:p>
    <w:p w14:paraId="5D28CA8A" w14:textId="77777777" w:rsidR="00AB3647" w:rsidRDefault="00000000" w:rsidP="007923E9">
      <w:pPr>
        <w:spacing w:after="120" w:line="276" w:lineRule="auto"/>
        <w:ind w:firstLine="283"/>
        <w:jc w:val="both"/>
      </w:pPr>
      <w:r>
        <w:rPr>
          <w:rtl/>
        </w:rPr>
        <w:t>שמא ייצרו הסיפורים שלעיל רושם מוטעה על היחסים בין שני גדולי התורה, הפנה אותי ר׳ שלמה סלונים</w:t>
      </w:r>
      <w:bookmarkStart w:id="6769" w:name="_fnr5164"/>
      <w:r>
        <w:rPr>
          <w:rStyle w:val="a5"/>
        </w:rPr>
        <w:footnoteReference w:id="5178" w:customMarkFollows="0"/>
      </w:r>
      <w:bookmarkEnd w:id="6769"/>
      <w:r>
        <w:rPr>
          <w:rtl/>
        </w:rPr>
        <w:t xml:space="preserve"> לכרך שערך, “הגדול ממינסק”, ובו נאמר</w:t>
      </w:r>
      <w:bookmarkStart w:id="6770" w:name="_fnr5165"/>
      <w:r>
        <w:rPr>
          <w:rStyle w:val="a5"/>
        </w:rPr>
        <w:footnoteReference w:id="5179" w:customMarkFollows="0"/>
      </w:r>
      <w:bookmarkEnd w:id="6770"/>
      <w:r>
        <w:rPr>
          <w:rtl/>
        </w:rPr>
        <w:t xml:space="preserve">: “הגאון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גילה אהבה יתרה למשפחת </w:t>
      </w:r>
      <w:proofErr w:type="spellStart"/>
      <w:r>
        <w:rPr>
          <w:rtl/>
        </w:rPr>
        <w:t>ה‘גדול</w:t>
      </w:r>
      <w:proofErr w:type="spellEnd"/>
      <w:r>
        <w:rPr>
          <w:rtl/>
        </w:rPr>
        <w:t xml:space="preserve">’, בכך שר׳ חיים התעכב במינסק כעשרה ימים [אחרי שנפטר </w:t>
      </w:r>
      <w:proofErr w:type="spellStart"/>
      <w:r>
        <w:rPr>
          <w:rtl/>
        </w:rPr>
        <w:t>ה‘גדול</w:t>
      </w:r>
      <w:proofErr w:type="spellEnd"/>
      <w:r>
        <w:rPr>
          <w:rtl/>
        </w:rPr>
        <w:t xml:space="preserve">’]; ואף שלא עשה דבר ממשי, נוכחותו ומעמדו של איש גדול זה הביאו </w:t>
      </w:r>
      <w:r>
        <w:rPr>
          <w:rtl/>
        </w:rPr>
        <w:lastRenderedPageBreak/>
        <w:t xml:space="preserve">[למשפחה] תועלת רבה”. ר׳ שלמה ביאר אמירה סתומה זו: ר׳ חיים נשאר במינסק אחרי ההלוויה כדי להבטיח שחתנו של </w:t>
      </w:r>
      <w:proofErr w:type="spellStart"/>
      <w:r>
        <w:rPr>
          <w:rtl/>
        </w:rPr>
        <w:t>ה“גדול</w:t>
      </w:r>
      <w:proofErr w:type="spellEnd"/>
      <w:r>
        <w:rPr>
          <w:rtl/>
        </w:rPr>
        <w:t xml:space="preserve">”, ר׳ לייזר </w:t>
      </w:r>
      <w:proofErr w:type="spellStart"/>
      <w:r>
        <w:rPr>
          <w:rtl/>
        </w:rPr>
        <w:t>רבינוביץ</w:t>
      </w:r>
      <w:proofErr w:type="spellEnd"/>
      <w:r>
        <w:rPr>
          <w:rtl/>
        </w:rPr>
        <w:t>, יתמנה ליורשו</w:t>
      </w:r>
      <w:bookmarkStart w:id="6771" w:name="_fnr5166"/>
      <w:r>
        <w:rPr>
          <w:rStyle w:val="a5"/>
        </w:rPr>
        <w:footnoteReference w:id="5180" w:customMarkFollows="0"/>
      </w:r>
      <w:bookmarkEnd w:id="6771"/>
      <w:r>
        <w:rPr>
          <w:rtl/>
        </w:rPr>
        <w:t>.</w:t>
      </w:r>
    </w:p>
    <w:p w14:paraId="00EEFFA1" w14:textId="77777777" w:rsidR="00AB3647" w:rsidRDefault="00000000" w:rsidP="007923E9">
      <w:pPr>
        <w:spacing w:after="120" w:line="276" w:lineRule="auto"/>
        <w:ind w:firstLine="283"/>
        <w:jc w:val="both"/>
      </w:pPr>
      <w:r>
        <w:rPr>
          <w:rtl/>
        </w:rPr>
        <w:t>מוזכרת שם</w:t>
      </w:r>
      <w:bookmarkStart w:id="6772" w:name="_fnr5167"/>
      <w:r>
        <w:rPr>
          <w:rStyle w:val="a5"/>
        </w:rPr>
        <w:footnoteReference w:id="5181" w:customMarkFollows="0"/>
      </w:r>
      <w:bookmarkEnd w:id="6772"/>
      <w:r>
        <w:rPr>
          <w:rtl/>
        </w:rPr>
        <w:t xml:space="preserve"> המחלוקת שפרצה בקהילה כאשר “כמה חברים נלהבים רצו לעכב את קבורת הרב עד שתמנה הקהילה את אחד מיורשיו</w:t>
      </w:r>
      <w:bookmarkStart w:id="6773" w:name="_fnr5168"/>
      <w:bookmarkStart w:id="6774" w:name="pr_f_5045"/>
      <w:r>
        <w:rPr>
          <w:rStyle w:val="a5"/>
        </w:rPr>
        <w:footnoteReference w:id="5182" w:customMarkFollows="0"/>
      </w:r>
      <w:bookmarkEnd w:id="6773"/>
      <w:bookmarkEnd w:id="6774"/>
      <w:r>
        <w:rPr>
          <w:rtl/>
        </w:rPr>
        <w:t xml:space="preserve"> למלא את מקומו. אך מכבדי </w:t>
      </w:r>
      <w:proofErr w:type="spellStart"/>
      <w:r>
        <w:rPr>
          <w:rtl/>
        </w:rPr>
        <w:t>ה‘גדול</w:t>
      </w:r>
      <w:proofErr w:type="spellEnd"/>
      <w:r>
        <w:rPr>
          <w:rtl/>
        </w:rPr>
        <w:t xml:space="preserve">’ וביתו הניאום מכך באומרם: ‘מינסק אינה עיירה קטנה שבה אפשר למנות רב בבהלה </w:t>
      </w:r>
      <w:proofErr w:type="spellStart"/>
      <w:r>
        <w:rPr>
          <w:rtl/>
        </w:rPr>
        <w:t>ובחפזון</w:t>
      </w:r>
      <w:proofErr w:type="spellEnd"/>
      <w:r>
        <w:rPr>
          <w:rtl/>
        </w:rPr>
        <w:t xml:space="preserve"> ו</w:t>
      </w:r>
      <w:r>
        <w:rPr>
          <w:b/>
          <w:bCs/>
          <w:rtl/>
        </w:rPr>
        <w:t>כפיית הר כגיגית</w:t>
      </w:r>
      <w:bookmarkStart w:id="6775" w:name="_fnr5169"/>
      <w:r>
        <w:rPr>
          <w:rStyle w:val="a5"/>
        </w:rPr>
        <w:footnoteReference w:id="5183" w:customMarkFollows="0"/>
      </w:r>
      <w:bookmarkEnd w:id="6775"/>
      <w:r>
        <w:rPr>
          <w:rtl/>
        </w:rPr>
        <w:t>; אתם מבזים את הרב בעשיית דבר שב</w:t>
      </w:r>
      <w:r>
        <w:rPr>
          <w:b/>
          <w:bCs/>
          <w:rtl/>
        </w:rPr>
        <w:t>חייו</w:t>
      </w:r>
      <w:r>
        <w:rPr>
          <w:rtl/>
        </w:rPr>
        <w:t xml:space="preserve"> לא ניחא ליה </w:t>
      </w:r>
      <w:r>
        <w:rPr>
          <w:b/>
          <w:bCs/>
          <w:rtl/>
        </w:rPr>
        <w:t xml:space="preserve">דלא </w:t>
      </w:r>
      <w:proofErr w:type="spellStart"/>
      <w:r>
        <w:rPr>
          <w:b/>
          <w:bCs/>
          <w:rtl/>
        </w:rPr>
        <w:t>סבירא</w:t>
      </w:r>
      <w:proofErr w:type="spellEnd"/>
      <w:r>
        <w:rPr>
          <w:b/>
          <w:bCs/>
          <w:rtl/>
        </w:rPr>
        <w:t xml:space="preserve"> ליה</w:t>
      </w:r>
      <w:r>
        <w:rPr>
          <w:rtl/>
        </w:rPr>
        <w:t xml:space="preserve"> (ההדגשה שלי), שכן שנא רבנות שבאה בעקיפין, שלא ברצון ושלא בכבוד’”. ייתכן שהביטויים המודגשים רומזים להתנגדות הרב פרלמן למינויו של ר׳ חיים </w:t>
      </w:r>
      <w:r>
        <w:rPr>
          <w:b/>
          <w:bCs/>
          <w:rtl/>
        </w:rPr>
        <w:t>עצמו</w:t>
      </w:r>
      <w:r>
        <w:rPr>
          <w:rtl/>
        </w:rPr>
        <w:t xml:space="preserve"> לרשת את כס אביו “בבהלה </w:t>
      </w:r>
      <w:proofErr w:type="spellStart"/>
      <w:r>
        <w:rPr>
          <w:rtl/>
        </w:rPr>
        <w:t>ובחפזון</w:t>
      </w:r>
      <w:proofErr w:type="spellEnd"/>
      <w:r>
        <w:rPr>
          <w:rtl/>
        </w:rPr>
        <w:t xml:space="preserve">” בתום השבעה על ר׳ יוסף־דב, או [כאמור לעיל] אולי עוד קודם לכן – לפני קבורת אביו – בדיוק כפי שביקשו לעשות “כמה חברים נלהבים” בקהילת מינסק </w:t>
      </w:r>
      <w:r>
        <w:rPr>
          <w:b/>
          <w:bCs/>
          <w:rtl/>
        </w:rPr>
        <w:t>כשנפטר</w:t>
      </w:r>
      <w:r>
        <w:rPr>
          <w:rtl/>
        </w:rPr>
        <w:t xml:space="preserve">, לפני קבורת </w:t>
      </w:r>
      <w:proofErr w:type="spellStart"/>
      <w:r>
        <w:rPr>
          <w:rtl/>
        </w:rPr>
        <w:t>ה“גדול</w:t>
      </w:r>
      <w:proofErr w:type="spellEnd"/>
      <w:r>
        <w:rPr>
          <w:rtl/>
        </w:rPr>
        <w:t>”. ר׳ חיים נשאר בעיר אחרי הלוויית הרב פרלמן כדי לוודא שגם אם חתנו לא הוכתר “בהתלהבות” בשעת הקבורה, ואף לא בתום השבעה, עדיין יזכה ר׳ לייזר ברבנות בתוך זמן קצר.</w:t>
      </w:r>
    </w:p>
    <w:p w14:paraId="6BD181C0" w14:textId="77777777" w:rsidR="00AB3647" w:rsidRDefault="00000000" w:rsidP="007923E9">
      <w:pPr>
        <w:spacing w:after="120" w:line="276" w:lineRule="auto"/>
        <w:ind w:firstLine="283"/>
        <w:jc w:val="both"/>
      </w:pPr>
      <w:r>
        <w:rPr>
          <w:rtl/>
        </w:rPr>
        <w:t>“מינסק עיר ואם”</w:t>
      </w:r>
      <w:bookmarkStart w:id="6776" w:name="_fnr5170"/>
      <w:r>
        <w:rPr>
          <w:rStyle w:val="a5"/>
        </w:rPr>
        <w:footnoteReference w:id="5184" w:customMarkFollows="0"/>
      </w:r>
      <w:bookmarkEnd w:id="6776"/>
      <w:r>
        <w:rPr>
          <w:rtl/>
        </w:rPr>
        <w:t xml:space="preserve"> מגלה שמתחרהו של ר׳ לייזר </w:t>
      </w:r>
      <w:proofErr w:type="spellStart"/>
      <w:r>
        <w:rPr>
          <w:rtl/>
        </w:rPr>
        <w:t>רבינוביץ</w:t>
      </w:r>
      <w:proofErr w:type="spellEnd"/>
      <w:r>
        <w:rPr>
          <w:rtl/>
        </w:rPr>
        <w:t xml:space="preserve"> על רבנות מינסק היה ר׳ יצחק רבין, “שנולד </w:t>
      </w:r>
      <w:proofErr w:type="spellStart"/>
      <w:r>
        <w:rPr>
          <w:rtl/>
        </w:rPr>
        <w:t>לר</w:t>
      </w:r>
      <w:proofErr w:type="spellEnd"/>
      <w:r>
        <w:rPr>
          <w:rtl/>
        </w:rPr>
        <w:t xml:space="preserve">׳ </w:t>
      </w:r>
      <w:proofErr w:type="spellStart"/>
      <w:r>
        <w:rPr>
          <w:rtl/>
        </w:rPr>
        <w:t>דוד־טעביל</w:t>
      </w:r>
      <w:proofErr w:type="spellEnd"/>
      <w:r>
        <w:rPr>
          <w:rtl/>
        </w:rPr>
        <w:t xml:space="preserve"> [רב קודם של העיר]</w:t>
      </w:r>
      <w:bookmarkStart w:id="6777" w:name="_fnr5171"/>
      <w:r>
        <w:rPr>
          <w:rStyle w:val="a5"/>
        </w:rPr>
        <w:footnoteReference w:id="5185" w:customMarkFollows="0"/>
      </w:r>
      <w:bookmarkEnd w:id="6777"/>
      <w:r>
        <w:rPr>
          <w:rtl/>
        </w:rPr>
        <w:t xml:space="preserve"> לעת זקנתו”. אחרי פטירת ר׳ </w:t>
      </w:r>
      <w:proofErr w:type="spellStart"/>
      <w:r>
        <w:rPr>
          <w:rtl/>
        </w:rPr>
        <w:t>דוד־טעביל</w:t>
      </w:r>
      <w:proofErr w:type="spellEnd"/>
      <w:r>
        <w:rPr>
          <w:rtl/>
        </w:rPr>
        <w:t xml:space="preserve"> </w:t>
      </w:r>
      <w:proofErr w:type="spellStart"/>
      <w:r>
        <w:rPr>
          <w:rtl/>
        </w:rPr>
        <w:t>בתרכ״א</w:t>
      </w:r>
      <w:proofErr w:type="spellEnd"/>
      <w:r>
        <w:rPr>
          <w:rtl/>
        </w:rPr>
        <w:t xml:space="preserve"> נותר כס הרבנות פנוי, הן מחמת הקושי האובייקטיבי למצוא ממלא מקום לגאון גדול כל כך, הן מפני שחתנו,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ישב במינסק – רשמית רק </w:t>
      </w:r>
      <w:proofErr w:type="spellStart"/>
      <w:r>
        <w:rPr>
          <w:rtl/>
        </w:rPr>
        <w:t>מ״ץ</w:t>
      </w:r>
      <w:proofErr w:type="spellEnd"/>
      <w:r>
        <w:rPr>
          <w:rtl/>
        </w:rPr>
        <w:t xml:space="preserve">, אך </w:t>
      </w:r>
      <w:r>
        <w:rPr>
          <w:b/>
          <w:bCs/>
          <w:rtl/>
        </w:rPr>
        <w:t>למעשה</w:t>
      </w:r>
      <w:r>
        <w:rPr>
          <w:rtl/>
        </w:rPr>
        <w:t xml:space="preserve"> הרב בפועל של העיר</w:t>
      </w:r>
      <w:bookmarkStart w:id="6778" w:name="_fnr5172"/>
      <w:r>
        <w:rPr>
          <w:rStyle w:val="a5"/>
        </w:rPr>
        <w:footnoteReference w:id="5186" w:customMarkFollows="0"/>
      </w:r>
      <w:bookmarkEnd w:id="6778"/>
      <w:r>
        <w:rPr>
          <w:rtl/>
        </w:rPr>
        <w:t xml:space="preserve">. רק כשנעשה ר׳ </w:t>
      </w:r>
      <w:proofErr w:type="spellStart"/>
      <w:r>
        <w:rPr>
          <w:rtl/>
        </w:rPr>
        <w:t>משה־יהודה־לייב</w:t>
      </w:r>
      <w:proofErr w:type="spellEnd"/>
      <w:r>
        <w:rPr>
          <w:rtl/>
        </w:rPr>
        <w:t xml:space="preserve"> “זקן וחלש” נתמנה הרב פרלמן לרב, </w:t>
      </w:r>
      <w:proofErr w:type="spellStart"/>
      <w:r>
        <w:rPr>
          <w:rtl/>
        </w:rPr>
        <w:t>בתרמ״ג</w:t>
      </w:r>
      <w:bookmarkStart w:id="6779" w:name="_fnr5173"/>
      <w:proofErr w:type="spellEnd"/>
      <w:r>
        <w:rPr>
          <w:rStyle w:val="a5"/>
        </w:rPr>
        <w:footnoteReference w:id="5187" w:customMarkFollows="0"/>
      </w:r>
      <w:bookmarkEnd w:id="6779"/>
      <w:r>
        <w:rPr>
          <w:rtl/>
        </w:rPr>
        <w:t xml:space="preserve">. היו שסברו שאחרי פטירתו ראוי שהרבנות תחזור למשפחת ר׳ </w:t>
      </w:r>
      <w:proofErr w:type="spellStart"/>
      <w:r>
        <w:rPr>
          <w:rtl/>
        </w:rPr>
        <w:t>דוד־טעביל</w:t>
      </w:r>
      <w:proofErr w:type="spellEnd"/>
      <w:r>
        <w:rPr>
          <w:rtl/>
        </w:rPr>
        <w:t xml:space="preserve">, בייחוד מפני שבנו עצמו, ר׳ יצחק רבין, כבר גדל והיה מוכן לתפקיד. לכן, אפילו כשזכה ר׳ לייזר </w:t>
      </w:r>
      <w:proofErr w:type="spellStart"/>
      <w:r>
        <w:rPr>
          <w:rtl/>
        </w:rPr>
        <w:t>רבינוביץ</w:t>
      </w:r>
      <w:proofErr w:type="spellEnd"/>
      <w:r>
        <w:rPr>
          <w:rtl/>
        </w:rPr>
        <w:t xml:space="preserve"> ברבנות, נוצר בעיר תפקיד חדש </w:t>
      </w:r>
      <w:proofErr w:type="spellStart"/>
      <w:r>
        <w:rPr>
          <w:rtl/>
        </w:rPr>
        <w:t>לר</w:t>
      </w:r>
      <w:proofErr w:type="spellEnd"/>
      <w:r>
        <w:rPr>
          <w:rtl/>
        </w:rPr>
        <w:t>׳ יצחק: הוא נקרא “עוזר הרב”</w:t>
      </w:r>
      <w:bookmarkStart w:id="6780" w:name="_fnr5174"/>
      <w:r>
        <w:rPr>
          <w:rStyle w:val="a5"/>
        </w:rPr>
        <w:footnoteReference w:id="5188" w:customMarkFollows="0"/>
      </w:r>
      <w:bookmarkEnd w:id="6780"/>
      <w:r>
        <w:rPr>
          <w:rtl/>
        </w:rPr>
        <w:t>.</w:t>
      </w:r>
    </w:p>
    <w:p w14:paraId="5F6BA0C7" w14:textId="77777777" w:rsidR="00AB3647" w:rsidRDefault="00000000" w:rsidP="007923E9">
      <w:pPr>
        <w:spacing w:after="120" w:line="276" w:lineRule="auto"/>
        <w:ind w:firstLine="283"/>
        <w:jc w:val="both"/>
      </w:pPr>
      <w:r>
        <w:rPr>
          <w:rtl/>
        </w:rPr>
        <w:t xml:space="preserve">על לידת בנו של ר׳ </w:t>
      </w:r>
      <w:proofErr w:type="spellStart"/>
      <w:r>
        <w:rPr>
          <w:rtl/>
        </w:rPr>
        <w:t>דוד־טעביל</w:t>
      </w:r>
      <w:proofErr w:type="spellEnd"/>
      <w:r>
        <w:rPr>
          <w:rtl/>
        </w:rPr>
        <w:t xml:space="preserve"> השווה את הסכמתו של ר׳ </w:t>
      </w:r>
      <w:proofErr w:type="spellStart"/>
      <w:r>
        <w:rPr>
          <w:rtl/>
        </w:rPr>
        <w:t>משה־יהודה־לייב</w:t>
      </w:r>
      <w:proofErr w:type="spellEnd"/>
      <w:r>
        <w:rPr>
          <w:rtl/>
        </w:rPr>
        <w:t xml:space="preserve"> </w:t>
      </w:r>
      <w:proofErr w:type="spellStart"/>
      <w:r>
        <w:rPr>
          <w:rtl/>
        </w:rPr>
        <w:t>הינדין</w:t>
      </w:r>
      <w:proofErr w:type="spellEnd"/>
      <w:r>
        <w:rPr>
          <w:rtl/>
        </w:rPr>
        <w:t xml:space="preserve"> </w:t>
      </w:r>
      <w:proofErr w:type="spellStart"/>
      <w:r>
        <w:rPr>
          <w:rtl/>
        </w:rPr>
        <w:t>בתרמ״ו</w:t>
      </w:r>
      <w:proofErr w:type="spellEnd"/>
      <w:r>
        <w:rPr>
          <w:rtl/>
        </w:rPr>
        <w:t xml:space="preserve"> </w:t>
      </w:r>
      <w:proofErr w:type="spellStart"/>
      <w:r>
        <w:rPr>
          <w:rtl/>
        </w:rPr>
        <w:t>ל“נחלת</w:t>
      </w:r>
      <w:proofErr w:type="spellEnd"/>
      <w:r>
        <w:rPr>
          <w:rtl/>
        </w:rPr>
        <w:t xml:space="preserve"> דוד על הש״ס”</w:t>
      </w:r>
      <w:bookmarkStart w:id="6781" w:name="_fnr5175"/>
      <w:r>
        <w:rPr>
          <w:rStyle w:val="a5"/>
        </w:rPr>
        <w:footnoteReference w:id="5189" w:customMarkFollows="0"/>
      </w:r>
      <w:bookmarkEnd w:id="6781"/>
      <w:r>
        <w:rPr>
          <w:rtl/>
        </w:rPr>
        <w:t xml:space="preserve">. ההסכמה מופנית </w:t>
      </w:r>
      <w:proofErr w:type="spellStart"/>
      <w:r>
        <w:rPr>
          <w:rtl/>
        </w:rPr>
        <w:t>לר</w:t>
      </w:r>
      <w:proofErr w:type="spellEnd"/>
      <w:r>
        <w:rPr>
          <w:rtl/>
        </w:rPr>
        <w:t xml:space="preserve">׳ יצחק, שעמד להדפיס כמה מחידושי אביו, ובה הרב </w:t>
      </w:r>
      <w:proofErr w:type="spellStart"/>
      <w:r>
        <w:rPr>
          <w:rtl/>
        </w:rPr>
        <w:t>הינדין</w:t>
      </w:r>
      <w:proofErr w:type="spellEnd"/>
      <w:r>
        <w:rPr>
          <w:rtl/>
        </w:rPr>
        <w:t xml:space="preserve"> “מודה לה׳ שנתן לחותנו בן </w:t>
      </w:r>
      <w:r>
        <w:rPr>
          <w:b/>
          <w:bCs/>
          <w:rtl/>
        </w:rPr>
        <w:t>לעת זקנתו</w:t>
      </w:r>
      <w:r>
        <w:rPr>
          <w:rtl/>
        </w:rPr>
        <w:t xml:space="preserve">, שיכול לקבל עליו הוצאה כזאת </w:t>
      </w:r>
      <w:r>
        <w:rPr>
          <w:rtl/>
        </w:rPr>
        <w:lastRenderedPageBreak/>
        <w:t>לאור”. לפי מה שסיפר רבנו על לידת ר׳ יצחק (ראה להלן), היה ר׳ יצחק בן עשרים ושבע בשעת ההדפסה. השווה גם “דרשות בית דוד”</w:t>
      </w:r>
      <w:bookmarkStart w:id="6782" w:name="_fnr5176"/>
      <w:r>
        <w:rPr>
          <w:rStyle w:val="a5"/>
        </w:rPr>
        <w:footnoteReference w:id="5190" w:customMarkFollows="0"/>
      </w:r>
      <w:bookmarkEnd w:id="6782"/>
      <w:r>
        <w:rPr>
          <w:rtl/>
        </w:rPr>
        <w:t xml:space="preserve">, המצטט את מחבר “נחלת דוד”: “אם חלילה לא אזכה בעצמי להביא את שאר חידושיי על מזבח הדפוס, תקוותי [אמונתי] בה׳ הטוב בטוחה שבניי – </w:t>
      </w:r>
      <w:r>
        <w:rPr>
          <w:b/>
          <w:bCs/>
          <w:rtl/>
        </w:rPr>
        <w:t>שהם</w:t>
      </w:r>
      <w:r>
        <w:rPr>
          <w:rtl/>
        </w:rPr>
        <w:t xml:space="preserve"> (ההדגשה שלי) חתניי הרבנים – ישתדלו בעזרת ה׳ להוציא לאור עולם את פרי רעיון זה”. מנוסח זה ברור שלא היו לו בנים, וכבר לא ציפה שייוולדו לו.</w:t>
      </w:r>
    </w:p>
    <w:p w14:paraId="3F03EB9A" w14:textId="77777777" w:rsidR="00AB3647" w:rsidRDefault="00000000" w:rsidP="007923E9">
      <w:pPr>
        <w:spacing w:after="120" w:line="276" w:lineRule="auto"/>
        <w:ind w:firstLine="283"/>
        <w:jc w:val="both"/>
      </w:pPr>
      <w:r>
        <w:rPr>
          <w:rtl/>
        </w:rPr>
        <w:t>על הולדתו הבלתי צפויה של ר׳ יצחק לעת זקנה סיפר רבנו לנכדו ר׳ יוסף</w:t>
      </w:r>
      <w:bookmarkStart w:id="6783" w:name="_fnr5177"/>
      <w:r>
        <w:rPr>
          <w:rStyle w:val="a5"/>
        </w:rPr>
        <w:footnoteReference w:id="5191" w:customMarkFollows="0"/>
      </w:r>
      <w:bookmarkEnd w:id="6783"/>
      <w:r>
        <w:rPr>
          <w:rtl/>
        </w:rPr>
        <w:t xml:space="preserve">: “ר׳ </w:t>
      </w:r>
      <w:proofErr w:type="spellStart"/>
      <w:r>
        <w:rPr>
          <w:rtl/>
        </w:rPr>
        <w:t>דוד־טעביל</w:t>
      </w:r>
      <w:proofErr w:type="spellEnd"/>
      <w:r>
        <w:rPr>
          <w:rtl/>
        </w:rPr>
        <w:t xml:space="preserve"> היה בן שבעים כשמתה אשתו, ולא היו לו אלא בנות. הוא החליט להינשא שנית, שמא עוד יזכה בבן. אך היכן ימצא צעירה שתסכים להינשא לו? אז הגיעה הצעה מאחת העיירות שסביב מינסק. הוא לקח עמו את השמש שלו, ולפי המנהג בימים ההם, שבני הזוג לא נפגשו ממש, הכניסה האישה מגש ועליו תה וריבות. ר׳ </w:t>
      </w:r>
      <w:proofErr w:type="spellStart"/>
      <w:r>
        <w:rPr>
          <w:rtl/>
        </w:rPr>
        <w:t>דוד־טעביל</w:t>
      </w:r>
      <w:proofErr w:type="spellEnd"/>
      <w:r>
        <w:rPr>
          <w:rtl/>
        </w:rPr>
        <w:t xml:space="preserve"> ראה מיד שהיא מפגרת במקצת, והקיש על הקרקע במקל הרבני שלו ואמר לשמש: ‘נו, בוא נלך’. אך השמש אמר: ‘רבי, יאמרו שפסלת בת ישראל כפסולת [</w:t>
      </w:r>
      <w:proofErr w:type="spellStart"/>
      <w:r>
        <w:rPr>
          <w:rtl/>
        </w:rPr>
        <w:t>בראקירט</w:t>
      </w:r>
      <w:proofErr w:type="spellEnd"/>
      <w:r>
        <w:rPr>
          <w:rtl/>
        </w:rPr>
        <w:t xml:space="preserve"> א בת ישראל]’. הוא הרהר רגע ואמר: ‘כן, צודק אתה; אגמור את השידוך’. כעבור שנה ילדה בן, ור׳ </w:t>
      </w:r>
      <w:proofErr w:type="spellStart"/>
      <w:r>
        <w:rPr>
          <w:rtl/>
        </w:rPr>
        <w:t>דוד־טעביל</w:t>
      </w:r>
      <w:proofErr w:type="spellEnd"/>
      <w:r>
        <w:rPr>
          <w:rtl/>
        </w:rPr>
        <w:t xml:space="preserve"> נפטר כשהילד היה בן שנתיים.”</w:t>
      </w:r>
    </w:p>
    <w:p w14:paraId="14724FB6" w14:textId="77777777" w:rsidR="00AB3647" w:rsidRDefault="00000000" w:rsidP="007923E9">
      <w:pPr>
        <w:spacing w:after="120" w:line="276" w:lineRule="auto"/>
        <w:ind w:firstLine="283"/>
        <w:jc w:val="both"/>
      </w:pPr>
      <w:r>
        <w:rPr>
          <w:rtl/>
        </w:rPr>
        <w:t xml:space="preserve">ר׳ חיים אומנם הצליח במאמצו הפסיבי להושיב את חתנו של </w:t>
      </w:r>
      <w:proofErr w:type="spellStart"/>
      <w:r>
        <w:rPr>
          <w:rtl/>
        </w:rPr>
        <w:t>ה“גדול</w:t>
      </w:r>
      <w:proofErr w:type="spellEnd"/>
      <w:r>
        <w:rPr>
          <w:rtl/>
        </w:rPr>
        <w:t xml:space="preserve">” במינסק – “הגדול ממינסק” כותב, כמובא לעיל, שר׳ חיים </w:t>
      </w:r>
      <w:proofErr w:type="spellStart"/>
      <w:r>
        <w:rPr>
          <w:rtl/>
        </w:rPr>
        <w:t>סולובייצ׳יק</w:t>
      </w:r>
      <w:proofErr w:type="spellEnd"/>
      <w:r>
        <w:rPr>
          <w:rtl/>
        </w:rPr>
        <w:t xml:space="preserve"> “לא עשה דבר ממשי”, אך “נוכחותו ומעמדו של איש גדול זה (ר׳ חיים) הביאו תועלת רבה” בהשגת הרבנות </w:t>
      </w:r>
      <w:proofErr w:type="spellStart"/>
      <w:r>
        <w:rPr>
          <w:rtl/>
        </w:rPr>
        <w:t>לר</w:t>
      </w:r>
      <w:proofErr w:type="spellEnd"/>
      <w:r>
        <w:rPr>
          <w:rtl/>
        </w:rPr>
        <w:t xml:space="preserve">׳ לייזר </w:t>
      </w:r>
      <w:proofErr w:type="spellStart"/>
      <w:r>
        <w:rPr>
          <w:rtl/>
        </w:rPr>
        <w:t>רבינוביץ</w:t>
      </w:r>
      <w:proofErr w:type="spellEnd"/>
      <w:r>
        <w:rPr>
          <w:rtl/>
        </w:rPr>
        <w:t xml:space="preserve">. אבל ראוי לציין שכעבור שמונה שנים, כשכבר שימש </w:t>
      </w:r>
      <w:proofErr w:type="spellStart"/>
      <w:r>
        <w:rPr>
          <w:rtl/>
        </w:rPr>
        <w:t>שתים־עשרה</w:t>
      </w:r>
      <w:proofErr w:type="spellEnd"/>
      <w:r>
        <w:rPr>
          <w:rtl/>
        </w:rPr>
        <w:t xml:space="preserve"> שנה רבה המפורסם של </w:t>
      </w:r>
      <w:proofErr w:type="spellStart"/>
      <w:r>
        <w:rPr>
          <w:rtl/>
        </w:rPr>
        <w:t>בריסק</w:t>
      </w:r>
      <w:proofErr w:type="spellEnd"/>
      <w:r>
        <w:rPr>
          <w:rtl/>
        </w:rPr>
        <w:t xml:space="preserve">, נכשל ר׳ חיים בניסיונו להפעיל את השפעתו במכתבים, כדי שר׳ </w:t>
      </w:r>
      <w:proofErr w:type="spellStart"/>
      <w:r>
        <w:rPr>
          <w:rtl/>
        </w:rPr>
        <w:t>יעקב־דוד</w:t>
      </w:r>
      <w:proofErr w:type="spellEnd"/>
      <w:r>
        <w:rPr>
          <w:rtl/>
        </w:rPr>
        <w:t xml:space="preserve"> רפפורט, רבה של </w:t>
      </w:r>
      <w:proofErr w:type="spellStart"/>
      <w:r>
        <w:rPr>
          <w:rtl/>
        </w:rPr>
        <w:t>זיימל</w:t>
      </w:r>
      <w:proofErr w:type="spellEnd"/>
      <w:r>
        <w:rPr>
          <w:rtl/>
        </w:rPr>
        <w:t xml:space="preserve">, יתמנה לממלא מקום חותנו, ר׳ </w:t>
      </w:r>
      <w:proofErr w:type="spellStart"/>
      <w:r>
        <w:rPr>
          <w:rtl/>
        </w:rPr>
        <w:t>יוסף־זכריה</w:t>
      </w:r>
      <w:proofErr w:type="spellEnd"/>
      <w:r>
        <w:rPr>
          <w:rtl/>
        </w:rPr>
        <w:t xml:space="preserve"> שטרן, ברבנות שאוול</w:t>
      </w:r>
      <w:bookmarkStart w:id="6784" w:name="_fnr5178"/>
      <w:r>
        <w:rPr>
          <w:rStyle w:val="a5"/>
        </w:rPr>
        <w:footnoteReference w:id="5192" w:customMarkFollows="0"/>
      </w:r>
      <w:bookmarkEnd w:id="6784"/>
      <w:r>
        <w:rPr>
          <w:rtl/>
        </w:rPr>
        <w:t xml:space="preserve">. אולם שאוול הייתה קשורה </w:t>
      </w:r>
      <w:proofErr w:type="spellStart"/>
      <w:r>
        <w:rPr>
          <w:rtl/>
        </w:rPr>
        <w:t>לבריסק</w:t>
      </w:r>
      <w:proofErr w:type="spellEnd"/>
      <w:r>
        <w:rPr>
          <w:rtl/>
        </w:rPr>
        <w:t xml:space="preserve"> פחות ישירות ממינסק, ורחוקה ממנה מעט יותר, ולכן הייתה פחות נוחה להשפעתו של ר׳ חיים.</w:t>
      </w:r>
    </w:p>
    <w:p w14:paraId="0068A7A7" w14:textId="3C6FD247" w:rsidR="00AB3647" w:rsidRDefault="00000000" w:rsidP="007923E9">
      <w:pPr>
        <w:spacing w:after="120" w:line="276" w:lineRule="auto"/>
        <w:ind w:firstLine="283"/>
        <w:jc w:val="both"/>
      </w:pPr>
      <w:r>
        <w:rPr>
          <w:rtl/>
        </w:rPr>
        <w:t>במקרה אחר, ב</w:t>
      </w:r>
      <w:r>
        <w:rPr>
          <w:b/>
          <w:bCs/>
          <w:rtl/>
        </w:rPr>
        <w:t>תחילת</w:t>
      </w:r>
      <w:r>
        <w:rPr>
          <w:rtl/>
        </w:rPr>
        <w:t xml:space="preserve"> דרכו ברבנות, הצליח ר׳ חיים יותר: שנתיים אחרי שנעשה רבה של </w:t>
      </w:r>
      <w:proofErr w:type="spellStart"/>
      <w:r>
        <w:rPr>
          <w:rtl/>
        </w:rPr>
        <w:t>בריסק</w:t>
      </w:r>
      <w:proofErr w:type="spellEnd"/>
      <w:r>
        <w:rPr>
          <w:rtl/>
        </w:rPr>
        <w:t xml:space="preserve"> נסע </w:t>
      </w:r>
      <w:proofErr w:type="spellStart"/>
      <w:r>
        <w:rPr>
          <w:rtl/>
        </w:rPr>
        <w:t>למזריטש</w:t>
      </w:r>
      <w:proofErr w:type="spellEnd"/>
      <w:r>
        <w:rPr>
          <w:rtl/>
        </w:rPr>
        <w:t xml:space="preserve">, כדי לוודא שרבה של קונסטנטין, בנו של הרב הנפטר ר׳ </w:t>
      </w:r>
      <w:proofErr w:type="spellStart"/>
      <w:r>
        <w:rPr>
          <w:rtl/>
        </w:rPr>
        <w:t>ישראל־איסר</w:t>
      </w:r>
      <w:proofErr w:type="spellEnd"/>
      <w:r>
        <w:rPr>
          <w:rtl/>
        </w:rPr>
        <w:t xml:space="preserve"> שפירא (אחד משני </w:t>
      </w:r>
      <w:proofErr w:type="spellStart"/>
      <w:r>
        <w:rPr>
          <w:rtl/>
        </w:rPr>
        <w:t>מסמיכיו</w:t>
      </w:r>
      <w:proofErr w:type="spellEnd"/>
      <w:r>
        <w:rPr>
          <w:rtl/>
        </w:rPr>
        <w:t>, כאמור לעיל), יתקבל שם, ולא ר׳ חיים ברלין – דודו של ר׳ חיים עצמו</w:t>
      </w:r>
      <w:bookmarkStart w:id="6785" w:name="_fnr5179"/>
      <w:r>
        <w:rPr>
          <w:rStyle w:val="a5"/>
        </w:rPr>
        <w:footnoteReference w:id="5193" w:customMarkFollows="0"/>
      </w:r>
      <w:bookmarkEnd w:id="6785"/>
      <w:r>
        <w:rPr>
          <w:rtl/>
        </w:rPr>
        <w:t xml:space="preserve">! ראה ספר </w:t>
      </w:r>
      <w:proofErr w:type="spellStart"/>
      <w:r>
        <w:rPr>
          <w:rtl/>
        </w:rPr>
        <w:t>מזריטש</w:t>
      </w:r>
      <w:bookmarkStart w:id="6786" w:name="_fnr5180"/>
      <w:proofErr w:type="spellEnd"/>
      <w:r>
        <w:rPr>
          <w:rStyle w:val="a5"/>
        </w:rPr>
        <w:footnoteReference w:id="5194" w:customMarkFollows="0"/>
      </w:r>
      <w:bookmarkEnd w:id="6786"/>
      <w:r>
        <w:rPr>
          <w:rtl/>
        </w:rPr>
        <w:t xml:space="preserve">: בהלוויית ר׳ </w:t>
      </w:r>
      <w:proofErr w:type="spellStart"/>
      <w:r>
        <w:rPr>
          <w:rtl/>
        </w:rPr>
        <w:t>ישראל־איסר</w:t>
      </w:r>
      <w:proofErr w:type="spellEnd"/>
      <w:r>
        <w:rPr>
          <w:rtl/>
        </w:rPr>
        <w:t xml:space="preserve">, ר׳ חיים, שבין “הרבנים שבאו מקרוב ומרחוק היה אחד המספידים הראשיים... השמיע נימה שעוררה מיד את שאלת הירושה, והוא </w:t>
      </w:r>
      <w:r>
        <w:rPr>
          <w:b/>
          <w:bCs/>
          <w:rtl/>
        </w:rPr>
        <w:t>ייעץ</w:t>
      </w:r>
      <w:r>
        <w:rPr>
          <w:rtl/>
        </w:rPr>
        <w:t xml:space="preserve"> (ההדגשה שלי) לקבל את בן הנפטר”. ר׳ חיים ניסה לחזור על מה שהתרחש אצלו </w:t>
      </w:r>
      <w:proofErr w:type="spellStart"/>
      <w:r>
        <w:rPr>
          <w:rtl/>
        </w:rPr>
        <w:t>בבריסק</w:t>
      </w:r>
      <w:proofErr w:type="spellEnd"/>
      <w:r>
        <w:rPr>
          <w:rtl/>
        </w:rPr>
        <w:t xml:space="preserve"> – בן רב שנבחר ליורש בהלוויית אביו, או סמוך לאחריה. ואף ש</w:t>
      </w:r>
      <w:r>
        <w:rPr>
          <w:b/>
          <w:bCs/>
          <w:rtl/>
        </w:rPr>
        <w:t>עצה</w:t>
      </w:r>
      <w:r>
        <w:rPr>
          <w:rtl/>
        </w:rPr>
        <w:t xml:space="preserve"> זו לא נתקבלה, הביא ר׳ חיים אחר כך את המינוי לידי גמר בהצלחה. השווה גם </w:t>
      </w:r>
      <w:r>
        <w:rPr>
          <w:rtl/>
        </w:rPr>
        <w:fldChar w:fldCharType="begin" w:dirty="true"/>
      </w:r>
      <w:r>
        <w:rPr>
          <w:rtl/>
        </w:rPr>
        <w:instrText xml:space="preserve"> REF b5_excJ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w:t>
      </w:r>
      <w:r>
        <w:rPr>
          <w:rtl/>
        </w:rPr>
        <w:fldChar w:fldCharType="end"/>
      </w:r>
      <w:r>
        <w:rPr>
          <w:rtl/>
        </w:rPr>
        <w:t xml:space="preserve"> להלן, ששם מיוחסת </w:t>
      </w:r>
      <w:proofErr w:type="spellStart"/>
      <w:r>
        <w:rPr>
          <w:rtl/>
        </w:rPr>
        <w:t>לר</w:t>
      </w:r>
      <w:proofErr w:type="spellEnd"/>
      <w:r>
        <w:rPr>
          <w:rtl/>
        </w:rPr>
        <w:t>׳ חיים מלוא הזכות להשגת המינוי.</w:t>
      </w:r>
    </w:p>
    <w:p w14:paraId="49F45D6D" w14:textId="77777777" w:rsidR="00AB3647" w:rsidRDefault="00000000" w:rsidP="007923E9">
      <w:pPr>
        <w:spacing w:after="120" w:line="276" w:lineRule="auto"/>
        <w:ind w:firstLine="283"/>
        <w:jc w:val="both"/>
      </w:pPr>
      <w:r>
        <w:rPr>
          <w:rtl/>
        </w:rPr>
        <w:lastRenderedPageBreak/>
        <w:t xml:space="preserve">מקרה נוסף שבו התחשבו ר׳ חיים ור׳ לייזר </w:t>
      </w:r>
      <w:proofErr w:type="spellStart"/>
      <w:r>
        <w:rPr>
          <w:rtl/>
        </w:rPr>
        <w:t>רבינוביץ</w:t>
      </w:r>
      <w:proofErr w:type="spellEnd"/>
      <w:r>
        <w:rPr>
          <w:rtl/>
        </w:rPr>
        <w:t xml:space="preserve"> יחד במשפחתו של רב שנפטר מתגלה </w:t>
      </w:r>
      <w:proofErr w:type="spellStart"/>
      <w:r>
        <w:rPr>
          <w:rtl/>
        </w:rPr>
        <w:t>ב“שמושה</w:t>
      </w:r>
      <w:proofErr w:type="spellEnd"/>
      <w:r>
        <w:rPr>
          <w:rtl/>
        </w:rPr>
        <w:t xml:space="preserve"> של תורה”</w:t>
      </w:r>
      <w:bookmarkStart w:id="6787" w:name="_fnr5181"/>
      <w:r>
        <w:rPr>
          <w:rStyle w:val="a5"/>
        </w:rPr>
        <w:footnoteReference w:id="5195" w:customMarkFollows="0"/>
      </w:r>
      <w:bookmarkEnd w:id="6787"/>
      <w:r>
        <w:rPr>
          <w:rtl/>
        </w:rPr>
        <w:t xml:space="preserve">, המספר כיצד נסעו </w:t>
      </w:r>
      <w:proofErr w:type="spellStart"/>
      <w:r>
        <w:rPr>
          <w:rtl/>
        </w:rPr>
        <w:t>לפינסק</w:t>
      </w:r>
      <w:proofErr w:type="spellEnd"/>
      <w:r>
        <w:rPr>
          <w:rtl/>
        </w:rPr>
        <w:t xml:space="preserve"> אחרי פטירת ר׳ הירש הכהן </w:t>
      </w:r>
      <w:proofErr w:type="spellStart"/>
      <w:r>
        <w:rPr>
          <w:rtl/>
        </w:rPr>
        <w:t>וולק</w:t>
      </w:r>
      <w:proofErr w:type="spellEnd"/>
      <w:r>
        <w:rPr>
          <w:rtl/>
        </w:rPr>
        <w:t xml:space="preserve"> כדי לארגן “מעמד” קבוע לפרנסת אלמנתו הרבנית. הרבנים שטרן </w:t>
      </w:r>
      <w:proofErr w:type="spellStart"/>
      <w:r>
        <w:rPr>
          <w:rtl/>
        </w:rPr>
        <w:t>וולק</w:t>
      </w:r>
      <w:proofErr w:type="spellEnd"/>
      <w:r>
        <w:rPr>
          <w:rtl/>
        </w:rPr>
        <w:t xml:space="preserve"> היו גיסים: שניהם נשאו את בנות ר׳ </w:t>
      </w:r>
      <w:proofErr w:type="spellStart"/>
      <w:r>
        <w:rPr>
          <w:rtl/>
        </w:rPr>
        <w:t>מרדכי־גימפל</w:t>
      </w:r>
      <w:proofErr w:type="spellEnd"/>
      <w:r>
        <w:rPr>
          <w:rtl/>
        </w:rPr>
        <w:t xml:space="preserve"> יפה.</w:t>
      </w:r>
    </w:p>
    <w:p w14:paraId="3EB0FB70" w14:textId="77777777" w:rsidR="00AB3647" w:rsidRDefault="00000000" w:rsidP="007923E9">
      <w:pPr>
        <w:spacing w:after="120" w:line="276" w:lineRule="auto"/>
        <w:ind w:firstLine="283"/>
        <w:jc w:val="both"/>
      </w:pPr>
      <w:r>
        <w:rPr>
          <w:rtl/>
        </w:rPr>
        <w:t>יש לציין גם שלפי “אלה אזכרה”</w:t>
      </w:r>
      <w:bookmarkStart w:id="6788" w:name="_fnr5182"/>
      <w:r>
        <w:rPr>
          <w:rStyle w:val="a5"/>
        </w:rPr>
        <w:footnoteReference w:id="5196" w:customMarkFollows="0"/>
      </w:r>
      <w:bookmarkEnd w:id="6788"/>
      <w:r>
        <w:rPr>
          <w:rtl/>
        </w:rPr>
        <w:t xml:space="preserve">, ר׳ לייזר </w:t>
      </w:r>
      <w:proofErr w:type="spellStart"/>
      <w:r>
        <w:rPr>
          <w:rtl/>
        </w:rPr>
        <w:t>רבינוביץ</w:t>
      </w:r>
      <w:proofErr w:type="spellEnd"/>
      <w:r>
        <w:rPr>
          <w:rtl/>
        </w:rPr>
        <w:t xml:space="preserve">, חתנו של </w:t>
      </w:r>
      <w:proofErr w:type="spellStart"/>
      <w:r>
        <w:rPr>
          <w:rtl/>
        </w:rPr>
        <w:t>ה“גדול</w:t>
      </w:r>
      <w:proofErr w:type="spellEnd"/>
      <w:r>
        <w:rPr>
          <w:rtl/>
        </w:rPr>
        <w:t xml:space="preserve">” – </w:t>
      </w:r>
      <w:proofErr w:type="spellStart"/>
      <w:r>
        <w:rPr>
          <w:rtl/>
        </w:rPr>
        <w:t>וה“גדול</w:t>
      </w:r>
      <w:proofErr w:type="spellEnd"/>
      <w:r>
        <w:rPr>
          <w:rtl/>
        </w:rPr>
        <w:t xml:space="preserve">”, לפי המסופר, לא הסכים לנוהג כזה – מינה את ר׳ </w:t>
      </w:r>
      <w:proofErr w:type="spellStart"/>
      <w:r>
        <w:rPr>
          <w:rtl/>
        </w:rPr>
        <w:t>אברהם־צבי</w:t>
      </w:r>
      <w:proofErr w:type="spellEnd"/>
      <w:r>
        <w:rPr>
          <w:rtl/>
        </w:rPr>
        <w:t xml:space="preserve"> קמאי לרבה של </w:t>
      </w:r>
      <w:proofErr w:type="spellStart"/>
      <w:r>
        <w:rPr>
          <w:rtl/>
        </w:rPr>
        <w:t>מיר</w:t>
      </w:r>
      <w:proofErr w:type="spellEnd"/>
      <w:r>
        <w:rPr>
          <w:rtl/>
        </w:rPr>
        <w:t xml:space="preserve"> במקום אביו, ר׳ </w:t>
      </w:r>
      <w:proofErr w:type="spellStart"/>
      <w:r>
        <w:rPr>
          <w:rtl/>
        </w:rPr>
        <w:t>אלי׳־ברוך</w:t>
      </w:r>
      <w:proofErr w:type="spellEnd"/>
      <w:r>
        <w:rPr>
          <w:rtl/>
        </w:rPr>
        <w:t xml:space="preserve">, </w:t>
      </w:r>
      <w:r>
        <w:rPr>
          <w:b/>
          <w:bCs/>
          <w:rtl/>
        </w:rPr>
        <w:t>בהלווייתו</w:t>
      </w:r>
      <w:r>
        <w:rPr>
          <w:rtl/>
        </w:rPr>
        <w:t xml:space="preserve">. ר׳ </w:t>
      </w:r>
      <w:proofErr w:type="spellStart"/>
      <w:r>
        <w:rPr>
          <w:rtl/>
        </w:rPr>
        <w:t>אלי׳־ברוך</w:t>
      </w:r>
      <w:proofErr w:type="spellEnd"/>
      <w:r>
        <w:rPr>
          <w:rtl/>
        </w:rPr>
        <w:t xml:space="preserve"> נפטר במינסק בזמן מלחמת העולם, כששהו בה אלפי פליטים, ובהם רבים ממיר, וכן ר׳ חיים </w:t>
      </w:r>
      <w:proofErr w:type="spellStart"/>
      <w:r>
        <w:rPr>
          <w:rtl/>
        </w:rPr>
        <w:t>סולובייצ׳יק</w:t>
      </w:r>
      <w:proofErr w:type="spellEnd"/>
      <w:r>
        <w:rPr>
          <w:rtl/>
        </w:rPr>
        <w:t xml:space="preserve"> </w:t>
      </w:r>
      <w:proofErr w:type="spellStart"/>
      <w:r>
        <w:rPr>
          <w:rtl/>
        </w:rPr>
        <w:t>מבריסק</w:t>
      </w:r>
      <w:proofErr w:type="spellEnd"/>
      <w:r>
        <w:rPr>
          <w:rtl/>
        </w:rPr>
        <w:t xml:space="preserve"> וחותנו, ר׳ רפאל שפירא </w:t>
      </w:r>
      <w:proofErr w:type="spellStart"/>
      <w:r>
        <w:rPr>
          <w:rtl/>
        </w:rPr>
        <w:t>מוולוז׳ין</w:t>
      </w:r>
      <w:proofErr w:type="spellEnd"/>
      <w:r>
        <w:rPr>
          <w:rtl/>
        </w:rPr>
        <w:t xml:space="preserve">. “אלה אזכרה” מספר: “בהלוויית ר׳ </w:t>
      </w:r>
      <w:proofErr w:type="spellStart"/>
      <w:r>
        <w:rPr>
          <w:rtl/>
        </w:rPr>
        <w:t>אלי׳־ברוך</w:t>
      </w:r>
      <w:proofErr w:type="spellEnd"/>
      <w:r>
        <w:rPr>
          <w:rtl/>
        </w:rPr>
        <w:t xml:space="preserve">, שבה השתתפו רבבות יהודים... בנוכחות ההמון הרב, </w:t>
      </w:r>
      <w:r>
        <w:rPr>
          <w:b/>
          <w:bCs/>
          <w:rtl/>
        </w:rPr>
        <w:t>ובהסכמת כל גדולי הדור</w:t>
      </w:r>
      <w:r>
        <w:rPr>
          <w:rtl/>
        </w:rPr>
        <w:t xml:space="preserve"> (ההדגשה שלי) וקהל [גולי] </w:t>
      </w:r>
      <w:proofErr w:type="spellStart"/>
      <w:r>
        <w:rPr>
          <w:rtl/>
        </w:rPr>
        <w:t>מיר</w:t>
      </w:r>
      <w:proofErr w:type="spellEnd"/>
      <w:r>
        <w:rPr>
          <w:rtl/>
        </w:rPr>
        <w:t xml:space="preserve">, הכריז ר׳ לייזר </w:t>
      </w:r>
      <w:proofErr w:type="spellStart"/>
      <w:r>
        <w:rPr>
          <w:rtl/>
        </w:rPr>
        <w:t>רבינוביץ</w:t>
      </w:r>
      <w:proofErr w:type="spellEnd"/>
      <w:r>
        <w:rPr>
          <w:rtl/>
        </w:rPr>
        <w:t xml:space="preserve">, רבה של מינסק: ‘לפנינו עומד “ר׳ </w:t>
      </w:r>
      <w:proofErr w:type="spellStart"/>
      <w:r>
        <w:rPr>
          <w:rtl/>
        </w:rPr>
        <w:t>אלי׳־ברוך</w:t>
      </w:r>
      <w:proofErr w:type="spellEnd"/>
      <w:r>
        <w:rPr>
          <w:rtl/>
        </w:rPr>
        <w:t xml:space="preserve">” חי, אבל צעיר בשלושים שנה מר׳ </w:t>
      </w:r>
      <w:proofErr w:type="spellStart"/>
      <w:r>
        <w:rPr>
          <w:rtl/>
        </w:rPr>
        <w:t>אלי׳־ברוך</w:t>
      </w:r>
      <w:proofErr w:type="spellEnd"/>
      <w:r>
        <w:rPr>
          <w:rtl/>
        </w:rPr>
        <w:t xml:space="preserve"> שנפטר’. (בהספד רווי הדמעות של ר׳ </w:t>
      </w:r>
      <w:proofErr w:type="spellStart"/>
      <w:r>
        <w:rPr>
          <w:rtl/>
        </w:rPr>
        <w:t>אברהם־צבי</w:t>
      </w:r>
      <w:proofErr w:type="spellEnd"/>
      <w:r>
        <w:rPr>
          <w:rtl/>
        </w:rPr>
        <w:t xml:space="preserve"> שבא אחר כך, ניסה ‘להפריך בכל כוחו’ את דברי רבה של מינסק, באומרו שאין שום דמיון והשוואה בינו לבין אביו הגדול ממנו הרבה.)” המילים המודגשות מורות שר׳ חיים – כמו במקרים האחרים שתוארו לעיל – הסכים להכתרת רבנים בהלוויות; לא יהיה מפתיע אם אף יזם את המעשה לטובת ר׳ </w:t>
      </w:r>
      <w:proofErr w:type="spellStart"/>
      <w:r>
        <w:rPr>
          <w:rtl/>
        </w:rPr>
        <w:t>אברהם־צבי</w:t>
      </w:r>
      <w:proofErr w:type="spellEnd"/>
      <w:r>
        <w:rPr>
          <w:rtl/>
        </w:rPr>
        <w:t xml:space="preserve"> קמאי.</w:t>
      </w:r>
    </w:p>
    <w:p w14:paraId="26AABB93" w14:textId="77777777" w:rsidR="00AB3647" w:rsidRDefault="00000000" w:rsidP="007923E9">
      <w:pPr>
        <w:pStyle w:val="4"/>
        <w:spacing w:line="276" w:lineRule="auto"/>
      </w:pPr>
      <w:r>
        <w:t>· הפסקה השישית ·</w:t>
      </w:r>
    </w:p>
    <w:p w14:paraId="7EEABF9B" w14:textId="77777777" w:rsidR="00AB3647" w:rsidRDefault="00000000" w:rsidP="007923E9">
      <w:pPr>
        <w:pStyle w:val="5"/>
        <w:spacing w:line="276" w:lineRule="auto"/>
      </w:pPr>
      <w:r>
        <w:t xml:space="preserve">ר׳ חיים מסביר כיצד אביו, ר׳ יוסף־דב, יכול לעמוד על מחשבתו – </w:t>
      </w:r>
      <w:proofErr w:type="spellStart"/>
      <w:r>
        <w:t>לר</w:t>
      </w:r>
      <w:proofErr w:type="spellEnd"/>
      <w:r>
        <w:t xml:space="preserve">׳ </w:t>
      </w:r>
      <w:proofErr w:type="spellStart"/>
      <w:r>
        <w:t>יהושע־לייב</w:t>
      </w:r>
      <w:proofErr w:type="spellEnd"/>
      <w:r>
        <w:t xml:space="preserve"> דיסקין כישרון דומה</w:t>
      </w:r>
    </w:p>
    <w:p w14:paraId="0EC588E9" w14:textId="77777777" w:rsidR="00AB3647" w:rsidRDefault="00000000" w:rsidP="007923E9">
      <w:pPr>
        <w:spacing w:after="120" w:line="276" w:lineRule="auto"/>
        <w:ind w:firstLine="283"/>
        <w:jc w:val="both"/>
      </w:pPr>
      <w:r>
        <w:rPr>
          <w:rtl/>
        </w:rPr>
        <w:t xml:space="preserve">על יכולתו של ר׳ חיים להבין את דרך מחשבתם של אחרים מצאתי סיפור נפוץ, תחת הכותרת “ר׳ חיים בילדותו”, </w:t>
      </w:r>
      <w:proofErr w:type="spellStart"/>
      <w:r>
        <w:rPr>
          <w:rtl/>
        </w:rPr>
        <w:t>ב“אנציקלופדיה</w:t>
      </w:r>
      <w:proofErr w:type="spellEnd"/>
      <w:r>
        <w:rPr>
          <w:rtl/>
        </w:rPr>
        <w:t xml:space="preserve"> </w:t>
      </w:r>
      <w:proofErr w:type="spellStart"/>
      <w:r>
        <w:rPr>
          <w:rtl/>
        </w:rPr>
        <w:t>בריסק</w:t>
      </w:r>
      <w:proofErr w:type="spellEnd"/>
      <w:r>
        <w:rPr>
          <w:rtl/>
        </w:rPr>
        <w:t>”</w:t>
      </w:r>
      <w:bookmarkStart w:id="6789" w:name="_fnr5183"/>
      <w:r>
        <w:rPr>
          <w:rStyle w:val="a5"/>
        </w:rPr>
        <w:footnoteReference w:id="5197" w:customMarkFollows="0"/>
      </w:r>
      <w:bookmarkEnd w:id="6789"/>
      <w:r>
        <w:rPr>
          <w:rtl/>
        </w:rPr>
        <w:t xml:space="preserve">. הסיפור מראה שגם אביו של ר׳ חיים ניחן בכישרון זה, והפעיל אותו </w:t>
      </w:r>
      <w:r>
        <w:rPr>
          <w:b/>
          <w:bCs/>
          <w:rtl/>
        </w:rPr>
        <w:t>על ר׳ חיים עצמו</w:t>
      </w:r>
      <w:r>
        <w:rPr>
          <w:rtl/>
        </w:rPr>
        <w:t xml:space="preserve">: “פעם אמרו </w:t>
      </w:r>
      <w:proofErr w:type="spellStart"/>
      <w:r>
        <w:rPr>
          <w:rtl/>
        </w:rPr>
        <w:t>לר</w:t>
      </w:r>
      <w:proofErr w:type="spellEnd"/>
      <w:r>
        <w:rPr>
          <w:rtl/>
        </w:rPr>
        <w:t xml:space="preserve">׳ </w:t>
      </w:r>
      <w:proofErr w:type="spellStart"/>
      <w:r>
        <w:rPr>
          <w:rtl/>
        </w:rPr>
        <w:t xml:space="preserve">יושע־בער</w:t>
      </w:r>
      <w:proofErr w:type="spellEnd"/>
      <w:r>
        <w:rPr>
          <w:rtl/>
        </w:rPr>
        <w:t xml:space="preserve"> שבנו מתגאה מאוד בידיעותיו בתורה. אביו קרא לו וציווה עליו בכעס לחזור על אחד מחידושיו. ברגע שהתחיל ר׳ חיים לבאר, עצרו אביו ואמר: ‘ודאי אתה רוצה להקשות כך וכך ולתרץ כך וכך׳. כשהסכים ר׳ חיים ורצה להמשיך בדבר התורה, שוב עצרו אביו ואמר: ‘למה להמשיך? הרי בדעתך לשאול את </w:t>
      </w:r>
      <w:proofErr w:type="spellStart"/>
      <w:r>
        <w:rPr>
          <w:rtl/>
        </w:rPr>
        <w:t>הקושיא</w:t>
      </w:r>
      <w:proofErr w:type="spellEnd"/>
      <w:r>
        <w:rPr>
          <w:rtl/>
        </w:rPr>
        <w:t xml:space="preserve"> הבאה ולתרץ כך וכך, לא כן?’ רוחו של ר׳ חיים נפלה. לבסוף השיב: ‘בכרכי הגמרא שנדפסו זה עתה נדפסות הגהות ר׳ עקיבא איגר בשוליים, וסימנן בגוף הגמרא הוא עיגול ובו קו. ודאי יש תלמידי חכמים גדולים רבים הבקיאים בדרך לימודו של ר׳ עקיבא איגר, שאינם צריכים לעיין בשוליים, אלא בראותם את סימן העיגול בגוף הדברים הם צופים את הגהתו. אף על פי כן, עדיין יש ערך לחידושי ר׳ עקיבא איגר. כך, וכי אין חידושי הבן עדיין חידושים, אף שאביו מכיר היטב את מחשבת בנו? אם אבא צופה את דבריי, הרי זה כאילו הוא רואה בגוף הדברים שאני מצטט את סימן העיגול האומר: “עיין כאן במחשבתו של </w:t>
      </w:r>
      <w:proofErr w:type="spellStart"/>
      <w:r>
        <w:rPr>
          <w:rtl/>
        </w:rPr>
        <w:t>חיים׳קה</w:t>
      </w:r>
      <w:proofErr w:type="spellEnd"/>
      <w:r>
        <w:rPr>
          <w:rtl/>
        </w:rPr>
        <w:t xml:space="preserve">”‘. ‘ניצחתני, בני’, אמר ר׳ </w:t>
      </w:r>
      <w:proofErr w:type="spellStart"/>
      <w:r>
        <w:rPr>
          <w:rtl/>
        </w:rPr>
        <w:t xml:space="preserve">יושע־בער</w:t>
      </w:r>
      <w:proofErr w:type="spellEnd"/>
      <w:r>
        <w:rPr>
          <w:rtl/>
        </w:rPr>
        <w:t>”.</w:t>
      </w:r>
    </w:p>
    <w:p w14:paraId="4B21FFD3" w14:textId="77777777" w:rsidR="00AB3647" w:rsidRDefault="00000000" w:rsidP="007923E9">
      <w:pPr>
        <w:spacing w:after="120" w:line="276" w:lineRule="auto"/>
        <w:ind w:firstLine="283"/>
        <w:jc w:val="both"/>
      </w:pPr>
      <w:r>
        <w:rPr>
          <w:rtl/>
        </w:rPr>
        <w:lastRenderedPageBreak/>
        <w:t xml:space="preserve">מצאתי גם אצל </w:t>
      </w:r>
      <w:proofErr w:type="spellStart"/>
      <w:r>
        <w:rPr>
          <w:rtl/>
        </w:rPr>
        <w:t>רבינר</w:t>
      </w:r>
      <w:proofErr w:type="spellEnd"/>
      <w:r>
        <w:rPr>
          <w:rtl/>
        </w:rPr>
        <w:t>, “רבינו מאיר שמחה הכהן”</w:t>
      </w:r>
      <w:bookmarkStart w:id="6790" w:name="_fnr5184"/>
      <w:r>
        <w:rPr>
          <w:rStyle w:val="a5"/>
        </w:rPr>
        <w:footnoteReference w:id="5198" w:customMarkFollows="0"/>
      </w:r>
      <w:bookmarkEnd w:id="6790"/>
      <w:r>
        <w:rPr>
          <w:rtl/>
        </w:rPr>
        <w:t xml:space="preserve">, שגם ר׳ </w:t>
      </w:r>
      <w:proofErr w:type="spellStart"/>
      <w:r>
        <w:rPr>
          <w:rtl/>
        </w:rPr>
        <w:t>יהושע־לייב</w:t>
      </w:r>
      <w:proofErr w:type="spellEnd"/>
      <w:r>
        <w:rPr>
          <w:rtl/>
        </w:rPr>
        <w:t xml:space="preserve"> דיסקין, שר׳ יוסף־דב העריצו</w:t>
      </w:r>
      <w:bookmarkStart w:id="6791" w:name="_fnr5185"/>
      <w:r>
        <w:rPr>
          <w:rStyle w:val="a5"/>
        </w:rPr>
        <w:footnoteReference w:id="5199" w:customMarkFollows="0"/>
      </w:r>
      <w:bookmarkEnd w:id="6791"/>
      <w:r>
        <w:rPr>
          <w:rtl/>
        </w:rPr>
        <w:t>, ניחן ביכולת לעמוד על דרך סברתו של כל אדם. הוא הוכיח זאת כששמע מתלמיד חידוש מתוך ספר מסוים, ואחר כך קבע מה אמר אותו מחבר בעניינים אחרים.</w:t>
      </w:r>
    </w:p>
    <w:p w14:paraId="72602FCB" w14:textId="77777777" w:rsidR="00AB3647" w:rsidRDefault="00000000" w:rsidP="007923E9">
      <w:pPr>
        <w:pStyle w:val="4"/>
        <w:spacing w:line="276" w:lineRule="auto"/>
      </w:pPr>
      <w:r>
        <w:t>· הפסקה השביעית ·</w:t>
      </w:r>
    </w:p>
    <w:p w14:paraId="6F167F65" w14:textId="77777777" w:rsidR="00AB3647" w:rsidRDefault="00000000" w:rsidP="007923E9">
      <w:pPr>
        <w:pStyle w:val="5"/>
        <w:spacing w:line="276" w:lineRule="auto"/>
      </w:pPr>
      <w:r>
        <w:t>עוד על כישרונו המיוחד של ר׳ חיים</w:t>
      </w:r>
    </w:p>
    <w:p w14:paraId="4D22413F" w14:textId="77777777" w:rsidR="00AB3647" w:rsidRDefault="00000000" w:rsidP="007923E9">
      <w:pPr>
        <w:spacing w:after="120" w:line="276" w:lineRule="auto"/>
        <w:ind w:firstLine="283"/>
        <w:jc w:val="both"/>
      </w:pPr>
      <w:r>
        <w:rPr>
          <w:rtl/>
        </w:rPr>
        <w:t xml:space="preserve">בשיעור שמסר </w:t>
      </w:r>
      <w:proofErr w:type="spellStart"/>
      <w:r>
        <w:rPr>
          <w:rtl/>
        </w:rPr>
        <w:t>במונסי</w:t>
      </w:r>
      <w:proofErr w:type="spellEnd"/>
      <w:r>
        <w:rPr>
          <w:rtl/>
        </w:rPr>
        <w:t xml:space="preserve"> לקבוצת תלמידים לשעבר של ישיבת תורה ודעת</w:t>
      </w:r>
      <w:bookmarkStart w:id="6792" w:name="_fnr5186"/>
      <w:r>
        <w:rPr>
          <w:rStyle w:val="a5"/>
        </w:rPr>
        <w:footnoteReference w:id="5200" w:customMarkFollows="0"/>
      </w:r>
      <w:bookmarkEnd w:id="6792"/>
      <w:r>
        <w:rPr>
          <w:rtl/>
        </w:rPr>
        <w:t xml:space="preserve"> הסביר אבי שהכישרון לצפות את מחשבות הזולת הוא חכמת שלמה המלך במשפט שתי הנשים</w:t>
      </w:r>
      <w:bookmarkStart w:id="6793" w:name="_fnr5187"/>
      <w:r>
        <w:rPr>
          <w:rStyle w:val="a5"/>
        </w:rPr>
        <w:footnoteReference w:id="5201" w:customMarkFollows="0"/>
      </w:r>
      <w:bookmarkEnd w:id="6793"/>
      <w:r>
        <w:rPr>
          <w:rtl/>
        </w:rPr>
        <w:t xml:space="preserve">: המלך ידע מראש מה תהיה מחשבת האם האמיתית, שאם לא כן היה עליו להרוג את התינוק, על פי הכלל “אי אמר </w:t>
      </w:r>
      <w:proofErr w:type="spellStart"/>
      <w:r>
        <w:rPr>
          <w:rtl/>
        </w:rPr>
        <w:t>מלכא</w:t>
      </w:r>
      <w:proofErr w:type="spellEnd"/>
      <w:r>
        <w:rPr>
          <w:rtl/>
        </w:rPr>
        <w:t xml:space="preserve"> </w:t>
      </w:r>
      <w:proofErr w:type="spellStart"/>
      <w:r>
        <w:rPr>
          <w:rtl/>
        </w:rPr>
        <w:t>עקרנא</w:t>
      </w:r>
      <w:proofErr w:type="spellEnd"/>
      <w:r>
        <w:rPr>
          <w:rtl/>
        </w:rPr>
        <w:t xml:space="preserve"> טורי עקר טורי ולא הדר ביה”</w:t>
      </w:r>
      <w:bookmarkStart w:id="6794" w:name="_fnr5188"/>
      <w:r>
        <w:rPr>
          <w:rStyle w:val="a5"/>
        </w:rPr>
        <w:footnoteReference w:id="5202" w:customMarkFollows="0"/>
      </w:r>
      <w:bookmarkEnd w:id="6794"/>
      <w:r>
        <w:rPr>
          <w:rtl/>
        </w:rPr>
        <w:t>. ר׳ זליג ברקוביץ חזר</w:t>
      </w:r>
      <w:bookmarkStart w:id="6795" w:name="_fnr5189"/>
      <w:r>
        <w:rPr>
          <w:rStyle w:val="a5"/>
        </w:rPr>
        <w:footnoteReference w:id="5203" w:customMarkFollows="0"/>
      </w:r>
      <w:bookmarkEnd w:id="6795"/>
      <w:r>
        <w:rPr>
          <w:rtl/>
        </w:rPr>
        <w:t xml:space="preserve"> בשם רבנו על ההערה הזאת: ר׳ חיים ניחן ביכולת להבין רעיונות בדרכים שונות, ולכן ודאי בחר בדרכו המיוחדת מפני שראה בה “את אמיתה של תורה”</w:t>
      </w:r>
      <w:bookmarkStart w:id="6796" w:name="_fnr5190"/>
      <w:r>
        <w:rPr>
          <w:rStyle w:val="a5"/>
        </w:rPr>
        <w:footnoteReference w:id="5204" w:customMarkFollows="0"/>
      </w:r>
      <w:bookmarkEnd w:id="6796"/>
      <w:r>
        <w:rPr>
          <w:rtl/>
        </w:rPr>
        <w:t>.</w:t>
      </w:r>
    </w:p>
    <w:p w14:paraId="362DFBF5" w14:textId="77777777" w:rsidR="00AB3647" w:rsidRDefault="00000000" w:rsidP="007923E9">
      <w:pPr>
        <w:spacing w:after="120" w:line="276" w:lineRule="auto"/>
        <w:ind w:firstLine="283"/>
        <w:jc w:val="both"/>
      </w:pPr>
      <w:r>
        <w:rPr>
          <w:rtl/>
        </w:rPr>
        <w:t xml:space="preserve">אמרה של ר׳ חיים המובאת </w:t>
      </w:r>
      <w:proofErr w:type="spellStart"/>
      <w:r>
        <w:rPr>
          <w:rtl/>
        </w:rPr>
        <w:t>ב“בדרך</w:t>
      </w:r>
      <w:proofErr w:type="spellEnd"/>
      <w:r>
        <w:rPr>
          <w:rtl/>
        </w:rPr>
        <w:t xml:space="preserve"> עץ החיים”</w:t>
      </w:r>
      <w:bookmarkStart w:id="6797" w:name="_fnr5191"/>
      <w:r>
        <w:rPr>
          <w:rStyle w:val="a5"/>
        </w:rPr>
        <w:footnoteReference w:id="5205" w:customMarkFollows="0"/>
      </w:r>
      <w:bookmarkEnd w:id="6797"/>
      <w:r>
        <w:rPr>
          <w:rtl/>
        </w:rPr>
        <w:t xml:space="preserve"> מדגימה את כישרונו המיוחד להכיר את דרכי מחשבתם של אחרים. ר׳ </w:t>
      </w:r>
      <w:proofErr w:type="spellStart"/>
      <w:r>
        <w:rPr>
          <w:rtl/>
        </w:rPr>
        <w:t>איסר־זלמן</w:t>
      </w:r>
      <w:proofErr w:type="spellEnd"/>
      <w:r>
        <w:rPr>
          <w:rtl/>
        </w:rPr>
        <w:t xml:space="preserve"> סיפר שידידו המבוגר, ר׳ ראובן </w:t>
      </w:r>
      <w:proofErr w:type="spellStart"/>
      <w:r>
        <w:rPr>
          <w:rtl/>
        </w:rPr>
        <w:t>בנגיס</w:t>
      </w:r>
      <w:bookmarkStart w:id="6798" w:name="_fnr5192"/>
      <w:proofErr w:type="spellEnd"/>
      <w:r>
        <w:rPr>
          <w:rStyle w:val="a5"/>
        </w:rPr>
        <w:footnoteReference w:id="5206" w:customMarkFollows="0"/>
      </w:r>
      <w:bookmarkEnd w:id="6798"/>
      <w:r>
        <w:rPr>
          <w:rtl/>
        </w:rPr>
        <w:t xml:space="preserve">, בא פעם </w:t>
      </w:r>
      <w:proofErr w:type="spellStart"/>
      <w:r>
        <w:rPr>
          <w:rtl/>
        </w:rPr>
        <w:t>לסטאנציע</w:t>
      </w:r>
      <w:proofErr w:type="spellEnd"/>
      <w:r>
        <w:rPr>
          <w:rtl/>
        </w:rPr>
        <w:t xml:space="preserve"> שלו לספר: “ר׳ חיים ישב עתה עם כמה רבנים וחזר על קושיא ותירוץ, באומרו: ‘</w:t>
      </w:r>
      <w:proofErr w:type="spellStart"/>
      <w:r>
        <w:rPr>
          <w:rtl/>
        </w:rPr>
        <w:t>הקושיא</w:t>
      </w:r>
      <w:proofErr w:type="spellEnd"/>
      <w:r>
        <w:rPr>
          <w:rtl/>
        </w:rPr>
        <w:t xml:space="preserve"> שלי, אבל איני זוכר מי אמר את התירוץ, אני או </w:t>
      </w:r>
      <w:proofErr w:type="spellStart"/>
      <w:r>
        <w:rPr>
          <w:rtl/>
        </w:rPr>
        <w:t>זוניא</w:t>
      </w:r>
      <w:proofErr w:type="spellEnd"/>
      <w:r>
        <w:rPr>
          <w:rtl/>
        </w:rPr>
        <w:t xml:space="preserve"> </w:t>
      </w:r>
      <w:proofErr w:type="spellStart"/>
      <w:r>
        <w:rPr>
          <w:rtl/>
        </w:rPr>
        <w:t>מירער</w:t>
      </w:r>
      <w:proofErr w:type="spellEnd"/>
      <w:r>
        <w:rPr>
          <w:rtl/>
        </w:rPr>
        <w:t xml:space="preserve"> [ר׳ </w:t>
      </w:r>
      <w:proofErr w:type="spellStart"/>
      <w:r>
        <w:rPr>
          <w:rtl/>
        </w:rPr>
        <w:t>איסר־זלמן</w:t>
      </w:r>
      <w:proofErr w:type="spellEnd"/>
      <w:r>
        <w:rPr>
          <w:rtl/>
        </w:rPr>
        <w:t xml:space="preserve">, בכינוי שהיה ידוע בו </w:t>
      </w:r>
      <w:proofErr w:type="spellStart"/>
      <w:r>
        <w:rPr>
          <w:rtl/>
        </w:rPr>
        <w:t>בוולוז׳ין</w:t>
      </w:r>
      <w:proofErr w:type="spellEnd"/>
      <w:r>
        <w:rPr>
          <w:rtl/>
        </w:rPr>
        <w:t xml:space="preserve">]; אבל התירוץ מתאים לדרך המחשבה הישרה של </w:t>
      </w:r>
      <w:proofErr w:type="spellStart"/>
      <w:r>
        <w:rPr>
          <w:rtl/>
        </w:rPr>
        <w:t>זוניא</w:t>
      </w:r>
      <w:proofErr w:type="spellEnd"/>
      <w:r>
        <w:rPr>
          <w:rtl/>
        </w:rPr>
        <w:t xml:space="preserve"> יותר </w:t>
      </w:r>
      <w:proofErr w:type="spellStart"/>
      <w:r>
        <w:rPr>
          <w:rtl/>
        </w:rPr>
        <w:t>מלשלי</w:t>
      </w:r>
      <w:proofErr w:type="spellEnd"/>
      <w:r>
        <w:rPr>
          <w:rtl/>
        </w:rPr>
        <w:t>’”.</w:t>
      </w:r>
    </w:p>
    <w:p w14:paraId="1D27B954" w14:textId="77777777" w:rsidR="00AB3647" w:rsidRDefault="00000000" w:rsidP="007923E9">
      <w:pPr>
        <w:pStyle w:val="4"/>
        <w:spacing w:line="276" w:lineRule="auto"/>
      </w:pPr>
      <w:r>
        <w:lastRenderedPageBreak/>
        <w:t>· הפסקה השמינית ·</w:t>
      </w:r>
    </w:p>
    <w:p w14:paraId="17FD7E65" w14:textId="77777777" w:rsidR="00AB3647" w:rsidRDefault="00000000" w:rsidP="007923E9">
      <w:pPr>
        <w:pStyle w:val="5"/>
        <w:spacing w:line="276" w:lineRule="auto"/>
      </w:pPr>
      <w:r>
        <w:t>יש כישרון גדול אף יותר מהבנת דרך סברתו של אדם מוכר</w:t>
      </w:r>
    </w:p>
    <w:p w14:paraId="72E6A8FA" w14:textId="77777777" w:rsidR="00AB3647" w:rsidRDefault="00000000" w:rsidP="007923E9">
      <w:pPr>
        <w:spacing w:after="120" w:line="276" w:lineRule="auto"/>
        <w:ind w:firstLine="283"/>
        <w:jc w:val="both"/>
      </w:pPr>
      <w:r>
        <w:rPr>
          <w:rtl/>
        </w:rPr>
        <w:t xml:space="preserve">“פון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799" w:name="_fnr5193"/>
      <w:r>
        <w:rPr>
          <w:rStyle w:val="a5"/>
        </w:rPr>
        <w:footnoteReference w:id="5207" w:customMarkFollows="0"/>
      </w:r>
      <w:bookmarkEnd w:id="6799"/>
      <w:r>
        <w:rPr>
          <w:rtl/>
        </w:rPr>
        <w:t xml:space="preserve"> מייחס </w:t>
      </w:r>
      <w:proofErr w:type="spellStart"/>
      <w:r>
        <w:rPr>
          <w:rtl/>
        </w:rPr>
        <w:t>לר</w:t>
      </w:r>
      <w:proofErr w:type="spellEnd"/>
      <w:r>
        <w:rPr>
          <w:rtl/>
        </w:rPr>
        <w:t xml:space="preserve">׳ חיים כישרון זה במידה גדולה עוד יותר: “ר׳ חיים יכול היה להעריך את הכישורים ודרכי המחשבה של אנשים ‘קטנים’ למדי; הוא אף הבין היטב את מחשבותיהם של ילדים קטנים”. אבל בהקדמה הביוגרפית </w:t>
      </w:r>
      <w:proofErr w:type="spellStart"/>
      <w:r>
        <w:rPr>
          <w:rtl/>
        </w:rPr>
        <w:t>ל“ספר</w:t>
      </w:r>
      <w:proofErr w:type="spellEnd"/>
      <w:r>
        <w:rPr>
          <w:rtl/>
        </w:rPr>
        <w:t xml:space="preserve"> נודע בשערים, חלק ב”</w:t>
      </w:r>
      <w:bookmarkStart w:id="6800" w:name="_fnr5194"/>
      <w:r>
        <w:rPr>
          <w:rStyle w:val="a5"/>
        </w:rPr>
        <w:footnoteReference w:id="5208" w:customMarkFollows="0"/>
      </w:r>
      <w:bookmarkEnd w:id="6800"/>
      <w:r>
        <w:rPr>
          <w:rtl/>
        </w:rPr>
        <w:t xml:space="preserve">, כרך תשובות מאת ר׳ ברוך </w:t>
      </w:r>
      <w:proofErr w:type="spellStart"/>
      <w:r>
        <w:rPr>
          <w:rtl/>
        </w:rPr>
        <w:t>מנדלבוים</w:t>
      </w:r>
      <w:proofErr w:type="spellEnd"/>
      <w:r>
        <w:rPr>
          <w:rtl/>
        </w:rPr>
        <w:t xml:space="preserve">, רבה של </w:t>
      </w:r>
      <w:proofErr w:type="spellStart"/>
      <w:r>
        <w:rPr>
          <w:rtl/>
        </w:rPr>
        <w:t>טורוב</w:t>
      </w:r>
      <w:proofErr w:type="spellEnd"/>
      <w:r>
        <w:rPr>
          <w:rtl/>
        </w:rPr>
        <w:t xml:space="preserve"> (נולד </w:t>
      </w:r>
      <w:proofErr w:type="spellStart"/>
      <w:r>
        <w:rPr>
          <w:rtl/>
        </w:rPr>
        <w:t>בתקצ״ב</w:t>
      </w:r>
      <w:proofErr w:type="spellEnd"/>
      <w:r>
        <w:rPr>
          <w:rtl/>
        </w:rPr>
        <w:t xml:space="preserve">), מיוחס </w:t>
      </w:r>
      <w:proofErr w:type="spellStart"/>
      <w:r>
        <w:rPr>
          <w:rtl/>
        </w:rPr>
        <w:t>לר</w:t>
      </w:r>
      <w:proofErr w:type="spellEnd"/>
      <w:r>
        <w:rPr>
          <w:rtl/>
        </w:rPr>
        <w:t xml:space="preserve">׳ חיים כישרון גדול עוד יותר מצפיית מחשבותיו של אדם מוכר: לזהות אדם על פי התאמת רעיונותיו שבכתב לדבריו שבעל פה. מסופר שם שכאשר היה הרב </w:t>
      </w:r>
      <w:proofErr w:type="spellStart"/>
      <w:r>
        <w:rPr>
          <w:rtl/>
        </w:rPr>
        <w:t>מנדלבוים</w:t>
      </w:r>
      <w:proofErr w:type="spellEnd"/>
      <w:r>
        <w:rPr>
          <w:rtl/>
        </w:rPr>
        <w:t xml:space="preserve"> בדרכו לארץ ישראל </w:t>
      </w:r>
      <w:proofErr w:type="spellStart"/>
      <w:r>
        <w:rPr>
          <w:rtl/>
        </w:rPr>
        <w:t>בתרל״ד</w:t>
      </w:r>
      <w:proofErr w:type="spellEnd"/>
      <w:r>
        <w:rPr>
          <w:rtl/>
        </w:rPr>
        <w:t xml:space="preserve">, עבר </w:t>
      </w:r>
      <w:proofErr w:type="spellStart"/>
      <w:r>
        <w:rPr>
          <w:rtl/>
        </w:rPr>
        <w:t>בבריסק</w:t>
      </w:r>
      <w:proofErr w:type="spellEnd"/>
      <w:r>
        <w:rPr>
          <w:rtl/>
        </w:rPr>
        <w:t xml:space="preserve"> וביקר אצל רבה, ר׳ חיים </w:t>
      </w:r>
      <w:proofErr w:type="spellStart"/>
      <w:r>
        <w:rPr>
          <w:rtl/>
        </w:rPr>
        <w:t>סולובייצ׳יק</w:t>
      </w:r>
      <w:proofErr w:type="spellEnd"/>
      <w:r>
        <w:rPr>
          <w:rtl/>
        </w:rPr>
        <w:t xml:space="preserve">, והתחיל לדון בדברי תורה בלי להציג את עצמו. פתאום פנה אליו ר׳ חיים ואמר: “שלום עליכם, רבה של </w:t>
      </w:r>
      <w:proofErr w:type="spellStart"/>
      <w:r>
        <w:rPr>
          <w:rtl/>
        </w:rPr>
        <w:t>טורוב</w:t>
      </w:r>
      <w:proofErr w:type="spellEnd"/>
      <w:r>
        <w:rPr>
          <w:rtl/>
        </w:rPr>
        <w:t xml:space="preserve">!” כששאל ר׳ ברוך כיצד מכירו רבה של </w:t>
      </w:r>
      <w:proofErr w:type="spellStart"/>
      <w:r>
        <w:rPr>
          <w:rtl/>
        </w:rPr>
        <w:t>בריסק</w:t>
      </w:r>
      <w:proofErr w:type="spellEnd"/>
      <w:r>
        <w:rPr>
          <w:rtl/>
        </w:rPr>
        <w:t xml:space="preserve"> אף שמעולם לא נפגשו, השיב ר׳ חיים: “זיהיתי אותך כשהבנתי שדרך לימודך בתורה מתאימה לזו המתבטאת בתשובות שחיבר רבה של </w:t>
      </w:r>
      <w:proofErr w:type="spellStart"/>
      <w:r>
        <w:rPr>
          <w:rtl/>
        </w:rPr>
        <w:t>טורוב</w:t>
      </w:r>
      <w:proofErr w:type="spellEnd"/>
      <w:r>
        <w:rPr>
          <w:rtl/>
        </w:rPr>
        <w:t xml:space="preserve"> ושקראתי”.</w:t>
      </w:r>
    </w:p>
    <w:p w14:paraId="15ED792E" w14:textId="77777777" w:rsidR="00AB3647" w:rsidRDefault="00000000" w:rsidP="007923E9">
      <w:pPr>
        <w:spacing w:after="120" w:line="276" w:lineRule="auto"/>
        <w:ind w:firstLine="283"/>
        <w:jc w:val="both"/>
      </w:pPr>
      <w:r>
        <w:rPr>
          <w:rtl/>
        </w:rPr>
        <w:t xml:space="preserve">מחבר ההקדמה, ששמו לא נמסר, טועה בבירור כשהוא קורא </w:t>
      </w:r>
      <w:proofErr w:type="spellStart"/>
      <w:r>
        <w:rPr>
          <w:rtl/>
        </w:rPr>
        <w:t>לר</w:t>
      </w:r>
      <w:proofErr w:type="spellEnd"/>
      <w:r>
        <w:rPr>
          <w:rtl/>
        </w:rPr>
        <w:t xml:space="preserve">׳ חיים רבה של </w:t>
      </w:r>
      <w:proofErr w:type="spellStart"/>
      <w:r>
        <w:rPr>
          <w:rtl/>
        </w:rPr>
        <w:t>בריסק</w:t>
      </w:r>
      <w:proofErr w:type="spellEnd"/>
      <w:r>
        <w:rPr>
          <w:rtl/>
        </w:rPr>
        <w:t xml:space="preserve"> </w:t>
      </w:r>
      <w:proofErr w:type="spellStart"/>
      <w:r>
        <w:rPr>
          <w:rtl/>
        </w:rPr>
        <w:t>בתרל״ד</w:t>
      </w:r>
      <w:proofErr w:type="spellEnd"/>
      <w:r>
        <w:rPr>
          <w:rtl/>
        </w:rPr>
        <w:t xml:space="preserve">: ר׳ חיים היה אז אברך שזה עתה נישא, </w:t>
      </w:r>
      <w:proofErr w:type="spellStart"/>
      <w:r>
        <w:rPr>
          <w:rtl/>
        </w:rPr>
        <w:t>בוולוז׳ין</w:t>
      </w:r>
      <w:proofErr w:type="spellEnd"/>
      <w:r>
        <w:rPr>
          <w:rtl/>
        </w:rPr>
        <w:t xml:space="preserve">, אבל ייתכן שביקר אצל אביו </w:t>
      </w:r>
      <w:proofErr w:type="spellStart"/>
      <w:r>
        <w:rPr>
          <w:rtl/>
        </w:rPr>
        <w:t>בבריסק</w:t>
      </w:r>
      <w:proofErr w:type="spellEnd"/>
      <w:r>
        <w:rPr>
          <w:rtl/>
        </w:rPr>
        <w:t xml:space="preserve"> בזמן ביקורו של ר׳ ברוך.</w:t>
      </w:r>
      <w:bookmarkStart w:id="6801" w:name="_fnr5195"/>
      <w:bookmarkEnd w:id="6801"/>
      <w:r>
        <w:rPr>
          <w:rStyle w:val="a5"/>
        </w:rPr>
        <w:t/>
      </w:r>
      <w:bookmarkStart w:id="7058" w:name="_TranslatorNote_5405"/>
      <w:r>
        <w:rPr>
          <w:rStyle w:val="a5"/>
          <w:vertAlign w:val="superscript"/>
          <w:rtl/>
        </w:rPr>
        <w:footnoteReference w:id="5209" w:customMarkFollows="1"/>
        <w:t>*</w:t>
      </w:r>
      <w:bookmarkEnd w:id="7058"/>
      <w:r>
        <w:rPr>
          <w:rtl/>
        </w:rPr>
        <w:t xml:space="preserve"> אולם </w:t>
      </w:r>
      <w:proofErr w:type="spellStart"/>
      <w:r>
        <w:rPr>
          <w:rtl/>
        </w:rPr>
        <w:t>נינו</w:t>
      </w:r>
      <w:proofErr w:type="spellEnd"/>
      <w:r>
        <w:rPr>
          <w:rtl/>
        </w:rPr>
        <w:t xml:space="preserve"> של ר׳ ברוך </w:t>
      </w:r>
      <w:proofErr w:type="spellStart"/>
      <w:r>
        <w:rPr>
          <w:rtl/>
        </w:rPr>
        <w:t>מנדלבוים</w:t>
      </w:r>
      <w:proofErr w:type="spellEnd"/>
      <w:r>
        <w:rPr>
          <w:rtl/>
        </w:rPr>
        <w:t xml:space="preserve">, ר׳ </w:t>
      </w:r>
      <w:proofErr w:type="spellStart"/>
      <w:r>
        <w:rPr>
          <w:rtl/>
        </w:rPr>
        <w:t>יעקב־יצחק</w:t>
      </w:r>
      <w:proofErr w:type="spellEnd"/>
      <w:r>
        <w:rPr>
          <w:rtl/>
        </w:rPr>
        <w:t xml:space="preserve"> ממלוק, הבהיר את העניין כשגילה</w:t>
      </w:r>
      <w:bookmarkStart w:id="6802" w:name="_fnr5196"/>
      <w:r>
        <w:rPr>
          <w:rStyle w:val="a5"/>
        </w:rPr>
        <w:footnoteReference w:id="5210" w:customMarkFollows="0"/>
      </w:r>
      <w:bookmarkEnd w:id="6802"/>
      <w:r>
        <w:rPr>
          <w:rtl/>
        </w:rPr>
        <w:t xml:space="preserve"> ששמע את הסיפור מסבתו, ושהמעשה היה </w:t>
      </w:r>
      <w:proofErr w:type="spellStart"/>
      <w:r>
        <w:rPr>
          <w:rtl/>
        </w:rPr>
        <w:t>בוולוז׳ין</w:t>
      </w:r>
      <w:proofErr w:type="spellEnd"/>
      <w:r>
        <w:rPr>
          <w:rtl/>
        </w:rPr>
        <w:t xml:space="preserve"> ולא </w:t>
      </w:r>
      <w:proofErr w:type="spellStart"/>
      <w:r>
        <w:rPr>
          <w:rtl/>
        </w:rPr>
        <w:t>בבריסק</w:t>
      </w:r>
      <w:proofErr w:type="spellEnd"/>
      <w:r>
        <w:rPr>
          <w:rtl/>
        </w:rPr>
        <w:t xml:space="preserve">; ומה שביקש הרב </w:t>
      </w:r>
      <w:proofErr w:type="spellStart"/>
      <w:r>
        <w:rPr>
          <w:rtl/>
        </w:rPr>
        <w:t>מנדלבוים</w:t>
      </w:r>
      <w:proofErr w:type="spellEnd"/>
      <w:r>
        <w:rPr>
          <w:rtl/>
        </w:rPr>
        <w:t xml:space="preserve"> לראות לפני שיצא מאירופה היה ישיבת </w:t>
      </w:r>
      <w:proofErr w:type="spellStart"/>
      <w:r>
        <w:rPr>
          <w:rtl/>
        </w:rPr>
        <w:t>וולוז׳ין</w:t>
      </w:r>
      <w:proofErr w:type="spellEnd"/>
      <w:r>
        <w:rPr>
          <w:rtl/>
        </w:rPr>
        <w:t xml:space="preserve"> – לא בני משפחת </w:t>
      </w:r>
      <w:proofErr w:type="spellStart"/>
      <w:r>
        <w:rPr>
          <w:rtl/>
        </w:rPr>
        <w:t>סולובייצ׳יק</w:t>
      </w:r>
      <w:proofErr w:type="spellEnd"/>
      <w:r>
        <w:rPr>
          <w:rtl/>
        </w:rPr>
        <w:t>, האב או הבן.</w:t>
      </w:r>
    </w:p>
    <w:p w14:paraId="524EA503" w14:textId="77777777" w:rsidR="00AB3647" w:rsidRDefault="00000000" w:rsidP="007923E9">
      <w:pPr>
        <w:pStyle w:val="4"/>
        <w:spacing w:line="276" w:lineRule="auto"/>
      </w:pPr>
      <w:r>
        <w:t>· הפסקה התשיעית ·</w:t>
      </w:r>
    </w:p>
    <w:p w14:paraId="2E1D52FC" w14:textId="77777777" w:rsidR="00AB3647" w:rsidRDefault="00000000" w:rsidP="007923E9">
      <w:pPr>
        <w:pStyle w:val="5"/>
        <w:spacing w:line="276" w:lineRule="auto"/>
      </w:pPr>
      <w:r>
        <w:t xml:space="preserve">חסדו של ר׳ חיים כלפי אנשים במצוקה – הוא מקדיש זמן להשתתף בצערם של העניים והסובלים – רווחתם של ילד או אלמנה חשובה לו יותר מבעיותיהם של העשירים – הוא משחק עם ילדי </w:t>
      </w:r>
      <w:proofErr w:type="spellStart"/>
      <w:r>
        <w:t>בריסק</w:t>
      </w:r>
      <w:proofErr w:type="spellEnd"/>
      <w:r>
        <w:t xml:space="preserve"> – אין לו התחשבות בעושר – הוא מקדיש זמן להקל על חלומות רעים – בעוד גופו עסוק בגמילות חסדים, מוחו שקוע בלימודו – הכתובת על מצבתו – החסד זוכה לבכורה – הוא פוסק לפי מידת החסד – כיצד ראה את תפקידי הרב</w:t>
      </w:r>
    </w:p>
    <w:p w14:paraId="360560CB" w14:textId="77777777" w:rsidR="00AB3647" w:rsidRDefault="00000000" w:rsidP="007923E9">
      <w:pPr>
        <w:spacing w:after="120" w:line="276" w:lineRule="auto"/>
        <w:ind w:firstLine="283"/>
        <w:jc w:val="both"/>
      </w:pPr>
      <w:r>
        <w:rPr>
          <w:rtl/>
        </w:rPr>
        <w:t>לעיל, בפסקה החמישית, הובאו שלוש דוגמאות לרחמיו הרבים של ר׳ חיים על הנזקקים ולעזרתו להם: הוא סיכן את חייו להצלת ילדים משרפה, פתח את מחסן העצים שלו לכל עניי העיר, ולא ישן בביתו עד שהיה גג מעל ראשן של כל המשפחות שבתיהן נשרפו. “אישים ושיטות”</w:t>
      </w:r>
      <w:bookmarkStart w:id="6803" w:name="_fnr5197"/>
      <w:r>
        <w:rPr>
          <w:rStyle w:val="a5"/>
        </w:rPr>
        <w:footnoteReference w:id="5211" w:customMarkFollows="0"/>
      </w:r>
      <w:bookmarkEnd w:id="6803"/>
      <w:r>
        <w:rPr>
          <w:rtl/>
        </w:rPr>
        <w:t xml:space="preserve"> מביא ארבעה סיפורים אופייניים על חסדו כלפי יחידים. אחד מהם, מפי חתנו של </w:t>
      </w:r>
      <w:r>
        <w:rPr>
          <w:rtl/>
        </w:rPr>
        <w:lastRenderedPageBreak/>
        <w:t>ר׳ חיים, ר׳ הירש (</w:t>
      </w:r>
      <w:proofErr w:type="spellStart"/>
      <w:r>
        <w:rPr>
          <w:rtl/>
        </w:rPr>
        <w:t>צבי־דב</w:t>
      </w:r>
      <w:proofErr w:type="spellEnd"/>
      <w:r>
        <w:rPr>
          <w:rtl/>
        </w:rPr>
        <w:t xml:space="preserve">) גליקסון, הוא על אישה ענייה הרה שבעלה עזב אותה </w:t>
      </w:r>
      <w:proofErr w:type="spellStart"/>
      <w:r>
        <w:rPr>
          <w:rtl/>
        </w:rPr>
        <w:t>אחד־עשר</w:t>
      </w:r>
      <w:proofErr w:type="spellEnd"/>
      <w:r>
        <w:rPr>
          <w:rtl/>
        </w:rPr>
        <w:t xml:space="preserve"> חודשים קודם לכן. ר׳ חיים ציווה על הרבנית להכניס את האישה לביתם עד אחרי הלידה, ערך בביתו את ברית הילד, שנראה כממזר, וסידר לה קצבה חודשית לפרנסתה ולפרנסת התינוק</w:t>
      </w:r>
      <w:bookmarkStart w:id="6804" w:name="_fnr5198"/>
      <w:r>
        <w:rPr>
          <w:rStyle w:val="a5"/>
        </w:rPr>
        <w:footnoteReference w:id="5212" w:customMarkFollows="0"/>
      </w:r>
      <w:bookmarkEnd w:id="6804"/>
      <w:r>
        <w:rPr>
          <w:rtl/>
        </w:rPr>
        <w:t>.</w:t>
      </w:r>
    </w:p>
    <w:p w14:paraId="075F1E05" w14:textId="77777777" w:rsidR="00AB3647" w:rsidRDefault="00000000" w:rsidP="007923E9">
      <w:pPr>
        <w:spacing w:after="120" w:line="276" w:lineRule="auto"/>
        <w:ind w:firstLine="283"/>
        <w:jc w:val="both"/>
      </w:pPr>
      <w:r>
        <w:rPr>
          <w:rtl/>
        </w:rPr>
        <w:t xml:space="preserve">ר׳ </w:t>
      </w:r>
      <w:proofErr w:type="spellStart"/>
      <w:r>
        <w:rPr>
          <w:rtl/>
        </w:rPr>
        <w:t>לייבל</w:t>
      </w:r>
      <w:proofErr w:type="spellEnd"/>
      <w:r>
        <w:rPr>
          <w:rtl/>
        </w:rPr>
        <w:t xml:space="preserve"> </w:t>
      </w:r>
      <w:proofErr w:type="spellStart"/>
      <w:r>
        <w:rPr>
          <w:rtl/>
        </w:rPr>
        <w:t>פרלשטיין</w:t>
      </w:r>
      <w:bookmarkStart w:id="6805" w:name="_fnr5199"/>
      <w:proofErr w:type="spellEnd"/>
      <w:r>
        <w:rPr>
          <w:rStyle w:val="a5"/>
        </w:rPr>
        <w:footnoteReference w:id="5213" w:customMarkFollows="0"/>
      </w:r>
      <w:bookmarkEnd w:id="6805"/>
      <w:r>
        <w:rPr>
          <w:rtl/>
        </w:rPr>
        <w:t xml:space="preserve"> ציטט את רבנו: “</w:t>
      </w:r>
      <w:proofErr w:type="spellStart"/>
      <w:r>
        <w:rPr>
          <w:rtl/>
        </w:rPr>
        <w:t>לר</w:t>
      </w:r>
      <w:proofErr w:type="spellEnd"/>
      <w:r>
        <w:rPr>
          <w:rtl/>
        </w:rPr>
        <w:t xml:space="preserve">׳ חיים היה בית מלא תינוקות ממזרים”. כוונתו לא הייתה לסיפור </w:t>
      </w:r>
      <w:proofErr w:type="spellStart"/>
      <w:r>
        <w:rPr>
          <w:rtl/>
        </w:rPr>
        <w:t>שב“אישים</w:t>
      </w:r>
      <w:proofErr w:type="spellEnd"/>
      <w:r>
        <w:rPr>
          <w:rtl/>
        </w:rPr>
        <w:t xml:space="preserve"> ושיטות”, שבו היה הילד לכאורה ממזר על פי ההלכה, אלא לכך שר׳ חיים היה מכניס לביתו תינוקות אסופים ומגדלם – אלה שבלשון היידיש, אף שלא כהלכה, נקראים “</w:t>
      </w:r>
      <w:proofErr w:type="spellStart"/>
      <w:r>
        <w:rPr>
          <w:rtl/>
        </w:rPr>
        <w:t>ממזירים</w:t>
      </w:r>
      <w:proofErr w:type="spellEnd"/>
      <w:r>
        <w:rPr>
          <w:rtl/>
        </w:rPr>
        <w:t>”</w:t>
      </w:r>
      <w:bookmarkStart w:id="6806" w:name="_fnr5200"/>
      <w:r>
        <w:rPr>
          <w:rStyle w:val="a5"/>
        </w:rPr>
        <w:footnoteReference w:id="5214" w:customMarkFollows="0"/>
      </w:r>
      <w:bookmarkEnd w:id="6806"/>
      <w:r>
        <w:rPr>
          <w:rtl/>
        </w:rPr>
        <w:t xml:space="preserve">. נראה שהיה זה דבר שכיח </w:t>
      </w:r>
      <w:proofErr w:type="spellStart"/>
      <w:r>
        <w:rPr>
          <w:rtl/>
        </w:rPr>
        <w:t>בבריסק</w:t>
      </w:r>
      <w:proofErr w:type="spellEnd"/>
      <w:r>
        <w:rPr>
          <w:rtl/>
        </w:rPr>
        <w:t>, ואולי גם בכפרים הסמוכים לה, להניח ילד לא רצוי – תופעה נדירה בין יהודים, כמובן – על מפתן ביתו. ראה גם בסוף פסקה זו כיצד, על פי המסופר, החשיב ר׳ חיים משימה זו לאחד מתפקידיו העיקריים של כל רב!</w:t>
      </w:r>
    </w:p>
    <w:p w14:paraId="670F6A39" w14:textId="77777777" w:rsidR="00AB3647" w:rsidRDefault="00000000" w:rsidP="007923E9">
      <w:pPr>
        <w:spacing w:after="120" w:line="276" w:lineRule="auto"/>
        <w:ind w:firstLine="283"/>
        <w:jc w:val="both"/>
      </w:pPr>
      <w:r>
        <w:rPr>
          <w:rtl/>
        </w:rPr>
        <w:t xml:space="preserve">ר׳ </w:t>
      </w:r>
      <w:proofErr w:type="spellStart"/>
      <w:r>
        <w:rPr>
          <w:rtl/>
        </w:rPr>
        <w:t>עזריאל־זליג־נח</w:t>
      </w:r>
      <w:proofErr w:type="spellEnd"/>
      <w:r>
        <w:rPr>
          <w:rtl/>
        </w:rPr>
        <w:t xml:space="preserve"> </w:t>
      </w:r>
      <w:proofErr w:type="spellStart"/>
      <w:r>
        <w:rPr>
          <w:rtl/>
        </w:rPr>
        <w:t>קושלבסקי</w:t>
      </w:r>
      <w:proofErr w:type="spellEnd"/>
      <w:r>
        <w:rPr>
          <w:rtl/>
        </w:rPr>
        <w:t xml:space="preserve">, </w:t>
      </w:r>
      <w:proofErr w:type="spellStart"/>
      <w:r>
        <w:rPr>
          <w:rtl/>
        </w:rPr>
        <w:t>מ״ץ</w:t>
      </w:r>
      <w:proofErr w:type="spellEnd"/>
      <w:r>
        <w:rPr>
          <w:rtl/>
        </w:rPr>
        <w:t xml:space="preserve"> </w:t>
      </w:r>
      <w:proofErr w:type="spellStart"/>
      <w:r>
        <w:rPr>
          <w:rtl/>
        </w:rPr>
        <w:t>יאגוסטוב</w:t>
      </w:r>
      <w:proofErr w:type="spellEnd"/>
      <w:r>
        <w:rPr>
          <w:rtl/>
        </w:rPr>
        <w:t xml:space="preserve">, כותב בהספדו על ר׳ חיים </w:t>
      </w:r>
      <w:proofErr w:type="spellStart"/>
      <w:r>
        <w:rPr>
          <w:rtl/>
        </w:rPr>
        <w:t>סולובייצ׳יק</w:t>
      </w:r>
      <w:proofErr w:type="spellEnd"/>
      <w:r>
        <w:rPr>
          <w:rtl/>
        </w:rPr>
        <w:t xml:space="preserve"> </w:t>
      </w:r>
      <w:proofErr w:type="spellStart"/>
      <w:r>
        <w:rPr>
          <w:rtl/>
        </w:rPr>
        <w:t>ב“ממעונות</w:t>
      </w:r>
      <w:proofErr w:type="spellEnd"/>
      <w:r>
        <w:rPr>
          <w:rtl/>
        </w:rPr>
        <w:t xml:space="preserve"> אריות”</w:t>
      </w:r>
      <w:bookmarkStart w:id="6807" w:name="_fnr5201"/>
      <w:r>
        <w:rPr>
          <w:rStyle w:val="a5"/>
        </w:rPr>
        <w:footnoteReference w:id="5215" w:customMarkFollows="0"/>
      </w:r>
      <w:bookmarkEnd w:id="6807"/>
      <w:r>
        <w:rPr>
          <w:rtl/>
        </w:rPr>
        <w:t xml:space="preserve"> שהבריות השתוממו כיצד שמר ר׳ חיים על מדרגתו בידיעת התורה, בשעה שהיה טרוד תמיד בדאגה לשלומו של “כל עני ומר נפש הבא אל פתחו, ומשתדל למלא את בקשותיהם; מכל עבר נהרו אליו אנשים שונים לשפוך את שיחם, והוא קיבלם בסבר פנים יפות והשתתף בצערו של כל אחד ואחד”</w:t>
      </w:r>
      <w:bookmarkStart w:id="6808" w:name="_fnr5202"/>
      <w:r>
        <w:rPr>
          <w:rStyle w:val="a5"/>
        </w:rPr>
        <w:footnoteReference w:id="5216" w:customMarkFollows="0"/>
      </w:r>
      <w:bookmarkEnd w:id="6808"/>
      <w:r>
        <w:rPr>
          <w:rtl/>
        </w:rPr>
        <w:t>.</w:t>
      </w:r>
    </w:p>
    <w:p w14:paraId="556B06B0" w14:textId="77777777" w:rsidR="00AB3647" w:rsidRDefault="00000000" w:rsidP="007923E9">
      <w:pPr>
        <w:spacing w:after="120" w:line="276" w:lineRule="auto"/>
        <w:ind w:firstLine="283"/>
        <w:jc w:val="both"/>
      </w:pPr>
      <w:r>
        <w:rPr>
          <w:rtl/>
        </w:rPr>
        <w:t>ר׳ שלמה אשכנזי ציטט</w:t>
      </w:r>
      <w:bookmarkStart w:id="6809" w:name="_fnr5203"/>
      <w:r>
        <w:rPr>
          <w:rStyle w:val="a5"/>
        </w:rPr>
        <w:footnoteReference w:id="5217" w:customMarkFollows="0"/>
      </w:r>
      <w:bookmarkEnd w:id="6809"/>
      <w:r>
        <w:rPr>
          <w:rtl/>
        </w:rPr>
        <w:t xml:space="preserve"> את מחותנו ר׳ ישראל רוטשילד: אביו, ר׳ שמעון, נשלח בידי רבה של פרנקפורט, ר׳ </w:t>
      </w:r>
      <w:proofErr w:type="spellStart"/>
      <w:r>
        <w:rPr>
          <w:rtl/>
        </w:rPr>
        <w:t>שלמה־זלמן</w:t>
      </w:r>
      <w:proofErr w:type="spellEnd"/>
      <w:r>
        <w:rPr>
          <w:rtl/>
        </w:rPr>
        <w:t xml:space="preserve"> </w:t>
      </w:r>
      <w:proofErr w:type="spellStart"/>
      <w:r>
        <w:rPr>
          <w:rtl/>
        </w:rPr>
        <w:t>ברויאר</w:t>
      </w:r>
      <w:proofErr w:type="spellEnd"/>
      <w:r>
        <w:rPr>
          <w:rtl/>
        </w:rPr>
        <w:t xml:space="preserve">, </w:t>
      </w:r>
      <w:proofErr w:type="spellStart"/>
      <w:r>
        <w:rPr>
          <w:rtl/>
        </w:rPr>
        <w:t>לבריסק</w:t>
      </w:r>
      <w:proofErr w:type="spellEnd"/>
      <w:r>
        <w:rPr>
          <w:rtl/>
        </w:rPr>
        <w:t xml:space="preserve">, לדון עם ר׳ חיים </w:t>
      </w:r>
      <w:proofErr w:type="spellStart"/>
      <w:r>
        <w:rPr>
          <w:rtl/>
        </w:rPr>
        <w:t>סולובייצ׳יק</w:t>
      </w:r>
      <w:proofErr w:type="spellEnd"/>
      <w:r>
        <w:rPr>
          <w:rtl/>
        </w:rPr>
        <w:t xml:space="preserve"> בעניין מסוים. ר׳ חיים אמר לו שיוכל לדון עמו באותו לילה, ור׳ שמעון קיבל רשות לשהות כל היום בביתו ולהתבונן במתרחש. לאחר מכן שאל ר׳ שמעון: “במחילת כבוד הרב, מאחר שהוא עסוק כל היום בענייני חסד, מתי יש לו פנאי ללמוד?” ור׳ חיים השיב: “צריך היה ללמוד זמן רב לפני שמקבלים על עצמם להיות רבה של </w:t>
      </w:r>
      <w:proofErr w:type="spellStart"/>
      <w:r>
        <w:rPr>
          <w:rtl/>
        </w:rPr>
        <w:t>בריסק</w:t>
      </w:r>
      <w:proofErr w:type="spellEnd"/>
      <w:r>
        <w:rPr>
          <w:rtl/>
        </w:rPr>
        <w:t>”</w:t>
      </w:r>
      <w:bookmarkStart w:id="6810" w:name="_fnr5204"/>
      <w:r>
        <w:rPr>
          <w:rStyle w:val="a5"/>
        </w:rPr>
        <w:footnoteReference w:id="5218" w:customMarkFollows="0"/>
      </w:r>
      <w:bookmarkEnd w:id="6810"/>
      <w:r>
        <w:rPr>
          <w:rtl/>
        </w:rPr>
        <w:t>.</w:t>
      </w:r>
    </w:p>
    <w:p w14:paraId="05EC830E" w14:textId="77777777" w:rsidR="00AB3647" w:rsidRDefault="00000000" w:rsidP="007923E9">
      <w:pPr>
        <w:spacing w:after="120" w:line="276" w:lineRule="auto"/>
        <w:ind w:firstLine="283"/>
        <w:jc w:val="both"/>
      </w:pPr>
      <w:r>
        <w:rPr>
          <w:rtl/>
        </w:rPr>
        <w:lastRenderedPageBreak/>
        <w:t>יעקב מארק</w:t>
      </w:r>
      <w:bookmarkStart w:id="6811" w:name="_fnr5205"/>
      <w:r>
        <w:rPr>
          <w:rStyle w:val="a5"/>
        </w:rPr>
        <w:footnoteReference w:id="5219" w:customMarkFollows="0"/>
      </w:r>
      <w:bookmarkEnd w:id="6811"/>
      <w:r>
        <w:rPr>
          <w:rtl/>
        </w:rPr>
        <w:t xml:space="preserve"> מספר: “לא פעם קרה שר׳ חיים הניח לעשירי </w:t>
      </w:r>
      <w:proofErr w:type="spellStart"/>
      <w:r>
        <w:rPr>
          <w:rtl/>
        </w:rPr>
        <w:t>בריסק</w:t>
      </w:r>
      <w:proofErr w:type="spellEnd"/>
      <w:r>
        <w:rPr>
          <w:rtl/>
        </w:rPr>
        <w:t xml:space="preserve"> להמתין לו שעות ארוכות, בשעה שהיה עסוק בשמיעת דבריהם של יהודים ויהודיות עניים ושבורי לב. גם בהיותו </w:t>
      </w:r>
      <w:proofErr w:type="spellStart"/>
      <w:r>
        <w:rPr>
          <w:rtl/>
        </w:rPr>
        <w:t>בליבאו</w:t>
      </w:r>
      <w:proofErr w:type="spellEnd"/>
      <w:r>
        <w:rPr>
          <w:rtl/>
        </w:rPr>
        <w:t xml:space="preserve">” – מקום מגוריו של מארק, שבו התבונן בר׳ חיים – “היה יושב לעיתים קרובות בצד בית המדרש ומשוחח ארוכות עם יהודי זקן ופשוט. לא יכולתי להתאפק, ופעם השלכתי לעברו שאלה: איזה דיבור יכול להיות לו עם יהודי כזה, </w:t>
      </w:r>
      <w:proofErr w:type="spellStart"/>
      <w:r>
        <w:rPr>
          <w:rtl/>
        </w:rPr>
        <w:t>תהילים־זאגער</w:t>
      </w:r>
      <w:proofErr w:type="spellEnd"/>
      <w:r>
        <w:rPr>
          <w:rtl/>
        </w:rPr>
        <w:t>. קיבלתי תשובה לא מחמיאה ביותר: ‘אין זה לפי כבודך ולפי כבוד שכמותך (כלומר, אוהדי ההשכלה</w:t>
      </w:r>
      <w:bookmarkStart w:id="6812" w:name="_fnr5206"/>
      <w:r>
        <w:rPr>
          <w:rStyle w:val="a5"/>
        </w:rPr>
        <w:footnoteReference w:id="5220" w:customMarkFollows="0"/>
      </w:r>
      <w:bookmarkEnd w:id="6812"/>
      <w:r>
        <w:rPr>
          <w:rtl/>
        </w:rPr>
        <w:t>) לדבר עם יהודי כזה – בלי להביא בחשבון שאולי לבו מלא צרות והוא זקוק למישהו לשוחח עמו עליהן’”.</w:t>
      </w:r>
    </w:p>
    <w:p w14:paraId="5D6C5FE4" w14:textId="77777777" w:rsidR="00AB3647" w:rsidRDefault="00000000" w:rsidP="007923E9">
      <w:pPr>
        <w:spacing w:after="120" w:line="276" w:lineRule="auto"/>
        <w:ind w:firstLine="283"/>
        <w:jc w:val="both"/>
      </w:pPr>
      <w:r>
        <w:rPr>
          <w:rtl/>
        </w:rPr>
        <w:t xml:space="preserve">על דברי מארק בעניין הנהגת ר׳ חיים </w:t>
      </w:r>
      <w:proofErr w:type="spellStart"/>
      <w:r>
        <w:rPr>
          <w:rtl/>
        </w:rPr>
        <w:t>בבריסק</w:t>
      </w:r>
      <w:proofErr w:type="spellEnd"/>
      <w:r>
        <w:rPr>
          <w:rtl/>
        </w:rPr>
        <w:t>, חזר ר׳ ישמעאל כהן</w:t>
      </w:r>
      <w:bookmarkStart w:id="6813" w:name="_fnr5207"/>
      <w:r>
        <w:rPr>
          <w:rStyle w:val="a5"/>
        </w:rPr>
        <w:footnoteReference w:id="5221" w:customMarkFollows="0"/>
      </w:r>
      <w:bookmarkEnd w:id="6813"/>
      <w:r>
        <w:rPr>
          <w:rtl/>
        </w:rPr>
        <w:t xml:space="preserve"> על אמרה ששמע מרבו,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בשם ר׳ חיים: אם עשיר ועני רוצים שניהם לדבר עם הרב, יש להקדים את העני, מפני שהעשיר אולי מבקש רק לפטפט, ואילו העני בוודאי בא לדבר על בעיה. עוד סיפר ר׳ </w:t>
      </w:r>
      <w:proofErr w:type="spellStart"/>
      <w:r>
        <w:rPr>
          <w:rtl/>
        </w:rPr>
        <w:t xml:space="preserve">יוסף־דב</w:t>
      </w:r>
      <w:proofErr w:type="spellEnd"/>
      <w:r>
        <w:rPr>
          <w:rtl/>
        </w:rPr>
        <w:t xml:space="preserve"> שפעם ישב ר׳ חיים באספה ציבורית של בעלי תעשייה עשירים, נכנס השמש ולחש דבר מה באוזנו, ור׳ חיים יצא מן האספה. כששב כעבור עשר דקות הסביר שאלמנה באה לביתו, וכשנאמר לה שהרב נמצא באספה עם אנשים חשובים במקום אחר, עמדה על כך שתמתין לו מחוץ למקום האספה: היא ישבה בחוץ ובכתה, והמתינה שיפתור לה חלום רע. כשאחד מבעלי התעשייה העיר שעשר דקות מזמנו שוות כסף רב, השיב ר׳ חיים: “דמעותיה של אלמנה חשובות לי יותר מכל מה שנחליט כאן”.</w:t>
      </w:r>
    </w:p>
    <w:p w14:paraId="21A78353" w14:textId="77777777" w:rsidR="00AB3647" w:rsidRDefault="00000000" w:rsidP="007923E9">
      <w:pPr>
        <w:spacing w:after="120" w:line="276" w:lineRule="auto"/>
        <w:ind w:firstLine="283"/>
        <w:jc w:val="both"/>
      </w:pPr>
      <w:r>
        <w:rPr>
          <w:rtl/>
        </w:rPr>
        <w:t xml:space="preserve">ר׳ </w:t>
      </w:r>
      <w:proofErr w:type="spellStart"/>
      <w:r>
        <w:rPr>
          <w:rtl/>
        </w:rPr>
        <w:t xml:space="preserve">יוסף־דב</w:t>
      </w:r>
      <w:proofErr w:type="spellEnd"/>
      <w:r>
        <w:rPr>
          <w:rtl/>
        </w:rPr>
        <w:t xml:space="preserve"> סיפר לתלמידיו שחזר על הסיפור הזה באוזני דוד </w:t>
      </w:r>
      <w:proofErr w:type="spellStart"/>
      <w:r>
        <w:rPr>
          <w:rtl/>
        </w:rPr>
        <w:t>בן־גוריון</w:t>
      </w:r>
      <w:proofErr w:type="spellEnd"/>
      <w:r>
        <w:rPr>
          <w:rtl/>
        </w:rPr>
        <w:t xml:space="preserve">, כשזה ביקר אצלו בבוסטון אחרי פטירת הרב הראשי </w:t>
      </w:r>
      <w:proofErr w:type="spellStart"/>
      <w:r>
        <w:rPr>
          <w:rtl/>
        </w:rPr>
        <w:t>יצחק־אייזיק</w:t>
      </w:r>
      <w:proofErr w:type="spellEnd"/>
      <w:r>
        <w:rPr>
          <w:rtl/>
        </w:rPr>
        <w:t xml:space="preserve"> הרצוג והציע להכתירו ליורשו. הוא אמר </w:t>
      </w:r>
      <w:proofErr w:type="spellStart"/>
      <w:r>
        <w:rPr>
          <w:rtl/>
        </w:rPr>
        <w:t>לבן־גוריון</w:t>
      </w:r>
      <w:proofErr w:type="spellEnd"/>
      <w:r>
        <w:rPr>
          <w:rtl/>
        </w:rPr>
        <w:t xml:space="preserve"> שיהיה רב כמו סבו שבסיפור, ולא יוכל למלא את התפקיד הטקסי המצופה מרב ראשי לישראל.</w:t>
      </w:r>
    </w:p>
    <w:p w14:paraId="3265C44C" w14:textId="77777777" w:rsidR="00AB3647" w:rsidRDefault="00000000" w:rsidP="007923E9">
      <w:pPr>
        <w:spacing w:after="120" w:line="276" w:lineRule="auto"/>
        <w:ind w:firstLine="283"/>
        <w:jc w:val="both"/>
      </w:pPr>
      <w:r>
        <w:rPr>
          <w:rtl/>
        </w:rPr>
        <w:t xml:space="preserve">עוד סיפור יוצא דופן שסיפר ר׳ </w:t>
      </w:r>
      <w:proofErr w:type="spellStart"/>
      <w:r>
        <w:rPr>
          <w:rtl/>
        </w:rPr>
        <w:t xml:space="preserve">יוסף־דב</w:t>
      </w:r>
      <w:proofErr w:type="spellEnd"/>
      <w:r>
        <w:rPr>
          <w:rtl/>
        </w:rPr>
        <w:t xml:space="preserve"> </w:t>
      </w:r>
      <w:proofErr w:type="spellStart"/>
      <w:r>
        <w:rPr>
          <w:rtl/>
        </w:rPr>
        <w:t>לבן־גוריון</w:t>
      </w:r>
      <w:proofErr w:type="spellEnd"/>
      <w:r>
        <w:rPr>
          <w:rtl/>
        </w:rPr>
        <w:t>: שמשו של ר׳ חיים ראה אותו פעם זוחל על ארבע וילד רוכב על גבו, כפי שעשו שם עוד שני זוגות ילדים של “סוס” ורוכב. ר׳ חיים הסביר שעבר במקום וראה ארבעה ילדים רוכבים, וילד חמישי בוכה. כששאל את הילד מדוע הוא בוכה, ונענה שאין לו סוס לרכוב עליו, אמר ר׳ חיים: “בוא, אהיה הסוס שלך”. ר׳ חיים הוסיף לשמשו, בנימה של התנצלות: “וכי יכולתי להניח לילד יהודי לבכות?!”</w:t>
      </w:r>
      <w:bookmarkStart w:id="6814" w:name="_fnr5208"/>
      <w:r>
        <w:rPr>
          <w:rStyle w:val="a5"/>
        </w:rPr>
        <w:footnoteReference w:id="5222" w:customMarkFollows="0"/>
      </w:r>
      <w:bookmarkEnd w:id="6814"/>
      <w:r>
        <w:rPr>
          <w:rtl/>
        </w:rPr>
        <w:t>.</w:t>
      </w:r>
    </w:p>
    <w:p w14:paraId="0528537B" w14:textId="77777777" w:rsidR="00AB3647" w:rsidRDefault="00000000" w:rsidP="007923E9">
      <w:pPr>
        <w:spacing w:after="120" w:line="276" w:lineRule="auto"/>
        <w:ind w:firstLine="283"/>
        <w:jc w:val="both"/>
      </w:pPr>
      <w:r>
        <w:rPr>
          <w:rtl/>
        </w:rPr>
        <w:lastRenderedPageBreak/>
        <w:t>גם ר׳ מאיר פינס סיפר לי</w:t>
      </w:r>
      <w:bookmarkStart w:id="6815" w:name="_fnr5209"/>
      <w:r>
        <w:rPr>
          <w:rStyle w:val="a5"/>
        </w:rPr>
        <w:footnoteReference w:id="5223" w:customMarkFollows="0"/>
      </w:r>
      <w:bookmarkEnd w:id="6815"/>
      <w:r>
        <w:rPr>
          <w:rtl/>
        </w:rPr>
        <w:t xml:space="preserve"> שכאשר התכונן ר׳ חיים לעזוב את מינסק בתום מלחמת העולם הראשונה ולנסוע לוורשה כדי לטפל שם במחלת הכבד שלו, אמרה המשרתת שבביתו שגם היא רוצה להצטרף למשפחת </w:t>
      </w:r>
      <w:proofErr w:type="spellStart"/>
      <w:r>
        <w:rPr>
          <w:rtl/>
        </w:rPr>
        <w:t>סולובייצ׳יק</w:t>
      </w:r>
      <w:proofErr w:type="spellEnd"/>
      <w:r>
        <w:rPr>
          <w:rtl/>
        </w:rPr>
        <w:t>, והוא הרשה לה. ר׳ מאיר לא גילה מה הייתה טענתה, אבל אפשר לשער שלא רצתה לעזוב בית שבו זכתה ליחס מלכותי, כפי שבוודאי נהגו בה על פי הוראותיו של ר׳ חיים</w:t>
      </w:r>
      <w:bookmarkStart w:id="6816" w:name="_fnr5210"/>
      <w:r>
        <w:rPr>
          <w:rStyle w:val="a5"/>
        </w:rPr>
        <w:footnoteReference w:id="5224" w:customMarkFollows="0"/>
      </w:r>
      <w:bookmarkEnd w:id="6816"/>
      <w:r>
        <w:rPr>
          <w:rtl/>
        </w:rPr>
        <w:t>.</w:t>
      </w:r>
    </w:p>
    <w:p w14:paraId="77174E2D" w14:textId="77777777" w:rsidR="00AB3647" w:rsidRDefault="00000000" w:rsidP="007923E9">
      <w:pPr>
        <w:spacing w:after="120" w:line="276" w:lineRule="auto"/>
        <w:ind w:firstLine="283"/>
        <w:jc w:val="both"/>
      </w:pPr>
      <w:r>
        <w:rPr>
          <w:rtl/>
        </w:rPr>
        <w:t xml:space="preserve">על התעלמותו של ר׳ חיים מן העשירים שבבני קהילתו, ימצא הקורא עניין במה שכתב ר׳ </w:t>
      </w:r>
      <w:proofErr w:type="spellStart"/>
      <w:r>
        <w:rPr>
          <w:rtl/>
        </w:rPr>
        <w:t>יצחק־אייזיק</w:t>
      </w:r>
      <w:proofErr w:type="spellEnd"/>
      <w:r>
        <w:rPr>
          <w:rtl/>
        </w:rPr>
        <w:t xml:space="preserve"> הלוי</w:t>
      </w:r>
      <w:bookmarkStart w:id="6817" w:name="_fnr5211"/>
      <w:r>
        <w:rPr>
          <w:rStyle w:val="a5"/>
        </w:rPr>
        <w:footnoteReference w:id="5225" w:customMarkFollows="0"/>
      </w:r>
      <w:bookmarkEnd w:id="6817"/>
      <w:r>
        <w:rPr>
          <w:rtl/>
        </w:rPr>
        <w:t xml:space="preserve"> </w:t>
      </w:r>
      <w:proofErr w:type="spellStart"/>
      <w:r>
        <w:rPr>
          <w:rtl/>
        </w:rPr>
        <w:t>לר</w:t>
      </w:r>
      <w:proofErr w:type="spellEnd"/>
      <w:r>
        <w:rPr>
          <w:rtl/>
        </w:rPr>
        <w:t xml:space="preserve">׳ יעקב </w:t>
      </w:r>
      <w:proofErr w:type="spellStart"/>
      <w:r>
        <w:rPr>
          <w:rtl/>
        </w:rPr>
        <w:t>רוזנהיים</w:t>
      </w:r>
      <w:proofErr w:type="spellEnd"/>
      <w:r>
        <w:rPr>
          <w:rtl/>
        </w:rPr>
        <w:t xml:space="preserve">, כשזה הציע </w:t>
      </w:r>
      <w:proofErr w:type="spellStart"/>
      <w:r>
        <w:rPr>
          <w:rtl/>
        </w:rPr>
        <w:t>ש“מארקס</w:t>
      </w:r>
      <w:proofErr w:type="spellEnd"/>
      <w:r>
        <w:rPr>
          <w:rtl/>
        </w:rPr>
        <w:t xml:space="preserve"> (העשיר) מקניגסברג” יכתוב </w:t>
      </w:r>
      <w:proofErr w:type="spellStart"/>
      <w:r>
        <w:rPr>
          <w:rtl/>
        </w:rPr>
        <w:t>לר</w:t>
      </w:r>
      <w:proofErr w:type="spellEnd"/>
      <w:r>
        <w:rPr>
          <w:rtl/>
        </w:rPr>
        <w:t>׳ חיים כדי להשפיע עליו להצטרף אליהם לכינוס עסקנים</w:t>
      </w:r>
      <w:bookmarkStart w:id="6818" w:name="_fnr5212"/>
      <w:r>
        <w:rPr>
          <w:rStyle w:val="a5"/>
        </w:rPr>
        <w:footnoteReference w:id="5226" w:customMarkFollows="0"/>
      </w:r>
      <w:bookmarkEnd w:id="6818"/>
      <w:r>
        <w:rPr>
          <w:rtl/>
        </w:rPr>
        <w:t>. הלוי השיב: “ממכתבך היקר מיום 23 בפברואר</w:t>
      </w:r>
      <w:bookmarkStart w:id="6819" w:name="_fnr5213"/>
      <w:r>
        <w:rPr>
          <w:rStyle w:val="a5"/>
        </w:rPr>
        <w:footnoteReference w:id="5227" w:customMarkFollows="0"/>
      </w:r>
      <w:bookmarkEnd w:id="6819"/>
      <w:r>
        <w:rPr>
          <w:rtl/>
        </w:rPr>
        <w:t xml:space="preserve"> אני רואה שאתה סבור שכדי להשפיע על רבה של </w:t>
      </w:r>
      <w:proofErr w:type="spellStart"/>
      <w:r>
        <w:rPr>
          <w:rtl/>
        </w:rPr>
        <w:t>בריסק</w:t>
      </w:r>
      <w:proofErr w:type="spellEnd"/>
      <w:r>
        <w:rPr>
          <w:rtl/>
        </w:rPr>
        <w:t xml:space="preserve"> יש צורך בפקידים גדולים ונכבדים, ולכן אתה חושב שאם תורה לא הועילה, אולי גדולה</w:t>
      </w:r>
      <w:bookmarkStart w:id="6820" w:name="_fnr5214"/>
      <w:r>
        <w:rPr>
          <w:rStyle w:val="a5"/>
        </w:rPr>
        <w:footnoteReference w:id="5228" w:customMarkFollows="0"/>
      </w:r>
      <w:bookmarkEnd w:id="6820"/>
      <w:r>
        <w:rPr>
          <w:rtl/>
        </w:rPr>
        <w:t xml:space="preserve"> תועיל. כל הדברים האלה מראים לי רק שאתה [אולי] מכיר את רוב רבני רוסיה, אבל לא את יחידי הסגולה שבהם: רבה של </w:t>
      </w:r>
      <w:proofErr w:type="spellStart"/>
      <w:r>
        <w:rPr>
          <w:rtl/>
        </w:rPr>
        <w:t>בריסק</w:t>
      </w:r>
      <w:proofErr w:type="spellEnd"/>
      <w:r>
        <w:rPr>
          <w:rtl/>
        </w:rPr>
        <w:t xml:space="preserve"> אין לו בעולמו אלא תורה, וגדולתם [עושרם] של אפילו מיליונרים כרוטשילד אינה משפיעה עליו אפילו קוצו של יו״ד”.</w:t>
      </w:r>
    </w:p>
    <w:p w14:paraId="541F12E7" w14:textId="77777777" w:rsidR="00AB3647" w:rsidRDefault="00000000" w:rsidP="007923E9">
      <w:pPr>
        <w:spacing w:after="120" w:line="276" w:lineRule="auto"/>
        <w:ind w:firstLine="283"/>
        <w:jc w:val="both"/>
      </w:pPr>
      <w:r>
        <w:rPr>
          <w:rtl/>
        </w:rPr>
        <w:t xml:space="preserve">בעניין פתרון החלום, שלמענו הפסיק ר׳ חיים את האספה עם עשירי </w:t>
      </w:r>
      <w:proofErr w:type="spellStart"/>
      <w:r>
        <w:rPr>
          <w:rtl/>
        </w:rPr>
        <w:t>בריסק</w:t>
      </w:r>
      <w:proofErr w:type="spellEnd"/>
      <w:r>
        <w:rPr>
          <w:rtl/>
        </w:rPr>
        <w:t xml:space="preserve">: בראשית שנות </w:t>
      </w:r>
      <w:proofErr w:type="spellStart"/>
      <w:r>
        <w:rPr>
          <w:rtl/>
        </w:rPr>
        <w:t>התש״ך</w:t>
      </w:r>
      <w:proofErr w:type="spellEnd"/>
      <w:r>
        <w:rPr>
          <w:rtl/>
        </w:rPr>
        <w:t xml:space="preserve"> פגשתי בארצות הברית יהודי זקן ויקר, ר׳ נפתלי קפלן, שראה בעצמו מעשה נוסף מסוג זה. הוא שירת בצבא הרוסי סמוך </w:t>
      </w:r>
      <w:proofErr w:type="spellStart"/>
      <w:r>
        <w:rPr>
          <w:rtl/>
        </w:rPr>
        <w:t>לבריסק</w:t>
      </w:r>
      <w:proofErr w:type="spellEnd"/>
      <w:r>
        <w:rPr>
          <w:rtl/>
        </w:rPr>
        <w:t xml:space="preserve"> לפני מלחמת העולם הראשונה, ויחד עם חיילים אחרים היה בא לעיתים קרובות לבית הרב לאכול ארוחות כשרות – עוד דוגמה לדאגתו של ר׳ חיים לנצרכים. ר׳ נפתלי סיפר מעשה שראה, בלי לדעת שיש בו גם כדי לתאר את דרך החשיבה האנליטית של ר׳ חיים, שבה נודע בעולם הישיבות.</w:t>
      </w:r>
    </w:p>
    <w:p w14:paraId="4724F9D1" w14:textId="77777777" w:rsidR="00AB3647" w:rsidRDefault="00000000" w:rsidP="007923E9">
      <w:pPr>
        <w:spacing w:after="120" w:line="276" w:lineRule="auto"/>
        <w:ind w:firstLine="283"/>
        <w:jc w:val="both"/>
      </w:pPr>
      <w:r>
        <w:rPr>
          <w:rtl/>
        </w:rPr>
        <w:t xml:space="preserve">אלמנה ענייה באה אל “ביתו של ר׳ </w:t>
      </w:r>
      <w:proofErr w:type="spellStart"/>
      <w:r>
        <w:rPr>
          <w:rtl/>
        </w:rPr>
        <w:t>חיים׳קה</w:t>
      </w:r>
      <w:proofErr w:type="spellEnd"/>
      <w:r>
        <w:rPr>
          <w:rtl/>
        </w:rPr>
        <w:t xml:space="preserve">” בשעת בוקר מוקדמת, ופניה שטופות דמעות: באותו לילה חלמה שבנה הקטן והיחיד מת, וכשהתעוררה בבהלה, מיששה את ראשו של הילד והנה הוא בוער מחום. ר׳ חיים אמר לה: “באשר לחלום, אין בו משמעות רעה – הכול יהיה טוב; ובאשר לחומו של בנך, הנה רובל וקחי אותו לדוקטור פלוני”. ר׳ חיים פירק את סיפור האלמנה לשני חלקים שאין ביניהם קשר: החלום וחום הילד. כשחזרתי על הסיפור לפני רבנו, העיר שהייתה זו תופעה שכיחה שאדם בא אל ר׳ חיים טוב הלב להטבת חלום. 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821" w:name="_fnr5215"/>
      <w:r>
        <w:rPr>
          <w:rStyle w:val="a5"/>
        </w:rPr>
        <w:footnoteReference w:id="5229" w:customMarkFollows="0"/>
      </w:r>
      <w:bookmarkEnd w:id="6821"/>
      <w:r>
        <w:rPr>
          <w:rtl/>
        </w:rPr>
        <w:t xml:space="preserve">, שם מסופר כיצד התבדח ר׳ חיים שהטבת חלומות היא עיקר עיסוקו </w:t>
      </w:r>
      <w:proofErr w:type="spellStart"/>
      <w:r>
        <w:rPr>
          <w:rtl/>
        </w:rPr>
        <w:t>בבריסק</w:t>
      </w:r>
      <w:proofErr w:type="spellEnd"/>
      <w:r>
        <w:rPr>
          <w:rtl/>
        </w:rPr>
        <w:t>.</w:t>
      </w:r>
    </w:p>
    <w:p w14:paraId="70908EDB" w14:textId="77777777" w:rsidR="00AB3647" w:rsidRDefault="00000000" w:rsidP="007923E9">
      <w:pPr>
        <w:spacing w:after="120" w:line="276" w:lineRule="auto"/>
        <w:ind w:firstLine="283"/>
        <w:jc w:val="both"/>
      </w:pPr>
      <w:bookmarkStart w:id="6822" w:name="pr_b_2800"/>
      <w:bookmarkEnd w:id="6822"/>
      <w:r>
        <w:rPr>
          <w:rtl/>
        </w:rPr>
        <w:lastRenderedPageBreak/>
        <w:t xml:space="preserve">על ישיבותיו של ר׳ חיים עם מי שאינם בני תורה, או על עיסוקיו האחרים שנראים כביטול זמן, ראוי לחזור על המסופר </w:t>
      </w:r>
      <w:proofErr w:type="spellStart"/>
      <w:r>
        <w:rPr>
          <w:rtl/>
        </w:rPr>
        <w:t>ב“יתד</w:t>
      </w:r>
      <w:proofErr w:type="spellEnd"/>
      <w:r>
        <w:rPr>
          <w:rtl/>
        </w:rPr>
        <w:t xml:space="preserve"> נאמן”</w:t>
      </w:r>
      <w:bookmarkStart w:id="6823" w:name="_fnr5216"/>
      <w:r>
        <w:rPr>
          <w:rStyle w:val="a5"/>
        </w:rPr>
        <w:footnoteReference w:id="5230" w:customMarkFollows="0"/>
      </w:r>
      <w:bookmarkEnd w:id="6823"/>
      <w:r>
        <w:rPr>
          <w:rtl/>
        </w:rPr>
        <w:t xml:space="preserve"> בשם בנו ר׳ יצחק־זאב. הוא סיפר שפעמים רבות ראה את אביו מזיע מאוד בשעת שיחה פשוטה עם אדם כלשהו, והסיבה הייתה שר׳ חיים אימץ אז את מחשבתו כדי לגבש רעיון. עוד גילה ר׳ יצחק־זאב שלא פעם, באמצע שיחה, היה אביו נכנס לחדר הסמוך, שבו למד בנו, ומקשה על האופן שבו ביאר את </w:t>
      </w:r>
      <w:proofErr w:type="spellStart"/>
      <w:r>
        <w:rPr>
          <w:rtl/>
        </w:rPr>
        <w:t>הסוגיה</w:t>
      </w:r>
      <w:proofErr w:type="spellEnd"/>
      <w:r>
        <w:rPr>
          <w:rtl/>
        </w:rPr>
        <w:t xml:space="preserve"> שדן בה עמו קודם לכן. אחרי ששב לאורחיו, היה עשוי להיכנס שוב לאותו חדר ולומר שמצא תירוץ </w:t>
      </w:r>
      <w:proofErr w:type="spellStart"/>
      <w:r>
        <w:rPr>
          <w:rtl/>
        </w:rPr>
        <w:t>לקושיה</w:t>
      </w:r>
      <w:proofErr w:type="spellEnd"/>
      <w:r>
        <w:rPr>
          <w:rtl/>
        </w:rPr>
        <w:t>. כך המשיך לשוחח עם אורחיו, ומחשבתו נתונה לסוגיית הלימוד.</w:t>
      </w:r>
    </w:p>
    <w:p w14:paraId="74C54FC8" w14:textId="77777777" w:rsidR="00AB3647" w:rsidRDefault="00000000" w:rsidP="007923E9">
      <w:pPr>
        <w:spacing w:after="120" w:line="276" w:lineRule="auto"/>
        <w:ind w:firstLine="283"/>
        <w:jc w:val="both"/>
      </w:pPr>
      <w:r>
        <w:rPr>
          <w:rtl/>
        </w:rPr>
        <w:t>אף שפרץ דרך מיוחדת ויצר גישה חדשה ללימוד התלמוד (מוטב לומר: גילה אותה)</w:t>
      </w:r>
      <w:bookmarkStart w:id="6824" w:name="_fnr5217"/>
      <w:r>
        <w:rPr>
          <w:rStyle w:val="a5"/>
        </w:rPr>
        <w:footnoteReference w:id="5231" w:customMarkFollows="0"/>
      </w:r>
      <w:bookmarkEnd w:id="6824"/>
      <w:r>
        <w:rPr>
          <w:rtl/>
        </w:rPr>
        <w:t xml:space="preserve">, ראה ר׳ חיים את עיקר הישגו בחיים בתחום החסד. כך הטעים פעם רבנו לפני ר׳ </w:t>
      </w:r>
      <w:proofErr w:type="spellStart"/>
      <w:r>
        <w:rPr>
          <w:rtl/>
        </w:rPr>
        <w:t>יעקב־יצחק</w:t>
      </w:r>
      <w:proofErr w:type="spellEnd"/>
      <w:r>
        <w:rPr>
          <w:rtl/>
        </w:rPr>
        <w:t xml:space="preserve"> </w:t>
      </w:r>
      <w:proofErr w:type="spellStart"/>
      <w:r>
        <w:rPr>
          <w:rtl/>
        </w:rPr>
        <w:t>רודרמן</w:t>
      </w:r>
      <w:bookmarkStart w:id="6825" w:name="_fnr5218"/>
      <w:proofErr w:type="spellEnd"/>
      <w:r>
        <w:rPr>
          <w:rStyle w:val="a5"/>
        </w:rPr>
        <w:footnoteReference w:id="5232" w:customMarkFollows="0"/>
      </w:r>
      <w:bookmarkEnd w:id="6825"/>
      <w:r>
        <w:rPr>
          <w:rtl/>
        </w:rPr>
        <w:t>, כשסיפר שר׳ חיים ציווה שלא ייכתב על מצבתו אלא: “איש חסד היה”. גם ר׳ עזריה ברזון סיפר</w:t>
      </w:r>
      <w:bookmarkStart w:id="6826" w:name="_fnr5219"/>
      <w:r>
        <w:rPr>
          <w:rStyle w:val="a5"/>
        </w:rPr>
        <w:footnoteReference w:id="5233" w:customMarkFollows="0"/>
      </w:r>
      <w:bookmarkEnd w:id="6826"/>
      <w:r>
        <w:rPr>
          <w:rtl/>
        </w:rPr>
        <w:t xml:space="preserve"> בשם ר׳ </w:t>
      </w:r>
      <w:proofErr w:type="spellStart"/>
      <w:r>
        <w:rPr>
          <w:rtl/>
        </w:rPr>
        <w:t xml:space="preserve">יוסף־דב</w:t>
      </w:r>
      <w:proofErr w:type="spellEnd"/>
      <w:r>
        <w:rPr>
          <w:rtl/>
        </w:rPr>
        <w:t xml:space="preserve"> </w:t>
      </w:r>
      <w:proofErr w:type="spellStart"/>
      <w:r>
        <w:rPr>
          <w:rtl/>
        </w:rPr>
        <w:t>סולובייצ׳יק</w:t>
      </w:r>
      <w:proofErr w:type="spellEnd"/>
      <w:r>
        <w:rPr>
          <w:rtl/>
        </w:rPr>
        <w:t>, שצוואתו האחרונה של סבו ר׳ חיים הייתה שרק שלוש המילים האלה ייחרתו על מצבתו</w:t>
      </w:r>
      <w:bookmarkStart w:id="6827" w:name="_fnr5220"/>
      <w:r>
        <w:rPr>
          <w:rStyle w:val="a5"/>
        </w:rPr>
        <w:footnoteReference w:id="5234" w:customMarkFollows="0"/>
      </w:r>
      <w:bookmarkEnd w:id="6827"/>
      <w:r>
        <w:rPr>
          <w:rtl/>
        </w:rPr>
        <w:t>.</w:t>
      </w:r>
    </w:p>
    <w:p w14:paraId="50929EF8" w14:textId="77777777" w:rsidR="00AB3647" w:rsidRDefault="00000000" w:rsidP="007923E9">
      <w:pPr>
        <w:spacing w:after="120" w:line="276" w:lineRule="auto"/>
        <w:ind w:firstLine="283"/>
        <w:jc w:val="both"/>
      </w:pPr>
      <w:r>
        <w:rPr>
          <w:rtl/>
        </w:rPr>
        <w:t>כשקרא רבנו שבפועל נחקקה על המצבה מגילת שבחים, הצטער מאוד. “איך יכלו להמרות את רצונו?!” מחה. הוא רמז שידע מי אשם בכך, אך “מחמת גודל העוולה” לא יגלה את שמו</w:t>
      </w:r>
      <w:bookmarkStart w:id="6828" w:name="_fnr5221"/>
      <w:r>
        <w:rPr>
          <w:rStyle w:val="a5"/>
        </w:rPr>
        <w:footnoteReference w:id="5235" w:customMarkFollows="0"/>
      </w:r>
      <w:bookmarkEnd w:id="6828"/>
      <w:r>
        <w:rPr>
          <w:rtl/>
        </w:rPr>
        <w:t xml:space="preserve">. את הנוסח הרצוף של הכתובת שעל המצבה מסר לי נכדו של ר׳ חיים, ר׳ </w:t>
      </w:r>
      <w:proofErr w:type="spellStart"/>
      <w:r>
        <w:rPr>
          <w:rtl/>
        </w:rPr>
        <w:t>משולם־דוד</w:t>
      </w:r>
      <w:proofErr w:type="spellEnd"/>
      <w:r>
        <w:rPr>
          <w:rtl/>
        </w:rPr>
        <w:t xml:space="preserve"> </w:t>
      </w:r>
      <w:proofErr w:type="spellStart"/>
      <w:r>
        <w:rPr>
          <w:rtl/>
        </w:rPr>
        <w:t>סולובייצ׳יק</w:t>
      </w:r>
      <w:proofErr w:type="spellEnd"/>
      <w:r>
        <w:rPr>
          <w:rtl/>
        </w:rPr>
        <w:t>, וזו לשונה</w:t>
      </w:r>
      <w:bookmarkStart w:id="6829" w:name="_fnr5222"/>
      <w:r>
        <w:rPr>
          <w:rStyle w:val="a5"/>
        </w:rPr>
        <w:footnoteReference w:id="5236" w:customMarkFollows="0"/>
      </w:r>
      <w:bookmarkEnd w:id="6829"/>
      <w:r>
        <w:rPr>
          <w:rtl/>
        </w:rPr>
        <w:t>:</w:t>
      </w:r>
    </w:p>
    <w:p w14:paraId="23E97EEA" w14:textId="77777777" w:rsidR="00AB3647" w:rsidRDefault="00000000" w:rsidP="007923E9">
      <w:pPr>
        <w:pStyle w:val="af1"/>
        <w:spacing w:line="276" w:lineRule="auto"/>
      </w:pPr>
      <w:r>
        <w:t>פ״נ</w:t>
      </w:r>
    </w:p>
    <w:p w14:paraId="4FB6A349" w14:textId="77777777" w:rsidR="00AB3647" w:rsidRDefault="00000000" w:rsidP="007923E9">
      <w:pPr>
        <w:pStyle w:val="af1"/>
        <w:spacing w:line="276" w:lineRule="auto"/>
      </w:pPr>
      <w:r>
        <w:t>רבנו הגדול רב החסד</w:t>
      </w:r>
      <w:bookmarkStart w:id="6830" w:name="_fnr5223"/>
      <w:r>
        <w:rPr>
          <w:rStyle w:val="a5"/>
        </w:rPr>
        <w:footnoteReference w:id="5237" w:customMarkFollows="0"/>
      </w:r>
      <w:bookmarkEnd w:id="6830"/>
      <w:r>
        <w:t xml:space="preserve"> שר התורה</w:t>
      </w:r>
    </w:p>
    <w:p w14:paraId="2CA2FDEA" w14:textId="77777777" w:rsidR="00AB3647" w:rsidRDefault="00000000" w:rsidP="007923E9">
      <w:pPr>
        <w:pStyle w:val="af1"/>
        <w:spacing w:line="276" w:lineRule="auto"/>
      </w:pPr>
      <w:r>
        <w:t>הגאון החסיד האמיתי רבן של כל ישראל</w:t>
      </w:r>
    </w:p>
    <w:p w14:paraId="03F3BE0C" w14:textId="77777777" w:rsidR="00AB3647" w:rsidRDefault="00000000" w:rsidP="007923E9">
      <w:pPr>
        <w:pStyle w:val="af1"/>
        <w:spacing w:line="276" w:lineRule="auto"/>
      </w:pPr>
      <w:r>
        <w:t>אשר נתן דרך בים התלמוד וסלל נתיבה</w:t>
      </w:r>
    </w:p>
    <w:p w14:paraId="38CE8323" w14:textId="77777777" w:rsidR="00AB3647" w:rsidRDefault="00000000" w:rsidP="007923E9">
      <w:pPr>
        <w:pStyle w:val="af1"/>
        <w:spacing w:line="276" w:lineRule="auto"/>
      </w:pPr>
      <w:r>
        <w:t>חדשה בידיעת והבנת התורה לאמיתה</w:t>
      </w:r>
    </w:p>
    <w:p w14:paraId="6589B911" w14:textId="77777777" w:rsidR="00AB3647" w:rsidRDefault="00000000" w:rsidP="007923E9">
      <w:pPr>
        <w:pStyle w:val="af1"/>
        <w:spacing w:line="276" w:lineRule="auto"/>
      </w:pPr>
      <w:r>
        <w:t>והעמיד תלמידים למאות ולאלפים</w:t>
      </w:r>
    </w:p>
    <w:p w14:paraId="6F8DBBD5" w14:textId="77777777" w:rsidR="00AB3647" w:rsidRDefault="00000000" w:rsidP="007923E9">
      <w:pPr>
        <w:pStyle w:val="af1"/>
        <w:spacing w:line="276" w:lineRule="auto"/>
      </w:pPr>
      <w:proofErr w:type="spellStart"/>
      <w:r>
        <w:t>כקש״ת</w:t>
      </w:r>
      <w:proofErr w:type="spellEnd"/>
      <w:r>
        <w:t xml:space="preserve"> מרן ר׳ חיים הלוי </w:t>
      </w:r>
      <w:proofErr w:type="spellStart"/>
      <w:r>
        <w:t>זצללה״ה</w:t>
      </w:r>
      <w:proofErr w:type="spellEnd"/>
    </w:p>
    <w:p w14:paraId="2B6BC17B" w14:textId="77777777" w:rsidR="00AB3647" w:rsidRDefault="00000000" w:rsidP="007923E9">
      <w:pPr>
        <w:pStyle w:val="af1"/>
        <w:spacing w:line="276" w:lineRule="auto"/>
      </w:pPr>
      <w:proofErr w:type="spellStart"/>
      <w:r>
        <w:t>סאלאווייציק</w:t>
      </w:r>
      <w:proofErr w:type="spellEnd"/>
    </w:p>
    <w:p w14:paraId="5FEA6320" w14:textId="77777777" w:rsidR="00AB3647" w:rsidRDefault="00000000" w:rsidP="007923E9">
      <w:pPr>
        <w:pStyle w:val="af1"/>
        <w:spacing w:line="276" w:lineRule="auto"/>
      </w:pPr>
      <w:proofErr w:type="spellStart"/>
      <w:r>
        <w:t>בהגאון</w:t>
      </w:r>
      <w:proofErr w:type="spellEnd"/>
      <w:r>
        <w:t xml:space="preserve"> מרן ר׳ יוסף דוב הלוי </w:t>
      </w:r>
      <w:proofErr w:type="spellStart"/>
      <w:r>
        <w:t>זצללה״ה</w:t>
      </w:r>
      <w:proofErr w:type="spellEnd"/>
    </w:p>
    <w:p w14:paraId="3DE99B7E" w14:textId="77777777" w:rsidR="00AB3647" w:rsidRDefault="00000000" w:rsidP="007923E9">
      <w:pPr>
        <w:pStyle w:val="af1"/>
        <w:spacing w:line="276" w:lineRule="auto"/>
      </w:pPr>
      <w:r>
        <w:t xml:space="preserve">בראשיתו ר״מ בישיבת </w:t>
      </w:r>
      <w:proofErr w:type="spellStart"/>
      <w:r>
        <w:t>וואלאזשין</w:t>
      </w:r>
      <w:proofErr w:type="spellEnd"/>
    </w:p>
    <w:p w14:paraId="45FEF495" w14:textId="77777777" w:rsidR="00AB3647" w:rsidRDefault="00000000" w:rsidP="007923E9">
      <w:pPr>
        <w:pStyle w:val="af1"/>
        <w:spacing w:line="276" w:lineRule="auto"/>
      </w:pPr>
      <w:r>
        <w:t xml:space="preserve">ובאחריתו אב״ד </w:t>
      </w:r>
      <w:proofErr w:type="spellStart"/>
      <w:r>
        <w:t>בבריסק</w:t>
      </w:r>
      <w:proofErr w:type="spellEnd"/>
      <w:r>
        <w:t xml:space="preserve"> </w:t>
      </w:r>
      <w:proofErr w:type="spellStart"/>
      <w:r>
        <w:t>דליטא</w:t>
      </w:r>
      <w:proofErr w:type="spellEnd"/>
    </w:p>
    <w:p w14:paraId="60F9E0BA" w14:textId="77777777" w:rsidR="00AB3647" w:rsidRDefault="00000000" w:rsidP="007923E9">
      <w:pPr>
        <w:pStyle w:val="af1"/>
        <w:spacing w:line="276" w:lineRule="auto"/>
      </w:pPr>
      <w:r>
        <w:t>והשאיר אחריו ברכה בכתב יד</w:t>
      </w:r>
    </w:p>
    <w:p w14:paraId="6D2F2F49" w14:textId="77777777" w:rsidR="00AB3647" w:rsidRDefault="00000000" w:rsidP="007923E9">
      <w:pPr>
        <w:pStyle w:val="af1"/>
        <w:spacing w:line="276" w:lineRule="auto"/>
      </w:pPr>
      <w:r>
        <w:t>חיבור גדול על הרמב״ם שיראה אור</w:t>
      </w:r>
    </w:p>
    <w:p w14:paraId="4635FD0E" w14:textId="77777777" w:rsidR="00AB3647" w:rsidRDefault="00000000" w:rsidP="007923E9">
      <w:pPr>
        <w:pStyle w:val="af1"/>
        <w:spacing w:line="276" w:lineRule="auto"/>
      </w:pPr>
      <w:r>
        <w:lastRenderedPageBreak/>
        <w:t>כעמוד האש הפיץ אור חדש</w:t>
      </w:r>
    </w:p>
    <w:p w14:paraId="2039CD8A" w14:textId="77777777" w:rsidR="00AB3647" w:rsidRDefault="00000000" w:rsidP="007923E9">
      <w:pPr>
        <w:pStyle w:val="af1"/>
        <w:spacing w:line="276" w:lineRule="auto"/>
      </w:pPr>
      <w:r>
        <w:t>על דרכה של תורה וגילה לתלמידיו</w:t>
      </w:r>
    </w:p>
    <w:p w14:paraId="648EFD99" w14:textId="77777777" w:rsidR="00AB3647" w:rsidRDefault="00000000" w:rsidP="007923E9">
      <w:pPr>
        <w:pStyle w:val="af1"/>
        <w:spacing w:line="276" w:lineRule="auto"/>
      </w:pPr>
      <w:r>
        <w:t>דבריה כמו שהם שמחים כנתינתם מסיני</w:t>
      </w:r>
      <w:bookmarkStart w:id="6831" w:name="_fnr5224"/>
      <w:r>
        <w:rPr>
          <w:rStyle w:val="a5"/>
        </w:rPr>
        <w:footnoteReference w:id="5238" w:customMarkFollows="0"/>
      </w:r>
      <w:bookmarkEnd w:id="6831"/>
    </w:p>
    <w:p w14:paraId="5CA3C7F2" w14:textId="77777777" w:rsidR="00AB3647" w:rsidRDefault="00000000" w:rsidP="007923E9">
      <w:pPr>
        <w:pStyle w:val="af1"/>
        <w:spacing w:line="276" w:lineRule="auto"/>
      </w:pPr>
      <w:r>
        <w:t>נתבקש בישיבה של מעלה</w:t>
      </w:r>
    </w:p>
    <w:p w14:paraId="123A884D" w14:textId="77777777" w:rsidR="00AB3647" w:rsidRDefault="00000000" w:rsidP="007923E9">
      <w:pPr>
        <w:pStyle w:val="af1"/>
        <w:spacing w:line="276" w:lineRule="auto"/>
      </w:pPr>
      <w:r>
        <w:t>ביום כ״א מנחם אב שנת תרע״ח</w:t>
      </w:r>
    </w:p>
    <w:p w14:paraId="6A8BAF56" w14:textId="77777777" w:rsidR="00AB3647" w:rsidRDefault="00000000" w:rsidP="007923E9">
      <w:pPr>
        <w:pStyle w:val="af1"/>
        <w:spacing w:line="276" w:lineRule="auto"/>
      </w:pPr>
      <w:r>
        <w:t xml:space="preserve">כי בא השמש לפ״ק </w:t>
      </w:r>
      <w:proofErr w:type="spellStart"/>
      <w:r>
        <w:t>באטוואצק</w:t>
      </w:r>
      <w:bookmarkStart w:id="6832" w:name="_fnr5225"/>
      <w:proofErr w:type="spellEnd"/>
      <w:r>
        <w:rPr>
          <w:rStyle w:val="a5"/>
        </w:rPr>
        <w:footnoteReference w:id="5239" w:customMarkFollows="0"/>
      </w:r>
      <w:bookmarkEnd w:id="6832"/>
    </w:p>
    <w:p w14:paraId="0BD26D62" w14:textId="77777777" w:rsidR="00AB3647" w:rsidRDefault="00000000" w:rsidP="007923E9">
      <w:pPr>
        <w:pStyle w:val="af1"/>
        <w:spacing w:line="276" w:lineRule="auto"/>
      </w:pPr>
      <w:r>
        <w:t>ת נ צ ב ” ה</w:t>
      </w:r>
    </w:p>
    <w:p w14:paraId="22BAF4BD" w14:textId="77777777" w:rsidR="00AB3647" w:rsidRDefault="00000000" w:rsidP="007923E9">
      <w:pPr>
        <w:spacing w:after="120" w:line="276" w:lineRule="auto"/>
        <w:ind w:firstLine="283"/>
        <w:jc w:val="both"/>
      </w:pPr>
      <w:r>
        <w:rPr>
          <w:rtl/>
        </w:rPr>
        <w:t xml:space="preserve">ר׳ חיים קבור באוהל, וקברו סמוך לקבר </w:t>
      </w:r>
      <w:proofErr w:type="spellStart"/>
      <w:r>
        <w:rPr>
          <w:rtl/>
        </w:rPr>
        <w:t>הנצי״ב</w:t>
      </w:r>
      <w:proofErr w:type="spellEnd"/>
      <w:r>
        <w:rPr>
          <w:rtl/>
        </w:rPr>
        <w:t xml:space="preserve">. מצבותיהם האופקיות צמודות זו לזו, בלי שום הפרדה ביניהן. בראש המצבה הכפולה עומד לוח אנכי משותף, ושורתו הראשונה אומרת: “אהל משפחת ראשי ישיבת ‘עץ חיים’ </w:t>
      </w:r>
      <w:proofErr w:type="spellStart"/>
      <w:r>
        <w:rPr>
          <w:rtl/>
        </w:rPr>
        <w:t>דוואלאזשין</w:t>
      </w:r>
      <w:proofErr w:type="spellEnd"/>
      <w:r>
        <w:rPr>
          <w:rtl/>
        </w:rPr>
        <w:t xml:space="preserve">”. מתחת לכתובת זו מחלק קו אמצעי את שאר הלוח לשני חלקים. בראש הצד הימני ארבע שורות: “רבנו הרב חיים הלוי זצ״ל </w:t>
      </w:r>
      <w:proofErr w:type="spellStart"/>
      <w:r>
        <w:rPr>
          <w:rtl/>
        </w:rPr>
        <w:t>סאלאווייציק</w:t>
      </w:r>
      <w:proofErr w:type="spellEnd"/>
      <w:r>
        <w:rPr>
          <w:rtl/>
        </w:rPr>
        <w:t xml:space="preserve"> </w:t>
      </w:r>
      <w:proofErr w:type="spellStart"/>
      <w:r>
        <w:rPr>
          <w:rtl/>
        </w:rPr>
        <w:t>האב״ד</w:t>
      </w:r>
      <w:proofErr w:type="spellEnd"/>
      <w:r>
        <w:rPr>
          <w:rtl/>
        </w:rPr>
        <w:t xml:space="preserve"> </w:t>
      </w:r>
      <w:proofErr w:type="spellStart"/>
      <w:r>
        <w:rPr>
          <w:rtl/>
        </w:rPr>
        <w:t>בבריסק</w:t>
      </w:r>
      <w:proofErr w:type="spellEnd"/>
      <w:r>
        <w:rPr>
          <w:rtl/>
        </w:rPr>
        <w:t xml:space="preserve"> </w:t>
      </w:r>
      <w:proofErr w:type="spellStart"/>
      <w:r>
        <w:rPr>
          <w:rtl/>
        </w:rPr>
        <w:t>דליטא</w:t>
      </w:r>
      <w:proofErr w:type="spellEnd"/>
      <w:r>
        <w:rPr>
          <w:rtl/>
        </w:rPr>
        <w:t xml:space="preserve">”, ובראש הצד השמאלי מספר שורות זהה: “רבנו הרב נפתלי צבי יהודה ברלין זצ״ל </w:t>
      </w:r>
      <w:proofErr w:type="spellStart"/>
      <w:r>
        <w:rPr>
          <w:rtl/>
        </w:rPr>
        <w:t>הנצי״ב</w:t>
      </w:r>
      <w:proofErr w:type="spellEnd"/>
      <w:r>
        <w:rPr>
          <w:rtl/>
        </w:rPr>
        <w:t xml:space="preserve"> </w:t>
      </w:r>
      <w:proofErr w:type="spellStart"/>
      <w:r>
        <w:rPr>
          <w:rtl/>
        </w:rPr>
        <w:t>מוואלאזשין</w:t>
      </w:r>
      <w:proofErr w:type="spellEnd"/>
      <w:r>
        <w:rPr>
          <w:rtl/>
        </w:rPr>
        <w:t>”.</w:t>
      </w:r>
    </w:p>
    <w:p w14:paraId="794BA99C" w14:textId="77777777" w:rsidR="00AB3647" w:rsidRDefault="00000000" w:rsidP="007923E9">
      <w:pPr>
        <w:spacing w:after="120" w:line="276" w:lineRule="auto"/>
        <w:ind w:firstLine="283"/>
        <w:jc w:val="both"/>
      </w:pPr>
      <w:r>
        <w:rPr>
          <w:rtl/>
        </w:rPr>
        <w:t xml:space="preserve">כשציווה ר׳ חיים על נוסח המצבה בן שלוש המילים, “איש חסד היה”, לא יכול היה לדעת שההשגחה תביאו </w:t>
      </w:r>
      <w:proofErr w:type="spellStart"/>
      <w:r>
        <w:rPr>
          <w:rtl/>
        </w:rPr>
        <w:t>לאוטבוצק</w:t>
      </w:r>
      <w:proofErr w:type="spellEnd"/>
      <w:r>
        <w:rPr>
          <w:rtl/>
        </w:rPr>
        <w:t xml:space="preserve"> שליד ורשה, ושם ימות, ושייקבר באוהל לצד </w:t>
      </w:r>
      <w:proofErr w:type="spellStart"/>
      <w:r>
        <w:rPr>
          <w:rtl/>
        </w:rPr>
        <w:t>הנצי״ב</w:t>
      </w:r>
      <w:proofErr w:type="spellEnd"/>
      <w:r>
        <w:rPr>
          <w:rtl/>
        </w:rPr>
        <w:t xml:space="preserve"> (מכוח פסק מיוחד, כפי שסופר לעיל, עמ׳ </w:t>
      </w:r>
      <w:r>
        <w:rPr>
          <w:rtl/>
        </w:rPr>
        <w:fldChar w:fldCharType="begin" w:dirty="true"/>
      </w:r>
      <w:r>
        <w:rPr>
          <w:rtl/>
        </w:rPr>
        <w:instrText xml:space="preserve"> PAGEREF pr_b_2480 \h </w:instrText>
      </w:r>
      <w:r>
        <w:rPr>
          <w:rtl/>
        </w:rPr>
      </w:r>
      <w:r>
        <w:rPr>
          <w:rtl/>
        </w:rPr>
        <w:fldChar w:fldCharType="separate"/>
      </w:r>
      <w:r w:rsidR="007923E9">
        <w:rPr>
          <w:noProof/>
          <w:rtl/>
        </w:rPr>
        <w:t>1</w:t>
      </w:r>
      <w:r>
        <w:rPr>
          <w:rtl/>
        </w:rPr>
        <w:fldChar w:fldCharType="end"/>
      </w:r>
      <w:r>
        <w:rPr>
          <w:rtl/>
        </w:rPr>
        <w:t xml:space="preserve">). ייתכן שהאדם שרבנו האשים בהרחבת הנוסח שציווה ר׳ חיים סבר שיהיה זה ביזיון </w:t>
      </w:r>
      <w:proofErr w:type="spellStart"/>
      <w:r>
        <w:rPr>
          <w:rtl/>
        </w:rPr>
        <w:t>לר</w:t>
      </w:r>
      <w:proofErr w:type="spellEnd"/>
      <w:r>
        <w:rPr>
          <w:rtl/>
        </w:rPr>
        <w:t xml:space="preserve">׳ חיים להיות מונצח בשלוש מילים, בשעה </w:t>
      </w:r>
      <w:proofErr w:type="spellStart"/>
      <w:r>
        <w:rPr>
          <w:rtl/>
        </w:rPr>
        <w:t>שהנצי״ב</w:t>
      </w:r>
      <w:proofErr w:type="spellEnd"/>
      <w:r>
        <w:rPr>
          <w:rtl/>
        </w:rPr>
        <w:t xml:space="preserve"> זוכה, כמעט על אותה מצבה, לשבחים מפורטים. בדומה לכך, אך בכיוון ההפוך, הורה ר׳ שמואל </w:t>
      </w:r>
      <w:proofErr w:type="spellStart"/>
      <w:r>
        <w:rPr>
          <w:rtl/>
        </w:rPr>
        <w:t>סלנט</w:t>
      </w:r>
      <w:proofErr w:type="spellEnd"/>
      <w:r>
        <w:rPr>
          <w:rtl/>
        </w:rPr>
        <w:t>, רבה של ירושלים, לחקוק על מצבתו רק את שמו</w:t>
      </w:r>
      <w:bookmarkStart w:id="6833" w:name="_fnr5226"/>
      <w:r>
        <w:rPr>
          <w:rStyle w:val="a5"/>
        </w:rPr>
        <w:footnoteReference w:id="5240" w:customMarkFollows="0"/>
      </w:r>
      <w:bookmarkEnd w:id="6833"/>
      <w:r>
        <w:rPr>
          <w:rtl/>
        </w:rPr>
        <w:t xml:space="preserve"> – מן הסתם מפני שמקום קברו היה שמור במשך למעלה מארבעים שנה לצד קבר חותנו, ר׳ </w:t>
      </w:r>
      <w:proofErr w:type="spellStart"/>
      <w:r>
        <w:rPr>
          <w:rtl/>
        </w:rPr>
        <w:t>יוסף־זונדל</w:t>
      </w:r>
      <w:proofErr w:type="spellEnd"/>
      <w:r>
        <w:rPr>
          <w:rtl/>
        </w:rPr>
        <w:t>, שעל מצבתו נחקק שמו בלבד. מכל מקום, ייתכן שרבנו לא ידע היכן נמצאת מצבת ר׳ חיים כשהביע את תרעומתו על מי ששינה את הנוסח.</w:t>
      </w:r>
    </w:p>
    <w:p w14:paraId="66B6B34A" w14:textId="77777777" w:rsidR="00AB3647" w:rsidRDefault="00000000" w:rsidP="007923E9">
      <w:pPr>
        <w:spacing w:after="120" w:line="276" w:lineRule="auto"/>
        <w:ind w:firstLine="283"/>
        <w:jc w:val="both"/>
      </w:pPr>
      <w:r>
        <w:rPr>
          <w:rtl/>
        </w:rPr>
        <w:t xml:space="preserve">אפשר שהמילים “רב החסד” הוקדמו בכתובת (ולמילה שאחריהן, “שר”, לא נוספה </w:t>
      </w:r>
      <w:proofErr w:type="spellStart"/>
      <w:r>
        <w:rPr>
          <w:rtl/>
        </w:rPr>
        <w:t>וא״ו</w:t>
      </w:r>
      <w:proofErr w:type="spellEnd"/>
      <w:r>
        <w:rPr>
          <w:rtl/>
        </w:rPr>
        <w:t xml:space="preserve"> החיבור) – במקום הנוסח הצפוי, “שר התורה ורב החסד”, שבו התורה קודמת לחסד</w:t>
      </w:r>
      <w:bookmarkStart w:id="6834" w:name="_fnr5227"/>
      <w:r>
        <w:rPr>
          <w:rStyle w:val="a5"/>
        </w:rPr>
        <w:footnoteReference w:id="5241" w:customMarkFollows="0"/>
      </w:r>
      <w:bookmarkEnd w:id="6834"/>
      <w:r>
        <w:rPr>
          <w:rtl/>
        </w:rPr>
        <w:t xml:space="preserve"> – מפני שרצונו של ר׳ חיים היה שרק מידת חסדו תונצח על מצבתו. “הרב”</w:t>
      </w:r>
      <w:bookmarkStart w:id="6835" w:name="_fnr5228"/>
      <w:r>
        <w:rPr>
          <w:rStyle w:val="a5"/>
        </w:rPr>
        <w:footnoteReference w:id="5242" w:customMarkFollows="0"/>
      </w:r>
      <w:bookmarkEnd w:id="6835"/>
      <w:r>
        <w:rPr>
          <w:rtl/>
        </w:rPr>
        <w:t xml:space="preserve"> מצטט את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שאביו נשאל בעניין הכתובת </w:t>
      </w:r>
      <w:proofErr w:type="spellStart"/>
      <w:r>
        <w:rPr>
          <w:rtl/>
        </w:rPr>
        <w:t>ו“עמד</w:t>
      </w:r>
      <w:proofErr w:type="spellEnd"/>
      <w:r>
        <w:rPr>
          <w:rtl/>
        </w:rPr>
        <w:t xml:space="preserve"> על כך שהתואר העיקרי יהיה ‘רב החסד’”</w:t>
      </w:r>
      <w:bookmarkStart w:id="6836" w:name="_fnr5229"/>
      <w:r>
        <w:rPr>
          <w:rStyle w:val="a5"/>
        </w:rPr>
        <w:footnoteReference w:id="5243" w:customMarkFollows="0"/>
      </w:r>
      <w:bookmarkEnd w:id="6836"/>
      <w:r>
        <w:rPr>
          <w:rtl/>
        </w:rPr>
        <w:t>.</w:t>
      </w:r>
    </w:p>
    <w:p w14:paraId="0A091433" w14:textId="77777777" w:rsidR="00AB3647" w:rsidRDefault="00000000" w:rsidP="007923E9">
      <w:pPr>
        <w:spacing w:after="120" w:line="276" w:lineRule="auto"/>
        <w:ind w:firstLine="283"/>
        <w:jc w:val="both"/>
      </w:pPr>
      <w:r>
        <w:rPr>
          <w:rtl/>
        </w:rPr>
        <w:lastRenderedPageBreak/>
        <w:t>בעניין הכיתוב “רב החסד”, צוטט ר׳ שאול רוט</w:t>
      </w:r>
      <w:bookmarkStart w:id="6837" w:name="_fnr5230"/>
      <w:r>
        <w:rPr>
          <w:rStyle w:val="a5"/>
        </w:rPr>
        <w:footnoteReference w:id="5244" w:customMarkFollows="0"/>
      </w:r>
      <w:bookmarkEnd w:id="6837"/>
      <w:r>
        <w:rPr>
          <w:rtl/>
        </w:rPr>
        <w:t xml:space="preserve"> בשם רבו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“ר׳ חיים כונה על מצבתו ‘רב החסד’, מפני שהכניס </w:t>
      </w:r>
      <w:proofErr w:type="spellStart"/>
      <w:r>
        <w:rPr>
          <w:rtl/>
        </w:rPr>
        <w:t>לפסקיו</w:t>
      </w:r>
      <w:proofErr w:type="spellEnd"/>
      <w:r>
        <w:rPr>
          <w:rtl/>
        </w:rPr>
        <w:t xml:space="preserve"> ההלכתיים את מידת החסד”. התכתבות מאוחרת יותר עם ר׳ שאול רוט העלתה שדבריו המדויקים של ר׳ </w:t>
      </w:r>
      <w:proofErr w:type="spellStart"/>
      <w:r>
        <w:rPr>
          <w:rtl/>
        </w:rPr>
        <w:t xml:space="preserve">יוסף־דב</w:t>
      </w:r>
      <w:proofErr w:type="spellEnd"/>
      <w:r>
        <w:rPr>
          <w:rtl/>
        </w:rPr>
        <w:t xml:space="preserve"> היו: “מלבד הזמן הרב להפליא שהקדיש לעזרה לאלמנות וליתומים, הכניס ר׳ חיים </w:t>
      </w:r>
      <w:proofErr w:type="spellStart"/>
      <w:r>
        <w:rPr>
          <w:rtl/>
        </w:rPr>
        <w:t>לפסקיו</w:t>
      </w:r>
      <w:proofErr w:type="spellEnd"/>
      <w:r>
        <w:rPr>
          <w:rtl/>
        </w:rPr>
        <w:t xml:space="preserve"> ההלכתיים” </w:t>
      </w:r>
      <w:proofErr w:type="spellStart"/>
      <w:r>
        <w:rPr>
          <w:rtl/>
        </w:rPr>
        <w:t>וכו</w:t>
      </w:r>
      <w:proofErr w:type="spellEnd"/>
      <w:r>
        <w:rPr>
          <w:rtl/>
        </w:rPr>
        <w:t>׳.</w:t>
      </w:r>
    </w:p>
    <w:p w14:paraId="195894BD" w14:textId="77777777" w:rsidR="00AB3647" w:rsidRDefault="00000000" w:rsidP="007923E9">
      <w:pPr>
        <w:spacing w:after="120" w:line="276" w:lineRule="auto"/>
        <w:ind w:firstLine="283"/>
        <w:jc w:val="both"/>
      </w:pPr>
      <w:r>
        <w:rPr>
          <w:rtl/>
        </w:rPr>
        <w:t>נראה שפירוש זה לכתובת מבוסס על הבנת הביטוי “רב החסד” במשמעות “הרב של [בעל] חסד” – קריאה בלתי רגילה ובלתי מסתברת. יתר על כן, אם נניח שהכיתוב “רב החסד” נוסח על יסוד תיאורו העצמי של ר׳ חיים בצוואתו, “איש חסד היה” – שבלי המילה “רב” ודאי לא היה בו קשר (הכרחי) לפסקי הלכה – נעשה פירוש זה חסר בסיס. המילה “רב” משמשת בכתובת לא כשם עצם בסמיכות, במשמעות “רב של”, אלא כשם תואר פשוט, במשמעות “מרובה”</w:t>
      </w:r>
      <w:bookmarkStart w:id="6838" w:name="_fnr5231"/>
      <w:r>
        <w:rPr>
          <w:rStyle w:val="a5"/>
        </w:rPr>
        <w:footnoteReference w:id="5245" w:customMarkFollows="0"/>
      </w:r>
      <w:bookmarkEnd w:id="6838"/>
      <w:r>
        <w:rPr>
          <w:rtl/>
        </w:rPr>
        <w:t xml:space="preserve">. במקום הנוסח הפשוט “איש חסד” שבצוואת ר׳ חיים נכתב “רב החסד”, שמשמעו למעשה “מרובה בחסד” (למרות חוסר הדיוק של שם התואר, שבני </w:t>
      </w:r>
      <w:proofErr w:type="spellStart"/>
      <w:r>
        <w:rPr>
          <w:rtl/>
        </w:rPr>
        <w:t>בריסק</w:t>
      </w:r>
      <w:proofErr w:type="spellEnd"/>
      <w:r>
        <w:rPr>
          <w:rtl/>
        </w:rPr>
        <w:t xml:space="preserve"> היו נמנעים ממנו בדרך כלל</w:t>
      </w:r>
      <w:bookmarkStart w:id="6839" w:name="_fnr5232"/>
      <w:r>
        <w:rPr>
          <w:rStyle w:val="a5"/>
        </w:rPr>
        <w:footnoteReference w:id="5246" w:customMarkFollows="0"/>
      </w:r>
      <w:bookmarkEnd w:id="6839"/>
      <w:r>
        <w:rPr>
          <w:rtl/>
        </w:rPr>
        <w:t>). שימוש זה נכפה על מחבר נוסח המצבה כמשקל נגד הולם לתואר הסמוך, “שר התורה”, שמצד עצמו היה ראוי להקדים.</w:t>
      </w:r>
    </w:p>
    <w:p w14:paraId="764ED094" w14:textId="77777777" w:rsidR="00AB3647" w:rsidRDefault="00000000" w:rsidP="007923E9">
      <w:pPr>
        <w:spacing w:after="120" w:line="276" w:lineRule="auto"/>
        <w:ind w:firstLine="283"/>
        <w:jc w:val="both"/>
      </w:pPr>
      <w:r>
        <w:rPr>
          <w:rtl/>
        </w:rPr>
        <w:t xml:space="preserve">באשר לתפיסתו של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בדבר תפקידה של “מידת החסד” בפסקי ר׳ חיים, מצאתי שאחיו ר׳ אהרן </w:t>
      </w:r>
      <w:proofErr w:type="spellStart"/>
      <w:r>
        <w:rPr>
          <w:rtl/>
        </w:rPr>
        <w:t>סולובייצ׳יק</w:t>
      </w:r>
      <w:bookmarkStart w:id="6840" w:name="_fnr5233"/>
      <w:proofErr w:type="spellEnd"/>
      <w:r>
        <w:rPr>
          <w:rStyle w:val="a5"/>
        </w:rPr>
        <w:footnoteReference w:id="5247" w:customMarkFollows="0"/>
      </w:r>
      <w:bookmarkEnd w:id="6840"/>
      <w:r>
        <w:rPr>
          <w:rtl/>
        </w:rPr>
        <w:t xml:space="preserve"> הסכים להשקפה זו על פסיקת ההלכה. השקפה זו נראית לכאורה פרדוקסלית – שהרי כיצד יכולים כללי ההלכה המוצקים להיות מושפעים מרגשות של השתתפות בצער? ואף על פי כן אמר ר׳ אהרן: “הכרעתו של ר׳ חיים נגד פסיקת </w:t>
      </w:r>
      <w:proofErr w:type="spellStart"/>
      <w:r>
        <w:rPr>
          <w:rtl/>
        </w:rPr>
        <w:t>ה‘משנה</w:t>
      </w:r>
      <w:proofErr w:type="spellEnd"/>
      <w:r>
        <w:rPr>
          <w:rtl/>
        </w:rPr>
        <w:t xml:space="preserve"> ברורה’ בנוגע למה שמותר לעשות למען חולה שיש בו סכנה</w:t>
      </w:r>
      <w:bookmarkStart w:id="6841" w:name="_fnr5234"/>
      <w:r>
        <w:rPr>
          <w:rStyle w:val="a5"/>
        </w:rPr>
        <w:footnoteReference w:id="5248" w:customMarkFollows="0"/>
      </w:r>
      <w:bookmarkEnd w:id="6841"/>
      <w:r>
        <w:rPr>
          <w:rtl/>
        </w:rPr>
        <w:t xml:space="preserve"> הייתה מבוססת על מידת החסד”.</w:t>
      </w:r>
    </w:p>
    <w:p w14:paraId="48A4A744" w14:textId="28E2C29D" w:rsidR="00AB3647" w:rsidRDefault="00000000" w:rsidP="007923E9">
      <w:pPr>
        <w:spacing w:after="120" w:line="276" w:lineRule="auto"/>
        <w:ind w:firstLine="283"/>
        <w:jc w:val="both"/>
      </w:pPr>
      <w:r>
        <w:rPr>
          <w:rtl/>
        </w:rPr>
        <w:t xml:space="preserve">הסיפור ביעקב מארק המצוטט בראש </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להלן, שמראה שר׳ חיים לא הקל לצורך בריאותו שלו אלא רק לצורכי אחרים, תומך אף הוא בהשערתם של נכדי ר׳ חיים. אולם </w:t>
      </w:r>
      <w:proofErr w:type="spellStart"/>
      <w:r>
        <w:rPr>
          <w:rtl/>
        </w:rPr>
        <w:t>ב“איש</w:t>
      </w:r>
      <w:proofErr w:type="spellEnd"/>
      <w:r>
        <w:rPr>
          <w:rtl/>
        </w:rPr>
        <w:t xml:space="preserve"> ההלכה”</w:t>
      </w:r>
      <w:bookmarkStart w:id="6842" w:name="_fnr5235"/>
      <w:r>
        <w:rPr>
          <w:rStyle w:val="a5"/>
        </w:rPr>
        <w:footnoteReference w:id="5249" w:customMarkFollows="0"/>
      </w:r>
      <w:bookmarkEnd w:id="6842"/>
      <w:r>
        <w:rPr>
          <w:rtl/>
        </w:rPr>
        <w:t xml:space="preserve">, שבו דן ר׳ </w:t>
      </w:r>
      <w:proofErr w:type="spellStart"/>
      <w:r>
        <w:rPr>
          <w:rtl/>
        </w:rPr>
        <w:t xml:space="preserve">יוסף־דב</w:t>
      </w:r>
      <w:proofErr w:type="spellEnd"/>
      <w:r>
        <w:rPr>
          <w:rtl/>
        </w:rPr>
        <w:t xml:space="preserve"> בחידוש של ר׳ חיים בעניין הדאגה לבריאות ובדרכו לעשות משפט בלי מורא, אין שום רמז להשפעת “מידת החסד” על ההלכה הצרופה. השווה גם “הרב”</w:t>
      </w:r>
      <w:bookmarkStart w:id="6843" w:name="_fnr5236"/>
      <w:r>
        <w:rPr>
          <w:rStyle w:val="a5"/>
        </w:rPr>
        <w:footnoteReference w:id="5250" w:customMarkFollows="0"/>
      </w:r>
      <w:bookmarkEnd w:id="6843"/>
      <w:r>
        <w:rPr>
          <w:rtl/>
        </w:rPr>
        <w:t xml:space="preserve">: שם מצטט ר׳ </w:t>
      </w:r>
      <w:proofErr w:type="spellStart"/>
      <w:r>
        <w:rPr>
          <w:rtl/>
        </w:rPr>
        <w:t xml:space="preserve">יוסף־דב</w:t>
      </w:r>
      <w:proofErr w:type="spellEnd"/>
      <w:r>
        <w:rPr>
          <w:rtl/>
        </w:rPr>
        <w:t xml:space="preserve"> את אביו, שבכל השנים שכיהן ר׳ חיים </w:t>
      </w:r>
      <w:proofErr w:type="spellStart"/>
      <w:r>
        <w:rPr>
          <w:rtl/>
        </w:rPr>
        <w:t>בבריסק</w:t>
      </w:r>
      <w:bookmarkStart w:id="6844" w:name="_fnr5237"/>
      <w:proofErr w:type="spellEnd"/>
      <w:r>
        <w:rPr>
          <w:rStyle w:val="a5"/>
        </w:rPr>
        <w:footnoteReference w:id="5251" w:customMarkFollows="0"/>
      </w:r>
      <w:bookmarkEnd w:id="6844"/>
      <w:r>
        <w:rPr>
          <w:rtl/>
        </w:rPr>
        <w:t xml:space="preserve"> הייתה כל </w:t>
      </w:r>
      <w:r>
        <w:rPr>
          <w:rtl/>
        </w:rPr>
        <w:lastRenderedPageBreak/>
        <w:t xml:space="preserve">הכרעה שלו במחלוקת או בדין תורה מבוססת לא על שורת הדין אלא על פשרה. גישה זו לפסיקה בענייני “בין אדם </w:t>
      </w:r>
      <w:proofErr w:type="spellStart"/>
      <w:r>
        <w:rPr>
          <w:rtl/>
        </w:rPr>
        <w:t>לחבירו</w:t>
      </w:r>
      <w:proofErr w:type="spellEnd"/>
      <w:r>
        <w:rPr>
          <w:rtl/>
        </w:rPr>
        <w:t>” אפשר לכנות “מידת החסד”, גם אם בדרך רחוקה.</w:t>
      </w:r>
    </w:p>
    <w:p w14:paraId="6FB1ABF3" w14:textId="77777777" w:rsidR="00AB3647" w:rsidRDefault="00000000" w:rsidP="007923E9">
      <w:pPr>
        <w:spacing w:after="120" w:line="276" w:lineRule="auto"/>
        <w:ind w:firstLine="283"/>
        <w:jc w:val="both"/>
      </w:pPr>
      <w:r>
        <w:rPr>
          <w:rtl/>
        </w:rPr>
        <w:t>“ירחי כלה”</w:t>
      </w:r>
      <w:bookmarkStart w:id="6845" w:name="_fnr5238"/>
      <w:r>
        <w:rPr>
          <w:rStyle w:val="a5"/>
        </w:rPr>
        <w:footnoteReference w:id="5252" w:customMarkFollows="0"/>
      </w:r>
      <w:bookmarkEnd w:id="6845"/>
      <w:r>
        <w:rPr>
          <w:rtl/>
        </w:rPr>
        <w:t xml:space="preserve"> מספר: “סיפר לי ר׳ רפאל קוק ששמע מר׳ מאיר ברלין, שלקראת מאמר שתכנן לכתוב על ‘תפקיד הרב בזמננו’ נסע אל סבו ר׳ </w:t>
      </w:r>
      <w:proofErr w:type="spellStart"/>
      <w:r>
        <w:rPr>
          <w:rtl/>
        </w:rPr>
        <w:t>יחיאל־מיכל</w:t>
      </w:r>
      <w:proofErr w:type="spellEnd"/>
      <w:r>
        <w:rPr>
          <w:rtl/>
        </w:rPr>
        <w:t xml:space="preserve"> אפשטיין, רבה של </w:t>
      </w:r>
      <w:proofErr w:type="spellStart"/>
      <w:r>
        <w:rPr>
          <w:rtl/>
        </w:rPr>
        <w:t>נובהרדוק</w:t>
      </w:r>
      <w:proofErr w:type="spellEnd"/>
      <w:r>
        <w:rPr>
          <w:rtl/>
        </w:rPr>
        <w:t xml:space="preserve">, שסבר שתפקיד הרב הוא לפסוק באיסור והיתר. משם נסע </w:t>
      </w:r>
      <w:proofErr w:type="spellStart"/>
      <w:r>
        <w:rPr>
          <w:rtl/>
        </w:rPr>
        <w:t>לבריסק</w:t>
      </w:r>
      <w:proofErr w:type="spellEnd"/>
      <w:r>
        <w:rPr>
          <w:rtl/>
        </w:rPr>
        <w:t xml:space="preserve"> ושאל את דעת ר׳ חיים בעניין. הוא השיב: א: על הרב לדאוג שילדים שנולדו שלא בנישואין, הנקראים [בפי העם] ממזרים, לא ייפלו, חס וחלילה, בחיקה של הכנסייה הנוצרית; על הרב מוטל לשכור מינקות ומטפלות כדי שיגדלו את הילדים כיהודים. הוא סיפר אגב כך שמסר לאחרונה שיעור בבית המדרש, ואחד </w:t>
      </w:r>
      <w:proofErr w:type="spellStart"/>
      <w:r>
        <w:rPr>
          <w:rtl/>
        </w:rPr>
        <w:t>מ‘ממזריו</w:t>
      </w:r>
      <w:proofErr w:type="spellEnd"/>
      <w:r>
        <w:rPr>
          <w:rtl/>
        </w:rPr>
        <w:t>’ קפץ ושאל שאלה מפליאה; ר׳ חיים שמח ואמר: ‘אני מודה לה׳ שזכיתי לגדל “ממזר תלמיד חכם קודם לכהן גדול עם הארץ”‘</w:t>
      </w:r>
      <w:bookmarkStart w:id="6846" w:name="_fnr5239"/>
      <w:r>
        <w:rPr>
          <w:rStyle w:val="a5"/>
        </w:rPr>
        <w:footnoteReference w:id="5253" w:customMarkFollows="0"/>
      </w:r>
      <w:bookmarkEnd w:id="6846"/>
      <w:r>
        <w:rPr>
          <w:rtl/>
        </w:rPr>
        <w:t>.</w:t>
      </w:r>
    </w:p>
    <w:p w14:paraId="0E1E77BA" w14:textId="77777777" w:rsidR="00AB3647" w:rsidRDefault="00000000" w:rsidP="007923E9">
      <w:pPr>
        <w:spacing w:after="120" w:line="276" w:lineRule="auto"/>
        <w:ind w:firstLine="283"/>
        <w:jc w:val="both"/>
      </w:pPr>
      <w:r>
        <w:rPr>
          <w:rtl/>
        </w:rPr>
        <w:t xml:space="preserve">ב: על הרב לדאוג שייבחרו מדי שנה גבאים חדשים לקופות </w:t>
      </w:r>
      <w:proofErr w:type="spellStart"/>
      <w:r>
        <w:rPr>
          <w:rtl/>
        </w:rPr>
        <w:t>הגמ״ח</w:t>
      </w:r>
      <w:proofErr w:type="spellEnd"/>
      <w:r>
        <w:rPr>
          <w:rtl/>
        </w:rPr>
        <w:t xml:space="preserve"> של חברות הצדקה, כדי שכאשר יבוא עני ללוות, לא יאמר לו הגבאי: ‘אבל כבר לקחת הלוואה בשנה שעברה’. ועל הרב לדאוג שהגבאים יהיו אנשי אמת ויראי שמים”. “איש ההלכה”</w:t>
      </w:r>
      <w:bookmarkStart w:id="6847" w:name="_fnr5240"/>
      <w:r>
        <w:rPr>
          <w:rStyle w:val="a5"/>
        </w:rPr>
        <w:footnoteReference w:id="5254" w:customMarkFollows="0"/>
      </w:r>
      <w:bookmarkEnd w:id="6847"/>
      <w:r>
        <w:rPr>
          <w:rtl/>
        </w:rPr>
        <w:t xml:space="preserve"> מספר – כנראה על אותו מעשה – שר׳ חיים השיב לשאלתו של ר׳ מאיר ברלין מהו תפקידו של רב, לא בפרטים אלא בכללים: על הרב לעמוד נגד הפגיעה בגלמודים ובעזובים, לשמור על כבוד העניים ולהציל את העשוקים מיד </w:t>
      </w:r>
      <w:proofErr w:type="spellStart"/>
      <w:r>
        <w:rPr>
          <w:rtl/>
        </w:rPr>
        <w:t>עושקיהם</w:t>
      </w:r>
      <w:proofErr w:type="spellEnd"/>
      <w:r>
        <w:rPr>
          <w:rtl/>
        </w:rPr>
        <w:t>.</w:t>
      </w:r>
    </w:p>
    <w:p w14:paraId="41E3C428" w14:textId="77777777" w:rsidR="00AB3647" w:rsidRDefault="00000000" w:rsidP="007923E9">
      <w:pPr>
        <w:spacing w:after="120" w:line="276" w:lineRule="auto"/>
        <w:ind w:firstLine="283"/>
        <w:jc w:val="both"/>
      </w:pPr>
      <w:r>
        <w:rPr>
          <w:rtl/>
        </w:rPr>
        <w:t>אגב הנקודה האחרונה מבין השלוש, מתעד יעקב מארק</w:t>
      </w:r>
      <w:bookmarkStart w:id="6848" w:name="_fnr5241"/>
      <w:r>
        <w:rPr>
          <w:rStyle w:val="a5"/>
        </w:rPr>
        <w:footnoteReference w:id="5255" w:customMarkFollows="0"/>
      </w:r>
      <w:bookmarkEnd w:id="6848"/>
      <w:r>
        <w:rPr>
          <w:rtl/>
        </w:rPr>
        <w:t xml:space="preserve"> חילופי דברים מעניינים בינו לבין ר׳ חיים, במעשה הבא: “לעיתים קרובות היה מגלה אהבה רבה כלפיי, ופעם אמרתי לו בצחוק: ‘מן החיבה שאתה רוחש לי אני רואה שאינך מחשיב אותי לעשיר – שהרי אני יודע עד כמה אתה שונא את העשירים’. ר׳ חיים השיב שהוא שונא רק את מי שעשו את כספם בעסקים שאינם כשרים, במרמה, בניצול וכדומה. ‘אבל הרובל שלך הוא רובל כשר בהחלט’.”</w:t>
      </w:r>
    </w:p>
    <w:p w14:paraId="59E9051A" w14:textId="77777777" w:rsidR="00AB3647" w:rsidRDefault="00000000" w:rsidP="007923E9">
      <w:pPr>
        <w:spacing w:after="120" w:line="276" w:lineRule="auto"/>
        <w:ind w:firstLine="283"/>
        <w:jc w:val="both"/>
      </w:pPr>
      <w:r>
        <w:rPr>
          <w:rtl/>
        </w:rPr>
        <w:t>ר׳ שלמה אשכנזי סיפר</w:t>
      </w:r>
      <w:bookmarkStart w:id="6849" w:name="_fnr5242"/>
      <w:r>
        <w:rPr>
          <w:rStyle w:val="a5"/>
        </w:rPr>
        <w:footnoteReference w:id="5256" w:customMarkFollows="0"/>
      </w:r>
      <w:bookmarkEnd w:id="6849"/>
      <w:r>
        <w:rPr>
          <w:rtl/>
        </w:rPr>
        <w:t xml:space="preserve"> שר׳ שמואל </w:t>
      </w:r>
      <w:proofErr w:type="spellStart"/>
      <w:r>
        <w:rPr>
          <w:rtl/>
        </w:rPr>
        <w:t>סולובייצ׳יק</w:t>
      </w:r>
      <w:proofErr w:type="spellEnd"/>
      <w:r>
        <w:rPr>
          <w:rtl/>
        </w:rPr>
        <w:t xml:space="preserve">, אחיו של מחבר “איש ההלכה”, אמר </w:t>
      </w:r>
      <w:proofErr w:type="spellStart"/>
      <w:r>
        <w:rPr>
          <w:rtl/>
        </w:rPr>
        <w:t>לר</w:t>
      </w:r>
      <w:proofErr w:type="spellEnd"/>
      <w:r>
        <w:rPr>
          <w:rtl/>
        </w:rPr>
        <w:t>׳ דוד ליפשיץ שר׳ חיים הגדיר את תפקיד הרב בתמציתיות רבה יותר, כשאמר לבנו ר׳ משה</w:t>
      </w:r>
      <w:bookmarkStart w:id="6850" w:name="_fnr5243"/>
      <w:r>
        <w:rPr>
          <w:rStyle w:val="a5"/>
        </w:rPr>
        <w:footnoteReference w:id="5257" w:customMarkFollows="0"/>
      </w:r>
      <w:bookmarkEnd w:id="6850"/>
      <w:r>
        <w:rPr>
          <w:rtl/>
        </w:rPr>
        <w:t>: “וכי סבור אתה שתפקידו של רב הוא לפסוק שאלות בהלכה? אילו כך היה, לא היה רשאי לקבל שכר. תפקידו לעשות חסד”</w:t>
      </w:r>
      <w:bookmarkStart w:id="6851" w:name="_fnr5244"/>
      <w:r>
        <w:rPr>
          <w:rStyle w:val="a5"/>
        </w:rPr>
        <w:footnoteReference w:id="5258" w:customMarkFollows="0"/>
      </w:r>
      <w:bookmarkEnd w:id="6851"/>
      <w:r>
        <w:rPr>
          <w:rtl/>
        </w:rPr>
        <w:t xml:space="preserve">. ראוי לציון עד כמה הגדרתו של ר׳ חיים לתפקיד הרב עולה בקנה אחד עם הגדרתו של ר׳ ישראל </w:t>
      </w:r>
      <w:proofErr w:type="spellStart"/>
      <w:r>
        <w:rPr>
          <w:rtl/>
        </w:rPr>
        <w:t>סלנטר</w:t>
      </w:r>
      <w:proofErr w:type="spellEnd"/>
      <w:r>
        <w:rPr>
          <w:rtl/>
        </w:rPr>
        <w:t xml:space="preserve"> לתפקיד הישיבה: “להחיות רוח שפלים </w:t>
      </w:r>
      <w:r>
        <w:rPr>
          <w:rtl/>
        </w:rPr>
        <w:lastRenderedPageBreak/>
        <w:t>ולהחיות לב נדכאים”</w:t>
      </w:r>
      <w:bookmarkStart w:id="6852" w:name="_fnr5245"/>
      <w:r>
        <w:rPr>
          <w:rStyle w:val="a5"/>
        </w:rPr>
        <w:footnoteReference w:id="5259" w:customMarkFollows="0"/>
      </w:r>
      <w:bookmarkEnd w:id="6852"/>
      <w:r>
        <w:rPr>
          <w:rtl/>
        </w:rPr>
        <w:t xml:space="preserve">. לפיכך אין להתפלא על דעתו של הסבא </w:t>
      </w:r>
      <w:proofErr w:type="spellStart"/>
      <w:r>
        <w:rPr>
          <w:rtl/>
        </w:rPr>
        <w:t>מסלבודקה</w:t>
      </w:r>
      <w:proofErr w:type="spellEnd"/>
      <w:r>
        <w:rPr>
          <w:rtl/>
        </w:rPr>
        <w:t xml:space="preserve">, שר׳ חיים </w:t>
      </w:r>
      <w:proofErr w:type="spellStart"/>
      <w:r>
        <w:rPr>
          <w:rtl/>
        </w:rPr>
        <w:t>סולובייצ׳יק</w:t>
      </w:r>
      <w:proofErr w:type="spellEnd"/>
      <w:r>
        <w:rPr>
          <w:rtl/>
        </w:rPr>
        <w:t xml:space="preserve"> היה במהותו בעל מוסר</w:t>
      </w:r>
      <w:bookmarkStart w:id="6853" w:name="_fnr5246"/>
      <w:r>
        <w:rPr>
          <w:rStyle w:val="a5"/>
        </w:rPr>
        <w:footnoteReference w:id="5260" w:customMarkFollows="0"/>
      </w:r>
      <w:bookmarkEnd w:id="6853"/>
      <w:r>
        <w:rPr>
          <w:rtl/>
        </w:rPr>
        <w:t>.</w:t>
      </w:r>
    </w:p>
    <w:p w14:paraId="5B7596BA" w14:textId="77777777" w:rsidR="00AB3647" w:rsidRDefault="00000000" w:rsidP="007923E9">
      <w:pPr>
        <w:pStyle w:val="4"/>
        <w:spacing w:line="276" w:lineRule="auto"/>
      </w:pPr>
      <w:r>
        <w:t>· הפסקה העשירית ·</w:t>
      </w:r>
    </w:p>
    <w:p w14:paraId="49244712" w14:textId="77777777" w:rsidR="00AB3647" w:rsidRDefault="00000000" w:rsidP="007923E9">
      <w:pPr>
        <w:pStyle w:val="5"/>
        <w:spacing w:line="276" w:lineRule="auto"/>
      </w:pPr>
      <w:r>
        <w:t>חסדו של ר׳ חיים כובש את עולם הישיבות לשיטת לימודו – הוא קושר בין עשיית חסד לבין הבנה טובה יותר של כוונת הגמרא</w:t>
      </w:r>
    </w:p>
    <w:p w14:paraId="0FC74DCA"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54" w:name="_fnr5247"/>
      <w:r>
        <w:rPr>
          <w:rStyle w:val="a5"/>
        </w:rPr>
        <w:footnoteReference w:id="5261" w:customMarkFollows="0"/>
      </w:r>
      <w:bookmarkEnd w:id="6854"/>
      <w:r>
        <w:rPr>
          <w:rtl/>
        </w:rPr>
        <w:t xml:space="preserve"> מצטט את 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שהיה תלמידו הקרוב של ר׳ חיים </w:t>
      </w:r>
      <w:proofErr w:type="spellStart"/>
      <w:r>
        <w:rPr>
          <w:rtl/>
        </w:rPr>
        <w:t>סולובייצ׳יק</w:t>
      </w:r>
      <w:proofErr w:type="spellEnd"/>
      <w:r>
        <w:rPr>
          <w:rtl/>
        </w:rPr>
        <w:t xml:space="preserve"> בשנתיים וחצי האחרונות </w:t>
      </w:r>
      <w:proofErr w:type="spellStart"/>
      <w:r>
        <w:rPr>
          <w:rtl/>
        </w:rPr>
        <w:t>בוולוז׳ין</w:t>
      </w:r>
      <w:proofErr w:type="spellEnd"/>
      <w:r>
        <w:rPr>
          <w:rtl/>
        </w:rPr>
        <w:t xml:space="preserve"> ובמשך כמה שנים </w:t>
      </w:r>
      <w:proofErr w:type="spellStart"/>
      <w:r>
        <w:rPr>
          <w:rtl/>
        </w:rPr>
        <w:t>בבריסק</w:t>
      </w:r>
      <w:bookmarkStart w:id="6855" w:name="_fnr5248"/>
      <w:proofErr w:type="spellEnd"/>
      <w:r>
        <w:rPr>
          <w:rStyle w:val="a5"/>
        </w:rPr>
        <w:footnoteReference w:id="5262" w:customMarkFollows="0"/>
      </w:r>
      <w:bookmarkEnd w:id="6855"/>
      <w:r>
        <w:rPr>
          <w:rtl/>
        </w:rPr>
        <w:t>. ר׳ שלמה קשר בין חסדו של ר׳ חיים לבין התופעה שתורתו כבשה את עולם הישיבות ותופסת בו מקום מיוחד, ואלה דבריו כפי שהם מצוטטים שם: “לבו הטוב של ר׳ חיים כלפי הסובבים אותו, מידותיו הנאות כלפי תלמידיו והנהגתו כלפי האסופים שהכניס לביתו וגידלם</w:t>
      </w:r>
      <w:bookmarkStart w:id="6856" w:name="_fnr5249"/>
      <w:r>
        <w:rPr>
          <w:rStyle w:val="a5"/>
        </w:rPr>
        <w:footnoteReference w:id="5263" w:customMarkFollows="0"/>
      </w:r>
      <w:bookmarkEnd w:id="6856"/>
      <w:r>
        <w:rPr>
          <w:rtl/>
        </w:rPr>
        <w:t xml:space="preserve"> הם שכבשו את לבבות תלמידיו והטביעו בהם את חותמו, והכשירו אותם לקבל את עומק תפיסתו ולהפיצה במרכזי התורה. בלא תכונות אלה, קרוב לוודאי שעם כל גדלותו לא הייתה תורתו פורשת כנפיים ומצליחה להתפשט במידה שרבים מגדולי הדורות הקודמים לא זכו לה”.</w:t>
      </w:r>
    </w:p>
    <w:p w14:paraId="6C000676" w14:textId="77777777" w:rsidR="00AB3647" w:rsidRDefault="00000000" w:rsidP="007923E9">
      <w:pPr>
        <w:spacing w:after="120" w:line="276" w:lineRule="auto"/>
        <w:ind w:firstLine="283"/>
        <w:jc w:val="both"/>
      </w:pPr>
      <w:r>
        <w:rPr>
          <w:rtl/>
        </w:rPr>
        <w:t xml:space="preserve">מפליא בוודאי </w:t>
      </w:r>
      <w:proofErr w:type="spellStart"/>
      <w:r>
        <w:rPr>
          <w:rtl/>
        </w:rPr>
        <w:t>שבאחת־עשרה</w:t>
      </w:r>
      <w:proofErr w:type="spellEnd"/>
      <w:r>
        <w:rPr>
          <w:rtl/>
        </w:rPr>
        <w:t xml:space="preserve"> שנים וחצי של מסירת שיעורים </w:t>
      </w:r>
      <w:proofErr w:type="spellStart"/>
      <w:r>
        <w:rPr>
          <w:rtl/>
        </w:rPr>
        <w:t>בוולוז׳ין</w:t>
      </w:r>
      <w:proofErr w:type="spellEnd"/>
      <w:r>
        <w:rPr>
          <w:rtl/>
        </w:rPr>
        <w:t xml:space="preserve"> (ובניסיונות המועטים, שנעשו בחצי לב, ללמד </w:t>
      </w:r>
      <w:proofErr w:type="spellStart"/>
      <w:r>
        <w:rPr>
          <w:rtl/>
        </w:rPr>
        <w:t>בבריסק</w:t>
      </w:r>
      <w:proofErr w:type="spellEnd"/>
      <w:r>
        <w:rPr>
          <w:rtl/>
        </w:rPr>
        <w:t xml:space="preserve">) הצליח ר׳ חיים לשנות מן היסוד את דרך לימוד התלמוד של עולם הישיבות, עד כדי כך שמצבתו מכריזה כי “העמיד תלמידים למאות ולאלפים”. הצלחה זו ודאי דורשת הסבר. אותו מחבר מוסיף שהעילוי </w:t>
      </w:r>
      <w:proofErr w:type="spellStart"/>
      <w:r>
        <w:rPr>
          <w:rtl/>
        </w:rPr>
        <w:t>ממייצ׳ט</w:t>
      </w:r>
      <w:proofErr w:type="spellEnd"/>
      <w:r>
        <w:rPr>
          <w:rtl/>
        </w:rPr>
        <w:t xml:space="preserve"> אמר “בשיחה פרטית” שהוא “מניח שמידותיו ותכונותיו של הרב הן הצינורות העיקריים להעברת תורתו לתלמידיו; ומי שאינו בעל מידות טובות יתקשה להעמיד תלמידים שיהיו מסורים לתורתו ויעמלו להטביע את חותמו בחייהם ובתורתם. אף שקשה לנמק השערה זו, הייתה העובדה ברורה לעילוי </w:t>
      </w:r>
      <w:proofErr w:type="spellStart"/>
      <w:r>
        <w:rPr>
          <w:rtl/>
        </w:rPr>
        <w:t>ממייצ׳ט</w:t>
      </w:r>
      <w:proofErr w:type="spellEnd"/>
      <w:r>
        <w:rPr>
          <w:rtl/>
        </w:rPr>
        <w:t xml:space="preserve"> מתוך התבוננותו בחייהם של גדולי התורה שפגש בחייו, ומתוך הכרת הצלחתם להשפיע על תלמידיהם”.</w:t>
      </w:r>
    </w:p>
    <w:p w14:paraId="5804D307" w14:textId="77777777" w:rsidR="00AB3647" w:rsidRDefault="00000000" w:rsidP="007923E9">
      <w:pPr>
        <w:spacing w:after="120" w:line="276" w:lineRule="auto"/>
        <w:ind w:firstLine="283"/>
        <w:jc w:val="both"/>
      </w:pPr>
      <w:r>
        <w:rPr>
          <w:rtl/>
        </w:rPr>
        <w:t xml:space="preserve">(הרב </w:t>
      </w:r>
      <w:proofErr w:type="spellStart"/>
      <w:r>
        <w:rPr>
          <w:rtl/>
        </w:rPr>
        <w:t>וואקסמן</w:t>
      </w:r>
      <w:proofErr w:type="spellEnd"/>
      <w:r>
        <w:rPr>
          <w:rtl/>
        </w:rPr>
        <w:t xml:space="preserve"> מוצא סימוכין לרעיון המחודש הזה בדברי מהר״ל מפראג </w:t>
      </w:r>
      <w:proofErr w:type="spellStart"/>
      <w:r>
        <w:rPr>
          <w:rtl/>
        </w:rPr>
        <w:t>בפ״ו</w:t>
      </w:r>
      <w:proofErr w:type="spellEnd"/>
      <w:r>
        <w:rPr>
          <w:rtl/>
        </w:rPr>
        <w:t xml:space="preserve"> מספרו דרך חיים על הגמרא מנחות נ״ג יבוא טוב ויקבל טוב </w:t>
      </w:r>
      <w:proofErr w:type="spellStart"/>
      <w:r>
        <w:rPr>
          <w:rtl/>
        </w:rPr>
        <w:t>וכו</w:t>
      </w:r>
      <w:proofErr w:type="spellEnd"/>
      <w:r>
        <w:rPr>
          <w:rtl/>
        </w:rPr>
        <w:t xml:space="preserve">׳. ויש להעמיס רעיון זה גם בדברי </w:t>
      </w:r>
      <w:proofErr w:type="spellStart"/>
      <w:r>
        <w:rPr>
          <w:rtl/>
        </w:rPr>
        <w:t>מהרש״א</w:t>
      </w:r>
      <w:proofErr w:type="spellEnd"/>
      <w:r>
        <w:rPr>
          <w:rtl/>
        </w:rPr>
        <w:t xml:space="preserve"> יבמות י״ד ע״ב וז״ל הגם שאי אפשר שיהיו שני הדעות אמת לאמתו מכל מקום מצד השלום והאהבה שהיה ביניהם כולם אמת עכ״ל כלו׳ שכל צד קיבל את הבנת השני בדבר מפני שהרגיש </w:t>
      </w:r>
      <w:r>
        <w:rPr>
          <w:rtl/>
        </w:rPr>
        <w:lastRenderedPageBreak/>
        <w:t xml:space="preserve">בו את האהבה והשלום. וע׳ עירובין י״ג ע״ב מפני מה זכו בית הלל לקבוע הלכה כמותן מפני </w:t>
      </w:r>
      <w:proofErr w:type="spellStart"/>
      <w:r>
        <w:rPr>
          <w:rtl/>
        </w:rPr>
        <w:t>שנוחין</w:t>
      </w:r>
      <w:proofErr w:type="spellEnd"/>
      <w:r>
        <w:rPr>
          <w:rtl/>
        </w:rPr>
        <w:t xml:space="preserve"> </w:t>
      </w:r>
      <w:proofErr w:type="spellStart"/>
      <w:r>
        <w:rPr>
          <w:rtl/>
        </w:rPr>
        <w:t>ועלובין</w:t>
      </w:r>
      <w:proofErr w:type="spellEnd"/>
      <w:r>
        <w:rPr>
          <w:rtl/>
        </w:rPr>
        <w:t xml:space="preserve"> היו. ועוד נראה שעצם היסוד מפורש בכתובים, באיוב </w:t>
      </w:r>
      <w:proofErr w:type="spellStart"/>
      <w:r>
        <w:rPr>
          <w:rtl/>
        </w:rPr>
        <w:t>כט:ט</w:t>
      </w:r>
      <w:proofErr w:type="spellEnd"/>
      <w:r>
        <w:rPr>
          <w:rtl/>
        </w:rPr>
        <w:t>–</w:t>
      </w:r>
      <w:proofErr w:type="spellStart"/>
      <w:r>
        <w:rPr>
          <w:rtl/>
        </w:rPr>
        <w:t>יז</w:t>
      </w:r>
      <w:proofErr w:type="spellEnd"/>
      <w:r>
        <w:rPr>
          <w:rtl/>
        </w:rPr>
        <w:t>.)</w:t>
      </w:r>
      <w:bookmarkStart w:id="6857" w:name="_fnr5250"/>
      <w:r>
        <w:rPr>
          <w:rStyle w:val="a5"/>
        </w:rPr>
        <w:footnoteReference w:id="5264" w:customMarkFollows="0"/>
      </w:r>
      <w:bookmarkEnd w:id="6857"/>
    </w:p>
    <w:p w14:paraId="4C209E9D" w14:textId="77777777" w:rsidR="00AB3647" w:rsidRDefault="00000000" w:rsidP="007923E9">
      <w:pPr>
        <w:spacing w:after="120" w:line="276" w:lineRule="auto"/>
        <w:ind w:firstLine="283"/>
        <w:jc w:val="both"/>
      </w:pPr>
      <w:r>
        <w:rPr>
          <w:rtl/>
        </w:rPr>
        <w:t xml:space="preserve">גם בעיני ר׳ חיים היה קשר בין עשיית חסד ללימוד תורה, אבל לדידו נגע הקשר ליכולתו של אדם ללמוד תורה ולהבינה – ולא ללימוד לאחרים ולהשפעה עליהם שיקבלו את שיטת לימודו, כמו שמצא העילוי </w:t>
      </w:r>
      <w:proofErr w:type="spellStart"/>
      <w:r>
        <w:rPr>
          <w:rtl/>
        </w:rPr>
        <w:t>ממייצ׳ט</w:t>
      </w:r>
      <w:proofErr w:type="spellEnd"/>
      <w:r>
        <w:rPr>
          <w:rtl/>
        </w:rPr>
        <w:t xml:space="preserve">. כשמתחו ביקורת על ר׳ יצחק־זאב על ששלח בן שקדן במיוחד להקדיש מזמנו לסידור עניין של חסד, חזר על אמרה של אביו</w:t>
      </w:r>
      <w:bookmarkStart w:id="6858" w:name="_fnr5251"/>
      <w:r>
        <w:rPr>
          <w:rStyle w:val="a5"/>
        </w:rPr>
        <w:footnoteReference w:id="5265" w:customMarkFollows="0"/>
      </w:r>
      <w:bookmarkEnd w:id="6858"/>
      <w:r>
        <w:rPr>
          <w:rtl/>
        </w:rPr>
        <w:t>: “מי שסוגר את הגמרא שלו כדי לעשות חסד, הגמרא פתוחה לפניו. מי שפותח את הגמרא כדי להימנע מעשיית חסד, הגמרא סגורה לפניו”.</w:t>
      </w:r>
    </w:p>
    <w:p w14:paraId="1A71DC88" w14:textId="77777777" w:rsidR="00AB3647" w:rsidRDefault="00000000" w:rsidP="007923E9">
      <w:pPr>
        <w:pStyle w:val="4"/>
        <w:spacing w:line="276" w:lineRule="auto"/>
      </w:pPr>
      <w:r>
        <w:t xml:space="preserve">· הפסקה </w:t>
      </w:r>
      <w:proofErr w:type="spellStart"/>
      <w:r>
        <w:t>האחת־עשרה</w:t>
      </w:r>
      <w:proofErr w:type="spellEnd"/>
      <w:r>
        <w:t xml:space="preserve"> ·</w:t>
      </w:r>
    </w:p>
    <w:p w14:paraId="1D260BAD" w14:textId="77777777" w:rsidR="00AB3647" w:rsidRDefault="00000000" w:rsidP="007923E9">
      <w:pPr>
        <w:pStyle w:val="5"/>
        <w:spacing w:line="276" w:lineRule="auto"/>
      </w:pPr>
      <w:r>
        <w:t>מתן הסבר לטובו המופלג של ר׳ חיים</w:t>
      </w:r>
    </w:p>
    <w:p w14:paraId="579A9D26" w14:textId="1E50CC31" w:rsidR="00AB3647" w:rsidRDefault="00000000" w:rsidP="007923E9">
      <w:pPr>
        <w:spacing w:after="120" w:line="276" w:lineRule="auto"/>
        <w:ind w:firstLine="283"/>
        <w:jc w:val="both"/>
      </w:pPr>
      <w:r>
        <w:rPr>
          <w:rtl/>
        </w:rPr>
        <w:t xml:space="preserve">ר׳ חיים </w:t>
      </w:r>
      <w:proofErr w:type="spellStart"/>
      <w:r>
        <w:rPr>
          <w:rtl/>
        </w:rPr>
        <w:t>סרנא</w:t>
      </w:r>
      <w:proofErr w:type="spellEnd"/>
      <w:r>
        <w:rPr>
          <w:rtl/>
        </w:rPr>
        <w:t xml:space="preserve"> גילה</w:t>
      </w:r>
      <w:bookmarkStart w:id="6859" w:name="_fnr5252"/>
      <w:r>
        <w:rPr>
          <w:rStyle w:val="a5"/>
        </w:rPr>
        <w:footnoteReference w:id="5266" w:customMarkFollows="0"/>
      </w:r>
      <w:bookmarkEnd w:id="6859"/>
      <w:r>
        <w:rPr>
          <w:rtl/>
        </w:rPr>
        <w:t xml:space="preserve"> שר׳ </w:t>
      </w:r>
      <w:proofErr w:type="spellStart"/>
      <w:r>
        <w:rPr>
          <w:rtl/>
        </w:rPr>
        <w:t>יחיאל־יעקב</w:t>
      </w:r>
      <w:proofErr w:type="spellEnd"/>
      <w:r>
        <w:rPr>
          <w:rtl/>
        </w:rPr>
        <w:t xml:space="preserve"> ויינברג הגדיר את חסדו של ר׳ חיים כחסד של הראש (</w:t>
      </w:r>
      <w:proofErr w:type="spellStart"/>
      <w:r>
        <w:rPr>
          <w:rtl/>
        </w:rPr>
        <w:t>קאפ־חסד</w:t>
      </w:r>
      <w:proofErr w:type="spellEnd"/>
      <w:r>
        <w:rPr>
          <w:rtl/>
        </w:rPr>
        <w:t xml:space="preserve">, בניגוד </w:t>
      </w:r>
      <w:proofErr w:type="spellStart"/>
      <w:r>
        <w:rPr>
          <w:rtl/>
        </w:rPr>
        <w:t>להארץ־חסד</w:t>
      </w:r>
      <w:proofErr w:type="spellEnd"/>
      <w:r>
        <w:rPr>
          <w:rtl/>
        </w:rPr>
        <w:t xml:space="preserve"> [חסד של הלב]). על הבחנתו של ר׳ </w:t>
      </w:r>
      <w:proofErr w:type="spellStart"/>
      <w:r>
        <w:rPr>
          <w:rtl/>
        </w:rPr>
        <w:t>יחיאל־יעקב</w:t>
      </w:r>
      <w:proofErr w:type="spellEnd"/>
      <w:r>
        <w:rPr>
          <w:rtl/>
        </w:rPr>
        <w:t xml:space="preserve"> בין “לב” </w:t>
      </w:r>
      <w:proofErr w:type="spellStart"/>
      <w:r>
        <w:rPr>
          <w:rtl/>
        </w:rPr>
        <w:t>ל“ראש</w:t>
      </w:r>
      <w:proofErr w:type="spellEnd"/>
      <w:r>
        <w:rPr>
          <w:rtl/>
        </w:rPr>
        <w:t xml:space="preserve">”, השווה “שרידי אש” (פרק 3, </w:t>
      </w:r>
      <w:r>
        <w:rPr>
          <w:rtl/>
        </w:rPr>
        <w:fldChar w:fldCharType="begin" w:dirty="true"/>
      </w:r>
      <w:r>
        <w:rPr>
          <w:rtl/>
        </w:rPr>
        <w:instrText xml:space="preserve"> REF b3_excB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ב</w:t>
      </w:r>
      <w:r>
        <w:rPr>
          <w:rtl/>
        </w:rPr>
        <w:fldChar w:fldCharType="end"/>
      </w:r>
      <w:r>
        <w:rPr>
          <w:rtl/>
        </w:rPr>
        <w:t>), עמ׳ רצד. השווה גם שו״ת “שרידי אש”</w:t>
      </w:r>
      <w:bookmarkStart w:id="6860" w:name="_fnr5253"/>
      <w:r>
        <w:rPr>
          <w:rStyle w:val="a5"/>
        </w:rPr>
        <w:footnoteReference w:id="5267" w:customMarkFollows="0"/>
      </w:r>
      <w:bookmarkEnd w:id="6860"/>
      <w:r>
        <w:rPr>
          <w:rtl/>
        </w:rPr>
        <w:t xml:space="preserve">, שם כותב ר׳ </w:t>
      </w:r>
      <w:proofErr w:type="spellStart"/>
      <w:r>
        <w:rPr>
          <w:rtl/>
        </w:rPr>
        <w:t>יחיאל־יעקב</w:t>
      </w:r>
      <w:proofErr w:type="spellEnd"/>
      <w:r>
        <w:rPr>
          <w:rtl/>
        </w:rPr>
        <w:t xml:space="preserve"> שהטעם שאין מברכים ברכת המצווה על נתינת צדקה הוא שצדקה הנובעת מרחמים עדיפה על צדקה הנעשית מכוח כפייה וציווי [“רצונו”].</w:t>
      </w:r>
    </w:p>
    <w:p w14:paraId="618BA893" w14:textId="77777777" w:rsidR="00AB3647" w:rsidRDefault="00000000" w:rsidP="007923E9">
      <w:pPr>
        <w:spacing w:after="120" w:line="276" w:lineRule="auto"/>
        <w:ind w:firstLine="283"/>
        <w:jc w:val="both"/>
      </w:pPr>
      <w:r>
        <w:rPr>
          <w:rtl/>
        </w:rPr>
        <w:t xml:space="preserve">ייתכן שאמירתו, הנראית ביקורתית, משקפת את היחס הדו־ערכי שגילו בעלי המוסר כלפי ר׳ חיים </w:t>
      </w:r>
      <w:proofErr w:type="spellStart"/>
      <w:r>
        <w:rPr>
          <w:rtl/>
        </w:rPr>
        <w:t>סולובייצ׳יק</w:t>
      </w:r>
      <w:bookmarkStart w:id="6861" w:name="_fnr5254"/>
      <w:proofErr w:type="spellEnd"/>
      <w:r>
        <w:rPr>
          <w:rStyle w:val="a5"/>
        </w:rPr>
        <w:footnoteReference w:id="5268" w:customMarkFollows="0"/>
      </w:r>
      <w:bookmarkEnd w:id="6861"/>
      <w:r>
        <w:rPr>
          <w:rtl/>
        </w:rPr>
        <w:t xml:space="preserve">. תהא כוונתו של ר׳ </w:t>
      </w:r>
      <w:proofErr w:type="spellStart"/>
      <w:r>
        <w:rPr>
          <w:rtl/>
        </w:rPr>
        <w:t>יחיאל־יעקב</w:t>
      </w:r>
      <w:proofErr w:type="spellEnd"/>
      <w:r>
        <w:rPr>
          <w:rtl/>
        </w:rPr>
        <w:t xml:space="preserve"> ויינברג אשר תהא, אפשר לומר – בהנחה שהגדרתו למקור חסדו של ר׳ חיים נכונה – שחסדו של ר׳ חיים נתעלה עוד יותר בהיותו “חסד של הראש”, כדברי הרמב״ם </w:t>
      </w:r>
      <w:proofErr w:type="spellStart"/>
      <w:r>
        <w:rPr>
          <w:rtl/>
        </w:rPr>
        <w:t>ב“מורה</w:t>
      </w:r>
      <w:proofErr w:type="spellEnd"/>
      <w:r>
        <w:rPr>
          <w:rtl/>
        </w:rPr>
        <w:t xml:space="preserve"> נבוכים”</w:t>
      </w:r>
      <w:bookmarkStart w:id="6862" w:name="_fnr5255"/>
      <w:r>
        <w:rPr>
          <w:rStyle w:val="a5"/>
        </w:rPr>
        <w:footnoteReference w:id="5269" w:customMarkFollows="0"/>
      </w:r>
      <w:bookmarkEnd w:id="6862"/>
      <w:r>
        <w:rPr>
          <w:rtl/>
        </w:rPr>
        <w:t>: “כי כל התפעלות רעה”</w:t>
      </w:r>
      <w:bookmarkStart w:id="6863" w:name="_fnr5256"/>
      <w:r>
        <w:rPr>
          <w:rStyle w:val="a5"/>
        </w:rPr>
        <w:footnoteReference w:id="5270" w:customMarkFollows="0"/>
      </w:r>
      <w:bookmarkEnd w:id="6863"/>
      <w:r>
        <w:rPr>
          <w:rtl/>
        </w:rPr>
        <w:t>.</w:t>
      </w:r>
    </w:p>
    <w:p w14:paraId="45CEED36" w14:textId="77777777" w:rsidR="00AB3647" w:rsidRDefault="00000000" w:rsidP="007923E9">
      <w:pPr>
        <w:spacing w:after="120" w:line="276" w:lineRule="auto"/>
        <w:ind w:firstLine="283"/>
        <w:jc w:val="both"/>
      </w:pPr>
      <w:r>
        <w:rPr>
          <w:rtl/>
        </w:rPr>
        <w:t xml:space="preserve">השווה גם “פניני רבנו </w:t>
      </w:r>
      <w:proofErr w:type="spellStart"/>
      <w:r>
        <w:rPr>
          <w:rtl/>
        </w:rPr>
        <w:t>הגרי״ז</w:t>
      </w:r>
      <w:proofErr w:type="spellEnd"/>
      <w:r>
        <w:rPr>
          <w:rtl/>
        </w:rPr>
        <w:t>”</w:t>
      </w:r>
      <w:bookmarkStart w:id="6864" w:name="_fnr5257"/>
      <w:r>
        <w:rPr>
          <w:rStyle w:val="a5"/>
        </w:rPr>
        <w:footnoteReference w:id="5271" w:customMarkFollows="0"/>
      </w:r>
      <w:bookmarkEnd w:id="6864"/>
      <w:r>
        <w:rPr>
          <w:rtl/>
        </w:rPr>
        <w:t xml:space="preserve">, המספר שבהספדו על ר׳ יצחק־זאב </w:t>
      </w:r>
      <w:proofErr w:type="spellStart"/>
      <w:r>
        <w:rPr>
          <w:rtl/>
        </w:rPr>
        <w:t>סולובייצ׳יק</w:t>
      </w:r>
      <w:proofErr w:type="spellEnd"/>
      <w:r>
        <w:rPr>
          <w:rtl/>
        </w:rPr>
        <w:t xml:space="preserve"> דיבר ר׳ יחזקאל </w:t>
      </w:r>
      <w:proofErr w:type="spellStart"/>
      <w:r>
        <w:rPr>
          <w:rtl/>
        </w:rPr>
        <w:t>אברמסקי</w:t>
      </w:r>
      <w:proofErr w:type="spellEnd"/>
      <w:r>
        <w:rPr>
          <w:rtl/>
        </w:rPr>
        <w:t xml:space="preserve"> על ר׳ חיים ברוח דומה לזו של ר׳ </w:t>
      </w:r>
      <w:proofErr w:type="spellStart"/>
      <w:r>
        <w:rPr>
          <w:rtl/>
        </w:rPr>
        <w:t>יחיאל־יעקב</w:t>
      </w:r>
      <w:proofErr w:type="spellEnd"/>
      <w:r>
        <w:rPr>
          <w:rtl/>
        </w:rPr>
        <w:t xml:space="preserve"> ויינברג, והכריז: “מי שנכנס למחיצתו של ר׳ חיים לא יכול היה להגדיר את מידותיו כפי שאנו רגילים להגדירן באנשים אחרים – טוב לב או אכזר, נדיב או קמצן, מהיר לכעוס או ארך אפיים, וכו׳ – שכן ר׳ חיים היה כולו בהתאם לתורה; בכל רגע ובכל עניין התנהג בהתאם למה שציוותה עליו התורה באותה שעה”.</w:t>
      </w:r>
    </w:p>
    <w:p w14:paraId="2E6F1A58" w14:textId="77777777" w:rsidR="00AB3647" w:rsidRDefault="00000000" w:rsidP="007923E9">
      <w:pPr>
        <w:spacing w:after="120" w:line="276" w:lineRule="auto"/>
        <w:ind w:firstLine="283"/>
        <w:jc w:val="both"/>
      </w:pPr>
      <w:r>
        <w:rPr>
          <w:rtl/>
        </w:rPr>
        <w:lastRenderedPageBreak/>
        <w:t xml:space="preserve">אולם אני מתקשה לקבל את הגדרתו של ר׳ יחזקאל </w:t>
      </w:r>
      <w:proofErr w:type="spellStart"/>
      <w:r>
        <w:rPr>
          <w:rtl/>
        </w:rPr>
        <w:t>אברמסקי</w:t>
      </w:r>
      <w:proofErr w:type="spellEnd"/>
      <w:r>
        <w:rPr>
          <w:rtl/>
        </w:rPr>
        <w:t xml:space="preserve"> לאופיו של ר׳ חיים, שהופכת אותו לאוטומט המתוכנת </w:t>
      </w:r>
      <w:proofErr w:type="spellStart"/>
      <w:r>
        <w:rPr>
          <w:rtl/>
        </w:rPr>
        <w:t>לתרי״ג</w:t>
      </w:r>
      <w:proofErr w:type="spellEnd"/>
      <w:r>
        <w:rPr>
          <w:rtl/>
        </w:rPr>
        <w:t xml:space="preserve"> המצוות – וזאת למרות הגדרתו של ר׳ </w:t>
      </w:r>
      <w:proofErr w:type="spellStart"/>
      <w:r>
        <w:rPr>
          <w:rtl/>
        </w:rPr>
        <w:t>חיים־עוזר</w:t>
      </w:r>
      <w:proofErr w:type="spellEnd"/>
      <w:r>
        <w:rPr>
          <w:rtl/>
        </w:rPr>
        <w:t xml:space="preserve"> </w:t>
      </w:r>
      <w:proofErr w:type="spellStart"/>
      <w:r>
        <w:rPr>
          <w:rtl/>
        </w:rPr>
        <w:t>גרודזנסקי</w:t>
      </w:r>
      <w:proofErr w:type="spellEnd"/>
      <w:r>
        <w:rPr>
          <w:rtl/>
        </w:rPr>
        <w:t xml:space="preserve"> לשכלו יוצא הדופן של ר׳ חיים, שהופכת אותו לברייה מיוחדת (ראה לעיל, עמ׳ </w:t>
      </w:r>
      <w:r>
        <w:rPr>
          <w:rtl/>
        </w:rPr>
        <w:fldChar w:fldCharType="begin" w:dirty="true"/>
      </w:r>
      <w:r>
        <w:rPr>
          <w:rtl/>
        </w:rPr>
        <w:instrText xml:space="preserve"> PAGEREF pr_b_2365 \h </w:instrText>
      </w:r>
      <w:r>
        <w:rPr>
          <w:rtl/>
        </w:rPr>
      </w:r>
      <w:r>
        <w:rPr>
          <w:rtl/>
        </w:rPr>
        <w:fldChar w:fldCharType="separate"/>
      </w:r>
      <w:r w:rsidR="007923E9">
        <w:rPr>
          <w:noProof/>
          <w:rtl/>
        </w:rPr>
        <w:t>1</w:t>
      </w:r>
      <w:r>
        <w:rPr>
          <w:rtl/>
        </w:rPr>
        <w:fldChar w:fldCharType="end"/>
      </w:r>
      <w:r>
        <w:rPr>
          <w:rtl/>
        </w:rPr>
        <w:t>).</w:t>
      </w:r>
    </w:p>
    <w:p w14:paraId="775260C1" w14:textId="77777777" w:rsidR="00AB3647" w:rsidRDefault="00000000" w:rsidP="007923E9">
      <w:pPr>
        <w:spacing w:after="120" w:line="276" w:lineRule="auto"/>
        <w:ind w:firstLine="283"/>
        <w:jc w:val="both"/>
      </w:pPr>
      <w:r>
        <w:rPr>
          <w:rtl/>
        </w:rPr>
        <w:t xml:space="preserve">העובדה שר׳ חיים ציווה לשבח על מצבתו מידה מסוימת, את חסדו, במילים “איש חסד היה”, מוכיחה שראה בתכונה זו תכונה המאפיינת אותו במיוחד. לפיכך מסתבר שר׳ חיים היה בעל תשוקה לחסד, ולא כפי שסבר ר׳ יחזקאל </w:t>
      </w:r>
      <w:proofErr w:type="spellStart"/>
      <w:r>
        <w:rPr>
          <w:rtl/>
        </w:rPr>
        <w:t>אברמסקי</w:t>
      </w:r>
      <w:proofErr w:type="spellEnd"/>
      <w:r>
        <w:rPr>
          <w:rtl/>
        </w:rPr>
        <w:t>. אין פירוש הדבר שר׳ חיים לא שלט במידה זו: במקרים הנדירים שבהם דרשה ממנו התורה להיות אכזר או קמצן, נעשה כזה בשבירת נטייתו הטבעית (או המפותחת במלואה) לחסד ולנדיבות, כשם שכל אדם אחר צריך להתגבר על נטיותיו הטבעיות כשהן מתנגשות עם הוראות התורה.</w:t>
      </w:r>
    </w:p>
    <w:bookmarkStart w:id="6865" w:name="b5_excG"/>
    <w:p w14:paraId="2E56D48F" w14:textId="77777777" w:rsidR="00AB3647" w:rsidRDefault="00000000" w:rsidP="007923E9">
      <w:pPr>
        <w:pStyle w:val="3"/>
        <w:spacing w:line="276" w:lineRule="auto"/>
      </w:pPr>
      <w:r>
        <w:lastRenderedPageBreak/>
        <w:fldChar w:fldCharType="begin" w:dirty="true"/>
      </w:r>
      <w:r>
        <w:rPr>
          <w:rtl w:val="0"/>
        </w:rPr>
        <w:instrText>HYPERLINK \l "b5_note64</w:instrText>
      </w:r>
      <w:r>
        <w:instrText>"</w:instrText>
      </w:r>
      <w:r>
        <w:fldChar w:fldCharType="separate"/>
      </w:r>
      <w:r>
        <w:t>נספח ז</w:t>
      </w:r>
      <w:r>
        <w:fldChar w:fldCharType="end"/>
      </w:r>
      <w:bookmarkEnd w:id="6865"/>
    </w:p>
    <w:p w14:paraId="542542F2" w14:textId="77777777" w:rsidR="00AB3647" w:rsidRDefault="00000000" w:rsidP="007923E9">
      <w:pPr>
        <w:pStyle w:val="af"/>
        <w:spacing w:line="276" w:lineRule="auto"/>
      </w:pPr>
      <w:r>
        <w:t xml:space="preserve">על גאונותו של ר׳ </w:t>
      </w:r>
      <w:proofErr w:type="spellStart"/>
      <w:r>
        <w:t>אברהם־אליהו</w:t>
      </w:r>
      <w:proofErr w:type="spellEnd"/>
      <w:r>
        <w:t xml:space="preserve"> קפלן ופטירתו בטרם עת</w:t>
      </w:r>
    </w:p>
    <w:p w14:paraId="34862551" w14:textId="77777777" w:rsidR="00AB3647" w:rsidRDefault="00000000" w:rsidP="007923E9">
      <w:pPr>
        <w:pStyle w:val="4"/>
        <w:spacing w:line="276" w:lineRule="auto"/>
      </w:pPr>
      <w:r>
        <w:t>· הפסקה הראשונה ·</w:t>
      </w:r>
    </w:p>
    <w:p w14:paraId="19526161" w14:textId="77777777" w:rsidR="00AB3647" w:rsidRDefault="00000000" w:rsidP="007923E9">
      <w:pPr>
        <w:pStyle w:val="5"/>
        <w:spacing w:line="276" w:lineRule="auto"/>
      </w:pPr>
      <w:r>
        <w:t xml:space="preserve">ר׳ </w:t>
      </w:r>
      <w:proofErr w:type="spellStart"/>
      <w:r>
        <w:t>אברהם־אליהו</w:t>
      </w:r>
      <w:proofErr w:type="spellEnd"/>
      <w:r>
        <w:t xml:space="preserve"> קפלן מכוון את הנוער החרדי הגרמני לישיבות ליטא – הוא מנגן בכינור וחוזר בחרוזים על דרשת שבע הברכות הארוכה של ר׳ אהרן קוטלר</w:t>
      </w:r>
    </w:p>
    <w:p w14:paraId="086E8E9F"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קפלן נולד </w:t>
      </w:r>
      <w:proofErr w:type="spellStart"/>
      <w:r>
        <w:rPr>
          <w:rtl/>
        </w:rPr>
        <w:t>בתר״ן</w:t>
      </w:r>
      <w:proofErr w:type="spellEnd"/>
      <w:r>
        <w:rPr>
          <w:rtl/>
        </w:rPr>
        <w:t xml:space="preserve"> ולמד </w:t>
      </w:r>
      <w:proofErr w:type="spellStart"/>
      <w:r>
        <w:rPr>
          <w:rtl/>
        </w:rPr>
        <w:t>בסלבודקה</w:t>
      </w:r>
      <w:proofErr w:type="spellEnd"/>
      <w:r>
        <w:rPr>
          <w:rtl/>
        </w:rPr>
        <w:t>, ושם “היה שמו אגדה, סמל”</w:t>
      </w:r>
      <w:bookmarkStart w:id="6866" w:name="_fnr5258"/>
      <w:r>
        <w:rPr>
          <w:rStyle w:val="a5"/>
        </w:rPr>
        <w:footnoteReference w:id="5272" w:customMarkFollows="0"/>
      </w:r>
      <w:bookmarkEnd w:id="6866"/>
      <w:r>
        <w:rPr>
          <w:rtl/>
        </w:rPr>
        <w:t xml:space="preserve">. בפרוץ מלחמת העולם הראשונה שהה בעירו, </w:t>
      </w:r>
      <w:proofErr w:type="spellStart"/>
      <w:r>
        <w:rPr>
          <w:rtl/>
        </w:rPr>
        <w:t>טלז</w:t>
      </w:r>
      <w:proofErr w:type="spellEnd"/>
      <w:r>
        <w:rPr>
          <w:rtl/>
        </w:rPr>
        <w:t xml:space="preserve">. הוא נשאר שם, </w:t>
      </w:r>
      <w:proofErr w:type="spellStart"/>
      <w:r>
        <w:rPr>
          <w:rtl/>
        </w:rPr>
        <w:t>ובתר״ף</w:t>
      </w:r>
      <w:proofErr w:type="spellEnd"/>
      <w:r>
        <w:rPr>
          <w:rtl/>
        </w:rPr>
        <w:t xml:space="preserve"> נשא את בתו של ר׳ הירש אבל (אחיו של ר׳ </w:t>
      </w:r>
      <w:proofErr w:type="spellStart"/>
      <w:r>
        <w:rPr>
          <w:rtl/>
        </w:rPr>
        <w:t>שלמה־זלמן</w:t>
      </w:r>
      <w:bookmarkStart w:id="6867" w:name="_fnr5259"/>
      <w:proofErr w:type="spellEnd"/>
      <w:r>
        <w:rPr>
          <w:rStyle w:val="a5"/>
        </w:rPr>
        <w:footnoteReference w:id="5273" w:customMarkFollows="0"/>
      </w:r>
      <w:bookmarkEnd w:id="6867"/>
      <w:r>
        <w:rPr>
          <w:rtl/>
        </w:rPr>
        <w:t xml:space="preserve">). מאמר </w:t>
      </w:r>
      <w:proofErr w:type="spellStart"/>
      <w:r>
        <w:rPr>
          <w:rtl/>
        </w:rPr>
        <w:t>ב“יתד</w:t>
      </w:r>
      <w:proofErr w:type="spellEnd"/>
      <w:r>
        <w:rPr>
          <w:rtl/>
        </w:rPr>
        <w:t xml:space="preserve"> נאמן”</w:t>
      </w:r>
      <w:bookmarkStart w:id="6868" w:name="_fnr5260"/>
      <w:r>
        <w:rPr>
          <w:rStyle w:val="a5"/>
        </w:rPr>
        <w:footnoteReference w:id="5274" w:customMarkFollows="0"/>
      </w:r>
      <w:bookmarkEnd w:id="6868"/>
      <w:r>
        <w:rPr>
          <w:rtl/>
        </w:rPr>
        <w:t xml:space="preserve"> מתאר את פעילותו של ר׳ </w:t>
      </w:r>
      <w:proofErr w:type="spellStart"/>
      <w:r>
        <w:rPr>
          <w:rtl/>
        </w:rPr>
        <w:t>אברהם־אליהו</w:t>
      </w:r>
      <w:proofErr w:type="spellEnd"/>
      <w:r>
        <w:rPr>
          <w:rtl/>
        </w:rPr>
        <w:t xml:space="preserve"> בליטא באותה עת: “עם שוך המלחמה שבו חיי הציבור היהודיים בליטא לתחייה. המלחמה החיצונית בשדות הקטל נסתיימה, אבל מלחמה פנימית החלה: סדר עולמי חדש התחיל לאיים על היהדות</w:t>
      </w:r>
      <w:bookmarkStart w:id="6869" w:name="_fnr5261"/>
      <w:r>
        <w:rPr>
          <w:rStyle w:val="a5"/>
        </w:rPr>
        <w:footnoteReference w:id="5275" w:customMarkFollows="0"/>
      </w:r>
      <w:bookmarkEnd w:id="6869"/>
      <w:r>
        <w:rPr>
          <w:rtl/>
        </w:rPr>
        <w:t>. הרב קפלן הבין שעליו מוטלת החובה לצאת מד׳ אמותיו ולהתמסר להצלת עם ישראל – ‘ביטולה זה קיומה’</w:t>
      </w:r>
      <w:bookmarkStart w:id="6870" w:name="_fnr5262"/>
      <w:r>
        <w:rPr>
          <w:rStyle w:val="a5"/>
        </w:rPr>
        <w:footnoteReference w:id="5276" w:customMarkFollows="0"/>
      </w:r>
      <w:bookmarkEnd w:id="6870"/>
      <w:r>
        <w:rPr>
          <w:rtl/>
        </w:rPr>
        <w:t xml:space="preserve">. ובייחוד אמורים הדברים ברב קפלן, שכן בכישרונותיו יכול היה לעשות הכול בזריזות, בתקיפות, בהחלטיות ובמהירות, בלי להפריע למהלך לימודו. באותה עת ייסד את ארגון הנוער הדתי צעירי אגודת ישראל וחיבר המנון, שחברי הארגון שרו בכל כינוס. כנציג החרדים השתתף בוועד הלאומי שנבחר לנהל את ענייני האוטונומיה היהודית בליטא. יחד עם ד״ר ליאו </w:t>
      </w:r>
      <w:proofErr w:type="spellStart"/>
      <w:r>
        <w:rPr>
          <w:rtl/>
        </w:rPr>
        <w:t>דויטשלנדר</w:t>
      </w:r>
      <w:proofErr w:type="spellEnd"/>
      <w:r>
        <w:rPr>
          <w:rtl/>
        </w:rPr>
        <w:t xml:space="preserve"> ניהל את מחלקת החינוך. בד בבד יצא </w:t>
      </w:r>
      <w:proofErr w:type="spellStart"/>
      <w:r>
        <w:rPr>
          <w:rtl/>
        </w:rPr>
        <w:t>לאספות</w:t>
      </w:r>
      <w:proofErr w:type="spellEnd"/>
      <w:r>
        <w:rPr>
          <w:rtl/>
        </w:rPr>
        <w:t xml:space="preserve"> בערים כדי להרחיב ולחזק את ארגון החרדים בכל מקום ומקום”.</w:t>
      </w:r>
    </w:p>
    <w:p w14:paraId="14622F13" w14:textId="77777777" w:rsidR="00AB3647" w:rsidRDefault="00000000" w:rsidP="007923E9">
      <w:pPr>
        <w:spacing w:after="120" w:line="276" w:lineRule="auto"/>
        <w:ind w:firstLine="283"/>
        <w:jc w:val="both"/>
      </w:pPr>
      <w:r>
        <w:rPr>
          <w:rtl/>
        </w:rPr>
        <w:t xml:space="preserve">לאחר מכן נתמנה למשרה בבית המדרש לרבנים ע״ש </w:t>
      </w:r>
      <w:proofErr w:type="spellStart"/>
      <w:r>
        <w:rPr>
          <w:rtl/>
        </w:rPr>
        <w:t>הילדסהיימר</w:t>
      </w:r>
      <w:proofErr w:type="spellEnd"/>
      <w:r>
        <w:rPr>
          <w:rtl/>
        </w:rPr>
        <w:t xml:space="preserve"> בברלין, </w:t>
      </w:r>
      <w:proofErr w:type="spellStart"/>
      <w:r>
        <w:rPr>
          <w:rtl/>
        </w:rPr>
        <w:t>ובתרפ״ב</w:t>
      </w:r>
      <w:proofErr w:type="spellEnd"/>
      <w:r>
        <w:rPr>
          <w:rtl/>
        </w:rPr>
        <w:t xml:space="preserve">, כשנפטר ר׳ </w:t>
      </w:r>
      <w:proofErr w:type="spellStart"/>
      <w:r>
        <w:rPr>
          <w:rtl/>
        </w:rPr>
        <w:t>דוד־צבי</w:t>
      </w:r>
      <w:proofErr w:type="spellEnd"/>
      <w:r>
        <w:rPr>
          <w:rtl/>
        </w:rPr>
        <w:t xml:space="preserve"> הופמן, נתמנה לראש מחלקת התלמוד בבית המדרש. הוא ערך גם את המדור העברי של כתב העת “ישורון”, ותרם מאמרים למדניים רבים שחיזקו את היהדות החרדית בגרמניה. תלמידיו אהבוהו והעריצוהו, והוא הביא את אור ישיבות ליטא למערב אירופה. בעקבות תורתו ואישיותו החל זרם של תלמידים גרמנים לנהור אל הישיבות המסורתיות</w:t>
      </w:r>
      <w:bookmarkStart w:id="6871" w:name="_fnr5263"/>
      <w:r>
        <w:rPr>
          <w:rStyle w:val="a5"/>
        </w:rPr>
        <w:footnoteReference w:id="5277" w:customMarkFollows="0"/>
      </w:r>
      <w:bookmarkEnd w:id="6871"/>
      <w:r>
        <w:rPr>
          <w:rtl/>
        </w:rPr>
        <w:t>.</w:t>
      </w:r>
    </w:p>
    <w:p w14:paraId="15B4A00E" w14:textId="77777777" w:rsidR="00AB3647" w:rsidRDefault="00000000" w:rsidP="007923E9">
      <w:pPr>
        <w:spacing w:after="120" w:line="276" w:lineRule="auto"/>
        <w:ind w:firstLine="283"/>
        <w:jc w:val="both"/>
      </w:pPr>
      <w:r>
        <w:rPr>
          <w:rtl/>
        </w:rPr>
        <w:t xml:space="preserve">המאמר </w:t>
      </w:r>
      <w:proofErr w:type="spellStart"/>
      <w:r>
        <w:rPr>
          <w:rtl/>
        </w:rPr>
        <w:t>ב“יתד</w:t>
      </w:r>
      <w:proofErr w:type="spellEnd"/>
      <w:r>
        <w:rPr>
          <w:rtl/>
        </w:rPr>
        <w:t xml:space="preserve"> נאמן” שצוטט לעיל מספר: “במאבקו בנסיגת היהדות החרדית בגרמניה היה מאריך לבאר שהעניין החשוב ביותר הוא החינוך. [הכריז:] ‘מי שרושם את ילדו לבתי הספר הממשלתיים חייב לדעת – בין שהוא אוהב לשמוע זאת ובין שהדבר מאוד לא נעים לו, </w:t>
      </w:r>
      <w:r>
        <w:rPr>
          <w:rtl/>
        </w:rPr>
        <w:lastRenderedPageBreak/>
        <w:t>עליו להיות מודע היטב לכך שהוא מעביר את זרעו למולך האירופי</w:t>
      </w:r>
      <w:bookmarkStart w:id="6872" w:name="_fnr5264"/>
      <w:r>
        <w:rPr>
          <w:rStyle w:val="a5"/>
        </w:rPr>
        <w:footnoteReference w:id="5278" w:customMarkFollows="0"/>
      </w:r>
      <w:bookmarkEnd w:id="6872"/>
      <w:r>
        <w:rPr>
          <w:rtl/>
        </w:rPr>
        <w:t>, ובכך הוא מוחק מלב ילדו את הבטחת הקב״ה כי [התורה] “לא תשכח מפי זרעו”</w:t>
      </w:r>
      <w:bookmarkStart w:id="6873" w:name="_fnr5265"/>
      <w:r>
        <w:rPr>
          <w:rStyle w:val="a5"/>
        </w:rPr>
        <w:footnoteReference w:id="5279" w:customMarkFollows="0"/>
      </w:r>
      <w:bookmarkEnd w:id="6873"/>
      <w:r>
        <w:rPr>
          <w:rtl/>
        </w:rPr>
        <w:t>‘”.</w:t>
      </w:r>
    </w:p>
    <w:p w14:paraId="4D6CFCBF" w14:textId="77777777" w:rsidR="00AB3647" w:rsidRDefault="00000000" w:rsidP="007923E9">
      <w:pPr>
        <w:spacing w:after="120" w:line="276" w:lineRule="auto"/>
        <w:ind w:firstLine="283"/>
        <w:jc w:val="both"/>
      </w:pPr>
      <w:r>
        <w:rPr>
          <w:rtl/>
        </w:rPr>
        <w:t xml:space="preserve">הקורא האמריקאי ימצא עניין במידע שחושף מאמר מאת ר׳ </w:t>
      </w:r>
      <w:proofErr w:type="spellStart"/>
      <w:r>
        <w:rPr>
          <w:rtl/>
        </w:rPr>
        <w:t>אברהם־יעקב</w:t>
      </w:r>
      <w:proofErr w:type="spellEnd"/>
      <w:r>
        <w:rPr>
          <w:rtl/>
        </w:rPr>
        <w:t xml:space="preserve"> </w:t>
      </w:r>
      <w:proofErr w:type="spellStart"/>
      <w:r>
        <w:rPr>
          <w:rtl/>
        </w:rPr>
        <w:t>ניימרק</w:t>
      </w:r>
      <w:bookmarkStart w:id="6874" w:name="_fnr5266"/>
      <w:proofErr w:type="spellEnd"/>
      <w:r>
        <w:rPr>
          <w:rStyle w:val="a5"/>
        </w:rPr>
        <w:footnoteReference w:id="5280" w:customMarkFollows="0"/>
      </w:r>
      <w:bookmarkEnd w:id="6874"/>
      <w:r>
        <w:rPr>
          <w:rtl/>
        </w:rPr>
        <w:t xml:space="preserve">: ר׳ </w:t>
      </w:r>
      <w:proofErr w:type="spellStart"/>
      <w:r>
        <w:rPr>
          <w:rtl/>
        </w:rPr>
        <w:t>אברהם־אליהו</w:t>
      </w:r>
      <w:proofErr w:type="spellEnd"/>
      <w:r>
        <w:rPr>
          <w:rtl/>
        </w:rPr>
        <w:t xml:space="preserve"> נכח בחתונת ר׳ אהרן קוטלר </w:t>
      </w:r>
      <w:proofErr w:type="spellStart"/>
      <w:r>
        <w:rPr>
          <w:rtl/>
        </w:rPr>
        <w:t>בסלוצק</w:t>
      </w:r>
      <w:proofErr w:type="spellEnd"/>
      <w:r>
        <w:rPr>
          <w:rtl/>
        </w:rPr>
        <w:t xml:space="preserve"> בחורף תרע״ד</w:t>
      </w:r>
      <w:bookmarkStart w:id="6875" w:name="_fnr5267"/>
      <w:r>
        <w:rPr>
          <w:rStyle w:val="a5"/>
        </w:rPr>
        <w:footnoteReference w:id="5281" w:customMarkFollows="0"/>
      </w:r>
      <w:bookmarkEnd w:id="6875"/>
      <w:r>
        <w:rPr>
          <w:rtl/>
        </w:rPr>
        <w:t>. באחת מסעודות שבע הברכות, אחרי שאמר החתן את דברי תורתו “בעומק ובחריפות נפלאים, והאריך בדרשתו עד שאפילו הלומדים התקשו לרדת לסוף דעתו, עמד הרב קפלן, המכרכר בשיר והמלמד תורה בכל כלי שיר</w:t>
      </w:r>
      <w:bookmarkStart w:id="6876" w:name="_fnr5268"/>
      <w:r>
        <w:rPr>
          <w:rStyle w:val="a5"/>
        </w:rPr>
        <w:footnoteReference w:id="5282" w:customMarkFollows="0"/>
      </w:r>
      <w:bookmarkEnd w:id="6876"/>
      <w:r>
        <w:rPr>
          <w:rtl/>
        </w:rPr>
        <w:t xml:space="preserve">, ושר את הפלפול בחרוזים, בבהירות נפלאה, ‘ולא </w:t>
      </w:r>
      <w:proofErr w:type="spellStart"/>
      <w:r>
        <w:rPr>
          <w:rtl/>
        </w:rPr>
        <w:t>יפול</w:t>
      </w:r>
      <w:proofErr w:type="spellEnd"/>
      <w:r>
        <w:rPr>
          <w:rtl/>
        </w:rPr>
        <w:t xml:space="preserve"> צרור ארץ’</w:t>
      </w:r>
      <w:bookmarkStart w:id="6877" w:name="_fnr5269"/>
      <w:r>
        <w:rPr>
          <w:rStyle w:val="a5"/>
        </w:rPr>
        <w:footnoteReference w:id="5283" w:customMarkFollows="0"/>
      </w:r>
      <w:bookmarkEnd w:id="6877"/>
      <w:r>
        <w:rPr>
          <w:rtl/>
        </w:rPr>
        <w:t>”.</w:t>
      </w:r>
    </w:p>
    <w:p w14:paraId="6929060C" w14:textId="77777777" w:rsidR="00AB3647" w:rsidRDefault="00000000" w:rsidP="007923E9">
      <w:pPr>
        <w:spacing w:after="120" w:line="276" w:lineRule="auto"/>
        <w:ind w:firstLine="283"/>
        <w:jc w:val="both"/>
      </w:pPr>
      <w:r>
        <w:rPr>
          <w:rtl/>
        </w:rPr>
        <w:t xml:space="preserve">ר׳ </w:t>
      </w:r>
      <w:proofErr w:type="spellStart"/>
      <w:r>
        <w:rPr>
          <w:rtl/>
        </w:rPr>
        <w:t>פיבל</w:t>
      </w:r>
      <w:proofErr w:type="spellEnd"/>
      <w:r>
        <w:rPr>
          <w:rtl/>
        </w:rPr>
        <w:t xml:space="preserve"> מלצר, אחי הכלה, נזכר </w:t>
      </w:r>
      <w:proofErr w:type="spellStart"/>
      <w:r>
        <w:rPr>
          <w:rtl/>
        </w:rPr>
        <w:t>ב“בעקבות</w:t>
      </w:r>
      <w:proofErr w:type="spellEnd"/>
      <w:r>
        <w:rPr>
          <w:rtl/>
        </w:rPr>
        <w:t xml:space="preserve"> היראה”</w:t>
      </w:r>
      <w:bookmarkStart w:id="6878" w:name="_fnr5270"/>
      <w:r>
        <w:rPr>
          <w:rStyle w:val="a5"/>
        </w:rPr>
        <w:footnoteReference w:id="5284" w:customMarkFollows="0"/>
      </w:r>
      <w:bookmarkEnd w:id="6878"/>
      <w:r>
        <w:rPr>
          <w:rtl/>
        </w:rPr>
        <w:t xml:space="preserve"> </w:t>
      </w:r>
      <w:proofErr w:type="spellStart"/>
      <w:r>
        <w:rPr>
          <w:rtl/>
        </w:rPr>
        <w:t>ש“ברגע</w:t>
      </w:r>
      <w:proofErr w:type="spellEnd"/>
      <w:r>
        <w:rPr>
          <w:rtl/>
        </w:rPr>
        <w:t xml:space="preserve"> שסיים ר׳ אהרן את הרצאתו, החל הרב קפלן מיד לחזור עליה בחרוזים ובשירה”. עוד טוען ר׳ </w:t>
      </w:r>
      <w:proofErr w:type="spellStart"/>
      <w:r>
        <w:rPr>
          <w:rtl/>
        </w:rPr>
        <w:t>פיבל</w:t>
      </w:r>
      <w:proofErr w:type="spellEnd"/>
      <w:r>
        <w:rPr>
          <w:rtl/>
        </w:rPr>
        <w:t xml:space="preserve"> שפלפולו של ר׳ אהרן נמשך שלוש שעות</w:t>
      </w:r>
      <w:bookmarkStart w:id="6879" w:name="_fnr5271"/>
      <w:r>
        <w:rPr>
          <w:rStyle w:val="a5"/>
        </w:rPr>
        <w:footnoteReference w:id="5285" w:customMarkFollows="0"/>
      </w:r>
      <w:bookmarkEnd w:id="6879"/>
      <w:r>
        <w:rPr>
          <w:rtl/>
        </w:rPr>
        <w:t xml:space="preserve">. תלמיד של ר׳ אהרן מבית מדרש גבוה </w:t>
      </w:r>
      <w:proofErr w:type="spellStart"/>
      <w:r>
        <w:rPr>
          <w:rtl/>
        </w:rPr>
        <w:t>בלייקווד</w:t>
      </w:r>
      <w:proofErr w:type="spellEnd"/>
      <w:r>
        <w:rPr>
          <w:rtl/>
        </w:rPr>
        <w:t xml:space="preserve"> אמר: “ידוע לכול שבכל יום משבע הברכות שלו הרצה ר׳ אהרן דרך אחרת ליישב את הקשיים בנושא ‘חופה לפסולות’</w:t>
      </w:r>
      <w:bookmarkStart w:id="6880" w:name="_fnr5272"/>
      <w:r>
        <w:rPr>
          <w:rStyle w:val="a5"/>
        </w:rPr>
        <w:footnoteReference w:id="5286" w:customMarkFollows="0"/>
      </w:r>
      <w:bookmarkEnd w:id="6880"/>
      <w:r>
        <w:rPr>
          <w:rtl/>
        </w:rPr>
        <w:t xml:space="preserve">”. בסעודה האחרונה משבע הברכות חזר ר׳ </w:t>
      </w:r>
      <w:proofErr w:type="spellStart"/>
      <w:r>
        <w:rPr>
          <w:rtl/>
        </w:rPr>
        <w:t>איסר־זלמן</w:t>
      </w:r>
      <w:proofErr w:type="spellEnd"/>
      <w:r>
        <w:rPr>
          <w:rtl/>
        </w:rPr>
        <w:t>, אבי הכלה, על דרשת ר׳ אהרן בבתים מחורזים, והרב קפלן ליווה בכינורו את הפזמון שבין הבתים</w:t>
      </w:r>
      <w:bookmarkStart w:id="6881" w:name="_fnr5273"/>
      <w:r>
        <w:rPr>
          <w:rStyle w:val="a5"/>
        </w:rPr>
        <w:footnoteReference w:id="5287" w:customMarkFollows="0"/>
      </w:r>
      <w:bookmarkEnd w:id="6881"/>
      <w:r>
        <w:rPr>
          <w:rtl/>
        </w:rPr>
        <w:t>. לפי “בעקבות היראה”</w:t>
      </w:r>
      <w:bookmarkStart w:id="6882" w:name="_fnr5274"/>
      <w:r>
        <w:rPr>
          <w:rStyle w:val="a5"/>
        </w:rPr>
        <w:footnoteReference w:id="5288" w:customMarkFollows="0"/>
      </w:r>
      <w:bookmarkEnd w:id="6882"/>
      <w:r>
        <w:rPr>
          <w:rtl/>
        </w:rPr>
        <w:t xml:space="preserve">, שימש הרב קפלן חזן בישיבת </w:t>
      </w:r>
      <w:proofErr w:type="spellStart"/>
      <w:r>
        <w:rPr>
          <w:rtl/>
        </w:rPr>
        <w:t>סלבודקה</w:t>
      </w:r>
      <w:proofErr w:type="spellEnd"/>
      <w:r>
        <w:rPr>
          <w:rtl/>
        </w:rPr>
        <w:t xml:space="preserve"> בכל ראש השנה עד פטירתו.</w:t>
      </w:r>
    </w:p>
    <w:p w14:paraId="65D9F251" w14:textId="77777777" w:rsidR="00AB3647" w:rsidRDefault="00000000" w:rsidP="007923E9">
      <w:pPr>
        <w:pStyle w:val="4"/>
        <w:spacing w:line="276" w:lineRule="auto"/>
      </w:pPr>
      <w:r>
        <w:t>· הפסקה השנייה ·</w:t>
      </w:r>
    </w:p>
    <w:p w14:paraId="75320635" w14:textId="77777777" w:rsidR="00AB3647" w:rsidRDefault="00000000" w:rsidP="007923E9">
      <w:pPr>
        <w:pStyle w:val="5"/>
        <w:spacing w:line="276" w:lineRule="auto"/>
      </w:pPr>
      <w:r>
        <w:t xml:space="preserve">יש הסבורים שפטירתו המוקדמת של ר׳ </w:t>
      </w:r>
      <w:proofErr w:type="spellStart"/>
      <w:r>
        <w:t>אברהם־אליהו</w:t>
      </w:r>
      <w:proofErr w:type="spellEnd"/>
      <w:r>
        <w:t xml:space="preserve"> קפלן הייתה אות משמים שלא לחבר פירוש חדש לש״ס – ר׳ </w:t>
      </w:r>
      <w:proofErr w:type="spellStart"/>
      <w:r>
        <w:t>איסר־זלמן</w:t>
      </w:r>
      <w:proofErr w:type="spellEnd"/>
      <w:r>
        <w:t xml:space="preserve"> חולק</w:t>
      </w:r>
    </w:p>
    <w:p w14:paraId="1B2517F7" w14:textId="1CB62E66"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החל במפעל של פירוש חדש לש״ס, כדוגמת פירוש רש״י: </w:t>
      </w:r>
      <w:proofErr w:type="spellStart"/>
      <w:r>
        <w:rPr>
          <w:rtl/>
        </w:rPr>
        <w:t>בתרפ״ד</w:t>
      </w:r>
      <w:proofErr w:type="spellEnd"/>
      <w:r>
        <w:rPr>
          <w:rtl/>
        </w:rPr>
        <w:t xml:space="preserve"> פרסם </w:t>
      </w:r>
      <w:proofErr w:type="spellStart"/>
      <w:r>
        <w:rPr>
          <w:rtl/>
        </w:rPr>
        <w:t>ב“ישורון</w:t>
      </w:r>
      <w:proofErr w:type="spellEnd"/>
      <w:r>
        <w:rPr>
          <w:rtl/>
        </w:rPr>
        <w:t>” מאמר ארוך על הצורך בחיבור כזה ועל תוכנית לביצועו – ואז נפטר לפתע</w:t>
      </w:r>
      <w:bookmarkStart w:id="6883" w:name="_fnr5275"/>
      <w:r>
        <w:rPr>
          <w:rStyle w:val="a5"/>
        </w:rPr>
        <w:footnoteReference w:id="5289" w:customMarkFollows="0"/>
      </w:r>
      <w:bookmarkEnd w:id="6883"/>
      <w:r>
        <w:rPr>
          <w:rtl/>
        </w:rPr>
        <w:t xml:space="preserve">. תלמידי </w:t>
      </w:r>
      <w:proofErr w:type="spellStart"/>
      <w:r>
        <w:rPr>
          <w:rtl/>
        </w:rPr>
        <w:t>סלבודקה</w:t>
      </w:r>
      <w:proofErr w:type="spellEnd"/>
      <w:r>
        <w:rPr>
          <w:rtl/>
        </w:rPr>
        <w:t xml:space="preserve"> כאבי הזדעזעו מפטירתו בטרם עת של הרב קפלן, וראו בו אדם שכישרונותיו </w:t>
      </w:r>
      <w:r>
        <w:rPr>
          <w:rtl/>
        </w:rPr>
        <w:lastRenderedPageBreak/>
        <w:t xml:space="preserve">אין להם גבול. הם ייחסו את האסון לכך שקיבל עליו לחבר פירוש שהיה מתחרה בפירוש רש״י (שהרב קפלן היה מצאצאיו! – ראה </w:t>
      </w:r>
      <w:r>
        <w:rPr>
          <w:rtl/>
        </w:rPr>
        <w:fldChar w:fldCharType="begin" w:dirty="true"/>
      </w:r>
      <w:r>
        <w:rPr>
          <w:rtl/>
        </w:rPr>
        <w:instrText xml:space="preserve"> REF b5_excH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ח</w:t>
      </w:r>
      <w:r>
        <w:rPr>
          <w:rtl/>
        </w:rPr>
        <w:fldChar w:fldCharType="end"/>
      </w:r>
      <w:r>
        <w:rPr>
          <w:rtl/>
        </w:rPr>
        <w:t xml:space="preserve"> להלן).</w:t>
      </w:r>
    </w:p>
    <w:p w14:paraId="79152A2E" w14:textId="77777777" w:rsidR="00AB3647" w:rsidRDefault="00000000" w:rsidP="007923E9">
      <w:pPr>
        <w:spacing w:after="120" w:line="276" w:lineRule="auto"/>
        <w:ind w:firstLine="283"/>
        <w:jc w:val="both"/>
      </w:pPr>
      <w:r>
        <w:rPr>
          <w:rtl/>
        </w:rPr>
        <w:t xml:space="preserve">גישה זו באה לידי ביטוי במאמרו של </w:t>
      </w:r>
      <w:proofErr w:type="spellStart"/>
      <w:r>
        <w:rPr>
          <w:rtl/>
        </w:rPr>
        <w:t>ניימרק</w:t>
      </w:r>
      <w:proofErr w:type="spellEnd"/>
      <w:r>
        <w:rPr>
          <w:rtl/>
        </w:rPr>
        <w:t xml:space="preserve"> שנזכר לעיל</w:t>
      </w:r>
      <w:bookmarkStart w:id="6884" w:name="_fnr5276"/>
      <w:r>
        <w:rPr>
          <w:rStyle w:val="a5"/>
        </w:rPr>
        <w:footnoteReference w:id="5290" w:customMarkFollows="0"/>
      </w:r>
      <w:bookmarkEnd w:id="6884"/>
      <w:r>
        <w:rPr>
          <w:rtl/>
        </w:rPr>
        <w:t xml:space="preserve">, שבו הוא כותב: “לפתע פתאום הופיע לנגד עיניי, </w:t>
      </w:r>
      <w:proofErr w:type="spellStart"/>
      <w:r>
        <w:rPr>
          <w:rtl/>
        </w:rPr>
        <w:t>ב‘ישורון</w:t>
      </w:r>
      <w:proofErr w:type="spellEnd"/>
      <w:r>
        <w:rPr>
          <w:rtl/>
        </w:rPr>
        <w:t xml:space="preserve">’, מאמרו של הרב קפלן על ‘עריכת פירוש לתלמוד הבבלי’. דבר קטן! פירוש לתלמוד הבבלי הבנוי על ארבעה יסודות: ספרא, ספרי, </w:t>
      </w:r>
      <w:proofErr w:type="spellStart"/>
      <w:r>
        <w:rPr>
          <w:rtl/>
        </w:rPr>
        <w:t>תוספתא</w:t>
      </w:r>
      <w:proofErr w:type="spellEnd"/>
      <w:r>
        <w:rPr>
          <w:rtl/>
        </w:rPr>
        <w:t xml:space="preserve"> וירושלמי, וכל הראשונים שיש לנו מאז נחתם התלמוד. הקו כבר נטוי, המקום נקבע, </w:t>
      </w:r>
      <w:proofErr w:type="spellStart"/>
      <w:r>
        <w:rPr>
          <w:rtl/>
        </w:rPr>
        <w:t>ואחד־עשר</w:t>
      </w:r>
      <w:proofErr w:type="spellEnd"/>
      <w:r>
        <w:rPr>
          <w:rtl/>
        </w:rPr>
        <w:t xml:space="preserve"> העמודים ניצבים על מקומם</w:t>
      </w:r>
      <w:bookmarkStart w:id="6885" w:name="_fnr5277"/>
      <w:r>
        <w:rPr>
          <w:rStyle w:val="a5"/>
        </w:rPr>
        <w:footnoteReference w:id="5291" w:customMarkFollows="0"/>
      </w:r>
      <w:bookmarkEnd w:id="6885"/>
      <w:r>
        <w:rPr>
          <w:rtl/>
        </w:rPr>
        <w:t xml:space="preserve">. קראתי שוב, ולא יכולתי להאמין למראה עיניי. האומנם קם לתחייה רמב״ם – יוצר הבניין הענקי ‘יד החזקה’ לבירור ההלכה – לבנות לנו מגדל מפואר עוד יותר [וראשו בשמים] לביאור ההלכה? שמא אני חולם בהקיץ? אך לאחר עיון מיושב בחמשת העמודים, משוכנע אני שאין אלה חלומות. משוכנע אני שהאדריכל המקבל עליו מפעל כזה סבור שבכוחו להתחיל ולהשלים את הבניין מן היסוד ועד התקרה. קראתי, ורעד אחזני: נזכרתי במה שנכתב על הגאון מווילנה, שהתכוון, בהיותו בן פחות מארבעים</w:t>
      </w:r>
      <w:bookmarkStart w:id="6886" w:name="_fnr5278"/>
      <w:r>
        <w:rPr>
          <w:rStyle w:val="a5"/>
        </w:rPr>
        <w:footnoteReference w:id="5292" w:customMarkFollows="0"/>
      </w:r>
      <w:bookmarkEnd w:id="6886"/>
      <w:r>
        <w:rPr>
          <w:rtl/>
        </w:rPr>
        <w:t xml:space="preserve">, לחבר שולחן ערוך ובו הכרעותיו המיוסדות על ביאוריו לתלמוד הבבלי, לתלמוד הירושלמי </w:t>
      </w:r>
      <w:proofErr w:type="spellStart"/>
      <w:r>
        <w:rPr>
          <w:rtl/>
        </w:rPr>
        <w:t>וכו</w:t>
      </w:r>
      <w:proofErr w:type="spellEnd"/>
      <w:r>
        <w:rPr>
          <w:rtl/>
        </w:rPr>
        <w:t xml:space="preserve">׳, והראו לו אות משמים שיחדל מכך... ‘ויהי המה הלכים הלוך ודבר והנה רכב אש וסוסי אש </w:t>
      </w:r>
      <w:proofErr w:type="spellStart"/>
      <w:r>
        <w:rPr>
          <w:rtl/>
        </w:rPr>
        <w:t>ויפרדו</w:t>
      </w:r>
      <w:proofErr w:type="spellEnd"/>
      <w:r>
        <w:rPr>
          <w:rtl/>
        </w:rPr>
        <w:t xml:space="preserve"> בין שניהם ויעל אליהו בסערה השמים...’</w:t>
      </w:r>
      <w:bookmarkStart w:id="6887" w:name="_fnr5279"/>
      <w:r>
        <w:rPr>
          <w:rStyle w:val="a5"/>
        </w:rPr>
        <w:footnoteReference w:id="5293" w:customMarkFollows="0"/>
      </w:r>
      <w:bookmarkEnd w:id="6887"/>
      <w:r>
        <w:rPr>
          <w:rtl/>
        </w:rPr>
        <w:t xml:space="preserve"> הבנתי את קול האות האחרון</w:t>
      </w:r>
      <w:bookmarkStart w:id="6888" w:name="_fnr5280"/>
      <w:r>
        <w:rPr>
          <w:rStyle w:val="a5"/>
        </w:rPr>
        <w:footnoteReference w:id="5294" w:customMarkFollows="0"/>
      </w:r>
      <w:bookmarkEnd w:id="6888"/>
      <w:r>
        <w:rPr>
          <w:rtl/>
        </w:rPr>
        <w:t>”.</w:t>
      </w:r>
    </w:p>
    <w:p w14:paraId="3C00238B" w14:textId="77777777" w:rsidR="00AB3647" w:rsidRDefault="00000000" w:rsidP="007923E9">
      <w:pPr>
        <w:spacing w:after="120" w:line="276" w:lineRule="auto"/>
        <w:ind w:firstLine="283"/>
        <w:jc w:val="both"/>
      </w:pPr>
      <w:r>
        <w:rPr>
          <w:rtl/>
        </w:rPr>
        <w:t xml:space="preserve">בדבריו האחרונים מתכוון ר׳ </w:t>
      </w:r>
      <w:proofErr w:type="spellStart"/>
      <w:r>
        <w:rPr>
          <w:rtl/>
        </w:rPr>
        <w:t>אברהם־יעקב</w:t>
      </w:r>
      <w:proofErr w:type="spellEnd"/>
      <w:r>
        <w:rPr>
          <w:rtl/>
        </w:rPr>
        <w:t xml:space="preserve"> </w:t>
      </w:r>
      <w:proofErr w:type="spellStart"/>
      <w:r>
        <w:rPr>
          <w:rtl/>
        </w:rPr>
        <w:t>ניימרק</w:t>
      </w:r>
      <w:proofErr w:type="spellEnd"/>
      <w:r>
        <w:rPr>
          <w:rtl/>
        </w:rPr>
        <w:t xml:space="preserve"> כנראה לומר שאין הוא יודע מה בדיוק היה האות שהראו לגאון מווילנה (ר׳ אליהו קרמר); אבל במקרה המאוחר, של ר׳ אליהו קפלן, האות היה ברור: הוא נחטף כביכול בסערת אש, במיתה בטרם עת.</w:t>
      </w:r>
    </w:p>
    <w:p w14:paraId="6C6056A6" w14:textId="77777777" w:rsidR="00AB3647" w:rsidRDefault="00000000" w:rsidP="007923E9">
      <w:pPr>
        <w:spacing w:after="120" w:line="276" w:lineRule="auto"/>
        <w:ind w:firstLine="283"/>
        <w:jc w:val="both"/>
      </w:pPr>
      <w:r>
        <w:rPr>
          <w:rtl/>
        </w:rPr>
        <w:t xml:space="preserve">אולם ר׳ </w:t>
      </w:r>
      <w:proofErr w:type="spellStart"/>
      <w:r>
        <w:rPr>
          <w:rtl/>
        </w:rPr>
        <w:t>איסר־זלמן</w:t>
      </w:r>
      <w:proofErr w:type="spellEnd"/>
      <w:r>
        <w:rPr>
          <w:rtl/>
        </w:rPr>
        <w:t xml:space="preserve"> מלצר לא הסכים לגישה </w:t>
      </w:r>
      <w:proofErr w:type="spellStart"/>
      <w:r>
        <w:rPr>
          <w:rtl/>
        </w:rPr>
        <w:t>הסלבודקאית</w:t>
      </w:r>
      <w:proofErr w:type="spellEnd"/>
      <w:r>
        <w:rPr>
          <w:rtl/>
        </w:rPr>
        <w:t xml:space="preserve"> הזאת לפטירתו הטרגית של הרב קפלן, וכך כתב</w:t>
      </w:r>
      <w:bookmarkStart w:id="6889" w:name="_fnr5281"/>
      <w:r>
        <w:rPr>
          <w:rStyle w:val="a5"/>
        </w:rPr>
        <w:footnoteReference w:id="5295" w:customMarkFollows="0"/>
      </w:r>
      <w:bookmarkEnd w:id="6889"/>
      <w:r>
        <w:rPr>
          <w:rtl/>
        </w:rPr>
        <w:t xml:space="preserve">: “לדעתי כדאי להדפיס שוב את מאמרו </w:t>
      </w:r>
      <w:proofErr w:type="spellStart"/>
      <w:r>
        <w:rPr>
          <w:rtl/>
        </w:rPr>
        <w:t>ב‘ישורון</w:t>
      </w:r>
      <w:proofErr w:type="spellEnd"/>
      <w:r>
        <w:rPr>
          <w:rtl/>
        </w:rPr>
        <w:t>’... שעל ידו יראו הבריות כיצד גבהו לבו, שכלו וכוחו בדרכי ה׳, עד שראה את עצמו מסוגל להעפיל לשמי שמים באהבה ובחשק להתעמק בלימוד תורתנו הקדושה”.</w:t>
      </w:r>
    </w:p>
    <w:p w14:paraId="46E8FF43" w14:textId="77777777" w:rsidR="00AB3647" w:rsidRDefault="00000000" w:rsidP="007923E9">
      <w:pPr>
        <w:spacing w:after="120" w:line="276" w:lineRule="auto"/>
        <w:ind w:firstLine="283"/>
        <w:jc w:val="both"/>
      </w:pPr>
      <w:r>
        <w:rPr>
          <w:rtl/>
        </w:rPr>
        <w:t xml:space="preserve">ברור שר׳ </w:t>
      </w:r>
      <w:proofErr w:type="spellStart"/>
      <w:r>
        <w:rPr>
          <w:rtl/>
        </w:rPr>
        <w:t>איסר־זלמן</w:t>
      </w:r>
      <w:proofErr w:type="spellEnd"/>
      <w:r>
        <w:rPr>
          <w:rtl/>
        </w:rPr>
        <w:t xml:space="preserve"> מלצר סבר שלא המאמר ולא המפעל שהמאמר דגל בו היו הסיבה </w:t>
      </w:r>
      <w:proofErr w:type="spellStart"/>
      <w:r>
        <w:rPr>
          <w:rtl/>
        </w:rPr>
        <w:t>ההשגחתית</w:t>
      </w:r>
      <w:proofErr w:type="spellEnd"/>
      <w:r>
        <w:rPr>
          <w:rtl/>
        </w:rPr>
        <w:t xml:space="preserve"> לפטירתו המוקדמת של הרב קפלן.</w:t>
      </w:r>
    </w:p>
    <w:bookmarkStart w:id="6890" w:name="b5_excH"/>
    <w:p w14:paraId="739588F9" w14:textId="77777777" w:rsidR="00AB3647" w:rsidRDefault="00000000" w:rsidP="007923E9">
      <w:pPr>
        <w:pStyle w:val="3"/>
        <w:spacing w:line="276" w:lineRule="auto"/>
      </w:pPr>
      <w:r>
        <w:lastRenderedPageBreak/>
        <w:fldChar w:fldCharType="begin" w:dirty="true"/>
      </w:r>
      <w:r>
        <w:rPr>
          <w:rtl w:val="0"/>
        </w:rPr>
        <w:instrText>HYPERLINK \l "b5_note66</w:instrText>
      </w:r>
      <w:r>
        <w:instrText>"</w:instrText>
      </w:r>
      <w:r>
        <w:fldChar w:fldCharType="separate"/>
      </w:r>
      <w:r>
        <w:t>נספח ח</w:t>
      </w:r>
      <w:r>
        <w:fldChar w:fldCharType="end"/>
      </w:r>
      <w:bookmarkEnd w:id="6890"/>
    </w:p>
    <w:p w14:paraId="4AB4BE47" w14:textId="77777777" w:rsidR="00AB3647" w:rsidRDefault="00000000" w:rsidP="007923E9">
      <w:pPr>
        <w:pStyle w:val="af"/>
        <w:spacing w:line="276" w:lineRule="auto"/>
      </w:pPr>
      <w:r>
        <w:t xml:space="preserve">על העילוי </w:t>
      </w:r>
      <w:proofErr w:type="spellStart"/>
      <w:r>
        <w:t>מראקוב</w:t>
      </w:r>
      <w:proofErr w:type="spellEnd"/>
      <w:r>
        <w:t xml:space="preserve"> והעילוי </w:t>
      </w:r>
      <w:proofErr w:type="spellStart"/>
      <w:r>
        <w:t>ממייצ׳ט</w:t>
      </w:r>
      <w:proofErr w:type="spellEnd"/>
    </w:p>
    <w:p w14:paraId="12F49385" w14:textId="77777777" w:rsidR="00AB3647" w:rsidRDefault="00000000" w:rsidP="007923E9">
      <w:pPr>
        <w:pStyle w:val="4"/>
        <w:spacing w:line="276" w:lineRule="auto"/>
      </w:pPr>
      <w:r>
        <w:t>· הפסקה הראשונה ·</w:t>
      </w:r>
    </w:p>
    <w:p w14:paraId="4BCC141B" w14:textId="77777777" w:rsidR="00AB3647" w:rsidRDefault="00000000" w:rsidP="007923E9">
      <w:pPr>
        <w:pStyle w:val="5"/>
        <w:spacing w:line="276" w:lineRule="auto"/>
      </w:pPr>
      <w:r>
        <w:t xml:space="preserve">ר׳ חיים </w:t>
      </w:r>
      <w:proofErr w:type="spellStart"/>
      <w:r>
        <w:t>סולובייצ׳יק</w:t>
      </w:r>
      <w:proofErr w:type="spellEnd"/>
      <w:r>
        <w:t xml:space="preserve"> מתאר את ר׳ </w:t>
      </w:r>
      <w:proofErr w:type="spellStart"/>
      <w:r>
        <w:t>אברהם־אליהו</w:t>
      </w:r>
      <w:proofErr w:type="spellEnd"/>
      <w:r>
        <w:t xml:space="preserve"> קפלן האב</w:t>
      </w:r>
    </w:p>
    <w:p w14:paraId="6F2C31E3" w14:textId="77777777"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העילוי </w:t>
      </w:r>
      <w:proofErr w:type="spellStart"/>
      <w:r>
        <w:rPr>
          <w:rtl/>
        </w:rPr>
        <w:t>מראקוב</w:t>
      </w:r>
      <w:proofErr w:type="spellEnd"/>
      <w:r>
        <w:rPr>
          <w:rtl/>
        </w:rPr>
        <w:t xml:space="preserve">, היה צעיר מר׳ חיים בארבע שנים, ולמד </w:t>
      </w:r>
      <w:proofErr w:type="spellStart"/>
      <w:r>
        <w:rPr>
          <w:rtl/>
        </w:rPr>
        <w:t>בוולוז׳ין</w:t>
      </w:r>
      <w:proofErr w:type="spellEnd"/>
      <w:r>
        <w:rPr>
          <w:rtl/>
        </w:rPr>
        <w:t xml:space="preserve"> באותה עת שלמד בה ר׳ חיים </w:t>
      </w:r>
      <w:proofErr w:type="spellStart"/>
      <w:r>
        <w:rPr>
          <w:rtl/>
        </w:rPr>
        <w:t>סולובייצ׳יק</w:t>
      </w:r>
      <w:proofErr w:type="spellEnd"/>
      <w:r>
        <w:rPr>
          <w:rtl/>
        </w:rPr>
        <w:t>. “בעקבות היראה”</w:t>
      </w:r>
      <w:bookmarkStart w:id="6891" w:name="_fnr5282"/>
      <w:r>
        <w:rPr>
          <w:rStyle w:val="a5"/>
        </w:rPr>
        <w:footnoteReference w:id="5296" w:customMarkFollows="0"/>
      </w:r>
      <w:bookmarkEnd w:id="6891"/>
      <w:r>
        <w:rPr>
          <w:rtl/>
        </w:rPr>
        <w:t xml:space="preserve"> מצטט מכתב של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וזו לשונו: “סבי ר׳ חיים </w:t>
      </w:r>
      <w:proofErr w:type="spellStart"/>
      <w:r>
        <w:rPr>
          <w:rtl/>
        </w:rPr>
        <w:t>סולובייצ׳יק</w:t>
      </w:r>
      <w:proofErr w:type="spellEnd"/>
      <w:r>
        <w:rPr>
          <w:rtl/>
        </w:rPr>
        <w:t xml:space="preserve"> אמר בשיחה אישית עם אחד ממקורביו: ‘אינני מאמין בעילויים המפורסמים; היה יוצא מן הכלל אחד בלבד, העילוי </w:t>
      </w:r>
      <w:proofErr w:type="spellStart"/>
      <w:r>
        <w:rPr>
          <w:rtl/>
        </w:rPr>
        <w:t>מראקוב</w:t>
      </w:r>
      <w:proofErr w:type="spellEnd"/>
      <w:r>
        <w:rPr>
          <w:rtl/>
        </w:rPr>
        <w:t xml:space="preserve">, שהיה בקי בכל התורה’”. עוד מובא שם מכתב של ר׳ </w:t>
      </w:r>
      <w:proofErr w:type="spellStart"/>
      <w:r>
        <w:rPr>
          <w:rtl/>
        </w:rPr>
        <w:t>איסר־זלמן</w:t>
      </w:r>
      <w:proofErr w:type="spellEnd"/>
      <w:r>
        <w:rPr>
          <w:rtl/>
        </w:rPr>
        <w:t xml:space="preserve"> מלצר: “עם ישראל תלה בו תקוות, וציפה לראותו נעשה גאון בשיעור קומתם של גאוני דורות קודמים”</w:t>
      </w:r>
      <w:bookmarkStart w:id="6892" w:name="_fnr5283"/>
      <w:r>
        <w:rPr>
          <w:rStyle w:val="a5"/>
        </w:rPr>
        <w:footnoteReference w:id="5297" w:customMarkFollows="0"/>
      </w:r>
      <w:bookmarkEnd w:id="6892"/>
      <w:r>
        <w:rPr>
          <w:rtl/>
        </w:rPr>
        <w:t>.</w:t>
      </w:r>
    </w:p>
    <w:p w14:paraId="0D82C8C1" w14:textId="141EB42F" w:rsidR="00AB3647" w:rsidRDefault="00000000" w:rsidP="007923E9">
      <w:pPr>
        <w:spacing w:after="120" w:line="276" w:lineRule="auto"/>
        <w:ind w:firstLine="283"/>
        <w:jc w:val="both"/>
      </w:pPr>
      <w:r>
        <w:rPr>
          <w:rtl/>
        </w:rPr>
        <w:t xml:space="preserve">ר׳ </w:t>
      </w:r>
      <w:proofErr w:type="spellStart"/>
      <w:r>
        <w:rPr>
          <w:rtl/>
        </w:rPr>
        <w:t>אברהם־אליהו</w:t>
      </w:r>
      <w:proofErr w:type="spellEnd"/>
      <w:r>
        <w:rPr>
          <w:rtl/>
        </w:rPr>
        <w:t xml:space="preserve"> נפטר לפתע ובגיל צעיר – “בן שלושים ושתיים או שלושים ושלוש שנה”. בנו, שנולד חמישה חודשים אחרי פטירתו ונקרא על שמו, עתיד היה אף הוא למות צעיר, כמו שסופר ב</w:t>
      </w:r>
      <w:r>
        <w:rPr>
          <w:rtl/>
        </w:rPr>
        <w:fldChar w:fldCharType="begin" w:dirty="true"/>
      </w:r>
      <w:r>
        <w:rPr>
          <w:rtl/>
        </w:rPr>
        <w:instrText xml:space="preserve"> REF b5_excG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ז</w:t>
      </w:r>
      <w:r>
        <w:rPr>
          <w:rtl/>
        </w:rPr>
        <w:fldChar w:fldCharType="end"/>
      </w:r>
      <w:r>
        <w:rPr>
          <w:rtl/>
        </w:rPr>
        <w:t xml:space="preserve"> לעיל. חותנו של העילוי </w:t>
      </w:r>
      <w:proofErr w:type="spellStart"/>
      <w:r>
        <w:rPr>
          <w:rtl/>
        </w:rPr>
        <w:t>מראקוב</w:t>
      </w:r>
      <w:proofErr w:type="spellEnd"/>
      <w:r>
        <w:rPr>
          <w:rtl/>
        </w:rPr>
        <w:t xml:space="preserve"> היה ר׳ </w:t>
      </w:r>
      <w:proofErr w:type="spellStart"/>
      <w:r>
        <w:rPr>
          <w:rtl/>
        </w:rPr>
        <w:t>שלמה־זלמן־שמחה</w:t>
      </w:r>
      <w:proofErr w:type="spellEnd"/>
      <w:r>
        <w:rPr>
          <w:rtl/>
        </w:rPr>
        <w:t xml:space="preserve"> </w:t>
      </w:r>
      <w:proofErr w:type="spellStart"/>
      <w:r>
        <w:rPr>
          <w:rtl/>
        </w:rPr>
        <w:t>טראוב</w:t>
      </w:r>
      <w:proofErr w:type="spellEnd"/>
      <w:r>
        <w:rPr>
          <w:rtl/>
        </w:rPr>
        <w:t xml:space="preserve">, רבה של </w:t>
      </w:r>
      <w:proofErr w:type="spellStart"/>
      <w:r>
        <w:rPr>
          <w:rtl/>
        </w:rPr>
        <w:t>קיידאן</w:t>
      </w:r>
      <w:proofErr w:type="spellEnd"/>
      <w:r>
        <w:rPr>
          <w:rtl/>
        </w:rPr>
        <w:t>, מצאצאי רש״י</w:t>
      </w:r>
      <w:bookmarkStart w:id="6893" w:name="_fnr5284"/>
      <w:r>
        <w:rPr>
          <w:rStyle w:val="a5"/>
        </w:rPr>
        <w:footnoteReference w:id="5298" w:customMarkFollows="0"/>
      </w:r>
      <w:bookmarkEnd w:id="6893"/>
      <w:r>
        <w:rPr>
          <w:rtl/>
        </w:rPr>
        <w:t>.</w:t>
      </w:r>
    </w:p>
    <w:p w14:paraId="6D5C4E2E" w14:textId="77777777" w:rsidR="00AB3647" w:rsidRDefault="00000000" w:rsidP="007923E9">
      <w:pPr>
        <w:pStyle w:val="4"/>
        <w:spacing w:line="276" w:lineRule="auto"/>
      </w:pPr>
      <w:r>
        <w:t>· הפסקה השנייה ·</w:t>
      </w:r>
    </w:p>
    <w:p w14:paraId="09303226" w14:textId="77777777" w:rsidR="00AB3647" w:rsidRDefault="00000000" w:rsidP="007923E9">
      <w:pPr>
        <w:pStyle w:val="5"/>
        <w:spacing w:line="276" w:lineRule="auto"/>
      </w:pPr>
      <w:r>
        <w:t xml:space="preserve">ר׳ חיים </w:t>
      </w:r>
      <w:proofErr w:type="spellStart"/>
      <w:r>
        <w:t>סולובייצ׳יק</w:t>
      </w:r>
      <w:proofErr w:type="spellEnd"/>
      <w:r>
        <w:t xml:space="preserve"> מכנה את ר׳ שלמה </w:t>
      </w:r>
      <w:proofErr w:type="spellStart"/>
      <w:r>
        <w:t>פוליצ׳ק</w:t>
      </w:r>
      <w:proofErr w:type="spellEnd"/>
      <w:r>
        <w:t xml:space="preserve"> “העילוי </w:t>
      </w:r>
      <w:proofErr w:type="spellStart"/>
      <w:r>
        <w:t>ממייצ׳ט</w:t>
      </w:r>
      <w:proofErr w:type="spellEnd"/>
      <w:r>
        <w:t xml:space="preserve">” – מגלהו כותב כיצד הביאו </w:t>
      </w:r>
      <w:proofErr w:type="spellStart"/>
      <w:r>
        <w:t>לוולוז׳ין</w:t>
      </w:r>
      <w:proofErr w:type="spellEnd"/>
      <w:r>
        <w:t xml:space="preserve"> – ניסיונו של הסבא </w:t>
      </w:r>
      <w:proofErr w:type="spellStart"/>
      <w:r>
        <w:t>מסלבודקה</w:t>
      </w:r>
      <w:proofErr w:type="spellEnd"/>
      <w:r>
        <w:t xml:space="preserve"> למשכו למוסר</w:t>
      </w:r>
    </w:p>
    <w:p w14:paraId="1900A3F7" w14:textId="77777777" w:rsidR="00AB3647" w:rsidRDefault="00000000" w:rsidP="007923E9">
      <w:pPr>
        <w:spacing w:after="120" w:line="276" w:lineRule="auto"/>
        <w:ind w:firstLine="283"/>
        <w:jc w:val="both"/>
      </w:pPr>
      <w:r>
        <w:rPr>
          <w:rtl/>
        </w:rPr>
        <w:t xml:space="preserve">בעניין סיפורו של ר׳ </w:t>
      </w:r>
      <w:proofErr w:type="spellStart"/>
      <w:r>
        <w:rPr>
          <w:rtl/>
        </w:rPr>
        <w:t xml:space="preserve">יוסף־דב</w:t>
      </w:r>
      <w:proofErr w:type="spellEnd"/>
      <w:r>
        <w:rPr>
          <w:rtl/>
        </w:rPr>
        <w:t xml:space="preserve"> </w:t>
      </w:r>
      <w:proofErr w:type="spellStart"/>
      <w:r>
        <w:rPr>
          <w:rtl/>
        </w:rPr>
        <w:t>סולובייצ׳יק</w:t>
      </w:r>
      <w:proofErr w:type="spellEnd"/>
      <w:r>
        <w:rPr>
          <w:rtl/>
        </w:rPr>
        <w:t xml:space="preserve"> על דעתו של ר׳ חיים בעילויים, השווה “חידושי </w:t>
      </w:r>
      <w:proofErr w:type="spellStart"/>
      <w:r>
        <w:rPr>
          <w:rtl/>
        </w:rPr>
        <w:t>העלוי</w:t>
      </w:r>
      <w:proofErr w:type="spellEnd"/>
      <w:r>
        <w:rPr>
          <w:rtl/>
        </w:rPr>
        <w:t xml:space="preserve"> </w:t>
      </w:r>
      <w:proofErr w:type="spellStart"/>
      <w:r>
        <w:rPr>
          <w:rtl/>
        </w:rPr>
        <w:t>ממייציט</w:t>
      </w:r>
      <w:proofErr w:type="spellEnd"/>
      <w:r>
        <w:rPr>
          <w:rtl/>
        </w:rPr>
        <w:t>”</w:t>
      </w:r>
      <w:bookmarkStart w:id="6894" w:name="_fnr5285"/>
      <w:r>
        <w:rPr>
          <w:rStyle w:val="a5"/>
        </w:rPr>
        <w:footnoteReference w:id="5299" w:customMarkFollows="0"/>
      </w:r>
      <w:bookmarkEnd w:id="6894"/>
      <w:r>
        <w:rPr>
          <w:rtl/>
        </w:rPr>
        <w:t xml:space="preserve">: שם מצטט ר׳ אלחנן וסרמן את ר׳ חיים, שאמר </w:t>
      </w:r>
      <w:proofErr w:type="spellStart"/>
      <w:r>
        <w:rPr>
          <w:rtl/>
        </w:rPr>
        <w:t>בתרנ״ז</w:t>
      </w:r>
      <w:bookmarkStart w:id="6895" w:name="_fnr5286"/>
      <w:proofErr w:type="spellEnd"/>
      <w:r>
        <w:rPr>
          <w:rStyle w:val="a5"/>
        </w:rPr>
        <w:footnoteReference w:id="5300" w:customMarkFollows="0"/>
      </w:r>
      <w:bookmarkEnd w:id="6895"/>
      <w:r>
        <w:rPr>
          <w:rtl/>
        </w:rPr>
        <w:t xml:space="preserve"> </w:t>
      </w:r>
      <w:proofErr w:type="spellStart"/>
      <w:r>
        <w:rPr>
          <w:rtl/>
        </w:rPr>
        <w:t>ש“בכל</w:t>
      </w:r>
      <w:proofErr w:type="spellEnd"/>
      <w:r>
        <w:rPr>
          <w:rtl/>
        </w:rPr>
        <w:t xml:space="preserve"> ימי חייו לא ראה עילוי מדהים כ(ר׳ שלמה </w:t>
      </w:r>
      <w:proofErr w:type="spellStart"/>
      <w:r>
        <w:rPr>
          <w:rtl/>
        </w:rPr>
        <w:t>פוליצ׳ק</w:t>
      </w:r>
      <w:proofErr w:type="spellEnd"/>
      <w:r>
        <w:rPr>
          <w:rtl/>
        </w:rPr>
        <w:t xml:space="preserve">) העילוי </w:t>
      </w:r>
      <w:proofErr w:type="spellStart"/>
      <w:r>
        <w:rPr>
          <w:rtl/>
        </w:rPr>
        <w:t>ממייצ׳ט</w:t>
      </w:r>
      <w:proofErr w:type="spellEnd"/>
      <w:r>
        <w:rPr>
          <w:rtl/>
        </w:rPr>
        <w:t xml:space="preserve">”. דברי ר׳ אלחנן אינם סותרים את דברי ר׳ </w:t>
      </w:r>
      <w:proofErr w:type="spellStart"/>
      <w:r>
        <w:rPr>
          <w:rtl/>
        </w:rPr>
        <w:t xml:space="preserve">יוסף־דב</w:t>
      </w:r>
      <w:proofErr w:type="spellEnd"/>
      <w:r>
        <w:rPr>
          <w:rtl/>
        </w:rPr>
        <w:t xml:space="preserve">, שכן כשדיבר ר׳ חיים על “אמונה” באדם, התכוון ליכולתו להיות מנהיג בתורה, ולא רק ליכולת להציע חידושים מבריקים בתורה. בדברי ר׳ אלחנן אין רמז שר׳ חיים “האמין” בעילוי </w:t>
      </w:r>
      <w:proofErr w:type="spellStart"/>
      <w:r>
        <w:rPr>
          <w:rtl/>
        </w:rPr>
        <w:t>ממייצ׳ט</w:t>
      </w:r>
      <w:proofErr w:type="spellEnd"/>
      <w:r>
        <w:rPr>
          <w:rtl/>
        </w:rPr>
        <w:t xml:space="preserve"> כמו שהאמין בעילוי </w:t>
      </w:r>
      <w:proofErr w:type="spellStart"/>
      <w:r>
        <w:rPr>
          <w:rtl/>
        </w:rPr>
        <w:t>מראקוב</w:t>
      </w:r>
      <w:proofErr w:type="spellEnd"/>
      <w:r>
        <w:rPr>
          <w:rtl/>
        </w:rPr>
        <w:t>.</w:t>
      </w:r>
    </w:p>
    <w:p w14:paraId="489EEB22" w14:textId="77777777" w:rsidR="00AB3647" w:rsidRDefault="00000000" w:rsidP="007923E9">
      <w:pPr>
        <w:spacing w:after="120" w:line="276" w:lineRule="auto"/>
        <w:ind w:firstLine="283"/>
        <w:jc w:val="both"/>
      </w:pPr>
      <w:r>
        <w:rPr>
          <w:rtl/>
        </w:rPr>
        <w:t xml:space="preserve">במאמרו על העילוי </w:t>
      </w:r>
      <w:proofErr w:type="spellStart"/>
      <w:r>
        <w:rPr>
          <w:rtl/>
        </w:rPr>
        <w:t>ממייצ׳ט</w:t>
      </w:r>
      <w:proofErr w:type="spellEnd"/>
      <w:r>
        <w:rPr>
          <w:rtl/>
        </w:rPr>
        <w:t xml:space="preserve"> כותב ד״ר הירש ליב גורדון</w:t>
      </w:r>
      <w:bookmarkStart w:id="6896" w:name="_fnr5287"/>
      <w:r>
        <w:rPr>
          <w:rStyle w:val="a5"/>
        </w:rPr>
        <w:footnoteReference w:id="5301" w:customMarkFollows="0"/>
      </w:r>
      <w:bookmarkEnd w:id="6896"/>
      <w:r>
        <w:rPr>
          <w:rtl/>
        </w:rPr>
        <w:t xml:space="preserve"> שר׳ שלמה </w:t>
      </w:r>
      <w:proofErr w:type="spellStart"/>
      <w:r>
        <w:rPr>
          <w:rtl/>
        </w:rPr>
        <w:t>פוליצ׳ק</w:t>
      </w:r>
      <w:proofErr w:type="spellEnd"/>
      <w:r>
        <w:rPr>
          <w:rtl/>
        </w:rPr>
        <w:t xml:space="preserve"> קיבל את התואר “עילוי” מר׳ חיים עצמו, ביום הראשון לבואו </w:t>
      </w:r>
      <w:proofErr w:type="spellStart"/>
      <w:r>
        <w:rPr>
          <w:rtl/>
        </w:rPr>
        <w:t>לוולוז׳ין</w:t>
      </w:r>
      <w:proofErr w:type="spellEnd"/>
      <w:r>
        <w:rPr>
          <w:rtl/>
        </w:rPr>
        <w:t xml:space="preserve">. גורדון מספר בשם אביו, שהיה תלמיד </w:t>
      </w:r>
      <w:proofErr w:type="spellStart"/>
      <w:r>
        <w:rPr>
          <w:rtl/>
        </w:rPr>
        <w:t>בוולוז׳ין</w:t>
      </w:r>
      <w:proofErr w:type="spellEnd"/>
      <w:r>
        <w:rPr>
          <w:rtl/>
        </w:rPr>
        <w:t xml:space="preserve"> באותה תקופה: </w:t>
      </w:r>
      <w:proofErr w:type="spellStart"/>
      <w:r>
        <w:rPr>
          <w:rtl/>
        </w:rPr>
        <w:t>בתרמ״ט</w:t>
      </w:r>
      <w:proofErr w:type="spellEnd"/>
      <w:r>
        <w:rPr>
          <w:rtl/>
        </w:rPr>
        <w:t xml:space="preserve"> הביא חברו ללימודים, אהרן </w:t>
      </w:r>
      <w:proofErr w:type="spellStart"/>
      <w:r>
        <w:rPr>
          <w:rtl/>
        </w:rPr>
        <w:t>רבינוביץ</w:t>
      </w:r>
      <w:proofErr w:type="spellEnd"/>
      <w:r>
        <w:rPr>
          <w:rtl/>
        </w:rPr>
        <w:t xml:space="preserve">, את שלמה </w:t>
      </w:r>
      <w:proofErr w:type="spellStart"/>
      <w:r>
        <w:rPr>
          <w:rtl/>
        </w:rPr>
        <w:lastRenderedPageBreak/>
        <w:t>לוולוז׳ין</w:t>
      </w:r>
      <w:proofErr w:type="spellEnd"/>
      <w:r>
        <w:rPr>
          <w:rtl/>
        </w:rPr>
        <w:t xml:space="preserve"> מביתו שבאחוזה בשם </w:t>
      </w:r>
      <w:proofErr w:type="spellStart"/>
      <w:r>
        <w:rPr>
          <w:rtl/>
        </w:rPr>
        <w:t>סינצ׳ינץ</w:t>
      </w:r>
      <w:proofErr w:type="spellEnd"/>
      <w:r>
        <w:rPr>
          <w:rtl/>
        </w:rPr>
        <w:t xml:space="preserve">, סמוך </w:t>
      </w:r>
      <w:proofErr w:type="spellStart"/>
      <w:r>
        <w:rPr>
          <w:rtl/>
        </w:rPr>
        <w:t>למייצ׳ט</w:t>
      </w:r>
      <w:proofErr w:type="spellEnd"/>
      <w:r>
        <w:rPr>
          <w:rtl/>
        </w:rPr>
        <w:t xml:space="preserve">. שלמה היה אז רך בשנים, בן </w:t>
      </w:r>
      <w:proofErr w:type="spellStart"/>
      <w:r>
        <w:rPr>
          <w:rtl/>
        </w:rPr>
        <w:t>שתים־עשרה</w:t>
      </w:r>
      <w:proofErr w:type="spellEnd"/>
      <w:r>
        <w:rPr>
          <w:rtl/>
        </w:rPr>
        <w:t xml:space="preserve">, </w:t>
      </w:r>
      <w:proofErr w:type="spellStart"/>
      <w:r>
        <w:rPr>
          <w:rtl/>
        </w:rPr>
        <w:t>והנצי״ב</w:t>
      </w:r>
      <w:proofErr w:type="spellEnd"/>
      <w:r>
        <w:rPr>
          <w:rtl/>
        </w:rPr>
        <w:t xml:space="preserve"> קידם את פני </w:t>
      </w:r>
      <w:proofErr w:type="spellStart"/>
      <w:r>
        <w:rPr>
          <w:rtl/>
        </w:rPr>
        <w:t>רבינוביץ</w:t>
      </w:r>
      <w:proofErr w:type="spellEnd"/>
      <w:r>
        <w:rPr>
          <w:rtl/>
        </w:rPr>
        <w:t xml:space="preserve"> במילים: “ולמה, אהרן, לא הבאת את עריסתו עמו?” </w:t>
      </w:r>
      <w:proofErr w:type="spellStart"/>
      <w:r>
        <w:rPr>
          <w:rtl/>
        </w:rPr>
        <w:t>רבינוביץ</w:t>
      </w:r>
      <w:proofErr w:type="spellEnd"/>
      <w:r>
        <w:rPr>
          <w:rtl/>
        </w:rPr>
        <w:t xml:space="preserve"> הצעיר השיב: “יבחן אותו הרב, ואחר כך יקבע מה גודל העריסה שהילד צריך”. בשעה ששלמה הוכיח את כוחו לפני ראש הישיבה, נכנס ר׳ חיים והצטרף לבחינה המדוקדקת שנערכה לילד, ולבסוף שאל מאין הוא. כשנאמר לו שהמבקש להתקבל בא </w:t>
      </w:r>
      <w:proofErr w:type="spellStart"/>
      <w:r>
        <w:rPr>
          <w:rtl/>
        </w:rPr>
        <w:t>ממייצ׳ט</w:t>
      </w:r>
      <w:proofErr w:type="spellEnd"/>
      <w:r>
        <w:rPr>
          <w:rtl/>
        </w:rPr>
        <w:t xml:space="preserve">, הכריז ר׳ חיים: “אם כן, זהו העילוי </w:t>
      </w:r>
      <w:proofErr w:type="spellStart"/>
      <w:r>
        <w:rPr>
          <w:rtl/>
        </w:rPr>
        <w:t>ממייצ׳ט</w:t>
      </w:r>
      <w:proofErr w:type="spellEnd"/>
      <w:r>
        <w:rPr>
          <w:rtl/>
        </w:rPr>
        <w:t>”.</w:t>
      </w:r>
    </w:p>
    <w:p w14:paraId="13AF5E3B" w14:textId="77777777" w:rsidR="00AB3647" w:rsidRDefault="00000000" w:rsidP="007923E9">
      <w:pPr>
        <w:spacing w:after="120" w:line="276" w:lineRule="auto"/>
        <w:ind w:firstLine="283"/>
        <w:jc w:val="both"/>
      </w:pPr>
      <w:r>
        <w:rPr>
          <w:rtl/>
        </w:rPr>
        <w:t xml:space="preserve">מעניין </w:t>
      </w:r>
      <w:proofErr w:type="spellStart"/>
      <w:r>
        <w:rPr>
          <w:rtl/>
        </w:rPr>
        <w:t>שב“אידנו</w:t>
      </w:r>
      <w:proofErr w:type="spellEnd"/>
      <w:r>
        <w:rPr>
          <w:rtl/>
        </w:rPr>
        <w:t>”</w:t>
      </w:r>
      <w:bookmarkStart w:id="6897" w:name="_fnr5288"/>
      <w:r>
        <w:rPr>
          <w:rStyle w:val="a5"/>
        </w:rPr>
        <w:footnoteReference w:id="5302" w:customMarkFollows="0"/>
      </w:r>
      <w:bookmarkEnd w:id="6897"/>
      <w:r>
        <w:rPr>
          <w:rtl/>
        </w:rPr>
        <w:t xml:space="preserve"> כתב ר׳ אהרן </w:t>
      </w:r>
      <w:proofErr w:type="spellStart"/>
      <w:r>
        <w:rPr>
          <w:rtl/>
        </w:rPr>
        <w:t>רבינוביץ</w:t>
      </w:r>
      <w:proofErr w:type="spellEnd"/>
      <w:r>
        <w:rPr>
          <w:rtl/>
        </w:rPr>
        <w:t xml:space="preserve"> – שבאותה עת כבר היה חתנו וממלא מקומו של רבה של לידה, ר׳ </w:t>
      </w:r>
      <w:proofErr w:type="spellStart"/>
      <w:r>
        <w:rPr>
          <w:rtl/>
        </w:rPr>
        <w:t>יצחק־יעקב</w:t>
      </w:r>
      <w:proofErr w:type="spellEnd"/>
      <w:r>
        <w:rPr>
          <w:rtl/>
        </w:rPr>
        <w:t xml:space="preserve"> ריינס</w:t>
      </w:r>
      <w:bookmarkStart w:id="6898" w:name="_fnr5289"/>
      <w:r>
        <w:rPr>
          <w:rStyle w:val="a5"/>
        </w:rPr>
        <w:footnoteReference w:id="5303" w:customMarkFollows="0"/>
      </w:r>
      <w:bookmarkEnd w:id="6898"/>
      <w:r>
        <w:rPr>
          <w:rtl/>
        </w:rPr>
        <w:t xml:space="preserve"> – שהוא הביא את הנער היישר אל ר׳ חיים לבחינה (את </w:t>
      </w:r>
      <w:proofErr w:type="spellStart"/>
      <w:r>
        <w:rPr>
          <w:rtl/>
        </w:rPr>
        <w:t>הנצי״ב</w:t>
      </w:r>
      <w:proofErr w:type="spellEnd"/>
      <w:r>
        <w:rPr>
          <w:rtl/>
        </w:rPr>
        <w:t xml:space="preserve"> אין הוא מזכיר כלל), ושר׳ חיים הנרגש הכריז “בפשטות: ‘זהו עילוי שאין כמוהו’”. ר׳ אהרן </w:t>
      </w:r>
      <w:proofErr w:type="spellStart"/>
      <w:r>
        <w:rPr>
          <w:rtl/>
        </w:rPr>
        <w:t>רבינוביץ</w:t>
      </w:r>
      <w:proofErr w:type="spellEnd"/>
      <w:r>
        <w:rPr>
          <w:rtl/>
        </w:rPr>
        <w:t xml:space="preserve"> אינו מזכיר כלל שר׳ חיים השתמש בביטוי “העילוי </w:t>
      </w:r>
      <w:proofErr w:type="spellStart"/>
      <w:r>
        <w:rPr>
          <w:rtl/>
        </w:rPr>
        <w:t>ממייצ׳ט</w:t>
      </w:r>
      <w:proofErr w:type="spellEnd"/>
      <w:r>
        <w:rPr>
          <w:rtl/>
        </w:rPr>
        <w:t xml:space="preserve">”. למעשה, הוא כותב גם שר׳ שלמה נודע </w:t>
      </w:r>
      <w:proofErr w:type="spellStart"/>
      <w:r>
        <w:rPr>
          <w:rtl/>
        </w:rPr>
        <w:t>בוולוז׳ין</w:t>
      </w:r>
      <w:proofErr w:type="spellEnd"/>
      <w:r>
        <w:rPr>
          <w:rtl/>
        </w:rPr>
        <w:t xml:space="preserve"> </w:t>
      </w:r>
      <w:proofErr w:type="spellStart"/>
      <w:r>
        <w:rPr>
          <w:rtl/>
        </w:rPr>
        <w:t>כ“העילוי</w:t>
      </w:r>
      <w:proofErr w:type="spellEnd"/>
      <w:r>
        <w:rPr>
          <w:rtl/>
        </w:rPr>
        <w:t xml:space="preserve"> </w:t>
      </w:r>
      <w:proofErr w:type="spellStart"/>
      <w:r>
        <w:rPr>
          <w:rtl/>
        </w:rPr>
        <w:t>מהורודישץ</w:t>
      </w:r>
      <w:proofErr w:type="spellEnd"/>
      <w:r>
        <w:rPr>
          <w:rtl/>
        </w:rPr>
        <w:t xml:space="preserve">׳”, משום שאחוזת הולדתו הייתה בין </w:t>
      </w:r>
      <w:proofErr w:type="spellStart"/>
      <w:r>
        <w:rPr>
          <w:rtl/>
        </w:rPr>
        <w:t>מייצ׳ט</w:t>
      </w:r>
      <w:proofErr w:type="spellEnd"/>
      <w:r>
        <w:rPr>
          <w:rtl/>
        </w:rPr>
        <w:t xml:space="preserve"> </w:t>
      </w:r>
      <w:proofErr w:type="spellStart"/>
      <w:r>
        <w:rPr>
          <w:rtl/>
        </w:rPr>
        <w:t>להורודישץ</w:t>
      </w:r>
      <w:proofErr w:type="spellEnd"/>
      <w:r>
        <w:rPr>
          <w:rtl/>
        </w:rPr>
        <w:t xml:space="preserve">׳; </w:t>
      </w:r>
      <w:proofErr w:type="spellStart"/>
      <w:r>
        <w:rPr>
          <w:rtl/>
        </w:rPr>
        <w:t>רבינוביץ</w:t>
      </w:r>
      <w:proofErr w:type="spellEnd"/>
      <w:r>
        <w:rPr>
          <w:rtl/>
        </w:rPr>
        <w:t xml:space="preserve"> אינו מפרש מתי הוחלף שמו של ר׳ שלמה </w:t>
      </w:r>
      <w:proofErr w:type="spellStart"/>
      <w:r>
        <w:rPr>
          <w:rtl/>
        </w:rPr>
        <w:t>ל“עילוי</w:t>
      </w:r>
      <w:proofErr w:type="spellEnd"/>
      <w:r>
        <w:rPr>
          <w:rtl/>
        </w:rPr>
        <w:t xml:space="preserve"> </w:t>
      </w:r>
      <w:proofErr w:type="spellStart"/>
      <w:r>
        <w:rPr>
          <w:rtl/>
        </w:rPr>
        <w:t>ממייצ׳ט</w:t>
      </w:r>
      <w:proofErr w:type="spellEnd"/>
      <w:r>
        <w:rPr>
          <w:rtl/>
        </w:rPr>
        <w:t>”.</w:t>
      </w:r>
    </w:p>
    <w:p w14:paraId="49BEBFF8" w14:textId="77777777" w:rsidR="00AB3647" w:rsidRDefault="00000000" w:rsidP="007923E9">
      <w:pPr>
        <w:spacing w:after="120" w:line="276" w:lineRule="auto"/>
        <w:ind w:firstLine="283"/>
        <w:jc w:val="both"/>
      </w:pPr>
      <w:r>
        <w:rPr>
          <w:rtl/>
        </w:rPr>
        <w:t xml:space="preserve">אפשר לשער שכששאל אותו ר׳ חיים </w:t>
      </w:r>
      <w:proofErr w:type="spellStart"/>
      <w:r>
        <w:rPr>
          <w:rtl/>
        </w:rPr>
        <w:t>סולובייצ׳יק</w:t>
      </w:r>
      <w:proofErr w:type="spellEnd"/>
      <w:r>
        <w:rPr>
          <w:rtl/>
        </w:rPr>
        <w:t xml:space="preserve"> מאין הוא, השיב ר׳ שלמה: “אני מאחוזה שבין </w:t>
      </w:r>
      <w:proofErr w:type="spellStart"/>
      <w:r>
        <w:rPr>
          <w:rtl/>
        </w:rPr>
        <w:t>הורודישץ</w:t>
      </w:r>
      <w:proofErr w:type="spellEnd"/>
      <w:r>
        <w:rPr>
          <w:rtl/>
        </w:rPr>
        <w:t xml:space="preserve">׳ </w:t>
      </w:r>
      <w:proofErr w:type="spellStart"/>
      <w:r>
        <w:rPr>
          <w:rtl/>
        </w:rPr>
        <w:t>למייצ׳ט</w:t>
      </w:r>
      <w:proofErr w:type="spellEnd"/>
      <w:r>
        <w:rPr>
          <w:rtl/>
        </w:rPr>
        <w:t xml:space="preserve">”, ור׳ חיים נאחז במילה האחרונה ואמר: “אם כן, זהו העילוי </w:t>
      </w:r>
      <w:proofErr w:type="spellStart"/>
      <w:r>
        <w:rPr>
          <w:rtl/>
        </w:rPr>
        <w:t>ממייצ׳ט</w:t>
      </w:r>
      <w:proofErr w:type="spellEnd"/>
      <w:r>
        <w:rPr>
          <w:rtl/>
        </w:rPr>
        <w:t xml:space="preserve">”. אבל מאחר </w:t>
      </w:r>
      <w:proofErr w:type="spellStart"/>
      <w:r>
        <w:rPr>
          <w:rtl/>
        </w:rPr>
        <w:t>שפוליצ׳ק</w:t>
      </w:r>
      <w:proofErr w:type="spellEnd"/>
      <w:r>
        <w:rPr>
          <w:rtl/>
        </w:rPr>
        <w:t xml:space="preserve"> קרא לעצמו בישיבת </w:t>
      </w:r>
      <w:proofErr w:type="spellStart"/>
      <w:r>
        <w:rPr>
          <w:rtl/>
        </w:rPr>
        <w:t>וולוז׳ין</w:t>
      </w:r>
      <w:proofErr w:type="spellEnd"/>
      <w:r>
        <w:rPr>
          <w:rtl/>
        </w:rPr>
        <w:t xml:space="preserve"> “שלמה </w:t>
      </w:r>
      <w:proofErr w:type="spellStart"/>
      <w:r>
        <w:rPr>
          <w:rtl/>
        </w:rPr>
        <w:t>הורודישצ׳ר</w:t>
      </w:r>
      <w:proofErr w:type="spellEnd"/>
      <w:r>
        <w:rPr>
          <w:rtl/>
        </w:rPr>
        <w:t xml:space="preserve">”, קראו לו חבריו “העילוי </w:t>
      </w:r>
      <w:proofErr w:type="spellStart"/>
      <w:r>
        <w:rPr>
          <w:rtl/>
        </w:rPr>
        <w:t>מהורודישץ</w:t>
      </w:r>
      <w:proofErr w:type="spellEnd"/>
      <w:r>
        <w:rPr>
          <w:rtl/>
        </w:rPr>
        <w:t xml:space="preserve">׳”. אף שר׳ חיים אמר “אם כן, זהו העילוי </w:t>
      </w:r>
      <w:proofErr w:type="spellStart"/>
      <w:r>
        <w:rPr>
          <w:rtl/>
        </w:rPr>
        <w:t>ממייצ׳ט</w:t>
      </w:r>
      <w:proofErr w:type="spellEnd"/>
      <w:r>
        <w:rPr>
          <w:rtl/>
        </w:rPr>
        <w:t xml:space="preserve">” – כנוסח מאמרו של גורדון </w:t>
      </w:r>
      <w:proofErr w:type="spellStart"/>
      <w:r>
        <w:rPr>
          <w:rtl/>
        </w:rPr>
        <w:t>ב“ההד</w:t>
      </w:r>
      <w:proofErr w:type="spellEnd"/>
      <w:r>
        <w:rPr>
          <w:rtl/>
        </w:rPr>
        <w:t xml:space="preserve">” – ר׳ אהרן </w:t>
      </w:r>
      <w:proofErr w:type="spellStart"/>
      <w:r>
        <w:rPr>
          <w:rtl/>
        </w:rPr>
        <w:t>רבינוביץ</w:t>
      </w:r>
      <w:proofErr w:type="spellEnd"/>
      <w:r>
        <w:rPr>
          <w:rtl/>
        </w:rPr>
        <w:t xml:space="preserve"> לא ציטט אותו כאומר זאת, מחמת </w:t>
      </w:r>
      <w:proofErr w:type="spellStart"/>
      <w:r>
        <w:rPr>
          <w:rtl/>
        </w:rPr>
        <w:t>אי־דיוקו</w:t>
      </w:r>
      <w:proofErr w:type="spellEnd"/>
      <w:r>
        <w:rPr>
          <w:rtl/>
        </w:rPr>
        <w:t xml:space="preserve"> של הכינוי. רק כשיצא ר׳ שלמה </w:t>
      </w:r>
      <w:proofErr w:type="spellStart"/>
      <w:r>
        <w:rPr>
          <w:rtl/>
        </w:rPr>
        <w:t>פוליצ׳ק</w:t>
      </w:r>
      <w:proofErr w:type="spellEnd"/>
      <w:r>
        <w:rPr>
          <w:rtl/>
        </w:rPr>
        <w:t xml:space="preserve"> לעולם נשמט הכינוי ששימש את חבריו </w:t>
      </w:r>
      <w:proofErr w:type="spellStart"/>
      <w:r>
        <w:rPr>
          <w:rtl/>
        </w:rPr>
        <w:t>בוולוז׳ין</w:t>
      </w:r>
      <w:proofErr w:type="spellEnd"/>
      <w:r>
        <w:rPr>
          <w:rtl/>
        </w:rPr>
        <w:t>, ונדבק בו הכינוי (הבלתי מדויק) שטבע ר׳ חיים.</w:t>
      </w:r>
    </w:p>
    <w:p w14:paraId="35D77253" w14:textId="77777777" w:rsidR="00AB3647" w:rsidRDefault="00000000" w:rsidP="007923E9">
      <w:pPr>
        <w:spacing w:after="120" w:line="276" w:lineRule="auto"/>
        <w:ind w:firstLine="283"/>
        <w:jc w:val="both"/>
      </w:pPr>
      <w:r>
        <w:rPr>
          <w:rtl/>
        </w:rPr>
        <w:t xml:space="preserve">מאמרו של ניסן וקסמן </w:t>
      </w:r>
      <w:proofErr w:type="spellStart"/>
      <w:r>
        <w:rPr>
          <w:rtl/>
        </w:rPr>
        <w:t>ב“תלפיות</w:t>
      </w:r>
      <w:proofErr w:type="spellEnd"/>
      <w:r>
        <w:rPr>
          <w:rtl/>
        </w:rPr>
        <w:t>”</w:t>
      </w:r>
      <w:bookmarkStart w:id="6899" w:name="_fnr5290"/>
      <w:r>
        <w:rPr>
          <w:rStyle w:val="a5"/>
        </w:rPr>
        <w:footnoteReference w:id="5304" w:customMarkFollows="0"/>
      </w:r>
      <w:bookmarkEnd w:id="6899"/>
      <w:r>
        <w:rPr>
          <w:rtl/>
        </w:rPr>
        <w:t xml:space="preserve"> מספר (בשם שני גיבורי המעשה), שאחרי שנסגרה ישיבת </w:t>
      </w:r>
      <w:proofErr w:type="spellStart"/>
      <w:r>
        <w:rPr>
          <w:rtl/>
        </w:rPr>
        <w:t>וולוז׳ין</w:t>
      </w:r>
      <w:proofErr w:type="spellEnd"/>
      <w:r>
        <w:rPr>
          <w:rtl/>
        </w:rPr>
        <w:t xml:space="preserve"> למד ר׳ שלמה </w:t>
      </w:r>
      <w:proofErr w:type="spellStart"/>
      <w:r>
        <w:rPr>
          <w:rtl/>
        </w:rPr>
        <w:t>פוליצ׳ק</w:t>
      </w:r>
      <w:proofErr w:type="spellEnd"/>
      <w:r>
        <w:rPr>
          <w:rtl/>
        </w:rPr>
        <w:t xml:space="preserve">, ששמו כבר נפוץ בכל “עולם הישיבות”, אצל ר׳ חיים </w:t>
      </w:r>
      <w:proofErr w:type="spellStart"/>
      <w:r>
        <w:rPr>
          <w:rtl/>
        </w:rPr>
        <w:t>בבריסק</w:t>
      </w:r>
      <w:proofErr w:type="spellEnd"/>
      <w:r>
        <w:rPr>
          <w:rtl/>
        </w:rPr>
        <w:t>. הסבא, שנמשך מאוד לעילויים</w:t>
      </w:r>
      <w:bookmarkStart w:id="6900" w:name="_fnr5291"/>
      <w:r>
        <w:rPr>
          <w:rStyle w:val="a5"/>
        </w:rPr>
        <w:footnoteReference w:id="5305" w:customMarkFollows="0"/>
      </w:r>
      <w:bookmarkEnd w:id="6900"/>
      <w:r>
        <w:rPr>
          <w:rtl/>
        </w:rPr>
        <w:t xml:space="preserve">, שלח אז את בנו ר׳ </w:t>
      </w:r>
      <w:proofErr w:type="spellStart"/>
      <w:r>
        <w:rPr>
          <w:rtl/>
        </w:rPr>
        <w:t>לייזר־יודל</w:t>
      </w:r>
      <w:proofErr w:type="spellEnd"/>
      <w:r>
        <w:rPr>
          <w:rtl/>
        </w:rPr>
        <w:t xml:space="preserve"> ללמוד אף הוא אצל ר׳ חיים – ובחשאי, לשכנע את בן </w:t>
      </w:r>
      <w:proofErr w:type="spellStart"/>
      <w:r>
        <w:rPr>
          <w:rtl/>
        </w:rPr>
        <w:t>התשע־עשרה</w:t>
      </w:r>
      <w:proofErr w:type="spellEnd"/>
      <w:r>
        <w:rPr>
          <w:rtl/>
        </w:rPr>
        <w:t xml:space="preserve"> לבוא </w:t>
      </w:r>
      <w:proofErr w:type="spellStart"/>
      <w:r>
        <w:rPr>
          <w:rtl/>
        </w:rPr>
        <w:t>לסלבודקה</w:t>
      </w:r>
      <w:proofErr w:type="spellEnd"/>
      <w:r>
        <w:rPr>
          <w:rtl/>
        </w:rPr>
        <w:t xml:space="preserve">. השניים עזבו את </w:t>
      </w:r>
      <w:proofErr w:type="spellStart"/>
      <w:r>
        <w:rPr>
          <w:rtl/>
        </w:rPr>
        <w:t>בריסק</w:t>
      </w:r>
      <w:proofErr w:type="spellEnd"/>
      <w:r>
        <w:rPr>
          <w:rtl/>
        </w:rPr>
        <w:t xml:space="preserve"> בסתר – “כל ימיו הצטער (ר׳ שלמה </w:t>
      </w:r>
      <w:proofErr w:type="spellStart"/>
      <w:r>
        <w:rPr>
          <w:rtl/>
        </w:rPr>
        <w:t>פוליצ׳ק</w:t>
      </w:r>
      <w:proofErr w:type="spellEnd"/>
      <w:r>
        <w:rPr>
          <w:rtl/>
        </w:rPr>
        <w:t>) על שגרם לרבו צער (</w:t>
      </w:r>
      <w:proofErr w:type="spellStart"/>
      <w:r>
        <w:rPr>
          <w:rtl/>
        </w:rPr>
        <w:t>בעזבו</w:t>
      </w:r>
      <w:proofErr w:type="spellEnd"/>
      <w:r>
        <w:rPr>
          <w:rtl/>
        </w:rPr>
        <w:t xml:space="preserve"> את </w:t>
      </w:r>
      <w:proofErr w:type="spellStart"/>
      <w:r>
        <w:rPr>
          <w:rtl/>
        </w:rPr>
        <w:t>בריסק</w:t>
      </w:r>
      <w:proofErr w:type="spellEnd"/>
      <w:r>
        <w:rPr>
          <w:rtl/>
        </w:rPr>
        <w:t xml:space="preserve"> כפי שעשה)” – והגיעו לקובנה ביום הלווייתו של ר׳ </w:t>
      </w:r>
      <w:proofErr w:type="spellStart"/>
      <w:r>
        <w:rPr>
          <w:rtl/>
        </w:rPr>
        <w:t>יצחק־אלחנן</w:t>
      </w:r>
      <w:proofErr w:type="spellEnd"/>
      <w:r>
        <w:rPr>
          <w:rtl/>
        </w:rPr>
        <w:t xml:space="preserve"> </w:t>
      </w:r>
      <w:proofErr w:type="spellStart"/>
      <w:r>
        <w:rPr>
          <w:rtl/>
        </w:rPr>
        <w:t>ספקטור</w:t>
      </w:r>
      <w:proofErr w:type="spellEnd"/>
      <w:r>
        <w:rPr>
          <w:rtl/>
        </w:rPr>
        <w:t xml:space="preserve">, כ״א באדר תרנ״ו. ר׳ שלמה </w:t>
      </w:r>
      <w:proofErr w:type="spellStart"/>
      <w:r>
        <w:rPr>
          <w:rtl/>
        </w:rPr>
        <w:t>פוליצ׳ק</w:t>
      </w:r>
      <w:proofErr w:type="spellEnd"/>
      <w:r>
        <w:rPr>
          <w:rtl/>
        </w:rPr>
        <w:t xml:space="preserve"> למד </w:t>
      </w:r>
      <w:proofErr w:type="spellStart"/>
      <w:r>
        <w:rPr>
          <w:rtl/>
        </w:rPr>
        <w:t>בסלבודקה</w:t>
      </w:r>
      <w:proofErr w:type="spellEnd"/>
      <w:r>
        <w:rPr>
          <w:rtl/>
        </w:rPr>
        <w:t xml:space="preserve"> בקיץ שלאחר מכן, אבל לא נמשך למוסר.</w:t>
      </w:r>
    </w:p>
    <w:p w14:paraId="25499CD7" w14:textId="77777777" w:rsidR="00AB3647" w:rsidRDefault="00000000" w:rsidP="007923E9">
      <w:pPr>
        <w:spacing w:after="120" w:line="276" w:lineRule="auto"/>
        <w:ind w:firstLine="283"/>
        <w:jc w:val="both"/>
      </w:pPr>
      <w:r>
        <w:rPr>
          <w:rtl/>
        </w:rPr>
        <w:t>וקסמן מתאר מה במוסר לא מצא חן בעיני ר׳ שלמה, ומספר שכשענה בחריפות מבריקה לטענתו של הסבא בזכות המוסר, “תפסו לחבקו ולנשקו בלי להרפות” (כדרכו של הסבא כשהתרגש מחריפות</w:t>
      </w:r>
      <w:bookmarkStart w:id="6901" w:name="_fnr5292"/>
      <w:r>
        <w:rPr>
          <w:rStyle w:val="a5"/>
        </w:rPr>
        <w:footnoteReference w:id="5306" w:customMarkFollows="0"/>
      </w:r>
      <w:bookmarkEnd w:id="6901"/>
      <w:r>
        <w:rPr>
          <w:rtl/>
        </w:rPr>
        <w:t xml:space="preserve">). בתקווה לשכנעו באמיתת המוסר, שלח אותו הסבא עם קבוצת </w:t>
      </w:r>
      <w:r>
        <w:rPr>
          <w:rtl/>
        </w:rPr>
        <w:lastRenderedPageBreak/>
        <w:t xml:space="preserve">תלמידים לבלות את אלול </w:t>
      </w:r>
      <w:proofErr w:type="spellStart"/>
      <w:r>
        <w:rPr>
          <w:rtl/>
        </w:rPr>
        <w:t>בקלם</w:t>
      </w:r>
      <w:proofErr w:type="spellEnd"/>
      <w:r>
        <w:rPr>
          <w:rtl/>
        </w:rPr>
        <w:t xml:space="preserve">. לפי מאמרו של משה גולדברג </w:t>
      </w:r>
      <w:proofErr w:type="spellStart"/>
      <w:r>
        <w:rPr>
          <w:rtl/>
        </w:rPr>
        <w:t>ב“אידנו</w:t>
      </w:r>
      <w:proofErr w:type="spellEnd"/>
      <w:r>
        <w:rPr>
          <w:rtl/>
        </w:rPr>
        <w:t>”</w:t>
      </w:r>
      <w:bookmarkStart w:id="6902" w:name="_fnr5293"/>
      <w:r>
        <w:rPr>
          <w:rStyle w:val="a5"/>
        </w:rPr>
        <w:footnoteReference w:id="5307" w:customMarkFollows="0"/>
      </w:r>
      <w:bookmarkEnd w:id="6902"/>
      <w:r>
        <w:rPr>
          <w:rtl/>
        </w:rPr>
        <w:t xml:space="preserve">, “ארבעים או חמישים מטובי תלמידי </w:t>
      </w:r>
      <w:proofErr w:type="spellStart"/>
      <w:r>
        <w:rPr>
          <w:rtl/>
        </w:rPr>
        <w:t>סלבודקה</w:t>
      </w:r>
      <w:proofErr w:type="spellEnd"/>
      <w:r>
        <w:rPr>
          <w:rtl/>
        </w:rPr>
        <w:t xml:space="preserve"> נשלחו לשמוע מוסר והתעוררות מ... ר׳ </w:t>
      </w:r>
      <w:proofErr w:type="spellStart"/>
      <w:r>
        <w:rPr>
          <w:rtl/>
        </w:rPr>
        <w:t>שמחה־זיסל</w:t>
      </w:r>
      <w:proofErr w:type="spellEnd"/>
      <w:r>
        <w:rPr>
          <w:rtl/>
        </w:rPr>
        <w:t xml:space="preserve"> זיו”. אבל הדבר לא הועיל: שלמה עזב לבית הוריו מיד אחרי יום הכיפורים, ולפי גולדברג שב </w:t>
      </w:r>
      <w:proofErr w:type="spellStart"/>
      <w:r>
        <w:rPr>
          <w:rtl/>
        </w:rPr>
        <w:t>לבריסק</w:t>
      </w:r>
      <w:proofErr w:type="spellEnd"/>
      <w:r>
        <w:rPr>
          <w:rtl/>
        </w:rPr>
        <w:t xml:space="preserve"> “עד שהגיע זמנו להתייצב לגיוס”</w:t>
      </w:r>
      <w:bookmarkStart w:id="6903" w:name="_fnr5294"/>
      <w:r>
        <w:rPr>
          <w:rStyle w:val="a5"/>
        </w:rPr>
        <w:footnoteReference w:id="5308" w:customMarkFollows="0"/>
      </w:r>
      <w:bookmarkEnd w:id="6903"/>
      <w:r>
        <w:rPr>
          <w:rtl/>
        </w:rPr>
        <w:t>.</w:t>
      </w:r>
    </w:p>
    <w:p w14:paraId="1412B0E9" w14:textId="77777777" w:rsidR="00AB3647" w:rsidRDefault="00000000" w:rsidP="007923E9">
      <w:pPr>
        <w:spacing w:after="120" w:line="276" w:lineRule="auto"/>
        <w:ind w:firstLine="283"/>
        <w:jc w:val="both"/>
      </w:pPr>
      <w:r>
        <w:rPr>
          <w:rtl/>
        </w:rPr>
        <w:t xml:space="preserve">ר׳ </w:t>
      </w:r>
      <w:proofErr w:type="spellStart"/>
      <w:r>
        <w:rPr>
          <w:rtl/>
        </w:rPr>
        <w:t>ארצ׳יק</w:t>
      </w:r>
      <w:proofErr w:type="spellEnd"/>
      <w:r>
        <w:rPr>
          <w:rtl/>
        </w:rPr>
        <w:t xml:space="preserve"> בקשט שהה </w:t>
      </w:r>
      <w:proofErr w:type="spellStart"/>
      <w:r>
        <w:rPr>
          <w:rtl/>
        </w:rPr>
        <w:t>בקלם</w:t>
      </w:r>
      <w:proofErr w:type="spellEnd"/>
      <w:r>
        <w:rPr>
          <w:rtl/>
        </w:rPr>
        <w:t xml:space="preserve"> בזמן שהותו הקצרה של ר׳ שלמה </w:t>
      </w:r>
      <w:proofErr w:type="spellStart"/>
      <w:r>
        <w:rPr>
          <w:rtl/>
        </w:rPr>
        <w:t>פוליצ׳ק</w:t>
      </w:r>
      <w:proofErr w:type="spellEnd"/>
      <w:r>
        <w:rPr>
          <w:rtl/>
        </w:rPr>
        <w:t xml:space="preserve"> שם. כעבור </w:t>
      </w:r>
      <w:proofErr w:type="spellStart"/>
      <w:r>
        <w:rPr>
          <w:rtl/>
        </w:rPr>
        <w:t>שבע־עשרה</w:t>
      </w:r>
      <w:proofErr w:type="spellEnd"/>
      <w:r>
        <w:rPr>
          <w:rtl/>
        </w:rPr>
        <w:t xml:space="preserve"> שנה חזר ר׳ </w:t>
      </w:r>
      <w:proofErr w:type="spellStart"/>
      <w:r>
        <w:rPr>
          <w:rtl/>
        </w:rPr>
        <w:t>ארצ׳יק</w:t>
      </w:r>
      <w:proofErr w:type="spellEnd"/>
      <w:r>
        <w:rPr>
          <w:rtl/>
        </w:rPr>
        <w:t xml:space="preserve"> לפני ר׳ שלמה על שיחה ששמעו שניהם אז מר׳ </w:t>
      </w:r>
      <w:proofErr w:type="spellStart"/>
      <w:r>
        <w:rPr>
          <w:rtl/>
        </w:rPr>
        <w:t>שמחה־זיסל</w:t>
      </w:r>
      <w:proofErr w:type="spellEnd"/>
      <w:r>
        <w:rPr>
          <w:rtl/>
        </w:rPr>
        <w:t>, ואז “קם ר׳ שלמה ממקומו בהתרגשות רבה והחל לפסוע בחדר ולמלמל: ‘אוי ווי, לא היו לי אז אוזניים לשמוע ולהבין’”</w:t>
      </w:r>
      <w:bookmarkStart w:id="6904" w:name="_fnr5295"/>
      <w:r>
        <w:rPr>
          <w:rStyle w:val="a5"/>
        </w:rPr>
        <w:footnoteReference w:id="5309" w:customMarkFollows="0"/>
      </w:r>
      <w:bookmarkEnd w:id="6904"/>
      <w:r>
        <w:rPr>
          <w:rtl/>
        </w:rPr>
        <w:t>.</w:t>
      </w:r>
    </w:p>
    <w:p w14:paraId="2C199517" w14:textId="77777777" w:rsidR="00AB3647" w:rsidRDefault="00000000" w:rsidP="007923E9">
      <w:pPr>
        <w:spacing w:after="120" w:line="276" w:lineRule="auto"/>
        <w:ind w:firstLine="283"/>
        <w:jc w:val="both"/>
      </w:pPr>
      <w:r>
        <w:rPr>
          <w:rtl/>
        </w:rPr>
        <w:t xml:space="preserve">אגב, ר׳ </w:t>
      </w:r>
      <w:proofErr w:type="spellStart"/>
      <w:r>
        <w:rPr>
          <w:rtl/>
        </w:rPr>
        <w:t>ארצ׳יק</w:t>
      </w:r>
      <w:proofErr w:type="spellEnd"/>
      <w:r>
        <w:rPr>
          <w:rtl/>
        </w:rPr>
        <w:t xml:space="preserve"> היה בעל מוסר נלהב. בתו שרה גורני סיפרה</w:t>
      </w:r>
      <w:bookmarkStart w:id="6905" w:name="_fnr5296"/>
      <w:r>
        <w:rPr>
          <w:rStyle w:val="a5"/>
        </w:rPr>
        <w:footnoteReference w:id="5310" w:customMarkFollows="0"/>
      </w:r>
      <w:bookmarkEnd w:id="6905"/>
      <w:r>
        <w:rPr>
          <w:rtl/>
        </w:rPr>
        <w:t xml:space="preserve"> סיפור מעניין שאירע בילדותה, כשאביה היה רב </w:t>
      </w:r>
      <w:proofErr w:type="spellStart"/>
      <w:r>
        <w:rPr>
          <w:rtl/>
        </w:rPr>
        <w:t>בלומז׳ה</w:t>
      </w:r>
      <w:bookmarkStart w:id="6906" w:name="_fnr5297"/>
      <w:proofErr w:type="spellEnd"/>
      <w:r>
        <w:rPr>
          <w:rStyle w:val="a5"/>
        </w:rPr>
        <w:footnoteReference w:id="5311" w:customMarkFollows="0"/>
      </w:r>
      <w:bookmarkEnd w:id="6906"/>
      <w:r>
        <w:rPr>
          <w:rtl/>
        </w:rPr>
        <w:t xml:space="preserve">. היא שפכה בכוונה מים על אחד הבחורים החשובים בישיבת </w:t>
      </w:r>
      <w:proofErr w:type="spellStart"/>
      <w:r>
        <w:rPr>
          <w:rtl/>
        </w:rPr>
        <w:t>לומז׳ה</w:t>
      </w:r>
      <w:proofErr w:type="spellEnd"/>
      <w:r>
        <w:rPr>
          <w:rtl/>
        </w:rPr>
        <w:t xml:space="preserve">, והבחור סטר לה. בערב יום הכיפורים בא לבקש סליחה מן הקטנה בת השמונה, אבל היא ברחה והתחבאה. ר׳ </w:t>
      </w:r>
      <w:proofErr w:type="spellStart"/>
      <w:r>
        <w:rPr>
          <w:rtl/>
        </w:rPr>
        <w:t>ארצ׳יק</w:t>
      </w:r>
      <w:proofErr w:type="spellEnd"/>
      <w:r>
        <w:rPr>
          <w:rtl/>
        </w:rPr>
        <w:t xml:space="preserve"> אמר לבחור לשוב כעבור שעה, ובינתיים דיבר האב על לב בתו הקטנה בעניין הוויתור, ושכנע אותה שזה הדבר הראוי לעשות.</w:t>
      </w:r>
    </w:p>
    <w:p w14:paraId="6C7960E7" w14:textId="77777777" w:rsidR="00AB3647" w:rsidRDefault="00000000" w:rsidP="007923E9">
      <w:pPr>
        <w:spacing w:after="120" w:line="276" w:lineRule="auto"/>
        <w:ind w:firstLine="283"/>
        <w:jc w:val="both"/>
      </w:pPr>
      <w:r>
        <w:rPr>
          <w:rtl/>
        </w:rPr>
        <w:t xml:space="preserve">בנו של ר׳ </w:t>
      </w:r>
      <w:proofErr w:type="spellStart"/>
      <w:r>
        <w:rPr>
          <w:rtl/>
        </w:rPr>
        <w:t>ארצ׳יק</w:t>
      </w:r>
      <w:proofErr w:type="spellEnd"/>
      <w:r>
        <w:rPr>
          <w:rtl/>
        </w:rPr>
        <w:t>, ר׳ דוד, סיפר את המעשה הבא</w:t>
      </w:r>
      <w:bookmarkStart w:id="6907" w:name="_fnr5298"/>
      <w:r>
        <w:rPr>
          <w:rStyle w:val="a5"/>
        </w:rPr>
        <w:footnoteReference w:id="5312" w:customMarkFollows="0"/>
      </w:r>
      <w:bookmarkEnd w:id="6907"/>
      <w:r>
        <w:rPr>
          <w:rtl/>
        </w:rPr>
        <w:t xml:space="preserve">: שאוול הייתה צומת רכבות, ובחורים שנסעו </w:t>
      </w:r>
      <w:proofErr w:type="spellStart"/>
      <w:r>
        <w:rPr>
          <w:rtl/>
        </w:rPr>
        <w:t>לטלז</w:t>
      </w:r>
      <w:proofErr w:type="spellEnd"/>
      <w:r>
        <w:rPr>
          <w:rtl/>
        </w:rPr>
        <w:t xml:space="preserve"> וממנה היו נכנסים לבית הרב “לדבר בלימוד” עם ר׳ </w:t>
      </w:r>
      <w:proofErr w:type="spellStart"/>
      <w:r>
        <w:rPr>
          <w:rtl/>
        </w:rPr>
        <w:t>ארצ׳יק</w:t>
      </w:r>
      <w:proofErr w:type="spellEnd"/>
      <w:r>
        <w:rPr>
          <w:rtl/>
        </w:rPr>
        <w:t xml:space="preserve"> בקשט, כשהיה להם פנאי בין רכבת לרכבת. בוקר אחד ראה דוד שאביו אינו הולך לבית הכנסת להתפלל. הבן שאל בדאגה אם הוא נשאר בבית מפני שאינו חש בטוב, ונענה: “היום יום השוק, </w:t>
      </w:r>
      <w:proofErr w:type="spellStart"/>
      <w:r>
        <w:rPr>
          <w:rtl/>
        </w:rPr>
        <w:t>ואמך</w:t>
      </w:r>
      <w:proofErr w:type="spellEnd"/>
      <w:r>
        <w:rPr>
          <w:rtl/>
        </w:rPr>
        <w:t xml:space="preserve"> יצאה לקניות עם המשרתת; אם יבוא בחור לביתנו, מי יגיש לו כוס תה, מי יציע לו דבר מאכל, אם גם אני אצא מן הבית?!”</w:t>
      </w:r>
    </w:p>
    <w:p w14:paraId="07877E0D" w14:textId="77777777" w:rsidR="00AB3647" w:rsidRDefault="00000000" w:rsidP="007923E9">
      <w:pPr>
        <w:pStyle w:val="4"/>
        <w:spacing w:line="276" w:lineRule="auto"/>
      </w:pPr>
      <w:r>
        <w:t>· הפסקה השלישית ·</w:t>
      </w:r>
    </w:p>
    <w:p w14:paraId="73FB5D36" w14:textId="77777777" w:rsidR="00AB3647" w:rsidRDefault="00000000" w:rsidP="007923E9">
      <w:pPr>
        <w:pStyle w:val="5"/>
        <w:spacing w:line="276" w:lineRule="auto"/>
      </w:pPr>
      <w:r>
        <w:t xml:space="preserve">רבנו שומע שיעור מפי העילוי </w:t>
      </w:r>
      <w:proofErr w:type="spellStart"/>
      <w:r>
        <w:t>ממייצ׳ט</w:t>
      </w:r>
      <w:proofErr w:type="spellEnd"/>
      <w:r>
        <w:t xml:space="preserve"> – ר׳ חיים </w:t>
      </w:r>
      <w:proofErr w:type="spellStart"/>
      <w:r>
        <w:t>סולובייצ׳יק</w:t>
      </w:r>
      <w:proofErr w:type="spellEnd"/>
      <w:r>
        <w:t xml:space="preserve"> מגן על ר׳ שלמה </w:t>
      </w:r>
      <w:proofErr w:type="spellStart"/>
      <w:r>
        <w:t>פוליצ׳ק</w:t>
      </w:r>
      <w:proofErr w:type="spellEnd"/>
      <w:r>
        <w:t xml:space="preserve"> מפני </w:t>
      </w:r>
      <w:proofErr w:type="spellStart"/>
      <w:r>
        <w:t>מקטרגיו</w:t>
      </w:r>
      <w:proofErr w:type="spellEnd"/>
    </w:p>
    <w:p w14:paraId="0D33CC11" w14:textId="77777777" w:rsidR="00AB3647" w:rsidRDefault="00000000" w:rsidP="007923E9">
      <w:pPr>
        <w:spacing w:after="120" w:line="276" w:lineRule="auto"/>
        <w:ind w:firstLine="283"/>
        <w:jc w:val="both"/>
      </w:pPr>
      <w:r>
        <w:rPr>
          <w:rtl/>
        </w:rPr>
        <w:t xml:space="preserve">רבנו סיפר שפעם שמע את העילוי </w:t>
      </w:r>
      <w:proofErr w:type="spellStart"/>
      <w:r>
        <w:rPr>
          <w:rtl/>
        </w:rPr>
        <w:t>ממייצ׳ט</w:t>
      </w:r>
      <w:proofErr w:type="spellEnd"/>
      <w:r>
        <w:rPr>
          <w:rtl/>
        </w:rPr>
        <w:t xml:space="preserve"> מוסר שיעור, </w:t>
      </w:r>
      <w:proofErr w:type="spellStart"/>
      <w:r>
        <w:rPr>
          <w:rtl/>
        </w:rPr>
        <w:t>ו“היה</w:t>
      </w:r>
      <w:proofErr w:type="spellEnd"/>
      <w:r>
        <w:rPr>
          <w:rtl/>
        </w:rPr>
        <w:t xml:space="preserve"> אחד משני השומעים היחידים שהבינו אותו”. אבי לא גילה מתי בדיוק שמע את השיעור. הדבר לא יכול היה להיות בעשור תרס״ה–תרע״ה, שבו כיהן ר׳ שלמה </w:t>
      </w:r>
      <w:proofErr w:type="spellStart"/>
      <w:r>
        <w:rPr>
          <w:rtl/>
        </w:rPr>
        <w:t>פוליצ׳ק</w:t>
      </w:r>
      <w:proofErr w:type="spellEnd"/>
      <w:r>
        <w:rPr>
          <w:rtl/>
        </w:rPr>
        <w:t xml:space="preserve"> כראש ישיבה בישיבה בלידה</w:t>
      </w:r>
      <w:bookmarkStart w:id="6908" w:name="_fnr5299"/>
      <w:r>
        <w:rPr>
          <w:rStyle w:val="a5"/>
        </w:rPr>
        <w:footnoteReference w:id="5313" w:customMarkFollows="0"/>
      </w:r>
      <w:bookmarkEnd w:id="6908"/>
      <w:r>
        <w:rPr>
          <w:rtl/>
        </w:rPr>
        <w:t xml:space="preserve"> – אף שמבקרים </w:t>
      </w:r>
      <w:proofErr w:type="spellStart"/>
      <w:r>
        <w:rPr>
          <w:rtl/>
        </w:rPr>
        <w:t>מסלבודקה</w:t>
      </w:r>
      <w:proofErr w:type="spellEnd"/>
      <w:r>
        <w:rPr>
          <w:rtl/>
        </w:rPr>
        <w:t xml:space="preserve">, </w:t>
      </w:r>
      <w:proofErr w:type="spellStart"/>
      <w:r>
        <w:rPr>
          <w:rtl/>
        </w:rPr>
        <w:t>מטלז</w:t>
      </w:r>
      <w:proofErr w:type="spellEnd"/>
      <w:r>
        <w:rPr>
          <w:rtl/>
        </w:rPr>
        <w:t xml:space="preserve"> וממיר באו מפעם לפעם לשמוע אותו שם, לפי מאמרו של משה </w:t>
      </w:r>
      <w:r>
        <w:rPr>
          <w:rtl/>
        </w:rPr>
        <w:lastRenderedPageBreak/>
        <w:t xml:space="preserve">גולדברג </w:t>
      </w:r>
      <w:proofErr w:type="spellStart"/>
      <w:r>
        <w:rPr>
          <w:rtl/>
        </w:rPr>
        <w:t>ב“אידנו</w:t>
      </w:r>
      <w:proofErr w:type="spellEnd"/>
      <w:r>
        <w:rPr>
          <w:rtl/>
        </w:rPr>
        <w:t>”</w:t>
      </w:r>
      <w:bookmarkStart w:id="6909" w:name="_fnr5300"/>
      <w:r>
        <w:rPr>
          <w:rStyle w:val="a5"/>
        </w:rPr>
        <w:footnoteReference w:id="5314" w:customMarkFollows="0"/>
      </w:r>
      <w:bookmarkEnd w:id="6909"/>
      <w:r>
        <w:rPr>
          <w:rtl/>
        </w:rPr>
        <w:t xml:space="preserve"> – שכן אבי אמר פעם שמעולם לא היה בלידה</w:t>
      </w:r>
      <w:bookmarkStart w:id="6910" w:name="_fnr5301"/>
      <w:r>
        <w:rPr>
          <w:rStyle w:val="a5"/>
        </w:rPr>
        <w:footnoteReference w:id="5315" w:customMarkFollows="0"/>
      </w:r>
      <w:bookmarkEnd w:id="6910"/>
      <w:r>
        <w:rPr>
          <w:rtl/>
        </w:rPr>
        <w:t xml:space="preserve">. מסתבר ששמע את השיעור בעת שהותו של העילוי </w:t>
      </w:r>
      <w:proofErr w:type="spellStart"/>
      <w:r>
        <w:rPr>
          <w:rtl/>
        </w:rPr>
        <w:t>ממייצ׳ט</w:t>
      </w:r>
      <w:proofErr w:type="spellEnd"/>
      <w:r>
        <w:rPr>
          <w:rtl/>
        </w:rPr>
        <w:t xml:space="preserve"> </w:t>
      </w:r>
      <w:proofErr w:type="spellStart"/>
      <w:r>
        <w:rPr>
          <w:rtl/>
        </w:rPr>
        <w:t>בקרמנצ׳וג</w:t>
      </w:r>
      <w:bookmarkStart w:id="6911" w:name="_fnr5302"/>
      <w:proofErr w:type="spellEnd"/>
      <w:r>
        <w:rPr>
          <w:rStyle w:val="a5"/>
        </w:rPr>
        <w:footnoteReference w:id="5316" w:customMarkFollows="0"/>
      </w:r>
      <w:bookmarkEnd w:id="6911"/>
      <w:r>
        <w:rPr>
          <w:rtl/>
        </w:rPr>
        <w:t xml:space="preserve">. לפי הכרונולוגיה של נדודי העילוי </w:t>
      </w:r>
      <w:proofErr w:type="spellStart"/>
      <w:r>
        <w:rPr>
          <w:rtl/>
        </w:rPr>
        <w:t>ממייצ׳ט</w:t>
      </w:r>
      <w:proofErr w:type="spellEnd"/>
      <w:r>
        <w:rPr>
          <w:rtl/>
        </w:rPr>
        <w:t xml:space="preserve"> אחרי המהפכה הרוסית</w:t>
      </w:r>
      <w:bookmarkStart w:id="6912" w:name="_fnr5303"/>
      <w:r>
        <w:rPr>
          <w:rStyle w:val="a5"/>
        </w:rPr>
        <w:footnoteReference w:id="5317" w:customMarkFollows="0"/>
      </w:r>
      <w:bookmarkEnd w:id="6912"/>
      <w:r>
        <w:rPr>
          <w:rtl/>
        </w:rPr>
        <w:t xml:space="preserve">, בוודאי שמע אבי את השיעור </w:t>
      </w:r>
      <w:proofErr w:type="spellStart"/>
      <w:r>
        <w:rPr>
          <w:rtl/>
        </w:rPr>
        <w:t>בתר״פ</w:t>
      </w:r>
      <w:proofErr w:type="spellEnd"/>
      <w:r>
        <w:rPr>
          <w:rtl/>
        </w:rPr>
        <w:t xml:space="preserve"> (במחצית הראשונה של 1920).</w:t>
      </w:r>
    </w:p>
    <w:p w14:paraId="17286DF0" w14:textId="77777777" w:rsidR="00AB3647" w:rsidRDefault="00000000" w:rsidP="007923E9">
      <w:pPr>
        <w:spacing w:after="120" w:line="276" w:lineRule="auto"/>
        <w:ind w:firstLine="283"/>
        <w:jc w:val="both"/>
      </w:pPr>
      <w:r>
        <w:rPr>
          <w:rtl/>
        </w:rPr>
        <w:t xml:space="preserve">אף ששיעורי העילוי </w:t>
      </w:r>
      <w:proofErr w:type="spellStart"/>
      <w:r>
        <w:rPr>
          <w:rtl/>
        </w:rPr>
        <w:t>ממייצ׳ט</w:t>
      </w:r>
      <w:proofErr w:type="spellEnd"/>
      <w:r>
        <w:rPr>
          <w:rtl/>
        </w:rPr>
        <w:t xml:space="preserve"> היו קשים להבנה</w:t>
      </w:r>
      <w:bookmarkStart w:id="6913" w:name="_fnr5304"/>
      <w:r>
        <w:rPr>
          <w:rStyle w:val="a5"/>
        </w:rPr>
        <w:footnoteReference w:id="5318" w:customMarkFollows="0"/>
      </w:r>
      <w:bookmarkEnd w:id="6913"/>
      <w:r>
        <w:rPr>
          <w:rtl/>
        </w:rPr>
        <w:t xml:space="preserve">, לא ייתכן שמבין כמה הישיבות שגלו אז </w:t>
      </w:r>
      <w:proofErr w:type="spellStart"/>
      <w:r>
        <w:rPr>
          <w:rtl/>
        </w:rPr>
        <w:t>לקרמנצ׳וג</w:t>
      </w:r>
      <w:proofErr w:type="spellEnd"/>
      <w:r>
        <w:rPr>
          <w:rtl/>
        </w:rPr>
        <w:t xml:space="preserve"> היו רק שני תלמידים המסוגלים להבין את השיעור. אפשר לשער שתלמידי הישיבות, ובייחוד העילויים המובהקים שהיו חריפים דיים לעקוב אחר מהלך דבריו של העילוי, החרימו את שיעורו של העילוי </w:t>
      </w:r>
      <w:proofErr w:type="spellStart"/>
      <w:r>
        <w:rPr>
          <w:rtl/>
        </w:rPr>
        <w:t>ממייצ׳ט</w:t>
      </w:r>
      <w:proofErr w:type="spellEnd"/>
      <w:r>
        <w:rPr>
          <w:rtl/>
        </w:rPr>
        <w:t xml:space="preserve"> משום שדבק בו כתם עשר שנות כהונתו כראש ישיבה בישיבת לידה. מוסד זה היה “פסול” הן משום ששילב לימודי חול בלימודי הקודש והן משום שהיה בעל מגמה ציונית (ברוח מייסדו, ר׳ </w:t>
      </w:r>
      <w:proofErr w:type="spellStart"/>
      <w:r>
        <w:rPr>
          <w:rtl/>
        </w:rPr>
        <w:t>יצחק־יעקב</w:t>
      </w:r>
      <w:proofErr w:type="spellEnd"/>
      <w:r>
        <w:rPr>
          <w:rtl/>
        </w:rPr>
        <w:t xml:space="preserve"> ריינס</w:t>
      </w:r>
      <w:bookmarkStart w:id="6914" w:name="_fnr5305"/>
      <w:r>
        <w:rPr>
          <w:rStyle w:val="a5"/>
        </w:rPr>
        <w:footnoteReference w:id="5319" w:customMarkFollows="0"/>
      </w:r>
      <w:bookmarkEnd w:id="6914"/>
      <w:r>
        <w:rPr>
          <w:rtl/>
        </w:rPr>
        <w:t>).</w:t>
      </w:r>
    </w:p>
    <w:p w14:paraId="050E47CA" w14:textId="77777777" w:rsidR="00AB3647" w:rsidRDefault="00000000" w:rsidP="007923E9">
      <w:pPr>
        <w:spacing w:after="120" w:line="276" w:lineRule="auto"/>
        <w:ind w:firstLine="283"/>
        <w:jc w:val="both"/>
      </w:pPr>
      <w:r>
        <w:rPr>
          <w:rtl/>
        </w:rPr>
        <w:t>רבנו, שהיה עצמאי ורחב דעת</w:t>
      </w:r>
      <w:bookmarkStart w:id="6915" w:name="_fnr5306"/>
      <w:r>
        <w:rPr>
          <w:rStyle w:val="a5"/>
        </w:rPr>
        <w:footnoteReference w:id="5320" w:customMarkFollows="0"/>
      </w:r>
      <w:bookmarkEnd w:id="6915"/>
      <w:r>
        <w:rPr>
          <w:rtl/>
        </w:rPr>
        <w:t xml:space="preserve">, לא הושפע משיקולי </w:t>
      </w:r>
      <w:proofErr w:type="spellStart"/>
      <w:r>
        <w:rPr>
          <w:rtl/>
        </w:rPr>
        <w:t>ה“תקינות</w:t>
      </w:r>
      <w:proofErr w:type="spellEnd"/>
      <w:r>
        <w:rPr>
          <w:rtl/>
        </w:rPr>
        <w:t xml:space="preserve"> הפוליטית” האלה – גם אחרי נישואיו לבתו של אחד מבעלי התפקידים בישיבת </w:t>
      </w:r>
      <w:proofErr w:type="spellStart"/>
      <w:r>
        <w:rPr>
          <w:rtl/>
        </w:rPr>
        <w:t>סלבודקה</w:t>
      </w:r>
      <w:proofErr w:type="spellEnd"/>
      <w:r>
        <w:rPr>
          <w:rtl/>
        </w:rPr>
        <w:t xml:space="preserve">, “המשגיח הצעיר” ר׳ </w:t>
      </w:r>
      <w:proofErr w:type="spellStart"/>
      <w:r>
        <w:rPr>
          <w:rtl/>
        </w:rPr>
        <w:t xml:space="preserve">בער־הירש</w:t>
      </w:r>
      <w:proofErr w:type="spellEnd"/>
      <w:r>
        <w:rPr>
          <w:rtl/>
        </w:rPr>
        <w:t xml:space="preserve"> </w:t>
      </w:r>
      <w:proofErr w:type="spellStart"/>
      <w:r>
        <w:rPr>
          <w:rtl/>
        </w:rPr>
        <w:t xml:space="preserve">הלר</w:t>
      </w:r>
      <w:bookmarkStart w:id="6916" w:name="_fnr5307"/>
      <w:proofErr w:type="spellEnd"/>
      <w:r>
        <w:rPr>
          <w:rStyle w:val="a5"/>
        </w:rPr>
        <w:footnoteReference w:id="5321" w:customMarkFollows="0"/>
      </w:r>
      <w:bookmarkEnd w:id="6916"/>
      <w:r>
        <w:rPr>
          <w:rtl/>
        </w:rPr>
        <w:t>, שנערכו כחצי שנה (או יותר) קודם לכן</w:t>
      </w:r>
      <w:bookmarkStart w:id="6917" w:name="_fnr5308"/>
      <w:r>
        <w:rPr>
          <w:rStyle w:val="a5"/>
        </w:rPr>
        <w:footnoteReference w:id="5322" w:customMarkFollows="0"/>
      </w:r>
      <w:bookmarkEnd w:id="6917"/>
      <w:r>
        <w:rPr>
          <w:rtl/>
        </w:rPr>
        <w:t>.</w:t>
      </w:r>
    </w:p>
    <w:p w14:paraId="0FE4BB52"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18" w:name="_fnr5309"/>
      <w:r>
        <w:rPr>
          <w:rStyle w:val="a5"/>
        </w:rPr>
        <w:footnoteReference w:id="5323" w:customMarkFollows="0"/>
      </w:r>
      <w:bookmarkEnd w:id="6918"/>
      <w:r>
        <w:rPr>
          <w:rtl/>
        </w:rPr>
        <w:t xml:space="preserve">: אחרי שהתמנה העילוי </w:t>
      </w:r>
      <w:proofErr w:type="spellStart"/>
      <w:r>
        <w:rPr>
          <w:rtl/>
        </w:rPr>
        <w:t>ממייצ׳ט</w:t>
      </w:r>
      <w:proofErr w:type="spellEnd"/>
      <w:r>
        <w:rPr>
          <w:rtl/>
        </w:rPr>
        <w:t xml:space="preserve"> לראש הישיבה בלידה, התנהלה שיחה בין ר׳ חיים </w:t>
      </w:r>
      <w:proofErr w:type="spellStart"/>
      <w:r>
        <w:rPr>
          <w:rtl/>
        </w:rPr>
        <w:t>ל“מקורביו</w:t>
      </w:r>
      <w:proofErr w:type="spellEnd"/>
      <w:r>
        <w:rPr>
          <w:rtl/>
        </w:rPr>
        <w:t xml:space="preserve">”, ושמו של ר׳ שלמה </w:t>
      </w:r>
      <w:proofErr w:type="spellStart"/>
      <w:r>
        <w:rPr>
          <w:rtl/>
        </w:rPr>
        <w:t>פוליצ׳ק</w:t>
      </w:r>
      <w:proofErr w:type="spellEnd"/>
      <w:r>
        <w:rPr>
          <w:rtl/>
        </w:rPr>
        <w:t xml:space="preserve"> עלה בה. כשדיבר עליו ר׳ חיים “בהתפעלות גדולה”, העיר אחד מבני החבורה כי סברו שיחסו של ר׳ חיים – מתנגד חריף לציונות ולרב ריינס</w:t>
      </w:r>
      <w:bookmarkStart w:id="6919" w:name="_fnr5310"/>
      <w:r>
        <w:rPr>
          <w:rStyle w:val="a5"/>
        </w:rPr>
        <w:footnoteReference w:id="5324" w:customMarkFollows="0"/>
      </w:r>
      <w:bookmarkEnd w:id="6919"/>
      <w:r>
        <w:rPr>
          <w:rtl/>
        </w:rPr>
        <w:t xml:space="preserve"> – יצטנן כלפי העילוי </w:t>
      </w:r>
      <w:proofErr w:type="spellStart"/>
      <w:r>
        <w:rPr>
          <w:rtl/>
        </w:rPr>
        <w:t>ממייצ׳ט</w:t>
      </w:r>
      <w:proofErr w:type="spellEnd"/>
      <w:r>
        <w:rPr>
          <w:rtl/>
        </w:rPr>
        <w:t xml:space="preserve"> מעת שזה התקרב אל ר׳ </w:t>
      </w:r>
      <w:proofErr w:type="spellStart"/>
      <w:r>
        <w:rPr>
          <w:rtl/>
        </w:rPr>
        <w:t>יצחק־יעקב</w:t>
      </w:r>
      <w:proofErr w:type="spellEnd"/>
      <w:r>
        <w:rPr>
          <w:rtl/>
        </w:rPr>
        <w:t xml:space="preserve"> ריינס והעלה את קרנה של ישיבתו הפסולה בלידה בקבלו עליו את ראשותה. וכך מסופר שם: “ר׳ חיים, כדרכו, ענה בבהירות ובחריפות: ‘מה שייך זה לזה? מפני שאינני אוחז מן הציונות, מוכרח אני גם לא לאחוז מר׳ </w:t>
      </w:r>
      <w:proofErr w:type="spellStart"/>
      <w:r>
        <w:rPr>
          <w:rtl/>
        </w:rPr>
        <w:t>יצחק־יעקב</w:t>
      </w:r>
      <w:proofErr w:type="spellEnd"/>
      <w:r>
        <w:rPr>
          <w:rtl/>
        </w:rPr>
        <w:t xml:space="preserve"> ריינס? ואם אינני אוחז מר׳ </w:t>
      </w:r>
      <w:proofErr w:type="spellStart"/>
      <w:r>
        <w:rPr>
          <w:rtl/>
        </w:rPr>
        <w:t>יצחק־יעקב</w:t>
      </w:r>
      <w:proofErr w:type="spellEnd"/>
      <w:r>
        <w:rPr>
          <w:rtl/>
        </w:rPr>
        <w:t xml:space="preserve"> ריינס, מוכרח אני גם לא לאחוז מהישיבה שלו? ואם אינני אוחז מישיבת לידה, מוכרח אני גם לא לאחוז מהעילוי </w:t>
      </w:r>
      <w:proofErr w:type="spellStart"/>
      <w:r>
        <w:rPr>
          <w:rtl/>
        </w:rPr>
        <w:t>ממייצ׳ט</w:t>
      </w:r>
      <w:proofErr w:type="spellEnd"/>
      <w:r>
        <w:rPr>
          <w:rtl/>
        </w:rPr>
        <w:t xml:space="preserve">? יכול אני להיות מתנגד לציונות, ובכל זאת לאחוז מר׳ </w:t>
      </w:r>
      <w:proofErr w:type="spellStart"/>
      <w:r>
        <w:rPr>
          <w:rtl/>
        </w:rPr>
        <w:t>יצחק־יעקב</w:t>
      </w:r>
      <w:proofErr w:type="spellEnd"/>
      <w:r>
        <w:rPr>
          <w:rtl/>
        </w:rPr>
        <w:t xml:space="preserve"> ריינס; ויכול אני להיות מתנגד גם לו, והישיבה שלו יכולה להיות טובה; ואפילו אם גם הישיבה איננה לרוחי, העילוי </w:t>
      </w:r>
      <w:proofErr w:type="spellStart"/>
      <w:r>
        <w:rPr>
          <w:rtl/>
        </w:rPr>
        <w:t>ממייצ׳ט</w:t>
      </w:r>
      <w:proofErr w:type="spellEnd"/>
      <w:r>
        <w:rPr>
          <w:rtl/>
        </w:rPr>
        <w:t xml:space="preserve"> עודנו גדול כפי שהיה תמיד [אין זיין חשיבות]...’”.</w:t>
      </w:r>
    </w:p>
    <w:p w14:paraId="54F2EF56" w14:textId="21423B40" w:rsidR="00AB3647" w:rsidRDefault="00000000" w:rsidP="007923E9">
      <w:pPr>
        <w:spacing w:after="120" w:line="276" w:lineRule="auto"/>
        <w:ind w:firstLine="283"/>
        <w:jc w:val="both"/>
      </w:pPr>
      <w:r>
        <w:rPr>
          <w:rtl/>
        </w:rPr>
        <w:lastRenderedPageBreak/>
        <w:t xml:space="preserve">השווה פרק 3, הפסקה השלישית של </w:t>
      </w:r>
      <w:r>
        <w:rPr>
          <w:rtl/>
        </w:rPr>
        <w:fldChar w:fldCharType="begin" w:dirty="true"/>
      </w:r>
      <w:r>
        <w:rPr>
          <w:rtl/>
        </w:rPr>
        <w:instrText xml:space="preserve"> REF b3_excN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יד</w:t>
      </w:r>
      <w:r>
        <w:rPr>
          <w:rtl/>
        </w:rPr>
        <w:fldChar w:fldCharType="end"/>
      </w:r>
      <w:r>
        <w:rPr>
          <w:rtl/>
        </w:rPr>
        <w:t xml:space="preserve">, שבה משתקפת גישה זו בעמדתו של רבנו. לא פורש מי היו אותם “מקורבים” </w:t>
      </w:r>
      <w:proofErr w:type="spellStart"/>
      <w:r>
        <w:rPr>
          <w:rtl/>
        </w:rPr>
        <w:t>לר</w:t>
      </w:r>
      <w:proofErr w:type="spellEnd"/>
      <w:r>
        <w:rPr>
          <w:rtl/>
        </w:rPr>
        <w:t xml:space="preserve">׳ חיים בשיחה זו, אבל אפשר לשער שר׳ יעקב הלוי ליפשיץ היה ביניהם, לפי פרק 3, הפסקה השנייה של </w:t>
      </w:r>
      <w:r>
        <w:rPr>
          <w:rtl/>
        </w:rPr>
        <w:fldChar w:fldCharType="begin" w:dirty="true"/>
      </w:r>
      <w:r>
        <w:rPr>
          <w:rtl/>
        </w:rPr>
        <w:instrText xml:space="preserve"> REF b3_excL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יב</w:t>
      </w:r>
      <w:proofErr w:type="spellEnd"/>
      <w:r>
        <w:rPr>
          <w:rtl/>
        </w:rPr>
        <w:fldChar w:fldCharType="end"/>
      </w:r>
      <w:bookmarkStart w:id="6920" w:name="_fnr5311"/>
      <w:r>
        <w:rPr>
          <w:rStyle w:val="a5"/>
        </w:rPr>
        <w:footnoteReference w:id="5325" w:customMarkFollows="0"/>
      </w:r>
      <w:bookmarkEnd w:id="6920"/>
      <w:r>
        <w:rPr>
          <w:rtl/>
        </w:rPr>
        <w:t>.</w:t>
      </w:r>
    </w:p>
    <w:p w14:paraId="06D49914" w14:textId="77777777" w:rsidR="00AB3647" w:rsidRDefault="00000000" w:rsidP="007923E9">
      <w:pPr>
        <w:spacing w:after="120" w:line="276" w:lineRule="auto"/>
        <w:ind w:firstLine="283"/>
        <w:jc w:val="both"/>
      </w:pPr>
      <w:r>
        <w:rPr>
          <w:rtl/>
        </w:rPr>
        <w:t>השווה גם “תורת חיים”</w:t>
      </w:r>
      <w:bookmarkStart w:id="6921" w:name="_fnr5312"/>
      <w:r>
        <w:rPr>
          <w:rStyle w:val="a5"/>
        </w:rPr>
        <w:footnoteReference w:id="5326" w:customMarkFollows="0"/>
      </w:r>
      <w:bookmarkEnd w:id="6921"/>
      <w:r>
        <w:rPr>
          <w:rtl/>
        </w:rPr>
        <w:t xml:space="preserve">, המספר: “כשנפטר ר׳ שמואל </w:t>
      </w:r>
      <w:proofErr w:type="spellStart"/>
      <w:r>
        <w:rPr>
          <w:rtl/>
        </w:rPr>
        <w:t>מוהליבר</w:t>
      </w:r>
      <w:proofErr w:type="spellEnd"/>
      <w:r>
        <w:rPr>
          <w:rtl/>
        </w:rPr>
        <w:t xml:space="preserve"> [רבה של </w:t>
      </w:r>
      <w:proofErr w:type="spellStart"/>
      <w:r>
        <w:rPr>
          <w:rtl/>
        </w:rPr>
        <w:t>ביאליסטוק</w:t>
      </w:r>
      <w:proofErr w:type="spellEnd"/>
      <w:r>
        <w:rPr>
          <w:rtl/>
        </w:rPr>
        <w:t xml:space="preserve"> ואחד ממייסדי המזרחי] באביב תרנ״ח, רצה ר׳ חיים להשתתף בהלוויה, וכשבני משפחתו של ר׳ חיים שאלו: ‘איך אתה יכול לעשות זאת? הרי הוא היה ציוני!’ השיב: ‘מה זה שייך? הרי הוא היה רב, ואני צריך להשתתף בהלוויה של רב!’ ככל שניסו להניאו מכך, לא הועיל דבר. אז ניגש יהודי </w:t>
      </w:r>
      <w:proofErr w:type="spellStart"/>
      <w:r>
        <w:rPr>
          <w:rtl/>
        </w:rPr>
        <w:t>מבריסק</w:t>
      </w:r>
      <w:proofErr w:type="spellEnd"/>
      <w:r>
        <w:rPr>
          <w:rtl/>
        </w:rPr>
        <w:t xml:space="preserve"> והתחנן... והסביר שהאנשים [‘העולם’] לא יבינו וישיגו את מה שר׳ חיים הבין והשיג – </w:t>
      </w:r>
      <w:proofErr w:type="spellStart"/>
      <w:r>
        <w:rPr>
          <w:rtl/>
        </w:rPr>
        <w:t>שציונותו</w:t>
      </w:r>
      <w:proofErr w:type="spellEnd"/>
      <w:r>
        <w:rPr>
          <w:rtl/>
        </w:rPr>
        <w:t xml:space="preserve"> של ר׳ שמואל והחובה להשתתף בהלוויית רב הן שני עניינים שאין ביניהם קשר – וייגרם חילול השם נורא, מפני שהכופרים יאמרו: ‘ראו, אפילו ר׳ חיים מסכים לציונות, והראיה – שהוא משתתף בהלוויה’. לבסוף נענה ר׳ חיים ואמר: ‘אתה צודק. מה אני יכול לעשות אם העולם טיפשים?!’”</w:t>
      </w:r>
      <w:bookmarkStart w:id="6922" w:name="_fnr5313"/>
      <w:r>
        <w:rPr>
          <w:rStyle w:val="a5"/>
        </w:rPr>
        <w:footnoteReference w:id="5327" w:customMarkFollows="0"/>
      </w:r>
      <w:bookmarkEnd w:id="6922"/>
      <w:r>
        <w:rPr>
          <w:rtl/>
        </w:rPr>
        <w:t>.</w:t>
      </w:r>
    </w:p>
    <w:bookmarkStart w:id="6923" w:name="b5_excI"/>
    <w:p w14:paraId="250137C9" w14:textId="77777777" w:rsidR="00AB3647" w:rsidRDefault="00000000" w:rsidP="007923E9">
      <w:pPr>
        <w:pStyle w:val="3"/>
        <w:spacing w:line="276" w:lineRule="auto"/>
      </w:pPr>
      <w:r>
        <w:lastRenderedPageBreak/>
        <w:fldChar w:fldCharType="begin" w:dirty="true"/>
      </w:r>
      <w:r>
        <w:rPr>
          <w:rtl w:val="0"/>
        </w:rPr>
        <w:instrText>HYPERLINK \l "b5_note77</w:instrText>
      </w:r>
      <w:r>
        <w:instrText>"</w:instrText>
      </w:r>
      <w:r>
        <w:fldChar w:fldCharType="separate"/>
      </w:r>
      <w:r>
        <w:t>נספח ט</w:t>
      </w:r>
      <w:r>
        <w:fldChar w:fldCharType="end"/>
      </w:r>
      <w:bookmarkEnd w:id="6923"/>
    </w:p>
    <w:p w14:paraId="3AC5D13E" w14:textId="77777777" w:rsidR="00AB3647" w:rsidRDefault="00000000" w:rsidP="007923E9">
      <w:pPr>
        <w:pStyle w:val="af"/>
        <w:spacing w:line="276" w:lineRule="auto"/>
      </w:pPr>
      <w:r>
        <w:t xml:space="preserve">על בריאותו של ר׳ חיים </w:t>
      </w:r>
      <w:proofErr w:type="spellStart"/>
      <w:r>
        <w:t>סולובייצ׳יק</w:t>
      </w:r>
      <w:proofErr w:type="spellEnd"/>
    </w:p>
    <w:p w14:paraId="51F90C57" w14:textId="77777777" w:rsidR="00AB3647" w:rsidRDefault="00000000" w:rsidP="007923E9">
      <w:pPr>
        <w:pStyle w:val="5"/>
        <w:spacing w:line="276" w:lineRule="auto"/>
      </w:pPr>
      <w:r>
        <w:t xml:space="preserve">ר׳ חיים </w:t>
      </w:r>
      <w:proofErr w:type="spellStart"/>
      <w:r>
        <w:t>סולובייצ׳יק</w:t>
      </w:r>
      <w:proofErr w:type="spellEnd"/>
      <w:r>
        <w:t xml:space="preserve"> אינו בקו הבריאות בשנות השלושים לחייו – נכד סבור שהיה בריא כמעט עד סופו – שנות המצוקה שלו במינסק במלחמת העולם הראשונה – שכלו מביא את גופו לידי זקנה</w:t>
      </w:r>
    </w:p>
    <w:p w14:paraId="5A5B571F" w14:textId="77777777" w:rsidR="00AB3647" w:rsidRDefault="00000000" w:rsidP="007923E9">
      <w:pPr>
        <w:spacing w:after="120" w:line="276" w:lineRule="auto"/>
        <w:ind w:firstLine="283"/>
        <w:jc w:val="both"/>
      </w:pPr>
      <w:r>
        <w:rPr>
          <w:rtl/>
        </w:rPr>
        <w:t xml:space="preserve">מה שסיפר מרואייני, ר׳ קופל </w:t>
      </w:r>
      <w:proofErr w:type="spellStart"/>
      <w:r>
        <w:rPr>
          <w:rtl/>
        </w:rPr>
        <w:t>וולפרט</w:t>
      </w:r>
      <w:proofErr w:type="spellEnd"/>
      <w:r>
        <w:rPr>
          <w:rtl/>
        </w:rPr>
        <w:t>, על מצב בריאותו של ר׳ חיים בהיותו בן חמישים וחמש מפורט מכדי שיהיה מוטעה לגמרי. גם הפרק בספרו של יעקב מארק</w:t>
      </w:r>
      <w:bookmarkStart w:id="6924" w:name="_fnr5314"/>
      <w:r>
        <w:rPr>
          <w:rStyle w:val="a5"/>
        </w:rPr>
        <w:footnoteReference w:id="5328" w:customMarkFollows="0"/>
      </w:r>
      <w:bookmarkEnd w:id="6924"/>
      <w:r>
        <w:rPr>
          <w:rtl/>
        </w:rPr>
        <w:t xml:space="preserve"> על ר׳ חיים </w:t>
      </w:r>
      <w:proofErr w:type="spellStart"/>
      <w:r>
        <w:rPr>
          <w:rtl/>
        </w:rPr>
        <w:t>סולובייצ׳יק</w:t>
      </w:r>
      <w:bookmarkStart w:id="6925" w:name="_fnr5315"/>
      <w:proofErr w:type="spellEnd"/>
      <w:r>
        <w:rPr>
          <w:rStyle w:val="a5"/>
        </w:rPr>
        <w:footnoteReference w:id="5329" w:customMarkFollows="0"/>
      </w:r>
      <w:bookmarkEnd w:id="6925"/>
      <w:r>
        <w:rPr>
          <w:rtl/>
        </w:rPr>
        <w:t xml:space="preserve"> מספר שאפילו בשלהי שנות השלושים לחייו בילה כמה קיצים בעיר החוף </w:t>
      </w:r>
      <w:proofErr w:type="spellStart"/>
      <w:r>
        <w:rPr>
          <w:rtl/>
        </w:rPr>
        <w:t>ליבאו</w:t>
      </w:r>
      <w:proofErr w:type="spellEnd"/>
      <w:r>
        <w:rPr>
          <w:rtl/>
        </w:rPr>
        <w:t xml:space="preserve"> “לצורכי מרפא”</w:t>
      </w:r>
      <w:bookmarkStart w:id="6926" w:name="_fnr5316"/>
      <w:r>
        <w:rPr>
          <w:rStyle w:val="a5"/>
        </w:rPr>
        <w:footnoteReference w:id="5330" w:customMarkFollows="0"/>
      </w:r>
      <w:bookmarkEnd w:id="6926"/>
      <w:r>
        <w:rPr>
          <w:rtl/>
        </w:rPr>
        <w:t xml:space="preserve">. את הצורך במרפא הוא מסביר כך: “ר׳ חיים היה מטבעו אדם בריא, אך באורח חייו הרשלני – </w:t>
      </w:r>
      <w:proofErr w:type="spellStart"/>
      <w:r>
        <w:rPr>
          <w:rtl/>
        </w:rPr>
        <w:t>משלא</w:t>
      </w:r>
      <w:proofErr w:type="spellEnd"/>
      <w:r>
        <w:rPr>
          <w:rtl/>
        </w:rPr>
        <w:t xml:space="preserve"> שמר על עצמו – הביא על עצמו כמה מחלות”.</w:t>
      </w:r>
    </w:p>
    <w:p w14:paraId="7D2A2137" w14:textId="77777777" w:rsidR="00AB3647" w:rsidRDefault="00000000" w:rsidP="007923E9">
      <w:pPr>
        <w:spacing w:after="120" w:line="276" w:lineRule="auto"/>
        <w:ind w:firstLine="283"/>
        <w:jc w:val="both"/>
      </w:pPr>
      <w:r>
        <w:rPr>
          <w:rtl/>
        </w:rPr>
        <w:t>מארק מספר שם את הסיפור המעניין הבא</w:t>
      </w:r>
      <w:bookmarkStart w:id="6927" w:name="_fnr5317"/>
      <w:r>
        <w:rPr>
          <w:rStyle w:val="a5"/>
        </w:rPr>
        <w:footnoteReference w:id="5331" w:customMarkFollows="0"/>
      </w:r>
      <w:bookmarkEnd w:id="6927"/>
      <w:r>
        <w:rPr>
          <w:rtl/>
        </w:rPr>
        <w:t xml:space="preserve">: “בליל תשעה באב אחד, לאחר אמירת הקינות, ביקש ממני ר׳ הלל </w:t>
      </w:r>
      <w:proofErr w:type="spellStart"/>
      <w:r>
        <w:rPr>
          <w:rtl/>
        </w:rPr>
        <w:t>סלנטר</w:t>
      </w:r>
      <w:proofErr w:type="spellEnd"/>
      <w:r>
        <w:rPr>
          <w:rtl/>
        </w:rPr>
        <w:t xml:space="preserve">, שהיה בא </w:t>
      </w:r>
      <w:proofErr w:type="spellStart"/>
      <w:r>
        <w:rPr>
          <w:rtl/>
        </w:rPr>
        <w:t>לליבאו</w:t>
      </w:r>
      <w:proofErr w:type="spellEnd"/>
      <w:r>
        <w:rPr>
          <w:rtl/>
        </w:rPr>
        <w:t xml:space="preserve"> מדי קיץ, ללכת אל ר׳ חיים ולומר לו בשמו שאסור לו לצום למחרת. מילאתי את השליחות, אך ר׳ חיים ביטל אותה בצחוק. וכשסיפרתי זאת </w:t>
      </w:r>
      <w:proofErr w:type="spellStart"/>
      <w:r>
        <w:rPr>
          <w:rtl/>
        </w:rPr>
        <w:t>לר</w:t>
      </w:r>
      <w:proofErr w:type="spellEnd"/>
      <w:r>
        <w:rPr>
          <w:rtl/>
        </w:rPr>
        <w:t xml:space="preserve">׳ הלל למחרת, שלחני אליו שנית לומר בשמו שהוא, </w:t>
      </w:r>
      <w:proofErr w:type="spellStart"/>
      <w:r>
        <w:rPr>
          <w:rtl/>
        </w:rPr>
        <w:t>כמ״ץ</w:t>
      </w:r>
      <w:proofErr w:type="spellEnd"/>
      <w:r>
        <w:rPr>
          <w:rtl/>
        </w:rPr>
        <w:t xml:space="preserve"> זקן ממנו, מצווה עליו לאכול מיד, מפני שלא היצר הטוב אומר לו לצום אלא היצר הרע, המסית את כל החולים שלא לציית לרופאים</w:t>
      </w:r>
      <w:bookmarkStart w:id="6928" w:name="_fnr5318"/>
      <w:r>
        <w:rPr>
          <w:rStyle w:val="a5"/>
        </w:rPr>
        <w:footnoteReference w:id="5332" w:customMarkFollows="0"/>
      </w:r>
      <w:bookmarkEnd w:id="6928"/>
      <w:r>
        <w:rPr>
          <w:rtl/>
        </w:rPr>
        <w:t xml:space="preserve">. בה בעת הורה לי </w:t>
      </w:r>
      <w:proofErr w:type="spellStart"/>
      <w:r>
        <w:rPr>
          <w:rtl/>
        </w:rPr>
        <w:t>המ״ץ</w:t>
      </w:r>
      <w:proofErr w:type="spellEnd"/>
      <w:r>
        <w:rPr>
          <w:rtl/>
        </w:rPr>
        <w:t xml:space="preserve"> שלא לעזוב את ר׳ חיים עד שיטעם דבר מאכל. אבל הכול לא הועיל, ור׳ חיים צם כל היום – ואיזה יום! – עד </w:t>
      </w:r>
      <w:proofErr w:type="spellStart"/>
      <w:r>
        <w:rPr>
          <w:rtl/>
        </w:rPr>
        <w:t>אחת־עשרה</w:t>
      </w:r>
      <w:proofErr w:type="spellEnd"/>
      <w:r>
        <w:rPr>
          <w:rtl/>
        </w:rPr>
        <w:t xml:space="preserve"> בלילה, שכן לפי חישובו, עם כל החומרות, לא היה צאת הכוכבים </w:t>
      </w:r>
      <w:proofErr w:type="spellStart"/>
      <w:r>
        <w:rPr>
          <w:rtl/>
        </w:rPr>
        <w:t>בליבאו</w:t>
      </w:r>
      <w:proofErr w:type="spellEnd"/>
      <w:r>
        <w:rPr>
          <w:rtl/>
        </w:rPr>
        <w:t xml:space="preserve"> בימי הקיץ לפני שעתיים וחצי אחרי השקיעה. בסופו של דבר הזיק לו הצום מאוד, אבל הוא סירב בשום אופן להודות שנהג שלא כראוי”.</w:t>
      </w:r>
    </w:p>
    <w:p w14:paraId="54493CD5" w14:textId="77777777" w:rsidR="00AB3647" w:rsidRDefault="00000000" w:rsidP="007923E9">
      <w:pPr>
        <w:spacing w:after="120" w:line="276" w:lineRule="auto"/>
        <w:ind w:firstLine="283"/>
        <w:jc w:val="both"/>
      </w:pPr>
      <w:r>
        <w:rPr>
          <w:rtl/>
        </w:rPr>
        <w:t xml:space="preserve">מכתב שכתב ר׳ חיים </w:t>
      </w:r>
      <w:proofErr w:type="spellStart"/>
      <w:r>
        <w:rPr>
          <w:rtl/>
        </w:rPr>
        <w:t>סולובייצ׳יק</w:t>
      </w:r>
      <w:proofErr w:type="spellEnd"/>
      <w:r>
        <w:rPr>
          <w:rtl/>
        </w:rPr>
        <w:t xml:space="preserve"> </w:t>
      </w:r>
      <w:proofErr w:type="spellStart"/>
      <w:r>
        <w:rPr>
          <w:rtl/>
        </w:rPr>
        <w:t>ארבעה־עשר</w:t>
      </w:r>
      <w:proofErr w:type="spellEnd"/>
      <w:r>
        <w:rPr>
          <w:rtl/>
        </w:rPr>
        <w:t xml:space="preserve"> חודשים אחרי ביקורו בקובנה, ונדפס שוב </w:t>
      </w:r>
      <w:proofErr w:type="spellStart"/>
      <w:r>
        <w:rPr>
          <w:rtl/>
        </w:rPr>
        <w:t>ב“קובץ</w:t>
      </w:r>
      <w:proofErr w:type="spellEnd"/>
      <w:r>
        <w:rPr>
          <w:rtl/>
        </w:rPr>
        <w:t xml:space="preserve"> מכתבים”</w:t>
      </w:r>
      <w:bookmarkStart w:id="6929" w:name="_fnr5319"/>
      <w:r>
        <w:rPr>
          <w:rStyle w:val="a5"/>
        </w:rPr>
        <w:footnoteReference w:id="5333" w:customMarkFollows="0"/>
      </w:r>
      <w:bookmarkEnd w:id="6929"/>
      <w:r>
        <w:rPr>
          <w:rtl/>
        </w:rPr>
        <w:t xml:space="preserve">, מזכיר הן את הידרדרות בריאותו והן את חברו לנסיעה. וזה לשונו: “בנוגע אלי, כבר כתבתי לך במכתבי הקודם שאינני יודע איזו תועלת תמצא בנסיעתי [לאספה </w:t>
      </w:r>
      <w:proofErr w:type="spellStart"/>
      <w:r>
        <w:rPr>
          <w:rtl/>
        </w:rPr>
        <w:t>בבאד</w:t>
      </w:r>
      <w:proofErr w:type="spellEnd"/>
      <w:r>
        <w:rPr>
          <w:rtl/>
        </w:rPr>
        <w:t xml:space="preserve"> </w:t>
      </w:r>
      <w:proofErr w:type="spellStart"/>
      <w:r>
        <w:rPr>
          <w:rtl/>
        </w:rPr>
        <w:t>הומבורג</w:t>
      </w:r>
      <w:bookmarkStart w:id="6930" w:name="_fnr5320"/>
      <w:proofErr w:type="spellEnd"/>
      <w:r>
        <w:rPr>
          <w:rStyle w:val="a5"/>
        </w:rPr>
        <w:footnoteReference w:id="5334" w:customMarkFollows="0"/>
      </w:r>
      <w:bookmarkEnd w:id="6930"/>
      <w:r>
        <w:rPr>
          <w:rtl/>
        </w:rPr>
        <w:t xml:space="preserve">], מפני שעל ידי חוליי פג טעמי – ואין אני אומר זאת מתוך ענווה או שפלות הדעת, אלא מפני שאני אוהב את האמת בכל העניינים, וגם [מחלתי] גורמת לי קושי נוסף בכל נסיעה ובייחוד במעברי הגבול. אולם למרות כל זאת לא החלטתי בדבר, ומסרתי את העניין להכרעתך. ומובן שאם תיפול ההחלטה שאסע, יהיה זה יחד עם ידידי הגאון ר׳ </w:t>
      </w:r>
      <w:proofErr w:type="spellStart"/>
      <w:r>
        <w:rPr>
          <w:rtl/>
        </w:rPr>
        <w:t>יעקב־זלמן</w:t>
      </w:r>
      <w:proofErr w:type="spellEnd"/>
      <w:r>
        <w:rPr>
          <w:rtl/>
        </w:rPr>
        <w:t xml:space="preserve"> ליפשיץ”. לא ברור למה התכוון ר׳ חיים כשכתב שמעברי הגבול הכבידו עוד על בריאותו. </w:t>
      </w:r>
      <w:r>
        <w:rPr>
          <w:rtl/>
        </w:rPr>
        <w:lastRenderedPageBreak/>
        <w:t>ייתכן שכוונתו לחרדה שחש כשבדקו פקידי הגבול את ניירותיו, חרדה שהשפיעה עליו בגופו ופגעה בבריאותו</w:t>
      </w:r>
      <w:bookmarkStart w:id="6931" w:name="_fnr5321"/>
      <w:r>
        <w:rPr>
          <w:rStyle w:val="a5"/>
        </w:rPr>
        <w:footnoteReference w:id="5335" w:customMarkFollows="0"/>
      </w:r>
      <w:bookmarkEnd w:id="6931"/>
      <w:r>
        <w:rPr>
          <w:rtl/>
        </w:rPr>
        <w:t>.</w:t>
      </w:r>
    </w:p>
    <w:p w14:paraId="18AF88FB" w14:textId="77777777" w:rsidR="00AB3647" w:rsidRDefault="00000000" w:rsidP="007923E9">
      <w:pPr>
        <w:spacing w:after="120" w:line="276" w:lineRule="auto"/>
        <w:ind w:firstLine="283"/>
        <w:jc w:val="both"/>
      </w:pPr>
      <w:r>
        <w:rPr>
          <w:rtl/>
        </w:rPr>
        <w:t xml:space="preserve">בעניין זה השווה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32" w:name="_fnr5322"/>
      <w:r>
        <w:rPr>
          <w:rStyle w:val="a5"/>
        </w:rPr>
        <w:footnoteReference w:id="5336" w:customMarkFollows="0"/>
      </w:r>
      <w:bookmarkEnd w:id="6932"/>
      <w:r>
        <w:rPr>
          <w:rtl/>
        </w:rPr>
        <w:t xml:space="preserve">, שלפיו ר׳ חיים “נטה בדרך כלל לפסימיות, תמיד פחד וציפה לגרוע מכול”. אותו מחבר תולה בתכונה זו את העובדה שר׳ חיים “חזה שכל מחלה עלולה להפוך לפיקוח נפש”. אבל למעשה נבע החשש “שכל מחלה עלולה להפוך לפיקוח נפש” מפסקו בענייני בריאות: </w:t>
      </w:r>
      <w:proofErr w:type="spellStart"/>
      <w:r>
        <w:rPr>
          <w:rtl/>
        </w:rPr>
        <w:t>ש“מיליונית</w:t>
      </w:r>
      <w:proofErr w:type="spellEnd"/>
      <w:r>
        <w:rPr>
          <w:rtl/>
        </w:rPr>
        <w:t xml:space="preserve"> של ספק סכנת נפשות נחשבת להלכה לפיקוח נפש”</w:t>
      </w:r>
      <w:bookmarkStart w:id="6933" w:name="_fnr5323"/>
      <w:r>
        <w:rPr>
          <w:rStyle w:val="a5"/>
        </w:rPr>
        <w:footnoteReference w:id="5337" w:customMarkFollows="0"/>
      </w:r>
      <w:bookmarkEnd w:id="6933"/>
      <w:r>
        <w:rPr>
          <w:rtl/>
        </w:rPr>
        <w:t>.</w:t>
      </w:r>
    </w:p>
    <w:p w14:paraId="2126B13E" w14:textId="77777777" w:rsidR="00AB3647" w:rsidRDefault="00000000" w:rsidP="007923E9">
      <w:pPr>
        <w:spacing w:after="120" w:line="276" w:lineRule="auto"/>
        <w:ind w:firstLine="283"/>
        <w:jc w:val="both"/>
      </w:pPr>
      <w:bookmarkStart w:id="6934" w:name="pr_b_2871"/>
      <w:bookmarkEnd w:id="6934"/>
      <w:r>
        <w:rPr>
          <w:rtl/>
        </w:rPr>
        <w:t xml:space="preserve">אבל ר׳ משה </w:t>
      </w:r>
      <w:proofErr w:type="spellStart"/>
      <w:r>
        <w:rPr>
          <w:rtl/>
        </w:rPr>
        <w:t>סולובייצ׳יק</w:t>
      </w:r>
      <w:proofErr w:type="spellEnd"/>
      <w:r>
        <w:rPr>
          <w:rtl/>
        </w:rPr>
        <w:t xml:space="preserve"> מציריך, צעיר ילדיו של בנו הבכור של ר׳ חיים, העיד</w:t>
      </w:r>
      <w:bookmarkStart w:id="6935" w:name="_fnr5324"/>
      <w:r>
        <w:rPr>
          <w:rStyle w:val="a5"/>
        </w:rPr>
        <w:footnoteReference w:id="5338" w:customMarkFollows="0"/>
      </w:r>
      <w:bookmarkEnd w:id="6935"/>
      <w:r>
        <w:rPr>
          <w:rtl/>
        </w:rPr>
        <w:t xml:space="preserve"> </w:t>
      </w:r>
      <w:proofErr w:type="spellStart"/>
      <w:r>
        <w:rPr>
          <w:rtl/>
        </w:rPr>
        <w:t>ש“במשפחה</w:t>
      </w:r>
      <w:proofErr w:type="spellEnd"/>
      <w:r>
        <w:rPr>
          <w:rtl/>
        </w:rPr>
        <w:t>” נחשב ר׳ חיים לבריא וחזק כמעט עד סופו</w:t>
      </w:r>
      <w:bookmarkStart w:id="6936" w:name="_fnr5325"/>
      <w:r>
        <w:rPr>
          <w:rStyle w:val="a5"/>
        </w:rPr>
        <w:footnoteReference w:id="5339" w:customMarkFollows="0"/>
      </w:r>
      <w:bookmarkEnd w:id="6936"/>
      <w:r>
        <w:rPr>
          <w:rtl/>
        </w:rPr>
        <w:t xml:space="preserve">. ר׳ משה סיפר מעשה הממחיש את כוחו הגופני של סבו: קצב </w:t>
      </w:r>
      <w:proofErr w:type="spellStart"/>
      <w:r>
        <w:rPr>
          <w:rtl/>
        </w:rPr>
        <w:t>בריסקאי</w:t>
      </w:r>
      <w:proofErr w:type="spellEnd"/>
      <w:r>
        <w:rPr>
          <w:rtl/>
        </w:rPr>
        <w:t xml:space="preserve"> חסון, שבהמתו השחוטה </w:t>
      </w:r>
      <w:proofErr w:type="spellStart"/>
      <w:r>
        <w:rPr>
          <w:rtl/>
        </w:rPr>
        <w:t>הוטרפה</w:t>
      </w:r>
      <w:proofErr w:type="spellEnd"/>
      <w:r>
        <w:rPr>
          <w:rtl/>
        </w:rPr>
        <w:t xml:space="preserve">, שאג ואיים לשבור את כל חלונות בית הרב, ור׳ חיים השיב: “אינני מפחד ממך, מפני שאני חזק ממך”, והמחיש את דבריו בכפיפת מטבע באצבעותיו. תלמידו של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מרבו שר׳ חיים היה משתעשע בפורים בכפיפת פרסת סוס בידיו החשופות. </w:t>
      </w:r>
      <w:proofErr w:type="spellStart"/>
      <w:r>
        <w:rPr>
          <w:rtl/>
        </w:rPr>
        <w:t>ו“תורת</w:t>
      </w:r>
      <w:proofErr w:type="spellEnd"/>
      <w:r>
        <w:rPr>
          <w:rtl/>
        </w:rPr>
        <w:t xml:space="preserve"> חיים”</w:t>
      </w:r>
      <w:bookmarkStart w:id="6937" w:name="_fnr5326"/>
      <w:r>
        <w:rPr>
          <w:rStyle w:val="a5"/>
        </w:rPr>
        <w:footnoteReference w:id="5340" w:customMarkFollows="0"/>
      </w:r>
      <w:bookmarkEnd w:id="6937"/>
      <w:r>
        <w:rPr>
          <w:rtl/>
        </w:rPr>
        <w:t xml:space="preserve"> מספר שאדם אחד, שרצה להפחיד את ר׳ חיים, שסירב להגדיל את מנת הצדקה שנתן לו, הפגין את כוחו בכפיפת מטבע; ר׳ חיים נטל את המטבע באצבעותיו ויישר אותו.</w:t>
      </w:r>
    </w:p>
    <w:p w14:paraId="646A69DE" w14:textId="77777777" w:rsidR="00AB3647" w:rsidRDefault="00000000" w:rsidP="007923E9">
      <w:pPr>
        <w:spacing w:after="120" w:line="276" w:lineRule="auto"/>
        <w:ind w:firstLine="283"/>
        <w:jc w:val="both"/>
      </w:pPr>
      <w:bookmarkStart w:id="6938" w:name="pr_close_b_4564"/>
      <w:bookmarkEnd w:id="6938"/>
      <w:r>
        <w:rPr>
          <w:rtl/>
        </w:rPr>
        <w:t xml:space="preserve">את פטירת ר׳ חיים </w:t>
      </w:r>
      <w:proofErr w:type="spellStart"/>
      <w:r>
        <w:rPr>
          <w:rtl/>
        </w:rPr>
        <w:t>באוטבוצק</w:t>
      </w:r>
      <w:proofErr w:type="spellEnd"/>
      <w:r>
        <w:rPr>
          <w:rtl/>
        </w:rPr>
        <w:t>, ליד ורשה, בכ״א באב תרע״ח, בן שישים וחמש בלבד, ייחס ר׳ משה לשנות הרעב שעבר במינסק בשלוש שנות המלחמה שקדמו לה – ולא לסיבת המוות הישירה, “מחלת כבד שסבל ממנה מאוד ושריתקה אותו רוב הזמן למיטתו” בשלהי חייו</w:t>
      </w:r>
      <w:bookmarkStart w:id="6939" w:name="_fnr5327"/>
      <w:r>
        <w:rPr>
          <w:rStyle w:val="a5"/>
        </w:rPr>
        <w:footnoteReference w:id="5341" w:customMarkFollows="0"/>
      </w:r>
      <w:bookmarkEnd w:id="6939"/>
      <w:r>
        <w:rPr>
          <w:rtl/>
        </w:rPr>
        <w:t xml:space="preserve">, ושלשם ריפויה הובא ממקום מקלטו במינסק “אל רופאים גדולים בוורשה, שכבר לא יכלו לעזור”</w:t>
      </w:r>
      <w:bookmarkStart w:id="6940" w:name="_fnr5328"/>
      <w:r>
        <w:rPr>
          <w:rStyle w:val="a5"/>
        </w:rPr>
        <w:footnoteReference w:id="5342" w:customMarkFollows="0"/>
      </w:r>
      <w:bookmarkEnd w:id="6940"/>
      <w:r>
        <w:rPr>
          <w:rtl/>
        </w:rPr>
        <w:t>.</w:t>
      </w:r>
    </w:p>
    <w:p w14:paraId="616C5B63" w14:textId="77777777" w:rsidR="00AB3647" w:rsidRDefault="00000000" w:rsidP="007923E9">
      <w:pPr>
        <w:spacing w:after="120" w:line="276" w:lineRule="auto"/>
        <w:ind w:firstLine="283"/>
        <w:jc w:val="both"/>
      </w:pPr>
      <w:bookmarkStart w:id="6941" w:name="pr_b_2872"/>
      <w:bookmarkEnd w:id="6941"/>
      <w:r>
        <w:rPr>
          <w:rtl/>
        </w:rPr>
        <w:t xml:space="preserve">מאמרו של יצחק ברגר, בן מינסק חשוב ותלמיד </w:t>
      </w:r>
      <w:proofErr w:type="spellStart"/>
      <w:r>
        <w:rPr>
          <w:rtl/>
        </w:rPr>
        <w:t>וולוז׳ין</w:t>
      </w:r>
      <w:proofErr w:type="spellEnd"/>
      <w:r>
        <w:rPr>
          <w:rtl/>
        </w:rPr>
        <w:t xml:space="preserve"> לשעבר, </w:t>
      </w:r>
      <w:proofErr w:type="spellStart"/>
      <w:r>
        <w:rPr>
          <w:rtl/>
        </w:rPr>
        <w:t>ב“מינסק</w:t>
      </w:r>
      <w:proofErr w:type="spellEnd"/>
      <w:r>
        <w:rPr>
          <w:rtl/>
        </w:rPr>
        <w:t xml:space="preserve"> עיר ואם” א</w:t>
      </w:r>
      <w:bookmarkStart w:id="6942" w:name="_fnr5329"/>
      <w:r>
        <w:rPr>
          <w:rStyle w:val="a5"/>
        </w:rPr>
        <w:footnoteReference w:id="5343" w:customMarkFollows="0"/>
      </w:r>
      <w:bookmarkEnd w:id="6942"/>
      <w:r>
        <w:rPr>
          <w:rtl/>
        </w:rPr>
        <w:t xml:space="preserve">, מתאר כיצד סירב ר׳ חיים לקבל מזון מן הארגון שסייע לפליטים במינסק, שמחבר המאמר היה מזכירו הראשי, מפני שר׳ חיים </w:t>
      </w:r>
      <w:proofErr w:type="spellStart"/>
      <w:r>
        <w:rPr>
          <w:rtl/>
        </w:rPr>
        <w:t>סולובייצ׳יק</w:t>
      </w:r>
      <w:proofErr w:type="spellEnd"/>
      <w:r>
        <w:rPr>
          <w:rtl/>
        </w:rPr>
        <w:t xml:space="preserve"> סבר שרבנים אחרים, שלא היו להם כמותו בעלי בתים מעריהם שיסייעו להם, נזקקו לכך יותר ממנו. כשהחזית התקרבה למינסק ותושביה החלו לרעוב יחד עם הפליטים, סירב ר׳ חיים, מפני שלא היה בן מינסק, לקבל בעבור עצמו </w:t>
      </w:r>
      <w:proofErr w:type="spellStart"/>
      <w:r>
        <w:rPr>
          <w:rtl/>
        </w:rPr>
        <w:t>ו“ארבעה־</w:t>
      </w:r>
      <w:r>
        <w:rPr>
          <w:rtl/>
        </w:rPr>
        <w:lastRenderedPageBreak/>
        <w:t>עשר</w:t>
      </w:r>
      <w:proofErr w:type="spellEnd"/>
      <w:r>
        <w:rPr>
          <w:rtl/>
        </w:rPr>
        <w:t xml:space="preserve"> ילדיו ונכדיו” את תלושי קצבת המזון שחילקה ועדת האספקה העירונית של מינסק, שהוקמה אז.</w:t>
      </w:r>
    </w:p>
    <w:p w14:paraId="14FADAD4" w14:textId="77777777" w:rsidR="00AB3647" w:rsidRDefault="00000000" w:rsidP="007923E9">
      <w:pPr>
        <w:spacing w:after="120" w:line="276" w:lineRule="auto"/>
        <w:ind w:firstLine="283"/>
        <w:jc w:val="both"/>
      </w:pPr>
      <w:r>
        <w:rPr>
          <w:rtl/>
        </w:rPr>
        <w:t xml:space="preserve">לשאלתי מנה ר׳ משה </w:t>
      </w:r>
      <w:proofErr w:type="spellStart"/>
      <w:r>
        <w:rPr>
          <w:rtl/>
        </w:rPr>
        <w:t>סולובייצ׳יק</w:t>
      </w:r>
      <w:proofErr w:type="spellEnd"/>
      <w:r>
        <w:rPr>
          <w:rtl/>
        </w:rPr>
        <w:t xml:space="preserve"> מי היו </w:t>
      </w:r>
      <w:proofErr w:type="spellStart"/>
      <w:r>
        <w:rPr>
          <w:rtl/>
        </w:rPr>
        <w:t>הארבעה־עשר</w:t>
      </w:r>
      <w:proofErr w:type="spellEnd"/>
      <w:r>
        <w:rPr>
          <w:rtl/>
        </w:rPr>
        <w:t xml:space="preserve">: בנו הבכור של ר׳ חיים [אבי המרואיין], ר׳ </w:t>
      </w:r>
      <w:proofErr w:type="spellStart"/>
      <w:r>
        <w:rPr>
          <w:rtl/>
        </w:rPr>
        <w:t>ישראל־גרשון</w:t>
      </w:r>
      <w:proofErr w:type="spellEnd"/>
      <w:r>
        <w:rPr>
          <w:rtl/>
        </w:rPr>
        <w:t xml:space="preserve">, ורעייתו; בנו הצעיר ר׳ יצחק־זאב ורעייתו; שמונת ילדיו של ר׳ </w:t>
      </w:r>
      <w:proofErr w:type="spellStart"/>
      <w:r>
        <w:rPr>
          <w:rtl/>
        </w:rPr>
        <w:t>ישראל־גרשון</w:t>
      </w:r>
      <w:proofErr w:type="spellEnd"/>
      <w:r>
        <w:rPr>
          <w:rtl/>
        </w:rPr>
        <w:t xml:space="preserve"> שהיו אז בחיים [ובהם המרואיין, שנולד </w:t>
      </w:r>
      <w:proofErr w:type="spellStart"/>
      <w:r>
        <w:rPr>
          <w:rtl/>
        </w:rPr>
        <w:t>בתרע״ו</w:t>
      </w:r>
      <w:proofErr w:type="spellEnd"/>
      <w:r>
        <w:rPr>
          <w:rtl/>
        </w:rPr>
        <w:t xml:space="preserve">]; ושני ילדיו של ר׳ יצחק־זאב [הצעיר היה </w:t>
      </w:r>
      <w:proofErr w:type="spellStart"/>
      <w:r>
        <w:rPr>
          <w:rtl/>
        </w:rPr>
        <w:t xml:space="preserve">יושע־בערל</w:t>
      </w:r>
      <w:proofErr w:type="spellEnd"/>
      <w:r>
        <w:rPr>
          <w:rtl/>
        </w:rPr>
        <w:t xml:space="preserve">, שנולד </w:t>
      </w:r>
      <w:proofErr w:type="spellStart"/>
      <w:r>
        <w:rPr>
          <w:rtl/>
        </w:rPr>
        <w:t>בתרע״ו</w:t>
      </w:r>
      <w:proofErr w:type="spellEnd"/>
      <w:r>
        <w:rPr>
          <w:rtl/>
        </w:rPr>
        <w:t xml:space="preserve">]. שני ילדיו האמצעיים של ר׳ חיים – בתו היחידה </w:t>
      </w:r>
      <w:proofErr w:type="spellStart"/>
      <w:r>
        <w:rPr>
          <w:rtl/>
        </w:rPr>
        <w:t>שרה־ראשקה</w:t>
      </w:r>
      <w:proofErr w:type="spellEnd"/>
      <w:r>
        <w:rPr>
          <w:rtl/>
        </w:rPr>
        <w:t>, אשת ר׳ הירש (</w:t>
      </w:r>
      <w:proofErr w:type="spellStart"/>
      <w:r>
        <w:rPr>
          <w:rtl/>
        </w:rPr>
        <w:t>צבי־דוב</w:t>
      </w:r>
      <w:proofErr w:type="spellEnd"/>
      <w:r>
        <w:rPr>
          <w:rtl/>
        </w:rPr>
        <w:t xml:space="preserve">) גליקסון מוורשה, ובנו ר׳ משה, שהיה רבה של </w:t>
      </w:r>
      <w:proofErr w:type="spellStart"/>
      <w:r>
        <w:rPr>
          <w:rtl/>
        </w:rPr>
        <w:t>חסלוויץ</w:t>
      </w:r>
      <w:proofErr w:type="spellEnd"/>
      <w:r>
        <w:rPr>
          <w:rtl/>
        </w:rPr>
        <w:t>׳</w:t>
      </w:r>
      <w:bookmarkStart w:id="6943" w:name="_fnr5330"/>
      <w:r>
        <w:rPr>
          <w:rStyle w:val="a5"/>
        </w:rPr>
        <w:footnoteReference w:id="5344" w:customMarkFollows="0"/>
      </w:r>
      <w:bookmarkEnd w:id="6943"/>
      <w:r>
        <w:rPr>
          <w:rtl/>
        </w:rPr>
        <w:t xml:space="preserve"> – לא היו אז עם אביהם במינסק, אלא במקומות מגוריהם: היא תחת הכיבוש הגרמני בוורשה, והוא בעומק רוסיה.</w:t>
      </w:r>
    </w:p>
    <w:p w14:paraId="76A9C623" w14:textId="77777777" w:rsidR="00AB3647" w:rsidRDefault="00000000" w:rsidP="007923E9">
      <w:pPr>
        <w:spacing w:after="120" w:line="276" w:lineRule="auto"/>
        <w:ind w:firstLine="283"/>
        <w:jc w:val="both"/>
      </w:pPr>
      <w:r>
        <w:rPr>
          <w:rtl/>
        </w:rPr>
        <w:t xml:space="preserve">מאמר </w:t>
      </w:r>
      <w:proofErr w:type="spellStart"/>
      <w:r>
        <w:rPr>
          <w:rtl/>
        </w:rPr>
        <w:t>ב“קולמוס</w:t>
      </w:r>
      <w:proofErr w:type="spellEnd"/>
      <w:r>
        <w:rPr>
          <w:rtl/>
        </w:rPr>
        <w:t xml:space="preserve"> הלב”</w:t>
      </w:r>
      <w:bookmarkStart w:id="6944" w:name="_fnr5331"/>
      <w:r>
        <w:rPr>
          <w:rStyle w:val="a5"/>
        </w:rPr>
        <w:footnoteReference w:id="5345" w:customMarkFollows="0"/>
      </w:r>
      <w:bookmarkEnd w:id="6944"/>
      <w:r>
        <w:rPr>
          <w:rtl/>
        </w:rPr>
        <w:t xml:space="preserve">, </w:t>
      </w:r>
      <w:proofErr w:type="spellStart"/>
      <w:r>
        <w:rPr>
          <w:rtl/>
        </w:rPr>
        <w:t>שתומלל</w:t>
      </w:r>
      <w:proofErr w:type="spellEnd"/>
      <w:r>
        <w:rPr>
          <w:rtl/>
        </w:rPr>
        <w:t xml:space="preserve"> מתוך שיחה מוקלטת של ר׳ אברהם </w:t>
      </w:r>
      <w:proofErr w:type="spellStart"/>
      <w:r>
        <w:rPr>
          <w:rtl/>
        </w:rPr>
        <w:t>קלמנוביץ</w:t>
      </w:r>
      <w:bookmarkStart w:id="6945" w:name="_fnr5332"/>
      <w:proofErr w:type="spellEnd"/>
      <w:r>
        <w:rPr>
          <w:rStyle w:val="a5"/>
        </w:rPr>
        <w:footnoteReference w:id="5346" w:customMarkFollows="0"/>
      </w:r>
      <w:bookmarkEnd w:id="6945"/>
      <w:r>
        <w:rPr>
          <w:rtl/>
        </w:rPr>
        <w:t xml:space="preserve">, אומר שר׳ חיים נמלט למינסק כבר </w:t>
      </w:r>
      <w:proofErr w:type="spellStart"/>
      <w:r>
        <w:rPr>
          <w:rtl/>
        </w:rPr>
        <w:t>בתרע״ד</w:t>
      </w:r>
      <w:proofErr w:type="spellEnd"/>
      <w:r>
        <w:rPr>
          <w:rtl/>
        </w:rPr>
        <w:t xml:space="preserve">, ושגם ר׳ הירש גליקסון ורעייתו היו שם. ייתכן שזמן מה לאחר מכן, כשהרעב גבר על הפליטים, חצו ר׳ </w:t>
      </w:r>
      <w:proofErr w:type="spellStart"/>
      <w:r>
        <w:rPr>
          <w:rtl/>
        </w:rPr>
        <w:t>צבי־דוב</w:t>
      </w:r>
      <w:proofErr w:type="spellEnd"/>
      <w:r>
        <w:rPr>
          <w:rtl/>
        </w:rPr>
        <w:t xml:space="preserve"> ורעייתו איכשהו את קווי הלחימה, נסוגו אל הצד הכבוש בידי הגרמנים והגיעו לוורשה. מובן שמשכבשו הגרמנים את מינסק בפברואר 1918 הייתה הדרך לוורשה פתוחה, ולא היה עוד צורך לחצות קווי לחימה כדי להגיע למינסק מוורשה; אבל ברגר בוודאי כותב על תקופה שקדמה לכיבוש הגרמני.</w:t>
      </w:r>
    </w:p>
    <w:p w14:paraId="6A2325B9" w14:textId="77777777" w:rsidR="00AB3647" w:rsidRDefault="00000000" w:rsidP="007923E9">
      <w:pPr>
        <w:spacing w:after="120" w:line="276" w:lineRule="auto"/>
        <w:ind w:firstLine="283"/>
        <w:jc w:val="both"/>
      </w:pPr>
      <w:r>
        <w:rPr>
          <w:rtl/>
        </w:rPr>
        <w:t xml:space="preserve">במאמרו מספר ברגר, שנתמנה לחבר ועדת האספקה העירונית של מינסק כאחד משלושת נציגי האוכלוסייה היהודית בעיר: “סיפרתי לראש הוועדה, </w:t>
      </w:r>
      <w:proofErr w:type="spellStart"/>
      <w:r>
        <w:rPr>
          <w:rtl/>
        </w:rPr>
        <w:t>איגנצי</w:t>
      </w:r>
      <w:proofErr w:type="spellEnd"/>
      <w:r>
        <w:rPr>
          <w:rtl/>
        </w:rPr>
        <w:t xml:space="preserve"> </w:t>
      </w:r>
      <w:proofErr w:type="spellStart"/>
      <w:r>
        <w:rPr>
          <w:rtl/>
        </w:rPr>
        <w:t>ויטקביץ</w:t>
      </w:r>
      <w:proofErr w:type="spellEnd"/>
      <w:r>
        <w:rPr>
          <w:rtl/>
        </w:rPr>
        <w:t>׳, עורך דין פולני, [את העובדות הללו על ר׳ חיים], ותדהמתו לא ידעה גבול. ‘אילולא אתה הוא המספר לי׳, אמר, ‘לא הייתי מאמין שיש עוד אנשים בעלי מידות מוסריות נעלות כל כך, המוכנים לרעוב ולהניח לכל משפחתם לרעוב, ובלבד שלא יגרעו מאחרים’”.</w:t>
      </w:r>
    </w:p>
    <w:p w14:paraId="616B1188" w14:textId="77777777" w:rsidR="00AB3647" w:rsidRDefault="00000000" w:rsidP="007923E9">
      <w:pPr>
        <w:spacing w:after="120" w:line="276" w:lineRule="auto"/>
        <w:ind w:firstLine="283"/>
        <w:jc w:val="both"/>
      </w:pPr>
      <w:r>
        <w:rPr>
          <w:rtl/>
        </w:rPr>
        <w:t xml:space="preserve">בשיחת “קולמוס הלב” סיפר ר׳ אברהם </w:t>
      </w:r>
      <w:proofErr w:type="spellStart"/>
      <w:r>
        <w:rPr>
          <w:rtl/>
        </w:rPr>
        <w:t>קלמנוביץ</w:t>
      </w:r>
      <w:bookmarkStart w:id="6946" w:name="_fnr5333"/>
      <w:proofErr w:type="spellEnd"/>
      <w:r>
        <w:rPr>
          <w:rStyle w:val="a5"/>
        </w:rPr>
        <w:footnoteReference w:id="5347" w:customMarkFollows="0"/>
      </w:r>
      <w:bookmarkEnd w:id="6946"/>
      <w:r>
        <w:rPr>
          <w:rtl/>
        </w:rPr>
        <w:t xml:space="preserve"> שר׳ חיים הסתגר בביתו כדי להימנע ממגע עם בני מינסק, מפני שהרמב״ם פוסק</w:t>
      </w:r>
      <w:bookmarkStart w:id="6947" w:name="_fnr5334"/>
      <w:r>
        <w:rPr>
          <w:rStyle w:val="a5"/>
        </w:rPr>
        <w:footnoteReference w:id="5348" w:customMarkFollows="0"/>
      </w:r>
      <w:bookmarkEnd w:id="6947"/>
      <w:r>
        <w:rPr>
          <w:rtl/>
        </w:rPr>
        <w:t xml:space="preserve"> שאין להתערב באנשי רשע, אלא “ילך למקום שאנשיה צדיקים ונוהגים בדרך טובים; ואם היו כל המדינות שהוא יודעם ושומע שמועתן נוהגים בדרך לא טובה, כמו זמננו, או שאינו יכול ללכת למדינה שמנהגותיה טובים, מפני הגייסות או מפני החולי – ישב לבדו יחידי”</w:t>
      </w:r>
      <w:bookmarkStart w:id="6948" w:name="_fnr5335"/>
      <w:r>
        <w:rPr>
          <w:rStyle w:val="a5"/>
        </w:rPr>
        <w:footnoteReference w:id="5349" w:customMarkFollows="0"/>
      </w:r>
      <w:bookmarkEnd w:id="6948"/>
      <w:r>
        <w:rPr>
          <w:rtl/>
        </w:rPr>
        <w:t xml:space="preserve">. ר׳ חיים ראה בבני מינסק רשעים, משום ששיכנו </w:t>
      </w:r>
      <w:r>
        <w:rPr>
          <w:rtl/>
        </w:rPr>
        <w:lastRenderedPageBreak/>
        <w:t>את הפליטים בבתי הכנסת במקום להכניסם לבתיהם, ומשום שרשמו את ילדי הפליטים לבתי ספר לא דתיים.</w:t>
      </w:r>
    </w:p>
    <w:p w14:paraId="638C7AC0" w14:textId="77777777" w:rsidR="00AB3647" w:rsidRDefault="00000000" w:rsidP="007923E9">
      <w:pPr>
        <w:spacing w:after="120" w:line="276" w:lineRule="auto"/>
        <w:ind w:firstLine="283"/>
        <w:jc w:val="both"/>
      </w:pPr>
      <w:r>
        <w:rPr>
          <w:rtl/>
        </w:rPr>
        <w:t xml:space="preserve">עוד סיפר ר׳ אברהם </w:t>
      </w:r>
      <w:proofErr w:type="spellStart"/>
      <w:r>
        <w:rPr>
          <w:rtl/>
        </w:rPr>
        <w:t>קלמנוביץ</w:t>
      </w:r>
      <w:proofErr w:type="spellEnd"/>
      <w:r>
        <w:rPr>
          <w:rtl/>
        </w:rPr>
        <w:t xml:space="preserve"> שהשיג מראש ועדת הסיוע חצי שק קמח לבן </w:t>
      </w:r>
      <w:proofErr w:type="spellStart"/>
      <w:r>
        <w:rPr>
          <w:rtl/>
        </w:rPr>
        <w:t>לר</w:t>
      </w:r>
      <w:proofErr w:type="spellEnd"/>
      <w:r>
        <w:rPr>
          <w:rtl/>
        </w:rPr>
        <w:t xml:space="preserve">׳ חיים, שלא היה מסוגל לאכול לחם שחור (אולי בגלל מחלת הכבד שלו), והביאו אליו בלי לגלות את מקורו. כשנודע </w:t>
      </w:r>
      <w:proofErr w:type="spellStart"/>
      <w:r>
        <w:rPr>
          <w:rtl/>
        </w:rPr>
        <w:t>לר</w:t>
      </w:r>
      <w:proofErr w:type="spellEnd"/>
      <w:r>
        <w:rPr>
          <w:rtl/>
        </w:rPr>
        <w:t>׳ חיים, מהתפארותו של יושב ראש הוועדה</w:t>
      </w:r>
      <w:bookmarkStart w:id="6949" w:name="_fnr5336"/>
      <w:r>
        <w:rPr>
          <w:rStyle w:val="a5"/>
        </w:rPr>
        <w:footnoteReference w:id="5350" w:customMarkFollows="0"/>
      </w:r>
      <w:bookmarkEnd w:id="6949"/>
      <w:r>
        <w:rPr>
          <w:rtl/>
        </w:rPr>
        <w:t xml:space="preserve">, מניין בא הקמח, “החל לצעוק: ‘מה?! אוי לי! [בתי,] </w:t>
      </w:r>
      <w:proofErr w:type="spellStart"/>
      <w:r>
        <w:rPr>
          <w:rtl/>
        </w:rPr>
        <w:t>שרה־ראשקה</w:t>
      </w:r>
      <w:proofErr w:type="spellEnd"/>
      <w:r>
        <w:rPr>
          <w:rtl/>
        </w:rPr>
        <w:t xml:space="preserve"> [גליקסון], קחי זאת מיד בחזרה; וכי חסרים עניים לחלק להם זאת?!’ ולא נח ולא שקט ולא נרגע עד ששכרו עגלון להחזיר את הקמח”.</w:t>
      </w:r>
    </w:p>
    <w:p w14:paraId="1F4E0A9E" w14:textId="77777777" w:rsidR="00AB3647" w:rsidRDefault="00000000" w:rsidP="007923E9">
      <w:pPr>
        <w:spacing w:after="120" w:line="276" w:lineRule="auto"/>
        <w:ind w:firstLine="283"/>
        <w:jc w:val="both"/>
      </w:pPr>
      <w:r>
        <w:rPr>
          <w:rtl/>
        </w:rPr>
        <w:t xml:space="preserve">אבל ר׳ </w:t>
      </w:r>
      <w:proofErr w:type="spellStart"/>
      <w:r>
        <w:rPr>
          <w:rtl/>
        </w:rPr>
        <w:t>משולם־דוד</w:t>
      </w:r>
      <w:proofErr w:type="spellEnd"/>
      <w:r>
        <w:rPr>
          <w:rtl/>
        </w:rPr>
        <w:t xml:space="preserve"> </w:t>
      </w:r>
      <w:proofErr w:type="spellStart"/>
      <w:r>
        <w:rPr>
          <w:rtl/>
        </w:rPr>
        <w:t>סולובייצ׳יק</w:t>
      </w:r>
      <w:proofErr w:type="spellEnd"/>
      <w:r>
        <w:rPr>
          <w:rtl/>
        </w:rPr>
        <w:t xml:space="preserve"> שמע מאביו הסבר אחר לכך שרופא במינסק, שבדק את ר׳ חיים כשהיה בן שישים וארבע בלבד, מצא לתדהמתו שגופו כגוף אדם בן יותר מתשעים: ר׳ חיים אימץ את מוחו בשישים וארבע שנותיו כמו שאדם רגיל מאמץ אותו בתשעים שנה – והדבר התיש את גופו.</w:t>
      </w:r>
    </w:p>
    <w:p w14:paraId="0FFA1456" w14:textId="77777777" w:rsidR="00AB3647" w:rsidRDefault="00000000" w:rsidP="007923E9">
      <w:pPr>
        <w:spacing w:after="120" w:line="276" w:lineRule="auto"/>
        <w:ind w:firstLine="283"/>
        <w:jc w:val="both"/>
      </w:pPr>
      <w:r>
        <w:rPr>
          <w:rtl/>
        </w:rPr>
        <w:t xml:space="preserve">רבנו העלה פעם רעיון זה בנוכחותי. בביקורו האחרון בישראל שאל עסקן ומגייס כספים פעיל מאוד, שהיה בתחילת שנות החמישים לחייו, מדוע הוא נראה זקן הרבה יותר מכפי גילו, והלה השיב: “הגיל אינו תלוי בלוח השנה אלא </w:t>
      </w:r>
      <w:proofErr w:type="spellStart"/>
      <w:r>
        <w:rPr>
          <w:rtl/>
        </w:rPr>
        <w:t>ב‘קילומטרים</w:t>
      </w:r>
      <w:proofErr w:type="spellEnd"/>
      <w:r>
        <w:rPr>
          <w:rtl/>
        </w:rPr>
        <w:t xml:space="preserve">’ שעבר האדם – ואני עברתי הרבה מאוד”. אבי הביע את הסכמתו לדברים אלה כשציטט את פירוש המשניות לרמב״ם על המשנה האחרונה בפרק הראשון של מסכת ברכות, המסביר מדוע היה התנא רבי אלעזר בן עזריה בעל שיער שיבה בגיל </w:t>
      </w:r>
      <w:proofErr w:type="spellStart"/>
      <w:r>
        <w:rPr>
          <w:rtl/>
        </w:rPr>
        <w:t>שמונה־עשרה</w:t>
      </w:r>
      <w:proofErr w:type="spellEnd"/>
      <w:r>
        <w:rPr>
          <w:rtl/>
        </w:rPr>
        <w:t xml:space="preserve">: “והיה מרבה לשנות וללמוד ולקרות יום ולילה עד אשר תשש </w:t>
      </w:r>
      <w:proofErr w:type="spellStart"/>
      <w:r>
        <w:rPr>
          <w:rtl/>
        </w:rPr>
        <w:t>כחו</w:t>
      </w:r>
      <w:proofErr w:type="spellEnd"/>
      <w:r>
        <w:rPr>
          <w:rtl/>
        </w:rPr>
        <w:t xml:space="preserve"> ונזרקה בו שיבה, וחזר כזקן בן שבעים שנה”.</w:t>
      </w:r>
    </w:p>
    <w:p w14:paraId="07EADEEB" w14:textId="77777777" w:rsidR="00AB3647" w:rsidRDefault="00000000" w:rsidP="007923E9">
      <w:pPr>
        <w:spacing w:after="120" w:line="276" w:lineRule="auto"/>
        <w:ind w:firstLine="283"/>
        <w:jc w:val="both"/>
      </w:pPr>
      <w:r>
        <w:rPr>
          <w:rtl/>
        </w:rPr>
        <w:t xml:space="preserve">בניגוד לתזה של ר׳ משה </w:t>
      </w:r>
      <w:proofErr w:type="spellStart"/>
      <w:r>
        <w:rPr>
          <w:rtl/>
        </w:rPr>
        <w:t>סולובייצ׳יק</w:t>
      </w:r>
      <w:proofErr w:type="spellEnd"/>
      <w:r>
        <w:rPr>
          <w:rtl/>
        </w:rPr>
        <w:t xml:space="preserve">, ששנות הרעב בגלותו של ר׳ חיים במינסק החלישו את גופו, גישתו של ר׳ יצחק־זאב מניחה הידרדרות מתמדת במצבו של אביו לאורך כל חייו – וזה יכול להתיישב עם מה שדיווחו יעקב מארק ור׳ קופל </w:t>
      </w:r>
      <w:proofErr w:type="spellStart"/>
      <w:r>
        <w:rPr>
          <w:rtl/>
        </w:rPr>
        <w:t>וולפרט</w:t>
      </w:r>
      <w:proofErr w:type="spellEnd"/>
      <w:r>
        <w:rPr>
          <w:rtl/>
        </w:rPr>
        <w:t xml:space="preserve"> על חוליו של ר׳ חיים שנים רבות לפני מצוקותיו במינסק.</w:t>
      </w:r>
    </w:p>
    <w:bookmarkStart w:id="6950" w:name="b5_excJ"/>
    <w:p w14:paraId="58768F46" w14:textId="77777777" w:rsidR="00AB3647" w:rsidRDefault="00000000" w:rsidP="007923E9">
      <w:pPr>
        <w:pStyle w:val="3"/>
        <w:spacing w:line="276" w:lineRule="auto"/>
      </w:pPr>
      <w:r>
        <w:lastRenderedPageBreak/>
        <w:fldChar w:fldCharType="begin" w:dirty="true"/>
      </w:r>
      <w:r>
        <w:rPr>
          <w:rtl w:val="0"/>
        </w:rPr>
        <w:instrText>HYPERLINK \l "b5_note84</w:instrText>
      </w:r>
      <w:r>
        <w:instrText>"</w:instrText>
      </w:r>
      <w:r>
        <w:fldChar w:fldCharType="separate"/>
      </w:r>
      <w:r>
        <w:t>נספח י</w:t>
      </w:r>
      <w:r>
        <w:fldChar w:fldCharType="end"/>
      </w:r>
      <w:bookmarkEnd w:id="6950"/>
    </w:p>
    <w:p w14:paraId="57634938" w14:textId="77777777" w:rsidR="00AB3647" w:rsidRDefault="00000000" w:rsidP="007923E9">
      <w:pPr>
        <w:pStyle w:val="af"/>
        <w:spacing w:line="276" w:lineRule="auto"/>
        <w:ind w:firstLine="340"/>
      </w:pPr>
      <w:r>
        <w:t xml:space="preserve">על לבושו הרבני של ר׳ חיים </w:t>
      </w:r>
      <w:proofErr w:type="spellStart"/>
      <w:r>
        <w:t>סולובייצ׳יק</w:t>
      </w:r>
      <w:proofErr w:type="spellEnd"/>
      <w:r>
        <w:t xml:space="preserve"> ועל יחסו אליו</w:t>
      </w:r>
    </w:p>
    <w:p w14:paraId="16FCCC8D" w14:textId="77777777" w:rsidR="00AB3647" w:rsidRDefault="00000000" w:rsidP="007923E9">
      <w:pPr>
        <w:pStyle w:val="5"/>
        <w:spacing w:line="276" w:lineRule="auto"/>
      </w:pPr>
      <w:r>
        <w:t xml:space="preserve">ר׳ חיים </w:t>
      </w:r>
      <w:proofErr w:type="spellStart"/>
      <w:r>
        <w:t>סולובייצ׳יק</w:t>
      </w:r>
      <w:proofErr w:type="spellEnd"/>
      <w:r>
        <w:t xml:space="preserve"> מלמד בעלי בתים במינסק – הוא עניו במידה מופלגת – הוא בא </w:t>
      </w:r>
      <w:proofErr w:type="spellStart"/>
      <w:r>
        <w:t>למזריטש</w:t>
      </w:r>
      <w:proofErr w:type="spellEnd"/>
      <w:r>
        <w:t xml:space="preserve"> – הבגדים אינם בעיניו סימן לקדושה – הוא מצטער על שעליו לכהן ברבנות – הוא מפגין </w:t>
      </w:r>
      <w:proofErr w:type="spellStart"/>
      <w:r>
        <w:t>אי־שגרתיות</w:t>
      </w:r>
      <w:proofErr w:type="spellEnd"/>
      <w:r>
        <w:t xml:space="preserve"> – גם רבנו אינו מחבב לבוש רבני.</w:t>
      </w:r>
    </w:p>
    <w:p w14:paraId="7B400394" w14:textId="77777777" w:rsidR="00AB3647" w:rsidRDefault="00000000" w:rsidP="007923E9">
      <w:pPr>
        <w:spacing w:after="120" w:line="276" w:lineRule="auto"/>
        <w:ind w:firstLine="283"/>
        <w:jc w:val="both"/>
      </w:pPr>
      <w:r>
        <w:rPr>
          <w:rtl/>
        </w:rPr>
        <w:t xml:space="preserve">מעשה הממחיש הלכה למעשה שר׳ חיים ראה את עצמו “יהודי פשוט” סיפר ר׳ </w:t>
      </w:r>
      <w:proofErr w:type="spellStart"/>
      <w:r>
        <w:rPr>
          <w:rtl/>
        </w:rPr>
        <w:t>שלום־נח</w:t>
      </w:r>
      <w:proofErr w:type="spellEnd"/>
      <w:r>
        <w:rPr>
          <w:rtl/>
        </w:rPr>
        <w:t xml:space="preserve"> </w:t>
      </w:r>
      <w:proofErr w:type="spellStart"/>
      <w:r>
        <w:rPr>
          <w:rtl/>
        </w:rPr>
        <w:t>ברזובסקי</w:t>
      </w:r>
      <w:proofErr w:type="spellEnd"/>
      <w:r>
        <w:rPr>
          <w:rtl/>
        </w:rPr>
        <w:t>, האדמו״ר הקודם מסלונים</w:t>
      </w:r>
      <w:bookmarkStart w:id="6951" w:name="_fnr5337"/>
      <w:r>
        <w:rPr>
          <w:rStyle w:val="a5"/>
        </w:rPr>
        <w:footnoteReference w:id="5351" w:customMarkFollows="0"/>
      </w:r>
      <w:bookmarkEnd w:id="6951"/>
      <w:r>
        <w:rPr>
          <w:rtl/>
        </w:rPr>
        <w:t xml:space="preserve">. אדמו״ר מוקדם יותר מסלונים, ר׳ שמואל ויינברג, שלח את אחיינו, ר׳ אברהם ויינברג – לימים, </w:t>
      </w:r>
      <w:proofErr w:type="spellStart"/>
      <w:r>
        <w:rPr>
          <w:rtl/>
        </w:rPr>
        <w:t>בתשי״ד</w:t>
      </w:r>
      <w:proofErr w:type="spellEnd"/>
      <w:r>
        <w:rPr>
          <w:rtl/>
        </w:rPr>
        <w:t xml:space="preserve">, האדמו״ר מסלונים, וחותנו של ר׳ </w:t>
      </w:r>
      <w:proofErr w:type="spellStart"/>
      <w:r>
        <w:rPr>
          <w:rtl/>
        </w:rPr>
        <w:t>שלום־נח</w:t>
      </w:r>
      <w:proofErr w:type="spellEnd"/>
      <w:r>
        <w:rPr>
          <w:rtl/>
        </w:rPr>
        <w:t xml:space="preserve"> – אל ר׳ חיים </w:t>
      </w:r>
      <w:proofErr w:type="spellStart"/>
      <w:r>
        <w:rPr>
          <w:rtl/>
        </w:rPr>
        <w:t>סולובייצ׳יק</w:t>
      </w:r>
      <w:proofErr w:type="spellEnd"/>
      <w:r>
        <w:rPr>
          <w:rtl/>
        </w:rPr>
        <w:t xml:space="preserve"> בעניינים מסוימים של אגודת ישראל; האדמו״ר היה פעיל בארגון בראשיתו. ר׳ אברהם נכנס אל ר׳ חיים כשזה לימד קבוצת בעלי בתים בבית מדרש, ושמע אותו מלמד את הגמרא</w:t>
      </w:r>
      <w:bookmarkStart w:id="6952" w:name="_fnr5338"/>
      <w:r>
        <w:rPr>
          <w:rStyle w:val="a5"/>
        </w:rPr>
        <w:footnoteReference w:id="5352" w:customMarkFollows="0"/>
      </w:r>
      <w:bookmarkEnd w:id="6952"/>
      <w:r>
        <w:rPr>
          <w:rtl/>
        </w:rPr>
        <w:t xml:space="preserve"> האומרת שבאחת משלוש העבירות החמורות חייב אדם למסור את נפשו ולא לעבור עליה – ייהרג ואל יעבור.</w:t>
      </w:r>
    </w:p>
    <w:p w14:paraId="61D6341B" w14:textId="77777777" w:rsidR="00AB3647" w:rsidRDefault="00000000" w:rsidP="007923E9">
      <w:pPr>
        <w:spacing w:after="120" w:line="276" w:lineRule="auto"/>
        <w:ind w:firstLine="283"/>
        <w:jc w:val="both"/>
      </w:pPr>
      <w:r>
        <w:rPr>
          <w:rtl/>
        </w:rPr>
        <w:t xml:space="preserve">ר׳ חיים הסביר שבעבודה זרה ובגילוי עריות, אילו איימו על אדם במוות, היה מותר לו לעבור עליהן, אלמלא דרשה המלמדת שעליו למסור את נפשו ולא לעשות עבירות אלה. אבל ברציחה, העבירה החמורה השלישית, אומרת הגמרא שאין צורך בדרשה כדי להוכיח שאסור להרוג כדי להציל את עצמו: ההיגיון הפשוט מחייב שאדם ימסור את נפשו ולא יהרוג את חברו, שהרי “מאי חזית </w:t>
      </w:r>
      <w:proofErr w:type="spellStart"/>
      <w:r>
        <w:rPr>
          <w:rtl/>
        </w:rPr>
        <w:t>דדמא</w:t>
      </w:r>
      <w:proofErr w:type="spellEnd"/>
      <w:r>
        <w:rPr>
          <w:rtl/>
        </w:rPr>
        <w:t xml:space="preserve"> דידך סומק טפי, דילמא </w:t>
      </w:r>
      <w:proofErr w:type="spellStart"/>
      <w:r>
        <w:rPr>
          <w:rtl/>
        </w:rPr>
        <w:t>דמא</w:t>
      </w:r>
      <w:proofErr w:type="spellEnd"/>
      <w:r>
        <w:rPr>
          <w:rtl/>
        </w:rPr>
        <w:t xml:space="preserve"> </w:t>
      </w:r>
      <w:proofErr w:type="spellStart"/>
      <w:r>
        <w:rPr>
          <w:rtl/>
        </w:rPr>
        <w:t>דחברך</w:t>
      </w:r>
      <w:proofErr w:type="spellEnd"/>
      <w:r>
        <w:rPr>
          <w:rtl/>
        </w:rPr>
        <w:t xml:space="preserve"> סומק טפי”. כשביאר ר׳ חיים את הגמרא לשומעיו, הביא דוגמה ואמר: “למשל: אם מישהו מאיים עליי ‘או שתהרוג את יוסל שואב המים, או שנהרוג אותך’, ברור שאינני יכול להרוג אותו כדי להציל את עצמי, מפני שבשום פנים אין חייו של חיים </w:t>
      </w:r>
      <w:proofErr w:type="spellStart"/>
      <w:r>
        <w:rPr>
          <w:rtl/>
        </w:rPr>
        <w:t>סולובייצ׳יק</w:t>
      </w:r>
      <w:proofErr w:type="spellEnd"/>
      <w:r>
        <w:rPr>
          <w:rtl/>
        </w:rPr>
        <w:t xml:space="preserve"> ראויים יותר מחייו של יוסל שואב המים”.</w:t>
      </w:r>
    </w:p>
    <w:p w14:paraId="7199ED03" w14:textId="77777777" w:rsidR="00AB3647" w:rsidRDefault="00000000" w:rsidP="007923E9">
      <w:pPr>
        <w:spacing w:after="120" w:line="276" w:lineRule="auto"/>
        <w:ind w:firstLine="283"/>
        <w:jc w:val="both"/>
      </w:pPr>
      <w:r>
        <w:rPr>
          <w:rtl/>
        </w:rPr>
        <w:t>הדין שכל היהודים נחשבים שווים ודאי אמת. אבל העובדה שר׳ חיים לא נזקק להסביר מדוע חיי גדול מן המעלה העליונה, כמותו</w:t>
      </w:r>
      <w:bookmarkStart w:id="6953" w:name="_fnr5339"/>
      <w:r>
        <w:rPr>
          <w:rStyle w:val="a5"/>
        </w:rPr>
        <w:footnoteReference w:id="5353" w:customMarkFollows="0"/>
      </w:r>
      <w:bookmarkEnd w:id="6953"/>
      <w:r>
        <w:rPr>
          <w:rtl/>
        </w:rPr>
        <w:t xml:space="preserve">, אינם שווים יותר </w:t>
      </w:r>
      <w:proofErr w:type="spellStart"/>
      <w:r>
        <w:rPr>
          <w:rtl/>
        </w:rPr>
        <w:t>מחיי</w:t>
      </w:r>
      <w:proofErr w:type="spellEnd"/>
      <w:r>
        <w:rPr>
          <w:rtl/>
        </w:rPr>
        <w:t xml:space="preserve"> יהודי פשוט</w:t>
      </w:r>
      <w:bookmarkStart w:id="6954" w:name="_fnr5340"/>
      <w:r>
        <w:rPr>
          <w:rStyle w:val="a5"/>
        </w:rPr>
        <w:footnoteReference w:id="5354" w:customMarkFollows="0"/>
      </w:r>
      <w:bookmarkEnd w:id="6954"/>
      <w:r>
        <w:rPr>
          <w:rtl/>
        </w:rPr>
        <w:t xml:space="preserve">, מגלה שראה את עצמו בדיוק כפי שתיאר את עצמו לפני תלמידי </w:t>
      </w:r>
      <w:proofErr w:type="spellStart"/>
      <w:r>
        <w:rPr>
          <w:rtl/>
        </w:rPr>
        <w:t>סלבודקה</w:t>
      </w:r>
      <w:proofErr w:type="spellEnd"/>
      <w:r>
        <w:rPr>
          <w:rtl/>
        </w:rPr>
        <w:t xml:space="preserve">: “א </w:t>
      </w:r>
      <w:proofErr w:type="spellStart"/>
      <w:r>
        <w:rPr>
          <w:rtl/>
        </w:rPr>
        <w:t>פשוטער</w:t>
      </w:r>
      <w:proofErr w:type="spellEnd"/>
      <w:r>
        <w:rPr>
          <w:rtl/>
        </w:rPr>
        <w:t xml:space="preserve"> מענטש”.</w:t>
      </w:r>
    </w:p>
    <w:p w14:paraId="392679EF" w14:textId="4E0E29B8" w:rsidR="00AB3647" w:rsidRDefault="00000000" w:rsidP="007923E9">
      <w:pPr>
        <w:spacing w:after="120" w:line="276" w:lineRule="auto"/>
        <w:ind w:firstLine="283"/>
        <w:jc w:val="both"/>
      </w:pPr>
      <w:r>
        <w:rPr>
          <w:rtl/>
        </w:rPr>
        <w:t>הוא היה עניו מאוד בכלל – אולי עד כדי כך שענוותו גבלה בתכונה שייחס לעצמו במכתב המצוטט ב</w:t>
      </w:r>
      <w:r>
        <w:rPr>
          <w:rtl/>
        </w:rPr>
        <w:fldChar w:fldCharType="begin" w:dirty="true"/>
      </w:r>
      <w:r>
        <w:rPr>
          <w:rtl/>
        </w:rPr>
        <w:instrText xml:space="preserve"> REF b5_excI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w:t>
      </w:r>
      <w:r>
        <w:rPr>
          <w:rtl/>
        </w:rPr>
        <w:fldChar w:fldCharType="end"/>
      </w:r>
      <w:r>
        <w:rPr>
          <w:rtl/>
        </w:rPr>
        <w:t xml:space="preserve"> לעיל: שפלות הדעת</w:t>
      </w:r>
      <w:bookmarkStart w:id="6955" w:name="_fnr5341"/>
      <w:bookmarkEnd w:id="6955"/>
      <w:r>
        <w:rPr>
          <w:rStyle w:val="a5"/>
        </w:rPr>
        <w:t/>
      </w:r>
      <w:bookmarkStart w:id="7059" w:name="_TranslatorNote_5406"/>
      <w:r>
        <w:rPr>
          <w:rStyle w:val="a5"/>
          <w:vertAlign w:val="superscript"/>
          <w:rtl/>
        </w:rPr>
        <w:footnoteReference w:id="5355" w:customMarkFollows="1"/>
        <w:t>*</w:t>
      </w:r>
      <w:bookmarkEnd w:id="7059"/>
      <w:r>
        <w:rPr>
          <w:rtl/>
        </w:rPr>
        <w:t>. הדבר מודגם במעשה שסיפר בנו ר׳ משה</w:t>
      </w:r>
      <w:bookmarkStart w:id="6956" w:name="_fnr5342"/>
      <w:r>
        <w:rPr>
          <w:rStyle w:val="a5"/>
        </w:rPr>
        <w:footnoteReference w:id="5356" w:customMarkFollows="0"/>
      </w:r>
      <w:bookmarkEnd w:id="6956"/>
      <w:r>
        <w:rPr>
          <w:rtl/>
        </w:rPr>
        <w:t>: ר׳ חיים ביקר אצלו בפסח – כשמחלקים אגוזים לילדים</w:t>
      </w:r>
      <w:bookmarkStart w:id="6957" w:name="_fnr5343"/>
      <w:r>
        <w:rPr>
          <w:rStyle w:val="a5"/>
        </w:rPr>
        <w:footnoteReference w:id="5357" w:customMarkFollows="0"/>
      </w:r>
      <w:bookmarkEnd w:id="6957"/>
      <w:r>
        <w:rPr>
          <w:rtl/>
        </w:rPr>
        <w:t xml:space="preserve">. בנו הבכור של ר׳ משה, </w:t>
      </w:r>
      <w:proofErr w:type="spellStart"/>
      <w:r>
        <w:rPr>
          <w:rtl/>
        </w:rPr>
        <w:t>יוסף־דוב</w:t>
      </w:r>
      <w:proofErr w:type="spellEnd"/>
      <w:r>
        <w:rPr>
          <w:rtl/>
        </w:rPr>
        <w:t xml:space="preserve">, שהיה בן שנתיים בלבד, גלגל אגוז לתוך גומה באדמה, שפתחה היה צר מכדי שיוכל להכניס בו את </w:t>
      </w:r>
      <w:r>
        <w:rPr>
          <w:rtl/>
        </w:rPr>
        <w:lastRenderedPageBreak/>
        <w:t>אצבעו ולמשוך את האגוז החוצה. לכן שפך מים לגומה, והאגוז צף למעלה</w:t>
      </w:r>
      <w:bookmarkStart w:id="6958" w:name="_fnr5344"/>
      <w:r>
        <w:rPr>
          <w:rStyle w:val="a5"/>
        </w:rPr>
        <w:footnoteReference w:id="5358" w:customMarkFollows="0"/>
      </w:r>
      <w:bookmarkEnd w:id="6958"/>
      <w:r>
        <w:rPr>
          <w:rtl/>
        </w:rPr>
        <w:t xml:space="preserve">. ר׳ משה הראה לאביו את פיקחות הילד, ור׳ חיים השיב ברצינות: “אין בזה כלום: גם אני, כשהייתי תינוק, גיליתי פיקחות רבה, ובכל זאת לא יצא ממני דבר. אותו הדבר עלול לקרות גם לו”. השווה גם סוף הפסקה החמישית בפרק 3, </w:t>
      </w:r>
      <w:r>
        <w:rPr>
          <w:rtl/>
        </w:rPr>
        <w:fldChar w:fldCharType="begin" w:dirty="true"/>
      </w:r>
      <w:r>
        <w:rPr>
          <w:rtl/>
        </w:rPr>
        <w:instrText xml:space="preserve"> REF b3_excR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על ששאל נער בן </w:t>
      </w:r>
      <w:proofErr w:type="spellStart"/>
      <w:r>
        <w:rPr>
          <w:rtl/>
        </w:rPr>
        <w:t>שבע־עשרה</w:t>
      </w:r>
      <w:proofErr w:type="spellEnd"/>
      <w:r>
        <w:rPr>
          <w:rtl/>
        </w:rPr>
        <w:t xml:space="preserve"> </w:t>
      </w:r>
      <w:proofErr w:type="spellStart"/>
      <w:r>
        <w:rPr>
          <w:rtl/>
        </w:rPr>
        <w:t>בליבאו</w:t>
      </w:r>
      <w:proofErr w:type="spellEnd"/>
      <w:r>
        <w:rPr>
          <w:rtl/>
        </w:rPr>
        <w:t xml:space="preserve"> מה דעתו על חידושי התורה שלו.</w:t>
      </w:r>
    </w:p>
    <w:p w14:paraId="1420AAC1" w14:textId="4B9DCB21" w:rsidR="00AB3647" w:rsidRDefault="00000000" w:rsidP="007923E9">
      <w:pPr>
        <w:spacing w:after="120" w:line="276" w:lineRule="auto"/>
        <w:ind w:firstLine="283"/>
        <w:jc w:val="both"/>
      </w:pPr>
      <w:r>
        <w:rPr>
          <w:rtl/>
        </w:rPr>
        <w:t xml:space="preserve">זיכרונו של הרב צ״ה </w:t>
      </w:r>
      <w:proofErr w:type="spellStart"/>
      <w:r>
        <w:rPr>
          <w:rtl/>
        </w:rPr>
        <w:t>מסליאנסקי</w:t>
      </w:r>
      <w:proofErr w:type="spellEnd"/>
      <w:r>
        <w:rPr>
          <w:rtl/>
        </w:rPr>
        <w:t xml:space="preserve"> על ר׳ חיים, שצוטט בתחילת הערה </w:t>
      </w:r>
      <w:r>
        <w:rPr>
          <w:rtl/>
        </w:rPr>
        <w:fldChar w:fldCharType="begin" w:dirty="true"/>
      </w:r>
      <w:r>
        <w:rPr>
          <w:rtl/>
        </w:rPr>
        <w:instrText xml:space="preserve"> REF b5_note65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65</w:t>
      </w:r>
      <w:r>
        <w:rPr>
          <w:rtl/>
        </w:rPr>
        <w:fldChar w:fldCharType="end"/>
      </w:r>
      <w:r>
        <w:rPr>
          <w:rtl/>
        </w:rPr>
        <w:t xml:space="preserve"> לעיל, נמשך כך: “ובמקום שאתה מוצא את גדולתו שם אתה מוצא את פשטותו</w:t>
      </w:r>
      <w:bookmarkStart w:id="6959" w:name="_fnr5345"/>
      <w:r>
        <w:rPr>
          <w:rStyle w:val="a5"/>
        </w:rPr>
        <w:footnoteReference w:id="5359" w:customMarkFollows="0"/>
      </w:r>
      <w:bookmarkEnd w:id="6959"/>
      <w:r>
        <w:rPr>
          <w:rtl/>
        </w:rPr>
        <w:t xml:space="preserve">. ר׳ חיים אינו מתלבש בהידור ואינו נוהג בשררה בביתו. אפשר שהוא שרוע על הספה ומהרהר ברמב״ם, או מהלך הלוך ושוב עם ר׳ </w:t>
      </w:r>
      <w:proofErr w:type="spellStart"/>
      <w:r>
        <w:rPr>
          <w:rtl/>
        </w:rPr>
        <w:t>שמחה־זליג</w:t>
      </w:r>
      <w:proofErr w:type="spellEnd"/>
      <w:r>
        <w:rPr>
          <w:rtl/>
        </w:rPr>
        <w:t xml:space="preserve"> ומשוחח בדברי תורה, כפי שהיה רגיל </w:t>
      </w:r>
      <w:proofErr w:type="spellStart"/>
      <w:r>
        <w:rPr>
          <w:rtl/>
        </w:rPr>
        <w:t>בוולוז׳ין</w:t>
      </w:r>
      <w:proofErr w:type="spellEnd"/>
      <w:r>
        <w:rPr>
          <w:rtl/>
        </w:rPr>
        <w:t xml:space="preserve">”. השווה גם את התיאור </w:t>
      </w:r>
      <w:proofErr w:type="spellStart"/>
      <w:r>
        <w:rPr>
          <w:rtl/>
        </w:rPr>
        <w:t>ב“וולוז׳ין</w:t>
      </w:r>
      <w:proofErr w:type="spellEnd"/>
      <w:r>
        <w:rPr>
          <w:rtl/>
        </w:rPr>
        <w:t xml:space="preserve"> – ספרה של העיר ושל ישיבת עץ חיים” המצוטט בפרק 3, </w:t>
      </w:r>
      <w:r>
        <w:rPr>
          <w:rtl/>
        </w:rPr>
        <w:fldChar w:fldCharType="begin" w:dirty="true"/>
      </w:r>
      <w:r>
        <w:rPr>
          <w:rtl/>
        </w:rPr>
        <w:instrText xml:space="preserve"> REF b3_excEE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לא</w:t>
      </w:r>
      <w:r>
        <w:rPr>
          <w:rtl/>
        </w:rPr>
        <w:fldChar w:fldCharType="end"/>
      </w:r>
      <w:r>
        <w:rPr>
          <w:rtl/>
        </w:rPr>
        <w:t>.</w:t>
      </w:r>
    </w:p>
    <w:p w14:paraId="44437B4A" w14:textId="77777777" w:rsidR="00AB3647" w:rsidRDefault="00000000" w:rsidP="007923E9">
      <w:pPr>
        <w:spacing w:after="120" w:line="276" w:lineRule="auto"/>
        <w:ind w:firstLine="283"/>
        <w:jc w:val="both"/>
      </w:pPr>
      <w:r>
        <w:rPr>
          <w:rtl/>
        </w:rPr>
        <w:t xml:space="preserve">הערה מעניינת על לבושו מופיעה במאמר </w:t>
      </w:r>
      <w:proofErr w:type="spellStart"/>
      <w:r>
        <w:rPr>
          <w:rtl/>
        </w:rPr>
        <w:t>ב“ספר</w:t>
      </w:r>
      <w:proofErr w:type="spellEnd"/>
      <w:r>
        <w:rPr>
          <w:rtl/>
        </w:rPr>
        <w:t xml:space="preserve"> </w:t>
      </w:r>
      <w:proofErr w:type="spellStart"/>
      <w:r>
        <w:rPr>
          <w:rtl/>
        </w:rPr>
        <w:t>מזריטש</w:t>
      </w:r>
      <w:proofErr w:type="spellEnd"/>
      <w:r>
        <w:rPr>
          <w:rtl/>
        </w:rPr>
        <w:t>”</w:t>
      </w:r>
      <w:bookmarkStart w:id="6960" w:name="_fnr5346"/>
      <w:r>
        <w:rPr>
          <w:rStyle w:val="a5"/>
        </w:rPr>
        <w:footnoteReference w:id="5360" w:customMarkFollows="0"/>
      </w:r>
      <w:bookmarkEnd w:id="6960"/>
      <w:r>
        <w:rPr>
          <w:rtl/>
        </w:rPr>
        <w:t xml:space="preserve">. כותב המאמר, מ׳ </w:t>
      </w:r>
      <w:proofErr w:type="spellStart"/>
      <w:r>
        <w:rPr>
          <w:rtl/>
        </w:rPr>
        <w:t>איידלבוים</w:t>
      </w:r>
      <w:proofErr w:type="spellEnd"/>
      <w:r>
        <w:rPr>
          <w:rtl/>
        </w:rPr>
        <w:t xml:space="preserve">, מספר כיצד הובא ר׳ חיים </w:t>
      </w:r>
      <w:proofErr w:type="spellStart"/>
      <w:r>
        <w:rPr>
          <w:rtl/>
        </w:rPr>
        <w:t>למזריטש</w:t>
      </w:r>
      <w:proofErr w:type="spellEnd"/>
      <w:r>
        <w:rPr>
          <w:rtl/>
        </w:rPr>
        <w:t xml:space="preserve">, שנתיים אחרי שעלה על כיסא הרבנות </w:t>
      </w:r>
      <w:proofErr w:type="spellStart"/>
      <w:r>
        <w:rPr>
          <w:rtl/>
        </w:rPr>
        <w:t>בבריסק</w:t>
      </w:r>
      <w:proofErr w:type="spellEnd"/>
      <w:r>
        <w:rPr>
          <w:rtl/>
        </w:rPr>
        <w:t xml:space="preserve">, כדי להבטיח שהמועמד שתמך בו לרבנות </w:t>
      </w:r>
      <w:proofErr w:type="spellStart"/>
      <w:r>
        <w:rPr>
          <w:rtl/>
        </w:rPr>
        <w:t>מזריטש</w:t>
      </w:r>
      <w:proofErr w:type="spellEnd"/>
      <w:r>
        <w:rPr>
          <w:rtl/>
        </w:rPr>
        <w:t>, בנו של הרב שנפטר</w:t>
      </w:r>
      <w:bookmarkStart w:id="6961" w:name="_fnr5347"/>
      <w:r>
        <w:rPr>
          <w:rStyle w:val="a5"/>
        </w:rPr>
        <w:footnoteReference w:id="5361" w:customMarkFollows="0"/>
      </w:r>
      <w:bookmarkEnd w:id="6961"/>
      <w:r>
        <w:rPr>
          <w:rtl/>
        </w:rPr>
        <w:t xml:space="preserve">, לא יידחק הצדה. וכך הוא כותב: “אבי זכרונו לברכה סיפר: ‘כשראיתי שהמצב רופף’ – המתחרה עמד להתמנות לרב – ‘הודעתי מיד </w:t>
      </w:r>
      <w:proofErr w:type="spellStart"/>
      <w:r>
        <w:rPr>
          <w:rtl/>
        </w:rPr>
        <w:t>לר</w:t>
      </w:r>
      <w:proofErr w:type="spellEnd"/>
      <w:r>
        <w:rPr>
          <w:rtl/>
        </w:rPr>
        <w:t>׳ חיים [</w:t>
      </w:r>
      <w:proofErr w:type="spellStart"/>
      <w:r>
        <w:rPr>
          <w:rtl/>
        </w:rPr>
        <w:t>בבריסק</w:t>
      </w:r>
      <w:proofErr w:type="spellEnd"/>
      <w:r>
        <w:rPr>
          <w:rtl/>
        </w:rPr>
        <w:t xml:space="preserve">], והוא בא מיד </w:t>
      </w:r>
      <w:proofErr w:type="spellStart"/>
      <w:r>
        <w:rPr>
          <w:rtl/>
        </w:rPr>
        <w:t>למזריטש</w:t>
      </w:r>
      <w:proofErr w:type="spellEnd"/>
      <w:r>
        <w:rPr>
          <w:rtl/>
        </w:rPr>
        <w:t xml:space="preserve">. באותה עת התכנסה במקרה בבית פרטי אספה של </w:t>
      </w:r>
      <w:proofErr w:type="spellStart"/>
      <w:r>
        <w:rPr>
          <w:rtl/>
        </w:rPr>
        <w:t>שיינע</w:t>
      </w:r>
      <w:proofErr w:type="spellEnd"/>
      <w:r>
        <w:rPr>
          <w:rtl/>
        </w:rPr>
        <w:t xml:space="preserve"> </w:t>
      </w:r>
      <w:proofErr w:type="spellStart"/>
      <w:r>
        <w:rPr>
          <w:rtl/>
        </w:rPr>
        <w:t>אידען</w:t>
      </w:r>
      <w:proofErr w:type="spellEnd"/>
      <w:r>
        <w:rPr>
          <w:rtl/>
        </w:rPr>
        <w:t xml:space="preserve">, לומדי תורה ועשירים, וכמובן הוזמן ר׳ חיים. הוא היה רגיל לחבוש כובע יהודי פשוט – לא את המגבעת הרבנית – וכך בא </w:t>
      </w:r>
      <w:proofErr w:type="spellStart"/>
      <w:r>
        <w:rPr>
          <w:rtl/>
        </w:rPr>
        <w:t>למזריטש</w:t>
      </w:r>
      <w:proofErr w:type="spellEnd"/>
      <w:r>
        <w:rPr>
          <w:rtl/>
        </w:rPr>
        <w:t>. פני העיר דרשו ממנו להחליף את כובעו במגבעת רבנית</w:t>
      </w:r>
      <w:bookmarkStart w:id="6962" w:name="_fnr5348"/>
      <w:r>
        <w:rPr>
          <w:rStyle w:val="a5"/>
        </w:rPr>
        <w:footnoteReference w:id="5362" w:customMarkFollows="0"/>
      </w:r>
      <w:bookmarkEnd w:id="6962"/>
      <w:r>
        <w:rPr>
          <w:rtl/>
        </w:rPr>
        <w:t xml:space="preserve">, אך הוא סירב’. ‘מִילָא, </w:t>
      </w:r>
      <w:proofErr w:type="spellStart"/>
      <w:r>
        <w:rPr>
          <w:rtl/>
        </w:rPr>
        <w:t>בבריסק</w:t>
      </w:r>
      <w:proofErr w:type="spellEnd"/>
      <w:r>
        <w:rPr>
          <w:rtl/>
        </w:rPr>
        <w:t xml:space="preserve">’, אמר ר׳ חיים לאבי, ‘אני חייב לחבוש מגבעת [ולא כובע], כי </w:t>
      </w:r>
      <w:proofErr w:type="spellStart"/>
      <w:r>
        <w:rPr>
          <w:rtl/>
        </w:rPr>
        <w:t>בריסק</w:t>
      </w:r>
      <w:proofErr w:type="spellEnd"/>
      <w:r>
        <w:rPr>
          <w:rtl/>
        </w:rPr>
        <w:t xml:space="preserve"> מפרנסת אותי. אבל איזו תביעה יש </w:t>
      </w:r>
      <w:proofErr w:type="spellStart"/>
      <w:r>
        <w:rPr>
          <w:rtl/>
        </w:rPr>
        <w:t>למזריטש</w:t>
      </w:r>
      <w:proofErr w:type="spellEnd"/>
      <w:r>
        <w:rPr>
          <w:rtl/>
        </w:rPr>
        <w:t xml:space="preserve"> כלפיי – הרי יש בה רק המון אביונים, ובכללם אלה הקרויים גבירים (ההדגשה שלי)!’”</w:t>
      </w:r>
    </w:p>
    <w:p w14:paraId="6BDDA32B" w14:textId="77777777" w:rsidR="00AB3647" w:rsidRDefault="00000000" w:rsidP="007923E9">
      <w:pPr>
        <w:spacing w:after="120" w:line="276" w:lineRule="auto"/>
        <w:ind w:firstLine="283"/>
        <w:jc w:val="both"/>
      </w:pPr>
      <w:proofErr w:type="spellStart"/>
      <w:r>
        <w:rPr>
          <w:rtl/>
        </w:rPr>
        <w:t>איידלבוים</w:t>
      </w:r>
      <w:proofErr w:type="spellEnd"/>
      <w:r>
        <w:rPr>
          <w:rtl/>
        </w:rPr>
        <w:t xml:space="preserve"> ממשיך: “טענתו של ר׳ חיים” – על מצבם הכלכלי של יהודי </w:t>
      </w:r>
      <w:proofErr w:type="spellStart"/>
      <w:r>
        <w:rPr>
          <w:rtl/>
        </w:rPr>
        <w:t>מזריטש</w:t>
      </w:r>
      <w:proofErr w:type="spellEnd"/>
      <w:r>
        <w:rPr>
          <w:rtl/>
        </w:rPr>
        <w:t xml:space="preserve">, כפי שהודגש – “בוודאי לא הייתה מוצדקת: נראה שהיה כועס מאוד על מנהיגי </w:t>
      </w:r>
      <w:proofErr w:type="spellStart"/>
      <w:r>
        <w:rPr>
          <w:rtl/>
        </w:rPr>
        <w:t>מזריטש</w:t>
      </w:r>
      <w:proofErr w:type="spellEnd"/>
      <w:r>
        <w:rPr>
          <w:rtl/>
        </w:rPr>
        <w:t xml:space="preserve"> [על ששקלו למנות אדם אחר במקום בנו של הרב שנפטר]. התייצבותו לטובת [הבן] ונגד המועמד האחר, דודו שלו</w:t>
      </w:r>
      <w:bookmarkStart w:id="6963" w:name="_fnr5349"/>
      <w:r>
        <w:rPr>
          <w:rStyle w:val="a5"/>
        </w:rPr>
        <w:footnoteReference w:id="5363" w:customMarkFollows="0"/>
      </w:r>
      <w:bookmarkEnd w:id="6963"/>
      <w:r>
        <w:rPr>
          <w:rtl/>
        </w:rPr>
        <w:t xml:space="preserve">, עשתה רושם חזק. ר׳ חיים, גאון זמנו, ראה את רבנות </w:t>
      </w:r>
      <w:proofErr w:type="spellStart"/>
      <w:r>
        <w:rPr>
          <w:rtl/>
        </w:rPr>
        <w:t>מזריטש</w:t>
      </w:r>
      <w:proofErr w:type="spellEnd"/>
      <w:r>
        <w:rPr>
          <w:rtl/>
        </w:rPr>
        <w:t xml:space="preserve"> אחרת; בעיניו הייתה זו שאלה מוסרית וגם משפטית. הוא סבר שדודו נהג שלא כראוי [בעצם הגשת </w:t>
      </w:r>
      <w:r>
        <w:rPr>
          <w:rtl/>
        </w:rPr>
        <w:lastRenderedPageBreak/>
        <w:t>מועמדותו]. רק אדם כר׳ חיים יכול היה להכריע את הכף נגד רצונם של עסקני הקהילה ומנהיגי העיר”.</w:t>
      </w:r>
    </w:p>
    <w:p w14:paraId="30C987EE" w14:textId="77777777" w:rsidR="00AB3647" w:rsidRDefault="00000000" w:rsidP="007923E9">
      <w:pPr>
        <w:spacing w:after="120" w:line="276" w:lineRule="auto"/>
        <w:ind w:firstLine="283"/>
        <w:jc w:val="both"/>
      </w:pPr>
      <w:r>
        <w:rPr>
          <w:rtl/>
        </w:rPr>
        <w:t xml:space="preserve">על תיאור מצבם הכלכלי של יהודי </w:t>
      </w:r>
      <w:proofErr w:type="spellStart"/>
      <w:r>
        <w:rPr>
          <w:rtl/>
        </w:rPr>
        <w:t>מזריטש</w:t>
      </w:r>
      <w:proofErr w:type="spellEnd"/>
      <w:r>
        <w:rPr>
          <w:rtl/>
        </w:rPr>
        <w:t xml:space="preserve"> בפי ר׳ חיים, שמ׳ </w:t>
      </w:r>
      <w:proofErr w:type="spellStart"/>
      <w:r>
        <w:rPr>
          <w:rtl/>
        </w:rPr>
        <w:t>איידלבוים</w:t>
      </w:r>
      <w:proofErr w:type="spellEnd"/>
      <w:r>
        <w:rPr>
          <w:rtl/>
        </w:rPr>
        <w:t xml:space="preserve">, יליד </w:t>
      </w:r>
      <w:proofErr w:type="spellStart"/>
      <w:r>
        <w:rPr>
          <w:rtl/>
        </w:rPr>
        <w:t>מזריטש</w:t>
      </w:r>
      <w:proofErr w:type="spellEnd"/>
      <w:r>
        <w:rPr>
          <w:rtl/>
        </w:rPr>
        <w:t xml:space="preserve">, התנגד לו מתוך גאוותו על עירו, סיפר ר׳ שמאי </w:t>
      </w:r>
      <w:proofErr w:type="spellStart"/>
      <w:r>
        <w:rPr>
          <w:rtl/>
        </w:rPr>
        <w:t>גינזבורג</w:t>
      </w:r>
      <w:bookmarkStart w:id="6964" w:name="_fnr5350"/>
      <w:proofErr w:type="spellEnd"/>
      <w:r>
        <w:rPr>
          <w:rStyle w:val="a5"/>
        </w:rPr>
        <w:footnoteReference w:id="5364" w:customMarkFollows="0"/>
      </w:r>
      <w:bookmarkEnd w:id="6964"/>
      <w:r>
        <w:rPr>
          <w:rtl/>
        </w:rPr>
        <w:t xml:space="preserve"> </w:t>
      </w:r>
      <w:proofErr w:type="spellStart"/>
      <w:r>
        <w:rPr>
          <w:rtl/>
        </w:rPr>
        <w:t>ש“אזור</w:t>
      </w:r>
      <w:proofErr w:type="spellEnd"/>
      <w:r>
        <w:rPr>
          <w:rtl/>
        </w:rPr>
        <w:t xml:space="preserve"> </w:t>
      </w:r>
      <w:proofErr w:type="spellStart"/>
      <w:r>
        <w:rPr>
          <w:rtl/>
        </w:rPr>
        <w:t>ביאלה</w:t>
      </w:r>
      <w:proofErr w:type="spellEnd"/>
      <w:r>
        <w:rPr>
          <w:rtl/>
        </w:rPr>
        <w:t>–</w:t>
      </w:r>
      <w:proofErr w:type="spellStart"/>
      <w:r>
        <w:rPr>
          <w:rtl/>
        </w:rPr>
        <w:t>מזריטש</w:t>
      </w:r>
      <w:proofErr w:type="spellEnd"/>
      <w:r>
        <w:rPr>
          <w:rtl/>
        </w:rPr>
        <w:t>–</w:t>
      </w:r>
      <w:proofErr w:type="spellStart"/>
      <w:r>
        <w:rPr>
          <w:rtl/>
        </w:rPr>
        <w:t>לוקוב</w:t>
      </w:r>
      <w:proofErr w:type="spellEnd"/>
      <w:r>
        <w:rPr>
          <w:rtl/>
        </w:rPr>
        <w:t>–</w:t>
      </w:r>
      <w:proofErr w:type="spellStart"/>
      <w:r>
        <w:rPr>
          <w:rtl/>
        </w:rPr>
        <w:t>שדליץ</w:t>
      </w:r>
      <w:proofErr w:type="spellEnd"/>
      <w:r>
        <w:rPr>
          <w:rtl/>
        </w:rPr>
        <w:t xml:space="preserve"> כונה ‘מלך </w:t>
      </w:r>
      <w:proofErr w:type="spellStart"/>
      <w:r>
        <w:rPr>
          <w:rtl/>
        </w:rPr>
        <w:t>אביון׳ס</w:t>
      </w:r>
      <w:proofErr w:type="spellEnd"/>
      <w:r>
        <w:rPr>
          <w:rtl/>
        </w:rPr>
        <w:t xml:space="preserve"> </w:t>
      </w:r>
      <w:proofErr w:type="spellStart"/>
      <w:r>
        <w:rPr>
          <w:rtl/>
        </w:rPr>
        <w:t>גיטער</w:t>
      </w:r>
      <w:proofErr w:type="spellEnd"/>
      <w:r>
        <w:rPr>
          <w:rtl/>
        </w:rPr>
        <w:t xml:space="preserve"> [נחלותיו של המלך אביון]’”. ר׳ שמאי </w:t>
      </w:r>
      <w:proofErr w:type="spellStart"/>
      <w:r>
        <w:rPr>
          <w:rtl/>
        </w:rPr>
        <w:t>גינזבורג</w:t>
      </w:r>
      <w:proofErr w:type="spellEnd"/>
      <w:r>
        <w:rPr>
          <w:rtl/>
        </w:rPr>
        <w:t xml:space="preserve"> נולד [</w:t>
      </w:r>
      <w:proofErr w:type="spellStart"/>
      <w:r>
        <w:rPr>
          <w:rtl/>
        </w:rPr>
        <w:t>בתרס״ז</w:t>
      </w:r>
      <w:proofErr w:type="spellEnd"/>
      <w:r>
        <w:rPr>
          <w:rtl/>
        </w:rPr>
        <w:t xml:space="preserve">] </w:t>
      </w:r>
      <w:proofErr w:type="spellStart"/>
      <w:r>
        <w:rPr>
          <w:rtl/>
        </w:rPr>
        <w:t>בלוקוב</w:t>
      </w:r>
      <w:proofErr w:type="spellEnd"/>
      <w:r>
        <w:rPr>
          <w:rtl/>
        </w:rPr>
        <w:t xml:space="preserve">, עיירה קטנה 25 קילומטרים ממערב </w:t>
      </w:r>
      <w:proofErr w:type="spellStart"/>
      <w:r>
        <w:rPr>
          <w:rtl/>
        </w:rPr>
        <w:t>למזריטש</w:t>
      </w:r>
      <w:proofErr w:type="spellEnd"/>
      <w:r>
        <w:rPr>
          <w:rtl/>
        </w:rPr>
        <w:t xml:space="preserve"> ובאותו מרחק מדרום </w:t>
      </w:r>
      <w:proofErr w:type="spellStart"/>
      <w:r>
        <w:rPr>
          <w:rtl/>
        </w:rPr>
        <w:t>לשדליץ</w:t>
      </w:r>
      <w:proofErr w:type="spellEnd"/>
      <w:r>
        <w:rPr>
          <w:rtl/>
        </w:rPr>
        <w:t>.</w:t>
      </w:r>
    </w:p>
    <w:p w14:paraId="3E709119" w14:textId="77777777" w:rsidR="00AB3647" w:rsidRDefault="00000000" w:rsidP="007923E9">
      <w:pPr>
        <w:spacing w:after="120" w:line="276" w:lineRule="auto"/>
        <w:ind w:firstLine="283"/>
        <w:jc w:val="both"/>
      </w:pPr>
      <w:r>
        <w:rPr>
          <w:rtl/>
        </w:rPr>
        <w:t xml:space="preserve">על העדפתו של ר׳ חיים ללבוש שאינו רבני סיפר נכדו ר׳ רפאל </w:t>
      </w:r>
      <w:proofErr w:type="spellStart"/>
      <w:r>
        <w:rPr>
          <w:rtl/>
        </w:rPr>
        <w:t>סולובייצ׳יק</w:t>
      </w:r>
      <w:proofErr w:type="spellEnd"/>
      <w:r>
        <w:rPr>
          <w:rtl/>
        </w:rPr>
        <w:t xml:space="preserve">, בנו של ר׳ יצחק־זאב</w:t>
      </w:r>
      <w:bookmarkStart w:id="6965" w:name="_fnr5351"/>
      <w:bookmarkStart w:id="6966" w:name="pr_f_5226"/>
      <w:r>
        <w:rPr>
          <w:rStyle w:val="a5"/>
        </w:rPr>
        <w:footnoteReference w:id="5365" w:customMarkFollows="0"/>
      </w:r>
      <w:bookmarkEnd w:id="6965"/>
      <w:bookmarkEnd w:id="6966"/>
      <w:r>
        <w:rPr>
          <w:rtl/>
        </w:rPr>
        <w:t xml:space="preserve">: פעם נסע ר׳ חיים ברכבת בלי להזדהות, ואדמו״ר חסידי זיהה אותו וקרא: “הרב הקדוש </w:t>
      </w:r>
      <w:proofErr w:type="spellStart"/>
      <w:r>
        <w:rPr>
          <w:rtl/>
        </w:rPr>
        <w:t>מבריסק</w:t>
      </w:r>
      <w:proofErr w:type="spellEnd"/>
      <w:r>
        <w:rPr>
          <w:rtl/>
        </w:rPr>
        <w:t>, למה אתם לבושים כך</w:t>
      </w:r>
      <w:bookmarkStart w:id="6967" w:name="_fnr5352"/>
      <w:r>
        <w:rPr>
          <w:rStyle w:val="a5"/>
        </w:rPr>
        <w:footnoteReference w:id="5366" w:customMarkFollows="0"/>
      </w:r>
      <w:bookmarkEnd w:id="6967"/>
      <w:r>
        <w:rPr>
          <w:rtl/>
        </w:rPr>
        <w:t>?” ר׳ חיים השיב שמן הגמרא בברכות</w:t>
      </w:r>
      <w:bookmarkStart w:id="6968" w:name="_fnr5353"/>
      <w:r>
        <w:rPr>
          <w:rStyle w:val="a5"/>
        </w:rPr>
        <w:footnoteReference w:id="5367" w:customMarkFollows="0"/>
      </w:r>
      <w:bookmarkEnd w:id="6968"/>
      <w:r>
        <w:rPr>
          <w:rtl/>
        </w:rPr>
        <w:t xml:space="preserve">, השואלת “כיצד ידעה </w:t>
      </w:r>
      <w:proofErr w:type="spellStart"/>
      <w:r>
        <w:rPr>
          <w:rtl/>
        </w:rPr>
        <w:t>השונמית</w:t>
      </w:r>
      <w:proofErr w:type="spellEnd"/>
      <w:r>
        <w:rPr>
          <w:rtl/>
        </w:rPr>
        <w:t xml:space="preserve"> שאלישע הנביא היה איש קדוש?”, אפשר להוכיח שאין לדעת מן הבגדים שאדם לובש אם הוא קדוש. השווה גם “ממעונות אריות”</w:t>
      </w:r>
      <w:bookmarkStart w:id="6969" w:name="_fnr5354"/>
      <w:r>
        <w:rPr>
          <w:rStyle w:val="a5"/>
        </w:rPr>
        <w:footnoteReference w:id="5368" w:customMarkFollows="0"/>
      </w:r>
      <w:bookmarkEnd w:id="6969"/>
      <w:r>
        <w:rPr>
          <w:rtl/>
        </w:rPr>
        <w:t>, המחיל על ר׳ חיים את השיר ששרו האמוראים</w:t>
      </w:r>
      <w:bookmarkStart w:id="6970" w:name="_fnr5355"/>
      <w:r>
        <w:rPr>
          <w:rStyle w:val="a5"/>
        </w:rPr>
        <w:footnoteReference w:id="5369" w:customMarkFollows="0"/>
      </w:r>
      <w:bookmarkEnd w:id="6970"/>
      <w:r>
        <w:rPr>
          <w:rtl/>
        </w:rPr>
        <w:t xml:space="preserve"> כשנסמך רב </w:t>
      </w:r>
      <w:proofErr w:type="spellStart"/>
      <w:r>
        <w:rPr>
          <w:rtl/>
        </w:rPr>
        <w:t>זירא</w:t>
      </w:r>
      <w:proofErr w:type="spellEnd"/>
      <w:r>
        <w:rPr>
          <w:rtl/>
        </w:rPr>
        <w:t>: “לא כחל ולא סרק ולא פרכוס ויעלת חן”</w:t>
      </w:r>
      <w:bookmarkStart w:id="6971" w:name="_fnr5356"/>
      <w:r>
        <w:rPr>
          <w:rStyle w:val="a5"/>
        </w:rPr>
        <w:footnoteReference w:id="5370" w:customMarkFollows="0"/>
      </w:r>
      <w:bookmarkEnd w:id="6971"/>
      <w:r>
        <w:rPr>
          <w:rtl/>
        </w:rPr>
        <w:t>. ובהספד שם: “ר׳ חיים היה ללא כל הידור חיצוני – צנוע בתכלית, נכנס בדשדוש ויוצא בדשדוש</w:t>
      </w:r>
      <w:bookmarkStart w:id="6972" w:name="_fnr5357"/>
      <w:r>
        <w:rPr>
          <w:rStyle w:val="a5"/>
        </w:rPr>
        <w:footnoteReference w:id="5371" w:customMarkFollows="0"/>
      </w:r>
      <w:bookmarkEnd w:id="6972"/>
      <w:r>
        <w:rPr>
          <w:rtl/>
        </w:rPr>
        <w:t>, ובכל זאת מלא חן”.</w:t>
      </w:r>
    </w:p>
    <w:p w14:paraId="7F7B4B8A" w14:textId="77777777" w:rsidR="00AB3647" w:rsidRDefault="00000000" w:rsidP="007923E9">
      <w:pPr>
        <w:spacing w:after="120" w:line="276" w:lineRule="auto"/>
        <w:ind w:firstLine="283"/>
        <w:jc w:val="both"/>
      </w:pPr>
      <w:r>
        <w:rPr>
          <w:rtl/>
        </w:rPr>
        <w:t>העדפתו של ר׳ חיים ללבוש שאינו רבני שיקפה את יחסו לעצם היותו רב. השווה את יעקב מארק</w:t>
      </w:r>
      <w:bookmarkStart w:id="6973" w:name="_fnr5358"/>
      <w:r>
        <w:rPr>
          <w:rStyle w:val="a5"/>
        </w:rPr>
        <w:footnoteReference w:id="5372" w:customMarkFollows="0"/>
      </w:r>
      <w:bookmarkEnd w:id="6973"/>
      <w:r>
        <w:rPr>
          <w:rtl/>
        </w:rPr>
        <w:t xml:space="preserve">, המתאר את פגישותיו עם ר׳ חיים </w:t>
      </w:r>
      <w:proofErr w:type="spellStart"/>
      <w:r>
        <w:rPr>
          <w:rtl/>
        </w:rPr>
        <w:t>בליבאו</w:t>
      </w:r>
      <w:proofErr w:type="spellEnd"/>
      <w:r>
        <w:rPr>
          <w:rtl/>
        </w:rPr>
        <w:t xml:space="preserve">: “מטבעו לא אהב ר׳ חיים לדבר על עצמו ובייחוד על מעלותיו. כל אימת שהפצרתי בו להיזכר בחייו, היה מתחמק תמיד בדברי חידוד, ומתלונן שהעולם עושה ממנו יותר מדי ‘פירוש’. בתמימות גלויה התלונן בפניי פעמים רבות על הנסיבות שהביאו למינויו לרב </w:t>
      </w:r>
      <w:proofErr w:type="spellStart"/>
      <w:r>
        <w:rPr>
          <w:rtl/>
        </w:rPr>
        <w:t>בבריסק</w:t>
      </w:r>
      <w:proofErr w:type="spellEnd"/>
      <w:r>
        <w:rPr>
          <w:rtl/>
        </w:rPr>
        <w:t>, כהונה שהייתה למעלה מיכולותיו ולא לפי נטייתו. הודות לכישרונו להסביר, יכול היה אולי להיות מלמד גמרא לא רע לשני נערים”. השווה גם “הרב”</w:t>
      </w:r>
      <w:bookmarkStart w:id="6974" w:name="_fnr5359"/>
      <w:r>
        <w:rPr>
          <w:rStyle w:val="a5"/>
        </w:rPr>
        <w:footnoteReference w:id="5373" w:customMarkFollows="0"/>
      </w:r>
      <w:bookmarkEnd w:id="6974"/>
      <w:r>
        <w:rPr>
          <w:rtl/>
        </w:rPr>
        <w:t xml:space="preserve">, המספר </w:t>
      </w:r>
      <w:proofErr w:type="spellStart"/>
      <w:r>
        <w:rPr>
          <w:rtl/>
        </w:rPr>
        <w:t>ש“כשבא</w:t>
      </w:r>
      <w:proofErr w:type="spellEnd"/>
      <w:r>
        <w:rPr>
          <w:rtl/>
        </w:rPr>
        <w:t xml:space="preserve"> ר׳ חיים לראשונה </w:t>
      </w:r>
      <w:proofErr w:type="spellStart"/>
      <w:r>
        <w:rPr>
          <w:rtl/>
        </w:rPr>
        <w:t>לבריסק</w:t>
      </w:r>
      <w:proofErr w:type="spellEnd"/>
      <w:r>
        <w:rPr>
          <w:rtl/>
        </w:rPr>
        <w:t xml:space="preserve">, נשא דרשה אחת בשבת הגדול ודרשה אחת בשבת שובה”, ולא חזר על כך עוד. דברי נכדו, ר׳ </w:t>
      </w:r>
      <w:proofErr w:type="spellStart"/>
      <w:r>
        <w:rPr>
          <w:rtl/>
        </w:rPr>
        <w:t xml:space="preserve">יוסף־דב</w:t>
      </w:r>
      <w:proofErr w:type="spellEnd"/>
      <w:r>
        <w:rPr>
          <w:rtl/>
        </w:rPr>
        <w:t xml:space="preserve"> </w:t>
      </w:r>
      <w:proofErr w:type="spellStart"/>
      <w:r>
        <w:rPr>
          <w:rtl/>
        </w:rPr>
        <w:t>סולובייצ׳יק</w:t>
      </w:r>
      <w:proofErr w:type="spellEnd"/>
      <w:r>
        <w:rPr>
          <w:rtl/>
        </w:rPr>
        <w:t>, מסתיימים בטעם שנתן ר׳ חיים להפסקת הדרשות המקובלות של הרב פעמיים בשנה: הן התישו אותו</w:t>
      </w:r>
      <w:bookmarkStart w:id="6975" w:name="_fnr5360"/>
      <w:bookmarkStart w:id="6976" w:name="pr_f_5235"/>
      <w:r>
        <w:rPr>
          <w:rStyle w:val="a5"/>
        </w:rPr>
        <w:footnoteReference w:id="5374" w:customMarkFollows="0"/>
      </w:r>
      <w:bookmarkEnd w:id="6975"/>
      <w:bookmarkEnd w:id="6976"/>
      <w:r>
        <w:rPr>
          <w:rtl/>
        </w:rPr>
        <w:t>.</w:t>
      </w:r>
    </w:p>
    <w:p w14:paraId="380DD6B5" w14:textId="77777777" w:rsidR="00AB3647" w:rsidRDefault="00000000" w:rsidP="007923E9">
      <w:pPr>
        <w:spacing w:after="120" w:line="276" w:lineRule="auto"/>
        <w:ind w:firstLine="283"/>
        <w:jc w:val="both"/>
      </w:pPr>
      <w:r>
        <w:rPr>
          <w:rtl/>
        </w:rPr>
        <w:lastRenderedPageBreak/>
        <w:t xml:space="preserve">השווה גם “פון </w:t>
      </w:r>
      <w:proofErr w:type="spellStart"/>
      <w:r>
        <w:rPr>
          <w:rtl/>
        </w:rPr>
        <w:t>וואלאזין</w:t>
      </w:r>
      <w:proofErr w:type="spellEnd"/>
      <w:r>
        <w:rPr>
          <w:rtl/>
        </w:rPr>
        <w:t xml:space="preserve"> </w:t>
      </w:r>
      <w:proofErr w:type="spellStart"/>
      <w:r>
        <w:rPr>
          <w:rtl/>
        </w:rPr>
        <w:t>ביז</w:t>
      </w:r>
      <w:proofErr w:type="spellEnd"/>
      <w:r>
        <w:rPr>
          <w:rtl/>
        </w:rPr>
        <w:t xml:space="preserve"> ירושלים”</w:t>
      </w:r>
      <w:bookmarkStart w:id="6977" w:name="_fnr5361"/>
      <w:r>
        <w:rPr>
          <w:rStyle w:val="a5"/>
        </w:rPr>
        <w:footnoteReference w:id="5375" w:customMarkFollows="0"/>
      </w:r>
      <w:bookmarkEnd w:id="6977"/>
      <w:r>
        <w:rPr>
          <w:rtl/>
        </w:rPr>
        <w:t xml:space="preserve">, המספר: “בן משפחתו של ר׳ חיים היה בעל בית חרושת לסודה בעיירה לא רחוקה </w:t>
      </w:r>
      <w:proofErr w:type="spellStart"/>
      <w:r>
        <w:rPr>
          <w:rtl/>
        </w:rPr>
        <w:t>מבריסק</w:t>
      </w:r>
      <w:proofErr w:type="spellEnd"/>
      <w:r>
        <w:rPr>
          <w:rtl/>
        </w:rPr>
        <w:t xml:space="preserve">. בעל העסק בא פעם </w:t>
      </w:r>
      <w:proofErr w:type="spellStart"/>
      <w:r>
        <w:rPr>
          <w:rtl/>
        </w:rPr>
        <w:t>לבריסק</w:t>
      </w:r>
      <w:proofErr w:type="spellEnd"/>
      <w:r>
        <w:rPr>
          <w:rtl/>
        </w:rPr>
        <w:t>, ומשיחתו בדברי תורה ניכר שהיה תלמיד חכם במלוא מובן המילה. מישהו העיר בנוכחות ר׳ חיים: ‘למה אדם כזה צריך את עסקו על סיבוכיו [</w:t>
      </w:r>
      <w:proofErr w:type="spellStart"/>
      <w:r>
        <w:rPr>
          <w:rtl/>
        </w:rPr>
        <w:t>קאפ־דרעהעניש</w:t>
      </w:r>
      <w:proofErr w:type="spellEnd"/>
      <w:r>
        <w:rPr>
          <w:rtl/>
        </w:rPr>
        <w:t xml:space="preserve"> – מילולית: סחרחורת], כשהיה יכול להשיג רבנות טובה?’ ר׳ חיים השיב: ‘אילו היה לי בית חרושת לסודה, גם אני הייתי מתפטר מרבנות </w:t>
      </w:r>
      <w:proofErr w:type="spellStart"/>
      <w:r>
        <w:rPr>
          <w:rtl/>
        </w:rPr>
        <w:t>בריסק</w:t>
      </w:r>
      <w:proofErr w:type="spellEnd"/>
      <w:r>
        <w:rPr>
          <w:rtl/>
        </w:rPr>
        <w:t>’”. ואכן, לפי “הרב”</w:t>
      </w:r>
      <w:bookmarkStart w:id="6978" w:name="_fnr5362"/>
      <w:r>
        <w:rPr>
          <w:rStyle w:val="a5"/>
        </w:rPr>
        <w:footnoteReference w:id="5376" w:customMarkFollows="0"/>
      </w:r>
      <w:bookmarkEnd w:id="6978"/>
      <w:r>
        <w:rPr>
          <w:rtl/>
        </w:rPr>
        <w:t xml:space="preserve">, ר׳ חיים “התענג תמיד על המחשבה שלאחר שישיא את כל ילדיו, יעביר את </w:t>
      </w:r>
      <w:proofErr w:type="spellStart"/>
      <w:r>
        <w:rPr>
          <w:rtl/>
        </w:rPr>
        <w:t>רבנותו</w:t>
      </w:r>
      <w:proofErr w:type="spellEnd"/>
      <w:r>
        <w:rPr>
          <w:rtl/>
        </w:rPr>
        <w:t xml:space="preserve"> לאחד מבניו וישתקע בארץ ישראל”</w:t>
      </w:r>
      <w:bookmarkStart w:id="6979" w:name="_fnr5363"/>
      <w:r>
        <w:rPr>
          <w:rStyle w:val="a5"/>
        </w:rPr>
        <w:footnoteReference w:id="5377" w:customMarkFollows="0"/>
      </w:r>
      <w:bookmarkEnd w:id="6979"/>
      <w:r>
        <w:rPr>
          <w:rtl/>
        </w:rPr>
        <w:t>.</w:t>
      </w:r>
    </w:p>
    <w:p w14:paraId="05F2B50D" w14:textId="77777777" w:rsidR="00AB3647" w:rsidRDefault="00000000" w:rsidP="007923E9">
      <w:pPr>
        <w:spacing w:after="120" w:line="276" w:lineRule="auto"/>
        <w:ind w:firstLine="283"/>
        <w:jc w:val="both"/>
      </w:pPr>
      <w:r>
        <w:rPr>
          <w:rtl/>
        </w:rPr>
        <w:t xml:space="preserve">כמו בביקורו </w:t>
      </w:r>
      <w:proofErr w:type="spellStart"/>
      <w:r>
        <w:rPr>
          <w:rtl/>
        </w:rPr>
        <w:t>במזריטש</w:t>
      </w:r>
      <w:proofErr w:type="spellEnd"/>
      <w:r>
        <w:rPr>
          <w:rtl/>
        </w:rPr>
        <w:t xml:space="preserve">, נראה שכיסוי הראש היה האמצעי המיוחד שבו הפגין ר׳ חיים את </w:t>
      </w:r>
      <w:proofErr w:type="spellStart"/>
      <w:r>
        <w:rPr>
          <w:rtl/>
        </w:rPr>
        <w:t>אי־שגרתיותו</w:t>
      </w:r>
      <w:proofErr w:type="spellEnd"/>
      <w:r>
        <w:rPr>
          <w:rtl/>
        </w:rPr>
        <w:t>. ר׳ חיים ברנד הביא</w:t>
      </w:r>
      <w:bookmarkStart w:id="6980" w:name="_fnr5364"/>
      <w:r>
        <w:rPr>
          <w:rStyle w:val="a5"/>
        </w:rPr>
        <w:footnoteReference w:id="5378" w:customMarkFollows="0"/>
      </w:r>
      <w:bookmarkEnd w:id="6980"/>
      <w:r>
        <w:rPr>
          <w:rtl/>
        </w:rPr>
        <w:t xml:space="preserve"> בשם נכדו של ר׳ חיים, ר׳ </w:t>
      </w:r>
      <w:proofErr w:type="spellStart"/>
      <w:r>
        <w:rPr>
          <w:rtl/>
        </w:rPr>
        <w:t xml:space="preserve">יושע־בערל</w:t>
      </w:r>
      <w:proofErr w:type="spellEnd"/>
      <w:r>
        <w:rPr>
          <w:rtl/>
        </w:rPr>
        <w:t>, שבכינוס רבנים שאליו בא ר׳ חיים במגבעת מעוכה, גער בו אחד מבעלי הבתים הנוכחים על “שלא בא במקום זאת לאספה המכובדת במגבעת השבת שלו”. ר׳ חיים השיב: “זו מגבעת השבת שלי”.</w:t>
      </w:r>
    </w:p>
    <w:p w14:paraId="4B18584A" w14:textId="77777777" w:rsidR="00AB3647" w:rsidRDefault="00000000" w:rsidP="007923E9">
      <w:pPr>
        <w:spacing w:after="120" w:line="276" w:lineRule="auto"/>
        <w:ind w:firstLine="283"/>
        <w:jc w:val="both"/>
      </w:pPr>
      <w:r>
        <w:rPr>
          <w:rtl/>
        </w:rPr>
        <w:t xml:space="preserve">על דרך ניתוח כזאת אצל ר׳ חיים סיפר פעם רבנו: ר׳ חיים נהג לסיים את תפילת העמידה כשרבים מן המתפללים עוד היו באמצע תפילתם, ומכר שאל אותו מדוע הוא פוסע לאחור לפניהם, שלא כרבנים אחרים. ר׳ חיים השיב: “כבר סיימתי להתפלל”. כשאמר המכר: “אם כן, אמור איזה מזמור – למשל אשרי... </w:t>
      </w:r>
      <w:proofErr w:type="spellStart"/>
      <w:r>
        <w:rPr>
          <w:rtl/>
        </w:rPr>
        <w:t>תהלה</w:t>
      </w:r>
      <w:proofErr w:type="spellEnd"/>
      <w:r>
        <w:rPr>
          <w:rtl/>
        </w:rPr>
        <w:t xml:space="preserve"> לדוד</w:t>
      </w:r>
      <w:bookmarkStart w:id="6981" w:name="_fnr5365"/>
      <w:r>
        <w:rPr>
          <w:rStyle w:val="a5"/>
        </w:rPr>
        <w:footnoteReference w:id="5379" w:customMarkFollows="0"/>
      </w:r>
      <w:bookmarkEnd w:id="6981"/>
      <w:r>
        <w:rPr>
          <w:rtl/>
        </w:rPr>
        <w:t xml:space="preserve"> – לפני שתפסע לאחור”, השיב ר׳ חיים: “גם אשרי כבר אמרתי”.</w:t>
      </w:r>
    </w:p>
    <w:p w14:paraId="7FFFDAEE" w14:textId="77777777" w:rsidR="00AB3647" w:rsidRDefault="00000000" w:rsidP="007923E9">
      <w:pPr>
        <w:spacing w:after="120" w:line="276" w:lineRule="auto"/>
        <w:ind w:firstLine="283"/>
        <w:jc w:val="both"/>
      </w:pPr>
      <w:r>
        <w:rPr>
          <w:rtl/>
        </w:rPr>
        <w:t xml:space="preserve">ר׳ </w:t>
      </w:r>
      <w:proofErr w:type="spellStart"/>
      <w:r>
        <w:rPr>
          <w:rtl/>
        </w:rPr>
        <w:t xml:space="preserve">יושע־בערל</w:t>
      </w:r>
      <w:proofErr w:type="spellEnd"/>
      <w:r>
        <w:rPr>
          <w:rtl/>
        </w:rPr>
        <w:t xml:space="preserve"> סיפר גם שאביו, ר׳ יצחק־זאב, היה מיישר את מגבעתו של ר׳ חיים לפני שמסר אותה לידיו; אבל מיד כשהגיעה לידי ר׳ חיים, היה מועך אותה ורק אז חובש אותה. השווה גם “חייו וזמנו של ר׳ רפאל </w:t>
      </w:r>
      <w:proofErr w:type="spellStart"/>
      <w:r>
        <w:rPr>
          <w:rtl/>
        </w:rPr>
        <w:t>סולובייצ׳יק</w:t>
      </w:r>
      <w:proofErr w:type="spellEnd"/>
      <w:r>
        <w:rPr>
          <w:rtl/>
        </w:rPr>
        <w:t xml:space="preserve"> </w:t>
      </w:r>
      <w:proofErr w:type="spellStart"/>
      <w:r>
        <w:rPr>
          <w:rtl/>
        </w:rPr>
        <w:t>מבריסק</w:t>
      </w:r>
      <w:proofErr w:type="spellEnd"/>
      <w:r>
        <w:rPr>
          <w:rtl/>
        </w:rPr>
        <w:t>”</w:t>
      </w:r>
      <w:bookmarkStart w:id="6982" w:name="_fnr5366"/>
      <w:r>
        <w:rPr>
          <w:rStyle w:val="a5"/>
        </w:rPr>
        <w:footnoteReference w:id="5380" w:customMarkFollows="0"/>
      </w:r>
      <w:bookmarkEnd w:id="6982"/>
      <w:r>
        <w:rPr>
          <w:rtl/>
        </w:rPr>
        <w:t xml:space="preserve">: “כל היום היה ר׳ חיים מהלך בחלוק... ובירמולקה גדולה – וכך הלך ברחובות </w:t>
      </w:r>
      <w:proofErr w:type="spellStart"/>
      <w:r>
        <w:rPr>
          <w:rtl/>
        </w:rPr>
        <w:t>בריסק</w:t>
      </w:r>
      <w:proofErr w:type="spellEnd"/>
      <w:r>
        <w:rPr>
          <w:rtl/>
        </w:rPr>
        <w:t>, ולא רק בביתו”. אבל יש להוסיף שדרך לבושו הבלתי שגרתית של ר׳ חיים נזנחה מיד כשכבוד התורה עמד על הפרק. השווה שם</w:t>
      </w:r>
      <w:bookmarkStart w:id="6983" w:name="_fnr5367"/>
      <w:r>
        <w:rPr>
          <w:rStyle w:val="a5"/>
        </w:rPr>
        <w:footnoteReference w:id="5381" w:customMarkFollows="0"/>
      </w:r>
      <w:bookmarkEnd w:id="6983"/>
      <w:r>
        <w:rPr>
          <w:rtl/>
        </w:rPr>
        <w:t xml:space="preserve">: כשנסע ר׳ חיים לכינוס </w:t>
      </w:r>
      <w:proofErr w:type="spellStart"/>
      <w:r>
        <w:rPr>
          <w:rtl/>
        </w:rPr>
        <w:t>בבאד</w:t>
      </w:r>
      <w:proofErr w:type="spellEnd"/>
      <w:r>
        <w:rPr>
          <w:rtl/>
        </w:rPr>
        <w:t xml:space="preserve"> </w:t>
      </w:r>
      <w:proofErr w:type="spellStart"/>
      <w:r>
        <w:rPr>
          <w:rtl/>
        </w:rPr>
        <w:t>הומבורג</w:t>
      </w:r>
      <w:bookmarkStart w:id="6984" w:name="_fnr5368"/>
      <w:proofErr w:type="spellEnd"/>
      <w:r>
        <w:rPr>
          <w:rStyle w:val="a5"/>
        </w:rPr>
        <w:footnoteReference w:id="5382" w:customMarkFollows="0"/>
      </w:r>
      <w:bookmarkEnd w:id="6984"/>
      <w:r>
        <w:rPr>
          <w:rtl/>
        </w:rPr>
        <w:t>, הזמין בגדים חדשים והקפיד מאוד על הופעתו, והסביר: “בפולין וברוסיה אין מדגישים את הלבוש, אבל בגרמניה, אם רב אינו לבוש היטב, זהו חילול כבוד התורה”.</w:t>
      </w:r>
    </w:p>
    <w:p w14:paraId="157EEAAE" w14:textId="77777777" w:rsidR="00AB3647" w:rsidRDefault="00000000" w:rsidP="007923E9">
      <w:pPr>
        <w:spacing w:after="120" w:line="276" w:lineRule="auto"/>
        <w:ind w:firstLine="283"/>
        <w:jc w:val="both"/>
      </w:pPr>
      <w:r>
        <w:rPr>
          <w:rtl/>
        </w:rPr>
        <w:lastRenderedPageBreak/>
        <w:t xml:space="preserve">רבנו העיר פעם, בתקופה שבה כיהן כראש ישיבה במתיבתא תורה ודעת, </w:t>
      </w:r>
      <w:proofErr w:type="spellStart"/>
      <w:r>
        <w:rPr>
          <w:rtl/>
        </w:rPr>
        <w:t>ש“אלמלא</w:t>
      </w:r>
      <w:proofErr w:type="spellEnd"/>
      <w:r>
        <w:rPr>
          <w:rtl/>
        </w:rPr>
        <w:t xml:space="preserve"> הפרנסה המרה” שחייבה אותו ללבוש בגדי רבנות, היה מעדיף להתלבש כבעל בית. הוא הסביר שכאשר נסע ברכבת התחתית – באותם ימים נסע אבי בתחבורה ציבורית – לבושו העיד עליו שהוא אדם הקשור לתורה, והדבר חייבו לשים לב לכל תנועה שלו כדי שלא יגרום בשוגג לחילול השם. אילו התלבש כאדם רגיל, יכול היה להתנהל בלי פחד תמידי שיעשה משהו שאינו ראוי או שאינו נאה, ודעתו הייתה פנויה למחשבות אחרות.</w:t>
      </w:r>
    </w:p>
    <w:p w14:paraId="40FDBF65" w14:textId="22F0AF6B" w:rsidR="00AB3647" w:rsidRDefault="00000000" w:rsidP="007923E9">
      <w:pPr>
        <w:spacing w:before="240" w:after="120" w:line="276" w:lineRule="auto"/>
        <w:ind w:firstLine="283"/>
        <w:jc w:val="both"/>
      </w:pPr>
      <w:bookmarkStart w:id="6985" w:name="pr_b_2886"/>
      <w:bookmarkEnd w:id="6985"/>
      <w:r>
        <w:rPr>
          <w:b/>
          <w:bCs/>
          <w:rtl/>
        </w:rPr>
        <w:t xml:space="preserve">הערת סיום (במקור בסוף הפרק, בסימן כוכבית; היא המשך להערת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xml:space="preserve"> בפרק 4, המפנה אליה, ולכן אין לה סימן הפניה בפרק זה): אגב הערת שוליים </w:t>
      </w:r>
      <w:r>
        <w:rPr>
          <w:b/>
          <w:bCs/>
          <w:rtl/>
        </w:rPr>
        <w:fldChar w:fldCharType="begin" w:dirty="true"/>
      </w:r>
      <w:r>
        <w:rPr>
          <w:b/>
          <w:bCs/>
          <w:rtl/>
        </w:rPr>
        <w:instrText xml:space="preserve"> NOTEREF pr_f_3065 \h </w:instrText>
      </w:r>
      <w:r>
        <w:rPr>
          <w:b/>
          <w:bCs/>
          <w:rtl/>
        </w:rPr>
      </w:r>
      <w:r w:rsidR="007923E9">
        <w:rPr>
          <w:b/>
          <w:bCs/>
          <w:rtl/>
        </w:rPr>
        <w:instrText xml:space="preserve"> \* </w:instrText>
      </w:r>
      <w:r w:rsidR="007923E9">
        <w:rPr>
          <w:b/>
          <w:bCs/>
        </w:rPr>
        <w:instrText>MERGEFORMAT</w:instrText>
      </w:r>
      <w:r w:rsidR="007923E9">
        <w:rPr>
          <w:b/>
          <w:bCs/>
          <w:rtl/>
        </w:rPr>
        <w:instrText xml:space="preserve"> </w:instrText>
      </w:r>
      <w:r>
        <w:rPr>
          <w:b/>
          <w:bCs/>
          <w:rtl/>
        </w:rPr>
        <w:fldChar w:fldCharType="separate"/>
      </w:r>
      <w:r w:rsidR="007923E9">
        <w:rPr>
          <w:b/>
          <w:bCs/>
          <w:rtl/>
        </w:rPr>
        <w:t>142</w:t>
      </w:r>
      <w:r>
        <w:rPr>
          <w:b/>
          <w:bCs/>
          <w:rtl/>
        </w:rPr>
        <w:fldChar w:fldCharType="end"/>
      </w:r>
      <w:r>
        <w:rPr>
          <w:b/>
          <w:bCs/>
          <w:rtl/>
        </w:rPr>
        <w:t>, סיפר</w:t>
      </w:r>
      <w:r>
        <w:rPr>
          <w:rtl/>
        </w:rPr>
        <w:t xml:space="preserve"> ר׳ </w:t>
      </w:r>
      <w:proofErr w:type="spellStart"/>
      <w:r>
        <w:rPr>
          <w:rtl/>
        </w:rPr>
        <w:t>נתן־מאיר</w:t>
      </w:r>
      <w:proofErr w:type="spellEnd"/>
      <w:r>
        <w:rPr>
          <w:rtl/>
        </w:rPr>
        <w:t xml:space="preserve"> מעשה נוסף על ר׳ ירוחם, ששמע בצעירותו כשליווה את אביו, ר׳ </w:t>
      </w:r>
      <w:proofErr w:type="spellStart"/>
      <w:r>
        <w:rPr>
          <w:rtl/>
        </w:rPr>
        <w:t>משה־יום־טוב</w:t>
      </w:r>
      <w:proofErr w:type="spellEnd"/>
      <w:r>
        <w:rPr>
          <w:rtl/>
        </w:rPr>
        <w:t xml:space="preserve"> </w:t>
      </w:r>
      <w:proofErr w:type="spellStart"/>
      <w:r>
        <w:rPr>
          <w:rtl/>
        </w:rPr>
        <w:t>וכטפוגל</w:t>
      </w:r>
      <w:proofErr w:type="spellEnd"/>
      <w:r>
        <w:rPr>
          <w:rtl/>
        </w:rPr>
        <w:t xml:space="preserve"> – ראה פרק 4, סוף </w:t>
      </w:r>
      <w:r>
        <w:rPr>
          <w:rtl/>
        </w:rPr>
        <w:fldChar w:fldCharType="begin" w:dirty="true"/>
      </w:r>
      <w:r>
        <w:rPr>
          <w:rtl/>
        </w:rPr>
        <w:instrText xml:space="preserve"> REF b4_excR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 xml:space="preserve">נספח </w:t>
      </w:r>
      <w:proofErr w:type="spellStart"/>
      <w:r w:rsidR="007923E9" w:rsidRPr="007923E9">
        <w:rPr>
          <w:rtl/>
        </w:rPr>
        <w:t>יח</w:t>
      </w:r>
      <w:proofErr w:type="spellEnd"/>
      <w:r>
        <w:rPr>
          <w:rtl/>
        </w:rPr>
        <w:fldChar w:fldCharType="end"/>
      </w:r>
      <w:r>
        <w:rPr>
          <w:rtl/>
        </w:rPr>
        <w:t xml:space="preserve"> – בביקור אצל רבה של </w:t>
      </w:r>
      <w:proofErr w:type="spellStart"/>
      <w:r>
        <w:rPr>
          <w:rtl/>
        </w:rPr>
        <w:t>ניוארק</w:t>
      </w:r>
      <w:proofErr w:type="spellEnd"/>
      <w:r>
        <w:rPr>
          <w:rtl/>
        </w:rPr>
        <w:t xml:space="preserve">, ר׳ יוסף </w:t>
      </w:r>
      <w:proofErr w:type="spellStart"/>
      <w:r>
        <w:rPr>
          <w:rtl/>
        </w:rPr>
        <w:t>קונוויץ</w:t>
      </w:r>
      <w:proofErr w:type="spellEnd"/>
      <w:r>
        <w:rPr>
          <w:rtl/>
        </w:rPr>
        <w:t xml:space="preserve">. בין זיכרונותיהם של שני החברים הוותיקים, תלמידי </w:t>
      </w:r>
      <w:proofErr w:type="spellStart"/>
      <w:r>
        <w:rPr>
          <w:rtl/>
        </w:rPr>
        <w:t>סלבודקה</w:t>
      </w:r>
      <w:proofErr w:type="spellEnd"/>
      <w:r>
        <w:rPr>
          <w:rtl/>
        </w:rPr>
        <w:t xml:space="preserve"> שהיו בקבוצת המייסדים של ישיבת </w:t>
      </w:r>
      <w:proofErr w:type="spellStart"/>
      <w:r>
        <w:rPr>
          <w:rtl/>
        </w:rPr>
        <w:t>סלוצק</w:t>
      </w:r>
      <w:proofErr w:type="spellEnd"/>
      <w:r>
        <w:rPr>
          <w:rtl/>
        </w:rPr>
        <w:t xml:space="preserve"> במאה הקודמת – ראה פרק 3, </w:t>
      </w:r>
      <w:r>
        <w:rPr>
          <w:rtl/>
        </w:rPr>
        <w:fldChar w:fldCharType="begin" w:dirty="true"/>
      </w:r>
      <w:r>
        <w:rPr>
          <w:rtl/>
        </w:rPr>
        <w:instrText xml:space="preserve"> REF b3_excO \h \* CHARFORMAT </w:instrText>
      </w:r>
      <w:r>
        <w:rPr>
          <w:rtl/>
        </w:rPr>
      </w:r>
      <w:r w:rsidR="007923E9">
        <w:rPr>
          <w:rtl/>
        </w:rPr>
        <w:instrText xml:space="preserve"> \* </w:instrText>
      </w:r>
      <w:r w:rsidR="007923E9">
        <w:instrText>MERGEFORMAT</w:instrText>
      </w:r>
      <w:r w:rsidR="007923E9">
        <w:rPr>
          <w:rtl/>
        </w:rPr>
        <w:instrText xml:space="preserve"> </w:instrText>
      </w:r>
      <w:r>
        <w:rPr>
          <w:rtl/>
        </w:rPr>
        <w:fldChar w:fldCharType="separate"/>
      </w:r>
      <w:r w:rsidR="007923E9" w:rsidRPr="007923E9">
        <w:rPr>
          <w:rtl/>
        </w:rPr>
        <w:t>נספח טו</w:t>
      </w:r>
      <w:r>
        <w:rPr>
          <w:rtl/>
        </w:rPr>
        <w:fldChar w:fldCharType="end"/>
      </w:r>
      <w:r>
        <w:rPr>
          <w:rtl/>
        </w:rPr>
        <w:t xml:space="preserve"> – היה סיפור קצר של ר׳ יוסף </w:t>
      </w:r>
      <w:proofErr w:type="spellStart"/>
      <w:r>
        <w:rPr>
          <w:rtl/>
        </w:rPr>
        <w:t>קונוויץ</w:t>
      </w:r>
      <w:proofErr w:type="spellEnd"/>
      <w:r>
        <w:rPr>
          <w:rtl/>
        </w:rPr>
        <w:t xml:space="preserve">, שעורר אצל ר׳ </w:t>
      </w:r>
      <w:proofErr w:type="spellStart"/>
      <w:r>
        <w:rPr>
          <w:rtl/>
        </w:rPr>
        <w:t>משה־יום־טוב</w:t>
      </w:r>
      <w:proofErr w:type="spellEnd"/>
      <w:r>
        <w:rPr>
          <w:rtl/>
        </w:rPr>
        <w:t xml:space="preserve"> </w:t>
      </w:r>
      <w:proofErr w:type="spellStart"/>
      <w:r>
        <w:rPr>
          <w:rtl/>
        </w:rPr>
        <w:t>וכטפוגל</w:t>
      </w:r>
      <w:proofErr w:type="spellEnd"/>
      <w:r>
        <w:rPr>
          <w:rtl/>
        </w:rPr>
        <w:t xml:space="preserve"> פרצי צחוק.</w:t>
      </w:r>
    </w:p>
    <w:p w14:paraId="61A469A5" w14:textId="77777777" w:rsidR="00AB3647" w:rsidRDefault="00000000" w:rsidP="007923E9">
      <w:pPr>
        <w:spacing w:before="240" w:after="120" w:line="276" w:lineRule="auto"/>
        <w:ind w:firstLine="283"/>
        <w:jc w:val="both"/>
      </w:pPr>
      <w:r>
        <w:rPr>
          <w:rtl/>
        </w:rPr>
        <w:t xml:space="preserve">מיד כשהגיע ר׳ ירוחם </w:t>
      </w:r>
      <w:proofErr w:type="spellStart"/>
      <w:r>
        <w:rPr>
          <w:rtl/>
        </w:rPr>
        <w:t>ליבוביץ</w:t>
      </w:r>
      <w:proofErr w:type="spellEnd"/>
      <w:r>
        <w:rPr>
          <w:rtl/>
        </w:rPr>
        <w:t xml:space="preserve"> לישיבת </w:t>
      </w:r>
      <w:proofErr w:type="spellStart"/>
      <w:r>
        <w:rPr>
          <w:rtl/>
        </w:rPr>
        <w:t>סלבודקה</w:t>
      </w:r>
      <w:proofErr w:type="spellEnd"/>
      <w:r>
        <w:rPr>
          <w:rtl/>
        </w:rPr>
        <w:t xml:space="preserve">, בן 16, ראה בו הסבא עתיד גדול, ולא עבר זמן רב עד שר׳ </w:t>
      </w:r>
      <w:proofErr w:type="spellStart"/>
      <w:r>
        <w:rPr>
          <w:rtl/>
        </w:rPr>
        <w:t>נתן־צבי</w:t>
      </w:r>
      <w:proofErr w:type="spellEnd"/>
      <w:r>
        <w:rPr>
          <w:rtl/>
        </w:rPr>
        <w:t xml:space="preserve"> </w:t>
      </w:r>
      <w:proofErr w:type="spellStart"/>
      <w:r>
        <w:rPr>
          <w:rtl/>
        </w:rPr>
        <w:t>פינקל</w:t>
      </w:r>
      <w:proofErr w:type="spellEnd"/>
      <w:r>
        <w:rPr>
          <w:rtl/>
        </w:rPr>
        <w:t xml:space="preserve"> הזמינו להצטרף לתלמידים אחרים, מבוגרים ממנו, לסעודת השבת הקרובה על שולחנו. ר׳ יוסף, שלא היה מרוצה מכך שתלמיד צעיר וחדש כל כך יסעד עמם, לקח את הנער הצדה </w:t>
      </w:r>
      <w:proofErr w:type="spellStart"/>
      <w:r>
        <w:rPr>
          <w:rtl/>
        </w:rPr>
        <w:t>ו“ייעץ</w:t>
      </w:r>
      <w:proofErr w:type="spellEnd"/>
      <w:r>
        <w:rPr>
          <w:rtl/>
        </w:rPr>
        <w:t xml:space="preserve">” לו: בבית הסבא יש מנהגים מיוחדים, ואחד מהם הוא שהמזמן אומר בראש ברכת המזון “ברשות רבנו ר׳ אליהו </w:t>
      </w:r>
      <w:proofErr w:type="spellStart"/>
      <w:r>
        <w:rPr>
          <w:rtl/>
        </w:rPr>
        <w:t>מווילנא</w:t>
      </w:r>
      <w:proofErr w:type="spellEnd"/>
      <w:r>
        <w:rPr>
          <w:rtl/>
        </w:rPr>
        <w:t xml:space="preserve">”, ואחריו “וברשות מורנו ר׳ ישראל בעל שם טוב”, ורק אחר כך ממשיך בנוסח הרגיל, בבקשת רשות מבעל הבית: “וברשות הרב בעל הבית”. התלמיד החדש הודה </w:t>
      </w:r>
      <w:proofErr w:type="spellStart"/>
      <w:r>
        <w:rPr>
          <w:rtl/>
        </w:rPr>
        <w:t>לר</w:t>
      </w:r>
      <w:proofErr w:type="spellEnd"/>
      <w:r>
        <w:rPr>
          <w:rtl/>
        </w:rPr>
        <w:t xml:space="preserve">׳ יוסף בהכרת טובה על הדרכתו. על פי ההלכה </w:t>
      </w:r>
      <w:proofErr w:type="spellStart"/>
      <w:r>
        <w:rPr>
          <w:rtl/>
        </w:rPr>
        <w:t>בשו״ע</w:t>
      </w:r>
      <w:proofErr w:type="spellEnd"/>
      <w:r>
        <w:rPr>
          <w:rtl/>
        </w:rPr>
        <w:t xml:space="preserve"> </w:t>
      </w:r>
      <w:proofErr w:type="spellStart"/>
      <w:r>
        <w:rPr>
          <w:rtl/>
        </w:rPr>
        <w:t>או״ח</w:t>
      </w:r>
      <w:proofErr w:type="spellEnd"/>
      <w:r>
        <w:rPr>
          <w:rtl/>
        </w:rPr>
        <w:t xml:space="preserve"> ריש סי׳ ר״א, שאורח מברך, ניתן כבוד זה </w:t>
      </w:r>
      <w:proofErr w:type="spellStart"/>
      <w:r>
        <w:rPr>
          <w:rtl/>
        </w:rPr>
        <w:t>לליבוביץ</w:t>
      </w:r>
      <w:proofErr w:type="spellEnd"/>
      <w:r>
        <w:rPr>
          <w:rtl/>
        </w:rPr>
        <w:t xml:space="preserve"> הצעיר – בדיוק כפי שציפה ר׳ יוסף </w:t>
      </w:r>
      <w:proofErr w:type="spellStart"/>
      <w:r>
        <w:rPr>
          <w:rtl/>
        </w:rPr>
        <w:t>קונוויץ</w:t>
      </w:r>
      <w:proofErr w:type="spellEnd"/>
      <w:r>
        <w:rPr>
          <w:rtl/>
        </w:rPr>
        <w:t>.</w:t>
      </w:r>
    </w:p>
    <w:p w14:paraId="7B75C49E" w14:textId="77777777" w:rsidR="00AB3647" w:rsidRDefault="00000000" w:rsidP="007923E9">
      <w:pPr>
        <w:spacing w:before="240" w:after="120" w:line="276" w:lineRule="auto"/>
        <w:ind w:firstLine="283"/>
        <w:jc w:val="both"/>
      </w:pPr>
      <w:r>
        <w:rPr>
          <w:rtl/>
        </w:rPr>
        <w:t xml:space="preserve">כשהשפיל ר׳ ירוחם את עיניו אל השולחן בענווה והזכיר את הגאון מווילנה, הביטו המסובים זה בזה ופרצו בצחוק, ומיהרו לכסות את פיהם כדי לעמעמו. כולם צחקו – מלבד הסבא, ששמר על ארשת פניו הרצינית. אבל כשהמשיך האורח והזכיר את </w:t>
      </w:r>
      <w:proofErr w:type="spellStart"/>
      <w:r>
        <w:rPr>
          <w:rtl/>
        </w:rPr>
        <w:t>הבעש״ט</w:t>
      </w:r>
      <w:proofErr w:type="spellEnd"/>
      <w:r>
        <w:rPr>
          <w:rtl/>
        </w:rPr>
        <w:t xml:space="preserve">, נאלץ אפילו ר׳ </w:t>
      </w:r>
      <w:proofErr w:type="spellStart"/>
      <w:r>
        <w:rPr>
          <w:rtl/>
        </w:rPr>
        <w:t>נתן־צבי</w:t>
      </w:r>
      <w:proofErr w:type="spellEnd"/>
      <w:r>
        <w:rPr>
          <w:rtl/>
        </w:rPr>
        <w:t xml:space="preserve"> </w:t>
      </w:r>
      <w:proofErr w:type="spellStart"/>
      <w:r>
        <w:rPr>
          <w:rtl/>
        </w:rPr>
        <w:t>פינקל</w:t>
      </w:r>
      <w:proofErr w:type="spellEnd"/>
      <w:r>
        <w:rPr>
          <w:rtl/>
        </w:rPr>
        <w:t xml:space="preserve"> לכבוש את צחוקו בידו. ר׳ יוסף לא סיפר לאיש שהוא עומד להכשיל את הנער, אבל ברגע שהסבא הביט לעברו, ידע האשם שרבו הבין מי עשה את התעלול. “ובכל זאת הסבא מעולם לא גער בי על מה שעשיתי, ואף לא הזכיר את המעשה – אולי מפני שידע שמניעי היה לשמור על סדרי הסמכות בישיבה”, סיים ר׳ יוסף </w:t>
      </w:r>
      <w:proofErr w:type="spellStart"/>
      <w:r>
        <w:rPr>
          <w:rtl/>
        </w:rPr>
        <w:t>קונוויץ</w:t>
      </w:r>
      <w:proofErr w:type="spellEnd"/>
      <w:r>
        <w:rPr>
          <w:rtl/>
        </w:rPr>
        <w:t xml:space="preserve">. ר׳ </w:t>
      </w:r>
      <w:proofErr w:type="spellStart"/>
      <w:r>
        <w:rPr>
          <w:rtl/>
        </w:rPr>
        <w:t>נתן־מאיר</w:t>
      </w:r>
      <w:proofErr w:type="spellEnd"/>
      <w:r>
        <w:rPr>
          <w:rtl/>
        </w:rPr>
        <w:t xml:space="preserve"> סיפר מעשה זה </w:t>
      </w:r>
      <w:proofErr w:type="spellStart"/>
      <w:r>
        <w:rPr>
          <w:rtl/>
        </w:rPr>
        <w:t>לר</w:t>
      </w:r>
      <w:proofErr w:type="spellEnd"/>
      <w:r>
        <w:rPr>
          <w:rtl/>
        </w:rPr>
        <w:t>׳ דוד ויסקי, והוא חזר וסיפרו לי לקראת השלמת כתיבת הספר, ב־16 באפריל 2002.</w:t>
      </w:r>
    </w:p>
    <w:p w14:paraId="7004CDE4" w14:textId="77777777" w:rsidR="00AB3647" w:rsidRDefault="00000000" w:rsidP="007923E9">
      <w:pPr>
        <w:spacing w:before="480" w:after="120" w:line="276" w:lineRule="auto"/>
        <w:jc w:val="center"/>
      </w:pPr>
      <w:r>
        <w:rPr>
          <w:b/>
          <w:bCs/>
          <w:sz w:val="28"/>
          <w:rtl/>
        </w:rPr>
        <w:t>תם ונשלם שבח לא־ל בורא עולם</w:t>
      </w:r>
    </w:p>
    <w:p w14:paraId="035BA4A2" w14:textId="77777777" w:rsidR="00AB3647" w:rsidRDefault="00000000" w:rsidP="007923E9">
      <w:pPr>
        <w:spacing w:line="276" w:lineRule="auto"/>
      </w:pPr>
      <w:r>
        <w:br w:type="page"/>
      </w:r>
    </w:p>
    <w:sectPr w:rsidR="00AB3647">
      <w:footerReference w:type="default" r:id="rId16"/>
      <w:footnotePr>
        <w:pos w:val="pageBottom"/>
        <w:numRestart w:val="eachSect"/>
      </w:footnotePr>
      <w:pgSz w:w="9638" w:h="13606"/>
      <w:pgMar w:top="1134" w:right="1077" w:bottom="1134" w:left="1077" w:header="567" w:footer="567"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C401C4" w14:textId="77777777" w:rsidR="007A449E" w:rsidRDefault="007A449E">
      <w:r>
        <w:separator/>
      </w:r>
    </w:p>
  </w:endnote>
  <w:endnote w:type="continuationSeparator" w:id="0">
    <w:p w14:paraId="33F65E47" w14:textId="77777777" w:rsidR="007A449E" w:rsidRDefault="007A4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FrankRuehl">
    <w:panose1 w:val="020E0503060101010101"/>
    <w:charset w:val="00"/>
    <w:family w:val="swiss"/>
    <w:pitch w:val="variable"/>
    <w:sig w:usb0="00000803" w:usb1="00000000" w:usb2="00000000" w:usb3="00000000" w:csb0="00000021"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A431890"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B5C7A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BE9BB6"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A1764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71732"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4DF7CC"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830DFA"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E00BB1"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2EFF2F"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8B0EC9" w14:textId="77777777" w:rsidR="00AB3647" w:rsidRDefault="00000000">
    <w:pPr>
      <w:jc w:val="center"/>
    </w:pPr>
    <w:r>
      <w:rPr>
        <w:sz w:val="20"/>
        <w:szCs w:val="20"/>
      </w:rPr>
      <w:fldChar w:fldCharType="begin"/>
    </w:r>
    <w:r>
      <w:rPr>
        <w:sz w:val="20"/>
        <w:szCs w:val="20"/>
      </w:rPr>
      <w:instrText>PAGE</w:instrText>
    </w:r>
    <w:r>
      <w:rPr>
        <w:sz w:val="20"/>
        <w:szCs w:val="20"/>
      </w:rPr>
      <w:fldChar w:fldCharType="separate"/>
    </w:r>
    <w:r w:rsidR="007923E9">
      <w:rPr>
        <w:noProof/>
        <w:sz w:val="20"/>
        <w:szCs w:val="20"/>
        <w:rtl/>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7B514D" w14:textId="77777777" w:rsidR="007A449E" w:rsidRDefault="007A449E">
      <w:r>
        <w:separator/>
      </w:r>
    </w:p>
  </w:footnote>
  <w:footnote w:type="continuationSeparator" w:id="0">
    <w:p w14:paraId="2C439355" w14:textId="77777777" w:rsidR="007A449E" w:rsidRDefault="007A449E">
      <w:r>
        <w:continuationSeparator/>
      </w:r>
    </w:p>
  </w:footnote>
  <w:footnote w:id="1">
    <w:p w14:paraId="00DDEC26" w14:textId="77777777" w:rsidR="00AB3647" w:rsidRDefault="00000000">
      <w:pPr>
        <w:spacing w:after="0" w:before="0"/>
        <w:jc w:val="both"/>
      </w:pPr>
      <w:r>
        <w:fldChar w:fldCharType="begin" w:dirty="true"/>
      </w:r>
      <w:r>
        <w:instrText>HYPERLINK \l "_fnr1"</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w:t>
      </w:r>
      <w:r>
        <w:rPr>
          <w:sz w:val="20"/>
          <w:szCs w:val="20"/>
          <w:rtl/>
        </w:rPr>
        <w:t xml:space="preserve"> הוצאת מסורה, ברוקלין, ניו יורק, 1993.</w:t>
      </w:r>
    </w:p>
  </w:footnote>
  <w:footnote w:id="2">
    <w:p w14:paraId="5CB922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בידי מכון “תפארת אברהם”, איתרי, תשנ״ז.</w:t>
      </w:r>
    </w:p>
  </w:footnote>
  <w:footnote w:id="3">
    <w:p w14:paraId="456C9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20 בנובמבר 1987.</w:t>
      </w:r>
    </w:p>
  </w:footnote>
  <w:footnote w:id="4">
    <w:p w14:paraId="71E08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29.</w:t>
      </w:r>
    </w:p>
  </w:footnote>
  <w:footnote w:id="5">
    <w:p w14:paraId="4C9FF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עמ׳ 31.</w:t>
      </w:r>
    </w:p>
  </w:footnote>
  <w:footnote w:id="6">
    <w:p w14:paraId="2EFF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 מרדכי </w:t>
      </w:r>
      <w:proofErr w:type="spellStart"/>
      <w:r>
        <w:rPr>
          <w:sz w:val="20"/>
          <w:szCs w:val="20"/>
          <w:rtl/>
        </w:rPr>
        <w:t>אליאסברג</w:t>
      </w:r>
      <w:proofErr w:type="spellEnd"/>
      <w:r>
        <w:rPr>
          <w:sz w:val="20"/>
          <w:szCs w:val="20"/>
          <w:rtl/>
        </w:rPr>
        <w:t xml:space="preserve">, שלמד אז </w:t>
      </w:r>
      <w:proofErr w:type="spellStart"/>
      <w:r>
        <w:rPr>
          <w:sz w:val="20"/>
          <w:szCs w:val="20"/>
          <w:rtl/>
        </w:rPr>
        <w:t>בוולוז׳ין</w:t>
      </w:r>
      <w:proofErr w:type="spellEnd"/>
      <w:r>
        <w:rPr>
          <w:sz w:val="20"/>
          <w:szCs w:val="20"/>
          <w:rtl/>
        </w:rPr>
        <w:t xml:space="preserve"> כנשוי טרי בן </w:t>
      </w:r>
      <w:proofErr w:type="spellStart"/>
      <w:r>
        <w:rPr>
          <w:sz w:val="20"/>
          <w:szCs w:val="20"/>
          <w:rtl/>
        </w:rPr>
        <w:t>ארבע־עשרה</w:t>
      </w:r>
      <w:proofErr w:type="spellEnd"/>
      <w:r>
        <w:rPr>
          <w:sz w:val="20"/>
          <w:szCs w:val="20"/>
          <w:rtl/>
        </w:rPr>
        <w:t>.</w:t>
      </w:r>
    </w:p>
  </w:footnote>
  <w:footnote w:id="7">
    <w:p w14:paraId="0F23A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מבוא ביוגרפי מאת בן המחבר, ר׳ יהונתן </w:t>
      </w:r>
      <w:proofErr w:type="spellStart"/>
      <w:r>
        <w:rPr>
          <w:sz w:val="20"/>
          <w:szCs w:val="20"/>
          <w:rtl/>
        </w:rPr>
        <w:t>אליאסברג</w:t>
      </w:r>
      <w:proofErr w:type="spellEnd"/>
      <w:r>
        <w:rPr>
          <w:sz w:val="20"/>
          <w:szCs w:val="20"/>
          <w:rtl/>
        </w:rPr>
        <w:t xml:space="preserve">, </w:t>
      </w:r>
      <w:proofErr w:type="spellStart"/>
      <w:r>
        <w:rPr>
          <w:sz w:val="20"/>
          <w:szCs w:val="20"/>
          <w:rtl/>
        </w:rPr>
        <w:t>ל“שביל</w:t>
      </w:r>
      <w:proofErr w:type="spellEnd"/>
      <w:r>
        <w:rPr>
          <w:sz w:val="20"/>
          <w:szCs w:val="20"/>
          <w:rtl/>
        </w:rPr>
        <w:t xml:space="preserve"> הזהב” 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עמ׳ </w:t>
      </w:r>
      <w:proofErr w:type="spellStart"/>
      <w:r>
        <w:rPr>
          <w:sz w:val="20"/>
          <w:szCs w:val="20"/>
          <w:rtl/>
        </w:rPr>
        <w:t>vii</w:t>
      </w:r>
      <w:proofErr w:type="spellEnd"/>
      <w:r>
        <w:rPr>
          <w:sz w:val="20"/>
          <w:szCs w:val="20"/>
          <w:rtl/>
        </w:rPr>
        <w:t>.</w:t>
      </w:r>
    </w:p>
  </w:footnote>
  <w:footnote w:id="8">
    <w:p w14:paraId="650CE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יצא לאור ביום השנה הראשון לפטירת ר׳ מאיר חדש בידי “הועד להוצאת כתבי מרן זצ״ל” (ירושלים, </w:t>
      </w:r>
      <w:proofErr w:type="spellStart"/>
      <w:r>
        <w:rPr>
          <w:sz w:val="20"/>
          <w:szCs w:val="20"/>
          <w:rtl/>
        </w:rPr>
        <w:t>תש״ן</w:t>
      </w:r>
      <w:proofErr w:type="spellEnd"/>
      <w:r>
        <w:rPr>
          <w:sz w:val="20"/>
          <w:szCs w:val="20"/>
          <w:rtl/>
        </w:rPr>
        <w:t xml:space="preserve">), </w:t>
      </w:r>
      <w:proofErr w:type="spellStart"/>
      <w:r>
        <w:rPr>
          <w:sz w:val="20"/>
          <w:szCs w:val="20"/>
          <w:rtl/>
        </w:rPr>
        <w:t>ח״ב</w:t>
      </w:r>
      <w:proofErr w:type="spellEnd"/>
      <w:r>
        <w:rPr>
          <w:sz w:val="20"/>
          <w:szCs w:val="20"/>
          <w:rtl/>
        </w:rPr>
        <w:t>, עמ׳ נ.</w:t>
      </w:r>
    </w:p>
  </w:footnote>
  <w:footnote w:id="9">
    <w:p w14:paraId="3BCA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4 בפברואר 1988.</w:t>
      </w:r>
    </w:p>
  </w:footnote>
  <w:footnote w:id="10">
    <w:p w14:paraId="586B7E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מוסד הרב קוק, ירושלים, תשמ״ד.</w:t>
      </w:r>
    </w:p>
  </w:footnote>
  <w:footnote w:id="11">
    <w:p w14:paraId="2EDFB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גם מלכים א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w:t>
      </w:r>
    </w:p>
  </w:footnote>
  <w:footnote w:id="12">
    <w:p w14:paraId="57B8F0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4, הפסקה הראשונה של נספח </w:t>
      </w:r>
      <w:proofErr w:type="spellStart"/>
      <w:r>
        <w:rPr>
          <w:sz w:val="20"/>
          <w:szCs w:val="20"/>
          <w:rtl/>
        </w:rPr>
        <w:t>יב</w:t>
      </w:r>
      <w:proofErr w:type="spellEnd"/>
      <w:r>
        <w:rPr>
          <w:sz w:val="20"/>
          <w:szCs w:val="20"/>
          <w:rtl/>
        </w:rPr>
        <w:t xml:space="preserve">, שם מובא בשם רבנו </w:t>
      </w:r>
      <w:proofErr w:type="spellStart"/>
      <w:r>
        <w:rPr>
          <w:sz w:val="20"/>
          <w:szCs w:val="20"/>
          <w:rtl/>
        </w:rPr>
        <w:t>ש“באותם</w:t>
      </w:r>
      <w:proofErr w:type="spellEnd"/>
      <w:r>
        <w:rPr>
          <w:sz w:val="20"/>
          <w:szCs w:val="20"/>
          <w:rtl/>
        </w:rPr>
        <w:t xml:space="preserve"> ימים היה מעמדו של ראש ישיבה נמוך ממעמדו של רב”. ניסיון להביא את “האריות” האלה לידיעת הציבור נעשה לאחרונה עם פרסום שני הכרכים “רבותינו שבגולה” (הוצאת </w:t>
      </w:r>
      <w:proofErr w:type="spellStart"/>
      <w:r>
        <w:rPr>
          <w:sz w:val="20"/>
          <w:szCs w:val="20"/>
          <w:rtl/>
        </w:rPr>
        <w:t>נחליאל</w:t>
      </w:r>
      <w:proofErr w:type="spellEnd"/>
      <w:r>
        <w:rPr>
          <w:sz w:val="20"/>
          <w:szCs w:val="20"/>
          <w:rtl/>
        </w:rPr>
        <w:t xml:space="preserve">, ירושלים, תשנ״ו, תשנ״ח), המביאים ביוגרפיות תמציתיות של 57 רבנים ליטאים גדולים שחיו משנת ת״ר ואילך. בהקדמה לכרך הראשון כותבים העורכים: “הגאונים הגדולים המפורסמים מאוד לא נכללו בסדרה, מפני שמטרתה למלא חלל, לא לחזור על דברים ולא לשמש אנציקלופדיה.” את הרעיון להדפיס מפות בצדה הפנימי של הכריכה במהדורה בכריכה קשה של ספר זה אימצתי </w:t>
      </w:r>
      <w:proofErr w:type="spellStart"/>
      <w:r>
        <w:rPr>
          <w:sz w:val="20"/>
          <w:szCs w:val="20"/>
          <w:rtl/>
        </w:rPr>
        <w:t>מ“רבותינו</w:t>
      </w:r>
      <w:proofErr w:type="spellEnd"/>
      <w:r>
        <w:rPr>
          <w:sz w:val="20"/>
          <w:szCs w:val="20"/>
          <w:rtl/>
        </w:rPr>
        <w:t xml:space="preserve"> שבגולה”, </w:t>
      </w:r>
      <w:proofErr w:type="spellStart"/>
      <w:r>
        <w:rPr>
          <w:sz w:val="20"/>
          <w:szCs w:val="20"/>
          <w:rtl/>
        </w:rPr>
        <w:t>ח״ב</w:t>
      </w:r>
      <w:proofErr w:type="spellEnd"/>
      <w:r>
        <w:rPr>
          <w:sz w:val="20"/>
          <w:szCs w:val="20"/>
          <w:rtl/>
        </w:rPr>
        <w:t>.</w:t>
      </w:r>
    </w:p>
  </w:footnote>
  <w:footnote w:id="13">
    <w:p w14:paraId="6CF671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יבמות </w:t>
      </w:r>
      <w:proofErr w:type="spellStart"/>
      <w:r>
        <w:rPr>
          <w:sz w:val="20"/>
          <w:szCs w:val="20"/>
          <w:rtl/>
        </w:rPr>
        <w:t>צז</w:t>
      </w:r>
      <w:proofErr w:type="spellEnd"/>
      <w:r>
        <w:rPr>
          <w:sz w:val="20"/>
          <w:szCs w:val="20"/>
          <w:rtl/>
        </w:rPr>
        <w:t xml:space="preserve"> ע״א.</w:t>
      </w:r>
    </w:p>
  </w:footnote>
  <w:footnote w:id="14">
    <w:p w14:paraId="456CD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23 במרץ 1993.</w:t>
      </w:r>
    </w:p>
  </w:footnote>
  <w:footnote w:id="15">
    <w:p w14:paraId="7C331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“כתבי הסבא ותלמידיו מקלם” (בני ברק, תשנ״ב), </w:t>
      </w:r>
      <w:proofErr w:type="spellStart"/>
      <w:r>
        <w:rPr>
          <w:sz w:val="20"/>
          <w:szCs w:val="20"/>
          <w:rtl/>
        </w:rPr>
        <w:t>ח״ב</w:t>
      </w:r>
      <w:proofErr w:type="spellEnd"/>
      <w:r>
        <w:rPr>
          <w:sz w:val="20"/>
          <w:szCs w:val="20"/>
          <w:rtl/>
        </w:rPr>
        <w:t xml:space="preserve">, עמ׳ </w:t>
      </w:r>
      <w:proofErr w:type="spellStart"/>
      <w:r>
        <w:rPr>
          <w:sz w:val="20"/>
          <w:szCs w:val="20"/>
          <w:rtl/>
        </w:rPr>
        <w:t>תשסט</w:t>
      </w:r>
      <w:proofErr w:type="spellEnd"/>
      <w:r>
        <w:rPr>
          <w:sz w:val="20"/>
          <w:szCs w:val="20"/>
          <w:rtl/>
        </w:rPr>
        <w:t>–</w:t>
      </w:r>
      <w:proofErr w:type="spellStart"/>
      <w:r>
        <w:rPr>
          <w:sz w:val="20"/>
          <w:szCs w:val="20"/>
          <w:rtl/>
        </w:rPr>
        <w:t>תשעג</w:t>
      </w:r>
      <w:proofErr w:type="spellEnd"/>
      <w:r>
        <w:rPr>
          <w:sz w:val="20"/>
          <w:szCs w:val="20"/>
          <w:rtl/>
        </w:rPr>
        <w:t>.</w:t>
      </w:r>
    </w:p>
  </w:footnote>
  <w:footnote w:id="16">
    <w:p w14:paraId="505CE9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נה</w:t>
      </w:r>
      <w:proofErr w:type="spellEnd"/>
      <w:r>
        <w:rPr>
          <w:sz w:val="20"/>
          <w:szCs w:val="20"/>
          <w:rtl/>
        </w:rPr>
        <w:t xml:space="preserve"> ע״א ד״ה </w:t>
      </w:r>
      <w:proofErr w:type="spellStart"/>
      <w:r>
        <w:rPr>
          <w:sz w:val="20"/>
          <w:szCs w:val="20"/>
          <w:rtl/>
        </w:rPr>
        <w:t>סחרנין</w:t>
      </w:r>
      <w:proofErr w:type="spellEnd"/>
      <w:r>
        <w:rPr>
          <w:sz w:val="20"/>
          <w:szCs w:val="20"/>
          <w:rtl/>
        </w:rPr>
        <w:t>.</w:t>
      </w:r>
    </w:p>
  </w:footnote>
  <w:footnote w:id="17">
    <w:p w14:paraId="176C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16 בדצמבר 1987.</w:t>
      </w:r>
    </w:p>
  </w:footnote>
  <w:footnote w:id="18">
    <w:p w14:paraId="43DD4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פרק 3, </w:t>
      </w:r>
      <w:r>
        <w:rPr>
          <w:sz w:val="20"/>
          <w:szCs w:val="20"/>
          <w:rtl/>
        </w:rPr>
        <w:fldChar w:fldCharType="begin" w:dirty="true"/>
      </w:r>
      <w:r>
        <w:rPr>
          <w:sz w:val="20"/>
          <w:szCs w:val="20"/>
          <w:rtl/>
        </w:rPr>
        <w:instrText xml:space="preserve"> REF b3_excR \h \* CHARFORMAT </w:instrText>
      </w:r>
      <w:r>
        <w:rPr>
          <w:sz w:val="20"/>
          <w:szCs w:val="20"/>
          <w:rtl/>
        </w:rPr>
      </w:r>
      <w:r>
        <w:rPr>
          <w:sz w:val="20"/>
          <w:szCs w:val="20"/>
          <w:rtl/>
        </w:rPr>
        <w:fldChar w:fldCharType="separate"/>
      </w:r>
      <w:r w:rsidR="007923E9" w:rsidRPr="007923E9">
        <w:rPr>
          <w:sz w:val="20"/>
          <w:szCs w:val="20"/>
          <w:rtl/>
        </w:rPr>
        <w:t xml:space="preserve">נספח </w:t>
      </w:r>
      <w:proofErr w:type="spellStart"/>
      <w:r w:rsidR="007923E9" w:rsidRPr="007923E9">
        <w:rPr>
          <w:sz w:val="20"/>
          <w:szCs w:val="20"/>
          <w:rtl/>
        </w:rPr>
        <w:t>יח</w:t>
      </w:r>
      <w:proofErr w:type="spellEnd"/>
      <w:r>
        <w:rPr>
          <w:sz w:val="20"/>
          <w:szCs w:val="20"/>
          <w:rtl/>
        </w:rPr>
        <w:fldChar w:fldCharType="end"/>
      </w:r>
      <w:r>
        <w:rPr>
          <w:sz w:val="20"/>
          <w:szCs w:val="20"/>
          <w:rtl/>
        </w:rPr>
        <w:t>.</w:t>
      </w:r>
    </w:p>
  </w:footnote>
  <w:footnote w:id="19">
    <w:p w14:paraId="1A323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בסביבות 15 בנובמבר 1993.</w:t>
      </w:r>
    </w:p>
  </w:footnote>
  <w:footnote w:id="20">
    <w:p w14:paraId="13001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כרך 2, העתיד לצאת לאור.</w:t>
      </w:r>
    </w:p>
  </w:footnote>
  <w:footnote w:id="21">
    <w:p w14:paraId="05E76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המראיין, ר׳ </w:t>
      </w:r>
      <w:proofErr w:type="spellStart"/>
      <w:r>
        <w:rPr>
          <w:sz w:val="20"/>
          <w:szCs w:val="20"/>
          <w:rtl/>
        </w:rPr>
        <w:t>ידעאל</w:t>
      </w:r>
      <w:proofErr w:type="spellEnd"/>
      <w:r>
        <w:rPr>
          <w:sz w:val="20"/>
          <w:szCs w:val="20"/>
          <w:rtl/>
        </w:rPr>
        <w:t>, חיבר לימים את הספר “בדרך עץ החיים”, המכיל רבים מזיכרונותיו של אבי מאותו ריאיון.</w:t>
      </w:r>
    </w:p>
  </w:footnote>
  <w:footnote w:id="22">
    <w:p w14:paraId="198A1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ברכות </w:t>
      </w:r>
      <w:proofErr w:type="spellStart"/>
      <w:r>
        <w:rPr>
          <w:sz w:val="20"/>
          <w:szCs w:val="20"/>
          <w:rtl/>
        </w:rPr>
        <w:t>מב</w:t>
      </w:r>
      <w:proofErr w:type="spellEnd"/>
      <w:r>
        <w:rPr>
          <w:sz w:val="20"/>
          <w:szCs w:val="20"/>
          <w:rtl/>
        </w:rPr>
        <w:t xml:space="preserve"> ע״א.</w:t>
      </w:r>
    </w:p>
  </w:footnote>
  <w:footnote w:id="23">
    <w:p w14:paraId="614A47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פירוש רש״י שם על משמעות “תכף לתלמיד חכם”, והוא: “המקריבו אליו ומארחו בבית”.</w:t>
      </w:r>
    </w:p>
  </w:footnote>
  <w:footnote w:id="24">
    <w:p w14:paraId="79B4B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ברכות </w:t>
      </w:r>
      <w:proofErr w:type="spellStart"/>
      <w:r>
        <w:rPr>
          <w:sz w:val="20"/>
          <w:szCs w:val="20"/>
          <w:rtl/>
        </w:rPr>
        <w:t>מז</w:t>
      </w:r>
      <w:proofErr w:type="spellEnd"/>
      <w:r>
        <w:rPr>
          <w:sz w:val="20"/>
          <w:szCs w:val="20"/>
          <w:rtl/>
        </w:rPr>
        <w:t xml:space="preserve"> ע״ב.</w:t>
      </w:r>
    </w:p>
  </w:footnote>
  <w:footnote w:id="25">
    <w:p w14:paraId="24C130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שבת נו ע״א.</w:t>
      </w:r>
    </w:p>
  </w:footnote>
  <w:footnote w:id="26">
    <w:p w14:paraId="2273A0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ח״ב</w:t>
      </w:r>
      <w:proofErr w:type="spellEnd"/>
      <w:r>
        <w:rPr>
          <w:sz w:val="20"/>
          <w:szCs w:val="20"/>
          <w:rtl/>
        </w:rPr>
        <w:t xml:space="preserve"> </w:t>
      </w:r>
      <w:proofErr w:type="spellStart"/>
      <w:r>
        <w:rPr>
          <w:sz w:val="20"/>
          <w:szCs w:val="20"/>
          <w:rtl/>
        </w:rPr>
        <w:t>פמ״ה</w:t>
      </w:r>
      <w:proofErr w:type="spellEnd"/>
      <w:r>
        <w:rPr>
          <w:sz w:val="20"/>
          <w:szCs w:val="20"/>
          <w:rtl/>
        </w:rPr>
        <w:t>.</w:t>
      </w:r>
    </w:p>
  </w:footnote>
  <w:footnote w:id="27">
    <w:p w14:paraId="48D88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שופטים ו, לד ועוד.</w:t>
      </w:r>
    </w:p>
  </w:footnote>
  <w:footnote w:id="28">
    <w:p w14:paraId="36A8D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בדצמבר 1994.</w:t>
      </w:r>
    </w:p>
  </w:footnote>
  <w:footnote w:id="29">
    <w:p w14:paraId="075D81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ראה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עמ׳ 371–372, </w:t>
      </w:r>
      <w:proofErr w:type="spellStart"/>
      <w:r>
        <w:rPr>
          <w:sz w:val="20"/>
          <w:szCs w:val="20"/>
          <w:rtl/>
        </w:rPr>
        <w:t>ו“רבי</w:t>
      </w:r>
      <w:proofErr w:type="spellEnd"/>
      <w:r>
        <w:rPr>
          <w:sz w:val="20"/>
          <w:szCs w:val="20"/>
          <w:rtl/>
        </w:rPr>
        <w:t xml:space="preserve"> יעקב”, עמ׳ 457–458.</w:t>
      </w:r>
    </w:p>
  </w:footnote>
  <w:footnote w:id="30">
    <w:p w14:paraId="2933A2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ויקרא רבה </w:t>
      </w:r>
      <w:proofErr w:type="spellStart"/>
      <w:r>
        <w:rPr>
          <w:sz w:val="20"/>
          <w:szCs w:val="20"/>
          <w:rtl/>
        </w:rPr>
        <w:t>כב:ב</w:t>
      </w:r>
      <w:proofErr w:type="spellEnd"/>
      <w:r>
        <w:rPr>
          <w:sz w:val="20"/>
          <w:szCs w:val="20"/>
          <w:rtl/>
        </w:rPr>
        <w:t>.</w:t>
      </w:r>
    </w:p>
  </w:footnote>
  <w:footnote w:id="31">
    <w:p w14:paraId="3CFF4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ה:ט.</w:t>
      </w:r>
    </w:p>
  </w:footnote>
  <w:footnote w:id="32">
    <w:p w14:paraId="277D1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בהקדמה </w:t>
      </w:r>
      <w:proofErr w:type="spellStart"/>
      <w:r>
        <w:rPr>
          <w:sz w:val="20"/>
          <w:szCs w:val="20"/>
          <w:rtl/>
        </w:rPr>
        <w:t>ל“פלא</w:t>
      </w:r>
      <w:proofErr w:type="spellEnd"/>
      <w:r>
        <w:rPr>
          <w:sz w:val="20"/>
          <w:szCs w:val="20"/>
          <w:rtl/>
        </w:rPr>
        <w:t xml:space="preserve"> יועץ” (הוצאת בן יעקב, בלא ציון מקום ושנה) מביא המחבר, רבי אליעזר </w:t>
      </w:r>
      <w:proofErr w:type="spellStart"/>
      <w:r>
        <w:rPr>
          <w:sz w:val="20"/>
          <w:szCs w:val="20"/>
          <w:rtl/>
        </w:rPr>
        <w:t>פאפו</w:t>
      </w:r>
      <w:proofErr w:type="spellEnd"/>
      <w:r>
        <w:rPr>
          <w:sz w:val="20"/>
          <w:szCs w:val="20"/>
          <w:rtl/>
        </w:rPr>
        <w:t xml:space="preserve">, מדרש זה ומכריז: “על כן בחרתי אני </w:t>
      </w:r>
      <w:proofErr w:type="spellStart"/>
      <w:r>
        <w:rPr>
          <w:sz w:val="20"/>
          <w:szCs w:val="20"/>
          <w:rtl/>
        </w:rPr>
        <w:t>במצוה</w:t>
      </w:r>
      <w:proofErr w:type="spellEnd"/>
      <w:r>
        <w:rPr>
          <w:sz w:val="20"/>
          <w:szCs w:val="20"/>
          <w:rtl/>
        </w:rPr>
        <w:t xml:space="preserve"> זו לזכות את הרבים” (המצווה – כתיבת ספר זה, שיוערך לדורות הבאים).</w:t>
      </w:r>
    </w:p>
  </w:footnote>
  <w:footnote w:id="33">
    <w:p w14:paraId="054E2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19 במרץ 1994.</w:t>
      </w:r>
    </w:p>
  </w:footnote>
  <w:footnote w:id="34">
    <w:p w14:paraId="22D1D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מגילה ט״ז ע״א, אמר רבי יוחנן כל האומר דבר חכמה אפי׳ </w:t>
      </w:r>
      <w:proofErr w:type="spellStart"/>
      <w:r>
        <w:rPr>
          <w:sz w:val="20"/>
          <w:szCs w:val="20"/>
          <w:rtl/>
        </w:rPr>
        <w:t>באוה״ע</w:t>
      </w:r>
      <w:proofErr w:type="spellEnd"/>
      <w:r>
        <w:rPr>
          <w:sz w:val="20"/>
          <w:szCs w:val="20"/>
          <w:rtl/>
        </w:rPr>
        <w:t xml:space="preserve"> נקרא חכם.</w:t>
      </w:r>
    </w:p>
  </w:footnote>
  <w:footnote w:id="35">
    <w:p w14:paraId="66663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תחילת הקדמתו למסכת אבות.</w:t>
      </w:r>
    </w:p>
  </w:footnote>
  <w:footnote w:id="36">
    <w:p w14:paraId="7A31F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ועיין שדי חמד, מערכת האל״ף כללים אות ס״ד, שרבה של העיר שאוויל, ר׳ </w:t>
      </w:r>
      <w:proofErr w:type="spellStart"/>
      <w:r>
        <w:rPr>
          <w:sz w:val="20"/>
          <w:szCs w:val="20"/>
          <w:rtl/>
        </w:rPr>
        <w:t>יהוסף</w:t>
      </w:r>
      <w:proofErr w:type="spellEnd"/>
      <w:r>
        <w:rPr>
          <w:sz w:val="20"/>
          <w:szCs w:val="20"/>
          <w:rtl/>
        </w:rPr>
        <w:t xml:space="preserve"> זכריה שטרן, בעל שו״ת זכר </w:t>
      </w:r>
      <w:proofErr w:type="spellStart"/>
      <w:r>
        <w:rPr>
          <w:sz w:val="20"/>
          <w:szCs w:val="20"/>
          <w:rtl/>
        </w:rPr>
        <w:t>יהוסף</w:t>
      </w:r>
      <w:proofErr w:type="spellEnd"/>
      <w:r>
        <w:rPr>
          <w:sz w:val="20"/>
          <w:szCs w:val="20"/>
          <w:rtl/>
        </w:rPr>
        <w:t xml:space="preserve">, כתב שהאיסור לומר שמועה מפי אדם רשע שהובא </w:t>
      </w:r>
      <w:proofErr w:type="spellStart"/>
      <w:r>
        <w:rPr>
          <w:sz w:val="20"/>
          <w:szCs w:val="20"/>
          <w:rtl/>
        </w:rPr>
        <w:t>בשו״ת</w:t>
      </w:r>
      <w:proofErr w:type="spellEnd"/>
      <w:r>
        <w:rPr>
          <w:sz w:val="20"/>
          <w:szCs w:val="20"/>
          <w:rtl/>
        </w:rPr>
        <w:t xml:space="preserve"> </w:t>
      </w:r>
      <w:proofErr w:type="spellStart"/>
      <w:r>
        <w:rPr>
          <w:sz w:val="20"/>
          <w:szCs w:val="20"/>
          <w:rtl/>
        </w:rPr>
        <w:t>הרדב״ז</w:t>
      </w:r>
      <w:proofErr w:type="spellEnd"/>
      <w:r>
        <w:rPr>
          <w:sz w:val="20"/>
          <w:szCs w:val="20"/>
          <w:rtl/>
        </w:rPr>
        <w:t xml:space="preserve"> עיקרו הוא מפיהם ולא מפי כתבם עיי״ש. (</w:t>
      </w:r>
      <w:proofErr w:type="spellStart"/>
      <w:r>
        <w:rPr>
          <w:sz w:val="20"/>
          <w:szCs w:val="20"/>
          <w:rtl/>
        </w:rPr>
        <w:t>ובענין</w:t>
      </w:r>
      <w:proofErr w:type="spellEnd"/>
      <w:r>
        <w:rPr>
          <w:sz w:val="20"/>
          <w:szCs w:val="20"/>
          <w:rtl/>
        </w:rPr>
        <w:t xml:space="preserve"> זה ע׳ בתנועת המוסר, כרך ראשון, עמ׳ רפא–</w:t>
      </w:r>
      <w:proofErr w:type="spellStart"/>
      <w:r>
        <w:rPr>
          <w:sz w:val="20"/>
          <w:szCs w:val="20"/>
          <w:rtl/>
        </w:rPr>
        <w:t>רפב</w:t>
      </w:r>
      <w:proofErr w:type="spellEnd"/>
      <w:r>
        <w:rPr>
          <w:sz w:val="20"/>
          <w:szCs w:val="20"/>
          <w:rtl/>
        </w:rPr>
        <w:t xml:space="preserve"> ובהערות י״ב וט״ו שם, שבשנת תר״ה הדפיס ר׳ ישראל </w:t>
      </w:r>
      <w:proofErr w:type="spellStart"/>
      <w:r>
        <w:rPr>
          <w:sz w:val="20"/>
          <w:szCs w:val="20"/>
          <w:rtl/>
        </w:rPr>
        <w:t>סלנטר</w:t>
      </w:r>
      <w:proofErr w:type="spellEnd"/>
      <w:r>
        <w:rPr>
          <w:sz w:val="20"/>
          <w:szCs w:val="20"/>
          <w:rtl/>
        </w:rPr>
        <w:t xml:space="preserve"> ספר לתיקון המידות שחובר ע״י הנוכרי בנג׳מין פרנקלין [ותורגם לעברית ע״י מנדל לפין </w:t>
      </w:r>
      <w:proofErr w:type="spellStart"/>
      <w:r>
        <w:rPr>
          <w:sz w:val="20"/>
          <w:szCs w:val="20"/>
          <w:rtl/>
        </w:rPr>
        <w:t>מסטנוב</w:t>
      </w:r>
      <w:proofErr w:type="spellEnd"/>
      <w:r>
        <w:rPr>
          <w:sz w:val="20"/>
          <w:szCs w:val="20"/>
          <w:rtl/>
        </w:rPr>
        <w:t xml:space="preserve">]. ספר זה שימש גם כספר לימוד והדרכה בישיבות המוסריות בליטא ונדפס שם בפעם האחרונה ע״י הסתדרות תלמידי </w:t>
      </w:r>
      <w:proofErr w:type="spellStart"/>
      <w:r>
        <w:rPr>
          <w:sz w:val="20"/>
          <w:szCs w:val="20"/>
          <w:rtl/>
        </w:rPr>
        <w:t>סלבודקה</w:t>
      </w:r>
      <w:proofErr w:type="spellEnd"/>
      <w:r>
        <w:rPr>
          <w:sz w:val="20"/>
          <w:szCs w:val="20"/>
          <w:rtl/>
        </w:rPr>
        <w:t xml:space="preserve"> בשנת תרצ״ז.)</w:t>
      </w:r>
    </w:p>
  </w:footnote>
  <w:footnote w:id="37">
    <w:p w14:paraId="69F8E1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בערך 18 בנובמבר 1993.</w:t>
      </w:r>
    </w:p>
  </w:footnote>
  <w:footnote w:id="38">
    <w:p w14:paraId="0C000E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הוצאת “ארזי החן”, תשמ״ו – עמ׳ 272.</w:t>
      </w:r>
    </w:p>
  </w:footnote>
  <w:footnote w:id="39">
    <w:p w14:paraId="793ED0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ניו יורק, 1999), כרך א, עמ׳ 178–179, לסיפור דומה על ר׳ יוסף־דב </w:t>
      </w:r>
      <w:proofErr w:type="spellStart"/>
      <w:r>
        <w:rPr>
          <w:sz w:val="20"/>
          <w:szCs w:val="20"/>
          <w:rtl/>
        </w:rPr>
        <w:t>מבריסק</w:t>
      </w:r>
      <w:proofErr w:type="spellEnd"/>
      <w:r>
        <w:rPr>
          <w:sz w:val="20"/>
          <w:szCs w:val="20"/>
          <w:rtl/>
        </w:rPr>
        <w:t xml:space="preserve">, שמסר ר׳ </w:t>
      </w:r>
      <w:proofErr w:type="spellStart"/>
      <w:r>
        <w:rPr>
          <w:sz w:val="20"/>
          <w:szCs w:val="20"/>
          <w:rtl/>
        </w:rPr>
        <w:t>לוי־יצחק</w:t>
      </w:r>
      <w:proofErr w:type="spellEnd"/>
      <w:r>
        <w:rPr>
          <w:sz w:val="20"/>
          <w:szCs w:val="20"/>
          <w:rtl/>
        </w:rPr>
        <w:t xml:space="preserve"> הורוביץ. את אותה נקודה העלה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עם כמה מחנכים תורניים, בוגרי ישיבת רבנו ישראל מאיר הכהן. הוא ציין את הדגש המיוחד ששמה ישיבת </w:t>
      </w:r>
      <w:proofErr w:type="spellStart"/>
      <w:r>
        <w:rPr>
          <w:sz w:val="20"/>
          <w:szCs w:val="20"/>
          <w:rtl/>
        </w:rPr>
        <w:t>סלבודקה</w:t>
      </w:r>
      <w:proofErr w:type="spellEnd"/>
      <w:r>
        <w:rPr>
          <w:sz w:val="20"/>
          <w:szCs w:val="20"/>
          <w:rtl/>
        </w:rPr>
        <w:t xml:space="preserve"> על היחסים שבין אדם לחברו וסיפר את הסיפור הבא. (ניכר היה מנימת קולו שלא היה בטוח אם לספר את הסיפור למראייניו – אבל סיפר.) בשנות </w:t>
      </w:r>
      <w:proofErr w:type="spellStart"/>
      <w:r>
        <w:rPr>
          <w:sz w:val="20"/>
          <w:szCs w:val="20"/>
          <w:rtl/>
        </w:rPr>
        <w:t xml:space="preserve">התר״צ</w:t>
      </w:r>
      <w:proofErr w:type="spellEnd"/>
      <w:r>
        <w:rPr>
          <w:sz w:val="20"/>
          <w:szCs w:val="20"/>
          <w:rtl/>
        </w:rPr>
        <w:t xml:space="preserve"> הוזמן פעם לשבות בביתו של רבה של אליזבת, ניו ג׳רזי. לפני כניסת השבת לקח אותו הרב הצידה לשיחה חשאית. הוא אמר לאורחו שיש לו כמה בנות הסועדות בשולחן השבת ונהנות מן השבת בשירת הזמירות יחד עמו. (בנקודה זו של הסיפור העיר הרב </w:t>
      </w:r>
      <w:proofErr w:type="spellStart"/>
      <w:r>
        <w:rPr>
          <w:sz w:val="20"/>
          <w:szCs w:val="20"/>
          <w:rtl/>
        </w:rPr>
        <w:t>רודרמן</w:t>
      </w:r>
      <w:proofErr w:type="spellEnd"/>
      <w:r>
        <w:rPr>
          <w:sz w:val="20"/>
          <w:szCs w:val="20"/>
          <w:rtl/>
        </w:rPr>
        <w:t xml:space="preserve"> שלא היו אז בתי ספר של בית יעקב באמריקה – לומר שבוגרות בית יעקב היו יודעות שאין לנהוג כך.) הרב סיפר לו שר׳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התארח בביתו זמן מה קודם לכן, וכשהתחילו הבנות לשיר, קם ויצא בריצה מן החדר – והעכיר על הבנות את השבת והשפיל את אביהן. אז שאל המארח אם הרב </w:t>
      </w:r>
      <w:proofErr w:type="spellStart"/>
      <w:r>
        <w:rPr>
          <w:sz w:val="20"/>
          <w:szCs w:val="20"/>
          <w:rtl/>
        </w:rPr>
        <w:t>רודרמן</w:t>
      </w:r>
      <w:proofErr w:type="spellEnd"/>
      <w:r>
        <w:rPr>
          <w:sz w:val="20"/>
          <w:szCs w:val="20"/>
          <w:rtl/>
        </w:rPr>
        <w:t xml:space="preserve"> ינהג כמותו. האורח השיב שעם הרקע </w:t>
      </w:r>
      <w:proofErr w:type="spellStart"/>
      <w:r>
        <w:rPr>
          <w:sz w:val="20"/>
          <w:szCs w:val="20"/>
          <w:rtl/>
        </w:rPr>
        <w:t>הסלבודקאי</w:t>
      </w:r>
      <w:proofErr w:type="spellEnd"/>
      <w:r>
        <w:rPr>
          <w:sz w:val="20"/>
          <w:szCs w:val="20"/>
          <w:rtl/>
        </w:rPr>
        <w:t xml:space="preserve"> שלו לא יהרוס את רוח השבת של המשפחה ולא יבייש את מארחו; הוא יישאר יושב ולא יאזין לבנות. “</w:t>
      </w:r>
      <w:proofErr w:type="spellStart"/>
      <w:r>
        <w:rPr>
          <w:sz w:val="20"/>
          <w:szCs w:val="20"/>
          <w:rtl/>
        </w:rPr>
        <w:t>הפרומקייט</w:t>
      </w:r>
      <w:proofErr w:type="spellEnd"/>
      <w:r>
        <w:rPr>
          <w:sz w:val="20"/>
          <w:szCs w:val="20"/>
          <w:rtl/>
        </w:rPr>
        <w:t xml:space="preserve"> שלי אינה צריכה לפגוע באחרים”, סיכם. ראה גם פרק 1, סוף נספח ו; פרק 3, הפסקה השנייה של נספח </w:t>
      </w:r>
      <w:proofErr w:type="spellStart"/>
      <w:r>
        <w:rPr>
          <w:sz w:val="20"/>
          <w:szCs w:val="20"/>
          <w:rtl/>
        </w:rPr>
        <w:t>כו</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_fnr2624 \h </w:instrText>
      </w:r>
      <w:r>
        <w:rPr>
          <w:sz w:val="20"/>
          <w:szCs w:val="20"/>
          <w:rtl/>
        </w:rPr>
      </w:r>
      <w:r>
        <w:rPr>
          <w:sz w:val="20"/>
          <w:szCs w:val="20"/>
          <w:rtl/>
        </w:rPr>
        <w:fldChar w:fldCharType="separate"/>
      </w:r>
      <w:r w:rsidR="007923E9">
        <w:rPr>
          <w:sz w:val="20"/>
          <w:szCs w:val="20"/>
          <w:rtl/>
        </w:rPr>
        <w:t>1571</w:t>
      </w:r>
      <w:r>
        <w:rPr>
          <w:sz w:val="20"/>
          <w:szCs w:val="20"/>
          <w:rtl/>
        </w:rPr>
        <w:fldChar w:fldCharType="end"/>
      </w:r>
      <w:r>
        <w:rPr>
          <w:sz w:val="20"/>
          <w:szCs w:val="20"/>
          <w:rtl/>
        </w:rPr>
        <w:t xml:space="preserve"> בפרק 3, נספח </w:t>
      </w:r>
      <w:proofErr w:type="spellStart"/>
      <w:r>
        <w:rPr>
          <w:sz w:val="20"/>
          <w:szCs w:val="20"/>
          <w:rtl/>
        </w:rPr>
        <w:t>כו</w:t>
      </w:r>
      <w:proofErr w:type="spellEnd"/>
      <w:r>
        <w:rPr>
          <w:sz w:val="20"/>
          <w:szCs w:val="20"/>
          <w:rtl/>
        </w:rPr>
        <w:t>.</w:t>
      </w:r>
    </w:p>
  </w:footnote>
  <w:footnote w:id="40">
    <w:p w14:paraId="79C10D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הוצאת חי״ל, ניו יורק</w:t>
      </w:r>
      <w:proofErr w:type="spellStart"/>
      <w:r>
        <w:rPr>
          <w:sz w:val="20"/>
          <w:szCs w:val="20"/>
          <w:rtl/>
        </w:rPr>
        <w:t xml:space="preserve"/>
      </w:r>
      <w:proofErr w:type="spellEnd"/>
      <w:r>
        <w:rPr>
          <w:sz w:val="20"/>
          <w:szCs w:val="20"/>
          <w:rtl/>
        </w:rPr>
        <w:t>, תשי״ד – עמ׳ 14.</w:t>
      </w:r>
    </w:p>
  </w:footnote>
  <w:footnote w:id="41">
    <w:p w14:paraId="7E25E1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“תנועת המוסר”, כרך ראשון (מהדורה שישית, ירושלים, תשמ״ב), עמ׳ 300–310, מס׳ 7.21. ראה גם שם, עמ׳ 346, ושם מובאת דוגמה לכך שר׳ ישראל נהג לפי כלל זה בכתביו.</w:t>
      </w:r>
    </w:p>
  </w:footnote>
  <w:footnote w:id="42">
    <w:p w14:paraId="0E39C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ח״א – עמ׳ 2.</w:t>
      </w:r>
    </w:p>
  </w:footnote>
  <w:footnote w:id="43">
    <w:p w14:paraId="59239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ט:ו.</w:t>
      </w:r>
    </w:p>
  </w:footnote>
  <w:footnote w:id="44">
    <w:p w14:paraId="44B32A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הוריות י״ד.</w:t>
      </w:r>
    </w:p>
  </w:footnote>
  <w:footnote w:id="45">
    <w:p w14:paraId="286B3D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ראה הערה 1 בהערות לפתיחה של ספר זה.</w:t>
      </w:r>
    </w:p>
  </w:footnote>
  <w:footnote w:id="46">
    <w:p w14:paraId="35166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ועיין ברש״י בראשית (</w:t>
      </w:r>
      <w:proofErr w:type="spellStart"/>
      <w:r>
        <w:rPr>
          <w:sz w:val="20"/>
          <w:szCs w:val="20"/>
          <w:rtl/>
        </w:rPr>
        <w:t>מז:כט</w:t>
      </w:r>
      <w:proofErr w:type="spellEnd"/>
      <w:r>
        <w:rPr>
          <w:sz w:val="20"/>
          <w:szCs w:val="20"/>
          <w:rtl/>
        </w:rPr>
        <w:t>) ובמדרש רבה (</w:t>
      </w:r>
      <w:proofErr w:type="spellStart"/>
      <w:r>
        <w:rPr>
          <w:sz w:val="20"/>
          <w:szCs w:val="20"/>
          <w:rtl/>
        </w:rPr>
        <w:t>צו:ה</w:t>
      </w:r>
      <w:proofErr w:type="spellEnd"/>
      <w:r>
        <w:rPr>
          <w:sz w:val="20"/>
          <w:szCs w:val="20"/>
          <w:rtl/>
        </w:rPr>
        <w:t>) שיעקב אבינו ביקש שלא יעשו אותו ע״ז.</w:t>
      </w:r>
    </w:p>
  </w:footnote>
  <w:footnote w:id="47">
    <w:p w14:paraId="37C6D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לייקווד</w:t>
      </w:r>
      <w:proofErr w:type="spellEnd"/>
      <w:r>
        <w:rPr>
          <w:sz w:val="20"/>
          <w:szCs w:val="20"/>
          <w:rtl/>
        </w:rPr>
        <w:t>, 1988 – עמ׳ 233–234.</w:t>
      </w:r>
    </w:p>
  </w:footnote>
  <w:footnote w:id="48">
    <w:p w14:paraId="6265D2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הוא עקבי כשהוא קובע בפסקה קודמת במאמרו: “רק נביא שנצטווה בייעודו האלוהי יש בכוחו לדווח על ההיסטוריה כפי שאירעה באמת, ללא משוא פנים וללא דעה קדומה”; ומכאן שהוא ממליץ שכתיבת </w:t>
      </w:r>
      <w:proofErr w:type="spellStart"/>
      <w:r>
        <w:rPr>
          <w:sz w:val="20"/>
          <w:szCs w:val="20"/>
          <w:rtl/>
        </w:rPr>
        <w:t>ה“היסטוריה</w:t>
      </w:r>
      <w:proofErr w:type="spellEnd"/>
      <w:r>
        <w:rPr>
          <w:sz w:val="20"/>
          <w:szCs w:val="20"/>
          <w:rtl/>
        </w:rPr>
        <w:t xml:space="preserve">” </w:t>
      </w:r>
      <w:proofErr w:type="spellStart"/>
      <w:r>
        <w:rPr>
          <w:sz w:val="20"/>
          <w:szCs w:val="20"/>
          <w:rtl/>
        </w:rPr>
        <w:t>הלא־נבואית</w:t>
      </w:r>
      <w:proofErr w:type="spellEnd"/>
      <w:r>
        <w:rPr>
          <w:sz w:val="20"/>
          <w:szCs w:val="20"/>
          <w:rtl/>
        </w:rPr>
        <w:t xml:space="preserve"> שלנו תהיה בעלת משוא פנים ודעה קדומה.</w:t>
      </w:r>
    </w:p>
  </w:footnote>
  <w:footnote w:id="49">
    <w:p w14:paraId="773FC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14 בינואר 1988.</w:t>
      </w:r>
    </w:p>
  </w:footnote>
  <w:footnote w:id="50">
    <w:p w14:paraId="642425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בכך דחה את השערתם של כמה היסטוריונים יהודים, שחכמי התלמוד המציאו את סיפור המרד הכושל של שבט אפרים בגלות מצרים כדי להניא מן המרד ברומאים בימיהם שלהם. ראה “כתבים נבחרים” מאת הרב יהושע יוסף </w:t>
      </w:r>
      <w:proofErr w:type="spellStart"/>
      <w:r>
        <w:rPr>
          <w:sz w:val="20"/>
          <w:szCs w:val="20"/>
          <w:rtl/>
        </w:rPr>
        <w:t>פרייל</w:t>
      </w:r>
      <w:proofErr w:type="spellEnd"/>
      <w:r>
        <w:rPr>
          <w:sz w:val="20"/>
          <w:szCs w:val="20"/>
          <w:rtl/>
        </w:rPr>
        <w:t xml:space="preserve"> (ניו יורק</w:t>
      </w:r>
      <w:proofErr w:type="spellStart"/>
      <w:r>
        <w:rPr>
          <w:sz w:val="20"/>
          <w:szCs w:val="20"/>
          <w:rtl/>
        </w:rPr>
        <w:t xml:space="preserve"/>
      </w:r>
      <w:proofErr w:type="spellEnd"/>
      <w:r>
        <w:rPr>
          <w:sz w:val="20"/>
          <w:szCs w:val="20"/>
          <w:rtl/>
        </w:rPr>
        <w:t>, תרפ״ד), עמ׳ 248.</w:t>
      </w:r>
    </w:p>
  </w:footnote>
  <w:footnote w:id="51">
    <w:p w14:paraId="59C27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26 בנובמבר 1997.</w:t>
      </w:r>
    </w:p>
  </w:footnote>
  <w:footnote w:id="52">
    <w:p w14:paraId="13912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w:t>
      </w:r>
      <w:proofErr w:type="spellStart"/>
      <w:r>
        <w:rPr>
          <w:sz w:val="20"/>
          <w:szCs w:val="20"/>
          <w:rtl/>
        </w:rPr>
        <w:t>דויטש</w:t>
      </w:r>
      <w:proofErr w:type="spellEnd"/>
      <w:r>
        <w:rPr>
          <w:sz w:val="20"/>
          <w:szCs w:val="20"/>
          <w:rtl/>
        </w:rPr>
        <w:t xml:space="preserve"> הביא דוגמה נוקבת לכך שהרבי עצמו נהג לפי כלל זה, כשמימן את הוצאת ספר הזיכרון לעיר </w:t>
      </w:r>
      <w:proofErr w:type="spellStart"/>
      <w:r>
        <w:rPr>
          <w:sz w:val="20"/>
          <w:szCs w:val="20"/>
          <w:rtl/>
        </w:rPr>
        <w:t>יקטרינוסלב־דנייפרופטרובסק</w:t>
      </w:r>
      <w:proofErr w:type="spellEnd"/>
      <w:r>
        <w:rPr>
          <w:sz w:val="20"/>
          <w:szCs w:val="20"/>
          <w:rtl/>
        </w:rPr>
        <w:t xml:space="preserve">, שבה כיהן אביו כרב – אף על פי שהספר מגלה שאחד מאחיו של הרבי, “הצעיר, </w:t>
      </w:r>
      <w:proofErr w:type="spellStart"/>
      <w:r>
        <w:rPr>
          <w:sz w:val="20"/>
          <w:szCs w:val="20"/>
          <w:rtl/>
        </w:rPr>
        <w:t>ישראל־אריה־לייב</w:t>
      </w:r>
      <w:proofErr w:type="spellEnd"/>
      <w:r>
        <w:rPr>
          <w:sz w:val="20"/>
          <w:szCs w:val="20"/>
          <w:rtl/>
        </w:rPr>
        <w:t xml:space="preserve">, עילוי, נסחף להשכלה, למרקסיזם </w:t>
      </w:r>
      <w:proofErr w:type="spellStart"/>
      <w:r>
        <w:rPr>
          <w:sz w:val="20"/>
          <w:szCs w:val="20"/>
          <w:rtl/>
        </w:rPr>
        <w:t>ולטרוצקיזם</w:t>
      </w:r>
      <w:proofErr w:type="spellEnd"/>
      <w:r>
        <w:rPr>
          <w:sz w:val="20"/>
          <w:szCs w:val="20"/>
          <w:rtl/>
        </w:rPr>
        <w:t xml:space="preserve">, ואחר כך עבר לארץ ישראל כשהוא רחוק מתורה ומחב״ד”, והאח השני, </w:t>
      </w:r>
      <w:proofErr w:type="spellStart"/>
      <w:r>
        <w:rPr>
          <w:sz w:val="20"/>
          <w:szCs w:val="20"/>
          <w:rtl/>
        </w:rPr>
        <w:t>דובער</w:t>
      </w:r>
      <w:proofErr w:type="spellEnd"/>
      <w:r>
        <w:rPr>
          <w:sz w:val="20"/>
          <w:szCs w:val="20"/>
          <w:rtl/>
        </w:rPr>
        <w:t xml:space="preserve">, אושפז בבית חולים לחולי נפש “ומת רווק בדיכאונו בקזחסטן” – ראה “ספר </w:t>
      </w:r>
      <w:proofErr w:type="spellStart"/>
      <w:r>
        <w:rPr>
          <w:sz w:val="20"/>
          <w:szCs w:val="20"/>
          <w:rtl/>
        </w:rPr>
        <w:t>יקאטרינוסלב־דנפרופטרובסק</w:t>
      </w:r>
      <w:proofErr w:type="spellEnd"/>
      <w:r>
        <w:rPr>
          <w:sz w:val="20"/>
          <w:szCs w:val="20"/>
          <w:rtl/>
        </w:rPr>
        <w:t xml:space="preserve">” (הוצאת יוצאי </w:t>
      </w:r>
      <w:proofErr w:type="spellStart"/>
      <w:r>
        <w:rPr>
          <w:sz w:val="20"/>
          <w:szCs w:val="20"/>
          <w:rtl/>
        </w:rPr>
        <w:t>יקאטרינוסלב־דנפרופטרובסק</w:t>
      </w:r>
      <w:proofErr w:type="spellEnd"/>
      <w:r>
        <w:rPr>
          <w:sz w:val="20"/>
          <w:szCs w:val="20"/>
          <w:rtl/>
        </w:rPr>
        <w:t xml:space="preserve"> בישראל, ירושלים </w:t>
      </w:r>
      <w:proofErr w:type="spellStart"/>
      <w:r>
        <w:rPr>
          <w:sz w:val="20"/>
          <w:szCs w:val="20"/>
          <w:rtl/>
        </w:rPr>
        <w:t>תל־אביב</w:t>
      </w:r>
      <w:proofErr w:type="spellEnd"/>
      <w:r>
        <w:rPr>
          <w:sz w:val="20"/>
          <w:szCs w:val="20"/>
          <w:rtl/>
        </w:rPr>
        <w:t>, תשל״ג), עמ׳ 119, במאמר מאת העורך, הרב ד״ר צבי הרכבי, ששמו “שלשה רבנים”.</w:t>
      </w:r>
    </w:p>
  </w:footnote>
  <w:footnote w:id="53">
    <w:p w14:paraId="43E69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יצא לאור בירושלים, תשל״ב – עמ׳ 19–20 והערה 5.</w:t>
      </w:r>
    </w:p>
  </w:footnote>
  <w:footnote w:id="54">
    <w:p w14:paraId="0186DB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הרב ויינברג כתב לו: “לפי דעתי היה על </w:t>
      </w:r>
      <w:proofErr w:type="spellStart"/>
      <w:r>
        <w:rPr>
          <w:sz w:val="20"/>
          <w:szCs w:val="20"/>
          <w:rtl/>
        </w:rPr>
        <w:t>כת״ר</w:t>
      </w:r>
      <w:proofErr w:type="spellEnd"/>
      <w:r>
        <w:rPr>
          <w:sz w:val="20"/>
          <w:szCs w:val="20"/>
          <w:rtl/>
        </w:rPr>
        <w:t xml:space="preserve"> לתאר גם את מחלוקת המוסר וטענות מתנגדיו, שכן ראוי לסופר היסטוריון שלא להעלים את הצד השני, דעותיו והשקפותיו”.</w:t>
      </w:r>
    </w:p>
  </w:footnote>
  <w:footnote w:id="55">
    <w:p w14:paraId="2DB1BC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קהלת ז, כ; ובתפלתו במלכים א ח, מו: “כי אין אדם אשר לא יחטא”.</w:t>
      </w:r>
    </w:p>
  </w:footnote>
  <w:footnote w:id="56">
    <w:p w14:paraId="16916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סנהדרין מו ע״ב. השווה גם קהלת רבה שם, החולק על אותה גמרא, והשווה </w:t>
      </w:r>
      <w:proofErr w:type="spellStart"/>
      <w:r>
        <w:rPr>
          <w:sz w:val="20"/>
          <w:szCs w:val="20"/>
          <w:rtl/>
        </w:rPr>
        <w:t>תוד״ה</w:t>
      </w:r>
      <w:proofErr w:type="spellEnd"/>
      <w:r>
        <w:rPr>
          <w:sz w:val="20"/>
          <w:szCs w:val="20"/>
          <w:rtl/>
        </w:rPr>
        <w:t xml:space="preserve"> ארבעה, שבת </w:t>
      </w:r>
      <w:proofErr w:type="spellStart"/>
      <w:r>
        <w:rPr>
          <w:sz w:val="20"/>
          <w:szCs w:val="20"/>
          <w:rtl/>
        </w:rPr>
        <w:t>נה</w:t>
      </w:r>
      <w:proofErr w:type="spellEnd"/>
      <w:r>
        <w:rPr>
          <w:sz w:val="20"/>
          <w:szCs w:val="20"/>
          <w:rtl/>
        </w:rPr>
        <w:t xml:space="preserve"> ע״ב.</w:t>
      </w:r>
    </w:p>
  </w:footnote>
  <w:footnote w:id="57">
    <w:p w14:paraId="62E0BC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סנהדרין יד ע״א.</w:t>
      </w:r>
    </w:p>
  </w:footnote>
  <w:footnote w:id="58">
    <w:p w14:paraId="62B2FE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גיליון תמוז תשנ״ב, עמ׳ 48–49.</w:t>
      </w:r>
    </w:p>
  </w:footnote>
  <w:footnote w:id="59">
    <w:p w14:paraId="07D44E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מפעל “תורה מציון” (ירושלים, תשל״ח).</w:t>
      </w:r>
    </w:p>
  </w:footnote>
  <w:footnote w:id="60">
    <w:p w14:paraId="76DB6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על טענה מסוימת זו העיר אבי – ברצינות, כך נראה – שאפילו בין הנישואין האסורים יש כאלה שבדיעבד אין חובה לבטלם (אם נשאת לא תצא); ולכן אין לחשוש ל</w:t>
      </w:r>
      <w:r>
        <w:rPr>
          <w:i/>
          <w:iCs/>
          <w:sz w:val="20"/>
          <w:szCs w:val="20"/>
          <w:rtl/>
        </w:rPr>
        <w:t>פירוק</w:t>
      </w:r>
      <w:r>
        <w:rPr>
          <w:sz w:val="20"/>
          <w:szCs w:val="20"/>
          <w:rtl/>
        </w:rPr>
        <w:t xml:space="preserve"> משפחות כתוצאה מפרסום איסורו של הגאון.</w:t>
      </w:r>
    </w:p>
  </w:footnote>
  <w:footnote w:id="61">
    <w:p w14:paraId="5AC3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השווה גם הערה 5 בהערות לפתיחה של ספר זה, המצטטת את “תולדות מנחם”.</w:t>
      </w:r>
    </w:p>
  </w:footnote>
  <w:footnote w:id="62">
    <w:p w14:paraId="25D0C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29 בנובמבר 1988.</w:t>
      </w:r>
    </w:p>
  </w:footnote>
  <w:footnote w:id="63">
    <w:p w14:paraId="56BEE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שיחות מוסר תשל״ג, עמ׳ קנב–</w:t>
      </w:r>
      <w:proofErr w:type="spellStart"/>
      <w:r>
        <w:rPr>
          <w:sz w:val="20"/>
          <w:szCs w:val="20"/>
          <w:rtl/>
        </w:rPr>
        <w:t>קנג</w:t>
      </w:r>
      <w:proofErr w:type="spellEnd"/>
      <w:r>
        <w:rPr>
          <w:sz w:val="20"/>
          <w:szCs w:val="20"/>
          <w:rtl/>
        </w:rPr>
        <w:t>.</w:t>
      </w:r>
    </w:p>
  </w:footnote>
  <w:footnote w:id="64">
    <w:p w14:paraId="73C6C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proofErr w:type="spellStart"/>
      <w:r>
        <w:rPr>
          <w:sz w:val="20"/>
          <w:szCs w:val="20"/>
          <w:rtl/>
        </w:rPr>
        <w:t>כג</w:t>
      </w:r>
      <w:proofErr w:type="spellEnd"/>
      <w:r>
        <w:rPr>
          <w:sz w:val="20"/>
          <w:szCs w:val="20"/>
          <w:rtl/>
        </w:rPr>
        <w:t xml:space="preserve"> ע״ב.</w:t>
      </w:r>
    </w:p>
  </w:footnote>
  <w:footnote w:id="65">
    <w:p w14:paraId="2B536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וע׳ בסוף “מאמר על אגדות חז״ל” </w:t>
      </w:r>
      <w:proofErr w:type="spellStart"/>
      <w:r>
        <w:rPr>
          <w:sz w:val="20"/>
          <w:szCs w:val="20"/>
          <w:rtl/>
        </w:rPr>
        <w:t>לרמח״ל</w:t>
      </w:r>
      <w:proofErr w:type="spellEnd"/>
      <w:r>
        <w:rPr>
          <w:sz w:val="20"/>
          <w:szCs w:val="20"/>
          <w:rtl/>
        </w:rPr>
        <w:t xml:space="preserve"> (שמודפס בריש ספר עין יעקב) שכך היה הכלל בידי חז״ל “שבמעשה הצדיקים כל מה שיש לדרוש לשבח צריך לדרוש לשבח” ועל רשעים, להיפך.</w:t>
      </w:r>
    </w:p>
  </w:footnote>
  <w:footnote w:id="66">
    <w:p w14:paraId="38D22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w:t>
      </w:r>
      <w:r>
        <w:rPr>
          <w:sz w:val="20"/>
          <w:szCs w:val="20"/>
          <w:rtl/>
        </w:rPr>
        <w:t xml:space="preserve"> </w:t>
      </w:r>
      <w:r>
        <w:rPr>
          <w:sz w:val="20"/>
          <w:szCs w:val="20"/>
          <w:rtl/>
        </w:rPr>
        <w:t xml:space="preserve">ישעיה </w:t>
      </w:r>
      <w:proofErr w:type="spellStart"/>
      <w:r>
        <w:rPr>
          <w:sz w:val="20"/>
          <w:szCs w:val="20"/>
          <w:rtl/>
        </w:rPr>
        <w:t>נה</w:t>
      </w:r>
      <w:proofErr w:type="spellEnd"/>
      <w:r>
        <w:rPr>
          <w:sz w:val="20"/>
          <w:szCs w:val="20"/>
          <w:rtl/>
        </w:rPr>
        <w:t>, ח–ט.</w:t>
      </w:r>
    </w:p>
  </w:footnote>
  <w:footnote w:id="67">
    <w:p w14:paraId="7139AC7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יבמות ל ע״א, ועוד.</w:t>
      </w:r>
    </w:p>
  </w:footnote>
  <w:footnote w:id="68">
    <w:p w14:paraId="4C99B9E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במדבר רבה </w:t>
      </w:r>
      <w:proofErr w:type="spellStart"/>
      <w:r>
        <w:rPr>
          <w:b/>
          <w:sz w:val="20"/>
          <w:szCs w:val="20"/>
          <w:rtl/>
        </w:rPr>
        <w:t>כא</w:t>
      </w:r>
      <w:proofErr w:type="spellEnd"/>
      <w:r>
        <w:rPr>
          <w:b/>
          <w:sz w:val="20"/>
          <w:szCs w:val="20"/>
          <w:rtl/>
        </w:rPr>
        <w:t>, ג.</w:t>
      </w:r>
    </w:p>
  </w:footnote>
  <w:footnote w:id="69">
    <w:p w14:paraId="407EA69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מכאן מוכח שהקב״ה עושה דברים שלא היה עושה אלמלא כן, כדי להוציא לאור את “שבחן של צדיקים”. אם כן, לשבח הצדיקים מעמד מיוחד, ויש לשער שזה מה שהביא את שו״ת חתם סופר (</w:t>
      </w:r>
      <w:proofErr w:type="spellStart"/>
      <w:r>
        <w:rPr>
          <w:b/>
          <w:sz w:val="20"/>
          <w:szCs w:val="20"/>
          <w:rtl/>
        </w:rPr>
        <w:t>חו״מ</w:t>
      </w:r>
      <w:proofErr w:type="spellEnd"/>
      <w:r>
        <w:rPr>
          <w:b/>
          <w:sz w:val="20"/>
          <w:szCs w:val="20"/>
          <w:rtl/>
        </w:rPr>
        <w:t>, ליקוטי שו״ת, סי׳ נט, ד״ה והנה) לכנות את שבח הצדיקים “מצוה גדולה”.</w:t>
      </w:r>
    </w:p>
  </w:footnote>
  <w:footnote w:id="70">
    <w:p w14:paraId="55C8F0F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פ״א מי״ז.</w:t>
      </w:r>
    </w:p>
  </w:footnote>
  <w:footnote w:id="71">
    <w:p w14:paraId="18D17A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רכו.</w:t>
      </w:r>
    </w:p>
  </w:footnote>
  <w:footnote w:id="72">
    <w:p w14:paraId="375BAF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פרק </w:t>
      </w:r>
      <w:proofErr w:type="spellStart"/>
      <w:r>
        <w:rPr>
          <w:b/>
          <w:sz w:val="20"/>
          <w:szCs w:val="20"/>
          <w:rtl/>
        </w:rPr>
        <w:t>כא</w:t>
      </w:r>
      <w:proofErr w:type="spellEnd"/>
      <w:r>
        <w:rPr>
          <w:b/>
          <w:sz w:val="20"/>
          <w:szCs w:val="20"/>
          <w:rtl/>
        </w:rPr>
        <w:t>.</w:t>
      </w:r>
    </w:p>
  </w:footnote>
  <w:footnote w:id="73">
    <w:p w14:paraId="53653F5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נדפסה בשנת </w:t>
      </w:r>
      <w:proofErr w:type="spellStart"/>
      <w:r>
        <w:rPr>
          <w:b/>
          <w:sz w:val="20"/>
          <w:szCs w:val="20"/>
          <w:rtl/>
        </w:rPr>
        <w:t>תר״ן</w:t>
      </w:r>
      <w:proofErr w:type="spellEnd"/>
      <w:r>
        <w:rPr>
          <w:b/>
          <w:sz w:val="20"/>
          <w:szCs w:val="20"/>
          <w:rtl/>
        </w:rPr>
        <w:t>, ונדפסה שוב בספר פולמוס המוסר, עמ׳ 41–50.</w:t>
      </w:r>
    </w:p>
  </w:footnote>
  <w:footnote w:id="74">
    <w:p w14:paraId="6E3AB6A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שם, עמ׳ 43–44.</w:t>
      </w:r>
    </w:p>
  </w:footnote>
  <w:footnote w:id="75">
    <w:p w14:paraId="5D7F0A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אבות פ״ג מי״ח.</w:t>
      </w:r>
    </w:p>
  </w:footnote>
  <w:footnote w:id="76">
    <w:p w14:paraId="6DB5450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במכתב משנת תרנ״ז, שנדפס בהקדמה לספרו של </w:t>
      </w:r>
      <w:proofErr w:type="spellStart"/>
      <w:r>
        <w:rPr>
          <w:b/>
          <w:sz w:val="20"/>
          <w:szCs w:val="20"/>
          <w:rtl/>
        </w:rPr>
        <w:t>הנצי״ב</w:t>
      </w:r>
      <w:proofErr w:type="spellEnd"/>
      <w:r>
        <w:rPr>
          <w:b/>
          <w:sz w:val="20"/>
          <w:szCs w:val="20"/>
          <w:rtl/>
        </w:rPr>
        <w:t xml:space="preserve"> “מרומי שדה”.</w:t>
      </w:r>
    </w:p>
  </w:footnote>
  <w:footnote w:id="77">
    <w:p w14:paraId="5E25BC4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מידע זה נדפס יחד עם “הגהות על יורה דעה” </w:t>
      </w:r>
      <w:proofErr w:type="spellStart"/>
      <w:r>
        <w:rPr>
          <w:b/>
          <w:sz w:val="20"/>
          <w:szCs w:val="20"/>
          <w:rtl/>
        </w:rPr>
        <w:t>לר</w:t>
      </w:r>
      <w:proofErr w:type="spellEnd"/>
      <w:r>
        <w:rPr>
          <w:b/>
          <w:sz w:val="20"/>
          <w:szCs w:val="20"/>
          <w:rtl/>
        </w:rPr>
        <w:t>׳ עקיבא איגר (ברלין, תרכ״ב).</w:t>
      </w:r>
    </w:p>
  </w:footnote>
  <w:footnote w:id="78">
    <w:p w14:paraId="68B4427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עיין קידושין לא ע״ב.</w:t>
      </w:r>
    </w:p>
  </w:footnote>
  <w:footnote w:id="79">
    <w:p w14:paraId="666686D3"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 חיים ברלין מתכוון כאן לפסק שבמועד קטן ט ע״ב, </w:t>
      </w:r>
      <w:proofErr w:type="spellStart"/>
      <w:r>
        <w:rPr>
          <w:b/>
          <w:sz w:val="20"/>
          <w:szCs w:val="20"/>
          <w:rtl/>
        </w:rPr>
        <w:t>שמצוה</w:t>
      </w:r>
      <w:proofErr w:type="spellEnd"/>
      <w:r>
        <w:rPr>
          <w:b/>
          <w:sz w:val="20"/>
          <w:szCs w:val="20"/>
          <w:rtl/>
        </w:rPr>
        <w:t xml:space="preserve"> שאפשר לעשותה על ידי אחרים אינה דוחה את חובת תלמוד תורה.</w:t>
      </w:r>
    </w:p>
  </w:footnote>
  <w:footnote w:id="80">
    <w:p w14:paraId="064F445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בשיחה עמי ב־22 בפברואר 1999 העלה ר׳ שלמה פישר השערה: התנגדותו הנמרצת של </w:t>
      </w:r>
      <w:proofErr w:type="spellStart"/>
      <w:r>
        <w:rPr>
          <w:b/>
          <w:sz w:val="20"/>
          <w:szCs w:val="20"/>
          <w:rtl/>
        </w:rPr>
        <w:t>הנצי״ב</w:t>
      </w:r>
      <w:proofErr w:type="spellEnd"/>
      <w:r>
        <w:rPr>
          <w:b/>
          <w:sz w:val="20"/>
          <w:szCs w:val="20"/>
          <w:rtl/>
        </w:rPr>
        <w:t xml:space="preserve"> לקריאת סיפורי גדולים ולפרסומם נבעה מהתנגדותו האידיאולוגית לחשיבות שייחסו החסידים לסיפורים על מנהיגיהם הרוחניים – עד שטבעו בפולקלור שלהם את האמרה “מעשי צדיקים – מעשה מרכבה” (ראה חגיגה </w:t>
      </w:r>
      <w:proofErr w:type="spellStart"/>
      <w:r>
        <w:rPr>
          <w:b/>
          <w:sz w:val="20"/>
          <w:szCs w:val="20"/>
          <w:rtl/>
        </w:rPr>
        <w:t>יג</w:t>
      </w:r>
      <w:proofErr w:type="spellEnd"/>
      <w:r>
        <w:rPr>
          <w:b/>
          <w:sz w:val="20"/>
          <w:szCs w:val="20"/>
          <w:rtl/>
        </w:rPr>
        <w:t xml:space="preserve"> ע״א וסוכה </w:t>
      </w:r>
      <w:proofErr w:type="spellStart"/>
      <w:r>
        <w:rPr>
          <w:b/>
          <w:sz w:val="20"/>
          <w:szCs w:val="20"/>
          <w:rtl/>
        </w:rPr>
        <w:t>כח</w:t>
      </w:r>
      <w:proofErr w:type="spellEnd"/>
      <w:r>
        <w:rPr>
          <w:b/>
          <w:sz w:val="20"/>
          <w:szCs w:val="20"/>
          <w:rtl/>
        </w:rPr>
        <w:t xml:space="preserve"> ע״א: “דבר גדול – מעשה מרכבה”). המתנגדים של אותו הדור הקפידו במיוחד שלא לאמץ מנהגי חסידים. </w:t>
      </w:r>
    </w:p>
    <w:p w14:paraId="29FC8DFA" w14:textId="77777777" w:rsidR="00AB3647" w:rsidRDefault="00000000">
      <w:pPr>
        <w:spacing w:after="0" w:before="0"/>
        <w:jc w:val="both"/>
        <w:rPr>
          <w:b/>
          <w:sz w:val="20"/>
          <w:szCs w:val="20"/>
        </w:rPr>
      </w:pPr>
      <w:r>
        <w:rPr>
          <w:b/>
          <w:sz w:val="20"/>
          <w:szCs w:val="20"/>
          <w:rtl/>
        </w:rPr>
        <w:t xml:space="preserve">ראה למשל “הצדיק רבי שלמה” (ירושלים, </w:t>
      </w:r>
      <w:proofErr w:type="spellStart"/>
      <w:r>
        <w:rPr>
          <w:b/>
          <w:sz w:val="20"/>
          <w:szCs w:val="20"/>
          <w:rtl/>
        </w:rPr>
        <w:t>תש״ן</w:t>
      </w:r>
      <w:proofErr w:type="spellEnd"/>
      <w:r>
        <w:rPr>
          <w:b/>
          <w:sz w:val="20"/>
          <w:szCs w:val="20"/>
          <w:rtl/>
        </w:rPr>
        <w:t xml:space="preserve">), עמ׳ </w:t>
      </w:r>
      <w:proofErr w:type="spellStart"/>
      <w:r>
        <w:rPr>
          <w:b/>
          <w:sz w:val="20"/>
          <w:szCs w:val="20"/>
          <w:rtl/>
        </w:rPr>
        <w:t>רלט</w:t>
      </w:r>
      <w:proofErr w:type="spellEnd"/>
      <w:r>
        <w:rPr>
          <w:b/>
          <w:sz w:val="20"/>
          <w:szCs w:val="20"/>
          <w:rtl/>
        </w:rPr>
        <w:t xml:space="preserve">, המביא מדברי ר׳ </w:t>
      </w:r>
      <w:proofErr w:type="spellStart"/>
      <w:r>
        <w:rPr>
          <w:b/>
          <w:sz w:val="20"/>
          <w:szCs w:val="20"/>
          <w:rtl/>
        </w:rPr>
        <w:t>אלעזר־משה</w:t>
      </w:r>
      <w:proofErr w:type="spellEnd"/>
      <w:r>
        <w:rPr>
          <w:b/>
          <w:sz w:val="20"/>
          <w:szCs w:val="20"/>
          <w:rtl/>
        </w:rPr>
        <w:t xml:space="preserve"> </w:t>
      </w:r>
      <w:proofErr w:type="spellStart"/>
      <w:r>
        <w:rPr>
          <w:b/>
          <w:sz w:val="20"/>
          <w:szCs w:val="20"/>
          <w:rtl/>
        </w:rPr>
        <w:t>הורוויץ</w:t>
      </w:r>
      <w:proofErr w:type="spellEnd"/>
      <w:r>
        <w:rPr>
          <w:b/>
          <w:sz w:val="20"/>
          <w:szCs w:val="20"/>
          <w:rtl/>
        </w:rPr>
        <w:t xml:space="preserve">, רבה של </w:t>
      </w:r>
      <w:proofErr w:type="spellStart"/>
      <w:r>
        <w:rPr>
          <w:b/>
          <w:sz w:val="20"/>
          <w:szCs w:val="20"/>
          <w:rtl/>
        </w:rPr>
        <w:t>פינסק</w:t>
      </w:r>
      <w:proofErr w:type="spellEnd"/>
      <w:r>
        <w:rPr>
          <w:b/>
          <w:sz w:val="20"/>
          <w:szCs w:val="20"/>
          <w:rtl/>
        </w:rPr>
        <w:t xml:space="preserve">, </w:t>
      </w:r>
      <w:proofErr w:type="spellStart"/>
      <w:r>
        <w:rPr>
          <w:b/>
          <w:sz w:val="20"/>
          <w:szCs w:val="20"/>
          <w:rtl/>
        </w:rPr>
        <w:t>בשו״ת</w:t>
      </w:r>
      <w:proofErr w:type="spellEnd"/>
      <w:r>
        <w:rPr>
          <w:b/>
          <w:sz w:val="20"/>
          <w:szCs w:val="20"/>
          <w:rtl/>
        </w:rPr>
        <w:t xml:space="preserve"> “אהל משה”: “המאמינים [שמותר לעקם את האמת כדי ליישב פסק תמוה של הגאון מווילנה] אינם מתלמידי הגאון, כי לא את דרכו למדו אלא את דרך </w:t>
      </w:r>
      <w:proofErr w:type="spellStart"/>
      <w:r>
        <w:rPr>
          <w:b/>
          <w:sz w:val="20"/>
          <w:szCs w:val="20"/>
          <w:rtl/>
        </w:rPr>
        <w:t>מנגדינו</w:t>
      </w:r>
      <w:proofErr w:type="spellEnd"/>
      <w:r>
        <w:rPr>
          <w:b/>
          <w:sz w:val="20"/>
          <w:szCs w:val="20"/>
          <w:rtl/>
        </w:rPr>
        <w:t xml:space="preserve">, </w:t>
      </w:r>
      <w:proofErr w:type="spellStart"/>
      <w:r>
        <w:rPr>
          <w:b/>
          <w:sz w:val="20"/>
          <w:szCs w:val="20"/>
          <w:rtl/>
        </w:rPr>
        <w:t>ש‘יעקשו</w:t>
      </w:r>
      <w:proofErr w:type="spellEnd"/>
      <w:r>
        <w:rPr>
          <w:b/>
          <w:sz w:val="20"/>
          <w:szCs w:val="20"/>
          <w:rtl/>
        </w:rPr>
        <w:t xml:space="preserve"> הישרה’ לכבוד מנהיגיהם – וכבוד מדומה הוא!”. ועיין עוד בסוף הפסקה שלפני האחרונה </w:t>
      </w:r>
      <w:proofErr w:type="spellStart"/>
      <w:r>
        <w:rPr>
          <w:b/>
          <w:sz w:val="20"/>
          <w:szCs w:val="20"/>
          <w:rtl/>
        </w:rPr>
        <w:t>בשו״ת</w:t>
      </w:r>
      <w:proofErr w:type="spellEnd"/>
      <w:r>
        <w:rPr>
          <w:b/>
          <w:sz w:val="20"/>
          <w:szCs w:val="20"/>
          <w:rtl/>
        </w:rPr>
        <w:t xml:space="preserve"> משיב דבר, סי׳ מד, על ביקורתו המרומזת של </w:t>
      </w:r>
      <w:proofErr w:type="spellStart"/>
      <w:r>
        <w:rPr>
          <w:b/>
          <w:sz w:val="20"/>
          <w:szCs w:val="20"/>
          <w:rtl/>
        </w:rPr>
        <w:t>הנצי״ב</w:t>
      </w:r>
      <w:proofErr w:type="spellEnd"/>
      <w:r>
        <w:rPr>
          <w:b/>
          <w:sz w:val="20"/>
          <w:szCs w:val="20"/>
          <w:rtl/>
        </w:rPr>
        <w:t xml:space="preserve"> על החסידים.</w:t>
      </w:r>
    </w:p>
  </w:footnote>
  <w:footnote w:id="81">
    <w:p w14:paraId="58DF6C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אף שר׳ </w:t>
      </w:r>
      <w:proofErr w:type="spellStart"/>
      <w:r>
        <w:rPr>
          <w:b/>
          <w:sz w:val="20"/>
          <w:szCs w:val="20"/>
          <w:rtl/>
        </w:rPr>
        <w:t>חיים־עוזר</w:t>
      </w:r>
      <w:proofErr w:type="spellEnd"/>
      <w:r>
        <w:rPr>
          <w:b/>
          <w:sz w:val="20"/>
          <w:szCs w:val="20"/>
          <w:rtl/>
        </w:rPr>
        <w:t xml:space="preserve"> היה צעיר מהם, פעילותו הציבורית החלה עוד בחייהם.</w:t>
      </w:r>
    </w:p>
  </w:footnote>
  <w:footnote w:id="82">
    <w:p w14:paraId="0E4A1C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הרב משה מאיר ישר, הוצאת האחים </w:t>
      </w:r>
      <w:proofErr w:type="spellStart"/>
      <w:r>
        <w:rPr>
          <w:b/>
          <w:sz w:val="20"/>
          <w:szCs w:val="20"/>
          <w:rtl/>
        </w:rPr>
        <w:t>שולזינגר</w:t>
      </w:r>
      <w:proofErr w:type="spellEnd"/>
      <w:r>
        <w:rPr>
          <w:b/>
          <w:sz w:val="20"/>
          <w:szCs w:val="20"/>
          <w:rtl/>
        </w:rPr>
        <w:t xml:space="preserve">, </w:t>
      </w:r>
      <w:proofErr w:type="spellStart"/>
      <w:r>
        <w:rPr>
          <w:b/>
          <w:sz w:val="20"/>
          <w:szCs w:val="20"/>
          <w:rtl/>
        </w:rPr>
        <w:t>ניו־יורק</w:t>
      </w:r>
      <w:proofErr w:type="spellEnd"/>
      <w:r>
        <w:rPr>
          <w:b/>
          <w:sz w:val="20"/>
          <w:szCs w:val="20"/>
          <w:rtl/>
        </w:rPr>
        <w:t>, תש״ו, עמ׳ 7.</w:t>
      </w:r>
    </w:p>
  </w:footnote>
  <w:footnote w:id="83">
    <w:p w14:paraId="4C3E426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רבה של </w:t>
      </w:r>
      <w:proofErr w:type="spellStart"/>
      <w:r>
        <w:rPr>
          <w:b/>
          <w:sz w:val="20"/>
          <w:szCs w:val="20"/>
          <w:rtl/>
        </w:rPr>
        <w:t>מעריטש</w:t>
      </w:r>
      <w:proofErr w:type="spellEnd"/>
      <w:r>
        <w:rPr>
          <w:b/>
          <w:sz w:val="20"/>
          <w:szCs w:val="20"/>
          <w:rtl/>
        </w:rPr>
        <w:t xml:space="preserve">, “הגאון המפורסם וכו׳ </w:t>
      </w:r>
      <w:proofErr w:type="spellStart"/>
      <w:r>
        <w:rPr>
          <w:b/>
          <w:sz w:val="20"/>
          <w:szCs w:val="20"/>
          <w:rtl/>
        </w:rPr>
        <w:t>יהודא</w:t>
      </w:r>
      <w:proofErr w:type="spellEnd"/>
      <w:r>
        <w:rPr>
          <w:b/>
          <w:sz w:val="20"/>
          <w:szCs w:val="20"/>
          <w:rtl/>
        </w:rPr>
        <w:t xml:space="preserve"> הלוי ליפשיץ”, שנדפס </w:t>
      </w:r>
      <w:proofErr w:type="spellStart"/>
      <w:r>
        <w:rPr>
          <w:b/>
          <w:sz w:val="20"/>
          <w:szCs w:val="20"/>
          <w:rtl/>
        </w:rPr>
        <w:t>בפיעטרקוב</w:t>
      </w:r>
      <w:proofErr w:type="spellEnd"/>
      <w:r>
        <w:rPr>
          <w:b/>
          <w:sz w:val="20"/>
          <w:szCs w:val="20"/>
          <w:rtl/>
        </w:rPr>
        <w:t xml:space="preserve"> (תרס״ח).</w:t>
      </w:r>
    </w:p>
  </w:footnote>
  <w:footnote w:id="84">
    <w:p w14:paraId="0B87246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על פי איוב יא, ט ועירובין </w:t>
      </w:r>
      <w:proofErr w:type="spellStart"/>
      <w:r>
        <w:rPr>
          <w:b/>
          <w:sz w:val="20"/>
          <w:szCs w:val="20"/>
          <w:rtl/>
        </w:rPr>
        <w:t>כא</w:t>
      </w:r>
      <w:proofErr w:type="spellEnd"/>
      <w:r>
        <w:rPr>
          <w:b/>
          <w:sz w:val="20"/>
          <w:szCs w:val="20"/>
          <w:rtl/>
        </w:rPr>
        <w:t xml:space="preserve"> ע״א.</w:t>
      </w:r>
    </w:p>
  </w:footnote>
  <w:footnote w:id="85">
    <w:p w14:paraId="5A8CE80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כל ספרי </w:t>
      </w:r>
      <w:proofErr w:type="spellStart"/>
      <w:r>
        <w:rPr>
          <w:b/>
          <w:sz w:val="20"/>
          <w:szCs w:val="20"/>
          <w:rtl/>
        </w:rPr>
        <w:t>מהר״ץ</w:t>
      </w:r>
      <w:proofErr w:type="spellEnd"/>
      <w:r>
        <w:rPr>
          <w:b/>
          <w:sz w:val="20"/>
          <w:szCs w:val="20"/>
          <w:rtl/>
        </w:rPr>
        <w:t xml:space="preserve"> חיות (ירושלים, תשי״ח), עמ׳ תו–</w:t>
      </w:r>
      <w:proofErr w:type="spellStart"/>
      <w:r>
        <w:rPr>
          <w:b/>
          <w:sz w:val="20"/>
          <w:szCs w:val="20"/>
          <w:rtl/>
        </w:rPr>
        <w:t>תז</w:t>
      </w:r>
      <w:proofErr w:type="spellEnd"/>
      <w:r>
        <w:rPr>
          <w:b/>
          <w:sz w:val="20"/>
          <w:szCs w:val="20"/>
          <w:rtl/>
        </w:rPr>
        <w:t>.</w:t>
      </w:r>
    </w:p>
  </w:footnote>
  <w:footnote w:id="86">
    <w:p w14:paraId="6AAE0F2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על פי אסתר רבה פ״י, יא.</w:t>
      </w:r>
    </w:p>
  </w:footnote>
  <w:footnote w:id="87">
    <w:p w14:paraId="32878D3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אל יטעה הקורא לראות במכתבו של </w:t>
      </w:r>
      <w:proofErr w:type="spellStart"/>
      <w:r>
        <w:rPr>
          <w:b/>
          <w:sz w:val="20"/>
          <w:szCs w:val="20"/>
          <w:rtl/>
        </w:rPr>
        <w:t>החזון־איש</w:t>
      </w:r>
      <w:proofErr w:type="spellEnd"/>
      <w:r>
        <w:rPr>
          <w:b/>
          <w:sz w:val="20"/>
          <w:szCs w:val="20"/>
          <w:rtl/>
        </w:rPr>
        <w:t xml:space="preserve">, אגרת </w:t>
      </w:r>
      <w:proofErr w:type="spellStart"/>
      <w:r>
        <w:rPr>
          <w:b/>
          <w:sz w:val="20"/>
          <w:szCs w:val="20"/>
          <w:rtl/>
        </w:rPr>
        <w:t>קלג</w:t>
      </w:r>
      <w:proofErr w:type="spellEnd"/>
      <w:r>
        <w:rPr>
          <w:b/>
          <w:sz w:val="20"/>
          <w:szCs w:val="20"/>
          <w:rtl/>
        </w:rPr>
        <w:t xml:space="preserve"> שנדפסה </w:t>
      </w:r>
      <w:proofErr w:type="spellStart"/>
      <w:r>
        <w:rPr>
          <w:b/>
          <w:sz w:val="20"/>
          <w:szCs w:val="20"/>
          <w:rtl/>
        </w:rPr>
        <w:t>ב“קובץ</w:t>
      </w:r>
      <w:proofErr w:type="spellEnd"/>
      <w:r>
        <w:rPr>
          <w:b/>
          <w:sz w:val="20"/>
          <w:szCs w:val="20"/>
          <w:rtl/>
        </w:rPr>
        <w:t xml:space="preserve"> אגרות” </w:t>
      </w:r>
      <w:proofErr w:type="spellStart"/>
      <w:r>
        <w:rPr>
          <w:b/>
          <w:sz w:val="20"/>
          <w:szCs w:val="20"/>
          <w:rtl/>
        </w:rPr>
        <w:t>ח״ב</w:t>
      </w:r>
      <w:proofErr w:type="spellEnd"/>
      <w:r>
        <w:rPr>
          <w:b/>
          <w:sz w:val="20"/>
          <w:szCs w:val="20"/>
          <w:rtl/>
        </w:rPr>
        <w:t xml:space="preserve"> (בני ברק, </w:t>
      </w:r>
      <w:proofErr w:type="spellStart"/>
      <w:r>
        <w:rPr>
          <w:b/>
          <w:sz w:val="20"/>
          <w:szCs w:val="20"/>
          <w:rtl/>
        </w:rPr>
        <w:t>תש״ן</w:t>
      </w:r>
      <w:proofErr w:type="spellEnd"/>
      <w:r>
        <w:rPr>
          <w:b/>
          <w:sz w:val="20"/>
          <w:szCs w:val="20"/>
          <w:rtl/>
        </w:rPr>
        <w:t xml:space="preserve">), תמיכה בעמדתו של הרב חיות. </w:t>
      </w:r>
      <w:proofErr w:type="spellStart"/>
      <w:r>
        <w:rPr>
          <w:b/>
          <w:sz w:val="20"/>
          <w:szCs w:val="20"/>
          <w:rtl/>
        </w:rPr>
        <w:t>החזון־איש</w:t>
      </w:r>
      <w:proofErr w:type="spellEnd"/>
      <w:r>
        <w:rPr>
          <w:b/>
          <w:sz w:val="20"/>
          <w:szCs w:val="20"/>
          <w:rtl/>
        </w:rPr>
        <w:t xml:space="preserve"> כותב שם: “דעתי כי ראוי </w:t>
      </w:r>
      <w:proofErr w:type="spellStart"/>
      <w:r>
        <w:rPr>
          <w:b/>
          <w:sz w:val="20"/>
          <w:szCs w:val="20"/>
          <w:rtl/>
        </w:rPr>
        <w:t>להמחזיקים</w:t>
      </w:r>
      <w:proofErr w:type="spellEnd"/>
      <w:r>
        <w:rPr>
          <w:b/>
          <w:sz w:val="20"/>
          <w:szCs w:val="20"/>
          <w:rtl/>
        </w:rPr>
        <w:t xml:space="preserve"> בתורת ה׳ לדעת את </w:t>
      </w:r>
      <w:proofErr w:type="spellStart"/>
      <w:r>
        <w:rPr>
          <w:b/>
          <w:sz w:val="20"/>
          <w:szCs w:val="20"/>
          <w:rtl/>
        </w:rPr>
        <w:t>גדוליה</w:t>
      </w:r>
      <w:proofErr w:type="spellEnd"/>
      <w:r>
        <w:rPr>
          <w:b/>
          <w:sz w:val="20"/>
          <w:szCs w:val="20"/>
          <w:rtl/>
        </w:rPr>
        <w:t xml:space="preserve"> באופיים האמיתי... וצריכים לדעת, כי הידיעה של חכמי הדור לבם ומידתם הן </w:t>
      </w:r>
      <w:proofErr w:type="spellStart"/>
      <w:r>
        <w:rPr>
          <w:b/>
          <w:sz w:val="20"/>
          <w:szCs w:val="20"/>
          <w:rtl/>
        </w:rPr>
        <w:t>הן</w:t>
      </w:r>
      <w:proofErr w:type="spellEnd"/>
      <w:r>
        <w:rPr>
          <w:b/>
          <w:sz w:val="20"/>
          <w:szCs w:val="20"/>
          <w:rtl/>
        </w:rPr>
        <w:t xml:space="preserve"> גופי תורה” (ההדגשה שלי). עיון מדוקדק יראה שאין כוונתו לידיעה כללית על גדולי כל הדורות, אלא להכרת גדולי התורה בני הדור: יש להעריך נכונה את אישיותם, כדי </w:t>
      </w:r>
      <w:proofErr w:type="spellStart"/>
      <w:r>
        <w:rPr>
          <w:b/>
          <w:sz w:val="20"/>
          <w:szCs w:val="20"/>
          <w:rtl/>
        </w:rPr>
        <w:t>ש“המחזיקים</w:t>
      </w:r>
      <w:proofErr w:type="spellEnd"/>
      <w:r>
        <w:rPr>
          <w:b/>
          <w:sz w:val="20"/>
          <w:szCs w:val="20"/>
          <w:rtl/>
        </w:rPr>
        <w:t xml:space="preserve"> בתורת ה׳” יוכלו לשקול את </w:t>
      </w:r>
      <w:proofErr w:type="spellStart"/>
      <w:r>
        <w:rPr>
          <w:b/>
          <w:sz w:val="20"/>
          <w:szCs w:val="20"/>
          <w:rtl/>
        </w:rPr>
        <w:t>פסקיהם</w:t>
      </w:r>
      <w:proofErr w:type="spellEnd"/>
      <w:r>
        <w:rPr>
          <w:b/>
          <w:sz w:val="20"/>
          <w:szCs w:val="20"/>
          <w:rtl/>
        </w:rPr>
        <w:t xml:space="preserve"> בתבונה. ידיעה כזו היא אכן “גופי תורה”. הבנה זו בדברי </w:t>
      </w:r>
      <w:proofErr w:type="spellStart"/>
      <w:r>
        <w:rPr>
          <w:b/>
          <w:sz w:val="20"/>
          <w:szCs w:val="20"/>
          <w:rtl/>
        </w:rPr>
        <w:t>החזון־איש</w:t>
      </w:r>
      <w:proofErr w:type="spellEnd"/>
      <w:r>
        <w:rPr>
          <w:b/>
          <w:sz w:val="20"/>
          <w:szCs w:val="20"/>
          <w:rtl/>
        </w:rPr>
        <w:t xml:space="preserve"> שונה מזו של רפאל הלפרין בחיבורו המונומנטלי על רש״י, “רש״י – חייו ופירושיו” (הוצאת “הקדש רוח יעקב”, תשנ״ז), עמ׳ 44.</w:t>
      </w:r>
    </w:p>
  </w:footnote>
  <w:footnote w:id="88">
    <w:p w14:paraId="1540D56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“נצח”, בני ברק, תשל״ג, עמ׳ קמח.</w:t>
      </w:r>
    </w:p>
  </w:footnote>
  <w:footnote w:id="89">
    <w:p w14:paraId="73480EF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 יעקב הלוי ליפשיץ מציע בספרו “</w:t>
      </w:r>
      <w:proofErr w:type="spellStart"/>
      <w:r>
        <w:rPr>
          <w:b/>
          <w:sz w:val="20"/>
          <w:szCs w:val="20"/>
          <w:rtl/>
        </w:rPr>
        <w:t>זכרון</w:t>
      </w:r>
      <w:proofErr w:type="spellEnd"/>
      <w:r>
        <w:rPr>
          <w:b/>
          <w:sz w:val="20"/>
          <w:szCs w:val="20"/>
          <w:rtl/>
        </w:rPr>
        <w:t xml:space="preserve"> יעקב” (</w:t>
      </w:r>
      <w:proofErr w:type="spellStart"/>
      <w:r>
        <w:rPr>
          <w:b/>
          <w:sz w:val="20"/>
          <w:szCs w:val="20"/>
          <w:rtl/>
        </w:rPr>
        <w:t>קובנה־סלבודקה</w:t>
      </w:r>
      <w:proofErr w:type="spellEnd"/>
      <w:r>
        <w:rPr>
          <w:b/>
          <w:sz w:val="20"/>
          <w:szCs w:val="20"/>
          <w:rtl/>
        </w:rPr>
        <w:t xml:space="preserve">, תרפ״ג), ח״א, עמ׳ 185–186, טעם מקורי לכך שאנו “עניים” בספרי תולדות של גדולי תורה: “עניה היא </w:t>
      </w:r>
      <w:proofErr w:type="spellStart"/>
      <w:r>
        <w:rPr>
          <w:b/>
          <w:sz w:val="20"/>
          <w:szCs w:val="20"/>
          <w:rtl/>
        </w:rPr>
        <w:t>בספורי</w:t>
      </w:r>
      <w:proofErr w:type="spellEnd"/>
      <w:r>
        <w:rPr>
          <w:b/>
          <w:sz w:val="20"/>
          <w:szCs w:val="20"/>
          <w:rtl/>
        </w:rPr>
        <w:t xml:space="preserve"> תולדות גדולי ישראל וטובי עמנו, ושתי סבות בדבר: האחת, כפתגם הידוע: ‘מרוב העצים לא נראה היער’, מפני שאין ערך </w:t>
      </w:r>
      <w:proofErr w:type="spellStart"/>
      <w:r>
        <w:rPr>
          <w:b/>
          <w:sz w:val="20"/>
          <w:szCs w:val="20"/>
          <w:rtl/>
        </w:rPr>
        <w:t>להעושר</w:t>
      </w:r>
      <w:proofErr w:type="spellEnd"/>
      <w:r>
        <w:rPr>
          <w:b/>
          <w:sz w:val="20"/>
          <w:szCs w:val="20"/>
          <w:rtl/>
        </w:rPr>
        <w:t xml:space="preserve"> הרב של בני עמנו ב״ה באנשי הסגולה והמעלה, </w:t>
      </w:r>
      <w:proofErr w:type="spellStart"/>
      <w:r>
        <w:rPr>
          <w:b/>
          <w:sz w:val="20"/>
          <w:szCs w:val="20"/>
          <w:rtl/>
        </w:rPr>
        <w:t>בגאוניה</w:t>
      </w:r>
      <w:proofErr w:type="spellEnd"/>
      <w:r>
        <w:rPr>
          <w:b/>
          <w:sz w:val="20"/>
          <w:szCs w:val="20"/>
          <w:rtl/>
        </w:rPr>
        <w:t xml:space="preserve"> חסידיה חכמיה, ובכלל טובי העם אנשי המעשה בכל </w:t>
      </w:r>
      <w:proofErr w:type="spellStart"/>
      <w:r>
        <w:rPr>
          <w:b/>
          <w:sz w:val="20"/>
          <w:szCs w:val="20"/>
          <w:rtl/>
        </w:rPr>
        <w:t>מפעלות</w:t>
      </w:r>
      <w:proofErr w:type="spellEnd"/>
      <w:r>
        <w:rPr>
          <w:b/>
          <w:sz w:val="20"/>
          <w:szCs w:val="20"/>
          <w:rtl/>
        </w:rPr>
        <w:t xml:space="preserve"> הצדקה והטוב, שהזהירו </w:t>
      </w:r>
      <w:proofErr w:type="spellStart"/>
      <w:r>
        <w:rPr>
          <w:b/>
          <w:sz w:val="20"/>
          <w:szCs w:val="20"/>
          <w:rtl/>
        </w:rPr>
        <w:t>ככבבי</w:t>
      </w:r>
      <w:proofErr w:type="spellEnd"/>
      <w:r>
        <w:rPr>
          <w:b/>
          <w:sz w:val="20"/>
          <w:szCs w:val="20"/>
          <w:rtl/>
        </w:rPr>
        <w:t xml:space="preserve"> שחק בשמי היהדות, שאם נבוא לספרם </w:t>
      </w:r>
      <w:proofErr w:type="spellStart"/>
      <w:r>
        <w:rPr>
          <w:b/>
          <w:sz w:val="20"/>
          <w:szCs w:val="20"/>
          <w:rtl/>
        </w:rPr>
        <w:t>לפרטותיהם</w:t>
      </w:r>
      <w:proofErr w:type="spellEnd"/>
      <w:r>
        <w:rPr>
          <w:b/>
          <w:sz w:val="20"/>
          <w:szCs w:val="20"/>
          <w:rtl/>
        </w:rPr>
        <w:t xml:space="preserve"> ולתארם בכל צביונם הנכון לא יכילם שום ספר, אשר לכן לא שמו דורות החולפים לב לרשום תולדותיהם בספר”. טענתו מעניינת: דווקא משום שהיו בישראל רבים כל כך הראויים לספרי תולדות, לא נכתב ספר כזה על אף אחד מהם.</w:t>
      </w:r>
    </w:p>
  </w:footnote>
  <w:footnote w:id="90">
    <w:p w14:paraId="2E72C9D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תחילת פרשת וישלח.</w:t>
      </w:r>
    </w:p>
  </w:footnote>
  <w:footnote w:id="91">
    <w:p w14:paraId="04B5E1E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משלי כה, </w:t>
      </w:r>
      <w:proofErr w:type="spellStart"/>
      <w:r>
        <w:rPr>
          <w:b/>
          <w:sz w:val="20"/>
          <w:szCs w:val="20"/>
          <w:rtl/>
        </w:rPr>
        <w:t>כז</w:t>
      </w:r>
      <w:proofErr w:type="spellEnd"/>
      <w:r>
        <w:rPr>
          <w:b/>
          <w:sz w:val="20"/>
          <w:szCs w:val="20"/>
          <w:rtl/>
        </w:rPr>
        <w:t>.</w:t>
      </w:r>
    </w:p>
  </w:footnote>
  <w:footnote w:id="92">
    <w:p w14:paraId="50A7EF2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גם “מצודת דוד” שם מבאר באופן דומה את חציו השני של הפסוק, “וחקר כבודם כבוד”, וכותב: “חקירת כבוד הקדושים יותר מדי, לכבוד ייחשב”, כלומר שראוי לחקור את חכמתם, שהיא כבודם ותפארתם. רבנו בחיי אינו מפרש מהו “כבודם”, ואילו “מצודת דוד” מבין שהכוונה </w:t>
      </w:r>
      <w:proofErr w:type="spellStart"/>
      <w:r>
        <w:rPr>
          <w:b/>
          <w:sz w:val="20"/>
          <w:szCs w:val="20"/>
          <w:rtl/>
        </w:rPr>
        <w:t>ל“חכמתם</w:t>
      </w:r>
      <w:proofErr w:type="spellEnd"/>
      <w:r>
        <w:rPr>
          <w:b/>
          <w:sz w:val="20"/>
          <w:szCs w:val="20"/>
          <w:rtl/>
        </w:rPr>
        <w:t>”.</w:t>
      </w:r>
    </w:p>
  </w:footnote>
  <w:footnote w:id="93">
    <w:p w14:paraId="558E604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שער ג, אות קמט.</w:t>
      </w:r>
    </w:p>
  </w:footnote>
  <w:footnote w:id="94">
    <w:p w14:paraId="5210EEC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ירושלים, </w:t>
      </w:r>
      <w:proofErr w:type="spellStart"/>
      <w:r>
        <w:rPr>
          <w:b/>
          <w:sz w:val="20"/>
          <w:szCs w:val="20"/>
          <w:rtl/>
        </w:rPr>
        <w:t>תנש״א</w:t>
      </w:r>
      <w:proofErr w:type="spellEnd"/>
      <w:r>
        <w:rPr>
          <w:b/>
          <w:sz w:val="20"/>
          <w:szCs w:val="20"/>
          <w:rtl/>
        </w:rPr>
        <w:t>, עמ׳ 12.</w:t>
      </w:r>
    </w:p>
  </w:footnote>
  <w:footnote w:id="95">
    <w:p w14:paraId="6EA4C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שופטים ז, </w:t>
      </w:r>
      <w:proofErr w:type="spellStart"/>
      <w:r>
        <w:rPr>
          <w:b/>
          <w:sz w:val="20"/>
          <w:szCs w:val="20"/>
          <w:rtl/>
        </w:rPr>
        <w:t>יז</w:t>
      </w:r>
      <w:proofErr w:type="spellEnd"/>
      <w:r>
        <w:rPr>
          <w:b/>
          <w:sz w:val="20"/>
          <w:szCs w:val="20"/>
          <w:rtl/>
        </w:rPr>
        <w:t>.</w:t>
      </w:r>
    </w:p>
  </w:footnote>
  <w:footnote w:id="96">
    <w:p w14:paraId="4273E14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הוצאת משאבים, ירושלים, תשמ״ה, עמ׳ </w:t>
      </w:r>
      <w:proofErr w:type="spellStart"/>
      <w:r>
        <w:rPr>
          <w:b/>
          <w:sz w:val="20"/>
          <w:szCs w:val="20"/>
          <w:rtl/>
        </w:rPr>
        <w:t>קכא</w:t>
      </w:r>
      <w:proofErr w:type="spellEnd"/>
      <w:r>
        <w:rPr>
          <w:b/>
          <w:sz w:val="20"/>
          <w:szCs w:val="20"/>
          <w:rtl/>
        </w:rPr>
        <w:t>.</w:t>
      </w:r>
    </w:p>
  </w:footnote>
  <w:footnote w:id="97">
    <w:p w14:paraId="729678A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נדפס בירושלים, תשנ״ט, </w:t>
      </w:r>
      <w:proofErr w:type="spellStart"/>
      <w:r>
        <w:rPr>
          <w:b/>
          <w:sz w:val="20"/>
          <w:szCs w:val="20"/>
          <w:rtl/>
        </w:rPr>
        <w:t>ח״ב</w:t>
      </w:r>
      <w:proofErr w:type="spellEnd"/>
      <w:r>
        <w:rPr>
          <w:b/>
          <w:sz w:val="20"/>
          <w:szCs w:val="20"/>
          <w:rtl/>
        </w:rPr>
        <w:t>, עמ׳ ח.</w:t>
      </w:r>
    </w:p>
  </w:footnote>
  <w:footnote w:id="98">
    <w:p w14:paraId="11A03F7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ספר על ישיבת </w:t>
      </w:r>
      <w:proofErr w:type="spellStart"/>
      <w:r>
        <w:rPr>
          <w:b/>
          <w:sz w:val="20"/>
          <w:szCs w:val="20"/>
          <w:rtl/>
        </w:rPr>
        <w:t>גרודנא</w:t>
      </w:r>
      <w:proofErr w:type="spellEnd"/>
      <w:r>
        <w:rPr>
          <w:b/>
          <w:sz w:val="20"/>
          <w:szCs w:val="20"/>
          <w:rtl/>
        </w:rPr>
        <w:t xml:space="preserve"> ועל ראשה, ר׳ שמעון </w:t>
      </w:r>
      <w:proofErr w:type="spellStart"/>
      <w:r>
        <w:rPr>
          <w:b/>
          <w:sz w:val="20"/>
          <w:szCs w:val="20"/>
          <w:rtl/>
        </w:rPr>
        <w:t>שקופ</w:t>
      </w:r>
      <w:proofErr w:type="spellEnd"/>
      <w:r>
        <w:rPr>
          <w:b/>
          <w:sz w:val="20"/>
          <w:szCs w:val="20"/>
          <w:rtl/>
        </w:rPr>
        <w:t xml:space="preserve"> (ללא מקום הוצאה, חשוון תש״ס), עמ׳ 272.</w:t>
      </w:r>
    </w:p>
  </w:footnote>
  <w:footnote w:id="99">
    <w:p w14:paraId="4BAEADB0"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מאת אשר ברגמן (בני ברק, תשנ״ט), עמ׳ 322.</w:t>
      </w:r>
    </w:p>
  </w:footnote>
  <w:footnote w:id="100">
    <w:p w14:paraId="074A1866"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עמ׳ 509.</w:t>
      </w:r>
    </w:p>
  </w:footnote>
  <w:footnote w:id="101">
    <w:p w14:paraId="4096C44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נוסף, 7 בנובמבר 1987.</w:t>
      </w:r>
    </w:p>
  </w:footnote>
  <w:footnote w:id="102">
    <w:p w14:paraId="72F43BEB"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15 בספטמבר 1987.</w:t>
      </w:r>
    </w:p>
  </w:footnote>
  <w:footnote w:id="103">
    <w:p w14:paraId="1EAB90B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הוצאת מסורה, ברוקלין, 1994, עמ׳ 82.</w:t>
      </w:r>
    </w:p>
  </w:footnote>
  <w:footnote w:id="104">
    <w:p w14:paraId="36DACCEA"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סי׳ יא, אות כ.</w:t>
      </w:r>
    </w:p>
  </w:footnote>
  <w:footnote w:id="105">
    <w:p w14:paraId="02F3F51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1 בדצמבר 1997.</w:t>
      </w:r>
    </w:p>
  </w:footnote>
  <w:footnote w:id="106">
    <w:p w14:paraId="640E432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אבי הבהיר פעם </w:t>
      </w:r>
      <w:proofErr w:type="spellStart"/>
      <w:r>
        <w:rPr>
          <w:b/>
          <w:sz w:val="20"/>
          <w:szCs w:val="20"/>
          <w:rtl/>
        </w:rPr>
        <w:t>לר</w:t>
      </w:r>
      <w:proofErr w:type="spellEnd"/>
      <w:r>
        <w:rPr>
          <w:b/>
          <w:sz w:val="20"/>
          <w:szCs w:val="20"/>
          <w:rtl/>
        </w:rPr>
        <w:t xml:space="preserve">׳ דוד </w:t>
      </w:r>
      <w:proofErr w:type="spellStart"/>
      <w:r>
        <w:rPr>
          <w:b/>
          <w:sz w:val="20"/>
          <w:szCs w:val="20"/>
          <w:rtl/>
        </w:rPr>
        <w:t>צימט</w:t>
      </w:r>
      <w:proofErr w:type="spellEnd"/>
      <w:r>
        <w:rPr>
          <w:b/>
          <w:sz w:val="20"/>
          <w:szCs w:val="20"/>
          <w:rtl/>
        </w:rPr>
        <w:t xml:space="preserve"> (ריאיון, 6 בינואר 1988) את הסתייגויותיו מהלוי, וזו לשונו: “הוא מבזה [</w:t>
      </w:r>
      <w:proofErr w:type="spellStart"/>
      <w:r>
        <w:rPr>
          <w:b/>
          <w:sz w:val="20"/>
          <w:szCs w:val="20"/>
          <w:rtl/>
        </w:rPr>
        <w:t>ריהרט</w:t>
      </w:r>
      <w:proofErr w:type="spellEnd"/>
      <w:r>
        <w:rPr>
          <w:b/>
          <w:sz w:val="20"/>
          <w:szCs w:val="20"/>
          <w:rtl/>
        </w:rPr>
        <w:t xml:space="preserve"> אן] את </w:t>
      </w:r>
      <w:proofErr w:type="spellStart"/>
      <w:r>
        <w:rPr>
          <w:b/>
          <w:sz w:val="20"/>
          <w:szCs w:val="20"/>
          <w:rtl/>
        </w:rPr>
        <w:t>המלבי״ם</w:t>
      </w:r>
      <w:proofErr w:type="spellEnd"/>
      <w:r>
        <w:rPr>
          <w:b/>
          <w:sz w:val="20"/>
          <w:szCs w:val="20"/>
          <w:rtl/>
        </w:rPr>
        <w:t>, ופוגע מאוד בכבוד [</w:t>
      </w:r>
      <w:proofErr w:type="spellStart"/>
      <w:r>
        <w:rPr>
          <w:b/>
          <w:sz w:val="20"/>
          <w:szCs w:val="20"/>
          <w:rtl/>
        </w:rPr>
        <w:t>שטארק</w:t>
      </w:r>
      <w:proofErr w:type="spellEnd"/>
      <w:r>
        <w:rPr>
          <w:b/>
          <w:sz w:val="20"/>
          <w:szCs w:val="20"/>
          <w:rtl/>
        </w:rPr>
        <w:t xml:space="preserve"> פוגע בכבוד] אפילו של ראשונים”.</w:t>
      </w:r>
    </w:p>
  </w:footnote>
  <w:footnote w:id="107">
    <w:p w14:paraId="12331A2C"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יומא ה ע״א.</w:t>
      </w:r>
    </w:p>
  </w:footnote>
  <w:footnote w:id="108">
    <w:p w14:paraId="4D7FBCC9"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25 במרץ 1988.</w:t>
      </w:r>
    </w:p>
  </w:footnote>
  <w:footnote w:id="109">
    <w:p w14:paraId="387A4AB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בתרגום קהלת (</w:t>
      </w:r>
      <w:proofErr w:type="spellStart"/>
      <w:r>
        <w:rPr>
          <w:b/>
          <w:sz w:val="20"/>
          <w:szCs w:val="20"/>
          <w:rtl/>
        </w:rPr>
        <w:t>יב</w:t>
      </w:r>
      <w:proofErr w:type="spellEnd"/>
      <w:r>
        <w:rPr>
          <w:b/>
          <w:sz w:val="20"/>
          <w:szCs w:val="20"/>
          <w:rtl/>
        </w:rPr>
        <w:t>, ה) איתא שאדם זקן מפחד להזכיר דברים שקרו לפניו זמן רב, עיי״ש, ולא ברור הטעם לכך; ואולי מפני שסתם זקן חושש שמא זיכרונו מטעהו.</w:t>
      </w:r>
    </w:p>
  </w:footnote>
  <w:footnote w:id="110">
    <w:p w14:paraId="4690B382"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בני ברק, תשנ״ח, עמ׳ </w:t>
      </w:r>
      <w:proofErr w:type="spellStart"/>
      <w:r>
        <w:rPr>
          <w:b/>
          <w:sz w:val="20"/>
          <w:szCs w:val="20"/>
          <w:rtl/>
        </w:rPr>
        <w:t>יב</w:t>
      </w:r>
      <w:proofErr w:type="spellEnd"/>
      <w:r>
        <w:rPr>
          <w:b/>
          <w:sz w:val="20"/>
          <w:szCs w:val="20"/>
          <w:rtl/>
        </w:rPr>
        <w:t>.</w:t>
      </w:r>
    </w:p>
  </w:footnote>
  <w:footnote w:id="111">
    <w:p w14:paraId="38434D1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הפסקה שלפני האחרונה במאמר הזיכרון מאת הרב ניסן </w:t>
      </w:r>
      <w:proofErr w:type="spellStart"/>
      <w:r>
        <w:rPr>
          <w:b/>
          <w:sz w:val="20"/>
          <w:szCs w:val="20"/>
          <w:rtl/>
        </w:rPr>
        <w:t>וולפין</w:t>
      </w:r>
      <w:proofErr w:type="spellEnd"/>
      <w:r>
        <w:rPr>
          <w:b/>
          <w:sz w:val="20"/>
          <w:szCs w:val="20"/>
          <w:rtl/>
        </w:rPr>
        <w:t xml:space="preserve"> </w:t>
      </w:r>
      <w:proofErr w:type="spellStart"/>
      <w:r>
        <w:rPr>
          <w:b/>
          <w:sz w:val="20"/>
          <w:szCs w:val="20"/>
          <w:rtl/>
        </w:rPr>
        <w:t>בג׳ואיש</w:t>
      </w:r>
      <w:proofErr w:type="spellEnd"/>
      <w:r>
        <w:rPr>
          <w:b/>
          <w:sz w:val="20"/>
          <w:szCs w:val="20"/>
          <w:rtl/>
        </w:rPr>
        <w:t xml:space="preserve"> </w:t>
      </w:r>
      <w:proofErr w:type="spellStart"/>
      <w:r>
        <w:rPr>
          <w:b/>
          <w:sz w:val="20"/>
          <w:szCs w:val="20"/>
          <w:rtl/>
        </w:rPr>
        <w:t>אובזרבר</w:t>
      </w:r>
      <w:proofErr w:type="spellEnd"/>
      <w:r>
        <w:rPr>
          <w:b/>
          <w:sz w:val="20"/>
          <w:szCs w:val="20"/>
          <w:rtl/>
        </w:rPr>
        <w:t xml:space="preserve"> (אייר תשמ״ו).</w:t>
      </w:r>
    </w:p>
  </w:footnote>
  <w:footnote w:id="112">
    <w:p w14:paraId="08F0E3B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3">
    <w:p w14:paraId="1C5CA917"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ריאיון במינסק עם דבורה, חברתה של בתו שיינה (השווה פרק 1, הערה 84), 6 בדצמבר 1990. בזמן הריאיון הייתה דבורה אלמנתו של אחי אבי, אהרן </w:t>
      </w:r>
      <w:proofErr w:type="spellStart"/>
      <w:r>
        <w:rPr>
          <w:b/>
          <w:sz w:val="20"/>
          <w:szCs w:val="20"/>
          <w:rtl/>
        </w:rPr>
        <w:t>קמינצקי</w:t>
      </w:r>
      <w:proofErr w:type="spellEnd"/>
      <w:r>
        <w:rPr>
          <w:b/>
          <w:sz w:val="20"/>
          <w:szCs w:val="20"/>
          <w:rtl/>
        </w:rPr>
        <w:t>, מנישואיהם השניים שלאחר מלחמת העולם השנייה.</w:t>
      </w:r>
    </w:p>
  </w:footnote>
  <w:footnote w:id="114">
    <w:p w14:paraId="29CFA761"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ריאיון, 17 במרץ 1988.</w:t>
      </w:r>
    </w:p>
  </w:footnote>
  <w:footnote w:id="115">
    <w:p w14:paraId="1E550DC8"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השווה פרק 1.2.</w:t>
      </w:r>
    </w:p>
  </w:footnote>
  <w:footnote w:id="116">
    <w:p w14:paraId="3FFE6775"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השווה את הערתו של העורך אלתר </w:t>
      </w:r>
      <w:proofErr w:type="spellStart"/>
      <w:r>
        <w:rPr>
          <w:b/>
          <w:sz w:val="20"/>
          <w:szCs w:val="20"/>
          <w:rtl/>
        </w:rPr>
        <w:t>דרויאנוב</w:t>
      </w:r>
      <w:proofErr w:type="spellEnd"/>
      <w:r>
        <w:rPr>
          <w:b/>
          <w:sz w:val="20"/>
          <w:szCs w:val="20"/>
          <w:rtl/>
        </w:rPr>
        <w:t xml:space="preserve"> למאמר “ממנהגי ישראל” מאת יהודה </w:t>
      </w:r>
      <w:proofErr w:type="spellStart"/>
      <w:r>
        <w:rPr>
          <w:b/>
          <w:sz w:val="20"/>
          <w:szCs w:val="20"/>
          <w:rtl/>
        </w:rPr>
        <w:t>אלזט</w:t>
      </w:r>
      <w:proofErr w:type="spellEnd"/>
      <w:r>
        <w:rPr>
          <w:b/>
          <w:sz w:val="20"/>
          <w:szCs w:val="20"/>
          <w:rtl/>
        </w:rPr>
        <w:t xml:space="preserve">, </w:t>
      </w:r>
      <w:proofErr w:type="spellStart"/>
      <w:r>
        <w:rPr>
          <w:b/>
          <w:sz w:val="20"/>
          <w:szCs w:val="20"/>
          <w:rtl/>
        </w:rPr>
        <w:t>ב“רשומות</w:t>
      </w:r>
      <w:proofErr w:type="spellEnd"/>
      <w:r>
        <w:rPr>
          <w:b/>
          <w:sz w:val="20"/>
          <w:szCs w:val="20"/>
          <w:rtl/>
        </w:rPr>
        <w:t>” א׳ (תרפ״ה), עמ׳ 367 (סוף סעיף ד). מאחורי השם “</w:t>
      </w:r>
      <w:proofErr w:type="spellStart"/>
      <w:r>
        <w:rPr>
          <w:b/>
          <w:sz w:val="20"/>
          <w:szCs w:val="20"/>
          <w:rtl/>
        </w:rPr>
        <w:t>אלזט</w:t>
      </w:r>
      <w:proofErr w:type="spellEnd"/>
      <w:r>
        <w:rPr>
          <w:b/>
          <w:sz w:val="20"/>
          <w:szCs w:val="20"/>
          <w:rtl/>
        </w:rPr>
        <w:t xml:space="preserve">” עמד ר׳ </w:t>
      </w:r>
      <w:proofErr w:type="spellStart"/>
      <w:r>
        <w:rPr>
          <w:b/>
          <w:sz w:val="20"/>
          <w:szCs w:val="20"/>
          <w:rtl/>
        </w:rPr>
        <w:t>יהודה־לייב</w:t>
      </w:r>
      <w:proofErr w:type="spellEnd"/>
      <w:r>
        <w:rPr>
          <w:b/>
          <w:sz w:val="20"/>
          <w:szCs w:val="20"/>
          <w:rtl/>
        </w:rPr>
        <w:t xml:space="preserve"> </w:t>
      </w:r>
      <w:proofErr w:type="spellStart"/>
      <w:r>
        <w:rPr>
          <w:b/>
          <w:sz w:val="20"/>
          <w:szCs w:val="20"/>
          <w:rtl/>
        </w:rPr>
        <w:t>זלוטניק</w:t>
      </w:r>
      <w:proofErr w:type="spellEnd"/>
      <w:r>
        <w:rPr>
          <w:b/>
          <w:sz w:val="20"/>
          <w:szCs w:val="20"/>
          <w:rtl/>
        </w:rPr>
        <w:t xml:space="preserve">, רבה של </w:t>
      </w:r>
      <w:proofErr w:type="spellStart"/>
      <w:r>
        <w:rPr>
          <w:b/>
          <w:sz w:val="20"/>
          <w:szCs w:val="20"/>
          <w:rtl/>
        </w:rPr>
        <w:t>גומבין</w:t>
      </w:r>
      <w:proofErr w:type="spellEnd"/>
      <w:r>
        <w:rPr>
          <w:b/>
          <w:sz w:val="20"/>
          <w:szCs w:val="20"/>
          <w:rtl/>
        </w:rPr>
        <w:t xml:space="preserve"> שממערב לוורשה. הוא כתב חומר אתנוגרפי בשם בדוי, משום </w:t>
      </w:r>
      <w:proofErr w:type="spellStart"/>
      <w:r>
        <w:rPr>
          <w:b/>
          <w:sz w:val="20"/>
          <w:szCs w:val="20"/>
          <w:rtl/>
        </w:rPr>
        <w:t>ש“חשש</w:t>
      </w:r>
      <w:proofErr w:type="spellEnd"/>
      <w:r>
        <w:rPr>
          <w:b/>
          <w:sz w:val="20"/>
          <w:szCs w:val="20"/>
          <w:rtl/>
        </w:rPr>
        <w:t xml:space="preserve"> שהמון העם, שאינו יכול להעריך את חשיבותם של מחקרים כאלה, יראה בהם דבר שאינו הולם רב” (</w:t>
      </w:r>
      <w:proofErr w:type="spellStart"/>
      <w:r>
        <w:rPr>
          <w:b/>
          <w:sz w:val="20"/>
          <w:szCs w:val="20"/>
        </w:rPr>
        <w:t>אנציקלופדיה</w:t>
      </w:r>
      <w:proofErr w:type="spellEnd"/>
      <w:r>
        <w:rPr>
          <w:b/>
          <w:sz w:val="20"/>
          <w:szCs w:val="20"/>
        </w:rPr>
        <w:t xml:space="preserve"> </w:t>
      </w:r>
      <w:proofErr w:type="spellStart"/>
      <w:r>
        <w:rPr>
          <w:b/>
          <w:sz w:val="20"/>
          <w:szCs w:val="20"/>
        </w:rPr>
        <w:t>יודאיקה</w:t>
      </w:r>
      <w:proofErr w:type="spellEnd"/>
      <w:r>
        <w:rPr>
          <w:b/>
          <w:sz w:val="20"/>
          <w:szCs w:val="20"/>
          <w:rtl/>
        </w:rPr>
        <w:t xml:space="preserve">, כרך 3, עמ׳ 960). ועיין </w:t>
      </w:r>
      <w:proofErr w:type="spellStart"/>
      <w:r>
        <w:rPr>
          <w:b/>
          <w:sz w:val="20"/>
          <w:szCs w:val="20"/>
          <w:rtl/>
        </w:rPr>
        <w:t>שו״ע</w:t>
      </w:r>
      <w:proofErr w:type="spellEnd"/>
      <w:r>
        <w:rPr>
          <w:b/>
          <w:sz w:val="20"/>
          <w:szCs w:val="20"/>
          <w:rtl/>
        </w:rPr>
        <w:t xml:space="preserve"> יו״ד סי׳ </w:t>
      </w:r>
      <w:proofErr w:type="spellStart"/>
      <w:r>
        <w:rPr>
          <w:b/>
          <w:sz w:val="20"/>
          <w:szCs w:val="20"/>
          <w:rtl/>
        </w:rPr>
        <w:t>רסד</w:t>
      </w:r>
      <w:proofErr w:type="spellEnd"/>
      <w:r>
        <w:rPr>
          <w:b/>
          <w:sz w:val="20"/>
          <w:szCs w:val="20"/>
          <w:rtl/>
        </w:rPr>
        <w:t xml:space="preserve"> ס״א בהגה, שיש לאדם לחזר ולהדר אחר מוהל ובעל ברית (סנדק) היותר טוב וצדיק.</w:t>
      </w:r>
    </w:p>
  </w:footnote>
  <w:footnote w:id="117">
    <w:p w14:paraId="1DD3B70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אחי ר׳ אברהם, ריאיון, 2 בדצמבר 1989.</w:t>
      </w:r>
    </w:p>
  </w:footnote>
  <w:footnote w:id="118">
    <w:p w14:paraId="5E20E12E"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המוסד גור אריה (ירושלים, תשמ״א), עמ׳ </w:t>
      </w:r>
      <w:proofErr w:type="spellStart"/>
      <w:r>
        <w:rPr>
          <w:b/>
          <w:sz w:val="20"/>
          <w:szCs w:val="20"/>
          <w:rtl/>
        </w:rPr>
        <w:t>ריז</w:t>
      </w:r>
      <w:proofErr w:type="spellEnd"/>
      <w:r>
        <w:rPr>
          <w:b/>
          <w:sz w:val="20"/>
          <w:szCs w:val="20"/>
          <w:rtl/>
        </w:rPr>
        <w:t>.</w:t>
      </w:r>
    </w:p>
  </w:footnote>
  <w:footnote w:id="119">
    <w:p w14:paraId="2E6B7B8D"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מאת </w:t>
      </w:r>
      <w:proofErr w:type="spellStart"/>
      <w:r>
        <w:rPr>
          <w:b/>
          <w:sz w:val="20"/>
          <w:szCs w:val="20"/>
          <w:rtl/>
        </w:rPr>
        <w:t>הר״ר</w:t>
      </w:r>
      <w:proofErr w:type="spellEnd"/>
      <w:r>
        <w:rPr>
          <w:b/>
          <w:sz w:val="20"/>
          <w:szCs w:val="20"/>
          <w:rtl/>
        </w:rPr>
        <w:t xml:space="preserve"> ישראל דוד </w:t>
      </w:r>
      <w:proofErr w:type="spellStart"/>
      <w:r>
        <w:rPr>
          <w:b/>
          <w:sz w:val="20"/>
          <w:szCs w:val="20"/>
          <w:rtl/>
        </w:rPr>
        <w:t>מיללער</w:t>
      </w:r>
      <w:proofErr w:type="spellEnd"/>
      <w:r>
        <w:rPr>
          <w:b/>
          <w:sz w:val="20"/>
          <w:szCs w:val="20"/>
          <w:rtl/>
        </w:rPr>
        <w:t xml:space="preserve">, תרמ״ט (מהדורה שלישית: “הוצאת חנניה”, ירושלים, תש״י), עמ׳ </w:t>
      </w:r>
      <w:proofErr w:type="spellStart"/>
      <w:r>
        <w:rPr>
          <w:b/>
          <w:sz w:val="20"/>
          <w:szCs w:val="20"/>
          <w:rtl/>
        </w:rPr>
        <w:t>כא</w:t>
      </w:r>
      <w:proofErr w:type="spellEnd"/>
      <w:r>
        <w:rPr>
          <w:b/>
          <w:sz w:val="20"/>
          <w:szCs w:val="20"/>
          <w:rtl/>
        </w:rPr>
        <w:t>–</w:t>
      </w:r>
      <w:proofErr w:type="spellStart"/>
      <w:r>
        <w:rPr>
          <w:b/>
          <w:sz w:val="20"/>
          <w:szCs w:val="20"/>
          <w:rtl/>
        </w:rPr>
        <w:t>כב</w:t>
      </w:r>
      <w:proofErr w:type="spellEnd"/>
      <w:r>
        <w:rPr>
          <w:b/>
          <w:sz w:val="20"/>
          <w:szCs w:val="20"/>
          <w:rtl/>
        </w:rPr>
        <w:t xml:space="preserve">. זהו ספר תולדות חייו של ר׳ </w:t>
      </w:r>
      <w:proofErr w:type="spellStart"/>
      <w:r>
        <w:rPr>
          <w:b/>
          <w:sz w:val="20"/>
          <w:szCs w:val="20"/>
          <w:rtl/>
        </w:rPr>
        <w:t>נחומק׳ה</w:t>
      </w:r>
      <w:proofErr w:type="spellEnd"/>
      <w:r>
        <w:rPr>
          <w:b/>
          <w:sz w:val="20"/>
          <w:szCs w:val="20"/>
          <w:rtl/>
        </w:rPr>
        <w:t xml:space="preserve"> </w:t>
      </w:r>
      <w:proofErr w:type="spellStart"/>
      <w:r>
        <w:rPr>
          <w:b/>
          <w:sz w:val="20"/>
          <w:szCs w:val="20"/>
          <w:rtl/>
        </w:rPr>
        <w:t>הורודנער</w:t>
      </w:r>
      <w:proofErr w:type="spellEnd"/>
      <w:r>
        <w:rPr>
          <w:b/>
          <w:sz w:val="20"/>
          <w:szCs w:val="20"/>
          <w:rtl/>
        </w:rPr>
        <w:t xml:space="preserve"> (קפלן), מרבותיו של </w:t>
      </w:r>
      <w:proofErr w:type="spellStart"/>
      <w:r>
        <w:rPr>
          <w:b/>
          <w:sz w:val="20"/>
          <w:szCs w:val="20"/>
          <w:rtl/>
        </w:rPr>
        <w:t>החפץ־חיים</w:t>
      </w:r>
      <w:proofErr w:type="spellEnd"/>
      <w:r>
        <w:rPr>
          <w:b/>
          <w:sz w:val="20"/>
          <w:szCs w:val="20"/>
          <w:rtl/>
        </w:rPr>
        <w:t xml:space="preserve"> (ראה פרק 4, הערה 8). בספר זה יכונה ר׳ </w:t>
      </w:r>
      <w:proofErr w:type="spellStart"/>
      <w:r>
        <w:rPr>
          <w:b/>
          <w:sz w:val="20"/>
          <w:szCs w:val="20"/>
          <w:rtl/>
        </w:rPr>
        <w:t>ישראל־מאיר</w:t>
      </w:r>
      <w:proofErr w:type="spellEnd"/>
      <w:r>
        <w:rPr>
          <w:b/>
          <w:sz w:val="20"/>
          <w:szCs w:val="20"/>
          <w:rtl/>
        </w:rPr>
        <w:t xml:space="preserve"> הכהן (</w:t>
      </w:r>
      <w:proofErr w:type="spellStart"/>
      <w:r>
        <w:rPr>
          <w:b/>
          <w:sz w:val="20"/>
          <w:szCs w:val="20"/>
          <w:rtl/>
        </w:rPr>
        <w:t>קגן</w:t>
      </w:r>
      <w:proofErr w:type="spellEnd"/>
      <w:r>
        <w:rPr>
          <w:b/>
          <w:sz w:val="20"/>
          <w:szCs w:val="20"/>
          <w:rtl/>
        </w:rPr>
        <w:t>) בשם ספרו המפורסם, “</w:t>
      </w:r>
      <w:proofErr w:type="spellStart"/>
      <w:r>
        <w:rPr>
          <w:b/>
          <w:sz w:val="20"/>
          <w:szCs w:val="20"/>
          <w:rtl/>
        </w:rPr>
        <w:t>החפץ־חיים</w:t>
      </w:r>
      <w:proofErr w:type="spellEnd"/>
      <w:r>
        <w:rPr>
          <w:b/>
          <w:sz w:val="20"/>
          <w:szCs w:val="20"/>
          <w:rtl/>
        </w:rPr>
        <w:t xml:space="preserve">”, כפי שהוא נקרא בפי כל. הביוגרפיה שלו מאת הרב מ״מ ישר, בתרגומה לאנגלית מאת </w:t>
      </w:r>
      <w:proofErr w:type="spellStart"/>
      <w:r>
        <w:rPr>
          <w:b/>
          <w:sz w:val="20"/>
          <w:szCs w:val="20"/>
        </w:rPr>
        <w:t>סי</w:t>
      </w:r>
      <w:proofErr w:type="spellEnd"/>
      <w:r>
        <w:rPr>
          <w:b/>
          <w:sz w:val="20"/>
          <w:szCs w:val="20"/>
        </w:rPr>
        <w:t xml:space="preserve">. </w:t>
      </w:r>
      <w:proofErr w:type="spellStart"/>
      <w:r>
        <w:rPr>
          <w:b/>
          <w:sz w:val="20"/>
          <w:szCs w:val="20"/>
        </w:rPr>
        <w:t>וינגרוב</w:t>
      </w:r>
      <w:proofErr w:type="spellEnd"/>
      <w:r>
        <w:rPr>
          <w:b/>
          <w:sz w:val="20"/>
          <w:szCs w:val="20"/>
          <w:rtl/>
        </w:rPr>
        <w:t xml:space="preserve"> – </w:t>
      </w:r>
      <w:r>
        <w:rPr>
          <w:b/>
          <w:sz w:val="20"/>
          <w:szCs w:val="20"/>
        </w:rPr>
        <w:t>“</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 </w:t>
      </w:r>
      <w:proofErr w:type="spellStart"/>
      <w:r>
        <w:rPr>
          <w:b/>
          <w:sz w:val="20"/>
          <w:szCs w:val="20"/>
        </w:rPr>
        <w:t>חייו</w:t>
      </w:r>
      <w:proofErr w:type="spellEnd"/>
      <w:r>
        <w:rPr>
          <w:b/>
          <w:sz w:val="20"/>
          <w:szCs w:val="20"/>
        </w:rPr>
        <w:t xml:space="preserve"> </w:t>
      </w:r>
      <w:proofErr w:type="spellStart"/>
      <w:r>
        <w:rPr>
          <w:b/>
          <w:sz w:val="20"/>
          <w:szCs w:val="20"/>
        </w:rPr>
        <w:t>ופעלו</w:t>
      </w:r>
      <w:proofErr w:type="spellEnd"/>
      <w:r>
        <w:rPr>
          <w:b/>
          <w:sz w:val="20"/>
          <w:szCs w:val="20"/>
        </w:rPr>
        <w:t>”</w:t>
      </w:r>
      <w:r>
        <w:rPr>
          <w:b/>
          <w:sz w:val="20"/>
          <w:szCs w:val="20"/>
          <w:rtl/>
        </w:rPr>
        <w:t xml:space="preserve"> (</w:t>
      </w:r>
      <w:proofErr w:type="spellStart"/>
      <w:r>
        <w:rPr>
          <w:b/>
          <w:sz w:val="20"/>
          <w:szCs w:val="20"/>
        </w:rPr>
        <w:t>הוצאת</w:t>
      </w:r>
      <w:proofErr w:type="spellEnd"/>
      <w:r>
        <w:rPr>
          <w:b/>
          <w:sz w:val="20"/>
          <w:szCs w:val="20"/>
        </w:rPr>
        <w:t xml:space="preserve"> </w:t>
      </w:r>
      <w:proofErr w:type="spellStart"/>
      <w:r>
        <w:rPr>
          <w:b/>
          <w:sz w:val="20"/>
          <w:szCs w:val="20"/>
        </w:rPr>
        <w:t>מסורה</w:t>
      </w:r>
      <w:proofErr w:type="spellEnd"/>
      <w:r>
        <w:rPr>
          <w:b/>
          <w:sz w:val="20"/>
          <w:szCs w:val="20"/>
          <w:rtl/>
        </w:rPr>
        <w:t xml:space="preserve">, ברוקלין, 1984) – תכונה להלן: </w:t>
      </w:r>
      <w:proofErr w:type="spellStart"/>
      <w:r>
        <w:rPr>
          <w:b/>
          <w:sz w:val="20"/>
          <w:szCs w:val="20"/>
        </w:rPr>
        <w:t>החפץ</w:t>
      </w:r>
      <w:proofErr w:type="spellEnd"/>
      <w:r>
        <w:rPr>
          <w:b/>
          <w:sz w:val="20"/>
          <w:szCs w:val="20"/>
        </w:rPr>
        <w:t xml:space="preserve"> </w:t>
      </w:r>
      <w:proofErr w:type="spellStart"/>
      <w:r>
        <w:rPr>
          <w:b/>
          <w:sz w:val="20"/>
          <w:szCs w:val="20"/>
        </w:rPr>
        <w:t>חיים</w:t>
      </w:r>
      <w:proofErr w:type="spellEnd"/>
      <w:r>
        <w:rPr>
          <w:b/>
          <w:sz w:val="20"/>
          <w:szCs w:val="20"/>
        </w:rPr>
        <w:t xml:space="preserve"> (</w:t>
      </w:r>
      <w:proofErr w:type="spellStart"/>
      <w:r>
        <w:rPr>
          <w:b/>
          <w:sz w:val="20"/>
          <w:szCs w:val="20"/>
        </w:rPr>
        <w:t>ישר</w:t>
      </w:r>
      <w:proofErr w:type="spellEnd"/>
      <w:r>
        <w:rPr>
          <w:b/>
          <w:sz w:val="20"/>
          <w:szCs w:val="20"/>
        </w:rPr>
        <w:t>).</w:t>
      </w:r>
    </w:p>
  </w:footnote>
  <w:footnote w:id="120">
    <w:p w14:paraId="6C6FA1E4" w14:textId="77777777" w:rsidR="00AB3647" w:rsidRDefault="00000000">
      <w:pPr>
        <w:spacing w:after="0" w:before="0"/>
        <w:jc w:val="both"/>
        <w:rPr>
          <w:b/>
          <w:sz w:val="20"/>
          <w:szCs w:val="20"/>
        </w:rPr>
      </w:pPr>
      <w:r>
        <w:rPr>
          <w:rStyle w:val="a5"/>
          <w:b/>
          <w:sz w:val="20"/>
          <w:szCs w:val="20"/>
          <w:vertAlign w:val="baseline"/>
        </w:rPr>
        <w:footnoteRef/>
      </w:r>
      <w:r>
        <w:rPr>
          <w:rStyle w:val="a5"/>
          <w:b/>
          <w:sz w:val="20"/>
          <w:szCs w:val="20"/>
          <w:vertAlign w:val="baseline"/>
          <w:rtl/>
        </w:rPr>
        <w:t>.</w:t>
      </w:r>
      <w:r>
        <w:rPr>
          <w:b/>
          <w:sz w:val="20"/>
          <w:szCs w:val="20"/>
          <w:rtl/>
        </w:rPr>
        <w:t xml:space="preserve"> </w:t>
      </w:r>
      <w:r>
        <w:rPr>
          <w:b/>
          <w:sz w:val="20"/>
          <w:szCs w:val="20"/>
          <w:rtl/>
        </w:rPr>
        <w:t xml:space="preserve">ירמיה לא, </w:t>
      </w:r>
      <w:proofErr w:type="spellStart"/>
      <w:r>
        <w:rPr>
          <w:b/>
          <w:sz w:val="20"/>
          <w:szCs w:val="20"/>
          <w:rtl/>
        </w:rPr>
        <w:t>טז</w:t>
      </w:r>
      <w:proofErr w:type="spellEnd"/>
      <w:r>
        <w:rPr>
          <w:b/>
          <w:sz w:val="20"/>
          <w:szCs w:val="20"/>
          <w:rtl/>
        </w:rPr>
        <w:t>.</w:t>
      </w:r>
    </w:p>
  </w:footnote>
  <w:footnote w:id="121">
    <w:p w14:paraId="11A2A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בפברואר 1988; והשווה כרך 3.</w:t>
      </w:r>
    </w:p>
  </w:footnote>
  <w:footnote w:id="122">
    <w:p w14:paraId="2803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מסכת ע״ז ד׳ ע״א שאפשר להיות “אדם גדול” בלי לדעת קראי.</w:t>
      </w:r>
    </w:p>
  </w:footnote>
  <w:footnote w:id="123">
    <w:p w14:paraId="34ECC7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18. “</w:t>
      </w:r>
      <w:proofErr w:type="spellStart"/>
      <w:r>
        <w:rPr>
          <w:sz w:val="20"/>
          <w:szCs w:val="20"/>
          <w:rtl/>
        </w:rPr>
        <w:t>זכרון</w:t>
      </w:r>
      <w:proofErr w:type="spellEnd"/>
      <w:r>
        <w:rPr>
          <w:sz w:val="20"/>
          <w:szCs w:val="20"/>
          <w:rtl/>
        </w:rPr>
        <w:t xml:space="preserve"> יעקב” יצא לאור בשלושה כרכים </w:t>
      </w:r>
      <w:proofErr w:type="spellStart"/>
      <w:r>
        <w:rPr>
          <w:sz w:val="20"/>
          <w:szCs w:val="20"/>
          <w:rtl/>
        </w:rPr>
        <w:t>בקובנה־סלבודקה</w:t>
      </w:r>
      <w:proofErr w:type="spellEnd"/>
      <w:r>
        <w:rPr>
          <w:sz w:val="20"/>
          <w:szCs w:val="20"/>
          <w:rtl/>
        </w:rPr>
        <w:t>, בשנים 1924, 1927 ו־1930.</w:t>
      </w:r>
    </w:p>
  </w:footnote>
  <w:footnote w:id="124">
    <w:p w14:paraId="7AB54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קי״א ע״א.</w:t>
      </w:r>
    </w:p>
  </w:footnote>
  <w:footnote w:id="125">
    <w:p w14:paraId="1841F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ע״א.</w:t>
      </w:r>
    </w:p>
  </w:footnote>
  <w:footnote w:id="126">
    <w:p w14:paraId="3602AA7E"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אברהם דנציג נפטר בווילנה בתשרי תקפ״א, כשנה לפני השנה הנזכרת כאן.</w:t>
      </w:r>
    </w:p>
  </w:footnote>
  <w:footnote w:id="127">
    <w:p w14:paraId="1F5372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כלל </w:t>
      </w:r>
      <w:proofErr w:type="spellStart"/>
      <w:r>
        <w:rPr>
          <w:sz w:val="20"/>
          <w:szCs w:val="20"/>
          <w:rtl/>
        </w:rPr>
        <w:t>קכא</w:t>
      </w:r>
      <w:proofErr w:type="spellEnd"/>
      <w:r>
        <w:rPr>
          <w:sz w:val="20"/>
          <w:szCs w:val="20"/>
          <w:rtl/>
        </w:rPr>
        <w:t xml:space="preserve"> סעיף ז׳.</w:t>
      </w:r>
    </w:p>
  </w:footnote>
  <w:footnote w:id="128">
    <w:p w14:paraId="5F65F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חב תודה </w:t>
      </w:r>
      <w:proofErr w:type="spellStart"/>
      <w:r>
        <w:rPr>
          <w:sz w:val="20"/>
          <w:szCs w:val="20"/>
          <w:rtl/>
        </w:rPr>
        <w:t>לר</w:t>
      </w:r>
      <w:proofErr w:type="spellEnd"/>
      <w:r>
        <w:rPr>
          <w:sz w:val="20"/>
          <w:szCs w:val="20"/>
          <w:rtl/>
        </w:rPr>
        <w:t xml:space="preserve">׳ מרדכי מאייר על הפרטים על בעל “חיי אדם”, שמסר לי ב־14 באוקטובר 1999. ר׳ מרדכי סיפר עוד כי בספרייה הלאומית בירושלים יש עותק יחיד של ספר שחיבר אבי אביו של ר׳ אברהם דנציג, “ר׳ שמואל </w:t>
      </w:r>
      <w:proofErr w:type="spellStart"/>
      <w:r>
        <w:rPr>
          <w:sz w:val="20"/>
          <w:szCs w:val="20"/>
          <w:rtl/>
        </w:rPr>
        <w:t>מהופנבך</w:t>
      </w:r>
      <w:proofErr w:type="spellEnd"/>
      <w:r>
        <w:rPr>
          <w:sz w:val="20"/>
          <w:szCs w:val="20"/>
          <w:rtl/>
        </w:rPr>
        <w:t xml:space="preserve">, המכונה </w:t>
      </w:r>
      <w:proofErr w:type="spellStart"/>
      <w:r>
        <w:rPr>
          <w:sz w:val="20"/>
          <w:szCs w:val="20"/>
          <w:rtl/>
        </w:rPr>
        <w:t>שוטלנד</w:t>
      </w:r>
      <w:proofErr w:type="spellEnd"/>
      <w:r>
        <w:rPr>
          <w:sz w:val="20"/>
          <w:szCs w:val="20"/>
          <w:rtl/>
        </w:rPr>
        <w:t>, פרבר של העיר דנציג”, שנפטר בערך בשנת תק״ל. הספר הוא פירוש על ספר ישעיה בשם “נחמות ציון”, ויצא לאור בברלין בשנת תקל״ב.</w:t>
      </w:r>
    </w:p>
    <w:p w14:paraId="65601BFF" w14:textId="77777777" w:rsidR="00AB3647" w:rsidRDefault="00000000">
      <w:pPr>
        <w:spacing w:after="0" w:before="0"/>
        <w:jc w:val="both"/>
      </w:pPr>
      <w:r>
        <w:rPr>
          <w:sz w:val="20"/>
          <w:szCs w:val="20"/>
          <w:rtl/>
        </w:rPr>
        <w:t xml:space="preserve">לפי עדות המוציא לאור, היו בכתב היד פירושים רבים על דרך הקבלה, והוא השמיטם משום שכתב היד היה מתפורר, וחשש שמא יקרא את קטעי הקבלה </w:t>
      </w:r>
      <w:r>
        <w:rPr>
          <w:b/>
          <w:bCs/>
          <w:sz w:val="20"/>
          <w:szCs w:val="20"/>
          <w:rtl/>
        </w:rPr>
        <w:t>שלא כראוי</w:t>
      </w:r>
      <w:r>
        <w:rPr>
          <w:sz w:val="20"/>
          <w:szCs w:val="20"/>
          <w:rtl/>
        </w:rPr>
        <w:t xml:space="preserve">. </w:t>
      </w:r>
      <w:proofErr w:type="spellStart"/>
      <w:r>
        <w:rPr>
          <w:sz w:val="20"/>
          <w:szCs w:val="20"/>
          <w:rtl/>
        </w:rPr>
        <w:t>לר</w:t>
      </w:r>
      <w:proofErr w:type="spellEnd"/>
      <w:r>
        <w:rPr>
          <w:sz w:val="20"/>
          <w:szCs w:val="20"/>
          <w:rtl/>
        </w:rPr>
        <w:t xml:space="preserve">׳ שמואל היו שלוש בנות ושבעה </w:t>
      </w:r>
      <w:r>
        <w:rPr>
          <w:b/>
          <w:bCs/>
          <w:sz w:val="20"/>
          <w:szCs w:val="20"/>
          <w:rtl/>
        </w:rPr>
        <w:t>בנים</w:t>
      </w:r>
      <w:r>
        <w:rPr>
          <w:sz w:val="20"/>
          <w:szCs w:val="20"/>
          <w:rtl/>
        </w:rPr>
        <w:t xml:space="preserve">; שניים מן הבנים, ר׳ </w:t>
      </w:r>
      <w:proofErr w:type="spellStart"/>
      <w:r>
        <w:rPr>
          <w:sz w:val="20"/>
          <w:szCs w:val="20"/>
          <w:rtl/>
        </w:rPr>
        <w:t>דוב־בער</w:t>
      </w:r>
      <w:proofErr w:type="spellEnd"/>
      <w:r>
        <w:rPr>
          <w:sz w:val="20"/>
          <w:szCs w:val="20"/>
          <w:rtl/>
        </w:rPr>
        <w:t xml:space="preserve"> ור׳ </w:t>
      </w:r>
      <w:proofErr w:type="spellStart"/>
      <w:r>
        <w:rPr>
          <w:sz w:val="20"/>
          <w:szCs w:val="20"/>
          <w:rtl/>
        </w:rPr>
        <w:t>יחיאל־מיכל</w:t>
      </w:r>
      <w:proofErr w:type="spellEnd"/>
      <w:r>
        <w:rPr>
          <w:sz w:val="20"/>
          <w:szCs w:val="20"/>
          <w:rtl/>
        </w:rPr>
        <w:t>, הם שהוציאו את הספר לאור, והאחרון הוא אביו של ר׳ אברהם דנציג. ראה גם את הפסקה השנייה בהערה 7 להלן.</w:t>
      </w:r>
    </w:p>
  </w:footnote>
  <w:footnote w:id="129">
    <w:p w14:paraId="331EEA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95 להלן, על הכלל של אבי בעניין הגיית ראשי תיבות.</w:t>
      </w:r>
    </w:p>
  </w:footnote>
  <w:footnote w:id="130">
    <w:p w14:paraId="440E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השנייה בהערה 5 לעיל.</w:t>
      </w:r>
    </w:p>
  </w:footnote>
  <w:footnote w:id="131">
    <w:p w14:paraId="69B0A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רמ״ו </w:t>
      </w:r>
      <w:proofErr w:type="spellStart"/>
      <w:r>
        <w:rPr>
          <w:sz w:val="20"/>
          <w:szCs w:val="20"/>
          <w:rtl/>
        </w:rPr>
        <w:t>סכ״א</w:t>
      </w:r>
      <w:proofErr w:type="spellEnd"/>
      <w:r>
        <w:rPr>
          <w:sz w:val="20"/>
          <w:szCs w:val="20"/>
          <w:rtl/>
        </w:rPr>
        <w:t xml:space="preserve"> בהגה.</w:t>
      </w:r>
    </w:p>
  </w:footnote>
  <w:footnote w:id="132">
    <w:p w14:paraId="38DA0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מאת הרב </w:t>
      </w:r>
      <w:proofErr w:type="spellStart"/>
      <w:r>
        <w:rPr>
          <w:sz w:val="20"/>
          <w:szCs w:val="20"/>
          <w:rtl/>
        </w:rPr>
        <w:t>אליאך</w:t>
      </w:r>
      <w:proofErr w:type="spellEnd"/>
      <w:r>
        <w:rPr>
          <w:sz w:val="20"/>
          <w:szCs w:val="20"/>
          <w:rtl/>
        </w:rPr>
        <w:t xml:space="preserve"> (מכון מורשת הישיבות, ירושלים, תשנ״א), עמ׳ 531–534.</w:t>
      </w:r>
    </w:p>
  </w:footnote>
  <w:footnote w:id="133">
    <w:p w14:paraId="1F2BF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מהדורת הוצאת קהת, ברוקלין, 1959 – עמ׳ 3664.</w:t>
      </w:r>
    </w:p>
  </w:footnote>
  <w:footnote w:id="134">
    <w:p w14:paraId="758013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על ידי </w:t>
      </w:r>
      <w:proofErr w:type="spellStart"/>
      <w:r>
        <w:rPr>
          <w:sz w:val="20"/>
          <w:szCs w:val="20"/>
          <w:rtl/>
        </w:rPr>
        <w:t>צענטראל</w:t>
      </w:r>
      <w:proofErr w:type="spellEnd"/>
      <w:r>
        <w:rPr>
          <w:sz w:val="20"/>
          <w:szCs w:val="20"/>
          <w:rtl/>
        </w:rPr>
        <w:t xml:space="preserve"> </w:t>
      </w:r>
      <w:proofErr w:type="spellStart"/>
      <w:r>
        <w:rPr>
          <w:sz w:val="20"/>
          <w:szCs w:val="20"/>
          <w:rtl/>
        </w:rPr>
        <w:t>פארבאנד</w:t>
      </w:r>
      <w:proofErr w:type="spellEnd"/>
      <w:r>
        <w:rPr>
          <w:sz w:val="20"/>
          <w:szCs w:val="20"/>
          <w:rtl/>
        </w:rPr>
        <w:t xml:space="preserve"> פון </w:t>
      </w:r>
      <w:proofErr w:type="spellStart"/>
      <w:r>
        <w:rPr>
          <w:sz w:val="20"/>
          <w:szCs w:val="20"/>
          <w:rtl/>
        </w:rPr>
        <w:t>פוילישע</w:t>
      </w:r>
      <w:proofErr w:type="spellEnd"/>
      <w:r>
        <w:rPr>
          <w:sz w:val="20"/>
          <w:szCs w:val="20"/>
          <w:rtl/>
        </w:rPr>
        <w:t xml:space="preserve"> יידען אין </w:t>
      </w:r>
      <w:proofErr w:type="spellStart"/>
      <w:r>
        <w:rPr>
          <w:sz w:val="20"/>
          <w:szCs w:val="20"/>
          <w:rtl/>
        </w:rPr>
        <w:t>ארגענטינע</w:t>
      </w:r>
      <w:proofErr w:type="spellEnd"/>
      <w:r>
        <w:rPr>
          <w:sz w:val="20"/>
          <w:szCs w:val="20"/>
          <w:rtl/>
        </w:rPr>
        <w:t xml:space="preserve">, בואנוס איירס, 1949 (להלן: </w:t>
      </w:r>
      <w:proofErr w:type="spellStart"/>
      <w:r>
        <w:rPr>
          <w:sz w:val="20"/>
          <w:szCs w:val="20"/>
          <w:rtl/>
        </w:rPr>
        <w:t>שאשקעס</w:t>
      </w:r>
      <w:proofErr w:type="spellEnd"/>
      <w:r>
        <w:rPr>
          <w:sz w:val="20"/>
          <w:szCs w:val="20"/>
          <w:rtl/>
        </w:rPr>
        <w:t>) – עמ׳ 265.</w:t>
      </w:r>
    </w:p>
  </w:footnote>
  <w:footnote w:id="135">
    <w:p w14:paraId="4D7811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ארזי חן, ירושלים, תשמ״ו – עמ׳ 191 ואילך, הערה 22.</w:t>
      </w:r>
    </w:p>
  </w:footnote>
  <w:footnote w:id="136">
    <w:p w14:paraId="12406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היה </w:t>
      </w:r>
      <w:proofErr w:type="spellStart"/>
      <w:r>
        <w:rPr>
          <w:sz w:val="20"/>
          <w:szCs w:val="20"/>
          <w:rtl/>
        </w:rPr>
        <w:t>ה“שבת־בחור</w:t>
      </w:r>
      <w:proofErr w:type="spellEnd"/>
      <w:r>
        <w:rPr>
          <w:sz w:val="20"/>
          <w:szCs w:val="20"/>
          <w:rtl/>
        </w:rPr>
        <w:t xml:space="preserve">” של אבי בשש שנותיו האחרונות </w:t>
      </w:r>
      <w:proofErr w:type="spellStart"/>
      <w:r>
        <w:rPr>
          <w:sz w:val="20"/>
          <w:szCs w:val="20"/>
          <w:rtl/>
        </w:rPr>
        <w:t>בוויליאמסבורג</w:t>
      </w:r>
      <w:proofErr w:type="spellEnd"/>
      <w:r>
        <w:rPr>
          <w:sz w:val="20"/>
          <w:szCs w:val="20"/>
          <w:rtl/>
        </w:rPr>
        <w:t xml:space="preserve"> שבברוקלין, משנת תשכ״א ועד שעבר </w:t>
      </w:r>
      <w:proofErr w:type="spellStart"/>
      <w:r>
        <w:rPr>
          <w:sz w:val="20"/>
          <w:szCs w:val="20"/>
          <w:rtl/>
        </w:rPr>
        <w:t>למונסי</w:t>
      </w:r>
      <w:proofErr w:type="spellEnd"/>
      <w:r>
        <w:rPr>
          <w:sz w:val="20"/>
          <w:szCs w:val="20"/>
          <w:rtl/>
        </w:rPr>
        <w:t xml:space="preserve"> בשנת תשכ״ז. ר׳ </w:t>
      </w:r>
      <w:proofErr w:type="spellStart"/>
      <w:r>
        <w:rPr>
          <w:sz w:val="20"/>
          <w:szCs w:val="20"/>
          <w:rtl/>
        </w:rPr>
        <w:t>לייבל</w:t>
      </w:r>
      <w:proofErr w:type="spellEnd"/>
      <w:r>
        <w:rPr>
          <w:sz w:val="20"/>
          <w:szCs w:val="20"/>
          <w:rtl/>
        </w:rPr>
        <w:t xml:space="preserve"> היה אז אורח קבוע בביתו </w:t>
      </w:r>
      <w:proofErr w:type="spellStart"/>
      <w:r>
        <w:rPr>
          <w:sz w:val="20"/>
          <w:szCs w:val="20"/>
          <w:rtl/>
        </w:rPr>
        <w:t>במונסי</w:t>
      </w:r>
      <w:proofErr w:type="spellEnd"/>
      <w:r>
        <w:rPr>
          <w:sz w:val="20"/>
          <w:szCs w:val="20"/>
          <w:rtl/>
        </w:rPr>
        <w:t xml:space="preserve">, וכן בטורונטו כשאבי והרבנית שהו שם. ישבתי עמו יומיים, ג׳ וד׳ בניסן תשמ״ח, וראיינתי אותו בביתו בדטרויט. ר׳ </w:t>
      </w:r>
      <w:proofErr w:type="spellStart"/>
      <w:r>
        <w:rPr>
          <w:sz w:val="20"/>
          <w:szCs w:val="20"/>
          <w:rtl/>
        </w:rPr>
        <w:t>לייבל</w:t>
      </w:r>
      <w:proofErr w:type="spellEnd"/>
      <w:r>
        <w:rPr>
          <w:sz w:val="20"/>
          <w:szCs w:val="20"/>
          <w:rtl/>
        </w:rPr>
        <w:t xml:space="preserve"> הכיר את רבנו טוב יותר מכל אדם אחר, והיה מעין איש סודו. הוא סיפר שכשנתיים אחרי שנבחר לשבתות שאל את אבי מדוע נבחר דווקא הוא, ונענה: “משום שאתה זקוק לזה יותר מכולם”. כעבור כחמש שנים שמח לשמוע: “אתה קרוב אליי יותר מכל אדם. אתה כמו בן חמישי”.</w:t>
      </w:r>
    </w:p>
  </w:footnote>
  <w:footnote w:id="137">
    <w:p w14:paraId="4CB262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עירובין ס״ג ע״א “תמה אני אם יוציא זה שנתו”, ויומא ל״ט ע״ב.</w:t>
      </w:r>
    </w:p>
  </w:footnote>
  <w:footnote w:id="138">
    <w:p w14:paraId="728951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2.3.</w:t>
      </w:r>
    </w:p>
  </w:footnote>
  <w:footnote w:id="139">
    <w:p w14:paraId="190C22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פרק 4.2, וכרך 2.</w:t>
      </w:r>
    </w:p>
  </w:footnote>
  <w:footnote w:id="140">
    <w:p w14:paraId="01A62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בפסקה השלישית של הערה 41 להלן מועלית השערה שאבי לא ידע שסבתו מצד </w:t>
      </w:r>
      <w:proofErr w:type="spellStart"/>
      <w:r>
        <w:rPr>
          <w:sz w:val="20"/>
          <w:szCs w:val="20"/>
          <w:rtl/>
        </w:rPr>
        <w:t>אמו</w:t>
      </w:r>
      <w:proofErr w:type="spellEnd"/>
      <w:r>
        <w:rPr>
          <w:sz w:val="20"/>
          <w:szCs w:val="20"/>
          <w:rtl/>
        </w:rPr>
        <w:t xml:space="preserve"> נפטרה זמן קצר אחרי סבו. ואף על פי כן, אילו חל היארצייט שלה בפסח, היה מזכיר זאת.</w:t>
      </w:r>
    </w:p>
  </w:footnote>
  <w:footnote w:id="141">
    <w:p w14:paraId="5DA0D0E3"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פרייאסלב</w:t>
      </w:r>
      <w:proofErr w:type="spellEnd"/>
      <w:r>
        <w:rPr>
          <w:sz w:val="20"/>
          <w:szCs w:val="20"/>
          <w:rtl/>
        </w:rPr>
        <w:t xml:space="preserve"> (</w:t>
      </w:r>
      <w:proofErr w:type="spellStart"/>
      <w:r>
        <w:rPr>
          <w:sz w:val="20"/>
          <w:szCs w:val="20"/>
          <w:rtl/>
        </w:rPr>
        <w:t>Pereyaslav</w:t>
      </w:r>
      <w:proofErr w:type="spellEnd"/>
      <w:r>
        <w:rPr>
          <w:sz w:val="20"/>
          <w:szCs w:val="20"/>
          <w:rtl/>
        </w:rPr>
        <w:t xml:space="preserve">) שכנה בפלך </w:t>
      </w:r>
      <w:proofErr w:type="spellStart"/>
      <w:r>
        <w:rPr>
          <w:sz w:val="20"/>
          <w:szCs w:val="20"/>
          <w:rtl/>
        </w:rPr>
        <w:t>פולטבה</w:t>
      </w:r>
      <w:proofErr w:type="spellEnd"/>
      <w:r>
        <w:rPr>
          <w:sz w:val="20"/>
          <w:szCs w:val="20"/>
          <w:rtl/>
        </w:rPr>
        <w:t xml:space="preserve">, ולא בפלך </w:t>
      </w:r>
      <w:proofErr w:type="spellStart"/>
      <w:r>
        <w:rPr>
          <w:sz w:val="20"/>
          <w:szCs w:val="20"/>
          <w:rtl/>
        </w:rPr>
        <w:t>פודוליה</w:t>
      </w:r>
      <w:proofErr w:type="spellEnd"/>
      <w:r>
        <w:rPr>
          <w:sz w:val="20"/>
          <w:szCs w:val="20"/>
          <w:rtl/>
        </w:rPr>
        <w:t>. ייתכן שהמחבר התכוון לעיירה אחרת, או שטעה.</w:t>
      </w:r>
    </w:p>
  </w:footnote>
  <w:footnote w:id="142">
    <w:p w14:paraId="7D7A7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ההערה הקודמת.</w:t>
      </w:r>
    </w:p>
  </w:footnote>
  <w:footnote w:id="143">
    <w:p w14:paraId="5E1735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ימצא עניין במעשה שאירע לנכדו של רבנו, ר׳ צבי </w:t>
      </w:r>
      <w:proofErr w:type="spellStart"/>
      <w:r>
        <w:rPr>
          <w:sz w:val="20"/>
          <w:szCs w:val="20"/>
          <w:rtl/>
        </w:rPr>
        <w:t>קמינצקי</w:t>
      </w:r>
      <w:proofErr w:type="spellEnd"/>
      <w:r>
        <w:rPr>
          <w:sz w:val="20"/>
          <w:szCs w:val="20"/>
          <w:rtl/>
        </w:rPr>
        <w:t xml:space="preserve">, כשלמד בישיבת </w:t>
      </w:r>
      <w:proofErr w:type="spellStart"/>
      <w:r>
        <w:rPr>
          <w:sz w:val="20"/>
          <w:szCs w:val="20"/>
          <w:rtl/>
        </w:rPr>
        <w:t>פוניבז</w:t>
      </w:r>
      <w:proofErr w:type="spellEnd"/>
      <w:r>
        <w:rPr>
          <w:sz w:val="20"/>
          <w:szCs w:val="20"/>
          <w:rtl/>
        </w:rPr>
        <w:t xml:space="preserve">׳ בבני ברק בשנת תשמ״ב, כפי שסיפר לי ב־20 באוגוסט 1999. אביו של ר׳ צבי ביקש ממנו בטלפון שיסדר אמירת תהלים לרפואת סבו, רבנו, שהיה צריך לעבור אז צנתור. עד אז היה אבי בריא בדרך כלל, ור׳ צבי, שהופתע שיש צורך בתפילות, שכח לשאול את אביו מה שם </w:t>
      </w:r>
      <w:proofErr w:type="spellStart"/>
      <w:r>
        <w:rPr>
          <w:sz w:val="20"/>
          <w:szCs w:val="20"/>
          <w:rtl/>
        </w:rPr>
        <w:t>אמו</w:t>
      </w:r>
      <w:proofErr w:type="spellEnd"/>
      <w:r>
        <w:rPr>
          <w:sz w:val="20"/>
          <w:szCs w:val="20"/>
          <w:rtl/>
        </w:rPr>
        <w:t xml:space="preserve"> של סבו. אחרי מאמץ רב מצא מי שידע שאבי הוא בן </w:t>
      </w:r>
      <w:proofErr w:type="spellStart"/>
      <w:r>
        <w:rPr>
          <w:sz w:val="20"/>
          <w:szCs w:val="20"/>
          <w:rtl/>
        </w:rPr>
        <w:t>עטקע</w:t>
      </w:r>
      <w:proofErr w:type="spellEnd"/>
      <w:r>
        <w:rPr>
          <w:sz w:val="20"/>
          <w:szCs w:val="20"/>
          <w:rtl/>
        </w:rPr>
        <w:t>.</w:t>
      </w:r>
    </w:p>
    <w:p w14:paraId="3B7662D1" w14:textId="77777777" w:rsidR="00AB3647" w:rsidRDefault="00000000">
      <w:pPr>
        <w:spacing w:after="0" w:before="0"/>
        <w:jc w:val="both"/>
      </w:pPr>
      <w:r>
        <w:rPr>
          <w:sz w:val="20"/>
          <w:szCs w:val="20"/>
          <w:rtl/>
        </w:rPr>
        <w:t xml:space="preserve">אחר כך הלך לביתו של ר׳ </w:t>
      </w:r>
      <w:proofErr w:type="spellStart"/>
      <w:r>
        <w:rPr>
          <w:sz w:val="20"/>
          <w:szCs w:val="20"/>
          <w:rtl/>
        </w:rPr>
        <w:t>אלעזר־מנחם־מן</w:t>
      </w:r>
      <w:proofErr w:type="spellEnd"/>
      <w:r>
        <w:rPr>
          <w:sz w:val="20"/>
          <w:szCs w:val="20"/>
          <w:rtl/>
        </w:rPr>
        <w:t xml:space="preserve"> שך לבקש שגם הוא יתפלל לרפואת סבו, והרב שך אמר מיד שיעשה כן בעד “יעקב בן </w:t>
      </w:r>
      <w:proofErr w:type="spellStart"/>
      <w:r>
        <w:rPr>
          <w:sz w:val="20"/>
          <w:szCs w:val="20"/>
          <w:rtl/>
        </w:rPr>
        <w:t>עטקע</w:t>
      </w:r>
      <w:proofErr w:type="spellEnd"/>
      <w:r>
        <w:rPr>
          <w:sz w:val="20"/>
          <w:szCs w:val="20"/>
          <w:rtl/>
        </w:rPr>
        <w:t xml:space="preserve">”. ר׳ צבי השתומם על שהרב שך ידע בעל פה את שם </w:t>
      </w:r>
      <w:proofErr w:type="spellStart"/>
      <w:r>
        <w:rPr>
          <w:sz w:val="20"/>
          <w:szCs w:val="20"/>
          <w:rtl/>
        </w:rPr>
        <w:t>אמו</w:t>
      </w:r>
      <w:proofErr w:type="spellEnd"/>
      <w:r>
        <w:rPr>
          <w:sz w:val="20"/>
          <w:szCs w:val="20"/>
          <w:rtl/>
        </w:rPr>
        <w:t xml:space="preserve"> של סבו, והביע את תמיהתו. סיפר לו הרב שך שכשנפגשו הוא ורבנו בירושלים שנתיים קודם לכן, בכנסייה הגדולה של אגודת ישראל, הבטיחו זה לזה להתפלל זה בעד זה, והחליפו שמות לשם כך. מאז הזכיר הרב שך את שם אבי בתפילותיו שלוש פעמים ביום.</w:t>
      </w:r>
    </w:p>
    <w:p w14:paraId="47B9B1C2" w14:textId="77777777" w:rsidR="00AB3647" w:rsidRDefault="00000000">
      <w:pPr>
        <w:spacing w:after="0" w:before="0"/>
        <w:jc w:val="both"/>
      </w:pPr>
      <w:r>
        <w:rPr>
          <w:sz w:val="20"/>
          <w:szCs w:val="20"/>
          <w:rtl/>
        </w:rPr>
        <w:t xml:space="preserve">כשעזב ר׳ צבי את ישיבת </w:t>
      </w:r>
      <w:proofErr w:type="spellStart"/>
      <w:r>
        <w:rPr>
          <w:sz w:val="20"/>
          <w:szCs w:val="20"/>
          <w:rtl/>
        </w:rPr>
        <w:t>פוניבז</w:t>
      </w:r>
      <w:proofErr w:type="spellEnd"/>
      <w:r>
        <w:rPr>
          <w:sz w:val="20"/>
          <w:szCs w:val="20"/>
          <w:rtl/>
        </w:rPr>
        <w:t>׳ כדי לחזור לאמריקה, נתן לו הרב שך הוראה מחמיאה להפליא: הוא אמר לתלמידו שיאמר לסבו שעליו להמשיך לחיות עד ביאת המשיח, משום שבלעדיו העולם “</w:t>
      </w:r>
      <w:proofErr w:type="spellStart"/>
      <w:r>
        <w:rPr>
          <w:sz w:val="20"/>
          <w:szCs w:val="20"/>
          <w:rtl/>
        </w:rPr>
        <w:t>קען</w:t>
      </w:r>
      <w:proofErr w:type="spellEnd"/>
      <w:r>
        <w:rPr>
          <w:sz w:val="20"/>
          <w:szCs w:val="20"/>
          <w:rtl/>
        </w:rPr>
        <w:t xml:space="preserve"> ניט </w:t>
      </w:r>
      <w:proofErr w:type="spellStart"/>
      <w:r>
        <w:rPr>
          <w:sz w:val="20"/>
          <w:szCs w:val="20"/>
          <w:rtl/>
        </w:rPr>
        <w:t>האבען</w:t>
      </w:r>
      <w:proofErr w:type="spellEnd"/>
      <w:r>
        <w:rPr>
          <w:sz w:val="20"/>
          <w:szCs w:val="20"/>
          <w:rtl/>
        </w:rPr>
        <w:t xml:space="preserve"> א קיום” [אינו יכול להתקיים].</w:t>
      </w:r>
    </w:p>
  </w:footnote>
  <w:footnote w:id="144">
    <w:p w14:paraId="39E544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כ, </w:t>
      </w:r>
      <w:proofErr w:type="spellStart"/>
      <w:r>
        <w:rPr>
          <w:sz w:val="20"/>
          <w:szCs w:val="20"/>
          <w:rtl/>
        </w:rPr>
        <w:t>יב</w:t>
      </w:r>
      <w:proofErr w:type="spellEnd"/>
      <w:r>
        <w:rPr>
          <w:sz w:val="20"/>
          <w:szCs w:val="20"/>
          <w:rtl/>
        </w:rPr>
        <w:t>.</w:t>
      </w:r>
    </w:p>
  </w:footnote>
  <w:footnote w:id="145">
    <w:p w14:paraId="2B7E1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w:t>
      </w:r>
      <w:proofErr w:type="spellStart"/>
      <w:r>
        <w:rPr>
          <w:sz w:val="20"/>
          <w:szCs w:val="20"/>
          <w:rtl/>
        </w:rPr>
        <w:t>כסלו־שבט</w:t>
      </w:r>
      <w:proofErr w:type="spellEnd"/>
      <w:r>
        <w:rPr>
          <w:sz w:val="20"/>
          <w:szCs w:val="20"/>
          <w:rtl/>
        </w:rPr>
        <w:t xml:space="preserve"> תרצ״ג, המוקדש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במלאת חמישים שנה לפטירתו – עמ׳ כ.</w:t>
      </w:r>
    </w:p>
  </w:footnote>
  <w:footnote w:id="146">
    <w:p w14:paraId="1F439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בספרו של אבי “עיונים במקרא על התורה, </w:t>
      </w:r>
      <w:proofErr w:type="spellStart"/>
      <w:r>
        <w:rPr>
          <w:sz w:val="20"/>
          <w:szCs w:val="20"/>
          <w:rtl/>
        </w:rPr>
        <w:t>מהדורא</w:t>
      </w:r>
      <w:proofErr w:type="spellEnd"/>
      <w:r>
        <w:rPr>
          <w:sz w:val="20"/>
          <w:szCs w:val="20"/>
          <w:rtl/>
        </w:rPr>
        <w:t xml:space="preserve"> שניה מורחבת </w:t>
      </w:r>
      <w:proofErr w:type="spellStart"/>
      <w:r>
        <w:rPr>
          <w:sz w:val="20"/>
          <w:szCs w:val="20"/>
          <w:rtl/>
        </w:rPr>
        <w:t>וכו</w:t>
      </w:r>
      <w:proofErr w:type="spellEnd"/>
      <w:r>
        <w:rPr>
          <w:sz w:val="20"/>
          <w:szCs w:val="20"/>
          <w:rtl/>
        </w:rPr>
        <w:t>׳” (</w:t>
      </w:r>
      <w:proofErr w:type="spellStart"/>
      <w:r>
        <w:rPr>
          <w:sz w:val="20"/>
          <w:szCs w:val="20"/>
          <w:rtl/>
        </w:rPr>
        <w:t>נוא</w:t>
      </w:r>
      <w:proofErr w:type="spellEnd"/>
      <w:r>
        <w:rPr>
          <w:sz w:val="20"/>
          <w:szCs w:val="20"/>
          <w:rtl/>
        </w:rPr>
        <w:t xml:space="preserve"> יורק, תשמ״ו), עמ׳ שמא, בסוף דרשה ד.</w:t>
      </w:r>
    </w:p>
  </w:footnote>
  <w:footnote w:id="147">
    <w:p w14:paraId="7E500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“חידושי מרן רי״ז הלוי על התורה” (ירושלים, תשכ״ג), עמ׳ 11–12.</w:t>
      </w:r>
    </w:p>
  </w:footnote>
  <w:footnote w:id="148">
    <w:p w14:paraId="5E243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49">
    <w:p w14:paraId="2DD62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ניו יורק, 1927 (להלן: יעקב מארק).</w:t>
      </w:r>
    </w:p>
  </w:footnote>
  <w:footnote w:id="150">
    <w:p w14:paraId="0CDE6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153–157.</w:t>
      </w:r>
    </w:p>
  </w:footnote>
  <w:footnote w:id="151">
    <w:p w14:paraId="4B4442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טבלת יוחסין מס׳ 25 בנספח לספר “המשתה והצום”. ספר זה “הוכן על ידי הרב ח.א. ליפשיץ וד״ר ניל </w:t>
      </w:r>
      <w:proofErr w:type="spellStart"/>
      <w:r>
        <w:rPr>
          <w:sz w:val="20"/>
          <w:szCs w:val="20"/>
          <w:rtl/>
        </w:rPr>
        <w:t>רוזנשטיין</w:t>
      </w:r>
      <w:proofErr w:type="spellEnd"/>
      <w:r>
        <w:rPr>
          <w:sz w:val="20"/>
          <w:szCs w:val="20"/>
          <w:rtl/>
        </w:rPr>
        <w:t xml:space="preserve">, יצא לאור </w:t>
      </w:r>
      <w:proofErr w:type="spellStart"/>
      <w:r>
        <w:rPr>
          <w:sz w:val="20"/>
          <w:szCs w:val="20"/>
          <w:rtl/>
        </w:rPr>
        <w:t>בתשמ״ד</w:t>
      </w:r>
      <w:proofErr w:type="spellEnd"/>
      <w:r>
        <w:rPr>
          <w:sz w:val="20"/>
          <w:szCs w:val="20"/>
          <w:rtl/>
        </w:rPr>
        <w:t>, (ו)מופץ על ידי הוצאת מאזנים, ניו יורק/ירושלים”. והשווה גם פרק 5, סוף נספח ה.</w:t>
      </w:r>
    </w:p>
  </w:footnote>
  <w:footnote w:id="152">
    <w:p w14:paraId="14BA5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 מכתב מיום 12 ביוני 1989.</w:t>
      </w:r>
    </w:p>
  </w:footnote>
  <w:footnote w:id="153">
    <w:p w14:paraId="4B0176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העיירה </w:t>
      </w:r>
      <w:proofErr w:type="spellStart"/>
      <w:r>
        <w:rPr>
          <w:sz w:val="20"/>
          <w:szCs w:val="20"/>
          <w:rtl/>
        </w:rPr>
        <w:t>ראגאלע</w:t>
      </w:r>
      <w:proofErr w:type="spellEnd"/>
      <w:r>
        <w:rPr>
          <w:sz w:val="20"/>
          <w:szCs w:val="20"/>
          <w:rtl/>
        </w:rPr>
        <w:t xml:space="preserve">, קיצור של </w:t>
      </w:r>
      <w:proofErr w:type="spellStart"/>
      <w:r>
        <w:rPr>
          <w:sz w:val="20"/>
          <w:szCs w:val="20"/>
          <w:rtl/>
        </w:rPr>
        <w:t>איירגאלע</w:t>
      </w:r>
      <w:proofErr w:type="spellEnd"/>
      <w:r>
        <w:rPr>
          <w:sz w:val="20"/>
          <w:szCs w:val="20"/>
          <w:rtl/>
        </w:rPr>
        <w:t xml:space="preserve">, נמצאת </w:t>
      </w:r>
      <w:proofErr w:type="spellStart"/>
      <w:r>
        <w:rPr>
          <w:sz w:val="20"/>
          <w:szCs w:val="20"/>
          <w:rtl/>
        </w:rPr>
        <w:t>בזאמוט</w:t>
      </w:r>
      <w:proofErr w:type="spellEnd"/>
      <w:r>
        <w:rPr>
          <w:sz w:val="20"/>
          <w:szCs w:val="20"/>
          <w:rtl/>
        </w:rPr>
        <w:t xml:space="preserve">, על נהר </w:t>
      </w:r>
      <w:proofErr w:type="spellStart"/>
      <w:r>
        <w:rPr>
          <w:sz w:val="20"/>
          <w:szCs w:val="20"/>
          <w:rtl/>
        </w:rPr>
        <w:t>דוביסה</w:t>
      </w:r>
      <w:proofErr w:type="spellEnd"/>
      <w:r>
        <w:rPr>
          <w:sz w:val="20"/>
          <w:szCs w:val="20"/>
          <w:rtl/>
        </w:rPr>
        <w:t xml:space="preserve">, הזורם מסמוך </w:t>
      </w:r>
      <w:proofErr w:type="spellStart"/>
      <w:r>
        <w:rPr>
          <w:sz w:val="20"/>
          <w:szCs w:val="20"/>
          <w:rtl/>
        </w:rPr>
        <w:t>לשאוול</w:t>
      </w:r>
      <w:proofErr w:type="spellEnd"/>
      <w:r>
        <w:rPr>
          <w:sz w:val="20"/>
          <w:szCs w:val="20"/>
          <w:rtl/>
        </w:rPr>
        <w:t xml:space="preserve"> דרומה בין </w:t>
      </w:r>
      <w:proofErr w:type="spellStart"/>
      <w:r>
        <w:rPr>
          <w:sz w:val="20"/>
          <w:szCs w:val="20"/>
          <w:rtl/>
        </w:rPr>
        <w:t>ציטוביאן</w:t>
      </w:r>
      <w:proofErr w:type="spellEnd"/>
      <w:r>
        <w:rPr>
          <w:sz w:val="20"/>
          <w:szCs w:val="20"/>
          <w:rtl/>
        </w:rPr>
        <w:t xml:space="preserve"> </w:t>
      </w:r>
      <w:proofErr w:type="spellStart"/>
      <w:r>
        <w:rPr>
          <w:sz w:val="20"/>
          <w:szCs w:val="20"/>
          <w:rtl/>
        </w:rPr>
        <w:t>לקלם</w:t>
      </w:r>
      <w:proofErr w:type="spellEnd"/>
      <w:r>
        <w:rPr>
          <w:sz w:val="20"/>
          <w:szCs w:val="20"/>
          <w:rtl/>
        </w:rPr>
        <w:t xml:space="preserve">, עד שהוא מתחבר לנהר </w:t>
      </w:r>
      <w:proofErr w:type="spellStart"/>
      <w:r>
        <w:rPr>
          <w:sz w:val="20"/>
          <w:szCs w:val="20"/>
          <w:rtl/>
        </w:rPr>
        <w:t>נמן</w:t>
      </w:r>
      <w:proofErr w:type="spellEnd"/>
      <w:r>
        <w:rPr>
          <w:sz w:val="20"/>
          <w:szCs w:val="20"/>
          <w:rtl/>
        </w:rPr>
        <w:t xml:space="preserve"> מערבית לקובנה.</w:t>
      </w:r>
    </w:p>
  </w:footnote>
  <w:footnote w:id="154">
    <w:p w14:paraId="123D67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השתמשתי בכתיב “</w:t>
      </w:r>
      <w:proofErr w:type="spellStart"/>
      <w:r>
        <w:rPr>
          <w:sz w:val="20"/>
          <w:szCs w:val="20"/>
          <w:rtl/>
        </w:rPr>
        <w:t>קאליסקובקה</w:t>
      </w:r>
      <w:proofErr w:type="spellEnd"/>
      <w:r>
        <w:rPr>
          <w:sz w:val="20"/>
          <w:szCs w:val="20"/>
          <w:rtl/>
        </w:rPr>
        <w:t>” לשם האחוזה, ולא “</w:t>
      </w:r>
      <w:proofErr w:type="spellStart"/>
      <w:r>
        <w:rPr>
          <w:sz w:val="20"/>
          <w:szCs w:val="20"/>
          <w:rtl/>
        </w:rPr>
        <w:t>קאלוז׳קובקה</w:t>
      </w:r>
      <w:proofErr w:type="spellEnd"/>
      <w:r>
        <w:rPr>
          <w:sz w:val="20"/>
          <w:szCs w:val="20"/>
          <w:rtl/>
        </w:rPr>
        <w:t>” כפי שהוא מופיע כאן, משום שדודתי דבורה, שהתכתבה עמי, קראה לאחוזה תמיד בשם “</w:t>
      </w:r>
      <w:proofErr w:type="spellStart"/>
      <w:r>
        <w:rPr>
          <w:sz w:val="20"/>
          <w:szCs w:val="20"/>
          <w:rtl/>
        </w:rPr>
        <w:t>קאליסקובקה</w:t>
      </w:r>
      <w:proofErr w:type="spellEnd"/>
      <w:r>
        <w:rPr>
          <w:sz w:val="20"/>
          <w:szCs w:val="20"/>
          <w:rtl/>
        </w:rPr>
        <w:t xml:space="preserve">”. כשהראיתי לה את המאמר בפגישתי האישית עמה ושאלתי אותה במפורש איזו מן ההגיות נכונה, עמדה על כך שהנוסח שלה הוא שבו השתמשה משפחתה תמיד. היא גם בדקה את הדבר אצל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(השווה הערה 92 להלן), וזיכרונה נמצא מדויק לחלוטין.</w:t>
      </w:r>
    </w:p>
  </w:footnote>
  <w:footnote w:id="155">
    <w:p w14:paraId="58C6D2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23 בפברואר 1991.</w:t>
      </w:r>
    </w:p>
  </w:footnote>
  <w:footnote w:id="156">
    <w:p w14:paraId="5E799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 הערה 3.</w:t>
      </w:r>
    </w:p>
  </w:footnote>
  <w:footnote w:id="157">
    <w:p w14:paraId="79480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158">
    <w:p w14:paraId="5AA67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136.</w:t>
      </w:r>
    </w:p>
  </w:footnote>
  <w:footnote w:id="159">
    <w:p w14:paraId="3F4B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160">
    <w:p w14:paraId="5D964C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(הערה 13 לעיל), עמ׳ 101.</w:t>
      </w:r>
    </w:p>
  </w:footnote>
  <w:footnote w:id="161">
    <w:p w14:paraId="6A09E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אבן העזר סי׳ א׳ ס״ג.</w:t>
      </w:r>
    </w:p>
  </w:footnote>
  <w:footnote w:id="162">
    <w:p w14:paraId="1A24D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מובא בפרק 3, בפסקה השנייה של נספח </w:t>
      </w:r>
      <w:proofErr w:type="spellStart"/>
      <w:r>
        <w:rPr>
          <w:sz w:val="20"/>
          <w:szCs w:val="20"/>
          <w:rtl/>
        </w:rPr>
        <w:t>יט</w:t>
      </w:r>
      <w:proofErr w:type="spellEnd"/>
      <w:r>
        <w:rPr>
          <w:sz w:val="20"/>
          <w:szCs w:val="20"/>
          <w:rtl/>
        </w:rPr>
        <w:t>.</w:t>
      </w:r>
    </w:p>
  </w:footnote>
  <w:footnote w:id="163">
    <w:p w14:paraId="139E1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4">
    <w:p w14:paraId="3371F9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22 לעיל.</w:t>
      </w:r>
    </w:p>
  </w:footnote>
  <w:footnote w:id="165">
    <w:p w14:paraId="368416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מאכל פסח זה עשוי מצה טחונה, בצל וביצים, מטוגנים כלביבות.</w:t>
      </w:r>
    </w:p>
  </w:footnote>
  <w:footnote w:id="166">
    <w:p w14:paraId="045B2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7">
    <w:p w14:paraId="370E5C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שמסר רב זה מבולטימור, 15 בנובמבר 1987.</w:t>
      </w:r>
    </w:p>
  </w:footnote>
  <w:footnote w:id="168">
    <w:p w14:paraId="3CFFE1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169">
    <w:p w14:paraId="3F69E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w:t>
      </w:r>
      <w:proofErr w:type="spellStart"/>
      <w:r>
        <w:rPr>
          <w:sz w:val="20"/>
          <w:szCs w:val="20"/>
          <w:rtl/>
        </w:rPr>
        <w:t>ליפא</w:t>
      </w:r>
      <w:proofErr w:type="spellEnd"/>
      <w:r>
        <w:rPr>
          <w:sz w:val="20"/>
          <w:szCs w:val="20"/>
          <w:rtl/>
        </w:rPr>
        <w:t xml:space="preserve"> </w:t>
      </w:r>
      <w:proofErr w:type="spellStart"/>
      <w:r>
        <w:rPr>
          <w:sz w:val="20"/>
          <w:szCs w:val="20"/>
          <w:rtl/>
        </w:rPr>
        <w:t>גלדוורט</w:t>
      </w:r>
      <w:proofErr w:type="spellEnd"/>
      <w:r>
        <w:rPr>
          <w:sz w:val="20"/>
          <w:szCs w:val="20"/>
          <w:rtl/>
        </w:rPr>
        <w:t>, 11 בינואר 1988. והשווה גם חולין כ״ד ע״ב.</w:t>
      </w:r>
    </w:p>
  </w:footnote>
  <w:footnote w:id="170">
    <w:p w14:paraId="5C4E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בנובמבר 1987.</w:t>
      </w:r>
    </w:p>
  </w:footnote>
  <w:footnote w:id="171">
    <w:p w14:paraId="434E0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שפטל </w:t>
      </w:r>
      <w:proofErr w:type="spellStart"/>
      <w:r>
        <w:rPr>
          <w:sz w:val="20"/>
          <w:szCs w:val="20"/>
          <w:rtl/>
        </w:rPr>
        <w:t>נויבערגר</w:t>
      </w:r>
      <w:proofErr w:type="spellEnd"/>
      <w:r>
        <w:rPr>
          <w:sz w:val="20"/>
          <w:szCs w:val="20"/>
          <w:rtl/>
        </w:rPr>
        <w:t xml:space="preserve">, אחיו של ר׳ עזרא, גילה בריאיון ב־20 בנובמבר 1987 שאשתו של ר׳ </w:t>
      </w:r>
      <w:proofErr w:type="spellStart"/>
      <w:r>
        <w:rPr>
          <w:sz w:val="20"/>
          <w:szCs w:val="20"/>
          <w:rtl/>
        </w:rPr>
        <w:t>יעקב־יצחק</w:t>
      </w:r>
      <w:proofErr w:type="spellEnd"/>
      <w:r>
        <w:rPr>
          <w:sz w:val="20"/>
          <w:szCs w:val="20"/>
          <w:rtl/>
        </w:rPr>
        <w:t xml:space="preserve"> וקרובים אחרים עדיין קראו לו </w:t>
      </w:r>
      <w:proofErr w:type="spellStart"/>
      <w:r>
        <w:rPr>
          <w:sz w:val="20"/>
          <w:szCs w:val="20"/>
          <w:rtl/>
        </w:rPr>
        <w:t>יצחק־יעקב</w:t>
      </w:r>
      <w:proofErr w:type="spellEnd"/>
      <w:r>
        <w:rPr>
          <w:sz w:val="20"/>
          <w:szCs w:val="20"/>
          <w:rtl/>
        </w:rPr>
        <w:t xml:space="preserve"> – והוא נשא אותה עשר שנים </w:t>
      </w:r>
      <w:r>
        <w:rPr>
          <w:b/>
          <w:bCs/>
          <w:sz w:val="20"/>
          <w:szCs w:val="20"/>
          <w:rtl/>
        </w:rPr>
        <w:t>אחרי</w:t>
      </w:r>
      <w:r>
        <w:rPr>
          <w:sz w:val="20"/>
          <w:szCs w:val="20"/>
          <w:rtl/>
        </w:rPr>
        <w:t xml:space="preserve"> שהצטרף לישיבת </w:t>
      </w:r>
      <w:proofErr w:type="spellStart"/>
      <w:r>
        <w:rPr>
          <w:sz w:val="20"/>
          <w:szCs w:val="20"/>
          <w:rtl/>
        </w:rPr>
        <w:t>סלבודקה</w:t>
      </w:r>
      <w:proofErr w:type="spellEnd"/>
      <w:r>
        <w:rPr>
          <w:sz w:val="20"/>
          <w:szCs w:val="20"/>
          <w:rtl/>
        </w:rPr>
        <w:t xml:space="preserve"> במינסק. ברור שגם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עצמו עדיין השתמש לפעמים בשם שקיבל עליו בטעות.</w:t>
      </w:r>
    </w:p>
  </w:footnote>
  <w:footnote w:id="172">
    <w:p w14:paraId="24B5F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במרץ 1988.</w:t>
      </w:r>
    </w:p>
  </w:footnote>
  <w:footnote w:id="173">
    <w:p w14:paraId="7509C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פויער</w:t>
      </w:r>
      <w:proofErr w:type="spellEnd"/>
      <w:r>
        <w:rPr>
          <w:sz w:val="20"/>
          <w:szCs w:val="20"/>
          <w:rtl/>
        </w:rPr>
        <w:t xml:space="preserve"> רשם רשימות מתוארכות של כל שיחותיו של אבי עמו.</w:t>
      </w:r>
    </w:p>
  </w:footnote>
  <w:footnote w:id="174">
    <w:p w14:paraId="131C34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175">
    <w:p w14:paraId="3C24B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מונח זה, שפירושו “נבדל” או “מסתגף”, שימש לאדם נשוי שהשאיר את אשתו (וילדיו הקטנים) אצל הוריה לזמן מוגבל, כדי לעסוק בתורה בלי הפרעה במקום אחר, ושם פרנסוהו בני העיר. בימי הראשונים שימש המונח לאדם </w:t>
      </w:r>
      <w:r>
        <w:rPr>
          <w:b/>
          <w:bCs/>
          <w:sz w:val="20"/>
          <w:szCs w:val="20"/>
          <w:rtl/>
        </w:rPr>
        <w:t>הפורש</w:t>
      </w:r>
      <w:r>
        <w:rPr>
          <w:sz w:val="20"/>
          <w:szCs w:val="20"/>
          <w:rtl/>
        </w:rPr>
        <w:t xml:space="preserve"> מעסקי העולם ומקדיש עצמו לתלמוד תורה – כך לפי כתב היד מימי הביניים “חוקי התורה”, המובא בספרו של משה </w:t>
      </w:r>
      <w:proofErr w:type="spellStart"/>
      <w:r>
        <w:rPr>
          <w:sz w:val="20"/>
          <w:szCs w:val="20"/>
          <w:rtl/>
        </w:rPr>
        <w:t>גידעמן</w:t>
      </w:r>
      <w:proofErr w:type="spellEnd"/>
      <w:r>
        <w:rPr>
          <w:sz w:val="20"/>
          <w:szCs w:val="20"/>
          <w:rtl/>
        </w:rPr>
        <w:t xml:space="preserve"> “התורה והחיים בארצות המערב בימי הביניים” (</w:t>
      </w:r>
      <w:proofErr w:type="spellStart"/>
      <w:r>
        <w:rPr>
          <w:sz w:val="20"/>
          <w:szCs w:val="20"/>
          <w:rtl/>
        </w:rPr>
        <w:t>ווארשא</w:t>
      </w:r>
      <w:proofErr w:type="spellEnd"/>
      <w:r>
        <w:rPr>
          <w:sz w:val="20"/>
          <w:szCs w:val="20"/>
          <w:rtl/>
        </w:rPr>
        <w:t>, תרנ״ז), חלק א, עמ׳ 73–80.</w:t>
      </w:r>
    </w:p>
  </w:footnote>
  <w:footnote w:id="176">
    <w:p w14:paraId="66A5D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רק באביב תשל״ח נודע לאבי מפי דבורה, אחותו שנותרה בחיים, שלאה נפטרה. היא הטעתה אותו, בלי שידעה את ההשלכות ההלכתיות של שקרה, כך שחשב שלאה נפטרה רק אז. הוא ישב שבעה שלמה שלא לצורך.</w:t>
      </w:r>
    </w:p>
  </w:footnote>
  <w:footnote w:id="177">
    <w:p w14:paraId="02BAC0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178">
    <w:p w14:paraId="518A1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באוקטובר 1995.</w:t>
      </w:r>
    </w:p>
  </w:footnote>
  <w:footnote w:id="179">
    <w:p w14:paraId="39185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14, 29, 131.</w:t>
      </w:r>
    </w:p>
  </w:footnote>
  <w:footnote w:id="180">
    <w:p w14:paraId="74CCCB85"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כך במקור. לפי הלוח, 28 במרץ 1942 (תש״ב) חל בי׳ בניסן (י״ב בניסן הוא 30 במרץ), ו־21 במאי חל בה׳ בסיוון (ו׳ בסיוון הוא 22 במאי).</w:t>
      </w:r>
    </w:p>
  </w:footnote>
  <w:footnote w:id="181">
    <w:p w14:paraId="6FA8A6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נחום </w:t>
      </w:r>
      <w:proofErr w:type="spellStart"/>
      <w:r>
        <w:rPr>
          <w:sz w:val="20"/>
          <w:szCs w:val="20"/>
          <w:rtl/>
        </w:rPr>
        <w:t>לנקין</w:t>
      </w:r>
      <w:proofErr w:type="spellEnd"/>
      <w:r>
        <w:rPr>
          <w:sz w:val="20"/>
          <w:szCs w:val="20"/>
          <w:rtl/>
        </w:rPr>
        <w:t xml:space="preserve"> </w:t>
      </w:r>
      <w:proofErr w:type="spellStart"/>
      <w:r>
        <w:rPr>
          <w:sz w:val="20"/>
          <w:szCs w:val="20"/>
          <w:rtl/>
        </w:rPr>
        <w:t>ב“אש</w:t>
      </w:r>
      <w:proofErr w:type="spellEnd"/>
      <w:r>
        <w:rPr>
          <w:sz w:val="20"/>
          <w:szCs w:val="20"/>
          <w:rtl/>
        </w:rPr>
        <w:t xml:space="preserve"> תמיד”, עמ׳ 73. התאריך הלועזי שמביא אותו מחבר כמקביל לי״ב בניסן אינו מדויק, וצריך להיות 29 או 30 במרץ.</w:t>
      </w:r>
    </w:p>
  </w:footnote>
  <w:footnote w:id="182">
    <w:p w14:paraId="34100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183">
    <w:p w14:paraId="65935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434.</w:t>
      </w:r>
    </w:p>
  </w:footnote>
  <w:footnote w:id="184">
    <w:p w14:paraId="6089E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“אש תמיד”, עמ׳ 136. שם הוא נקרא בטעות </w:t>
      </w:r>
      <w:proofErr w:type="spellStart"/>
      <w:r>
        <w:rPr>
          <w:b/>
          <w:bCs/>
          <w:sz w:val="20"/>
          <w:szCs w:val="20"/>
          <w:rtl/>
        </w:rPr>
        <w:t>אריה</w:t>
      </w:r>
      <w:r>
        <w:rPr>
          <w:sz w:val="20"/>
          <w:szCs w:val="20"/>
          <w:rtl/>
        </w:rPr>
        <w:t>־לייב</w:t>
      </w:r>
      <w:proofErr w:type="spellEnd"/>
      <w:r>
        <w:rPr>
          <w:sz w:val="20"/>
          <w:szCs w:val="20"/>
          <w:rtl/>
        </w:rPr>
        <w:t>, ומספר בנותיו אינו נכון.</w:t>
      </w:r>
    </w:p>
  </w:footnote>
  <w:footnote w:id="185">
    <w:p w14:paraId="251456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186">
    <w:p w14:paraId="184AC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32 לעיל.</w:t>
      </w:r>
    </w:p>
  </w:footnote>
  <w:footnote w:id="187">
    <w:p w14:paraId="08A19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69.</w:t>
      </w:r>
    </w:p>
  </w:footnote>
  <w:footnote w:id="188">
    <w:p w14:paraId="39A63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כתב, </w:t>
      </w:r>
      <w:proofErr w:type="spellStart"/>
      <w:r>
        <w:rPr>
          <w:sz w:val="20"/>
          <w:szCs w:val="20"/>
          <w:rtl/>
        </w:rPr>
        <w:t>הובוקן</w:t>
      </w:r>
      <w:proofErr w:type="spellEnd"/>
      <w:r>
        <w:rPr>
          <w:sz w:val="20"/>
          <w:szCs w:val="20"/>
          <w:rtl/>
        </w:rPr>
        <w:t xml:space="preserve">, ניו ג׳רזי, 1995 (להלן: “מורשת </w:t>
      </w:r>
      <w:proofErr w:type="spellStart"/>
      <w:r>
        <w:rPr>
          <w:sz w:val="20"/>
          <w:szCs w:val="20"/>
          <w:rtl/>
        </w:rPr>
        <w:t>סולובייצ׳יק</w:t>
      </w:r>
      <w:proofErr w:type="spellEnd"/>
      <w:r>
        <w:rPr>
          <w:sz w:val="20"/>
          <w:szCs w:val="20"/>
          <w:rtl/>
        </w:rPr>
        <w:t>”) – עמ׳ 124.</w:t>
      </w:r>
    </w:p>
  </w:footnote>
  <w:footnote w:id="189">
    <w:p w14:paraId="39D42D9F" w14:textId="6191358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“אבי הישיבות” (הערה 7 לעיל), עמ׳ 471 ואילך, על יחסו של ר׳ חיים </w:t>
      </w:r>
      <w:proofErr w:type="spellStart"/>
      <w:r>
        <w:rPr>
          <w:sz w:val="20"/>
          <w:szCs w:val="20"/>
          <w:rtl/>
        </w:rPr>
        <w:t>מוולוז׳ין</w:t>
      </w:r>
      <w:proofErr w:type="spellEnd"/>
      <w:r>
        <w:rPr>
          <w:sz w:val="20"/>
          <w:szCs w:val="20"/>
          <w:rtl/>
        </w:rPr>
        <w:t xml:space="preserve"> (</w:t>
      </w:r>
      <w:proofErr w:type="spellStart"/>
      <w:r w:rsidR="00AB485B">
        <w:rPr>
          <w:sz w:val="20"/>
          <w:szCs w:val="20"/>
          <w:rtl/>
        </w:rPr>
        <w:t>איצקוביץ</w:t>
      </w:r>
      <w:proofErr w:type="spellEnd"/>
      <w:r w:rsidR="00AB485B">
        <w:rPr>
          <w:sz w:val="20"/>
          <w:szCs w:val="20"/>
          <w:rtl/>
        </w:rPr>
        <w:t>'</w:t>
      </w:r>
      <w:r>
        <w:rPr>
          <w:sz w:val="20"/>
          <w:szCs w:val="20"/>
          <w:rtl/>
        </w:rPr>
        <w:t>) לנפוליאון, ועל מה שאירע כשנפגשו, כפי שמסופר, ר׳ חיים ונפוליאון, להבדיל.</w:t>
      </w:r>
    </w:p>
  </w:footnote>
  <w:footnote w:id="190">
    <w:p w14:paraId="1BE70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ב־10 באפריל 2001 חזר באוזניי ר׳ שלום שטרן על נוסח שונה במקצת ששמע מפי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בהספד על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רם מעלה. וזה הנוסח: הגנרל הצרפתי שערך את החיפוש שאל את הרב אם הרבי מסתתר בביתו, והרב השיב: “לכם יש עם ר׳ </w:t>
      </w:r>
      <w:proofErr w:type="spellStart"/>
      <w:r>
        <w:rPr>
          <w:sz w:val="20"/>
          <w:szCs w:val="20"/>
          <w:rtl/>
        </w:rPr>
        <w:t>שניאור־זלמן</w:t>
      </w:r>
      <w:proofErr w:type="spellEnd"/>
      <w:r>
        <w:rPr>
          <w:sz w:val="20"/>
          <w:szCs w:val="20"/>
          <w:rtl/>
        </w:rPr>
        <w:t xml:space="preserve"> רק מאבק פוליטי, ולי – מאבק אידיאולוגי; לעולם לא הייתי מסתיר אותו”. כששאל הגנרל את הרב אם הוא נותן את הן צדקו כרב שהנמלט אינו מוסתר בביתו, השיב הרב בחיוב – וביתו לא נבדק. והשווה גם “מפניני הרב” מאת צבי שכטר (הוצאת בית המדרש </w:t>
      </w:r>
      <w:proofErr w:type="spellStart"/>
      <w:r>
        <w:rPr>
          <w:sz w:val="20"/>
          <w:szCs w:val="20"/>
          <w:rtl/>
        </w:rPr>
        <w:t>דפלאטבוש</w:t>
      </w:r>
      <w:proofErr w:type="spellEnd"/>
      <w:r>
        <w:rPr>
          <w:sz w:val="20"/>
          <w:szCs w:val="20"/>
          <w:rtl/>
        </w:rPr>
        <w:t xml:space="preserve">, ירושלים, תשס״א), עמ׳ </w:t>
      </w:r>
      <w:proofErr w:type="spellStart"/>
      <w:r>
        <w:rPr>
          <w:sz w:val="20"/>
          <w:szCs w:val="20"/>
          <w:rtl/>
        </w:rPr>
        <w:t>קפ</w:t>
      </w:r>
      <w:proofErr w:type="spellEnd"/>
      <w:r>
        <w:rPr>
          <w:sz w:val="20"/>
          <w:szCs w:val="20"/>
          <w:rtl/>
        </w:rPr>
        <w:t>.</w:t>
      </w:r>
    </w:p>
    <w:p w14:paraId="089BF7A1" w14:textId="77777777" w:rsidR="00AB3647" w:rsidRDefault="00000000">
      <w:pPr>
        <w:spacing w:after="0" w:before="0"/>
        <w:jc w:val="both"/>
      </w:pPr>
      <w:r>
        <w:rPr>
          <w:sz w:val="20"/>
          <w:szCs w:val="20"/>
          <w:rtl/>
        </w:rPr>
        <w:t xml:space="preserve">באותו מעמד אמר ר׳ </w:t>
      </w:r>
      <w:proofErr w:type="spellStart"/>
      <w:r>
        <w:rPr>
          <w:sz w:val="20"/>
          <w:szCs w:val="20"/>
          <w:rtl/>
        </w:rPr>
        <w:t xml:space="preserve">יוסף־דב</w:t>
      </w:r>
      <w:proofErr w:type="spellEnd"/>
      <w:r>
        <w:rPr>
          <w:sz w:val="20"/>
          <w:szCs w:val="20"/>
          <w:rtl/>
        </w:rPr>
        <w:t xml:space="preserve">: “אם תשאלו מה הקשר שלי </w:t>
      </w:r>
      <w:proofErr w:type="spellStart"/>
      <w:r>
        <w:rPr>
          <w:sz w:val="20"/>
          <w:szCs w:val="20"/>
          <w:rtl/>
        </w:rPr>
        <w:t>לליובאוויטש</w:t>
      </w:r>
      <w:proofErr w:type="spellEnd"/>
      <w:r>
        <w:rPr>
          <w:sz w:val="20"/>
          <w:szCs w:val="20"/>
          <w:rtl/>
        </w:rPr>
        <w:t xml:space="preserve">, אומר לכם: לימדו אותי תניא, ספר היסוד של חב״ד, לפני חומש, משום שאבי שכר חסיד </w:t>
      </w:r>
      <w:proofErr w:type="spellStart"/>
      <w:r>
        <w:rPr>
          <w:sz w:val="20"/>
          <w:szCs w:val="20"/>
          <w:rtl/>
        </w:rPr>
        <w:t>ליובאוויטש</w:t>
      </w:r>
      <w:proofErr w:type="spellEnd"/>
      <w:r>
        <w:rPr>
          <w:sz w:val="20"/>
          <w:szCs w:val="20"/>
          <w:rtl/>
        </w:rPr>
        <w:t xml:space="preserve"> ללמדני חומש, </w:t>
      </w:r>
      <w:proofErr w:type="spellStart"/>
      <w:r>
        <w:rPr>
          <w:sz w:val="20"/>
          <w:szCs w:val="20"/>
          <w:rtl/>
        </w:rPr>
        <w:t>וכשלא</w:t>
      </w:r>
      <w:proofErr w:type="spellEnd"/>
      <w:r>
        <w:rPr>
          <w:sz w:val="20"/>
          <w:szCs w:val="20"/>
          <w:rtl/>
        </w:rPr>
        <w:t xml:space="preserve"> היה אבי בסביבה, הוציא המלמד שלי תניא ולימד אותי אותו במקום זה”.</w:t>
      </w:r>
    </w:p>
  </w:footnote>
  <w:footnote w:id="191">
    <w:p w14:paraId="62779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
    <w:p w14:paraId="2188F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193">
    <w:p w14:paraId="1E5E9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136, מאמר מאת אליעזר רובין.</w:t>
      </w:r>
    </w:p>
  </w:footnote>
  <w:footnote w:id="194">
    <w:p w14:paraId="2D600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81, מאמר מאת ירחמיאל פורמן.</w:t>
      </w:r>
    </w:p>
  </w:footnote>
  <w:footnote w:id="195">
    <w:p w14:paraId="593E8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48, מאמר מאת הרצל </w:t>
      </w:r>
      <w:proofErr w:type="spellStart"/>
      <w:r>
        <w:rPr>
          <w:sz w:val="20"/>
          <w:szCs w:val="20"/>
          <w:rtl/>
        </w:rPr>
        <w:t>גיטלסון</w:t>
      </w:r>
      <w:proofErr w:type="spellEnd"/>
      <w:r>
        <w:rPr>
          <w:sz w:val="20"/>
          <w:szCs w:val="20"/>
          <w:rtl/>
        </w:rPr>
        <w:t>.</w:t>
      </w:r>
    </w:p>
  </w:footnote>
  <w:footnote w:id="196">
    <w:p w14:paraId="4F074D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א בפרק זה.</w:t>
      </w:r>
    </w:p>
  </w:footnote>
  <w:footnote w:id="197">
    <w:p w14:paraId="663207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באר הגולה, אבן העזר סי׳ נ״ה ס״ט.</w:t>
      </w:r>
    </w:p>
  </w:footnote>
  <w:footnote w:id="198">
    <w:p w14:paraId="28583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135, רובין.</w:t>
      </w:r>
    </w:p>
  </w:footnote>
  <w:footnote w:id="199">
    <w:p w14:paraId="5BE166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פארלאג</w:t>
      </w:r>
      <w:proofErr w:type="spellEnd"/>
      <w:r>
        <w:rPr>
          <w:sz w:val="20"/>
          <w:szCs w:val="20"/>
          <w:rtl/>
        </w:rPr>
        <w:t xml:space="preserve"> “</w:t>
      </w:r>
      <w:proofErr w:type="spellStart"/>
      <w:r>
        <w:rPr>
          <w:sz w:val="20"/>
          <w:szCs w:val="20"/>
          <w:rtl/>
        </w:rPr>
        <w:t>אידישער</w:t>
      </w:r>
      <w:proofErr w:type="spellEnd"/>
      <w:r>
        <w:rPr>
          <w:sz w:val="20"/>
          <w:szCs w:val="20"/>
          <w:rtl/>
        </w:rPr>
        <w:t xml:space="preserve"> </w:t>
      </w:r>
      <w:proofErr w:type="spellStart"/>
      <w:r>
        <w:rPr>
          <w:sz w:val="20"/>
          <w:szCs w:val="20"/>
          <w:rtl/>
        </w:rPr>
        <w:t>קעמפער</w:t>
      </w:r>
      <w:proofErr w:type="spellEnd"/>
      <w:r>
        <w:rPr>
          <w:sz w:val="20"/>
          <w:szCs w:val="20"/>
          <w:rtl/>
        </w:rPr>
        <w:t xml:space="preserve">”, </w:t>
      </w:r>
      <w:proofErr w:type="spellStart"/>
      <w:r>
        <w:rPr>
          <w:sz w:val="20"/>
          <w:szCs w:val="20"/>
          <w:rtl/>
        </w:rPr>
        <w:t xml:space="preserve">ניו יורק</w:t>
      </w:r>
      <w:proofErr w:type="spellEnd"/>
      <w:r>
        <w:rPr>
          <w:sz w:val="20"/>
          <w:szCs w:val="20"/>
          <w:rtl/>
        </w:rPr>
        <w:t>, תשכ״ב.</w:t>
      </w:r>
    </w:p>
  </w:footnote>
  <w:footnote w:id="200">
    <w:p w14:paraId="7131F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99 בפרק זה.</w:t>
      </w:r>
    </w:p>
  </w:footnote>
  <w:footnote w:id="201">
    <w:p w14:paraId="25BB0F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זיכרונותיו של ברוך צוקרמן, עמ׳ 28.</w:t>
      </w:r>
    </w:p>
  </w:footnote>
  <w:footnote w:id="202">
    <w:p w14:paraId="1440E8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w:t>
      </w:r>
      <w:proofErr w:type="spellStart"/>
      <w:r>
        <w:rPr>
          <w:sz w:val="20"/>
          <w:szCs w:val="20"/>
          <w:rtl/>
        </w:rPr>
        <w:t>קריגר</w:t>
      </w:r>
      <w:proofErr w:type="spellEnd"/>
      <w:r>
        <w:rPr>
          <w:sz w:val="20"/>
          <w:szCs w:val="20"/>
          <w:rtl/>
        </w:rPr>
        <w:t>, ריאיון, 18 בנובמבר 1988.</w:t>
      </w:r>
    </w:p>
  </w:footnote>
  <w:footnote w:id="203">
    <w:p w14:paraId="192E77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בפברואר 1988.</w:t>
      </w:r>
    </w:p>
  </w:footnote>
  <w:footnote w:id="204">
    <w:p w14:paraId="26A68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05">
    <w:p w14:paraId="5D56A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שמואל־יצחק</w:t>
      </w:r>
      <w:proofErr w:type="spellEnd"/>
      <w:r>
        <w:rPr>
          <w:sz w:val="20"/>
          <w:szCs w:val="20"/>
          <w:rtl/>
        </w:rPr>
        <w:t xml:space="preserve"> הרמן, שלא כר׳ אליהו </w:t>
      </w:r>
      <w:proofErr w:type="spellStart"/>
      <w:r>
        <w:rPr>
          <w:sz w:val="20"/>
          <w:szCs w:val="20"/>
          <w:rtl/>
        </w:rPr>
        <w:t>קריגר</w:t>
      </w:r>
      <w:proofErr w:type="spellEnd"/>
      <w:r>
        <w:rPr>
          <w:sz w:val="20"/>
          <w:szCs w:val="20"/>
          <w:rtl/>
        </w:rPr>
        <w:t xml:space="preserve">, הייתה שאלת הרכבת המשקפיים עיונית בלבד ולא שאלה של הלכה למעשה, משום שהוא עצמו לא נזקק אז למשקפיים. והשווה גם משנה ברורה סי׳ ש״א </w:t>
      </w:r>
      <w:proofErr w:type="spellStart"/>
      <w:r>
        <w:rPr>
          <w:sz w:val="20"/>
          <w:szCs w:val="20"/>
          <w:rtl/>
        </w:rPr>
        <w:t>ס״ק</w:t>
      </w:r>
      <w:proofErr w:type="spellEnd"/>
      <w:r>
        <w:rPr>
          <w:sz w:val="20"/>
          <w:szCs w:val="20"/>
          <w:rtl/>
        </w:rPr>
        <w:t xml:space="preserve"> מ״ד בעניין משקפי צביטה (</w:t>
      </w:r>
      <w:proofErr w:type="spellStart"/>
      <w:r>
        <w:rPr>
          <w:sz w:val="20"/>
          <w:szCs w:val="20"/>
          <w:rtl/>
        </w:rPr>
        <w:t>פינס־נה</w:t>
      </w:r>
      <w:proofErr w:type="spellEnd"/>
      <w:r>
        <w:rPr>
          <w:sz w:val="20"/>
          <w:szCs w:val="20"/>
          <w:rtl/>
        </w:rPr>
        <w:t>), והאחרונים בעניין משקפיים מודרניים, שמסגרתם נתפסת מעל האוזניים.</w:t>
      </w:r>
    </w:p>
  </w:footnote>
  <w:footnote w:id="206">
    <w:p w14:paraId="5F82E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214, </w:t>
      </w:r>
      <w:proofErr w:type="spellStart"/>
      <w:r>
        <w:rPr>
          <w:sz w:val="20"/>
          <w:szCs w:val="20"/>
          <w:rtl/>
        </w:rPr>
        <w:t>גיטלסון</w:t>
      </w:r>
      <w:proofErr w:type="spellEnd"/>
      <w:r>
        <w:rPr>
          <w:sz w:val="20"/>
          <w:szCs w:val="20"/>
          <w:rtl/>
        </w:rPr>
        <w:t>.</w:t>
      </w:r>
    </w:p>
  </w:footnote>
  <w:footnote w:id="207">
    <w:p w14:paraId="3D0A8F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כתבי </w:t>
      </w:r>
      <w:proofErr w:type="spellStart"/>
      <w:r>
        <w:rPr>
          <w:sz w:val="20"/>
          <w:szCs w:val="20"/>
          <w:rtl/>
        </w:rPr>
        <w:t>ח״ח</w:t>
      </w:r>
      <w:proofErr w:type="spellEnd"/>
      <w:r>
        <w:rPr>
          <w:sz w:val="20"/>
          <w:szCs w:val="20"/>
          <w:rtl/>
        </w:rPr>
        <w:t xml:space="preserve"> (נספח ב), עמ׳ 67.</w:t>
      </w:r>
    </w:p>
  </w:footnote>
  <w:footnote w:id="208">
    <w:p w14:paraId="591FC9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68 בכל כתבי </w:t>
      </w:r>
      <w:proofErr w:type="spellStart"/>
      <w:r>
        <w:rPr>
          <w:sz w:val="20"/>
          <w:szCs w:val="20"/>
          <w:rtl/>
        </w:rPr>
        <w:t>ח״ח</w:t>
      </w:r>
      <w:proofErr w:type="spellEnd"/>
      <w:r>
        <w:rPr>
          <w:sz w:val="20"/>
          <w:szCs w:val="20"/>
          <w:rtl/>
        </w:rPr>
        <w:t xml:space="preserve"> נאמר בטעות ששנת ההוצאה הייתה תר״ע.</w:t>
      </w:r>
    </w:p>
  </w:footnote>
  <w:footnote w:id="209">
    <w:p w14:paraId="3378B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208, מאמר מאת אחיינו, שלמה </w:t>
      </w:r>
      <w:proofErr w:type="spellStart"/>
      <w:r>
        <w:rPr>
          <w:sz w:val="20"/>
          <w:szCs w:val="20"/>
          <w:rtl/>
        </w:rPr>
        <w:t>שמגר־סמורגונסקי</w:t>
      </w:r>
      <w:proofErr w:type="spellEnd"/>
      <w:r>
        <w:rPr>
          <w:sz w:val="20"/>
          <w:szCs w:val="20"/>
          <w:rtl/>
        </w:rPr>
        <w:t>.</w:t>
      </w:r>
    </w:p>
  </w:footnote>
  <w:footnote w:id="210">
    <w:p w14:paraId="3A2D0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בנו של ר׳ שלמה – השווה פרק 2.2, הפסקה החמישית.</w:t>
      </w:r>
    </w:p>
  </w:footnote>
  <w:footnote w:id="211">
    <w:p w14:paraId="6C2E6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12">
    <w:p w14:paraId="4B68D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פתיחה, הערה 2.</w:t>
      </w:r>
    </w:p>
  </w:footnote>
  <w:footnote w:id="213">
    <w:p w14:paraId="0FDBC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במאי 1991.</w:t>
      </w:r>
    </w:p>
  </w:footnote>
  <w:footnote w:id="214">
    <w:p w14:paraId="7EB940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14 בינואר 1988. הוא </w:t>
      </w:r>
      <w:proofErr w:type="spellStart"/>
      <w:r>
        <w:rPr>
          <w:sz w:val="20"/>
          <w:szCs w:val="20"/>
          <w:rtl/>
        </w:rPr>
        <w:t>נכד־חתן</w:t>
      </w:r>
      <w:proofErr w:type="spellEnd"/>
      <w:r>
        <w:rPr>
          <w:sz w:val="20"/>
          <w:szCs w:val="20"/>
          <w:rtl/>
        </w:rPr>
        <w:t xml:space="preserve"> של רבנו, ורשם לעצמו את שיחותיהם.</w:t>
      </w:r>
    </w:p>
  </w:footnote>
  <w:footnote w:id="215">
    <w:p w14:paraId="23FAFF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16">
    <w:p w14:paraId="6F261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w:t>
      </w:r>
    </w:p>
  </w:footnote>
  <w:footnote w:id="217">
    <w:p w14:paraId="244163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שנתון “היכל שלמה” – עמ׳ 413.</w:t>
      </w:r>
    </w:p>
  </w:footnote>
  <w:footnote w:id="218">
    <w:p w14:paraId="7B8119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ר׳ יצחק </w:t>
      </w:r>
      <w:proofErr w:type="spellStart"/>
      <w:r>
        <w:rPr>
          <w:sz w:val="20"/>
          <w:szCs w:val="20"/>
          <w:rtl/>
        </w:rPr>
        <w:t>שורין</w:t>
      </w:r>
      <w:proofErr w:type="spellEnd"/>
      <w:r>
        <w:rPr>
          <w:sz w:val="20"/>
          <w:szCs w:val="20"/>
          <w:rtl/>
        </w:rPr>
        <w:t>, שרואיין ב־2 בפברואר 1992, שאל את אבי באיזה גיל סיים את כל התנ״ך, ולפי דבריו השיב רבנו: “עד גיל עשר”. אני סבור שתשובתו הייתה “</w:t>
      </w:r>
      <w:proofErr w:type="spellStart"/>
      <w:r>
        <w:rPr>
          <w:sz w:val="20"/>
          <w:szCs w:val="20"/>
          <w:rtl/>
        </w:rPr>
        <w:t>דער</w:t>
      </w:r>
      <w:proofErr w:type="spellEnd"/>
      <w:r>
        <w:rPr>
          <w:sz w:val="20"/>
          <w:szCs w:val="20"/>
          <w:rtl/>
        </w:rPr>
        <w:t xml:space="preserve"> </w:t>
      </w:r>
      <w:proofErr w:type="spellStart"/>
      <w:r>
        <w:rPr>
          <w:sz w:val="20"/>
          <w:szCs w:val="20"/>
          <w:rtl/>
        </w:rPr>
        <w:t>צענטער</w:t>
      </w:r>
      <w:proofErr w:type="spellEnd"/>
      <w:r>
        <w:rPr>
          <w:sz w:val="20"/>
          <w:szCs w:val="20"/>
          <w:rtl/>
        </w:rPr>
        <w:t xml:space="preserve"> </w:t>
      </w:r>
      <w:proofErr w:type="spellStart"/>
      <w:r>
        <w:rPr>
          <w:sz w:val="20"/>
          <w:szCs w:val="20"/>
          <w:rtl/>
        </w:rPr>
        <w:t>יאהר</w:t>
      </w:r>
      <w:proofErr w:type="spellEnd"/>
      <w:r>
        <w:rPr>
          <w:sz w:val="20"/>
          <w:szCs w:val="20"/>
          <w:rtl/>
        </w:rPr>
        <w:t>” (השנה העשירית), שפירושו ביידיש “בגיל תשע ומשהו”.</w:t>
      </w:r>
    </w:p>
  </w:footnote>
  <w:footnote w:id="219">
    <w:p w14:paraId="22C0E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בינואר 1988.</w:t>
      </w:r>
    </w:p>
  </w:footnote>
  <w:footnote w:id="220">
    <w:p w14:paraId="5CB64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w:t>
      </w:r>
    </w:p>
  </w:footnote>
  <w:footnote w:id="221">
    <w:p w14:paraId="581DC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באוגוסט 1995.</w:t>
      </w:r>
    </w:p>
  </w:footnote>
  <w:footnote w:id="222">
    <w:p w14:paraId="088CB2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שלמה </w:t>
      </w:r>
      <w:proofErr w:type="spellStart"/>
      <w:r>
        <w:rPr>
          <w:sz w:val="20"/>
          <w:szCs w:val="20"/>
          <w:rtl/>
        </w:rPr>
        <w:t>גליקסמן</w:t>
      </w:r>
      <w:proofErr w:type="spellEnd"/>
      <w:r>
        <w:rPr>
          <w:sz w:val="20"/>
          <w:szCs w:val="20"/>
          <w:rtl/>
        </w:rPr>
        <w:t>, 6 בדצמבר 1987.</w:t>
      </w:r>
    </w:p>
  </w:footnote>
  <w:footnote w:id="223">
    <w:p w14:paraId="189BA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דברים ו:ז שהרב קרוי אב.</w:t>
      </w:r>
    </w:p>
  </w:footnote>
  <w:footnote w:id="224">
    <w:p w14:paraId="259F7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ב־16 בדצמבר 1987 מפי ר׳ פלטיאל בנדר, שנכח כשאחיו ראיין את רבנו.</w:t>
      </w:r>
    </w:p>
  </w:footnote>
  <w:footnote w:id="225">
    <w:p w14:paraId="70DB3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קלטת זיכרונות שהכין ר׳ אהרן </w:t>
      </w:r>
      <w:proofErr w:type="spellStart"/>
      <w:r>
        <w:rPr>
          <w:sz w:val="20"/>
          <w:szCs w:val="20"/>
          <w:rtl/>
        </w:rPr>
        <w:t>ברפמן</w:t>
      </w:r>
      <w:proofErr w:type="spellEnd"/>
      <w:r>
        <w:rPr>
          <w:sz w:val="20"/>
          <w:szCs w:val="20"/>
          <w:rtl/>
        </w:rPr>
        <w:t xml:space="preserve"> בשבוע של י״ג בטבת תשמ״ח.</w:t>
      </w:r>
    </w:p>
  </w:footnote>
  <w:footnote w:id="226">
    <w:p w14:paraId="23DDE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משה </w:t>
      </w:r>
      <w:proofErr w:type="spellStart"/>
      <w:r>
        <w:rPr>
          <w:sz w:val="20"/>
          <w:szCs w:val="20"/>
          <w:rtl/>
        </w:rPr>
        <w:t>שוואב</w:t>
      </w:r>
      <w:proofErr w:type="spellEnd"/>
      <w:r>
        <w:rPr>
          <w:sz w:val="20"/>
          <w:szCs w:val="20"/>
          <w:rtl/>
        </w:rPr>
        <w:t>, 17 בינואר 1988.</w:t>
      </w:r>
    </w:p>
  </w:footnote>
  <w:footnote w:id="227">
    <w:p w14:paraId="12A02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15 בנובמבר 1987.</w:t>
      </w:r>
    </w:p>
  </w:footnote>
  <w:footnote w:id="228">
    <w:p w14:paraId="24D25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סימן תקנ״א.</w:t>
      </w:r>
    </w:p>
  </w:footnote>
  <w:footnote w:id="229">
    <w:p w14:paraId="33B15E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ישעיה שכטר (הערה 56 לעיל).</w:t>
      </w:r>
    </w:p>
  </w:footnote>
  <w:footnote w:id="230">
    <w:p w14:paraId="3680E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 ריאיון, 8 בפברואר 1988.</w:t>
      </w:r>
    </w:p>
  </w:footnote>
  <w:footnote w:id="231">
    <w:p w14:paraId="0945AA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32">
    <w:p w14:paraId="50A7EC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לא היה אבי עושה את חשבונו עם המלמד כעבור חצי שנה, בשחייה בשלושת השבועות. ספק גם אם היה נוקם על עונש שהגיע לו ביושר, אחרי שנתפס עושה דבר שלא כהוגן (ונוסף על כך משקר עליו). לפיכך נראה שסיפורו של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אינו גרסה אחרת – וסותרת – של המאורע שסופר בתחילת הערה זו, אלא מעשה בפני עצמו. יתר על כן, ייתכן שהמעשה שסיפר ר׳ </w:t>
      </w:r>
      <w:proofErr w:type="spellStart"/>
      <w:r>
        <w:rPr>
          <w:sz w:val="20"/>
          <w:szCs w:val="20"/>
          <w:rtl/>
        </w:rPr>
        <w:t>לייבל</w:t>
      </w:r>
      <w:proofErr w:type="spellEnd"/>
      <w:r>
        <w:rPr>
          <w:sz w:val="20"/>
          <w:szCs w:val="20"/>
          <w:rtl/>
        </w:rPr>
        <w:t xml:space="preserve"> אירע כחצי שנה לפני המאורע האחר, ומשתפס המלמד את הילד הקטן משקר פעם אחת, חשד בו שהוא משקר שוב לפני שלושת השבועות. אבי כעס על שהמלמד לא הבין ש</w:t>
      </w:r>
      <w:r>
        <w:rPr>
          <w:b/>
          <w:bCs/>
          <w:sz w:val="20"/>
          <w:szCs w:val="20"/>
          <w:rtl/>
        </w:rPr>
        <w:t>אחרי שנתפס משקר פעם אחת</w:t>
      </w:r>
      <w:r>
        <w:rPr>
          <w:sz w:val="20"/>
          <w:szCs w:val="20"/>
          <w:rtl/>
        </w:rPr>
        <w:t xml:space="preserve"> החליט שלא לשקר עוד לעולם!</w:t>
      </w:r>
    </w:p>
    <w:p w14:paraId="551A108A" w14:textId="77777777" w:rsidR="00AB3647" w:rsidRDefault="00000000">
      <w:pPr>
        <w:spacing w:after="0" w:before="0"/>
        <w:jc w:val="both"/>
      </w:pPr>
      <w:r>
        <w:rPr>
          <w:sz w:val="20"/>
          <w:szCs w:val="20"/>
          <w:rtl/>
        </w:rPr>
        <w:t xml:space="preserve">משום שבמעשה השני שיקר אבי, סיפר אותו רק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“איש סודו” (כמתואר בהערת שוליים </w:t>
      </w:r>
      <w:r>
        <w:rPr>
          <w:sz w:val="20"/>
          <w:szCs w:val="20"/>
          <w:rtl/>
        </w:rPr>
        <w:fldChar w:fldCharType="begin" w:dirty="true"/>
      </w:r>
      <w:r>
        <w:rPr>
          <w:sz w:val="20"/>
          <w:szCs w:val="20"/>
          <w:rtl/>
        </w:rPr>
        <w:instrText xml:space="preserve"> NOTEREF pr_f_70 \h </w:instrText>
      </w:r>
      <w:r>
        <w:rPr>
          <w:sz w:val="20"/>
          <w:szCs w:val="20"/>
          <w:rtl/>
        </w:rPr>
      </w:r>
      <w:r>
        <w:rPr>
          <w:sz w:val="20"/>
          <w:szCs w:val="20"/>
          <w:rtl/>
        </w:rPr>
        <w:fldChar w:fldCharType="separate"/>
      </w:r>
      <w:r w:rsidR="007923E9">
        <w:rPr>
          <w:sz w:val="20"/>
          <w:szCs w:val="20"/>
          <w:rtl/>
        </w:rPr>
        <w:t>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ר׳ אהרן לסקר (הערת שוליים </w:t>
      </w:r>
      <w:r>
        <w:rPr>
          <w:sz w:val="20"/>
          <w:szCs w:val="20"/>
          <w:rtl/>
        </w:rPr>
        <w:fldChar w:fldCharType="begin" w:dirty="true"/>
      </w:r>
      <w:r>
        <w:rPr>
          <w:sz w:val="20"/>
          <w:szCs w:val="20"/>
          <w:rtl/>
        </w:rPr>
        <w:instrText xml:space="preserve"> NOTEREF pr_f_297 \h </w:instrText>
      </w:r>
      <w:r>
        <w:rPr>
          <w:sz w:val="20"/>
          <w:szCs w:val="20"/>
          <w:rtl/>
        </w:rPr>
      </w:r>
      <w:r>
        <w:rPr>
          <w:sz w:val="20"/>
          <w:szCs w:val="20"/>
          <w:rtl/>
        </w:rPr>
        <w:fldChar w:fldCharType="separate"/>
      </w:r>
      <w:r w:rsidR="007923E9">
        <w:rPr>
          <w:sz w:val="20"/>
          <w:szCs w:val="20"/>
          <w:rtl/>
        </w:rPr>
        <w:t>240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מסר ששמע שחשדו באבי שהלך להחליק על הקרח בלילה שלפני איחורו לחדר, ושאחותו אישרה את הכחשתו. נמצא שהמעשה שבו </w:t>
      </w:r>
      <w:r>
        <w:rPr>
          <w:b/>
          <w:bCs/>
          <w:sz w:val="20"/>
          <w:szCs w:val="20"/>
          <w:rtl/>
        </w:rPr>
        <w:t>לא</w:t>
      </w:r>
      <w:r>
        <w:rPr>
          <w:sz w:val="20"/>
          <w:szCs w:val="20"/>
          <w:rtl/>
        </w:rPr>
        <w:t xml:space="preserve"> שיקר אירע בחורף, ולא יכול היה לנקום במלמדו בשחייה.</w:t>
      </w:r>
    </w:p>
    <w:p w14:paraId="63F96F93" w14:textId="77777777" w:rsidR="00AB3647" w:rsidRDefault="00000000">
      <w:pPr>
        <w:spacing w:after="0" w:before="0"/>
        <w:jc w:val="both"/>
      </w:pPr>
      <w:r>
        <w:rPr>
          <w:sz w:val="20"/>
          <w:szCs w:val="20"/>
          <w:rtl/>
        </w:rPr>
        <w:t xml:space="preserve">העובדה שיש גרסאות סותרות עשויה להוכיח שהמעשה המלא לא סופר בבירור משום שהיה בו דבר שצריך להסתיר, כדברי ר׳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 כלומר, שאבי אכן שיקר במאורע של חורף, ורק נמנע מלשקר עוד במאורע של סוף האביב. אגב, אבי היה תמיד מסייג את דבריו הידועים שמעולם לא הוציא שקר מפיו, ומוסיף: “מיום עומדי על דעתי” (ראה חולין סוף ז׳ ע״ב). ראה גם הערת שוליים </w:t>
      </w:r>
      <w:r>
        <w:rPr>
          <w:sz w:val="20"/>
          <w:szCs w:val="20"/>
          <w:rtl/>
        </w:rPr>
        <w:fldChar w:fldCharType="begin" w:dirty="true"/>
      </w:r>
      <w:r>
        <w:rPr>
          <w:sz w:val="20"/>
          <w:szCs w:val="20"/>
          <w:rtl/>
        </w:rPr>
        <w:instrText xml:space="preserve"> NOTEREF pr_f_441 \h </w:instrText>
      </w:r>
      <w:r>
        <w:rPr>
          <w:sz w:val="20"/>
          <w:szCs w:val="20"/>
          <w:rtl/>
        </w:rPr>
      </w:r>
      <w:r>
        <w:rPr>
          <w:sz w:val="20"/>
          <w:szCs w:val="20"/>
          <w:rtl/>
        </w:rPr>
        <w:fldChar w:fldCharType="separate"/>
      </w:r>
      <w:r w:rsidR="007923E9">
        <w:rPr>
          <w:sz w:val="20"/>
          <w:szCs w:val="20"/>
          <w:rtl/>
        </w:rPr>
        <w:t>75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pr_f_441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3">
    <w:p w14:paraId="733A3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זאב לב סיפר ב־15 באפריל 2002 (כשכתיבת ספר זה הגיעה לסיומה) שאבי אמר לו </w:t>
      </w:r>
      <w:r>
        <w:rPr>
          <w:b/>
          <w:bCs/>
          <w:sz w:val="20"/>
          <w:szCs w:val="20"/>
          <w:rtl/>
        </w:rPr>
        <w:t>בשנת תשל״א</w:t>
      </w:r>
      <w:r>
        <w:rPr>
          <w:sz w:val="20"/>
          <w:szCs w:val="20"/>
          <w:rtl/>
        </w:rPr>
        <w:t xml:space="preserve"> שהפסיק לפסוק פסקים משום ששכח תוספות!</w:t>
      </w:r>
    </w:p>
  </w:footnote>
  <w:footnote w:id="234">
    <w:p w14:paraId="1AF8B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בספטמבר 1998.</w:t>
      </w:r>
    </w:p>
  </w:footnote>
  <w:footnote w:id="235">
    <w:p w14:paraId="53E82B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236">
    <w:p w14:paraId="0CD351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 סוף מסכת מגילה.</w:t>
      </w:r>
    </w:p>
  </w:footnote>
  <w:footnote w:id="237">
    <w:p w14:paraId="21DF96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שוב ב־9 באוקטובר 1990.</w:t>
      </w:r>
    </w:p>
  </w:footnote>
  <w:footnote w:id="238">
    <w:p w14:paraId="198C6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בינואר 1988.</w:t>
      </w:r>
    </w:p>
  </w:footnote>
  <w:footnote w:id="239">
    <w:p w14:paraId="39540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רשימות ביוגרפיות.</w:t>
      </w:r>
    </w:p>
  </w:footnote>
  <w:footnote w:id="240">
    <w:p w14:paraId="66F4F2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ה.</w:t>
      </w:r>
    </w:p>
  </w:footnote>
  <w:footnote w:id="241">
    <w:p w14:paraId="5E01BB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בנובמבר 1987.</w:t>
      </w:r>
    </w:p>
  </w:footnote>
  <w:footnote w:id="242">
    <w:p w14:paraId="0370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בינואר 1988.</w:t>
      </w:r>
    </w:p>
  </w:footnote>
  <w:footnote w:id="243">
    <w:p w14:paraId="045044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84, שבה מוזכרים אותו אב ובנו בעניין סיום התיכון.</w:t>
      </w:r>
    </w:p>
  </w:footnote>
  <w:footnote w:id="244">
    <w:p w14:paraId="1658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מרץ 1988 (ראה הערה 7 לעיל).</w:t>
      </w:r>
    </w:p>
  </w:footnote>
  <w:footnote w:id="245">
    <w:p w14:paraId="5226F1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במרץ 1993.</w:t>
      </w:r>
    </w:p>
  </w:footnote>
  <w:footnote w:id="246">
    <w:p w14:paraId="3B1E9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 בפתיחה.</w:t>
      </w:r>
    </w:p>
  </w:footnote>
  <w:footnote w:id="247">
    <w:p w14:paraId="1F3612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נתיבות עולם למהר״ל, נתיב התורה, פרק י״ד, שכתב: כל דבר שהוא לעמוד על מהות העולם... יש לעמוד עליהם ולהכיר על ידי זה בוראו.</w:t>
      </w:r>
    </w:p>
  </w:footnote>
  <w:footnote w:id="248">
    <w:p w14:paraId="786C0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פ״ג מ״ז.</w:t>
      </w:r>
    </w:p>
  </w:footnote>
  <w:footnote w:id="249">
    <w:p w14:paraId="63E256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אשר </w:t>
      </w:r>
      <w:proofErr w:type="spellStart"/>
      <w:r>
        <w:rPr>
          <w:sz w:val="20"/>
          <w:szCs w:val="20"/>
          <w:rtl/>
        </w:rPr>
        <w:t>קצמן</w:t>
      </w:r>
      <w:proofErr w:type="spellEnd"/>
      <w:r>
        <w:rPr>
          <w:sz w:val="20"/>
          <w:szCs w:val="20"/>
          <w:rtl/>
        </w:rPr>
        <w:t xml:space="preserve">. הוא רשם את השיחות שהיו לו עם אבי בחורפים של תשכ״ה, תשכ״ו, תשל״א </w:t>
      </w:r>
      <w:proofErr w:type="spellStart"/>
      <w:r>
        <w:rPr>
          <w:sz w:val="20"/>
          <w:szCs w:val="20"/>
          <w:rtl/>
        </w:rPr>
        <w:t>ותשל״ח</w:t>
      </w:r>
      <w:proofErr w:type="spellEnd"/>
      <w:r>
        <w:rPr>
          <w:sz w:val="20"/>
          <w:szCs w:val="20"/>
          <w:rtl/>
        </w:rPr>
        <w:t xml:space="preserve">. ועיין ר״ע </w:t>
      </w:r>
      <w:proofErr w:type="spellStart"/>
      <w:r>
        <w:rPr>
          <w:sz w:val="20"/>
          <w:szCs w:val="20"/>
          <w:rtl/>
        </w:rPr>
        <w:t>מברטנורא</w:t>
      </w:r>
      <w:proofErr w:type="spellEnd"/>
      <w:r>
        <w:rPr>
          <w:sz w:val="20"/>
          <w:szCs w:val="20"/>
          <w:rtl/>
        </w:rPr>
        <w:t xml:space="preserve"> על אתר שהמפסיק בירך “שככה לו בעולמו (עפ״י ברכות נ״ח ע״ב)” ומ״מ מתחייב בנפשו, אבל לא קשה על דברי רבנו כי על הנאתו הוא מברך ולא על גדלות הבורא </w:t>
      </w:r>
      <w:proofErr w:type="spellStart"/>
      <w:r>
        <w:rPr>
          <w:sz w:val="20"/>
          <w:szCs w:val="20"/>
          <w:rtl/>
        </w:rPr>
        <w:t>ודו״ק</w:t>
      </w:r>
      <w:proofErr w:type="spellEnd"/>
      <w:r>
        <w:rPr>
          <w:sz w:val="20"/>
          <w:szCs w:val="20"/>
          <w:rtl/>
        </w:rPr>
        <w:t>.</w:t>
      </w:r>
    </w:p>
  </w:footnote>
  <w:footnote w:id="250">
    <w:p w14:paraId="7D2AD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ספק ערלה בענבים, טבל במיץ, תולעים בקרפיון, חלב עכו״ם בגבינה לבנה, זריקות מפוקפקות בעופות, ובשר שהובא קפוא מעבר לים.</w:t>
      </w:r>
    </w:p>
  </w:footnote>
  <w:footnote w:id="251">
    <w:p w14:paraId="6FBF1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קד:כה</w:t>
      </w:r>
      <w:proofErr w:type="spellEnd"/>
      <w:r>
        <w:rPr>
          <w:sz w:val="20"/>
          <w:szCs w:val="20"/>
          <w:rtl/>
        </w:rPr>
        <w:t>.</w:t>
      </w:r>
    </w:p>
  </w:footnote>
  <w:footnote w:id="252">
    <w:p w14:paraId="11C6A0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הושע ו:ד.</w:t>
      </w:r>
    </w:p>
  </w:footnote>
  <w:footnote w:id="253">
    <w:p w14:paraId="0C0EAC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54">
    <w:p w14:paraId="2A09A3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(בני ברק, תשנ״ט), עמ׳ 119.</w:t>
      </w:r>
    </w:p>
  </w:footnote>
  <w:footnote w:id="255">
    <w:p w14:paraId="4ED049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 וכרך 2.</w:t>
      </w:r>
    </w:p>
  </w:footnote>
  <w:footnote w:id="256">
    <w:p w14:paraId="279F60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באוגוסט 1994.</w:t>
      </w:r>
    </w:p>
  </w:footnote>
  <w:footnote w:id="257">
    <w:p w14:paraId="1FCF022C"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שביט האלי התקרב לכדור הארץ במאי 1910 (הקרבה המרבית – 20 במאי). רבנו נולד באדר תרנ״א, ולכן היה אז בן </w:t>
      </w:r>
      <w:proofErr w:type="spellStart"/>
      <w:r>
        <w:rPr>
          <w:sz w:val="20"/>
          <w:szCs w:val="20"/>
          <w:rtl/>
        </w:rPr>
        <w:t>תשע־עשרה</w:t>
      </w:r>
      <w:proofErr w:type="spellEnd"/>
      <w:r>
        <w:rPr>
          <w:sz w:val="20"/>
          <w:szCs w:val="20"/>
          <w:rtl/>
        </w:rPr>
        <w:t>, ולא עשרים ואחת.</w:t>
      </w:r>
    </w:p>
  </w:footnote>
  <w:footnote w:id="258">
    <w:p w14:paraId="2845F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ביאר על פי זה באופן חדש את דברי רש״י בבראשית ז:ז שנח מקטני אמנה הי׳, מאמין שיבוא מבול וגם אינו מאמין, שהאמין שמגיע לאנושות </w:t>
      </w:r>
      <w:proofErr w:type="spellStart"/>
      <w:r>
        <w:rPr>
          <w:sz w:val="20"/>
          <w:szCs w:val="20"/>
          <w:rtl/>
        </w:rPr>
        <w:t>להכחד</w:t>
      </w:r>
      <w:proofErr w:type="spellEnd"/>
      <w:r>
        <w:rPr>
          <w:sz w:val="20"/>
          <w:szCs w:val="20"/>
          <w:rtl/>
        </w:rPr>
        <w:t xml:space="preserve"> ע״י מבול אבל חשב שהדור יעשה תשובה לבסוף כשיראו שהגשם מתחיל לרדת, כי אז יחששו שמא סו״ס יהי׳ מבול כמו שנח הלך וצעק כבר מאה ועשרים שנה, וכיון שיעשו תשובה תבוטל הגזירה, ולכן לא נכנס לתיבה עד שדחקוהו המים. (ועי׳ </w:t>
      </w:r>
      <w:proofErr w:type="spellStart"/>
      <w:r>
        <w:rPr>
          <w:sz w:val="20"/>
          <w:szCs w:val="20"/>
          <w:rtl/>
        </w:rPr>
        <w:t>בב״ר</w:t>
      </w:r>
      <w:proofErr w:type="spellEnd"/>
      <w:r>
        <w:rPr>
          <w:sz w:val="20"/>
          <w:szCs w:val="20"/>
          <w:rtl/>
        </w:rPr>
        <w:t xml:space="preserve"> </w:t>
      </w:r>
      <w:proofErr w:type="spellStart"/>
      <w:r>
        <w:rPr>
          <w:sz w:val="20"/>
          <w:szCs w:val="20"/>
          <w:rtl/>
        </w:rPr>
        <w:t>לב:ו</w:t>
      </w:r>
      <w:proofErr w:type="spellEnd"/>
      <w:r>
        <w:rPr>
          <w:sz w:val="20"/>
          <w:szCs w:val="20"/>
          <w:rtl/>
        </w:rPr>
        <w:t xml:space="preserve"> ששם הלשון הוא “נח מחוסר אמנה היה”.)</w:t>
      </w:r>
    </w:p>
  </w:footnote>
  <w:footnote w:id="259">
    <w:p w14:paraId="1D13F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56 לעיל.</w:t>
      </w:r>
    </w:p>
  </w:footnote>
  <w:footnote w:id="260">
    <w:p w14:paraId="21195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כתוצאה ממה שראה הגיע למסקנה הנועזת ששלושת הפרקים הראשונים </w:t>
      </w:r>
      <w:proofErr w:type="spellStart"/>
      <w:r>
        <w:rPr>
          <w:sz w:val="20"/>
          <w:szCs w:val="20"/>
          <w:rtl/>
        </w:rPr>
        <w:t>שב“יד</w:t>
      </w:r>
      <w:proofErr w:type="spellEnd"/>
      <w:r>
        <w:rPr>
          <w:sz w:val="20"/>
          <w:szCs w:val="20"/>
          <w:rtl/>
        </w:rPr>
        <w:t xml:space="preserve"> החזקה” לרמב״ם אינם מיוסדים על מקורות התלמוד, שאין בהם טעות, אלא הם דעותיו של הרמב״ם עצמו. כשהראה לו אחר כך ר׳ יצחק פרמן שר׳ דוד </w:t>
      </w:r>
      <w:proofErr w:type="spellStart"/>
      <w:r>
        <w:rPr>
          <w:sz w:val="20"/>
          <w:szCs w:val="20"/>
          <w:rtl/>
        </w:rPr>
        <w:t>ערמאה</w:t>
      </w:r>
      <w:proofErr w:type="spellEnd"/>
      <w:r>
        <w:rPr>
          <w:sz w:val="20"/>
          <w:szCs w:val="20"/>
          <w:rtl/>
        </w:rPr>
        <w:t xml:space="preserve"> כותב כעין זה בפירושו על הרמב״ם (ראה מהדורת שבתי פרנקל), קרא אבי: “שישו בני מעי!” (ביטוי על פי בבא מציעא פ״ג ע״ב, </w:t>
      </w:r>
      <w:proofErr w:type="spellStart"/>
      <w:r>
        <w:rPr>
          <w:sz w:val="20"/>
          <w:szCs w:val="20"/>
          <w:rtl/>
        </w:rPr>
        <w:t>ועיי״ש</w:t>
      </w:r>
      <w:proofErr w:type="spellEnd"/>
      <w:r>
        <w:rPr>
          <w:sz w:val="20"/>
          <w:szCs w:val="20"/>
          <w:rtl/>
        </w:rPr>
        <w:t>).</w:t>
      </w:r>
    </w:p>
    <w:p w14:paraId="6518D998" w14:textId="77777777" w:rsidR="00AB3647" w:rsidRDefault="00000000">
      <w:pPr>
        <w:spacing w:after="0" w:before="0"/>
        <w:jc w:val="both"/>
      </w:pPr>
      <w:r>
        <w:rPr>
          <w:sz w:val="20"/>
          <w:szCs w:val="20"/>
          <w:rtl/>
        </w:rPr>
        <w:t xml:space="preserve">והשווה גם את ספרו של רבנו “עיונים במקרא” (יצא לאור ע״י בני המחבר, </w:t>
      </w:r>
      <w:proofErr w:type="spellStart"/>
      <w:r>
        <w:rPr>
          <w:sz w:val="20"/>
          <w:szCs w:val="20"/>
          <w:rtl/>
        </w:rPr>
        <w:t>נוא</w:t>
      </w:r>
      <w:proofErr w:type="spellEnd"/>
      <w:r>
        <w:rPr>
          <w:sz w:val="20"/>
          <w:szCs w:val="20"/>
          <w:rtl/>
        </w:rPr>
        <w:t xml:space="preserve"> יורק </w:t>
      </w:r>
      <w:proofErr w:type="spellStart"/>
      <w:r>
        <w:rPr>
          <w:sz w:val="20"/>
          <w:szCs w:val="20"/>
          <w:rtl/>
        </w:rPr>
        <w:t>תדש״ם</w:t>
      </w:r>
      <w:proofErr w:type="spellEnd"/>
      <w:r>
        <w:rPr>
          <w:sz w:val="20"/>
          <w:szCs w:val="20"/>
          <w:rtl/>
        </w:rPr>
        <w:t>; להלן: “עיונים”), הספר היחיד מכתבי אבי שיצא לאור בחייו. שם, בעמ׳ י, הוא מזכיר את צפייתו בנחיתה על הירח. וראה גם את המהדורה המורחבת של “עיונים במקרא”, הנקראת “אמת ליעקב”, שיצאה לאור ע״י מכון “אמת ליעקב” (</w:t>
      </w:r>
      <w:proofErr w:type="spellStart"/>
      <w:r>
        <w:rPr>
          <w:sz w:val="20"/>
          <w:szCs w:val="20"/>
          <w:rtl/>
        </w:rPr>
        <w:t>נוא</w:t>
      </w:r>
      <w:proofErr w:type="spellEnd"/>
      <w:r>
        <w:rPr>
          <w:sz w:val="20"/>
          <w:szCs w:val="20"/>
          <w:rtl/>
        </w:rPr>
        <w:t xml:space="preserve"> יורק/</w:t>
      </w:r>
      <w:proofErr w:type="spellStart"/>
      <w:r>
        <w:rPr>
          <w:sz w:val="20"/>
          <w:szCs w:val="20"/>
          <w:rtl/>
        </w:rPr>
        <w:t>קליוולנד</w:t>
      </w:r>
      <w:proofErr w:type="spellEnd"/>
      <w:r>
        <w:rPr>
          <w:sz w:val="20"/>
          <w:szCs w:val="20"/>
          <w:rtl/>
        </w:rPr>
        <w:t xml:space="preserve">, תשנ״א) בעריכת </w:t>
      </w:r>
      <w:proofErr w:type="spellStart"/>
      <w:r>
        <w:rPr>
          <w:sz w:val="20"/>
          <w:szCs w:val="20"/>
          <w:rtl/>
        </w:rPr>
        <w:t>נכד־חתנו</w:t>
      </w:r>
      <w:proofErr w:type="spellEnd"/>
      <w:r>
        <w:rPr>
          <w:sz w:val="20"/>
          <w:szCs w:val="20"/>
          <w:rtl/>
        </w:rPr>
        <w:t xml:space="preserve"> של רבנו, דניאל יהודה </w:t>
      </w:r>
      <w:proofErr w:type="spellStart"/>
      <w:r>
        <w:rPr>
          <w:sz w:val="20"/>
          <w:szCs w:val="20"/>
          <w:rtl/>
        </w:rPr>
        <w:t>נוישטט</w:t>
      </w:r>
      <w:proofErr w:type="spellEnd"/>
      <w:r>
        <w:rPr>
          <w:sz w:val="20"/>
          <w:szCs w:val="20"/>
          <w:rtl/>
        </w:rPr>
        <w:t>. שם, בעמ׳ טו–</w:t>
      </w:r>
      <w:proofErr w:type="spellStart"/>
      <w:r>
        <w:rPr>
          <w:sz w:val="20"/>
          <w:szCs w:val="20"/>
          <w:rtl/>
        </w:rPr>
        <w:t>טז</w:t>
      </w:r>
      <w:proofErr w:type="spellEnd"/>
      <w:r>
        <w:rPr>
          <w:sz w:val="20"/>
          <w:szCs w:val="20"/>
          <w:rtl/>
        </w:rPr>
        <w:t>, מובא ביאור נוסף של אבי לגישתו החדשה לפרקים הראשונים של הרמב״ם.</w:t>
      </w:r>
    </w:p>
  </w:footnote>
  <w:footnote w:id="261">
    <w:p w14:paraId="056090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1988.</w:t>
      </w:r>
    </w:p>
  </w:footnote>
  <w:footnote w:id="262">
    <w:p w14:paraId="648C01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63">
    <w:p w14:paraId="6A301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27 במרץ 1988.</w:t>
      </w:r>
    </w:p>
  </w:footnote>
  <w:footnote w:id="264">
    <w:p w14:paraId="51FDE8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ככל שהצלחתי ללקט מדברי המרואיינים, סיפר אבי זאת בהקשר של יכולתו ללכת בימי שישי דרך ארוכה </w:t>
      </w:r>
      <w:proofErr w:type="spellStart"/>
      <w:r>
        <w:rPr>
          <w:sz w:val="20"/>
          <w:szCs w:val="20"/>
          <w:rtl/>
        </w:rPr>
        <w:t>מלומז׳ה</w:t>
      </w:r>
      <w:proofErr w:type="spellEnd"/>
      <w:r>
        <w:rPr>
          <w:sz w:val="20"/>
          <w:szCs w:val="20"/>
          <w:rtl/>
        </w:rPr>
        <w:t xml:space="preserve"> </w:t>
      </w:r>
      <w:proofErr w:type="spellStart"/>
      <w:r>
        <w:rPr>
          <w:sz w:val="20"/>
          <w:szCs w:val="20"/>
          <w:rtl/>
        </w:rPr>
        <w:t>למישניץ</w:t>
      </w:r>
      <w:proofErr w:type="spellEnd"/>
      <w:r>
        <w:rPr>
          <w:sz w:val="20"/>
          <w:szCs w:val="20"/>
          <w:rtl/>
        </w:rPr>
        <w:t>, שם אכל בשבת בבית הרב. ראה כרך 2 לדיון נוסף בדיוקו של דיווח זה.</w:t>
      </w:r>
    </w:p>
  </w:footnote>
  <w:footnote w:id="265">
    <w:p w14:paraId="14DB2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266">
    <w:p w14:paraId="375DBE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1988.</w:t>
      </w:r>
    </w:p>
  </w:footnote>
  <w:footnote w:id="267">
    <w:p w14:paraId="22547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בדצמבר 1987. והשווה גם עירובין כ״א ע״ב.</w:t>
      </w:r>
    </w:p>
  </w:footnote>
  <w:footnote w:id="268">
    <w:p w14:paraId="1D36E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באפריל 1987, עם יליד </w:t>
      </w:r>
      <w:proofErr w:type="spellStart"/>
      <w:r>
        <w:rPr>
          <w:sz w:val="20"/>
          <w:szCs w:val="20"/>
          <w:rtl/>
        </w:rPr>
        <w:t>דולהינוב</w:t>
      </w:r>
      <w:proofErr w:type="spellEnd"/>
      <w:r>
        <w:rPr>
          <w:sz w:val="20"/>
          <w:szCs w:val="20"/>
          <w:rtl/>
        </w:rPr>
        <w:t xml:space="preserve">, שמואל </w:t>
      </w:r>
      <w:proofErr w:type="spellStart"/>
      <w:r>
        <w:rPr>
          <w:sz w:val="20"/>
          <w:szCs w:val="20"/>
          <w:rtl/>
        </w:rPr>
        <w:t>אלפרוביץ</w:t>
      </w:r>
      <w:proofErr w:type="spellEnd"/>
      <w:r>
        <w:rPr>
          <w:sz w:val="20"/>
          <w:szCs w:val="20"/>
          <w:rtl/>
        </w:rPr>
        <w:t>׳ מגבעתיים, ישראל, חבר מערכת “אש תמיד”.</w:t>
      </w:r>
    </w:p>
  </w:footnote>
  <w:footnote w:id="269">
    <w:p w14:paraId="5E8AD9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80, 30–32.</w:t>
      </w:r>
    </w:p>
  </w:footnote>
  <w:footnote w:id="270">
    <w:p w14:paraId="0FB770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pr_f_105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71">
    <w:p w14:paraId="0B5FA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272">
    <w:p w14:paraId="6F28B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273">
    <w:p w14:paraId="08FD1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4">
    <w:p w14:paraId="708AC3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275">
    <w:p w14:paraId="167F88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 בדצמבר 1997.</w:t>
      </w:r>
    </w:p>
  </w:footnote>
  <w:footnote w:id="276">
    <w:p w14:paraId="359B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95 להלן.</w:t>
      </w:r>
    </w:p>
  </w:footnote>
  <w:footnote w:id="277">
    <w:p w14:paraId="3139A0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ראה במאורע זה, שאירע כשמלאו לו זה עתה </w:t>
      </w:r>
      <w:proofErr w:type="spellStart"/>
      <w:r>
        <w:rPr>
          <w:sz w:val="20"/>
          <w:szCs w:val="20"/>
          <w:rtl/>
        </w:rPr>
        <w:t>אחת־עשרה</w:t>
      </w:r>
      <w:proofErr w:type="spellEnd"/>
      <w:r>
        <w:rPr>
          <w:sz w:val="20"/>
          <w:szCs w:val="20"/>
          <w:rtl/>
        </w:rPr>
        <w:t xml:space="preserve"> שנה, ראשיתה של התמכרות (השווה תחילת פרק 5, וההערות). כשהזכיר שלמד אז לעשן, לא בא אלא להמחיש שרכש את “כישוריו” של איכר.</w:t>
      </w:r>
    </w:p>
  </w:footnote>
  <w:footnote w:id="278">
    <w:p w14:paraId="0ACC7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“עלייתם ונפילתם של בית </w:t>
      </w:r>
      <w:proofErr w:type="spellStart"/>
      <w:r>
        <w:rPr>
          <w:sz w:val="20"/>
          <w:szCs w:val="20"/>
          <w:rtl/>
        </w:rPr>
        <w:t>רומנוב</w:t>
      </w:r>
      <w:proofErr w:type="spellEnd"/>
      <w:r>
        <w:rPr>
          <w:sz w:val="20"/>
          <w:szCs w:val="20"/>
          <w:rtl/>
        </w:rPr>
        <w:t xml:space="preserve">”, מאת </w:t>
      </w:r>
      <w:proofErr w:type="spellStart"/>
      <w:r>
        <w:rPr>
          <w:sz w:val="20"/>
          <w:szCs w:val="20"/>
          <w:rtl/>
        </w:rPr>
        <w:t>אנטול</w:t>
      </w:r>
      <w:proofErr w:type="spellEnd"/>
      <w:r>
        <w:rPr>
          <w:sz w:val="20"/>
          <w:szCs w:val="20"/>
          <w:rtl/>
        </w:rPr>
        <w:t xml:space="preserve"> ג׳י. מזור (הוצאת ד. ואן </w:t>
      </w:r>
      <w:proofErr w:type="spellStart"/>
      <w:r>
        <w:rPr>
          <w:sz w:val="20"/>
          <w:szCs w:val="20"/>
          <w:rtl/>
        </w:rPr>
        <w:t>נוסטרנד</w:t>
      </w:r>
      <w:proofErr w:type="spellEnd"/>
      <w:r>
        <w:rPr>
          <w:sz w:val="20"/>
          <w:szCs w:val="20"/>
          <w:rtl/>
        </w:rPr>
        <w:t>, פרינסטון, ניו ג׳רזי, 1960).</w:t>
      </w:r>
    </w:p>
  </w:footnote>
  <w:footnote w:id="279">
    <w:p w14:paraId="61D2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כרך א, עמ׳ 131.</w:t>
      </w:r>
    </w:p>
  </w:footnote>
  <w:footnote w:id="280">
    <w:p w14:paraId="6D099D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ר׳ מרדכי שיין (הערה 64 לעיל).</w:t>
      </w:r>
    </w:p>
  </w:footnote>
  <w:footnote w:id="281">
    <w:p w14:paraId="24FEE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בדצמבר 1987.</w:t>
      </w:r>
    </w:p>
  </w:footnote>
  <w:footnote w:id="282">
    <w:p w14:paraId="6151AD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צאצאיו של ר׳ </w:t>
      </w:r>
      <w:proofErr w:type="spellStart"/>
      <w:r>
        <w:rPr>
          <w:sz w:val="20"/>
          <w:szCs w:val="20"/>
          <w:rtl/>
        </w:rPr>
        <w:t>שמואל־הירש</w:t>
      </w:r>
      <w:proofErr w:type="spellEnd"/>
      <w:r>
        <w:rPr>
          <w:sz w:val="20"/>
          <w:szCs w:val="20"/>
          <w:rtl/>
        </w:rPr>
        <w:t xml:space="preserve">, שרואיינו ברוסיה בדצמבר 1990, התקשו לקבוע מתי נפטר, והגיעו לשנה המוטעית 1913 – ארבע שנים </w:t>
      </w:r>
      <w:r>
        <w:rPr>
          <w:b/>
          <w:bCs/>
          <w:sz w:val="20"/>
          <w:szCs w:val="20"/>
          <w:rtl/>
        </w:rPr>
        <w:t>לפחות</w:t>
      </w:r>
      <w:r>
        <w:rPr>
          <w:sz w:val="20"/>
          <w:szCs w:val="20"/>
          <w:rtl/>
        </w:rPr>
        <w:t xml:space="preserve"> לפני פטירתו בפועל. אבל הם ידעו בבירור מה עלה בגורל אחוזת </w:t>
      </w:r>
      <w:proofErr w:type="spellStart"/>
      <w:r>
        <w:rPr>
          <w:sz w:val="20"/>
          <w:szCs w:val="20"/>
          <w:rtl/>
        </w:rPr>
        <w:t>קאליסקובקה</w:t>
      </w:r>
      <w:proofErr w:type="spellEnd"/>
      <w:r>
        <w:rPr>
          <w:sz w:val="20"/>
          <w:szCs w:val="20"/>
          <w:rtl/>
        </w:rPr>
        <w:t xml:space="preserve"> המקוצצת. אחרי שעבר ר׳ </w:t>
      </w:r>
      <w:proofErr w:type="spellStart"/>
      <w:r>
        <w:rPr>
          <w:sz w:val="20"/>
          <w:szCs w:val="20"/>
          <w:rtl/>
        </w:rPr>
        <w:t>שמואל־הירש</w:t>
      </w:r>
      <w:proofErr w:type="spellEnd"/>
      <w:r>
        <w:rPr>
          <w:sz w:val="20"/>
          <w:szCs w:val="20"/>
          <w:rtl/>
        </w:rPr>
        <w:t xml:space="preserve"> למינסק, קיבל עליו בנו הבכור, </w:t>
      </w:r>
      <w:proofErr w:type="spellStart"/>
      <w:r>
        <w:rPr>
          <w:sz w:val="20"/>
          <w:szCs w:val="20"/>
          <w:rtl/>
        </w:rPr>
        <w:t>ישראל־יצחק</w:t>
      </w:r>
      <w:proofErr w:type="spellEnd"/>
      <w:r>
        <w:rPr>
          <w:sz w:val="20"/>
          <w:szCs w:val="20"/>
          <w:rtl/>
        </w:rPr>
        <w:t xml:space="preserve">, את ניהול האחוזה. בשנת 1928 קיצצו הבולשביקים את החווה עוד יותר, </w:t>
      </w:r>
      <w:proofErr w:type="spellStart"/>
      <w:r>
        <w:rPr>
          <w:sz w:val="20"/>
          <w:szCs w:val="20"/>
          <w:rtl/>
        </w:rPr>
        <w:t>וישראל־יצחק</w:t>
      </w:r>
      <w:proofErr w:type="spellEnd"/>
      <w:r>
        <w:rPr>
          <w:sz w:val="20"/>
          <w:szCs w:val="20"/>
          <w:rtl/>
        </w:rPr>
        <w:t xml:space="preserve"> עבר </w:t>
      </w:r>
      <w:proofErr w:type="spellStart"/>
      <w:r>
        <w:rPr>
          <w:sz w:val="20"/>
          <w:szCs w:val="20"/>
          <w:rtl/>
        </w:rPr>
        <w:t>לדולהינוב</w:t>
      </w:r>
      <w:proofErr w:type="spellEnd"/>
      <w:r>
        <w:rPr>
          <w:sz w:val="20"/>
          <w:szCs w:val="20"/>
          <w:rtl/>
        </w:rPr>
        <w:t xml:space="preserve">, ומשם היה יוצא לעבודת השדה לפי הצורך. בשנת 1935 עזב את </w:t>
      </w:r>
      <w:proofErr w:type="spellStart"/>
      <w:r>
        <w:rPr>
          <w:sz w:val="20"/>
          <w:szCs w:val="20"/>
          <w:rtl/>
        </w:rPr>
        <w:t>קאליסקובקה</w:t>
      </w:r>
      <w:proofErr w:type="spellEnd"/>
      <w:r>
        <w:rPr>
          <w:sz w:val="20"/>
          <w:szCs w:val="20"/>
          <w:rtl/>
        </w:rPr>
        <w:t xml:space="preserve"> לגמרי ועבר למוסקבה. במלחמת העולם השנייה נהרס כל מה שהיה בחווה, ובכלל זה הטחנה, </w:t>
      </w:r>
      <w:proofErr w:type="spellStart"/>
      <w:r>
        <w:rPr>
          <w:sz w:val="20"/>
          <w:szCs w:val="20"/>
          <w:rtl/>
        </w:rPr>
        <w:t>ו“לא</w:t>
      </w:r>
      <w:proofErr w:type="spellEnd"/>
      <w:r>
        <w:rPr>
          <w:sz w:val="20"/>
          <w:szCs w:val="20"/>
          <w:rtl/>
        </w:rPr>
        <w:t xml:space="preserve"> נשארה אבן על אבן”.</w:t>
      </w:r>
    </w:p>
    <w:p w14:paraId="1576D51D" w14:textId="77777777" w:rsidR="00AB3647" w:rsidRDefault="00000000">
      <w:pPr>
        <w:spacing w:after="0" w:before="0"/>
        <w:jc w:val="both"/>
      </w:pPr>
      <w:r>
        <w:rPr>
          <w:sz w:val="20"/>
          <w:szCs w:val="20"/>
          <w:rtl/>
        </w:rPr>
        <w:t xml:space="preserve">הריאיון במוסקבה, ב־9 בדצמבר 1990, נערך עם ראיה </w:t>
      </w:r>
      <w:proofErr w:type="spellStart"/>
      <w:r>
        <w:rPr>
          <w:sz w:val="20"/>
          <w:szCs w:val="20"/>
          <w:rtl/>
        </w:rPr>
        <w:t>בושקאניץ</w:t>
      </w:r>
      <w:proofErr w:type="spellEnd"/>
      <w:r>
        <w:rPr>
          <w:sz w:val="20"/>
          <w:szCs w:val="20"/>
          <w:rtl/>
        </w:rPr>
        <w:t xml:space="preserve">, נכדתו של ר׳ </w:t>
      </w:r>
      <w:proofErr w:type="spellStart"/>
      <w:r>
        <w:rPr>
          <w:sz w:val="20"/>
          <w:szCs w:val="20"/>
          <w:rtl/>
        </w:rPr>
        <w:t>שמואל־הירש</w:t>
      </w:r>
      <w:proofErr w:type="spellEnd"/>
      <w:r>
        <w:rPr>
          <w:sz w:val="20"/>
          <w:szCs w:val="20"/>
          <w:rtl/>
        </w:rPr>
        <w:t xml:space="preserve"> מבתו מלכה (השווה הערה 29 לעיל); הריאיון במינסק, ב־7 בדצמבר 1990, נערך עם </w:t>
      </w:r>
      <w:proofErr w:type="spellStart"/>
      <w:r>
        <w:rPr>
          <w:sz w:val="20"/>
          <w:szCs w:val="20"/>
          <w:rtl/>
        </w:rPr>
        <w:t>סימיון</w:t>
      </w:r>
      <w:proofErr w:type="spellEnd"/>
      <w:r>
        <w:rPr>
          <w:sz w:val="20"/>
          <w:szCs w:val="20"/>
          <w:rtl/>
        </w:rPr>
        <w:t xml:space="preserve"> </w:t>
      </w:r>
      <w:proofErr w:type="spellStart"/>
      <w:r>
        <w:rPr>
          <w:sz w:val="20"/>
          <w:szCs w:val="20"/>
          <w:rtl/>
        </w:rPr>
        <w:t>סולוביו</w:t>
      </w:r>
      <w:proofErr w:type="spellEnd"/>
      <w:r>
        <w:rPr>
          <w:sz w:val="20"/>
          <w:szCs w:val="20"/>
          <w:rtl/>
        </w:rPr>
        <w:t xml:space="preserve"> (ששמו המקורי </w:t>
      </w:r>
      <w:proofErr w:type="spellStart"/>
      <w:r>
        <w:rPr>
          <w:sz w:val="20"/>
          <w:szCs w:val="20"/>
          <w:rtl/>
        </w:rPr>
        <w:t>שמואל־הירש</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נכדו של </w:t>
      </w:r>
      <w:proofErr w:type="spellStart"/>
      <w:r>
        <w:rPr>
          <w:sz w:val="20"/>
          <w:szCs w:val="20"/>
          <w:rtl/>
        </w:rPr>
        <w:t>ישראל־יצחק</w:t>
      </w:r>
      <w:proofErr w:type="spellEnd"/>
      <w:r>
        <w:rPr>
          <w:sz w:val="20"/>
          <w:szCs w:val="20"/>
          <w:rtl/>
        </w:rPr>
        <w:t xml:space="preserve"> מבתו שיינה. על גורלו של </w:t>
      </w:r>
      <w:proofErr w:type="spellStart"/>
      <w:r>
        <w:rPr>
          <w:sz w:val="20"/>
          <w:szCs w:val="20"/>
          <w:rtl/>
        </w:rPr>
        <w:t>ישראל־יצחק</w:t>
      </w:r>
      <w:proofErr w:type="spellEnd"/>
      <w:r>
        <w:rPr>
          <w:sz w:val="20"/>
          <w:szCs w:val="20"/>
          <w:rtl/>
        </w:rPr>
        <w:t xml:space="preserve"> במלחמת העולם השנייה השווה הערה 18 לעיל.</w:t>
      </w:r>
    </w:p>
  </w:footnote>
  <w:footnote w:id="283">
    <w:p w14:paraId="0ADA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מן הסוף בפרק 2.2.</w:t>
      </w:r>
    </w:p>
  </w:footnote>
  <w:footnote w:id="284">
    <w:p w14:paraId="7AAB85B4" w14:textId="77777777" w:rsidR="00AB3647" w:rsidRDefault="00000000">
      <w:pPr>
        <w:spacing w:after="0" w:before="0"/>
        <w:jc w:val="both"/>
        <w:rPr>
          <w:rFonts w:hint="cs"/>
          <w:rtl/>
        </w:rPr>
      </w:pPr>
      <w:r>
        <w:rPr>
          <w:rStyle w:val="a5"/>
          <w:sz w:val="20"/>
          <w:szCs w:val="20"/>
          <w:vertAlign w:val="baseline"/>
        </w:rPr>
        <w:footnoteRef/>
      </w:r>
      <w:r>
        <w:rPr>
          <w:rStyle w:val="a5"/>
          <w:sz w:val="20"/>
          <w:szCs w:val="20"/>
          <w:vertAlign w:val="baseline"/>
          <w:rtl/>
        </w:rPr>
        <w:t xml:space="preserve">. </w:t>
      </w:r>
      <w:r>
        <w:rPr>
          <w:sz w:val="20"/>
          <w:szCs w:val="20"/>
          <w:rtl/>
        </w:rPr>
        <w:t>הדודה דבורה, הערה 8 לעיל.</w:t>
      </w:r>
    </w:p>
  </w:footnote>
  <w:footnote w:id="285">
    <w:p w14:paraId="21354A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41 לעיל.</w:t>
      </w:r>
    </w:p>
  </w:footnote>
  <w:footnote w:id="286">
    <w:p w14:paraId="1486F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מאבי חתנו ר׳ הירש </w:t>
      </w:r>
      <w:proofErr w:type="spellStart"/>
      <w:r>
        <w:rPr>
          <w:sz w:val="20"/>
          <w:szCs w:val="20"/>
          <w:rtl/>
        </w:rPr>
        <w:t>דיסקינד</w:t>
      </w:r>
      <w:proofErr w:type="spellEnd"/>
      <w:r>
        <w:rPr>
          <w:sz w:val="20"/>
          <w:szCs w:val="20"/>
          <w:rtl/>
        </w:rPr>
        <w:t>, כפי שמסר בנו, ר׳ פסח, ב־22 בנובמבר 1987. והשווה גם הערה 68 לעיל.</w:t>
      </w:r>
    </w:p>
  </w:footnote>
  <w:footnote w:id="287">
    <w:p w14:paraId="1942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32 לעיל.</w:t>
      </w:r>
    </w:p>
  </w:footnote>
  <w:footnote w:id="288">
    <w:p w14:paraId="353E1B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התוכנית האוניברסיטאית חלק אבי על ר׳ אהרן – כך לפי ריאיון עם ר׳ נפתלי </w:t>
      </w:r>
      <w:proofErr w:type="spellStart"/>
      <w:r>
        <w:rPr>
          <w:sz w:val="20"/>
          <w:szCs w:val="20"/>
          <w:rtl/>
        </w:rPr>
        <w:t>נויבערגר</w:t>
      </w:r>
      <w:proofErr w:type="spellEnd"/>
      <w:r>
        <w:rPr>
          <w:sz w:val="20"/>
          <w:szCs w:val="20"/>
          <w:rtl/>
        </w:rPr>
        <w:t xml:space="preserve">, גיסו של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ומנהל נר ישראל, ב־14 בנובמבר 1987 – וכמוהו גם אגודת הרבנים, שהייתה אז רבת השפעה. ביוזמת נשיאה, ר׳ לייזר </w:t>
      </w:r>
      <w:proofErr w:type="spellStart"/>
      <w:r>
        <w:rPr>
          <w:sz w:val="20"/>
          <w:szCs w:val="20"/>
          <w:rtl/>
        </w:rPr>
        <w:t>סילבר</w:t>
      </w:r>
      <w:proofErr w:type="spellEnd"/>
      <w:r>
        <w:rPr>
          <w:sz w:val="20"/>
          <w:szCs w:val="20"/>
          <w:rtl/>
        </w:rPr>
        <w:t xml:space="preserve">, שוכנע ר׳ אהרן לגנוז את התוכחה על נר ישראל (ראה גם הערת שוליים </w:t>
      </w:r>
      <w:r>
        <w:rPr>
          <w:sz w:val="20"/>
          <w:szCs w:val="20"/>
          <w:rtl/>
        </w:rPr>
        <w:fldChar w:fldCharType="begin" w:dirty="true"/>
      </w:r>
      <w:r>
        <w:rPr>
          <w:sz w:val="20"/>
          <w:szCs w:val="20"/>
          <w:rtl/>
        </w:rPr>
        <w:instrText xml:space="preserve"> NOTEREF pr_f_3006 \h </w:instrText>
      </w:r>
      <w:r>
        <w:rPr>
          <w:sz w:val="20"/>
          <w:szCs w:val="20"/>
          <w:rtl/>
        </w:rPr>
      </w:r>
      <w:r>
        <w:rPr>
          <w:sz w:val="20"/>
          <w:szCs w:val="20"/>
          <w:rtl/>
        </w:rPr>
        <w:fldChar w:fldCharType="separate"/>
      </w:r>
      <w:r w:rsidR="007923E9">
        <w:rPr>
          <w:sz w:val="20"/>
          <w:szCs w:val="20"/>
          <w:rtl/>
        </w:rPr>
        <w:t>83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pr_f_3006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אבל מחלוקתו של רבנו עם הרב קוטלר הייתה רק בשאלה אם לפרסם את הביקורת; בעצם העניין הסכים שהתוכנית אסורה.</w:t>
      </w:r>
    </w:p>
    <w:p w14:paraId="2AA90A79" w14:textId="77777777" w:rsidR="00AB3647" w:rsidRDefault="00000000">
      <w:pPr>
        <w:spacing w:after="0" w:before="0"/>
        <w:jc w:val="both"/>
      </w:pPr>
      <w:r>
        <w:rPr>
          <w:sz w:val="20"/>
          <w:szCs w:val="20"/>
          <w:rtl/>
        </w:rPr>
        <w:t xml:space="preserve">הדבר נתגלה כשחתנו הצעיר של רבנו, ר׳ הירש </w:t>
      </w:r>
      <w:proofErr w:type="spellStart"/>
      <w:r>
        <w:rPr>
          <w:sz w:val="20"/>
          <w:szCs w:val="20"/>
          <w:rtl/>
        </w:rPr>
        <w:t>דיסקינד</w:t>
      </w:r>
      <w:proofErr w:type="spellEnd"/>
      <w:r>
        <w:rPr>
          <w:sz w:val="20"/>
          <w:szCs w:val="20"/>
          <w:rtl/>
        </w:rPr>
        <w:t xml:space="preserve">, מסר ב־18 במרץ 1998 שכמה ימים קודם לכן סיפר לו ר׳ אברהם </w:t>
      </w:r>
      <w:proofErr w:type="spellStart"/>
      <w:r>
        <w:rPr>
          <w:sz w:val="20"/>
          <w:szCs w:val="20"/>
          <w:rtl/>
        </w:rPr>
        <w:t>הורוויץ</w:t>
      </w:r>
      <w:proofErr w:type="spellEnd"/>
      <w:r>
        <w:rPr>
          <w:sz w:val="20"/>
          <w:szCs w:val="20"/>
          <w:rtl/>
        </w:rPr>
        <w:t xml:space="preserve">, חברותא של ר׳ </w:t>
      </w:r>
      <w:proofErr w:type="spellStart"/>
      <w:r>
        <w:rPr>
          <w:sz w:val="20"/>
          <w:szCs w:val="20"/>
          <w:rtl/>
        </w:rPr>
        <w:t>יעקב־ישראל</w:t>
      </w:r>
      <w:proofErr w:type="spellEnd"/>
      <w:r>
        <w:rPr>
          <w:sz w:val="20"/>
          <w:szCs w:val="20"/>
          <w:rtl/>
        </w:rPr>
        <w:t xml:space="preserve"> </w:t>
      </w:r>
      <w:proofErr w:type="spellStart"/>
      <w:r>
        <w:rPr>
          <w:sz w:val="20"/>
          <w:szCs w:val="20"/>
          <w:rtl/>
        </w:rPr>
        <w:t>קניבסקי</w:t>
      </w:r>
      <w:proofErr w:type="spellEnd"/>
      <w:r>
        <w:rPr>
          <w:sz w:val="20"/>
          <w:szCs w:val="20"/>
          <w:rtl/>
        </w:rPr>
        <w:t xml:space="preserve"> (הסטייפלר</w:t>
      </w:r>
      <w:proofErr w:type="spellStart"/>
      <w:r>
        <w:rPr>
          <w:sz w:val="20"/>
          <w:szCs w:val="20"/>
          <w:rtl/>
        </w:rPr>
        <w:t xml:space="preserve"/>
      </w:r>
      <w:proofErr w:type="spellEnd"/>
      <w:r>
        <w:rPr>
          <w:sz w:val="20"/>
          <w:szCs w:val="20"/>
          <w:rtl/>
        </w:rPr>
        <w:t xml:space="preserve">) במשך שלושים וחמש שנה, שהיה נוכח כשביקר אבי אצל הרב </w:t>
      </w:r>
      <w:proofErr w:type="spellStart"/>
      <w:r>
        <w:rPr>
          <w:sz w:val="20"/>
          <w:szCs w:val="20"/>
          <w:rtl/>
        </w:rPr>
        <w:t>קניבסקי</w:t>
      </w:r>
      <w:proofErr w:type="spellEnd"/>
      <w:r>
        <w:rPr>
          <w:sz w:val="20"/>
          <w:szCs w:val="20"/>
          <w:rtl/>
        </w:rPr>
        <w:t xml:space="preserve"> בביקורו הראשון בארץ ישראל, בשנת תשט״ז, ושימש מתווך למארח, שהיה כמעט חירש. הם דנו בעניין, והסטייפלר</w:t>
      </w:r>
      <w:proofErr w:type="spellStart"/>
      <w:r>
        <w:rPr>
          <w:sz w:val="20"/>
          <w:szCs w:val="20"/>
          <w:rtl/>
        </w:rPr>
        <w:t xml:space="preserve"/>
      </w:r>
      <w:proofErr w:type="spellEnd"/>
      <w:r>
        <w:rPr>
          <w:sz w:val="20"/>
          <w:szCs w:val="20"/>
          <w:rtl/>
        </w:rPr>
        <w:t xml:space="preserve"> הסכים עם אבי שתוכנית כזו אינה מותרת.</w:t>
      </w:r>
    </w:p>
  </w:footnote>
  <w:footnote w:id="289">
    <w:p w14:paraId="32038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אמו</w:t>
      </w:r>
      <w:proofErr w:type="spellEnd"/>
      <w:r>
        <w:rPr>
          <w:sz w:val="20"/>
          <w:szCs w:val="20"/>
          <w:rtl/>
        </w:rPr>
        <w:t xml:space="preserve"> של ר׳ </w:t>
      </w:r>
      <w:proofErr w:type="spellStart"/>
      <w:r>
        <w:rPr>
          <w:sz w:val="20"/>
          <w:szCs w:val="20"/>
          <w:rtl/>
        </w:rPr>
        <w:t>יעקב־יצחק</w:t>
      </w:r>
      <w:proofErr w:type="spellEnd"/>
      <w:r>
        <w:rPr>
          <w:sz w:val="20"/>
          <w:szCs w:val="20"/>
          <w:rtl/>
        </w:rPr>
        <w:t xml:space="preserve"> נפטרה כשהיה ילד קטן, לפי דברי אבי שמסר ר׳ ישראל </w:t>
      </w:r>
      <w:proofErr w:type="spellStart"/>
      <w:r>
        <w:rPr>
          <w:sz w:val="20"/>
          <w:szCs w:val="20"/>
          <w:rtl/>
        </w:rPr>
        <w:t>בלסקי</w:t>
      </w:r>
      <w:proofErr w:type="spellEnd"/>
      <w:r>
        <w:rPr>
          <w:sz w:val="20"/>
          <w:szCs w:val="20"/>
          <w:rtl/>
        </w:rPr>
        <w:t>, 13 במרץ 1988.</w:t>
      </w:r>
    </w:p>
  </w:footnote>
  <w:footnote w:id="290">
    <w:p w14:paraId="4C5414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פרטיות של ר׳ משה גרוסמן משיחה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בז׳ באב תשמ״א, ועמ׳ 12–13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המובא בהערת שוליים </w:t>
      </w:r>
      <w:r>
        <w:rPr>
          <w:sz w:val="20"/>
          <w:szCs w:val="20"/>
          <w:rtl/>
        </w:rPr>
        <w:fldChar w:fldCharType="begin" w:dirty="true"/>
      </w:r>
      <w:r>
        <w:rPr>
          <w:sz w:val="20"/>
          <w:szCs w:val="20"/>
          <w:rtl/>
        </w:rPr>
        <w:instrText xml:space="preserve"> NOTEREF pr_f_293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בסוף נספח ג בפרק זה.</w:t>
      </w:r>
    </w:p>
  </w:footnote>
  <w:footnote w:id="291">
    <w:p w14:paraId="50A7A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באוקטובר 1987.</w:t>
      </w:r>
    </w:p>
  </w:footnote>
  <w:footnote w:id="292">
    <w:p w14:paraId="4ADA32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ארטסקרול־מסורה</w:t>
      </w:r>
      <w:proofErr w:type="spellEnd"/>
      <w:r>
        <w:rPr>
          <w:sz w:val="20"/>
          <w:szCs w:val="20"/>
          <w:rtl/>
        </w:rPr>
        <w:t>, ניו יורק, 1988 – עמ׳ 422.</w:t>
      </w:r>
    </w:p>
  </w:footnote>
  <w:footnote w:id="293">
    <w:p w14:paraId="2FC2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באפריל 1994.</w:t>
      </w:r>
    </w:p>
  </w:footnote>
  <w:footnote w:id="294">
    <w:p w14:paraId="44365B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זהו נוסח תחילת הקדיש.</w:t>
      </w:r>
    </w:p>
  </w:footnote>
  <w:footnote w:id="295">
    <w:p w14:paraId="74680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w:t>
      </w:r>
      <w:proofErr w:type="spellStart"/>
      <w:r>
        <w:rPr>
          <w:sz w:val="20"/>
          <w:szCs w:val="20"/>
          <w:rtl/>
        </w:rPr>
        <w:t>צבי־זאב</w:t>
      </w:r>
      <w:proofErr w:type="spellEnd"/>
      <w:r>
        <w:rPr>
          <w:sz w:val="20"/>
          <w:szCs w:val="20"/>
          <w:rtl/>
        </w:rPr>
        <w:t xml:space="preserve"> ארם (הוצאת מסורה, ברוקלין, ניו יורק, 1987) (להלן: סיפור ר׳ </w:t>
      </w:r>
      <w:proofErr w:type="spellStart"/>
      <w:r>
        <w:rPr>
          <w:sz w:val="20"/>
          <w:szCs w:val="20"/>
          <w:rtl/>
        </w:rPr>
        <w:t>ברוך־בער</w:t>
      </w:r>
      <w:proofErr w:type="spellEnd"/>
      <w:r>
        <w:rPr>
          <w:sz w:val="20"/>
          <w:szCs w:val="20"/>
          <w:rtl/>
        </w:rPr>
        <w:t>) – עמ׳ 99.</w:t>
      </w:r>
    </w:p>
  </w:footnote>
  <w:footnote w:id="296">
    <w:p w14:paraId="55120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באוקטובר 1991.</w:t>
      </w:r>
    </w:p>
  </w:footnote>
  <w:footnote w:id="297">
    <w:p w14:paraId="2F9C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עיונים (הערה 73 לעיל), בראשית ב:יט.</w:t>
      </w:r>
    </w:p>
  </w:footnote>
  <w:footnote w:id="298">
    <w:p w14:paraId="27E57E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 פי חכם חן, קהלת י:יב.</w:t>
      </w:r>
    </w:p>
  </w:footnote>
  <w:footnote w:id="299">
    <w:p w14:paraId="2A4091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13 לעיל.</w:t>
      </w:r>
    </w:p>
  </w:footnote>
  <w:footnote w:id="300">
    <w:p w14:paraId="0A1F3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כבהערה 7 לעיל. והשווה גם הערה 87 לעיל.</w:t>
      </w:r>
    </w:p>
  </w:footnote>
  <w:footnote w:id="301">
    <w:p w14:paraId="6985C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 וראה גם כרך 2.</w:t>
      </w:r>
    </w:p>
  </w:footnote>
  <w:footnote w:id="302">
    <w:p w14:paraId="4B47D9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רובין, “אש תמיד”, עמ׳ 135.</w:t>
      </w:r>
    </w:p>
  </w:footnote>
  <w:footnote w:id="303">
    <w:p w14:paraId="1E7AA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 לעיל.</w:t>
      </w:r>
    </w:p>
  </w:footnote>
  <w:footnote w:id="304">
    <w:p w14:paraId="63643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pr_f_287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pr_f_287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w:t>
      </w:r>
    </w:p>
  </w:footnote>
  <w:footnote w:id="305">
    <w:p w14:paraId="1719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בערך ב־7 בינואר 1989.</w:t>
      </w:r>
    </w:p>
  </w:footnote>
  <w:footnote w:id="306">
    <w:p w14:paraId="518C6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הדודה דבורה, ריאיון, 5 בדצמבר 1990.</w:t>
      </w:r>
    </w:p>
  </w:footnote>
  <w:footnote w:id="307">
    <w:p w14:paraId="12C02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76.</w:t>
      </w:r>
    </w:p>
  </w:footnote>
  <w:footnote w:id="308">
    <w:p w14:paraId="6FFDB7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486.</w:t>
      </w:r>
    </w:p>
  </w:footnote>
  <w:footnote w:id="309">
    <w:p w14:paraId="73852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ילידת מינסק רחל חדש, בתו של המגיד האחרון של מינסק, ר׳ בנימין </w:t>
      </w:r>
      <w:proofErr w:type="spellStart"/>
      <w:r>
        <w:rPr>
          <w:sz w:val="20"/>
          <w:szCs w:val="20"/>
          <w:rtl/>
        </w:rPr>
        <w:t>שוקוביצקי</w:t>
      </w:r>
      <w:proofErr w:type="spellEnd"/>
      <w:r>
        <w:rPr>
          <w:sz w:val="20"/>
          <w:szCs w:val="20"/>
          <w:rtl/>
        </w:rPr>
        <w:t>, ריאיון, 4 בנובמבר 1990.</w:t>
      </w:r>
    </w:p>
  </w:footnote>
  <w:footnote w:id="310">
    <w:p w14:paraId="55357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סעיף 3 בפרק זה.</w:t>
      </w:r>
    </w:p>
  </w:footnote>
  <w:footnote w:id="311">
    <w:p w14:paraId="006CB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ארגון יוצאי מינסק ובנותיה בישראל (הוצאת הקיבוץ המאוחד, תשל״ה) (להלן: “מינסק עיר ואם”), כרך א, עמ׳ 158.</w:t>
      </w:r>
    </w:p>
  </w:footnote>
  <w:footnote w:id="312">
    <w:p w14:paraId="66DB4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25 ו־87.</w:t>
      </w:r>
    </w:p>
  </w:footnote>
  <w:footnote w:id="313">
    <w:p w14:paraId="065CC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עמ׳ 3.</w:t>
      </w:r>
    </w:p>
  </w:footnote>
  <w:footnote w:id="314">
    <w:p w14:paraId="305F44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הראשון.</w:t>
      </w:r>
    </w:p>
  </w:footnote>
  <w:footnote w:id="315">
    <w:p w14:paraId="51DDA1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109.</w:t>
      </w:r>
    </w:p>
  </w:footnote>
  <w:footnote w:id="316">
    <w:p w14:paraId="3E8CF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נאספו ונערכו בידי יצחק יעקב ווייסברג, ויצאו לאור בוורשה, 1894 (להלן: “אגרות </w:t>
      </w:r>
      <w:proofErr w:type="spellStart"/>
      <w:r>
        <w:rPr>
          <w:sz w:val="20"/>
          <w:szCs w:val="20"/>
          <w:rtl/>
        </w:rPr>
        <w:t>יל״ג</w:t>
      </w:r>
      <w:proofErr w:type="spellEnd"/>
      <w:r>
        <w:rPr>
          <w:sz w:val="20"/>
          <w:szCs w:val="20"/>
          <w:rtl/>
        </w:rPr>
        <w:t>”).</w:t>
      </w:r>
    </w:p>
  </w:footnote>
  <w:footnote w:id="317">
    <w:p w14:paraId="404F4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מס׳ 78, מיום ג׳ פ׳ אלה שמות, תר״ל.</w:t>
      </w:r>
    </w:p>
  </w:footnote>
  <w:footnote w:id="318">
    <w:p w14:paraId="3B94F8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מכך ש</w:t>
      </w:r>
      <w:r>
        <w:rPr>
          <w:b/>
          <w:bCs/>
          <w:sz w:val="20"/>
          <w:szCs w:val="20"/>
          <w:rtl/>
        </w:rPr>
        <w:t>לא</w:t>
      </w:r>
      <w:r>
        <w:rPr>
          <w:sz w:val="20"/>
          <w:szCs w:val="20"/>
          <w:rtl/>
        </w:rPr>
        <w:t xml:space="preserve"> הביא משפט סמוך זה, נראה שבעל “</w:t>
      </w:r>
      <w:proofErr w:type="spellStart"/>
      <w:r>
        <w:rPr>
          <w:sz w:val="20"/>
          <w:szCs w:val="20"/>
          <w:rtl/>
        </w:rPr>
        <w:t>זכרון</w:t>
      </w:r>
      <w:proofErr w:type="spellEnd"/>
      <w:r>
        <w:rPr>
          <w:sz w:val="20"/>
          <w:szCs w:val="20"/>
          <w:rtl/>
        </w:rPr>
        <w:t xml:space="preserve"> יעקב” אולי קיבל את דעתו של </w:t>
      </w:r>
      <w:proofErr w:type="spellStart"/>
      <w:r>
        <w:rPr>
          <w:sz w:val="20"/>
          <w:szCs w:val="20"/>
          <w:rtl/>
        </w:rPr>
        <w:t>יל״ג</w:t>
      </w:r>
      <w:proofErr w:type="spellEnd"/>
      <w:r>
        <w:rPr>
          <w:sz w:val="20"/>
          <w:szCs w:val="20"/>
          <w:rtl/>
        </w:rPr>
        <w:t xml:space="preserve"> בעניין זה; כלומר, אולי גם הוא סבר שהנוצרים אינם שונאים עוד את היהודים – אף שעדיין ינסו להמירם לנצרות.</w:t>
      </w:r>
    </w:p>
  </w:footnote>
  <w:footnote w:id="319">
    <w:p w14:paraId="5D1315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עמ׳ 4 בספר “ולמי אני עמל?” מאת מיכאל סטניסלבסקי (הוצאת אוניברסיטת אוקספורד, 1988). והשווה גם פרק 2, הפסקה השישית של נספח א.</w:t>
      </w:r>
    </w:p>
  </w:footnote>
  <w:footnote w:id="320">
    <w:p w14:paraId="401D4D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86–92.</w:t>
      </w:r>
    </w:p>
  </w:footnote>
  <w:footnote w:id="321">
    <w:p w14:paraId="3F2F4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86–87.</w:t>
      </w:r>
    </w:p>
  </w:footnote>
  <w:footnote w:id="322">
    <w:p w14:paraId="1321C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91–92.</w:t>
      </w:r>
    </w:p>
  </w:footnote>
  <w:footnote w:id="323">
    <w:p w14:paraId="13053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העט של אשר גינצברג.</w:t>
      </w:r>
    </w:p>
  </w:footnote>
  <w:footnote w:id="324">
    <w:p w14:paraId="49594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4.1.</w:t>
      </w:r>
    </w:p>
  </w:footnote>
  <w:footnote w:id="325">
    <w:p w14:paraId="0137D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מסורה, ברוקלין, 1992 – עמ׳ </w:t>
      </w:r>
      <w:proofErr w:type="spellStart"/>
      <w:r>
        <w:rPr>
          <w:sz w:val="20"/>
          <w:szCs w:val="20"/>
          <w:rtl/>
        </w:rPr>
        <w:t>רסב</w:t>
      </w:r>
      <w:proofErr w:type="spellEnd"/>
      <w:r>
        <w:rPr>
          <w:sz w:val="20"/>
          <w:szCs w:val="20"/>
          <w:rtl/>
        </w:rPr>
        <w:t>.</w:t>
      </w:r>
    </w:p>
  </w:footnote>
  <w:footnote w:id="326">
    <w:p w14:paraId="566C98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נחליאל</w:t>
      </w:r>
      <w:proofErr w:type="spellEnd"/>
      <w:r>
        <w:rPr>
          <w:sz w:val="20"/>
          <w:szCs w:val="20"/>
          <w:rtl/>
        </w:rPr>
        <w:t>, ירושלים, תשנ״ו – כרך א, עמ׳ 38.</w:t>
      </w:r>
    </w:p>
  </w:footnote>
  <w:footnote w:id="327">
    <w:p w14:paraId="1F2161C7"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“כשהראשון [ר׳ אליהו] ‘אכל </w:t>
      </w:r>
      <w:proofErr w:type="spellStart"/>
      <w:r>
        <w:rPr>
          <w:sz w:val="20"/>
          <w:szCs w:val="20"/>
          <w:rtl/>
        </w:rPr>
        <w:t>קעסט</w:t>
      </w:r>
      <w:proofErr w:type="spellEnd"/>
      <w:r>
        <w:rPr>
          <w:sz w:val="20"/>
          <w:szCs w:val="20"/>
          <w:rtl/>
        </w:rPr>
        <w:t xml:space="preserve">’”; תיקנתי </w:t>
      </w:r>
      <w:proofErr w:type="spellStart"/>
      <w:r>
        <w:rPr>
          <w:sz w:val="20"/>
          <w:szCs w:val="20"/>
          <w:rtl/>
        </w:rPr>
        <w:t>ל“זה</w:t>
      </w:r>
      <w:proofErr w:type="spellEnd"/>
      <w:r>
        <w:rPr>
          <w:sz w:val="20"/>
          <w:szCs w:val="20"/>
          <w:rtl/>
        </w:rPr>
        <w:t xml:space="preserve"> האחרון”, שהרי ר׳ </w:t>
      </w:r>
      <w:proofErr w:type="spellStart"/>
      <w:r>
        <w:rPr>
          <w:sz w:val="20"/>
          <w:szCs w:val="20"/>
          <w:rtl/>
        </w:rPr>
        <w:t>יצחק־אלחנן</w:t>
      </w:r>
      <w:proofErr w:type="spellEnd"/>
      <w:r>
        <w:rPr>
          <w:sz w:val="20"/>
          <w:szCs w:val="20"/>
          <w:rtl/>
        </w:rPr>
        <w:t xml:space="preserve"> הוא שנשא אישה בגיל </w:t>
      </w:r>
      <w:proofErr w:type="spellStart"/>
      <w:r>
        <w:rPr>
          <w:sz w:val="20"/>
          <w:szCs w:val="20"/>
          <w:rtl/>
        </w:rPr>
        <w:t>שלוש־עשרה</w:t>
      </w:r>
      <w:proofErr w:type="spellEnd"/>
      <w:r>
        <w:rPr>
          <w:sz w:val="20"/>
          <w:szCs w:val="20"/>
          <w:rtl/>
        </w:rPr>
        <w:t xml:space="preserve"> והיה סמוך על שולחן חותנו </w:t>
      </w:r>
      <w:proofErr w:type="spellStart"/>
      <w:r>
        <w:rPr>
          <w:sz w:val="20"/>
          <w:szCs w:val="20"/>
          <w:rtl/>
        </w:rPr>
        <w:t>בוולקוביסק</w:t>
      </w:r>
      <w:proofErr w:type="spellEnd"/>
      <w:r>
        <w:rPr>
          <w:sz w:val="20"/>
          <w:szCs w:val="20"/>
          <w:rtl/>
        </w:rPr>
        <w:t>, ושם למד אצל ר׳ אליהו שיק.</w:t>
      </w:r>
    </w:p>
  </w:footnote>
  <w:footnote w:id="328">
    <w:p w14:paraId="5EB0C0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אמצע הפסקה הראשונה של נספח </w:t>
      </w:r>
      <w:proofErr w:type="spellStart"/>
      <w:r>
        <w:rPr>
          <w:sz w:val="20"/>
          <w:szCs w:val="20"/>
          <w:rtl/>
        </w:rPr>
        <w:t>יז</w:t>
      </w:r>
      <w:proofErr w:type="spellEnd"/>
      <w:r>
        <w:rPr>
          <w:sz w:val="20"/>
          <w:szCs w:val="20"/>
          <w:rtl/>
        </w:rPr>
        <w:t>.</w:t>
      </w:r>
    </w:p>
  </w:footnote>
  <w:footnote w:id="329">
    <w:p w14:paraId="3DDF34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ב“כל</w:t>
      </w:r>
      <w:proofErr w:type="spellEnd"/>
      <w:r>
        <w:rPr>
          <w:sz w:val="20"/>
          <w:szCs w:val="20"/>
          <w:rtl/>
        </w:rPr>
        <w:t xml:space="preserve"> כתבי חפץ חיים השלם”, ח״א (להלן: כל כתבי </w:t>
      </w:r>
      <w:proofErr w:type="spellStart"/>
      <w:r>
        <w:rPr>
          <w:sz w:val="20"/>
          <w:szCs w:val="20"/>
          <w:rtl/>
        </w:rPr>
        <w:t>ח״ח</w:t>
      </w:r>
      <w:proofErr w:type="spellEnd"/>
      <w:r>
        <w:rPr>
          <w:sz w:val="20"/>
          <w:szCs w:val="20"/>
          <w:rtl/>
        </w:rPr>
        <w:t xml:space="preserve">), </w:t>
      </w:r>
      <w:proofErr w:type="spellStart"/>
      <w:r>
        <w:rPr>
          <w:sz w:val="20"/>
          <w:szCs w:val="20"/>
          <w:rtl/>
        </w:rPr>
        <w:t>ב“דוגמא</w:t>
      </w:r>
      <w:proofErr w:type="spellEnd"/>
      <w:r>
        <w:rPr>
          <w:sz w:val="20"/>
          <w:szCs w:val="20"/>
          <w:rtl/>
        </w:rPr>
        <w:t xml:space="preserve"> מדרכי אבי זצ״ל”, אות ער, עמ׳ </w:t>
      </w:r>
      <w:proofErr w:type="spellStart"/>
      <w:r>
        <w:rPr>
          <w:sz w:val="20"/>
          <w:szCs w:val="20"/>
          <w:rtl/>
        </w:rPr>
        <w:t>מא</w:t>
      </w:r>
      <w:proofErr w:type="spellEnd"/>
      <w:r>
        <w:rPr>
          <w:sz w:val="20"/>
          <w:szCs w:val="20"/>
          <w:rtl/>
        </w:rPr>
        <w:t>.</w:t>
      </w:r>
    </w:p>
  </w:footnote>
  <w:footnote w:id="330">
    <w:p w14:paraId="36F6B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ברוך הלוי אפשטיין (הוצאת חי״ל, ניו יורק</w:t>
      </w:r>
      <w:proofErr w:type="spellStart"/>
      <w:r>
        <w:rPr>
          <w:sz w:val="20"/>
          <w:szCs w:val="20"/>
          <w:rtl/>
        </w:rPr>
        <w:t xml:space="preserve"/>
      </w:r>
      <w:proofErr w:type="spellEnd"/>
      <w:r>
        <w:rPr>
          <w:sz w:val="20"/>
          <w:szCs w:val="20"/>
          <w:rtl/>
        </w:rPr>
        <w:t>, תשי״ד) – עמ׳ 1702–</w:t>
      </w:r>
      <w:proofErr w:type="spellStart"/>
      <w:r>
        <w:rPr>
          <w:sz w:val="20"/>
          <w:szCs w:val="20"/>
          <w:rtl/>
        </w:rPr>
        <w:t>תתנ</w:t>
      </w:r>
      <w:proofErr w:type="spellEnd"/>
      <w:r>
        <w:rPr>
          <w:sz w:val="20"/>
          <w:szCs w:val="20"/>
          <w:rtl/>
        </w:rPr>
        <w:t>.</w:t>
      </w:r>
    </w:p>
  </w:footnote>
  <w:footnote w:id="331">
    <w:p w14:paraId="331D7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 xml:space="preserve">בניו יורק</w:t>
      </w:r>
      <w:proofErr w:type="spellEnd"/>
      <w:r>
        <w:rPr>
          <w:sz w:val="20"/>
          <w:szCs w:val="20"/>
          <w:rtl/>
        </w:rPr>
        <w:t xml:space="preserve">, 1991 (להלן: בערל </w:t>
      </w:r>
      <w:proofErr w:type="spellStart"/>
      <w:r>
        <w:rPr>
          <w:sz w:val="20"/>
          <w:szCs w:val="20"/>
          <w:rtl/>
        </w:rPr>
        <w:t>קגן</w:t>
      </w:r>
      <w:proofErr w:type="spellEnd"/>
      <w:r>
        <w:rPr>
          <w:sz w:val="20"/>
          <w:szCs w:val="20"/>
          <w:rtl/>
        </w:rPr>
        <w:t>) – עמ׳ 149.</w:t>
      </w:r>
    </w:p>
  </w:footnote>
  <w:footnote w:id="332">
    <w:p w14:paraId="0D29DD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נספח ה (עמ׳ </w:t>
      </w:r>
      <w:r>
        <w:rPr>
          <w:rStyle w:val="a5"/>
          <w:sz w:val="20"/>
          <w:szCs w:val="20"/>
          <w:vertAlign w:val="baseline"/>
          <w:rtl/>
        </w:rPr>
        <w:fldChar w:fldCharType="begin" w:dirty="true"/>
      </w:r>
      <w:r>
        <w:rPr>
          <w:rStyle w:val="a5"/>
          <w:sz w:val="20"/>
          <w:szCs w:val="20"/>
          <w:vertAlign w:val="baseline"/>
          <w:rtl/>
        </w:rPr>
        <w:instrText xml:space="preserve"> PAGEREF pr_b_2723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פרטי מספר הילדים היהודים שנלכדו בגזירה אכזרית זו ועל המספר הקטן ששרדו כיהודים.</w:t>
      </w:r>
    </w:p>
  </w:footnote>
  <w:footnote w:id="333">
    <w:p w14:paraId="1A25E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2.1.</w:t>
      </w:r>
    </w:p>
  </w:footnote>
  <w:footnote w:id="334">
    <w:p w14:paraId="2F63B5A5"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אחרי פטירת ר׳ </w:t>
      </w:r>
      <w:proofErr w:type="spellStart"/>
      <w:r>
        <w:rPr>
          <w:sz w:val="20"/>
          <w:szCs w:val="20"/>
          <w:rtl/>
        </w:rPr>
        <w:t>איצל׳ה</w:t>
      </w:r>
      <w:proofErr w:type="spellEnd"/>
      <w:r>
        <w:rPr>
          <w:sz w:val="20"/>
          <w:szCs w:val="20"/>
          <w:rtl/>
        </w:rPr>
        <w:t xml:space="preserve"> </w:t>
      </w:r>
      <w:proofErr w:type="spellStart"/>
      <w:r>
        <w:rPr>
          <w:sz w:val="20"/>
          <w:szCs w:val="20"/>
          <w:rtl/>
        </w:rPr>
        <w:t>בתר״ט</w:t>
      </w:r>
      <w:proofErr w:type="spellEnd"/>
      <w:r>
        <w:rPr>
          <w:sz w:val="20"/>
          <w:szCs w:val="20"/>
          <w:rtl/>
        </w:rPr>
        <w:t xml:space="preserve"> עמד בראש הישיבה חתנו האחר, ר׳ </w:t>
      </w:r>
      <w:proofErr w:type="spellStart"/>
      <w:r>
        <w:rPr>
          <w:sz w:val="20"/>
          <w:szCs w:val="20"/>
          <w:rtl/>
        </w:rPr>
        <w:t>אליעזר־יצחק</w:t>
      </w:r>
      <w:proofErr w:type="spellEnd"/>
      <w:r>
        <w:rPr>
          <w:sz w:val="20"/>
          <w:szCs w:val="20"/>
          <w:rtl/>
        </w:rPr>
        <w:t xml:space="preserve"> פריד, </w:t>
      </w:r>
      <w:proofErr w:type="spellStart"/>
      <w:r>
        <w:rPr>
          <w:sz w:val="20"/>
          <w:szCs w:val="20"/>
          <w:rtl/>
        </w:rPr>
        <w:t>והנצי״ב</w:t>
      </w:r>
      <w:proofErr w:type="spellEnd"/>
      <w:r>
        <w:rPr>
          <w:sz w:val="20"/>
          <w:szCs w:val="20"/>
          <w:rtl/>
        </w:rPr>
        <w:t xml:space="preserve"> שימש </w:t>
      </w:r>
      <w:proofErr w:type="spellStart"/>
      <w:r>
        <w:rPr>
          <w:sz w:val="20"/>
          <w:szCs w:val="20"/>
          <w:rtl/>
        </w:rPr>
        <w:t>סגנו</w:t>
      </w:r>
      <w:proofErr w:type="spellEnd"/>
      <w:r>
        <w:rPr>
          <w:sz w:val="20"/>
          <w:szCs w:val="20"/>
          <w:rtl/>
        </w:rPr>
        <w:t xml:space="preserve">; רק לאחר פטירת ר׳ </w:t>
      </w:r>
      <w:proofErr w:type="spellStart"/>
      <w:r>
        <w:rPr>
          <w:sz w:val="20"/>
          <w:szCs w:val="20"/>
          <w:rtl/>
        </w:rPr>
        <w:t>אליעזר־יצחק</w:t>
      </w:r>
      <w:proofErr w:type="spellEnd"/>
      <w:r>
        <w:rPr>
          <w:sz w:val="20"/>
          <w:szCs w:val="20"/>
          <w:rtl/>
        </w:rPr>
        <w:t xml:space="preserve">, כעבור כארבע שנים, נעשה </w:t>
      </w:r>
      <w:proofErr w:type="spellStart"/>
      <w:r>
        <w:rPr>
          <w:sz w:val="20"/>
          <w:szCs w:val="20"/>
          <w:rtl/>
        </w:rPr>
        <w:t>הנצי״ב</w:t>
      </w:r>
      <w:proofErr w:type="spellEnd"/>
      <w:r>
        <w:rPr>
          <w:sz w:val="20"/>
          <w:szCs w:val="20"/>
          <w:rtl/>
        </w:rPr>
        <w:t xml:space="preserve"> ראש הישיבה.</w:t>
      </w:r>
    </w:p>
  </w:footnote>
  <w:footnote w:id="335">
    <w:p w14:paraId="3A7ED9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“משפחת הרב (בית הרב)”: השווה פרק 3, הערה 11, והפסקה הראשונה של נספח י.</w:t>
      </w:r>
    </w:p>
  </w:footnote>
  <w:footnote w:id="336">
    <w:p w14:paraId="651AD6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פסח ותשעה באב בשבת מאת צבי כהן (תשמ״ה), עמ׳ </w:t>
      </w:r>
      <w:proofErr w:type="spellStart"/>
      <w:r>
        <w:rPr>
          <w:sz w:val="20"/>
          <w:szCs w:val="20"/>
          <w:rtl/>
        </w:rPr>
        <w:t>קפג</w:t>
      </w:r>
      <w:proofErr w:type="spellEnd"/>
      <w:r>
        <w:rPr>
          <w:sz w:val="20"/>
          <w:szCs w:val="20"/>
          <w:rtl/>
        </w:rPr>
        <w:t xml:space="preserve"> והלאה.</w:t>
      </w:r>
    </w:p>
  </w:footnote>
  <w:footnote w:id="337">
    <w:p w14:paraId="5191C9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וגם ראה כל כתבי </w:t>
      </w:r>
      <w:proofErr w:type="spellStart"/>
      <w:r>
        <w:rPr>
          <w:sz w:val="20"/>
          <w:szCs w:val="20"/>
          <w:rtl/>
        </w:rPr>
        <w:t>ח״ח</w:t>
      </w:r>
      <w:proofErr w:type="spellEnd"/>
      <w:r>
        <w:rPr>
          <w:sz w:val="20"/>
          <w:szCs w:val="20"/>
          <w:rtl/>
        </w:rPr>
        <w:t xml:space="preserve"> בחלק “שיחות החפץ חיים” עמ׳ </w:t>
      </w:r>
      <w:proofErr w:type="spellStart"/>
      <w:r>
        <w:rPr>
          <w:sz w:val="20"/>
          <w:szCs w:val="20"/>
          <w:rtl/>
        </w:rPr>
        <w:t>קיז</w:t>
      </w:r>
      <w:proofErr w:type="spellEnd"/>
      <w:r>
        <w:rPr>
          <w:sz w:val="20"/>
          <w:szCs w:val="20"/>
          <w:rtl/>
        </w:rPr>
        <w:t xml:space="preserve"> שמביא בשם ר׳ אליהו שיק משל על מה זה לשמה, דהיינו, כמו הלוליין כשהולך על החבל עסוק הוא במלאכתו בלי שום כונה ואח״כ הוא מקבל שכרו, כמו כן עושה </w:t>
      </w:r>
      <w:proofErr w:type="spellStart"/>
      <w:r>
        <w:rPr>
          <w:sz w:val="20"/>
          <w:szCs w:val="20"/>
          <w:rtl/>
        </w:rPr>
        <w:t>המצוה</w:t>
      </w:r>
      <w:proofErr w:type="spellEnd"/>
      <w:r>
        <w:rPr>
          <w:sz w:val="20"/>
          <w:szCs w:val="20"/>
          <w:rtl/>
        </w:rPr>
        <w:t xml:space="preserve"> (או הלומד תורה) בשעה שעוסק </w:t>
      </w:r>
      <w:proofErr w:type="spellStart"/>
      <w:r>
        <w:rPr>
          <w:sz w:val="20"/>
          <w:szCs w:val="20"/>
          <w:rtl/>
        </w:rPr>
        <w:t>במצוה</w:t>
      </w:r>
      <w:proofErr w:type="spellEnd"/>
      <w:r>
        <w:rPr>
          <w:sz w:val="20"/>
          <w:szCs w:val="20"/>
          <w:rtl/>
        </w:rPr>
        <w:t xml:space="preserve"> או בלימוד </w:t>
      </w:r>
      <w:proofErr w:type="spellStart"/>
      <w:r>
        <w:rPr>
          <w:sz w:val="20"/>
          <w:szCs w:val="20"/>
          <w:rtl/>
        </w:rPr>
        <w:t>יכוין</w:t>
      </w:r>
      <w:proofErr w:type="spellEnd"/>
      <w:r>
        <w:rPr>
          <w:sz w:val="20"/>
          <w:szCs w:val="20"/>
          <w:rtl/>
        </w:rPr>
        <w:t xml:space="preserve"> לעשייתה באופן טוב, וזהו “לשמה” עיי״ש. ונראה שגישה כזאת טיפוסית היא למתנגדים. (ומה </w:t>
      </w:r>
      <w:proofErr w:type="spellStart"/>
      <w:r>
        <w:rPr>
          <w:sz w:val="20"/>
          <w:szCs w:val="20"/>
          <w:rtl/>
        </w:rPr>
        <w:t>שהח״ח</w:t>
      </w:r>
      <w:proofErr w:type="spellEnd"/>
      <w:r>
        <w:rPr>
          <w:sz w:val="20"/>
          <w:szCs w:val="20"/>
          <w:rtl/>
        </w:rPr>
        <w:t xml:space="preserve"> ביקש שלא לאומרו בפני עם הארץ נראה לי שאין הפשט כמו שהבין בנו המחבר עיי״ש אלא שעם הארץ לא יבין שזה נקרא לשמה, כי בחינה זו דקה מדי בשבילו.)</w:t>
      </w:r>
    </w:p>
  </w:footnote>
  <w:footnote w:id="338">
    <w:p w14:paraId="60EAF5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40.</w:t>
      </w:r>
    </w:p>
  </w:footnote>
  <w:footnote w:id="339">
    <w:p w14:paraId="30CFB7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שמות </w:t>
      </w:r>
      <w:proofErr w:type="spellStart"/>
      <w:r>
        <w:rPr>
          <w:sz w:val="20"/>
          <w:szCs w:val="20"/>
          <w:rtl/>
        </w:rPr>
        <w:t>כג</w:t>
      </w:r>
      <w:proofErr w:type="spellEnd"/>
      <w:r>
        <w:rPr>
          <w:sz w:val="20"/>
          <w:szCs w:val="20"/>
          <w:rtl/>
        </w:rPr>
        <w:t>, ז.</w:t>
      </w:r>
    </w:p>
  </w:footnote>
  <w:footnote w:id="340">
    <w:p w14:paraId="2BC71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בערל </w:t>
      </w:r>
      <w:proofErr w:type="spellStart"/>
      <w:r>
        <w:rPr>
          <w:sz w:val="20"/>
          <w:szCs w:val="20"/>
          <w:rtl/>
        </w:rPr>
        <w:t>קגן</w:t>
      </w:r>
      <w:proofErr w:type="spellEnd"/>
      <w:r>
        <w:rPr>
          <w:sz w:val="20"/>
          <w:szCs w:val="20"/>
          <w:rtl/>
        </w:rPr>
        <w:t xml:space="preserve">, עמ׳ 157, כיהן שם אחרי </w:t>
      </w:r>
      <w:proofErr w:type="spellStart"/>
      <w:r>
        <w:rPr>
          <w:sz w:val="20"/>
          <w:szCs w:val="20"/>
          <w:rtl/>
        </w:rPr>
        <w:t>זאגר</w:t>
      </w:r>
      <w:proofErr w:type="spellEnd"/>
      <w:r>
        <w:rPr>
          <w:sz w:val="20"/>
          <w:szCs w:val="20"/>
          <w:rtl/>
        </w:rPr>
        <w:t xml:space="preserve"> חודש אחד בלבד (ולפי “רבותינו שבגולה”, כרך א, עמ׳ 41, חצי שנה) לפני פטירתו.</w:t>
      </w:r>
    </w:p>
  </w:footnote>
  <w:footnote w:id="341">
    <w:p w14:paraId="0F9F60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שאבי לא אמר זאת, מסתבר שהמבקר היה האדמו״ר </w:t>
      </w:r>
      <w:proofErr w:type="spellStart"/>
      <w:r>
        <w:rPr>
          <w:sz w:val="20"/>
          <w:szCs w:val="20"/>
          <w:rtl/>
        </w:rPr>
        <w:t>מקוברין</w:t>
      </w:r>
      <w:proofErr w:type="spellEnd"/>
      <w:r>
        <w:rPr>
          <w:sz w:val="20"/>
          <w:szCs w:val="20"/>
          <w:rtl/>
        </w:rPr>
        <w:t>, שבא אצל הרב החדש מיד אחרי מינויו.</w:t>
      </w:r>
    </w:p>
  </w:footnote>
  <w:footnote w:id="342">
    <w:p w14:paraId="7040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את כל המעשה הזה בקשר לבקשתו של רב שנתמנה זה עתה בקהילת </w:t>
      </w:r>
      <w:proofErr w:type="spellStart"/>
      <w:r>
        <w:rPr>
          <w:sz w:val="20"/>
          <w:szCs w:val="20"/>
          <w:rtl/>
        </w:rPr>
        <w:t>סאטמאר</w:t>
      </w:r>
      <w:proofErr w:type="spellEnd"/>
      <w:r>
        <w:rPr>
          <w:sz w:val="20"/>
          <w:szCs w:val="20"/>
          <w:rtl/>
        </w:rPr>
        <w:t xml:space="preserve"> לבקר אותו </w:t>
      </w:r>
      <w:proofErr w:type="spellStart"/>
      <w:r>
        <w:rPr>
          <w:sz w:val="20"/>
          <w:szCs w:val="20"/>
          <w:rtl/>
        </w:rPr>
        <w:t>במונסי</w:t>
      </w:r>
      <w:proofErr w:type="spellEnd"/>
      <w:r>
        <w:rPr>
          <w:sz w:val="20"/>
          <w:szCs w:val="20"/>
          <w:rtl/>
        </w:rPr>
        <w:t>.</w:t>
      </w:r>
    </w:p>
  </w:footnote>
  <w:footnote w:id="343">
    <w:p w14:paraId="74A54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1995.</w:t>
      </w:r>
    </w:p>
  </w:footnote>
  <w:footnote w:id="344">
    <w:p w14:paraId="02EC44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 </w:t>
      </w:r>
      <w:proofErr w:type="spellStart"/>
      <w:r>
        <w:rPr>
          <w:sz w:val="20"/>
          <w:szCs w:val="20"/>
          <w:rtl/>
        </w:rPr>
        <w:t>יב</w:t>
      </w:r>
      <w:proofErr w:type="spellEnd"/>
      <w:r>
        <w:rPr>
          <w:sz w:val="20"/>
          <w:szCs w:val="20"/>
          <w:rtl/>
        </w:rPr>
        <w:t>.</w:t>
      </w:r>
    </w:p>
  </w:footnote>
  <w:footnote w:id="345">
    <w:p w14:paraId="3D082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בירושלים, תשנ״ט (להלן: “עובדות והנהגות לבית </w:t>
      </w:r>
      <w:proofErr w:type="spellStart"/>
      <w:r>
        <w:rPr>
          <w:sz w:val="20"/>
          <w:szCs w:val="20"/>
          <w:rtl/>
        </w:rPr>
        <w:t>בריסק</w:t>
      </w:r>
      <w:proofErr w:type="spellEnd"/>
      <w:r>
        <w:rPr>
          <w:sz w:val="20"/>
          <w:szCs w:val="20"/>
          <w:rtl/>
        </w:rPr>
        <w:t xml:space="preserve">”) – חלק א, עמ׳ </w:t>
      </w:r>
      <w:proofErr w:type="spellStart"/>
      <w:r>
        <w:rPr>
          <w:sz w:val="20"/>
          <w:szCs w:val="20"/>
          <w:rtl/>
        </w:rPr>
        <w:t>קסב</w:t>
      </w:r>
      <w:proofErr w:type="spellEnd"/>
      <w:r>
        <w:rPr>
          <w:sz w:val="20"/>
          <w:szCs w:val="20"/>
          <w:rtl/>
        </w:rPr>
        <w:t>.</w:t>
      </w:r>
    </w:p>
  </w:footnote>
  <w:footnote w:id="346">
    <w:p w14:paraId="7D8F07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ראשון (מהדורה שישית, ירושלים, תשמ״ב), עמ׳ 244. והשווה גם שם, עמ׳ 346: ר׳ ישראל הספיד פעם אדם הגון ואמר “הוא היה איש ישר”, ותיקן מיד את דבריו </w:t>
      </w:r>
      <w:proofErr w:type="spellStart"/>
      <w:r>
        <w:rPr>
          <w:sz w:val="20"/>
          <w:szCs w:val="20"/>
          <w:rtl/>
        </w:rPr>
        <w:t>ל“</w:t>
      </w:r>
      <w:r>
        <w:rPr>
          <w:b/>
          <w:bCs/>
          <w:sz w:val="20"/>
          <w:szCs w:val="20"/>
          <w:rtl/>
        </w:rPr>
        <w:t>נראה</w:t>
      </w:r>
      <w:proofErr w:type="spellEnd"/>
      <w:r>
        <w:rPr>
          <w:b/>
          <w:bCs/>
          <w:sz w:val="20"/>
          <w:szCs w:val="20"/>
          <w:rtl/>
        </w:rPr>
        <w:t xml:space="preserve"> לי</w:t>
      </w:r>
      <w:r>
        <w:rPr>
          <w:sz w:val="20"/>
          <w:szCs w:val="20"/>
          <w:rtl/>
        </w:rPr>
        <w:t xml:space="preserve"> שהוא היה איש ישר”.</w:t>
      </w:r>
    </w:p>
  </w:footnote>
  <w:footnote w:id="347">
    <w:p w14:paraId="732857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 xml:space="preserve">וולרשטיין־הלר</w:t>
      </w:r>
      <w:proofErr w:type="spellEnd"/>
      <w:r>
        <w:rPr>
          <w:sz w:val="20"/>
          <w:szCs w:val="20"/>
          <w:rtl/>
        </w:rPr>
        <w:t xml:space="preserve"> הוא גם מאבותיו של רבנו. ראה הערה 2 לעיל.</w:t>
      </w:r>
    </w:p>
  </w:footnote>
  <w:footnote w:id="348">
    <w:p w14:paraId="6DC380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“דרכי משה החדש” (נדפס מחדש </w:t>
      </w:r>
      <w:proofErr w:type="spellStart"/>
      <w:r>
        <w:rPr>
          <w:sz w:val="20"/>
          <w:szCs w:val="20"/>
          <w:rtl/>
        </w:rPr>
        <w:t>בתשמ״ב</w:t>
      </w:r>
      <w:proofErr w:type="spellEnd"/>
      <w:r>
        <w:rPr>
          <w:sz w:val="20"/>
          <w:szCs w:val="20"/>
          <w:rtl/>
        </w:rPr>
        <w:t xml:space="preserve"> על ידי כולל ומתיבתא </w:t>
      </w:r>
      <w:proofErr w:type="spellStart"/>
      <w:r>
        <w:rPr>
          <w:sz w:val="20"/>
          <w:szCs w:val="20"/>
          <w:rtl/>
        </w:rPr>
        <w:t>מהר״ם</w:t>
      </w:r>
      <w:proofErr w:type="spellEnd"/>
      <w:r>
        <w:rPr>
          <w:sz w:val="20"/>
          <w:szCs w:val="20"/>
          <w:rtl/>
        </w:rPr>
        <w:t xml:space="preserve"> שיק, ירושלים), עמ׳ א: מסופר שם </w:t>
      </w:r>
      <w:proofErr w:type="spellStart"/>
      <w:r>
        <w:rPr>
          <w:sz w:val="20"/>
          <w:szCs w:val="20"/>
          <w:rtl/>
        </w:rPr>
        <w:t>שהמהר״ם</w:t>
      </w:r>
      <w:proofErr w:type="spellEnd"/>
      <w:r>
        <w:rPr>
          <w:sz w:val="20"/>
          <w:szCs w:val="20"/>
          <w:rtl/>
        </w:rPr>
        <w:t xml:space="preserve"> שיק טיפח מסורת ששם משפחתו הוא ראשי תיבות של “שם ישראל קודש”, ושהוא נבחר כמחאה נגד החובה החוקית לקבל שמות משפחה.</w:t>
      </w:r>
    </w:p>
  </w:footnote>
  <w:footnote w:id="349">
    <w:p w14:paraId="0014B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מחקר יוחסין זה נעשה בידי בני, ר׳ יוסף.</w:t>
      </w:r>
    </w:p>
  </w:footnote>
  <w:footnote w:id="350">
    <w:p w14:paraId="36C43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“דרכי משה החדש”, עמ׳ לו ואילך.</w:t>
      </w:r>
    </w:p>
  </w:footnote>
  <w:footnote w:id="351">
    <w:p w14:paraId="219F44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עמ׳ 151.</w:t>
      </w:r>
    </w:p>
  </w:footnote>
  <w:footnote w:id="352">
    <w:p w14:paraId="76136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קנובל</w:t>
      </w:r>
      <w:proofErr w:type="spellEnd"/>
      <w:r>
        <w:rPr>
          <w:sz w:val="20"/>
          <w:szCs w:val="20"/>
          <w:rtl/>
        </w:rPr>
        <w:t>, ריאיון, 21 בדצמבר 1987.</w:t>
      </w:r>
    </w:p>
  </w:footnote>
  <w:footnote w:id="353">
    <w:p w14:paraId="61043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תוכנה הובא בספר העיתים, עמ׳ </w:t>
      </w:r>
      <w:proofErr w:type="spellStart"/>
      <w:r>
        <w:rPr>
          <w:sz w:val="20"/>
          <w:szCs w:val="20"/>
          <w:rtl/>
        </w:rPr>
        <w:t>רסז</w:t>
      </w:r>
      <w:proofErr w:type="spellEnd"/>
      <w:r>
        <w:rPr>
          <w:sz w:val="20"/>
          <w:szCs w:val="20"/>
          <w:rtl/>
        </w:rPr>
        <w:t>.</w:t>
      </w:r>
    </w:p>
  </w:footnote>
  <w:footnote w:id="354">
    <w:p w14:paraId="7AEBE079"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רב </w:t>
      </w:r>
      <w:proofErr w:type="spellStart"/>
      <w:r>
        <w:rPr>
          <w:sz w:val="20"/>
          <w:szCs w:val="20"/>
          <w:rtl/>
        </w:rPr>
        <w:t>נטרונאי</w:t>
      </w:r>
      <w:proofErr w:type="spellEnd"/>
      <w:r>
        <w:rPr>
          <w:sz w:val="20"/>
          <w:szCs w:val="20"/>
          <w:rtl/>
        </w:rPr>
        <w:t xml:space="preserve"> גאון, ראש ישיבת </w:t>
      </w:r>
      <w:proofErr w:type="spellStart"/>
      <w:r>
        <w:rPr>
          <w:sz w:val="20"/>
          <w:szCs w:val="20"/>
          <w:rtl/>
        </w:rPr>
        <w:t>סורא</w:t>
      </w:r>
      <w:proofErr w:type="spellEnd"/>
      <w:r>
        <w:rPr>
          <w:sz w:val="20"/>
          <w:szCs w:val="20"/>
          <w:rtl/>
        </w:rPr>
        <w:t>, נפטר יותר ממאה שנה לפני שנולד רב שמואל הנגיד, ולא ייתכן שהשיב לו.</w:t>
      </w:r>
    </w:p>
  </w:footnote>
  <w:footnote w:id="355">
    <w:p w14:paraId="460F7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באוגוסט 1992, והשווה כרך 3.</w:t>
      </w:r>
    </w:p>
  </w:footnote>
  <w:footnote w:id="356">
    <w:p w14:paraId="59CAEA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155.</w:t>
      </w:r>
    </w:p>
  </w:footnote>
  <w:footnote w:id="357">
    <w:p w14:paraId="58874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בזמנים קודמים נקרא כך (“בחור עני” ביידיש – כינוי כללי) תלמיד ישיבה </w:t>
      </w:r>
      <w:proofErr w:type="spellStart"/>
      <w:r>
        <w:rPr>
          <w:sz w:val="20"/>
          <w:szCs w:val="20"/>
          <w:rtl/>
        </w:rPr>
        <w:t>ש“אכל</w:t>
      </w:r>
      <w:proofErr w:type="spellEnd"/>
      <w:r>
        <w:rPr>
          <w:sz w:val="20"/>
          <w:szCs w:val="20"/>
          <w:rtl/>
        </w:rPr>
        <w:t xml:space="preserve"> </w:t>
      </w:r>
      <w:proofErr w:type="spellStart"/>
      <w:r>
        <w:rPr>
          <w:sz w:val="20"/>
          <w:szCs w:val="20"/>
          <w:rtl/>
        </w:rPr>
        <w:t>טעג</w:t>
      </w:r>
      <w:proofErr w:type="spellEnd"/>
      <w:r>
        <w:rPr>
          <w:sz w:val="20"/>
          <w:szCs w:val="20"/>
          <w:rtl/>
        </w:rPr>
        <w:t>”. הכינוי תיאר את יחסו של בעל הבית הממוצע להאכלת האורחים הצעירים: הוא הרגיש מחויב לספק להם מזון יותר מחמת עניותו של הבחור מאשר מחמת למדנותו.</w:t>
      </w:r>
    </w:p>
  </w:footnote>
  <w:footnote w:id="358">
    <w:p w14:paraId="58C8EA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בעת ביקורי בביתו, 14 בפברואר 1993.</w:t>
      </w:r>
    </w:p>
  </w:footnote>
  <w:footnote w:id="359">
    <w:p w14:paraId="2ECEF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השלישית של נספח יד.</w:t>
      </w:r>
    </w:p>
  </w:footnote>
  <w:footnote w:id="360">
    <w:p w14:paraId="54BBC3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w:t>
      </w:r>
      <w:proofErr w:type="spellStart"/>
      <w:r>
        <w:rPr>
          <w:sz w:val="20"/>
          <w:szCs w:val="20"/>
          <w:rtl/>
        </w:rPr>
        <w:t>שש־עשרה</w:t>
      </w:r>
      <w:proofErr w:type="spellEnd"/>
      <w:r>
        <w:rPr>
          <w:sz w:val="20"/>
          <w:szCs w:val="20"/>
          <w:rtl/>
        </w:rPr>
        <w:t xml:space="preserve"> חדשה ומתוקנת (ירושלים, תשמ״ג), בעריכת אריה כרמל ואלטר </w:t>
      </w:r>
      <w:proofErr w:type="spellStart"/>
      <w:r>
        <w:rPr>
          <w:sz w:val="20"/>
          <w:szCs w:val="20"/>
          <w:rtl/>
        </w:rPr>
        <w:t>האלפרן</w:t>
      </w:r>
      <w:proofErr w:type="spellEnd"/>
      <w:r>
        <w:rPr>
          <w:sz w:val="20"/>
          <w:szCs w:val="20"/>
          <w:rtl/>
        </w:rPr>
        <w:t xml:space="preserve"> – עמ׳ 25.</w:t>
      </w:r>
    </w:p>
  </w:footnote>
  <w:footnote w:id="361">
    <w:p w14:paraId="4239B5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105: בני משפחת </w:t>
      </w:r>
      <w:proofErr w:type="spellStart"/>
      <w:r>
        <w:rPr>
          <w:sz w:val="20"/>
          <w:szCs w:val="20"/>
          <w:rtl/>
        </w:rPr>
        <w:t>דסלר</w:t>
      </w:r>
      <w:proofErr w:type="spellEnd"/>
      <w:r>
        <w:rPr>
          <w:sz w:val="20"/>
          <w:szCs w:val="20"/>
          <w:rtl/>
        </w:rPr>
        <w:t xml:space="preserve"> האמידה תרמו את המבנים לבית </w:t>
      </w:r>
      <w:proofErr w:type="spellStart"/>
      <w:r>
        <w:rPr>
          <w:sz w:val="20"/>
          <w:szCs w:val="20"/>
          <w:rtl/>
        </w:rPr>
        <w:t>הספר־הפנימייה</w:t>
      </w:r>
      <w:proofErr w:type="spellEnd"/>
      <w:r>
        <w:rPr>
          <w:sz w:val="20"/>
          <w:szCs w:val="20"/>
          <w:rtl/>
        </w:rPr>
        <w:t xml:space="preserve"> </w:t>
      </w:r>
      <w:proofErr w:type="spellStart"/>
      <w:r>
        <w:rPr>
          <w:sz w:val="20"/>
          <w:szCs w:val="20"/>
          <w:rtl/>
        </w:rPr>
        <w:t>בגרובין</w:t>
      </w:r>
      <w:proofErr w:type="spellEnd"/>
      <w:r>
        <w:rPr>
          <w:sz w:val="20"/>
          <w:szCs w:val="20"/>
          <w:rtl/>
        </w:rPr>
        <w:t xml:space="preserve">. והשווה גם פרק 3, נספח כה, על תוכנית הלימודים </w:t>
      </w:r>
      <w:proofErr w:type="spellStart"/>
      <w:r>
        <w:rPr>
          <w:sz w:val="20"/>
          <w:szCs w:val="20"/>
          <w:rtl/>
        </w:rPr>
        <w:t>בגרובין</w:t>
      </w:r>
      <w:proofErr w:type="spellEnd"/>
      <w:r>
        <w:rPr>
          <w:sz w:val="20"/>
          <w:szCs w:val="20"/>
          <w:rtl/>
        </w:rPr>
        <w:t>, שהותאמה לנערים מבתים אמידים.</w:t>
      </w:r>
    </w:p>
  </w:footnote>
  <w:footnote w:id="362">
    <w:p w14:paraId="3AF9F0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הייתה זו </w:t>
      </w:r>
      <w:proofErr w:type="spellStart"/>
      <w:r>
        <w:rPr>
          <w:sz w:val="20"/>
          <w:szCs w:val="20"/>
          <w:rtl/>
        </w:rPr>
        <w:t>אמו</w:t>
      </w:r>
      <w:proofErr w:type="spellEnd"/>
      <w:r>
        <w:rPr>
          <w:sz w:val="20"/>
          <w:szCs w:val="20"/>
          <w:rtl/>
        </w:rPr>
        <w:t xml:space="preserve"> החורגת של המחבר; </w:t>
      </w:r>
      <w:proofErr w:type="spellStart"/>
      <w:r>
        <w:rPr>
          <w:sz w:val="20"/>
          <w:szCs w:val="20"/>
          <w:rtl/>
        </w:rPr>
        <w:t>אמו</w:t>
      </w:r>
      <w:proofErr w:type="spellEnd"/>
      <w:r>
        <w:rPr>
          <w:sz w:val="20"/>
          <w:szCs w:val="20"/>
          <w:rtl/>
        </w:rPr>
        <w:t xml:space="preserve">, נכדתו של ר׳ ישראל </w:t>
      </w:r>
      <w:proofErr w:type="spellStart"/>
      <w:r>
        <w:rPr>
          <w:sz w:val="20"/>
          <w:szCs w:val="20"/>
          <w:rtl/>
        </w:rPr>
        <w:t>סלנטר</w:t>
      </w:r>
      <w:proofErr w:type="spellEnd"/>
      <w:r>
        <w:rPr>
          <w:sz w:val="20"/>
          <w:szCs w:val="20"/>
          <w:rtl/>
        </w:rPr>
        <w:t>, נפטרה כשהיה תינוק בן שנה.</w:t>
      </w:r>
    </w:p>
  </w:footnote>
  <w:footnote w:id="363">
    <w:p w14:paraId="2181B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נרשם גם בעמ׳ 21–22 של מאמר הזיכרון על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(חשוון תשמ״ח).</w:t>
      </w:r>
    </w:p>
  </w:footnote>
  <w:footnote w:id="364">
    <w:p w14:paraId="0911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32 ו־41 לעיל.</w:t>
      </w:r>
    </w:p>
  </w:footnote>
  <w:footnote w:id="365">
    <w:p w14:paraId="0618B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רמ״א </w:t>
      </w:r>
      <w:proofErr w:type="spellStart"/>
      <w:r>
        <w:rPr>
          <w:sz w:val="20"/>
          <w:szCs w:val="20"/>
          <w:rtl/>
        </w:rPr>
        <w:t>או״ח</w:t>
      </w:r>
      <w:proofErr w:type="spellEnd"/>
      <w:r>
        <w:rPr>
          <w:sz w:val="20"/>
          <w:szCs w:val="20"/>
          <w:rtl/>
        </w:rPr>
        <w:t xml:space="preserve"> סי׳ תרס״ד ס״א. ר׳ ישראל ודאי לא היה מצער איש, </w:t>
      </w:r>
      <w:r>
        <w:rPr>
          <w:b/>
          <w:bCs/>
          <w:sz w:val="20"/>
          <w:szCs w:val="20"/>
          <w:rtl/>
        </w:rPr>
        <w:t>אף על פי</w:t>
      </w:r>
      <w:r>
        <w:rPr>
          <w:sz w:val="20"/>
          <w:szCs w:val="20"/>
          <w:rtl/>
        </w:rPr>
        <w:t xml:space="preserve"> שהעריך מאוד את מנהגי ישראל, ובכללם מנהג זה עצמו של לבישת </w:t>
      </w:r>
      <w:proofErr w:type="spellStart"/>
      <w:r>
        <w:rPr>
          <w:sz w:val="20"/>
          <w:szCs w:val="20"/>
          <w:rtl/>
        </w:rPr>
        <w:t>קיטל</w:t>
      </w:r>
      <w:proofErr w:type="spellEnd"/>
      <w:r>
        <w:rPr>
          <w:sz w:val="20"/>
          <w:szCs w:val="20"/>
          <w:rtl/>
        </w:rPr>
        <w:t xml:space="preserve">, כמו בנספח הבא (עמ׳ </w:t>
      </w:r>
      <w:r>
        <w:rPr>
          <w:sz w:val="20"/>
          <w:szCs w:val="20"/>
          <w:rtl/>
        </w:rPr>
        <w:fldChar w:fldCharType="begin" w:dirty="true"/>
      </w:r>
      <w:r>
        <w:rPr>
          <w:sz w:val="20"/>
          <w:szCs w:val="20"/>
          <w:rtl/>
        </w:rPr>
        <w:instrText xml:space="preserve"> PAGEREF pr_b_349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366">
    <w:p w14:paraId="7CA6FC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1999.</w:t>
      </w:r>
    </w:p>
  </w:footnote>
  <w:footnote w:id="367">
    <w:p w14:paraId="2D3C95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הדברים מסוג זה שזכר המרואיין נגע לדברי המשנה ברורה בסי׳ תצ״ג </w:t>
      </w:r>
      <w:proofErr w:type="spellStart"/>
      <w:r>
        <w:rPr>
          <w:sz w:val="20"/>
          <w:szCs w:val="20"/>
          <w:rtl/>
        </w:rPr>
        <w:t>ס״ק</w:t>
      </w:r>
      <w:proofErr w:type="spellEnd"/>
      <w:r>
        <w:rPr>
          <w:sz w:val="20"/>
          <w:szCs w:val="20"/>
          <w:rtl/>
        </w:rPr>
        <w:t xml:space="preserve"> י״א, שהוא “לא ראה שעושים נישואין בערב ל״ג בעומר”. ר׳ אהרן לסקר (ריאיון, 30 במאי 2000) סיפר שכמה אברכים ישבו בסעודה, והוגשו להם אפרסקים משומרים לקינוח, והם דנו אם צריך לברך עליהם. אז בא רבנו לשולחן, לקח אפרסק, הניחו על פרוסת לחם ואכלו בלי ברכה. מישהו שאל אותו מה המקור לכך, והשיב: “אבי עשה כך”.</w:t>
      </w:r>
    </w:p>
  </w:footnote>
  <w:footnote w:id="368">
    <w:p w14:paraId="08488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369">
    <w:p w14:paraId="60765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הספד ביום השנה הראשון בישיבת עטרת יעקב, מפי אחד משלושת התלמידים שנכחו שם, ר׳ שמואל דישון.</w:t>
      </w:r>
    </w:p>
  </w:footnote>
  <w:footnote w:id="370">
    <w:p w14:paraId="378E31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בנובמבר 1987.</w:t>
      </w:r>
    </w:p>
  </w:footnote>
  <w:footnote w:id="371">
    <w:p w14:paraId="650E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(עמ׳ </w:t>
      </w:r>
      <w:r>
        <w:rPr>
          <w:rStyle w:val="a5"/>
          <w:sz w:val="20"/>
          <w:szCs w:val="20"/>
          <w:vertAlign w:val="baseline"/>
          <w:rtl/>
        </w:rPr>
        <w:fldChar w:fldCharType="begin" w:dirty="true"/>
      </w:r>
      <w:r>
        <w:rPr>
          <w:rStyle w:val="a5"/>
          <w:sz w:val="20"/>
          <w:szCs w:val="20"/>
          <w:vertAlign w:val="baseline"/>
          <w:rtl/>
        </w:rPr>
        <w:instrText xml:space="preserve"> PAGEREF pr_close_b_4300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כבודו של אבי לעבודתם של אחרים.</w:t>
      </w:r>
    </w:p>
  </w:footnote>
  <w:footnote w:id="372">
    <w:p w14:paraId="7B5D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בינואר 1998.</w:t>
      </w:r>
    </w:p>
  </w:footnote>
  <w:footnote w:id="373">
    <w:p w14:paraId="4637A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1987.</w:t>
      </w:r>
    </w:p>
  </w:footnote>
  <w:footnote w:id="374">
    <w:p w14:paraId="5FADF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כדעת הגאון מווילנה – השווה “מעשה רב”, אות </w:t>
      </w:r>
      <w:proofErr w:type="spellStart"/>
      <w:r>
        <w:rPr>
          <w:sz w:val="20"/>
          <w:szCs w:val="20"/>
          <w:rtl/>
        </w:rPr>
        <w:t>קכב</w:t>
      </w:r>
      <w:proofErr w:type="spellEnd"/>
      <w:r>
        <w:rPr>
          <w:sz w:val="20"/>
          <w:szCs w:val="20"/>
          <w:rtl/>
        </w:rPr>
        <w:t>.</w:t>
      </w:r>
    </w:p>
  </w:footnote>
  <w:footnote w:id="375">
    <w:p w14:paraId="2F5BAB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 לעיל.</w:t>
      </w:r>
    </w:p>
  </w:footnote>
  <w:footnote w:id="376">
    <w:p w14:paraId="6ABD5E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אני זוכר שבחיי אמי נאמרו דברי תורה רבים בשעת אמירת ההגדה. ייתכן שאבי עשה כן משום שידע שרבניתו הראשונה, שגדלה בסביבת ישיבת </w:t>
      </w:r>
      <w:proofErr w:type="spellStart"/>
      <w:r>
        <w:rPr>
          <w:sz w:val="20"/>
          <w:szCs w:val="20"/>
          <w:rtl/>
        </w:rPr>
        <w:t>סלבודקה</w:t>
      </w:r>
      <w:proofErr w:type="spellEnd"/>
      <w:r>
        <w:rPr>
          <w:sz w:val="20"/>
          <w:szCs w:val="20"/>
          <w:rtl/>
        </w:rPr>
        <w:t xml:space="preserve">, ראתה גם היא בדברי התורה שליד השולחן “שיעור שלה”. על הרקע המשפחתי והחברתי של אשתו הראשונה השווה כרך 2, וכיצד ראתה אשתו של הסבא </w:t>
      </w:r>
      <w:proofErr w:type="spellStart"/>
      <w:r>
        <w:rPr>
          <w:sz w:val="20"/>
          <w:szCs w:val="20"/>
          <w:rtl/>
        </w:rPr>
        <w:t>מסלבודקה</w:t>
      </w:r>
      <w:proofErr w:type="spellEnd"/>
      <w:r>
        <w:rPr>
          <w:sz w:val="20"/>
          <w:szCs w:val="20"/>
          <w:rtl/>
        </w:rPr>
        <w:t xml:space="preserve"> את תלמידי הישיבה – השווה פרק 4, הערה 30.</w:t>
      </w:r>
    </w:p>
  </w:footnote>
  <w:footnote w:id="377">
    <w:p w14:paraId="7DEC7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378">
    <w:p w14:paraId="73BF02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בפלורידה, 27 במרץ 1988.</w:t>
      </w:r>
    </w:p>
  </w:footnote>
  <w:footnote w:id="379">
    <w:p w14:paraId="01C6F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ק״ה ע״א.</w:t>
      </w:r>
    </w:p>
  </w:footnote>
  <w:footnote w:id="380">
    <w:p w14:paraId="493F8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לבני ר׳ יוסף כשהציע לו ר׳ יוסף גבינה לארוחת בוקר במלון בטבריה, בכ״ו בטבת תשמ״א. כשמזג אבי חלב לקפה שלו, העיר כמתנצל: “אני כחומץ בן יין, שהרי אבי לא אכל גבינה </w:t>
      </w:r>
      <w:r>
        <w:rPr>
          <w:b/>
          <w:bCs/>
          <w:sz w:val="20"/>
          <w:szCs w:val="20"/>
          <w:rtl/>
        </w:rPr>
        <w:t>ולא</w:t>
      </w:r>
      <w:r>
        <w:rPr>
          <w:sz w:val="20"/>
          <w:szCs w:val="20"/>
          <w:rtl/>
        </w:rPr>
        <w:t xml:space="preserve"> שתה חלב בערבי שבתות”. משל החומץ בן היין מקורו בדברי מר </w:t>
      </w:r>
      <w:proofErr w:type="spellStart"/>
      <w:r>
        <w:rPr>
          <w:sz w:val="20"/>
          <w:szCs w:val="20"/>
          <w:rtl/>
        </w:rPr>
        <w:t>עוקבא</w:t>
      </w:r>
      <w:proofErr w:type="spellEnd"/>
      <w:r>
        <w:rPr>
          <w:sz w:val="20"/>
          <w:szCs w:val="20"/>
          <w:rtl/>
        </w:rPr>
        <w:t xml:space="preserve"> על עצמו, שם, כשגילה לשאר האמוראים שאינו נוהג באותה חומרה שנהג בה אביו.</w:t>
      </w:r>
    </w:p>
  </w:footnote>
  <w:footnote w:id="381">
    <w:p w14:paraId="24274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לפרט המטעמים טובים יפים ונעימים (</w:t>
      </w:r>
      <w:proofErr w:type="spellStart"/>
      <w:r>
        <w:rPr>
          <w:sz w:val="20"/>
          <w:szCs w:val="20"/>
          <w:rtl/>
        </w:rPr>
        <w:t>תר״ן</w:t>
      </w:r>
      <w:proofErr w:type="spellEnd"/>
      <w:r>
        <w:rPr>
          <w:sz w:val="20"/>
          <w:szCs w:val="20"/>
          <w:rtl/>
        </w:rPr>
        <w:t>) – עמ׳ 111, אות כ״ה.</w:t>
      </w:r>
    </w:p>
  </w:footnote>
  <w:footnote w:id="382">
    <w:p w14:paraId="10ED3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בספר “מנהג ישראל תורה”, נלקט נערך ונסדר... ע״י... יוסף </w:t>
      </w:r>
      <w:proofErr w:type="spellStart"/>
      <w:r>
        <w:rPr>
          <w:sz w:val="20"/>
          <w:szCs w:val="20"/>
          <w:rtl/>
        </w:rPr>
        <w:t>לאוי</w:t>
      </w:r>
      <w:proofErr w:type="spellEnd"/>
      <w:r>
        <w:rPr>
          <w:sz w:val="20"/>
          <w:szCs w:val="20"/>
          <w:rtl/>
        </w:rPr>
        <w:t xml:space="preserve"> (תשנ״ד), </w:t>
      </w:r>
      <w:proofErr w:type="spellStart"/>
      <w:r>
        <w:rPr>
          <w:sz w:val="20"/>
          <w:szCs w:val="20"/>
          <w:rtl/>
        </w:rPr>
        <w:t>ח״ב</w:t>
      </w:r>
      <w:proofErr w:type="spellEnd"/>
      <w:r>
        <w:rPr>
          <w:sz w:val="20"/>
          <w:szCs w:val="20"/>
          <w:rtl/>
        </w:rPr>
        <w:t>, עמ׳ לד.</w:t>
      </w:r>
    </w:p>
  </w:footnote>
  <w:footnote w:id="383">
    <w:p w14:paraId="779702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זאת מסר בני ר׳ יוסף, אבל אפשר שאבי הזכיר ספר אחר, שכן לא מצאתי זאת בספר חסידים. אם לא שבני לא הבין את דברי רבנו כראוי, והוא רק הזכיר את דברי הספר חסידים אות קיד, שם כתב, “המשנה מנהג ראשונים וכו׳ עובר משום אל תשיג גבול עולם אשר עשו אבותיך (משלי </w:t>
      </w:r>
      <w:proofErr w:type="spellStart"/>
      <w:r>
        <w:rPr>
          <w:sz w:val="20"/>
          <w:szCs w:val="20"/>
          <w:rtl/>
        </w:rPr>
        <w:t>כב</w:t>
      </w:r>
      <w:proofErr w:type="spellEnd"/>
      <w:r>
        <w:rPr>
          <w:sz w:val="20"/>
          <w:szCs w:val="20"/>
          <w:rtl/>
        </w:rPr>
        <w:t xml:space="preserve">, </w:t>
      </w:r>
      <w:proofErr w:type="spellStart"/>
      <w:r>
        <w:rPr>
          <w:sz w:val="20"/>
          <w:szCs w:val="20"/>
          <w:rtl/>
        </w:rPr>
        <w:t>כח</w:t>
      </w:r>
      <w:proofErr w:type="spellEnd"/>
      <w:r>
        <w:rPr>
          <w:sz w:val="20"/>
          <w:szCs w:val="20"/>
          <w:rtl/>
        </w:rPr>
        <w:t>)” ועל זה הוסיף רבנו מעצמו שמצד פסוק זה, נכלל גם מנהג בלתי מובן, כמו לא לאכול חלבי בערבי שבתות.</w:t>
      </w:r>
    </w:p>
  </w:footnote>
  <w:footnote w:id="384">
    <w:p w14:paraId="7747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ביולי 1999.</w:t>
      </w:r>
    </w:p>
  </w:footnote>
  <w:footnote w:id="385">
    <w:p w14:paraId="157906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xml:space="preserve">/תל אביב, תשכ״ב (להלן: “פנקס </w:t>
      </w:r>
      <w:proofErr w:type="spellStart"/>
      <w:r>
        <w:rPr>
          <w:sz w:val="20"/>
          <w:szCs w:val="20"/>
          <w:rtl/>
        </w:rPr>
        <w:t>סלוצק</w:t>
      </w:r>
      <w:proofErr w:type="spellEnd"/>
      <w:r>
        <w:rPr>
          <w:sz w:val="20"/>
          <w:szCs w:val="20"/>
          <w:rtl/>
        </w:rPr>
        <w:t>”) – עמ׳ 101, 127 ו־98.</w:t>
      </w:r>
    </w:p>
  </w:footnote>
  <w:footnote w:id="386">
    <w:p w14:paraId="5F001A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הכינוי לקוח מסדר ליל הפסח.</w:t>
      </w:r>
    </w:p>
  </w:footnote>
  <w:footnote w:id="387">
    <w:p w14:paraId="220707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סוף הערה 14.</w:t>
      </w:r>
    </w:p>
  </w:footnote>
  <w:footnote w:id="388">
    <w:p w14:paraId="02CA1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ירושלים, </w:t>
      </w:r>
      <w:proofErr w:type="spellStart"/>
      <w:r>
        <w:rPr>
          <w:sz w:val="20"/>
          <w:szCs w:val="20"/>
          <w:rtl/>
        </w:rPr>
        <w:t>תש״ן</w:t>
      </w:r>
      <w:proofErr w:type="spellEnd"/>
      <w:r>
        <w:rPr>
          <w:sz w:val="20"/>
          <w:szCs w:val="20"/>
          <w:rtl/>
        </w:rPr>
        <w:t xml:space="preserve"> – עמ׳ </w:t>
      </w:r>
      <w:proofErr w:type="spellStart"/>
      <w:r>
        <w:rPr>
          <w:sz w:val="20"/>
          <w:szCs w:val="20"/>
          <w:rtl/>
        </w:rPr>
        <w:t>מא</w:t>
      </w:r>
      <w:proofErr w:type="spellEnd"/>
      <w:r>
        <w:rPr>
          <w:sz w:val="20"/>
          <w:szCs w:val="20"/>
          <w:rtl/>
        </w:rPr>
        <w:t>.</w:t>
      </w:r>
    </w:p>
  </w:footnote>
  <w:footnote w:id="389">
    <w:p w14:paraId="1F11F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ס״ג ע״א.</w:t>
      </w:r>
    </w:p>
  </w:footnote>
  <w:footnote w:id="390">
    <w:p w14:paraId="10943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w:t>
      </w:r>
      <w:proofErr w:type="spellStart"/>
      <w:r>
        <w:rPr>
          <w:sz w:val="20"/>
          <w:szCs w:val="20"/>
          <w:rtl/>
        </w:rPr>
        <w:t>נו״ב</w:t>
      </w:r>
      <w:proofErr w:type="spellEnd"/>
      <w:r>
        <w:rPr>
          <w:sz w:val="20"/>
          <w:szCs w:val="20"/>
          <w:rtl/>
        </w:rPr>
        <w:t xml:space="preserve"> </w:t>
      </w:r>
      <w:proofErr w:type="spellStart"/>
      <w:r>
        <w:rPr>
          <w:sz w:val="20"/>
          <w:szCs w:val="20"/>
          <w:rtl/>
        </w:rPr>
        <w:t>מהדו״ק</w:t>
      </w:r>
      <w:proofErr w:type="spellEnd"/>
      <w:r>
        <w:rPr>
          <w:sz w:val="20"/>
          <w:szCs w:val="20"/>
          <w:rtl/>
        </w:rPr>
        <w:t xml:space="preserve"> יו״ד סוף סי׳ נ״ד, </w:t>
      </w:r>
      <w:proofErr w:type="spellStart"/>
      <w:r>
        <w:rPr>
          <w:sz w:val="20"/>
          <w:szCs w:val="20"/>
          <w:rtl/>
        </w:rPr>
        <w:t>וחת״ס</w:t>
      </w:r>
      <w:proofErr w:type="spellEnd"/>
      <w:r>
        <w:rPr>
          <w:sz w:val="20"/>
          <w:szCs w:val="20"/>
          <w:rtl/>
        </w:rPr>
        <w:t xml:space="preserve"> </w:t>
      </w:r>
      <w:proofErr w:type="spellStart"/>
      <w:r>
        <w:rPr>
          <w:sz w:val="20"/>
          <w:szCs w:val="20"/>
          <w:rtl/>
        </w:rPr>
        <w:t>או״ח</w:t>
      </w:r>
      <w:proofErr w:type="spellEnd"/>
      <w:r>
        <w:rPr>
          <w:sz w:val="20"/>
          <w:szCs w:val="20"/>
          <w:rtl/>
        </w:rPr>
        <w:t xml:space="preserve"> סוף תש׳ נ״א, וב״י </w:t>
      </w:r>
      <w:proofErr w:type="spellStart"/>
      <w:r>
        <w:rPr>
          <w:sz w:val="20"/>
          <w:szCs w:val="20"/>
          <w:rtl/>
        </w:rPr>
        <w:t>חו״מ</w:t>
      </w:r>
      <w:proofErr w:type="spellEnd"/>
      <w:r>
        <w:rPr>
          <w:sz w:val="20"/>
          <w:szCs w:val="20"/>
          <w:rtl/>
        </w:rPr>
        <w:t xml:space="preserve"> ססי׳ ק״ט.</w:t>
      </w:r>
    </w:p>
  </w:footnote>
  <w:footnote w:id="391">
    <w:p w14:paraId="21B6FA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בני ברק, תשנ״ב (להלן: “כתבי הסבא”) – כרך ב, עמ׳ </w:t>
      </w:r>
      <w:proofErr w:type="spellStart"/>
      <w:r>
        <w:rPr>
          <w:sz w:val="20"/>
          <w:szCs w:val="20"/>
          <w:rtl/>
        </w:rPr>
        <w:t>תשפז</w:t>
      </w:r>
      <w:proofErr w:type="spellEnd"/>
      <w:r>
        <w:rPr>
          <w:sz w:val="20"/>
          <w:szCs w:val="20"/>
          <w:rtl/>
        </w:rPr>
        <w:t>, אות כ.</w:t>
      </w:r>
    </w:p>
  </w:footnote>
  <w:footnote w:id="392">
    <w:p w14:paraId="03C79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לא ברור שם אם שמע ר׳ גרשון את המעשה מר׳ נפתלי אמסטרדם (השווה פרק 4.2).</w:t>
      </w:r>
    </w:p>
  </w:footnote>
  <w:footnote w:id="393">
    <w:p w14:paraId="1A921A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207.</w:t>
      </w:r>
    </w:p>
  </w:footnote>
  <w:footnote w:id="394">
    <w:p w14:paraId="721E04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395">
    <w:p w14:paraId="04A73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עירובין י״ג ע״ב, שבו נאמר כלל זה על מחלוקת בית שמאי ובית הלל, וגיטין ו׳ ע״ב, על מחלוקת האמוראים ר׳ אביתר ור׳ יונתן.</w:t>
      </w:r>
    </w:p>
  </w:footnote>
  <w:footnote w:id="396">
    <w:p w14:paraId="1D95D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 שכל הצרות הפוקדות את הכלל כולו נחשבות סכנת נפשות.</w:t>
      </w:r>
    </w:p>
  </w:footnote>
  <w:footnote w:id="397">
    <w:p w14:paraId="180680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398">
    <w:p w14:paraId="4C78CE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לדמות להנהגה זו המשל של שו״ת </w:t>
      </w:r>
      <w:proofErr w:type="spellStart"/>
      <w:r>
        <w:rPr>
          <w:sz w:val="20"/>
          <w:szCs w:val="20"/>
          <w:rtl/>
        </w:rPr>
        <w:t>הרי״ד</w:t>
      </w:r>
      <w:proofErr w:type="spellEnd"/>
      <w:r>
        <w:rPr>
          <w:sz w:val="20"/>
          <w:szCs w:val="20"/>
          <w:rtl/>
        </w:rPr>
        <w:t xml:space="preserve"> (ירושלים, תשכ״ז) סי׳ ס״ב על מה שבכוחנו לסתור דברי </w:t>
      </w:r>
      <w:proofErr w:type="spellStart"/>
      <w:r>
        <w:rPr>
          <w:sz w:val="20"/>
          <w:szCs w:val="20"/>
          <w:rtl/>
        </w:rPr>
        <w:t>קדמונינו</w:t>
      </w:r>
      <w:proofErr w:type="spellEnd"/>
      <w:r>
        <w:rPr>
          <w:sz w:val="20"/>
          <w:szCs w:val="20"/>
          <w:rtl/>
        </w:rPr>
        <w:t xml:space="preserve">, והוא, שאנחנו דומים לננסים שמורכבים על </w:t>
      </w:r>
      <w:proofErr w:type="spellStart"/>
      <w:r>
        <w:rPr>
          <w:sz w:val="20"/>
          <w:szCs w:val="20"/>
          <w:rtl/>
        </w:rPr>
        <w:t>צוארי</w:t>
      </w:r>
      <w:proofErr w:type="spellEnd"/>
      <w:r>
        <w:rPr>
          <w:sz w:val="20"/>
          <w:szCs w:val="20"/>
          <w:rtl/>
        </w:rPr>
        <w:t xml:space="preserve"> ענקים ורואים למרחוק מהם, כך ראה את עצמו שיכול לחלוק על מנהג בראייתו הוא, ולמרות זאת המנהג הקיים עפ״י ענקים </w:t>
      </w:r>
      <w:proofErr w:type="spellStart"/>
      <w:r>
        <w:rPr>
          <w:sz w:val="20"/>
          <w:szCs w:val="20"/>
          <w:rtl/>
        </w:rPr>
        <w:t>שקדמוהו</w:t>
      </w:r>
      <w:proofErr w:type="spellEnd"/>
      <w:r>
        <w:rPr>
          <w:sz w:val="20"/>
          <w:szCs w:val="20"/>
          <w:rtl/>
        </w:rPr>
        <w:t xml:space="preserve"> נשאר תקף לאחרים.</w:t>
      </w:r>
    </w:p>
  </w:footnote>
  <w:footnote w:id="399">
    <w:p w14:paraId="51A83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של נספח </w:t>
      </w:r>
      <w:proofErr w:type="spellStart"/>
      <w:r>
        <w:rPr>
          <w:sz w:val="20"/>
          <w:szCs w:val="20"/>
          <w:rtl/>
        </w:rPr>
        <w:t>כו</w:t>
      </w:r>
      <w:proofErr w:type="spellEnd"/>
      <w:r>
        <w:rPr>
          <w:sz w:val="20"/>
          <w:szCs w:val="20"/>
          <w:rtl/>
        </w:rPr>
        <w:t xml:space="preserve">, שהנוהגים כפסקי הגאון מווילנה הקפידו במיוחד לעשות כן רק בצנעה.</w:t>
      </w:r>
    </w:p>
  </w:footnote>
  <w:footnote w:id="400">
    <w:p w14:paraId="3C65BB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01">
    <w:p w14:paraId="25D289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8 במרץ 1997. השווה כרך 3 עד כמה היה ר׳ פרץ </w:t>
      </w:r>
      <w:proofErr w:type="spellStart"/>
      <w:r>
        <w:rPr>
          <w:sz w:val="20"/>
          <w:szCs w:val="20"/>
          <w:rtl/>
        </w:rPr>
        <w:t>פוזן</w:t>
      </w:r>
      <w:proofErr w:type="spellEnd"/>
      <w:r>
        <w:rPr>
          <w:sz w:val="20"/>
          <w:szCs w:val="20"/>
          <w:rtl/>
        </w:rPr>
        <w:t xml:space="preserve"> קרוב לרבנו.</w:t>
      </w:r>
    </w:p>
  </w:footnote>
  <w:footnote w:id="402">
    <w:p w14:paraId="18EA1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במרץ 1988.</w:t>
      </w:r>
    </w:p>
  </w:footnote>
  <w:footnote w:id="403">
    <w:p w14:paraId="68329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404">
    <w:p w14:paraId="78975B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ע״י מכון המאור, ירושלים, תשל״ה.</w:t>
      </w:r>
    </w:p>
  </w:footnote>
  <w:footnote w:id="405">
    <w:p w14:paraId="619B6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יא, א–ט.</w:t>
      </w:r>
    </w:p>
  </w:footnote>
  <w:footnote w:id="406">
    <w:p w14:paraId="21573F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ויקרא רבה ה, א.</w:t>
      </w:r>
    </w:p>
  </w:footnote>
  <w:footnote w:id="407">
    <w:p w14:paraId="2B2E7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כו</w:t>
      </w:r>
      <w:proofErr w:type="spellEnd"/>
      <w:r>
        <w:rPr>
          <w:sz w:val="20"/>
          <w:szCs w:val="20"/>
          <w:rtl/>
        </w:rPr>
        <w:t>, שגרסה אנגלית בת זמננו, “מעובדת מתוך” ספר עברי, השמיטה מעשה מסתורי.</w:t>
      </w:r>
    </w:p>
  </w:footnote>
  <w:footnote w:id="408">
    <w:p w14:paraId="31A5E9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הצפון”, </w:t>
      </w:r>
      <w:proofErr w:type="spellStart"/>
      <w:r>
        <w:rPr>
          <w:sz w:val="20"/>
          <w:szCs w:val="20"/>
          <w:rtl/>
        </w:rPr>
        <w:t>ח״ב</w:t>
      </w:r>
      <w:proofErr w:type="spellEnd"/>
      <w:r>
        <w:rPr>
          <w:sz w:val="20"/>
          <w:szCs w:val="20"/>
          <w:rtl/>
        </w:rPr>
        <w:t xml:space="preserve"> (הועד להוצאת מאמרי מרן הסבא </w:t>
      </w:r>
      <w:proofErr w:type="spellStart"/>
      <w:r>
        <w:rPr>
          <w:sz w:val="20"/>
          <w:szCs w:val="20"/>
          <w:rtl/>
        </w:rPr>
        <w:t>מסלבודקה</w:t>
      </w:r>
      <w:proofErr w:type="spellEnd"/>
      <w:r>
        <w:rPr>
          <w:sz w:val="20"/>
          <w:szCs w:val="20"/>
          <w:rtl/>
        </w:rPr>
        <w:t xml:space="preserve"> זצ״ל, ירושלים, תשכ״ח; בעריכת הרב דב כץ), עמ׳ </w:t>
      </w:r>
      <w:proofErr w:type="spellStart"/>
      <w:r>
        <w:rPr>
          <w:sz w:val="20"/>
          <w:szCs w:val="20"/>
          <w:rtl/>
        </w:rPr>
        <w:t>רכט</w:t>
      </w:r>
      <w:proofErr w:type="spellEnd"/>
      <w:r>
        <w:rPr>
          <w:sz w:val="20"/>
          <w:szCs w:val="20"/>
          <w:rtl/>
        </w:rPr>
        <w:t xml:space="preserve">. והשווה גם פרק 4, הערה 55, הערת שוליים </w:t>
      </w:r>
      <w:r>
        <w:rPr>
          <w:sz w:val="20"/>
          <w:szCs w:val="20"/>
          <w:rtl/>
        </w:rPr>
        <w:fldChar w:fldCharType="begin" w:dirty="true"/>
      </w:r>
      <w:r>
        <w:rPr>
          <w:sz w:val="20"/>
          <w:szCs w:val="20"/>
          <w:rtl/>
        </w:rPr>
        <w:instrText xml:space="preserve"> NOTEREF pr_f_3097 \h </w:instrText>
      </w:r>
      <w:r>
        <w:rPr>
          <w:sz w:val="20"/>
          <w:szCs w:val="20"/>
          <w:rtl/>
        </w:rPr>
      </w:r>
      <w:r>
        <w:rPr>
          <w:sz w:val="20"/>
          <w:szCs w:val="20"/>
          <w:rtl/>
        </w:rPr>
        <w:fldChar w:fldCharType="separate"/>
      </w:r>
      <w:r w:rsidR="007923E9">
        <w:rPr>
          <w:sz w:val="20"/>
          <w:szCs w:val="20"/>
          <w:rtl/>
        </w:rPr>
        <w:t>174</w:t>
      </w:r>
      <w:r>
        <w:rPr>
          <w:sz w:val="20"/>
          <w:szCs w:val="20"/>
          <w:rtl/>
        </w:rPr>
        <w:fldChar w:fldCharType="end"/>
      </w:r>
      <w:r>
        <w:rPr>
          <w:sz w:val="20"/>
          <w:szCs w:val="20"/>
          <w:rtl/>
        </w:rPr>
        <w:t xml:space="preserve">, שבה מובאים עוד שני מכתבים של הסבא שלא היו ידועים </w:t>
      </w:r>
      <w:proofErr w:type="spellStart"/>
      <w:r>
        <w:rPr>
          <w:sz w:val="20"/>
          <w:szCs w:val="20"/>
          <w:rtl/>
        </w:rPr>
        <w:t>לר</w:t>
      </w:r>
      <w:proofErr w:type="spellEnd"/>
      <w:r>
        <w:rPr>
          <w:sz w:val="20"/>
          <w:szCs w:val="20"/>
          <w:rtl/>
        </w:rPr>
        <w:t>׳ דב כץ.</w:t>
      </w:r>
    </w:p>
  </w:footnote>
  <w:footnote w:id="409">
    <w:p w14:paraId="44F6D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א, ה.</w:t>
      </w:r>
    </w:p>
  </w:footnote>
  <w:footnote w:id="410">
    <w:p w14:paraId="4C2FF2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בראשית רבה שם.</w:t>
      </w:r>
    </w:p>
  </w:footnote>
  <w:footnote w:id="411">
    <w:p w14:paraId="66832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“יום” שבתחילת הפסוק מתפרשת שם כמשל למעשיהם של הצדיקים. השווה פרק 3, תחילת נספח א: ההערה שהעיר הסבא לאבי על הפירוש המדעי שכתב הסבא למאמר חז״ל ופרסם בעילום שם בביטאון “עץ פרי” בשנת תרמ״א. כשכתב הסבא לבנו את המכתב הזה, שאינו מתוארך, כבר התרחק כמובן שנות אור ממה שכינה </w:t>
      </w:r>
      <w:proofErr w:type="spellStart"/>
      <w:r>
        <w:rPr>
          <w:sz w:val="20"/>
          <w:szCs w:val="20"/>
          <w:rtl/>
        </w:rPr>
        <w:t>ה“פלירטוט</w:t>
      </w:r>
      <w:proofErr w:type="spellEnd"/>
      <w:r>
        <w:rPr>
          <w:sz w:val="20"/>
          <w:szCs w:val="20"/>
          <w:rtl/>
        </w:rPr>
        <w:t>” שלו עם ההשכלה.</w:t>
      </w:r>
    </w:p>
  </w:footnote>
  <w:footnote w:id="412">
    <w:p w14:paraId="519E47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תשמ״ח (להלן: “בעקבות היראה”) – עמ׳ ז.</w:t>
      </w:r>
    </w:p>
  </w:footnote>
  <w:footnote w:id="413">
    <w:p w14:paraId="401941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הפסקה החמישית של נספח ו. חתן נוסף של “הגדול”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(נולד תר״ל), רבה האחרון של קובנה – השווה פרק 3, הערה 17.</w:t>
      </w:r>
    </w:p>
  </w:footnote>
  <w:footnote w:id="414">
    <w:p w14:paraId="23F57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מוסד הרב קוק, ירושלים, תשמ״ד, יומנו של ר׳ </w:t>
      </w:r>
      <w:proofErr w:type="spellStart"/>
      <w:r>
        <w:rPr>
          <w:sz w:val="20"/>
          <w:szCs w:val="20"/>
          <w:rtl/>
        </w:rPr>
        <w:t>אליהו־דוד</w:t>
      </w:r>
      <w:proofErr w:type="spellEnd"/>
      <w:r>
        <w:rPr>
          <w:sz w:val="20"/>
          <w:szCs w:val="20"/>
          <w:rtl/>
        </w:rPr>
        <w:t xml:space="preserve"> </w:t>
      </w:r>
      <w:proofErr w:type="spellStart"/>
      <w:r>
        <w:rPr>
          <w:sz w:val="20"/>
          <w:szCs w:val="20"/>
          <w:rtl/>
        </w:rPr>
        <w:t>רבינוביץ־תאומים</w:t>
      </w:r>
      <w:proofErr w:type="spellEnd"/>
      <w:r>
        <w:rPr>
          <w:sz w:val="20"/>
          <w:szCs w:val="20"/>
          <w:rtl/>
        </w:rPr>
        <w:t xml:space="preserve"> (הידוע בראשי התיבות של שמו, </w:t>
      </w:r>
      <w:proofErr w:type="spellStart"/>
      <w:r>
        <w:rPr>
          <w:sz w:val="20"/>
          <w:szCs w:val="20"/>
          <w:rtl/>
        </w:rPr>
        <w:t>האדר״ת</w:t>
      </w:r>
      <w:proofErr w:type="spellEnd"/>
      <w:r>
        <w:rPr>
          <w:sz w:val="20"/>
          <w:szCs w:val="20"/>
          <w:rtl/>
        </w:rPr>
        <w:t>) – עמ׳ 97.</w:t>
      </w:r>
    </w:p>
  </w:footnote>
  <w:footnote w:id="415">
    <w:p w14:paraId="1B9166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הובא לדפוס בידי ר׳ שלמה סלונים, </w:t>
      </w:r>
      <w:proofErr w:type="spellStart"/>
      <w:r>
        <w:rPr>
          <w:sz w:val="20"/>
          <w:szCs w:val="20"/>
          <w:rtl/>
        </w:rPr>
        <w:t>נינו</w:t>
      </w:r>
      <w:proofErr w:type="spellEnd"/>
      <w:r>
        <w:rPr>
          <w:sz w:val="20"/>
          <w:szCs w:val="20"/>
          <w:rtl/>
        </w:rPr>
        <w:t xml:space="preserve"> של “הגדול”, אחרי שכתב היד היה אבוד שמונים שנה!</w:t>
      </w:r>
    </w:p>
  </w:footnote>
  <w:footnote w:id="416">
    <w:p w14:paraId="34238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פלדהיים</w:t>
      </w:r>
      <w:proofErr w:type="spellEnd"/>
      <w:r>
        <w:rPr>
          <w:sz w:val="20"/>
          <w:szCs w:val="20"/>
          <w:rtl/>
        </w:rPr>
        <w:t>, ירושלים–ניו יורק, 1991 – עמ׳ 100.</w:t>
      </w:r>
    </w:p>
  </w:footnote>
  <w:footnote w:id="417">
    <w:p w14:paraId="52F7D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18">
    <w:p w14:paraId="09AD0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1987.</w:t>
      </w:r>
    </w:p>
  </w:footnote>
  <w:footnote w:id="419">
    <w:p w14:paraId="4E19F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w:t>
      </w:r>
      <w:r>
        <w:rPr>
          <w:sz w:val="20"/>
          <w:szCs w:val="20"/>
          <w:rtl/>
        </w:rPr>
        <w:t>) – עמ׳ 94.</w:t>
      </w:r>
    </w:p>
  </w:footnote>
  <w:footnote w:id="420">
    <w:p w14:paraId="54A9B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עמ׳ 495.</w:t>
      </w:r>
    </w:p>
  </w:footnote>
  <w:footnote w:id="421">
    <w:p w14:paraId="0DD459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בנובמבר 1990.</w:t>
      </w:r>
    </w:p>
  </w:footnote>
  <w:footnote w:id="422">
    <w:p w14:paraId="26712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מאת הרב חיים </w:t>
      </w:r>
      <w:proofErr w:type="spellStart"/>
      <w:r>
        <w:rPr>
          <w:sz w:val="20"/>
          <w:szCs w:val="20"/>
          <w:rtl/>
        </w:rPr>
        <w:t>קרלינסקי</w:t>
      </w:r>
      <w:proofErr w:type="spellEnd"/>
      <w:r>
        <w:rPr>
          <w:sz w:val="20"/>
          <w:szCs w:val="20"/>
          <w:rtl/>
        </w:rPr>
        <w:t xml:space="preserve">, מכון ירושלים, </w:t>
      </w:r>
      <w:proofErr w:type="spellStart"/>
      <w:r>
        <w:rPr>
          <w:sz w:val="20"/>
          <w:szCs w:val="20"/>
          <w:rtl/>
        </w:rPr>
        <w:t>תשד״ם</w:t>
      </w:r>
      <w:proofErr w:type="spellEnd"/>
      <w:r>
        <w:rPr>
          <w:sz w:val="20"/>
          <w:szCs w:val="20"/>
          <w:rtl/>
        </w:rPr>
        <w:t xml:space="preserve"> (להלן: “הראשון לשושלת </w:t>
      </w:r>
      <w:proofErr w:type="spellStart"/>
      <w:r>
        <w:rPr>
          <w:sz w:val="20"/>
          <w:szCs w:val="20"/>
          <w:rtl/>
        </w:rPr>
        <w:t>בריסק</w:t>
      </w:r>
      <w:proofErr w:type="spellEnd"/>
      <w:r>
        <w:rPr>
          <w:sz w:val="20"/>
          <w:szCs w:val="20"/>
          <w:rtl/>
        </w:rPr>
        <w:t>”), עמ׳ 52–56.</w:t>
      </w:r>
    </w:p>
  </w:footnote>
  <w:footnote w:id="423">
    <w:p w14:paraId="5E330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מסרה ב־7 באוקטובר 1999 רוז </w:t>
      </w:r>
      <w:proofErr w:type="spellStart"/>
      <w:r>
        <w:rPr>
          <w:sz w:val="20"/>
          <w:szCs w:val="20"/>
          <w:rtl/>
        </w:rPr>
        <w:t>להרר־כהן</w:t>
      </w:r>
      <w:proofErr w:type="spellEnd"/>
      <w:r>
        <w:rPr>
          <w:sz w:val="20"/>
          <w:szCs w:val="20"/>
          <w:rtl/>
        </w:rPr>
        <w:t xml:space="preserve"> מיוהנסבורג שבדרום אפריקה, בשם אמה, שהייתה </w:t>
      </w:r>
      <w:proofErr w:type="spellStart"/>
      <w:r>
        <w:rPr>
          <w:sz w:val="20"/>
          <w:szCs w:val="20"/>
          <w:rtl/>
        </w:rPr>
        <w:t>מאוזוונט</w:t>
      </w:r>
      <w:proofErr w:type="spellEnd"/>
      <w:r>
        <w:rPr>
          <w:sz w:val="20"/>
          <w:szCs w:val="20"/>
          <w:rtl/>
        </w:rPr>
        <w:t xml:space="preserve"> אבל היו לה קרובים </w:t>
      </w:r>
      <w:proofErr w:type="spellStart"/>
      <w:r>
        <w:rPr>
          <w:sz w:val="20"/>
          <w:szCs w:val="20"/>
          <w:rtl/>
        </w:rPr>
        <w:t>בסלנט</w:t>
      </w:r>
      <w:proofErr w:type="spellEnd"/>
      <w:r>
        <w:rPr>
          <w:sz w:val="20"/>
          <w:szCs w:val="20"/>
          <w:rtl/>
        </w:rPr>
        <w:t>.</w:t>
      </w:r>
    </w:p>
  </w:footnote>
  <w:footnote w:id="424">
    <w:p w14:paraId="66C0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1968 – עמ׳ 61.</w:t>
      </w:r>
    </w:p>
  </w:footnote>
  <w:footnote w:id="425">
    <w:p w14:paraId="7E645C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“מינסק עיר ואם א”, עמ׳ 237.</w:t>
      </w:r>
    </w:p>
  </w:footnote>
  <w:footnote w:id="426">
    <w:p w14:paraId="6B4C6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למד שם חצי שנה – השווה כרך 2.</w:t>
      </w:r>
    </w:p>
  </w:footnote>
  <w:footnote w:id="427">
    <w:p w14:paraId="6D8E2D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ע״י האגודה התרבותית </w:t>
      </w:r>
      <w:proofErr w:type="spellStart"/>
      <w:r>
        <w:rPr>
          <w:sz w:val="20"/>
          <w:szCs w:val="20"/>
          <w:rtl/>
        </w:rPr>
        <w:t>היהודית־ליטאית</w:t>
      </w:r>
      <w:proofErr w:type="spellEnd"/>
      <w:r>
        <w:rPr>
          <w:sz w:val="20"/>
          <w:szCs w:val="20"/>
          <w:rtl/>
        </w:rPr>
        <w:t xml:space="preserve"> “</w:t>
      </w:r>
      <w:proofErr w:type="spellStart"/>
      <w:r>
        <w:rPr>
          <w:sz w:val="20"/>
          <w:szCs w:val="20"/>
          <w:rtl/>
        </w:rPr>
        <w:t>ליטע</w:t>
      </w:r>
      <w:proofErr w:type="spellEnd"/>
      <w:r>
        <w:rPr>
          <w:sz w:val="20"/>
          <w:szCs w:val="20"/>
          <w:rtl/>
        </w:rPr>
        <w:t>”, ניו יורק, 1951 (להלן: “</w:t>
      </w:r>
      <w:proofErr w:type="spellStart"/>
      <w:r>
        <w:rPr>
          <w:sz w:val="20"/>
          <w:szCs w:val="20"/>
          <w:rtl/>
        </w:rPr>
        <w:t>ליטע</w:t>
      </w:r>
      <w:proofErr w:type="spellEnd"/>
      <w:r>
        <w:rPr>
          <w:sz w:val="20"/>
          <w:szCs w:val="20"/>
          <w:rtl/>
        </w:rPr>
        <w:t>”) – עמ׳ 1439–1441.</w:t>
      </w:r>
    </w:p>
  </w:footnote>
  <w:footnote w:id="428">
    <w:p w14:paraId="026ABB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ספר חסידים אות תשיא.</w:t>
      </w:r>
    </w:p>
  </w:footnote>
  <w:footnote w:id="429">
    <w:p w14:paraId="53AFBE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כנראה תהלים צא – השווה שבועות ט״ו ע״ב, שיר של פגעים וברש״י שם.</w:t>
      </w:r>
    </w:p>
  </w:footnote>
  <w:footnote w:id="430">
    <w:p w14:paraId="183CA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41.</w:t>
      </w:r>
    </w:p>
  </w:footnote>
  <w:footnote w:id="431">
    <w:p w14:paraId="6A248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בינואר 1998.</w:t>
      </w:r>
    </w:p>
  </w:footnote>
  <w:footnote w:id="432">
    <w:p w14:paraId="154FCE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בדצמבר 1987.</w:t>
      </w:r>
    </w:p>
  </w:footnote>
  <w:footnote w:id="433">
    <w:p w14:paraId="31A39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הראשונה של נספח ד.</w:t>
      </w:r>
    </w:p>
  </w:footnote>
  <w:footnote w:id="434">
    <w:p w14:paraId="6BC0C7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בריאיון מוקלט עם כמה מחנכי תורה, בוגרי ישיבת רבנו ישראל מאיר הכהן, כשדיבר על כמה מקווי החינוך בישיבת </w:t>
      </w:r>
      <w:proofErr w:type="spellStart"/>
      <w:r>
        <w:rPr>
          <w:sz w:val="20"/>
          <w:szCs w:val="20"/>
          <w:rtl/>
        </w:rPr>
        <w:t>סלבודקה</w:t>
      </w:r>
      <w:proofErr w:type="spellEnd"/>
      <w:r>
        <w:rPr>
          <w:sz w:val="20"/>
          <w:szCs w:val="20"/>
          <w:rtl/>
        </w:rPr>
        <w:t>.</w:t>
      </w:r>
    </w:p>
  </w:footnote>
  <w:footnote w:id="435">
    <w:p w14:paraId="5DC52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בעניין </w:t>
      </w:r>
      <w:proofErr w:type="spellStart"/>
      <w:r>
        <w:rPr>
          <w:sz w:val="20"/>
          <w:szCs w:val="20"/>
          <w:rtl/>
        </w:rPr>
        <w:t>ה“פשט</w:t>
      </w:r>
      <w:proofErr w:type="spellEnd"/>
      <w:r>
        <w:rPr>
          <w:sz w:val="20"/>
          <w:szCs w:val="20"/>
          <w:rtl/>
        </w:rPr>
        <w:t xml:space="preserve">” של אבי שמשנה מסוימת נלמדה קודם זמן המבול (עמ׳ </w:t>
      </w:r>
      <w:r>
        <w:rPr>
          <w:sz w:val="20"/>
          <w:szCs w:val="20"/>
          <w:rtl/>
        </w:rPr>
        <w:fldChar w:fldCharType="begin" w:dirty="true"/>
      </w:r>
      <w:r>
        <w:rPr>
          <w:sz w:val="20"/>
          <w:szCs w:val="20"/>
          <w:rtl/>
        </w:rPr>
        <w:instrText xml:space="preserve"> PAGEREF pr_b_359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ב־2 ביוני 2002, כשכתיבת ספר זה הגיעה לסיומה, מסר ר׳ יעקב </w:t>
      </w:r>
      <w:proofErr w:type="spellStart"/>
      <w:r>
        <w:rPr>
          <w:sz w:val="20"/>
          <w:szCs w:val="20"/>
          <w:rtl/>
        </w:rPr>
        <w:t>לויסון</w:t>
      </w:r>
      <w:proofErr w:type="spellEnd"/>
      <w:r>
        <w:rPr>
          <w:sz w:val="20"/>
          <w:szCs w:val="20"/>
          <w:rtl/>
        </w:rPr>
        <w:t xml:space="preserve"> בשם ר׳ יעקב </w:t>
      </w:r>
      <w:proofErr w:type="spellStart"/>
      <w:r>
        <w:rPr>
          <w:sz w:val="20"/>
          <w:szCs w:val="20"/>
          <w:rtl/>
        </w:rPr>
        <w:t>יאפען</w:t>
      </w:r>
      <w:proofErr w:type="spellEnd"/>
      <w:r>
        <w:rPr>
          <w:sz w:val="20"/>
          <w:szCs w:val="20"/>
          <w:rtl/>
        </w:rPr>
        <w:t xml:space="preserve"> שדרך הלימוד הרווחת בישיבות אמריקה כיום הייתה טובה ויפה בתקופה שלפני המבול, כשאנשים חיו שמונה מאות שנה והיה להם די זמן לעבור על הש״ס אפילו כשלמדו דפים מעטים בכל זמן – ראה פרק 3, הערה 129. אבל אחרי המבול דרך זו הרת אסון.</w:t>
      </w:r>
    </w:p>
  </w:footnote>
  <w:footnote w:id="436">
    <w:p w14:paraId="70BBD4E7"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מינסק נזכרת לראשונה בכרוניקה הרוסית הקדומה כבר בשנת </w:t>
      </w:r>
      <w:proofErr w:type="spellStart"/>
      <w:r>
        <w:rPr>
          <w:sz w:val="20"/>
          <w:szCs w:val="20"/>
          <w:rtl/>
        </w:rPr>
        <w:t>ד׳תתכ״ז</w:t>
      </w:r>
      <w:proofErr w:type="spellEnd"/>
      <w:r>
        <w:rPr>
          <w:sz w:val="20"/>
          <w:szCs w:val="20"/>
          <w:rtl/>
        </w:rPr>
        <w:t>, בקשר לקרב על נהר נמיגה – כמאתיים שנה לפני הזמן הנזכר כאן.</w:t>
      </w:r>
    </w:p>
  </w:footnote>
  <w:footnote w:id="437">
    <w:p w14:paraId="70E3A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בשם “</w:t>
      </w:r>
      <w:proofErr w:type="spellStart"/>
      <w:r>
        <w:rPr>
          <w:sz w:val="20"/>
          <w:szCs w:val="20"/>
          <w:rtl/>
        </w:rPr>
        <w:t>וואס</w:t>
      </w:r>
      <w:proofErr w:type="spellEnd"/>
      <w:r>
        <w:rPr>
          <w:sz w:val="20"/>
          <w:szCs w:val="20"/>
          <w:rtl/>
        </w:rPr>
        <w:t xml:space="preserve"> </w:t>
      </w:r>
      <w:proofErr w:type="spellStart"/>
      <w:r>
        <w:rPr>
          <w:sz w:val="20"/>
          <w:szCs w:val="20"/>
          <w:rtl/>
        </w:rPr>
        <w:t>ווילנע</w:t>
      </w:r>
      <w:proofErr w:type="spellEnd"/>
      <w:r>
        <w:rPr>
          <w:sz w:val="20"/>
          <w:szCs w:val="20"/>
          <w:rtl/>
        </w:rPr>
        <w:t xml:space="preserve"> און מינסק </w:t>
      </w:r>
      <w:proofErr w:type="spellStart"/>
      <w:r>
        <w:rPr>
          <w:sz w:val="20"/>
          <w:szCs w:val="20"/>
          <w:rtl/>
        </w:rPr>
        <w:t>האבען</w:t>
      </w:r>
      <w:proofErr w:type="spellEnd"/>
      <w:r>
        <w:rPr>
          <w:sz w:val="20"/>
          <w:szCs w:val="20"/>
          <w:rtl/>
        </w:rPr>
        <w:t xml:space="preserve"> </w:t>
      </w:r>
      <w:proofErr w:type="spellStart"/>
      <w:r>
        <w:rPr>
          <w:sz w:val="20"/>
          <w:szCs w:val="20"/>
          <w:rtl/>
        </w:rPr>
        <w:t>געמיינט</w:t>
      </w:r>
      <w:proofErr w:type="spellEnd"/>
      <w:r>
        <w:rPr>
          <w:sz w:val="20"/>
          <w:szCs w:val="20"/>
          <w:rtl/>
        </w:rPr>
        <w:t xml:space="preserve"> אין </w:t>
      </w:r>
      <w:proofErr w:type="spellStart"/>
      <w:r>
        <w:rPr>
          <w:sz w:val="20"/>
          <w:szCs w:val="20"/>
          <w:rtl/>
        </w:rPr>
        <w:t>אידישען</w:t>
      </w:r>
      <w:proofErr w:type="spellEnd"/>
      <w:r>
        <w:rPr>
          <w:sz w:val="20"/>
          <w:szCs w:val="20"/>
          <w:rtl/>
        </w:rPr>
        <w:t xml:space="preserve"> </w:t>
      </w:r>
      <w:proofErr w:type="spellStart"/>
      <w:r>
        <w:rPr>
          <w:sz w:val="20"/>
          <w:szCs w:val="20"/>
          <w:rtl/>
        </w:rPr>
        <w:t>לעבען</w:t>
      </w:r>
      <w:proofErr w:type="spellEnd"/>
      <w:r>
        <w:rPr>
          <w:sz w:val="20"/>
          <w:szCs w:val="20"/>
          <w:rtl/>
        </w:rPr>
        <w:t xml:space="preserve"> </w:t>
      </w:r>
      <w:proofErr w:type="spellStart"/>
      <w:r>
        <w:rPr>
          <w:sz w:val="20"/>
          <w:szCs w:val="20"/>
          <w:rtl/>
        </w:rPr>
        <w:t>איידער</w:t>
      </w:r>
      <w:proofErr w:type="spellEnd"/>
      <w:r>
        <w:rPr>
          <w:sz w:val="20"/>
          <w:szCs w:val="20"/>
          <w:rtl/>
        </w:rPr>
        <w:t xml:space="preserve"> </w:t>
      </w:r>
      <w:proofErr w:type="spellStart"/>
      <w:r>
        <w:rPr>
          <w:sz w:val="20"/>
          <w:szCs w:val="20"/>
          <w:rtl/>
        </w:rPr>
        <w:t>זיי</w:t>
      </w:r>
      <w:proofErr w:type="spellEnd"/>
      <w:r>
        <w:rPr>
          <w:sz w:val="20"/>
          <w:szCs w:val="20"/>
          <w:rtl/>
        </w:rPr>
        <w:t xml:space="preserve"> </w:t>
      </w:r>
      <w:proofErr w:type="spellStart"/>
      <w:r>
        <w:rPr>
          <w:sz w:val="20"/>
          <w:szCs w:val="20"/>
          <w:rtl/>
        </w:rPr>
        <w:t>זיינען</w:t>
      </w:r>
      <w:proofErr w:type="spellEnd"/>
      <w:r>
        <w:rPr>
          <w:sz w:val="20"/>
          <w:szCs w:val="20"/>
          <w:rtl/>
        </w:rPr>
        <w:t xml:space="preserve"> </w:t>
      </w:r>
      <w:proofErr w:type="spellStart"/>
      <w:r>
        <w:rPr>
          <w:sz w:val="20"/>
          <w:szCs w:val="20"/>
          <w:rtl/>
        </w:rPr>
        <w:t>צוטיילט</w:t>
      </w:r>
      <w:proofErr w:type="spellEnd"/>
      <w:r>
        <w:rPr>
          <w:sz w:val="20"/>
          <w:szCs w:val="20"/>
          <w:rtl/>
        </w:rPr>
        <w:t xml:space="preserve"> </w:t>
      </w:r>
      <w:proofErr w:type="spellStart"/>
      <w:r>
        <w:rPr>
          <w:sz w:val="20"/>
          <w:szCs w:val="20"/>
          <w:rtl/>
        </w:rPr>
        <w:t>געווארען</w:t>
      </w:r>
      <w:proofErr w:type="spellEnd"/>
      <w:r>
        <w:rPr>
          <w:sz w:val="20"/>
          <w:szCs w:val="20"/>
          <w:rtl/>
        </w:rPr>
        <w:t xml:space="preserve"> </w:t>
      </w:r>
      <w:proofErr w:type="spellStart"/>
      <w:r>
        <w:rPr>
          <w:sz w:val="20"/>
          <w:szCs w:val="20"/>
          <w:rtl/>
        </w:rPr>
        <w:t>נאך</w:t>
      </w:r>
      <w:proofErr w:type="spellEnd"/>
      <w:r>
        <w:rPr>
          <w:sz w:val="20"/>
          <w:szCs w:val="20"/>
          <w:rtl/>
        </w:rPr>
        <w:t xml:space="preserve"> </w:t>
      </w:r>
      <w:proofErr w:type="spellStart"/>
      <w:r>
        <w:rPr>
          <w:sz w:val="20"/>
          <w:szCs w:val="20"/>
          <w:rtl/>
        </w:rPr>
        <w:t>דער</w:t>
      </w:r>
      <w:proofErr w:type="spellEnd"/>
      <w:r>
        <w:rPr>
          <w:sz w:val="20"/>
          <w:szCs w:val="20"/>
          <w:rtl/>
        </w:rPr>
        <w:t xml:space="preserve"> </w:t>
      </w:r>
      <w:proofErr w:type="spellStart"/>
      <w:r>
        <w:rPr>
          <w:sz w:val="20"/>
          <w:szCs w:val="20"/>
          <w:rtl/>
        </w:rPr>
        <w:t>וועלט</w:t>
      </w:r>
      <w:proofErr w:type="spellEnd"/>
      <w:r>
        <w:rPr>
          <w:sz w:val="20"/>
          <w:szCs w:val="20"/>
          <w:rtl/>
        </w:rPr>
        <w:t xml:space="preserve"> מלחמה” (מה היו וילנה ומינסק בחיים היהודיים לפני שנפרדו זו מזו אחרי מלחמת העולם) מאת א. </w:t>
      </w:r>
      <w:proofErr w:type="spellStart"/>
      <w:r>
        <w:rPr>
          <w:sz w:val="20"/>
          <w:szCs w:val="20"/>
          <w:rtl/>
        </w:rPr>
        <w:t>ליטווין</w:t>
      </w:r>
      <w:proofErr w:type="spellEnd"/>
      <w:r>
        <w:rPr>
          <w:sz w:val="20"/>
          <w:szCs w:val="20"/>
          <w:rtl/>
        </w:rPr>
        <w:t xml:space="preserve">,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עיתון יומי ביידיש, ניו יורק, 10 באפריל 1938.</w:t>
      </w:r>
    </w:p>
  </w:footnote>
  <w:footnote w:id="438">
    <w:p w14:paraId="68116E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אלא שנראה שבמשפחת </w:t>
      </w:r>
      <w:proofErr w:type="spellStart"/>
      <w:r>
        <w:rPr>
          <w:sz w:val="20"/>
          <w:szCs w:val="20"/>
          <w:rtl/>
        </w:rPr>
        <w:t>סולובייצ׳יק</w:t>
      </w:r>
      <w:proofErr w:type="spellEnd"/>
      <w:r>
        <w:rPr>
          <w:sz w:val="20"/>
          <w:szCs w:val="20"/>
          <w:rtl/>
        </w:rPr>
        <w:t xml:space="preserve"> לא היה מנהג כזה, שכן “עובדות והנהגות לבית </w:t>
      </w:r>
      <w:proofErr w:type="spellStart"/>
      <w:r>
        <w:rPr>
          <w:sz w:val="20"/>
          <w:szCs w:val="20"/>
          <w:rtl/>
        </w:rPr>
        <w:t>בריסק</w:t>
      </w:r>
      <w:proofErr w:type="spellEnd"/>
      <w:r>
        <w:rPr>
          <w:sz w:val="20"/>
          <w:szCs w:val="20"/>
          <w:rtl/>
        </w:rPr>
        <w:t xml:space="preserve">” (הנ״ל, פרק 1, הפסקה השנייה בהערה 21), חלק ב, עמ׳ </w:t>
      </w:r>
      <w:proofErr w:type="spellStart"/>
      <w:r>
        <w:rPr>
          <w:sz w:val="20"/>
          <w:szCs w:val="20"/>
          <w:rtl/>
        </w:rPr>
        <w:t>יב</w:t>
      </w:r>
      <w:proofErr w:type="spellEnd"/>
      <w:r>
        <w:rPr>
          <w:sz w:val="20"/>
          <w:szCs w:val="20"/>
          <w:rtl/>
        </w:rPr>
        <w:t xml:space="preserve">, מספר שר׳ יצחק־זאב </w:t>
      </w:r>
      <w:proofErr w:type="spellStart"/>
      <w:r>
        <w:rPr>
          <w:sz w:val="20"/>
          <w:szCs w:val="20"/>
          <w:rtl/>
        </w:rPr>
        <w:t>סולובייצ׳יק</w:t>
      </w:r>
      <w:proofErr w:type="spellEnd"/>
      <w:r>
        <w:rPr>
          <w:sz w:val="20"/>
          <w:szCs w:val="20"/>
          <w:rtl/>
        </w:rPr>
        <w:t>, בנו של ר׳ חיים, הרשה לנער בר מצווה לומר אחד מחידושיו שלו.</w:t>
      </w:r>
    </w:p>
  </w:footnote>
  <w:footnote w:id="439">
    <w:p w14:paraId="7FB9F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ביולי 1997.</w:t>
      </w:r>
    </w:p>
  </w:footnote>
  <w:footnote w:id="440">
    <w:p w14:paraId="1D3F8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השלישית מהסוף בפרק 5.2, ופרק 3, הפסקה הראשונה בנספח </w:t>
      </w:r>
      <w:proofErr w:type="spellStart"/>
      <w:r>
        <w:rPr>
          <w:sz w:val="20"/>
          <w:szCs w:val="20"/>
          <w:rtl/>
        </w:rPr>
        <w:t>יח</w:t>
      </w:r>
      <w:proofErr w:type="spellEnd"/>
      <w:r>
        <w:rPr>
          <w:sz w:val="20"/>
          <w:szCs w:val="20"/>
          <w:rtl/>
        </w:rPr>
        <w:t>.</w:t>
      </w:r>
    </w:p>
  </w:footnote>
  <w:footnote w:id="441">
    <w:p w14:paraId="29188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רצו.</w:t>
      </w:r>
    </w:p>
  </w:footnote>
  <w:footnote w:id="442">
    <w:p w14:paraId="2CFD91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הראשונה בנספח ח.</w:t>
      </w:r>
    </w:p>
  </w:footnote>
  <w:footnote w:id="443">
    <w:p w14:paraId="16B981CB"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בחלוקת תקנ״ג, השנייה מחלוקות פולין, השתתפו רוסיה ופרוסיה בלבד; אוסטריה נטלה חלק בחלוקות של תקל״ב </w:t>
      </w:r>
      <w:proofErr w:type="spellStart"/>
      <w:r>
        <w:rPr>
          <w:sz w:val="20"/>
          <w:szCs w:val="20"/>
          <w:rtl/>
        </w:rPr>
        <w:t>ותקנ״ה</w:t>
      </w:r>
      <w:proofErr w:type="spellEnd"/>
      <w:r>
        <w:rPr>
          <w:sz w:val="20"/>
          <w:szCs w:val="20"/>
          <w:rtl/>
        </w:rPr>
        <w:t>.</w:t>
      </w:r>
    </w:p>
  </w:footnote>
  <w:footnote w:id="444">
    <w:p w14:paraId="65B4F7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“מינסק עיר ואם” (הנ״ל, פרק 1, הערת שוליים </w:t>
      </w:r>
      <w:r>
        <w:rPr>
          <w:sz w:val="20"/>
          <w:szCs w:val="20"/>
          <w:rtl/>
        </w:rPr>
        <w:fldChar w:fldCharType="begin" w:dirty="true"/>
      </w:r>
      <w:r>
        <w:rPr>
          <w:sz w:val="20"/>
          <w:szCs w:val="20"/>
          <w:rtl/>
        </w:rPr>
        <w:instrText xml:space="preserve"> NOTEREF pr_f_244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כרך 1, עמ׳ 11.</w:t>
      </w:r>
    </w:p>
  </w:footnote>
  <w:footnote w:id="445">
    <w:p w14:paraId="6A935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168.</w:t>
      </w:r>
    </w:p>
  </w:footnote>
  <w:footnote w:id="446">
    <w:p w14:paraId="30714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מרדכי </w:t>
      </w:r>
      <w:proofErr w:type="spellStart"/>
      <w:r>
        <w:rPr>
          <w:sz w:val="20"/>
          <w:szCs w:val="20"/>
          <w:rtl/>
        </w:rPr>
        <w:t>שעכטער</w:t>
      </w:r>
      <w:proofErr w:type="spellEnd"/>
      <w:r>
        <w:rPr>
          <w:sz w:val="20"/>
          <w:szCs w:val="20"/>
          <w:rtl/>
        </w:rPr>
        <w:t xml:space="preserve"> (הוצאת </w:t>
      </w:r>
      <w:proofErr w:type="spellStart"/>
      <w:r>
        <w:rPr>
          <w:sz w:val="20"/>
          <w:szCs w:val="20"/>
          <w:rtl/>
        </w:rPr>
        <w:t>ייווא</w:t>
      </w:r>
      <w:proofErr w:type="spellEnd"/>
      <w:r>
        <w:rPr>
          <w:sz w:val="20"/>
          <w:szCs w:val="20"/>
          <w:rtl/>
        </w:rPr>
        <w:t xml:space="preserve">, </w:t>
      </w:r>
      <w:proofErr w:type="spellStart"/>
      <w:r>
        <w:rPr>
          <w:sz w:val="20"/>
          <w:szCs w:val="20"/>
          <w:rtl/>
        </w:rPr>
        <w:t xml:space="preserve">ניו יורק</w:t>
      </w:r>
      <w:proofErr w:type="spellEnd"/>
      <w:r>
        <w:rPr>
          <w:sz w:val="20"/>
          <w:szCs w:val="20"/>
          <w:rtl/>
        </w:rPr>
        <w:t>, תשכ״ד).</w:t>
      </w:r>
    </w:p>
  </w:footnote>
  <w:footnote w:id="447">
    <w:p w14:paraId="042734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הרבנית של ר׳ ישראל מתה באותה מגפה – ראה כץ, “תנועת המוסר”, כרך א (הנ״ל, פרק 1, הערת שוליים </w:t>
      </w:r>
      <w:r>
        <w:rPr>
          <w:sz w:val="20"/>
          <w:szCs w:val="20"/>
          <w:rtl/>
        </w:rPr>
        <w:fldChar w:fldCharType="begin" w:dirty="true"/>
      </w:r>
      <w:r>
        <w:rPr>
          <w:sz w:val="20"/>
          <w:szCs w:val="20"/>
          <w:rtl/>
        </w:rPr>
        <w:instrText xml:space="preserve"> NOTEREF pr_f_277 \h </w:instrText>
      </w:r>
      <w:r>
        <w:rPr>
          <w:sz w:val="20"/>
          <w:szCs w:val="20"/>
          <w:rtl/>
        </w:rPr>
      </w:r>
      <w:r>
        <w:rPr>
          <w:sz w:val="20"/>
          <w:szCs w:val="20"/>
          <w:rtl/>
        </w:rPr>
        <w:fldChar w:fldCharType="separate"/>
      </w:r>
      <w:r w:rsidR="007923E9">
        <w:rPr>
          <w:sz w:val="20"/>
          <w:szCs w:val="20"/>
          <w:rtl/>
        </w:rPr>
        <w:t>220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pr_f_277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הערה 8 בעמ׳ 160.</w:t>
      </w:r>
    </w:p>
  </w:footnote>
  <w:footnote w:id="448">
    <w:p w14:paraId="6F1F8576"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צונזער</w:t>
      </w:r>
      <w:proofErr w:type="spellEnd"/>
      <w:r>
        <w:rPr>
          <w:sz w:val="20"/>
          <w:szCs w:val="20"/>
          <w:rtl/>
        </w:rPr>
        <w:t xml:space="preserve"> היגר לאמריקה עשר שנים קודם לכן, בשנת תרמ״ט או בתחילת </w:t>
      </w:r>
      <w:proofErr w:type="spellStart"/>
      <w:r>
        <w:rPr>
          <w:sz w:val="20"/>
          <w:szCs w:val="20"/>
          <w:rtl/>
        </w:rPr>
        <w:t>תר״ן</w:t>
      </w:r>
      <w:proofErr w:type="spellEnd"/>
      <w:r>
        <w:rPr>
          <w:sz w:val="20"/>
          <w:szCs w:val="20"/>
          <w:rtl/>
        </w:rPr>
        <w:t>.</w:t>
      </w:r>
    </w:p>
  </w:footnote>
  <w:footnote w:id="449">
    <w:p w14:paraId="274FE6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מאיר ברלין (ניו יורק</w:t>
      </w:r>
      <w:proofErr w:type="spellStart"/>
      <w:r>
        <w:rPr>
          <w:sz w:val="20"/>
          <w:szCs w:val="20"/>
          <w:rtl/>
        </w:rPr>
        <w:t xml:space="preserve"/>
      </w:r>
      <w:proofErr w:type="spellEnd"/>
      <w:r>
        <w:rPr>
          <w:sz w:val="20"/>
          <w:szCs w:val="20"/>
          <w:rtl/>
        </w:rPr>
        <w:t xml:space="preserve">, 1933) (להלן: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 כרך 2, עמ׳ 322.</w:t>
      </w:r>
    </w:p>
  </w:footnote>
  <w:footnote w:id="450">
    <w:p w14:paraId="7C847A7C" w14:textId="77777777" w:rsidR="00AB3647" w:rsidRDefault="00000000">
      <w:pPr>
        <w:spacing w:after="0" w:before="0"/>
        <w:jc w:val="both"/>
      </w:pPr>
      <w:r>
        <w:rPr>
          <w:rStyle w:val="a5"/>
          <w:vertAlign w:val="superscript"/>
          <w:rtl/>
        </w:rPr>
        <w:t>*</w:t>
      </w:r>
      <w:r>
        <w:rPr>
          <w:sz w:val="20"/>
          <w:szCs w:val="20"/>
        </w:rPr>
        <w:t xml:space="preserve"> </w:t>
      </w:r>
      <w:r>
        <w:rPr>
          <w:color w:val="000000"/>
          <w:sz w:val="20"/>
          <w:szCs w:val="20"/>
          <w:rtl/>
        </w:rPr>
      </w:r>
      <w:r>
        <w:rPr>
          <w:color w:val="000000"/>
          <w:sz w:val="20"/>
          <w:szCs w:val="20"/>
          <w:rtl/>
        </w:rPr>
        <w:t xml:space="preserve">הערת המתרגם: מסילת הברזל הגיעה </w:t>
      </w:r>
      <w:proofErr w:type="spellStart"/>
      <w:r>
        <w:rPr>
          <w:color w:val="000000"/>
          <w:sz w:val="20"/>
          <w:szCs w:val="20"/>
          <w:rtl/>
        </w:rPr>
        <w:t>לנובוזיבקוב</w:t>
      </w:r>
      <w:proofErr w:type="spellEnd"/>
      <w:r>
        <w:rPr>
          <w:color w:val="000000"/>
          <w:sz w:val="20"/>
          <w:szCs w:val="20"/>
          <w:rtl/>
        </w:rPr>
        <w:t xml:space="preserve"> רק בשנת תרמ״ז, עם פתיחת קו גומל–</w:t>
      </w:r>
      <w:proofErr w:type="spellStart"/>
      <w:r>
        <w:rPr>
          <w:color w:val="000000"/>
          <w:sz w:val="20"/>
          <w:szCs w:val="20"/>
          <w:rtl/>
        </w:rPr>
        <w:t>בריאנסק</w:t>
      </w:r>
      <w:proofErr w:type="spellEnd"/>
      <w:r>
        <w:rPr>
          <w:color w:val="000000"/>
          <w:sz w:val="20"/>
          <w:szCs w:val="20"/>
          <w:rtl/>
        </w:rPr>
        <w:t>, לאחר שנות כהונתו של בעל “ערוך השולחן” בעיר המצוינות כאן.</w:t>
      </w:r>
    </w:p>
  </w:footnote>
  <w:footnote w:id="451">
    <w:p w14:paraId="3F42B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בנספח </w:t>
      </w:r>
      <w:proofErr w:type="spellStart"/>
      <w:r>
        <w:rPr>
          <w:sz w:val="20"/>
          <w:szCs w:val="20"/>
          <w:rtl/>
        </w:rPr>
        <w:t>יז</w:t>
      </w:r>
      <w:proofErr w:type="spellEnd"/>
      <w:r>
        <w:rPr>
          <w:sz w:val="20"/>
          <w:szCs w:val="20"/>
          <w:rtl/>
        </w:rPr>
        <w:t>.</w:t>
      </w:r>
    </w:p>
  </w:footnote>
  <w:footnote w:id="452">
    <w:p w14:paraId="3F168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1, עמ׳ 236.</w:t>
      </w:r>
    </w:p>
  </w:footnote>
  <w:footnote w:id="453">
    <w:p w14:paraId="5DEF0D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197–198.</w:t>
      </w:r>
    </w:p>
  </w:footnote>
  <w:footnote w:id="454">
    <w:p w14:paraId="36D62D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31.</w:t>
      </w:r>
    </w:p>
  </w:footnote>
  <w:footnote w:id="455">
    <w:p w14:paraId="518E3B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74.</w:t>
      </w:r>
    </w:p>
  </w:footnote>
  <w:footnote w:id="456">
    <w:p w14:paraId="589D02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14, עמ׳ 451.</w:t>
      </w:r>
    </w:p>
  </w:footnote>
  <w:footnote w:id="457">
    <w:p w14:paraId="1A8361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72.</w:t>
      </w:r>
    </w:p>
  </w:footnote>
  <w:footnote w:id="458">
    <w:p w14:paraId="3D461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557. והשווה גם עמ׳ 627, שבו רושם הרב שלמה פינס, נצר למשפחה </w:t>
      </w:r>
      <w:proofErr w:type="spellStart"/>
      <w:r>
        <w:rPr>
          <w:sz w:val="20"/>
          <w:szCs w:val="20"/>
          <w:rtl/>
        </w:rPr>
        <w:t>מינסקאית</w:t>
      </w:r>
      <w:proofErr w:type="spellEnd"/>
      <w:r>
        <w:rPr>
          <w:sz w:val="20"/>
          <w:szCs w:val="20"/>
          <w:rtl/>
        </w:rPr>
        <w:t xml:space="preserve"> חשובה, אגדה הקשורה במקום קבורתו של הרב </w:t>
      </w:r>
      <w:proofErr w:type="spellStart"/>
      <w:r>
        <w:rPr>
          <w:sz w:val="20"/>
          <w:szCs w:val="20"/>
          <w:rtl/>
        </w:rPr>
        <w:t>היילפרין</w:t>
      </w:r>
      <w:proofErr w:type="spellEnd"/>
      <w:r>
        <w:rPr>
          <w:sz w:val="20"/>
          <w:szCs w:val="20"/>
          <w:rtl/>
        </w:rPr>
        <w:t>.</w:t>
      </w:r>
    </w:p>
  </w:footnote>
  <w:footnote w:id="459">
    <w:p w14:paraId="4434C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60">
    <w:p w14:paraId="38203C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103.</w:t>
      </w:r>
    </w:p>
  </w:footnote>
  <w:footnote w:id="461">
    <w:p w14:paraId="47BC10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462">
    <w:p w14:paraId="14D2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463">
    <w:p w14:paraId="70FB4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ואלה שבהערות הבאות לוקטו מן הנספח הביוגרפי </w:t>
      </w:r>
      <w:proofErr w:type="spellStart"/>
      <w:r>
        <w:rPr>
          <w:sz w:val="20"/>
          <w:szCs w:val="20"/>
          <w:rtl/>
        </w:rPr>
        <w:t>לשו״ת</w:t>
      </w:r>
      <w:proofErr w:type="spellEnd"/>
      <w:r>
        <w:rPr>
          <w:sz w:val="20"/>
          <w:szCs w:val="20"/>
          <w:rtl/>
        </w:rPr>
        <w:t xml:space="preserve"> שאגת אריה (מכון להוצאת ספרים וכו׳ ע״ש </w:t>
      </w:r>
      <w:proofErr w:type="spellStart"/>
      <w:r>
        <w:rPr>
          <w:sz w:val="20"/>
          <w:szCs w:val="20"/>
          <w:rtl/>
        </w:rPr>
        <w:t>החתם־סופר</w:t>
      </w:r>
      <w:proofErr w:type="spellEnd"/>
      <w:r>
        <w:rPr>
          <w:sz w:val="20"/>
          <w:szCs w:val="20"/>
          <w:rtl/>
        </w:rPr>
        <w:t xml:space="preserve">, ירושלים, תשל״ג), מאת הרב מאיר משה ישר, ומן המבוא הביוגרפי לספר “רבנו </w:t>
      </w:r>
      <w:proofErr w:type="spellStart"/>
      <w:r>
        <w:rPr>
          <w:sz w:val="20"/>
          <w:szCs w:val="20"/>
          <w:rtl/>
        </w:rPr>
        <w:t>ה‘שאגת</w:t>
      </w:r>
      <w:proofErr w:type="spellEnd"/>
      <w:r>
        <w:rPr>
          <w:sz w:val="20"/>
          <w:szCs w:val="20"/>
          <w:rtl/>
        </w:rPr>
        <w:t xml:space="preserve"> אריה’ חייו ותורתו”, מאת שמואל ירושלמי (הוצאת פישר, ירושלים, תשנ״א) (שעל כריכתו נקרא “שאגת אריה המפורש”).</w:t>
      </w:r>
    </w:p>
  </w:footnote>
  <w:footnote w:id="464">
    <w:p w14:paraId="72F23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465">
    <w:p w14:paraId="508CB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6">
    <w:p w14:paraId="41753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באוגוסט 1995.</w:t>
      </w:r>
    </w:p>
  </w:footnote>
  <w:footnote w:id="467">
    <w:p w14:paraId="48E00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pr_f_66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w:t>
      </w:r>
      <w:r>
        <w:rPr>
          <w:rStyle w:val="a5"/>
          <w:sz w:val="20"/>
          <w:szCs w:val="20"/>
          <w:vertAlign w:val="baseline"/>
          <w:rtl/>
        </w:rPr>
        <w:fldChar w:fldCharType="end"/>
      </w:r>
      <w:r>
        <w:rPr>
          <w:rStyle w:val="a5"/>
          <w:sz w:val="20"/>
          <w:szCs w:val="20"/>
          <w:vertAlign w:val="baseline"/>
          <w:rtl/>
        </w:rPr>
        <w:t xml:space="preserve"> – עמ׳ 61–68 והערה 9 בעמ׳ 68–69</w:t>
      </w:r>
      <w:r>
        <w:rPr>
          <w:sz w:val="20"/>
          <w:szCs w:val="20"/>
          <w:rtl/>
        </w:rPr>
        <w:t>.</w:t>
      </w:r>
    </w:p>
  </w:footnote>
  <w:footnote w:id="468">
    <w:p w14:paraId="552D5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א. ספר זה יצא לאור בבני ברק, תשנ״ח, והוא קובץ סיפורים היסטוריים על “רבותינו גדולי הדורות... שיצאו בזמנים (שונים) בשלהבת אש קודש מפי מרן מורה דרכם של ישראל, מלמד העם (</w:t>
      </w:r>
      <w:proofErr w:type="spellStart"/>
      <w:r>
        <w:rPr>
          <w:sz w:val="20"/>
          <w:szCs w:val="20"/>
          <w:rtl/>
        </w:rPr>
        <w:t>הגרא״מ</w:t>
      </w:r>
      <w:proofErr w:type="spellEnd"/>
      <w:r>
        <w:rPr>
          <w:sz w:val="20"/>
          <w:szCs w:val="20"/>
          <w:rtl/>
        </w:rPr>
        <w:t xml:space="preserve"> שך)... נכתבו וסודרו לדפוס על ידי נכדו אשר ברגמן”. הספר מובא כאן ובמקומות אחרים ברשותו האדיבה של אותו מחבר.</w:t>
      </w:r>
    </w:p>
  </w:footnote>
  <w:footnote w:id="469">
    <w:p w14:paraId="4736E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אהרן מרקוס (הוצאת “נצח”, </w:t>
      </w:r>
      <w:proofErr w:type="spellStart"/>
      <w:r>
        <w:rPr>
          <w:sz w:val="20"/>
          <w:szCs w:val="20"/>
          <w:rtl/>
        </w:rPr>
        <w:t>תל־אביב</w:t>
      </w:r>
      <w:proofErr w:type="spellEnd"/>
      <w:r>
        <w:rPr>
          <w:sz w:val="20"/>
          <w:szCs w:val="20"/>
          <w:rtl/>
        </w:rPr>
        <w:t>, תשי״ד) – עמ׳ 73.</w:t>
      </w:r>
    </w:p>
  </w:footnote>
  <w:footnote w:id="470">
    <w:p w14:paraId="2002AD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להלן.</w:t>
      </w:r>
    </w:p>
  </w:footnote>
  <w:footnote w:id="471">
    <w:p w14:paraId="21CB37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חכמת אדם, כלל י״ג </w:t>
      </w:r>
      <w:proofErr w:type="spellStart"/>
      <w:r>
        <w:rPr>
          <w:sz w:val="20"/>
          <w:szCs w:val="20"/>
          <w:rtl/>
        </w:rPr>
        <w:t>סי״ז</w:t>
      </w:r>
      <w:proofErr w:type="spellEnd"/>
      <w:r>
        <w:rPr>
          <w:sz w:val="20"/>
          <w:szCs w:val="20"/>
          <w:rtl/>
        </w:rPr>
        <w:t>.</w:t>
      </w:r>
    </w:p>
  </w:footnote>
  <w:footnote w:id="472">
    <w:p w14:paraId="0C24BB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 – ח״א, עמ׳ קנה–קנו.</w:t>
      </w:r>
    </w:p>
  </w:footnote>
  <w:footnote w:id="473">
    <w:p w14:paraId="78455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24.</w:t>
      </w:r>
    </w:p>
  </w:footnote>
  <w:footnote w:id="474">
    <w:p w14:paraId="18574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“תולדות העם היהודי מנחמיה ועד ימינו”, מאת הרב חיים דב </w:t>
      </w:r>
      <w:proofErr w:type="spellStart"/>
      <w:r>
        <w:rPr>
          <w:sz w:val="20"/>
          <w:szCs w:val="20"/>
          <w:rtl/>
        </w:rPr>
        <w:t>רבינוביץ</w:t>
      </w:r>
      <w:proofErr w:type="spellEnd"/>
      <w:r>
        <w:rPr>
          <w:sz w:val="20"/>
          <w:szCs w:val="20"/>
          <w:rtl/>
        </w:rPr>
        <w:t xml:space="preserve"> (הוצאת מאזנים, ניו יורק/ירושלים, 1998), כרך 2 (להלן: </w:t>
      </w:r>
      <w:proofErr w:type="spellStart"/>
      <w:r>
        <w:rPr>
          <w:sz w:val="20"/>
          <w:szCs w:val="20"/>
          <w:rtl/>
        </w:rPr>
        <w:t>רבינוביץ</w:t>
      </w:r>
      <w:proofErr w:type="spellEnd"/>
      <w:r>
        <w:rPr>
          <w:sz w:val="20"/>
          <w:szCs w:val="20"/>
          <w:rtl/>
        </w:rPr>
        <w:t>), עמ׳ 299 ו־303.</w:t>
      </w:r>
    </w:p>
  </w:footnote>
  <w:footnote w:id="475">
    <w:p w14:paraId="674F48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השנייה בנספח ה, מה שסיפר אבי על היחס שקיבל ר׳ רפאל מן השאגת אריה בשעה שהראשון כיהן בסביבות מינסק והאחרון שב למינסק עצמה.</w:t>
      </w:r>
    </w:p>
  </w:footnote>
  <w:footnote w:id="476">
    <w:p w14:paraId="67AE54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בחר בחכמה שם המבוסס על יהושע טו, לח, הקרוב דיו לשם הספר שתקף, ושונה דיו כדי לרמוז שפסקי ר׳ רפאל מאוסים. ראה פירוש רש״י למילה </w:t>
      </w:r>
      <w:proofErr w:type="spellStart"/>
      <w:r>
        <w:rPr>
          <w:sz w:val="20"/>
          <w:szCs w:val="20"/>
          <w:rtl/>
        </w:rPr>
        <w:t>יקתאל</w:t>
      </w:r>
      <w:proofErr w:type="spellEnd"/>
      <w:r>
        <w:rPr>
          <w:sz w:val="20"/>
          <w:szCs w:val="20"/>
          <w:rtl/>
        </w:rPr>
        <w:t xml:space="preserve"> במלכים ב יד, ז.</w:t>
      </w:r>
    </w:p>
  </w:footnote>
  <w:footnote w:id="477">
    <w:p w14:paraId="25FE5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 מאורן של ישראל רבינו עקיבא איגר זצ״ל (הוצאת מכון שם משמואל, ברוקלין, </w:t>
      </w:r>
      <w:proofErr w:type="spellStart"/>
      <w:r>
        <w:rPr>
          <w:sz w:val="20"/>
          <w:szCs w:val="20"/>
          <w:rtl/>
        </w:rPr>
        <w:t>תש״ן</w:t>
      </w:r>
      <w:proofErr w:type="spellEnd"/>
      <w:r>
        <w:rPr>
          <w:sz w:val="20"/>
          <w:szCs w:val="20"/>
          <w:rtl/>
        </w:rPr>
        <w:t xml:space="preserve">) (להלן: “מאורן של ישראל”) </w:t>
      </w:r>
      <w:proofErr w:type="spellStart"/>
      <w:r>
        <w:rPr>
          <w:sz w:val="20"/>
          <w:szCs w:val="20"/>
          <w:rtl/>
        </w:rPr>
        <w:t>ח״ב</w:t>
      </w:r>
      <w:proofErr w:type="spellEnd"/>
      <w:r>
        <w:rPr>
          <w:sz w:val="20"/>
          <w:szCs w:val="20"/>
          <w:rtl/>
        </w:rPr>
        <w:t>, עמ׳ שעט, שתמה על כך. מעניין שמחבר בירושלים הוציא לאור מחדש את “בשמים ראש” בשנת תשמ״ד, 190 שנה אחרי הופעתו הראשונה, והציע הגנה על המחבר הנבזה!</w:t>
      </w:r>
    </w:p>
  </w:footnote>
  <w:footnote w:id="478">
    <w:p w14:paraId="28FDC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להלן: “</w:t>
      </w:r>
      <w:proofErr w:type="spellStart"/>
      <w:r>
        <w:rPr>
          <w:sz w:val="20"/>
          <w:szCs w:val="20"/>
          <w:rtl/>
        </w:rPr>
        <w:t>זכרונות</w:t>
      </w:r>
      <w:proofErr w:type="spellEnd"/>
      <w:r>
        <w:rPr>
          <w:sz w:val="20"/>
          <w:szCs w:val="20"/>
          <w:rtl/>
        </w:rPr>
        <w:t xml:space="preserve"> פון צווי דורות”. נכתב ויצא לאור ביידיש בשנת 1935.</w:t>
      </w:r>
    </w:p>
  </w:footnote>
  <w:footnote w:id="479">
    <w:p w14:paraId="2AA9F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לעיל – עמ׳ 140–145.</w:t>
      </w:r>
    </w:p>
  </w:footnote>
  <w:footnote w:id="480">
    <w:p w14:paraId="55D6B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ורשה, תר״ע.</w:t>
      </w:r>
    </w:p>
  </w:footnote>
  <w:footnote w:id="481">
    <w:p w14:paraId="283152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קל״ח ע״ב.</w:t>
      </w:r>
    </w:p>
  </w:footnote>
  <w:footnote w:id="482">
    <w:p w14:paraId="073E07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w:t>
      </w:r>
      <w:proofErr w:type="spellStart"/>
      <w:r>
        <w:rPr>
          <w:sz w:val="20"/>
          <w:szCs w:val="20"/>
          <w:rtl/>
        </w:rPr>
        <w:t>כט</w:t>
      </w:r>
      <w:proofErr w:type="spellEnd"/>
      <w:r>
        <w:rPr>
          <w:sz w:val="20"/>
          <w:szCs w:val="20"/>
          <w:rtl/>
        </w:rPr>
        <w:t>, יא.</w:t>
      </w:r>
    </w:p>
  </w:footnote>
  <w:footnote w:id="483">
    <w:p w14:paraId="71B094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חששותיו של המחבר לא נתאמתו בעיקרם, ברוך ה׳. אבי סיפר שבימי לימודיו בישיבת </w:t>
      </w:r>
      <w:proofErr w:type="spellStart"/>
      <w:r>
        <w:rPr>
          <w:sz w:val="20"/>
          <w:szCs w:val="20"/>
          <w:rtl/>
        </w:rPr>
        <w:t>סלבודקה</w:t>
      </w:r>
      <w:proofErr w:type="spellEnd"/>
      <w:r>
        <w:rPr>
          <w:sz w:val="20"/>
          <w:szCs w:val="20"/>
          <w:rtl/>
        </w:rPr>
        <w:t>, “</w:t>
      </w:r>
      <w:proofErr w:type="spellStart"/>
      <w:r>
        <w:rPr>
          <w:sz w:val="20"/>
          <w:szCs w:val="20"/>
          <w:rtl/>
        </w:rPr>
        <w:t>ה׳עולת</w:t>
      </w:r>
      <w:proofErr w:type="spellEnd"/>
      <w:r>
        <w:rPr>
          <w:sz w:val="20"/>
          <w:szCs w:val="20"/>
          <w:rtl/>
        </w:rPr>
        <w:t xml:space="preserve"> שלמה’ שימש ללימוד דף אחר דף בסדר קדשים, כמו </w:t>
      </w:r>
      <w:proofErr w:type="spellStart"/>
      <w:r>
        <w:rPr>
          <w:sz w:val="20"/>
          <w:szCs w:val="20"/>
          <w:rtl/>
        </w:rPr>
        <w:t>שה‘פני</w:t>
      </w:r>
      <w:proofErr w:type="spellEnd"/>
      <w:r>
        <w:rPr>
          <w:sz w:val="20"/>
          <w:szCs w:val="20"/>
          <w:rtl/>
        </w:rPr>
        <w:t xml:space="preserve"> יהושע’ שימש לנשים </w:t>
      </w:r>
      <w:proofErr w:type="spellStart"/>
      <w:r>
        <w:rPr>
          <w:sz w:val="20"/>
          <w:szCs w:val="20"/>
          <w:rtl/>
        </w:rPr>
        <w:t>ולנזיקין</w:t>
      </w:r>
      <w:proofErr w:type="spellEnd"/>
      <w:r>
        <w:rPr>
          <w:sz w:val="20"/>
          <w:szCs w:val="20"/>
          <w:rtl/>
        </w:rPr>
        <w:t>”.</w:t>
      </w:r>
    </w:p>
  </w:footnote>
  <w:footnote w:id="484">
    <w:p w14:paraId="1E42B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246.</w:t>
      </w:r>
    </w:p>
  </w:footnote>
  <w:footnote w:id="485">
    <w:p w14:paraId="7FF72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129: מסופר שם שרבנו השתמש בשני אמוראים אלה כדוגמה למשא ומתן התלמודי.</w:t>
      </w:r>
    </w:p>
  </w:footnote>
  <w:footnote w:id="486">
    <w:p w14:paraId="46A96D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מ. נוימן בע״מ, </w:t>
      </w:r>
      <w:proofErr w:type="spellStart"/>
      <w:r>
        <w:rPr>
          <w:sz w:val="20"/>
          <w:szCs w:val="20"/>
          <w:rtl/>
        </w:rPr>
        <w:t>ירושלים־תל</w:t>
      </w:r>
      <w:proofErr w:type="spellEnd"/>
      <w:r>
        <w:rPr>
          <w:sz w:val="20"/>
          <w:szCs w:val="20"/>
          <w:rtl/>
        </w:rPr>
        <w:t xml:space="preserve"> אביב, </w:t>
      </w:r>
      <w:proofErr w:type="spellStart"/>
      <w:r>
        <w:rPr>
          <w:sz w:val="20"/>
          <w:szCs w:val="20"/>
          <w:rtl/>
        </w:rPr>
        <w:t>תש״ך</w:t>
      </w:r>
      <w:proofErr w:type="spellEnd"/>
      <w:r>
        <w:rPr>
          <w:sz w:val="20"/>
          <w:szCs w:val="20"/>
          <w:rtl/>
        </w:rPr>
        <w:t xml:space="preserve"> – עמ׳ 36 ו־41.</w:t>
      </w:r>
    </w:p>
  </w:footnote>
  <w:footnote w:id="487">
    <w:p w14:paraId="63ED3E65"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דברי המחבר עצמו בפרק 3, “עץ פרי” נדפס ארבע שנים אחרי חנוכת כולל קובנה </w:t>
      </w:r>
      <w:proofErr w:type="spellStart"/>
      <w:r>
        <w:rPr>
          <w:sz w:val="20"/>
          <w:szCs w:val="20"/>
          <w:rtl/>
        </w:rPr>
        <w:t>בתרל״ז</w:t>
      </w:r>
      <w:proofErr w:type="spellEnd"/>
      <w:r>
        <w:rPr>
          <w:sz w:val="20"/>
          <w:szCs w:val="20"/>
          <w:rtl/>
        </w:rPr>
        <w:t xml:space="preserve">, כלומר </w:t>
      </w:r>
      <w:proofErr w:type="spellStart"/>
      <w:r>
        <w:rPr>
          <w:sz w:val="20"/>
          <w:szCs w:val="20"/>
          <w:rtl/>
        </w:rPr>
        <w:t>בתרמ״א</w:t>
      </w:r>
      <w:proofErr w:type="spellEnd"/>
      <w:r>
        <w:rPr>
          <w:sz w:val="20"/>
          <w:szCs w:val="20"/>
          <w:rtl/>
        </w:rPr>
        <w:t xml:space="preserve">, ולא </w:t>
      </w:r>
      <w:proofErr w:type="spellStart"/>
      <w:r>
        <w:rPr>
          <w:sz w:val="20"/>
          <w:szCs w:val="20"/>
          <w:rtl/>
        </w:rPr>
        <w:t>בתרל״ט</w:t>
      </w:r>
      <w:proofErr w:type="spellEnd"/>
      <w:r>
        <w:rPr>
          <w:sz w:val="20"/>
          <w:szCs w:val="20"/>
          <w:rtl/>
        </w:rPr>
        <w:t>.</w:t>
      </w:r>
    </w:p>
  </w:footnote>
  <w:footnote w:id="488">
    <w:p w14:paraId="6CED3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15.</w:t>
      </w:r>
    </w:p>
  </w:footnote>
  <w:footnote w:id="489">
    <w:p w14:paraId="1F7F8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רבי חיים הלוי כץ (נולד תרי״ד), רב </w:t>
      </w:r>
      <w:proofErr w:type="spellStart"/>
      <w:r>
        <w:rPr>
          <w:sz w:val="20"/>
          <w:szCs w:val="20"/>
          <w:rtl/>
        </w:rPr>
        <w:t>פומפיאן</w:t>
      </w:r>
      <w:proofErr w:type="spellEnd"/>
      <w:r>
        <w:rPr>
          <w:sz w:val="20"/>
          <w:szCs w:val="20"/>
          <w:rtl/>
        </w:rPr>
        <w:t xml:space="preserve"> (יצא לאור בידי נכדו ישראל </w:t>
      </w:r>
      <w:proofErr w:type="spellStart"/>
      <w:r>
        <w:rPr>
          <w:sz w:val="20"/>
          <w:szCs w:val="20"/>
          <w:rtl/>
        </w:rPr>
        <w:t>פינחס</w:t>
      </w:r>
      <w:proofErr w:type="spellEnd"/>
      <w:r>
        <w:rPr>
          <w:sz w:val="20"/>
          <w:szCs w:val="20"/>
          <w:rtl/>
        </w:rPr>
        <w:t xml:space="preserve"> הלוי כץ בתל אביב, תשנ״ה)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490">
    <w:p w14:paraId="147B7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491">
    <w:p w14:paraId="602945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הראשונים ברשימתו של הורוביץ שכנו </w:t>
      </w:r>
      <w:proofErr w:type="spellStart"/>
      <w:r>
        <w:rPr>
          <w:sz w:val="20"/>
          <w:szCs w:val="20"/>
          <w:rtl/>
        </w:rPr>
        <w:t>בשולהויף</w:t>
      </w:r>
      <w:proofErr w:type="spellEnd"/>
      <w:r>
        <w:rPr>
          <w:sz w:val="20"/>
          <w:szCs w:val="20"/>
          <w:rtl/>
        </w:rPr>
        <w:t>. ראה גם הערה 30 להלן.</w:t>
      </w:r>
    </w:p>
  </w:footnote>
  <w:footnote w:id="492">
    <w:p w14:paraId="2A6B5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ו.</w:t>
      </w:r>
    </w:p>
  </w:footnote>
  <w:footnote w:id="493">
    <w:p w14:paraId="742EF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(פרק 1, הערה 103).</w:t>
      </w:r>
    </w:p>
  </w:footnote>
  <w:footnote w:id="494">
    <w:p w14:paraId="48509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רמב״ם ריש </w:t>
      </w:r>
      <w:proofErr w:type="spellStart"/>
      <w:r>
        <w:rPr>
          <w:sz w:val="20"/>
          <w:szCs w:val="20"/>
          <w:rtl/>
        </w:rPr>
        <w:t>פי״א</w:t>
      </w:r>
      <w:proofErr w:type="spellEnd"/>
      <w:r>
        <w:rPr>
          <w:sz w:val="20"/>
          <w:szCs w:val="20"/>
          <w:rtl/>
        </w:rPr>
        <w:t xml:space="preserve"> מהל׳ תפלה.</w:t>
      </w:r>
    </w:p>
  </w:footnote>
  <w:footnote w:id="495">
    <w:p w14:paraId="569297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כרך 2, עמ׳ 150, וכרך 1, עמ׳ 89. והשווה גם “</w:t>
      </w:r>
      <w:proofErr w:type="spellStart"/>
      <w:r>
        <w:rPr>
          <w:sz w:val="20"/>
          <w:szCs w:val="20"/>
          <w:rtl/>
        </w:rPr>
        <w:t>זכרון</w:t>
      </w:r>
      <w:proofErr w:type="spellEnd"/>
      <w:r>
        <w:rPr>
          <w:sz w:val="20"/>
          <w:szCs w:val="20"/>
          <w:rtl/>
        </w:rPr>
        <w:t xml:space="preserve"> יעקב” (הערה 4 לעיל), כרך 2, עמ׳ 147: המנהג להחזיק מניין בבית הכנסת כל השנה לא היה נדיר בערים אחרות, אלא שבמקרה שמתאר “</w:t>
      </w:r>
      <w:proofErr w:type="spellStart"/>
      <w:r>
        <w:rPr>
          <w:sz w:val="20"/>
          <w:szCs w:val="20"/>
          <w:rtl/>
        </w:rPr>
        <w:t>זכרון</w:t>
      </w:r>
      <w:proofErr w:type="spellEnd"/>
      <w:r>
        <w:rPr>
          <w:sz w:val="20"/>
          <w:szCs w:val="20"/>
          <w:rtl/>
        </w:rPr>
        <w:t xml:space="preserve"> יעקב” היה זה מניין של מתנדבים.</w:t>
      </w:r>
    </w:p>
  </w:footnote>
  <w:footnote w:id="496">
    <w:p w14:paraId="50B7D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יורה דעה רפ״ו ס״ג.</w:t>
      </w:r>
    </w:p>
  </w:footnote>
  <w:footnote w:id="497">
    <w:p w14:paraId="380DCF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עמד בראש קרן היסוד מבואו לארץ ישראל בשנת תרצ״ה עד מותו בשנת תש״ט.</w:t>
      </w:r>
    </w:p>
  </w:footnote>
  <w:footnote w:id="498">
    <w:p w14:paraId="04D70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w:t>
      </w:r>
      <w:proofErr w:type="spellStart"/>
      <w:r>
        <w:rPr>
          <w:sz w:val="20"/>
          <w:szCs w:val="20"/>
          <w:rtl/>
        </w:rPr>
        <w:t>ב“מינסק</w:t>
      </w:r>
      <w:proofErr w:type="spellEnd"/>
      <w:r>
        <w:rPr>
          <w:sz w:val="20"/>
          <w:szCs w:val="20"/>
          <w:rtl/>
        </w:rPr>
        <w:t xml:space="preserve"> עיר ואם א”, עמ׳ 223.</w:t>
      </w:r>
    </w:p>
  </w:footnote>
  <w:footnote w:id="499">
    <w:p w14:paraId="493C0D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סוף הפסקה הראשונה של נספח </w:t>
      </w:r>
      <w:proofErr w:type="spellStart"/>
      <w:r>
        <w:rPr>
          <w:sz w:val="20"/>
          <w:szCs w:val="20"/>
          <w:rtl/>
        </w:rPr>
        <w:t>יז</w:t>
      </w:r>
      <w:proofErr w:type="spellEnd"/>
      <w:r>
        <w:rPr>
          <w:sz w:val="20"/>
          <w:szCs w:val="20"/>
          <w:rtl/>
        </w:rPr>
        <w:t>.</w:t>
      </w:r>
    </w:p>
  </w:footnote>
  <w:footnote w:id="500">
    <w:p w14:paraId="1FE7C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א בפרק זה; פרק 1, הפסקה הראשונה של נספח ו; ופרק 5, הפסקה החמישית של נספח ו.</w:t>
      </w:r>
    </w:p>
  </w:footnote>
  <w:footnote w:id="501">
    <w:p w14:paraId="1A4E7F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ההקדמה הקצרה למכתב שקיבל, הנדפס כהקדמה </w:t>
      </w:r>
      <w:proofErr w:type="spellStart"/>
      <w:r>
        <w:rPr>
          <w:sz w:val="20"/>
          <w:szCs w:val="20"/>
          <w:rtl/>
        </w:rPr>
        <w:t>ל“חוסן</w:t>
      </w:r>
      <w:proofErr w:type="spellEnd"/>
      <w:r>
        <w:rPr>
          <w:sz w:val="20"/>
          <w:szCs w:val="20"/>
          <w:rtl/>
        </w:rPr>
        <w:t xml:space="preserve"> יהושע” (ירושלים, תשכ״ה).</w:t>
      </w:r>
    </w:p>
  </w:footnote>
  <w:footnote w:id="502">
    <w:p w14:paraId="508BE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(בלי שנה).</w:t>
      </w:r>
    </w:p>
  </w:footnote>
  <w:footnote w:id="503">
    <w:p w14:paraId="22E39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353, ויעקב מארק, עמ׳ 60–66. המחבר, יעקב מארק, היה בעצמו יליד </w:t>
      </w:r>
      <w:proofErr w:type="spellStart"/>
      <w:r>
        <w:rPr>
          <w:sz w:val="20"/>
          <w:szCs w:val="20"/>
          <w:rtl/>
        </w:rPr>
        <w:t>פאלאנגן</w:t>
      </w:r>
      <w:proofErr w:type="spellEnd"/>
      <w:r>
        <w:rPr>
          <w:sz w:val="20"/>
          <w:szCs w:val="20"/>
          <w:rtl/>
        </w:rPr>
        <w:t xml:space="preserve">, והוא זוכר שהנושאים שלמדו הפועלים היו “חיי אדם” </w:t>
      </w:r>
      <w:proofErr w:type="spellStart"/>
      <w:r>
        <w:rPr>
          <w:sz w:val="20"/>
          <w:szCs w:val="20"/>
          <w:rtl/>
        </w:rPr>
        <w:t>ו“מנורת</w:t>
      </w:r>
      <w:proofErr w:type="spellEnd"/>
      <w:r>
        <w:rPr>
          <w:sz w:val="20"/>
          <w:szCs w:val="20"/>
          <w:rtl/>
        </w:rPr>
        <w:t xml:space="preserve"> המאור” (שם, עמ׳ 63).</w:t>
      </w:r>
    </w:p>
  </w:footnote>
  <w:footnote w:id="504">
    <w:p w14:paraId="112D7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505">
    <w:p w14:paraId="1861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504, 100, 557.</w:t>
      </w:r>
    </w:p>
  </w:footnote>
  <w:footnote w:id="506">
    <w:p w14:paraId="5F2D7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149 ו־161.</w:t>
      </w:r>
    </w:p>
  </w:footnote>
  <w:footnote w:id="507">
    <w:p w14:paraId="6EADA7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ישראל </w:t>
      </w:r>
      <w:proofErr w:type="spellStart"/>
      <w:r>
        <w:rPr>
          <w:sz w:val="20"/>
          <w:szCs w:val="20"/>
          <w:rtl/>
        </w:rPr>
        <w:t>זיסל</w:t>
      </w:r>
      <w:proofErr w:type="spellEnd"/>
      <w:r>
        <w:rPr>
          <w:sz w:val="20"/>
          <w:szCs w:val="20"/>
          <w:rtl/>
        </w:rPr>
        <w:t xml:space="preserve"> </w:t>
      </w:r>
      <w:proofErr w:type="spellStart"/>
      <w:r>
        <w:rPr>
          <w:sz w:val="20"/>
          <w:szCs w:val="20"/>
          <w:rtl/>
        </w:rPr>
        <w:t>פלטין־דבורץ</w:t>
      </w:r>
      <w:proofErr w:type="spellEnd"/>
      <w:r>
        <w:rPr>
          <w:sz w:val="20"/>
          <w:szCs w:val="20"/>
          <w:rtl/>
        </w:rPr>
        <w:t>, גיליון אייר תש״ו (יצא לאור בירושלים).</w:t>
      </w:r>
    </w:p>
  </w:footnote>
  <w:footnote w:id="508">
    <w:p w14:paraId="17060C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152–167.</w:t>
      </w:r>
    </w:p>
  </w:footnote>
  <w:footnote w:id="509">
    <w:p w14:paraId="5E2A0C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10">
    <w:p w14:paraId="0E362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14.</w:t>
      </w:r>
    </w:p>
  </w:footnote>
  <w:footnote w:id="511">
    <w:p w14:paraId="4ECA67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קמינצקי</w:t>
      </w:r>
      <w:proofErr w:type="spellEnd"/>
      <w:r>
        <w:rPr>
          <w:sz w:val="20"/>
          <w:szCs w:val="20"/>
          <w:rtl/>
        </w:rPr>
        <w:t>, 27 במרץ 1987.</w:t>
      </w:r>
    </w:p>
  </w:footnote>
  <w:footnote w:id="512">
    <w:p w14:paraId="45E208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החמישית בפרק 1, והערה 61 שם.</w:t>
      </w:r>
    </w:p>
  </w:footnote>
  <w:footnote w:id="513">
    <w:p w14:paraId="0B6C9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יודקובסקי</w:t>
      </w:r>
      <w:proofErr w:type="spellEnd"/>
      <w:r>
        <w:rPr>
          <w:sz w:val="20"/>
          <w:szCs w:val="20"/>
          <w:rtl/>
        </w:rPr>
        <w:t>, 24 בנובמבר 1987.</w:t>
      </w:r>
    </w:p>
  </w:footnote>
  <w:footnote w:id="514">
    <w:p w14:paraId="610A1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566, וראה סוף נספח א בפרק זה.</w:t>
      </w:r>
    </w:p>
  </w:footnote>
  <w:footnote w:id="515">
    <w:bookmarkStart w:id="837" w:name="_Hlk243584120"/>
    <w:p w14:paraId="5B5ACB94" w14:textId="77777777" w:rsidR="00AB3647" w:rsidRDefault="00000000">
      <w:pPr>
        <w:spacing w:after="0" w:before="0"/>
        <w:jc w:val="both"/>
      </w:pPr>
      <w:r>
        <w:fldChar w:fldCharType="begin" w:dirty="true"/>
      </w:r>
      <w:r>
        <w:instrText>HYPERLINK \l "_fnr515"</w:instrText>
      </w:r>
      <w:r>
        <w:fldChar w:fldCharType="separate"/>
      </w:r>
      <w:r>
        <w:rPr>
          <w:rStyle w:val="a5"/>
          <w:sz w:val="20"/>
          <w:szCs w:val="20"/>
          <w:vertAlign w:val="baseline"/>
        </w:rPr>
        <w:footnoteRef/>
      </w:r>
      <w:r>
        <w:rPr>
          <w:rStyle w:val="a5"/>
          <w:sz w:val="20"/>
          <w:szCs w:val="20"/>
          <w:vertAlign w:val="baseline"/>
        </w:rPr>
        <w:fldChar w:fldCharType="end"/>
      </w:r>
      <w:r>
        <w:rPr>
          <w:rStyle w:val="a5"/>
          <w:sz w:val="20"/>
          <w:szCs w:val="20"/>
          <w:vertAlign w:val="baseline"/>
          <w:rtl/>
        </w:rPr>
        <w:t xml:space="preserve">. בעניין סוף הערת שוליים </w:t>
      </w:r>
      <w:r>
        <w:rPr>
          <w:rStyle w:val="a5"/>
          <w:sz w:val="20"/>
          <w:szCs w:val="20"/>
          <w:vertAlign w:val="baseline"/>
          <w:rtl/>
        </w:rPr>
        <w:fldChar w:fldCharType="begin" w:dirty="true"/>
      </w:r>
      <w:r>
        <w:rPr>
          <w:rStyle w:val="a5"/>
          <w:sz w:val="20"/>
          <w:szCs w:val="20"/>
          <w:vertAlign w:val="baseline"/>
          <w:rtl/>
        </w:rPr>
        <w:instrText xml:space="preserve"> NOTEREF pr_f_165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109</w:t>
      </w:r>
      <w:r>
        <w:rPr>
          <w:rStyle w:val="a5"/>
          <w:sz w:val="20"/>
          <w:szCs w:val="20"/>
          <w:vertAlign w:val="baseline"/>
          <w:rtl/>
        </w:rPr>
        <w:fldChar w:fldCharType="end"/>
      </w:r>
      <w:r>
        <w:rPr>
          <w:rStyle w:val="a5"/>
          <w:sz w:val="20"/>
          <w:szCs w:val="20"/>
          <w:vertAlign w:val="baseline"/>
          <w:rtl/>
        </w:rPr>
        <w:t xml:space="preserve"> </w:t>
      </w:r>
      <w:bookmarkEnd w:id="837"/>
      <w:r>
        <w:rPr>
          <w:rStyle w:val="a5"/>
          <w:sz w:val="20"/>
          <w:szCs w:val="20"/>
          <w:vertAlign w:val="baseline"/>
          <w:rtl/>
        </w:rPr>
        <w:t xml:space="preserve">(עמ׳ </w:t>
      </w:r>
      <w:r>
        <w:rPr>
          <w:rStyle w:val="a5"/>
          <w:sz w:val="20"/>
          <w:szCs w:val="20"/>
          <w:vertAlign w:val="baseline"/>
          <w:rtl/>
        </w:rPr>
        <w:fldChar w:fldCharType="begin" w:dirty="true"/>
      </w:r>
      <w:r>
        <w:rPr>
          <w:rStyle w:val="a5"/>
          <w:sz w:val="20"/>
          <w:szCs w:val="20"/>
          <w:vertAlign w:val="baseline"/>
          <w:rtl/>
        </w:rPr>
        <w:instrText xml:space="preserve"> PAGEREF pr_f_165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כשכתיבת ספר זה הגיעה לסיומה נתגלה מקרה שבו השתמש אבי בביטוי “מיום עומדי על דעתי” בעניין זה שמעולם לא שיקר. </w:t>
      </w:r>
      <w:proofErr w:type="spellStart"/>
      <w:r>
        <w:rPr>
          <w:sz w:val="20"/>
          <w:szCs w:val="20"/>
          <w:rtl/>
        </w:rPr>
        <w:t>נכד־חתנו</w:t>
      </w:r>
      <w:proofErr w:type="spellEnd"/>
      <w:r>
        <w:rPr>
          <w:sz w:val="20"/>
          <w:szCs w:val="20"/>
          <w:rtl/>
        </w:rPr>
        <w:t xml:space="preserve"> של רבנו, ר׳ שלמה וילהלם, מסר זאת לבני ר׳ יוסף ב־16 במרץ 2002, כפי ששמע מתלמיד מתיבתא תורה ודעת. התלמיד ליווה את אבי בדרכו לישיבה </w:t>
      </w:r>
      <w:proofErr w:type="spellStart"/>
      <w:r>
        <w:rPr>
          <w:sz w:val="20"/>
          <w:szCs w:val="20"/>
          <w:rtl/>
        </w:rPr>
        <w:t>בוויליאמסבורג</w:t>
      </w:r>
      <w:proofErr w:type="spellEnd"/>
      <w:r>
        <w:rPr>
          <w:sz w:val="20"/>
          <w:szCs w:val="20"/>
          <w:rtl/>
        </w:rPr>
        <w:t xml:space="preserve"> ביום אחד בחודש סיון. בדרכם פגשו את הרב </w:t>
      </w:r>
      <w:proofErr w:type="spellStart"/>
      <w:r>
        <w:rPr>
          <w:sz w:val="20"/>
          <w:szCs w:val="20"/>
          <w:rtl/>
        </w:rPr>
        <w:t>מסאטמאר</w:t>
      </w:r>
      <w:proofErr w:type="spellEnd"/>
      <w:r>
        <w:rPr>
          <w:sz w:val="20"/>
          <w:szCs w:val="20"/>
          <w:rtl/>
        </w:rPr>
        <w:t xml:space="preserve">, ר׳ </w:t>
      </w:r>
      <w:proofErr w:type="spellStart"/>
      <w:r>
        <w:rPr>
          <w:sz w:val="20"/>
          <w:szCs w:val="20"/>
          <w:rtl/>
        </w:rPr>
        <w:t>יואליש</w:t>
      </w:r>
      <w:proofErr w:type="spellEnd"/>
      <w:r>
        <w:rPr>
          <w:sz w:val="20"/>
          <w:szCs w:val="20"/>
          <w:rtl/>
        </w:rPr>
        <w:t xml:space="preserve"> </w:t>
      </w:r>
      <w:proofErr w:type="spellStart"/>
      <w:r>
        <w:rPr>
          <w:sz w:val="20"/>
          <w:szCs w:val="20"/>
          <w:rtl/>
        </w:rPr>
        <w:t>טייטלבוים</w:t>
      </w:r>
      <w:proofErr w:type="spellEnd"/>
      <w:r>
        <w:rPr>
          <w:sz w:val="20"/>
          <w:szCs w:val="20"/>
          <w:rtl/>
        </w:rPr>
        <w:t xml:space="preserve">, שגם אותו ליוו אדם או שניים. פניו של ר׳ </w:t>
      </w:r>
      <w:proofErr w:type="spellStart"/>
      <w:r>
        <w:rPr>
          <w:sz w:val="20"/>
          <w:szCs w:val="20"/>
          <w:rtl/>
        </w:rPr>
        <w:t>יואליש</w:t>
      </w:r>
      <w:proofErr w:type="spellEnd"/>
      <w:r>
        <w:rPr>
          <w:sz w:val="20"/>
          <w:szCs w:val="20"/>
          <w:rtl/>
        </w:rPr>
        <w:t xml:space="preserve"> היו מאירות בדרך כלל באור יוצא מן הכלל, אבל באותו יום הרגיש שאין מראהו טוב, והעיר: “הימים האלה קשים לי במיוחד.” כוונתו הייתה לעונה זו של השנה, שבה ציינו הוא ורבים מקהלו את ימי היארצייט של בני משפחותיהם הקדושים שגורשו מהונגריה למחנות המוות בשנת תש״ד.</w:t>
      </w:r>
    </w:p>
    <w:p w14:paraId="4540C7E1" w14:textId="77777777" w:rsidR="00AB3647" w:rsidRDefault="00000000">
      <w:pPr>
        <w:spacing w:after="0" w:before="0"/>
        <w:jc w:val="both"/>
      </w:pPr>
      <w:r>
        <w:rPr>
          <w:sz w:val="20"/>
          <w:szCs w:val="20"/>
          <w:rtl/>
        </w:rPr>
        <w:t xml:space="preserve">כששאל אבי: “ובמה ניצלתם </w:t>
      </w:r>
      <w:r>
        <w:rPr>
          <w:b/>
          <w:bCs/>
          <w:sz w:val="20"/>
          <w:szCs w:val="20"/>
          <w:rtl/>
        </w:rPr>
        <w:t>אתם</w:t>
      </w:r>
      <w:r>
        <w:rPr>
          <w:sz w:val="20"/>
          <w:szCs w:val="20"/>
          <w:rtl/>
        </w:rPr>
        <w:t xml:space="preserve">?”, החל הרב </w:t>
      </w:r>
      <w:proofErr w:type="spellStart"/>
      <w:r>
        <w:rPr>
          <w:sz w:val="20"/>
          <w:szCs w:val="20"/>
          <w:rtl/>
        </w:rPr>
        <w:t>טייטלבוים</w:t>
      </w:r>
      <w:proofErr w:type="spellEnd"/>
      <w:r>
        <w:rPr>
          <w:sz w:val="20"/>
          <w:szCs w:val="20"/>
          <w:rtl/>
        </w:rPr>
        <w:t xml:space="preserve"> לספר את סיפור רכבת </w:t>
      </w:r>
      <w:proofErr w:type="spellStart"/>
      <w:r>
        <w:rPr>
          <w:sz w:val="20"/>
          <w:szCs w:val="20"/>
          <w:rtl/>
        </w:rPr>
        <w:t>קסטנר</w:t>
      </w:r>
      <w:proofErr w:type="spellEnd"/>
      <w:r>
        <w:rPr>
          <w:sz w:val="20"/>
          <w:szCs w:val="20"/>
          <w:rtl/>
        </w:rPr>
        <w:t xml:space="preserve"> שהביאה אותו לשווייץ. אבל אבי קטע אותו ואמר: “מה שהתכוונתי לשאול הוא באיזו </w:t>
      </w:r>
      <w:r>
        <w:rPr>
          <w:b/>
          <w:bCs/>
          <w:sz w:val="20"/>
          <w:szCs w:val="20"/>
          <w:rtl/>
        </w:rPr>
        <w:t>זכות</w:t>
      </w:r>
      <w:r>
        <w:rPr>
          <w:sz w:val="20"/>
          <w:szCs w:val="20"/>
          <w:rtl/>
        </w:rPr>
        <w:t xml:space="preserve"> ניצלתם?” כשהיסס הרב </w:t>
      </w:r>
      <w:proofErr w:type="spellStart"/>
      <w:r>
        <w:rPr>
          <w:sz w:val="20"/>
          <w:szCs w:val="20"/>
          <w:rtl/>
        </w:rPr>
        <w:t>מסאטמאר</w:t>
      </w:r>
      <w:proofErr w:type="spellEnd"/>
      <w:r>
        <w:rPr>
          <w:sz w:val="20"/>
          <w:szCs w:val="20"/>
          <w:rtl/>
        </w:rPr>
        <w:t>, עודד אותו אבי להשיב, והוסיף: “מותר לספר לי, שהרי הדבר יישאר בינינו.” אמר הרב: “נראה לי שזה משום שמעולם לא הלכתי לישון.” כוונתו הייתה לשקידתו הנודעת בתורה: הוא היה יושב על ספריו עד שנרדם, וממשיך מן המקום שהפסיק בו מיד כשהתעורר.</w:t>
      </w:r>
    </w:p>
    <w:p w14:paraId="6140D7C8" w14:textId="77777777" w:rsidR="00AB3647" w:rsidRDefault="00000000">
      <w:pPr>
        <w:spacing w:after="0" w:before="0"/>
        <w:jc w:val="both"/>
      </w:pPr>
      <w:r>
        <w:rPr>
          <w:sz w:val="20"/>
          <w:szCs w:val="20"/>
          <w:rtl/>
        </w:rPr>
        <w:t xml:space="preserve">השיב הרב </w:t>
      </w:r>
      <w:proofErr w:type="spellStart"/>
      <w:r>
        <w:rPr>
          <w:sz w:val="20"/>
          <w:szCs w:val="20"/>
          <w:rtl/>
        </w:rPr>
        <w:t>טייטלבוים</w:t>
      </w:r>
      <w:proofErr w:type="spellEnd"/>
      <w:r>
        <w:rPr>
          <w:sz w:val="20"/>
          <w:szCs w:val="20"/>
          <w:rtl/>
        </w:rPr>
        <w:t xml:space="preserve"> בשאלה: “ומה אתכם? באיזו זכות ניצלתם </w:t>
      </w:r>
      <w:r>
        <w:rPr>
          <w:b/>
          <w:bCs/>
          <w:sz w:val="20"/>
          <w:szCs w:val="20"/>
          <w:rtl/>
        </w:rPr>
        <w:t>אתם</w:t>
      </w:r>
      <w:r>
        <w:rPr>
          <w:sz w:val="20"/>
          <w:szCs w:val="20"/>
          <w:rtl/>
        </w:rPr>
        <w:t xml:space="preserve">?” – אבי בא לאמריקה בשנת תרצ״ז, לפני פרוץ המלחמה, אבל אחד השיקולים העיקריים שלו בעזיבת אירופה היה דעתו שהמלחמה ממשמשת ובאה (ראה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וכרך 3). כשנרתע רבנו בתורו מלהשיב, מחה הרב </w:t>
      </w:r>
      <w:proofErr w:type="spellStart"/>
      <w:r>
        <w:rPr>
          <w:sz w:val="20"/>
          <w:szCs w:val="20"/>
          <w:rtl/>
        </w:rPr>
        <w:t>מסאטמאר</w:t>
      </w:r>
      <w:proofErr w:type="spellEnd"/>
      <w:r>
        <w:rPr>
          <w:sz w:val="20"/>
          <w:szCs w:val="20"/>
          <w:rtl/>
        </w:rPr>
        <w:t xml:space="preserve"> ואמר: “ראה, אני גיליתי לך את מחשבותיי [ואני מצפה לגמול]!” ואז אמר אבי: “נראה לי שזה משום שמעולם לא הוצאתי שקר מפי מיום עמדי על דעתי.”</w:t>
      </w:r>
    </w:p>
  </w:footnote>
  <w:footnote w:id="516">
    <w:p w14:paraId="0FA2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לשוחד לשחרור מגויסים מן הצבא.</w:t>
      </w:r>
    </w:p>
  </w:footnote>
  <w:footnote w:id="517">
    <w:p w14:paraId="796C88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28.</w:t>
      </w:r>
    </w:p>
  </w:footnote>
  <w:footnote w:id="518">
    <w:p w14:paraId="53AD1D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471, 510; וראה תחילת הפסקה העשרים ושש בנספח א בפרק זה.</w:t>
      </w:r>
    </w:p>
  </w:footnote>
  <w:footnote w:id="519">
    <w:p w14:paraId="335217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20–21 במבוא הביוגרפי לכל כתבי </w:t>
      </w:r>
      <w:proofErr w:type="spellStart"/>
      <w:r>
        <w:rPr>
          <w:sz w:val="20"/>
          <w:szCs w:val="20"/>
          <w:rtl/>
        </w:rPr>
        <w:t>ח״ח</w:t>
      </w:r>
      <w:proofErr w:type="spellEnd"/>
      <w:r>
        <w:rPr>
          <w:sz w:val="20"/>
          <w:szCs w:val="20"/>
          <w:rtl/>
        </w:rPr>
        <w:t xml:space="preserve"> (הנ״ל, עמ׳ </w:t>
      </w:r>
      <w:r>
        <w:rPr>
          <w:sz w:val="20"/>
          <w:szCs w:val="20"/>
          <w:rtl/>
        </w:rPr>
        <w:fldChar w:fldCharType="begin" w:dirty="true"/>
      </w:r>
      <w:r>
        <w:rPr>
          <w:sz w:val="20"/>
          <w:szCs w:val="20"/>
          <w:rtl/>
        </w:rPr>
        <w:instrText xml:space="preserve"> PAGEREF pr_f_261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pr_f_261 \h </w:instrText>
      </w:r>
      <w:r>
        <w:rPr>
          <w:sz w:val="20"/>
          <w:szCs w:val="20"/>
          <w:rtl/>
        </w:rPr>
      </w:r>
      <w:r>
        <w:rPr>
          <w:sz w:val="20"/>
          <w:szCs w:val="20"/>
          <w:rtl/>
        </w:rPr>
        <w:fldChar w:fldCharType="separate"/>
      </w:r>
      <w:r w:rsidR="007923E9">
        <w:rPr>
          <w:sz w:val="20"/>
          <w:szCs w:val="20"/>
          <w:rtl/>
        </w:rPr>
        <w:t>204</w:t>
      </w:r>
      <w:r>
        <w:rPr>
          <w:sz w:val="20"/>
          <w:szCs w:val="20"/>
          <w:rtl/>
        </w:rPr>
        <w:fldChar w:fldCharType="end"/>
      </w:r>
      <w:r>
        <w:rPr>
          <w:sz w:val="20"/>
          <w:szCs w:val="20"/>
          <w:rtl/>
        </w:rPr>
        <w:t xml:space="preserve">): </w:t>
      </w:r>
      <w:proofErr w:type="spellStart"/>
      <w:r>
        <w:rPr>
          <w:sz w:val="20"/>
          <w:szCs w:val="20"/>
          <w:rtl/>
        </w:rPr>
        <w:t>החפץ־חיים</w:t>
      </w:r>
      <w:proofErr w:type="spellEnd"/>
      <w:r>
        <w:rPr>
          <w:sz w:val="20"/>
          <w:szCs w:val="20"/>
          <w:rtl/>
        </w:rPr>
        <w:t xml:space="preserve"> הוא שיזם צדקה זו בערים שונות שחנו בהן חיילים יהודים. זו הייתה הצדקה היחידה שנשאה שם יידי ולא עברי. אפשר להציע שבניגוד לשאר הצדקות, שפנו בבקשת תרומות אל בעלי הבתים האמידים, הבקיאים בעברית, פנתה צדקת “</w:t>
      </w:r>
      <w:proofErr w:type="spellStart"/>
      <w:r>
        <w:rPr>
          <w:sz w:val="20"/>
          <w:szCs w:val="20"/>
          <w:rtl/>
        </w:rPr>
        <w:t>כשר־קעסעל</w:t>
      </w:r>
      <w:proofErr w:type="spellEnd"/>
      <w:r>
        <w:rPr>
          <w:sz w:val="20"/>
          <w:szCs w:val="20"/>
          <w:rtl/>
        </w:rPr>
        <w:t xml:space="preserve">” אל הנהנים ממנה, החיילים, וקראה להם בלשון האם </w:t>
      </w:r>
      <w:r>
        <w:rPr>
          <w:b/>
          <w:bCs/>
          <w:sz w:val="20"/>
          <w:szCs w:val="20"/>
          <w:rtl/>
        </w:rPr>
        <w:t>שלהם</w:t>
      </w:r>
      <w:r>
        <w:rPr>
          <w:sz w:val="20"/>
          <w:szCs w:val="20"/>
          <w:rtl/>
        </w:rPr>
        <w:t>, יידיש, שלא יעברו על דת ישראל באכילת מאכלות אסורים.</w:t>
      </w:r>
    </w:p>
  </w:footnote>
  <w:footnote w:id="520">
    <w:p w14:paraId="6F6C20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21">
    <w:p w14:paraId="2214C8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אגודה זו הייתה ענף של צדקת ביקור חולים המקורית, אחת מקבוצת </w:t>
      </w:r>
      <w:proofErr w:type="spellStart"/>
      <w:r>
        <w:rPr>
          <w:sz w:val="20"/>
          <w:szCs w:val="20"/>
          <w:rtl/>
        </w:rPr>
        <w:t>הז״ץ</w:t>
      </w:r>
      <w:proofErr w:type="spellEnd"/>
      <w:r>
        <w:rPr>
          <w:sz w:val="20"/>
          <w:szCs w:val="20"/>
          <w:rtl/>
        </w:rPr>
        <w:t xml:space="preserve"> שהוזכרה לעיל, </w:t>
      </w:r>
      <w:proofErr w:type="spellStart"/>
      <w:r>
        <w:rPr>
          <w:sz w:val="20"/>
          <w:szCs w:val="20"/>
          <w:rtl/>
        </w:rPr>
        <w:t>וה“לינה</w:t>
      </w:r>
      <w:proofErr w:type="spellEnd"/>
      <w:r>
        <w:rPr>
          <w:sz w:val="20"/>
          <w:szCs w:val="20"/>
          <w:rtl/>
        </w:rPr>
        <w:t>” שבשם האגודה מוסבת על החולים המרותקים למיטתם.</w:t>
      </w:r>
    </w:p>
  </w:footnote>
  <w:footnote w:id="522">
    <w:p w14:paraId="1268B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ב בפרק זה.</w:t>
      </w:r>
    </w:p>
  </w:footnote>
  <w:footnote w:id="523">
    <w:p w14:paraId="562FCA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רחל חדש </w:t>
      </w:r>
      <w:proofErr w:type="spellStart"/>
      <w:r>
        <w:rPr>
          <w:sz w:val="20"/>
          <w:szCs w:val="20"/>
          <w:rtl/>
        </w:rPr>
        <w:t>ב“מינסק</w:t>
      </w:r>
      <w:proofErr w:type="spellEnd"/>
      <w:r>
        <w:rPr>
          <w:sz w:val="20"/>
          <w:szCs w:val="20"/>
          <w:rtl/>
        </w:rPr>
        <w:t xml:space="preserve"> עיר ואם א”, עמ׳ 506.</w:t>
      </w:r>
    </w:p>
  </w:footnote>
  <w:footnote w:id="524">
    <w:p w14:paraId="02713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525">
    <w:p w14:paraId="4BF44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1987.</w:t>
      </w:r>
    </w:p>
  </w:footnote>
  <w:footnote w:id="526">
    <w:p w14:paraId="7694F3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527">
    <w:p w14:paraId="4B5A1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במאי 1995.</w:t>
      </w:r>
    </w:p>
  </w:footnote>
  <w:footnote w:id="528">
    <w:p w14:paraId="5AC8B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סעיף 3 בפרק זה.</w:t>
      </w:r>
    </w:p>
  </w:footnote>
  <w:footnote w:id="529">
    <w:p w14:paraId="60757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530">
    <w:p w14:paraId="150DD5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10 בפברואר 1988.</w:t>
      </w:r>
    </w:p>
  </w:footnote>
  <w:footnote w:id="531">
    <w:p w14:paraId="4ECB30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ב־5 באוקטובר 1990.</w:t>
      </w:r>
    </w:p>
  </w:footnote>
  <w:footnote w:id="532">
    <w:p w14:paraId="640EA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11 לעיל.</w:t>
      </w:r>
    </w:p>
  </w:footnote>
  <w:footnote w:id="533">
    <w:p w14:paraId="22220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 לעיל.</w:t>
      </w:r>
    </w:p>
  </w:footnote>
  <w:footnote w:id="534">
    <w:p w14:paraId="0F172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דבריו מובאים בעמ׳ 187 בספר “המגיד מדבר” מאת הרב פסח י. קרון (הוצאת מסורה, 1987). הסיפור כפי שהוא מובא שם אינו מדויק בשש נקודות: (1) שמה לא היה “</w:t>
      </w:r>
      <w:proofErr w:type="spellStart"/>
      <w:r>
        <w:rPr>
          <w:sz w:val="20"/>
          <w:szCs w:val="20"/>
          <w:rtl/>
        </w:rPr>
        <w:t>חאוואלע</w:t>
      </w:r>
      <w:proofErr w:type="spellEnd"/>
      <w:r>
        <w:rPr>
          <w:sz w:val="20"/>
          <w:szCs w:val="20"/>
          <w:rtl/>
        </w:rPr>
        <w:t xml:space="preserve">”, אלא </w:t>
      </w:r>
      <w:proofErr w:type="spellStart"/>
      <w:r>
        <w:rPr>
          <w:sz w:val="20"/>
          <w:szCs w:val="20"/>
          <w:rtl/>
        </w:rPr>
        <w:t>בלומקה</w:t>
      </w:r>
      <w:proofErr w:type="spellEnd"/>
      <w:r>
        <w:rPr>
          <w:sz w:val="20"/>
          <w:szCs w:val="20"/>
          <w:rtl/>
        </w:rPr>
        <w:t xml:space="preserve">; (2) השול שבנתה לא נודע בשם “השול של </w:t>
      </w:r>
      <w:proofErr w:type="spellStart"/>
      <w:r>
        <w:rPr>
          <w:sz w:val="20"/>
          <w:szCs w:val="20"/>
          <w:rtl/>
        </w:rPr>
        <w:t>חאוואלע</w:t>
      </w:r>
      <w:proofErr w:type="spellEnd"/>
      <w:r>
        <w:rPr>
          <w:sz w:val="20"/>
          <w:szCs w:val="20"/>
          <w:rtl/>
        </w:rPr>
        <w:t>”, אלא בשם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(3) היא לא הביאה לו “שתי חלות לשבת בכל שבוע”, אלא כמסופר בהערה 33 לעיל; (4) השאגת אריה לא רצה שתתעשר </w:t>
      </w:r>
      <w:r>
        <w:rPr>
          <w:b/>
          <w:bCs/>
          <w:sz w:val="20"/>
          <w:szCs w:val="20"/>
          <w:rtl/>
        </w:rPr>
        <w:t>כדי</w:t>
      </w:r>
      <w:r>
        <w:rPr>
          <w:sz w:val="20"/>
          <w:szCs w:val="20"/>
          <w:rtl/>
        </w:rPr>
        <w:t xml:space="preserve"> שתבנה שני בתי כנסת (אחד במינסק והאחר בירושלים), וברכתו לעושר לא הזכירה שום תכלית; (5) השאגת אריה לא הזכיר שתבנה בית כנסת בארץ ישראל, אלא רק שתשב שם; (6) השאגת אריה מעולם לא הזכיר שתבנה בית כנסת במינסק, והרעיון עלה מיוזמה בת זמנה.</w:t>
      </w:r>
    </w:p>
  </w:footnote>
  <w:footnote w:id="535">
    <w:p w14:paraId="06A9F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חיים ע. </w:t>
      </w:r>
      <w:proofErr w:type="spellStart"/>
      <w:r>
        <w:rPr>
          <w:sz w:val="20"/>
          <w:szCs w:val="20"/>
          <w:rtl/>
        </w:rPr>
        <w:t>קוליץ</w:t>
      </w:r>
      <w:proofErr w:type="spellEnd"/>
      <w:r>
        <w:rPr>
          <w:sz w:val="20"/>
          <w:szCs w:val="20"/>
          <w:rtl/>
        </w:rPr>
        <w:t xml:space="preserve"> – עמ׳ 38.</w:t>
      </w:r>
    </w:p>
  </w:footnote>
  <w:footnote w:id="536">
    <w:p w14:paraId="40F186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ספר זה טועה כשהוא מוסר: (1) </w:t>
      </w:r>
      <w:proofErr w:type="spellStart"/>
      <w:r>
        <w:rPr>
          <w:sz w:val="20"/>
          <w:szCs w:val="20"/>
          <w:rtl/>
        </w:rPr>
        <w:t>שהשאגת</w:t>
      </w:r>
      <w:proofErr w:type="spellEnd"/>
      <w:r>
        <w:rPr>
          <w:sz w:val="20"/>
          <w:szCs w:val="20"/>
          <w:rtl/>
        </w:rPr>
        <w:t xml:space="preserve"> אריה קשר את ברכתו לעושר בבניית שני בתי כנסת – כמו </w:t>
      </w:r>
      <w:proofErr w:type="spellStart"/>
      <w:r>
        <w:rPr>
          <w:sz w:val="20"/>
          <w:szCs w:val="20"/>
          <w:rtl/>
        </w:rPr>
        <w:t>ב“המגיד</w:t>
      </w:r>
      <w:proofErr w:type="spellEnd"/>
      <w:r>
        <w:rPr>
          <w:sz w:val="20"/>
          <w:szCs w:val="20"/>
          <w:rtl/>
        </w:rPr>
        <w:t xml:space="preserve"> מדבר”; (2) </w:t>
      </w:r>
      <w:proofErr w:type="spellStart"/>
      <w:r>
        <w:rPr>
          <w:sz w:val="20"/>
          <w:szCs w:val="20"/>
          <w:rtl/>
        </w:rPr>
        <w:t>שהשאגת</w:t>
      </w:r>
      <w:proofErr w:type="spellEnd"/>
      <w:r>
        <w:rPr>
          <w:sz w:val="20"/>
          <w:szCs w:val="20"/>
          <w:rtl/>
        </w:rPr>
        <w:t xml:space="preserve"> אריה בירך אותה שילדיה יהיו גדולי תורה; (3) שר׳ רפאל המבורגר היה מילדיה של </w:t>
      </w:r>
      <w:proofErr w:type="spellStart"/>
      <w:r>
        <w:rPr>
          <w:sz w:val="20"/>
          <w:szCs w:val="20"/>
          <w:rtl/>
        </w:rPr>
        <w:t>בלומקה</w:t>
      </w:r>
      <w:proofErr w:type="spellEnd"/>
      <w:r>
        <w:rPr>
          <w:sz w:val="20"/>
          <w:szCs w:val="20"/>
          <w:rtl/>
        </w:rPr>
        <w:t xml:space="preserve"> – טעות גסה, שמקורה כנראה בטעות השנייה.</w:t>
      </w:r>
    </w:p>
  </w:footnote>
  <w:footnote w:id="537">
    <w:p w14:paraId="0CD4BA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“הראשון לשושלת </w:t>
      </w:r>
      <w:proofErr w:type="spellStart"/>
      <w:r>
        <w:rPr>
          <w:rStyle w:val="a5"/>
          <w:sz w:val="20"/>
          <w:szCs w:val="20"/>
          <w:vertAlign w:val="baseline"/>
          <w:rtl/>
        </w:rPr>
        <w:t>בריסק</w:t>
      </w:r>
      <w:proofErr w:type="spellEnd"/>
      <w:r>
        <w:rPr>
          <w:rStyle w:val="a5"/>
          <w:sz w:val="20"/>
          <w:szCs w:val="20"/>
          <w:vertAlign w:val="baseline"/>
          <w:rtl/>
        </w:rPr>
        <w:t xml:space="preserve">” (הנ״ל, עמ׳ </w:t>
      </w:r>
      <w:r>
        <w:rPr>
          <w:rStyle w:val="a5"/>
          <w:sz w:val="20"/>
          <w:szCs w:val="20"/>
          <w:vertAlign w:val="baseline"/>
          <w:rtl/>
        </w:rPr>
        <w:fldChar w:fldCharType="begin" w:dirty="true"/>
      </w:r>
      <w:r>
        <w:rPr>
          <w:rStyle w:val="a5"/>
          <w:sz w:val="20"/>
          <w:szCs w:val="20"/>
          <w:vertAlign w:val="baseline"/>
          <w:rtl/>
        </w:rPr>
        <w:instrText xml:space="preserve"> PAGEREF pr_f_352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pr_f_352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sz w:val="20"/>
          <w:szCs w:val="20"/>
          <w:rtl/>
        </w:rPr>
        <w:t>), הערה 130 בעמ׳ 82.</w:t>
      </w:r>
    </w:p>
  </w:footnote>
  <w:footnote w:id="538">
    <w:p w14:paraId="5803C6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בהגהותיו על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ססי׳ ש״ה מזכירו רע״א כבנו “החתן החריף”.</w:t>
      </w:r>
    </w:p>
  </w:footnote>
  <w:footnote w:id="539">
    <w:p w14:paraId="23F04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(פרק 2, הערה 12), ח״א, עמ׳ קנב.</w:t>
      </w:r>
    </w:p>
  </w:footnote>
  <w:footnote w:id="540">
    <w:p w14:paraId="52E5A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33 לעיל.</w:t>
      </w:r>
    </w:p>
  </w:footnote>
  <w:footnote w:id="541">
    <w:p w14:paraId="4F9A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שיט.</w:t>
      </w:r>
    </w:p>
  </w:footnote>
  <w:footnote w:id="542">
    <w:p w14:paraId="6DF209E8"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במקור; לפי המשך הטיעון נראה שהכוונה לאחי בעלה של </w:t>
      </w:r>
      <w:proofErr w:type="spellStart"/>
      <w:r>
        <w:rPr>
          <w:sz w:val="20"/>
          <w:szCs w:val="20"/>
          <w:rtl/>
        </w:rPr>
        <w:t>בלומקה</w:t>
      </w:r>
      <w:proofErr w:type="spellEnd"/>
      <w:r>
        <w:rPr>
          <w:sz w:val="20"/>
          <w:szCs w:val="20"/>
          <w:rtl/>
        </w:rPr>
        <w:t>.</w:t>
      </w:r>
    </w:p>
  </w:footnote>
  <w:footnote w:id="543">
    <w:p w14:paraId="7972F9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בסוף עמ׳ 24.</w:t>
      </w:r>
    </w:p>
  </w:footnote>
  <w:footnote w:id="544">
    <w:p w14:paraId="4AECA6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446–460.</w:t>
      </w:r>
    </w:p>
  </w:footnote>
  <w:footnote w:id="545">
    <w:p w14:paraId="73BBE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w:t>
      </w:r>
    </w:p>
  </w:footnote>
  <w:footnote w:id="546">
    <w:p w14:paraId="0B575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w:t>
      </w:r>
      <w:proofErr w:type="spellStart"/>
      <w:r>
        <w:rPr>
          <w:sz w:val="20"/>
          <w:szCs w:val="20"/>
          <w:rtl/>
        </w:rPr>
        <w:t>משה־שמואל</w:t>
      </w:r>
      <w:proofErr w:type="spellEnd"/>
      <w:r>
        <w:rPr>
          <w:sz w:val="20"/>
          <w:szCs w:val="20"/>
          <w:rtl/>
        </w:rPr>
        <w:t xml:space="preserve"> </w:t>
      </w:r>
      <w:proofErr w:type="spellStart"/>
      <w:r>
        <w:rPr>
          <w:sz w:val="20"/>
          <w:szCs w:val="20"/>
          <w:rtl/>
        </w:rPr>
        <w:t>שמוקלר</w:t>
      </w:r>
      <w:proofErr w:type="spellEnd"/>
      <w:r>
        <w:rPr>
          <w:sz w:val="20"/>
          <w:szCs w:val="20"/>
          <w:rtl/>
        </w:rPr>
        <w:t xml:space="preserve"> (שפירא), וילנה, תר״ע – עמ׳ 33–34.</w:t>
      </w:r>
    </w:p>
  </w:footnote>
  <w:footnote w:id="547">
    <w:p w14:paraId="2FC835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 ו־99.</w:t>
      </w:r>
    </w:p>
  </w:footnote>
  <w:footnote w:id="548">
    <w:p w14:paraId="2EBCC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108.</w:t>
      </w:r>
    </w:p>
  </w:footnote>
  <w:footnote w:id="549">
    <w:p w14:paraId="1A960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אלכסנדר </w:t>
      </w:r>
      <w:proofErr w:type="spellStart"/>
      <w:r>
        <w:rPr>
          <w:sz w:val="20"/>
          <w:szCs w:val="20"/>
          <w:rtl/>
        </w:rPr>
        <w:t>זיסקינד</w:t>
      </w:r>
      <w:proofErr w:type="spellEnd"/>
      <w:r>
        <w:rPr>
          <w:sz w:val="20"/>
          <w:szCs w:val="20"/>
          <w:rtl/>
        </w:rPr>
        <w:t xml:space="preserve"> הורוביץ, מחבר “</w:t>
      </w:r>
      <w:proofErr w:type="spellStart"/>
      <w:r>
        <w:rPr>
          <w:sz w:val="20"/>
          <w:szCs w:val="20"/>
          <w:rtl/>
        </w:rPr>
        <w:t>זכרונות</w:t>
      </w:r>
      <w:proofErr w:type="spellEnd"/>
      <w:r>
        <w:rPr>
          <w:sz w:val="20"/>
          <w:szCs w:val="20"/>
          <w:rtl/>
        </w:rPr>
        <w:t xml:space="preserve"> פון צווי דורות” (הערה 13 לעיל), טוען שישיבת </w:t>
      </w:r>
      <w:proofErr w:type="spellStart"/>
      <w:r>
        <w:rPr>
          <w:sz w:val="20"/>
          <w:szCs w:val="20"/>
          <w:rtl/>
        </w:rPr>
        <w:t>הקלויז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שבה למד בגיל </w:t>
      </w:r>
      <w:proofErr w:type="spellStart"/>
      <w:r>
        <w:rPr>
          <w:sz w:val="20"/>
          <w:szCs w:val="20"/>
          <w:rtl/>
        </w:rPr>
        <w:t>ארבע־עשרה</w:t>
      </w:r>
      <w:proofErr w:type="spellEnd"/>
      <w:r>
        <w:rPr>
          <w:sz w:val="20"/>
          <w:szCs w:val="20"/>
          <w:rtl/>
        </w:rPr>
        <w:t xml:space="preserve"> בשנת תרל״ד, התנהלה בידי בתה של </w:t>
      </w:r>
      <w:proofErr w:type="spellStart"/>
      <w:r>
        <w:rPr>
          <w:sz w:val="20"/>
          <w:szCs w:val="20"/>
          <w:rtl/>
        </w:rPr>
        <w:t>בלומקה</w:t>
      </w:r>
      <w:proofErr w:type="spellEnd"/>
      <w:r>
        <w:rPr>
          <w:sz w:val="20"/>
          <w:szCs w:val="20"/>
          <w:rtl/>
        </w:rPr>
        <w:t xml:space="preserve">, רבקה, ושלושים שנה קודם לכן, כלומר בשנת תר״ד, ניהלה </w:t>
      </w:r>
      <w:proofErr w:type="spellStart"/>
      <w:r>
        <w:rPr>
          <w:sz w:val="20"/>
          <w:szCs w:val="20"/>
          <w:rtl/>
        </w:rPr>
        <w:t>בלומקה</w:t>
      </w:r>
      <w:proofErr w:type="spellEnd"/>
      <w:r>
        <w:rPr>
          <w:sz w:val="20"/>
          <w:szCs w:val="20"/>
          <w:rtl/>
        </w:rPr>
        <w:t xml:space="preserve"> עצמה את הישיבה. טענתו מוטעית: </w:t>
      </w:r>
      <w:proofErr w:type="spellStart"/>
      <w:r>
        <w:rPr>
          <w:sz w:val="20"/>
          <w:szCs w:val="20"/>
          <w:rtl/>
        </w:rPr>
        <w:t>בלומקה</w:t>
      </w:r>
      <w:proofErr w:type="spellEnd"/>
      <w:r>
        <w:rPr>
          <w:sz w:val="20"/>
          <w:szCs w:val="20"/>
          <w:rtl/>
        </w:rPr>
        <w:t xml:space="preserve">, מייסדת </w:t>
      </w:r>
      <w:proofErr w:type="spellStart"/>
      <w:r>
        <w:rPr>
          <w:sz w:val="20"/>
          <w:szCs w:val="20"/>
          <w:rtl/>
        </w:rPr>
        <w:t>הקלויז</w:t>
      </w:r>
      <w:proofErr w:type="spellEnd"/>
      <w:r>
        <w:rPr>
          <w:sz w:val="20"/>
          <w:szCs w:val="20"/>
          <w:rtl/>
        </w:rPr>
        <w:t xml:space="preserve">, כבר מלאו לה מאה שנה בארץ ישראל </w:t>
      </w:r>
      <w:proofErr w:type="spellStart"/>
      <w:r>
        <w:rPr>
          <w:sz w:val="20"/>
          <w:szCs w:val="20"/>
          <w:rtl/>
        </w:rPr>
        <w:t>ארבע־עשרה</w:t>
      </w:r>
      <w:proofErr w:type="spellEnd"/>
      <w:r>
        <w:rPr>
          <w:sz w:val="20"/>
          <w:szCs w:val="20"/>
          <w:rtl/>
        </w:rPr>
        <w:t xml:space="preserve"> שנה לפני תר״ד – אפילו אם הייתה רק בת </w:t>
      </w:r>
      <w:proofErr w:type="spellStart"/>
      <w:r>
        <w:rPr>
          <w:sz w:val="20"/>
          <w:szCs w:val="20"/>
          <w:rtl/>
        </w:rPr>
        <w:t>שתים־עשרה</w:t>
      </w:r>
      <w:proofErr w:type="spellEnd"/>
      <w:r>
        <w:rPr>
          <w:sz w:val="20"/>
          <w:szCs w:val="20"/>
          <w:rtl/>
        </w:rPr>
        <w:t xml:space="preserve"> כשגורש השאגת אריה לראשונה ממינסק, בשנת תק״ב.</w:t>
      </w:r>
    </w:p>
    <w:p w14:paraId="079F48D0" w14:textId="77777777" w:rsidR="00AB3647" w:rsidRDefault="00000000">
      <w:pPr>
        <w:spacing w:after="0" w:before="0"/>
        <w:jc w:val="both"/>
      </w:pPr>
      <w:r>
        <w:rPr>
          <w:sz w:val="20"/>
          <w:szCs w:val="20"/>
          <w:rtl/>
        </w:rPr>
        <w:t xml:space="preserve">אולי </w:t>
      </w:r>
      <w:r>
        <w:rPr>
          <w:b/>
          <w:bCs/>
          <w:sz w:val="20"/>
          <w:szCs w:val="20"/>
          <w:rtl/>
        </w:rPr>
        <w:t>צאצאית</w:t>
      </w:r>
      <w:r>
        <w:rPr>
          <w:sz w:val="20"/>
          <w:szCs w:val="20"/>
          <w:rtl/>
        </w:rPr>
        <w:t xml:space="preserve"> של </w:t>
      </w:r>
      <w:proofErr w:type="spellStart"/>
      <w:r>
        <w:rPr>
          <w:sz w:val="20"/>
          <w:szCs w:val="20"/>
          <w:rtl/>
        </w:rPr>
        <w:t>בלומקה</w:t>
      </w:r>
      <w:proofErr w:type="spellEnd"/>
      <w:r>
        <w:rPr>
          <w:sz w:val="20"/>
          <w:szCs w:val="20"/>
          <w:rtl/>
        </w:rPr>
        <w:t xml:space="preserve"> המקורית </w:t>
      </w:r>
      <w:r>
        <w:rPr>
          <w:b/>
          <w:bCs/>
          <w:sz w:val="20"/>
          <w:szCs w:val="20"/>
          <w:rtl/>
        </w:rPr>
        <w:t>שנקראה על שמה</w:t>
      </w:r>
      <w:r>
        <w:rPr>
          <w:sz w:val="20"/>
          <w:szCs w:val="20"/>
          <w:rtl/>
        </w:rPr>
        <w:t xml:space="preserve"> היא </w:t>
      </w:r>
      <w:proofErr w:type="spellStart"/>
      <w:r>
        <w:rPr>
          <w:sz w:val="20"/>
          <w:szCs w:val="20"/>
          <w:rtl/>
        </w:rPr>
        <w:t>בלומקה</w:t>
      </w:r>
      <w:proofErr w:type="spellEnd"/>
      <w:r>
        <w:rPr>
          <w:sz w:val="20"/>
          <w:szCs w:val="20"/>
          <w:rtl/>
        </w:rPr>
        <w:t xml:space="preserve"> שעמדה בראש </w:t>
      </w:r>
      <w:proofErr w:type="spellStart"/>
      <w:r>
        <w:rPr>
          <w:sz w:val="20"/>
          <w:szCs w:val="20"/>
          <w:rtl/>
        </w:rPr>
        <w:t>הקלויז</w:t>
      </w:r>
      <w:proofErr w:type="spellEnd"/>
      <w:r>
        <w:rPr>
          <w:sz w:val="20"/>
          <w:szCs w:val="20"/>
          <w:rtl/>
        </w:rPr>
        <w:t xml:space="preserve"> שלושים שנה לפני שלמד שם הרב הורוביץ. אבל אם צאצאית שנקראה על שמה – אחרי שנפטרה בת יותר ממאה (כבסוף הערה 33 לעיל) – כבר הייתה בגיל שבו יכלה לנהל את </w:t>
      </w:r>
      <w:proofErr w:type="spellStart"/>
      <w:r>
        <w:rPr>
          <w:sz w:val="20"/>
          <w:szCs w:val="20"/>
          <w:rtl/>
        </w:rPr>
        <w:t>הקלויז</w:t>
      </w:r>
      <w:proofErr w:type="spellEnd"/>
      <w:r>
        <w:rPr>
          <w:sz w:val="20"/>
          <w:szCs w:val="20"/>
          <w:rtl/>
        </w:rPr>
        <w:t xml:space="preserve"> בשנת תר״ד, מן ההכרח </w:t>
      </w:r>
      <w:proofErr w:type="spellStart"/>
      <w:r>
        <w:rPr>
          <w:sz w:val="20"/>
          <w:szCs w:val="20"/>
          <w:rtl/>
        </w:rPr>
        <w:t>שבלומקה</w:t>
      </w:r>
      <w:proofErr w:type="spellEnd"/>
      <w:r>
        <w:rPr>
          <w:sz w:val="20"/>
          <w:szCs w:val="20"/>
          <w:rtl/>
        </w:rPr>
        <w:t xml:space="preserve"> הגיעה לגיל מאה עד שנת תקפ״ב. אם כן, הייתה לפחות בת עשרים כשהגישה לשאגת אריה את מרכולתה, ולפחות בת תשעים כשעלתה לארץ ישראל!</w:t>
      </w:r>
    </w:p>
  </w:footnote>
  <w:footnote w:id="550">
    <w:p w14:paraId="04B8F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אלמנת המחבר, תל אביב, </w:t>
      </w:r>
      <w:proofErr w:type="spellStart"/>
      <w:r>
        <w:rPr>
          <w:sz w:val="20"/>
          <w:szCs w:val="20"/>
          <w:rtl/>
        </w:rPr>
        <w:t>תש״ן</w:t>
      </w:r>
      <w:proofErr w:type="spellEnd"/>
      <w:r>
        <w:rPr>
          <w:sz w:val="20"/>
          <w:szCs w:val="20"/>
          <w:rtl/>
        </w:rPr>
        <w:t xml:space="preserve"> – עמ׳ 476.</w:t>
      </w:r>
    </w:p>
  </w:footnote>
  <w:footnote w:id="551">
    <w:p w14:paraId="476172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נספח א בפרק זה.</w:t>
      </w:r>
    </w:p>
  </w:footnote>
  <w:footnote w:id="552">
    <w:p w14:paraId="00745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553">
    <w:p w14:paraId="09424B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554">
    <w:p w14:paraId="4F676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102.</w:t>
      </w:r>
    </w:p>
  </w:footnote>
  <w:footnote w:id="555">
    <w:p w14:paraId="4BE9E8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ב”, עמ׳ 153.</w:t>
      </w:r>
    </w:p>
  </w:footnote>
  <w:footnote w:id="556">
    <w:p w14:paraId="6796F9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 ו־143.</w:t>
      </w:r>
    </w:p>
  </w:footnote>
  <w:footnote w:id="557">
    <w:p w14:paraId="25F8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255.</w:t>
      </w:r>
    </w:p>
  </w:footnote>
  <w:footnote w:id="558">
    <w:p w14:paraId="51871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149, הערה 1, </w:t>
      </w:r>
      <w:proofErr w:type="spellStart"/>
      <w:r>
        <w:rPr>
          <w:sz w:val="20"/>
          <w:szCs w:val="20"/>
          <w:rtl/>
        </w:rPr>
        <w:t>ו“זכרון</w:t>
      </w:r>
      <w:proofErr w:type="spellEnd"/>
      <w:r>
        <w:rPr>
          <w:sz w:val="20"/>
          <w:szCs w:val="20"/>
          <w:rtl/>
        </w:rPr>
        <w:t xml:space="preserve"> יעקב” (הערה 4 לעיל), כרך 1, עמ׳ 196. בתלמוד פירושו קניין בדרך של החזקה.</w:t>
      </w:r>
    </w:p>
  </w:footnote>
  <w:footnote w:id="559">
    <w:p w14:paraId="47B04D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196–197.</w:t>
      </w:r>
    </w:p>
  </w:footnote>
  <w:footnote w:id="560">
    <w:p w14:paraId="51A691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השלישית בנספח </w:t>
      </w:r>
      <w:proofErr w:type="spellStart"/>
      <w:r>
        <w:rPr>
          <w:sz w:val="20"/>
          <w:szCs w:val="20"/>
          <w:rtl/>
        </w:rPr>
        <w:t>כו</w:t>
      </w:r>
      <w:proofErr w:type="spellEnd"/>
      <w:r>
        <w:rPr>
          <w:sz w:val="20"/>
          <w:szCs w:val="20"/>
          <w:rtl/>
        </w:rPr>
        <w:t>.</w:t>
      </w:r>
    </w:p>
  </w:footnote>
  <w:footnote w:id="561">
    <w:p w14:paraId="7E226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כרך 2, עמ׳ 151.</w:t>
      </w:r>
    </w:p>
  </w:footnote>
  <w:footnote w:id="562">
    <w:p w14:paraId="09357A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שכטר (פרק 1, הערה 56). והשווה גם פרק 1, הערה 1. ובסידור אוצר התפלות מביא </w:t>
      </w:r>
      <w:proofErr w:type="spellStart"/>
      <w:r>
        <w:rPr>
          <w:sz w:val="20"/>
          <w:szCs w:val="20"/>
          <w:rtl/>
        </w:rPr>
        <w:t>בענין</w:t>
      </w:r>
      <w:proofErr w:type="spellEnd"/>
      <w:r>
        <w:rPr>
          <w:sz w:val="20"/>
          <w:szCs w:val="20"/>
          <w:rtl/>
        </w:rPr>
        <w:t xml:space="preserve"> קדושה </w:t>
      </w:r>
      <w:proofErr w:type="spellStart"/>
      <w:r>
        <w:rPr>
          <w:sz w:val="20"/>
          <w:szCs w:val="20"/>
          <w:rtl/>
        </w:rPr>
        <w:t>דסידרא</w:t>
      </w:r>
      <w:proofErr w:type="spellEnd"/>
      <w:r>
        <w:rPr>
          <w:sz w:val="20"/>
          <w:szCs w:val="20"/>
          <w:rtl/>
        </w:rPr>
        <w:t xml:space="preserve"> מתשובות הגאונים בשם רב </w:t>
      </w:r>
      <w:proofErr w:type="spellStart"/>
      <w:r>
        <w:rPr>
          <w:sz w:val="20"/>
          <w:szCs w:val="20"/>
          <w:rtl/>
        </w:rPr>
        <w:t>נטרונאי</w:t>
      </w:r>
      <w:proofErr w:type="spellEnd"/>
      <w:r>
        <w:rPr>
          <w:sz w:val="20"/>
          <w:szCs w:val="20"/>
          <w:rtl/>
        </w:rPr>
        <w:t xml:space="preserve"> גאון שבתחילה היו קוראים בנביא כל יום אחר התפלה.</w:t>
      </w:r>
    </w:p>
  </w:footnote>
  <w:footnote w:id="563">
    <w:p w14:paraId="63A309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אורח חיים סי׳ קי״ד ס״ח.</w:t>
      </w:r>
    </w:p>
  </w:footnote>
  <w:footnote w:id="564">
    <w:p w14:paraId="00ABF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שמעון </w:t>
      </w:r>
      <w:proofErr w:type="spellStart"/>
      <w:r>
        <w:rPr>
          <w:sz w:val="20"/>
          <w:szCs w:val="20"/>
          <w:rtl/>
        </w:rPr>
        <w:t>ג׳ייקובס</w:t>
      </w:r>
      <w:proofErr w:type="spellEnd"/>
      <w:r>
        <w:rPr>
          <w:sz w:val="20"/>
          <w:szCs w:val="20"/>
          <w:rtl/>
        </w:rPr>
        <w:t>, ריאיון, 21 בפברואר 1988.</w:t>
      </w:r>
    </w:p>
  </w:footnote>
  <w:footnote w:id="565">
    <w:p w14:paraId="5FC175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(הערה 4 לעיל), כרך 2, עמ׳ 152.</w:t>
      </w:r>
    </w:p>
  </w:footnote>
  <w:footnote w:id="566">
    <w:p w14:paraId="1BCC1F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567">
    <w:p w14:paraId="00E52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נספחים ז </w:t>
      </w:r>
      <w:proofErr w:type="spellStart"/>
      <w:r>
        <w:rPr>
          <w:sz w:val="20"/>
          <w:szCs w:val="20"/>
          <w:rtl/>
        </w:rPr>
        <w:t>ו־ח</w:t>
      </w:r>
      <w:proofErr w:type="spellEnd"/>
      <w:r>
        <w:rPr>
          <w:sz w:val="20"/>
          <w:szCs w:val="20"/>
          <w:rtl/>
        </w:rPr>
        <w:t>.</w:t>
      </w:r>
    </w:p>
  </w:footnote>
  <w:footnote w:id="568">
    <w:p w14:paraId="73064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הנהר מתחיל את מסלולו המתפתל, באורך 800 קילומטר, ממקום סמוך </w:t>
      </w:r>
      <w:proofErr w:type="spellStart"/>
      <w:r>
        <w:rPr>
          <w:sz w:val="20"/>
          <w:szCs w:val="20"/>
          <w:rtl/>
        </w:rPr>
        <w:t>לסטויבץ</w:t>
      </w:r>
      <w:proofErr w:type="spellEnd"/>
      <w:r>
        <w:rPr>
          <w:sz w:val="20"/>
          <w:szCs w:val="20"/>
          <w:rtl/>
        </w:rPr>
        <w:t xml:space="preserve">, דרך </w:t>
      </w:r>
      <w:proofErr w:type="spellStart"/>
      <w:r>
        <w:rPr>
          <w:sz w:val="20"/>
          <w:szCs w:val="20"/>
          <w:rtl/>
        </w:rPr>
        <w:t>גרודנא</w:t>
      </w:r>
      <w:proofErr w:type="spellEnd"/>
      <w:r>
        <w:rPr>
          <w:sz w:val="20"/>
          <w:szCs w:val="20"/>
          <w:rtl/>
        </w:rPr>
        <w:t xml:space="preserve"> וקובנה, אל הים הבלטי.</w:t>
      </w:r>
    </w:p>
  </w:footnote>
  <w:footnote w:id="569">
    <w:p w14:paraId="52D5CE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מסר לי ב־20 במאי 1999 ר׳ נחמן קליין, ששמע אותו מבתו של חברו לשחייה של </w:t>
      </w:r>
      <w:proofErr w:type="spellStart"/>
      <w:r>
        <w:rPr>
          <w:sz w:val="20"/>
          <w:szCs w:val="20"/>
          <w:rtl/>
        </w:rPr>
        <w:t>החזון־איש</w:t>
      </w:r>
      <w:proofErr w:type="spellEnd"/>
      <w:r>
        <w:rPr>
          <w:sz w:val="20"/>
          <w:szCs w:val="20"/>
          <w:rtl/>
        </w:rPr>
        <w:t xml:space="preserve">. מעשה אחר בגאון ומחדש שהתיז מים על חבריו לשחייה מובא בספר “שמואל בדורו” (ראה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נה</w:t>
      </w:r>
      <w:proofErr w:type="spellEnd"/>
      <w:r>
        <w:rPr>
          <w:sz w:val="20"/>
          <w:szCs w:val="20"/>
          <w:rtl/>
        </w:rPr>
        <w:t xml:space="preserve">–נו, וזה לשונו: כמה נערים ירושלמים ירדו לטבול בבריכת השילוח שלמרגלות הר הזיתים, וכשנכנסו למים פרץ קרב התזות בין אלה שהיו שם קודם ובין הבאים. כשעייפו </w:t>
      </w:r>
      <w:proofErr w:type="spellStart"/>
      <w:r>
        <w:rPr>
          <w:sz w:val="20"/>
          <w:szCs w:val="20"/>
          <w:rtl/>
        </w:rPr>
        <w:t>ה“לוחמים</w:t>
      </w:r>
      <w:proofErr w:type="spellEnd"/>
      <w:r>
        <w:rPr>
          <w:sz w:val="20"/>
          <w:szCs w:val="20"/>
          <w:rtl/>
        </w:rPr>
        <w:t xml:space="preserve">” ושכך </w:t>
      </w:r>
      <w:proofErr w:type="spellStart"/>
      <w:r>
        <w:rPr>
          <w:sz w:val="20"/>
          <w:szCs w:val="20"/>
          <w:rtl/>
        </w:rPr>
        <w:t>ה“קרב</w:t>
      </w:r>
      <w:proofErr w:type="spellEnd"/>
      <w:r>
        <w:rPr>
          <w:sz w:val="20"/>
          <w:szCs w:val="20"/>
          <w:rtl/>
        </w:rPr>
        <w:t xml:space="preserve">”, נדהמו הנערים לראות שאחד מיריביהם היה ר׳ מאיר אורבך (תקע״ה–תרל״ח), לשעבר רבה של </w:t>
      </w:r>
      <w:proofErr w:type="spellStart"/>
      <w:r>
        <w:rPr>
          <w:sz w:val="20"/>
          <w:szCs w:val="20"/>
          <w:rtl/>
        </w:rPr>
        <w:t>קאליש</w:t>
      </w:r>
      <w:proofErr w:type="spellEnd"/>
      <w:r>
        <w:rPr>
          <w:sz w:val="20"/>
          <w:szCs w:val="20"/>
          <w:rtl/>
        </w:rPr>
        <w:t xml:space="preserve"> ומחבר “אמרי בינה”, שעלה לארץ ישראל (בשנת </w:t>
      </w:r>
      <w:proofErr w:type="spellStart"/>
      <w:r>
        <w:rPr>
          <w:sz w:val="20"/>
          <w:szCs w:val="20"/>
          <w:rtl/>
        </w:rPr>
        <w:t>תר״ך</w:t>
      </w:r>
      <w:proofErr w:type="spellEnd"/>
      <w:r>
        <w:rPr>
          <w:sz w:val="20"/>
          <w:szCs w:val="20"/>
          <w:rtl/>
        </w:rPr>
        <w:t xml:space="preserve">). מסופר שהשקיט את </w:t>
      </w:r>
      <w:proofErr w:type="spellStart"/>
      <w:r>
        <w:rPr>
          <w:sz w:val="20"/>
          <w:szCs w:val="20"/>
          <w:rtl/>
        </w:rPr>
        <w:t>תמהונם</w:t>
      </w:r>
      <w:proofErr w:type="spellEnd"/>
      <w:r>
        <w:rPr>
          <w:sz w:val="20"/>
          <w:szCs w:val="20"/>
          <w:rtl/>
        </w:rPr>
        <w:t xml:space="preserve"> באמרו להם: “בניי, צריך לדעת לשחק בשעת משחק, וללמוד בשעת לימוד.”</w:t>
      </w:r>
    </w:p>
  </w:footnote>
  <w:footnote w:id="570">
    <w:p w14:paraId="6F6C8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שמואל־דוד</w:t>
      </w:r>
      <w:proofErr w:type="spellEnd"/>
      <w:r>
        <w:rPr>
          <w:sz w:val="20"/>
          <w:szCs w:val="20"/>
          <w:rtl/>
        </w:rPr>
        <w:t xml:space="preserve"> </w:t>
      </w:r>
      <w:proofErr w:type="spellStart"/>
      <w:r>
        <w:rPr>
          <w:sz w:val="20"/>
          <w:szCs w:val="20"/>
          <w:rtl/>
        </w:rPr>
        <w:t>מובשוביץ</w:t>
      </w:r>
      <w:proofErr w:type="spellEnd"/>
      <w:r>
        <w:rPr>
          <w:sz w:val="20"/>
          <w:szCs w:val="20"/>
          <w:rtl/>
        </w:rPr>
        <w:t>, 3 באוגוסט 1999.</w:t>
      </w:r>
    </w:p>
  </w:footnote>
  <w:footnote w:id="571">
    <w:p w14:paraId="31E52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שו״ע</w:t>
      </w:r>
      <w:proofErr w:type="spellEnd"/>
      <w:r>
        <w:rPr>
          <w:sz w:val="20"/>
          <w:szCs w:val="20"/>
          <w:rtl/>
        </w:rPr>
        <w:t xml:space="preserve"> יו״ד סי׳ רמ״ו ס״ד בהגה, וסוף הערה 84 להלן.</w:t>
      </w:r>
    </w:p>
  </w:footnote>
  <w:footnote w:id="572">
    <w:p w14:paraId="3E912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573">
    <w:p w14:paraId="6163D3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לי שהדבר אירע בזמן שלמד </w:t>
      </w:r>
      <w:proofErr w:type="spellStart"/>
      <w:r>
        <w:rPr>
          <w:sz w:val="20"/>
          <w:szCs w:val="20"/>
          <w:rtl/>
        </w:rPr>
        <w:t>בסלבודקה</w:t>
      </w:r>
      <w:proofErr w:type="spellEnd"/>
      <w:r>
        <w:rPr>
          <w:sz w:val="20"/>
          <w:szCs w:val="20"/>
          <w:rtl/>
        </w:rPr>
        <w:t xml:space="preserve">, או אחרי שכבר היה רב </w:t>
      </w:r>
      <w:proofErr w:type="spellStart"/>
      <w:r>
        <w:rPr>
          <w:sz w:val="20"/>
          <w:szCs w:val="20"/>
          <w:rtl/>
        </w:rPr>
        <w:t>בציטוביאן</w:t>
      </w:r>
      <w:proofErr w:type="spellEnd"/>
      <w:r>
        <w:rPr>
          <w:sz w:val="20"/>
          <w:szCs w:val="20"/>
          <w:rtl/>
        </w:rPr>
        <w:t>.</w:t>
      </w:r>
    </w:p>
  </w:footnote>
  <w:footnote w:id="574">
    <w:p w14:paraId="4DB8D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59.</w:t>
      </w:r>
    </w:p>
  </w:footnote>
  <w:footnote w:id="575">
    <w:p w14:paraId="4747B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576">
    <w:p w14:paraId="25C43B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w:t>
      </w:r>
    </w:p>
  </w:footnote>
  <w:footnote w:id="577">
    <w:p w14:paraId="74184C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בינואר 1991.</w:t>
      </w:r>
    </w:p>
  </w:footnote>
  <w:footnote w:id="578">
    <w:p w14:paraId="634D4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79">
    <w:p w14:paraId="27363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במות ר׳ רפאל בשנת תרפ״א מילא ר׳ יעקב את מקומו במשרות הרב וראש הישיבה של </w:t>
      </w:r>
      <w:proofErr w:type="spellStart"/>
      <w:r>
        <w:rPr>
          <w:sz w:val="20"/>
          <w:szCs w:val="20"/>
          <w:rtl/>
        </w:rPr>
        <w:t>וולוז׳ין</w:t>
      </w:r>
      <w:proofErr w:type="spellEnd"/>
      <w:r>
        <w:rPr>
          <w:sz w:val="20"/>
          <w:szCs w:val="20"/>
          <w:rtl/>
        </w:rPr>
        <w:t xml:space="preserve">. ראה הפסקה השלישית בפרק 1.3; פרק 1, סוף הערה 95; ועמ׳ </w:t>
      </w:r>
      <w:r>
        <w:rPr>
          <w:sz w:val="20"/>
          <w:szCs w:val="20"/>
          <w:rtl/>
        </w:rPr>
        <w:fldChar w:fldCharType="begin" w:dirty="true"/>
      </w:r>
      <w:r>
        <w:rPr>
          <w:sz w:val="20"/>
          <w:szCs w:val="20"/>
          <w:rtl/>
        </w:rPr>
        <w:instrText xml:space="preserve"> PAGEREF pr_b_1194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580">
    <w:p w14:paraId="662BBA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חזר עליה באוזניי ב־24 באוקטובר 1994.</w:t>
      </w:r>
    </w:p>
  </w:footnote>
  <w:footnote w:id="581">
    <w:p w14:paraId="36AAF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פרק זה. לפי ר׳ </w:t>
      </w:r>
      <w:proofErr w:type="spellStart"/>
      <w:r>
        <w:rPr>
          <w:sz w:val="20"/>
          <w:szCs w:val="20"/>
          <w:rtl/>
        </w:rPr>
        <w:t>משה־דב</w:t>
      </w:r>
      <w:proofErr w:type="spellEnd"/>
      <w:r>
        <w:rPr>
          <w:sz w:val="20"/>
          <w:szCs w:val="20"/>
          <w:rtl/>
        </w:rPr>
        <w:t xml:space="preserve"> </w:t>
      </w:r>
      <w:proofErr w:type="spellStart"/>
      <w:r>
        <w:rPr>
          <w:sz w:val="20"/>
          <w:szCs w:val="20"/>
          <w:rtl/>
        </w:rPr>
        <w:t>אוקסנקרוג</w:t>
      </w:r>
      <w:proofErr w:type="spellEnd"/>
      <w:r>
        <w:rPr>
          <w:sz w:val="20"/>
          <w:szCs w:val="20"/>
          <w:rtl/>
        </w:rPr>
        <w:t xml:space="preserve">, אביו עלה לארץ לפני סבו, ולימים, בשנת תש״ב, פתח מפעל סודה, שבזמן ביקורו של ר׳ מרדכי שפירא היה במאה שערים. אביו סיפק סחורה לקיוסק של ר׳ </w:t>
      </w:r>
      <w:proofErr w:type="spellStart"/>
      <w:r>
        <w:rPr>
          <w:sz w:val="20"/>
          <w:szCs w:val="20"/>
          <w:rtl/>
        </w:rPr>
        <w:t>יעקב־נח</w:t>
      </w:r>
      <w:proofErr w:type="spellEnd"/>
      <w:r>
        <w:rPr>
          <w:sz w:val="20"/>
          <w:szCs w:val="20"/>
          <w:rtl/>
        </w:rPr>
        <w:t xml:space="preserve"> בתל אביב.</w:t>
      </w:r>
    </w:p>
  </w:footnote>
  <w:footnote w:id="582">
    <w:p w14:paraId="57BBF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1997.</w:t>
      </w:r>
    </w:p>
  </w:footnote>
  <w:footnote w:id="583">
    <w:p w14:paraId="6129F5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בינואר 1996.</w:t>
      </w:r>
    </w:p>
  </w:footnote>
  <w:footnote w:id="584">
    <w:p w14:paraId="21ACE9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משה־דב</w:t>
      </w:r>
      <w:proofErr w:type="spellEnd"/>
      <w:r>
        <w:rPr>
          <w:sz w:val="20"/>
          <w:szCs w:val="20"/>
          <w:rtl/>
        </w:rPr>
        <w:t xml:space="preserve"> סיפר באותה שעה מעשה מוזר שקשור בפטירתו של ר׳ </w:t>
      </w:r>
      <w:proofErr w:type="spellStart"/>
      <w:r>
        <w:rPr>
          <w:sz w:val="20"/>
          <w:szCs w:val="20"/>
          <w:rtl/>
        </w:rPr>
        <w:t>יעקב־נח</w:t>
      </w:r>
      <w:proofErr w:type="spellEnd"/>
      <w:r>
        <w:rPr>
          <w:sz w:val="20"/>
          <w:szCs w:val="20"/>
          <w:rtl/>
        </w:rPr>
        <w:t xml:space="preserve">. מסיבת אירוסיו של המרואיין נערכה בבית ארוסתו בחדרה, ובדרכו לשם מירושלים סר לבית סבו לבקשו שיצטרף אליו וישתתף במסיבה. תשובה מוזרה קיבל: “בשבילי כבר מאוחר מדי – ואם יקרה דבר שעלול להפריע לשמחתך, אל תניח לו.” ר׳ </w:t>
      </w:r>
      <w:proofErr w:type="spellStart"/>
      <w:r>
        <w:rPr>
          <w:sz w:val="20"/>
          <w:szCs w:val="20"/>
          <w:rtl/>
        </w:rPr>
        <w:t>משה־דב</w:t>
      </w:r>
      <w:proofErr w:type="spellEnd"/>
      <w:r>
        <w:rPr>
          <w:sz w:val="20"/>
          <w:szCs w:val="20"/>
          <w:rtl/>
        </w:rPr>
        <w:t xml:space="preserve"> לא ידע מה פשר דבריו של הישיש בן התשעים ושש, והמשיך בדרכו בלעדיו. כשחזר עם הוריו לביתם בירושלים בשעה מאוחרת באותו לילה, קיבלו הודעה טלפונית מתל אביב שר׳ </w:t>
      </w:r>
      <w:proofErr w:type="spellStart"/>
      <w:r>
        <w:rPr>
          <w:sz w:val="20"/>
          <w:szCs w:val="20"/>
          <w:rtl/>
        </w:rPr>
        <w:t>יעקב־נח</w:t>
      </w:r>
      <w:proofErr w:type="spellEnd"/>
      <w:r>
        <w:rPr>
          <w:sz w:val="20"/>
          <w:szCs w:val="20"/>
          <w:rtl/>
        </w:rPr>
        <w:t xml:space="preserve"> נפטר.</w:t>
      </w:r>
    </w:p>
  </w:footnote>
  <w:footnote w:id="585">
    <w:p w14:paraId="018F1A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105 להלן.</w:t>
      </w:r>
    </w:p>
  </w:footnote>
  <w:footnote w:id="586">
    <w:p w14:paraId="69FF2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הוקלטה.</w:t>
      </w:r>
    </w:p>
  </w:footnote>
  <w:footnote w:id="587">
    <w:p w14:paraId="7CCA4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זוננזון</w:t>
      </w:r>
      <w:proofErr w:type="spellEnd"/>
      <w:r>
        <w:rPr>
          <w:sz w:val="20"/>
          <w:szCs w:val="20"/>
          <w:rtl/>
        </w:rPr>
        <w:t xml:space="preserve">, שמסר את הדברים הנ״ל ב־1 במרץ 1999, הוסיף שלפי נוסח אחר הפילה </w:t>
      </w:r>
      <w:proofErr w:type="spellStart"/>
      <w:r>
        <w:rPr>
          <w:sz w:val="20"/>
          <w:szCs w:val="20"/>
          <w:rtl/>
        </w:rPr>
        <w:t>סבתו־רבתו</w:t>
      </w:r>
      <w:proofErr w:type="spellEnd"/>
      <w:r>
        <w:rPr>
          <w:sz w:val="20"/>
          <w:szCs w:val="20"/>
          <w:rtl/>
        </w:rPr>
        <w:t xml:space="preserve"> את המכתב בגן בעצמה. הוא אמר גם שלפי כמה ממסמכי המשפחה היה ההפרש בגיל בין בני הזוג רק ארבע שנים. אם המסמכים נכונים, הרי שהכלה הייתה רק בת עשרים וארבע, או שהחתן כבר היה בן עשרים ושתיים. עוד סיפר ר׳ משה שאביו של ר׳ </w:t>
      </w:r>
      <w:proofErr w:type="spellStart"/>
      <w:r>
        <w:rPr>
          <w:sz w:val="20"/>
          <w:szCs w:val="20"/>
          <w:rtl/>
        </w:rPr>
        <w:t>יצחק־יחיאל</w:t>
      </w:r>
      <w:proofErr w:type="spellEnd"/>
      <w:r>
        <w:rPr>
          <w:sz w:val="20"/>
          <w:szCs w:val="20"/>
          <w:rtl/>
        </w:rPr>
        <w:t xml:space="preserve"> התנגד לנישואים בתוקף כזה, שביום החתונה יצא מן העיר בעגלה כדי שלא להשתתף בה. העגלה התהפכה והוא נהרג. סבו של המרואיין נולד עשר שנים אחרי הנישואים, שנערכו בשנת תרנ״ב.</w:t>
      </w:r>
    </w:p>
  </w:footnote>
  <w:footnote w:id="588">
    <w:p w14:paraId="76CBEF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שקלים פ״ד מ״ב </w:t>
      </w:r>
      <w:proofErr w:type="spellStart"/>
      <w:r>
        <w:rPr>
          <w:sz w:val="20"/>
          <w:szCs w:val="20"/>
          <w:rtl/>
        </w:rPr>
        <w:t>ופ״ה</w:t>
      </w:r>
      <w:proofErr w:type="spellEnd"/>
      <w:r>
        <w:rPr>
          <w:sz w:val="20"/>
          <w:szCs w:val="20"/>
          <w:rtl/>
        </w:rPr>
        <w:t xml:space="preserve"> מ״ו.</w:t>
      </w:r>
    </w:p>
  </w:footnote>
  <w:footnote w:id="589">
    <w:p w14:paraId="08BBE8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הרוסית </w:t>
      </w:r>
      <w:proofErr w:type="spellStart"/>
      <w:r>
        <w:rPr>
          <w:sz w:val="20"/>
          <w:szCs w:val="20"/>
          <w:rtl/>
        </w:rPr>
        <w:t>ל“פושקע</w:t>
      </w:r>
      <w:proofErr w:type="spellEnd"/>
      <w:r>
        <w:rPr>
          <w:sz w:val="20"/>
          <w:szCs w:val="20"/>
          <w:rtl/>
        </w:rPr>
        <w:t>”.</w:t>
      </w:r>
    </w:p>
  </w:footnote>
  <w:footnote w:id="590">
    <w:p w14:paraId="2BC5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המשיך וסיפר על מאורע במלחמת העולם הראשונה, כשהציעו נכבדי </w:t>
      </w:r>
      <w:proofErr w:type="spellStart"/>
      <w:r>
        <w:rPr>
          <w:sz w:val="20"/>
          <w:szCs w:val="20"/>
          <w:rtl/>
        </w:rPr>
        <w:t>דווינסק</w:t>
      </w:r>
      <w:proofErr w:type="spellEnd"/>
      <w:r>
        <w:rPr>
          <w:sz w:val="20"/>
          <w:szCs w:val="20"/>
          <w:rtl/>
        </w:rPr>
        <w:t xml:space="preserve"> להשתמש </w:t>
      </w:r>
      <w:proofErr w:type="spellStart"/>
      <w:r>
        <w:rPr>
          <w:sz w:val="20"/>
          <w:szCs w:val="20"/>
          <w:rtl/>
        </w:rPr>
        <w:t>בקאראפקע</w:t>
      </w:r>
      <w:proofErr w:type="spellEnd"/>
      <w:r>
        <w:rPr>
          <w:sz w:val="20"/>
          <w:szCs w:val="20"/>
          <w:rtl/>
        </w:rPr>
        <w:t xml:space="preserve"> לטובת הפליטים, ועל תגובתו של הגאון </w:t>
      </w:r>
      <w:proofErr w:type="spellStart"/>
      <w:r>
        <w:rPr>
          <w:sz w:val="20"/>
          <w:szCs w:val="20"/>
          <w:rtl/>
        </w:rPr>
        <w:t>הרוגצ׳ובר</w:t>
      </w:r>
      <w:proofErr w:type="spellEnd"/>
      <w:r>
        <w:rPr>
          <w:sz w:val="20"/>
          <w:szCs w:val="20"/>
          <w:rtl/>
        </w:rPr>
        <w:t xml:space="preserve">, ר׳ יוסף </w:t>
      </w:r>
      <w:proofErr w:type="spellStart"/>
      <w:r>
        <w:rPr>
          <w:sz w:val="20"/>
          <w:szCs w:val="20"/>
          <w:rtl/>
        </w:rPr>
        <w:t>רוזין</w:t>
      </w:r>
      <w:proofErr w:type="spellEnd"/>
      <w:r>
        <w:rPr>
          <w:sz w:val="20"/>
          <w:szCs w:val="20"/>
          <w:rtl/>
        </w:rPr>
        <w:t>, להצעה – ראה פרק 3, נספח לב. לפרטים ראה כרך 2.</w:t>
      </w:r>
    </w:p>
  </w:footnote>
  <w:footnote w:id="591">
    <w:p w14:paraId="4DB43D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542.</w:t>
      </w:r>
    </w:p>
  </w:footnote>
  <w:footnote w:id="592">
    <w:p w14:paraId="16AE22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1.1 וסוף הערה 7 שם.</w:t>
      </w:r>
    </w:p>
  </w:footnote>
  <w:footnote w:id="593">
    <w:p w14:paraId="315E6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57.</w:t>
      </w:r>
    </w:p>
  </w:footnote>
  <w:footnote w:id="594">
    <w:p w14:paraId="0DB4A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662.</w:t>
      </w:r>
    </w:p>
  </w:footnote>
  <w:footnote w:id="595">
    <w:p w14:paraId="66EDBD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w:t>
      </w:r>
      <w:proofErr w:type="spellStart"/>
      <w:r>
        <w:rPr>
          <w:sz w:val="20"/>
          <w:szCs w:val="20"/>
          <w:rtl/>
        </w:rPr>
        <w:t>ח״ב</w:t>
      </w:r>
      <w:proofErr w:type="spellEnd"/>
      <w:r>
        <w:rPr>
          <w:sz w:val="20"/>
          <w:szCs w:val="20"/>
          <w:rtl/>
        </w:rPr>
        <w:t>, עמ׳ 161.</w:t>
      </w:r>
    </w:p>
  </w:footnote>
  <w:footnote w:id="596">
    <w:p w14:paraId="499150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Heb</w:t>
      </w:r>
      <w:proofErr w:type="spellEnd"/>
      <w:r>
        <w:rPr>
          <w:sz w:val="20"/>
          <w:szCs w:val="20"/>
          <w:rtl/>
        </w:rPr>
        <w:t>. 40 974.</w:t>
      </w:r>
    </w:p>
  </w:footnote>
  <w:footnote w:id="597">
    <w:p w14:paraId="66D7F3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w:t>
      </w:r>
    </w:p>
  </w:footnote>
  <w:footnote w:id="598">
    <w:p w14:paraId="05ABC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99">
    <w:p w14:paraId="2A3BA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100.</w:t>
      </w:r>
    </w:p>
  </w:footnote>
  <w:footnote w:id="600">
    <w:p w14:paraId="4CBCD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w:t>
      </w:r>
    </w:p>
  </w:footnote>
  <w:footnote w:id="601">
    <w:p w14:paraId="047225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1987.</w:t>
      </w:r>
    </w:p>
  </w:footnote>
  <w:footnote w:id="602">
    <w:p w14:paraId="2A05A1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העשרים וארבע בנספח א בפרק זה, שבה הזכיר אבי רק אחד משני הרומנים, והשווה פרק 1, הערה 71.</w:t>
      </w:r>
    </w:p>
  </w:footnote>
  <w:footnote w:id="603">
    <w:p w14:paraId="3504E9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12 באוגוסט 1996.</w:t>
      </w:r>
    </w:p>
  </w:footnote>
  <w:footnote w:id="604">
    <w:p w14:paraId="18735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605">
    <w:p w14:paraId="1AD1D1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46 לעיל.</w:t>
      </w:r>
    </w:p>
  </w:footnote>
  <w:footnote w:id="606">
    <w:p w14:paraId="7E683E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“אריאל”, יונייטד ישראל </w:t>
      </w:r>
      <w:proofErr w:type="spellStart"/>
      <w:r>
        <w:rPr>
          <w:sz w:val="20"/>
          <w:szCs w:val="20"/>
          <w:rtl/>
        </w:rPr>
        <w:t>אינסטיטיוטס</w:t>
      </w:r>
      <w:proofErr w:type="spellEnd"/>
      <w:r>
        <w:rPr>
          <w:sz w:val="20"/>
          <w:szCs w:val="20"/>
          <w:rtl/>
        </w:rPr>
        <w:t>, ירושלים, תשנ״ב.</w:t>
      </w:r>
    </w:p>
  </w:footnote>
  <w:footnote w:id="607">
    <w:p w14:paraId="00331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תשנ״ו.</w:t>
      </w:r>
    </w:p>
  </w:footnote>
  <w:footnote w:id="608">
    <w:p w14:paraId="42C468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תנאי זה מביא את הכללים לדרישת האגדה מן הפסוקים.</w:t>
      </w:r>
    </w:p>
  </w:footnote>
  <w:footnote w:id="609">
    <w:p w14:paraId="03E47F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ב בפרק זה.</w:t>
      </w:r>
    </w:p>
  </w:footnote>
  <w:footnote w:id="610">
    <w:p w14:paraId="6FF34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8.</w:t>
      </w:r>
    </w:p>
  </w:footnote>
  <w:footnote w:id="611">
    <w:p w14:paraId="62F29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רוזנשטוק</w:t>
      </w:r>
      <w:proofErr w:type="spellEnd"/>
      <w:r>
        <w:rPr>
          <w:sz w:val="20"/>
          <w:szCs w:val="20"/>
          <w:rtl/>
        </w:rPr>
        <w:t>, 12 בדצמבר 1989. והשווה גם פרק 3, הערה 96.</w:t>
      </w:r>
    </w:p>
  </w:footnote>
  <w:footnote w:id="612">
    <w:p w14:paraId="0F0FBD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5 באוקטובר 1990.</w:t>
      </w:r>
    </w:p>
  </w:footnote>
  <w:footnote w:id="613">
    <w:p w14:paraId="69D49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 מכתב מיום 18 באפריל 1988.</w:t>
      </w:r>
    </w:p>
  </w:footnote>
  <w:footnote w:id="614">
    <w:p w14:paraId="1C6BC4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10 באוקטובר 1988.</w:t>
      </w:r>
    </w:p>
  </w:footnote>
  <w:footnote w:id="615">
    <w:p w14:paraId="6D6D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הדגישה נקודה זו כדי למחות על ההאשמות השקריות שהטיח המשטר הסטליניסטי בה ובבעלה – האשמות שבגללן הוצא הוא להורג והיא הוגלתה לאסיה בשנת תרצ״ז. כשעלה </w:t>
      </w:r>
      <w:proofErr w:type="spellStart"/>
      <w:r>
        <w:rPr>
          <w:sz w:val="20"/>
          <w:szCs w:val="20"/>
          <w:rtl/>
        </w:rPr>
        <w:t>ניקיטה</w:t>
      </w:r>
      <w:proofErr w:type="spellEnd"/>
      <w:r>
        <w:rPr>
          <w:sz w:val="20"/>
          <w:szCs w:val="20"/>
          <w:rtl/>
        </w:rPr>
        <w:t xml:space="preserve"> </w:t>
      </w:r>
      <w:proofErr w:type="spellStart"/>
      <w:r>
        <w:rPr>
          <w:sz w:val="20"/>
          <w:szCs w:val="20"/>
          <w:rtl/>
        </w:rPr>
        <w:t>חרושצ׳וב</w:t>
      </w:r>
      <w:proofErr w:type="spellEnd"/>
      <w:r>
        <w:rPr>
          <w:sz w:val="20"/>
          <w:szCs w:val="20"/>
          <w:rtl/>
        </w:rPr>
        <w:t xml:space="preserve"> לשלטון טוהר שמה והיא “שוקמה”. ראה פרק 1, הערה 100.</w:t>
      </w:r>
    </w:p>
  </w:footnote>
  <w:footnote w:id="616">
    <w:p w14:paraId="1E301F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י, וכרך 2.</w:t>
      </w:r>
    </w:p>
  </w:footnote>
  <w:footnote w:id="617">
    <w:p w14:paraId="37231E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והשישית בפרק 3.1, והפסקה שלפני האחרונה בפרק 5.</w:t>
      </w:r>
    </w:p>
  </w:footnote>
  <w:footnote w:id="618">
    <w:p w14:paraId="5964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בפרק זה.</w:t>
      </w:r>
    </w:p>
  </w:footnote>
  <w:footnote w:id="619">
    <w:p w14:paraId="11997C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620">
    <w:p w14:paraId="483BB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4, הערה 61.</w:t>
      </w:r>
    </w:p>
  </w:footnote>
  <w:footnote w:id="621">
    <w:p w14:paraId="36F9B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1987.</w:t>
      </w:r>
    </w:p>
  </w:footnote>
  <w:footnote w:id="622">
    <w:p w14:paraId="25FCA5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זיהוי רגיל על פי המראה לא היה אפשרי, משום שנפרדו זה מזה לפני שגידלו זקן: השווה פרק 5, נספח א, וכתובות כ״ז ע״ב.</w:t>
      </w:r>
    </w:p>
  </w:footnote>
  <w:footnote w:id="623">
    <w:p w14:paraId="68729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13 לעיל – עמ׳ 166.</w:t>
      </w:r>
    </w:p>
  </w:footnote>
  <w:footnote w:id="624">
    <w:p w14:paraId="10053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היכן נדפסה.</w:t>
      </w:r>
    </w:p>
  </w:footnote>
  <w:footnote w:id="625">
    <w:p w14:paraId="3456C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בפרק זה – עמ׳ תלד (ראה אות ד).</w:t>
      </w:r>
    </w:p>
  </w:footnote>
  <w:footnote w:id="626">
    <w:p w14:paraId="015DE6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627">
    <w:p w14:paraId="0A729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קודמו של ר׳ לייב </w:t>
      </w:r>
      <w:proofErr w:type="spellStart"/>
      <w:r>
        <w:rPr>
          <w:sz w:val="20"/>
          <w:szCs w:val="20"/>
          <w:rtl/>
        </w:rPr>
        <w:t>דבוטין</w:t>
      </w:r>
      <w:proofErr w:type="spellEnd"/>
      <w:r>
        <w:rPr>
          <w:sz w:val="20"/>
          <w:szCs w:val="20"/>
          <w:rtl/>
        </w:rPr>
        <w:t xml:space="preserve"> – ראה הפסקה הרביעית בנספח א בפרק זה.</w:t>
      </w:r>
    </w:p>
  </w:footnote>
  <w:footnote w:id="628">
    <w:p w14:paraId="6A047C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96.</w:t>
      </w:r>
    </w:p>
  </w:footnote>
  <w:footnote w:id="629">
    <w:p w14:paraId="4919AB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בדצמבר 1987.</w:t>
      </w:r>
    </w:p>
  </w:footnote>
  <w:footnote w:id="630">
    <w:p w14:paraId="78DA07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בשיחה המוקלטת עם ר׳ מרדכי שפירא (הערה 51 לעיל).</w:t>
      </w:r>
    </w:p>
  </w:footnote>
  <w:footnote w:id="631">
    <w:p w14:paraId="5F6CB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7 בדצמבר 1998.</w:t>
      </w:r>
    </w:p>
  </w:footnote>
  <w:footnote w:id="632">
    <w:p w14:paraId="695B1360" w14:textId="77777777" w:rsidR="00AB3647" w:rsidRDefault="00000000">
      <w:pPr>
        <w:spacing w:after="0" w:before="0"/>
        <w:jc w:val="both"/>
      </w:pPr>
      <w:r>
        <w:rPr>
          <w:rStyle w:val="a5"/>
          <w:vertAlign w:val="superscript"/>
          <w:rtl/>
        </w:rPr>
        <w:t>*</w:t>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כך גם בנוסח האנגלי, פרק 2, הערה 80. ר׳ שניאור קוטלר נפטר בג׳ בתמוז תשמ״ב, לאחר פטירת בנו ר׳ מאיר </w:t>
      </w:r>
      <w:proofErr w:type="spellStart"/>
      <w:r>
        <w:rPr>
          <w:color w:val="000000"/>
          <w:sz w:val="20"/>
          <w:szCs w:val="20"/>
          <w:rtl/>
        </w:rPr>
        <w:t>בתשל״ט</w:t>
      </w:r>
      <w:proofErr w:type="spellEnd"/>
      <w:r>
        <w:rPr>
          <w:color w:val="000000"/>
          <w:sz w:val="20"/>
          <w:szCs w:val="20"/>
          <w:rtl/>
        </w:rPr>
        <w:t xml:space="preserve">. לפיכך לא ייתכן שבהספד על ר׳ מאיר </w:t>
      </w:r>
      <w:proofErr w:type="spellStart"/>
      <w:r>
        <w:rPr>
          <w:color w:val="000000"/>
          <w:sz w:val="20"/>
          <w:szCs w:val="20"/>
          <w:rtl/>
        </w:rPr>
        <w:t>בתשל״ט</w:t>
      </w:r>
      <w:proofErr w:type="spellEnd"/>
      <w:r>
        <w:rPr>
          <w:color w:val="000000"/>
          <w:sz w:val="20"/>
          <w:szCs w:val="20"/>
          <w:rtl/>
        </w:rPr>
        <w:t xml:space="preserve"> כבר מנה רבנו גם הספד על ר׳ שניאור. יש כאן שיבוש בפרטי הסיפור שבמקור, ואין בידינו לקבוע מהו הנוסח הנכון.</w:t>
      </w:r>
    </w:p>
  </w:footnote>
  <w:footnote w:id="633">
    <w:p w14:paraId="66033A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מיום 18 באפריל 1988.</w:t>
      </w:r>
    </w:p>
  </w:footnote>
  <w:footnote w:id="634">
    <w:p w14:paraId="24F62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השימוש במונח המודגש מכוון: השווה סוף נספח ה בפרק זה.</w:t>
      </w:r>
    </w:p>
  </w:footnote>
  <w:footnote w:id="635">
    <w:p w14:paraId="133082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55.</w:t>
      </w:r>
    </w:p>
  </w:footnote>
  <w:footnote w:id="636">
    <w:p w14:paraId="4715B4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9 במרץ 1993.</w:t>
      </w:r>
    </w:p>
  </w:footnote>
  <w:footnote w:id="637">
    <w:p w14:paraId="26C70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שו״ת “משנה הלכות” </w:t>
      </w:r>
      <w:proofErr w:type="spellStart"/>
      <w:r>
        <w:rPr>
          <w:sz w:val="20"/>
          <w:szCs w:val="20"/>
          <w:rtl/>
        </w:rPr>
        <w:t>ח״ט</w:t>
      </w:r>
      <w:proofErr w:type="spellEnd"/>
      <w:r>
        <w:rPr>
          <w:sz w:val="20"/>
          <w:szCs w:val="20"/>
          <w:rtl/>
        </w:rPr>
        <w:t xml:space="preserve">, </w:t>
      </w:r>
      <w:proofErr w:type="spellStart"/>
      <w:r>
        <w:rPr>
          <w:sz w:val="20"/>
          <w:szCs w:val="20"/>
          <w:rtl/>
        </w:rPr>
        <w:t>לר</w:t>
      </w:r>
      <w:proofErr w:type="spellEnd"/>
      <w:r>
        <w:rPr>
          <w:sz w:val="20"/>
          <w:szCs w:val="20"/>
          <w:rtl/>
        </w:rPr>
        <w:t xml:space="preserve">׳ מנשה קליין, תשובה שי״א (בסוף הטור השני). המחבר מניח שם בטעות שלרבנו לא הייתה כל השכלה חילונית, ומבסס הנחה זו על הסכמה שכתב אבי לספר המציע להשתמש בפסיכולוגיה ביחסים שבין אדם לחברו, ובה הצהיר: “אין לי ידיעה במקצוע זה”. שלא כהבנתו של הרב קליין, אבי הראה בבחירת המילה (“זה”) שאכן הייתה לו ידיעה במקצועות </w:t>
      </w:r>
      <w:r>
        <w:rPr>
          <w:b/>
          <w:bCs/>
          <w:sz w:val="20"/>
          <w:szCs w:val="20"/>
          <w:rtl/>
        </w:rPr>
        <w:t>אחרים</w:t>
      </w:r>
      <w:r>
        <w:rPr>
          <w:sz w:val="20"/>
          <w:szCs w:val="20"/>
          <w:rtl/>
        </w:rPr>
        <w:t>. אלא שכאשר עיין אבי בנעוריו בענפי ידיעה אחרים, הפסיכולוגיה לא הייתה מקצוע נלמד.</w:t>
      </w:r>
    </w:p>
  </w:footnote>
  <w:footnote w:id="638">
    <w:p w14:paraId="3D4F2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הקודמת.</w:t>
      </w:r>
    </w:p>
  </w:footnote>
  <w:footnote w:id="639">
    <w:p w14:paraId="21452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בפברואר 1991.</w:t>
      </w:r>
    </w:p>
  </w:footnote>
  <w:footnote w:id="640">
    <w:p w14:paraId="74A3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pr_f_561 \h </w:instrText>
      </w:r>
      <w:r>
        <w:rPr>
          <w:sz w:val="20"/>
          <w:szCs w:val="20"/>
          <w:rtl/>
        </w:rPr>
      </w:r>
      <w:r>
        <w:rPr>
          <w:sz w:val="20"/>
          <w:szCs w:val="20"/>
          <w:rtl/>
        </w:rPr>
        <w:fldChar w:fldCharType="separate"/>
      </w:r>
      <w:r w:rsidR="007923E9">
        <w:rPr>
          <w:sz w:val="20"/>
          <w:szCs w:val="20"/>
          <w:rtl/>
        </w:rPr>
        <w:t>194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pr_f_561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641">
    <w:p w14:paraId="37E702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“שלמה קודש מספר סיפורים מבית אבא” (פרסום דרור, אשדוד), עמ׳ 21, על ההערכה הרבה שרחשו לכתב יד יפה בליטא שלפני מלחמת העולם הראשונה.</w:t>
      </w:r>
    </w:p>
  </w:footnote>
  <w:footnote w:id="642">
    <w:p w14:paraId="34463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 שכנראה מדובר בה באותו אב ובאותו בן.</w:t>
      </w:r>
    </w:p>
  </w:footnote>
  <w:footnote w:id="643">
    <w:p w14:paraId="0576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בינואר 1991.</w:t>
      </w:r>
    </w:p>
  </w:footnote>
  <w:footnote w:id="644">
    <w:p w14:paraId="1E0888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בפרק זה.</w:t>
      </w:r>
    </w:p>
  </w:footnote>
  <w:footnote w:id="645">
    <w:p w14:paraId="48765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פעיל </w:t>
      </w:r>
      <w:proofErr w:type="spellStart"/>
      <w:r>
        <w:rPr>
          <w:sz w:val="20"/>
          <w:szCs w:val="20"/>
          <w:rtl/>
        </w:rPr>
        <w:t>ציוני־דתי</w:t>
      </w:r>
      <w:proofErr w:type="spellEnd"/>
      <w:r>
        <w:rPr>
          <w:sz w:val="20"/>
          <w:szCs w:val="20"/>
          <w:rtl/>
        </w:rPr>
        <w:t xml:space="preserve"> מפורסם זה היה מן הדמויות המרכזיות בהצלת ישיבת </w:t>
      </w:r>
      <w:proofErr w:type="spellStart"/>
      <w:r>
        <w:rPr>
          <w:sz w:val="20"/>
          <w:szCs w:val="20"/>
          <w:rtl/>
        </w:rPr>
        <w:t>מיר</w:t>
      </w:r>
      <w:proofErr w:type="spellEnd"/>
      <w:r>
        <w:rPr>
          <w:sz w:val="20"/>
          <w:szCs w:val="20"/>
          <w:rtl/>
        </w:rPr>
        <w:t xml:space="preserve"> </w:t>
      </w:r>
      <w:proofErr w:type="spellStart"/>
      <w:r>
        <w:rPr>
          <w:sz w:val="20"/>
          <w:szCs w:val="20"/>
          <w:rtl/>
        </w:rPr>
        <w:t xml:space="preserve">לשנחאי</w:t>
      </w:r>
      <w:proofErr w:type="spellEnd"/>
      <w:r>
        <w:rPr>
          <w:sz w:val="20"/>
          <w:szCs w:val="20"/>
          <w:rtl/>
        </w:rPr>
        <w:t xml:space="preserve"> במלחמת העולם השנייה, כפי שהוא מפרט בספרו “פליט ושריד בימי השואה” (יד ושם, ירושלים, תשמ״ד).</w:t>
      </w:r>
    </w:p>
  </w:footnote>
  <w:footnote w:id="646">
    <w:p w14:paraId="7E462E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25 באפריל 1993.</w:t>
      </w:r>
    </w:p>
  </w:footnote>
  <w:footnote w:id="647">
    <w:p w14:paraId="657BF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pr_f_3006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pr_f_3006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648">
    <w:p w14:paraId="601F9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649">
    <w:p w14:paraId="36489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באפריל 1995.</w:t>
      </w:r>
    </w:p>
  </w:footnote>
  <w:footnote w:id="650">
    <w:p w14:paraId="1B1D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22 במרץ 1996.</w:t>
      </w:r>
    </w:p>
  </w:footnote>
  <w:footnote w:id="651">
    <w:p w14:paraId="5C149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סוף הערה 93 – עמ׳ 91.</w:t>
      </w:r>
    </w:p>
  </w:footnote>
  <w:footnote w:id="652">
    <w:p w14:paraId="1E4690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1991.</w:t>
      </w:r>
    </w:p>
  </w:footnote>
  <w:footnote w:id="653">
    <w:p w14:paraId="14231B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בנובמבר 1987.</w:t>
      </w:r>
    </w:p>
  </w:footnote>
  <w:footnote w:id="654">
    <w:p w14:paraId="21F52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86 לעיל – עמ׳ 91–93.</w:t>
      </w:r>
    </w:p>
  </w:footnote>
  <w:footnote w:id="655">
    <w:p w14:paraId="54172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56">
    <w:p w14:paraId="16E7E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79.</w:t>
      </w:r>
    </w:p>
  </w:footnote>
  <w:footnote w:id="657">
    <w:p w14:paraId="5ABE07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ב בפרק זה.</w:t>
      </w:r>
    </w:p>
  </w:footnote>
  <w:footnote w:id="658">
    <w:p w14:paraId="472606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85 לעיל, ונספח ו להלן.</w:t>
      </w:r>
    </w:p>
  </w:footnote>
  <w:footnote w:id="659">
    <w:p w14:paraId="18CB2C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111.</w:t>
      </w:r>
    </w:p>
  </w:footnote>
  <w:footnote w:id="660">
    <w:p w14:paraId="4564F3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מוקלט על הסבא </w:t>
      </w:r>
      <w:proofErr w:type="spellStart"/>
      <w:r>
        <w:rPr>
          <w:sz w:val="20"/>
          <w:szCs w:val="20"/>
          <w:rtl/>
        </w:rPr>
        <w:t>מסלבודקה</w:t>
      </w:r>
      <w:proofErr w:type="spellEnd"/>
      <w:r>
        <w:rPr>
          <w:sz w:val="20"/>
          <w:szCs w:val="20"/>
          <w:rtl/>
        </w:rPr>
        <w:t xml:space="preserve"> עם אחיי ר׳ בנימין ור׳ אברהם, 16 במרץ 1977.</w:t>
      </w:r>
    </w:p>
  </w:footnote>
  <w:footnote w:id="661">
    <w:p w14:paraId="4CE87D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662">
    <w:p w14:paraId="0E1A9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סוף הפסקה הראשונה בנספח ד, ופרק 4, סוף נספח ד.</w:t>
      </w:r>
    </w:p>
  </w:footnote>
  <w:footnote w:id="663">
    <w:p w14:paraId="2DF0E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w:t>
      </w:r>
    </w:p>
  </w:footnote>
  <w:footnote w:id="664">
    <w:p w14:paraId="0DC9BC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לקוח מן הפיוט “האדרת והאמונה” שבתפילת יום הכיפורים, ושם התארים מיוחסים לקב״ה.</w:t>
      </w:r>
    </w:p>
  </w:footnote>
  <w:footnote w:id="665">
    <w:p w14:paraId="0F4A2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נכנס לישיבתו של ר׳ </w:t>
      </w:r>
      <w:proofErr w:type="spellStart"/>
      <w:r>
        <w:rPr>
          <w:sz w:val="20"/>
          <w:szCs w:val="20"/>
          <w:rtl/>
        </w:rPr>
        <w:t>ברוך־בער</w:t>
      </w:r>
      <w:proofErr w:type="spellEnd"/>
      <w:r>
        <w:rPr>
          <w:sz w:val="20"/>
          <w:szCs w:val="20"/>
          <w:rtl/>
        </w:rPr>
        <w:t xml:space="preserve"> מיד כשהגיע לשם – שלא כגורדון, שהתחיל בישיבת ר׳ </w:t>
      </w:r>
      <w:proofErr w:type="spellStart"/>
      <w:r>
        <w:rPr>
          <w:sz w:val="20"/>
          <w:szCs w:val="20"/>
          <w:rtl/>
        </w:rPr>
        <w:t>הירשל׳ה</w:t>
      </w:r>
      <w:proofErr w:type="spellEnd"/>
      <w:r>
        <w:rPr>
          <w:sz w:val="20"/>
          <w:szCs w:val="20"/>
          <w:rtl/>
        </w:rPr>
        <w:t>, בית ספר לצעירים.</w:t>
      </w:r>
    </w:p>
  </w:footnote>
  <w:footnote w:id="666">
    <w:p w14:paraId="2A54E7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לג.</w:t>
      </w:r>
    </w:p>
  </w:footnote>
  <w:footnote w:id="667">
    <w:p w14:paraId="1647B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מחדש </w:t>
      </w:r>
      <w:proofErr w:type="spellStart"/>
      <w:r>
        <w:rPr>
          <w:sz w:val="20"/>
          <w:szCs w:val="20"/>
          <w:rtl/>
        </w:rPr>
        <w:t>ב“הסבא</w:t>
      </w:r>
      <w:proofErr w:type="spellEnd"/>
      <w:r>
        <w:rPr>
          <w:sz w:val="20"/>
          <w:szCs w:val="20"/>
          <w:rtl/>
        </w:rPr>
        <w:t xml:space="preserve"> </w:t>
      </w:r>
      <w:proofErr w:type="spellStart"/>
      <w:r>
        <w:rPr>
          <w:sz w:val="20"/>
          <w:szCs w:val="20"/>
          <w:rtl/>
        </w:rPr>
        <w:t>מסלבודקה</w:t>
      </w:r>
      <w:proofErr w:type="spellEnd"/>
      <w:r>
        <w:rPr>
          <w:sz w:val="20"/>
          <w:szCs w:val="20"/>
          <w:rtl/>
        </w:rPr>
        <w:t xml:space="preserve">”, דוד </w:t>
      </w:r>
      <w:proofErr w:type="spellStart"/>
      <w:r>
        <w:rPr>
          <w:sz w:val="20"/>
          <w:szCs w:val="20"/>
          <w:rtl/>
        </w:rPr>
        <w:t>ווינבערגער</w:t>
      </w:r>
      <w:proofErr w:type="spellEnd"/>
      <w:r>
        <w:rPr>
          <w:sz w:val="20"/>
          <w:szCs w:val="20"/>
          <w:rtl/>
        </w:rPr>
        <w:t>, ברוקלין, אדר תשמ״ו.</w:t>
      </w:r>
    </w:p>
  </w:footnote>
  <w:footnote w:id="668">
    <w:p w14:paraId="57C215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669">
    <w:p w14:paraId="4BB25C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ה.</w:t>
      </w:r>
    </w:p>
  </w:footnote>
  <w:footnote w:id="670">
    <w:p w14:paraId="149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פרשת בלק, תשנ״ה, בשם ר׳ </w:t>
      </w:r>
      <w:proofErr w:type="spellStart"/>
      <w:r>
        <w:rPr>
          <w:sz w:val="20"/>
          <w:szCs w:val="20"/>
          <w:rtl/>
        </w:rPr>
        <w:t>חצקל</w:t>
      </w:r>
      <w:proofErr w:type="spellEnd"/>
      <w:r>
        <w:rPr>
          <w:sz w:val="20"/>
          <w:szCs w:val="20"/>
          <w:rtl/>
        </w:rPr>
        <w:t xml:space="preserve"> </w:t>
      </w:r>
      <w:proofErr w:type="spellStart"/>
      <w:r>
        <w:rPr>
          <w:sz w:val="20"/>
          <w:szCs w:val="20"/>
          <w:rtl/>
        </w:rPr>
        <w:t>לוינשטיין</w:t>
      </w:r>
      <w:proofErr w:type="spellEnd"/>
      <w:r>
        <w:rPr>
          <w:sz w:val="20"/>
          <w:szCs w:val="20"/>
          <w:rtl/>
        </w:rPr>
        <w:t>.</w:t>
      </w:r>
    </w:p>
  </w:footnote>
  <w:footnote w:id="671">
    <w:p w14:paraId="52A663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נספח ב, על גדולתו של ר׳ </w:t>
      </w:r>
      <w:proofErr w:type="spellStart"/>
      <w:r>
        <w:rPr>
          <w:sz w:val="20"/>
          <w:szCs w:val="20"/>
          <w:rtl/>
        </w:rPr>
        <w:t>שמחה־זיסל</w:t>
      </w:r>
      <w:proofErr w:type="spellEnd"/>
      <w:r>
        <w:rPr>
          <w:sz w:val="20"/>
          <w:szCs w:val="20"/>
          <w:rtl/>
        </w:rPr>
        <w:t>, ופרק 4, הפסקה הראשונה בנספח י, על הסתרת עצמו של ר׳ ישראל.</w:t>
      </w:r>
    </w:p>
  </w:footnote>
  <w:footnote w:id="672">
    <w:p w14:paraId="54357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באפריל 1987.</w:t>
      </w:r>
    </w:p>
  </w:footnote>
  <w:footnote w:id="673">
    <w:p w14:paraId="21DE1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אלעזר־מנחם־מן</w:t>
      </w:r>
      <w:proofErr w:type="spellEnd"/>
      <w:r>
        <w:rPr>
          <w:sz w:val="20"/>
          <w:szCs w:val="20"/>
          <w:rtl/>
        </w:rPr>
        <w:t xml:space="preserve"> שך לא ידע על לימודו של ר׳ אהרן בכנסת בית יצחק </w:t>
      </w:r>
      <w:proofErr w:type="spellStart"/>
      <w:r>
        <w:rPr>
          <w:sz w:val="20"/>
          <w:szCs w:val="20"/>
          <w:rtl/>
        </w:rPr>
        <w:t>שבסלבודקה</w:t>
      </w:r>
      <w:proofErr w:type="spellEnd"/>
      <w:r>
        <w:rPr>
          <w:sz w:val="20"/>
          <w:szCs w:val="20"/>
          <w:rtl/>
        </w:rPr>
        <w:t xml:space="preserve"> לפני שהצטרף לכנסת ישראל, כשם שלא ידעו על כך גם הנכדים – ראה ראש נספח ד בפרק זה.</w:t>
      </w:r>
    </w:p>
  </w:footnote>
  <w:footnote w:id="674">
    <w:p w14:paraId="601882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סיפר שנשאר </w:t>
      </w:r>
      <w:proofErr w:type="spellStart"/>
      <w:r>
        <w:rPr>
          <w:sz w:val="20"/>
          <w:szCs w:val="20"/>
          <w:rtl/>
        </w:rPr>
        <w:t>בסלבודקה</w:t>
      </w:r>
      <w:proofErr w:type="spellEnd"/>
      <w:r>
        <w:rPr>
          <w:sz w:val="20"/>
          <w:szCs w:val="20"/>
          <w:rtl/>
        </w:rPr>
        <w:t xml:space="preserve"> רק עד מלחמת העולם הראשונה, ואז חזר לעיר הולדתו, </w:t>
      </w:r>
      <w:proofErr w:type="spellStart"/>
      <w:r>
        <w:rPr>
          <w:sz w:val="20"/>
          <w:szCs w:val="20"/>
          <w:rtl/>
        </w:rPr>
        <w:t>וואבולניק</w:t>
      </w:r>
      <w:proofErr w:type="spellEnd"/>
      <w:r>
        <w:rPr>
          <w:sz w:val="20"/>
          <w:szCs w:val="20"/>
          <w:rtl/>
        </w:rPr>
        <w:t xml:space="preserve">: </w:t>
      </w:r>
      <w:proofErr w:type="spellStart"/>
      <w:r>
        <w:rPr>
          <w:sz w:val="20"/>
          <w:szCs w:val="20"/>
          <w:rtl/>
        </w:rPr>
        <w:t>אמו</w:t>
      </w:r>
      <w:proofErr w:type="spellEnd"/>
      <w:r>
        <w:rPr>
          <w:sz w:val="20"/>
          <w:szCs w:val="20"/>
          <w:rtl/>
        </w:rPr>
        <w:t xml:space="preserve"> ציוותה עליו שלא ילך אחרי ישיבתו, ישיבת </w:t>
      </w:r>
      <w:proofErr w:type="spellStart"/>
      <w:r>
        <w:rPr>
          <w:sz w:val="20"/>
          <w:szCs w:val="20"/>
          <w:rtl/>
        </w:rPr>
        <w:t>סלבודקה</w:t>
      </w:r>
      <w:proofErr w:type="spellEnd"/>
      <w:r>
        <w:rPr>
          <w:sz w:val="20"/>
          <w:szCs w:val="20"/>
          <w:rtl/>
        </w:rPr>
        <w:t xml:space="preserve">, למינסק, אלא שיחזור הביתה. היא חששה שמא יושפע לרעה באותה עיר גדולה ומהפכנית. אחר כך עבר לישיבת </w:t>
      </w:r>
      <w:proofErr w:type="spellStart"/>
      <w:r>
        <w:rPr>
          <w:sz w:val="20"/>
          <w:szCs w:val="20"/>
          <w:rtl/>
        </w:rPr>
        <w:t>סלוצק</w:t>
      </w:r>
      <w:proofErr w:type="spellEnd"/>
      <w:r>
        <w:rPr>
          <w:sz w:val="20"/>
          <w:szCs w:val="20"/>
          <w:rtl/>
        </w:rPr>
        <w:t>.</w:t>
      </w:r>
    </w:p>
  </w:footnote>
  <w:footnote w:id="675">
    <w:p w14:paraId="27571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98 להלן.</w:t>
      </w:r>
    </w:p>
  </w:footnote>
  <w:footnote w:id="676">
    <w:p w14:paraId="10764033"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גם במקור האנגלי קיימת סתירה: בפסקה שבגוף הפרק נאמר שר׳ ראובן </w:t>
      </w:r>
      <w:proofErr w:type="spellStart"/>
      <w:r>
        <w:rPr>
          <w:sz w:val="20"/>
          <w:szCs w:val="20"/>
          <w:rtl/>
        </w:rPr>
        <w:t>גרוזובסקי</w:t>
      </w:r>
      <w:proofErr w:type="spellEnd"/>
      <w:r>
        <w:rPr>
          <w:sz w:val="20"/>
          <w:szCs w:val="20"/>
          <w:rtl/>
        </w:rPr>
        <w:t xml:space="preserve"> היה צעיר מר׳ שמחה בשמונה שנים. ר׳ ראובן נולד, לפי המקובל, בשנת 1886, ולפי הערה זו נולד ר׳ שמחה ב־1879. הפער בין שנות הלידה האלה הוא אפוא שבע שנים.</w:t>
      </w:r>
    </w:p>
  </w:footnote>
  <w:footnote w:id="677">
    <w:p w14:paraId="533417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עמ׳ 5, הערה 2.</w:t>
      </w:r>
    </w:p>
  </w:footnote>
  <w:footnote w:id="678">
    <w:p w14:paraId="7408C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באוקטובר 1987.</w:t>
      </w:r>
    </w:p>
  </w:footnote>
  <w:footnote w:id="679">
    <w:p w14:paraId="0FFF3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680">
    <w:p w14:paraId="4CA8D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78 לעיל.</w:t>
      </w:r>
    </w:p>
  </w:footnote>
  <w:footnote w:id="681">
    <w:p w14:paraId="04B61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459.</w:t>
      </w:r>
    </w:p>
  </w:footnote>
  <w:footnote w:id="682">
    <w:p w14:paraId="598E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ראש נספח א בפרק זה.</w:t>
      </w:r>
    </w:p>
  </w:footnote>
  <w:footnote w:id="683">
    <w:p w14:paraId="5662AF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19 בינואר 1987.</w:t>
      </w:r>
    </w:p>
  </w:footnote>
  <w:footnote w:id="684">
    <w:p w14:paraId="22FF7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51 לעיל. בהקלטת אותה שיחה לא נשמע בבירור אם אמר אבי </w:t>
      </w:r>
      <w:proofErr w:type="spellStart"/>
      <w:r>
        <w:rPr>
          <w:sz w:val="20"/>
          <w:szCs w:val="20"/>
          <w:rtl/>
        </w:rPr>
        <w:t>ביילינסון</w:t>
      </w:r>
      <w:proofErr w:type="spellEnd"/>
      <w:r>
        <w:rPr>
          <w:sz w:val="20"/>
          <w:szCs w:val="20"/>
          <w:rtl/>
        </w:rPr>
        <w:t xml:space="preserve"> או </w:t>
      </w:r>
      <w:proofErr w:type="spellStart"/>
      <w:r>
        <w:rPr>
          <w:sz w:val="20"/>
          <w:szCs w:val="20"/>
          <w:rtl/>
        </w:rPr>
        <w:t>בייניסון</w:t>
      </w:r>
      <w:proofErr w:type="spellEnd"/>
      <w:r>
        <w:rPr>
          <w:sz w:val="20"/>
          <w:szCs w:val="20"/>
          <w:rtl/>
        </w:rPr>
        <w:t xml:space="preserve">, אבל ברשימות שרשם ר׳ אשר </w:t>
      </w:r>
      <w:proofErr w:type="spellStart"/>
      <w:r>
        <w:rPr>
          <w:sz w:val="20"/>
          <w:szCs w:val="20"/>
          <w:rtl/>
        </w:rPr>
        <w:t>קצמן</w:t>
      </w:r>
      <w:proofErr w:type="spellEnd"/>
      <w:r>
        <w:rPr>
          <w:sz w:val="20"/>
          <w:szCs w:val="20"/>
          <w:rtl/>
        </w:rPr>
        <w:t xml:space="preserve"> (השווה פרק 1, הערה 71) נכתב בבירור </w:t>
      </w:r>
      <w:proofErr w:type="spellStart"/>
      <w:r>
        <w:rPr>
          <w:sz w:val="20"/>
          <w:szCs w:val="20"/>
          <w:rtl/>
        </w:rPr>
        <w:t>בייניסון</w:t>
      </w:r>
      <w:proofErr w:type="spellEnd"/>
      <w:r>
        <w:rPr>
          <w:sz w:val="20"/>
          <w:szCs w:val="20"/>
          <w:rtl/>
        </w:rPr>
        <w:t xml:space="preserve"> – אף שר׳ אשר </w:t>
      </w:r>
      <w:proofErr w:type="spellStart"/>
      <w:r>
        <w:rPr>
          <w:sz w:val="20"/>
          <w:szCs w:val="20"/>
          <w:rtl/>
        </w:rPr>
        <w:t>קצמן</w:t>
      </w:r>
      <w:proofErr w:type="spellEnd"/>
      <w:r>
        <w:rPr>
          <w:sz w:val="20"/>
          <w:szCs w:val="20"/>
          <w:rtl/>
        </w:rPr>
        <w:t xml:space="preserve"> כתב בטעות </w:t>
      </w:r>
      <w:proofErr w:type="spellStart"/>
      <w:r>
        <w:rPr>
          <w:sz w:val="20"/>
          <w:szCs w:val="20"/>
          <w:rtl/>
        </w:rPr>
        <w:t>שבייניסון</w:t>
      </w:r>
      <w:proofErr w:type="spellEnd"/>
      <w:r>
        <w:rPr>
          <w:sz w:val="20"/>
          <w:szCs w:val="20"/>
          <w:rtl/>
        </w:rPr>
        <w:t xml:space="preserve"> הוא ששילם את דמי נסיעתם </w:t>
      </w:r>
      <w:proofErr w:type="spellStart"/>
      <w:r>
        <w:rPr>
          <w:sz w:val="20"/>
          <w:szCs w:val="20"/>
          <w:rtl/>
        </w:rPr>
        <w:t>לסלבודקה</w:t>
      </w:r>
      <w:proofErr w:type="spellEnd"/>
      <w:r>
        <w:rPr>
          <w:sz w:val="20"/>
          <w:szCs w:val="20"/>
          <w:rtl/>
        </w:rPr>
        <w:t xml:space="preserve"> (ראה להלן שהיה זה </w:t>
      </w:r>
      <w:proofErr w:type="spellStart"/>
      <w:r>
        <w:rPr>
          <w:sz w:val="20"/>
          <w:szCs w:val="20"/>
          <w:rtl/>
        </w:rPr>
        <w:t>אוקסנקרוג</w:t>
      </w:r>
      <w:proofErr w:type="spellEnd"/>
      <w:r>
        <w:rPr>
          <w:sz w:val="20"/>
          <w:szCs w:val="20"/>
          <w:rtl/>
        </w:rPr>
        <w:t>).</w:t>
      </w:r>
    </w:p>
  </w:footnote>
  <w:footnote w:id="685">
    <w:p w14:paraId="3E9E2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644.</w:t>
      </w:r>
    </w:p>
  </w:footnote>
  <w:footnote w:id="686">
    <w:p w14:paraId="54284E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אלה היו עיתונים ביידיש שיצאו לאור מדי יום בניו יורק עד שנות </w:t>
      </w:r>
      <w:proofErr w:type="spellStart"/>
      <w:r>
        <w:rPr>
          <w:sz w:val="20"/>
          <w:szCs w:val="20"/>
          <w:rtl/>
        </w:rPr>
        <w:t>התש״כ</w:t>
      </w:r>
      <w:proofErr w:type="spellEnd"/>
      <w:r>
        <w:rPr>
          <w:sz w:val="20"/>
          <w:szCs w:val="20"/>
          <w:rtl/>
        </w:rPr>
        <w:t>.</w:t>
      </w:r>
    </w:p>
  </w:footnote>
  <w:footnote w:id="687">
    <w:p w14:paraId="2963A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688">
    <w:p w14:paraId="6F0C6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הנכד ב־11 בינואר 1987.</w:t>
      </w:r>
    </w:p>
  </w:footnote>
  <w:footnote w:id="689">
    <w:p w14:paraId="49E6BC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הערה 1.</w:t>
      </w:r>
    </w:p>
  </w:footnote>
  <w:footnote w:id="690">
    <w:p w14:paraId="33EA6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 שר׳ שלמה אכן פגש את הנער מבית פינס ושאל אותו שאלה.</w:t>
      </w:r>
    </w:p>
  </w:footnote>
  <w:footnote w:id="691">
    <w:p w14:paraId="42262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ביולי 1993.</w:t>
      </w:r>
    </w:p>
  </w:footnote>
  <w:footnote w:id="692">
    <w:p w14:paraId="4C73F7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בפברואר 1997.</w:t>
      </w:r>
    </w:p>
  </w:footnote>
  <w:footnote w:id="693">
    <w:p w14:paraId="17E491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הערה 31 לעיל.</w:t>
      </w:r>
    </w:p>
  </w:footnote>
  <w:footnote w:id="694">
    <w:p w14:paraId="36BF42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1988.</w:t>
      </w:r>
    </w:p>
  </w:footnote>
  <w:footnote w:id="695">
    <w:p w14:paraId="626E0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696">
    <w:p w14:paraId="329B1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ע״ד ע״ב.</w:t>
      </w:r>
    </w:p>
  </w:footnote>
  <w:footnote w:id="697">
    <w:p w14:paraId="020D0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 </w:t>
      </w:r>
      <w:proofErr w:type="spellStart"/>
      <w:r>
        <w:rPr>
          <w:sz w:val="20"/>
          <w:szCs w:val="20"/>
          <w:rtl/>
        </w:rPr>
        <w:t>מו״ק</w:t>
      </w:r>
      <w:proofErr w:type="spellEnd"/>
      <w:r>
        <w:rPr>
          <w:sz w:val="20"/>
          <w:szCs w:val="20"/>
          <w:rtl/>
        </w:rPr>
        <w:t xml:space="preserve"> ט״ז ע״ב </w:t>
      </w:r>
      <w:proofErr w:type="spellStart"/>
      <w:r>
        <w:rPr>
          <w:sz w:val="20"/>
          <w:szCs w:val="20"/>
          <w:rtl/>
        </w:rPr>
        <w:t>זוטרא</w:t>
      </w:r>
      <w:proofErr w:type="spellEnd"/>
      <w:r>
        <w:rPr>
          <w:sz w:val="20"/>
          <w:szCs w:val="20"/>
          <w:rtl/>
        </w:rPr>
        <w:t xml:space="preserve"> בר טוביה </w:t>
      </w:r>
      <w:proofErr w:type="spellStart"/>
      <w:r>
        <w:rPr>
          <w:sz w:val="20"/>
          <w:szCs w:val="20"/>
          <w:rtl/>
        </w:rPr>
        <w:t>וכו</w:t>
      </w:r>
      <w:proofErr w:type="spellEnd"/>
      <w:r>
        <w:rPr>
          <w:sz w:val="20"/>
          <w:szCs w:val="20"/>
          <w:rtl/>
        </w:rPr>
        <w:t>׳.</w:t>
      </w:r>
    </w:p>
  </w:footnote>
  <w:footnote w:id="698">
    <w:p w14:paraId="4924B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50 לעיל.</w:t>
      </w:r>
    </w:p>
  </w:footnote>
  <w:footnote w:id="699">
    <w:p w14:paraId="20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700">
    <w:p w14:paraId="605CA3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85 לעיל.</w:t>
      </w:r>
    </w:p>
  </w:footnote>
  <w:footnote w:id="701">
    <w:p w14:paraId="5CFD2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85 לעיל.</w:t>
      </w:r>
    </w:p>
  </w:footnote>
  <w:footnote w:id="702">
    <w:p w14:paraId="7747F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160.</w:t>
      </w:r>
    </w:p>
  </w:footnote>
  <w:footnote w:id="703">
    <w:p w14:paraId="1F839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91 לעיל.</w:t>
      </w:r>
    </w:p>
  </w:footnote>
  <w:footnote w:id="704">
    <w:p w14:paraId="16FD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705">
    <w:p w14:paraId="17ABA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“בעל מחשבות” – ראה פרק 4, הערה 139, והערה 107 להלן. השווה הראשון מבין שני חלקי מאמר </w:t>
      </w:r>
      <w:proofErr w:type="spellStart"/>
      <w:r>
        <w:rPr>
          <w:sz w:val="20"/>
          <w:szCs w:val="20"/>
          <w:rtl/>
        </w:rPr>
        <w:t>ב“כרכים</w:t>
      </w:r>
      <w:proofErr w:type="spellEnd"/>
      <w:r>
        <w:rPr>
          <w:sz w:val="20"/>
          <w:szCs w:val="20"/>
          <w:rtl/>
        </w:rPr>
        <w:t xml:space="preserve"> א׳ </w:t>
      </w:r>
      <w:proofErr w:type="spellStart"/>
      <w:r>
        <w:rPr>
          <w:sz w:val="20"/>
          <w:szCs w:val="20"/>
          <w:rtl/>
        </w:rPr>
        <w:t>וב</w:t>
      </w:r>
      <w:proofErr w:type="spellEnd"/>
      <w:r>
        <w:rPr>
          <w:sz w:val="20"/>
          <w:szCs w:val="20"/>
          <w:rtl/>
        </w:rPr>
        <w:t>׳” של הרבעון “העבר (פטרוגרד, תרע״ח)”.</w:t>
      </w:r>
    </w:p>
  </w:footnote>
  <w:footnote w:id="706">
    <w:p w14:paraId="2F61D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112.</w:t>
      </w:r>
    </w:p>
  </w:footnote>
  <w:footnote w:id="707">
    <w:p w14:paraId="57FE4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לו.</w:t>
      </w:r>
    </w:p>
  </w:footnote>
  <w:footnote w:id="708">
    <w:p w14:paraId="5197B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(נספח ו להלן), עמ׳ 64.</w:t>
      </w:r>
    </w:p>
  </w:footnote>
  <w:footnote w:id="709">
    <w:p w14:paraId="43B063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עמד אז לעזוב את </w:t>
      </w:r>
      <w:proofErr w:type="spellStart"/>
      <w:r>
        <w:rPr>
          <w:sz w:val="20"/>
          <w:szCs w:val="20"/>
          <w:rtl/>
        </w:rPr>
        <w:t>סלבודקה</w:t>
      </w:r>
      <w:proofErr w:type="spellEnd"/>
      <w:r>
        <w:rPr>
          <w:sz w:val="20"/>
          <w:szCs w:val="20"/>
          <w:rtl/>
        </w:rPr>
        <w:t xml:space="preserve"> לטובת </w:t>
      </w:r>
      <w:proofErr w:type="spellStart"/>
      <w:r>
        <w:rPr>
          <w:sz w:val="20"/>
          <w:szCs w:val="20"/>
          <w:rtl/>
        </w:rPr>
        <w:t>מאלטש</w:t>
      </w:r>
      <w:proofErr w:type="spellEnd"/>
      <w:r>
        <w:rPr>
          <w:sz w:val="20"/>
          <w:szCs w:val="20"/>
          <w:rtl/>
        </w:rPr>
        <w:t xml:space="preserve"> – השווה פרק 5.</w:t>
      </w:r>
    </w:p>
  </w:footnote>
  <w:footnote w:id="710">
    <w:p w14:paraId="60D9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שם.</w:t>
      </w:r>
    </w:p>
  </w:footnote>
  <w:footnote w:id="711">
    <w:p w14:paraId="223AE1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רעד, בשם ר׳ אלימלך מילר (אבי המחבר).</w:t>
      </w:r>
    </w:p>
  </w:footnote>
  <w:footnote w:id="712">
    <w:p w14:paraId="47EF4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לא סיפר מעולם מעשה זה, משום שכשאירע לא היה </w:t>
      </w:r>
      <w:proofErr w:type="spellStart"/>
      <w:r>
        <w:rPr>
          <w:sz w:val="20"/>
          <w:szCs w:val="20"/>
          <w:rtl/>
        </w:rPr>
        <w:t>בסלבודקה</w:t>
      </w:r>
      <w:proofErr w:type="spellEnd"/>
      <w:r>
        <w:rPr>
          <w:sz w:val="20"/>
          <w:szCs w:val="20"/>
          <w:rtl/>
        </w:rPr>
        <w:t xml:space="preserve"> אלא </w:t>
      </w:r>
      <w:proofErr w:type="spellStart"/>
      <w:r>
        <w:rPr>
          <w:sz w:val="20"/>
          <w:szCs w:val="20"/>
          <w:rtl/>
        </w:rPr>
        <w:t>במאלטש</w:t>
      </w:r>
      <w:proofErr w:type="spellEnd"/>
      <w:r>
        <w:rPr>
          <w:sz w:val="20"/>
          <w:szCs w:val="20"/>
          <w:rtl/>
        </w:rPr>
        <w:t xml:space="preserve">, כמצוין בהערת שוליים </w:t>
      </w:r>
      <w:r>
        <w:rPr>
          <w:sz w:val="20"/>
          <w:szCs w:val="20"/>
          <w:rtl/>
        </w:rPr>
        <w:fldChar w:fldCharType="begin" w:dirty="true"/>
      </w:r>
      <w:r>
        <w:rPr>
          <w:sz w:val="20"/>
          <w:szCs w:val="20"/>
          <w:rtl/>
        </w:rPr>
        <w:instrText xml:space="preserve"> NOTEREF pr_f_635 \h </w:instrText>
      </w:r>
      <w:r>
        <w:rPr>
          <w:sz w:val="20"/>
          <w:szCs w:val="20"/>
          <w:rtl/>
        </w:rPr>
      </w:r>
      <w:r>
        <w:rPr>
          <w:sz w:val="20"/>
          <w:szCs w:val="20"/>
          <w:rtl/>
        </w:rPr>
        <w:fldChar w:fldCharType="separate"/>
      </w:r>
      <w:r w:rsidR="007923E9">
        <w:rPr>
          <w:sz w:val="20"/>
          <w:szCs w:val="20"/>
          <w:rtl/>
        </w:rPr>
        <w:t>266</w:t>
      </w:r>
      <w:r>
        <w:rPr>
          <w:sz w:val="20"/>
          <w:szCs w:val="20"/>
          <w:rtl/>
        </w:rPr>
        <w:fldChar w:fldCharType="end"/>
      </w:r>
      <w:r>
        <w:rPr>
          <w:sz w:val="20"/>
          <w:szCs w:val="20"/>
          <w:rtl/>
        </w:rPr>
        <w:t xml:space="preserve"> לעיל. השווה גם פרק 4, הערה 42, על מקרה אחר שבו, לפי רבנו, השתמש הסבא </w:t>
      </w:r>
      <w:proofErr w:type="spellStart"/>
      <w:r>
        <w:rPr>
          <w:sz w:val="20"/>
          <w:szCs w:val="20"/>
          <w:rtl/>
        </w:rPr>
        <w:t>ב“דברי</w:t>
      </w:r>
      <w:proofErr w:type="spellEnd"/>
      <w:r>
        <w:rPr>
          <w:sz w:val="20"/>
          <w:szCs w:val="20"/>
          <w:rtl/>
        </w:rPr>
        <w:t xml:space="preserve"> ריצוי” כדי להניע את ר׳ אהרן.</w:t>
      </w:r>
    </w:p>
  </w:footnote>
  <w:footnote w:id="713">
    <w:p w14:paraId="411230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באפריל 2000.</w:t>
      </w:r>
    </w:p>
  </w:footnote>
  <w:footnote w:id="714">
    <w:p w14:paraId="71D450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w:t>
      </w:r>
      <w:proofErr w:type="spellStart"/>
      <w:r>
        <w:rPr>
          <w:sz w:val="20"/>
          <w:szCs w:val="20"/>
          <w:rtl/>
        </w:rPr>
        <w:t>לשינסקי</w:t>
      </w:r>
      <w:proofErr w:type="spellEnd"/>
      <w:r>
        <w:rPr>
          <w:sz w:val="20"/>
          <w:szCs w:val="20"/>
          <w:rtl/>
        </w:rPr>
        <w:t>, בריאיון מיום 4 באפריל 2000.</w:t>
      </w:r>
    </w:p>
  </w:footnote>
  <w:footnote w:id="715">
    <w:p w14:paraId="7920C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הדברים מסר לבני ר׳ יוסף ב־9 ביוני 1991 נכד ירושלמי של ר׳ שמשון, ר׳ אברהם </w:t>
      </w:r>
      <w:proofErr w:type="spellStart"/>
      <w:r>
        <w:rPr>
          <w:sz w:val="20"/>
          <w:szCs w:val="20"/>
          <w:rtl/>
        </w:rPr>
        <w:t>דינין</w:t>
      </w:r>
      <w:proofErr w:type="spellEnd"/>
      <w:r>
        <w:rPr>
          <w:sz w:val="20"/>
          <w:szCs w:val="20"/>
          <w:rtl/>
        </w:rPr>
        <w:t>, שנכח בשמחה.</w:t>
      </w:r>
    </w:p>
  </w:footnote>
  <w:footnote w:id="716">
    <w:p w14:paraId="7A66B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יהודה </w:t>
      </w:r>
      <w:proofErr w:type="spellStart"/>
      <w:r>
        <w:rPr>
          <w:sz w:val="20"/>
          <w:szCs w:val="20"/>
          <w:rtl/>
        </w:rPr>
        <w:t>ג׳ייקובס</w:t>
      </w:r>
      <w:proofErr w:type="spellEnd"/>
      <w:r>
        <w:rPr>
          <w:sz w:val="20"/>
          <w:szCs w:val="20"/>
          <w:rtl/>
        </w:rPr>
        <w:t xml:space="preserve">, ריאיון, 13 בנובמבר 1987. והשווה גם הערה 98 בפרק זה, על סיבה אחרת לכך שבחורי מינסק באו </w:t>
      </w:r>
      <w:proofErr w:type="spellStart"/>
      <w:r>
        <w:rPr>
          <w:sz w:val="20"/>
          <w:szCs w:val="20"/>
          <w:rtl/>
        </w:rPr>
        <w:t>לסלבודקה</w:t>
      </w:r>
      <w:proofErr w:type="spellEnd"/>
      <w:r>
        <w:rPr>
          <w:sz w:val="20"/>
          <w:szCs w:val="20"/>
          <w:rtl/>
        </w:rPr>
        <w:t xml:space="preserve">: מאמצי הגיוס של ר׳ ראובן </w:t>
      </w:r>
      <w:proofErr w:type="spellStart"/>
      <w:r>
        <w:rPr>
          <w:sz w:val="20"/>
          <w:szCs w:val="20"/>
          <w:rtl/>
        </w:rPr>
        <w:t>גרוזובסקי</w:t>
      </w:r>
      <w:proofErr w:type="spellEnd"/>
      <w:r>
        <w:rPr>
          <w:sz w:val="20"/>
          <w:szCs w:val="20"/>
          <w:rtl/>
        </w:rPr>
        <w:t>.</w:t>
      </w:r>
    </w:p>
  </w:footnote>
  <w:footnote w:id="717">
    <w:p w14:paraId="5149EF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בלי שנה.</w:t>
      </w:r>
    </w:p>
  </w:footnote>
  <w:footnote w:id="718">
    <w:p w14:paraId="1C848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מחבר “נחלת דוד” על בבא קמא ובבא מציעא.</w:t>
      </w:r>
    </w:p>
  </w:footnote>
  <w:footnote w:id="719">
    <w:p w14:paraId="22F89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סופר ב־23 במרץ 1988 על ידי ר׳ אנשל </w:t>
      </w:r>
      <w:proofErr w:type="spellStart"/>
      <w:r>
        <w:rPr>
          <w:sz w:val="20"/>
          <w:szCs w:val="20"/>
          <w:rtl/>
        </w:rPr>
        <w:t>ווינהויז</w:t>
      </w:r>
      <w:proofErr w:type="spellEnd"/>
      <w:r>
        <w:rPr>
          <w:sz w:val="20"/>
          <w:szCs w:val="20"/>
          <w:rtl/>
        </w:rPr>
        <w:t xml:space="preserve"> בשם ר׳ </w:t>
      </w:r>
      <w:proofErr w:type="spellStart"/>
      <w:r>
        <w:rPr>
          <w:sz w:val="20"/>
          <w:szCs w:val="20"/>
          <w:rtl/>
        </w:rPr>
        <w:t>אברהם־צבי</w:t>
      </w:r>
      <w:proofErr w:type="spellEnd"/>
      <w:r>
        <w:rPr>
          <w:sz w:val="20"/>
          <w:szCs w:val="20"/>
          <w:rtl/>
        </w:rPr>
        <w:t xml:space="preserve"> קמאי (שמן הסתם שמע זאת מאביו, ר׳ </w:t>
      </w:r>
      <w:proofErr w:type="spellStart"/>
      <w:r>
        <w:rPr>
          <w:sz w:val="20"/>
          <w:szCs w:val="20"/>
          <w:rtl/>
        </w:rPr>
        <w:t>אליהו־ברוך</w:t>
      </w:r>
      <w:proofErr w:type="spellEnd"/>
      <w:r>
        <w:rPr>
          <w:sz w:val="20"/>
          <w:szCs w:val="20"/>
          <w:rtl/>
        </w:rPr>
        <w:t xml:space="preserve">), רב </w:t>
      </w:r>
      <w:proofErr w:type="spellStart"/>
      <w:r>
        <w:rPr>
          <w:sz w:val="20"/>
          <w:szCs w:val="20"/>
          <w:rtl/>
        </w:rPr>
        <w:t>מיר</w:t>
      </w:r>
      <w:proofErr w:type="spellEnd"/>
      <w:r>
        <w:rPr>
          <w:sz w:val="20"/>
          <w:szCs w:val="20"/>
          <w:rtl/>
        </w:rPr>
        <w:t>.</w:t>
      </w:r>
    </w:p>
  </w:footnote>
  <w:footnote w:id="720">
    <w:p w14:paraId="366121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סוף הפסקה הראשונה בנספח ב.</w:t>
      </w:r>
    </w:p>
  </w:footnote>
  <w:footnote w:id="721">
    <w:p w14:paraId="474B6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השנה ל״א ע״א.</w:t>
      </w:r>
    </w:p>
  </w:footnote>
  <w:footnote w:id="722">
    <w:p w14:paraId="3350C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 לעיל – עמ׳ 110–112.</w:t>
      </w:r>
    </w:p>
  </w:footnote>
  <w:footnote w:id="723">
    <w:p w14:paraId="3C8BB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בבני ברק, תשנ״ב (להלן: “נימוקי </w:t>
      </w:r>
      <w:proofErr w:type="spellStart"/>
      <w:r>
        <w:rPr>
          <w:sz w:val="20"/>
          <w:szCs w:val="20"/>
          <w:rtl/>
        </w:rPr>
        <w:t>הרידב״ז</w:t>
      </w:r>
      <w:proofErr w:type="spellEnd"/>
      <w:r>
        <w:rPr>
          <w:sz w:val="20"/>
          <w:szCs w:val="20"/>
          <w:rtl/>
        </w:rPr>
        <w:t xml:space="preserve">”) – עמ׳ </w:t>
      </w:r>
      <w:proofErr w:type="spellStart"/>
      <w:r>
        <w:rPr>
          <w:sz w:val="20"/>
          <w:szCs w:val="20"/>
          <w:rtl/>
        </w:rPr>
        <w:t>יג</w:t>
      </w:r>
      <w:proofErr w:type="spellEnd"/>
      <w:r>
        <w:rPr>
          <w:sz w:val="20"/>
          <w:szCs w:val="20"/>
          <w:rtl/>
        </w:rPr>
        <w:t xml:space="preserve"> בהקדמה.</w:t>
      </w:r>
    </w:p>
  </w:footnote>
  <w:footnote w:id="724">
    <w:p w14:paraId="56B45E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הרידב״ז</w:t>
      </w:r>
      <w:proofErr w:type="spellEnd"/>
      <w:r>
        <w:rPr>
          <w:sz w:val="20"/>
          <w:szCs w:val="20"/>
          <w:rtl/>
        </w:rPr>
        <w:t xml:space="preserve"> מביא </w:t>
      </w:r>
      <w:proofErr w:type="spellStart"/>
      <w:r>
        <w:rPr>
          <w:sz w:val="20"/>
          <w:szCs w:val="20"/>
          <w:rtl/>
        </w:rPr>
        <w:t>מ“ספר</w:t>
      </w:r>
      <w:proofErr w:type="spellEnd"/>
      <w:r>
        <w:rPr>
          <w:sz w:val="20"/>
          <w:szCs w:val="20"/>
          <w:rtl/>
        </w:rPr>
        <w:t xml:space="preserve"> קדמון” שבו נרשמה תשובה של רב גרמני שהקל בשאלה של רב פולני, והוסיף: “אל תפרסם את ההוראה בפולין, כי אינם בני תורה שם”.</w:t>
      </w:r>
    </w:p>
  </w:footnote>
  <w:footnote w:id="725">
    <w:p w14:paraId="60889C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“הרב: עולמו של הרב יוסף ב. </w:t>
      </w:r>
      <w:proofErr w:type="spellStart"/>
      <w:r>
        <w:rPr>
          <w:sz w:val="20"/>
          <w:szCs w:val="20"/>
          <w:rtl/>
        </w:rPr>
        <w:t>סולובייצ׳יק</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כתב, 1999), כרך 1, עמ׳ 9. לפי הספר חל יום הולדתו </w:t>
      </w:r>
      <w:proofErr w:type="spellStart"/>
      <w:r>
        <w:rPr>
          <w:sz w:val="20"/>
          <w:szCs w:val="20"/>
          <w:rtl/>
        </w:rPr>
        <w:t>השלושה־עשר</w:t>
      </w:r>
      <w:proofErr w:type="spellEnd"/>
      <w:r>
        <w:rPr>
          <w:sz w:val="20"/>
          <w:szCs w:val="20"/>
          <w:rtl/>
        </w:rPr>
        <w:t xml:space="preserve"> של ר׳ משה אחרי שנסגרה הישיבה, אבל ר׳ אהרן עמד על כך בשיחה עמי באוגוסט 2000 שגרסתו נכונה.</w:t>
      </w:r>
    </w:p>
  </w:footnote>
  <w:footnote w:id="726">
    <w:p w14:paraId="73D64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(פרק 1, הפסקה השנייה בהערה 96), עמ׳ 393.</w:t>
      </w:r>
    </w:p>
  </w:footnote>
  <w:footnote w:id="727">
    <w:p w14:paraId="7E2F9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עמ׳ 395.</w:t>
      </w:r>
    </w:p>
  </w:footnote>
  <w:footnote w:id="728">
    <w:p w14:paraId="01BC9E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115–116 והערה 16 בעמ׳ 116.</w:t>
      </w:r>
    </w:p>
  </w:footnote>
  <w:footnote w:id="729">
    <w:p w14:paraId="3C1456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שער ד׳ </w:t>
      </w:r>
      <w:proofErr w:type="spellStart"/>
      <w:r>
        <w:rPr>
          <w:rStyle w:val="a5"/>
          <w:sz w:val="20"/>
          <w:szCs w:val="20"/>
          <w:vertAlign w:val="baseline"/>
          <w:rtl/>
        </w:rPr>
        <w:t>פכ״ה</w:t>
      </w:r>
      <w:proofErr w:type="spellEnd"/>
      <w:r>
        <w:rPr>
          <w:rStyle w:val="a5"/>
          <w:sz w:val="20"/>
          <w:szCs w:val="20"/>
          <w:vertAlign w:val="baseline"/>
          <w:rtl/>
        </w:rPr>
        <w:t xml:space="preserve">. והשווה גם הערת שוליים </w:t>
      </w:r>
      <w:r>
        <w:rPr>
          <w:rStyle w:val="a5"/>
          <w:sz w:val="20"/>
          <w:szCs w:val="20"/>
          <w:vertAlign w:val="baseline"/>
          <w:rtl/>
        </w:rPr>
        <w:fldChar w:fldCharType="begin" w:dirty="true"/>
      </w:r>
      <w:r>
        <w:rPr>
          <w:rStyle w:val="a5"/>
          <w:sz w:val="20"/>
          <w:szCs w:val="20"/>
          <w:vertAlign w:val="baseline"/>
          <w:rtl/>
        </w:rPr>
        <w:instrText xml:space="preserve"> NOTEREF pr_f_2580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1626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pr_f_2580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730">
    <w:p w14:paraId="73561B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בסוף אותה פסקה מוצע </w:t>
      </w:r>
      <w:proofErr w:type="spellStart"/>
      <w:r>
        <w:rPr>
          <w:sz w:val="20"/>
          <w:szCs w:val="20"/>
          <w:rtl/>
        </w:rPr>
        <w:t>שה“ברכה</w:t>
      </w:r>
      <w:proofErr w:type="spellEnd"/>
      <w:r>
        <w:rPr>
          <w:sz w:val="20"/>
          <w:szCs w:val="20"/>
          <w:rtl/>
        </w:rPr>
        <w:t xml:space="preserve">” הייתה חלק מדברים ארוכים יותר של ר׳ חיים </w:t>
      </w:r>
      <w:proofErr w:type="spellStart"/>
      <w:r>
        <w:rPr>
          <w:sz w:val="20"/>
          <w:szCs w:val="20"/>
          <w:rtl/>
        </w:rPr>
        <w:t>מוולוז׳ין</w:t>
      </w:r>
      <w:proofErr w:type="spellEnd"/>
      <w:r>
        <w:rPr>
          <w:sz w:val="20"/>
          <w:szCs w:val="20"/>
          <w:rtl/>
        </w:rPr>
        <w:t xml:space="preserve">, שבהם המליץ על ר׳ </w:t>
      </w:r>
      <w:proofErr w:type="spellStart"/>
      <w:r>
        <w:rPr>
          <w:sz w:val="20"/>
          <w:szCs w:val="20"/>
          <w:rtl/>
        </w:rPr>
        <w:t>דוד־טעביל</w:t>
      </w:r>
      <w:proofErr w:type="spellEnd"/>
      <w:r>
        <w:rPr>
          <w:sz w:val="20"/>
          <w:szCs w:val="20"/>
          <w:rtl/>
        </w:rPr>
        <w:t xml:space="preserve"> </w:t>
      </w:r>
      <w:r>
        <w:rPr>
          <w:b/>
          <w:bCs/>
          <w:sz w:val="20"/>
          <w:szCs w:val="20"/>
          <w:rtl/>
        </w:rPr>
        <w:t>למשרה בעיירה קטנה</w:t>
      </w:r>
      <w:r>
        <w:rPr>
          <w:sz w:val="20"/>
          <w:szCs w:val="20"/>
          <w:rtl/>
        </w:rPr>
        <w:t>.</w:t>
      </w:r>
    </w:p>
  </w:footnote>
  <w:footnote w:id="731">
    <w:p w14:paraId="4957E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ניו יורק, 1915 (להלן: </w:t>
      </w:r>
      <w:proofErr w:type="spellStart"/>
      <w:r>
        <w:rPr>
          <w:sz w:val="20"/>
          <w:szCs w:val="20"/>
          <w:rtl/>
        </w:rPr>
        <w:t>פיליפסון</w:t>
      </w:r>
      <w:proofErr w:type="spellEnd"/>
      <w:r>
        <w:rPr>
          <w:sz w:val="20"/>
          <w:szCs w:val="20"/>
          <w:rtl/>
        </w:rPr>
        <w:t>).</w:t>
      </w:r>
    </w:p>
  </w:footnote>
  <w:footnote w:id="732">
    <w:p w14:paraId="4C4DC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היומן, שכותרתו “מסעותיי ברוסיה”, פורסם בהמשכים </w:t>
      </w:r>
      <w:proofErr w:type="spellStart"/>
      <w:r>
        <w:rPr>
          <w:sz w:val="20"/>
          <w:szCs w:val="20"/>
          <w:rtl/>
        </w:rPr>
        <w:t>ב“דה</w:t>
      </w:r>
      <w:proofErr w:type="spellEnd"/>
      <w:r>
        <w:rPr>
          <w:sz w:val="20"/>
          <w:szCs w:val="20"/>
          <w:rtl/>
        </w:rPr>
        <w:t xml:space="preserve"> </w:t>
      </w:r>
      <w:proofErr w:type="spellStart"/>
      <w:r>
        <w:rPr>
          <w:sz w:val="20"/>
          <w:szCs w:val="20"/>
          <w:rtl/>
        </w:rPr>
        <w:t>ישראלייט</w:t>
      </w:r>
      <w:proofErr w:type="spellEnd"/>
      <w:r>
        <w:rPr>
          <w:sz w:val="20"/>
          <w:szCs w:val="20"/>
          <w:rtl/>
        </w:rPr>
        <w:t>” בשנים 1855–1857.</w:t>
      </w:r>
    </w:p>
  </w:footnote>
  <w:footnote w:id="733">
    <w:p w14:paraId="5FA262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תקע״ה; נפטר </w:t>
      </w:r>
      <w:proofErr w:type="spellStart"/>
      <w:r>
        <w:rPr>
          <w:sz w:val="20"/>
          <w:szCs w:val="20"/>
          <w:rtl/>
        </w:rPr>
        <w:t>בסינסינטי</w:t>
      </w:r>
      <w:proofErr w:type="spellEnd"/>
      <w:r>
        <w:rPr>
          <w:sz w:val="20"/>
          <w:szCs w:val="20"/>
          <w:rtl/>
        </w:rPr>
        <w:t>, תרמ״ב.</w:t>
      </w:r>
    </w:p>
  </w:footnote>
  <w:footnote w:id="734">
    <w:p w14:paraId="739AAD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305.</w:t>
      </w:r>
    </w:p>
  </w:footnote>
  <w:footnote w:id="735">
    <w:p w14:paraId="0FF94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pr_f_182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pr_f_182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736">
    <w:p w14:paraId="6902A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דבריו של רבנו על ד״ר </w:t>
      </w:r>
      <w:proofErr w:type="spellStart"/>
      <w:r>
        <w:rPr>
          <w:sz w:val="20"/>
          <w:szCs w:val="20"/>
          <w:rtl/>
        </w:rPr>
        <w:t>ליליינטל</w:t>
      </w:r>
      <w:proofErr w:type="spellEnd"/>
      <w:r>
        <w:rPr>
          <w:sz w:val="20"/>
          <w:szCs w:val="20"/>
          <w:rtl/>
        </w:rPr>
        <w:t xml:space="preserve"> הביאו לחקר סיפורו ותעלומותיו, להלן.</w:t>
      </w:r>
    </w:p>
  </w:footnote>
  <w:footnote w:id="737">
    <w:p w14:paraId="259485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94.</w:t>
      </w:r>
    </w:p>
  </w:footnote>
  <w:footnote w:id="738">
    <w:p w14:paraId="4DD3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חי״ל, ניו יורק</w:t>
      </w:r>
      <w:proofErr w:type="spellStart"/>
      <w:r>
        <w:rPr>
          <w:sz w:val="20"/>
          <w:szCs w:val="20"/>
          <w:rtl/>
        </w:rPr>
        <w:t xml:space="preserve"/>
      </w:r>
      <w:proofErr w:type="spellEnd"/>
      <w:r>
        <w:rPr>
          <w:sz w:val="20"/>
          <w:szCs w:val="20"/>
          <w:rtl/>
        </w:rPr>
        <w:t>, תשי״ד.</w:t>
      </w:r>
    </w:p>
  </w:footnote>
  <w:footnote w:id="739">
    <w:p w14:paraId="45A176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הערת שוליים בעמ׳ </w:t>
      </w:r>
      <w:proofErr w:type="spellStart"/>
      <w:r>
        <w:rPr>
          <w:sz w:val="20"/>
          <w:szCs w:val="20"/>
          <w:rtl/>
        </w:rPr>
        <w:t>תקלז</w:t>
      </w:r>
      <w:proofErr w:type="spellEnd"/>
      <w:r>
        <w:rPr>
          <w:sz w:val="20"/>
          <w:szCs w:val="20"/>
          <w:rtl/>
        </w:rPr>
        <w:t>.</w:t>
      </w:r>
    </w:p>
  </w:footnote>
  <w:footnote w:id="740">
    <w:p w14:paraId="5E50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תשמ״ג (להלן: סטניסלבסקי) – עמ׳ 91 (בפרק “ראשית ההשכלה הרוסית”).</w:t>
      </w:r>
    </w:p>
  </w:footnote>
  <w:footnote w:id="741">
    <w:p w14:paraId="475AE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גילוי זה מבוסס על מכתביו האישיים של </w:t>
      </w:r>
      <w:proofErr w:type="spellStart"/>
      <w:r>
        <w:rPr>
          <w:sz w:val="20"/>
          <w:szCs w:val="20"/>
          <w:rtl/>
        </w:rPr>
        <w:t>ליליינטל</w:t>
      </w:r>
      <w:proofErr w:type="spellEnd"/>
      <w:r>
        <w:rPr>
          <w:sz w:val="20"/>
          <w:szCs w:val="20"/>
          <w:rtl/>
        </w:rPr>
        <w:t xml:space="preserve"> שפרסמה כלתו סופי </w:t>
      </w:r>
      <w:proofErr w:type="spellStart"/>
      <w:r>
        <w:rPr>
          <w:sz w:val="20"/>
          <w:szCs w:val="20"/>
          <w:rtl/>
        </w:rPr>
        <w:t>ב“רשומות</w:t>
      </w:r>
      <w:proofErr w:type="spellEnd"/>
      <w:r>
        <w:rPr>
          <w:sz w:val="20"/>
          <w:szCs w:val="20"/>
          <w:rtl/>
        </w:rPr>
        <w:t xml:space="preserve"> משפחת </w:t>
      </w:r>
      <w:proofErr w:type="spellStart"/>
      <w:r>
        <w:rPr>
          <w:sz w:val="20"/>
          <w:szCs w:val="20"/>
          <w:rtl/>
        </w:rPr>
        <w:t>ליליינטל</w:t>
      </w:r>
      <w:proofErr w:type="spellEnd"/>
      <w:r>
        <w:rPr>
          <w:sz w:val="20"/>
          <w:szCs w:val="20"/>
          <w:rtl/>
        </w:rPr>
        <w:t>” (סן פרנסיסקו, 1930) (להלן: מכתבים אישיים).</w:t>
      </w:r>
    </w:p>
  </w:footnote>
  <w:footnote w:id="742">
    <w:p w14:paraId="7CB872BA"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נתמנה למשרה זו בשנת תקצ״ט ובא לריגה בשנת ת״ר, כנזכר לעיל.</w:t>
      </w:r>
    </w:p>
    <w:p w14:paraId="4B164DAB" w14:textId="77777777" w:rsidR="00AB3647" w:rsidRDefault="00000000">
      <w:pPr>
        <w:spacing w:after="0" w:before="0"/>
        <w:jc w:val="both"/>
      </w:pPr>
      <w:r>
        <w:rPr>
          <w:b/>
          <w:sz w:val="20"/>
          <w:szCs w:val="20"/>
          <w:rtl/>
        </w:rPr>
        <w:t xml:space="preserve">אשר </w:t>
      </w:r>
      <w:proofErr w:type="spellStart"/>
      <w:r>
        <w:rPr>
          <w:b/>
          <w:sz w:val="20"/>
          <w:szCs w:val="20"/>
          <w:rtl/>
        </w:rPr>
        <w:t>ל</w:t>
      </w:r>
      <w:r>
        <w:rPr>
          <w:sz w:val="20"/>
          <w:szCs w:val="20"/>
          <w:rtl/>
        </w:rPr>
        <w:t>פיליפסון</w:t>
      </w:r>
      <w:proofErr w:type="spellEnd"/>
      <w:r>
        <w:rPr>
          <w:sz w:val="20"/>
          <w:szCs w:val="20"/>
          <w:rtl/>
        </w:rPr>
        <w:t xml:space="preserve">: הוא נולד בטבת תקע״ב ונפטר בטבת </w:t>
      </w:r>
      <w:proofErr w:type="spellStart"/>
      <w:r>
        <w:rPr>
          <w:sz w:val="20"/>
          <w:szCs w:val="20"/>
          <w:rtl/>
        </w:rPr>
        <w:t>תר״ן</w:t>
      </w:r>
      <w:proofErr w:type="spellEnd"/>
      <w:r>
        <w:rPr>
          <w:sz w:val="20"/>
          <w:szCs w:val="20"/>
          <w:rtl/>
        </w:rPr>
        <w:t>.</w:t>
      </w:r>
    </w:p>
  </w:footnote>
  <w:footnote w:id="743">
    <w:p w14:paraId="05FAAC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ביומנו קובע ד״ר </w:t>
      </w:r>
      <w:proofErr w:type="spellStart"/>
      <w:r>
        <w:rPr>
          <w:sz w:val="20"/>
          <w:szCs w:val="20"/>
          <w:rtl/>
        </w:rPr>
        <w:t>ליליינטל</w:t>
      </w:r>
      <w:proofErr w:type="spellEnd"/>
      <w:r>
        <w:rPr>
          <w:sz w:val="20"/>
          <w:szCs w:val="20"/>
          <w:rtl/>
        </w:rPr>
        <w:t xml:space="preserve"> את 1839 כשנת מינויו בריגה, כאמור בפסקה הקודמת.</w:t>
      </w:r>
    </w:p>
  </w:footnote>
  <w:footnote w:id="744">
    <w:p w14:paraId="31AE7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11, עמ׳ 243–245.</w:t>
      </w:r>
    </w:p>
  </w:footnote>
  <w:footnote w:id="745">
    <w:p w14:paraId="0DD60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w:t>
      </w:r>
      <w:proofErr w:type="spellStart"/>
      <w:r>
        <w:rPr>
          <w:sz w:val="20"/>
          <w:szCs w:val="20"/>
          <w:rtl/>
        </w:rPr>
        <w:t>פיליפסון</w:t>
      </w:r>
      <w:proofErr w:type="spellEnd"/>
      <w:r>
        <w:rPr>
          <w:sz w:val="20"/>
          <w:szCs w:val="20"/>
          <w:rtl/>
        </w:rPr>
        <w:t xml:space="preserve"> היה “דרשן בקהילה היהודית </w:t>
      </w:r>
      <w:proofErr w:type="spellStart"/>
      <w:r>
        <w:rPr>
          <w:sz w:val="20"/>
          <w:szCs w:val="20"/>
          <w:rtl/>
        </w:rPr>
        <w:t>במגדבורג</w:t>
      </w:r>
      <w:proofErr w:type="spellEnd"/>
      <w:r>
        <w:rPr>
          <w:sz w:val="20"/>
          <w:szCs w:val="20"/>
          <w:rtl/>
        </w:rPr>
        <w:t xml:space="preserve">, ויוזם </w:t>
      </w:r>
      <w:proofErr w:type="spellStart"/>
      <w:r>
        <w:rPr>
          <w:sz w:val="20"/>
          <w:szCs w:val="20"/>
          <w:rtl/>
        </w:rPr>
        <w:t>הסינודים</w:t>
      </w:r>
      <w:proofErr w:type="spellEnd"/>
      <w:r>
        <w:rPr>
          <w:sz w:val="20"/>
          <w:szCs w:val="20"/>
          <w:rtl/>
        </w:rPr>
        <w:t xml:space="preserve"> הרבניים של הרפורמה </w:t>
      </w:r>
      <w:proofErr w:type="spellStart"/>
      <w:r>
        <w:rPr>
          <w:sz w:val="20"/>
          <w:szCs w:val="20"/>
          <w:rtl/>
        </w:rPr>
        <w:t>בבראונשווייג</w:t>
      </w:r>
      <w:proofErr w:type="spellEnd"/>
      <w:r>
        <w:rPr>
          <w:sz w:val="20"/>
          <w:szCs w:val="20"/>
          <w:rtl/>
        </w:rPr>
        <w:t xml:space="preserve"> (1844), בפרנקפורט (1845) ובברסלאו (1846), אף שמתח ביקורת על ההחלטות שהתקבלו בהם”. אני סבור שפרנקפורט זו היא פרנקפורט על נהר האודר, במזרח גרמניה – שם נערכו שני </w:t>
      </w:r>
      <w:proofErr w:type="spellStart"/>
      <w:r>
        <w:rPr>
          <w:sz w:val="20"/>
          <w:szCs w:val="20"/>
          <w:rtl/>
        </w:rPr>
        <w:t>הסינודים</w:t>
      </w:r>
      <w:proofErr w:type="spellEnd"/>
      <w:r>
        <w:rPr>
          <w:sz w:val="20"/>
          <w:szCs w:val="20"/>
          <w:rtl/>
        </w:rPr>
        <w:t xml:space="preserve"> האחרים – ולא פרנקפורט על נהר המיין (אף שאנציקלופדיה יודאיקה רושמת זאת בערך על העיר האחרונה).</w:t>
      </w:r>
    </w:p>
  </w:footnote>
  <w:footnote w:id="746">
    <w:p w14:paraId="673810E6"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ועידת הרבנים של תר״ה נערכה בפרנקפורט שעל נהר המיין; גם </w:t>
      </w:r>
      <w:proofErr w:type="spellStart"/>
      <w:r>
        <w:rPr>
          <w:sz w:val="20"/>
          <w:szCs w:val="20"/>
          <w:rtl/>
        </w:rPr>
        <w:t>בראונשווייג</w:t>
      </w:r>
      <w:proofErr w:type="spellEnd"/>
      <w:r>
        <w:rPr>
          <w:sz w:val="20"/>
          <w:szCs w:val="20"/>
          <w:rtl/>
        </w:rPr>
        <w:t xml:space="preserve"> אינה במזרח גרמניה.</w:t>
      </w:r>
    </w:p>
  </w:footnote>
  <w:footnote w:id="747">
    <w:p w14:paraId="65261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השמונה־עשרה</w:t>
      </w:r>
      <w:proofErr w:type="spellEnd"/>
      <w:r>
        <w:rPr>
          <w:sz w:val="20"/>
          <w:szCs w:val="20"/>
          <w:rtl/>
        </w:rPr>
        <w:t xml:space="preserve"> להלן.</w:t>
      </w:r>
    </w:p>
  </w:footnote>
  <w:footnote w:id="748">
    <w:p w14:paraId="016C67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17 במאמרו של עמנואל </w:t>
      </w:r>
      <w:proofErr w:type="spellStart"/>
      <w:r>
        <w:rPr>
          <w:sz w:val="20"/>
          <w:szCs w:val="20"/>
          <w:rtl/>
        </w:rPr>
        <w:t>אטקס</w:t>
      </w:r>
      <w:proofErr w:type="spellEnd"/>
      <w:r>
        <w:rPr>
          <w:sz w:val="20"/>
          <w:szCs w:val="20"/>
          <w:rtl/>
        </w:rPr>
        <w:t xml:space="preserve"> “פרשת ההשכלה מטעם והתמורה במעמד ההשכלה ברוסיה”, שהופיע </w:t>
      </w:r>
      <w:proofErr w:type="spellStart"/>
      <w:r>
        <w:rPr>
          <w:sz w:val="20"/>
          <w:szCs w:val="20"/>
          <w:rtl/>
        </w:rPr>
        <w:t>ב“ציון</w:t>
      </w:r>
      <w:proofErr w:type="spellEnd"/>
      <w:r>
        <w:rPr>
          <w:sz w:val="20"/>
          <w:szCs w:val="20"/>
          <w:rtl/>
        </w:rPr>
        <w:t xml:space="preserve">” מג, עמ׳ 264–313. הגעתי למאמר דרך ספרו המצוין של אותו מחבר, “ר׳ ישראל </w:t>
      </w:r>
      <w:proofErr w:type="spellStart"/>
      <w:r>
        <w:rPr>
          <w:sz w:val="20"/>
          <w:szCs w:val="20"/>
          <w:rtl/>
        </w:rPr>
        <w:t>סלנטר</w:t>
      </w:r>
      <w:proofErr w:type="spellEnd"/>
      <w:r>
        <w:rPr>
          <w:sz w:val="20"/>
          <w:szCs w:val="20"/>
          <w:rtl/>
        </w:rPr>
        <w:t xml:space="preserve"> וראשיתה של תנועת המוסר” (הוצאת ספרים ע״ש </w:t>
      </w:r>
      <w:proofErr w:type="spellStart"/>
      <w:r>
        <w:rPr>
          <w:sz w:val="20"/>
          <w:szCs w:val="20"/>
          <w:rtl/>
        </w:rPr>
        <w:t>י״ל</w:t>
      </w:r>
      <w:proofErr w:type="spellEnd"/>
      <w:r>
        <w:rPr>
          <w:sz w:val="20"/>
          <w:szCs w:val="20"/>
          <w:rtl/>
        </w:rPr>
        <w:t xml:space="preserve"> </w:t>
      </w:r>
      <w:proofErr w:type="spellStart"/>
      <w:r>
        <w:rPr>
          <w:sz w:val="20"/>
          <w:szCs w:val="20"/>
          <w:rtl/>
        </w:rPr>
        <w:t>מגנס</w:t>
      </w:r>
      <w:proofErr w:type="spellEnd"/>
      <w:r>
        <w:rPr>
          <w:sz w:val="20"/>
          <w:szCs w:val="20"/>
          <w:rtl/>
        </w:rPr>
        <w:t xml:space="preserve">, ירושלים, תשמ״ד). בספר זה, פרק 9, עמ׳ 147–169, מניח המחבר שהביטחון העצמי והקשרים הממשלתיים שרכשו המשכילים בפרשת </w:t>
      </w:r>
      <w:proofErr w:type="spellStart"/>
      <w:r>
        <w:rPr>
          <w:sz w:val="20"/>
          <w:szCs w:val="20"/>
          <w:rtl/>
        </w:rPr>
        <w:t>ליליינטל</w:t>
      </w:r>
      <w:proofErr w:type="spellEnd"/>
      <w:r>
        <w:rPr>
          <w:sz w:val="20"/>
          <w:szCs w:val="20"/>
          <w:rtl/>
        </w:rPr>
        <w:t xml:space="preserve"> הפכו את ההשכלה הרוסית הזעירה לכוח המזרז שגרם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לייסד את תנועת המוסר. אבי הסכים לעיקר התזה – שר׳ ישראל הבין עד כמה מסוכנת ההשכלה להמשך קיומה של היהדות, ושהבנה זו הניעה אותו במידה רבה – כמובא בפרק 3, תחילת הפסקה השנייה בנספח </w:t>
      </w:r>
      <w:proofErr w:type="spellStart"/>
      <w:r>
        <w:rPr>
          <w:sz w:val="20"/>
          <w:szCs w:val="20"/>
          <w:rtl/>
        </w:rPr>
        <w:t>יט</w:t>
      </w:r>
      <w:proofErr w:type="spellEnd"/>
      <w:r>
        <w:rPr>
          <w:sz w:val="20"/>
          <w:szCs w:val="20"/>
          <w:rtl/>
        </w:rPr>
        <w:t xml:space="preserve">. והשווה גם פרק 3, תחילת נספח </w:t>
      </w:r>
      <w:proofErr w:type="spellStart"/>
      <w:r>
        <w:rPr>
          <w:sz w:val="20"/>
          <w:szCs w:val="20"/>
          <w:rtl/>
        </w:rPr>
        <w:t>יט</w:t>
      </w:r>
      <w:proofErr w:type="spellEnd"/>
      <w:r>
        <w:rPr>
          <w:sz w:val="20"/>
          <w:szCs w:val="20"/>
          <w:rtl/>
        </w:rPr>
        <w:t xml:space="preserve">, ופרק 4, סוף נספח </w:t>
      </w:r>
      <w:proofErr w:type="spellStart"/>
      <w:r>
        <w:rPr>
          <w:sz w:val="20"/>
          <w:szCs w:val="20"/>
          <w:rtl/>
        </w:rPr>
        <w:t>יג</w:t>
      </w:r>
      <w:proofErr w:type="spellEnd"/>
      <w:r>
        <w:rPr>
          <w:sz w:val="20"/>
          <w:szCs w:val="20"/>
          <w:rtl/>
        </w:rPr>
        <w:t>.</w:t>
      </w:r>
    </w:p>
  </w:footnote>
  <w:footnote w:id="749">
    <w:p w14:paraId="36CF1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הפסקה </w:t>
      </w:r>
      <w:proofErr w:type="spellStart"/>
      <w:r>
        <w:rPr>
          <w:sz w:val="20"/>
          <w:szCs w:val="20"/>
          <w:rtl/>
        </w:rPr>
        <w:t>השמונה־עשרה</w:t>
      </w:r>
      <w:proofErr w:type="spellEnd"/>
      <w:r>
        <w:rPr>
          <w:sz w:val="20"/>
          <w:szCs w:val="20"/>
          <w:rtl/>
        </w:rPr>
        <w:t xml:space="preserve"> להלן, על בורותו של </w:t>
      </w:r>
      <w:proofErr w:type="spellStart"/>
      <w:r>
        <w:rPr>
          <w:sz w:val="20"/>
          <w:szCs w:val="20"/>
          <w:rtl/>
        </w:rPr>
        <w:t>אוברוב</w:t>
      </w:r>
      <w:proofErr w:type="spellEnd"/>
      <w:r>
        <w:rPr>
          <w:sz w:val="20"/>
          <w:szCs w:val="20"/>
          <w:rtl/>
        </w:rPr>
        <w:t xml:space="preserve"> עצמו באשר למהותו של התלמוד.</w:t>
      </w:r>
    </w:p>
  </w:footnote>
  <w:footnote w:id="750">
    <w:p w14:paraId="4158F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70–76.</w:t>
      </w:r>
    </w:p>
  </w:footnote>
  <w:footnote w:id="751">
    <w:p w14:paraId="0E1EB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72–73.</w:t>
      </w:r>
    </w:p>
  </w:footnote>
  <w:footnote w:id="752">
    <w:p w14:paraId="4B0103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73.</w:t>
      </w:r>
    </w:p>
  </w:footnote>
  <w:footnote w:id="753">
    <w:p w14:paraId="00ED38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94.</w:t>
      </w:r>
    </w:p>
  </w:footnote>
  <w:footnote w:id="754">
    <w:p w14:paraId="27A320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w:t>
      </w:r>
    </w:p>
  </w:footnote>
  <w:footnote w:id="755">
    <w:p w14:paraId="3815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כ״ז, תרע״ב–תרע״ג – עמ׳ 551.</w:t>
      </w:r>
    </w:p>
  </w:footnote>
  <w:footnote w:id="756">
    <w:p w14:paraId="294D8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82–83.</w:t>
      </w:r>
    </w:p>
  </w:footnote>
  <w:footnote w:id="757">
    <w:p w14:paraId="1D8050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ברלין סיפר שבשלב זה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החל להזיל דמעות”. מחבר “</w:t>
      </w:r>
      <w:proofErr w:type="spellStart"/>
      <w:r>
        <w:rPr>
          <w:sz w:val="20"/>
          <w:szCs w:val="20"/>
          <w:rtl/>
        </w:rPr>
        <w:t>זכרון</w:t>
      </w:r>
      <w:proofErr w:type="spellEnd"/>
      <w:r>
        <w:rPr>
          <w:sz w:val="20"/>
          <w:szCs w:val="20"/>
          <w:rtl/>
        </w:rPr>
        <w:t xml:space="preserve"> יעקב”, ר׳ יעקב הלוי ליפשיץ, מספר שם גם </w:t>
      </w:r>
      <w:r>
        <w:rPr>
          <w:b/>
          <w:bCs/>
          <w:sz w:val="20"/>
          <w:szCs w:val="20"/>
          <w:rtl/>
        </w:rPr>
        <w:t>שסיפר לו ר׳ חיים ברלין</w:t>
      </w:r>
      <w:r>
        <w:rPr>
          <w:sz w:val="20"/>
          <w:szCs w:val="20"/>
          <w:rtl/>
        </w:rPr>
        <w:t xml:space="preserve"> בשם אביו, שכאשר הרצה ר׳ </w:t>
      </w:r>
      <w:proofErr w:type="spellStart"/>
      <w:r>
        <w:rPr>
          <w:sz w:val="20"/>
          <w:szCs w:val="20"/>
          <w:rtl/>
        </w:rPr>
        <w:t>איצל׳ה</w:t>
      </w:r>
      <w:proofErr w:type="spellEnd"/>
      <w:r>
        <w:rPr>
          <w:sz w:val="20"/>
          <w:szCs w:val="20"/>
          <w:rtl/>
        </w:rPr>
        <w:t xml:space="preserve"> לפני </w:t>
      </w:r>
      <w:proofErr w:type="spellStart"/>
      <w:r>
        <w:rPr>
          <w:sz w:val="20"/>
          <w:szCs w:val="20"/>
          <w:rtl/>
        </w:rPr>
        <w:t>ליליינטל</w:t>
      </w:r>
      <w:proofErr w:type="spellEnd"/>
      <w:r>
        <w:rPr>
          <w:sz w:val="20"/>
          <w:szCs w:val="20"/>
          <w:rtl/>
        </w:rPr>
        <w:t xml:space="preserve"> את פשטו במשנה במסכת יומא – פשט שהצדיק את החשד במניעיו של ד״ר </w:t>
      </w:r>
      <w:proofErr w:type="spellStart"/>
      <w:r>
        <w:rPr>
          <w:sz w:val="20"/>
          <w:szCs w:val="20"/>
          <w:rtl/>
        </w:rPr>
        <w:t>ליליינטל</w:t>
      </w:r>
      <w:proofErr w:type="spellEnd"/>
      <w:r>
        <w:rPr>
          <w:sz w:val="20"/>
          <w:szCs w:val="20"/>
          <w:rtl/>
        </w:rPr>
        <w:t xml:space="preserve">, ומובא להלן בפסקה התשיעית – שוב “בכה ר׳ </w:t>
      </w:r>
      <w:proofErr w:type="spellStart"/>
      <w:r>
        <w:rPr>
          <w:sz w:val="20"/>
          <w:szCs w:val="20"/>
          <w:rtl/>
        </w:rPr>
        <w:t>איצל׳ה</w:t>
      </w:r>
      <w:proofErr w:type="spellEnd"/>
      <w:r>
        <w:rPr>
          <w:sz w:val="20"/>
          <w:szCs w:val="20"/>
          <w:rtl/>
        </w:rPr>
        <w:t xml:space="preserve"> כל כך במרירות שגם </w:t>
      </w:r>
      <w:proofErr w:type="spellStart"/>
      <w:r>
        <w:rPr>
          <w:sz w:val="20"/>
          <w:szCs w:val="20"/>
          <w:rtl/>
        </w:rPr>
        <w:t>ליליינטל</w:t>
      </w:r>
      <w:proofErr w:type="spellEnd"/>
      <w:r>
        <w:rPr>
          <w:sz w:val="20"/>
          <w:szCs w:val="20"/>
          <w:rtl/>
        </w:rPr>
        <w:t xml:space="preserve"> פנה הצידה ובכה”. גם “מקור ברוך” מספר </w:t>
      </w:r>
      <w:proofErr w:type="spellStart"/>
      <w:r>
        <w:rPr>
          <w:sz w:val="20"/>
          <w:szCs w:val="20"/>
          <w:rtl/>
        </w:rPr>
        <w:t>שליליינטל</w:t>
      </w:r>
      <w:proofErr w:type="spellEnd"/>
      <w:r>
        <w:rPr>
          <w:sz w:val="20"/>
          <w:szCs w:val="20"/>
          <w:rtl/>
        </w:rPr>
        <w:t xml:space="preserve"> בכה אחרי ששמע את פירושו של ר׳ </w:t>
      </w:r>
      <w:proofErr w:type="spellStart"/>
      <w:r>
        <w:rPr>
          <w:sz w:val="20"/>
          <w:szCs w:val="20"/>
          <w:rtl/>
        </w:rPr>
        <w:t>איצל׳ה</w:t>
      </w:r>
      <w:proofErr w:type="spellEnd"/>
      <w:r>
        <w:rPr>
          <w:sz w:val="20"/>
          <w:szCs w:val="20"/>
          <w:rtl/>
        </w:rPr>
        <w:t xml:space="preserve">, אבל לא בגלוי כבתיאורו של ר׳ חיים ברלין (בשם </w:t>
      </w:r>
      <w:proofErr w:type="spellStart"/>
      <w:r>
        <w:rPr>
          <w:sz w:val="20"/>
          <w:szCs w:val="20"/>
          <w:rtl/>
        </w:rPr>
        <w:t>הנצי״ב</w:t>
      </w:r>
      <w:proofErr w:type="spellEnd"/>
      <w:r>
        <w:rPr>
          <w:sz w:val="20"/>
          <w:szCs w:val="20"/>
          <w:rtl/>
        </w:rPr>
        <w:t xml:space="preserve">): ראה להלן, באמצע (עמ׳ </w:t>
      </w:r>
      <w:r>
        <w:rPr>
          <w:sz w:val="20"/>
          <w:szCs w:val="20"/>
          <w:rtl/>
        </w:rPr>
        <w:fldChar w:fldCharType="begin" w:dirty="true"/>
      </w:r>
      <w:r>
        <w:rPr>
          <w:sz w:val="20"/>
          <w:szCs w:val="20"/>
          <w:rtl/>
        </w:rPr>
        <w:instrText xml:space="preserve"> PAGEREF pr_b_617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ש“האנשים</w:t>
      </w:r>
      <w:proofErr w:type="spellEnd"/>
      <w:r>
        <w:rPr>
          <w:sz w:val="20"/>
          <w:szCs w:val="20"/>
          <w:rtl/>
        </w:rPr>
        <w:t xml:space="preserve"> שליד (ה)פינה שבה ישב כשטליתו על ראשו שמעו אותו בוכה חרש”.</w:t>
      </w:r>
    </w:p>
    <w:p w14:paraId="5E976230" w14:textId="77777777" w:rsidR="00AB3647" w:rsidRDefault="00000000">
      <w:pPr>
        <w:spacing w:after="0" w:before="0"/>
        <w:jc w:val="both"/>
      </w:pPr>
      <w:r>
        <w:rPr>
          <w:sz w:val="20"/>
          <w:szCs w:val="20"/>
          <w:rtl/>
        </w:rPr>
        <w:t>לפי “</w:t>
      </w:r>
      <w:proofErr w:type="spellStart"/>
      <w:r>
        <w:rPr>
          <w:sz w:val="20"/>
          <w:szCs w:val="20"/>
          <w:rtl/>
        </w:rPr>
        <w:t>זכרון</w:t>
      </w:r>
      <w:proofErr w:type="spellEnd"/>
      <w:r>
        <w:rPr>
          <w:sz w:val="20"/>
          <w:szCs w:val="20"/>
          <w:rtl/>
        </w:rPr>
        <w:t xml:space="preserve"> יעקב” מסר ר׳ </w:t>
      </w:r>
      <w:proofErr w:type="spellStart"/>
      <w:r>
        <w:rPr>
          <w:sz w:val="20"/>
          <w:szCs w:val="20"/>
          <w:rtl/>
        </w:rPr>
        <w:t>איצל׳ה</w:t>
      </w:r>
      <w:proofErr w:type="spellEnd"/>
      <w:r>
        <w:rPr>
          <w:sz w:val="20"/>
          <w:szCs w:val="20"/>
          <w:rtl/>
        </w:rPr>
        <w:t xml:space="preserve"> את פשטו </w:t>
      </w:r>
      <w:proofErr w:type="spellStart"/>
      <w:r>
        <w:rPr>
          <w:sz w:val="20"/>
          <w:szCs w:val="20"/>
          <w:rtl/>
        </w:rPr>
        <w:t>לליליינטל</w:t>
      </w:r>
      <w:proofErr w:type="spellEnd"/>
      <w:r>
        <w:rPr>
          <w:sz w:val="20"/>
          <w:szCs w:val="20"/>
          <w:rtl/>
        </w:rPr>
        <w:t xml:space="preserve"> בארבע עיניים, ולא במעמד המתואר בתחילת הפסקה הבאה לפי “עץ חיים” מאת משה </w:t>
      </w:r>
      <w:proofErr w:type="spellStart"/>
      <w:r>
        <w:rPr>
          <w:sz w:val="20"/>
          <w:szCs w:val="20"/>
          <w:rtl/>
        </w:rPr>
        <w:t>צינוביץ</w:t>
      </w:r>
      <w:proofErr w:type="spellEnd"/>
      <w:r>
        <w:rPr>
          <w:sz w:val="20"/>
          <w:szCs w:val="20"/>
          <w:rtl/>
        </w:rPr>
        <w:t xml:space="preserve"> (הוצאת “מור”, תל אביב, תשל״ב). ר׳ חיים ברלין ודאי שמע גם מאביו, </w:t>
      </w:r>
      <w:proofErr w:type="spellStart"/>
      <w:r>
        <w:rPr>
          <w:sz w:val="20"/>
          <w:szCs w:val="20"/>
          <w:rtl/>
        </w:rPr>
        <w:t>הנצי״ב</w:t>
      </w:r>
      <w:proofErr w:type="spellEnd"/>
      <w:r>
        <w:rPr>
          <w:sz w:val="20"/>
          <w:szCs w:val="20"/>
          <w:rtl/>
        </w:rPr>
        <w:t xml:space="preserve">, על תגובתו הנרגשת של </w:t>
      </w:r>
      <w:proofErr w:type="spellStart"/>
      <w:r>
        <w:rPr>
          <w:sz w:val="20"/>
          <w:szCs w:val="20"/>
          <w:rtl/>
        </w:rPr>
        <w:t>ליליינטל</w:t>
      </w:r>
      <w:proofErr w:type="spellEnd"/>
      <w:r>
        <w:rPr>
          <w:sz w:val="20"/>
          <w:szCs w:val="20"/>
          <w:rtl/>
        </w:rPr>
        <w:t xml:space="preserve"> כשנשאל מדוע נבחר דווקא הוא מכל סוגי האנשים המתאימים יותר למשימה. הערכתו של </w:t>
      </w:r>
      <w:proofErr w:type="spellStart"/>
      <w:r>
        <w:rPr>
          <w:sz w:val="20"/>
          <w:szCs w:val="20"/>
          <w:rtl/>
        </w:rPr>
        <w:t>הנצי״ב</w:t>
      </w:r>
      <w:proofErr w:type="spellEnd"/>
      <w:r>
        <w:rPr>
          <w:sz w:val="20"/>
          <w:szCs w:val="20"/>
          <w:rtl/>
        </w:rPr>
        <w:t xml:space="preserve"> את </w:t>
      </w:r>
      <w:proofErr w:type="spellStart"/>
      <w:r>
        <w:rPr>
          <w:sz w:val="20"/>
          <w:szCs w:val="20"/>
          <w:rtl/>
        </w:rPr>
        <w:t>ליליינטל</w:t>
      </w:r>
      <w:proofErr w:type="spellEnd"/>
      <w:r>
        <w:rPr>
          <w:sz w:val="20"/>
          <w:szCs w:val="20"/>
          <w:rtl/>
        </w:rPr>
        <w:t xml:space="preserve"> הייתה חיובית בתמימות גמורה, כמובא בפסקה </w:t>
      </w:r>
      <w:proofErr w:type="spellStart"/>
      <w:r>
        <w:rPr>
          <w:sz w:val="20"/>
          <w:szCs w:val="20"/>
          <w:rtl/>
        </w:rPr>
        <w:t>השש־עשרה</w:t>
      </w:r>
      <w:proofErr w:type="spellEnd"/>
      <w:r>
        <w:rPr>
          <w:sz w:val="20"/>
          <w:szCs w:val="20"/>
          <w:rtl/>
        </w:rPr>
        <w:t xml:space="preserve"> להלן.</w:t>
      </w:r>
    </w:p>
  </w:footnote>
  <w:footnote w:id="758">
    <w:p w14:paraId="709EA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w:t>
      </w:r>
    </w:p>
  </w:footnote>
  <w:footnote w:id="759">
    <w:p w14:paraId="12AA3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מסופר בספרו של </w:t>
      </w:r>
      <w:proofErr w:type="spellStart"/>
      <w:r>
        <w:rPr>
          <w:sz w:val="20"/>
          <w:szCs w:val="20"/>
          <w:rtl/>
        </w:rPr>
        <w:t>צינוביץ</w:t>
      </w:r>
      <w:proofErr w:type="spellEnd"/>
      <w:r>
        <w:rPr>
          <w:sz w:val="20"/>
          <w:szCs w:val="20"/>
          <w:rtl/>
        </w:rPr>
        <w:t xml:space="preserve">, “עץ חיים” (ראה לעיל, הערת השוליים שבסוף הפסקה החמישית), עמ׳ 185–186 (המביא ממאמר מאת </w:t>
      </w:r>
      <w:proofErr w:type="spellStart"/>
      <w:r>
        <w:rPr>
          <w:sz w:val="20"/>
          <w:szCs w:val="20"/>
          <w:rtl/>
        </w:rPr>
        <w:t>אברהם־יעקב</w:t>
      </w:r>
      <w:proofErr w:type="spellEnd"/>
      <w:r>
        <w:rPr>
          <w:sz w:val="20"/>
          <w:szCs w:val="20"/>
          <w:rtl/>
        </w:rPr>
        <w:t xml:space="preserve"> </w:t>
      </w:r>
      <w:proofErr w:type="spellStart"/>
      <w:r>
        <w:rPr>
          <w:sz w:val="20"/>
          <w:szCs w:val="20"/>
          <w:rtl/>
        </w:rPr>
        <w:t>פפירנא</w:t>
      </w:r>
      <w:proofErr w:type="spellEnd"/>
      <w:r>
        <w:rPr>
          <w:sz w:val="20"/>
          <w:szCs w:val="20"/>
          <w:rtl/>
        </w:rPr>
        <w:t xml:space="preserve"> </w:t>
      </w:r>
      <w:proofErr w:type="spellStart"/>
      <w:r>
        <w:rPr>
          <w:sz w:val="20"/>
          <w:szCs w:val="20"/>
          <w:rtl/>
        </w:rPr>
        <w:t>ב“רשומות</w:t>
      </w:r>
      <w:proofErr w:type="spellEnd"/>
      <w:r>
        <w:rPr>
          <w:sz w:val="20"/>
          <w:szCs w:val="20"/>
          <w:rtl/>
        </w:rPr>
        <w:t>” א, 1925, בשם “</w:t>
      </w:r>
      <w:proofErr w:type="spellStart"/>
      <w:r>
        <w:rPr>
          <w:sz w:val="20"/>
          <w:szCs w:val="20"/>
          <w:rtl/>
        </w:rPr>
        <w:t>זכרונות</w:t>
      </w:r>
      <w:proofErr w:type="spellEnd"/>
      <w:r>
        <w:rPr>
          <w:sz w:val="20"/>
          <w:szCs w:val="20"/>
          <w:rtl/>
        </w:rPr>
        <w:t xml:space="preserve"> ושמועות”).</w:t>
      </w:r>
    </w:p>
  </w:footnote>
  <w:footnote w:id="760">
    <w:p w14:paraId="26DE1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של ר׳ חיים </w:t>
      </w:r>
      <w:proofErr w:type="spellStart"/>
      <w:r>
        <w:rPr>
          <w:sz w:val="20"/>
          <w:szCs w:val="20"/>
          <w:rtl/>
        </w:rPr>
        <w:t>מוולוז׳ין</w:t>
      </w:r>
      <w:proofErr w:type="spellEnd"/>
      <w:r>
        <w:rPr>
          <w:sz w:val="20"/>
          <w:szCs w:val="20"/>
          <w:rtl/>
        </w:rPr>
        <w:t xml:space="preserve"> שייסד את </w:t>
      </w:r>
      <w:proofErr w:type="spellStart"/>
      <w:r>
        <w:rPr>
          <w:sz w:val="20"/>
          <w:szCs w:val="20"/>
          <w:rtl/>
        </w:rPr>
        <w:t>הקלויז</w:t>
      </w:r>
      <w:proofErr w:type="spellEnd"/>
      <w:r>
        <w:rPr>
          <w:sz w:val="20"/>
          <w:szCs w:val="20"/>
          <w:rtl/>
        </w:rPr>
        <w:t xml:space="preserve"> שבו עתיד היה </w:t>
      </w:r>
      <w:proofErr w:type="spellStart"/>
      <w:r>
        <w:rPr>
          <w:sz w:val="20"/>
          <w:szCs w:val="20"/>
          <w:rtl/>
        </w:rPr>
        <w:t>החפץ־חיים</w:t>
      </w:r>
      <w:proofErr w:type="spellEnd"/>
      <w:r>
        <w:rPr>
          <w:sz w:val="20"/>
          <w:szCs w:val="20"/>
          <w:rtl/>
        </w:rPr>
        <w:t xml:space="preserve"> ללמוד בנערותו.</w:t>
      </w:r>
    </w:p>
  </w:footnote>
  <w:footnote w:id="761">
    <w:p w14:paraId="316238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אנו עדים לאותו דבר בימינו: השומר הצעיר, יהיר לא פחות, יחד עם המפלגות הפוליטיות שצמחו מאותה תנועה, מנסים לכפות את השקפת המיעוט שלהם על עם ישראל באמצעות כוח השלטון והתקשורת. למרבה התדהמה, אין הם מחילים על מעלליהם את התקדים ההיסטורי של הרפורמים בגרמניה, שאף הם, </w:t>
      </w:r>
      <w:r>
        <w:rPr>
          <w:b/>
          <w:bCs/>
          <w:sz w:val="20"/>
          <w:szCs w:val="20"/>
          <w:rtl/>
        </w:rPr>
        <w:t>בכוונותיהם הטובות</w:t>
      </w:r>
      <w:r>
        <w:rPr>
          <w:sz w:val="20"/>
          <w:szCs w:val="20"/>
          <w:rtl/>
        </w:rPr>
        <w:t xml:space="preserve">, זרעו את הזרעים שצמחו כעבור מאה שנה לשנאה הנאצית החייתית ליהודים המתבוללים, ואחר כך לכל השאר, ושהגיעו לשיאם בשואה. והשווה גם הערת השוליים האחרונה בפסקה </w:t>
      </w:r>
      <w:proofErr w:type="spellStart"/>
      <w:r>
        <w:rPr>
          <w:sz w:val="20"/>
          <w:szCs w:val="20"/>
          <w:rtl/>
        </w:rPr>
        <w:t>השתים־עשרה</w:t>
      </w:r>
      <w:proofErr w:type="spellEnd"/>
      <w:r>
        <w:rPr>
          <w:sz w:val="20"/>
          <w:szCs w:val="20"/>
          <w:rtl/>
        </w:rPr>
        <w:t xml:space="preserve"> להלן.</w:t>
      </w:r>
    </w:p>
    <w:p w14:paraId="200BBF28" w14:textId="77777777" w:rsidR="00AB3647" w:rsidRDefault="00000000">
      <w:pPr>
        <w:spacing w:after="0" w:before="0"/>
        <w:jc w:val="both"/>
      </w:pPr>
      <w:r>
        <w:rPr>
          <w:sz w:val="20"/>
          <w:szCs w:val="20"/>
          <w:rtl/>
        </w:rPr>
        <w:t>השווה “</w:t>
      </w:r>
      <w:proofErr w:type="spellStart"/>
      <w:r>
        <w:rPr>
          <w:sz w:val="20"/>
          <w:szCs w:val="20"/>
          <w:rtl/>
        </w:rPr>
        <w:t>זכרון</w:t>
      </w:r>
      <w:proofErr w:type="spellEnd"/>
      <w:r>
        <w:rPr>
          <w:sz w:val="20"/>
          <w:szCs w:val="20"/>
          <w:rtl/>
        </w:rPr>
        <w:t xml:space="preserve"> יעקב” (כרך 2, עמ׳ 72), הכותב ברוח נבואה: “מאז החלו היהודים ללכת אחר מאמר ההשכלה ‘היה אדם בצאתך ויהודי </w:t>
      </w:r>
      <w:proofErr w:type="spellStart"/>
      <w:r>
        <w:rPr>
          <w:sz w:val="20"/>
          <w:szCs w:val="20"/>
          <w:rtl/>
        </w:rPr>
        <w:t>באהלך</w:t>
      </w:r>
      <w:proofErr w:type="spellEnd"/>
      <w:r>
        <w:rPr>
          <w:sz w:val="20"/>
          <w:szCs w:val="20"/>
          <w:rtl/>
        </w:rPr>
        <w:t xml:space="preserve">’ בהקפדה כזו, עד שהסתירו את יהדותם אפילו בחדר משכבם עד שנעשתה בלתי נראית לגמרי, מאז החלו הגויים לבזות את היהודי ‘בצאתו’ בהקפדה כזו, שהחילו את שנאתם אפילו על משומד עד דור עשירי, שמא נשאר בו משהו מן היהדות.” ובלשון הנביא (יחזקאל כ, לב–לג): “והעלה על רוחכם היו לא תהיה אשר אתם אמרים נהיה כגוים כמשפחות הארצות לשרת עץ ואבן. חי אני נאם ה׳ </w:t>
      </w:r>
      <w:proofErr w:type="spellStart"/>
      <w:r>
        <w:rPr>
          <w:sz w:val="20"/>
          <w:szCs w:val="20"/>
          <w:rtl/>
        </w:rPr>
        <w:t>אלקים</w:t>
      </w:r>
      <w:proofErr w:type="spellEnd"/>
      <w:r>
        <w:rPr>
          <w:sz w:val="20"/>
          <w:szCs w:val="20"/>
          <w:rtl/>
        </w:rPr>
        <w:t xml:space="preserve"> אם לא ביד חזקה ובזרוע נטויה ובחמה שפוכה אמלוך עליכם.”</w:t>
      </w:r>
    </w:p>
  </w:footnote>
  <w:footnote w:id="762">
    <w:p w14:paraId="7DB122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107–108.</w:t>
      </w:r>
    </w:p>
  </w:footnote>
  <w:footnote w:id="763">
    <w:p w14:paraId="0F938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120.</w:t>
      </w:r>
    </w:p>
  </w:footnote>
  <w:footnote w:id="764">
    <w:p w14:paraId="29C10B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186.</w:t>
      </w:r>
    </w:p>
  </w:footnote>
  <w:footnote w:id="765">
    <w:p w14:paraId="6DDB0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המקור לסיפור זה הוא פרסום משנת תרל״ז מאת בנימין </w:t>
      </w:r>
      <w:proofErr w:type="spellStart"/>
      <w:r>
        <w:rPr>
          <w:sz w:val="20"/>
          <w:szCs w:val="20"/>
          <w:rtl/>
        </w:rPr>
        <w:t>מנדלשטם</w:t>
      </w:r>
      <w:proofErr w:type="spellEnd"/>
      <w:r>
        <w:rPr>
          <w:sz w:val="20"/>
          <w:szCs w:val="20"/>
          <w:rtl/>
        </w:rPr>
        <w:t xml:space="preserve">, המובא בעמ׳ 289 של 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אני סבור שהקריאה בווילנה לא הייתה בפועל כפי שתרגם אותה </w:t>
      </w:r>
      <w:proofErr w:type="spellStart"/>
      <w:r>
        <w:rPr>
          <w:sz w:val="20"/>
          <w:szCs w:val="20"/>
          <w:rtl/>
        </w:rPr>
        <w:t>מנדלשטם</w:t>
      </w:r>
      <w:proofErr w:type="spellEnd"/>
      <w:r>
        <w:rPr>
          <w:sz w:val="20"/>
          <w:szCs w:val="20"/>
          <w:rtl/>
        </w:rPr>
        <w:t xml:space="preserve"> לעברית שלושה עשורים וחצי אחרי המאורע, “לא חפצנו”, אלא כפי שחוברה במינסק – שממנה עברה לווילנה יחד עם האומץ לעמוד מול </w:t>
      </w:r>
      <w:proofErr w:type="spellStart"/>
      <w:r>
        <w:rPr>
          <w:sz w:val="20"/>
          <w:szCs w:val="20"/>
          <w:rtl/>
        </w:rPr>
        <w:t>ליליינטל</w:t>
      </w:r>
      <w:proofErr w:type="spellEnd"/>
      <w:r>
        <w:rPr>
          <w:sz w:val="20"/>
          <w:szCs w:val="20"/>
          <w:rtl/>
        </w:rPr>
        <w:t xml:space="preserve">: “זה לא מעניין אותנו; איננו רוצים בתי ספר!”, כמובא לעיל מספרו של </w:t>
      </w:r>
      <w:proofErr w:type="spellStart"/>
      <w:r>
        <w:rPr>
          <w:sz w:val="20"/>
          <w:szCs w:val="20"/>
          <w:rtl/>
        </w:rPr>
        <w:t>צינוביץ</w:t>
      </w:r>
      <w:proofErr w:type="spellEnd"/>
      <w:r>
        <w:rPr>
          <w:sz w:val="20"/>
          <w:szCs w:val="20"/>
          <w:rtl/>
        </w:rPr>
        <w:t>, “עץ חיים”.</w:t>
      </w:r>
    </w:p>
    <w:p w14:paraId="071C507D" w14:textId="77777777" w:rsidR="00AB3647" w:rsidRDefault="00000000">
      <w:pPr>
        <w:spacing w:after="0" w:before="0"/>
        <w:jc w:val="both"/>
      </w:pPr>
      <w:r>
        <w:rPr>
          <w:sz w:val="20"/>
          <w:szCs w:val="20"/>
          <w:rtl/>
        </w:rPr>
        <w:t xml:space="preserve">תחילה שקלתי את האפשרות שקריאתו של </w:t>
      </w:r>
      <w:proofErr w:type="spellStart"/>
      <w:r>
        <w:rPr>
          <w:sz w:val="20"/>
          <w:szCs w:val="20"/>
          <w:rtl/>
        </w:rPr>
        <w:t>מנדלשטם</w:t>
      </w:r>
      <w:proofErr w:type="spellEnd"/>
      <w:r>
        <w:rPr>
          <w:sz w:val="20"/>
          <w:szCs w:val="20"/>
          <w:rtl/>
        </w:rPr>
        <w:t xml:space="preserve"> היא הנכונה, ושבה השתמשו גם במינסק – ושדיווחו של </w:t>
      </w:r>
      <w:proofErr w:type="spellStart"/>
      <w:r>
        <w:rPr>
          <w:sz w:val="20"/>
          <w:szCs w:val="20"/>
          <w:rtl/>
        </w:rPr>
        <w:t>פפירנא</w:t>
      </w:r>
      <w:proofErr w:type="spellEnd"/>
      <w:r>
        <w:rPr>
          <w:sz w:val="20"/>
          <w:szCs w:val="20"/>
          <w:rtl/>
        </w:rPr>
        <w:t xml:space="preserve"> (כפי שמסר אותו </w:t>
      </w:r>
      <w:proofErr w:type="spellStart"/>
      <w:r>
        <w:rPr>
          <w:sz w:val="20"/>
          <w:szCs w:val="20"/>
          <w:rtl/>
        </w:rPr>
        <w:t>צינוביץ</w:t>
      </w:r>
      <w:proofErr w:type="spellEnd"/>
      <w:r>
        <w:rPr>
          <w:sz w:val="20"/>
          <w:szCs w:val="20"/>
          <w:rtl/>
        </w:rPr>
        <w:t xml:space="preserve">) על נוסח הקריאה במינסק שגוי. אבל הכרעתי אחרת, משום </w:t>
      </w:r>
      <w:proofErr w:type="spellStart"/>
      <w:r>
        <w:rPr>
          <w:sz w:val="20"/>
          <w:szCs w:val="20"/>
          <w:rtl/>
        </w:rPr>
        <w:t>שפפירנא</w:t>
      </w:r>
      <w:proofErr w:type="spellEnd"/>
      <w:r>
        <w:rPr>
          <w:sz w:val="20"/>
          <w:szCs w:val="20"/>
          <w:rtl/>
        </w:rPr>
        <w:t xml:space="preserve"> מדווח שהקריאה הייתה ברוסית, ולא ביידיש – פרט שאי אפשר לסלפו – ולכן מן הסתם תרגם </w:t>
      </w:r>
      <w:proofErr w:type="spellStart"/>
      <w:r>
        <w:rPr>
          <w:sz w:val="20"/>
          <w:szCs w:val="20"/>
          <w:rtl/>
        </w:rPr>
        <w:t>פפירנא</w:t>
      </w:r>
      <w:proofErr w:type="spellEnd"/>
      <w:r>
        <w:rPr>
          <w:sz w:val="20"/>
          <w:szCs w:val="20"/>
          <w:rtl/>
        </w:rPr>
        <w:t xml:space="preserve"> במדויק גם אותה. מכל מקום, הקריאות בשתי הערים היו זהות, שכן “</w:t>
      </w:r>
      <w:proofErr w:type="spellStart"/>
      <w:r>
        <w:rPr>
          <w:sz w:val="20"/>
          <w:szCs w:val="20"/>
          <w:rtl/>
        </w:rPr>
        <w:t>זכרון</w:t>
      </w:r>
      <w:proofErr w:type="spellEnd"/>
      <w:r>
        <w:rPr>
          <w:sz w:val="20"/>
          <w:szCs w:val="20"/>
          <w:rtl/>
        </w:rPr>
        <w:t xml:space="preserve"> יעקב”, שם, עמ׳ 82, מציין במפורש שווילנה הלכה בעקבות קריאות מינסק – והוא מביא את הקריאה בלשון הרוסית.</w:t>
      </w:r>
    </w:p>
  </w:footnote>
  <w:footnote w:id="766">
    <w:p w14:paraId="644889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13 – עמ׳ 321.</w:t>
      </w:r>
    </w:p>
  </w:footnote>
  <w:footnote w:id="767">
    <w:p w14:paraId="4DDC4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 הערת שוליים 1.</w:t>
      </w:r>
    </w:p>
  </w:footnote>
  <w:footnote w:id="768">
    <w:p w14:paraId="16F32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כרך 1, עמ׳ 167, אומר: “זו הייתה הפעם הראשונה שנציג של חב״ד נפגש עם נציג של בית מדרשו של הגאון [מווילנה]”.</w:t>
      </w:r>
    </w:p>
  </w:footnote>
  <w:footnote w:id="769">
    <w:p w14:paraId="0957C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xml:space="preserve">, “עץ חיים”, עמ׳ 191, טועה בכתבו שהוועדה הוקמה </w:t>
      </w:r>
      <w:r>
        <w:rPr>
          <w:b/>
          <w:bCs/>
          <w:sz w:val="20"/>
          <w:szCs w:val="20"/>
          <w:rtl/>
        </w:rPr>
        <w:t>בעקבות</w:t>
      </w:r>
      <w:r>
        <w:rPr>
          <w:sz w:val="20"/>
          <w:szCs w:val="20"/>
          <w:rtl/>
        </w:rPr>
        <w:t xml:space="preserve"> ביקורו של </w:t>
      </w:r>
      <w:proofErr w:type="spellStart"/>
      <w:r>
        <w:rPr>
          <w:sz w:val="20"/>
          <w:szCs w:val="20"/>
          <w:rtl/>
        </w:rPr>
        <w:t>ליליינטל</w:t>
      </w:r>
      <w:proofErr w:type="spellEnd"/>
      <w:r>
        <w:rPr>
          <w:sz w:val="20"/>
          <w:szCs w:val="20"/>
          <w:rtl/>
        </w:rPr>
        <w:t xml:space="preserve"> </w:t>
      </w:r>
      <w:proofErr w:type="spellStart"/>
      <w:r>
        <w:rPr>
          <w:sz w:val="20"/>
          <w:szCs w:val="20"/>
          <w:rtl/>
        </w:rPr>
        <w:t>בוולוז׳ין</w:t>
      </w:r>
      <w:proofErr w:type="spellEnd"/>
      <w:r>
        <w:rPr>
          <w:sz w:val="20"/>
          <w:szCs w:val="20"/>
          <w:rtl/>
        </w:rPr>
        <w:t>. הגוף הרבני הוקם באופן רשמי שלושה חודשים קודם לכן, אף שלא התכנס אלא לאחר מכן.</w:t>
      </w:r>
    </w:p>
  </w:footnote>
  <w:footnote w:id="770">
    <w:p w14:paraId="082C0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1074.</w:t>
      </w:r>
    </w:p>
  </w:footnote>
  <w:footnote w:id="771">
    <w:p w14:paraId="1D4449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550.</w:t>
      </w:r>
    </w:p>
  </w:footnote>
  <w:footnote w:id="772">
    <w:p w14:paraId="5FC4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השתים־עשרה</w:t>
      </w:r>
      <w:proofErr w:type="spellEnd"/>
      <w:r>
        <w:rPr>
          <w:sz w:val="20"/>
          <w:szCs w:val="20"/>
          <w:rtl/>
        </w:rPr>
        <w:t xml:space="preserve"> בנספח זה.</w:t>
      </w:r>
    </w:p>
  </w:footnote>
  <w:footnote w:id="773">
    <w:p w14:paraId="0E7B4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תקלח.</w:t>
      </w:r>
    </w:p>
  </w:footnote>
  <w:footnote w:id="774">
    <w:p w14:paraId="29982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מקורי להטלת החרם הוא הערה 120 במאמרו של </w:t>
      </w:r>
      <w:proofErr w:type="spellStart"/>
      <w:r>
        <w:rPr>
          <w:sz w:val="20"/>
          <w:szCs w:val="20"/>
          <w:rtl/>
        </w:rPr>
        <w:t>אטקס</w:t>
      </w:r>
      <w:proofErr w:type="spellEnd"/>
      <w:r>
        <w:rPr>
          <w:sz w:val="20"/>
          <w:szCs w:val="20"/>
          <w:rtl/>
        </w:rPr>
        <w:t xml:space="preserve"> על “ההשכלה מטעם” </w:t>
      </w:r>
      <w:proofErr w:type="spellStart"/>
      <w:r>
        <w:rPr>
          <w:sz w:val="20"/>
          <w:szCs w:val="20"/>
          <w:rtl/>
        </w:rPr>
        <w:t>ב“ציון</w:t>
      </w:r>
      <w:proofErr w:type="spellEnd"/>
      <w:r>
        <w:rPr>
          <w:sz w:val="20"/>
          <w:szCs w:val="20"/>
          <w:rtl/>
        </w:rPr>
        <w:t xml:space="preserve">”. אלא שהמאמר טועה בהניחו שאיגר שעמד בראש טקס החרם היה ר׳ שלמה איגר, “שנודע כלוחם ברפורמה בגרמניה”. לא ייתכן שהיה זה ר׳ שלמה: הוא נתמנה לרב </w:t>
      </w:r>
      <w:proofErr w:type="spellStart"/>
      <w:r>
        <w:rPr>
          <w:sz w:val="20"/>
          <w:szCs w:val="20"/>
          <w:rtl/>
        </w:rPr>
        <w:t>בפוזנא</w:t>
      </w:r>
      <w:proofErr w:type="spellEnd"/>
      <w:r>
        <w:rPr>
          <w:sz w:val="20"/>
          <w:szCs w:val="20"/>
          <w:rtl/>
        </w:rPr>
        <w:t xml:space="preserve"> במקום אביו שלוש שנים בדיוק לפני כן (י״א בתשרי ת״ר), כאמור </w:t>
      </w:r>
      <w:proofErr w:type="spellStart"/>
      <w:r>
        <w:rPr>
          <w:sz w:val="20"/>
          <w:szCs w:val="20"/>
          <w:rtl/>
        </w:rPr>
        <w:t>ב“מאורן</w:t>
      </w:r>
      <w:proofErr w:type="spellEnd"/>
      <w:r>
        <w:rPr>
          <w:sz w:val="20"/>
          <w:szCs w:val="20"/>
          <w:rtl/>
        </w:rPr>
        <w:t xml:space="preserve"> של ישראל” (הערה 12 לעיל), כרך 2, עמ׳ </w:t>
      </w:r>
      <w:proofErr w:type="spellStart"/>
      <w:r>
        <w:rPr>
          <w:sz w:val="20"/>
          <w:szCs w:val="20"/>
          <w:rtl/>
        </w:rPr>
        <w:t>רסג</w:t>
      </w:r>
      <w:proofErr w:type="spellEnd"/>
      <w:r>
        <w:rPr>
          <w:sz w:val="20"/>
          <w:szCs w:val="20"/>
          <w:rtl/>
        </w:rPr>
        <w:t xml:space="preserve">, ולא היה עושה מעשה כזה בעיר אחרת, רחוקה. ודאי היה זה </w:t>
      </w:r>
      <w:r>
        <w:rPr>
          <w:b/>
          <w:bCs/>
          <w:sz w:val="20"/>
          <w:szCs w:val="20"/>
          <w:rtl/>
        </w:rPr>
        <w:t>ר׳ שמואל</w:t>
      </w:r>
      <w:r>
        <w:rPr>
          <w:sz w:val="20"/>
          <w:szCs w:val="20"/>
          <w:rtl/>
        </w:rPr>
        <w:t xml:space="preserve"> איגר, שנשא אישה ממשפחת </w:t>
      </w:r>
      <w:proofErr w:type="spellStart"/>
      <w:r>
        <w:rPr>
          <w:sz w:val="20"/>
          <w:szCs w:val="20"/>
          <w:rtl/>
        </w:rPr>
        <w:t>וילנקין</w:t>
      </w:r>
      <w:proofErr w:type="spellEnd"/>
      <w:r>
        <w:rPr>
          <w:sz w:val="20"/>
          <w:szCs w:val="20"/>
          <w:rtl/>
        </w:rPr>
        <w:t xml:space="preserve"> </w:t>
      </w:r>
      <w:r>
        <w:rPr>
          <w:b/>
          <w:bCs/>
          <w:sz w:val="20"/>
          <w:szCs w:val="20"/>
          <w:rtl/>
        </w:rPr>
        <w:t>שבמינסק</w:t>
      </w:r>
      <w:r>
        <w:rPr>
          <w:sz w:val="20"/>
          <w:szCs w:val="20"/>
          <w:rtl/>
        </w:rPr>
        <w:t>, כמו בהערה 35 בפרק זה. אף שלא מילא שום תפקיד רבני בעיר, היה מעורב בעניינים הנוגעים לכלל ישראל, ואפשר שעמד בראש טקס החרם.</w:t>
      </w:r>
    </w:p>
    <w:p w14:paraId="4D36AEED" w14:textId="77777777" w:rsidR="00AB3647" w:rsidRDefault="00000000">
      <w:pPr>
        <w:spacing w:after="0" w:before="0"/>
        <w:jc w:val="both"/>
      </w:pPr>
      <w:r>
        <w:rPr>
          <w:sz w:val="20"/>
          <w:szCs w:val="20"/>
          <w:rtl/>
        </w:rPr>
        <w:t xml:space="preserve">ראה “מאורן של ישראל”, כרך 1, עמ׳ שיט, המספר שר׳ שמואל היה “פעיל מאוד </w:t>
      </w:r>
      <w:proofErr w:type="spellStart"/>
      <w:r>
        <w:rPr>
          <w:sz w:val="20"/>
          <w:szCs w:val="20"/>
          <w:rtl/>
        </w:rPr>
        <w:t>בעניני</w:t>
      </w:r>
      <w:proofErr w:type="spellEnd"/>
      <w:r>
        <w:rPr>
          <w:sz w:val="20"/>
          <w:szCs w:val="20"/>
          <w:rtl/>
        </w:rPr>
        <w:t xml:space="preserve"> הציבור”, ומביא מכתב שכתב, ארבע שנים אחרי ביקורו השני של </w:t>
      </w:r>
      <w:proofErr w:type="spellStart"/>
      <w:r>
        <w:rPr>
          <w:sz w:val="20"/>
          <w:szCs w:val="20"/>
          <w:rtl/>
        </w:rPr>
        <w:t>ליליינטל</w:t>
      </w:r>
      <w:proofErr w:type="spellEnd"/>
      <w:r>
        <w:rPr>
          <w:sz w:val="20"/>
          <w:szCs w:val="20"/>
          <w:rtl/>
        </w:rPr>
        <w:t xml:space="preserve"> במינסק, למזכירו האישי של משה </w:t>
      </w:r>
      <w:proofErr w:type="spellStart"/>
      <w:r>
        <w:rPr>
          <w:sz w:val="20"/>
          <w:szCs w:val="20"/>
          <w:rtl/>
        </w:rPr>
        <w:t>מונטיפיורי</w:t>
      </w:r>
      <w:proofErr w:type="spellEnd"/>
      <w:r>
        <w:rPr>
          <w:sz w:val="20"/>
          <w:szCs w:val="20"/>
          <w:rtl/>
        </w:rPr>
        <w:t xml:space="preserve">, ד״ר אליעזר לוי, שפגש שנים רבות קודם לכן בברסלאו – ודאי בענייני ציבור. במכתבו הציג ר׳ שמואל שני אנשים – אחד מהם קרוב אשתו, ר׳ יצחק </w:t>
      </w:r>
      <w:proofErr w:type="spellStart"/>
      <w:r>
        <w:rPr>
          <w:sz w:val="20"/>
          <w:szCs w:val="20"/>
          <w:rtl/>
        </w:rPr>
        <w:t>וילנקין</w:t>
      </w:r>
      <w:proofErr w:type="spellEnd"/>
      <w:r>
        <w:rPr>
          <w:sz w:val="20"/>
          <w:szCs w:val="20"/>
          <w:rtl/>
        </w:rPr>
        <w:t xml:space="preserve"> – </w:t>
      </w:r>
      <w:proofErr w:type="spellStart"/>
      <w:r>
        <w:rPr>
          <w:sz w:val="20"/>
          <w:szCs w:val="20"/>
          <w:rtl/>
        </w:rPr>
        <w:t>כ“אנשים</w:t>
      </w:r>
      <w:proofErr w:type="spellEnd"/>
      <w:r>
        <w:rPr>
          <w:sz w:val="20"/>
          <w:szCs w:val="20"/>
          <w:rtl/>
        </w:rPr>
        <w:t xml:space="preserve"> חכמים, בקיאים מאוד בעומק עניני הציבור... אנשים שהם כלבב (לוי)”. וכתב: “הם חכמים, יראי </w:t>
      </w:r>
      <w:proofErr w:type="spellStart"/>
      <w:r>
        <w:rPr>
          <w:sz w:val="20"/>
          <w:szCs w:val="20"/>
          <w:rtl/>
        </w:rPr>
        <w:t>אלקים</w:t>
      </w:r>
      <w:proofErr w:type="spellEnd"/>
      <w:r>
        <w:rPr>
          <w:sz w:val="20"/>
          <w:szCs w:val="20"/>
          <w:rtl/>
        </w:rPr>
        <w:t xml:space="preserve"> </w:t>
      </w:r>
      <w:proofErr w:type="spellStart"/>
      <w:r>
        <w:rPr>
          <w:sz w:val="20"/>
          <w:szCs w:val="20"/>
          <w:rtl/>
        </w:rPr>
        <w:t>ונבוני</w:t>
      </w:r>
      <w:proofErr w:type="spellEnd"/>
      <w:r>
        <w:rPr>
          <w:sz w:val="20"/>
          <w:szCs w:val="20"/>
          <w:rtl/>
        </w:rPr>
        <w:t xml:space="preserve"> דבר – מן הסוג שאתה חפץ מאוד לדבר עמם, כפי ששמעתי ממך פנים אל פנים.” ר׳ שמואל איגר, שהיה מעורב “בעומק עניני הציבור” כמו ר׳ יצחק </w:t>
      </w:r>
      <w:proofErr w:type="spellStart"/>
      <w:r>
        <w:rPr>
          <w:sz w:val="20"/>
          <w:szCs w:val="20"/>
          <w:rtl/>
        </w:rPr>
        <w:t>וילנקין</w:t>
      </w:r>
      <w:proofErr w:type="spellEnd"/>
      <w:r>
        <w:rPr>
          <w:sz w:val="20"/>
          <w:szCs w:val="20"/>
          <w:rtl/>
        </w:rPr>
        <w:t xml:space="preserve">, הוא ודאי שפעל להחרמת </w:t>
      </w:r>
      <w:proofErr w:type="spellStart"/>
      <w:r>
        <w:rPr>
          <w:sz w:val="20"/>
          <w:szCs w:val="20"/>
          <w:rtl/>
        </w:rPr>
        <w:t>ליליינטל</w:t>
      </w:r>
      <w:proofErr w:type="spellEnd"/>
      <w:r>
        <w:rPr>
          <w:sz w:val="20"/>
          <w:szCs w:val="20"/>
          <w:rtl/>
        </w:rPr>
        <w:t>.</w:t>
      </w:r>
    </w:p>
  </w:footnote>
  <w:footnote w:id="775">
    <w:p w14:paraId="45E191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w:t>
      </w:r>
      <w:proofErr w:type="spellEnd"/>
      <w:r>
        <w:rPr>
          <w:sz w:val="20"/>
          <w:szCs w:val="20"/>
          <w:rtl/>
        </w:rPr>
        <w:t>.</w:t>
      </w:r>
    </w:p>
  </w:footnote>
  <w:footnote w:id="776">
    <w:p w14:paraId="79A4B3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 לעיל.</w:t>
      </w:r>
    </w:p>
  </w:footnote>
  <w:footnote w:id="777">
    <w:p w14:paraId="3E864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בשנת ת״ר.</w:t>
      </w:r>
    </w:p>
  </w:footnote>
  <w:footnote w:id="778">
    <w:p w14:paraId="419FD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79">
    <w:p w14:paraId="2C6EF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עמ׳ </w:t>
      </w:r>
      <w:proofErr w:type="spellStart"/>
      <w:r>
        <w:rPr>
          <w:sz w:val="20"/>
          <w:szCs w:val="20"/>
          <w:rtl/>
        </w:rPr>
        <w:t>תתקס</w:t>
      </w:r>
      <w:proofErr w:type="spellEnd"/>
      <w:r>
        <w:rPr>
          <w:sz w:val="20"/>
          <w:szCs w:val="20"/>
          <w:rtl/>
        </w:rPr>
        <w:t>–1920.</w:t>
      </w:r>
    </w:p>
  </w:footnote>
  <w:footnote w:id="780">
    <w:p w14:paraId="380D42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“מקור ברוך” אינו מדייק כשהוא מנמק “משום </w:t>
      </w:r>
      <w:proofErr w:type="spellStart"/>
      <w:r>
        <w:rPr>
          <w:sz w:val="20"/>
          <w:szCs w:val="20"/>
          <w:rtl/>
        </w:rPr>
        <w:t>שליליינטל</w:t>
      </w:r>
      <w:proofErr w:type="spellEnd"/>
      <w:r>
        <w:rPr>
          <w:sz w:val="20"/>
          <w:szCs w:val="20"/>
          <w:rtl/>
        </w:rPr>
        <w:t xml:space="preserve"> הגיע </w:t>
      </w:r>
      <w:proofErr w:type="spellStart"/>
      <w:r>
        <w:rPr>
          <w:sz w:val="20"/>
          <w:szCs w:val="20"/>
          <w:rtl/>
        </w:rPr>
        <w:t>לוולוז׳ין</w:t>
      </w:r>
      <w:proofErr w:type="spellEnd"/>
      <w:r>
        <w:rPr>
          <w:sz w:val="20"/>
          <w:szCs w:val="20"/>
          <w:rtl/>
        </w:rPr>
        <w:t xml:space="preserve"> כיום אחד לפני יום הכיפורים”, במקום לסמוך על עדות הראייה של אבי המחבר עצמו, שלפיה הגיע </w:t>
      </w:r>
      <w:proofErr w:type="spellStart"/>
      <w:r>
        <w:rPr>
          <w:sz w:val="20"/>
          <w:szCs w:val="20"/>
          <w:rtl/>
        </w:rPr>
        <w:t>ליליינטל</w:t>
      </w:r>
      <w:proofErr w:type="spellEnd"/>
      <w:r>
        <w:rPr>
          <w:sz w:val="20"/>
          <w:szCs w:val="20"/>
          <w:rtl/>
        </w:rPr>
        <w:t xml:space="preserve"> יומיים לפני החג.</w:t>
      </w:r>
    </w:p>
  </w:footnote>
  <w:footnote w:id="781">
    <w:p w14:paraId="6FC4C68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ליליינטל</w:t>
      </w:r>
      <w:proofErr w:type="spellEnd"/>
      <w:r>
        <w:rPr>
          <w:sz w:val="20"/>
          <w:szCs w:val="20"/>
          <w:rtl/>
        </w:rPr>
        <w:t xml:space="preserve"> נולד בשנת תקע״ו, ובביקורו </w:t>
      </w:r>
      <w:proofErr w:type="spellStart"/>
      <w:r>
        <w:rPr>
          <w:sz w:val="20"/>
          <w:szCs w:val="20"/>
          <w:rtl/>
        </w:rPr>
        <w:t>בוולוז׳ין</w:t>
      </w:r>
      <w:proofErr w:type="spellEnd"/>
      <w:r>
        <w:rPr>
          <w:sz w:val="20"/>
          <w:szCs w:val="20"/>
          <w:rtl/>
        </w:rPr>
        <w:t xml:space="preserve">, לפני יום הכיפורים תר״ג, היה בן עשרים ושש; </w:t>
      </w:r>
      <w:proofErr w:type="spellStart"/>
      <w:r>
        <w:rPr>
          <w:sz w:val="20"/>
          <w:szCs w:val="20"/>
          <w:rtl/>
        </w:rPr>
        <w:t>הנצי״ב</w:t>
      </w:r>
      <w:proofErr w:type="spellEnd"/>
      <w:r>
        <w:rPr>
          <w:sz w:val="20"/>
          <w:szCs w:val="20"/>
          <w:rtl/>
        </w:rPr>
        <w:t>, שנולד בשנת תקע״ז, היה צעיר ממנו בשנה בערך.</w:t>
      </w:r>
    </w:p>
  </w:footnote>
  <w:footnote w:id="782">
    <w:p w14:paraId="6B024D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א׳, משנה ה׳.</w:t>
      </w:r>
    </w:p>
  </w:footnote>
  <w:footnote w:id="783">
    <w:p w14:paraId="52686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–1920.</w:t>
      </w:r>
    </w:p>
  </w:footnote>
  <w:footnote w:id="784">
    <w:p w14:paraId="0B7753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187.</w:t>
      </w:r>
    </w:p>
  </w:footnote>
  <w:footnote w:id="785">
    <w:p w14:paraId="7BD102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י״ח ע״ב.</w:t>
      </w:r>
    </w:p>
  </w:footnote>
  <w:footnote w:id="786">
    <w:p w14:paraId="1C64C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מ״ו.</w:t>
      </w:r>
    </w:p>
  </w:footnote>
  <w:footnote w:id="787">
    <w:p w14:paraId="60285C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1992.</w:t>
      </w:r>
    </w:p>
  </w:footnote>
  <w:footnote w:id="788">
    <w:p w14:paraId="07811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בארץ ישראל, בלי שנה – עמ׳ קד.</w:t>
      </w:r>
    </w:p>
  </w:footnote>
  <w:footnote w:id="789">
    <w:p w14:paraId="7DF227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מאת אשר ברגמן (</w:t>
      </w:r>
      <w:proofErr w:type="spellStart"/>
      <w:r>
        <w:rPr>
          <w:sz w:val="20"/>
          <w:szCs w:val="20"/>
          <w:rtl/>
        </w:rPr>
        <w:t>בני־ברק</w:t>
      </w:r>
      <w:proofErr w:type="spellEnd"/>
      <w:r>
        <w:rPr>
          <w:sz w:val="20"/>
          <w:szCs w:val="20"/>
          <w:rtl/>
        </w:rPr>
        <w:t>, תשנ״ט).</w:t>
      </w:r>
    </w:p>
  </w:footnote>
  <w:footnote w:id="790">
    <w:p w14:paraId="4DE13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י׳ ע״א.</w:t>
      </w:r>
    </w:p>
  </w:footnote>
  <w:footnote w:id="791">
    <w:p w14:paraId="5465F1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 לעיל – </w:t>
      </w:r>
      <w:proofErr w:type="spellStart"/>
      <w:r>
        <w:rPr>
          <w:sz w:val="20"/>
          <w:szCs w:val="20"/>
          <w:rtl/>
        </w:rPr>
        <w:t>ח״ב</w:t>
      </w:r>
      <w:proofErr w:type="spellEnd"/>
      <w:r>
        <w:rPr>
          <w:sz w:val="20"/>
          <w:szCs w:val="20"/>
          <w:rtl/>
        </w:rPr>
        <w:t xml:space="preserve">, עמ׳ </w:t>
      </w:r>
      <w:proofErr w:type="spellStart"/>
      <w:r>
        <w:rPr>
          <w:sz w:val="20"/>
          <w:szCs w:val="20"/>
          <w:rtl/>
        </w:rPr>
        <w:t>רמא</w:t>
      </w:r>
      <w:proofErr w:type="spellEnd"/>
      <w:r>
        <w:rPr>
          <w:sz w:val="20"/>
          <w:szCs w:val="20"/>
          <w:rtl/>
        </w:rPr>
        <w:t xml:space="preserve"> </w:t>
      </w:r>
      <w:proofErr w:type="spellStart"/>
      <w:r>
        <w:rPr>
          <w:sz w:val="20"/>
          <w:szCs w:val="20"/>
          <w:rtl/>
        </w:rPr>
        <w:t>ו־רסג</w:t>
      </w:r>
      <w:proofErr w:type="spellEnd"/>
      <w:r>
        <w:rPr>
          <w:sz w:val="20"/>
          <w:szCs w:val="20"/>
          <w:rtl/>
        </w:rPr>
        <w:t>.</w:t>
      </w:r>
    </w:p>
  </w:footnote>
  <w:footnote w:id="792">
    <w:p w14:paraId="65F19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פרק 5, סוף הפסקה השישית בנספח ב.</w:t>
      </w:r>
    </w:p>
  </w:footnote>
  <w:footnote w:id="793">
    <w:p w14:paraId="01406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95–96.</w:t>
      </w:r>
    </w:p>
  </w:footnote>
  <w:footnote w:id="794">
    <w:p w14:paraId="1DB28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בעמ׳ 96.</w:t>
      </w:r>
    </w:p>
  </w:footnote>
  <w:footnote w:id="795">
    <w:p w14:paraId="6569C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344.</w:t>
      </w:r>
    </w:p>
  </w:footnote>
  <w:footnote w:id="796">
    <w:p w14:paraId="258084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797">
    <w:p w14:paraId="4E59BE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כרך 1, עמ׳ 36.</w:t>
      </w:r>
    </w:p>
  </w:footnote>
  <w:footnote w:id="798">
    <w:p w14:paraId="63DEDC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132 ו־146.</w:t>
      </w:r>
    </w:p>
  </w:footnote>
  <w:footnote w:id="799">
    <w:p w14:paraId="77C4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800">
    <w:p w14:paraId="3BAC66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801">
    <w:p w14:paraId="5FD4D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02">
    <w:p w14:paraId="043D19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99–100.</w:t>
      </w:r>
    </w:p>
  </w:footnote>
  <w:footnote w:id="803">
    <w:p w14:paraId="37002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זכריה יא, ז.</w:t>
      </w:r>
    </w:p>
  </w:footnote>
  <w:footnote w:id="804">
    <w:p w14:paraId="1C631C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כא</w:t>
      </w:r>
      <w:proofErr w:type="spellEnd"/>
      <w:r>
        <w:rPr>
          <w:sz w:val="20"/>
          <w:szCs w:val="20"/>
          <w:rtl/>
        </w:rPr>
        <w:t>, א ו־כה, ג.</w:t>
      </w:r>
    </w:p>
  </w:footnote>
  <w:footnote w:id="805">
    <w:p w14:paraId="21537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1076–תקלט.</w:t>
      </w:r>
    </w:p>
  </w:footnote>
  <w:footnote w:id="806">
    <w:p w14:paraId="1A99C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תתקכ</w:t>
      </w:r>
      <w:proofErr w:type="spellEnd"/>
      <w:r>
        <w:rPr>
          <w:sz w:val="20"/>
          <w:szCs w:val="20"/>
          <w:rtl/>
        </w:rPr>
        <w:t>.</w:t>
      </w:r>
    </w:p>
  </w:footnote>
  <w:footnote w:id="807">
    <w:p w14:paraId="17E0F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תקלט.</w:t>
      </w:r>
    </w:p>
  </w:footnote>
  <w:footnote w:id="808">
    <w:p w14:paraId="142532B1"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המרחק בין </w:t>
      </w:r>
      <w:proofErr w:type="spellStart"/>
      <w:r>
        <w:rPr>
          <w:sz w:val="20"/>
          <w:szCs w:val="20"/>
          <w:rtl/>
        </w:rPr>
        <w:t>וולוז׳ין</w:t>
      </w:r>
      <w:proofErr w:type="spellEnd"/>
      <w:r>
        <w:rPr>
          <w:sz w:val="20"/>
          <w:szCs w:val="20"/>
          <w:rtl/>
        </w:rPr>
        <w:t xml:space="preserve"> למינסק הוא כשבעים קילומטר בקו אווירי.</w:t>
      </w:r>
    </w:p>
  </w:footnote>
  <w:footnote w:id="809">
    <w:p w14:paraId="2C42A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ב“השלח</w:t>
      </w:r>
      <w:proofErr w:type="spellEnd"/>
      <w:r>
        <w:rPr>
          <w:sz w:val="20"/>
          <w:szCs w:val="20"/>
          <w:rtl/>
        </w:rPr>
        <w:t xml:space="preserve">” משנת 1912, עמ׳ 549, על סמך מכתבו של </w:t>
      </w:r>
      <w:proofErr w:type="spellStart"/>
      <w:r>
        <w:rPr>
          <w:sz w:val="20"/>
          <w:szCs w:val="20"/>
          <w:rtl/>
        </w:rPr>
        <w:t>ליליינטל</w:t>
      </w:r>
      <w:proofErr w:type="spellEnd"/>
      <w:r>
        <w:rPr>
          <w:sz w:val="20"/>
          <w:szCs w:val="20"/>
          <w:rtl/>
        </w:rPr>
        <w:t xml:space="preserve"> המובא להלן.</w:t>
      </w:r>
    </w:p>
  </w:footnote>
  <w:footnote w:id="810">
    <w:p w14:paraId="5F4983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w:t>
      </w:r>
      <w:proofErr w:type="spellStart"/>
      <w:r>
        <w:rPr>
          <w:sz w:val="20"/>
          <w:szCs w:val="20"/>
          <w:rtl/>
        </w:rPr>
        <w:t>ב“השלח</w:t>
      </w:r>
      <w:proofErr w:type="spellEnd"/>
      <w:r>
        <w:rPr>
          <w:sz w:val="20"/>
          <w:szCs w:val="20"/>
          <w:rtl/>
        </w:rPr>
        <w:t>” משנת 1912, עמ׳ 555.</w:t>
      </w:r>
    </w:p>
  </w:footnote>
  <w:footnote w:id="811">
    <w:p w14:paraId="2237C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1078–1080.</w:t>
      </w:r>
    </w:p>
  </w:footnote>
  <w:footnote w:id="812">
    <w:p w14:paraId="4FD0C9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באותו זמן נהג ברוסיה הסגנון הישן, הלוח היוליאני. 13 בספטמבר 1842 לסגנון הישן מקביל ל־25 בספטמבר 1842 לסגנון החדש (הלוח הגרגוריאני), והוא כ״א בתשרי תר״ג.</w:t>
      </w:r>
    </w:p>
  </w:footnote>
  <w:footnote w:id="813">
    <w:p w14:paraId="17D23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ב, </w:t>
      </w:r>
      <w:proofErr w:type="spellStart"/>
      <w:r>
        <w:rPr>
          <w:sz w:val="20"/>
          <w:szCs w:val="20"/>
          <w:rtl/>
        </w:rPr>
        <w:t>יב</w:t>
      </w:r>
      <w:proofErr w:type="spellEnd"/>
      <w:r>
        <w:rPr>
          <w:sz w:val="20"/>
          <w:szCs w:val="20"/>
          <w:rtl/>
        </w:rPr>
        <w:t>.</w:t>
      </w:r>
    </w:p>
  </w:footnote>
  <w:footnote w:id="814">
    <w:p w14:paraId="77C05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תהלים קמט, ו.</w:t>
      </w:r>
    </w:p>
  </w:footnote>
  <w:footnote w:id="815">
    <w:p w14:paraId="27FD0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1922.</w:t>
      </w:r>
    </w:p>
  </w:footnote>
  <w:footnote w:id="816">
    <w:p w14:paraId="309B7A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משחק מילים על שמות יד, ז.</w:t>
      </w:r>
    </w:p>
  </w:footnote>
  <w:footnote w:id="817">
    <w:p w14:paraId="57B97F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135–143.</w:t>
      </w:r>
    </w:p>
  </w:footnote>
  <w:footnote w:id="818">
    <w:p w14:paraId="0256F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138.</w:t>
      </w:r>
    </w:p>
  </w:footnote>
  <w:footnote w:id="819">
    <w:p w14:paraId="5DB66B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140.</w:t>
      </w:r>
    </w:p>
  </w:footnote>
  <w:footnote w:id="820">
    <w:p w14:paraId="3A367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143.</w:t>
      </w:r>
    </w:p>
  </w:footnote>
  <w:footnote w:id="821">
    <w:p w14:paraId="563240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יח</w:t>
      </w:r>
      <w:proofErr w:type="spellEnd"/>
      <w:r>
        <w:rPr>
          <w:sz w:val="20"/>
          <w:szCs w:val="20"/>
          <w:rtl/>
        </w:rPr>
        <w:t>, ז.</w:t>
      </w:r>
    </w:p>
  </w:footnote>
  <w:footnote w:id="822">
    <w:p w14:paraId="60DBE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קי״ב ע״א.</w:t>
      </w:r>
    </w:p>
  </w:footnote>
  <w:footnote w:id="823">
    <w:p w14:paraId="6EAD3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2, עמ׳ 107–108.</w:t>
      </w:r>
    </w:p>
  </w:footnote>
  <w:footnote w:id="824">
    <w:p w14:paraId="0585DD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בתארם את האורתודוקסים כינו המשכילים את מגיני האמונה “</w:t>
      </w:r>
      <w:proofErr w:type="spellStart"/>
      <w:r>
        <w:rPr>
          <w:sz w:val="20"/>
          <w:szCs w:val="20"/>
          <w:rtl/>
        </w:rPr>
        <w:t>קוזקי</w:t>
      </w:r>
      <w:proofErr w:type="spellEnd"/>
      <w:r>
        <w:rPr>
          <w:sz w:val="20"/>
          <w:szCs w:val="20"/>
          <w:rtl/>
        </w:rPr>
        <w:t xml:space="preserve"> ה׳” </w:t>
      </w:r>
      <w:proofErr w:type="spellStart"/>
      <w:r>
        <w:rPr>
          <w:sz w:val="20"/>
          <w:szCs w:val="20"/>
          <w:rtl/>
        </w:rPr>
        <w:t>ו“פרקליטי</w:t>
      </w:r>
      <w:proofErr w:type="spellEnd"/>
      <w:r>
        <w:rPr>
          <w:sz w:val="20"/>
          <w:szCs w:val="20"/>
          <w:rtl/>
        </w:rPr>
        <w:t xml:space="preserve"> השמים”.</w:t>
      </w:r>
    </w:p>
  </w:footnote>
  <w:footnote w:id="825">
    <w:p w14:paraId="7B8A54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יהודה־לייב</w:t>
      </w:r>
      <w:proofErr w:type="spellEnd"/>
      <w:r>
        <w:rPr>
          <w:sz w:val="20"/>
          <w:szCs w:val="20"/>
          <w:rtl/>
        </w:rPr>
        <w:t xml:space="preserve"> גורדון; ראה פרק 1, נספח א.</w:t>
      </w:r>
    </w:p>
  </w:footnote>
  <w:footnote w:id="826">
    <w:p w14:paraId="04CF64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ביוזמת רב </w:t>
      </w:r>
      <w:proofErr w:type="spellStart"/>
      <w:r>
        <w:rPr>
          <w:sz w:val="20"/>
          <w:szCs w:val="20"/>
          <w:rtl/>
        </w:rPr>
        <w:t>ראסיין</w:t>
      </w:r>
      <w:proofErr w:type="spellEnd"/>
      <w:r>
        <w:rPr>
          <w:sz w:val="20"/>
          <w:szCs w:val="20"/>
          <w:rtl/>
        </w:rPr>
        <w:t xml:space="preserve">, ר׳ </w:t>
      </w:r>
      <w:proofErr w:type="spellStart"/>
      <w:r>
        <w:rPr>
          <w:sz w:val="20"/>
          <w:szCs w:val="20"/>
          <w:rtl/>
        </w:rPr>
        <w:t>אלכסנדר־משה</w:t>
      </w:r>
      <w:proofErr w:type="spellEnd"/>
      <w:r>
        <w:rPr>
          <w:sz w:val="20"/>
          <w:szCs w:val="20"/>
          <w:rtl/>
        </w:rPr>
        <w:t xml:space="preserve"> לפידות, ובסיוע ר׳ יעקב הלוי ליפשיץ, נעשה “הלבנון” </w:t>
      </w:r>
      <w:proofErr w:type="spellStart"/>
      <w:r>
        <w:rPr>
          <w:sz w:val="20"/>
          <w:szCs w:val="20"/>
          <w:rtl/>
        </w:rPr>
        <w:t>לבטאונה</w:t>
      </w:r>
      <w:proofErr w:type="spellEnd"/>
      <w:r>
        <w:rPr>
          <w:sz w:val="20"/>
          <w:szCs w:val="20"/>
          <w:rtl/>
        </w:rPr>
        <w:t xml:space="preserve"> של היהדות האורתודוקסית. בשעה שנוסד, כתב עת ספרותי העוסק בנושאים שאינם חידושי תורה היה רעיון מהפכני לגמרי בחוגי הרבנים – ראה שם, עמ׳ 99–102.</w:t>
      </w:r>
    </w:p>
  </w:footnote>
  <w:footnote w:id="827">
    <w:p w14:paraId="234FA4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103. חוסר הסובלנות כלפי דעות אחרים מאפיין את היחס השורר עד ימינו בחוגים הפוליטיים והאידיאולוגיים שהולידו יורשיהם הרוחניים של המשכילים. השווה הערת שוליים </w:t>
      </w:r>
      <w:r>
        <w:rPr>
          <w:sz w:val="20"/>
          <w:szCs w:val="20"/>
          <w:rtl/>
        </w:rPr>
        <w:fldChar w:fldCharType="begin" w:dirty="true"/>
      </w:r>
      <w:r>
        <w:rPr>
          <w:sz w:val="20"/>
          <w:szCs w:val="20"/>
          <w:rtl/>
        </w:rPr>
        <w:instrText xml:space="preserve"> NOTEREF pr_f_685 \h </w:instrText>
      </w:r>
      <w:r>
        <w:rPr>
          <w:sz w:val="20"/>
          <w:szCs w:val="20"/>
          <w:rtl/>
        </w:rPr>
      </w:r>
      <w:r>
        <w:rPr>
          <w:sz w:val="20"/>
          <w:szCs w:val="20"/>
          <w:rtl/>
        </w:rPr>
        <w:fldChar w:fldCharType="separate"/>
      </w:r>
      <w:r w:rsidR="007923E9">
        <w:rPr>
          <w:sz w:val="20"/>
          <w:szCs w:val="20"/>
          <w:rtl/>
        </w:rPr>
        <w:t>316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בכרך זה.</w:t>
      </w:r>
    </w:p>
  </w:footnote>
  <w:footnote w:id="828">
    <w:p w14:paraId="4174CA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זכה לכיבוד הגדול ביותר: הוא נקרא לתורה כחתן תורה. הוא כותב: “אחר סיום התורה, כשקראו כולם ‘חזק!’, התחזקתי והייתי לאיש ושתיתי עמהם בטוב לב. כשראו שרוקנתי את כלי </w:t>
      </w:r>
      <w:proofErr w:type="spellStart"/>
      <w:r>
        <w:rPr>
          <w:sz w:val="20"/>
          <w:szCs w:val="20"/>
          <w:rtl/>
        </w:rPr>
        <w:t>היי״ש</w:t>
      </w:r>
      <w:proofErr w:type="spellEnd"/>
      <w:r>
        <w:rPr>
          <w:sz w:val="20"/>
          <w:szCs w:val="20"/>
          <w:rtl/>
        </w:rPr>
        <w:t xml:space="preserve"> הגדול שהעמידו לפניי, שמחו מאוד לפניי; הארץ רעשה מקולם כשקראו: ‘אחינו בשרנו אתה’.”</w:t>
      </w:r>
    </w:p>
    <w:p w14:paraId="3879AE58" w14:textId="77777777" w:rsidR="00AB3647" w:rsidRDefault="00000000">
      <w:pPr>
        <w:spacing w:after="0" w:before="0"/>
        <w:jc w:val="both"/>
      </w:pPr>
      <w:r>
        <w:rPr>
          <w:sz w:val="20"/>
          <w:szCs w:val="20"/>
          <w:rtl/>
        </w:rPr>
        <w:t xml:space="preserve">לא יהיה זה מפתיע אם החסידים – שבדרך כלל מעורים בערכי רביהם יותר משהמתנגדים מעורים בערכי רבניהם – ידעו היטב מה חשב האדמו״ר </w:t>
      </w:r>
      <w:proofErr w:type="spellStart"/>
      <w:r>
        <w:rPr>
          <w:sz w:val="20"/>
          <w:szCs w:val="20"/>
          <w:rtl/>
        </w:rPr>
        <w:t>מליובאוויטש</w:t>
      </w:r>
      <w:proofErr w:type="spellEnd"/>
      <w:r>
        <w:rPr>
          <w:sz w:val="20"/>
          <w:szCs w:val="20"/>
          <w:rtl/>
        </w:rPr>
        <w:t xml:space="preserve"> על </w:t>
      </w:r>
      <w:proofErr w:type="spellStart"/>
      <w:r>
        <w:rPr>
          <w:sz w:val="20"/>
          <w:szCs w:val="20"/>
          <w:rtl/>
        </w:rPr>
        <w:t>ליליינטל</w:t>
      </w:r>
      <w:proofErr w:type="spellEnd"/>
      <w:r>
        <w:rPr>
          <w:sz w:val="20"/>
          <w:szCs w:val="20"/>
          <w:rtl/>
        </w:rPr>
        <w:t xml:space="preserve"> ועל שליחותו (כמתואר בסוף הפסקה השישית לעיל), וחותמת האישור שנראה כאילו נתן בו לאחרונה המתנגד ר׳ </w:t>
      </w:r>
      <w:proofErr w:type="spellStart"/>
      <w:r>
        <w:rPr>
          <w:sz w:val="20"/>
          <w:szCs w:val="20"/>
          <w:rtl/>
        </w:rPr>
        <w:t>איצל׳ה</w:t>
      </w:r>
      <w:proofErr w:type="spellEnd"/>
      <w:r>
        <w:rPr>
          <w:sz w:val="20"/>
          <w:szCs w:val="20"/>
          <w:rtl/>
        </w:rPr>
        <w:t xml:space="preserve"> </w:t>
      </w:r>
      <w:proofErr w:type="spellStart"/>
      <w:r>
        <w:rPr>
          <w:sz w:val="20"/>
          <w:szCs w:val="20"/>
          <w:rtl/>
        </w:rPr>
        <w:t>מוולוז׳ין</w:t>
      </w:r>
      <w:proofErr w:type="spellEnd"/>
      <w:r>
        <w:rPr>
          <w:sz w:val="20"/>
          <w:szCs w:val="20"/>
          <w:rtl/>
        </w:rPr>
        <w:t xml:space="preserve"> לא הועילה הרבה בעיניהם. לא היה בכוחם לצאת נגד החברה הדתית הכללית ולפגוע </w:t>
      </w:r>
      <w:proofErr w:type="spellStart"/>
      <w:r>
        <w:rPr>
          <w:sz w:val="20"/>
          <w:szCs w:val="20"/>
          <w:rtl/>
        </w:rPr>
        <w:t>בליליינטל</w:t>
      </w:r>
      <w:proofErr w:type="spellEnd"/>
      <w:r>
        <w:rPr>
          <w:sz w:val="20"/>
          <w:szCs w:val="20"/>
          <w:rtl/>
        </w:rPr>
        <w:t xml:space="preserve"> בגלוי. הם נאלצו לחלוק לו כבוד מופלג, אף שהיה נבזה בעיניהם. אפשר </w:t>
      </w:r>
      <w:proofErr w:type="spellStart"/>
      <w:r>
        <w:rPr>
          <w:sz w:val="20"/>
          <w:szCs w:val="20"/>
          <w:rtl/>
        </w:rPr>
        <w:t>ש“השמחה</w:t>
      </w:r>
      <w:proofErr w:type="spellEnd"/>
      <w:r>
        <w:rPr>
          <w:sz w:val="20"/>
          <w:szCs w:val="20"/>
          <w:rtl/>
        </w:rPr>
        <w:t xml:space="preserve"> הגדולה לפניו” שלהם, אחרי שהצליחו להשקותו יי״ש בדרך “גברית” ביומו האחרון בעירם, הייתה מעין לעג שהשקפתו </w:t>
      </w:r>
      <w:proofErr w:type="spellStart"/>
      <w:r>
        <w:rPr>
          <w:sz w:val="20"/>
          <w:szCs w:val="20"/>
          <w:rtl/>
        </w:rPr>
        <w:t>המערב־אירופית</w:t>
      </w:r>
      <w:proofErr w:type="spellEnd"/>
      <w:r>
        <w:rPr>
          <w:sz w:val="20"/>
          <w:szCs w:val="20"/>
          <w:rtl/>
        </w:rPr>
        <w:t xml:space="preserve"> לא תפסה. הוא לא הבין שהביטוי המקראי שבו בחרו “להרעיד את הארץ” הוא הביטוי ששימש את אחי יוסף כשהחליטו להיפטר ממנו (במכירתו לעבדות במצרים – בראשית </w:t>
      </w:r>
      <w:proofErr w:type="spellStart"/>
      <w:r>
        <w:rPr>
          <w:sz w:val="20"/>
          <w:szCs w:val="20"/>
          <w:rtl/>
        </w:rPr>
        <w:t>לז</w:t>
      </w:r>
      <w:proofErr w:type="spellEnd"/>
      <w:r>
        <w:rPr>
          <w:sz w:val="20"/>
          <w:szCs w:val="20"/>
          <w:rtl/>
        </w:rPr>
        <w:t xml:space="preserve">, </w:t>
      </w:r>
      <w:proofErr w:type="spellStart"/>
      <w:r>
        <w:rPr>
          <w:sz w:val="20"/>
          <w:szCs w:val="20"/>
          <w:rtl/>
        </w:rPr>
        <w:t>כז</w:t>
      </w:r>
      <w:proofErr w:type="spellEnd"/>
      <w:r>
        <w:rPr>
          <w:sz w:val="20"/>
          <w:szCs w:val="20"/>
          <w:rtl/>
        </w:rPr>
        <w:t>), כשם שמינסק נפטרה ממנו סוף סוף באותו יום, יומו השמיני והאחרון בעיר.</w:t>
      </w:r>
    </w:p>
    <w:p w14:paraId="2F224594" w14:textId="77777777" w:rsidR="00AB3647" w:rsidRDefault="00000000">
      <w:pPr>
        <w:spacing w:after="0" w:before="0"/>
        <w:jc w:val="both"/>
      </w:pPr>
      <w:r>
        <w:rPr>
          <w:sz w:val="20"/>
          <w:szCs w:val="20"/>
          <w:rtl/>
        </w:rPr>
        <w:t xml:space="preserve">ומי יודע אם מחלת הקיבה שלקה בה ביומו השלישי במינסק (ראה להלן ובפסקה </w:t>
      </w:r>
      <w:proofErr w:type="spellStart"/>
      <w:r>
        <w:rPr>
          <w:sz w:val="20"/>
          <w:szCs w:val="20"/>
          <w:rtl/>
        </w:rPr>
        <w:t>הארבע־עשרה</w:t>
      </w:r>
      <w:proofErr w:type="spellEnd"/>
      <w:r>
        <w:rPr>
          <w:sz w:val="20"/>
          <w:szCs w:val="20"/>
          <w:rtl/>
        </w:rPr>
        <w:t>), שהייתה חמורה כל כך עד שאחזה בו לפחות עשרה ימים, לא הייתה תוצאה של ניסיון מכוון להרעילו, כשם שאחי יוסף זממו להמיתו לפני שהגיעו לטענה שהוא “אחיהם, בשרם” והחליטו להיפטר ממנו בדרך עדינה יותר? אפשר שקנאי כלשהו חשב שמוות בהרעלה הוא סוף ראוי למי שהוחרם בעירם שמונה ימים קודם לכן – ראה הפסקה השמינית לעיל.</w:t>
      </w:r>
    </w:p>
  </w:footnote>
  <w:footnote w:id="829">
    <w:p w14:paraId="50D40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בהערת השוליים הקודמת שוער שמישהו הטיל רעל במשקה ששתה באספה זו.</w:t>
      </w:r>
    </w:p>
  </w:footnote>
  <w:footnote w:id="830">
    <w:p w14:paraId="727352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הימים, החלים ביום חמישי וביום שישי, הם שני התאריכים האפשריים של בואו </w:t>
      </w:r>
      <w:proofErr w:type="spellStart"/>
      <w:r>
        <w:rPr>
          <w:sz w:val="20"/>
          <w:szCs w:val="20"/>
          <w:rtl/>
        </w:rPr>
        <w:t>לגרודנא</w:t>
      </w:r>
      <w:proofErr w:type="spellEnd"/>
      <w:r>
        <w:rPr>
          <w:sz w:val="20"/>
          <w:szCs w:val="20"/>
          <w:rtl/>
        </w:rPr>
        <w:t xml:space="preserve">. אולם בפסקה </w:t>
      </w:r>
      <w:proofErr w:type="spellStart"/>
      <w:r>
        <w:rPr>
          <w:sz w:val="20"/>
          <w:szCs w:val="20"/>
          <w:rtl/>
        </w:rPr>
        <w:t>החמש־עשרה</w:t>
      </w:r>
      <w:proofErr w:type="spellEnd"/>
      <w:r>
        <w:rPr>
          <w:sz w:val="20"/>
          <w:szCs w:val="20"/>
          <w:rtl/>
        </w:rPr>
        <w:t xml:space="preserve"> להלן נוכיח שסיים את המכתב </w:t>
      </w:r>
      <w:r>
        <w:rPr>
          <w:b/>
          <w:bCs/>
          <w:sz w:val="20"/>
          <w:szCs w:val="20"/>
          <w:rtl/>
        </w:rPr>
        <w:t>בשבת קודש</w:t>
      </w:r>
      <w:r>
        <w:rPr>
          <w:sz w:val="20"/>
          <w:szCs w:val="20"/>
          <w:rtl/>
        </w:rPr>
        <w:t xml:space="preserve"> (19 בספטמבר)!</w:t>
      </w:r>
    </w:p>
  </w:footnote>
  <w:footnote w:id="831">
    <w:p w14:paraId="4D4352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832">
    <w:p w14:paraId="2AB77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73.</w:t>
      </w:r>
    </w:p>
  </w:footnote>
  <w:footnote w:id="833">
    <w:p w14:paraId="5B640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92 (מתוך מכתבים אישיים, עמ׳ 20).</w:t>
      </w:r>
    </w:p>
  </w:footnote>
  <w:footnote w:id="834">
    <w:p w14:paraId="2812A9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ליליינטל</w:t>
      </w:r>
      <w:proofErr w:type="spellEnd"/>
      <w:r>
        <w:rPr>
          <w:sz w:val="20"/>
          <w:szCs w:val="20"/>
          <w:rtl/>
        </w:rPr>
        <w:t xml:space="preserve"> הרבה יתר על המידה לרשום ולפרסם ביומנו את רשמיו ממראה הנשים שפגש (השווה, למשל, עמ׳ 274 </w:t>
      </w:r>
      <w:proofErr w:type="spellStart"/>
      <w:r>
        <w:rPr>
          <w:sz w:val="20"/>
          <w:szCs w:val="20"/>
          <w:rtl/>
        </w:rPr>
        <w:t>בפיליפסון</w:t>
      </w:r>
      <w:proofErr w:type="spellEnd"/>
      <w:r>
        <w:rPr>
          <w:sz w:val="20"/>
          <w:szCs w:val="20"/>
          <w:rtl/>
        </w:rPr>
        <w:t xml:space="preserve">). אבל אני חושד שלא הייתה זו עוד חולשת אופי של </w:t>
      </w:r>
      <w:proofErr w:type="spellStart"/>
      <w:r>
        <w:rPr>
          <w:sz w:val="20"/>
          <w:szCs w:val="20"/>
          <w:rtl/>
        </w:rPr>
        <w:t>ליליינטל</w:t>
      </w:r>
      <w:proofErr w:type="spellEnd"/>
      <w:r>
        <w:rPr>
          <w:sz w:val="20"/>
          <w:szCs w:val="20"/>
          <w:rtl/>
        </w:rPr>
        <w:t xml:space="preserve">, אלא תכונה של כל חברת הסלונים הגרמנית. גם רבנים אורתודוקסים גרמנים קדושים, ששימשו כעבור 75 שנה רבנים צבאיים של הצבא הגרמני בפולין במלחמת העולם הראשונה, הואשמו בידי מחבר </w:t>
      </w:r>
      <w:proofErr w:type="spellStart"/>
      <w:r>
        <w:rPr>
          <w:sz w:val="20"/>
          <w:szCs w:val="20"/>
          <w:rtl/>
        </w:rPr>
        <w:t>מביאליסטוק</w:t>
      </w:r>
      <w:proofErr w:type="spellEnd"/>
      <w:r>
        <w:rPr>
          <w:sz w:val="20"/>
          <w:szCs w:val="20"/>
          <w:rtl/>
        </w:rPr>
        <w:t xml:space="preserve"> </w:t>
      </w:r>
      <w:proofErr w:type="spellStart"/>
      <w:r>
        <w:rPr>
          <w:sz w:val="20"/>
          <w:szCs w:val="20"/>
          <w:rtl/>
        </w:rPr>
        <w:t>ש“העדיפו</w:t>
      </w:r>
      <w:proofErr w:type="spellEnd"/>
      <w:r>
        <w:rPr>
          <w:sz w:val="20"/>
          <w:szCs w:val="20"/>
          <w:rtl/>
        </w:rPr>
        <w:t xml:space="preserve"> את חברת הנשים על פני חברת חברי ועד הקהל”. ראה “פנקס </w:t>
      </w:r>
      <w:proofErr w:type="spellStart"/>
      <w:r>
        <w:rPr>
          <w:sz w:val="20"/>
          <w:szCs w:val="20"/>
          <w:rtl/>
        </w:rPr>
        <w:t>ביאליסטאק</w:t>
      </w:r>
      <w:proofErr w:type="spellEnd"/>
      <w:r>
        <w:rPr>
          <w:sz w:val="20"/>
          <w:szCs w:val="20"/>
          <w:rtl/>
        </w:rPr>
        <w:t xml:space="preserve">”, ספר שכתב א.ש. </w:t>
      </w:r>
      <w:proofErr w:type="spellStart"/>
      <w:r>
        <w:rPr>
          <w:sz w:val="20"/>
          <w:szCs w:val="20"/>
          <w:rtl/>
        </w:rPr>
        <w:t>הערשבערג</w:t>
      </w:r>
      <w:proofErr w:type="spellEnd"/>
      <w:r>
        <w:rPr>
          <w:sz w:val="20"/>
          <w:szCs w:val="20"/>
          <w:rtl/>
        </w:rPr>
        <w:t xml:space="preserve"> (נולד בשנת 1860, ונספה בשואה), כרך ב, עמ׳ 197.</w:t>
      </w:r>
    </w:p>
    <w:p w14:paraId="6EF39DAA" w14:textId="77777777" w:rsidR="00AB3647" w:rsidRDefault="00000000">
      <w:pPr>
        <w:spacing w:after="0" w:before="0"/>
        <w:jc w:val="both"/>
      </w:pPr>
      <w:r>
        <w:rPr>
          <w:sz w:val="20"/>
          <w:szCs w:val="20"/>
          <w:rtl/>
        </w:rPr>
        <w:t xml:space="preserve">אזהרה: העורך יודל מארק כותב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(בתרגום מיידיש): “חיבור זה אינו... נקי מצביעה חד־צדדית וסובייקטיבית בעליל.” </w:t>
      </w:r>
      <w:proofErr w:type="spellStart"/>
      <w:r>
        <w:rPr>
          <w:sz w:val="20"/>
          <w:szCs w:val="20"/>
          <w:rtl/>
        </w:rPr>
        <w:t>הערשבערג</w:t>
      </w:r>
      <w:proofErr w:type="spellEnd"/>
      <w:r>
        <w:rPr>
          <w:sz w:val="20"/>
          <w:szCs w:val="20"/>
          <w:rtl/>
        </w:rPr>
        <w:t>, המאשים, היה בעצמו מן החברים המארגנים של ועד הקהל, כמובא שם, עמ׳ 228 ו־232, והיה ממורמר על שהרבנים הצבאיים לא נתנו דעתם די הצורך לוועד שלו.</w:t>
      </w:r>
    </w:p>
  </w:footnote>
  <w:footnote w:id="835">
    <w:p w14:paraId="12F4836A"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לעניין שנת לידתו של </w:t>
      </w:r>
      <w:proofErr w:type="spellStart"/>
      <w:r>
        <w:rPr>
          <w:sz w:val="20"/>
          <w:szCs w:val="20"/>
          <w:rtl/>
        </w:rPr>
        <w:t>הערשבערג</w:t>
      </w:r>
      <w:proofErr w:type="spellEnd"/>
      <w:r>
        <w:rPr>
          <w:sz w:val="20"/>
          <w:szCs w:val="20"/>
          <w:rtl/>
        </w:rPr>
        <w:t xml:space="preserve">: כך בהקדמה </w:t>
      </w:r>
      <w:proofErr w:type="spellStart"/>
      <w:r>
        <w:rPr>
          <w:sz w:val="20"/>
          <w:szCs w:val="20"/>
          <w:rtl/>
        </w:rPr>
        <w:t>ל“פנקס</w:t>
      </w:r>
      <w:proofErr w:type="spellEnd"/>
      <w:r>
        <w:rPr>
          <w:sz w:val="20"/>
          <w:szCs w:val="20"/>
          <w:rtl/>
        </w:rPr>
        <w:t xml:space="preserve"> </w:t>
      </w:r>
      <w:proofErr w:type="spellStart"/>
      <w:r>
        <w:rPr>
          <w:sz w:val="20"/>
          <w:szCs w:val="20"/>
          <w:rtl/>
        </w:rPr>
        <w:t>ביאליסטאק</w:t>
      </w:r>
      <w:proofErr w:type="spellEnd"/>
      <w:r>
        <w:rPr>
          <w:sz w:val="20"/>
          <w:szCs w:val="20"/>
          <w:rtl/>
        </w:rPr>
        <w:t xml:space="preserve">”; לפי אנציקלופדיה יודאיקה ומקורות אחרים נולד </w:t>
      </w:r>
      <w:proofErr w:type="spellStart"/>
      <w:r>
        <w:rPr>
          <w:sz w:val="20"/>
          <w:szCs w:val="20"/>
          <w:rtl/>
        </w:rPr>
        <w:t>הערשבערג</w:t>
      </w:r>
      <w:proofErr w:type="spellEnd"/>
      <w:r>
        <w:rPr>
          <w:sz w:val="20"/>
          <w:szCs w:val="20"/>
          <w:rtl/>
        </w:rPr>
        <w:t xml:space="preserve"> בכ״ב בטבת תרי״ט (29 בדצמבר 1858).</w:t>
      </w:r>
    </w:p>
  </w:footnote>
  <w:footnote w:id="836">
    <w:p w14:paraId="49622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לומר </w:t>
      </w:r>
      <w:proofErr w:type="spellStart"/>
      <w:r>
        <w:rPr>
          <w:sz w:val="20"/>
          <w:szCs w:val="20"/>
          <w:rtl/>
        </w:rPr>
        <w:t>שליליינטל</w:t>
      </w:r>
      <w:proofErr w:type="spellEnd"/>
      <w:r>
        <w:rPr>
          <w:sz w:val="20"/>
          <w:szCs w:val="20"/>
          <w:rtl/>
        </w:rPr>
        <w:t xml:space="preserve"> התכוון למוצאי שבת של השבוע שלאחר מכן, שהרי לא היה לו שום טעם לשהות במקום אחד שבוע ימים, בפרט אחרי העיכוב הארוך שגרמה לו מחלת קיבתו. אפשר </w:t>
      </w:r>
      <w:proofErr w:type="spellStart"/>
      <w:r>
        <w:rPr>
          <w:sz w:val="20"/>
          <w:szCs w:val="20"/>
          <w:rtl/>
        </w:rPr>
        <w:t>שצינוביץ</w:t>
      </w:r>
      <w:proofErr w:type="spellEnd"/>
      <w:r>
        <w:rPr>
          <w:sz w:val="20"/>
          <w:szCs w:val="20"/>
          <w:rtl/>
        </w:rPr>
        <w:t xml:space="preserve">, “עץ חיים”, עמ׳ 189, מנסה לרמוז לכך כשהוא </w:t>
      </w:r>
      <w:r>
        <w:rPr>
          <w:b/>
          <w:bCs/>
          <w:sz w:val="20"/>
          <w:szCs w:val="20"/>
          <w:rtl/>
        </w:rPr>
        <w:t>מוסיף</w:t>
      </w:r>
      <w:r>
        <w:rPr>
          <w:sz w:val="20"/>
          <w:szCs w:val="20"/>
          <w:rtl/>
        </w:rPr>
        <w:t xml:space="preserve"> את המילה “הבא” אחרי המילים “במוצאי שבת” בהביאו מכתב זה.</w:t>
      </w:r>
    </w:p>
  </w:footnote>
  <w:footnote w:id="837">
    <w:p w14:paraId="55B259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549.</w:t>
      </w:r>
    </w:p>
  </w:footnote>
  <w:footnote w:id="838">
    <w:p w14:paraId="361645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עצירות אלה הוזכרו לעיל, בתחילת הפסקה </w:t>
      </w:r>
      <w:proofErr w:type="spellStart"/>
      <w:r>
        <w:rPr>
          <w:sz w:val="20"/>
          <w:szCs w:val="20"/>
          <w:rtl/>
        </w:rPr>
        <w:t>השתים־עשרה</w:t>
      </w:r>
      <w:proofErr w:type="spellEnd"/>
      <w:r>
        <w:rPr>
          <w:sz w:val="20"/>
          <w:szCs w:val="20"/>
          <w:rtl/>
        </w:rPr>
        <w:t xml:space="preserve"> שלנו. ראה גם בפסקה </w:t>
      </w:r>
      <w:proofErr w:type="spellStart"/>
      <w:r>
        <w:rPr>
          <w:sz w:val="20"/>
          <w:szCs w:val="20"/>
          <w:rtl/>
        </w:rPr>
        <w:t>הארבע־עשרה</w:t>
      </w:r>
      <w:proofErr w:type="spellEnd"/>
      <w:r>
        <w:rPr>
          <w:sz w:val="20"/>
          <w:szCs w:val="20"/>
          <w:rtl/>
        </w:rPr>
        <w:t xml:space="preserve"> לעיל: לפני שחלה </w:t>
      </w:r>
      <w:proofErr w:type="spellStart"/>
      <w:r>
        <w:rPr>
          <w:sz w:val="20"/>
          <w:szCs w:val="20"/>
          <w:rtl/>
        </w:rPr>
        <w:t>ליליינטל</w:t>
      </w:r>
      <w:proofErr w:type="spellEnd"/>
      <w:r>
        <w:rPr>
          <w:sz w:val="20"/>
          <w:szCs w:val="20"/>
          <w:rtl/>
        </w:rPr>
        <w:t xml:space="preserve"> בקיבתו תכנן לצאת ממינסק למחרת האספה שלו שם, כלומר ביום חמישי בבוקר (9 בספטמבר) של חול המועד, וציפה להיות </w:t>
      </w:r>
      <w:proofErr w:type="spellStart"/>
      <w:r>
        <w:rPr>
          <w:sz w:val="20"/>
          <w:szCs w:val="20"/>
          <w:rtl/>
        </w:rPr>
        <w:t>בגרודנא</w:t>
      </w:r>
      <w:proofErr w:type="spellEnd"/>
      <w:r>
        <w:rPr>
          <w:sz w:val="20"/>
          <w:szCs w:val="20"/>
          <w:rtl/>
        </w:rPr>
        <w:t xml:space="preserve"> לא יאוחר מבין השמשות של יום שישי (10 בספטמבר) – בסך הכול כ־36 שעות נסיעה. עכשיו, משיצא ממינסק ביום שלישי שלאחר מכן בשעת לילה מאוחרת (“מוצאי יום טוב”, 15 בספטמבר, כמובא בפסקה </w:t>
      </w:r>
      <w:proofErr w:type="spellStart"/>
      <w:r>
        <w:rPr>
          <w:sz w:val="20"/>
          <w:szCs w:val="20"/>
          <w:rtl/>
        </w:rPr>
        <w:t>השלוש־עשרה</w:t>
      </w:r>
      <w:proofErr w:type="spellEnd"/>
      <w:r>
        <w:rPr>
          <w:sz w:val="20"/>
          <w:szCs w:val="20"/>
          <w:rtl/>
        </w:rPr>
        <w:t xml:space="preserve"> לעיל מפסקה 6 של מכתבו), יש להניח שהיה לו די זמן – כולל הזמן לשתי העצירות – להגיע </w:t>
      </w:r>
      <w:proofErr w:type="spellStart"/>
      <w:r>
        <w:rPr>
          <w:sz w:val="20"/>
          <w:szCs w:val="20"/>
          <w:rtl/>
        </w:rPr>
        <w:t>לגרודנא</w:t>
      </w:r>
      <w:proofErr w:type="spellEnd"/>
      <w:r>
        <w:rPr>
          <w:sz w:val="20"/>
          <w:szCs w:val="20"/>
          <w:rtl/>
        </w:rPr>
        <w:t xml:space="preserve"> עד יום חמישי בערב (17 בספטמבר), כעבור כ־46 שעות.</w:t>
      </w:r>
    </w:p>
  </w:footnote>
  <w:footnote w:id="839">
    <w:p w14:paraId="0F758FF4"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לעניין תאריכי הנסיעה ממינסק </w:t>
      </w:r>
      <w:proofErr w:type="spellStart"/>
      <w:r>
        <w:rPr>
          <w:sz w:val="20"/>
          <w:szCs w:val="20"/>
          <w:rtl/>
        </w:rPr>
        <w:t>לגרודנא</w:t>
      </w:r>
      <w:proofErr w:type="spellEnd"/>
      <w:r>
        <w:rPr>
          <w:sz w:val="20"/>
          <w:szCs w:val="20"/>
          <w:rtl/>
        </w:rPr>
        <w:t>: לפי שאר התאריכים בנספח (הושענא רבה – 13 בספטמבר; יום שלישי, מוצאי יום טוב – 15 בספטמבר; מוצאי שבת – 19 בספטמבר), יום חמישי של חול המועד חל ב־10 בספטמבר ויום שישי ב־11 בספטמבר.</w:t>
      </w:r>
    </w:p>
  </w:footnote>
  <w:footnote w:id="840">
    <w:p w14:paraId="2C2043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שיצאה לאור בלייפציג, כאמור לעיל בפסקה החמישית – עמ׳ 10.</w:t>
      </w:r>
    </w:p>
  </w:footnote>
  <w:footnote w:id="841">
    <w:p w14:paraId="6CCC76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548.</w:t>
      </w:r>
    </w:p>
  </w:footnote>
  <w:footnote w:id="842">
    <w:p w14:paraId="7ADBA3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“מגיד אמת” הגזים בתיאור הפגנת החסידות הצבועה של </w:t>
      </w:r>
      <w:proofErr w:type="spellStart"/>
      <w:r>
        <w:rPr>
          <w:sz w:val="20"/>
          <w:szCs w:val="20"/>
          <w:rtl/>
        </w:rPr>
        <w:t>ליליינטל</w:t>
      </w:r>
      <w:proofErr w:type="spellEnd"/>
      <w:r>
        <w:rPr>
          <w:sz w:val="20"/>
          <w:szCs w:val="20"/>
          <w:rtl/>
        </w:rPr>
        <w:t xml:space="preserve"> בווילנה, שהרי בערב יום הכיפורים, כשעושים את מנהגי הכפרות והמלקות, כבר היה </w:t>
      </w:r>
      <w:proofErr w:type="spellStart"/>
      <w:r>
        <w:rPr>
          <w:sz w:val="20"/>
          <w:szCs w:val="20"/>
          <w:rtl/>
        </w:rPr>
        <w:t>בוולוז׳ין</w:t>
      </w:r>
      <w:proofErr w:type="spellEnd"/>
      <w:r>
        <w:rPr>
          <w:sz w:val="20"/>
          <w:szCs w:val="20"/>
          <w:rtl/>
        </w:rPr>
        <w:t xml:space="preserve">. אבל לא יהיה זה מפתיע אם התחזה ליהודי מדקדק במצוות גם </w:t>
      </w:r>
      <w:proofErr w:type="spellStart"/>
      <w:r>
        <w:rPr>
          <w:sz w:val="20"/>
          <w:szCs w:val="20"/>
          <w:rtl/>
        </w:rPr>
        <w:t>בוולוז׳ין</w:t>
      </w:r>
      <w:proofErr w:type="spellEnd"/>
      <w:r>
        <w:rPr>
          <w:sz w:val="20"/>
          <w:szCs w:val="20"/>
          <w:rtl/>
        </w:rPr>
        <w:t>.</w:t>
      </w:r>
    </w:p>
  </w:footnote>
  <w:footnote w:id="843">
    <w:p w14:paraId="5713C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הרב אהרן </w:t>
      </w:r>
      <w:proofErr w:type="spellStart"/>
      <w:r>
        <w:rPr>
          <w:rStyle w:val="a5"/>
          <w:sz w:val="20"/>
          <w:szCs w:val="20"/>
          <w:vertAlign w:val="baseline"/>
          <w:rtl/>
        </w:rPr>
        <w:t>סולובייצ׳יק</w:t>
      </w:r>
      <w:proofErr w:type="spellEnd"/>
      <w:r>
        <w:rPr>
          <w:rStyle w:val="a5"/>
          <w:sz w:val="20"/>
          <w:szCs w:val="20"/>
          <w:vertAlign w:val="baseline"/>
          <w:rtl/>
        </w:rPr>
        <w:t xml:space="preserve"> –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pr_f_710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341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pr_f_710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 סיים: “תכשיט של ממש היה!”</w:t>
      </w:r>
    </w:p>
  </w:footnote>
  <w:footnote w:id="844">
    <w:p w14:paraId="2BDCE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בפסקה השמינית, </w:t>
      </w:r>
      <w:proofErr w:type="spellStart"/>
      <w:r>
        <w:rPr>
          <w:sz w:val="20"/>
          <w:szCs w:val="20"/>
          <w:rtl/>
        </w:rPr>
        <w:t>מ“מקור</w:t>
      </w:r>
      <w:proofErr w:type="spellEnd"/>
      <w:r>
        <w:rPr>
          <w:sz w:val="20"/>
          <w:szCs w:val="20"/>
          <w:rtl/>
        </w:rPr>
        <w:t xml:space="preserve"> ברוך”, עמ׳ תקלח.</w:t>
      </w:r>
    </w:p>
  </w:footnote>
  <w:footnote w:id="845">
    <w:p w14:paraId="54A5B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תתקנט</w:t>
      </w:r>
      <w:proofErr w:type="spellEnd"/>
      <w:r>
        <w:rPr>
          <w:sz w:val="20"/>
          <w:szCs w:val="20"/>
          <w:rtl/>
        </w:rPr>
        <w:t>.</w:t>
      </w:r>
    </w:p>
  </w:footnote>
  <w:footnote w:id="846">
    <w:p w14:paraId="735E1D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תתקסא</w:t>
      </w:r>
      <w:proofErr w:type="spellEnd"/>
      <w:r>
        <w:rPr>
          <w:sz w:val="20"/>
          <w:szCs w:val="20"/>
          <w:rtl/>
        </w:rPr>
        <w:t>–1922.</w:t>
      </w:r>
    </w:p>
  </w:footnote>
  <w:footnote w:id="847">
    <w:p w14:paraId="7CAE3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הקורא לדעת שמה שנכתב כאן על </w:t>
      </w:r>
      <w:proofErr w:type="spellStart"/>
      <w:r>
        <w:rPr>
          <w:sz w:val="20"/>
          <w:szCs w:val="20"/>
          <w:rtl/>
        </w:rPr>
        <w:t>הנצי״ב</w:t>
      </w:r>
      <w:proofErr w:type="spellEnd"/>
      <w:r>
        <w:rPr>
          <w:sz w:val="20"/>
          <w:szCs w:val="20"/>
          <w:rtl/>
        </w:rPr>
        <w:t xml:space="preserve"> מבוסס כולו על “מקור ברוך”, ספר שעל </w:t>
      </w:r>
      <w:r>
        <w:rPr>
          <w:b/>
          <w:bCs/>
          <w:sz w:val="20"/>
          <w:szCs w:val="20"/>
          <w:rtl/>
        </w:rPr>
        <w:t>דיוקו</w:t>
      </w:r>
      <w:r>
        <w:rPr>
          <w:sz w:val="20"/>
          <w:szCs w:val="20"/>
          <w:rtl/>
        </w:rPr>
        <w:t xml:space="preserve"> ערערו, ובמיוחד הרה״ח ר׳ יהושע </w:t>
      </w:r>
      <w:proofErr w:type="spellStart"/>
      <w:r>
        <w:rPr>
          <w:sz w:val="20"/>
          <w:szCs w:val="20"/>
          <w:rtl/>
        </w:rPr>
        <w:t>מונדשיין</w:t>
      </w:r>
      <w:proofErr w:type="spellEnd"/>
      <w:r>
        <w:rPr>
          <w:sz w:val="20"/>
          <w:szCs w:val="20"/>
          <w:rtl/>
        </w:rPr>
        <w:t xml:space="preserve"> </w:t>
      </w:r>
      <w:proofErr w:type="spellStart"/>
      <w:r>
        <w:rPr>
          <w:sz w:val="20"/>
          <w:szCs w:val="20"/>
          <w:rtl/>
        </w:rPr>
        <w:t>ב“מדור</w:t>
      </w:r>
      <w:proofErr w:type="spellEnd"/>
      <w:r>
        <w:rPr>
          <w:sz w:val="20"/>
          <w:szCs w:val="20"/>
          <w:rtl/>
        </w:rPr>
        <w:t xml:space="preserve"> הערות לקובץ יגדיל תורה” (היוצא “מזמן לזמן על ידי חברי הכולל שליד מזכירות האדמו״ר </w:t>
      </w:r>
      <w:proofErr w:type="spellStart"/>
      <w:r>
        <w:rPr>
          <w:sz w:val="20"/>
          <w:szCs w:val="20"/>
          <w:rtl/>
        </w:rPr>
        <w:t>מליובאוויטש</w:t>
      </w:r>
      <w:proofErr w:type="spellEnd"/>
      <w:r>
        <w:rPr>
          <w:sz w:val="20"/>
          <w:szCs w:val="20"/>
          <w:rtl/>
        </w:rPr>
        <w:t xml:space="preserve">”, ברוקלין), בחוברת י״ב, שנה ראשונה, אלול תשל״ז, עמ׳ 393–394. הוא כותב: “תמה אני שעדיין יש מי שמאמין לדבר כלשהו המסופר ב[‘מקור ברוך’].” ומוסיף התנצלות זו: “לא הארכתי [בטעויות ‘מקור ברוך’] אלא כדי להעמיד על האמת את הרבים שעדיין מאמינים לסיפורי הספר.” חסיד חב״ד זה זועם בגלל מה שכתב אותו מחבר, ר׳ ברוך אפשטיין, על אחד מאדמו״רי </w:t>
      </w:r>
      <w:proofErr w:type="spellStart"/>
      <w:r>
        <w:rPr>
          <w:sz w:val="20"/>
          <w:szCs w:val="20"/>
          <w:rtl/>
        </w:rPr>
        <w:t>ליובאוויטש</w:t>
      </w:r>
      <w:proofErr w:type="spellEnd"/>
      <w:r>
        <w:rPr>
          <w:sz w:val="20"/>
          <w:szCs w:val="20"/>
          <w:rtl/>
        </w:rPr>
        <w:t>.</w:t>
      </w:r>
    </w:p>
    <w:p w14:paraId="4380DB02" w14:textId="77777777" w:rsidR="00AB3647" w:rsidRDefault="00000000">
      <w:pPr>
        <w:spacing w:after="0" w:before="0"/>
        <w:jc w:val="both"/>
      </w:pPr>
      <w:r>
        <w:rPr>
          <w:sz w:val="20"/>
          <w:szCs w:val="20"/>
          <w:rtl/>
        </w:rPr>
        <w:t xml:space="preserve">מנחם מ. כשר, בהוספה </w:t>
      </w:r>
      <w:proofErr w:type="spellStart"/>
      <w:r>
        <w:rPr>
          <w:sz w:val="20"/>
          <w:szCs w:val="20"/>
          <w:rtl/>
        </w:rPr>
        <w:t>ל“תורה</w:t>
      </w:r>
      <w:proofErr w:type="spellEnd"/>
      <w:r>
        <w:rPr>
          <w:sz w:val="20"/>
          <w:szCs w:val="20"/>
          <w:rtl/>
        </w:rPr>
        <w:t xml:space="preserve"> שלמה” (ירושלים, תשי״ד), כרך </w:t>
      </w:r>
      <w:proofErr w:type="spellStart"/>
      <w:r>
        <w:rPr>
          <w:sz w:val="20"/>
          <w:szCs w:val="20"/>
          <w:rtl/>
        </w:rPr>
        <w:t>כו</w:t>
      </w:r>
      <w:proofErr w:type="spellEnd"/>
      <w:r>
        <w:rPr>
          <w:sz w:val="20"/>
          <w:szCs w:val="20"/>
          <w:rtl/>
        </w:rPr>
        <w:t xml:space="preserve">, עמ׳ רפה–שא, דן בטעויות ובחירויות שנטל לעצמו ר׳ ברוך אפשטיין </w:t>
      </w:r>
      <w:proofErr w:type="spellStart"/>
      <w:r>
        <w:rPr>
          <w:sz w:val="20"/>
          <w:szCs w:val="20"/>
          <w:rtl/>
        </w:rPr>
        <w:t>ב“תורה</w:t>
      </w:r>
      <w:proofErr w:type="spellEnd"/>
      <w:r>
        <w:rPr>
          <w:sz w:val="20"/>
          <w:szCs w:val="20"/>
          <w:rtl/>
        </w:rPr>
        <w:t xml:space="preserve"> תמימה” שלו, שיצא לאור לפני “מקור ברוך”. את חוסר </w:t>
      </w:r>
      <w:r>
        <w:rPr>
          <w:b/>
          <w:bCs/>
          <w:sz w:val="20"/>
          <w:szCs w:val="20"/>
          <w:rtl/>
        </w:rPr>
        <w:t>המקוריות</w:t>
      </w:r>
      <w:r>
        <w:rPr>
          <w:sz w:val="20"/>
          <w:szCs w:val="20"/>
          <w:rtl/>
        </w:rPr>
        <w:t xml:space="preserve"> של “תורה תמימה” “משבח” מנחם מ. כשר בהערת שוליים בעמ׳ רצח, וזו לשונה: “במשך השנים כתבו הרבה מחברים מאמרים, על התורה תמימה, להראות המקורות של הפירושים </w:t>
      </w:r>
      <w:proofErr w:type="spellStart"/>
      <w:r>
        <w:rPr>
          <w:sz w:val="20"/>
          <w:szCs w:val="20"/>
          <w:rtl/>
        </w:rPr>
        <w:t>והחדושים</w:t>
      </w:r>
      <w:proofErr w:type="spellEnd"/>
      <w:r>
        <w:rPr>
          <w:sz w:val="20"/>
          <w:szCs w:val="20"/>
          <w:rtl/>
        </w:rPr>
        <w:t xml:space="preserve"> שלו... לדעתי החלק הזה </w:t>
      </w:r>
      <w:proofErr w:type="spellStart"/>
      <w:r>
        <w:rPr>
          <w:sz w:val="20"/>
          <w:szCs w:val="20"/>
          <w:rtl/>
        </w:rPr>
        <w:t>שבתו״ת</w:t>
      </w:r>
      <w:proofErr w:type="spellEnd"/>
      <w:r>
        <w:rPr>
          <w:sz w:val="20"/>
          <w:szCs w:val="20"/>
          <w:rtl/>
        </w:rPr>
        <w:t xml:space="preserve"> הוא הטוב ביותר, מפני שבירר מהספרים דברים טובים, וזה הוא תשעים אחוז מהחידושים שיש להם ערך, והחידושים שלא כתובים בספרים צריכים בדיקה.” השווה גם “עיונים” של רבנו (פרק 1, הערה 73) על שמות כד, ג, המביא רעיון מקורי </w:t>
      </w:r>
      <w:proofErr w:type="spellStart"/>
      <w:r>
        <w:rPr>
          <w:sz w:val="20"/>
          <w:szCs w:val="20"/>
          <w:rtl/>
        </w:rPr>
        <w:t>מ“תורה</w:t>
      </w:r>
      <w:proofErr w:type="spellEnd"/>
      <w:r>
        <w:rPr>
          <w:sz w:val="20"/>
          <w:szCs w:val="20"/>
          <w:rtl/>
        </w:rPr>
        <w:t xml:space="preserve"> תמימה” בלי להזכיר את שם הספר – במקומו כתוב “שמעתי אומרים” – ומפריך אותו. אבל למרות הביקורת על </w:t>
      </w:r>
      <w:r>
        <w:rPr>
          <w:b/>
          <w:bCs/>
          <w:sz w:val="20"/>
          <w:szCs w:val="20"/>
          <w:rtl/>
        </w:rPr>
        <w:t>דיוקם</w:t>
      </w:r>
      <w:r>
        <w:rPr>
          <w:sz w:val="20"/>
          <w:szCs w:val="20"/>
          <w:rtl/>
        </w:rPr>
        <w:t xml:space="preserve"> ועל </w:t>
      </w:r>
      <w:r>
        <w:rPr>
          <w:b/>
          <w:bCs/>
          <w:sz w:val="20"/>
          <w:szCs w:val="20"/>
          <w:rtl/>
        </w:rPr>
        <w:t>מקוריותם</w:t>
      </w:r>
      <w:r>
        <w:rPr>
          <w:sz w:val="20"/>
          <w:szCs w:val="20"/>
          <w:rtl/>
        </w:rPr>
        <w:t xml:space="preserve"> של ספרי ר׳ ברוך אפשטיין, נראה שאין סיבה שלא לסמוך לגמרי על “מקור ברוך” בעניינים שאינם תלויים לא בדיוק ולא במקוריות, כפי שעשיתי בנספח זה בעניין הדיווח על דעת </w:t>
      </w:r>
      <w:proofErr w:type="spellStart"/>
      <w:r>
        <w:rPr>
          <w:sz w:val="20"/>
          <w:szCs w:val="20"/>
          <w:rtl/>
        </w:rPr>
        <w:t>הנצי״ב</w:t>
      </w:r>
      <w:proofErr w:type="spellEnd"/>
      <w:r>
        <w:rPr>
          <w:sz w:val="20"/>
          <w:szCs w:val="20"/>
          <w:rtl/>
        </w:rPr>
        <w:t xml:space="preserve"> על </w:t>
      </w:r>
      <w:proofErr w:type="spellStart"/>
      <w:r>
        <w:rPr>
          <w:sz w:val="20"/>
          <w:szCs w:val="20"/>
          <w:rtl/>
        </w:rPr>
        <w:t>ליליינטל</w:t>
      </w:r>
      <w:proofErr w:type="spellEnd"/>
      <w:r>
        <w:rPr>
          <w:sz w:val="20"/>
          <w:szCs w:val="20"/>
          <w:rtl/>
        </w:rPr>
        <w:t>.</w:t>
      </w:r>
    </w:p>
    <w:p w14:paraId="415EA861" w14:textId="77777777" w:rsidR="00AB3647" w:rsidRDefault="00000000">
      <w:pPr>
        <w:spacing w:after="0" w:before="0"/>
        <w:jc w:val="both"/>
      </w:pPr>
      <w:r>
        <w:rPr>
          <w:sz w:val="20"/>
          <w:szCs w:val="20"/>
          <w:rtl/>
        </w:rPr>
        <w:t>ובאשר ל</w:t>
      </w:r>
      <w:r>
        <w:rPr>
          <w:b/>
          <w:bCs/>
          <w:sz w:val="20"/>
          <w:szCs w:val="20"/>
          <w:rtl/>
        </w:rPr>
        <w:t>חירויות</w:t>
      </w:r>
      <w:r>
        <w:rPr>
          <w:sz w:val="20"/>
          <w:szCs w:val="20"/>
          <w:rtl/>
        </w:rPr>
        <w:t xml:space="preserve"> שנטל לעצמו ר׳ ברוך אפשטיין </w:t>
      </w:r>
      <w:proofErr w:type="spellStart"/>
      <w:r>
        <w:rPr>
          <w:sz w:val="20"/>
          <w:szCs w:val="20"/>
          <w:rtl/>
        </w:rPr>
        <w:t>ב“מקור</w:t>
      </w:r>
      <w:proofErr w:type="spellEnd"/>
      <w:r>
        <w:rPr>
          <w:sz w:val="20"/>
          <w:szCs w:val="20"/>
          <w:rtl/>
        </w:rPr>
        <w:t xml:space="preserve"> ברוך” שלו, ראה את הפרק העשרים ושישה שבו, שכותרתו “שגיאות מי יבין?” [להישמר מהן] (תהלים </w:t>
      </w:r>
      <w:proofErr w:type="spellStart"/>
      <w:r>
        <w:rPr>
          <w:sz w:val="20"/>
          <w:szCs w:val="20"/>
          <w:rtl/>
        </w:rPr>
        <w:t>יט</w:t>
      </w:r>
      <w:proofErr w:type="spellEnd"/>
      <w:r>
        <w:rPr>
          <w:sz w:val="20"/>
          <w:szCs w:val="20"/>
          <w:rtl/>
        </w:rPr>
        <w:t xml:space="preserve">, </w:t>
      </w:r>
      <w:proofErr w:type="spellStart"/>
      <w:r>
        <w:rPr>
          <w:sz w:val="20"/>
          <w:szCs w:val="20"/>
          <w:rtl/>
        </w:rPr>
        <w:t>יג</w:t>
      </w:r>
      <w:proofErr w:type="spellEnd"/>
      <w:r>
        <w:rPr>
          <w:sz w:val="20"/>
          <w:szCs w:val="20"/>
          <w:rtl/>
        </w:rPr>
        <w:t xml:space="preserve">), עמ׳ </w:t>
      </w:r>
      <w:proofErr w:type="spellStart"/>
      <w:r>
        <w:rPr>
          <w:sz w:val="20"/>
          <w:szCs w:val="20"/>
          <w:rtl/>
        </w:rPr>
        <w:t>תרצג</w:t>
      </w:r>
      <w:proofErr w:type="spellEnd"/>
      <w:r>
        <w:rPr>
          <w:sz w:val="20"/>
          <w:szCs w:val="20"/>
          <w:rtl/>
        </w:rPr>
        <w:t xml:space="preserve">–1424. שם הוא מונה שמונה תיקונים שהוא מציע בנוסחי ברכות ותפילות. הוא מודה שאביו, רב </w:t>
      </w:r>
      <w:proofErr w:type="spellStart"/>
      <w:r>
        <w:rPr>
          <w:sz w:val="20"/>
          <w:szCs w:val="20"/>
          <w:rtl/>
        </w:rPr>
        <w:t>נובהרדוק</w:t>
      </w:r>
      <w:proofErr w:type="spellEnd"/>
      <w:r>
        <w:rPr>
          <w:sz w:val="20"/>
          <w:szCs w:val="20"/>
          <w:rtl/>
        </w:rPr>
        <w:t xml:space="preserve">, הפוסק המובהק ומחבר הספר ההלכתי הקלאסי “ערוך השולחן”, ר׳ </w:t>
      </w:r>
      <w:proofErr w:type="spellStart"/>
      <w:r>
        <w:rPr>
          <w:sz w:val="20"/>
          <w:szCs w:val="20"/>
          <w:rtl/>
        </w:rPr>
        <w:t>יחיאל־מיכל</w:t>
      </w:r>
      <w:proofErr w:type="spellEnd"/>
      <w:r>
        <w:rPr>
          <w:sz w:val="20"/>
          <w:szCs w:val="20"/>
          <w:rtl/>
        </w:rPr>
        <w:t xml:space="preserve"> אפשטיין, נמנע מלקדם תיקון הלכה למעשה של איזה מן הנוסחים </w:t>
      </w:r>
      <w:proofErr w:type="spellStart"/>
      <w:r>
        <w:rPr>
          <w:sz w:val="20"/>
          <w:szCs w:val="20"/>
          <w:rtl/>
        </w:rPr>
        <w:t>ה“שגויים</w:t>
      </w:r>
      <w:proofErr w:type="spellEnd"/>
      <w:r>
        <w:rPr>
          <w:sz w:val="20"/>
          <w:szCs w:val="20"/>
          <w:rtl/>
        </w:rPr>
        <w:t>” כביכול – אף שהתרשם מהצעותיו המבריקות של בנו. אחת מהצעות “מקור ברוך” [מס׳ 1] מעזה לשנות את חתימת הברכה האמצעית של תפילת העמידה של שלוש הרגלים.</w:t>
      </w:r>
    </w:p>
    <w:p w14:paraId="676E641B" w14:textId="77777777" w:rsidR="00AB3647" w:rsidRDefault="00000000">
      <w:pPr>
        <w:spacing w:after="0" w:before="0"/>
        <w:jc w:val="both"/>
      </w:pPr>
      <w:r>
        <w:rPr>
          <w:sz w:val="20"/>
          <w:szCs w:val="20"/>
          <w:rtl/>
        </w:rPr>
        <w:t xml:space="preserve">אני שמח שתזה אחרת של ר׳ ברוך אפשטיין [מס׳ 5], שם, עמ׳ 1408–1410, בעניין בחירת הפסוקים שבסוף ברכת המזון, הופרכה מכול וכול על ידי ר׳ דוד כהן </w:t>
      </w:r>
      <w:proofErr w:type="spellStart"/>
      <w:r>
        <w:rPr>
          <w:sz w:val="20"/>
          <w:szCs w:val="20"/>
          <w:rtl/>
        </w:rPr>
        <w:t>ב“הגדה</w:t>
      </w:r>
      <w:proofErr w:type="spellEnd"/>
      <w:r>
        <w:rPr>
          <w:sz w:val="20"/>
          <w:szCs w:val="20"/>
          <w:rtl/>
        </w:rPr>
        <w:t xml:space="preserve"> של פסח עם פירוש שמחת </w:t>
      </w:r>
      <w:proofErr w:type="spellStart"/>
      <w:r>
        <w:rPr>
          <w:sz w:val="20"/>
          <w:szCs w:val="20"/>
          <w:rtl/>
        </w:rPr>
        <w:t>יעבץ</w:t>
      </w:r>
      <w:proofErr w:type="spellEnd"/>
      <w:r>
        <w:rPr>
          <w:sz w:val="20"/>
          <w:szCs w:val="20"/>
          <w:rtl/>
        </w:rPr>
        <w:t xml:space="preserve">” (הוצאת מסורה, ברוקלין, </w:t>
      </w:r>
      <w:proofErr w:type="spellStart"/>
      <w:r>
        <w:rPr>
          <w:sz w:val="20"/>
          <w:szCs w:val="20"/>
          <w:rtl/>
        </w:rPr>
        <w:t>תנש״א</w:t>
      </w:r>
      <w:proofErr w:type="spellEnd"/>
      <w:r>
        <w:rPr>
          <w:sz w:val="20"/>
          <w:szCs w:val="20"/>
          <w:rtl/>
        </w:rPr>
        <w:t xml:space="preserve">), עמ׳ </w:t>
      </w:r>
      <w:proofErr w:type="spellStart"/>
      <w:r>
        <w:rPr>
          <w:sz w:val="20"/>
          <w:szCs w:val="20"/>
          <w:rtl/>
        </w:rPr>
        <w:t>קמז</w:t>
      </w:r>
      <w:proofErr w:type="spellEnd"/>
      <w:r>
        <w:rPr>
          <w:sz w:val="20"/>
          <w:szCs w:val="20"/>
          <w:rtl/>
        </w:rPr>
        <w:t>. ואכן, טעותו של “מקור ברוך” בולטת כל כך, שאין זו העזה יתרה לומר שהמלומד המבריק נענש מן השמים על בגידתו במסורת כשהעלה את ההצעות האחרות, המתערבות שלא כדין בהלכה.</w:t>
      </w:r>
    </w:p>
  </w:footnote>
  <w:footnote w:id="848">
    <w:p w14:paraId="11035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תתקסא</w:t>
      </w:r>
      <w:proofErr w:type="spellEnd"/>
      <w:r>
        <w:rPr>
          <w:sz w:val="20"/>
          <w:szCs w:val="20"/>
          <w:rtl/>
        </w:rPr>
        <w:t>.</w:t>
      </w:r>
    </w:p>
  </w:footnote>
  <w:footnote w:id="849">
    <w:p w14:paraId="48EBE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1922.</w:t>
      </w:r>
    </w:p>
  </w:footnote>
  <w:footnote w:id="850">
    <w:p w14:paraId="1DBFD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51">
    <w:p w14:paraId="62A088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נספח </w:t>
      </w:r>
      <w:proofErr w:type="spellStart"/>
      <w:r>
        <w:rPr>
          <w:sz w:val="20"/>
          <w:szCs w:val="20"/>
          <w:rtl/>
        </w:rPr>
        <w:t>ל“תוספת</w:t>
      </w:r>
      <w:proofErr w:type="spellEnd"/>
      <w:r>
        <w:rPr>
          <w:sz w:val="20"/>
          <w:szCs w:val="20"/>
          <w:rtl/>
        </w:rPr>
        <w:t xml:space="preserve"> ברכה” שלו (שיצא לאור </w:t>
      </w:r>
      <w:proofErr w:type="spellStart"/>
      <w:r>
        <w:rPr>
          <w:sz w:val="20"/>
          <w:szCs w:val="20"/>
          <w:rtl/>
        </w:rPr>
        <w:t>בפינסק</w:t>
      </w:r>
      <w:proofErr w:type="spellEnd"/>
      <w:r>
        <w:rPr>
          <w:sz w:val="20"/>
          <w:szCs w:val="20"/>
          <w:rtl/>
        </w:rPr>
        <w:t>, 1937) על ספר ויקרא – עמ׳ 284.</w:t>
      </w:r>
    </w:p>
  </w:footnote>
  <w:footnote w:id="852">
    <w:p w14:paraId="43A97839"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ועידת הרבנים הרפורמים בפילדלפיה, שקיבלה החלטה ברוח זו, התכנסה בשנת תר״ל.</w:t>
      </w:r>
    </w:p>
  </w:footnote>
  <w:footnote w:id="853">
    <w:p w14:paraId="5775E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קומנטרי</w:t>
      </w:r>
      <w:proofErr w:type="spellEnd"/>
      <w:r>
        <w:rPr>
          <w:sz w:val="20"/>
          <w:szCs w:val="20"/>
          <w:rtl/>
        </w:rPr>
        <w:t>”, פברואר 1966, עמ׳ 75–78.</w:t>
      </w:r>
    </w:p>
  </w:footnote>
  <w:footnote w:id="854">
    <w:p w14:paraId="625850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16, עמ׳ 563.</w:t>
      </w:r>
    </w:p>
  </w:footnote>
  <w:footnote w:id="855">
    <w:p w14:paraId="710980CD"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במקור נוספה בסוגריים השנה העברית תרפ״ד (1924), והיא טעות: הספר נדפס בברלין בשנת 1914, כמופיע בשער הספר (שבו אין שנה עברית).</w:t>
      </w:r>
    </w:p>
  </w:footnote>
  <w:footnote w:id="856">
    <w:p w14:paraId="149F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שהודגש כמה שורות קודם לכן, </w:t>
      </w:r>
      <w:proofErr w:type="spellStart"/>
      <w:r>
        <w:rPr>
          <w:sz w:val="20"/>
          <w:szCs w:val="20"/>
          <w:rtl/>
        </w:rPr>
        <w:t>הנצי״ב</w:t>
      </w:r>
      <w:proofErr w:type="spellEnd"/>
      <w:r>
        <w:rPr>
          <w:sz w:val="20"/>
          <w:szCs w:val="20"/>
          <w:rtl/>
        </w:rPr>
        <w:t xml:space="preserve"> לא היה בטוח אם הציבור הרחב ידע את מה שהוא עצמו היה בטוח בו כל כך.</w:t>
      </w:r>
    </w:p>
  </w:footnote>
  <w:footnote w:id="857">
    <w:p w14:paraId="3AC9D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נוספה כדי לקבוע זמן משוער מוקדם ביותר לדברים שאמר </w:t>
      </w:r>
      <w:proofErr w:type="spellStart"/>
      <w:r>
        <w:rPr>
          <w:sz w:val="20"/>
          <w:szCs w:val="20"/>
          <w:rtl/>
        </w:rPr>
        <w:t>הנצי״ב</w:t>
      </w:r>
      <w:proofErr w:type="spellEnd"/>
      <w:r>
        <w:rPr>
          <w:sz w:val="20"/>
          <w:szCs w:val="20"/>
          <w:rtl/>
        </w:rPr>
        <w:t>, לפי המסופר – כפי שצוין לעיל.</w:t>
      </w:r>
    </w:p>
  </w:footnote>
  <w:footnote w:id="858">
    <w:p w14:paraId="6D1E9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כאן משחק מילים אף שבמילה השנייה שי״ן ימנית, שכן אצל אותו מחבר “</w:t>
      </w:r>
      <w:proofErr w:type="spellStart"/>
      <w:r>
        <w:rPr>
          <w:sz w:val="20"/>
          <w:szCs w:val="20"/>
          <w:rtl/>
        </w:rPr>
        <w:t>ליטוואק</w:t>
      </w:r>
      <w:proofErr w:type="spellEnd"/>
      <w:r>
        <w:rPr>
          <w:sz w:val="20"/>
          <w:szCs w:val="20"/>
          <w:rtl/>
        </w:rPr>
        <w:t>” אין היא נהגית אחרת מן השי״ן השמאלית שבמילה הראשונה. ראה, למשל, “תוספת ברכה” שלו על איכה א, יד.</w:t>
      </w:r>
    </w:p>
  </w:footnote>
  <w:footnote w:id="859">
    <w:p w14:paraId="4AB77F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מובן כלל שמישהו יחשוש שמא ישדלוהו ידידיו לחזור בו מדבר שנשבע לעשותו!</w:t>
      </w:r>
    </w:p>
  </w:footnote>
  <w:footnote w:id="860">
    <w:p w14:paraId="7CA4C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הדגשה זו וההדגשות הקודמות מראות עד כמה הטריד את המחבר (או את </w:t>
      </w:r>
      <w:proofErr w:type="spellStart"/>
      <w:r>
        <w:rPr>
          <w:sz w:val="20"/>
          <w:szCs w:val="20"/>
          <w:rtl/>
        </w:rPr>
        <w:t>הנצי״ב</w:t>
      </w:r>
      <w:proofErr w:type="spellEnd"/>
      <w:r>
        <w:rPr>
          <w:sz w:val="20"/>
          <w:szCs w:val="20"/>
          <w:rtl/>
        </w:rPr>
        <w:t xml:space="preserve">) </w:t>
      </w:r>
      <w:proofErr w:type="spellStart"/>
      <w:r>
        <w:rPr>
          <w:sz w:val="20"/>
          <w:szCs w:val="20"/>
          <w:rtl/>
        </w:rPr>
        <w:t>שליליינטל</w:t>
      </w:r>
      <w:proofErr w:type="spellEnd"/>
      <w:r>
        <w:rPr>
          <w:sz w:val="20"/>
          <w:szCs w:val="20"/>
          <w:rtl/>
        </w:rPr>
        <w:t xml:space="preserve"> לא שב לרוסיה לעולם, אף אחרי שעזב את משרתו. נראה שראה סתירה בין ניתוק היחסים הגמור של </w:t>
      </w:r>
      <w:proofErr w:type="spellStart"/>
      <w:r>
        <w:rPr>
          <w:sz w:val="20"/>
          <w:szCs w:val="20"/>
          <w:rtl/>
        </w:rPr>
        <w:t>ליליינטל</w:t>
      </w:r>
      <w:proofErr w:type="spellEnd"/>
      <w:r>
        <w:rPr>
          <w:sz w:val="20"/>
          <w:szCs w:val="20"/>
          <w:rtl/>
        </w:rPr>
        <w:t xml:space="preserve"> ובין קרבתו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“כבן...” – לפי מכתב </w:t>
      </w:r>
      <w:proofErr w:type="spellStart"/>
      <w:r>
        <w:rPr>
          <w:sz w:val="20"/>
          <w:szCs w:val="20"/>
          <w:rtl/>
        </w:rPr>
        <w:t>ליליינטל</w:t>
      </w:r>
      <w:proofErr w:type="spellEnd"/>
      <w:r>
        <w:rPr>
          <w:sz w:val="20"/>
          <w:szCs w:val="20"/>
          <w:rtl/>
        </w:rPr>
        <w:t xml:space="preserve"> לרוזנטל שהובא לעיל בפסקה </w:t>
      </w:r>
      <w:proofErr w:type="spellStart"/>
      <w:r>
        <w:rPr>
          <w:sz w:val="20"/>
          <w:szCs w:val="20"/>
          <w:rtl/>
        </w:rPr>
        <w:t>השתים־עשרה</w:t>
      </w:r>
      <w:proofErr w:type="spellEnd"/>
      <w:r>
        <w:rPr>
          <w:sz w:val="20"/>
          <w:szCs w:val="20"/>
          <w:rtl/>
        </w:rPr>
        <w:t xml:space="preserve">, מכתב </w:t>
      </w:r>
      <w:proofErr w:type="spellStart"/>
      <w:r>
        <w:rPr>
          <w:sz w:val="20"/>
          <w:szCs w:val="20"/>
          <w:rtl/>
        </w:rPr>
        <w:t>שהנצי״ב</w:t>
      </w:r>
      <w:proofErr w:type="spellEnd"/>
      <w:r>
        <w:rPr>
          <w:sz w:val="20"/>
          <w:szCs w:val="20"/>
          <w:rtl/>
        </w:rPr>
        <w:t xml:space="preserve"> האמין בכנותו! אותו מחבר אינו מעלה סיבה מספקת לכך </w:t>
      </w:r>
      <w:proofErr w:type="spellStart"/>
      <w:r>
        <w:rPr>
          <w:sz w:val="20"/>
          <w:szCs w:val="20"/>
          <w:rtl/>
        </w:rPr>
        <w:t>שליליינטל</w:t>
      </w:r>
      <w:proofErr w:type="spellEnd"/>
      <w:r>
        <w:rPr>
          <w:sz w:val="20"/>
          <w:szCs w:val="20"/>
          <w:rtl/>
        </w:rPr>
        <w:t xml:space="preserve"> לא שב, אם באמת היה קרוב כל כך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w:t>
      </w:r>
    </w:p>
  </w:footnote>
  <w:footnote w:id="861">
    <w:p w14:paraId="593C2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כאן סתירה בולטת: אם </w:t>
      </w:r>
      <w:proofErr w:type="spellStart"/>
      <w:r>
        <w:rPr>
          <w:sz w:val="20"/>
          <w:szCs w:val="20"/>
          <w:rtl/>
        </w:rPr>
        <w:t>ליליינטל</w:t>
      </w:r>
      <w:proofErr w:type="spellEnd"/>
      <w:r>
        <w:rPr>
          <w:sz w:val="20"/>
          <w:szCs w:val="20"/>
          <w:rtl/>
        </w:rPr>
        <w:t xml:space="preserve"> ברח בכוונה להודיע ליהודים ולהודיעם בגלוי שלממשלה יש מזימות רעות נגד אמונתם, מדוע לא ידע איש – מלבד </w:t>
      </w:r>
      <w:proofErr w:type="spellStart"/>
      <w:r>
        <w:rPr>
          <w:sz w:val="20"/>
          <w:szCs w:val="20"/>
          <w:rtl/>
        </w:rPr>
        <w:t>הנצי״ב</w:t>
      </w:r>
      <w:proofErr w:type="spellEnd"/>
      <w:r>
        <w:rPr>
          <w:sz w:val="20"/>
          <w:szCs w:val="20"/>
          <w:rtl/>
        </w:rPr>
        <w:t xml:space="preserve"> – את סיבת בריחתו, ומדוע היה צורך להעלות “השערות, חקירות ורעיונות רבים” כל כך רק כדי </w:t>
      </w:r>
      <w:proofErr w:type="spellStart"/>
      <w:r>
        <w:rPr>
          <w:sz w:val="20"/>
          <w:szCs w:val="20"/>
          <w:rtl/>
        </w:rPr>
        <w:t>ש“לא</w:t>
      </w:r>
      <w:proofErr w:type="spellEnd"/>
      <w:r>
        <w:rPr>
          <w:sz w:val="20"/>
          <w:szCs w:val="20"/>
          <w:rtl/>
        </w:rPr>
        <w:t xml:space="preserve"> מצאו דבר הגון כסיבה”, ואחר כך להניח את העניין “כטמון במצולות ים”?</w:t>
      </w:r>
    </w:p>
  </w:footnote>
  <w:footnote w:id="862">
    <w:p w14:paraId="743F4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ההקשר ברור </w:t>
      </w:r>
      <w:proofErr w:type="spellStart"/>
      <w:r>
        <w:rPr>
          <w:sz w:val="20"/>
          <w:szCs w:val="20"/>
          <w:rtl/>
        </w:rPr>
        <w:t>שליליינטל</w:t>
      </w:r>
      <w:proofErr w:type="spellEnd"/>
      <w:r>
        <w:rPr>
          <w:sz w:val="20"/>
          <w:szCs w:val="20"/>
          <w:rtl/>
        </w:rPr>
        <w:t xml:space="preserve"> הוא שהיה כביכול מסור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ולא להפך.</w:t>
      </w:r>
    </w:p>
  </w:footnote>
  <w:footnote w:id="863">
    <w:p w14:paraId="3A92F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יבחין הקורא בפסקה </w:t>
      </w:r>
      <w:proofErr w:type="spellStart"/>
      <w:r>
        <w:rPr>
          <w:sz w:val="20"/>
          <w:szCs w:val="20"/>
          <w:rtl/>
        </w:rPr>
        <w:t>השתים־עשרה</w:t>
      </w:r>
      <w:proofErr w:type="spellEnd"/>
      <w:r>
        <w:rPr>
          <w:sz w:val="20"/>
          <w:szCs w:val="20"/>
          <w:rtl/>
        </w:rPr>
        <w:t xml:space="preserve"> לעיל כיצד אפשר להבין את המכתב אחרת.</w:t>
      </w:r>
    </w:p>
  </w:footnote>
  <w:footnote w:id="864">
    <w:p w14:paraId="32B06E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תתקסב</w:t>
      </w:r>
      <w:proofErr w:type="spellEnd"/>
      <w:r>
        <w:rPr>
          <w:sz w:val="20"/>
          <w:szCs w:val="20"/>
          <w:rtl/>
        </w:rPr>
        <w:t>.</w:t>
      </w:r>
    </w:p>
  </w:footnote>
  <w:footnote w:id="865">
    <w:p w14:paraId="359584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פיליפסון</w:t>
      </w:r>
      <w:proofErr w:type="spellEnd"/>
      <w:r>
        <w:rPr>
          <w:sz w:val="20"/>
          <w:szCs w:val="20"/>
          <w:rtl/>
        </w:rPr>
        <w:t>, עמ׳ 344–345.</w:t>
      </w:r>
    </w:p>
  </w:footnote>
  <w:footnote w:id="866">
    <w:p w14:paraId="43FAD1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השלוש־עשרה</w:t>
      </w:r>
      <w:proofErr w:type="spellEnd"/>
      <w:r>
        <w:rPr>
          <w:sz w:val="20"/>
          <w:szCs w:val="20"/>
          <w:rtl/>
        </w:rPr>
        <w:t xml:space="preserve"> והפסקה </w:t>
      </w:r>
      <w:proofErr w:type="spellStart"/>
      <w:r>
        <w:rPr>
          <w:sz w:val="20"/>
          <w:szCs w:val="20"/>
          <w:rtl/>
        </w:rPr>
        <w:t>הארבע־עשרה</w:t>
      </w:r>
      <w:proofErr w:type="spellEnd"/>
      <w:r>
        <w:rPr>
          <w:sz w:val="20"/>
          <w:szCs w:val="20"/>
          <w:rtl/>
        </w:rPr>
        <w:t xml:space="preserve"> לעיל, בעניין מתי כתב על דעתו הנלהבת של ר׳ </w:t>
      </w:r>
      <w:proofErr w:type="spellStart"/>
      <w:r>
        <w:rPr>
          <w:sz w:val="20"/>
          <w:szCs w:val="20"/>
          <w:rtl/>
        </w:rPr>
        <w:t>איצל׳ה</w:t>
      </w:r>
      <w:proofErr w:type="spellEnd"/>
      <w:r>
        <w:rPr>
          <w:sz w:val="20"/>
          <w:szCs w:val="20"/>
          <w:rtl/>
        </w:rPr>
        <w:t xml:space="preserve"> עליו – ביום רביעי, היום הראשון של חול המועד, או ביום ראשון שלאחריו, הושענא רבה.</w:t>
      </w:r>
    </w:p>
  </w:footnote>
  <w:footnote w:id="867">
    <w:p w14:paraId="084A1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73. האזהרה הובאה לעיל, בפסקה </w:t>
      </w:r>
      <w:proofErr w:type="spellStart"/>
      <w:r>
        <w:rPr>
          <w:sz w:val="20"/>
          <w:szCs w:val="20"/>
          <w:rtl/>
        </w:rPr>
        <w:t>הארבע־עשרה</w:t>
      </w:r>
      <w:proofErr w:type="spellEnd"/>
      <w:r>
        <w:rPr>
          <w:sz w:val="20"/>
          <w:szCs w:val="20"/>
          <w:rtl/>
        </w:rPr>
        <w:t>.</w:t>
      </w:r>
    </w:p>
  </w:footnote>
  <w:footnote w:id="868">
    <w:p w14:paraId="1DF720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w:t>
      </w:r>
      <w:proofErr w:type="spellStart"/>
      <w:r>
        <w:rPr>
          <w:sz w:val="20"/>
          <w:szCs w:val="20"/>
          <w:rtl/>
        </w:rPr>
        <w:t>קכט</w:t>
      </w:r>
      <w:proofErr w:type="spellEnd"/>
      <w:r>
        <w:rPr>
          <w:sz w:val="20"/>
          <w:szCs w:val="20"/>
          <w:rtl/>
        </w:rPr>
        <w:t xml:space="preserve"> ע״ב ובכורות ח ע״א. ראה גם פרק 4, הפסקה השנייה של נספח כ, </w:t>
      </w:r>
      <w:proofErr w:type="spellStart"/>
      <w:r>
        <w:rPr>
          <w:sz w:val="20"/>
          <w:szCs w:val="20"/>
          <w:rtl/>
        </w:rPr>
        <w:t>ו“אבי</w:t>
      </w:r>
      <w:proofErr w:type="spellEnd"/>
      <w:r>
        <w:rPr>
          <w:sz w:val="20"/>
          <w:szCs w:val="20"/>
          <w:rtl/>
        </w:rPr>
        <w:t xml:space="preserve"> הישיבות”, עמ׳ 33.</w:t>
      </w:r>
    </w:p>
  </w:footnote>
  <w:footnote w:id="869">
    <w:p w14:paraId="2C9F2B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101.</w:t>
      </w:r>
    </w:p>
  </w:footnote>
  <w:footnote w:id="870">
    <w:p w14:paraId="71417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1, עמ׳ 35–36. הספר, שיצא לאור בשנת תרצ״ג אחרי שנדפס בהמשכים </w:t>
      </w:r>
      <w:proofErr w:type="spellStart"/>
      <w:r>
        <w:rPr>
          <w:sz w:val="20"/>
          <w:szCs w:val="20"/>
          <w:rtl/>
        </w:rPr>
        <w:t>ב“מורנינג</w:t>
      </w:r>
      <w:proofErr w:type="spellEnd"/>
      <w:r>
        <w:rPr>
          <w:sz w:val="20"/>
          <w:szCs w:val="20"/>
          <w:rtl/>
        </w:rPr>
        <w:t xml:space="preserve"> </w:t>
      </w:r>
      <w:proofErr w:type="spellStart"/>
      <w:r>
        <w:rPr>
          <w:sz w:val="20"/>
          <w:szCs w:val="20"/>
          <w:rtl/>
        </w:rPr>
        <w:t>ג׳ורנל</w:t>
      </w:r>
      <w:proofErr w:type="spellEnd"/>
      <w:r>
        <w:rPr>
          <w:sz w:val="20"/>
          <w:szCs w:val="20"/>
          <w:rtl/>
        </w:rPr>
        <w:t xml:space="preserve">”, נכתב בשנות </w:t>
      </w:r>
      <w:proofErr w:type="spellStart"/>
      <w:r>
        <w:rPr>
          <w:sz w:val="20"/>
          <w:szCs w:val="20"/>
          <w:rtl/>
        </w:rPr>
        <w:t>התר״פ</w:t>
      </w:r>
      <w:proofErr w:type="spellEnd"/>
      <w:r>
        <w:rPr>
          <w:sz w:val="20"/>
          <w:szCs w:val="20"/>
          <w:rtl/>
        </w:rPr>
        <w:t>.</w:t>
      </w:r>
    </w:p>
  </w:footnote>
  <w:footnote w:id="871">
    <w:p w14:paraId="76897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כה, ו.</w:t>
      </w:r>
    </w:p>
  </w:footnote>
  <w:footnote w:id="872">
    <w:p w14:paraId="119AA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ט ע״ב.</w:t>
      </w:r>
    </w:p>
  </w:footnote>
  <w:footnote w:id="873">
    <w:p w14:paraId="75471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רשום </w:t>
      </w:r>
      <w:proofErr w:type="spellStart"/>
      <w:r>
        <w:rPr>
          <w:sz w:val="20"/>
          <w:szCs w:val="20"/>
          <w:rtl/>
        </w:rPr>
        <w:t>ב“מאוצרנו</w:t>
      </w:r>
      <w:proofErr w:type="spellEnd"/>
      <w:r>
        <w:rPr>
          <w:sz w:val="20"/>
          <w:szCs w:val="20"/>
          <w:rtl/>
        </w:rPr>
        <w:t xml:space="preserve"> הישן”, קיבץ ועיבד ב. </w:t>
      </w:r>
      <w:proofErr w:type="spellStart"/>
      <w:r>
        <w:rPr>
          <w:sz w:val="20"/>
          <w:szCs w:val="20"/>
          <w:rtl/>
        </w:rPr>
        <w:t>יאושזון</w:t>
      </w:r>
      <w:proofErr w:type="spellEnd"/>
      <w:r>
        <w:rPr>
          <w:sz w:val="20"/>
          <w:szCs w:val="20"/>
          <w:rtl/>
        </w:rPr>
        <w:t xml:space="preserve"> (ספריית מעריב, 1977), סוף פרשת בשלח.</w:t>
      </w:r>
    </w:p>
  </w:footnote>
  <w:footnote w:id="874">
    <w:p w14:paraId="43ACC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w:t>
      </w:r>
    </w:p>
  </w:footnote>
  <w:footnote w:id="875">
    <w:p w14:paraId="572E6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אגדי נוסף, שבו גבר ר׳ </w:t>
      </w:r>
      <w:proofErr w:type="spellStart"/>
      <w:r>
        <w:rPr>
          <w:sz w:val="20"/>
          <w:szCs w:val="20"/>
          <w:rtl/>
        </w:rPr>
        <w:t>איצל׳ה</w:t>
      </w:r>
      <w:proofErr w:type="spellEnd"/>
      <w:r>
        <w:rPr>
          <w:sz w:val="20"/>
          <w:szCs w:val="20"/>
          <w:rtl/>
        </w:rPr>
        <w:t xml:space="preserve"> על הצאר בוויכוח אם היהודים מיותרים בעולם, רשום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רצט</w:t>
      </w:r>
      <w:proofErr w:type="spellEnd"/>
      <w:r>
        <w:rPr>
          <w:sz w:val="20"/>
          <w:szCs w:val="20"/>
          <w:rtl/>
        </w:rPr>
        <w:t xml:space="preserve">, בשם נין נכדתו של ר׳ </w:t>
      </w:r>
      <w:proofErr w:type="spellStart"/>
      <w:r>
        <w:rPr>
          <w:sz w:val="20"/>
          <w:szCs w:val="20"/>
          <w:rtl/>
        </w:rPr>
        <w:t>איצל׳ה</w:t>
      </w:r>
      <w:proofErr w:type="spellEnd"/>
      <w:r>
        <w:rPr>
          <w:sz w:val="20"/>
          <w:szCs w:val="20"/>
          <w:rtl/>
        </w:rPr>
        <w:t xml:space="preserve">,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אם אכן היה דו־שיח כזה, ודאי התקיים בין ר׳ </w:t>
      </w:r>
      <w:proofErr w:type="spellStart"/>
      <w:r>
        <w:rPr>
          <w:sz w:val="20"/>
          <w:szCs w:val="20"/>
          <w:rtl/>
        </w:rPr>
        <w:t>איצל׳ה</w:t>
      </w:r>
      <w:proofErr w:type="spellEnd"/>
      <w:r>
        <w:rPr>
          <w:sz w:val="20"/>
          <w:szCs w:val="20"/>
          <w:rtl/>
        </w:rPr>
        <w:t xml:space="preserve"> ובין אחד השרים, ולא הצאר. ראה גם את הערת שוליים </w:t>
      </w:r>
      <w:r>
        <w:rPr>
          <w:sz w:val="20"/>
          <w:szCs w:val="20"/>
          <w:rtl/>
        </w:rPr>
        <w:fldChar w:fldCharType="begin" w:dirty="true"/>
      </w:r>
      <w:r>
        <w:rPr>
          <w:sz w:val="20"/>
          <w:szCs w:val="20"/>
          <w:rtl/>
        </w:rPr>
        <w:instrText xml:space="preserve"> NOTEREF pr_f_799 \h </w:instrText>
      </w:r>
      <w:r>
        <w:rPr>
          <w:sz w:val="20"/>
          <w:szCs w:val="20"/>
          <w:rtl/>
        </w:rPr>
      </w:r>
      <w:r>
        <w:rPr>
          <w:sz w:val="20"/>
          <w:szCs w:val="20"/>
          <w:rtl/>
        </w:rPr>
        <w:fldChar w:fldCharType="separate"/>
      </w:r>
      <w:r w:rsidR="007923E9">
        <w:rPr>
          <w:sz w:val="20"/>
          <w:szCs w:val="20"/>
          <w:rtl/>
        </w:rPr>
        <w:t>430</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876">
    <w:p w14:paraId="298104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שהתעניינות זו נבעה לא מכך שיהודים רבים ישבו בארצו, אלא מזיקתו הכללית ללימודים הקלאסיים. דוגמה לכך: בשנת 1837 הוציא פקודה הפוטרת משירות בצבא הצאר כל יהודי שנעשה איכר או </w:t>
      </w:r>
      <w:r>
        <w:rPr>
          <w:b/>
          <w:bCs/>
          <w:sz w:val="20"/>
          <w:szCs w:val="20"/>
          <w:rtl/>
        </w:rPr>
        <w:t>שלמד את הלשונות הקלאסיות, לטינית ויוונית</w:t>
      </w:r>
      <w:r>
        <w:rPr>
          <w:sz w:val="20"/>
          <w:szCs w:val="20"/>
          <w:rtl/>
        </w:rPr>
        <w:t>.</w:t>
      </w:r>
    </w:p>
  </w:footnote>
  <w:footnote w:id="877">
    <w:p w14:paraId="558AC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תתקסה</w:t>
      </w:r>
      <w:proofErr w:type="spellEnd"/>
      <w:r>
        <w:rPr>
          <w:sz w:val="20"/>
          <w:szCs w:val="20"/>
          <w:rtl/>
        </w:rPr>
        <w:t>–1932.</w:t>
      </w:r>
    </w:p>
  </w:footnote>
  <w:footnote w:id="878">
    <w:p w14:paraId="49005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בבא מציעא מט ע״ב ואילך.</w:t>
      </w:r>
    </w:p>
  </w:footnote>
  <w:footnote w:id="879">
    <w:p w14:paraId="2C3790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חבקוק ג, ד.</w:t>
      </w:r>
    </w:p>
  </w:footnote>
  <w:footnote w:id="880">
    <w:p w14:paraId="6AA5E4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שמואל א׳ </w:t>
      </w:r>
      <w:proofErr w:type="spellStart"/>
      <w:r>
        <w:rPr>
          <w:sz w:val="20"/>
          <w:szCs w:val="20"/>
          <w:rtl/>
        </w:rPr>
        <w:t>יז</w:t>
      </w:r>
      <w:proofErr w:type="spellEnd"/>
      <w:r>
        <w:rPr>
          <w:sz w:val="20"/>
          <w:szCs w:val="20"/>
          <w:rtl/>
        </w:rPr>
        <w:t xml:space="preserve">, ד, </w:t>
      </w:r>
      <w:proofErr w:type="spellStart"/>
      <w:r>
        <w:rPr>
          <w:sz w:val="20"/>
          <w:szCs w:val="20"/>
          <w:rtl/>
        </w:rPr>
        <w:t>ו“דעת</w:t>
      </w:r>
      <w:proofErr w:type="spellEnd"/>
      <w:r>
        <w:rPr>
          <w:sz w:val="20"/>
          <w:szCs w:val="20"/>
          <w:rtl/>
        </w:rPr>
        <w:t xml:space="preserve"> מקרא” (מוסד הרב קוק, ירושלים, תשמ״א) שם, שהביטוי אינו ברור. מחבר הכתובת השתמש כנראה במונח זה במובן “הנציג”.</w:t>
      </w:r>
    </w:p>
  </w:footnote>
  <w:footnote w:id="881">
    <w:p w14:paraId="792B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מכך שנאמר שר׳ </w:t>
      </w:r>
      <w:proofErr w:type="spellStart"/>
      <w:r>
        <w:rPr>
          <w:sz w:val="20"/>
          <w:szCs w:val="20"/>
          <w:rtl/>
        </w:rPr>
        <w:t>איצל׳ה</w:t>
      </w:r>
      <w:proofErr w:type="spellEnd"/>
      <w:r>
        <w:rPr>
          <w:sz w:val="20"/>
          <w:szCs w:val="20"/>
          <w:rtl/>
        </w:rPr>
        <w:t xml:space="preserve"> עמד רק לפני השרים, ולא לפני הצאר עצמו, יש לנו ראיה שהסיפור שהוזכר בהערת שוליים </w:t>
      </w:r>
      <w:r>
        <w:rPr>
          <w:sz w:val="20"/>
          <w:szCs w:val="20"/>
          <w:rtl/>
        </w:rPr>
        <w:fldChar w:fldCharType="begin" w:dirty="true"/>
      </w:r>
      <w:r>
        <w:rPr>
          <w:sz w:val="20"/>
          <w:szCs w:val="20"/>
          <w:rtl/>
        </w:rPr>
        <w:instrText xml:space="preserve"> NOTEREF pr_f_793 \h </w:instrText>
      </w:r>
      <w:r>
        <w:rPr>
          <w:sz w:val="20"/>
          <w:szCs w:val="20"/>
          <w:rtl/>
        </w:rPr>
      </w:r>
      <w:r>
        <w:rPr>
          <w:sz w:val="20"/>
          <w:szCs w:val="20"/>
          <w:rtl/>
        </w:rPr>
        <w:fldChar w:fldCharType="separate"/>
      </w:r>
      <w:r w:rsidR="007923E9">
        <w:rPr>
          <w:sz w:val="20"/>
          <w:szCs w:val="20"/>
          <w:rtl/>
        </w:rPr>
        <w:t>424</w:t>
      </w:r>
      <w:r>
        <w:rPr>
          <w:sz w:val="20"/>
          <w:szCs w:val="20"/>
          <w:rtl/>
        </w:rPr>
        <w:fldChar w:fldCharType="end"/>
      </w:r>
      <w:r>
        <w:rPr>
          <w:sz w:val="20"/>
          <w:szCs w:val="20"/>
          <w:rtl/>
        </w:rPr>
        <w:t xml:space="preserve"> לעיל אגדי. ר׳ </w:t>
      </w:r>
      <w:proofErr w:type="spellStart"/>
      <w:r>
        <w:rPr>
          <w:sz w:val="20"/>
          <w:szCs w:val="20"/>
          <w:rtl/>
        </w:rPr>
        <w:t>איצל׳ה</w:t>
      </w:r>
      <w:proofErr w:type="spellEnd"/>
      <w:r>
        <w:rPr>
          <w:sz w:val="20"/>
          <w:szCs w:val="20"/>
          <w:rtl/>
        </w:rPr>
        <w:t xml:space="preserve"> מעולם לא נתקבל לריאיון אצל הצאר.</w:t>
      </w:r>
    </w:p>
  </w:footnote>
  <w:footnote w:id="882">
    <w:p w14:paraId="1F234D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השנה אינה כתובה כאן במספרה, אלא </w:t>
      </w:r>
      <w:proofErr w:type="spellStart"/>
      <w:r>
        <w:rPr>
          <w:sz w:val="20"/>
          <w:szCs w:val="20"/>
          <w:rtl/>
        </w:rPr>
        <w:t>בגימטריה</w:t>
      </w:r>
      <w:proofErr w:type="spellEnd"/>
      <w:r>
        <w:rPr>
          <w:sz w:val="20"/>
          <w:szCs w:val="20"/>
          <w:rtl/>
        </w:rPr>
        <w:t xml:space="preserve"> של ראש פסוק בשמואל ב׳ טו, </w:t>
      </w:r>
      <w:proofErr w:type="spellStart"/>
      <w:r>
        <w:rPr>
          <w:sz w:val="20"/>
          <w:szCs w:val="20"/>
          <w:rtl/>
        </w:rPr>
        <w:t>כג</w:t>
      </w:r>
      <w:proofErr w:type="spellEnd"/>
      <w:r>
        <w:rPr>
          <w:sz w:val="20"/>
          <w:szCs w:val="20"/>
          <w:rtl/>
        </w:rPr>
        <w:t xml:space="preserve">: “וכל הארץ בוכים קול גדול”. אני מודה </w:t>
      </w:r>
      <w:proofErr w:type="spellStart"/>
      <w:r>
        <w:rPr>
          <w:sz w:val="20"/>
          <w:szCs w:val="20"/>
          <w:rtl/>
        </w:rPr>
        <w:t>לר</w:t>
      </w:r>
      <w:proofErr w:type="spellEnd"/>
      <w:r>
        <w:rPr>
          <w:sz w:val="20"/>
          <w:szCs w:val="20"/>
          <w:rtl/>
        </w:rPr>
        <w:t xml:space="preserve">׳ יוסף </w:t>
      </w:r>
      <w:proofErr w:type="spellStart"/>
      <w:r>
        <w:rPr>
          <w:sz w:val="20"/>
          <w:szCs w:val="20"/>
          <w:rtl/>
        </w:rPr>
        <w:t>בוקסבוים</w:t>
      </w:r>
      <w:proofErr w:type="spellEnd"/>
      <w:r>
        <w:rPr>
          <w:sz w:val="20"/>
          <w:szCs w:val="20"/>
          <w:rtl/>
        </w:rPr>
        <w:t xml:space="preserve">, ראש “מכון ירושלים”, שהמציא לי את נוסח הכתובת. הרב </w:t>
      </w:r>
      <w:proofErr w:type="spellStart"/>
      <w:r>
        <w:rPr>
          <w:sz w:val="20"/>
          <w:szCs w:val="20"/>
          <w:rtl/>
        </w:rPr>
        <w:t>בוקסבוים</w:t>
      </w:r>
      <w:proofErr w:type="spellEnd"/>
      <w:r>
        <w:rPr>
          <w:sz w:val="20"/>
          <w:szCs w:val="20"/>
          <w:rtl/>
        </w:rPr>
        <w:t xml:space="preserve"> גילה אותה בין כתביו של רב </w:t>
      </w:r>
      <w:proofErr w:type="spellStart"/>
      <w:r>
        <w:rPr>
          <w:sz w:val="20"/>
          <w:szCs w:val="20"/>
          <w:rtl/>
        </w:rPr>
        <w:t>פינסק</w:t>
      </w:r>
      <w:proofErr w:type="spellEnd"/>
      <w:r>
        <w:rPr>
          <w:sz w:val="20"/>
          <w:szCs w:val="20"/>
          <w:rtl/>
        </w:rPr>
        <w:t xml:space="preserve">, ר׳ הירש </w:t>
      </w:r>
      <w:proofErr w:type="spellStart"/>
      <w:r>
        <w:rPr>
          <w:sz w:val="20"/>
          <w:szCs w:val="20"/>
          <w:rtl/>
        </w:rPr>
        <w:t>וולק</w:t>
      </w:r>
      <w:proofErr w:type="spellEnd"/>
      <w:r>
        <w:rPr>
          <w:sz w:val="20"/>
          <w:szCs w:val="20"/>
          <w:rtl/>
        </w:rPr>
        <w:t xml:space="preserve">, ולצדה רשימה שלפיה הועתקה מכתבי היד של חותנו, ר׳ </w:t>
      </w:r>
      <w:proofErr w:type="spellStart"/>
      <w:r>
        <w:rPr>
          <w:sz w:val="20"/>
          <w:szCs w:val="20"/>
          <w:rtl/>
        </w:rPr>
        <w:t>מרדכי־גימפל</w:t>
      </w:r>
      <w:proofErr w:type="spellEnd"/>
      <w:r>
        <w:rPr>
          <w:sz w:val="20"/>
          <w:szCs w:val="20"/>
          <w:rtl/>
        </w:rPr>
        <w:t xml:space="preserve"> יפה, רב </w:t>
      </w:r>
      <w:proofErr w:type="spellStart"/>
      <w:r>
        <w:rPr>
          <w:sz w:val="20"/>
          <w:szCs w:val="20"/>
          <w:rtl/>
        </w:rPr>
        <w:t>רוז׳ינאי</w:t>
      </w:r>
      <w:proofErr w:type="spellEnd"/>
      <w:r>
        <w:rPr>
          <w:sz w:val="20"/>
          <w:szCs w:val="20"/>
          <w:rtl/>
        </w:rPr>
        <w:t xml:space="preserve">, תלמידו של ר׳ </w:t>
      </w:r>
      <w:proofErr w:type="spellStart"/>
      <w:r>
        <w:rPr>
          <w:sz w:val="20"/>
          <w:szCs w:val="20"/>
          <w:rtl/>
        </w:rPr>
        <w:t>איצל׳ה</w:t>
      </w:r>
      <w:proofErr w:type="spellEnd"/>
      <w:r>
        <w:rPr>
          <w:sz w:val="20"/>
          <w:szCs w:val="20"/>
          <w:rtl/>
        </w:rPr>
        <w:t>.</w:t>
      </w:r>
    </w:p>
  </w:footnote>
  <w:footnote w:id="883">
    <w:p w14:paraId="286F4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101–102.</w:t>
      </w:r>
    </w:p>
  </w:footnote>
  <w:footnote w:id="884">
    <w:p w14:paraId="502014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שהה שם זמן קצר בילדותו, כשאביו היה רב בעיר זו, יותר מחצי מאה קודם לכן.</w:t>
      </w:r>
    </w:p>
  </w:footnote>
  <w:footnote w:id="885">
    <w:p w14:paraId="79CAA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הקודמת.</w:t>
      </w:r>
    </w:p>
  </w:footnote>
  <w:footnote w:id="886">
    <w:p w14:paraId="6EB31B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81, שבו מתאר בנו את “דרכו של </w:t>
      </w:r>
      <w:proofErr w:type="spellStart"/>
      <w:r>
        <w:rPr>
          <w:sz w:val="20"/>
          <w:szCs w:val="20"/>
          <w:rtl/>
        </w:rPr>
        <w:t>הנצי״ב</w:t>
      </w:r>
      <w:proofErr w:type="spellEnd"/>
      <w:r>
        <w:rPr>
          <w:sz w:val="20"/>
          <w:szCs w:val="20"/>
          <w:rtl/>
        </w:rPr>
        <w:t xml:space="preserve"> ביושר בלי שום תככים ותחבולות... שלא פעם לא הבינוה ויחסוה ל(חוסר) כשרון”.</w:t>
      </w:r>
    </w:p>
  </w:footnote>
  <w:footnote w:id="887">
    <w:p w14:paraId="68379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82.</w:t>
      </w:r>
    </w:p>
  </w:footnote>
  <w:footnote w:id="888">
    <w:p w14:paraId="36AACF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למלחמותיו בחומסים: בעל נכדתו של חותנו, ר׳ </w:t>
      </w:r>
      <w:proofErr w:type="spellStart"/>
      <w:r>
        <w:rPr>
          <w:sz w:val="20"/>
          <w:szCs w:val="20"/>
          <w:rtl/>
        </w:rPr>
        <w:t xml:space="preserve">יהושע־העשיל</w:t>
      </w:r>
      <w:proofErr w:type="spellEnd"/>
      <w:r>
        <w:rPr>
          <w:sz w:val="20"/>
          <w:szCs w:val="20"/>
          <w:rtl/>
        </w:rPr>
        <w:t xml:space="preserve"> לוין, בתחילת כהונתו של ר׳ </w:t>
      </w:r>
      <w:proofErr w:type="spellStart"/>
      <w:r>
        <w:rPr>
          <w:sz w:val="20"/>
          <w:szCs w:val="20"/>
          <w:rtl/>
        </w:rPr>
        <w:t>נפתלי־צבי־יהודה</w:t>
      </w:r>
      <w:proofErr w:type="spellEnd"/>
      <w:r>
        <w:rPr>
          <w:sz w:val="20"/>
          <w:szCs w:val="20"/>
          <w:rtl/>
        </w:rPr>
        <w:t xml:space="preserve"> ברלין, בשנת תרי״ד (ראה פרק 4, הפסקה השנייה של נספח </w:t>
      </w:r>
      <w:proofErr w:type="spellStart"/>
      <w:r>
        <w:rPr>
          <w:sz w:val="20"/>
          <w:szCs w:val="20"/>
          <w:rtl/>
        </w:rPr>
        <w:t>יג</w:t>
      </w:r>
      <w:proofErr w:type="spellEnd"/>
      <w:r>
        <w:rPr>
          <w:sz w:val="20"/>
          <w:szCs w:val="20"/>
          <w:rtl/>
        </w:rPr>
        <w:t xml:space="preserve">); ר׳ יוסף־דב </w:t>
      </w:r>
      <w:proofErr w:type="spellStart"/>
      <w:r>
        <w:rPr>
          <w:sz w:val="20"/>
          <w:szCs w:val="20"/>
          <w:rtl/>
        </w:rPr>
        <w:t>סולובייצ׳יק</w:t>
      </w:r>
      <w:proofErr w:type="spellEnd"/>
      <w:r>
        <w:rPr>
          <w:sz w:val="20"/>
          <w:szCs w:val="20"/>
          <w:rtl/>
        </w:rPr>
        <w:t xml:space="preserve">, כעבור שלוש שנים, בשנות תרי״ז–תרי״ח (ראה פרק 3, נספח יא); ור׳ </w:t>
      </w:r>
      <w:proofErr w:type="spellStart"/>
      <w:r>
        <w:rPr>
          <w:sz w:val="20"/>
          <w:szCs w:val="20"/>
          <w:rtl/>
        </w:rPr>
        <w:t>חיים־הלל</w:t>
      </w:r>
      <w:proofErr w:type="spellEnd"/>
      <w:r>
        <w:rPr>
          <w:sz w:val="20"/>
          <w:szCs w:val="20"/>
          <w:rtl/>
        </w:rPr>
        <w:t xml:space="preserve"> פריד, נכד חותנו, בסביבות שנת תרכ״ה.</w:t>
      </w:r>
    </w:p>
  </w:footnote>
  <w:footnote w:id="889">
    <w:p w14:paraId="51E92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78–81.</w:t>
      </w:r>
    </w:p>
  </w:footnote>
  <w:footnote w:id="890">
    <w:p w14:paraId="78821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127 (בעמ׳ 80).</w:t>
      </w:r>
    </w:p>
  </w:footnote>
  <w:footnote w:id="891">
    <w:p w14:paraId="322D6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1678–</w:t>
      </w:r>
      <w:proofErr w:type="spellStart"/>
      <w:r>
        <w:rPr>
          <w:sz w:val="20"/>
          <w:szCs w:val="20"/>
          <w:rtl/>
        </w:rPr>
        <w:t>תתמ</w:t>
      </w:r>
      <w:proofErr w:type="spellEnd"/>
      <w:r>
        <w:rPr>
          <w:sz w:val="20"/>
          <w:szCs w:val="20"/>
          <w:rtl/>
        </w:rPr>
        <w:t>.</w:t>
      </w:r>
    </w:p>
  </w:footnote>
  <w:footnote w:id="892">
    <w:p w14:paraId="12FD3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1680.</w:t>
      </w:r>
    </w:p>
  </w:footnote>
  <w:footnote w:id="893">
    <w:p w14:paraId="1849BE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קיח</w:t>
      </w:r>
      <w:proofErr w:type="spellEnd"/>
      <w:r>
        <w:rPr>
          <w:sz w:val="20"/>
          <w:szCs w:val="20"/>
          <w:rtl/>
        </w:rPr>
        <w:t xml:space="preserve">, </w:t>
      </w:r>
      <w:proofErr w:type="spellStart"/>
      <w:r>
        <w:rPr>
          <w:sz w:val="20"/>
          <w:szCs w:val="20"/>
          <w:rtl/>
        </w:rPr>
        <w:t>כב</w:t>
      </w:r>
      <w:proofErr w:type="spellEnd"/>
      <w:r>
        <w:rPr>
          <w:sz w:val="20"/>
          <w:szCs w:val="20"/>
          <w:rtl/>
        </w:rPr>
        <w:t>.</w:t>
      </w:r>
    </w:p>
  </w:footnote>
  <w:footnote w:id="894">
    <w:p w14:paraId="602FF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תתמב</w:t>
      </w:r>
      <w:proofErr w:type="spellEnd"/>
      <w:r>
        <w:rPr>
          <w:sz w:val="20"/>
          <w:szCs w:val="20"/>
          <w:rtl/>
        </w:rPr>
        <w:t>.</w:t>
      </w:r>
    </w:p>
  </w:footnote>
  <w:footnote w:id="895">
    <w:p w14:paraId="2C78B8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ש“כשרונותיו</w:t>
      </w:r>
      <w:proofErr w:type="spellEnd"/>
      <w:r>
        <w:rPr>
          <w:sz w:val="20"/>
          <w:szCs w:val="20"/>
          <w:rtl/>
        </w:rPr>
        <w:t xml:space="preserve"> היו בערך בינוניים, ועל כל פנים לא מצוינים” (“מקור ברוך”, עמ׳ 1678).</w:t>
      </w:r>
    </w:p>
  </w:footnote>
  <w:footnote w:id="896">
    <w:p w14:paraId="2E57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שמוש</w:t>
      </w:r>
      <w:proofErr w:type="spellEnd"/>
      <w:r>
        <w:rPr>
          <w:sz w:val="20"/>
          <w:szCs w:val="20"/>
          <w:rtl/>
        </w:rPr>
        <w:t xml:space="preserve"> חכמים – כתוב ומסודר לדפוס ע״י אשר... ברגמן” (בני ברק, תשס״א), עמ׳ פח–פט, מביא בשם ר׳ אלחנן וסרמן שפעם אחת מעד </w:t>
      </w:r>
      <w:proofErr w:type="spellStart"/>
      <w:r>
        <w:rPr>
          <w:sz w:val="20"/>
          <w:szCs w:val="20"/>
          <w:rtl/>
        </w:rPr>
        <w:t>הנצי״ב</w:t>
      </w:r>
      <w:proofErr w:type="spellEnd"/>
      <w:r>
        <w:rPr>
          <w:sz w:val="20"/>
          <w:szCs w:val="20"/>
          <w:rtl/>
        </w:rPr>
        <w:t xml:space="preserve"> ונפל כשהלך עם ספר תורה בבית המדרש </w:t>
      </w:r>
      <w:proofErr w:type="spellStart"/>
      <w:r>
        <w:rPr>
          <w:sz w:val="20"/>
          <w:szCs w:val="20"/>
          <w:rtl/>
        </w:rPr>
        <w:t>בוולוז׳ין</w:t>
      </w:r>
      <w:proofErr w:type="spellEnd"/>
      <w:r>
        <w:rPr>
          <w:sz w:val="20"/>
          <w:szCs w:val="20"/>
          <w:rtl/>
        </w:rPr>
        <w:t xml:space="preserve">, ור׳ </w:t>
      </w:r>
      <w:proofErr w:type="spellStart"/>
      <w:r>
        <w:rPr>
          <w:sz w:val="20"/>
          <w:szCs w:val="20"/>
          <w:rtl/>
        </w:rPr>
        <w:t>איצל׳ה</w:t>
      </w:r>
      <w:proofErr w:type="spellEnd"/>
      <w:r>
        <w:rPr>
          <w:sz w:val="20"/>
          <w:szCs w:val="20"/>
          <w:rtl/>
        </w:rPr>
        <w:t xml:space="preserve"> צעק שירימו קודם את ר׳ </w:t>
      </w:r>
      <w:proofErr w:type="spellStart"/>
      <w:r>
        <w:rPr>
          <w:sz w:val="20"/>
          <w:szCs w:val="20"/>
          <w:rtl/>
        </w:rPr>
        <w:t>הירש־לייב</w:t>
      </w:r>
      <w:proofErr w:type="spellEnd"/>
      <w:r>
        <w:rPr>
          <w:sz w:val="20"/>
          <w:szCs w:val="20"/>
          <w:rtl/>
        </w:rPr>
        <w:t xml:space="preserve"> (</w:t>
      </w:r>
      <w:proofErr w:type="spellStart"/>
      <w:r>
        <w:rPr>
          <w:sz w:val="20"/>
          <w:szCs w:val="20"/>
          <w:rtl/>
        </w:rPr>
        <w:t>הנצי״ב</w:t>
      </w:r>
      <w:proofErr w:type="spellEnd"/>
      <w:r>
        <w:rPr>
          <w:sz w:val="20"/>
          <w:szCs w:val="20"/>
          <w:rtl/>
        </w:rPr>
        <w:t xml:space="preserve">). ר׳ אלחנן הסביר פסק זה במאמר חז״ל שספר תורה חי חשוב מזה הכתוב על קלף (מכות </w:t>
      </w:r>
      <w:proofErr w:type="spellStart"/>
      <w:r>
        <w:rPr>
          <w:sz w:val="20"/>
          <w:szCs w:val="20"/>
          <w:rtl/>
        </w:rPr>
        <w:t>כב</w:t>
      </w:r>
      <w:proofErr w:type="spellEnd"/>
      <w:r>
        <w:rPr>
          <w:sz w:val="20"/>
          <w:szCs w:val="20"/>
          <w:rtl/>
        </w:rPr>
        <w:t xml:space="preserve"> ע״ב). אם הסברו של ר׳ אלחנן לפסקו של ר׳ </w:t>
      </w:r>
      <w:proofErr w:type="spellStart"/>
      <w:r>
        <w:rPr>
          <w:sz w:val="20"/>
          <w:szCs w:val="20"/>
          <w:rtl/>
        </w:rPr>
        <w:t>איצל׳ה</w:t>
      </w:r>
      <w:proofErr w:type="spellEnd"/>
      <w:r>
        <w:rPr>
          <w:sz w:val="20"/>
          <w:szCs w:val="20"/>
          <w:rtl/>
        </w:rPr>
        <w:t xml:space="preserve"> נכון, ודאי אירע מעשה זה בתקופה הקצרה שבה נשא </w:t>
      </w:r>
      <w:proofErr w:type="spellStart"/>
      <w:r>
        <w:rPr>
          <w:sz w:val="20"/>
          <w:szCs w:val="20"/>
          <w:rtl/>
        </w:rPr>
        <w:t>הנצי״ב</w:t>
      </w:r>
      <w:proofErr w:type="spellEnd"/>
      <w:r>
        <w:rPr>
          <w:sz w:val="20"/>
          <w:szCs w:val="20"/>
          <w:rtl/>
        </w:rPr>
        <w:t xml:space="preserve"> חן בעיני ר׳ </w:t>
      </w:r>
      <w:proofErr w:type="spellStart"/>
      <w:r>
        <w:rPr>
          <w:sz w:val="20"/>
          <w:szCs w:val="20"/>
          <w:rtl/>
        </w:rPr>
        <w:t>איצל׳ה</w:t>
      </w:r>
      <w:proofErr w:type="spellEnd"/>
      <w:r>
        <w:rPr>
          <w:sz w:val="20"/>
          <w:szCs w:val="20"/>
          <w:rtl/>
        </w:rPr>
        <w:t>.</w:t>
      </w:r>
    </w:p>
  </w:footnote>
  <w:footnote w:id="897">
    <w:p w14:paraId="68EB2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w:t>
      </w:r>
    </w:p>
  </w:footnote>
  <w:footnote w:id="898">
    <w:p w14:paraId="20BAD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w:t>
      </w:r>
    </w:p>
  </w:footnote>
  <w:footnote w:id="899">
    <w:p w14:paraId="3B0BA5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0">
    <w:p w14:paraId="48E49B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1">
    <w:p w14:paraId="053D3B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85.</w:t>
      </w:r>
    </w:p>
  </w:footnote>
  <w:footnote w:id="902">
    <w:p w14:paraId="191962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לשונו המדויקת של התזכיר הסודי לקוחה </w:t>
      </w:r>
      <w:proofErr w:type="spellStart"/>
      <w:r>
        <w:rPr>
          <w:sz w:val="20"/>
          <w:szCs w:val="20"/>
          <w:rtl/>
        </w:rPr>
        <w:t>מ“מקור</w:t>
      </w:r>
      <w:proofErr w:type="spellEnd"/>
      <w:r>
        <w:rPr>
          <w:sz w:val="20"/>
          <w:szCs w:val="20"/>
          <w:rtl/>
        </w:rPr>
        <w:t xml:space="preserve"> ברוך”, עמ׳ 1072.</w:t>
      </w:r>
    </w:p>
  </w:footnote>
  <w:footnote w:id="903">
    <w:p w14:paraId="7DF10E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86.</w:t>
      </w:r>
    </w:p>
  </w:footnote>
  <w:footnote w:id="904">
    <w:p w14:paraId="23CCA4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אינו נוהג </w:t>
      </w:r>
      <w:proofErr w:type="spellStart"/>
      <w:r>
        <w:rPr>
          <w:sz w:val="20"/>
          <w:szCs w:val="20"/>
          <w:rtl/>
        </w:rPr>
        <w:t>בליליינטל</w:t>
      </w:r>
      <w:proofErr w:type="spellEnd"/>
      <w:r>
        <w:rPr>
          <w:sz w:val="20"/>
          <w:szCs w:val="20"/>
          <w:rtl/>
        </w:rPr>
        <w:t xml:space="preserve"> שום מידה של לימוד זכות, כפי שנהג ר׳ </w:t>
      </w:r>
      <w:proofErr w:type="spellStart"/>
      <w:r>
        <w:rPr>
          <w:sz w:val="20"/>
          <w:szCs w:val="20"/>
          <w:rtl/>
        </w:rPr>
        <w:t>נפתלי־צבי־יהודה</w:t>
      </w:r>
      <w:proofErr w:type="spellEnd"/>
      <w:r>
        <w:rPr>
          <w:sz w:val="20"/>
          <w:szCs w:val="20"/>
          <w:rtl/>
        </w:rPr>
        <w:t xml:space="preserve"> ברלין.</w:t>
      </w:r>
    </w:p>
  </w:footnote>
  <w:footnote w:id="905">
    <w:p w14:paraId="7CBDFF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87–88.</w:t>
      </w:r>
    </w:p>
  </w:footnote>
  <w:footnote w:id="906">
    <w:p w14:paraId="1FFDED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מובא שם, עמ׳ 90, מתוך “</w:t>
      </w:r>
      <w:proofErr w:type="spellStart"/>
      <w:r>
        <w:rPr>
          <w:sz w:val="20"/>
          <w:szCs w:val="20"/>
          <w:rtl/>
        </w:rPr>
        <w:t>ג׳ואיש</w:t>
      </w:r>
      <w:proofErr w:type="spellEnd"/>
      <w:r>
        <w:rPr>
          <w:sz w:val="20"/>
          <w:szCs w:val="20"/>
          <w:rtl/>
        </w:rPr>
        <w:t xml:space="preserve"> טיימס” משנת 1870.</w:t>
      </w:r>
    </w:p>
  </w:footnote>
  <w:footnote w:id="907">
    <w:p w14:paraId="6B909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על גורלה של גזרה זו. בכרך א, עמ׳ 231, נאמר שחומרתה הוקלה בידי הצאר אלכסנדר השני בהשתדלות רבנים ועסקנים יהודים: ליהודים שישבו באזור האסור לפני שנת תרי״ח הותר רשמית להישאר בו. בכרך ג, עמ׳ 203, נאמר שביצוע הגזרה נדחה כמה פעמים, עד שבוטלה לגמרי בידי הצאר ניקולאי השני בשנת תרנ״ה.</w:t>
      </w:r>
    </w:p>
  </w:footnote>
  <w:footnote w:id="908">
    <w:p w14:paraId="25B55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בסטניסלבסקי, עמ׳ 89–90 (מתוך </w:t>
      </w:r>
      <w:proofErr w:type="spellStart"/>
      <w:r>
        <w:rPr>
          <w:sz w:val="20"/>
          <w:szCs w:val="20"/>
          <w:rtl/>
        </w:rPr>
        <w:t>פיליפסון</w:t>
      </w:r>
      <w:proofErr w:type="spellEnd"/>
      <w:r>
        <w:rPr>
          <w:sz w:val="20"/>
          <w:szCs w:val="20"/>
          <w:rtl/>
        </w:rPr>
        <w:t>, עמ׳ 155).</w:t>
      </w:r>
    </w:p>
  </w:footnote>
  <w:footnote w:id="909">
    <w:p w14:paraId="38E599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w:t>
      </w:r>
    </w:p>
  </w:footnote>
  <w:footnote w:id="910">
    <w:p w14:paraId="5B50C3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92, </w:t>
      </w:r>
      <w:proofErr w:type="spellStart"/>
      <w:r>
        <w:rPr>
          <w:sz w:val="20"/>
          <w:szCs w:val="20"/>
          <w:rtl/>
        </w:rPr>
        <w:t>ופיליפסון</w:t>
      </w:r>
      <w:proofErr w:type="spellEnd"/>
      <w:r>
        <w:rPr>
          <w:sz w:val="20"/>
          <w:szCs w:val="20"/>
          <w:rtl/>
        </w:rPr>
        <w:t>, עמ׳ 145.</w:t>
      </w:r>
    </w:p>
  </w:footnote>
  <w:footnote w:id="911">
    <w:p w14:paraId="447130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סטניסלבסקי, שם, מתוך מכתבים אישיים, עמ׳ 23–24.</w:t>
      </w:r>
    </w:p>
  </w:footnote>
  <w:footnote w:id="912">
    <w:p w14:paraId="45644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913">
    <w:p w14:paraId="326ED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בהערה 154.</w:t>
      </w:r>
    </w:p>
  </w:footnote>
  <w:footnote w:id="914">
    <w:p w14:paraId="60C9B2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90–91.</w:t>
      </w:r>
    </w:p>
  </w:footnote>
  <w:footnote w:id="915">
    <w:p w14:paraId="34D24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93.</w:t>
      </w:r>
    </w:p>
  </w:footnote>
  <w:footnote w:id="916">
    <w:p w14:paraId="0267BF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165 מוסר אותו מחבר שראה את רישום משכורתו של </w:t>
      </w:r>
      <w:proofErr w:type="spellStart"/>
      <w:r>
        <w:rPr>
          <w:sz w:val="20"/>
          <w:szCs w:val="20"/>
          <w:rtl/>
        </w:rPr>
        <w:t>ליליינטל</w:t>
      </w:r>
      <w:proofErr w:type="spellEnd"/>
      <w:r>
        <w:rPr>
          <w:sz w:val="20"/>
          <w:szCs w:val="20"/>
          <w:rtl/>
        </w:rPr>
        <w:t xml:space="preserve"> בעמ׳ 106 של "KEY" – ראשי התיבות הרוסיים של “בתי הספר היהודיים הממשלתיים: תיאור התיקים של משרד ההשכלה לשעבר (פטרבורג [כך במקור] 1920)”.</w:t>
      </w:r>
    </w:p>
  </w:footnote>
  <w:footnote w:id="917">
    <w:p w14:paraId="61352D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עליו ראה עוד פרק 2.1.</w:t>
      </w:r>
    </w:p>
  </w:footnote>
  <w:footnote w:id="918">
    <w:p w14:paraId="5010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חיבורו הנ״ל, פרק 1, נספח ב – עמ׳ 435.</w:t>
      </w:r>
    </w:p>
  </w:footnote>
  <w:footnote w:id="919">
    <w:p w14:paraId="170D13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95.</w:t>
      </w:r>
    </w:p>
  </w:footnote>
  <w:footnote w:id="920">
    <w:p w14:paraId="6BBEE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המשפט האחרון ברור שסטניסלבסקי סבור </w:t>
      </w:r>
      <w:proofErr w:type="spellStart"/>
      <w:r>
        <w:rPr>
          <w:sz w:val="20"/>
          <w:szCs w:val="20"/>
          <w:rtl/>
        </w:rPr>
        <w:t>שליליינטל</w:t>
      </w:r>
      <w:proofErr w:type="spellEnd"/>
      <w:r>
        <w:rPr>
          <w:sz w:val="20"/>
          <w:szCs w:val="20"/>
          <w:rtl/>
        </w:rPr>
        <w:t>, נוסף על שאר תכונותיו הלא נעימות, היה גם רודף כבוד.</w:t>
      </w:r>
    </w:p>
  </w:footnote>
  <w:footnote w:id="921">
    <w:p w14:paraId="14BDD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הנזכר בתחילת הפסקה הרביעית של נספח זה.</w:t>
      </w:r>
    </w:p>
  </w:footnote>
  <w:footnote w:id="922">
    <w:p w14:paraId="5200A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הרשימות האלה רשם ר׳ אשר </w:t>
      </w:r>
      <w:proofErr w:type="spellStart"/>
      <w:r>
        <w:rPr>
          <w:sz w:val="20"/>
          <w:szCs w:val="20"/>
          <w:rtl/>
        </w:rPr>
        <w:t>קצמן</w:t>
      </w:r>
      <w:proofErr w:type="spellEnd"/>
      <w:r>
        <w:rPr>
          <w:sz w:val="20"/>
          <w:szCs w:val="20"/>
          <w:rtl/>
        </w:rPr>
        <w:t xml:space="preserve"> במשך חורפים אחדים ששהה עם אבי בפלורידה: השווה פרק 1, הערה 71.</w:t>
      </w:r>
    </w:p>
  </w:footnote>
  <w:footnote w:id="923">
    <w:p w14:paraId="7E4B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יום רביעי, 9 במרץ 1966.</w:t>
      </w:r>
    </w:p>
  </w:footnote>
  <w:footnote w:id="924">
    <w:p w14:paraId="2DA32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w:t>
      </w:r>
    </w:p>
  </w:footnote>
  <w:footnote w:id="925">
    <w:p w14:paraId="67A217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 ט.</w:t>
      </w:r>
    </w:p>
  </w:footnote>
  <w:footnote w:id="926">
    <w:p w14:paraId="507954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1.</w:t>
      </w:r>
    </w:p>
  </w:footnote>
  <w:footnote w:id="927">
    <w:p w14:paraId="59A95B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אברהם מאפו (תקס״ח–תרכ״ז). השווה פרק 3, הפסקה השנייה בהערה 57.</w:t>
      </w:r>
    </w:p>
  </w:footnote>
  <w:footnote w:id="928">
    <w:p w14:paraId="51367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להלן, בתחילת הפסקה העשרים ושש, שלמרבה הצער לא נמחקה </w:t>
      </w:r>
      <w:r>
        <w:rPr>
          <w:b/>
          <w:bCs/>
          <w:sz w:val="20"/>
          <w:szCs w:val="20"/>
          <w:rtl/>
        </w:rPr>
        <w:t>השפעתם</w:t>
      </w:r>
      <w:r>
        <w:rPr>
          <w:sz w:val="20"/>
          <w:szCs w:val="20"/>
          <w:rtl/>
        </w:rPr>
        <w:t xml:space="preserve"> של מעשי </w:t>
      </w:r>
      <w:proofErr w:type="spellStart"/>
      <w:r>
        <w:rPr>
          <w:sz w:val="20"/>
          <w:szCs w:val="20"/>
          <w:rtl/>
        </w:rPr>
        <w:t>ליליינטל</w:t>
      </w:r>
      <w:proofErr w:type="spellEnd"/>
      <w:r>
        <w:rPr>
          <w:sz w:val="20"/>
          <w:szCs w:val="20"/>
          <w:rtl/>
        </w:rPr>
        <w:t xml:space="preserve"> – כפי שעולה מלשונו (המודגשת) של אבי.</w:t>
      </w:r>
    </w:p>
  </w:footnote>
  <w:footnote w:id="929">
    <w:p w14:paraId="32A4FA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930">
    <w:p w14:paraId="7E1884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84, וכרך ב, עמ׳ 132.</w:t>
      </w:r>
    </w:p>
  </w:footnote>
  <w:footnote w:id="931">
    <w:p w14:paraId="0DA4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במקור המובא ראשון.</w:t>
      </w:r>
    </w:p>
  </w:footnote>
  <w:footnote w:id="932">
    <w:p w14:paraId="6A6BD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סטניסלבסקי, עמ׳ 93, אומנם מזכיר שהוטחו </w:t>
      </w:r>
      <w:proofErr w:type="spellStart"/>
      <w:r>
        <w:rPr>
          <w:sz w:val="20"/>
          <w:szCs w:val="20"/>
          <w:rtl/>
        </w:rPr>
        <w:t>בליליינטל</w:t>
      </w:r>
      <w:proofErr w:type="spellEnd"/>
      <w:r>
        <w:rPr>
          <w:sz w:val="20"/>
          <w:szCs w:val="20"/>
          <w:rtl/>
        </w:rPr>
        <w:t xml:space="preserve"> האשמות על פעילות בלתי חוקית: “מייסד בית הספר הראשון המבוסס על ההשכלה בווילנה, הירש </w:t>
      </w:r>
      <w:proofErr w:type="spellStart"/>
      <w:r>
        <w:rPr>
          <w:sz w:val="20"/>
          <w:szCs w:val="20"/>
          <w:rtl/>
        </w:rPr>
        <w:t>קליאצ׳קו</w:t>
      </w:r>
      <w:proofErr w:type="spellEnd"/>
      <w:r>
        <w:rPr>
          <w:sz w:val="20"/>
          <w:szCs w:val="20"/>
          <w:rtl/>
        </w:rPr>
        <w:t xml:space="preserve">, הצטרף להלשנה על </w:t>
      </w:r>
      <w:proofErr w:type="spellStart"/>
      <w:r>
        <w:rPr>
          <w:sz w:val="20"/>
          <w:szCs w:val="20"/>
          <w:rtl/>
        </w:rPr>
        <w:t>ליליינטל</w:t>
      </w:r>
      <w:proofErr w:type="spellEnd"/>
      <w:r>
        <w:rPr>
          <w:sz w:val="20"/>
          <w:szCs w:val="20"/>
          <w:rtl/>
        </w:rPr>
        <w:t xml:space="preserve"> ועל ניסן רוזנטל, שהוגשה לממשלה באפריל 1842 והאשימה אותם בפעילות בלתי חוקית”. אבל אין שום קשר בין האשמה זו ובין דברי אבי. ראשית, אין שם שום זכר להדפסת ספרים בשנת 1842. שנית, מה שרמז אליו </w:t>
      </w:r>
      <w:proofErr w:type="spellStart"/>
      <w:r>
        <w:rPr>
          <w:sz w:val="20"/>
          <w:szCs w:val="20"/>
          <w:rtl/>
        </w:rPr>
        <w:t>קליאצ׳קו</w:t>
      </w:r>
      <w:proofErr w:type="spellEnd"/>
      <w:r>
        <w:rPr>
          <w:sz w:val="20"/>
          <w:szCs w:val="20"/>
          <w:rtl/>
        </w:rPr>
        <w:t xml:space="preserve"> אינו יכול להיות קשור ליציאתו של </w:t>
      </w:r>
      <w:proofErr w:type="spellStart"/>
      <w:r>
        <w:rPr>
          <w:sz w:val="20"/>
          <w:szCs w:val="20"/>
          <w:rtl/>
        </w:rPr>
        <w:t>ליליינטל</w:t>
      </w:r>
      <w:proofErr w:type="spellEnd"/>
      <w:r>
        <w:rPr>
          <w:sz w:val="20"/>
          <w:szCs w:val="20"/>
          <w:rtl/>
        </w:rPr>
        <w:t xml:space="preserve"> מרוסיה יותר משלוש שנים אחר כך. שלישית, סטניסלבסקי עצמו, עמ׳ 85, המונה עשר השערות שהועלו לעזיבתו (כאמור לעיל בפסקה העשרים), אינו כולל האשמה זו ביניהן.</w:t>
      </w:r>
    </w:p>
    <w:p w14:paraId="4681C946" w14:textId="77777777" w:rsidR="00AB3647" w:rsidRDefault="00000000">
      <w:pPr>
        <w:spacing w:after="0" w:before="0"/>
        <w:jc w:val="both"/>
      </w:pPr>
      <w:r>
        <w:rPr>
          <w:sz w:val="20"/>
          <w:szCs w:val="20"/>
          <w:rtl/>
        </w:rPr>
        <w:t xml:space="preserve">פניתי אל סטניסלבסקי ושאלתי אותו מה הייתה מהות ההלשנה של </w:t>
      </w:r>
      <w:proofErr w:type="spellStart"/>
      <w:r>
        <w:rPr>
          <w:sz w:val="20"/>
          <w:szCs w:val="20"/>
          <w:rtl/>
        </w:rPr>
        <w:t>קליאצ׳קו</w:t>
      </w:r>
      <w:proofErr w:type="spellEnd"/>
      <w:r>
        <w:rPr>
          <w:sz w:val="20"/>
          <w:szCs w:val="20"/>
          <w:rtl/>
        </w:rPr>
        <w:t>, אבל הוא לא זכר. מקורו, "KEY, עמ׳ 105–106", נמצא ברוסיה ולא היה בהישג ידו באותה עת.</w:t>
      </w:r>
    </w:p>
  </w:footnote>
  <w:footnote w:id="933">
    <w:p w14:paraId="7C135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הגאון וכו׳ מרדכי </w:t>
      </w:r>
      <w:proofErr w:type="spellStart"/>
      <w:r>
        <w:rPr>
          <w:sz w:val="20"/>
          <w:szCs w:val="20"/>
          <w:rtl/>
        </w:rPr>
        <w:t>עליאסבערג</w:t>
      </w:r>
      <w:proofErr w:type="spellEnd"/>
      <w:r>
        <w:rPr>
          <w:sz w:val="20"/>
          <w:szCs w:val="20"/>
          <w:rtl/>
        </w:rPr>
        <w:t xml:space="preserve"> (</w:t>
      </w:r>
      <w:proofErr w:type="spellStart"/>
      <w:r>
        <w:rPr>
          <w:sz w:val="20"/>
          <w:szCs w:val="20"/>
          <w:rtl/>
        </w:rPr>
        <w:t>ווארשא</w:t>
      </w:r>
      <w:proofErr w:type="spellEnd"/>
      <w:r>
        <w:rPr>
          <w:sz w:val="20"/>
          <w:szCs w:val="20"/>
          <w:rtl/>
        </w:rPr>
        <w:t xml:space="preserve">, תרנ״ז) – עמ׳ </w:t>
      </w:r>
      <w:proofErr w:type="spellStart"/>
      <w:r>
        <w:rPr>
          <w:sz w:val="20"/>
          <w:szCs w:val="20"/>
          <w:rtl/>
        </w:rPr>
        <w:t>viii</w:t>
      </w:r>
      <w:proofErr w:type="spellEnd"/>
      <w:r>
        <w:rPr>
          <w:sz w:val="20"/>
          <w:szCs w:val="20"/>
          <w:rtl/>
        </w:rPr>
        <w:t>.</w:t>
      </w:r>
    </w:p>
  </w:footnote>
  <w:footnote w:id="934">
    <w:p w14:paraId="0D885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החמש־עשרה</w:t>
      </w:r>
      <w:proofErr w:type="spellEnd"/>
      <w:r>
        <w:rPr>
          <w:sz w:val="20"/>
          <w:szCs w:val="20"/>
          <w:rtl/>
        </w:rPr>
        <w:t xml:space="preserve"> לעיל.</w:t>
      </w:r>
    </w:p>
  </w:footnote>
  <w:footnote w:id="935">
    <w:p w14:paraId="4294D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ששניהם היו בני גיל אחד וחברותא </w:t>
      </w:r>
      <w:proofErr w:type="spellStart"/>
      <w:r>
        <w:rPr>
          <w:sz w:val="20"/>
          <w:szCs w:val="20"/>
          <w:rtl/>
        </w:rPr>
        <w:t>בוולוז׳ין</w:t>
      </w:r>
      <w:proofErr w:type="spellEnd"/>
      <w:r>
        <w:rPr>
          <w:sz w:val="20"/>
          <w:szCs w:val="20"/>
          <w:rtl/>
        </w:rPr>
        <w:t xml:space="preserve">, חתנים צעירים בני </w:t>
      </w:r>
      <w:proofErr w:type="spellStart"/>
      <w:r>
        <w:rPr>
          <w:sz w:val="20"/>
          <w:szCs w:val="20"/>
          <w:rtl/>
        </w:rPr>
        <w:t>ארבע־עשרה</w:t>
      </w:r>
      <w:proofErr w:type="spellEnd"/>
      <w:r>
        <w:rPr>
          <w:sz w:val="20"/>
          <w:szCs w:val="20"/>
          <w:rtl/>
        </w:rPr>
        <w:t xml:space="preserve">, בשנת תקצ״א – לפי “שביל הזהב”, עמ׳ </w:t>
      </w:r>
      <w:proofErr w:type="spellStart"/>
      <w:r>
        <w:rPr>
          <w:sz w:val="20"/>
          <w:szCs w:val="20"/>
          <w:rtl/>
        </w:rPr>
        <w:t>vii</w:t>
      </w:r>
      <w:proofErr w:type="spellEnd"/>
      <w:r>
        <w:rPr>
          <w:sz w:val="20"/>
          <w:szCs w:val="20"/>
          <w:rtl/>
        </w:rPr>
        <w:t xml:space="preserve">. אבל כעבור חצי מאה נפרדו דרכיהם, כשנחלקו בחריפות בשאלת שמירת השמיטה הראשונה שעמד לפניה הישוב היהודי המתחדש בארץ ישראל, בשנת תרמ״ט. השווה “הראשון לשושלת </w:t>
      </w:r>
      <w:proofErr w:type="spellStart"/>
      <w:r>
        <w:rPr>
          <w:sz w:val="20"/>
          <w:szCs w:val="20"/>
          <w:rtl/>
        </w:rPr>
        <w:t>בריסק</w:t>
      </w:r>
      <w:proofErr w:type="spellEnd"/>
      <w:r>
        <w:rPr>
          <w:sz w:val="20"/>
          <w:szCs w:val="20"/>
          <w:rtl/>
        </w:rPr>
        <w:t xml:space="preserve">”, עמ׳ 399–400, </w:t>
      </w:r>
      <w:proofErr w:type="spellStart"/>
      <w:r>
        <w:rPr>
          <w:sz w:val="20"/>
          <w:szCs w:val="20"/>
          <w:rtl/>
        </w:rPr>
        <w:t>ו“פון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עמ׳ 135–136.</w:t>
      </w:r>
    </w:p>
  </w:footnote>
  <w:footnote w:id="936">
    <w:p w14:paraId="62F40C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טז</w:t>
      </w:r>
      <w:proofErr w:type="spellEnd"/>
      <w:r>
        <w:rPr>
          <w:sz w:val="20"/>
          <w:szCs w:val="20"/>
          <w:rtl/>
        </w:rPr>
        <w:t xml:space="preserve">, </w:t>
      </w:r>
      <w:proofErr w:type="spellStart"/>
      <w:r>
        <w:rPr>
          <w:sz w:val="20"/>
          <w:szCs w:val="20"/>
          <w:rtl/>
        </w:rPr>
        <w:t>יח</w:t>
      </w:r>
      <w:proofErr w:type="spellEnd"/>
      <w:r>
        <w:rPr>
          <w:sz w:val="20"/>
          <w:szCs w:val="20"/>
          <w:rtl/>
        </w:rPr>
        <w:t xml:space="preserve">, ושם </w:t>
      </w:r>
      <w:proofErr w:type="spellStart"/>
      <w:r>
        <w:rPr>
          <w:sz w:val="20"/>
          <w:szCs w:val="20"/>
          <w:rtl/>
        </w:rPr>
        <w:t>יח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937">
    <w:p w14:paraId="478FE3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לעיל.</w:t>
      </w:r>
    </w:p>
  </w:footnote>
  <w:footnote w:id="938">
    <w:p w14:paraId="7627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196–197.</w:t>
      </w:r>
    </w:p>
  </w:footnote>
  <w:footnote w:id="939">
    <w:p w14:paraId="5CBF9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940">
    <w:p w14:paraId="3D272D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הפירוש על התנ״ך מאת חניכי אסכולת מנדלסון.</w:t>
      </w:r>
    </w:p>
  </w:footnote>
  <w:footnote w:id="941">
    <w:p w14:paraId="23162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אות נו.</w:t>
      </w:r>
    </w:p>
  </w:footnote>
  <w:footnote w:id="942">
    <w:p w14:paraId="237531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348.</w:t>
      </w:r>
    </w:p>
  </w:footnote>
  <w:footnote w:id="943">
    <w:p w14:paraId="62044C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שצוין לעיל מתוך סטניסלבסקי, עמ׳ 73.</w:t>
      </w:r>
    </w:p>
  </w:footnote>
  <w:footnote w:id="944">
    <w:p w14:paraId="59EC52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אליעזר </w:t>
      </w:r>
      <w:proofErr w:type="spellStart"/>
      <w:r>
        <w:rPr>
          <w:sz w:val="20"/>
          <w:szCs w:val="20"/>
          <w:rtl/>
        </w:rPr>
        <w:t>ליאוני</w:t>
      </w:r>
      <w:proofErr w:type="spellEnd"/>
      <w:r>
        <w:rPr>
          <w:sz w:val="20"/>
          <w:szCs w:val="20"/>
          <w:rtl/>
        </w:rPr>
        <w:t xml:space="preserve">, הוצאת </w:t>
      </w:r>
      <w:proofErr w:type="spellStart"/>
      <w:r>
        <w:rPr>
          <w:sz w:val="20"/>
          <w:szCs w:val="20"/>
          <w:rtl/>
        </w:rPr>
        <w:t>האירגונים</w:t>
      </w:r>
      <w:proofErr w:type="spellEnd"/>
      <w:r>
        <w:rPr>
          <w:sz w:val="20"/>
          <w:szCs w:val="20"/>
          <w:rtl/>
        </w:rPr>
        <w:t xml:space="preserve"> של בני </w:t>
      </w:r>
      <w:proofErr w:type="spellStart"/>
      <w:r>
        <w:rPr>
          <w:sz w:val="20"/>
          <w:szCs w:val="20"/>
          <w:rtl/>
        </w:rPr>
        <w:t>וולוזין</w:t>
      </w:r>
      <w:proofErr w:type="spellEnd"/>
      <w:r>
        <w:rPr>
          <w:sz w:val="20"/>
          <w:szCs w:val="20"/>
          <w:rtl/>
        </w:rPr>
        <w:t xml:space="preserve"> במדינת ישראל וארה״ב, תל אביב, 1970.</w:t>
      </w:r>
    </w:p>
  </w:footnote>
  <w:footnote w:id="945">
    <w:p w14:paraId="5A2DF8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129.</w:t>
      </w:r>
    </w:p>
  </w:footnote>
  <w:footnote w:id="946">
    <w:p w14:paraId="30A5B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סוף הערה 59 בפרק זה.</w:t>
      </w:r>
    </w:p>
  </w:footnote>
  <w:footnote w:id="947">
    <w:p w14:paraId="6008C7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95.</w:t>
      </w:r>
    </w:p>
  </w:footnote>
  <w:footnote w:id="948">
    <w:p w14:paraId="4BEA4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47–48 ו־121.</w:t>
      </w:r>
    </w:p>
  </w:footnote>
  <w:footnote w:id="949">
    <w:p w14:paraId="71186F93"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הגבלת מספר התלמידים היהודים בבתי הספר התיכוניים ובאוניברסיטאות ברוסיה הונהגה רק בשנת תרמ״ז.</w:t>
      </w:r>
    </w:p>
  </w:footnote>
  <w:footnote w:id="950">
    <w:p w14:paraId="769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126.</w:t>
      </w:r>
    </w:p>
  </w:footnote>
  <w:footnote w:id="951">
    <w:p w14:paraId="517D4F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התקיימו רבע מאה, כאמור בפרק 5, הפסקה השנייה של נספח ב.</w:t>
      </w:r>
    </w:p>
  </w:footnote>
  <w:footnote w:id="952">
    <w:p w14:paraId="608AF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193–194, מתוך “תולדות ישיבת היהודים </w:t>
      </w:r>
      <w:proofErr w:type="spellStart"/>
      <w:r>
        <w:rPr>
          <w:sz w:val="20"/>
          <w:szCs w:val="20"/>
          <w:rtl/>
        </w:rPr>
        <w:t>בקורלנד</w:t>
      </w:r>
      <w:proofErr w:type="spellEnd"/>
      <w:r>
        <w:rPr>
          <w:sz w:val="20"/>
          <w:szCs w:val="20"/>
          <w:rtl/>
        </w:rPr>
        <w:t>” (</w:t>
      </w:r>
      <w:proofErr w:type="spellStart"/>
      <w:r>
        <w:rPr>
          <w:sz w:val="20"/>
          <w:szCs w:val="20"/>
          <w:rtl/>
        </w:rPr>
        <w:t>פיעטרקוב</w:t>
      </w:r>
      <w:proofErr w:type="spellEnd"/>
      <w:r>
        <w:rPr>
          <w:sz w:val="20"/>
          <w:szCs w:val="20"/>
          <w:rtl/>
        </w:rPr>
        <w:t xml:space="preserve">, תרס״ח) מאת הרב יונה </w:t>
      </w:r>
      <w:proofErr w:type="spellStart"/>
      <w:r>
        <w:rPr>
          <w:sz w:val="20"/>
          <w:szCs w:val="20"/>
          <w:rtl/>
        </w:rPr>
        <w:t>אווצינסקי</w:t>
      </w:r>
      <w:proofErr w:type="spellEnd"/>
      <w:r>
        <w:rPr>
          <w:sz w:val="20"/>
          <w:szCs w:val="20"/>
          <w:rtl/>
        </w:rPr>
        <w:t>.</w:t>
      </w:r>
    </w:p>
  </w:footnote>
  <w:footnote w:id="953">
    <w:p w14:paraId="4DB98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954">
    <w:p w14:paraId="610DC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 לעיל – עמ׳ 163–164.</w:t>
      </w:r>
    </w:p>
  </w:footnote>
  <w:footnote w:id="955">
    <w:p w14:paraId="68024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בפרק 5, הפסקה התשיעית של נספח ו, כיצד יותר משישים שנה אחר כך טעה יהודי מצוין בהבנת יחסו של גדול תורה אחר לעושר.</w:t>
      </w:r>
    </w:p>
  </w:footnote>
  <w:footnote w:id="956">
    <w:p w14:paraId="3B737D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הפסקה השנייה של נספח ב: ר׳ ישראל נתן לאנשים שונים טעמים מתחמקים שונים לדחיית ההצעה לכהן בבית המדרש לרבנים, אבל לשר עצמו נמנע מלתת שום טעם, מפני שכל מה שהיה אומר עלול היה להפוך למסירה.</w:t>
      </w:r>
    </w:p>
  </w:footnote>
  <w:footnote w:id="957">
    <w:p w14:paraId="5893D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המתחילה בעמ׳ </w:t>
      </w:r>
      <w:r>
        <w:rPr>
          <w:sz w:val="20"/>
          <w:szCs w:val="20"/>
          <w:rtl/>
        </w:rPr>
        <w:fldChar w:fldCharType="begin" w:dirty="true"/>
      </w:r>
      <w:r>
        <w:rPr>
          <w:sz w:val="20"/>
          <w:szCs w:val="20"/>
          <w:rtl/>
        </w:rPr>
        <w:instrText xml:space="preserve"> PAGEREF fx_ref_560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שבית המדרש לרבנים נפתח בתחילת תר״ח.</w:t>
      </w:r>
    </w:p>
  </w:footnote>
  <w:footnote w:id="958">
    <w:p w14:paraId="3BD78F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148.</w:t>
      </w:r>
    </w:p>
  </w:footnote>
  <w:footnote w:id="959">
    <w:p w14:paraId="579BB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מוולוז׳ין</w:t>
      </w:r>
      <w:proofErr w:type="spellEnd"/>
      <w:r>
        <w:rPr>
          <w:sz w:val="20"/>
          <w:szCs w:val="20"/>
          <w:rtl/>
        </w:rPr>
        <w:t xml:space="preserve"> כבר נקרא “הרב” בכל הפלך, וצאצאיו נודעו בשם “בית הרב”. ראה פרק 1, סוף הפסקה הראשונה של נספח ב.</w:t>
      </w:r>
    </w:p>
  </w:footnote>
  <w:footnote w:id="960">
    <w:p w14:paraId="0ADC3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בפרק 1, הערה 66.</w:t>
      </w:r>
    </w:p>
  </w:footnote>
  <w:footnote w:id="961">
    <w:p w14:paraId="3DCEF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962">
    <w:p w14:paraId="46E08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בדצמבר 1987.</w:t>
      </w:r>
    </w:p>
  </w:footnote>
  <w:footnote w:id="963">
    <w:p w14:paraId="2E4EB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“תולדות תנאים ואמוראים” מאת אהרן </w:t>
      </w:r>
      <w:proofErr w:type="spellStart"/>
      <w:r>
        <w:rPr>
          <w:sz w:val="20"/>
          <w:szCs w:val="20"/>
          <w:rtl/>
        </w:rPr>
        <w:t>היימאן</w:t>
      </w:r>
      <w:proofErr w:type="spellEnd"/>
      <w:r>
        <w:rPr>
          <w:sz w:val="20"/>
          <w:szCs w:val="20"/>
          <w:rtl/>
        </w:rPr>
        <w:t xml:space="preserve"> (הוצאת “קריה נאמנה”, ירושלים, תשכ״ד), עמ׳ 243 ואילך. והשווה גם “סדר הדורות” מאת יחיאל </w:t>
      </w:r>
      <w:proofErr w:type="spellStart"/>
      <w:r>
        <w:rPr>
          <w:sz w:val="20"/>
          <w:szCs w:val="20"/>
          <w:rtl/>
        </w:rPr>
        <w:t>היילפרין</w:t>
      </w:r>
      <w:proofErr w:type="spellEnd"/>
      <w:r>
        <w:rPr>
          <w:sz w:val="20"/>
          <w:szCs w:val="20"/>
          <w:rtl/>
        </w:rPr>
        <w:t xml:space="preserve"> (</w:t>
      </w:r>
      <w:proofErr w:type="spellStart"/>
      <w:r>
        <w:rPr>
          <w:sz w:val="20"/>
          <w:szCs w:val="20"/>
          <w:rtl/>
        </w:rPr>
        <w:t>ווארשא</w:t>
      </w:r>
      <w:proofErr w:type="spellEnd"/>
      <w:r>
        <w:rPr>
          <w:sz w:val="20"/>
          <w:szCs w:val="20"/>
          <w:rtl/>
        </w:rPr>
        <w:t>, תרכ״ב), עמ׳ 166.</w:t>
      </w:r>
    </w:p>
  </w:footnote>
  <w:footnote w:id="964">
    <w:p w14:paraId="1E1A7B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סנהדרין ק״ב ע״ב ורש״י שם.</w:t>
      </w:r>
    </w:p>
  </w:footnote>
  <w:footnote w:id="965">
    <w:p w14:paraId="78F05D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1, הערה 1. אחד משומעיו של הרב </w:t>
      </w:r>
      <w:proofErr w:type="spellStart"/>
      <w:r>
        <w:rPr>
          <w:sz w:val="20"/>
          <w:szCs w:val="20"/>
          <w:rtl/>
        </w:rPr>
        <w:t>פוברסקי</w:t>
      </w:r>
      <w:proofErr w:type="spellEnd"/>
      <w:r>
        <w:rPr>
          <w:sz w:val="20"/>
          <w:szCs w:val="20"/>
          <w:rtl/>
        </w:rPr>
        <w:t xml:space="preserve"> סיפר זאת.</w:t>
      </w:r>
    </w:p>
  </w:footnote>
  <w:footnote w:id="966">
    <w:p w14:paraId="384D0E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הערה 45 בפרק זה.</w:t>
      </w:r>
    </w:p>
  </w:footnote>
  <w:footnote w:id="967">
    <w:p w14:paraId="7F2F0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968">
    <w:p w14:paraId="4B5B0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הפתיחה, הערה 4.</w:t>
      </w:r>
    </w:p>
  </w:footnote>
  <w:footnote w:id="969">
    <w:p w14:paraId="7E88A1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970">
    <w:p w14:paraId="5AAAC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מא</w:t>
      </w:r>
      <w:proofErr w:type="spellEnd"/>
      <w:r>
        <w:rPr>
          <w:sz w:val="20"/>
          <w:szCs w:val="20"/>
          <w:rtl/>
        </w:rPr>
        <w:t>, ט.</w:t>
      </w:r>
    </w:p>
  </w:footnote>
  <w:footnote w:id="971">
    <w:p w14:paraId="64046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שלמה־אהרן</w:t>
      </w:r>
      <w:proofErr w:type="spellEnd"/>
      <w:r>
        <w:rPr>
          <w:sz w:val="20"/>
          <w:szCs w:val="20"/>
          <w:rtl/>
        </w:rPr>
        <w:t xml:space="preserve"> וינר סיפר לי באותו יום שאבי הפיק תועלת מן הניסיון השלילי הזה, שנים רבות קודם לכן, בשיחה שנשא לפני תלמידיו במתיבתא תורה ודעת בשמחת בית השואבה. כדי להדגיש את חשיבות החזרה על חומר הלימוד אמר: “את חטאי אני מזכיר היום: בנעוריי קראתי ספרות אסורה פעם אחת, ואחר כך פעם שנייה – ורק אז נפל הכול למקומו.”</w:t>
      </w:r>
    </w:p>
  </w:footnote>
  <w:footnote w:id="972">
    <w:p w14:paraId="190D99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והשווה גם סוף הפסקה השישית בפרק 2.3, שגם יריבו המשכיל של ר׳ אהרן קוטלר היה מבני משפחתו.</w:t>
      </w:r>
    </w:p>
  </w:footnote>
  <w:footnote w:id="973">
    <w:p w14:paraId="39D7E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w:t>
      </w:r>
      <w:proofErr w:type="spellStart"/>
      <w:r>
        <w:rPr>
          <w:sz w:val="20"/>
          <w:szCs w:val="20"/>
          <w:rtl/>
        </w:rPr>
        <w:t>בעיה״ת</w:t>
      </w:r>
      <w:proofErr w:type="spellEnd"/>
      <w:r>
        <w:rPr>
          <w:sz w:val="20"/>
          <w:szCs w:val="20"/>
          <w:rtl/>
        </w:rPr>
        <w:t xml:space="preserve"> (עיר התורה) בני ברק, </w:t>
      </w:r>
      <w:proofErr w:type="spellStart"/>
      <w:r>
        <w:rPr>
          <w:sz w:val="20"/>
          <w:szCs w:val="20"/>
          <w:rtl/>
        </w:rPr>
        <w:t>התשנ״ח</w:t>
      </w:r>
      <w:proofErr w:type="spellEnd"/>
      <w:r>
        <w:rPr>
          <w:sz w:val="20"/>
          <w:szCs w:val="20"/>
          <w:rtl/>
        </w:rPr>
        <w:t xml:space="preserve"> – עמ׳ 415.</w:t>
      </w:r>
    </w:p>
  </w:footnote>
  <w:footnote w:id="974">
    <w:p w14:paraId="2A0FD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בנספח ב.</w:t>
      </w:r>
    </w:p>
  </w:footnote>
  <w:footnote w:id="975">
    <w:p w14:paraId="071C21ED" w14:textId="77777777" w:rsidR="00AB3647" w:rsidRDefault="00000000">
      <w:pPr>
        <w:spacing w:after="0" w:before="0"/>
        <w:jc w:val="both"/>
      </w:pPr>
      <w:r>
        <w:rPr>
          <w:rStyle w:val="a5"/>
          <w:vertAlign w:val="superscript"/>
          <w:rtl/>
        </w:rPr>
        <w:t>*</w:t>
      </w:r>
      <w:r>
        <w:rPr>
          <w:sz w:val="20"/>
          <w:szCs w:val="20"/>
        </w:rPr>
        <w:t xml:space="preserve"> </w:t>
      </w:r>
      <w:r>
        <w:rPr>
          <w:color w:val="000000"/>
          <w:sz w:val="20"/>
          <w:szCs w:val="20"/>
          <w:rtl/>
        </w:rPr>
      </w:r>
      <w:r>
        <w:rPr>
          <w:color w:val="000000"/>
          <w:sz w:val="20"/>
          <w:szCs w:val="20"/>
          <w:rtl/>
        </w:rPr>
        <w:t xml:space="preserve">הערת המתרגם: </w:t>
      </w:r>
      <w:proofErr w:type="spellStart"/>
      <w:r>
        <w:rPr>
          <w:color w:val="000000"/>
          <w:sz w:val="20"/>
          <w:szCs w:val="20"/>
          <w:rtl/>
        </w:rPr>
        <w:t>אד״ם</w:t>
      </w:r>
      <w:proofErr w:type="spellEnd"/>
      <w:r>
        <w:rPr>
          <w:color w:val="000000"/>
          <w:sz w:val="20"/>
          <w:szCs w:val="20"/>
          <w:rtl/>
        </w:rPr>
        <w:t xml:space="preserve"> הכהן </w:t>
      </w:r>
      <w:proofErr w:type="spellStart"/>
      <w:r>
        <w:rPr>
          <w:color w:val="000000"/>
          <w:sz w:val="20"/>
          <w:szCs w:val="20"/>
          <w:rtl/>
        </w:rPr>
        <w:t>לבנזון</w:t>
      </w:r>
      <w:proofErr w:type="spellEnd"/>
      <w:r>
        <w:rPr>
          <w:color w:val="000000"/>
          <w:sz w:val="20"/>
          <w:szCs w:val="20"/>
          <w:rtl/>
        </w:rPr>
        <w:t xml:space="preserve"> שימש מורה בבית המדרש לרבנים בווילנה וממונה על לימודי היהדות בו. לפי תיאור המעשה כאן, המפגש עם </w:t>
      </w:r>
      <w:proofErr w:type="spellStart"/>
      <w:r>
        <w:rPr>
          <w:color w:val="000000"/>
          <w:sz w:val="20"/>
          <w:szCs w:val="20"/>
          <w:rtl/>
        </w:rPr>
        <w:t>החפץ־חיים</w:t>
      </w:r>
      <w:proofErr w:type="spellEnd"/>
      <w:r>
        <w:rPr>
          <w:color w:val="000000"/>
          <w:sz w:val="20"/>
          <w:szCs w:val="20"/>
          <w:rtl/>
        </w:rPr>
        <w:t xml:space="preserve"> אירע בנעוריו; אם כך, חלפו מאז עד ימי </w:t>
      </w:r>
      <w:proofErr w:type="spellStart"/>
      <w:r>
        <w:rPr>
          <w:color w:val="000000"/>
          <w:sz w:val="20"/>
          <w:szCs w:val="20"/>
          <w:rtl/>
        </w:rPr>
        <w:t>רבינסקי</w:t>
      </w:r>
      <w:proofErr w:type="spellEnd"/>
      <w:r>
        <w:rPr>
          <w:color w:val="000000"/>
          <w:sz w:val="20"/>
          <w:szCs w:val="20"/>
          <w:rtl/>
        </w:rPr>
        <w:t xml:space="preserve"> </w:t>
      </w:r>
      <w:proofErr w:type="spellStart"/>
      <w:r>
        <w:rPr>
          <w:color w:val="000000"/>
          <w:sz w:val="20"/>
          <w:szCs w:val="20"/>
          <w:rtl/>
        </w:rPr>
        <w:t>בראדין</w:t>
      </w:r>
      <w:proofErr w:type="spellEnd"/>
      <w:r>
        <w:rPr>
          <w:color w:val="000000"/>
          <w:sz w:val="20"/>
          <w:szCs w:val="20"/>
          <w:rtl/>
        </w:rPr>
        <w:t xml:space="preserve"> כשבעים שנה, ולא כחמישים.</w:t>
      </w:r>
    </w:p>
  </w:footnote>
  <w:footnote w:id="976">
    <w:p w14:paraId="3C89A2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והשווה גם החפץ חיים (ישר) (הנ״ל, עמ׳ </w:t>
      </w:r>
      <w:r>
        <w:rPr>
          <w:rStyle w:val="a5"/>
          <w:sz w:val="20"/>
          <w:szCs w:val="20"/>
          <w:vertAlign w:val="baseline"/>
          <w:rtl/>
        </w:rPr>
        <w:fldChar w:fldCharType="begin" w:dirty="true"/>
      </w:r>
      <w:r>
        <w:rPr>
          <w:rStyle w:val="a5"/>
          <w:sz w:val="20"/>
          <w:szCs w:val="20"/>
          <w:vertAlign w:val="baseline"/>
          <w:rtl/>
        </w:rPr>
        <w:instrText xml:space="preserve"> PAGEREF pr_f_54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pr_f_54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9</w:t>
      </w:r>
      <w:r>
        <w:rPr>
          <w:rStyle w:val="a5"/>
          <w:sz w:val="20"/>
          <w:szCs w:val="20"/>
          <w:vertAlign w:val="baseline"/>
          <w:rtl/>
        </w:rPr>
        <w:fldChar w:fldCharType="end"/>
      </w:r>
      <w:r>
        <w:rPr>
          <w:sz w:val="20"/>
          <w:szCs w:val="20"/>
          <w:rtl/>
        </w:rPr>
        <w:t xml:space="preserve">), עמ׳ 46 ואילך, </w:t>
      </w:r>
      <w:proofErr w:type="spellStart"/>
      <w:r>
        <w:rPr>
          <w:sz w:val="20"/>
          <w:szCs w:val="20"/>
          <w:rtl/>
        </w:rPr>
        <w:t>ו“שמושה</w:t>
      </w:r>
      <w:proofErr w:type="spellEnd"/>
      <w:r>
        <w:rPr>
          <w:sz w:val="20"/>
          <w:szCs w:val="20"/>
          <w:rtl/>
        </w:rPr>
        <w:t xml:space="preserve"> של תורה” (הערה 10 לעיל), עמ׳ </w:t>
      </w:r>
      <w:proofErr w:type="spellStart"/>
      <w:r>
        <w:rPr>
          <w:sz w:val="20"/>
          <w:szCs w:val="20"/>
          <w:rtl/>
        </w:rPr>
        <w:t>קלב</w:t>
      </w:r>
      <w:proofErr w:type="spellEnd"/>
      <w:r>
        <w:rPr>
          <w:sz w:val="20"/>
          <w:szCs w:val="20"/>
          <w:rtl/>
        </w:rPr>
        <w:t>–</w:t>
      </w:r>
      <w:proofErr w:type="spellStart"/>
      <w:r>
        <w:rPr>
          <w:sz w:val="20"/>
          <w:szCs w:val="20"/>
          <w:rtl/>
        </w:rPr>
        <w:t>קלג</w:t>
      </w:r>
      <w:proofErr w:type="spellEnd"/>
      <w:r>
        <w:rPr>
          <w:sz w:val="20"/>
          <w:szCs w:val="20"/>
          <w:rtl/>
        </w:rPr>
        <w:t>.</w:t>
      </w:r>
    </w:p>
  </w:footnote>
  <w:footnote w:id="977">
    <w:p w14:paraId="1EC1E0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מסרה נכדה, </w:t>
      </w:r>
      <w:proofErr w:type="spellStart"/>
      <w:r>
        <w:rPr>
          <w:sz w:val="20"/>
          <w:szCs w:val="20"/>
          <w:rtl/>
        </w:rPr>
        <w:t>עטיל</w:t>
      </w:r>
      <w:proofErr w:type="spellEnd"/>
      <w:r>
        <w:rPr>
          <w:sz w:val="20"/>
          <w:szCs w:val="20"/>
          <w:rtl/>
        </w:rPr>
        <w:t xml:space="preserve"> </w:t>
      </w:r>
      <w:proofErr w:type="spellStart"/>
      <w:r>
        <w:rPr>
          <w:sz w:val="20"/>
          <w:szCs w:val="20"/>
          <w:rtl/>
        </w:rPr>
        <w:t>סולובייצ׳יק</w:t>
      </w:r>
      <w:proofErr w:type="spellEnd"/>
      <w:r>
        <w:rPr>
          <w:sz w:val="20"/>
          <w:szCs w:val="20"/>
          <w:rtl/>
        </w:rPr>
        <w:t>, 9 באוגוסט 1987.</w:t>
      </w:r>
    </w:p>
  </w:footnote>
  <w:footnote w:id="978">
    <w:p w14:paraId="0EC92F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אחד התלמידים, ר׳ דב גינזברג מתל אביב, ריאיון, 24 באפריל 1987.</w:t>
      </w:r>
    </w:p>
  </w:footnote>
  <w:footnote w:id="979">
    <w:p w14:paraId="571DA7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662.</w:t>
      </w:r>
    </w:p>
  </w:footnote>
  <w:footnote w:id="980">
    <w:p w14:paraId="27AF23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“קובץ לזכרו (של) רבי יהושע </w:t>
      </w:r>
      <w:proofErr w:type="spellStart"/>
      <w:r>
        <w:rPr>
          <w:sz w:val="20"/>
          <w:szCs w:val="20"/>
          <w:rtl/>
        </w:rPr>
        <w:t>מהוראדנא</w:t>
      </w:r>
      <w:proofErr w:type="spellEnd"/>
      <w:r>
        <w:rPr>
          <w:sz w:val="20"/>
          <w:szCs w:val="20"/>
          <w:rtl/>
        </w:rPr>
        <w:t xml:space="preserve"> זצ״ל” (להלן: “קובץ </w:t>
      </w:r>
      <w:proofErr w:type="spellStart"/>
      <w:r>
        <w:rPr>
          <w:sz w:val="20"/>
          <w:szCs w:val="20"/>
          <w:rtl/>
        </w:rPr>
        <w:t>לרי״ה</w:t>
      </w:r>
      <w:proofErr w:type="spellEnd"/>
      <w:r>
        <w:rPr>
          <w:sz w:val="20"/>
          <w:szCs w:val="20"/>
          <w:rtl/>
        </w:rPr>
        <w:t>”), שהוציאו לאור “בניו וחתניו”, ירושלים, תש״ט.</w:t>
      </w:r>
    </w:p>
  </w:footnote>
  <w:footnote w:id="981">
    <w:p w14:paraId="04F69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באוקטובר 1991.</w:t>
      </w:r>
    </w:p>
  </w:footnote>
  <w:footnote w:id="982">
    <w:p w14:paraId="038B3C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והשווה גם “שמושה של תורה” (הערה 10 לעיל), עמ׳ שכה–שכו, שם מסופר שר׳ משה </w:t>
      </w:r>
      <w:proofErr w:type="spellStart"/>
      <w:r>
        <w:rPr>
          <w:sz w:val="20"/>
          <w:szCs w:val="20"/>
          <w:rtl/>
        </w:rPr>
        <w:t>פיינשטיין</w:t>
      </w:r>
      <w:proofErr w:type="spellEnd"/>
      <w:r>
        <w:rPr>
          <w:sz w:val="20"/>
          <w:szCs w:val="20"/>
          <w:rtl/>
        </w:rPr>
        <w:t xml:space="preserve"> שוחרר מן הכלא יחד עם כל אנשי הקהילה ששימש בה, </w:t>
      </w:r>
      <w:proofErr w:type="spellStart"/>
      <w:r>
        <w:rPr>
          <w:sz w:val="20"/>
          <w:szCs w:val="20"/>
          <w:rtl/>
        </w:rPr>
        <w:t>לובאן</w:t>
      </w:r>
      <w:proofErr w:type="spellEnd"/>
      <w:r>
        <w:rPr>
          <w:sz w:val="20"/>
          <w:szCs w:val="20"/>
          <w:rtl/>
        </w:rPr>
        <w:t xml:space="preserve">, משום שחותנו, ר׳ </w:t>
      </w:r>
      <w:proofErr w:type="spellStart"/>
      <w:r>
        <w:rPr>
          <w:sz w:val="20"/>
          <w:szCs w:val="20"/>
          <w:rtl/>
        </w:rPr>
        <w:t>יעקב־משה</w:t>
      </w:r>
      <w:proofErr w:type="spellEnd"/>
      <w:r>
        <w:rPr>
          <w:sz w:val="20"/>
          <w:szCs w:val="20"/>
          <w:rtl/>
        </w:rPr>
        <w:t xml:space="preserve"> </w:t>
      </w:r>
      <w:proofErr w:type="spellStart"/>
      <w:r>
        <w:rPr>
          <w:sz w:val="20"/>
          <w:szCs w:val="20"/>
          <w:rtl/>
        </w:rPr>
        <w:t>קסטנוביץ</w:t>
      </w:r>
      <w:proofErr w:type="spellEnd"/>
      <w:r>
        <w:rPr>
          <w:sz w:val="20"/>
          <w:szCs w:val="20"/>
          <w:rtl/>
        </w:rPr>
        <w:t xml:space="preserve">׳, עשה פעם חסד יוצא דופן עם אחיו של הקומיסר הקומוניסטי שהיה ממונה על </w:t>
      </w:r>
      <w:proofErr w:type="spellStart"/>
      <w:r>
        <w:rPr>
          <w:sz w:val="20"/>
          <w:szCs w:val="20"/>
          <w:rtl/>
        </w:rPr>
        <w:t>ה“חקירה</w:t>
      </w:r>
      <w:proofErr w:type="spellEnd"/>
      <w:r>
        <w:rPr>
          <w:sz w:val="20"/>
          <w:szCs w:val="20"/>
          <w:rtl/>
        </w:rPr>
        <w:t>” נגדם.</w:t>
      </w:r>
    </w:p>
  </w:footnote>
  <w:footnote w:id="983">
    <w:p w14:paraId="0FABCF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משני ראיונות מ־13 במרץ 1988: עם ר׳ ישראל ברגר (תחילת נספח ב לעיל) ועם ר׳ יצחק </w:t>
      </w:r>
      <w:proofErr w:type="spellStart"/>
      <w:r>
        <w:rPr>
          <w:sz w:val="20"/>
          <w:szCs w:val="20"/>
          <w:rtl/>
        </w:rPr>
        <w:t>קרשטיין</w:t>
      </w:r>
      <w:proofErr w:type="spellEnd"/>
      <w:r>
        <w:rPr>
          <w:sz w:val="20"/>
          <w:szCs w:val="20"/>
          <w:rtl/>
        </w:rPr>
        <w:t xml:space="preserve">, נכדו של ר׳ </w:t>
      </w:r>
      <w:proofErr w:type="spellStart"/>
      <w:r>
        <w:rPr>
          <w:sz w:val="20"/>
          <w:szCs w:val="20"/>
          <w:rtl/>
        </w:rPr>
        <w:t>יהושע׳לה</w:t>
      </w:r>
      <w:proofErr w:type="spellEnd"/>
      <w:r>
        <w:rPr>
          <w:sz w:val="20"/>
          <w:szCs w:val="20"/>
          <w:rtl/>
        </w:rPr>
        <w:t xml:space="preserve">. ר׳ יצחק שמע את אבי מספר את הסיפור המרגש הזה לחתן ולאורחיו בסעודת החתונה של בנו. אני סבור שאבי שמע אותו באחד מביקוריו בארץ ישראל, אצל חברו לישיבת </w:t>
      </w:r>
      <w:proofErr w:type="spellStart"/>
      <w:r>
        <w:rPr>
          <w:sz w:val="20"/>
          <w:szCs w:val="20"/>
          <w:rtl/>
        </w:rPr>
        <w:t>סלבודקה</w:t>
      </w:r>
      <w:proofErr w:type="spellEnd"/>
      <w:r>
        <w:rPr>
          <w:sz w:val="20"/>
          <w:szCs w:val="20"/>
          <w:rtl/>
        </w:rPr>
        <w:t xml:space="preserve"> (השווה סוף פרק זה ופרק 3.2), ר׳ אשר </w:t>
      </w:r>
      <w:proofErr w:type="spellStart"/>
      <w:r>
        <w:rPr>
          <w:sz w:val="20"/>
          <w:szCs w:val="20"/>
          <w:rtl/>
        </w:rPr>
        <w:t>קרשטיין</w:t>
      </w:r>
      <w:proofErr w:type="spellEnd"/>
      <w:r>
        <w:rPr>
          <w:sz w:val="20"/>
          <w:szCs w:val="20"/>
          <w:rtl/>
        </w:rPr>
        <w:t xml:space="preserve"> – חתנו של הרב </w:t>
      </w:r>
      <w:proofErr w:type="spellStart"/>
      <w:r>
        <w:rPr>
          <w:sz w:val="20"/>
          <w:szCs w:val="20"/>
          <w:rtl/>
        </w:rPr>
        <w:t>צימבליסט</w:t>
      </w:r>
      <w:proofErr w:type="spellEnd"/>
      <w:r>
        <w:rPr>
          <w:sz w:val="20"/>
          <w:szCs w:val="20"/>
          <w:rtl/>
        </w:rPr>
        <w:t xml:space="preserve"> ואביו של המרואיין. הרב </w:t>
      </w:r>
      <w:proofErr w:type="spellStart"/>
      <w:r>
        <w:rPr>
          <w:sz w:val="20"/>
          <w:szCs w:val="20"/>
          <w:rtl/>
        </w:rPr>
        <w:t>קרשטיין</w:t>
      </w:r>
      <w:proofErr w:type="spellEnd"/>
      <w:r>
        <w:rPr>
          <w:sz w:val="20"/>
          <w:szCs w:val="20"/>
          <w:rtl/>
        </w:rPr>
        <w:t xml:space="preserve"> ברח ממינסק לארץ ישראל בשנת תרצ״ו, שלוש שנים אחרי חותנו, וכיהן כרב העיר עפולה. הוא נפטר בשנת תשל״ה, ועד אז כבר ביקר אבי בארץ ישראל פעמיים.</w:t>
      </w:r>
    </w:p>
  </w:footnote>
  <w:footnote w:id="984">
    <w:p w14:paraId="4D402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חי ראי, </w:t>
      </w:r>
      <w:proofErr w:type="spellStart"/>
      <w:r>
        <w:rPr>
          <w:sz w:val="20"/>
          <w:szCs w:val="20"/>
          <w:rtl/>
        </w:rPr>
        <w:t>כפר־הרואה</w:t>
      </w:r>
      <w:proofErr w:type="spellEnd"/>
      <w:r>
        <w:rPr>
          <w:sz w:val="20"/>
          <w:szCs w:val="20"/>
          <w:rtl/>
        </w:rPr>
        <w:t>, תשנ״ב – עמ׳ 18.</w:t>
      </w:r>
    </w:p>
  </w:footnote>
  <w:footnote w:id="985">
    <w:p w14:paraId="30B19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w:t>
      </w:r>
    </w:p>
  </w:footnote>
  <w:footnote w:id="986">
    <w:p w14:paraId="286D93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987">
    <w:p w14:paraId="0EC02A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988">
    <w:p w14:paraId="7D194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בסעיף 1 לעיל.</w:t>
      </w:r>
    </w:p>
  </w:footnote>
  <w:footnote w:id="989">
    <w:p w14:paraId="4D9B9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בסעיף הקודם, והערה 30 לעיל.</w:t>
      </w:r>
    </w:p>
  </w:footnote>
  <w:footnote w:id="990">
    <w:p w14:paraId="64E294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ישעיה יד, ח.</w:t>
      </w:r>
    </w:p>
  </w:footnote>
  <w:footnote w:id="991">
    <w:p w14:paraId="63710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כ״ח ע״ב.</w:t>
      </w:r>
    </w:p>
  </w:footnote>
  <w:footnote w:id="992">
    <w:p w14:paraId="01E92C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“אורייתא”, ירושלים, תשמ״ג – עמ׳ </w:t>
      </w:r>
      <w:proofErr w:type="spellStart"/>
      <w:r>
        <w:rPr>
          <w:sz w:val="20"/>
          <w:szCs w:val="20"/>
          <w:rtl/>
        </w:rPr>
        <w:t>תכא</w:t>
      </w:r>
      <w:proofErr w:type="spellEnd"/>
      <w:r>
        <w:rPr>
          <w:sz w:val="20"/>
          <w:szCs w:val="20"/>
          <w:rtl/>
        </w:rPr>
        <w:t>.</w:t>
      </w:r>
    </w:p>
  </w:footnote>
  <w:footnote w:id="993">
    <w:p w14:paraId="694D4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“אוסף חידושי תורה ממרן </w:t>
      </w:r>
      <w:proofErr w:type="spellStart"/>
      <w:r>
        <w:rPr>
          <w:sz w:val="20"/>
          <w:szCs w:val="20"/>
          <w:rtl/>
        </w:rPr>
        <w:t>הגר״א</w:t>
      </w:r>
      <w:proofErr w:type="spellEnd"/>
      <w:r>
        <w:rPr>
          <w:sz w:val="20"/>
          <w:szCs w:val="20"/>
          <w:rtl/>
        </w:rPr>
        <w:t xml:space="preserve"> קוטלר” בא גילוי זה בסימן קריאה, כפי שהובא כאן.</w:t>
      </w:r>
    </w:p>
  </w:footnote>
  <w:footnote w:id="994">
    <w:p w14:paraId="54F1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ב“אוסף</w:t>
      </w:r>
      <w:proofErr w:type="spellEnd"/>
      <w:r>
        <w:rPr>
          <w:sz w:val="20"/>
          <w:szCs w:val="20"/>
          <w:rtl/>
        </w:rPr>
        <w:t xml:space="preserve"> חידושי תורה ממרן </w:t>
      </w:r>
      <w:proofErr w:type="spellStart"/>
      <w:r>
        <w:rPr>
          <w:sz w:val="20"/>
          <w:szCs w:val="20"/>
          <w:rtl/>
        </w:rPr>
        <w:t>הגר״א</w:t>
      </w:r>
      <w:proofErr w:type="spellEnd"/>
      <w:r>
        <w:rPr>
          <w:sz w:val="20"/>
          <w:szCs w:val="20"/>
          <w:rtl/>
        </w:rPr>
        <w:t xml:space="preserve"> קוטלר”, עמ׳ </w:t>
      </w:r>
      <w:proofErr w:type="spellStart"/>
      <w:r>
        <w:rPr>
          <w:sz w:val="20"/>
          <w:szCs w:val="20"/>
          <w:rtl/>
        </w:rPr>
        <w:t>תלג</w:t>
      </w:r>
      <w:proofErr w:type="spellEnd"/>
      <w:r>
        <w:rPr>
          <w:sz w:val="20"/>
          <w:szCs w:val="20"/>
          <w:rtl/>
        </w:rPr>
        <w:t>, הערה 1.</w:t>
      </w:r>
    </w:p>
  </w:footnote>
  <w:footnote w:id="995">
    <w:p w14:paraId="4996F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סוף הערה 28.</w:t>
      </w:r>
    </w:p>
  </w:footnote>
  <w:footnote w:id="996">
    <w:p w14:paraId="3F6DFE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ראש פרק 3.</w:t>
      </w:r>
    </w:p>
  </w:footnote>
  <w:footnote w:id="997">
    <w:p w14:paraId="79D0E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קבלתו לכנסת בית יצחק כשהיה רק בן </w:t>
      </w:r>
      <w:proofErr w:type="spellStart"/>
      <w:r>
        <w:rPr>
          <w:sz w:val="20"/>
          <w:szCs w:val="20"/>
          <w:rtl/>
        </w:rPr>
        <w:t>שתים־עשרה</w:t>
      </w:r>
      <w:proofErr w:type="spellEnd"/>
      <w:r>
        <w:rPr>
          <w:sz w:val="20"/>
          <w:szCs w:val="20"/>
          <w:rtl/>
        </w:rPr>
        <w:t xml:space="preserve"> ראויה, כמובן, לסימן קריאה לא פחות מהצטרפותו לכנסת ישראל בגיל זה. השווה פרק 3, הערה 138, והערת שוליים </w:t>
      </w:r>
      <w:r>
        <w:rPr>
          <w:sz w:val="20"/>
          <w:szCs w:val="20"/>
          <w:rtl/>
        </w:rPr>
        <w:fldChar w:fldCharType="begin" w:dirty="true"/>
      </w:r>
      <w:r>
        <w:rPr>
          <w:sz w:val="20"/>
          <w:szCs w:val="20"/>
          <w:rtl/>
        </w:rPr>
        <w:instrText xml:space="preserve"> NOTEREF pr_f_1311 \h </w:instrText>
      </w:r>
      <w:r>
        <w:rPr>
          <w:sz w:val="20"/>
          <w:szCs w:val="20"/>
          <w:rtl/>
        </w:rPr>
      </w:r>
      <w:r>
        <w:rPr>
          <w:sz w:val="20"/>
          <w:szCs w:val="20"/>
          <w:rtl/>
        </w:rPr>
        <w:fldChar w:fldCharType="separate"/>
      </w:r>
      <w:r w:rsidR="007923E9">
        <w:rPr>
          <w:sz w:val="20"/>
          <w:szCs w:val="20"/>
          <w:rtl/>
        </w:rPr>
        <w:t>356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שם מוצע טעם לכך שצאצאי ר׳ אהרן לא ידעו על שהותו בישיבה זו.</w:t>
      </w:r>
    </w:p>
  </w:footnote>
  <w:footnote w:id="998">
    <w:p w14:paraId="5F050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המוקלטת עם ר׳ מרדכי שפירא (הערה 51 לעיל).</w:t>
      </w:r>
    </w:p>
  </w:footnote>
  <w:footnote w:id="999">
    <w:p w14:paraId="5F9EB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היה גם השיקול שבגללו הצטרף ר׳ </w:t>
      </w:r>
      <w:proofErr w:type="spellStart"/>
      <w:r>
        <w:rPr>
          <w:sz w:val="20"/>
          <w:szCs w:val="20"/>
          <w:rtl/>
        </w:rPr>
        <w:t>שמואל־לייב</w:t>
      </w:r>
      <w:proofErr w:type="spellEnd"/>
      <w:r>
        <w:rPr>
          <w:sz w:val="20"/>
          <w:szCs w:val="20"/>
          <w:rtl/>
        </w:rPr>
        <w:t xml:space="preserve"> שווי לכנסת בית יצחק, כפי שהוזכר בפרק 3, הפסקה השנייה בנספח לה.</w:t>
      </w:r>
    </w:p>
  </w:footnote>
  <w:footnote w:id="1000">
    <w:p w14:paraId="67C39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w:t>
      </w:r>
      <w:proofErr w:type="spellStart"/>
      <w:r>
        <w:rPr>
          <w:sz w:val="20"/>
          <w:szCs w:val="20"/>
          <w:rtl/>
        </w:rPr>
        <w:t>הלפני</w:t>
      </w:r>
      <w:proofErr w:type="spellEnd"/>
      <w:r>
        <w:rPr>
          <w:sz w:val="20"/>
          <w:szCs w:val="20"/>
          <w:rtl/>
        </w:rPr>
        <w:t xml:space="preserve"> אחרונה בפרק 4.2, והערה 150 שם.</w:t>
      </w:r>
    </w:p>
  </w:footnote>
  <w:footnote w:id="1001">
    <w:p w14:paraId="55A4B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הרביעית מהסוף בסעיף 2 של פרק זה, שכך אירע גם לאבי כשביקש להצטרף </w:t>
      </w:r>
      <w:proofErr w:type="spellStart"/>
      <w:r>
        <w:rPr>
          <w:sz w:val="20"/>
          <w:szCs w:val="20"/>
          <w:rtl/>
        </w:rPr>
        <w:t>לקלויז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במינסק.</w:t>
      </w:r>
    </w:p>
  </w:footnote>
  <w:footnote w:id="1002">
    <w:p w14:paraId="2A7D7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5, הפסקה השנייה בנספח ח, כמה בקרירות נתקבל העילוי </w:t>
      </w:r>
      <w:proofErr w:type="spellStart"/>
      <w:r>
        <w:rPr>
          <w:sz w:val="20"/>
          <w:szCs w:val="20"/>
          <w:rtl/>
        </w:rPr>
        <w:t>ממייצ׳ט</w:t>
      </w:r>
      <w:proofErr w:type="spellEnd"/>
      <w:r>
        <w:rPr>
          <w:sz w:val="20"/>
          <w:szCs w:val="20"/>
          <w:rtl/>
        </w:rPr>
        <w:t xml:space="preserve"> כשהגיע </w:t>
      </w:r>
      <w:proofErr w:type="spellStart"/>
      <w:r>
        <w:rPr>
          <w:sz w:val="20"/>
          <w:szCs w:val="20"/>
          <w:rtl/>
        </w:rPr>
        <w:t>לוולוז׳ין</w:t>
      </w:r>
      <w:proofErr w:type="spellEnd"/>
      <w:r>
        <w:rPr>
          <w:sz w:val="20"/>
          <w:szCs w:val="20"/>
          <w:rtl/>
        </w:rPr>
        <w:t xml:space="preserve"> בן </w:t>
      </w:r>
      <w:proofErr w:type="spellStart"/>
      <w:r>
        <w:rPr>
          <w:sz w:val="20"/>
          <w:szCs w:val="20"/>
          <w:rtl/>
        </w:rPr>
        <w:t>שתים־עשרה</w:t>
      </w:r>
      <w:proofErr w:type="spellEnd"/>
      <w:r>
        <w:rPr>
          <w:sz w:val="20"/>
          <w:szCs w:val="20"/>
          <w:rtl/>
        </w:rPr>
        <w:t>.</w:t>
      </w:r>
    </w:p>
  </w:footnote>
  <w:footnote w:id="1003">
    <w:p w14:paraId="2A04C1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באותה שעה עדיין לא החליטו הוריו לעבור למינסק.</w:t>
      </w:r>
    </w:p>
  </w:footnote>
  <w:footnote w:id="1004">
    <w:p w14:paraId="136FB0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סוף הפסקה הראשונה בנספח ח.</w:t>
      </w:r>
    </w:p>
  </w:footnote>
  <w:footnote w:id="1005">
    <w:p w14:paraId="3EC754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בנספח א לעיל – עמ׳ 283.</w:t>
      </w:r>
    </w:p>
  </w:footnote>
  <w:footnote w:id="1006">
    <w:p w14:paraId="7FF3CB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המשך הסיפור שם, עמ׳ 283, מספר על המנהג שהיה באותה ישיבה גדולה להכריז על חידוש בהקשה על הסטנדר. גם מנהג זה נשמע כדבר שהנהיגה לא כנסת ישראל אלא החדשה משתי הישיבות </w:t>
      </w:r>
      <w:proofErr w:type="spellStart"/>
      <w:r>
        <w:rPr>
          <w:sz w:val="20"/>
          <w:szCs w:val="20"/>
          <w:rtl/>
        </w:rPr>
        <w:t>שבסלבודקה</w:t>
      </w:r>
      <w:proofErr w:type="spellEnd"/>
      <w:r>
        <w:rPr>
          <w:sz w:val="20"/>
          <w:szCs w:val="20"/>
          <w:rtl/>
        </w:rPr>
        <w:t>, כנסת בית יצחק. כך גם ביטול המנהג בגלל מעשיו של תלמיד צעיר אחד, לפני בר המצווה או אחריה, כמסופר שם ומובא בפרק 3, הערה 138: הדבר מתאים יותר לכנסת בית יצחק, שכן בכנסת ישראל היה הסבא פשוט משוחח עם הנער ומעמידו על המותר לו והאסור לו, ולא משנה את סדרי הישיבה כולה (ראה פרק 3, אמצע הערה 91).</w:t>
      </w:r>
    </w:p>
  </w:footnote>
  <w:footnote w:id="1007">
    <w:p w14:paraId="46C2D4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בריאיון המוקלט עם ר׳ </w:t>
      </w:r>
      <w:proofErr w:type="spellStart"/>
      <w:r>
        <w:rPr>
          <w:rStyle w:val="a5"/>
          <w:sz w:val="20"/>
          <w:szCs w:val="20"/>
          <w:vertAlign w:val="baseline"/>
          <w:rtl/>
        </w:rPr>
        <w:t>יעקב־יצחק</w:t>
      </w:r>
      <w:proofErr w:type="spellEnd"/>
      <w:r>
        <w:rPr>
          <w:rStyle w:val="a5"/>
          <w:sz w:val="20"/>
          <w:szCs w:val="20"/>
          <w:vertAlign w:val="baseline"/>
          <w:rtl/>
        </w:rPr>
        <w:t xml:space="preserve"> </w:t>
      </w:r>
      <w:proofErr w:type="spellStart"/>
      <w:r>
        <w:rPr>
          <w:rStyle w:val="a5"/>
          <w:sz w:val="20"/>
          <w:szCs w:val="20"/>
          <w:vertAlign w:val="baseline"/>
          <w:rtl/>
        </w:rPr>
        <w:t>רודרמן</w:t>
      </w:r>
      <w:proofErr w:type="spellEnd"/>
      <w:r>
        <w:rPr>
          <w:rStyle w:val="a5"/>
          <w:sz w:val="20"/>
          <w:szCs w:val="20"/>
          <w:vertAlign w:val="baseline"/>
          <w:rtl/>
        </w:rPr>
        <w:t xml:space="preserve"> (פרק 1, הערת שוליים </w:t>
      </w:r>
      <w:r>
        <w:rPr>
          <w:rStyle w:val="a5"/>
          <w:sz w:val="20"/>
          <w:szCs w:val="20"/>
          <w:vertAlign w:val="baseline"/>
          <w:rtl/>
        </w:rPr>
        <w:fldChar w:fldCharType="begin" w:dirty="true"/>
      </w:r>
      <w:r>
        <w:rPr>
          <w:rStyle w:val="a5"/>
          <w:sz w:val="20"/>
          <w:szCs w:val="20"/>
          <w:vertAlign w:val="baseline"/>
          <w:rtl/>
        </w:rPr>
        <w:instrText xml:space="preserve"> NOTEREF pr_f_365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307</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pr_f_365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אמר הרב </w:t>
      </w:r>
      <w:proofErr w:type="spellStart"/>
      <w:r>
        <w:rPr>
          <w:sz w:val="20"/>
          <w:szCs w:val="20"/>
          <w:rtl/>
        </w:rPr>
        <w:t>רודרמן</w:t>
      </w:r>
      <w:proofErr w:type="spellEnd"/>
      <w:r>
        <w:rPr>
          <w:sz w:val="20"/>
          <w:szCs w:val="20"/>
          <w:rtl/>
        </w:rPr>
        <w:t xml:space="preserve"> שאף על פי שר׳ אהרן היה מחסידי הסבא </w:t>
      </w:r>
      <w:proofErr w:type="spellStart"/>
      <w:r>
        <w:rPr>
          <w:sz w:val="20"/>
          <w:szCs w:val="20"/>
          <w:rtl/>
        </w:rPr>
        <w:t>מסלבודקה</w:t>
      </w:r>
      <w:proofErr w:type="spellEnd"/>
      <w:r>
        <w:rPr>
          <w:sz w:val="20"/>
          <w:szCs w:val="20"/>
          <w:rtl/>
        </w:rPr>
        <w:t xml:space="preserve">, השקפתו לא הייתה כולה השקפת ישיבת </w:t>
      </w:r>
      <w:proofErr w:type="spellStart"/>
      <w:r>
        <w:rPr>
          <w:sz w:val="20"/>
          <w:szCs w:val="20"/>
          <w:rtl/>
        </w:rPr>
        <w:t>סלבודקה</w:t>
      </w:r>
      <w:proofErr w:type="spellEnd"/>
      <w:r>
        <w:rPr>
          <w:sz w:val="20"/>
          <w:szCs w:val="20"/>
          <w:rtl/>
        </w:rPr>
        <w:t xml:space="preserve">, משום </w:t>
      </w:r>
      <w:proofErr w:type="spellStart"/>
      <w:r>
        <w:rPr>
          <w:sz w:val="20"/>
          <w:szCs w:val="20"/>
          <w:rtl/>
        </w:rPr>
        <w:t>ש“הוא</w:t>
      </w:r>
      <w:proofErr w:type="spellEnd"/>
      <w:r>
        <w:rPr>
          <w:sz w:val="20"/>
          <w:szCs w:val="20"/>
          <w:rtl/>
        </w:rPr>
        <w:t xml:space="preserve"> התחנך גם בישיבות אחרות: </w:t>
      </w:r>
      <w:proofErr w:type="spellStart"/>
      <w:r>
        <w:rPr>
          <w:sz w:val="20"/>
          <w:szCs w:val="20"/>
          <w:rtl/>
        </w:rPr>
        <w:t>נובהרדוק</w:t>
      </w:r>
      <w:proofErr w:type="spellEnd"/>
      <w:r>
        <w:rPr>
          <w:sz w:val="20"/>
          <w:szCs w:val="20"/>
          <w:rtl/>
        </w:rPr>
        <w:t xml:space="preserve"> </w:t>
      </w:r>
      <w:proofErr w:type="spellStart"/>
      <w:r>
        <w:rPr>
          <w:sz w:val="20"/>
          <w:szCs w:val="20"/>
          <w:rtl/>
        </w:rPr>
        <w:t>וראדין</w:t>
      </w:r>
      <w:proofErr w:type="spellEnd"/>
      <w:r>
        <w:rPr>
          <w:sz w:val="20"/>
          <w:szCs w:val="20"/>
          <w:rtl/>
        </w:rPr>
        <w:t>”. כוונתו לשנות מלחמת העולם הראשונה, אחרי שכבר נשא אישה. ראה כרך 2.</w:t>
      </w:r>
    </w:p>
  </w:footnote>
  <w:footnote w:id="1008">
    <w:p w14:paraId="3B702C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23 באפריל 2000. נכדו זה של הצדיק </w:t>
      </w:r>
      <w:proofErr w:type="spellStart"/>
      <w:r>
        <w:rPr>
          <w:sz w:val="20"/>
          <w:szCs w:val="20"/>
          <w:rtl/>
        </w:rPr>
        <w:t>המינסקאי</w:t>
      </w:r>
      <w:proofErr w:type="spellEnd"/>
      <w:r>
        <w:rPr>
          <w:sz w:val="20"/>
          <w:szCs w:val="20"/>
          <w:rtl/>
        </w:rPr>
        <w:t xml:space="preserve"> ר׳ </w:t>
      </w:r>
      <w:proofErr w:type="spellStart"/>
      <w:r>
        <w:rPr>
          <w:sz w:val="20"/>
          <w:szCs w:val="20"/>
          <w:rtl/>
        </w:rPr>
        <w:t>יהושע׳לה</w:t>
      </w:r>
      <w:proofErr w:type="spellEnd"/>
      <w:r>
        <w:rPr>
          <w:sz w:val="20"/>
          <w:szCs w:val="20"/>
          <w:rtl/>
        </w:rPr>
        <w:t xml:space="preserve"> </w:t>
      </w:r>
      <w:proofErr w:type="spellStart"/>
      <w:r>
        <w:rPr>
          <w:sz w:val="20"/>
          <w:szCs w:val="20"/>
          <w:rtl/>
        </w:rPr>
        <w:t>הורודנער</w:t>
      </w:r>
      <w:proofErr w:type="spellEnd"/>
      <w:r>
        <w:rPr>
          <w:sz w:val="20"/>
          <w:szCs w:val="20"/>
          <w:rtl/>
        </w:rPr>
        <w:t xml:space="preserve"> (נספח ג לעיל) מסר את דברי ר׳ </w:t>
      </w:r>
      <w:proofErr w:type="spellStart"/>
      <w:r>
        <w:rPr>
          <w:sz w:val="20"/>
          <w:szCs w:val="20"/>
          <w:rtl/>
        </w:rPr>
        <w:t>ברוך־בער</w:t>
      </w:r>
      <w:proofErr w:type="spellEnd"/>
      <w:r>
        <w:rPr>
          <w:sz w:val="20"/>
          <w:szCs w:val="20"/>
          <w:rtl/>
        </w:rPr>
        <w:t xml:space="preserve"> בשם ר׳ נח </w:t>
      </w:r>
      <w:proofErr w:type="spellStart"/>
      <w:r>
        <w:rPr>
          <w:sz w:val="20"/>
          <w:szCs w:val="20"/>
          <w:rtl/>
        </w:rPr>
        <w:t>שימונוביץ</w:t>
      </w:r>
      <w:proofErr w:type="spellEnd"/>
      <w:r>
        <w:rPr>
          <w:sz w:val="20"/>
          <w:szCs w:val="20"/>
          <w:rtl/>
        </w:rPr>
        <w:t xml:space="preserve">, ששמע אותם מפיו כשלמד אצלו </w:t>
      </w:r>
      <w:proofErr w:type="spellStart"/>
      <w:r>
        <w:rPr>
          <w:sz w:val="20"/>
          <w:szCs w:val="20"/>
          <w:rtl/>
        </w:rPr>
        <w:t>בקמניץ</w:t>
      </w:r>
      <w:proofErr w:type="spellEnd"/>
      <w:r>
        <w:rPr>
          <w:sz w:val="20"/>
          <w:szCs w:val="20"/>
          <w:rtl/>
        </w:rPr>
        <w:t xml:space="preserve">. ר׳ נח, יליד מינסק, היה בנו של ראש הישיבה האחרון </w:t>
      </w:r>
      <w:proofErr w:type="spellStart"/>
      <w:r>
        <w:rPr>
          <w:sz w:val="20"/>
          <w:szCs w:val="20"/>
          <w:rtl/>
        </w:rPr>
        <w:t>בקלויז</w:t>
      </w:r>
      <w:proofErr w:type="spellEnd"/>
      <w:r>
        <w:rPr>
          <w:sz w:val="20"/>
          <w:szCs w:val="20"/>
          <w:rtl/>
        </w:rPr>
        <w:t xml:space="preserve"> של </w:t>
      </w:r>
      <w:proofErr w:type="spellStart"/>
      <w:r>
        <w:rPr>
          <w:sz w:val="20"/>
          <w:szCs w:val="20"/>
          <w:rtl/>
        </w:rPr>
        <w:t>בלומקה</w:t>
      </w:r>
      <w:proofErr w:type="spellEnd"/>
      <w:r>
        <w:rPr>
          <w:sz w:val="20"/>
          <w:szCs w:val="20"/>
          <w:rtl/>
        </w:rPr>
        <w:t xml:space="preserve"> (ראה הפסקה הרביעית מהסוף בפרק 2.2).</w:t>
      </w:r>
    </w:p>
  </w:footnote>
  <w:footnote w:id="1009">
    <w:p w14:paraId="5969A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ה.</w:t>
      </w:r>
    </w:p>
  </w:footnote>
  <w:footnote w:id="1010">
    <w:p w14:paraId="45651A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בנספח ו.</w:t>
      </w:r>
    </w:p>
  </w:footnote>
  <w:footnote w:id="1011">
    <w:p w14:paraId="52BCC9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מוסף ערב </w:t>
      </w:r>
      <w:proofErr w:type="spellStart"/>
      <w:r>
        <w:rPr>
          <w:sz w:val="20"/>
          <w:szCs w:val="20"/>
          <w:rtl/>
        </w:rPr>
        <w:t>שב״ק</w:t>
      </w:r>
      <w:proofErr w:type="spellEnd"/>
      <w:r>
        <w:rPr>
          <w:sz w:val="20"/>
          <w:szCs w:val="20"/>
          <w:rtl/>
        </w:rPr>
        <w:t xml:space="preserve"> פרשת יתרו תשנ״ו, עמ׳ 7.</w:t>
      </w:r>
    </w:p>
  </w:footnote>
  <w:footnote w:id="1012">
    <w:p w14:paraId="2F8DA9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בנובמבר 1992.</w:t>
      </w:r>
    </w:p>
  </w:footnote>
  <w:footnote w:id="1013">
    <w:p w14:paraId="68A8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חנה </w:t>
      </w:r>
      <w:proofErr w:type="spellStart"/>
      <w:r>
        <w:rPr>
          <w:sz w:val="20"/>
          <w:szCs w:val="20"/>
          <w:rtl/>
        </w:rPr>
        <w:t>אוקסנקרוג</w:t>
      </w:r>
      <w:proofErr w:type="spellEnd"/>
      <w:r>
        <w:rPr>
          <w:sz w:val="20"/>
          <w:szCs w:val="20"/>
          <w:rtl/>
        </w:rPr>
        <w:t xml:space="preserve"> (הערה 50 לעיל).</w:t>
      </w:r>
    </w:p>
  </w:footnote>
  <w:footnote w:id="1014">
    <w:p w14:paraId="26243A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בירושלים, תשנ״ט (להלן: מגד גבעות עולם) – עמ׳ מד.</w:t>
      </w:r>
    </w:p>
  </w:footnote>
  <w:footnote w:id="1015">
    <w:p w14:paraId="56DEC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“מגד גבעות עולם”, שם, מביא גם מאותו מקור שר׳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כינה את ר׳ אהרן “ר׳ עקיבא איגר צעיר”. ראה גם פרק 4, נספח </w:t>
      </w:r>
      <w:proofErr w:type="spellStart"/>
      <w:r>
        <w:rPr>
          <w:sz w:val="20"/>
          <w:szCs w:val="20"/>
          <w:rtl/>
        </w:rPr>
        <w:t>טז</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016">
    <w:p w14:paraId="3B6519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272, </w:t>
      </w:r>
      <w:proofErr w:type="spellStart"/>
      <w:r>
        <w:rPr>
          <w:sz w:val="20"/>
          <w:szCs w:val="20"/>
          <w:rtl/>
        </w:rPr>
        <w:t>כסלו־טבת</w:t>
      </w:r>
      <w:proofErr w:type="spellEnd"/>
      <w:r>
        <w:rPr>
          <w:sz w:val="20"/>
          <w:szCs w:val="20"/>
          <w:rtl/>
        </w:rPr>
        <w:t xml:space="preserve"> תשמ״ח – עמ׳ 58.</w:t>
      </w:r>
    </w:p>
  </w:footnote>
  <w:footnote w:id="1017">
    <w:p w14:paraId="30976C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w:t>
      </w:r>
    </w:p>
  </w:footnote>
  <w:footnote w:id="1018">
    <w:p w14:paraId="3C256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59.</w:t>
      </w:r>
    </w:p>
  </w:footnote>
  <w:footnote w:id="1019">
    <w:p w14:paraId="01E8B4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בדצמבר 1990.</w:t>
      </w:r>
    </w:p>
  </w:footnote>
  <w:footnote w:id="1020">
    <w:p w14:paraId="5771FD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20 במרץ 1991.</w:t>
      </w:r>
    </w:p>
  </w:footnote>
  <w:footnote w:id="1021">
    <w:p w14:paraId="4B19F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ליון: לה </w:t>
      </w:r>
      <w:proofErr w:type="spellStart"/>
      <w:r>
        <w:rPr>
          <w:sz w:val="20"/>
          <w:szCs w:val="20"/>
          <w:rtl/>
        </w:rPr>
        <w:t>מנופקטור</w:t>
      </w:r>
      <w:proofErr w:type="spellEnd"/>
      <w:r>
        <w:rPr>
          <w:sz w:val="20"/>
          <w:szCs w:val="20"/>
          <w:rtl/>
        </w:rPr>
        <w:t>, 1987 – עמ׳ 65.</w:t>
      </w:r>
    </w:p>
  </w:footnote>
  <w:footnote w:id="1022">
    <w:p w14:paraId="3F555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פ׳ שלח תשנ״ג – עמ׳ 7.</w:t>
      </w:r>
    </w:p>
  </w:footnote>
  <w:footnote w:id="1023">
    <w:p w14:paraId="48755E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ביוני 2000.</w:t>
      </w:r>
    </w:p>
  </w:footnote>
  <w:footnote w:id="1024">
    <w:p w14:paraId="59C9D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4, ראש הפסקה השנייה בנספח </w:t>
      </w:r>
      <w:proofErr w:type="spellStart"/>
      <w:r>
        <w:rPr>
          <w:sz w:val="20"/>
          <w:szCs w:val="20"/>
          <w:rtl/>
        </w:rPr>
        <w:t>יח</w:t>
      </w:r>
      <w:proofErr w:type="spellEnd"/>
      <w:r>
        <w:rPr>
          <w:sz w:val="20"/>
          <w:szCs w:val="20"/>
          <w:rtl/>
        </w:rPr>
        <w:t xml:space="preserve">, בעניין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במאמר מצוין שהתפרסם בעמ׳ 8 של “יתד נאמן, מוסף ערב </w:t>
      </w:r>
      <w:proofErr w:type="spellStart"/>
      <w:r>
        <w:rPr>
          <w:sz w:val="20"/>
          <w:szCs w:val="20"/>
          <w:rtl/>
        </w:rPr>
        <w:t>שב״ק</w:t>
      </w:r>
      <w:proofErr w:type="spellEnd"/>
      <w:r>
        <w:rPr>
          <w:sz w:val="20"/>
          <w:szCs w:val="20"/>
          <w:rtl/>
        </w:rPr>
        <w:t xml:space="preserve"> פרשת צו תשנ״א”, מתלבט המחבר, הרב יעקב ב. פרידמן, בבעיה שמעורר שימושו של </w:t>
      </w:r>
      <w:proofErr w:type="spellStart"/>
      <w:r>
        <w:rPr>
          <w:sz w:val="20"/>
          <w:szCs w:val="20"/>
          <w:rtl/>
        </w:rPr>
        <w:t>החזון־איש</w:t>
      </w:r>
      <w:proofErr w:type="spellEnd"/>
      <w:r>
        <w:rPr>
          <w:sz w:val="20"/>
          <w:szCs w:val="20"/>
          <w:rtl/>
        </w:rPr>
        <w:t xml:space="preserve"> בתבנית לשון שטבע </w:t>
      </w:r>
      <w:proofErr w:type="spellStart"/>
      <w:r>
        <w:rPr>
          <w:sz w:val="20"/>
          <w:szCs w:val="20"/>
          <w:rtl/>
        </w:rPr>
        <w:t>חיים־נחמן</w:t>
      </w:r>
      <w:proofErr w:type="spellEnd"/>
      <w:r>
        <w:rPr>
          <w:sz w:val="20"/>
          <w:szCs w:val="20"/>
          <w:rtl/>
        </w:rPr>
        <w:t xml:space="preserve"> ביאליק. המחבר עושה כל מאמץ שלא לרמוז </w:t>
      </w:r>
      <w:proofErr w:type="spellStart"/>
      <w:r>
        <w:rPr>
          <w:sz w:val="20"/>
          <w:szCs w:val="20"/>
          <w:rtl/>
        </w:rPr>
        <w:t>שהחזון־איש</w:t>
      </w:r>
      <w:proofErr w:type="spellEnd"/>
      <w:r>
        <w:rPr>
          <w:sz w:val="20"/>
          <w:szCs w:val="20"/>
          <w:rtl/>
        </w:rPr>
        <w:t xml:space="preserve"> שאל את הביטוי מביאליק </w:t>
      </w:r>
      <w:r>
        <w:rPr>
          <w:b/>
          <w:bCs/>
          <w:sz w:val="20"/>
          <w:szCs w:val="20"/>
          <w:rtl/>
        </w:rPr>
        <w:t>ביודעין</w:t>
      </w:r>
      <w:r>
        <w:rPr>
          <w:sz w:val="20"/>
          <w:szCs w:val="20"/>
          <w:rtl/>
        </w:rPr>
        <w:t xml:space="preserve">. אולם אם לא השתמש </w:t>
      </w:r>
      <w:proofErr w:type="spellStart"/>
      <w:r>
        <w:rPr>
          <w:sz w:val="20"/>
          <w:szCs w:val="20"/>
          <w:rtl/>
        </w:rPr>
        <w:t>החזון־איש</w:t>
      </w:r>
      <w:proofErr w:type="spellEnd"/>
      <w:r>
        <w:rPr>
          <w:sz w:val="20"/>
          <w:szCs w:val="20"/>
          <w:rtl/>
        </w:rPr>
        <w:t xml:space="preserve"> בלשונו של ביאליק בדרך “קליפה זרק ותוכו אכל (חגיגה ט״ו ע״ב)” – והדברים אמורים בהשגת ידיעת </w:t>
      </w:r>
      <w:r>
        <w:rPr>
          <w:b/>
          <w:bCs/>
          <w:sz w:val="20"/>
          <w:szCs w:val="20"/>
          <w:rtl/>
        </w:rPr>
        <w:t>תורה</w:t>
      </w:r>
      <w:r>
        <w:rPr>
          <w:sz w:val="20"/>
          <w:szCs w:val="20"/>
          <w:rtl/>
        </w:rPr>
        <w:t xml:space="preserve"> ממקור פסול – אפשר מאוד שעשה זאת על פי מאמר חז״ל באיכה רבתי ב:יג “בגוים אין תורה, יש </w:t>
      </w:r>
      <w:r>
        <w:rPr>
          <w:b/>
          <w:bCs/>
          <w:sz w:val="20"/>
          <w:szCs w:val="20"/>
          <w:rtl/>
        </w:rPr>
        <w:t>חכמה</w:t>
      </w:r>
      <w:r>
        <w:rPr>
          <w:sz w:val="20"/>
          <w:szCs w:val="20"/>
          <w:rtl/>
        </w:rPr>
        <w:t xml:space="preserve"> בגוים”; ושימוש בלשון אפשר לראותו כעניין של חכמה בלבד.</w:t>
      </w:r>
    </w:p>
    <w:p w14:paraId="2FB4F7F8" w14:textId="77777777" w:rsidR="00AB3647" w:rsidRDefault="00000000">
      <w:pPr>
        <w:spacing w:after="0" w:before="0"/>
        <w:jc w:val="both"/>
      </w:pPr>
      <w:r>
        <w:rPr>
          <w:sz w:val="20"/>
          <w:szCs w:val="20"/>
          <w:rtl/>
        </w:rPr>
        <w:t xml:space="preserve">השווה גם פרק 4, סמוך לסוף הפסקה השלישית בנספח ט: אבי ציין שידיעת העברית של ביאליק, על כל המסתעף ממנה, נשענה בעיקרה על חינוכו הדתי. אם כן, גם תבניות הלשון שלו נשענו על רגישותו לרוח הלשון שעליה גדל. ייתכן </w:t>
      </w:r>
      <w:proofErr w:type="spellStart"/>
      <w:r>
        <w:rPr>
          <w:sz w:val="20"/>
          <w:szCs w:val="20"/>
          <w:rtl/>
        </w:rPr>
        <w:t>שהחזון־איש</w:t>
      </w:r>
      <w:proofErr w:type="spellEnd"/>
      <w:r>
        <w:rPr>
          <w:sz w:val="20"/>
          <w:szCs w:val="20"/>
          <w:rtl/>
        </w:rPr>
        <w:t xml:space="preserve"> היה שותף לאותה תפיסה של הלשון העברית, והגיע </w:t>
      </w:r>
      <w:r>
        <w:rPr>
          <w:b/>
          <w:bCs/>
          <w:sz w:val="20"/>
          <w:szCs w:val="20"/>
          <w:rtl/>
        </w:rPr>
        <w:t>מעצמו</w:t>
      </w:r>
      <w:r>
        <w:rPr>
          <w:sz w:val="20"/>
          <w:szCs w:val="20"/>
          <w:rtl/>
        </w:rPr>
        <w:t xml:space="preserve"> לאותה תבנית לשון כמו ביאליק. צורות הלשון </w:t>
      </w:r>
      <w:proofErr w:type="spellStart"/>
      <w:r>
        <w:rPr>
          <w:sz w:val="20"/>
          <w:szCs w:val="20"/>
          <w:rtl/>
        </w:rPr>
        <w:t>שב“ספר</w:t>
      </w:r>
      <w:proofErr w:type="spellEnd"/>
      <w:r>
        <w:rPr>
          <w:sz w:val="20"/>
          <w:szCs w:val="20"/>
          <w:rtl/>
        </w:rPr>
        <w:t xml:space="preserve"> אמונה ובטחון” של </w:t>
      </w:r>
      <w:proofErr w:type="spellStart"/>
      <w:r>
        <w:rPr>
          <w:sz w:val="20"/>
          <w:szCs w:val="20"/>
          <w:rtl/>
        </w:rPr>
        <w:t>החזון־איש</w:t>
      </w:r>
      <w:proofErr w:type="spellEnd"/>
      <w:r>
        <w:rPr>
          <w:sz w:val="20"/>
          <w:szCs w:val="20"/>
          <w:rtl/>
        </w:rPr>
        <w:t xml:space="preserve"> מעידות ודאי על היכרות עמוקה ודקה עם הלשון – ואגב, משום כך הספר קשה לקריאה לציבור הרחב.</w:t>
      </w:r>
    </w:p>
  </w:footnote>
  <w:footnote w:id="1025">
    <w:p w14:paraId="4C99B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במרץ 1988.</w:t>
      </w:r>
    </w:p>
  </w:footnote>
  <w:footnote w:id="1026">
    <w:p w14:paraId="407E1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027">
    <w:p w14:paraId="3F6532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 הפסקה השלישית בהערה 85 לעיל.</w:t>
      </w:r>
    </w:p>
  </w:footnote>
  <w:footnote w:id="1028">
    <w:p w14:paraId="285CB0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בפרק 3.2.</w:t>
      </w:r>
    </w:p>
  </w:footnote>
  <w:footnote w:id="1029">
    <w:p w14:paraId="06F2F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ב“ברכת</w:t>
      </w:r>
      <w:proofErr w:type="spellEnd"/>
      <w:r>
        <w:rPr>
          <w:sz w:val="20"/>
          <w:szCs w:val="20"/>
          <w:rtl/>
        </w:rPr>
        <w:t xml:space="preserve"> שמואל, </w:t>
      </w:r>
      <w:proofErr w:type="spellStart"/>
      <w:r>
        <w:rPr>
          <w:sz w:val="20"/>
          <w:szCs w:val="20"/>
          <w:rtl/>
        </w:rPr>
        <w:t>ח״ג</w:t>
      </w:r>
      <w:proofErr w:type="spellEnd"/>
      <w:r>
        <w:rPr>
          <w:sz w:val="20"/>
          <w:szCs w:val="20"/>
          <w:rtl/>
        </w:rPr>
        <w:t>” הוא סי׳ ל״ח של מסכת גיטין.</w:t>
      </w:r>
    </w:p>
  </w:footnote>
  <w:footnote w:id="1030">
    <w:p w14:paraId="3297B9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סוף נספח ל.</w:t>
      </w:r>
    </w:p>
  </w:footnote>
  <w:footnote w:id="1031">
    <w:p w14:paraId="01B59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ב“הוצאת</w:t>
      </w:r>
      <w:proofErr w:type="spellEnd"/>
      <w:r>
        <w:rPr>
          <w:sz w:val="20"/>
          <w:szCs w:val="20"/>
          <w:rtl/>
        </w:rPr>
        <w:t xml:space="preserve"> משאבים, ירושלים”, 1985 (להלן: אדלשטיין) – עמ׳ פ.</w:t>
      </w:r>
    </w:p>
  </w:footnote>
  <w:footnote w:id="1032">
    <w:p w14:paraId="2DDE56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101–102, “הלכות עבדים”.</w:t>
      </w:r>
    </w:p>
  </w:footnote>
  <w:footnote w:id="1033">
    <w:p w14:paraId="459C5C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פא.</w:t>
      </w:r>
    </w:p>
  </w:footnote>
  <w:footnote w:id="1034">
    <w:p w14:paraId="1A8D0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ד לעיל.</w:t>
      </w:r>
    </w:p>
  </w:footnote>
  <w:footnote w:id="1035">
    <w:p w14:paraId="2FD9A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באוקטובר 1991.</w:t>
      </w:r>
    </w:p>
  </w:footnote>
  <w:footnote w:id="1036">
    <w:p w14:paraId="4B922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כך ראה פרק 3, הערה 138.</w:t>
      </w:r>
    </w:p>
  </w:footnote>
  <w:footnote w:id="1037">
    <w:p w14:paraId="41D7E4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“תנועת המוסר, </w:t>
      </w:r>
      <w:proofErr w:type="spellStart"/>
      <w:r>
        <w:rPr>
          <w:sz w:val="20"/>
          <w:szCs w:val="20"/>
          <w:rtl/>
        </w:rPr>
        <w:t>ח״ג</w:t>
      </w:r>
      <w:proofErr w:type="spellEnd"/>
      <w:r>
        <w:rPr>
          <w:sz w:val="20"/>
          <w:szCs w:val="20"/>
          <w:rtl/>
        </w:rPr>
        <w:t xml:space="preserve">”, מאת הרב דב כץ (הוצאת ספרים אברהם ציוני, תל אביב, בלי שנה), עמ׳ 45, מביא </w:t>
      </w:r>
      <w:proofErr w:type="spellStart"/>
      <w:r>
        <w:rPr>
          <w:sz w:val="20"/>
          <w:szCs w:val="20"/>
          <w:rtl/>
        </w:rPr>
        <w:t>ש“יש</w:t>
      </w:r>
      <w:proofErr w:type="spellEnd"/>
      <w:r>
        <w:rPr>
          <w:sz w:val="20"/>
          <w:szCs w:val="20"/>
          <w:rtl/>
        </w:rPr>
        <w:t xml:space="preserve"> אומרים” כך. כץ מייחס את העדפת הסבא את ר׳ </w:t>
      </w:r>
      <w:proofErr w:type="spellStart"/>
      <w:r>
        <w:rPr>
          <w:sz w:val="20"/>
          <w:szCs w:val="20"/>
          <w:rtl/>
        </w:rPr>
        <w:t>ברוך־בער</w:t>
      </w:r>
      <w:proofErr w:type="spellEnd"/>
      <w:r>
        <w:rPr>
          <w:sz w:val="20"/>
          <w:szCs w:val="20"/>
          <w:rtl/>
        </w:rPr>
        <w:t xml:space="preserve"> לכך שנודע </w:t>
      </w:r>
      <w:proofErr w:type="spellStart"/>
      <w:r>
        <w:rPr>
          <w:sz w:val="20"/>
          <w:szCs w:val="20"/>
          <w:rtl/>
        </w:rPr>
        <w:t>כ“תמים</w:t>
      </w:r>
      <w:proofErr w:type="spellEnd"/>
      <w:r>
        <w:rPr>
          <w:sz w:val="20"/>
          <w:szCs w:val="20"/>
          <w:rtl/>
        </w:rPr>
        <w:t xml:space="preserve"> דרך”, שאינו נותן יד למחלוקות כמו זו שקרעה את ישיבת הסבא שבע שנים קודם לכן. השווה פרק 3, הפסקה השלישית בנספח לג, שהסבא צדק בהערכתו את ר׳ </w:t>
      </w:r>
      <w:proofErr w:type="spellStart"/>
      <w:r>
        <w:rPr>
          <w:sz w:val="20"/>
          <w:szCs w:val="20"/>
          <w:rtl/>
        </w:rPr>
        <w:t>ברוך־בער</w:t>
      </w:r>
      <w:proofErr w:type="spellEnd"/>
      <w:r>
        <w:rPr>
          <w:sz w:val="20"/>
          <w:szCs w:val="20"/>
          <w:rtl/>
        </w:rPr>
        <w:t xml:space="preserve">. עוד אומר כץ שם </w:t>
      </w:r>
      <w:proofErr w:type="spellStart"/>
      <w:r>
        <w:rPr>
          <w:sz w:val="20"/>
          <w:szCs w:val="20"/>
          <w:rtl/>
        </w:rPr>
        <w:t>ש“יש</w:t>
      </w:r>
      <w:proofErr w:type="spellEnd"/>
      <w:r>
        <w:rPr>
          <w:sz w:val="20"/>
          <w:szCs w:val="20"/>
          <w:rtl/>
        </w:rPr>
        <w:t xml:space="preserve"> אומרים שלסבא הייתה (גם) יד נעלמה” במינויו של ר׳ חיים </w:t>
      </w:r>
      <w:proofErr w:type="spellStart"/>
      <w:r>
        <w:rPr>
          <w:sz w:val="20"/>
          <w:szCs w:val="20"/>
          <w:rtl/>
        </w:rPr>
        <w:t>רבינוביץ</w:t>
      </w:r>
      <w:proofErr w:type="spellEnd"/>
      <w:r>
        <w:rPr>
          <w:sz w:val="20"/>
          <w:szCs w:val="20"/>
          <w:rtl/>
        </w:rPr>
        <w:t xml:space="preserve">, קודמו של ר׳ </w:t>
      </w:r>
      <w:proofErr w:type="spellStart"/>
      <w:r>
        <w:rPr>
          <w:sz w:val="20"/>
          <w:szCs w:val="20"/>
          <w:rtl/>
        </w:rPr>
        <w:t>ברוך־בער</w:t>
      </w:r>
      <w:proofErr w:type="spellEnd"/>
      <w:r>
        <w:rPr>
          <w:sz w:val="20"/>
          <w:szCs w:val="20"/>
          <w:rtl/>
        </w:rPr>
        <w:t xml:space="preserve"> בכנסת בית יצחק (ראה הפסקה השלישית מהסוף בפרק 3.1), מאותה סיבה.</w:t>
      </w:r>
    </w:p>
  </w:footnote>
  <w:footnote w:id="1038">
    <w:p w14:paraId="12708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מהסוף בפרק 2.3.</w:t>
      </w:r>
    </w:p>
  </w:footnote>
  <w:footnote w:id="1039">
    <w:p w14:paraId="02DBF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3.2. מכתב מאת ר׳ חיים </w:t>
      </w:r>
      <w:proofErr w:type="spellStart"/>
      <w:r>
        <w:rPr>
          <w:sz w:val="20"/>
          <w:szCs w:val="20"/>
          <w:rtl/>
        </w:rPr>
        <w:t>גרוזובסקי</w:t>
      </w:r>
      <w:proofErr w:type="spellEnd"/>
      <w:r>
        <w:rPr>
          <w:sz w:val="20"/>
          <w:szCs w:val="20"/>
          <w:rtl/>
        </w:rPr>
        <w:t xml:space="preserve"> מיום י״ג כסלו תשנ״ב.</w:t>
      </w:r>
    </w:p>
  </w:footnote>
  <w:footnote w:id="1040">
    <w:p w14:paraId="4B28FC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באוגוסט 1997.</w:t>
      </w:r>
    </w:p>
  </w:footnote>
  <w:footnote w:id="1041">
    <w:p w14:paraId="7E79D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באפריל 2000.</w:t>
      </w:r>
    </w:p>
  </w:footnote>
  <w:footnote w:id="1042">
    <w:p w14:paraId="246A8B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סעיף 2 בפרק זה.</w:t>
      </w:r>
    </w:p>
  </w:footnote>
  <w:footnote w:id="1043">
    <w:p w14:paraId="2678B5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בני־ברק</w:t>
      </w:r>
      <w:proofErr w:type="spellEnd"/>
      <w:r>
        <w:rPr>
          <w:sz w:val="20"/>
          <w:szCs w:val="20"/>
          <w:rtl/>
        </w:rPr>
        <w:t xml:space="preserve">, הוצאת “נצח”, תשכ״ז – עמ׳ </w:t>
      </w:r>
      <w:proofErr w:type="spellStart"/>
      <w:r>
        <w:rPr>
          <w:sz w:val="20"/>
          <w:szCs w:val="20"/>
          <w:rtl/>
        </w:rPr>
        <w:t>קמד</w:t>
      </w:r>
      <w:proofErr w:type="spellEnd"/>
      <w:r>
        <w:rPr>
          <w:sz w:val="20"/>
          <w:szCs w:val="20"/>
          <w:rtl/>
        </w:rPr>
        <w:t>–נב.</w:t>
      </w:r>
    </w:p>
  </w:footnote>
  <w:footnote w:id="1044">
    <w:p w14:paraId="7FE562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תחילת סעיף 3 וסופו.</w:t>
      </w:r>
    </w:p>
  </w:footnote>
  <w:footnote w:id="1045">
    <w:p w14:paraId="1DF84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בינואר 1999.</w:t>
      </w:r>
    </w:p>
  </w:footnote>
  <w:footnote w:id="1046">
    <w:p w14:paraId="58F61F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ד. ייתכן שגם יעקב זה הלך ללמוד בשול </w:t>
      </w:r>
      <w:proofErr w:type="spellStart"/>
      <w:r>
        <w:rPr>
          <w:sz w:val="20"/>
          <w:szCs w:val="20"/>
          <w:rtl/>
        </w:rPr>
        <w:t>הקצבים</w:t>
      </w:r>
      <w:proofErr w:type="spellEnd"/>
      <w:r>
        <w:rPr>
          <w:sz w:val="20"/>
          <w:szCs w:val="20"/>
          <w:rtl/>
        </w:rPr>
        <w:t xml:space="preserve"> במינסק, כמו ר׳ אהרן, בהפסקה שהייתה חובה על מי שעבר מישיבה אחת </w:t>
      </w:r>
      <w:proofErr w:type="spellStart"/>
      <w:r>
        <w:rPr>
          <w:sz w:val="20"/>
          <w:szCs w:val="20"/>
          <w:rtl/>
        </w:rPr>
        <w:t>בסלבודקה</w:t>
      </w:r>
      <w:proofErr w:type="spellEnd"/>
      <w:r>
        <w:rPr>
          <w:sz w:val="20"/>
          <w:szCs w:val="20"/>
          <w:rtl/>
        </w:rPr>
        <w:t xml:space="preserve"> לחברתה, כאמור בתחילת נספח לה להלן. אבל מסתבר יותר (מן הטעם שצוין לעיל, בסוף הפסקה הראשונה) שקיבל רשות לעבור; ראה הערת השוליים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047">
    <w:p w14:paraId="752E9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46 – עמ׳ 47–48.</w:t>
      </w:r>
    </w:p>
  </w:footnote>
  <w:footnote w:id="1048">
    <w:p w14:paraId="1873A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51.</w:t>
      </w:r>
    </w:p>
  </w:footnote>
  <w:footnote w:id="1049">
    <w:p w14:paraId="290F3F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81, וכרך 2.</w:t>
      </w:r>
    </w:p>
  </w:footnote>
  <w:footnote w:id="1050">
    <w:p w14:paraId="48FDE0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248.</w:t>
      </w:r>
    </w:p>
  </w:footnote>
  <w:footnote w:id="1051">
    <w:p w14:paraId="4E9E07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ז.</w:t>
      </w:r>
    </w:p>
  </w:footnote>
  <w:footnote w:id="1052">
    <w:p w14:paraId="1FA3E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תרפ״ו – עמ׳ 132.</w:t>
      </w:r>
    </w:p>
  </w:footnote>
  <w:footnote w:id="1053">
    <w:p w14:paraId="6D2A8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הם נפגשים בקצה </w:t>
      </w:r>
      <w:proofErr w:type="spellStart"/>
      <w:r>
        <w:rPr>
          <w:sz w:val="20"/>
          <w:szCs w:val="20"/>
          <w:rtl/>
        </w:rPr>
        <w:t>הדרום־מערבי</w:t>
      </w:r>
      <w:proofErr w:type="spellEnd"/>
      <w:r>
        <w:rPr>
          <w:sz w:val="20"/>
          <w:szCs w:val="20"/>
          <w:rtl/>
        </w:rPr>
        <w:t xml:space="preserve"> של קובנה.</w:t>
      </w:r>
    </w:p>
  </w:footnote>
  <w:footnote w:id="1054">
    <w:p w14:paraId="12E0CB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(ותחילת נספח ב) להלן, </w:t>
      </w:r>
      <w:proofErr w:type="spellStart"/>
      <w:r>
        <w:rPr>
          <w:sz w:val="20"/>
          <w:szCs w:val="20"/>
          <w:rtl/>
        </w:rPr>
        <w:t>וידעאל</w:t>
      </w:r>
      <w:proofErr w:type="spellEnd"/>
      <w:r>
        <w:rPr>
          <w:sz w:val="20"/>
          <w:szCs w:val="20"/>
          <w:rtl/>
        </w:rPr>
        <w:t xml:space="preserve"> מלצר, “בדרך עץ החיים” (הנ״ל, פרק 1, הערה 7), עמ׳ 64–66.</w:t>
      </w:r>
    </w:p>
  </w:footnote>
  <w:footnote w:id="1055">
    <w:p w14:paraId="54ED9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“תותחי אוגוסט”, מאת ברברה ו. </w:t>
      </w:r>
      <w:proofErr w:type="spellStart"/>
      <w:r>
        <w:rPr>
          <w:sz w:val="20"/>
          <w:szCs w:val="20"/>
          <w:rtl/>
        </w:rPr>
        <w:t>טוכמן</w:t>
      </w:r>
      <w:proofErr w:type="spellEnd"/>
      <w:r>
        <w:rPr>
          <w:sz w:val="20"/>
          <w:szCs w:val="20"/>
          <w:rtl/>
        </w:rPr>
        <w:t xml:space="preserve"> (הוצאת מקמילן, ניו יורק, 1962), עמ׳ 344.</w:t>
      </w:r>
    </w:p>
  </w:footnote>
  <w:footnote w:id="1056">
    <w:p w14:paraId="3A5BF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“לתולדות היהודים בקובנה </w:t>
      </w:r>
      <w:proofErr w:type="spellStart"/>
      <w:r>
        <w:rPr>
          <w:sz w:val="20"/>
          <w:szCs w:val="20"/>
          <w:rtl/>
        </w:rPr>
        <w:t>וסלבודקה</w:t>
      </w:r>
      <w:proofErr w:type="spellEnd"/>
      <w:r>
        <w:rPr>
          <w:sz w:val="20"/>
          <w:szCs w:val="20"/>
          <w:rtl/>
        </w:rPr>
        <w:t>”, מאת דוד מתתיהו ליפמן (</w:t>
      </w:r>
      <w:proofErr w:type="spellStart"/>
      <w:r>
        <w:rPr>
          <w:sz w:val="20"/>
          <w:szCs w:val="20"/>
          <w:rtl/>
        </w:rPr>
        <w:t>קיידאן</w:t>
      </w:r>
      <w:proofErr w:type="spellEnd"/>
      <w:r>
        <w:rPr>
          <w:sz w:val="20"/>
          <w:szCs w:val="20"/>
          <w:rtl/>
        </w:rPr>
        <w:t>, 1934) (להלן: ליפמן), עמ׳ 23.</w:t>
      </w:r>
    </w:p>
  </w:footnote>
  <w:footnote w:id="1057">
    <w:p w14:paraId="765D6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מאמרו של דב </w:t>
      </w:r>
      <w:proofErr w:type="spellStart"/>
      <w:r>
        <w:rPr>
          <w:sz w:val="20"/>
          <w:szCs w:val="20"/>
          <w:rtl/>
        </w:rPr>
        <w:t>ליפץ</w:t>
      </w:r>
      <w:proofErr w:type="spellEnd"/>
      <w:r>
        <w:rPr>
          <w:sz w:val="20"/>
          <w:szCs w:val="20"/>
          <w:rtl/>
        </w:rPr>
        <w:t xml:space="preserve"> בכרך 3 של “יהדות ליטא” (הוצאת איגוד יוצאי ליטא בישראל, תל אביב, </w:t>
      </w:r>
      <w:proofErr w:type="spellStart"/>
      <w:r>
        <w:rPr>
          <w:sz w:val="20"/>
          <w:szCs w:val="20"/>
          <w:rtl/>
        </w:rPr>
        <w:t>תשד״מ</w:t>
      </w:r>
      <w:proofErr w:type="spellEnd"/>
      <w:r>
        <w:rPr>
          <w:sz w:val="20"/>
          <w:szCs w:val="20"/>
          <w:rtl/>
        </w:rPr>
        <w:t>) (להלן: יהדות ליטא).</w:t>
      </w:r>
    </w:p>
  </w:footnote>
  <w:footnote w:id="1058">
    <w:p w14:paraId="775C098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הצו להעביר את יהודי קובנה </w:t>
      </w:r>
      <w:proofErr w:type="spellStart"/>
      <w:r>
        <w:rPr>
          <w:sz w:val="20"/>
          <w:szCs w:val="20"/>
          <w:rtl/>
        </w:rPr>
        <w:t>לוויליאמפולה</w:t>
      </w:r>
      <w:proofErr w:type="spellEnd"/>
      <w:r>
        <w:rPr>
          <w:sz w:val="20"/>
          <w:szCs w:val="20"/>
          <w:rtl/>
        </w:rPr>
        <w:t xml:space="preserve"> פורסם ב־10 ביולי 1941, והגטו נסגר, גודר ונותק מן העיר ב־15 באוגוסט 1941 (כ״ב באב תש״א), ולא ב־15 ביולי.</w:t>
      </w:r>
    </w:p>
  </w:footnote>
  <w:footnote w:id="1059">
    <w:p w14:paraId="20E7A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“רבותינו שבגולה”, כרך א (הנ״ל, פרק 1, הפסקה הראשונה בנספח ב), עמ׳ 1–8.</w:t>
      </w:r>
    </w:p>
  </w:footnote>
  <w:footnote w:id="1060">
    <w:p w14:paraId="72C83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178–179, 182–183.</w:t>
      </w:r>
    </w:p>
  </w:footnote>
  <w:footnote w:id="1061">
    <w:p w14:paraId="06D1D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בהערת השוליים להערה 8 – הערת שוליים בעמ׳ 179.</w:t>
      </w:r>
    </w:p>
  </w:footnote>
  <w:footnote w:id="1062">
    <w:p w14:paraId="3AA8CA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“מאורן של ישראל” (הנ״ל, פרק 2, הערה 12), כרך 1, עמ׳ קד.</w:t>
      </w:r>
    </w:p>
  </w:footnote>
  <w:footnote w:id="1063">
    <w:p w14:paraId="7876EC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14.</w:t>
      </w:r>
    </w:p>
  </w:footnote>
  <w:footnote w:id="1064">
    <w:p w14:paraId="055D1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4.</w:t>
      </w:r>
    </w:p>
  </w:footnote>
  <w:footnote w:id="1065">
    <w:p w14:paraId="5ED0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5–6.</w:t>
      </w:r>
    </w:p>
  </w:footnote>
  <w:footnote w:id="1066">
    <w:p w14:paraId="6E721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371.</w:t>
      </w:r>
    </w:p>
  </w:footnote>
  <w:footnote w:id="1067">
    <w:p w14:paraId="293A5F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141.</w:t>
      </w:r>
    </w:p>
  </w:footnote>
  <w:footnote w:id="1068">
    <w:p w14:paraId="3F623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נספח ו – עמ׳ 40–41.</w:t>
      </w:r>
    </w:p>
  </w:footnote>
  <w:footnote w:id="1069">
    <w:p w14:paraId="350CA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ז, ט.</w:t>
      </w:r>
    </w:p>
  </w:footnote>
  <w:footnote w:id="1070">
    <w:p w14:paraId="4228C5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143–144.</w:t>
      </w:r>
    </w:p>
  </w:footnote>
  <w:footnote w:id="1071">
    <w:p w14:paraId="3121F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משתמש בשמות היהודיים של העיירות לאורך כל הספר.</w:t>
      </w:r>
    </w:p>
  </w:footnote>
  <w:footnote w:id="1072">
    <w:p w14:paraId="0055D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פרייטאג</w:t>
      </w:r>
      <w:proofErr w:type="spellEnd"/>
      <w:r>
        <w:rPr>
          <w:sz w:val="20"/>
          <w:szCs w:val="20"/>
          <w:rtl/>
        </w:rPr>
        <w:t>, פרשת קדושים, תשמ״ט – עמ׳ 12.</w:t>
      </w:r>
    </w:p>
  </w:footnote>
  <w:footnote w:id="1073">
    <w:p w14:paraId="7803BC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 ט״ז ע״א.</w:t>
      </w:r>
    </w:p>
  </w:footnote>
  <w:footnote w:id="1074">
    <w:p w14:paraId="426CD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7 – עמ׳ 525–526.</w:t>
      </w:r>
    </w:p>
  </w:footnote>
  <w:footnote w:id="1075">
    <w:p w14:paraId="65803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ליפמן, עמ׳ 225, ועמ׳ 224, הערה 5.</w:t>
      </w:r>
    </w:p>
  </w:footnote>
  <w:footnote w:id="1076">
    <w:p w14:paraId="02F2D8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הראשון לשושלת </w:t>
      </w:r>
      <w:proofErr w:type="spellStart"/>
      <w:r>
        <w:rPr>
          <w:sz w:val="20"/>
          <w:szCs w:val="20"/>
          <w:rtl/>
        </w:rPr>
        <w:t>בריסק</w:t>
      </w:r>
      <w:proofErr w:type="spellEnd"/>
      <w:r>
        <w:rPr>
          <w:sz w:val="20"/>
          <w:szCs w:val="20"/>
          <w:rtl/>
        </w:rPr>
        <w:t xml:space="preserve"> (הערה 12 לעיל), עמ׳ 51–57.</w:t>
      </w:r>
    </w:p>
  </w:footnote>
  <w:footnote w:id="1077">
    <w:p w14:paraId="39745C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נספח ו.</w:t>
      </w:r>
    </w:p>
  </w:footnote>
  <w:footnote w:id="1078">
    <w:p w14:paraId="40166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1079">
    <w:p w14:paraId="35CCC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“עמוד אש”, יוסף </w:t>
      </w:r>
      <w:proofErr w:type="spellStart"/>
      <w:r>
        <w:rPr>
          <w:sz w:val="20"/>
          <w:szCs w:val="20"/>
          <w:rtl/>
        </w:rPr>
        <w:t>שיינברגר</w:t>
      </w:r>
      <w:proofErr w:type="spellEnd"/>
      <w:r>
        <w:rPr>
          <w:sz w:val="20"/>
          <w:szCs w:val="20"/>
          <w:rtl/>
        </w:rPr>
        <w:t xml:space="preserve"> (ירושלים) (בלי שנה), עמ׳ </w:t>
      </w:r>
      <w:proofErr w:type="spellStart"/>
      <w:r>
        <w:rPr>
          <w:sz w:val="20"/>
          <w:szCs w:val="20"/>
          <w:rtl/>
        </w:rPr>
        <w:t>מא</w:t>
      </w:r>
      <w:proofErr w:type="spellEnd"/>
      <w:r>
        <w:rPr>
          <w:sz w:val="20"/>
          <w:szCs w:val="20"/>
          <w:rtl/>
        </w:rPr>
        <w:t>–מג.</w:t>
      </w:r>
    </w:p>
  </w:footnote>
  <w:footnote w:id="1080">
    <w:p w14:paraId="0CCB06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ישעיה שכטר (פרק 1, הערה 56).</w:t>
      </w:r>
    </w:p>
  </w:footnote>
  <w:footnote w:id="1081">
    <w:p w14:paraId="63C55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ביאליק, תשמ״ח – “הערת המחבר” בהערת שוליים בעמ׳ 203.</w:t>
      </w:r>
    </w:p>
  </w:footnote>
  <w:footnote w:id="1082">
    <w:p w14:paraId="23A7E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בשיחת טלפון ב־25 במאי 1992 אמר אברהם תורי שעד היום אינו יכול לסלוח לעצמו על שלא פתח את פיו כשהייתה לו ההזדמנות.</w:t>
      </w:r>
    </w:p>
  </w:footnote>
  <w:footnote w:id="1083">
    <w:p w14:paraId="7C24F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באוגוסט 1997.</w:t>
      </w:r>
    </w:p>
  </w:footnote>
  <w:footnote w:id="1084">
    <w:p w14:paraId="31A0F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סיפר שבחודשיו האחרונים של הרב היה עורו מתקלף בלי הרף – כנראה מחמת </w:t>
      </w:r>
      <w:proofErr w:type="spellStart"/>
      <w:r>
        <w:rPr>
          <w:sz w:val="20"/>
          <w:szCs w:val="20"/>
          <w:rtl/>
        </w:rPr>
        <w:t>תת־תזונה</w:t>
      </w:r>
      <w:proofErr w:type="spellEnd"/>
      <w:r>
        <w:rPr>
          <w:sz w:val="20"/>
          <w:szCs w:val="20"/>
          <w:rtl/>
        </w:rPr>
        <w:t xml:space="preserve"> – והוא, הסופר, היה מקלף ממנו את העור המת. הרב העיר בהכרת טובה: “הלוואי שהיה לי בן כמו צוקרמן.”</w:t>
      </w:r>
    </w:p>
  </w:footnote>
  <w:footnote w:id="1085">
    <w:p w14:paraId="07969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203. ברור שכאשר שאל תורי את הרב במה הוא עוסק בכתיבתו, לא השיב הרב על שאלתו אלא רק אמר דברים, ותורי הוא שהסיק מעצמו שהרב כותב חיבור הלכתי בנושא הקשה של היתר עגונות. ואכן, קריאה מדוקדקת בדיווחו של תורי על הביקור בדירת הרב בגטו מראה בבירור ש</w:t>
      </w:r>
      <w:r>
        <w:rPr>
          <w:b/>
          <w:bCs/>
          <w:sz w:val="20"/>
          <w:szCs w:val="20"/>
          <w:rtl/>
        </w:rPr>
        <w:t>המבקר</w:t>
      </w:r>
      <w:r>
        <w:rPr>
          <w:sz w:val="20"/>
          <w:szCs w:val="20"/>
          <w:rtl/>
        </w:rPr>
        <w:t xml:space="preserve"> הוא שהגיע למסקנה זו. אם הרב נמנע במכוון מלהשיב על שאלת תורי, אין לנו אלא לשער מדוע.</w:t>
      </w:r>
    </w:p>
    <w:p w14:paraId="3798B7F4" w14:textId="77777777" w:rsidR="00AB3647" w:rsidRDefault="00000000">
      <w:pPr>
        <w:spacing w:after="0" w:before="0"/>
        <w:jc w:val="both"/>
      </w:pPr>
      <w:r>
        <w:rPr>
          <w:sz w:val="20"/>
          <w:szCs w:val="20"/>
          <w:rtl/>
        </w:rPr>
        <w:t xml:space="preserve">קשה, אם לא בלתי אפשרי, לרדת לסוף דעתם של יושבי הגטו בכלל, ולהבין את יחסיהם המורכבים עם פקידי היודנרט בפרט (אפילו יודנרט נוח כמו זה שעמד בראש גטו </w:t>
      </w:r>
      <w:proofErr w:type="spellStart"/>
      <w:r>
        <w:rPr>
          <w:sz w:val="20"/>
          <w:szCs w:val="20"/>
          <w:rtl/>
        </w:rPr>
        <w:t>סלבודקה</w:t>
      </w:r>
      <w:proofErr w:type="spellEnd"/>
      <w:r>
        <w:rPr>
          <w:sz w:val="20"/>
          <w:szCs w:val="20"/>
          <w:rtl/>
        </w:rPr>
        <w:t xml:space="preserve">). לכן אין אנו יודעים מה היה בדעתו של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כשהסתיר את כתב היד בן 300 העמודים שעל מיטתו. הצעה: הדפים הרבים שראה מזכיר היודנרט היו ספר הזיכרונות שלא הושלם, שהרב החל לעבוד עליו בימי שלום, והוא העדיף שלא לגלות לאורחו שהמלחמה לא שינתה את תוכניותיו להוציא לאור את החיבור.</w:t>
      </w:r>
    </w:p>
  </w:footnote>
  <w:footnote w:id="1086">
    <w:p w14:paraId="78D5E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ו – עמ׳ </w:t>
      </w:r>
      <w:proofErr w:type="spellStart"/>
      <w:r>
        <w:rPr>
          <w:sz w:val="20"/>
          <w:szCs w:val="20"/>
          <w:rtl/>
        </w:rPr>
        <w:t>קכט</w:t>
      </w:r>
      <w:proofErr w:type="spellEnd"/>
      <w:r>
        <w:rPr>
          <w:sz w:val="20"/>
          <w:szCs w:val="20"/>
          <w:rtl/>
        </w:rPr>
        <w:t>.</w:t>
      </w:r>
    </w:p>
  </w:footnote>
  <w:footnote w:id="1087">
    <w:p w14:paraId="40EE30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סוף נספח ז.</w:t>
      </w:r>
    </w:p>
  </w:footnote>
  <w:footnote w:id="1088">
    <w:p w14:paraId="0CB6A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קלטת של ר׳ בערל וויין על תנועת המוסר, אבי החזיק בדעה זו. ייתכן ששמע אותה מר׳ </w:t>
      </w:r>
      <w:proofErr w:type="spellStart"/>
      <w:r>
        <w:rPr>
          <w:sz w:val="20"/>
          <w:szCs w:val="20"/>
          <w:rtl/>
        </w:rPr>
        <w:t>ברוך־בער</w:t>
      </w:r>
      <w:proofErr w:type="spellEnd"/>
      <w:r>
        <w:rPr>
          <w:sz w:val="20"/>
          <w:szCs w:val="20"/>
          <w:rtl/>
        </w:rPr>
        <w:t xml:space="preserve"> עצמו, או משמו. “</w:t>
      </w:r>
      <w:proofErr w:type="spellStart"/>
      <w:r>
        <w:rPr>
          <w:sz w:val="20"/>
          <w:szCs w:val="20"/>
          <w:rtl/>
        </w:rPr>
        <w:t>שמוש</w:t>
      </w:r>
      <w:proofErr w:type="spellEnd"/>
      <w:r>
        <w:rPr>
          <w:sz w:val="20"/>
          <w:szCs w:val="20"/>
          <w:rtl/>
        </w:rPr>
        <w:t xml:space="preserve"> חכמים” (הנ״ל, פרק 2, הפסקה </w:t>
      </w:r>
      <w:proofErr w:type="spellStart"/>
      <w:r>
        <w:rPr>
          <w:sz w:val="20"/>
          <w:szCs w:val="20"/>
          <w:rtl/>
        </w:rPr>
        <w:t>התשע־עשרה</w:t>
      </w:r>
      <w:proofErr w:type="spellEnd"/>
      <w:r>
        <w:rPr>
          <w:sz w:val="20"/>
          <w:szCs w:val="20"/>
          <w:rtl/>
        </w:rPr>
        <w:t xml:space="preserve"> בנספח א), עמ׳ מט, מביא בשם ר׳ </w:t>
      </w:r>
      <w:proofErr w:type="spellStart"/>
      <w:r>
        <w:rPr>
          <w:sz w:val="20"/>
          <w:szCs w:val="20"/>
          <w:rtl/>
        </w:rPr>
        <w:t>ברוך־בער</w:t>
      </w:r>
      <w:proofErr w:type="spellEnd"/>
      <w:r>
        <w:rPr>
          <w:sz w:val="20"/>
          <w:szCs w:val="20"/>
          <w:rtl/>
        </w:rPr>
        <w:t xml:space="preserve"> </w:t>
      </w:r>
      <w:proofErr w:type="spellStart"/>
      <w:r>
        <w:rPr>
          <w:sz w:val="20"/>
          <w:szCs w:val="20"/>
          <w:rtl/>
        </w:rPr>
        <w:t>ש“מסופר</w:t>
      </w:r>
      <w:proofErr w:type="spellEnd"/>
      <w:r>
        <w:rPr>
          <w:sz w:val="20"/>
          <w:szCs w:val="20"/>
          <w:rtl/>
        </w:rPr>
        <w:t xml:space="preserve"> על ר׳ </w:t>
      </w:r>
      <w:proofErr w:type="spellStart"/>
      <w:r>
        <w:rPr>
          <w:sz w:val="20"/>
          <w:szCs w:val="20"/>
          <w:rtl/>
        </w:rPr>
        <w:t xml:space="preserve">אלינקה רגולר</w:t>
      </w:r>
      <w:proofErr w:type="spellEnd"/>
      <w:r>
        <w:rPr>
          <w:sz w:val="20"/>
          <w:szCs w:val="20"/>
          <w:rtl/>
        </w:rPr>
        <w:t xml:space="preserve"/>
      </w:r>
      <w:proofErr w:type="spellStart"/>
      <w:r>
        <w:rPr>
          <w:sz w:val="20"/>
          <w:szCs w:val="20"/>
          <w:rtl/>
        </w:rPr>
        <w:t xml:space="preserve"/>
      </w:r>
      <w:proofErr w:type="spellEnd"/>
      <w:r>
        <w:rPr>
          <w:sz w:val="20"/>
          <w:szCs w:val="20"/>
          <w:rtl/>
        </w:rPr>
        <w:t xml:space="preserve">” – ראה הערה 10 לעיל – “שאמר שלא הצליח בלימוד התורה </w:t>
      </w:r>
      <w:proofErr w:type="spellStart"/>
      <w:r>
        <w:rPr>
          <w:sz w:val="20"/>
          <w:szCs w:val="20"/>
          <w:rtl/>
        </w:rPr>
        <w:t>בקאליש</w:t>
      </w:r>
      <w:proofErr w:type="spellEnd"/>
      <w:r>
        <w:rPr>
          <w:sz w:val="20"/>
          <w:szCs w:val="20"/>
          <w:rtl/>
        </w:rPr>
        <w:t xml:space="preserve"> כפי שהצליח </w:t>
      </w:r>
      <w:proofErr w:type="spellStart"/>
      <w:r>
        <w:rPr>
          <w:sz w:val="20"/>
          <w:szCs w:val="20"/>
          <w:rtl/>
        </w:rPr>
        <w:t>בסלבודקה</w:t>
      </w:r>
      <w:proofErr w:type="spellEnd"/>
      <w:r>
        <w:rPr>
          <w:sz w:val="20"/>
          <w:szCs w:val="20"/>
          <w:rtl/>
        </w:rPr>
        <w:t>, משום שבראשונה היו כמה כנסיות”.</w:t>
      </w:r>
    </w:p>
  </w:footnote>
  <w:footnote w:id="1089">
    <w:p w14:paraId="56FEF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ניסח מונח זה באנגלית.</w:t>
      </w:r>
    </w:p>
  </w:footnote>
  <w:footnote w:id="1090">
    <w:p w14:paraId="0D718E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להלן.</w:t>
      </w:r>
    </w:p>
  </w:footnote>
  <w:footnote w:id="1091">
    <w:p w14:paraId="588058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303, בפרק 26, המוקדש לרב </w:t>
      </w:r>
      <w:proofErr w:type="spellStart"/>
      <w:r>
        <w:rPr>
          <w:sz w:val="20"/>
          <w:szCs w:val="20"/>
          <w:rtl/>
        </w:rPr>
        <w:t>טנעס</w:t>
      </w:r>
      <w:proofErr w:type="spellEnd"/>
      <w:r>
        <w:rPr>
          <w:sz w:val="20"/>
          <w:szCs w:val="20"/>
          <w:rtl/>
        </w:rPr>
        <w:t xml:space="preserve">. והשווה גם פרק 5, הפסקה הראשונה בנספח ו, על המחלוקת בינו לבין ר׳ חיים </w:t>
      </w:r>
      <w:proofErr w:type="spellStart"/>
      <w:r>
        <w:rPr>
          <w:sz w:val="20"/>
          <w:szCs w:val="20"/>
          <w:rtl/>
        </w:rPr>
        <w:t>סולובייצ׳יק</w:t>
      </w:r>
      <w:proofErr w:type="spellEnd"/>
      <w:r>
        <w:rPr>
          <w:sz w:val="20"/>
          <w:szCs w:val="20"/>
          <w:rtl/>
        </w:rPr>
        <w:t>, שהיה צעיר ממנו בשבע שנים, ופרק 3, סוף נספח כד להלן.</w:t>
      </w:r>
    </w:p>
  </w:footnote>
  <w:footnote w:id="1092">
    <w:p w14:paraId="4EE0E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דברי </w:t>
      </w:r>
      <w:proofErr w:type="spellStart"/>
      <w:r>
        <w:rPr>
          <w:sz w:val="20"/>
          <w:szCs w:val="20"/>
          <w:rtl/>
        </w:rPr>
        <w:t>האגב</w:t>
      </w:r>
      <w:proofErr w:type="spellEnd"/>
      <w:r>
        <w:rPr>
          <w:sz w:val="20"/>
          <w:szCs w:val="20"/>
          <w:rtl/>
        </w:rPr>
        <w:t xml:space="preserve"> שאמר רבנו בשיעור הדף היומי, שהובאו בתחילת הנספח הקודם (עמ׳ </w:t>
      </w:r>
      <w:r>
        <w:rPr>
          <w:sz w:val="20"/>
          <w:szCs w:val="20"/>
          <w:rtl/>
        </w:rPr>
        <w:fldChar w:fldCharType="begin" w:dirty="true"/>
      </w:r>
      <w:r>
        <w:rPr>
          <w:sz w:val="20"/>
          <w:szCs w:val="20"/>
          <w:rtl/>
        </w:rPr>
        <w:instrText xml:space="preserve"> PAGEREF pr_f_1523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הערה </w:t>
      </w:r>
      <w:r>
        <w:rPr>
          <w:sz w:val="20"/>
          <w:szCs w:val="20"/>
          <w:rtl/>
        </w:rPr>
        <w:fldChar w:fldCharType="begin" w:dirty="true"/>
      </w:r>
      <w:r>
        <w:rPr>
          <w:sz w:val="20"/>
          <w:szCs w:val="20"/>
          <w:rtl/>
        </w:rPr>
        <w:instrText xml:space="preserve"> NOTEREF pr_f_1523 \h </w:instrText>
      </w:r>
      <w:r>
        <w:rPr>
          <w:sz w:val="20"/>
          <w:szCs w:val="20"/>
          <w:rtl/>
        </w:rPr>
      </w:r>
      <w:r>
        <w:rPr>
          <w:sz w:val="20"/>
          <w:szCs w:val="20"/>
          <w:rtl/>
        </w:rPr>
        <w:fldChar w:fldCharType="separate"/>
      </w:r>
      <w:r w:rsidR="007923E9">
        <w:rPr>
          <w:sz w:val="20"/>
          <w:szCs w:val="20"/>
          <w:rtl/>
        </w:rPr>
        <w:t>569</w:t>
      </w:r>
      <w:r>
        <w:rPr>
          <w:sz w:val="20"/>
          <w:szCs w:val="20"/>
          <w:rtl/>
        </w:rPr>
        <w:fldChar w:fldCharType="end"/>
      </w:r>
      <w:r>
        <w:rPr>
          <w:sz w:val="20"/>
          <w:szCs w:val="20"/>
          <w:rtl/>
        </w:rPr>
        <w:t>).</w:t>
      </w:r>
    </w:p>
  </w:footnote>
  <w:footnote w:id="1093">
    <w:p w14:paraId="2469B6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1094">
    <w:p w14:paraId="0693D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ז להלן.</w:t>
      </w:r>
    </w:p>
  </w:footnote>
  <w:footnote w:id="1095">
    <w:p w14:paraId="70EF6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29.</w:t>
      </w:r>
    </w:p>
  </w:footnote>
  <w:footnote w:id="1096">
    <w:p w14:paraId="2B3BA5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זיכרון של ר׳ </w:t>
      </w:r>
      <w:proofErr w:type="spellStart"/>
      <w:r>
        <w:rPr>
          <w:sz w:val="20"/>
          <w:szCs w:val="20"/>
          <w:rtl/>
        </w:rPr>
        <w:t>אריה־לייב</w:t>
      </w:r>
      <w:proofErr w:type="spellEnd"/>
      <w:r>
        <w:rPr>
          <w:sz w:val="20"/>
          <w:szCs w:val="20"/>
          <w:rtl/>
        </w:rPr>
        <w:t xml:space="preserve"> </w:t>
      </w:r>
      <w:proofErr w:type="spellStart"/>
      <w:r>
        <w:rPr>
          <w:sz w:val="20"/>
          <w:szCs w:val="20"/>
          <w:rtl/>
        </w:rPr>
        <w:t>פופקו</w:t>
      </w:r>
      <w:proofErr w:type="spellEnd"/>
      <w:r>
        <w:rPr>
          <w:sz w:val="20"/>
          <w:szCs w:val="20"/>
          <w:rtl/>
        </w:rPr>
        <w:t xml:space="preserve"> </w:t>
      </w:r>
      <w:proofErr w:type="spellStart"/>
      <w:r>
        <w:rPr>
          <w:sz w:val="20"/>
          <w:szCs w:val="20"/>
          <w:rtl/>
        </w:rPr>
        <w:t>בכבה״ת</w:t>
      </w:r>
      <w:proofErr w:type="spellEnd"/>
      <w:r>
        <w:rPr>
          <w:sz w:val="20"/>
          <w:szCs w:val="20"/>
          <w:rtl/>
        </w:rPr>
        <w:t>, עמ׳ סט–</w:t>
      </w:r>
      <w:proofErr w:type="spellStart"/>
      <w:r>
        <w:rPr>
          <w:sz w:val="20"/>
          <w:szCs w:val="20"/>
          <w:rtl/>
        </w:rPr>
        <w:t>עא</w:t>
      </w:r>
      <w:proofErr w:type="spellEnd"/>
      <w:r>
        <w:rPr>
          <w:sz w:val="20"/>
          <w:szCs w:val="20"/>
          <w:rtl/>
        </w:rPr>
        <w:t xml:space="preserve"> בחלק השלישי (שכותרתו “דוגמא משיחות אבי זצ״ל”). מקור זה נעלם מעיני כץ, “תנועת המוסר”, כרך ג.</w:t>
      </w:r>
    </w:p>
  </w:footnote>
  <w:footnote w:id="1097">
    <w:p w14:paraId="2A431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מבוסס על יבמות קד ע״ב.</w:t>
      </w:r>
    </w:p>
  </w:footnote>
  <w:footnote w:id="1098">
    <w:p w14:paraId="6BA46E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כבה״ת</w:t>
      </w:r>
      <w:proofErr w:type="spellEnd"/>
      <w:r>
        <w:rPr>
          <w:sz w:val="20"/>
          <w:szCs w:val="20"/>
          <w:rtl/>
        </w:rPr>
        <w:t xml:space="preserve"> מביא במדויק כיצד הצדיק </w:t>
      </w:r>
      <w:proofErr w:type="spellStart"/>
      <w:r>
        <w:rPr>
          <w:sz w:val="20"/>
          <w:szCs w:val="20"/>
          <w:rtl/>
        </w:rPr>
        <w:t>החפץ־חיים</w:t>
      </w:r>
      <w:proofErr w:type="spellEnd"/>
      <w:r>
        <w:rPr>
          <w:sz w:val="20"/>
          <w:szCs w:val="20"/>
          <w:rtl/>
        </w:rPr>
        <w:t xml:space="preserve"> התנהגות יוצאת דופן זו.</w:t>
      </w:r>
    </w:p>
  </w:footnote>
  <w:footnote w:id="1099">
    <w:p w14:paraId="1E409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בפרק זה.</w:t>
      </w:r>
    </w:p>
  </w:footnote>
  <w:footnote w:id="1100">
    <w:p w14:paraId="2F973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ה בפרק זה, שאלתר </w:t>
      </w:r>
      <w:proofErr w:type="spellStart"/>
      <w:r>
        <w:rPr>
          <w:sz w:val="20"/>
          <w:szCs w:val="20"/>
          <w:rtl/>
        </w:rPr>
        <w:t>דרויאנוב</w:t>
      </w:r>
      <w:proofErr w:type="spellEnd"/>
      <w:r>
        <w:rPr>
          <w:sz w:val="20"/>
          <w:szCs w:val="20"/>
          <w:rtl/>
        </w:rPr>
        <w:t xml:space="preserve"> לא הבחין בכך במכתבו </w:t>
      </w:r>
      <w:proofErr w:type="spellStart"/>
      <w:r>
        <w:rPr>
          <w:sz w:val="20"/>
          <w:szCs w:val="20"/>
          <w:rtl/>
        </w:rPr>
        <w:t>ב“תלפיות</w:t>
      </w:r>
      <w:proofErr w:type="spellEnd"/>
      <w:r>
        <w:rPr>
          <w:sz w:val="20"/>
          <w:szCs w:val="20"/>
          <w:rtl/>
        </w:rPr>
        <w:t>”.</w:t>
      </w:r>
    </w:p>
  </w:footnote>
  <w:footnote w:id="1101">
    <w:p w14:paraId="56C81F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66.</w:t>
      </w:r>
    </w:p>
  </w:footnote>
  <w:footnote w:id="1102">
    <w:p w14:paraId="567BAA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בהערה 51 להלן כיניתי את דרך </w:t>
      </w:r>
      <w:proofErr w:type="spellStart"/>
      <w:r>
        <w:rPr>
          <w:sz w:val="20"/>
          <w:szCs w:val="20"/>
          <w:rtl/>
        </w:rPr>
        <w:t>סלבודקה</w:t>
      </w:r>
      <w:proofErr w:type="spellEnd"/>
      <w:r>
        <w:rPr>
          <w:sz w:val="20"/>
          <w:szCs w:val="20"/>
          <w:rtl/>
        </w:rPr>
        <w:t xml:space="preserve"> המוקדמת “גישת </w:t>
      </w:r>
      <w:proofErr w:type="spellStart"/>
      <w:r>
        <w:rPr>
          <w:sz w:val="20"/>
          <w:szCs w:val="20"/>
          <w:rtl/>
        </w:rPr>
        <w:t>בלאזר</w:t>
      </w:r>
      <w:proofErr w:type="spellEnd"/>
      <w:r>
        <w:rPr>
          <w:sz w:val="20"/>
          <w:szCs w:val="20"/>
          <w:rtl/>
        </w:rPr>
        <w:t>”.</w:t>
      </w:r>
    </w:p>
  </w:footnote>
  <w:footnote w:id="1103">
    <w:p w14:paraId="614D4B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בפרק זה – עמ׳ 87–88.</w:t>
      </w:r>
    </w:p>
  </w:footnote>
  <w:footnote w:id="1104">
    <w:p w14:paraId="6D6416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88, שחתנו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 צבי </w:t>
      </w:r>
      <w:proofErr w:type="spellStart"/>
      <w:r>
        <w:rPr>
          <w:sz w:val="20"/>
          <w:szCs w:val="20"/>
          <w:rtl/>
        </w:rPr>
        <w:t>סולצובסקי</w:t>
      </w:r>
      <w:proofErr w:type="spellEnd"/>
      <w:r>
        <w:rPr>
          <w:sz w:val="20"/>
          <w:szCs w:val="20"/>
          <w:rtl/>
        </w:rPr>
        <w:t xml:space="preserve">, אמר לבעל היומן למחרת </w:t>
      </w:r>
      <w:proofErr w:type="spellStart"/>
      <w:r>
        <w:rPr>
          <w:sz w:val="20"/>
          <w:szCs w:val="20"/>
          <w:rtl/>
        </w:rPr>
        <w:t>ש“הבקשה</w:t>
      </w:r>
      <w:proofErr w:type="spellEnd"/>
      <w:r>
        <w:rPr>
          <w:sz w:val="20"/>
          <w:szCs w:val="20"/>
          <w:rtl/>
        </w:rPr>
        <w:t xml:space="preserve"> [הייתה] לשווא”. באותה עת הייתה ישיבת </w:t>
      </w:r>
      <w:proofErr w:type="spellStart"/>
      <w:r>
        <w:rPr>
          <w:sz w:val="20"/>
          <w:szCs w:val="20"/>
          <w:rtl/>
        </w:rPr>
        <w:t>סלבודקה</w:t>
      </w:r>
      <w:proofErr w:type="spellEnd"/>
      <w:r>
        <w:rPr>
          <w:sz w:val="20"/>
          <w:szCs w:val="20"/>
          <w:rtl/>
        </w:rPr>
        <w:t xml:space="preserve"> כבר עצמאית לגמרי מכולל קובנה. השווה גם תחילת נספח ו בפרק זה, שמספר הבחורים וחברי הכולל יחד היה מאתיים בשנת תר״נ, ותחילת נספח יא להלן, שעם מעבר תלמידים רבים </w:t>
      </w:r>
      <w:proofErr w:type="spellStart"/>
      <w:r>
        <w:rPr>
          <w:sz w:val="20"/>
          <w:szCs w:val="20"/>
          <w:rtl/>
        </w:rPr>
        <w:t>מוולוז׳ין</w:t>
      </w:r>
      <w:proofErr w:type="spellEnd"/>
      <w:r>
        <w:rPr>
          <w:sz w:val="20"/>
          <w:szCs w:val="20"/>
          <w:rtl/>
        </w:rPr>
        <w:t xml:space="preserve"> “הגיע המספר לכמה מאות”. נראה שבחורי </w:t>
      </w:r>
      <w:proofErr w:type="spellStart"/>
      <w:r>
        <w:rPr>
          <w:sz w:val="20"/>
          <w:szCs w:val="20"/>
          <w:rtl/>
        </w:rPr>
        <w:t>וולוז׳ין</w:t>
      </w:r>
      <w:proofErr w:type="spellEnd"/>
      <w:r>
        <w:rPr>
          <w:sz w:val="20"/>
          <w:szCs w:val="20"/>
          <w:rtl/>
        </w:rPr>
        <w:t xml:space="preserve"> לא נהרו </w:t>
      </w:r>
      <w:proofErr w:type="spellStart"/>
      <w:r>
        <w:rPr>
          <w:sz w:val="20"/>
          <w:szCs w:val="20"/>
          <w:rtl/>
        </w:rPr>
        <w:t>לסלבודקה</w:t>
      </w:r>
      <w:proofErr w:type="spellEnd"/>
      <w:r>
        <w:rPr>
          <w:sz w:val="20"/>
          <w:szCs w:val="20"/>
          <w:rtl/>
        </w:rPr>
        <w:t xml:space="preserve"> מיד אחרי סגירת ישיבתם.</w:t>
      </w:r>
    </w:p>
  </w:footnote>
  <w:footnote w:id="1105">
    <w:p w14:paraId="33B89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113.</w:t>
      </w:r>
    </w:p>
  </w:footnote>
  <w:footnote w:id="1106">
    <w:p w14:paraId="4A9D4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של נספח ב.</w:t>
      </w:r>
    </w:p>
  </w:footnote>
  <w:footnote w:id="1107">
    <w:p w14:paraId="0F0216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ליפמן (שם, הערה 8 לעיל), עמ׳ 228, הערת שוליים 2. הייתה זו מליצה בלבד, שכן המילה “בתים” בפסוקים אלו פירושה למעשה משפחות. ראה גם תהלים קלה, </w:t>
      </w:r>
      <w:proofErr w:type="spellStart"/>
      <w:r>
        <w:rPr>
          <w:sz w:val="20"/>
          <w:szCs w:val="20"/>
          <w:rtl/>
        </w:rPr>
        <w:t>יט</w:t>
      </w:r>
      <w:proofErr w:type="spellEnd"/>
      <w:r>
        <w:rPr>
          <w:sz w:val="20"/>
          <w:szCs w:val="20"/>
          <w:rtl/>
        </w:rPr>
        <w:t xml:space="preserve">–כ, ששם מיוחס בית גם ללויים, נוסף על ישראל ועל אהרן. “הגדול” ממינסק (שם, פרק 1, נספח ו), עמ׳ 30, מייחס מליצה זו לממלא מקומו של ר׳ </w:t>
      </w:r>
      <w:proofErr w:type="spellStart"/>
      <w:r>
        <w:rPr>
          <w:sz w:val="20"/>
          <w:szCs w:val="20"/>
          <w:rtl/>
        </w:rPr>
        <w:t>לייבל׳ה</w:t>
      </w:r>
      <w:proofErr w:type="spellEnd"/>
      <w:r>
        <w:rPr>
          <w:sz w:val="20"/>
          <w:szCs w:val="20"/>
          <w:rtl/>
        </w:rPr>
        <w:t xml:space="preserve">, ר׳ </w:t>
      </w:r>
      <w:proofErr w:type="spellStart"/>
      <w:r>
        <w:rPr>
          <w:sz w:val="20"/>
          <w:szCs w:val="20"/>
          <w:rtl/>
        </w:rPr>
        <w:t>משה־יצחק</w:t>
      </w:r>
      <w:proofErr w:type="spellEnd"/>
      <w:r>
        <w:rPr>
          <w:sz w:val="20"/>
          <w:szCs w:val="20"/>
          <w:rtl/>
        </w:rPr>
        <w:t xml:space="preserve"> אביגדור. השווה גם הערת השוליים שם, שלפיה השיב אחד מתומכי ר׳ ישראל: “רבי, אתה מתנגד לנו בפסוק מן המקרא; גם אנו בקיאים בפסוקים. הלא אומרת התורה הקדושה: ויהי כי יראו </w:t>
      </w:r>
      <w:proofErr w:type="spellStart"/>
      <w:r>
        <w:rPr>
          <w:sz w:val="20"/>
          <w:szCs w:val="20"/>
          <w:rtl/>
        </w:rPr>
        <w:t>המילדות</w:t>
      </w:r>
      <w:proofErr w:type="spellEnd"/>
      <w:r>
        <w:rPr>
          <w:sz w:val="20"/>
          <w:szCs w:val="20"/>
          <w:rtl/>
        </w:rPr>
        <w:t xml:space="preserve"> את </w:t>
      </w:r>
      <w:proofErr w:type="spellStart"/>
      <w:r>
        <w:rPr>
          <w:sz w:val="20"/>
          <w:szCs w:val="20"/>
          <w:rtl/>
        </w:rPr>
        <w:t>הא־להים</w:t>
      </w:r>
      <w:proofErr w:type="spellEnd"/>
      <w:r>
        <w:rPr>
          <w:sz w:val="20"/>
          <w:szCs w:val="20"/>
          <w:rtl/>
        </w:rPr>
        <w:t xml:space="preserve"> ויעש להם בתים” (שמות א, </w:t>
      </w:r>
      <w:proofErr w:type="spellStart"/>
      <w:r>
        <w:rPr>
          <w:sz w:val="20"/>
          <w:szCs w:val="20"/>
          <w:rtl/>
        </w:rPr>
        <w:t>כא</w:t>
      </w:r>
      <w:proofErr w:type="spellEnd"/>
      <w:r>
        <w:rPr>
          <w:sz w:val="20"/>
          <w:szCs w:val="20"/>
          <w:rtl/>
        </w:rPr>
        <w:t>).</w:t>
      </w:r>
    </w:p>
  </w:footnote>
  <w:footnote w:id="1108">
    <w:p w14:paraId="5E22B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110. אבל ראה תחילת נספח יא בפרק זה, שכץ, “תנועת המוסר”, כרך ג, קובע שלאחר סגירת ישיבת </w:t>
      </w:r>
      <w:proofErr w:type="spellStart"/>
      <w:r>
        <w:rPr>
          <w:sz w:val="20"/>
          <w:szCs w:val="20"/>
          <w:rtl/>
        </w:rPr>
        <w:t>וולוז׳ין</w:t>
      </w:r>
      <w:proofErr w:type="spellEnd"/>
      <w:r>
        <w:rPr>
          <w:sz w:val="20"/>
          <w:szCs w:val="20"/>
          <w:rtl/>
        </w:rPr>
        <w:t xml:space="preserve"> “מספר תלמידי [ישיבת </w:t>
      </w:r>
      <w:proofErr w:type="spellStart"/>
      <w:r>
        <w:rPr>
          <w:sz w:val="20"/>
          <w:szCs w:val="20"/>
          <w:rtl/>
        </w:rPr>
        <w:t>סלבודקה</w:t>
      </w:r>
      <w:proofErr w:type="spellEnd"/>
      <w:r>
        <w:rPr>
          <w:sz w:val="20"/>
          <w:szCs w:val="20"/>
          <w:rtl/>
        </w:rPr>
        <w:t>] הגיע ל</w:t>
      </w:r>
      <w:r>
        <w:rPr>
          <w:b/>
          <w:bCs/>
          <w:sz w:val="20"/>
          <w:szCs w:val="20"/>
          <w:rtl/>
        </w:rPr>
        <w:t>כמה מאות</w:t>
      </w:r>
      <w:r>
        <w:rPr>
          <w:sz w:val="20"/>
          <w:szCs w:val="20"/>
          <w:rtl/>
        </w:rPr>
        <w:t xml:space="preserve">” (ההדגשה שלי). אולי ניסה “למען דעת” להמעיט מעט בהצלחת הישיבה בהנהגת הסבא </w:t>
      </w:r>
      <w:proofErr w:type="spellStart"/>
      <w:r>
        <w:rPr>
          <w:sz w:val="20"/>
          <w:szCs w:val="20"/>
          <w:rtl/>
        </w:rPr>
        <w:t>מסלבודקה</w:t>
      </w:r>
      <w:proofErr w:type="spellEnd"/>
      <w:r>
        <w:rPr>
          <w:sz w:val="20"/>
          <w:szCs w:val="20"/>
          <w:rtl/>
        </w:rPr>
        <w:t>.</w:t>
      </w:r>
    </w:p>
  </w:footnote>
  <w:footnote w:id="1109">
    <w:p w14:paraId="746804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264.</w:t>
      </w:r>
    </w:p>
  </w:footnote>
  <w:footnote w:id="1110">
    <w:p w14:paraId="5585A6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w:t>
      </w:r>
    </w:p>
  </w:footnote>
  <w:footnote w:id="1111">
    <w:p w14:paraId="0359B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משום מה נחתמו מאמריו תמיד באותיות לועזיות.</w:t>
      </w:r>
    </w:p>
  </w:footnote>
  <w:footnote w:id="1112">
    <w:p w14:paraId="23C62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י״ג באדר ב׳ תרנ״ז.</w:t>
      </w:r>
    </w:p>
  </w:footnote>
  <w:footnote w:id="1113">
    <w:p w14:paraId="035ED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w:t>
      </w:r>
    </w:p>
  </w:footnote>
  <w:footnote w:id="1114">
    <w:p w14:paraId="67834E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בינואר 1992.</w:t>
      </w:r>
    </w:p>
  </w:footnote>
  <w:footnote w:id="1115">
    <w:p w14:paraId="336661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השווה גם </w:t>
      </w:r>
      <w:proofErr w:type="spellStart"/>
      <w:r>
        <w:rPr>
          <w:sz w:val="20"/>
          <w:szCs w:val="20"/>
          <w:rtl/>
        </w:rPr>
        <w:t>דבורץ</w:t>
      </w:r>
      <w:proofErr w:type="spellEnd"/>
      <w:r>
        <w:rPr>
          <w:sz w:val="20"/>
          <w:szCs w:val="20"/>
          <w:rtl/>
        </w:rPr>
        <w:t xml:space="preserve">, “הגאון רבי משה מרדכי אפשטיין”, עמ׳ 25: במחלוקת נגד המוסר בתוך ישיבתו החדשה של הסבא, שש שנים אחר כך (ראה נספח כ), ניסו מתנגדי הסבא לגייס </w:t>
      </w:r>
      <w:proofErr w:type="spellStart"/>
      <w:r>
        <w:rPr>
          <w:sz w:val="20"/>
          <w:szCs w:val="20"/>
          <w:rtl/>
        </w:rPr>
        <w:t>לצדם</w:t>
      </w:r>
      <w:proofErr w:type="spellEnd"/>
      <w:r>
        <w:rPr>
          <w:sz w:val="20"/>
          <w:szCs w:val="20"/>
          <w:rtl/>
        </w:rPr>
        <w:t xml:space="preserve"> את ר׳ </w:t>
      </w:r>
      <w:proofErr w:type="spellStart"/>
      <w:r>
        <w:rPr>
          <w:sz w:val="20"/>
          <w:szCs w:val="20"/>
          <w:rtl/>
        </w:rPr>
        <w:t>משה־מרדכי</w:t>
      </w:r>
      <w:proofErr w:type="spellEnd"/>
      <w:r>
        <w:rPr>
          <w:sz w:val="20"/>
          <w:szCs w:val="20"/>
          <w:rtl/>
        </w:rPr>
        <w:t xml:space="preserve">, “שלא היה מעורב בסדרי המוסר בישיבה” – ראה אמצע הפסקה הראשונה של נספח י בפרק זה, בשם ר׳ חיים </w:t>
      </w:r>
      <w:proofErr w:type="spellStart"/>
      <w:r>
        <w:rPr>
          <w:sz w:val="20"/>
          <w:szCs w:val="20"/>
          <w:rtl/>
        </w:rPr>
        <w:t>סרנא</w:t>
      </w:r>
      <w:proofErr w:type="spellEnd"/>
      <w:r>
        <w:rPr>
          <w:sz w:val="20"/>
          <w:szCs w:val="20"/>
          <w:rtl/>
        </w:rPr>
        <w:t>.</w:t>
      </w:r>
    </w:p>
  </w:footnote>
  <w:footnote w:id="1116">
    <w:p w14:paraId="79B2B5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הוצאה שלישית, ירושלם, תשי״ז – עמ׳ ח–ט.</w:t>
      </w:r>
    </w:p>
  </w:footnote>
  <w:footnote w:id="1117">
    <w:p w14:paraId="57F86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157.</w:t>
      </w:r>
    </w:p>
  </w:footnote>
  <w:footnote w:id="1118">
    <w:p w14:paraId="70395E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סוף הפסקה השנייה של נספח י בפרק זה.</w:t>
      </w:r>
    </w:p>
  </w:footnote>
  <w:footnote w:id="1119">
    <w:p w14:paraId="63F80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251.</w:t>
      </w:r>
    </w:p>
  </w:footnote>
  <w:footnote w:id="1120">
    <w:p w14:paraId="3D2C45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w:t>
      </w:r>
    </w:p>
  </w:footnote>
  <w:footnote w:id="1121">
    <w:p w14:paraId="666B35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החפץ חיים (ישר) (נספח ט בפרק זה), עמ׳ 426–427.</w:t>
      </w:r>
    </w:p>
  </w:footnote>
  <w:footnote w:id="1122">
    <w:p w14:paraId="39F02E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41.</w:t>
      </w:r>
    </w:p>
  </w:footnote>
  <w:footnote w:id="1123">
    <w:p w14:paraId="4E354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קשה להעלות על הדעת שכל עוד עמדה הישיבה בבית המדרש הישן בהנהגת הסבא, כלומר לפני תרנ״ז, נאלצו התלמידים להתפזר בשבתות ובמועדים: הדבר נראה מנוגד לכל רוחה של ישיבת מוסר. אפשר להציע שבעלי הבתים החלו לבוא לישיבה אחרי שנעשתה לכנסת בית יצחק, כשרב העיר, ר׳ משה </w:t>
      </w:r>
      <w:proofErr w:type="spellStart"/>
      <w:r>
        <w:rPr>
          <w:sz w:val="20"/>
          <w:szCs w:val="20"/>
          <w:rtl/>
        </w:rPr>
        <w:t>דנישבסקי</w:t>
      </w:r>
      <w:proofErr w:type="spellEnd"/>
      <w:r>
        <w:rPr>
          <w:sz w:val="20"/>
          <w:szCs w:val="20"/>
          <w:rtl/>
        </w:rPr>
        <w:t>, החל לכהן גם כראש הישיבה (כמבואר להלן). לבסוף השתלטו בעלי הבתים על בית המדרש הישן, והוציאו ממנו את הבחורים בימים שנזקקו לו לחבורות הלימוד שלהם.</w:t>
      </w:r>
    </w:p>
    <w:p w14:paraId="6E144853" w14:textId="77777777" w:rsidR="00AB3647" w:rsidRDefault="00000000">
      <w:pPr>
        <w:spacing w:after="0" w:before="0"/>
        <w:jc w:val="both"/>
      </w:pPr>
      <w:r>
        <w:rPr>
          <w:sz w:val="20"/>
          <w:szCs w:val="20"/>
          <w:rtl/>
        </w:rPr>
        <w:t>ייתכן בהחלט שהרב עצמו הביא רבים מבעלי הבתים שלו לבית המדרש הישן, שבו שהה עתה זמן רב יותר. כמי שלא נמנה עם אנשי המוסר, לא ראה פסול בשילוב בעלי בתים עם בחורי ישיבה, אף עד כדי כך שהתלמידים נדחקו בימים מסוימים בשנה ונאלצו למצוא מקום אחר ללימוד ולתפילה.</w:t>
      </w:r>
    </w:p>
  </w:footnote>
  <w:footnote w:id="1124">
    <w:p w14:paraId="1B2779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49.</w:t>
      </w:r>
    </w:p>
  </w:footnote>
  <w:footnote w:id="1125">
    <w:p w14:paraId="54750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ז בפרק זה.</w:t>
      </w:r>
    </w:p>
  </w:footnote>
  <w:footnote w:id="1126">
    <w:p w14:paraId="27D1ED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w:t>
      </w:r>
      <w:proofErr w:type="spellStart"/>
      <w:r>
        <w:rPr>
          <w:sz w:val="20"/>
          <w:szCs w:val="20"/>
          <w:rtl/>
        </w:rPr>
        <w:t>כא</w:t>
      </w:r>
      <w:proofErr w:type="spellEnd"/>
      <w:r>
        <w:rPr>
          <w:sz w:val="20"/>
          <w:szCs w:val="20"/>
          <w:rtl/>
        </w:rPr>
        <w:t>–</w:t>
      </w:r>
      <w:proofErr w:type="spellStart"/>
      <w:r>
        <w:rPr>
          <w:sz w:val="20"/>
          <w:szCs w:val="20"/>
          <w:rtl/>
        </w:rPr>
        <w:t>כב</w:t>
      </w:r>
      <w:proofErr w:type="spellEnd"/>
      <w:r>
        <w:rPr>
          <w:sz w:val="20"/>
          <w:szCs w:val="20"/>
          <w:rtl/>
        </w:rPr>
        <w:t xml:space="preserve"> במספור העמודים השני.</w:t>
      </w:r>
    </w:p>
  </w:footnote>
  <w:footnote w:id="1127">
    <w:p w14:paraId="3B9BF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128">
    <w:p w14:paraId="6A74D8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הערות 22–24.</w:t>
      </w:r>
    </w:p>
  </w:footnote>
  <w:footnote w:id="1129">
    <w:p w14:paraId="1FA19F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הערה 129 להלן.</w:t>
      </w:r>
    </w:p>
  </w:footnote>
  <w:footnote w:id="1130">
    <w:p w14:paraId="1667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הערה 12.</w:t>
      </w:r>
    </w:p>
  </w:footnote>
  <w:footnote w:id="1131">
    <w:p w14:paraId="16D1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של נספח </w:t>
      </w:r>
      <w:proofErr w:type="spellStart"/>
      <w:r>
        <w:rPr>
          <w:sz w:val="20"/>
          <w:szCs w:val="20"/>
          <w:rtl/>
        </w:rPr>
        <w:t>יח</w:t>
      </w:r>
      <w:proofErr w:type="spellEnd"/>
      <w:r>
        <w:rPr>
          <w:sz w:val="20"/>
          <w:szCs w:val="20"/>
          <w:rtl/>
        </w:rPr>
        <w:t xml:space="preserve"> בפרק זה. “תורת חיים”, עמ׳ </w:t>
      </w:r>
      <w:proofErr w:type="spellStart"/>
      <w:r>
        <w:rPr>
          <w:sz w:val="20"/>
          <w:szCs w:val="20"/>
          <w:rtl/>
        </w:rPr>
        <w:t>כב</w:t>
      </w:r>
      <w:proofErr w:type="spellEnd"/>
      <w:r>
        <w:rPr>
          <w:sz w:val="20"/>
          <w:szCs w:val="20"/>
          <w:rtl/>
        </w:rPr>
        <w:t>, כותב: “</w:t>
      </w:r>
      <w:r>
        <w:rPr>
          <w:b/>
          <w:bCs/>
          <w:sz w:val="20"/>
          <w:szCs w:val="20"/>
          <w:rtl/>
        </w:rPr>
        <w:t>אחרי נישואיו</w:t>
      </w:r>
      <w:r>
        <w:rPr>
          <w:sz w:val="20"/>
          <w:szCs w:val="20"/>
          <w:rtl/>
        </w:rPr>
        <w:t xml:space="preserve"> (ההדגשה שלי), בשנת תרנ״ח, נקרא ר׳ </w:t>
      </w:r>
      <w:proofErr w:type="spellStart"/>
      <w:r>
        <w:rPr>
          <w:sz w:val="20"/>
          <w:szCs w:val="20"/>
          <w:rtl/>
        </w:rPr>
        <w:t>זלמן־סנדר</w:t>
      </w:r>
      <w:proofErr w:type="spellEnd"/>
      <w:r>
        <w:rPr>
          <w:sz w:val="20"/>
          <w:szCs w:val="20"/>
          <w:rtl/>
        </w:rPr>
        <w:t xml:space="preserve"> לעמוד בראש כנסת בית יצחק.” המילים המודגשות אינן מדויקות, שכן ר׳ </w:t>
      </w:r>
      <w:proofErr w:type="spellStart"/>
      <w:r>
        <w:rPr>
          <w:sz w:val="20"/>
          <w:szCs w:val="20"/>
          <w:rtl/>
        </w:rPr>
        <w:t>זלמן־סנדר</w:t>
      </w:r>
      <w:proofErr w:type="spellEnd"/>
      <w:r>
        <w:rPr>
          <w:sz w:val="20"/>
          <w:szCs w:val="20"/>
          <w:rtl/>
        </w:rPr>
        <w:t xml:space="preserve"> נתמנה לרבה של </w:t>
      </w:r>
      <w:proofErr w:type="spellStart"/>
      <w:r>
        <w:rPr>
          <w:sz w:val="20"/>
          <w:szCs w:val="20"/>
          <w:rtl/>
        </w:rPr>
        <w:t>מאלטש</w:t>
      </w:r>
      <w:proofErr w:type="spellEnd"/>
      <w:r>
        <w:rPr>
          <w:sz w:val="20"/>
          <w:szCs w:val="20"/>
          <w:rtl/>
        </w:rPr>
        <w:t xml:space="preserve"> – כאשר, כמובן, כבר היה נשוי – </w:t>
      </w:r>
      <w:proofErr w:type="spellStart"/>
      <w:r>
        <w:rPr>
          <w:sz w:val="20"/>
          <w:szCs w:val="20"/>
          <w:rtl/>
        </w:rPr>
        <w:t>שלוש־עשרה</w:t>
      </w:r>
      <w:proofErr w:type="spellEnd"/>
      <w:r>
        <w:rPr>
          <w:sz w:val="20"/>
          <w:szCs w:val="20"/>
          <w:rtl/>
        </w:rPr>
        <w:t xml:space="preserve"> שנה קודם לכן.</w:t>
      </w:r>
    </w:p>
  </w:footnote>
  <w:footnote w:id="1132">
    <w:p w14:paraId="10D59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במאי 1993.</w:t>
      </w:r>
    </w:p>
  </w:footnote>
  <w:footnote w:id="1133">
    <w:p w14:paraId="6CA2DE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w:t>
      </w:r>
    </w:p>
  </w:footnote>
  <w:footnote w:id="1134">
    <w:p w14:paraId="3F358E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63 </w:t>
      </w:r>
      <w:proofErr w:type="spellStart"/>
      <w:r>
        <w:rPr>
          <w:sz w:val="20"/>
          <w:szCs w:val="20"/>
          <w:rtl/>
        </w:rPr>
        <w:t>ב“ספר</w:t>
      </w:r>
      <w:proofErr w:type="spellEnd"/>
      <w:r>
        <w:rPr>
          <w:sz w:val="20"/>
          <w:szCs w:val="20"/>
          <w:rtl/>
        </w:rPr>
        <w:t xml:space="preserve"> יזכור לקהילות </w:t>
      </w:r>
      <w:proofErr w:type="spellStart"/>
      <w:r>
        <w:rPr>
          <w:sz w:val="20"/>
          <w:szCs w:val="20"/>
          <w:rtl/>
        </w:rPr>
        <w:t>קמניץ</w:t>
      </w:r>
      <w:proofErr w:type="spellEnd"/>
      <w:r>
        <w:rPr>
          <w:sz w:val="20"/>
          <w:szCs w:val="20"/>
          <w:rtl/>
        </w:rPr>
        <w:t xml:space="preserve"> </w:t>
      </w:r>
      <w:proofErr w:type="spellStart"/>
      <w:r>
        <w:rPr>
          <w:sz w:val="20"/>
          <w:szCs w:val="20"/>
          <w:rtl/>
        </w:rPr>
        <w:t>דליטא</w:t>
      </w:r>
      <w:proofErr w:type="spellEnd"/>
      <w:r>
        <w:rPr>
          <w:sz w:val="20"/>
          <w:szCs w:val="20"/>
          <w:rtl/>
        </w:rPr>
        <w:t xml:space="preserve">, </w:t>
      </w:r>
      <w:proofErr w:type="spellStart"/>
      <w:r>
        <w:rPr>
          <w:sz w:val="20"/>
          <w:szCs w:val="20"/>
          <w:rtl/>
        </w:rPr>
        <w:t>זסטביה</w:t>
      </w:r>
      <w:proofErr w:type="spellEnd"/>
      <w:r>
        <w:rPr>
          <w:sz w:val="20"/>
          <w:szCs w:val="20"/>
          <w:rtl/>
        </w:rPr>
        <w:t xml:space="preserve"> והקולוניות” (תל אביב, תש״ל), בהוצאת ארגון יוצאי </w:t>
      </w:r>
      <w:proofErr w:type="spellStart"/>
      <w:r>
        <w:rPr>
          <w:sz w:val="20"/>
          <w:szCs w:val="20"/>
          <w:rtl/>
        </w:rPr>
        <w:t>קמניץ</w:t>
      </w:r>
      <w:proofErr w:type="spellEnd"/>
      <w:r>
        <w:rPr>
          <w:sz w:val="20"/>
          <w:szCs w:val="20"/>
          <w:rtl/>
        </w:rPr>
        <w:t xml:space="preserve"> וכו׳ בישראל וארה״ב. הרב אדלשטיין הוא מחבר “ר׳ ברוך בר”.</w:t>
      </w:r>
    </w:p>
  </w:footnote>
  <w:footnote w:id="1135">
    <w:p w14:paraId="04AC70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xml:space="preserve">”, עמ׳ 40, טועה ומאחר את בואו של ר׳ </w:t>
      </w:r>
      <w:proofErr w:type="spellStart"/>
      <w:r>
        <w:rPr>
          <w:sz w:val="20"/>
          <w:szCs w:val="20"/>
          <w:rtl/>
        </w:rPr>
        <w:t>ברוך־בער</w:t>
      </w:r>
      <w:proofErr w:type="spellEnd"/>
      <w:r>
        <w:rPr>
          <w:sz w:val="20"/>
          <w:szCs w:val="20"/>
          <w:rtl/>
        </w:rPr>
        <w:t xml:space="preserve"> בשנה.</w:t>
      </w:r>
    </w:p>
  </w:footnote>
  <w:footnote w:id="1136">
    <w:p w14:paraId="66742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 עמ׳ שכח.</w:t>
      </w:r>
    </w:p>
  </w:footnote>
  <w:footnote w:id="1137">
    <w:p w14:paraId="113A2E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את אזהרתו הארוכה של בעל “שרידי אש” בהערת השוליים שם, עמ׳ </w:t>
      </w:r>
      <w:proofErr w:type="spellStart"/>
      <w:r>
        <w:rPr>
          <w:sz w:val="20"/>
          <w:szCs w:val="20"/>
          <w:rtl/>
        </w:rPr>
        <w:t>שיב</w:t>
      </w:r>
      <w:proofErr w:type="spellEnd"/>
      <w:r>
        <w:rPr>
          <w:sz w:val="20"/>
          <w:szCs w:val="20"/>
          <w:rtl/>
        </w:rPr>
        <w:t xml:space="preserve">, בעניין שיחותיו של הסבא; אפשר שהיא חלה גם על ציטוטים אחרים </w:t>
      </w:r>
      <w:proofErr w:type="spellStart"/>
      <w:r>
        <w:rPr>
          <w:sz w:val="20"/>
          <w:szCs w:val="20"/>
          <w:rtl/>
        </w:rPr>
        <w:t>שב“שרידי</w:t>
      </w:r>
      <w:proofErr w:type="spellEnd"/>
      <w:r>
        <w:rPr>
          <w:sz w:val="20"/>
          <w:szCs w:val="20"/>
          <w:rtl/>
        </w:rPr>
        <w:t xml:space="preserve"> אש”. כך פותחת האזהרה: “גם בלי שאומר זאת, צריך הקורא להבין ששיחות הסבא [שאני מוסר כאן] לא נמסרו על ידי כפי שנאמרו במקורן: כיצד יכולתי לנהוג אחרת? עשרות שנים חלפו מאז [ששמעתין], ואז עוד הייתי צעיר. מטבע הדברים הוספתי וגרעתי...”</w:t>
      </w:r>
    </w:p>
  </w:footnote>
  <w:footnote w:id="1138">
    <w:p w14:paraId="000CE3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“פולמוס המוסר”, הערת שוליים בעמ׳ 30.</w:t>
      </w:r>
    </w:p>
  </w:footnote>
  <w:footnote w:id="1139">
    <w:p w14:paraId="097DC3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של נספח ז.</w:t>
      </w:r>
    </w:p>
  </w:footnote>
  <w:footnote w:id="1140">
    <w:p w14:paraId="38CDB5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w:t>
      </w:r>
    </w:p>
  </w:footnote>
  <w:footnote w:id="1141">
    <w:p w14:paraId="46BF1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142">
    <w:p w14:paraId="2CDF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במרץ 1993.</w:t>
      </w:r>
    </w:p>
  </w:footnote>
  <w:footnote w:id="1143">
    <w:p w14:paraId="1BCA3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265.</w:t>
      </w:r>
    </w:p>
  </w:footnote>
  <w:footnote w:id="1144">
    <w:p w14:paraId="37223C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264.</w:t>
      </w:r>
    </w:p>
  </w:footnote>
  <w:footnote w:id="1145">
    <w:p w14:paraId="3777C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331.</w:t>
      </w:r>
    </w:p>
  </w:footnote>
  <w:footnote w:id="1146">
    <w:p w14:paraId="08C11A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147">
    <w:p w14:paraId="731B0D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48">
    <w:p w14:paraId="6FCF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תחילת הפסקה השנייה בפרק 5.2.</w:t>
      </w:r>
    </w:p>
  </w:footnote>
  <w:footnote w:id="1149">
    <w:p w14:paraId="14A7D6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29.</w:t>
      </w:r>
    </w:p>
  </w:footnote>
  <w:footnote w:id="1150">
    <w:p w14:paraId="05E3A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השביעית בפרק 4.2.</w:t>
      </w:r>
    </w:p>
  </w:footnote>
  <w:footnote w:id="1151">
    <w:p w14:paraId="0A98D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1152">
    <w:p w14:paraId="2591FE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כ להלן.</w:t>
      </w:r>
    </w:p>
  </w:footnote>
  <w:footnote w:id="1153">
    <w:p w14:paraId="6CE54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האחרונים התכנסו סביב מקומו של הסבא בבית המדרש, כמתואר בתחילת פרק 4.2.</w:t>
      </w:r>
    </w:p>
  </w:footnote>
  <w:footnote w:id="1154">
    <w:p w14:paraId="3246D6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לדעתי, כינויי הגנאי הקטנוניים והפוגעניים הללו, שהם היפוכו של מוסר, היו אפשריים בכנסת ישראל רק קודם לתקופת המוסר </w:t>
      </w:r>
      <w:proofErr w:type="spellStart"/>
      <w:r>
        <w:rPr>
          <w:sz w:val="20"/>
          <w:szCs w:val="20"/>
          <w:rtl/>
        </w:rPr>
        <w:t>הסלבודקאי</w:t>
      </w:r>
      <w:proofErr w:type="spellEnd"/>
      <w:r>
        <w:rPr>
          <w:sz w:val="20"/>
          <w:szCs w:val="20"/>
          <w:rtl/>
        </w:rPr>
        <w:t xml:space="preserve"> המיוחד, שהחלה אחרי תרס״ה, כמסופר להלן.</w:t>
      </w:r>
    </w:p>
  </w:footnote>
  <w:footnote w:id="1155">
    <w:p w14:paraId="628F50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מכתבו של הלוי המצוטט בפסקה השנייה של נספח </w:t>
      </w:r>
      <w:proofErr w:type="spellStart"/>
      <w:r>
        <w:rPr>
          <w:sz w:val="20"/>
          <w:szCs w:val="20"/>
          <w:rtl/>
        </w:rPr>
        <w:t>יז</w:t>
      </w:r>
      <w:proofErr w:type="spellEnd"/>
      <w:r>
        <w:rPr>
          <w:sz w:val="20"/>
          <w:szCs w:val="20"/>
          <w:rtl/>
        </w:rPr>
        <w:t xml:space="preserve"> בפרק זה.</w:t>
      </w:r>
    </w:p>
  </w:footnote>
  <w:footnote w:id="1156">
    <w:p w14:paraId="2F0B3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ו, ופרק 5, הערה 28.</w:t>
      </w:r>
    </w:p>
  </w:footnote>
  <w:footnote w:id="1157">
    <w:p w14:paraId="5B9FA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ג, עמ׳ 51–53, </w:t>
      </w:r>
      <w:proofErr w:type="spellStart"/>
      <w:r>
        <w:rPr>
          <w:sz w:val="20"/>
          <w:szCs w:val="20"/>
          <w:rtl/>
        </w:rPr>
        <w:t>ו“פולמוס</w:t>
      </w:r>
      <w:proofErr w:type="spellEnd"/>
      <w:r>
        <w:rPr>
          <w:sz w:val="20"/>
          <w:szCs w:val="20"/>
          <w:rtl/>
        </w:rPr>
        <w:t xml:space="preserve"> המוסר”, עמ׳ 264–268.</w:t>
      </w:r>
    </w:p>
  </w:footnote>
  <w:footnote w:id="1158">
    <w:p w14:paraId="16E18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דבורץ</w:t>
      </w:r>
      <w:proofErr w:type="spellEnd"/>
      <w:r>
        <w:rPr>
          <w:sz w:val="20"/>
          <w:szCs w:val="20"/>
          <w:rtl/>
        </w:rPr>
        <w:t xml:space="preserve">, “הגאון רבי משה מרדכי אפשטיין”, עמ׳ 34. השווה גם הפסקה השלישית של נספח </w:t>
      </w:r>
      <w:proofErr w:type="spellStart"/>
      <w:r>
        <w:rPr>
          <w:sz w:val="20"/>
          <w:szCs w:val="20"/>
          <w:rtl/>
        </w:rPr>
        <w:t>כו</w:t>
      </w:r>
      <w:proofErr w:type="spellEnd"/>
      <w:r>
        <w:rPr>
          <w:sz w:val="20"/>
          <w:szCs w:val="20"/>
          <w:rtl/>
        </w:rPr>
        <w:t xml:space="preserve"> להלן, שבה מצוטט רבנו כאומר שהספר שנבחר לביזוי היה דווקא “אור ישראל”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מפני שהגן על תנועת המוסר.</w:t>
      </w:r>
    </w:p>
  </w:footnote>
  <w:footnote w:id="1159">
    <w:p w14:paraId="65205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w:t>
      </w:r>
    </w:p>
  </w:footnote>
  <w:footnote w:id="1160">
    <w:p w14:paraId="2585F5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ב־27 במאי 2002, כשכתיבת ספר זה התקרבה לסיומה. על אביו ראה עמ׳ </w:t>
      </w:r>
      <w:r>
        <w:rPr>
          <w:sz w:val="20"/>
          <w:szCs w:val="20"/>
          <w:rtl/>
        </w:rPr>
        <w:fldChar w:fldCharType="begin" w:dirty="true"/>
      </w:r>
      <w:r>
        <w:rPr>
          <w:sz w:val="20"/>
          <w:szCs w:val="20"/>
          <w:rtl/>
        </w:rPr>
        <w:instrText xml:space="preserve"> PAGEREF pr_b_2696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pr_b_2700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161">
    <w:p w14:paraId="1F212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1162">
    <w:p w14:paraId="560B40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63">
    <w:p w14:paraId="08AB3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מסופר בספרו של כץ, “תנועת המוסר”, כרך ג, עמ׳ 53.</w:t>
      </w:r>
    </w:p>
  </w:footnote>
  <w:footnote w:id="1164">
    <w:p w14:paraId="2ADA24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ביקון</w:t>
      </w:r>
      <w:proofErr w:type="spellEnd"/>
      <w:r>
        <w:rPr>
          <w:sz w:val="20"/>
          <w:szCs w:val="20"/>
          <w:rtl/>
        </w:rPr>
        <w:t>, בוסטון, 1968 – עמ׳ 185.</w:t>
      </w:r>
    </w:p>
  </w:footnote>
  <w:footnote w:id="1165">
    <w:p w14:paraId="0DA6B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33, להסבר מילים אלו.</w:t>
      </w:r>
    </w:p>
  </w:footnote>
  <w:footnote w:id="1166">
    <w:p w14:paraId="4EBF1F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ואילו בעלי המוסר של </w:t>
      </w:r>
      <w:proofErr w:type="spellStart"/>
      <w:r>
        <w:rPr>
          <w:sz w:val="20"/>
          <w:szCs w:val="20"/>
          <w:rtl/>
        </w:rPr>
        <w:t>נובהרדוק</w:t>
      </w:r>
      <w:proofErr w:type="spellEnd"/>
      <w:r>
        <w:rPr>
          <w:sz w:val="20"/>
          <w:szCs w:val="20"/>
          <w:rtl/>
        </w:rPr>
        <w:t xml:space="preserve"> אומרים: כשאי אפשר לעבור מעל, צריך לעבור מעל. פתגם זה מבטא את אדישותם המוחלטת לדעת הציבור – </w:t>
      </w:r>
      <w:proofErr w:type="spellStart"/>
      <w:r>
        <w:rPr>
          <w:sz w:val="20"/>
          <w:szCs w:val="20"/>
          <w:rtl/>
        </w:rPr>
        <w:t>שבסלבודקה</w:t>
      </w:r>
      <w:proofErr w:type="spellEnd"/>
      <w:r>
        <w:rPr>
          <w:sz w:val="20"/>
          <w:szCs w:val="20"/>
          <w:rtl/>
        </w:rPr>
        <w:t xml:space="preserve"> מקפידים להתחשב בה. (ראה סוף הפסקה הראשונה בהערה 51 לעיל, ופרק 5, נספח א.)</w:t>
      </w:r>
    </w:p>
  </w:footnote>
  <w:footnote w:id="1167">
    <w:p w14:paraId="1531F3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34–35.</w:t>
      </w:r>
    </w:p>
  </w:footnote>
  <w:footnote w:id="1168">
    <w:p w14:paraId="3846F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w:t>
      </w:r>
      <w:proofErr w:type="spellStart"/>
      <w:r>
        <w:rPr>
          <w:sz w:val="20"/>
          <w:szCs w:val="20"/>
          <w:rtl/>
        </w:rPr>
        <w:t>קרלינסקי</w:t>
      </w:r>
      <w:proofErr w:type="spellEnd"/>
      <w:r>
        <w:rPr>
          <w:sz w:val="20"/>
          <w:szCs w:val="20"/>
          <w:rtl/>
        </w:rPr>
        <w:t>, ריאיון ב־28 בדצמבר 1986.</w:t>
      </w:r>
    </w:p>
  </w:footnote>
  <w:footnote w:id="1169">
    <w:p w14:paraId="1474F0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בפרק זה – עמ׳ </w:t>
      </w:r>
      <w:proofErr w:type="spellStart"/>
      <w:r>
        <w:rPr>
          <w:sz w:val="20"/>
          <w:szCs w:val="20"/>
          <w:rtl/>
        </w:rPr>
        <w:t>שכג</w:t>
      </w:r>
      <w:proofErr w:type="spellEnd"/>
      <w:r>
        <w:rPr>
          <w:sz w:val="20"/>
          <w:szCs w:val="20"/>
          <w:rtl/>
        </w:rPr>
        <w:t>.</w:t>
      </w:r>
    </w:p>
  </w:footnote>
  <w:footnote w:id="1170">
    <w:p w14:paraId="65368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שיד.</w:t>
      </w:r>
    </w:p>
  </w:footnote>
  <w:footnote w:id="1171">
    <w:p w14:paraId="78D22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ב״ק</w:t>
      </w:r>
      <w:proofErr w:type="spellEnd"/>
      <w:r>
        <w:rPr>
          <w:sz w:val="20"/>
          <w:szCs w:val="20"/>
          <w:rtl/>
        </w:rPr>
        <w:t xml:space="preserve"> נ ע״א.</w:t>
      </w:r>
    </w:p>
  </w:footnote>
  <w:footnote w:id="1172">
    <w:p w14:paraId="30751E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77 להלן.</w:t>
      </w:r>
    </w:p>
  </w:footnote>
  <w:footnote w:id="1173">
    <w:p w14:paraId="1814F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שכד.</w:t>
      </w:r>
    </w:p>
  </w:footnote>
  <w:footnote w:id="1174">
    <w:p w14:paraId="77F2B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127, המספר שכבר </w:t>
      </w:r>
      <w:proofErr w:type="spellStart"/>
      <w:r>
        <w:rPr>
          <w:sz w:val="20"/>
          <w:szCs w:val="20"/>
          <w:rtl/>
        </w:rPr>
        <w:t>בתרס״ו</w:t>
      </w:r>
      <w:proofErr w:type="spellEnd"/>
      <w:r>
        <w:rPr>
          <w:sz w:val="20"/>
          <w:szCs w:val="20"/>
          <w:rtl/>
        </w:rPr>
        <w:t xml:space="preserve"> נתפסה </w:t>
      </w:r>
      <w:proofErr w:type="spellStart"/>
      <w:r>
        <w:rPr>
          <w:sz w:val="20"/>
          <w:szCs w:val="20"/>
          <w:rtl/>
        </w:rPr>
        <w:t>סלבודקה</w:t>
      </w:r>
      <w:proofErr w:type="spellEnd"/>
      <w:r>
        <w:rPr>
          <w:sz w:val="20"/>
          <w:szCs w:val="20"/>
          <w:rtl/>
        </w:rPr>
        <w:t xml:space="preserve"> בעיני תלמידי </w:t>
      </w:r>
      <w:proofErr w:type="spellStart"/>
      <w:r>
        <w:rPr>
          <w:sz w:val="20"/>
          <w:szCs w:val="20"/>
          <w:rtl/>
        </w:rPr>
        <w:t>טלז</w:t>
      </w:r>
      <w:proofErr w:type="spellEnd"/>
      <w:r>
        <w:rPr>
          <w:sz w:val="20"/>
          <w:szCs w:val="20"/>
          <w:rtl/>
        </w:rPr>
        <w:t xml:space="preserve"> כדוגלת </w:t>
      </w:r>
      <w:proofErr w:type="spellStart"/>
      <w:r>
        <w:rPr>
          <w:sz w:val="20"/>
          <w:szCs w:val="20"/>
          <w:rtl/>
        </w:rPr>
        <w:t>ב“חיטוט</w:t>
      </w:r>
      <w:proofErr w:type="spellEnd"/>
      <w:r>
        <w:rPr>
          <w:sz w:val="20"/>
          <w:szCs w:val="20"/>
          <w:rtl/>
        </w:rPr>
        <w:t xml:space="preserve"> ובדיקת נפשות” התלמידים. השווה גם פרק 4, סוף הערה 49, שבו מתאר בוגר </w:t>
      </w:r>
      <w:proofErr w:type="spellStart"/>
      <w:r>
        <w:rPr>
          <w:sz w:val="20"/>
          <w:szCs w:val="20"/>
          <w:rtl/>
        </w:rPr>
        <w:t>סלבודקה</w:t>
      </w:r>
      <w:proofErr w:type="spellEnd"/>
      <w:r>
        <w:rPr>
          <w:sz w:val="20"/>
          <w:szCs w:val="20"/>
          <w:rtl/>
        </w:rPr>
        <w:t xml:space="preserve"> מפורסם את הרב שר כמי שאינו תואם לגמרי את דרכו של הסבא </w:t>
      </w:r>
      <w:proofErr w:type="spellStart"/>
      <w:r>
        <w:rPr>
          <w:sz w:val="20"/>
          <w:szCs w:val="20"/>
          <w:rtl/>
        </w:rPr>
        <w:t>מסלבודקה</w:t>
      </w:r>
      <w:proofErr w:type="spellEnd"/>
      <w:r>
        <w:rPr>
          <w:sz w:val="20"/>
          <w:szCs w:val="20"/>
          <w:rtl/>
        </w:rPr>
        <w:t>.</w:t>
      </w:r>
    </w:p>
  </w:footnote>
  <w:footnote w:id="1175">
    <w:p w14:paraId="357AF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בע״מ, ירושלים – עמ׳ 118–119.</w:t>
      </w:r>
    </w:p>
  </w:footnote>
  <w:footnote w:id="1176">
    <w:p w14:paraId="4A3CF9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לאמונו של הקב״ה באנושות ראה ספרי דברים, אות </w:t>
      </w:r>
      <w:proofErr w:type="spellStart"/>
      <w:r>
        <w:rPr>
          <w:sz w:val="20"/>
          <w:szCs w:val="20"/>
          <w:rtl/>
        </w:rPr>
        <w:t>שז</w:t>
      </w:r>
      <w:proofErr w:type="spellEnd"/>
      <w:r>
        <w:rPr>
          <w:sz w:val="20"/>
          <w:szCs w:val="20"/>
          <w:rtl/>
        </w:rPr>
        <w:t xml:space="preserve">: “‘א־ל אמונה’: שהאמין בעולמו ובראו”. השווה גם אמצע הפסקה השלישית בנספח יד בפרק זה, בדבר יחסי </w:t>
      </w:r>
      <w:proofErr w:type="spellStart"/>
      <w:r>
        <w:rPr>
          <w:sz w:val="20"/>
          <w:szCs w:val="20"/>
          <w:rtl/>
        </w:rPr>
        <w:t>החזון־איש</w:t>
      </w:r>
      <w:proofErr w:type="spellEnd"/>
      <w:r>
        <w:rPr>
          <w:sz w:val="20"/>
          <w:szCs w:val="20"/>
          <w:rtl/>
        </w:rPr>
        <w:t xml:space="preserve"> עם בעלי המוסר.</w:t>
      </w:r>
    </w:p>
  </w:footnote>
  <w:footnote w:id="1177">
    <w:p w14:paraId="203B9B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מכון ירושלים, </w:t>
      </w:r>
      <w:proofErr w:type="spellStart"/>
      <w:r>
        <w:rPr>
          <w:sz w:val="20"/>
          <w:szCs w:val="20"/>
          <w:rtl/>
        </w:rPr>
        <w:t>תשד״מ</w:t>
      </w:r>
      <w:proofErr w:type="spellEnd"/>
      <w:r>
        <w:rPr>
          <w:sz w:val="20"/>
          <w:szCs w:val="20"/>
          <w:rtl/>
        </w:rPr>
        <w:t xml:space="preserve"> – עמ׳ לג.</w:t>
      </w:r>
    </w:p>
  </w:footnote>
  <w:footnote w:id="1178">
    <w:p w14:paraId="29D22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w:t>
      </w:r>
    </w:p>
  </w:footnote>
  <w:footnote w:id="1179">
    <w:p w14:paraId="7E95B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 xml:space="preserve"> – נספח א בפרק זה.</w:t>
      </w:r>
    </w:p>
  </w:footnote>
  <w:footnote w:id="1180">
    <w:p w14:paraId="51695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77. כץ, מחבר הסדרה, ראיין בעיקר תלמידים מתקופה זו.</w:t>
      </w:r>
    </w:p>
  </w:footnote>
  <w:footnote w:id="1181">
    <w:p w14:paraId="50BF87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182">
    <w:p w14:paraId="5EC7D3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 בינואר 1987.</w:t>
      </w:r>
    </w:p>
  </w:footnote>
  <w:footnote w:id="1183">
    <w:p w14:paraId="32FB4E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42.</w:t>
      </w:r>
    </w:p>
  </w:footnote>
  <w:footnote w:id="1184">
    <w:p w14:paraId="6E01B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ה בפרק זה.</w:t>
      </w:r>
    </w:p>
  </w:footnote>
  <w:footnote w:id="1185">
    <w:p w14:paraId="541406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השתמש במילים </w:t>
      </w:r>
      <w:proofErr w:type="spellStart"/>
      <w:r>
        <w:rPr>
          <w:sz w:val="20"/>
          <w:szCs w:val="20"/>
          <w:rtl/>
        </w:rPr>
        <w:t>היידיות</w:t>
      </w:r>
      <w:proofErr w:type="spellEnd"/>
      <w:r>
        <w:rPr>
          <w:sz w:val="20"/>
          <w:szCs w:val="20"/>
          <w:rtl/>
        </w:rPr>
        <w:t xml:space="preserve"> “האט </w:t>
      </w:r>
      <w:proofErr w:type="spellStart"/>
      <w:r>
        <w:rPr>
          <w:sz w:val="20"/>
          <w:szCs w:val="20"/>
          <w:rtl/>
        </w:rPr>
        <w:t>קאנטראלירט</w:t>
      </w:r>
      <w:proofErr w:type="spellEnd"/>
      <w:r>
        <w:rPr>
          <w:sz w:val="20"/>
          <w:szCs w:val="20"/>
          <w:rtl/>
        </w:rPr>
        <w:t>” [פיקח], שפירושן המילולי הוא “שלט” או “בדק”.</w:t>
      </w:r>
    </w:p>
  </w:footnote>
  <w:footnote w:id="1186">
    <w:p w14:paraId="1F4077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w:t>
      </w:r>
    </w:p>
  </w:footnote>
  <w:footnote w:id="1187">
    <w:p w14:paraId="073C0B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חזר על חילופי הדברים האלה (ובכללם התוספת שבמשפט השני) באוזני ר׳ ישראל </w:t>
      </w:r>
      <w:proofErr w:type="spellStart"/>
      <w:r>
        <w:rPr>
          <w:sz w:val="20"/>
          <w:szCs w:val="20"/>
          <w:rtl/>
        </w:rPr>
        <w:t>בלסקי</w:t>
      </w:r>
      <w:proofErr w:type="spellEnd"/>
      <w:r>
        <w:rPr>
          <w:sz w:val="20"/>
          <w:szCs w:val="20"/>
          <w:rtl/>
        </w:rPr>
        <w:t xml:space="preserve">, שהעלה אותם על הכתב במאמר זיכרון שלא נדפס, ונתן לי העתק ממנו ב־13 במרץ 1988. מאמר הזיכרון לרבנו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(גיליון אייר תשמ״ו) מתאר את חילופי הדברים בין אבי ובין ראשי הקהילה בטורונטו באופן שונה מעט: הם שאלו אם הוא חסיד, והוא השיב: “כן, אבל הרבי שלי היה ‘</w:t>
      </w:r>
      <w:proofErr w:type="spellStart"/>
      <w:r>
        <w:rPr>
          <w:sz w:val="20"/>
          <w:szCs w:val="20"/>
          <w:rtl/>
        </w:rPr>
        <w:t>ליטוואק</w:t>
      </w:r>
      <w:proofErr w:type="spellEnd"/>
      <w:r>
        <w:rPr>
          <w:sz w:val="20"/>
          <w:szCs w:val="20"/>
          <w:rtl/>
        </w:rPr>
        <w:t>’.” יהיה הנוסח המדויק של השיחה אשר יהיה, “</w:t>
      </w:r>
      <w:proofErr w:type="spellStart"/>
      <w:r>
        <w:rPr>
          <w:sz w:val="20"/>
          <w:szCs w:val="20"/>
          <w:rtl/>
        </w:rPr>
        <w:t>ליטוואק</w:t>
      </w:r>
      <w:proofErr w:type="spellEnd"/>
      <w:r>
        <w:rPr>
          <w:sz w:val="20"/>
          <w:szCs w:val="20"/>
          <w:rtl/>
        </w:rPr>
        <w:t>” היה הכינוי שבו כינו אבי ובני שיחו מתנגד.</w:t>
      </w:r>
    </w:p>
  </w:footnote>
  <w:footnote w:id="1188">
    <w:p w14:paraId="2580D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189">
    <w:p w14:paraId="5BE2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190">
    <w:p w14:paraId="1BFDED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191">
    <w:p w14:paraId="7788A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1192">
    <w:p w14:paraId="50B57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ביטוי המבוסס על גיטין נט ע״א.</w:t>
      </w:r>
    </w:p>
  </w:footnote>
  <w:footnote w:id="1193">
    <w:p w14:paraId="5BA005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שבו פרטים נוספים על הרב טרכטנברג.</w:t>
      </w:r>
    </w:p>
  </w:footnote>
  <w:footnote w:id="1194">
    <w:p w14:paraId="250BF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אני סבור שבמילה הזאת ביקש אבי לומר לה שגם אם פקע עם נישואיה מחדש הקשר שלה לבעלה הראשון, ידידו היקר מאוד של רבנו, היא נשארה במחשבתו בזכות קשריו עם אביה, כפי שכתב בהמשך. בניגוד להנחתו של רבנו, נישואיה מחדש לא ניתקו אותה כליל מבעלה שנספה: לילדה מנישואיה השניים קראה שלמה, על שם בעלה הראשון! הסכמתו של בעלה החדש, ר׳ </w:t>
      </w:r>
      <w:proofErr w:type="spellStart"/>
      <w:r>
        <w:rPr>
          <w:sz w:val="20"/>
          <w:szCs w:val="20"/>
          <w:rtl/>
        </w:rPr>
        <w:t>יוסף־אריה</w:t>
      </w:r>
      <w:proofErr w:type="spellEnd"/>
      <w:r>
        <w:rPr>
          <w:sz w:val="20"/>
          <w:szCs w:val="20"/>
          <w:rtl/>
        </w:rPr>
        <w:t xml:space="preserve"> פולק, לתת לילדו את השם הזה מעידה כאלף עדים על עדינותו; זכיתי להכירו.</w:t>
      </w:r>
    </w:p>
  </w:footnote>
  <w:footnote w:id="1195">
    <w:p w14:paraId="5606F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ביולי 1994.</w:t>
      </w:r>
    </w:p>
  </w:footnote>
  <w:footnote w:id="1196">
    <w:p w14:paraId="639AC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בנובמבר 1994.</w:t>
      </w:r>
    </w:p>
  </w:footnote>
  <w:footnote w:id="1197">
    <w:p w14:paraId="450D59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משלחת זו לגיוס כספים נזכרה בעמ׳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והשווה כרך 2.</w:t>
      </w:r>
    </w:p>
  </w:footnote>
  <w:footnote w:id="1198">
    <w:p w14:paraId="2C2259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גולדשמידט, ריאיון, 21 בנובמבר 1991.</w:t>
      </w:r>
    </w:p>
  </w:footnote>
  <w:footnote w:id="1199">
    <w:p w14:paraId="3CCAB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בנובמבר 1994.</w:t>
      </w:r>
    </w:p>
  </w:footnote>
  <w:footnote w:id="1200">
    <w:p w14:paraId="487F1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י בפרק זה – עמ׳ 42. הטעם המובא כאן לשמו המוזר של מתים </w:t>
      </w:r>
      <w:proofErr w:type="spellStart"/>
      <w:r>
        <w:rPr>
          <w:sz w:val="20"/>
          <w:szCs w:val="20"/>
          <w:rtl/>
        </w:rPr>
        <w:t>גאס</w:t>
      </w:r>
      <w:proofErr w:type="spellEnd"/>
      <w:r>
        <w:rPr>
          <w:sz w:val="20"/>
          <w:szCs w:val="20"/>
          <w:rtl/>
        </w:rPr>
        <w:t xml:space="preserve"> [רחוב המתים] הוצע שם, עמ׳ 72.</w:t>
      </w:r>
    </w:p>
  </w:footnote>
  <w:footnote w:id="1201">
    <w:p w14:paraId="4F933D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96, והשווה כרך 2 בעניין פירושו של רבנו </w:t>
      </w:r>
      <w:proofErr w:type="spellStart"/>
      <w:r>
        <w:rPr>
          <w:sz w:val="20"/>
          <w:szCs w:val="20"/>
          <w:rtl/>
        </w:rPr>
        <w:t>ל“שב</w:t>
      </w:r>
      <w:proofErr w:type="spellEnd"/>
      <w:r>
        <w:rPr>
          <w:sz w:val="20"/>
          <w:szCs w:val="20"/>
          <w:rtl/>
        </w:rPr>
        <w:t xml:space="preserve"> </w:t>
      </w:r>
      <w:proofErr w:type="spellStart"/>
      <w:r>
        <w:rPr>
          <w:sz w:val="20"/>
          <w:szCs w:val="20"/>
          <w:rtl/>
        </w:rPr>
        <w:t>שמעתתא</w:t>
      </w:r>
      <w:proofErr w:type="spellEnd"/>
      <w:r>
        <w:rPr>
          <w:sz w:val="20"/>
          <w:szCs w:val="20"/>
          <w:rtl/>
        </w:rPr>
        <w:t>”.</w:t>
      </w:r>
    </w:p>
  </w:footnote>
  <w:footnote w:id="1202">
    <w:p w14:paraId="5EAA67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באוגוסט 1999.</w:t>
      </w:r>
    </w:p>
  </w:footnote>
  <w:footnote w:id="1203">
    <w:p w14:paraId="4A5F24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בערל </w:t>
      </w:r>
      <w:proofErr w:type="spellStart"/>
      <w:r>
        <w:rPr>
          <w:sz w:val="20"/>
          <w:szCs w:val="20"/>
          <w:rtl/>
        </w:rPr>
        <w:t>קגן</w:t>
      </w:r>
      <w:proofErr w:type="spellEnd"/>
      <w:r>
        <w:rPr>
          <w:sz w:val="20"/>
          <w:szCs w:val="20"/>
          <w:rtl/>
        </w:rPr>
        <w:t xml:space="preserve"> (הערה 10 לעיל), עמ׳ 386.</w:t>
      </w:r>
    </w:p>
  </w:footnote>
  <w:footnote w:id="1204">
    <w:p w14:paraId="3EF641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הביטוי לקוח מן התוספת הקבלית לספירת העומר.</w:t>
      </w:r>
    </w:p>
  </w:footnote>
  <w:footnote w:id="1205">
    <w:p w14:paraId="082FB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ששני הסיפורים נכונים. ר׳ </w:t>
      </w:r>
      <w:proofErr w:type="spellStart"/>
      <w:r>
        <w:rPr>
          <w:sz w:val="20"/>
          <w:szCs w:val="20"/>
          <w:rtl/>
        </w:rPr>
        <w:t>אריה־לייב</w:t>
      </w:r>
      <w:proofErr w:type="spellEnd"/>
      <w:r>
        <w:rPr>
          <w:sz w:val="20"/>
          <w:szCs w:val="20"/>
          <w:rtl/>
        </w:rPr>
        <w:t xml:space="preserve"> הכהן בא לבקש הסכמה </w:t>
      </w:r>
      <w:proofErr w:type="spellStart"/>
      <w:r>
        <w:rPr>
          <w:sz w:val="20"/>
          <w:szCs w:val="20"/>
          <w:rtl/>
        </w:rPr>
        <w:t>ל“קצות</w:t>
      </w:r>
      <w:proofErr w:type="spellEnd"/>
      <w:r>
        <w:rPr>
          <w:sz w:val="20"/>
          <w:szCs w:val="20"/>
          <w:rtl/>
        </w:rPr>
        <w:t xml:space="preserve">” שלו, וקיבל אותה לאחר המאורע שתואר תחילה. לאחר מכן התקיים הדיון התורני, ובתחילתו לא התרשם ממנו ר׳ </w:t>
      </w:r>
      <w:proofErr w:type="spellStart"/>
      <w:r>
        <w:rPr>
          <w:sz w:val="20"/>
          <w:szCs w:val="20"/>
          <w:rtl/>
        </w:rPr>
        <w:t>אברהם־אבל׳ה</w:t>
      </w:r>
      <w:proofErr w:type="spellEnd"/>
      <w:r>
        <w:rPr>
          <w:sz w:val="20"/>
          <w:szCs w:val="20"/>
          <w:rtl/>
        </w:rPr>
        <w:t>.</w:t>
      </w:r>
    </w:p>
  </w:footnote>
  <w:footnote w:id="1206">
    <w:p w14:paraId="29DB6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 – עמ׳ 16.</w:t>
      </w:r>
    </w:p>
  </w:footnote>
  <w:footnote w:id="1207">
    <w:p w14:paraId="6011BF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23 באוקטובר 1987.</w:t>
      </w:r>
    </w:p>
  </w:footnote>
  <w:footnote w:id="1208">
    <w:p w14:paraId="23DE2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21 בדצמבר 1987.</w:t>
      </w:r>
    </w:p>
  </w:footnote>
  <w:footnote w:id="1209">
    <w:p w14:paraId="1D0DB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ג, עמ׳ 49. ראה גם סוף הפסקה השנייה בנספח י בפרק זה.</w:t>
      </w:r>
    </w:p>
  </w:footnote>
  <w:footnote w:id="1210">
    <w:p w14:paraId="31CB6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44 ו־42, ותחילת נספח כ בפרק זה.</w:t>
      </w:r>
    </w:p>
  </w:footnote>
  <w:footnote w:id="1211">
    <w:p w14:paraId="643F4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השנייה בנספח י בפרק זה.</w:t>
      </w:r>
    </w:p>
  </w:footnote>
  <w:footnote w:id="1212">
    <w:p w14:paraId="6AFE33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יצחק </w:t>
      </w:r>
      <w:proofErr w:type="spellStart"/>
      <w:r>
        <w:rPr>
          <w:sz w:val="20"/>
          <w:szCs w:val="20"/>
          <w:rtl/>
        </w:rPr>
        <w:t>קנובל</w:t>
      </w:r>
      <w:proofErr w:type="spellEnd"/>
      <w:r>
        <w:rPr>
          <w:sz w:val="20"/>
          <w:szCs w:val="20"/>
          <w:rtl/>
        </w:rPr>
        <w:t xml:space="preserve"> (פרק 1, נספח ג). ראה גם סוף הערה 115 להלן.</w:t>
      </w:r>
    </w:p>
  </w:footnote>
  <w:footnote w:id="1213">
    <w:p w14:paraId="34F79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השוליים השנייה בנספח </w:t>
      </w:r>
      <w:proofErr w:type="spellStart"/>
      <w:r>
        <w:rPr>
          <w:sz w:val="20"/>
          <w:szCs w:val="20"/>
          <w:rtl/>
        </w:rPr>
        <w:t>יט</w:t>
      </w:r>
      <w:proofErr w:type="spellEnd"/>
      <w:r>
        <w:rPr>
          <w:sz w:val="20"/>
          <w:szCs w:val="20"/>
          <w:rtl/>
        </w:rPr>
        <w:t xml:space="preserve"> בפרק זה.</w:t>
      </w:r>
    </w:p>
  </w:footnote>
  <w:footnote w:id="1214">
    <w:p w14:paraId="18ED91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היברו </w:t>
      </w:r>
      <w:proofErr w:type="spellStart"/>
      <w:r>
        <w:rPr>
          <w:sz w:val="20"/>
          <w:szCs w:val="20"/>
          <w:rtl/>
        </w:rPr>
        <w:t>פבלישינג</w:t>
      </w:r>
      <w:proofErr w:type="spellEnd"/>
      <w:r>
        <w:rPr>
          <w:sz w:val="20"/>
          <w:szCs w:val="20"/>
          <w:rtl/>
        </w:rPr>
        <w:t xml:space="preserve"> </w:t>
      </w:r>
      <w:proofErr w:type="spellStart"/>
      <w:r>
        <w:rPr>
          <w:sz w:val="20"/>
          <w:szCs w:val="20"/>
          <w:rtl/>
        </w:rPr>
        <w:t>קומפני</w:t>
      </w:r>
      <w:proofErr w:type="spellEnd"/>
      <w:r>
        <w:rPr>
          <w:sz w:val="20"/>
          <w:szCs w:val="20"/>
          <w:rtl/>
        </w:rPr>
        <w:t>, ניו יורק, 1929, עמ׳ 90. כרך זה הוא בעיקרו תרגום של ספרו ביידיש “</w:t>
      </w:r>
      <w:proofErr w:type="spellStart"/>
      <w:r>
        <w:rPr>
          <w:sz w:val="20"/>
          <w:szCs w:val="20"/>
          <w:rtl/>
        </w:rPr>
        <w:t>מאסליאנסקי׳ס</w:t>
      </w:r>
      <w:proofErr w:type="spellEnd"/>
      <w:r>
        <w:rPr>
          <w:sz w:val="20"/>
          <w:szCs w:val="20"/>
          <w:rtl/>
        </w:rPr>
        <w:t xml:space="preserve"> </w:t>
      </w:r>
      <w:proofErr w:type="spellStart"/>
      <w:r>
        <w:rPr>
          <w:sz w:val="20"/>
          <w:szCs w:val="20"/>
          <w:rtl/>
        </w:rPr>
        <w:t>זכרונות</w:t>
      </w:r>
      <w:proofErr w:type="spellEnd"/>
      <w:r>
        <w:rPr>
          <w:sz w:val="20"/>
          <w:szCs w:val="20"/>
          <w:rtl/>
        </w:rPr>
        <w:t xml:space="preserve">” [זיכרונות </w:t>
      </w:r>
      <w:proofErr w:type="spellStart"/>
      <w:r>
        <w:rPr>
          <w:sz w:val="20"/>
          <w:szCs w:val="20"/>
          <w:rtl/>
        </w:rPr>
        <w:t>מסליאנסקי</w:t>
      </w:r>
      <w:proofErr w:type="spellEnd"/>
      <w:r>
        <w:rPr>
          <w:sz w:val="20"/>
          <w:szCs w:val="20"/>
          <w:rtl/>
        </w:rPr>
        <w:t xml:space="preserve">], שיצא בהוצאת </w:t>
      </w:r>
      <w:proofErr w:type="spellStart"/>
      <w:r>
        <w:rPr>
          <w:sz w:val="20"/>
          <w:szCs w:val="20"/>
          <w:rtl/>
        </w:rPr>
        <w:t>טוברג</w:t>
      </w:r>
      <w:proofErr w:type="spellEnd"/>
      <w:r>
        <w:rPr>
          <w:sz w:val="20"/>
          <w:szCs w:val="20"/>
          <w:rtl/>
        </w:rPr>
        <w:t xml:space="preserve"> פרס, ניו יורק, בשנת 1924.</w:t>
      </w:r>
    </w:p>
  </w:footnote>
  <w:footnote w:id="1215">
    <w:p w14:paraId="6D037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 לעיל.</w:t>
      </w:r>
    </w:p>
  </w:footnote>
  <w:footnote w:id="1216">
    <w:p w14:paraId="38DA8B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w:t>
      </w:r>
    </w:p>
  </w:footnote>
  <w:footnote w:id="1217">
    <w:p w14:paraId="33294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1218">
    <w:p w14:paraId="50E5EF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94.</w:t>
      </w:r>
    </w:p>
  </w:footnote>
  <w:footnote w:id="1219">
    <w:p w14:paraId="202843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בפרק זה, עמ׳ 40–44.</w:t>
      </w:r>
    </w:p>
  </w:footnote>
  <w:footnote w:id="1220">
    <w:p w14:paraId="43A1D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תחילת נספח ד.</w:t>
      </w:r>
    </w:p>
  </w:footnote>
  <w:footnote w:id="1221">
    <w:p w14:paraId="3385F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w:t>
      </w:r>
    </w:p>
  </w:footnote>
  <w:footnote w:id="1222">
    <w:p w14:paraId="367F9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ג.</w:t>
      </w:r>
    </w:p>
  </w:footnote>
  <w:footnote w:id="1223">
    <w:p w14:paraId="570310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224">
    <w:p w14:paraId="2BA9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עמ׳ קנט.</w:t>
      </w:r>
    </w:p>
  </w:footnote>
  <w:footnote w:id="1225">
    <w:p w14:paraId="1B6557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בנובמבר 1987.</w:t>
      </w:r>
    </w:p>
  </w:footnote>
  <w:footnote w:id="1226">
    <w:p w14:paraId="19E93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באפריל 1993.</w:t>
      </w:r>
    </w:p>
  </w:footnote>
  <w:footnote w:id="1227">
    <w:p w14:paraId="23F23D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68 לעיל.</w:t>
      </w:r>
    </w:p>
  </w:footnote>
  <w:footnote w:id="1228">
    <w:p w14:paraId="1F3A8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בסעיף זה.</w:t>
      </w:r>
    </w:p>
  </w:footnote>
  <w:footnote w:id="1229">
    <w:p w14:paraId="23CE78ED" w14:textId="77777777" w:rsidR="00AB3647" w:rsidRDefault="00000000">
      <w:pPr>
        <w:spacing w:after="0" w:before="0"/>
        <w:jc w:val="both"/>
      </w:pPr>
      <w:r>
        <w:rPr>
          <w:rStyle w:val="a5"/>
          <w:sz w:val="20"/>
          <w:szCs w:val="20"/>
          <w:vertAlign w:val="baseline"/>
        </w:rPr>
        <w:footnoteRef/>
      </w:r>
      <w:r>
        <w:rPr>
          <w:sz w:val="20"/>
          <w:szCs w:val="20"/>
          <w:rtl/>
        </w:rPr>
        <w:t xml:space="preserve">. מקרה אחר שבו חשה הנהלת הישיבה אשמה על שהזניחה בחור צעיר אירע כעשר שנים קודם לכן, ונודע לי ב־17 באפריל 2002, כשכתיבת ספר זה התקרבה לסיומה. ר׳ דוד ויסקי סיפר שסבו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שבא </w:t>
      </w:r>
      <w:proofErr w:type="spellStart"/>
      <w:r>
        <w:rPr>
          <w:sz w:val="20"/>
          <w:szCs w:val="20"/>
          <w:rtl/>
        </w:rPr>
        <w:t>לסלבודקה</w:t>
      </w:r>
      <w:proofErr w:type="spellEnd"/>
      <w:r>
        <w:rPr>
          <w:sz w:val="20"/>
          <w:szCs w:val="20"/>
          <w:rtl/>
        </w:rPr>
        <w:t xml:space="preserve"> בלי </w:t>
      </w:r>
      <w:proofErr w:type="spellStart"/>
      <w:r>
        <w:rPr>
          <w:sz w:val="20"/>
          <w:szCs w:val="20"/>
          <w:rtl/>
        </w:rPr>
        <w:t>קופיקה</w:t>
      </w:r>
      <w:proofErr w:type="spellEnd"/>
      <w:r>
        <w:rPr>
          <w:sz w:val="20"/>
          <w:szCs w:val="20"/>
          <w:rtl/>
        </w:rPr>
        <w:t xml:space="preserve"> בכיסו (ראה עמ׳ </w:t>
      </w:r>
      <w:r>
        <w:rPr>
          <w:sz w:val="20"/>
          <w:szCs w:val="20"/>
          <w:rtl/>
        </w:rPr>
        <w:fldChar w:fldCharType="begin" w:dirty="true"/>
      </w:r>
      <w:r>
        <w:rPr>
          <w:sz w:val="20"/>
          <w:szCs w:val="20"/>
          <w:rtl/>
        </w:rPr>
        <w:instrText xml:space="preserve"> PAGEREF pr_b_1417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התקרב </w:t>
      </w:r>
      <w:proofErr w:type="spellStart"/>
      <w:r>
        <w:rPr>
          <w:sz w:val="20"/>
          <w:szCs w:val="20"/>
          <w:rtl/>
        </w:rPr>
        <w:t>לר</w:t>
      </w:r>
      <w:proofErr w:type="spellEnd"/>
      <w:r>
        <w:rPr>
          <w:sz w:val="20"/>
          <w:szCs w:val="20"/>
          <w:rtl/>
        </w:rPr>
        <w:t xml:space="preserve">׳ אברהם </w:t>
      </w:r>
      <w:proofErr w:type="spellStart"/>
      <w:r>
        <w:rPr>
          <w:sz w:val="20"/>
          <w:szCs w:val="20"/>
          <w:rtl/>
        </w:rPr>
        <w:t>ורשבר</w:t>
      </w:r>
      <w:proofErr w:type="spellEnd"/>
      <w:r>
        <w:rPr>
          <w:sz w:val="20"/>
          <w:szCs w:val="20"/>
          <w:rtl/>
        </w:rPr>
        <w:t xml:space="preserve"> (</w:t>
      </w:r>
      <w:proofErr w:type="spellStart"/>
      <w:r>
        <w:rPr>
          <w:sz w:val="20"/>
          <w:szCs w:val="20"/>
          <w:rtl/>
        </w:rPr>
        <w:t>גרודזינסקי</w:t>
      </w:r>
      <w:proofErr w:type="spellEnd"/>
      <w:r>
        <w:rPr>
          <w:sz w:val="20"/>
          <w:szCs w:val="20"/>
          <w:rtl/>
        </w:rPr>
        <w:t xml:space="preserve">) והצליח איכשהו לקבל מזון. אבל לא הייתה לו אכסניה, </w:t>
      </w:r>
      <w:proofErr w:type="spellStart"/>
      <w:r>
        <w:rPr>
          <w:sz w:val="20"/>
          <w:szCs w:val="20"/>
          <w:rtl/>
        </w:rPr>
        <w:t>ו“מיטתו</w:t>
      </w:r>
      <w:proofErr w:type="spellEnd"/>
      <w:r>
        <w:rPr>
          <w:sz w:val="20"/>
          <w:szCs w:val="20"/>
          <w:rtl/>
        </w:rPr>
        <w:t>” הייתה ספסל בבית המדרש.</w:t>
      </w:r>
    </w:p>
    <w:p w14:paraId="4301E707" w14:textId="77777777" w:rsidR="00AB3647" w:rsidRDefault="00000000">
      <w:pPr>
        <w:spacing w:after="0" w:before="0"/>
        <w:jc w:val="both"/>
      </w:pPr>
      <w:r>
        <w:rPr>
          <w:sz w:val="20"/>
          <w:szCs w:val="20"/>
          <w:rtl/>
        </w:rPr>
        <w:t xml:space="preserve">פעם התנהל בישיבה ויכוח נלהב, והנער, שהיה אז זמן קצר אחרי בר המצווה, המשיך לדון בסוגיה בשעת חזרת הש״ץ. אחר כך קרא לו הסבא כדי לנזוף בו, ושאל לשמו ועם אילו תלמידים מבוגרים הוא גר (השווה תחילת הערה 69 לעיל). כשנודע לסבא היכן ישן הנער כל אותה עת, “כל דמו של הסבא </w:t>
      </w:r>
      <w:proofErr w:type="spellStart"/>
      <w:r>
        <w:rPr>
          <w:sz w:val="20"/>
          <w:szCs w:val="20"/>
          <w:rtl/>
        </w:rPr>
        <w:t>מסלבודקה</w:t>
      </w:r>
      <w:proofErr w:type="spellEnd"/>
      <w:r>
        <w:rPr>
          <w:sz w:val="20"/>
          <w:szCs w:val="20"/>
          <w:rtl/>
        </w:rPr>
        <w:t xml:space="preserve"> עלה בפניו מרוב צער”, ומיד העמיד לרשותו את הקצבה הדרושה. ראה גם פרק 4, סוף הערה 20.</w:t>
      </w:r>
    </w:p>
  </w:footnote>
  <w:footnote w:id="1230">
    <w:p w14:paraId="3B08C3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נספח </w:t>
      </w:r>
      <w:proofErr w:type="spellStart"/>
      <w:r>
        <w:rPr>
          <w:sz w:val="20"/>
          <w:szCs w:val="20"/>
          <w:rtl/>
        </w:rPr>
        <w:t>יח</w:t>
      </w:r>
      <w:proofErr w:type="spellEnd"/>
      <w:r>
        <w:rPr>
          <w:sz w:val="20"/>
          <w:szCs w:val="20"/>
          <w:rtl/>
        </w:rPr>
        <w:t xml:space="preserve"> בפרק זה, עמ׳ 71.</w:t>
      </w:r>
    </w:p>
  </w:footnote>
  <w:footnote w:id="1231">
    <w:p w14:paraId="5A4486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בנובמבר 1987.</w:t>
      </w:r>
    </w:p>
  </w:footnote>
  <w:footnote w:id="1232">
    <w:p w14:paraId="11D83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מט, ח.</w:t>
      </w:r>
    </w:p>
  </w:footnote>
  <w:footnote w:id="1233">
    <w:p>
      <w:pPr>
        <w:spacing w:before="0" w:after="0"/>
      </w:pPr>
      <w:r>
        <w:rPr>
          <w:rStyle w:val="a5"/>
          <w:vertAlign w:val="superscript"/>
          <w:rtl/>
        </w:rPr>
        <w:t>*</w:t>
      </w:r>
      <w:r>
        <w:rPr>
          <w:sz w:val="20"/>
          <w:szCs w:val="20"/>
        </w:rPr>
        <w:t xml:space="preserve"> </w:t>
      </w:r>
      <w:r>
        <w:rPr>
          <w:sz w:val="20"/>
          <w:szCs w:val="20"/>
        </w:rPr>
        <w:t>הערת המתרגם: כך במקור; במקום אחר בספר נכתב כ״ח באב תרנ״ג.</w:t>
      </w:r>
    </w:p>
  </w:footnote>
  <w:footnote w:id="1234">
    <w:p w14:paraId="2DDA3D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3, כיצד הצטלבו דרכיהם שלו ושל אבי באופן גורלי באמריקה כעבור למעלה משלושים שנה.</w:t>
      </w:r>
    </w:p>
  </w:footnote>
  <w:footnote w:id="1235">
    <w:p w14:paraId="286AE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71 לעיל.</w:t>
      </w:r>
    </w:p>
  </w:footnote>
  <w:footnote w:id="1236">
    <w:p w14:paraId="2765A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5.1.</w:t>
      </w:r>
    </w:p>
  </w:footnote>
  <w:footnote w:id="1237">
    <w:p w14:paraId="02CEFE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באוקטובר 1991.</w:t>
      </w:r>
    </w:p>
  </w:footnote>
  <w:footnote w:id="1238">
    <w:p w14:paraId="5A024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68.</w:t>
      </w:r>
    </w:p>
  </w:footnote>
  <w:footnote w:id="1239">
    <w:p w14:paraId="258DF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69 לעיל.</w:t>
      </w:r>
    </w:p>
  </w:footnote>
  <w:footnote w:id="1240">
    <w:p w14:paraId="5279E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w:t>
      </w:r>
      <w:proofErr w:type="spellStart"/>
      <w:r>
        <w:rPr>
          <w:sz w:val="20"/>
          <w:szCs w:val="20"/>
          <w:rtl/>
        </w:rPr>
        <w:t>המעין</w:t>
      </w:r>
      <w:proofErr w:type="spellEnd"/>
      <w:r>
        <w:rPr>
          <w:sz w:val="20"/>
          <w:szCs w:val="20"/>
          <w:rtl/>
        </w:rPr>
        <w:t>”, גיליון תמוז תשנ״ב, עמ׳ 46, שבו מאמר מאת הרב לב המצטט את אבי כמי שנקט עמדה חריפה יותר בשאלה זו.</w:t>
      </w:r>
    </w:p>
  </w:footnote>
  <w:footnote w:id="1241">
    <w:p w14:paraId="28BBB1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242">
    <w:p w14:paraId="4389C6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1243">
    <w:p w14:paraId="1793A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בעריכת שמואל ק. </w:t>
      </w:r>
      <w:proofErr w:type="spellStart"/>
      <w:r>
        <w:rPr>
          <w:sz w:val="20"/>
          <w:szCs w:val="20"/>
          <w:rtl/>
        </w:rPr>
        <w:t>מירסקי</w:t>
      </w:r>
      <w:proofErr w:type="spellEnd"/>
      <w:r>
        <w:rPr>
          <w:sz w:val="20"/>
          <w:szCs w:val="20"/>
          <w:rtl/>
        </w:rPr>
        <w:t>, הוצאת עגן, ניו יורק, תשט״ז, עמ׳ 139.</w:t>
      </w:r>
    </w:p>
  </w:footnote>
  <w:footnote w:id="1244">
    <w:p w14:paraId="17B126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בשחרית, כאשר אי אפשר לומר קדושה לפני תפילת הציבור בשל סמיכת גאולה לתפלה, אין לשליח הציבור ברירה אלא לחזור על תפילת העמידה.</w:t>
      </w:r>
    </w:p>
  </w:footnote>
  <w:footnote w:id="1245">
    <w:p w14:paraId="022597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במעשיהם טענו שזמן תפילה לחוד וזמן תורה לחוד (עי׳ שבת י׳ ע״א). ועי׳ אור זרוע </w:t>
      </w:r>
      <w:proofErr w:type="spellStart"/>
      <w:r>
        <w:rPr>
          <w:sz w:val="20"/>
          <w:szCs w:val="20"/>
          <w:rtl/>
        </w:rPr>
        <w:t>ח״ב</w:t>
      </w:r>
      <w:proofErr w:type="spellEnd"/>
      <w:r>
        <w:rPr>
          <w:sz w:val="20"/>
          <w:szCs w:val="20"/>
          <w:rtl/>
        </w:rPr>
        <w:t xml:space="preserve"> סי׳ מ״ב (ריש הל׳ שבת, לגבי פסוקי </w:t>
      </w:r>
      <w:proofErr w:type="spellStart"/>
      <w:r>
        <w:rPr>
          <w:sz w:val="20"/>
          <w:szCs w:val="20"/>
          <w:rtl/>
        </w:rPr>
        <w:t>דזמרה</w:t>
      </w:r>
      <w:proofErr w:type="spellEnd"/>
      <w:r>
        <w:rPr>
          <w:sz w:val="20"/>
          <w:szCs w:val="20"/>
          <w:rtl/>
        </w:rPr>
        <w:t xml:space="preserve"> בשבת) שכותב: וגם שמעתי מפי רבי יהודה החסיד זצ״ל שהיה גדול ומובהק לרבים אחד והי׳ גוער בביהכ״נ שהיו מאריכים בברכות, שהיה בדעתו למהר ללימוד, ונענש על ככה באותו עולם, וגם שמעתי וכו׳ כתבתי אני המחבר אלו המעשים כדי שיראה ירא שמים וישים אל לבו ויאמר </w:t>
      </w:r>
      <w:proofErr w:type="spellStart"/>
      <w:r>
        <w:rPr>
          <w:sz w:val="20"/>
          <w:szCs w:val="20"/>
          <w:rtl/>
        </w:rPr>
        <w:t>שבחותיו</w:t>
      </w:r>
      <w:proofErr w:type="spellEnd"/>
      <w:r>
        <w:rPr>
          <w:sz w:val="20"/>
          <w:szCs w:val="20"/>
          <w:rtl/>
        </w:rPr>
        <w:t xml:space="preserve"> של מקום בקול נעים ובכוונה ויזכה לגן עדן עכ״ל.</w:t>
      </w:r>
    </w:p>
  </w:footnote>
  <w:footnote w:id="1246">
    <w:p w14:paraId="773050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68 לעיל.</w:t>
      </w:r>
    </w:p>
  </w:footnote>
  <w:footnote w:id="1247">
    <w:p w14:paraId="139989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מסוף סעיף זה.</w:t>
      </w:r>
    </w:p>
  </w:footnote>
  <w:footnote w:id="1248">
    <w:p w14:paraId="042A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בלסקי</w:t>
      </w:r>
      <w:proofErr w:type="spellEnd"/>
      <w:r>
        <w:rPr>
          <w:sz w:val="20"/>
          <w:szCs w:val="20"/>
          <w:rtl/>
        </w:rPr>
        <w:t>, ריאיון, 13 במרץ 1988.</w:t>
      </w:r>
    </w:p>
  </w:footnote>
  <w:footnote w:id="1249">
    <w:p w14:paraId="6689F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עמ׳ 65.</w:t>
      </w:r>
    </w:p>
  </w:footnote>
  <w:footnote w:id="1250">
    <w:p w14:paraId="5676ED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1251">
    <w:p w14:paraId="2B8DD1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תהילים ד, ט.</w:t>
      </w:r>
    </w:p>
  </w:footnote>
  <w:footnote w:id="1252">
    <w:p w14:paraId="7AAECB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לייזר גינזברג, ריאיון, 27 בנובמבר 1987.</w:t>
      </w:r>
    </w:p>
  </w:footnote>
  <w:footnote w:id="1253">
    <w:p w14:paraId="1EC77C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254">
    <w:p w14:paraId="660C2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היה אמור להיות שלושים ושניים יום לאחר הריאיון.</w:t>
      </w:r>
    </w:p>
  </w:footnote>
  <w:footnote w:id="1255">
    <w:p w14:paraId="7DD1DB41" w14:textId="77777777" w:rsidR="00AB3647" w:rsidRDefault="00000000">
      <w:pPr>
        <w:spacing w:after="0" w:before="0"/>
        <w:jc w:val="both"/>
      </w:pPr>
      <w:r>
        <w:rPr>
          <w:rStyle w:val="a5"/>
          <w:vertAlign w:val="superscript"/>
          <w:rtl/>
        </w:rPr>
        <w:t>*</w:t>
      </w:r>
      <w:r>
        <w:rPr>
          <w:sz w:val="20"/>
          <w:szCs w:val="20"/>
        </w:rPr>
        <w:t xml:space="preserve"> </w:t>
      </w:r>
      <w:r>
        <w:rPr>
          <w:color w:val="000000"/>
          <w:sz w:val="20"/>
          <w:szCs w:val="20"/>
          <w:rtl/>
        </w:rPr>
      </w:r>
      <w:r>
        <w:rPr>
          <w:color w:val="000000"/>
          <w:sz w:val="20"/>
          <w:szCs w:val="20"/>
          <w:rtl/>
        </w:rPr>
        <w:t xml:space="preserve">הערת המתרגם: במקור נכתב י״א בטבת תשל״ח, </w:t>
      </w:r>
      <w:proofErr w:type="spellStart"/>
      <w:r>
        <w:rPr>
          <w:color w:val="000000"/>
          <w:sz w:val="20"/>
          <w:szCs w:val="20"/>
          <w:rtl/>
        </w:rPr>
        <w:t>ולצדו</w:t>
      </w:r>
      <w:proofErr w:type="spellEnd"/>
      <w:r>
        <w:rPr>
          <w:color w:val="000000"/>
          <w:sz w:val="20"/>
          <w:szCs w:val="20"/>
          <w:rtl/>
        </w:rPr>
        <w:t xml:space="preserve"> 21 בדצמבר 1987. י״א בטבת תשל״ח חל ב־21 בדצמבר 1977, ואילו 21 בדצמבר 1987 חל בל׳ בכסלו תשמ״ח. התאריכים שבמקור אינם תואמים; אין בידינו לקבוע איזה מהם נכון.</w:t>
      </w:r>
    </w:p>
  </w:footnote>
  <w:footnote w:id="1256">
    <w:p w14:paraId="7BF8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ביטוי זה דומה ברעיונו לביטוי השכיח יותר “א </w:t>
      </w:r>
      <w:proofErr w:type="spellStart"/>
      <w:r>
        <w:rPr>
          <w:sz w:val="20"/>
          <w:szCs w:val="20"/>
          <w:rtl/>
        </w:rPr>
        <w:t>שמעק</w:t>
      </w:r>
      <w:proofErr w:type="spellEnd"/>
      <w:r>
        <w:rPr>
          <w:sz w:val="20"/>
          <w:szCs w:val="20"/>
          <w:rtl/>
        </w:rPr>
        <w:t xml:space="preserve"> </w:t>
      </w:r>
      <w:proofErr w:type="spellStart"/>
      <w:r>
        <w:rPr>
          <w:sz w:val="20"/>
          <w:szCs w:val="20"/>
          <w:rtl/>
        </w:rPr>
        <w:t>טאבאק</w:t>
      </w:r>
      <w:proofErr w:type="spellEnd"/>
      <w:r>
        <w:rPr>
          <w:sz w:val="20"/>
          <w:szCs w:val="20"/>
          <w:rtl/>
        </w:rPr>
        <w:t>”, שפירושו המילולי שאיפת טבק הרחה.</w:t>
      </w:r>
    </w:p>
  </w:footnote>
  <w:footnote w:id="1257">
    <w:p w14:paraId="70B9F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258">
    <w:p w14:paraId="2936FE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בתחילת פרשת ויצא, סוף פסוק י״א.</w:t>
      </w:r>
    </w:p>
  </w:footnote>
  <w:footnote w:id="1259">
    <w:p w14:paraId="3DC53B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שבת פ״ב ע״א אמר לי׳ רב </w:t>
      </w:r>
      <w:proofErr w:type="spellStart"/>
      <w:r>
        <w:rPr>
          <w:sz w:val="20"/>
          <w:szCs w:val="20"/>
          <w:rtl/>
        </w:rPr>
        <w:t>הונא</w:t>
      </w:r>
      <w:proofErr w:type="spellEnd"/>
      <w:r>
        <w:rPr>
          <w:sz w:val="20"/>
          <w:szCs w:val="20"/>
          <w:rtl/>
        </w:rPr>
        <w:t xml:space="preserve"> לרבה ברי’ </w:t>
      </w:r>
      <w:proofErr w:type="spellStart"/>
      <w:r>
        <w:rPr>
          <w:sz w:val="20"/>
          <w:szCs w:val="20"/>
          <w:rtl/>
        </w:rPr>
        <w:t>וכו</w:t>
      </w:r>
      <w:proofErr w:type="spellEnd"/>
      <w:r>
        <w:rPr>
          <w:sz w:val="20"/>
          <w:szCs w:val="20"/>
          <w:rtl/>
        </w:rPr>
        <w:t xml:space="preserve">׳. מתוך דברי </w:t>
      </w:r>
      <w:proofErr w:type="spellStart"/>
      <w:r>
        <w:rPr>
          <w:sz w:val="20"/>
          <w:szCs w:val="20"/>
          <w:rtl/>
        </w:rPr>
        <w:t>האגב</w:t>
      </w:r>
      <w:proofErr w:type="spellEnd"/>
      <w:r>
        <w:rPr>
          <w:sz w:val="20"/>
          <w:szCs w:val="20"/>
          <w:rtl/>
        </w:rPr>
        <w:t xml:space="preserve"> המוקלטים משיעור הדף היומי, המובאים בנספח ה בפרק זה.</w:t>
      </w:r>
    </w:p>
  </w:footnote>
  <w:footnote w:id="1260">
    <w:p w14:paraId="52909A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 ביוני 1990.</w:t>
      </w:r>
    </w:p>
  </w:footnote>
  <w:footnote w:id="1261">
    <w:p w14:paraId="1075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יז</w:t>
      </w:r>
      <w:proofErr w:type="spellEnd"/>
      <w:r>
        <w:rPr>
          <w:sz w:val="20"/>
          <w:szCs w:val="20"/>
          <w:rtl/>
        </w:rPr>
        <w:t xml:space="preserve"> בפרק זה.</w:t>
      </w:r>
    </w:p>
  </w:footnote>
  <w:footnote w:id="1262">
    <w:p w14:paraId="03A64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פסחים ג׳ סוף ע״ב.</w:t>
      </w:r>
    </w:p>
  </w:footnote>
  <w:footnote w:id="1263">
    <w:p w14:paraId="1E091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הפסקה הראשונה בהערה 20.</w:t>
      </w:r>
    </w:p>
  </w:footnote>
  <w:footnote w:id="1264">
    <w:p w14:paraId="5E9AF1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 להלן, ונספח טו והפסקאות השנייה והשלישית בנספח ד בפרק זה.</w:t>
      </w:r>
    </w:p>
  </w:footnote>
  <w:footnote w:id="1265">
    <w:p w14:paraId="79372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אכן השתמש במילה “כלב” כשהביא ציטוט, כעולה מסוף נספח לג להלן.</w:t>
      </w:r>
    </w:p>
  </w:footnote>
  <w:footnote w:id="1266">
    <w:p w14:paraId="5474E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דברים ל, טו.</w:t>
      </w:r>
    </w:p>
  </w:footnote>
  <w:footnote w:id="1267">
    <w:p w14:paraId="238928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חיים־יצחק</w:t>
      </w:r>
      <w:proofErr w:type="spellEnd"/>
      <w:r>
        <w:rPr>
          <w:sz w:val="20"/>
          <w:szCs w:val="20"/>
          <w:rtl/>
        </w:rPr>
        <w:t xml:space="preserve"> קפלן.</w:t>
      </w:r>
    </w:p>
  </w:footnote>
  <w:footnote w:id="1268">
    <w:p w14:paraId="5FD7E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בדצמבר 1987.</w:t>
      </w:r>
    </w:p>
  </w:footnote>
  <w:footnote w:id="1269">
    <w:p w14:paraId="785770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(עמ׳ </w:t>
      </w:r>
      <w:r>
        <w:rPr>
          <w:rStyle w:val="a5"/>
          <w:sz w:val="20"/>
          <w:szCs w:val="20"/>
          <w:vertAlign w:val="baseline"/>
          <w:rtl/>
        </w:rPr>
        <w:fldChar w:fldCharType="begin" w:dirty="true"/>
      </w:r>
      <w:r>
        <w:rPr>
          <w:rStyle w:val="a5"/>
          <w:sz w:val="20"/>
          <w:szCs w:val="20"/>
          <w:vertAlign w:val="baseline"/>
          <w:rtl/>
        </w:rPr>
        <w:instrText xml:space="preserve"> PAGEREF pr_f_2843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pr_f_2843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1890</w:t>
      </w:r>
      <w:r>
        <w:rPr>
          <w:rStyle w:val="a5"/>
          <w:sz w:val="20"/>
          <w:szCs w:val="20"/>
          <w:vertAlign w:val="baseline"/>
          <w:rtl/>
        </w:rPr>
        <w:fldChar w:fldCharType="end"/>
      </w:r>
      <w:r>
        <w:rPr>
          <w:sz w:val="20"/>
          <w:szCs w:val="20"/>
          <w:rtl/>
        </w:rPr>
        <w:t>).</w:t>
      </w:r>
    </w:p>
  </w:footnote>
  <w:footnote w:id="1270">
    <w:p w14:paraId="4D93EA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w:t>
      </w:r>
    </w:p>
  </w:footnote>
  <w:footnote w:id="1271">
    <w:p w14:paraId="3E9D9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כרך 2 לסיבה נוספת.</w:t>
      </w:r>
    </w:p>
  </w:footnote>
  <w:footnote w:id="1272">
    <w:p w14:paraId="3FE0D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56.</w:t>
      </w:r>
    </w:p>
  </w:footnote>
  <w:footnote w:id="1273">
    <w:p w14:paraId="305D71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w:t>
      </w:r>
    </w:p>
  </w:footnote>
  <w:footnote w:id="1274">
    <w:p w14:paraId="0BE30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בנספח כה להלן. בנספח ז בפרק זה פגשנו </w:t>
      </w:r>
      <w:proofErr w:type="spellStart"/>
      <w:r>
        <w:rPr>
          <w:sz w:val="20"/>
          <w:szCs w:val="20"/>
          <w:rtl/>
        </w:rPr>
        <w:t>בגרובין</w:t>
      </w:r>
      <w:proofErr w:type="spellEnd"/>
      <w:r>
        <w:rPr>
          <w:sz w:val="20"/>
          <w:szCs w:val="20"/>
          <w:rtl/>
        </w:rPr>
        <w:t xml:space="preserve"> אדם בן עשרים וחמש. השווה גם כץ, “תנועת המוסר”, כרך ב, עמ׳ 239, שלפיו ר׳ לייזר </w:t>
      </w:r>
      <w:proofErr w:type="spellStart"/>
      <w:r>
        <w:rPr>
          <w:sz w:val="20"/>
          <w:szCs w:val="20"/>
          <w:rtl/>
        </w:rPr>
        <w:t>שולביץ</w:t>
      </w:r>
      <w:proofErr w:type="spellEnd"/>
      <w:r>
        <w:rPr>
          <w:sz w:val="20"/>
          <w:szCs w:val="20"/>
          <w:rtl/>
        </w:rPr>
        <w:t xml:space="preserve">, שכבר היה בן שלושים ושתיים לפחות, שהה זמן מה </w:t>
      </w:r>
      <w:proofErr w:type="spellStart"/>
      <w:r>
        <w:rPr>
          <w:sz w:val="20"/>
          <w:szCs w:val="20"/>
          <w:rtl/>
        </w:rPr>
        <w:t>בגרובין</w:t>
      </w:r>
      <w:proofErr w:type="spellEnd"/>
      <w:r>
        <w:rPr>
          <w:sz w:val="20"/>
          <w:szCs w:val="20"/>
          <w:rtl/>
        </w:rPr>
        <w:t xml:space="preserve"> כדי להיות קרוב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275">
    <w:p w14:paraId="1EA40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11 באוגוסט 1992. הרב </w:t>
      </w:r>
      <w:proofErr w:type="spellStart"/>
      <w:r>
        <w:rPr>
          <w:sz w:val="20"/>
          <w:szCs w:val="20"/>
          <w:rtl/>
        </w:rPr>
        <w:t>קרייזווירט</w:t>
      </w:r>
      <w:proofErr w:type="spellEnd"/>
      <w:r>
        <w:rPr>
          <w:sz w:val="20"/>
          <w:szCs w:val="20"/>
          <w:rtl/>
        </w:rPr>
        <w:t xml:space="preserve"> נשא את נכדת הרב </w:t>
      </w:r>
      <w:proofErr w:type="spellStart"/>
      <w:r>
        <w:rPr>
          <w:sz w:val="20"/>
          <w:szCs w:val="20"/>
          <w:rtl/>
        </w:rPr>
        <w:t xml:space="preserve">הלר</w:t>
      </w:r>
      <w:proofErr w:type="spellEnd"/>
      <w:r>
        <w:rPr>
          <w:sz w:val="20"/>
          <w:szCs w:val="20"/>
          <w:rtl/>
        </w:rPr>
        <w:t xml:space="preserve">, שרה בת ר׳ אברהם </w:t>
      </w:r>
      <w:proofErr w:type="spellStart"/>
      <w:r>
        <w:rPr>
          <w:sz w:val="20"/>
          <w:szCs w:val="20"/>
          <w:rtl/>
        </w:rPr>
        <w:t>גרודזינסקי</w:t>
      </w:r>
      <w:proofErr w:type="spellEnd"/>
      <w:r>
        <w:rPr>
          <w:sz w:val="20"/>
          <w:szCs w:val="20"/>
          <w:rtl/>
        </w:rPr>
        <w:t>.</w:t>
      </w:r>
    </w:p>
  </w:footnote>
  <w:footnote w:id="1276">
    <w:p w14:paraId="151DDB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השלישית בנספח </w:t>
      </w:r>
      <w:proofErr w:type="spellStart"/>
      <w:r>
        <w:rPr>
          <w:sz w:val="20"/>
          <w:szCs w:val="20"/>
          <w:rtl/>
        </w:rPr>
        <w:t>כח</w:t>
      </w:r>
      <w:proofErr w:type="spellEnd"/>
      <w:r>
        <w:rPr>
          <w:sz w:val="20"/>
          <w:szCs w:val="20"/>
          <w:rtl/>
        </w:rPr>
        <w:t xml:space="preserve"> להלן, על מה שאולי היה שריד להשפעת </w:t>
      </w:r>
      <w:proofErr w:type="spellStart"/>
      <w:r>
        <w:rPr>
          <w:sz w:val="20"/>
          <w:szCs w:val="20"/>
          <w:rtl/>
        </w:rPr>
        <w:t>וולוז׳ין</w:t>
      </w:r>
      <w:proofErr w:type="spellEnd"/>
      <w:r>
        <w:rPr>
          <w:sz w:val="20"/>
          <w:szCs w:val="20"/>
          <w:rtl/>
        </w:rPr>
        <w:t xml:space="preserve"> על השקפתו של ר׳ </w:t>
      </w:r>
      <w:proofErr w:type="spellStart"/>
      <w:r>
        <w:rPr>
          <w:sz w:val="20"/>
          <w:szCs w:val="20"/>
          <w:rtl/>
        </w:rPr>
        <w:t xml:space="preserve">בער־הירש</w:t>
      </w:r>
      <w:proofErr w:type="spellEnd"/>
      <w:r>
        <w:rPr>
          <w:sz w:val="20"/>
          <w:szCs w:val="20"/>
          <w:rtl/>
        </w:rPr>
        <w:t>.</w:t>
      </w:r>
    </w:p>
  </w:footnote>
  <w:footnote w:id="1277">
    <w:p w14:paraId="358B3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כ״ד בשבט תרמ״ה, מתוארך “</w:t>
      </w:r>
      <w:proofErr w:type="spellStart"/>
      <w:r>
        <w:rPr>
          <w:sz w:val="20"/>
          <w:szCs w:val="20"/>
          <w:rtl/>
        </w:rPr>
        <w:t>ווארשא</w:t>
      </w:r>
      <w:proofErr w:type="spellEnd"/>
      <w:r>
        <w:rPr>
          <w:sz w:val="20"/>
          <w:szCs w:val="20"/>
          <w:rtl/>
        </w:rPr>
        <w:t>”.</w:t>
      </w:r>
    </w:p>
  </w:footnote>
  <w:footnote w:id="1278">
    <w:p w14:paraId="396F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שיחת הסבא.</w:t>
      </w:r>
    </w:p>
  </w:footnote>
  <w:footnote w:id="1279">
    <w:p w14:paraId="7B9A6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הפסקה השנייה בנספח ג.</w:t>
      </w:r>
    </w:p>
  </w:footnote>
  <w:footnote w:id="1280">
    <w:p w14:paraId="6E9F1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עמ׳ 66.</w:t>
      </w:r>
    </w:p>
  </w:footnote>
  <w:footnote w:id="1281">
    <w:p w14:paraId="67444A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י״ב בתשרי תרמ״ב.</w:t>
      </w:r>
    </w:p>
  </w:footnote>
  <w:footnote w:id="1282">
    <w:p w14:paraId="41F4AF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104 לעיל.</w:t>
      </w:r>
    </w:p>
  </w:footnote>
  <w:footnote w:id="1283">
    <w:p w14:paraId="62F000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7, עמ׳ 1449–1451. השווה גם פרק 2, נספח א, ובמיוחד סופו.</w:t>
      </w:r>
    </w:p>
  </w:footnote>
  <w:footnote w:id="1284">
    <w:p w14:paraId="2C5F44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בהערה 106 לעיל.</w:t>
      </w:r>
    </w:p>
  </w:footnote>
  <w:footnote w:id="1285">
    <w:p w14:paraId="5DE536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נדרים פא ע״א. ראה גם פרק 2, הערה 55.</w:t>
      </w:r>
    </w:p>
  </w:footnote>
  <w:footnote w:id="1286">
    <w:p w14:paraId="3D755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המכתב ברור שהישיבה </w:t>
      </w:r>
      <w:proofErr w:type="spellStart"/>
      <w:r>
        <w:rPr>
          <w:sz w:val="20"/>
          <w:szCs w:val="20"/>
          <w:rtl/>
        </w:rPr>
        <w:t>בשווינציאן</w:t>
      </w:r>
      <w:proofErr w:type="spellEnd"/>
      <w:r>
        <w:rPr>
          <w:sz w:val="20"/>
          <w:szCs w:val="20"/>
          <w:rtl/>
        </w:rPr>
        <w:t xml:space="preserve"> הייתה רק בשלב התכנון </w:t>
      </w:r>
      <w:proofErr w:type="spellStart"/>
      <w:r>
        <w:rPr>
          <w:sz w:val="20"/>
          <w:szCs w:val="20"/>
          <w:rtl/>
        </w:rPr>
        <w:t>בתרמ״ב</w:t>
      </w:r>
      <w:proofErr w:type="spellEnd"/>
      <w:r>
        <w:rPr>
          <w:sz w:val="20"/>
          <w:szCs w:val="20"/>
          <w:rtl/>
        </w:rPr>
        <w:t xml:space="preserve">, והדבר מתאשר </w:t>
      </w:r>
      <w:proofErr w:type="spellStart"/>
      <w:r>
        <w:rPr>
          <w:sz w:val="20"/>
          <w:szCs w:val="20"/>
          <w:rtl/>
        </w:rPr>
        <w:t>ב“זכר</w:t>
      </w:r>
      <w:proofErr w:type="spellEnd"/>
      <w:r>
        <w:rPr>
          <w:sz w:val="20"/>
          <w:szCs w:val="20"/>
          <w:rtl/>
        </w:rPr>
        <w:t xml:space="preserve"> זאת ליעקב” (באמצע נספח יד בפרק זה), עמ׳ 9–10. ר׳ </w:t>
      </w:r>
      <w:proofErr w:type="spellStart"/>
      <w:r>
        <w:rPr>
          <w:sz w:val="20"/>
          <w:szCs w:val="20"/>
          <w:rtl/>
        </w:rPr>
        <w:t>יצחק־יעקב</w:t>
      </w:r>
      <w:proofErr w:type="spellEnd"/>
      <w:r>
        <w:rPr>
          <w:sz w:val="20"/>
          <w:szCs w:val="20"/>
          <w:rtl/>
        </w:rPr>
        <w:t xml:space="preserve"> ריינס עזב את העיר כעבור שנתיים, ולכן מוטעית האמירה שם, עמ׳ 24–25, שהישיבה התקיימה בחסותו ארבע שנים.</w:t>
      </w:r>
    </w:p>
  </w:footnote>
  <w:footnote w:id="1287">
    <w:p w14:paraId="5A63B8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88">
    <w:p w14:paraId="3EB9B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89">
    <w:p w14:paraId="76B719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w:t>
      </w:r>
      <w:proofErr w:type="spellStart"/>
      <w:r>
        <w:rPr>
          <w:sz w:val="20"/>
          <w:szCs w:val="20"/>
          <w:rtl/>
        </w:rPr>
        <w:t>יז</w:t>
      </w:r>
      <w:proofErr w:type="spellEnd"/>
      <w:r>
        <w:rPr>
          <w:sz w:val="20"/>
          <w:szCs w:val="20"/>
          <w:rtl/>
        </w:rPr>
        <w:t xml:space="preserve"> בפרק זה.</w:t>
      </w:r>
    </w:p>
  </w:footnote>
  <w:footnote w:id="1290">
    <w:p w14:paraId="694871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1291">
    <w:p w14:paraId="1B35E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מתאר המחבר את פגישתו עם ר׳ </w:t>
      </w:r>
      <w:proofErr w:type="spellStart"/>
      <w:r>
        <w:rPr>
          <w:sz w:val="20"/>
          <w:szCs w:val="20"/>
          <w:rtl/>
        </w:rPr>
        <w:t>שמחה־זיסל</w:t>
      </w:r>
      <w:proofErr w:type="spellEnd"/>
      <w:r>
        <w:rPr>
          <w:sz w:val="20"/>
          <w:szCs w:val="20"/>
          <w:rtl/>
        </w:rPr>
        <w:t xml:space="preserve"> במסע התרמה </w:t>
      </w:r>
      <w:proofErr w:type="spellStart"/>
      <w:r>
        <w:rPr>
          <w:sz w:val="20"/>
          <w:szCs w:val="20"/>
          <w:rtl/>
        </w:rPr>
        <w:t>לבויסק</w:t>
      </w:r>
      <w:proofErr w:type="spellEnd"/>
      <w:r>
        <w:rPr>
          <w:sz w:val="20"/>
          <w:szCs w:val="20"/>
          <w:rtl/>
        </w:rPr>
        <w:t xml:space="preserve">. אבל השנה שהוא מציין לפגישה זו, תרל״ו, מוטעית, כפי שצוין בהערת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292">
    <w:p w14:paraId="7D8D0A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w:t>
      </w:r>
    </w:p>
  </w:footnote>
  <w:footnote w:id="1293">
    <w:p w14:paraId="26D3DD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1294">
    <w:p w14:paraId="28F72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w:t>
      </w:r>
    </w:p>
  </w:footnote>
  <w:footnote w:id="1295">
    <w:p w14:paraId="2C674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1296">
    <w:p w14:paraId="106FD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 הערה 15.</w:t>
      </w:r>
    </w:p>
  </w:footnote>
  <w:footnote w:id="1297">
    <w:p w14:paraId="2D4CA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w:t>
      </w:r>
    </w:p>
  </w:footnote>
  <w:footnote w:id="1298">
    <w:p w14:paraId="7113C2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91 לעיל – עמ׳ 144–145.</w:t>
      </w:r>
    </w:p>
  </w:footnote>
  <w:footnote w:id="1299">
    <w:p w14:paraId="1E223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תאריך מינויו למשגיח ניתן שם בטעות </w:t>
      </w:r>
      <w:proofErr w:type="spellStart"/>
      <w:r>
        <w:rPr>
          <w:sz w:val="20"/>
          <w:szCs w:val="20"/>
          <w:rtl/>
        </w:rPr>
        <w:t>כתר״נ</w:t>
      </w:r>
      <w:proofErr w:type="spellEnd"/>
      <w:r>
        <w:rPr>
          <w:sz w:val="20"/>
          <w:szCs w:val="20"/>
          <w:rtl/>
        </w:rPr>
        <w:t>.</w:t>
      </w:r>
    </w:p>
  </w:footnote>
  <w:footnote w:id="1300">
    <w:p w14:paraId="2203E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מהריאיון המוקלט על הסבא </w:t>
      </w:r>
      <w:proofErr w:type="spellStart"/>
      <w:r>
        <w:rPr>
          <w:sz w:val="20"/>
          <w:szCs w:val="20"/>
          <w:rtl/>
        </w:rPr>
        <w:t>מסלבודקה</w:t>
      </w:r>
      <w:proofErr w:type="spellEnd"/>
      <w:r>
        <w:rPr>
          <w:sz w:val="20"/>
          <w:szCs w:val="20"/>
          <w:rtl/>
        </w:rPr>
        <w:t>.</w:t>
      </w:r>
    </w:p>
  </w:footnote>
  <w:footnote w:id="1301">
    <w:p w14:paraId="0B41F0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מדברי </w:t>
      </w:r>
      <w:proofErr w:type="spellStart"/>
      <w:r>
        <w:rPr>
          <w:sz w:val="20"/>
          <w:szCs w:val="20"/>
          <w:rtl/>
        </w:rPr>
        <w:t>האגב</w:t>
      </w:r>
      <w:proofErr w:type="spellEnd"/>
      <w:r>
        <w:rPr>
          <w:sz w:val="20"/>
          <w:szCs w:val="20"/>
          <w:rtl/>
        </w:rPr>
        <w:t xml:space="preserve"> בשיעור הדף היומי שהוזכרו בנספח </w:t>
      </w:r>
      <w:proofErr w:type="spellStart"/>
      <w:r>
        <w:rPr>
          <w:sz w:val="20"/>
          <w:szCs w:val="20"/>
          <w:rtl/>
        </w:rPr>
        <w:t>כג</w:t>
      </w:r>
      <w:proofErr w:type="spellEnd"/>
      <w:r>
        <w:rPr>
          <w:sz w:val="20"/>
          <w:szCs w:val="20"/>
          <w:rtl/>
        </w:rPr>
        <w:t xml:space="preserve"> בפרק זה.</w:t>
      </w:r>
    </w:p>
  </w:footnote>
  <w:footnote w:id="1302">
    <w:p w14:paraId="7BB2A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303">
    <w:p w14:paraId="0F73AB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הפסקה השלישית של נספח </w:t>
      </w:r>
      <w:proofErr w:type="spellStart"/>
      <w:r>
        <w:rPr>
          <w:sz w:val="20"/>
          <w:szCs w:val="20"/>
          <w:rtl/>
        </w:rPr>
        <w:t>כח</w:t>
      </w:r>
      <w:proofErr w:type="spellEnd"/>
      <w:r>
        <w:rPr>
          <w:sz w:val="20"/>
          <w:szCs w:val="20"/>
          <w:rtl/>
        </w:rPr>
        <w:t xml:space="preserve"> להלן, שייתכן שהיה הבדל קל בהשקפה בין השניים.</w:t>
      </w:r>
    </w:p>
  </w:footnote>
  <w:footnote w:id="1304">
    <w:p w14:paraId="637FD4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 שווי דיבר בבר המצווה של בן </w:t>
      </w:r>
      <w:proofErr w:type="spellStart"/>
      <w:r>
        <w:rPr>
          <w:sz w:val="20"/>
          <w:szCs w:val="20"/>
          <w:rtl/>
        </w:rPr>
        <w:t>נינו</w:t>
      </w:r>
      <w:proofErr w:type="spellEnd"/>
      <w:r>
        <w:rPr>
          <w:sz w:val="20"/>
          <w:szCs w:val="20"/>
          <w:rtl/>
        </w:rPr>
        <w:t xml:space="preserve"> של ר׳ </w:t>
      </w:r>
      <w:proofErr w:type="spellStart"/>
      <w:r>
        <w:rPr>
          <w:sz w:val="20"/>
          <w:szCs w:val="20"/>
          <w:rtl/>
        </w:rPr>
        <w:t xml:space="preserve">בער־הירש</w:t>
      </w:r>
      <w:proofErr w:type="spellEnd"/>
      <w:r>
        <w:rPr>
          <w:sz w:val="20"/>
          <w:szCs w:val="20"/>
          <w:rtl/>
        </w:rPr>
        <w:t>, ב־27 בדצמבר 1997. כשנשאל על כך עוד, לא זכר בדיוק היכן שמע את אמירת הסבא, אבל מסורת זו הייתה בהחלט בידו מנעוריו בליטא.</w:t>
      </w:r>
    </w:p>
  </w:footnote>
  <w:footnote w:id="1305">
    <w:p w14:paraId="3A0D2A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כיצד היה ר׳ ישראל “משלם... טובה תחת רעה” (ראה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מדגים הסיפור הבא, מתוך “שערי ציון” – הגיליון שנזכר בהערת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ר׳ ישראל </w:t>
      </w:r>
      <w:proofErr w:type="spellStart"/>
      <w:r>
        <w:rPr>
          <w:sz w:val="20"/>
          <w:szCs w:val="20"/>
          <w:rtl/>
        </w:rPr>
        <w:t>סלנטר</w:t>
      </w:r>
      <w:proofErr w:type="spellEnd"/>
      <w:r>
        <w:rPr>
          <w:sz w:val="20"/>
          <w:szCs w:val="20"/>
          <w:rtl/>
        </w:rPr>
        <w:t xml:space="preserve">, שלבושו היה פשוט, נסע לווילנה בקרון רכבת שבו הותר העישון. צעיר שישב בקרבתו החל לצעוק שעשנו של הנוסע האחר מפריע לו. ר׳ ישראל התנצל וכיבה את הסיגריה. כעבור זמן מה התפרץ הצעיר בכעס: החלון הפתוח ליד ר׳ ישראל מכניס קור. ר׳ ישראל הסביר שלא הוא פתח אותו, אבל יסגור אותו; וכך עשה. כשהרכבת נכנסה לתחנה, המתין שם הדיין מווילנה, הרב </w:t>
      </w:r>
      <w:proofErr w:type="spellStart"/>
      <w:r>
        <w:rPr>
          <w:sz w:val="20"/>
          <w:szCs w:val="20"/>
          <w:rtl/>
        </w:rPr>
        <w:t xml:space="preserve">גרודננסקי</w:t>
      </w:r>
      <w:proofErr w:type="spellEnd"/>
      <w:r>
        <w:rPr>
          <w:sz w:val="20"/>
          <w:szCs w:val="20"/>
          <w:rtl/>
        </w:rPr>
        <w:t>, לבוא חותנו ר׳ ישראל – והצעיר גילה במי פגע.</w:t>
      </w:r>
    </w:p>
    <w:p w14:paraId="261182CB" w14:textId="77777777" w:rsidR="00AB3647" w:rsidRDefault="00000000">
      <w:pPr>
        <w:spacing w:after="0" w:before="0"/>
        <w:jc w:val="both"/>
      </w:pPr>
      <w:r>
        <w:rPr>
          <w:sz w:val="20"/>
          <w:szCs w:val="20"/>
          <w:rtl/>
        </w:rPr>
        <w:t xml:space="preserve">אחרי לילה של חרטה בא הצעיר לבית </w:t>
      </w:r>
      <w:proofErr w:type="spellStart"/>
      <w:r>
        <w:rPr>
          <w:sz w:val="20"/>
          <w:szCs w:val="20"/>
          <w:rtl/>
        </w:rPr>
        <w:t xml:space="preserve">גרודננסקי</w:t>
      </w:r>
      <w:proofErr w:type="spellEnd"/>
      <w:r>
        <w:rPr>
          <w:sz w:val="20"/>
          <w:szCs w:val="20"/>
          <w:rtl/>
        </w:rPr>
        <w:t xml:space="preserve">, ולתדהמתו קיבל אותו ר׳ ישראל בסבר פנים יפות ושאל אם נח מטורח הדרך. כשפרץ האורח בבכי וביקש מחילה, הבטיח לו ר׳ ישראל שאינו שומר לו טינה, ודיבר אליו דברי מוסר מרגיעים: כיצד אדם עלול לאבד את השליטה בעצמו, וכיצד ירגיל את עצמו שלא להגיע לכך. כשעמד הצעיר לצאת, שאל אותו ר׳ ישראל מה הביאו לעיר. הלה השיב שביקש להיבחן בשחיטה, ור׳ ישראל הציג אותו לפני חתנו כדי להקל עליו לקבל הסמכה. משנכשל במבחן, חיפש ר׳ ישראל שוחט חשוב בווילנה שיכין את הצעיר למבחן חוזר – ולבסוף קיבל הצעיר הסמכה.</w:t>
      </w:r>
    </w:p>
    <w:p w14:paraId="08D36716" w14:textId="77777777" w:rsidR="00AB3647" w:rsidRDefault="00000000">
      <w:pPr>
        <w:spacing w:after="0" w:before="0"/>
        <w:jc w:val="both"/>
      </w:pPr>
      <w:r>
        <w:rPr>
          <w:sz w:val="20"/>
          <w:szCs w:val="20"/>
          <w:rtl/>
        </w:rPr>
        <w:t>לפני שעזב את העיר בא הצעיר לשאול את ר׳ ישראל מדוע טרח כל כך למענו. בעל המוסר הסביר: “כשבאת לבקש מחילה, אמרתי שמחלתי לך. אך שמא נשאר שריד של שנאה בפינה נסתרת בליבי, הייתי צריך להיטיב עימך במיוחד: טבע האדם הוא שבעשיית טובות הוא נעשה ידיד אמת של הנהנה מהן.”</w:t>
      </w:r>
    </w:p>
  </w:footnote>
  <w:footnote w:id="1306">
    <w:p w14:paraId="312679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כ־25 קילומטרים ממערב </w:t>
      </w:r>
      <w:proofErr w:type="spellStart"/>
      <w:r>
        <w:rPr>
          <w:sz w:val="20"/>
          <w:szCs w:val="20"/>
          <w:rtl/>
        </w:rPr>
        <w:t>לוולוז׳ין</w:t>
      </w:r>
      <w:proofErr w:type="spellEnd"/>
      <w:r>
        <w:rPr>
          <w:sz w:val="20"/>
          <w:szCs w:val="20"/>
          <w:rtl/>
        </w:rPr>
        <w:t>.</w:t>
      </w:r>
    </w:p>
  </w:footnote>
  <w:footnote w:id="1307">
    <w:p w14:paraId="2C0E3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277.</w:t>
      </w:r>
    </w:p>
  </w:footnote>
  <w:footnote w:id="1308">
    <w:p w14:paraId="43A1B87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משלחת הרבנים (ר׳ </w:t>
      </w:r>
      <w:proofErr w:type="spellStart"/>
      <w:r>
        <w:rPr>
          <w:sz w:val="20"/>
          <w:szCs w:val="20"/>
          <w:rtl/>
        </w:rPr>
        <w:t>משה־מרדכי</w:t>
      </w:r>
      <w:proofErr w:type="spellEnd"/>
      <w:r>
        <w:rPr>
          <w:sz w:val="20"/>
          <w:szCs w:val="20"/>
          <w:rtl/>
        </w:rPr>
        <w:t xml:space="preserve"> אפשטיין,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אברהם־יצחק</w:t>
      </w:r>
      <w:proofErr w:type="spellEnd"/>
      <w:r>
        <w:rPr>
          <w:sz w:val="20"/>
          <w:szCs w:val="20"/>
          <w:rtl/>
        </w:rPr>
        <w:t xml:space="preserve"> קוק) יצאה מאמריקה בחשוון תרפ״ה, ולא </w:t>
      </w:r>
      <w:proofErr w:type="spellStart"/>
      <w:r>
        <w:rPr>
          <w:sz w:val="20"/>
          <w:szCs w:val="20"/>
          <w:rtl/>
        </w:rPr>
        <w:t>בתרפ״ו</w:t>
      </w:r>
      <w:proofErr w:type="spellEnd"/>
      <w:r>
        <w:rPr>
          <w:sz w:val="20"/>
          <w:szCs w:val="20"/>
          <w:rtl/>
        </w:rPr>
        <w:t>.</w:t>
      </w:r>
    </w:p>
  </w:footnote>
  <w:footnote w:id="1309">
    <w:p w14:paraId="382377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בפברואר 1987.</w:t>
      </w:r>
    </w:p>
  </w:footnote>
  <w:footnote w:id="1310">
    <w:p w14:paraId="2E2FC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71 לעיל.</w:t>
      </w:r>
    </w:p>
  </w:footnote>
  <w:footnote w:id="1311">
    <w:p w14:paraId="47A30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פ במספור העמודים השני.</w:t>
      </w:r>
    </w:p>
  </w:footnote>
  <w:footnote w:id="1312">
    <w:p w14:paraId="553109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“כל כתבי החפץ חיים” (הערה 19 לעיל), עמ׳ 67, על הסדרת עיזבון זה.</w:t>
      </w:r>
    </w:p>
  </w:footnote>
  <w:footnote w:id="1313">
    <w:p w14:paraId="555761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22.</w:t>
      </w:r>
    </w:p>
  </w:footnote>
  <w:footnote w:id="1314">
    <w:p w14:paraId="143D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הערה 124 להלן.</w:t>
      </w:r>
    </w:p>
  </w:footnote>
  <w:footnote w:id="1315">
    <w:p w14:paraId="1F1EB7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השלישית בנספח ו, לפרטי חינוכו התורני של ר׳ </w:t>
      </w:r>
      <w:proofErr w:type="spellStart"/>
      <w:r>
        <w:rPr>
          <w:sz w:val="20"/>
          <w:szCs w:val="20"/>
          <w:rtl/>
        </w:rPr>
        <w:t>יחיאל־יעקב</w:t>
      </w:r>
      <w:proofErr w:type="spellEnd"/>
      <w:r>
        <w:rPr>
          <w:sz w:val="20"/>
          <w:szCs w:val="20"/>
          <w:rtl/>
        </w:rPr>
        <w:t xml:space="preserve"> ויינברג.</w:t>
      </w:r>
    </w:p>
  </w:footnote>
  <w:footnote w:id="1316">
    <w:p w14:paraId="7871F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 – עמ׳ 175.</w:t>
      </w:r>
    </w:p>
  </w:footnote>
  <w:footnote w:id="1317">
    <w:p w14:paraId="481799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w:t>
      </w:r>
    </w:p>
  </w:footnote>
  <w:footnote w:id="1318">
    <w:p w14:paraId="4C5F2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96.</w:t>
      </w:r>
    </w:p>
  </w:footnote>
  <w:footnote w:id="1319">
    <w:p w14:paraId="79533A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ט בפרק זה.</w:t>
      </w:r>
    </w:p>
  </w:footnote>
  <w:footnote w:id="1320">
    <w:p w14:paraId="08EB00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1987.</w:t>
      </w:r>
    </w:p>
  </w:footnote>
  <w:footnote w:id="1321">
    <w:p w14:paraId="3A86A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 ראה ברכות ו׳ ע״ב, אמר ר׳ </w:t>
      </w:r>
      <w:proofErr w:type="spellStart"/>
      <w:r>
        <w:rPr>
          <w:sz w:val="20"/>
          <w:szCs w:val="20"/>
          <w:rtl/>
        </w:rPr>
        <w:t>זירא</w:t>
      </w:r>
      <w:proofErr w:type="spellEnd"/>
      <w:r>
        <w:rPr>
          <w:sz w:val="20"/>
          <w:szCs w:val="20"/>
          <w:rtl/>
        </w:rPr>
        <w:t xml:space="preserve">, אגרא </w:t>
      </w:r>
      <w:proofErr w:type="spellStart"/>
      <w:r>
        <w:rPr>
          <w:sz w:val="20"/>
          <w:szCs w:val="20"/>
          <w:rtl/>
        </w:rPr>
        <w:t>דפירקא</w:t>
      </w:r>
      <w:proofErr w:type="spellEnd"/>
      <w:r>
        <w:rPr>
          <w:sz w:val="20"/>
          <w:szCs w:val="20"/>
          <w:rtl/>
        </w:rPr>
        <w:t xml:space="preserve"> </w:t>
      </w:r>
      <w:proofErr w:type="spellStart"/>
      <w:r>
        <w:rPr>
          <w:sz w:val="20"/>
          <w:szCs w:val="20"/>
          <w:rtl/>
        </w:rPr>
        <w:t>ריהטא</w:t>
      </w:r>
      <w:proofErr w:type="spellEnd"/>
      <w:r>
        <w:rPr>
          <w:sz w:val="20"/>
          <w:szCs w:val="20"/>
          <w:rtl/>
        </w:rPr>
        <w:t>.</w:t>
      </w:r>
    </w:p>
  </w:footnote>
  <w:footnote w:id="1322">
    <w:p w14:paraId="5B29D7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323">
    <w:p w14:paraId="6F46C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(סיוון תשל״ד).</w:t>
      </w:r>
    </w:p>
  </w:footnote>
  <w:footnote w:id="1324">
    <w:p w14:paraId="0A50E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באותו מאמר כמה </w:t>
      </w:r>
      <w:proofErr w:type="spellStart"/>
      <w:r>
        <w:rPr>
          <w:sz w:val="20"/>
          <w:szCs w:val="20"/>
          <w:rtl/>
        </w:rPr>
        <w:t>אי־דיוקים</w:t>
      </w:r>
      <w:proofErr w:type="spellEnd"/>
      <w:r>
        <w:rPr>
          <w:sz w:val="20"/>
          <w:szCs w:val="20"/>
          <w:rtl/>
        </w:rPr>
        <w:t xml:space="preserve"> בנוגע </w:t>
      </w:r>
      <w:proofErr w:type="spellStart"/>
      <w:r>
        <w:rPr>
          <w:sz w:val="20"/>
          <w:szCs w:val="20"/>
          <w:rtl/>
        </w:rPr>
        <w:t>לר</w:t>
      </w:r>
      <w:proofErr w:type="spellEnd"/>
      <w:r>
        <w:rPr>
          <w:sz w:val="20"/>
          <w:szCs w:val="20"/>
          <w:rtl/>
        </w:rPr>
        <w:t xml:space="preserve">׳ </w:t>
      </w:r>
      <w:proofErr w:type="spellStart"/>
      <w:r>
        <w:rPr>
          <w:sz w:val="20"/>
          <w:szCs w:val="20"/>
          <w:rtl/>
        </w:rPr>
        <w:t>משה־מרדכי</w:t>
      </w:r>
      <w:proofErr w:type="spellEnd"/>
      <w:r>
        <w:rPr>
          <w:sz w:val="20"/>
          <w:szCs w:val="20"/>
          <w:rtl/>
        </w:rPr>
        <w:t xml:space="preserve"> אפשטיין, המתוקנים בספר זה.</w:t>
      </w:r>
    </w:p>
  </w:footnote>
  <w:footnote w:id="1325">
    <w:p w14:paraId="5C316C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326">
    <w:p w14:paraId="6F1FCC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 ע״א ורש״י שם ד״ה </w:t>
      </w:r>
      <w:proofErr w:type="spellStart"/>
      <w:r>
        <w:rPr>
          <w:sz w:val="20"/>
          <w:szCs w:val="20"/>
          <w:rtl/>
        </w:rPr>
        <w:t>דאותבן</w:t>
      </w:r>
      <w:proofErr w:type="spellEnd"/>
      <w:r>
        <w:rPr>
          <w:sz w:val="20"/>
          <w:szCs w:val="20"/>
          <w:rtl/>
        </w:rPr>
        <w:t xml:space="preserve"> </w:t>
      </w:r>
      <w:proofErr w:type="spellStart"/>
      <w:r>
        <w:rPr>
          <w:sz w:val="20"/>
          <w:szCs w:val="20"/>
          <w:rtl/>
        </w:rPr>
        <w:t>בפירקא</w:t>
      </w:r>
      <w:proofErr w:type="spellEnd"/>
      <w:r>
        <w:rPr>
          <w:sz w:val="20"/>
          <w:szCs w:val="20"/>
          <w:rtl/>
        </w:rPr>
        <w:t>.</w:t>
      </w:r>
    </w:p>
  </w:footnote>
  <w:footnote w:id="1327">
    <w:p w14:paraId="31E99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304.</w:t>
      </w:r>
    </w:p>
  </w:footnote>
  <w:footnote w:id="1328">
    <w:p w14:paraId="695B1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329">
    <w:p w14:paraId="67CDA7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ז בפרק זה – עמ׳ 11.</w:t>
      </w:r>
    </w:p>
  </w:footnote>
  <w:footnote w:id="1330">
    <w:p w14:paraId="5791F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בפרק זה.</w:t>
      </w:r>
    </w:p>
  </w:footnote>
  <w:footnote w:id="1331">
    <w:p w14:paraId="14D022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32">
    <w:p w14:paraId="0FBAC3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השווה גם הערה 133 להלן.</w:t>
      </w:r>
    </w:p>
  </w:footnote>
  <w:footnote w:id="1333">
    <w:p w14:paraId="0AE43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1.2.</w:t>
      </w:r>
    </w:p>
  </w:footnote>
  <w:footnote w:id="1334">
    <w:p w14:paraId="703F3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באוגוסט 1992.</w:t>
      </w:r>
    </w:p>
  </w:footnote>
  <w:footnote w:id="1335">
    <w:p w14:paraId="44B422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יוצא מן הכלל הוא רבי יעקב ישראל, הנזכר בתוספות (יומא מ״ו ע״ב, כתובות צ״ח ע״ב וחולין קי״ב ע״א), ושני השמות האלה שייכים לדמות מקראית אחת. וכן כתבו שו״ת נודע ביהודה </w:t>
      </w:r>
      <w:proofErr w:type="spellStart"/>
      <w:r>
        <w:rPr>
          <w:sz w:val="20"/>
          <w:szCs w:val="20"/>
          <w:rtl/>
        </w:rPr>
        <w:t>מהדו״ת</w:t>
      </w:r>
      <w:proofErr w:type="spellEnd"/>
      <w:r>
        <w:rPr>
          <w:sz w:val="20"/>
          <w:szCs w:val="20"/>
          <w:rtl/>
        </w:rPr>
        <w:t xml:space="preserve">, </w:t>
      </w:r>
      <w:proofErr w:type="spellStart"/>
      <w:r>
        <w:rPr>
          <w:sz w:val="20"/>
          <w:szCs w:val="20"/>
          <w:rtl/>
        </w:rPr>
        <w:t>או״ח</w:t>
      </w:r>
      <w:proofErr w:type="spellEnd"/>
      <w:r>
        <w:rPr>
          <w:sz w:val="20"/>
          <w:szCs w:val="20"/>
          <w:rtl/>
        </w:rPr>
        <w:t xml:space="preserve"> סי׳ קי״ג, ושו״ת חת״ם סופר </w:t>
      </w:r>
      <w:proofErr w:type="spellStart"/>
      <w:r>
        <w:rPr>
          <w:sz w:val="20"/>
          <w:szCs w:val="20"/>
          <w:rtl/>
        </w:rPr>
        <w:t>אה״ע</w:t>
      </w:r>
      <w:proofErr w:type="spellEnd"/>
      <w:r>
        <w:rPr>
          <w:sz w:val="20"/>
          <w:szCs w:val="20"/>
          <w:rtl/>
        </w:rPr>
        <w:t xml:space="preserve">, סי׳ י״ח. ועיין שו״ת משנה הלכות (מאת מנשה הקטן, מכון משנה הלכות), </w:t>
      </w:r>
      <w:proofErr w:type="spellStart"/>
      <w:r>
        <w:rPr>
          <w:sz w:val="20"/>
          <w:szCs w:val="20"/>
          <w:rtl/>
        </w:rPr>
        <w:t>ח״ה</w:t>
      </w:r>
      <w:proofErr w:type="spellEnd"/>
      <w:r>
        <w:rPr>
          <w:sz w:val="20"/>
          <w:szCs w:val="20"/>
          <w:rtl/>
        </w:rPr>
        <w:t xml:space="preserve">, סי׳ רט״ו (תשמ״ו), </w:t>
      </w:r>
      <w:proofErr w:type="spellStart"/>
      <w:r>
        <w:rPr>
          <w:sz w:val="20"/>
          <w:szCs w:val="20"/>
          <w:rtl/>
        </w:rPr>
        <w:t>וח״ו</w:t>
      </w:r>
      <w:proofErr w:type="spellEnd"/>
      <w:r>
        <w:rPr>
          <w:sz w:val="20"/>
          <w:szCs w:val="20"/>
          <w:rtl/>
        </w:rPr>
        <w:t>, סי׳ רנ״ה (תשמ״ז).</w:t>
      </w:r>
    </w:p>
  </w:footnote>
  <w:footnote w:id="1336">
    <w:p w14:paraId="4DADD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91.</w:t>
      </w:r>
    </w:p>
  </w:footnote>
  <w:footnote w:id="1337">
    <w:p w14:paraId="223FC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בסלבודקה</w:t>
      </w:r>
      <w:proofErr w:type="spellEnd"/>
      <w:r>
        <w:rPr>
          <w:sz w:val="20"/>
          <w:szCs w:val="20"/>
          <w:rtl/>
        </w:rPr>
        <w:t xml:space="preserve"> לא למדו את כל הש״ס דף אחר דף, מתחילתו ועד סופו, כפי שנהגו </w:t>
      </w:r>
      <w:proofErr w:type="spellStart"/>
      <w:r>
        <w:rPr>
          <w:sz w:val="20"/>
          <w:szCs w:val="20"/>
          <w:rtl/>
        </w:rPr>
        <w:t>בוולוז׳ין</w:t>
      </w:r>
      <w:proofErr w:type="spellEnd"/>
      <w:r>
        <w:rPr>
          <w:sz w:val="20"/>
          <w:szCs w:val="20"/>
          <w:rtl/>
        </w:rPr>
        <w:t xml:space="preserve"> עד סגירתה. על תוכנית הלימודים </w:t>
      </w:r>
      <w:proofErr w:type="spellStart"/>
      <w:r>
        <w:rPr>
          <w:sz w:val="20"/>
          <w:szCs w:val="20"/>
          <w:rtl/>
        </w:rPr>
        <w:t>בוולוז׳ין</w:t>
      </w:r>
      <w:proofErr w:type="spellEnd"/>
      <w:r>
        <w:rPr>
          <w:sz w:val="20"/>
          <w:szCs w:val="20"/>
          <w:rtl/>
        </w:rPr>
        <w:t xml:space="preserve"> ראה פרק 4, סוף הפסקה הרביעית בנספח ט.</w:t>
      </w:r>
    </w:p>
  </w:footnote>
  <w:footnote w:id="1338">
    <w:p w14:paraId="03CF92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 בפברואר 1992.</w:t>
      </w:r>
    </w:p>
  </w:footnote>
  <w:footnote w:id="1339">
    <w:p w14:paraId="4D3030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כתובות </w:t>
      </w:r>
      <w:proofErr w:type="spellStart"/>
      <w:r>
        <w:rPr>
          <w:sz w:val="20"/>
          <w:szCs w:val="20"/>
          <w:rtl/>
        </w:rPr>
        <w:t>יז</w:t>
      </w:r>
      <w:proofErr w:type="spellEnd"/>
      <w:r>
        <w:rPr>
          <w:sz w:val="20"/>
          <w:szCs w:val="20"/>
          <w:rtl/>
        </w:rPr>
        <w:t xml:space="preserve"> ע״א, לא תסמכו לנא לא מן </w:t>
      </w:r>
      <w:proofErr w:type="spellStart"/>
      <w:r>
        <w:rPr>
          <w:sz w:val="20"/>
          <w:szCs w:val="20"/>
          <w:rtl/>
        </w:rPr>
        <w:t>סרמיסין</w:t>
      </w:r>
      <w:proofErr w:type="spellEnd"/>
      <w:r>
        <w:rPr>
          <w:sz w:val="20"/>
          <w:szCs w:val="20"/>
          <w:rtl/>
        </w:rPr>
        <w:t xml:space="preserve"> </w:t>
      </w:r>
      <w:proofErr w:type="spellStart"/>
      <w:r>
        <w:rPr>
          <w:sz w:val="20"/>
          <w:szCs w:val="20"/>
          <w:rtl/>
        </w:rPr>
        <w:t>וכו</w:t>
      </w:r>
      <w:proofErr w:type="spellEnd"/>
      <w:r>
        <w:rPr>
          <w:sz w:val="20"/>
          <w:szCs w:val="20"/>
          <w:rtl/>
        </w:rPr>
        <w:t xml:space="preserve">׳, ובערוך, ערך חמס, בסופו, שמביא פירוש אחר. ראה גם הערת שוליים </w:t>
      </w:r>
      <w:r>
        <w:rPr>
          <w:sz w:val="20"/>
          <w:szCs w:val="20"/>
          <w:rtl/>
        </w:rPr>
        <w:fldChar w:fldCharType="begin" w:dirty="true"/>
      </w:r>
      <w:r>
        <w:rPr>
          <w:sz w:val="20"/>
          <w:szCs w:val="20"/>
          <w:rtl/>
        </w:rPr>
        <w:instrText xml:space="preserve"> NOTEREF pr_f_366 \h </w:instrText>
      </w:r>
      <w:r>
        <w:rPr>
          <w:sz w:val="20"/>
          <w:szCs w:val="20"/>
          <w:rtl/>
        </w:rPr>
      </w:r>
      <w:r>
        <w:rPr>
          <w:sz w:val="20"/>
          <w:szCs w:val="20"/>
          <w:rtl/>
        </w:rPr>
        <w:fldChar w:fldCharType="separate"/>
      </w:r>
      <w:r w:rsidR="007923E9">
        <w:rPr>
          <w:sz w:val="20"/>
          <w:szCs w:val="20"/>
          <w:rtl/>
        </w:rPr>
        <w:t>308</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1340">
    <w:p w14:paraId="4CC3F8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שני האמוראים האלה שימשו דוגמה לדיונים בתלמוד; ראה גם פרק 2, הערה 13.</w:t>
      </w:r>
    </w:p>
  </w:footnote>
  <w:footnote w:id="1341">
    <w:p w14:paraId="152222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כז</w:t>
      </w:r>
      <w:proofErr w:type="spellEnd"/>
      <w:r>
        <w:rPr>
          <w:sz w:val="20"/>
          <w:szCs w:val="20"/>
          <w:rtl/>
        </w:rPr>
        <w:t xml:space="preserve"> בפרק זה. הוא נולד במאלט </w:t>
      </w:r>
      <w:proofErr w:type="spellStart"/>
      <w:r>
        <w:rPr>
          <w:sz w:val="20"/>
          <w:szCs w:val="20"/>
          <w:rtl/>
        </w:rPr>
        <w:t>בתרס״ט</w:t>
      </w:r>
      <w:proofErr w:type="spellEnd"/>
      <w:r>
        <w:rPr>
          <w:sz w:val="20"/>
          <w:szCs w:val="20"/>
          <w:rtl/>
        </w:rPr>
        <w:t xml:space="preserve">, והיה תלמיד ישיבת </w:t>
      </w:r>
      <w:proofErr w:type="spellStart"/>
      <w:r>
        <w:rPr>
          <w:sz w:val="20"/>
          <w:szCs w:val="20"/>
          <w:rtl/>
        </w:rPr>
        <w:t>סלבודקה</w:t>
      </w:r>
      <w:proofErr w:type="spellEnd"/>
      <w:r>
        <w:rPr>
          <w:sz w:val="20"/>
          <w:szCs w:val="20"/>
          <w:rtl/>
        </w:rPr>
        <w:t xml:space="preserve"> עד שעלה לארץ ישראל </w:t>
      </w:r>
      <w:proofErr w:type="spellStart"/>
      <w:r>
        <w:rPr>
          <w:sz w:val="20"/>
          <w:szCs w:val="20"/>
          <w:rtl/>
        </w:rPr>
        <w:t>בתרצ״ד</w:t>
      </w:r>
      <w:proofErr w:type="spellEnd"/>
      <w:r>
        <w:rPr>
          <w:sz w:val="20"/>
          <w:szCs w:val="20"/>
          <w:rtl/>
        </w:rPr>
        <w:t>.</w:t>
      </w:r>
    </w:p>
  </w:footnote>
  <w:footnote w:id="1342">
    <w:p w14:paraId="598B5E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הרביעית בנספח ו, על דעתו של ר׳ </w:t>
      </w:r>
      <w:proofErr w:type="spellStart"/>
      <w:r>
        <w:rPr>
          <w:sz w:val="20"/>
          <w:szCs w:val="20"/>
          <w:rtl/>
        </w:rPr>
        <w:t>ראובן׳לה</w:t>
      </w:r>
      <w:proofErr w:type="spellEnd"/>
      <w:r>
        <w:rPr>
          <w:sz w:val="20"/>
          <w:szCs w:val="20"/>
          <w:rtl/>
        </w:rPr>
        <w:t xml:space="preserve"> </w:t>
      </w:r>
      <w:proofErr w:type="spellStart"/>
      <w:r>
        <w:rPr>
          <w:sz w:val="20"/>
          <w:szCs w:val="20"/>
          <w:rtl/>
        </w:rPr>
        <w:t>דנבורגר</w:t>
      </w:r>
      <w:proofErr w:type="spellEnd"/>
      <w:r>
        <w:rPr>
          <w:sz w:val="20"/>
          <w:szCs w:val="20"/>
          <w:rtl/>
        </w:rPr>
        <w:t xml:space="preserve"> בעניין זה.</w:t>
      </w:r>
    </w:p>
  </w:footnote>
  <w:footnote w:id="1343">
    <w:p w14:paraId="52A25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ויקרא רבה ט, ג.</w:t>
      </w:r>
    </w:p>
  </w:footnote>
  <w:footnote w:id="1344">
    <w:p w14:paraId="38267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הכול ידעו שאבי נחלק עם אותו ראש ישיבה דווקא בעניינים הנוגעים ליושר מלא בתוכניות ממשלתיות.</w:t>
      </w:r>
    </w:p>
  </w:footnote>
  <w:footnote w:id="1345">
    <w:p w14:paraId="37F342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יצחק </w:t>
      </w:r>
      <w:proofErr w:type="spellStart"/>
      <w:r>
        <w:rPr>
          <w:sz w:val="20"/>
          <w:szCs w:val="20"/>
          <w:rtl/>
        </w:rPr>
        <w:t>קנובל</w:t>
      </w:r>
      <w:proofErr w:type="spellEnd"/>
      <w:r>
        <w:rPr>
          <w:sz w:val="20"/>
          <w:szCs w:val="20"/>
          <w:rtl/>
        </w:rPr>
        <w:t xml:space="preserve"> (פרק 1, נספח ג).</w:t>
      </w:r>
    </w:p>
  </w:footnote>
  <w:footnote w:id="1346">
    <w:p w14:paraId="0A3EA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בפרק 1.1 וסוף הערה 13.</w:t>
      </w:r>
    </w:p>
  </w:footnote>
  <w:footnote w:id="1347">
    <w:p w14:paraId="1F9D34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74 לעיל.</w:t>
      </w:r>
    </w:p>
  </w:footnote>
  <w:footnote w:id="1348">
    <w:p w14:paraId="6CF5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w:t>
      </w:r>
      <w:proofErr w:type="spellStart"/>
      <w:r>
        <w:rPr>
          <w:sz w:val="20"/>
          <w:szCs w:val="20"/>
          <w:rtl/>
        </w:rPr>
        <w:t>בסלבודקה</w:t>
      </w:r>
      <w:proofErr w:type="spellEnd"/>
      <w:r>
        <w:rPr>
          <w:sz w:val="20"/>
          <w:szCs w:val="20"/>
          <w:rtl/>
        </w:rPr>
        <w:t xml:space="preserve"> בתקופת רבנו, והיה צעיר ממנו בשנתיים; שם נודע בכינוי מנדל </w:t>
      </w:r>
      <w:proofErr w:type="spellStart"/>
      <w:r>
        <w:rPr>
          <w:sz w:val="20"/>
          <w:szCs w:val="20"/>
          <w:rtl/>
        </w:rPr>
        <w:t>דרוהיצ׳ינר</w:t>
      </w:r>
      <w:proofErr w:type="spellEnd"/>
      <w:r>
        <w:rPr>
          <w:sz w:val="20"/>
          <w:szCs w:val="20"/>
          <w:rtl/>
        </w:rPr>
        <w:t xml:space="preserve">. השווה גם כרך 3, על פגישתם כשאבי הגיע לאמריקה ועל יחסיהם החמים עד פטירת ר׳ מנחם פר </w:t>
      </w:r>
      <w:proofErr w:type="spellStart"/>
      <w:r>
        <w:rPr>
          <w:sz w:val="20"/>
          <w:szCs w:val="20"/>
          <w:rtl/>
        </w:rPr>
        <w:t>בתש״ם</w:t>
      </w:r>
      <w:proofErr w:type="spellEnd"/>
      <w:r>
        <w:rPr>
          <w:sz w:val="20"/>
          <w:szCs w:val="20"/>
          <w:rtl/>
        </w:rPr>
        <w:t>.</w:t>
      </w:r>
    </w:p>
  </w:footnote>
  <w:footnote w:id="1349">
    <w:p w14:paraId="1BCF1D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163.</w:t>
      </w:r>
    </w:p>
  </w:footnote>
  <w:footnote w:id="1350">
    <w:p w14:paraId="739AD0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בפרק זה.</w:t>
      </w:r>
    </w:p>
  </w:footnote>
  <w:footnote w:id="1351">
    <w:p w14:paraId="152FF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352">
    <w:p w14:paraId="6B99C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נספחים ד </w:t>
      </w:r>
      <w:proofErr w:type="spellStart"/>
      <w:r>
        <w:rPr>
          <w:sz w:val="20"/>
          <w:szCs w:val="20"/>
          <w:rtl/>
        </w:rPr>
        <w:t>ויז</w:t>
      </w:r>
      <w:proofErr w:type="spellEnd"/>
      <w:r>
        <w:rPr>
          <w:sz w:val="20"/>
          <w:szCs w:val="20"/>
          <w:rtl/>
        </w:rPr>
        <w:t xml:space="preserve"> בפרק זה.</w:t>
      </w:r>
    </w:p>
  </w:footnote>
  <w:footnote w:id="1353">
    <w:p w14:paraId="046FB2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מניין זה מדויק, ודאי נכחו בשיעורו של ר׳ </w:t>
      </w:r>
      <w:proofErr w:type="spellStart"/>
      <w:r>
        <w:rPr>
          <w:sz w:val="20"/>
          <w:szCs w:val="20"/>
          <w:rtl/>
        </w:rPr>
        <w:t>ברוך־בער</w:t>
      </w:r>
      <w:proofErr w:type="spellEnd"/>
      <w:r>
        <w:rPr>
          <w:sz w:val="20"/>
          <w:szCs w:val="20"/>
          <w:rtl/>
        </w:rPr>
        <w:t xml:space="preserve"> גם בעלי בתים רבים מן העיר.</w:t>
      </w:r>
    </w:p>
  </w:footnote>
  <w:footnote w:id="1354">
    <w:p w14:paraId="4C2E44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1355">
    <w:p w14:paraId="2614DE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לא הזכיר שבן צעיר יותר של הסבא, ר׳ משה </w:t>
      </w:r>
      <w:proofErr w:type="spellStart"/>
      <w:r>
        <w:rPr>
          <w:sz w:val="20"/>
          <w:szCs w:val="20"/>
          <w:rtl/>
        </w:rPr>
        <w:t>פינקל</w:t>
      </w:r>
      <w:proofErr w:type="spellEnd"/>
      <w:r>
        <w:rPr>
          <w:sz w:val="20"/>
          <w:szCs w:val="20"/>
          <w:rtl/>
        </w:rPr>
        <w:t xml:space="preserve">, למד אצלו </w:t>
      </w:r>
      <w:proofErr w:type="spellStart"/>
      <w:r>
        <w:rPr>
          <w:sz w:val="20"/>
          <w:szCs w:val="20"/>
          <w:rtl/>
        </w:rPr>
        <w:t>בהלוסק</w:t>
      </w:r>
      <w:proofErr w:type="spellEnd"/>
      <w:r>
        <w:rPr>
          <w:sz w:val="20"/>
          <w:szCs w:val="20"/>
          <w:rtl/>
        </w:rPr>
        <w:t xml:space="preserve">, כפי שיסופר להלן (ואולי אף השתתף בכמה משיעוריו בכנסת בית יצחק). ר׳ משה, כמו ר׳ </w:t>
      </w:r>
      <w:proofErr w:type="spellStart"/>
      <w:r>
        <w:rPr>
          <w:sz w:val="20"/>
          <w:szCs w:val="20"/>
          <w:rtl/>
        </w:rPr>
        <w:t>לייזר־יודל</w:t>
      </w:r>
      <w:proofErr w:type="spellEnd"/>
      <w:r>
        <w:rPr>
          <w:sz w:val="20"/>
          <w:szCs w:val="20"/>
          <w:rtl/>
        </w:rPr>
        <w:t xml:space="preserve">, נעשה גם הוא תלמיד חכם מפורסם. אפשר לשער שהטעם לכך שלא הזכירו הוא שר׳ משה כבר לא היה בחיים בשעה שדיבר ר׳ </w:t>
      </w:r>
      <w:proofErr w:type="spellStart"/>
      <w:r>
        <w:rPr>
          <w:sz w:val="20"/>
          <w:szCs w:val="20"/>
          <w:rtl/>
        </w:rPr>
        <w:t>ברוך־בער</w:t>
      </w:r>
      <w:proofErr w:type="spellEnd"/>
      <w:r>
        <w:rPr>
          <w:sz w:val="20"/>
          <w:szCs w:val="20"/>
          <w:rtl/>
        </w:rPr>
        <w:t xml:space="preserve"> עם ר׳ שכנא </w:t>
      </w:r>
      <w:proofErr w:type="spellStart"/>
      <w:r>
        <w:rPr>
          <w:sz w:val="20"/>
          <w:szCs w:val="20"/>
          <w:rtl/>
        </w:rPr>
        <w:t>זאהן</w:t>
      </w:r>
      <w:proofErr w:type="spellEnd"/>
      <w:r>
        <w:rPr>
          <w:sz w:val="20"/>
          <w:szCs w:val="20"/>
          <w:rtl/>
        </w:rPr>
        <w:t>.</w:t>
      </w:r>
    </w:p>
  </w:footnote>
  <w:footnote w:id="1356">
    <w:p w14:paraId="09A4E2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בעמ׳ 29 בחוברת “אשא עיני אל ההרים – שביבי נגה מדמותה של הרבנית חנה מרים </w:t>
      </w:r>
      <w:proofErr w:type="spellStart"/>
      <w:r>
        <w:rPr>
          <w:rStyle w:val="a5"/>
          <w:sz w:val="20"/>
          <w:szCs w:val="20"/>
          <w:vertAlign w:val="baseline"/>
          <w:rtl/>
        </w:rPr>
        <w:t>שמואלביץ</w:t>
      </w:r>
      <w:proofErr w:type="spellEnd"/>
      <w:r>
        <w:rPr>
          <w:rStyle w:val="a5"/>
          <w:sz w:val="20"/>
          <w:szCs w:val="20"/>
          <w:vertAlign w:val="baseline"/>
          <w:rtl/>
        </w:rPr>
        <w:t xml:space="preserve">” (ירושלים, חשוון תשנ״ו) מובאים דברי ר׳ </w:t>
      </w:r>
      <w:proofErr w:type="spellStart"/>
      <w:r>
        <w:rPr>
          <w:rStyle w:val="a5"/>
          <w:sz w:val="20"/>
          <w:szCs w:val="20"/>
          <w:vertAlign w:val="baseline"/>
          <w:rtl/>
        </w:rPr>
        <w:t>לייזר־יודל</w:t>
      </w:r>
      <w:proofErr w:type="spellEnd"/>
      <w:r>
        <w:rPr>
          <w:rStyle w:val="a5"/>
          <w:sz w:val="20"/>
          <w:szCs w:val="20"/>
          <w:vertAlign w:val="baseline"/>
          <w:rtl/>
        </w:rPr>
        <w:t xml:space="preserve">: “בדור הקודם הכרנו יחיד אחד מיוחד במידת הענווה – זה היה ר׳ </w:t>
      </w:r>
      <w:proofErr w:type="spellStart"/>
      <w:r>
        <w:rPr>
          <w:rStyle w:val="a5"/>
          <w:sz w:val="20"/>
          <w:szCs w:val="20"/>
          <w:vertAlign w:val="baseline"/>
          <w:rtl/>
        </w:rPr>
        <w:t>ברוך־בער</w:t>
      </w:r>
      <w:proofErr w:type="spellEnd"/>
      <w:r>
        <w:rPr>
          <w:rStyle w:val="a5"/>
          <w:sz w:val="20"/>
          <w:szCs w:val="20"/>
          <w:vertAlign w:val="baseline"/>
          <w:rtl/>
        </w:rPr>
        <w:t>. בדור הזה אני מכיר אחת – בתי [</w:t>
      </w:r>
      <w:proofErr w:type="spellStart"/>
      <w:r>
        <w:rPr>
          <w:rStyle w:val="a5"/>
          <w:sz w:val="20"/>
          <w:szCs w:val="20"/>
          <w:vertAlign w:val="baseline"/>
          <w:rtl/>
        </w:rPr>
        <w:t>חנה־מרים</w:t>
      </w:r>
      <w:proofErr w:type="spellEnd"/>
      <w:r>
        <w:rPr>
          <w:rStyle w:val="a5"/>
          <w:sz w:val="20"/>
          <w:szCs w:val="20"/>
          <w:vertAlign w:val="baseline"/>
          <w:rtl/>
        </w:rPr>
        <w:t xml:space="preserve"> </w:t>
      </w:r>
      <w:proofErr w:type="spellStart"/>
      <w:r>
        <w:rPr>
          <w:rStyle w:val="a5"/>
          <w:sz w:val="20"/>
          <w:szCs w:val="20"/>
          <w:vertAlign w:val="baseline"/>
          <w:rtl/>
        </w:rPr>
        <w:t>שמואלביץ</w:t>
      </w:r>
      <w:proofErr w:type="spellEnd"/>
      <w:r>
        <w:rPr>
          <w:rStyle w:val="a5"/>
          <w:sz w:val="20"/>
          <w:szCs w:val="20"/>
          <w:vertAlign w:val="baseline"/>
          <w:rtl/>
        </w:rPr>
        <w:t>].”</w:t>
      </w:r>
    </w:p>
  </w:footnote>
  <w:footnote w:id="1357">
    <w:p w14:paraId="1592D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בפרק זה.</w:t>
      </w:r>
    </w:p>
  </w:footnote>
  <w:footnote w:id="1358">
    <w:p w14:paraId="3E73D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134.</w:t>
      </w:r>
    </w:p>
  </w:footnote>
  <w:footnote w:id="1359">
    <w:p w14:paraId="7C0A3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 חכם אחד העביר לכותב שורות אלו את דברי הרב שמחה וסרמן על הנהגה זו של ר׳ </w:t>
      </w:r>
      <w:proofErr w:type="spellStart"/>
      <w:r>
        <w:rPr>
          <w:sz w:val="20"/>
          <w:szCs w:val="20"/>
          <w:rtl/>
        </w:rPr>
        <w:t>ברוך־בער</w:t>
      </w:r>
      <w:proofErr w:type="spellEnd"/>
      <w:r>
        <w:rPr>
          <w:sz w:val="20"/>
          <w:szCs w:val="20"/>
          <w:rtl/>
        </w:rPr>
        <w:t xml:space="preserve">: “כך דרכו של תלמיד חכם: שהרי למידים </w:t>
      </w:r>
      <w:proofErr w:type="spellStart"/>
      <w:r>
        <w:rPr>
          <w:sz w:val="20"/>
          <w:szCs w:val="20"/>
          <w:rtl/>
        </w:rPr>
        <w:t>מ‘זהב</w:t>
      </w:r>
      <w:proofErr w:type="spellEnd"/>
      <w:r>
        <w:rPr>
          <w:sz w:val="20"/>
          <w:szCs w:val="20"/>
          <w:rtl/>
        </w:rPr>
        <w:t xml:space="preserve"> טהור מבית ומחוץ תצפנו’ שכתוב אצל הארון שתלמיד חכם צריך להיות תוכו כברו [יומא ע״ב ע״ב], והרי גם הארון נשאר עץ בתוך תוכו – ומזה למידים שגם תלמיד חכם איננו מחויב להיות מלאך.” וזה כמו שר׳ קופל </w:t>
      </w:r>
      <w:proofErr w:type="spellStart"/>
      <w:r>
        <w:rPr>
          <w:sz w:val="20"/>
          <w:szCs w:val="20"/>
          <w:rtl/>
        </w:rPr>
        <w:t>וולפרט</w:t>
      </w:r>
      <w:proofErr w:type="spellEnd"/>
      <w:r>
        <w:rPr>
          <w:sz w:val="20"/>
          <w:szCs w:val="20"/>
          <w:rtl/>
        </w:rPr>
        <w:t xml:space="preserve"> הבין את הדבר. וכמובן, דרגה של “זהב... מבית ומחוץ” היא ג״כ עצומה </w:t>
      </w:r>
      <w:proofErr w:type="spellStart"/>
      <w:r>
        <w:rPr>
          <w:sz w:val="20"/>
          <w:szCs w:val="20"/>
          <w:rtl/>
        </w:rPr>
        <w:t>ודו״ק</w:t>
      </w:r>
      <w:proofErr w:type="spellEnd"/>
      <w:r>
        <w:rPr>
          <w:sz w:val="20"/>
          <w:szCs w:val="20"/>
          <w:rtl/>
        </w:rPr>
        <w:t xml:space="preserve">. ועי׳ פסחים ס״ח ע״ב רב ששת וכו׳ מעיקרא כי עביד </w:t>
      </w:r>
      <w:proofErr w:type="spellStart"/>
      <w:r>
        <w:rPr>
          <w:sz w:val="20"/>
          <w:szCs w:val="20"/>
          <w:rtl/>
        </w:rPr>
        <w:t>איניש</w:t>
      </w:r>
      <w:proofErr w:type="spellEnd"/>
      <w:r>
        <w:rPr>
          <w:sz w:val="20"/>
          <w:szCs w:val="20"/>
          <w:rtl/>
        </w:rPr>
        <w:t xml:space="preserve"> </w:t>
      </w:r>
      <w:proofErr w:type="spellStart"/>
      <w:r>
        <w:rPr>
          <w:sz w:val="20"/>
          <w:szCs w:val="20"/>
          <w:rtl/>
        </w:rPr>
        <w:t>אדעתא</w:t>
      </w:r>
      <w:proofErr w:type="spellEnd"/>
      <w:r>
        <w:rPr>
          <w:sz w:val="20"/>
          <w:szCs w:val="20"/>
          <w:rtl/>
        </w:rPr>
        <w:t xml:space="preserve"> </w:t>
      </w:r>
      <w:proofErr w:type="spellStart"/>
      <w:r>
        <w:rPr>
          <w:sz w:val="20"/>
          <w:szCs w:val="20"/>
          <w:rtl/>
        </w:rPr>
        <w:t>דנפשיה</w:t>
      </w:r>
      <w:proofErr w:type="spellEnd"/>
      <w:r>
        <w:rPr>
          <w:sz w:val="20"/>
          <w:szCs w:val="20"/>
          <w:rtl/>
        </w:rPr>
        <w:t xml:space="preserve"> </w:t>
      </w:r>
      <w:proofErr w:type="spellStart"/>
      <w:r>
        <w:rPr>
          <w:sz w:val="20"/>
          <w:szCs w:val="20"/>
          <w:rtl/>
        </w:rPr>
        <w:t>קא</w:t>
      </w:r>
      <w:proofErr w:type="spellEnd"/>
      <w:r>
        <w:rPr>
          <w:sz w:val="20"/>
          <w:szCs w:val="20"/>
          <w:rtl/>
        </w:rPr>
        <w:t xml:space="preserve"> עביד, וגם עיין בסוף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שמתחילה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1360">
    <w:p w14:paraId="2EB02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בפרק זה – עמ׳ 40.</w:t>
      </w:r>
    </w:p>
  </w:footnote>
  <w:footnote w:id="1361">
    <w:p w14:paraId="37B57F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כב</w:t>
      </w:r>
      <w:proofErr w:type="spellEnd"/>
      <w:r>
        <w:rPr>
          <w:sz w:val="20"/>
          <w:szCs w:val="20"/>
          <w:rtl/>
        </w:rPr>
        <w:t xml:space="preserve"> בפרק זה: תלמידו המובהק של ר׳ </w:t>
      </w:r>
      <w:proofErr w:type="spellStart"/>
      <w:r>
        <w:rPr>
          <w:sz w:val="20"/>
          <w:szCs w:val="20"/>
          <w:rtl/>
        </w:rPr>
        <w:t>ברוך־בער</w:t>
      </w:r>
      <w:proofErr w:type="spellEnd"/>
      <w:r>
        <w:rPr>
          <w:sz w:val="20"/>
          <w:szCs w:val="20"/>
          <w:rtl/>
        </w:rPr>
        <w:t xml:space="preserve">, ר׳ שלמה היימן, שקל לעשות כמותם, אך ר׳ </w:t>
      </w:r>
      <w:proofErr w:type="spellStart"/>
      <w:r>
        <w:rPr>
          <w:sz w:val="20"/>
          <w:szCs w:val="20"/>
          <w:rtl/>
        </w:rPr>
        <w:t>ברוך־בער</w:t>
      </w:r>
      <w:proofErr w:type="spellEnd"/>
      <w:r>
        <w:rPr>
          <w:sz w:val="20"/>
          <w:szCs w:val="20"/>
          <w:rtl/>
        </w:rPr>
        <w:t xml:space="preserve"> הניאו מכך.</w:t>
      </w:r>
    </w:p>
  </w:footnote>
  <w:footnote w:id="1362">
    <w:p w14:paraId="48D94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בפרק זה – עמ׳ 74–75.</w:t>
      </w:r>
    </w:p>
  </w:footnote>
  <w:footnote w:id="1363">
    <w:p w14:paraId="532AC0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134.</w:t>
      </w:r>
    </w:p>
  </w:footnote>
  <w:footnote w:id="1364">
    <w:p w14:paraId="2A32A3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ל׳ ע״ב.</w:t>
      </w:r>
    </w:p>
  </w:footnote>
  <w:footnote w:id="1365">
    <w:p w14:paraId="73B766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מציג את עצמו כאילו למד בכנסת בית יצחק לפני בואם של </w:t>
      </w:r>
      <w:proofErr w:type="spellStart"/>
      <w:r>
        <w:rPr>
          <w:sz w:val="20"/>
          <w:szCs w:val="20"/>
          <w:rtl/>
        </w:rPr>
        <w:t>ההלוסקאים</w:t>
      </w:r>
      <w:proofErr w:type="spellEnd"/>
      <w:r>
        <w:rPr>
          <w:sz w:val="20"/>
          <w:szCs w:val="20"/>
          <w:rtl/>
        </w:rPr>
        <w:t xml:space="preserve">, אבל למעשה הצטרף לישיבה </w:t>
      </w:r>
      <w:r>
        <w:rPr>
          <w:b/>
          <w:bCs/>
          <w:sz w:val="20"/>
          <w:szCs w:val="20"/>
          <w:rtl/>
        </w:rPr>
        <w:t>שלוש שנים לאחר מכן</w:t>
      </w:r>
      <w:r>
        <w:rPr>
          <w:sz w:val="20"/>
          <w:szCs w:val="20"/>
          <w:rtl/>
        </w:rPr>
        <w:t xml:space="preserve"> (ראה שם, עמ׳ 40), ומן הסתם חזר על מה שסיפרו לו התלמידים הוותיקים על בואם.</w:t>
      </w:r>
    </w:p>
  </w:footnote>
  <w:footnote w:id="1366">
    <w:p w14:paraId="5DE23A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סוף הפסקה הראשונה בנספח </w:t>
      </w:r>
      <w:proofErr w:type="spellStart"/>
      <w:r>
        <w:rPr>
          <w:sz w:val="20"/>
          <w:szCs w:val="20"/>
          <w:rtl/>
        </w:rPr>
        <w:t>יח</w:t>
      </w:r>
      <w:proofErr w:type="spellEnd"/>
      <w:r>
        <w:rPr>
          <w:sz w:val="20"/>
          <w:szCs w:val="20"/>
          <w:rtl/>
        </w:rPr>
        <w:t xml:space="preserve"> בפרק זה.</w:t>
      </w:r>
    </w:p>
  </w:footnote>
  <w:footnote w:id="1367">
    <w:p w14:paraId="4AF56E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הבנתי את הביטוי עד שנתקלתי במעשה שסיפר אבי </w:t>
      </w:r>
      <w:proofErr w:type="spellStart"/>
      <w:r>
        <w:rPr>
          <w:sz w:val="20"/>
          <w:szCs w:val="20"/>
          <w:rtl/>
        </w:rPr>
        <w:t>לר</w:t>
      </w:r>
      <w:proofErr w:type="spellEnd"/>
      <w:r>
        <w:rPr>
          <w:sz w:val="20"/>
          <w:szCs w:val="20"/>
          <w:rtl/>
        </w:rPr>
        <w:t xml:space="preserve">׳ בערל וויין, כפי שהוא מובא </w:t>
      </w:r>
      <w:proofErr w:type="spellStart"/>
      <w:r>
        <w:rPr>
          <w:sz w:val="20"/>
          <w:szCs w:val="20"/>
          <w:rtl/>
        </w:rPr>
        <w:t>ב“וויין</w:t>
      </w:r>
      <w:proofErr w:type="spellEnd"/>
      <w:r>
        <w:rPr>
          <w:sz w:val="20"/>
          <w:szCs w:val="20"/>
          <w:rtl/>
        </w:rPr>
        <w:t xml:space="preserve"> המשובח” מאת ד״ר ג׳יימס דייוויד וייס (הוצאת שער, 1992), עמ׳ 144: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גורש בגיל </w:t>
      </w:r>
      <w:proofErr w:type="spellStart"/>
      <w:r>
        <w:rPr>
          <w:sz w:val="20"/>
          <w:szCs w:val="20"/>
          <w:rtl/>
        </w:rPr>
        <w:t>שתים־עשרה</w:t>
      </w:r>
      <w:proofErr w:type="spellEnd"/>
      <w:r>
        <w:rPr>
          <w:sz w:val="20"/>
          <w:szCs w:val="20"/>
          <w:rtl/>
        </w:rPr>
        <w:t xml:space="preserve"> מישיבתו, מפני שהביא עז לכיתה כדי להמחיש שבעל החיים “יודע ללמוד” לא פחות ממלמדו. נראה שבסביבה הכפרית של העיירה שימשה העז המזוקנת משל ליהודי הבור ביותר.</w:t>
      </w:r>
    </w:p>
  </w:footnote>
  <w:footnote w:id="1368">
    <w:p w14:paraId="448DF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עא</w:t>
      </w:r>
      <w:proofErr w:type="spellEnd"/>
      <w:r>
        <w:rPr>
          <w:sz w:val="20"/>
          <w:szCs w:val="20"/>
          <w:rtl/>
        </w:rPr>
        <w:t>.</w:t>
      </w:r>
    </w:p>
  </w:footnote>
  <w:footnote w:id="1369">
    <w:p w14:paraId="15C22C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370">
    <w:p w14:paraId="552BE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32. ר׳ חיים </w:t>
      </w:r>
      <w:proofErr w:type="spellStart"/>
      <w:r>
        <w:rPr>
          <w:sz w:val="20"/>
          <w:szCs w:val="20"/>
          <w:rtl/>
        </w:rPr>
        <w:t>קרייזווירט</w:t>
      </w:r>
      <w:proofErr w:type="spellEnd"/>
      <w:r>
        <w:rPr>
          <w:sz w:val="20"/>
          <w:szCs w:val="20"/>
          <w:rtl/>
        </w:rPr>
        <w:t xml:space="preserve"> אמר כך גם על </w:t>
      </w:r>
      <w:proofErr w:type="spellStart"/>
      <w:r>
        <w:rPr>
          <w:sz w:val="20"/>
          <w:szCs w:val="20"/>
          <w:rtl/>
        </w:rPr>
        <w:t>הרוגצ׳ובר</w:t>
      </w:r>
      <w:proofErr w:type="spellEnd"/>
      <w:r>
        <w:rPr>
          <w:sz w:val="20"/>
          <w:szCs w:val="20"/>
          <w:rtl/>
        </w:rPr>
        <w:t xml:space="preserve"> – “יתד נאמן”, מוסף ערב </w:t>
      </w:r>
      <w:proofErr w:type="spellStart"/>
      <w:r>
        <w:rPr>
          <w:sz w:val="20"/>
          <w:szCs w:val="20"/>
          <w:rtl/>
        </w:rPr>
        <w:t>שב״ק</w:t>
      </w:r>
      <w:proofErr w:type="spellEnd"/>
      <w:r>
        <w:rPr>
          <w:sz w:val="20"/>
          <w:szCs w:val="20"/>
          <w:rtl/>
        </w:rPr>
        <w:t xml:space="preserve"> פרשת משפטים תשס״ב.</w:t>
      </w:r>
    </w:p>
  </w:footnote>
  <w:footnote w:id="1371">
    <w:p w14:paraId="10B1B8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xml:space="preserve">” (הפסקה השלישית בנספח </w:t>
      </w:r>
      <w:proofErr w:type="spellStart"/>
      <w:r>
        <w:rPr>
          <w:sz w:val="20"/>
          <w:szCs w:val="20"/>
          <w:rtl/>
        </w:rPr>
        <w:t>יח</w:t>
      </w:r>
      <w:proofErr w:type="spellEnd"/>
      <w:r>
        <w:rPr>
          <w:sz w:val="20"/>
          <w:szCs w:val="20"/>
          <w:rtl/>
        </w:rPr>
        <w:t xml:space="preserve"> בפרק זה), הפרק השני, שכותרתו “רבי לכל החיים”.</w:t>
      </w:r>
    </w:p>
  </w:footnote>
  <w:footnote w:id="1372">
    <w:p w14:paraId="0CFAD2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להלן.</w:t>
      </w:r>
    </w:p>
  </w:footnote>
  <w:footnote w:id="1373">
    <w:p w14:paraId="0D6694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74">
    <w:p w14:paraId="335FDA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יצחק־זאב קרא קריאת שמע בחזרה על מילים כדרך אביו, ואף במידה מרובה יותר.</w:t>
      </w:r>
    </w:p>
  </w:footnote>
  <w:footnote w:id="1375">
    <w:p w14:paraId="7F4757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ח בפרק זה – </w:t>
      </w:r>
      <w:proofErr w:type="spellStart"/>
      <w:r>
        <w:rPr>
          <w:sz w:val="20"/>
          <w:szCs w:val="20"/>
          <w:rtl/>
        </w:rPr>
        <w:t>ח״ב</w:t>
      </w:r>
      <w:proofErr w:type="spellEnd"/>
      <w:r>
        <w:rPr>
          <w:sz w:val="20"/>
          <w:szCs w:val="20"/>
          <w:rtl/>
        </w:rPr>
        <w:t xml:space="preserve">, עמ׳ </w:t>
      </w:r>
      <w:proofErr w:type="spellStart"/>
      <w:r>
        <w:rPr>
          <w:sz w:val="20"/>
          <w:szCs w:val="20"/>
          <w:rtl/>
        </w:rPr>
        <w:t>רצז</w:t>
      </w:r>
      <w:proofErr w:type="spellEnd"/>
      <w:r>
        <w:rPr>
          <w:sz w:val="20"/>
          <w:szCs w:val="20"/>
          <w:rtl/>
        </w:rPr>
        <w:t>.</w:t>
      </w:r>
    </w:p>
  </w:footnote>
  <w:footnote w:id="1376">
    <w:p w14:paraId="6EFD4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אמצע הפסקה השנייה בנספח ב.</w:t>
      </w:r>
    </w:p>
  </w:footnote>
  <w:footnote w:id="1377">
    <w:p w14:paraId="06E13A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6 באוגוסט 1993.</w:t>
      </w:r>
    </w:p>
  </w:footnote>
  <w:footnote w:id="1378">
    <w:p w14:paraId="09893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דבר מוזר זה כביטוי לכך שר׳ </w:t>
      </w:r>
      <w:proofErr w:type="spellStart"/>
      <w:r>
        <w:rPr>
          <w:sz w:val="20"/>
          <w:szCs w:val="20"/>
          <w:rtl/>
        </w:rPr>
        <w:t>ברוך־בער</w:t>
      </w:r>
      <w:proofErr w:type="spellEnd"/>
      <w:r>
        <w:rPr>
          <w:sz w:val="20"/>
          <w:szCs w:val="20"/>
          <w:rtl/>
        </w:rPr>
        <w:t xml:space="preserve"> לא נפרד לגמרי מדרכו המקורית בהבנת דברים, כפי שנידון בפסקה השנייה בנספח ל בפרק זה. ממעשה שסיפר בנו, ר׳ </w:t>
      </w:r>
      <w:proofErr w:type="spellStart"/>
      <w:r>
        <w:rPr>
          <w:sz w:val="20"/>
          <w:szCs w:val="20"/>
          <w:rtl/>
        </w:rPr>
        <w:t>חיים־שלמה</w:t>
      </w:r>
      <w:proofErr w:type="spellEnd"/>
      <w:r>
        <w:rPr>
          <w:sz w:val="20"/>
          <w:szCs w:val="20"/>
          <w:rtl/>
        </w:rPr>
        <w:t xml:space="preserve"> (כפי שחזר עליו ר׳ אייזיק </w:t>
      </w:r>
      <w:proofErr w:type="spellStart"/>
      <w:r>
        <w:rPr>
          <w:sz w:val="20"/>
          <w:szCs w:val="20"/>
          <w:rtl/>
        </w:rPr>
        <w:t>הנדלר</w:t>
      </w:r>
      <w:proofErr w:type="spellEnd"/>
      <w:r>
        <w:rPr>
          <w:sz w:val="20"/>
          <w:szCs w:val="20"/>
          <w:rtl/>
        </w:rPr>
        <w:t xml:space="preserve"> בריאיון ב־29 באוקטובר 2000), נראה שר׳ </w:t>
      </w:r>
      <w:proofErr w:type="spellStart"/>
      <w:r>
        <w:rPr>
          <w:sz w:val="20"/>
          <w:szCs w:val="20"/>
          <w:rtl/>
        </w:rPr>
        <w:t>ברוך־בער</w:t>
      </w:r>
      <w:proofErr w:type="spellEnd"/>
      <w:r>
        <w:rPr>
          <w:sz w:val="20"/>
          <w:szCs w:val="20"/>
          <w:rtl/>
        </w:rPr>
        <w:t xml:space="preserve"> היה מודע היטב לכך שאין לשלב את שיטתו של תלמיד חכם אחד בשיטת האחר. ר׳ </w:t>
      </w:r>
      <w:proofErr w:type="spellStart"/>
      <w:r>
        <w:rPr>
          <w:sz w:val="20"/>
          <w:szCs w:val="20"/>
          <w:rtl/>
        </w:rPr>
        <w:t>חיים־שלמה</w:t>
      </w:r>
      <w:proofErr w:type="spellEnd"/>
      <w:r>
        <w:rPr>
          <w:sz w:val="20"/>
          <w:szCs w:val="20"/>
          <w:rtl/>
        </w:rPr>
        <w:t xml:space="preserve"> הציע פעם פשט מסוים, ואביו שאלו מניין לקח רעיון זה. כשהשיב: “מתורתו של ר׳ שמעון </w:t>
      </w:r>
      <w:proofErr w:type="spellStart"/>
      <w:r>
        <w:rPr>
          <w:sz w:val="20"/>
          <w:szCs w:val="20"/>
          <w:rtl/>
        </w:rPr>
        <w:t>שקופ</w:t>
      </w:r>
      <w:proofErr w:type="spellEnd"/>
      <w:r>
        <w:rPr>
          <w:sz w:val="20"/>
          <w:szCs w:val="20"/>
          <w:rtl/>
        </w:rPr>
        <w:t xml:space="preserve">”, אמר אביו: “טוב ללמוד בדרך של ר׳ שמעון – אבל אז אי אפשר ללמוד בדרך שלי; אי אפשר לערבב את השתיים.” אבל כתלמיד מסור של ר׳ חיים </w:t>
      </w:r>
      <w:proofErr w:type="spellStart"/>
      <w:r>
        <w:rPr>
          <w:sz w:val="20"/>
          <w:szCs w:val="20"/>
          <w:rtl/>
        </w:rPr>
        <w:t>סולובייצ׳יק</w:t>
      </w:r>
      <w:proofErr w:type="spellEnd"/>
      <w:r>
        <w:rPr>
          <w:sz w:val="20"/>
          <w:szCs w:val="20"/>
          <w:rtl/>
        </w:rPr>
        <w:t xml:space="preserve"> ראה ר׳ </w:t>
      </w:r>
      <w:proofErr w:type="spellStart"/>
      <w:r>
        <w:rPr>
          <w:sz w:val="20"/>
          <w:szCs w:val="20"/>
          <w:rtl/>
        </w:rPr>
        <w:t>ברוך־בער</w:t>
      </w:r>
      <w:proofErr w:type="spellEnd"/>
      <w:r>
        <w:rPr>
          <w:sz w:val="20"/>
          <w:szCs w:val="20"/>
          <w:rtl/>
        </w:rPr>
        <w:t xml:space="preserve"> את עצמו כמי שאימץ לגמרי את דרך לימודו של רבו.</w:t>
      </w:r>
    </w:p>
  </w:footnote>
  <w:footnote w:id="1379">
    <w:p w14:paraId="6FCC4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ח.</w:t>
      </w:r>
    </w:p>
  </w:footnote>
  <w:footnote w:id="1380">
    <w:p w14:paraId="09C4D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1381">
    <w:p w14:paraId="5ED53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משום מה מיוחס מאמר זה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בספרו של כץ, “תנועת המוסר”, כרך א, עמ׳ 309. השווה גם “תורת חיים” (נספח ט בפרק זה), עמ׳ </w:t>
      </w:r>
      <w:proofErr w:type="spellStart"/>
      <w:r>
        <w:rPr>
          <w:sz w:val="20"/>
          <w:szCs w:val="20"/>
          <w:rtl/>
        </w:rPr>
        <w:t>מב</w:t>
      </w:r>
      <w:proofErr w:type="spellEnd"/>
      <w:r>
        <w:rPr>
          <w:sz w:val="20"/>
          <w:szCs w:val="20"/>
          <w:rtl/>
        </w:rPr>
        <w:t xml:space="preserve"> במספור העמודים השני: מסופר שם שר׳ אלחנן וסרמן, בשיחה עם כמה תלמידים בעת ביקור </w:t>
      </w:r>
      <w:proofErr w:type="spellStart"/>
      <w:r>
        <w:rPr>
          <w:sz w:val="20"/>
          <w:szCs w:val="20"/>
          <w:rtl/>
        </w:rPr>
        <w:t>בטלז</w:t>
      </w:r>
      <w:proofErr w:type="spellEnd"/>
      <w:r>
        <w:rPr>
          <w:sz w:val="20"/>
          <w:szCs w:val="20"/>
          <w:rtl/>
        </w:rPr>
        <w:t xml:space="preserve">, סיפר שעלה בדעתו פעם ניתוח זה והציעו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וזה השיב שהוא אמת ושגם אביו, ר׳ יוסף־דב, אמר כך.</w:t>
      </w:r>
    </w:p>
  </w:footnote>
  <w:footnote w:id="1382">
    <w:p w14:paraId="34DE09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 – הערה 39.</w:t>
      </w:r>
    </w:p>
  </w:footnote>
  <w:footnote w:id="1383">
    <w:p w14:paraId="451FC6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נעתק ונערך וכו׳ ע״י </w:t>
      </w:r>
      <w:proofErr w:type="spellStart"/>
      <w:r>
        <w:rPr>
          <w:sz w:val="20"/>
          <w:szCs w:val="20"/>
          <w:rtl/>
        </w:rPr>
        <w:t>חו״ר</w:t>
      </w:r>
      <w:proofErr w:type="spellEnd"/>
      <w:r>
        <w:rPr>
          <w:sz w:val="20"/>
          <w:szCs w:val="20"/>
          <w:rtl/>
        </w:rPr>
        <w:t xml:space="preserve"> מכון </w:t>
      </w:r>
      <w:proofErr w:type="spellStart"/>
      <w:r>
        <w:rPr>
          <w:sz w:val="20"/>
          <w:szCs w:val="20"/>
          <w:rtl/>
        </w:rPr>
        <w:t>תורני־ספרותי</w:t>
      </w:r>
      <w:proofErr w:type="spellEnd"/>
      <w:r>
        <w:rPr>
          <w:sz w:val="20"/>
          <w:szCs w:val="20"/>
          <w:rtl/>
        </w:rPr>
        <w:t xml:space="preserve"> “אורייתא”, ירושלים, תשנ״ה.</w:t>
      </w:r>
    </w:p>
  </w:footnote>
  <w:footnote w:id="1384">
    <w:p w14:paraId="6F0083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בפרק זה – עמ׳ 86, בשם ר׳ אברהם </w:t>
      </w:r>
      <w:proofErr w:type="spellStart"/>
      <w:r>
        <w:rPr>
          <w:sz w:val="20"/>
          <w:szCs w:val="20"/>
          <w:rtl/>
        </w:rPr>
        <w:t>פינקוס</w:t>
      </w:r>
      <w:proofErr w:type="spellEnd"/>
      <w:r>
        <w:rPr>
          <w:sz w:val="20"/>
          <w:szCs w:val="20"/>
          <w:rtl/>
        </w:rPr>
        <w:t xml:space="preserve"> ור׳ יונה </w:t>
      </w:r>
      <w:proofErr w:type="spellStart"/>
      <w:r>
        <w:rPr>
          <w:sz w:val="20"/>
          <w:szCs w:val="20"/>
          <w:rtl/>
        </w:rPr>
        <w:t>ברומברג</w:t>
      </w:r>
      <w:proofErr w:type="spellEnd"/>
      <w:r>
        <w:rPr>
          <w:sz w:val="20"/>
          <w:szCs w:val="20"/>
          <w:rtl/>
        </w:rPr>
        <w:t>.</w:t>
      </w:r>
    </w:p>
  </w:footnote>
  <w:footnote w:id="1385">
    <w:p w14:paraId="01CD48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1386">
    <w:p w14:paraId="3B73B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78.</w:t>
      </w:r>
    </w:p>
  </w:footnote>
  <w:footnote w:id="1387">
    <w:p w14:paraId="622F7A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71.</w:t>
      </w:r>
    </w:p>
  </w:footnote>
  <w:footnote w:id="1388">
    <w:p w14:paraId="52784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389">
    <w:p w14:paraId="6A5407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32.</w:t>
      </w:r>
    </w:p>
  </w:footnote>
  <w:footnote w:id="1390">
    <w:p w14:paraId="34A61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במאי 1994.</w:t>
      </w:r>
    </w:p>
  </w:footnote>
  <w:footnote w:id="1391">
    <w:p w14:paraId="621C43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הערה 135 והפסקה הראשונה בנספח </w:t>
      </w:r>
      <w:proofErr w:type="spellStart"/>
      <w:r>
        <w:rPr>
          <w:sz w:val="20"/>
          <w:szCs w:val="20"/>
          <w:rtl/>
        </w:rPr>
        <w:t>יח</w:t>
      </w:r>
      <w:proofErr w:type="spellEnd"/>
      <w:r>
        <w:rPr>
          <w:sz w:val="20"/>
          <w:szCs w:val="20"/>
          <w:rtl/>
        </w:rPr>
        <w:t xml:space="preserve"> בפרק זה.</w:t>
      </w:r>
    </w:p>
  </w:footnote>
  <w:footnote w:id="1392">
    <w:p w14:paraId="715254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“סיפור ר׳ </w:t>
      </w:r>
      <w:proofErr w:type="spellStart"/>
      <w:r>
        <w:rPr>
          <w:sz w:val="20"/>
          <w:szCs w:val="20"/>
          <w:rtl/>
        </w:rPr>
        <w:t>ברוך־בער</w:t>
      </w:r>
      <w:proofErr w:type="spellEnd"/>
      <w:r>
        <w:rPr>
          <w:sz w:val="20"/>
          <w:szCs w:val="20"/>
          <w:rtl/>
        </w:rPr>
        <w:t>”, עמ׳ 30.</w:t>
      </w:r>
    </w:p>
  </w:footnote>
  <w:footnote w:id="1393">
    <w:p w14:paraId="7E91F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בינואר 1988.</w:t>
      </w:r>
    </w:p>
  </w:footnote>
  <w:footnote w:id="1394">
    <w:p w14:paraId="40D56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בפרק זה – עמ׳ 232.</w:t>
      </w:r>
    </w:p>
  </w:footnote>
  <w:footnote w:id="1395">
    <w:p w14:paraId="55CFF1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1396">
    <w:p w14:paraId="255F7E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במרץ 1988.</w:t>
      </w:r>
    </w:p>
  </w:footnote>
  <w:footnote w:id="1397">
    <w:p w14:paraId="5B84DB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 על לימודיהם של אחיי ר׳ בנימין ור׳ שמואל גם הם שם.</w:t>
      </w:r>
    </w:p>
  </w:footnote>
  <w:footnote w:id="1398">
    <w:p w14:paraId="12DB1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נספח ו.</w:t>
      </w:r>
    </w:p>
  </w:footnote>
  <w:footnote w:id="1399">
    <w:p w14:paraId="7AA8EF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באוגוסט 1995.</w:t>
      </w:r>
    </w:p>
  </w:footnote>
  <w:footnote w:id="1400">
    <w:p w14:paraId="3DF41E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הערה 71: אחרי שיצא </w:t>
      </w:r>
      <w:proofErr w:type="spellStart"/>
      <w:r>
        <w:rPr>
          <w:sz w:val="20"/>
          <w:szCs w:val="20"/>
          <w:rtl/>
        </w:rPr>
        <w:t>מקרינק</w:t>
      </w:r>
      <w:proofErr w:type="spellEnd"/>
      <w:r>
        <w:rPr>
          <w:sz w:val="20"/>
          <w:szCs w:val="20"/>
          <w:rtl/>
        </w:rPr>
        <w:t xml:space="preserve"> שהה ר׳ אהרן במינסק כחודשיים, לפני שהלך </w:t>
      </w:r>
      <w:proofErr w:type="spellStart"/>
      <w:r>
        <w:rPr>
          <w:sz w:val="20"/>
          <w:szCs w:val="20"/>
          <w:rtl/>
        </w:rPr>
        <w:t>לסלבודקה</w:t>
      </w:r>
      <w:proofErr w:type="spellEnd"/>
      <w:r>
        <w:rPr>
          <w:sz w:val="20"/>
          <w:szCs w:val="20"/>
          <w:rtl/>
        </w:rPr>
        <w:t xml:space="preserve">. כך החסיר חלק מזמן החורף בכנסת בית יצחק, ובא ללמוד שם </w:t>
      </w:r>
      <w:proofErr w:type="spellStart"/>
      <w:r>
        <w:rPr>
          <w:sz w:val="20"/>
          <w:szCs w:val="20"/>
          <w:rtl/>
        </w:rPr>
        <w:t>זמן־מה</w:t>
      </w:r>
      <w:proofErr w:type="spellEnd"/>
      <w:r>
        <w:rPr>
          <w:sz w:val="20"/>
          <w:szCs w:val="20"/>
          <w:rtl/>
        </w:rPr>
        <w:t xml:space="preserve"> אחרי תחילת הזמן. כמובן, חלק מן הזמן אבד לו גם כשהועבר בטעות לישיבה הקטנה </w:t>
      </w:r>
      <w:proofErr w:type="spellStart"/>
      <w:r>
        <w:rPr>
          <w:sz w:val="20"/>
          <w:szCs w:val="20"/>
          <w:rtl/>
        </w:rPr>
        <w:t>בסלבודקה</w:t>
      </w:r>
      <w:proofErr w:type="spellEnd"/>
      <w:r>
        <w:rPr>
          <w:sz w:val="20"/>
          <w:szCs w:val="20"/>
          <w:rtl/>
        </w:rPr>
        <w:t>, כמסופר באותה הערה.</w:t>
      </w:r>
    </w:p>
  </w:footnote>
  <w:footnote w:id="1401">
    <w:p w14:paraId="59367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בכך מוסבר מדוע מעולם לא סיפר ר׳ אהרן לילדיו שלמד שם.</w:t>
      </w:r>
    </w:p>
  </w:footnote>
  <w:footnote w:id="1402">
    <w:p w14:paraId="19ADD3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בפרק זה – עמ׳ 284.</w:t>
      </w:r>
    </w:p>
  </w:footnote>
  <w:footnote w:id="1403">
    <w:p w14:paraId="3C95F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ל בפרק זה.</w:t>
      </w:r>
    </w:p>
  </w:footnote>
  <w:footnote w:id="1404">
    <w:p w14:paraId="608A22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ד.</w:t>
      </w:r>
    </w:p>
  </w:footnote>
  <w:footnote w:id="1405">
    <w:p w14:paraId="2E535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קג</w:t>
      </w:r>
      <w:proofErr w:type="spellEnd"/>
      <w:r>
        <w:rPr>
          <w:sz w:val="20"/>
          <w:szCs w:val="20"/>
          <w:rtl/>
        </w:rPr>
        <w:t>–קד.</w:t>
      </w:r>
    </w:p>
  </w:footnote>
  <w:footnote w:id="1406">
    <w:p w14:paraId="4E251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סוף הערה 150. השווה גם את ההקדמה </w:t>
      </w:r>
      <w:proofErr w:type="spellStart"/>
      <w:r>
        <w:rPr>
          <w:sz w:val="20"/>
          <w:szCs w:val="20"/>
          <w:rtl/>
        </w:rPr>
        <w:t>ל“טל</w:t>
      </w:r>
      <w:proofErr w:type="spellEnd"/>
      <w:r>
        <w:rPr>
          <w:sz w:val="20"/>
          <w:szCs w:val="20"/>
          <w:rtl/>
        </w:rPr>
        <w:t xml:space="preserve"> לישראל – חידושים על מסכתות </w:t>
      </w:r>
      <w:proofErr w:type="spellStart"/>
      <w:r>
        <w:rPr>
          <w:sz w:val="20"/>
          <w:szCs w:val="20"/>
          <w:rtl/>
        </w:rPr>
        <w:t>זבחים־מנחות</w:t>
      </w:r>
      <w:proofErr w:type="spellEnd"/>
      <w:r>
        <w:rPr>
          <w:sz w:val="20"/>
          <w:szCs w:val="20"/>
          <w:rtl/>
        </w:rPr>
        <w:t xml:space="preserve"> וחלק ממס׳ כריתות” (ירושלים, תשנ״א), מאת ישראל וכו׳ גרבר, אחיינו של ר׳ </w:t>
      </w:r>
      <w:proofErr w:type="spellStart"/>
      <w:r>
        <w:rPr>
          <w:sz w:val="20"/>
          <w:szCs w:val="20"/>
          <w:rtl/>
        </w:rPr>
        <w:t>ברוך־בער</w:t>
      </w:r>
      <w:proofErr w:type="spellEnd"/>
      <w:r>
        <w:rPr>
          <w:sz w:val="20"/>
          <w:szCs w:val="20"/>
          <w:rtl/>
        </w:rPr>
        <w:t xml:space="preserve">, הדנה במעשה זה. המחבר כותב שמאז ששמע את המעשה (מפי דודו עצמו) התקשה להבין מדוע ביקר ר׳ חיים את דודו, במקום להתפעל מצדקותו יוצאת הדופן. הרב גרבר מציע הסבר מורכב, שהגיע אליו בעת שהכין את ספרו לדפוס – חמישים שנה אחרי פטירת ר׳ </w:t>
      </w:r>
      <w:proofErr w:type="spellStart"/>
      <w:r>
        <w:rPr>
          <w:sz w:val="20"/>
          <w:szCs w:val="20"/>
          <w:rtl/>
        </w:rPr>
        <w:t>ברוך־בער</w:t>
      </w:r>
      <w:proofErr w:type="spellEnd"/>
      <w:r>
        <w:rPr>
          <w:sz w:val="20"/>
          <w:szCs w:val="20"/>
          <w:rtl/>
        </w:rPr>
        <w:t xml:space="preserve"> – ומבוסס על ההנחה שר׳ חיים ראה בר׳ </w:t>
      </w:r>
      <w:proofErr w:type="spellStart"/>
      <w:r>
        <w:rPr>
          <w:sz w:val="20"/>
          <w:szCs w:val="20"/>
          <w:rtl/>
        </w:rPr>
        <w:t>ברוך־בער</w:t>
      </w:r>
      <w:proofErr w:type="spellEnd"/>
      <w:r>
        <w:rPr>
          <w:sz w:val="20"/>
          <w:szCs w:val="20"/>
          <w:rtl/>
        </w:rPr>
        <w:t xml:space="preserve"> את יורשו הרוחני.</w:t>
      </w:r>
    </w:p>
  </w:footnote>
  <w:footnote w:id="1407">
    <w:p w14:paraId="01204E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קל.</w:t>
      </w:r>
    </w:p>
  </w:footnote>
  <w:footnote w:id="1408">
    <w:p w14:paraId="4F734D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כסלו תש״נ.</w:t>
      </w:r>
    </w:p>
  </w:footnote>
  <w:footnote w:id="1409">
    <w:p w14:paraId="1570D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לא בפרק זה – עמ׳ 16.</w:t>
      </w:r>
    </w:p>
  </w:footnote>
  <w:footnote w:id="1410">
    <w:p w14:paraId="240697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בפרק זה – עמ׳ </w:t>
      </w:r>
      <w:proofErr w:type="spellStart"/>
      <w:r>
        <w:rPr>
          <w:sz w:val="20"/>
          <w:szCs w:val="20"/>
          <w:rtl/>
        </w:rPr>
        <w:t>תכט</w:t>
      </w:r>
      <w:proofErr w:type="spellEnd"/>
      <w:r>
        <w:rPr>
          <w:sz w:val="20"/>
          <w:szCs w:val="20"/>
          <w:rtl/>
        </w:rPr>
        <w:t>.</w:t>
      </w:r>
    </w:p>
  </w:footnote>
  <w:footnote w:id="1411">
    <w:p w14:paraId="2BF098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בני ברק, </w:t>
      </w:r>
      <w:proofErr w:type="spellStart"/>
      <w:r>
        <w:rPr>
          <w:sz w:val="20"/>
          <w:szCs w:val="20"/>
          <w:rtl/>
        </w:rPr>
        <w:t>תש״ך</w:t>
      </w:r>
      <w:proofErr w:type="spellEnd"/>
      <w:r>
        <w:rPr>
          <w:sz w:val="20"/>
          <w:szCs w:val="20"/>
          <w:rtl/>
        </w:rPr>
        <w:t xml:space="preserve"> – עמ׳ כד–כה.</w:t>
      </w:r>
    </w:p>
  </w:footnote>
  <w:footnote w:id="1412">
    <w:p w14:paraId="480D8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אשכנזים בחוץ לארץ אומרים תפילה זו במוצאי שבת כבימות החול.</w:t>
      </w:r>
    </w:p>
  </w:footnote>
  <w:footnote w:id="1413">
    <w:p w14:paraId="48FB2F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14">
    <w:p w14:paraId="675F7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1995.</w:t>
      </w:r>
    </w:p>
  </w:footnote>
  <w:footnote w:id="1415">
    <w:p w14:paraId="53BD7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משלי </w:t>
      </w:r>
      <w:proofErr w:type="spellStart"/>
      <w:r>
        <w:rPr>
          <w:sz w:val="20"/>
          <w:szCs w:val="20"/>
          <w:rtl/>
        </w:rPr>
        <w:t>יג</w:t>
      </w:r>
      <w:proofErr w:type="spellEnd"/>
      <w:r>
        <w:rPr>
          <w:sz w:val="20"/>
          <w:szCs w:val="20"/>
          <w:rtl/>
        </w:rPr>
        <w:t>, כד.</w:t>
      </w:r>
    </w:p>
  </w:footnote>
  <w:footnote w:id="1416">
    <w:p w14:paraId="25D844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64.</w:t>
      </w:r>
    </w:p>
  </w:footnote>
  <w:footnote w:id="1417">
    <w:p w14:paraId="74B5B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ב־8 באוגוסט 1991 סיפר בני ר׳ יוסף שבביקורו של אבי בישראל </w:t>
      </w:r>
      <w:proofErr w:type="spellStart"/>
      <w:r>
        <w:rPr>
          <w:sz w:val="20"/>
          <w:szCs w:val="20"/>
          <w:rtl/>
        </w:rPr>
        <w:t>בתשמ״א</w:t>
      </w:r>
      <w:proofErr w:type="spellEnd"/>
      <w:r>
        <w:rPr>
          <w:sz w:val="20"/>
          <w:szCs w:val="20"/>
          <w:rtl/>
        </w:rPr>
        <w:t xml:space="preserve"> סיפר אבי את המעשה, והוסיף שר׳ </w:t>
      </w:r>
      <w:proofErr w:type="spellStart"/>
      <w:r>
        <w:rPr>
          <w:sz w:val="20"/>
          <w:szCs w:val="20"/>
          <w:rtl/>
        </w:rPr>
        <w:t>ברוך־בער</w:t>
      </w:r>
      <w:proofErr w:type="spellEnd"/>
      <w:r>
        <w:rPr>
          <w:sz w:val="20"/>
          <w:szCs w:val="20"/>
          <w:rtl/>
        </w:rPr>
        <w:t xml:space="preserve"> גם נשק לילד, כנראה כדי להמחיש לו שעל אף חטאו הוא עדיין אהוב. ועוד סיפר שר׳ </w:t>
      </w:r>
      <w:proofErr w:type="spellStart"/>
      <w:r>
        <w:rPr>
          <w:sz w:val="20"/>
          <w:szCs w:val="20"/>
          <w:rtl/>
        </w:rPr>
        <w:t>שמחה־זיסל</w:t>
      </w:r>
      <w:proofErr w:type="spellEnd"/>
      <w:r>
        <w:rPr>
          <w:sz w:val="20"/>
          <w:szCs w:val="20"/>
          <w:rtl/>
        </w:rPr>
        <w:t xml:space="preserve"> </w:t>
      </w:r>
      <w:proofErr w:type="spellStart"/>
      <w:r>
        <w:rPr>
          <w:sz w:val="20"/>
          <w:szCs w:val="20"/>
          <w:rtl/>
        </w:rPr>
        <w:t>ברוידא</w:t>
      </w:r>
      <w:proofErr w:type="spellEnd"/>
      <w:r>
        <w:rPr>
          <w:sz w:val="20"/>
          <w:szCs w:val="20"/>
          <w:rtl/>
        </w:rPr>
        <w:t>, שביקר אז אצל רבנו, העיר שהילד היה ראוי לנשיקה על שהאיר את החדר לכולם – ועי׳ יבמות ע״ח ע״ב.</w:t>
      </w:r>
    </w:p>
  </w:footnote>
  <w:footnote w:id="1418">
    <w:p w14:paraId="793C67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בפרק 1, הערה 87.</w:t>
      </w:r>
    </w:p>
  </w:footnote>
  <w:footnote w:id="1419">
    <w:p w14:paraId="1D4E55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בפברואר 1998.</w:t>
      </w:r>
    </w:p>
  </w:footnote>
  <w:footnote w:id="1420">
    <w:p w14:paraId="612D46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1421">
    <w:p w14:paraId="20EBBB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נמסר לי בשם ר׳ ישראל </w:t>
      </w:r>
      <w:proofErr w:type="spellStart"/>
      <w:r>
        <w:rPr>
          <w:sz w:val="20"/>
          <w:szCs w:val="20"/>
          <w:rtl/>
        </w:rPr>
        <w:t>שפינר</w:t>
      </w:r>
      <w:proofErr w:type="spellEnd"/>
      <w:r>
        <w:rPr>
          <w:sz w:val="20"/>
          <w:szCs w:val="20"/>
          <w:rtl/>
        </w:rPr>
        <w:t>.</w:t>
      </w:r>
    </w:p>
  </w:footnote>
  <w:footnote w:id="1422">
    <w:p w14:paraId="0E755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רשימות שרשם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w:t>
      </w:r>
      <w:proofErr w:type="spellStart"/>
      <w:r>
        <w:rPr>
          <w:sz w:val="20"/>
          <w:szCs w:val="20"/>
          <w:rtl/>
        </w:rPr>
        <w:t>ב“כ״א</w:t>
      </w:r>
      <w:proofErr w:type="spellEnd"/>
      <w:r>
        <w:rPr>
          <w:sz w:val="20"/>
          <w:szCs w:val="20"/>
          <w:rtl/>
        </w:rPr>
        <w:t xml:space="preserve"> בשבט תשל״ט” – ראה פרק 1, הערה 32.</w:t>
      </w:r>
    </w:p>
  </w:footnote>
  <w:footnote w:id="1423">
    <w:p w14:paraId="47CAC1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במרץ 1992.</w:t>
      </w:r>
    </w:p>
  </w:footnote>
  <w:footnote w:id="1424">
    <w:p w14:paraId="485BA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פרק 4.2.</w:t>
      </w:r>
    </w:p>
  </w:footnote>
  <w:footnote w:id="1425">
    <w:p w14:paraId="7F6A3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1426">
    <w:p w14:paraId="286CE2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כד בפרק זה.</w:t>
      </w:r>
    </w:p>
  </w:footnote>
  <w:footnote w:id="1427">
    <w:p w14:paraId="744967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1428">
    <w:p w14:paraId="3F1A19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ככל הנראה כוונת כץ היא ‘בתקופות מוקדמות יותר’, כלומר, לפני שהתחיל הסבא להתנגד, כמובא להלן.</w:t>
      </w:r>
    </w:p>
  </w:footnote>
  <w:footnote w:id="1429">
    <w:p w14:paraId="675DC1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260.</w:t>
      </w:r>
    </w:p>
  </w:footnote>
  <w:footnote w:id="1430">
    <w:p w14:paraId="12DA92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pr_f_1234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pr_f_1234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431">
    <w:p w14:paraId="66308E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255–258.</w:t>
      </w:r>
    </w:p>
  </w:footnote>
  <w:footnote w:id="1432">
    <w:p w14:paraId="6FDF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בפרק זה.</w:t>
      </w:r>
    </w:p>
  </w:footnote>
  <w:footnote w:id="1433">
    <w:p w14:paraId="6BAC0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69 לעיל.</w:t>
      </w:r>
    </w:p>
  </w:footnote>
  <w:footnote w:id="1434">
    <w:p w14:paraId="428A61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בהמשך לסוף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pr_f_2115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1161</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ב־18 במאי 2002, כשכתיבת ספר זה התקרבה לסיומה, חזר ר׳ יהושע </w:t>
      </w:r>
      <w:proofErr w:type="spellStart"/>
      <w:r>
        <w:rPr>
          <w:rStyle w:val="a5"/>
          <w:sz w:val="20"/>
          <w:szCs w:val="20"/>
          <w:vertAlign w:val="baseline"/>
          <w:rtl/>
        </w:rPr>
        <w:t>שוואב</w:t>
      </w:r>
      <w:proofErr w:type="spellEnd"/>
      <w:r>
        <w:rPr>
          <w:rStyle w:val="a5"/>
          <w:sz w:val="20"/>
          <w:szCs w:val="20"/>
          <w:vertAlign w:val="baseline"/>
          <w:rtl/>
        </w:rPr>
        <w:t xml:space="preserve"> על מעשה ששמע מאביו ר׳ מרדכי, ולפיו כבר בשלב מוקדם יותר בחיי ר׳ </w:t>
      </w:r>
      <w:proofErr w:type="spellStart"/>
      <w:r>
        <w:rPr>
          <w:rStyle w:val="a5"/>
          <w:sz w:val="20"/>
          <w:szCs w:val="20"/>
          <w:vertAlign w:val="baseline"/>
          <w:rtl/>
        </w:rPr>
        <w:t>ברוך־בער</w:t>
      </w:r>
      <w:proofErr w:type="spellEnd"/>
      <w:r>
        <w:rPr>
          <w:rStyle w:val="a5"/>
          <w:sz w:val="20"/>
          <w:szCs w:val="20"/>
          <w:vertAlign w:val="baseline"/>
          <w:rtl/>
        </w:rPr>
        <w:t xml:space="preserve"> חזה ר׳ חיים שעתיד הוא ללמד תורה</w:t>
      </w:r>
      <w:r>
        <w:rPr>
          <w:sz w:val="20"/>
          <w:szCs w:val="20"/>
          <w:rtl/>
        </w:rPr>
        <w:t>.</w:t>
      </w:r>
    </w:p>
    <w:p w14:paraId="51CF84FF" w14:textId="77777777" w:rsidR="00AB3647" w:rsidRDefault="00000000">
      <w:pPr>
        <w:spacing w:after="0" w:before="0"/>
        <w:jc w:val="both"/>
      </w:pPr>
      <w:r>
        <w:rPr>
          <w:sz w:val="20"/>
          <w:szCs w:val="20"/>
          <w:rtl/>
        </w:rPr>
        <w:t xml:space="preserve">ר׳ מרדכי </w:t>
      </w:r>
      <w:proofErr w:type="spellStart"/>
      <w:r>
        <w:rPr>
          <w:sz w:val="20"/>
          <w:szCs w:val="20"/>
          <w:rtl/>
        </w:rPr>
        <w:t>שוואב</w:t>
      </w:r>
      <w:proofErr w:type="spellEnd"/>
      <w:r>
        <w:rPr>
          <w:sz w:val="20"/>
          <w:szCs w:val="20"/>
          <w:rtl/>
        </w:rPr>
        <w:t xml:space="preserve"> למד </w:t>
      </w:r>
      <w:proofErr w:type="spellStart"/>
      <w:r>
        <w:rPr>
          <w:sz w:val="20"/>
          <w:szCs w:val="20"/>
          <w:rtl/>
        </w:rPr>
        <w:t>בקמניץ</w:t>
      </w:r>
      <w:proofErr w:type="spellEnd"/>
      <w:r>
        <w:rPr>
          <w:sz w:val="20"/>
          <w:szCs w:val="20"/>
          <w:rtl/>
        </w:rPr>
        <w:t xml:space="preserve"> אצל ר׳ </w:t>
      </w:r>
      <w:proofErr w:type="spellStart"/>
      <w:r>
        <w:rPr>
          <w:sz w:val="20"/>
          <w:szCs w:val="20"/>
          <w:rtl/>
        </w:rPr>
        <w:t>ברוך־בער</w:t>
      </w:r>
      <w:proofErr w:type="spellEnd"/>
      <w:r>
        <w:rPr>
          <w:sz w:val="20"/>
          <w:szCs w:val="20"/>
          <w:rtl/>
        </w:rPr>
        <w:t xml:space="preserve"> כשהתחיל לסבול מכאבי ראש – השווה 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pr_b_2636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שגם </w:t>
      </w:r>
      <w:proofErr w:type="spellStart"/>
      <w:r>
        <w:rPr>
          <w:sz w:val="20"/>
          <w:szCs w:val="20"/>
          <w:rtl/>
        </w:rPr>
        <w:t>החפץ־חיים</w:t>
      </w:r>
      <w:proofErr w:type="spellEnd"/>
      <w:r>
        <w:rPr>
          <w:sz w:val="20"/>
          <w:szCs w:val="20"/>
          <w:rtl/>
        </w:rPr>
        <w:t xml:space="preserve"> עבר ייסורים כאלה – עד שחשב שיצטרך להפסיק את לימודו. הוא אף תכנן להצטרף להכשרה דתית בוורשה. אבל רבו עמד על כך שיישאר בישיבה ויירפא. הוא סיפר לו שגם הוא סבל מאותה מחלה כשלמד </w:t>
      </w:r>
      <w:proofErr w:type="spellStart"/>
      <w:r>
        <w:rPr>
          <w:sz w:val="20"/>
          <w:szCs w:val="20"/>
          <w:rtl/>
        </w:rPr>
        <w:t>בוולוז׳ין</w:t>
      </w:r>
      <w:proofErr w:type="spellEnd"/>
      <w:r>
        <w:rPr>
          <w:sz w:val="20"/>
          <w:szCs w:val="20"/>
          <w:rtl/>
        </w:rPr>
        <w:t xml:space="preserve">, ושם אמר לו רבו ר׳ חיים </w:t>
      </w:r>
      <w:proofErr w:type="spellStart"/>
      <w:r>
        <w:rPr>
          <w:sz w:val="20"/>
          <w:szCs w:val="20"/>
          <w:rtl/>
        </w:rPr>
        <w:t>סולובייצ׳יק</w:t>
      </w:r>
      <w:proofErr w:type="spellEnd"/>
      <w:r>
        <w:rPr>
          <w:sz w:val="20"/>
          <w:szCs w:val="20"/>
          <w:rtl/>
        </w:rPr>
        <w:t xml:space="preserve"> שהוא סובל ייסורים אלה מפני שיום אחד יהיה ראש ישיבה, ואולי יהיה לו תלמיד שגם הוא סובל מכאבי ראש; בזכות היכרותו האישית עם המחלה יוכל ר׳ </w:t>
      </w:r>
      <w:proofErr w:type="spellStart"/>
      <w:r>
        <w:rPr>
          <w:sz w:val="20"/>
          <w:szCs w:val="20"/>
          <w:rtl/>
        </w:rPr>
        <w:t>ברוך־בער</w:t>
      </w:r>
      <w:proofErr w:type="spellEnd"/>
      <w:r>
        <w:rPr>
          <w:sz w:val="20"/>
          <w:szCs w:val="20"/>
          <w:rtl/>
        </w:rPr>
        <w:t xml:space="preserve"> להביא את תלמידו לידי החלמה בישיבה שיעמוד בראשה. ר׳ מרדכי יכול היה ללמוד רק שעה אחת ביום, ור׳ </w:t>
      </w:r>
      <w:proofErr w:type="spellStart"/>
      <w:r>
        <w:rPr>
          <w:sz w:val="20"/>
          <w:szCs w:val="20"/>
          <w:rtl/>
        </w:rPr>
        <w:t>ברוך־בער</w:t>
      </w:r>
      <w:proofErr w:type="spellEnd"/>
      <w:r>
        <w:rPr>
          <w:sz w:val="20"/>
          <w:szCs w:val="20"/>
          <w:rtl/>
        </w:rPr>
        <w:t xml:space="preserve"> למד עמו בחברותא.</w:t>
      </w:r>
    </w:p>
    <w:p w14:paraId="212E16FC" w14:textId="77777777" w:rsidR="00AB3647" w:rsidRDefault="00000000">
      <w:pPr>
        <w:spacing w:after="0" w:before="0"/>
        <w:jc w:val="both"/>
      </w:pPr>
      <w:r>
        <w:rPr>
          <w:sz w:val="20"/>
          <w:szCs w:val="20"/>
          <w:rtl/>
        </w:rPr>
        <w:t xml:space="preserve">הדרך שבה נרפא לבסוף הרב </w:t>
      </w:r>
      <w:proofErr w:type="spellStart"/>
      <w:r>
        <w:rPr>
          <w:sz w:val="20"/>
          <w:szCs w:val="20"/>
          <w:rtl/>
        </w:rPr>
        <w:t>שוואב</w:t>
      </w:r>
      <w:proofErr w:type="spellEnd"/>
      <w:r>
        <w:rPr>
          <w:sz w:val="20"/>
          <w:szCs w:val="20"/>
          <w:rtl/>
        </w:rPr>
        <w:t xml:space="preserve"> אינה אלא נס. פרופסור לרפואה מווילנה, שסבל מהתקפי שכחה, נמצא קפוא ביער סמוך לעיירה, ובבית המדרש החם </w:t>
      </w:r>
      <w:proofErr w:type="spellStart"/>
      <w:r>
        <w:rPr>
          <w:sz w:val="20"/>
          <w:szCs w:val="20"/>
          <w:rtl/>
        </w:rPr>
        <w:t>בקמניץ</w:t>
      </w:r>
      <w:proofErr w:type="spellEnd"/>
      <w:r>
        <w:rPr>
          <w:sz w:val="20"/>
          <w:szCs w:val="20"/>
          <w:rtl/>
        </w:rPr>
        <w:t xml:space="preserve"> שב להכרתו וחזר לדעת מי הוא. אז הובאו אל הרופא אסיר התודה כל חולי העיירה, ובהם ר׳ מרדכי, כדי לקבל את עזרתו המקצועית. הרופא רשם כמה טיפות, הרב </w:t>
      </w:r>
      <w:proofErr w:type="spellStart"/>
      <w:r>
        <w:rPr>
          <w:sz w:val="20"/>
          <w:szCs w:val="20"/>
          <w:rtl/>
        </w:rPr>
        <w:t>שוואב</w:t>
      </w:r>
      <w:proofErr w:type="spellEnd"/>
      <w:r>
        <w:rPr>
          <w:sz w:val="20"/>
          <w:szCs w:val="20"/>
          <w:rtl/>
        </w:rPr>
        <w:t xml:space="preserve"> השיג אותן בבית המרקחת המקומי, ונרפא.</w:t>
      </w:r>
    </w:p>
  </w:footnote>
  <w:footnote w:id="1435">
    <w:p w14:paraId="00348E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1436">
    <w:p w14:paraId="7B3A4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21–22 במספור השלישי, המתחיל במאמרו של ר׳ ישראל </w:t>
      </w:r>
      <w:proofErr w:type="spellStart"/>
      <w:r>
        <w:rPr>
          <w:sz w:val="20"/>
          <w:szCs w:val="20"/>
          <w:rtl/>
        </w:rPr>
        <w:t>סלנטר</w:t>
      </w:r>
      <w:proofErr w:type="spellEnd"/>
      <w:r>
        <w:rPr>
          <w:sz w:val="20"/>
          <w:szCs w:val="20"/>
          <w:rtl/>
        </w:rPr>
        <w:t xml:space="preserve"> – ראה (עמ׳ </w:t>
      </w:r>
      <w:r>
        <w:rPr>
          <w:sz w:val="20"/>
          <w:szCs w:val="20"/>
          <w:rtl/>
        </w:rPr>
        <w:fldChar w:fldCharType="begin" w:dirty="true"/>
      </w:r>
      <w:r>
        <w:rPr>
          <w:sz w:val="20"/>
          <w:szCs w:val="20"/>
          <w:rtl/>
        </w:rPr>
        <w:instrText xml:space="preserve"> PAGEREF pr_b_997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(ב).</w:t>
      </w:r>
    </w:p>
  </w:footnote>
  <w:footnote w:id="1437">
    <w:p w14:paraId="06C204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סוף הפסקה השנייה בנספח ה.</w:t>
      </w:r>
    </w:p>
  </w:footnote>
  <w:footnote w:id="1438">
    <w:p w14:paraId="5C22E6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ברכות ו ע״א.</w:t>
      </w:r>
    </w:p>
  </w:footnote>
  <w:footnote w:id="1439">
    <w:p w14:paraId="420106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w:t>
      </w:r>
    </w:p>
  </w:footnote>
  <w:footnote w:id="1440">
    <w:p w14:paraId="3C71D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(פרק 1, הערה 7), עמ׳ 15, הושלם “שמירת הלשון” עד שנת תרל״ה, שש שנים לפני הוצאת “עץ פרי”. עוד על מנהג זה, כפי שהוא נוגע לרבנו, ראה פרק 4, הפסקה השנייה בנספח י.</w:t>
      </w:r>
    </w:p>
  </w:footnote>
  <w:footnote w:id="1441">
    <w:p w14:paraId="75C080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השנייה בנספח ב – עמ׳ 212, הערה 21.</w:t>
      </w:r>
    </w:p>
  </w:footnote>
  <w:footnote w:id="1442">
    <w:p w14:paraId="7510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1 – כרך ג, פרק מט (שכותרתו “</w:t>
      </w:r>
      <w:proofErr w:type="spellStart"/>
      <w:r>
        <w:rPr>
          <w:sz w:val="20"/>
          <w:szCs w:val="20"/>
          <w:rtl/>
        </w:rPr>
        <w:t>התיסדות</w:t>
      </w:r>
      <w:proofErr w:type="spellEnd"/>
      <w:r>
        <w:rPr>
          <w:sz w:val="20"/>
          <w:szCs w:val="20"/>
          <w:rtl/>
        </w:rPr>
        <w:t xml:space="preserve"> כולל </w:t>
      </w:r>
      <w:proofErr w:type="spellStart"/>
      <w:r>
        <w:rPr>
          <w:sz w:val="20"/>
          <w:szCs w:val="20"/>
          <w:rtl/>
        </w:rPr>
        <w:t>האברכים־הפרושים</w:t>
      </w:r>
      <w:proofErr w:type="spellEnd"/>
      <w:r>
        <w:rPr>
          <w:sz w:val="20"/>
          <w:szCs w:val="20"/>
          <w:rtl/>
        </w:rPr>
        <w:t xml:space="preserve"> בקובנה”).</w:t>
      </w:r>
    </w:p>
  </w:footnote>
  <w:footnote w:id="1443">
    <w:p w14:paraId="1927AE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קשה להבין כיצד יכול היה ר׳ יעקב הלוי ליפשיץ, שהיה מקורב </w:t>
      </w:r>
      <w:proofErr w:type="spellStart"/>
      <w:r>
        <w:rPr>
          <w:sz w:val="20"/>
          <w:szCs w:val="20"/>
          <w:rtl/>
        </w:rPr>
        <w:t>לר</w:t>
      </w:r>
      <w:proofErr w:type="spellEnd"/>
      <w:r>
        <w:rPr>
          <w:sz w:val="20"/>
          <w:szCs w:val="20"/>
          <w:rtl/>
        </w:rPr>
        <w:t xml:space="preserve">׳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לטעות טעות כזו.</w:t>
      </w:r>
    </w:p>
  </w:footnote>
  <w:footnote w:id="1444">
    <w:p w14:paraId="22658D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 xml:space="preserve">בניו יורק</w:t>
      </w:r>
      <w:proofErr w:type="spellEnd"/>
      <w:r>
        <w:rPr>
          <w:sz w:val="20"/>
          <w:szCs w:val="20"/>
          <w:rtl/>
        </w:rPr>
        <w:t>, תש״ז (להלן: החפץ חיים) – הערת שוליים בעמ׳ 159.</w:t>
      </w:r>
    </w:p>
  </w:footnote>
  <w:footnote w:id="1445">
    <w:p w14:paraId="2CE4C4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תואר במכתב ששלח ר׳ </w:t>
      </w:r>
      <w:proofErr w:type="spellStart"/>
      <w:r>
        <w:rPr>
          <w:sz w:val="20"/>
          <w:szCs w:val="20"/>
          <w:rtl/>
        </w:rPr>
        <w:t>יצחק־יעקב</w:t>
      </w:r>
      <w:proofErr w:type="spellEnd"/>
      <w:r>
        <w:rPr>
          <w:sz w:val="20"/>
          <w:szCs w:val="20"/>
          <w:rtl/>
        </w:rPr>
        <w:t xml:space="preserve"> ריינס לאחד מידידיו, כפי שהובא </w:t>
      </w:r>
      <w:proofErr w:type="spellStart"/>
      <w:r>
        <w:rPr>
          <w:sz w:val="20"/>
          <w:szCs w:val="20"/>
          <w:rtl/>
        </w:rPr>
        <w:t xml:space="preserve">ב“אכסניות של תורה” (קראקא, תר״ן) (להלן: אכסניות)</w:t>
      </w:r>
      <w:proofErr w:type="spellEnd"/>
      <w:r>
        <w:rPr>
          <w:sz w:val="20"/>
          <w:szCs w:val="20"/>
          <w:rtl/>
        </w:rPr>
        <w:t xml:space="preserve"/>
      </w:r>
      <w:proofErr w:type="spellStart"/>
      <w:r>
        <w:rPr>
          <w:sz w:val="20"/>
          <w:szCs w:val="20"/>
          <w:rtl/>
        </w:rPr>
        <w:t xml:space="preserve"/>
      </w:r>
      <w:proofErr w:type="spellEnd"/>
      <w:r>
        <w:rPr>
          <w:sz w:val="20"/>
          <w:szCs w:val="20"/>
          <w:rtl/>
        </w:rPr>
        <w:t xml:space="preserve"/>
      </w:r>
      <w:proofErr w:type="spellStart"/>
      <w:r>
        <w:rPr>
          <w:sz w:val="20"/>
          <w:szCs w:val="20"/>
          <w:rtl/>
        </w:rPr>
        <w:t xml:space="preserve"/>
      </w:r>
      <w:proofErr w:type="spellEnd"/>
      <w:r>
        <w:rPr>
          <w:sz w:val="20"/>
          <w:szCs w:val="20"/>
          <w:rtl/>
        </w:rPr>
        <w:t xml:space="preserve">, עמ׳ 27.</w:t>
      </w:r>
    </w:p>
  </w:footnote>
  <w:footnote w:id="1446">
    <w:p w14:paraId="5F4A60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אבל השווה את מסורת משפחת </w:t>
      </w:r>
      <w:proofErr w:type="spellStart"/>
      <w:r>
        <w:rPr>
          <w:rStyle w:val="a5"/>
          <w:sz w:val="20"/>
          <w:szCs w:val="20"/>
          <w:vertAlign w:val="baseline"/>
          <w:rtl/>
        </w:rPr>
        <w:t xml:space="preserve">חווס</w:t>
      </w:r>
      <w:proofErr w:type="spellEnd"/>
      <w:r>
        <w:rPr>
          <w:rStyle w:val="a5"/>
          <w:sz w:val="20"/>
          <w:szCs w:val="20"/>
          <w:vertAlign w:val="baseline"/>
          <w:rtl/>
        </w:rPr>
        <w:t xml:space="preserve"> המובאת (עמ׳ </w:t>
      </w:r>
      <w:r>
        <w:rPr>
          <w:rStyle w:val="a5"/>
          <w:sz w:val="20"/>
          <w:szCs w:val="20"/>
          <w:vertAlign w:val="baseline"/>
          <w:rtl/>
        </w:rPr>
        <w:fldChar w:fldCharType="begin" w:dirty="true"/>
      </w:r>
      <w:r>
        <w:rPr>
          <w:rStyle w:val="a5"/>
          <w:sz w:val="20"/>
          <w:szCs w:val="20"/>
          <w:vertAlign w:val="baseline"/>
          <w:rtl/>
        </w:rPr>
        <w:instrText xml:space="preserve"> PAGEREF pr_close_b_1575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להלן, על בקיאותו של ר׳ </w:t>
      </w:r>
      <w:proofErr w:type="spellStart"/>
      <w:r>
        <w:rPr>
          <w:sz w:val="20"/>
          <w:szCs w:val="20"/>
          <w:rtl/>
        </w:rPr>
        <w:t>לייזר־יעקב</w:t>
      </w:r>
      <w:proofErr w:type="spellEnd"/>
      <w:r>
        <w:rPr>
          <w:sz w:val="20"/>
          <w:szCs w:val="20"/>
          <w:rtl/>
        </w:rPr>
        <w:t>.</w:t>
      </w:r>
    </w:p>
  </w:footnote>
  <w:footnote w:id="1447">
    <w:p w14:paraId="435BB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עם ר׳ ישעיה זינגר, נכד נכדו של ר׳ </w:t>
      </w:r>
      <w:proofErr w:type="spellStart"/>
      <w:r>
        <w:rPr>
          <w:sz w:val="20"/>
          <w:szCs w:val="20"/>
          <w:rtl/>
        </w:rPr>
        <w:t>לייזר־יעקב</w:t>
      </w:r>
      <w:proofErr w:type="spellEnd"/>
      <w:r>
        <w:rPr>
          <w:sz w:val="20"/>
          <w:szCs w:val="20"/>
          <w:rtl/>
        </w:rPr>
        <w:t>, 13 ביוני 1997.</w:t>
      </w:r>
    </w:p>
  </w:footnote>
  <w:footnote w:id="1448">
    <w:p w14:paraId="2FC76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זיכרון </w:t>
      </w:r>
      <w:proofErr w:type="spellStart"/>
      <w:r>
        <w:rPr>
          <w:sz w:val="20"/>
          <w:szCs w:val="20"/>
          <w:rtl/>
        </w:rPr>
        <w:t>דבורץ</w:t>
      </w:r>
      <w:proofErr w:type="spellEnd"/>
      <w:r>
        <w:rPr>
          <w:sz w:val="20"/>
          <w:szCs w:val="20"/>
          <w:rtl/>
        </w:rPr>
        <w:t xml:space="preserve"> (הנ״ל, פרק 2, הערה 93).</w:t>
      </w:r>
    </w:p>
  </w:footnote>
  <w:footnote w:id="1449">
    <w:p w14:paraId="103307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w:t>
      </w:r>
    </w:p>
  </w:footnote>
  <w:footnote w:id="1450">
    <w:p w14:paraId="10B5DF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51">
    <w:p w14:paraId="2C418B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הפסקה הראשונה בנספח ב – עמ׳ 16.</w:t>
      </w:r>
    </w:p>
  </w:footnote>
  <w:footnote w:id="1452">
    <w:p w14:paraId="6994D9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הנ״ל, פרק 2, נספח ב – עמ׳ 81 (בשם ר׳ מאיר </w:t>
      </w:r>
      <w:proofErr w:type="spellStart"/>
      <w:r>
        <w:rPr>
          <w:sz w:val="20"/>
          <w:szCs w:val="20"/>
          <w:rtl/>
        </w:rPr>
        <w:t>קרליץ</w:t>
      </w:r>
      <w:proofErr w:type="spellEnd"/>
      <w:r>
        <w:rPr>
          <w:sz w:val="20"/>
          <w:szCs w:val="20"/>
          <w:rtl/>
        </w:rPr>
        <w:t>).</w:t>
      </w:r>
    </w:p>
  </w:footnote>
  <w:footnote w:id="1453">
    <w:p w14:paraId="0E622B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סותר את דברי ר׳ יצחק </w:t>
      </w:r>
      <w:proofErr w:type="spellStart"/>
      <w:r>
        <w:rPr>
          <w:sz w:val="20"/>
          <w:szCs w:val="20"/>
          <w:rtl/>
        </w:rPr>
        <w:t>הוטנר</w:t>
      </w:r>
      <w:proofErr w:type="spellEnd"/>
      <w:r>
        <w:rPr>
          <w:sz w:val="20"/>
          <w:szCs w:val="20"/>
          <w:rtl/>
        </w:rPr>
        <w:t xml:space="preserve"> המובאים בסוף הפסקה השנייה בנספח </w:t>
      </w:r>
      <w:proofErr w:type="spellStart"/>
      <w:r>
        <w:rPr>
          <w:sz w:val="20"/>
          <w:szCs w:val="20"/>
          <w:rtl/>
        </w:rPr>
        <w:t>כו</w:t>
      </w:r>
      <w:proofErr w:type="spellEnd"/>
      <w:r>
        <w:rPr>
          <w:sz w:val="20"/>
          <w:szCs w:val="20"/>
          <w:rtl/>
        </w:rPr>
        <w:t xml:space="preserve"> להלן, שר׳ ישראל </w:t>
      </w:r>
      <w:r>
        <w:rPr>
          <w:b/>
          <w:bCs/>
          <w:sz w:val="20"/>
          <w:szCs w:val="20"/>
          <w:rtl/>
        </w:rPr>
        <w:t>לא</w:t>
      </w:r>
      <w:r>
        <w:rPr>
          <w:sz w:val="20"/>
          <w:szCs w:val="20"/>
          <w:rtl/>
        </w:rPr>
        <w:t xml:space="preserve"> הסכים להוצאת הספר “חפץ חיים”, ואת הטעם לכך.</w:t>
      </w:r>
    </w:p>
  </w:footnote>
  <w:footnote w:id="1454">
    <w:p w14:paraId="67205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141, וכרך ב (הנ״ל, פרק 2, הערה 17), עמ׳ 136.</w:t>
      </w:r>
    </w:p>
  </w:footnote>
  <w:footnote w:id="1455">
    <w:p w14:paraId="5E17D4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נולד בערך בשנת ת״ר.</w:t>
      </w:r>
    </w:p>
  </w:footnote>
  <w:footnote w:id="1456">
    <w:p w14:paraId="533F5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א, עמ׳ 195.</w:t>
      </w:r>
    </w:p>
  </w:footnote>
  <w:footnote w:id="1457">
    <w:p w14:paraId="4010E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w:t>
      </w:r>
      <w:proofErr w:type="spellStart"/>
      <w:r>
        <w:rPr>
          <w:sz w:val="20"/>
          <w:szCs w:val="20"/>
          <w:rtl/>
        </w:rPr>
        <w:t>כג</w:t>
      </w:r>
      <w:proofErr w:type="spellEnd"/>
      <w:r>
        <w:rPr>
          <w:sz w:val="20"/>
          <w:szCs w:val="20"/>
          <w:rtl/>
        </w:rPr>
        <w:t xml:space="preserve"> להלן; “לפרקים” מאת הרב יחיאל יעקב ויינברג (הוצאת “קריה נאמנה”, ירושלים, תשכ״ז), מאמר </w:t>
      </w:r>
      <w:proofErr w:type="spellStart"/>
      <w:r>
        <w:rPr>
          <w:sz w:val="20"/>
          <w:szCs w:val="20"/>
          <w:rtl/>
        </w:rPr>
        <w:t>יב</w:t>
      </w:r>
      <w:proofErr w:type="spellEnd"/>
      <w:r>
        <w:rPr>
          <w:sz w:val="20"/>
          <w:szCs w:val="20"/>
          <w:rtl/>
        </w:rPr>
        <w:t>, “</w:t>
      </w:r>
      <w:proofErr w:type="spellStart"/>
      <w:r>
        <w:rPr>
          <w:sz w:val="20"/>
          <w:szCs w:val="20"/>
          <w:rtl/>
        </w:rPr>
        <w:t>גבורים</w:t>
      </w:r>
      <w:proofErr w:type="spellEnd"/>
      <w:r>
        <w:rPr>
          <w:sz w:val="20"/>
          <w:szCs w:val="20"/>
          <w:rtl/>
        </w:rPr>
        <w:t xml:space="preserve"> בישראל”, שנכתב לזכרו של ר׳ </w:t>
      </w:r>
      <w:proofErr w:type="spellStart"/>
      <w:r>
        <w:rPr>
          <w:sz w:val="20"/>
          <w:szCs w:val="20"/>
          <w:rtl/>
        </w:rPr>
        <w:t>לייזר־יעקב</w:t>
      </w:r>
      <w:proofErr w:type="spellEnd"/>
      <w:r>
        <w:rPr>
          <w:sz w:val="20"/>
          <w:szCs w:val="20"/>
          <w:rtl/>
        </w:rPr>
        <w:t xml:space="preserve"> אחר </w:t>
      </w:r>
      <w:proofErr w:type="spellStart"/>
      <w:r>
        <w:rPr>
          <w:sz w:val="20"/>
          <w:szCs w:val="20"/>
          <w:rtl/>
        </w:rPr>
        <w:t>ש“נפטר</w:t>
      </w:r>
      <w:proofErr w:type="spellEnd"/>
      <w:r>
        <w:rPr>
          <w:sz w:val="20"/>
          <w:szCs w:val="20"/>
          <w:rtl/>
        </w:rPr>
        <w:t xml:space="preserve"> בזמן המלחמה (העולמית הראשונה) בווילנה”; ונספח ג להלן, המביא חלק קטן מן המאמר. בשיחה המוקלטת עם אברכי הכולל של ישיבת רבנו ישראל מאיר הכהן (פרק 2, הערה 106) אמר אבי שהוא “הכיר את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אישית”. לפי הריאיון עם ר׳ ישעיה זינגר (ראה הערת השוליים לעיל, על המעשה בר׳ אברהם </w:t>
      </w:r>
      <w:proofErr w:type="spellStart"/>
      <w:r>
        <w:rPr>
          <w:sz w:val="20"/>
          <w:szCs w:val="20"/>
          <w:rtl/>
        </w:rPr>
        <w:t>טרופ</w:t>
      </w:r>
      <w:proofErr w:type="spellEnd"/>
      <w:r>
        <w:rPr>
          <w:sz w:val="20"/>
          <w:szCs w:val="20"/>
          <w:rtl/>
        </w:rPr>
        <w:t xml:space="preserve">), סיפר לו אבי כיצד היה ר׳ </w:t>
      </w:r>
      <w:proofErr w:type="spellStart"/>
      <w:r>
        <w:rPr>
          <w:sz w:val="20"/>
          <w:szCs w:val="20"/>
          <w:rtl/>
        </w:rPr>
        <w:t>לייזר־יעקב</w:t>
      </w:r>
      <w:proofErr w:type="spellEnd"/>
      <w:r>
        <w:rPr>
          <w:sz w:val="20"/>
          <w:szCs w:val="20"/>
          <w:rtl/>
        </w:rPr>
        <w:t xml:space="preserve"> אוסף לחם מאנשי </w:t>
      </w:r>
      <w:proofErr w:type="spellStart"/>
      <w:r>
        <w:rPr>
          <w:sz w:val="20"/>
          <w:szCs w:val="20"/>
          <w:rtl/>
        </w:rPr>
        <w:t>סלבודקה</w:t>
      </w:r>
      <w:proofErr w:type="spellEnd"/>
      <w:r>
        <w:rPr>
          <w:sz w:val="20"/>
          <w:szCs w:val="20"/>
          <w:rtl/>
        </w:rPr>
        <w:t xml:space="preserve"> כדי לחלקו לבחורי הישיבה.</w:t>
      </w:r>
    </w:p>
  </w:footnote>
  <w:footnote w:id="1458">
    <w:p w14:paraId="64B5C7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459">
    <w:p w14:paraId="2CC2C8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שיחת </w:t>
      </w:r>
      <w:proofErr w:type="spellStart"/>
      <w:r>
        <w:rPr>
          <w:sz w:val="20"/>
          <w:szCs w:val="20"/>
          <w:rtl/>
        </w:rPr>
        <w:t>ליבוביץ</w:t>
      </w:r>
      <w:proofErr w:type="spellEnd"/>
      <w:r>
        <w:rPr>
          <w:sz w:val="20"/>
          <w:szCs w:val="20"/>
          <w:rtl/>
        </w:rPr>
        <w:t>.</w:t>
      </w:r>
    </w:p>
  </w:footnote>
  <w:footnote w:id="1460">
    <w:p w14:paraId="478834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תרפ״ח–</w:t>
      </w:r>
      <w:proofErr w:type="spellStart"/>
      <w:r>
        <w:rPr>
          <w:sz w:val="20"/>
          <w:szCs w:val="20"/>
          <w:rtl/>
        </w:rPr>
        <w:t>תר״ץ</w:t>
      </w:r>
      <w:proofErr w:type="spellEnd"/>
      <w:r>
        <w:rPr>
          <w:sz w:val="20"/>
          <w:szCs w:val="20"/>
          <w:rtl/>
        </w:rPr>
        <w:t xml:space="preserve"> – עמ׳ </w:t>
      </w:r>
      <w:proofErr w:type="spellStart"/>
      <w:r>
        <w:rPr>
          <w:sz w:val="20"/>
          <w:szCs w:val="20"/>
          <w:rtl/>
        </w:rPr>
        <w:t>כו</w:t>
      </w:r>
      <w:proofErr w:type="spellEnd"/>
      <w:r>
        <w:rPr>
          <w:sz w:val="20"/>
          <w:szCs w:val="20"/>
          <w:rtl/>
        </w:rPr>
        <w:t>.</w:t>
      </w:r>
    </w:p>
  </w:footnote>
  <w:footnote w:id="1461">
    <w:p w14:paraId="4F5AE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יתר על כן, אני סבור שריבלין החליף בין שני האחים לא רק בזיהוי המארח והמשפיע של לחמן, אלא גם בעמ׳ לח–מ שם. שם הוא מספר על השליחות שבה שלח לחמן את </w:t>
      </w:r>
      <w:proofErr w:type="spellStart"/>
      <w:r>
        <w:rPr>
          <w:sz w:val="20"/>
          <w:szCs w:val="20"/>
          <w:rtl/>
        </w:rPr>
        <w:t xml:space="preserve">חווס</w:t>
      </w:r>
      <w:proofErr w:type="spellEnd"/>
      <w:r>
        <w:rPr>
          <w:sz w:val="20"/>
          <w:szCs w:val="20"/>
          <w:rtl/>
        </w:rPr>
        <w:t xml:space="preserve"> לארץ ישראל לטפל בעניינו של הרב </w:t>
      </w:r>
      <w:proofErr w:type="spellStart"/>
      <w:r>
        <w:rPr>
          <w:sz w:val="20"/>
          <w:szCs w:val="20"/>
          <w:rtl/>
        </w:rPr>
        <w:t>פרומקין</w:t>
      </w:r>
      <w:proofErr w:type="spellEnd"/>
      <w:r>
        <w:rPr>
          <w:sz w:val="20"/>
          <w:szCs w:val="20"/>
          <w:rtl/>
        </w:rPr>
        <w:t xml:space="preserve">, שקנה ללחמן אחוזה במקום שהוא היום פתח תקווה, וניהל אותה שלא לשביעות רצונו של בעליה. ר׳ </w:t>
      </w:r>
      <w:proofErr w:type="spellStart"/>
      <w:r>
        <w:rPr>
          <w:sz w:val="20"/>
          <w:szCs w:val="20"/>
          <w:rtl/>
        </w:rPr>
        <w:t>יוזף־חיים</w:t>
      </w:r>
      <w:proofErr w:type="spellEnd"/>
      <w:r>
        <w:rPr>
          <w:sz w:val="20"/>
          <w:szCs w:val="20"/>
          <w:rtl/>
        </w:rPr>
        <w:t xml:space="preserve"> היה מסוגל לטפל בענייני עסקים, ולא ר׳ </w:t>
      </w:r>
      <w:proofErr w:type="spellStart"/>
      <w:r>
        <w:rPr>
          <w:sz w:val="20"/>
          <w:szCs w:val="20"/>
          <w:rtl/>
        </w:rPr>
        <w:t>לייזר־יעקב</w:t>
      </w:r>
      <w:proofErr w:type="spellEnd"/>
      <w:r>
        <w:rPr>
          <w:sz w:val="20"/>
          <w:szCs w:val="20"/>
          <w:rtl/>
        </w:rPr>
        <w:t xml:space="preserve">, שכל ישותו הייתה מוקדשת להפצת התורה בלבד. למרבה הפלא, כץ, “תנועת המוסר”, כרך א, בהערה בעמ׳ 214, אינו חולק על דיווחו של ריבלין </w:t>
      </w:r>
      <w:proofErr w:type="spellStart"/>
      <w:r>
        <w:rPr>
          <w:sz w:val="20"/>
          <w:szCs w:val="20"/>
          <w:rtl/>
        </w:rPr>
        <w:t>ש“לייזר־יעקב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נסע לארץ ישראל בשליחות לחמן.</w:t>
      </w:r>
    </w:p>
  </w:footnote>
  <w:footnote w:id="1462">
    <w:p w14:paraId="6CCB7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מא״ד. המאמר התפרסם </w:t>
      </w:r>
      <w:proofErr w:type="spellStart"/>
      <w:r>
        <w:rPr>
          <w:sz w:val="20"/>
          <w:szCs w:val="20"/>
          <w:rtl/>
        </w:rPr>
        <w:t>אחד־עשר</w:t>
      </w:r>
      <w:proofErr w:type="spellEnd"/>
      <w:r>
        <w:rPr>
          <w:sz w:val="20"/>
          <w:szCs w:val="20"/>
          <w:rtl/>
        </w:rPr>
        <w:t xml:space="preserve"> חודשים לפני מותו של הנדבן. ראה גם הערה 108 בפרק זה, על עוד מטענות המאמר.</w:t>
      </w:r>
    </w:p>
  </w:footnote>
  <w:footnote w:id="1463">
    <w:p w14:paraId="54CEC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במשך כמה שנים נקרא “הד הזמן”, בגלל בעיות צנזורה עם הממשלה הרוסית.</w:t>
      </w:r>
    </w:p>
  </w:footnote>
  <w:footnote w:id="1464">
    <w:p w14:paraId="1BB5C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465">
    <w:p w14:paraId="28CA78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ב“שנות</w:t>
      </w:r>
      <w:proofErr w:type="spellEnd"/>
      <w:r>
        <w:rPr>
          <w:sz w:val="20"/>
          <w:szCs w:val="20"/>
          <w:rtl/>
        </w:rPr>
        <w:t xml:space="preserve"> דור ודור” (הוצאת מסורה, ברוקלין, 1999), עמ׳ קנו–קנז.</w:t>
      </w:r>
    </w:p>
  </w:footnote>
  <w:footnote w:id="1466">
    <w:p w14:paraId="7A7C5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גם הערת השוליים </w:t>
      </w:r>
      <w:r>
        <w:rPr>
          <w:rStyle w:val="a5"/>
          <w:sz w:val="20"/>
          <w:szCs w:val="20"/>
          <w:vertAlign w:val="baseline"/>
          <w:rtl/>
        </w:rPr>
        <w:fldChar w:fldCharType="begin" w:dirty="true"/>
      </w:r>
      <w:r>
        <w:rPr>
          <w:rStyle w:val="a5"/>
          <w:sz w:val="20"/>
          <w:szCs w:val="20"/>
          <w:vertAlign w:val="baseline"/>
          <w:rtl/>
        </w:rPr>
        <w:instrText xml:space="preserve"> NOTEREF pr_f_1542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pr_f_1542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r>
        <w:rPr>
          <w:sz w:val="20"/>
          <w:szCs w:val="20"/>
          <w:rtl/>
        </w:rPr>
        <w:t xml:space="preserve">בכרך זה, ופרק 4, סוף נספח ז, על מקורות אחרים הקושרים את לחמן </w:t>
      </w:r>
      <w:proofErr w:type="spellStart"/>
      <w:r>
        <w:rPr>
          <w:sz w:val="20"/>
          <w:szCs w:val="20"/>
          <w:rtl/>
        </w:rPr>
        <w:t>להמבורג</w:t>
      </w:r>
      <w:proofErr w:type="spellEnd"/>
      <w:r>
        <w:rPr>
          <w:sz w:val="20"/>
          <w:szCs w:val="20"/>
          <w:rtl/>
        </w:rPr>
        <w:t>. מן הראשון שבהם משתמע שלא בא מברלין אלא מעיר במערב גרמניה, והשני (משנת תר״מ – ראה להלן) מזהה בבירור את הנדבן עם העיר המבורג.</w:t>
      </w:r>
    </w:p>
  </w:footnote>
  <w:footnote w:id="1467">
    <w:p w14:paraId="0ECA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pr_f_108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בכרך זה.</w:t>
      </w:r>
    </w:p>
  </w:footnote>
  <w:footnote w:id="1468">
    <w:p w14:paraId="085DEC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בשנה שלאחריה נקראו בנפרד.</w:t>
      </w:r>
    </w:p>
  </w:footnote>
  <w:footnote w:id="1469">
    <w:p w14:paraId="1637B3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מערכת “שנות דור ודור” עומד ר׳ משה </w:t>
      </w:r>
      <w:proofErr w:type="spellStart"/>
      <w:r>
        <w:rPr>
          <w:sz w:val="20"/>
          <w:szCs w:val="20"/>
          <w:rtl/>
        </w:rPr>
        <w:t>זעירא</w:t>
      </w:r>
      <w:proofErr w:type="spellEnd"/>
      <w:r>
        <w:rPr>
          <w:sz w:val="20"/>
          <w:szCs w:val="20"/>
          <w:rtl/>
        </w:rPr>
        <w:t>.</w:t>
      </w:r>
    </w:p>
  </w:footnote>
  <w:footnote w:id="1470">
    <w:p w14:paraId="71FBAF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שיטה זו נהגה בדרך כלל בשנות </w:t>
      </w:r>
      <w:proofErr w:type="spellStart"/>
      <w:r>
        <w:rPr>
          <w:sz w:val="20"/>
          <w:szCs w:val="20"/>
          <w:rtl/>
        </w:rPr>
        <w:t xml:space="preserve">התר״ל</w:t>
      </w:r>
      <w:proofErr w:type="spellEnd"/>
      <w:r>
        <w:rPr>
          <w:sz w:val="20"/>
          <w:szCs w:val="20"/>
          <w:rtl/>
        </w:rPr>
        <w:t xml:space="preserve"> </w:t>
      </w:r>
      <w:proofErr w:type="spellStart"/>
      <w:r>
        <w:rPr>
          <w:sz w:val="20"/>
          <w:szCs w:val="20"/>
          <w:rtl/>
        </w:rPr>
        <w:t xml:space="preserve">והתר״מ</w:t>
      </w:r>
      <w:proofErr w:type="spellEnd"/>
      <w:r>
        <w:rPr>
          <w:sz w:val="20"/>
          <w:szCs w:val="20"/>
          <w:rtl/>
        </w:rPr>
        <w:t xml:space="preserve">, על אף הטענה </w:t>
      </w:r>
      <w:proofErr w:type="spellStart"/>
      <w:r>
        <w:rPr>
          <w:sz w:val="20"/>
          <w:szCs w:val="20"/>
          <w:rtl/>
        </w:rPr>
        <w:t>ב“זכרון</w:t>
      </w:r>
      <w:proofErr w:type="spellEnd"/>
      <w:r>
        <w:rPr>
          <w:sz w:val="20"/>
          <w:szCs w:val="20"/>
          <w:rtl/>
        </w:rPr>
        <w:t xml:space="preserve"> יעקב”, המובאת בתחילת הפסקה הבאה, על מה שנהג </w:t>
      </w:r>
      <w:proofErr w:type="spellStart"/>
      <w:r>
        <w:rPr>
          <w:sz w:val="20"/>
          <w:szCs w:val="20"/>
          <w:rtl/>
        </w:rPr>
        <w:t>בזאמוט</w:t>
      </w:r>
      <w:proofErr w:type="spellEnd"/>
      <w:r>
        <w:rPr>
          <w:sz w:val="20"/>
          <w:szCs w:val="20"/>
          <w:rtl/>
        </w:rPr>
        <w:t xml:space="preserve"> בשנות </w:t>
      </w:r>
      <w:proofErr w:type="spellStart"/>
      <w:r>
        <w:rPr>
          <w:sz w:val="20"/>
          <w:szCs w:val="20"/>
          <w:rtl/>
        </w:rPr>
        <w:t xml:space="preserve">התר״י</w:t>
      </w:r>
      <w:proofErr w:type="spellEnd"/>
      <w:r>
        <w:rPr>
          <w:sz w:val="20"/>
          <w:szCs w:val="20"/>
          <w:rtl/>
        </w:rPr>
        <w:t xml:space="preserve">. כך היה המנהג גם כעבור שלושים שנה במינסק, שאליה בא אבי ללמוד בגיל </w:t>
      </w:r>
      <w:proofErr w:type="spellStart"/>
      <w:r>
        <w:rPr>
          <w:sz w:val="20"/>
          <w:szCs w:val="20"/>
          <w:rtl/>
        </w:rPr>
        <w:t>אחת־עשרה</w:t>
      </w:r>
      <w:proofErr w:type="spellEnd"/>
      <w:r>
        <w:rPr>
          <w:sz w:val="20"/>
          <w:szCs w:val="20"/>
          <w:rtl/>
        </w:rPr>
        <w:t xml:space="preserve"> (כמסופר בפסקה שלפני האחרונה בפרק 1.4 ובתחילת פרק 2.3), וכך היה – לעניין הכלכלה – גם בערים שבהן למדו אחיי הגדולים כעבור חמישים שנה (כמסופר בכרך 2). העורך בלבל בין התלמוד תורה של קלם כפי שהיה </w:t>
      </w:r>
      <w:r>
        <w:rPr>
          <w:b/>
          <w:bCs/>
          <w:sz w:val="20"/>
          <w:szCs w:val="20"/>
          <w:rtl/>
        </w:rPr>
        <w:t>לפני</w:t>
      </w:r>
      <w:r>
        <w:rPr>
          <w:sz w:val="20"/>
          <w:szCs w:val="20"/>
          <w:rtl/>
        </w:rPr>
        <w:t xml:space="preserve"> </w:t>
      </w:r>
      <w:proofErr w:type="spellStart"/>
      <w:r>
        <w:rPr>
          <w:sz w:val="20"/>
          <w:szCs w:val="20"/>
          <w:rtl/>
        </w:rPr>
        <w:t>גרובין</w:t>
      </w:r>
      <w:proofErr w:type="spellEnd"/>
      <w:r>
        <w:rPr>
          <w:sz w:val="20"/>
          <w:szCs w:val="20"/>
          <w:rtl/>
        </w:rPr>
        <w:t xml:space="preserve"> (ראה תחילת נספח כה להלן) ובין הצורה שלבש המוסד </w:t>
      </w:r>
      <w:r>
        <w:rPr>
          <w:b/>
          <w:bCs/>
          <w:sz w:val="20"/>
          <w:szCs w:val="20"/>
          <w:rtl/>
        </w:rPr>
        <w:t>אחרי</w:t>
      </w:r>
      <w:r>
        <w:rPr>
          <w:sz w:val="20"/>
          <w:szCs w:val="20"/>
          <w:rtl/>
        </w:rPr>
        <w:t xml:space="preserve"> שחזר משם ר׳ </w:t>
      </w:r>
      <w:proofErr w:type="spellStart"/>
      <w:r>
        <w:rPr>
          <w:sz w:val="20"/>
          <w:szCs w:val="20"/>
          <w:rtl/>
        </w:rPr>
        <w:t>שמחה־זיסל</w:t>
      </w:r>
      <w:proofErr w:type="spellEnd"/>
      <w:r>
        <w:rPr>
          <w:sz w:val="20"/>
          <w:szCs w:val="20"/>
          <w:rtl/>
        </w:rPr>
        <w:t xml:space="preserve"> </w:t>
      </w:r>
      <w:proofErr w:type="spellStart"/>
      <w:r>
        <w:rPr>
          <w:sz w:val="20"/>
          <w:szCs w:val="20"/>
          <w:rtl/>
        </w:rPr>
        <w:t>לקלם</w:t>
      </w:r>
      <w:proofErr w:type="spellEnd"/>
      <w:r>
        <w:rPr>
          <w:sz w:val="20"/>
          <w:szCs w:val="20"/>
          <w:rtl/>
        </w:rPr>
        <w:t>. אף שנשאר בשמו המקורי, “תלמוד תורה”, נהפך בית הספר מישיבה קטנה למוסד ללומדים המצטיינים במוסר, ואז אכן נזקק לתמיכתו הכספית של הציבור הרחב והיה ראוי לה.</w:t>
      </w:r>
    </w:p>
  </w:footnote>
  <w:footnote w:id="1471">
    <w:p w14:paraId="5F8A89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ב.</w:t>
      </w:r>
    </w:p>
  </w:footnote>
  <w:footnote w:id="1472">
    <w:p w14:paraId="60CF35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הוכנה למטרות התרמה בידי ישראל </w:t>
      </w:r>
      <w:proofErr w:type="spellStart"/>
      <w:r>
        <w:rPr>
          <w:sz w:val="20"/>
          <w:szCs w:val="20"/>
          <w:rtl/>
        </w:rPr>
        <w:t>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ונקראה – “כנסת ישראל – על דבר הישיבה הגדולה </w:t>
      </w:r>
      <w:proofErr w:type="spellStart"/>
      <w:r>
        <w:rPr>
          <w:sz w:val="20"/>
          <w:szCs w:val="20"/>
          <w:rtl/>
        </w:rPr>
        <w:t>בסלבודקה</w:t>
      </w:r>
      <w:proofErr w:type="spellEnd"/>
      <w:r>
        <w:rPr>
          <w:sz w:val="20"/>
          <w:szCs w:val="20"/>
          <w:rtl/>
        </w:rPr>
        <w:t>”.</w:t>
      </w:r>
    </w:p>
  </w:footnote>
  <w:footnote w:id="1473">
    <w:p w14:paraId="08357F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21–27.</w:t>
      </w:r>
    </w:p>
  </w:footnote>
  <w:footnote w:id="1474">
    <w:p w14:paraId="077805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ב“אכסניות</w:t>
      </w:r>
      <w:proofErr w:type="spellEnd"/>
      <w:r>
        <w:rPr>
          <w:sz w:val="20"/>
          <w:szCs w:val="20"/>
          <w:rtl/>
        </w:rPr>
        <w:t>” הוא מזוהה בטעות בראשי התיבות ש.י. במקום א.י. (אליעזר יעקב).</w:t>
      </w:r>
    </w:p>
  </w:footnote>
  <w:footnote w:id="1475">
    <w:p w14:paraId="228916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יחזקאל </w:t>
      </w:r>
      <w:proofErr w:type="spellStart"/>
      <w:r>
        <w:rPr>
          <w:sz w:val="20"/>
          <w:szCs w:val="20"/>
          <w:rtl/>
        </w:rPr>
        <w:t>כח</w:t>
      </w:r>
      <w:proofErr w:type="spellEnd"/>
      <w:r>
        <w:rPr>
          <w:sz w:val="20"/>
          <w:szCs w:val="20"/>
          <w:rtl/>
        </w:rPr>
        <w:t xml:space="preserve">, </w:t>
      </w:r>
      <w:proofErr w:type="spellStart"/>
      <w:r>
        <w:rPr>
          <w:sz w:val="20"/>
          <w:szCs w:val="20"/>
          <w:rtl/>
        </w:rPr>
        <w:t>יב</w:t>
      </w:r>
      <w:proofErr w:type="spellEnd"/>
      <w:r>
        <w:rPr>
          <w:sz w:val="20"/>
          <w:szCs w:val="20"/>
          <w:rtl/>
        </w:rPr>
        <w:t>.</w:t>
      </w:r>
    </w:p>
  </w:footnote>
  <w:footnote w:id="1476">
    <w:p w14:paraId="0043C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w:t>
      </w:r>
      <w:proofErr w:type="spellStart"/>
      <w:r>
        <w:rPr>
          <w:sz w:val="20"/>
          <w:szCs w:val="20"/>
          <w:rtl/>
        </w:rPr>
        <w:t>במגנצא</w:t>
      </w:r>
      <w:proofErr w:type="spellEnd"/>
      <w:r>
        <w:rPr>
          <w:sz w:val="20"/>
          <w:szCs w:val="20"/>
          <w:rtl/>
        </w:rPr>
        <w:t xml:space="preserve">, </w:t>
      </w:r>
      <w:proofErr w:type="spellStart"/>
      <w:r>
        <w:rPr>
          <w:sz w:val="20"/>
          <w:szCs w:val="20"/>
          <w:rtl/>
        </w:rPr>
        <w:t>תר״ם</w:t>
      </w:r>
      <w:proofErr w:type="spellEnd"/>
      <w:r>
        <w:rPr>
          <w:sz w:val="20"/>
          <w:szCs w:val="20"/>
          <w:rtl/>
        </w:rPr>
        <w:t xml:space="preserve"> – עמ׳ יד–</w:t>
      </w:r>
      <w:proofErr w:type="spellStart"/>
      <w:r>
        <w:rPr>
          <w:sz w:val="20"/>
          <w:szCs w:val="20"/>
          <w:rtl/>
        </w:rPr>
        <w:t>יז</w:t>
      </w:r>
      <w:proofErr w:type="spellEnd"/>
      <w:r>
        <w:rPr>
          <w:sz w:val="20"/>
          <w:szCs w:val="20"/>
          <w:rtl/>
        </w:rPr>
        <w:t>, בהערה ארוכה (המתחילה בעמ׳ י).</w:t>
      </w:r>
    </w:p>
  </w:footnote>
  <w:footnote w:id="1477">
    <w:p w14:paraId="444F9E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התאריך שקבע ר׳ משה ריינס לפגישת אביו עם ר׳ </w:t>
      </w:r>
      <w:proofErr w:type="spellStart"/>
      <w:r>
        <w:rPr>
          <w:sz w:val="20"/>
          <w:szCs w:val="20"/>
          <w:rtl/>
        </w:rPr>
        <w:t>אלכסנדר־משה</w:t>
      </w:r>
      <w:proofErr w:type="spellEnd"/>
      <w:r>
        <w:rPr>
          <w:sz w:val="20"/>
          <w:szCs w:val="20"/>
          <w:rtl/>
        </w:rPr>
        <w:t xml:space="preserve"> לפידות, תרל״ב, נכתבה ההקדמה </w:t>
      </w:r>
      <w:proofErr w:type="spellStart"/>
      <w:r>
        <w:rPr>
          <w:sz w:val="20"/>
          <w:szCs w:val="20"/>
          <w:rtl/>
        </w:rPr>
        <w:t>ל“חותם</w:t>
      </w:r>
      <w:proofErr w:type="spellEnd"/>
      <w:r>
        <w:rPr>
          <w:sz w:val="20"/>
          <w:szCs w:val="20"/>
          <w:rtl/>
        </w:rPr>
        <w:t xml:space="preserve"> תכנית” כמעט חמש שנים לפני פרסום הספר. ספר זה מפלס דרך בשיטת לימוד מקורית – ר׳ </w:t>
      </w:r>
      <w:proofErr w:type="spellStart"/>
      <w:r>
        <w:rPr>
          <w:sz w:val="20"/>
          <w:szCs w:val="20"/>
          <w:rtl/>
        </w:rPr>
        <w:t>יצחק־יעקב</w:t>
      </w:r>
      <w:proofErr w:type="spellEnd"/>
      <w:r>
        <w:rPr>
          <w:sz w:val="20"/>
          <w:szCs w:val="20"/>
          <w:rtl/>
        </w:rPr>
        <w:t xml:space="preserve"> ריינס בחר את שם הכרך כדי לבטא זאת – ולכן אין להתפלא על הפער של חמש שנים בין כתיבת ההקדמה לפרסום הספר, אף שקולמוסו של ר׳ </w:t>
      </w:r>
      <w:proofErr w:type="spellStart"/>
      <w:r>
        <w:rPr>
          <w:sz w:val="20"/>
          <w:szCs w:val="20"/>
          <w:rtl/>
        </w:rPr>
        <w:t>יצחק־יעקב</w:t>
      </w:r>
      <w:proofErr w:type="spellEnd"/>
      <w:r>
        <w:rPr>
          <w:sz w:val="20"/>
          <w:szCs w:val="20"/>
          <w:rtl/>
        </w:rPr>
        <w:t xml:space="preserve"> ריינס היה פורה.</w:t>
      </w:r>
    </w:p>
  </w:footnote>
  <w:footnote w:id="1478">
    <w:p w14:paraId="3D87E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הערת השוליים הראשונה בנספח ו.</w:t>
      </w:r>
    </w:p>
  </w:footnote>
  <w:footnote w:id="1479">
    <w:p w14:paraId="2232B4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ישיבת רבי יעקב יוסף, ירושלים, 1984.</w:t>
      </w:r>
    </w:p>
  </w:footnote>
  <w:footnote w:id="1480">
    <w:p w14:paraId="0E4EF9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הפסקה הראשונה בנספח ח להלן.</w:t>
      </w:r>
    </w:p>
  </w:footnote>
  <w:footnote w:id="1481">
    <w:p w14:paraId="06CA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טלפוני, 17 בינואר 1988.</w:t>
      </w:r>
    </w:p>
  </w:footnote>
  <w:footnote w:id="1482">
    <w:p w14:paraId="27773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תחילת הערה 63, שר׳ </w:t>
      </w:r>
      <w:proofErr w:type="spellStart"/>
      <w:r>
        <w:rPr>
          <w:sz w:val="20"/>
          <w:szCs w:val="20"/>
          <w:rtl/>
        </w:rPr>
        <w:t>אלכסנדר־משה</w:t>
      </w:r>
      <w:proofErr w:type="spellEnd"/>
      <w:r>
        <w:rPr>
          <w:sz w:val="20"/>
          <w:szCs w:val="20"/>
          <w:rtl/>
        </w:rPr>
        <w:t xml:space="preserve"> לפידות נעשה בלתי כשיר כשאבי, ילד בן כתשע בלבד אז, עדיין גר </w:t>
      </w:r>
      <w:proofErr w:type="spellStart"/>
      <w:r>
        <w:rPr>
          <w:sz w:val="20"/>
          <w:szCs w:val="20"/>
          <w:rtl/>
        </w:rPr>
        <w:t>בדולהינוב</w:t>
      </w:r>
      <w:proofErr w:type="spellEnd"/>
      <w:r>
        <w:rPr>
          <w:sz w:val="20"/>
          <w:szCs w:val="20"/>
          <w:rtl/>
        </w:rPr>
        <w:t xml:space="preserve"> הנידחת.</w:t>
      </w:r>
    </w:p>
  </w:footnote>
  <w:footnote w:id="1483">
    <w:p w14:paraId="233454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17 בינואר 1988.</w:t>
      </w:r>
    </w:p>
  </w:footnote>
  <w:footnote w:id="1484">
    <w:p w14:paraId="298A9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בוורשה, תרע״ג (להלן: לקורות), עמ׳ טו.</w:t>
      </w:r>
    </w:p>
  </w:footnote>
  <w:footnote w:id="1485">
    <w:p w14:paraId="454C3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540, והמונוגרפיה </w:t>
      </w:r>
      <w:proofErr w:type="spellStart"/>
      <w:r>
        <w:rPr>
          <w:sz w:val="20"/>
          <w:szCs w:val="20"/>
          <w:rtl/>
        </w:rPr>
        <w:t>ב“קשת</w:t>
      </w:r>
      <w:proofErr w:type="spellEnd"/>
      <w:r>
        <w:rPr>
          <w:sz w:val="20"/>
          <w:szCs w:val="20"/>
          <w:rtl/>
        </w:rPr>
        <w:t xml:space="preserve"> </w:t>
      </w:r>
      <w:proofErr w:type="spellStart"/>
      <w:r>
        <w:rPr>
          <w:sz w:val="20"/>
          <w:szCs w:val="20"/>
          <w:rtl/>
        </w:rPr>
        <w:t>גבורים</w:t>
      </w:r>
      <w:proofErr w:type="spellEnd"/>
      <w:r>
        <w:rPr>
          <w:sz w:val="20"/>
          <w:szCs w:val="20"/>
          <w:rtl/>
        </w:rPr>
        <w:t xml:space="preserve">” מאת אהרן </w:t>
      </w:r>
      <w:proofErr w:type="spellStart"/>
      <w:r>
        <w:rPr>
          <w:sz w:val="20"/>
          <w:szCs w:val="20"/>
          <w:rtl/>
        </w:rPr>
        <w:t>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(מוסד הרב קוק, ירושלים, תשכ״ד), עמ׳ 179–184.</w:t>
      </w:r>
    </w:p>
  </w:footnote>
  <w:footnote w:id="1486">
    <w:p w14:paraId="18CB1C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1487">
    <w:p w14:paraId="431E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29 ביולי 1996.</w:t>
      </w:r>
    </w:p>
  </w:footnote>
  <w:footnote w:id="1488">
    <w:p w14:paraId="0F4EAB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ידוע בראשי התיבות של שמו </w:t>
      </w:r>
      <w:proofErr w:type="spellStart"/>
      <w:r>
        <w:rPr>
          <w:sz w:val="20"/>
          <w:szCs w:val="20"/>
          <w:rtl/>
        </w:rPr>
        <w:t>כ“החיד״א</w:t>
      </w:r>
      <w:proofErr w:type="spellEnd"/>
      <w:r>
        <w:rPr>
          <w:sz w:val="20"/>
          <w:szCs w:val="20"/>
          <w:rtl/>
        </w:rPr>
        <w:t>”, והיה גאון גדול ומחבר של יותר מ־50 ספרים, שנסע לקהילות יהודיות בכל חלקי העולם למען מוסדות ארץ ישראל.</w:t>
      </w:r>
    </w:p>
  </w:footnote>
  <w:footnote w:id="1489">
    <w:p w14:paraId="58233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עמ׳ 184. ר׳ עזריאל קרמר מסר גם שבישיבת </w:t>
      </w:r>
      <w:proofErr w:type="spellStart"/>
      <w:r>
        <w:rPr>
          <w:sz w:val="20"/>
          <w:szCs w:val="20"/>
          <w:rtl/>
        </w:rPr>
        <w:t>סלבודקה</w:t>
      </w:r>
      <w:proofErr w:type="spellEnd"/>
      <w:r>
        <w:rPr>
          <w:sz w:val="20"/>
          <w:szCs w:val="20"/>
          <w:rtl/>
        </w:rPr>
        <w:t xml:space="preserve">, שבה למד בראשית שנות </w:t>
      </w:r>
      <w:proofErr w:type="spellStart"/>
      <w:r>
        <w:rPr>
          <w:sz w:val="20"/>
          <w:szCs w:val="20"/>
          <w:rtl/>
        </w:rPr>
        <w:t xml:space="preserve">התר״צ</w:t>
      </w:r>
      <w:proofErr w:type="spellEnd"/>
      <w:r>
        <w:rPr>
          <w:sz w:val="20"/>
          <w:szCs w:val="20"/>
          <w:rtl/>
        </w:rPr>
        <w:t xml:space="preserve">, למד עמו נכדו של ר׳ משה, </w:t>
      </w:r>
      <w:proofErr w:type="spellStart"/>
      <w:r>
        <w:rPr>
          <w:sz w:val="20"/>
          <w:szCs w:val="20"/>
          <w:rtl/>
        </w:rPr>
        <w:t>חיים־שמשון</w:t>
      </w:r>
      <w:proofErr w:type="spellEnd"/>
      <w:r>
        <w:rPr>
          <w:sz w:val="20"/>
          <w:szCs w:val="20"/>
          <w:rtl/>
        </w:rPr>
        <w:t>. “היה לו ידע תלמודי רחב להפליא [בקיאות] ואמרו עליו שזכה לזיכרונו המופלא של סבו,” אמר ר׳ עזריאל. “רב קובנה העריך אותו מאוד, וזמן קצר לפני מלחמת העולם השנייה ומותו על קידוש השם פרסם את ספרו הוא, ‘ספר אמרי חיים (</w:t>
      </w:r>
      <w:proofErr w:type="spellStart"/>
      <w:r>
        <w:rPr>
          <w:sz w:val="20"/>
          <w:szCs w:val="20"/>
          <w:rtl/>
        </w:rPr>
        <w:t>קיידאן</w:t>
      </w:r>
      <w:proofErr w:type="spellEnd"/>
      <w:r>
        <w:rPr>
          <w:sz w:val="20"/>
          <w:szCs w:val="20"/>
          <w:rtl/>
        </w:rPr>
        <w:t>, תרצ״ט)’.”</w:t>
      </w:r>
    </w:p>
  </w:footnote>
  <w:footnote w:id="1490">
    <w:p w14:paraId="5B278D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בנספח א – עמ׳ 286–287.</w:t>
      </w:r>
    </w:p>
  </w:footnote>
  <w:footnote w:id="1491">
    <w:p w14:paraId="177C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בנספח ב.</w:t>
      </w:r>
    </w:p>
  </w:footnote>
  <w:footnote w:id="1492">
    <w:p w14:paraId="181D95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פרק 4, סוף הפסקה השמינית בנספח ט.</w:t>
      </w:r>
    </w:p>
  </w:footnote>
  <w:footnote w:id="1493">
    <w:p w14:paraId="41FA9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להלן.</w:t>
      </w:r>
    </w:p>
  </w:footnote>
  <w:footnote w:id="1494">
    <w:p w14:paraId="4577D0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מתאריך י׳ באדר ב׳ תשנ״ב.</w:t>
      </w:r>
    </w:p>
  </w:footnote>
  <w:footnote w:id="1495">
    <w:p w14:paraId="2096CC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היה חבר לזמן קצר בכולל קובנה כשזה קיבל תחתיו את כולל </w:t>
      </w:r>
      <w:proofErr w:type="spellStart"/>
      <w:r>
        <w:rPr>
          <w:sz w:val="20"/>
          <w:szCs w:val="20"/>
          <w:rtl/>
        </w:rPr>
        <w:t>סלבודקה</w:t>
      </w:r>
      <w:proofErr w:type="spellEnd"/>
      <w:r>
        <w:rPr>
          <w:sz w:val="20"/>
          <w:szCs w:val="20"/>
          <w:rtl/>
        </w:rPr>
        <w:t xml:space="preserve"> שבו למד קודם לכן, כמסופר בכרך 2 של ספר זה.</w:t>
      </w:r>
    </w:p>
  </w:footnote>
  <w:footnote w:id="1496">
    <w:p w14:paraId="54227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497">
    <w:p w14:paraId="4A030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זכרון</w:t>
      </w:r>
      <w:proofErr w:type="spellEnd"/>
      <w:r>
        <w:rPr>
          <w:sz w:val="20"/>
          <w:szCs w:val="20"/>
          <w:rtl/>
        </w:rPr>
        <w:t xml:space="preserve"> יעקב”, כרך ג, עמ׳ 223, אומר שר׳ </w:t>
      </w:r>
      <w:proofErr w:type="spellStart"/>
      <w:r>
        <w:rPr>
          <w:sz w:val="20"/>
          <w:szCs w:val="20"/>
          <w:rtl/>
        </w:rPr>
        <w:t>אלכסנדר־משה</w:t>
      </w:r>
      <w:proofErr w:type="spellEnd"/>
      <w:r>
        <w:rPr>
          <w:sz w:val="20"/>
          <w:szCs w:val="20"/>
          <w:rtl/>
        </w:rPr>
        <w:t xml:space="preserve"> לפידות שלח מכתב </w:t>
      </w:r>
      <w:proofErr w:type="spellStart"/>
      <w:r>
        <w:rPr>
          <w:sz w:val="20"/>
          <w:szCs w:val="20"/>
          <w:rtl/>
        </w:rPr>
        <w:t>לר</w:t>
      </w:r>
      <w:proofErr w:type="spellEnd"/>
      <w:r>
        <w:rPr>
          <w:sz w:val="20"/>
          <w:szCs w:val="20"/>
          <w:rtl/>
        </w:rPr>
        <w:t xml:space="preserve">׳ יעקב הלוי (באמצעות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וביקש ממנו לשכנע את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לקבל עליו את המפעל.</w:t>
      </w:r>
    </w:p>
  </w:footnote>
  <w:footnote w:id="1498">
    <w:p w14:paraId="706215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222, בתחילת הפרק.</w:t>
      </w:r>
    </w:p>
  </w:footnote>
  <w:footnote w:id="1499">
    <w:p w14:paraId="7DECB4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נכתב קודם למכתב הנזכר לעיל, בהערת השוליים המביאה את “</w:t>
      </w:r>
      <w:proofErr w:type="spellStart"/>
      <w:r>
        <w:rPr>
          <w:sz w:val="20"/>
          <w:szCs w:val="20"/>
          <w:rtl/>
        </w:rPr>
        <w:t>זכרון</w:t>
      </w:r>
      <w:proofErr w:type="spellEnd"/>
      <w:r>
        <w:rPr>
          <w:sz w:val="20"/>
          <w:szCs w:val="20"/>
          <w:rtl/>
        </w:rPr>
        <w:t xml:space="preserve"> יעקב”, כרך ג, עמ׳ 223.</w:t>
      </w:r>
    </w:p>
  </w:footnote>
  <w:footnote w:id="1500">
    <w:p w14:paraId="7CCA9D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הלוי ליפשיץ כותב, שם, שלימים הודה ר׳ </w:t>
      </w:r>
      <w:proofErr w:type="spellStart"/>
      <w:r>
        <w:rPr>
          <w:sz w:val="20"/>
          <w:szCs w:val="20"/>
          <w:rtl/>
        </w:rPr>
        <w:t>אלכסנדר־משה</w:t>
      </w:r>
      <w:proofErr w:type="spellEnd"/>
      <w:r>
        <w:rPr>
          <w:sz w:val="20"/>
          <w:szCs w:val="20"/>
          <w:rtl/>
        </w:rPr>
        <w:t xml:space="preserve"> לפידות שהערכה זו הייתה נכונה. הוא טוען גם שכשבא </w:t>
      </w:r>
      <w:proofErr w:type="spellStart"/>
      <w:r>
        <w:rPr>
          <w:sz w:val="20"/>
          <w:szCs w:val="20"/>
          <w:rtl/>
        </w:rPr>
        <w:t xml:space="preserve">חווס</w:t>
      </w:r>
      <w:proofErr w:type="spellEnd"/>
      <w:r>
        <w:rPr>
          <w:sz w:val="20"/>
          <w:szCs w:val="20"/>
          <w:rtl/>
        </w:rPr>
        <w:t xml:space="preserve"> לברלין אחר כך “היו לו כל מיני רעיונות ורכב על כרוב של פנטזיות רבות על השגת דברים גדולים באמצעות לחמן”. אחרי שהות של כחודשיים בברלין עם אחיו, “השיל מעליו את האשליות, והם הגיעו להצעה מוחשית שלחמן יתרום אלף רובל לשנה – סכום גדול באותם ימים – לחיזוק התורה”.</w:t>
      </w:r>
    </w:p>
  </w:footnote>
  <w:footnote w:id="1501">
    <w:p w14:paraId="0404B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225–226.</w:t>
      </w:r>
    </w:p>
  </w:footnote>
  <w:footnote w:id="1502">
    <w:p w14:paraId="4523F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כרך 2: המוציא לאור של “</w:t>
      </w:r>
      <w:proofErr w:type="spellStart"/>
      <w:r>
        <w:rPr>
          <w:sz w:val="20"/>
          <w:szCs w:val="20"/>
          <w:rtl/>
        </w:rPr>
        <w:t>זכרון</w:t>
      </w:r>
      <w:proofErr w:type="spellEnd"/>
      <w:r>
        <w:rPr>
          <w:sz w:val="20"/>
          <w:szCs w:val="20"/>
          <w:rtl/>
        </w:rPr>
        <w:t xml:space="preserve"> יעקב”, ר׳ נוטע ליפשיץ, בנו של ר׳ יעקב הלוי, מנע מרבנו להתמנות לרב </w:t>
      </w:r>
      <w:proofErr w:type="spellStart"/>
      <w:r>
        <w:rPr>
          <w:sz w:val="20"/>
          <w:szCs w:val="20"/>
          <w:rtl/>
        </w:rPr>
        <w:t>בווילקומיר</w:t>
      </w:r>
      <w:proofErr w:type="spellEnd"/>
      <w:r>
        <w:rPr>
          <w:sz w:val="20"/>
          <w:szCs w:val="20"/>
          <w:rtl/>
        </w:rPr>
        <w:t xml:space="preserve"> בשנות </w:t>
      </w:r>
      <w:proofErr w:type="spellStart"/>
      <w:r>
        <w:rPr>
          <w:sz w:val="20"/>
          <w:szCs w:val="20"/>
          <w:rtl/>
        </w:rPr>
        <w:t xml:space="preserve">התר״צ</w:t>
      </w:r>
      <w:proofErr w:type="spellEnd"/>
      <w:r>
        <w:rPr>
          <w:sz w:val="20"/>
          <w:szCs w:val="20"/>
          <w:rtl/>
        </w:rPr>
        <w:t xml:space="preserve">. גם על כך אולי היה אבי אסיר תודה – כשם שהיה אסיר תודה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בלוך, שמנע אף הוא את מינויו לרבנות אחרת באותן שנים – שכן דבר זה הביא את רבנו להגר מליטא אל המבטחים של אמריקה זמן קצר לפני פרוץ מלחמת העולם השנייה. אבל על כך היה אבי אסיר תודה לדודו של המתכתב עמי, ר׳ נוטע, ולא לסבו.</w:t>
      </w:r>
    </w:p>
    <w:p w14:paraId="10C95B4E" w14:textId="77777777" w:rsidR="00AB3647" w:rsidRDefault="00000000">
      <w:pPr>
        <w:spacing w:after="0" w:before="0"/>
        <w:jc w:val="both"/>
      </w:pPr>
      <w:r>
        <w:rPr>
          <w:sz w:val="20"/>
          <w:szCs w:val="20"/>
          <w:rtl/>
        </w:rPr>
        <w:t xml:space="preserve">בתקופה מסוימת בזמן לימודיו במתיבתא תורה ודעת היה ר׳ יעקב ליפשיץ הצעיר אורח רצוי בבית הורי חודשים רבים, מתוך תחושת החוב של רבנו. בראיונו טען ר׳ יעקב ליפשיץ עוד שכאשר הסתבך הוא, </w:t>
      </w:r>
      <w:proofErr w:type="spellStart"/>
      <w:r>
        <w:rPr>
          <w:sz w:val="20"/>
          <w:szCs w:val="20"/>
          <w:rtl/>
        </w:rPr>
        <w:t>ה“ליטוואק</w:t>
      </w:r>
      <w:proofErr w:type="spellEnd"/>
      <w:r>
        <w:rPr>
          <w:sz w:val="20"/>
          <w:szCs w:val="20"/>
          <w:rtl/>
        </w:rPr>
        <w:t>”, בעימות חמור עם הנהלת מתיבתא תורה ודעת, שהייתה נוטה לחסידות, עמד אבי לימינו ומנע את גירושו – מתוך אותה הכרת תודה לסבו.</w:t>
      </w:r>
    </w:p>
  </w:footnote>
  <w:footnote w:id="1503">
    <w:p w14:paraId="17C08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8.</w:t>
      </w:r>
    </w:p>
  </w:footnote>
  <w:footnote w:id="1504">
    <w:p w14:paraId="4F5D0C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תת־הפסקה</w:t>
      </w:r>
      <w:proofErr w:type="spellEnd"/>
      <w:r>
        <w:rPr>
          <w:sz w:val="20"/>
          <w:szCs w:val="20"/>
          <w:rtl/>
        </w:rPr>
        <w:t xml:space="preserve"> </w:t>
      </w:r>
      <w:proofErr w:type="spellStart"/>
      <w:r>
        <w:rPr>
          <w:sz w:val="20"/>
          <w:szCs w:val="20"/>
          <w:rtl/>
        </w:rPr>
        <w:t>השבע־עשרה</w:t>
      </w:r>
      <w:proofErr w:type="spellEnd"/>
      <w:r>
        <w:rPr>
          <w:sz w:val="20"/>
          <w:szCs w:val="20"/>
          <w:rtl/>
        </w:rPr>
        <w:t xml:space="preserve"> של הפסקה השנייה בנספח ב.</w:t>
      </w:r>
    </w:p>
  </w:footnote>
  <w:footnote w:id="1505">
    <w:p w14:paraId="3FA51F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228, מטיל ספק בכך שאפשר לייחס את עליית “כבוד התורה” בכל ליטא לרפורמות של ר׳ ישראל בקובנה בלבד. מאחר שר׳ ישראל כיהן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רק שש שנים, ודאי מתכוון “</w:t>
      </w:r>
      <w:proofErr w:type="spellStart"/>
      <w:r>
        <w:rPr>
          <w:sz w:val="20"/>
          <w:szCs w:val="20"/>
          <w:rtl/>
        </w:rPr>
        <w:t>זכרון</w:t>
      </w:r>
      <w:proofErr w:type="spellEnd"/>
      <w:r>
        <w:rPr>
          <w:sz w:val="20"/>
          <w:szCs w:val="20"/>
          <w:rtl/>
        </w:rPr>
        <w:t xml:space="preserve"> יעקב” שרפורמות ר׳ ישראל בקובנה היו הזרז לשינוי הגישה בכל ליטא, שהגיע לשיאו בבחירת חתנים בידי העשירים.</w:t>
      </w:r>
    </w:p>
  </w:footnote>
  <w:footnote w:id="1506">
    <w:p w14:paraId="3CABC4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מוקלטת בשיקגו שאליה בא </w:t>
      </w:r>
      <w:proofErr w:type="spellStart"/>
      <w:r>
        <w:rPr>
          <w:sz w:val="20"/>
          <w:szCs w:val="20"/>
          <w:rtl/>
        </w:rPr>
        <w:t>בתשמ״א</w:t>
      </w:r>
      <w:proofErr w:type="spellEnd"/>
      <w:r>
        <w:rPr>
          <w:sz w:val="20"/>
          <w:szCs w:val="20"/>
          <w:rtl/>
        </w:rPr>
        <w:t xml:space="preserve"> לקדם הקמת כולל.</w:t>
      </w:r>
    </w:p>
  </w:footnote>
  <w:footnote w:id="1507">
    <w:p w14:paraId="24946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222, הערה 4.</w:t>
      </w:r>
    </w:p>
  </w:footnote>
  <w:footnote w:id="1508">
    <w:p w14:paraId="6C19E1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 זה מסר ר׳ </w:t>
      </w:r>
      <w:proofErr w:type="spellStart"/>
      <w:r>
        <w:rPr>
          <w:sz w:val="20"/>
          <w:szCs w:val="20"/>
          <w:rtl/>
        </w:rPr>
        <w:t>חיים־לייזר</w:t>
      </w:r>
      <w:proofErr w:type="spellEnd"/>
      <w:r>
        <w:rPr>
          <w:sz w:val="20"/>
          <w:szCs w:val="20"/>
          <w:rtl/>
        </w:rPr>
        <w:t xml:space="preserve"> סמסון, חברו של רבנו משנותיהם </w:t>
      </w:r>
      <w:proofErr w:type="spellStart"/>
      <w:r>
        <w:rPr>
          <w:sz w:val="20"/>
          <w:szCs w:val="20"/>
          <w:rtl/>
        </w:rPr>
        <w:t>בלומז׳ה</w:t>
      </w:r>
      <w:proofErr w:type="spellEnd"/>
      <w:r>
        <w:rPr>
          <w:sz w:val="20"/>
          <w:szCs w:val="20"/>
          <w:rtl/>
        </w:rPr>
        <w:t xml:space="preserve"> (ראה כרך 2), כפי שרשמה בתו, רחל סמסון </w:t>
      </w:r>
      <w:proofErr w:type="spellStart"/>
      <w:r>
        <w:rPr>
          <w:sz w:val="20"/>
          <w:szCs w:val="20"/>
          <w:rtl/>
        </w:rPr>
        <w:t>רבינוביץ</w:t>
      </w:r>
      <w:proofErr w:type="spellEnd"/>
      <w:r>
        <w:rPr>
          <w:sz w:val="20"/>
          <w:szCs w:val="20"/>
          <w:rtl/>
        </w:rPr>
        <w:t xml:space="preserve">, </w:t>
      </w:r>
      <w:proofErr w:type="spellStart"/>
      <w:r>
        <w:rPr>
          <w:sz w:val="20"/>
          <w:szCs w:val="20"/>
          <w:rtl/>
        </w:rPr>
        <w:t>ב“יובל</w:t>
      </w:r>
      <w:proofErr w:type="spellEnd"/>
      <w:r>
        <w:rPr>
          <w:sz w:val="20"/>
          <w:szCs w:val="20"/>
          <w:rtl/>
        </w:rPr>
        <w:t xml:space="preserve"> של צפייה” (הוצאת </w:t>
      </w:r>
      <w:proofErr w:type="spellStart"/>
      <w:r>
        <w:rPr>
          <w:sz w:val="20"/>
          <w:szCs w:val="20"/>
          <w:rtl/>
        </w:rPr>
        <w:t>פלדהיים</w:t>
      </w:r>
      <w:proofErr w:type="spellEnd"/>
      <w:r>
        <w:rPr>
          <w:sz w:val="20"/>
          <w:szCs w:val="20"/>
          <w:rtl/>
        </w:rPr>
        <w:t>, ירושלים, 1994), עמ׳ 216.</w:t>
      </w:r>
    </w:p>
  </w:footnote>
  <w:footnote w:id="1509">
    <w:p w14:paraId="37FC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“למי אני עמל?” (שם, פרק 1, נספח א), עמ׳ 108, על המספר באותו זמן ועל הגידול המאוחר יותר, כמפורט להלן.</w:t>
      </w:r>
    </w:p>
  </w:footnote>
  <w:footnote w:id="1510">
    <w:p w14:paraId="7B03A2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 xml:space="preserve">יוהנסבורג</w:t>
      </w:r>
      <w:proofErr w:type="spellEnd"/>
      <w:r>
        <w:rPr>
          <w:sz w:val="20"/>
          <w:szCs w:val="20"/>
          <w:rtl/>
        </w:rPr>
        <w:t xml:space="preserve">, נגב </w:t>
      </w:r>
      <w:proofErr w:type="spellStart"/>
      <w:r>
        <w:rPr>
          <w:sz w:val="20"/>
          <w:szCs w:val="20"/>
          <w:rtl/>
        </w:rPr>
        <w:t>אפריקא</w:t>
      </w:r>
      <w:proofErr w:type="spellEnd"/>
      <w:r>
        <w:rPr>
          <w:sz w:val="20"/>
          <w:szCs w:val="20"/>
          <w:rtl/>
        </w:rPr>
        <w:t>, תרצ״ו.</w:t>
      </w:r>
    </w:p>
  </w:footnote>
  <w:footnote w:id="1511">
    <w:p w14:paraId="3EC60A1E"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אלכסנדר השני עלה לכס המלוכה באדר תרט״ו, עם מות אביו; </w:t>
      </w:r>
      <w:proofErr w:type="spellStart"/>
      <w:r>
        <w:rPr>
          <w:sz w:val="20"/>
          <w:szCs w:val="20"/>
          <w:rtl/>
        </w:rPr>
        <w:t>בתרט״ז</w:t>
      </w:r>
      <w:proofErr w:type="spellEnd"/>
      <w:r>
        <w:rPr>
          <w:sz w:val="20"/>
          <w:szCs w:val="20"/>
          <w:rtl/>
        </w:rPr>
        <w:t xml:space="preserve"> נערך רק טקס הכתרתו.</w:t>
      </w:r>
    </w:p>
  </w:footnote>
  <w:footnote w:id="1512">
    <w:p w14:paraId="5579D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“קיצור תולדות ישראל בעת החדשה” מאת ד״ר שלמה הורוביץ (כרך א, מהדורה שנייה), הוצאת בית הספר הריאלי העברי בחיפה (תשי״ט), עמ׳ 101–102, לסיכום.</w:t>
      </w:r>
    </w:p>
  </w:footnote>
  <w:footnote w:id="1513">
    <w:p w14:paraId="7532BB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ו – עמ׳ 558 ו־556.</w:t>
      </w:r>
    </w:p>
  </w:footnote>
  <w:footnote w:id="1514">
    <w:p w14:paraId="3644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יעלאג</w:t>
      </w:r>
      <w:proofErr w:type="spellEnd"/>
      <w:r>
        <w:rPr>
          <w:sz w:val="20"/>
          <w:szCs w:val="20"/>
          <w:rtl/>
        </w:rPr>
        <w:t xml:space="preserve">: ראה פרק 1, הערה 1, ופרק 2, הפסקה </w:t>
      </w:r>
      <w:proofErr w:type="spellStart"/>
      <w:r>
        <w:rPr>
          <w:sz w:val="20"/>
          <w:szCs w:val="20"/>
          <w:rtl/>
        </w:rPr>
        <w:t>השתים־עשרה</w:t>
      </w:r>
      <w:proofErr w:type="spellEnd"/>
      <w:r>
        <w:rPr>
          <w:sz w:val="20"/>
          <w:szCs w:val="20"/>
          <w:rtl/>
        </w:rPr>
        <w:t xml:space="preserve"> בנספח א. הוא הגיע לפטרבורג </w:t>
      </w:r>
      <w:proofErr w:type="spellStart"/>
      <w:r>
        <w:rPr>
          <w:sz w:val="20"/>
          <w:szCs w:val="20"/>
          <w:rtl/>
        </w:rPr>
        <w:t>בתרל״ב</w:t>
      </w:r>
      <w:proofErr w:type="spellEnd"/>
      <w:r>
        <w:rPr>
          <w:sz w:val="20"/>
          <w:szCs w:val="20"/>
          <w:rtl/>
        </w:rPr>
        <w:t xml:space="preserve">, עשר שנים אחרי ר׳ </w:t>
      </w:r>
      <w:proofErr w:type="spellStart"/>
      <w:r>
        <w:rPr>
          <w:sz w:val="20"/>
          <w:szCs w:val="20"/>
          <w:rtl/>
        </w:rPr>
        <w:t>איצל׳ה</w:t>
      </w:r>
      <w:proofErr w:type="spellEnd"/>
      <w:r>
        <w:rPr>
          <w:sz w:val="20"/>
          <w:szCs w:val="20"/>
          <w:rtl/>
        </w:rPr>
        <w:t>.</w:t>
      </w:r>
    </w:p>
  </w:footnote>
  <w:footnote w:id="1515">
    <w:p w14:paraId="6C5D7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 הקהילה היהודית של פטרבורג עמד הברון </w:t>
      </w:r>
      <w:proofErr w:type="spellStart"/>
      <w:r>
        <w:rPr>
          <w:sz w:val="20"/>
          <w:szCs w:val="20"/>
          <w:rtl/>
        </w:rPr>
        <w:t>הוראס</w:t>
      </w:r>
      <w:proofErr w:type="spellEnd"/>
      <w:r>
        <w:rPr>
          <w:sz w:val="20"/>
          <w:szCs w:val="20"/>
          <w:rtl/>
        </w:rPr>
        <w:t xml:space="preserve"> </w:t>
      </w:r>
      <w:proofErr w:type="spellStart"/>
      <w:r>
        <w:rPr>
          <w:sz w:val="20"/>
          <w:szCs w:val="20"/>
          <w:rtl/>
        </w:rPr>
        <w:t>גינצבורג</w:t>
      </w:r>
      <w:proofErr w:type="spellEnd"/>
      <w:r>
        <w:rPr>
          <w:sz w:val="20"/>
          <w:szCs w:val="20"/>
          <w:rtl/>
        </w:rPr>
        <w:t xml:space="preserve">, שתמך </w:t>
      </w:r>
      <w:proofErr w:type="spellStart"/>
      <w:r>
        <w:rPr>
          <w:sz w:val="20"/>
          <w:szCs w:val="20"/>
          <w:rtl/>
        </w:rPr>
        <w:t>ביל״ג</w:t>
      </w:r>
      <w:proofErr w:type="spellEnd"/>
      <w:r>
        <w:rPr>
          <w:sz w:val="20"/>
          <w:szCs w:val="20"/>
          <w:rtl/>
        </w:rPr>
        <w:t xml:space="preserve"> כלכלית (ראה “למי אני עמל?”, עמ׳ 142 ו־205; ועוד על משפחת </w:t>
      </w:r>
      <w:proofErr w:type="spellStart"/>
      <w:r>
        <w:rPr>
          <w:sz w:val="20"/>
          <w:szCs w:val="20"/>
          <w:rtl/>
        </w:rPr>
        <w:t>גינצבורג</w:t>
      </w:r>
      <w:proofErr w:type="spellEnd"/>
      <w:r>
        <w:rPr>
          <w:sz w:val="20"/>
          <w:szCs w:val="20"/>
          <w:rtl/>
        </w:rPr>
        <w:t xml:space="preserve"> בפרק 4, הפסקה השנייה בנספח ח).</w:t>
      </w:r>
    </w:p>
  </w:footnote>
  <w:footnote w:id="1516">
    <w:p w14:paraId="59F149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התכוון לכך שיהודי פטרבורג השתמשו בשמות רוסיים, ולא בשמות יהודיים מסורתיים שאיותם ההלכתי הנכון כבר נפסק בידי הפוסקים בדורות קודמים. ר׳ </w:t>
      </w:r>
      <w:proofErr w:type="spellStart"/>
      <w:r>
        <w:rPr>
          <w:sz w:val="20"/>
          <w:szCs w:val="20"/>
          <w:rtl/>
        </w:rPr>
        <w:t>איצל׳ה</w:t>
      </w:r>
      <w:proofErr w:type="spellEnd"/>
      <w:r>
        <w:rPr>
          <w:sz w:val="20"/>
          <w:szCs w:val="20"/>
          <w:rtl/>
        </w:rPr>
        <w:t xml:space="preserve"> חשש שהאיות שיקבע לשמות החדשים לא יהיה מדויק. גט שאיות השמות בו אינו מדויק פסול, והאישה המקבלת אותו נשארת אשת איש כדין.</w:t>
      </w:r>
    </w:p>
  </w:footnote>
  <w:footnote w:id="1517">
    <w:p w14:paraId="18AA65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226.</w:t>
      </w:r>
    </w:p>
  </w:footnote>
  <w:footnote w:id="1518">
    <w:p w14:paraId="5C0FE8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תשל״ד – בנספח למהדורה מאוחרת יותר, ללא תאריך, עמ׳ ת.</w:t>
      </w:r>
    </w:p>
  </w:footnote>
  <w:footnote w:id="1519">
    <w:p w14:paraId="69546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סוף סעיף 2. והשווה גם כץ, “תנועת המוסר”, כרך ב, עמ׳ 421–422, על הסיפור המופלא על הצדיק שקנה את אכסנייתו של ר׳ </w:t>
      </w:r>
      <w:proofErr w:type="spellStart"/>
      <w:r>
        <w:rPr>
          <w:sz w:val="20"/>
          <w:szCs w:val="20"/>
          <w:rtl/>
        </w:rPr>
        <w:t>איצל׳ה</w:t>
      </w:r>
      <w:proofErr w:type="spellEnd"/>
      <w:r>
        <w:rPr>
          <w:sz w:val="20"/>
          <w:szCs w:val="20"/>
          <w:rtl/>
        </w:rPr>
        <w:t xml:space="preserve"> כשעזב את ליטא.</w:t>
      </w:r>
    </w:p>
  </w:footnote>
  <w:footnote w:id="1520">
    <w:p w14:paraId="6557B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לפי כץ </w:t>
      </w:r>
      <w:proofErr w:type="spellStart"/>
      <w:r>
        <w:rPr>
          <w:sz w:val="20"/>
          <w:szCs w:val="20"/>
          <w:rtl/>
        </w:rPr>
        <w:t>בתקפ״ד</w:t>
      </w:r>
      <w:proofErr w:type="spellEnd"/>
      <w:r>
        <w:rPr>
          <w:sz w:val="20"/>
          <w:szCs w:val="20"/>
          <w:rtl/>
        </w:rPr>
        <w:t xml:space="preserve"> (אך השווה את הפסקה הבאה), ונפטר </w:t>
      </w:r>
      <w:proofErr w:type="spellStart"/>
      <w:r>
        <w:rPr>
          <w:sz w:val="20"/>
          <w:szCs w:val="20"/>
          <w:rtl/>
        </w:rPr>
        <w:t>בתרנ״ח</w:t>
      </w:r>
      <w:proofErr w:type="spellEnd"/>
      <w:r>
        <w:rPr>
          <w:sz w:val="20"/>
          <w:szCs w:val="20"/>
          <w:rtl/>
        </w:rPr>
        <w:t>.</w:t>
      </w:r>
    </w:p>
  </w:footnote>
  <w:footnote w:id="1521">
    <w:p w14:paraId="716D06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2">
    <w:p w14:paraId="7E93F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“שרידי אש”, חלק ד׳, מאת הגאון רבי יעקב יחיאל </w:t>
      </w:r>
      <w:proofErr w:type="spellStart"/>
      <w:r>
        <w:rPr>
          <w:sz w:val="20"/>
          <w:szCs w:val="20"/>
          <w:rtl/>
        </w:rPr>
        <w:t>וויינבערג</w:t>
      </w:r>
      <w:proofErr w:type="spellEnd"/>
      <w:r>
        <w:rPr>
          <w:sz w:val="20"/>
          <w:szCs w:val="20"/>
          <w:rtl/>
        </w:rPr>
        <w:t xml:space="preserve"> זצ״ל (הוצאת מוסד הרב קוק, ירושלים, תשכ״ט), עמ׳ </w:t>
      </w:r>
      <w:proofErr w:type="spellStart"/>
      <w:r>
        <w:rPr>
          <w:sz w:val="20"/>
          <w:szCs w:val="20"/>
          <w:rtl/>
        </w:rPr>
        <w:t>רצג</w:t>
      </w:r>
      <w:proofErr w:type="spellEnd"/>
      <w:r>
        <w:rPr>
          <w:sz w:val="20"/>
          <w:szCs w:val="20"/>
          <w:rtl/>
        </w:rPr>
        <w:t>.</w:t>
      </w:r>
    </w:p>
  </w:footnote>
  <w:footnote w:id="1523">
    <w:p w14:paraId="0DAE0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“אור ישראל” (</w:t>
      </w:r>
      <w:proofErr w:type="spellStart"/>
      <w:r>
        <w:rPr>
          <w:sz w:val="20"/>
          <w:szCs w:val="20"/>
          <w:rtl/>
        </w:rPr>
        <w:t>וילנא</w:t>
      </w:r>
      <w:proofErr w:type="spellEnd"/>
      <w:r>
        <w:rPr>
          <w:sz w:val="20"/>
          <w:szCs w:val="20"/>
          <w:rtl/>
        </w:rPr>
        <w:t xml:space="preserve">, תר״ס), עמ׳ </w:t>
      </w:r>
      <w:proofErr w:type="spellStart"/>
      <w:r>
        <w:rPr>
          <w:sz w:val="20"/>
          <w:szCs w:val="20"/>
          <w:rtl/>
        </w:rPr>
        <w:t>טז</w:t>
      </w:r>
      <w:proofErr w:type="spellEnd"/>
      <w:r>
        <w:rPr>
          <w:sz w:val="20"/>
          <w:szCs w:val="20"/>
          <w:rtl/>
        </w:rPr>
        <w:t>.</w:t>
      </w:r>
    </w:p>
  </w:footnote>
  <w:footnote w:id="1524">
    <w:p w14:paraId="675DD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“תלמידו האהוב של ר׳ חיים </w:t>
      </w:r>
      <w:proofErr w:type="spellStart"/>
      <w:r>
        <w:rPr>
          <w:sz w:val="20"/>
          <w:szCs w:val="20"/>
          <w:rtl/>
        </w:rPr>
        <w:t>מוולוז׳ין</w:t>
      </w:r>
      <w:proofErr w:type="spellEnd"/>
      <w:r>
        <w:rPr>
          <w:sz w:val="20"/>
          <w:szCs w:val="20"/>
          <w:rtl/>
        </w:rPr>
        <w:t xml:space="preserve"> מסיבה לא ידועה” – כך העיד תלמיד מובהק אחר, ר׳ יעקב </w:t>
      </w:r>
      <w:proofErr w:type="spellStart"/>
      <w:r>
        <w:rPr>
          <w:sz w:val="20"/>
          <w:szCs w:val="20"/>
          <w:rtl/>
        </w:rPr>
        <w:t>מקרלין</w:t>
      </w:r>
      <w:proofErr w:type="spellEnd"/>
      <w:r>
        <w:rPr>
          <w:sz w:val="20"/>
          <w:szCs w:val="20"/>
          <w:rtl/>
        </w:rPr>
        <w:t xml:space="preserve">, מחבר “משכנות יעקב”, כפי שנרשם </w:t>
      </w:r>
      <w:proofErr w:type="spellStart"/>
      <w:r>
        <w:rPr>
          <w:sz w:val="20"/>
          <w:szCs w:val="20"/>
          <w:rtl/>
        </w:rPr>
        <w:t>ב“הצדיק</w:t>
      </w:r>
      <w:proofErr w:type="spellEnd"/>
      <w:r>
        <w:rPr>
          <w:sz w:val="20"/>
          <w:szCs w:val="20"/>
          <w:rtl/>
        </w:rPr>
        <w:t xml:space="preserve"> ר׳ יוסף </w:t>
      </w:r>
      <w:proofErr w:type="spellStart"/>
      <w:r>
        <w:rPr>
          <w:sz w:val="20"/>
          <w:szCs w:val="20"/>
          <w:rtl/>
        </w:rPr>
        <w:t>זונדל</w:t>
      </w:r>
      <w:proofErr w:type="spellEnd"/>
      <w:r>
        <w:rPr>
          <w:sz w:val="20"/>
          <w:szCs w:val="20"/>
          <w:rtl/>
        </w:rPr>
        <w:t xml:space="preserve"> </w:t>
      </w:r>
      <w:proofErr w:type="spellStart"/>
      <w:r>
        <w:rPr>
          <w:sz w:val="20"/>
          <w:szCs w:val="20"/>
          <w:rtl/>
        </w:rPr>
        <w:t>מסלאנט</w:t>
      </w:r>
      <w:proofErr w:type="spellEnd"/>
      <w:r>
        <w:rPr>
          <w:sz w:val="20"/>
          <w:szCs w:val="20"/>
          <w:rtl/>
        </w:rPr>
        <w:t xml:space="preserve"> ורבותיו” מאת אליעזר ריבלין (ירושלים, תשמ״ג), עמ׳ </w:t>
      </w:r>
      <w:proofErr w:type="spellStart"/>
      <w:r>
        <w:rPr>
          <w:sz w:val="20"/>
          <w:szCs w:val="20"/>
          <w:rtl/>
        </w:rPr>
        <w:t>קכט</w:t>
      </w:r>
      <w:proofErr w:type="spellEnd"/>
      <w:r>
        <w:rPr>
          <w:sz w:val="20"/>
          <w:szCs w:val="20"/>
          <w:rtl/>
        </w:rPr>
        <w:t xml:space="preserve">. ר׳ ישראל הושפע ממנו כשלמד </w:t>
      </w:r>
      <w:proofErr w:type="spellStart"/>
      <w:r>
        <w:rPr>
          <w:sz w:val="20"/>
          <w:szCs w:val="20"/>
          <w:rtl/>
        </w:rPr>
        <w:t>בסלנט</w:t>
      </w:r>
      <w:proofErr w:type="spellEnd"/>
      <w:r>
        <w:rPr>
          <w:sz w:val="20"/>
          <w:szCs w:val="20"/>
          <w:rtl/>
        </w:rPr>
        <w:t xml:space="preserve"> אצל רבה,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שהדריך אותו בתלמוד מגיל 12 – ראה (עמ׳ </w:t>
      </w:r>
      <w:r>
        <w:rPr>
          <w:sz w:val="20"/>
          <w:szCs w:val="20"/>
          <w:rtl/>
        </w:rPr>
        <w:fldChar w:fldCharType="begin" w:dirty="true"/>
      </w:r>
      <w:r>
        <w:rPr>
          <w:sz w:val="20"/>
          <w:szCs w:val="20"/>
          <w:rtl/>
        </w:rPr>
        <w:instrText xml:space="preserve"> PAGEREF pr_b_2476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 באותה עיר נשא ר׳ ישראל אישה בגיל 14, והמשיך ללמוד שם תורה 18 שנים, ואשתו ניהלה עסק ופרנסה את המשפחה. ראה כץ, “תנועת המוסר”, כרך א, עמ׳ 139–142.</w:t>
      </w:r>
    </w:p>
    <w:p w14:paraId="1754BAE6" w14:textId="77777777" w:rsidR="00AB3647" w:rsidRDefault="00000000">
      <w:pPr>
        <w:spacing w:after="0" w:before="0"/>
        <w:jc w:val="both"/>
      </w:pPr>
      <w:r>
        <w:rPr>
          <w:sz w:val="20"/>
          <w:szCs w:val="20"/>
          <w:rtl/>
        </w:rPr>
        <w:t xml:space="preserve">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היה בקשר עם ר׳ עקיבא איגר, והורה לתלמידו ר׳ ישראל, בן ה־14, לשלוח אליו חוברת חידושים; על תגובתו המעניינת של ר׳ עקיבא איגר ראה שם, עמ׳ 140–141. ר׳ חיים </w:t>
      </w:r>
      <w:proofErr w:type="spellStart"/>
      <w:r>
        <w:rPr>
          <w:sz w:val="20"/>
          <w:szCs w:val="20"/>
          <w:rtl/>
        </w:rPr>
        <w:t>סרנא</w:t>
      </w:r>
      <w:proofErr w:type="spellEnd"/>
      <w:r>
        <w:rPr>
          <w:sz w:val="20"/>
          <w:szCs w:val="20"/>
          <w:rtl/>
        </w:rPr>
        <w:t xml:space="preserve"> מסר ב־28 באפריל 2000 ששמע מפי ר׳ יוסף </w:t>
      </w:r>
      <w:proofErr w:type="spellStart"/>
      <w:r>
        <w:rPr>
          <w:sz w:val="20"/>
          <w:szCs w:val="20"/>
          <w:rtl/>
        </w:rPr>
        <w:t>שרשבסקי</w:t>
      </w:r>
      <w:proofErr w:type="spellEnd"/>
      <w:r>
        <w:rPr>
          <w:sz w:val="20"/>
          <w:szCs w:val="20"/>
          <w:rtl/>
        </w:rPr>
        <w:t xml:space="preserve"> – בן תשעים, שבא לארץ ישראל אחרי שכיהן כראש הקהל של סלונים – שמוניטין של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היו כאלה, שתלמידי ישיבת </w:t>
      </w:r>
      <w:proofErr w:type="spellStart"/>
      <w:r>
        <w:rPr>
          <w:sz w:val="20"/>
          <w:szCs w:val="20"/>
          <w:rtl/>
        </w:rPr>
        <w:t>וולוז׳ין</w:t>
      </w:r>
      <w:proofErr w:type="spellEnd"/>
      <w:r>
        <w:rPr>
          <w:sz w:val="20"/>
          <w:szCs w:val="20"/>
          <w:rtl/>
        </w:rPr>
        <w:t xml:space="preserve"> (ור׳ יוסף למד שם) לא היו בטוחים מי גדול יותר בתורה,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או ר׳ עקיבא איגר! כץ, שם, עמ׳ 139, מציין שר׳ עקיבא איגר היה מכנה את ר׳ </w:t>
      </w:r>
      <w:proofErr w:type="spellStart"/>
      <w:r>
        <w:rPr>
          <w:sz w:val="20"/>
          <w:szCs w:val="20"/>
          <w:rtl/>
        </w:rPr>
        <w:t>צבי־הירש</w:t>
      </w:r>
      <w:proofErr w:type="spellEnd"/>
      <w:r>
        <w:rPr>
          <w:sz w:val="20"/>
          <w:szCs w:val="20"/>
          <w:rtl/>
        </w:rPr>
        <w:t xml:space="preserve"> “הרבי הגדול ר׳ הירש”.</w:t>
      </w:r>
    </w:p>
  </w:footnote>
  <w:footnote w:id="1525">
    <w:p w14:paraId="2892CB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י.</w:t>
      </w:r>
    </w:p>
  </w:footnote>
  <w:footnote w:id="1526">
    <w:p w14:paraId="228CD5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“אור ישראל”, עמ׳ 124: גם ר׳ נפתלי אמסטרדם הבין את האמרה כהוראה. יעקב מארק (שם, פרק 1, הערה 13), עמ׳ 72, מחטיא לגמרי את העניין כשהוא מעביר ליידיש את המילים שצוטטו לעיל </w:t>
      </w:r>
      <w:proofErr w:type="spellStart"/>
      <w:r>
        <w:rPr>
          <w:sz w:val="20"/>
          <w:szCs w:val="20"/>
          <w:rtl/>
        </w:rPr>
        <w:t>מ“אור</w:t>
      </w:r>
      <w:proofErr w:type="spellEnd"/>
      <w:r>
        <w:rPr>
          <w:sz w:val="20"/>
          <w:szCs w:val="20"/>
          <w:rtl/>
        </w:rPr>
        <w:t xml:space="preserve"> ישראל” – “לערן מוסר און </w:t>
      </w:r>
      <w:proofErr w:type="spellStart"/>
      <w:r>
        <w:rPr>
          <w:sz w:val="20"/>
          <w:szCs w:val="20"/>
          <w:rtl/>
        </w:rPr>
        <w:t>זיי</w:t>
      </w:r>
      <w:proofErr w:type="spellEnd"/>
      <w:r>
        <w:rPr>
          <w:sz w:val="20"/>
          <w:szCs w:val="20"/>
          <w:rtl/>
        </w:rPr>
        <w:t xml:space="preserve"> א ירא שמים” (למד מוסר והיה ירא שמים) – כאילו הטיל ר׳ </w:t>
      </w:r>
      <w:proofErr w:type="spellStart"/>
      <w:r>
        <w:rPr>
          <w:sz w:val="20"/>
          <w:szCs w:val="20"/>
          <w:rtl/>
        </w:rPr>
        <w:t>יוסף־זונדל</w:t>
      </w:r>
      <w:proofErr w:type="spellEnd"/>
      <w:r>
        <w:rPr>
          <w:sz w:val="20"/>
          <w:szCs w:val="20"/>
          <w:rtl/>
        </w:rPr>
        <w:t xml:space="preserve"> על ר׳ ישראל הצעיר שתי הוראות נפרדות.</w:t>
      </w:r>
    </w:p>
  </w:footnote>
  <w:footnote w:id="1527">
    <w:p w14:paraId="0FD47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סעיף 2, על ר׳ נפתלי אמסטרדם.</w:t>
      </w:r>
    </w:p>
  </w:footnote>
  <w:footnote w:id="1528">
    <w:p w14:paraId="64F4B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293.</w:t>
      </w:r>
    </w:p>
  </w:footnote>
  <w:footnote w:id="1529">
    <w:p w14:paraId="1A8EB2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עמ׳ 64.</w:t>
      </w:r>
    </w:p>
  </w:footnote>
  <w:footnote w:id="1530">
    <w:p w14:paraId="6F5C7D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(שם, פרק 2, נספח ו), עמ׳ 120.</w:t>
      </w:r>
    </w:p>
  </w:footnote>
  <w:footnote w:id="1531">
    <w:p w14:paraId="4A4C9B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השלישית בנספח ד – עמ׳ 9, והשווה את המקורות בהערות השוליים בעמ׳ 18 שם.</w:t>
      </w:r>
    </w:p>
  </w:footnote>
  <w:footnote w:id="1532">
    <w:p w14:paraId="77F17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את הפסקה השלישית בנספח יד להלן.</w:t>
      </w:r>
    </w:p>
  </w:footnote>
  <w:footnote w:id="1533">
    <w:p w14:paraId="068FD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נרשם בעמ׳ 46 של רשימותיו של ר׳ משה גרוסמן (פרק 2, הערה 94) ומתוארך לערב כ״ה באב תשמ״א.</w:t>
      </w:r>
    </w:p>
  </w:footnote>
  <w:footnote w:id="1534">
    <w:p w14:paraId="56C18D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ב“הגאון</w:t>
      </w:r>
      <w:proofErr w:type="spellEnd"/>
      <w:r>
        <w:rPr>
          <w:sz w:val="20"/>
          <w:szCs w:val="20"/>
          <w:rtl/>
        </w:rPr>
        <w:t xml:space="preserve"> רבי אליעזר גורדון זצ״ל” מאת הרב זאב אריה </w:t>
      </w:r>
      <w:proofErr w:type="spellStart"/>
      <w:r>
        <w:rPr>
          <w:sz w:val="20"/>
          <w:szCs w:val="20"/>
          <w:rtl/>
        </w:rPr>
        <w:t>רבינר</w:t>
      </w:r>
      <w:proofErr w:type="spellEnd"/>
      <w:r>
        <w:rPr>
          <w:sz w:val="20"/>
          <w:szCs w:val="20"/>
          <w:rtl/>
        </w:rPr>
        <w:t xml:space="preserve"> (תשכ״ח), עמ׳ </w:t>
      </w:r>
      <w:proofErr w:type="spellStart"/>
      <w:r>
        <w:rPr>
          <w:sz w:val="20"/>
          <w:szCs w:val="20"/>
          <w:rtl/>
        </w:rPr>
        <w:t>קיב</w:t>
      </w:r>
      <w:proofErr w:type="spellEnd"/>
      <w:r>
        <w:rPr>
          <w:sz w:val="20"/>
          <w:szCs w:val="20"/>
          <w:rtl/>
        </w:rPr>
        <w:t>.</w:t>
      </w:r>
    </w:p>
  </w:footnote>
  <w:footnote w:id="1535">
    <w:p w14:paraId="5A6F8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w:t>
      </w:r>
    </w:p>
  </w:footnote>
  <w:footnote w:id="1536">
    <w:p w14:paraId="0416C2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לח.</w:t>
      </w:r>
    </w:p>
  </w:footnote>
  <w:footnote w:id="1537">
    <w:p w14:paraId="784152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לז</w:t>
      </w:r>
      <w:proofErr w:type="spellEnd"/>
      <w:r>
        <w:rPr>
          <w:sz w:val="20"/>
          <w:szCs w:val="20"/>
          <w:rtl/>
        </w:rPr>
        <w:t>.</w:t>
      </w:r>
    </w:p>
  </w:footnote>
  <w:footnote w:id="1538">
    <w:p w14:paraId="7CFEF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פרק 4, הפסקה השנייה בנספח יא; ונספח </w:t>
      </w:r>
      <w:proofErr w:type="spellStart"/>
      <w:r>
        <w:rPr>
          <w:sz w:val="20"/>
          <w:szCs w:val="20"/>
          <w:rtl/>
        </w:rPr>
        <w:t>יז</w:t>
      </w:r>
      <w:proofErr w:type="spellEnd"/>
      <w:r>
        <w:rPr>
          <w:sz w:val="20"/>
          <w:szCs w:val="20"/>
          <w:rtl/>
        </w:rPr>
        <w:t xml:space="preserve"> להלן.</w:t>
      </w:r>
    </w:p>
  </w:footnote>
  <w:footnote w:id="1539">
    <w:p w14:paraId="5B63BF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לה, לו, </w:t>
      </w:r>
      <w:proofErr w:type="spellStart"/>
      <w:r>
        <w:rPr>
          <w:sz w:val="20"/>
          <w:szCs w:val="20"/>
          <w:rtl/>
        </w:rPr>
        <w:t>לז</w:t>
      </w:r>
      <w:proofErr w:type="spellEnd"/>
      <w:r>
        <w:rPr>
          <w:sz w:val="20"/>
          <w:szCs w:val="20"/>
          <w:rtl/>
        </w:rPr>
        <w:t>.</w:t>
      </w:r>
    </w:p>
  </w:footnote>
  <w:footnote w:id="1540">
    <w:p w14:paraId="1CC36E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2, סוף הערה 93.</w:t>
      </w:r>
    </w:p>
  </w:footnote>
  <w:footnote w:id="1541">
    <w:p w14:paraId="106D4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מוסד הרב קוק, ירושלים, תשל״א – עמ׳ 271.</w:t>
      </w:r>
    </w:p>
  </w:footnote>
  <w:footnote w:id="1542">
    <w:p w14:paraId="4AFBA2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1994.</w:t>
      </w:r>
    </w:p>
  </w:footnote>
  <w:footnote w:id="1543">
    <w:p w14:paraId="329602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“מפעל תורה מציון”, ירושלים, תשל״ה – עמ׳ </w:t>
      </w:r>
      <w:proofErr w:type="spellStart"/>
      <w:r>
        <w:rPr>
          <w:sz w:val="20"/>
          <w:szCs w:val="20"/>
          <w:rtl/>
        </w:rPr>
        <w:t>רלט</w:t>
      </w:r>
      <w:proofErr w:type="spellEnd"/>
      <w:r>
        <w:rPr>
          <w:sz w:val="20"/>
          <w:szCs w:val="20"/>
          <w:rtl/>
        </w:rPr>
        <w:t>–רם.</w:t>
      </w:r>
    </w:p>
  </w:footnote>
  <w:footnote w:id="1544">
    <w:p w14:paraId="3FEA1D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הצדיק סירב להזמנה וחזה שהגאון עצמו יחזור.</w:t>
      </w:r>
    </w:p>
  </w:footnote>
  <w:footnote w:id="1545">
    <w:p w14:paraId="1385F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שנא, “השלמות ותיקונים” לעמוד ט״ז, הערה כ.</w:t>
      </w:r>
    </w:p>
  </w:footnote>
  <w:footnote w:id="1546">
    <w:p w14:paraId="148606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xml:space="preserve">, תר״ע – אות ה. ראה על ייחודיות חיבורו של ספר זה בנספח א לעיל.</w:t>
      </w:r>
    </w:p>
  </w:footnote>
  <w:footnote w:id="1547">
    <w:p w14:paraId="74AC02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12.</w:t>
      </w:r>
    </w:p>
  </w:footnote>
  <w:footnote w:id="1548">
    <w:p w14:paraId="05D68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 על מי שאבי ראה כגדול בשלושה.</w:t>
      </w:r>
    </w:p>
  </w:footnote>
  <w:footnote w:id="1549">
    <w:p w14:paraId="1155D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לו להלן.</w:t>
      </w:r>
    </w:p>
  </w:footnote>
  <w:footnote w:id="1550">
    <w:p w14:paraId="24DC3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איוב לב, ט.</w:t>
      </w:r>
    </w:p>
  </w:footnote>
  <w:footnote w:id="1551">
    <w:p w14:paraId="307A06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הובא בפתחי תשובה יו״ד סי׳ </w:t>
      </w:r>
      <w:proofErr w:type="spellStart"/>
      <w:r>
        <w:rPr>
          <w:sz w:val="20"/>
          <w:szCs w:val="20"/>
          <w:rtl/>
        </w:rPr>
        <w:t>שד״ם</w:t>
      </w:r>
      <w:proofErr w:type="spellEnd"/>
      <w:r>
        <w:rPr>
          <w:sz w:val="20"/>
          <w:szCs w:val="20"/>
          <w:rtl/>
        </w:rPr>
        <w:t xml:space="preserve"> אות א׳. ראה תחילת פרק 1.1.</w:t>
      </w:r>
    </w:p>
  </w:footnote>
  <w:footnote w:id="1552">
    <w:p w14:paraId="545079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258. בהספדו בישיבת </w:t>
      </w:r>
      <w:proofErr w:type="spellStart"/>
      <w:r>
        <w:rPr>
          <w:sz w:val="20"/>
          <w:szCs w:val="20"/>
          <w:rtl/>
        </w:rPr>
        <w:t>פוניבז</w:t>
      </w:r>
      <w:proofErr w:type="spellEnd"/>
      <w:r>
        <w:rPr>
          <w:sz w:val="20"/>
          <w:szCs w:val="20"/>
          <w:rtl/>
        </w:rPr>
        <w:t xml:space="preserve">׳ על הרב </w:t>
      </w:r>
      <w:proofErr w:type="spellStart"/>
      <w:r>
        <w:rPr>
          <w:sz w:val="20"/>
          <w:szCs w:val="20"/>
          <w:rtl/>
        </w:rPr>
        <w:t>מסטיפולה</w:t>
      </w:r>
      <w:proofErr w:type="spellEnd"/>
      <w:r>
        <w:rPr>
          <w:sz w:val="20"/>
          <w:szCs w:val="20"/>
          <w:rtl/>
        </w:rPr>
        <w:t xml:space="preserve"> בכלות ימי השבעה, סיפר הרב ר׳ מנחם מן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גם הספיד את ר׳ </w:t>
      </w:r>
      <w:proofErr w:type="spellStart"/>
      <w:r>
        <w:rPr>
          <w:sz w:val="20"/>
          <w:szCs w:val="20"/>
          <w:rtl/>
        </w:rPr>
        <w:t xml:space="preserve">איצל׳ה</w:t>
      </w:r>
      <w:proofErr w:type="spellEnd"/>
      <w:r>
        <w:rPr>
          <w:sz w:val="20"/>
          <w:szCs w:val="20"/>
          <w:rtl/>
        </w:rPr>
        <w:t xml:space="preserve"> מפטרבורג נגד צוואתו, באמרו שרב יכול למחול על כבוד תורתו שלמד כבר מפני שתורה דילי’ היא, אבל על התורה שהיה ראוי ללמוד וללמד בעתיד, איננו יכול למחול (לפי קובץ “השקפתנו” [בני ברק, תשמ״ה], עמ׳ קנח). וגם עיין כוכבי אור בסוף ההקדמה מתולדותיו של ר׳ </w:t>
      </w:r>
      <w:proofErr w:type="spellStart"/>
      <w:r>
        <w:rPr>
          <w:sz w:val="20"/>
          <w:szCs w:val="20"/>
          <w:rtl/>
        </w:rPr>
        <w:t xml:space="preserve">איצל׳ה</w:t>
      </w:r>
      <w:proofErr w:type="spellEnd"/>
      <w:r>
        <w:rPr>
          <w:sz w:val="20"/>
          <w:szCs w:val="20"/>
          <w:rtl/>
        </w:rPr>
        <w:t xml:space="preserve">, שר׳ שמואל </w:t>
      </w:r>
      <w:proofErr w:type="spellStart"/>
      <w:r>
        <w:rPr>
          <w:sz w:val="20"/>
          <w:szCs w:val="20"/>
          <w:rtl/>
        </w:rPr>
        <w:t>סלנט</w:t>
      </w:r>
      <w:proofErr w:type="spellEnd"/>
      <w:r>
        <w:rPr>
          <w:sz w:val="20"/>
          <w:szCs w:val="20"/>
          <w:rtl/>
        </w:rPr>
        <w:t xml:space="preserve"> הכריע שלא </w:t>
      </w:r>
      <w:proofErr w:type="spellStart"/>
      <w:r>
        <w:rPr>
          <w:sz w:val="20"/>
          <w:szCs w:val="20"/>
          <w:rtl/>
        </w:rPr>
        <w:t>לספדו</w:t>
      </w:r>
      <w:proofErr w:type="spellEnd"/>
      <w:r>
        <w:rPr>
          <w:sz w:val="20"/>
          <w:szCs w:val="20"/>
          <w:rtl/>
        </w:rPr>
        <w:t xml:space="preserve"> ואעפ״כ הספידו ר׳ חיים ברלין בפניו באמרו שבכי מותר, ואח״כ בא לו הנפטר בחלום והודה לו שלא פירט שבחים עליו. ועיין בספר שמושה של תורה, ע׳ </w:t>
      </w:r>
      <w:proofErr w:type="spellStart"/>
      <w:r>
        <w:rPr>
          <w:sz w:val="20"/>
          <w:szCs w:val="20"/>
          <w:rtl/>
        </w:rPr>
        <w:t>קכא</w:t>
      </w:r>
      <w:proofErr w:type="spellEnd"/>
      <w:r>
        <w:rPr>
          <w:sz w:val="20"/>
          <w:szCs w:val="20"/>
          <w:rtl/>
        </w:rPr>
        <w:t xml:space="preserve">, שמביא בשם ר׳ </w:t>
      </w:r>
      <w:proofErr w:type="spellStart"/>
      <w:r>
        <w:rPr>
          <w:sz w:val="20"/>
          <w:szCs w:val="20"/>
          <w:rtl/>
        </w:rPr>
        <w:t>אלעזר־מנחם־מן</w:t>
      </w:r>
      <w:proofErr w:type="spellEnd"/>
      <w:r>
        <w:rPr>
          <w:sz w:val="20"/>
          <w:szCs w:val="20"/>
          <w:rtl/>
        </w:rPr>
        <w:t xml:space="preserve"> שך שר׳ </w:t>
      </w:r>
      <w:proofErr w:type="spellStart"/>
      <w:r>
        <w:rPr>
          <w:sz w:val="20"/>
          <w:szCs w:val="20"/>
          <w:rtl/>
        </w:rPr>
        <w:t xml:space="preserve">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השתמש בהיתר שהובא לעיל בשם ר׳ </w:t>
      </w:r>
      <w:proofErr w:type="spellStart"/>
      <w:r>
        <w:rPr>
          <w:sz w:val="20"/>
          <w:szCs w:val="20"/>
          <w:rtl/>
        </w:rPr>
        <w:t>אברהם־יצחק</w:t>
      </w:r>
      <w:proofErr w:type="spellEnd"/>
      <w:r>
        <w:rPr>
          <w:sz w:val="20"/>
          <w:szCs w:val="20"/>
          <w:rtl/>
        </w:rPr>
        <w:t xml:space="preserve"> קוק כדי להספיד את ר׳ </w:t>
      </w:r>
      <w:proofErr w:type="spellStart"/>
      <w:r>
        <w:rPr>
          <w:sz w:val="20"/>
          <w:szCs w:val="20"/>
          <w:rtl/>
        </w:rPr>
        <w:t xml:space="preserve">איצל׳ה</w:t>
      </w:r>
      <w:proofErr w:type="spellEnd"/>
      <w:r>
        <w:rPr>
          <w:sz w:val="20"/>
          <w:szCs w:val="20"/>
          <w:rtl/>
        </w:rPr>
        <w:t xml:space="preserve"> (וזה לא כמו שהעתיקו בקובץ “השקפתנו” הנ״ל).</w:t>
      </w:r>
    </w:p>
  </w:footnote>
  <w:footnote w:id="1553">
    <w:p w14:paraId="2E4AB4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ג׳ואיש</w:t>
      </w:r>
      <w:proofErr w:type="spellEnd"/>
      <w:r>
        <w:rPr>
          <w:sz w:val="20"/>
          <w:szCs w:val="20"/>
          <w:rtl/>
        </w:rPr>
        <w:t xml:space="preserve"> </w:t>
      </w:r>
      <w:proofErr w:type="spellStart"/>
      <w:r>
        <w:rPr>
          <w:sz w:val="20"/>
          <w:szCs w:val="20"/>
          <w:rtl/>
        </w:rPr>
        <w:t>אובזרבר</w:t>
      </w:r>
      <w:proofErr w:type="spellEnd"/>
      <w:r>
        <w:rPr>
          <w:sz w:val="20"/>
          <w:szCs w:val="20"/>
          <w:rtl/>
        </w:rPr>
        <w:t>”, ניסן תשנ״ז, עמ׳ 24.</w:t>
      </w:r>
    </w:p>
  </w:footnote>
  <w:footnote w:id="1554">
    <w:p w14:paraId="02FC56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w:t>
      </w:r>
    </w:p>
  </w:footnote>
  <w:footnote w:id="1555">
    <w:p w14:paraId="25A02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30,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206.</w:t>
      </w:r>
    </w:p>
  </w:footnote>
  <w:footnote w:id="1556">
    <w:p w14:paraId="0B52EF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57">
    <w:p w14:paraId="07C85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של הפגישה הראשונה של הסבא מקלם עם ר׳ ישראל בנסיעת רכבת ללייפציג במאמר מאת פסח מרקוס בשם “מדרש </w:t>
      </w:r>
      <w:proofErr w:type="spellStart"/>
      <w:r>
        <w:rPr>
          <w:sz w:val="20"/>
          <w:szCs w:val="20"/>
          <w:rtl/>
        </w:rPr>
        <w:t>קאוונער</w:t>
      </w:r>
      <w:proofErr w:type="spellEnd"/>
      <w:r>
        <w:rPr>
          <w:sz w:val="20"/>
          <w:szCs w:val="20"/>
          <w:rtl/>
        </w:rPr>
        <w:t xml:space="preserve">” (להלן: מרקוס), </w:t>
      </w:r>
      <w:proofErr w:type="spellStart"/>
      <w:r>
        <w:rPr>
          <w:sz w:val="20"/>
          <w:szCs w:val="20"/>
          <w:rtl/>
        </w:rPr>
        <w:t>ב“ליטע</w:t>
      </w:r>
      <w:proofErr w:type="spellEnd"/>
      <w:r>
        <w:rPr>
          <w:sz w:val="20"/>
          <w:szCs w:val="20"/>
          <w:rtl/>
        </w:rPr>
        <w:t>”, עמ׳ 663–686 – הוא בדוי.</w:t>
      </w:r>
    </w:p>
  </w:footnote>
  <w:footnote w:id="1558">
    <w:p w14:paraId="2B2B4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w:t>
      </w:r>
      <w:proofErr w:type="spellStart"/>
      <w:r>
        <w:rPr>
          <w:sz w:val="20"/>
          <w:szCs w:val="20"/>
          <w:rtl/>
        </w:rPr>
        <w:t>רכא</w:t>
      </w:r>
      <w:proofErr w:type="spellEnd"/>
      <w:r>
        <w:rPr>
          <w:sz w:val="20"/>
          <w:szCs w:val="20"/>
          <w:rtl/>
        </w:rPr>
        <w:t>.</w:t>
      </w:r>
    </w:p>
  </w:footnote>
  <w:footnote w:id="1559">
    <w:p w14:paraId="36F66E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ישעיה זינגר (נספח א לעיל).</w:t>
      </w:r>
    </w:p>
  </w:footnote>
  <w:footnote w:id="1560">
    <w:p w14:paraId="26E89E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רכא</w:t>
      </w:r>
      <w:proofErr w:type="spellEnd"/>
      <w:r>
        <w:rPr>
          <w:sz w:val="20"/>
          <w:szCs w:val="20"/>
          <w:rtl/>
        </w:rPr>
        <w:t>–רכב.</w:t>
      </w:r>
    </w:p>
  </w:footnote>
  <w:footnote w:id="1561">
    <w:p w14:paraId="45191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בסוף הערת השוליים </w:t>
      </w:r>
      <w:r>
        <w:rPr>
          <w:rStyle w:val="a5"/>
          <w:sz w:val="20"/>
          <w:szCs w:val="20"/>
          <w:vertAlign w:val="baseline"/>
          <w:rtl/>
        </w:rPr>
        <w:fldChar w:fldCharType="begin" w:dirty="true"/>
      </w:r>
      <w:r>
        <w:rPr>
          <w:rStyle w:val="a5"/>
          <w:sz w:val="20"/>
          <w:szCs w:val="20"/>
          <w:vertAlign w:val="baseline"/>
          <w:rtl/>
        </w:rPr>
        <w:instrText xml:space="preserve"> NOTEREF pr_f_1367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412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pr_f_1367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562">
    <w:p w14:paraId="6FA31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כרך ג, עמ׳ 225.</w:t>
      </w:r>
    </w:p>
  </w:footnote>
  <w:footnote w:id="1563">
    <w:p w14:paraId="5E5327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95.</w:t>
      </w:r>
    </w:p>
  </w:footnote>
  <w:footnote w:id="1564">
    <w:p w14:paraId="370F4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מיומן </w:t>
      </w:r>
      <w:proofErr w:type="spellStart"/>
      <w:r>
        <w:rPr>
          <w:sz w:val="20"/>
          <w:szCs w:val="20"/>
          <w:rtl/>
        </w:rPr>
        <w:t>האדר״ת</w:t>
      </w:r>
      <w:proofErr w:type="spellEnd"/>
      <w:r>
        <w:rPr>
          <w:sz w:val="20"/>
          <w:szCs w:val="20"/>
          <w:rtl/>
        </w:rPr>
        <w:t xml:space="preserve">, “סדר אליהו” (שם, פרק 1, נספח ו), עמ׳ 89–90, שם מאשים </w:t>
      </w:r>
      <w:proofErr w:type="spellStart"/>
      <w:r>
        <w:rPr>
          <w:sz w:val="20"/>
          <w:szCs w:val="20"/>
          <w:rtl/>
        </w:rPr>
        <w:t>האדר״ת</w:t>
      </w:r>
      <w:proofErr w:type="spellEnd"/>
      <w:r>
        <w:rPr>
          <w:sz w:val="20"/>
          <w:szCs w:val="20"/>
          <w:rtl/>
        </w:rPr>
        <w:t xml:space="preserve"> דווקא את ר׳ </w:t>
      </w:r>
      <w:proofErr w:type="spellStart"/>
      <w:r>
        <w:rPr>
          <w:sz w:val="20"/>
          <w:szCs w:val="20"/>
          <w:rtl/>
        </w:rPr>
        <w:t>לייזר־יעקב</w:t>
      </w:r>
      <w:proofErr w:type="spellEnd"/>
      <w:r>
        <w:rPr>
          <w:sz w:val="20"/>
          <w:szCs w:val="20"/>
          <w:rtl/>
        </w:rPr>
        <w:t xml:space="preserve"> (!) </w:t>
      </w:r>
      <w:proofErr w:type="spellStart"/>
      <w:r>
        <w:rPr>
          <w:sz w:val="20"/>
          <w:szCs w:val="20"/>
          <w:rtl/>
        </w:rPr>
        <w:t>ב“מניעים</w:t>
      </w:r>
      <w:proofErr w:type="spellEnd"/>
      <w:r>
        <w:rPr>
          <w:sz w:val="20"/>
          <w:szCs w:val="20"/>
          <w:rtl/>
        </w:rPr>
        <w:t xml:space="preserve"> שאינם ‘לשם שמים’” משום ששלח בלי רשות מברק בשם </w:t>
      </w:r>
      <w:proofErr w:type="spellStart"/>
      <w:r>
        <w:rPr>
          <w:sz w:val="20"/>
          <w:szCs w:val="20"/>
          <w:rtl/>
        </w:rPr>
        <w:t>האדר״ת</w:t>
      </w:r>
      <w:proofErr w:type="spellEnd"/>
      <w:r>
        <w:rPr>
          <w:sz w:val="20"/>
          <w:szCs w:val="20"/>
          <w:rtl/>
        </w:rPr>
        <w:t xml:space="preserve"> כדי להזמין את יוזם התוכנית, ר׳ לייזר גורדון, להשתתף בפגישה.</w:t>
      </w:r>
    </w:p>
  </w:footnote>
  <w:footnote w:id="1565">
    <w:p w14:paraId="5FDC6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 הערה 5.</w:t>
      </w:r>
    </w:p>
  </w:footnote>
  <w:footnote w:id="1566">
    <w:p w14:paraId="248AB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הרב זינגר, </w:t>
      </w:r>
      <w:proofErr w:type="spellStart"/>
      <w:r>
        <w:rPr>
          <w:sz w:val="20"/>
          <w:szCs w:val="20"/>
          <w:rtl/>
        </w:rPr>
        <w:t>נינו</w:t>
      </w:r>
      <w:proofErr w:type="spellEnd"/>
      <w:r>
        <w:rPr>
          <w:sz w:val="20"/>
          <w:szCs w:val="20"/>
          <w:rtl/>
        </w:rPr>
        <w:t xml:space="preserve"> של ר׳ נפתלי </w:t>
      </w:r>
      <w:proofErr w:type="spellStart"/>
      <w:r>
        <w:rPr>
          <w:sz w:val="20"/>
          <w:szCs w:val="20"/>
          <w:rtl/>
        </w:rPr>
        <w:t>טרופ</w:t>
      </w:r>
      <w:proofErr w:type="spellEnd"/>
      <w:r>
        <w:rPr>
          <w:sz w:val="20"/>
          <w:szCs w:val="20"/>
          <w:rtl/>
        </w:rPr>
        <w:t xml:space="preserve">, נחשב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למבצע הוראותיו של ר׳ ישראל </w:t>
      </w:r>
      <w:proofErr w:type="spellStart"/>
      <w:r>
        <w:rPr>
          <w:sz w:val="20"/>
          <w:szCs w:val="20"/>
          <w:rtl/>
        </w:rPr>
        <w:t>סלנטר</w:t>
      </w:r>
      <w:proofErr w:type="spellEnd"/>
      <w:r>
        <w:rPr>
          <w:sz w:val="20"/>
          <w:szCs w:val="20"/>
          <w:rtl/>
        </w:rPr>
        <w:t>: שני המפעלים – החזקת שתדלן בסנט פטרבורג, והפעולה לעורר התערבות ציבורית מחוץ לרוסיה נגד המשטר הצארי האנטישמי – היו חביבים על ר׳ ישראל. ראה כץ, “תנועת המוסר”, כרך א, עמ׳ 201–203.</w:t>
      </w:r>
    </w:p>
  </w:footnote>
  <w:footnote w:id="1567">
    <w:p w14:paraId="79AE58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1568">
    <w:p w14:paraId="3077C2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גיליון אייר תש״ז של “תבונה” (שם, פרק 2, הערה 20), עמ׳ </w:t>
      </w:r>
      <w:proofErr w:type="spellStart"/>
      <w:r>
        <w:rPr>
          <w:sz w:val="20"/>
          <w:szCs w:val="20"/>
          <w:rtl/>
        </w:rPr>
        <w:t>קז</w:t>
      </w:r>
      <w:proofErr w:type="spellEnd"/>
      <w:r>
        <w:rPr>
          <w:sz w:val="20"/>
          <w:szCs w:val="20"/>
          <w:rtl/>
        </w:rPr>
        <w:t>.</w:t>
      </w:r>
    </w:p>
  </w:footnote>
  <w:footnote w:id="1569">
    <w:p w14:paraId="7D5B70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412–413.</w:t>
      </w:r>
    </w:p>
  </w:footnote>
  <w:footnote w:id="1570">
    <w:p w14:paraId="3805C4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34 בספרו של כץ, “תנועת המוסר”, כרך ב, מוקדש </w:t>
      </w:r>
      <w:proofErr w:type="spellStart"/>
      <w:r>
        <w:rPr>
          <w:sz w:val="20"/>
          <w:szCs w:val="20"/>
          <w:rtl/>
        </w:rPr>
        <w:t>לר</w:t>
      </w:r>
      <w:proofErr w:type="spellEnd"/>
      <w:r>
        <w:rPr>
          <w:sz w:val="20"/>
          <w:szCs w:val="20"/>
          <w:rtl/>
        </w:rPr>
        <w:t xml:space="preserve">׳ </w:t>
      </w:r>
      <w:proofErr w:type="spellStart"/>
      <w:r>
        <w:rPr>
          <w:sz w:val="20"/>
          <w:szCs w:val="20"/>
          <w:rtl/>
        </w:rPr>
        <w:t>הירשל׳ה</w:t>
      </w:r>
      <w:proofErr w:type="spellEnd"/>
      <w:r>
        <w:rPr>
          <w:sz w:val="20"/>
          <w:szCs w:val="20"/>
          <w:rtl/>
        </w:rPr>
        <w:t xml:space="preserve"> </w:t>
      </w:r>
      <w:proofErr w:type="spellStart"/>
      <w:r>
        <w:rPr>
          <w:sz w:val="20"/>
          <w:szCs w:val="20"/>
          <w:rtl/>
        </w:rPr>
        <w:t>לויטן</w:t>
      </w:r>
      <w:proofErr w:type="spellEnd"/>
      <w:r>
        <w:rPr>
          <w:sz w:val="20"/>
          <w:szCs w:val="20"/>
          <w:rtl/>
        </w:rPr>
        <w:t>.</w:t>
      </w:r>
    </w:p>
  </w:footnote>
  <w:footnote w:id="1571">
    <w:p w14:paraId="505C93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טבת–שבט–אדר תרפ״ג, שיצא לאור בקובנה.</w:t>
      </w:r>
    </w:p>
  </w:footnote>
  <w:footnote w:id="1572">
    <w:p w14:paraId="0AA359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הסבא, ראה בהתאמה: (א) נספח </w:t>
      </w:r>
      <w:proofErr w:type="spellStart"/>
      <w:r>
        <w:rPr>
          <w:sz w:val="20"/>
          <w:szCs w:val="20"/>
          <w:rtl/>
        </w:rPr>
        <w:t>יז</w:t>
      </w:r>
      <w:proofErr w:type="spellEnd"/>
      <w:r>
        <w:rPr>
          <w:sz w:val="20"/>
          <w:szCs w:val="20"/>
          <w:rtl/>
        </w:rPr>
        <w:t xml:space="preserve"> להלן; (ב) פרק 4, נספח ג; (ג) נספח </w:t>
      </w:r>
      <w:proofErr w:type="spellStart"/>
      <w:r>
        <w:rPr>
          <w:sz w:val="20"/>
          <w:szCs w:val="20"/>
          <w:rtl/>
        </w:rPr>
        <w:t>כג</w:t>
      </w:r>
      <w:proofErr w:type="spellEnd"/>
      <w:r>
        <w:rPr>
          <w:sz w:val="20"/>
          <w:szCs w:val="20"/>
          <w:rtl/>
        </w:rPr>
        <w:t xml:space="preserve"> להלן; (ד) נספח ה להלן, ופרק 4, נספח ב.</w:t>
      </w:r>
    </w:p>
  </w:footnote>
  <w:footnote w:id="1573">
    <w:p w14:paraId="37BB5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1574">
    <w:p w14:paraId="28D247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נאום </w:t>
      </w:r>
      <w:proofErr w:type="spellStart"/>
      <w:r>
        <w:rPr>
          <w:sz w:val="20"/>
          <w:szCs w:val="20"/>
          <w:rtl/>
        </w:rPr>
        <w:t>במונסי</w:t>
      </w:r>
      <w:proofErr w:type="spellEnd"/>
      <w:r>
        <w:rPr>
          <w:sz w:val="20"/>
          <w:szCs w:val="20"/>
          <w:rtl/>
        </w:rPr>
        <w:t xml:space="preserve"> ביום השנה של רבנו </w:t>
      </w:r>
      <w:proofErr w:type="spellStart"/>
      <w:r>
        <w:rPr>
          <w:sz w:val="20"/>
          <w:szCs w:val="20"/>
          <w:rtl/>
        </w:rPr>
        <w:t>בתשנ״ז</w:t>
      </w:r>
      <w:proofErr w:type="spellEnd"/>
      <w:r>
        <w:rPr>
          <w:sz w:val="20"/>
          <w:szCs w:val="20"/>
          <w:rtl/>
        </w:rPr>
        <w:t>.</w:t>
      </w:r>
    </w:p>
  </w:footnote>
  <w:footnote w:id="1575">
    <w:p w14:paraId="260FE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76">
    <w:p w14:paraId="4A7274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הייתה שרה (השווה הפסקה השנייה בנספח </w:t>
      </w:r>
      <w:proofErr w:type="spellStart"/>
      <w:r>
        <w:rPr>
          <w:sz w:val="20"/>
          <w:szCs w:val="20"/>
          <w:rtl/>
        </w:rPr>
        <w:t>כג</w:t>
      </w:r>
      <w:proofErr w:type="spellEnd"/>
      <w:r>
        <w:rPr>
          <w:sz w:val="20"/>
          <w:szCs w:val="20"/>
          <w:rtl/>
        </w:rPr>
        <w:t xml:space="preserve"> להלן), שנישאה לימים </w:t>
      </w:r>
      <w:proofErr w:type="spellStart"/>
      <w:r>
        <w:rPr>
          <w:sz w:val="20"/>
          <w:szCs w:val="20"/>
          <w:rtl/>
        </w:rPr>
        <w:t>לר</w:t>
      </w:r>
      <w:proofErr w:type="spellEnd"/>
      <w:r>
        <w:rPr>
          <w:sz w:val="20"/>
          <w:szCs w:val="20"/>
          <w:rtl/>
        </w:rPr>
        <w:t xml:space="preserve">׳ </w:t>
      </w:r>
      <w:proofErr w:type="spellStart"/>
      <w:r>
        <w:rPr>
          <w:sz w:val="20"/>
          <w:szCs w:val="20"/>
          <w:rtl/>
        </w:rPr>
        <w:t>שלמה־יהודה־לייב</w:t>
      </w:r>
      <w:proofErr w:type="spellEnd"/>
      <w:r>
        <w:rPr>
          <w:sz w:val="20"/>
          <w:szCs w:val="20"/>
          <w:rtl/>
        </w:rPr>
        <w:t xml:space="preserve"> </w:t>
      </w:r>
      <w:proofErr w:type="spellStart"/>
      <w:r>
        <w:rPr>
          <w:sz w:val="20"/>
          <w:szCs w:val="20"/>
          <w:rtl/>
        </w:rPr>
        <w:t>פלחטינסקי</w:t>
      </w:r>
      <w:proofErr w:type="spellEnd"/>
      <w:r>
        <w:rPr>
          <w:sz w:val="20"/>
          <w:szCs w:val="20"/>
          <w:rtl/>
        </w:rPr>
        <w:t xml:space="preserve">. ר׳ ישראל </w:t>
      </w:r>
      <w:proofErr w:type="spellStart"/>
      <w:r>
        <w:rPr>
          <w:sz w:val="20"/>
          <w:szCs w:val="20"/>
          <w:rtl/>
        </w:rPr>
        <w:t>שורין</w:t>
      </w:r>
      <w:proofErr w:type="spellEnd"/>
      <w:r>
        <w:rPr>
          <w:sz w:val="20"/>
          <w:szCs w:val="20"/>
          <w:rtl/>
        </w:rPr>
        <w:t xml:space="preserve"> מסר ב־19 במרץ 2002 ששמע מר׳ אברהם </w:t>
      </w:r>
      <w:proofErr w:type="spellStart"/>
      <w:r>
        <w:rPr>
          <w:sz w:val="20"/>
          <w:szCs w:val="20"/>
          <w:rtl/>
        </w:rPr>
        <w:t>טרופ</w:t>
      </w:r>
      <w:proofErr w:type="spellEnd"/>
      <w:r>
        <w:rPr>
          <w:sz w:val="20"/>
          <w:szCs w:val="20"/>
          <w:rtl/>
        </w:rPr>
        <w:t xml:space="preserve">, בשם </w:t>
      </w:r>
      <w:proofErr w:type="spellStart"/>
      <w:r>
        <w:rPr>
          <w:sz w:val="20"/>
          <w:szCs w:val="20"/>
          <w:rtl/>
        </w:rPr>
        <w:t>שרה־מרים</w:t>
      </w:r>
      <w:proofErr w:type="spellEnd"/>
      <w:r>
        <w:rPr>
          <w:sz w:val="20"/>
          <w:szCs w:val="20"/>
          <w:rtl/>
        </w:rPr>
        <w:t xml:space="preserve"> </w:t>
      </w:r>
      <w:proofErr w:type="spellStart"/>
      <w:r>
        <w:rPr>
          <w:sz w:val="20"/>
          <w:szCs w:val="20"/>
          <w:rtl/>
        </w:rPr>
        <w:t>גורדון־סורוצקין</w:t>
      </w:r>
      <w:proofErr w:type="spellEnd"/>
      <w:r>
        <w:rPr>
          <w:sz w:val="20"/>
          <w:szCs w:val="20"/>
          <w:rtl/>
        </w:rPr>
        <w:t xml:space="preserve">, בתו השלישית של ר׳ לייזר גורדון </w:t>
      </w:r>
      <w:proofErr w:type="spellStart"/>
      <w:r>
        <w:rPr>
          <w:sz w:val="20"/>
          <w:szCs w:val="20"/>
          <w:rtl/>
        </w:rPr>
        <w:t>מטלז</w:t>
      </w:r>
      <w:proofErr w:type="spellEnd"/>
      <w:r>
        <w:rPr>
          <w:sz w:val="20"/>
          <w:szCs w:val="20"/>
          <w:rtl/>
        </w:rPr>
        <w:t xml:space="preserve">, שהציעו לה להינשא </w:t>
      </w:r>
      <w:proofErr w:type="spellStart"/>
      <w:r>
        <w:rPr>
          <w:sz w:val="20"/>
          <w:szCs w:val="20"/>
          <w:rtl/>
        </w:rPr>
        <w:t>לר</w:t>
      </w:r>
      <w:proofErr w:type="spellEnd"/>
      <w:r>
        <w:rPr>
          <w:sz w:val="20"/>
          <w:szCs w:val="20"/>
          <w:rtl/>
        </w:rPr>
        <w:t>׳ נפתלי, אבל גיסה הגדול, ר׳ “</w:t>
      </w:r>
      <w:proofErr w:type="spellStart"/>
      <w:r>
        <w:rPr>
          <w:sz w:val="20"/>
          <w:szCs w:val="20"/>
          <w:rtl/>
        </w:rPr>
        <w:t>יושע־לייבקע</w:t>
      </w:r>
      <w:proofErr w:type="spellEnd"/>
      <w:r>
        <w:rPr>
          <w:sz w:val="20"/>
          <w:szCs w:val="20"/>
          <w:rtl/>
        </w:rPr>
        <w:t xml:space="preserve">” בלוך, ביטל את השידוך. אחר כך נישאה </w:t>
      </w:r>
      <w:proofErr w:type="spellStart"/>
      <w:r>
        <w:rPr>
          <w:sz w:val="20"/>
          <w:szCs w:val="20"/>
          <w:rtl/>
        </w:rPr>
        <w:t>לר</w:t>
      </w:r>
      <w:proofErr w:type="spellEnd"/>
      <w:r>
        <w:rPr>
          <w:sz w:val="20"/>
          <w:szCs w:val="20"/>
          <w:rtl/>
        </w:rPr>
        <w:t xml:space="preserve">׳ זלמן </w:t>
      </w:r>
      <w:proofErr w:type="spellStart"/>
      <w:r>
        <w:rPr>
          <w:sz w:val="20"/>
          <w:szCs w:val="20"/>
          <w:rtl/>
        </w:rPr>
        <w:t>סורוצקין</w:t>
      </w:r>
      <w:proofErr w:type="spellEnd"/>
      <w:r>
        <w:rPr>
          <w:sz w:val="20"/>
          <w:szCs w:val="20"/>
          <w:rtl/>
        </w:rPr>
        <w:t xml:space="preserve">. (צאצאיה מניחים שנולדה </w:t>
      </w:r>
      <w:proofErr w:type="spellStart"/>
      <w:r>
        <w:rPr>
          <w:sz w:val="20"/>
          <w:szCs w:val="20"/>
          <w:rtl/>
        </w:rPr>
        <w:t>בתרמ״ב</w:t>
      </w:r>
      <w:proofErr w:type="spellEnd"/>
      <w:r>
        <w:rPr>
          <w:sz w:val="20"/>
          <w:szCs w:val="20"/>
          <w:rtl/>
        </w:rPr>
        <w:t xml:space="preserve">, אבל הנחה זו שגויה אפוא בכמה שנים, שהרי ר׳ נפתלי כבר היה נשוי </w:t>
      </w:r>
      <w:proofErr w:type="spellStart"/>
      <w:r>
        <w:rPr>
          <w:sz w:val="20"/>
          <w:szCs w:val="20"/>
          <w:rtl/>
        </w:rPr>
        <w:t>בתרנ״ה</w:t>
      </w:r>
      <w:proofErr w:type="spellEnd"/>
      <w:r>
        <w:rPr>
          <w:sz w:val="20"/>
          <w:szCs w:val="20"/>
          <w:rtl/>
        </w:rPr>
        <w:t>.)</w:t>
      </w:r>
    </w:p>
  </w:footnote>
  <w:footnote w:id="1577">
    <w:p w14:paraId="23E60D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ו.</w:t>
      </w:r>
    </w:p>
  </w:footnote>
  <w:footnote w:id="1578">
    <w:p w14:paraId="4BAFA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 עמ׳ 202. את הדיווח על הצטיינותו של הרב </w:t>
      </w:r>
      <w:proofErr w:type="spellStart"/>
      <w:r>
        <w:rPr>
          <w:sz w:val="20"/>
          <w:szCs w:val="20"/>
          <w:rtl/>
        </w:rPr>
        <w:t>טרופ</w:t>
      </w:r>
      <w:proofErr w:type="spellEnd"/>
      <w:r>
        <w:rPr>
          <w:sz w:val="20"/>
          <w:szCs w:val="20"/>
          <w:rtl/>
        </w:rPr>
        <w:t xml:space="preserve"> במוסר אישר תלמיד אחר של </w:t>
      </w:r>
      <w:proofErr w:type="spellStart"/>
      <w:r>
        <w:rPr>
          <w:sz w:val="20"/>
          <w:szCs w:val="20"/>
          <w:rtl/>
        </w:rPr>
        <w:t>ראדין</w:t>
      </w:r>
      <w:proofErr w:type="spellEnd"/>
      <w:r>
        <w:rPr>
          <w:sz w:val="20"/>
          <w:szCs w:val="20"/>
          <w:rtl/>
        </w:rPr>
        <w:t xml:space="preserve">, ר׳ יצחק </w:t>
      </w:r>
      <w:proofErr w:type="spellStart"/>
      <w:r>
        <w:rPr>
          <w:sz w:val="20"/>
          <w:szCs w:val="20"/>
          <w:rtl/>
        </w:rPr>
        <w:t>פופקו</w:t>
      </w:r>
      <w:proofErr w:type="spellEnd"/>
      <w:r>
        <w:rPr>
          <w:sz w:val="20"/>
          <w:szCs w:val="20"/>
          <w:rtl/>
        </w:rPr>
        <w:t xml:space="preserve">, כפי ששמע ר׳ ישראל </w:t>
      </w:r>
      <w:proofErr w:type="spellStart"/>
      <w:r>
        <w:rPr>
          <w:sz w:val="20"/>
          <w:szCs w:val="20"/>
          <w:rtl/>
        </w:rPr>
        <w:t>שורין</w:t>
      </w:r>
      <w:proofErr w:type="spellEnd"/>
      <w:r>
        <w:rPr>
          <w:sz w:val="20"/>
          <w:szCs w:val="20"/>
          <w:rtl/>
        </w:rPr>
        <w:t xml:space="preserve">, ומסר לי ב־16 במרץ 2002. ר׳ ישראל </w:t>
      </w:r>
      <w:proofErr w:type="spellStart"/>
      <w:r>
        <w:rPr>
          <w:sz w:val="20"/>
          <w:szCs w:val="20"/>
          <w:rtl/>
        </w:rPr>
        <w:t>שורין</w:t>
      </w:r>
      <w:proofErr w:type="spellEnd"/>
      <w:r>
        <w:rPr>
          <w:sz w:val="20"/>
          <w:szCs w:val="20"/>
          <w:rtl/>
        </w:rPr>
        <w:t xml:space="preserve"> ציין שר׳ נפתלי היה מן הבודדים בין ראשי הישיבה הגדולים שמסרו גם שיחות מוסר מצטיינות. שנות לימודיו אצל 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ואצל ר׳ </w:t>
      </w:r>
      <w:proofErr w:type="spellStart"/>
      <w:r>
        <w:rPr>
          <w:sz w:val="20"/>
          <w:szCs w:val="20"/>
          <w:rtl/>
        </w:rPr>
        <w:t>שמחה־זיסל</w:t>
      </w:r>
      <w:proofErr w:type="spellEnd"/>
      <w:r>
        <w:rPr>
          <w:sz w:val="20"/>
          <w:szCs w:val="20"/>
          <w:rtl/>
        </w:rPr>
        <w:t xml:space="preserve"> הכינו אותו לתפקיד כפול זה.</w:t>
      </w:r>
    </w:p>
  </w:footnote>
  <w:footnote w:id="1579">
    <w:p w14:paraId="2CA5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את השליש האחרון של הפסקה הראשונה בנספח א לעיל.</w:t>
      </w:r>
    </w:p>
  </w:footnote>
  <w:footnote w:id="1580">
    <w:p w14:paraId="561562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18. והשווה גם פרק 4, הערה 55, על כך שהסבא </w:t>
      </w:r>
      <w:proofErr w:type="spellStart"/>
      <w:r>
        <w:rPr>
          <w:sz w:val="20"/>
          <w:szCs w:val="20"/>
          <w:rtl/>
        </w:rPr>
        <w:t>מסלבודקה</w:t>
      </w:r>
      <w:proofErr w:type="spellEnd"/>
      <w:r>
        <w:rPr>
          <w:sz w:val="20"/>
          <w:szCs w:val="20"/>
          <w:rtl/>
        </w:rPr>
        <w:t xml:space="preserve"> ראה את היכרותו עם הסבא מקלם כמאושרת ביותר.</w:t>
      </w:r>
    </w:p>
  </w:footnote>
  <w:footnote w:id="1581">
    <w:p w14:paraId="0D679A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w:t>
      </w:r>
    </w:p>
  </w:footnote>
  <w:footnote w:id="1582">
    <w:p w14:paraId="5A9F0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יו״ל בשנת החמישים </w:t>
      </w:r>
      <w:proofErr w:type="spellStart"/>
      <w:r>
        <w:rPr>
          <w:sz w:val="20"/>
          <w:szCs w:val="20"/>
          <w:rtl/>
        </w:rPr>
        <w:t>להוסדה</w:t>
      </w:r>
      <w:proofErr w:type="spellEnd"/>
      <w:r>
        <w:rPr>
          <w:sz w:val="20"/>
          <w:szCs w:val="20"/>
          <w:rtl/>
        </w:rPr>
        <w:t xml:space="preserve"> ע״י ישיבת מקור חיים, עיה״ק </w:t>
      </w:r>
      <w:proofErr w:type="spellStart"/>
      <w:r>
        <w:rPr>
          <w:sz w:val="20"/>
          <w:szCs w:val="20"/>
          <w:rtl/>
        </w:rPr>
        <w:t>ירושת״ו</w:t>
      </w:r>
      <w:proofErr w:type="spellEnd"/>
      <w:r>
        <w:rPr>
          <w:sz w:val="20"/>
          <w:szCs w:val="20"/>
          <w:rtl/>
        </w:rPr>
        <w:t xml:space="preserve"> (ללא תאריך); ישיבת מקור חיים נוסדה בסיוון ת״ש.</w:t>
      </w:r>
    </w:p>
  </w:footnote>
  <w:footnote w:id="1583">
    <w:p w14:paraId="2288EF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במשך היובל – עמ׳ </w:t>
      </w:r>
      <w:proofErr w:type="spellStart"/>
      <w:r>
        <w:rPr>
          <w:sz w:val="20"/>
          <w:szCs w:val="20"/>
          <w:rtl/>
        </w:rPr>
        <w:t>תקטו</w:t>
      </w:r>
      <w:proofErr w:type="spellEnd"/>
      <w:r>
        <w:rPr>
          <w:sz w:val="20"/>
          <w:szCs w:val="20"/>
          <w:rtl/>
        </w:rPr>
        <w:t>.</w:t>
      </w:r>
    </w:p>
  </w:footnote>
  <w:footnote w:id="1584">
    <w:p w14:paraId="7A5F0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נספח יא, והערה 39 להלן.</w:t>
      </w:r>
    </w:p>
  </w:footnote>
  <w:footnote w:id="1585">
    <w:p w14:paraId="2BD4D5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1992.</w:t>
      </w:r>
    </w:p>
  </w:footnote>
  <w:footnote w:id="1586">
    <w:p w14:paraId="1F185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587">
    <w:p w14:paraId="040054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כץ, “תנועת המוסר”, כרך ג, עמ׳ 123.</w:t>
      </w:r>
    </w:p>
  </w:footnote>
  <w:footnote w:id="1588">
    <w:p w14:paraId="1BC97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589">
    <w:p w14:paraId="1B0D8F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הכולל נקרא “תלמוד תורה” משום שהמוסד התפתח מבית ספר לילדים צעירים שניהל ר׳ </w:t>
      </w:r>
      <w:proofErr w:type="spellStart"/>
      <w:r>
        <w:rPr>
          <w:sz w:val="20"/>
          <w:szCs w:val="20"/>
          <w:rtl/>
        </w:rPr>
        <w:t>שמחה־זיסל</w:t>
      </w:r>
      <w:proofErr w:type="spellEnd"/>
      <w:r>
        <w:rPr>
          <w:sz w:val="20"/>
          <w:szCs w:val="20"/>
          <w:rtl/>
        </w:rPr>
        <w:t xml:space="preserve"> חצי מאה לפני הדיון. ראה תחילת נספח כה להלן, והערת שוליים </w:t>
      </w:r>
      <w:r>
        <w:rPr>
          <w:sz w:val="20"/>
          <w:szCs w:val="20"/>
          <w:rtl/>
        </w:rPr>
        <w:fldChar w:fldCharType="begin" w:dirty="true"/>
      </w:r>
      <w:r>
        <w:rPr>
          <w:sz w:val="20"/>
          <w:szCs w:val="20"/>
          <w:rtl/>
        </w:rPr>
        <w:instrText xml:space="preserve"> NOTEREF pr_f_1380 \h </w:instrText>
      </w:r>
      <w:r>
        <w:rPr>
          <w:sz w:val="20"/>
          <w:szCs w:val="20"/>
          <w:rtl/>
        </w:rPr>
      </w:r>
      <w:r>
        <w:rPr>
          <w:sz w:val="20"/>
          <w:szCs w:val="20"/>
          <w:rtl/>
        </w:rPr>
        <w:fldChar w:fldCharType="separate"/>
      </w:r>
      <w:r w:rsidR="007923E9">
        <w:rPr>
          <w:sz w:val="20"/>
          <w:szCs w:val="20"/>
          <w:rtl/>
        </w:rPr>
        <w:t>425</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pr_f_1380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1590">
    <w:p w14:paraId="72390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תלמידי ר׳ </w:t>
      </w:r>
      <w:proofErr w:type="spellStart"/>
      <w:r>
        <w:rPr>
          <w:sz w:val="20"/>
          <w:szCs w:val="20"/>
          <w:rtl/>
        </w:rPr>
        <w:t>שמחה־זיסל</w:t>
      </w:r>
      <w:proofErr w:type="spellEnd"/>
      <w:r>
        <w:rPr>
          <w:sz w:val="20"/>
          <w:szCs w:val="20"/>
          <w:rtl/>
        </w:rPr>
        <w:t xml:space="preserve"> התייחסו לסבא מקלם בכינוי זה, כפי שצוין בפרק 2, סוף הערה 93.</w:t>
      </w:r>
    </w:p>
  </w:footnote>
  <w:footnote w:id="1591">
    <w:p w14:paraId="106364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119–121.</w:t>
      </w:r>
    </w:p>
  </w:footnote>
  <w:footnote w:id="1592">
    <w:p w14:paraId="5023EC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55, שם מצוטט חלק רלוונטי מן המכתב.</w:t>
      </w:r>
    </w:p>
  </w:footnote>
  <w:footnote w:id="1593">
    <w:p w14:paraId="0D24B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fx_ref_437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511</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fx_ref_437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594">
    <w:p w14:paraId="53BA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ביוני 1995.</w:t>
      </w:r>
    </w:p>
  </w:footnote>
  <w:footnote w:id="1595">
    <w:p w14:paraId="32065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גילתה זאת כשנאמר לה מה שהסבא מסר </w:t>
      </w:r>
      <w:proofErr w:type="spellStart"/>
      <w:r>
        <w:rPr>
          <w:sz w:val="20"/>
          <w:szCs w:val="20"/>
          <w:rtl/>
        </w:rPr>
        <w:t>לר</w:t>
      </w:r>
      <w:proofErr w:type="spellEnd"/>
      <w:r>
        <w:rPr>
          <w:sz w:val="20"/>
          <w:szCs w:val="20"/>
          <w:rtl/>
        </w:rPr>
        <w:t xml:space="preserve">׳ יוסף </w:t>
      </w:r>
      <w:proofErr w:type="spellStart"/>
      <w:r>
        <w:rPr>
          <w:sz w:val="20"/>
          <w:szCs w:val="20"/>
          <w:rtl/>
        </w:rPr>
        <w:t>דינקלס</w:t>
      </w:r>
      <w:proofErr w:type="spellEnd"/>
      <w:r>
        <w:rPr>
          <w:sz w:val="20"/>
          <w:szCs w:val="20"/>
          <w:rtl/>
        </w:rPr>
        <w:t xml:space="preserve">, אביו החורג של המרואיין. השווה נספח </w:t>
      </w:r>
      <w:proofErr w:type="spellStart"/>
      <w:r>
        <w:rPr>
          <w:sz w:val="20"/>
          <w:szCs w:val="20"/>
          <w:rtl/>
        </w:rPr>
        <w:t>יז</w:t>
      </w:r>
      <w:proofErr w:type="spellEnd"/>
      <w:r>
        <w:rPr>
          <w:sz w:val="20"/>
          <w:szCs w:val="20"/>
          <w:rtl/>
        </w:rPr>
        <w:t xml:space="preserve"> להלן, לפרטים המפתיעים שישפיעו על כל ראייתנו את המחלוקת כולה שבין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w:t>
      </w:r>
    </w:p>
  </w:footnote>
  <w:footnote w:id="1596">
    <w:p w14:paraId="379CF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235.</w:t>
      </w:r>
    </w:p>
  </w:footnote>
  <w:footnote w:id="1597">
    <w:p w14:paraId="1C2EBF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מצאתי אזכור של עיירה ליטאית כזו במקור אחר.</w:t>
      </w:r>
    </w:p>
  </w:footnote>
  <w:footnote w:id="1598">
    <w:p w14:paraId="4878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599">
    <w:p w14:paraId="604B0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באוגוסט 1997.</w:t>
      </w:r>
    </w:p>
  </w:footnote>
  <w:footnote w:id="1600">
    <w:p w14:paraId="38A8B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נספחים ד </w:t>
      </w:r>
      <w:proofErr w:type="spellStart"/>
      <w:r>
        <w:rPr>
          <w:sz w:val="20"/>
          <w:szCs w:val="20"/>
          <w:rtl/>
        </w:rPr>
        <w:t>וה</w:t>
      </w:r>
      <w:proofErr w:type="spellEnd"/>
      <w:r>
        <w:rPr>
          <w:sz w:val="20"/>
          <w:szCs w:val="20"/>
          <w:rtl/>
        </w:rPr>
        <w:t>.</w:t>
      </w:r>
    </w:p>
  </w:footnote>
  <w:footnote w:id="1601">
    <w:p w14:paraId="3CC68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הם בידי בנו של כץ, ר׳ יהושע, רב מעלה אדומים.</w:t>
      </w:r>
    </w:p>
  </w:footnote>
  <w:footnote w:id="1602">
    <w:p w14:paraId="2753E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סנהדרין ע״ג ע״א ועוד.</w:t>
      </w:r>
    </w:p>
  </w:footnote>
  <w:footnote w:id="1603">
    <w:p w14:paraId="5839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04">
    <w:p w14:paraId="3E4FD4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605">
    <w:p w14:paraId="1797F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1606">
    <w:p w14:paraId="3BC87D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נרשם </w:t>
      </w:r>
      <w:proofErr w:type="spellStart"/>
      <w:r>
        <w:rPr>
          <w:sz w:val="20"/>
          <w:szCs w:val="20"/>
          <w:rtl/>
        </w:rPr>
        <w:t>ב“המוסר</w:t>
      </w:r>
      <w:proofErr w:type="spellEnd"/>
      <w:r>
        <w:rPr>
          <w:sz w:val="20"/>
          <w:szCs w:val="20"/>
          <w:rtl/>
        </w:rPr>
        <w:t xml:space="preserve"> והדעת על התורה” (ירושלים, תשל״ח) פ׳ יתרו, עמ׳ </w:t>
      </w:r>
      <w:proofErr w:type="spellStart"/>
      <w:r>
        <w:rPr>
          <w:sz w:val="20"/>
          <w:szCs w:val="20"/>
          <w:rtl/>
        </w:rPr>
        <w:t>עח</w:t>
      </w:r>
      <w:proofErr w:type="spellEnd"/>
      <w:r>
        <w:rPr>
          <w:sz w:val="20"/>
          <w:szCs w:val="20"/>
          <w:rtl/>
        </w:rPr>
        <w:t>.</w:t>
      </w:r>
    </w:p>
  </w:footnote>
  <w:footnote w:id="1607">
    <w:p w14:paraId="158A9E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כץ, “תנועת המוסר”, כרך ב, עמ׳ 329, שר׳ לייזר נשאר קרוב </w:t>
      </w:r>
      <w:proofErr w:type="spellStart"/>
      <w:r>
        <w:rPr>
          <w:sz w:val="20"/>
          <w:szCs w:val="20"/>
          <w:rtl/>
        </w:rPr>
        <w:t>לר</w:t>
      </w:r>
      <w:proofErr w:type="spellEnd"/>
      <w:r>
        <w:rPr>
          <w:sz w:val="20"/>
          <w:szCs w:val="20"/>
          <w:rtl/>
        </w:rPr>
        <w:t xml:space="preserve">׳ ישראל בממל שנים רבות, </w:t>
      </w:r>
      <w:proofErr w:type="spellStart"/>
      <w:r>
        <w:rPr>
          <w:sz w:val="20"/>
          <w:szCs w:val="20"/>
          <w:rtl/>
        </w:rPr>
        <w:t>ו“נעשה</w:t>
      </w:r>
      <w:proofErr w:type="spellEnd"/>
      <w:r>
        <w:rPr>
          <w:sz w:val="20"/>
          <w:szCs w:val="20"/>
          <w:rtl/>
        </w:rPr>
        <w:t xml:space="preserve"> שמשו בכל העניינים, עד כדי כך שתלמידיו הנלהבים ביותר של ר׳ ישראל לא התקבלו אצל הרב אלא באמצעות ר׳ לייזר”. הרב </w:t>
      </w:r>
      <w:proofErr w:type="spellStart"/>
      <w:r>
        <w:rPr>
          <w:sz w:val="20"/>
          <w:szCs w:val="20"/>
          <w:rtl/>
        </w:rPr>
        <w:t>שולביץ</w:t>
      </w:r>
      <w:proofErr w:type="spellEnd"/>
      <w:r>
        <w:rPr>
          <w:sz w:val="20"/>
          <w:szCs w:val="20"/>
          <w:rtl/>
        </w:rPr>
        <w:t xml:space="preserve"> היה מבוגר בשנה אחת מהסבא </w:t>
      </w:r>
      <w:proofErr w:type="spellStart"/>
      <w:r>
        <w:rPr>
          <w:sz w:val="20"/>
          <w:szCs w:val="20"/>
          <w:rtl/>
        </w:rPr>
        <w:t>מסלבודקה</w:t>
      </w:r>
      <w:proofErr w:type="spellEnd"/>
      <w:r>
        <w:rPr>
          <w:sz w:val="20"/>
          <w:szCs w:val="20"/>
          <w:rtl/>
        </w:rPr>
        <w:t>.</w:t>
      </w:r>
    </w:p>
  </w:footnote>
  <w:footnote w:id="1608">
    <w:p w14:paraId="01F56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אולי הבין ר׳ </w:t>
      </w:r>
      <w:proofErr w:type="spellStart"/>
      <w:r>
        <w:rPr>
          <w:sz w:val="20"/>
          <w:szCs w:val="20"/>
          <w:rtl/>
        </w:rPr>
        <w:t>נתן־צבי</w:t>
      </w:r>
      <w:proofErr w:type="spellEnd"/>
      <w:r>
        <w:rPr>
          <w:sz w:val="20"/>
          <w:szCs w:val="20"/>
          <w:rtl/>
        </w:rPr>
        <w:t xml:space="preserve"> את דברי הרב כתשובה לשאלתו, דהיינו: “כיצד יכול אדם להימנע מעבודה עם צעירים – גם כשהוא אינו בטוח בהצלחה – אם דחיית פעולה שקולה לשמד?”</w:t>
      </w:r>
    </w:p>
  </w:footnote>
  <w:footnote w:id="1609">
    <w:p w14:paraId="3E338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בידי גיסי, ר׳ הירש </w:t>
      </w:r>
      <w:proofErr w:type="spellStart"/>
      <w:r>
        <w:rPr>
          <w:sz w:val="20"/>
          <w:szCs w:val="20"/>
          <w:rtl/>
        </w:rPr>
        <w:t>דיסקינד</w:t>
      </w:r>
      <w:proofErr w:type="spellEnd"/>
      <w:r>
        <w:rPr>
          <w:sz w:val="20"/>
          <w:szCs w:val="20"/>
          <w:rtl/>
        </w:rPr>
        <w:t xml:space="preserve">. אחד מחניכיו של הרב </w:t>
      </w:r>
      <w:proofErr w:type="spellStart"/>
      <w:r>
        <w:rPr>
          <w:sz w:val="20"/>
          <w:szCs w:val="20"/>
          <w:rtl/>
        </w:rPr>
        <w:t>הוטנר</w:t>
      </w:r>
      <w:proofErr w:type="spellEnd"/>
      <w:r>
        <w:rPr>
          <w:sz w:val="20"/>
          <w:szCs w:val="20"/>
          <w:rtl/>
        </w:rPr>
        <w:t xml:space="preserve"> מסר שהסבא אמר אמירה זו על ר׳ </w:t>
      </w:r>
      <w:proofErr w:type="spellStart"/>
      <w:r>
        <w:rPr>
          <w:sz w:val="20"/>
          <w:szCs w:val="20"/>
          <w:rtl/>
        </w:rPr>
        <w:t>שמחה־זיסל</w:t>
      </w:r>
      <w:proofErr w:type="spellEnd"/>
      <w:r>
        <w:rPr>
          <w:sz w:val="20"/>
          <w:szCs w:val="20"/>
          <w:rtl/>
        </w:rPr>
        <w:t xml:space="preserve">, וזה תואם את ציטוט מרקוס בפסקה הראשונה של נספח ה בפרק זה. גרסה זו מתיישבת עם השקפת הסבא על מה שקנה מר׳ </w:t>
      </w:r>
      <w:proofErr w:type="spellStart"/>
      <w:r>
        <w:rPr>
          <w:sz w:val="20"/>
          <w:szCs w:val="20"/>
          <w:rtl/>
        </w:rPr>
        <w:t>שמחה־זיסל</w:t>
      </w:r>
      <w:proofErr w:type="spellEnd"/>
      <w:r>
        <w:rPr>
          <w:sz w:val="20"/>
          <w:szCs w:val="20"/>
          <w:rtl/>
        </w:rPr>
        <w:t xml:space="preserve"> (כמו בפרק 4, הערה 55); אבל גילויו של ר׳ </w:t>
      </w:r>
      <w:proofErr w:type="spellStart"/>
      <w:r>
        <w:rPr>
          <w:sz w:val="20"/>
          <w:szCs w:val="20"/>
          <w:rtl/>
        </w:rPr>
        <w:t>נתן־צבי</w:t>
      </w:r>
      <w:proofErr w:type="spellEnd"/>
      <w:r>
        <w:rPr>
          <w:sz w:val="20"/>
          <w:szCs w:val="20"/>
          <w:rtl/>
        </w:rPr>
        <w:t xml:space="preserve"> </w:t>
      </w:r>
      <w:proofErr w:type="spellStart"/>
      <w:r>
        <w:rPr>
          <w:sz w:val="20"/>
          <w:szCs w:val="20"/>
          <w:rtl/>
        </w:rPr>
        <w:t>לר</w:t>
      </w:r>
      <w:proofErr w:type="spellEnd"/>
      <w:r>
        <w:rPr>
          <w:sz w:val="20"/>
          <w:szCs w:val="20"/>
          <w:rtl/>
        </w:rPr>
        <w:t xml:space="preserve">׳ אברהם </w:t>
      </w:r>
      <w:proofErr w:type="spellStart"/>
      <w:r>
        <w:rPr>
          <w:sz w:val="20"/>
          <w:szCs w:val="20"/>
          <w:rtl/>
        </w:rPr>
        <w:t>גרודזינסקי</w:t>
      </w:r>
      <w:proofErr w:type="spellEnd"/>
      <w:r>
        <w:rPr>
          <w:sz w:val="20"/>
          <w:szCs w:val="20"/>
          <w:rtl/>
        </w:rPr>
        <w:t xml:space="preserve"> מלמד שגם גרסת </w:t>
      </w:r>
      <w:proofErr w:type="spellStart"/>
      <w:r>
        <w:rPr>
          <w:sz w:val="20"/>
          <w:szCs w:val="20"/>
          <w:rtl/>
        </w:rPr>
        <w:t>דיסקינד</w:t>
      </w:r>
      <w:proofErr w:type="spellEnd"/>
      <w:r>
        <w:rPr>
          <w:sz w:val="20"/>
          <w:szCs w:val="20"/>
          <w:rtl/>
        </w:rPr>
        <w:t xml:space="preserve"> סבירה.</w:t>
      </w:r>
    </w:p>
  </w:footnote>
  <w:footnote w:id="1610">
    <w:p w14:paraId="59ADA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“מאסף </w:t>
      </w:r>
      <w:proofErr w:type="spellStart"/>
      <w:r>
        <w:rPr>
          <w:sz w:val="20"/>
          <w:szCs w:val="20"/>
          <w:rtl/>
        </w:rPr>
        <w:t>זכרון</w:t>
      </w:r>
      <w:proofErr w:type="spellEnd"/>
      <w:r>
        <w:rPr>
          <w:sz w:val="20"/>
          <w:szCs w:val="20"/>
          <w:rtl/>
        </w:rPr>
        <w:t xml:space="preserve"> לאדמו״ר רבי יחזקאל </w:t>
      </w:r>
      <w:proofErr w:type="spellStart"/>
      <w:r>
        <w:rPr>
          <w:sz w:val="20"/>
          <w:szCs w:val="20"/>
          <w:rtl/>
        </w:rPr>
        <w:t>סרנא</w:t>
      </w:r>
      <w:proofErr w:type="spellEnd"/>
      <w:r>
        <w:rPr>
          <w:sz w:val="20"/>
          <w:szCs w:val="20"/>
          <w:rtl/>
        </w:rPr>
        <w:t xml:space="preserve">” (ירושלים, תשל״א) (להלן: ספר </w:t>
      </w:r>
      <w:proofErr w:type="spellStart"/>
      <w:r>
        <w:rPr>
          <w:sz w:val="20"/>
          <w:szCs w:val="20"/>
          <w:rtl/>
        </w:rPr>
        <w:t>זכרון</w:t>
      </w:r>
      <w:proofErr w:type="spellEnd"/>
      <w:r>
        <w:rPr>
          <w:sz w:val="20"/>
          <w:szCs w:val="20"/>
          <w:rtl/>
        </w:rPr>
        <w:t xml:space="preserve"> </w:t>
      </w:r>
      <w:proofErr w:type="spellStart"/>
      <w:r>
        <w:rPr>
          <w:sz w:val="20"/>
          <w:szCs w:val="20"/>
          <w:rtl/>
        </w:rPr>
        <w:t>סרנא</w:t>
      </w:r>
      <w:proofErr w:type="spellEnd"/>
      <w:r>
        <w:rPr>
          <w:sz w:val="20"/>
          <w:szCs w:val="20"/>
          <w:rtl/>
        </w:rPr>
        <w:t>) – עמ׳ קנט.</w:t>
      </w:r>
    </w:p>
  </w:footnote>
  <w:footnote w:id="1611">
    <w:p w14:paraId="75D31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ב־28 באפריל 2000 אמר ר׳ חיים, בנו של ר׳ </w:t>
      </w:r>
      <w:proofErr w:type="spellStart"/>
      <w:r>
        <w:rPr>
          <w:sz w:val="20"/>
          <w:szCs w:val="20"/>
          <w:rtl/>
        </w:rPr>
        <w:t>חצקל</w:t>
      </w:r>
      <w:proofErr w:type="spellEnd"/>
      <w:r>
        <w:rPr>
          <w:sz w:val="20"/>
          <w:szCs w:val="20"/>
          <w:rtl/>
        </w:rPr>
        <w:t xml:space="preserve">, שאביו היה מציע את מיטת הסבא לשינה בחצות – ואז היה הסבא </w:t>
      </w:r>
      <w:proofErr w:type="spellStart"/>
      <w:r>
        <w:rPr>
          <w:sz w:val="20"/>
          <w:szCs w:val="20"/>
          <w:rtl/>
        </w:rPr>
        <w:t>מסלבודקה</w:t>
      </w:r>
      <w:proofErr w:type="spellEnd"/>
      <w:r>
        <w:rPr>
          <w:sz w:val="20"/>
          <w:szCs w:val="20"/>
          <w:rtl/>
        </w:rPr>
        <w:t xml:space="preserve"> יושב ומשוחח עמו עד שלוש לפנות בוקר. ר׳ חיים מסר זאת בהקשר לטענתו שאביו היה התלמיד הקרוב ביותר של הסבא, ושר׳ </w:t>
      </w:r>
      <w:proofErr w:type="spellStart"/>
      <w:r>
        <w:rPr>
          <w:sz w:val="20"/>
          <w:szCs w:val="20"/>
          <w:rtl/>
        </w:rPr>
        <w:t>נתן־צבי</w:t>
      </w:r>
      <w:proofErr w:type="spellEnd"/>
      <w:r>
        <w:rPr>
          <w:sz w:val="20"/>
          <w:szCs w:val="20"/>
          <w:rtl/>
        </w:rPr>
        <w:t xml:space="preserve"> אמר לאביו שיש לו “תלמיד וחצי, כשהוא (עצמו) הוא האחד”! (המרואיין לא ידע למי התכוון הסבא </w:t>
      </w:r>
      <w:proofErr w:type="spellStart"/>
      <w:r>
        <w:rPr>
          <w:sz w:val="20"/>
          <w:szCs w:val="20"/>
          <w:rtl/>
        </w:rPr>
        <w:t>ב“חצי</w:t>
      </w:r>
      <w:proofErr w:type="spellEnd"/>
      <w:r>
        <w:rPr>
          <w:sz w:val="20"/>
          <w:szCs w:val="20"/>
          <w:rtl/>
        </w:rPr>
        <w:t xml:space="preserve"> תלמיד”.)</w:t>
      </w:r>
    </w:p>
    <w:p w14:paraId="3DFAE3AE" w14:textId="77777777" w:rsidR="00AB3647" w:rsidRDefault="00000000">
      <w:pPr>
        <w:spacing w:after="0" w:before="0"/>
        <w:jc w:val="both"/>
      </w:pPr>
      <w:r>
        <w:rPr>
          <w:sz w:val="20"/>
          <w:szCs w:val="20"/>
          <w:rtl/>
        </w:rPr>
        <w:t xml:space="preserve">אבל ראה כרך 2, שאבי סבר שתלמידו המובהק של הסבא היה ר׳ אברהם </w:t>
      </w:r>
      <w:proofErr w:type="spellStart"/>
      <w:r>
        <w:rPr>
          <w:sz w:val="20"/>
          <w:szCs w:val="20"/>
          <w:rtl/>
        </w:rPr>
        <w:t>גרודזינסקי</w:t>
      </w:r>
      <w:proofErr w:type="spellEnd"/>
      <w:r>
        <w:rPr>
          <w:sz w:val="20"/>
          <w:szCs w:val="20"/>
          <w:rtl/>
        </w:rPr>
        <w:t xml:space="preserve">, ולא ר׳ </w:t>
      </w:r>
      <w:proofErr w:type="spellStart"/>
      <w:r>
        <w:rPr>
          <w:sz w:val="20"/>
          <w:szCs w:val="20"/>
          <w:rtl/>
        </w:rPr>
        <w:t>חצקל</w:t>
      </w:r>
      <w:proofErr w:type="spellEnd"/>
      <w:r>
        <w:rPr>
          <w:sz w:val="20"/>
          <w:szCs w:val="20"/>
          <w:rtl/>
        </w:rPr>
        <w:t xml:space="preserve">. יתר על כן, אבי תיאר את ר׳ אברהם – שנפטר לפני ר׳ </w:t>
      </w:r>
      <w:proofErr w:type="spellStart"/>
      <w:r>
        <w:rPr>
          <w:sz w:val="20"/>
          <w:szCs w:val="20"/>
          <w:rtl/>
        </w:rPr>
        <w:t>חצקל</w:t>
      </w:r>
      <w:proofErr w:type="spellEnd"/>
      <w:r>
        <w:rPr>
          <w:sz w:val="20"/>
          <w:szCs w:val="20"/>
          <w:rtl/>
        </w:rPr>
        <w:t xml:space="preserve"> – </w:t>
      </w:r>
      <w:proofErr w:type="spellStart"/>
      <w:r>
        <w:rPr>
          <w:sz w:val="20"/>
          <w:szCs w:val="20"/>
          <w:rtl/>
        </w:rPr>
        <w:t>כ“אחרון</w:t>
      </w:r>
      <w:proofErr w:type="spellEnd"/>
      <w:r>
        <w:rPr>
          <w:sz w:val="20"/>
          <w:szCs w:val="20"/>
          <w:rtl/>
        </w:rPr>
        <w:t xml:space="preserve"> </w:t>
      </w:r>
      <w:proofErr w:type="spellStart"/>
      <w:r>
        <w:rPr>
          <w:sz w:val="20"/>
          <w:szCs w:val="20"/>
          <w:rtl/>
        </w:rPr>
        <w:t>המוסרניקים</w:t>
      </w:r>
      <w:proofErr w:type="spellEnd"/>
      <w:r>
        <w:rPr>
          <w:sz w:val="20"/>
          <w:szCs w:val="20"/>
          <w:rtl/>
        </w:rPr>
        <w:t xml:space="preserve">”. והשווה גם פרק 5, הפסקה השנייה בנספח ד: הסבא ראה היתר להוליך שולל אדם אם הדבר משפר את חינוכו, וברוח זו אולי אמר הסבא </w:t>
      </w:r>
      <w:proofErr w:type="spellStart"/>
      <w:r>
        <w:rPr>
          <w:sz w:val="20"/>
          <w:szCs w:val="20"/>
          <w:rtl/>
        </w:rPr>
        <w:t>מסלבודקה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חצקל</w:t>
      </w:r>
      <w:proofErr w:type="spellEnd"/>
      <w:r>
        <w:rPr>
          <w:sz w:val="20"/>
          <w:szCs w:val="20"/>
          <w:rtl/>
        </w:rPr>
        <w:t xml:space="preserve"> שהוא תלמידו המלא היחיד.</w:t>
      </w:r>
    </w:p>
  </w:footnote>
  <w:footnote w:id="1612">
    <w:p w14:paraId="5CFD51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300.</w:t>
      </w:r>
    </w:p>
  </w:footnote>
  <w:footnote w:id="1613">
    <w:p w14:paraId="7D36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הערה 28.</w:t>
      </w:r>
    </w:p>
  </w:footnote>
  <w:footnote w:id="1614">
    <w:p w14:paraId="373BC6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המוקלט עם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(פרק 1,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ר׳ </w:t>
      </w:r>
      <w:proofErr w:type="spellStart"/>
      <w:r>
        <w:rPr>
          <w:sz w:val="20"/>
          <w:szCs w:val="20"/>
          <w:rtl/>
        </w:rPr>
        <w:t>יעקב־יצחק</w:t>
      </w:r>
      <w:proofErr w:type="spellEnd"/>
      <w:r>
        <w:rPr>
          <w:sz w:val="20"/>
          <w:szCs w:val="20"/>
          <w:rtl/>
        </w:rPr>
        <w:t xml:space="preserve"> שבזמן פגישתו היחידה עם ר׳ ישראל בקובנה קנה הסבא כרטיס לרכבת מקובנה לווילנה, שבה נסע ר׳ ישראל, כדי להיות בחברתו זמן רב יותר. אבל השווה פרק 4, הפסקה השנייה בנספח ח: שם מוצע שמקובנה נסע ר׳ ישראל לממל (דרך קלם ואולי שאוול), וילנה הייתה מחוץ לדרכו.</w:t>
      </w:r>
    </w:p>
    <w:p w14:paraId="0B44E675" w14:textId="77777777" w:rsidR="00AB3647" w:rsidRDefault="00000000">
      <w:pPr>
        <w:spacing w:after="0" w:before="0"/>
        <w:jc w:val="both"/>
      </w:pPr>
      <w:r>
        <w:rPr>
          <w:sz w:val="20"/>
          <w:szCs w:val="20"/>
          <w:rtl/>
        </w:rPr>
        <w:t xml:space="preserve">אולי שמע הסבא שר׳ ישראל נמצא בווילנה בדרכו לקובנה, והחליט לנסוע לווילנה וללוות את הרב לקובנה. ראה כץ, “תנועת המוסר”, כרך א, עמ׳ 237, שר׳ ישראל ביקר במינסק ובווילנה באותו קיץ, וכמסופר בפרק 5, הפסקה השביעית בנספח ב, נסע אחר כך לקובנה. ייתכן שהסבא לא הספיק לדבר עם ר׳ ישראל ברכבת (או חש שר׳ ישראל לא יענה לו עד שיתיידד עמו במקצת), ולא הציג את שאלתו עד שהגיעו לקובנה.</w:t>
      </w:r>
    </w:p>
  </w:footnote>
  <w:footnote w:id="1615">
    <w:p w14:paraId="6D49D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מתוך דברי אגב שאמר רבנו בשיעור הדף היומי (פרק 2, הערה 66).</w:t>
      </w:r>
    </w:p>
  </w:footnote>
  <w:footnote w:id="1616">
    <w:p w14:paraId="440FC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1617">
    <w:p w14:paraId="2C2288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w:t>
      </w:r>
    </w:p>
  </w:footnote>
  <w:footnote w:id="1618">
    <w:p w14:paraId="43CC4B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יז</w:t>
      </w:r>
      <w:proofErr w:type="spellEnd"/>
      <w:r>
        <w:rPr>
          <w:sz w:val="20"/>
          <w:szCs w:val="20"/>
          <w:rtl/>
        </w:rPr>
        <w:t xml:space="preserve"> להלן.</w:t>
      </w:r>
    </w:p>
  </w:footnote>
  <w:footnote w:id="1619">
    <w:p w14:paraId="0F784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1620">
    <w:p w14:paraId="15711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1621">
    <w:p w14:paraId="2E0159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667.</w:t>
      </w:r>
    </w:p>
  </w:footnote>
  <w:footnote w:id="1622">
    <w:p w14:paraId="04E517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w:t>
      </w:r>
    </w:p>
  </w:footnote>
  <w:footnote w:id="1623">
    <w:p w14:paraId="63C42B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בנובמבר 1991.</w:t>
      </w:r>
    </w:p>
  </w:footnote>
  <w:footnote w:id="1624">
    <w:p w14:paraId="77C1B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נשוי לאחותה של חמותה של המרואיינת, </w:t>
      </w:r>
      <w:proofErr w:type="spellStart"/>
      <w:r>
        <w:rPr>
          <w:sz w:val="20"/>
          <w:szCs w:val="20"/>
          <w:rtl/>
        </w:rPr>
        <w:t>זלאטה</w:t>
      </w:r>
      <w:proofErr w:type="spellEnd"/>
      <w:r>
        <w:rPr>
          <w:sz w:val="20"/>
          <w:szCs w:val="20"/>
          <w:rtl/>
        </w:rPr>
        <w:t xml:space="preserve"> לבית אפשטיין.</w:t>
      </w:r>
    </w:p>
  </w:footnote>
  <w:footnote w:id="1625">
    <w:p w14:paraId="5DE22F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נאמרה בישיבת רבנו ישראל מאיר הכהן </w:t>
      </w:r>
      <w:proofErr w:type="spellStart"/>
      <w:r>
        <w:rPr>
          <w:sz w:val="20"/>
          <w:szCs w:val="20"/>
          <w:rtl/>
        </w:rPr>
        <w:t>בפורסט</w:t>
      </w:r>
      <w:proofErr w:type="spellEnd"/>
      <w:r>
        <w:rPr>
          <w:sz w:val="20"/>
          <w:szCs w:val="20"/>
          <w:rtl/>
        </w:rPr>
        <w:t xml:space="preserve"> הילס, ניו יורק.</w:t>
      </w:r>
    </w:p>
  </w:footnote>
  <w:footnote w:id="1626">
    <w:p w14:paraId="493BA1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הקדמה, עמ׳ </w:t>
      </w:r>
      <w:proofErr w:type="spellStart"/>
      <w:r>
        <w:rPr>
          <w:sz w:val="20"/>
          <w:szCs w:val="20"/>
          <w:rtl/>
        </w:rPr>
        <w:t>xiv</w:t>
      </w:r>
      <w:proofErr w:type="spellEnd"/>
      <w:r>
        <w:rPr>
          <w:sz w:val="20"/>
          <w:szCs w:val="20"/>
          <w:rtl/>
        </w:rPr>
        <w:t xml:space="preserve"> – </w:t>
      </w:r>
      <w:proofErr w:type="spellStart"/>
      <w:r>
        <w:rPr>
          <w:sz w:val="20"/>
          <w:szCs w:val="20"/>
          <w:rtl/>
        </w:rPr>
        <w:t>ח״ב</w:t>
      </w:r>
      <w:proofErr w:type="spellEnd"/>
      <w:r>
        <w:rPr>
          <w:sz w:val="20"/>
          <w:szCs w:val="20"/>
          <w:rtl/>
        </w:rPr>
        <w:t xml:space="preserve">, עמ׳ </w:t>
      </w:r>
      <w:proofErr w:type="spellStart"/>
      <w:r>
        <w:rPr>
          <w:sz w:val="20"/>
          <w:szCs w:val="20"/>
          <w:rtl/>
        </w:rPr>
        <w:t>סו</w:t>
      </w:r>
      <w:proofErr w:type="spellEnd"/>
      <w:r>
        <w:rPr>
          <w:sz w:val="20"/>
          <w:szCs w:val="20"/>
          <w:rtl/>
        </w:rPr>
        <w:t xml:space="preserve">, בשם ר׳ מאיר </w:t>
      </w:r>
      <w:proofErr w:type="spellStart"/>
      <w:r>
        <w:rPr>
          <w:sz w:val="20"/>
          <w:szCs w:val="20"/>
          <w:rtl/>
        </w:rPr>
        <w:t>חודוש</w:t>
      </w:r>
      <w:proofErr w:type="spellEnd"/>
      <w:r>
        <w:rPr>
          <w:sz w:val="20"/>
          <w:szCs w:val="20"/>
          <w:rtl/>
        </w:rPr>
        <w:t>.</w:t>
      </w:r>
    </w:p>
  </w:footnote>
  <w:footnote w:id="1627">
    <w:p w14:paraId="0FB98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1988.</w:t>
      </w:r>
    </w:p>
  </w:footnote>
  <w:footnote w:id="1628">
    <w:p w14:paraId="5B290A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שו״ת חיים שאל, סימן ע״א, אות ו.</w:t>
      </w:r>
    </w:p>
  </w:footnote>
  <w:footnote w:id="1629">
    <w:p w14:paraId="5089D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פורסם בכתבה קצרה </w:t>
      </w:r>
      <w:proofErr w:type="spellStart"/>
      <w:r>
        <w:rPr>
          <w:sz w:val="20"/>
          <w:szCs w:val="20"/>
          <w:rtl/>
        </w:rPr>
        <w:t>ב“יתד</w:t>
      </w:r>
      <w:proofErr w:type="spellEnd"/>
      <w:r>
        <w:rPr>
          <w:sz w:val="20"/>
          <w:szCs w:val="20"/>
          <w:rtl/>
        </w:rPr>
        <w:t xml:space="preserve"> נאמן” שביקשה עזרה באיתור קברו של ר׳ ישראל </w:t>
      </w:r>
      <w:proofErr w:type="spellStart"/>
      <w:r>
        <w:rPr>
          <w:sz w:val="20"/>
          <w:szCs w:val="20"/>
          <w:rtl/>
        </w:rPr>
        <w:t>בקלינינגרד</w:t>
      </w:r>
      <w:proofErr w:type="spellEnd"/>
      <w:r>
        <w:rPr>
          <w:sz w:val="20"/>
          <w:szCs w:val="20"/>
          <w:rtl/>
        </w:rPr>
        <w:t xml:space="preserve"> של ימינו.</w:t>
      </w:r>
    </w:p>
  </w:footnote>
  <w:footnote w:id="1630">
    <w:p w14:paraId="533D8C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לאיזה גוף מאורגן התכוון הכותב: לחברה קדישא, או לבית הכנסת שבו כיהן ר׳ </w:t>
      </w:r>
      <w:proofErr w:type="spellStart"/>
      <w:r>
        <w:rPr>
          <w:sz w:val="20"/>
          <w:szCs w:val="20"/>
          <w:rtl/>
        </w:rPr>
        <w:t>מאיר־לייבוש</w:t>
      </w:r>
      <w:proofErr w:type="spellEnd"/>
      <w:r>
        <w:rPr>
          <w:sz w:val="20"/>
          <w:szCs w:val="20"/>
          <w:rtl/>
        </w:rPr>
        <w:t xml:space="preserve"> </w:t>
      </w:r>
      <w:proofErr w:type="spellStart"/>
      <w:r>
        <w:rPr>
          <w:sz w:val="20"/>
          <w:szCs w:val="20"/>
          <w:rtl/>
        </w:rPr>
        <w:t>וייזר</w:t>
      </w:r>
      <w:proofErr w:type="spellEnd"/>
      <w:r>
        <w:rPr>
          <w:sz w:val="20"/>
          <w:szCs w:val="20"/>
          <w:rtl/>
        </w:rPr>
        <w:t xml:space="preserve">, </w:t>
      </w:r>
      <w:proofErr w:type="spellStart"/>
      <w:r>
        <w:rPr>
          <w:sz w:val="20"/>
          <w:szCs w:val="20"/>
          <w:rtl/>
        </w:rPr>
        <w:t>המלבי״ם</w:t>
      </w:r>
      <w:proofErr w:type="spellEnd"/>
      <w:r>
        <w:rPr>
          <w:sz w:val="20"/>
          <w:szCs w:val="20"/>
          <w:rtl/>
        </w:rPr>
        <w:t xml:space="preserve">, “בערך ארבע השנים האחרונות של חייו” (יעקב מארק, עמ׳ 151), עד שנפטר בשנת תר״מ, ושר׳ ישראל נקרא לחזקו בחודשי חייו האחרונים – ראה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270 והערה 62 שם.</w:t>
      </w:r>
    </w:p>
  </w:footnote>
  <w:footnote w:id="1631">
    <w:p w14:paraId="7B47A13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תרנ״א חל יום ג׳ לסדר פקודי בל׳ באדר א׳. כ״ג באדר א׳ הוא יום ג׳ לסדר </w:t>
      </w:r>
      <w:proofErr w:type="spellStart"/>
      <w:r>
        <w:rPr>
          <w:sz w:val="20"/>
          <w:szCs w:val="20"/>
          <w:rtl/>
        </w:rPr>
        <w:t>ויקהל</w:t>
      </w:r>
      <w:proofErr w:type="spellEnd"/>
      <w:r>
        <w:rPr>
          <w:sz w:val="20"/>
          <w:szCs w:val="20"/>
          <w:rtl/>
        </w:rPr>
        <w:t>.</w:t>
      </w:r>
    </w:p>
  </w:footnote>
  <w:footnote w:id="1632">
    <w:p w14:paraId="0601D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מרדכי צוקרמן (ראה הערה 17 לעיל) הציע הצעה נועזת: ר׳ ישראל עזב את ליטא כדי שלא להאפיל על תלמידיו, וכדי לאפשר </w:t>
      </w:r>
      <w:r>
        <w:rPr>
          <w:b/>
          <w:bCs/>
          <w:sz w:val="20"/>
          <w:szCs w:val="20"/>
          <w:rtl/>
        </w:rPr>
        <w:t>להם</w:t>
      </w:r>
      <w:r>
        <w:rPr>
          <w:sz w:val="20"/>
          <w:szCs w:val="20"/>
          <w:rtl/>
        </w:rPr>
        <w:t xml:space="preserve"> להטביע את חותמם על עולם התורה. ועיין רש״י חולין ריש ז׳ ע״א ד״ה מקום הניחו. ר׳ מרדכי צוקרמן היה קרוב מאוד לגיסו של אבי, ר׳ אברהם </w:t>
      </w:r>
      <w:proofErr w:type="spellStart"/>
      <w:r>
        <w:rPr>
          <w:sz w:val="20"/>
          <w:szCs w:val="20"/>
          <w:rtl/>
        </w:rPr>
        <w:t>גרודזינסקי</w:t>
      </w:r>
      <w:proofErr w:type="spellEnd"/>
      <w:r>
        <w:rPr>
          <w:sz w:val="20"/>
          <w:szCs w:val="20"/>
          <w:rtl/>
        </w:rPr>
        <w:t xml:space="preserve">, בגטו </w:t>
      </w:r>
      <w:proofErr w:type="spellStart"/>
      <w:r>
        <w:rPr>
          <w:sz w:val="20"/>
          <w:szCs w:val="20"/>
          <w:rtl/>
        </w:rPr>
        <w:t>סלבודקה</w:t>
      </w:r>
      <w:proofErr w:type="spellEnd"/>
      <w:r>
        <w:rPr>
          <w:sz w:val="20"/>
          <w:szCs w:val="20"/>
          <w:rtl/>
        </w:rPr>
        <w:t>, ובילה עמו שעה בכל יום במשך שלוש שנים.</w:t>
      </w:r>
    </w:p>
    <w:p w14:paraId="105499EB" w14:textId="77777777" w:rsidR="00AB3647" w:rsidRDefault="00000000">
      <w:pPr>
        <w:spacing w:after="0" w:before="0"/>
        <w:jc w:val="both"/>
      </w:pPr>
      <w:r>
        <w:rPr>
          <w:sz w:val="20"/>
          <w:szCs w:val="20"/>
          <w:rtl/>
        </w:rPr>
        <w:t xml:space="preserve">יש לשער שהקשר של ר׳ מרדכי עם ר׳ אברהם – שאבי תיארו כאחרון בעלי המוסר – הוא שהביא אותו לתאר את ר׳ ישראל </w:t>
      </w:r>
      <w:proofErr w:type="spellStart"/>
      <w:r>
        <w:rPr>
          <w:sz w:val="20"/>
          <w:szCs w:val="20"/>
          <w:rtl/>
        </w:rPr>
        <w:t>סלנטר</w:t>
      </w:r>
      <w:proofErr w:type="spellEnd"/>
      <w:r>
        <w:rPr>
          <w:sz w:val="20"/>
          <w:szCs w:val="20"/>
          <w:rtl/>
        </w:rPr>
        <w:t xml:space="preserve"> כמי שמוותר על עצמו למען זולתו במידה שקשה להאמין. השווה גם פרק 5, סוף נספח ב: ר׳ אברהם הרבה מאוד לדבר על ר׳ ישראל. והשווה גם תחילת הפסקה השנייה בנספח </w:t>
      </w:r>
      <w:proofErr w:type="spellStart"/>
      <w:r>
        <w:rPr>
          <w:sz w:val="20"/>
          <w:szCs w:val="20"/>
          <w:rtl/>
        </w:rPr>
        <w:t>כו</w:t>
      </w:r>
      <w:proofErr w:type="spellEnd"/>
      <w:r>
        <w:rPr>
          <w:sz w:val="20"/>
          <w:szCs w:val="20"/>
          <w:rtl/>
        </w:rPr>
        <w:t xml:space="preserve"> להלן, כיצד הגדיר ר׳ ישראל את החסיד האמיתי: מי שמקריב את התקדמותו הרוחנית שלו למען התקדמותו של אחר. מימרה זו של ר׳ ישראל מקרבת את הצעתו של ר׳ מרדכי צוקרמן אל הדעת, אף שאין לה ראיה.</w:t>
      </w:r>
    </w:p>
  </w:footnote>
  <w:footnote w:id="1633">
    <w:p w14:paraId="18A19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ז.</w:t>
      </w:r>
    </w:p>
  </w:footnote>
  <w:footnote w:id="1634">
    <w:p w14:paraId="0A1F32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א לעיל.</w:t>
      </w:r>
    </w:p>
  </w:footnote>
  <w:footnote w:id="1635">
    <w:p w14:paraId="69D04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“מקצה”, במובנה הפשוט – כמודגש – אינה יכולה לרמוז לברלין, מקום מגוריו של לחמן, שכן בגרמניה של אותה תקופה שכנה ברלין במרכז הארץ. יש לנו כאן אפוא מקרה נוסף שבו מתואר לחמן כמי שבא מהמבורג, עיר שבקצה המערבי של גרמניה – השווה הפסקה הראשונה בנספח א לעיל, ופרק 4, סוף נספח ז. (אפשר לפרש את המילה “מקצה” גם “מן המרחק”, אם כי פירוש זה אינו רגיל.)</w:t>
      </w:r>
    </w:p>
  </w:footnote>
  <w:footnote w:id="1636">
    <w:p w14:paraId="76FCD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נח–114.</w:t>
      </w:r>
    </w:p>
  </w:footnote>
  <w:footnote w:id="1637">
    <w:p w14:paraId="5BDE95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 בספטמבר 1993.</w:t>
      </w:r>
    </w:p>
  </w:footnote>
  <w:footnote w:id="1638">
    <w:p w14:paraId="05166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יב</w:t>
      </w:r>
      <w:proofErr w:type="spellEnd"/>
      <w:r>
        <w:rPr>
          <w:sz w:val="20"/>
          <w:szCs w:val="20"/>
          <w:rtl/>
        </w:rPr>
        <w:t>, ג.</w:t>
      </w:r>
    </w:p>
  </w:footnote>
  <w:footnote w:id="1639">
    <w:p w14:paraId="46EEC3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תחילת הפסקה השנייה של נספח ב.</w:t>
      </w:r>
    </w:p>
  </w:footnote>
  <w:footnote w:id="1640">
    <w:p w14:paraId="50D0A6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 לפרטים חשובים בעניין זה.</w:t>
      </w:r>
    </w:p>
  </w:footnote>
  <w:footnote w:id="1641">
    <w:p w14:paraId="6F9A0C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10 במרץ 1999.</w:t>
      </w:r>
    </w:p>
  </w:footnote>
  <w:footnote w:id="1642">
    <w:p w14:paraId="03D43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ב־9 בנובמבר 1996 סיפר ר׳ משה </w:t>
      </w:r>
      <w:proofErr w:type="spellStart"/>
      <w:r>
        <w:rPr>
          <w:sz w:val="20"/>
          <w:szCs w:val="20"/>
          <w:rtl/>
        </w:rPr>
        <w:t>דבורץ</w:t>
      </w:r>
      <w:proofErr w:type="spellEnd"/>
      <w:r>
        <w:rPr>
          <w:sz w:val="20"/>
          <w:szCs w:val="20"/>
          <w:rtl/>
        </w:rPr>
        <w:t xml:space="preserve"> ששמע זאת מאבי בפגישה בנתניה.</w:t>
      </w:r>
    </w:p>
  </w:footnote>
  <w:footnote w:id="1643">
    <w:p w14:paraId="7F40C0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 בנובמבר 1995.</w:t>
      </w:r>
    </w:p>
  </w:footnote>
  <w:footnote w:id="1644">
    <w:p w14:paraId="7230DA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12 בינואר 1988.</w:t>
      </w:r>
    </w:p>
  </w:footnote>
  <w:footnote w:id="1645">
    <w:p w14:paraId="57358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אפשר לתרגם מיידיש את החלק השני של המשפט האחרון של ר׳ אהרן גם כך: הוא תמיד חשב שכשרונו פחות ממה שהיה באמת.</w:t>
      </w:r>
    </w:p>
  </w:footnote>
  <w:footnote w:id="1646">
    <w:p w14:paraId="3BACC2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בנובמבר 1987.</w:t>
      </w:r>
    </w:p>
  </w:footnote>
  <w:footnote w:id="1647">
    <w:p w14:paraId="6DB076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הערות 1 ו־11.</w:t>
      </w:r>
    </w:p>
  </w:footnote>
  <w:footnote w:id="1648">
    <w:p w14:paraId="25B2D6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יו״ד סי׳ רמ״ב ס״ד.</w:t>
      </w:r>
    </w:p>
  </w:footnote>
  <w:footnote w:id="1649">
    <w:p w14:paraId="58DD7A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14 בינואר 1988.</w:t>
      </w:r>
    </w:p>
  </w:footnote>
  <w:footnote w:id="1650">
    <w:p w14:paraId="43BF97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131–133.</w:t>
      </w:r>
    </w:p>
  </w:footnote>
  <w:footnote w:id="1651">
    <w:p w14:paraId="283059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נקראו פרושים רק משום שנשותיהם (וילדיהם) לא היו עמם אלא בבתי חותניהם.</w:t>
      </w:r>
    </w:p>
  </w:footnote>
  <w:footnote w:id="1652">
    <w:p w14:paraId="61DA50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132.</w:t>
      </w:r>
    </w:p>
  </w:footnote>
  <w:footnote w:id="1653">
    <w:p w14:paraId="0F539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 לעיל.</w:t>
      </w:r>
    </w:p>
  </w:footnote>
  <w:footnote w:id="1654">
    <w:p w14:paraId="13DB1C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ח להלן, ופרק 4, הערה 8. והשווה גם הפסקה השלישית בנספח יד להלן, על דאגתו של הרב </w:t>
      </w:r>
      <w:proofErr w:type="spellStart"/>
      <w:r>
        <w:rPr>
          <w:sz w:val="20"/>
          <w:szCs w:val="20"/>
          <w:rtl/>
        </w:rPr>
        <w:t>שטרנפלד</w:t>
      </w:r>
      <w:proofErr w:type="spellEnd"/>
      <w:r>
        <w:rPr>
          <w:sz w:val="20"/>
          <w:szCs w:val="20"/>
          <w:rtl/>
        </w:rPr>
        <w:t xml:space="preserve"> לשלום ישיבת </w:t>
      </w:r>
      <w:proofErr w:type="spellStart"/>
      <w:r>
        <w:rPr>
          <w:sz w:val="20"/>
          <w:szCs w:val="20"/>
          <w:rtl/>
        </w:rPr>
        <w:t>וולוז׳ין</w:t>
      </w:r>
      <w:proofErr w:type="spellEnd"/>
      <w:r>
        <w:rPr>
          <w:sz w:val="20"/>
          <w:szCs w:val="20"/>
          <w:rtl/>
        </w:rPr>
        <w:t xml:space="preserve"> שמונה שנים לאחר מכן.</w:t>
      </w:r>
    </w:p>
  </w:footnote>
  <w:footnote w:id="1655">
    <w:p w14:paraId="57E01A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w:t>
      </w:r>
    </w:p>
  </w:footnote>
  <w:footnote w:id="1656">
    <w:p w14:paraId="4B69A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ניכר </w:t>
      </w:r>
      <w:proofErr w:type="spellStart"/>
      <w:r>
        <w:rPr>
          <w:sz w:val="20"/>
          <w:szCs w:val="20"/>
          <w:rtl/>
        </w:rPr>
        <w:t>ב“זכרון</w:t>
      </w:r>
      <w:proofErr w:type="spellEnd"/>
      <w:r>
        <w:rPr>
          <w:sz w:val="20"/>
          <w:szCs w:val="20"/>
          <w:rtl/>
        </w:rPr>
        <w:t xml:space="preserve"> יעקב”, כרך ג, הפסקה האחרונה בעמ׳ 224. והשווה גם שם, עמ׳ 125: המחבר, ר׳ יעקב הלוי ליפשיץ, לא היה נוח לו להיענות לבקשת ר׳ ישראל </w:t>
      </w:r>
      <w:proofErr w:type="spellStart"/>
      <w:r>
        <w:rPr>
          <w:sz w:val="20"/>
          <w:szCs w:val="20"/>
          <w:rtl/>
        </w:rPr>
        <w:t>סלנטר</w:t>
      </w:r>
      <w:proofErr w:type="spellEnd"/>
      <w:r>
        <w:rPr>
          <w:sz w:val="20"/>
          <w:szCs w:val="20"/>
          <w:rtl/>
        </w:rPr>
        <w:t xml:space="preserve"> לבוא לראותו, לאחר שר׳ ישראל נעדר מקובנה </w:t>
      </w:r>
      <w:proofErr w:type="spellStart"/>
      <w:r>
        <w:rPr>
          <w:sz w:val="20"/>
          <w:szCs w:val="20"/>
          <w:rtl/>
        </w:rPr>
        <w:t>שתים־עשרה</w:t>
      </w:r>
      <w:proofErr w:type="spellEnd"/>
      <w:r>
        <w:rPr>
          <w:sz w:val="20"/>
          <w:szCs w:val="20"/>
          <w:rtl/>
        </w:rPr>
        <w:t xml:space="preserve"> שנה, “משום שחשש (ליפשיץ) שקוראים לו בגלל התנגדותו לכך שתלמידי ר׳ ישראל יכניסו את המוסר לכולל בכוח”.</w:t>
      </w:r>
    </w:p>
  </w:footnote>
  <w:footnote w:id="1657">
    <w:p w14:paraId="2F009B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289–291.</w:t>
      </w:r>
    </w:p>
  </w:footnote>
  <w:footnote w:id="1658">
    <w:p w14:paraId="45523E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 בשבט תרמ״ה.</w:t>
      </w:r>
    </w:p>
  </w:footnote>
  <w:footnote w:id="1659">
    <w:p w14:paraId="7F43C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תפילת “מי שברך” שאחרי קריאת התורה נזכרת כאמצעי להכרזה על הנדבות.</w:t>
      </w:r>
    </w:p>
  </w:footnote>
  <w:footnote w:id="1660">
    <w:p w14:paraId="67749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ברור מן המשפט הזה אם אלה </w:t>
      </w:r>
      <w:proofErr w:type="spellStart"/>
      <w:r>
        <w:rPr>
          <w:sz w:val="20"/>
          <w:szCs w:val="20"/>
          <w:rtl/>
        </w:rPr>
        <w:t>ש“אוספים</w:t>
      </w:r>
      <w:proofErr w:type="spellEnd"/>
      <w:r>
        <w:rPr>
          <w:sz w:val="20"/>
          <w:szCs w:val="20"/>
          <w:rtl/>
        </w:rPr>
        <w:t xml:space="preserve"> נדבות... לכולל פרושים” היו משולחים מקצועיים או מתנדבים מבין התושבים המקומיים, אבל מהקשר המשפט הבא של הכותב עולה שכוונתו למשולחים מקצועיים.</w:t>
      </w:r>
    </w:p>
  </w:footnote>
  <w:footnote w:id="1661">
    <w:p w14:paraId="7FC490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 באפריל 1996.</w:t>
      </w:r>
    </w:p>
  </w:footnote>
  <w:footnote w:id="1662">
    <w:p w14:paraId="32DA42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בברוקלין, </w:t>
      </w:r>
      <w:proofErr w:type="spellStart"/>
      <w:r>
        <w:rPr>
          <w:sz w:val="20"/>
          <w:szCs w:val="20"/>
          <w:rtl/>
        </w:rPr>
        <w:t xml:space="preserve">ניו יורק</w:t>
      </w:r>
      <w:proofErr w:type="spellEnd"/>
      <w:r>
        <w:rPr>
          <w:sz w:val="20"/>
          <w:szCs w:val="20"/>
          <w:rtl/>
        </w:rPr>
        <w:t xml:space="preserve"/>
      </w:r>
      <w:proofErr w:type="spellStart"/>
      <w:r>
        <w:rPr>
          <w:sz w:val="20"/>
          <w:szCs w:val="20"/>
          <w:rtl/>
        </w:rPr>
        <w:t xml:space="preserve"/>
      </w:r>
      <w:proofErr w:type="spellEnd"/>
      <w:r>
        <w:rPr>
          <w:sz w:val="20"/>
          <w:szCs w:val="20"/>
          <w:rtl/>
        </w:rPr>
        <w:t xml:space="preserve">, תשנ״ב – עמ׳ </w:t>
      </w:r>
      <w:proofErr w:type="spellStart"/>
      <w:r>
        <w:rPr>
          <w:sz w:val="20"/>
          <w:szCs w:val="20"/>
          <w:rtl/>
        </w:rPr>
        <w:t>תנח</w:t>
      </w:r>
      <w:proofErr w:type="spellEnd"/>
      <w:r>
        <w:rPr>
          <w:sz w:val="20"/>
          <w:szCs w:val="20"/>
          <w:rtl/>
        </w:rPr>
        <w:t>.</w:t>
      </w:r>
    </w:p>
  </w:footnote>
  <w:footnote w:id="1663">
    <w:p w14:paraId="7A32C3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אוניברסיטת </w:t>
      </w:r>
      <w:proofErr w:type="spellStart"/>
      <w:r>
        <w:rPr>
          <w:sz w:val="20"/>
          <w:szCs w:val="20"/>
          <w:rtl/>
        </w:rPr>
        <w:t>בר־אילן</w:t>
      </w:r>
      <w:proofErr w:type="spellEnd"/>
      <w:r>
        <w:rPr>
          <w:sz w:val="20"/>
          <w:szCs w:val="20"/>
          <w:rtl/>
        </w:rPr>
        <w:t>, תשמ״ח – עמ׳ 23.</w:t>
      </w:r>
    </w:p>
  </w:footnote>
  <w:footnote w:id="1664">
    <w:p w14:paraId="0878A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נמסר בידי צאצאיו של משולח של ישיבת </w:t>
      </w:r>
      <w:proofErr w:type="spellStart"/>
      <w:r>
        <w:rPr>
          <w:sz w:val="20"/>
          <w:szCs w:val="20"/>
          <w:rtl/>
        </w:rPr>
        <w:t>מיר</w:t>
      </w:r>
      <w:proofErr w:type="spellEnd"/>
      <w:r>
        <w:rPr>
          <w:sz w:val="20"/>
          <w:szCs w:val="20"/>
          <w:rtl/>
        </w:rPr>
        <w:t xml:space="preserve">, ר׳ ישראל </w:t>
      </w:r>
      <w:proofErr w:type="spellStart"/>
      <w:r>
        <w:rPr>
          <w:sz w:val="20"/>
          <w:szCs w:val="20"/>
          <w:rtl/>
        </w:rPr>
        <w:t>הירשוביץ</w:t>
      </w:r>
      <w:proofErr w:type="spellEnd"/>
      <w:r>
        <w:rPr>
          <w:sz w:val="20"/>
          <w:szCs w:val="20"/>
          <w:rtl/>
        </w:rPr>
        <w:t xml:space="preserve">, ונדפס </w:t>
      </w:r>
      <w:proofErr w:type="spellStart"/>
      <w:r>
        <w:rPr>
          <w:sz w:val="20"/>
          <w:szCs w:val="20"/>
          <w:rtl/>
        </w:rPr>
        <w:t>ב“ויעל</w:t>
      </w:r>
      <w:proofErr w:type="spellEnd"/>
      <w:r>
        <w:rPr>
          <w:sz w:val="20"/>
          <w:szCs w:val="20"/>
          <w:rtl/>
        </w:rPr>
        <w:t xml:space="preserve"> אליהו”, ספר זיכרון </w:t>
      </w:r>
      <w:proofErr w:type="spellStart"/>
      <w:r>
        <w:rPr>
          <w:sz w:val="20"/>
          <w:szCs w:val="20"/>
          <w:rtl/>
        </w:rPr>
        <w:t>להבחור</w:t>
      </w:r>
      <w:proofErr w:type="spellEnd"/>
      <w:r>
        <w:rPr>
          <w:sz w:val="20"/>
          <w:szCs w:val="20"/>
          <w:rtl/>
        </w:rPr>
        <w:t xml:space="preserve"> הנעלה חיים אליהו מנחם ג׳י, ז״ל (לונדון, </w:t>
      </w:r>
      <w:proofErr w:type="spellStart"/>
      <w:r>
        <w:rPr>
          <w:sz w:val="20"/>
          <w:szCs w:val="20"/>
          <w:rtl/>
        </w:rPr>
        <w:t>תנש״א</w:t>
      </w:r>
      <w:proofErr w:type="spellEnd"/>
      <w:r>
        <w:rPr>
          <w:sz w:val="20"/>
          <w:szCs w:val="20"/>
          <w:rtl/>
        </w:rPr>
        <w:t xml:space="preserve">), עמ׳ </w:t>
      </w:r>
      <w:proofErr w:type="spellStart"/>
      <w:r>
        <w:rPr>
          <w:sz w:val="20"/>
          <w:szCs w:val="20"/>
          <w:rtl/>
        </w:rPr>
        <w:t>רכג</w:t>
      </w:r>
      <w:proofErr w:type="spellEnd"/>
      <w:r>
        <w:rPr>
          <w:sz w:val="20"/>
          <w:szCs w:val="20"/>
          <w:rtl/>
        </w:rPr>
        <w:t>.</w:t>
      </w:r>
    </w:p>
  </w:footnote>
  <w:footnote w:id="1665">
    <w:p w14:paraId="18FB93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ביולי 1997.</w:t>
      </w:r>
    </w:p>
  </w:footnote>
  <w:footnote w:id="1666">
    <w:p w14:paraId="0646F5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כשנסגרה </w:t>
      </w:r>
      <w:proofErr w:type="spellStart"/>
      <w:r>
        <w:rPr>
          <w:sz w:val="20"/>
          <w:szCs w:val="20"/>
          <w:rtl/>
        </w:rPr>
        <w:t>וולוז׳ין</w:t>
      </w:r>
      <w:proofErr w:type="spellEnd"/>
      <w:r>
        <w:rPr>
          <w:sz w:val="20"/>
          <w:szCs w:val="20"/>
          <w:rtl/>
        </w:rPr>
        <w:t xml:space="preserve"> החליט ר׳ </w:t>
      </w:r>
      <w:proofErr w:type="spellStart"/>
      <w:r>
        <w:rPr>
          <w:sz w:val="20"/>
          <w:szCs w:val="20"/>
          <w:rtl/>
        </w:rPr>
        <w:t>שלום־אליעזר</w:t>
      </w:r>
      <w:proofErr w:type="spellEnd"/>
      <w:r>
        <w:rPr>
          <w:sz w:val="20"/>
          <w:szCs w:val="20"/>
          <w:rtl/>
        </w:rPr>
        <w:t xml:space="preserve"> להישאר בארצות הברית ולפתוח בית כנסת על שם הגאון מווילנה ברחוב </w:t>
      </w:r>
      <w:proofErr w:type="spellStart"/>
      <w:r>
        <w:rPr>
          <w:sz w:val="20"/>
          <w:szCs w:val="20"/>
          <w:rtl/>
        </w:rPr>
        <w:t>קווינסי</w:t>
      </w:r>
      <w:proofErr w:type="spellEnd"/>
      <w:r>
        <w:rPr>
          <w:sz w:val="20"/>
          <w:szCs w:val="20"/>
          <w:rtl/>
        </w:rPr>
        <w:t xml:space="preserve"> בברוקלין.</w:t>
      </w:r>
    </w:p>
  </w:footnote>
  <w:footnote w:id="1667">
    <w:p w14:paraId="6B5683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השנייה בכינוי, “</w:t>
      </w:r>
      <w:proofErr w:type="spellStart"/>
      <w:r>
        <w:rPr>
          <w:sz w:val="20"/>
          <w:szCs w:val="20"/>
          <w:rtl/>
        </w:rPr>
        <w:t>אדרעי</w:t>
      </w:r>
      <w:proofErr w:type="spellEnd"/>
      <w:r>
        <w:rPr>
          <w:sz w:val="20"/>
          <w:szCs w:val="20"/>
          <w:rtl/>
        </w:rPr>
        <w:t xml:space="preserve">”, בירת ממלכת עוג מלך הבשן במקרא (במדבר </w:t>
      </w:r>
      <w:proofErr w:type="spellStart"/>
      <w:r>
        <w:rPr>
          <w:sz w:val="20"/>
          <w:szCs w:val="20"/>
          <w:rtl/>
        </w:rPr>
        <w:t>כא</w:t>
      </w:r>
      <w:proofErr w:type="spellEnd"/>
      <w:r>
        <w:rPr>
          <w:sz w:val="20"/>
          <w:szCs w:val="20"/>
          <w:rtl/>
        </w:rPr>
        <w:t xml:space="preserve">, לג ועוד), מסווה את עיר הולדתו של המחבר, </w:t>
      </w:r>
      <w:proofErr w:type="spellStart"/>
      <w:r>
        <w:rPr>
          <w:sz w:val="20"/>
          <w:szCs w:val="20"/>
          <w:rtl/>
        </w:rPr>
        <w:t>דרויה</w:t>
      </w:r>
      <w:proofErr w:type="spellEnd"/>
      <w:r>
        <w:rPr>
          <w:sz w:val="20"/>
          <w:szCs w:val="20"/>
          <w:rtl/>
        </w:rPr>
        <w:t xml:space="preserve">, סמוך לווילנה.</w:t>
      </w:r>
    </w:p>
  </w:footnote>
  <w:footnote w:id="1668">
    <w:p w14:paraId="7103B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נקרא “מאסף ספרותי”, ויצא לאור </w:t>
      </w:r>
      <w:proofErr w:type="spellStart"/>
      <w:r>
        <w:rPr>
          <w:sz w:val="20"/>
          <w:szCs w:val="20"/>
          <w:rtl/>
        </w:rPr>
        <w:t>בברדיטשוב</w:t>
      </w:r>
      <w:proofErr w:type="spellEnd"/>
      <w:r>
        <w:rPr>
          <w:sz w:val="20"/>
          <w:szCs w:val="20"/>
          <w:rtl/>
        </w:rPr>
        <w:t xml:space="preserve"> בשנת תרנ״ה (להלן: “תלפיות [תרנ״ה]”).</w:t>
      </w:r>
    </w:p>
  </w:footnote>
  <w:footnote w:id="1669">
    <w:p w14:paraId="365EF0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הכותב חותם את המשפט בקריאה הצינית “שיטה נפלאה!”.</w:t>
      </w:r>
    </w:p>
  </w:footnote>
  <w:footnote w:id="1670">
    <w:p w14:paraId="73334E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20 לעיל.</w:t>
      </w:r>
    </w:p>
  </w:footnote>
  <w:footnote w:id="1671">
    <w:p w14:paraId="12524F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זה מובא בפרק 5, באמצע הפסקה הראשונה בנספח ו.</w:t>
      </w:r>
    </w:p>
  </w:footnote>
  <w:footnote w:id="1672">
    <w:p w14:paraId="7ACC5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בתארו את תלמידי ישיבת </w:t>
      </w:r>
      <w:proofErr w:type="spellStart"/>
      <w:r>
        <w:rPr>
          <w:sz w:val="20"/>
          <w:szCs w:val="20"/>
          <w:rtl/>
        </w:rPr>
        <w:t>וולוז׳ין</w:t>
      </w:r>
      <w:proofErr w:type="spellEnd"/>
      <w:r>
        <w:rPr>
          <w:sz w:val="20"/>
          <w:szCs w:val="20"/>
          <w:rtl/>
        </w:rPr>
        <w:t xml:space="preserve"> הוא אומר: “כותב הטורים האלה נמנה עמהם”. ראה גם פרק 4, הערה 67, וספרו של </w:t>
      </w:r>
      <w:proofErr w:type="spellStart"/>
      <w:r>
        <w:rPr>
          <w:sz w:val="20"/>
          <w:szCs w:val="20"/>
          <w:rtl/>
        </w:rPr>
        <w:t>דרויאנוב</w:t>
      </w:r>
      <w:proofErr w:type="spellEnd"/>
      <w:r>
        <w:rPr>
          <w:sz w:val="20"/>
          <w:szCs w:val="20"/>
          <w:rtl/>
        </w:rPr>
        <w:t xml:space="preserve"> “ספר הבדיחה והחידוד”, כרך ג׳ (דביר, תרצ״ח), עמ׳ 402–403: שם הוא מספר שלמד </w:t>
      </w:r>
      <w:proofErr w:type="spellStart"/>
      <w:r>
        <w:rPr>
          <w:sz w:val="20"/>
          <w:szCs w:val="20"/>
          <w:rtl/>
        </w:rPr>
        <w:t>בוולוז׳ין</w:t>
      </w:r>
      <w:proofErr w:type="spellEnd"/>
      <w:r>
        <w:rPr>
          <w:sz w:val="20"/>
          <w:szCs w:val="20"/>
          <w:rtl/>
        </w:rPr>
        <w:t xml:space="preserve"> בסוף שנות </w:t>
      </w:r>
      <w:proofErr w:type="spellStart"/>
      <w:r>
        <w:rPr>
          <w:sz w:val="20"/>
          <w:szCs w:val="20"/>
          <w:rtl/>
        </w:rPr>
        <w:t xml:space="preserve">התר״מ</w:t>
      </w:r>
      <w:proofErr w:type="spellEnd"/>
      <w:r>
        <w:rPr>
          <w:sz w:val="20"/>
          <w:szCs w:val="20"/>
          <w:rtl/>
        </w:rPr>
        <w:t xml:space="preserve">, אחיו “22 שנה לפניו”, ואביו עוד 17 שנה קודם לכן, “כ־45 שנה אחרי ייסוד הישיבה”.</w:t>
      </w:r>
    </w:p>
  </w:footnote>
  <w:footnote w:id="1673">
    <w:p w14:paraId="0CEA3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בערך על </w:t>
      </w:r>
      <w:proofErr w:type="spellStart"/>
      <w:r>
        <w:rPr>
          <w:sz w:val="20"/>
          <w:szCs w:val="20"/>
          <w:rtl/>
        </w:rPr>
        <w:t>דרויאנוב</w:t>
      </w:r>
      <w:proofErr w:type="spellEnd"/>
      <w:r>
        <w:rPr>
          <w:sz w:val="20"/>
          <w:szCs w:val="20"/>
          <w:rtl/>
        </w:rPr>
        <w:t xml:space="preserve"> </w:t>
      </w:r>
      <w:proofErr w:type="spellStart"/>
      <w:r>
        <w:rPr>
          <w:sz w:val="20"/>
          <w:szCs w:val="20"/>
          <w:rtl/>
        </w:rPr>
        <w:t>ב“לכסיקון</w:t>
      </w:r>
      <w:proofErr w:type="spellEnd"/>
      <w:r>
        <w:rPr>
          <w:sz w:val="20"/>
          <w:szCs w:val="20"/>
          <w:rtl/>
        </w:rPr>
        <w:t xml:space="preserve"> הספרות העברית בדורות האחרונים” (ספריית הפועלים, תשכ״ה) של </w:t>
      </w:r>
      <w:proofErr w:type="spellStart"/>
      <w:r>
        <w:rPr>
          <w:sz w:val="20"/>
          <w:szCs w:val="20"/>
          <w:rtl/>
        </w:rPr>
        <w:t>קרסל</w:t>
      </w:r>
      <w:proofErr w:type="spellEnd"/>
      <w:r>
        <w:rPr>
          <w:sz w:val="20"/>
          <w:szCs w:val="20"/>
          <w:rtl/>
        </w:rPr>
        <w:t xml:space="preserve"> אין כל ראיה לכך שביקר אי פעם בקובנה.</w:t>
      </w:r>
    </w:p>
  </w:footnote>
  <w:footnote w:id="1674">
    <w:p w14:paraId="109720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(נספח ב לעיל), עמ׳ 42 ו־48.</w:t>
      </w:r>
    </w:p>
  </w:footnote>
  <w:footnote w:id="1675">
    <w:p w14:paraId="10B4D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הרב דב </w:t>
      </w:r>
      <w:proofErr w:type="spellStart"/>
      <w:r>
        <w:rPr>
          <w:sz w:val="20"/>
          <w:szCs w:val="20"/>
          <w:rtl/>
        </w:rPr>
        <w:t>כ״ץ</w:t>
      </w:r>
      <w:proofErr w:type="spellEnd"/>
      <w:r>
        <w:rPr>
          <w:sz w:val="20"/>
          <w:szCs w:val="20"/>
          <w:rtl/>
        </w:rPr>
        <w:t xml:space="preserve"> (ירושלים, תשל״ב) (להלן: פולמוס המוסר) – עמ׳ 41–50. מספר זה מופיע בעמ׳ 45.</w:t>
      </w:r>
    </w:p>
  </w:footnote>
  <w:footnote w:id="1676">
    <w:p w14:paraId="04054B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53.</w:t>
      </w:r>
    </w:p>
  </w:footnote>
  <w:footnote w:id="1677">
    <w:p w14:paraId="5A2DE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נצח, תל אביב, </w:t>
      </w:r>
      <w:proofErr w:type="spellStart"/>
      <w:r>
        <w:rPr>
          <w:sz w:val="20"/>
          <w:szCs w:val="20"/>
          <w:rtl/>
        </w:rPr>
        <w:t>התש״ד</w:t>
      </w:r>
      <w:proofErr w:type="spellEnd"/>
      <w:r>
        <w:rPr>
          <w:sz w:val="20"/>
          <w:szCs w:val="20"/>
          <w:rtl/>
        </w:rPr>
        <w:t xml:space="preserve"> – עמ׳ 37.</w:t>
      </w:r>
    </w:p>
  </w:footnote>
  <w:footnote w:id="1678">
    <w:p w14:paraId="2E39AA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הרביעית בנספח ו.</w:t>
      </w:r>
    </w:p>
  </w:footnote>
  <w:footnote w:id="1679">
    <w:p w14:paraId="7540B7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1680">
    <w:p w14:paraId="4ED4A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נדפס שוב </w:t>
      </w:r>
      <w:proofErr w:type="spellStart"/>
      <w:r>
        <w:rPr>
          <w:sz w:val="20"/>
          <w:szCs w:val="20"/>
          <w:rtl/>
        </w:rPr>
        <w:t>ב“הגיון</w:t>
      </w:r>
      <w:proofErr w:type="spellEnd"/>
      <w:r>
        <w:rPr>
          <w:sz w:val="20"/>
          <w:szCs w:val="20"/>
          <w:rtl/>
        </w:rPr>
        <w:t xml:space="preserve"> ישעיה”, “כתבים שחוברו, חודשו ונכתבו בידי הגאון רבי ישעיה... </w:t>
      </w:r>
      <w:proofErr w:type="spellStart"/>
      <w:r>
        <w:rPr>
          <w:sz w:val="20"/>
          <w:szCs w:val="20"/>
          <w:rtl/>
        </w:rPr>
        <w:t>קרלינסקי</w:t>
      </w:r>
      <w:proofErr w:type="spellEnd"/>
      <w:r>
        <w:rPr>
          <w:sz w:val="20"/>
          <w:szCs w:val="20"/>
          <w:rtl/>
        </w:rPr>
        <w:t xml:space="preserve">” (יצא לאור מכתב יד בידי בני המשפחה, ירושלים, תשנ״ט). ראה שם, עמ׳ </w:t>
      </w:r>
      <w:proofErr w:type="spellStart"/>
      <w:r>
        <w:rPr>
          <w:sz w:val="20"/>
          <w:szCs w:val="20"/>
          <w:rtl/>
        </w:rPr>
        <w:t>כב</w:t>
      </w:r>
      <w:proofErr w:type="spellEnd"/>
      <w:r>
        <w:rPr>
          <w:sz w:val="20"/>
          <w:szCs w:val="20"/>
          <w:rtl/>
        </w:rPr>
        <w:t>.</w:t>
      </w:r>
    </w:p>
  </w:footnote>
  <w:footnote w:id="1681">
    <w:p w14:paraId="4F26A5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פרטים נוספים על תהליך פתיחתה מחדש של הישיבה בפרק 5, תחילת הפסקה הרביעית בנספח ו.</w:t>
      </w:r>
    </w:p>
  </w:footnote>
  <w:footnote w:id="1682">
    <w:p w14:paraId="189FA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הפסקה השישית בנספח א – עמ׳ 355.</w:t>
      </w:r>
    </w:p>
  </w:footnote>
  <w:footnote w:id="1683">
    <w:p w14:paraId="3F1515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מרכז זלמן שזר לתולדות ישראל, ירושלים, תשנ״ה (להלן: </w:t>
      </w:r>
      <w:proofErr w:type="spellStart"/>
      <w:r>
        <w:rPr>
          <w:sz w:val="20"/>
          <w:szCs w:val="20"/>
          <w:rtl/>
        </w:rPr>
        <w:t>שטמפפר</w:t>
      </w:r>
      <w:proofErr w:type="spellEnd"/>
      <w:r>
        <w:rPr>
          <w:sz w:val="20"/>
          <w:szCs w:val="20"/>
          <w:rtl/>
        </w:rPr>
        <w:t>) – עמ׳ 217.</w:t>
      </w:r>
    </w:p>
  </w:footnote>
  <w:footnote w:id="1684">
    <w:p w14:paraId="26F75B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תל אביב תשל״ג – עמ׳ </w:t>
      </w:r>
      <w:proofErr w:type="spellStart"/>
      <w:r>
        <w:rPr>
          <w:sz w:val="20"/>
          <w:szCs w:val="20"/>
          <w:rtl/>
        </w:rPr>
        <w:t>כג</w:t>
      </w:r>
      <w:proofErr w:type="spellEnd"/>
      <w:r>
        <w:rPr>
          <w:sz w:val="20"/>
          <w:szCs w:val="20"/>
          <w:rtl/>
        </w:rPr>
        <w:t>.</w:t>
      </w:r>
    </w:p>
  </w:footnote>
  <w:footnote w:id="1685">
    <w:p w14:paraId="7A718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לח, בשם נכדו ר׳ ראובן פיין.</w:t>
      </w:r>
    </w:p>
  </w:footnote>
  <w:footnote w:id="1686">
    <w:p w14:paraId="71A116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בהוצאת מדרש גבוה לתלמוד “בית זבול”, ירושלים, תשל״א.</w:t>
      </w:r>
    </w:p>
  </w:footnote>
  <w:footnote w:id="1687">
    <w:p w14:paraId="4BF15F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בתמצית תולדותיו שנרשמה </w:t>
      </w:r>
      <w:proofErr w:type="spellStart"/>
      <w:r>
        <w:rPr>
          <w:sz w:val="20"/>
          <w:szCs w:val="20"/>
          <w:rtl/>
        </w:rPr>
        <w:t>ב“תולדות</w:t>
      </w:r>
      <w:proofErr w:type="spellEnd"/>
      <w:r>
        <w:rPr>
          <w:sz w:val="20"/>
          <w:szCs w:val="20"/>
          <w:rtl/>
        </w:rPr>
        <w:t xml:space="preserve"> אנשי שם”, ניו יורק, תש״י, עמ׳ 110 – וכנראה מסר אותה חתנו, ר׳ </w:t>
      </w:r>
      <w:proofErr w:type="spellStart"/>
      <w:r>
        <w:rPr>
          <w:sz w:val="20"/>
          <w:szCs w:val="20"/>
          <w:rtl/>
        </w:rPr>
        <w:t>יעקב־משה</w:t>
      </w:r>
      <w:proofErr w:type="spellEnd"/>
      <w:r>
        <w:rPr>
          <w:sz w:val="20"/>
          <w:szCs w:val="20"/>
          <w:rtl/>
        </w:rPr>
        <w:t xml:space="preserve"> חרל״פ, כמסופר להלן, עמ׳ </w:t>
      </w:r>
      <w:r>
        <w:rPr>
          <w:sz w:val="20"/>
          <w:szCs w:val="20"/>
          <w:rtl/>
        </w:rPr>
        <w:fldChar w:fldCharType="begin" w:dirty="true"/>
      </w:r>
      <w:r>
        <w:rPr>
          <w:sz w:val="20"/>
          <w:szCs w:val="20"/>
          <w:rtl/>
        </w:rPr>
        <w:instrText xml:space="preserve"> PAGEREF pr_b_1106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אין נזכר תפקידו </w:t>
      </w:r>
      <w:proofErr w:type="spellStart"/>
      <w:r>
        <w:rPr>
          <w:sz w:val="20"/>
          <w:szCs w:val="20"/>
          <w:rtl/>
        </w:rPr>
        <w:t>בבירז</w:t>
      </w:r>
      <w:proofErr w:type="spellEnd"/>
      <w:r>
        <w:rPr>
          <w:sz w:val="20"/>
          <w:szCs w:val="20"/>
          <w:rtl/>
        </w:rPr>
        <w:t>׳, כנראה מפני שמילא אותו זמן קצר בלבד. “תולדות אנשי שם” (“תולדות אישים מפורסמים”) הוא גרסה אמריקאית, מאחרי מלחמת העולם השנייה, של “</w:t>
      </w:r>
      <w:proofErr w:type="spellStart"/>
      <w:r>
        <w:rPr>
          <w:sz w:val="20"/>
          <w:szCs w:val="20"/>
          <w:rtl/>
        </w:rPr>
        <w:t>אהלי</w:t>
      </w:r>
      <w:proofErr w:type="spellEnd"/>
      <w:r>
        <w:rPr>
          <w:sz w:val="20"/>
          <w:szCs w:val="20"/>
          <w:rtl/>
        </w:rPr>
        <w:t xml:space="preserve"> שם” משנת תרע״ב (ראה פרק 4, הפסקה הרביעית בנספח ט, ובהערת השוליים שם על פרטי הדפסתו של “</w:t>
      </w:r>
      <w:proofErr w:type="spellStart"/>
      <w:r>
        <w:rPr>
          <w:sz w:val="20"/>
          <w:szCs w:val="20"/>
          <w:rtl/>
        </w:rPr>
        <w:t>אהלי</w:t>
      </w:r>
      <w:proofErr w:type="spellEnd"/>
      <w:r>
        <w:rPr>
          <w:sz w:val="20"/>
          <w:szCs w:val="20"/>
          <w:rtl/>
        </w:rPr>
        <w:t xml:space="preserve"> שם”).</w:t>
      </w:r>
    </w:p>
  </w:footnote>
  <w:footnote w:id="1688">
    <w:p w14:paraId="05F89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מנוסח מצבתו המובא </w:t>
      </w:r>
      <w:proofErr w:type="spellStart"/>
      <w:r>
        <w:rPr>
          <w:sz w:val="20"/>
          <w:szCs w:val="20"/>
          <w:rtl/>
        </w:rPr>
        <w:t>ב“ארצות</w:t>
      </w:r>
      <w:proofErr w:type="spellEnd"/>
      <w:r>
        <w:rPr>
          <w:sz w:val="20"/>
          <w:szCs w:val="20"/>
          <w:rtl/>
        </w:rPr>
        <w:t xml:space="preserve"> החיים” (החיבור הנזכר בפסקה השלישית בנספח ה), עמ׳ מ, נראה בבירור </w:t>
      </w:r>
      <w:proofErr w:type="spellStart"/>
      <w:r>
        <w:rPr>
          <w:sz w:val="20"/>
          <w:szCs w:val="20"/>
          <w:rtl/>
        </w:rPr>
        <w:t>ש“יוסף</w:t>
      </w:r>
      <w:proofErr w:type="spellEnd"/>
      <w:r>
        <w:rPr>
          <w:sz w:val="20"/>
          <w:szCs w:val="20"/>
          <w:rtl/>
        </w:rPr>
        <w:t xml:space="preserve">” היה שמו הפרטי של הרב הראשי ולא שם משפחתו; שם משפחה אינו מופיע שם כלל. נוסח המצבה פותח בשמונה שורות, ואלה דבריהן: “פה בצר מעון ינוח על משכבו אבינו הצדיק הגאון עד שילה כי יבא / פאר ועטרת ראשנו כתמר [?] עינינו ולבנו / הנודע בשם משמן טוב לשם לתפארת </w:t>
      </w:r>
      <w:proofErr w:type="spellStart"/>
      <w:r>
        <w:rPr>
          <w:sz w:val="20"/>
          <w:szCs w:val="20"/>
          <w:rtl/>
        </w:rPr>
        <w:t>ולתהלות</w:t>
      </w:r>
      <w:proofErr w:type="spellEnd"/>
      <w:r>
        <w:rPr>
          <w:sz w:val="20"/>
          <w:szCs w:val="20"/>
          <w:rtl/>
        </w:rPr>
        <w:t xml:space="preserve"> / יעקב יוסף בן דוב זצ״ל / רב הכולל לאגדת </w:t>
      </w:r>
      <w:proofErr w:type="spellStart"/>
      <w:r>
        <w:rPr>
          <w:sz w:val="20"/>
          <w:szCs w:val="20"/>
          <w:rtl/>
        </w:rPr>
        <w:t>הקהלות</w:t>
      </w:r>
      <w:proofErr w:type="spellEnd"/>
      <w:r>
        <w:rPr>
          <w:sz w:val="20"/>
          <w:szCs w:val="20"/>
          <w:rtl/>
        </w:rPr>
        <w:t xml:space="preserve"> / אשר עלה שמים וירכב על עב בשנות ששים ושתים יום ג׳ כ״ד / תמוז תרס״ב לפ״ק / תנצב״ה”.</w:t>
      </w:r>
    </w:p>
    <w:p w14:paraId="2E1CD2E5" w14:textId="77777777" w:rsidR="00AB3647" w:rsidRDefault="00000000">
      <w:pPr>
        <w:spacing w:after="0" w:before="0"/>
        <w:jc w:val="both"/>
      </w:pPr>
      <w:r>
        <w:rPr>
          <w:sz w:val="20"/>
          <w:szCs w:val="20"/>
          <w:rtl/>
        </w:rPr>
        <w:t xml:space="preserve">אחריהן באה קינה ארוכה בת 176 מילים, שראשי כל שורה שנייה בה יוצרים את האקרוסטיכון “יעקב יוסף בן דוב”. יש להניח שנוסח המצבה אושר, ואולי אף חובר, בידי בנו, אשתו ושתי בנותיו שנותרו אחריו. הם נזכרים בקינה, בסדר זה, ועליהם נאמר שיחד עם הנפטר “הן בגויות החמש נפש אחת קננה, ובהפרדה </w:t>
      </w:r>
      <w:proofErr w:type="spellStart"/>
      <w:r>
        <w:rPr>
          <w:sz w:val="20"/>
          <w:szCs w:val="20"/>
          <w:rtl/>
        </w:rPr>
        <w:t>כהפרד</w:t>
      </w:r>
      <w:proofErr w:type="spellEnd"/>
      <w:r>
        <w:rPr>
          <w:sz w:val="20"/>
          <w:szCs w:val="20"/>
          <w:rtl/>
        </w:rPr>
        <w:t xml:space="preserve"> מאחת מהנה”.</w:t>
      </w:r>
    </w:p>
    <w:p w14:paraId="22D355B6" w14:textId="77777777" w:rsidR="00AB3647" w:rsidRDefault="00000000">
      <w:pPr>
        <w:spacing w:after="0" w:before="0"/>
        <w:jc w:val="both"/>
      </w:pPr>
      <w:r>
        <w:rPr>
          <w:sz w:val="20"/>
          <w:szCs w:val="20"/>
          <w:rtl/>
        </w:rPr>
        <w:t xml:space="preserve">אבל כץ, “תנועת המוסר”, כרך ב, בפרק המוקדש לו (עמ׳ 365–384), מניח </w:t>
      </w:r>
      <w:proofErr w:type="spellStart"/>
      <w:r>
        <w:rPr>
          <w:sz w:val="20"/>
          <w:szCs w:val="20"/>
          <w:rtl/>
        </w:rPr>
        <w:t>ש“יוסף</w:t>
      </w:r>
      <w:proofErr w:type="spellEnd"/>
      <w:r>
        <w:rPr>
          <w:sz w:val="20"/>
          <w:szCs w:val="20"/>
          <w:rtl/>
        </w:rPr>
        <w:t>” – הוא כותב “</w:t>
      </w:r>
      <w:proofErr w:type="spellStart"/>
      <w:r>
        <w:rPr>
          <w:sz w:val="20"/>
          <w:szCs w:val="20"/>
          <w:rtl/>
        </w:rPr>
        <w:t>יוזיף</w:t>
      </w:r>
      <w:proofErr w:type="spellEnd"/>
      <w:r>
        <w:rPr>
          <w:sz w:val="20"/>
          <w:szCs w:val="20"/>
          <w:rtl/>
        </w:rPr>
        <w:t xml:space="preserve">” – היה שם משפחתו. אם כץ צודק, נראה שההסבר היחיד לטעות שעל המצבה הוא זה: משורר כלשהו, שאינו ידוע, חיבר את הקינה הנוגעת ללב מתוך הנחה מוטעית </w:t>
      </w:r>
      <w:proofErr w:type="spellStart"/>
      <w:r>
        <w:rPr>
          <w:sz w:val="20"/>
          <w:szCs w:val="20"/>
          <w:rtl/>
        </w:rPr>
        <w:t>ש“יוסף</w:t>
      </w:r>
      <w:proofErr w:type="spellEnd"/>
      <w:r>
        <w:rPr>
          <w:sz w:val="20"/>
          <w:szCs w:val="20"/>
          <w:rtl/>
        </w:rPr>
        <w:t>” היה שמו הפרטי של הנפטר, ומפני שהשירה הייתה מרגשת כל כך, החליטה המשפחה – ומוזר הדבר – להשאיר את הקינה כמות שהיא ולהתאים אליה את חלקה הראשון של הכתובת (המובא לעיל). כך או כך, בחרתי ללכת אחר נוסח המצבה, ורשמתי “</w:t>
      </w:r>
      <w:proofErr w:type="spellStart"/>
      <w:r>
        <w:rPr>
          <w:sz w:val="20"/>
          <w:szCs w:val="20"/>
          <w:rtl/>
        </w:rPr>
        <w:t>יעקב־יוסף</w:t>
      </w:r>
      <w:proofErr w:type="spellEnd"/>
      <w:r>
        <w:rPr>
          <w:sz w:val="20"/>
          <w:szCs w:val="20"/>
          <w:rtl/>
        </w:rPr>
        <w:t>” כשמו הפרטי.</w:t>
      </w:r>
    </w:p>
  </w:footnote>
  <w:footnote w:id="1689">
    <w:p w14:paraId="208BF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אמצע פרק 4.2 והערה 96 שם.</w:t>
      </w:r>
    </w:p>
  </w:footnote>
  <w:footnote w:id="1690">
    <w:p w14:paraId="354171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יד.</w:t>
      </w:r>
    </w:p>
  </w:footnote>
  <w:footnote w:id="1691">
    <w:p w14:paraId="2AB9D0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ב“תולדות</w:t>
      </w:r>
      <w:proofErr w:type="spellEnd"/>
      <w:r>
        <w:rPr>
          <w:sz w:val="20"/>
          <w:szCs w:val="20"/>
          <w:rtl/>
        </w:rPr>
        <w:t xml:space="preserve"> אנשי שם” נפלה טעות דפוס: “נפטר בירושלים בכ״ה שבט תר״פ”; צריך היה להיות “כ״ה שבט תש״ה”.</w:t>
      </w:r>
    </w:p>
  </w:footnote>
  <w:footnote w:id="1692">
    <w:p w14:paraId="356D6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11 באפריל 2000.</w:t>
      </w:r>
    </w:p>
  </w:footnote>
  <w:footnote w:id="1693">
    <w:p w14:paraId="4187EE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w:t>
      </w:r>
      <w:proofErr w:type="spellStart"/>
      <w:r>
        <w:rPr>
          <w:sz w:val="20"/>
          <w:szCs w:val="20"/>
          <w:rtl/>
        </w:rPr>
        <w:t>הרצג</w:t>
      </w:r>
      <w:proofErr w:type="spellEnd"/>
      <w:r>
        <w:rPr>
          <w:sz w:val="20"/>
          <w:szCs w:val="20"/>
          <w:rtl/>
        </w:rPr>
        <w:t xml:space="preserve"> בשם ההיסטוריון היהודי ד״ר שניאור </w:t>
      </w:r>
      <w:proofErr w:type="spellStart"/>
      <w:r>
        <w:rPr>
          <w:sz w:val="20"/>
          <w:szCs w:val="20"/>
          <w:rtl/>
        </w:rPr>
        <w:t>ליימן</w:t>
      </w:r>
      <w:proofErr w:type="spellEnd"/>
      <w:r>
        <w:rPr>
          <w:sz w:val="20"/>
          <w:szCs w:val="20"/>
          <w:rtl/>
        </w:rPr>
        <w:t>.</w:t>
      </w:r>
    </w:p>
  </w:footnote>
  <w:footnote w:id="1694">
    <w:p w14:paraId="16D635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ה – עמ׳ ח.</w:t>
      </w:r>
    </w:p>
  </w:footnote>
  <w:footnote w:id="1695">
    <w:p w14:paraId="32CDE5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בידי ארגון יוצאי </w:t>
      </w:r>
      <w:proofErr w:type="spellStart"/>
      <w:r>
        <w:rPr>
          <w:sz w:val="20"/>
          <w:szCs w:val="20"/>
          <w:rtl/>
        </w:rPr>
        <w:t>ריטובה</w:t>
      </w:r>
      <w:proofErr w:type="spellEnd"/>
      <w:r>
        <w:rPr>
          <w:sz w:val="20"/>
          <w:szCs w:val="20"/>
          <w:rtl/>
        </w:rPr>
        <w:t xml:space="preserve"> בישראל ובתפוצות, ללא תאריך – עמ׳ 71.</w:t>
      </w:r>
    </w:p>
  </w:footnote>
  <w:footnote w:id="1696">
    <w:p w14:paraId="1FDEE6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1697">
    <w:p w14:paraId="454F5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1698">
    <w:p w14:paraId="105D8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36 – עמ׳ 192.</w:t>
      </w:r>
    </w:p>
  </w:footnote>
  <w:footnote w:id="1699">
    <w:p w14:paraId="70328E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סוף הפסקה הראשונה בנספח ו, לעוד על מידותיו המעודנות של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ועל שיעוריו מלאי החיות.</w:t>
      </w:r>
    </w:p>
  </w:footnote>
  <w:footnote w:id="1700">
    <w:p w14:paraId="5EA08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701">
    <w:p w14:paraId="4F9743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31–32, כותב שר׳ </w:t>
      </w:r>
      <w:proofErr w:type="spellStart"/>
      <w:r>
        <w:rPr>
          <w:sz w:val="20"/>
          <w:szCs w:val="20"/>
          <w:rtl/>
        </w:rPr>
        <w:t>אברהם־אהרן</w:t>
      </w:r>
      <w:proofErr w:type="spellEnd"/>
      <w:r>
        <w:rPr>
          <w:sz w:val="20"/>
          <w:szCs w:val="20"/>
          <w:rtl/>
        </w:rPr>
        <w:t xml:space="preserve"> נעשה מגיד שיעור אחרי ר׳ חיים </w:t>
      </w:r>
      <w:proofErr w:type="spellStart"/>
      <w:r>
        <w:rPr>
          <w:sz w:val="20"/>
          <w:szCs w:val="20"/>
          <w:rtl/>
        </w:rPr>
        <w:t>רבינוביץ</w:t>
      </w:r>
      <w:proofErr w:type="spellEnd"/>
      <w:r>
        <w:rPr>
          <w:sz w:val="20"/>
          <w:szCs w:val="20"/>
          <w:rtl/>
        </w:rPr>
        <w:t xml:space="preserve">. אין זה נכון: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נתמנה בשנת תרמ״ה, ור׳ חיים </w:t>
      </w:r>
      <w:proofErr w:type="spellStart"/>
      <w:r>
        <w:rPr>
          <w:sz w:val="20"/>
          <w:szCs w:val="20"/>
          <w:rtl/>
        </w:rPr>
        <w:t>רבינוביץ</w:t>
      </w:r>
      <w:proofErr w:type="spellEnd"/>
      <w:r>
        <w:rPr>
          <w:sz w:val="20"/>
          <w:szCs w:val="20"/>
          <w:rtl/>
        </w:rPr>
        <w:t xml:space="preserve"> שנה אחריו. ר׳ חיים </w:t>
      </w:r>
      <w:proofErr w:type="spellStart"/>
      <w:r>
        <w:rPr>
          <w:sz w:val="20"/>
          <w:szCs w:val="20"/>
          <w:rtl/>
        </w:rPr>
        <w:t>רבינוביץ</w:t>
      </w:r>
      <w:proofErr w:type="spellEnd"/>
      <w:r>
        <w:rPr>
          <w:sz w:val="20"/>
          <w:szCs w:val="20"/>
          <w:rtl/>
        </w:rPr>
        <w:t xml:space="preserve"> היה האחרון מחברי כולל קובנה ששימשו מגידי שיעור; אחריו הובא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w:t>
      </w:r>
      <w:proofErr w:type="spellStart"/>
      <w:r>
        <w:rPr>
          <w:sz w:val="20"/>
          <w:szCs w:val="20"/>
          <w:rtl/>
        </w:rPr>
        <w:t>פוניבז׳ער</w:t>
      </w:r>
      <w:proofErr w:type="spellEnd"/>
      <w:r>
        <w:rPr>
          <w:sz w:val="20"/>
          <w:szCs w:val="20"/>
          <w:rtl/>
        </w:rPr>
        <w:t>) מחוץ לכולל, כמסופר להלן.</w:t>
      </w:r>
    </w:p>
  </w:footnote>
  <w:footnote w:id="1702">
    <w:p w14:paraId="790C5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ורשה, </w:t>
      </w:r>
      <w:proofErr w:type="spellStart"/>
      <w:r>
        <w:rPr>
          <w:sz w:val="20"/>
          <w:szCs w:val="20"/>
          <w:rtl/>
        </w:rPr>
        <w:t>התרפ״ז</w:t>
      </w:r>
      <w:proofErr w:type="spellEnd"/>
      <w:r>
        <w:rPr>
          <w:sz w:val="20"/>
          <w:szCs w:val="20"/>
          <w:rtl/>
        </w:rPr>
        <w:t xml:space="preserve"> – עמ׳ ו.</w:t>
      </w:r>
    </w:p>
  </w:footnote>
  <w:footnote w:id="1703">
    <w:p w14:paraId="6A0830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סוף הפסקה הראשונה בנספח ו.</w:t>
      </w:r>
    </w:p>
  </w:footnote>
  <w:footnote w:id="1704">
    <w:p w14:paraId="574AB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193.</w:t>
      </w:r>
    </w:p>
  </w:footnote>
  <w:footnote w:id="1705">
    <w:p w14:paraId="693A25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ז של הסקירה הביוגרפית.</w:t>
      </w:r>
    </w:p>
  </w:footnote>
  <w:footnote w:id="1706">
    <w:p w14:paraId="76C019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שנה ו, חוברת א–ב, ניסן, תשי״ג, ניו יורק – עמ׳ 3–35.</w:t>
      </w:r>
    </w:p>
  </w:footnote>
  <w:footnote w:id="1707">
    <w:p w14:paraId="42A887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1708">
    <w:p w14:paraId="566B03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09">
    <w:p w14:paraId="62850D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הלל </w:t>
      </w:r>
      <w:proofErr w:type="spellStart"/>
      <w:r>
        <w:rPr>
          <w:sz w:val="20"/>
          <w:szCs w:val="20"/>
          <w:rtl/>
        </w:rPr>
        <w:t>זלטופולסקי</w:t>
      </w:r>
      <w:proofErr w:type="spellEnd"/>
      <w:r>
        <w:rPr>
          <w:sz w:val="20"/>
          <w:szCs w:val="20"/>
          <w:rtl/>
        </w:rPr>
        <w:t xml:space="preserve"> כתב </w:t>
      </w:r>
      <w:proofErr w:type="spellStart"/>
      <w:r>
        <w:rPr>
          <w:sz w:val="20"/>
          <w:szCs w:val="20"/>
          <w:rtl/>
        </w:rPr>
        <w:t>ב“המליץ</w:t>
      </w:r>
      <w:proofErr w:type="spellEnd"/>
      <w:r>
        <w:rPr>
          <w:sz w:val="20"/>
          <w:szCs w:val="20"/>
          <w:rtl/>
        </w:rPr>
        <w:t xml:space="preserve">”, בסוף תרנ״ט ובראשית תר״ס, סדרה בת ארבעה מאמרים להגנת הציונות מפני התקפת </w:t>
      </w:r>
      <w:proofErr w:type="spellStart"/>
      <w:r>
        <w:rPr>
          <w:sz w:val="20"/>
          <w:szCs w:val="20"/>
          <w:rtl/>
        </w:rPr>
        <w:t>החפץ־חיים</w:t>
      </w:r>
      <w:proofErr w:type="spellEnd"/>
      <w:r>
        <w:rPr>
          <w:sz w:val="20"/>
          <w:szCs w:val="20"/>
          <w:rtl/>
        </w:rPr>
        <w:t xml:space="preserve">, כנזכר בכל כתבי </w:t>
      </w:r>
      <w:proofErr w:type="spellStart"/>
      <w:r>
        <w:rPr>
          <w:sz w:val="20"/>
          <w:szCs w:val="20"/>
          <w:rtl/>
        </w:rPr>
        <w:t>ח״ח</w:t>
      </w:r>
      <w:proofErr w:type="spellEnd"/>
      <w:r>
        <w:rPr>
          <w:sz w:val="20"/>
          <w:szCs w:val="20"/>
          <w:rtl/>
        </w:rPr>
        <w:t xml:space="preserve"> (נספח א לעיל), עמ׳ 75. השווה גם “תולדות אנשי שם”, עמ׳ 56: </w:t>
      </w:r>
      <w:proofErr w:type="spellStart"/>
      <w:r>
        <w:rPr>
          <w:sz w:val="20"/>
          <w:szCs w:val="20"/>
          <w:rtl/>
        </w:rPr>
        <w:t>זלטופולסקי</w:t>
      </w:r>
      <w:proofErr w:type="spellEnd"/>
      <w:r>
        <w:rPr>
          <w:sz w:val="20"/>
          <w:szCs w:val="20"/>
          <w:rtl/>
        </w:rPr>
        <w:t xml:space="preserve"> הוא ששלח מאונייה במצרי הבוספורוס פתק </w:t>
      </w:r>
      <w:proofErr w:type="spellStart"/>
      <w:r>
        <w:rPr>
          <w:sz w:val="20"/>
          <w:szCs w:val="20"/>
          <w:rtl/>
        </w:rPr>
        <w:t>לר</w:t>
      </w:r>
      <w:proofErr w:type="spellEnd"/>
      <w:r>
        <w:rPr>
          <w:sz w:val="20"/>
          <w:szCs w:val="20"/>
          <w:rtl/>
        </w:rPr>
        <w:t xml:space="preserve">׳ אהרן </w:t>
      </w:r>
      <w:proofErr w:type="spellStart"/>
      <w:r>
        <w:rPr>
          <w:sz w:val="20"/>
          <w:szCs w:val="20"/>
          <w:rtl/>
        </w:rPr>
        <w:t>טייטלבוים</w:t>
      </w:r>
      <w:proofErr w:type="spellEnd"/>
      <w:r>
        <w:rPr>
          <w:sz w:val="20"/>
          <w:szCs w:val="20"/>
          <w:rtl/>
        </w:rPr>
        <w:t xml:space="preserve">, מאנשי ארגון הסיוע המרכזי שלאחר מלחמת העולם הראשונה, ששהה אז באיסטנבול. בפתק נאמר ששבע אוניות שיצאו מאודסה ועליהן יהודים רבים נעצרו בידי השלטונות בבוספורוס, כדי להחזירן לאוקראינה, שבה נטבחו יהודים (“נשלחים אנו </w:t>
      </w:r>
      <w:proofErr w:type="spellStart"/>
      <w:r>
        <w:rPr>
          <w:sz w:val="20"/>
          <w:szCs w:val="20"/>
          <w:rtl/>
        </w:rPr>
        <w:t>ל‘איזהו</w:t>
      </w:r>
      <w:proofErr w:type="spellEnd"/>
      <w:r>
        <w:rPr>
          <w:sz w:val="20"/>
          <w:szCs w:val="20"/>
          <w:rtl/>
        </w:rPr>
        <w:t xml:space="preserve"> מקומן של זבחים’”). הרב </w:t>
      </w:r>
      <w:proofErr w:type="spellStart"/>
      <w:r>
        <w:rPr>
          <w:sz w:val="20"/>
          <w:szCs w:val="20"/>
          <w:rtl/>
        </w:rPr>
        <w:t>טייטלבוים</w:t>
      </w:r>
      <w:proofErr w:type="spellEnd"/>
      <w:r>
        <w:rPr>
          <w:sz w:val="20"/>
          <w:szCs w:val="20"/>
          <w:rtl/>
        </w:rPr>
        <w:t xml:space="preserve"> התערב והציל “מאות יהודים, ובהם אישים חשובים, </w:t>
      </w:r>
      <w:proofErr w:type="spellStart"/>
      <w:r>
        <w:rPr>
          <w:sz w:val="20"/>
          <w:szCs w:val="20"/>
          <w:rtl/>
        </w:rPr>
        <w:t>מסלתה</w:t>
      </w:r>
      <w:proofErr w:type="spellEnd"/>
      <w:r>
        <w:rPr>
          <w:sz w:val="20"/>
          <w:szCs w:val="20"/>
          <w:rtl/>
        </w:rPr>
        <w:t xml:space="preserve"> ומשמנה של יהדות רוסיה, </w:t>
      </w:r>
      <w:proofErr w:type="spellStart"/>
      <w:r>
        <w:rPr>
          <w:sz w:val="20"/>
          <w:szCs w:val="20"/>
          <w:rtl/>
        </w:rPr>
        <w:t>ברודסקי</w:t>
      </w:r>
      <w:proofErr w:type="spellEnd"/>
      <w:r>
        <w:rPr>
          <w:sz w:val="20"/>
          <w:szCs w:val="20"/>
          <w:rtl/>
        </w:rPr>
        <w:t xml:space="preserve"> וויסוצקי”.</w:t>
      </w:r>
    </w:p>
    <w:p w14:paraId="25741118" w14:textId="77777777" w:rsidR="00AB3647" w:rsidRDefault="00000000">
      <w:pPr>
        <w:spacing w:after="0" w:before="0"/>
        <w:jc w:val="both"/>
      </w:pPr>
      <w:r>
        <w:rPr>
          <w:sz w:val="20"/>
          <w:szCs w:val="20"/>
          <w:rtl/>
        </w:rPr>
        <w:t xml:space="preserve">אין אלה תומכי התורה הנודעים ר׳ ישראל </w:t>
      </w:r>
      <w:proofErr w:type="spellStart"/>
      <w:r>
        <w:rPr>
          <w:sz w:val="20"/>
          <w:szCs w:val="20"/>
          <w:rtl/>
        </w:rPr>
        <w:t>ברודסקי</w:t>
      </w:r>
      <w:proofErr w:type="spellEnd"/>
      <w:r>
        <w:rPr>
          <w:sz w:val="20"/>
          <w:szCs w:val="20"/>
          <w:rtl/>
        </w:rPr>
        <w:t xml:space="preserve"> ור׳ </w:t>
      </w:r>
      <w:proofErr w:type="spellStart"/>
      <w:r>
        <w:rPr>
          <w:sz w:val="20"/>
          <w:szCs w:val="20"/>
          <w:rtl/>
        </w:rPr>
        <w:t>קלמן־וולף</w:t>
      </w:r>
      <w:proofErr w:type="spellEnd"/>
      <w:r>
        <w:rPr>
          <w:sz w:val="20"/>
          <w:szCs w:val="20"/>
          <w:rtl/>
        </w:rPr>
        <w:t xml:space="preserve"> ויסוצקי (ראה פרק 5, הפסקה הרביעית בנספח ו, ופרק 4, הערה 74, והשווה גם הפסקה הראשונה בנספח </w:t>
      </w:r>
      <w:proofErr w:type="spellStart"/>
      <w:r>
        <w:rPr>
          <w:sz w:val="20"/>
          <w:szCs w:val="20"/>
          <w:rtl/>
        </w:rPr>
        <w:t>יג</w:t>
      </w:r>
      <w:proofErr w:type="spellEnd"/>
      <w:r>
        <w:rPr>
          <w:sz w:val="20"/>
          <w:szCs w:val="20"/>
          <w:rtl/>
        </w:rPr>
        <w:t xml:space="preserve"> בפרק 4), אלא צאצאיהם: ר׳ ישראל ור׳ </w:t>
      </w:r>
      <w:proofErr w:type="spellStart"/>
      <w:r>
        <w:rPr>
          <w:sz w:val="20"/>
          <w:szCs w:val="20"/>
          <w:rtl/>
        </w:rPr>
        <w:t>קלמן־וולף</w:t>
      </w:r>
      <w:proofErr w:type="spellEnd"/>
      <w:r>
        <w:rPr>
          <w:sz w:val="20"/>
          <w:szCs w:val="20"/>
          <w:rtl/>
        </w:rPr>
        <w:t xml:space="preserve"> נפטרו זמן רב לפני מלחמת העולם הראשונה, בשנת תרמ״ח ובשנת תרס״ג, בהתאמה. השווה גם מאמרו של הרב ניסן וקסמן על ר׳ </w:t>
      </w:r>
      <w:proofErr w:type="spellStart"/>
      <w:r>
        <w:rPr>
          <w:sz w:val="20"/>
          <w:szCs w:val="20"/>
          <w:rtl/>
        </w:rPr>
        <w:t>אליעזר־יהודה</w:t>
      </w:r>
      <w:proofErr w:type="spellEnd"/>
      <w:r>
        <w:rPr>
          <w:sz w:val="20"/>
          <w:szCs w:val="20"/>
          <w:rtl/>
        </w:rPr>
        <w:t xml:space="preserve"> </w:t>
      </w:r>
      <w:proofErr w:type="spellStart"/>
      <w:r>
        <w:rPr>
          <w:sz w:val="20"/>
          <w:szCs w:val="20"/>
          <w:rtl/>
        </w:rPr>
        <w:t>פינקל</w:t>
      </w:r>
      <w:proofErr w:type="spellEnd"/>
      <w:r>
        <w:rPr>
          <w:sz w:val="20"/>
          <w:szCs w:val="20"/>
          <w:rtl/>
        </w:rPr>
        <w:t xml:space="preserve"> (הנזכר בפרק 1, הערה 57), עמ׳ 420: בשנת ת״ש עשתה שושנה </w:t>
      </w:r>
      <w:proofErr w:type="spellStart"/>
      <w:r>
        <w:rPr>
          <w:sz w:val="20"/>
          <w:szCs w:val="20"/>
          <w:rtl/>
        </w:rPr>
        <w:t>זלטופולסקי־פרסיץ</w:t>
      </w:r>
      <w:proofErr w:type="spellEnd"/>
      <w:r>
        <w:rPr>
          <w:sz w:val="20"/>
          <w:szCs w:val="20"/>
          <w:rtl/>
        </w:rPr>
        <w:t xml:space="preserve"> כל שביכולתה, אך ללא הצלחה, להשיג מממשלת המנדט הבריטי רשות להכניס לארץ ישראל את ישיבת </w:t>
      </w:r>
      <w:proofErr w:type="spellStart"/>
      <w:r>
        <w:rPr>
          <w:sz w:val="20"/>
          <w:szCs w:val="20"/>
          <w:rtl/>
        </w:rPr>
        <w:t>מיר</w:t>
      </w:r>
      <w:proofErr w:type="spellEnd"/>
      <w:r>
        <w:rPr>
          <w:sz w:val="20"/>
          <w:szCs w:val="20"/>
          <w:rtl/>
        </w:rPr>
        <w:t>, שנמלטה מפולין הכבושה בידי הגרמנים לליטא, שהייתה אז חופשית.</w:t>
      </w:r>
    </w:p>
  </w:footnote>
  <w:footnote w:id="1710">
    <w:p w14:paraId="70C090F2"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ר׳ ישראל </w:t>
      </w:r>
      <w:proofErr w:type="spellStart"/>
      <w:r>
        <w:rPr>
          <w:sz w:val="20"/>
          <w:szCs w:val="20"/>
          <w:rtl/>
        </w:rPr>
        <w:t>ברודסקי</w:t>
      </w:r>
      <w:proofErr w:type="spellEnd"/>
      <w:r>
        <w:rPr>
          <w:sz w:val="20"/>
          <w:szCs w:val="20"/>
          <w:rtl/>
        </w:rPr>
        <w:t xml:space="preserve"> נפטר בחשוון תרמ״ט (אוקטובר 1888), ולא </w:t>
      </w:r>
      <w:proofErr w:type="spellStart"/>
      <w:r>
        <w:rPr>
          <w:sz w:val="20"/>
          <w:szCs w:val="20"/>
          <w:rtl/>
        </w:rPr>
        <w:t>בתרמ״ח</w:t>
      </w:r>
      <w:proofErr w:type="spellEnd"/>
      <w:r>
        <w:rPr>
          <w:sz w:val="20"/>
          <w:szCs w:val="20"/>
          <w:rtl/>
        </w:rPr>
        <w:t xml:space="preserve">; ר׳ </w:t>
      </w:r>
      <w:proofErr w:type="spellStart"/>
      <w:r>
        <w:rPr>
          <w:sz w:val="20"/>
          <w:szCs w:val="20"/>
          <w:rtl/>
        </w:rPr>
        <w:t>קלמן־וולף</w:t>
      </w:r>
      <w:proofErr w:type="spellEnd"/>
      <w:r>
        <w:rPr>
          <w:sz w:val="20"/>
          <w:szCs w:val="20"/>
          <w:rtl/>
        </w:rPr>
        <w:t xml:space="preserve"> ויסוצקי נפטר בשנת תרס״ד.</w:t>
      </w:r>
    </w:p>
  </w:footnote>
  <w:footnote w:id="1711">
    <w:p w14:paraId="26857B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ז.</w:t>
      </w:r>
    </w:p>
  </w:footnote>
  <w:footnote w:id="1712">
    <w:p w14:paraId="69ECBE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העיר נמצאת בין קייב </w:t>
      </w:r>
      <w:proofErr w:type="spellStart"/>
      <w:r>
        <w:rPr>
          <w:sz w:val="20"/>
          <w:szCs w:val="20"/>
          <w:rtl/>
        </w:rPr>
        <w:t>לקרמנצ׳וג</w:t>
      </w:r>
      <w:proofErr w:type="spellEnd"/>
      <w:r>
        <w:rPr>
          <w:sz w:val="20"/>
          <w:szCs w:val="20"/>
          <w:rtl/>
        </w:rPr>
        <w:t>.</w:t>
      </w:r>
    </w:p>
  </w:footnote>
  <w:footnote w:id="1713">
    <w:p w14:paraId="3A56D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לעוד על משפחת </w:t>
      </w:r>
      <w:proofErr w:type="spellStart"/>
      <w:r>
        <w:rPr>
          <w:sz w:val="20"/>
          <w:szCs w:val="20"/>
          <w:rtl/>
        </w:rPr>
        <w:t>פרסיץ</w:t>
      </w:r>
      <w:proofErr w:type="spellEnd"/>
      <w:r>
        <w:rPr>
          <w:sz w:val="20"/>
          <w:szCs w:val="20"/>
          <w:rtl/>
        </w:rPr>
        <w:t xml:space="preserve"> ועל הפרעות באוקראינה, השווה כרך 2.</w:t>
      </w:r>
    </w:p>
  </w:footnote>
  <w:footnote w:id="1714">
    <w:p w14:paraId="30EB78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 לעיל.</w:t>
      </w:r>
    </w:p>
  </w:footnote>
  <w:footnote w:id="1715">
    <w:p w14:paraId="547609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w:t>
      </w:r>
    </w:p>
  </w:footnote>
  <w:footnote w:id="1716">
    <w:p w14:paraId="4F6446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תחילת פרק 2.3.</w:t>
      </w:r>
    </w:p>
  </w:footnote>
  <w:footnote w:id="1717">
    <w:p w14:paraId="54EF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בנה נזכר בתחילת פרק 2.3.</w:t>
      </w:r>
    </w:p>
  </w:footnote>
  <w:footnote w:id="1718">
    <w:p w14:paraId="13D87A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67 ו־74. ר׳ </w:t>
      </w:r>
      <w:proofErr w:type="spellStart"/>
      <w:r>
        <w:rPr>
          <w:sz w:val="20"/>
          <w:szCs w:val="20"/>
          <w:rtl/>
        </w:rPr>
        <w:t>שניאור־פייבוש</w:t>
      </w:r>
      <w:proofErr w:type="spellEnd"/>
      <w:r>
        <w:rPr>
          <w:sz w:val="20"/>
          <w:szCs w:val="20"/>
          <w:rtl/>
        </w:rPr>
        <w:t xml:space="preserve"> חתם על כרוז בעד המוסר בזמן מחלוקת המוסר. ראה “פולמוס המוסר”, עמ׳ 145–146.</w:t>
      </w:r>
    </w:p>
  </w:footnote>
  <w:footnote w:id="1719">
    <w:p w14:paraId="72F111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נספח ו – עמ׳ 158.</w:t>
      </w:r>
    </w:p>
  </w:footnote>
  <w:footnote w:id="1720">
    <w:p w14:paraId="25419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721">
    <w:p w14:paraId="5FB4A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159–160.</w:t>
      </w:r>
    </w:p>
  </w:footnote>
  <w:footnote w:id="1722">
    <w:p w14:paraId="312BE3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שניאור־פייבוש</w:t>
      </w:r>
      <w:proofErr w:type="spellEnd"/>
      <w:r>
        <w:rPr>
          <w:sz w:val="20"/>
          <w:szCs w:val="20"/>
          <w:rtl/>
        </w:rPr>
        <w:t xml:space="preserve"> </w:t>
      </w:r>
      <w:proofErr w:type="spellStart"/>
      <w:r>
        <w:rPr>
          <w:sz w:val="20"/>
          <w:szCs w:val="20"/>
          <w:rtl/>
        </w:rPr>
        <w:t>גולוב</w:t>
      </w:r>
      <w:proofErr w:type="spellEnd"/>
      <w:r>
        <w:rPr>
          <w:sz w:val="20"/>
          <w:szCs w:val="20"/>
          <w:rtl/>
        </w:rPr>
        <w:t xml:space="preserve"> </w:t>
      </w:r>
      <w:proofErr w:type="spellStart"/>
      <w:r>
        <w:rPr>
          <w:sz w:val="20"/>
          <w:szCs w:val="20"/>
          <w:rtl/>
        </w:rPr>
        <w:t>ולר</w:t>
      </w:r>
      <w:proofErr w:type="spellEnd"/>
      <w:r>
        <w:rPr>
          <w:sz w:val="20"/>
          <w:szCs w:val="20"/>
          <w:rtl/>
        </w:rPr>
        <w:t xml:space="preserve">׳ שלמה </w:t>
      </w:r>
      <w:proofErr w:type="spellStart"/>
      <w:r>
        <w:rPr>
          <w:sz w:val="20"/>
          <w:szCs w:val="20"/>
          <w:rtl/>
        </w:rPr>
        <w:t>גולובנצ׳יץ</w:t>
      </w:r>
      <w:proofErr w:type="spellEnd"/>
      <w:r>
        <w:rPr>
          <w:sz w:val="20"/>
          <w:szCs w:val="20"/>
          <w:rtl/>
        </w:rPr>
        <w:t xml:space="preserve"> היה אח שלישי, בשם משפחה שלישי: ר׳ </w:t>
      </w:r>
      <w:proofErr w:type="spellStart"/>
      <w:r>
        <w:rPr>
          <w:sz w:val="20"/>
          <w:szCs w:val="20"/>
          <w:rtl/>
        </w:rPr>
        <w:t>יחיאל־מיכל</w:t>
      </w:r>
      <w:proofErr w:type="spellEnd"/>
      <w:r>
        <w:rPr>
          <w:sz w:val="20"/>
          <w:szCs w:val="20"/>
          <w:rtl/>
        </w:rPr>
        <w:t xml:space="preserve"> </w:t>
      </w:r>
      <w:proofErr w:type="spellStart"/>
      <w:r>
        <w:rPr>
          <w:sz w:val="20"/>
          <w:szCs w:val="20"/>
          <w:rtl/>
        </w:rPr>
        <w:t>ברקמן</w:t>
      </w:r>
      <w:proofErr w:type="spellEnd"/>
      <w:r>
        <w:rPr>
          <w:sz w:val="20"/>
          <w:szCs w:val="20"/>
          <w:rtl/>
        </w:rPr>
        <w:t xml:space="preserve">, שנולד בשנת תרכ״ח וכיהן כרבה של </w:t>
      </w:r>
      <w:proofErr w:type="spellStart"/>
      <w:r>
        <w:rPr>
          <w:sz w:val="20"/>
          <w:szCs w:val="20"/>
          <w:rtl/>
        </w:rPr>
        <w:t>אורחוב</w:t>
      </w:r>
      <w:proofErr w:type="spellEnd"/>
      <w:r>
        <w:rPr>
          <w:sz w:val="20"/>
          <w:szCs w:val="20"/>
          <w:rtl/>
        </w:rPr>
        <w:t xml:space="preserve">, כ־250 קילומטרים </w:t>
      </w:r>
      <w:proofErr w:type="spellStart"/>
      <w:r>
        <w:rPr>
          <w:sz w:val="20"/>
          <w:szCs w:val="20"/>
          <w:rtl/>
        </w:rPr>
        <w:t>מדרום־מזרח</w:t>
      </w:r>
      <w:proofErr w:type="spellEnd"/>
      <w:r>
        <w:rPr>
          <w:sz w:val="20"/>
          <w:szCs w:val="20"/>
          <w:rtl/>
        </w:rPr>
        <w:t xml:space="preserve"> </w:t>
      </w:r>
      <w:proofErr w:type="spellStart"/>
      <w:r>
        <w:rPr>
          <w:sz w:val="20"/>
          <w:szCs w:val="20"/>
          <w:rtl/>
        </w:rPr>
        <w:t>לקרמנצ׳וג</w:t>
      </w:r>
      <w:proofErr w:type="spellEnd"/>
      <w:r>
        <w:rPr>
          <w:sz w:val="20"/>
          <w:szCs w:val="20"/>
          <w:rtl/>
        </w:rPr>
        <w:t xml:space="preserve">. אחרי הרב </w:t>
      </w:r>
      <w:proofErr w:type="spellStart"/>
      <w:r>
        <w:rPr>
          <w:sz w:val="20"/>
          <w:szCs w:val="20"/>
          <w:rtl/>
        </w:rPr>
        <w:t>גולוב</w:t>
      </w:r>
      <w:proofErr w:type="spellEnd"/>
      <w:r>
        <w:rPr>
          <w:sz w:val="20"/>
          <w:szCs w:val="20"/>
          <w:rtl/>
        </w:rPr>
        <w:t xml:space="preserve"> כיהן בדרבנה חתנו ר׳ אברהם לוין, תלמיד </w:t>
      </w:r>
      <w:proofErr w:type="spellStart"/>
      <w:r>
        <w:rPr>
          <w:sz w:val="20"/>
          <w:szCs w:val="20"/>
          <w:rtl/>
        </w:rPr>
        <w:t>סלבודקה</w:t>
      </w:r>
      <w:proofErr w:type="spellEnd"/>
      <w:r>
        <w:rPr>
          <w:sz w:val="20"/>
          <w:szCs w:val="20"/>
          <w:rtl/>
        </w:rPr>
        <w:t xml:space="preserve"> שנולד </w:t>
      </w:r>
      <w:proofErr w:type="spellStart"/>
      <w:r>
        <w:rPr>
          <w:sz w:val="20"/>
          <w:szCs w:val="20"/>
          <w:rtl/>
        </w:rPr>
        <w:t>בוורנה</w:t>
      </w:r>
      <w:proofErr w:type="spellEnd"/>
      <w:r>
        <w:rPr>
          <w:sz w:val="20"/>
          <w:szCs w:val="20"/>
          <w:rtl/>
        </w:rPr>
        <w:t xml:space="preserve"> בשנת תרמ״ה. הוא שימש שם עד תרפ״א, ואז עזב את העיר, שהפרעות זעזעו אותה ודלדלו את אוכלוסייתה, ועבר לליטא השלווה כדי להצטרף לכולל </w:t>
      </w:r>
      <w:proofErr w:type="spellStart"/>
      <w:r>
        <w:rPr>
          <w:sz w:val="20"/>
          <w:szCs w:val="20"/>
          <w:rtl/>
        </w:rPr>
        <w:t>סלבודקה</w:t>
      </w:r>
      <w:proofErr w:type="spellEnd"/>
      <w:r>
        <w:rPr>
          <w:sz w:val="20"/>
          <w:szCs w:val="20"/>
          <w:rtl/>
        </w:rPr>
        <w:t xml:space="preserve"> (שבו למד רבנו – ראה כרך 2). בשנת תרפ״ו, השנה שבה עזב גם אבי את הכולל כדי להיות רבה של </w:t>
      </w:r>
      <w:proofErr w:type="spellStart"/>
      <w:r>
        <w:rPr>
          <w:sz w:val="20"/>
          <w:szCs w:val="20"/>
          <w:rtl/>
        </w:rPr>
        <w:t>ציטוביאן</w:t>
      </w:r>
      <w:proofErr w:type="spellEnd"/>
      <w:r>
        <w:rPr>
          <w:sz w:val="20"/>
          <w:szCs w:val="20"/>
          <w:rtl/>
        </w:rPr>
        <w:t xml:space="preserve">, נעשה ר׳ אברהם לוין רבה של </w:t>
      </w:r>
      <w:proofErr w:type="spellStart"/>
      <w:r>
        <w:rPr>
          <w:sz w:val="20"/>
          <w:szCs w:val="20"/>
          <w:rtl/>
        </w:rPr>
        <w:t>פופליאן</w:t>
      </w:r>
      <w:proofErr w:type="spellEnd"/>
      <w:r>
        <w:rPr>
          <w:sz w:val="20"/>
          <w:szCs w:val="20"/>
          <w:rtl/>
        </w:rPr>
        <w:t xml:space="preserve">, סמוך </w:t>
      </w:r>
      <w:proofErr w:type="spellStart"/>
      <w:r>
        <w:rPr>
          <w:sz w:val="20"/>
          <w:szCs w:val="20"/>
          <w:rtl/>
        </w:rPr>
        <w:t>לשאוול</w:t>
      </w:r>
      <w:proofErr w:type="spellEnd"/>
      <w:r>
        <w:rPr>
          <w:sz w:val="20"/>
          <w:szCs w:val="20"/>
          <w:rtl/>
        </w:rPr>
        <w:t>, ושם נהרג על קידוש השם בשואה.</w:t>
      </w:r>
    </w:p>
  </w:footnote>
  <w:footnote w:id="1723">
    <w:p w14:paraId="7BCDCC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בפרק זה.</w:t>
      </w:r>
    </w:p>
  </w:footnote>
  <w:footnote w:id="1724">
    <w:p w14:paraId="211A7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הריאיון המוקלט על הסבא </w:t>
      </w:r>
      <w:proofErr w:type="spellStart"/>
      <w:r>
        <w:rPr>
          <w:sz w:val="20"/>
          <w:szCs w:val="20"/>
          <w:rtl/>
        </w:rPr>
        <w:t>מסלבודקה</w:t>
      </w:r>
      <w:proofErr w:type="spellEnd"/>
      <w:r>
        <w:rPr>
          <w:sz w:val="20"/>
          <w:szCs w:val="20"/>
          <w:rtl/>
        </w:rPr>
        <w:t>.</w:t>
      </w:r>
    </w:p>
  </w:footnote>
  <w:footnote w:id="1725">
    <w:p w14:paraId="0F5F9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ראש הישיבה שעליו המליץ ר׳ יוסף־דב, ר׳ </w:t>
      </w:r>
      <w:proofErr w:type="spellStart"/>
      <w:r>
        <w:rPr>
          <w:sz w:val="20"/>
          <w:szCs w:val="20"/>
          <w:rtl/>
        </w:rPr>
        <w:t>איצל׳ה</w:t>
      </w:r>
      <w:proofErr w:type="spellEnd"/>
      <w:r>
        <w:rPr>
          <w:sz w:val="20"/>
          <w:szCs w:val="20"/>
          <w:rtl/>
        </w:rPr>
        <w:t xml:space="preserve"> </w:t>
      </w:r>
      <w:proofErr w:type="spellStart"/>
      <w:r>
        <w:rPr>
          <w:sz w:val="20"/>
          <w:szCs w:val="20"/>
          <w:rtl/>
        </w:rPr>
        <w:t>רבינוביץ</w:t>
      </w:r>
      <w:proofErr w:type="spellEnd"/>
      <w:r>
        <w:rPr>
          <w:sz w:val="20"/>
          <w:szCs w:val="20"/>
          <w:rtl/>
        </w:rPr>
        <w:t xml:space="preserve">, נחשב למעשה בעיני ר׳ </w:t>
      </w:r>
      <w:proofErr w:type="spellStart"/>
      <w:r>
        <w:rPr>
          <w:sz w:val="20"/>
          <w:szCs w:val="20"/>
          <w:rtl/>
        </w:rPr>
        <w:t>איסר־זלמן</w:t>
      </w:r>
      <w:proofErr w:type="spellEnd"/>
      <w:r>
        <w:rPr>
          <w:sz w:val="20"/>
          <w:szCs w:val="20"/>
          <w:rtl/>
        </w:rPr>
        <w:t xml:space="preserve"> מלצר, תלמידו המובהק של ר׳ חיים </w:t>
      </w:r>
      <w:proofErr w:type="spellStart"/>
      <w:r>
        <w:rPr>
          <w:sz w:val="20"/>
          <w:szCs w:val="20"/>
          <w:rtl/>
        </w:rPr>
        <w:t>סולובייצ׳יק</w:t>
      </w:r>
      <w:proofErr w:type="spellEnd"/>
      <w:r>
        <w:rPr>
          <w:sz w:val="20"/>
          <w:szCs w:val="20"/>
          <w:rtl/>
        </w:rPr>
        <w:t xml:space="preserve">, לעולה בכמה עניינים על רבו, שהיה אז מגיד השיעור הנערץ </w:t>
      </w:r>
      <w:proofErr w:type="spellStart"/>
      <w:r>
        <w:rPr>
          <w:sz w:val="20"/>
          <w:szCs w:val="20"/>
          <w:rtl/>
        </w:rPr>
        <w:t>בוולוז׳ין</w:t>
      </w:r>
      <w:proofErr w:type="spellEnd"/>
      <w:r>
        <w:rPr>
          <w:sz w:val="20"/>
          <w:szCs w:val="20"/>
          <w:rtl/>
        </w:rPr>
        <w:t xml:space="preserve">; ראה דברי ר׳ חיים </w:t>
      </w:r>
      <w:proofErr w:type="spellStart"/>
      <w:r>
        <w:rPr>
          <w:sz w:val="20"/>
          <w:szCs w:val="20"/>
          <w:rtl/>
        </w:rPr>
        <w:t>קרייזווירט</w:t>
      </w:r>
      <w:proofErr w:type="spellEnd"/>
      <w:r>
        <w:rPr>
          <w:sz w:val="20"/>
          <w:szCs w:val="20"/>
          <w:rtl/>
        </w:rPr>
        <w:t xml:space="preserve"> בספרו של </w:t>
      </w:r>
      <w:proofErr w:type="spellStart"/>
      <w:r>
        <w:rPr>
          <w:sz w:val="20"/>
          <w:szCs w:val="20"/>
          <w:rtl/>
        </w:rPr>
        <w:t>ידעאל</w:t>
      </w:r>
      <w:proofErr w:type="spellEnd"/>
      <w:r>
        <w:rPr>
          <w:sz w:val="20"/>
          <w:szCs w:val="20"/>
          <w:rtl/>
        </w:rPr>
        <w:t xml:space="preserve"> מלצר, “בדרך עץ החיים”, המובאים בסוף פסקה זו. ייתכן מאוד שהסבא נסע </w:t>
      </w:r>
      <w:proofErr w:type="spellStart"/>
      <w:r>
        <w:rPr>
          <w:sz w:val="20"/>
          <w:szCs w:val="20"/>
          <w:rtl/>
        </w:rPr>
        <w:t>לבריסק</w:t>
      </w:r>
      <w:proofErr w:type="spellEnd"/>
      <w:r>
        <w:rPr>
          <w:sz w:val="20"/>
          <w:szCs w:val="20"/>
          <w:rtl/>
        </w:rPr>
        <w:t xml:space="preserve"> היישר </w:t>
      </w:r>
      <w:proofErr w:type="spellStart"/>
      <w:r>
        <w:rPr>
          <w:sz w:val="20"/>
          <w:szCs w:val="20"/>
          <w:rtl/>
        </w:rPr>
        <w:t>מראדין</w:t>
      </w:r>
      <w:proofErr w:type="spellEnd"/>
      <w:r>
        <w:rPr>
          <w:sz w:val="20"/>
          <w:szCs w:val="20"/>
          <w:rtl/>
        </w:rPr>
        <w:t>.</w:t>
      </w:r>
    </w:p>
  </w:footnote>
  <w:footnote w:id="1726">
    <w:p w14:paraId="61486F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לעיל.</w:t>
      </w:r>
    </w:p>
  </w:footnote>
  <w:footnote w:id="1727">
    <w:p w14:paraId="32F01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ביולי 2000.</w:t>
      </w:r>
    </w:p>
  </w:footnote>
  <w:footnote w:id="1728">
    <w:p w14:paraId="3FEFC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הנצי״ב</w:t>
      </w:r>
      <w:proofErr w:type="spellEnd"/>
      <w:r>
        <w:rPr>
          <w:sz w:val="20"/>
          <w:szCs w:val="20"/>
          <w:rtl/>
        </w:rPr>
        <w:t xml:space="preserve"> חוזר על עניין זה בפירושו לבמדבר לה, לד ולדברים לב, ה.</w:t>
      </w:r>
    </w:p>
  </w:footnote>
  <w:footnote w:id="1729">
    <w:p w14:paraId="6BF9E3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שו״ת משיב דבר, ח״א, סי׳ מד, ד״ה “והנה המעריך”, שבו הוא מחיל את טעות הפרושים שבימים ההם על ההווה.</w:t>
      </w:r>
    </w:p>
  </w:footnote>
  <w:footnote w:id="1730">
    <w:p w14:paraId="6C89A4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ראיה </w:t>
      </w:r>
      <w:proofErr w:type="spellStart"/>
      <w:r>
        <w:rPr>
          <w:sz w:val="20"/>
          <w:szCs w:val="20"/>
          <w:rtl/>
        </w:rPr>
        <w:t>שהחפץ־חיים</w:t>
      </w:r>
      <w:proofErr w:type="spellEnd"/>
      <w:r>
        <w:rPr>
          <w:sz w:val="20"/>
          <w:szCs w:val="20"/>
          <w:rtl/>
        </w:rPr>
        <w:t xml:space="preserve"> שלח שאלות הלכה להכרעת </w:t>
      </w:r>
      <w:proofErr w:type="spellStart"/>
      <w:r>
        <w:rPr>
          <w:sz w:val="20"/>
          <w:szCs w:val="20"/>
          <w:rtl/>
        </w:rPr>
        <w:t>הנצי״ב</w:t>
      </w:r>
      <w:proofErr w:type="spellEnd"/>
      <w:r>
        <w:rPr>
          <w:sz w:val="20"/>
          <w:szCs w:val="20"/>
          <w:rtl/>
        </w:rPr>
        <w:t xml:space="preserve">. נראה ששתי התשובות </w:t>
      </w:r>
      <w:proofErr w:type="spellStart"/>
      <w:r>
        <w:rPr>
          <w:sz w:val="20"/>
          <w:szCs w:val="20"/>
          <w:rtl/>
        </w:rPr>
        <w:t>בשו״ת</w:t>
      </w:r>
      <w:proofErr w:type="spellEnd"/>
      <w:r>
        <w:rPr>
          <w:sz w:val="20"/>
          <w:szCs w:val="20"/>
          <w:rtl/>
        </w:rPr>
        <w:t xml:space="preserve"> משיב דבר, ח״א, סי׳ ב </w:t>
      </w:r>
      <w:proofErr w:type="spellStart"/>
      <w:r>
        <w:rPr>
          <w:sz w:val="20"/>
          <w:szCs w:val="20"/>
          <w:rtl/>
        </w:rPr>
        <w:t>וג</w:t>
      </w:r>
      <w:proofErr w:type="spellEnd"/>
      <w:r>
        <w:rPr>
          <w:sz w:val="20"/>
          <w:szCs w:val="20"/>
          <w:rtl/>
        </w:rPr>
        <w:t xml:space="preserve">, מן </w:t>
      </w:r>
      <w:proofErr w:type="spellStart"/>
      <w:r>
        <w:rPr>
          <w:sz w:val="20"/>
          <w:szCs w:val="20"/>
          <w:rtl/>
        </w:rPr>
        <w:t>הנצי״ב</w:t>
      </w:r>
      <w:proofErr w:type="spellEnd"/>
      <w:r>
        <w:rPr>
          <w:sz w:val="20"/>
          <w:szCs w:val="20"/>
          <w:rtl/>
        </w:rPr>
        <w:t xml:space="preserve"> </w:t>
      </w:r>
      <w:proofErr w:type="spellStart"/>
      <w:r>
        <w:rPr>
          <w:sz w:val="20"/>
          <w:szCs w:val="20"/>
          <w:rtl/>
        </w:rPr>
        <w:t>לחפץ־חיים</w:t>
      </w:r>
      <w:proofErr w:type="spellEnd"/>
      <w:r>
        <w:rPr>
          <w:sz w:val="20"/>
          <w:szCs w:val="20"/>
          <w:rtl/>
        </w:rPr>
        <w:t xml:space="preserve">, נכתבו ביוזמת </w:t>
      </w:r>
      <w:proofErr w:type="spellStart"/>
      <w:r>
        <w:rPr>
          <w:sz w:val="20"/>
          <w:szCs w:val="20"/>
          <w:rtl/>
        </w:rPr>
        <w:t>הנצי״ב</w:t>
      </w:r>
      <w:proofErr w:type="spellEnd"/>
      <w:r>
        <w:rPr>
          <w:sz w:val="20"/>
          <w:szCs w:val="20"/>
          <w:rtl/>
        </w:rPr>
        <w:t xml:space="preserve"> אחרי שקרא את “משנה ברורה” של </w:t>
      </w:r>
      <w:proofErr w:type="spellStart"/>
      <w:r>
        <w:rPr>
          <w:sz w:val="20"/>
          <w:szCs w:val="20"/>
          <w:rtl/>
        </w:rPr>
        <w:t>החפץ־חיים</w:t>
      </w:r>
      <w:proofErr w:type="spellEnd"/>
      <w:r>
        <w:rPr>
          <w:sz w:val="20"/>
          <w:szCs w:val="20"/>
          <w:rtl/>
        </w:rPr>
        <w:t xml:space="preserve">; </w:t>
      </w:r>
      <w:proofErr w:type="spellStart"/>
      <w:r>
        <w:rPr>
          <w:sz w:val="20"/>
          <w:szCs w:val="20"/>
          <w:rtl/>
        </w:rPr>
        <w:t>החפץ־חיים</w:t>
      </w:r>
      <w:proofErr w:type="spellEnd"/>
      <w:r>
        <w:rPr>
          <w:sz w:val="20"/>
          <w:szCs w:val="20"/>
          <w:rtl/>
        </w:rPr>
        <w:t xml:space="preserve"> השיב אז להשגות </w:t>
      </w:r>
      <w:proofErr w:type="spellStart"/>
      <w:r>
        <w:rPr>
          <w:sz w:val="20"/>
          <w:szCs w:val="20"/>
          <w:rtl/>
        </w:rPr>
        <w:t>הנצי״ב</w:t>
      </w:r>
      <w:proofErr w:type="spellEnd"/>
      <w:r>
        <w:rPr>
          <w:sz w:val="20"/>
          <w:szCs w:val="20"/>
          <w:rtl/>
        </w:rPr>
        <w:t>.</w:t>
      </w:r>
    </w:p>
  </w:footnote>
  <w:footnote w:id="1731">
    <w:p w14:paraId="777A7B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1732">
    <w:p w14:paraId="30EF4B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94.</w:t>
      </w:r>
    </w:p>
  </w:footnote>
  <w:footnote w:id="1733">
    <w:p w14:paraId="6736AC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החיבור הנזכר בפרק 2, הערה 10 – עמ׳ </w:t>
      </w:r>
      <w:proofErr w:type="spellStart"/>
      <w:r>
        <w:rPr>
          <w:sz w:val="20"/>
          <w:szCs w:val="20"/>
          <w:rtl/>
        </w:rPr>
        <w:t>ריט</w:t>
      </w:r>
      <w:proofErr w:type="spellEnd"/>
      <w:r>
        <w:rPr>
          <w:sz w:val="20"/>
          <w:szCs w:val="20"/>
          <w:rtl/>
        </w:rPr>
        <w:t>–</w:t>
      </w:r>
      <w:proofErr w:type="spellStart"/>
      <w:r>
        <w:rPr>
          <w:sz w:val="20"/>
          <w:szCs w:val="20"/>
          <w:rtl/>
        </w:rPr>
        <w:t>רכ</w:t>
      </w:r>
      <w:proofErr w:type="spellEnd"/>
      <w:r>
        <w:rPr>
          <w:sz w:val="20"/>
          <w:szCs w:val="20"/>
          <w:rtl/>
        </w:rPr>
        <w:t>.</w:t>
      </w:r>
    </w:p>
  </w:footnote>
  <w:footnote w:id="1734">
    <w:p w14:paraId="377F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133.</w:t>
      </w:r>
    </w:p>
  </w:footnote>
  <w:footnote w:id="1735">
    <w:p w14:paraId="35ADE6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133–134.</w:t>
      </w:r>
    </w:p>
  </w:footnote>
  <w:footnote w:id="1736">
    <w:p w14:paraId="6B6C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יב</w:t>
      </w:r>
      <w:proofErr w:type="spellEnd"/>
      <w:r>
        <w:rPr>
          <w:sz w:val="20"/>
          <w:szCs w:val="20"/>
          <w:rtl/>
        </w:rPr>
        <w:t>.</w:t>
      </w:r>
    </w:p>
  </w:footnote>
  <w:footnote w:id="1737">
    <w:p w14:paraId="389EF3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“גרשון חנוך </w:t>
      </w:r>
      <w:proofErr w:type="spellStart"/>
      <w:r>
        <w:rPr>
          <w:sz w:val="20"/>
          <w:szCs w:val="20"/>
          <w:rtl/>
        </w:rPr>
        <w:t>מאיזביצא</w:t>
      </w:r>
      <w:proofErr w:type="spellEnd"/>
      <w:r>
        <w:rPr>
          <w:sz w:val="20"/>
          <w:szCs w:val="20"/>
          <w:rtl/>
        </w:rPr>
        <w:t>”, נדפס בניו יורק, תשי״ב – עמ׳ ו.</w:t>
      </w:r>
    </w:p>
  </w:footnote>
  <w:footnote w:id="1738">
    <w:p w14:paraId="44F1F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במדבר טו, לח.</w:t>
      </w:r>
    </w:p>
  </w:footnote>
  <w:footnote w:id="1739">
    <w:p w14:paraId="10A5BE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1, הפסקה השנייה בנספח ב – ח״א, עמ׳ קנט.</w:t>
      </w:r>
    </w:p>
  </w:footnote>
  <w:footnote w:id="1740">
    <w:p w14:paraId="417E32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בנספח ז לעיל והערה 31 בפרק זה.</w:t>
      </w:r>
    </w:p>
  </w:footnote>
  <w:footnote w:id="1741">
    <w:p w14:paraId="216029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ט להלן.</w:t>
      </w:r>
    </w:p>
  </w:footnote>
  <w:footnote w:id="1742">
    <w:p w14:paraId="011D5C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(הערה 12 לעיל), עמ׳ 311–314.</w:t>
      </w:r>
    </w:p>
  </w:footnote>
  <w:footnote w:id="1743">
    <w:p w14:paraId="5E6A8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ישראל נפטר שנים אחדות לפני שנודעה גדולתו של ר׳ </w:t>
      </w:r>
      <w:proofErr w:type="spellStart"/>
      <w:r>
        <w:rPr>
          <w:sz w:val="20"/>
          <w:szCs w:val="20"/>
          <w:rtl/>
        </w:rPr>
        <w:t>איצל׳ה</w:t>
      </w:r>
      <w:proofErr w:type="spellEnd"/>
      <w:r>
        <w:rPr>
          <w:sz w:val="20"/>
          <w:szCs w:val="20"/>
          <w:rtl/>
        </w:rPr>
        <w:t>, אך ייחודו של ר׳ חיים כבר היה מוכר.</w:t>
      </w:r>
    </w:p>
  </w:footnote>
  <w:footnote w:id="1744">
    <w:p w14:paraId="3747D3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מסורה, ברוקלין, 1994 (להלן: “ר׳ מנדל”) – עמ׳ 125 ו־140.</w:t>
      </w:r>
    </w:p>
  </w:footnote>
  <w:footnote w:id="1745">
    <w:p w14:paraId="5993A7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 אלחנן” (הוצאת מסורה, ברוקלין, 1982), עמ׳ 30–31.</w:t>
      </w:r>
    </w:p>
  </w:footnote>
  <w:footnote w:id="1746">
    <w:p w14:paraId="109AF8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הוצאה מיוחדת לכבוד כנס חלוקת </w:t>
      </w:r>
      <w:proofErr w:type="spellStart"/>
      <w:r>
        <w:rPr>
          <w:sz w:val="20"/>
          <w:szCs w:val="20"/>
          <w:rtl/>
        </w:rPr>
        <w:t>המילגות</w:t>
      </w:r>
      <w:proofErr w:type="spellEnd"/>
      <w:r>
        <w:rPr>
          <w:sz w:val="20"/>
          <w:szCs w:val="20"/>
          <w:rtl/>
        </w:rPr>
        <w:t xml:space="preserve"> תשנ״ה; יצא לאור בידי ארגון מרביצי תורה ספרדים באה״ק.</w:t>
      </w:r>
    </w:p>
  </w:footnote>
  <w:footnote w:id="1747">
    <w:p w14:paraId="24425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קעה</w:t>
      </w:r>
      <w:proofErr w:type="spellEnd"/>
      <w:r>
        <w:rPr>
          <w:sz w:val="20"/>
          <w:szCs w:val="20"/>
          <w:rtl/>
        </w:rPr>
        <w:t>.</w:t>
      </w:r>
    </w:p>
  </w:footnote>
  <w:footnote w:id="1748">
    <w:p w14:paraId="20973B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בנספח י להלן דנתי במועד המדויק שבו התחיל ר׳ חיים למסור שיעורים </w:t>
      </w:r>
      <w:proofErr w:type="spellStart"/>
      <w:r>
        <w:rPr>
          <w:sz w:val="20"/>
          <w:szCs w:val="20"/>
          <w:rtl/>
        </w:rPr>
        <w:t>בוולוז׳ין</w:t>
      </w:r>
      <w:proofErr w:type="spellEnd"/>
      <w:r>
        <w:rPr>
          <w:sz w:val="20"/>
          <w:szCs w:val="20"/>
          <w:rtl/>
        </w:rPr>
        <w:t>.</w:t>
      </w:r>
    </w:p>
  </w:footnote>
  <w:footnote w:id="1749">
    <w:p w14:paraId="64DBAD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w:t>
      </w:r>
      <w:proofErr w:type="spellStart"/>
      <w:r>
        <w:rPr>
          <w:sz w:val="20"/>
          <w:szCs w:val="20"/>
          <w:rtl/>
        </w:rPr>
        <w:t>פלדהיים</w:t>
      </w:r>
      <w:proofErr w:type="spellEnd"/>
      <w:r>
        <w:rPr>
          <w:sz w:val="20"/>
          <w:szCs w:val="20"/>
          <w:rtl/>
        </w:rPr>
        <w:t>, ירושלים – עמ׳ 115.</w:t>
      </w:r>
    </w:p>
  </w:footnote>
  <w:footnote w:id="1750">
    <w:p w14:paraId="5AAC6F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לדוגמה קיצונית להבדל בין שיטת ר׳ חיים לשיטה שהייתה מקובלת עד אז, השווה פרק 4, הפסקה הרביעית בנספח ט: שם נאמר </w:t>
      </w:r>
      <w:proofErr w:type="spellStart"/>
      <w:r>
        <w:rPr>
          <w:sz w:val="20"/>
          <w:szCs w:val="20"/>
          <w:rtl/>
        </w:rPr>
        <w:t>שלר</w:t>
      </w:r>
      <w:proofErr w:type="spellEnd"/>
      <w:r>
        <w:rPr>
          <w:sz w:val="20"/>
          <w:szCs w:val="20"/>
          <w:rtl/>
        </w:rPr>
        <w:t xml:space="preserve">׳ יוסף </w:t>
      </w:r>
      <w:proofErr w:type="spellStart"/>
      <w:r>
        <w:rPr>
          <w:sz w:val="20"/>
          <w:szCs w:val="20"/>
          <w:rtl/>
        </w:rPr>
        <w:t>ענגיל</w:t>
      </w:r>
      <w:proofErr w:type="spellEnd"/>
      <w:r>
        <w:rPr>
          <w:sz w:val="20"/>
          <w:szCs w:val="20"/>
          <w:rtl/>
        </w:rPr>
        <w:t xml:space="preserve"> </w:t>
      </w:r>
      <w:proofErr w:type="spellStart"/>
      <w:r>
        <w:rPr>
          <w:sz w:val="20"/>
          <w:szCs w:val="20"/>
          <w:rtl/>
        </w:rPr>
        <w:t>מקרקוב</w:t>
      </w:r>
      <w:proofErr w:type="spellEnd"/>
      <w:r>
        <w:rPr>
          <w:sz w:val="20"/>
          <w:szCs w:val="20"/>
          <w:rtl/>
        </w:rPr>
        <w:t xml:space="preserve">, בן דורו של ר׳ חיים שנפטר </w:t>
      </w:r>
      <w:proofErr w:type="spellStart"/>
      <w:r>
        <w:rPr>
          <w:sz w:val="20"/>
          <w:szCs w:val="20"/>
          <w:rtl/>
        </w:rPr>
        <w:t>חמישה־עשר</w:t>
      </w:r>
      <w:proofErr w:type="spellEnd"/>
      <w:r>
        <w:rPr>
          <w:sz w:val="20"/>
          <w:szCs w:val="20"/>
          <w:rtl/>
        </w:rPr>
        <w:t xml:space="preserve"> חודשים אחריו, היו שמונים פתרונות שונים </w:t>
      </w:r>
      <w:proofErr w:type="spellStart"/>
      <w:r>
        <w:rPr>
          <w:sz w:val="20"/>
          <w:szCs w:val="20"/>
          <w:rtl/>
        </w:rPr>
        <w:t>לקושיה</w:t>
      </w:r>
      <w:proofErr w:type="spellEnd"/>
      <w:r>
        <w:rPr>
          <w:sz w:val="20"/>
          <w:szCs w:val="20"/>
          <w:rtl/>
        </w:rPr>
        <w:t xml:space="preserve"> אחת, ואילו </w:t>
      </w:r>
      <w:proofErr w:type="spellStart"/>
      <w:r>
        <w:rPr>
          <w:sz w:val="20"/>
          <w:szCs w:val="20"/>
          <w:rtl/>
        </w:rPr>
        <w:t>לר</w:t>
      </w:r>
      <w:proofErr w:type="spellEnd"/>
      <w:r>
        <w:rPr>
          <w:sz w:val="20"/>
          <w:szCs w:val="20"/>
          <w:rtl/>
        </w:rPr>
        <w:t xml:space="preserve">׳ חיים </w:t>
      </w:r>
      <w:proofErr w:type="spellStart"/>
      <w:r>
        <w:rPr>
          <w:sz w:val="20"/>
          <w:szCs w:val="20"/>
          <w:rtl/>
        </w:rPr>
        <w:t>סולובייצ׳יק</w:t>
      </w:r>
      <w:proofErr w:type="spellEnd"/>
      <w:r>
        <w:rPr>
          <w:sz w:val="20"/>
          <w:szCs w:val="20"/>
          <w:rtl/>
        </w:rPr>
        <w:t xml:space="preserve"> היה פתרון אחד לשמונים קושיות שונות.</w:t>
      </w:r>
    </w:p>
  </w:footnote>
  <w:footnote w:id="1751">
    <w:p w14:paraId="2438E5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בירושלם, תש״נ – עמ׳ </w:t>
      </w:r>
      <w:proofErr w:type="spellStart"/>
      <w:r>
        <w:rPr>
          <w:sz w:val="20"/>
          <w:szCs w:val="20"/>
          <w:rtl/>
        </w:rPr>
        <w:t>רלז</w:t>
      </w:r>
      <w:proofErr w:type="spellEnd"/>
      <w:r>
        <w:rPr>
          <w:sz w:val="20"/>
          <w:szCs w:val="20"/>
          <w:rtl/>
        </w:rPr>
        <w:t xml:space="preserve">. ספר זה הוא ליקוט דברים </w:t>
      </w:r>
      <w:proofErr w:type="spellStart"/>
      <w:r>
        <w:rPr>
          <w:sz w:val="20"/>
          <w:szCs w:val="20"/>
          <w:rtl/>
        </w:rPr>
        <w:t>ש“תלמידו</w:t>
      </w:r>
      <w:proofErr w:type="spellEnd"/>
      <w:r>
        <w:rPr>
          <w:sz w:val="20"/>
          <w:szCs w:val="20"/>
          <w:rtl/>
        </w:rPr>
        <w:t xml:space="preserve"> המובהק של </w:t>
      </w:r>
      <w:proofErr w:type="spellStart"/>
      <w:r>
        <w:rPr>
          <w:sz w:val="20"/>
          <w:szCs w:val="20"/>
          <w:rtl/>
        </w:rPr>
        <w:t>החפץ־חיים</w:t>
      </w:r>
      <w:proofErr w:type="spellEnd"/>
      <w:r>
        <w:rPr>
          <w:sz w:val="20"/>
          <w:szCs w:val="20"/>
          <w:rtl/>
        </w:rPr>
        <w:t xml:space="preserve">”, ר׳ </w:t>
      </w:r>
      <w:proofErr w:type="spellStart"/>
      <w:r>
        <w:rPr>
          <w:sz w:val="20"/>
          <w:szCs w:val="20"/>
          <w:rtl/>
        </w:rPr>
        <w:t>שלמה־זלמן</w:t>
      </w:r>
      <w:proofErr w:type="spellEnd"/>
      <w:r>
        <w:rPr>
          <w:sz w:val="20"/>
          <w:szCs w:val="20"/>
          <w:rtl/>
        </w:rPr>
        <w:t xml:space="preserve"> בלוך, “אמר וסיפר על רבותיו הקדושים”, כפי שכתבו “אלה שזכו לשמשו”.</w:t>
      </w:r>
    </w:p>
  </w:footnote>
  <w:footnote w:id="1752">
    <w:p w14:paraId="35C856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בן </w:t>
      </w:r>
      <w:proofErr w:type="spellStart"/>
      <w:r>
        <w:rPr>
          <w:rStyle w:val="a5"/>
          <w:sz w:val="20"/>
          <w:szCs w:val="20"/>
          <w:vertAlign w:val="baseline"/>
          <w:rtl/>
        </w:rPr>
        <w:t>החפץ־חיים</w:t>
      </w:r>
      <w:proofErr w:type="spellEnd"/>
      <w:r>
        <w:rPr>
          <w:rStyle w:val="a5"/>
          <w:sz w:val="20"/>
          <w:szCs w:val="20"/>
          <w:vertAlign w:val="baseline"/>
          <w:rtl/>
        </w:rPr>
        <w:t xml:space="preserve"> מתארו </w:t>
      </w:r>
      <w:proofErr w:type="spellStart"/>
      <w:r>
        <w:rPr>
          <w:rStyle w:val="a5"/>
          <w:sz w:val="20"/>
          <w:szCs w:val="20"/>
          <w:vertAlign w:val="baseline"/>
          <w:rtl/>
        </w:rPr>
        <w:t>כ“רע</w:t>
      </w:r>
      <w:proofErr w:type="spellEnd"/>
      <w:r>
        <w:rPr>
          <w:rStyle w:val="a5"/>
          <w:sz w:val="20"/>
          <w:szCs w:val="20"/>
          <w:vertAlign w:val="baseline"/>
          <w:rtl/>
        </w:rPr>
        <w:t xml:space="preserve"> וידיד” של אביו, “אדם גדול וצדיק מפורסם” – ראה </w:t>
      </w:r>
      <w:proofErr w:type="spellStart"/>
      <w:r>
        <w:rPr>
          <w:rStyle w:val="a5"/>
          <w:sz w:val="20"/>
          <w:szCs w:val="20"/>
          <w:vertAlign w:val="baseline"/>
          <w:rtl/>
        </w:rPr>
        <w:t>כבה״ת</w:t>
      </w:r>
      <w:proofErr w:type="spellEnd"/>
      <w:r>
        <w:rPr>
          <w:rStyle w:val="a5"/>
          <w:sz w:val="20"/>
          <w:szCs w:val="20"/>
          <w:vertAlign w:val="baseline"/>
          <w:rtl/>
        </w:rPr>
        <w:t>, עמ׳ 64.</w:t>
      </w:r>
    </w:p>
  </w:footnote>
  <w:footnote w:id="1753">
    <w:p w14:paraId="61BDB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בקשר להסברו השכלי של ר׳ ישראל: ר׳ דוד </w:t>
      </w:r>
      <w:proofErr w:type="spellStart"/>
      <w:r>
        <w:rPr>
          <w:sz w:val="20"/>
          <w:szCs w:val="20"/>
          <w:rtl/>
        </w:rPr>
        <w:t>זופניק</w:t>
      </w:r>
      <w:proofErr w:type="spellEnd"/>
      <w:r>
        <w:rPr>
          <w:sz w:val="20"/>
          <w:szCs w:val="20"/>
          <w:rtl/>
        </w:rPr>
        <w:t xml:space="preserve"> סיפר ביום 15 ביולי 2001, בשם החברותא שלו בישיבת </w:t>
      </w:r>
      <w:proofErr w:type="spellStart"/>
      <w:r>
        <w:rPr>
          <w:sz w:val="20"/>
          <w:szCs w:val="20"/>
          <w:rtl/>
        </w:rPr>
        <w:t>מיר</w:t>
      </w:r>
      <w:proofErr w:type="spellEnd"/>
      <w:r>
        <w:rPr>
          <w:sz w:val="20"/>
          <w:szCs w:val="20"/>
          <w:rtl/>
        </w:rPr>
        <w:t xml:space="preserve">, שבה למד בשנים תרצ״ד–תרצ״ח, ר׳ ישעיה </w:t>
      </w:r>
      <w:proofErr w:type="spellStart"/>
      <w:r>
        <w:rPr>
          <w:sz w:val="20"/>
          <w:szCs w:val="20"/>
          <w:rtl/>
        </w:rPr>
        <w:t>שימנוביץ</w:t>
      </w:r>
      <w:proofErr w:type="spellEnd"/>
      <w:r>
        <w:rPr>
          <w:sz w:val="20"/>
          <w:szCs w:val="20"/>
          <w:rtl/>
        </w:rPr>
        <w:t xml:space="preserve">, שפעם, בצעירותו של ר׳ חיים </w:t>
      </w:r>
      <w:proofErr w:type="spellStart"/>
      <w:r>
        <w:rPr>
          <w:sz w:val="20"/>
          <w:szCs w:val="20"/>
          <w:rtl/>
        </w:rPr>
        <w:t>סולובייצ׳יק</w:t>
      </w:r>
      <w:proofErr w:type="spellEnd"/>
      <w:r>
        <w:rPr>
          <w:sz w:val="20"/>
          <w:szCs w:val="20"/>
          <w:rtl/>
        </w:rPr>
        <w:t xml:space="preserve">, גער בו אביו שהסטודנטים היהודים באוניברסיטאות הרוסיות שוקדים על לימודיהם יותר משהוא שוקד על לימוד התורה. השיב ר׳ חיים, ביחס ליצר הרע: “אותו אחד שדוחף אותם [ללמוד], הוא המעכב אותי”. (תשובה זו של ר׳ חיים לאביו מיוחסת גם לילד יהונתן </w:t>
      </w:r>
      <w:proofErr w:type="spellStart"/>
      <w:r>
        <w:rPr>
          <w:sz w:val="20"/>
          <w:szCs w:val="20"/>
          <w:rtl/>
        </w:rPr>
        <w:t>אייבשיץ</w:t>
      </w:r>
      <w:proofErr w:type="spellEnd"/>
      <w:r>
        <w:rPr>
          <w:sz w:val="20"/>
          <w:szCs w:val="20"/>
          <w:rtl/>
        </w:rPr>
        <w:t xml:space="preserve">, שהשיב כך </w:t>
      </w:r>
      <w:proofErr w:type="spellStart"/>
      <w:r>
        <w:rPr>
          <w:sz w:val="20"/>
          <w:szCs w:val="20"/>
          <w:rtl/>
        </w:rPr>
        <w:t>לאמו</w:t>
      </w:r>
      <w:proofErr w:type="spellEnd"/>
      <w:r>
        <w:rPr>
          <w:sz w:val="20"/>
          <w:szCs w:val="20"/>
          <w:rtl/>
        </w:rPr>
        <w:t xml:space="preserve"> כשקם מאוחר בבוקר יום ראשון והיא גערה בו: “בשעה מאוחרת זו כבר הלכו האיכרים הגויים כ־32 קילומטרים לכנסייה שלהם”.)</w:t>
      </w:r>
    </w:p>
  </w:footnote>
  <w:footnote w:id="1754">
    <w:p w14:paraId="462135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השנייה בנספח כ.</w:t>
      </w:r>
    </w:p>
  </w:footnote>
  <w:footnote w:id="1755">
    <w:p w14:paraId="030DDD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“אור ישראל” (הערת שוליים </w:t>
      </w:r>
      <w:r>
        <w:rPr>
          <w:rStyle w:val="a5"/>
          <w:sz w:val="20"/>
          <w:szCs w:val="20"/>
          <w:vertAlign w:val="baseline"/>
          <w:rtl/>
        </w:rPr>
        <w:fldChar w:fldCharType="begin" w:dirty="true"/>
      </w:r>
      <w:r>
        <w:rPr>
          <w:rStyle w:val="a5"/>
          <w:sz w:val="20"/>
          <w:szCs w:val="20"/>
          <w:vertAlign w:val="baseline"/>
          <w:rtl/>
        </w:rPr>
        <w:instrText xml:space="preserve"> NOTEREF pr_f_1431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477</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pr_f_1431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מ, כפי שצוטט מהקדמתו </w:t>
      </w:r>
      <w:proofErr w:type="spellStart"/>
      <w:r>
        <w:rPr>
          <w:sz w:val="20"/>
          <w:szCs w:val="20"/>
          <w:rtl/>
        </w:rPr>
        <w:t>ל“התבונה</w:t>
      </w:r>
      <w:proofErr w:type="spellEnd"/>
      <w:r>
        <w:rPr>
          <w:sz w:val="20"/>
          <w:szCs w:val="20"/>
          <w:rtl/>
        </w:rPr>
        <w:t xml:space="preserve">”, שבועון תורני שערך, שממנו יצאו לאור </w:t>
      </w:r>
      <w:proofErr w:type="spellStart"/>
      <w:r>
        <w:rPr>
          <w:sz w:val="20"/>
          <w:szCs w:val="20"/>
          <w:rtl/>
        </w:rPr>
        <w:t>שנים־עשר</w:t>
      </w:r>
      <w:proofErr w:type="spellEnd"/>
      <w:r>
        <w:rPr>
          <w:sz w:val="20"/>
          <w:szCs w:val="20"/>
          <w:rtl/>
        </w:rPr>
        <w:t xml:space="preserve"> גיליונות בממל ובקניגסברג בשנים תרכ״א–תרכ״ב.</w:t>
      </w:r>
    </w:p>
  </w:footnote>
  <w:footnote w:id="1756">
    <w:p w14:paraId="46009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(הערה 19 לעיל), עמ׳ 229–235.</w:t>
      </w:r>
    </w:p>
  </w:footnote>
  <w:footnote w:id="1757">
    <w:p w14:paraId="20206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החיבור הנזכר בפרק 2, הערה 13 – עמ׳ רמז.</w:t>
      </w:r>
    </w:p>
  </w:footnote>
  <w:footnote w:id="1758">
    <w:p w14:paraId="1563D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22 לעיל.</w:t>
      </w:r>
    </w:p>
  </w:footnote>
  <w:footnote w:id="1759">
    <w:p w14:paraId="321A9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מפי בני ר׳ יוסף ביום 26 ביוני 2001.</w:t>
      </w:r>
    </w:p>
  </w:footnote>
  <w:footnote w:id="1760">
    <w:p w14:paraId="40656D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הדפסתו הראשונה של “ביאור </w:t>
      </w:r>
      <w:proofErr w:type="spellStart"/>
      <w:r>
        <w:rPr>
          <w:sz w:val="20"/>
          <w:szCs w:val="20"/>
          <w:rtl/>
        </w:rPr>
        <w:t>הגר״א</w:t>
      </w:r>
      <w:proofErr w:type="spellEnd"/>
      <w:r>
        <w:rPr>
          <w:sz w:val="20"/>
          <w:szCs w:val="20"/>
          <w:rtl/>
        </w:rPr>
        <w:t xml:space="preserve">” יחד עם השולחן ערוך הייתה </w:t>
      </w:r>
      <w:proofErr w:type="spellStart"/>
      <w:r>
        <w:rPr>
          <w:sz w:val="20"/>
          <w:szCs w:val="20"/>
          <w:rtl/>
        </w:rPr>
        <w:t>בשקלוב</w:t>
      </w:r>
      <w:proofErr w:type="spellEnd"/>
      <w:r>
        <w:rPr>
          <w:sz w:val="20"/>
          <w:szCs w:val="20"/>
          <w:rtl/>
        </w:rPr>
        <w:t xml:space="preserve"> בשנת תקס״ג, אך הספר היה נדיר גם בשנות </w:t>
      </w:r>
      <w:proofErr w:type="spellStart"/>
      <w:r>
        <w:rPr>
          <w:sz w:val="20"/>
          <w:szCs w:val="20"/>
          <w:rtl/>
        </w:rPr>
        <w:t>התר״י</w:t>
      </w:r>
      <w:proofErr w:type="spellEnd"/>
      <w:r>
        <w:rPr>
          <w:sz w:val="20"/>
          <w:szCs w:val="20"/>
          <w:rtl/>
        </w:rPr>
        <w:t xml:space="preserve">, כשמסר ר׳ ישראל שיעורים </w:t>
      </w:r>
      <w:proofErr w:type="spellStart"/>
      <w:r>
        <w:rPr>
          <w:sz w:val="20"/>
          <w:szCs w:val="20"/>
          <w:rtl/>
        </w:rPr>
        <w:t>בקלויז</w:t>
      </w:r>
      <w:proofErr w:type="spellEnd"/>
      <w:r>
        <w:rPr>
          <w:sz w:val="20"/>
          <w:szCs w:val="20"/>
          <w:rtl/>
        </w:rPr>
        <w:t xml:space="preserve"> </w:t>
      </w:r>
      <w:proofErr w:type="spellStart"/>
      <w:r>
        <w:rPr>
          <w:sz w:val="20"/>
          <w:szCs w:val="20"/>
          <w:rtl/>
        </w:rPr>
        <w:t>נביאזר</w:t>
      </w:r>
      <w:proofErr w:type="spellEnd"/>
      <w:r>
        <w:rPr>
          <w:sz w:val="20"/>
          <w:szCs w:val="20"/>
          <w:rtl/>
        </w:rPr>
        <w:t xml:space="preserve"> בקובנה.</w:t>
      </w:r>
    </w:p>
  </w:footnote>
  <w:footnote w:id="1761">
    <w:p w14:paraId="0E203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בנספח י, שבצעירותו ציפה ר׳ ישראל להיות </w:t>
      </w:r>
      <w:proofErr w:type="spellStart"/>
      <w:r>
        <w:rPr>
          <w:sz w:val="20"/>
          <w:szCs w:val="20"/>
          <w:rtl/>
        </w:rPr>
        <w:t>לגר״א</w:t>
      </w:r>
      <w:proofErr w:type="spellEnd"/>
      <w:r>
        <w:rPr>
          <w:sz w:val="20"/>
          <w:szCs w:val="20"/>
          <w:rtl/>
        </w:rPr>
        <w:t xml:space="preserve"> נוסף.</w:t>
      </w:r>
    </w:p>
  </w:footnote>
  <w:footnote w:id="1762">
    <w:p w14:paraId="043253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196.</w:t>
      </w:r>
    </w:p>
  </w:footnote>
  <w:footnote w:id="1763">
    <w:p w14:paraId="19B08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לב להלן.</w:t>
      </w:r>
    </w:p>
  </w:footnote>
  <w:footnote w:id="1764">
    <w:p w14:paraId="23944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20 במרץ 1994.</w:t>
      </w:r>
    </w:p>
  </w:footnote>
  <w:footnote w:id="1765">
    <w:p w14:paraId="098A0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מרדכי־זאב</w:t>
      </w:r>
      <w:proofErr w:type="spellEnd"/>
      <w:r>
        <w:rPr>
          <w:sz w:val="20"/>
          <w:szCs w:val="20"/>
          <w:rtl/>
        </w:rPr>
        <w:t xml:space="preserve"> היה מקורב </w:t>
      </w:r>
      <w:proofErr w:type="spellStart"/>
      <w:r>
        <w:rPr>
          <w:sz w:val="20"/>
          <w:szCs w:val="20"/>
          <w:rtl/>
        </w:rPr>
        <w:t>לר</w:t>
      </w:r>
      <w:proofErr w:type="spellEnd"/>
      <w:r>
        <w:rPr>
          <w:sz w:val="20"/>
          <w:szCs w:val="20"/>
          <w:rtl/>
        </w:rPr>
        <w:t xml:space="preserve">׳ חיים, מפני שאביו ר׳ </w:t>
      </w:r>
      <w:proofErr w:type="spellStart"/>
      <w:r>
        <w:rPr>
          <w:sz w:val="20"/>
          <w:szCs w:val="20"/>
          <w:rtl/>
        </w:rPr>
        <w:t>ליפא</w:t>
      </w:r>
      <w:proofErr w:type="spellEnd"/>
      <w:r>
        <w:rPr>
          <w:sz w:val="20"/>
          <w:szCs w:val="20"/>
          <w:rtl/>
        </w:rPr>
        <w:t xml:space="preserve"> </w:t>
      </w:r>
      <w:proofErr w:type="spellStart"/>
      <w:r>
        <w:rPr>
          <w:sz w:val="20"/>
          <w:szCs w:val="20"/>
          <w:rtl/>
        </w:rPr>
        <w:t>דז׳יקנסקי</w:t>
      </w:r>
      <w:proofErr w:type="spellEnd"/>
      <w:r>
        <w:rPr>
          <w:sz w:val="20"/>
          <w:szCs w:val="20"/>
          <w:rtl/>
        </w:rPr>
        <w:t xml:space="preserve"> נמנה עם הנהלת ישיבת </w:t>
      </w:r>
      <w:proofErr w:type="spellStart"/>
      <w:r>
        <w:rPr>
          <w:sz w:val="20"/>
          <w:szCs w:val="20"/>
          <w:rtl/>
        </w:rPr>
        <w:t>וולוז׳ין</w:t>
      </w:r>
      <w:proofErr w:type="spellEnd"/>
      <w:r>
        <w:rPr>
          <w:sz w:val="20"/>
          <w:szCs w:val="20"/>
          <w:rtl/>
        </w:rPr>
        <w:t xml:space="preserve"> בזמן שנסגרה.</w:t>
      </w:r>
    </w:p>
  </w:footnote>
  <w:footnote w:id="1766">
    <w:p w14:paraId="1071E2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רכ</w:t>
      </w:r>
      <w:proofErr w:type="spellEnd"/>
      <w:r>
        <w:rPr>
          <w:sz w:val="20"/>
          <w:szCs w:val="20"/>
          <w:rtl/>
        </w:rPr>
        <w:t>.</w:t>
      </w:r>
    </w:p>
  </w:footnote>
  <w:footnote w:id="1767">
    <w:p w14:paraId="7C01F6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עט.</w:t>
      </w:r>
    </w:p>
  </w:footnote>
  <w:footnote w:id="1768">
    <w:p w14:paraId="725329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מתאריך ליל כ״ד באב תשמ״א.</w:t>
      </w:r>
    </w:p>
  </w:footnote>
  <w:footnote w:id="1769">
    <w:p w14:paraId="7B7DA6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יד להלן.</w:t>
      </w:r>
    </w:p>
  </w:footnote>
  <w:footnote w:id="1770">
    <w:p w14:paraId="1E6B1D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יצחק </w:t>
      </w:r>
      <w:proofErr w:type="spellStart"/>
      <w:r>
        <w:rPr>
          <w:sz w:val="20"/>
          <w:szCs w:val="20"/>
          <w:rtl/>
        </w:rPr>
        <w:t>קנובל</w:t>
      </w:r>
      <w:proofErr w:type="spellEnd"/>
      <w:r>
        <w:rPr>
          <w:sz w:val="20"/>
          <w:szCs w:val="20"/>
          <w:rtl/>
        </w:rPr>
        <w:t xml:space="preserve"> (פרק 1, נספח ג).</w:t>
      </w:r>
    </w:p>
  </w:footnote>
  <w:footnote w:id="1771">
    <w:p w14:paraId="0E4A48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שבת פ״ב </w:t>
      </w:r>
      <w:proofErr w:type="spellStart"/>
      <w:r>
        <w:rPr>
          <w:sz w:val="20"/>
          <w:szCs w:val="20"/>
          <w:rtl/>
        </w:rPr>
        <w:t>ה״ו</w:t>
      </w:r>
      <w:proofErr w:type="spellEnd"/>
      <w:r>
        <w:rPr>
          <w:sz w:val="20"/>
          <w:szCs w:val="20"/>
          <w:rtl/>
        </w:rPr>
        <w:t>.</w:t>
      </w:r>
    </w:p>
  </w:footnote>
  <w:footnote w:id="1772">
    <w:p w14:paraId="52C636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w:t>
      </w:r>
      <w:proofErr w:type="spellStart"/>
      <w:r>
        <w:rPr>
          <w:sz w:val="20"/>
          <w:szCs w:val="20"/>
          <w:rtl/>
        </w:rPr>
        <w:t>מאיר־שמחה</w:t>
      </w:r>
      <w:proofErr w:type="spellEnd"/>
      <w:r>
        <w:rPr>
          <w:sz w:val="20"/>
          <w:szCs w:val="20"/>
          <w:rtl/>
        </w:rPr>
        <w:t xml:space="preserve"> החיל כאן את הכלל שבמסכת שבת (</w:t>
      </w:r>
      <w:proofErr w:type="spellStart"/>
      <w:r>
        <w:rPr>
          <w:sz w:val="20"/>
          <w:szCs w:val="20"/>
          <w:rtl/>
        </w:rPr>
        <w:t>קכט</w:t>
      </w:r>
      <w:proofErr w:type="spellEnd"/>
      <w:r>
        <w:rPr>
          <w:sz w:val="20"/>
          <w:szCs w:val="20"/>
          <w:rtl/>
        </w:rPr>
        <w:t xml:space="preserve"> ע״ב), כיון </w:t>
      </w:r>
      <w:proofErr w:type="spellStart"/>
      <w:r>
        <w:rPr>
          <w:sz w:val="20"/>
          <w:szCs w:val="20"/>
          <w:rtl/>
        </w:rPr>
        <w:t>דדשו</w:t>
      </w:r>
      <w:proofErr w:type="spellEnd"/>
      <w:r>
        <w:rPr>
          <w:sz w:val="20"/>
          <w:szCs w:val="20"/>
          <w:rtl/>
        </w:rPr>
        <w:t xml:space="preserve"> בה רבים </w:t>
      </w:r>
      <w:proofErr w:type="spellStart"/>
      <w:r>
        <w:rPr>
          <w:sz w:val="20"/>
          <w:szCs w:val="20"/>
          <w:rtl/>
        </w:rPr>
        <w:t>וכו</w:t>
      </w:r>
      <w:proofErr w:type="spellEnd"/>
      <w:r>
        <w:rPr>
          <w:sz w:val="20"/>
          <w:szCs w:val="20"/>
          <w:rtl/>
        </w:rPr>
        <w:t>׳. וגם ע׳ קרבן העדה בירושלמי שם שלדבר מצוה מותר.</w:t>
      </w:r>
    </w:p>
  </w:footnote>
  <w:footnote w:id="1773">
    <w:p w14:paraId="1920F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מקום הירושלמי שהזכיר הסבא מסר לי ר׳ חיים </w:t>
      </w:r>
      <w:proofErr w:type="spellStart"/>
      <w:r>
        <w:rPr>
          <w:sz w:val="20"/>
          <w:szCs w:val="20"/>
          <w:rtl/>
        </w:rPr>
        <w:t xml:space="preserve">קניבסקי</w:t>
      </w:r>
      <w:proofErr w:type="spellEnd"/>
      <w:r>
        <w:rPr>
          <w:sz w:val="20"/>
          <w:szCs w:val="20"/>
          <w:rtl/>
        </w:rPr>
        <w:t xml:space="preserve">, אבל את מקור הירושלמי שציטט ר׳ </w:t>
      </w:r>
      <w:proofErr w:type="spellStart"/>
      <w:r>
        <w:rPr>
          <w:sz w:val="20"/>
          <w:szCs w:val="20"/>
          <w:rtl/>
        </w:rPr>
        <w:t>מאיר־שמחה</w:t>
      </w:r>
      <w:proofErr w:type="spellEnd"/>
      <w:r>
        <w:rPr>
          <w:sz w:val="20"/>
          <w:szCs w:val="20"/>
          <w:rtl/>
        </w:rPr>
        <w:t xml:space="preserve"> הוא לא הכיר. מכיוון שלא ייתכן שר׳ חיים </w:t>
      </w:r>
      <w:proofErr w:type="spellStart"/>
      <w:r>
        <w:rPr>
          <w:sz w:val="20"/>
          <w:szCs w:val="20"/>
          <w:rtl/>
        </w:rPr>
        <w:t xml:space="preserve">קניבסקי</w:t>
      </w:r>
      <w:proofErr w:type="spellEnd"/>
      <w:r>
        <w:rPr>
          <w:sz w:val="20"/>
          <w:szCs w:val="20"/>
          <w:rtl/>
        </w:rPr>
        <w:t xml:space="preserve"> לא יכיר מקור כלשהו בתלמוד הירושלמי, סבור אני שדברי ר׳ </w:t>
      </w:r>
      <w:proofErr w:type="spellStart"/>
      <w:r>
        <w:rPr>
          <w:sz w:val="20"/>
          <w:szCs w:val="20"/>
          <w:rtl/>
        </w:rPr>
        <w:t>מאיר־שמחה</w:t>
      </w:r>
      <w:proofErr w:type="spellEnd"/>
      <w:r>
        <w:rPr>
          <w:sz w:val="20"/>
          <w:szCs w:val="20"/>
          <w:rtl/>
        </w:rPr>
        <w:t xml:space="preserve"> נמסרו שלא בדייקנות – כמסופר להלן.</w:t>
      </w:r>
    </w:p>
  </w:footnote>
  <w:footnote w:id="1774">
    <w:p w14:paraId="216FB6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1775">
    <w:p w14:paraId="55C2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החיל את עצת ר׳ </w:t>
      </w:r>
      <w:proofErr w:type="spellStart"/>
      <w:r>
        <w:rPr>
          <w:sz w:val="20"/>
          <w:szCs w:val="20"/>
          <w:rtl/>
        </w:rPr>
        <w:t>מאיר־שמחה</w:t>
      </w:r>
      <w:proofErr w:type="spellEnd"/>
      <w:r>
        <w:rPr>
          <w:sz w:val="20"/>
          <w:szCs w:val="20"/>
          <w:rtl/>
        </w:rPr>
        <w:t xml:space="preserve"> על תוכניותיו של מרואיין זה למתיבתא במיאמי, ואמר: “בנה עם תלמידים ממיאמי, דבר שטוב למיאמי, ותצליח”. אבי יעץ גם שיהיה במוסד מדור לזקנים, “שמטבע הדברים יש בהם ניצוץ תשובה שאין להם דרך להפנותו: לכן הם שרים, מתרועעים ומבזבזים את זמנם. מצווה גדולה תהיה לעשות להם ישיבה”. הוא ציטט תוספות </w:t>
      </w:r>
      <w:proofErr w:type="spellStart"/>
      <w:r>
        <w:rPr>
          <w:sz w:val="20"/>
          <w:szCs w:val="20"/>
          <w:rtl/>
        </w:rPr>
        <w:t>בבבא</w:t>
      </w:r>
      <w:proofErr w:type="spellEnd"/>
      <w:r>
        <w:rPr>
          <w:sz w:val="20"/>
          <w:szCs w:val="20"/>
          <w:rtl/>
        </w:rPr>
        <w:t xml:space="preserve"> </w:t>
      </w:r>
      <w:proofErr w:type="spellStart"/>
      <w:r>
        <w:rPr>
          <w:sz w:val="20"/>
          <w:szCs w:val="20"/>
          <w:rtl/>
        </w:rPr>
        <w:t>בתרא</w:t>
      </w:r>
      <w:proofErr w:type="spellEnd"/>
      <w:r>
        <w:rPr>
          <w:sz w:val="20"/>
          <w:szCs w:val="20"/>
          <w:rtl/>
        </w:rPr>
        <w:t xml:space="preserve"> </w:t>
      </w:r>
      <w:proofErr w:type="spellStart"/>
      <w:r>
        <w:rPr>
          <w:sz w:val="20"/>
          <w:szCs w:val="20"/>
          <w:rtl/>
        </w:rPr>
        <w:t>כא</w:t>
      </w:r>
      <w:proofErr w:type="spellEnd"/>
      <w:r>
        <w:rPr>
          <w:sz w:val="20"/>
          <w:szCs w:val="20"/>
          <w:rtl/>
        </w:rPr>
        <w:t xml:space="preserve"> ע״א, ד״ה “ולמדתם”, והוסיף: “כשפרנסתו של אדם מצויה לו – מעשר שני במקרה שבתוספות, ופנסיות במקרה של גמלאי מיאמי – אפשר להתקדם בתורה וביראת שמים אם נמצאים בסביבה של קדושה, כגון המתיבתא”.</w:t>
      </w:r>
    </w:p>
  </w:footnote>
  <w:footnote w:id="1776">
    <w:p w14:paraId="0FE09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1777">
    <w:p w14:paraId="357C06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1778">
    <w:p w14:paraId="7222D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הקורא יתרגש מן </w:t>
      </w:r>
      <w:proofErr w:type="spellStart"/>
      <w:r>
        <w:rPr>
          <w:sz w:val="20"/>
          <w:szCs w:val="20"/>
          <w:rtl/>
        </w:rPr>
        <w:t>ה“שיחה</w:t>
      </w:r>
      <w:proofErr w:type="spellEnd"/>
      <w:r>
        <w:rPr>
          <w:sz w:val="20"/>
          <w:szCs w:val="20"/>
          <w:rtl/>
        </w:rPr>
        <w:t xml:space="preserve">” של הסבא שנדפסה – בצירוף הערת שוליים מתנצלת –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–שטו. בראשה באה פסקה זו: “נוהגים היו גדולי ליטא, </w:t>
      </w:r>
      <w:proofErr w:type="spellStart"/>
      <w:r>
        <w:rPr>
          <w:sz w:val="20"/>
          <w:szCs w:val="20"/>
          <w:rtl/>
        </w:rPr>
        <w:t>הגרח״ע</w:t>
      </w:r>
      <w:proofErr w:type="spellEnd"/>
      <w:r>
        <w:rPr>
          <w:sz w:val="20"/>
          <w:szCs w:val="20"/>
          <w:rtl/>
        </w:rPr>
        <w:t xml:space="preserve"> </w:t>
      </w:r>
      <w:proofErr w:type="spellStart"/>
      <w:r>
        <w:rPr>
          <w:sz w:val="20"/>
          <w:szCs w:val="20"/>
          <w:rtl/>
        </w:rPr>
        <w:t>מוילנא</w:t>
      </w:r>
      <w:proofErr w:type="spellEnd"/>
      <w:r>
        <w:rPr>
          <w:sz w:val="20"/>
          <w:szCs w:val="20"/>
          <w:rtl/>
        </w:rPr>
        <w:t xml:space="preserve">, </w:t>
      </w:r>
      <w:proofErr w:type="spellStart"/>
      <w:r>
        <w:rPr>
          <w:sz w:val="20"/>
          <w:szCs w:val="20"/>
          <w:rtl/>
        </w:rPr>
        <w:t>הגר״א</w:t>
      </w:r>
      <w:proofErr w:type="spellEnd"/>
      <w:r>
        <w:rPr>
          <w:sz w:val="20"/>
          <w:szCs w:val="20"/>
          <w:rtl/>
        </w:rPr>
        <w:t xml:space="preserve"> </w:t>
      </w:r>
      <w:proofErr w:type="spellStart"/>
      <w:r>
        <w:rPr>
          <w:sz w:val="20"/>
          <w:szCs w:val="20"/>
          <w:rtl/>
        </w:rPr>
        <w:t>רבינוביץ</w:t>
      </w:r>
      <w:proofErr w:type="spellEnd"/>
      <w:r>
        <w:rPr>
          <w:sz w:val="20"/>
          <w:szCs w:val="20"/>
          <w:rtl/>
        </w:rPr>
        <w:t xml:space="preserve"> ממינסק ואף הסבא </w:t>
      </w:r>
      <w:proofErr w:type="spellStart"/>
      <w:r>
        <w:rPr>
          <w:sz w:val="20"/>
          <w:szCs w:val="20"/>
          <w:rtl/>
        </w:rPr>
        <w:t>מסלבודקה</w:t>
      </w:r>
      <w:proofErr w:type="spellEnd"/>
      <w:r>
        <w:rPr>
          <w:sz w:val="20"/>
          <w:szCs w:val="20"/>
          <w:rtl/>
        </w:rPr>
        <w:t xml:space="preserve"> בתוכם, לבוא בימות הקיץ לעיר הרחצה </w:t>
      </w:r>
      <w:proofErr w:type="spellStart"/>
      <w:r>
        <w:rPr>
          <w:sz w:val="20"/>
          <w:szCs w:val="20"/>
          <w:rtl/>
        </w:rPr>
        <w:t>קראנץ</w:t>
      </w:r>
      <w:proofErr w:type="spellEnd"/>
      <w:r>
        <w:rPr>
          <w:sz w:val="20"/>
          <w:szCs w:val="20"/>
          <w:rtl/>
        </w:rPr>
        <w:t xml:space="preserve"> הסמוכה לקניגסברג בירת פרוסיה המזרחית... פקודת הרופאים גברה על הסבא, ז״ל, להפסיק בעונת הרפואה מעבודת העיון והמחשבה ורק לטייל במנוחה על שפת הים. בטיולים אלו לוינו, אנחנו רבנים צעירים מליטא, את הסבא, כדי להקשיב לשיחות חולין שלו”.</w:t>
      </w:r>
    </w:p>
  </w:footnote>
  <w:footnote w:id="1779">
    <w:p w14:paraId="3ECD58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נכדת הסבא, בריאיון מיום 13 בנובמבר 1991, בעניין הסבא; ובעניין ר׳ </w:t>
      </w:r>
      <w:proofErr w:type="spellStart"/>
      <w:r>
        <w:rPr>
          <w:sz w:val="20"/>
          <w:szCs w:val="20"/>
          <w:rtl/>
        </w:rPr>
        <w:t>חיים־עוזר</w:t>
      </w:r>
      <w:proofErr w:type="spellEnd"/>
      <w:r>
        <w:rPr>
          <w:sz w:val="20"/>
          <w:szCs w:val="20"/>
          <w:rtl/>
        </w:rPr>
        <w:t xml:space="preserve">, עמ׳ 26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אדר ב–ניסן תשמ״ט (מס׳ 282), מאמר מאת אחי שמשון רפאל שכותרתו “</w:t>
      </w:r>
      <w:proofErr w:type="spellStart"/>
      <w:r>
        <w:rPr>
          <w:sz w:val="20"/>
          <w:szCs w:val="20"/>
          <w:rtl/>
        </w:rPr>
        <w:t>תורה־אידען</w:t>
      </w:r>
      <w:proofErr w:type="spellEnd"/>
      <w:r>
        <w:rPr>
          <w:sz w:val="20"/>
          <w:szCs w:val="20"/>
          <w:rtl/>
        </w:rPr>
        <w:t xml:space="preserve"> אין </w:t>
      </w:r>
      <w:proofErr w:type="spellStart"/>
      <w:r>
        <w:rPr>
          <w:sz w:val="20"/>
          <w:szCs w:val="20"/>
          <w:rtl/>
        </w:rPr>
        <w:t>בערלין</w:t>
      </w:r>
      <w:proofErr w:type="spellEnd"/>
      <w:r>
        <w:rPr>
          <w:sz w:val="20"/>
          <w:szCs w:val="20"/>
          <w:rtl/>
        </w:rPr>
        <w:t>”.</w:t>
      </w:r>
    </w:p>
  </w:footnote>
  <w:footnote w:id="1780">
    <w:p w14:paraId="66D081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w:t>
      </w:r>
      <w:proofErr w:type="spellStart"/>
      <w:r>
        <w:rPr>
          <w:sz w:val="20"/>
          <w:szCs w:val="20"/>
          <w:rtl/>
        </w:rPr>
        <w:t>ב“ר</w:t>
      </w:r>
      <w:proofErr w:type="spellEnd"/>
      <w:r>
        <w:rPr>
          <w:sz w:val="20"/>
          <w:szCs w:val="20"/>
          <w:rtl/>
        </w:rPr>
        <w:t xml:space="preserve">׳ חיים עוזר”, מאת הרב שמעון </w:t>
      </w:r>
      <w:proofErr w:type="spellStart"/>
      <w:r>
        <w:rPr>
          <w:sz w:val="20"/>
          <w:szCs w:val="20"/>
          <w:rtl/>
        </w:rPr>
        <w:t>פינקלמן</w:t>
      </w:r>
      <w:proofErr w:type="spellEnd"/>
      <w:r>
        <w:rPr>
          <w:sz w:val="20"/>
          <w:szCs w:val="20"/>
          <w:rtl/>
        </w:rPr>
        <w:t xml:space="preserve"> (הוצאת </w:t>
      </w:r>
      <w:proofErr w:type="spellStart"/>
      <w:r>
        <w:rPr>
          <w:sz w:val="20"/>
          <w:szCs w:val="20"/>
          <w:rtl/>
        </w:rPr>
        <w:t>ארטסקרול</w:t>
      </w:r>
      <w:proofErr w:type="spellEnd"/>
      <w:r>
        <w:rPr>
          <w:sz w:val="20"/>
          <w:szCs w:val="20"/>
          <w:rtl/>
        </w:rPr>
        <w:t xml:space="preserve"> מסורה, ברוקלין, 1987). נראה שמחבר זה אינו יודע על תלאותיו של ר׳ </w:t>
      </w:r>
      <w:proofErr w:type="spellStart"/>
      <w:r>
        <w:rPr>
          <w:sz w:val="20"/>
          <w:szCs w:val="20"/>
          <w:rtl/>
        </w:rPr>
        <w:t>חיים־עוזר</w:t>
      </w:r>
      <w:proofErr w:type="spellEnd"/>
      <w:r>
        <w:rPr>
          <w:sz w:val="20"/>
          <w:szCs w:val="20"/>
          <w:rtl/>
        </w:rPr>
        <w:t xml:space="preserve"> בפרוץ המלחמה, שנזכרו לעיל. אחרי המהפכה הרוסית שונה שמה של </w:t>
      </w:r>
      <w:proofErr w:type="spellStart"/>
      <w:r>
        <w:rPr>
          <w:sz w:val="20"/>
          <w:szCs w:val="20"/>
          <w:rtl/>
        </w:rPr>
        <w:t>יקטרינוסלב</w:t>
      </w:r>
      <w:proofErr w:type="spellEnd"/>
      <w:r>
        <w:rPr>
          <w:sz w:val="20"/>
          <w:szCs w:val="20"/>
          <w:rtl/>
        </w:rPr>
        <w:t xml:space="preserve"> </w:t>
      </w:r>
      <w:proofErr w:type="spellStart"/>
      <w:r>
        <w:rPr>
          <w:sz w:val="20"/>
          <w:szCs w:val="20"/>
          <w:rtl/>
        </w:rPr>
        <w:t>לדנייפרופטרובסק</w:t>
      </w:r>
      <w:proofErr w:type="spellEnd"/>
      <w:r>
        <w:rPr>
          <w:sz w:val="20"/>
          <w:szCs w:val="20"/>
          <w:rtl/>
        </w:rPr>
        <w:t>.</w:t>
      </w:r>
    </w:p>
  </w:footnote>
  <w:footnote w:id="1781">
    <w:p w14:paraId="67FF2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רבנו מאיר שמחה כהן זצ״ל” מאת הרב זאב אריה </w:t>
      </w:r>
      <w:proofErr w:type="spellStart"/>
      <w:r>
        <w:rPr>
          <w:sz w:val="20"/>
          <w:szCs w:val="20"/>
          <w:rtl/>
        </w:rPr>
        <w:t>רבינר</w:t>
      </w:r>
      <w:proofErr w:type="spellEnd"/>
      <w:r>
        <w:rPr>
          <w:sz w:val="20"/>
          <w:szCs w:val="20"/>
          <w:rtl/>
        </w:rPr>
        <w:t xml:space="preserve"> (תל אביב, תשכ״ז) מובאים תאריכים סותרים ללידת ר׳ </w:t>
      </w:r>
      <w:proofErr w:type="spellStart"/>
      <w:r>
        <w:rPr>
          <w:sz w:val="20"/>
          <w:szCs w:val="20"/>
          <w:rtl/>
        </w:rPr>
        <w:t>מאיר־שמחה</w:t>
      </w:r>
      <w:proofErr w:type="spellEnd"/>
      <w:r>
        <w:rPr>
          <w:sz w:val="20"/>
          <w:szCs w:val="20"/>
          <w:rtl/>
        </w:rPr>
        <w:t xml:space="preserve"> כהן: תר״י </w:t>
      </w:r>
      <w:proofErr w:type="spellStart"/>
      <w:r>
        <w:rPr>
          <w:sz w:val="20"/>
          <w:szCs w:val="20"/>
          <w:rtl/>
        </w:rPr>
        <w:t>ו“בערך</w:t>
      </w:r>
      <w:proofErr w:type="spellEnd"/>
      <w:r>
        <w:rPr>
          <w:sz w:val="20"/>
          <w:szCs w:val="20"/>
          <w:rtl/>
        </w:rPr>
        <w:t xml:space="preserve"> תר״ה”, בעמ׳ </w:t>
      </w:r>
      <w:proofErr w:type="spellStart"/>
      <w:r>
        <w:rPr>
          <w:sz w:val="20"/>
          <w:szCs w:val="20"/>
          <w:rtl/>
        </w:rPr>
        <w:t>רלב</w:t>
      </w:r>
      <w:proofErr w:type="spellEnd"/>
      <w:r>
        <w:rPr>
          <w:sz w:val="20"/>
          <w:szCs w:val="20"/>
          <w:rtl/>
        </w:rPr>
        <w:t xml:space="preserve"> </w:t>
      </w:r>
      <w:proofErr w:type="spellStart"/>
      <w:r>
        <w:rPr>
          <w:sz w:val="20"/>
          <w:szCs w:val="20"/>
          <w:rtl/>
        </w:rPr>
        <w:t>וכב</w:t>
      </w:r>
      <w:proofErr w:type="spellEnd"/>
      <w:r>
        <w:rPr>
          <w:sz w:val="20"/>
          <w:szCs w:val="20"/>
          <w:rtl/>
        </w:rPr>
        <w:t xml:space="preserve"> בהתאמה. אבל ר׳ אלי׳ שווי אמר לי בריאיון מיום 17 בנובמבר 1987 שאביו אמר בפירוש: “אני נולדתי </w:t>
      </w:r>
      <w:proofErr w:type="spellStart"/>
      <w:r>
        <w:rPr>
          <w:sz w:val="20"/>
          <w:szCs w:val="20"/>
          <w:rtl/>
        </w:rPr>
        <w:t>בתר״נ</w:t>
      </w:r>
      <w:proofErr w:type="spellEnd"/>
      <w:r>
        <w:rPr>
          <w:sz w:val="20"/>
          <w:szCs w:val="20"/>
          <w:rtl/>
        </w:rPr>
        <w:t xml:space="preserve">, ור׳ </w:t>
      </w:r>
      <w:proofErr w:type="spellStart"/>
      <w:r>
        <w:rPr>
          <w:sz w:val="20"/>
          <w:szCs w:val="20"/>
          <w:rtl/>
        </w:rPr>
        <w:t>מאיר־שמחה</w:t>
      </w:r>
      <w:proofErr w:type="spellEnd"/>
      <w:r>
        <w:rPr>
          <w:sz w:val="20"/>
          <w:szCs w:val="20"/>
          <w:rtl/>
        </w:rPr>
        <w:t xml:space="preserve"> נולד </w:t>
      </w:r>
      <w:proofErr w:type="spellStart"/>
      <w:r>
        <w:rPr>
          <w:sz w:val="20"/>
          <w:szCs w:val="20"/>
          <w:rtl/>
        </w:rPr>
        <w:t>בתר״ג</w:t>
      </w:r>
      <w:proofErr w:type="spellEnd"/>
      <w:r>
        <w:rPr>
          <w:sz w:val="20"/>
          <w:szCs w:val="20"/>
          <w:rtl/>
        </w:rPr>
        <w:t>”.</w:t>
      </w:r>
    </w:p>
  </w:footnote>
  <w:footnote w:id="1782">
    <w:p w14:paraId="429FD5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נמסר בספרו של </w:t>
      </w:r>
      <w:proofErr w:type="spellStart"/>
      <w:r>
        <w:rPr>
          <w:sz w:val="20"/>
          <w:szCs w:val="20"/>
          <w:rtl/>
        </w:rPr>
        <w:t>רבינר</w:t>
      </w:r>
      <w:proofErr w:type="spellEnd"/>
      <w:r>
        <w:rPr>
          <w:sz w:val="20"/>
          <w:szCs w:val="20"/>
          <w:rtl/>
        </w:rPr>
        <w:t xml:space="preserve">, “הגאון רבי אליעזר גורדון” (נספח ב לעיל), עמ׳ </w:t>
      </w:r>
      <w:proofErr w:type="spellStart"/>
      <w:r>
        <w:rPr>
          <w:sz w:val="20"/>
          <w:szCs w:val="20"/>
          <w:rtl/>
        </w:rPr>
        <w:t>קמב</w:t>
      </w:r>
      <w:proofErr w:type="spellEnd"/>
      <w:r>
        <w:rPr>
          <w:sz w:val="20"/>
          <w:szCs w:val="20"/>
          <w:rtl/>
        </w:rPr>
        <w:t>.</w:t>
      </w:r>
    </w:p>
  </w:footnote>
  <w:footnote w:id="1783">
    <w:p w14:paraId="08BB6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שמוש</w:t>
      </w:r>
      <w:proofErr w:type="spellEnd"/>
      <w:r>
        <w:rPr>
          <w:sz w:val="20"/>
          <w:szCs w:val="20"/>
          <w:rtl/>
        </w:rPr>
        <w:t xml:space="preserve"> חכמים” (הערה 18 לעיל), עמ׳ </w:t>
      </w:r>
      <w:proofErr w:type="spellStart"/>
      <w:r>
        <w:rPr>
          <w:sz w:val="20"/>
          <w:szCs w:val="20"/>
          <w:rtl/>
        </w:rPr>
        <w:t>קצז</w:t>
      </w:r>
      <w:proofErr w:type="spellEnd"/>
      <w:r>
        <w:rPr>
          <w:sz w:val="20"/>
          <w:szCs w:val="20"/>
          <w:rtl/>
        </w:rPr>
        <w:t xml:space="preserve">, אף הוא בשם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w:t>
      </w:r>
    </w:p>
  </w:footnote>
  <w:footnote w:id="1784">
    <w:p w14:paraId="17F1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19 ביולי 2001 סיפר לי ר׳ דניאל לוי שר׳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אמר על רבנו </w:t>
      </w:r>
      <w:proofErr w:type="spellStart"/>
      <w:r>
        <w:rPr>
          <w:sz w:val="20"/>
          <w:szCs w:val="20"/>
          <w:rtl/>
        </w:rPr>
        <w:t>ש“הוא</w:t>
      </w:r>
      <w:proofErr w:type="spellEnd"/>
      <w:r>
        <w:rPr>
          <w:sz w:val="20"/>
          <w:szCs w:val="20"/>
          <w:rtl/>
        </w:rPr>
        <w:t xml:space="preserve"> יהיה יועצו של הדור הבא”. הרב לוי, שביקש את עצת אבי בעניינים רבים (</w:t>
      </w:r>
      <w:proofErr w:type="spellStart"/>
      <w:r>
        <w:rPr>
          <w:sz w:val="20"/>
          <w:szCs w:val="20"/>
          <w:rtl/>
        </w:rPr>
        <w:t>כשלא</w:t>
      </w:r>
      <w:proofErr w:type="spellEnd"/>
      <w:r>
        <w:rPr>
          <w:sz w:val="20"/>
          <w:szCs w:val="20"/>
          <w:rtl/>
        </w:rPr>
        <w:t xml:space="preserve"> יכול היה להיוועץ ברבו, ר׳ משה </w:t>
      </w:r>
      <w:proofErr w:type="spellStart"/>
      <w:r>
        <w:rPr>
          <w:sz w:val="20"/>
          <w:szCs w:val="20"/>
          <w:rtl/>
        </w:rPr>
        <w:t>פיינשטיין</w:t>
      </w:r>
      <w:proofErr w:type="spellEnd"/>
      <w:r>
        <w:rPr>
          <w:sz w:val="20"/>
          <w:szCs w:val="20"/>
          <w:rtl/>
        </w:rPr>
        <w:t xml:space="preserve">), לא זכר מה מקור ידיעה זו. השווה גם כרך 2 על מה שחזה הסבא על עמיתו של אבי </w:t>
      </w:r>
      <w:proofErr w:type="spellStart"/>
      <w:r>
        <w:rPr>
          <w:sz w:val="20"/>
          <w:szCs w:val="20"/>
          <w:rtl/>
        </w:rPr>
        <w:t>בסלבודקה</w:t>
      </w:r>
      <w:proofErr w:type="spellEnd"/>
      <w:r>
        <w:rPr>
          <w:sz w:val="20"/>
          <w:szCs w:val="20"/>
          <w:rtl/>
        </w:rPr>
        <w:t xml:space="preserve">, ר׳ אברהם </w:t>
      </w:r>
      <w:proofErr w:type="spellStart"/>
      <w:r>
        <w:rPr>
          <w:sz w:val="20"/>
          <w:szCs w:val="20"/>
          <w:rtl/>
        </w:rPr>
        <w:t>קלמנוביץ</w:t>
      </w:r>
      <w:proofErr w:type="spellEnd"/>
      <w:r>
        <w:rPr>
          <w:sz w:val="20"/>
          <w:szCs w:val="20"/>
          <w:rtl/>
        </w:rPr>
        <w:t xml:space="preserve">, והשווה הפסקה השנייה בנספח כ להלן על תחזיותיו לטווח קצר יותר בעניין תלמידי </w:t>
      </w:r>
      <w:proofErr w:type="spellStart"/>
      <w:r>
        <w:rPr>
          <w:sz w:val="20"/>
          <w:szCs w:val="20"/>
          <w:rtl/>
        </w:rPr>
        <w:t>סלבודקה</w:t>
      </w:r>
      <w:proofErr w:type="spellEnd"/>
      <w:r>
        <w:rPr>
          <w:sz w:val="20"/>
          <w:szCs w:val="20"/>
          <w:rtl/>
        </w:rPr>
        <w:t xml:space="preserve"> מתקופה מוקדמת.</w:t>
      </w:r>
    </w:p>
  </w:footnote>
  <w:footnote w:id="1785">
    <w:p w14:paraId="2523BC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786">
    <w:p w14:paraId="6711B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מיום 13 באוגוסט 1997 לא זכר ממי שמע את הדברים; הם לא נמסרו לו ישירות מרבו.</w:t>
      </w:r>
    </w:p>
  </w:footnote>
  <w:footnote w:id="1787">
    <w:p w14:paraId="2DE808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1788">
    <w:p w14:paraId="398A47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240.</w:t>
      </w:r>
    </w:p>
  </w:footnote>
  <w:footnote w:id="1789">
    <w:p w14:paraId="08F40B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פסח </w:t>
      </w:r>
      <w:proofErr w:type="spellStart"/>
      <w:r>
        <w:rPr>
          <w:sz w:val="20"/>
          <w:szCs w:val="20"/>
          <w:rtl/>
        </w:rPr>
        <w:t>פרוסקין</w:t>
      </w:r>
      <w:proofErr w:type="spellEnd"/>
      <w:r>
        <w:rPr>
          <w:sz w:val="20"/>
          <w:szCs w:val="20"/>
          <w:rtl/>
        </w:rPr>
        <w:t xml:space="preserve"> ייסד אז ישיבה </w:t>
      </w:r>
      <w:proofErr w:type="spellStart"/>
      <w:r>
        <w:rPr>
          <w:sz w:val="20"/>
          <w:szCs w:val="20"/>
          <w:rtl/>
        </w:rPr>
        <w:t>בשקלוב</w:t>
      </w:r>
      <w:proofErr w:type="spellEnd"/>
      <w:r>
        <w:rPr>
          <w:sz w:val="20"/>
          <w:szCs w:val="20"/>
          <w:rtl/>
        </w:rPr>
        <w:t xml:space="preserve"> עם בחורים </w:t>
      </w:r>
      <w:proofErr w:type="spellStart"/>
      <w:r>
        <w:rPr>
          <w:sz w:val="20"/>
          <w:szCs w:val="20"/>
          <w:rtl/>
        </w:rPr>
        <w:t>מסלוצק</w:t>
      </w:r>
      <w:proofErr w:type="spellEnd"/>
      <w:r>
        <w:rPr>
          <w:sz w:val="20"/>
          <w:szCs w:val="20"/>
          <w:rtl/>
        </w:rPr>
        <w:t xml:space="preserve">, כפי שמסר ר׳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המצוטט בספרו של </w:t>
      </w:r>
      <w:proofErr w:type="spellStart"/>
      <w:r>
        <w:rPr>
          <w:sz w:val="20"/>
          <w:szCs w:val="20"/>
          <w:rtl/>
        </w:rPr>
        <w:t>ידעאל</w:t>
      </w:r>
      <w:proofErr w:type="spellEnd"/>
      <w:r>
        <w:rPr>
          <w:sz w:val="20"/>
          <w:szCs w:val="20"/>
          <w:rtl/>
        </w:rPr>
        <w:t xml:space="preserve"> מלצר, “בדרך עץ החיים”, עמ׳ 333. כשבא אבי </w:t>
      </w:r>
      <w:proofErr w:type="spellStart"/>
      <w:r>
        <w:rPr>
          <w:sz w:val="20"/>
          <w:szCs w:val="20"/>
          <w:rtl/>
        </w:rPr>
        <w:t>לסלוצק</w:t>
      </w:r>
      <w:proofErr w:type="spellEnd"/>
      <w:r>
        <w:rPr>
          <w:sz w:val="20"/>
          <w:szCs w:val="20"/>
          <w:rtl/>
        </w:rPr>
        <w:t xml:space="preserve"> בשנת תרע״א לשנה וחצי של לימודים שם – ראה כרך 2 – כבר עזב ר׳ פסח, לפי שם, עמ׳ 106.</w:t>
      </w:r>
    </w:p>
  </w:footnote>
  <w:footnote w:id="1790">
    <w:p w14:paraId="1572D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הערה 28, המספרת שר׳ חיים הציע לסגור את ישיבת </w:t>
      </w:r>
      <w:proofErr w:type="spellStart"/>
      <w:r>
        <w:rPr>
          <w:sz w:val="20"/>
          <w:szCs w:val="20"/>
          <w:rtl/>
        </w:rPr>
        <w:t>מאלטש</w:t>
      </w:r>
      <w:proofErr w:type="spellEnd"/>
      <w:r>
        <w:rPr>
          <w:sz w:val="20"/>
          <w:szCs w:val="20"/>
          <w:rtl/>
        </w:rPr>
        <w:t xml:space="preserve"> מפני הבחורים שסרו שם מן הדרך, במקום לנסות לשפרם. אך סביר שעד שנודע לו מפי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על הבעיות </w:t>
      </w:r>
      <w:proofErr w:type="spellStart"/>
      <w:r>
        <w:rPr>
          <w:sz w:val="20"/>
          <w:szCs w:val="20"/>
          <w:rtl/>
        </w:rPr>
        <w:t>במאלטש</w:t>
      </w:r>
      <w:proofErr w:type="spellEnd"/>
      <w:r>
        <w:rPr>
          <w:sz w:val="20"/>
          <w:szCs w:val="20"/>
          <w:rtl/>
        </w:rPr>
        <w:t>, כבר לא היה אפשר לתקן את התלמידים.</w:t>
      </w:r>
    </w:p>
  </w:footnote>
  <w:footnote w:id="1791">
    <w:p w14:paraId="71AE3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18 במאי 2002.</w:t>
      </w:r>
    </w:p>
  </w:footnote>
  <w:footnote w:id="1792">
    <w:p w14:paraId="429C9F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הבא, והפסקה השנייה בנספח ג לעיל.</w:t>
      </w:r>
    </w:p>
  </w:footnote>
  <w:footnote w:id="1793">
    <w:p w14:paraId="0DA7B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בינואר 1998.</w:t>
      </w:r>
    </w:p>
  </w:footnote>
  <w:footnote w:id="1794">
    <w:p w14:paraId="75293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ברשימותיו של ר׳ אשר </w:t>
      </w:r>
      <w:proofErr w:type="spellStart"/>
      <w:r>
        <w:rPr>
          <w:sz w:val="20"/>
          <w:szCs w:val="20"/>
          <w:rtl/>
        </w:rPr>
        <w:t>קצמן</w:t>
      </w:r>
      <w:proofErr w:type="spellEnd"/>
      <w:r>
        <w:rPr>
          <w:sz w:val="20"/>
          <w:szCs w:val="20"/>
          <w:rtl/>
        </w:rPr>
        <w:t xml:space="preserve"> משיחותיו עם אבי בפלורידה (הנ״ל, פרק 1, הערה 71) השתמש אבי בביטוי “הוא לא ידע איך ‘להחזיק’ בחור”.</w:t>
      </w:r>
    </w:p>
  </w:footnote>
  <w:footnote w:id="1795">
    <w:p w14:paraId="499CD5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אברהם ציוני, תל אביב, תשכ״ג – עמ׳ 29–30.</w:t>
      </w:r>
    </w:p>
  </w:footnote>
  <w:footnote w:id="1796">
    <w:p w14:paraId="20C7E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1797">
    <w:p w14:paraId="306104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היובל לכבוד וכו׳ ר׳ שמעון יהודה הכהן </w:t>
      </w:r>
      <w:proofErr w:type="spellStart"/>
      <w:r>
        <w:rPr>
          <w:sz w:val="20"/>
          <w:szCs w:val="20"/>
          <w:rtl/>
        </w:rPr>
        <w:t>שקאפ</w:t>
      </w:r>
      <w:proofErr w:type="spellEnd"/>
      <w:r>
        <w:rPr>
          <w:sz w:val="20"/>
          <w:szCs w:val="20"/>
          <w:rtl/>
        </w:rPr>
        <w:t>” (</w:t>
      </w:r>
      <w:proofErr w:type="spellStart"/>
      <w:r>
        <w:rPr>
          <w:sz w:val="20"/>
          <w:szCs w:val="20"/>
          <w:rtl/>
        </w:rPr>
        <w:t>ווארשא</w:t>
      </w:r>
      <w:proofErr w:type="spellEnd"/>
      <w:r>
        <w:rPr>
          <w:sz w:val="20"/>
          <w:szCs w:val="20"/>
          <w:rtl/>
        </w:rPr>
        <w:t>, תרצ״ו) (להלן: ספר היובל).</w:t>
      </w:r>
    </w:p>
  </w:footnote>
  <w:footnote w:id="1798">
    <w:p w14:paraId="15054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שם מחבר ובלי מקום, חשוון תש״ס – עמ׳ 26.</w:t>
      </w:r>
    </w:p>
  </w:footnote>
  <w:footnote w:id="1799">
    <w:p w14:paraId="0592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לשון זו מורה שר׳ לייזר החשיב את ר׳ חיים כרב טוב כמותו. אבל אני מפקפק בדיוק מסירתו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או בדיוק התיאור </w:t>
      </w:r>
      <w:proofErr w:type="spellStart"/>
      <w:r>
        <w:rPr>
          <w:sz w:val="20"/>
          <w:szCs w:val="20"/>
          <w:rtl/>
        </w:rPr>
        <w:t>ב“תנועת</w:t>
      </w:r>
      <w:proofErr w:type="spellEnd"/>
      <w:r>
        <w:rPr>
          <w:sz w:val="20"/>
          <w:szCs w:val="20"/>
          <w:rtl/>
        </w:rPr>
        <w:t xml:space="preserve"> המוסר” בנקודה זו, שכן </w:t>
      </w:r>
      <w:proofErr w:type="spellStart"/>
      <w:r>
        <w:rPr>
          <w:sz w:val="20"/>
          <w:szCs w:val="20"/>
          <w:rtl/>
        </w:rPr>
        <w:t>לר</w:t>
      </w:r>
      <w:proofErr w:type="spellEnd"/>
      <w:r>
        <w:rPr>
          <w:sz w:val="20"/>
          <w:szCs w:val="20"/>
          <w:rtl/>
        </w:rPr>
        <w:t xml:space="preserve">׳ חיים חסרו “הליכות של רב” לא פחות מלר׳ </w:t>
      </w:r>
      <w:proofErr w:type="spellStart"/>
      <w:r>
        <w:rPr>
          <w:sz w:val="20"/>
          <w:szCs w:val="20"/>
          <w:rtl/>
        </w:rPr>
        <w:t>איצל׳ה</w:t>
      </w:r>
      <w:proofErr w:type="spellEnd"/>
      <w:r>
        <w:rPr>
          <w:sz w:val="20"/>
          <w:szCs w:val="20"/>
          <w:rtl/>
        </w:rPr>
        <w:t xml:space="preserve">, אם לא יותר, כפי שהוכח בפרק 5, בפסקה התשיעית בנספח ו ובנספח י. ר׳ לייזר היה מוכן להתפטר גם מרבנות </w:t>
      </w:r>
      <w:proofErr w:type="spellStart"/>
      <w:r>
        <w:rPr>
          <w:sz w:val="20"/>
          <w:szCs w:val="20"/>
          <w:rtl/>
        </w:rPr>
        <w:t>טלז</w:t>
      </w:r>
      <w:proofErr w:type="spellEnd"/>
      <w:r>
        <w:rPr>
          <w:sz w:val="20"/>
          <w:szCs w:val="20"/>
          <w:rtl/>
        </w:rPr>
        <w:t xml:space="preserve"> לטובת ר׳ חיים מפני שהחשיב אותו לראש ישיבה מצוין כל כך, שהיה כדאי לעיר לוותר על רב ראוי כדי לרכוש אותו לישיבתה.</w:t>
      </w:r>
    </w:p>
    <w:p w14:paraId="669AF7B3" w14:textId="77777777" w:rsidR="00AB3647" w:rsidRDefault="00000000">
      <w:pPr>
        <w:spacing w:after="0" w:before="0"/>
        <w:jc w:val="both"/>
      </w:pPr>
      <w:r>
        <w:rPr>
          <w:sz w:val="20"/>
          <w:szCs w:val="20"/>
          <w:rtl/>
        </w:rPr>
        <w:t xml:space="preserve">הערכה זו מתאשרת בדיווח </w:t>
      </w:r>
      <w:proofErr w:type="spellStart"/>
      <w:r>
        <w:rPr>
          <w:sz w:val="20"/>
          <w:szCs w:val="20"/>
          <w:rtl/>
        </w:rPr>
        <w:t>שב“עובדות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קכה</w:t>
      </w:r>
      <w:proofErr w:type="spellEnd"/>
      <w:r>
        <w:rPr>
          <w:sz w:val="20"/>
          <w:szCs w:val="20"/>
          <w:rtl/>
        </w:rPr>
        <w:t xml:space="preserve">, בשם ר׳ חיים </w:t>
      </w:r>
      <w:proofErr w:type="spellStart"/>
      <w:r>
        <w:rPr>
          <w:sz w:val="20"/>
          <w:szCs w:val="20"/>
          <w:rtl/>
        </w:rPr>
        <w:t>וולקין</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סיפר שר׳ לייזר אכן הציע לו להיות ראש הישיבה </w:t>
      </w:r>
      <w:proofErr w:type="spellStart"/>
      <w:r>
        <w:rPr>
          <w:sz w:val="20"/>
          <w:szCs w:val="20"/>
          <w:rtl/>
        </w:rPr>
        <w:t>בטלז</w:t>
      </w:r>
      <w:proofErr w:type="spellEnd"/>
      <w:r>
        <w:rPr>
          <w:sz w:val="20"/>
          <w:szCs w:val="20"/>
          <w:rtl/>
        </w:rPr>
        <w:t xml:space="preserve"> מיד כשנעשה ר׳ לייזר גורדון רב העיר – ארבע שנים בלבד אחרי שהתחיל ר׳ חיים לומר שיעורים </w:t>
      </w:r>
      <w:proofErr w:type="spellStart"/>
      <w:r>
        <w:rPr>
          <w:sz w:val="20"/>
          <w:szCs w:val="20"/>
          <w:rtl/>
        </w:rPr>
        <w:t>בוולוז׳ין</w:t>
      </w:r>
      <w:proofErr w:type="spellEnd"/>
      <w:r>
        <w:rPr>
          <w:sz w:val="20"/>
          <w:szCs w:val="20"/>
          <w:rtl/>
        </w:rPr>
        <w:t xml:space="preserve">, </w:t>
      </w:r>
      <w:proofErr w:type="spellStart"/>
      <w:r>
        <w:rPr>
          <w:sz w:val="20"/>
          <w:szCs w:val="20"/>
          <w:rtl/>
        </w:rPr>
        <w:t>כשלא</w:t>
      </w:r>
      <w:proofErr w:type="spellEnd"/>
      <w:r>
        <w:rPr>
          <w:sz w:val="20"/>
          <w:szCs w:val="20"/>
          <w:rtl/>
        </w:rPr>
        <w:t xml:space="preserve"> היה לו שום ניסיון ברבנות. לפי דיווחו של ר׳ חיים </w:t>
      </w:r>
      <w:proofErr w:type="spellStart"/>
      <w:r>
        <w:rPr>
          <w:sz w:val="20"/>
          <w:szCs w:val="20"/>
          <w:rtl/>
        </w:rPr>
        <w:t>וולקין</w:t>
      </w:r>
      <w:proofErr w:type="spellEnd"/>
      <w:r>
        <w:rPr>
          <w:sz w:val="20"/>
          <w:szCs w:val="20"/>
          <w:rtl/>
        </w:rPr>
        <w:t xml:space="preserve"> הציע ר׳ לייזר </w:t>
      </w:r>
      <w:proofErr w:type="spellStart"/>
      <w:r>
        <w:rPr>
          <w:sz w:val="20"/>
          <w:szCs w:val="20"/>
          <w:rtl/>
        </w:rPr>
        <w:t>לר</w:t>
      </w:r>
      <w:proofErr w:type="spellEnd"/>
      <w:r>
        <w:rPr>
          <w:sz w:val="20"/>
          <w:szCs w:val="20"/>
          <w:rtl/>
        </w:rPr>
        <w:t xml:space="preserve">׳ חיים גם את הרבנות, </w:t>
      </w:r>
      <w:r>
        <w:rPr>
          <w:b/>
          <w:bCs/>
          <w:sz w:val="20"/>
          <w:szCs w:val="20"/>
          <w:rtl/>
        </w:rPr>
        <w:t>רק אם יימנע</w:t>
      </w:r>
      <w:r>
        <w:rPr>
          <w:sz w:val="20"/>
          <w:szCs w:val="20"/>
          <w:rtl/>
        </w:rPr>
        <w:t xml:space="preserve"> מלקבל את משרת ההוראה מפני שנוכחותו של ר׳ לייזר גורדון בעיר </w:t>
      </w:r>
      <w:r>
        <w:rPr>
          <w:b/>
          <w:bCs/>
          <w:sz w:val="20"/>
          <w:szCs w:val="20"/>
          <w:rtl/>
        </w:rPr>
        <w:t>תפריע לו</w:t>
      </w:r>
      <w:r>
        <w:rPr>
          <w:sz w:val="20"/>
          <w:szCs w:val="20"/>
          <w:rtl/>
        </w:rPr>
        <w:t xml:space="preserve">. ר׳ לייזר </w:t>
      </w:r>
      <w:r>
        <w:rPr>
          <w:b/>
          <w:bCs/>
          <w:sz w:val="20"/>
          <w:szCs w:val="20"/>
          <w:rtl/>
        </w:rPr>
        <w:t>היה עוזב אז</w:t>
      </w:r>
      <w:r>
        <w:rPr>
          <w:sz w:val="20"/>
          <w:szCs w:val="20"/>
          <w:rtl/>
        </w:rPr>
        <w:t xml:space="preserve"> את העיר ומחפש לו רבנות אחרת.</w:t>
      </w:r>
    </w:p>
  </w:footnote>
  <w:footnote w:id="1800">
    <w:p w14:paraId="621D77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קצד</w:t>
      </w:r>
      <w:proofErr w:type="spellEnd"/>
      <w:r>
        <w:rPr>
          <w:sz w:val="20"/>
          <w:szCs w:val="20"/>
          <w:rtl/>
        </w:rPr>
        <w:t>.</w:t>
      </w:r>
    </w:p>
  </w:footnote>
  <w:footnote w:id="1801">
    <w:p w14:paraId="1F8506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roofErr w:type="spellStart"/>
      <w:r>
        <w:rPr>
          <w:sz w:val="20"/>
          <w:szCs w:val="20"/>
          <w:rtl/>
        </w:rPr>
        <w:t>סז</w:t>
      </w:r>
      <w:proofErr w:type="spellEnd"/>
      <w:r>
        <w:rPr>
          <w:sz w:val="20"/>
          <w:szCs w:val="20"/>
          <w:rtl/>
        </w:rPr>
        <w:t>.</w:t>
      </w:r>
    </w:p>
  </w:footnote>
  <w:footnote w:id="1802">
    <w:p w14:paraId="4D4547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w:t>
      </w:r>
    </w:p>
  </w:footnote>
  <w:footnote w:id="1803">
    <w:p w14:paraId="75C5CD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והערה 135 להלן.</w:t>
      </w:r>
    </w:p>
  </w:footnote>
  <w:footnote w:id="1804">
    <w:p w14:paraId="4071EF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קלה.</w:t>
      </w:r>
    </w:p>
  </w:footnote>
  <w:footnote w:id="1805">
    <w:p w14:paraId="6E094A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מאטל</w:t>
      </w:r>
      <w:proofErr w:type="spellEnd"/>
      <w:r>
        <w:rPr>
          <w:sz w:val="20"/>
          <w:szCs w:val="20"/>
          <w:rtl/>
        </w:rPr>
        <w:t xml:space="preserve"> ברקוביץ (פרק 4, נספח </w:t>
      </w:r>
      <w:proofErr w:type="spellStart"/>
      <w:r>
        <w:rPr>
          <w:sz w:val="20"/>
          <w:szCs w:val="20"/>
          <w:rtl/>
        </w:rPr>
        <w:t>טז</w:t>
      </w:r>
      <w:proofErr w:type="spellEnd"/>
      <w:r>
        <w:rPr>
          <w:sz w:val="20"/>
          <w:szCs w:val="20"/>
          <w:rtl/>
        </w:rPr>
        <w:t xml:space="preserve">) סיפר לעומת זאת שר׳ </w:t>
      </w:r>
      <w:proofErr w:type="spellStart"/>
      <w:r>
        <w:rPr>
          <w:sz w:val="20"/>
          <w:szCs w:val="20"/>
          <w:rtl/>
        </w:rPr>
        <w:t>ברוך־בער</w:t>
      </w:r>
      <w:proofErr w:type="spellEnd"/>
      <w:r>
        <w:rPr>
          <w:sz w:val="20"/>
          <w:szCs w:val="20"/>
          <w:rtl/>
        </w:rPr>
        <w:t xml:space="preserve"> שאל את ר׳ חיים אם ראוי הוא ללמד תלמידים, </w:t>
      </w:r>
      <w:r>
        <w:rPr>
          <w:b/>
          <w:bCs/>
          <w:sz w:val="20"/>
          <w:szCs w:val="20"/>
          <w:rtl/>
        </w:rPr>
        <w:t>אחרי</w:t>
      </w:r>
      <w:r>
        <w:rPr>
          <w:sz w:val="20"/>
          <w:szCs w:val="20"/>
          <w:rtl/>
        </w:rPr>
        <w:t xml:space="preserve"> שכבר התחיל ללמד </w:t>
      </w:r>
      <w:proofErr w:type="spellStart"/>
      <w:r>
        <w:rPr>
          <w:sz w:val="20"/>
          <w:szCs w:val="20"/>
          <w:rtl/>
        </w:rPr>
        <w:t>בהלוסק</w:t>
      </w:r>
      <w:proofErr w:type="spellEnd"/>
      <w:r>
        <w:rPr>
          <w:sz w:val="20"/>
          <w:szCs w:val="20"/>
          <w:rtl/>
        </w:rPr>
        <w:t xml:space="preserve">, ור׳ חיים לא השיב. כעבור כמה חודשים שאל ר׳ </w:t>
      </w:r>
      <w:proofErr w:type="spellStart"/>
      <w:r>
        <w:rPr>
          <w:sz w:val="20"/>
          <w:szCs w:val="20"/>
          <w:rtl/>
        </w:rPr>
        <w:t>ברוך־בער</w:t>
      </w:r>
      <w:proofErr w:type="spellEnd"/>
      <w:r>
        <w:rPr>
          <w:sz w:val="20"/>
          <w:szCs w:val="20"/>
          <w:rtl/>
        </w:rPr>
        <w:t xml:space="preserve"> את רבו שוב אותה שאלה, וקיבל תשובה חיובית. ר׳ חיים הסביר שבינתיים פגש אחד מתלמידיו של ר׳ </w:t>
      </w:r>
      <w:proofErr w:type="spellStart"/>
      <w:r>
        <w:rPr>
          <w:sz w:val="20"/>
          <w:szCs w:val="20"/>
          <w:rtl/>
        </w:rPr>
        <w:t>ברוך־בער</w:t>
      </w:r>
      <w:proofErr w:type="spellEnd"/>
      <w:r>
        <w:rPr>
          <w:sz w:val="20"/>
          <w:szCs w:val="20"/>
          <w:rtl/>
        </w:rPr>
        <w:t xml:space="preserve">, וראה כמה טוב מטפל בו רבו. התלמיד שפגש ר׳ חיים היה ר׳ שלמה </w:t>
      </w:r>
      <w:proofErr w:type="spellStart"/>
      <w:r>
        <w:rPr>
          <w:sz w:val="20"/>
          <w:szCs w:val="20"/>
          <w:rtl/>
        </w:rPr>
        <w:t>פאריטשער</w:t>
      </w:r>
      <w:proofErr w:type="spellEnd"/>
      <w:r>
        <w:rPr>
          <w:sz w:val="20"/>
          <w:szCs w:val="20"/>
          <w:rtl/>
        </w:rPr>
        <w:t xml:space="preserve"> (היימן) – ראה פרק 4, נספח </w:t>
      </w:r>
      <w:proofErr w:type="spellStart"/>
      <w:r>
        <w:rPr>
          <w:sz w:val="20"/>
          <w:szCs w:val="20"/>
          <w:rtl/>
        </w:rPr>
        <w:t>טז</w:t>
      </w:r>
      <w:proofErr w:type="spellEnd"/>
      <w:r>
        <w:rPr>
          <w:sz w:val="20"/>
          <w:szCs w:val="20"/>
          <w:rtl/>
        </w:rPr>
        <w:t>.</w:t>
      </w:r>
    </w:p>
  </w:footnote>
  <w:footnote w:id="1806">
    <w:p w14:paraId="758CAD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כד–כה.</w:t>
      </w:r>
    </w:p>
  </w:footnote>
  <w:footnote w:id="1807">
    <w:p w14:paraId="30DF8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שם, עמ׳ </w:t>
      </w:r>
      <w:proofErr w:type="spellStart"/>
      <w:r>
        <w:rPr>
          <w:sz w:val="20"/>
          <w:szCs w:val="20"/>
          <w:rtl/>
        </w:rPr>
        <w:t>קז</w:t>
      </w:r>
      <w:proofErr w:type="spellEnd"/>
      <w:r>
        <w:rPr>
          <w:sz w:val="20"/>
          <w:szCs w:val="20"/>
          <w:rtl/>
        </w:rPr>
        <w:t>–קח.</w:t>
      </w:r>
    </w:p>
  </w:footnote>
  <w:footnote w:id="1808">
    <w:p w14:paraId="0B8A2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 שנראה כדוגמה לכיבוד אב של ר׳ </w:t>
      </w:r>
      <w:proofErr w:type="spellStart"/>
      <w:r>
        <w:rPr>
          <w:sz w:val="20"/>
          <w:szCs w:val="20"/>
          <w:rtl/>
        </w:rPr>
        <w:t>ברוך־בער</w:t>
      </w:r>
      <w:proofErr w:type="spellEnd"/>
      <w:r>
        <w:rPr>
          <w:sz w:val="20"/>
          <w:szCs w:val="20"/>
          <w:rtl/>
        </w:rPr>
        <w:t xml:space="preserve"> הגיע לידיעתי ב־16 בדצמבר 1995, כשסיפר לי ר׳ אביגדור </w:t>
      </w:r>
      <w:proofErr w:type="spellStart"/>
      <w:r>
        <w:rPr>
          <w:sz w:val="20"/>
          <w:szCs w:val="20"/>
          <w:rtl/>
        </w:rPr>
        <w:t>אפען</w:t>
      </w:r>
      <w:proofErr w:type="spellEnd"/>
      <w:r>
        <w:rPr>
          <w:sz w:val="20"/>
          <w:szCs w:val="20"/>
          <w:rtl/>
        </w:rPr>
        <w:t xml:space="preserve"> </w:t>
      </w:r>
      <w:proofErr w:type="spellStart"/>
      <w:r>
        <w:rPr>
          <w:sz w:val="20"/>
          <w:szCs w:val="20"/>
          <w:rtl/>
        </w:rPr>
        <w:t>שבקמניץ</w:t>
      </w:r>
      <w:proofErr w:type="spellEnd"/>
      <w:r>
        <w:rPr>
          <w:sz w:val="20"/>
          <w:szCs w:val="20"/>
          <w:rtl/>
        </w:rPr>
        <w:t xml:space="preserve"> היה תלמיד ששמו כשם אביו של ראש הישיבה, </w:t>
      </w:r>
      <w:proofErr w:type="spellStart"/>
      <w:r>
        <w:rPr>
          <w:sz w:val="20"/>
          <w:szCs w:val="20"/>
          <w:rtl/>
        </w:rPr>
        <w:t>שמואל־דוד</w:t>
      </w:r>
      <w:proofErr w:type="spellEnd"/>
      <w:r>
        <w:rPr>
          <w:sz w:val="20"/>
          <w:szCs w:val="20"/>
          <w:rtl/>
        </w:rPr>
        <w:t xml:space="preserve"> (</w:t>
      </w:r>
      <w:proofErr w:type="spellStart"/>
      <w:r>
        <w:rPr>
          <w:sz w:val="20"/>
          <w:szCs w:val="20"/>
          <w:rtl/>
        </w:rPr>
        <w:t>ורשבצ׳יק</w:t>
      </w:r>
      <w:proofErr w:type="spellEnd"/>
      <w:r>
        <w:rPr>
          <w:sz w:val="20"/>
          <w:szCs w:val="20"/>
          <w:rtl/>
        </w:rPr>
        <w:t xml:space="preserve">, לימים ראש ישיבה בישיבת רבנו יעקב יוסף בניו יורק). כשרצה ר׳ </w:t>
      </w:r>
      <w:proofErr w:type="spellStart"/>
      <w:r>
        <w:rPr>
          <w:sz w:val="20"/>
          <w:szCs w:val="20"/>
          <w:rtl/>
        </w:rPr>
        <w:t>ברוך־בער</w:t>
      </w:r>
      <w:proofErr w:type="spellEnd"/>
      <w:r>
        <w:rPr>
          <w:sz w:val="20"/>
          <w:szCs w:val="20"/>
          <w:rtl/>
        </w:rPr>
        <w:t xml:space="preserve"> לקרוא לו, לא היה מוציא את שמו מפיו, אלא אומר לשליח: “קרא לי את הבחור הנושא את שם אבי.”</w:t>
      </w:r>
    </w:p>
    <w:p w14:paraId="4F2AC6C6" w14:textId="77777777" w:rsidR="00AB3647" w:rsidRDefault="00000000">
      <w:pPr>
        <w:spacing w:after="0" w:before="0"/>
        <w:jc w:val="both"/>
      </w:pPr>
      <w:r>
        <w:rPr>
          <w:sz w:val="20"/>
          <w:szCs w:val="20"/>
          <w:rtl/>
        </w:rPr>
        <w:t xml:space="preserve">אבל כפי שמצאתי </w:t>
      </w:r>
      <w:proofErr w:type="spellStart"/>
      <w:r>
        <w:rPr>
          <w:sz w:val="20"/>
          <w:szCs w:val="20"/>
          <w:rtl/>
        </w:rPr>
        <w:t>ב“עם</w:t>
      </w:r>
      <w:proofErr w:type="spellEnd"/>
      <w:r>
        <w:rPr>
          <w:sz w:val="20"/>
          <w:szCs w:val="20"/>
          <w:rtl/>
        </w:rPr>
        <w:t xml:space="preserve"> התורה”, </w:t>
      </w:r>
      <w:proofErr w:type="spellStart"/>
      <w:r>
        <w:rPr>
          <w:sz w:val="20"/>
          <w:szCs w:val="20"/>
          <w:rtl/>
        </w:rPr>
        <w:t>מהדורא</w:t>
      </w:r>
      <w:proofErr w:type="spellEnd"/>
      <w:r>
        <w:rPr>
          <w:sz w:val="20"/>
          <w:szCs w:val="20"/>
          <w:rtl/>
        </w:rPr>
        <w:t xml:space="preserve"> ג׳ חוברת ד׳, תשנ״ב (יו״ל ע״י צעירי אגו״י ארה״ב), עמ׳ </w:t>
      </w:r>
      <w:proofErr w:type="spellStart"/>
      <w:r>
        <w:rPr>
          <w:sz w:val="20"/>
          <w:szCs w:val="20"/>
          <w:rtl/>
        </w:rPr>
        <w:t>עח</w:t>
      </w:r>
      <w:proofErr w:type="spellEnd"/>
      <w:r>
        <w:rPr>
          <w:sz w:val="20"/>
          <w:szCs w:val="20"/>
          <w:rtl/>
        </w:rPr>
        <w:t xml:space="preserve">, סבר ר׳ יצחק־זאב </w:t>
      </w:r>
      <w:proofErr w:type="spellStart"/>
      <w:r>
        <w:rPr>
          <w:sz w:val="20"/>
          <w:szCs w:val="20"/>
          <w:rtl/>
        </w:rPr>
        <w:t>סולובייצ׳יק</w:t>
      </w:r>
      <w:proofErr w:type="spellEnd"/>
      <w:r>
        <w:rPr>
          <w:sz w:val="20"/>
          <w:szCs w:val="20"/>
          <w:rtl/>
        </w:rPr>
        <w:t xml:space="preserve"> ששם כפול נחשב “שם פלאי”, אף אם כל אחד מן השמות שכיח. נמצא שר׳ </w:t>
      </w:r>
      <w:proofErr w:type="spellStart"/>
      <w:r>
        <w:rPr>
          <w:sz w:val="20"/>
          <w:szCs w:val="20"/>
          <w:rtl/>
        </w:rPr>
        <w:t>ברוך־בער</w:t>
      </w:r>
      <w:proofErr w:type="spellEnd"/>
      <w:r>
        <w:rPr>
          <w:sz w:val="20"/>
          <w:szCs w:val="20"/>
          <w:rtl/>
        </w:rPr>
        <w:t xml:space="preserve"> לא עשה לפנים משורת הדין </w:t>
      </w:r>
      <w:proofErr w:type="spellStart"/>
      <w:r>
        <w:rPr>
          <w:sz w:val="20"/>
          <w:szCs w:val="20"/>
          <w:rtl/>
        </w:rPr>
        <w:t>כשלא</w:t>
      </w:r>
      <w:proofErr w:type="spellEnd"/>
      <w:r>
        <w:rPr>
          <w:sz w:val="20"/>
          <w:szCs w:val="20"/>
          <w:rtl/>
        </w:rPr>
        <w:t xml:space="preserve"> קרא לאדם בשמו הכפול של אביו. השווה גם “תורת חיים” (הנ״ל, פרק 2, הפסקה התשיעית בנספח א), עמ׳ </w:t>
      </w:r>
      <w:proofErr w:type="spellStart"/>
      <w:r>
        <w:rPr>
          <w:sz w:val="20"/>
          <w:szCs w:val="20"/>
          <w:rtl/>
        </w:rPr>
        <w:t>עו</w:t>
      </w:r>
      <w:proofErr w:type="spellEnd"/>
      <w:r>
        <w:rPr>
          <w:sz w:val="20"/>
          <w:szCs w:val="20"/>
          <w:rtl/>
        </w:rPr>
        <w:t xml:space="preserve">–עז: שם מובא סיפור שנראה בדוי על הדרך המיוחדת שבה “עישן” ר׳ </w:t>
      </w:r>
      <w:proofErr w:type="spellStart"/>
      <w:r>
        <w:rPr>
          <w:sz w:val="20"/>
          <w:szCs w:val="20"/>
          <w:rtl/>
        </w:rPr>
        <w:t>ברוך־בער</w:t>
      </w:r>
      <w:proofErr w:type="spellEnd"/>
      <w:r>
        <w:rPr>
          <w:sz w:val="20"/>
          <w:szCs w:val="20"/>
          <w:rtl/>
        </w:rPr>
        <w:t xml:space="preserve"> סיגריה, בגלל סתירה בין מה שהורה אביו בעניין זה לבין מה שהעיר רבו, ר׳ חיים. מקור המעשה הוא “אישים ושיטות” – ראה תחילת הנספח הבא.</w:t>
      </w:r>
    </w:p>
  </w:footnote>
  <w:footnote w:id="1809">
    <w:p w14:paraId="37188B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 זה ודיווחו של </w:t>
      </w:r>
      <w:proofErr w:type="spellStart"/>
      <w:r>
        <w:rPr>
          <w:sz w:val="20"/>
          <w:szCs w:val="20"/>
          <w:rtl/>
        </w:rPr>
        <w:t>רבינר</w:t>
      </w:r>
      <w:proofErr w:type="spellEnd"/>
      <w:r>
        <w:rPr>
          <w:sz w:val="20"/>
          <w:szCs w:val="20"/>
          <w:rtl/>
        </w:rPr>
        <w:t>, “הגאון רבי אליעזר גורדון” סותרים את מה שמביא הסופר אברהם ברש בספרו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(הוצאת מסורה, ברוקלין, 1998), עמ׳ 109, בשם ר׳ נחום </w:t>
      </w:r>
      <w:proofErr w:type="spellStart"/>
      <w:r>
        <w:rPr>
          <w:sz w:val="20"/>
          <w:szCs w:val="20"/>
          <w:rtl/>
        </w:rPr>
        <w:t>פרצוביץ</w:t>
      </w:r>
      <w:proofErr w:type="spellEnd"/>
      <w:r>
        <w:rPr>
          <w:sz w:val="20"/>
          <w:szCs w:val="20"/>
          <w:rtl/>
        </w:rPr>
        <w:t xml:space="preserve">: ר׳ </w:t>
      </w:r>
      <w:proofErr w:type="spellStart"/>
      <w:r>
        <w:rPr>
          <w:sz w:val="20"/>
          <w:szCs w:val="20"/>
          <w:rtl/>
        </w:rPr>
        <w:t>ברוך־בער</w:t>
      </w:r>
      <w:proofErr w:type="spellEnd"/>
      <w:r>
        <w:rPr>
          <w:sz w:val="20"/>
          <w:szCs w:val="20"/>
          <w:rtl/>
        </w:rPr>
        <w:t xml:space="preserve"> </w:t>
      </w:r>
      <w:r>
        <w:rPr>
          <w:b/>
          <w:bCs/>
          <w:sz w:val="20"/>
          <w:szCs w:val="20"/>
          <w:rtl/>
        </w:rPr>
        <w:t>נכשל</w:t>
      </w:r>
      <w:r>
        <w:rPr>
          <w:sz w:val="20"/>
          <w:szCs w:val="20"/>
          <w:rtl/>
        </w:rPr>
        <w:t xml:space="preserve"> בניסיונו להתמנות </w:t>
      </w:r>
      <w:proofErr w:type="spellStart"/>
      <w:r>
        <w:rPr>
          <w:sz w:val="20"/>
          <w:szCs w:val="20"/>
          <w:rtl/>
        </w:rPr>
        <w:t>בטלז</w:t>
      </w:r>
      <w:proofErr w:type="spellEnd"/>
      <w:r>
        <w:rPr>
          <w:sz w:val="20"/>
          <w:szCs w:val="20"/>
          <w:rtl/>
        </w:rPr>
        <w:t>, מפני שאמר שיעור שלא עשה רושם. “</w:t>
      </w:r>
      <w:proofErr w:type="spellStart"/>
      <w:r>
        <w:rPr>
          <w:sz w:val="20"/>
          <w:szCs w:val="20"/>
          <w:rtl/>
        </w:rPr>
        <w:t>גוט</w:t>
      </w:r>
      <w:proofErr w:type="spellEnd"/>
      <w:r>
        <w:rPr>
          <w:sz w:val="20"/>
          <w:szCs w:val="20"/>
          <w:rtl/>
        </w:rPr>
        <w:t xml:space="preserve"> </w:t>
      </w:r>
      <w:proofErr w:type="spellStart"/>
      <w:r>
        <w:rPr>
          <w:sz w:val="20"/>
          <w:szCs w:val="20"/>
          <w:rtl/>
        </w:rPr>
        <w:t>וואָך</w:t>
      </w:r>
      <w:proofErr w:type="spellEnd"/>
      <w:r>
        <w:rPr>
          <w:sz w:val="20"/>
          <w:szCs w:val="20"/>
          <w:rtl/>
        </w:rPr>
        <w:t xml:space="preserve">” מוסיף שכשנשאל מדוע הציג דוגמה חלשה כל כך משיעוריו, השיב שאילו בחר באחד משיעוריו המעולים, הייתה הנהלת </w:t>
      </w:r>
      <w:proofErr w:type="spellStart"/>
      <w:r>
        <w:rPr>
          <w:sz w:val="20"/>
          <w:szCs w:val="20"/>
          <w:rtl/>
        </w:rPr>
        <w:t>טלז</w:t>
      </w:r>
      <w:proofErr w:type="spellEnd"/>
      <w:r>
        <w:rPr>
          <w:sz w:val="20"/>
          <w:szCs w:val="20"/>
          <w:rtl/>
        </w:rPr>
        <w:t xml:space="preserve"> עלולה לחשוב שכל שיעוריו טובים כמותו. הוא בחר בכוונה בשיעורו החלש ביותר, כדי שאם יתקבל, כל שיעור שיאמר אחר כך יהיה טוב לפחות כשיעור הדוגמה; הוא לא רצה לזכות במינוי בגניבת דעת. (זו הייתה, כמובן, מידת חסידות מצד ר׳ </w:t>
      </w:r>
      <w:proofErr w:type="spellStart"/>
      <w:r>
        <w:rPr>
          <w:sz w:val="20"/>
          <w:szCs w:val="20"/>
          <w:rtl/>
        </w:rPr>
        <w:t>ברוך־בער</w:t>
      </w:r>
      <w:proofErr w:type="spellEnd"/>
      <w:r>
        <w:rPr>
          <w:sz w:val="20"/>
          <w:szCs w:val="20"/>
          <w:rtl/>
        </w:rPr>
        <w:t xml:space="preserve">, שהרי כל הנהלה מצפה שמועמד יציג אחד משיעוריו הטובים ביותר, ומביאה בחשבון שהשיעורים הרגילים אולי אינם טובים כמותו – ועי׳ </w:t>
      </w:r>
      <w:proofErr w:type="spellStart"/>
      <w:r>
        <w:rPr>
          <w:sz w:val="20"/>
          <w:szCs w:val="20"/>
          <w:rtl/>
        </w:rPr>
        <w:t>שו״ע</w:t>
      </w:r>
      <w:proofErr w:type="spellEnd"/>
      <w:r>
        <w:rPr>
          <w:sz w:val="20"/>
          <w:szCs w:val="20"/>
          <w:rtl/>
        </w:rPr>
        <w:t xml:space="preserve"> </w:t>
      </w:r>
      <w:proofErr w:type="spellStart"/>
      <w:r>
        <w:rPr>
          <w:sz w:val="20"/>
          <w:szCs w:val="20"/>
          <w:rtl/>
        </w:rPr>
        <w:t>חו״מ</w:t>
      </w:r>
      <w:proofErr w:type="spellEnd"/>
      <w:r>
        <w:rPr>
          <w:sz w:val="20"/>
          <w:szCs w:val="20"/>
          <w:rtl/>
        </w:rPr>
        <w:t xml:space="preserve"> סי׳ רכ״ח.)</w:t>
      </w:r>
    </w:p>
  </w:footnote>
  <w:footnote w:id="1810">
    <w:p w14:paraId="43A4B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3.1, בפסקה הפותחת “בעשור הראשון לקיומן”, והערה 54 בפרק זה.</w:t>
      </w:r>
    </w:p>
  </w:footnote>
  <w:footnote w:id="1811">
    <w:p w14:paraId="20D8C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קח–קט.</w:t>
      </w:r>
    </w:p>
  </w:footnote>
  <w:footnote w:id="1812">
    <w:p w14:paraId="3712C6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ספר מגלה עמוקות </w:t>
      </w:r>
      <w:proofErr w:type="spellStart"/>
      <w:r>
        <w:rPr>
          <w:sz w:val="20"/>
          <w:szCs w:val="20"/>
          <w:rtl/>
        </w:rPr>
        <w:t>מכת״י</w:t>
      </w:r>
      <w:proofErr w:type="spellEnd"/>
      <w:r>
        <w:rPr>
          <w:sz w:val="20"/>
          <w:szCs w:val="20"/>
          <w:rtl/>
        </w:rPr>
        <w:t xml:space="preserve"> (שלום הכהן וייס, בני ברק, תשמ״ב), פרשת קרח דרוש ב׳ אות ר, שכתב וז״ל אם יעשה תשובה הרי הוא בריה חדשה וכקטן שנולד ואינם כלל “אלה האנשים (במדבר </w:t>
      </w:r>
      <w:proofErr w:type="spellStart"/>
      <w:r>
        <w:rPr>
          <w:sz w:val="20"/>
          <w:szCs w:val="20"/>
          <w:rtl/>
        </w:rPr>
        <w:t>טז:ל</w:t>
      </w:r>
      <w:proofErr w:type="spellEnd"/>
      <w:r>
        <w:rPr>
          <w:sz w:val="20"/>
          <w:szCs w:val="20"/>
          <w:rtl/>
        </w:rPr>
        <w:t>)” עכ״ל.</w:t>
      </w:r>
    </w:p>
  </w:footnote>
  <w:footnote w:id="1813">
    <w:p w14:paraId="66473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 ט </w:t>
      </w:r>
      <w:proofErr w:type="spellStart"/>
      <w:r>
        <w:rPr>
          <w:sz w:val="20"/>
          <w:szCs w:val="20"/>
          <w:rtl/>
        </w:rPr>
        <w:t>ב“דוגמא</w:t>
      </w:r>
      <w:proofErr w:type="spellEnd"/>
      <w:r>
        <w:rPr>
          <w:sz w:val="20"/>
          <w:szCs w:val="20"/>
          <w:rtl/>
        </w:rPr>
        <w:t xml:space="preserve"> מדרכי אבי זצ״ל”.</w:t>
      </w:r>
    </w:p>
  </w:footnote>
  <w:footnote w:id="1814">
    <w:p w14:paraId="5657DF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עמ׳ 439.</w:t>
      </w:r>
    </w:p>
  </w:footnote>
  <w:footnote w:id="1815">
    <w:p w14:paraId="041316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הצלחתי לברר עליו פרטים נוספים.</w:t>
      </w:r>
    </w:p>
  </w:footnote>
  <w:footnote w:id="1816">
    <w:p w14:paraId="6B659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קכז</w:t>
      </w:r>
      <w:proofErr w:type="spellEnd"/>
      <w:r>
        <w:rPr>
          <w:sz w:val="20"/>
          <w:szCs w:val="20"/>
          <w:rtl/>
        </w:rPr>
        <w:t>.</w:t>
      </w:r>
    </w:p>
  </w:footnote>
  <w:footnote w:id="1817">
    <w:p w14:paraId="3288A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קסה</w:t>
      </w:r>
      <w:proofErr w:type="spellEnd"/>
      <w:r>
        <w:rPr>
          <w:sz w:val="20"/>
          <w:szCs w:val="20"/>
          <w:rtl/>
        </w:rPr>
        <w:t>.</w:t>
      </w:r>
    </w:p>
  </w:footnote>
  <w:footnote w:id="1818">
    <w:p w14:paraId="3F9BA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קסב</w:t>
      </w:r>
      <w:proofErr w:type="spellEnd"/>
      <w:r>
        <w:rPr>
          <w:sz w:val="20"/>
          <w:szCs w:val="20"/>
          <w:rtl/>
        </w:rPr>
        <w:t xml:space="preserve"> ואילך.</w:t>
      </w:r>
    </w:p>
  </w:footnote>
  <w:footnote w:id="1819">
    <w:p w14:paraId="5084D1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קנג</w:t>
      </w:r>
      <w:proofErr w:type="spellEnd"/>
      <w:r>
        <w:rPr>
          <w:sz w:val="20"/>
          <w:szCs w:val="20"/>
          <w:rtl/>
        </w:rPr>
        <w:t>.</w:t>
      </w:r>
    </w:p>
  </w:footnote>
  <w:footnote w:id="1820">
    <w:p w14:paraId="12638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266–267.</w:t>
      </w:r>
    </w:p>
  </w:footnote>
  <w:footnote w:id="1821">
    <w:p w14:paraId="0EFF11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 xml:space="preserve"> בחלק 2.</w:t>
      </w:r>
    </w:p>
  </w:footnote>
  <w:footnote w:id="1822">
    <w:p w14:paraId="6A47A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ח״א, עמ׳ סט.</w:t>
      </w:r>
    </w:p>
  </w:footnote>
  <w:footnote w:id="1823">
    <w:p w14:paraId="59FAE5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“מגד גבעות עולם” (הנ״ל, פרק 2, הפסקה הראשונה בנספח ה), עמ׳ </w:t>
      </w:r>
      <w:proofErr w:type="spellStart"/>
      <w:r>
        <w:rPr>
          <w:sz w:val="20"/>
          <w:szCs w:val="20"/>
          <w:rtl/>
        </w:rPr>
        <w:t>נז</w:t>
      </w:r>
      <w:proofErr w:type="spellEnd"/>
      <w:r>
        <w:rPr>
          <w:sz w:val="20"/>
          <w:szCs w:val="20"/>
          <w:rtl/>
        </w:rPr>
        <w:t xml:space="preserve">–נח, מס׳ </w:t>
      </w:r>
      <w:proofErr w:type="spellStart"/>
      <w:r>
        <w:rPr>
          <w:sz w:val="20"/>
          <w:szCs w:val="20"/>
          <w:rtl/>
        </w:rPr>
        <w:t>יב</w:t>
      </w:r>
      <w:proofErr w:type="spellEnd"/>
      <w:r>
        <w:rPr>
          <w:sz w:val="20"/>
          <w:szCs w:val="20"/>
          <w:rtl/>
        </w:rPr>
        <w:t xml:space="preserve">, המביא בשם מי שטען ששמע זאת ישירות מפי ר׳ </w:t>
      </w:r>
      <w:proofErr w:type="spellStart"/>
      <w:r>
        <w:rPr>
          <w:sz w:val="20"/>
          <w:szCs w:val="20"/>
          <w:rtl/>
        </w:rPr>
        <w:t>ברוך־בער</w:t>
      </w:r>
      <w:proofErr w:type="spellEnd"/>
      <w:r>
        <w:rPr>
          <w:sz w:val="20"/>
          <w:szCs w:val="20"/>
          <w:rtl/>
        </w:rPr>
        <w:t xml:space="preserve"> שהמעשה היה עם בנו של </w:t>
      </w:r>
      <w:proofErr w:type="spellStart"/>
      <w:r>
        <w:rPr>
          <w:sz w:val="20"/>
          <w:szCs w:val="20"/>
          <w:rtl/>
        </w:rPr>
        <w:t>החפץ־חיים</w:t>
      </w:r>
      <w:proofErr w:type="spellEnd"/>
      <w:r>
        <w:rPr>
          <w:sz w:val="20"/>
          <w:szCs w:val="20"/>
          <w:rtl/>
        </w:rPr>
        <w:t xml:space="preserve">, ר׳ </w:t>
      </w:r>
      <w:proofErr w:type="spellStart"/>
      <w:r>
        <w:rPr>
          <w:sz w:val="20"/>
          <w:szCs w:val="20"/>
          <w:rtl/>
        </w:rPr>
        <w:t>אריה־לייב</w:t>
      </w:r>
      <w:proofErr w:type="spellEnd"/>
      <w:r>
        <w:rPr>
          <w:sz w:val="20"/>
          <w:szCs w:val="20"/>
          <w:rtl/>
        </w:rPr>
        <w:t xml:space="preserve">, ושהמונח “ישרות” נאמר על לימוד הפשט כראוי. אלא שר׳ </w:t>
      </w:r>
      <w:proofErr w:type="spellStart"/>
      <w:r>
        <w:rPr>
          <w:sz w:val="20"/>
          <w:szCs w:val="20"/>
          <w:rtl/>
        </w:rPr>
        <w:t>אריה־לייב</w:t>
      </w:r>
      <w:proofErr w:type="spellEnd"/>
      <w:r>
        <w:rPr>
          <w:sz w:val="20"/>
          <w:szCs w:val="20"/>
          <w:rtl/>
        </w:rPr>
        <w:t xml:space="preserve"> לא למד </w:t>
      </w:r>
      <w:proofErr w:type="spellStart"/>
      <w:r>
        <w:rPr>
          <w:sz w:val="20"/>
          <w:szCs w:val="20"/>
          <w:rtl/>
        </w:rPr>
        <w:t>בוולוז׳ין</w:t>
      </w:r>
      <w:proofErr w:type="spellEnd"/>
      <w:r>
        <w:rPr>
          <w:sz w:val="20"/>
          <w:szCs w:val="20"/>
          <w:rtl/>
        </w:rPr>
        <w:t xml:space="preserve">, ואין זה סביר שר׳ חיים היה שותף לוויכוחו של ר׳ </w:t>
      </w:r>
      <w:proofErr w:type="spellStart"/>
      <w:r>
        <w:rPr>
          <w:sz w:val="20"/>
          <w:szCs w:val="20"/>
          <w:rtl/>
        </w:rPr>
        <w:t>ברוך־בער</w:t>
      </w:r>
      <w:proofErr w:type="spellEnd"/>
      <w:r>
        <w:rPr>
          <w:sz w:val="20"/>
          <w:szCs w:val="20"/>
          <w:rtl/>
        </w:rPr>
        <w:t xml:space="preserve"> עמו.</w:t>
      </w:r>
    </w:p>
  </w:footnote>
  <w:footnote w:id="1824">
    <w:p w14:paraId="09496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321.</w:t>
      </w:r>
    </w:p>
  </w:footnote>
  <w:footnote w:id="1825">
    <w:p w14:paraId="5F5D6D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בהערה 137 בפרק זה.</w:t>
      </w:r>
    </w:p>
  </w:footnote>
  <w:footnote w:id="1826">
    <w:p w14:paraId="1E46A7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w:t>
      </w:r>
      <w:proofErr w:type="spellStart"/>
      <w:r>
        <w:rPr>
          <w:sz w:val="20"/>
          <w:szCs w:val="20"/>
          <w:rtl/>
        </w:rPr>
        <w:t>חצקל</w:t>
      </w:r>
      <w:proofErr w:type="spellEnd"/>
      <w:r>
        <w:rPr>
          <w:sz w:val="20"/>
          <w:szCs w:val="20"/>
          <w:rtl/>
        </w:rPr>
        <w:t xml:space="preserve"> </w:t>
      </w:r>
      <w:proofErr w:type="spellStart"/>
      <w:r>
        <w:rPr>
          <w:sz w:val="20"/>
          <w:szCs w:val="20"/>
          <w:rtl/>
        </w:rPr>
        <w:t>ברטלר</w:t>
      </w:r>
      <w:proofErr w:type="spellEnd"/>
      <w:r>
        <w:rPr>
          <w:sz w:val="20"/>
          <w:szCs w:val="20"/>
          <w:rtl/>
        </w:rPr>
        <w:t xml:space="preserve"> ב־5 במאי 2000 בשם </w:t>
      </w:r>
      <w:proofErr w:type="spellStart"/>
      <w:r>
        <w:rPr>
          <w:sz w:val="20"/>
          <w:szCs w:val="20"/>
          <w:rtl/>
        </w:rPr>
        <w:t>החזון־איש</w:t>
      </w:r>
      <w:proofErr w:type="spellEnd"/>
      <w:r>
        <w:rPr>
          <w:sz w:val="20"/>
          <w:szCs w:val="20"/>
          <w:rtl/>
        </w:rPr>
        <w:t>.</w:t>
      </w:r>
    </w:p>
  </w:footnote>
  <w:footnote w:id="1827">
    <w:p w14:paraId="1791BE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היה גיסו של בנו השני של ר׳ חיים, ר׳ משה – ראה פרק 5, נספח ו, לקראת סוף הפסקה הראשונה – ומגיד בווילנה.</w:t>
      </w:r>
    </w:p>
  </w:footnote>
  <w:footnote w:id="1828">
    <w:p w14:paraId="4D56DB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24 במאי 1995, כשבא ר׳ </w:t>
      </w:r>
      <w:proofErr w:type="spellStart"/>
      <w:r>
        <w:rPr>
          <w:sz w:val="20"/>
          <w:szCs w:val="20"/>
          <w:rtl/>
        </w:rPr>
        <w:t>משה־אהרן</w:t>
      </w:r>
      <w:proofErr w:type="spellEnd"/>
      <w:r>
        <w:rPr>
          <w:sz w:val="20"/>
          <w:szCs w:val="20"/>
          <w:rtl/>
        </w:rPr>
        <w:t xml:space="preserve"> לנחם את ילדיו של ר׳ משה </w:t>
      </w:r>
      <w:proofErr w:type="spellStart"/>
      <w:r>
        <w:rPr>
          <w:sz w:val="20"/>
          <w:szCs w:val="20"/>
          <w:rtl/>
        </w:rPr>
        <w:t>סולובייצ׳יק</w:t>
      </w:r>
      <w:proofErr w:type="spellEnd"/>
      <w:r>
        <w:rPr>
          <w:sz w:val="20"/>
          <w:szCs w:val="20"/>
          <w:rtl/>
        </w:rPr>
        <w:t xml:space="preserve"> מציריך בימי השבעה. באותה שעה ערערו הילדים על הידיעות בעיתונות </w:t>
      </w:r>
      <w:proofErr w:type="spellStart"/>
      <w:r>
        <w:rPr>
          <w:sz w:val="20"/>
          <w:szCs w:val="20"/>
          <w:rtl/>
        </w:rPr>
        <w:t>שסבא־רבא</w:t>
      </w:r>
      <w:proofErr w:type="spellEnd"/>
      <w:r>
        <w:rPr>
          <w:sz w:val="20"/>
          <w:szCs w:val="20"/>
          <w:rtl/>
        </w:rPr>
        <w:t xml:space="preserve"> שלהם, ר׳ חיים, היה סנדק בברית אביהם </w:t>
      </w:r>
      <w:proofErr w:type="spellStart"/>
      <w:r>
        <w:rPr>
          <w:sz w:val="20"/>
          <w:szCs w:val="20"/>
          <w:rtl/>
        </w:rPr>
        <w:t>בבריסק</w:t>
      </w:r>
      <w:proofErr w:type="spellEnd"/>
      <w:r>
        <w:rPr>
          <w:sz w:val="20"/>
          <w:szCs w:val="20"/>
          <w:rtl/>
        </w:rPr>
        <w:t xml:space="preserve">. לדבריהם, ר׳ משה נולד למעשה במינסק, ביום השני של ראש השנה תרע״ו, ואף שהברית נערכה בנוכחות ר׳ חיים, הסנדק היה בנו של </w:t>
      </w:r>
      <w:proofErr w:type="spellStart"/>
      <w:r>
        <w:rPr>
          <w:sz w:val="20"/>
          <w:szCs w:val="20"/>
          <w:rtl/>
        </w:rPr>
        <w:t>ה“מינסקער</w:t>
      </w:r>
      <w:proofErr w:type="spellEnd"/>
      <w:r>
        <w:rPr>
          <w:sz w:val="20"/>
          <w:szCs w:val="20"/>
          <w:rtl/>
        </w:rPr>
        <w:t xml:space="preserve"> גדול”. סביר יותר שהיה זה חתנו של </w:t>
      </w:r>
      <w:proofErr w:type="spellStart"/>
      <w:r>
        <w:rPr>
          <w:sz w:val="20"/>
          <w:szCs w:val="20"/>
          <w:rtl/>
        </w:rPr>
        <w:t>ה“גדול</w:t>
      </w:r>
      <w:proofErr w:type="spellEnd"/>
      <w:r>
        <w:rPr>
          <w:sz w:val="20"/>
          <w:szCs w:val="20"/>
          <w:rtl/>
        </w:rPr>
        <w:t xml:space="preserve">”, רב מינסק ר׳ לייזר </w:t>
      </w:r>
      <w:proofErr w:type="spellStart"/>
      <w:r>
        <w:rPr>
          <w:sz w:val="20"/>
          <w:szCs w:val="20"/>
          <w:rtl/>
        </w:rPr>
        <w:t>רבינוביץ</w:t>
      </w:r>
      <w:proofErr w:type="spellEnd"/>
      <w:r>
        <w:rPr>
          <w:sz w:val="20"/>
          <w:szCs w:val="20"/>
          <w:rtl/>
        </w:rPr>
        <w:t xml:space="preserve"> (השווה גם פרק 5, אמצע הפסקה החמישית בנספח ו). העיתונות כנראה גם לא ידעה שר׳ חיים נמנע מלשמש סנדק, כדלהלן.</w:t>
      </w:r>
    </w:p>
  </w:footnote>
  <w:footnote w:id="1829">
    <w:p w14:paraId="183BF0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יעקב מארק, עמ׳ 41: בזכות טוב לבו המופלא “נעשה ר׳ חיים לאגדה בפי ההמונים עוד בחייו”. לשמו נוספה סיומת של קרבה וחיבה, והוא נקרא “ר׳ </w:t>
      </w:r>
      <w:proofErr w:type="spellStart"/>
      <w:r>
        <w:rPr>
          <w:sz w:val="20"/>
          <w:szCs w:val="20"/>
          <w:rtl/>
        </w:rPr>
        <w:t>חיימקה</w:t>
      </w:r>
      <w:proofErr w:type="spellEnd"/>
      <w:r>
        <w:rPr>
          <w:sz w:val="20"/>
          <w:szCs w:val="20"/>
          <w:rtl/>
        </w:rPr>
        <w:t xml:space="preserve">”. כך כינוהו תלמידיו בישיבת </w:t>
      </w:r>
      <w:proofErr w:type="spellStart"/>
      <w:r>
        <w:rPr>
          <w:sz w:val="20"/>
          <w:szCs w:val="20"/>
          <w:rtl/>
        </w:rPr>
        <w:t>וולוז׳ין</w:t>
      </w:r>
      <w:proofErr w:type="spellEnd"/>
      <w:r>
        <w:rPr>
          <w:sz w:val="20"/>
          <w:szCs w:val="20"/>
          <w:rtl/>
        </w:rPr>
        <w:t xml:space="preserve">, כמו בציטוט מזיכרונותיו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שהובא בפרק 4, הפסקה החמישית בנספח ט, וכך כינה אותו היהודי הפשוט והטוב ששירת בצבא הרוסי סמוך </w:t>
      </w:r>
      <w:proofErr w:type="spellStart"/>
      <w:r>
        <w:rPr>
          <w:sz w:val="20"/>
          <w:szCs w:val="20"/>
          <w:rtl/>
        </w:rPr>
        <w:t>לבריסק</w:t>
      </w:r>
      <w:proofErr w:type="spellEnd"/>
      <w:r>
        <w:rPr>
          <w:sz w:val="20"/>
          <w:szCs w:val="20"/>
          <w:rtl/>
        </w:rPr>
        <w:t>, שסיפורו מובא בפרק 5, הפסקה התשיעית בנספח ו.</w:t>
      </w:r>
    </w:p>
  </w:footnote>
  <w:footnote w:id="1830">
    <w:p w14:paraId="4E9705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ראשית ירושלים, ירושלים, ה׳תשנ״ד – עמ׳ </w:t>
      </w:r>
      <w:proofErr w:type="spellStart"/>
      <w:r>
        <w:rPr>
          <w:sz w:val="20"/>
          <w:szCs w:val="20"/>
          <w:rtl/>
        </w:rPr>
        <w:t>רמג</w:t>
      </w:r>
      <w:proofErr w:type="spellEnd"/>
      <w:r>
        <w:rPr>
          <w:sz w:val="20"/>
          <w:szCs w:val="20"/>
          <w:rtl/>
        </w:rPr>
        <w:t>.</w:t>
      </w:r>
    </w:p>
  </w:footnote>
  <w:footnote w:id="1831">
    <w:p w14:paraId="12B5F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הרביעית בנספח ט, ששם צוינו </w:t>
      </w:r>
      <w:proofErr w:type="spellStart"/>
      <w:r>
        <w:rPr>
          <w:sz w:val="20"/>
          <w:szCs w:val="20"/>
          <w:rtl/>
        </w:rPr>
        <w:t>אי־דיוקים</w:t>
      </w:r>
      <w:proofErr w:type="spellEnd"/>
      <w:r>
        <w:rPr>
          <w:sz w:val="20"/>
          <w:szCs w:val="20"/>
          <w:rtl/>
        </w:rPr>
        <w:t xml:space="preserve"> אחרים </w:t>
      </w:r>
      <w:proofErr w:type="spellStart"/>
      <w:r>
        <w:rPr>
          <w:sz w:val="20"/>
          <w:szCs w:val="20"/>
          <w:rtl/>
        </w:rPr>
        <w:t>ב“נפש</w:t>
      </w:r>
      <w:proofErr w:type="spellEnd"/>
      <w:r>
        <w:rPr>
          <w:sz w:val="20"/>
          <w:szCs w:val="20"/>
          <w:rtl/>
        </w:rPr>
        <w:t xml:space="preserve"> הרב” בשמות של אנשים ומקומות.</w:t>
      </w:r>
    </w:p>
  </w:footnote>
  <w:footnote w:id="1832">
    <w:p w14:paraId="695384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הנ״ל, פרק 1, הערה 42 – עמ׳ 69.</w:t>
      </w:r>
    </w:p>
  </w:footnote>
  <w:footnote w:id="1833">
    <w:p w14:paraId="43FCE4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1834">
    <w:p w14:paraId="57D6C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114.</w:t>
      </w:r>
    </w:p>
  </w:footnote>
  <w:footnote w:id="1835">
    <w:p w14:paraId="64D635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“מורשת </w:t>
      </w:r>
      <w:proofErr w:type="spellStart"/>
      <w:r>
        <w:rPr>
          <w:sz w:val="20"/>
          <w:szCs w:val="20"/>
          <w:rtl/>
        </w:rPr>
        <w:t>סולובייצ׳יק</w:t>
      </w:r>
      <w:proofErr w:type="spellEnd"/>
      <w:r>
        <w:rPr>
          <w:sz w:val="20"/>
          <w:szCs w:val="20"/>
          <w:rtl/>
        </w:rPr>
        <w:t xml:space="preserve">” טועה באומרה: “עברו </w:t>
      </w:r>
      <w:r>
        <w:rPr>
          <w:b/>
          <w:bCs/>
          <w:sz w:val="20"/>
          <w:szCs w:val="20"/>
          <w:rtl/>
        </w:rPr>
        <w:t>תשע שנים</w:t>
      </w:r>
      <w:r>
        <w:rPr>
          <w:sz w:val="20"/>
          <w:szCs w:val="20"/>
          <w:rtl/>
        </w:rPr>
        <w:t xml:space="preserve"> מאז נפטר ר׳ </w:t>
      </w:r>
      <w:proofErr w:type="spellStart"/>
      <w:r>
        <w:rPr>
          <w:sz w:val="20"/>
          <w:szCs w:val="20"/>
          <w:rtl/>
        </w:rPr>
        <w:t xml:space="preserve">יושע־בער</w:t>
      </w:r>
      <w:proofErr w:type="spellEnd"/>
      <w:r>
        <w:rPr>
          <w:sz w:val="20"/>
          <w:szCs w:val="20"/>
          <w:rtl/>
        </w:rPr>
        <w:t xml:space="preserve">.”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אבי המחברת, נולד </w:t>
      </w:r>
      <w:proofErr w:type="spellStart"/>
      <w:r>
        <w:rPr>
          <w:b/>
          <w:bCs/>
          <w:sz w:val="20"/>
          <w:szCs w:val="20"/>
          <w:rtl/>
        </w:rPr>
        <w:t>אחת־עשרה</w:t>
      </w:r>
      <w:proofErr w:type="spellEnd"/>
      <w:r>
        <w:rPr>
          <w:b/>
          <w:bCs/>
          <w:sz w:val="20"/>
          <w:szCs w:val="20"/>
          <w:rtl/>
        </w:rPr>
        <w:t xml:space="preserve"> שנים</w:t>
      </w:r>
      <w:r>
        <w:rPr>
          <w:sz w:val="20"/>
          <w:szCs w:val="20"/>
          <w:rtl/>
        </w:rPr>
        <w:t xml:space="preserve"> אחרי פטירת זה שנקרא על שמו.</w:t>
      </w:r>
    </w:p>
  </w:footnote>
  <w:footnote w:id="1836">
    <w:p w14:paraId="08BE5A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פרסום של בית הכנסת “ישורון”: גיליון מ״ז, </w:t>
      </w:r>
      <w:proofErr w:type="spellStart"/>
      <w:r>
        <w:rPr>
          <w:sz w:val="20"/>
          <w:szCs w:val="20"/>
          <w:rtl/>
        </w:rPr>
        <w:t>אב־אלול</w:t>
      </w:r>
      <w:proofErr w:type="spellEnd"/>
      <w:r>
        <w:rPr>
          <w:sz w:val="20"/>
          <w:szCs w:val="20"/>
          <w:rtl/>
        </w:rPr>
        <w:t xml:space="preserve"> תשל״ה.</w:t>
      </w:r>
    </w:p>
  </w:footnote>
  <w:footnote w:id="1837">
    <w:p w14:paraId="09B199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pr_f_4046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1123</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pr_f_4046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שאפשר שר׳ </w:t>
      </w:r>
      <w:proofErr w:type="spellStart"/>
      <w:r>
        <w:rPr>
          <w:sz w:val="20"/>
          <w:szCs w:val="20"/>
          <w:rtl/>
        </w:rPr>
        <w:t>ברוך־בער</w:t>
      </w:r>
      <w:proofErr w:type="spellEnd"/>
      <w:r>
        <w:rPr>
          <w:sz w:val="20"/>
          <w:szCs w:val="20"/>
          <w:rtl/>
        </w:rPr>
        <w:t xml:space="preserve"> למד להיות דבוק ברבו, ר׳ חיים, מתוך חיקוי תלמיד אחר שהיה דבוק ביותר </w:t>
      </w:r>
      <w:proofErr w:type="spellStart"/>
      <w:r>
        <w:rPr>
          <w:b/>
          <w:bCs/>
          <w:sz w:val="20"/>
          <w:szCs w:val="20"/>
          <w:rtl/>
        </w:rPr>
        <w:t>בנצי״ב</w:t>
      </w:r>
      <w:proofErr w:type="spellEnd"/>
      <w:r>
        <w:rPr>
          <w:sz w:val="20"/>
          <w:szCs w:val="20"/>
          <w:rtl/>
        </w:rPr>
        <w:t>.</w:t>
      </w:r>
    </w:p>
  </w:footnote>
  <w:footnote w:id="1838">
    <w:p w14:paraId="7D5B62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אבל השווה סוף הערה 138 בפרק זה.</w:t>
      </w:r>
    </w:p>
  </w:footnote>
  <w:footnote w:id="1839">
    <w:p w14:paraId="35CF50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16 ביוני 1996.</w:t>
      </w:r>
    </w:p>
  </w:footnote>
  <w:footnote w:id="1840">
    <w:p w14:paraId="6D5686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רו</w:t>
      </w:r>
      <w:proofErr w:type="spellEnd"/>
      <w:r>
        <w:rPr>
          <w:sz w:val="20"/>
          <w:szCs w:val="20"/>
          <w:rtl/>
        </w:rPr>
        <w:t>.</w:t>
      </w:r>
    </w:p>
  </w:footnote>
  <w:footnote w:id="1841">
    <w:p w14:paraId="2B61F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את הציטוט מ“(ילדי ר׳ חיים)” בהקדמה לספרו, המובא בנספח לא להלן.</w:t>
      </w:r>
    </w:p>
  </w:footnote>
  <w:footnote w:id="1842">
    <w:p w14:paraId="68DDFA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מר׳ </w:t>
      </w:r>
      <w:proofErr w:type="spellStart"/>
      <w:r>
        <w:rPr>
          <w:sz w:val="20"/>
          <w:szCs w:val="20"/>
          <w:rtl/>
        </w:rPr>
        <w:t>יחיאל־יעקב</w:t>
      </w:r>
      <w:proofErr w:type="spellEnd"/>
      <w:r>
        <w:rPr>
          <w:sz w:val="20"/>
          <w:szCs w:val="20"/>
          <w:rtl/>
        </w:rPr>
        <w:t xml:space="preserve"> ויינברג לד״ר </w:t>
      </w:r>
      <w:proofErr w:type="spellStart"/>
      <w:r>
        <w:rPr>
          <w:sz w:val="20"/>
          <w:szCs w:val="20"/>
          <w:rtl/>
        </w:rPr>
        <w:t>גבריאל־חיים</w:t>
      </w:r>
      <w:proofErr w:type="spellEnd"/>
      <w:r>
        <w:rPr>
          <w:sz w:val="20"/>
          <w:szCs w:val="20"/>
          <w:rtl/>
        </w:rPr>
        <w:t xml:space="preserve"> כהן מיום 28 בנובמבר 1965, המובא בעמ׳ 195 של “בין עולם הישיבות לאורתודוקסיה המודרנית” מאת מרק ב. שפירא (הוצאת ולנטיין מיטשל, </w:t>
      </w:r>
      <w:proofErr w:type="spellStart"/>
      <w:r>
        <w:rPr>
          <w:sz w:val="20"/>
          <w:szCs w:val="20"/>
          <w:rtl/>
        </w:rPr>
        <w:t>פורטלנד</w:t>
      </w:r>
      <w:proofErr w:type="spellEnd"/>
      <w:r>
        <w:rPr>
          <w:sz w:val="20"/>
          <w:szCs w:val="20"/>
          <w:rtl/>
        </w:rPr>
        <w:t>, אורגון, 1999).</w:t>
      </w:r>
    </w:p>
  </w:footnote>
  <w:footnote w:id="1843">
    <w:p w14:paraId="26ED92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על ר׳ </w:t>
      </w:r>
      <w:proofErr w:type="spellStart"/>
      <w:r>
        <w:rPr>
          <w:sz w:val="20"/>
          <w:szCs w:val="20"/>
          <w:rtl/>
        </w:rPr>
        <w:t>משה־מרדכי</w:t>
      </w:r>
      <w:proofErr w:type="spellEnd"/>
      <w:r>
        <w:rPr>
          <w:sz w:val="20"/>
          <w:szCs w:val="20"/>
          <w:rtl/>
        </w:rPr>
        <w:t xml:space="preserve"> לקוחים מספרו של </w:t>
      </w:r>
      <w:proofErr w:type="spellStart"/>
      <w:r>
        <w:rPr>
          <w:sz w:val="20"/>
          <w:szCs w:val="20"/>
          <w:rtl/>
        </w:rPr>
        <w:t>דבורץ</w:t>
      </w:r>
      <w:proofErr w:type="spellEnd"/>
      <w:r>
        <w:rPr>
          <w:sz w:val="20"/>
          <w:szCs w:val="20"/>
          <w:rtl/>
        </w:rPr>
        <w:t xml:space="preserve">, “הגאון רבי משה מרדכי אפשטיין” (נספח ו לעיל). הפרטים על ר׳ </w:t>
      </w:r>
      <w:proofErr w:type="spellStart"/>
      <w:r>
        <w:rPr>
          <w:sz w:val="20"/>
          <w:szCs w:val="20"/>
          <w:rtl/>
        </w:rPr>
        <w:t>איסר־זלמן</w:t>
      </w:r>
      <w:proofErr w:type="spellEnd"/>
      <w:r>
        <w:rPr>
          <w:sz w:val="20"/>
          <w:szCs w:val="20"/>
          <w:rtl/>
        </w:rPr>
        <w:t xml:space="preserve"> לקוחים מספרו של </w:t>
      </w:r>
      <w:proofErr w:type="spellStart"/>
      <w:r>
        <w:rPr>
          <w:sz w:val="20"/>
          <w:szCs w:val="20"/>
          <w:rtl/>
        </w:rPr>
        <w:t>ידעאל</w:t>
      </w:r>
      <w:proofErr w:type="spellEnd"/>
      <w:r>
        <w:rPr>
          <w:sz w:val="20"/>
          <w:szCs w:val="20"/>
          <w:rtl/>
        </w:rPr>
        <w:t xml:space="preserve"> מלצר, “בדרך עץ החיים” (הערה 6 לעיל), הביוגרפיה המצוינת שכתב נכדו, ר׳ </w:t>
      </w:r>
      <w:proofErr w:type="spellStart"/>
      <w:r>
        <w:rPr>
          <w:sz w:val="20"/>
          <w:szCs w:val="20"/>
          <w:rtl/>
        </w:rPr>
        <w:t>ידעאל</w:t>
      </w:r>
      <w:proofErr w:type="spellEnd"/>
      <w:r>
        <w:rPr>
          <w:sz w:val="20"/>
          <w:szCs w:val="20"/>
          <w:rtl/>
        </w:rPr>
        <w:t xml:space="preserve"> מלצר.</w:t>
      </w:r>
    </w:p>
  </w:footnote>
  <w:footnote w:id="1844">
    <w:p w14:paraId="031DFF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15 לעיל.</w:t>
      </w:r>
    </w:p>
  </w:footnote>
  <w:footnote w:id="1845">
    <w:p w14:paraId="30D15F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87.</w:t>
      </w:r>
    </w:p>
  </w:footnote>
  <w:footnote w:id="1846">
    <w:p w14:paraId="6B3707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312.</w:t>
      </w:r>
    </w:p>
  </w:footnote>
  <w:footnote w:id="1847">
    <w:p w14:paraId="3939E5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אברהם ציוני, תל אביב, תשי״ח – עמ׳ 43.</w:t>
      </w:r>
    </w:p>
  </w:footnote>
  <w:footnote w:id="1848">
    <w:p w14:paraId="7D2263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הפסקה השלישית בנספח ט, ששם נדון בהרחבה הזמן המדויק של מינויו של ר׳ חיים.</w:t>
      </w:r>
    </w:p>
  </w:footnote>
  <w:footnote w:id="1849">
    <w:p w14:paraId="2B496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בפסקה הראשונה בנספח ח לעיל.</w:t>
      </w:r>
    </w:p>
  </w:footnote>
  <w:footnote w:id="1850">
    <w:p w14:paraId="3B3CB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851">
    <w:p w14:paraId="228B50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ב לעיל.</w:t>
      </w:r>
    </w:p>
  </w:footnote>
  <w:footnote w:id="1852">
    <w:p w14:paraId="55A93D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83.</w:t>
      </w:r>
    </w:p>
  </w:footnote>
  <w:footnote w:id="1853">
    <w:p w14:paraId="58AFA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103 ו־83, והפרק המתחיל בעמ׳ 529, שכותרתו “דברי התעוררות”.</w:t>
      </w:r>
    </w:p>
  </w:footnote>
  <w:footnote w:id="1854">
    <w:p w14:paraId="6502E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דפוס בלשן, תשי״ז (להלן: לב איברא).</w:t>
      </w:r>
    </w:p>
  </w:footnote>
  <w:footnote w:id="1855">
    <w:p w14:paraId="3BC1E0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נדפס לראשונה בכתב העת הרבני “הפרדס” בשנת תשי״ד.</w:t>
      </w:r>
    </w:p>
  </w:footnote>
  <w:footnote w:id="1856">
    <w:p w14:paraId="17C8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39.</w:t>
      </w:r>
    </w:p>
  </w:footnote>
  <w:footnote w:id="1857">
    <w:p w14:paraId="0826CD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מוזר הדבר שמאמרו של </w:t>
      </w:r>
      <w:proofErr w:type="spellStart"/>
      <w:r>
        <w:rPr>
          <w:sz w:val="20"/>
          <w:szCs w:val="20"/>
          <w:rtl/>
        </w:rPr>
        <w:t>הירש־לייב</w:t>
      </w:r>
      <w:proofErr w:type="spellEnd"/>
      <w:r>
        <w:rPr>
          <w:sz w:val="20"/>
          <w:szCs w:val="20"/>
          <w:rtl/>
        </w:rPr>
        <w:t xml:space="preserve"> גורדון “על גדות </w:t>
      </w:r>
      <w:proofErr w:type="spellStart"/>
      <w:r>
        <w:rPr>
          <w:sz w:val="20"/>
          <w:szCs w:val="20"/>
          <w:rtl/>
        </w:rPr>
        <w:t>הוויליה</w:t>
      </w:r>
      <w:proofErr w:type="spellEnd"/>
      <w:r>
        <w:rPr>
          <w:sz w:val="20"/>
          <w:szCs w:val="20"/>
          <w:rtl/>
        </w:rPr>
        <w:t xml:space="preserve"> </w:t>
      </w:r>
      <w:proofErr w:type="spellStart"/>
      <w:r>
        <w:rPr>
          <w:sz w:val="20"/>
          <w:szCs w:val="20"/>
          <w:rtl/>
        </w:rPr>
        <w:t>והנימן</w:t>
      </w:r>
      <w:proofErr w:type="spellEnd"/>
      <w:r>
        <w:rPr>
          <w:sz w:val="20"/>
          <w:szCs w:val="20"/>
          <w:rtl/>
        </w:rPr>
        <w:t xml:space="preserve">” </w:t>
      </w:r>
      <w:proofErr w:type="spellStart"/>
      <w:r>
        <w:rPr>
          <w:sz w:val="20"/>
          <w:szCs w:val="20"/>
          <w:rtl/>
        </w:rPr>
        <w:t>ב“הדואר</w:t>
      </w:r>
      <w:proofErr w:type="spellEnd"/>
      <w:r>
        <w:rPr>
          <w:sz w:val="20"/>
          <w:szCs w:val="20"/>
          <w:rtl/>
        </w:rPr>
        <w:t>” (הנ״ל, פרק 2, הערה 93), עמ׳ 89, הולך בעניין זה אחרי כץ בעיניים עצומות, אף שהוא חולק עליו בחריפות בעניינים אחרים ויסודיים יותר.</w:t>
      </w:r>
    </w:p>
  </w:footnote>
  <w:footnote w:id="1858">
    <w:p w14:paraId="53A3B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288. ר׳ </w:t>
      </w:r>
      <w:proofErr w:type="spellStart"/>
      <w:r>
        <w:rPr>
          <w:sz w:val="20"/>
          <w:szCs w:val="20"/>
          <w:rtl/>
        </w:rPr>
        <w:t>איסר־זלמן</w:t>
      </w:r>
      <w:proofErr w:type="spellEnd"/>
      <w:r>
        <w:rPr>
          <w:sz w:val="20"/>
          <w:szCs w:val="20"/>
          <w:rtl/>
        </w:rPr>
        <w:t xml:space="preserve">, שדיבר ביידיש, תיקן את עצמו כנראה </w:t>
      </w:r>
      <w:proofErr w:type="spellStart"/>
      <w:r>
        <w:rPr>
          <w:sz w:val="20"/>
          <w:szCs w:val="20"/>
          <w:rtl/>
        </w:rPr>
        <w:t>ל“איך</w:t>
      </w:r>
      <w:proofErr w:type="spellEnd"/>
      <w:r>
        <w:rPr>
          <w:sz w:val="20"/>
          <w:szCs w:val="20"/>
          <w:rtl/>
        </w:rPr>
        <w:t xml:space="preserve"> האב </w:t>
      </w:r>
      <w:proofErr w:type="spellStart"/>
      <w:r>
        <w:rPr>
          <w:sz w:val="20"/>
          <w:szCs w:val="20"/>
          <w:rtl/>
        </w:rPr>
        <w:t>געלערנט</w:t>
      </w:r>
      <w:proofErr w:type="spellEnd"/>
      <w:r>
        <w:rPr>
          <w:sz w:val="20"/>
          <w:szCs w:val="20"/>
          <w:rtl/>
        </w:rPr>
        <w:t xml:space="preserve"> מוסר” – והספר “בדרך עץ החיים”, הכתוב עברית, היה צריך לתרגם: “אני למדתי מוסר”.</w:t>
      </w:r>
    </w:p>
  </w:footnote>
  <w:footnote w:id="1859">
    <w:p w14:paraId="49F1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30 בנובמבר 1991.</w:t>
      </w:r>
    </w:p>
  </w:footnote>
  <w:footnote w:id="1860">
    <w:p w14:paraId="5373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ט, על עמדתו השלילית של ר׳ חיים כלפי המוסר.</w:t>
      </w:r>
    </w:p>
  </w:footnote>
  <w:footnote w:id="1861">
    <w:p w14:paraId="0E6F1F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נספח ו.</w:t>
      </w:r>
    </w:p>
  </w:footnote>
  <w:footnote w:id="1862">
    <w:p w14:paraId="582191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סרנא</w:t>
      </w:r>
      <w:proofErr w:type="spellEnd"/>
      <w:r>
        <w:rPr>
          <w:sz w:val="20"/>
          <w:szCs w:val="20"/>
          <w:rtl/>
        </w:rPr>
        <w:t xml:space="preserve"> הוסיף באותה שעה – בלי ההרחבה או ההסבר הנדרשים – שר׳ </w:t>
      </w:r>
      <w:proofErr w:type="spellStart"/>
      <w:r>
        <w:rPr>
          <w:sz w:val="20"/>
          <w:szCs w:val="20"/>
          <w:rtl/>
        </w:rPr>
        <w:t>יחיאל־יעקב</w:t>
      </w:r>
      <w:proofErr w:type="spellEnd"/>
      <w:r>
        <w:rPr>
          <w:sz w:val="20"/>
          <w:szCs w:val="20"/>
          <w:rtl/>
        </w:rPr>
        <w:t xml:space="preserve"> ויינברג הצהיר הצהרה משונה: ר׳ </w:t>
      </w:r>
      <w:proofErr w:type="spellStart"/>
      <w:r>
        <w:rPr>
          <w:sz w:val="20"/>
          <w:szCs w:val="20"/>
          <w:rtl/>
        </w:rPr>
        <w:t>משה־מרדכי</w:t>
      </w:r>
      <w:proofErr w:type="spellEnd"/>
      <w:r>
        <w:rPr>
          <w:sz w:val="20"/>
          <w:szCs w:val="20"/>
          <w:rtl/>
        </w:rPr>
        <w:t xml:space="preserve"> היה גדול בתורה מבעל “דברי חיים”, ר׳ חיים </w:t>
      </w:r>
      <w:proofErr w:type="spellStart"/>
      <w:r>
        <w:rPr>
          <w:sz w:val="20"/>
          <w:szCs w:val="20"/>
          <w:rtl/>
        </w:rPr>
        <w:t>הלברשטם</w:t>
      </w:r>
      <w:proofErr w:type="spellEnd"/>
      <w:r>
        <w:rPr>
          <w:sz w:val="20"/>
          <w:szCs w:val="20"/>
          <w:rtl/>
        </w:rPr>
        <w:t xml:space="preserve"> (שנפטר בשנת תרל״ו, כשהיה ר׳ </w:t>
      </w:r>
      <w:proofErr w:type="spellStart"/>
      <w:r>
        <w:rPr>
          <w:sz w:val="20"/>
          <w:szCs w:val="20"/>
          <w:rtl/>
        </w:rPr>
        <w:t>משה־מרדכי</w:t>
      </w:r>
      <w:proofErr w:type="spellEnd"/>
      <w:r>
        <w:rPr>
          <w:sz w:val="20"/>
          <w:szCs w:val="20"/>
          <w:rtl/>
        </w:rPr>
        <w:t xml:space="preserve"> בן עשר). כפי שעולה בבירור </w:t>
      </w:r>
      <w:proofErr w:type="spellStart"/>
      <w:r>
        <w:rPr>
          <w:sz w:val="20"/>
          <w:szCs w:val="20"/>
          <w:rtl/>
        </w:rPr>
        <w:t>משו״ת</w:t>
      </w:r>
      <w:proofErr w:type="spellEnd"/>
      <w:r>
        <w:rPr>
          <w:sz w:val="20"/>
          <w:szCs w:val="20"/>
          <w:rtl/>
        </w:rPr>
        <w:t xml:space="preserve"> “שרידי אש”, ר׳ </w:t>
      </w:r>
      <w:proofErr w:type="spellStart"/>
      <w:r>
        <w:rPr>
          <w:sz w:val="20"/>
          <w:szCs w:val="20"/>
          <w:rtl/>
        </w:rPr>
        <w:t>יחיאל־יעקב</w:t>
      </w:r>
      <w:proofErr w:type="spellEnd"/>
      <w:r>
        <w:rPr>
          <w:sz w:val="20"/>
          <w:szCs w:val="20"/>
          <w:rtl/>
        </w:rPr>
        <w:t xml:space="preserve"> ויינברג היה בקי בכתביהם ההלכתיים של הרבנים החסידיים בפולין, בגליציה ובהונגריה, כגון שו״ת “דברי חיים”, וכנראה כיוון לחידושיו בענייני מקוואות. ב־28 בספטמבר 2001 אמר ר׳ חיים </w:t>
      </w:r>
      <w:proofErr w:type="spellStart"/>
      <w:r>
        <w:rPr>
          <w:sz w:val="20"/>
          <w:szCs w:val="20"/>
          <w:rtl/>
        </w:rPr>
        <w:t>סרנא</w:t>
      </w:r>
      <w:proofErr w:type="spellEnd"/>
      <w:r>
        <w:rPr>
          <w:sz w:val="20"/>
          <w:szCs w:val="20"/>
          <w:rtl/>
        </w:rPr>
        <w:t xml:space="preserve"> שבגיל עשרים ואחת ידע ר׳ </w:t>
      </w:r>
      <w:proofErr w:type="spellStart"/>
      <w:r>
        <w:rPr>
          <w:sz w:val="20"/>
          <w:szCs w:val="20"/>
          <w:rtl/>
        </w:rPr>
        <w:t>משה־מרדכי</w:t>
      </w:r>
      <w:proofErr w:type="spellEnd"/>
      <w:r>
        <w:rPr>
          <w:sz w:val="20"/>
          <w:szCs w:val="20"/>
          <w:rtl/>
        </w:rPr>
        <w:t xml:space="preserve"> בעל פה, מילה במילה, את כל הש״ס ואת כל השולחן ערוך.</w:t>
      </w:r>
    </w:p>
  </w:footnote>
  <w:footnote w:id="1863">
    <w:p w14:paraId="1AD298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נספח יד, על דעתו של ר׳ ישראל </w:t>
      </w:r>
      <w:proofErr w:type="spellStart"/>
      <w:r>
        <w:rPr>
          <w:sz w:val="20"/>
          <w:szCs w:val="20"/>
          <w:rtl/>
        </w:rPr>
        <w:t>סלנטר</w:t>
      </w:r>
      <w:proofErr w:type="spellEnd"/>
      <w:r>
        <w:rPr>
          <w:sz w:val="20"/>
          <w:szCs w:val="20"/>
          <w:rtl/>
        </w:rPr>
        <w:t xml:space="preserve"> שר׳ לייזר גורדון אינו צריך מוסר.</w:t>
      </w:r>
    </w:p>
  </w:footnote>
  <w:footnote w:id="1864">
    <w:p w14:paraId="1C398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פה.</w:t>
      </w:r>
    </w:p>
  </w:footnote>
  <w:footnote w:id="1865">
    <w:p w14:paraId="672E0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חגיגה י׳ ע״א ועוד.</w:t>
      </w:r>
    </w:p>
  </w:footnote>
  <w:footnote w:id="1866">
    <w:p w14:paraId="6B7918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במאי 1994.</w:t>
      </w:r>
    </w:p>
  </w:footnote>
  <w:footnote w:id="1867">
    <w:p w14:paraId="1FC050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רצ״ו ס״ו.</w:t>
      </w:r>
    </w:p>
  </w:footnote>
  <w:footnote w:id="1868">
    <w:p w14:paraId="2FD23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נספח ל להלן.</w:t>
      </w:r>
    </w:p>
  </w:footnote>
  <w:footnote w:id="1869">
    <w:p w14:paraId="2DC9E3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0">
    <w:p w14:paraId="353874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לימים כיהן, בזו אחר זו, ברבנות </w:t>
      </w:r>
      <w:proofErr w:type="spellStart"/>
      <w:r>
        <w:rPr>
          <w:sz w:val="20"/>
          <w:szCs w:val="20"/>
          <w:rtl/>
        </w:rPr>
        <w:t>בייסגולה</w:t>
      </w:r>
      <w:proofErr w:type="spellEnd"/>
      <w:r>
        <w:rPr>
          <w:sz w:val="20"/>
          <w:szCs w:val="20"/>
          <w:rtl/>
        </w:rPr>
        <w:t xml:space="preserve">, </w:t>
      </w:r>
      <w:proofErr w:type="spellStart"/>
      <w:r>
        <w:rPr>
          <w:sz w:val="20"/>
          <w:szCs w:val="20"/>
          <w:rtl/>
        </w:rPr>
        <w:t>סמיאטיץ</w:t>
      </w:r>
      <w:proofErr w:type="spellEnd"/>
      <w:r>
        <w:rPr>
          <w:sz w:val="20"/>
          <w:szCs w:val="20"/>
          <w:rtl/>
        </w:rPr>
        <w:t xml:space="preserve">׳, שדובה, </w:t>
      </w:r>
      <w:proofErr w:type="spellStart"/>
      <w:r>
        <w:rPr>
          <w:sz w:val="20"/>
          <w:szCs w:val="20"/>
          <w:rtl/>
        </w:rPr>
        <w:t>סובאלק</w:t>
      </w:r>
      <w:proofErr w:type="spellEnd"/>
      <w:r>
        <w:rPr>
          <w:sz w:val="20"/>
          <w:szCs w:val="20"/>
          <w:rtl/>
        </w:rPr>
        <w:t xml:space="preserve">, </w:t>
      </w:r>
      <w:proofErr w:type="spellStart"/>
      <w:r>
        <w:rPr>
          <w:sz w:val="20"/>
          <w:szCs w:val="20"/>
          <w:rtl/>
        </w:rPr>
        <w:t>לומז׳ה</w:t>
      </w:r>
      <w:proofErr w:type="spellEnd"/>
      <w:r>
        <w:rPr>
          <w:sz w:val="20"/>
          <w:szCs w:val="20"/>
          <w:rtl/>
        </w:rPr>
        <w:t xml:space="preserve"> ושאוול, העיר השנייה בגודלה בליטא, ושם נהרג על קידוש השם בשנת תש״א, בגיל שבעים וחמש – לשנת לידתו המדויקת ראה הערת שוליים </w:t>
      </w:r>
      <w:r>
        <w:rPr>
          <w:sz w:val="20"/>
          <w:szCs w:val="20"/>
          <w:rtl/>
        </w:rPr>
        <w:fldChar w:fldCharType="begin" w:dirty="true"/>
      </w:r>
      <w:r>
        <w:rPr>
          <w:sz w:val="20"/>
          <w:szCs w:val="20"/>
          <w:rtl/>
        </w:rPr>
        <w:instrText xml:space="preserve"> NOTEREF pr_f_3968 \h </w:instrText>
      </w:r>
      <w:r>
        <w:rPr>
          <w:sz w:val="20"/>
          <w:szCs w:val="20"/>
          <w:rtl/>
        </w:rPr>
      </w:r>
      <w:r>
        <w:rPr>
          <w:sz w:val="20"/>
          <w:szCs w:val="20"/>
          <w:rtl/>
        </w:rPr>
        <w:fldChar w:fldCharType="separate"/>
      </w:r>
      <w:r w:rsidR="007923E9">
        <w:rPr>
          <w:sz w:val="20"/>
          <w:szCs w:val="20"/>
          <w:rtl/>
        </w:rPr>
        <w:t>1045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pr_f_3968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במבוא “מתולדותיו” </w:t>
      </w:r>
      <w:proofErr w:type="spellStart"/>
      <w:r>
        <w:rPr>
          <w:sz w:val="20"/>
          <w:szCs w:val="20"/>
          <w:rtl/>
        </w:rPr>
        <w:t>ב“לב</w:t>
      </w:r>
      <w:proofErr w:type="spellEnd"/>
      <w:r>
        <w:rPr>
          <w:sz w:val="20"/>
          <w:szCs w:val="20"/>
          <w:rtl/>
        </w:rPr>
        <w:t xml:space="preserve"> אהרן”, קובץ שיחותיו של ר׳ </w:t>
      </w:r>
      <w:proofErr w:type="spellStart"/>
      <w:r>
        <w:rPr>
          <w:sz w:val="20"/>
          <w:szCs w:val="20"/>
          <w:rtl/>
        </w:rPr>
        <w:t>ארצ׳יק</w:t>
      </w:r>
      <w:proofErr w:type="spellEnd"/>
      <w:r>
        <w:rPr>
          <w:sz w:val="20"/>
          <w:szCs w:val="20"/>
          <w:rtl/>
        </w:rPr>
        <w:t xml:space="preserve"> בקשט (הוצאת “נצח”, בני ברק/ירושלים), עמ׳ ח, מסופר שר׳ שמואל </w:t>
      </w:r>
      <w:proofErr w:type="spellStart"/>
      <w:r>
        <w:rPr>
          <w:sz w:val="20"/>
          <w:szCs w:val="20"/>
          <w:rtl/>
        </w:rPr>
        <w:t>גריינמן</w:t>
      </w:r>
      <w:proofErr w:type="spellEnd"/>
      <w:r>
        <w:rPr>
          <w:sz w:val="20"/>
          <w:szCs w:val="20"/>
          <w:rtl/>
        </w:rPr>
        <w:t xml:space="preserve"> שאלו מדוע החליף מקום רבנות לעיתים קרובות כל כך, והשיב (כנראה בדרך הלצה): “לאחר שש שנים במקום ראיתי שכמעט כל בעלי הבתים היו בדיני תורה עם בני עירם, והתוצאה הייתה שחמישים האחוזים שהפסידו בדינם נעשו אויביי”. פרק 7 בספרו של כץ, “תנועת המוסר”, כרך ה, מוקדש </w:t>
      </w:r>
      <w:proofErr w:type="spellStart"/>
      <w:r>
        <w:rPr>
          <w:sz w:val="20"/>
          <w:szCs w:val="20"/>
          <w:rtl/>
        </w:rPr>
        <w:t>לר</w:t>
      </w:r>
      <w:proofErr w:type="spellEnd"/>
      <w:r>
        <w:rPr>
          <w:sz w:val="20"/>
          <w:szCs w:val="20"/>
          <w:rtl/>
        </w:rPr>
        <w:t xml:space="preserve">׳ </w:t>
      </w:r>
      <w:proofErr w:type="spellStart"/>
      <w:r>
        <w:rPr>
          <w:sz w:val="20"/>
          <w:szCs w:val="20"/>
          <w:rtl/>
        </w:rPr>
        <w:t>ארצ׳יק</w:t>
      </w:r>
      <w:proofErr w:type="spellEnd"/>
      <w:r>
        <w:rPr>
          <w:sz w:val="20"/>
          <w:szCs w:val="20"/>
          <w:rtl/>
        </w:rPr>
        <w:t xml:space="preserve"> בקשט.</w:t>
      </w:r>
    </w:p>
  </w:footnote>
  <w:footnote w:id="1871">
    <w:p w14:paraId="51D36D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125.</w:t>
      </w:r>
    </w:p>
  </w:footnote>
  <w:footnote w:id="1872">
    <w:p w14:paraId="371B5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מיום 4 בספטמבר 1996.</w:t>
      </w:r>
    </w:p>
  </w:footnote>
  <w:footnote w:id="1873">
    <w:p w14:paraId="2F9F8A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ביום 21 ביולי 2001 אמר נכד נכדתו, ר׳ </w:t>
      </w:r>
      <w:proofErr w:type="spellStart"/>
      <w:r>
        <w:rPr>
          <w:sz w:val="20"/>
          <w:szCs w:val="20"/>
          <w:rtl/>
        </w:rPr>
        <w:t>יעקב־אליעזר</w:t>
      </w:r>
      <w:proofErr w:type="spellEnd"/>
      <w:r>
        <w:rPr>
          <w:sz w:val="20"/>
          <w:szCs w:val="20"/>
          <w:rtl/>
        </w:rPr>
        <w:t xml:space="preserve"> שוורצמן, בנאום בציבור, שר׳ </w:t>
      </w:r>
      <w:proofErr w:type="spellStart"/>
      <w:r>
        <w:rPr>
          <w:sz w:val="20"/>
          <w:szCs w:val="20"/>
          <w:rtl/>
        </w:rPr>
        <w:t>פייבל</w:t>
      </w:r>
      <w:proofErr w:type="spellEnd"/>
      <w:r>
        <w:rPr>
          <w:sz w:val="20"/>
          <w:szCs w:val="20"/>
          <w:rtl/>
        </w:rPr>
        <w:t xml:space="preserve"> התפלל גם לפני מותו (מדלקת ריאות, בגיל ארבעים ושלוש) שצאצאיו לא יהיו עשירים. את בקשתו נימק כך: הוא עצמו ידע כיצד לנהוג בעושר, אבל לא היה בטוח שגם צאצאיו יידעו, ומבחינה רוחנית יהיו בטוחים יותר בלי עושר. תפילתו נענתה כשמפעלי העור והפרוות שבבעלותו נשרפו לבסוף. על אדם יוצא דופן זה השווה את הפרק בספרו של </w:t>
      </w:r>
      <w:proofErr w:type="spellStart"/>
      <w:r>
        <w:rPr>
          <w:sz w:val="20"/>
          <w:szCs w:val="20"/>
          <w:rtl/>
        </w:rPr>
        <w:t>ידעאל</w:t>
      </w:r>
      <w:proofErr w:type="spellEnd"/>
      <w:r>
        <w:rPr>
          <w:sz w:val="20"/>
          <w:szCs w:val="20"/>
          <w:rtl/>
        </w:rPr>
        <w:t xml:space="preserve"> מלצר, “בדרך עץ החיים” (עמ׳ 59–81), וכן את סוף נספח זה.</w:t>
      </w:r>
    </w:p>
  </w:footnote>
  <w:footnote w:id="1874">
    <w:p w14:paraId="1680A0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ביום 31 במרץ 1995.</w:t>
      </w:r>
    </w:p>
  </w:footnote>
  <w:footnote w:id="1875">
    <w:p w14:paraId="5F8C6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“רבותינו שבגולה” (הערה 10 לעיל), כרך 1, עמ׳ 159–171.</w:t>
      </w:r>
    </w:p>
  </w:footnote>
  <w:footnote w:id="1876">
    <w:p w14:paraId="28B77C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מסר לי ביום 29 בנובמבר 1988 ר׳ יחיאל פר, ששמעם מבני משפחת אשתו – נכדתו של ר׳ אברהם </w:t>
      </w:r>
      <w:proofErr w:type="spellStart"/>
      <w:r>
        <w:rPr>
          <w:sz w:val="20"/>
          <w:szCs w:val="20"/>
          <w:rtl/>
        </w:rPr>
        <w:t>יופן</w:t>
      </w:r>
      <w:proofErr w:type="spellEnd"/>
      <w:r>
        <w:rPr>
          <w:sz w:val="20"/>
          <w:szCs w:val="20"/>
          <w:rtl/>
        </w:rPr>
        <w:t xml:space="preserve"> ונינתו של ר׳ יוזל </w:t>
      </w:r>
      <w:proofErr w:type="spellStart"/>
      <w:r>
        <w:rPr>
          <w:sz w:val="20"/>
          <w:szCs w:val="20"/>
          <w:rtl/>
        </w:rPr>
        <w:t>הורוויץ</w:t>
      </w:r>
      <w:proofErr w:type="spellEnd"/>
      <w:r>
        <w:rPr>
          <w:sz w:val="20"/>
          <w:szCs w:val="20"/>
          <w:rtl/>
        </w:rPr>
        <w:t xml:space="preserve">, מייסד תנועת המוסר </w:t>
      </w:r>
      <w:proofErr w:type="spellStart"/>
      <w:r>
        <w:rPr>
          <w:sz w:val="20"/>
          <w:szCs w:val="20"/>
          <w:rtl/>
        </w:rPr>
        <w:t>הנובהרדוקאית</w:t>
      </w:r>
      <w:proofErr w:type="spellEnd"/>
      <w:r>
        <w:rPr>
          <w:sz w:val="20"/>
          <w:szCs w:val="20"/>
          <w:rtl/>
        </w:rPr>
        <w:t xml:space="preserve">. על רקע אפשרי לגילויים אלה השווה גם תחילת נספח </w:t>
      </w:r>
      <w:proofErr w:type="spellStart"/>
      <w:r>
        <w:rPr>
          <w:sz w:val="20"/>
          <w:szCs w:val="20"/>
          <w:rtl/>
        </w:rPr>
        <w:t>יח</w:t>
      </w:r>
      <w:proofErr w:type="spellEnd"/>
      <w:r>
        <w:rPr>
          <w:sz w:val="20"/>
          <w:szCs w:val="20"/>
          <w:rtl/>
        </w:rPr>
        <w:t xml:space="preserve"> להלן.</w:t>
      </w:r>
    </w:p>
  </w:footnote>
  <w:footnote w:id="1877">
    <w:p w14:paraId="223B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עמ׳ 84–85.</w:t>
      </w:r>
    </w:p>
  </w:footnote>
  <w:footnote w:id="1878">
    <w:p w14:paraId="6ECB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הנקודה השנייה של ר׳ </w:t>
      </w:r>
      <w:proofErr w:type="spellStart"/>
      <w:r>
        <w:rPr>
          <w:sz w:val="20"/>
          <w:szCs w:val="20"/>
          <w:rtl/>
        </w:rPr>
        <w:t>אלעזר־מנחם־מן</w:t>
      </w:r>
      <w:proofErr w:type="spellEnd"/>
      <w:r>
        <w:rPr>
          <w:sz w:val="20"/>
          <w:szCs w:val="20"/>
          <w:rtl/>
        </w:rPr>
        <w:t xml:space="preserve"> שך מוטלת בספק כשמדובר בחסידי המוסר.</w:t>
      </w:r>
    </w:p>
  </w:footnote>
  <w:footnote w:id="1879">
    <w:p w14:paraId="1D94F8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w:t>
      </w:r>
      <w:proofErr w:type="spellStart"/>
      <w:r>
        <w:rPr>
          <w:sz w:val="20"/>
          <w:szCs w:val="20"/>
          <w:rtl/>
        </w:rPr>
        <w:t>רנב</w:t>
      </w:r>
      <w:proofErr w:type="spellEnd"/>
      <w:r>
        <w:rPr>
          <w:sz w:val="20"/>
          <w:szCs w:val="20"/>
          <w:rtl/>
        </w:rPr>
        <w:t>.</w:t>
      </w:r>
    </w:p>
  </w:footnote>
  <w:footnote w:id="1880">
    <w:p w14:paraId="771142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5, הפסקה השנייה בנספח ח.</w:t>
      </w:r>
    </w:p>
  </w:footnote>
  <w:footnote w:id="1881">
    <w:p w14:paraId="6C2C1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השנייה בנספח ח בפרק 5, על גמילות החסדים שעשה ר׳ </w:t>
      </w:r>
      <w:proofErr w:type="spellStart"/>
      <w:r>
        <w:rPr>
          <w:sz w:val="20"/>
          <w:szCs w:val="20"/>
          <w:rtl/>
        </w:rPr>
        <w:t>ארצ׳יק</w:t>
      </w:r>
      <w:proofErr w:type="spellEnd"/>
      <w:r>
        <w:rPr>
          <w:sz w:val="20"/>
          <w:szCs w:val="20"/>
          <w:rtl/>
        </w:rPr>
        <w:t xml:space="preserve"> בגופו.</w:t>
      </w:r>
    </w:p>
  </w:footnote>
  <w:footnote w:id="1882">
    <w:p w14:paraId="71E0B9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הנקודה השנייה אינה נזכרת כלל </w:t>
      </w:r>
      <w:proofErr w:type="spellStart"/>
      <w:r>
        <w:rPr>
          <w:sz w:val="20"/>
          <w:szCs w:val="20"/>
          <w:rtl/>
        </w:rPr>
        <w:t>ב“שמושה</w:t>
      </w:r>
      <w:proofErr w:type="spellEnd"/>
      <w:r>
        <w:rPr>
          <w:sz w:val="20"/>
          <w:szCs w:val="20"/>
          <w:rtl/>
        </w:rPr>
        <w:t xml:space="preserve"> של תורה”.</w:t>
      </w:r>
    </w:p>
  </w:footnote>
  <w:footnote w:id="1883">
    <w:p w14:paraId="554C0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המבוא “מתולדותיו” </w:t>
      </w:r>
      <w:proofErr w:type="spellStart"/>
      <w:r>
        <w:rPr>
          <w:sz w:val="20"/>
          <w:szCs w:val="20"/>
          <w:rtl/>
        </w:rPr>
        <w:t>ב“לב</w:t>
      </w:r>
      <w:proofErr w:type="spellEnd"/>
      <w:r>
        <w:rPr>
          <w:sz w:val="20"/>
          <w:szCs w:val="20"/>
          <w:rtl/>
        </w:rPr>
        <w:t xml:space="preserve"> אהרן”, עמ׳ י.</w:t>
      </w:r>
    </w:p>
  </w:footnote>
  <w:footnote w:id="1884">
    <w:p w14:paraId="61FC8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ישעיה </w:t>
      </w:r>
      <w:proofErr w:type="spellStart"/>
      <w:r>
        <w:rPr>
          <w:sz w:val="20"/>
          <w:szCs w:val="20"/>
          <w:rtl/>
        </w:rPr>
        <w:t>פורטנוי</w:t>
      </w:r>
      <w:proofErr w:type="spellEnd"/>
      <w:r>
        <w:rPr>
          <w:sz w:val="20"/>
          <w:szCs w:val="20"/>
          <w:rtl/>
        </w:rPr>
        <w:t>, ריאיון מיום 18 במרץ 1991.</w:t>
      </w:r>
    </w:p>
  </w:footnote>
  <w:footnote w:id="1885">
    <w:p w14:paraId="30013A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עם אותו מרואיין מיום 13 בספטמבר 1997.</w:t>
      </w:r>
    </w:p>
  </w:footnote>
  <w:footnote w:id="1886">
    <w:p w14:paraId="3A24BE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מאורע זה ודאי אירע כשר׳ </w:t>
      </w:r>
      <w:proofErr w:type="spellStart"/>
      <w:r>
        <w:rPr>
          <w:sz w:val="20"/>
          <w:szCs w:val="20"/>
          <w:rtl/>
        </w:rPr>
        <w:t>משה־מרדכי</w:t>
      </w:r>
      <w:proofErr w:type="spellEnd"/>
      <w:r>
        <w:rPr>
          <w:sz w:val="20"/>
          <w:szCs w:val="20"/>
          <w:rtl/>
        </w:rPr>
        <w:t xml:space="preserve"> כבר היה ראש הישיבה היחיד, כמסופר בסעיף 1 בפרק זה, וכנראה אחרי שאבי הצטרף לישיבה. אם כן, רבנו ראה את המעשה בעצמו.</w:t>
      </w:r>
    </w:p>
  </w:footnote>
  <w:footnote w:id="1887">
    <w:p w14:paraId="2EBBB3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לא בא לעיר </w:t>
      </w:r>
      <w:proofErr w:type="spellStart"/>
      <w:r>
        <w:rPr>
          <w:sz w:val="20"/>
          <w:szCs w:val="20"/>
          <w:rtl/>
        </w:rPr>
        <w:t>סלבודקה</w:t>
      </w:r>
      <w:proofErr w:type="spellEnd"/>
      <w:r>
        <w:rPr>
          <w:sz w:val="20"/>
          <w:szCs w:val="20"/>
          <w:rtl/>
        </w:rPr>
        <w:t xml:space="preserve"> עד אחרי המלחמה, ובוודאי שמע על מעשה זה מתלמידים שלפני מלחמת העולם הראשונה.</w:t>
      </w:r>
    </w:p>
  </w:footnote>
  <w:footnote w:id="1888">
    <w:p w14:paraId="71EE89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האמצעית בסעיף 2 בפרק זה.</w:t>
      </w:r>
    </w:p>
  </w:footnote>
  <w:footnote w:id="1889">
    <w:p w14:paraId="6724C4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כמובן, שמעשה זה אינו גרסה אחרת של המעשה שסיפר אבי, אלא אירע מאוחר יותר, כשכבר גיבש ר׳ </w:t>
      </w:r>
      <w:proofErr w:type="spellStart"/>
      <w:r>
        <w:rPr>
          <w:sz w:val="20"/>
          <w:szCs w:val="20"/>
          <w:rtl/>
        </w:rPr>
        <w:t>משה־מרדכי</w:t>
      </w:r>
      <w:proofErr w:type="spellEnd"/>
      <w:r>
        <w:rPr>
          <w:sz w:val="20"/>
          <w:szCs w:val="20"/>
          <w:rtl/>
        </w:rPr>
        <w:t xml:space="preserve"> אפשטיין דעות עצמאיות בשאלה מה צריכים בחורי </w:t>
      </w:r>
      <w:proofErr w:type="spellStart"/>
      <w:r>
        <w:rPr>
          <w:sz w:val="20"/>
          <w:szCs w:val="20"/>
          <w:rtl/>
        </w:rPr>
        <w:t>סלבודקה</w:t>
      </w:r>
      <w:proofErr w:type="spellEnd"/>
      <w:r>
        <w:rPr>
          <w:sz w:val="20"/>
          <w:szCs w:val="20"/>
          <w:rtl/>
        </w:rPr>
        <w:t xml:space="preserve"> לעשות ומה לא – אף שעדיין לא חלק על הכרעות הסבא. על השתתפות תלמידי ישיבות מוסר בלוויות השווה הפסקה השנייה בנספח </w:t>
      </w:r>
      <w:proofErr w:type="spellStart"/>
      <w:r>
        <w:rPr>
          <w:sz w:val="20"/>
          <w:szCs w:val="20"/>
          <w:rtl/>
        </w:rPr>
        <w:t>כא</w:t>
      </w:r>
      <w:proofErr w:type="spellEnd"/>
      <w:r>
        <w:rPr>
          <w:sz w:val="20"/>
          <w:szCs w:val="20"/>
          <w:rtl/>
        </w:rPr>
        <w:t xml:space="preserve"> להלן, ועל הדרך שבה ראה ר׳ </w:t>
      </w:r>
      <w:proofErr w:type="spellStart"/>
      <w:r>
        <w:rPr>
          <w:sz w:val="20"/>
          <w:szCs w:val="20"/>
          <w:rtl/>
        </w:rPr>
        <w:t>משה־מרדכי</w:t>
      </w:r>
      <w:proofErr w:type="spellEnd"/>
      <w:r>
        <w:rPr>
          <w:sz w:val="20"/>
          <w:szCs w:val="20"/>
          <w:rtl/>
        </w:rPr>
        <w:t xml:space="preserve"> את עצמו לעומת הסבא – הערה 76 בפרק זה.</w:t>
      </w:r>
    </w:p>
  </w:footnote>
  <w:footnote w:id="1890">
    <w:p w14:paraId="08A0EE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1891">
    <w:p w14:paraId="20DA8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32.</w:t>
      </w:r>
    </w:p>
  </w:footnote>
  <w:footnote w:id="1892">
    <w:p w14:paraId="7A1554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93.</w:t>
      </w:r>
    </w:p>
  </w:footnote>
  <w:footnote w:id="1893">
    <w:p w14:paraId="1F58B0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טלפוני עם ר׳ שבתי רוזנטל, מנהל מכון הרב </w:t>
      </w:r>
      <w:proofErr w:type="spellStart"/>
      <w:r>
        <w:rPr>
          <w:sz w:val="20"/>
          <w:szCs w:val="20"/>
          <w:rtl/>
        </w:rPr>
        <w:t>פראנק</w:t>
      </w:r>
      <w:proofErr w:type="spellEnd"/>
      <w:r>
        <w:rPr>
          <w:sz w:val="20"/>
          <w:szCs w:val="20"/>
          <w:rtl/>
        </w:rPr>
        <w:t>, ביום 14 ביולי 2002, סמוך לסיום כתיבת ספר זה. הרב רוזנטל קיבל ידיעה זו מנכדו של ר׳ יודל.</w:t>
      </w:r>
    </w:p>
  </w:footnote>
  <w:footnote w:id="1894">
    <w:p w14:paraId="28719F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“שרידי אש”, עמ׳ שכו.</w:t>
      </w:r>
    </w:p>
  </w:footnote>
  <w:footnote w:id="1895">
    <w:p w14:paraId="29F8E8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כץ, “תנועת המוסר”, כרך ג, עמ׳ 32; השווה הערת שוליים </w:t>
      </w:r>
      <w:r>
        <w:rPr>
          <w:rStyle w:val="a5"/>
          <w:sz w:val="20"/>
          <w:szCs w:val="20"/>
          <w:vertAlign w:val="baseline"/>
          <w:rtl/>
        </w:rPr>
        <w:fldChar w:fldCharType="begin" w:dirty="true"/>
      </w:r>
      <w:r>
        <w:rPr>
          <w:rStyle w:val="a5"/>
          <w:sz w:val="20"/>
          <w:szCs w:val="20"/>
          <w:vertAlign w:val="baseline"/>
          <w:rtl/>
        </w:rPr>
        <w:instrText xml:space="preserve"> NOTEREF pr_f_1020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62</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pr_f_1020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1896">
    <w:p w14:paraId="4CECD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הערת שוליים שי </w:t>
      </w:r>
      <w:proofErr w:type="spellStart"/>
      <w:r>
        <w:rPr>
          <w:sz w:val="20"/>
          <w:szCs w:val="20"/>
          <w:rtl/>
        </w:rPr>
        <w:t>ב“תורת</w:t>
      </w:r>
      <w:proofErr w:type="spellEnd"/>
      <w:r>
        <w:rPr>
          <w:sz w:val="20"/>
          <w:szCs w:val="20"/>
          <w:rtl/>
        </w:rPr>
        <w:t xml:space="preserve"> חיים”, עמ׳ </w:t>
      </w:r>
      <w:proofErr w:type="spellStart"/>
      <w:r>
        <w:rPr>
          <w:sz w:val="20"/>
          <w:szCs w:val="20"/>
          <w:rtl/>
        </w:rPr>
        <w:t>רא</w:t>
      </w:r>
      <w:proofErr w:type="spellEnd"/>
      <w:r>
        <w:rPr>
          <w:sz w:val="20"/>
          <w:szCs w:val="20"/>
          <w:rtl/>
        </w:rPr>
        <w:t xml:space="preserve">, והערת שוליים </w:t>
      </w:r>
      <w:r>
        <w:rPr>
          <w:sz w:val="20"/>
          <w:szCs w:val="20"/>
          <w:rtl/>
        </w:rPr>
        <w:fldChar w:fldCharType="begin" w:dirty="true"/>
      </w:r>
      <w:r>
        <w:rPr>
          <w:sz w:val="20"/>
          <w:szCs w:val="20"/>
          <w:rtl/>
        </w:rPr>
        <w:instrText xml:space="preserve"> NOTEREF pr_f_2091 \h </w:instrText>
      </w:r>
      <w:r>
        <w:rPr>
          <w:sz w:val="20"/>
          <w:szCs w:val="20"/>
          <w:rtl/>
        </w:rPr>
      </w:r>
      <w:r>
        <w:rPr>
          <w:sz w:val="20"/>
          <w:szCs w:val="20"/>
          <w:rtl/>
        </w:rPr>
        <w:fldChar w:fldCharType="separate"/>
      </w:r>
      <w:r w:rsidR="007923E9">
        <w:rPr>
          <w:sz w:val="20"/>
          <w:szCs w:val="20"/>
          <w:rtl/>
        </w:rPr>
        <w:t>1137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pr_f_2091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להלן.</w:t>
      </w:r>
    </w:p>
  </w:footnote>
  <w:footnote w:id="1897">
    <w:p w14:paraId="35135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נספח ט.</w:t>
      </w:r>
    </w:p>
  </w:footnote>
  <w:footnote w:id="1898">
    <w:p w14:paraId="434B43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סוף הפסקה השנייה של נספח </w:t>
      </w:r>
      <w:proofErr w:type="spellStart"/>
      <w:r>
        <w:rPr>
          <w:sz w:val="20"/>
          <w:szCs w:val="20"/>
          <w:rtl/>
        </w:rPr>
        <w:t>כג</w:t>
      </w:r>
      <w:proofErr w:type="spellEnd"/>
      <w:r>
        <w:rPr>
          <w:sz w:val="20"/>
          <w:szCs w:val="20"/>
          <w:rtl/>
        </w:rPr>
        <w:t xml:space="preserve"> להלן, למקור מפוקפק שלפיו ייתכן שתנועת ההתנגדות למוסר בישיבת </w:t>
      </w:r>
      <w:proofErr w:type="spellStart"/>
      <w:r>
        <w:rPr>
          <w:sz w:val="20"/>
          <w:szCs w:val="20"/>
          <w:rtl/>
        </w:rPr>
        <w:t>סלבודקה</w:t>
      </w:r>
      <w:proofErr w:type="spellEnd"/>
      <w:r>
        <w:rPr>
          <w:sz w:val="20"/>
          <w:szCs w:val="20"/>
          <w:rtl/>
        </w:rPr>
        <w:t xml:space="preserve"> החלה לפרוח לפני תרנ״ג.</w:t>
      </w:r>
    </w:p>
  </w:footnote>
  <w:footnote w:id="1899">
    <w:p w14:paraId="397A8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מעזבונו</w:t>
      </w:r>
      <w:proofErr w:type="spellEnd"/>
      <w:r>
        <w:rPr>
          <w:sz w:val="20"/>
          <w:szCs w:val="20"/>
          <w:rtl/>
        </w:rPr>
        <w:t xml:space="preserve"> של הרב מ.ש. שפירא, </w:t>
      </w:r>
      <w:proofErr w:type="spellStart"/>
      <w:r>
        <w:rPr>
          <w:sz w:val="20"/>
          <w:szCs w:val="20"/>
          <w:rtl/>
        </w:rPr>
        <w:t>ניו־יורק</w:t>
      </w:r>
      <w:proofErr w:type="spellEnd"/>
      <w:r>
        <w:rPr>
          <w:sz w:val="20"/>
          <w:szCs w:val="20"/>
          <w:rtl/>
        </w:rPr>
        <w:t>, תשכ״ד, הוצאת בני המחבר וכו׳ – עמ׳ 64.</w:t>
      </w:r>
    </w:p>
  </w:footnote>
  <w:footnote w:id="1900">
    <w:p w14:paraId="2C8CE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שמשון </w:t>
      </w:r>
      <w:proofErr w:type="spellStart"/>
      <w:r>
        <w:rPr>
          <w:sz w:val="20"/>
          <w:szCs w:val="20"/>
          <w:rtl/>
        </w:rPr>
        <w:t>רוזנבאום</w:t>
      </w:r>
      <w:proofErr w:type="spellEnd"/>
      <w:r>
        <w:rPr>
          <w:sz w:val="20"/>
          <w:szCs w:val="20"/>
          <w:rtl/>
        </w:rPr>
        <w:t xml:space="preserve"> (נולד בשנת תרי״ט), שלימים למד משפטים בווינה ובאודסה, השתקע במינסק והיה ממנהיגי הציונות ברוסיה. לאחר מלחמת העולם הראשונה כיהן כסגן שר החוץ של ליטא וייצג אותה במשא ומתן בוורסאי. בשנת 1925 עבר לארץ ישראל ונעשה בה הקונסול הליטאי. (מתוך “יהדות ליטא”, הערה 9 לעיל, כרך 3, עמ׳ 235.)</w:t>
      </w:r>
    </w:p>
  </w:footnote>
  <w:footnote w:id="1901">
    <w:p w14:paraId="33E891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329–330.</w:t>
      </w:r>
    </w:p>
  </w:footnote>
  <w:footnote w:id="1902">
    <w:p w14:paraId="7C1A2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משה שמואל ודורו”, עמ׳ 67 וכן 75–76.</w:t>
      </w:r>
    </w:p>
  </w:footnote>
  <w:footnote w:id="1903">
    <w:p w14:paraId="131058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49–52.</w:t>
      </w:r>
    </w:p>
  </w:footnote>
  <w:footnote w:id="1904">
    <w:p w14:paraId="751E3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4, מאת אחיו של ר׳ חיים ברלין – כרך 1, עמ׳ 117.</w:t>
      </w:r>
    </w:p>
  </w:footnote>
  <w:footnote w:id="1905">
    <w:p w14:paraId="244F63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161.</w:t>
      </w:r>
    </w:p>
  </w:footnote>
  <w:footnote w:id="1906">
    <w:p w14:paraId="14B2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67.</w:t>
      </w:r>
    </w:p>
  </w:footnote>
  <w:footnote w:id="1907">
    <w:p w14:paraId="2202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112–113.</w:t>
      </w:r>
    </w:p>
  </w:footnote>
  <w:footnote w:id="1908">
    <w:p w14:paraId="664957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שם, עמ׳ 74–75, וכן פרק 16 (עמ׳ 118–123).</w:t>
      </w:r>
    </w:p>
  </w:footnote>
  <w:footnote w:id="1909">
    <w:p w14:paraId="269D9F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זיכרונותיו של מ. </w:t>
      </w:r>
      <w:proofErr w:type="spellStart"/>
      <w:r>
        <w:rPr>
          <w:sz w:val="20"/>
          <w:szCs w:val="20"/>
          <w:rtl/>
        </w:rPr>
        <w:t>זלוטקין</w:t>
      </w:r>
      <w:proofErr w:type="spellEnd"/>
      <w:r>
        <w:rPr>
          <w:sz w:val="20"/>
          <w:szCs w:val="20"/>
          <w:rtl/>
        </w:rPr>
        <w:t xml:space="preserve"> </w:t>
      </w:r>
      <w:proofErr w:type="spellStart"/>
      <w:r>
        <w:rPr>
          <w:sz w:val="20"/>
          <w:szCs w:val="20"/>
          <w:rtl/>
        </w:rPr>
        <w:t>ב“שביבים</w:t>
      </w:r>
      <w:proofErr w:type="spellEnd"/>
      <w:r>
        <w:rPr>
          <w:sz w:val="20"/>
          <w:szCs w:val="20"/>
          <w:rtl/>
        </w:rPr>
        <w:t xml:space="preserve"> א׳”, עמ׳ 56–64.</w:t>
      </w:r>
    </w:p>
  </w:footnote>
  <w:footnote w:id="1910">
    <w:p w14:paraId="0803D0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השיר פורסם </w:t>
      </w:r>
      <w:proofErr w:type="spellStart"/>
      <w:r>
        <w:rPr>
          <w:sz w:val="20"/>
          <w:szCs w:val="20"/>
          <w:rtl/>
        </w:rPr>
        <w:t>ב“כנסת</w:t>
      </w:r>
      <w:proofErr w:type="spellEnd"/>
      <w:r>
        <w:rPr>
          <w:sz w:val="20"/>
          <w:szCs w:val="20"/>
          <w:rtl/>
        </w:rPr>
        <w:t xml:space="preserve">” (תרצ״ו) (הוצאת דביר, תל אביב), ותואר בו </w:t>
      </w:r>
      <w:proofErr w:type="spellStart"/>
      <w:r>
        <w:rPr>
          <w:sz w:val="20"/>
          <w:szCs w:val="20"/>
          <w:rtl/>
        </w:rPr>
        <w:t>כ“קטע</w:t>
      </w:r>
      <w:proofErr w:type="spellEnd"/>
      <w:r>
        <w:rPr>
          <w:sz w:val="20"/>
          <w:szCs w:val="20"/>
          <w:rtl/>
        </w:rPr>
        <w:t xml:space="preserve"> גנוז מתוך” שירו “המתמיד”.</w:t>
      </w:r>
    </w:p>
  </w:footnote>
  <w:footnote w:id="1911">
    <w:p w14:paraId="1553F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במרץ 1995.</w:t>
      </w:r>
    </w:p>
  </w:footnote>
  <w:footnote w:id="1912">
    <w:p w14:paraId="521F69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תלמידי הישיבה החילו אז עליהם את הפסוק בבראשית מד, ג במלואו: ‘הבקר אור והאנשים שלחו’.</w:t>
      </w:r>
    </w:p>
  </w:footnote>
  <w:footnote w:id="1913">
    <w:p w14:paraId="1A16EA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בן דודו של סבו של ר׳ </w:t>
      </w:r>
      <w:proofErr w:type="spellStart"/>
      <w:r>
        <w:rPr>
          <w:sz w:val="20"/>
          <w:szCs w:val="20"/>
          <w:rtl/>
        </w:rPr>
        <w:t>יצחק־יעקב</w:t>
      </w:r>
      <w:proofErr w:type="spellEnd"/>
      <w:r>
        <w:rPr>
          <w:sz w:val="20"/>
          <w:szCs w:val="20"/>
          <w:rtl/>
        </w:rPr>
        <w:t xml:space="preserve"> </w:t>
      </w:r>
      <w:proofErr w:type="spellStart"/>
      <w:r>
        <w:rPr>
          <w:sz w:val="20"/>
          <w:szCs w:val="20"/>
          <w:rtl/>
        </w:rPr>
        <w:t>אבלסון</w:t>
      </w:r>
      <w:proofErr w:type="spellEnd"/>
      <w:r>
        <w:rPr>
          <w:sz w:val="20"/>
          <w:szCs w:val="20"/>
          <w:rtl/>
        </w:rPr>
        <w:t>.</w:t>
      </w:r>
    </w:p>
  </w:footnote>
  <w:footnote w:id="1914">
    <w:p w14:paraId="7C3456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בערל </w:t>
      </w:r>
      <w:proofErr w:type="spellStart"/>
      <w:r>
        <w:rPr>
          <w:sz w:val="20"/>
          <w:szCs w:val="20"/>
          <w:rtl/>
        </w:rPr>
        <w:t>קגן</w:t>
      </w:r>
      <w:proofErr w:type="spellEnd"/>
      <w:r>
        <w:rPr>
          <w:sz w:val="20"/>
          <w:szCs w:val="20"/>
          <w:rtl/>
        </w:rPr>
        <w:t xml:space="preserve"> (הערה 10 לעיל), עמ׳ 244, ששני סופרים עבריים אחרים, </w:t>
      </w:r>
      <w:proofErr w:type="spellStart"/>
      <w:r>
        <w:rPr>
          <w:sz w:val="20"/>
          <w:szCs w:val="20"/>
          <w:rtl/>
        </w:rPr>
        <w:t>רבניצקי</w:t>
      </w:r>
      <w:proofErr w:type="spellEnd"/>
      <w:r>
        <w:rPr>
          <w:sz w:val="20"/>
          <w:szCs w:val="20"/>
          <w:rtl/>
        </w:rPr>
        <w:t xml:space="preserve"> </w:t>
      </w:r>
      <w:proofErr w:type="spellStart"/>
      <w:r>
        <w:rPr>
          <w:sz w:val="20"/>
          <w:szCs w:val="20"/>
          <w:rtl/>
        </w:rPr>
        <w:t>וליליינבלום</w:t>
      </w:r>
      <w:proofErr w:type="spellEnd"/>
      <w:r>
        <w:rPr>
          <w:sz w:val="20"/>
          <w:szCs w:val="20"/>
          <w:rtl/>
        </w:rPr>
        <w:t>, היו מבקרים גם הם תכופות אצל רבה של אודסה.</w:t>
      </w:r>
    </w:p>
  </w:footnote>
  <w:footnote w:id="1915">
    <w:p w14:paraId="7EDD58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והערת שוליים 647 שם.</w:t>
      </w:r>
    </w:p>
  </w:footnote>
  <w:footnote w:id="1916">
    <w:p w14:paraId="0CAC0B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 אין לומר בדרך זו ואצ״ל זו: ע׳ אילת השחר </w:t>
      </w:r>
      <w:proofErr w:type="spellStart"/>
      <w:r>
        <w:rPr>
          <w:sz w:val="20"/>
          <w:szCs w:val="20"/>
          <w:rtl/>
        </w:rPr>
        <w:t>להמלבי״ם</w:t>
      </w:r>
      <w:proofErr w:type="spellEnd"/>
      <w:r>
        <w:rPr>
          <w:sz w:val="20"/>
          <w:szCs w:val="20"/>
          <w:rtl/>
        </w:rPr>
        <w:t xml:space="preserve"> אות קצ״ט – ובפרט שבריש דבריו שם הזכיר </w:t>
      </w:r>
      <w:proofErr w:type="spellStart"/>
      <w:r>
        <w:rPr>
          <w:sz w:val="20"/>
          <w:szCs w:val="20"/>
          <w:rtl/>
        </w:rPr>
        <w:t>הנצי״ב</w:t>
      </w:r>
      <w:proofErr w:type="spellEnd"/>
      <w:r>
        <w:rPr>
          <w:sz w:val="20"/>
          <w:szCs w:val="20"/>
          <w:rtl/>
        </w:rPr>
        <w:t xml:space="preserve"> קודם את סגירת הישיבה ולאחר מכאן שנחלה בחולי אשר לא עמד ממנו עיי״ש.</w:t>
      </w:r>
    </w:p>
  </w:footnote>
  <w:footnote w:id="1917">
    <w:p w14:paraId="3F4C7C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418, המתאר את גישתו של אחד מגבאי הישיבה, ר׳ מרדכי </w:t>
      </w:r>
      <w:proofErr w:type="spellStart"/>
      <w:r>
        <w:rPr>
          <w:sz w:val="20"/>
          <w:szCs w:val="20"/>
          <w:rtl/>
        </w:rPr>
        <w:t>סולומונוב</w:t>
      </w:r>
      <w:proofErr w:type="spellEnd"/>
      <w:r>
        <w:rPr>
          <w:sz w:val="20"/>
          <w:szCs w:val="20"/>
          <w:rtl/>
        </w:rPr>
        <w:t>: אל להנהלת הישיבה לסגור אותה; עליה להיענות לצו הממשלה, שלפיו יש לקצץ את שעות לימוד התורה לשלוש, “ובאותו זמן לנצל את כל המאמצים והאמצעים לסכל את הצו, דבר שהיה אפשרי במיוחד ברוסיה הצארית”. הוא אף הבטיח לאסוף לשם כך סכום כסף ניכר. כוונתו הייתה לשחד את הפקידים הנוגעים בדבר.</w:t>
      </w:r>
    </w:p>
  </w:footnote>
  <w:footnote w:id="1918">
    <w:p w14:paraId="744C5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1919">
    <w:p w14:paraId="301AE8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148–149 ו־151–153.</w:t>
      </w:r>
    </w:p>
  </w:footnote>
  <w:footnote w:id="1920">
    <w:p w14:paraId="1361A4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321–323.</w:t>
      </w:r>
    </w:p>
  </w:footnote>
  <w:footnote w:id="1921">
    <w:p w14:paraId="23FC9D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1922">
    <w:p w14:paraId="2D22AF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4.2, הפסקה החמישית מן הסוף, כיצד נהגה כך ישיבת </w:t>
      </w:r>
      <w:proofErr w:type="spellStart"/>
      <w:r>
        <w:rPr>
          <w:sz w:val="20"/>
          <w:szCs w:val="20"/>
          <w:rtl/>
        </w:rPr>
        <w:t>טלז</w:t>
      </w:r>
      <w:proofErr w:type="spellEnd"/>
      <w:r>
        <w:rPr>
          <w:sz w:val="20"/>
          <w:szCs w:val="20"/>
          <w:rtl/>
        </w:rPr>
        <w:t xml:space="preserve"> </w:t>
      </w:r>
      <w:proofErr w:type="spellStart"/>
      <w:r>
        <w:rPr>
          <w:sz w:val="20"/>
          <w:szCs w:val="20"/>
          <w:rtl/>
        </w:rPr>
        <w:t>שלוש־עשרה</w:t>
      </w:r>
      <w:proofErr w:type="spellEnd"/>
      <w:r>
        <w:rPr>
          <w:sz w:val="20"/>
          <w:szCs w:val="20"/>
          <w:rtl/>
        </w:rPr>
        <w:t xml:space="preserve"> שנה אחר כך: היא סגרה את שעריה לזמן מוגבל, ולאחר מכן פתחה אותם לתלמידים נבחרים.</w:t>
      </w:r>
    </w:p>
  </w:footnote>
  <w:footnote w:id="1923">
    <w:p w14:paraId="26BD4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151.</w:t>
      </w:r>
    </w:p>
  </w:footnote>
  <w:footnote w:id="1924">
    <w:p w14:paraId="47750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פרקים 11–15 של “הראשון לשושלת </w:t>
      </w:r>
      <w:proofErr w:type="spellStart"/>
      <w:r>
        <w:rPr>
          <w:sz w:val="20"/>
          <w:szCs w:val="20"/>
          <w:rtl/>
        </w:rPr>
        <w:t>בריסק</w:t>
      </w:r>
      <w:proofErr w:type="spellEnd"/>
      <w:r>
        <w:rPr>
          <w:sz w:val="20"/>
          <w:szCs w:val="20"/>
          <w:rtl/>
        </w:rPr>
        <w:t>” מבררים עניין זה באופן יסודי.</w:t>
      </w:r>
    </w:p>
  </w:footnote>
  <w:footnote w:id="1925">
    <w:p w14:paraId="706F35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(הפסקה הראשונה של נספח ב לעיל), עמ׳ 57, מספר שר׳ חיים “סירב לשמוע על ההצעות לכהן ברבנות באחת הערים הגדולות הרבות שהוצעו לו, וחיפש [במקום זאת] משרה הולמת של ראש ישיבה במקום שאליו יוכל להעביר לפחות חלק מישיבת </w:t>
      </w:r>
      <w:proofErr w:type="spellStart"/>
      <w:r>
        <w:rPr>
          <w:sz w:val="20"/>
          <w:szCs w:val="20"/>
          <w:rtl/>
        </w:rPr>
        <w:t>וולוז׳ין</w:t>
      </w:r>
      <w:proofErr w:type="spellEnd"/>
      <w:r>
        <w:rPr>
          <w:sz w:val="20"/>
          <w:szCs w:val="20"/>
          <w:rtl/>
        </w:rPr>
        <w:t>”.</w:t>
      </w:r>
    </w:p>
  </w:footnote>
  <w:footnote w:id="1926">
    <w:p w14:paraId="75726B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603.</w:t>
      </w:r>
    </w:p>
  </w:footnote>
  <w:footnote w:id="1927">
    <w:p w14:paraId="419D7A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“כדי שלא להניח הנייר חלק”.</w:t>
      </w:r>
    </w:p>
  </w:footnote>
  <w:footnote w:id="1928">
    <w:p w14:paraId="518285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באי </w:t>
      </w:r>
      <w:proofErr w:type="spellStart"/>
      <w:r>
        <w:rPr>
          <w:sz w:val="20"/>
          <w:szCs w:val="20"/>
          <w:rtl/>
        </w:rPr>
        <w:t>ג׳רבה</w:t>
      </w:r>
      <w:proofErr w:type="spellEnd"/>
      <w:r>
        <w:rPr>
          <w:sz w:val="20"/>
          <w:szCs w:val="20"/>
          <w:rtl/>
        </w:rPr>
        <w:t xml:space="preserve"> </w:t>
      </w:r>
      <w:proofErr w:type="spellStart"/>
      <w:r>
        <w:rPr>
          <w:sz w:val="20"/>
          <w:szCs w:val="20"/>
          <w:rtl/>
        </w:rPr>
        <w:t>בתרע״ג</w:t>
      </w:r>
      <w:proofErr w:type="spellEnd"/>
      <w:r>
        <w:rPr>
          <w:sz w:val="20"/>
          <w:szCs w:val="20"/>
          <w:rtl/>
        </w:rPr>
        <w:t>.</w:t>
      </w:r>
    </w:p>
  </w:footnote>
  <w:footnote w:id="1929">
    <w:p w14:paraId="17366C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השנייה של נספח </w:t>
      </w:r>
      <w:proofErr w:type="spellStart"/>
      <w:r>
        <w:rPr>
          <w:sz w:val="20"/>
          <w:szCs w:val="20"/>
          <w:rtl/>
        </w:rPr>
        <w:t>יג</w:t>
      </w:r>
      <w:proofErr w:type="spellEnd"/>
      <w:r>
        <w:rPr>
          <w:sz w:val="20"/>
          <w:szCs w:val="20"/>
          <w:rtl/>
        </w:rPr>
        <w:t xml:space="preserve">, </w:t>
      </w:r>
      <w:proofErr w:type="spellStart"/>
      <w:r>
        <w:rPr>
          <w:sz w:val="20"/>
          <w:szCs w:val="20"/>
          <w:rtl/>
        </w:rPr>
        <w:t>שאוסטרהא</w:t>
      </w:r>
      <w:proofErr w:type="spellEnd"/>
      <w:r>
        <w:rPr>
          <w:sz w:val="20"/>
          <w:szCs w:val="20"/>
          <w:rtl/>
        </w:rPr>
        <w:t xml:space="preserve"> כינתה את עצמה עיר התורה מפני שישיבת </w:t>
      </w:r>
      <w:proofErr w:type="spellStart"/>
      <w:r>
        <w:rPr>
          <w:sz w:val="20"/>
          <w:szCs w:val="20"/>
          <w:rtl/>
        </w:rPr>
        <w:t>המהרש״א</w:t>
      </w:r>
      <w:proofErr w:type="spellEnd"/>
      <w:r>
        <w:rPr>
          <w:sz w:val="20"/>
          <w:szCs w:val="20"/>
          <w:rtl/>
        </w:rPr>
        <w:t xml:space="preserve"> שכנה בה מאות שנים קודם לכן. אבל </w:t>
      </w:r>
      <w:proofErr w:type="spellStart"/>
      <w:r>
        <w:rPr>
          <w:sz w:val="20"/>
          <w:szCs w:val="20"/>
          <w:rtl/>
        </w:rPr>
        <w:t>אוסטרהא</w:t>
      </w:r>
      <w:proofErr w:type="spellEnd"/>
      <w:r>
        <w:rPr>
          <w:sz w:val="20"/>
          <w:szCs w:val="20"/>
          <w:rtl/>
        </w:rPr>
        <w:t xml:space="preserve"> הייתה עיר גדולה, שהיו בה תלמידי חכמים רבים בכל הדורות, ותושביה ראו בתורה שבה שריד למרכז התורה המפואר </w:t>
      </w:r>
      <w:proofErr w:type="spellStart"/>
      <w:r>
        <w:rPr>
          <w:sz w:val="20"/>
          <w:szCs w:val="20"/>
          <w:rtl/>
        </w:rPr>
        <w:t>שהמהרש״א</w:t>
      </w:r>
      <w:proofErr w:type="spellEnd"/>
      <w:r>
        <w:rPr>
          <w:sz w:val="20"/>
          <w:szCs w:val="20"/>
          <w:rtl/>
        </w:rPr>
        <w:t xml:space="preserve"> עשה מעירם. לעומת זאת, אחרי סגירת ישיבת </w:t>
      </w:r>
      <w:proofErr w:type="spellStart"/>
      <w:r>
        <w:rPr>
          <w:sz w:val="20"/>
          <w:szCs w:val="20"/>
          <w:rtl/>
        </w:rPr>
        <w:t>וולוז׳ין</w:t>
      </w:r>
      <w:proofErr w:type="spellEnd"/>
      <w:r>
        <w:rPr>
          <w:sz w:val="20"/>
          <w:szCs w:val="20"/>
          <w:rtl/>
        </w:rPr>
        <w:t xml:space="preserve"> לא נותרו בעיירה לומדי תורה מלבד עשרת האברכים שבכולל של </w:t>
      </w:r>
      <w:proofErr w:type="spellStart"/>
      <w:r>
        <w:rPr>
          <w:sz w:val="20"/>
          <w:szCs w:val="20"/>
          <w:rtl/>
        </w:rPr>
        <w:t>ברודסקי</w:t>
      </w:r>
      <w:proofErr w:type="spellEnd"/>
      <w:r>
        <w:rPr>
          <w:sz w:val="20"/>
          <w:szCs w:val="20"/>
          <w:rtl/>
        </w:rPr>
        <w:t xml:space="preserve"> (השווה פרק 5, תחילת הפסקה הרביעית של נספח ו), ולא היה יסוד להמשיך ולטעון למעמד נכבד זה – אלא אם כן התגבשו תוכניות לפתוח את הישיבה מחדש.</w:t>
      </w:r>
    </w:p>
  </w:footnote>
  <w:footnote w:id="1930">
    <w:p w14:paraId="1DDC41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העשרים וחמש של נספח א – עמ׳ 142.</w:t>
      </w:r>
    </w:p>
  </w:footnote>
  <w:footnote w:id="1931">
    <w:p w14:paraId="25C42B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כט</w:t>
      </w:r>
      <w:proofErr w:type="spellEnd"/>
      <w:r>
        <w:rPr>
          <w:sz w:val="20"/>
          <w:szCs w:val="20"/>
          <w:rtl/>
        </w:rPr>
        <w:t xml:space="preserve"> ע״א.</w:t>
      </w:r>
    </w:p>
  </w:footnote>
  <w:footnote w:id="1932">
    <w:p w14:paraId="71D71F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שאביו כבר השווה את סגירת הישיבה לחורבן ירושלים.</w:t>
      </w:r>
    </w:p>
  </w:footnote>
  <w:footnote w:id="1933">
    <w:p w14:paraId="64CF6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50–51.</w:t>
      </w:r>
    </w:p>
  </w:footnote>
  <w:footnote w:id="1934">
    <w:p w14:paraId="02A6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תחילת נספח </w:t>
      </w:r>
      <w:proofErr w:type="spellStart"/>
      <w:r>
        <w:rPr>
          <w:sz w:val="20"/>
          <w:szCs w:val="20"/>
          <w:rtl/>
        </w:rPr>
        <w:t>יח</w:t>
      </w:r>
      <w:proofErr w:type="spellEnd"/>
      <w:r>
        <w:rPr>
          <w:sz w:val="20"/>
          <w:szCs w:val="20"/>
          <w:rtl/>
        </w:rPr>
        <w:t xml:space="preserve"> להלן.</w:t>
      </w:r>
    </w:p>
  </w:footnote>
  <w:footnote w:id="1935">
    <w:p w14:paraId="59097D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במרץ 1997.</w:t>
      </w:r>
    </w:p>
  </w:footnote>
  <w:footnote w:id="1936">
    <w:p w14:paraId="5C12A7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סוף נספח ו, מתי בדיוק נפתחה מחדש.</w:t>
      </w:r>
    </w:p>
  </w:footnote>
  <w:footnote w:id="1937">
    <w:p w14:paraId="52A40C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שר׳ משה היה מצד </w:t>
      </w:r>
      <w:proofErr w:type="spellStart"/>
      <w:r>
        <w:rPr>
          <w:sz w:val="20"/>
          <w:szCs w:val="20"/>
          <w:rtl/>
        </w:rPr>
        <w:t>אמו</w:t>
      </w:r>
      <w:proofErr w:type="spellEnd"/>
      <w:r>
        <w:rPr>
          <w:sz w:val="20"/>
          <w:szCs w:val="20"/>
          <w:rtl/>
        </w:rPr>
        <w:t xml:space="preserve"> גם מצאצאי </w:t>
      </w:r>
      <w:proofErr w:type="spellStart"/>
      <w:r>
        <w:rPr>
          <w:sz w:val="20"/>
          <w:szCs w:val="20"/>
          <w:rtl/>
        </w:rPr>
        <w:t>הנצי״ב</w:t>
      </w:r>
      <w:proofErr w:type="spellEnd"/>
      <w:r>
        <w:rPr>
          <w:sz w:val="20"/>
          <w:szCs w:val="20"/>
          <w:rtl/>
        </w:rPr>
        <w:t xml:space="preserve">, ראו צאצאיו של ר׳ חיים </w:t>
      </w:r>
      <w:proofErr w:type="spellStart"/>
      <w:r>
        <w:rPr>
          <w:sz w:val="20"/>
          <w:szCs w:val="20"/>
          <w:rtl/>
        </w:rPr>
        <w:t>סולובייצ׳יק</w:t>
      </w:r>
      <w:proofErr w:type="spellEnd"/>
      <w:r>
        <w:rPr>
          <w:sz w:val="20"/>
          <w:szCs w:val="20"/>
          <w:rtl/>
        </w:rPr>
        <w:t xml:space="preserve"> את עצמם כבני שושלת אחרת.</w:t>
      </w:r>
    </w:p>
  </w:footnote>
  <w:footnote w:id="1938">
    <w:p w14:paraId="7A7A3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“מורשת </w:t>
      </w:r>
      <w:proofErr w:type="spellStart"/>
      <w:r>
        <w:rPr>
          <w:sz w:val="20"/>
          <w:szCs w:val="20"/>
          <w:rtl/>
        </w:rPr>
        <w:t>סולובייצ׳יק</w:t>
      </w:r>
      <w:proofErr w:type="spellEnd"/>
      <w:r>
        <w:rPr>
          <w:sz w:val="20"/>
          <w:szCs w:val="20"/>
          <w:rtl/>
        </w:rPr>
        <w:t>”, עמ׳ 190.</w:t>
      </w:r>
    </w:p>
  </w:footnote>
  <w:footnote w:id="1939">
    <w:p w14:paraId="3DE0F5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363.</w:t>
      </w:r>
    </w:p>
  </w:footnote>
  <w:footnote w:id="1940">
    <w:p w14:paraId="7A3AB7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49.</w:t>
      </w:r>
    </w:p>
  </w:footnote>
  <w:footnote w:id="1941">
    <w:p w14:paraId="399286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כ״ה בתשרי תרמ״ד.</w:t>
      </w:r>
    </w:p>
  </w:footnote>
  <w:footnote w:id="1942">
    <w:p w14:paraId="454482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וולוז׳ין</w:t>
      </w:r>
      <w:proofErr w:type="spellEnd"/>
      <w:r>
        <w:rPr>
          <w:sz w:val="20"/>
          <w:szCs w:val="20"/>
          <w:rtl/>
        </w:rPr>
        <w:t xml:space="preserve"> – ספרה של העיר ושל ישיבת עץ חיים”, עמ׳ 215–216.</w:t>
      </w:r>
    </w:p>
  </w:footnote>
  <w:footnote w:id="1943">
    <w:p w14:paraId="705B77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“ספר </w:t>
      </w:r>
      <w:proofErr w:type="spellStart"/>
      <w:r>
        <w:rPr>
          <w:sz w:val="20"/>
          <w:szCs w:val="20"/>
          <w:rtl/>
        </w:rPr>
        <w:t>קוברין</w:t>
      </w:r>
      <w:proofErr w:type="spellEnd"/>
      <w:r>
        <w:rPr>
          <w:sz w:val="20"/>
          <w:szCs w:val="20"/>
          <w:rtl/>
        </w:rPr>
        <w:t xml:space="preserve"> – מגילת חיים וחרבן” (תל אביב, תשי״א) (להלן: “ספר </w:t>
      </w:r>
      <w:proofErr w:type="spellStart"/>
      <w:r>
        <w:rPr>
          <w:sz w:val="20"/>
          <w:szCs w:val="20"/>
          <w:rtl/>
        </w:rPr>
        <w:t>קוברין</w:t>
      </w:r>
      <w:proofErr w:type="spellEnd"/>
      <w:r>
        <w:rPr>
          <w:sz w:val="20"/>
          <w:szCs w:val="20"/>
          <w:rtl/>
        </w:rPr>
        <w:t>”), עמ׳ 42–44.</w:t>
      </w:r>
    </w:p>
  </w:footnote>
  <w:footnote w:id="1944">
    <w:p w14:paraId="7FF3E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מזריטש</w:t>
      </w:r>
      <w:proofErr w:type="spellEnd"/>
      <w:r>
        <w:rPr>
          <w:sz w:val="20"/>
          <w:szCs w:val="20"/>
          <w:rtl/>
        </w:rPr>
        <w:t xml:space="preserve"> זו נמצאת </w:t>
      </w:r>
      <w:proofErr w:type="spellStart"/>
      <w:r>
        <w:rPr>
          <w:sz w:val="20"/>
          <w:szCs w:val="20"/>
          <w:rtl/>
        </w:rPr>
        <w:t>בפודוליה</w:t>
      </w:r>
      <w:proofErr w:type="spellEnd"/>
      <w:r>
        <w:rPr>
          <w:sz w:val="20"/>
          <w:szCs w:val="20"/>
          <w:rtl/>
        </w:rPr>
        <w:t xml:space="preserve">, ולא </w:t>
      </w:r>
      <w:proofErr w:type="spellStart"/>
      <w:r>
        <w:rPr>
          <w:sz w:val="20"/>
          <w:szCs w:val="20"/>
          <w:rtl/>
        </w:rPr>
        <w:t>בווהלין</w:t>
      </w:r>
      <w:proofErr w:type="spellEnd"/>
      <w:r>
        <w:rPr>
          <w:sz w:val="20"/>
          <w:szCs w:val="20"/>
          <w:rtl/>
        </w:rPr>
        <w:t xml:space="preserve"> (שבה הנהיג ר׳ </w:t>
      </w:r>
      <w:proofErr w:type="spellStart"/>
      <w:r>
        <w:rPr>
          <w:sz w:val="20"/>
          <w:szCs w:val="20"/>
          <w:rtl/>
        </w:rPr>
        <w:t>דוב־בער</w:t>
      </w:r>
      <w:proofErr w:type="spellEnd"/>
      <w:r>
        <w:rPr>
          <w:sz w:val="20"/>
          <w:szCs w:val="20"/>
          <w:rtl/>
        </w:rPr>
        <w:t xml:space="preserve">, תלמידו הבכיר של </w:t>
      </w:r>
      <w:proofErr w:type="spellStart"/>
      <w:r>
        <w:rPr>
          <w:sz w:val="20"/>
          <w:szCs w:val="20"/>
          <w:rtl/>
        </w:rPr>
        <w:t>הבעש״ט</w:t>
      </w:r>
      <w:proofErr w:type="spellEnd"/>
      <w:r>
        <w:rPr>
          <w:sz w:val="20"/>
          <w:szCs w:val="20"/>
          <w:rtl/>
        </w:rPr>
        <w:t>, את עדתו).</w:t>
      </w:r>
    </w:p>
  </w:footnote>
  <w:footnote w:id="1945">
    <w:p w14:paraId="4A7EB495" w14:textId="77777777" w:rsidR="00AB3647" w:rsidRDefault="00000000">
      <w:pPr>
        <w:spacing w:after="0" w:before="0"/>
        <w:jc w:val="both"/>
      </w:pPr>
      <w:r>
        <w:rPr>
          <w:rStyle w:val="a5"/>
          <w:vertAlign w:val="superscript"/>
          <w:rtl/>
        </w:rPr>
        <w:t>*</w:t>
      </w:r>
      <w:r>
        <w:rPr>
          <w:sz w:val="20"/>
          <w:szCs w:val="20"/>
        </w:rPr>
        <w:t xml:space="preserve"> </w:t>
      </w:r>
      <w:r>
        <w:rPr>
          <w:rStyle w:val="a5"/>
          <w:sz w:val="20"/>
          <w:szCs w:val="20"/>
          <w:vertAlign w:val="baseline"/>
          <w:rtl/>
        </w:rPr>
        <w:t/>
      </w:r>
      <w:r>
        <w:rPr>
          <w:sz w:val="20"/>
          <w:szCs w:val="20"/>
          <w:rtl/>
        </w:rPr>
        <w:t xml:space="preserve"/>
      </w:r>
      <w:r>
        <w:rPr>
          <w:b/>
          <w:sz w:val="20"/>
          <w:szCs w:val="20"/>
          <w:rtl/>
        </w:rPr>
        <w:t xml:space="preserve">הערת המתרגם: </w:t>
      </w:r>
      <w:proofErr w:type="spellStart"/>
      <w:r>
        <w:rPr>
          <w:sz w:val="20"/>
          <w:szCs w:val="20"/>
          <w:rtl/>
        </w:rPr>
        <w:t>מזריטש</w:t>
      </w:r>
      <w:proofErr w:type="spellEnd"/>
      <w:r>
        <w:rPr>
          <w:sz w:val="20"/>
          <w:szCs w:val="20"/>
          <w:rtl/>
        </w:rPr>
        <w:t xml:space="preserve"> זו היא </w:t>
      </w:r>
      <w:proofErr w:type="spellStart"/>
      <w:r>
        <w:rPr>
          <w:sz w:val="20"/>
          <w:szCs w:val="20"/>
          <w:rtl/>
        </w:rPr>
        <w:t>מז׳יז׳ץ</w:t>
      </w:r>
      <w:proofErr w:type="spellEnd"/>
      <w:r>
        <w:rPr>
          <w:sz w:val="20"/>
          <w:szCs w:val="20"/>
          <w:rtl/>
        </w:rPr>
        <w:t xml:space="preserve">׳ </w:t>
      </w:r>
      <w:proofErr w:type="spellStart"/>
      <w:r>
        <w:rPr>
          <w:sz w:val="20"/>
          <w:szCs w:val="20"/>
          <w:rtl/>
        </w:rPr>
        <w:t>פודלסקי</w:t>
      </w:r>
      <w:proofErr w:type="spellEnd"/>
      <w:r>
        <w:rPr>
          <w:sz w:val="20"/>
          <w:szCs w:val="20"/>
          <w:rtl/>
        </w:rPr>
        <w:t xml:space="preserve"> (</w:t>
      </w:r>
      <w:proofErr w:type="spellStart"/>
      <w:r>
        <w:rPr>
          <w:sz w:val="20"/>
          <w:szCs w:val="20"/>
          <w:rtl/>
        </w:rPr>
        <w:t>Międzyrzec</w:t>
      </w:r>
      <w:proofErr w:type="spellEnd"/>
      <w:r>
        <w:rPr>
          <w:sz w:val="20"/>
          <w:szCs w:val="20"/>
          <w:rtl/>
        </w:rPr>
        <w:t xml:space="preserve"> </w:t>
      </w:r>
      <w:proofErr w:type="spellStart"/>
      <w:r>
        <w:rPr>
          <w:sz w:val="20"/>
          <w:szCs w:val="20"/>
          <w:rtl/>
        </w:rPr>
        <w:t>Podlaski</w:t>
      </w:r>
      <w:proofErr w:type="spellEnd"/>
      <w:r>
        <w:rPr>
          <w:sz w:val="20"/>
          <w:szCs w:val="20"/>
          <w:rtl/>
        </w:rPr>
        <w:t xml:space="preserve">), באזור </w:t>
      </w:r>
      <w:proofErr w:type="spellStart"/>
      <w:r>
        <w:rPr>
          <w:sz w:val="20"/>
          <w:szCs w:val="20"/>
          <w:rtl/>
        </w:rPr>
        <w:t>פודלאסיה</w:t>
      </w:r>
      <w:proofErr w:type="spellEnd"/>
      <w:r>
        <w:rPr>
          <w:sz w:val="20"/>
          <w:szCs w:val="20"/>
          <w:rtl/>
        </w:rPr>
        <w:t xml:space="preserve"> שבפולין, כ־20 ק״מ ממערב </w:t>
      </w:r>
      <w:proofErr w:type="spellStart"/>
      <w:r>
        <w:rPr>
          <w:sz w:val="20"/>
          <w:szCs w:val="20"/>
          <w:rtl/>
        </w:rPr>
        <w:t>לביאלה</w:t>
      </w:r>
      <w:proofErr w:type="spellEnd"/>
      <w:r>
        <w:rPr>
          <w:sz w:val="20"/>
          <w:szCs w:val="20"/>
          <w:rtl/>
        </w:rPr>
        <w:t xml:space="preserve"> </w:t>
      </w:r>
      <w:proofErr w:type="spellStart"/>
      <w:r>
        <w:rPr>
          <w:sz w:val="20"/>
          <w:szCs w:val="20"/>
          <w:rtl/>
        </w:rPr>
        <w:t>פודלסקה</w:t>
      </w:r>
      <w:proofErr w:type="spellEnd"/>
      <w:r>
        <w:rPr>
          <w:sz w:val="20"/>
          <w:szCs w:val="20"/>
          <w:rtl/>
        </w:rPr>
        <w:t xml:space="preserve">, ואינה </w:t>
      </w:r>
      <w:proofErr w:type="spellStart"/>
      <w:r>
        <w:rPr>
          <w:sz w:val="20"/>
          <w:szCs w:val="20"/>
          <w:rtl/>
        </w:rPr>
        <w:t>בפודוליה</w:t>
      </w:r>
      <w:proofErr w:type="spellEnd"/>
      <w:r>
        <w:rPr>
          <w:sz w:val="20"/>
          <w:szCs w:val="20"/>
          <w:rtl/>
        </w:rPr>
        <w:t xml:space="preserve"> שבאוקראינה.</w:t>
      </w:r>
    </w:p>
  </w:footnote>
  <w:footnote w:id="1946">
    <w:p w14:paraId="79E297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לבלבלו עם גיסו של ר׳ חיים </w:t>
      </w:r>
      <w:proofErr w:type="spellStart"/>
      <w:r>
        <w:rPr>
          <w:sz w:val="20"/>
          <w:szCs w:val="20"/>
          <w:rtl/>
        </w:rPr>
        <w:t>סולובייצ׳יק</w:t>
      </w:r>
      <w:proofErr w:type="spellEnd"/>
      <w:r>
        <w:rPr>
          <w:sz w:val="20"/>
          <w:szCs w:val="20"/>
          <w:rtl/>
        </w:rPr>
        <w:t xml:space="preserve">, שהיה רק בן שמונה כשנפטר רבה של </w:t>
      </w:r>
      <w:proofErr w:type="spellStart"/>
      <w:r>
        <w:rPr>
          <w:sz w:val="20"/>
          <w:szCs w:val="20"/>
          <w:rtl/>
        </w:rPr>
        <w:t>מזריטש</w:t>
      </w:r>
      <w:proofErr w:type="spellEnd"/>
      <w:r>
        <w:rPr>
          <w:sz w:val="20"/>
          <w:szCs w:val="20"/>
          <w:rtl/>
        </w:rPr>
        <w:t>, בעל אותו השם.</w:t>
      </w:r>
    </w:p>
  </w:footnote>
  <w:footnote w:id="1947">
    <w:p w14:paraId="04CFDF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426–428.</w:t>
      </w:r>
    </w:p>
  </w:footnote>
  <w:footnote w:id="1948">
    <w:p w14:paraId="35C63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כתב בהסכמתו לספר “רב פעלים” (עשהו ר׳ אברהם בן </w:t>
      </w:r>
      <w:proofErr w:type="spellStart"/>
      <w:r>
        <w:rPr>
          <w:sz w:val="20"/>
          <w:szCs w:val="20"/>
          <w:rtl/>
        </w:rPr>
        <w:t>הגר״א</w:t>
      </w:r>
      <w:proofErr w:type="spellEnd"/>
      <w:r>
        <w:rPr>
          <w:sz w:val="20"/>
          <w:szCs w:val="20"/>
          <w:rtl/>
        </w:rPr>
        <w:t xml:space="preserve">), שנדפס עם הערות ר׳ </w:t>
      </w:r>
      <w:proofErr w:type="spellStart"/>
      <w:r>
        <w:rPr>
          <w:sz w:val="20"/>
          <w:szCs w:val="20"/>
          <w:rtl/>
        </w:rPr>
        <w:t>שמעון־משה</w:t>
      </w:r>
      <w:proofErr w:type="spellEnd"/>
      <w:r>
        <w:rPr>
          <w:sz w:val="20"/>
          <w:szCs w:val="20"/>
          <w:rtl/>
        </w:rPr>
        <w:t xml:space="preserve"> </w:t>
      </w:r>
      <w:proofErr w:type="spellStart"/>
      <w:r>
        <w:rPr>
          <w:sz w:val="20"/>
          <w:szCs w:val="20"/>
          <w:rtl/>
        </w:rPr>
        <w:t>חונס</w:t>
      </w:r>
      <w:proofErr w:type="spellEnd"/>
      <w:r>
        <w:rPr>
          <w:sz w:val="20"/>
          <w:szCs w:val="20"/>
          <w:rtl/>
        </w:rPr>
        <w:t xml:space="preserve">, </w:t>
      </w:r>
      <w:proofErr w:type="spellStart"/>
      <w:r>
        <w:rPr>
          <w:sz w:val="20"/>
          <w:szCs w:val="20"/>
          <w:rtl/>
        </w:rPr>
        <w:t>ווארשא</w:t>
      </w:r>
      <w:proofErr w:type="spellEnd"/>
      <w:r>
        <w:rPr>
          <w:sz w:val="20"/>
          <w:szCs w:val="20"/>
          <w:rtl/>
        </w:rPr>
        <w:t>, תרנ״ד.</w:t>
      </w:r>
    </w:p>
  </w:footnote>
  <w:footnote w:id="1949">
    <w:p w14:paraId="0FE9C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בידי “המרכז </w:t>
      </w:r>
      <w:proofErr w:type="spellStart"/>
      <w:r>
        <w:rPr>
          <w:sz w:val="20"/>
          <w:szCs w:val="20"/>
          <w:rtl/>
        </w:rPr>
        <w:t>המעזריטשאי</w:t>
      </w:r>
      <w:proofErr w:type="spellEnd"/>
      <w:r>
        <w:rPr>
          <w:sz w:val="20"/>
          <w:szCs w:val="20"/>
          <w:rtl/>
        </w:rPr>
        <w:t xml:space="preserve">” בישראל </w:t>
      </w:r>
      <w:proofErr w:type="spellStart"/>
      <w:r>
        <w:rPr>
          <w:sz w:val="20"/>
          <w:szCs w:val="20"/>
          <w:rtl/>
        </w:rPr>
        <w:t>וכו</w:t>
      </w:r>
      <w:proofErr w:type="spellEnd"/>
      <w:r>
        <w:rPr>
          <w:sz w:val="20"/>
          <w:szCs w:val="20"/>
          <w:rtl/>
        </w:rPr>
        <w:t xml:space="preserve">׳, תש״ח, ישראל (להלן: “ספר </w:t>
      </w:r>
      <w:proofErr w:type="spellStart"/>
      <w:r>
        <w:rPr>
          <w:sz w:val="20"/>
          <w:szCs w:val="20"/>
          <w:rtl/>
        </w:rPr>
        <w:t>מזריטש</w:t>
      </w:r>
      <w:proofErr w:type="spellEnd"/>
      <w:r>
        <w:rPr>
          <w:sz w:val="20"/>
          <w:szCs w:val="20"/>
          <w:rtl/>
        </w:rPr>
        <w:t>”) – עמ׳ 439–442 (מצוטט בחלקו בפרק 5, נספח י להלן).</w:t>
      </w:r>
    </w:p>
  </w:footnote>
  <w:footnote w:id="1950">
    <w:p w14:paraId="16032600"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השרפה הגדולה </w:t>
      </w:r>
      <w:proofErr w:type="spellStart"/>
      <w:r>
        <w:rPr>
          <w:sz w:val="20"/>
          <w:szCs w:val="20"/>
          <w:rtl/>
        </w:rPr>
        <w:t>בקוברין</w:t>
      </w:r>
      <w:proofErr w:type="spellEnd"/>
      <w:r>
        <w:rPr>
          <w:sz w:val="20"/>
          <w:szCs w:val="20"/>
          <w:rtl/>
        </w:rPr>
        <w:t xml:space="preserve"> פרצה בכ״ג באייר תרנ״ה, יום אחרי השרפה </w:t>
      </w:r>
      <w:proofErr w:type="spellStart"/>
      <w:r>
        <w:rPr>
          <w:sz w:val="20"/>
          <w:szCs w:val="20"/>
          <w:rtl/>
        </w:rPr>
        <w:t>בבריסק</w:t>
      </w:r>
      <w:proofErr w:type="spellEnd"/>
      <w:r>
        <w:rPr>
          <w:sz w:val="20"/>
          <w:szCs w:val="20"/>
          <w:rtl/>
        </w:rPr>
        <w:t>.</w:t>
      </w:r>
    </w:p>
  </w:footnote>
  <w:footnote w:id="1951">
    <w:p w14:paraId="11D583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א.</w:t>
      </w:r>
    </w:p>
  </w:footnote>
  <w:footnote w:id="1952">
    <w:p w14:paraId="471154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 בתמוז תרנ״ה.</w:t>
      </w:r>
    </w:p>
  </w:footnote>
  <w:footnote w:id="1953">
    <w:p w14:paraId="7EDAF7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(נספח ב לעיל), עמ׳ רעד והערה 69.</w:t>
      </w:r>
    </w:p>
  </w:footnote>
  <w:footnote w:id="1954">
    <w:p w14:paraId="3150A7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לאחר המהפכה הקומוניסטית הוחלף שם העיר </w:t>
      </w:r>
      <w:proofErr w:type="spellStart"/>
      <w:r>
        <w:rPr>
          <w:sz w:val="20"/>
          <w:szCs w:val="20"/>
          <w:rtl/>
        </w:rPr>
        <w:t>לקירובוגרד</w:t>
      </w:r>
      <w:proofErr w:type="spellEnd"/>
      <w:r>
        <w:rPr>
          <w:sz w:val="20"/>
          <w:szCs w:val="20"/>
          <w:rtl/>
        </w:rPr>
        <w:t>, על שם מהפכן רוסי.</w:t>
      </w:r>
    </w:p>
  </w:footnote>
  <w:footnote w:id="1955">
    <w:p w14:paraId="7E2C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50.</w:t>
      </w:r>
    </w:p>
  </w:footnote>
  <w:footnote w:id="1956">
    <w:p w14:paraId="166CC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44–45.</w:t>
      </w:r>
    </w:p>
  </w:footnote>
  <w:footnote w:id="1957">
    <w:p w14:paraId="25FDF201"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יהונתן </w:t>
      </w:r>
      <w:proofErr w:type="spellStart"/>
      <w:r>
        <w:rPr>
          <w:sz w:val="20"/>
          <w:szCs w:val="20"/>
          <w:rtl/>
        </w:rPr>
        <w:t>אליאסברג</w:t>
      </w:r>
      <w:proofErr w:type="spellEnd"/>
      <w:r>
        <w:rPr>
          <w:sz w:val="20"/>
          <w:szCs w:val="20"/>
          <w:rtl/>
        </w:rPr>
        <w:t xml:space="preserve"> נפטר בשנת תרנ״ט.</w:t>
      </w:r>
    </w:p>
  </w:footnote>
  <w:footnote w:id="1958">
    <w:p w14:paraId="663BFA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של נספח יד להלן.</w:t>
      </w:r>
    </w:p>
  </w:footnote>
  <w:footnote w:id="1959">
    <w:p w14:paraId="376B0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בהתאמה,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כרך 1, עמ׳ 120–121, ותיאורו של ר׳ </w:t>
      </w:r>
      <w:proofErr w:type="spellStart"/>
      <w:r>
        <w:rPr>
          <w:sz w:val="20"/>
          <w:szCs w:val="20"/>
          <w:rtl/>
        </w:rPr>
        <w:t>איסר־זלמן</w:t>
      </w:r>
      <w:proofErr w:type="spellEnd"/>
      <w:r>
        <w:rPr>
          <w:sz w:val="20"/>
          <w:szCs w:val="20"/>
          <w:rtl/>
        </w:rPr>
        <w:t xml:space="preserve"> שהובא לעיל.</w:t>
      </w:r>
    </w:p>
  </w:footnote>
  <w:footnote w:id="1960">
    <w:p w14:paraId="1FD741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61">
    <w:p w14:paraId="1FEB90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בעמ׳ 112.</w:t>
      </w:r>
    </w:p>
  </w:footnote>
  <w:footnote w:id="1962">
    <w:p w14:paraId="2B1600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1963">
    <w:p w14:paraId="0613FD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מאמר </w:t>
      </w:r>
      <w:proofErr w:type="spellStart"/>
      <w:r>
        <w:rPr>
          <w:sz w:val="20"/>
          <w:szCs w:val="20"/>
          <w:rtl/>
        </w:rPr>
        <w:t>טז</w:t>
      </w:r>
      <w:proofErr w:type="spellEnd"/>
      <w:r>
        <w:rPr>
          <w:sz w:val="20"/>
          <w:szCs w:val="20"/>
          <w:rtl/>
        </w:rPr>
        <w:t>, עמ׳ 159–165.</w:t>
      </w:r>
    </w:p>
  </w:footnote>
  <w:footnote w:id="1964">
    <w:p w14:paraId="47FB7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156–165.</w:t>
      </w:r>
    </w:p>
  </w:footnote>
  <w:footnote w:id="1965">
    <w:p w14:paraId="631C40FD"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התאריכים הלועזיים שבמקור אינם תואמים לתאריכים העבריים של שני המכתבים. 25 בפברואר 1909 חל ביום חמישי, ד׳ באדר תרס״ט. ערב שבת פרשת תרומה תרס״ט חל ב־19 בפברואר 1909 (כ״ח בשבט).</w:t>
      </w:r>
    </w:p>
    <w:p w14:paraId="4DF62697" w14:textId="77777777" w:rsidR="00AB3647" w:rsidRDefault="00000000">
      <w:pPr>
        <w:spacing w:after="0" w:before="0"/>
        <w:jc w:val="both"/>
      </w:pPr>
      <w:r>
        <w:rPr>
          <w:b/>
          <w:sz w:val="20"/>
          <w:szCs w:val="20"/>
          <w:rtl/>
        </w:rPr>
        <w:t xml:space="preserve">אשר למכתב השני: </w:t>
      </w:r>
      <w:r>
        <w:rPr>
          <w:sz w:val="20"/>
          <w:szCs w:val="20"/>
          <w:rtl/>
        </w:rPr>
        <w:t>ט׳ באדר תרס״ט חל ב־2 במרץ 1909; ה־16 במרץ 1909 הוא כ״ג באדר.</w:t>
      </w:r>
    </w:p>
  </w:footnote>
  <w:footnote w:id="1966">
    <w:p w14:paraId="1539BD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בהוצאת “לחושבי שמו”, בני ברק, תשנ״ו (להלן: “קובץ מכתבים”) – עמ׳ ע–</w:t>
      </w:r>
      <w:proofErr w:type="spellStart"/>
      <w:r>
        <w:rPr>
          <w:sz w:val="20"/>
          <w:szCs w:val="20"/>
          <w:rtl/>
        </w:rPr>
        <w:t>עא</w:t>
      </w:r>
      <w:proofErr w:type="spellEnd"/>
      <w:r>
        <w:rPr>
          <w:sz w:val="20"/>
          <w:szCs w:val="20"/>
          <w:rtl/>
        </w:rPr>
        <w:t>.</w:t>
      </w:r>
    </w:p>
  </w:footnote>
  <w:footnote w:id="1967">
    <w:p w14:paraId="06E895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הבא.</w:t>
      </w:r>
    </w:p>
  </w:footnote>
  <w:footnote w:id="1968">
    <w:p w14:paraId="23C6FC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טז</w:t>
      </w:r>
      <w:proofErr w:type="spellEnd"/>
      <w:r>
        <w:rPr>
          <w:sz w:val="20"/>
          <w:szCs w:val="20"/>
          <w:rtl/>
        </w:rPr>
        <w:t xml:space="preserve"> להלן, על סלידתם של אנשי המוסר מר׳ יעקב הלוי.</w:t>
      </w:r>
    </w:p>
  </w:footnote>
  <w:footnote w:id="1969">
    <w:p w14:paraId="23DC90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1970">
    <w:p w14:paraId="5FAAC9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נכדו של ר׳ חיים,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חזר על הדברים באוזני הנכד האמור של ר׳ יעקב הלוי ליפשיץ.</w:t>
      </w:r>
    </w:p>
  </w:footnote>
  <w:footnote w:id="1971">
    <w:p w14:paraId="35EF0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להלן.</w:t>
      </w:r>
    </w:p>
  </w:footnote>
  <w:footnote w:id="1972">
    <w:p w14:paraId="2F0184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“ערוך ומסודר” בידי הרב ד״ר אשר רייכל, בהוצאת מוסד הרב קוק, ירושלים, תשל״ב.</w:t>
      </w:r>
    </w:p>
  </w:footnote>
  <w:footnote w:id="1973">
    <w:p w14:paraId="68370D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צו – עמ׳ 165–166.</w:t>
      </w:r>
    </w:p>
  </w:footnote>
  <w:footnote w:id="1974">
    <w:p w14:paraId="232012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5, הערה 78, כיצד העריכו אנשי ר׳ חיים עצמם את חשיבות השתתפותו </w:t>
      </w:r>
      <w:proofErr w:type="spellStart"/>
      <w:r>
        <w:rPr>
          <w:sz w:val="20"/>
          <w:szCs w:val="20"/>
          <w:rtl/>
        </w:rPr>
        <w:t>באסיפות</w:t>
      </w:r>
      <w:proofErr w:type="spellEnd"/>
      <w:r>
        <w:rPr>
          <w:sz w:val="20"/>
          <w:szCs w:val="20"/>
          <w:rtl/>
        </w:rPr>
        <w:t xml:space="preserve"> מעין אלה.</w:t>
      </w:r>
    </w:p>
  </w:footnote>
  <w:footnote w:id="1975">
    <w:p w14:paraId="207E1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ג, עמ׳ 132.</w:t>
      </w:r>
    </w:p>
  </w:footnote>
  <w:footnote w:id="1976">
    <w:p w14:paraId="20C35E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דבר זה מחזק את הטענה שבפרק 4, הפסקה החמישית של נספח ט, שר׳ חיים כנראה קרא את “המליץ”. סביר שביקש לראות במקורם את המאמרים שתקף ר׳ יעקב הלוי ליפשיץ, כדי להעריך ביתר דיוק את תוקף טענותיו.</w:t>
      </w:r>
    </w:p>
  </w:footnote>
  <w:footnote w:id="1977">
    <w:p w14:paraId="0202A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בפברואר 1997.</w:t>
      </w:r>
    </w:p>
  </w:footnote>
  <w:footnote w:id="1978">
    <w:p w14:paraId="3BA5D3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1979">
    <w:p w14:paraId="63B6E5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0">
    <w:p w14:paraId="7A7D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מובא שם, בעמ׳ </w:t>
      </w:r>
      <w:proofErr w:type="spellStart"/>
      <w:r>
        <w:rPr>
          <w:sz w:val="20"/>
          <w:szCs w:val="20"/>
          <w:rtl/>
        </w:rPr>
        <w:t>xxiv</w:t>
      </w:r>
      <w:proofErr w:type="spellEnd"/>
      <w:r>
        <w:rPr>
          <w:sz w:val="20"/>
          <w:szCs w:val="20"/>
          <w:rtl/>
        </w:rPr>
        <w:t>–</w:t>
      </w:r>
      <w:proofErr w:type="spellStart"/>
      <w:r>
        <w:rPr>
          <w:sz w:val="20"/>
          <w:szCs w:val="20"/>
          <w:rtl/>
        </w:rPr>
        <w:t>xxv</w:t>
      </w:r>
      <w:proofErr w:type="spellEnd"/>
      <w:r>
        <w:rPr>
          <w:sz w:val="20"/>
          <w:szCs w:val="20"/>
          <w:rtl/>
        </w:rPr>
        <w:t xml:space="preserve"> של כרך א.</w:t>
      </w:r>
    </w:p>
  </w:footnote>
  <w:footnote w:id="1981">
    <w:p w14:paraId="4CF700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הנזכר בכרך ב (וכן בפרק 2 של כרך א).</w:t>
      </w:r>
    </w:p>
  </w:footnote>
  <w:footnote w:id="1982">
    <w:p w14:paraId="3ACE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בפרק שבכרך ב, עמ׳ 50–51.</w:t>
      </w:r>
    </w:p>
  </w:footnote>
  <w:footnote w:id="1983">
    <w:p w14:paraId="2FC8E4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בפרק 2.3, והפסקה העשרים וארבע של נספח א באותו פרק.</w:t>
      </w:r>
    </w:p>
  </w:footnote>
  <w:footnote w:id="1984">
    <w:p w14:paraId="48EBC7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ירמיה </w:t>
      </w:r>
      <w:proofErr w:type="spellStart"/>
      <w:r>
        <w:rPr>
          <w:sz w:val="20"/>
          <w:szCs w:val="20"/>
          <w:rtl/>
        </w:rPr>
        <w:t>יב</w:t>
      </w:r>
      <w:proofErr w:type="spellEnd"/>
      <w:r>
        <w:rPr>
          <w:sz w:val="20"/>
          <w:szCs w:val="20"/>
          <w:rtl/>
        </w:rPr>
        <w:t>, ט.</w:t>
      </w:r>
    </w:p>
  </w:footnote>
  <w:footnote w:id="1985">
    <w:p w14:paraId="184100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של נספח </w:t>
      </w:r>
      <w:proofErr w:type="spellStart"/>
      <w:r>
        <w:rPr>
          <w:sz w:val="20"/>
          <w:szCs w:val="20"/>
          <w:rtl/>
        </w:rPr>
        <w:t>יט</w:t>
      </w:r>
      <w:proofErr w:type="spellEnd"/>
      <w:r>
        <w:rPr>
          <w:sz w:val="20"/>
          <w:szCs w:val="20"/>
          <w:rtl/>
        </w:rPr>
        <w:t xml:space="preserve"> להלן, ופרק 4, הפסקה השנייה של נספח ח.</w:t>
      </w:r>
    </w:p>
  </w:footnote>
  <w:footnote w:id="1986">
    <w:p w14:paraId="10CEC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2, סוף הפסקה </w:t>
      </w:r>
      <w:proofErr w:type="spellStart"/>
      <w:r>
        <w:rPr>
          <w:sz w:val="20"/>
          <w:szCs w:val="20"/>
          <w:rtl/>
        </w:rPr>
        <w:t>השתים־עשרה</w:t>
      </w:r>
      <w:proofErr w:type="spellEnd"/>
      <w:r>
        <w:rPr>
          <w:sz w:val="20"/>
          <w:szCs w:val="20"/>
          <w:rtl/>
        </w:rPr>
        <w:t xml:space="preserve"> של נספח א.</w:t>
      </w:r>
    </w:p>
  </w:footnote>
  <w:footnote w:id="1987">
    <w:p w14:paraId="68C6D6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32–40.</w:t>
      </w:r>
    </w:p>
  </w:footnote>
  <w:footnote w:id="1988">
    <w:p w14:paraId="2F1A1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38.</w:t>
      </w:r>
    </w:p>
  </w:footnote>
  <w:footnote w:id="1989">
    <w:p w14:paraId="173F1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בהוצאת ילקוט, </w:t>
      </w:r>
      <w:proofErr w:type="spellStart"/>
      <w:r>
        <w:rPr>
          <w:sz w:val="20"/>
          <w:szCs w:val="20"/>
          <w:rtl/>
        </w:rPr>
        <w:t>תל־אביב</w:t>
      </w:r>
      <w:proofErr w:type="spellEnd"/>
      <w:r>
        <w:rPr>
          <w:sz w:val="20"/>
          <w:szCs w:val="20"/>
          <w:rtl/>
        </w:rPr>
        <w:t>, תרצ״ו – עמ׳ קב.</w:t>
      </w:r>
    </w:p>
  </w:footnote>
  <w:footnote w:id="1990">
    <w:p w14:paraId="6A2FA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1991">
    <w:p w14:paraId="40887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1992">
    <w:p w14:paraId="4E34AB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בענייני כספים הייתה עדיין חלק מכולל קובנה, כמפורט לעיל בפסקה החמישית של הפרק והסעיף שלנו, אף שכבר הייתה עצמאית בענייני חינוך באותה שעה.</w:t>
      </w:r>
    </w:p>
  </w:footnote>
  <w:footnote w:id="1993">
    <w:p w14:paraId="55AB42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שהמספר </w:t>
      </w:r>
      <w:proofErr w:type="spellStart"/>
      <w:r>
        <w:rPr>
          <w:sz w:val="20"/>
          <w:szCs w:val="20"/>
          <w:rtl/>
        </w:rPr>
        <w:t>ב“פולמוס</w:t>
      </w:r>
      <w:proofErr w:type="spellEnd"/>
      <w:r>
        <w:rPr>
          <w:sz w:val="20"/>
          <w:szCs w:val="20"/>
          <w:rtl/>
        </w:rPr>
        <w:t xml:space="preserve"> המוסר” מוגזם, שכן בהערה 31 לעיל מובא מחבר בן התקופה, שלפיו היו בישיבת </w:t>
      </w:r>
      <w:proofErr w:type="spellStart"/>
      <w:r>
        <w:rPr>
          <w:sz w:val="20"/>
          <w:szCs w:val="20"/>
          <w:rtl/>
        </w:rPr>
        <w:t>סלבודקה</w:t>
      </w:r>
      <w:proofErr w:type="spellEnd"/>
      <w:r>
        <w:rPr>
          <w:sz w:val="20"/>
          <w:szCs w:val="20"/>
          <w:rtl/>
        </w:rPr>
        <w:t xml:space="preserve"> בשנת תרנ״ג, שלוש שנים אחרי דו״ח רואי החשבון משנת </w:t>
      </w:r>
      <w:proofErr w:type="spellStart"/>
      <w:r>
        <w:rPr>
          <w:sz w:val="20"/>
          <w:szCs w:val="20"/>
          <w:rtl/>
        </w:rPr>
        <w:t>תר״ן</w:t>
      </w:r>
      <w:proofErr w:type="spellEnd"/>
      <w:r>
        <w:rPr>
          <w:sz w:val="20"/>
          <w:szCs w:val="20"/>
          <w:rtl/>
        </w:rPr>
        <w:t>, “למעלה מ”־150 בחורים, ולא “מאות”.</w:t>
      </w:r>
    </w:p>
  </w:footnote>
  <w:footnote w:id="1994">
    <w:p w14:paraId="26186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השלישית של נספח כה להלן, כיצד קיומה הבלתי חוקי עלה לישיבה בכמיליון מארק גרמני שהוריש לה אמיל לחמן.</w:t>
      </w:r>
    </w:p>
  </w:footnote>
  <w:footnote w:id="1995">
    <w:p w14:paraId="109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 על המשמעות המקורית והמשמעויות המאוחרות של כינוי זה.</w:t>
      </w:r>
    </w:p>
  </w:footnote>
  <w:footnote w:id="1996">
    <w:p w14:paraId="7F2C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54–57.</w:t>
      </w:r>
    </w:p>
  </w:footnote>
  <w:footnote w:id="1997">
    <w:p w14:paraId="5B32A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שמונה מהם נזכרים במקום כלשהו בכרך זה: הרב ליפמן (</w:t>
      </w:r>
      <w:proofErr w:type="spellStart"/>
      <w:r>
        <w:rPr>
          <w:sz w:val="20"/>
          <w:szCs w:val="20"/>
          <w:rtl/>
        </w:rPr>
        <w:t>ליפאל׳ה</w:t>
      </w:r>
      <w:proofErr w:type="spellEnd"/>
      <w:r>
        <w:rPr>
          <w:sz w:val="20"/>
          <w:szCs w:val="20"/>
          <w:rtl/>
        </w:rPr>
        <w:t xml:space="preserve"> </w:t>
      </w:r>
      <w:proofErr w:type="spellStart"/>
      <w:r>
        <w:rPr>
          <w:sz w:val="20"/>
          <w:szCs w:val="20"/>
          <w:rtl/>
        </w:rPr>
        <w:t>בסלבסקי</w:t>
      </w:r>
      <w:proofErr w:type="spellEnd"/>
      <w:r>
        <w:rPr>
          <w:sz w:val="20"/>
          <w:szCs w:val="20"/>
          <w:rtl/>
        </w:rPr>
        <w:t xml:space="preserve">) ממיר, ר׳ חיים ברלין, ר׳ </w:t>
      </w:r>
      <w:proofErr w:type="spellStart"/>
      <w:r>
        <w:rPr>
          <w:sz w:val="20"/>
          <w:szCs w:val="20"/>
          <w:rtl/>
        </w:rPr>
        <w:t>יחיאל־מיכל</w:t>
      </w:r>
      <w:proofErr w:type="spellEnd"/>
      <w:r>
        <w:rPr>
          <w:sz w:val="20"/>
          <w:szCs w:val="20"/>
          <w:rtl/>
        </w:rPr>
        <w:t xml:space="preserve"> אפשטיין </w:t>
      </w:r>
      <w:proofErr w:type="spellStart"/>
      <w:r>
        <w:rPr>
          <w:sz w:val="20"/>
          <w:szCs w:val="20"/>
          <w:rtl/>
        </w:rPr>
        <w:t>מנובהרדוק</w:t>
      </w:r>
      <w:proofErr w:type="spellEnd"/>
      <w:r>
        <w:rPr>
          <w:sz w:val="20"/>
          <w:szCs w:val="20"/>
          <w:rtl/>
        </w:rPr>
        <w:t xml:space="preserve">, ר׳ </w:t>
      </w:r>
      <w:proofErr w:type="spellStart"/>
      <w:r>
        <w:rPr>
          <w:sz w:val="20"/>
          <w:szCs w:val="20"/>
          <w:rtl/>
        </w:rPr>
        <w:t>מאיר־מיכל</w:t>
      </w:r>
      <w:proofErr w:type="spellEnd"/>
      <w:r>
        <w:rPr>
          <w:sz w:val="20"/>
          <w:szCs w:val="20"/>
          <w:rtl/>
        </w:rPr>
        <w:t xml:space="preserve"> (</w:t>
      </w:r>
      <w:proofErr w:type="spellStart"/>
      <w:r>
        <w:rPr>
          <w:sz w:val="20"/>
          <w:szCs w:val="20"/>
          <w:rtl/>
        </w:rPr>
        <w:t>רבינוביץ</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ר׳ חיים ברלין (מווילנה, אחיו של </w:t>
      </w:r>
      <w:proofErr w:type="spellStart"/>
      <w:r>
        <w:rPr>
          <w:sz w:val="20"/>
          <w:szCs w:val="20"/>
          <w:rtl/>
        </w:rPr>
        <w:t>הנצי״ב</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w:t>
      </w:r>
      <w:proofErr w:type="spellStart"/>
      <w:r>
        <w:rPr>
          <w:sz w:val="20"/>
          <w:szCs w:val="20"/>
          <w:rtl/>
        </w:rPr>
        <w:t>יצחק־אייזיק</w:t>
      </w:r>
      <w:proofErr w:type="spellEnd"/>
      <w:r>
        <w:rPr>
          <w:sz w:val="20"/>
          <w:szCs w:val="20"/>
          <w:rtl/>
        </w:rPr>
        <w:t xml:space="preserve"> </w:t>
      </w:r>
      <w:proofErr w:type="spellStart"/>
      <w:r>
        <w:rPr>
          <w:sz w:val="20"/>
          <w:szCs w:val="20"/>
          <w:rtl/>
        </w:rPr>
        <w:t>הלוי־רבינוביץ</w:t>
      </w:r>
      <w:proofErr w:type="spellEnd"/>
      <w:r>
        <w:rPr>
          <w:sz w:val="20"/>
          <w:szCs w:val="20"/>
          <w:rtl/>
        </w:rPr>
        <w:t xml:space="preserve">. התמיכה בר׳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מצד שני בני משפחת ברלין – אחיו ובנו של ראש ישיבת </w:t>
      </w:r>
      <w:proofErr w:type="spellStart"/>
      <w:r>
        <w:rPr>
          <w:sz w:val="20"/>
          <w:szCs w:val="20"/>
          <w:rtl/>
        </w:rPr>
        <w:t>וולוז׳ין</w:t>
      </w:r>
      <w:proofErr w:type="spellEnd"/>
      <w:r>
        <w:rPr>
          <w:sz w:val="20"/>
          <w:szCs w:val="20"/>
          <w:rtl/>
        </w:rPr>
        <w:t xml:space="preserve">, </w:t>
      </w:r>
      <w:proofErr w:type="spellStart"/>
      <w:r>
        <w:rPr>
          <w:sz w:val="20"/>
          <w:szCs w:val="20"/>
          <w:rtl/>
        </w:rPr>
        <w:t>הנצי״ב</w:t>
      </w:r>
      <w:proofErr w:type="spellEnd"/>
      <w:r>
        <w:rPr>
          <w:sz w:val="20"/>
          <w:szCs w:val="20"/>
          <w:rtl/>
        </w:rPr>
        <w:t xml:space="preserve">, המתנגד למוסר – ומצד ר׳ חיים </w:t>
      </w:r>
      <w:proofErr w:type="spellStart"/>
      <w:r>
        <w:rPr>
          <w:sz w:val="20"/>
          <w:szCs w:val="20"/>
          <w:rtl/>
        </w:rPr>
        <w:t>סולובייצ׳יק</w:t>
      </w:r>
      <w:proofErr w:type="spellEnd"/>
      <w:r>
        <w:rPr>
          <w:sz w:val="20"/>
          <w:szCs w:val="20"/>
          <w:rtl/>
        </w:rPr>
        <w:t>, חתנו של אחד ממורי אותו מוסד המתנגד למוסר, בוודאי הותירה רושם ציבורי עז במיוחד.</w:t>
      </w:r>
    </w:p>
  </w:footnote>
  <w:footnote w:id="1998">
    <w:p w14:paraId="40349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55.</w:t>
      </w:r>
    </w:p>
  </w:footnote>
  <w:footnote w:id="1999">
    <w:p w14:paraId="3DB334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הפרטים הביוגרפיים שלהלן לוקטו מתוך יעקב מארק, עמ׳ 195–200; “הראשון לשושלת </w:t>
      </w:r>
      <w:proofErr w:type="spellStart"/>
      <w:r>
        <w:rPr>
          <w:sz w:val="20"/>
          <w:szCs w:val="20"/>
          <w:rtl/>
        </w:rPr>
        <w:t>בריסק</w:t>
      </w:r>
      <w:proofErr w:type="spellEnd"/>
      <w:r>
        <w:rPr>
          <w:sz w:val="20"/>
          <w:szCs w:val="20"/>
          <w:rtl/>
        </w:rPr>
        <w:t xml:space="preserve">” (הערה 12 לעיל), עמ׳ 326, הערה 478;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288 ו־293.</w:t>
      </w:r>
    </w:p>
  </w:footnote>
  <w:footnote w:id="2000">
    <w:p w14:paraId="1F02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שז</w:t>
      </w:r>
      <w:proofErr w:type="spellEnd"/>
      <w:r>
        <w:rPr>
          <w:sz w:val="20"/>
          <w:szCs w:val="20"/>
          <w:rtl/>
        </w:rPr>
        <w:t>, הערת שוליים.</w:t>
      </w:r>
    </w:p>
  </w:footnote>
  <w:footnote w:id="2001">
    <w:p w14:paraId="3942F0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ידעאל</w:t>
      </w:r>
      <w:proofErr w:type="spellEnd"/>
      <w:r>
        <w:rPr>
          <w:sz w:val="20"/>
          <w:szCs w:val="20"/>
          <w:rtl/>
        </w:rPr>
        <w:t xml:space="preserve"> מלצר, “בדרך עץ החיים”, עמ׳ 72–73, על “תלמיד חכם יוצא דופן” שהיה בעל עסק לפרוות שעמד לקרוס, ושמתחרהו בעסקים, הצדיק ר׳ </w:t>
      </w:r>
      <w:proofErr w:type="spellStart"/>
      <w:r>
        <w:rPr>
          <w:sz w:val="20"/>
          <w:szCs w:val="20"/>
          <w:rtl/>
        </w:rPr>
        <w:t>שרגא־פייבל</w:t>
      </w:r>
      <w:proofErr w:type="spellEnd"/>
      <w:r>
        <w:rPr>
          <w:sz w:val="20"/>
          <w:szCs w:val="20"/>
          <w:rtl/>
        </w:rPr>
        <w:t xml:space="preserve"> פרנק (ראה נספח י לעיל), העניק לו סכום עצום כדי להצילו מפשיטת רגל. שמו של התלמיד החכם אינו נזכר בספר, אבל מחברו גילה ב־19 במרץ 1995 שהיה זה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מן הסתם גברו תפילותיו של ר׳ </w:t>
      </w:r>
      <w:proofErr w:type="spellStart"/>
      <w:r>
        <w:rPr>
          <w:sz w:val="20"/>
          <w:szCs w:val="20"/>
          <w:rtl/>
        </w:rPr>
        <w:t>יצחק־אלחנן</w:t>
      </w:r>
      <w:proofErr w:type="spellEnd"/>
      <w:r>
        <w:rPr>
          <w:sz w:val="20"/>
          <w:szCs w:val="20"/>
          <w:rtl/>
        </w:rPr>
        <w:t xml:space="preserve"> על תמיכתו של ר׳ </w:t>
      </w:r>
      <w:proofErr w:type="spellStart"/>
      <w:r>
        <w:rPr>
          <w:sz w:val="20"/>
          <w:szCs w:val="20"/>
          <w:rtl/>
        </w:rPr>
        <w:t>שרגא־פייבל</w:t>
      </w:r>
      <w:proofErr w:type="spellEnd"/>
      <w:r>
        <w:rPr>
          <w:sz w:val="20"/>
          <w:szCs w:val="20"/>
          <w:rtl/>
        </w:rPr>
        <w:t>.</w:t>
      </w:r>
    </w:p>
  </w:footnote>
  <w:footnote w:id="2002">
    <w:p w14:paraId="581E19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“הראשון לשושלת </w:t>
      </w:r>
      <w:proofErr w:type="spellStart"/>
      <w:r>
        <w:rPr>
          <w:sz w:val="20"/>
          <w:szCs w:val="20"/>
          <w:rtl/>
        </w:rPr>
        <w:t>בריסק</w:t>
      </w:r>
      <w:proofErr w:type="spellEnd"/>
      <w:r>
        <w:rPr>
          <w:sz w:val="20"/>
          <w:szCs w:val="20"/>
          <w:rtl/>
        </w:rPr>
        <w:t xml:space="preserve">”, עמ׳ 323, 374 ו־381, על ר׳ </w:t>
      </w:r>
      <w:proofErr w:type="spellStart"/>
      <w:r>
        <w:rPr>
          <w:sz w:val="20"/>
          <w:szCs w:val="20"/>
          <w:rtl/>
        </w:rPr>
        <w:t>צבי־הירש</w:t>
      </w:r>
      <w:proofErr w:type="spellEnd"/>
      <w:r>
        <w:rPr>
          <w:sz w:val="20"/>
          <w:szCs w:val="20"/>
          <w:rtl/>
        </w:rPr>
        <w:t xml:space="preserve">, ושם, פרקים 39 ו־43 (עמ׳ 322–346 ו־368–390), על הבעיות שעמדו לפני הקהילה האורתודוקסית בכלל, ולאחר מכן לפני ישיבת </w:t>
      </w:r>
      <w:proofErr w:type="spellStart"/>
      <w:r>
        <w:rPr>
          <w:sz w:val="20"/>
          <w:szCs w:val="20"/>
          <w:rtl/>
        </w:rPr>
        <w:t>וולוז׳ין</w:t>
      </w:r>
      <w:proofErr w:type="spellEnd"/>
      <w:r>
        <w:rPr>
          <w:sz w:val="20"/>
          <w:szCs w:val="20"/>
          <w:rtl/>
        </w:rPr>
        <w:t xml:space="preserve"> בפרט.</w:t>
      </w:r>
    </w:p>
  </w:footnote>
  <w:footnote w:id="2003">
    <w:p w14:paraId="15C478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195–200.</w:t>
      </w:r>
    </w:p>
  </w:footnote>
  <w:footnote w:id="2004">
    <w:p w14:paraId="2D4CA0ED"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שר החינוך של רוסיה בשנים 1866–1880 היה הרוזן דמיטרי </w:t>
      </w:r>
      <w:proofErr w:type="spellStart"/>
      <w:r>
        <w:rPr>
          <w:sz w:val="20"/>
          <w:szCs w:val="20"/>
          <w:rtl/>
        </w:rPr>
        <w:t>אנדרייביץ</w:t>
      </w:r>
      <w:proofErr w:type="spellEnd"/>
      <w:r>
        <w:rPr>
          <w:sz w:val="20"/>
          <w:szCs w:val="20"/>
          <w:rtl/>
        </w:rPr>
        <w:t xml:space="preserve">׳ </w:t>
      </w:r>
      <w:proofErr w:type="spellStart"/>
      <w:r>
        <w:rPr>
          <w:sz w:val="20"/>
          <w:szCs w:val="20"/>
          <w:rtl/>
        </w:rPr>
        <w:t>טולסטוי</w:t>
      </w:r>
      <w:proofErr w:type="spellEnd"/>
      <w:r>
        <w:rPr>
          <w:sz w:val="20"/>
          <w:szCs w:val="20"/>
          <w:rtl/>
        </w:rPr>
        <w:t xml:space="preserve">, שנודע כשמרן מובהק, ולא הסופר לב </w:t>
      </w:r>
      <w:proofErr w:type="spellStart"/>
      <w:r>
        <w:rPr>
          <w:sz w:val="20"/>
          <w:szCs w:val="20"/>
          <w:rtl/>
        </w:rPr>
        <w:t>טולסטוי</w:t>
      </w:r>
      <w:proofErr w:type="spellEnd"/>
      <w:r>
        <w:rPr>
          <w:sz w:val="20"/>
          <w:szCs w:val="20"/>
          <w:rtl/>
        </w:rPr>
        <w:t xml:space="preserve">, שמעולם לא היה שר בממשלה. הוא שכיהן בתפקיד </w:t>
      </w:r>
      <w:proofErr w:type="spellStart"/>
      <w:r>
        <w:rPr>
          <w:sz w:val="20"/>
          <w:szCs w:val="20"/>
          <w:rtl/>
        </w:rPr>
        <w:t>בתרל״ה</w:t>
      </w:r>
      <w:proofErr w:type="spellEnd"/>
      <w:r>
        <w:rPr>
          <w:sz w:val="20"/>
          <w:szCs w:val="20"/>
          <w:rtl/>
        </w:rPr>
        <w:t>, כשנדחה ביצוע הגזירה.</w:t>
      </w:r>
    </w:p>
  </w:footnote>
  <w:footnote w:id="2005">
    <w:p w14:paraId="6FC667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1.3.</w:t>
      </w:r>
    </w:p>
  </w:footnote>
  <w:footnote w:id="2006">
    <w:p w14:paraId="298A38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195.</w:t>
      </w:r>
    </w:p>
  </w:footnote>
  <w:footnote w:id="2007">
    <w:p w14:paraId="369398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שי.</w:t>
      </w:r>
    </w:p>
  </w:footnote>
  <w:footnote w:id="2008">
    <w:p w14:paraId="5753A5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בשיעור בנ״ך, ב־26 ביולי 1970.</w:t>
      </w:r>
    </w:p>
  </w:footnote>
  <w:footnote w:id="2009">
    <w:p w14:paraId="3EFAE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אנציקלופדיה תלמודית כרך י״ז עמ׳ </w:t>
      </w:r>
      <w:proofErr w:type="spellStart"/>
      <w:r>
        <w:rPr>
          <w:sz w:val="20"/>
          <w:szCs w:val="20"/>
          <w:rtl/>
        </w:rPr>
        <w:t>תמא</w:t>
      </w:r>
      <w:proofErr w:type="spellEnd"/>
      <w:r>
        <w:rPr>
          <w:sz w:val="20"/>
          <w:szCs w:val="20"/>
          <w:rtl/>
        </w:rPr>
        <w:t xml:space="preserve"> על נשא שנייה בהיתר </w:t>
      </w:r>
      <w:proofErr w:type="spellStart"/>
      <w:r>
        <w:rPr>
          <w:sz w:val="20"/>
          <w:szCs w:val="20"/>
          <w:rtl/>
        </w:rPr>
        <w:t>ונתרפאת</w:t>
      </w:r>
      <w:proofErr w:type="spellEnd"/>
      <w:r>
        <w:rPr>
          <w:sz w:val="20"/>
          <w:szCs w:val="20"/>
          <w:rtl/>
        </w:rPr>
        <w:t xml:space="preserve"> הראשונה </w:t>
      </w:r>
      <w:proofErr w:type="spellStart"/>
      <w:r>
        <w:rPr>
          <w:sz w:val="20"/>
          <w:szCs w:val="20"/>
          <w:rtl/>
        </w:rPr>
        <w:t>שבודאי</w:t>
      </w:r>
      <w:proofErr w:type="spellEnd"/>
      <w:r>
        <w:rPr>
          <w:sz w:val="20"/>
          <w:szCs w:val="20"/>
          <w:rtl/>
        </w:rPr>
        <w:t xml:space="preserve"> השנייה מותרת לו, ויש מחלוקת אם יכול לגרש את הראשונה בעל </w:t>
      </w:r>
      <w:proofErr w:type="spellStart"/>
      <w:r>
        <w:rPr>
          <w:sz w:val="20"/>
          <w:szCs w:val="20"/>
          <w:rtl/>
        </w:rPr>
        <w:t>כרחה</w:t>
      </w:r>
      <w:proofErr w:type="spellEnd"/>
      <w:r>
        <w:rPr>
          <w:sz w:val="20"/>
          <w:szCs w:val="20"/>
          <w:rtl/>
        </w:rPr>
        <w:t xml:space="preserve">, ואם אינו יכול לשכנע אותה להתגרש מרצונה, מותר לו למנוע ממנה מזונות עד שתסכים לקבל גט פיטורין – שזה דבר </w:t>
      </w:r>
      <w:proofErr w:type="spellStart"/>
      <w:r>
        <w:rPr>
          <w:sz w:val="20"/>
          <w:szCs w:val="20"/>
          <w:rtl/>
        </w:rPr>
        <w:t>שבודאי</w:t>
      </w:r>
      <w:proofErr w:type="spellEnd"/>
      <w:r>
        <w:rPr>
          <w:sz w:val="20"/>
          <w:szCs w:val="20"/>
          <w:rtl/>
        </w:rPr>
        <w:t xml:space="preserve"> איננו יאות לרב בישראל. ואעפ״י שאביו ר׳ יצחק אלחנן ז״ל פסק שרשאי לגרשה בעל </w:t>
      </w:r>
      <w:proofErr w:type="spellStart"/>
      <w:r>
        <w:rPr>
          <w:sz w:val="20"/>
          <w:szCs w:val="20"/>
          <w:rtl/>
        </w:rPr>
        <w:t>כרחה</w:t>
      </w:r>
      <w:proofErr w:type="spellEnd"/>
      <w:r>
        <w:rPr>
          <w:sz w:val="20"/>
          <w:szCs w:val="20"/>
          <w:rtl/>
        </w:rPr>
        <w:t xml:space="preserve"> </w:t>
      </w:r>
      <w:proofErr w:type="spellStart"/>
      <w:r>
        <w:rPr>
          <w:sz w:val="20"/>
          <w:szCs w:val="20"/>
          <w:rtl/>
        </w:rPr>
        <w:t>כדאיתא</w:t>
      </w:r>
      <w:proofErr w:type="spellEnd"/>
      <w:r>
        <w:rPr>
          <w:sz w:val="20"/>
          <w:szCs w:val="20"/>
          <w:rtl/>
        </w:rPr>
        <w:t xml:space="preserve"> בהערה 738 שם, מ״מ גם זה לא אריך לרב בישראל לעשות. ולזה התכוון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כשאמר שאם אחרת </w:t>
      </w:r>
      <w:proofErr w:type="spellStart"/>
      <w:r>
        <w:rPr>
          <w:sz w:val="20"/>
          <w:szCs w:val="20"/>
          <w:rtl/>
        </w:rPr>
        <w:t>יקח</w:t>
      </w:r>
      <w:proofErr w:type="spellEnd"/>
      <w:r>
        <w:rPr>
          <w:sz w:val="20"/>
          <w:szCs w:val="20"/>
          <w:rtl/>
        </w:rPr>
        <w:t xml:space="preserve"> לו יהיה עדיף עבורו שאשתו הראשונה תישאר חולה, כי שמא לא תסכים לקבל גט ממנו כשתבריא.</w:t>
      </w:r>
    </w:p>
  </w:footnote>
  <w:footnote w:id="2010">
    <w:p w14:paraId="3B3002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את זה כשלימד את </w:t>
      </w:r>
      <w:proofErr w:type="spellStart"/>
      <w:r>
        <w:rPr>
          <w:sz w:val="20"/>
          <w:szCs w:val="20"/>
          <w:rtl/>
        </w:rPr>
        <w:t>הרד״ק</w:t>
      </w:r>
      <w:proofErr w:type="spellEnd"/>
      <w:r>
        <w:rPr>
          <w:sz w:val="20"/>
          <w:szCs w:val="20"/>
          <w:rtl/>
        </w:rPr>
        <w:t xml:space="preserve"> ביהושע כ:ו והזכיר את תפילות גולי ערי המקלט על </w:t>
      </w:r>
      <w:proofErr w:type="spellStart"/>
      <w:r>
        <w:rPr>
          <w:sz w:val="20"/>
          <w:szCs w:val="20"/>
          <w:rtl/>
        </w:rPr>
        <w:t>הכהנים</w:t>
      </w:r>
      <w:proofErr w:type="spellEnd"/>
      <w:r>
        <w:rPr>
          <w:sz w:val="20"/>
          <w:szCs w:val="20"/>
          <w:rtl/>
        </w:rPr>
        <w:t xml:space="preserve"> הגדולים שימותו, ואז ישתחררו, במשנה מכות י״א ע״א, וסיים, שכשאנשים מחכים ומתפללים למותו של אדם מסוים, זה עונש נורא בשבילו. ולזה דימה מה שר׳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לא רצה אפילו להשמיט מישהו מתפילותיו לבריאות חולי עם ישראל.</w:t>
      </w:r>
    </w:p>
  </w:footnote>
  <w:footnote w:id="2011">
    <w:p w14:paraId="3BEFBE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בהוצאת “עם עולם” בע״מ, </w:t>
      </w:r>
      <w:proofErr w:type="spellStart"/>
      <w:r>
        <w:rPr>
          <w:sz w:val="20"/>
          <w:szCs w:val="20"/>
          <w:rtl/>
        </w:rPr>
        <w:t>תל־אביב</w:t>
      </w:r>
      <w:proofErr w:type="spellEnd"/>
      <w:r>
        <w:rPr>
          <w:sz w:val="20"/>
          <w:szCs w:val="20"/>
          <w:rtl/>
        </w:rPr>
        <w:t xml:space="preserve">, תשכ״ג. כרך 14, עמ׳ 151 (בפרק שכותרתו “תולדות ר״ז </w:t>
      </w:r>
      <w:proofErr w:type="spellStart"/>
      <w:r>
        <w:rPr>
          <w:sz w:val="20"/>
          <w:szCs w:val="20"/>
          <w:rtl/>
        </w:rPr>
        <w:t>יעבץ</w:t>
      </w:r>
      <w:proofErr w:type="spellEnd"/>
      <w:r>
        <w:rPr>
          <w:sz w:val="20"/>
          <w:szCs w:val="20"/>
          <w:rtl/>
        </w:rPr>
        <w:t xml:space="preserve"> ז״ל”, מאת א.ש. </w:t>
      </w:r>
      <w:proofErr w:type="spellStart"/>
      <w:r>
        <w:rPr>
          <w:sz w:val="20"/>
          <w:szCs w:val="20"/>
          <w:rtl/>
        </w:rPr>
        <w:t>הרשברג</w:t>
      </w:r>
      <w:proofErr w:type="spellEnd"/>
      <w:r>
        <w:rPr>
          <w:sz w:val="20"/>
          <w:szCs w:val="20"/>
          <w:rtl/>
        </w:rPr>
        <w:t>).</w:t>
      </w:r>
    </w:p>
  </w:footnote>
  <w:footnote w:id="2012">
    <w:p w14:paraId="776B90AE"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לפי שנת לידתו, תר״ח (ראה תחילת נספח זה), היה ר׳ </w:t>
      </w:r>
      <w:proofErr w:type="spellStart"/>
      <w:r>
        <w:rPr>
          <w:sz w:val="20"/>
          <w:szCs w:val="20"/>
          <w:rtl/>
        </w:rPr>
        <w:t>צבי־הירש</w:t>
      </w:r>
      <w:proofErr w:type="spellEnd"/>
      <w:r>
        <w:rPr>
          <w:sz w:val="20"/>
          <w:szCs w:val="20"/>
          <w:rtl/>
        </w:rPr>
        <w:t xml:space="preserve"> בקיץ תרס״ה כבן חמישים ושבע.</w:t>
      </w:r>
    </w:p>
  </w:footnote>
  <w:footnote w:id="2013">
    <w:p w14:paraId="749A6A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אליהו־דוב</w:t>
      </w:r>
      <w:proofErr w:type="spellEnd"/>
      <w:r>
        <w:rPr>
          <w:sz w:val="20"/>
          <w:szCs w:val="20"/>
          <w:rtl/>
        </w:rPr>
        <w:t xml:space="preserve"> </w:t>
      </w:r>
      <w:proofErr w:type="spellStart"/>
      <w:r>
        <w:rPr>
          <w:sz w:val="20"/>
          <w:szCs w:val="20"/>
          <w:rtl/>
        </w:rPr>
        <w:t>לייזרוביץ</w:t>
      </w:r>
      <w:proofErr w:type="spellEnd"/>
      <w:r>
        <w:rPr>
          <w:sz w:val="20"/>
          <w:szCs w:val="20"/>
          <w:rtl/>
        </w:rPr>
        <w:t xml:space="preserve"> היה תלמיד קרוב מאוד של ר׳ </w:t>
      </w:r>
      <w:proofErr w:type="spellStart"/>
      <w:r>
        <w:rPr>
          <w:sz w:val="20"/>
          <w:szCs w:val="20"/>
          <w:rtl/>
        </w:rPr>
        <w:t>שמחה־זיסל</w:t>
      </w:r>
      <w:proofErr w:type="spellEnd"/>
      <w:r>
        <w:rPr>
          <w:sz w:val="20"/>
          <w:szCs w:val="20"/>
          <w:rtl/>
        </w:rPr>
        <w:t xml:space="preserve"> זיו, וכיהן כמשגיח </w:t>
      </w:r>
      <w:proofErr w:type="spellStart"/>
      <w:r>
        <w:rPr>
          <w:sz w:val="20"/>
          <w:szCs w:val="20"/>
          <w:rtl/>
        </w:rPr>
        <w:t>ב“ישיבת</w:t>
      </w:r>
      <w:proofErr w:type="spellEnd"/>
      <w:r>
        <w:rPr>
          <w:sz w:val="20"/>
          <w:szCs w:val="20"/>
          <w:rtl/>
        </w:rPr>
        <w:t xml:space="preserve"> אור החיים” (“ישיבת ר׳ </w:t>
      </w:r>
      <w:proofErr w:type="spellStart"/>
      <w:r>
        <w:rPr>
          <w:sz w:val="20"/>
          <w:szCs w:val="20"/>
          <w:rtl/>
        </w:rPr>
        <w:t>הירשל׳ה</w:t>
      </w:r>
      <w:proofErr w:type="spellEnd"/>
      <w:r>
        <w:rPr>
          <w:sz w:val="20"/>
          <w:szCs w:val="20"/>
          <w:rtl/>
        </w:rPr>
        <w:t xml:space="preserve">”) בזמן שאבי למד </w:t>
      </w:r>
      <w:proofErr w:type="spellStart"/>
      <w:r>
        <w:rPr>
          <w:sz w:val="20"/>
          <w:szCs w:val="20"/>
          <w:rtl/>
        </w:rPr>
        <w:t>בסלבודקה</w:t>
      </w:r>
      <w:proofErr w:type="spellEnd"/>
      <w:r>
        <w:rPr>
          <w:sz w:val="20"/>
          <w:szCs w:val="20"/>
          <w:rtl/>
        </w:rPr>
        <w:t>, עד שעלה לארץ ישראל בשנת תרפ״ה, בגיל שבעים. פרק 17 בספרו של כץ, “תנועת המוסר”, כרך ה, מוקדש לו.</w:t>
      </w:r>
    </w:p>
  </w:footnote>
  <w:footnote w:id="2014">
    <w:p w14:paraId="62E75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98–99.</w:t>
      </w:r>
    </w:p>
  </w:footnote>
  <w:footnote w:id="2015">
    <w:p w14:paraId="614BF7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החיבורים “תנועת המוסר” </w:t>
      </w:r>
      <w:proofErr w:type="spellStart"/>
      <w:r>
        <w:rPr>
          <w:sz w:val="20"/>
          <w:szCs w:val="20"/>
          <w:rtl/>
        </w:rPr>
        <w:t>ו“פולמוס</w:t>
      </w:r>
      <w:proofErr w:type="spellEnd"/>
      <w:r>
        <w:rPr>
          <w:sz w:val="20"/>
          <w:szCs w:val="20"/>
          <w:rtl/>
        </w:rPr>
        <w:t xml:space="preserve"> המוסר” נכתבו בידי אותו מחבר, ר׳ דב כץ.</w:t>
      </w:r>
    </w:p>
  </w:footnote>
  <w:footnote w:id="2016">
    <w:p w14:paraId="3A5778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251.</w:t>
      </w:r>
    </w:p>
  </w:footnote>
  <w:footnote w:id="2017">
    <w:p w14:paraId="48BD8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018">
    <w:p w14:paraId="2B388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413.</w:t>
      </w:r>
    </w:p>
  </w:footnote>
  <w:footnote w:id="2019">
    <w:p w14:paraId="321185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“יהדות ליטא” כרך 3 (הערה 9 לעיל), עמ׳ 25, ומאמר הספד בגיליון אייר תש״ז של “תבונה” (נספח ג לעיל).</w:t>
      </w:r>
    </w:p>
  </w:footnote>
  <w:footnote w:id="2020">
    <w:p w14:paraId="6545D9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297.</w:t>
      </w:r>
    </w:p>
  </w:footnote>
  <w:footnote w:id="2021">
    <w:p w14:paraId="43ABF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ג׳ אות ג׳.</w:t>
      </w:r>
    </w:p>
  </w:footnote>
  <w:footnote w:id="2022">
    <w:p w14:paraId="364844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בפרק זה – עמ׳ ט.</w:t>
      </w:r>
    </w:p>
  </w:footnote>
  <w:footnote w:id="2023">
    <w:p w14:paraId="0D89AC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120.</w:t>
      </w:r>
    </w:p>
  </w:footnote>
  <w:footnote w:id="2024">
    <w:p w14:paraId="759DAB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מפורט בנספח </w:t>
      </w:r>
      <w:proofErr w:type="spellStart"/>
      <w:r>
        <w:rPr>
          <w:sz w:val="20"/>
          <w:szCs w:val="20"/>
          <w:rtl/>
        </w:rPr>
        <w:t>יז</w:t>
      </w:r>
      <w:proofErr w:type="spellEnd"/>
      <w:r>
        <w:rPr>
          <w:sz w:val="20"/>
          <w:szCs w:val="20"/>
          <w:rtl/>
        </w:rPr>
        <w:t xml:space="preserve"> להלן.</w:t>
      </w:r>
    </w:p>
  </w:footnote>
  <w:footnote w:id="2025">
    <w:p w14:paraId="3CD115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כה להלן, וכץ, “תנועת המוסר”, כרך ב, עמ׳ 66, 82 ו־88. השווה גם את ההקדמה לספר </w:t>
      </w:r>
      <w:proofErr w:type="spellStart"/>
      <w:r>
        <w:rPr>
          <w:sz w:val="20"/>
          <w:szCs w:val="20"/>
          <w:rtl/>
        </w:rPr>
        <w:t>השו״ת</w:t>
      </w:r>
      <w:proofErr w:type="spellEnd"/>
      <w:r>
        <w:rPr>
          <w:sz w:val="20"/>
          <w:szCs w:val="20"/>
          <w:rtl/>
        </w:rPr>
        <w:t xml:space="preserve"> והחידושים של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“גאון צבי יעקב” (ריגה, תרפ״ט), שבה מתאר בנו את קדושתו ושקידתו של אביו; והשווה פרק 4, נספח </w:t>
      </w:r>
      <w:proofErr w:type="spellStart"/>
      <w:r>
        <w:rPr>
          <w:sz w:val="20"/>
          <w:szCs w:val="20"/>
          <w:rtl/>
        </w:rPr>
        <w:t>יב</w:t>
      </w:r>
      <w:proofErr w:type="spellEnd"/>
      <w:r>
        <w:rPr>
          <w:sz w:val="20"/>
          <w:szCs w:val="20"/>
          <w:rtl/>
        </w:rPr>
        <w:t xml:space="preserve">, על ביקורתו המרומזת של הסבא על 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w:t>
      </w:r>
    </w:p>
  </w:footnote>
  <w:footnote w:id="2026">
    <w:p w14:paraId="3C2AD6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116–119.</w:t>
      </w:r>
    </w:p>
  </w:footnote>
  <w:footnote w:id="2027">
    <w:p w14:paraId="5279C0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ז.</w:t>
      </w:r>
    </w:p>
  </w:footnote>
  <w:footnote w:id="2028">
    <w:p w14:paraId="23EA17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מהדורה שנייה מורחבת, המכון להוצאת ספרים ע״ש </w:t>
      </w:r>
      <w:proofErr w:type="spellStart"/>
      <w:r>
        <w:rPr>
          <w:sz w:val="20"/>
          <w:szCs w:val="20"/>
          <w:rtl/>
        </w:rPr>
        <w:t>הרצי״ה</w:t>
      </w:r>
      <w:proofErr w:type="spellEnd"/>
      <w:r>
        <w:rPr>
          <w:sz w:val="20"/>
          <w:szCs w:val="20"/>
          <w:rtl/>
        </w:rPr>
        <w:t xml:space="preserve"> זצ״ל, ירושלים, </w:t>
      </w:r>
      <w:proofErr w:type="spellStart"/>
      <w:r>
        <w:rPr>
          <w:sz w:val="20"/>
          <w:szCs w:val="20"/>
          <w:rtl/>
        </w:rPr>
        <w:t xml:space="preserve">ה׳תש״ן</w:t>
      </w:r>
      <w:proofErr w:type="spellEnd"/>
      <w:r>
        <w:rPr>
          <w:sz w:val="20"/>
          <w:szCs w:val="20"/>
          <w:rtl/>
        </w:rPr>
        <w:t xml:space="preserve"> – עמ׳ </w:t>
      </w:r>
      <w:proofErr w:type="spellStart"/>
      <w:r>
        <w:rPr>
          <w:sz w:val="20"/>
          <w:szCs w:val="20"/>
          <w:rtl/>
        </w:rPr>
        <w:t>תקלב</w:t>
      </w:r>
      <w:proofErr w:type="spellEnd"/>
      <w:r>
        <w:rPr>
          <w:sz w:val="20"/>
          <w:szCs w:val="20"/>
          <w:rtl/>
        </w:rPr>
        <w:t>–</w:t>
      </w:r>
      <w:proofErr w:type="spellStart"/>
      <w:r>
        <w:rPr>
          <w:sz w:val="20"/>
          <w:szCs w:val="20"/>
          <w:rtl/>
        </w:rPr>
        <w:t>תקלג</w:t>
      </w:r>
      <w:proofErr w:type="spellEnd"/>
      <w:r>
        <w:rPr>
          <w:sz w:val="20"/>
          <w:szCs w:val="20"/>
          <w:rtl/>
        </w:rPr>
        <w:t>.</w:t>
      </w:r>
    </w:p>
  </w:footnote>
  <w:footnote w:id="2029">
    <w:p w14:paraId="6695D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8.</w:t>
      </w:r>
    </w:p>
  </w:footnote>
  <w:footnote w:id="2030">
    <w:p w14:paraId="1D5C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2031">
    <w:p w14:paraId="08072B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תיאור זה של בית מדרש בן זמננו מבוסס על מסכת מגילה כ״ט ע״א.</w:t>
      </w:r>
    </w:p>
  </w:footnote>
  <w:footnote w:id="2032">
    <w:p w14:paraId="16112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הרביעית של נספח ו.</w:t>
      </w:r>
    </w:p>
  </w:footnote>
  <w:footnote w:id="2033">
    <w:p w14:paraId="2A3BA9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כד להלן.</w:t>
      </w:r>
    </w:p>
  </w:footnote>
  <w:footnote w:id="2034">
    <w:p w14:paraId="4DEF5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תחילה שיערתי שנסיעתו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לוולוז׳ין</w:t>
      </w:r>
      <w:proofErr w:type="spellEnd"/>
      <w:r>
        <w:rPr>
          <w:sz w:val="20"/>
          <w:szCs w:val="20"/>
          <w:rtl/>
        </w:rPr>
        <w:t xml:space="preserve">, הנדונה בהרחבה בפרק 4, נספח ט, ושזמנה אינו ברור (ראה הפסקה השנייה שם), הייתה קשורה לבקשת הכספים הזאת, ושר׳ </w:t>
      </w:r>
      <w:proofErr w:type="spellStart"/>
      <w:r>
        <w:rPr>
          <w:sz w:val="20"/>
          <w:szCs w:val="20"/>
          <w:rtl/>
        </w:rPr>
        <w:t>איצל׳ה</w:t>
      </w:r>
      <w:proofErr w:type="spellEnd"/>
      <w:r>
        <w:rPr>
          <w:sz w:val="20"/>
          <w:szCs w:val="20"/>
          <w:rtl/>
        </w:rPr>
        <w:t xml:space="preserve"> ניסה להכניס את המוסר </w:t>
      </w:r>
      <w:proofErr w:type="spellStart"/>
      <w:r>
        <w:rPr>
          <w:sz w:val="20"/>
          <w:szCs w:val="20"/>
          <w:rtl/>
        </w:rPr>
        <w:t>לוולוז׳ין</w:t>
      </w:r>
      <w:proofErr w:type="spellEnd"/>
      <w:r>
        <w:rPr>
          <w:sz w:val="20"/>
          <w:szCs w:val="20"/>
          <w:rtl/>
        </w:rPr>
        <w:t>, כדי שיוכל לייעץ לנדבן ביושר להיענות לבקשה. אבל הסקתי שם (בפסקה השביעית) שהביקור התרחש כחמש שנים לפני שנכתבו המכתבים האלה.</w:t>
      </w:r>
    </w:p>
  </w:footnote>
  <w:footnote w:id="2035">
    <w:p w14:paraId="72072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036">
    <w:p w14:paraId="17CB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2037">
    <w:p w14:paraId="763B4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הירש־לייב</w:t>
      </w:r>
      <w:proofErr w:type="spellEnd"/>
      <w:r>
        <w:rPr>
          <w:sz w:val="20"/>
          <w:szCs w:val="20"/>
          <w:rtl/>
        </w:rPr>
        <w:t xml:space="preserve"> גורדון, המתנגד למוסר, מגנה בחריפות את כץ ומאשים אותו בסילוף ההיסטוריה – האשמה שכל מי שהכיר את ר׳ דב </w:t>
      </w:r>
      <w:proofErr w:type="spellStart"/>
      <w:r>
        <w:rPr>
          <w:sz w:val="20"/>
          <w:szCs w:val="20"/>
          <w:rtl/>
        </w:rPr>
        <w:t>כ״ץ</w:t>
      </w:r>
      <w:proofErr w:type="spellEnd"/>
      <w:r>
        <w:rPr>
          <w:sz w:val="20"/>
          <w:szCs w:val="20"/>
          <w:rtl/>
        </w:rPr>
        <w:t xml:space="preserve">, מחבר “תנועת המוסר”, ולו היכרות שטחית (כפי שזכיתי), ידחה על הסף. השווה גם סוף נספח לג להלן, על האשמה נמהרת נוספת מעין זו שהעלה </w:t>
      </w:r>
      <w:proofErr w:type="spellStart"/>
      <w:r>
        <w:rPr>
          <w:sz w:val="20"/>
          <w:szCs w:val="20"/>
          <w:rtl/>
        </w:rPr>
        <w:t>הירש־לייב</w:t>
      </w:r>
      <w:proofErr w:type="spellEnd"/>
      <w:r>
        <w:rPr>
          <w:sz w:val="20"/>
          <w:szCs w:val="20"/>
          <w:rtl/>
        </w:rPr>
        <w:t xml:space="preserve"> גורדון.</w:t>
      </w:r>
    </w:p>
  </w:footnote>
  <w:footnote w:id="2038">
    <w:p w14:paraId="5B94AE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באוגוסט 1995.</w:t>
      </w:r>
    </w:p>
  </w:footnote>
  <w:footnote w:id="2039">
    <w:p w14:paraId="71FC7B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3.</w:t>
      </w:r>
    </w:p>
  </w:footnote>
  <w:footnote w:id="2040">
    <w:p w14:paraId="7E2855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קי״ט ע״ב.</w:t>
      </w:r>
    </w:p>
  </w:footnote>
  <w:footnote w:id="2041">
    <w:p w14:paraId="6C7174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יצאה לאור בירושלם, תרצ״ד.</w:t>
      </w:r>
    </w:p>
  </w:footnote>
  <w:footnote w:id="2042">
    <w:p w14:paraId="579959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 והערה 11 שם.</w:t>
      </w:r>
    </w:p>
  </w:footnote>
  <w:footnote w:id="2043">
    <w:p w14:paraId="310946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בספטמבר 1996.</w:t>
      </w:r>
    </w:p>
  </w:footnote>
  <w:footnote w:id="2044">
    <w:p w14:paraId="4BF3B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ח–ט בחלק האחרון של “שיחות החפץ חיים” שבכרך “מכתבים”.</w:t>
      </w:r>
    </w:p>
  </w:footnote>
  <w:footnote w:id="2045">
    <w:p w14:paraId="60E50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עמו מובא </w:t>
      </w:r>
      <w:proofErr w:type="spellStart"/>
      <w:r>
        <w:rPr>
          <w:sz w:val="20"/>
          <w:szCs w:val="20"/>
          <w:rtl/>
        </w:rPr>
        <w:t>ב“ספר</w:t>
      </w:r>
      <w:proofErr w:type="spellEnd"/>
      <w:r>
        <w:rPr>
          <w:sz w:val="20"/>
          <w:szCs w:val="20"/>
          <w:rtl/>
        </w:rPr>
        <w:t xml:space="preserve"> מאיר עיני ישראל” (נספח א לעיל), עמ׳ 74–75.</w:t>
      </w:r>
    </w:p>
  </w:footnote>
  <w:footnote w:id="2046">
    <w:p w14:paraId="4CFCA0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קלה.</w:t>
      </w:r>
    </w:p>
  </w:footnote>
  <w:footnote w:id="2047">
    <w:p w14:paraId="12997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w:t>
      </w:r>
    </w:p>
  </w:footnote>
  <w:footnote w:id="2048">
    <w:p w14:paraId="249F49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22 ביוני 1997. משום שכל מעשה של </w:t>
      </w:r>
      <w:proofErr w:type="spellStart"/>
      <w:r>
        <w:rPr>
          <w:sz w:val="20"/>
          <w:szCs w:val="20"/>
          <w:rtl/>
        </w:rPr>
        <w:t>החפץ־חיים</w:t>
      </w:r>
      <w:proofErr w:type="spellEnd"/>
      <w:r>
        <w:rPr>
          <w:sz w:val="20"/>
          <w:szCs w:val="20"/>
          <w:rtl/>
        </w:rPr>
        <w:t xml:space="preserve"> יש בו לימוד, אספר את המעשה בכל הפרטים שמסר המרואיין.</w:t>
      </w:r>
    </w:p>
  </w:footnote>
  <w:footnote w:id="2049">
    <w:p w14:paraId="0DDF88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הוסיף שבעל העגלה קיבל את העצה, ולא רק שחדל להשתמש בתער, אלא גם גידל זקן.</w:t>
      </w:r>
    </w:p>
  </w:footnote>
  <w:footnote w:id="2050">
    <w:p w14:paraId="537726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19–20.</w:t>
      </w:r>
    </w:p>
  </w:footnote>
  <w:footnote w:id="2051">
    <w:p w14:paraId="1D1EDA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27 ביולי 1996.</w:t>
      </w:r>
    </w:p>
  </w:footnote>
  <w:footnote w:id="2052">
    <w:p w14:paraId="439F01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3, עמ׳ 104.</w:t>
      </w:r>
    </w:p>
  </w:footnote>
  <w:footnote w:id="2053">
    <w:p w14:paraId="460A8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xml:space="preserve"> הוא גם הניח תפילין כל היום.</w:t>
      </w:r>
    </w:p>
  </w:footnote>
  <w:footnote w:id="2054">
    <w:p w14:paraId="1BF8E3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את הערת שוליים </w:t>
      </w:r>
      <w:r>
        <w:rPr>
          <w:rStyle w:val="a5"/>
          <w:sz w:val="20"/>
          <w:szCs w:val="20"/>
          <w:vertAlign w:val="baseline"/>
          <w:rtl/>
        </w:rPr>
        <w:fldChar w:fldCharType="begin" w:dirty="true"/>
      </w:r>
      <w:r>
        <w:rPr>
          <w:rStyle w:val="a5"/>
          <w:sz w:val="20"/>
          <w:szCs w:val="20"/>
          <w:vertAlign w:val="baseline"/>
          <w:rtl/>
        </w:rPr>
        <w:instrText xml:space="preserve"> NOTEREF pr_f_1778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825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pr_f_1778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על צדיק אחר שהתפלל תפילה כזאת</w:t>
      </w:r>
      <w:r>
        <w:rPr>
          <w:sz w:val="20"/>
          <w:szCs w:val="20"/>
          <w:rtl/>
        </w:rPr>
        <w:t>.</w:t>
      </w:r>
    </w:p>
  </w:footnote>
  <w:footnote w:id="2055">
    <w:p w14:paraId="362FB7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לתגובתו של ר׳ זליג תרשיש השווה “עובדות והנהגות לבית </w:t>
      </w:r>
      <w:proofErr w:type="spellStart"/>
      <w:r>
        <w:rPr>
          <w:sz w:val="20"/>
          <w:szCs w:val="20"/>
          <w:rtl/>
        </w:rPr>
        <w:t>בריסק</w:t>
      </w:r>
      <w:proofErr w:type="spellEnd"/>
      <w:r>
        <w:rPr>
          <w:sz w:val="20"/>
          <w:szCs w:val="20"/>
          <w:rtl/>
        </w:rPr>
        <w:t xml:space="preserve">” (הפסקה הראשונה של נספח ח לעיל), </w:t>
      </w:r>
      <w:proofErr w:type="spellStart"/>
      <w:r>
        <w:rPr>
          <w:sz w:val="20"/>
          <w:szCs w:val="20"/>
          <w:rtl/>
        </w:rPr>
        <w:t>ח״ב</w:t>
      </w:r>
      <w:proofErr w:type="spellEnd"/>
      <w:r>
        <w:rPr>
          <w:sz w:val="20"/>
          <w:szCs w:val="20"/>
          <w:rtl/>
        </w:rPr>
        <w:t xml:space="preserve">, עמ׳ </w:t>
      </w:r>
      <w:proofErr w:type="spellStart"/>
      <w:r>
        <w:rPr>
          <w:sz w:val="20"/>
          <w:szCs w:val="20"/>
          <w:rtl/>
        </w:rPr>
        <w:t>ריג</w:t>
      </w:r>
      <w:proofErr w:type="spellEnd"/>
      <w:r>
        <w:rPr>
          <w:sz w:val="20"/>
          <w:szCs w:val="20"/>
          <w:rtl/>
        </w:rPr>
        <w:t xml:space="preserve">, המתאר את תגובתו של ר׳ חיים </w:t>
      </w:r>
      <w:proofErr w:type="spellStart"/>
      <w:r>
        <w:rPr>
          <w:sz w:val="20"/>
          <w:szCs w:val="20"/>
          <w:rtl/>
        </w:rPr>
        <w:t>סולובייצ׳יק</w:t>
      </w:r>
      <w:proofErr w:type="spellEnd"/>
      <w:r>
        <w:rPr>
          <w:sz w:val="20"/>
          <w:szCs w:val="20"/>
          <w:rtl/>
        </w:rPr>
        <w:t xml:space="preserve"> על הספד על תיאודור הרצל שנישא בבית כנסת </w:t>
      </w:r>
      <w:proofErr w:type="spellStart"/>
      <w:r>
        <w:rPr>
          <w:sz w:val="20"/>
          <w:szCs w:val="20"/>
          <w:rtl/>
        </w:rPr>
        <w:t>בבריסק</w:t>
      </w:r>
      <w:proofErr w:type="spellEnd"/>
      <w:r>
        <w:rPr>
          <w:sz w:val="20"/>
          <w:szCs w:val="20"/>
          <w:rtl/>
        </w:rPr>
        <w:t xml:space="preserve">. אף שניסה בכל כוחו, לא עלה בידו למנוע את האספה הפומבית. בנו ר׳ יצחק־זאב זכר שמעולם לא ראה את אביו כועס כל כך; הוא חזר ואמר: “אוי, חילול בית הכנסת!”</w:t>
      </w:r>
    </w:p>
  </w:footnote>
  <w:footnote w:id="2056">
    <w:p w14:paraId="5FA60D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קד, כד.</w:t>
      </w:r>
    </w:p>
  </w:footnote>
  <w:footnote w:id="2057">
    <w:p w14:paraId="0053C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“יהדות ליטא”, שם, שב ר׳ זליג ונעשה אוהד לציונות זמן מה אחרי מעשה ריינס. גם ר׳ ישראל </w:t>
      </w:r>
      <w:proofErr w:type="spellStart"/>
      <w:r>
        <w:rPr>
          <w:sz w:val="20"/>
          <w:szCs w:val="20"/>
          <w:rtl/>
        </w:rPr>
        <w:t>שורין</w:t>
      </w:r>
      <w:proofErr w:type="spellEnd"/>
      <w:r>
        <w:rPr>
          <w:sz w:val="20"/>
          <w:szCs w:val="20"/>
          <w:rtl/>
        </w:rPr>
        <w:t xml:space="preserve"> נטה לדעה זו.</w:t>
      </w:r>
    </w:p>
  </w:footnote>
  <w:footnote w:id="2058">
    <w:p w14:paraId="295D1A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יהודה ליב הכהן פישמן כינה את ר׳ זליג תרשיש “אותו אדם חצוף מן הקהל” כשפרסם בשנת תרצ״ד את תולדותיו הקצרות של ר׳ </w:t>
      </w:r>
      <w:proofErr w:type="spellStart"/>
      <w:r>
        <w:rPr>
          <w:sz w:val="20"/>
          <w:szCs w:val="20"/>
          <w:rtl/>
        </w:rPr>
        <w:t>יצחק־יעקב</w:t>
      </w:r>
      <w:proofErr w:type="spellEnd"/>
      <w:r>
        <w:rPr>
          <w:sz w:val="20"/>
          <w:szCs w:val="20"/>
          <w:rtl/>
        </w:rPr>
        <w:t xml:space="preserve"> ריינס, בזמן שר׳ זליג תרשיש כבר היה מפורסם כצדיק. בכך ראוי היה שיוחל עליו מאמר חז״ל בשבת קי״ט ע״ב, כפי שהחילו אבי על המלעיז על ר׳ </w:t>
      </w:r>
      <w:proofErr w:type="spellStart"/>
      <w:r>
        <w:rPr>
          <w:sz w:val="20"/>
          <w:szCs w:val="20"/>
          <w:rtl/>
        </w:rPr>
        <w:t>יצחק־יעקב</w:t>
      </w:r>
      <w:proofErr w:type="spellEnd"/>
      <w:r>
        <w:rPr>
          <w:sz w:val="20"/>
          <w:szCs w:val="20"/>
          <w:rtl/>
        </w:rPr>
        <w:t xml:space="preserve"> ריינס.</w:t>
      </w:r>
    </w:p>
  </w:footnote>
  <w:footnote w:id="2059">
    <w:p w14:paraId="73D665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060">
    <w:p w14:paraId="031010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דיווחו של הרב </w:t>
      </w:r>
      <w:proofErr w:type="spellStart"/>
      <w:r>
        <w:rPr>
          <w:sz w:val="20"/>
          <w:szCs w:val="20"/>
          <w:rtl/>
        </w:rPr>
        <w:t>פופקו</w:t>
      </w:r>
      <w:proofErr w:type="spellEnd"/>
      <w:r>
        <w:rPr>
          <w:sz w:val="20"/>
          <w:szCs w:val="20"/>
          <w:rtl/>
        </w:rPr>
        <w:t xml:space="preserve">, </w:t>
      </w:r>
      <w:proofErr w:type="spellStart"/>
      <w:r>
        <w:rPr>
          <w:sz w:val="20"/>
          <w:szCs w:val="20"/>
          <w:rtl/>
        </w:rPr>
        <w:t>שהחפץ־חיים</w:t>
      </w:r>
      <w:proofErr w:type="spellEnd"/>
      <w:r>
        <w:rPr>
          <w:sz w:val="20"/>
          <w:szCs w:val="20"/>
          <w:rtl/>
        </w:rPr>
        <w:t xml:space="preserve"> לא היה שותף ליחסו של ר׳ חיים, מתאשר בכך שניסה לשכנע את ר׳ </w:t>
      </w:r>
      <w:proofErr w:type="spellStart"/>
      <w:r>
        <w:rPr>
          <w:sz w:val="20"/>
          <w:szCs w:val="20"/>
          <w:rtl/>
        </w:rPr>
        <w:t>יצחק־יעקב</w:t>
      </w:r>
      <w:proofErr w:type="spellEnd"/>
      <w:r>
        <w:rPr>
          <w:sz w:val="20"/>
          <w:szCs w:val="20"/>
          <w:rtl/>
        </w:rPr>
        <w:t xml:space="preserve"> ריינס לשקול מחדש את נטייתו הציונית. מובן שגם אבי – וכנראה בעלי המוסר בכלל – לא היה שותף להשקפתו החמורה של ר׳ חיים </w:t>
      </w:r>
      <w:proofErr w:type="spellStart"/>
      <w:r>
        <w:rPr>
          <w:sz w:val="20"/>
          <w:szCs w:val="20"/>
          <w:rtl/>
        </w:rPr>
        <w:t>סולובייצ׳יק</w:t>
      </w:r>
      <w:proofErr w:type="spellEnd"/>
      <w:r>
        <w:rPr>
          <w:sz w:val="20"/>
          <w:szCs w:val="20"/>
          <w:rtl/>
        </w:rPr>
        <w:t xml:space="preserve"> על ר׳ </w:t>
      </w:r>
      <w:proofErr w:type="spellStart"/>
      <w:r>
        <w:rPr>
          <w:sz w:val="20"/>
          <w:szCs w:val="20"/>
          <w:rtl/>
        </w:rPr>
        <w:t>יצחק־יעקב</w:t>
      </w:r>
      <w:proofErr w:type="spellEnd"/>
      <w:r>
        <w:rPr>
          <w:sz w:val="20"/>
          <w:szCs w:val="20"/>
          <w:rtl/>
        </w:rPr>
        <w:t xml:space="preserve"> ריינס.</w:t>
      </w:r>
    </w:p>
  </w:footnote>
  <w:footnote w:id="2061">
    <w:p w14:paraId="1A46B6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י״א בסיון תרנ״ז.</w:t>
      </w:r>
    </w:p>
  </w:footnote>
  <w:footnote w:id="2062">
    <w:p w14:paraId="25E1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להלן: התכתבות </w:t>
      </w:r>
      <w:proofErr w:type="spellStart"/>
      <w:r>
        <w:rPr>
          <w:sz w:val="20"/>
          <w:szCs w:val="20"/>
          <w:rtl/>
        </w:rPr>
        <w:t>ברודא</w:t>
      </w:r>
      <w:proofErr w:type="spellEnd"/>
      <w:r>
        <w:rPr>
          <w:sz w:val="20"/>
          <w:szCs w:val="20"/>
          <w:rtl/>
        </w:rPr>
        <w:t>.</w:t>
      </w:r>
    </w:p>
  </w:footnote>
  <w:footnote w:id="2063">
    <w:p w14:paraId="54B56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נספחים ט </w:t>
      </w:r>
      <w:proofErr w:type="spellStart"/>
      <w:r>
        <w:rPr>
          <w:sz w:val="20"/>
          <w:szCs w:val="20"/>
          <w:rtl/>
        </w:rPr>
        <w:t>ו־ז</w:t>
      </w:r>
      <w:proofErr w:type="spellEnd"/>
      <w:r>
        <w:rPr>
          <w:sz w:val="20"/>
          <w:szCs w:val="20"/>
          <w:rtl/>
        </w:rPr>
        <w:t xml:space="preserve"> לעיל.</w:t>
      </w:r>
    </w:p>
  </w:footnote>
  <w:footnote w:id="2064">
    <w:p w14:paraId="4F81F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130 ו־135.</w:t>
      </w:r>
    </w:p>
  </w:footnote>
  <w:footnote w:id="2065">
    <w:p w14:paraId="4762D7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כ״ט באב תרנ״ז.</w:t>
      </w:r>
    </w:p>
  </w:footnote>
  <w:footnote w:id="2066">
    <w:p w14:paraId="35F464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שנופש אז בליטא, שהרי בכתבה אחרת </w:t>
      </w:r>
      <w:proofErr w:type="spellStart"/>
      <w:r>
        <w:rPr>
          <w:sz w:val="20"/>
          <w:szCs w:val="20"/>
          <w:rtl/>
        </w:rPr>
        <w:t>ב“המליץ</w:t>
      </w:r>
      <w:proofErr w:type="spellEnd"/>
      <w:r>
        <w:rPr>
          <w:sz w:val="20"/>
          <w:szCs w:val="20"/>
          <w:rtl/>
        </w:rPr>
        <w:t xml:space="preserve">” שבועיים קודם לכן הוסיף לחתימתו “המתגורר כעת </w:t>
      </w:r>
      <w:proofErr w:type="spellStart"/>
      <w:r>
        <w:rPr>
          <w:sz w:val="20"/>
          <w:szCs w:val="20"/>
          <w:rtl/>
        </w:rPr>
        <w:t>בדרוזגעניק</w:t>
      </w:r>
      <w:proofErr w:type="spellEnd"/>
      <w:r>
        <w:rPr>
          <w:sz w:val="20"/>
          <w:szCs w:val="20"/>
          <w:rtl/>
        </w:rPr>
        <w:t>” [עיירת נופש].</w:t>
      </w:r>
    </w:p>
  </w:footnote>
  <w:footnote w:id="2067">
    <w:p w14:paraId="7BBDEE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דאגתו כביכול של ר׳ חיים </w:t>
      </w:r>
      <w:proofErr w:type="spellStart"/>
      <w:r>
        <w:rPr>
          <w:sz w:val="20"/>
          <w:szCs w:val="20"/>
          <w:rtl/>
        </w:rPr>
        <w:t>לוולקוביסק</w:t>
      </w:r>
      <w:proofErr w:type="spellEnd"/>
      <w:r>
        <w:rPr>
          <w:sz w:val="20"/>
          <w:szCs w:val="20"/>
          <w:rtl/>
        </w:rPr>
        <w:t xml:space="preserve">, כ־120 קילומטר </w:t>
      </w:r>
      <w:proofErr w:type="spellStart"/>
      <w:r>
        <w:rPr>
          <w:sz w:val="20"/>
          <w:szCs w:val="20"/>
          <w:rtl/>
        </w:rPr>
        <w:t>צפונית־מזרחית</w:t>
      </w:r>
      <w:proofErr w:type="spellEnd"/>
      <w:r>
        <w:rPr>
          <w:sz w:val="20"/>
          <w:szCs w:val="20"/>
          <w:rtl/>
        </w:rPr>
        <w:t xml:space="preserve"> </w:t>
      </w:r>
      <w:proofErr w:type="spellStart"/>
      <w:r>
        <w:rPr>
          <w:sz w:val="20"/>
          <w:szCs w:val="20"/>
          <w:rtl/>
        </w:rPr>
        <w:t>לבריסק</w:t>
      </w:r>
      <w:proofErr w:type="spellEnd"/>
      <w:r>
        <w:rPr>
          <w:sz w:val="20"/>
          <w:szCs w:val="20"/>
          <w:rtl/>
        </w:rPr>
        <w:t xml:space="preserve"> (וכ־300 קילומטר דרומית לקובנה), אולי לא הייתה אלא תואנה: אילו היה המצב בעיר ההיא שונה, היה מוצא סיבה אחרת שלא לחתום. השערה זו מבוססת על כך שר׳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יצא בעד הכרוז “למען האמת” התומך במוסר, כמצוין בהערת השוליים </w:t>
      </w:r>
      <w:r>
        <w:rPr>
          <w:sz w:val="20"/>
          <w:szCs w:val="20"/>
          <w:rtl/>
        </w:rPr>
        <w:fldChar w:fldCharType="begin" w:dirty="true"/>
      </w:r>
      <w:r>
        <w:rPr>
          <w:sz w:val="20"/>
          <w:szCs w:val="20"/>
          <w:rtl/>
        </w:rPr>
        <w:instrText xml:space="preserve"> NOTEREF pr_f_4379 \h </w:instrText>
      </w:r>
      <w:r>
        <w:rPr>
          <w:sz w:val="20"/>
          <w:szCs w:val="20"/>
          <w:rtl/>
        </w:rPr>
      </w:r>
      <w:r>
        <w:rPr>
          <w:sz w:val="20"/>
          <w:szCs w:val="20"/>
          <w:rtl/>
        </w:rPr>
        <w:fldChar w:fldCharType="separate"/>
      </w:r>
      <w:r w:rsidR="007923E9">
        <w:rPr>
          <w:sz w:val="20"/>
          <w:szCs w:val="20"/>
          <w:rtl/>
        </w:rPr>
        <w:t>33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pr_f_4379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קרובו זה של ר׳ חיים, שהיה גם שותפו ללימוד ועמיתו, (ראה פרק 5, הערות 23 ו־24) כנראה לא היה עושה כן בלי הסכמתו.</w:t>
      </w:r>
    </w:p>
  </w:footnote>
  <w:footnote w:id="2068">
    <w:p w14:paraId="40685912"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המרחק בקו אווירי בין </w:t>
      </w:r>
      <w:proofErr w:type="spellStart"/>
      <w:r>
        <w:rPr>
          <w:sz w:val="20"/>
          <w:szCs w:val="20"/>
          <w:rtl/>
        </w:rPr>
        <w:t>וולקוביסק</w:t>
      </w:r>
      <w:proofErr w:type="spellEnd"/>
      <w:r>
        <w:rPr>
          <w:sz w:val="20"/>
          <w:szCs w:val="20"/>
          <w:rtl/>
        </w:rPr>
        <w:t xml:space="preserve"> לקובנה הוא כמאתיים קילומטר.</w:t>
      </w:r>
    </w:p>
  </w:footnote>
  <w:footnote w:id="2069">
    <w:p w14:paraId="7E2DDE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“פאר הדור” ח״א (הערה 1 לעיל), עמ׳ </w:t>
      </w:r>
      <w:proofErr w:type="spellStart"/>
      <w:r>
        <w:rPr>
          <w:sz w:val="20"/>
          <w:szCs w:val="20"/>
          <w:rtl/>
        </w:rPr>
        <w:t>רנג</w:t>
      </w:r>
      <w:proofErr w:type="spellEnd"/>
      <w:r>
        <w:rPr>
          <w:sz w:val="20"/>
          <w:szCs w:val="20"/>
          <w:rtl/>
        </w:rPr>
        <w:t xml:space="preserve">, המצטט מאמר </w:t>
      </w:r>
      <w:proofErr w:type="spellStart"/>
      <w:r>
        <w:rPr>
          <w:sz w:val="20"/>
          <w:szCs w:val="20"/>
          <w:rtl/>
        </w:rPr>
        <w:t>ב“דגלנו</w:t>
      </w:r>
      <w:proofErr w:type="spellEnd"/>
      <w:r>
        <w:rPr>
          <w:sz w:val="20"/>
          <w:szCs w:val="20"/>
          <w:rtl/>
        </w:rPr>
        <w:t xml:space="preserve">” מסיון תשי״ד. השווה גם “פאר הדור” ח״א, עמ׳ </w:t>
      </w:r>
      <w:proofErr w:type="spellStart"/>
      <w:r>
        <w:rPr>
          <w:sz w:val="20"/>
          <w:szCs w:val="20"/>
          <w:rtl/>
        </w:rPr>
        <w:t>רנב</w:t>
      </w:r>
      <w:proofErr w:type="spellEnd"/>
      <w:r>
        <w:rPr>
          <w:sz w:val="20"/>
          <w:szCs w:val="20"/>
          <w:rtl/>
        </w:rPr>
        <w:t xml:space="preserve">, המצטט </w:t>
      </w:r>
      <w:proofErr w:type="spellStart"/>
      <w:r>
        <w:rPr>
          <w:sz w:val="20"/>
          <w:szCs w:val="20"/>
          <w:rtl/>
        </w:rPr>
        <w:t>מ“קובץ</w:t>
      </w:r>
      <w:proofErr w:type="spellEnd"/>
      <w:r>
        <w:rPr>
          <w:sz w:val="20"/>
          <w:szCs w:val="20"/>
          <w:rtl/>
        </w:rPr>
        <w:t xml:space="preserve"> אגרות” ח״א, </w:t>
      </w:r>
      <w:proofErr w:type="spellStart"/>
      <w:r>
        <w:rPr>
          <w:sz w:val="20"/>
          <w:szCs w:val="20"/>
          <w:rtl/>
        </w:rPr>
        <w:t>קנד</w:t>
      </w:r>
      <w:proofErr w:type="spellEnd"/>
      <w:r>
        <w:rPr>
          <w:sz w:val="20"/>
          <w:szCs w:val="20"/>
          <w:rtl/>
        </w:rPr>
        <w:t xml:space="preserve">, מכתב שכתב </w:t>
      </w:r>
      <w:proofErr w:type="spellStart"/>
      <w:r>
        <w:rPr>
          <w:sz w:val="20"/>
          <w:szCs w:val="20"/>
          <w:rtl/>
        </w:rPr>
        <w:t>החזון־איש</w:t>
      </w:r>
      <w:proofErr w:type="spellEnd"/>
      <w:r>
        <w:rPr>
          <w:sz w:val="20"/>
          <w:szCs w:val="20"/>
          <w:rtl/>
        </w:rPr>
        <w:t xml:space="preserve"> בחשון תרצ״ט: “ואני נמצאתי הרבה עם הסבא ז״ל </w:t>
      </w:r>
      <w:proofErr w:type="spellStart"/>
      <w:r>
        <w:rPr>
          <w:sz w:val="20"/>
          <w:szCs w:val="20"/>
          <w:rtl/>
        </w:rPr>
        <w:t>מסלבדקא</w:t>
      </w:r>
      <w:proofErr w:type="spellEnd"/>
      <w:r>
        <w:rPr>
          <w:sz w:val="20"/>
          <w:szCs w:val="20"/>
          <w:rtl/>
        </w:rPr>
        <w:t xml:space="preserve"> ועם הסבא ז״ל [כך במקור] ממיר ועם גדולי </w:t>
      </w:r>
      <w:proofErr w:type="spellStart"/>
      <w:r>
        <w:rPr>
          <w:sz w:val="20"/>
          <w:szCs w:val="20"/>
          <w:rtl/>
        </w:rPr>
        <w:t>תלמידיהון</w:t>
      </w:r>
      <w:proofErr w:type="spellEnd"/>
      <w:r>
        <w:rPr>
          <w:sz w:val="20"/>
          <w:szCs w:val="20"/>
          <w:rtl/>
        </w:rPr>
        <w:t xml:space="preserve"> שיחיו וגם עם גדולי </w:t>
      </w:r>
      <w:proofErr w:type="spellStart"/>
      <w:r>
        <w:rPr>
          <w:sz w:val="20"/>
          <w:szCs w:val="20"/>
          <w:rtl/>
        </w:rPr>
        <w:t>הנורדקאים</w:t>
      </w:r>
      <w:proofErr w:type="spellEnd"/>
      <w:r>
        <w:rPr>
          <w:sz w:val="20"/>
          <w:szCs w:val="20"/>
          <w:rtl/>
        </w:rPr>
        <w:t xml:space="preserve"> ותמיד </w:t>
      </w:r>
      <w:proofErr w:type="spellStart"/>
      <w:r>
        <w:rPr>
          <w:sz w:val="20"/>
          <w:szCs w:val="20"/>
          <w:rtl/>
        </w:rPr>
        <w:t>היתה</w:t>
      </w:r>
      <w:proofErr w:type="spellEnd"/>
      <w:r>
        <w:rPr>
          <w:sz w:val="20"/>
          <w:szCs w:val="20"/>
          <w:rtl/>
        </w:rPr>
        <w:t xml:space="preserve"> שרוי’ בינינו אהבה בלי מצרים והיו מסורים אלי בכל לב, ומעולם לא נמנעתי להזכיר בקורת בחריפות והם התענגו על זה (כי מטבע החכמים להתענג על מיתיבי יותר </w:t>
      </w:r>
      <w:proofErr w:type="spellStart"/>
      <w:r>
        <w:rPr>
          <w:sz w:val="20"/>
          <w:szCs w:val="20"/>
          <w:rtl/>
        </w:rPr>
        <w:t>מתניא</w:t>
      </w:r>
      <w:proofErr w:type="spellEnd"/>
      <w:r>
        <w:rPr>
          <w:sz w:val="20"/>
          <w:szCs w:val="20"/>
          <w:rtl/>
        </w:rPr>
        <w:t xml:space="preserve"> נמי הכי כמו שאמר ר״י </w:t>
      </w:r>
      <w:proofErr w:type="spellStart"/>
      <w:r>
        <w:rPr>
          <w:sz w:val="20"/>
          <w:szCs w:val="20"/>
          <w:rtl/>
        </w:rPr>
        <w:t>בב״מ</w:t>
      </w:r>
      <w:proofErr w:type="spellEnd"/>
      <w:r>
        <w:rPr>
          <w:sz w:val="20"/>
          <w:szCs w:val="20"/>
          <w:rtl/>
        </w:rPr>
        <w:t xml:space="preserve"> [סוף דף פ״ד ע״א]) וגם אני מתענג עליהם, ובפרט על הישיבות הצמודות בתורה ויראה ולא </w:t>
      </w:r>
      <w:proofErr w:type="spellStart"/>
      <w:r>
        <w:rPr>
          <w:sz w:val="20"/>
          <w:szCs w:val="20"/>
          <w:rtl/>
        </w:rPr>
        <w:t>יפרדו</w:t>
      </w:r>
      <w:proofErr w:type="spellEnd"/>
      <w:r>
        <w:rPr>
          <w:sz w:val="20"/>
          <w:szCs w:val="20"/>
          <w:rtl/>
        </w:rPr>
        <w:t>.”</w:t>
      </w:r>
    </w:p>
  </w:footnote>
  <w:footnote w:id="2070">
    <w:p w14:paraId="40AD9D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pr_f_2233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pr_f_2233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w:t>
      </w:r>
      <w:r>
        <w:rPr>
          <w:sz w:val="20"/>
          <w:szCs w:val="20"/>
          <w:rtl/>
        </w:rPr>
        <w:t>.</w:t>
      </w:r>
    </w:p>
  </w:footnote>
  <w:footnote w:id="2071">
    <w:p w14:paraId="5F83EB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הפסקה השנייה של נספח ב.</w:t>
      </w:r>
    </w:p>
  </w:footnote>
  <w:footnote w:id="2072">
    <w:p w14:paraId="63016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השנייה של נספח ח לעיל.</w:t>
      </w:r>
    </w:p>
  </w:footnote>
  <w:footnote w:id="2073">
    <w:p w14:paraId="46FF2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למשל, את הגדרתו של ר׳ חיים לתפקידו של רב, המובאת בפרק 5, בסוף הפסקה התשיעית של נספח ו. ראה גם פרק 5, נספח י, ואת הערת השוליים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הסבא </w:t>
      </w:r>
      <w:proofErr w:type="spellStart"/>
      <w:r>
        <w:rPr>
          <w:sz w:val="20"/>
          <w:szCs w:val="20"/>
          <w:rtl/>
        </w:rPr>
        <w:t>מסלבודקה</w:t>
      </w:r>
      <w:proofErr w:type="spellEnd"/>
      <w:r>
        <w:rPr>
          <w:sz w:val="20"/>
          <w:szCs w:val="20"/>
          <w:rtl/>
        </w:rPr>
        <w:t xml:space="preserve"> ראה בר׳ חיים בעל מוסר, על אף חילופי הדברים הידועים בינו לבין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הנדונים בפרק 4, נספח ט (והשווה סוף הפסקה הראשונה של נספח י, ואת הפסקה השנייה של נספח </w:t>
      </w:r>
      <w:proofErr w:type="spellStart"/>
      <w:r>
        <w:rPr>
          <w:sz w:val="20"/>
          <w:szCs w:val="20"/>
          <w:rtl/>
        </w:rPr>
        <w:t>יב</w:t>
      </w:r>
      <w:proofErr w:type="spellEnd"/>
      <w:r>
        <w:rPr>
          <w:sz w:val="20"/>
          <w:szCs w:val="20"/>
          <w:rtl/>
        </w:rPr>
        <w:t xml:space="preserve"> לעיל).</w:t>
      </w:r>
    </w:p>
  </w:footnote>
  <w:footnote w:id="2074">
    <w:p w14:paraId="454BF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49–50.</w:t>
      </w:r>
    </w:p>
  </w:footnote>
  <w:footnote w:id="2075">
    <w:p w14:paraId="0E828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כד להלן. אחת הדרכים שבהן אפשר שהיה ר׳ חיים מעורב היא באישור מעשהו של ר׳ </w:t>
      </w:r>
      <w:proofErr w:type="spellStart"/>
      <w:r>
        <w:rPr>
          <w:sz w:val="20"/>
          <w:szCs w:val="20"/>
          <w:rtl/>
        </w:rPr>
        <w:t>זלמן־סנדר</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pr_f_1967 \h </w:instrText>
      </w:r>
      <w:r>
        <w:rPr>
          <w:sz w:val="20"/>
          <w:szCs w:val="20"/>
          <w:rtl/>
        </w:rPr>
      </w:r>
      <w:r>
        <w:rPr>
          <w:sz w:val="20"/>
          <w:szCs w:val="20"/>
          <w:rtl/>
        </w:rPr>
        <w:fldChar w:fldCharType="separate"/>
      </w:r>
      <w:r w:rsidR="007923E9">
        <w:rPr>
          <w:sz w:val="20"/>
          <w:szCs w:val="20"/>
          <w:rtl/>
        </w:rPr>
        <w:t>1013</w:t>
      </w:r>
      <w:r>
        <w:rPr>
          <w:sz w:val="20"/>
          <w:szCs w:val="20"/>
          <w:rtl/>
        </w:rPr>
        <w:fldChar w:fldCharType="end"/>
      </w:r>
      <w:r>
        <w:rPr>
          <w:sz w:val="20"/>
          <w:szCs w:val="20"/>
          <w:rtl/>
        </w:rPr>
        <w:t xml:space="preserve"> על </w:t>
      </w:r>
      <w:proofErr w:type="spellStart"/>
      <w:r>
        <w:rPr>
          <w:sz w:val="20"/>
          <w:szCs w:val="20"/>
          <w:rtl/>
        </w:rPr>
        <w:t>וולקוביסק</w:t>
      </w:r>
      <w:proofErr w:type="spellEnd"/>
      <w:r>
        <w:rPr>
          <w:sz w:val="20"/>
          <w:szCs w:val="20"/>
          <w:rtl/>
        </w:rPr>
        <w:t xml:space="preserve"> בעמ׳ </w:t>
      </w:r>
      <w:r>
        <w:rPr>
          <w:sz w:val="20"/>
          <w:szCs w:val="20"/>
          <w:rtl/>
        </w:rPr>
        <w:fldChar w:fldCharType="begin" w:dirty="true"/>
      </w:r>
      <w:r>
        <w:rPr>
          <w:sz w:val="20"/>
          <w:szCs w:val="20"/>
          <w:rtl/>
        </w:rPr>
        <w:instrText xml:space="preserve"> PAGEREF pr_f_1967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076">
    <w:p w14:paraId="3FDB6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אנשי המוסר עצמם לא הגיבו בפומבי על ההתקפה עליהם, אבל במכתבים זה לזה הביעו את זעמם בלשון חריפה. השווה “פולמוס המוסר”, עמ׳ 157–158, ושם קטעים משתי שיחות של ר׳ </w:t>
      </w:r>
      <w:proofErr w:type="spellStart"/>
      <w:r>
        <w:rPr>
          <w:sz w:val="20"/>
          <w:szCs w:val="20"/>
          <w:rtl/>
        </w:rPr>
        <w:t>שמחה־זיסל</w:t>
      </w:r>
      <w:proofErr w:type="spellEnd"/>
      <w:r>
        <w:rPr>
          <w:sz w:val="20"/>
          <w:szCs w:val="20"/>
          <w:rtl/>
        </w:rPr>
        <w:t>, וכן את סוף נספח כד להלן.</w:t>
      </w:r>
    </w:p>
  </w:footnote>
  <w:footnote w:id="2077">
    <w:p w14:paraId="5EFA5B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אחד מתשעה תלמידי חכמים מופלגים שהסכמותיהם הדפיס </w:t>
      </w:r>
      <w:proofErr w:type="spellStart"/>
      <w:r>
        <w:rPr>
          <w:sz w:val="20"/>
          <w:szCs w:val="20"/>
          <w:rtl/>
        </w:rPr>
        <w:t>החפץ־חיים</w:t>
      </w:r>
      <w:proofErr w:type="spellEnd"/>
      <w:r>
        <w:rPr>
          <w:sz w:val="20"/>
          <w:szCs w:val="20"/>
          <w:rtl/>
        </w:rPr>
        <w:t xml:space="preserve"> בספרו “ליקוטי הלכות”, ובהם גם ר׳ יוסל </w:t>
      </w:r>
      <w:proofErr w:type="spellStart"/>
      <w:r>
        <w:rPr>
          <w:sz w:val="20"/>
          <w:szCs w:val="20"/>
          <w:rtl/>
        </w:rPr>
        <w:t>שלופר</w:t>
      </w:r>
      <w:proofErr w:type="spellEnd"/>
      <w:r>
        <w:rPr>
          <w:sz w:val="20"/>
          <w:szCs w:val="20"/>
          <w:rtl/>
        </w:rPr>
        <w:t xml:space="preserve"> מסלונים, ר׳ חיים </w:t>
      </w:r>
      <w:proofErr w:type="spellStart"/>
      <w:r>
        <w:rPr>
          <w:sz w:val="20"/>
          <w:szCs w:val="20"/>
          <w:rtl/>
        </w:rPr>
        <w:t>סולובייצ׳יק</w:t>
      </w:r>
      <w:proofErr w:type="spellEnd"/>
      <w:r>
        <w:rPr>
          <w:sz w:val="20"/>
          <w:szCs w:val="20"/>
          <w:rtl/>
        </w:rPr>
        <w:t xml:space="preserve"> </w:t>
      </w:r>
      <w:proofErr w:type="spellStart"/>
      <w:r>
        <w:rPr>
          <w:sz w:val="20"/>
          <w:szCs w:val="20"/>
          <w:rtl/>
        </w:rPr>
        <w:t>מבריסק</w:t>
      </w:r>
      <w:proofErr w:type="spellEnd"/>
      <w:r>
        <w:rPr>
          <w:sz w:val="20"/>
          <w:szCs w:val="20"/>
          <w:rtl/>
        </w:rPr>
        <w:t xml:space="preserve"> ור׳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w:t>
      </w:r>
      <w:proofErr w:type="spellStart"/>
      <w:r>
        <w:rPr>
          <w:sz w:val="20"/>
          <w:szCs w:val="20"/>
          <w:rtl/>
        </w:rPr>
        <w:t>מבילסק</w:t>
      </w:r>
      <w:proofErr w:type="spellEnd"/>
      <w:r>
        <w:rPr>
          <w:sz w:val="20"/>
          <w:szCs w:val="20"/>
          <w:rtl/>
        </w:rPr>
        <w:t xml:space="preserve"> (נספח ח לעיל, ופרק 4, הערה 8).</w:t>
      </w:r>
    </w:p>
  </w:footnote>
  <w:footnote w:id="2078">
    <w:p w14:paraId="459A2D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“פולמוס המוסר”, עמ׳ 144–146.</w:t>
      </w:r>
    </w:p>
  </w:footnote>
  <w:footnote w:id="2079">
    <w:p w14:paraId="46E2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המידע שבפסקה השנייה של נספח </w:t>
      </w:r>
      <w:proofErr w:type="spellStart"/>
      <w:r>
        <w:rPr>
          <w:sz w:val="20"/>
          <w:szCs w:val="20"/>
          <w:rtl/>
        </w:rPr>
        <w:t>כג</w:t>
      </w:r>
      <w:proofErr w:type="spellEnd"/>
      <w:r>
        <w:rPr>
          <w:sz w:val="20"/>
          <w:szCs w:val="20"/>
          <w:rtl/>
        </w:rPr>
        <w:t xml:space="preserve"> להלן.</w:t>
      </w:r>
    </w:p>
  </w:footnote>
  <w:footnote w:id="2080">
    <w:p w14:paraId="72D52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עמ׳ 87–91, 78 ו־60.</w:t>
      </w:r>
    </w:p>
  </w:footnote>
  <w:footnote w:id="2081">
    <w:p w14:paraId="767A3D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78, שם.</w:t>
      </w:r>
    </w:p>
  </w:footnote>
  <w:footnote w:id="2082">
    <w:p w14:paraId="4A921B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60, שם.</w:t>
      </w:r>
    </w:p>
  </w:footnote>
  <w:footnote w:id="2083">
    <w:p w14:paraId="6240F4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מומלץ לקורא לעיין </w:t>
      </w:r>
      <w:proofErr w:type="spellStart"/>
      <w:r>
        <w:rPr>
          <w:sz w:val="20"/>
          <w:szCs w:val="20"/>
          <w:rtl/>
        </w:rPr>
        <w:t>ב“סדר</w:t>
      </w:r>
      <w:proofErr w:type="spellEnd"/>
      <w:r>
        <w:rPr>
          <w:sz w:val="20"/>
          <w:szCs w:val="20"/>
          <w:rtl/>
        </w:rPr>
        <w:t xml:space="preserve"> אליהו”, כדי לצייר לעצמו באיזו עניות חי רב גדול באותן שנים. אפילו כיסא פשוט לשבת עליו היה קשה להשיג! התמותה החוזרת ונשנית של ילדים בבית הרב – תשעה </w:t>
      </w:r>
      <w:proofErr w:type="spellStart"/>
      <w:r>
        <w:rPr>
          <w:sz w:val="20"/>
          <w:szCs w:val="20"/>
          <w:rtl/>
        </w:rPr>
        <w:t>משלושה־עשר</w:t>
      </w:r>
      <w:proofErr w:type="spellEnd"/>
      <w:r>
        <w:rPr>
          <w:sz w:val="20"/>
          <w:szCs w:val="20"/>
          <w:rtl/>
        </w:rPr>
        <w:t xml:space="preserve"> ילדיו מתו – עשויה הייתה לנבוע מתנאי התברואה הירודים </w:t>
      </w:r>
      <w:proofErr w:type="spellStart"/>
      <w:r>
        <w:rPr>
          <w:sz w:val="20"/>
          <w:szCs w:val="20"/>
          <w:rtl/>
        </w:rPr>
        <w:t>ומתת־התזונה</w:t>
      </w:r>
      <w:proofErr w:type="spellEnd"/>
      <w:r>
        <w:rPr>
          <w:sz w:val="20"/>
          <w:szCs w:val="20"/>
          <w:rtl/>
        </w:rPr>
        <w:t xml:space="preserve"> ששררו בביתו הדל.</w:t>
      </w:r>
    </w:p>
  </w:footnote>
  <w:footnote w:id="2084">
    <w:p w14:paraId="710286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w:t>
      </w:r>
      <w:proofErr w:type="spellStart"/>
      <w:r>
        <w:rPr>
          <w:sz w:val="20"/>
          <w:szCs w:val="20"/>
          <w:rtl/>
        </w:rPr>
        <w:t>זכרון</w:t>
      </w:r>
      <w:proofErr w:type="spellEnd"/>
      <w:r>
        <w:rPr>
          <w:sz w:val="20"/>
          <w:szCs w:val="20"/>
          <w:rtl/>
        </w:rPr>
        <w:t xml:space="preserve"> יעקב” (נספח א לעיל), כרך ב, עמ׳ 176.</w:t>
      </w:r>
    </w:p>
  </w:footnote>
  <w:footnote w:id="2085">
    <w:p w14:paraId="08F7E6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הכוונה הייתה שכהונה כרב בעיר עשירה כריגה תאפשר לו להשיאם.</w:t>
      </w:r>
    </w:p>
  </w:footnote>
  <w:footnote w:id="2086">
    <w:p w14:paraId="295D9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כתובות פ״ט משניות ב–ג: אין </w:t>
      </w:r>
      <w:proofErr w:type="spellStart"/>
      <w:r>
        <w:rPr>
          <w:sz w:val="20"/>
          <w:szCs w:val="20"/>
          <w:rtl/>
        </w:rPr>
        <w:t>מרחמין</w:t>
      </w:r>
      <w:proofErr w:type="spellEnd"/>
      <w:r>
        <w:rPr>
          <w:sz w:val="20"/>
          <w:szCs w:val="20"/>
          <w:rtl/>
        </w:rPr>
        <w:t xml:space="preserve"> בדין.</w:t>
      </w:r>
    </w:p>
  </w:footnote>
  <w:footnote w:id="2087">
    <w:p w14:paraId="075E5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ר׳ זכריה </w:t>
      </w:r>
      <w:proofErr w:type="spellStart"/>
      <w:r>
        <w:rPr>
          <w:sz w:val="20"/>
          <w:szCs w:val="20"/>
          <w:rtl/>
        </w:rPr>
        <w:t>שפרונג</w:t>
      </w:r>
      <w:proofErr w:type="spellEnd"/>
      <w:r>
        <w:rPr>
          <w:sz w:val="20"/>
          <w:szCs w:val="20"/>
          <w:rtl/>
        </w:rPr>
        <w:t xml:space="preserve">, ר׳ </w:t>
      </w:r>
      <w:proofErr w:type="spellStart"/>
      <w:r>
        <w:rPr>
          <w:sz w:val="20"/>
          <w:szCs w:val="20"/>
          <w:rtl/>
        </w:rPr>
        <w:t>אלעזר־מנחם־מן</w:t>
      </w:r>
      <w:proofErr w:type="spellEnd"/>
      <w:r>
        <w:rPr>
          <w:sz w:val="20"/>
          <w:szCs w:val="20"/>
          <w:rtl/>
        </w:rPr>
        <w:t xml:space="preserve"> שך ציטט הכרעה זו של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כאשר בחר את מקבל הפרס השנתי של קרן אברהם הכהן, שניתן לכאורה על הצטיינות בלמדנות.</w:t>
      </w:r>
    </w:p>
  </w:footnote>
  <w:footnote w:id="2088">
    <w:p w14:paraId="48624B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61.</w:t>
      </w:r>
    </w:p>
  </w:footnote>
  <w:footnote w:id="2089">
    <w:p w14:paraId="7DED79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בהאשמה זו ייתכן שהתכוון </w:t>
      </w:r>
      <w:proofErr w:type="spellStart"/>
      <w:r>
        <w:rPr>
          <w:sz w:val="20"/>
          <w:szCs w:val="20"/>
          <w:rtl/>
        </w:rPr>
        <w:t>האדר״ת</w:t>
      </w:r>
      <w:proofErr w:type="spellEnd"/>
      <w:r>
        <w:rPr>
          <w:sz w:val="20"/>
          <w:szCs w:val="20"/>
          <w:rtl/>
        </w:rPr>
        <w:t xml:space="preserve"> לכך שכוונת ר׳ </w:t>
      </w:r>
      <w:proofErr w:type="spellStart"/>
      <w:r>
        <w:rPr>
          <w:sz w:val="20"/>
          <w:szCs w:val="20"/>
          <w:rtl/>
        </w:rPr>
        <w:t>יצחק־אלחנן</w:t>
      </w:r>
      <w:proofErr w:type="spellEnd"/>
      <w:r>
        <w:rPr>
          <w:sz w:val="20"/>
          <w:szCs w:val="20"/>
          <w:rtl/>
        </w:rPr>
        <w:t xml:space="preserve"> הייתה לרצות את מזכירו.</w:t>
      </w:r>
    </w:p>
  </w:footnote>
  <w:footnote w:id="2090">
    <w:p w14:paraId="1A6AF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הפסקה העשרים וארבע בנספח א; ופרק 5, סוף הפסקה השנייה בנספח ב.</w:t>
      </w:r>
    </w:p>
  </w:footnote>
  <w:footnote w:id="2091">
    <w:p w14:paraId="13C0BB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“סדר אליהו”, עמ׳ 89–90.</w:t>
      </w:r>
    </w:p>
  </w:footnote>
  <w:footnote w:id="2092">
    <w:p w14:paraId="63D50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בדצמבר 1997.</w:t>
      </w:r>
    </w:p>
  </w:footnote>
  <w:footnote w:id="2093">
    <w:p w14:paraId="7DA07C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בנובמבר 1897.</w:t>
      </w:r>
    </w:p>
  </w:footnote>
  <w:footnote w:id="2094">
    <w:p w14:paraId="10D83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התגורר פעם במינסק – ראה תחילת נספח טו להלן.</w:t>
      </w:r>
    </w:p>
  </w:footnote>
  <w:footnote w:id="2095">
    <w:p w14:paraId="521512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טו להלן.</w:t>
      </w:r>
    </w:p>
  </w:footnote>
  <w:footnote w:id="2096">
    <w:p w14:paraId="0D67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“סדר אליהו”, עמ׳ 95.</w:t>
      </w:r>
    </w:p>
  </w:footnote>
  <w:footnote w:id="2097">
    <w:p w14:paraId="5AD0AB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26.</w:t>
      </w:r>
    </w:p>
  </w:footnote>
  <w:footnote w:id="2098">
    <w:p w14:paraId="12452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w:t>
      </w:r>
    </w:p>
  </w:footnote>
  <w:footnote w:id="2099">
    <w:p w14:paraId="0246DF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הערה 224, ועמ׳ 237–238.</w:t>
      </w:r>
    </w:p>
  </w:footnote>
  <w:footnote w:id="2100">
    <w:p w14:paraId="73FDEF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תשכ״ט, עמ׳ 80.</w:t>
      </w:r>
    </w:p>
  </w:footnote>
  <w:footnote w:id="2101">
    <w:p w14:paraId="6FE408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ב“עלי</w:t>
      </w:r>
      <w:proofErr w:type="spellEnd"/>
      <w:r>
        <w:rPr>
          <w:sz w:val="20"/>
          <w:szCs w:val="20"/>
          <w:rtl/>
        </w:rPr>
        <w:t xml:space="preserve"> </w:t>
      </w:r>
      <w:proofErr w:type="spellStart"/>
      <w:r>
        <w:rPr>
          <w:sz w:val="20"/>
          <w:szCs w:val="20"/>
          <w:rtl/>
        </w:rPr>
        <w:t>חלדי</w:t>
      </w:r>
      <w:proofErr w:type="spellEnd"/>
      <w:r>
        <w:rPr>
          <w:sz w:val="20"/>
          <w:szCs w:val="20"/>
          <w:rtl/>
        </w:rPr>
        <w:t xml:space="preserve">” נאמר, שם, שר׳ מאיר עדיין היה במינסק בשנת תרנ״א. הדבר סותר את “הראשון לשושלת </w:t>
      </w:r>
      <w:proofErr w:type="spellStart"/>
      <w:r>
        <w:rPr>
          <w:sz w:val="20"/>
          <w:szCs w:val="20"/>
          <w:rtl/>
        </w:rPr>
        <w:t>בריסק</w:t>
      </w:r>
      <w:proofErr w:type="spellEnd"/>
      <w:r>
        <w:rPr>
          <w:sz w:val="20"/>
          <w:szCs w:val="20"/>
          <w:rtl/>
        </w:rPr>
        <w:t xml:space="preserve">”, הערה 224, הטוען שעזב את מינסק בשנת </w:t>
      </w:r>
      <w:proofErr w:type="spellStart"/>
      <w:r>
        <w:rPr>
          <w:sz w:val="20"/>
          <w:szCs w:val="20"/>
          <w:rtl/>
        </w:rPr>
        <w:t>תר״ן</w:t>
      </w:r>
      <w:proofErr w:type="spellEnd"/>
      <w:r>
        <w:rPr>
          <w:sz w:val="20"/>
          <w:szCs w:val="20"/>
          <w:rtl/>
        </w:rPr>
        <w:t xml:space="preserve">. כמה מן הפרטים שלעיל מופיעים </w:t>
      </w:r>
      <w:proofErr w:type="spellStart"/>
      <w:r>
        <w:rPr>
          <w:sz w:val="20"/>
          <w:szCs w:val="20"/>
          <w:rtl/>
        </w:rPr>
        <w:t>ב“פנקס</w:t>
      </w:r>
      <w:proofErr w:type="spellEnd"/>
      <w:r>
        <w:rPr>
          <w:sz w:val="20"/>
          <w:szCs w:val="20"/>
          <w:rtl/>
        </w:rPr>
        <w:t xml:space="preserve"> </w:t>
      </w:r>
      <w:proofErr w:type="spellStart"/>
      <w:r>
        <w:rPr>
          <w:sz w:val="20"/>
          <w:szCs w:val="20"/>
          <w:rtl/>
        </w:rPr>
        <w:t>סלוצק</w:t>
      </w:r>
      <w:proofErr w:type="spellEnd"/>
      <w:r>
        <w:rPr>
          <w:sz w:val="20"/>
          <w:szCs w:val="20"/>
          <w:rtl/>
        </w:rPr>
        <w:t>” (שם, פרק 1, הפסקה השנייה בנספח ד), עמ׳ 38 ו־87.</w:t>
      </w:r>
    </w:p>
  </w:footnote>
  <w:footnote w:id="2102">
    <w:p w14:paraId="1A2AB0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ביולי 1991.</w:t>
      </w:r>
    </w:p>
  </w:footnote>
  <w:footnote w:id="2103">
    <w:p w14:paraId="72C69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כדוגמה הראה לי המרואיין שר׳ </w:t>
      </w:r>
      <w:proofErr w:type="spellStart"/>
      <w:r>
        <w:rPr>
          <w:sz w:val="20"/>
          <w:szCs w:val="20"/>
          <w:rtl/>
        </w:rPr>
        <w:t>יענקל־דוד</w:t>
      </w:r>
      <w:proofErr w:type="spellEnd"/>
      <w:r>
        <w:rPr>
          <w:sz w:val="20"/>
          <w:szCs w:val="20"/>
          <w:rtl/>
        </w:rPr>
        <w:t xml:space="preserve"> מצטט בהקדמה </w:t>
      </w:r>
      <w:proofErr w:type="spellStart"/>
      <w:r>
        <w:rPr>
          <w:sz w:val="20"/>
          <w:szCs w:val="20"/>
          <w:rtl/>
        </w:rPr>
        <w:t>ל“פאת</w:t>
      </w:r>
      <w:proofErr w:type="spellEnd"/>
      <w:r>
        <w:rPr>
          <w:sz w:val="20"/>
          <w:szCs w:val="20"/>
          <w:rtl/>
        </w:rPr>
        <w:t xml:space="preserve"> השולחן” דברי זוהר, שלפיהם היהודים החוטאים יתייצבו לצד הגויים במלחמה האחרונה נגד יהודי ארץ ישראל – מלחמת גוג ומגוג. המרואיין, שנפטר </w:t>
      </w:r>
      <w:proofErr w:type="spellStart"/>
      <w:r>
        <w:rPr>
          <w:sz w:val="20"/>
          <w:szCs w:val="20"/>
          <w:rtl/>
        </w:rPr>
        <w:t>בתשנ״ד</w:t>
      </w:r>
      <w:proofErr w:type="spellEnd"/>
      <w:r>
        <w:rPr>
          <w:sz w:val="20"/>
          <w:szCs w:val="20"/>
          <w:rtl/>
        </w:rPr>
        <w:t xml:space="preserve">, ראה ברעיון שיהודים שאינם דתיים יתייצבו לצד אויבי עמנו קנאות; ייתכן שהיה חושב אחרת אילו האריך ימים עוד כמה שנים. בהקדמת ספרו “שו״ת בית </w:t>
      </w:r>
      <w:proofErr w:type="spellStart"/>
      <w:r>
        <w:rPr>
          <w:sz w:val="20"/>
          <w:szCs w:val="20"/>
          <w:rtl/>
        </w:rPr>
        <w:t>רידב״ז</w:t>
      </w:r>
      <w:proofErr w:type="spellEnd"/>
      <w:r>
        <w:rPr>
          <w:sz w:val="20"/>
          <w:szCs w:val="20"/>
          <w:rtl/>
        </w:rPr>
        <w:t xml:space="preserve">” (ירושלים, תרס״ח) מתאר ר׳ </w:t>
      </w:r>
      <w:proofErr w:type="spellStart"/>
      <w:r>
        <w:rPr>
          <w:sz w:val="20"/>
          <w:szCs w:val="20"/>
          <w:rtl/>
        </w:rPr>
        <w:t>יענקל־דוד</w:t>
      </w:r>
      <w:proofErr w:type="spellEnd"/>
      <w:r>
        <w:rPr>
          <w:sz w:val="20"/>
          <w:szCs w:val="20"/>
          <w:rtl/>
        </w:rPr>
        <w:t xml:space="preserve"> את עצמו כך: “ואני מעודי הייתי בטבעי קנאי גדול, ובעת ראיתי שעמודי היהדות מתרופפת ורוח הקרירות מנשבת </w:t>
      </w:r>
      <w:proofErr w:type="spellStart"/>
      <w:r>
        <w:rPr>
          <w:sz w:val="20"/>
          <w:szCs w:val="20"/>
          <w:rtl/>
        </w:rPr>
        <w:t>באהלי</w:t>
      </w:r>
      <w:proofErr w:type="spellEnd"/>
      <w:r>
        <w:rPr>
          <w:sz w:val="20"/>
          <w:szCs w:val="20"/>
          <w:rtl/>
        </w:rPr>
        <w:t xml:space="preserve"> ישראל לא יכולתי להתאפק ויצאתי ברוח הקנאה בכל כחי ומובן מאליו את גודל הנחת רוח שהי׳ לי בעולמי, אך </w:t>
      </w:r>
      <w:proofErr w:type="spellStart"/>
      <w:r>
        <w:rPr>
          <w:sz w:val="20"/>
          <w:szCs w:val="20"/>
          <w:rtl/>
        </w:rPr>
        <w:t>עכ״ז</w:t>
      </w:r>
      <w:proofErr w:type="spellEnd"/>
      <w:r>
        <w:rPr>
          <w:sz w:val="20"/>
          <w:szCs w:val="20"/>
          <w:rtl/>
        </w:rPr>
        <w:t xml:space="preserve"> לא התאפקתי כי לא אוכל </w:t>
      </w:r>
      <w:proofErr w:type="spellStart"/>
      <w:r>
        <w:rPr>
          <w:sz w:val="20"/>
          <w:szCs w:val="20"/>
          <w:rtl/>
        </w:rPr>
        <w:t>בשו״א</w:t>
      </w:r>
      <w:proofErr w:type="spellEnd"/>
      <w:r>
        <w:rPr>
          <w:sz w:val="20"/>
          <w:szCs w:val="20"/>
          <w:rtl/>
        </w:rPr>
        <w:t xml:space="preserve"> להתאפק ותחתי ארגז”.</w:t>
      </w:r>
    </w:p>
  </w:footnote>
  <w:footnote w:id="2104">
    <w:p w14:paraId="46D882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הסברה שר׳ </w:t>
      </w:r>
      <w:proofErr w:type="spellStart"/>
      <w:r>
        <w:rPr>
          <w:sz w:val="20"/>
          <w:szCs w:val="20"/>
          <w:rtl/>
        </w:rPr>
        <w:t>יענקל־דוד</w:t>
      </w:r>
      <w:proofErr w:type="spellEnd"/>
      <w:r>
        <w:rPr>
          <w:sz w:val="20"/>
          <w:szCs w:val="20"/>
          <w:rtl/>
        </w:rPr>
        <w:t xml:space="preserve"> פתח ישיבה כדי לצבור יתרון במאבקו עם ר׳ מאיר ניתנת לערעור. כעבור עשר שנים, כשכבר היה בשיקגו, כתב ר׳ </w:t>
      </w:r>
      <w:proofErr w:type="spellStart"/>
      <w:r>
        <w:rPr>
          <w:sz w:val="20"/>
          <w:szCs w:val="20"/>
          <w:rtl/>
        </w:rPr>
        <w:t>יענקל־דוד</w:t>
      </w:r>
      <w:proofErr w:type="spellEnd"/>
      <w:r>
        <w:rPr>
          <w:sz w:val="20"/>
          <w:szCs w:val="20"/>
          <w:rtl/>
        </w:rPr>
        <w:t xml:space="preserve"> הקדמה </w:t>
      </w:r>
      <w:proofErr w:type="spellStart"/>
      <w:r>
        <w:rPr>
          <w:sz w:val="20"/>
          <w:szCs w:val="20"/>
          <w:rtl/>
        </w:rPr>
        <w:t>ל“נימוקי</w:t>
      </w:r>
      <w:proofErr w:type="spellEnd"/>
      <w:r>
        <w:rPr>
          <w:sz w:val="20"/>
          <w:szCs w:val="20"/>
          <w:rtl/>
        </w:rPr>
        <w:t xml:space="preserve"> </w:t>
      </w:r>
      <w:proofErr w:type="spellStart"/>
      <w:r>
        <w:rPr>
          <w:sz w:val="20"/>
          <w:szCs w:val="20"/>
          <w:rtl/>
        </w:rPr>
        <w:t>הרידב״ז</w:t>
      </w:r>
      <w:proofErr w:type="spellEnd"/>
      <w:r>
        <w:rPr>
          <w:sz w:val="20"/>
          <w:szCs w:val="20"/>
          <w:rtl/>
        </w:rPr>
        <w:t xml:space="preserve">” – הנזכר לעיל, בהערת שוליים </w:t>
      </w:r>
      <w:r>
        <w:rPr>
          <w:sz w:val="20"/>
          <w:szCs w:val="20"/>
          <w:rtl/>
        </w:rPr>
        <w:fldChar w:fldCharType="begin" w:dirty="true"/>
      </w:r>
      <w:r>
        <w:rPr>
          <w:sz w:val="20"/>
          <w:szCs w:val="20"/>
          <w:rtl/>
        </w:rPr>
        <w:instrText xml:space="preserve"> NOTEREF pr_f_649 \h </w:instrText>
      </w:r>
      <w:r>
        <w:rPr>
          <w:sz w:val="20"/>
          <w:szCs w:val="20"/>
          <w:rtl/>
        </w:rPr>
      </w:r>
      <w:r>
        <w:rPr>
          <w:sz w:val="20"/>
          <w:szCs w:val="20"/>
          <w:rtl/>
        </w:rPr>
        <w:fldChar w:fldCharType="separate"/>
      </w:r>
      <w:r w:rsidR="007923E9">
        <w:rPr>
          <w:sz w:val="20"/>
          <w:szCs w:val="20"/>
          <w:rtl/>
        </w:rPr>
        <w:t>280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pr_f_649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ובה תיאר את מצוקתם של יהודי אמריקה, ודן באריכות בבעיות שמירת השבת, הכשרות, הנישואין והגירושין, ובעיתוני היידיש הלועגים לערכי הדת.</w:t>
      </w:r>
    </w:p>
    <w:p w14:paraId="7B1E75FE" w14:textId="77777777" w:rsidR="00AB3647" w:rsidRDefault="00000000">
      <w:pPr>
        <w:spacing w:after="0" w:before="0"/>
        <w:jc w:val="both"/>
      </w:pPr>
      <w:r>
        <w:rPr>
          <w:sz w:val="20"/>
          <w:szCs w:val="20"/>
          <w:rtl/>
        </w:rPr>
        <w:t xml:space="preserve">אבל את תוכחתו בת תשעת העמודים פותח ר׳ </w:t>
      </w:r>
      <w:proofErr w:type="spellStart"/>
      <w:r>
        <w:rPr>
          <w:sz w:val="20"/>
          <w:szCs w:val="20"/>
          <w:rtl/>
        </w:rPr>
        <w:t>יענקל־דוד</w:t>
      </w:r>
      <w:proofErr w:type="spellEnd"/>
      <w:r>
        <w:rPr>
          <w:sz w:val="20"/>
          <w:szCs w:val="20"/>
          <w:rtl/>
        </w:rPr>
        <w:t xml:space="preserve"> ומסיים בנושא החינוך, וחותם בקריאה: “</w:t>
      </w:r>
      <w:proofErr w:type="spellStart"/>
      <w:r>
        <w:rPr>
          <w:sz w:val="20"/>
          <w:szCs w:val="20"/>
          <w:rtl/>
        </w:rPr>
        <w:t>ובעו״ה</w:t>
      </w:r>
      <w:proofErr w:type="spellEnd"/>
      <w:r>
        <w:rPr>
          <w:sz w:val="20"/>
          <w:szCs w:val="20"/>
          <w:rtl/>
        </w:rPr>
        <w:t xml:space="preserve"> עינינו ראות </w:t>
      </w:r>
      <w:proofErr w:type="spellStart"/>
      <w:r>
        <w:rPr>
          <w:sz w:val="20"/>
          <w:szCs w:val="20"/>
          <w:rtl/>
        </w:rPr>
        <w:t>דהפולנים</w:t>
      </w:r>
      <w:proofErr w:type="spellEnd"/>
      <w:r>
        <w:rPr>
          <w:sz w:val="20"/>
          <w:szCs w:val="20"/>
          <w:rtl/>
        </w:rPr>
        <w:t xml:space="preserve"> [הקתולים] הבאו לארץ הזאת עשו כן ויחדו בתי ספר לבניהם </w:t>
      </w:r>
      <w:proofErr w:type="spellStart"/>
      <w:r>
        <w:rPr>
          <w:sz w:val="20"/>
          <w:szCs w:val="20"/>
          <w:rtl/>
        </w:rPr>
        <w:t>בטשאטשעס</w:t>
      </w:r>
      <w:proofErr w:type="spellEnd"/>
      <w:r>
        <w:rPr>
          <w:sz w:val="20"/>
          <w:szCs w:val="20"/>
          <w:rtl/>
        </w:rPr>
        <w:t xml:space="preserve"> שלהם למען שלא יתקלקלו דתם... אחי ועמי אין אני רואה שום תרופה לשבר בת עמי אם לא בדרך הזה ואליכם בע״ב החרידים לדבר ד׳ ובעלי תורה ולאחי הרבנים הגדולים בתורה וביראת ד׳ אשים דברתי עורו נא משנתכם הקיצו נא מתרדמותיכם והביטו וראו אם יש מכאוב כמכאובינו בכל יום ויום המרחק בינינו לבין אבינו שבשמים הולך וגדול. ואם לא עתה כ״ז שהדור הישן [של המהגרים] חי על האדמה אימתי ח״ו שלא </w:t>
      </w:r>
      <w:proofErr w:type="spellStart"/>
      <w:r>
        <w:rPr>
          <w:sz w:val="20"/>
          <w:szCs w:val="20"/>
          <w:rtl/>
        </w:rPr>
        <w:t>ישאר</w:t>
      </w:r>
      <w:proofErr w:type="spellEnd"/>
      <w:r>
        <w:rPr>
          <w:sz w:val="20"/>
          <w:szCs w:val="20"/>
          <w:rtl/>
        </w:rPr>
        <w:t xml:space="preserve"> יהודי בדור הבא אחרינו, קומו נא עורו נא והגידו צדקתכם לעם נולד ועשו </w:t>
      </w:r>
      <w:proofErr w:type="spellStart"/>
      <w:r>
        <w:rPr>
          <w:sz w:val="20"/>
          <w:szCs w:val="20"/>
          <w:rtl/>
        </w:rPr>
        <w:t>לכה״פ</w:t>
      </w:r>
      <w:proofErr w:type="spellEnd"/>
      <w:r>
        <w:rPr>
          <w:sz w:val="20"/>
          <w:szCs w:val="20"/>
          <w:rtl/>
        </w:rPr>
        <w:t xml:space="preserve"> כמתוקנים שבאומות”.</w:t>
      </w:r>
    </w:p>
    <w:p w14:paraId="5AA17FB7" w14:textId="77777777" w:rsidR="00AB3647" w:rsidRDefault="00000000">
      <w:pPr>
        <w:spacing w:after="0" w:before="0"/>
        <w:jc w:val="both"/>
      </w:pPr>
      <w:r>
        <w:rPr>
          <w:sz w:val="20"/>
          <w:szCs w:val="20"/>
          <w:rtl/>
        </w:rPr>
        <w:t xml:space="preserve">קריאת אזעקה זו, שהקדימה את זמנה, מדגימה היטב את החשיבות העליונה שייחס ר׳ </w:t>
      </w:r>
      <w:proofErr w:type="spellStart"/>
      <w:r>
        <w:rPr>
          <w:sz w:val="20"/>
          <w:szCs w:val="20"/>
          <w:rtl/>
        </w:rPr>
        <w:t>יענקל־דוד</w:t>
      </w:r>
      <w:proofErr w:type="spellEnd"/>
      <w:r>
        <w:rPr>
          <w:sz w:val="20"/>
          <w:szCs w:val="20"/>
          <w:rtl/>
        </w:rPr>
        <w:t xml:space="preserve"> לחינוך תורני, ודי היה בכך כדי להביאו להקים ישיבה בעירו. ראה גם תחילת הפסקה הבאה: ר׳ </w:t>
      </w:r>
      <w:proofErr w:type="spellStart"/>
      <w:r>
        <w:rPr>
          <w:sz w:val="20"/>
          <w:szCs w:val="20"/>
          <w:rtl/>
        </w:rPr>
        <w:t>יענקל־דוד</w:t>
      </w:r>
      <w:proofErr w:type="spellEnd"/>
      <w:r>
        <w:rPr>
          <w:sz w:val="20"/>
          <w:szCs w:val="20"/>
          <w:rtl/>
        </w:rPr>
        <w:t xml:space="preserve"> ניסה להביא את ישיבת </w:t>
      </w:r>
      <w:proofErr w:type="spellStart"/>
      <w:r>
        <w:rPr>
          <w:sz w:val="20"/>
          <w:szCs w:val="20"/>
          <w:rtl/>
        </w:rPr>
        <w:t>סלבודקה</w:t>
      </w:r>
      <w:proofErr w:type="spellEnd"/>
      <w:r>
        <w:rPr>
          <w:sz w:val="20"/>
          <w:szCs w:val="20"/>
          <w:rtl/>
        </w:rPr>
        <w:t xml:space="preserve"> </w:t>
      </w:r>
      <w:proofErr w:type="spellStart"/>
      <w:r>
        <w:rPr>
          <w:sz w:val="20"/>
          <w:szCs w:val="20"/>
          <w:rtl/>
        </w:rPr>
        <w:t>לסלוצק</w:t>
      </w:r>
      <w:proofErr w:type="spellEnd"/>
      <w:r>
        <w:rPr>
          <w:sz w:val="20"/>
          <w:szCs w:val="20"/>
          <w:rtl/>
        </w:rPr>
        <w:t xml:space="preserve"> עוד לפני תרנ״ז. מאחר שר׳ מאיר חזר </w:t>
      </w:r>
      <w:proofErr w:type="spellStart"/>
      <w:r>
        <w:rPr>
          <w:sz w:val="20"/>
          <w:szCs w:val="20"/>
          <w:rtl/>
        </w:rPr>
        <w:t>לסלוצק</w:t>
      </w:r>
      <w:proofErr w:type="spellEnd"/>
      <w:r>
        <w:rPr>
          <w:sz w:val="20"/>
          <w:szCs w:val="20"/>
          <w:rtl/>
        </w:rPr>
        <w:t xml:space="preserve"> </w:t>
      </w:r>
      <w:proofErr w:type="spellStart"/>
      <w:r>
        <w:rPr>
          <w:sz w:val="20"/>
          <w:szCs w:val="20"/>
          <w:rtl/>
        </w:rPr>
        <w:t>בתרנ״ה</w:t>
      </w:r>
      <w:proofErr w:type="spellEnd"/>
      <w:r>
        <w:rPr>
          <w:sz w:val="20"/>
          <w:szCs w:val="20"/>
          <w:rtl/>
        </w:rPr>
        <w:t xml:space="preserve">, סביר שהניסיון המוקדם התרחש לפני שאויביו של הרב </w:t>
      </w:r>
      <w:proofErr w:type="spellStart"/>
      <w:r>
        <w:rPr>
          <w:sz w:val="20"/>
          <w:szCs w:val="20"/>
          <w:rtl/>
        </w:rPr>
        <w:t>ווילובסקי</w:t>
      </w:r>
      <w:proofErr w:type="spellEnd"/>
      <w:r>
        <w:rPr>
          <w:sz w:val="20"/>
          <w:szCs w:val="20"/>
          <w:rtl/>
        </w:rPr>
        <w:t xml:space="preserve"> ארגנו את ההתנגדות לו, ונבע מפעילותו המסורה והנקייה מנגיעות למען החינוך התורני.</w:t>
      </w:r>
    </w:p>
  </w:footnote>
  <w:footnote w:id="2105">
    <w:p w14:paraId="00AD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63–66 ו־74.</w:t>
      </w:r>
    </w:p>
  </w:footnote>
  <w:footnote w:id="2106">
    <w:p w14:paraId="1BF28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7.</w:t>
      </w:r>
    </w:p>
  </w:footnote>
  <w:footnote w:id="2107">
    <w:p w14:paraId="4370F6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 איברא” (נספח י לעיל).</w:t>
      </w:r>
    </w:p>
  </w:footnote>
  <w:footnote w:id="2108">
    <w:p w14:paraId="5FB572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40.</w:t>
      </w:r>
    </w:p>
  </w:footnote>
  <w:footnote w:id="2109">
    <w:p w14:paraId="4F003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א לעיל, עמ׳ </w:t>
      </w:r>
      <w:proofErr w:type="spellStart"/>
      <w:r>
        <w:rPr>
          <w:sz w:val="20"/>
          <w:szCs w:val="20"/>
          <w:rtl/>
        </w:rPr>
        <w:t>רס</w:t>
      </w:r>
      <w:proofErr w:type="spellEnd"/>
      <w:r>
        <w:rPr>
          <w:sz w:val="20"/>
          <w:szCs w:val="20"/>
          <w:rtl/>
        </w:rPr>
        <w:t>–</w:t>
      </w:r>
      <w:proofErr w:type="spellStart"/>
      <w:r>
        <w:rPr>
          <w:sz w:val="20"/>
          <w:szCs w:val="20"/>
          <w:rtl/>
        </w:rPr>
        <w:t>רסא</w:t>
      </w:r>
      <w:proofErr w:type="spellEnd"/>
      <w:r>
        <w:rPr>
          <w:sz w:val="20"/>
          <w:szCs w:val="20"/>
          <w:rtl/>
        </w:rPr>
        <w:t>.</w:t>
      </w:r>
    </w:p>
  </w:footnote>
  <w:footnote w:id="2110">
    <w:p w14:paraId="55FD0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“פולמוס המוסר”, עמ׳ 257, טועה בהניחו שהישיבה החדשה הוקמה בגלל התנגדותם של כמה תלמידים לדרך המוסר בישיבתו של ר׳ </w:t>
      </w:r>
      <w:proofErr w:type="spellStart"/>
      <w:r>
        <w:rPr>
          <w:sz w:val="20"/>
          <w:szCs w:val="20"/>
          <w:rtl/>
        </w:rPr>
        <w:t>איסר־זלמן</w:t>
      </w:r>
      <w:proofErr w:type="spellEnd"/>
      <w:r>
        <w:rPr>
          <w:sz w:val="20"/>
          <w:szCs w:val="20"/>
          <w:rtl/>
        </w:rPr>
        <w:t xml:space="preserve">. בני משפחת </w:t>
      </w:r>
      <w:proofErr w:type="spellStart"/>
      <w:r>
        <w:rPr>
          <w:sz w:val="20"/>
          <w:szCs w:val="20"/>
          <w:rtl/>
        </w:rPr>
        <w:t>פיימר</w:t>
      </w:r>
      <w:proofErr w:type="spellEnd"/>
      <w:r>
        <w:rPr>
          <w:sz w:val="20"/>
          <w:szCs w:val="20"/>
          <w:rtl/>
        </w:rPr>
        <w:t xml:space="preserve"> רק ניצלו את רצונם של כמה תלמידים בלימודים כלליים כדי להקים מוסד משלהם.</w:t>
      </w:r>
    </w:p>
  </w:footnote>
  <w:footnote w:id="2111">
    <w:p w14:paraId="67DB0E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 לעיל, ופרק 5, סוף הפסקה השנייה בנספח ב.</w:t>
      </w:r>
    </w:p>
  </w:footnote>
  <w:footnote w:id="2112">
    <w:p w14:paraId="59B9C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xml:space="preserve"> להלן. השווה גם נספח יא לעיל: ר׳ חיים התייצב לימינו של יורש שהדין עמו </w:t>
      </w:r>
      <w:proofErr w:type="spellStart"/>
      <w:r>
        <w:rPr>
          <w:sz w:val="20"/>
          <w:szCs w:val="20"/>
          <w:rtl/>
        </w:rPr>
        <w:t>לכסא</w:t>
      </w:r>
      <w:proofErr w:type="spellEnd"/>
      <w:r>
        <w:rPr>
          <w:sz w:val="20"/>
          <w:szCs w:val="20"/>
          <w:rtl/>
        </w:rPr>
        <w:t xml:space="preserve"> רבנות, כנגד קרובו שלו; ובוודאי היה עומד לצד קרובו אילו היה הדבר מוצדק!</w:t>
      </w:r>
    </w:p>
  </w:footnote>
  <w:footnote w:id="2113">
    <w:p w14:paraId="475EF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רש״י, בראשית א, </w:t>
      </w:r>
      <w:proofErr w:type="spellStart"/>
      <w:r>
        <w:rPr>
          <w:sz w:val="20"/>
          <w:szCs w:val="20"/>
          <w:rtl/>
        </w:rPr>
        <w:t>טז</w:t>
      </w:r>
      <w:proofErr w:type="spellEnd"/>
      <w:r>
        <w:rPr>
          <w:sz w:val="20"/>
          <w:szCs w:val="20"/>
          <w:rtl/>
        </w:rPr>
        <w:t>.</w:t>
      </w:r>
    </w:p>
  </w:footnote>
  <w:footnote w:id="2114">
    <w:p w14:paraId="225B0C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עמ׳ 10.</w:t>
      </w:r>
    </w:p>
  </w:footnote>
  <w:footnote w:id="2115">
    <w:p w14:paraId="1A004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א לעיל, ואת עמ׳ </w:t>
      </w:r>
      <w:r>
        <w:rPr>
          <w:sz w:val="20"/>
          <w:szCs w:val="20"/>
          <w:rtl/>
        </w:rPr>
        <w:fldChar w:fldCharType="begin" w:dirty="true"/>
      </w:r>
      <w:r>
        <w:rPr>
          <w:sz w:val="20"/>
          <w:szCs w:val="20"/>
          <w:rtl/>
        </w:rPr>
        <w:instrText xml:space="preserve"> PAGEREF pr_b_1315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16">
    <w:p w14:paraId="16DAAA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ז׳ בשבט תשל״ו.</w:t>
      </w:r>
    </w:p>
  </w:footnote>
  <w:footnote w:id="2117">
    <w:p w14:paraId="5DC2F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85.</w:t>
      </w:r>
    </w:p>
  </w:footnote>
  <w:footnote w:id="2118">
    <w:p w14:paraId="1AB122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למרות התחרות של ר׳ </w:t>
      </w:r>
      <w:proofErr w:type="spellStart"/>
      <w:r>
        <w:rPr>
          <w:sz w:val="20"/>
          <w:szCs w:val="20"/>
          <w:rtl/>
        </w:rPr>
        <w:t>איסר־זלמן</w:t>
      </w:r>
      <w:proofErr w:type="spellEnd"/>
      <w:r>
        <w:rPr>
          <w:sz w:val="20"/>
          <w:szCs w:val="20"/>
          <w:rtl/>
        </w:rPr>
        <w:t xml:space="preserve"> עם גיסו, כפי שבאה לידי ביטוי במשפט הראשון שבדברים אלה, צדקותו וטוהר לבו אפשרו לו להעניק בשנת תרס״ג </w:t>
      </w:r>
      <w:proofErr w:type="spellStart"/>
      <w:r>
        <w:rPr>
          <w:sz w:val="20"/>
          <w:szCs w:val="20"/>
          <w:rtl/>
        </w:rPr>
        <w:t>לר</w:t>
      </w:r>
      <w:proofErr w:type="spellEnd"/>
      <w:r>
        <w:rPr>
          <w:sz w:val="20"/>
          <w:szCs w:val="20"/>
          <w:rtl/>
        </w:rPr>
        <w:t xml:space="preserve">׳ </w:t>
      </w:r>
      <w:proofErr w:type="spellStart"/>
      <w:r>
        <w:rPr>
          <w:sz w:val="20"/>
          <w:szCs w:val="20"/>
          <w:rtl/>
        </w:rPr>
        <w:t>יוסף־אליהו</w:t>
      </w:r>
      <w:proofErr w:type="spellEnd"/>
      <w:r>
        <w:rPr>
          <w:sz w:val="20"/>
          <w:szCs w:val="20"/>
          <w:rtl/>
        </w:rPr>
        <w:t xml:space="preserve"> </w:t>
      </w:r>
      <w:proofErr w:type="spellStart"/>
      <w:r>
        <w:rPr>
          <w:sz w:val="20"/>
          <w:szCs w:val="20"/>
          <w:rtl/>
        </w:rPr>
        <w:t>הענקין</w:t>
      </w:r>
      <w:proofErr w:type="spellEnd"/>
      <w:r>
        <w:rPr>
          <w:sz w:val="20"/>
          <w:szCs w:val="20"/>
          <w:rtl/>
        </w:rPr>
        <w:t xml:space="preserve">, תלמידו במשך שש שנים, מתנת פרידה: את הספר שפרסם ר׳ </w:t>
      </w:r>
      <w:proofErr w:type="spellStart"/>
      <w:r>
        <w:rPr>
          <w:sz w:val="20"/>
          <w:szCs w:val="20"/>
          <w:rtl/>
        </w:rPr>
        <w:t>משה־מרדכי</w:t>
      </w:r>
      <w:proofErr w:type="spellEnd"/>
      <w:r>
        <w:rPr>
          <w:sz w:val="20"/>
          <w:szCs w:val="20"/>
          <w:rtl/>
        </w:rPr>
        <w:t xml:space="preserve"> שנתיים קודם לכן, “לבוש מרדכי” על מסכת בבא קמא (</w:t>
      </w:r>
      <w:proofErr w:type="spellStart"/>
      <w:r>
        <w:rPr>
          <w:sz w:val="20"/>
          <w:szCs w:val="20"/>
          <w:rtl/>
        </w:rPr>
        <w:t>ידעאל</w:t>
      </w:r>
      <w:proofErr w:type="spellEnd"/>
      <w:r>
        <w:rPr>
          <w:sz w:val="20"/>
          <w:szCs w:val="20"/>
          <w:rtl/>
        </w:rPr>
        <w:t xml:space="preserve"> מלצר, “בדרך עץ החיים”, עמ׳ 95).</w:t>
      </w:r>
    </w:p>
  </w:footnote>
  <w:footnote w:id="2119">
    <w:p w14:paraId="188BD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120">
    <w:p w14:paraId="48B6A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באוקטובר 1995.</w:t>
      </w:r>
    </w:p>
  </w:footnote>
  <w:footnote w:id="2121">
    <w:p w14:paraId="22064B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האחרונה בספרו של </w:t>
      </w:r>
      <w:proofErr w:type="spellStart"/>
      <w:r>
        <w:rPr>
          <w:sz w:val="20"/>
          <w:szCs w:val="20"/>
          <w:rtl/>
        </w:rPr>
        <w:t>ידעאל</w:t>
      </w:r>
      <w:proofErr w:type="spellEnd"/>
      <w:r>
        <w:rPr>
          <w:sz w:val="20"/>
          <w:szCs w:val="20"/>
          <w:rtl/>
        </w:rPr>
        <w:t xml:space="preserve"> מלצר, “בדרך עץ החיים”, עמ׳ 112, כיצד תפס ר׳ </w:t>
      </w:r>
      <w:proofErr w:type="spellStart"/>
      <w:r>
        <w:rPr>
          <w:sz w:val="20"/>
          <w:szCs w:val="20"/>
          <w:rtl/>
        </w:rPr>
        <w:t>איסר־זלמן</w:t>
      </w:r>
      <w:proofErr w:type="spellEnd"/>
      <w:r>
        <w:rPr>
          <w:sz w:val="20"/>
          <w:szCs w:val="20"/>
          <w:rtl/>
        </w:rPr>
        <w:t xml:space="preserve"> את ההבדל באופי בינו לבין גיסו, והפסקה הראשונה בעמ׳ 442 שם, על מידת דבקותם של התלמידים בר׳ </w:t>
      </w:r>
      <w:proofErr w:type="spellStart"/>
      <w:r>
        <w:rPr>
          <w:sz w:val="20"/>
          <w:szCs w:val="20"/>
          <w:rtl/>
        </w:rPr>
        <w:t>איסר־זלמן</w:t>
      </w:r>
      <w:proofErr w:type="spellEnd"/>
      <w:r>
        <w:rPr>
          <w:sz w:val="20"/>
          <w:szCs w:val="20"/>
          <w:rtl/>
        </w:rPr>
        <w:t>.</w:t>
      </w:r>
    </w:p>
  </w:footnote>
  <w:footnote w:id="2122">
    <w:p w14:paraId="6685B8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w:t>
      </w:r>
    </w:p>
  </w:footnote>
  <w:footnote w:id="2123">
    <w:p w14:paraId="330D7D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“לפרקים” (נספח א לעיל), עמ׳ שט.</w:t>
      </w:r>
    </w:p>
  </w:footnote>
  <w:footnote w:id="2124">
    <w:p w14:paraId="279A83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נספחים ו </w:t>
      </w:r>
      <w:proofErr w:type="spellStart"/>
      <w:r>
        <w:rPr>
          <w:sz w:val="20"/>
          <w:szCs w:val="20"/>
          <w:rtl/>
        </w:rPr>
        <w:t>ו־יב</w:t>
      </w:r>
      <w:proofErr w:type="spellEnd"/>
      <w:r>
        <w:rPr>
          <w:sz w:val="20"/>
          <w:szCs w:val="20"/>
          <w:rtl/>
        </w:rPr>
        <w:t xml:space="preserve"> לעיל.</w:t>
      </w:r>
    </w:p>
  </w:footnote>
  <w:footnote w:id="2125">
    <w:p w14:paraId="6DA2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“פולמוס המוסר”, עמ׳ 28.</w:t>
      </w:r>
    </w:p>
  </w:footnote>
  <w:footnote w:id="2126">
    <w:p w14:paraId="0B78E9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127">
    <w:p w14:paraId="38B4D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224.</w:t>
      </w:r>
    </w:p>
  </w:footnote>
  <w:footnote w:id="2128">
    <w:p w14:paraId="0CA69B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לעיל. השווה גם חשדו של אבי המצוטט בנספח </w:t>
      </w:r>
      <w:proofErr w:type="spellStart"/>
      <w:r>
        <w:rPr>
          <w:sz w:val="20"/>
          <w:szCs w:val="20"/>
          <w:rtl/>
        </w:rPr>
        <w:t>יב</w:t>
      </w:r>
      <w:proofErr w:type="spellEnd"/>
      <w:r>
        <w:rPr>
          <w:sz w:val="20"/>
          <w:szCs w:val="20"/>
          <w:rtl/>
        </w:rPr>
        <w:t xml:space="preserve"> לעיל.</w:t>
      </w:r>
    </w:p>
  </w:footnote>
  <w:footnote w:id="2129">
    <w:p w14:paraId="6E989C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לי ב־18 בדצמבר 1987, לאחר שהקדים ואמר שרבנו “דיבר על ר׳ יעקב הלוי ליפשיץ פעמים רבות”.</w:t>
      </w:r>
    </w:p>
  </w:footnote>
  <w:footnote w:id="2130">
    <w:p w14:paraId="6FB49C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פרק 4, הפסקה החמישית של נספח ט.</w:t>
      </w:r>
    </w:p>
  </w:footnote>
  <w:footnote w:id="2131">
    <w:p w14:paraId="7EEEEF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שו״ע</w:t>
      </w:r>
      <w:proofErr w:type="spellEnd"/>
      <w:r>
        <w:rPr>
          <w:sz w:val="20"/>
          <w:szCs w:val="20"/>
          <w:rtl/>
        </w:rPr>
        <w:t xml:space="preserve"> יו״ד סימן רמ״ד ס״ז.</w:t>
      </w:r>
    </w:p>
  </w:footnote>
  <w:footnote w:id="2132">
    <w:p w14:paraId="2F681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סוף נספח </w:t>
      </w:r>
      <w:proofErr w:type="spellStart"/>
      <w:r>
        <w:rPr>
          <w:sz w:val="20"/>
          <w:szCs w:val="20"/>
          <w:rtl/>
        </w:rPr>
        <w:t>יב</w:t>
      </w:r>
      <w:proofErr w:type="spellEnd"/>
      <w:r>
        <w:rPr>
          <w:sz w:val="20"/>
          <w:szCs w:val="20"/>
          <w:rtl/>
        </w:rPr>
        <w:t xml:space="preserve"> לעיל, והערתו השנונה של רבנו על ר׳ יעקב הלוי ליפשיץ בפרק 4, הפסקה השנייה של נספח ב.</w:t>
      </w:r>
    </w:p>
  </w:footnote>
  <w:footnote w:id="2133">
    <w:p w14:paraId="47394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(נספח א לעיל), עמ׳ 295–304; ופרק 4, הפסקה השנייה של נספח ח.</w:t>
      </w:r>
    </w:p>
  </w:footnote>
  <w:footnote w:id="2134">
    <w:p w14:paraId="7BDE72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של נספח א לעיל. נכדו של ר׳ יעקב הלוי ליפשיץ מתח במכתבו אליי ביקורת על “יחסו המשוחד בעליל של ר׳ דב כץ נגד ר׳ יעקב הלוי ליפשיץ במקרים רבים, שבהם הוא משמיע הערות מזלזלות נגדו ונגד אחיו הגדול, ר׳ יהודה הלוי ליפשיץ, רבה של </w:t>
      </w:r>
      <w:proofErr w:type="spellStart"/>
      <w:r>
        <w:rPr>
          <w:sz w:val="20"/>
          <w:szCs w:val="20"/>
          <w:rtl/>
        </w:rPr>
        <w:t>מערעטש</w:t>
      </w:r>
      <w:proofErr w:type="spellEnd"/>
      <w:r>
        <w:rPr>
          <w:sz w:val="20"/>
          <w:szCs w:val="20"/>
          <w:rtl/>
        </w:rPr>
        <w:t>. מצאתי מקרים רבים של סילופים מסוג זה”, כתב.</w:t>
      </w:r>
    </w:p>
    <w:p w14:paraId="1FED3B6F" w14:textId="77777777" w:rsidR="00AB3647" w:rsidRDefault="00000000">
      <w:pPr>
        <w:spacing w:after="0" w:before="0"/>
        <w:jc w:val="both"/>
      </w:pPr>
      <w:r>
        <w:rPr>
          <w:sz w:val="20"/>
          <w:szCs w:val="20"/>
          <w:rtl/>
        </w:rPr>
        <w:t xml:space="preserve">אבל לא הצלחתי למצוא שום הערות מזלזלות נגד ר׳ יעקב הלוי בחמשת כרכי “תנועת המוסר” של היסטוריון המוסר. </w:t>
      </w:r>
      <w:proofErr w:type="spellStart"/>
      <w:r>
        <w:rPr>
          <w:sz w:val="20"/>
          <w:szCs w:val="20"/>
          <w:rtl/>
        </w:rPr>
        <w:t>ה“סילוף</w:t>
      </w:r>
      <w:proofErr w:type="spellEnd"/>
      <w:r>
        <w:rPr>
          <w:sz w:val="20"/>
          <w:szCs w:val="20"/>
          <w:rtl/>
        </w:rPr>
        <w:t xml:space="preserve">” האפשרי היחיד – אם אפשר לכנותו כך – הוא בכרך הראשון, עמ׳ 202. שם מביע ר׳ דב כץ הערכה </w:t>
      </w:r>
      <w:proofErr w:type="spellStart"/>
      <w:r>
        <w:rPr>
          <w:sz w:val="20"/>
          <w:szCs w:val="20"/>
          <w:rtl/>
        </w:rPr>
        <w:t>לר</w:t>
      </w:r>
      <w:proofErr w:type="spellEnd"/>
      <w:r>
        <w:rPr>
          <w:sz w:val="20"/>
          <w:szCs w:val="20"/>
          <w:rtl/>
        </w:rPr>
        <w:t>׳ יעקב הלוי ליפשיץ (“חיתי לו”) על שחשף אגב אורחא, בספרו “</w:t>
      </w:r>
      <w:proofErr w:type="spellStart"/>
      <w:r>
        <w:rPr>
          <w:sz w:val="20"/>
          <w:szCs w:val="20"/>
          <w:rtl/>
        </w:rPr>
        <w:t>זכרון</w:t>
      </w:r>
      <w:proofErr w:type="spellEnd"/>
      <w:r>
        <w:rPr>
          <w:sz w:val="20"/>
          <w:szCs w:val="20"/>
          <w:rtl/>
        </w:rPr>
        <w:t xml:space="preserve"> יעקב”, טפח מפעילותו [הציבורית הענפה] של ר׳ ישראל </w:t>
      </w:r>
      <w:proofErr w:type="spellStart"/>
      <w:r>
        <w:rPr>
          <w:sz w:val="20"/>
          <w:szCs w:val="20"/>
          <w:rtl/>
        </w:rPr>
        <w:t>סלנטר</w:t>
      </w:r>
      <w:proofErr w:type="spellEnd"/>
      <w:r>
        <w:rPr>
          <w:sz w:val="20"/>
          <w:szCs w:val="20"/>
          <w:rtl/>
        </w:rPr>
        <w:t xml:space="preserve">, ומתאר אותו כמי </w:t>
      </w:r>
      <w:proofErr w:type="spellStart"/>
      <w:r>
        <w:rPr>
          <w:sz w:val="20"/>
          <w:szCs w:val="20"/>
          <w:rtl/>
        </w:rPr>
        <w:t>ש“עסק</w:t>
      </w:r>
      <w:proofErr w:type="spellEnd"/>
      <w:r>
        <w:rPr>
          <w:sz w:val="20"/>
          <w:szCs w:val="20"/>
          <w:rtl/>
        </w:rPr>
        <w:t xml:space="preserve"> אז, במשך זמן מסוים, בענייני ציבור כמזכירו הפרטי של ר׳ </w:t>
      </w:r>
      <w:proofErr w:type="spellStart"/>
      <w:r>
        <w:rPr>
          <w:sz w:val="20"/>
          <w:szCs w:val="20"/>
          <w:rtl/>
        </w:rPr>
        <w:t>יצחק־אלחנן</w:t>
      </w:r>
      <w:proofErr w:type="spellEnd"/>
      <w:r>
        <w:rPr>
          <w:sz w:val="20"/>
          <w:szCs w:val="20"/>
          <w:rtl/>
        </w:rPr>
        <w:t xml:space="preserve"> מקובנה”. בכך הוא מקצר – שלא במתכוון, לדעתי – את משך שירותו הציבורי של ר׳ יעקב הלוי לעומת משכו האמיתי. גם לא מצאתי שום אזכור של ר׳ יהודה הלוי ליפשיץ </w:t>
      </w:r>
      <w:proofErr w:type="spellStart"/>
      <w:r>
        <w:rPr>
          <w:sz w:val="20"/>
          <w:szCs w:val="20"/>
          <w:rtl/>
        </w:rPr>
        <w:t>ב“תנועת</w:t>
      </w:r>
      <w:proofErr w:type="spellEnd"/>
      <w:r>
        <w:rPr>
          <w:sz w:val="20"/>
          <w:szCs w:val="20"/>
          <w:rtl/>
        </w:rPr>
        <w:t xml:space="preserve"> המוסר”.</w:t>
      </w:r>
    </w:p>
    <w:p w14:paraId="6B0DD2BC" w14:textId="77777777" w:rsidR="00AB3647" w:rsidRDefault="00000000">
      <w:pPr>
        <w:spacing w:after="0" w:before="0"/>
        <w:jc w:val="both"/>
      </w:pPr>
      <w:proofErr w:type="spellStart"/>
      <w:r>
        <w:rPr>
          <w:sz w:val="20"/>
          <w:szCs w:val="20"/>
          <w:rtl/>
        </w:rPr>
        <w:t>ב“פולמוס</w:t>
      </w:r>
      <w:proofErr w:type="spellEnd"/>
      <w:r>
        <w:rPr>
          <w:sz w:val="20"/>
          <w:szCs w:val="20"/>
          <w:rtl/>
        </w:rPr>
        <w:t xml:space="preserve"> המוסר” מזכיר ר׳ דב כץ את ר׳ יעקב הלוי שלוש פעמים: פעמיים בציטוטים עליו ומפיו, ופעם בהערת שוליים בעמ׳ 112: “השמועה אומרת ש[האיגרת ‘למען דעת’] חוברה בידי ר׳ יעקב הלוי ליפשיץ הידוע, ששימש מזכירו של ר׳ </w:t>
      </w:r>
      <w:proofErr w:type="spellStart"/>
      <w:r>
        <w:rPr>
          <w:sz w:val="20"/>
          <w:szCs w:val="20"/>
          <w:rtl/>
        </w:rPr>
        <w:t>יצחק־אלחנן</w:t>
      </w:r>
      <w:proofErr w:type="spellEnd"/>
      <w:r>
        <w:rPr>
          <w:sz w:val="20"/>
          <w:szCs w:val="20"/>
          <w:rtl/>
        </w:rPr>
        <w:t xml:space="preserve"> והיה מן הלוחמים העזים ביותר נגד המוסר.” איני רואה שום זלזול או סילוף בציטוט זה. אחיו של ר׳ יעקב הלוי ליפשיץ, ר׳ יהודה, נזכר רק פעם אחת </w:t>
      </w:r>
      <w:proofErr w:type="spellStart"/>
      <w:r>
        <w:rPr>
          <w:sz w:val="20"/>
          <w:szCs w:val="20"/>
          <w:rtl/>
        </w:rPr>
        <w:t>ב“פולמוס</w:t>
      </w:r>
      <w:proofErr w:type="spellEnd"/>
      <w:r>
        <w:rPr>
          <w:sz w:val="20"/>
          <w:szCs w:val="20"/>
          <w:rtl/>
        </w:rPr>
        <w:t xml:space="preserve"> המוסר”, ברשימת תשעת הרבנים שחתמו על הכרוז נגד המוסר. אפשר לראות פגיעה בכבודו של ר׳ יעקב הלוי – אך רק בדוחק – בדרך שבה נרשם שמו במפתח של “פולמוס המוסר”: לא בשמו הפרטי, כדרך הרבנים, אלא בשם משפחתו, כדרך הסופרים (ובהם גם בני דורו יראי שמים כגון ר׳ משה מאיר ישר).</w:t>
      </w:r>
    </w:p>
  </w:footnote>
  <w:footnote w:id="2135">
    <w:p w14:paraId="0C5A66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14 לעיל.</w:t>
      </w:r>
    </w:p>
  </w:footnote>
  <w:footnote w:id="2136">
    <w:p w14:paraId="030B5A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פסח תשמ״ט – עמ׳ 12.</w:t>
      </w:r>
    </w:p>
  </w:footnote>
  <w:footnote w:id="2137">
    <w:p w14:paraId="659B8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ב־24 באוקטובר 1991.</w:t>
      </w:r>
    </w:p>
  </w:footnote>
  <w:footnote w:id="2138">
    <w:p w14:paraId="19BCE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מיום ה׳ בניסן </w:t>
      </w:r>
      <w:proofErr w:type="spellStart"/>
      <w:r>
        <w:rPr>
          <w:sz w:val="20"/>
          <w:szCs w:val="20"/>
          <w:rtl/>
        </w:rPr>
        <w:t>תרפ</w:t>
      </w:r>
      <w:proofErr w:type="spellEnd"/>
      <w:r>
        <w:rPr>
          <w:sz w:val="20"/>
          <w:szCs w:val="20"/>
          <w:rtl/>
        </w:rPr>
        <w:t xml:space="preserve">[ח] (ההדגשה נוספה; לדיון ראה הערת שוליים </w:t>
      </w:r>
      <w:r>
        <w:rPr>
          <w:sz w:val="20"/>
          <w:szCs w:val="20"/>
          <w:rtl/>
        </w:rPr>
        <w:fldChar w:fldCharType="begin" w:dirty="true"/>
      </w:r>
      <w:r>
        <w:rPr>
          <w:sz w:val="20"/>
          <w:szCs w:val="20"/>
          <w:rtl/>
        </w:rPr>
        <w:instrText xml:space="preserve"> NOTEREF pr_f_2044 \h </w:instrText>
      </w:r>
      <w:r>
        <w:rPr>
          <w:sz w:val="20"/>
          <w:szCs w:val="20"/>
          <w:rtl/>
        </w:rPr>
      </w:r>
      <w:r>
        <w:rPr>
          <w:sz w:val="20"/>
          <w:szCs w:val="20"/>
          <w:rtl/>
        </w:rPr>
        <w:fldChar w:fldCharType="separate"/>
      </w:r>
      <w:r w:rsidR="007923E9">
        <w:rPr>
          <w:sz w:val="20"/>
          <w:szCs w:val="20"/>
          <w:rtl/>
        </w:rPr>
        <w:t>1090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pr_f_2044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המכתב מועתק בעמ׳ תמה–תמו של “חידושי ושיעורי מרן רבי ברוך בער”, </w:t>
      </w:r>
      <w:proofErr w:type="spellStart"/>
      <w:r>
        <w:rPr>
          <w:sz w:val="20"/>
          <w:szCs w:val="20"/>
          <w:rtl/>
        </w:rPr>
        <w:t>ח״ג</w:t>
      </w:r>
      <w:proofErr w:type="spellEnd"/>
      <w:r>
        <w:rPr>
          <w:sz w:val="20"/>
          <w:szCs w:val="20"/>
          <w:rtl/>
        </w:rPr>
        <w:t xml:space="preserve"> (נדפס בידי “נכדו ברוך בער </w:t>
      </w:r>
      <w:proofErr w:type="spellStart"/>
      <w:r>
        <w:rPr>
          <w:sz w:val="20"/>
          <w:szCs w:val="20"/>
          <w:rtl/>
        </w:rPr>
        <w:t>גראזאווסקי</w:t>
      </w:r>
      <w:proofErr w:type="spellEnd"/>
      <w:r>
        <w:rPr>
          <w:sz w:val="20"/>
          <w:szCs w:val="20"/>
          <w:rtl/>
        </w:rPr>
        <w:t xml:space="preserve">”, </w:t>
      </w:r>
      <w:proofErr w:type="spellStart"/>
      <w:r>
        <w:rPr>
          <w:sz w:val="20"/>
          <w:szCs w:val="20"/>
          <w:rtl/>
        </w:rPr>
        <w:t>לייקוואוד</w:t>
      </w:r>
      <w:proofErr w:type="spellEnd"/>
      <w:r>
        <w:rPr>
          <w:sz w:val="20"/>
          <w:szCs w:val="20"/>
          <w:rtl/>
        </w:rPr>
        <w:t>, תשנ״ד).</w:t>
      </w:r>
    </w:p>
  </w:footnote>
  <w:footnote w:id="2139">
    <w:p w14:paraId="004466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למרבה הפלא, הספר שנדפס לבסוף הכיל רק את חידושיו של ר׳ חיים </w:t>
      </w:r>
      <w:proofErr w:type="spellStart"/>
      <w:r>
        <w:rPr>
          <w:sz w:val="20"/>
          <w:szCs w:val="20"/>
          <w:rtl/>
        </w:rPr>
        <w:t>סולובייצ׳יק</w:t>
      </w:r>
      <w:proofErr w:type="spellEnd"/>
      <w:r>
        <w:rPr>
          <w:sz w:val="20"/>
          <w:szCs w:val="20"/>
          <w:rtl/>
        </w:rPr>
        <w:t xml:space="preserve"> על הרמב״ם, כפי שיתבאר להלן.</w:t>
      </w:r>
    </w:p>
  </w:footnote>
  <w:footnote w:id="2140">
    <w:p w14:paraId="5B18E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ח.</w:t>
      </w:r>
    </w:p>
  </w:footnote>
  <w:footnote w:id="2141">
    <w:p w14:paraId="652135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w:t>
      </w:r>
    </w:p>
  </w:footnote>
  <w:footnote w:id="2142">
    <w:p w14:paraId="4608B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150.</w:t>
      </w:r>
    </w:p>
  </w:footnote>
  <w:footnote w:id="2143">
    <w:p w14:paraId="56FCE2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ז לעיל – עמ׳ 11–12.</w:t>
      </w:r>
    </w:p>
  </w:footnote>
  <w:footnote w:id="2144">
    <w:p w14:paraId="3E8FEC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במאמר ביוגרפי – עמ׳ 15.</w:t>
      </w:r>
    </w:p>
  </w:footnote>
  <w:footnote w:id="2145">
    <w:p w14:paraId="326AD7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בדקתי את היסוד לתוספת האות ח בתאריך תרפ״ח של מכתבו של ר׳ </w:t>
      </w:r>
      <w:proofErr w:type="spellStart"/>
      <w:r>
        <w:rPr>
          <w:sz w:val="20"/>
          <w:szCs w:val="20"/>
          <w:rtl/>
        </w:rPr>
        <w:t>ברוך־בער</w:t>
      </w:r>
      <w:proofErr w:type="spellEnd"/>
      <w:r>
        <w:rPr>
          <w:sz w:val="20"/>
          <w:szCs w:val="20"/>
          <w:rtl/>
        </w:rPr>
        <w:t xml:space="preserve"> הנדפס </w:t>
      </w:r>
      <w:proofErr w:type="spellStart"/>
      <w:r>
        <w:rPr>
          <w:sz w:val="20"/>
          <w:szCs w:val="20"/>
          <w:rtl/>
        </w:rPr>
        <w:t>ב“חידושי</w:t>
      </w:r>
      <w:proofErr w:type="spellEnd"/>
      <w:r>
        <w:rPr>
          <w:sz w:val="20"/>
          <w:szCs w:val="20"/>
          <w:rtl/>
        </w:rPr>
        <w:t xml:space="preserve"> ושיעורי רבי ברוך בער” (כמצוין בהערת שוליים </w:t>
      </w:r>
      <w:r>
        <w:rPr>
          <w:sz w:val="20"/>
          <w:szCs w:val="20"/>
          <w:rtl/>
        </w:rPr>
        <w:fldChar w:fldCharType="begin" w:dirty="true"/>
      </w:r>
      <w:r>
        <w:rPr>
          <w:sz w:val="20"/>
          <w:szCs w:val="20"/>
          <w:rtl/>
        </w:rPr>
        <w:instrText xml:space="preserve"> NOTEREF pr_f_2037 \h </w:instrText>
      </w:r>
      <w:r>
        <w:rPr>
          <w:sz w:val="20"/>
          <w:szCs w:val="20"/>
          <w:rtl/>
        </w:rPr>
      </w:r>
      <w:r>
        <w:rPr>
          <w:sz w:val="20"/>
          <w:szCs w:val="20"/>
          <w:rtl/>
        </w:rPr>
        <w:fldChar w:fldCharType="separate"/>
      </w:r>
      <w:r w:rsidR="007923E9">
        <w:rPr>
          <w:sz w:val="20"/>
          <w:szCs w:val="20"/>
          <w:rtl/>
        </w:rPr>
        <w:t>1083</w:t>
      </w:r>
      <w:r>
        <w:rPr>
          <w:sz w:val="20"/>
          <w:szCs w:val="20"/>
          <w:rtl/>
        </w:rPr>
        <w:fldChar w:fldCharType="end"/>
      </w:r>
      <w:r>
        <w:rPr>
          <w:sz w:val="20"/>
          <w:szCs w:val="20"/>
          <w:rtl/>
        </w:rPr>
        <w:t xml:space="preserve"> לעיל), והסקתי שסביר שהתאריך נכון או קרוב לכך: המכתב נכתב </w:t>
      </w:r>
      <w:proofErr w:type="spellStart"/>
      <w:r>
        <w:rPr>
          <w:sz w:val="20"/>
          <w:szCs w:val="20"/>
          <w:rtl/>
        </w:rPr>
        <w:t>בתרפ״ח</w:t>
      </w:r>
      <w:proofErr w:type="spellEnd"/>
      <w:r>
        <w:rPr>
          <w:sz w:val="20"/>
          <w:szCs w:val="20"/>
          <w:rtl/>
        </w:rPr>
        <w:t xml:space="preserve">, שלושה חודשים וחצי לפני פטירת העילוי </w:t>
      </w:r>
      <w:proofErr w:type="spellStart"/>
      <w:r>
        <w:rPr>
          <w:sz w:val="20"/>
          <w:szCs w:val="20"/>
          <w:rtl/>
        </w:rPr>
        <w:t>ממייצ׳ט</w:t>
      </w:r>
      <w:proofErr w:type="spellEnd"/>
      <w:r>
        <w:rPr>
          <w:sz w:val="20"/>
          <w:szCs w:val="20"/>
          <w:rtl/>
        </w:rPr>
        <w:t xml:space="preserve">, או </w:t>
      </w:r>
      <w:proofErr w:type="spellStart"/>
      <w:r>
        <w:rPr>
          <w:sz w:val="20"/>
          <w:szCs w:val="20"/>
          <w:rtl/>
        </w:rPr>
        <w:t>בתרפ״ז</w:t>
      </w:r>
      <w:proofErr w:type="spellEnd"/>
      <w:r>
        <w:rPr>
          <w:sz w:val="20"/>
          <w:szCs w:val="20"/>
          <w:rtl/>
        </w:rPr>
        <w:t>.</w:t>
      </w:r>
    </w:p>
  </w:footnote>
  <w:footnote w:id="2146">
    <w:p w14:paraId="47D409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147">
    <w:p w14:paraId="2C8179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ח״א, עמ׳ קלו–</w:t>
      </w:r>
      <w:proofErr w:type="spellStart"/>
      <w:r>
        <w:rPr>
          <w:sz w:val="20"/>
          <w:szCs w:val="20"/>
          <w:rtl/>
        </w:rPr>
        <w:t>קלז</w:t>
      </w:r>
      <w:proofErr w:type="spellEnd"/>
      <w:r>
        <w:rPr>
          <w:sz w:val="20"/>
          <w:szCs w:val="20"/>
          <w:rtl/>
        </w:rPr>
        <w:t>.</w:t>
      </w:r>
    </w:p>
  </w:footnote>
  <w:footnote w:id="2148">
    <w:p w14:paraId="7E2B20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ח לעיל – עמ׳ 89.</w:t>
      </w:r>
    </w:p>
  </w:footnote>
  <w:footnote w:id="2149">
    <w:p w14:paraId="577AF2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מקמילן, טורונטו, 1969 (להלן: “סיפור ישיבה </w:t>
      </w:r>
      <w:proofErr w:type="spellStart"/>
      <w:r>
        <w:rPr>
          <w:sz w:val="20"/>
          <w:szCs w:val="20"/>
          <w:rtl/>
        </w:rPr>
        <w:t>יוניברסיטי</w:t>
      </w:r>
      <w:proofErr w:type="spellEnd"/>
      <w:r>
        <w:rPr>
          <w:sz w:val="20"/>
          <w:szCs w:val="20"/>
          <w:rtl/>
        </w:rPr>
        <w:t>”) – עמ׳ 49–51.</w:t>
      </w:r>
    </w:p>
  </w:footnote>
  <w:footnote w:id="2150">
    <w:p w14:paraId="22A441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שנת לידתו של הרב </w:t>
      </w:r>
      <w:proofErr w:type="spellStart"/>
      <w:r>
        <w:rPr>
          <w:sz w:val="20"/>
          <w:szCs w:val="20"/>
          <w:rtl/>
        </w:rPr>
        <w:t>מטלין</w:t>
      </w:r>
      <w:proofErr w:type="spellEnd"/>
      <w:r>
        <w:rPr>
          <w:sz w:val="20"/>
          <w:szCs w:val="20"/>
          <w:rtl/>
        </w:rPr>
        <w:t xml:space="preserve"> נרשמה שם, עמ׳ 50, כ־1885. זוהי טעות דפוס, וככל הנראה צריך להיות 1858.</w:t>
      </w:r>
    </w:p>
  </w:footnote>
  <w:footnote w:id="2151">
    <w:p w14:paraId="127E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71 בפרק זה.</w:t>
      </w:r>
    </w:p>
  </w:footnote>
  <w:footnote w:id="2152">
    <w:p w14:paraId="08D7C2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JPS, פילדלפיה, תשל״ב – עמ׳ 29–30.</w:t>
      </w:r>
    </w:p>
  </w:footnote>
  <w:footnote w:id="2153">
    <w:p w14:paraId="584530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שיחת טלפון: 16 בדצמבר 1994.</w:t>
      </w:r>
    </w:p>
  </w:footnote>
  <w:footnote w:id="2154">
    <w:p w14:paraId="716291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163.</w:t>
      </w:r>
    </w:p>
  </w:footnote>
  <w:footnote w:id="2155">
    <w:p w14:paraId="6D6F88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מראיונות שערכתי בסתיו 1994 עם בוגרי ישיבת רבנו יצחק אלחנן מתקופתו של הרב ווייל (לפי סדר </w:t>
      </w:r>
      <w:proofErr w:type="spellStart"/>
      <w:r>
        <w:rPr>
          <w:sz w:val="20"/>
          <w:szCs w:val="20"/>
          <w:rtl/>
        </w:rPr>
        <w:t>האלף־בית</w:t>
      </w:r>
      <w:proofErr w:type="spellEnd"/>
      <w:r>
        <w:rPr>
          <w:sz w:val="20"/>
          <w:szCs w:val="20"/>
          <w:rtl/>
        </w:rPr>
        <w:t xml:space="preserve"> הלועזי): ר׳ שמואל </w:t>
      </w:r>
      <w:proofErr w:type="spellStart"/>
      <w:r>
        <w:rPr>
          <w:sz w:val="20"/>
          <w:szCs w:val="20"/>
          <w:rtl/>
        </w:rPr>
        <w:t>הרטשטיין</w:t>
      </w:r>
      <w:proofErr w:type="spellEnd"/>
      <w:r>
        <w:rPr>
          <w:sz w:val="20"/>
          <w:szCs w:val="20"/>
          <w:rtl/>
        </w:rPr>
        <w:t xml:space="preserve">, ר׳ </w:t>
      </w:r>
      <w:proofErr w:type="spellStart"/>
      <w:r>
        <w:rPr>
          <w:sz w:val="20"/>
          <w:szCs w:val="20"/>
          <w:rtl/>
        </w:rPr>
        <w:t>מיכאל־אהרן</w:t>
      </w:r>
      <w:proofErr w:type="spellEnd"/>
      <w:r>
        <w:rPr>
          <w:sz w:val="20"/>
          <w:szCs w:val="20"/>
          <w:rtl/>
        </w:rPr>
        <w:t xml:space="preserve"> קרא, ר׳ </w:t>
      </w:r>
      <w:proofErr w:type="spellStart"/>
      <w:r>
        <w:rPr>
          <w:sz w:val="20"/>
          <w:szCs w:val="20"/>
          <w:rtl/>
        </w:rPr>
        <w:t>בעריש</w:t>
      </w:r>
      <w:proofErr w:type="spellEnd"/>
      <w:r>
        <w:rPr>
          <w:sz w:val="20"/>
          <w:szCs w:val="20"/>
          <w:rtl/>
        </w:rPr>
        <w:t xml:space="preserve"> לנדר, ר׳ עזריאל מילר ור׳ אלימלך שכטר.</w:t>
      </w:r>
    </w:p>
  </w:footnote>
  <w:footnote w:id="2156">
    <w:p w14:paraId="6AC46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2.</w:t>
      </w:r>
    </w:p>
  </w:footnote>
  <w:footnote w:id="2157">
    <w:p w14:paraId="0C6331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“אבי הישיבות” (הערה 15 לעיל), עמ׳ 224, המביא פרטים נוספים על ר׳ אליקים (כך במקור) ועל תפקיד המשגיח בישיבת </w:t>
      </w:r>
      <w:proofErr w:type="spellStart"/>
      <w:r>
        <w:rPr>
          <w:sz w:val="20"/>
          <w:szCs w:val="20"/>
          <w:rtl/>
        </w:rPr>
        <w:t>וולוז׳ין</w:t>
      </w:r>
      <w:proofErr w:type="spellEnd"/>
      <w:r>
        <w:rPr>
          <w:sz w:val="20"/>
          <w:szCs w:val="20"/>
          <w:rtl/>
        </w:rPr>
        <w:t xml:space="preserve">; ופרק 4, סוף נספח </w:t>
      </w:r>
      <w:proofErr w:type="spellStart"/>
      <w:r>
        <w:rPr>
          <w:sz w:val="20"/>
          <w:szCs w:val="20"/>
          <w:rtl/>
        </w:rPr>
        <w:t>יג</w:t>
      </w:r>
      <w:proofErr w:type="spellEnd"/>
      <w:r>
        <w:rPr>
          <w:sz w:val="20"/>
          <w:szCs w:val="20"/>
          <w:rtl/>
        </w:rPr>
        <w:t xml:space="preserve">. </w:t>
      </w:r>
      <w:proofErr w:type="spellStart"/>
      <w:r>
        <w:rPr>
          <w:sz w:val="20"/>
          <w:szCs w:val="20"/>
          <w:rtl/>
        </w:rPr>
        <w:t>ב“אבי</w:t>
      </w:r>
      <w:proofErr w:type="spellEnd"/>
      <w:r>
        <w:rPr>
          <w:sz w:val="20"/>
          <w:szCs w:val="20"/>
          <w:rtl/>
        </w:rPr>
        <w:t xml:space="preserve"> הישיבות” הוא מכונה ר׳ אליקים </w:t>
      </w:r>
      <w:proofErr w:type="spellStart"/>
      <w:r>
        <w:rPr>
          <w:sz w:val="20"/>
          <w:szCs w:val="20"/>
          <w:rtl/>
        </w:rPr>
        <w:t>אודרצנר</w:t>
      </w:r>
      <w:proofErr w:type="spellEnd"/>
      <w:r>
        <w:rPr>
          <w:sz w:val="20"/>
          <w:szCs w:val="20"/>
          <w:rtl/>
        </w:rPr>
        <w:t>.</w:t>
      </w:r>
    </w:p>
  </w:footnote>
  <w:footnote w:id="2158">
    <w:p w14:paraId="545F6B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לפרטים נוספים על ר׳ יהודה ווייל יוכל הקורא לעיין בכרך 2, בזיכרונותיו של אחד מתלמידיו בתלמוד התורה </w:t>
      </w:r>
      <w:proofErr w:type="spellStart"/>
      <w:r>
        <w:rPr>
          <w:sz w:val="20"/>
          <w:szCs w:val="20"/>
          <w:rtl/>
        </w:rPr>
        <w:t>בסובאלק</w:t>
      </w:r>
      <w:proofErr w:type="spellEnd"/>
      <w:r>
        <w:rPr>
          <w:sz w:val="20"/>
          <w:szCs w:val="20"/>
          <w:rtl/>
        </w:rPr>
        <w:t xml:space="preserve"> בזמן מלחמת העולם הראשונה, המעניקים הצצה להשקפתו האדוקה על לימוד התורה. אין ספק שהרב ווייל קיווה להחדיר הכרה זו גם בתלמידי ישיבת רבנו יצחק אלחנן, אבל הדבר חרג מתחום אחריותו כמשגיח הממונה על הפיקוח.</w:t>
      </w:r>
    </w:p>
  </w:footnote>
  <w:footnote w:id="2159">
    <w:p w14:paraId="6BBBD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בערל </w:t>
      </w:r>
      <w:proofErr w:type="spellStart"/>
      <w:r>
        <w:rPr>
          <w:sz w:val="20"/>
          <w:szCs w:val="20"/>
          <w:rtl/>
        </w:rPr>
        <w:t>קגן</w:t>
      </w:r>
      <w:proofErr w:type="spellEnd"/>
      <w:r>
        <w:rPr>
          <w:sz w:val="20"/>
          <w:szCs w:val="20"/>
          <w:rtl/>
        </w:rPr>
        <w:t xml:space="preserve"> (הערה 10 לעיל), עמ׳ 122.</w:t>
      </w:r>
    </w:p>
  </w:footnote>
  <w:footnote w:id="2160">
    <w:p w14:paraId="200FE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ישיבה </w:t>
      </w:r>
      <w:proofErr w:type="spellStart"/>
      <w:r>
        <w:rPr>
          <w:sz w:val="20"/>
          <w:szCs w:val="20"/>
          <w:rtl/>
        </w:rPr>
        <w:t>יוניברסיטי</w:t>
      </w:r>
      <w:proofErr w:type="spellEnd"/>
      <w:r>
        <w:rPr>
          <w:sz w:val="20"/>
          <w:szCs w:val="20"/>
          <w:rtl/>
        </w:rPr>
        <w:t>”, עמ׳ 164.</w:t>
      </w:r>
    </w:p>
  </w:footnote>
  <w:footnote w:id="2161">
    <w:p w14:paraId="1D07A9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לו חלק בהצלת רבו, הרבי מגור ר׳ </w:t>
      </w:r>
      <w:proofErr w:type="spellStart"/>
      <w:r>
        <w:rPr>
          <w:sz w:val="20"/>
          <w:szCs w:val="20"/>
          <w:rtl/>
        </w:rPr>
        <w:t>אברהם־מרדכי</w:t>
      </w:r>
      <w:proofErr w:type="spellEnd"/>
      <w:r>
        <w:rPr>
          <w:sz w:val="20"/>
          <w:szCs w:val="20"/>
          <w:rtl/>
        </w:rPr>
        <w:t xml:space="preserve"> אלתר, מידי הנאצים.</w:t>
      </w:r>
    </w:p>
  </w:footnote>
  <w:footnote w:id="2162">
    <w:p w14:paraId="49FEA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סוף נספח ג, כיצד ניתח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את חוויותיו שלו ותהה מה הייתה תגובתו של ר׳ ישראל עליהן.</w:t>
      </w:r>
    </w:p>
  </w:footnote>
  <w:footnote w:id="2163">
    <w:p w14:paraId="4929F2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164">
    <w:p w14:paraId="695818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שופטים כ.</w:t>
      </w:r>
    </w:p>
  </w:footnote>
  <w:footnote w:id="2165">
    <w:p w14:paraId="73BE3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27.</w:t>
      </w:r>
    </w:p>
  </w:footnote>
  <w:footnote w:id="2166">
    <w:p w14:paraId="648310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כה להלן.</w:t>
      </w:r>
    </w:p>
  </w:footnote>
  <w:footnote w:id="2167">
    <w:p w14:paraId="131FD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168">
    <w:p w14:paraId="48BE9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כ, בדבר נדבנותה של משפחה זו.</w:t>
      </w:r>
    </w:p>
  </w:footnote>
  <w:footnote w:id="2169">
    <w:p w14:paraId="5328A1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66.</w:t>
      </w:r>
    </w:p>
  </w:footnote>
  <w:footnote w:id="2170">
    <w:p w14:paraId="58CDDD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או, כלשון שם, עמ׳ 68: “בסביבות תרמ״ו”.</w:t>
      </w:r>
    </w:p>
  </w:footnote>
  <w:footnote w:id="2171">
    <w:p w14:paraId="6CC6D2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כל אחד מהם היה מעורב בפעילותו של חברו לבניין התורה. יש עדות שבתקופה קודמת בא ר׳ </w:t>
      </w:r>
      <w:proofErr w:type="spellStart"/>
      <w:r>
        <w:rPr>
          <w:sz w:val="20"/>
          <w:szCs w:val="20"/>
          <w:rtl/>
        </w:rPr>
        <w:t>שמחה־זיסל</w:t>
      </w:r>
      <w:proofErr w:type="spellEnd"/>
      <w:r>
        <w:rPr>
          <w:sz w:val="20"/>
          <w:szCs w:val="20"/>
          <w:rtl/>
        </w:rPr>
        <w:t xml:space="preserve"> מקלם ושהה “כמה שבועות </w:t>
      </w:r>
      <w:proofErr w:type="spellStart"/>
      <w:r>
        <w:rPr>
          <w:sz w:val="20"/>
          <w:szCs w:val="20"/>
          <w:rtl/>
        </w:rPr>
        <w:t>בסלבודקה</w:t>
      </w:r>
      <w:proofErr w:type="spellEnd"/>
      <w:r>
        <w:rPr>
          <w:sz w:val="20"/>
          <w:szCs w:val="20"/>
          <w:rtl/>
        </w:rPr>
        <w:t xml:space="preserve"> כדי להדריך ולהשפיע” בקיבוץ שהקים הסבא </w:t>
      </w:r>
      <w:proofErr w:type="spellStart"/>
      <w:r>
        <w:rPr>
          <w:sz w:val="20"/>
          <w:szCs w:val="20"/>
          <w:rtl/>
        </w:rPr>
        <w:t>מסלבודקה</w:t>
      </w:r>
      <w:proofErr w:type="spellEnd"/>
      <w:r>
        <w:rPr>
          <w:sz w:val="20"/>
          <w:szCs w:val="20"/>
          <w:rtl/>
        </w:rPr>
        <w:t xml:space="preserve"> בבית מדרש הלוויית המת (כץ, “תנועת המוסר”, כרך ג, עמ׳ 28).</w:t>
      </w:r>
    </w:p>
  </w:footnote>
  <w:footnote w:id="2172">
    <w:p w14:paraId="227886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211.</w:t>
      </w:r>
    </w:p>
  </w:footnote>
  <w:footnote w:id="2173">
    <w:p w14:paraId="04BF1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 אחר, המצוטט בספרו של כץ, “תנועת המוסר”, כרך ב, בפסקה האמצעית בעמ׳ 70, עשוי לשמש ראיה דומה. אך השווה גם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שהסבא מקלם אולי חש נקיפות מצפון מסוימות בנוגע למפעלו.</w:t>
      </w:r>
    </w:p>
  </w:footnote>
  <w:footnote w:id="2174">
    <w:p w14:paraId="31BAFE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ב, עמ׳ 68, 216 ו־85–86. ראה גם מכתב בלי תאריך, שהתפרסם לאחרונה ומובא </w:t>
      </w:r>
      <w:proofErr w:type="spellStart"/>
      <w:r>
        <w:rPr>
          <w:sz w:val="20"/>
          <w:szCs w:val="20"/>
          <w:rtl/>
        </w:rPr>
        <w:t>ב“שנות</w:t>
      </w:r>
      <w:proofErr w:type="spellEnd"/>
      <w:r>
        <w:rPr>
          <w:sz w:val="20"/>
          <w:szCs w:val="20"/>
          <w:rtl/>
        </w:rPr>
        <w:t xml:space="preserve"> דור ודור” (הפסקה הראשונה בנספח א לעיל), עמ׳ קנט–</w:t>
      </w:r>
      <w:proofErr w:type="spellStart"/>
      <w:r>
        <w:rPr>
          <w:sz w:val="20"/>
          <w:szCs w:val="20"/>
          <w:rtl/>
        </w:rPr>
        <w:t>קס</w:t>
      </w:r>
      <w:proofErr w:type="spellEnd"/>
      <w:r>
        <w:rPr>
          <w:sz w:val="20"/>
          <w:szCs w:val="20"/>
          <w:rtl/>
        </w:rPr>
        <w:t xml:space="preserve">, שכתב ר׳ </w:t>
      </w:r>
      <w:proofErr w:type="spellStart"/>
      <w:r>
        <w:rPr>
          <w:sz w:val="20"/>
          <w:szCs w:val="20"/>
          <w:rtl/>
        </w:rPr>
        <w:t>נחום־זאב</w:t>
      </w:r>
      <w:proofErr w:type="spellEnd"/>
      <w:r>
        <w:rPr>
          <w:sz w:val="20"/>
          <w:szCs w:val="20"/>
          <w:rtl/>
        </w:rPr>
        <w:t xml:space="preserve"> זיו, בנו של ר׳ </w:t>
      </w:r>
      <w:proofErr w:type="spellStart"/>
      <w:r>
        <w:rPr>
          <w:sz w:val="20"/>
          <w:szCs w:val="20"/>
          <w:rtl/>
        </w:rPr>
        <w:t>שמחה־זיסל</w:t>
      </w:r>
      <w:proofErr w:type="spellEnd"/>
      <w:r>
        <w:rPr>
          <w:sz w:val="20"/>
          <w:szCs w:val="20"/>
          <w:rtl/>
        </w:rPr>
        <w:t xml:space="preserve">, לאחי אביו ר׳ לייב </w:t>
      </w:r>
      <w:proofErr w:type="spellStart"/>
      <w:r>
        <w:rPr>
          <w:sz w:val="20"/>
          <w:szCs w:val="20"/>
          <w:rtl/>
        </w:rPr>
        <w:t>ברוידא</w:t>
      </w:r>
      <w:proofErr w:type="spellEnd"/>
      <w:r>
        <w:rPr>
          <w:sz w:val="20"/>
          <w:szCs w:val="20"/>
          <w:rtl/>
        </w:rPr>
        <w:t xml:space="preserve">. במכתב הוא מדווח שמצא את ר׳ </w:t>
      </w:r>
      <w:proofErr w:type="spellStart"/>
      <w:r>
        <w:rPr>
          <w:sz w:val="20"/>
          <w:szCs w:val="20"/>
          <w:rtl/>
        </w:rPr>
        <w:t>שמחה־זיסל</w:t>
      </w:r>
      <w:proofErr w:type="spellEnd"/>
      <w:r>
        <w:rPr>
          <w:sz w:val="20"/>
          <w:szCs w:val="20"/>
          <w:rtl/>
        </w:rPr>
        <w:t xml:space="preserve"> בבריאות רופפת, ומציע לו להבריא בריגה בקיץ הקרוב. ר׳ לייב התגורר אז </w:t>
      </w:r>
      <w:proofErr w:type="spellStart"/>
      <w:r>
        <w:rPr>
          <w:sz w:val="20"/>
          <w:szCs w:val="20"/>
          <w:rtl/>
        </w:rPr>
        <w:t>בקלם</w:t>
      </w:r>
      <w:proofErr w:type="spellEnd"/>
      <w:r>
        <w:rPr>
          <w:sz w:val="20"/>
          <w:szCs w:val="20"/>
          <w:rtl/>
        </w:rPr>
        <w:t xml:space="preserve">, ומן ההכרח שהמכתב נכתב </w:t>
      </w:r>
      <w:proofErr w:type="spellStart"/>
      <w:r>
        <w:rPr>
          <w:sz w:val="20"/>
          <w:szCs w:val="20"/>
          <w:rtl/>
        </w:rPr>
        <w:t>בגרובין</w:t>
      </w:r>
      <w:proofErr w:type="spellEnd"/>
      <w:r>
        <w:rPr>
          <w:sz w:val="20"/>
          <w:szCs w:val="20"/>
          <w:rtl/>
        </w:rPr>
        <w:t>, שממנה הייתה נסיעה לריגה באה בחשבון. מן המכתב עולה שהבעיה הבריאותית נעשתה כרונית.</w:t>
      </w:r>
    </w:p>
  </w:footnote>
  <w:footnote w:id="2175">
    <w:p w14:paraId="6DB5BC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68.</w:t>
      </w:r>
    </w:p>
  </w:footnote>
  <w:footnote w:id="2176">
    <w:p w14:paraId="700C2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כה להלן.</w:t>
      </w:r>
    </w:p>
  </w:footnote>
  <w:footnote w:id="2177">
    <w:p w14:paraId="1CB34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למקורות השווה כץ, “תנועת המוסר”, כרך ב, שם, והפסקה השנייה בנספח כה להלן.</w:t>
      </w:r>
    </w:p>
  </w:footnote>
  <w:footnote w:id="2178">
    <w:p w14:paraId="25BB1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179">
    <w:p w14:paraId="157C4F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180">
    <w:p w14:paraId="5D0AB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התועלת החינוכית שהיה אבי מפיק מסיפור סגירת </w:t>
      </w:r>
      <w:proofErr w:type="spellStart"/>
      <w:r>
        <w:rPr>
          <w:sz w:val="20"/>
          <w:szCs w:val="20"/>
          <w:rtl/>
        </w:rPr>
        <w:t>גרובין</w:t>
      </w:r>
      <w:proofErr w:type="spellEnd"/>
      <w:r>
        <w:rPr>
          <w:sz w:val="20"/>
          <w:szCs w:val="20"/>
          <w:rtl/>
        </w:rPr>
        <w:t xml:space="preserve">, בצורה המעוותת שבה הציגו הסבא </w:t>
      </w:r>
      <w:proofErr w:type="spellStart"/>
      <w:r>
        <w:rPr>
          <w:sz w:val="20"/>
          <w:szCs w:val="20"/>
          <w:rtl/>
        </w:rPr>
        <w:t>מסלבודקה</w:t>
      </w:r>
      <w:proofErr w:type="spellEnd"/>
      <w:r>
        <w:rPr>
          <w:sz w:val="20"/>
          <w:szCs w:val="20"/>
          <w:rtl/>
        </w:rPr>
        <w:t xml:space="preserve">, הייתה זו: השילוב של תורה ולימודים כלליים שייצג </w:t>
      </w:r>
      <w:proofErr w:type="spellStart"/>
      <w:r>
        <w:rPr>
          <w:sz w:val="20"/>
          <w:szCs w:val="20"/>
          <w:rtl/>
        </w:rPr>
        <w:t>גרובין</w:t>
      </w:r>
      <w:proofErr w:type="spellEnd"/>
      <w:r>
        <w:rPr>
          <w:sz w:val="20"/>
          <w:szCs w:val="20"/>
          <w:rtl/>
        </w:rPr>
        <w:t xml:space="preserve"> נדחה לבסוף אפילו בידי מייסד בית הספר </w:t>
      </w:r>
      <w:proofErr w:type="spellStart"/>
      <w:r>
        <w:rPr>
          <w:sz w:val="20"/>
          <w:szCs w:val="20"/>
          <w:rtl/>
        </w:rPr>
        <w:t>בגרובין</w:t>
      </w:r>
      <w:proofErr w:type="spellEnd"/>
      <w:r>
        <w:rPr>
          <w:sz w:val="20"/>
          <w:szCs w:val="20"/>
          <w:rtl/>
        </w:rPr>
        <w:t xml:space="preserve"> עצמו. על שילוב זה השווה גם את המסר האחרון שהשאיר </w:t>
      </w:r>
      <w:proofErr w:type="spellStart"/>
      <w:r>
        <w:rPr>
          <w:sz w:val="20"/>
          <w:szCs w:val="20"/>
          <w:rtl/>
        </w:rPr>
        <w:t>הנצי״ב</w:t>
      </w:r>
      <w:proofErr w:type="spellEnd"/>
      <w:r>
        <w:rPr>
          <w:sz w:val="20"/>
          <w:szCs w:val="20"/>
          <w:rtl/>
        </w:rPr>
        <w:t xml:space="preserve"> לבנו ר׳ חיים ברלין, המצוטט בנספח יא לעיל.</w:t>
      </w:r>
    </w:p>
  </w:footnote>
  <w:footnote w:id="2181">
    <w:p w14:paraId="7EDF45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108 בפרק זה.</w:t>
      </w:r>
    </w:p>
  </w:footnote>
  <w:footnote w:id="2182">
    <w:p w14:paraId="567F1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108 בפרק זה.</w:t>
      </w:r>
    </w:p>
  </w:footnote>
  <w:footnote w:id="2183">
    <w:p w14:paraId="64AE5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אבי ראה בו את בעל המוסר הגדול ביותר בתקופה שלאחר מלחמת העולם השנייה.</w:t>
      </w:r>
    </w:p>
  </w:footnote>
  <w:footnote w:id="2184">
    <w:p w14:paraId="0EA28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המילה המודגשת מהדהדת את עברו האישי של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כמתנגד למוסר – השווה פרק 4, הערה 103. על התנגדותו ללימודים כלליים ראה מאמרו של ד. רבין </w:t>
      </w:r>
      <w:proofErr w:type="spellStart"/>
      <w:r>
        <w:rPr>
          <w:sz w:val="20"/>
          <w:szCs w:val="20"/>
          <w:rtl/>
        </w:rPr>
        <w:t>ב“אנציקלופדיה</w:t>
      </w:r>
      <w:proofErr w:type="spellEnd"/>
      <w:r>
        <w:rPr>
          <w:sz w:val="20"/>
          <w:szCs w:val="20"/>
          <w:rtl/>
        </w:rPr>
        <w:t xml:space="preserve"> של גלויות – </w:t>
      </w:r>
      <w:proofErr w:type="spellStart"/>
      <w:r>
        <w:rPr>
          <w:sz w:val="20"/>
          <w:szCs w:val="20"/>
          <w:rtl/>
        </w:rPr>
        <w:t>גרודנא</w:t>
      </w:r>
      <w:proofErr w:type="spellEnd"/>
      <w:r>
        <w:rPr>
          <w:sz w:val="20"/>
          <w:szCs w:val="20"/>
          <w:rtl/>
        </w:rPr>
        <w:t xml:space="preserve">” (ארגון יוצאי </w:t>
      </w:r>
      <w:proofErr w:type="spellStart"/>
      <w:r>
        <w:rPr>
          <w:sz w:val="20"/>
          <w:szCs w:val="20"/>
          <w:rtl/>
        </w:rPr>
        <w:t>גרודנא</w:t>
      </w:r>
      <w:proofErr w:type="spellEnd"/>
      <w:r>
        <w:rPr>
          <w:sz w:val="20"/>
          <w:szCs w:val="20"/>
          <w:rtl/>
        </w:rPr>
        <w:t xml:space="preserve"> בישראל, 1973), עמ׳ 322, המביא מפי ר׳ </w:t>
      </w:r>
      <w:proofErr w:type="spellStart"/>
      <w:r>
        <w:rPr>
          <w:sz w:val="20"/>
          <w:szCs w:val="20"/>
          <w:rtl/>
        </w:rPr>
        <w:t>אריה־לייב</w:t>
      </w:r>
      <w:proofErr w:type="spellEnd"/>
      <w:r>
        <w:rPr>
          <w:sz w:val="20"/>
          <w:szCs w:val="20"/>
          <w:rtl/>
        </w:rPr>
        <w:t xml:space="preserve"> </w:t>
      </w:r>
      <w:proofErr w:type="spellStart"/>
      <w:r>
        <w:rPr>
          <w:sz w:val="20"/>
          <w:szCs w:val="20"/>
          <w:rtl/>
        </w:rPr>
        <w:t>ולר</w:t>
      </w:r>
      <w:proofErr w:type="spellEnd"/>
      <w:r>
        <w:rPr>
          <w:sz w:val="20"/>
          <w:szCs w:val="20"/>
          <w:rtl/>
        </w:rPr>
        <w:t xml:space="preserve">, תלמיד ישיבת שער התורה </w:t>
      </w:r>
      <w:proofErr w:type="spellStart"/>
      <w:r>
        <w:rPr>
          <w:sz w:val="20"/>
          <w:szCs w:val="20"/>
          <w:rtl/>
        </w:rPr>
        <w:t>בגרודנא</w:t>
      </w:r>
      <w:proofErr w:type="spellEnd"/>
      <w:r>
        <w:rPr>
          <w:sz w:val="20"/>
          <w:szCs w:val="20"/>
          <w:rtl/>
        </w:rPr>
        <w:t xml:space="preserve">: “המשכילים היהודים, שארגנו מטבח לתלמידים הלומדים בישיבה </w:t>
      </w:r>
      <w:proofErr w:type="spellStart"/>
      <w:r>
        <w:rPr>
          <w:sz w:val="20"/>
          <w:szCs w:val="20"/>
          <w:rtl/>
        </w:rPr>
        <w:t>בגרודנא</w:t>
      </w:r>
      <w:proofErr w:type="spellEnd"/>
      <w:r>
        <w:rPr>
          <w:sz w:val="20"/>
          <w:szCs w:val="20"/>
          <w:rtl/>
        </w:rPr>
        <w:t xml:space="preserve">, העלו דרישה להכליל לימודים כלליים בתוכנית הלימודים; </w:t>
      </w:r>
      <w:proofErr w:type="spellStart"/>
      <w:r>
        <w:rPr>
          <w:sz w:val="20"/>
          <w:szCs w:val="20"/>
          <w:rtl/>
        </w:rPr>
        <w:t>משלא</w:t>
      </w:r>
      <w:proofErr w:type="spellEnd"/>
      <w:r>
        <w:rPr>
          <w:sz w:val="20"/>
          <w:szCs w:val="20"/>
          <w:rtl/>
        </w:rPr>
        <w:t xml:space="preserve"> נענו, סגרו המשכילים את המטבח. בעלי הבתים בני העיר שהקימו את הישיבה, והתנגדו ללימודים כלליים, הזעיקו את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שהתגורר אז בעיירה סמוכה לווילנה. בהשפעתו חזר הכול לקדמותו – בלי הלימודים הכלליים. בעקבות מקרה זה החליטו בעלי הבתים שיש להביא ראש ישיבה שיעמוד בראשה”.</w:t>
      </w:r>
    </w:p>
    <w:p w14:paraId="0BB69E94" w14:textId="77777777" w:rsidR="00AB3647" w:rsidRDefault="00000000">
      <w:pPr>
        <w:spacing w:after="0" w:before="0"/>
        <w:jc w:val="both"/>
      </w:pPr>
      <w:r>
        <w:rPr>
          <w:sz w:val="20"/>
          <w:szCs w:val="20"/>
          <w:rtl/>
        </w:rPr>
        <w:t xml:space="preserve">ר׳ אלתר </w:t>
      </w:r>
      <w:proofErr w:type="spellStart"/>
      <w:r>
        <w:rPr>
          <w:sz w:val="20"/>
          <w:szCs w:val="20"/>
          <w:rtl/>
        </w:rPr>
        <w:t>שמואלביץ</w:t>
      </w:r>
      <w:proofErr w:type="spellEnd"/>
      <w:r>
        <w:rPr>
          <w:sz w:val="20"/>
          <w:szCs w:val="20"/>
          <w:rtl/>
        </w:rPr>
        <w:t xml:space="preserve">, חתנו של ר׳ יוזל </w:t>
      </w:r>
      <w:proofErr w:type="spellStart"/>
      <w:r>
        <w:rPr>
          <w:sz w:val="20"/>
          <w:szCs w:val="20"/>
          <w:rtl/>
        </w:rPr>
        <w:t>מנובהרדוק</w:t>
      </w:r>
      <w:proofErr w:type="spellEnd"/>
      <w:r>
        <w:rPr>
          <w:sz w:val="20"/>
          <w:szCs w:val="20"/>
          <w:rtl/>
        </w:rPr>
        <w:t xml:space="preserve"> ואביו של ר׳ חיים </w:t>
      </w:r>
      <w:proofErr w:type="spellStart"/>
      <w:r>
        <w:rPr>
          <w:sz w:val="20"/>
          <w:szCs w:val="20"/>
          <w:rtl/>
        </w:rPr>
        <w:t>שמואלביץ</w:t>
      </w:r>
      <w:proofErr w:type="spellEnd"/>
      <w:r>
        <w:rPr>
          <w:sz w:val="20"/>
          <w:szCs w:val="20"/>
          <w:rtl/>
        </w:rPr>
        <w:t xml:space="preserve">, לימים ראש ישיבת </w:t>
      </w:r>
      <w:proofErr w:type="spellStart"/>
      <w:r>
        <w:rPr>
          <w:sz w:val="20"/>
          <w:szCs w:val="20"/>
          <w:rtl/>
        </w:rPr>
        <w:t>מיר</w:t>
      </w:r>
      <w:proofErr w:type="spellEnd"/>
      <w:r>
        <w:rPr>
          <w:sz w:val="20"/>
          <w:szCs w:val="20"/>
          <w:rtl/>
        </w:rPr>
        <w:t xml:space="preserve"> בירושלים, נתמנה אז לראש הישיבה הראשון של ישיבת שער התורה. הדבר אירע בשנים תרע״ו–תרע״ז, כשר׳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שהה </w:t>
      </w:r>
      <w:proofErr w:type="spellStart"/>
      <w:r>
        <w:rPr>
          <w:sz w:val="20"/>
          <w:szCs w:val="20"/>
          <w:rtl/>
        </w:rPr>
        <w:t>בקולטיניאן</w:t>
      </w:r>
      <w:proofErr w:type="spellEnd"/>
      <w:r>
        <w:rPr>
          <w:sz w:val="20"/>
          <w:szCs w:val="20"/>
          <w:rtl/>
        </w:rPr>
        <w:t xml:space="preserve">, “עיירה סמוכה לווילנה”, כמסופר בפרק 4, הפסקה השנייה בנספח </w:t>
      </w:r>
      <w:proofErr w:type="spellStart"/>
      <w:r>
        <w:rPr>
          <w:sz w:val="20"/>
          <w:szCs w:val="20"/>
          <w:rtl/>
        </w:rPr>
        <w:t>יח</w:t>
      </w:r>
      <w:proofErr w:type="spellEnd"/>
      <w:r>
        <w:rPr>
          <w:sz w:val="20"/>
          <w:szCs w:val="20"/>
          <w:rtl/>
        </w:rPr>
        <w:t>.</w:t>
      </w:r>
    </w:p>
  </w:footnote>
  <w:footnote w:id="2185">
    <w:p w14:paraId="77EE45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41.</w:t>
      </w:r>
    </w:p>
  </w:footnote>
  <w:footnote w:id="2186">
    <w:p w14:paraId="0AED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של נספח ב, כיצד נתפסה ישיבת </w:t>
      </w:r>
      <w:proofErr w:type="spellStart"/>
      <w:r>
        <w:rPr>
          <w:sz w:val="20"/>
          <w:szCs w:val="20"/>
          <w:rtl/>
        </w:rPr>
        <w:t>סלבודקה</w:t>
      </w:r>
      <w:proofErr w:type="spellEnd"/>
      <w:r>
        <w:rPr>
          <w:sz w:val="20"/>
          <w:szCs w:val="20"/>
          <w:rtl/>
        </w:rPr>
        <w:t xml:space="preserve"> של הסבא כמתנגדת בתקיפות ללימודי חול כבר עשור קודם לכן.</w:t>
      </w:r>
    </w:p>
  </w:footnote>
  <w:footnote w:id="2187">
    <w:p w14:paraId="5F71B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לעיל – עמ׳ 205, מכתב קנט.</w:t>
      </w:r>
    </w:p>
  </w:footnote>
  <w:footnote w:id="2188">
    <w:p w14:paraId="29BEBB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הערה 56 בפרק זה, על המצב ברוסיה בשנות </w:t>
      </w:r>
      <w:proofErr w:type="spellStart"/>
      <w:r>
        <w:rPr>
          <w:sz w:val="20"/>
          <w:szCs w:val="20"/>
          <w:rtl/>
        </w:rPr>
        <w:t xml:space="preserve">התר״ס</w:t>
      </w:r>
      <w:proofErr w:type="spellEnd"/>
      <w:r>
        <w:rPr>
          <w:sz w:val="20"/>
          <w:szCs w:val="20"/>
          <w:rtl/>
        </w:rPr>
        <w:t xml:space="preserve">.</w:t>
      </w:r>
    </w:p>
  </w:footnote>
  <w:footnote w:id="2189">
    <w:p w14:paraId="15197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כ, ח. ראה גם עמ׳ </w:t>
      </w:r>
      <w:r>
        <w:rPr>
          <w:sz w:val="20"/>
          <w:szCs w:val="20"/>
          <w:rtl/>
        </w:rPr>
        <w:fldChar w:fldCharType="begin" w:dirty="true"/>
      </w:r>
      <w:r>
        <w:rPr>
          <w:sz w:val="20"/>
          <w:szCs w:val="20"/>
          <w:rtl/>
        </w:rPr>
        <w:instrText xml:space="preserve"> PAGEREF pr_b_2047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pr_b_2049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והערת שוליים </w:t>
      </w:r>
      <w:r>
        <w:rPr>
          <w:sz w:val="20"/>
          <w:szCs w:val="20"/>
          <w:rtl/>
        </w:rPr>
        <w:fldChar w:fldCharType="begin" w:dirty="true"/>
      </w:r>
      <w:r>
        <w:rPr>
          <w:sz w:val="20"/>
          <w:szCs w:val="20"/>
          <w:rtl/>
        </w:rPr>
        <w:instrText xml:space="preserve"> NOTEREF pr_f_3536 \h </w:instrText>
      </w:r>
      <w:r>
        <w:rPr>
          <w:sz w:val="20"/>
          <w:szCs w:val="20"/>
          <w:rtl/>
        </w:rPr>
      </w:r>
      <w:r>
        <w:rPr>
          <w:sz w:val="20"/>
          <w:szCs w:val="20"/>
          <w:rtl/>
        </w:rPr>
        <w:fldChar w:fldCharType="separate"/>
      </w:r>
      <w:r w:rsidR="007923E9">
        <w:rPr>
          <w:sz w:val="20"/>
          <w:szCs w:val="20"/>
          <w:rtl/>
        </w:rPr>
        <w:t>613</w:t>
      </w:r>
      <w:r>
        <w:rPr>
          <w:sz w:val="20"/>
          <w:szCs w:val="20"/>
          <w:rtl/>
        </w:rPr>
        <w:fldChar w:fldCharType="end"/>
      </w:r>
      <w:r>
        <w:rPr>
          <w:sz w:val="20"/>
          <w:szCs w:val="20"/>
          <w:rtl/>
        </w:rPr>
        <w:t xml:space="preserve"> שם.</w:t>
      </w:r>
    </w:p>
  </w:footnote>
  <w:footnote w:id="2190">
    <w:p w14:paraId="0D85BE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קנב ע״א.</w:t>
      </w:r>
    </w:p>
  </w:footnote>
  <w:footnote w:id="2191">
    <w:p w14:paraId="5EF3F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ט, </w:t>
      </w:r>
      <w:proofErr w:type="spellStart"/>
      <w:r>
        <w:rPr>
          <w:sz w:val="20"/>
          <w:szCs w:val="20"/>
          <w:rtl/>
        </w:rPr>
        <w:t>יז</w:t>
      </w:r>
      <w:proofErr w:type="spellEnd"/>
      <w:r>
        <w:rPr>
          <w:sz w:val="20"/>
          <w:szCs w:val="20"/>
          <w:rtl/>
        </w:rPr>
        <w:t>.</w:t>
      </w:r>
    </w:p>
  </w:footnote>
  <w:footnote w:id="2192">
    <w:p w14:paraId="4F75E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יא לעיל. יש להבין גם שבמקרה של </w:t>
      </w:r>
      <w:proofErr w:type="spellStart"/>
      <w:r>
        <w:rPr>
          <w:sz w:val="20"/>
          <w:szCs w:val="20"/>
          <w:rtl/>
        </w:rPr>
        <w:t>וולוז׳ין</w:t>
      </w:r>
      <w:proofErr w:type="spellEnd"/>
      <w:r>
        <w:rPr>
          <w:sz w:val="20"/>
          <w:szCs w:val="20"/>
          <w:rtl/>
        </w:rPr>
        <w:t xml:space="preserve"> ביקשה הממשלה להגביל את לימודי הקודש לשלוש שעות ביום (ראה “הראשון לשושלת </w:t>
      </w:r>
      <w:proofErr w:type="spellStart"/>
      <w:r>
        <w:rPr>
          <w:sz w:val="20"/>
          <w:szCs w:val="20"/>
          <w:rtl/>
        </w:rPr>
        <w:t>בריסק</w:t>
      </w:r>
      <w:proofErr w:type="spellEnd"/>
      <w:r>
        <w:rPr>
          <w:sz w:val="20"/>
          <w:szCs w:val="20"/>
          <w:rtl/>
        </w:rPr>
        <w:t xml:space="preserve">”, הערה 12 לעיל, עמ׳ 417–418). הגבלה זו הייתה משנה מן היסוד את אופיו של המוסד – מישיבה שיש בה לימודי חול </w:t>
      </w:r>
      <w:proofErr w:type="spellStart"/>
      <w:r>
        <w:rPr>
          <w:sz w:val="20"/>
          <w:szCs w:val="20"/>
          <w:rtl/>
        </w:rPr>
        <w:t>לגימנסיה־אוניברסיטה</w:t>
      </w:r>
      <w:proofErr w:type="spellEnd"/>
      <w:r>
        <w:rPr>
          <w:sz w:val="20"/>
          <w:szCs w:val="20"/>
          <w:rtl/>
        </w:rPr>
        <w:t xml:space="preserve"> שיש בה לימודי קודש – ואי אפשר היה לקבלה בשום אופן.</w:t>
      </w:r>
    </w:p>
  </w:footnote>
  <w:footnote w:id="2193">
    <w:p w14:paraId="784BFD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ירושלם, תרפ״ט – עמ׳ 5.</w:t>
      </w:r>
    </w:p>
  </w:footnote>
  <w:footnote w:id="2194">
    <w:p w14:paraId="163E3B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סיוון תש״ז – עמ׳ </w:t>
      </w:r>
      <w:proofErr w:type="spellStart"/>
      <w:r>
        <w:rPr>
          <w:sz w:val="20"/>
          <w:szCs w:val="20"/>
          <w:rtl/>
        </w:rPr>
        <w:t>קמג</w:t>
      </w:r>
      <w:proofErr w:type="spellEnd"/>
      <w:r>
        <w:rPr>
          <w:sz w:val="20"/>
          <w:szCs w:val="20"/>
          <w:rtl/>
        </w:rPr>
        <w:t>.</w:t>
      </w:r>
    </w:p>
  </w:footnote>
  <w:footnote w:id="2195">
    <w:p w14:paraId="6C8E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“לבוש מרדכי”, שם.</w:t>
      </w:r>
    </w:p>
  </w:footnote>
  <w:footnote w:id="2196">
    <w:p w14:paraId="28D097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בתחילה נקראה ישיבה זו “ישיבת חפץ חיים”, ואחר כך הוחלף שמה </w:t>
      </w:r>
      <w:proofErr w:type="spellStart"/>
      <w:r>
        <w:rPr>
          <w:sz w:val="20"/>
          <w:szCs w:val="20"/>
          <w:rtl/>
        </w:rPr>
        <w:t>ל“ישיבת</w:t>
      </w:r>
      <w:proofErr w:type="spellEnd"/>
      <w:r>
        <w:rPr>
          <w:sz w:val="20"/>
          <w:szCs w:val="20"/>
          <w:rtl/>
        </w:rPr>
        <w:t xml:space="preserve"> אור החיים”.</w:t>
      </w:r>
    </w:p>
  </w:footnote>
  <w:footnote w:id="2197">
    <w:p w14:paraId="65507F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וכרך ג, עמ׳ 26–27. סדר הזמנים שלנו לראשית פעילותו של הסבא – בית מדרש הלוויית המת, כולל קובנה, </w:t>
      </w:r>
      <w:proofErr w:type="spellStart"/>
      <w:r>
        <w:rPr>
          <w:sz w:val="20"/>
          <w:szCs w:val="20"/>
          <w:rtl/>
        </w:rPr>
        <w:t>גרובין</w:t>
      </w:r>
      <w:proofErr w:type="spellEnd"/>
      <w:r>
        <w:rPr>
          <w:sz w:val="20"/>
          <w:szCs w:val="20"/>
          <w:rtl/>
        </w:rPr>
        <w:t xml:space="preserve"> וישיבת ר׳ </w:t>
      </w:r>
      <w:proofErr w:type="spellStart"/>
      <w:r>
        <w:rPr>
          <w:sz w:val="20"/>
          <w:szCs w:val="20"/>
          <w:rtl/>
        </w:rPr>
        <w:t>הירשל׳ה</w:t>
      </w:r>
      <w:proofErr w:type="spellEnd"/>
      <w:r>
        <w:rPr>
          <w:sz w:val="20"/>
          <w:szCs w:val="20"/>
          <w:rtl/>
        </w:rPr>
        <w:t xml:space="preserve"> – אינו תואם את ספרו של כץ, כרך ג, פרק 1, עמ׳ 19 ואילך, שסדרו הוא: </w:t>
      </w:r>
      <w:proofErr w:type="spellStart"/>
      <w:r>
        <w:rPr>
          <w:sz w:val="20"/>
          <w:szCs w:val="20"/>
          <w:rtl/>
        </w:rPr>
        <w:t>גרובין</w:t>
      </w:r>
      <w:proofErr w:type="spellEnd"/>
      <w:r>
        <w:rPr>
          <w:sz w:val="20"/>
          <w:szCs w:val="20"/>
          <w:rtl/>
        </w:rPr>
        <w:t xml:space="preserve">, ישיבת ר׳ </w:t>
      </w:r>
      <w:proofErr w:type="spellStart"/>
      <w:r>
        <w:rPr>
          <w:sz w:val="20"/>
          <w:szCs w:val="20"/>
          <w:rtl/>
        </w:rPr>
        <w:t>הירשל׳ה</w:t>
      </w:r>
      <w:proofErr w:type="spellEnd"/>
      <w:r>
        <w:rPr>
          <w:sz w:val="20"/>
          <w:szCs w:val="20"/>
          <w:rtl/>
        </w:rPr>
        <w:t xml:space="preserve">, בית מדרש הלוויית המת, כולל קובנה. כץ שגה בכך בגלל טעותו היסודית בשנת ייסודה של </w:t>
      </w:r>
      <w:proofErr w:type="spellStart"/>
      <w:r>
        <w:rPr>
          <w:sz w:val="20"/>
          <w:szCs w:val="20"/>
          <w:rtl/>
        </w:rPr>
        <w:t>גרובין</w:t>
      </w:r>
      <w:proofErr w:type="spellEnd"/>
      <w:r>
        <w:rPr>
          <w:sz w:val="20"/>
          <w:szCs w:val="20"/>
          <w:rtl/>
        </w:rPr>
        <w:t xml:space="preserve"> – השווה הערת שוליים </w:t>
      </w:r>
      <w:r>
        <w:rPr>
          <w:sz w:val="20"/>
          <w:szCs w:val="20"/>
          <w:rtl/>
        </w:rPr>
        <w:fldChar w:fldCharType="begin" w:dirty="true"/>
      </w:r>
      <w:r>
        <w:rPr>
          <w:sz w:val="20"/>
          <w:szCs w:val="20"/>
          <w:rtl/>
        </w:rPr>
        <w:instrText xml:space="preserve"> NOTEREF pr_f_2408 \h </w:instrText>
      </w:r>
      <w:r>
        <w:rPr>
          <w:sz w:val="20"/>
          <w:szCs w:val="20"/>
          <w:rtl/>
        </w:rPr>
      </w:r>
      <w:r>
        <w:rPr>
          <w:sz w:val="20"/>
          <w:szCs w:val="20"/>
          <w:rtl/>
        </w:rPr>
        <w:fldChar w:fldCharType="separate"/>
      </w:r>
      <w:r w:rsidR="007923E9">
        <w:rPr>
          <w:sz w:val="20"/>
          <w:szCs w:val="20"/>
          <w:rtl/>
        </w:rPr>
        <w:t>1454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pr_f_2408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w:t>
      </w:r>
    </w:p>
  </w:footnote>
  <w:footnote w:id="2198">
    <w:p w14:paraId="5C44F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ב, עמ׳ 411. השווה גם תחילת נספח יד לעיל, לפרטים נוספים על הרב </w:t>
      </w:r>
      <w:proofErr w:type="spellStart"/>
      <w:r>
        <w:rPr>
          <w:sz w:val="20"/>
          <w:szCs w:val="20"/>
          <w:rtl/>
        </w:rPr>
        <w:t>לייזרוביץ</w:t>
      </w:r>
      <w:proofErr w:type="spellEnd"/>
      <w:r>
        <w:rPr>
          <w:sz w:val="20"/>
          <w:szCs w:val="20"/>
          <w:rtl/>
        </w:rPr>
        <w:t>.</w:t>
      </w:r>
    </w:p>
  </w:footnote>
  <w:footnote w:id="2199">
    <w:p w14:paraId="5DD1F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א לעיל.</w:t>
      </w:r>
    </w:p>
  </w:footnote>
  <w:footnote w:id="2200">
    <w:p w14:paraId="5B3297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29. השווה גם שם, הערת השוליים בעמ׳ 29–30, </w:t>
      </w:r>
      <w:proofErr w:type="spellStart"/>
      <w:r>
        <w:rPr>
          <w:sz w:val="20"/>
          <w:szCs w:val="20"/>
          <w:rtl/>
        </w:rPr>
        <w:t>שתרמ״א</w:t>
      </w:r>
      <w:proofErr w:type="spellEnd"/>
      <w:r>
        <w:rPr>
          <w:sz w:val="20"/>
          <w:szCs w:val="20"/>
          <w:rtl/>
        </w:rPr>
        <w:t xml:space="preserve"> היא שנת ייסודה הנכונה של הישיבה </w:t>
      </w:r>
      <w:proofErr w:type="spellStart"/>
      <w:r>
        <w:rPr>
          <w:sz w:val="20"/>
          <w:szCs w:val="20"/>
          <w:rtl/>
        </w:rPr>
        <w:t>בטלז</w:t>
      </w:r>
      <w:proofErr w:type="spellEnd"/>
      <w:r>
        <w:rPr>
          <w:sz w:val="20"/>
          <w:szCs w:val="20"/>
          <w:rtl/>
        </w:rPr>
        <w:t>, ולא תרל״ז, כפי שטוענים מקצת המקורות; ראה על כך עוד בפרק 4, הפסקה השנייה של נספח ח.</w:t>
      </w:r>
    </w:p>
  </w:footnote>
  <w:footnote w:id="2201">
    <w:p w14:paraId="3ED8AF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הריאיון המוקלט על הסבא </w:t>
      </w:r>
      <w:proofErr w:type="spellStart"/>
      <w:r>
        <w:rPr>
          <w:sz w:val="20"/>
          <w:szCs w:val="20"/>
          <w:rtl/>
        </w:rPr>
        <w:t>מסלבודקה</w:t>
      </w:r>
      <w:proofErr w:type="spellEnd"/>
      <w:r>
        <w:rPr>
          <w:sz w:val="20"/>
          <w:szCs w:val="20"/>
          <w:rtl/>
        </w:rPr>
        <w:t>.</w:t>
      </w:r>
    </w:p>
  </w:footnote>
  <w:footnote w:id="2202">
    <w:p w14:paraId="19D93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תר״ח–תרפ״ה; לימים חותנם של ר׳ אלחנן וסרמן ושל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בנישואיו השניים.</w:t>
      </w:r>
    </w:p>
  </w:footnote>
  <w:footnote w:id="2203">
    <w:p w14:paraId="3DFE1E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חי בשנים תרי״ד–תרפ״ו, נזכר בנספח יד לעיל, ולימים היה חותנו של ר׳ </w:t>
      </w:r>
      <w:proofErr w:type="spellStart"/>
      <w:r>
        <w:rPr>
          <w:sz w:val="20"/>
          <w:szCs w:val="20"/>
          <w:rtl/>
        </w:rPr>
        <w:t>משה־בנימין</w:t>
      </w:r>
      <w:proofErr w:type="spellEnd"/>
      <w:r>
        <w:rPr>
          <w:sz w:val="20"/>
          <w:szCs w:val="20"/>
          <w:rtl/>
        </w:rPr>
        <w:t xml:space="preserve"> </w:t>
      </w:r>
      <w:proofErr w:type="spellStart"/>
      <w:r>
        <w:rPr>
          <w:sz w:val="20"/>
          <w:szCs w:val="20"/>
          <w:rtl/>
        </w:rPr>
        <w:t>תומשוב</w:t>
      </w:r>
      <w:proofErr w:type="spellEnd"/>
      <w:r>
        <w:rPr>
          <w:sz w:val="20"/>
          <w:szCs w:val="20"/>
          <w:rtl/>
        </w:rPr>
        <w:t xml:space="preserve"> (תרל״ח–</w:t>
      </w:r>
      <w:proofErr w:type="spellStart"/>
      <w:r>
        <w:rPr>
          <w:sz w:val="20"/>
          <w:szCs w:val="20"/>
          <w:rtl/>
        </w:rPr>
        <w:t>תש״ך</w:t>
      </w:r>
      <w:proofErr w:type="spellEnd"/>
      <w:r>
        <w:rPr>
          <w:sz w:val="20"/>
          <w:szCs w:val="20"/>
          <w:rtl/>
        </w:rPr>
        <w:t xml:space="preserve">), שערך עם ר׳ </w:t>
      </w:r>
      <w:proofErr w:type="spellStart"/>
      <w:r>
        <w:rPr>
          <w:sz w:val="20"/>
          <w:szCs w:val="20"/>
          <w:rtl/>
        </w:rPr>
        <w:t>איסר־זלמן</w:t>
      </w:r>
      <w:proofErr w:type="spellEnd"/>
      <w:r>
        <w:rPr>
          <w:sz w:val="20"/>
          <w:szCs w:val="20"/>
          <w:rtl/>
        </w:rPr>
        <w:t xml:space="preserve"> את כתב העת התורני “יגדיל תורה” </w:t>
      </w:r>
      <w:proofErr w:type="spellStart"/>
      <w:r>
        <w:rPr>
          <w:sz w:val="20"/>
          <w:szCs w:val="20"/>
          <w:rtl/>
        </w:rPr>
        <w:t>בסלוצק</w:t>
      </w:r>
      <w:proofErr w:type="spellEnd"/>
      <w:r>
        <w:rPr>
          <w:sz w:val="20"/>
          <w:szCs w:val="20"/>
          <w:rtl/>
        </w:rPr>
        <w:t>, ואחר כך שימש רב בברוקלין (</w:t>
      </w:r>
      <w:proofErr w:type="spellStart"/>
      <w:r>
        <w:rPr>
          <w:sz w:val="20"/>
          <w:szCs w:val="20"/>
          <w:rtl/>
        </w:rPr>
        <w:t>ידעאל</w:t>
      </w:r>
      <w:proofErr w:type="spellEnd"/>
      <w:r>
        <w:rPr>
          <w:sz w:val="20"/>
          <w:szCs w:val="20"/>
          <w:rtl/>
        </w:rPr>
        <w:t xml:space="preserve"> מלצר, “בדרך עץ החיים”, עמ׳ 120–121, הערה 2).</w:t>
      </w:r>
    </w:p>
  </w:footnote>
  <w:footnote w:id="2204">
    <w:p w14:paraId="58E9A2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חי בשנים תרי״ז–תרמ״ו.</w:t>
      </w:r>
    </w:p>
  </w:footnote>
  <w:footnote w:id="2205">
    <w:p w14:paraId="161212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5.2.</w:t>
      </w:r>
    </w:p>
  </w:footnote>
  <w:footnote w:id="2206">
    <w:p w14:paraId="4E6146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w:t>
      </w:r>
    </w:p>
  </w:footnote>
  <w:footnote w:id="2207">
    <w:p w14:paraId="04E66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נספח </w:t>
      </w:r>
      <w:proofErr w:type="spellStart"/>
      <w:r>
        <w:rPr>
          <w:sz w:val="20"/>
          <w:szCs w:val="20"/>
          <w:rtl/>
        </w:rPr>
        <w:t>יב</w:t>
      </w:r>
      <w:proofErr w:type="spellEnd"/>
      <w:r>
        <w:rPr>
          <w:sz w:val="20"/>
          <w:szCs w:val="20"/>
          <w:rtl/>
        </w:rPr>
        <w:t>.</w:t>
      </w:r>
    </w:p>
  </w:footnote>
  <w:footnote w:id="2208">
    <w:p w14:paraId="15F1D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2209">
    <w:p w14:paraId="7AF53A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מבוגר מר׳ מאיר אטלס בשבע שנים, וחיבר את סדרת ספרי הקבלה “לשם שבו ואחלמה” – ראה פרק 4, הפסקה השנייה של נספח ז.</w:t>
      </w:r>
    </w:p>
  </w:footnote>
  <w:footnote w:id="2210">
    <w:p w14:paraId="2CDC71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 הוא מן המבוא הביוגרפי </w:t>
      </w:r>
      <w:proofErr w:type="spellStart"/>
      <w:r>
        <w:rPr>
          <w:sz w:val="20"/>
          <w:szCs w:val="20"/>
          <w:rtl/>
        </w:rPr>
        <w:t>ל“חלק</w:t>
      </w:r>
      <w:proofErr w:type="spellEnd"/>
      <w:r>
        <w:rPr>
          <w:sz w:val="20"/>
          <w:szCs w:val="20"/>
          <w:rtl/>
        </w:rPr>
        <w:t xml:space="preserve"> הביאורים וחלק הדרושים” של ר׳ שלמה אלישיב (נדפס בירושלים, תרצ״ה), מאת מחותנו של חתנו, ר׳ אריה לוין – להלן: הערות לשם.</w:t>
      </w:r>
    </w:p>
  </w:footnote>
  <w:footnote w:id="2211">
    <w:p w14:paraId="1FF494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סדר הישיבות ברשימה אינו כרונולוגי, אלא הולך בעקבות כץ, “תנועת המוסר”, כרך ג, עמ׳ 57–64 ו־69–70. מן הרשימה נשמטה </w:t>
      </w:r>
      <w:proofErr w:type="spellStart"/>
      <w:r>
        <w:rPr>
          <w:sz w:val="20"/>
          <w:szCs w:val="20"/>
          <w:rtl/>
        </w:rPr>
        <w:t>פילווישוק</w:t>
      </w:r>
      <w:proofErr w:type="spellEnd"/>
      <w:r>
        <w:rPr>
          <w:sz w:val="20"/>
          <w:szCs w:val="20"/>
          <w:rtl/>
        </w:rPr>
        <w:t xml:space="preserve">. לשם, כפי שכתוב בעמ׳ 22 בספרו של מרק שפירא על ר׳ </w:t>
      </w:r>
      <w:proofErr w:type="spellStart"/>
      <w:r>
        <w:rPr>
          <w:sz w:val="20"/>
          <w:szCs w:val="20"/>
          <w:rtl/>
        </w:rPr>
        <w:t>יחיאל־יעקב</w:t>
      </w:r>
      <w:proofErr w:type="spellEnd"/>
      <w:r>
        <w:rPr>
          <w:sz w:val="20"/>
          <w:szCs w:val="20"/>
          <w:rtl/>
        </w:rPr>
        <w:t xml:space="preserve"> ויינברג (סוף נספח ט לעיל), “שלח הסבא </w:t>
      </w:r>
      <w:proofErr w:type="spellStart"/>
      <w:r>
        <w:rPr>
          <w:sz w:val="20"/>
          <w:szCs w:val="20"/>
          <w:rtl/>
        </w:rPr>
        <w:t>מסלבודקה</w:t>
      </w:r>
      <w:proofErr w:type="spellEnd"/>
      <w:r>
        <w:rPr>
          <w:sz w:val="20"/>
          <w:szCs w:val="20"/>
          <w:rtl/>
        </w:rPr>
        <w:t xml:space="preserve"> קבוצה מתלמידיו המובחרים מישיבתו </w:t>
      </w:r>
      <w:proofErr w:type="spellStart"/>
      <w:r>
        <w:rPr>
          <w:sz w:val="20"/>
          <w:szCs w:val="20"/>
          <w:rtl/>
        </w:rPr>
        <w:t>בתרע״ב</w:t>
      </w:r>
      <w:proofErr w:type="spellEnd"/>
      <w:r>
        <w:rPr>
          <w:sz w:val="20"/>
          <w:szCs w:val="20"/>
          <w:rtl/>
        </w:rPr>
        <w:t xml:space="preserve">, בתקווה שאם [רבה, תלמידו ר׳ </w:t>
      </w:r>
      <w:proofErr w:type="spellStart"/>
      <w:r>
        <w:rPr>
          <w:sz w:val="20"/>
          <w:szCs w:val="20"/>
          <w:rtl/>
        </w:rPr>
        <w:t>יחיאל־יעקב</w:t>
      </w:r>
      <w:proofErr w:type="spellEnd"/>
      <w:r>
        <w:rPr>
          <w:sz w:val="20"/>
          <w:szCs w:val="20"/>
          <w:rtl/>
        </w:rPr>
        <w:t xml:space="preserve">] ויינברג יעסוק בהוראת הבחורים, לא יהיה עוד שקוע בקשיי חייו האישיים”. לפרטי הקשיים האישיים שפקדו את ר׳ </w:t>
      </w:r>
      <w:proofErr w:type="spellStart"/>
      <w:r>
        <w:rPr>
          <w:sz w:val="20"/>
          <w:szCs w:val="20"/>
          <w:rtl/>
        </w:rPr>
        <w:t>יחיאל־יעקב</w:t>
      </w:r>
      <w:proofErr w:type="spellEnd"/>
      <w:r>
        <w:rPr>
          <w:sz w:val="20"/>
          <w:szCs w:val="20"/>
          <w:rtl/>
        </w:rPr>
        <w:t xml:space="preserve"> ויינברג ראה פרק 4, נספח ד. מאחר שהדבר לא הועיל כלל להקל את בעיותיו, ייתכן שהקיבוץ </w:t>
      </w:r>
      <w:proofErr w:type="spellStart"/>
      <w:r>
        <w:rPr>
          <w:sz w:val="20"/>
          <w:szCs w:val="20"/>
          <w:rtl/>
        </w:rPr>
        <w:t>בפילווישוק</w:t>
      </w:r>
      <w:proofErr w:type="spellEnd"/>
      <w:r>
        <w:rPr>
          <w:sz w:val="20"/>
          <w:szCs w:val="20"/>
          <w:rtl/>
        </w:rPr>
        <w:t xml:space="preserve"> לא התקיים זמן רב, ולכן הושמט אצל כץ.</w:t>
      </w:r>
    </w:p>
  </w:footnote>
  <w:footnote w:id="2212">
    <w:p w14:paraId="04FAB5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“תנועת המוסר”, כרך ג, עמ׳ 44, וכרך ה, עמ׳ 30. קיבלתי תאריך זה כנכון וככזה שאינו סותר את אמירתו </w:t>
      </w:r>
      <w:proofErr w:type="spellStart"/>
      <w:r>
        <w:rPr>
          <w:sz w:val="20"/>
          <w:szCs w:val="20"/>
          <w:rtl/>
        </w:rPr>
        <w:t>הלא־מוגדרת</w:t>
      </w:r>
      <w:proofErr w:type="spellEnd"/>
      <w:r>
        <w:rPr>
          <w:sz w:val="20"/>
          <w:szCs w:val="20"/>
          <w:rtl/>
        </w:rPr>
        <w:t xml:space="preserve"> של אבי, “כנראה תרס״ג”, בריאיון המוקלט על הסבא </w:t>
      </w:r>
      <w:proofErr w:type="spellStart"/>
      <w:r>
        <w:rPr>
          <w:sz w:val="20"/>
          <w:szCs w:val="20"/>
          <w:rtl/>
        </w:rPr>
        <w:t>מסלבודקה</w:t>
      </w:r>
      <w:proofErr w:type="spellEnd"/>
      <w:r>
        <w:rPr>
          <w:sz w:val="20"/>
          <w:szCs w:val="20"/>
          <w:rtl/>
        </w:rPr>
        <w:t>.</w:t>
      </w:r>
    </w:p>
  </w:footnote>
  <w:footnote w:id="2213">
    <w:p w14:paraId="210D3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214">
    <w:p w14:paraId="12E585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הערה 135 להלן; והפסקה השנייה של הערה 137. ראה גם </w:t>
      </w:r>
      <w:proofErr w:type="spellStart"/>
      <w:r>
        <w:rPr>
          <w:sz w:val="20"/>
          <w:szCs w:val="20"/>
          <w:rtl/>
        </w:rPr>
        <w:t>ידעאל</w:t>
      </w:r>
      <w:proofErr w:type="spellEnd"/>
      <w:r>
        <w:rPr>
          <w:sz w:val="20"/>
          <w:szCs w:val="20"/>
          <w:rtl/>
        </w:rPr>
        <w:t xml:space="preserve"> מלצר, “בדרך עץ החיים”, עמ׳ 447 ו־450, שר׳ </w:t>
      </w:r>
      <w:proofErr w:type="spellStart"/>
      <w:r>
        <w:rPr>
          <w:sz w:val="20"/>
          <w:szCs w:val="20"/>
          <w:rtl/>
        </w:rPr>
        <w:t>ברוך־בער</w:t>
      </w:r>
      <w:proofErr w:type="spellEnd"/>
      <w:r>
        <w:rPr>
          <w:sz w:val="20"/>
          <w:szCs w:val="20"/>
          <w:rtl/>
        </w:rPr>
        <w:t xml:space="preserve"> החשיב את שכלו של ר׳ </w:t>
      </w:r>
      <w:proofErr w:type="spellStart"/>
      <w:r>
        <w:rPr>
          <w:sz w:val="20"/>
          <w:szCs w:val="20"/>
          <w:rtl/>
        </w:rPr>
        <w:t>איסר־זלמן</w:t>
      </w:r>
      <w:proofErr w:type="spellEnd"/>
      <w:r>
        <w:rPr>
          <w:sz w:val="20"/>
          <w:szCs w:val="20"/>
          <w:rtl/>
        </w:rPr>
        <w:t xml:space="preserve"> לנעלה משלו. ראה גם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5">
    <w:p w14:paraId="0A44BE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רש״י ד״ה אוכל בסנהדרין ק״ז ע״א.</w:t>
      </w:r>
    </w:p>
  </w:footnote>
  <w:footnote w:id="2216">
    <w:p w14:paraId="0A3E61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ברוך־בער</w:t>
      </w:r>
      <w:proofErr w:type="spellEnd"/>
      <w:r>
        <w:rPr>
          <w:sz w:val="20"/>
          <w:szCs w:val="20"/>
          <w:rtl/>
        </w:rPr>
        <w:t xml:space="preserve"> סיפר את המעשה כשהצטער על שדיבר אל רבו בחוצפה (לדעתו), וקרא: “כיצד העזתי לומר דבר כזה, </w:t>
      </w:r>
      <w:proofErr w:type="spellStart"/>
      <w:r>
        <w:rPr>
          <w:sz w:val="20"/>
          <w:szCs w:val="20"/>
          <w:rtl/>
        </w:rPr>
        <w:t>כשאפילו</w:t>
      </w:r>
      <w:proofErr w:type="spellEnd"/>
      <w:r>
        <w:rPr>
          <w:sz w:val="20"/>
          <w:szCs w:val="20"/>
          <w:rtl/>
        </w:rPr>
        <w:t xml:space="preserve"> לסבול אצל הרבי הייתה זכות!” את המעשה שמעתי מר׳ יחיאל פר, כפי שנמסר דרך בני משפחת </w:t>
      </w:r>
      <w:proofErr w:type="spellStart"/>
      <w:r>
        <w:rPr>
          <w:sz w:val="20"/>
          <w:szCs w:val="20"/>
          <w:rtl/>
        </w:rPr>
        <w:t>יופן</w:t>
      </w:r>
      <w:proofErr w:type="spellEnd"/>
      <w:r>
        <w:rPr>
          <w:sz w:val="20"/>
          <w:szCs w:val="20"/>
          <w:rtl/>
        </w:rPr>
        <w:t xml:space="preserve"> (השווה הערת שוליים </w:t>
      </w:r>
      <w:r>
        <w:rPr>
          <w:sz w:val="20"/>
          <w:szCs w:val="20"/>
          <w:rtl/>
        </w:rPr>
        <w:fldChar w:fldCharType="begin" w:dirty="true"/>
      </w:r>
      <w:r>
        <w:rPr>
          <w:sz w:val="20"/>
          <w:szCs w:val="20"/>
          <w:rtl/>
        </w:rPr>
        <w:instrText xml:space="preserve"> NOTEREF pr_f_1781 \h </w:instrText>
      </w:r>
      <w:r>
        <w:rPr>
          <w:sz w:val="20"/>
          <w:szCs w:val="20"/>
          <w:rtl/>
        </w:rPr>
      </w:r>
      <w:r>
        <w:rPr>
          <w:sz w:val="20"/>
          <w:szCs w:val="20"/>
          <w:rtl/>
        </w:rPr>
        <w:fldChar w:fldCharType="separate"/>
      </w:r>
      <w:r w:rsidR="007923E9">
        <w:rPr>
          <w:sz w:val="20"/>
          <w:szCs w:val="20"/>
          <w:rtl/>
        </w:rPr>
        <w:t>828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pr_f_1781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“ר׳ ברוך בר” (הערה 18 לעיל), עמ׳ צג, גר ר׳ אברהם </w:t>
      </w:r>
      <w:proofErr w:type="spellStart"/>
      <w:r>
        <w:rPr>
          <w:sz w:val="20"/>
          <w:szCs w:val="20"/>
          <w:rtl/>
        </w:rPr>
        <w:t>יופן</w:t>
      </w:r>
      <w:proofErr w:type="spellEnd"/>
      <w:r>
        <w:rPr>
          <w:sz w:val="20"/>
          <w:szCs w:val="20"/>
          <w:rtl/>
        </w:rPr>
        <w:t xml:space="preserve"> בכמה משנות מלחמת העולם הראשונה </w:t>
      </w:r>
      <w:proofErr w:type="spellStart"/>
      <w:r>
        <w:rPr>
          <w:sz w:val="20"/>
          <w:szCs w:val="20"/>
          <w:rtl/>
        </w:rPr>
        <w:t>בקרמנצ׳וג</w:t>
      </w:r>
      <w:proofErr w:type="spellEnd"/>
      <w:r>
        <w:rPr>
          <w:sz w:val="20"/>
          <w:szCs w:val="20"/>
          <w:rtl/>
        </w:rPr>
        <w:t xml:space="preserve">, בשכונתו של ר׳ </w:t>
      </w:r>
      <w:proofErr w:type="spellStart"/>
      <w:r>
        <w:rPr>
          <w:sz w:val="20"/>
          <w:szCs w:val="20"/>
          <w:rtl/>
        </w:rPr>
        <w:t>ברוך־בער</w:t>
      </w:r>
      <w:proofErr w:type="spellEnd"/>
      <w:r>
        <w:rPr>
          <w:sz w:val="20"/>
          <w:szCs w:val="20"/>
          <w:rtl/>
        </w:rPr>
        <w:t xml:space="preserve">. ב־6 באוגוסט 1993 סיפר לי ר׳ יעקב </w:t>
      </w:r>
      <w:proofErr w:type="spellStart"/>
      <w:r>
        <w:rPr>
          <w:sz w:val="20"/>
          <w:szCs w:val="20"/>
          <w:rtl/>
        </w:rPr>
        <w:t>יופן</w:t>
      </w:r>
      <w:proofErr w:type="spellEnd"/>
      <w:r>
        <w:rPr>
          <w:sz w:val="20"/>
          <w:szCs w:val="20"/>
          <w:rtl/>
        </w:rPr>
        <w:t xml:space="preserve"> שבמלחמת העולם הראשונה שהה ר׳ </w:t>
      </w:r>
      <w:proofErr w:type="spellStart"/>
      <w:r>
        <w:rPr>
          <w:sz w:val="20"/>
          <w:szCs w:val="20"/>
          <w:rtl/>
        </w:rPr>
        <w:t>ברוך־בער</w:t>
      </w:r>
      <w:proofErr w:type="spellEnd"/>
      <w:r>
        <w:rPr>
          <w:sz w:val="20"/>
          <w:szCs w:val="20"/>
          <w:rtl/>
        </w:rPr>
        <w:t xml:space="preserve"> זמן מה בעיר </w:t>
      </w:r>
      <w:proofErr w:type="spellStart"/>
      <w:r>
        <w:rPr>
          <w:sz w:val="20"/>
          <w:szCs w:val="20"/>
          <w:rtl/>
        </w:rPr>
        <w:t>הומל</w:t>
      </w:r>
      <w:proofErr w:type="spellEnd"/>
      <w:r>
        <w:rPr>
          <w:sz w:val="20"/>
          <w:szCs w:val="20"/>
          <w:rtl/>
        </w:rPr>
        <w:t xml:space="preserve">, עם אביו של המרואיין ועם סבו ר׳ יוזל </w:t>
      </w:r>
      <w:proofErr w:type="spellStart"/>
      <w:r>
        <w:rPr>
          <w:sz w:val="20"/>
          <w:szCs w:val="20"/>
          <w:rtl/>
        </w:rPr>
        <w:t>הורוויץ</w:t>
      </w:r>
      <w:proofErr w:type="spellEnd"/>
      <w:r>
        <w:rPr>
          <w:sz w:val="20"/>
          <w:szCs w:val="20"/>
          <w:rtl/>
        </w:rPr>
        <w:t xml:space="preserve">; אבל ייתכן שפרט זה אינו מדויק. כך או כך, באחד המקומות הללו ודאי מסר ר׳ </w:t>
      </w:r>
      <w:proofErr w:type="spellStart"/>
      <w:r>
        <w:rPr>
          <w:sz w:val="20"/>
          <w:szCs w:val="20"/>
          <w:rtl/>
        </w:rPr>
        <w:t>ברוך־בער</w:t>
      </w:r>
      <w:proofErr w:type="spellEnd"/>
      <w:r>
        <w:rPr>
          <w:sz w:val="20"/>
          <w:szCs w:val="20"/>
          <w:rtl/>
        </w:rPr>
        <w:t xml:space="preserve"> את הפרטים האלה. ראה גם הערת שוליים </w:t>
      </w:r>
      <w:r>
        <w:rPr>
          <w:sz w:val="20"/>
          <w:szCs w:val="20"/>
          <w:rtl/>
        </w:rPr>
        <w:fldChar w:fldCharType="begin" w:dirty="true"/>
      </w:r>
      <w:r>
        <w:rPr>
          <w:sz w:val="20"/>
          <w:szCs w:val="20"/>
          <w:rtl/>
        </w:rPr>
        <w:instrText xml:space="preserve"> NOTEREF pr_f_1344 \h </w:instrText>
      </w:r>
      <w:r>
        <w:rPr>
          <w:sz w:val="20"/>
          <w:szCs w:val="20"/>
          <w:rtl/>
        </w:rPr>
      </w:r>
      <w:r>
        <w:rPr>
          <w:sz w:val="20"/>
          <w:szCs w:val="20"/>
          <w:rtl/>
        </w:rPr>
        <w:fldChar w:fldCharType="separate"/>
      </w:r>
      <w:r w:rsidR="007923E9">
        <w:rPr>
          <w:sz w:val="20"/>
          <w:szCs w:val="20"/>
          <w:rtl/>
        </w:rPr>
        <w:t>389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pr_f_1344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17">
    <w:p w14:paraId="161E66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האחרונים שראו אור הוא כרך שיעורים שנאספו מכתבי תלמידים ויצא </w:t>
      </w:r>
      <w:proofErr w:type="spellStart"/>
      <w:r>
        <w:rPr>
          <w:sz w:val="20"/>
          <w:szCs w:val="20"/>
          <w:rtl/>
        </w:rPr>
        <w:t>בתשנ״ד</w:t>
      </w:r>
      <w:proofErr w:type="spellEnd"/>
      <w:r>
        <w:rPr>
          <w:sz w:val="20"/>
          <w:szCs w:val="20"/>
          <w:rtl/>
        </w:rPr>
        <w:t xml:space="preserve"> בשם “חידושי ושיעורי מרן רבי ברוך בער, </w:t>
      </w:r>
      <w:proofErr w:type="spellStart"/>
      <w:r>
        <w:rPr>
          <w:sz w:val="20"/>
          <w:szCs w:val="20"/>
          <w:rtl/>
        </w:rPr>
        <w:t>ח״ג</w:t>
      </w:r>
      <w:proofErr w:type="spellEnd"/>
      <w:r>
        <w:rPr>
          <w:sz w:val="20"/>
          <w:szCs w:val="20"/>
          <w:rtl/>
        </w:rPr>
        <w:t>” (</w:t>
      </w:r>
      <w:proofErr w:type="spellStart"/>
      <w:r>
        <w:rPr>
          <w:sz w:val="20"/>
          <w:szCs w:val="20"/>
          <w:rtl/>
        </w:rPr>
        <w:t>לייקוואוד</w:t>
      </w:r>
      <w:proofErr w:type="spellEnd"/>
      <w:r>
        <w:rPr>
          <w:sz w:val="20"/>
          <w:szCs w:val="20"/>
          <w:rtl/>
        </w:rPr>
        <w:t xml:space="preserve">, תשנ״ד). הוא נזכר לעיל בפסקה השנייה של נספח </w:t>
      </w:r>
      <w:proofErr w:type="spellStart"/>
      <w:r>
        <w:rPr>
          <w:sz w:val="20"/>
          <w:szCs w:val="20"/>
          <w:rtl/>
        </w:rPr>
        <w:t>טז</w:t>
      </w:r>
      <w:proofErr w:type="spellEnd"/>
      <w:r>
        <w:rPr>
          <w:sz w:val="20"/>
          <w:szCs w:val="20"/>
          <w:rtl/>
        </w:rPr>
        <w:t>.</w:t>
      </w:r>
    </w:p>
  </w:footnote>
  <w:footnote w:id="2218">
    <w:p w14:paraId="27484A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לא.</w:t>
      </w:r>
    </w:p>
  </w:footnote>
  <w:footnote w:id="2219">
    <w:p w14:paraId="1B6D7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משחק מילים על “ריחיים </w:t>
      </w:r>
      <w:proofErr w:type="spellStart"/>
      <w:r>
        <w:rPr>
          <w:sz w:val="20"/>
          <w:szCs w:val="20"/>
          <w:rtl/>
        </w:rPr>
        <w:t>בצוארו</w:t>
      </w:r>
      <w:proofErr w:type="spellEnd"/>
      <w:r>
        <w:rPr>
          <w:sz w:val="20"/>
          <w:szCs w:val="20"/>
          <w:rtl/>
        </w:rPr>
        <w:t xml:space="preserve"> ויעסוק בתורה”, קידושין כ״ט ע״ב.</w:t>
      </w:r>
    </w:p>
  </w:footnote>
  <w:footnote w:id="2220">
    <w:p w14:paraId="50F7C6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קעא</w:t>
      </w:r>
      <w:proofErr w:type="spellEnd"/>
      <w:r>
        <w:rPr>
          <w:sz w:val="20"/>
          <w:szCs w:val="20"/>
          <w:rtl/>
        </w:rPr>
        <w:t>.</w:t>
      </w:r>
    </w:p>
  </w:footnote>
  <w:footnote w:id="2221">
    <w:p w14:paraId="4C8490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2222">
    <w:p w14:paraId="14981D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סיון תרצ״ה / טבת תרצ״ו, עמ׳ 130.</w:t>
      </w:r>
    </w:p>
  </w:footnote>
  <w:footnote w:id="2223">
    <w:p w14:paraId="2AB036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w:t>
      </w:r>
    </w:p>
  </w:footnote>
  <w:footnote w:id="2224">
    <w:p w14:paraId="4528A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סט–ע בחלק ב.</w:t>
      </w:r>
    </w:p>
  </w:footnote>
  <w:footnote w:id="2225">
    <w:p w14:paraId="434F91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“נפש הרב” (נספח ט לעיל), עמ׳ </w:t>
      </w:r>
      <w:proofErr w:type="spellStart"/>
      <w:r>
        <w:rPr>
          <w:sz w:val="20"/>
          <w:szCs w:val="20"/>
          <w:rtl/>
        </w:rPr>
        <w:t>רא</w:t>
      </w:r>
      <w:proofErr w:type="spellEnd"/>
      <w:r>
        <w:rPr>
          <w:sz w:val="20"/>
          <w:szCs w:val="20"/>
          <w:rtl/>
        </w:rPr>
        <w:t>.</w:t>
      </w:r>
    </w:p>
  </w:footnote>
  <w:footnote w:id="2226">
    <w:p w14:paraId="5E9554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ח לעיל, עמ׳ </w:t>
      </w:r>
      <w:proofErr w:type="spellStart"/>
      <w:r>
        <w:rPr>
          <w:sz w:val="20"/>
          <w:szCs w:val="20"/>
          <w:rtl/>
        </w:rPr>
        <w:t>רנא</w:t>
      </w:r>
      <w:proofErr w:type="spellEnd"/>
      <w:r>
        <w:rPr>
          <w:sz w:val="20"/>
          <w:szCs w:val="20"/>
          <w:rtl/>
        </w:rPr>
        <w:t>.</w:t>
      </w:r>
    </w:p>
  </w:footnote>
  <w:footnote w:id="2227">
    <w:p w14:paraId="21D954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נספח ט לעיל, שגם ר׳ </w:t>
      </w:r>
      <w:proofErr w:type="spellStart"/>
      <w:r>
        <w:rPr>
          <w:sz w:val="20"/>
          <w:szCs w:val="20"/>
          <w:rtl/>
        </w:rPr>
        <w:t>יחיאל־יעקב</w:t>
      </w:r>
      <w:proofErr w:type="spellEnd"/>
      <w:r>
        <w:rPr>
          <w:sz w:val="20"/>
          <w:szCs w:val="20"/>
          <w:rtl/>
        </w:rPr>
        <w:t xml:space="preserve"> ויינברג מתח ביקורת דומה על פירושיו של ר׳ חיים.</w:t>
      </w:r>
    </w:p>
  </w:footnote>
  <w:footnote w:id="2228">
    <w:p w14:paraId="298BA3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א לעיל.</w:t>
      </w:r>
    </w:p>
  </w:footnote>
  <w:footnote w:id="2229">
    <w:p w14:paraId="6D1D2E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יב</w:t>
      </w:r>
      <w:proofErr w:type="spellEnd"/>
      <w:r>
        <w:rPr>
          <w:sz w:val="20"/>
          <w:szCs w:val="20"/>
          <w:rtl/>
        </w:rPr>
        <w:t xml:space="preserve"> לעיל.</w:t>
      </w:r>
    </w:p>
  </w:footnote>
  <w:footnote w:id="2230">
    <w:p w14:paraId="138F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כשם שרבנו נהג ידידות מיוחדת במרואיין בשל מה שעשה סבו של המרואיין למענו (כמבואר בפסקה הראשונה של נספח א בפרק זה), כך היה ר׳ ראובן </w:t>
      </w:r>
      <w:proofErr w:type="spellStart"/>
      <w:r>
        <w:rPr>
          <w:sz w:val="20"/>
          <w:szCs w:val="20"/>
          <w:rtl/>
        </w:rPr>
        <w:t>גרוזובסקי</w:t>
      </w:r>
      <w:proofErr w:type="spellEnd"/>
      <w:r>
        <w:rPr>
          <w:sz w:val="20"/>
          <w:szCs w:val="20"/>
          <w:rtl/>
        </w:rPr>
        <w:t xml:space="preserve">, חתנו השני של ר׳ </w:t>
      </w:r>
      <w:proofErr w:type="spellStart"/>
      <w:r>
        <w:rPr>
          <w:sz w:val="20"/>
          <w:szCs w:val="20"/>
          <w:rtl/>
        </w:rPr>
        <w:t>ברוך־בער</w:t>
      </w:r>
      <w:proofErr w:type="spellEnd"/>
      <w:r>
        <w:rPr>
          <w:sz w:val="20"/>
          <w:szCs w:val="20"/>
          <w:rtl/>
        </w:rPr>
        <w:t>, קרוב למרואיין בשל מה שעשה סבו של ר׳ יעקב ליפשיץ לטובת חותנו.</w:t>
      </w:r>
    </w:p>
  </w:footnote>
  <w:footnote w:id="2231">
    <w:p w14:paraId="7A26A1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 xml:space="preserve">ניו יורק</w:t>
      </w:r>
      <w:proofErr w:type="spellEnd"/>
      <w:r>
        <w:rPr>
          <w:sz w:val="20"/>
          <w:szCs w:val="20"/>
          <w:rtl/>
        </w:rPr>
        <w:t xml:space="preserve"/>
      </w:r>
      <w:proofErr w:type="spellStart"/>
      <w:r>
        <w:rPr>
          <w:sz w:val="20"/>
          <w:szCs w:val="20"/>
          <w:rtl/>
        </w:rPr>
        <w:t xml:space="preserve"/>
      </w:r>
      <w:proofErr w:type="spellEnd"/>
      <w:r>
        <w:rPr>
          <w:sz w:val="20"/>
          <w:szCs w:val="20"/>
          <w:rtl/>
        </w:rPr>
        <w:t>, תשי״ד.</w:t>
      </w:r>
    </w:p>
  </w:footnote>
  <w:footnote w:id="2232">
    <w:p w14:paraId="3701E3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ב־23 במרץ 1988.</w:t>
      </w:r>
    </w:p>
  </w:footnote>
  <w:footnote w:id="2233">
    <w:p w14:paraId="5E9319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ר׳ </w:t>
      </w:r>
      <w:proofErr w:type="spellStart"/>
      <w:r>
        <w:rPr>
          <w:sz w:val="20"/>
          <w:szCs w:val="20"/>
          <w:rtl/>
        </w:rPr>
        <w:t>ברוך־בער</w:t>
      </w:r>
      <w:proofErr w:type="spellEnd"/>
      <w:r>
        <w:rPr>
          <w:sz w:val="20"/>
          <w:szCs w:val="20"/>
          <w:rtl/>
        </w:rPr>
        <w:t>” (מובא בפרק 1, סוף הערה 93), עמ׳ 52.</w:t>
      </w:r>
    </w:p>
  </w:footnote>
  <w:footnote w:id="2234">
    <w:p w14:paraId="4C3B9D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 עמ׳ 73.</w:t>
      </w:r>
    </w:p>
  </w:footnote>
  <w:footnote w:id="2235">
    <w:p w14:paraId="26082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הוא חש שגם רבו אהב אותו – השווה כרך 2.</w:t>
      </w:r>
    </w:p>
  </w:footnote>
  <w:footnote w:id="2236">
    <w:p w14:paraId="215DD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הכותב מוסיף במאמר מוסגר: “כפי ששכח את מנגינת ההפטרה ביום </w:t>
      </w:r>
      <w:proofErr w:type="spellStart"/>
      <w:r>
        <w:rPr>
          <w:sz w:val="20"/>
          <w:szCs w:val="20"/>
          <w:rtl/>
        </w:rPr>
        <w:t>בר־המצווה</w:t>
      </w:r>
      <w:proofErr w:type="spellEnd"/>
      <w:r>
        <w:rPr>
          <w:sz w:val="20"/>
          <w:szCs w:val="20"/>
          <w:rtl/>
        </w:rPr>
        <w:t xml:space="preserve"> שלי, שחגגתי בנוכחותו [בכנסת בית יצחק].”</w:t>
      </w:r>
    </w:p>
  </w:footnote>
  <w:footnote w:id="2237">
    <w:p w14:paraId="2748C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קטו</w:t>
      </w:r>
      <w:proofErr w:type="spellEnd"/>
      <w:r>
        <w:rPr>
          <w:sz w:val="20"/>
          <w:szCs w:val="20"/>
          <w:rtl/>
        </w:rPr>
        <w:t>.</w:t>
      </w:r>
    </w:p>
  </w:footnote>
  <w:footnote w:id="2238">
    <w:p w14:paraId="2EB97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בדצמבר 1987.</w:t>
      </w:r>
    </w:p>
  </w:footnote>
  <w:footnote w:id="2239">
    <w:p w14:paraId="1C94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 ופרק 4, נספח ט.</w:t>
      </w:r>
    </w:p>
  </w:footnote>
  <w:footnote w:id="2240">
    <w:p w14:paraId="05A030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w:t>
      </w:r>
      <w:proofErr w:type="spellStart"/>
      <w:r>
        <w:rPr>
          <w:sz w:val="20"/>
          <w:szCs w:val="20"/>
          <w:rtl/>
        </w:rPr>
        <w:t>ב“טורי</w:t>
      </w:r>
      <w:proofErr w:type="spellEnd"/>
      <w:r>
        <w:rPr>
          <w:sz w:val="20"/>
          <w:szCs w:val="20"/>
          <w:rtl/>
        </w:rPr>
        <w:t xml:space="preserve"> ישורון” (נספח ט לעיל) מזכיר את הסיפור, אך משמיט את עוקצו כשהוא מספר: “מסופר שמשורר מפורסם שלמד </w:t>
      </w:r>
      <w:proofErr w:type="spellStart"/>
      <w:r>
        <w:rPr>
          <w:sz w:val="20"/>
          <w:szCs w:val="20"/>
          <w:rtl/>
        </w:rPr>
        <w:t>בוולוז׳ין</w:t>
      </w:r>
      <w:proofErr w:type="spellEnd"/>
      <w:r>
        <w:rPr>
          <w:sz w:val="20"/>
          <w:szCs w:val="20"/>
          <w:rtl/>
        </w:rPr>
        <w:t xml:space="preserve"> בזמנו של ר׳ </w:t>
      </w:r>
      <w:proofErr w:type="spellStart"/>
      <w:r>
        <w:rPr>
          <w:sz w:val="20"/>
          <w:szCs w:val="20"/>
          <w:rtl/>
        </w:rPr>
        <w:t>ברוך־בער</w:t>
      </w:r>
      <w:proofErr w:type="spellEnd"/>
      <w:r>
        <w:rPr>
          <w:sz w:val="20"/>
          <w:szCs w:val="20"/>
          <w:rtl/>
        </w:rPr>
        <w:t xml:space="preserve"> ‘ויצא לתרבות רעה’ פגש במקרה את ר׳ </w:t>
      </w:r>
      <w:proofErr w:type="spellStart"/>
      <w:r>
        <w:rPr>
          <w:sz w:val="20"/>
          <w:szCs w:val="20"/>
          <w:rtl/>
        </w:rPr>
        <w:t>ברוך־בער</w:t>
      </w:r>
      <w:proofErr w:type="spellEnd"/>
      <w:r>
        <w:rPr>
          <w:sz w:val="20"/>
          <w:szCs w:val="20"/>
          <w:rtl/>
        </w:rPr>
        <w:t xml:space="preserve"> לאחר שנים רבות וניסה להיכנס עמו לשיחה על הימים שעברו. הדבר לא עלה בידו, ור׳ </w:t>
      </w:r>
      <w:proofErr w:type="spellStart"/>
      <w:r>
        <w:rPr>
          <w:sz w:val="20"/>
          <w:szCs w:val="20"/>
          <w:rtl/>
        </w:rPr>
        <w:t>ברוך־בער</w:t>
      </w:r>
      <w:proofErr w:type="spellEnd"/>
      <w:r>
        <w:rPr>
          <w:sz w:val="20"/>
          <w:szCs w:val="20"/>
          <w:rtl/>
        </w:rPr>
        <w:t xml:space="preserve"> אף סירב להסתכל בו, כדברי הגמרא האוסרת להסתכל בפני אדם רשע [מגילה כ״ח ע״א: אסור להסתכל בצלם דמות אדם רשע].”</w:t>
      </w:r>
    </w:p>
    <w:p w14:paraId="6D69345D" w14:textId="77777777" w:rsidR="00AB3647" w:rsidRDefault="00000000">
      <w:pPr>
        <w:spacing w:after="0" w:before="0"/>
        <w:jc w:val="both"/>
      </w:pPr>
      <w:r>
        <w:rPr>
          <w:sz w:val="20"/>
          <w:szCs w:val="20"/>
          <w:rtl/>
        </w:rPr>
        <w:t xml:space="preserve">המאמר </w:t>
      </w:r>
      <w:proofErr w:type="spellStart"/>
      <w:r>
        <w:rPr>
          <w:sz w:val="20"/>
          <w:szCs w:val="20"/>
          <w:rtl/>
        </w:rPr>
        <w:t>ב“טורי</w:t>
      </w:r>
      <w:proofErr w:type="spellEnd"/>
      <w:r>
        <w:rPr>
          <w:sz w:val="20"/>
          <w:szCs w:val="20"/>
          <w:rtl/>
        </w:rPr>
        <w:t xml:space="preserve"> ישורון” טועה גם כשהוא מדבר על “שיחה” בין ביאליק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הדבר מתברר מסיפור שסיפר לי ר׳ ישראל גרבר, בן אחותו של ר׳ </w:t>
      </w:r>
      <w:proofErr w:type="spellStart"/>
      <w:r>
        <w:rPr>
          <w:sz w:val="20"/>
          <w:szCs w:val="20"/>
          <w:rtl/>
        </w:rPr>
        <w:t>ברוך־בער</w:t>
      </w:r>
      <w:proofErr w:type="spellEnd"/>
      <w:r>
        <w:rPr>
          <w:sz w:val="20"/>
          <w:szCs w:val="20"/>
          <w:rtl/>
        </w:rPr>
        <w:t xml:space="preserve">, ב־24 במאי 2001, כשחזרתי באוזניו על הסיפור שסיפר הרב </w:t>
      </w:r>
      <w:proofErr w:type="spellStart"/>
      <w:r>
        <w:rPr>
          <w:sz w:val="20"/>
          <w:szCs w:val="20"/>
          <w:rtl/>
        </w:rPr>
        <w:t>קרופניה</w:t>
      </w:r>
      <w:proofErr w:type="spellEnd"/>
      <w:r>
        <w:rPr>
          <w:sz w:val="20"/>
          <w:szCs w:val="20"/>
          <w:rtl/>
        </w:rPr>
        <w:t xml:space="preserve">. לדברי הרב גרבר, בסוף חורף תרפ״ד, שש שנים לפני </w:t>
      </w:r>
      <w:proofErr w:type="spellStart"/>
      <w:r>
        <w:rPr>
          <w:sz w:val="20"/>
          <w:szCs w:val="20"/>
          <w:rtl/>
        </w:rPr>
        <w:t>ש“אירח</w:t>
      </w:r>
      <w:proofErr w:type="spellEnd"/>
      <w:r>
        <w:rPr>
          <w:sz w:val="20"/>
          <w:szCs w:val="20"/>
          <w:rtl/>
        </w:rPr>
        <w:t xml:space="preserve">” את ביאליק בביתו, נסע ר׳ </w:t>
      </w:r>
      <w:proofErr w:type="spellStart"/>
      <w:r>
        <w:rPr>
          <w:sz w:val="20"/>
          <w:szCs w:val="20"/>
          <w:rtl/>
        </w:rPr>
        <w:t>ברוך־בער</w:t>
      </w:r>
      <w:proofErr w:type="spellEnd"/>
      <w:r>
        <w:rPr>
          <w:sz w:val="20"/>
          <w:szCs w:val="20"/>
          <w:rtl/>
        </w:rPr>
        <w:t xml:space="preserve"> מווילנה, שבה שכנה אז כנסת בית יצחק, לחתונת אחותו של ר׳ ישראל, הגדולה ממנו בהרבה, עם ר׳ מרדכי </w:t>
      </w:r>
      <w:proofErr w:type="spellStart"/>
      <w:r>
        <w:rPr>
          <w:sz w:val="20"/>
          <w:szCs w:val="20"/>
          <w:rtl/>
        </w:rPr>
        <w:t>רוגוב</w:t>
      </w:r>
      <w:proofErr w:type="spellEnd"/>
      <w:r>
        <w:rPr>
          <w:sz w:val="20"/>
          <w:szCs w:val="20"/>
          <w:rtl/>
        </w:rPr>
        <w:t xml:space="preserve">. החתונה נערכה </w:t>
      </w:r>
      <w:proofErr w:type="spellStart"/>
      <w:r>
        <w:rPr>
          <w:sz w:val="20"/>
          <w:szCs w:val="20"/>
          <w:rtl/>
        </w:rPr>
        <w:t>בהורודוק</w:t>
      </w:r>
      <w:proofErr w:type="spellEnd"/>
      <w:r>
        <w:rPr>
          <w:sz w:val="20"/>
          <w:szCs w:val="20"/>
          <w:rtl/>
        </w:rPr>
        <w:t xml:space="preserve">, שבה כיהן אביהם כרב. תחנת הרכבת הקרובה ביותר לעיירה הייתה </w:t>
      </w:r>
      <w:proofErr w:type="spellStart"/>
      <w:r>
        <w:rPr>
          <w:sz w:val="20"/>
          <w:szCs w:val="20"/>
          <w:rtl/>
        </w:rPr>
        <w:t>מולודצ׳נו</w:t>
      </w:r>
      <w:proofErr w:type="spellEnd"/>
      <w:r>
        <w:rPr>
          <w:sz w:val="20"/>
          <w:szCs w:val="20"/>
          <w:rtl/>
        </w:rPr>
        <w:t>, ומשם יצאו שתי עגלות, אחת לגברים ואחת לנשים, לנסיעה של 21 קילומטר בדרכים לא סלולות, שהשלג הנמס הפך אותן לרפש ובוץ.</w:t>
      </w:r>
    </w:p>
    <w:p w14:paraId="780AB770" w14:textId="77777777" w:rsidR="00AB3647" w:rsidRDefault="00000000">
      <w:pPr>
        <w:spacing w:after="0" w:before="0"/>
        <w:jc w:val="both"/>
      </w:pPr>
      <w:r>
        <w:rPr>
          <w:sz w:val="20"/>
          <w:szCs w:val="20"/>
          <w:rtl/>
        </w:rPr>
        <w:t xml:space="preserve">ר׳ </w:t>
      </w:r>
      <w:proofErr w:type="spellStart"/>
      <w:r>
        <w:rPr>
          <w:sz w:val="20"/>
          <w:szCs w:val="20"/>
          <w:rtl/>
        </w:rPr>
        <w:t>ברוך־בער</w:t>
      </w:r>
      <w:proofErr w:type="spellEnd"/>
      <w:r>
        <w:rPr>
          <w:sz w:val="20"/>
          <w:szCs w:val="20"/>
          <w:rtl/>
        </w:rPr>
        <w:t xml:space="preserve"> התיישב בעגלה ליד אדם זר: </w:t>
      </w:r>
      <w:proofErr w:type="spellStart"/>
      <w:r>
        <w:rPr>
          <w:sz w:val="20"/>
          <w:szCs w:val="20"/>
          <w:rtl/>
        </w:rPr>
        <w:t>מינקוביץ</w:t>
      </w:r>
      <w:proofErr w:type="spellEnd"/>
      <w:r>
        <w:rPr>
          <w:sz w:val="20"/>
          <w:szCs w:val="20"/>
          <w:rtl/>
        </w:rPr>
        <w:t xml:space="preserve">, בוגר ישיבה שסטה מן הדרך ושימש אז מנהל בית הספר </w:t>
      </w:r>
      <w:proofErr w:type="spellStart"/>
      <w:r>
        <w:rPr>
          <w:sz w:val="20"/>
          <w:szCs w:val="20"/>
          <w:rtl/>
        </w:rPr>
        <w:t>הלא־דתי</w:t>
      </w:r>
      <w:proofErr w:type="spellEnd"/>
      <w:r>
        <w:rPr>
          <w:sz w:val="20"/>
          <w:szCs w:val="20"/>
          <w:rtl/>
        </w:rPr>
        <w:t xml:space="preserve"> “תרבות” </w:t>
      </w:r>
      <w:proofErr w:type="spellStart"/>
      <w:r>
        <w:rPr>
          <w:sz w:val="20"/>
          <w:szCs w:val="20"/>
          <w:rtl/>
        </w:rPr>
        <w:t>בהורודוק</w:t>
      </w:r>
      <w:proofErr w:type="spellEnd"/>
      <w:r>
        <w:rPr>
          <w:sz w:val="20"/>
          <w:szCs w:val="20"/>
          <w:rtl/>
        </w:rPr>
        <w:t xml:space="preserve">. בדרך פנה </w:t>
      </w:r>
      <w:proofErr w:type="spellStart"/>
      <w:r>
        <w:rPr>
          <w:sz w:val="20"/>
          <w:szCs w:val="20"/>
          <w:rtl/>
        </w:rPr>
        <w:t>מינקוביץ</w:t>
      </w:r>
      <w:proofErr w:type="spellEnd"/>
      <w:r>
        <w:rPr>
          <w:sz w:val="20"/>
          <w:szCs w:val="20"/>
          <w:rtl/>
        </w:rPr>
        <w:t xml:space="preserve"> אל ר׳ </w:t>
      </w:r>
      <w:proofErr w:type="spellStart"/>
      <w:r>
        <w:rPr>
          <w:sz w:val="20"/>
          <w:szCs w:val="20"/>
          <w:rtl/>
        </w:rPr>
        <w:t>ברוך־בער</w:t>
      </w:r>
      <w:proofErr w:type="spellEnd"/>
      <w:r>
        <w:rPr>
          <w:sz w:val="20"/>
          <w:szCs w:val="20"/>
          <w:rtl/>
        </w:rPr>
        <w:t xml:space="preserve"> ושאל אותו שאלה מתגרה. ר׳ </w:t>
      </w:r>
      <w:proofErr w:type="spellStart"/>
      <w:r>
        <w:rPr>
          <w:sz w:val="20"/>
          <w:szCs w:val="20"/>
          <w:rtl/>
        </w:rPr>
        <w:t>ברוך־בער</w:t>
      </w:r>
      <w:proofErr w:type="spellEnd"/>
      <w:r>
        <w:rPr>
          <w:sz w:val="20"/>
          <w:szCs w:val="20"/>
          <w:rtl/>
        </w:rPr>
        <w:t xml:space="preserve"> ביקש מבעל העגלה לעצור, קפץ מן העגלה והחל לרוץ ולהתרחק בחשכה שלפני עלות השחר. נוסעים אחרים, ובהם </w:t>
      </w:r>
      <w:proofErr w:type="spellStart"/>
      <w:r>
        <w:rPr>
          <w:sz w:val="20"/>
          <w:szCs w:val="20"/>
          <w:rtl/>
        </w:rPr>
        <w:t>מינקוביץ</w:t>
      </w:r>
      <w:proofErr w:type="spellEnd"/>
      <w:r>
        <w:rPr>
          <w:sz w:val="20"/>
          <w:szCs w:val="20"/>
          <w:rtl/>
        </w:rPr>
        <w:t xml:space="preserve">, ראו מה קרה ומיהרו אחריו להחזירו; אבל כשראה את שכנו למושב מתקרב אליו, רץ והתרחק עוד ועוד. רק כשאדם נבון קרא לעברו </w:t>
      </w:r>
      <w:proofErr w:type="spellStart"/>
      <w:r>
        <w:rPr>
          <w:sz w:val="20"/>
          <w:szCs w:val="20"/>
          <w:rtl/>
        </w:rPr>
        <w:t>שמינקוביץ</w:t>
      </w:r>
      <w:proofErr w:type="spellEnd"/>
      <w:r>
        <w:rPr>
          <w:sz w:val="20"/>
          <w:szCs w:val="20"/>
          <w:rtl/>
        </w:rPr>
        <w:t xml:space="preserve"> יעבור לעגלת הנשים, נאות ר׳ </w:t>
      </w:r>
      <w:proofErr w:type="spellStart"/>
      <w:r>
        <w:rPr>
          <w:sz w:val="20"/>
          <w:szCs w:val="20"/>
          <w:rtl/>
        </w:rPr>
        <w:t>ברוך־בער</w:t>
      </w:r>
      <w:proofErr w:type="spellEnd"/>
      <w:r>
        <w:rPr>
          <w:sz w:val="20"/>
          <w:szCs w:val="20"/>
          <w:rtl/>
        </w:rPr>
        <w:t xml:space="preserve"> לשוב למקומו.</w:t>
      </w:r>
    </w:p>
    <w:p w14:paraId="4E2C3401" w14:textId="77777777" w:rsidR="00AB3647" w:rsidRDefault="00000000">
      <w:pPr>
        <w:spacing w:after="0" w:before="0"/>
        <w:jc w:val="both"/>
      </w:pPr>
      <w:r>
        <w:rPr>
          <w:sz w:val="20"/>
          <w:szCs w:val="20"/>
          <w:rtl/>
        </w:rPr>
        <w:t xml:space="preserve">ברור אפוא שכאשר “פגש במקרה” את ביאליק, כדברי המאמר, לא היה ר׳ </w:t>
      </w:r>
      <w:proofErr w:type="spellStart"/>
      <w:r>
        <w:rPr>
          <w:sz w:val="20"/>
          <w:szCs w:val="20"/>
          <w:rtl/>
        </w:rPr>
        <w:t>ברוך־בער</w:t>
      </w:r>
      <w:proofErr w:type="spellEnd"/>
      <w:r>
        <w:rPr>
          <w:sz w:val="20"/>
          <w:szCs w:val="20"/>
          <w:rtl/>
        </w:rPr>
        <w:t xml:space="preserve"> מסתפק בסירוב לשוחח עמו (וכמו כן בסירוב להסתכל בפניו), אלא היה נמלט מיד. סיפורו של הרב גרבר מאשר שלפני פגישתו עם ביאליק ודאי התנה ר׳ </w:t>
      </w:r>
      <w:proofErr w:type="spellStart"/>
      <w:r>
        <w:rPr>
          <w:sz w:val="20"/>
          <w:szCs w:val="20"/>
          <w:rtl/>
        </w:rPr>
        <w:t>ברוך־בער</w:t>
      </w:r>
      <w:proofErr w:type="spellEnd"/>
      <w:r>
        <w:rPr>
          <w:sz w:val="20"/>
          <w:szCs w:val="20"/>
          <w:rtl/>
        </w:rPr>
        <w:t xml:space="preserve"> שאורחו לא יוציא הגה מפיו, כפי שסיפר הרב </w:t>
      </w:r>
      <w:proofErr w:type="spellStart"/>
      <w:r>
        <w:rPr>
          <w:sz w:val="20"/>
          <w:szCs w:val="20"/>
          <w:rtl/>
        </w:rPr>
        <w:t>קרופניה</w:t>
      </w:r>
      <w:proofErr w:type="spellEnd"/>
      <w:r>
        <w:rPr>
          <w:sz w:val="20"/>
          <w:szCs w:val="20"/>
          <w:rtl/>
        </w:rPr>
        <w:t>.</w:t>
      </w:r>
    </w:p>
  </w:footnote>
  <w:footnote w:id="2241">
    <w:p w14:paraId="10D3E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1987.</w:t>
      </w:r>
    </w:p>
  </w:footnote>
  <w:footnote w:id="2242">
    <w:p w14:paraId="2D845D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ברוך בר” מספר בעמ׳ קיא–</w:t>
      </w:r>
      <w:proofErr w:type="spellStart"/>
      <w:r>
        <w:rPr>
          <w:sz w:val="20"/>
          <w:szCs w:val="20"/>
          <w:rtl/>
        </w:rPr>
        <w:t>קיב</w:t>
      </w:r>
      <w:proofErr w:type="spellEnd"/>
      <w:r>
        <w:rPr>
          <w:sz w:val="20"/>
          <w:szCs w:val="20"/>
          <w:rtl/>
        </w:rPr>
        <w:t xml:space="preserve"> שר׳ </w:t>
      </w:r>
      <w:proofErr w:type="spellStart"/>
      <w:r>
        <w:rPr>
          <w:sz w:val="20"/>
          <w:szCs w:val="20"/>
          <w:rtl/>
        </w:rPr>
        <w:t>ברוך־בער</w:t>
      </w:r>
      <w:proofErr w:type="spellEnd"/>
      <w:r>
        <w:rPr>
          <w:sz w:val="20"/>
          <w:szCs w:val="20"/>
          <w:rtl/>
        </w:rPr>
        <w:t xml:space="preserve"> לא עישן, אלא החזיק בפיו סיגריה לא דולקת, בשל סתירה בין הוראות רבו להוראות אביו – והדברים מתייחסים דווקא לשנים שלאחר המלחמה. ואולם ההסבר המובא שם מתוך “אישים ושיטות” (תחילת נספח י לעיל), עמ׳ 302–303, נראה מתאים באותה מידה גם לתקופה מוקדמת כמו שנות לימודיו של ר׳ </w:t>
      </w:r>
      <w:proofErr w:type="spellStart"/>
      <w:r>
        <w:rPr>
          <w:sz w:val="20"/>
          <w:szCs w:val="20"/>
          <w:rtl/>
        </w:rPr>
        <w:t>ברוך־בער</w:t>
      </w:r>
      <w:proofErr w:type="spellEnd"/>
      <w:r>
        <w:rPr>
          <w:sz w:val="20"/>
          <w:szCs w:val="20"/>
          <w:rtl/>
        </w:rPr>
        <w:t xml:space="preserve"> </w:t>
      </w:r>
      <w:proofErr w:type="spellStart"/>
      <w:r>
        <w:rPr>
          <w:sz w:val="20"/>
          <w:szCs w:val="20"/>
          <w:rtl/>
        </w:rPr>
        <w:t>בוולוז׳ין</w:t>
      </w:r>
      <w:proofErr w:type="spellEnd"/>
      <w:r>
        <w:rPr>
          <w:sz w:val="20"/>
          <w:szCs w:val="20"/>
          <w:rtl/>
        </w:rPr>
        <w:t xml:space="preserve">, ולכן הוא סותר את עדותו של ר׳ קופל </w:t>
      </w:r>
      <w:proofErr w:type="spellStart"/>
      <w:r>
        <w:rPr>
          <w:sz w:val="20"/>
          <w:szCs w:val="20"/>
          <w:rtl/>
        </w:rPr>
        <w:t>וולפרט</w:t>
      </w:r>
      <w:proofErr w:type="spellEnd"/>
      <w:r>
        <w:rPr>
          <w:sz w:val="20"/>
          <w:szCs w:val="20"/>
          <w:rtl/>
        </w:rPr>
        <w:t>.</w:t>
      </w:r>
    </w:p>
  </w:footnote>
  <w:footnote w:id="2243">
    <w:p w14:paraId="4A14AD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233–234.</w:t>
      </w:r>
    </w:p>
  </w:footnote>
  <w:footnote w:id="2244">
    <w:p w14:paraId="1662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חישובי, זו רבקה, שאבי זכר כילדה קטנה (שכונתה </w:t>
      </w:r>
      <w:proofErr w:type="spellStart"/>
      <w:r>
        <w:rPr>
          <w:sz w:val="20"/>
          <w:szCs w:val="20"/>
          <w:rtl/>
        </w:rPr>
        <w:t>ריקוול׳ה</w:t>
      </w:r>
      <w:proofErr w:type="spellEnd"/>
      <w:r>
        <w:rPr>
          <w:sz w:val="20"/>
          <w:szCs w:val="20"/>
          <w:rtl/>
        </w:rPr>
        <w:t xml:space="preserve">) מן הזמן שהגיע </w:t>
      </w:r>
      <w:proofErr w:type="spellStart"/>
      <w:r>
        <w:rPr>
          <w:sz w:val="20"/>
          <w:szCs w:val="20"/>
          <w:rtl/>
        </w:rPr>
        <w:t>לסלבודקה</w:t>
      </w:r>
      <w:proofErr w:type="spellEnd"/>
      <w:r>
        <w:rPr>
          <w:sz w:val="20"/>
          <w:szCs w:val="20"/>
          <w:rtl/>
        </w:rPr>
        <w:t>.</w:t>
      </w:r>
    </w:p>
  </w:footnote>
  <w:footnote w:id="2245">
    <w:p w14:paraId="591BAE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וזה מזכיר מה שר׳ ברוך בר אמר בבדיחות </w:t>
      </w:r>
      <w:proofErr w:type="spellStart"/>
      <w:r>
        <w:rPr>
          <w:sz w:val="20"/>
          <w:szCs w:val="20"/>
          <w:rtl/>
        </w:rPr>
        <w:t>לר</w:t>
      </w:r>
      <w:proofErr w:type="spellEnd"/>
      <w:r>
        <w:rPr>
          <w:sz w:val="20"/>
          <w:szCs w:val="20"/>
          <w:rtl/>
        </w:rPr>
        <w:t xml:space="preserve">׳ חיים עוזר </w:t>
      </w:r>
      <w:proofErr w:type="spellStart"/>
      <w:r>
        <w:rPr>
          <w:sz w:val="20"/>
          <w:szCs w:val="20"/>
          <w:rtl/>
        </w:rPr>
        <w:t>גרודזנסקי</w:t>
      </w:r>
      <w:proofErr w:type="spellEnd"/>
      <w:r>
        <w:rPr>
          <w:sz w:val="20"/>
          <w:szCs w:val="20"/>
          <w:rtl/>
        </w:rPr>
        <w:t xml:space="preserve">, אליבא </w:t>
      </w:r>
      <w:proofErr w:type="spellStart"/>
      <w:r>
        <w:rPr>
          <w:sz w:val="20"/>
          <w:szCs w:val="20"/>
          <w:rtl/>
        </w:rPr>
        <w:t>דחד</w:t>
      </w:r>
      <w:proofErr w:type="spellEnd"/>
      <w:r>
        <w:rPr>
          <w:sz w:val="20"/>
          <w:szCs w:val="20"/>
          <w:rtl/>
        </w:rPr>
        <w:t xml:space="preserve"> ממשפחתו שמסר על כך לי, שהבחורים טועים לדרוש </w:t>
      </w:r>
      <w:proofErr w:type="spellStart"/>
      <w:r>
        <w:rPr>
          <w:sz w:val="20"/>
          <w:szCs w:val="20"/>
          <w:rtl/>
        </w:rPr>
        <w:t>קיחה</w:t>
      </w:r>
      <w:proofErr w:type="spellEnd"/>
      <w:r>
        <w:rPr>
          <w:sz w:val="20"/>
          <w:szCs w:val="20"/>
          <w:rtl/>
        </w:rPr>
        <w:t xml:space="preserve"> </w:t>
      </w:r>
      <w:proofErr w:type="spellStart"/>
      <w:r>
        <w:rPr>
          <w:sz w:val="20"/>
          <w:szCs w:val="20"/>
          <w:rtl/>
        </w:rPr>
        <w:t>קיחה</w:t>
      </w:r>
      <w:proofErr w:type="spellEnd"/>
      <w:r>
        <w:rPr>
          <w:sz w:val="20"/>
          <w:szCs w:val="20"/>
          <w:rtl/>
        </w:rPr>
        <w:t xml:space="preserve"> [כבגמ’ ריש קידושין] גם מן ולקחתם לכם פרי עץ הדר. בעמ׳ קס״ח בפנקס </w:t>
      </w:r>
      <w:proofErr w:type="spellStart"/>
      <w:r>
        <w:rPr>
          <w:sz w:val="20"/>
          <w:szCs w:val="20"/>
          <w:rtl/>
        </w:rPr>
        <w:t>סלוצק</w:t>
      </w:r>
      <w:proofErr w:type="spellEnd"/>
      <w:r>
        <w:rPr>
          <w:sz w:val="20"/>
          <w:szCs w:val="20"/>
          <w:rtl/>
        </w:rPr>
        <w:t xml:space="preserve"> (שהוזכר לעיל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pr_f_2000 \h </w:instrText>
      </w:r>
      <w:r>
        <w:rPr>
          <w:sz w:val="20"/>
          <w:szCs w:val="20"/>
          <w:rtl/>
        </w:rPr>
      </w:r>
      <w:r>
        <w:rPr>
          <w:sz w:val="20"/>
          <w:szCs w:val="20"/>
          <w:rtl/>
        </w:rPr>
        <w:fldChar w:fldCharType="separate"/>
      </w:r>
      <w:r w:rsidR="007923E9">
        <w:rPr>
          <w:sz w:val="20"/>
          <w:szCs w:val="20"/>
          <w:rtl/>
        </w:rPr>
        <w:t>1046</w:t>
      </w:r>
      <w:r>
        <w:rPr>
          <w:sz w:val="20"/>
          <w:szCs w:val="20"/>
          <w:rtl/>
        </w:rPr>
        <w:fldChar w:fldCharType="end"/>
      </w:r>
      <w:r>
        <w:rPr>
          <w:sz w:val="20"/>
          <w:szCs w:val="20"/>
          <w:rtl/>
        </w:rPr>
        <w:t xml:space="preserve"> על עמוד </w:t>
      </w:r>
      <w:r>
        <w:rPr>
          <w:sz w:val="20"/>
          <w:szCs w:val="20"/>
          <w:rtl/>
        </w:rPr>
        <w:fldChar w:fldCharType="begin" w:dirty="true"/>
      </w:r>
      <w:r>
        <w:rPr>
          <w:sz w:val="20"/>
          <w:szCs w:val="20"/>
          <w:rtl/>
        </w:rPr>
        <w:instrText xml:space="preserve"> PAGEREF pr_f_2000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במאמר “רבה של </w:t>
      </w:r>
      <w:proofErr w:type="spellStart"/>
      <w:r>
        <w:rPr>
          <w:sz w:val="20"/>
          <w:szCs w:val="20"/>
          <w:rtl/>
        </w:rPr>
        <w:t>הלוסק</w:t>
      </w:r>
      <w:proofErr w:type="spellEnd"/>
      <w:r>
        <w:rPr>
          <w:sz w:val="20"/>
          <w:szCs w:val="20"/>
          <w:rtl/>
        </w:rPr>
        <w:t xml:space="preserve">” מאת הרב נ. וכסמן, נמצאת </w:t>
      </w:r>
      <w:proofErr w:type="spellStart"/>
      <w:r>
        <w:rPr>
          <w:sz w:val="20"/>
          <w:szCs w:val="20"/>
          <w:rtl/>
        </w:rPr>
        <w:t>אימרה</w:t>
      </w:r>
      <w:proofErr w:type="spellEnd"/>
      <w:r>
        <w:rPr>
          <w:sz w:val="20"/>
          <w:szCs w:val="20"/>
          <w:rtl/>
        </w:rPr>
        <w:t xml:space="preserve"> זו של ר׳ </w:t>
      </w:r>
      <w:proofErr w:type="spellStart"/>
      <w:r>
        <w:rPr>
          <w:sz w:val="20"/>
          <w:szCs w:val="20"/>
          <w:rtl/>
        </w:rPr>
        <w:t>ברוך־בער</w:t>
      </w:r>
      <w:proofErr w:type="spellEnd"/>
      <w:r>
        <w:rPr>
          <w:sz w:val="20"/>
          <w:szCs w:val="20"/>
          <w:rtl/>
        </w:rPr>
        <w:t xml:space="preserve"> אבל בלי החריפות המושלמת, דהיינו, שאחרי שאחד מתלמידיו נפגש עם בתו “של פלוני” ואח״כ דיווח </w:t>
      </w:r>
      <w:proofErr w:type="spellStart"/>
      <w:r>
        <w:rPr>
          <w:sz w:val="20"/>
          <w:szCs w:val="20"/>
          <w:rtl/>
        </w:rPr>
        <w:t>לר</w:t>
      </w:r>
      <w:proofErr w:type="spellEnd"/>
      <w:r>
        <w:rPr>
          <w:sz w:val="20"/>
          <w:szCs w:val="20"/>
          <w:rtl/>
        </w:rPr>
        <w:t xml:space="preserve">׳ ברוך בער שהשידוך אינו נראה לו מפני שהיא “אינה מהודרת”, אמר לו רבו עד כמה שאני יודע נאמר “הדר” רק לגבי אתרוג ולא לגבי </w:t>
      </w:r>
      <w:proofErr w:type="spellStart"/>
      <w:r>
        <w:rPr>
          <w:sz w:val="20"/>
          <w:szCs w:val="20"/>
          <w:rtl/>
        </w:rPr>
        <w:t>אשה</w:t>
      </w:r>
      <w:proofErr w:type="spellEnd"/>
      <w:r>
        <w:rPr>
          <w:sz w:val="20"/>
          <w:szCs w:val="20"/>
          <w:rtl/>
        </w:rPr>
        <w:t>. (ואולי הסיפור הזה קרה עם בחור שנפגש עם בתו של ר׳ ברוך בר בעצמו.)</w:t>
      </w:r>
    </w:p>
  </w:footnote>
  <w:footnote w:id="2246">
    <w:p w14:paraId="15FA0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קופל סירב לגלות מי היה האשם, ורק אמר שלבסוף השתקע באמריקה וכיהן שם ברבנות מכובדת. ייתכן שהמרואיין הפיקח אף כינה את הצעיר בשם פרטי בדוי, “ר׳ </w:t>
      </w:r>
      <w:proofErr w:type="spellStart"/>
      <w:r>
        <w:rPr>
          <w:sz w:val="20"/>
          <w:szCs w:val="20"/>
          <w:rtl/>
        </w:rPr>
        <w:t>איצ׳ה</w:t>
      </w:r>
      <w:proofErr w:type="spellEnd"/>
      <w:r>
        <w:rPr>
          <w:sz w:val="20"/>
          <w:szCs w:val="20"/>
          <w:rtl/>
        </w:rPr>
        <w:t xml:space="preserve">”, כשחזר על הוראתו של ר׳ </w:t>
      </w:r>
      <w:proofErr w:type="spellStart"/>
      <w:r>
        <w:rPr>
          <w:sz w:val="20"/>
          <w:szCs w:val="20"/>
          <w:rtl/>
        </w:rPr>
        <w:t>ברוך־בער</w:t>
      </w:r>
      <w:proofErr w:type="spellEnd"/>
      <w:r>
        <w:rPr>
          <w:sz w:val="20"/>
          <w:szCs w:val="20"/>
          <w:rtl/>
        </w:rPr>
        <w:t xml:space="preserve"> לחתן לעזוב את </w:t>
      </w:r>
      <w:proofErr w:type="spellStart"/>
      <w:r>
        <w:rPr>
          <w:sz w:val="20"/>
          <w:szCs w:val="20"/>
          <w:rtl/>
        </w:rPr>
        <w:t>סלבודקה</w:t>
      </w:r>
      <w:proofErr w:type="spellEnd"/>
      <w:r>
        <w:rPr>
          <w:sz w:val="20"/>
          <w:szCs w:val="20"/>
          <w:rtl/>
        </w:rPr>
        <w:t>, כמובא בסיפור שלעיל.</w:t>
      </w:r>
    </w:p>
  </w:footnote>
  <w:footnote w:id="2247">
    <w:p w14:paraId="349EA7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באוגוסט 1995. ב־5 באוגוסט 2001 סיפר ר׳ </w:t>
      </w:r>
      <w:proofErr w:type="spellStart"/>
      <w:r>
        <w:rPr>
          <w:sz w:val="20"/>
          <w:szCs w:val="20"/>
          <w:rtl/>
        </w:rPr>
        <w:t>זלמן־נחמיה</w:t>
      </w:r>
      <w:proofErr w:type="spellEnd"/>
      <w:r>
        <w:rPr>
          <w:sz w:val="20"/>
          <w:szCs w:val="20"/>
          <w:rtl/>
        </w:rPr>
        <w:t xml:space="preserve"> גולדברג </w:t>
      </w:r>
      <w:proofErr w:type="spellStart"/>
      <w:r>
        <w:rPr>
          <w:sz w:val="20"/>
          <w:szCs w:val="20"/>
          <w:rtl/>
        </w:rPr>
        <w:t>שאמו</w:t>
      </w:r>
      <w:proofErr w:type="spellEnd"/>
      <w:r>
        <w:rPr>
          <w:sz w:val="20"/>
          <w:szCs w:val="20"/>
          <w:rtl/>
        </w:rPr>
        <w:t xml:space="preserve">, שהייתה אז </w:t>
      </w:r>
      <w:proofErr w:type="spellStart"/>
      <w:r>
        <w:rPr>
          <w:sz w:val="20"/>
          <w:szCs w:val="20"/>
          <w:rtl/>
        </w:rPr>
        <w:t>בקרמנצ׳וג</w:t>
      </w:r>
      <w:proofErr w:type="spellEnd"/>
      <w:r>
        <w:rPr>
          <w:sz w:val="20"/>
          <w:szCs w:val="20"/>
          <w:rtl/>
        </w:rPr>
        <w:t xml:space="preserve">, נכנסה לבית ר׳ </w:t>
      </w:r>
      <w:proofErr w:type="spellStart"/>
      <w:r>
        <w:rPr>
          <w:sz w:val="20"/>
          <w:szCs w:val="20"/>
          <w:rtl/>
        </w:rPr>
        <w:t>ברוך־בער</w:t>
      </w:r>
      <w:proofErr w:type="spellEnd"/>
      <w:r>
        <w:rPr>
          <w:sz w:val="20"/>
          <w:szCs w:val="20"/>
          <w:rtl/>
        </w:rPr>
        <w:t xml:space="preserve"> לספר לבנותיו, שהייתה מיודדת עמן, שזה עתה קיבלה ידיעה מקרוביה </w:t>
      </w:r>
      <w:proofErr w:type="spellStart"/>
      <w:r>
        <w:rPr>
          <w:sz w:val="20"/>
          <w:szCs w:val="20"/>
          <w:rtl/>
        </w:rPr>
        <w:t>בוולוז׳ין</w:t>
      </w:r>
      <w:proofErr w:type="spellEnd"/>
      <w:r>
        <w:rPr>
          <w:sz w:val="20"/>
          <w:szCs w:val="20"/>
          <w:rtl/>
        </w:rPr>
        <w:t xml:space="preserve">: ר׳ שלמה היימן התארס שם לבת דודה, </w:t>
      </w:r>
      <w:proofErr w:type="spellStart"/>
      <w:r>
        <w:rPr>
          <w:sz w:val="20"/>
          <w:szCs w:val="20"/>
          <w:rtl/>
        </w:rPr>
        <w:t>פייגה</w:t>
      </w:r>
      <w:proofErr w:type="spellEnd"/>
      <w:r>
        <w:rPr>
          <w:sz w:val="20"/>
          <w:szCs w:val="20"/>
          <w:rtl/>
        </w:rPr>
        <w:t xml:space="preserve"> רודנסקי. היא ראתה שהידיעה זעזעה את ר׳ </w:t>
      </w:r>
      <w:proofErr w:type="spellStart"/>
      <w:r>
        <w:rPr>
          <w:sz w:val="20"/>
          <w:szCs w:val="20"/>
          <w:rtl/>
        </w:rPr>
        <w:t>ברוך־בער</w:t>
      </w:r>
      <w:proofErr w:type="spellEnd"/>
      <w:r>
        <w:rPr>
          <w:sz w:val="20"/>
          <w:szCs w:val="20"/>
          <w:rtl/>
        </w:rPr>
        <w:t xml:space="preserve">, והתרשמה שהוא רצה בר׳ שלמה לאחת מבנותיו. לפי הרשימות הביוגרפיות בתחילת “חידושי רבי שלמה” (בני ברק, תשל״ג), נישא הרב היימן </w:t>
      </w:r>
      <w:proofErr w:type="spellStart"/>
      <w:r>
        <w:rPr>
          <w:sz w:val="20"/>
          <w:szCs w:val="20"/>
          <w:rtl/>
        </w:rPr>
        <w:t>בתרע״ח</w:t>
      </w:r>
      <w:proofErr w:type="spellEnd"/>
      <w:r>
        <w:rPr>
          <w:sz w:val="20"/>
          <w:szCs w:val="20"/>
          <w:rtl/>
        </w:rPr>
        <w:t xml:space="preserve">, ורבקה </w:t>
      </w:r>
      <w:proofErr w:type="spellStart"/>
      <w:r>
        <w:rPr>
          <w:sz w:val="20"/>
          <w:szCs w:val="20"/>
          <w:rtl/>
        </w:rPr>
        <w:t>ליבוביץ־טורץ</w:t>
      </w:r>
      <w:proofErr w:type="spellEnd"/>
      <w:r>
        <w:rPr>
          <w:sz w:val="20"/>
          <w:szCs w:val="20"/>
          <w:rtl/>
        </w:rPr>
        <w:t xml:space="preserve"> נישאה רק בשנה שלאחר מכן; לפיכך ייתכן שר׳ </w:t>
      </w:r>
      <w:proofErr w:type="spellStart"/>
      <w:r>
        <w:rPr>
          <w:sz w:val="20"/>
          <w:szCs w:val="20"/>
          <w:rtl/>
        </w:rPr>
        <w:t>ברוך־בער</w:t>
      </w:r>
      <w:proofErr w:type="spellEnd"/>
      <w:r>
        <w:rPr>
          <w:sz w:val="20"/>
          <w:szCs w:val="20"/>
          <w:rtl/>
        </w:rPr>
        <w:t xml:space="preserve"> חשב על ר׳ שלמה בשבילה. אבל ייתכן שחשב דווקא על בתו השנייה, שרה, שנישאה (</w:t>
      </w:r>
      <w:proofErr w:type="spellStart"/>
      <w:r>
        <w:rPr>
          <w:sz w:val="20"/>
          <w:szCs w:val="20"/>
          <w:rtl/>
        </w:rPr>
        <w:t>לר</w:t>
      </w:r>
      <w:proofErr w:type="spellEnd"/>
      <w:r>
        <w:rPr>
          <w:sz w:val="20"/>
          <w:szCs w:val="20"/>
          <w:rtl/>
        </w:rPr>
        <w:t xml:space="preserve">׳ ראובן </w:t>
      </w:r>
      <w:proofErr w:type="spellStart"/>
      <w:r>
        <w:rPr>
          <w:sz w:val="20"/>
          <w:szCs w:val="20"/>
          <w:rtl/>
        </w:rPr>
        <w:t>גרוזובסקי</w:t>
      </w:r>
      <w:proofErr w:type="spellEnd"/>
      <w:r>
        <w:rPr>
          <w:sz w:val="20"/>
          <w:szCs w:val="20"/>
          <w:rtl/>
        </w:rPr>
        <w:t>) באותה שנה כאחותה – ראה סוף הפסקה הראשונה של נספח לה להלן.</w:t>
      </w:r>
    </w:p>
  </w:footnote>
  <w:footnote w:id="2248">
    <w:p w14:paraId="458F36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עמ׳ לג, הערה 1.</w:t>
      </w:r>
    </w:p>
  </w:footnote>
  <w:footnote w:id="2249">
    <w:p w14:paraId="222E6C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דף מ״ג ע״א.</w:t>
      </w:r>
    </w:p>
  </w:footnote>
  <w:footnote w:id="2250">
    <w:p w14:paraId="69F2A6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הפסקה הראשונה של הערה 64, על האופן שבו ראה אבי את המציאות הנידונה בגמרא בילדותו המוקדמת.</w:t>
      </w:r>
    </w:p>
  </w:footnote>
  <w:footnote w:id="2251">
    <w:p w14:paraId="1CEB51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pr_f_2000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1046</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pr_f_2000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עמ׳ 186</w:t>
      </w:r>
      <w:r>
        <w:rPr>
          <w:sz w:val="20"/>
          <w:szCs w:val="20"/>
          <w:rtl/>
        </w:rPr>
        <w:t>.</w:t>
      </w:r>
    </w:p>
  </w:footnote>
  <w:footnote w:id="2252">
    <w:p w14:paraId="0A9128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בישיבות </w:t>
      </w:r>
      <w:proofErr w:type="spellStart"/>
      <w:r>
        <w:rPr>
          <w:sz w:val="20"/>
          <w:szCs w:val="20"/>
          <w:rtl/>
        </w:rPr>
        <w:t>בסלבודקה</w:t>
      </w:r>
      <w:proofErr w:type="spellEnd"/>
      <w:r>
        <w:rPr>
          <w:sz w:val="20"/>
          <w:szCs w:val="20"/>
          <w:rtl/>
        </w:rPr>
        <w:t xml:space="preserve"> היה ידוע כשלמה </w:t>
      </w:r>
      <w:proofErr w:type="spellStart"/>
      <w:r>
        <w:rPr>
          <w:sz w:val="20"/>
          <w:szCs w:val="20"/>
          <w:rtl/>
        </w:rPr>
        <w:t>פאריצ׳ער</w:t>
      </w:r>
      <w:proofErr w:type="spellEnd"/>
      <w:r>
        <w:rPr>
          <w:sz w:val="20"/>
          <w:szCs w:val="20"/>
          <w:rtl/>
        </w:rPr>
        <w:t>, כפי שהוזכר בפסקה הקודמת.</w:t>
      </w:r>
    </w:p>
  </w:footnote>
  <w:footnote w:id="2253">
    <w:p w14:paraId="7DCD98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214.</w:t>
      </w:r>
    </w:p>
  </w:footnote>
  <w:footnote w:id="2254">
    <w:p w14:paraId="535A29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נתיבות עולם למהר״ל מפראג, נתיב התורה פ״א, שכתב בד״ה ובמסכת נדה וכו׳ מי שחושב כי עיקר לימוד לאדם בחכמה שישיג בנמצאים ובגלגלים ובמלאכים ולא נתנה מדרגה זאת לתורה </w:t>
      </w:r>
      <w:proofErr w:type="spellStart"/>
      <w:r>
        <w:rPr>
          <w:sz w:val="20"/>
          <w:szCs w:val="20"/>
          <w:rtl/>
        </w:rPr>
        <w:t>לנזיקין</w:t>
      </w:r>
      <w:proofErr w:type="spellEnd"/>
      <w:r>
        <w:rPr>
          <w:sz w:val="20"/>
          <w:szCs w:val="20"/>
          <w:rtl/>
        </w:rPr>
        <w:t xml:space="preserve"> ולטומאה ולטהרה, דבר זה היא מכשלה גדולה מאד.</w:t>
      </w:r>
    </w:p>
  </w:footnote>
  <w:footnote w:id="2255">
    <w:p w14:paraId="4500BD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256">
    <w:p w14:paraId="487404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נספח לד להלן, על אמרה של ר׳ </w:t>
      </w:r>
      <w:proofErr w:type="spellStart"/>
      <w:r>
        <w:rPr>
          <w:sz w:val="20"/>
          <w:szCs w:val="20"/>
          <w:rtl/>
        </w:rPr>
        <w:t>ברוך־בער</w:t>
      </w:r>
      <w:proofErr w:type="spellEnd"/>
      <w:r>
        <w:rPr>
          <w:sz w:val="20"/>
          <w:szCs w:val="20"/>
          <w:rtl/>
        </w:rPr>
        <w:t xml:space="preserve"> בעניין “שור שנגח את הפרה”, שבניגוד לגישה </w:t>
      </w:r>
      <w:proofErr w:type="spellStart"/>
      <w:r>
        <w:rPr>
          <w:sz w:val="20"/>
          <w:szCs w:val="20"/>
          <w:rtl/>
        </w:rPr>
        <w:t>החב״דית</w:t>
      </w:r>
      <w:proofErr w:type="spellEnd"/>
      <w:r>
        <w:rPr>
          <w:sz w:val="20"/>
          <w:szCs w:val="20"/>
          <w:rtl/>
        </w:rPr>
        <w:t xml:space="preserve"> מציבה את לימוד הנושא </w:t>
      </w:r>
      <w:proofErr w:type="spellStart"/>
      <w:r>
        <w:rPr>
          <w:sz w:val="20"/>
          <w:szCs w:val="20"/>
          <w:rtl/>
        </w:rPr>
        <w:t>ה“גשמי</w:t>
      </w:r>
      <w:proofErr w:type="spellEnd"/>
      <w:r>
        <w:rPr>
          <w:sz w:val="20"/>
          <w:szCs w:val="20"/>
          <w:rtl/>
        </w:rPr>
        <w:t>” הזה כפסגת ההישג בתחום ההתקרבות לאלוקות!</w:t>
      </w:r>
    </w:p>
  </w:footnote>
  <w:footnote w:id="2257">
    <w:p w14:paraId="25D37F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סג</w:t>
      </w:r>
      <w:proofErr w:type="spellEnd"/>
      <w:r>
        <w:rPr>
          <w:sz w:val="20"/>
          <w:szCs w:val="20"/>
          <w:rtl/>
        </w:rPr>
        <w:t xml:space="preserve">, </w:t>
      </w:r>
      <w:proofErr w:type="spellStart"/>
      <w:r>
        <w:rPr>
          <w:sz w:val="20"/>
          <w:szCs w:val="20"/>
          <w:rtl/>
        </w:rPr>
        <w:t>יב</w:t>
      </w:r>
      <w:proofErr w:type="spellEnd"/>
      <w:r>
        <w:rPr>
          <w:sz w:val="20"/>
          <w:szCs w:val="20"/>
          <w:rtl/>
        </w:rPr>
        <w:t>.</w:t>
      </w:r>
    </w:p>
  </w:footnote>
  <w:footnote w:id="2258">
    <w:p w14:paraId="3DC8E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תחילת הפסקה השנייה של נספח </w:t>
      </w:r>
      <w:proofErr w:type="spellStart"/>
      <w:r>
        <w:rPr>
          <w:sz w:val="20"/>
          <w:szCs w:val="20"/>
          <w:rtl/>
        </w:rPr>
        <w:t>כב</w:t>
      </w:r>
      <w:proofErr w:type="spellEnd"/>
      <w:r>
        <w:rPr>
          <w:sz w:val="20"/>
          <w:szCs w:val="20"/>
          <w:rtl/>
        </w:rPr>
        <w:t xml:space="preserve"> להלן.</w:t>
      </w:r>
    </w:p>
  </w:footnote>
  <w:footnote w:id="2259">
    <w:p w14:paraId="5EF8A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סוף מס׳ תענית.</w:t>
      </w:r>
    </w:p>
  </w:footnote>
  <w:footnote w:id="2260">
    <w:p w14:paraId="056E39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ספרים </w:t>
      </w:r>
      <w:proofErr w:type="spellStart"/>
      <w:r>
        <w:rPr>
          <w:sz w:val="20"/>
          <w:szCs w:val="20"/>
          <w:rtl/>
        </w:rPr>
        <w:t>פלדהיים</w:t>
      </w:r>
      <w:proofErr w:type="spellEnd"/>
      <w:r>
        <w:rPr>
          <w:sz w:val="20"/>
          <w:szCs w:val="20"/>
          <w:rtl/>
        </w:rPr>
        <w:t>, ירושלים, תשנ״ח, עמ׳ 219–220.</w:t>
      </w:r>
    </w:p>
  </w:footnote>
  <w:footnote w:id="2261">
    <w:p w14:paraId="70A820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הביוגרפיה של ר׳ מאיר שפירא, “הרב הגדול”, מאת רבי יהושע </w:t>
      </w:r>
      <w:proofErr w:type="spellStart"/>
      <w:r>
        <w:rPr>
          <w:sz w:val="20"/>
          <w:szCs w:val="20"/>
          <w:rtl/>
        </w:rPr>
        <w:t>בוימל</w:t>
      </w:r>
      <w:proofErr w:type="spellEnd"/>
      <w:r>
        <w:rPr>
          <w:sz w:val="20"/>
          <w:szCs w:val="20"/>
          <w:rtl/>
        </w:rPr>
        <w:t xml:space="preserve"> (הוצאת משאבים, ירושלים, </w:t>
      </w:r>
      <w:proofErr w:type="spellStart"/>
      <w:r>
        <w:rPr>
          <w:sz w:val="20"/>
          <w:szCs w:val="20"/>
          <w:rtl/>
        </w:rPr>
        <w:t>תנש״א</w:t>
      </w:r>
      <w:proofErr w:type="spellEnd"/>
      <w:r>
        <w:rPr>
          <w:sz w:val="20"/>
          <w:szCs w:val="20"/>
          <w:rtl/>
        </w:rPr>
        <w:t xml:space="preserve">), עמ׳ 254, ביקר ר׳ מאיר גם </w:t>
      </w:r>
      <w:proofErr w:type="spellStart"/>
      <w:r>
        <w:rPr>
          <w:sz w:val="20"/>
          <w:szCs w:val="20"/>
          <w:rtl/>
        </w:rPr>
        <w:t>בראדין</w:t>
      </w:r>
      <w:proofErr w:type="spellEnd"/>
      <w:r>
        <w:rPr>
          <w:sz w:val="20"/>
          <w:szCs w:val="20"/>
          <w:rtl/>
        </w:rPr>
        <w:t xml:space="preserve">, ושהה שם שמונה ימים בסביבתו של </w:t>
      </w:r>
      <w:proofErr w:type="spellStart"/>
      <w:r>
        <w:rPr>
          <w:sz w:val="20"/>
          <w:szCs w:val="20"/>
          <w:rtl/>
        </w:rPr>
        <w:t>החפץ־חיים</w:t>
      </w:r>
      <w:proofErr w:type="spellEnd"/>
      <w:r>
        <w:rPr>
          <w:sz w:val="20"/>
          <w:szCs w:val="20"/>
          <w:rtl/>
        </w:rPr>
        <w:t xml:space="preserve">, וגם </w:t>
      </w:r>
      <w:proofErr w:type="spellStart"/>
      <w:r>
        <w:rPr>
          <w:sz w:val="20"/>
          <w:szCs w:val="20"/>
          <w:rtl/>
        </w:rPr>
        <w:t>בברנוביץ</w:t>
      </w:r>
      <w:proofErr w:type="spellEnd"/>
      <w:r>
        <w:rPr>
          <w:sz w:val="20"/>
          <w:szCs w:val="20"/>
          <w:rtl/>
        </w:rPr>
        <w:t>׳. ביקורים אלה היו בחורף תרפ״ט, כחצי שנה לפני הנחת אבן הפינה לבניין המפואר של ישיבתו.</w:t>
      </w:r>
    </w:p>
  </w:footnote>
  <w:footnote w:id="2262">
    <w:p w14:paraId="7CEF0459"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אבן הפינה לבניין ישיבת חכמי לובלין הונחה כבר בל״ג בעומר תרפ״ד, והבניין נחנך בסוף סיון </w:t>
      </w:r>
      <w:proofErr w:type="spellStart"/>
      <w:r>
        <w:rPr>
          <w:sz w:val="20"/>
          <w:szCs w:val="20"/>
          <w:rtl/>
        </w:rPr>
        <w:t>תר״ץ</w:t>
      </w:r>
      <w:proofErr w:type="spellEnd"/>
      <w:r>
        <w:rPr>
          <w:sz w:val="20"/>
          <w:szCs w:val="20"/>
          <w:rtl/>
        </w:rPr>
        <w:t>.</w:t>
      </w:r>
    </w:p>
    <w:p w14:paraId="7886C5BC" w14:textId="77777777" w:rsidR="00AB3647" w:rsidRDefault="00000000">
      <w:pPr>
        <w:spacing w:after="0" w:before="0"/>
        <w:jc w:val="both"/>
      </w:pPr>
      <w:r>
        <w:rPr>
          <w:rStyle w:val="a5"/>
          <w:sz w:val="20"/>
          <w:szCs w:val="20"/>
          <w:vertAlign w:val="baseline"/>
          <w:rtl/>
        </w:rPr>
        <w:t/>
      </w:r>
      <w:r>
        <w:rPr>
          <w:sz w:val="20"/>
          <w:szCs w:val="20"/>
          <w:rtl/>
        </w:rPr>
        <w:t xml:space="preserve"/>
      </w:r>
      <w:r>
        <w:rPr>
          <w:b/>
          <w:sz w:val="20"/>
          <w:szCs w:val="20"/>
          <w:rtl/>
        </w:rPr>
        <w:t xml:space="preserve">הערת המתרגם: </w:t>
      </w:r>
      <w:r>
        <w:rPr>
          <w:sz w:val="20"/>
          <w:szCs w:val="20"/>
          <w:rtl/>
        </w:rPr>
        <w:t xml:space="preserve">שנת תרפ״ט נמשכה מספטמבר 1928 עד ספטמבר 1929, ולכן חורף תרפ״ט הוא 1928–1929. חורף 1929–1930 הוא חורף </w:t>
      </w:r>
      <w:proofErr w:type="spellStart"/>
      <w:r>
        <w:rPr>
          <w:sz w:val="20"/>
          <w:szCs w:val="20"/>
          <w:rtl/>
        </w:rPr>
        <w:t>תר״ץ</w:t>
      </w:r>
      <w:proofErr w:type="spellEnd"/>
      <w:r>
        <w:rPr>
          <w:sz w:val="20"/>
          <w:szCs w:val="20"/>
          <w:rtl/>
        </w:rPr>
        <w:t>.</w:t>
      </w:r>
    </w:p>
  </w:footnote>
  <w:footnote w:id="2263">
    <w:p w14:paraId="655CC3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לדברי אחי, ר׳ אברהם, ר׳ אלי׳ חזן, מבחירי תלמידי ישיבת </w:t>
      </w:r>
      <w:proofErr w:type="spellStart"/>
      <w:r>
        <w:rPr>
          <w:sz w:val="20"/>
          <w:szCs w:val="20"/>
          <w:rtl/>
        </w:rPr>
        <w:t>מיר</w:t>
      </w:r>
      <w:proofErr w:type="spellEnd"/>
      <w:r>
        <w:rPr>
          <w:sz w:val="20"/>
          <w:szCs w:val="20"/>
          <w:rtl/>
        </w:rPr>
        <w:t>, סיפר לו שהוא היה המתבדח באחת ההזדמנויות.</w:t>
      </w:r>
    </w:p>
  </w:footnote>
  <w:footnote w:id="2264">
    <w:p w14:paraId="32D01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באוקטובר 2000.</w:t>
      </w:r>
    </w:p>
  </w:footnote>
  <w:footnote w:id="2265">
    <w:p w14:paraId="752A750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שופרון (</w:t>
      </w:r>
      <w:proofErr w:type="spellStart"/>
      <w:r>
        <w:rPr>
          <w:sz w:val="20"/>
          <w:szCs w:val="20"/>
          <w:rtl/>
        </w:rPr>
        <w:t>Sopron</w:t>
      </w:r>
      <w:proofErr w:type="spellEnd"/>
      <w:r>
        <w:rPr>
          <w:sz w:val="20"/>
          <w:szCs w:val="20"/>
          <w:rtl/>
        </w:rPr>
        <w:t xml:space="preserve">; בגרמנית </w:t>
      </w:r>
      <w:proofErr w:type="spellStart"/>
      <w:r>
        <w:rPr>
          <w:sz w:val="20"/>
          <w:szCs w:val="20"/>
          <w:rtl/>
        </w:rPr>
        <w:t>Ödenburg</w:t>
      </w:r>
      <w:proofErr w:type="spellEnd"/>
      <w:r>
        <w:rPr>
          <w:sz w:val="20"/>
          <w:szCs w:val="20"/>
          <w:rtl/>
        </w:rPr>
        <w:t>) שוכנת בהונגריה, סמוך לגבול אוסטריה, ולא בצ׳כוסלובקיה.</w:t>
      </w:r>
    </w:p>
  </w:footnote>
  <w:footnote w:id="2266">
    <w:p w14:paraId="78D9AA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ברוקלין, תשכ״ט, עמ׳ כ.</w:t>
      </w:r>
    </w:p>
  </w:footnote>
  <w:footnote w:id="2267">
    <w:p w14:paraId="515C7F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להבין ביטוי משונה זה כיישום משל ‘שור שנגח את הפרה’ של יעקב מארק לעיל, המתייחס לישיבות </w:t>
      </w:r>
      <w:proofErr w:type="spellStart"/>
      <w:r>
        <w:rPr>
          <w:sz w:val="20"/>
          <w:szCs w:val="20"/>
          <w:rtl/>
        </w:rPr>
        <w:t>המתנגדיות</w:t>
      </w:r>
      <w:proofErr w:type="spellEnd"/>
      <w:r>
        <w:rPr>
          <w:sz w:val="20"/>
          <w:szCs w:val="20"/>
          <w:rtl/>
        </w:rPr>
        <w:t>.</w:t>
      </w:r>
    </w:p>
  </w:footnote>
  <w:footnote w:id="2268">
    <w:p w14:paraId="64930F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לחכמי תקופת הגאונים, בערך בשנים </w:t>
      </w:r>
      <w:proofErr w:type="spellStart"/>
      <w:r>
        <w:rPr>
          <w:sz w:val="20"/>
          <w:szCs w:val="20"/>
          <w:rtl/>
        </w:rPr>
        <w:t>ד׳ת</w:t>
      </w:r>
      <w:proofErr w:type="spellEnd"/>
      <w:r>
        <w:rPr>
          <w:sz w:val="20"/>
          <w:szCs w:val="20"/>
          <w:rtl/>
        </w:rPr>
        <w:t>׳–</w:t>
      </w:r>
      <w:proofErr w:type="spellStart"/>
      <w:r>
        <w:rPr>
          <w:sz w:val="20"/>
          <w:szCs w:val="20"/>
          <w:rtl/>
        </w:rPr>
        <w:t>ד׳תש״נ</w:t>
      </w:r>
      <w:proofErr w:type="spellEnd"/>
      <w:r>
        <w:rPr>
          <w:sz w:val="20"/>
          <w:szCs w:val="20"/>
          <w:rtl/>
        </w:rPr>
        <w:t xml:space="preserve"> (640–990).</w:t>
      </w:r>
    </w:p>
  </w:footnote>
  <w:footnote w:id="2269">
    <w:p w14:paraId="78D823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פרק 4, הפסקה השנייה בנספח ב, שם מובאים דברי ר׳ חיים </w:t>
      </w:r>
      <w:proofErr w:type="spellStart"/>
      <w:r>
        <w:rPr>
          <w:sz w:val="20"/>
          <w:szCs w:val="20"/>
          <w:rtl/>
        </w:rPr>
        <w:t>סולובייצ׳יק</w:t>
      </w:r>
      <w:proofErr w:type="spellEnd"/>
      <w:r>
        <w:rPr>
          <w:sz w:val="20"/>
          <w:szCs w:val="20"/>
          <w:rtl/>
        </w:rPr>
        <w:t>, שחשד “ברוב הרבנים הליטאים שיש להם מידה של אהדה להשכלה”.</w:t>
      </w:r>
    </w:p>
  </w:footnote>
  <w:footnote w:id="2270">
    <w:p w14:paraId="16D270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משנה חגיגה י ע״א.</w:t>
      </w:r>
    </w:p>
  </w:footnote>
  <w:footnote w:id="2271">
    <w:p w14:paraId="223A2D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קופשיץ</w:t>
      </w:r>
      <w:proofErr w:type="spellEnd"/>
      <w:r>
        <w:rPr>
          <w:sz w:val="20"/>
          <w:szCs w:val="20"/>
          <w:rtl/>
        </w:rPr>
        <w:t xml:space="preserve">, שאביו היה אז תלמיד </w:t>
      </w:r>
      <w:proofErr w:type="spellStart"/>
      <w:r>
        <w:rPr>
          <w:sz w:val="20"/>
          <w:szCs w:val="20"/>
          <w:rtl/>
        </w:rPr>
        <w:t>סלבודקה</w:t>
      </w:r>
      <w:proofErr w:type="spellEnd"/>
      <w:r>
        <w:rPr>
          <w:sz w:val="20"/>
          <w:szCs w:val="20"/>
          <w:rtl/>
        </w:rPr>
        <w:t xml:space="preserve"> </w:t>
      </w:r>
      <w:proofErr w:type="spellStart"/>
      <w:r>
        <w:rPr>
          <w:sz w:val="20"/>
          <w:szCs w:val="20"/>
          <w:rtl/>
        </w:rPr>
        <w:t>בקרמנצ׳וג</w:t>
      </w:r>
      <w:proofErr w:type="spellEnd"/>
      <w:r>
        <w:rPr>
          <w:sz w:val="20"/>
          <w:szCs w:val="20"/>
          <w:rtl/>
        </w:rPr>
        <w:t>, סיפר מעשה זה ב־17 בינואר 1998. השווה גם פרק 5, נספח א.</w:t>
      </w:r>
    </w:p>
  </w:footnote>
  <w:footnote w:id="2272">
    <w:p w14:paraId="2CF0D4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המילים המודגשות יש לקרוא בנימה סרקסטית. סבורים </w:t>
      </w:r>
      <w:proofErr w:type="spellStart"/>
      <w:r>
        <w:rPr>
          <w:sz w:val="20"/>
          <w:szCs w:val="20"/>
          <w:rtl/>
        </w:rPr>
        <w:t>ש‘נרגן</w:t>
      </w:r>
      <w:proofErr w:type="spellEnd"/>
      <w:r>
        <w:rPr>
          <w:sz w:val="20"/>
          <w:szCs w:val="20"/>
          <w:rtl/>
        </w:rPr>
        <w:t xml:space="preserve">’ זה היה ר׳ אהרן קוטלר, שהגיע לאמריקה ברכבת החוצה את סיביר ובהפלגה החוצה את האוקיינוס השקט, כחודש לפני פרסום המאמר השנוי במחלוקת. לפי זיכרונותיי המעורפלים מימי נעוריי, ר׳ אהרן הוא שהוביל את המאבק נגד המאמר בחוגי הישיבות, ובכך קנה לו את לעגם של חסידי </w:t>
      </w:r>
      <w:proofErr w:type="spellStart"/>
      <w:r>
        <w:rPr>
          <w:sz w:val="20"/>
          <w:szCs w:val="20"/>
          <w:rtl/>
        </w:rPr>
        <w:t>ליובאוויטש</w:t>
      </w:r>
      <w:proofErr w:type="spellEnd"/>
      <w:r>
        <w:rPr>
          <w:sz w:val="20"/>
          <w:szCs w:val="20"/>
          <w:rtl/>
        </w:rPr>
        <w:t xml:space="preserve"> עד היום. נמצא שהרב קוטלר מואשם בחוסר עידון וברדידות! יחסו של ר׳ אהרן </w:t>
      </w:r>
      <w:proofErr w:type="spellStart"/>
      <w:r>
        <w:rPr>
          <w:sz w:val="20"/>
          <w:szCs w:val="20"/>
          <w:rtl/>
        </w:rPr>
        <w:t>לליובאוויטש</w:t>
      </w:r>
      <w:proofErr w:type="spellEnd"/>
      <w:r>
        <w:rPr>
          <w:sz w:val="20"/>
          <w:szCs w:val="20"/>
          <w:rtl/>
        </w:rPr>
        <w:t xml:space="preserve"> אכן היה שלילי ביותר: פעיל פוליטי ישראלי אמין סיפר לי בשיחה פרטית שבביקורו הראשון בארצות הברית, בתש״ח, הזהירו הרב קוטלר להישמר </w:t>
      </w:r>
      <w:proofErr w:type="spellStart"/>
      <w:r>
        <w:rPr>
          <w:sz w:val="20"/>
          <w:szCs w:val="20"/>
          <w:rtl/>
        </w:rPr>
        <w:t>מליובאוויטש</w:t>
      </w:r>
      <w:proofErr w:type="spellEnd"/>
      <w:r>
        <w:rPr>
          <w:sz w:val="20"/>
          <w:szCs w:val="20"/>
          <w:rtl/>
        </w:rPr>
        <w:t>, ‘מפני שהם עובדי עבודה זרה’.</w:t>
      </w:r>
    </w:p>
  </w:footnote>
  <w:footnote w:id="2273">
    <w:p w14:paraId="2E03F2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מופיע דיווח על חגיגת י״ט בכסלו – היום שבו מציינים מדי שנה את שחרורו של ר׳ </w:t>
      </w:r>
      <w:proofErr w:type="spellStart"/>
      <w:r>
        <w:rPr>
          <w:sz w:val="20"/>
          <w:szCs w:val="20"/>
          <w:rtl/>
        </w:rPr>
        <w:t>שניאור־זלמן</w:t>
      </w:r>
      <w:proofErr w:type="spellEnd"/>
      <w:r>
        <w:rPr>
          <w:sz w:val="20"/>
          <w:szCs w:val="20"/>
          <w:rtl/>
        </w:rPr>
        <w:t xml:space="preserve"> </w:t>
      </w:r>
      <w:proofErr w:type="spellStart"/>
      <w:r>
        <w:rPr>
          <w:sz w:val="20"/>
          <w:szCs w:val="20"/>
          <w:rtl/>
        </w:rPr>
        <w:t>מלאדי</w:t>
      </w:r>
      <w:proofErr w:type="spellEnd"/>
      <w:r>
        <w:rPr>
          <w:sz w:val="20"/>
          <w:szCs w:val="20"/>
          <w:rtl/>
        </w:rPr>
        <w:t xml:space="preserve">, מייסד תנועת חב״ד, מן הכלא, ושחסידי </w:t>
      </w:r>
      <w:proofErr w:type="spellStart"/>
      <w:r>
        <w:rPr>
          <w:sz w:val="20"/>
          <w:szCs w:val="20"/>
          <w:rtl/>
        </w:rPr>
        <w:t>ליובאוויטש</w:t>
      </w:r>
      <w:proofErr w:type="spellEnd"/>
      <w:r>
        <w:rPr>
          <w:sz w:val="20"/>
          <w:szCs w:val="20"/>
          <w:rtl/>
        </w:rPr>
        <w:t xml:space="preserve"> מכנים ‘ראש השנה של החסידות’. בחגיגה נשא הרבי דברים ורמז למתנגדי </w:t>
      </w:r>
      <w:proofErr w:type="spellStart"/>
      <w:r>
        <w:rPr>
          <w:sz w:val="20"/>
          <w:szCs w:val="20"/>
          <w:rtl/>
        </w:rPr>
        <w:t>ליובאוויטש</w:t>
      </w:r>
      <w:proofErr w:type="spellEnd"/>
      <w:r>
        <w:rPr>
          <w:sz w:val="20"/>
          <w:szCs w:val="20"/>
          <w:rtl/>
        </w:rPr>
        <w:t xml:space="preserve"> המבקשים להחיות את המחלוקת הישנה; ראה להלן פרטים נוספים על שיחת הרבי, הנראית כמתקפת נגד על ר׳ אהרן קוטלר.</w:t>
      </w:r>
    </w:p>
  </w:footnote>
  <w:footnote w:id="2274">
    <w:p w14:paraId="68727B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באותו גיליון התפרסם גם מאמר מאת הרב הנכבד ניסן </w:t>
      </w:r>
      <w:proofErr w:type="spellStart"/>
      <w:r>
        <w:rPr>
          <w:sz w:val="20"/>
          <w:szCs w:val="20"/>
          <w:rtl/>
        </w:rPr>
        <w:t>טעלושקין</w:t>
      </w:r>
      <w:proofErr w:type="spellEnd"/>
      <w:r>
        <w:rPr>
          <w:sz w:val="20"/>
          <w:szCs w:val="20"/>
          <w:rtl/>
        </w:rPr>
        <w:t>, ‘</w:t>
      </w:r>
      <w:proofErr w:type="spellStart"/>
      <w:r>
        <w:rPr>
          <w:sz w:val="20"/>
          <w:szCs w:val="20"/>
          <w:rtl/>
        </w:rPr>
        <w:t>דער</w:t>
      </w:r>
      <w:proofErr w:type="spellEnd"/>
      <w:r>
        <w:rPr>
          <w:sz w:val="20"/>
          <w:szCs w:val="20"/>
          <w:rtl/>
        </w:rPr>
        <w:t xml:space="preserve"> </w:t>
      </w:r>
      <w:proofErr w:type="spellStart"/>
      <w:r>
        <w:rPr>
          <w:sz w:val="20"/>
          <w:szCs w:val="20"/>
          <w:rtl/>
        </w:rPr>
        <w:t>שטרייט</w:t>
      </w:r>
      <w:proofErr w:type="spellEnd"/>
      <w:r>
        <w:rPr>
          <w:sz w:val="20"/>
          <w:szCs w:val="20"/>
          <w:rtl/>
        </w:rPr>
        <w:t xml:space="preserve"> פון תורת חסידות חב״ד געגען </w:t>
      </w:r>
      <w:proofErr w:type="spellStart"/>
      <w:r>
        <w:rPr>
          <w:sz w:val="20"/>
          <w:szCs w:val="20"/>
          <w:rtl/>
        </w:rPr>
        <w:t>אויבערפלעכליכקייט</w:t>
      </w:r>
      <w:proofErr w:type="spellEnd"/>
      <w:r>
        <w:rPr>
          <w:sz w:val="20"/>
          <w:szCs w:val="20"/>
          <w:rtl/>
        </w:rPr>
        <w:t xml:space="preserve">’ [מאבקה של תורת חסידות חב״ד בשטחיות], וייתכן שאף הוא נועד להשיב למבקרי מאמרו של סגל, שכן כותרת המאמר הקודם בולטת בכותרתו של </w:t>
      </w:r>
      <w:proofErr w:type="spellStart"/>
      <w:r>
        <w:rPr>
          <w:sz w:val="20"/>
          <w:szCs w:val="20"/>
          <w:rtl/>
        </w:rPr>
        <w:t>טעלושקין</w:t>
      </w:r>
      <w:proofErr w:type="spellEnd"/>
      <w:r>
        <w:rPr>
          <w:sz w:val="20"/>
          <w:szCs w:val="20"/>
          <w:rtl/>
        </w:rPr>
        <w:t xml:space="preserve"> (באות נטויה במקור), אף שהרב </w:t>
      </w:r>
      <w:proofErr w:type="spellStart"/>
      <w:r>
        <w:rPr>
          <w:sz w:val="20"/>
          <w:szCs w:val="20"/>
          <w:rtl/>
        </w:rPr>
        <w:t>טעלושקין</w:t>
      </w:r>
      <w:proofErr w:type="spellEnd"/>
      <w:r>
        <w:rPr>
          <w:sz w:val="20"/>
          <w:szCs w:val="20"/>
          <w:rtl/>
        </w:rPr>
        <w:t xml:space="preserve"> אינו משתמש במילות המפתח של סגל, ‘פנימיות התורה’. הטענה שתורת </w:t>
      </w:r>
      <w:proofErr w:type="spellStart"/>
      <w:r>
        <w:rPr>
          <w:sz w:val="20"/>
          <w:szCs w:val="20"/>
          <w:rtl/>
        </w:rPr>
        <w:t>ליובאוויטש</w:t>
      </w:r>
      <w:proofErr w:type="spellEnd"/>
      <w:r>
        <w:rPr>
          <w:sz w:val="20"/>
          <w:szCs w:val="20"/>
          <w:rtl/>
        </w:rPr>
        <w:t xml:space="preserve"> עמוקה יותר מתורתם של אחרים חוזרת גם על הטענה שבגיליון הקודם, שהחולקים על סגל שטחיים, כמתואר בהערה שלפני הקודמת.</w:t>
      </w:r>
    </w:p>
  </w:footnote>
  <w:footnote w:id="2275">
    <w:p w14:paraId="0B03C0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דברים אלה והבאים אחריהם סיפר ר׳ ישראל </w:t>
      </w:r>
      <w:proofErr w:type="spellStart"/>
      <w:r>
        <w:rPr>
          <w:sz w:val="20"/>
          <w:szCs w:val="20"/>
          <w:rtl/>
        </w:rPr>
        <w:t>שורין</w:t>
      </w:r>
      <w:proofErr w:type="spellEnd"/>
      <w:r>
        <w:rPr>
          <w:sz w:val="20"/>
          <w:szCs w:val="20"/>
          <w:rtl/>
        </w:rPr>
        <w:t xml:space="preserve"> ב־26 ביולי 1996, כפי ששמע מר׳ </w:t>
      </w:r>
      <w:proofErr w:type="spellStart"/>
      <w:r>
        <w:rPr>
          <w:sz w:val="20"/>
          <w:szCs w:val="20"/>
          <w:rtl/>
        </w:rPr>
        <w:t xml:space="preserve">יוסף־דב</w:t>
      </w:r>
      <w:proofErr w:type="spellEnd"/>
      <w:r>
        <w:rPr>
          <w:sz w:val="20"/>
          <w:szCs w:val="20"/>
          <w:rtl/>
        </w:rPr>
        <w:t xml:space="preserve">. עותק של המאמר האמור לא הצלחתי למצוא. בחיפושיי שוחחתי גם עם אחיו העיתונאי של המרואיין,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(ראה פרק 1, הערה 14), ב־20 באוגוסט 1998. הוא ראה את המאמר החמקמק, והיה סבור שהתפרסם בעיתון יידי בבוסטון, וטען שמאמרו של ר׳ </w:t>
      </w:r>
      <w:proofErr w:type="spellStart"/>
      <w:r>
        <w:rPr>
          <w:sz w:val="20"/>
          <w:szCs w:val="20"/>
          <w:rtl/>
        </w:rPr>
        <w:t xml:space="preserve">יוסף־דב</w:t>
      </w:r>
      <w:proofErr w:type="spellEnd"/>
      <w:r>
        <w:rPr>
          <w:sz w:val="20"/>
          <w:szCs w:val="20"/>
          <w:rtl/>
        </w:rPr>
        <w:t xml:space="preserve"> לא שלל לגמרי את מאמר ‘הקריאה והקדושה’! אם כך, לא פנה ר׳ שלמה היימן אל האדם המתאים כדי להשיב למאמר </w:t>
      </w:r>
      <w:proofErr w:type="spellStart"/>
      <w:r>
        <w:rPr>
          <w:sz w:val="20"/>
          <w:szCs w:val="20"/>
          <w:rtl/>
        </w:rPr>
        <w:t>ליובאוויטש</w:t>
      </w:r>
      <w:proofErr w:type="spellEnd"/>
      <w:r>
        <w:rPr>
          <w:sz w:val="20"/>
          <w:szCs w:val="20"/>
          <w:rtl/>
        </w:rPr>
        <w:t xml:space="preserve">; אבל בלי לראות את המאמר אי אפשר לקבוע זאת. (ראה גם את סוף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276">
    <w:p w14:paraId="2A05C9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הוסיף ר׳ </w:t>
      </w:r>
      <w:proofErr w:type="spellStart"/>
      <w:r>
        <w:rPr>
          <w:sz w:val="20"/>
          <w:szCs w:val="20"/>
          <w:rtl/>
        </w:rPr>
        <w:t>מוטיל</w:t>
      </w:r>
      <w:proofErr w:type="spellEnd"/>
      <w:r>
        <w:rPr>
          <w:sz w:val="20"/>
          <w:szCs w:val="20"/>
          <w:rtl/>
        </w:rPr>
        <w:t xml:space="preserve"> ברקוביץ ב־11 בנובמבר 1997 לדיווחו של ר׳ ישראל </w:t>
      </w:r>
      <w:proofErr w:type="spellStart"/>
      <w:r>
        <w:rPr>
          <w:sz w:val="20"/>
          <w:szCs w:val="20"/>
          <w:rtl/>
        </w:rPr>
        <w:t>שורין</w:t>
      </w:r>
      <w:proofErr w:type="spellEnd"/>
      <w:r>
        <w:rPr>
          <w:sz w:val="20"/>
          <w:szCs w:val="20"/>
          <w:rtl/>
        </w:rPr>
        <w:t xml:space="preserve">. הוא שמע אותו מפי ר׳ </w:t>
      </w:r>
      <w:proofErr w:type="spellStart"/>
      <w:r>
        <w:rPr>
          <w:sz w:val="20"/>
          <w:szCs w:val="20"/>
          <w:rtl/>
        </w:rPr>
        <w:t>משה־דובער</w:t>
      </w:r>
      <w:proofErr w:type="spellEnd"/>
      <w:r>
        <w:rPr>
          <w:sz w:val="20"/>
          <w:szCs w:val="20"/>
          <w:rtl/>
        </w:rPr>
        <w:t xml:space="preserve"> </w:t>
      </w:r>
      <w:proofErr w:type="spellStart"/>
      <w:r>
        <w:rPr>
          <w:sz w:val="20"/>
          <w:szCs w:val="20"/>
          <w:rtl/>
        </w:rPr>
        <w:t>ריבקין</w:t>
      </w:r>
      <w:proofErr w:type="spellEnd"/>
      <w:r>
        <w:rPr>
          <w:sz w:val="20"/>
          <w:szCs w:val="20"/>
          <w:rtl/>
        </w:rPr>
        <w:t xml:space="preserve">, חסיד </w:t>
      </w:r>
      <w:proofErr w:type="spellStart"/>
      <w:r>
        <w:rPr>
          <w:sz w:val="20"/>
          <w:szCs w:val="20"/>
          <w:rtl/>
        </w:rPr>
        <w:t>ליובאוויטש</w:t>
      </w:r>
      <w:proofErr w:type="spellEnd"/>
      <w:r>
        <w:rPr>
          <w:sz w:val="20"/>
          <w:szCs w:val="20"/>
          <w:rtl/>
        </w:rPr>
        <w:t xml:space="preserve"> (הנזכר בפרק 1, הערה 42), והלה שמע אותו מן הצד השני לשיחה, ר׳ </w:t>
      </w:r>
      <w:proofErr w:type="spellStart"/>
      <w:r>
        <w:rPr>
          <w:sz w:val="20"/>
          <w:szCs w:val="20"/>
          <w:rtl/>
        </w:rPr>
        <w:t>יוסף־יצחק</w:t>
      </w:r>
      <w:proofErr w:type="spellEnd"/>
      <w:r>
        <w:rPr>
          <w:sz w:val="20"/>
          <w:szCs w:val="20"/>
          <w:rtl/>
        </w:rPr>
        <w:t>.</w:t>
      </w:r>
    </w:p>
  </w:footnote>
  <w:footnote w:id="2277">
    <w:p w14:paraId="3B1618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זו הייתה בוודאי פתיחה הולמת לשיחה שבאה לאחר מכן, שר׳ </w:t>
      </w:r>
      <w:proofErr w:type="spellStart"/>
      <w:r>
        <w:rPr>
          <w:sz w:val="20"/>
          <w:szCs w:val="20"/>
          <w:rtl/>
        </w:rPr>
        <w:t xml:space="preserve">יוסף־דב</w:t>
      </w:r>
      <w:proofErr w:type="spellEnd"/>
      <w:r>
        <w:rPr>
          <w:sz w:val="20"/>
          <w:szCs w:val="20"/>
          <w:rtl/>
        </w:rPr>
        <w:t xml:space="preserve"> סיפר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המרואיין העיקרי שלי.</w:t>
      </w:r>
    </w:p>
  </w:footnote>
  <w:footnote w:id="2278">
    <w:p w14:paraId="59AF66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w:t>
      </w:r>
      <w:proofErr w:type="spellStart"/>
      <w:r>
        <w:rPr>
          <w:sz w:val="20"/>
          <w:szCs w:val="20"/>
          <w:rtl/>
        </w:rPr>
        <w:t>שלום־בער</w:t>
      </w:r>
      <w:proofErr w:type="spellEnd"/>
      <w:r>
        <w:rPr>
          <w:sz w:val="20"/>
          <w:szCs w:val="20"/>
          <w:rtl/>
        </w:rPr>
        <w:t xml:space="preserve"> הופתע למצוא את ר׳ חיים על הספה; אבל לפי המסופר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(הפסקה הראשונה של נספח ח בפרק זה, </w:t>
      </w:r>
      <w:proofErr w:type="spellStart"/>
      <w:r>
        <w:rPr>
          <w:sz w:val="20"/>
          <w:szCs w:val="20"/>
          <w:rtl/>
        </w:rPr>
        <w:t>ח״ג</w:t>
      </w:r>
      <w:proofErr w:type="spellEnd"/>
      <w:r>
        <w:rPr>
          <w:sz w:val="20"/>
          <w:szCs w:val="20"/>
          <w:rtl/>
        </w:rPr>
        <w:t xml:space="preserve">, עמ׳ רנה) בשם ר׳ יצחק־זאב </w:t>
      </w:r>
      <w:proofErr w:type="spellStart"/>
      <w:r>
        <w:rPr>
          <w:sz w:val="20"/>
          <w:szCs w:val="20"/>
          <w:rtl/>
        </w:rPr>
        <w:t>סולובייצ׳יק</w:t>
      </w:r>
      <w:proofErr w:type="spellEnd"/>
      <w:r>
        <w:rPr>
          <w:sz w:val="20"/>
          <w:szCs w:val="20"/>
          <w:rtl/>
        </w:rPr>
        <w:t xml:space="preserve">, ר׳ חיים ישן ‘רוב הזמן’(!) על ספסל בביתו שלו, משום </w:t>
      </w:r>
      <w:proofErr w:type="spellStart"/>
      <w:r>
        <w:rPr>
          <w:sz w:val="20"/>
          <w:szCs w:val="20"/>
          <w:rtl/>
        </w:rPr>
        <w:t>שה‘אורחים</w:t>
      </w:r>
      <w:proofErr w:type="spellEnd"/>
      <w:r>
        <w:rPr>
          <w:sz w:val="20"/>
          <w:szCs w:val="20"/>
          <w:rtl/>
        </w:rPr>
        <w:t>’ המתוארים בפרק 5, הפסקה החמישית בנספח ו, היו לוקחים לעצמם את מיטתו.</w:t>
      </w:r>
    </w:p>
  </w:footnote>
  <w:footnote w:id="2279">
    <w:p w14:paraId="38F12B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5, אמצע הפסקה התשיעית בנספח ו: המשרתת בבית ר׳ חיים </w:t>
      </w:r>
      <w:proofErr w:type="spellStart"/>
      <w:r>
        <w:rPr>
          <w:sz w:val="20"/>
          <w:szCs w:val="20"/>
          <w:rtl/>
        </w:rPr>
        <w:t>סולובייצ׳יק</w:t>
      </w:r>
      <w:proofErr w:type="spellEnd"/>
      <w:r>
        <w:rPr>
          <w:sz w:val="20"/>
          <w:szCs w:val="20"/>
          <w:rtl/>
        </w:rPr>
        <w:t xml:space="preserve"> במינסק התעקשה להישאר עם המשפחה כשזו עזבה את עירה. יחסו של ר׳ חיים לעובדי הבית מסביר מדוע.</w:t>
      </w:r>
    </w:p>
  </w:footnote>
  <w:footnote w:id="2280">
    <w:p w14:paraId="172AB0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 קמט–קנב בספרו של </w:t>
      </w:r>
      <w:proofErr w:type="spellStart"/>
      <w:r>
        <w:rPr>
          <w:sz w:val="20"/>
          <w:szCs w:val="20"/>
          <w:rtl/>
        </w:rPr>
        <w:t>רבינר</w:t>
      </w:r>
      <w:proofErr w:type="spellEnd"/>
      <w:r>
        <w:rPr>
          <w:sz w:val="20"/>
          <w:szCs w:val="20"/>
          <w:rtl/>
        </w:rPr>
        <w:t>, “רבינו מאיר שמחה הכהן” (נספח ח לעיל).</w:t>
      </w:r>
    </w:p>
  </w:footnote>
  <w:footnote w:id="2281">
    <w:p w14:paraId="5BC6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רבינר</w:t>
      </w:r>
      <w:proofErr w:type="spellEnd"/>
      <w:r>
        <w:rPr>
          <w:sz w:val="20"/>
          <w:szCs w:val="20"/>
          <w:rtl/>
        </w:rPr>
        <w:t>, “רבינו מאיר שמחה הכהן”, עמ׳ קנא.</w:t>
      </w:r>
    </w:p>
  </w:footnote>
  <w:footnote w:id="2282">
    <w:p w14:paraId="645E18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אזכורו של ר׳ </w:t>
      </w:r>
      <w:proofErr w:type="spellStart"/>
      <w:r>
        <w:rPr>
          <w:sz w:val="20"/>
          <w:szCs w:val="20"/>
          <w:rtl/>
        </w:rPr>
        <w:t>חיים־עוזר</w:t>
      </w:r>
      <w:proofErr w:type="spellEnd"/>
      <w:r>
        <w:rPr>
          <w:sz w:val="20"/>
          <w:szCs w:val="20"/>
          <w:rtl/>
        </w:rPr>
        <w:t xml:space="preserve"> בפי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מוטל בספק, משום שדיווח עיתונאי בן הזמן, המובא שם, מתעד ‘נאום קצר’ שנשא ר׳ </w:t>
      </w:r>
      <w:proofErr w:type="spellStart"/>
      <w:r>
        <w:rPr>
          <w:sz w:val="20"/>
          <w:szCs w:val="20"/>
          <w:rtl/>
        </w:rPr>
        <w:t>חיים־עוזר</w:t>
      </w:r>
      <w:proofErr w:type="spellEnd"/>
      <w:r>
        <w:rPr>
          <w:sz w:val="20"/>
          <w:szCs w:val="20"/>
          <w:rtl/>
        </w:rPr>
        <w:t xml:space="preserve"> לפני ההצבעה. בנאום אמר שיתמוך ‘בוודאי’ בהחלטה, וכי ‘סבו, ר׳ ישראל </w:t>
      </w:r>
      <w:proofErr w:type="spellStart"/>
      <w:r>
        <w:rPr>
          <w:sz w:val="20"/>
          <w:szCs w:val="20"/>
          <w:rtl/>
        </w:rPr>
        <w:t>סלנטר</w:t>
      </w:r>
      <w:proofErr w:type="spellEnd"/>
      <w:r>
        <w:rPr>
          <w:sz w:val="20"/>
          <w:szCs w:val="20"/>
          <w:rtl/>
        </w:rPr>
        <w:t>, אמר כבר בשעתו שעל הרבנים לדעת את שפת הארץ – ולכן הוא עצמו יודע רוסית’. השווה גם פרק 4, הערה 77: ר׳ ישראל דאג שתלמידיו, שציפה כי יהיו רבנים, ילמדו את שפת המקום.</w:t>
      </w:r>
    </w:p>
    <w:p w14:paraId="08EEFAAB" w14:textId="77777777" w:rsidR="00AB3647" w:rsidRDefault="00000000">
      <w:pPr>
        <w:spacing w:after="0" w:before="0"/>
        <w:jc w:val="both"/>
      </w:pPr>
      <w:r>
        <w:rPr>
          <w:sz w:val="20"/>
          <w:szCs w:val="20"/>
          <w:rtl/>
        </w:rPr>
        <w:t xml:space="preserve">אם דברי ר׳ </w:t>
      </w:r>
      <w:proofErr w:type="spellStart"/>
      <w:r>
        <w:rPr>
          <w:sz w:val="20"/>
          <w:szCs w:val="20"/>
          <w:rtl/>
        </w:rPr>
        <w:t xml:space="preserve">יוסף־דב</w:t>
      </w:r>
      <w:proofErr w:type="spellEnd"/>
      <w:r>
        <w:rPr>
          <w:sz w:val="20"/>
          <w:szCs w:val="20"/>
          <w:rtl/>
        </w:rPr>
        <w:t xml:space="preserve"> מדויקים, על כורחנו שר׳ </w:t>
      </w:r>
      <w:proofErr w:type="spellStart"/>
      <w:r>
        <w:rPr>
          <w:sz w:val="20"/>
          <w:szCs w:val="20"/>
          <w:rtl/>
        </w:rPr>
        <w:t>חיים־עוזר</w:t>
      </w:r>
      <w:proofErr w:type="spellEnd"/>
      <w:r>
        <w:rPr>
          <w:sz w:val="20"/>
          <w:szCs w:val="20"/>
          <w:rtl/>
        </w:rPr>
        <w:t xml:space="preserve"> חזר בו מעמדתו התקיפה לאחר שנודעה לו דעת ר׳ חיים </w:t>
      </w:r>
      <w:proofErr w:type="spellStart"/>
      <w:r>
        <w:rPr>
          <w:sz w:val="20"/>
          <w:szCs w:val="20"/>
          <w:rtl/>
        </w:rPr>
        <w:t>סולובייצ׳יק</w:t>
      </w:r>
      <w:proofErr w:type="spellEnd"/>
      <w:r>
        <w:rPr>
          <w:sz w:val="20"/>
          <w:szCs w:val="20"/>
          <w:rtl/>
        </w:rPr>
        <w:t xml:space="preserve">. ר׳ </w:t>
      </w:r>
      <w:proofErr w:type="spellStart"/>
      <w:r>
        <w:rPr>
          <w:sz w:val="20"/>
          <w:szCs w:val="20"/>
          <w:rtl/>
        </w:rPr>
        <w:t>חיים־עוזר</w:t>
      </w:r>
      <w:proofErr w:type="spellEnd"/>
      <w:r>
        <w:rPr>
          <w:sz w:val="20"/>
          <w:szCs w:val="20"/>
          <w:rtl/>
        </w:rPr>
        <w:t xml:space="preserve"> רחש </w:t>
      </w:r>
      <w:proofErr w:type="spellStart"/>
      <w:r>
        <w:rPr>
          <w:sz w:val="20"/>
          <w:szCs w:val="20"/>
          <w:rtl/>
        </w:rPr>
        <w:t>לר</w:t>
      </w:r>
      <w:proofErr w:type="spellEnd"/>
      <w:r>
        <w:rPr>
          <w:sz w:val="20"/>
          <w:szCs w:val="20"/>
          <w:rtl/>
        </w:rPr>
        <w:t xml:space="preserve">׳ חיים כבוד רב (ראה הפסקה השנייה של נספח </w:t>
      </w:r>
      <w:proofErr w:type="spellStart"/>
      <w:r>
        <w:rPr>
          <w:sz w:val="20"/>
          <w:szCs w:val="20"/>
          <w:rtl/>
        </w:rPr>
        <w:t>טז</w:t>
      </w:r>
      <w:proofErr w:type="spellEnd"/>
      <w:r>
        <w:rPr>
          <w:sz w:val="20"/>
          <w:szCs w:val="20"/>
          <w:rtl/>
        </w:rPr>
        <w:t xml:space="preserve"> בפרק זה), אף שלמד בישיבת </w:t>
      </w:r>
      <w:proofErr w:type="spellStart"/>
      <w:r>
        <w:rPr>
          <w:sz w:val="20"/>
          <w:szCs w:val="20"/>
          <w:rtl/>
        </w:rPr>
        <w:t>וולוז׳ין</w:t>
      </w:r>
      <w:proofErr w:type="spellEnd"/>
      <w:r>
        <w:rPr>
          <w:sz w:val="20"/>
          <w:szCs w:val="20"/>
          <w:rtl/>
        </w:rPr>
        <w:t xml:space="preserve"> שלוש שנים לפני שר׳ חיים הצטרף לצוותה, ורק שנתיים אחרי כן. בחידוש שכתב בסוף תר״מ, בגיל </w:t>
      </w:r>
      <w:proofErr w:type="spellStart"/>
      <w:r>
        <w:rPr>
          <w:sz w:val="20"/>
          <w:szCs w:val="20"/>
          <w:rtl/>
        </w:rPr>
        <w:t>שבע־עשרה</w:t>
      </w:r>
      <w:proofErr w:type="spellEnd"/>
      <w:r>
        <w:rPr>
          <w:sz w:val="20"/>
          <w:szCs w:val="20"/>
          <w:rtl/>
        </w:rPr>
        <w:t>, כינה אותו, אם לא ‘רבי’, הרי ‘אלופי ומיודעי’ (לפי אבות פ״ו משנה ג׳).</w:t>
      </w:r>
    </w:p>
    <w:p w14:paraId="531318EF" w14:textId="77777777" w:rsidR="00AB3647" w:rsidRDefault="00000000">
      <w:pPr>
        <w:spacing w:after="0" w:before="0"/>
        <w:jc w:val="both"/>
      </w:pPr>
      <w:r>
        <w:rPr>
          <w:sz w:val="20"/>
          <w:szCs w:val="20"/>
          <w:rtl/>
        </w:rPr>
        <w:t xml:space="preserve">ר׳ </w:t>
      </w:r>
      <w:proofErr w:type="spellStart"/>
      <w:r>
        <w:rPr>
          <w:sz w:val="20"/>
          <w:szCs w:val="20"/>
          <w:rtl/>
        </w:rPr>
        <w:t>חיים־עוזר</w:t>
      </w:r>
      <w:proofErr w:type="spellEnd"/>
      <w:r>
        <w:rPr>
          <w:sz w:val="20"/>
          <w:szCs w:val="20"/>
          <w:rtl/>
        </w:rPr>
        <w:t xml:space="preserve"> פרסם אחר כך את החידוש הזה מנעוריו </w:t>
      </w:r>
      <w:proofErr w:type="spellStart"/>
      <w:r>
        <w:rPr>
          <w:sz w:val="20"/>
          <w:szCs w:val="20"/>
          <w:rtl/>
        </w:rPr>
        <w:t>בשו״ת</w:t>
      </w:r>
      <w:proofErr w:type="spellEnd"/>
      <w:r>
        <w:rPr>
          <w:sz w:val="20"/>
          <w:szCs w:val="20"/>
          <w:rtl/>
        </w:rPr>
        <w:t xml:space="preserve"> ‘אחיעזר’ [יצא לאור ע״י הרב ישראל </w:t>
      </w:r>
      <w:proofErr w:type="spellStart"/>
      <w:r>
        <w:rPr>
          <w:sz w:val="20"/>
          <w:szCs w:val="20"/>
          <w:rtl/>
        </w:rPr>
        <w:t>פעלדמאן</w:t>
      </w:r>
      <w:proofErr w:type="spellEnd"/>
      <w:r>
        <w:rPr>
          <w:sz w:val="20"/>
          <w:szCs w:val="20"/>
          <w:rtl/>
        </w:rPr>
        <w:t xml:space="preserve">, ברוקלין נ״י], </w:t>
      </w:r>
      <w:proofErr w:type="spellStart"/>
      <w:r>
        <w:rPr>
          <w:sz w:val="20"/>
          <w:szCs w:val="20"/>
          <w:rtl/>
        </w:rPr>
        <w:t>ח״ג</w:t>
      </w:r>
      <w:proofErr w:type="spellEnd"/>
      <w:r>
        <w:rPr>
          <w:sz w:val="20"/>
          <w:szCs w:val="20"/>
          <w:rtl/>
        </w:rPr>
        <w:t xml:space="preserve">, סי׳ פ״א, סוף אות </w:t>
      </w:r>
      <w:proofErr w:type="spellStart"/>
      <w:r>
        <w:rPr>
          <w:sz w:val="20"/>
          <w:szCs w:val="20"/>
          <w:rtl/>
        </w:rPr>
        <w:t>כג</w:t>
      </w:r>
      <w:proofErr w:type="spellEnd"/>
      <w:r>
        <w:rPr>
          <w:sz w:val="20"/>
          <w:szCs w:val="20"/>
          <w:rtl/>
        </w:rPr>
        <w:t xml:space="preserve">.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בוודאי כתב אותו לפחות כמה חודשים אחרי שר׳ חיים </w:t>
      </w:r>
      <w:proofErr w:type="spellStart"/>
      <w:r>
        <w:rPr>
          <w:sz w:val="20"/>
          <w:szCs w:val="20"/>
          <w:rtl/>
        </w:rPr>
        <w:t>סולובייצ׳יק</w:t>
      </w:r>
      <w:proofErr w:type="spellEnd"/>
      <w:r>
        <w:rPr>
          <w:sz w:val="20"/>
          <w:szCs w:val="20"/>
          <w:rtl/>
        </w:rPr>
        <w:t xml:space="preserve"> שב </w:t>
      </w:r>
      <w:proofErr w:type="spellStart"/>
      <w:r>
        <w:rPr>
          <w:sz w:val="20"/>
          <w:szCs w:val="20"/>
          <w:rtl/>
        </w:rPr>
        <w:t>מבריסק</w:t>
      </w:r>
      <w:proofErr w:type="spellEnd"/>
      <w:r>
        <w:rPr>
          <w:sz w:val="20"/>
          <w:szCs w:val="20"/>
          <w:rtl/>
        </w:rPr>
        <w:t xml:space="preserve"> כדי להתמנות למשנה לראש הישיבה, שכן הוא מכנה אותו ‘הגאון ר׳ חיים </w:t>
      </w:r>
      <w:proofErr w:type="spellStart"/>
      <w:r>
        <w:rPr>
          <w:sz w:val="20"/>
          <w:szCs w:val="20"/>
          <w:rtl/>
        </w:rPr>
        <w:t>מוולוז׳ין</w:t>
      </w:r>
      <w:proofErr w:type="spellEnd"/>
      <w:r>
        <w:rPr>
          <w:sz w:val="20"/>
          <w:szCs w:val="20"/>
          <w:rtl/>
        </w:rPr>
        <w:t>’.</w:t>
      </w:r>
    </w:p>
  </w:footnote>
  <w:footnote w:id="2283">
    <w:p w14:paraId="1EB066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עמ׳ 456–457.</w:t>
      </w:r>
    </w:p>
  </w:footnote>
  <w:footnote w:id="2284">
    <w:p w14:paraId="704A1F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ר–רה.</w:t>
      </w:r>
    </w:p>
  </w:footnote>
  <w:footnote w:id="2285">
    <w:p w14:paraId="66A68D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תחילת הערה 33.</w:t>
      </w:r>
    </w:p>
  </w:footnote>
  <w:footnote w:id="2286">
    <w:p w14:paraId="1E8862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בבא </w:t>
      </w:r>
      <w:proofErr w:type="spellStart"/>
      <w:r>
        <w:rPr>
          <w:sz w:val="20"/>
          <w:szCs w:val="20"/>
          <w:rtl/>
        </w:rPr>
        <w:t>בתרא</w:t>
      </w:r>
      <w:proofErr w:type="spellEnd"/>
      <w:r>
        <w:rPr>
          <w:sz w:val="20"/>
          <w:szCs w:val="20"/>
          <w:rtl/>
        </w:rPr>
        <w:t xml:space="preserve"> </w:t>
      </w:r>
      <w:proofErr w:type="spellStart"/>
      <w:r>
        <w:rPr>
          <w:sz w:val="20"/>
          <w:szCs w:val="20"/>
          <w:rtl/>
        </w:rPr>
        <w:t>קס</w:t>
      </w:r>
      <w:proofErr w:type="spellEnd"/>
      <w:r>
        <w:rPr>
          <w:sz w:val="20"/>
          <w:szCs w:val="20"/>
          <w:rtl/>
        </w:rPr>
        <w:t xml:space="preserve"> ע״ב.</w:t>
      </w:r>
    </w:p>
  </w:footnote>
  <w:footnote w:id="2287">
    <w:p w14:paraId="7130D4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קנט.</w:t>
      </w:r>
    </w:p>
  </w:footnote>
  <w:footnote w:id="2288">
    <w:p w14:paraId="794E9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משלי ז, ד.</w:t>
      </w:r>
    </w:p>
  </w:footnote>
  <w:footnote w:id="2289">
    <w:p w14:paraId="568FA2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454.</w:t>
      </w:r>
    </w:p>
  </w:footnote>
  <w:footnote w:id="2290">
    <w:p w14:paraId="5F4F85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רד.</w:t>
      </w:r>
    </w:p>
  </w:footnote>
  <w:footnote w:id="2291">
    <w:p w14:paraId="08B31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292">
    <w:p w14:paraId="59C7A9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יודע על מה ביסס פרופסור זאב לב את ידיעותיו כשכתב במכתב למערכת ‘תורה ומדע’, כרך ג (1991–1992): ‘ר׳ </w:t>
      </w:r>
      <w:proofErr w:type="spellStart"/>
      <w:r>
        <w:rPr>
          <w:sz w:val="20"/>
          <w:szCs w:val="20"/>
          <w:rtl/>
        </w:rPr>
        <w:t>מאיר־שמחה</w:t>
      </w:r>
      <w:proofErr w:type="spellEnd"/>
      <w:r>
        <w:rPr>
          <w:sz w:val="20"/>
          <w:szCs w:val="20"/>
          <w:rtl/>
        </w:rPr>
        <w:t xml:space="preserve"> עזב את הוועידה ושב </w:t>
      </w:r>
      <w:proofErr w:type="spellStart"/>
      <w:r>
        <w:rPr>
          <w:sz w:val="20"/>
          <w:szCs w:val="20"/>
          <w:rtl/>
        </w:rPr>
        <w:t>לדווינסק</w:t>
      </w:r>
      <w:proofErr w:type="spellEnd"/>
      <w:r>
        <w:rPr>
          <w:sz w:val="20"/>
          <w:szCs w:val="20"/>
          <w:rtl/>
        </w:rPr>
        <w:t xml:space="preserve">, ולכן יכול היה </w:t>
      </w:r>
      <w:proofErr w:type="spellStart"/>
      <w:r>
        <w:rPr>
          <w:sz w:val="20"/>
          <w:szCs w:val="20"/>
          <w:rtl/>
        </w:rPr>
        <w:t>החפץ־חיים</w:t>
      </w:r>
      <w:proofErr w:type="spellEnd"/>
      <w:r>
        <w:rPr>
          <w:sz w:val="20"/>
          <w:szCs w:val="20"/>
          <w:rtl/>
        </w:rPr>
        <w:t xml:space="preserve"> לשכנע את הגדולים האחרים להתנגד להנהגת לימודי חול.’ פרופסור לב מסביר את עזיבתו הנטענת של ר׳ </w:t>
      </w:r>
      <w:proofErr w:type="spellStart"/>
      <w:r>
        <w:rPr>
          <w:sz w:val="20"/>
          <w:szCs w:val="20"/>
          <w:rtl/>
        </w:rPr>
        <w:t>מאיר־שמחה</w:t>
      </w:r>
      <w:proofErr w:type="spellEnd"/>
      <w:r>
        <w:rPr>
          <w:sz w:val="20"/>
          <w:szCs w:val="20"/>
          <w:rtl/>
        </w:rPr>
        <w:t xml:space="preserve"> בשילוב אפשרי של נימוקים שנראים מנוגדים: ‘במחאה’ על הופעת </w:t>
      </w:r>
      <w:proofErr w:type="spellStart"/>
      <w:r>
        <w:rPr>
          <w:sz w:val="20"/>
          <w:szCs w:val="20"/>
          <w:rtl/>
        </w:rPr>
        <w:t>החפץ־חיים</w:t>
      </w:r>
      <w:proofErr w:type="spellEnd"/>
      <w:r>
        <w:rPr>
          <w:sz w:val="20"/>
          <w:szCs w:val="20"/>
          <w:rtl/>
        </w:rPr>
        <w:t xml:space="preserve"> שם, </w:t>
      </w:r>
      <w:proofErr w:type="spellStart"/>
      <w:r>
        <w:rPr>
          <w:sz w:val="20"/>
          <w:szCs w:val="20"/>
          <w:rtl/>
        </w:rPr>
        <w:t>ו‘אפשר</w:t>
      </w:r>
      <w:proofErr w:type="spellEnd"/>
      <w:r>
        <w:rPr>
          <w:sz w:val="20"/>
          <w:szCs w:val="20"/>
          <w:rtl/>
        </w:rPr>
        <w:t xml:space="preserve"> שגם כדי שלא לפגוע </w:t>
      </w:r>
      <w:proofErr w:type="spellStart"/>
      <w:r>
        <w:rPr>
          <w:sz w:val="20"/>
          <w:szCs w:val="20"/>
          <w:rtl/>
        </w:rPr>
        <w:t>בחפץ־חיים</w:t>
      </w:r>
      <w:proofErr w:type="spellEnd"/>
      <w:r>
        <w:rPr>
          <w:sz w:val="20"/>
          <w:szCs w:val="20"/>
          <w:rtl/>
        </w:rPr>
        <w:t xml:space="preserve">’. </w:t>
      </w:r>
      <w:proofErr w:type="spellStart"/>
      <w:r>
        <w:rPr>
          <w:sz w:val="20"/>
          <w:szCs w:val="20"/>
          <w:rtl/>
        </w:rPr>
        <w:t>מרבינר</w:t>
      </w:r>
      <w:proofErr w:type="spellEnd"/>
      <w:r>
        <w:rPr>
          <w:sz w:val="20"/>
          <w:szCs w:val="20"/>
          <w:rtl/>
        </w:rPr>
        <w:t xml:space="preserve">, “רבינו מאיר שמחה הכהן”, עמ׳ </w:t>
      </w:r>
      <w:proofErr w:type="spellStart"/>
      <w:r>
        <w:rPr>
          <w:sz w:val="20"/>
          <w:szCs w:val="20"/>
          <w:rtl/>
        </w:rPr>
        <w:t>קצא</w:t>
      </w:r>
      <w:proofErr w:type="spellEnd"/>
      <w:r>
        <w:rPr>
          <w:sz w:val="20"/>
          <w:szCs w:val="20"/>
          <w:rtl/>
        </w:rPr>
        <w:t xml:space="preserve">, המובא להלן, נראה בוודאי שר׳ </w:t>
      </w:r>
      <w:proofErr w:type="spellStart"/>
      <w:r>
        <w:rPr>
          <w:sz w:val="20"/>
          <w:szCs w:val="20"/>
          <w:rtl/>
        </w:rPr>
        <w:t>מאיר־שמחה</w:t>
      </w:r>
      <w:proofErr w:type="spellEnd"/>
      <w:r>
        <w:rPr>
          <w:sz w:val="20"/>
          <w:szCs w:val="20"/>
          <w:rtl/>
        </w:rPr>
        <w:t xml:space="preserve"> נשאר עד תום הוועידה. גרסתו של פרופסור לב לסיבה שבגללה נכשלה ההחלטה שונה, כמובן, מגרסת ר׳ </w:t>
      </w:r>
      <w:proofErr w:type="spellStart"/>
      <w:r>
        <w:rPr>
          <w:sz w:val="20"/>
          <w:szCs w:val="20"/>
          <w:rtl/>
        </w:rPr>
        <w:t>יוסף־יצחק</w:t>
      </w:r>
      <w:proofErr w:type="spellEnd"/>
      <w:r>
        <w:rPr>
          <w:sz w:val="20"/>
          <w:szCs w:val="20"/>
          <w:rtl/>
        </w:rPr>
        <w:t xml:space="preserve"> שניאורסון.</w:t>
      </w:r>
    </w:p>
  </w:footnote>
  <w:footnote w:id="2293">
    <w:p w14:paraId="5BC9F3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
  </w:footnote>
  <w:footnote w:id="2294">
    <w:p w14:paraId="6D8930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עמדת ר׳ </w:t>
      </w:r>
      <w:proofErr w:type="spellStart"/>
      <w:r>
        <w:rPr>
          <w:sz w:val="20"/>
          <w:szCs w:val="20"/>
          <w:rtl/>
        </w:rPr>
        <w:t>דוד׳ל</w:t>
      </w:r>
      <w:proofErr w:type="spellEnd"/>
      <w:r>
        <w:rPr>
          <w:sz w:val="20"/>
          <w:szCs w:val="20"/>
          <w:rtl/>
        </w:rPr>
        <w:t xml:space="preserve"> במאבק שהתחולל בירושלים </w:t>
      </w:r>
      <w:proofErr w:type="spellStart"/>
      <w:r>
        <w:rPr>
          <w:sz w:val="20"/>
          <w:szCs w:val="20"/>
          <w:rtl/>
        </w:rPr>
        <w:t>שתים־עשרה</w:t>
      </w:r>
      <w:proofErr w:type="spellEnd"/>
      <w:r>
        <w:rPr>
          <w:sz w:val="20"/>
          <w:szCs w:val="20"/>
          <w:rtl/>
        </w:rPr>
        <w:t xml:space="preserve"> שנה קודם לכן על לימוד שפות זרות, כנדון בפרק 4, הפסקה השנייה בנספח </w:t>
      </w:r>
      <w:proofErr w:type="spellStart"/>
      <w:r>
        <w:rPr>
          <w:sz w:val="20"/>
          <w:szCs w:val="20"/>
          <w:rtl/>
        </w:rPr>
        <w:t>יז</w:t>
      </w:r>
      <w:proofErr w:type="spellEnd"/>
      <w:r>
        <w:rPr>
          <w:sz w:val="20"/>
          <w:szCs w:val="20"/>
          <w:rtl/>
        </w:rPr>
        <w:t>.</w:t>
      </w:r>
    </w:p>
  </w:footnote>
  <w:footnote w:id="2295">
    <w:p w14:paraId="4319DE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איצל׳ה</w:t>
      </w:r>
      <w:proofErr w:type="spellEnd"/>
      <w:r>
        <w:rPr>
          <w:sz w:val="20"/>
          <w:szCs w:val="20"/>
          <w:rtl/>
        </w:rPr>
        <w:t xml:space="preserve"> </w:t>
      </w:r>
      <w:proofErr w:type="spellStart"/>
      <w:r>
        <w:rPr>
          <w:sz w:val="20"/>
          <w:szCs w:val="20"/>
          <w:rtl/>
        </w:rPr>
        <w:t>מפוניבז</w:t>
      </w:r>
      <w:proofErr w:type="spellEnd"/>
      <w:r>
        <w:rPr>
          <w:sz w:val="20"/>
          <w:szCs w:val="20"/>
          <w:rtl/>
        </w:rPr>
        <w:t xml:space="preserve">׳, שגם הוא תמך בר׳ </w:t>
      </w:r>
      <w:proofErr w:type="spellStart"/>
      <w:r>
        <w:rPr>
          <w:sz w:val="20"/>
          <w:szCs w:val="20"/>
          <w:rtl/>
        </w:rPr>
        <w:t>מאיר־שמחה</w:t>
      </w:r>
      <w:proofErr w:type="spellEnd"/>
      <w:r>
        <w:rPr>
          <w:sz w:val="20"/>
          <w:szCs w:val="20"/>
          <w:rtl/>
        </w:rPr>
        <w:t xml:space="preserve">, כאמור לעיל, כבר היה מחוץ לעולם הישיבות למעלה </w:t>
      </w:r>
      <w:proofErr w:type="spellStart"/>
      <w:r>
        <w:rPr>
          <w:sz w:val="20"/>
          <w:szCs w:val="20"/>
          <w:rtl/>
        </w:rPr>
        <w:t>מחמש־עשרה</w:t>
      </w:r>
      <w:proofErr w:type="spellEnd"/>
      <w:r>
        <w:rPr>
          <w:sz w:val="20"/>
          <w:szCs w:val="20"/>
          <w:rtl/>
        </w:rPr>
        <w:t xml:space="preserve"> שנה.</w:t>
      </w:r>
    </w:p>
  </w:footnote>
  <w:footnote w:id="2296">
    <w:p w14:paraId="5278F5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רב–</w:t>
      </w:r>
      <w:proofErr w:type="spellStart"/>
      <w:r>
        <w:rPr>
          <w:sz w:val="20"/>
          <w:szCs w:val="20"/>
          <w:rtl/>
        </w:rPr>
        <w:t>רג</w:t>
      </w:r>
      <w:proofErr w:type="spellEnd"/>
      <w:r>
        <w:rPr>
          <w:sz w:val="20"/>
          <w:szCs w:val="20"/>
          <w:rtl/>
        </w:rPr>
        <w:t>.</w:t>
      </w:r>
    </w:p>
  </w:footnote>
  <w:footnote w:id="2297">
    <w:p w14:paraId="056BD0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2298">
    <w:p w14:paraId="1428D0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פסוק </w:t>
      </w:r>
      <w:proofErr w:type="spellStart"/>
      <w:r>
        <w:rPr>
          <w:sz w:val="20"/>
          <w:szCs w:val="20"/>
          <w:rtl/>
        </w:rPr>
        <w:t>יט</w:t>
      </w:r>
      <w:proofErr w:type="spellEnd"/>
      <w:r>
        <w:rPr>
          <w:sz w:val="20"/>
          <w:szCs w:val="20"/>
          <w:rtl/>
        </w:rPr>
        <w:t>.</w:t>
      </w:r>
    </w:p>
  </w:footnote>
  <w:footnote w:id="2299">
    <w:p w14:paraId="7CC16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31 באוגוסט 1996.</w:t>
      </w:r>
    </w:p>
  </w:footnote>
  <w:footnote w:id="2300">
    <w:p w14:paraId="22945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w:t>
      </w:r>
    </w:p>
  </w:footnote>
  <w:footnote w:id="2301">
    <w:p w14:paraId="304F3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למעשה, הוא ראה אור רק כעשור לאחר פטירת ר׳ </w:t>
      </w:r>
      <w:proofErr w:type="spellStart"/>
      <w:r>
        <w:rPr>
          <w:sz w:val="20"/>
          <w:szCs w:val="20"/>
          <w:rtl/>
        </w:rPr>
        <w:t>מאיר־שמחה</w:t>
      </w:r>
      <w:proofErr w:type="spellEnd"/>
      <w:r>
        <w:rPr>
          <w:sz w:val="20"/>
          <w:szCs w:val="20"/>
          <w:rtl/>
        </w:rPr>
        <w:t>.</w:t>
      </w:r>
    </w:p>
  </w:footnote>
  <w:footnote w:id="2302">
    <w:p w14:paraId="6A852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303">
    <w:p w14:paraId="105FA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רמד</w:t>
      </w:r>
      <w:proofErr w:type="spellEnd"/>
      <w:r>
        <w:rPr>
          <w:sz w:val="20"/>
          <w:szCs w:val="20"/>
          <w:rtl/>
        </w:rPr>
        <w:t>.</w:t>
      </w:r>
    </w:p>
  </w:footnote>
  <w:footnote w:id="2304">
    <w:p w14:paraId="409EB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קפט</w:t>
      </w:r>
      <w:proofErr w:type="spellEnd"/>
      <w:r>
        <w:rPr>
          <w:sz w:val="20"/>
          <w:szCs w:val="20"/>
          <w:rtl/>
        </w:rPr>
        <w:t>.</w:t>
      </w:r>
    </w:p>
  </w:footnote>
  <w:footnote w:id="2305">
    <w:p w14:paraId="24AAAF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עמ׳ 15, מתאריך הלילה שלפני ו׳ באב תשמ״א.</w:t>
      </w:r>
    </w:p>
  </w:footnote>
  <w:footnote w:id="2306">
    <w:p w14:paraId="431091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רבינר</w:t>
      </w:r>
      <w:proofErr w:type="spellEnd"/>
      <w:r>
        <w:rPr>
          <w:sz w:val="20"/>
          <w:szCs w:val="20"/>
          <w:rtl/>
        </w:rPr>
        <w:t xml:space="preserve">, “רבינו מאיר שמחה הכהן”, עמ׳ </w:t>
      </w:r>
      <w:proofErr w:type="spellStart"/>
      <w:r>
        <w:rPr>
          <w:sz w:val="20"/>
          <w:szCs w:val="20"/>
          <w:rtl/>
        </w:rPr>
        <w:t>קפט</w:t>
      </w:r>
      <w:proofErr w:type="spellEnd"/>
      <w:r>
        <w:rPr>
          <w:sz w:val="20"/>
          <w:szCs w:val="20"/>
          <w:rtl/>
        </w:rPr>
        <w:t>.</w:t>
      </w:r>
    </w:p>
  </w:footnote>
  <w:footnote w:id="2307">
    <w:p w14:paraId="6DA1D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w:t>
      </w:r>
      <w:proofErr w:type="spellEnd"/>
      <w:r>
        <w:rPr>
          <w:sz w:val="20"/>
          <w:szCs w:val="20"/>
          <w:rtl/>
        </w:rPr>
        <w:t>. לפי ‘</w:t>
      </w:r>
      <w:proofErr w:type="spellStart"/>
      <w:r>
        <w:rPr>
          <w:sz w:val="20"/>
          <w:szCs w:val="20"/>
          <w:rtl/>
        </w:rPr>
        <w:t>שמוש</w:t>
      </w:r>
      <w:proofErr w:type="spellEnd"/>
      <w:r>
        <w:rPr>
          <w:sz w:val="20"/>
          <w:szCs w:val="20"/>
          <w:rtl/>
        </w:rPr>
        <w:t xml:space="preserve"> חכמים’ (הערה 18 לעיל), עמ׳ קמט,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שבכל שנה היה ר׳ חיים שולח </w:t>
      </w:r>
      <w:proofErr w:type="spellStart"/>
      <w:r>
        <w:rPr>
          <w:sz w:val="20"/>
          <w:szCs w:val="20"/>
          <w:rtl/>
        </w:rPr>
        <w:t>לר</w:t>
      </w:r>
      <w:proofErr w:type="spellEnd"/>
      <w:r>
        <w:rPr>
          <w:sz w:val="20"/>
          <w:szCs w:val="20"/>
          <w:rtl/>
        </w:rPr>
        <w:t xml:space="preserve">׳ </w:t>
      </w:r>
      <w:proofErr w:type="spellStart"/>
      <w:r>
        <w:rPr>
          <w:sz w:val="20"/>
          <w:szCs w:val="20"/>
          <w:rtl/>
        </w:rPr>
        <w:t>מאיר־שמחה</w:t>
      </w:r>
      <w:proofErr w:type="spellEnd"/>
      <w:r>
        <w:rPr>
          <w:sz w:val="20"/>
          <w:szCs w:val="20"/>
          <w:rtl/>
        </w:rPr>
        <w:t xml:space="preserve"> ‘</w:t>
      </w:r>
      <w:proofErr w:type="spellStart"/>
      <w:r>
        <w:rPr>
          <w:sz w:val="20"/>
          <w:szCs w:val="20"/>
          <w:rtl/>
        </w:rPr>
        <w:t>קוויטעל</w:t>
      </w:r>
      <w:proofErr w:type="spellEnd"/>
      <w:r>
        <w:rPr>
          <w:sz w:val="20"/>
          <w:szCs w:val="20"/>
          <w:rtl/>
        </w:rPr>
        <w:t xml:space="preserve">’ – המונח המשמש חסידים </w:t>
      </w:r>
      <w:proofErr w:type="spellStart"/>
      <w:r>
        <w:rPr>
          <w:sz w:val="20"/>
          <w:szCs w:val="20"/>
          <w:rtl/>
        </w:rPr>
        <w:t>ה‘מזכירים</w:t>
      </w:r>
      <w:proofErr w:type="spellEnd"/>
      <w:r>
        <w:rPr>
          <w:sz w:val="20"/>
          <w:szCs w:val="20"/>
          <w:rtl/>
        </w:rPr>
        <w:t xml:space="preserve">’ את עצמם אצל רבותיהם – ובו שמו ושם </w:t>
      </w:r>
      <w:proofErr w:type="spellStart"/>
      <w:r>
        <w:rPr>
          <w:sz w:val="20"/>
          <w:szCs w:val="20"/>
          <w:rtl/>
        </w:rPr>
        <w:t>אמו</w:t>
      </w:r>
      <w:proofErr w:type="spellEnd"/>
      <w:r>
        <w:rPr>
          <w:sz w:val="20"/>
          <w:szCs w:val="20"/>
          <w:rtl/>
        </w:rPr>
        <w:t xml:space="preserve">, חיים בן </w:t>
      </w:r>
      <w:proofErr w:type="spellStart"/>
      <w:r>
        <w:rPr>
          <w:sz w:val="20"/>
          <w:szCs w:val="20"/>
          <w:rtl/>
        </w:rPr>
        <w:t>צירל</w:t>
      </w:r>
      <w:proofErr w:type="spellEnd"/>
      <w:r>
        <w:rPr>
          <w:sz w:val="20"/>
          <w:szCs w:val="20"/>
          <w:rtl/>
        </w:rPr>
        <w:t xml:space="preserve">. ר׳ </w:t>
      </w:r>
      <w:proofErr w:type="spellStart"/>
      <w:r>
        <w:rPr>
          <w:sz w:val="20"/>
          <w:szCs w:val="20"/>
          <w:rtl/>
        </w:rPr>
        <w:t>יעקב־יצחק</w:t>
      </w:r>
      <w:proofErr w:type="spellEnd"/>
      <w:r>
        <w:rPr>
          <w:sz w:val="20"/>
          <w:szCs w:val="20"/>
          <w:rtl/>
        </w:rPr>
        <w:t xml:space="preserve"> העיד שראה בעצמו שישה מכתבים כאלה, שבהם ביקש ר׳ חיים מר׳ </w:t>
      </w:r>
      <w:proofErr w:type="spellStart"/>
      <w:r>
        <w:rPr>
          <w:sz w:val="20"/>
          <w:szCs w:val="20"/>
          <w:rtl/>
        </w:rPr>
        <w:t>מאיר־שמחה</w:t>
      </w:r>
      <w:proofErr w:type="spellEnd"/>
      <w:r>
        <w:rPr>
          <w:sz w:val="20"/>
          <w:szCs w:val="20"/>
          <w:rtl/>
        </w:rPr>
        <w:t xml:space="preserve"> להזכירו בתפילותיו. אבי דייק יותר באיזו תפילה רצה ר׳ חיים שיזכירוהו: רבנו גילה שר׳ חיים (הלוי) ביקש שר׳ </w:t>
      </w:r>
      <w:proofErr w:type="spellStart"/>
      <w:r>
        <w:rPr>
          <w:sz w:val="20"/>
          <w:szCs w:val="20"/>
          <w:rtl/>
        </w:rPr>
        <w:t>מאיר־שמחה</w:t>
      </w:r>
      <w:proofErr w:type="spellEnd"/>
      <w:r>
        <w:rPr>
          <w:sz w:val="20"/>
          <w:szCs w:val="20"/>
          <w:rtl/>
        </w:rPr>
        <w:t xml:space="preserve"> (הכהן) יכוון עליו באמירת ברכת כהנים בחגים.</w:t>
      </w:r>
    </w:p>
  </w:footnote>
  <w:footnote w:id="2308">
    <w:p w14:paraId="74EAA9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קפח.</w:t>
      </w:r>
    </w:p>
  </w:footnote>
  <w:footnote w:id="2309">
    <w:p w14:paraId="6963C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קצא</w:t>
      </w:r>
      <w:proofErr w:type="spellEnd"/>
      <w:r>
        <w:rPr>
          <w:sz w:val="20"/>
          <w:szCs w:val="20"/>
          <w:rtl/>
        </w:rPr>
        <w:t>.</w:t>
      </w:r>
    </w:p>
  </w:footnote>
  <w:footnote w:id="2310">
    <w:p w14:paraId="34AB61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תחילת נספח לב להלן: בימי לימודיו של רבנו נחשבו ר׳ חיים </w:t>
      </w:r>
      <w:proofErr w:type="spellStart"/>
      <w:r>
        <w:rPr>
          <w:sz w:val="20"/>
          <w:szCs w:val="20"/>
          <w:rtl/>
        </w:rPr>
        <w:t>סולובייצ׳יק</w:t>
      </w:r>
      <w:proofErr w:type="spellEnd"/>
      <w:r>
        <w:rPr>
          <w:sz w:val="20"/>
          <w:szCs w:val="20"/>
          <w:rtl/>
        </w:rPr>
        <w:t xml:space="preserve"> ור׳ </w:t>
      </w:r>
      <w:proofErr w:type="spellStart"/>
      <w:r>
        <w:rPr>
          <w:sz w:val="20"/>
          <w:szCs w:val="20"/>
          <w:rtl/>
        </w:rPr>
        <w:t>דוד׳ל</w:t>
      </w:r>
      <w:proofErr w:type="spellEnd"/>
      <w:r>
        <w:rPr>
          <w:sz w:val="20"/>
          <w:szCs w:val="20"/>
          <w:rtl/>
        </w:rPr>
        <w:t xml:space="preserve"> פרידמן בעלי מדרגה גבוהה יותר בלמדנות מר׳ </w:t>
      </w:r>
      <w:proofErr w:type="spellStart"/>
      <w:r>
        <w:rPr>
          <w:sz w:val="20"/>
          <w:szCs w:val="20"/>
          <w:rtl/>
        </w:rPr>
        <w:t>מאיר־שמחה</w:t>
      </w:r>
      <w:proofErr w:type="spellEnd"/>
      <w:r>
        <w:rPr>
          <w:sz w:val="20"/>
          <w:szCs w:val="20"/>
          <w:rtl/>
        </w:rPr>
        <w:t xml:space="preserve"> כהן. השווה גם ‘שמושה של תורה’, עמ׳ </w:t>
      </w:r>
      <w:proofErr w:type="spellStart"/>
      <w:r>
        <w:rPr>
          <w:sz w:val="20"/>
          <w:szCs w:val="20"/>
          <w:rtl/>
        </w:rPr>
        <w:t>קעה</w:t>
      </w:r>
      <w:proofErr w:type="spellEnd"/>
      <w:r>
        <w:rPr>
          <w:sz w:val="20"/>
          <w:szCs w:val="20"/>
          <w:rtl/>
        </w:rPr>
        <w:t>–</w:t>
      </w:r>
      <w:proofErr w:type="spellStart"/>
      <w:r>
        <w:rPr>
          <w:sz w:val="20"/>
          <w:szCs w:val="20"/>
          <w:rtl/>
        </w:rPr>
        <w:t>קעו</w:t>
      </w:r>
      <w:proofErr w:type="spellEnd"/>
      <w:r>
        <w:rPr>
          <w:sz w:val="20"/>
          <w:szCs w:val="20"/>
          <w:rtl/>
        </w:rPr>
        <w:t xml:space="preserve">, המוסיף לסיפור ביקור </w:t>
      </w:r>
      <w:proofErr w:type="spellStart"/>
      <w:r>
        <w:rPr>
          <w:sz w:val="20"/>
          <w:szCs w:val="20"/>
          <w:rtl/>
        </w:rPr>
        <w:t>הנימוסין</w:t>
      </w:r>
      <w:proofErr w:type="spellEnd"/>
      <w:r>
        <w:rPr>
          <w:sz w:val="20"/>
          <w:szCs w:val="20"/>
          <w:rtl/>
        </w:rPr>
        <w:t xml:space="preserve"> של ר׳ חיים אצל האור שמח, בשם ר׳ יצחק־זאב </w:t>
      </w:r>
      <w:proofErr w:type="spellStart"/>
      <w:r>
        <w:rPr>
          <w:sz w:val="20"/>
          <w:szCs w:val="20"/>
          <w:rtl/>
        </w:rPr>
        <w:t>סולובייצ׳יק</w:t>
      </w:r>
      <w:proofErr w:type="spellEnd"/>
      <w:r>
        <w:rPr>
          <w:sz w:val="20"/>
          <w:szCs w:val="20"/>
          <w:rtl/>
        </w:rPr>
        <w:t xml:space="preserve">, שבמהלך הוועידה נמנע ר׳ חיים מלדבר עם ר׳ </w:t>
      </w:r>
      <w:proofErr w:type="spellStart"/>
      <w:r>
        <w:rPr>
          <w:sz w:val="20"/>
          <w:szCs w:val="20"/>
          <w:rtl/>
        </w:rPr>
        <w:t>מאיר־שמחה</w:t>
      </w:r>
      <w:proofErr w:type="spellEnd"/>
      <w:r>
        <w:rPr>
          <w:sz w:val="20"/>
          <w:szCs w:val="20"/>
          <w:rtl/>
        </w:rPr>
        <w:t xml:space="preserve">, ‘ולעומת זאת בירך לשלום את שאר הנוכחים, כדי להפגין את התנגדותו לדרכו של האור שמח׳. קשה לקבל התנהגות זו, כשם שקשה לקבל את השוואת הרבנים למשרתי הבעל בפי ר׳ חיים, כפי שמסופר </w:t>
      </w:r>
      <w:proofErr w:type="spellStart"/>
      <w:r>
        <w:rPr>
          <w:sz w:val="20"/>
          <w:szCs w:val="20"/>
          <w:rtl/>
        </w:rPr>
        <w:t>ב‘תורת</w:t>
      </w:r>
      <w:proofErr w:type="spellEnd"/>
      <w:r>
        <w:rPr>
          <w:sz w:val="20"/>
          <w:szCs w:val="20"/>
          <w:rtl/>
        </w:rPr>
        <w:t xml:space="preserve"> חיים’ עמ׳ </w:t>
      </w:r>
      <w:r>
        <w:rPr>
          <w:sz w:val="20"/>
          <w:szCs w:val="20"/>
          <w:rtl/>
        </w:rPr>
        <w:fldChar w:fldCharType="begin" w:dirty="true"/>
      </w:r>
      <w:r>
        <w:rPr>
          <w:sz w:val="20"/>
          <w:szCs w:val="20"/>
          <w:rtl/>
        </w:rPr>
        <w:instrText xml:space="preserve"> PAGEREF pr_b_1362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311">
    <w:p w14:paraId="2DC412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קצט</w:t>
      </w:r>
      <w:proofErr w:type="spellEnd"/>
      <w:r>
        <w:rPr>
          <w:sz w:val="20"/>
          <w:szCs w:val="20"/>
          <w:rtl/>
        </w:rPr>
        <w:t>.</w:t>
      </w:r>
    </w:p>
  </w:footnote>
  <w:footnote w:id="2312">
    <w:p w14:paraId="55FACB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313">
    <w:p w14:paraId="116FF8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מכיר את הרקע ההיסטורי </w:t>
      </w:r>
      <w:proofErr w:type="spellStart"/>
      <w:r>
        <w:rPr>
          <w:sz w:val="20"/>
          <w:szCs w:val="20"/>
          <w:rtl/>
        </w:rPr>
        <w:t>ל“הסכם</w:t>
      </w:r>
      <w:proofErr w:type="spellEnd"/>
      <w:r>
        <w:rPr>
          <w:sz w:val="20"/>
          <w:szCs w:val="20"/>
          <w:rtl/>
        </w:rPr>
        <w:t xml:space="preserve">”, ואיני יודע איזו אישיות תורנית עמדה אז בראש המתנגדים לשיתוף פעולה עם </w:t>
      </w:r>
      <w:proofErr w:type="spellStart"/>
      <w:r>
        <w:rPr>
          <w:sz w:val="20"/>
          <w:szCs w:val="20"/>
          <w:rtl/>
        </w:rPr>
        <w:t>ליובאוויטש</w:t>
      </w:r>
      <w:proofErr w:type="spellEnd"/>
      <w:r>
        <w:rPr>
          <w:sz w:val="20"/>
          <w:szCs w:val="20"/>
          <w:rtl/>
        </w:rPr>
        <w:t xml:space="preserve">. על </w:t>
      </w:r>
      <w:proofErr w:type="spellStart"/>
      <w:r>
        <w:rPr>
          <w:sz w:val="20"/>
          <w:szCs w:val="20"/>
          <w:rtl/>
        </w:rPr>
        <w:t>ה“הסכם</w:t>
      </w:r>
      <w:proofErr w:type="spellEnd"/>
      <w:r>
        <w:rPr>
          <w:sz w:val="20"/>
          <w:szCs w:val="20"/>
          <w:rtl/>
        </w:rPr>
        <w:t xml:space="preserve">” הנטען שאלתי גם בפגישות עם בנו של ר׳ יצחק־זאב </w:t>
      </w:r>
      <w:proofErr w:type="spellStart"/>
      <w:r>
        <w:rPr>
          <w:sz w:val="20"/>
          <w:szCs w:val="20"/>
          <w:rtl/>
        </w:rPr>
        <w:t>סולובייצ׳יק</w:t>
      </w:r>
      <w:proofErr w:type="spellEnd"/>
      <w:r>
        <w:rPr>
          <w:sz w:val="20"/>
          <w:szCs w:val="20"/>
          <w:rtl/>
        </w:rPr>
        <w:t xml:space="preserve">, ר׳ </w:t>
      </w:r>
      <w:proofErr w:type="spellStart"/>
      <w:r>
        <w:rPr>
          <w:sz w:val="20"/>
          <w:szCs w:val="20"/>
          <w:rtl/>
        </w:rPr>
        <w:t>משולם־דוד</w:t>
      </w:r>
      <w:proofErr w:type="spellEnd"/>
      <w:r>
        <w:rPr>
          <w:sz w:val="20"/>
          <w:szCs w:val="20"/>
          <w:rtl/>
        </w:rPr>
        <w:t xml:space="preserve">, ועם אחיינו של הלה, ר׳ </w:t>
      </w:r>
      <w:proofErr w:type="spellStart"/>
      <w:r>
        <w:rPr>
          <w:sz w:val="20"/>
          <w:szCs w:val="20"/>
          <w:rtl/>
        </w:rPr>
        <w:t>אברהם־יהושע</w:t>
      </w:r>
      <w:proofErr w:type="spellEnd"/>
      <w:r>
        <w:rPr>
          <w:sz w:val="20"/>
          <w:szCs w:val="20"/>
          <w:rtl/>
        </w:rPr>
        <w:t>, ולא היה להם שמץ ידיעה על הסכם כזה או על אמירה כזאת של ר׳ חיים.</w:t>
      </w:r>
    </w:p>
    <w:p w14:paraId="0F8C20CF" w14:textId="77777777" w:rsidR="00AB3647" w:rsidRDefault="00000000">
      <w:pPr>
        <w:spacing w:after="0" w:before="0"/>
        <w:jc w:val="both"/>
      </w:pPr>
      <w:r>
        <w:rPr>
          <w:sz w:val="20"/>
          <w:szCs w:val="20"/>
          <w:rtl/>
        </w:rPr>
        <w:t xml:space="preserve">בספריית </w:t>
      </w:r>
      <w:proofErr w:type="spellStart"/>
      <w:r>
        <w:rPr>
          <w:sz w:val="20"/>
          <w:szCs w:val="20"/>
          <w:rtl/>
        </w:rPr>
        <w:t>ליובאוויטש</w:t>
      </w:r>
      <w:proofErr w:type="spellEnd"/>
      <w:r>
        <w:rPr>
          <w:sz w:val="20"/>
          <w:szCs w:val="20"/>
          <w:rtl/>
        </w:rPr>
        <w:t xml:space="preserve"> בברוקלין מסר לי הספרן הראשי, ר׳ </w:t>
      </w:r>
      <w:proofErr w:type="spellStart"/>
      <w:r>
        <w:rPr>
          <w:sz w:val="20"/>
          <w:szCs w:val="20"/>
          <w:rtl/>
        </w:rPr>
        <w:t>שלום־בער</w:t>
      </w:r>
      <w:proofErr w:type="spellEnd"/>
      <w:r>
        <w:rPr>
          <w:sz w:val="20"/>
          <w:szCs w:val="20"/>
          <w:rtl/>
        </w:rPr>
        <w:t xml:space="preserve"> לוין, שבאותה שנה, תרנ״ז, התעוררה בעיה: הממשלה ניסתה לכפות על מלמדי החדרים בחינות “</w:t>
      </w:r>
      <w:proofErr w:type="spellStart"/>
      <w:r>
        <w:rPr>
          <w:sz w:val="20"/>
          <w:szCs w:val="20"/>
          <w:rtl/>
        </w:rPr>
        <w:t>צענז</w:t>
      </w:r>
      <w:proofErr w:type="spellEnd"/>
      <w:r>
        <w:rPr>
          <w:sz w:val="20"/>
          <w:szCs w:val="20"/>
          <w:rtl/>
        </w:rPr>
        <w:t xml:space="preserve">” (מכסת [ידיעות חול]). עוד הוסיף ששנה קודם לכן התקיימה אספת רבנים בפטרבורג, ור׳ חיים לא השתתף בה, ואילו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xml:space="preserve"> מקובנה השתתף. אולם לא עלה בידו להביא ראיה לפגישה בין ר׳ חיים לאדמו״ר </w:t>
      </w:r>
      <w:proofErr w:type="spellStart"/>
      <w:r>
        <w:rPr>
          <w:sz w:val="20"/>
          <w:szCs w:val="20"/>
          <w:rtl/>
        </w:rPr>
        <w:t>מליובאוויטש</w:t>
      </w:r>
      <w:proofErr w:type="spellEnd"/>
      <w:r>
        <w:rPr>
          <w:sz w:val="20"/>
          <w:szCs w:val="20"/>
          <w:rtl/>
        </w:rPr>
        <w:t xml:space="preserve"> באותה שנה.</w:t>
      </w:r>
    </w:p>
    <w:p w14:paraId="0DD35202" w14:textId="77777777" w:rsidR="00AB3647" w:rsidRDefault="00000000">
      <w:pPr>
        <w:spacing w:after="0" w:before="0"/>
        <w:jc w:val="both"/>
      </w:pPr>
      <w:r>
        <w:rPr>
          <w:sz w:val="20"/>
          <w:szCs w:val="20"/>
          <w:rtl/>
        </w:rPr>
        <w:t xml:space="preserve">היומן הביוגרפי הקצר של ר׳ </w:t>
      </w:r>
      <w:proofErr w:type="spellStart"/>
      <w:r>
        <w:rPr>
          <w:sz w:val="20"/>
          <w:szCs w:val="20"/>
          <w:rtl/>
        </w:rPr>
        <w:t>שלום־בער</w:t>
      </w:r>
      <w:proofErr w:type="spellEnd"/>
      <w:r>
        <w:rPr>
          <w:sz w:val="20"/>
          <w:szCs w:val="20"/>
          <w:rtl/>
        </w:rPr>
        <w:t xml:space="preserve">, “קונטרס חנוך לנער” (קהת, ברוקלין, תש״ג), אכן מונה נסיעה של האדמו״ר למוסקבה “מאחרי חנוכה עד אחרי פורים”, ומשם “לפטרבורג לשבועיים”. אחת משתי הערים עשויה להיות אותו “מקום מסוים” שלא נתפרש, שאליו התכוון ר׳ </w:t>
      </w:r>
      <w:proofErr w:type="spellStart"/>
      <w:r>
        <w:rPr>
          <w:sz w:val="20"/>
          <w:szCs w:val="20"/>
          <w:rtl/>
        </w:rPr>
        <w:t>יוסף־יצחק</w:t>
      </w:r>
      <w:proofErr w:type="spellEnd"/>
      <w:r>
        <w:rPr>
          <w:sz w:val="20"/>
          <w:szCs w:val="20"/>
          <w:rtl/>
        </w:rPr>
        <w:t xml:space="preserve"> – אבל האם היה שם ר׳ חיים?</w:t>
      </w:r>
    </w:p>
  </w:footnote>
  <w:footnote w:id="2314">
    <w:p w14:paraId="7EFDE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w:t>
      </w:r>
      <w:proofErr w:type="spellStart"/>
      <w:r>
        <w:rPr>
          <w:sz w:val="20"/>
          <w:szCs w:val="20"/>
          <w:rtl/>
        </w:rPr>
        <w:t>יב</w:t>
      </w:r>
      <w:proofErr w:type="spellEnd"/>
      <w:r>
        <w:rPr>
          <w:sz w:val="20"/>
          <w:szCs w:val="20"/>
          <w:rtl/>
        </w:rPr>
        <w:t xml:space="preserve"> בפרק זה.</w:t>
      </w:r>
    </w:p>
  </w:footnote>
  <w:footnote w:id="2315">
    <w:p w14:paraId="6CD5156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בין תרנ״ז </w:t>
      </w:r>
      <w:proofErr w:type="spellStart"/>
      <w:r>
        <w:rPr>
          <w:sz w:val="20"/>
          <w:szCs w:val="20"/>
          <w:rtl/>
        </w:rPr>
        <w:t>לתרס״ט</w:t>
      </w:r>
      <w:proofErr w:type="spellEnd"/>
      <w:r>
        <w:rPr>
          <w:sz w:val="20"/>
          <w:szCs w:val="20"/>
          <w:rtl/>
        </w:rPr>
        <w:t xml:space="preserve"> חלפו </w:t>
      </w:r>
      <w:proofErr w:type="spellStart"/>
      <w:r>
        <w:rPr>
          <w:sz w:val="20"/>
          <w:szCs w:val="20"/>
          <w:rtl/>
        </w:rPr>
        <w:t>שתים־עשרה</w:t>
      </w:r>
      <w:proofErr w:type="spellEnd"/>
      <w:r>
        <w:rPr>
          <w:sz w:val="20"/>
          <w:szCs w:val="20"/>
          <w:rtl/>
        </w:rPr>
        <w:t xml:space="preserve"> שנים, ולא שמונה כבמקור.</w:t>
      </w:r>
    </w:p>
  </w:footnote>
  <w:footnote w:id="2316">
    <w:p w14:paraId="45A43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“אוצר החסידים”, ברוקלין – עמ׳ תכה.</w:t>
      </w:r>
    </w:p>
  </w:footnote>
  <w:footnote w:id="2317">
    <w:p w14:paraId="48C26F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318">
    <w:p w14:paraId="662FB6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יק״א</w:t>
      </w:r>
      <w:proofErr w:type="spellEnd"/>
      <w:r>
        <w:rPr>
          <w:sz w:val="20"/>
          <w:szCs w:val="20"/>
          <w:rtl/>
        </w:rPr>
        <w:t xml:space="preserve"> – ראשי תיבות של “החברה להתיישבות יהודית”, שהקים הברון הירש </w:t>
      </w:r>
      <w:proofErr w:type="spellStart"/>
      <w:r>
        <w:rPr>
          <w:sz w:val="20"/>
          <w:szCs w:val="20"/>
          <w:rtl/>
        </w:rPr>
        <w:t>בתרנ״א</w:t>
      </w:r>
      <w:proofErr w:type="spellEnd"/>
      <w:r>
        <w:rPr>
          <w:sz w:val="20"/>
          <w:szCs w:val="20"/>
          <w:rtl/>
        </w:rPr>
        <w:t xml:space="preserve"> לשם יישוב יהודים בחוות ברוסיה ובמקומות אחרים בעולם. לימים הרחיבה את פעילותה להכשרה מקצועית, להקמת אגודות שיתופיות ולסיוע להגירה.</w:t>
      </w:r>
    </w:p>
  </w:footnote>
  <w:footnote w:id="2319">
    <w:p w14:paraId="4F73DD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שתוספת זו באה מיוזמתו של ר׳ חיים </w:t>
      </w:r>
      <w:proofErr w:type="spellStart"/>
      <w:r>
        <w:rPr>
          <w:sz w:val="20"/>
          <w:szCs w:val="20"/>
          <w:rtl/>
        </w:rPr>
        <w:t>סולובייצ׳יק</w:t>
      </w:r>
      <w:proofErr w:type="spellEnd"/>
      <w:r>
        <w:rPr>
          <w:sz w:val="20"/>
          <w:szCs w:val="20"/>
          <w:rtl/>
        </w:rPr>
        <w:t>, שהיה רגיש במיוחד לבעיות בריאות ודאג להן, כפי שמסופר בפרק 5, הפסקה השישית של נספח ב.</w:t>
      </w:r>
    </w:p>
  </w:footnote>
  <w:footnote w:id="2320">
    <w:p w14:paraId="2AFD0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ב“ספר</w:t>
      </w:r>
      <w:proofErr w:type="spellEnd"/>
      <w:r>
        <w:rPr>
          <w:sz w:val="20"/>
          <w:szCs w:val="20"/>
          <w:rtl/>
        </w:rPr>
        <w:t xml:space="preserve"> התולדות”, הביוגרפיה של ר׳ </w:t>
      </w:r>
      <w:proofErr w:type="spellStart"/>
      <w:r>
        <w:rPr>
          <w:sz w:val="20"/>
          <w:szCs w:val="20"/>
          <w:rtl/>
        </w:rPr>
        <w:t>שלום־בער</w:t>
      </w:r>
      <w:proofErr w:type="spellEnd"/>
      <w:r>
        <w:rPr>
          <w:sz w:val="20"/>
          <w:szCs w:val="20"/>
          <w:rtl/>
        </w:rPr>
        <w:t xml:space="preserve"> מאת הרב אברהם חנוך </w:t>
      </w:r>
      <w:proofErr w:type="spellStart"/>
      <w:r>
        <w:rPr>
          <w:sz w:val="20"/>
          <w:szCs w:val="20"/>
          <w:rtl/>
        </w:rPr>
        <w:t>גליצנשטיין</w:t>
      </w:r>
      <w:proofErr w:type="spellEnd"/>
      <w:r>
        <w:rPr>
          <w:sz w:val="20"/>
          <w:szCs w:val="20"/>
          <w:rtl/>
        </w:rPr>
        <w:t xml:space="preserve"> (“אוצר החסידים”, כפר חב״ד), הושמטו המילים “במשך עשרות שנים” (שהודגשו לעיל), מפני שר׳ </w:t>
      </w:r>
      <w:proofErr w:type="spellStart"/>
      <w:r>
        <w:rPr>
          <w:sz w:val="20"/>
          <w:szCs w:val="20"/>
          <w:rtl/>
        </w:rPr>
        <w:t>יוסף־יצחק</w:t>
      </w:r>
      <w:proofErr w:type="spellEnd"/>
      <w:r>
        <w:rPr>
          <w:sz w:val="20"/>
          <w:szCs w:val="20"/>
          <w:rtl/>
        </w:rPr>
        <w:t xml:space="preserve"> השתמש בהן רק כדי למתוח ביקורת על מתנגדי מאמרו של סגל.</w:t>
      </w:r>
    </w:p>
  </w:footnote>
  <w:footnote w:id="2321">
    <w:p w14:paraId="484174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pr_f_2169 \h </w:instrText>
      </w:r>
      <w:r>
        <w:rPr>
          <w:sz w:val="20"/>
          <w:szCs w:val="20"/>
          <w:rtl/>
        </w:rPr>
      </w:r>
      <w:r>
        <w:rPr>
          <w:sz w:val="20"/>
          <w:szCs w:val="20"/>
          <w:rtl/>
        </w:rPr>
        <w:fldChar w:fldCharType="separate"/>
      </w:r>
      <w:r w:rsidR="007923E9">
        <w:rPr>
          <w:sz w:val="20"/>
          <w:szCs w:val="20"/>
          <w:rtl/>
        </w:rPr>
        <w:t>1215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שהוא ר׳ אהרן קוטלר.</w:t>
      </w:r>
    </w:p>
  </w:footnote>
  <w:footnote w:id="2322">
    <w:p w14:paraId="122285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7 באוקטובר 1996.</w:t>
      </w:r>
    </w:p>
  </w:footnote>
  <w:footnote w:id="2323">
    <w:p w14:paraId="5171AF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דודו של המרואיין, ר׳ רפאל </w:t>
      </w:r>
      <w:proofErr w:type="spellStart"/>
      <w:r>
        <w:rPr>
          <w:sz w:val="20"/>
          <w:szCs w:val="20"/>
          <w:rtl/>
        </w:rPr>
        <w:t>סולובייצ׳יק</w:t>
      </w:r>
      <w:proofErr w:type="spellEnd"/>
      <w:r>
        <w:rPr>
          <w:sz w:val="20"/>
          <w:szCs w:val="20"/>
          <w:rtl/>
        </w:rPr>
        <w:t>, סיפר אותו פעם לי.</w:t>
      </w:r>
    </w:p>
  </w:footnote>
  <w:footnote w:id="2324">
    <w:p w14:paraId="1162D3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יב</w:t>
      </w:r>
      <w:proofErr w:type="spellEnd"/>
      <w:r>
        <w:rPr>
          <w:sz w:val="20"/>
          <w:szCs w:val="20"/>
          <w:rtl/>
        </w:rPr>
        <w:t xml:space="preserve"> לעיל בעניין זה.</w:t>
      </w:r>
    </w:p>
  </w:footnote>
  <w:footnote w:id="2325">
    <w:p w14:paraId="17471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ב“תורת</w:t>
      </w:r>
      <w:proofErr w:type="spellEnd"/>
      <w:r>
        <w:rPr>
          <w:sz w:val="20"/>
          <w:szCs w:val="20"/>
          <w:rtl/>
        </w:rPr>
        <w:t xml:space="preserve"> חיים”, עמ׳ </w:t>
      </w:r>
      <w:proofErr w:type="spellStart"/>
      <w:r>
        <w:rPr>
          <w:sz w:val="20"/>
          <w:szCs w:val="20"/>
          <w:rtl/>
        </w:rPr>
        <w:t>קלז</w:t>
      </w:r>
      <w:proofErr w:type="spellEnd"/>
      <w:r>
        <w:rPr>
          <w:sz w:val="20"/>
          <w:szCs w:val="20"/>
          <w:rtl/>
        </w:rPr>
        <w:t xml:space="preserve">, מסופר שר׳ חיים השתמש במשל גם בהזדמנות אחרת, כשאגודת ישראל והמזרחי פרסמו שתיהן מחאה נגד חילול השבת בארץ ישראל. איני בקי במציאות הפוליטית של אותה תקופה, ולכן אני יכול רק לצטט </w:t>
      </w:r>
      <w:proofErr w:type="spellStart"/>
      <w:r>
        <w:rPr>
          <w:sz w:val="20"/>
          <w:szCs w:val="20"/>
          <w:rtl/>
        </w:rPr>
        <w:t>מ“תורת</w:t>
      </w:r>
      <w:proofErr w:type="spellEnd"/>
      <w:r>
        <w:rPr>
          <w:sz w:val="20"/>
          <w:szCs w:val="20"/>
          <w:rtl/>
        </w:rPr>
        <w:t xml:space="preserve"> חיים” שאת המזרחי דימה ר׳ חיים לחתול “מפני שלפעמים הוא רוצה שיהיה חילול שבת בחוגים מסוימים, כדי שיוכל להתנפל עליהם ולהילחם בהם...” אולם ייתכן </w:t>
      </w:r>
      <w:proofErr w:type="spellStart"/>
      <w:r>
        <w:rPr>
          <w:sz w:val="20"/>
          <w:szCs w:val="20"/>
          <w:rtl/>
        </w:rPr>
        <w:t>ש“תורת</w:t>
      </w:r>
      <w:proofErr w:type="spellEnd"/>
      <w:r>
        <w:rPr>
          <w:sz w:val="20"/>
          <w:szCs w:val="20"/>
          <w:rtl/>
        </w:rPr>
        <w:t xml:space="preserve"> חיים” החליף בין שתי המפלגות שלפני מלחמת העולם הראשונה.</w:t>
      </w:r>
    </w:p>
  </w:footnote>
  <w:footnote w:id="2326">
    <w:p w14:paraId="1C7956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באוקטובר 1996.</w:t>
      </w:r>
    </w:p>
  </w:footnote>
  <w:footnote w:id="2327">
    <w:p w14:paraId="75EA8F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“הראשון לשושלת </w:t>
      </w:r>
      <w:proofErr w:type="spellStart"/>
      <w:r>
        <w:rPr>
          <w:sz w:val="20"/>
          <w:szCs w:val="20"/>
          <w:rtl/>
        </w:rPr>
        <w:t>בריסק</w:t>
      </w:r>
      <w:proofErr w:type="spellEnd"/>
      <w:r>
        <w:rPr>
          <w:sz w:val="20"/>
          <w:szCs w:val="20"/>
          <w:rtl/>
        </w:rPr>
        <w:t xml:space="preserve">”, עמ׳ 101, אומר שחותנו של חותנו של ר׳ יוסף־דב היה “מקושר </w:t>
      </w:r>
      <w:proofErr w:type="spellStart"/>
      <w:r>
        <w:rPr>
          <w:sz w:val="20"/>
          <w:szCs w:val="20"/>
          <w:rtl/>
        </w:rPr>
        <w:t>לר</w:t>
      </w:r>
      <w:proofErr w:type="spellEnd"/>
      <w:r>
        <w:rPr>
          <w:sz w:val="20"/>
          <w:szCs w:val="20"/>
          <w:rtl/>
        </w:rPr>
        <w:t xml:space="preserve">׳ מרדכי </w:t>
      </w:r>
      <w:proofErr w:type="spellStart"/>
      <w:r>
        <w:rPr>
          <w:sz w:val="20"/>
          <w:szCs w:val="20"/>
          <w:rtl/>
        </w:rPr>
        <w:t>מלכוביץ</w:t>
      </w:r>
      <w:proofErr w:type="spellEnd"/>
      <w:r>
        <w:rPr>
          <w:sz w:val="20"/>
          <w:szCs w:val="20"/>
          <w:rtl/>
        </w:rPr>
        <w:t xml:space="preserve">׳”. ב־5 בנובמבר 2001 מסר לי ר׳ </w:t>
      </w:r>
      <w:proofErr w:type="spellStart"/>
      <w:r>
        <w:rPr>
          <w:sz w:val="20"/>
          <w:szCs w:val="20"/>
          <w:rtl/>
        </w:rPr>
        <w:t>בעריש</w:t>
      </w:r>
      <w:proofErr w:type="spellEnd"/>
      <w:r>
        <w:rPr>
          <w:sz w:val="20"/>
          <w:szCs w:val="20"/>
          <w:rtl/>
        </w:rPr>
        <w:t xml:space="preserve"> שפירא שחותנו של ר׳ יוסף־דב – </w:t>
      </w:r>
      <w:proofErr w:type="spellStart"/>
      <w:r>
        <w:rPr>
          <w:sz w:val="20"/>
          <w:szCs w:val="20"/>
          <w:rtl/>
        </w:rPr>
        <w:t>ב“הראשון</w:t>
      </w:r>
      <w:proofErr w:type="spellEnd"/>
      <w:r>
        <w:rPr>
          <w:sz w:val="20"/>
          <w:szCs w:val="20"/>
          <w:rtl/>
        </w:rPr>
        <w:t xml:space="preserve"> לשושלת </w:t>
      </w:r>
      <w:proofErr w:type="spellStart"/>
      <w:r>
        <w:rPr>
          <w:sz w:val="20"/>
          <w:szCs w:val="20"/>
          <w:rtl/>
        </w:rPr>
        <w:t>בריסק</w:t>
      </w:r>
      <w:proofErr w:type="spellEnd"/>
      <w:r>
        <w:rPr>
          <w:sz w:val="20"/>
          <w:szCs w:val="20"/>
          <w:rtl/>
        </w:rPr>
        <w:t xml:space="preserve">” הוא מזוהה כר׳ יצחק עפרון </w:t>
      </w:r>
      <w:proofErr w:type="spellStart"/>
      <w:r>
        <w:rPr>
          <w:sz w:val="20"/>
          <w:szCs w:val="20"/>
          <w:rtl/>
        </w:rPr>
        <w:t>מוולוז׳ין</w:t>
      </w:r>
      <w:proofErr w:type="spellEnd"/>
      <w:r>
        <w:rPr>
          <w:sz w:val="20"/>
          <w:szCs w:val="20"/>
          <w:rtl/>
        </w:rPr>
        <w:t xml:space="preserve"> – היה חסיד של האדמו״ר הראשון </w:t>
      </w:r>
      <w:proofErr w:type="spellStart"/>
      <w:r>
        <w:rPr>
          <w:sz w:val="20"/>
          <w:szCs w:val="20"/>
          <w:rtl/>
        </w:rPr>
        <w:t>מקוידנוב</w:t>
      </w:r>
      <w:proofErr w:type="spellEnd"/>
      <w:r>
        <w:rPr>
          <w:sz w:val="20"/>
          <w:szCs w:val="20"/>
          <w:rtl/>
        </w:rPr>
        <w:t xml:space="preserve">, ר׳ </w:t>
      </w:r>
      <w:proofErr w:type="spellStart"/>
      <w:r>
        <w:rPr>
          <w:sz w:val="20"/>
          <w:szCs w:val="20"/>
          <w:rtl/>
        </w:rPr>
        <w:t>שלמה־חיים</w:t>
      </w:r>
      <w:proofErr w:type="spellEnd"/>
      <w:r>
        <w:rPr>
          <w:sz w:val="20"/>
          <w:szCs w:val="20"/>
          <w:rtl/>
        </w:rPr>
        <w:t xml:space="preserve"> </w:t>
      </w:r>
      <w:proofErr w:type="spellStart"/>
      <w:r>
        <w:rPr>
          <w:sz w:val="20"/>
          <w:szCs w:val="20"/>
          <w:rtl/>
        </w:rPr>
        <w:t>פרלוב</w:t>
      </w:r>
      <w:proofErr w:type="spellEnd"/>
      <w:r>
        <w:rPr>
          <w:sz w:val="20"/>
          <w:szCs w:val="20"/>
          <w:rtl/>
        </w:rPr>
        <w:t xml:space="preserve">, נכדו של האדמו״ר </w:t>
      </w:r>
      <w:proofErr w:type="spellStart"/>
      <w:r>
        <w:rPr>
          <w:sz w:val="20"/>
          <w:szCs w:val="20"/>
          <w:rtl/>
        </w:rPr>
        <w:t>מלכוביץ</w:t>
      </w:r>
      <w:proofErr w:type="spellEnd"/>
      <w:r>
        <w:rPr>
          <w:sz w:val="20"/>
          <w:szCs w:val="20"/>
          <w:rtl/>
        </w:rPr>
        <w:t>׳.</w:t>
      </w:r>
    </w:p>
    <w:p w14:paraId="42A13432" w14:textId="77777777" w:rsidR="00AB3647" w:rsidRDefault="00000000">
      <w:pPr>
        <w:spacing w:after="0" w:before="0"/>
        <w:jc w:val="both"/>
      </w:pPr>
      <w:r>
        <w:rPr>
          <w:sz w:val="20"/>
          <w:szCs w:val="20"/>
          <w:rtl/>
        </w:rPr>
        <w:t xml:space="preserve">ר׳ </w:t>
      </w:r>
      <w:proofErr w:type="spellStart"/>
      <w:r>
        <w:rPr>
          <w:sz w:val="20"/>
          <w:szCs w:val="20"/>
          <w:rtl/>
        </w:rPr>
        <w:t>בעריש</w:t>
      </w:r>
      <w:proofErr w:type="spellEnd"/>
      <w:r>
        <w:rPr>
          <w:sz w:val="20"/>
          <w:szCs w:val="20"/>
          <w:rtl/>
        </w:rPr>
        <w:t xml:space="preserve"> סיפר מעשה ששמע מר׳ </w:t>
      </w:r>
      <w:proofErr w:type="spellStart"/>
      <w:r>
        <w:rPr>
          <w:sz w:val="20"/>
          <w:szCs w:val="20"/>
          <w:rtl/>
        </w:rPr>
        <w:t>מנחם־נחום</w:t>
      </w:r>
      <w:proofErr w:type="spellEnd"/>
      <w:r>
        <w:rPr>
          <w:sz w:val="20"/>
          <w:szCs w:val="20"/>
          <w:rtl/>
        </w:rPr>
        <w:t xml:space="preserve"> </w:t>
      </w:r>
      <w:proofErr w:type="spellStart"/>
      <w:r>
        <w:rPr>
          <w:sz w:val="20"/>
          <w:szCs w:val="20"/>
          <w:rtl/>
        </w:rPr>
        <w:t>רבינוביץ</w:t>
      </w:r>
      <w:proofErr w:type="spellEnd"/>
      <w:r>
        <w:rPr>
          <w:sz w:val="20"/>
          <w:szCs w:val="20"/>
          <w:rtl/>
        </w:rPr>
        <w:t xml:space="preserve">, חתנו של ר׳ יוסף </w:t>
      </w:r>
      <w:proofErr w:type="spellStart"/>
      <w:r>
        <w:rPr>
          <w:sz w:val="20"/>
          <w:szCs w:val="20"/>
          <w:rtl/>
        </w:rPr>
        <w:t>פרלוב</w:t>
      </w:r>
      <w:proofErr w:type="spellEnd"/>
      <w:r>
        <w:rPr>
          <w:sz w:val="20"/>
          <w:szCs w:val="20"/>
          <w:rtl/>
        </w:rPr>
        <w:t xml:space="preserve">, האדמו״ר </w:t>
      </w:r>
      <w:proofErr w:type="spellStart"/>
      <w:r>
        <w:rPr>
          <w:sz w:val="20"/>
          <w:szCs w:val="20"/>
          <w:rtl/>
        </w:rPr>
        <w:t>מקוידנוב</w:t>
      </w:r>
      <w:proofErr w:type="spellEnd"/>
      <w:r>
        <w:rPr>
          <w:sz w:val="20"/>
          <w:szCs w:val="20"/>
          <w:rtl/>
        </w:rPr>
        <w:t xml:space="preserve"> שנפטר במינסק בחנוכה תרע״ו (ראה פרק 5, הפסקה השלישית של נספח ב). באותו זמן ביקש ר׳ </w:t>
      </w:r>
      <w:proofErr w:type="spellStart"/>
      <w:r>
        <w:rPr>
          <w:sz w:val="20"/>
          <w:szCs w:val="20"/>
          <w:rtl/>
        </w:rPr>
        <w:t>מנחם־נחום</w:t>
      </w:r>
      <w:proofErr w:type="spellEnd"/>
      <w:r>
        <w:rPr>
          <w:sz w:val="20"/>
          <w:szCs w:val="20"/>
          <w:rtl/>
        </w:rPr>
        <w:t xml:space="preserve">, שנולד </w:t>
      </w:r>
      <w:proofErr w:type="spellStart"/>
      <w:r>
        <w:rPr>
          <w:sz w:val="20"/>
          <w:szCs w:val="20"/>
          <w:rtl/>
        </w:rPr>
        <w:t>בתרמ״ז</w:t>
      </w:r>
      <w:proofErr w:type="spellEnd"/>
      <w:r>
        <w:rPr>
          <w:sz w:val="20"/>
          <w:szCs w:val="20"/>
          <w:rtl/>
        </w:rPr>
        <w:t xml:space="preserve">, לקבל סמיכות מגדולים שגלו לעיר מחמת המלחמה. כשבא אל ר׳ חיים </w:t>
      </w:r>
      <w:proofErr w:type="spellStart"/>
      <w:r>
        <w:rPr>
          <w:sz w:val="20"/>
          <w:szCs w:val="20"/>
          <w:rtl/>
        </w:rPr>
        <w:t>סולובייצ׳יק</w:t>
      </w:r>
      <w:proofErr w:type="spellEnd"/>
      <w:r>
        <w:rPr>
          <w:sz w:val="20"/>
          <w:szCs w:val="20"/>
          <w:rtl/>
        </w:rPr>
        <w:t xml:space="preserve"> ונשאל כיצד קיבל אותו רב מסוים, השיב: “בקרירות, מפני שאני חסיד והוא אינו חסיד.” שאל ר׳ חיים: “אם כן, מדוע באת אליי?” השיב: “מפני שאני רואה גם בך חסיד”, והחל לספר מעשה שנמסר במשפחתו ושאירע בימי ר׳ </w:t>
      </w:r>
      <w:proofErr w:type="spellStart"/>
      <w:r>
        <w:rPr>
          <w:sz w:val="20"/>
          <w:szCs w:val="20"/>
          <w:rtl/>
        </w:rPr>
        <w:t>שלמה־חיים</w:t>
      </w:r>
      <w:proofErr w:type="spellEnd"/>
      <w:r>
        <w:rPr>
          <w:sz w:val="20"/>
          <w:szCs w:val="20"/>
          <w:rtl/>
        </w:rPr>
        <w:t>.</w:t>
      </w:r>
    </w:p>
    <w:p w14:paraId="3D5C309D" w14:textId="77777777" w:rsidR="00AB3647" w:rsidRDefault="00000000">
      <w:pPr>
        <w:spacing w:after="0" w:before="0"/>
        <w:jc w:val="both"/>
      </w:pPr>
      <w:r>
        <w:rPr>
          <w:sz w:val="20"/>
          <w:szCs w:val="20"/>
          <w:rtl/>
        </w:rPr>
        <w:t xml:space="preserve">במסעותיו היה האדמו״ר מתארח בדרך כלל אצל סבו של ר׳ חיים, חותנו של ר׳ יוסף־דב. פעם אחת אמר החסיד שלא יוכל לקבל את האדמו״ר, מפני שיש ילד חולה בבית. השיב האדמו״ר: “אדרבה, קבל אותי עכשיו ותהיה כאברהם אבינו, מופת הכנסת האורחים, ותזכה לאבן הטובה שהייתה תלויה בצווארו של אבינו ושכל הרואה אותה נרפא [בבא </w:t>
      </w:r>
      <w:proofErr w:type="spellStart"/>
      <w:r>
        <w:rPr>
          <w:sz w:val="20"/>
          <w:szCs w:val="20"/>
          <w:rtl/>
        </w:rPr>
        <w:t>בתרא</w:t>
      </w:r>
      <w:proofErr w:type="spellEnd"/>
      <w:r>
        <w:rPr>
          <w:sz w:val="20"/>
          <w:szCs w:val="20"/>
          <w:rtl/>
        </w:rPr>
        <w:t xml:space="preserve"> ט״ז ע״ב].” אז קיבל אותו החסיד בסבר פנים יפות, והילד הבריא. ר׳ </w:t>
      </w:r>
      <w:proofErr w:type="spellStart"/>
      <w:r>
        <w:rPr>
          <w:sz w:val="20"/>
          <w:szCs w:val="20"/>
          <w:rtl/>
        </w:rPr>
        <w:t>מנחם־נחום</w:t>
      </w:r>
      <w:proofErr w:type="spellEnd"/>
      <w:r>
        <w:rPr>
          <w:sz w:val="20"/>
          <w:szCs w:val="20"/>
          <w:rtl/>
        </w:rPr>
        <w:t xml:space="preserve"> סיים: “אתה, ר׳ חיים, היית אותו ילד”, ור׳ חיים השיב: “כן, אמת הדבר!” אחר כך ביקש ר׳ חיים מבנו ר׳ יצחק־זאב לכתוב את הסמיכה, וחתם עליה. היא מתוארכת ט״ו בשבט תרע״ו, ומצולמת במבוא </w:t>
      </w:r>
      <w:proofErr w:type="spellStart"/>
      <w:r>
        <w:rPr>
          <w:sz w:val="20"/>
          <w:szCs w:val="20"/>
          <w:rtl/>
        </w:rPr>
        <w:t>ל“מחשבת</w:t>
      </w:r>
      <w:proofErr w:type="spellEnd"/>
      <w:r>
        <w:rPr>
          <w:sz w:val="20"/>
          <w:szCs w:val="20"/>
          <w:rtl/>
        </w:rPr>
        <w:t xml:space="preserve"> נחום” (מכון שפתי צדיקים, ירושלים, תשמ״ח).</w:t>
      </w:r>
    </w:p>
    <w:p w14:paraId="14C1D7B2" w14:textId="77777777" w:rsidR="00AB3647" w:rsidRDefault="00000000">
      <w:pPr>
        <w:spacing w:after="0" w:before="0"/>
        <w:jc w:val="both"/>
      </w:pPr>
      <w:r>
        <w:rPr>
          <w:sz w:val="20"/>
          <w:szCs w:val="20"/>
          <w:rtl/>
        </w:rPr>
        <w:t xml:space="preserve">כשסיפר ר׳ </w:t>
      </w:r>
      <w:proofErr w:type="spellStart"/>
      <w:r>
        <w:rPr>
          <w:sz w:val="20"/>
          <w:szCs w:val="20"/>
          <w:rtl/>
        </w:rPr>
        <w:t>בעריש</w:t>
      </w:r>
      <w:proofErr w:type="spellEnd"/>
      <w:r>
        <w:rPr>
          <w:sz w:val="20"/>
          <w:szCs w:val="20"/>
          <w:rtl/>
        </w:rPr>
        <w:t xml:space="preserve"> מעשה זה </w:t>
      </w:r>
      <w:proofErr w:type="spellStart"/>
      <w:r>
        <w:rPr>
          <w:sz w:val="20"/>
          <w:szCs w:val="20"/>
          <w:rtl/>
        </w:rPr>
        <w:t>לר</w:t>
      </w:r>
      <w:proofErr w:type="spellEnd"/>
      <w:r>
        <w:rPr>
          <w:sz w:val="20"/>
          <w:szCs w:val="20"/>
          <w:rtl/>
        </w:rPr>
        <w:t xml:space="preserve">׳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סיפר לו הלה כנגדו את המעשה הבא: האדמו״ר של העיירה </w:t>
      </w:r>
      <w:proofErr w:type="spellStart"/>
      <w:r>
        <w:rPr>
          <w:sz w:val="20"/>
          <w:szCs w:val="20"/>
          <w:rtl/>
        </w:rPr>
        <w:t>קוכנוב</w:t>
      </w:r>
      <w:proofErr w:type="spellEnd"/>
      <w:r>
        <w:rPr>
          <w:sz w:val="20"/>
          <w:szCs w:val="20"/>
          <w:rtl/>
        </w:rPr>
        <w:t xml:space="preserve"> נפטר, ותושביה החליטו להיות חסידים של האדמו״ר שימצא להם רמז בתורה. ר׳ </w:t>
      </w:r>
      <w:proofErr w:type="spellStart"/>
      <w:r>
        <w:rPr>
          <w:sz w:val="20"/>
          <w:szCs w:val="20"/>
          <w:rtl/>
        </w:rPr>
        <w:t>שלמה־חיים</w:t>
      </w:r>
      <w:proofErr w:type="spellEnd"/>
      <w:r>
        <w:rPr>
          <w:sz w:val="20"/>
          <w:szCs w:val="20"/>
          <w:rtl/>
        </w:rPr>
        <w:t xml:space="preserve"> בא ואמר שראשי התיבות של בראשית מח, ט, “קחם נא אלי ואברכם”, יוצרים את המילה “</w:t>
      </w:r>
      <w:proofErr w:type="spellStart"/>
      <w:r>
        <w:rPr>
          <w:sz w:val="20"/>
          <w:szCs w:val="20"/>
          <w:rtl/>
        </w:rPr>
        <w:t>קוכנוב</w:t>
      </w:r>
      <w:proofErr w:type="spellEnd"/>
      <w:r>
        <w:rPr>
          <w:sz w:val="20"/>
          <w:szCs w:val="20"/>
          <w:rtl/>
        </w:rPr>
        <w:t xml:space="preserve">”, והם נעשו חסידי </w:t>
      </w:r>
      <w:proofErr w:type="spellStart"/>
      <w:r>
        <w:rPr>
          <w:sz w:val="20"/>
          <w:szCs w:val="20"/>
          <w:rtl/>
        </w:rPr>
        <w:t>קוידנוב</w:t>
      </w:r>
      <w:proofErr w:type="spellEnd"/>
      <w:r>
        <w:rPr>
          <w:sz w:val="20"/>
          <w:szCs w:val="20"/>
          <w:rtl/>
        </w:rPr>
        <w:t>.</w:t>
      </w:r>
    </w:p>
  </w:footnote>
  <w:footnote w:id="2328">
    <w:p w14:paraId="6B7C87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202.</w:t>
      </w:r>
    </w:p>
  </w:footnote>
  <w:footnote w:id="2329">
    <w:p w14:paraId="235E90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שיתוף הפעולה ההדוק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מנחם־מנדל</w:t>
      </w:r>
      <w:proofErr w:type="spellEnd"/>
      <w:r>
        <w:rPr>
          <w:sz w:val="20"/>
          <w:szCs w:val="20"/>
          <w:rtl/>
        </w:rPr>
        <w:t xml:space="preserve"> נזכר בפרק 2, הפסקה העשרים וחמש של נספח א.</w:t>
      </w:r>
    </w:p>
  </w:footnote>
  <w:footnote w:id="2330">
    <w:p w14:paraId="7DE5D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w:t>
      </w:r>
      <w:proofErr w:type="spellStart"/>
      <w:r>
        <w:rPr>
          <w:sz w:val="20"/>
          <w:szCs w:val="20"/>
          <w:rtl/>
        </w:rPr>
        <w:t>יט</w:t>
      </w:r>
      <w:proofErr w:type="spellEnd"/>
      <w:r>
        <w:rPr>
          <w:sz w:val="20"/>
          <w:szCs w:val="20"/>
          <w:rtl/>
        </w:rPr>
        <w:t>, ח.</w:t>
      </w:r>
    </w:p>
  </w:footnote>
  <w:footnote w:id="2331">
    <w:p w14:paraId="74C684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2332">
    <w:p w14:paraId="7EC89D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הערה 72 – עמ׳ 305–306.</w:t>
      </w:r>
    </w:p>
  </w:footnote>
  <w:footnote w:id="2333">
    <w:p w14:paraId="713C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ארחות</w:t>
      </w:r>
      <w:proofErr w:type="spellEnd"/>
      <w:r>
        <w:rPr>
          <w:sz w:val="20"/>
          <w:szCs w:val="20"/>
          <w:rtl/>
        </w:rPr>
        <w:t xml:space="preserve"> חסידיך” טועה כשהוא מציין את שני החכמים הללו כדמויות שר׳ </w:t>
      </w:r>
      <w:proofErr w:type="spellStart"/>
      <w:r>
        <w:rPr>
          <w:sz w:val="20"/>
          <w:szCs w:val="20"/>
          <w:rtl/>
        </w:rPr>
        <w:t xml:space="preserve">יוסף־דב</w:t>
      </w:r>
      <w:proofErr w:type="spellEnd"/>
      <w:r>
        <w:rPr>
          <w:sz w:val="20"/>
          <w:szCs w:val="20"/>
          <w:rtl/>
        </w:rPr>
        <w:t xml:space="preserve"> מצא דמיון בינן לבין ר׳ אהרן. “אש בנשמתו” מאת עמוס בונים (הוצאת </w:t>
      </w:r>
      <w:proofErr w:type="spellStart"/>
      <w:r>
        <w:rPr>
          <w:sz w:val="20"/>
          <w:szCs w:val="20"/>
          <w:rtl/>
        </w:rPr>
        <w:t>פלדהיים</w:t>
      </w:r>
      <w:proofErr w:type="spellEnd"/>
      <w:r>
        <w:rPr>
          <w:sz w:val="20"/>
          <w:szCs w:val="20"/>
          <w:rtl/>
        </w:rPr>
        <w:t xml:space="preserve">, ירושלים / ניו יורק, 1989), עמ׳ 365–373, מצטט את נאומו המלא של ר׳ </w:t>
      </w:r>
      <w:proofErr w:type="spellStart"/>
      <w:r>
        <w:rPr>
          <w:sz w:val="20"/>
          <w:szCs w:val="20"/>
          <w:rtl/>
        </w:rPr>
        <w:t xml:space="preserve">יוסף־דב</w:t>
      </w:r>
      <w:proofErr w:type="spellEnd"/>
      <w:r>
        <w:rPr>
          <w:sz w:val="20"/>
          <w:szCs w:val="20"/>
          <w:rtl/>
        </w:rPr>
        <w:t xml:space="preserve">, שנישא במלון </w:t>
      </w:r>
      <w:proofErr w:type="spellStart"/>
      <w:r>
        <w:rPr>
          <w:sz w:val="20"/>
          <w:szCs w:val="20"/>
          <w:rtl/>
        </w:rPr>
        <w:t>ריברסייד</w:t>
      </w:r>
      <w:proofErr w:type="spellEnd"/>
      <w:r>
        <w:rPr>
          <w:sz w:val="20"/>
          <w:szCs w:val="20"/>
          <w:rtl/>
        </w:rPr>
        <w:t xml:space="preserve"> פלאזה בניו יורק בכ״ז בטבת תשט״ז והוקלט. שני הגדולים שהזכיר היו סבו של הנואם,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בריסקער</w:t>
      </w:r>
      <w:proofErr w:type="spellEnd"/>
      <w:r>
        <w:rPr>
          <w:sz w:val="20"/>
          <w:szCs w:val="20"/>
          <w:rtl/>
        </w:rPr>
        <w:t xml:space="preserve">”, </w:t>
      </w:r>
      <w:proofErr w:type="spellStart"/>
      <w:r>
        <w:rPr>
          <w:sz w:val="20"/>
          <w:szCs w:val="20"/>
          <w:rtl/>
        </w:rPr>
        <w:t>והחתם־סופר</w:t>
      </w:r>
      <w:proofErr w:type="spellEnd"/>
      <w:r>
        <w:rPr>
          <w:sz w:val="20"/>
          <w:szCs w:val="20"/>
          <w:rtl/>
        </w:rPr>
        <w:t xml:space="preserve"> – שניהם מן המאה הקודמת, ולא מדור או שניים קודם לכן, כר׳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ור׳ חיים </w:t>
      </w:r>
      <w:proofErr w:type="spellStart"/>
      <w:r>
        <w:rPr>
          <w:sz w:val="20"/>
          <w:szCs w:val="20"/>
          <w:rtl/>
        </w:rPr>
        <w:t>סולובייצ׳יק</w:t>
      </w:r>
      <w:proofErr w:type="spellEnd"/>
      <w:r>
        <w:rPr>
          <w:sz w:val="20"/>
          <w:szCs w:val="20"/>
          <w:rtl/>
        </w:rPr>
        <w:t>.</w:t>
      </w:r>
    </w:p>
  </w:footnote>
  <w:footnote w:id="2334">
    <w:p w14:paraId="386D9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הערת השוליים הקודמת.</w:t>
      </w:r>
    </w:p>
  </w:footnote>
  <w:footnote w:id="2335">
    <w:p w14:paraId="5FF3BB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4.</w:t>
      </w:r>
    </w:p>
  </w:footnote>
  <w:footnote w:id="2336">
    <w:p w14:paraId="245F4A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אחייניתם של השניים הראשונים ובתו של השלישי,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בריאיון ב־19 בינואר 1987 (ראה פרק 2, הערה 84).</w:t>
      </w:r>
    </w:p>
  </w:footnote>
  <w:footnote w:id="2337">
    <w:p w14:paraId="76A75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אמר זאת בריאיון מוקלט עם ר׳ </w:t>
      </w:r>
      <w:proofErr w:type="spellStart"/>
      <w:r>
        <w:rPr>
          <w:sz w:val="20"/>
          <w:szCs w:val="20"/>
          <w:rtl/>
        </w:rPr>
        <w:t>ליפא</w:t>
      </w:r>
      <w:proofErr w:type="spellEnd"/>
      <w:r>
        <w:rPr>
          <w:sz w:val="20"/>
          <w:szCs w:val="20"/>
          <w:rtl/>
        </w:rPr>
        <w:t xml:space="preserve"> </w:t>
      </w:r>
      <w:proofErr w:type="spellStart"/>
      <w:r>
        <w:rPr>
          <w:sz w:val="20"/>
          <w:szCs w:val="20"/>
          <w:rtl/>
        </w:rPr>
        <w:t>גלדווערט</w:t>
      </w:r>
      <w:proofErr w:type="spellEnd"/>
      <w:r>
        <w:rPr>
          <w:sz w:val="20"/>
          <w:szCs w:val="20"/>
          <w:rtl/>
        </w:rPr>
        <w:t xml:space="preserve">, ב־14 וב־28 בדצמבר 1981, לצורך מאמר על תנועת המוסר. המאמר ראה אור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xml:space="preserve"> במלאת מאה שנה לפטירת ר׳ ישראל </w:t>
      </w:r>
      <w:proofErr w:type="spellStart"/>
      <w:r>
        <w:rPr>
          <w:sz w:val="20"/>
          <w:szCs w:val="20"/>
          <w:rtl/>
        </w:rPr>
        <w:t>סלנטר</w:t>
      </w:r>
      <w:proofErr w:type="spellEnd"/>
      <w:r>
        <w:rPr>
          <w:sz w:val="20"/>
          <w:szCs w:val="20"/>
          <w:rtl/>
        </w:rPr>
        <w:t xml:space="preserve"> (אדר ב׳ תשמ״ד). השווה גם פרק 2, הפסקה השנייה של נספח א, ופרק 4, סוף נספח </w:t>
      </w:r>
      <w:proofErr w:type="spellStart"/>
      <w:r>
        <w:rPr>
          <w:sz w:val="20"/>
          <w:szCs w:val="20"/>
          <w:rtl/>
        </w:rPr>
        <w:t>יג</w:t>
      </w:r>
      <w:proofErr w:type="spellEnd"/>
      <w:r>
        <w:rPr>
          <w:sz w:val="20"/>
          <w:szCs w:val="20"/>
          <w:rtl/>
        </w:rPr>
        <w:t>, על דעת רבנו בעניין דאגתו של ר׳ ישראל לנוכח ההשכלה.</w:t>
      </w:r>
    </w:p>
  </w:footnote>
  <w:footnote w:id="2338">
    <w:p w14:paraId="0BF036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ח לעיל – חלק ב, עמ׳ </w:t>
      </w:r>
      <w:proofErr w:type="spellStart"/>
      <w:r>
        <w:rPr>
          <w:sz w:val="20"/>
          <w:szCs w:val="20"/>
          <w:rtl/>
        </w:rPr>
        <w:t>קעא</w:t>
      </w:r>
      <w:proofErr w:type="spellEnd"/>
      <w:r>
        <w:rPr>
          <w:sz w:val="20"/>
          <w:szCs w:val="20"/>
          <w:rtl/>
        </w:rPr>
        <w:t>.</w:t>
      </w:r>
    </w:p>
  </w:footnote>
  <w:footnote w:id="2339">
    <w:p w14:paraId="196335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210.</w:t>
      </w:r>
    </w:p>
  </w:footnote>
  <w:footnote w:id="2340">
    <w:p w14:paraId="0DFDD3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211–212.</w:t>
      </w:r>
    </w:p>
  </w:footnote>
  <w:footnote w:id="2341">
    <w:p w14:paraId="5DB80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377–378.</w:t>
      </w:r>
    </w:p>
  </w:footnote>
  <w:footnote w:id="2342">
    <w:p w14:paraId="78E9EE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יצא לאור בשנת תרי״ז. ראה גם סוף נספח </w:t>
      </w:r>
      <w:proofErr w:type="spellStart"/>
      <w:r>
        <w:rPr>
          <w:sz w:val="20"/>
          <w:szCs w:val="20"/>
          <w:rtl/>
        </w:rPr>
        <w:t>יב</w:t>
      </w:r>
      <w:proofErr w:type="spellEnd"/>
      <w:r>
        <w:rPr>
          <w:sz w:val="20"/>
          <w:szCs w:val="20"/>
          <w:rtl/>
        </w:rPr>
        <w:t xml:space="preserve"> לעיל.</w:t>
      </w:r>
    </w:p>
  </w:footnote>
  <w:footnote w:id="2343">
    <w:p w14:paraId="4160C4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אסף ופירש בן ציון דינור (מוסד ביאליק, ירושלים, תש״ל) – עמ׳ 22, מכתב 10 (והערה 10).</w:t>
      </w:r>
    </w:p>
  </w:footnote>
  <w:footnote w:id="2344">
    <w:p w14:paraId="386C8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345">
    <w:p w14:paraId="372FA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158–159.</w:t>
      </w:r>
    </w:p>
  </w:footnote>
  <w:footnote w:id="2346">
    <w:p w14:paraId="3B48F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341–342.</w:t>
      </w:r>
    </w:p>
  </w:footnote>
  <w:footnote w:id="2347">
    <w:p w14:paraId="7A0865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א, עמ׳ 228.</w:t>
      </w:r>
    </w:p>
  </w:footnote>
  <w:footnote w:id="2348">
    <w:p w14:paraId="2F2A7D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אינו בהקלטת הריאיון על תנועת המוסר, אלא נמסר לי מפי המראיין בעל פה ב־11 בינואר 1988.</w:t>
      </w:r>
    </w:p>
  </w:footnote>
  <w:footnote w:id="2349">
    <w:p w14:paraId="0C24F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21.</w:t>
      </w:r>
    </w:p>
  </w:footnote>
  <w:footnote w:id="2350">
    <w:p w14:paraId="012FEC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337–338.</w:t>
      </w:r>
    </w:p>
  </w:footnote>
  <w:footnote w:id="2351">
    <w:p w14:paraId="2680DA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14 לעיל – עמ׳ 100–101.</w:t>
      </w:r>
    </w:p>
  </w:footnote>
  <w:footnote w:id="2352">
    <w:p w14:paraId="385646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96.</w:t>
      </w:r>
    </w:p>
  </w:footnote>
  <w:footnote w:id="2353">
    <w:p w14:paraId="60D047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1, נספח א – עמ׳ 164.</w:t>
      </w:r>
    </w:p>
  </w:footnote>
  <w:footnote w:id="2354">
    <w:p w14:paraId="3162D5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ציון מקום, ישראל, 1963.</w:t>
      </w:r>
    </w:p>
  </w:footnote>
  <w:footnote w:id="2355">
    <w:p w14:paraId="37B43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להלן עוד על התנהגותו האדוקה של הרופא </w:t>
      </w:r>
      <w:proofErr w:type="spellStart"/>
      <w:r>
        <w:rPr>
          <w:sz w:val="20"/>
          <w:szCs w:val="20"/>
          <w:rtl/>
        </w:rPr>
        <w:t>בנובהרדוק</w:t>
      </w:r>
      <w:proofErr w:type="spellEnd"/>
      <w:r>
        <w:rPr>
          <w:sz w:val="20"/>
          <w:szCs w:val="20"/>
          <w:rtl/>
        </w:rPr>
        <w:t xml:space="preserve">, כפי שמסופר </w:t>
      </w:r>
      <w:proofErr w:type="spellStart"/>
      <w:r>
        <w:rPr>
          <w:sz w:val="20"/>
          <w:szCs w:val="20"/>
          <w:rtl/>
        </w:rPr>
        <w:t>ב“ספר</w:t>
      </w:r>
      <w:proofErr w:type="spellEnd"/>
      <w:r>
        <w:rPr>
          <w:sz w:val="20"/>
          <w:szCs w:val="20"/>
          <w:rtl/>
        </w:rPr>
        <w:t xml:space="preserve"> </w:t>
      </w:r>
      <w:proofErr w:type="spellStart"/>
      <w:r>
        <w:rPr>
          <w:sz w:val="20"/>
          <w:szCs w:val="20"/>
          <w:rtl/>
        </w:rPr>
        <w:t>הזכרונות</w:t>
      </w:r>
      <w:proofErr w:type="spellEnd"/>
      <w:r>
        <w:rPr>
          <w:sz w:val="20"/>
          <w:szCs w:val="20"/>
          <w:rtl/>
        </w:rPr>
        <w:t>”.</w:t>
      </w:r>
    </w:p>
  </w:footnote>
  <w:footnote w:id="2356">
    <w:p w14:paraId="18242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לשון נקייה לטומאה המוחלטת השורה בבית הקברות לפי ההלכה.</w:t>
      </w:r>
    </w:p>
  </w:footnote>
  <w:footnote w:id="2357">
    <w:p w14:paraId="3F07E2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שני.</w:t>
      </w:r>
    </w:p>
  </w:footnote>
  <w:footnote w:id="2358">
    <w:p w14:paraId="2C9379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זכרון</w:t>
      </w:r>
      <w:proofErr w:type="spellEnd"/>
      <w:r>
        <w:rPr>
          <w:sz w:val="20"/>
          <w:szCs w:val="20"/>
          <w:rtl/>
        </w:rPr>
        <w:t xml:space="preserve"> יעקב” (נספח א לעיל), כרך א, עמ׳ 38, “סופרים יודעי דבר החליטו שאחרי כן החלה ברוסיה תקופה חדשה”. השווה שם, כרך ב, עמ׳ 2–10, לפרטים על השינויים שחלו ברוסיה לאחר מלחמת קרים.</w:t>
      </w:r>
    </w:p>
  </w:footnote>
  <w:footnote w:id="2359">
    <w:p w14:paraId="30B97B8D"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אוסטריה לא צידדה ברוסיה במלחמת קרים אלא הפעילה עליה לחץ (ראה הערת המתרגם להלן, בנספח זה). גם השם “</w:t>
      </w:r>
      <w:proofErr w:type="spellStart"/>
      <w:r>
        <w:rPr>
          <w:sz w:val="20"/>
          <w:szCs w:val="20"/>
          <w:rtl/>
        </w:rPr>
        <w:t>אוסטרו־הונגריה</w:t>
      </w:r>
      <w:proofErr w:type="spellEnd"/>
      <w:r>
        <w:rPr>
          <w:sz w:val="20"/>
          <w:szCs w:val="20"/>
          <w:rtl/>
        </w:rPr>
        <w:t>” אינו מתאים לתקופה, כי המדינה נקראה כך רק משנת תרכ״ז.</w:t>
      </w:r>
    </w:p>
  </w:footnote>
  <w:footnote w:id="2360">
    <w:p w14:paraId="56C58C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אינו מגלה – או לא שמע – לאיזה תחום ביקש האח להיכנס.</w:t>
      </w:r>
    </w:p>
  </w:footnote>
  <w:footnote w:id="2361">
    <w:p w14:paraId="73B60C0C"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אוסטריה לא הייתה בת בריתה של רוסיה במלחמת קרים אלא נותרה </w:t>
      </w:r>
      <w:proofErr w:type="spellStart"/>
      <w:r>
        <w:rPr>
          <w:sz w:val="20"/>
          <w:szCs w:val="20"/>
          <w:rtl/>
        </w:rPr>
        <w:t>נייטרלית</w:t>
      </w:r>
      <w:proofErr w:type="spellEnd"/>
      <w:r>
        <w:rPr>
          <w:sz w:val="20"/>
          <w:szCs w:val="20"/>
          <w:rtl/>
        </w:rPr>
        <w:t xml:space="preserve">, והפעילה עליה לחץ: </w:t>
      </w:r>
      <w:proofErr w:type="spellStart"/>
      <w:r>
        <w:rPr>
          <w:sz w:val="20"/>
          <w:szCs w:val="20"/>
          <w:rtl/>
        </w:rPr>
        <w:t>בתרי״ד</w:t>
      </w:r>
      <w:proofErr w:type="spellEnd"/>
      <w:r>
        <w:rPr>
          <w:sz w:val="20"/>
          <w:szCs w:val="20"/>
          <w:rtl/>
        </w:rPr>
        <w:t xml:space="preserve"> דרשה את נסיגתה מנסיכויות הדנובה, ובכסלו תרט״ו חתמה על ברית עם בריטניה וצרפת.</w:t>
      </w:r>
    </w:p>
  </w:footnote>
  <w:footnote w:id="2362">
    <w:p w14:paraId="29F928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79.</w:t>
      </w:r>
    </w:p>
  </w:footnote>
  <w:footnote w:id="2363">
    <w:p w14:paraId="56878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הערת שוליים שם.</w:t>
      </w:r>
    </w:p>
  </w:footnote>
  <w:footnote w:id="2364">
    <w:p w14:paraId="297D64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178.</w:t>
      </w:r>
    </w:p>
  </w:footnote>
  <w:footnote w:id="2365">
    <w:p w14:paraId="4A7AC9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שמע את הסיפור בגרסת “ספר </w:t>
      </w:r>
      <w:proofErr w:type="spellStart"/>
      <w:r>
        <w:rPr>
          <w:sz w:val="20"/>
          <w:szCs w:val="20"/>
          <w:rtl/>
        </w:rPr>
        <w:t>הזכרונות</w:t>
      </w:r>
      <w:proofErr w:type="spellEnd"/>
      <w:r>
        <w:rPr>
          <w:sz w:val="20"/>
          <w:szCs w:val="20"/>
          <w:rtl/>
        </w:rPr>
        <w:t xml:space="preserve">” שהובאה לעיל, דהיינו </w:t>
      </w:r>
      <w:proofErr w:type="spellStart"/>
      <w:r>
        <w:rPr>
          <w:sz w:val="20"/>
          <w:szCs w:val="20"/>
          <w:rtl/>
        </w:rPr>
        <w:t>שה“אח</w:t>
      </w:r>
      <w:proofErr w:type="spellEnd"/>
      <w:r>
        <w:rPr>
          <w:sz w:val="20"/>
          <w:szCs w:val="20"/>
          <w:rtl/>
        </w:rPr>
        <w:t xml:space="preserve">” שהתפקר נשאר בקלקלתו, וגם שמע שהאח היה קשור </w:t>
      </w:r>
      <w:proofErr w:type="spellStart"/>
      <w:r>
        <w:rPr>
          <w:sz w:val="20"/>
          <w:szCs w:val="20"/>
          <w:rtl/>
        </w:rPr>
        <w:t>לר</w:t>
      </w:r>
      <w:proofErr w:type="spellEnd"/>
      <w:r>
        <w:rPr>
          <w:sz w:val="20"/>
          <w:szCs w:val="20"/>
          <w:rtl/>
        </w:rPr>
        <w:t xml:space="preserve">׳ ישראל </w:t>
      </w:r>
      <w:proofErr w:type="spellStart"/>
      <w:r>
        <w:rPr>
          <w:sz w:val="20"/>
          <w:szCs w:val="20"/>
          <w:rtl/>
        </w:rPr>
        <w:t>מסלנט</w:t>
      </w:r>
      <w:proofErr w:type="spellEnd"/>
      <w:r>
        <w:rPr>
          <w:sz w:val="20"/>
          <w:szCs w:val="20"/>
          <w:rtl/>
        </w:rPr>
        <w:t>.</w:t>
      </w:r>
    </w:p>
  </w:footnote>
  <w:footnote w:id="2366">
    <w:p w14:paraId="6384C7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ארחות</w:t>
      </w:r>
      <w:proofErr w:type="spellEnd"/>
      <w:r>
        <w:rPr>
          <w:sz w:val="20"/>
          <w:szCs w:val="20"/>
          <w:rtl/>
        </w:rPr>
        <w:t xml:space="preserve"> חסידיך” (הפסקה השישית של נספח </w:t>
      </w:r>
      <w:proofErr w:type="spellStart"/>
      <w:r>
        <w:rPr>
          <w:sz w:val="20"/>
          <w:szCs w:val="20"/>
          <w:rtl/>
        </w:rPr>
        <w:t>יח</w:t>
      </w:r>
      <w:proofErr w:type="spellEnd"/>
      <w:r>
        <w:rPr>
          <w:sz w:val="20"/>
          <w:szCs w:val="20"/>
          <w:rtl/>
        </w:rPr>
        <w:t xml:space="preserve"> לעיל), עמ׳ 268–270, מפי ר׳ שלום </w:t>
      </w:r>
      <w:proofErr w:type="spellStart"/>
      <w:r>
        <w:rPr>
          <w:sz w:val="20"/>
          <w:szCs w:val="20"/>
          <w:rtl/>
        </w:rPr>
        <w:t>שבדרון</w:t>
      </w:r>
      <w:proofErr w:type="spellEnd"/>
      <w:r>
        <w:rPr>
          <w:sz w:val="20"/>
          <w:szCs w:val="20"/>
          <w:rtl/>
        </w:rPr>
        <w:t>.</w:t>
      </w:r>
    </w:p>
  </w:footnote>
  <w:footnote w:id="2367">
    <w:p w14:paraId="77F2A2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על הלקח המעניין העולה מן המעשה.</w:t>
      </w:r>
    </w:p>
  </w:footnote>
  <w:footnote w:id="2368">
    <w:p w14:paraId="3251C3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שמואל ב יא, כה.</w:t>
      </w:r>
    </w:p>
  </w:footnote>
  <w:footnote w:id="2369">
    <w:p w14:paraId="05C011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עמ׳ קיא, אות קיד, במדור שכותרתו “שיחות חפץ חיים” (רשם </w:t>
      </w:r>
      <w:proofErr w:type="spellStart"/>
      <w:r>
        <w:rPr>
          <w:sz w:val="20"/>
          <w:szCs w:val="20"/>
          <w:rtl/>
        </w:rPr>
        <w:t>מענדיל</w:t>
      </w:r>
      <w:proofErr w:type="spellEnd"/>
      <w:r>
        <w:rPr>
          <w:sz w:val="20"/>
          <w:szCs w:val="20"/>
          <w:rtl/>
        </w:rPr>
        <w:t xml:space="preserve"> </w:t>
      </w:r>
      <w:proofErr w:type="spellStart"/>
      <w:r>
        <w:rPr>
          <w:sz w:val="20"/>
          <w:szCs w:val="20"/>
          <w:rtl/>
        </w:rPr>
        <w:t>וואלקעניקער</w:t>
      </w:r>
      <w:proofErr w:type="spellEnd"/>
      <w:r>
        <w:rPr>
          <w:sz w:val="20"/>
          <w:szCs w:val="20"/>
          <w:rtl/>
        </w:rPr>
        <w:t>).</w:t>
      </w:r>
    </w:p>
  </w:footnote>
  <w:footnote w:id="2370">
    <w:p w14:paraId="345B6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התרגום המילולי של מילים אלה הוא ‘לייפות’.</w:t>
      </w:r>
    </w:p>
  </w:footnote>
  <w:footnote w:id="2371">
    <w:p w14:paraId="310843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הייתה זו </w:t>
      </w:r>
      <w:proofErr w:type="spellStart"/>
      <w:r>
        <w:rPr>
          <w:sz w:val="20"/>
          <w:szCs w:val="20"/>
          <w:rtl/>
        </w:rPr>
        <w:t>נחמה־ליבה</w:t>
      </w:r>
      <w:proofErr w:type="spellEnd"/>
      <w:r>
        <w:rPr>
          <w:sz w:val="20"/>
          <w:szCs w:val="20"/>
          <w:rtl/>
        </w:rPr>
        <w:t xml:space="preserve">, שנישאה </w:t>
      </w:r>
      <w:proofErr w:type="spellStart"/>
      <w:r>
        <w:rPr>
          <w:sz w:val="20"/>
          <w:szCs w:val="20"/>
          <w:rtl/>
        </w:rPr>
        <w:t>לר</w:t>
      </w:r>
      <w:proofErr w:type="spellEnd"/>
      <w:r>
        <w:rPr>
          <w:sz w:val="20"/>
          <w:szCs w:val="20"/>
          <w:rtl/>
        </w:rPr>
        <w:t xml:space="preserve">׳ הירש </w:t>
      </w:r>
      <w:proofErr w:type="spellStart"/>
      <w:r>
        <w:rPr>
          <w:sz w:val="20"/>
          <w:szCs w:val="20"/>
          <w:rtl/>
        </w:rPr>
        <w:t>ברוידא</w:t>
      </w:r>
      <w:proofErr w:type="spellEnd"/>
      <w:r>
        <w:rPr>
          <w:sz w:val="20"/>
          <w:szCs w:val="20"/>
          <w:rtl/>
        </w:rPr>
        <w:t xml:space="preserve">. אבי הכיר אותה מתקופת שהותו בת חצי השנה </w:t>
      </w:r>
      <w:proofErr w:type="spellStart"/>
      <w:r>
        <w:rPr>
          <w:sz w:val="20"/>
          <w:szCs w:val="20"/>
          <w:rtl/>
        </w:rPr>
        <w:t>בקלם</w:t>
      </w:r>
      <w:proofErr w:type="spellEnd"/>
      <w:r>
        <w:rPr>
          <w:sz w:val="20"/>
          <w:szCs w:val="20"/>
          <w:rtl/>
        </w:rPr>
        <w:t>. ראה כרך 2.</w:t>
      </w:r>
    </w:p>
  </w:footnote>
  <w:footnote w:id="2372">
    <w:p w14:paraId="25251A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להלן.</w:t>
      </w:r>
    </w:p>
  </w:footnote>
  <w:footnote w:id="2373">
    <w:p w14:paraId="1B6BEA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30–35, 43 ו־46.</w:t>
      </w:r>
    </w:p>
  </w:footnote>
  <w:footnote w:id="2374">
    <w:p w14:paraId="16096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42–47.</w:t>
      </w:r>
    </w:p>
  </w:footnote>
  <w:footnote w:id="2375">
    <w:p w14:paraId="01F68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המילים המצוטטות הן חלק מפסוק אחד בבראשית מט, טו, שהמחבר החיל על מהלך שלם של מאורעות; לפיכך כינה בדרך משל את שלוש המילים המקראיות ‘פרשה’.</w:t>
      </w:r>
    </w:p>
  </w:footnote>
  <w:footnote w:id="2376">
    <w:p w14:paraId="6AFC81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w:t>
      </w:r>
    </w:p>
  </w:footnote>
  <w:footnote w:id="2377">
    <w:p w14:paraId="740EE4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56, שאכן היה יכול לצאת מגדרו בכעס.</w:t>
      </w:r>
    </w:p>
  </w:footnote>
  <w:footnote w:id="2378">
    <w:p w14:paraId="7A5D7A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2379">
    <w:p w14:paraId="6F415D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נספח ו.</w:t>
      </w:r>
    </w:p>
  </w:footnote>
  <w:footnote w:id="2380">
    <w:p w14:paraId="399C2A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381">
    <w:p w14:paraId="372945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5.1.</w:t>
      </w:r>
    </w:p>
  </w:footnote>
  <w:footnote w:id="2382">
    <w:p w14:paraId="454FF4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w:t>
      </w:r>
    </w:p>
  </w:footnote>
  <w:footnote w:id="2383">
    <w:p w14:paraId="276EC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84">
    <w:p w14:paraId="5FA02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5, סוף הערה 53.</w:t>
      </w:r>
    </w:p>
  </w:footnote>
  <w:footnote w:id="2385">
    <w:p w14:paraId="1F4126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ר׳ ישראל </w:t>
      </w:r>
      <w:proofErr w:type="spellStart"/>
      <w:r>
        <w:rPr>
          <w:sz w:val="20"/>
          <w:szCs w:val="20"/>
          <w:rtl/>
        </w:rPr>
        <w:t>שורין</w:t>
      </w:r>
      <w:proofErr w:type="spellEnd"/>
      <w:r>
        <w:rPr>
          <w:sz w:val="20"/>
          <w:szCs w:val="20"/>
          <w:rtl/>
        </w:rPr>
        <w:t>, ריאיון ב־16 ביוני 2000.</w:t>
      </w:r>
    </w:p>
  </w:footnote>
  <w:footnote w:id="2386">
    <w:p w14:paraId="21609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w:t>
      </w:r>
    </w:p>
  </w:footnote>
  <w:footnote w:id="2387">
    <w:p w14:paraId="12088B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מעמ׳ 53 שם (עמ׳ </w:t>
      </w:r>
      <w:r>
        <w:rPr>
          <w:rStyle w:val="a5"/>
          <w:sz w:val="20"/>
          <w:szCs w:val="20"/>
          <w:vertAlign w:val="baseline"/>
          <w:rtl/>
        </w:rPr>
        <w:fldChar w:fldCharType="begin" w:dirty="true"/>
      </w:r>
      <w:r>
        <w:rPr>
          <w:rStyle w:val="a5"/>
          <w:sz w:val="20"/>
          <w:szCs w:val="20"/>
          <w:vertAlign w:val="baseline"/>
          <w:rtl/>
        </w:rPr>
        <w:instrText xml:space="preserve"> PAGEREF pr_f_2276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pr_f_2276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1322</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2388">
    <w:p w14:paraId="6CCAE9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ירחון ירושלמי המוקדש </w:t>
      </w:r>
      <w:proofErr w:type="spellStart"/>
      <w:r>
        <w:rPr>
          <w:sz w:val="20"/>
          <w:szCs w:val="20"/>
          <w:rtl/>
        </w:rPr>
        <w:t>ל“חידושי</w:t>
      </w:r>
      <w:proofErr w:type="spellEnd"/>
      <w:r>
        <w:rPr>
          <w:sz w:val="20"/>
          <w:szCs w:val="20"/>
          <w:rtl/>
        </w:rPr>
        <w:t xml:space="preserve"> תורה הלכה ואגדה וספרות תורנית”.</w:t>
      </w:r>
    </w:p>
  </w:footnote>
  <w:footnote w:id="2389">
    <w:p w14:paraId="3F776D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כט</w:t>
      </w:r>
      <w:proofErr w:type="spellEnd"/>
      <w:r>
        <w:rPr>
          <w:sz w:val="20"/>
          <w:szCs w:val="20"/>
          <w:rtl/>
        </w:rPr>
        <w:t>–ל.</w:t>
      </w:r>
    </w:p>
  </w:footnote>
  <w:footnote w:id="2390">
    <w:p w14:paraId="63BA6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“אדם ונוף בקיבוץ” (הוצאת הקיבוץ הארצי השומר הצעיר, תשכ״ח), מאת אליהו פורת, אחד משני בניו של הרב </w:t>
      </w:r>
      <w:proofErr w:type="spellStart"/>
      <w:r>
        <w:rPr>
          <w:sz w:val="20"/>
          <w:szCs w:val="20"/>
          <w:rtl/>
        </w:rPr>
        <w:t>יוסלביץ</w:t>
      </w:r>
      <w:proofErr w:type="spellEnd"/>
      <w:r>
        <w:rPr>
          <w:sz w:val="20"/>
          <w:szCs w:val="20"/>
          <w:rtl/>
        </w:rPr>
        <w:t>, עמ׳ 11–20. השווה גם נספח לד להלן: לאחר מלחמת העולם הראשונה “רבים מהרבנים המתנגדים הודיעו בפירוש שהם חוזרים מדעתם”.</w:t>
      </w:r>
    </w:p>
  </w:footnote>
  <w:footnote w:id="2391">
    <w:p w14:paraId="00DC3C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ז לעיל – עמ׳ לה.</w:t>
      </w:r>
    </w:p>
  </w:footnote>
  <w:footnote w:id="2392">
    <w:p w14:paraId="1C107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והיה מן התלמידים הראשונים של הסבא.</w:t>
      </w:r>
    </w:p>
  </w:footnote>
  <w:footnote w:id="2393">
    <w:p w14:paraId="3EEFE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לט–מ ולה.</w:t>
      </w:r>
    </w:p>
  </w:footnote>
  <w:footnote w:id="2394">
    <w:p w14:paraId="14BBC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בנובמבר 1996.</w:t>
      </w:r>
    </w:p>
  </w:footnote>
  <w:footnote w:id="2395">
    <w:p w14:paraId="0225CE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ו לעיל.</w:t>
      </w:r>
    </w:p>
  </w:footnote>
  <w:footnote w:id="2396">
    <w:p w14:paraId="7F760A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ברכות ח ע״א. השווה גם פרק 4, סוף הערה 20.</w:t>
      </w:r>
    </w:p>
  </w:footnote>
  <w:footnote w:id="2397">
    <w:p w14:paraId="6E6F5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117.</w:t>
      </w:r>
    </w:p>
  </w:footnote>
  <w:footnote w:id="2398">
    <w:p w14:paraId="40F288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תאריכים אלה מובאים בתולדותיו שבפתח כרך כתביו, “מנחת יוסף”, שהוציא חתנו, הרב דוד ליפשיץ, בירושלים </w:t>
      </w:r>
      <w:proofErr w:type="spellStart"/>
      <w:r>
        <w:rPr>
          <w:sz w:val="20"/>
          <w:szCs w:val="20"/>
          <w:rtl/>
        </w:rPr>
        <w:t>בתשמ״ט</w:t>
      </w:r>
      <w:proofErr w:type="spellEnd"/>
      <w:r>
        <w:rPr>
          <w:sz w:val="20"/>
          <w:szCs w:val="20"/>
          <w:rtl/>
        </w:rPr>
        <w:t>.</w:t>
      </w:r>
    </w:p>
  </w:footnote>
  <w:footnote w:id="2399">
    <w:p w14:paraId="33585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24.</w:t>
      </w:r>
    </w:p>
  </w:footnote>
  <w:footnote w:id="2400">
    <w:p w14:paraId="5F01C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51.</w:t>
      </w:r>
    </w:p>
  </w:footnote>
  <w:footnote w:id="2401">
    <w:p w14:paraId="619BF7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בינואר 1992.</w:t>
      </w:r>
    </w:p>
  </w:footnote>
  <w:footnote w:id="2402">
    <w:p w14:paraId="376A95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ג לעיל – גיליון סיוון תש״ז.</w:t>
      </w:r>
    </w:p>
  </w:footnote>
  <w:footnote w:id="2403">
    <w:p w14:paraId="0EE970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מידע זה מסר לי ר׳ מאיר חדש – הערה 68 בפרק זה.</w:t>
      </w:r>
    </w:p>
  </w:footnote>
  <w:footnote w:id="2404">
    <w:p w14:paraId="2C997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בנובמבר 1995. ראה גם הערת שוליים </w:t>
      </w:r>
      <w:r>
        <w:rPr>
          <w:sz w:val="20"/>
          <w:szCs w:val="20"/>
          <w:rtl/>
        </w:rPr>
        <w:fldChar w:fldCharType="begin" w:dirty="true"/>
      </w:r>
      <w:r>
        <w:rPr>
          <w:sz w:val="20"/>
          <w:szCs w:val="20"/>
          <w:rtl/>
        </w:rPr>
        <w:instrText xml:space="preserve"> NOTEREF pr_f_1145 \h </w:instrText>
      </w:r>
      <w:r>
        <w:rPr>
          <w:sz w:val="20"/>
          <w:szCs w:val="20"/>
          <w:rtl/>
        </w:rPr>
      </w:r>
      <w:r>
        <w:rPr>
          <w:sz w:val="20"/>
          <w:szCs w:val="20"/>
          <w:rtl/>
        </w:rPr>
        <w:fldChar w:fldCharType="separate"/>
      </w:r>
      <w:r w:rsidR="007923E9">
        <w:rPr>
          <w:sz w:val="20"/>
          <w:szCs w:val="20"/>
          <w:rtl/>
        </w:rPr>
        <w:t>187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pr_f_1145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לעיל.</w:t>
      </w:r>
    </w:p>
  </w:footnote>
  <w:footnote w:id="2405">
    <w:p w14:paraId="162BD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61.</w:t>
      </w:r>
    </w:p>
  </w:footnote>
  <w:footnote w:id="2406">
    <w:p w14:paraId="2A04B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106. פרק 16 בספרו של כץ, “תנועת המוסר”, כרך ה, מוקדש </w:t>
      </w:r>
      <w:proofErr w:type="spellStart"/>
      <w:r>
        <w:rPr>
          <w:sz w:val="20"/>
          <w:szCs w:val="20"/>
          <w:rtl/>
        </w:rPr>
        <w:t>לר</w:t>
      </w:r>
      <w:proofErr w:type="spellEnd"/>
      <w:r>
        <w:rPr>
          <w:sz w:val="20"/>
          <w:szCs w:val="20"/>
          <w:rtl/>
        </w:rPr>
        <w:t>׳ אליעזר לופט.</w:t>
      </w:r>
    </w:p>
  </w:footnote>
  <w:footnote w:id="2407">
    <w:p w14:paraId="11BA2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למקרה דומה ראה הערת שוליים </w:t>
      </w:r>
      <w:r>
        <w:rPr>
          <w:sz w:val="20"/>
          <w:szCs w:val="20"/>
          <w:rtl/>
        </w:rPr>
        <w:fldChar w:fldCharType="begin" w:dirty="true"/>
      </w:r>
      <w:r>
        <w:rPr>
          <w:sz w:val="20"/>
          <w:szCs w:val="20"/>
          <w:rtl/>
        </w:rPr>
        <w:instrText xml:space="preserve"> NOTEREF pr_f_5045 \h </w:instrText>
      </w:r>
      <w:r>
        <w:rPr>
          <w:sz w:val="20"/>
          <w:szCs w:val="20"/>
          <w:rtl/>
        </w:rPr>
      </w:r>
      <w:r>
        <w:rPr>
          <w:sz w:val="20"/>
          <w:szCs w:val="20"/>
          <w:rtl/>
        </w:rPr>
        <w:fldChar w:fldCharType="separate"/>
      </w:r>
      <w:r w:rsidR="007923E9">
        <w:rPr>
          <w:sz w:val="20"/>
          <w:szCs w:val="20"/>
          <w:rtl/>
        </w:rPr>
        <w:t>699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pr_f_5045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2408">
    <w:p w14:paraId="2C7B2E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כרך 2, שבו מתואר כיצד הצטלבו דרכיהם של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ואבי פעמיים – במינסק, בדרך חזרה </w:t>
      </w:r>
      <w:proofErr w:type="spellStart"/>
      <w:r>
        <w:rPr>
          <w:sz w:val="20"/>
          <w:szCs w:val="20"/>
          <w:rtl/>
        </w:rPr>
        <w:t>מקרמנצ׳וג</w:t>
      </w:r>
      <w:proofErr w:type="spellEnd"/>
      <w:r>
        <w:rPr>
          <w:sz w:val="20"/>
          <w:szCs w:val="20"/>
          <w:rtl/>
        </w:rPr>
        <w:t xml:space="preserve">, ובעיר </w:t>
      </w:r>
      <w:proofErr w:type="spellStart"/>
      <w:r>
        <w:rPr>
          <w:sz w:val="20"/>
          <w:szCs w:val="20"/>
          <w:rtl/>
        </w:rPr>
        <w:t>יעזנה</w:t>
      </w:r>
      <w:proofErr w:type="spellEnd"/>
      <w:r>
        <w:rPr>
          <w:sz w:val="20"/>
          <w:szCs w:val="20"/>
          <w:rtl/>
        </w:rPr>
        <w:t xml:space="preserve">, שבה היה רבנו מועמד למלא את מקומו של ר׳ </w:t>
      </w:r>
      <w:proofErr w:type="spellStart"/>
      <w:r>
        <w:rPr>
          <w:sz w:val="20"/>
          <w:szCs w:val="20"/>
          <w:rtl/>
        </w:rPr>
        <w:t>ישראל־זיסל</w:t>
      </w:r>
      <w:proofErr w:type="spellEnd"/>
      <w:r>
        <w:rPr>
          <w:sz w:val="20"/>
          <w:szCs w:val="20"/>
          <w:rtl/>
        </w:rPr>
        <w:t xml:space="preserve"> כרב.</w:t>
      </w:r>
    </w:p>
  </w:footnote>
  <w:footnote w:id="2409">
    <w:p w14:paraId="0CC00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34–36.</w:t>
      </w:r>
    </w:p>
  </w:footnote>
  <w:footnote w:id="2410">
    <w:p w14:paraId="3E1BAA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411">
    <w:p w14:paraId="466D9A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49.</w:t>
      </w:r>
    </w:p>
  </w:footnote>
  <w:footnote w:id="2412">
    <w:p w14:paraId="75DCA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52.</w:t>
      </w:r>
    </w:p>
  </w:footnote>
  <w:footnote w:id="2413">
    <w:p w14:paraId="2E06F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414">
    <w:p w14:paraId="5BBBCE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54.</w:t>
      </w:r>
    </w:p>
  </w:footnote>
  <w:footnote w:id="2415">
    <w:p w14:paraId="4EFC8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122.</w:t>
      </w:r>
    </w:p>
  </w:footnote>
  <w:footnote w:id="2416">
    <w:p w14:paraId="4876D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53–54.</w:t>
      </w:r>
    </w:p>
  </w:footnote>
  <w:footnote w:id="2417">
    <w:p w14:paraId="125837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בנספח הקודם.</w:t>
      </w:r>
    </w:p>
  </w:footnote>
  <w:footnote w:id="2418">
    <w:p w14:paraId="5D601F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w:t>
      </w:r>
    </w:p>
  </w:footnote>
  <w:footnote w:id="2419">
    <w:p w14:paraId="4BB6FE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הערה 120 בפרק זה ופרק 4, הערה 96.</w:t>
      </w:r>
    </w:p>
  </w:footnote>
  <w:footnote w:id="2420">
    <w:p w14:paraId="4647AD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מכתב זה מצוטט בחלקו בפרק 4, הערה 55.</w:t>
      </w:r>
    </w:p>
  </w:footnote>
  <w:footnote w:id="2421">
    <w:p w14:paraId="46E3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נספח ז.</w:t>
      </w:r>
    </w:p>
  </w:footnote>
  <w:footnote w:id="2422">
    <w:p w14:paraId="2F4DC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ז לעיל – עמ׳ </w:t>
      </w:r>
      <w:proofErr w:type="spellStart"/>
      <w:r>
        <w:rPr>
          <w:sz w:val="20"/>
          <w:szCs w:val="20"/>
          <w:rtl/>
        </w:rPr>
        <w:t>קעז</w:t>
      </w:r>
      <w:proofErr w:type="spellEnd"/>
      <w:r>
        <w:rPr>
          <w:sz w:val="20"/>
          <w:szCs w:val="20"/>
          <w:rtl/>
        </w:rPr>
        <w:t>.</w:t>
      </w:r>
    </w:p>
  </w:footnote>
  <w:footnote w:id="2423">
    <w:p w14:paraId="55102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רמט</w:t>
      </w:r>
      <w:proofErr w:type="spellEnd"/>
      <w:r>
        <w:rPr>
          <w:sz w:val="20"/>
          <w:szCs w:val="20"/>
          <w:rtl/>
        </w:rPr>
        <w:t>.</w:t>
      </w:r>
    </w:p>
  </w:footnote>
  <w:footnote w:id="2424">
    <w:p w14:paraId="687E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עמ׳ יא </w:t>
      </w:r>
      <w:proofErr w:type="spellStart"/>
      <w:r>
        <w:rPr>
          <w:sz w:val="20"/>
          <w:szCs w:val="20"/>
          <w:rtl/>
        </w:rPr>
        <w:t>ב“קונטרס</w:t>
      </w:r>
      <w:proofErr w:type="spellEnd"/>
      <w:r>
        <w:rPr>
          <w:sz w:val="20"/>
          <w:szCs w:val="20"/>
          <w:rtl/>
        </w:rPr>
        <w:t xml:space="preserve"> האדם ביקר”, שמחברו לא נזכר אך ידוע שהוא ר׳ שלמה </w:t>
      </w:r>
      <w:proofErr w:type="spellStart"/>
      <w:r>
        <w:rPr>
          <w:sz w:val="20"/>
          <w:szCs w:val="20"/>
          <w:rtl/>
        </w:rPr>
        <w:t>וולבה</w:t>
      </w:r>
      <w:proofErr w:type="spellEnd"/>
      <w:r>
        <w:rPr>
          <w:sz w:val="20"/>
          <w:szCs w:val="20"/>
          <w:rtl/>
        </w:rPr>
        <w:t>, שיצא בהוצאת בית המוסר מיסודה של תנועת שוחרי מוסר, ירושלים עיה״ק, תשמ״ג.</w:t>
      </w:r>
    </w:p>
  </w:footnote>
  <w:footnote w:id="2425">
    <w:p w14:paraId="66FACF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2426">
    <w:p w14:paraId="3F0735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השלישית בנספח יד לעיל.</w:t>
      </w:r>
    </w:p>
  </w:footnote>
  <w:footnote w:id="2427">
    <w:p w14:paraId="129D36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כששמעתי דברים אלה, </w:t>
      </w:r>
      <w:proofErr w:type="spellStart"/>
      <w:r>
        <w:rPr>
          <w:sz w:val="20"/>
          <w:szCs w:val="20"/>
          <w:rtl/>
        </w:rPr>
        <w:t>העירותי</w:t>
      </w:r>
      <w:proofErr w:type="spellEnd"/>
      <w:r>
        <w:rPr>
          <w:sz w:val="20"/>
          <w:szCs w:val="20"/>
          <w:rtl/>
        </w:rPr>
        <w:t xml:space="preserve"> שהרב דב כץ, בהקדישו מחצית הכרך הרביעי של ספרו “תנועת המוסר” </w:t>
      </w:r>
      <w:proofErr w:type="spellStart"/>
      <w:r>
        <w:rPr>
          <w:sz w:val="20"/>
          <w:szCs w:val="20"/>
          <w:rtl/>
        </w:rPr>
        <w:t>לחפץ־חיים</w:t>
      </w:r>
      <w:proofErr w:type="spellEnd"/>
      <w:r>
        <w:rPr>
          <w:sz w:val="20"/>
          <w:szCs w:val="20"/>
          <w:rtl/>
        </w:rPr>
        <w:t xml:space="preserve">, ניסה “להפוך” בכוח את </w:t>
      </w:r>
      <w:proofErr w:type="spellStart"/>
      <w:r>
        <w:rPr>
          <w:sz w:val="20"/>
          <w:szCs w:val="20"/>
          <w:rtl/>
        </w:rPr>
        <w:t>החפץ־חיים</w:t>
      </w:r>
      <w:proofErr w:type="spellEnd"/>
      <w:r>
        <w:rPr>
          <w:sz w:val="20"/>
          <w:szCs w:val="20"/>
          <w:rtl/>
        </w:rPr>
        <w:t xml:space="preserve"> לבעל מוסר – והמרואיין הסכים. בהוספת שם נכבד זה לרשימת אישי המוסר, האדיר הרב כץ, התומך במוסר, את התנועה לדורות, במתכוון או שלא במתכוון.</w:t>
      </w:r>
    </w:p>
  </w:footnote>
  <w:footnote w:id="2428">
    <w:p w14:paraId="3445E6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55–56.</w:t>
      </w:r>
    </w:p>
  </w:footnote>
  <w:footnote w:id="2429">
    <w:p w14:paraId="78B05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29 לעיל.</w:t>
      </w:r>
    </w:p>
  </w:footnote>
  <w:footnote w:id="2430">
    <w:p w14:paraId="204FD4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פ״א מי״א.</w:t>
      </w:r>
    </w:p>
  </w:footnote>
  <w:footnote w:id="2431">
    <w:p w14:paraId="319689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י לעיל, בדבר ענייני לוויות בישיבת </w:t>
      </w:r>
      <w:proofErr w:type="spellStart"/>
      <w:r>
        <w:rPr>
          <w:sz w:val="20"/>
          <w:szCs w:val="20"/>
          <w:rtl/>
        </w:rPr>
        <w:t>סלבודקה</w:t>
      </w:r>
      <w:proofErr w:type="spellEnd"/>
      <w:r>
        <w:rPr>
          <w:sz w:val="20"/>
          <w:szCs w:val="20"/>
          <w:rtl/>
        </w:rPr>
        <w:t>.</w:t>
      </w:r>
    </w:p>
  </w:footnote>
  <w:footnote w:id="2432">
    <w:p w14:paraId="77225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באוקטובר 2000.</w:t>
      </w:r>
    </w:p>
  </w:footnote>
  <w:footnote w:id="2433">
    <w:p w14:paraId="7ADB7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לא היה בטוח מתי אירע הדבר: בתקופת כהונתו הראשונה של ר׳ ירוחם כמשגיח בישיבת </w:t>
      </w:r>
      <w:proofErr w:type="spellStart"/>
      <w:r>
        <w:rPr>
          <w:sz w:val="20"/>
          <w:szCs w:val="20"/>
          <w:rtl/>
        </w:rPr>
        <w:t>מיר</w:t>
      </w:r>
      <w:proofErr w:type="spellEnd"/>
      <w:r>
        <w:rPr>
          <w:sz w:val="20"/>
          <w:szCs w:val="20"/>
          <w:rtl/>
        </w:rPr>
        <w:t xml:space="preserve">, לאחר שעזב את </w:t>
      </w:r>
      <w:proofErr w:type="spellStart"/>
      <w:r>
        <w:rPr>
          <w:sz w:val="20"/>
          <w:szCs w:val="20"/>
          <w:rtl/>
        </w:rPr>
        <w:t>ראדין</w:t>
      </w:r>
      <w:proofErr w:type="spellEnd"/>
      <w:r>
        <w:rPr>
          <w:sz w:val="20"/>
          <w:szCs w:val="20"/>
          <w:rtl/>
        </w:rPr>
        <w:t xml:space="preserve"> – כלומר לפני מלחמת העולם הראשונה, כשכיהן ר׳ </w:t>
      </w:r>
      <w:proofErr w:type="spellStart"/>
      <w:r>
        <w:rPr>
          <w:sz w:val="20"/>
          <w:szCs w:val="20"/>
          <w:rtl/>
        </w:rPr>
        <w:t>אליהו־ברוך</w:t>
      </w:r>
      <w:proofErr w:type="spellEnd"/>
      <w:r>
        <w:rPr>
          <w:sz w:val="20"/>
          <w:szCs w:val="20"/>
          <w:rtl/>
        </w:rPr>
        <w:t xml:space="preserve"> קמאי כרבה של </w:t>
      </w:r>
      <w:proofErr w:type="spellStart"/>
      <w:r>
        <w:rPr>
          <w:sz w:val="20"/>
          <w:szCs w:val="20"/>
          <w:rtl/>
        </w:rPr>
        <w:t>מיר</w:t>
      </w:r>
      <w:proofErr w:type="spellEnd"/>
      <w:r>
        <w:rPr>
          <w:sz w:val="20"/>
          <w:szCs w:val="20"/>
          <w:rtl/>
        </w:rPr>
        <w:t xml:space="preserve"> – או בתקופת כהונתו השנייה של המשגיח, שהחלה </w:t>
      </w:r>
      <w:proofErr w:type="spellStart"/>
      <w:r>
        <w:rPr>
          <w:sz w:val="20"/>
          <w:szCs w:val="20"/>
          <w:rtl/>
        </w:rPr>
        <w:t>בתרפ״ג</w:t>
      </w:r>
      <w:proofErr w:type="spellEnd"/>
      <w:r>
        <w:rPr>
          <w:sz w:val="20"/>
          <w:szCs w:val="20"/>
          <w:rtl/>
        </w:rPr>
        <w:t xml:space="preserve"> או </w:t>
      </w:r>
      <w:proofErr w:type="spellStart"/>
      <w:r>
        <w:rPr>
          <w:sz w:val="20"/>
          <w:szCs w:val="20"/>
          <w:rtl/>
        </w:rPr>
        <w:t>בתרפ״ד</w:t>
      </w:r>
      <w:proofErr w:type="spellEnd"/>
      <w:r>
        <w:rPr>
          <w:sz w:val="20"/>
          <w:szCs w:val="20"/>
          <w:rtl/>
        </w:rPr>
        <w:t xml:space="preserve"> (ראה עמ׳ </w:t>
      </w:r>
      <w:r>
        <w:rPr>
          <w:sz w:val="20"/>
          <w:szCs w:val="20"/>
          <w:rtl/>
        </w:rPr>
        <w:fldChar w:fldCharType="begin" w:dirty="true"/>
      </w:r>
      <w:r>
        <w:rPr>
          <w:sz w:val="20"/>
          <w:szCs w:val="20"/>
          <w:rtl/>
        </w:rPr>
        <w:instrText xml:space="preserve"> PAGEREF pr_b_1310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כשכיהן ר׳ </w:t>
      </w:r>
      <w:proofErr w:type="spellStart"/>
      <w:r>
        <w:rPr>
          <w:sz w:val="20"/>
          <w:szCs w:val="20"/>
          <w:rtl/>
        </w:rPr>
        <w:t>אברהם־צבי</w:t>
      </w:r>
      <w:proofErr w:type="spellEnd"/>
      <w:r>
        <w:rPr>
          <w:sz w:val="20"/>
          <w:szCs w:val="20"/>
          <w:rtl/>
        </w:rPr>
        <w:t xml:space="preserve"> קמאי כרב.</w:t>
      </w:r>
    </w:p>
    <w:p w14:paraId="501C9A4A" w14:textId="77777777" w:rsidR="00AB3647" w:rsidRDefault="00000000">
      <w:pPr>
        <w:spacing w:after="0" w:before="0"/>
        <w:jc w:val="both"/>
      </w:pPr>
      <w:r>
        <w:rPr>
          <w:sz w:val="20"/>
          <w:szCs w:val="20"/>
          <w:rtl/>
        </w:rPr>
        <w:t xml:space="preserve">מבין שני הרבנים הנזכרים, ר׳ </w:t>
      </w:r>
      <w:proofErr w:type="spellStart"/>
      <w:r>
        <w:rPr>
          <w:sz w:val="20"/>
          <w:szCs w:val="20"/>
          <w:rtl/>
        </w:rPr>
        <w:t>אליהו־ברוך</w:t>
      </w:r>
      <w:proofErr w:type="spellEnd"/>
      <w:r>
        <w:rPr>
          <w:sz w:val="20"/>
          <w:szCs w:val="20"/>
          <w:rtl/>
        </w:rPr>
        <w:t xml:space="preserve"> היה פחות בקי במנהגי הישיבות. מצד שני, מפתיע שבתקופה שלפני המלחמה, כשמעמדם החברתי של הרבנים היה גבוה ממעמד ראשי הישיבות (השווה פרק 4, הפסקה הראשונה בנספח </w:t>
      </w:r>
      <w:proofErr w:type="spellStart"/>
      <w:r>
        <w:rPr>
          <w:sz w:val="20"/>
          <w:szCs w:val="20"/>
          <w:rtl/>
        </w:rPr>
        <w:t>יב</w:t>
      </w:r>
      <w:proofErr w:type="spellEnd"/>
      <w:r>
        <w:rPr>
          <w:sz w:val="20"/>
          <w:szCs w:val="20"/>
          <w:rtl/>
        </w:rPr>
        <w:t xml:space="preserve">), היו הישיבות עצמאיות דיין ליצור אמות מידה הלכתיות משלהן. כמו כן, ר׳ </w:t>
      </w:r>
      <w:proofErr w:type="spellStart"/>
      <w:r>
        <w:rPr>
          <w:sz w:val="20"/>
          <w:szCs w:val="20"/>
          <w:rtl/>
        </w:rPr>
        <w:t>אברהם־צבי</w:t>
      </w:r>
      <w:proofErr w:type="spellEnd"/>
      <w:r>
        <w:rPr>
          <w:sz w:val="20"/>
          <w:szCs w:val="20"/>
          <w:rtl/>
        </w:rPr>
        <w:t>, שהיה רב צעיר שנתמנה זה מקרוב, היה נוטה יותר לוותר בנקודה הלכתית מפני התעקשותו של ר׳ ירוחם.</w:t>
      </w:r>
    </w:p>
  </w:footnote>
  <w:footnote w:id="2434">
    <w:p w14:paraId="7457DD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באוקטובר 2000.</w:t>
      </w:r>
    </w:p>
  </w:footnote>
  <w:footnote w:id="2435">
    <w:p w14:paraId="69C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תרנ״ח ס״ב ובמשנה ברורה </w:t>
      </w:r>
      <w:proofErr w:type="spellStart"/>
      <w:r>
        <w:rPr>
          <w:sz w:val="20"/>
          <w:szCs w:val="20"/>
          <w:rtl/>
        </w:rPr>
        <w:t>ס״ק</w:t>
      </w:r>
      <w:proofErr w:type="spellEnd"/>
      <w:r>
        <w:rPr>
          <w:sz w:val="20"/>
          <w:szCs w:val="20"/>
          <w:rtl/>
        </w:rPr>
        <w:t xml:space="preserve"> ח: מבחינה הלכתית צרופה, הפוסקים מחשיבים אכילה לפני קיום מצוות היום לחמורה ביום טוב שני כמו ביום הראשון. אבי התכוון שהרב </w:t>
      </w:r>
      <w:proofErr w:type="spellStart"/>
      <w:r>
        <w:rPr>
          <w:sz w:val="20"/>
          <w:szCs w:val="20"/>
          <w:rtl/>
        </w:rPr>
        <w:t>הענקין</w:t>
      </w:r>
      <w:proofErr w:type="spellEnd"/>
      <w:r>
        <w:rPr>
          <w:sz w:val="20"/>
          <w:szCs w:val="20"/>
          <w:rtl/>
        </w:rPr>
        <w:t xml:space="preserve"> יתנגד פחות.</w:t>
      </w:r>
    </w:p>
  </w:footnote>
  <w:footnote w:id="2436">
    <w:p w14:paraId="75E489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קנח.</w:t>
      </w:r>
    </w:p>
  </w:footnote>
  <w:footnote w:id="2437">
    <w:p w14:paraId="5B7102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רז, מאמר מאת </w:t>
      </w:r>
      <w:proofErr w:type="spellStart"/>
      <w:r>
        <w:rPr>
          <w:sz w:val="20"/>
          <w:szCs w:val="20"/>
          <w:rtl/>
        </w:rPr>
        <w:t>א.י.ב</w:t>
      </w:r>
      <w:proofErr w:type="spellEnd"/>
      <w:r>
        <w:rPr>
          <w:sz w:val="20"/>
          <w:szCs w:val="20"/>
          <w:rtl/>
        </w:rPr>
        <w:t xml:space="preserve">. </w:t>
      </w:r>
      <w:proofErr w:type="spellStart"/>
      <w:r>
        <w:rPr>
          <w:sz w:val="20"/>
          <w:szCs w:val="20"/>
          <w:rtl/>
        </w:rPr>
        <w:t>אמטרמן</w:t>
      </w:r>
      <w:proofErr w:type="spellEnd"/>
      <w:r>
        <w:rPr>
          <w:sz w:val="20"/>
          <w:szCs w:val="20"/>
          <w:rtl/>
        </w:rPr>
        <w:t>. השווה גם פרק 5, סוף הפסקה הראשונה בנספח ו.</w:t>
      </w:r>
    </w:p>
  </w:footnote>
  <w:footnote w:id="2438">
    <w:p w14:paraId="196E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51 לעיל.</w:t>
      </w:r>
    </w:p>
  </w:footnote>
  <w:footnote w:id="2439">
    <w:p w14:paraId="426D1E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40 לעיל.</w:t>
      </w:r>
    </w:p>
  </w:footnote>
  <w:footnote w:id="2440">
    <w:p w14:paraId="6F48C4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הרביעית בנספח </w:t>
      </w:r>
      <w:proofErr w:type="spellStart"/>
      <w:r>
        <w:rPr>
          <w:sz w:val="20"/>
          <w:szCs w:val="20"/>
          <w:rtl/>
        </w:rPr>
        <w:t>יח</w:t>
      </w:r>
      <w:proofErr w:type="spellEnd"/>
      <w:r>
        <w:rPr>
          <w:sz w:val="20"/>
          <w:szCs w:val="20"/>
          <w:rtl/>
        </w:rPr>
        <w:t xml:space="preserve"> לעיל. ראה גם הערה 79 בפרק זה.</w:t>
      </w:r>
    </w:p>
  </w:footnote>
  <w:footnote w:id="2441">
    <w:p w14:paraId="55AD81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ביוני 1994.</w:t>
      </w:r>
    </w:p>
  </w:footnote>
  <w:footnote w:id="2442">
    <w:p w14:paraId="7C54B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289.</w:t>
      </w:r>
    </w:p>
  </w:footnote>
  <w:footnote w:id="2443">
    <w:p w14:paraId="589C4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ב־29 ביולי 1991. הוא אחיינו של ר׳ מרדכי </w:t>
      </w:r>
      <w:proofErr w:type="spellStart"/>
      <w:r>
        <w:rPr>
          <w:sz w:val="20"/>
          <w:szCs w:val="20"/>
          <w:rtl/>
        </w:rPr>
        <w:t>קרלינסקי</w:t>
      </w:r>
      <w:proofErr w:type="spellEnd"/>
      <w:r>
        <w:rPr>
          <w:sz w:val="20"/>
          <w:szCs w:val="20"/>
          <w:rtl/>
        </w:rPr>
        <w:t>, הנזכר בתחילת הפסקה השנייה בנספח זה.</w:t>
      </w:r>
    </w:p>
  </w:footnote>
  <w:footnote w:id="2444">
    <w:p w14:paraId="7F0EA9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נספח </w:t>
      </w:r>
      <w:proofErr w:type="spellStart"/>
      <w:r>
        <w:rPr>
          <w:sz w:val="20"/>
          <w:szCs w:val="20"/>
          <w:rtl/>
        </w:rPr>
        <w:t>יז</w:t>
      </w:r>
      <w:proofErr w:type="spellEnd"/>
      <w:r>
        <w:rPr>
          <w:sz w:val="20"/>
          <w:szCs w:val="20"/>
          <w:rtl/>
        </w:rPr>
        <w:t xml:space="preserve"> לעיל.</w:t>
      </w:r>
    </w:p>
  </w:footnote>
  <w:footnote w:id="2445">
    <w:p w14:paraId="7091DB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46">
    <w:p w14:paraId="269307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תחילת נספח לו להלן.</w:t>
      </w:r>
    </w:p>
  </w:footnote>
  <w:footnote w:id="2447">
    <w:p w14:paraId="71A5A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2448">
    <w:p w14:paraId="7B7F89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אליהו סיים: “אבל אני לא שיניתי את שלי.” השווה גם פרק 5, נספח א להלן, וכרך 2 בדבר התעניינותו של אבי במעבר </w:t>
      </w:r>
      <w:proofErr w:type="spellStart"/>
      <w:r>
        <w:rPr>
          <w:sz w:val="20"/>
          <w:szCs w:val="20"/>
          <w:rtl/>
        </w:rPr>
        <w:t>לטלז</w:t>
      </w:r>
      <w:proofErr w:type="spellEnd"/>
      <w:r>
        <w:rPr>
          <w:sz w:val="20"/>
          <w:szCs w:val="20"/>
          <w:rtl/>
        </w:rPr>
        <w:t>.</w:t>
      </w:r>
    </w:p>
  </w:footnote>
  <w:footnote w:id="2449">
    <w:p w14:paraId="66C7C9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בנובמבר 1987.</w:t>
      </w:r>
    </w:p>
  </w:footnote>
  <w:footnote w:id="2450">
    <w:p w14:paraId="199887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הוסיפה: “הם היו כמו אחים. וכשעמדתי לעזוב את ליטא ואמרתי לאבי שארוסי מטיל ספק בקשר הזה, הוציא ממגירתו צרור מכתבים של הרב קפלן, מסרם לי ואמר: ‘הראי אותם </w:t>
      </w:r>
      <w:proofErr w:type="spellStart"/>
      <w:r>
        <w:rPr>
          <w:sz w:val="20"/>
          <w:szCs w:val="20"/>
          <w:rtl/>
        </w:rPr>
        <w:t>לר</w:t>
      </w:r>
      <w:proofErr w:type="spellEnd"/>
      <w:r>
        <w:rPr>
          <w:sz w:val="20"/>
          <w:szCs w:val="20"/>
          <w:rtl/>
        </w:rPr>
        <w:t>׳ שניאור.’” בזכות מעשה זה הוצאו המכתבים מליטא לפני הפלישה הגרמנית, וניצלו לדורות.</w:t>
      </w:r>
    </w:p>
  </w:footnote>
  <w:footnote w:id="2451">
    <w:p w14:paraId="0BA21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288–289.</w:t>
      </w:r>
    </w:p>
  </w:footnote>
  <w:footnote w:id="2452">
    <w:p w14:paraId="6450F8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שם את פירושו המיוחד של הסבא למאמר חז״ל – ברכות מג, סוף ע״ב – הנראה כמגנה יציבה זו: “המהלך בקומה זקופה וכו׳ כאילו דוחק רגלי השכינה”.</w:t>
      </w:r>
    </w:p>
  </w:footnote>
  <w:footnote w:id="2453">
    <w:p w14:paraId="115A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בדצמבר 1987.</w:t>
      </w:r>
    </w:p>
  </w:footnote>
  <w:footnote w:id="2454">
    <w:p w14:paraId="53D7E5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455">
    <w:p w14:paraId="1C80D2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בנספח ה לעיל – </w:t>
      </w:r>
      <w:proofErr w:type="spellStart"/>
      <w:r>
        <w:rPr>
          <w:sz w:val="20"/>
          <w:szCs w:val="20"/>
          <w:rtl/>
        </w:rPr>
        <w:t>ח״ב</w:t>
      </w:r>
      <w:proofErr w:type="spellEnd"/>
      <w:r>
        <w:rPr>
          <w:sz w:val="20"/>
          <w:szCs w:val="20"/>
          <w:rtl/>
        </w:rPr>
        <w:t>, עמ׳ קמה.</w:t>
      </w:r>
    </w:p>
  </w:footnote>
  <w:footnote w:id="2456">
    <w:p w14:paraId="1512DE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ו, ג. מאמר חז״ל הוא בבראשית רבה ח, ט, וסיומו: ‘מה עשה הקדוש ב״ה הפיל עליו תרדמה וידעו </w:t>
      </w:r>
      <w:proofErr w:type="spellStart"/>
      <w:r>
        <w:rPr>
          <w:sz w:val="20"/>
          <w:szCs w:val="20"/>
          <w:rtl/>
        </w:rPr>
        <w:t>הכל</w:t>
      </w:r>
      <w:proofErr w:type="spellEnd"/>
      <w:r>
        <w:rPr>
          <w:sz w:val="20"/>
          <w:szCs w:val="20"/>
          <w:rtl/>
        </w:rPr>
        <w:t xml:space="preserve"> שהוא אדם’.</w:t>
      </w:r>
    </w:p>
  </w:footnote>
  <w:footnote w:id="2457">
    <w:p w14:paraId="0FEBCE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שכז</w:t>
      </w:r>
      <w:proofErr w:type="spellEnd"/>
      <w:r>
        <w:rPr>
          <w:sz w:val="20"/>
          <w:szCs w:val="20"/>
          <w:rtl/>
        </w:rPr>
        <w:t>.</w:t>
      </w:r>
    </w:p>
  </w:footnote>
  <w:footnote w:id="2458">
    <w:p w14:paraId="646267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37.</w:t>
      </w:r>
    </w:p>
  </w:footnote>
  <w:footnote w:id="2459">
    <w:p w14:paraId="2E1B2D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13 בנובמבר 1991.</w:t>
      </w:r>
    </w:p>
  </w:footnote>
  <w:footnote w:id="2460">
    <w:p w14:paraId="63B764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1">
    <w:p w14:paraId="0D9110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462">
    <w:p w14:paraId="113505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16 באדר א׳ תשמ״ו.</w:t>
      </w:r>
    </w:p>
  </w:footnote>
  <w:footnote w:id="2463">
    <w:p w14:paraId="3A1592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עירובין </w:t>
      </w:r>
      <w:proofErr w:type="spellStart"/>
      <w:r>
        <w:rPr>
          <w:sz w:val="20"/>
          <w:szCs w:val="20"/>
          <w:rtl/>
        </w:rPr>
        <w:t>כב</w:t>
      </w:r>
      <w:proofErr w:type="spellEnd"/>
      <w:r>
        <w:rPr>
          <w:sz w:val="20"/>
          <w:szCs w:val="20"/>
          <w:rtl/>
        </w:rPr>
        <w:t xml:space="preserve"> ע״א.</w:t>
      </w:r>
    </w:p>
  </w:footnote>
  <w:footnote w:id="2464">
    <w:p w14:paraId="6893C7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465">
    <w:p w14:paraId="085CD0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24 במאי 1987.</w:t>
      </w:r>
    </w:p>
  </w:footnote>
  <w:footnote w:id="2466">
    <w:p w14:paraId="6BAE5D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כץ, “תנועת המוסר”, כרך ג, עמ׳ 89, </w:t>
      </w:r>
      <w:proofErr w:type="spellStart"/>
      <w:r>
        <w:rPr>
          <w:sz w:val="20"/>
          <w:szCs w:val="20"/>
          <w:rtl/>
        </w:rPr>
        <w:t>ודבורץ</w:t>
      </w:r>
      <w:proofErr w:type="spellEnd"/>
      <w:r>
        <w:rPr>
          <w:sz w:val="20"/>
          <w:szCs w:val="20"/>
          <w:rtl/>
        </w:rPr>
        <w:t>, “הגאון רבי משה מרדכי אפשטיין” (נספח ו לעיל), עמ׳ 7.</w:t>
      </w:r>
    </w:p>
  </w:footnote>
  <w:footnote w:id="2467">
    <w:p w14:paraId="1B3682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“קשת </w:t>
      </w:r>
      <w:proofErr w:type="spellStart"/>
      <w:r>
        <w:rPr>
          <w:sz w:val="20"/>
          <w:szCs w:val="20"/>
          <w:rtl/>
        </w:rPr>
        <w:t>גבורים</w:t>
      </w:r>
      <w:proofErr w:type="spellEnd"/>
      <w:r>
        <w:rPr>
          <w:sz w:val="20"/>
          <w:szCs w:val="20"/>
          <w:rtl/>
        </w:rPr>
        <w:t xml:space="preserve">” (נספח א לעיל) – </w:t>
      </w:r>
      <w:proofErr w:type="spellStart"/>
      <w:r>
        <w:rPr>
          <w:sz w:val="20"/>
          <w:szCs w:val="20"/>
          <w:rtl/>
        </w:rPr>
        <w:t>ח״ב</w:t>
      </w:r>
      <w:proofErr w:type="spellEnd"/>
      <w:r>
        <w:rPr>
          <w:sz w:val="20"/>
          <w:szCs w:val="20"/>
          <w:rtl/>
        </w:rPr>
        <w:t xml:space="preserve"> (תשנ״ו), עמ׳ 20–21.</w:t>
      </w:r>
    </w:p>
  </w:footnote>
  <w:footnote w:id="2468">
    <w:p w14:paraId="152E54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שאוצר הניירות הזה הוא הגניזה, ובין אוצרותיה ההיסטוריים הייתה מחברת ובה קבלות ותוכחות מוסר של הסבא בין השנים תרנ״ד </w:t>
      </w:r>
      <w:proofErr w:type="spellStart"/>
      <w:r>
        <w:rPr>
          <w:sz w:val="20"/>
          <w:szCs w:val="20"/>
          <w:rtl/>
        </w:rPr>
        <w:t>לתר״ס</w:t>
      </w:r>
      <w:proofErr w:type="spellEnd"/>
      <w:r>
        <w:rPr>
          <w:sz w:val="20"/>
          <w:szCs w:val="20"/>
          <w:rtl/>
        </w:rPr>
        <w:t>, נושא פרק 17 בספרו של כץ, “תנועת המוסר”, כרך ג. אבי כנראה נמנע במכוון מלהזכיר מחברת זו ברשימת הפריטים שנתגלו: או שסבר שעם שינוי גישתו של הסבא למוסר כבר אין לדברים הללו חשיבות, או שהרגיש שאין לנו לחקור עניינים אישיים כאלה, כאמור בהערה 63 לעיל.</w:t>
      </w:r>
    </w:p>
  </w:footnote>
  <w:footnote w:id="2469">
    <w:p w14:paraId="2D78B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259.</w:t>
      </w:r>
    </w:p>
  </w:footnote>
  <w:footnote w:id="2470">
    <w:p w14:paraId="0A4960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44; מתוארך לערב שלפני כ״ד באב תשמ״א.</w:t>
      </w:r>
    </w:p>
  </w:footnote>
  <w:footnote w:id="2471">
    <w:p w14:paraId="3C036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הטלית.</w:t>
      </w:r>
    </w:p>
  </w:footnote>
  <w:footnote w:id="2472">
    <w:p w14:paraId="6A723F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ג לעיל.</w:t>
      </w:r>
    </w:p>
  </w:footnote>
  <w:footnote w:id="2473">
    <w:p w14:paraId="3C0A60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יומנו “סדר אליהו” (נספח ג לעיל), עמ׳ 86–105, שימש שם בשנים תרנ״ג–תרס״א.</w:t>
      </w:r>
    </w:p>
  </w:footnote>
  <w:footnote w:id="2474">
    <w:p w14:paraId="752BAB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אחרי </w:t>
      </w:r>
      <w:proofErr w:type="spellStart"/>
      <w:r>
        <w:rPr>
          <w:sz w:val="20"/>
          <w:szCs w:val="20"/>
          <w:rtl/>
        </w:rPr>
        <w:t>מיר</w:t>
      </w:r>
      <w:proofErr w:type="spellEnd"/>
      <w:r>
        <w:rPr>
          <w:sz w:val="20"/>
          <w:szCs w:val="20"/>
          <w:rtl/>
        </w:rPr>
        <w:t xml:space="preserve"> הייתה משרתו הרבנית האחרונה בירושלים.</w:t>
      </w:r>
    </w:p>
  </w:footnote>
  <w:footnote w:id="2475">
    <w:p w14:paraId="276FB6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“צפונות – רבעון תורני”, בני ברק, גיליון טבת תשנ״ב, עמ׳ צד.</w:t>
      </w:r>
    </w:p>
  </w:footnote>
  <w:footnote w:id="2476">
    <w:p w14:paraId="03BB51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נספח יד לעיל.</w:t>
      </w:r>
    </w:p>
  </w:footnote>
  <w:footnote w:id="2477">
    <w:p w14:paraId="442EEB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נולד </w:t>
      </w:r>
      <w:proofErr w:type="spellStart"/>
      <w:r>
        <w:rPr>
          <w:sz w:val="20"/>
          <w:szCs w:val="20"/>
          <w:rtl/>
        </w:rPr>
        <w:t>בתרל״א</w:t>
      </w:r>
      <w:proofErr w:type="spellEnd"/>
      <w:r>
        <w:rPr>
          <w:sz w:val="20"/>
          <w:szCs w:val="20"/>
          <w:rtl/>
        </w:rPr>
        <w:t xml:space="preserve">, ונפטר בלילה שאחרי ראש השנה </w:t>
      </w:r>
      <w:proofErr w:type="spellStart"/>
      <w:r>
        <w:rPr>
          <w:sz w:val="20"/>
          <w:szCs w:val="20"/>
          <w:rtl/>
        </w:rPr>
        <w:t>תר״ץ</w:t>
      </w:r>
      <w:proofErr w:type="spellEnd"/>
      <w:r>
        <w:rPr>
          <w:sz w:val="20"/>
          <w:szCs w:val="20"/>
          <w:rtl/>
        </w:rPr>
        <w:t>.</w:t>
      </w:r>
    </w:p>
  </w:footnote>
  <w:footnote w:id="2478">
    <w:p w14:paraId="570318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אורייתא, תשמ״ט.</w:t>
      </w:r>
    </w:p>
  </w:footnote>
  <w:footnote w:id="2479">
    <w:p w14:paraId="2CC4D1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עד תרנ״ה נשא ר׳ נפתלי את בתו של ר׳ </w:t>
      </w:r>
      <w:proofErr w:type="spellStart"/>
      <w:r>
        <w:rPr>
          <w:sz w:val="20"/>
          <w:szCs w:val="20"/>
          <w:rtl/>
        </w:rPr>
        <w:t>לייזר־יעקב</w:t>
      </w:r>
      <w:proofErr w:type="spellEnd"/>
      <w:r>
        <w:rPr>
          <w:sz w:val="20"/>
          <w:szCs w:val="20"/>
          <w:rtl/>
        </w:rPr>
        <w:t xml:space="preserve"> </w:t>
      </w:r>
      <w:proofErr w:type="spellStart"/>
      <w:r>
        <w:rPr>
          <w:sz w:val="20"/>
          <w:szCs w:val="20"/>
          <w:rtl/>
        </w:rPr>
        <w:t xml:space="preserve">חווס</w:t>
      </w:r>
      <w:proofErr w:type="spellEnd"/>
      <w:r>
        <w:rPr>
          <w:sz w:val="20"/>
          <w:szCs w:val="20"/>
          <w:rtl/>
        </w:rPr>
        <w:t xml:space="preserve"> (השווה נספח א לעיל), שותפו של הסבא בהפצת תורה (השווה נספחים ג </w:t>
      </w:r>
      <w:proofErr w:type="spellStart"/>
      <w:r>
        <w:rPr>
          <w:sz w:val="20"/>
          <w:szCs w:val="20"/>
          <w:rtl/>
        </w:rPr>
        <w:t>ו־ה</w:t>
      </w:r>
      <w:proofErr w:type="spellEnd"/>
      <w:r>
        <w:rPr>
          <w:sz w:val="20"/>
          <w:szCs w:val="20"/>
          <w:rtl/>
        </w:rPr>
        <w:t xml:space="preserve"> לעיל).</w:t>
      </w:r>
    </w:p>
  </w:footnote>
  <w:footnote w:id="2480">
    <w:p w14:paraId="15A1D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יא לעיל.</w:t>
      </w:r>
    </w:p>
  </w:footnote>
  <w:footnote w:id="2481">
    <w:p w14:paraId="7D3E7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217.</w:t>
      </w:r>
    </w:p>
  </w:footnote>
  <w:footnote w:id="2482">
    <w:p w14:paraId="5FB9E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הפסקה החמישית בנספח </w:t>
      </w:r>
      <w:proofErr w:type="spellStart"/>
      <w:r>
        <w:rPr>
          <w:sz w:val="20"/>
          <w:szCs w:val="20"/>
          <w:rtl/>
        </w:rPr>
        <w:t>כו</w:t>
      </w:r>
      <w:proofErr w:type="spellEnd"/>
      <w:r>
        <w:rPr>
          <w:sz w:val="20"/>
          <w:szCs w:val="20"/>
          <w:rtl/>
        </w:rPr>
        <w:t xml:space="preserve"> להלן, בדבר מה שאמר רבנו על כהונתו כרב </w:t>
      </w:r>
      <w:proofErr w:type="spellStart"/>
      <w:r>
        <w:rPr>
          <w:sz w:val="20"/>
          <w:szCs w:val="20"/>
          <w:rtl/>
        </w:rPr>
        <w:t>בציטוביאן</w:t>
      </w:r>
      <w:proofErr w:type="spellEnd"/>
      <w:r>
        <w:rPr>
          <w:sz w:val="20"/>
          <w:szCs w:val="20"/>
          <w:rtl/>
        </w:rPr>
        <w:t>.</w:t>
      </w:r>
    </w:p>
  </w:footnote>
  <w:footnote w:id="2483">
    <w:p w14:paraId="7B1121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114–115, אות יד, בחלק השני של הספר, הנקרא “קונטרס נפש דוד”, שערך משה צבי נריה. חלק זה כולל את “הנהגותיו היומיות ומנהגי החגים של </w:t>
      </w:r>
      <w:proofErr w:type="spellStart"/>
      <w:r>
        <w:rPr>
          <w:sz w:val="20"/>
          <w:szCs w:val="20"/>
          <w:rtl/>
        </w:rPr>
        <w:t>האדר״ת</w:t>
      </w:r>
      <w:proofErr w:type="spellEnd"/>
      <w:r>
        <w:rPr>
          <w:sz w:val="20"/>
          <w:szCs w:val="20"/>
          <w:rtl/>
        </w:rPr>
        <w:t>, שהעלה על הכתב בסוף ימיו”.</w:t>
      </w:r>
    </w:p>
  </w:footnote>
  <w:footnote w:id="2484">
    <w:p w14:paraId="5B50EF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120–121, אות לה (ועמ׳ 129, אות א).</w:t>
      </w:r>
    </w:p>
  </w:footnote>
  <w:footnote w:id="2485">
    <w:p w14:paraId="4AFA2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מהדורה שנייה, “ישיבת כולל אברכים תורת אברהם”, בני ברק, תשל״ח (להלן: תורת אברהם).</w:t>
      </w:r>
    </w:p>
  </w:footnote>
  <w:footnote w:id="2486">
    <w:p w14:paraId="78CC87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יד.</w:t>
      </w:r>
    </w:p>
  </w:footnote>
  <w:footnote w:id="2487">
    <w:p w14:paraId="596C58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אמצע הפסקה השנייה בנספח </w:t>
      </w:r>
      <w:proofErr w:type="spellStart"/>
      <w:r>
        <w:rPr>
          <w:sz w:val="20"/>
          <w:szCs w:val="20"/>
          <w:rtl/>
        </w:rPr>
        <w:t>כז</w:t>
      </w:r>
      <w:proofErr w:type="spellEnd"/>
      <w:r>
        <w:rPr>
          <w:sz w:val="20"/>
          <w:szCs w:val="20"/>
          <w:rtl/>
        </w:rPr>
        <w:t xml:space="preserve"> להלן: פעם אחת בא לארץ ישראל לבדוק שידוך. ואולם אפשר שעשה זאת רק כדי לפייס את חותניו, שרצו שיינשא שנית – ואפשר שניסיונו זה של ר׳ אברהם לא הצליח משום שלבו לא היה שלם עם צעד כזה, מן הטעם שמסר לבתו.</w:t>
      </w:r>
    </w:p>
  </w:footnote>
  <w:footnote w:id="2488">
    <w:p w14:paraId="2C908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להערת שוליים </w:t>
      </w:r>
      <w:r>
        <w:rPr>
          <w:rStyle w:val="a5"/>
          <w:sz w:val="20"/>
          <w:szCs w:val="20"/>
          <w:vertAlign w:val="baseline"/>
          <w:rtl/>
        </w:rPr>
        <w:fldChar w:fldCharType="begin" w:dirty="true"/>
      </w:r>
      <w:r>
        <w:rPr>
          <w:rStyle w:val="a5"/>
          <w:sz w:val="20"/>
          <w:szCs w:val="20"/>
          <w:vertAlign w:val="baseline"/>
          <w:rtl/>
        </w:rPr>
        <w:instrText xml:space="preserve"> NOTEREF pr_f_2113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1159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pr_f_2113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סיפר לי ר׳ יעקב </w:t>
      </w:r>
      <w:proofErr w:type="spellStart"/>
      <w:r>
        <w:rPr>
          <w:sz w:val="20"/>
          <w:szCs w:val="20"/>
          <w:rtl/>
        </w:rPr>
        <w:t>לויסון</w:t>
      </w:r>
      <w:proofErr w:type="spellEnd"/>
      <w:r>
        <w:rPr>
          <w:sz w:val="20"/>
          <w:szCs w:val="20"/>
          <w:rtl/>
        </w:rPr>
        <w:t xml:space="preserve"> ב־3 ביוני 2002, כשכתיבת ספר זה עמדה להסתיים, שהרב </w:t>
      </w:r>
      <w:proofErr w:type="spellStart"/>
      <w:r>
        <w:rPr>
          <w:sz w:val="20"/>
          <w:szCs w:val="20"/>
          <w:rtl/>
        </w:rPr>
        <w:t>מפוניבז</w:t>
      </w:r>
      <w:proofErr w:type="spellEnd"/>
      <w:r>
        <w:rPr>
          <w:sz w:val="20"/>
          <w:szCs w:val="20"/>
          <w:rtl/>
        </w:rPr>
        <w:t xml:space="preserve">׳,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אמר לו בעת פטירתו של ר׳ אהרן קוטלר: “ב־40 השנים האחרונות לא היה ‘עילוי’ בעולם הישיבות כמו ר׳ אהרן, ובארבעים השנים שקדמו להן – כחמיו, ר׳ </w:t>
      </w:r>
      <w:proofErr w:type="spellStart"/>
      <w:r>
        <w:rPr>
          <w:sz w:val="20"/>
          <w:szCs w:val="20"/>
          <w:rtl/>
        </w:rPr>
        <w:t>איסר־זלמן</w:t>
      </w:r>
      <w:proofErr w:type="spellEnd"/>
      <w:r>
        <w:rPr>
          <w:sz w:val="20"/>
          <w:szCs w:val="20"/>
          <w:rtl/>
        </w:rPr>
        <w:t xml:space="preserve"> מלצר.” ראה גם סוף הערת שוליים </w:t>
      </w:r>
      <w:r>
        <w:rPr>
          <w:sz w:val="20"/>
          <w:szCs w:val="20"/>
          <w:rtl/>
        </w:rPr>
        <w:fldChar w:fldCharType="begin" w:dirty="true"/>
      </w:r>
      <w:r>
        <w:rPr>
          <w:sz w:val="20"/>
          <w:szCs w:val="20"/>
          <w:rtl/>
        </w:rPr>
        <w:instrText xml:space="preserve"> NOTEREF pr_f_4647 \h </w:instrText>
      </w:r>
      <w:r>
        <w:rPr>
          <w:sz w:val="20"/>
          <w:szCs w:val="20"/>
          <w:rtl/>
        </w:rPr>
      </w:r>
      <w:r>
        <w:rPr>
          <w:sz w:val="20"/>
          <w:szCs w:val="20"/>
          <w:rtl/>
        </w:rPr>
        <w:fldChar w:fldCharType="separate"/>
      </w:r>
      <w:r w:rsidR="007923E9">
        <w:rPr>
          <w:sz w:val="20"/>
          <w:szCs w:val="20"/>
          <w:rtl/>
        </w:rPr>
        <w:t>301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489">
    <w:p w14:paraId="3F9EC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בהקשר לציטוט שבעמ׳ </w:t>
      </w:r>
      <w:r>
        <w:rPr>
          <w:rStyle w:val="a5"/>
          <w:sz w:val="20"/>
          <w:szCs w:val="20"/>
          <w:vertAlign w:val="baseline"/>
          <w:rtl/>
        </w:rPr>
        <w:fldChar w:fldCharType="begin" w:dirty="true"/>
      </w:r>
      <w:r>
        <w:rPr>
          <w:rStyle w:val="a5"/>
          <w:sz w:val="20"/>
          <w:szCs w:val="20"/>
          <w:vertAlign w:val="baseline"/>
          <w:rtl/>
        </w:rPr>
        <w:instrText xml:space="preserve"> PAGEREF pr_b_1326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w:t>
      </w:r>
      <w:proofErr w:type="spellStart"/>
      <w:r>
        <w:rPr>
          <w:sz w:val="20"/>
          <w:szCs w:val="20"/>
          <w:rtl/>
        </w:rPr>
        <w:t>ה“הבנה</w:t>
      </w:r>
      <w:proofErr w:type="spellEnd"/>
      <w:r>
        <w:rPr>
          <w:sz w:val="20"/>
          <w:szCs w:val="20"/>
          <w:rtl/>
        </w:rPr>
        <w:t xml:space="preserve"> מיוחדת” של ר׳ חיים </w:t>
      </w:r>
      <w:proofErr w:type="spellStart"/>
      <w:r>
        <w:rPr>
          <w:sz w:val="20"/>
          <w:szCs w:val="20"/>
          <w:rtl/>
        </w:rPr>
        <w:t>סולובייצ׳יק</w:t>
      </w:r>
      <w:proofErr w:type="spellEnd"/>
      <w:r>
        <w:rPr>
          <w:sz w:val="20"/>
          <w:szCs w:val="20"/>
          <w:rtl/>
        </w:rPr>
        <w:t xml:space="preserve"> מוגדרת טוב יותר במכתב שפורסם </w:t>
      </w:r>
      <w:proofErr w:type="spellStart"/>
      <w:r>
        <w:rPr>
          <w:sz w:val="20"/>
          <w:szCs w:val="20"/>
          <w:rtl/>
        </w:rPr>
        <w:t>ב“קול</w:t>
      </w:r>
      <w:proofErr w:type="spellEnd"/>
      <w:r>
        <w:rPr>
          <w:sz w:val="20"/>
          <w:szCs w:val="20"/>
          <w:rtl/>
        </w:rPr>
        <w:t xml:space="preserve"> התורה” (גיליון ניסן תשס״ב; ראה הערת שוליים </w:t>
      </w:r>
      <w:r>
        <w:rPr>
          <w:sz w:val="20"/>
          <w:szCs w:val="20"/>
          <w:rtl/>
        </w:rPr>
        <w:fldChar w:fldCharType="begin" w:dirty="true"/>
      </w:r>
      <w:r>
        <w:rPr>
          <w:sz w:val="20"/>
          <w:szCs w:val="20"/>
          <w:rtl/>
        </w:rPr>
        <w:instrText xml:space="preserve"> NOTEREF pr_f_5226 \h </w:instrText>
      </w:r>
      <w:r>
        <w:rPr>
          <w:sz w:val="20"/>
          <w:szCs w:val="20"/>
          <w:rtl/>
        </w:rPr>
      </w:r>
      <w:r>
        <w:rPr>
          <w:sz w:val="20"/>
          <w:szCs w:val="20"/>
          <w:rtl/>
        </w:rPr>
        <w:fldChar w:fldCharType="separate"/>
      </w:r>
      <w:r w:rsidR="007923E9">
        <w:rPr>
          <w:sz w:val="20"/>
          <w:szCs w:val="20"/>
          <w:rtl/>
        </w:rPr>
        <w:t>880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pr_f_5226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ונכתב 17 חודשים לפני מות ר׳ חיים. בתוך קינה על הידרדרות בריאותו של החכם כותב ר׳ יחזקאל </w:t>
      </w:r>
      <w:proofErr w:type="spellStart"/>
      <w:r>
        <w:rPr>
          <w:sz w:val="20"/>
          <w:szCs w:val="20"/>
          <w:rtl/>
        </w:rPr>
        <w:t>אברמסקי</w:t>
      </w:r>
      <w:proofErr w:type="spellEnd"/>
      <w:r>
        <w:rPr>
          <w:sz w:val="20"/>
          <w:szCs w:val="20"/>
          <w:rtl/>
        </w:rPr>
        <w:t xml:space="preserve"> </w:t>
      </w:r>
      <w:proofErr w:type="spellStart"/>
      <w:r>
        <w:rPr>
          <w:sz w:val="20"/>
          <w:szCs w:val="20"/>
          <w:rtl/>
        </w:rPr>
        <w:t>מסמילוביץ</w:t>
      </w:r>
      <w:proofErr w:type="spellEnd"/>
      <w:r>
        <w:rPr>
          <w:sz w:val="20"/>
          <w:szCs w:val="20"/>
          <w:rtl/>
        </w:rPr>
        <w:t xml:space="preserve">׳ (סמוך למינסק) לחמיו </w:t>
      </w:r>
      <w:proofErr w:type="spellStart"/>
      <w:r>
        <w:rPr>
          <w:sz w:val="20"/>
          <w:szCs w:val="20"/>
          <w:rtl/>
        </w:rPr>
        <w:t>באיהומן</w:t>
      </w:r>
      <w:proofErr w:type="spellEnd"/>
      <w:r>
        <w:rPr>
          <w:sz w:val="20"/>
          <w:szCs w:val="20"/>
          <w:rtl/>
        </w:rPr>
        <w:t xml:space="preserve"> על “הרי חיים” מלפנים: “הסבלן” ר׳ חיים, ר׳ חיים </w:t>
      </w:r>
      <w:proofErr w:type="spellStart"/>
      <w:r>
        <w:rPr>
          <w:sz w:val="20"/>
          <w:szCs w:val="20"/>
          <w:rtl/>
        </w:rPr>
        <w:t>ה“מכון</w:t>
      </w:r>
      <w:proofErr w:type="spellEnd"/>
      <w:r>
        <w:rPr>
          <w:sz w:val="20"/>
          <w:szCs w:val="20"/>
          <w:rtl/>
        </w:rPr>
        <w:t xml:space="preserve">” [כך במקור] “לדברי חבריו” כמעט בכל מקום ([כנראה] בש״ס), וכו׳ </w:t>
      </w:r>
      <w:proofErr w:type="spellStart"/>
      <w:r>
        <w:rPr>
          <w:sz w:val="20"/>
          <w:szCs w:val="20"/>
          <w:rtl/>
        </w:rPr>
        <w:t>וכו</w:t>
      </w:r>
      <w:proofErr w:type="spellEnd"/>
      <w:r>
        <w:rPr>
          <w:sz w:val="20"/>
          <w:szCs w:val="20"/>
          <w:rtl/>
        </w:rPr>
        <w:t xml:space="preserve">׳. ר׳ יחזקאל </w:t>
      </w:r>
      <w:proofErr w:type="spellStart"/>
      <w:r>
        <w:rPr>
          <w:sz w:val="20"/>
          <w:szCs w:val="20"/>
          <w:rtl/>
        </w:rPr>
        <w:t>אברמסקי</w:t>
      </w:r>
      <w:proofErr w:type="spellEnd"/>
      <w:r>
        <w:rPr>
          <w:sz w:val="20"/>
          <w:szCs w:val="20"/>
          <w:rtl/>
        </w:rPr>
        <w:t xml:space="preserve"> מתאר אפוא את התכונות שהפכו את ר׳ חיים למורה מעולה (כאמור בסוף הפסקה השישית בפרק 4, נספח ט): סבלנות, התאמה לבן שיחו – ותכונות נוספות שלא פורטו (“וכו׳ </w:t>
      </w:r>
      <w:proofErr w:type="spellStart"/>
      <w:r>
        <w:rPr>
          <w:sz w:val="20"/>
          <w:szCs w:val="20"/>
          <w:rtl/>
        </w:rPr>
        <w:t>וכו</w:t>
      </w:r>
      <w:proofErr w:type="spellEnd"/>
      <w:r>
        <w:rPr>
          <w:sz w:val="20"/>
          <w:szCs w:val="20"/>
          <w:rtl/>
        </w:rPr>
        <w:t>׳”), שעשו אותו למורה המצוין שהיה.</w:t>
      </w:r>
    </w:p>
    <w:p w14:paraId="49E3552E" w14:textId="77777777" w:rsidR="00AB3647" w:rsidRDefault="00000000">
      <w:pPr>
        <w:spacing w:after="0" w:before="0"/>
        <w:jc w:val="both"/>
      </w:pPr>
      <w:r>
        <w:rPr>
          <w:sz w:val="20"/>
          <w:szCs w:val="20"/>
          <w:rtl/>
        </w:rPr>
        <w:t xml:space="preserve">ר׳ יחזקאל מקונן על מצבו של הגאון, שנגרם בשל שנות הרעב במינסק או בשל מחלת הכבד שלו [השווה עמ׳ </w:t>
      </w:r>
      <w:r>
        <w:rPr>
          <w:sz w:val="20"/>
          <w:szCs w:val="20"/>
          <w:rtl/>
        </w:rPr>
        <w:fldChar w:fldCharType="begin" w:dirty="true"/>
      </w:r>
      <w:r>
        <w:rPr>
          <w:sz w:val="20"/>
          <w:szCs w:val="20"/>
          <w:rtl/>
        </w:rPr>
        <w:instrText xml:space="preserve"> PAGEREF pr_close_b_4564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וכותב: “אי אפשר לתאר עד כמה עצביו מעורערים בימים אלה – עד כדי כך שחברתו בדברי תורה אינה נעימה לכל החס על כבודו של ר׳ חיים ובריאותו; וכעבור כעסו הוא מתחרט ומודה – ומצטער שהשתנה כל כך לרעה מימים קדמונים ואינו עוד ‘הר’ חיים’ מלפנים”, וכו׳ </w:t>
      </w:r>
      <w:proofErr w:type="spellStart"/>
      <w:r>
        <w:rPr>
          <w:sz w:val="20"/>
          <w:szCs w:val="20"/>
          <w:rtl/>
        </w:rPr>
        <w:t>וכו</w:t>
      </w:r>
      <w:proofErr w:type="spellEnd"/>
      <w:r>
        <w:rPr>
          <w:sz w:val="20"/>
          <w:szCs w:val="20"/>
          <w:rtl/>
        </w:rPr>
        <w:t>׳.</w:t>
      </w:r>
    </w:p>
  </w:footnote>
  <w:footnote w:id="2490">
    <w:p w14:paraId="314795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השנייה בנספח </w:t>
      </w:r>
      <w:proofErr w:type="spellStart"/>
      <w:r>
        <w:rPr>
          <w:sz w:val="20"/>
          <w:szCs w:val="20"/>
          <w:rtl/>
        </w:rPr>
        <w:t>כא</w:t>
      </w:r>
      <w:proofErr w:type="spellEnd"/>
      <w:r>
        <w:rPr>
          <w:sz w:val="20"/>
          <w:szCs w:val="20"/>
          <w:rtl/>
        </w:rPr>
        <w:t xml:space="preserve"> לעיל, ופרק 5, סוף הפסקה הראשונה בנספח ו.</w:t>
      </w:r>
    </w:p>
  </w:footnote>
  <w:footnote w:id="2491">
    <w:p w14:paraId="2236E7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ב־29 באוקטובר 1991.</w:t>
      </w:r>
    </w:p>
  </w:footnote>
  <w:footnote w:id="2492">
    <w:p w14:paraId="2F6040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493">
    <w:p w14:paraId="1A9995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לעיל.</w:t>
      </w:r>
    </w:p>
  </w:footnote>
  <w:footnote w:id="2494">
    <w:p w14:paraId="110C0A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(נספח א לעיל), עמ׳ 305–306.</w:t>
      </w:r>
    </w:p>
  </w:footnote>
  <w:footnote w:id="2495">
    <w:p w14:paraId="15F268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2496">
    <w:p w14:paraId="0F9A5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השלישית בנספח יד לעיל.</w:t>
      </w:r>
    </w:p>
  </w:footnote>
  <w:footnote w:id="2497">
    <w:p w14:paraId="2F293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w:t>
      </w:r>
      <w:proofErr w:type="spellStart"/>
      <w:r>
        <w:rPr>
          <w:sz w:val="20"/>
          <w:szCs w:val="20"/>
          <w:rtl/>
        </w:rPr>
        <w:t>כו</w:t>
      </w:r>
      <w:proofErr w:type="spellEnd"/>
      <w:r>
        <w:rPr>
          <w:sz w:val="20"/>
          <w:szCs w:val="20"/>
          <w:rtl/>
        </w:rPr>
        <w:t>, כה.</w:t>
      </w:r>
    </w:p>
  </w:footnote>
  <w:footnote w:id="2498">
    <w:p w14:paraId="5C0319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מובא בהערה 51 לעיל.</w:t>
      </w:r>
    </w:p>
  </w:footnote>
  <w:footnote w:id="2499">
    <w:p w14:paraId="7E0187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152–154.</w:t>
      </w:r>
    </w:p>
  </w:footnote>
  <w:footnote w:id="2500">
    <w:p w14:paraId="1BB3F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עמ׳ 164.</w:t>
      </w:r>
    </w:p>
  </w:footnote>
  <w:footnote w:id="2501">
    <w:p w14:paraId="612AC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תמך ביישוב הישן בארץ ישראל ובמוסדות הקהילה הפורשת שייסד ר׳ </w:t>
      </w:r>
      <w:proofErr w:type="spellStart"/>
      <w:r>
        <w:rPr>
          <w:sz w:val="20"/>
          <w:szCs w:val="20"/>
          <w:rtl/>
        </w:rPr>
        <w:t>שמשון־רפאל</w:t>
      </w:r>
      <w:proofErr w:type="spellEnd"/>
      <w:r>
        <w:rPr>
          <w:sz w:val="20"/>
          <w:szCs w:val="20"/>
          <w:rtl/>
        </w:rPr>
        <w:t xml:space="preserve"> הירש בעירו של רוטשילד.</w:t>
      </w:r>
    </w:p>
  </w:footnote>
  <w:footnote w:id="2502">
    <w:p w14:paraId="40DE89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להוסיף שאף שהמוסד שניהל ר׳ </w:t>
      </w:r>
      <w:proofErr w:type="spellStart"/>
      <w:r>
        <w:rPr>
          <w:sz w:val="20"/>
          <w:szCs w:val="20"/>
          <w:rtl/>
        </w:rPr>
        <w:t>שמחה־זיסל</w:t>
      </w:r>
      <w:proofErr w:type="spellEnd"/>
      <w:r>
        <w:rPr>
          <w:sz w:val="20"/>
          <w:szCs w:val="20"/>
          <w:rtl/>
        </w:rPr>
        <w:t xml:space="preserve"> היה לצעירים, ר׳ </w:t>
      </w:r>
      <w:proofErr w:type="spellStart"/>
      <w:r>
        <w:rPr>
          <w:sz w:val="20"/>
          <w:szCs w:val="20"/>
          <w:rtl/>
        </w:rPr>
        <w:t>שמחה־זיסל</w:t>
      </w:r>
      <w:proofErr w:type="spellEnd"/>
      <w:r>
        <w:rPr>
          <w:sz w:val="20"/>
          <w:szCs w:val="20"/>
          <w:rtl/>
        </w:rPr>
        <w:t xml:space="preserve"> מסר גם שיחות מוסר לאנשים בוגרים שקיבלו אותו כמדריכם. אך תפקיד זה לא היה קשור לתלמוד תורה באותה תקופה.</w:t>
      </w:r>
    </w:p>
  </w:footnote>
  <w:footnote w:id="2503">
    <w:p w14:paraId="3458B3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“כתבי הסבא” (הפסקה הראשונה בנספח ב לעיל), כרך א, עמ׳ צב–</w:t>
      </w:r>
      <w:proofErr w:type="spellStart"/>
      <w:r>
        <w:rPr>
          <w:sz w:val="20"/>
          <w:szCs w:val="20"/>
          <w:rtl/>
        </w:rPr>
        <w:t>צט</w:t>
      </w:r>
      <w:proofErr w:type="spellEnd"/>
      <w:r>
        <w:rPr>
          <w:sz w:val="20"/>
          <w:szCs w:val="20"/>
          <w:rtl/>
        </w:rPr>
        <w:t xml:space="preserve">: שם מובאות שבע איגרות (מספר </w:t>
      </w:r>
      <w:proofErr w:type="spellStart"/>
      <w:r>
        <w:rPr>
          <w:sz w:val="20"/>
          <w:szCs w:val="20"/>
          <w:rtl/>
        </w:rPr>
        <w:t>נז</w:t>
      </w:r>
      <w:proofErr w:type="spellEnd"/>
      <w:r>
        <w:rPr>
          <w:sz w:val="20"/>
          <w:szCs w:val="20"/>
          <w:rtl/>
        </w:rPr>
        <w:t>–</w:t>
      </w:r>
      <w:proofErr w:type="spellStart"/>
      <w:r>
        <w:rPr>
          <w:sz w:val="20"/>
          <w:szCs w:val="20"/>
          <w:rtl/>
        </w:rPr>
        <w:t>סג</w:t>
      </w:r>
      <w:proofErr w:type="spellEnd"/>
      <w:r>
        <w:rPr>
          <w:sz w:val="20"/>
          <w:szCs w:val="20"/>
          <w:rtl/>
        </w:rPr>
        <w:t>) ששלח הסבא מקלם להורי תלמידיו. בפסקאות הראשונות של שתי האיגרות הראשונות הוא מתאר את תוכניתו כמשולשת: תורה ויראה ודרך ארץ.</w:t>
      </w:r>
    </w:p>
  </w:footnote>
  <w:footnote w:id="2504">
    <w:p w14:paraId="49F74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1451–1452.</w:t>
      </w:r>
    </w:p>
  </w:footnote>
  <w:footnote w:id="2505">
    <w:p w14:paraId="2DF59D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29.</w:t>
      </w:r>
    </w:p>
  </w:footnote>
  <w:footnote w:id="2506">
    <w:p w14:paraId="429ED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אלימלך </w:t>
      </w:r>
      <w:proofErr w:type="spellStart"/>
      <w:r>
        <w:rPr>
          <w:sz w:val="20"/>
          <w:szCs w:val="20"/>
          <w:rtl/>
        </w:rPr>
        <w:t>דרזנר</w:t>
      </w:r>
      <w:proofErr w:type="spellEnd"/>
      <w:r>
        <w:rPr>
          <w:sz w:val="20"/>
          <w:szCs w:val="20"/>
          <w:rtl/>
        </w:rPr>
        <w:t xml:space="preserve"> סיפר ב־14 ביוני 1996 שר׳ דוב כץ, מחבר “תנועת המוסר”, אמר לו שהסבא מקלם “היה </w:t>
      </w:r>
      <w:proofErr w:type="spellStart"/>
      <w:r>
        <w:rPr>
          <w:sz w:val="20"/>
          <w:szCs w:val="20"/>
          <w:rtl/>
        </w:rPr>
        <w:t>קאנטיאני</w:t>
      </w:r>
      <w:proofErr w:type="spellEnd"/>
      <w:r>
        <w:rPr>
          <w:sz w:val="20"/>
          <w:szCs w:val="20"/>
          <w:rtl/>
        </w:rPr>
        <w:t>”, משום שלמד בנעוריו את כתבי הפילוסוף הגרמני, שמת כעשרים שנה לפני שנולד. ואולם בספרו של כץ, “תנועת המוסר”, כרך ב, עמ׳ 36, כתב: “בהתבוננויותיו בערכי האמונה למד גם ספרי פילוסופיה”, בלי לציין אילו ספרים בדיוק למד הסבא מקלם.</w:t>
      </w:r>
    </w:p>
  </w:footnote>
  <w:footnote w:id="2507">
    <w:p w14:paraId="627A17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15 ביוני 1994.</w:t>
      </w:r>
    </w:p>
  </w:footnote>
  <w:footnote w:id="2508">
    <w:p w14:paraId="00F244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נספח זה.</w:t>
      </w:r>
    </w:p>
  </w:footnote>
  <w:footnote w:id="2509">
    <w:p w14:paraId="692FB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ד לעיל.</w:t>
      </w:r>
    </w:p>
  </w:footnote>
  <w:footnote w:id="2510">
    <w:p w14:paraId="679A2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2511">
    <w:p w14:paraId="1EE78E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בדפוס </w:t>
      </w:r>
      <w:proofErr w:type="spellStart"/>
      <w:r>
        <w:rPr>
          <w:sz w:val="20"/>
          <w:szCs w:val="20"/>
          <w:rtl/>
        </w:rPr>
        <w:t>א״מ</w:t>
      </w:r>
      <w:proofErr w:type="spellEnd"/>
      <w:r>
        <w:rPr>
          <w:sz w:val="20"/>
          <w:szCs w:val="20"/>
          <w:rtl/>
        </w:rPr>
        <w:t xml:space="preserve"> </w:t>
      </w:r>
      <w:proofErr w:type="spellStart"/>
      <w:r>
        <w:rPr>
          <w:sz w:val="20"/>
          <w:szCs w:val="20"/>
          <w:rtl/>
        </w:rPr>
        <w:t>לונץ</w:t>
      </w:r>
      <w:proofErr w:type="spellEnd"/>
      <w:r>
        <w:rPr>
          <w:sz w:val="20"/>
          <w:szCs w:val="20"/>
          <w:rtl/>
        </w:rPr>
        <w:t xml:space="preserve">, ירושלים, תרס״ז. זוהי חוברת ובה כמה חידושי תורה משלושה דורות: ר׳ ישראל; אביו, ר׳ </w:t>
      </w:r>
      <w:proofErr w:type="spellStart"/>
      <w:r>
        <w:rPr>
          <w:sz w:val="20"/>
          <w:szCs w:val="20"/>
          <w:rtl/>
        </w:rPr>
        <w:t>זאב־וולף</w:t>
      </w:r>
      <w:proofErr w:type="spellEnd"/>
      <w:r>
        <w:rPr>
          <w:sz w:val="20"/>
          <w:szCs w:val="20"/>
          <w:rtl/>
        </w:rPr>
        <w:t>; ובנו, ר׳ יצחק.</w:t>
      </w:r>
    </w:p>
  </w:footnote>
  <w:footnote w:id="2512">
    <w:p w14:paraId="344C6D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ישראל משתמש כאן בראשי תיבות בלתי רגילים, ש״ל, ואני מבין אותם כקיצור של “שברון לב”. הניסוח הסתום בחלקו הראשון של המשפט (שמשמעותו: ‘שמעתי שהיו צרות בתלמוד תורה’) והשימוש בראשי התיבות המוצנעים עשויים לנבוע מן ההאשמה, שכבר נפוצה באותה עת, שהסבא מקלם “מתסיס למהפכה”.</w:t>
      </w:r>
    </w:p>
  </w:footnote>
  <w:footnote w:id="2513">
    <w:p w14:paraId="7315B0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514">
    <w:p w14:paraId="2221B6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כץ, שם, וכץ, “תנועת המוסר”, כרך ג, עמ׳ 19, מציינים בטעות שהדבר היה “זמן קצר לאחר העלילה (שאירעה) בערך </w:t>
      </w:r>
      <w:proofErr w:type="spellStart"/>
      <w:r>
        <w:rPr>
          <w:sz w:val="20"/>
          <w:szCs w:val="20"/>
          <w:rtl/>
        </w:rPr>
        <w:t>בתרל״ו</w:t>
      </w:r>
      <w:proofErr w:type="spellEnd"/>
      <w:r>
        <w:rPr>
          <w:sz w:val="20"/>
          <w:szCs w:val="20"/>
          <w:rtl/>
        </w:rPr>
        <w:t xml:space="preserve">”. כץ ביסס כנראה את ידיעתו על זיכרון מוטעה של יעקב מארק, עמ׳ 250, שם מתאר מארק פגישה עם ר׳ </w:t>
      </w:r>
      <w:proofErr w:type="spellStart"/>
      <w:r>
        <w:rPr>
          <w:sz w:val="20"/>
          <w:szCs w:val="20"/>
          <w:rtl/>
        </w:rPr>
        <w:t>שמחה־זיסל</w:t>
      </w:r>
      <w:proofErr w:type="spellEnd"/>
      <w:r>
        <w:rPr>
          <w:sz w:val="20"/>
          <w:szCs w:val="20"/>
          <w:rtl/>
        </w:rPr>
        <w:t xml:space="preserve"> </w:t>
      </w:r>
      <w:proofErr w:type="spellStart"/>
      <w:r>
        <w:rPr>
          <w:sz w:val="20"/>
          <w:szCs w:val="20"/>
          <w:rtl/>
        </w:rPr>
        <w:t>בבויסק</w:t>
      </w:r>
      <w:proofErr w:type="spellEnd"/>
      <w:r>
        <w:rPr>
          <w:sz w:val="20"/>
          <w:szCs w:val="20"/>
          <w:rtl/>
        </w:rPr>
        <w:t xml:space="preserve">, כשהיה “במסע התרמה למען </w:t>
      </w:r>
      <w:proofErr w:type="spellStart"/>
      <w:r>
        <w:rPr>
          <w:sz w:val="20"/>
          <w:szCs w:val="20"/>
          <w:rtl/>
        </w:rPr>
        <w:t>גרובין</w:t>
      </w:r>
      <w:proofErr w:type="spellEnd"/>
      <w:r>
        <w:rPr>
          <w:sz w:val="20"/>
          <w:szCs w:val="20"/>
          <w:rtl/>
        </w:rPr>
        <w:t xml:space="preserve"> בשנת 1876”. אבל “הצפירה” (תרמ״ב), המובא בהערה 105 לעיל, מדבר על בית הספר שנפתח לאחרונה, </w:t>
      </w:r>
      <w:proofErr w:type="spellStart"/>
      <w:r>
        <w:rPr>
          <w:sz w:val="20"/>
          <w:szCs w:val="20"/>
          <w:rtl/>
        </w:rPr>
        <w:t>ו“הצפירה</w:t>
      </w:r>
      <w:proofErr w:type="spellEnd"/>
      <w:r>
        <w:rPr>
          <w:sz w:val="20"/>
          <w:szCs w:val="20"/>
          <w:rtl/>
        </w:rPr>
        <w:t>” (תרמ״ה), המובא בהערה 104 לעיל, אומר במפורש שבית הספר בן חמש שנים.</w:t>
      </w:r>
    </w:p>
    <w:p w14:paraId="02692ADE" w14:textId="77777777" w:rsidR="00AB3647" w:rsidRDefault="00000000">
      <w:pPr>
        <w:spacing w:after="0" w:before="0"/>
        <w:jc w:val="both"/>
      </w:pPr>
      <w:r>
        <w:rPr>
          <w:sz w:val="20"/>
          <w:szCs w:val="20"/>
          <w:rtl/>
        </w:rPr>
        <w:t xml:space="preserve">השווה גם עמ׳ ג בהקדמה (מאת בני המחבר) </w:t>
      </w:r>
      <w:proofErr w:type="spellStart"/>
      <w:r>
        <w:rPr>
          <w:sz w:val="20"/>
          <w:szCs w:val="20"/>
          <w:rtl/>
        </w:rPr>
        <w:t>ל“ספר</w:t>
      </w:r>
      <w:proofErr w:type="spellEnd"/>
      <w:r>
        <w:rPr>
          <w:sz w:val="20"/>
          <w:szCs w:val="20"/>
          <w:rtl/>
        </w:rPr>
        <w:t xml:space="preserve"> פקוח נפש” מאת “הגאון וכו׳ אליהו מאיר </w:t>
      </w:r>
      <w:proofErr w:type="spellStart"/>
      <w:r>
        <w:rPr>
          <w:sz w:val="20"/>
          <w:szCs w:val="20"/>
          <w:rtl/>
        </w:rPr>
        <w:t>פייוולזאן</w:t>
      </w:r>
      <w:proofErr w:type="spellEnd"/>
      <w:r>
        <w:rPr>
          <w:sz w:val="20"/>
          <w:szCs w:val="20"/>
          <w:rtl/>
        </w:rPr>
        <w:t xml:space="preserve">” (נדפס </w:t>
      </w:r>
      <w:proofErr w:type="spellStart"/>
      <w:r>
        <w:rPr>
          <w:sz w:val="20"/>
          <w:szCs w:val="20"/>
          <w:rtl/>
        </w:rPr>
        <w:t>בתרצ״ד</w:t>
      </w:r>
      <w:proofErr w:type="spellEnd"/>
      <w:r>
        <w:rPr>
          <w:sz w:val="20"/>
          <w:szCs w:val="20"/>
          <w:rtl/>
        </w:rPr>
        <w:t xml:space="preserve">, ללא מקום דפוס). שם נאמר, בתיאור סדר מוסדות הלימוד של ר׳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בילדותו: “[אבא] חזר לבית התלמוד [תורה] </w:t>
      </w:r>
      <w:proofErr w:type="spellStart"/>
      <w:r>
        <w:rPr>
          <w:sz w:val="20"/>
          <w:szCs w:val="20"/>
          <w:rtl/>
        </w:rPr>
        <w:t>בקלם</w:t>
      </w:r>
      <w:proofErr w:type="spellEnd"/>
      <w:r>
        <w:rPr>
          <w:sz w:val="20"/>
          <w:szCs w:val="20"/>
          <w:rtl/>
        </w:rPr>
        <w:t xml:space="preserve"> </w:t>
      </w:r>
      <w:proofErr w:type="spellStart"/>
      <w:r>
        <w:rPr>
          <w:sz w:val="20"/>
          <w:szCs w:val="20"/>
          <w:rtl/>
        </w:rPr>
        <w:t>בתרל״ט</w:t>
      </w:r>
      <w:proofErr w:type="spellEnd"/>
      <w:r>
        <w:rPr>
          <w:sz w:val="20"/>
          <w:szCs w:val="20"/>
          <w:rtl/>
        </w:rPr>
        <w:t xml:space="preserve">, וכאשר הועבר </w:t>
      </w:r>
      <w:proofErr w:type="spellStart"/>
      <w:r>
        <w:rPr>
          <w:sz w:val="20"/>
          <w:szCs w:val="20"/>
          <w:rtl/>
        </w:rPr>
        <w:t>לגרובין</w:t>
      </w:r>
      <w:proofErr w:type="spellEnd"/>
      <w:r>
        <w:rPr>
          <w:sz w:val="20"/>
          <w:szCs w:val="20"/>
          <w:rtl/>
        </w:rPr>
        <w:t xml:space="preserve"> </w:t>
      </w:r>
      <w:proofErr w:type="spellStart"/>
      <w:r>
        <w:rPr>
          <w:sz w:val="20"/>
          <w:szCs w:val="20"/>
          <w:rtl/>
        </w:rPr>
        <w:t>שבקורלנד</w:t>
      </w:r>
      <w:proofErr w:type="spellEnd"/>
      <w:r>
        <w:rPr>
          <w:sz w:val="20"/>
          <w:szCs w:val="20"/>
          <w:rtl/>
        </w:rPr>
        <w:t xml:space="preserve">, נדד גם הוא לשם”. ראה גם להלן (עמ׳ </w:t>
      </w:r>
      <w:r>
        <w:rPr>
          <w:sz w:val="20"/>
          <w:szCs w:val="20"/>
          <w:rtl/>
        </w:rPr>
        <w:fldChar w:fldCharType="begin" w:dirty="true"/>
      </w:r>
      <w:r>
        <w:rPr>
          <w:sz w:val="20"/>
          <w:szCs w:val="20"/>
          <w:rtl/>
        </w:rPr>
        <w:instrText xml:space="preserve"> PAGEREF pr_b_1519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515">
    <w:p w14:paraId="179E46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200–209.</w:t>
      </w:r>
    </w:p>
  </w:footnote>
  <w:footnote w:id="2516">
    <w:p w14:paraId="2DFD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17">
    <w:p w14:paraId="66AF5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18">
    <w:p w14:paraId="6F16E7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206.</w:t>
      </w:r>
    </w:p>
  </w:footnote>
  <w:footnote w:id="2519">
    <w:p w14:paraId="5CBEC0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פ״ט ס״ג.</w:t>
      </w:r>
    </w:p>
  </w:footnote>
  <w:footnote w:id="2520">
    <w:p w14:paraId="1CE80C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139.</w:t>
      </w:r>
    </w:p>
  </w:footnote>
  <w:footnote w:id="2521">
    <w:p w14:paraId="0D3C34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כרך ב, עמ׳ 97–98.</w:t>
      </w:r>
    </w:p>
  </w:footnote>
  <w:footnote w:id="2522">
    <w:p w14:paraId="59BE92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194.</w:t>
      </w:r>
    </w:p>
  </w:footnote>
  <w:footnote w:id="2523">
    <w:p w14:paraId="7F0D633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209.</w:t>
      </w:r>
    </w:p>
  </w:footnote>
  <w:footnote w:id="2524">
    <w:p w14:paraId="3FA41E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מאמר זה נזכר בהערה 104 לעיל.</w:t>
      </w:r>
    </w:p>
  </w:footnote>
  <w:footnote w:id="2525">
    <w:p w14:paraId="163504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197.</w:t>
      </w:r>
    </w:p>
  </w:footnote>
  <w:footnote w:id="2526">
    <w:p w14:paraId="0B08F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“הצפירה”, שם.</w:t>
      </w:r>
    </w:p>
  </w:footnote>
  <w:footnote w:id="2527">
    <w:p w14:paraId="71EBCA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בכרך א, עמ׳ 111.</w:t>
      </w:r>
    </w:p>
  </w:footnote>
  <w:footnote w:id="2528">
    <w:p w14:paraId="7DB7E1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95.</w:t>
      </w:r>
    </w:p>
  </w:footnote>
  <w:footnote w:id="2529">
    <w:p w14:paraId="125F9F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106.</w:t>
      </w:r>
    </w:p>
  </w:footnote>
  <w:footnote w:id="2530">
    <w:p w14:paraId="796EBD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110.</w:t>
      </w:r>
    </w:p>
  </w:footnote>
  <w:footnote w:id="2531">
    <w:p w14:paraId="28788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משלי א, ו.</w:t>
      </w:r>
    </w:p>
  </w:footnote>
  <w:footnote w:id="2532">
    <w:p w14:paraId="31DE7F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כט</w:t>
      </w:r>
      <w:proofErr w:type="spellEnd"/>
      <w:r>
        <w:rPr>
          <w:sz w:val="20"/>
          <w:szCs w:val="20"/>
          <w:rtl/>
        </w:rPr>
        <w:t xml:space="preserve">, </w:t>
      </w:r>
      <w:proofErr w:type="spellStart"/>
      <w:r>
        <w:rPr>
          <w:sz w:val="20"/>
          <w:szCs w:val="20"/>
          <w:rtl/>
        </w:rPr>
        <w:t>יג</w:t>
      </w:r>
      <w:proofErr w:type="spellEnd"/>
      <w:r>
        <w:rPr>
          <w:sz w:val="20"/>
          <w:szCs w:val="20"/>
          <w:rtl/>
        </w:rPr>
        <w:t xml:space="preserve">. סדר היום בישיבות התיכוניות בארצות הברית כיום, שבו לימודי התורה מתקיימים בשעות הבוקר ולימודי החול אחר הצהריים, הולך בעקבות הדגם של </w:t>
      </w:r>
      <w:proofErr w:type="spellStart"/>
      <w:r>
        <w:rPr>
          <w:sz w:val="20"/>
          <w:szCs w:val="20"/>
          <w:rtl/>
        </w:rPr>
        <w:t>גרובין</w:t>
      </w:r>
      <w:proofErr w:type="spellEnd"/>
      <w:r>
        <w:rPr>
          <w:sz w:val="20"/>
          <w:szCs w:val="20"/>
          <w:rtl/>
        </w:rPr>
        <w:t>.</w:t>
      </w:r>
    </w:p>
  </w:footnote>
  <w:footnote w:id="2533">
    <w:p w14:paraId="3FCAA1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107.</w:t>
      </w:r>
    </w:p>
  </w:footnote>
  <w:footnote w:id="2534">
    <w:p w14:paraId="5BA3B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94.</w:t>
      </w:r>
    </w:p>
  </w:footnote>
  <w:footnote w:id="2535">
    <w:p w14:paraId="327E5EF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106.</w:t>
      </w:r>
    </w:p>
  </w:footnote>
  <w:footnote w:id="2536">
    <w:p w14:paraId="350DA9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תחתית עמ׳ 104 ועמ׳ 105.</w:t>
      </w:r>
    </w:p>
  </w:footnote>
  <w:footnote w:id="2537">
    <w:p w14:paraId="681B65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103.</w:t>
      </w:r>
    </w:p>
  </w:footnote>
  <w:footnote w:id="2538">
    <w:p w14:paraId="7E227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109.</w:t>
      </w:r>
    </w:p>
  </w:footnote>
  <w:footnote w:id="2539">
    <w:p w14:paraId="0B78E8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105.</w:t>
      </w:r>
    </w:p>
  </w:footnote>
  <w:footnote w:id="2540">
    <w:p w14:paraId="387CB1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“כתבי הסבא”, שם: איגרות </w:t>
      </w:r>
      <w:proofErr w:type="spellStart"/>
      <w:r>
        <w:rPr>
          <w:sz w:val="20"/>
          <w:szCs w:val="20"/>
          <w:rtl/>
        </w:rPr>
        <w:t>נז</w:t>
      </w:r>
      <w:proofErr w:type="spellEnd"/>
      <w:r>
        <w:rPr>
          <w:sz w:val="20"/>
          <w:szCs w:val="20"/>
          <w:rtl/>
        </w:rPr>
        <w:t xml:space="preserve"> </w:t>
      </w:r>
      <w:proofErr w:type="spellStart"/>
      <w:r>
        <w:rPr>
          <w:sz w:val="20"/>
          <w:szCs w:val="20"/>
          <w:rtl/>
        </w:rPr>
        <w:t>וסא</w:t>
      </w:r>
      <w:proofErr w:type="spellEnd"/>
      <w:r>
        <w:rPr>
          <w:sz w:val="20"/>
          <w:szCs w:val="20"/>
          <w:rtl/>
        </w:rPr>
        <w:t>, ששתיהן מופנות בבירור להורה בעל מוסר, ייתכן שנכתבו לאביו של ישראל אלישיב.</w:t>
      </w:r>
    </w:p>
  </w:footnote>
  <w:footnote w:id="2541">
    <w:p w14:paraId="22A4C4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212–213.</w:t>
      </w:r>
    </w:p>
  </w:footnote>
  <w:footnote w:id="2542">
    <w:p w14:paraId="26074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איוב לב, ט.</w:t>
      </w:r>
    </w:p>
  </w:footnote>
  <w:footnote w:id="2543">
    <w:p w14:paraId="00388B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קיט, </w:t>
      </w:r>
      <w:proofErr w:type="spellStart"/>
      <w:r>
        <w:rPr>
          <w:sz w:val="20"/>
          <w:szCs w:val="20"/>
          <w:rtl/>
        </w:rPr>
        <w:t>קכו</w:t>
      </w:r>
      <w:proofErr w:type="spellEnd"/>
      <w:r>
        <w:rPr>
          <w:sz w:val="20"/>
          <w:szCs w:val="20"/>
          <w:rtl/>
        </w:rPr>
        <w:t xml:space="preserve">. פסוק זה מתפרש בברכות נד ע״א </w:t>
      </w:r>
      <w:proofErr w:type="spellStart"/>
      <w:r>
        <w:rPr>
          <w:sz w:val="20"/>
          <w:szCs w:val="20"/>
          <w:rtl/>
        </w:rPr>
        <w:t>ובגיטין</w:t>
      </w:r>
      <w:proofErr w:type="spellEnd"/>
      <w:r>
        <w:rPr>
          <w:sz w:val="20"/>
          <w:szCs w:val="20"/>
          <w:rtl/>
        </w:rPr>
        <w:t xml:space="preserve"> ס ע״א כהיתר לבטל פרטים מסוימים מן התורה כדי ‘לעשות לה׳’ ולקיים את התורה כולה (השווה רש״י שם, ד״ה עת לעשות לה׳).</w:t>
      </w:r>
    </w:p>
  </w:footnote>
  <w:footnote w:id="2544">
    <w:p w14:paraId="1443D7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“אורחות חיים”, אות </w:t>
      </w:r>
      <w:proofErr w:type="spellStart"/>
      <w:r>
        <w:rPr>
          <w:sz w:val="20"/>
          <w:szCs w:val="20"/>
          <w:rtl/>
        </w:rPr>
        <w:t>נה</w:t>
      </w:r>
      <w:proofErr w:type="spellEnd"/>
      <w:r>
        <w:rPr>
          <w:sz w:val="20"/>
          <w:szCs w:val="20"/>
          <w:rtl/>
        </w:rPr>
        <w:t>.</w:t>
      </w:r>
    </w:p>
  </w:footnote>
  <w:footnote w:id="2545">
    <w:p w14:paraId="09ADE4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כץ, “תנועת המוסר”, כרך ב, עמ׳ 65.</w:t>
      </w:r>
    </w:p>
  </w:footnote>
  <w:footnote w:id="2546">
    <w:p w14:paraId="6F2A66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47">
    <w:p w14:paraId="48B185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איגרת ס. גם ההדגשה הראשונה בפסקה זו מלמדת שהסבא מקלם ראה את תוכניתו כדרך שהייתה רגילה בזמנים קדומים יותר.</w:t>
      </w:r>
    </w:p>
  </w:footnote>
  <w:footnote w:id="2548">
    <w:p w14:paraId="5D57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217, הערה 16.</w:t>
      </w:r>
    </w:p>
  </w:footnote>
  <w:footnote w:id="2549">
    <w:p w14:paraId="7837F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1446.</w:t>
      </w:r>
    </w:p>
  </w:footnote>
  <w:footnote w:id="2550">
    <w:p w14:paraId="163AF2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הובא לעיל (עמ׳ </w:t>
      </w:r>
      <w:r>
        <w:rPr>
          <w:rStyle w:val="a5"/>
          <w:sz w:val="20"/>
          <w:szCs w:val="20"/>
          <w:vertAlign w:val="baseline"/>
          <w:rtl/>
        </w:rPr>
        <w:fldChar w:fldCharType="begin" w:dirty="true"/>
      </w:r>
      <w:r>
        <w:rPr>
          <w:rStyle w:val="a5"/>
          <w:sz w:val="20"/>
          <w:szCs w:val="20"/>
          <w:vertAlign w:val="baseline"/>
          <w:rtl/>
        </w:rPr>
        <w:instrText xml:space="preserve"> PAGEREF pr_f_2408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pr_f_2408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1454</w:t>
      </w:r>
      <w:r>
        <w:rPr>
          <w:rStyle w:val="a5"/>
          <w:sz w:val="20"/>
          <w:szCs w:val="20"/>
          <w:vertAlign w:val="baseline"/>
          <w:rtl/>
        </w:rPr>
        <w:fldChar w:fldCharType="end"/>
      </w:r>
      <w:r>
        <w:rPr>
          <w:sz w:val="20"/>
          <w:szCs w:val="20"/>
          <w:rtl/>
        </w:rPr>
        <w:t>) – עמ׳ ד, הערה א.</w:t>
      </w:r>
    </w:p>
  </w:footnote>
  <w:footnote w:id="2551">
    <w:p w14:paraId="6E868C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האמור שם, עמ׳ ג.</w:t>
      </w:r>
    </w:p>
  </w:footnote>
  <w:footnote w:id="2552">
    <w:p w14:paraId="3AC01D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216–217.</w:t>
      </w:r>
    </w:p>
  </w:footnote>
  <w:footnote w:id="2553">
    <w:p w14:paraId="774874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רמז לעגל הזהב (על פי שמות לב, כד).</w:t>
      </w:r>
    </w:p>
  </w:footnote>
  <w:footnote w:id="2554">
    <w:p w14:paraId="31B39B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במדבר </w:t>
      </w:r>
      <w:proofErr w:type="spellStart"/>
      <w:r>
        <w:rPr>
          <w:sz w:val="20"/>
          <w:szCs w:val="20"/>
          <w:rtl/>
        </w:rPr>
        <w:t>יט</w:t>
      </w:r>
      <w:proofErr w:type="spellEnd"/>
      <w:r>
        <w:rPr>
          <w:sz w:val="20"/>
          <w:szCs w:val="20"/>
          <w:rtl/>
        </w:rPr>
        <w:t>.</w:t>
      </w:r>
    </w:p>
  </w:footnote>
  <w:footnote w:id="2555">
    <w:p w14:paraId="5272AE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פרה פ״ג מ״ט.</w:t>
      </w:r>
    </w:p>
  </w:footnote>
  <w:footnote w:id="2556">
    <w:p w14:paraId="148D89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57">
    <w:p w14:paraId="14CE1E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מסכת יומא.</w:t>
      </w:r>
    </w:p>
  </w:footnote>
  <w:footnote w:id="2558">
    <w:p w14:paraId="426454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מעניין שהלכות פרה אדומה הנחו את הסבא מקלם כיצד למנוע מהכנסת לימודי החול להפוך את בית ספרו למה שתיאר כעגל הזהב. ראה ברש״י, במדבר </w:t>
      </w:r>
      <w:proofErr w:type="spellStart"/>
      <w:r>
        <w:rPr>
          <w:sz w:val="20"/>
          <w:szCs w:val="20"/>
          <w:rtl/>
        </w:rPr>
        <w:t>יט</w:t>
      </w:r>
      <w:proofErr w:type="spellEnd"/>
      <w:r>
        <w:rPr>
          <w:sz w:val="20"/>
          <w:szCs w:val="20"/>
          <w:rtl/>
        </w:rPr>
        <w:t xml:space="preserve">, </w:t>
      </w:r>
      <w:proofErr w:type="spellStart"/>
      <w:r>
        <w:rPr>
          <w:sz w:val="20"/>
          <w:szCs w:val="20"/>
          <w:rtl/>
        </w:rPr>
        <w:t>כב</w:t>
      </w:r>
      <w:proofErr w:type="spellEnd"/>
      <w:r>
        <w:rPr>
          <w:sz w:val="20"/>
          <w:szCs w:val="20"/>
          <w:rtl/>
        </w:rPr>
        <w:t xml:space="preserve">, את פירושו הדרשני של רבי משה הדרשן, שמטרת הפרה האדומה הייתה לבטל את השפעתו המזיקה של עגל הזהב. ובלשונו הציורית של רש״י: “משל לבן שפחה שטינף פלטין של מלך אמרו </w:t>
      </w:r>
      <w:proofErr w:type="spellStart"/>
      <w:r>
        <w:rPr>
          <w:sz w:val="20"/>
          <w:szCs w:val="20"/>
          <w:rtl/>
        </w:rPr>
        <w:t>תבא</w:t>
      </w:r>
      <w:proofErr w:type="spellEnd"/>
      <w:r>
        <w:rPr>
          <w:sz w:val="20"/>
          <w:szCs w:val="20"/>
          <w:rtl/>
        </w:rPr>
        <w:t xml:space="preserve"> </w:t>
      </w:r>
      <w:proofErr w:type="spellStart"/>
      <w:r>
        <w:rPr>
          <w:sz w:val="20"/>
          <w:szCs w:val="20"/>
          <w:rtl/>
        </w:rPr>
        <w:t>אמו</w:t>
      </w:r>
      <w:proofErr w:type="spellEnd"/>
      <w:r>
        <w:rPr>
          <w:sz w:val="20"/>
          <w:szCs w:val="20"/>
          <w:rtl/>
        </w:rPr>
        <w:t xml:space="preserve"> ותקנח הצואה כך </w:t>
      </w:r>
      <w:proofErr w:type="spellStart"/>
      <w:r>
        <w:rPr>
          <w:sz w:val="20"/>
          <w:szCs w:val="20"/>
          <w:rtl/>
        </w:rPr>
        <w:t>תבא</w:t>
      </w:r>
      <w:proofErr w:type="spellEnd"/>
      <w:r>
        <w:rPr>
          <w:sz w:val="20"/>
          <w:szCs w:val="20"/>
          <w:rtl/>
        </w:rPr>
        <w:t xml:space="preserve"> פרה [האם] ותכפר על העגל [בנה]”.</w:t>
      </w:r>
    </w:p>
  </w:footnote>
  <w:footnote w:id="2559">
    <w:p w14:paraId="1DFE59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השנייה בנספח </w:t>
      </w:r>
      <w:proofErr w:type="spellStart"/>
      <w:r>
        <w:rPr>
          <w:sz w:val="20"/>
          <w:szCs w:val="20"/>
          <w:rtl/>
        </w:rPr>
        <w:t>יז</w:t>
      </w:r>
      <w:proofErr w:type="spellEnd"/>
      <w:r>
        <w:rPr>
          <w:sz w:val="20"/>
          <w:szCs w:val="20"/>
          <w:rtl/>
        </w:rPr>
        <w:t xml:space="preserve"> לעיל, על עמדת הסבא </w:t>
      </w:r>
      <w:proofErr w:type="spellStart"/>
      <w:r>
        <w:rPr>
          <w:sz w:val="20"/>
          <w:szCs w:val="20"/>
          <w:rtl/>
        </w:rPr>
        <w:t>מסלבודקה</w:t>
      </w:r>
      <w:proofErr w:type="spellEnd"/>
      <w:r>
        <w:rPr>
          <w:sz w:val="20"/>
          <w:szCs w:val="20"/>
          <w:rtl/>
        </w:rPr>
        <w:t xml:space="preserve"> בעניין זה.</w:t>
      </w:r>
    </w:p>
  </w:footnote>
  <w:footnote w:id="2560">
    <w:p w14:paraId="41AA46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קצא</w:t>
      </w:r>
      <w:proofErr w:type="spellEnd"/>
      <w:r>
        <w:rPr>
          <w:sz w:val="20"/>
          <w:szCs w:val="20"/>
          <w:rtl/>
        </w:rPr>
        <w:t>. האיגרת מתוארכת ליום שישי, י״ז באלול תרמ״ב, לאחר הקיץ האחרון בחיי ר׳ ישראל, כשחזר מפריז וביקר בקובנה בפעם האחרונה.</w:t>
      </w:r>
    </w:p>
  </w:footnote>
  <w:footnote w:id="2561">
    <w:p w14:paraId="3C4FFD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16 בעמ׳ 217.</w:t>
      </w:r>
    </w:p>
  </w:footnote>
  <w:footnote w:id="2562">
    <w:p w14:paraId="63C7A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קיומה המתמשך של מסורת כזאת מחזק את הדעה שהביע אבי, </w:t>
      </w:r>
      <w:proofErr w:type="spellStart"/>
      <w:r>
        <w:rPr>
          <w:sz w:val="20"/>
          <w:szCs w:val="20"/>
          <w:rtl/>
        </w:rPr>
        <w:t>שגרובין</w:t>
      </w:r>
      <w:proofErr w:type="spellEnd"/>
      <w:r>
        <w:rPr>
          <w:sz w:val="20"/>
          <w:szCs w:val="20"/>
          <w:rtl/>
        </w:rPr>
        <w:t xml:space="preserve"> נסגרה משום שהסבא מקלם החליט שנכשלה בשליחותה החינוכית, כמובא בפסקה השנייה בנספח </w:t>
      </w:r>
      <w:proofErr w:type="spellStart"/>
      <w:r>
        <w:rPr>
          <w:sz w:val="20"/>
          <w:szCs w:val="20"/>
          <w:rtl/>
        </w:rPr>
        <w:t>יז</w:t>
      </w:r>
      <w:proofErr w:type="spellEnd"/>
      <w:r>
        <w:rPr>
          <w:sz w:val="20"/>
          <w:szCs w:val="20"/>
          <w:rtl/>
        </w:rPr>
        <w:t xml:space="preserve"> לעיל; אבל ראה שם שהוכח שדעה זו אינה נכונה. מסורת זו מלמדת שגם אחרי שהרשה ר׳ ישראל לתלמידו לפתוח את בית הספר, עדיין היו לו ספקות אם יוכל להתקיים מבחינה רוחנית; ייתכן שטיפח אותה הסבא </w:t>
      </w:r>
      <w:proofErr w:type="spellStart"/>
      <w:r>
        <w:rPr>
          <w:sz w:val="20"/>
          <w:szCs w:val="20"/>
          <w:rtl/>
        </w:rPr>
        <w:t>מסלבודקה</w:t>
      </w:r>
      <w:proofErr w:type="spellEnd"/>
      <w:r>
        <w:rPr>
          <w:sz w:val="20"/>
          <w:szCs w:val="20"/>
          <w:rtl/>
        </w:rPr>
        <w:t xml:space="preserve">, שביקש לערער את מעמדה של </w:t>
      </w:r>
      <w:proofErr w:type="spellStart"/>
      <w:r>
        <w:rPr>
          <w:sz w:val="20"/>
          <w:szCs w:val="20"/>
          <w:rtl/>
        </w:rPr>
        <w:t>גרובין</w:t>
      </w:r>
      <w:proofErr w:type="spellEnd"/>
      <w:r>
        <w:rPr>
          <w:sz w:val="20"/>
          <w:szCs w:val="20"/>
          <w:rtl/>
        </w:rPr>
        <w:t>.</w:t>
      </w:r>
    </w:p>
  </w:footnote>
  <w:footnote w:id="2563">
    <w:p w14:paraId="7E4BC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בסוף הערה 69 לעיל.</w:t>
      </w:r>
    </w:p>
  </w:footnote>
  <w:footnote w:id="2564">
    <w:p w14:paraId="3B4B85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הרב לב זכה לתמיכתו הכללית של רבנו בהקמת בית הספר הגבוה לטכנולוגיה. אבל אבי התנה שבניגוד למוסדות מסוג זה בארצות הברית, כגון ישיבת רבנו יצחק אלחנן, בית הספר של הרב לב לא יוכל לכנות את עצמו ישיבה, ואף לא להעניק לתלמידיו דחיית שירות צבאי, כמו שעושות כל הישיבות בישראל. עוד בעניין זה ראה כרך 3.</w:t>
      </w:r>
    </w:p>
  </w:footnote>
  <w:footnote w:id="2565">
    <w:p w14:paraId="5B4C46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21 וסוף נספח כד בפרק זה.</w:t>
      </w:r>
    </w:p>
  </w:footnote>
  <w:footnote w:id="2566">
    <w:p w14:paraId="18398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כיצד תיאורו של ר׳ רפאל הירש, שהודגש, את המצב ברוסיה מהדהד את הערכתו של ר׳ ישראל.</w:t>
      </w:r>
    </w:p>
  </w:footnote>
  <w:footnote w:id="2567">
    <w:p w14:paraId="7288B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27 בגיליון טבת תשכ״ט.</w:t>
      </w:r>
    </w:p>
  </w:footnote>
  <w:footnote w:id="2568">
    <w:p w14:paraId="01C3CA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איני יכול לקבל את ההנחה של ד״ר </w:t>
      </w:r>
      <w:proofErr w:type="spellStart"/>
      <w:r>
        <w:rPr>
          <w:sz w:val="20"/>
          <w:szCs w:val="20"/>
          <w:rtl/>
        </w:rPr>
        <w:t>ברויאר</w:t>
      </w:r>
      <w:proofErr w:type="spellEnd"/>
      <w:r>
        <w:rPr>
          <w:sz w:val="20"/>
          <w:szCs w:val="20"/>
          <w:rtl/>
        </w:rPr>
        <w:t xml:space="preserve">, שהיו כאן “רמזים עמומים” מכוונים מצד תלמיד המוסר של ר׳ ישראל </w:t>
      </w:r>
      <w:proofErr w:type="spellStart"/>
      <w:r>
        <w:rPr>
          <w:sz w:val="20"/>
          <w:szCs w:val="20"/>
          <w:rtl/>
        </w:rPr>
        <w:t>סלנטר</w:t>
      </w:r>
      <w:proofErr w:type="spellEnd"/>
      <w:r>
        <w:rPr>
          <w:sz w:val="20"/>
          <w:szCs w:val="20"/>
          <w:rtl/>
        </w:rPr>
        <w:t xml:space="preserve">, או “ייפוי” מצד הצדיק ר׳ רפאל הירש. ר׳ </w:t>
      </w:r>
      <w:proofErr w:type="spellStart"/>
      <w:r>
        <w:rPr>
          <w:sz w:val="20"/>
          <w:szCs w:val="20"/>
          <w:rtl/>
        </w:rPr>
        <w:t>אברמצ׳יק</w:t>
      </w:r>
      <w:proofErr w:type="spellEnd"/>
      <w:r>
        <w:rPr>
          <w:sz w:val="20"/>
          <w:szCs w:val="20"/>
          <w:rtl/>
        </w:rPr>
        <w:t xml:space="preserve"> דיבר יידיש ליטאית ור׳ שמשון דיבר גרמנית, ולכן </w:t>
      </w:r>
      <w:proofErr w:type="spellStart"/>
      <w:r>
        <w:rPr>
          <w:sz w:val="20"/>
          <w:szCs w:val="20"/>
          <w:rtl/>
        </w:rPr>
        <w:t>אי־הבנה</w:t>
      </w:r>
      <w:proofErr w:type="spellEnd"/>
      <w:r>
        <w:rPr>
          <w:sz w:val="20"/>
          <w:szCs w:val="20"/>
          <w:rtl/>
        </w:rPr>
        <w:t xml:space="preserve"> יכלה להתעורר בנקל. ראה גם הערת שוליים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כיצד ייתכן </w:t>
      </w:r>
      <w:proofErr w:type="spellStart"/>
      <w:r>
        <w:rPr>
          <w:sz w:val="20"/>
          <w:szCs w:val="20"/>
          <w:rtl/>
        </w:rPr>
        <w:t>שאי־הבנה</w:t>
      </w:r>
      <w:proofErr w:type="spellEnd"/>
      <w:r>
        <w:rPr>
          <w:sz w:val="20"/>
          <w:szCs w:val="20"/>
          <w:rtl/>
        </w:rPr>
        <w:t xml:space="preserve"> אחרת בין גדולים נבעה מהבדל לשוני.</w:t>
      </w:r>
    </w:p>
  </w:footnote>
  <w:footnote w:id="2569">
    <w:p w14:paraId="4F3E6A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במכתבו מכ״ד באלול תשנ״ד, שהוזכר לעיל, דחה ד״ר </w:t>
      </w:r>
      <w:proofErr w:type="spellStart"/>
      <w:r>
        <w:rPr>
          <w:sz w:val="20"/>
          <w:szCs w:val="20"/>
          <w:rtl/>
        </w:rPr>
        <w:t>ברויאר</w:t>
      </w:r>
      <w:proofErr w:type="spellEnd"/>
      <w:r>
        <w:rPr>
          <w:sz w:val="20"/>
          <w:szCs w:val="20"/>
          <w:rtl/>
        </w:rPr>
        <w:t xml:space="preserve"> את ההשערה המוצעת כאן, משום שלפי מה שפרסם </w:t>
      </w:r>
      <w:proofErr w:type="spellStart"/>
      <w:r>
        <w:rPr>
          <w:sz w:val="20"/>
          <w:szCs w:val="20"/>
          <w:rtl/>
        </w:rPr>
        <w:t>ב“דער</w:t>
      </w:r>
      <w:proofErr w:type="spellEnd"/>
      <w:r>
        <w:rPr>
          <w:sz w:val="20"/>
          <w:szCs w:val="20"/>
          <w:rtl/>
        </w:rPr>
        <w:t xml:space="preserve"> </w:t>
      </w:r>
      <w:proofErr w:type="spellStart"/>
      <w:r>
        <w:rPr>
          <w:sz w:val="20"/>
          <w:szCs w:val="20"/>
          <w:rtl/>
        </w:rPr>
        <w:t>איזראעליט</w:t>
      </w:r>
      <w:proofErr w:type="spellEnd"/>
      <w:r>
        <w:rPr>
          <w:sz w:val="20"/>
          <w:szCs w:val="20"/>
          <w:rtl/>
        </w:rPr>
        <w:t xml:space="preserve">” חזר הרב מרקוס להמן </w:t>
      </w:r>
      <w:proofErr w:type="spellStart"/>
      <w:r>
        <w:rPr>
          <w:sz w:val="20"/>
          <w:szCs w:val="20"/>
          <w:rtl/>
        </w:rPr>
        <w:t>ממיינץ</w:t>
      </w:r>
      <w:proofErr w:type="spellEnd"/>
      <w:r>
        <w:rPr>
          <w:sz w:val="20"/>
          <w:szCs w:val="20"/>
          <w:rtl/>
        </w:rPr>
        <w:t xml:space="preserve"> – שגם בה ביקר ר׳ </w:t>
      </w:r>
      <w:proofErr w:type="spellStart"/>
      <w:r>
        <w:rPr>
          <w:sz w:val="20"/>
          <w:szCs w:val="20"/>
          <w:rtl/>
        </w:rPr>
        <w:t>אברמצ׳יק</w:t>
      </w:r>
      <w:proofErr w:type="spellEnd"/>
      <w:r>
        <w:rPr>
          <w:sz w:val="20"/>
          <w:szCs w:val="20"/>
          <w:rtl/>
        </w:rPr>
        <w:t xml:space="preserve"> – על תפיסתו של הרב הירש בדבר תוכנית הכולל. אבל ייתכן שהדבר אירע מפני שהרב הירש עצמו כתב את תיאור הכולל לרב להמן באיגרת ההמלצה על הרב שנקר, בלי שר׳ </w:t>
      </w:r>
      <w:proofErr w:type="spellStart"/>
      <w:r>
        <w:rPr>
          <w:sz w:val="20"/>
          <w:szCs w:val="20"/>
          <w:rtl/>
        </w:rPr>
        <w:t>אברמצ׳יק</w:t>
      </w:r>
      <w:proofErr w:type="spellEnd"/>
      <w:r>
        <w:rPr>
          <w:sz w:val="20"/>
          <w:szCs w:val="20"/>
          <w:rtl/>
        </w:rPr>
        <w:t xml:space="preserve"> קרא אותה כלל (ראה בפסקה השנייה בנספח ה לעיל על איגרת המלצה אחרת שנמסרה לבעל מוסר כדי שיביאה).</w:t>
      </w:r>
    </w:p>
  </w:footnote>
  <w:footnote w:id="2570">
    <w:p w14:paraId="287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113.</w:t>
      </w:r>
    </w:p>
  </w:footnote>
  <w:footnote w:id="2571">
    <w:p w14:paraId="27D95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250.</w:t>
      </w:r>
    </w:p>
  </w:footnote>
  <w:footnote w:id="2572">
    <w:p w14:paraId="573328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המאמר האלמוני </w:t>
      </w:r>
      <w:proofErr w:type="spellStart"/>
      <w:r>
        <w:rPr>
          <w:sz w:val="20"/>
          <w:szCs w:val="20"/>
          <w:rtl/>
        </w:rPr>
        <w:t>ב“הזמן</w:t>
      </w:r>
      <w:proofErr w:type="spellEnd"/>
      <w:r>
        <w:rPr>
          <w:sz w:val="20"/>
          <w:szCs w:val="20"/>
          <w:rtl/>
        </w:rPr>
        <w:t>”, נספח א לעיל.</w:t>
      </w:r>
    </w:p>
  </w:footnote>
  <w:footnote w:id="2573">
    <w:p w14:paraId="60B4C6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261–262 ו־305–309.</w:t>
      </w:r>
    </w:p>
  </w:footnote>
  <w:footnote w:id="2574">
    <w:p w14:paraId="12220A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w:t>
      </w:r>
      <w:proofErr w:type="spellStart"/>
      <w:r>
        <w:rPr>
          <w:sz w:val="20"/>
          <w:szCs w:val="20"/>
          <w:rtl/>
        </w:rPr>
        <w:t>נכדו־חתנו</w:t>
      </w:r>
      <w:proofErr w:type="spellEnd"/>
      <w:r>
        <w:rPr>
          <w:sz w:val="20"/>
          <w:szCs w:val="20"/>
          <w:rtl/>
        </w:rPr>
        <w:t xml:space="preserve"> של ר׳ ישראל,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הבחין בזמנו בין גרמניה ובין היישוב בארץ ישראל. השווה “קולמוס הלב” (ירושלים, תשנ״ו), עמ׳ קסט, שם מובאת איגרת משנת תשט״ז מאת ר׳ אברהם </w:t>
      </w:r>
      <w:proofErr w:type="spellStart"/>
      <w:r>
        <w:rPr>
          <w:sz w:val="20"/>
          <w:szCs w:val="20"/>
          <w:rtl/>
        </w:rPr>
        <w:t>קלמנוביץ</w:t>
      </w:r>
      <w:proofErr w:type="spellEnd"/>
      <w:r>
        <w:rPr>
          <w:sz w:val="20"/>
          <w:szCs w:val="20"/>
          <w:rtl/>
        </w:rPr>
        <w:t xml:space="preserve"> </w:t>
      </w:r>
      <w:proofErr w:type="spellStart"/>
      <w:r>
        <w:rPr>
          <w:sz w:val="20"/>
          <w:szCs w:val="20"/>
          <w:rtl/>
        </w:rPr>
        <w:t>לר</w:t>
      </w:r>
      <w:proofErr w:type="spellEnd"/>
      <w:r>
        <w:rPr>
          <w:sz w:val="20"/>
          <w:szCs w:val="20"/>
          <w:rtl/>
        </w:rPr>
        <w:t xml:space="preserve">׳ יצחק־זאב </w:t>
      </w:r>
      <w:proofErr w:type="spellStart"/>
      <w:r>
        <w:rPr>
          <w:sz w:val="20"/>
          <w:szCs w:val="20"/>
          <w:rtl/>
        </w:rPr>
        <w:t>סולובייצ׳יק</w:t>
      </w:r>
      <w:proofErr w:type="spellEnd"/>
      <w:r>
        <w:rPr>
          <w:sz w:val="20"/>
          <w:szCs w:val="20"/>
          <w:rtl/>
        </w:rPr>
        <w:t xml:space="preserve"> ולשאר חברי ועד הישיבות בארץ ישראל, ובה הוא מזכיר: “זכרוני </w:t>
      </w:r>
      <w:proofErr w:type="spellStart"/>
      <w:r>
        <w:rPr>
          <w:sz w:val="20"/>
          <w:szCs w:val="20"/>
          <w:rtl/>
        </w:rPr>
        <w:t>שהגרח״ע</w:t>
      </w:r>
      <w:proofErr w:type="spellEnd"/>
      <w:r>
        <w:rPr>
          <w:sz w:val="20"/>
          <w:szCs w:val="20"/>
          <w:rtl/>
        </w:rPr>
        <w:t xml:space="preserve"> זצ״ל מחה בכל תוקף אף בהצדיק ר״מ [בנו של ר׳ עזריאל] </w:t>
      </w:r>
      <w:proofErr w:type="spellStart"/>
      <w:r>
        <w:rPr>
          <w:sz w:val="20"/>
          <w:szCs w:val="20"/>
          <w:rtl/>
        </w:rPr>
        <w:t>הילדסהיימער</w:t>
      </w:r>
      <w:proofErr w:type="spellEnd"/>
      <w:r>
        <w:rPr>
          <w:sz w:val="20"/>
          <w:szCs w:val="20"/>
          <w:rtl/>
        </w:rPr>
        <w:t xml:space="preserve"> ז״ל שלא לעשות סניף הסמינר שלהם בארה״ק לתלמידי אשכנז, ואמר לו שאר״י שאני [מגרמניה]”.</w:t>
      </w:r>
    </w:p>
  </w:footnote>
  <w:footnote w:id="2575">
    <w:p w14:paraId="3EFD8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87.</w:t>
      </w:r>
    </w:p>
  </w:footnote>
  <w:footnote w:id="2576">
    <w:p w14:paraId="1E2EDE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רצד.</w:t>
      </w:r>
    </w:p>
  </w:footnote>
  <w:footnote w:id="2577">
    <w:p w14:paraId="071937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בשיחת </w:t>
      </w:r>
      <w:proofErr w:type="spellStart"/>
      <w:r>
        <w:rPr>
          <w:sz w:val="20"/>
          <w:szCs w:val="20"/>
          <w:rtl/>
        </w:rPr>
        <w:t>ליבוביץ</w:t>
      </w:r>
      <w:proofErr w:type="spellEnd"/>
      <w:r>
        <w:rPr>
          <w:sz w:val="20"/>
          <w:szCs w:val="20"/>
          <w:rtl/>
        </w:rPr>
        <w:t xml:space="preserve"> (נספח א לעיל).</w:t>
      </w:r>
    </w:p>
  </w:footnote>
  <w:footnote w:id="2578">
    <w:p w14:paraId="6D6C38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ראובן מס, ירושלים, תשכ״ו – עמ׳ עד.</w:t>
      </w:r>
    </w:p>
  </w:footnote>
  <w:footnote w:id="2579">
    <w:p w14:paraId="6BC26B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0">
    <w:p w14:paraId="1C9F94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טז</w:t>
      </w:r>
      <w:proofErr w:type="spellEnd"/>
      <w:r>
        <w:rPr>
          <w:sz w:val="20"/>
          <w:szCs w:val="20"/>
          <w:rtl/>
        </w:rPr>
        <w:t xml:space="preserve"> לעיל – עמ׳ </w:t>
      </w:r>
      <w:proofErr w:type="spellStart"/>
      <w:r>
        <w:rPr>
          <w:sz w:val="20"/>
          <w:szCs w:val="20"/>
          <w:rtl/>
        </w:rPr>
        <w:t>תמב</w:t>
      </w:r>
      <w:proofErr w:type="spellEnd"/>
      <w:r>
        <w:rPr>
          <w:sz w:val="20"/>
          <w:szCs w:val="20"/>
          <w:rtl/>
        </w:rPr>
        <w:t>.</w:t>
      </w:r>
    </w:p>
  </w:footnote>
  <w:footnote w:id="2581">
    <w:p w14:paraId="310F02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ו לעיל – עמ׳ 25–26.</w:t>
      </w:r>
    </w:p>
  </w:footnote>
  <w:footnote w:id="2582">
    <w:p w14:paraId="27F20C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w:t>
      </w:r>
    </w:p>
  </w:footnote>
  <w:footnote w:id="2583">
    <w:p w14:paraId="0BDD6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א וסוף נספח </w:t>
      </w:r>
      <w:proofErr w:type="spellStart"/>
      <w:r>
        <w:rPr>
          <w:sz w:val="20"/>
          <w:szCs w:val="20"/>
          <w:rtl/>
        </w:rPr>
        <w:t>יב</w:t>
      </w:r>
      <w:proofErr w:type="spellEnd"/>
      <w:r>
        <w:rPr>
          <w:sz w:val="20"/>
          <w:szCs w:val="20"/>
          <w:rtl/>
        </w:rPr>
        <w:t xml:space="preserve"> לעיל, שהמשכילים כבר הפיצו שמועת שווא </w:t>
      </w:r>
      <w:proofErr w:type="spellStart"/>
      <w:r>
        <w:rPr>
          <w:sz w:val="20"/>
          <w:szCs w:val="20"/>
          <w:rtl/>
        </w:rPr>
        <w:t>חמש־עשרה</w:t>
      </w:r>
      <w:proofErr w:type="spellEnd"/>
      <w:r>
        <w:rPr>
          <w:sz w:val="20"/>
          <w:szCs w:val="20"/>
          <w:rtl/>
        </w:rPr>
        <w:t xml:space="preserve"> שנה קודם לכן שפרצה מחלוקת בין לחמן לבין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מנהל כולל קובנה.</w:t>
      </w:r>
    </w:p>
  </w:footnote>
  <w:footnote w:id="2584">
    <w:p w14:paraId="4741DB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השערה זו נכונה, המוסר שהסיק ר׳ </w:t>
      </w:r>
      <w:proofErr w:type="spellStart"/>
      <w:r>
        <w:rPr>
          <w:sz w:val="20"/>
          <w:szCs w:val="20"/>
          <w:rtl/>
        </w:rPr>
        <w:t>ברוך־בער</w:t>
      </w:r>
      <w:proofErr w:type="spellEnd"/>
      <w:r>
        <w:rPr>
          <w:sz w:val="20"/>
          <w:szCs w:val="20"/>
          <w:rtl/>
        </w:rPr>
        <w:t xml:space="preserve"> מדברי רבו – שיש לעמוד “על המשמר כל ימיו כל חייו” – אינו כללי כל כך כפי שקבע ר׳ </w:t>
      </w:r>
      <w:proofErr w:type="spellStart"/>
      <w:r>
        <w:rPr>
          <w:sz w:val="20"/>
          <w:szCs w:val="20"/>
          <w:rtl/>
        </w:rPr>
        <w:t>ברוך־בער</w:t>
      </w:r>
      <w:proofErr w:type="spellEnd"/>
      <w:r>
        <w:rPr>
          <w:sz w:val="20"/>
          <w:szCs w:val="20"/>
          <w:rtl/>
        </w:rPr>
        <w:t xml:space="preserve"> בשיחה לתלמידיו, שהרי ר׳ חיים החיל את העיקרון על מי ש</w:t>
      </w:r>
      <w:r>
        <w:rPr>
          <w:b/>
          <w:bCs/>
          <w:sz w:val="20"/>
          <w:szCs w:val="20"/>
          <w:rtl/>
        </w:rPr>
        <w:t>נסוג</w:t>
      </w:r>
      <w:r>
        <w:rPr>
          <w:sz w:val="20"/>
          <w:szCs w:val="20"/>
          <w:rtl/>
        </w:rPr>
        <w:t xml:space="preserve"> מן המעשים הטובים שעשה.</w:t>
      </w:r>
    </w:p>
  </w:footnote>
  <w:footnote w:id="2585">
    <w:p w14:paraId="4492EE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בעניין השידוך בין אלכסנדר קרליבך למלכה </w:t>
      </w:r>
      <w:proofErr w:type="spellStart"/>
      <w:r>
        <w:rPr>
          <w:sz w:val="20"/>
          <w:szCs w:val="20"/>
          <w:rtl/>
        </w:rPr>
        <w:t>פרסיץ</w:t>
      </w:r>
      <w:proofErr w:type="spellEnd"/>
      <w:r>
        <w:rPr>
          <w:sz w:val="20"/>
          <w:szCs w:val="20"/>
          <w:rtl/>
        </w:rPr>
        <w:t>.</w:t>
      </w:r>
    </w:p>
  </w:footnote>
  <w:footnote w:id="2586">
    <w:p w14:paraId="53CFB8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ג לעיל. והשווה גם הפסקה השלישית בנספח יד לעיל, שר׳ זליג תרשיש, מחבורת ראשי הישיבות של ר׳ </w:t>
      </w:r>
      <w:proofErr w:type="spellStart"/>
      <w:r>
        <w:rPr>
          <w:sz w:val="20"/>
          <w:szCs w:val="20"/>
          <w:rtl/>
        </w:rPr>
        <w:t>לייזר־יעקב</w:t>
      </w:r>
      <w:proofErr w:type="spellEnd"/>
      <w:r>
        <w:rPr>
          <w:sz w:val="20"/>
          <w:szCs w:val="20"/>
          <w:rtl/>
        </w:rPr>
        <w:t>, התפלל שילדיו יישארו עניים.</w:t>
      </w:r>
    </w:p>
  </w:footnote>
  <w:footnote w:id="2587">
    <w:p w14:paraId="62EAFD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 בעמ׳ 35–36.</w:t>
      </w:r>
    </w:p>
  </w:footnote>
  <w:footnote w:id="2588">
    <w:p w14:paraId="6C1CA6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בנספח י לעיל.</w:t>
      </w:r>
    </w:p>
  </w:footnote>
  <w:footnote w:id="2589">
    <w:p w14:paraId="223C71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ג, עמ׳ 50–51: כנסת ישראל הייתה רשמית בית כנסת, שהותר ללמוד בו לעשרה אנשים בלבד, ואסור היה לגייס למענו כספים; ועל ביקורי ועדות הממשלה בישיבה: “נקטו באמצעים שלפני כל ביקור של ועדות אלה ימסרו לישיבה הודעה מוקדמת [על ידי שוטרים ששיתפו פעולה], ואז היו התלמידים מתפזרים לבתי הכנסיות שבעיר או מסתגרים בבתים”.</w:t>
      </w:r>
    </w:p>
  </w:footnote>
  <w:footnote w:id="2590">
    <w:p w14:paraId="03CF4D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השנייה בנספח ז, על דעתו של ר׳ </w:t>
      </w:r>
      <w:proofErr w:type="spellStart"/>
      <w:r>
        <w:rPr>
          <w:sz w:val="20"/>
          <w:szCs w:val="20"/>
          <w:rtl/>
        </w:rPr>
        <w:t>אלעזר־מנחם־מן</w:t>
      </w:r>
      <w:proofErr w:type="spellEnd"/>
      <w:r>
        <w:rPr>
          <w:sz w:val="20"/>
          <w:szCs w:val="20"/>
          <w:rtl/>
        </w:rPr>
        <w:t xml:space="preserve"> שך בדבר ר׳ עובדיה לחמן.</w:t>
      </w:r>
    </w:p>
  </w:footnote>
  <w:footnote w:id="2591">
    <w:p w14:paraId="42D651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592">
    <w:p w14:paraId="3310E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בפרק 1.3 שבשנות קיומה של </w:t>
      </w:r>
      <w:proofErr w:type="spellStart"/>
      <w:r>
        <w:rPr>
          <w:sz w:val="20"/>
          <w:szCs w:val="20"/>
          <w:rtl/>
        </w:rPr>
        <w:t>גרובין</w:t>
      </w:r>
      <w:proofErr w:type="spellEnd"/>
      <w:r>
        <w:rPr>
          <w:sz w:val="20"/>
          <w:szCs w:val="20"/>
          <w:rtl/>
        </w:rPr>
        <w:t>, במרץ 1881, התנקשו מהפכנים בצאר אלכסנדר השני.</w:t>
      </w:r>
    </w:p>
  </w:footnote>
  <w:footnote w:id="2593">
    <w:p w14:paraId="29C2F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במאי 1999.</w:t>
      </w:r>
    </w:p>
  </w:footnote>
  <w:footnote w:id="2594">
    <w:p w14:paraId="385F52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בפסקה השנייה בנספח </w:t>
      </w:r>
      <w:proofErr w:type="spellStart"/>
      <w:r>
        <w:rPr>
          <w:sz w:val="20"/>
          <w:szCs w:val="20"/>
          <w:rtl/>
        </w:rPr>
        <w:t>כח</w:t>
      </w:r>
      <w:proofErr w:type="spellEnd"/>
      <w:r>
        <w:rPr>
          <w:sz w:val="20"/>
          <w:szCs w:val="20"/>
          <w:rtl/>
        </w:rPr>
        <w:t xml:space="preserve"> להלן.</w:t>
      </w:r>
    </w:p>
  </w:footnote>
  <w:footnote w:id="2595">
    <w:p w14:paraId="3BFC9C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“קשת </w:t>
      </w:r>
      <w:proofErr w:type="spellStart"/>
      <w:r>
        <w:rPr>
          <w:sz w:val="20"/>
          <w:szCs w:val="20"/>
          <w:rtl/>
        </w:rPr>
        <w:t>גבורים</w:t>
      </w:r>
      <w:proofErr w:type="spellEnd"/>
      <w:r>
        <w:rPr>
          <w:sz w:val="20"/>
          <w:szCs w:val="20"/>
          <w:rtl/>
        </w:rPr>
        <w:t>” (הפסקה הראשונה בנספח א לעיל), עמ׳ 213.</w:t>
      </w:r>
    </w:p>
  </w:footnote>
  <w:footnote w:id="2596">
    <w:p w14:paraId="650C84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106.</w:t>
      </w:r>
    </w:p>
  </w:footnote>
  <w:footnote w:id="2597">
    <w:p w14:paraId="2C4551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328–329.</w:t>
      </w:r>
    </w:p>
  </w:footnote>
  <w:footnote w:id="2598">
    <w:p w14:paraId="7A5F79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w:t>
      </w:r>
      <w:proofErr w:type="spellStart"/>
      <w:r>
        <w:rPr>
          <w:sz w:val="20"/>
          <w:szCs w:val="20"/>
          <w:rtl/>
        </w:rPr>
        <w:t>יחיאל־מרדכי</w:t>
      </w:r>
      <w:proofErr w:type="spellEnd"/>
      <w:r>
        <w:rPr>
          <w:sz w:val="20"/>
          <w:szCs w:val="20"/>
          <w:rtl/>
        </w:rPr>
        <w:t xml:space="preserve"> גורדון, חתנו של ר׳ לייזר </w:t>
      </w:r>
      <w:proofErr w:type="spellStart"/>
      <w:r>
        <w:rPr>
          <w:sz w:val="20"/>
          <w:szCs w:val="20"/>
          <w:rtl/>
        </w:rPr>
        <w:t>שולביץ</w:t>
      </w:r>
      <w:proofErr w:type="spellEnd"/>
      <w:r>
        <w:rPr>
          <w:sz w:val="20"/>
          <w:szCs w:val="20"/>
          <w:rtl/>
        </w:rPr>
        <w:t>. השווה גם הערה 102 לעיל.</w:t>
      </w:r>
    </w:p>
  </w:footnote>
  <w:footnote w:id="2599">
    <w:p w14:paraId="3BD5D7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 לעיל – עמ׳ 583–584, הערה 58.</w:t>
      </w:r>
    </w:p>
  </w:footnote>
  <w:footnote w:id="2600">
    <w:p w14:paraId="15C9CD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במקרה היה הוא אחד המספידים את ר׳ </w:t>
      </w:r>
      <w:proofErr w:type="spellStart"/>
      <w:r>
        <w:rPr>
          <w:sz w:val="20"/>
          <w:szCs w:val="20"/>
          <w:rtl/>
        </w:rPr>
        <w:t xml:space="preserve">בער־הירש</w:t>
      </w:r>
      <w:proofErr w:type="spellEnd"/>
      <w:r>
        <w:rPr>
          <w:sz w:val="20"/>
          <w:szCs w:val="20"/>
          <w:rtl/>
        </w:rPr>
        <w:t xml:space="preserve"> כעבור ארבעה עשורים. ראה הפסקה השנייה בנספח </w:t>
      </w:r>
      <w:proofErr w:type="spellStart"/>
      <w:r>
        <w:rPr>
          <w:sz w:val="20"/>
          <w:szCs w:val="20"/>
          <w:rtl/>
        </w:rPr>
        <w:t>כז</w:t>
      </w:r>
      <w:proofErr w:type="spellEnd"/>
      <w:r>
        <w:rPr>
          <w:sz w:val="20"/>
          <w:szCs w:val="20"/>
          <w:rtl/>
        </w:rPr>
        <w:t xml:space="preserve"> להלן.</w:t>
      </w:r>
    </w:p>
  </w:footnote>
  <w:footnote w:id="2601">
    <w:p w14:paraId="79DBC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181.</w:t>
      </w:r>
    </w:p>
  </w:footnote>
  <w:footnote w:id="2602">
    <w:p w14:paraId="00A045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זה סיפר ר׳ הירש </w:t>
      </w:r>
      <w:proofErr w:type="spellStart"/>
      <w:r>
        <w:rPr>
          <w:sz w:val="20"/>
          <w:szCs w:val="20"/>
          <w:rtl/>
        </w:rPr>
        <w:t>דיסקינד</w:t>
      </w:r>
      <w:proofErr w:type="spellEnd"/>
      <w:r>
        <w:rPr>
          <w:sz w:val="20"/>
          <w:szCs w:val="20"/>
          <w:rtl/>
        </w:rPr>
        <w:t xml:space="preserve"> בשם רבנו ב־16 ביולי 1991. השווה גם סוף הערה 115 בפרק זה, שממנה עולה כי ייתכן שר׳ </w:t>
      </w:r>
      <w:proofErr w:type="spellStart"/>
      <w:r>
        <w:rPr>
          <w:sz w:val="20"/>
          <w:szCs w:val="20"/>
          <w:rtl/>
        </w:rPr>
        <w:t xml:space="preserve">בער־הירש</w:t>
      </w:r>
      <w:proofErr w:type="spellEnd"/>
      <w:r>
        <w:rPr>
          <w:sz w:val="20"/>
          <w:szCs w:val="20"/>
          <w:rtl/>
        </w:rPr>
        <w:t xml:space="preserve"> הגיע לבסוף בעצמו לאותה מדרגה.</w:t>
      </w:r>
    </w:p>
  </w:footnote>
  <w:footnote w:id="2603">
    <w:p w14:paraId="1FA97D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71.</w:t>
      </w:r>
    </w:p>
  </w:footnote>
  <w:footnote w:id="2604">
    <w:p w14:paraId="44307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שבת קכ״ז ע״א.</w:t>
      </w:r>
    </w:p>
  </w:footnote>
  <w:footnote w:id="2605">
    <w:p w14:paraId="11AE6F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תר״י.</w:t>
      </w:r>
    </w:p>
  </w:footnote>
  <w:footnote w:id="2606">
    <w:p w14:paraId="6BE712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כה לעיל – עמ׳ 1449.</w:t>
      </w:r>
    </w:p>
  </w:footnote>
  <w:footnote w:id="2607">
    <w:p w14:paraId="1AB5DF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מלבד פרשת זכור, ימים נוראים ופורים.</w:t>
      </w:r>
    </w:p>
  </w:footnote>
  <w:footnote w:id="2608">
    <w:p w14:paraId="4E5A6E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תרל״ה.</w:t>
      </w:r>
    </w:p>
  </w:footnote>
  <w:footnote w:id="2609">
    <w:p w14:paraId="7E48C5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הוא אברהם אליעזר בר׳ אייזיק </w:t>
      </w:r>
      <w:proofErr w:type="spellStart"/>
      <w:r>
        <w:rPr>
          <w:sz w:val="20"/>
          <w:szCs w:val="20"/>
          <w:rtl/>
        </w:rPr>
        <w:t>הירשאוויץ</w:t>
      </w:r>
      <w:proofErr w:type="spellEnd"/>
      <w:r>
        <w:rPr>
          <w:sz w:val="20"/>
          <w:szCs w:val="20"/>
          <w:rtl/>
        </w:rPr>
        <w:t xml:space="preserve">, המכנה את עצמו בשער “איש </w:t>
      </w:r>
      <w:proofErr w:type="spellStart"/>
      <w:r>
        <w:rPr>
          <w:sz w:val="20"/>
          <w:szCs w:val="20"/>
          <w:rtl/>
        </w:rPr>
        <w:t>קאוונא</w:t>
      </w:r>
      <w:proofErr w:type="spellEnd"/>
      <w:r>
        <w:rPr>
          <w:sz w:val="20"/>
          <w:szCs w:val="20"/>
          <w:rtl/>
        </w:rPr>
        <w:t xml:space="preserve">. (בעת משכנו </w:t>
      </w:r>
      <w:proofErr w:type="spellStart"/>
      <w:r>
        <w:rPr>
          <w:sz w:val="20"/>
          <w:szCs w:val="20"/>
          <w:rtl/>
        </w:rPr>
        <w:t>בפיטטסבורג</w:t>
      </w:r>
      <w:proofErr w:type="spellEnd"/>
      <w:r>
        <w:rPr>
          <w:sz w:val="20"/>
          <w:szCs w:val="20"/>
          <w:rtl/>
        </w:rPr>
        <w:t xml:space="preserve">, פא. באמריקה)”. הרבנים המסכימים הם: ר׳ </w:t>
      </w:r>
      <w:proofErr w:type="spellStart"/>
      <w:r>
        <w:rPr>
          <w:sz w:val="20"/>
          <w:szCs w:val="20"/>
          <w:rtl/>
        </w:rPr>
        <w:t>יצחק־אלחנן</w:t>
      </w:r>
      <w:proofErr w:type="spellEnd"/>
      <w:r>
        <w:rPr>
          <w:sz w:val="20"/>
          <w:szCs w:val="20"/>
          <w:rtl/>
        </w:rPr>
        <w:t xml:space="preserve"> </w:t>
      </w:r>
      <w:proofErr w:type="spellStart"/>
      <w:r>
        <w:rPr>
          <w:sz w:val="20"/>
          <w:szCs w:val="20"/>
          <w:rtl/>
        </w:rPr>
        <w:t>ספקטור</w:t>
      </w:r>
      <w:proofErr w:type="spellEnd"/>
      <w:r>
        <w:rPr>
          <w:sz w:val="20"/>
          <w:szCs w:val="20"/>
          <w:rtl/>
        </w:rPr>
        <w:t xml:space="preserve"> (רב קובנה), ר׳ </w:t>
      </w:r>
      <w:proofErr w:type="spellStart"/>
      <w:r>
        <w:rPr>
          <w:sz w:val="20"/>
          <w:szCs w:val="20"/>
          <w:rtl/>
        </w:rPr>
        <w:t>מאיר־נח</w:t>
      </w:r>
      <w:proofErr w:type="spellEnd"/>
      <w:r>
        <w:rPr>
          <w:sz w:val="20"/>
          <w:szCs w:val="20"/>
          <w:rtl/>
        </w:rPr>
        <w:t xml:space="preserve"> לוין (מגיד בווילנה), ר׳ שלמה הכהן (</w:t>
      </w:r>
      <w:proofErr w:type="spellStart"/>
      <w:r>
        <w:rPr>
          <w:sz w:val="20"/>
          <w:szCs w:val="20"/>
          <w:rtl/>
        </w:rPr>
        <w:t>מ״ץ</w:t>
      </w:r>
      <w:proofErr w:type="spellEnd"/>
      <w:r>
        <w:rPr>
          <w:sz w:val="20"/>
          <w:szCs w:val="20"/>
          <w:rtl/>
        </w:rPr>
        <w:t xml:space="preserve"> בווילנה), ר׳ </w:t>
      </w:r>
      <w:proofErr w:type="spellStart"/>
      <w:r>
        <w:rPr>
          <w:sz w:val="20"/>
          <w:szCs w:val="20"/>
          <w:rtl/>
        </w:rPr>
        <w:t>אלכסנדר־משה</w:t>
      </w:r>
      <w:proofErr w:type="spellEnd"/>
      <w:r>
        <w:rPr>
          <w:sz w:val="20"/>
          <w:szCs w:val="20"/>
          <w:rtl/>
        </w:rPr>
        <w:t xml:space="preserve"> לפידות (רב </w:t>
      </w:r>
      <w:proofErr w:type="spellStart"/>
      <w:r>
        <w:rPr>
          <w:sz w:val="20"/>
          <w:szCs w:val="20"/>
          <w:rtl/>
        </w:rPr>
        <w:t>ראסיין</w:t>
      </w:r>
      <w:proofErr w:type="spellEnd"/>
      <w:r>
        <w:rPr>
          <w:sz w:val="20"/>
          <w:szCs w:val="20"/>
          <w:rtl/>
        </w:rPr>
        <w:t xml:space="preserve">), ר׳ חיים </w:t>
      </w:r>
      <w:proofErr w:type="spellStart"/>
      <w:r>
        <w:rPr>
          <w:sz w:val="20"/>
          <w:szCs w:val="20"/>
          <w:rtl/>
        </w:rPr>
        <w:t>רצקר</w:t>
      </w:r>
      <w:proofErr w:type="spellEnd"/>
      <w:r>
        <w:rPr>
          <w:sz w:val="20"/>
          <w:szCs w:val="20"/>
          <w:rtl/>
        </w:rPr>
        <w:t xml:space="preserve"> (רב </w:t>
      </w:r>
      <w:proofErr w:type="spellStart"/>
      <w:r>
        <w:rPr>
          <w:sz w:val="20"/>
          <w:szCs w:val="20"/>
          <w:rtl/>
        </w:rPr>
        <w:t>יאנובה</w:t>
      </w:r>
      <w:proofErr w:type="spellEnd"/>
      <w:r>
        <w:rPr>
          <w:sz w:val="20"/>
          <w:szCs w:val="20"/>
          <w:rtl/>
        </w:rPr>
        <w:t xml:space="preserve">, “נצר ממשפחה רמה בישראל משפחת </w:t>
      </w:r>
      <w:proofErr w:type="spellStart"/>
      <w:r>
        <w:rPr>
          <w:sz w:val="20"/>
          <w:szCs w:val="20"/>
          <w:rtl/>
        </w:rPr>
        <w:t>הט״ז</w:t>
      </w:r>
      <w:proofErr w:type="spellEnd"/>
      <w:r>
        <w:rPr>
          <w:sz w:val="20"/>
          <w:szCs w:val="20"/>
          <w:rtl/>
        </w:rPr>
        <w:t xml:space="preserve">”) ור׳ </w:t>
      </w:r>
      <w:proofErr w:type="spellStart"/>
      <w:r>
        <w:rPr>
          <w:sz w:val="20"/>
          <w:szCs w:val="20"/>
          <w:rtl/>
        </w:rPr>
        <w:t>הלל־דוד</w:t>
      </w:r>
      <w:proofErr w:type="spellEnd"/>
      <w:r>
        <w:rPr>
          <w:sz w:val="20"/>
          <w:szCs w:val="20"/>
          <w:rtl/>
        </w:rPr>
        <w:t xml:space="preserve"> </w:t>
      </w:r>
      <w:proofErr w:type="spellStart"/>
      <w:r>
        <w:rPr>
          <w:sz w:val="20"/>
          <w:szCs w:val="20"/>
          <w:rtl/>
        </w:rPr>
        <w:t>טריווש</w:t>
      </w:r>
      <w:proofErr w:type="spellEnd"/>
      <w:r>
        <w:rPr>
          <w:sz w:val="20"/>
          <w:szCs w:val="20"/>
          <w:rtl/>
        </w:rPr>
        <w:t xml:space="preserve"> (רב </w:t>
      </w:r>
      <w:proofErr w:type="spellStart"/>
      <w:r>
        <w:rPr>
          <w:sz w:val="20"/>
          <w:szCs w:val="20"/>
          <w:rtl/>
        </w:rPr>
        <w:t>וילקי</w:t>
      </w:r>
      <w:proofErr w:type="spellEnd"/>
      <w:r>
        <w:rPr>
          <w:sz w:val="20"/>
          <w:szCs w:val="20"/>
          <w:rtl/>
        </w:rPr>
        <w:t xml:space="preserve">). לספר גם הסכמות מאת ר׳ צדוק הכהן מפריז, ומאת הסופרים ר׳ קלמן </w:t>
      </w:r>
      <w:proofErr w:type="spellStart"/>
      <w:r>
        <w:rPr>
          <w:sz w:val="20"/>
          <w:szCs w:val="20"/>
          <w:rtl/>
        </w:rPr>
        <w:t>שולמן</w:t>
      </w:r>
      <w:proofErr w:type="spellEnd"/>
      <w:r>
        <w:rPr>
          <w:sz w:val="20"/>
          <w:szCs w:val="20"/>
          <w:rtl/>
        </w:rPr>
        <w:t xml:space="preserve"> מווילנה ור׳ מרדכי </w:t>
      </w:r>
      <w:proofErr w:type="spellStart"/>
      <w:r>
        <w:rPr>
          <w:sz w:val="20"/>
          <w:szCs w:val="20"/>
          <w:rtl/>
        </w:rPr>
        <w:t>וייסמן־חיות</w:t>
      </w:r>
      <w:proofErr w:type="spellEnd"/>
      <w:r>
        <w:rPr>
          <w:sz w:val="20"/>
          <w:szCs w:val="20"/>
          <w:rtl/>
        </w:rPr>
        <w:t xml:space="preserve"> מווינה (שכתב בראשי התיבות של שמו, “</w:t>
      </w:r>
      <w:proofErr w:type="spellStart"/>
      <w:r>
        <w:rPr>
          <w:sz w:val="20"/>
          <w:szCs w:val="20"/>
          <w:rtl/>
        </w:rPr>
        <w:t>מו״ח</w:t>
      </w:r>
      <w:proofErr w:type="spellEnd"/>
      <w:r>
        <w:rPr>
          <w:sz w:val="20"/>
          <w:szCs w:val="20"/>
          <w:rtl/>
        </w:rPr>
        <w:t xml:space="preserve">”). על פי תאריכי ההסכמות מווינה ומפריז נראה שהמחבר קיבל אותן בדרכו לאמריקה. הספר נדפס בווילנה (דפוס ש.פ. </w:t>
      </w:r>
      <w:proofErr w:type="spellStart"/>
      <w:r>
        <w:rPr>
          <w:sz w:val="20"/>
          <w:szCs w:val="20"/>
          <w:rtl/>
        </w:rPr>
        <w:t>גארבער</w:t>
      </w:r>
      <w:proofErr w:type="spellEnd"/>
      <w:r>
        <w:rPr>
          <w:sz w:val="20"/>
          <w:szCs w:val="20"/>
          <w:rtl/>
        </w:rPr>
        <w:t xml:space="preserve">) </w:t>
      </w:r>
      <w:proofErr w:type="spellStart"/>
      <w:r>
        <w:rPr>
          <w:sz w:val="20"/>
          <w:szCs w:val="20"/>
          <w:rtl/>
        </w:rPr>
        <w:t>בתרע״ד</w:t>
      </w:r>
      <w:proofErr w:type="spellEnd"/>
      <w:r>
        <w:rPr>
          <w:sz w:val="20"/>
          <w:szCs w:val="20"/>
          <w:rtl/>
        </w:rPr>
        <w:t>, שני עשורים אחרי שקיבל את ההסכמות.</w:t>
      </w:r>
    </w:p>
  </w:footnote>
  <w:footnote w:id="2610">
    <w:p w14:paraId="48C98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ה לעיל. הציטוט כאן לקוח מקטע מאמר מאת אחד משני העורכים, </w:t>
      </w:r>
      <w:proofErr w:type="spellStart"/>
      <w:r>
        <w:rPr>
          <w:sz w:val="20"/>
          <w:szCs w:val="20"/>
          <w:rtl/>
        </w:rPr>
        <w:t>דובערוש</w:t>
      </w:r>
      <w:proofErr w:type="spellEnd"/>
      <w:r>
        <w:rPr>
          <w:sz w:val="20"/>
          <w:szCs w:val="20"/>
          <w:rtl/>
        </w:rPr>
        <w:t xml:space="preserve"> </w:t>
      </w:r>
      <w:proofErr w:type="spellStart"/>
      <w:r>
        <w:rPr>
          <w:sz w:val="20"/>
          <w:szCs w:val="20"/>
          <w:rtl/>
        </w:rPr>
        <w:t>ירוחמזאהן</w:t>
      </w:r>
      <w:proofErr w:type="spellEnd"/>
      <w:r>
        <w:rPr>
          <w:sz w:val="20"/>
          <w:szCs w:val="20"/>
          <w:rtl/>
        </w:rPr>
        <w:t xml:space="preserve"> (החותם “</w:t>
      </w:r>
      <w:proofErr w:type="spellStart"/>
      <w:r>
        <w:rPr>
          <w:sz w:val="20"/>
          <w:szCs w:val="20"/>
          <w:rtl/>
        </w:rPr>
        <w:t>בן־ירוחם</w:t>
      </w:r>
      <w:proofErr w:type="spellEnd"/>
      <w:r>
        <w:rPr>
          <w:sz w:val="20"/>
          <w:szCs w:val="20"/>
          <w:rtl/>
        </w:rPr>
        <w:t>”), אות ט, הנקרא “</w:t>
      </w:r>
      <w:proofErr w:type="spellStart"/>
      <w:r>
        <w:rPr>
          <w:sz w:val="20"/>
          <w:szCs w:val="20"/>
          <w:rtl/>
        </w:rPr>
        <w:t>זכרון</w:t>
      </w:r>
      <w:proofErr w:type="spellEnd"/>
      <w:r>
        <w:rPr>
          <w:sz w:val="20"/>
          <w:szCs w:val="20"/>
          <w:rtl/>
        </w:rPr>
        <w:t xml:space="preserve"> להולכים”, בתוך כתבת חדשות כללית שנכתבה בשדה לבן בשנת תרנ״ה.</w:t>
      </w:r>
    </w:p>
  </w:footnote>
  <w:footnote w:id="2611">
    <w:p w14:paraId="75F9FB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ווארשא</w:t>
      </w:r>
      <w:proofErr w:type="spellEnd"/>
      <w:r>
        <w:rPr>
          <w:sz w:val="20"/>
          <w:szCs w:val="20"/>
          <w:rtl/>
        </w:rPr>
        <w:t>, תרנ״ה.</w:t>
      </w:r>
    </w:p>
  </w:footnote>
  <w:footnote w:id="2612">
    <w:p w14:paraId="1224F9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בהסכמה הנזכרת בעמ׳ </w:t>
      </w:r>
      <w:r>
        <w:rPr>
          <w:rStyle w:val="a5"/>
          <w:sz w:val="20"/>
          <w:szCs w:val="20"/>
          <w:vertAlign w:val="baseline"/>
          <w:rtl/>
        </w:rPr>
        <w:fldChar w:fldCharType="begin" w:dirty="true"/>
      </w:r>
      <w:r>
        <w:rPr>
          <w:rStyle w:val="a5"/>
          <w:sz w:val="20"/>
          <w:szCs w:val="20"/>
          <w:vertAlign w:val="baseline"/>
          <w:rtl/>
        </w:rPr>
        <w:instrText xml:space="preserve"> PAGEREF pr_close_b_2462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 מתנצל ר׳ לייב על איחורו במילים: “ואבקש </w:t>
      </w:r>
      <w:proofErr w:type="spellStart"/>
      <w:r>
        <w:rPr>
          <w:rStyle w:val="a5"/>
          <w:sz w:val="20"/>
          <w:szCs w:val="20"/>
          <w:vertAlign w:val="baseline"/>
          <w:rtl/>
        </w:rPr>
        <w:t>מכתר״ה</w:t>
      </w:r>
      <w:proofErr w:type="spellEnd"/>
      <w:r>
        <w:rPr>
          <w:rStyle w:val="a5"/>
          <w:sz w:val="20"/>
          <w:szCs w:val="20"/>
          <w:vertAlign w:val="baseline"/>
          <w:rtl/>
        </w:rPr>
        <w:t xml:space="preserve"> הסליחה נא ע״ד שנתאחר כ״כ מכתבי להשיב </w:t>
      </w:r>
      <w:proofErr w:type="spellStart"/>
      <w:r>
        <w:rPr>
          <w:rStyle w:val="a5"/>
          <w:sz w:val="20"/>
          <w:szCs w:val="20"/>
          <w:vertAlign w:val="baseline"/>
          <w:rtl/>
        </w:rPr>
        <w:t>לכתר״ה</w:t>
      </w:r>
      <w:proofErr w:type="spellEnd"/>
      <w:r>
        <w:rPr>
          <w:rStyle w:val="a5"/>
          <w:sz w:val="20"/>
          <w:szCs w:val="20"/>
          <w:vertAlign w:val="baseline"/>
          <w:rtl/>
        </w:rPr>
        <w:t xml:space="preserve"> </w:t>
      </w:r>
      <w:proofErr w:type="spellStart"/>
      <w:r>
        <w:rPr>
          <w:rStyle w:val="a5"/>
          <w:sz w:val="20"/>
          <w:szCs w:val="20"/>
          <w:vertAlign w:val="baseline"/>
          <w:rtl/>
        </w:rPr>
        <w:t>כו</w:t>
      </w:r>
      <w:proofErr w:type="spellEnd"/>
      <w:r>
        <w:rPr>
          <w:rStyle w:val="a5"/>
          <w:sz w:val="20"/>
          <w:szCs w:val="20"/>
          <w:vertAlign w:val="baseline"/>
          <w:rtl/>
        </w:rPr>
        <w:t>׳</w:t>
      </w:r>
      <w:r>
        <w:rPr>
          <w:sz w:val="20"/>
          <w:szCs w:val="20"/>
          <w:rtl/>
        </w:rPr>
        <w:t xml:space="preserve">, יען מחמת שאני אינני בבריאות </w:t>
      </w:r>
      <w:proofErr w:type="spellStart"/>
      <w:r>
        <w:rPr>
          <w:sz w:val="20"/>
          <w:szCs w:val="20"/>
          <w:rtl/>
        </w:rPr>
        <w:t>ל״ע</w:t>
      </w:r>
      <w:proofErr w:type="spellEnd"/>
      <w:r>
        <w:rPr>
          <w:sz w:val="20"/>
          <w:szCs w:val="20"/>
          <w:rtl/>
        </w:rPr>
        <w:t xml:space="preserve">, ע״כ הוכרחתי להתאחר כ״כ”. ר׳ לייב כתב זאת </w:t>
      </w:r>
      <w:proofErr w:type="spellStart"/>
      <w:r>
        <w:rPr>
          <w:sz w:val="20"/>
          <w:szCs w:val="20"/>
          <w:rtl/>
        </w:rPr>
        <w:t>ב״י״ב</w:t>
      </w:r>
      <w:proofErr w:type="spellEnd"/>
      <w:r>
        <w:rPr>
          <w:sz w:val="20"/>
          <w:szCs w:val="20"/>
          <w:rtl/>
        </w:rPr>
        <w:t xml:space="preserve"> </w:t>
      </w:r>
      <w:proofErr w:type="spellStart"/>
      <w:r>
        <w:rPr>
          <w:sz w:val="20"/>
          <w:szCs w:val="20"/>
          <w:rtl/>
        </w:rPr>
        <w:t>מרחשון</w:t>
      </w:r>
      <w:proofErr w:type="spellEnd"/>
      <w:r>
        <w:rPr>
          <w:sz w:val="20"/>
          <w:szCs w:val="20"/>
          <w:rtl/>
        </w:rPr>
        <w:t xml:space="preserve"> תרנ״ד”.</w:t>
      </w:r>
    </w:p>
  </w:footnote>
  <w:footnote w:id="2613">
    <w:p w14:paraId="2F795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5 באוקטובר 1997.</w:t>
      </w:r>
    </w:p>
  </w:footnote>
  <w:footnote w:id="2614">
    <w:p w14:paraId="5C430B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לעיל שאף מחבר “מנהגי ישראל” מכנה אותו בשם חיבה זה.</w:t>
      </w:r>
    </w:p>
  </w:footnote>
  <w:footnote w:id="2615">
    <w:p w14:paraId="132B35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צ״ה </w:t>
      </w:r>
      <w:proofErr w:type="spellStart"/>
      <w:r>
        <w:rPr>
          <w:sz w:val="20"/>
          <w:szCs w:val="20"/>
          <w:rtl/>
        </w:rPr>
        <w:t>סע״א</w:t>
      </w:r>
      <w:proofErr w:type="spellEnd"/>
      <w:r>
        <w:rPr>
          <w:sz w:val="20"/>
          <w:szCs w:val="20"/>
          <w:rtl/>
        </w:rPr>
        <w:t>.</w:t>
      </w:r>
    </w:p>
  </w:footnote>
  <w:footnote w:id="2616">
    <w:p w14:paraId="7BC02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באר היטב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תר״ב </w:t>
      </w:r>
      <w:proofErr w:type="spellStart"/>
      <w:r>
        <w:rPr>
          <w:sz w:val="20"/>
          <w:szCs w:val="20"/>
          <w:rtl/>
        </w:rPr>
        <w:t>סק״ד</w:t>
      </w:r>
      <w:proofErr w:type="spellEnd"/>
      <w:r>
        <w:rPr>
          <w:sz w:val="20"/>
          <w:szCs w:val="20"/>
          <w:rtl/>
        </w:rPr>
        <w:t>.</w:t>
      </w:r>
    </w:p>
  </w:footnote>
  <w:footnote w:id="2617">
    <w:p w14:paraId="1661D5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16 במרץ 1995. האגדה השנייה מובאת בסוף נספח זה, עמ׳ </w:t>
      </w:r>
      <w:r>
        <w:rPr>
          <w:sz w:val="20"/>
          <w:szCs w:val="20"/>
          <w:rtl/>
        </w:rPr>
        <w:fldChar w:fldCharType="begin" w:dirty="true"/>
      </w:r>
      <w:r>
        <w:rPr>
          <w:sz w:val="20"/>
          <w:szCs w:val="20"/>
          <w:rtl/>
        </w:rPr>
        <w:instrText xml:space="preserve"> PAGEREF pr_b_1607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18">
    <w:p w14:paraId="424399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23 בינואר 1992.</w:t>
      </w:r>
    </w:p>
  </w:footnote>
  <w:footnote w:id="2619">
    <w:p w14:paraId="3659CE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0">
    <w:p w14:paraId="2E63A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בנובמבר 1996.</w:t>
      </w:r>
    </w:p>
  </w:footnote>
  <w:footnote w:id="2621">
    <w:p w14:paraId="40A87C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 xml:space="preserve">ניו יורק</w:t>
      </w:r>
      <w:proofErr w:type="spellEnd"/>
      <w:r>
        <w:rPr>
          <w:sz w:val="20"/>
          <w:szCs w:val="20"/>
          <w:rtl/>
        </w:rPr>
        <w:t xml:space="preserve"/>
      </w:r>
      <w:proofErr w:type="spellStart"/>
      <w:r>
        <w:rPr>
          <w:sz w:val="20"/>
          <w:szCs w:val="20"/>
          <w:rtl/>
        </w:rPr>
        <w:t xml:space="preserve"/>
      </w:r>
      <w:proofErr w:type="spellEnd"/>
      <w:r>
        <w:rPr>
          <w:sz w:val="20"/>
          <w:szCs w:val="20"/>
          <w:rtl/>
        </w:rPr>
        <w:t xml:space="preserve">, תשנ״ז – תחילת מאמר </w:t>
      </w:r>
      <w:proofErr w:type="spellStart"/>
      <w:r>
        <w:rPr>
          <w:sz w:val="20"/>
          <w:szCs w:val="20"/>
          <w:rtl/>
        </w:rPr>
        <w:t>יח</w:t>
      </w:r>
      <w:proofErr w:type="spellEnd"/>
      <w:r>
        <w:rPr>
          <w:sz w:val="20"/>
          <w:szCs w:val="20"/>
          <w:rtl/>
        </w:rPr>
        <w:t>.</w:t>
      </w:r>
    </w:p>
  </w:footnote>
  <w:footnote w:id="2622">
    <w:p w14:paraId="1AAA37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החמישית להלן.</w:t>
      </w:r>
    </w:p>
  </w:footnote>
  <w:footnote w:id="2623">
    <w:p w14:paraId="0F31AD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בכרך זה, שייתכן כי זו הייתה אמת המידה שלו עצמו</w:t>
      </w:r>
      <w:r>
        <w:rPr>
          <w:sz w:val="20"/>
          <w:szCs w:val="20"/>
          <w:rtl/>
        </w:rPr>
        <w:t>.</w:t>
      </w:r>
    </w:p>
  </w:footnote>
  <w:footnote w:id="2624">
    <w:p w14:paraId="7FC81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360, הערת שוליים.</w:t>
      </w:r>
    </w:p>
  </w:footnote>
  <w:footnote w:id="2625">
    <w:p w14:paraId="39FB0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נט. הנקודה המודגשת עשויה להתייחס למעשה על ר׳ ישראל שנדפס בגיליון הזיכרון של “שערי ציון” במלאות חמישים שנה לפטירת ר׳ ישראל (שם, הערת שוליים </w:t>
      </w:r>
      <w:r>
        <w:rPr>
          <w:sz w:val="20"/>
          <w:szCs w:val="20"/>
          <w:rtl/>
        </w:rPr>
        <w:fldChar w:fldCharType="begin" w:dirty="true"/>
      </w:r>
      <w:r>
        <w:rPr>
          <w:sz w:val="20"/>
          <w:szCs w:val="20"/>
          <w:rtl/>
        </w:rPr>
        <w:instrText xml:space="preserve"> NOTEREF pr_f_78 \h </w:instrText>
      </w:r>
      <w:r>
        <w:rPr>
          <w:sz w:val="20"/>
          <w:szCs w:val="20"/>
          <w:rtl/>
        </w:rPr>
      </w:r>
      <w:r>
        <w:rPr>
          <w:sz w:val="20"/>
          <w:szCs w:val="20"/>
          <w:rtl/>
        </w:rPr>
        <w:fldChar w:fldCharType="separate"/>
      </w:r>
      <w:r w:rsidR="007923E9">
        <w:rPr>
          <w:sz w:val="20"/>
          <w:szCs w:val="20"/>
          <w:rtl/>
        </w:rPr>
        <w:t>23</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pr_f_78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סא</w:t>
      </w:r>
      <w:proofErr w:type="spellEnd"/>
      <w:r>
        <w:rPr>
          <w:sz w:val="20"/>
          <w:szCs w:val="20"/>
          <w:rtl/>
        </w:rPr>
        <w:t xml:space="preserve">–סב. ראה פרטים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626">
    <w:p w14:paraId="6F7C80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בשל דחיפות הרגע היה זה ביטוי משובש של “</w:t>
      </w:r>
      <w:proofErr w:type="spellStart"/>
      <w:r>
        <w:rPr>
          <w:sz w:val="20"/>
          <w:szCs w:val="20"/>
          <w:rtl/>
        </w:rPr>
        <w:t>עס</w:t>
      </w:r>
      <w:proofErr w:type="spellEnd"/>
      <w:r>
        <w:rPr>
          <w:sz w:val="20"/>
          <w:szCs w:val="20"/>
          <w:rtl/>
        </w:rPr>
        <w:t xml:space="preserve"> </w:t>
      </w:r>
      <w:proofErr w:type="spellStart"/>
      <w:r>
        <w:rPr>
          <w:sz w:val="20"/>
          <w:szCs w:val="20"/>
          <w:rtl/>
        </w:rPr>
        <w:t>ברענט</w:t>
      </w:r>
      <w:proofErr w:type="spellEnd"/>
      <w:r>
        <w:rPr>
          <w:sz w:val="20"/>
          <w:szCs w:val="20"/>
          <w:rtl/>
        </w:rPr>
        <w:t xml:space="preserve"> </w:t>
      </w:r>
      <w:proofErr w:type="spellStart"/>
      <w:r>
        <w:rPr>
          <w:sz w:val="20"/>
          <w:szCs w:val="20"/>
          <w:rtl/>
        </w:rPr>
        <w:t>דאס</w:t>
      </w:r>
      <w:proofErr w:type="spellEnd"/>
      <w:r>
        <w:rPr>
          <w:sz w:val="20"/>
          <w:szCs w:val="20"/>
          <w:rtl/>
        </w:rPr>
        <w:t xml:space="preserve"> </w:t>
      </w:r>
      <w:proofErr w:type="spellStart"/>
      <w:r>
        <w:rPr>
          <w:sz w:val="20"/>
          <w:szCs w:val="20"/>
          <w:rtl/>
        </w:rPr>
        <w:t>הייזאלע</w:t>
      </w:r>
      <w:proofErr w:type="spellEnd"/>
      <w:r>
        <w:rPr>
          <w:sz w:val="20"/>
          <w:szCs w:val="20"/>
          <w:rtl/>
        </w:rPr>
        <w:t>”.</w:t>
      </w:r>
    </w:p>
  </w:footnote>
  <w:footnote w:id="2627">
    <w:p w14:paraId="166012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ט במספור העמודים השני של “שיחות החפץ חיים”.</w:t>
      </w:r>
    </w:p>
  </w:footnote>
  <w:footnote w:id="2628">
    <w:p w14:paraId="7EB2D3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ר׳ ישראל היה מעורב בהחלטתו של </w:t>
      </w:r>
      <w:proofErr w:type="spellStart"/>
      <w:r>
        <w:rPr>
          <w:sz w:val="20"/>
          <w:szCs w:val="20"/>
          <w:rtl/>
        </w:rPr>
        <w:t>החפץ־חיים</w:t>
      </w:r>
      <w:proofErr w:type="spellEnd"/>
      <w:r>
        <w:rPr>
          <w:sz w:val="20"/>
          <w:szCs w:val="20"/>
          <w:rtl/>
        </w:rPr>
        <w:t xml:space="preserve"> לכתוב את הספר. כץ, “תנועת המוסר”, כרך א (נספח א לעיל), עמ׳ 278, רושם </w:t>
      </w:r>
      <w:proofErr w:type="spellStart"/>
      <w:r>
        <w:rPr>
          <w:sz w:val="20"/>
          <w:szCs w:val="20"/>
          <w:rtl/>
        </w:rPr>
        <w:t>ש“כמסופר</w:t>
      </w:r>
      <w:proofErr w:type="spellEnd"/>
      <w:r>
        <w:rPr>
          <w:sz w:val="20"/>
          <w:szCs w:val="20"/>
          <w:rtl/>
        </w:rPr>
        <w:t xml:space="preserve">” התעורר </w:t>
      </w:r>
      <w:proofErr w:type="spellStart"/>
      <w:r>
        <w:rPr>
          <w:sz w:val="20"/>
          <w:szCs w:val="20"/>
          <w:rtl/>
        </w:rPr>
        <w:t>החפץ־חיים</w:t>
      </w:r>
      <w:proofErr w:type="spellEnd"/>
      <w:r>
        <w:rPr>
          <w:sz w:val="20"/>
          <w:szCs w:val="20"/>
          <w:rtl/>
        </w:rPr>
        <w:t xml:space="preserve"> לכתוב את ספר “שמירת הלשון” “על ידי </w:t>
      </w:r>
      <w:proofErr w:type="spellStart"/>
      <w:r>
        <w:rPr>
          <w:sz w:val="20"/>
          <w:szCs w:val="20"/>
          <w:rtl/>
        </w:rPr>
        <w:t>עוררותו</w:t>
      </w:r>
      <w:proofErr w:type="spellEnd"/>
      <w:r>
        <w:rPr>
          <w:sz w:val="20"/>
          <w:szCs w:val="20"/>
          <w:rtl/>
        </w:rPr>
        <w:t xml:space="preserve">” של ר׳ ישראל. לפי הפרטים </w:t>
      </w:r>
      <w:proofErr w:type="spellStart"/>
      <w:r>
        <w:rPr>
          <w:sz w:val="20"/>
          <w:szCs w:val="20"/>
          <w:rtl/>
        </w:rPr>
        <w:t>ב“שמושה</w:t>
      </w:r>
      <w:proofErr w:type="spellEnd"/>
      <w:r>
        <w:rPr>
          <w:sz w:val="20"/>
          <w:szCs w:val="20"/>
          <w:rtl/>
        </w:rPr>
        <w:t xml:space="preserve"> של תורה” (נספח ח לעיל), עמ׳ קנט, התעורר לכך כששמע </w:t>
      </w:r>
      <w:proofErr w:type="spellStart"/>
      <w:r>
        <w:rPr>
          <w:sz w:val="20"/>
          <w:szCs w:val="20"/>
          <w:rtl/>
        </w:rPr>
        <w:t>החפץ־חיים</w:t>
      </w:r>
      <w:proofErr w:type="spellEnd"/>
      <w:r>
        <w:rPr>
          <w:sz w:val="20"/>
          <w:szCs w:val="20"/>
          <w:rtl/>
        </w:rPr>
        <w:t xml:space="preserve"> את ר׳ ישראל “מתלונן באחת משיחותיו, שהלכות חשובות, חמורות ושכיחות כל כך כהלכות לשון הרע לא נכתב עליהן ספר שיבאר מה מותר ומה אסור, מה צריך לומר וכיצד לומר זאת”.</w:t>
      </w:r>
    </w:p>
    <w:p w14:paraId="2D6F7482" w14:textId="77777777" w:rsidR="00AB3647" w:rsidRDefault="00000000">
      <w:pPr>
        <w:spacing w:after="0" w:before="0"/>
        <w:jc w:val="both"/>
      </w:pPr>
      <w:r>
        <w:rPr>
          <w:sz w:val="20"/>
          <w:szCs w:val="20"/>
          <w:rtl/>
        </w:rPr>
        <w:t xml:space="preserve">השווה גם “תורת אברהם” (הפסקה השלישית בנספח </w:t>
      </w:r>
      <w:proofErr w:type="spellStart"/>
      <w:r>
        <w:rPr>
          <w:sz w:val="20"/>
          <w:szCs w:val="20"/>
          <w:rtl/>
        </w:rPr>
        <w:t>כג</w:t>
      </w:r>
      <w:proofErr w:type="spellEnd"/>
      <w:r>
        <w:rPr>
          <w:sz w:val="20"/>
          <w:szCs w:val="20"/>
          <w:rtl/>
        </w:rPr>
        <w:t xml:space="preserve"> לעיל), עמ׳ רכה: “מספרים כי לאחר שנדפס ‘שמירת הלשון’, אמר ר׳ ישראל לתלמידיו: ‘הנה נדפס ספר הלכה מפורט על לשון הרע; חובה באותה מידה להוציא ספרי הלכה על דברים בטלים, שקר, וכל מידה ומידה’”.</w:t>
      </w:r>
    </w:p>
  </w:footnote>
  <w:footnote w:id="2629">
    <w:p w14:paraId="27D55E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המאמר המוסגר אינו משל הרב </w:t>
      </w:r>
      <w:proofErr w:type="spellStart"/>
      <w:r>
        <w:rPr>
          <w:sz w:val="20"/>
          <w:szCs w:val="20"/>
          <w:rtl/>
        </w:rPr>
        <w:t>קוסובסקי</w:t>
      </w:r>
      <w:proofErr w:type="spellEnd"/>
      <w:r>
        <w:rPr>
          <w:sz w:val="20"/>
          <w:szCs w:val="20"/>
          <w:rtl/>
        </w:rPr>
        <w:t xml:space="preserve"> אלא שלי, על פי הערת שוליים </w:t>
      </w:r>
      <w:r>
        <w:rPr>
          <w:sz w:val="20"/>
          <w:szCs w:val="20"/>
          <w:rtl/>
        </w:rPr>
        <w:fldChar w:fldCharType="begin" w:dirty="true"/>
      </w:r>
      <w:r>
        <w:rPr>
          <w:sz w:val="20"/>
          <w:szCs w:val="20"/>
          <w:rtl/>
        </w:rPr>
        <w:instrText xml:space="preserve"> NOTEREF pr_f_2526 \h </w:instrText>
      </w:r>
      <w:r>
        <w:rPr>
          <w:sz w:val="20"/>
          <w:szCs w:val="20"/>
          <w:rtl/>
        </w:rPr>
      </w:r>
      <w:r>
        <w:rPr>
          <w:sz w:val="20"/>
          <w:szCs w:val="20"/>
          <w:rtl/>
        </w:rPr>
        <w:fldChar w:fldCharType="separate"/>
      </w:r>
      <w:r w:rsidR="007923E9">
        <w:rPr>
          <w:sz w:val="20"/>
          <w:szCs w:val="20"/>
          <w:rtl/>
        </w:rPr>
        <w:t>1572</w:t>
      </w:r>
      <w:r>
        <w:rPr>
          <w:sz w:val="20"/>
          <w:szCs w:val="20"/>
          <w:rtl/>
        </w:rPr>
        <w:fldChar w:fldCharType="end"/>
      </w:r>
      <w:r>
        <w:rPr>
          <w:sz w:val="20"/>
          <w:szCs w:val="20"/>
          <w:rtl/>
        </w:rPr>
        <w:t xml:space="preserve"> להלן.</w:t>
      </w:r>
    </w:p>
  </w:footnote>
  <w:footnote w:id="2630">
    <w:p w14:paraId="3FA9FF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לא הפחית מההערכה הרבה שרחש ר׳ ישראל </w:t>
      </w:r>
      <w:proofErr w:type="spellStart"/>
      <w:r>
        <w:rPr>
          <w:sz w:val="20"/>
          <w:szCs w:val="20"/>
          <w:rtl/>
        </w:rPr>
        <w:t>לחפץ־חיים</w:t>
      </w:r>
      <w:proofErr w:type="spellEnd"/>
      <w:r>
        <w:rPr>
          <w:sz w:val="20"/>
          <w:szCs w:val="20"/>
          <w:rtl/>
        </w:rPr>
        <w:t xml:space="preserve">, כפי שצוין בפסקה הראשונה של נספח א לעיל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631">
    <w:p w14:paraId="77C9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הביא דוגמה נוספת להדרכות כאלה של הסבא </w:t>
      </w:r>
      <w:proofErr w:type="spellStart"/>
      <w:r>
        <w:rPr>
          <w:sz w:val="20"/>
          <w:szCs w:val="20"/>
          <w:rtl/>
        </w:rPr>
        <w:t>מסלבודקה</w:t>
      </w:r>
      <w:proofErr w:type="spellEnd"/>
      <w:r>
        <w:rPr>
          <w:sz w:val="20"/>
          <w:szCs w:val="20"/>
          <w:rtl/>
        </w:rPr>
        <w:t xml:space="preserve">: אם היה שטיח </w:t>
      </w:r>
      <w:proofErr w:type="spellStart"/>
      <w:r>
        <w:rPr>
          <w:sz w:val="20"/>
          <w:szCs w:val="20"/>
          <w:rtl/>
        </w:rPr>
        <w:t>בסטנציה</w:t>
      </w:r>
      <w:proofErr w:type="spellEnd"/>
      <w:r>
        <w:rPr>
          <w:sz w:val="20"/>
          <w:szCs w:val="20"/>
          <w:rtl/>
        </w:rPr>
        <w:t xml:space="preserve"> של תלמיד, היה הסבא אומר לו שלא ליטול ידיים בבוקר ליד מיטתו, משום שהמים עלולים להישפך על שטיחו של בעל הבית. ראה גם "</w:t>
      </w:r>
      <w:proofErr w:type="spellStart"/>
      <w:r>
        <w:rPr>
          <w:sz w:val="20"/>
          <w:szCs w:val="20"/>
          <w:rtl/>
        </w:rPr>
        <w:t>Reb</w:t>
      </w:r>
      <w:proofErr w:type="spellEnd"/>
      <w:r>
        <w:rPr>
          <w:sz w:val="20"/>
          <w:szCs w:val="20"/>
          <w:rtl/>
        </w:rPr>
        <w:t xml:space="preserve"> </w:t>
      </w:r>
      <w:proofErr w:type="spellStart"/>
      <w:r>
        <w:rPr>
          <w:sz w:val="20"/>
          <w:szCs w:val="20"/>
          <w:rtl/>
        </w:rPr>
        <w:t>Yaakov</w:t>
      </w:r>
      <w:proofErr w:type="spellEnd"/>
      <w:r>
        <w:rPr>
          <w:sz w:val="20"/>
          <w:szCs w:val="20"/>
          <w:rtl/>
        </w:rPr>
        <w:t xml:space="preserve">" (הנזכר במבוא), עמ׳ 345, </w:t>
      </w:r>
      <w:proofErr w:type="spellStart"/>
      <w:r>
        <w:rPr>
          <w:sz w:val="20"/>
          <w:szCs w:val="20"/>
          <w:rtl/>
        </w:rPr>
        <w:t>ו“רבי</w:t>
      </w:r>
      <w:proofErr w:type="spellEnd"/>
      <w:r>
        <w:rPr>
          <w:sz w:val="20"/>
          <w:szCs w:val="20"/>
          <w:rtl/>
        </w:rPr>
        <w:t xml:space="preserve"> יעקב” (הנזכר במבוא), עמ׳ 428.</w:t>
      </w:r>
    </w:p>
  </w:footnote>
  <w:footnote w:id="2632">
    <w:p w14:paraId="7D33DA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“פרח מטה אהרן” מאת אהרן </w:t>
      </w:r>
      <w:proofErr w:type="spellStart"/>
      <w:r>
        <w:rPr>
          <w:sz w:val="20"/>
          <w:szCs w:val="20"/>
          <w:rtl/>
        </w:rPr>
        <w:t>סולובייצ׳יק</w:t>
      </w:r>
      <w:proofErr w:type="spellEnd"/>
      <w:r>
        <w:rPr>
          <w:sz w:val="20"/>
          <w:szCs w:val="20"/>
          <w:rtl/>
        </w:rPr>
        <w:t xml:space="preserve"> (תרגום הוצאה לאור, תשנ״ז), עמ׳ 88 ו־187, לפרטים נוספים על חילופי הדברים בין ר׳ ישראל </w:t>
      </w:r>
      <w:proofErr w:type="spellStart"/>
      <w:r>
        <w:rPr>
          <w:sz w:val="20"/>
          <w:szCs w:val="20"/>
          <w:rtl/>
        </w:rPr>
        <w:t>לחפץ־חיים</w:t>
      </w:r>
      <w:proofErr w:type="spellEnd"/>
      <w:r>
        <w:rPr>
          <w:sz w:val="20"/>
          <w:szCs w:val="20"/>
          <w:rtl/>
        </w:rPr>
        <w:t xml:space="preserve"> (וכיצד ביקש </w:t>
      </w:r>
      <w:proofErr w:type="spellStart"/>
      <w:r>
        <w:rPr>
          <w:sz w:val="20"/>
          <w:szCs w:val="20"/>
          <w:rtl/>
        </w:rPr>
        <w:t>החפץ־חיים</w:t>
      </w:r>
      <w:proofErr w:type="spellEnd"/>
      <w:r>
        <w:rPr>
          <w:sz w:val="20"/>
          <w:szCs w:val="20"/>
          <w:rtl/>
        </w:rPr>
        <w:t xml:space="preserve"> הסכמה מר׳ ישראל), כפי שסיפר ר׳ יצחק </w:t>
      </w:r>
      <w:proofErr w:type="spellStart"/>
      <w:r>
        <w:rPr>
          <w:sz w:val="20"/>
          <w:szCs w:val="20"/>
          <w:rtl/>
        </w:rPr>
        <w:t>הוטנר</w:t>
      </w:r>
      <w:proofErr w:type="spellEnd"/>
      <w:r>
        <w:rPr>
          <w:sz w:val="20"/>
          <w:szCs w:val="20"/>
          <w:rtl/>
        </w:rPr>
        <w:t>.</w:t>
      </w:r>
    </w:p>
  </w:footnote>
  <w:footnote w:id="2633">
    <w:p w14:paraId="494D3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אך ראה “</w:t>
      </w:r>
      <w:proofErr w:type="spellStart"/>
      <w:r>
        <w:rPr>
          <w:sz w:val="20"/>
          <w:szCs w:val="20"/>
          <w:rtl/>
        </w:rPr>
        <w:t>ארחות</w:t>
      </w:r>
      <w:proofErr w:type="spellEnd"/>
      <w:r>
        <w:rPr>
          <w:sz w:val="20"/>
          <w:szCs w:val="20"/>
          <w:rtl/>
        </w:rPr>
        <w:t xml:space="preserve"> חסידיך” (הפסקה השישית בנספח </w:t>
      </w:r>
      <w:proofErr w:type="spellStart"/>
      <w:r>
        <w:rPr>
          <w:sz w:val="20"/>
          <w:szCs w:val="20"/>
          <w:rtl/>
        </w:rPr>
        <w:t>יח</w:t>
      </w:r>
      <w:proofErr w:type="spellEnd"/>
      <w:r>
        <w:rPr>
          <w:sz w:val="20"/>
          <w:szCs w:val="20"/>
          <w:rtl/>
        </w:rPr>
        <w:t xml:space="preserve"> לעיל), עמ׳ 297, המספר בשם ר׳ שלום </w:t>
      </w:r>
      <w:proofErr w:type="spellStart"/>
      <w:r>
        <w:rPr>
          <w:sz w:val="20"/>
          <w:szCs w:val="20"/>
          <w:rtl/>
        </w:rPr>
        <w:t>שבדרון</w:t>
      </w:r>
      <w:proofErr w:type="spellEnd"/>
      <w:r>
        <w:rPr>
          <w:sz w:val="20"/>
          <w:szCs w:val="20"/>
          <w:rtl/>
        </w:rPr>
        <w:t xml:space="preserve"> שר׳ ישראל נתן הסכמה רוויית שבחים כל כך, עד </w:t>
      </w:r>
      <w:proofErr w:type="spellStart"/>
      <w:r>
        <w:rPr>
          <w:sz w:val="20"/>
          <w:szCs w:val="20"/>
          <w:rtl/>
        </w:rPr>
        <w:t>שהחפץ־חיים</w:t>
      </w:r>
      <w:proofErr w:type="spellEnd"/>
      <w:r>
        <w:rPr>
          <w:sz w:val="20"/>
          <w:szCs w:val="20"/>
          <w:rtl/>
        </w:rPr>
        <w:t xml:space="preserve"> החליט שלא לפרסמה. ידיעה זו מפוקפקת לא רק מבחינה עובדתית, כמבואר להלן, אלא גם לנוכח חסכנותו של ר׳ ישראל במילים בכלל, כמובא בספרו של כץ, “תנועת המוסר”, כרך א, עמ׳ 345–347, ובייחוד בהסכמות, כמובא שם, עמ׳ 346.</w:t>
      </w:r>
    </w:p>
  </w:footnote>
  <w:footnote w:id="2634">
    <w:p w14:paraId="32709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זיכרונותיו של ברוך צוקרמן (הערה 3 לעיל), עמ׳ 85, המביאים אמרה זו בגוף ראשון, כמו כאן – וכך אני מעדיף – ולא כספרו של כץ, “תנועת המוסר”, כרך א (הערה 12 לעיל), עמ׳ 304, המביא אותה בגוף שלישי.</w:t>
      </w:r>
    </w:p>
  </w:footnote>
  <w:footnote w:id="2635">
    <w:p w14:paraId="23AC55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pr_f_2526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1572</w:t>
      </w:r>
      <w:r>
        <w:rPr>
          <w:rStyle w:val="a5"/>
          <w:sz w:val="20"/>
          <w:szCs w:val="20"/>
          <w:vertAlign w:val="baseline"/>
          <w:rtl/>
        </w:rPr>
        <w:fldChar w:fldCharType="end"/>
      </w:r>
      <w:r>
        <w:rPr>
          <w:rStyle w:val="a5"/>
          <w:sz w:val="20"/>
          <w:szCs w:val="20"/>
          <w:vertAlign w:val="baseline"/>
          <w:rtl/>
        </w:rPr>
        <w:t xml:space="preserve"> לעיל – עמ׳ 88.</w:t>
      </w:r>
    </w:p>
  </w:footnote>
  <w:footnote w:id="2636">
    <w:p w14:paraId="2546B3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יט</w:t>
      </w:r>
      <w:proofErr w:type="spellEnd"/>
      <w:r>
        <w:rPr>
          <w:sz w:val="20"/>
          <w:szCs w:val="20"/>
          <w:rtl/>
        </w:rPr>
        <w:t>, יד.</w:t>
      </w:r>
    </w:p>
  </w:footnote>
  <w:footnote w:id="2637">
    <w:p w14:paraId="245F2E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15–16.</w:t>
      </w:r>
    </w:p>
  </w:footnote>
  <w:footnote w:id="2638">
    <w:p w14:paraId="728E6BE6"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בשנת 1873 (תרל״ג) נדפס הספר “חפץ חיים”; “שמירת הלשון” נדפס בשנת 1876 (תרל״ו), כפי שכתב </w:t>
      </w:r>
      <w:proofErr w:type="spellStart"/>
      <w:r>
        <w:rPr>
          <w:sz w:val="20"/>
          <w:szCs w:val="20"/>
          <w:rtl/>
        </w:rPr>
        <w:t>החפץ־חיים</w:t>
      </w:r>
      <w:proofErr w:type="spellEnd"/>
      <w:r>
        <w:rPr>
          <w:sz w:val="20"/>
          <w:szCs w:val="20"/>
          <w:rtl/>
        </w:rPr>
        <w:t xml:space="preserve"> עצמו בצוואתו.</w:t>
      </w:r>
    </w:p>
  </w:footnote>
  <w:footnote w:id="2639">
    <w:p w14:paraId="5CCE5A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xml:space="preserve">, עמ׳ 32, אות א, במהדורת </w:t>
      </w:r>
      <w:proofErr w:type="spellStart"/>
      <w:r>
        <w:rPr>
          <w:sz w:val="20"/>
          <w:szCs w:val="20"/>
          <w:rtl/>
        </w:rPr>
        <w:t>לוין־אפשטין</w:t>
      </w:r>
      <w:proofErr w:type="spellEnd"/>
      <w:r>
        <w:rPr>
          <w:sz w:val="20"/>
          <w:szCs w:val="20"/>
          <w:rtl/>
        </w:rPr>
        <w:t>, ירושלים, תשכ״ג.</w:t>
      </w:r>
    </w:p>
  </w:footnote>
  <w:footnote w:id="2640">
    <w:p w14:paraId="7375BB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זה.</w:t>
      </w:r>
    </w:p>
  </w:footnote>
  <w:footnote w:id="2641">
    <w:p w14:paraId="06AEBD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“משיב דבר”, </w:t>
      </w:r>
      <w:proofErr w:type="spellStart"/>
      <w:r>
        <w:rPr>
          <w:sz w:val="20"/>
          <w:szCs w:val="20"/>
          <w:rtl/>
        </w:rPr>
        <w:t>ח״ב</w:t>
      </w:r>
      <w:proofErr w:type="spellEnd"/>
      <w:r>
        <w:rPr>
          <w:sz w:val="20"/>
          <w:szCs w:val="20"/>
          <w:rtl/>
        </w:rPr>
        <w:t>, סי׳ ק״ד.</w:t>
      </w:r>
    </w:p>
  </w:footnote>
  <w:footnote w:id="2642">
    <w:p w14:paraId="78A34B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תשובתו הבלתי מתוארכת של </w:t>
      </w:r>
      <w:proofErr w:type="spellStart"/>
      <w:r>
        <w:rPr>
          <w:sz w:val="20"/>
          <w:szCs w:val="20"/>
          <w:rtl/>
        </w:rPr>
        <w:t>הנצי״ב</w:t>
      </w:r>
      <w:proofErr w:type="spellEnd"/>
      <w:r>
        <w:rPr>
          <w:sz w:val="20"/>
          <w:szCs w:val="20"/>
          <w:rtl/>
        </w:rPr>
        <w:t xml:space="preserve"> </w:t>
      </w:r>
      <w:proofErr w:type="spellStart"/>
      <w:r>
        <w:rPr>
          <w:sz w:val="20"/>
          <w:szCs w:val="20"/>
          <w:rtl/>
        </w:rPr>
        <w:t>לר</w:t>
      </w:r>
      <w:proofErr w:type="spellEnd"/>
      <w:r>
        <w:rPr>
          <w:sz w:val="20"/>
          <w:szCs w:val="20"/>
          <w:rtl/>
        </w:rPr>
        <w:t xml:space="preserve">׳ בצלאל הכהן מווילנה פותחת באישור שקיבל את ספרו של ר׳ בצלאל “ראשית בכורים”, שנדפס </w:t>
      </w:r>
      <w:proofErr w:type="spellStart"/>
      <w:r>
        <w:rPr>
          <w:sz w:val="20"/>
          <w:szCs w:val="20"/>
          <w:rtl/>
        </w:rPr>
        <w:t>בתרכ״ט</w:t>
      </w:r>
      <w:proofErr w:type="spellEnd"/>
      <w:r>
        <w:rPr>
          <w:sz w:val="20"/>
          <w:szCs w:val="20"/>
          <w:rtl/>
        </w:rPr>
        <w:t xml:space="preserve">, והתשובה כולה נסבה על הערות לתוכן הספר (וראה הערת שוליים </w:t>
      </w:r>
      <w:r>
        <w:rPr>
          <w:sz w:val="20"/>
          <w:szCs w:val="20"/>
          <w:rtl/>
        </w:rPr>
        <w:fldChar w:fldCharType="begin" w:dirty="true"/>
      </w:r>
      <w:r>
        <w:rPr>
          <w:sz w:val="20"/>
          <w:szCs w:val="20"/>
          <w:rtl/>
        </w:rPr>
        <w:instrText xml:space="preserve"> NOTEREF pr_f_4625 \h </w:instrText>
      </w:r>
      <w:r>
        <w:rPr>
          <w:sz w:val="20"/>
          <w:szCs w:val="20"/>
          <w:rtl/>
        </w:rPr>
      </w:r>
      <w:r>
        <w:rPr>
          <w:sz w:val="20"/>
          <w:szCs w:val="20"/>
          <w:rtl/>
        </w:rPr>
        <w:fldChar w:fldCharType="separate"/>
      </w:r>
      <w:r w:rsidR="007923E9">
        <w:rPr>
          <w:sz w:val="20"/>
          <w:szCs w:val="20"/>
          <w:rtl/>
        </w:rPr>
        <w:t>279</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pr_f_4625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לכן אפשר לשאול: מדוע הסתמך </w:t>
      </w:r>
      <w:proofErr w:type="spellStart"/>
      <w:r>
        <w:rPr>
          <w:sz w:val="20"/>
          <w:szCs w:val="20"/>
          <w:rtl/>
        </w:rPr>
        <w:t>הנצי״ב</w:t>
      </w:r>
      <w:proofErr w:type="spellEnd"/>
      <w:r>
        <w:rPr>
          <w:sz w:val="20"/>
          <w:szCs w:val="20"/>
          <w:rtl/>
        </w:rPr>
        <w:t xml:space="preserve">, בסיפור הניסיונות שלא צלחו להנהיג נשיאת כפיים בימות החול, על מקור שהוא עצמו הודה שאינו בטוח בו (“כמדומה”), ולא ציטט את המקור המהימן </w:t>
      </w:r>
      <w:proofErr w:type="spellStart"/>
      <w:r>
        <w:rPr>
          <w:sz w:val="20"/>
          <w:szCs w:val="20"/>
          <w:rtl/>
        </w:rPr>
        <w:t>שב“עליות</w:t>
      </w:r>
      <w:proofErr w:type="spellEnd"/>
      <w:r>
        <w:rPr>
          <w:sz w:val="20"/>
          <w:szCs w:val="20"/>
          <w:rtl/>
        </w:rPr>
        <w:t xml:space="preserve"> אליהו”, שנדפס </w:t>
      </w:r>
      <w:proofErr w:type="spellStart"/>
      <w:r>
        <w:rPr>
          <w:sz w:val="20"/>
          <w:szCs w:val="20"/>
          <w:rtl/>
        </w:rPr>
        <w:t>שלוש־עשרה</w:t>
      </w:r>
      <w:proofErr w:type="spellEnd"/>
      <w:r>
        <w:rPr>
          <w:sz w:val="20"/>
          <w:szCs w:val="20"/>
          <w:rtl/>
        </w:rPr>
        <w:t xml:space="preserve"> שנה קודם לכן – ויש להניח שוודאי ראהו?</w:t>
      </w:r>
    </w:p>
    <w:p w14:paraId="2B9A790C" w14:textId="77777777" w:rsidR="00AB3647" w:rsidRDefault="00000000">
      <w:pPr>
        <w:spacing w:after="0" w:before="0"/>
        <w:jc w:val="both"/>
      </w:pPr>
      <w:r>
        <w:rPr>
          <w:sz w:val="20"/>
          <w:szCs w:val="20"/>
          <w:rtl/>
        </w:rPr>
        <w:t xml:space="preserve">למי שבקי בהיסטוריה התשובה ברורה: הייתה מחלוקת קשה בין </w:t>
      </w:r>
      <w:proofErr w:type="spellStart"/>
      <w:r>
        <w:rPr>
          <w:sz w:val="20"/>
          <w:szCs w:val="20"/>
          <w:rtl/>
        </w:rPr>
        <w:t>הנצי״ב</w:t>
      </w:r>
      <w:proofErr w:type="spellEnd"/>
      <w:r>
        <w:rPr>
          <w:sz w:val="20"/>
          <w:szCs w:val="20"/>
          <w:rtl/>
        </w:rPr>
        <w:t xml:space="preserve"> לבין ר׳ </w:t>
      </w:r>
      <w:proofErr w:type="spellStart"/>
      <w:r>
        <w:rPr>
          <w:sz w:val="20"/>
          <w:szCs w:val="20"/>
          <w:rtl/>
        </w:rPr>
        <w:t>יהושע־העשיל</w:t>
      </w:r>
      <w:proofErr w:type="spellEnd"/>
      <w:r>
        <w:rPr>
          <w:sz w:val="20"/>
          <w:szCs w:val="20"/>
          <w:rtl/>
        </w:rPr>
        <w:t xml:space="preserve"> לוין, בעל אחייניתו, בשאלה מי יהיה ראש ישיבת </w:t>
      </w:r>
      <w:proofErr w:type="spellStart"/>
      <w:r>
        <w:rPr>
          <w:sz w:val="20"/>
          <w:szCs w:val="20"/>
          <w:rtl/>
        </w:rPr>
        <w:t>וולוז׳ין</w:t>
      </w:r>
      <w:proofErr w:type="spellEnd"/>
      <w:r>
        <w:rPr>
          <w:sz w:val="20"/>
          <w:szCs w:val="20"/>
          <w:rtl/>
        </w:rPr>
        <w:t xml:space="preserve"> – השווה פרק 4, הפסקה השנייה בנספח </w:t>
      </w:r>
      <w:proofErr w:type="spellStart"/>
      <w:r>
        <w:rPr>
          <w:sz w:val="20"/>
          <w:szCs w:val="20"/>
          <w:rtl/>
        </w:rPr>
        <w:t>יג</w:t>
      </w:r>
      <w:proofErr w:type="spellEnd"/>
      <w:r>
        <w:rPr>
          <w:sz w:val="20"/>
          <w:szCs w:val="20"/>
          <w:rtl/>
        </w:rPr>
        <w:t xml:space="preserve">. ר׳ </w:t>
      </w:r>
      <w:proofErr w:type="spellStart"/>
      <w:r>
        <w:rPr>
          <w:sz w:val="20"/>
          <w:szCs w:val="20"/>
          <w:rtl/>
        </w:rPr>
        <w:t>יהושע־העשיל</w:t>
      </w:r>
      <w:proofErr w:type="spellEnd"/>
      <w:r>
        <w:rPr>
          <w:sz w:val="20"/>
          <w:szCs w:val="20"/>
          <w:rtl/>
        </w:rPr>
        <w:t xml:space="preserve"> לוין חיבר את “עליות אליהו” אחרי שוויתר על המאבק ועזב את </w:t>
      </w:r>
      <w:proofErr w:type="spellStart"/>
      <w:r>
        <w:rPr>
          <w:sz w:val="20"/>
          <w:szCs w:val="20"/>
          <w:rtl/>
        </w:rPr>
        <w:t>וולוז׳ין</w:t>
      </w:r>
      <w:proofErr w:type="spellEnd"/>
      <w:r>
        <w:rPr>
          <w:sz w:val="20"/>
          <w:szCs w:val="20"/>
          <w:rtl/>
        </w:rPr>
        <w:t xml:space="preserve"> מובס לווילנה. בעקבות הסכסוך נמנע </w:t>
      </w:r>
      <w:proofErr w:type="spellStart"/>
      <w:r>
        <w:rPr>
          <w:sz w:val="20"/>
          <w:szCs w:val="20"/>
          <w:rtl/>
        </w:rPr>
        <w:t>הנצי״ב</w:t>
      </w:r>
      <w:proofErr w:type="spellEnd"/>
      <w:r>
        <w:rPr>
          <w:sz w:val="20"/>
          <w:szCs w:val="20"/>
          <w:rtl/>
        </w:rPr>
        <w:t xml:space="preserve"> מלהסתמך על חיבורו של יריבו המובהק, ואולי אף מלקרוא בו.</w:t>
      </w:r>
    </w:p>
  </w:footnote>
  <w:footnote w:id="2643">
    <w:p w14:paraId="602295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644">
    <w:p w14:paraId="29CE4F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pr_f_4327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1404</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pr_f_4327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כיצד יוחסה </w:t>
      </w:r>
      <w:proofErr w:type="spellStart"/>
      <w:r>
        <w:rPr>
          <w:rStyle w:val="a5"/>
          <w:sz w:val="20"/>
          <w:szCs w:val="20"/>
          <w:vertAlign w:val="baseline"/>
          <w:rtl/>
        </w:rPr>
        <w:t>לר</w:t>
      </w:r>
      <w:proofErr w:type="spellEnd"/>
      <w:r>
        <w:rPr>
          <w:rStyle w:val="a5"/>
          <w:sz w:val="20"/>
          <w:szCs w:val="20"/>
          <w:vertAlign w:val="baseline"/>
          <w:rtl/>
        </w:rPr>
        <w:t xml:space="preserve">׳ חיים </w:t>
      </w:r>
      <w:proofErr w:type="spellStart"/>
      <w:r>
        <w:rPr>
          <w:rStyle w:val="a5"/>
          <w:sz w:val="20"/>
          <w:szCs w:val="20"/>
          <w:vertAlign w:val="baseline"/>
          <w:rtl/>
        </w:rPr>
        <w:t>מוולוז׳ין</w:t>
      </w:r>
      <w:proofErr w:type="spellEnd"/>
      <w:r>
        <w:rPr>
          <w:rStyle w:val="a5"/>
          <w:sz w:val="20"/>
          <w:szCs w:val="20"/>
          <w:vertAlign w:val="baseline"/>
          <w:rtl/>
        </w:rPr>
        <w:t xml:space="preserve"> פסיקה הלכתית המבוססת על סודות כאלה</w:t>
      </w:r>
      <w:r>
        <w:rPr>
          <w:sz w:val="20"/>
          <w:szCs w:val="20"/>
          <w:rtl/>
        </w:rPr>
        <w:t>.</w:t>
      </w:r>
    </w:p>
  </w:footnote>
  <w:footnote w:id="2645">
    <w:p w14:paraId="6ABA9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26 בדצמבר 1996.</w:t>
      </w:r>
    </w:p>
  </w:footnote>
  <w:footnote w:id="2646">
    <w:p w14:paraId="147B4C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התכוון ככל הנראה למאורע </w:t>
      </w:r>
      <w:proofErr w:type="spellStart"/>
      <w:r>
        <w:rPr>
          <w:sz w:val="20"/>
          <w:szCs w:val="20"/>
          <w:rtl/>
        </w:rPr>
        <w:t>בסלבודקה</w:t>
      </w:r>
      <w:proofErr w:type="spellEnd"/>
      <w:r>
        <w:rPr>
          <w:sz w:val="20"/>
          <w:szCs w:val="20"/>
          <w:rtl/>
        </w:rPr>
        <w:t xml:space="preserve"> שנדון בהערה 56 לעיל.</w:t>
      </w:r>
    </w:p>
  </w:footnote>
  <w:footnote w:id="2647">
    <w:p w14:paraId="592698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w:t>
      </w:r>
      <w:proofErr w:type="spellStart"/>
      <w:r>
        <w:rPr>
          <w:sz w:val="20"/>
          <w:szCs w:val="20"/>
          <w:rtl/>
        </w:rPr>
        <w:t>שהחתם־סופר</w:t>
      </w:r>
      <w:proofErr w:type="spellEnd"/>
      <w:r>
        <w:rPr>
          <w:sz w:val="20"/>
          <w:szCs w:val="20"/>
          <w:rtl/>
        </w:rPr>
        <w:t xml:space="preserve"> עצמו אף לא היה מנסה לשנות מנהג מקובל, כמו שעשה ר׳ חיים </w:t>
      </w:r>
      <w:proofErr w:type="spellStart"/>
      <w:r>
        <w:rPr>
          <w:sz w:val="20"/>
          <w:szCs w:val="20"/>
          <w:rtl/>
        </w:rPr>
        <w:t>מוולוז׳ין</w:t>
      </w:r>
      <w:proofErr w:type="spellEnd"/>
      <w:r>
        <w:rPr>
          <w:sz w:val="20"/>
          <w:szCs w:val="20"/>
          <w:rtl/>
        </w:rPr>
        <w:t xml:space="preserve">. ובשאלה המסוימת של ברכת כהנים בימות החול, </w:t>
      </w:r>
      <w:proofErr w:type="spellStart"/>
      <w:r>
        <w:rPr>
          <w:sz w:val="20"/>
          <w:szCs w:val="20"/>
          <w:rtl/>
        </w:rPr>
        <w:t>החתם־סופר</w:t>
      </w:r>
      <w:proofErr w:type="spellEnd"/>
      <w:r>
        <w:rPr>
          <w:sz w:val="20"/>
          <w:szCs w:val="20"/>
          <w:rtl/>
        </w:rPr>
        <w:t xml:space="preserve"> נותן טעם הלכתי לכך שאין נושאים בהם כפיים; ראה תשובותיו </w:t>
      </w:r>
      <w:proofErr w:type="spellStart"/>
      <w:r>
        <w:rPr>
          <w:sz w:val="20"/>
          <w:szCs w:val="20"/>
          <w:rtl/>
        </w:rPr>
        <w:t>או״ח</w:t>
      </w:r>
      <w:proofErr w:type="spellEnd"/>
      <w:r>
        <w:rPr>
          <w:sz w:val="20"/>
          <w:szCs w:val="20"/>
          <w:rtl/>
        </w:rPr>
        <w:t xml:space="preserve"> סוף סי׳ כ״ג.</w:t>
      </w:r>
    </w:p>
  </w:footnote>
  <w:footnote w:id="2648">
    <w:p w14:paraId="38AD3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הפסקה השלישית בהערה </w:t>
      </w:r>
      <w:proofErr w:type="spellStart"/>
      <w:r>
        <w:rPr>
          <w:sz w:val="20"/>
          <w:szCs w:val="20"/>
          <w:rtl/>
        </w:rPr>
        <w:t>יג</w:t>
      </w:r>
      <w:proofErr w:type="spellEnd"/>
      <w:r>
        <w:rPr>
          <w:sz w:val="20"/>
          <w:szCs w:val="20"/>
          <w:rtl/>
        </w:rPr>
        <w:t>, עמ׳ 31.</w:t>
      </w:r>
    </w:p>
  </w:footnote>
  <w:footnote w:id="2649">
    <w:p w14:paraId="68A39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שלא יטעה הקורא: אבי התכוון לסבים ולסבתות תלמידי חכמים ובקיאים. בדורנו ייתכן שעקבותיהם של אבות כאלה כבר כוסו בחולות הזמן ואבדו, ורק מעשי הקודמים בכללם יכולים לקבוע את אמת המידה הראויה.</w:t>
      </w:r>
    </w:p>
  </w:footnote>
  <w:footnote w:id="2650">
    <w:p w14:paraId="66844F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יד, א ויבמות י״ג ע״ב. “הגאון החסיד </w:t>
      </w:r>
      <w:proofErr w:type="spellStart"/>
      <w:r>
        <w:rPr>
          <w:sz w:val="20"/>
          <w:szCs w:val="20"/>
          <w:rtl/>
        </w:rPr>
        <w:t>מוילנא</w:t>
      </w:r>
      <w:proofErr w:type="spellEnd"/>
      <w:r>
        <w:rPr>
          <w:sz w:val="20"/>
          <w:szCs w:val="20"/>
          <w:rtl/>
        </w:rPr>
        <w:t xml:space="preserve">” (נספח ב לעיל), עמ׳ קו, בסוף הפסקה השנייה של הערה 61, טועה כשהוא מייחס </w:t>
      </w:r>
      <w:proofErr w:type="spellStart"/>
      <w:r>
        <w:rPr>
          <w:sz w:val="20"/>
          <w:szCs w:val="20"/>
          <w:rtl/>
        </w:rPr>
        <w:t>לר</w:t>
      </w:r>
      <w:proofErr w:type="spellEnd"/>
      <w:r>
        <w:rPr>
          <w:sz w:val="20"/>
          <w:szCs w:val="20"/>
          <w:rtl/>
        </w:rPr>
        <w:t xml:space="preserve">׳ עקיבא איגר את החלת “לא תתגודדו” על דחיית השינוי בקריאת התורה. מי שהעלה טעם זה הוא בן שיחו של ר׳ עקיבא איגר, ר׳ </w:t>
      </w:r>
      <w:proofErr w:type="spellStart"/>
      <w:r>
        <w:rPr>
          <w:sz w:val="20"/>
          <w:szCs w:val="20"/>
          <w:rtl/>
        </w:rPr>
        <w:t>זכריה־מנדל</w:t>
      </w:r>
      <w:proofErr w:type="spellEnd"/>
      <w:r>
        <w:rPr>
          <w:sz w:val="20"/>
          <w:szCs w:val="20"/>
          <w:rtl/>
        </w:rPr>
        <w:t xml:space="preserve">, רב </w:t>
      </w:r>
      <w:proofErr w:type="spellStart"/>
      <w:r>
        <w:rPr>
          <w:sz w:val="20"/>
          <w:szCs w:val="20"/>
          <w:rtl/>
        </w:rPr>
        <w:t>לסלא</w:t>
      </w:r>
      <w:proofErr w:type="spellEnd"/>
      <w:r>
        <w:rPr>
          <w:sz w:val="20"/>
          <w:szCs w:val="20"/>
          <w:rtl/>
        </w:rPr>
        <w:t xml:space="preserve"> (ברסלאו) בפרוסיה, ורבו של ר׳ </w:t>
      </w:r>
      <w:proofErr w:type="spellStart"/>
      <w:r>
        <w:rPr>
          <w:sz w:val="20"/>
          <w:szCs w:val="20"/>
          <w:rtl/>
        </w:rPr>
        <w:t>יעקב־צבי</w:t>
      </w:r>
      <w:proofErr w:type="spellEnd"/>
      <w:r>
        <w:rPr>
          <w:sz w:val="20"/>
          <w:szCs w:val="20"/>
          <w:rtl/>
        </w:rPr>
        <w:t xml:space="preserve"> </w:t>
      </w:r>
      <w:proofErr w:type="spellStart"/>
      <w:r>
        <w:rPr>
          <w:sz w:val="20"/>
          <w:szCs w:val="20"/>
          <w:rtl/>
        </w:rPr>
        <w:t>מקלנבורג</w:t>
      </w:r>
      <w:proofErr w:type="spellEnd"/>
      <w:r>
        <w:rPr>
          <w:sz w:val="20"/>
          <w:szCs w:val="20"/>
          <w:rtl/>
        </w:rPr>
        <w:t xml:space="preserve"> מקניגסברג.</w:t>
      </w:r>
    </w:p>
    <w:p w14:paraId="7CE82EDC" w14:textId="77777777" w:rsidR="00AB3647" w:rsidRDefault="00000000">
      <w:pPr>
        <w:spacing w:after="0" w:before="0"/>
        <w:jc w:val="both"/>
      </w:pPr>
      <w:r>
        <w:rPr>
          <w:sz w:val="20"/>
          <w:szCs w:val="20"/>
          <w:rtl/>
        </w:rPr>
        <w:t xml:space="preserve">“הגאון החסיד </w:t>
      </w:r>
      <w:proofErr w:type="spellStart"/>
      <w:r>
        <w:rPr>
          <w:sz w:val="20"/>
          <w:szCs w:val="20"/>
          <w:rtl/>
        </w:rPr>
        <w:t>מוילנא</w:t>
      </w:r>
      <w:proofErr w:type="spellEnd"/>
      <w:r>
        <w:rPr>
          <w:sz w:val="20"/>
          <w:szCs w:val="20"/>
          <w:rtl/>
        </w:rPr>
        <w:t xml:space="preserve">”, שם, בפסקה הרביעית, מביא גם מקורות מהימנים שלפיהם אמר ר׳ </w:t>
      </w:r>
      <w:proofErr w:type="spellStart"/>
      <w:r>
        <w:rPr>
          <w:sz w:val="20"/>
          <w:szCs w:val="20"/>
          <w:rtl/>
        </w:rPr>
        <w:t>איסר־זלמן</w:t>
      </w:r>
      <w:proofErr w:type="spellEnd"/>
      <w:r>
        <w:rPr>
          <w:sz w:val="20"/>
          <w:szCs w:val="20"/>
          <w:rtl/>
        </w:rPr>
        <w:t xml:space="preserve"> מלצר – שעמל בשקידה </w:t>
      </w:r>
      <w:proofErr w:type="spellStart"/>
      <w:r>
        <w:rPr>
          <w:sz w:val="20"/>
          <w:szCs w:val="20"/>
          <w:rtl/>
        </w:rPr>
        <w:t>בתרפ״ח</w:t>
      </w:r>
      <w:proofErr w:type="spellEnd"/>
      <w:r>
        <w:rPr>
          <w:sz w:val="20"/>
          <w:szCs w:val="20"/>
          <w:rtl/>
        </w:rPr>
        <w:t xml:space="preserve">–תרפ״ט להכין לדפוס את חידושי הרמב״ן על הש״ס עם הערות תיקון – “שאילו היה </w:t>
      </w:r>
      <w:proofErr w:type="spellStart"/>
      <w:r>
        <w:rPr>
          <w:sz w:val="20"/>
          <w:szCs w:val="20"/>
          <w:rtl/>
        </w:rPr>
        <w:t>הגר״א</w:t>
      </w:r>
      <w:proofErr w:type="spellEnd"/>
      <w:r>
        <w:rPr>
          <w:sz w:val="20"/>
          <w:szCs w:val="20"/>
          <w:rtl/>
        </w:rPr>
        <w:t xml:space="preserve"> רואה דברי הרמב״ן, מי יודע אם היה אומר מה שאמר, לשינוי סדר הקריאה </w:t>
      </w:r>
      <w:proofErr w:type="spellStart"/>
      <w:r>
        <w:rPr>
          <w:sz w:val="20"/>
          <w:szCs w:val="20"/>
          <w:rtl/>
        </w:rPr>
        <w:t>בר״ח</w:t>
      </w:r>
      <w:proofErr w:type="spellEnd"/>
      <w:r>
        <w:rPr>
          <w:sz w:val="20"/>
          <w:szCs w:val="20"/>
          <w:rtl/>
        </w:rPr>
        <w:t>”. דברי הרמב״ן הם בסוף חידושיו למגילה כ״א ע״ב [בשאלה כיצד לקרוא בתורה בראש חודש], “שאין ליגע במה שהונהג ע״פ הגאונים” [למרות הקשיים במנהג המקובל].</w:t>
      </w:r>
    </w:p>
  </w:footnote>
  <w:footnote w:id="2651">
    <w:p w14:paraId="725AB0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יעקב כרמל העירני על ההקדמה לביאורי הגאון מווילנה על שולחן ערוך אורח חיים, שבה כותבים בניו שבעיר שקלוב “</w:t>
      </w:r>
      <w:proofErr w:type="spellStart"/>
      <w:r>
        <w:rPr>
          <w:sz w:val="20"/>
          <w:szCs w:val="20"/>
          <w:rtl/>
        </w:rPr>
        <w:t>קימו</w:t>
      </w:r>
      <w:proofErr w:type="spellEnd"/>
      <w:r>
        <w:rPr>
          <w:sz w:val="20"/>
          <w:szCs w:val="20"/>
          <w:rtl/>
        </w:rPr>
        <w:t xml:space="preserve"> וקיבלו עליהם הרבה מהנהגותיו בדרכי הלימוד ונתיבות המצוות כתיקונן”.</w:t>
      </w:r>
    </w:p>
  </w:footnote>
  <w:footnote w:id="2652">
    <w:p w14:paraId="1C2FEF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11 לעיל.</w:t>
      </w:r>
    </w:p>
  </w:footnote>
  <w:footnote w:id="2653">
    <w:p w14:paraId="76017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נספח </w:t>
      </w:r>
      <w:proofErr w:type="spellStart"/>
      <w:r>
        <w:rPr>
          <w:sz w:val="20"/>
          <w:szCs w:val="20"/>
          <w:rtl/>
        </w:rPr>
        <w:t>טז</w:t>
      </w:r>
      <w:proofErr w:type="spellEnd"/>
      <w:r>
        <w:rPr>
          <w:sz w:val="20"/>
          <w:szCs w:val="20"/>
          <w:rtl/>
        </w:rPr>
        <w:t>.</w:t>
      </w:r>
    </w:p>
  </w:footnote>
  <w:footnote w:id="2654">
    <w:p w14:paraId="31290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655">
    <w:p w14:paraId="0EC47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ח לעיל – עמ׳ 44.</w:t>
      </w:r>
    </w:p>
  </w:footnote>
  <w:footnote w:id="2656">
    <w:p w14:paraId="21E481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“מאיר עיני ישראל”, עמ׳ 140, שם טוען ר׳ קלמן פרבר, תלמיד ישיבת </w:t>
      </w:r>
      <w:proofErr w:type="spellStart"/>
      <w:r>
        <w:rPr>
          <w:sz w:val="20"/>
          <w:szCs w:val="20"/>
          <w:rtl/>
        </w:rPr>
        <w:t>ראדין</w:t>
      </w:r>
      <w:proofErr w:type="spellEnd"/>
      <w:r>
        <w:rPr>
          <w:sz w:val="20"/>
          <w:szCs w:val="20"/>
          <w:rtl/>
        </w:rPr>
        <w:t xml:space="preserve">: “אביו של </w:t>
      </w:r>
      <w:proofErr w:type="spellStart"/>
      <w:r>
        <w:rPr>
          <w:sz w:val="20"/>
          <w:szCs w:val="20"/>
          <w:rtl/>
        </w:rPr>
        <w:t>החפץ־חיים</w:t>
      </w:r>
      <w:proofErr w:type="spellEnd"/>
      <w:r>
        <w:rPr>
          <w:sz w:val="20"/>
          <w:szCs w:val="20"/>
          <w:rtl/>
        </w:rPr>
        <w:t xml:space="preserve"> ורבו </w:t>
      </w:r>
      <w:proofErr w:type="spellStart"/>
      <w:r>
        <w:rPr>
          <w:sz w:val="20"/>
          <w:szCs w:val="20"/>
          <w:rtl/>
        </w:rPr>
        <w:t>ב‘קלויז</w:t>
      </w:r>
      <w:proofErr w:type="spellEnd"/>
      <w:r>
        <w:rPr>
          <w:sz w:val="20"/>
          <w:szCs w:val="20"/>
          <w:rtl/>
        </w:rPr>
        <w:t xml:space="preserve"> הפרנס’ [בווילנה] היו תלמידים של ר׳ חיים </w:t>
      </w:r>
      <w:proofErr w:type="spellStart"/>
      <w:r>
        <w:rPr>
          <w:sz w:val="20"/>
          <w:szCs w:val="20"/>
          <w:rtl/>
        </w:rPr>
        <w:t>מוולוז׳ין</w:t>
      </w:r>
      <w:proofErr w:type="spellEnd"/>
      <w:r>
        <w:rPr>
          <w:sz w:val="20"/>
          <w:szCs w:val="20"/>
          <w:rtl/>
        </w:rPr>
        <w:t xml:space="preserve">”. השווה גם שם, עמ׳ 282, שם מספר תלמיד אחר, ר׳ שלום גלאי: “כשדיבר על אביו ביום היארצייט שלו, שמחת תורה, אמר </w:t>
      </w:r>
      <w:proofErr w:type="spellStart"/>
      <w:r>
        <w:rPr>
          <w:sz w:val="20"/>
          <w:szCs w:val="20"/>
          <w:rtl/>
        </w:rPr>
        <w:t>החפץ־חיים</w:t>
      </w:r>
      <w:proofErr w:type="spellEnd"/>
      <w:r>
        <w:rPr>
          <w:sz w:val="20"/>
          <w:szCs w:val="20"/>
          <w:rtl/>
        </w:rPr>
        <w:t xml:space="preserve"> כי היו לו כוח לימוד ותפיסה בתלמוד כמו למפרש </w:t>
      </w:r>
      <w:proofErr w:type="spellStart"/>
      <w:r>
        <w:rPr>
          <w:sz w:val="20"/>
          <w:szCs w:val="20"/>
          <w:rtl/>
        </w:rPr>
        <w:t>מהר״ם</w:t>
      </w:r>
      <w:proofErr w:type="spellEnd"/>
      <w:r>
        <w:rPr>
          <w:sz w:val="20"/>
          <w:szCs w:val="20"/>
          <w:rtl/>
        </w:rPr>
        <w:t xml:space="preserve"> </w:t>
      </w:r>
      <w:proofErr w:type="spellStart"/>
      <w:r>
        <w:rPr>
          <w:sz w:val="20"/>
          <w:szCs w:val="20"/>
          <w:rtl/>
        </w:rPr>
        <w:t>שיף</w:t>
      </w:r>
      <w:proofErr w:type="spellEnd"/>
      <w:r>
        <w:rPr>
          <w:sz w:val="20"/>
          <w:szCs w:val="20"/>
          <w:rtl/>
        </w:rPr>
        <w:t xml:space="preserve">”. </w:t>
      </w:r>
      <w:proofErr w:type="spellStart"/>
      <w:r>
        <w:rPr>
          <w:sz w:val="20"/>
          <w:szCs w:val="20"/>
          <w:rtl/>
        </w:rPr>
        <w:t>קלויז</w:t>
      </w:r>
      <w:proofErr w:type="spellEnd"/>
      <w:r>
        <w:rPr>
          <w:sz w:val="20"/>
          <w:szCs w:val="20"/>
          <w:rtl/>
        </w:rPr>
        <w:t xml:space="preserve"> זה בווילנה נקרא על שם ר׳ נחמן פרנס – ראה “</w:t>
      </w:r>
      <w:proofErr w:type="spellStart"/>
      <w:r>
        <w:rPr>
          <w:sz w:val="20"/>
          <w:szCs w:val="20"/>
          <w:rtl/>
        </w:rPr>
        <w:t>זכרון</w:t>
      </w:r>
      <w:proofErr w:type="spellEnd"/>
      <w:r>
        <w:rPr>
          <w:sz w:val="20"/>
          <w:szCs w:val="20"/>
          <w:rtl/>
        </w:rPr>
        <w:t xml:space="preserve"> יעקב” (נספח א לעיל), כרך ב, עמ׳ 31, שם הוא מכונה “הרב הגאון הצדיק, הגביר המרומם, החכם הכולל, </w:t>
      </w:r>
      <w:proofErr w:type="spellStart"/>
      <w:r>
        <w:rPr>
          <w:sz w:val="20"/>
          <w:szCs w:val="20"/>
          <w:rtl/>
        </w:rPr>
        <w:t>מדברנא</w:t>
      </w:r>
      <w:proofErr w:type="spellEnd"/>
      <w:r>
        <w:rPr>
          <w:sz w:val="20"/>
          <w:szCs w:val="20"/>
          <w:rtl/>
        </w:rPr>
        <w:t xml:space="preserve"> </w:t>
      </w:r>
      <w:proofErr w:type="spellStart"/>
      <w:r>
        <w:rPr>
          <w:sz w:val="20"/>
          <w:szCs w:val="20"/>
          <w:rtl/>
        </w:rPr>
        <w:t>דאומתא</w:t>
      </w:r>
      <w:proofErr w:type="spellEnd"/>
      <w:r>
        <w:rPr>
          <w:sz w:val="20"/>
          <w:szCs w:val="20"/>
          <w:rtl/>
        </w:rPr>
        <w:t xml:space="preserve">”. שם ניסה </w:t>
      </w:r>
      <w:proofErr w:type="spellStart"/>
      <w:r>
        <w:rPr>
          <w:sz w:val="20"/>
          <w:szCs w:val="20"/>
          <w:rtl/>
        </w:rPr>
        <w:t>לבנזון</w:t>
      </w:r>
      <w:proofErr w:type="spellEnd"/>
      <w:r>
        <w:rPr>
          <w:sz w:val="20"/>
          <w:szCs w:val="20"/>
          <w:rtl/>
        </w:rPr>
        <w:t xml:space="preserve"> למשוך את </w:t>
      </w:r>
      <w:proofErr w:type="spellStart"/>
      <w:r>
        <w:rPr>
          <w:sz w:val="20"/>
          <w:szCs w:val="20"/>
          <w:rtl/>
        </w:rPr>
        <w:t>ישראל־מאיר</w:t>
      </w:r>
      <w:proofErr w:type="spellEnd"/>
      <w:r>
        <w:rPr>
          <w:sz w:val="20"/>
          <w:szCs w:val="20"/>
          <w:rtl/>
        </w:rPr>
        <w:t xml:space="preserve"> כגן הצעיר – ראה פרק 2, סוף נספח ב.</w:t>
      </w:r>
    </w:p>
  </w:footnote>
  <w:footnote w:id="2657">
    <w:p w14:paraId="56457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“רבי שמואל, </w:t>
      </w:r>
      <w:proofErr w:type="spellStart"/>
      <w:r>
        <w:rPr>
          <w:sz w:val="20"/>
          <w:szCs w:val="20"/>
          <w:rtl/>
        </w:rPr>
        <w:t>אפונ״ג</w:t>
      </w:r>
      <w:proofErr w:type="spellEnd"/>
      <w:r>
        <w:rPr>
          <w:sz w:val="20"/>
          <w:szCs w:val="20"/>
          <w:rtl/>
        </w:rPr>
        <w:t xml:space="preserve"> (אלוף פרנס ונגיד) </w:t>
      </w:r>
      <w:proofErr w:type="spellStart"/>
      <w:r>
        <w:rPr>
          <w:sz w:val="20"/>
          <w:szCs w:val="20"/>
          <w:rtl/>
        </w:rPr>
        <w:t>מדולהינוב</w:t>
      </w:r>
      <w:proofErr w:type="spellEnd"/>
      <w:r>
        <w:rPr>
          <w:sz w:val="20"/>
          <w:szCs w:val="20"/>
          <w:rtl/>
        </w:rPr>
        <w:t xml:space="preserve"> כעת </w:t>
      </w:r>
      <w:proofErr w:type="spellStart"/>
      <w:r>
        <w:rPr>
          <w:sz w:val="20"/>
          <w:szCs w:val="20"/>
          <w:rtl/>
        </w:rPr>
        <w:t>ראב״ד</w:t>
      </w:r>
      <w:proofErr w:type="spellEnd"/>
      <w:r>
        <w:rPr>
          <w:sz w:val="20"/>
          <w:szCs w:val="20"/>
          <w:rtl/>
        </w:rPr>
        <w:t xml:space="preserve"> </w:t>
      </w:r>
      <w:proofErr w:type="spellStart"/>
      <w:r>
        <w:rPr>
          <w:sz w:val="20"/>
          <w:szCs w:val="20"/>
          <w:rtl/>
        </w:rPr>
        <w:t>איליע</w:t>
      </w:r>
      <w:proofErr w:type="spellEnd"/>
      <w:r>
        <w:rPr>
          <w:sz w:val="20"/>
          <w:szCs w:val="20"/>
          <w:rtl/>
        </w:rPr>
        <w:t xml:space="preserve">”, כפי שמתואר בשער ספרו על מסכת ברכות, שנדפס בווילנה </w:t>
      </w:r>
      <w:proofErr w:type="spellStart"/>
      <w:r>
        <w:rPr>
          <w:sz w:val="20"/>
          <w:szCs w:val="20"/>
          <w:rtl/>
        </w:rPr>
        <w:t>בתר״ב</w:t>
      </w:r>
      <w:proofErr w:type="spellEnd"/>
      <w:r>
        <w:rPr>
          <w:sz w:val="20"/>
          <w:szCs w:val="20"/>
          <w:rtl/>
        </w:rPr>
        <w:t>.</w:t>
      </w:r>
    </w:p>
  </w:footnote>
  <w:footnote w:id="2658">
    <w:p w14:paraId="432AAA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בספר מוסר שערך “בשנת התבודדותו בחברון בשנת תרי״א”.</w:t>
      </w:r>
    </w:p>
  </w:footnote>
  <w:footnote w:id="2659">
    <w:p w14:paraId="56D2E3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ליקוט הנהגותיו של ר׳ חיים </w:t>
      </w:r>
      <w:proofErr w:type="spellStart"/>
      <w:r>
        <w:rPr>
          <w:sz w:val="20"/>
          <w:szCs w:val="20"/>
          <w:rtl/>
        </w:rPr>
        <w:t>מוולוז׳ין</w:t>
      </w:r>
      <w:proofErr w:type="spellEnd"/>
      <w:r>
        <w:rPr>
          <w:sz w:val="20"/>
          <w:szCs w:val="20"/>
          <w:rtl/>
        </w:rPr>
        <w:t>, שליקט תלמידו אשר הכהן בשנת תקע״ט.</w:t>
      </w:r>
    </w:p>
  </w:footnote>
  <w:footnote w:id="2660">
    <w:p w14:paraId="735C1B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“מכלול המאמרים והפתגמים” מאת הרב משה סבר (מוסד הרב קוק, ירושלים, תשכ״א), עמ׳ 466–467, לרשימת מקורות ארוכה.</w:t>
      </w:r>
    </w:p>
  </w:footnote>
  <w:footnote w:id="2661">
    <w:p w14:paraId="3016CF39"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חלקו הראשון של “משנה ברורה” יצא לאור כבר בשנות </w:t>
      </w:r>
      <w:proofErr w:type="spellStart"/>
      <w:r>
        <w:rPr>
          <w:sz w:val="20"/>
          <w:szCs w:val="20"/>
          <w:rtl/>
        </w:rPr>
        <w:t>התר״מ</w:t>
      </w:r>
      <w:proofErr w:type="spellEnd"/>
      <w:r>
        <w:rPr>
          <w:sz w:val="20"/>
          <w:szCs w:val="20"/>
          <w:rtl/>
        </w:rPr>
        <w:t xml:space="preserve">. ואף לפי השנה הנזכרת כאן – הגאון נפטר </w:t>
      </w:r>
      <w:proofErr w:type="spellStart"/>
      <w:r>
        <w:rPr>
          <w:sz w:val="20"/>
          <w:szCs w:val="20"/>
          <w:rtl/>
        </w:rPr>
        <w:t>בתקנ״ח</w:t>
      </w:r>
      <w:proofErr w:type="spellEnd"/>
      <w:r>
        <w:rPr>
          <w:sz w:val="20"/>
          <w:szCs w:val="20"/>
          <w:rtl/>
        </w:rPr>
        <w:t xml:space="preserve">, ובין תקנ״ח </w:t>
      </w:r>
      <w:proofErr w:type="spellStart"/>
      <w:r>
        <w:rPr>
          <w:sz w:val="20"/>
          <w:szCs w:val="20"/>
          <w:rtl/>
        </w:rPr>
        <w:t>לתרנ״ב</w:t>
      </w:r>
      <w:proofErr w:type="spellEnd"/>
      <w:r>
        <w:rPr>
          <w:sz w:val="20"/>
          <w:szCs w:val="20"/>
          <w:rtl/>
        </w:rPr>
        <w:t xml:space="preserve"> עברו תשעים וארבע שנים.</w:t>
      </w:r>
    </w:p>
  </w:footnote>
  <w:footnote w:id="2662">
    <w:p w14:paraId="2F92DC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 רס״א, </w:t>
      </w:r>
      <w:proofErr w:type="spellStart"/>
      <w:r>
        <w:rPr>
          <w:sz w:val="20"/>
          <w:szCs w:val="20"/>
          <w:rtl/>
        </w:rPr>
        <w:t>ס״ק</w:t>
      </w:r>
      <w:proofErr w:type="spellEnd"/>
      <w:r>
        <w:rPr>
          <w:sz w:val="20"/>
          <w:szCs w:val="20"/>
          <w:rtl/>
        </w:rPr>
        <w:t xml:space="preserve"> כ״ג. “הזמנים בהלכה”, מאת חיים פ. </w:t>
      </w:r>
      <w:proofErr w:type="spellStart"/>
      <w:r>
        <w:rPr>
          <w:sz w:val="20"/>
          <w:szCs w:val="20"/>
          <w:rtl/>
        </w:rPr>
        <w:t>בניש</w:t>
      </w:r>
      <w:proofErr w:type="spellEnd"/>
      <w:r>
        <w:rPr>
          <w:sz w:val="20"/>
          <w:szCs w:val="20"/>
          <w:rtl/>
        </w:rPr>
        <w:t xml:space="preserve"> (מכון “כתר תורה” </w:t>
      </w:r>
      <w:proofErr w:type="spellStart"/>
      <w:r>
        <w:rPr>
          <w:sz w:val="20"/>
          <w:szCs w:val="20"/>
          <w:rtl/>
        </w:rPr>
        <w:t>ראדומסק</w:t>
      </w:r>
      <w:proofErr w:type="spellEnd"/>
      <w:r>
        <w:rPr>
          <w:sz w:val="20"/>
          <w:szCs w:val="20"/>
          <w:rtl/>
        </w:rPr>
        <w:t xml:space="preserve">, בני ברק, תשנ״ו), עמ׳ </w:t>
      </w:r>
      <w:proofErr w:type="spellStart"/>
      <w:r>
        <w:rPr>
          <w:sz w:val="20"/>
          <w:szCs w:val="20"/>
          <w:rtl/>
        </w:rPr>
        <w:t>תמ</w:t>
      </w:r>
      <w:proofErr w:type="spellEnd"/>
      <w:r>
        <w:rPr>
          <w:sz w:val="20"/>
          <w:szCs w:val="20"/>
          <w:rtl/>
        </w:rPr>
        <w:t xml:space="preserve">, הערה 9, מחפש טעם לכך שחומרת הגאון – אם אכן התקבלה לבסוף – התקבלה על הכלל רק “כמאה – מאה וחמישים שנה מאוחר יותר”. הוא מבקש לייחס את המעבר מן המנהג הישן למנהגו של הגאון מווילנה לטעמים חברתיים, כגון התרכזות האוכלוסייה היהודית ברוסיה בערים, וזמינותם של מכשירים מכניים לקביעת הזמן [שעונים] במקום הסימן הטבעי לבוא הלילה, החשכה. השווה גם שם, עמ׳ </w:t>
      </w:r>
      <w:proofErr w:type="spellStart"/>
      <w:r>
        <w:rPr>
          <w:sz w:val="20"/>
          <w:szCs w:val="20"/>
          <w:rtl/>
        </w:rPr>
        <w:t>תמ</w:t>
      </w:r>
      <w:proofErr w:type="spellEnd"/>
      <w:r>
        <w:rPr>
          <w:sz w:val="20"/>
          <w:szCs w:val="20"/>
          <w:rtl/>
        </w:rPr>
        <w:t xml:space="preserve"> ואילך והערה 1, על מקומו של המנהג הקבוע בכל קהילה בפסקי הפוסקים שישבו בה.</w:t>
      </w:r>
    </w:p>
  </w:footnote>
  <w:footnote w:id="2663">
    <w:p w14:paraId="76187B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שו״ת “פרי יצחק”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סי׳ ז, שנדפס </w:t>
      </w:r>
      <w:proofErr w:type="spellStart"/>
      <w:r>
        <w:rPr>
          <w:sz w:val="20"/>
          <w:szCs w:val="20"/>
          <w:rtl/>
        </w:rPr>
        <w:t>בתרמ״א</w:t>
      </w:r>
      <w:proofErr w:type="spellEnd"/>
      <w:r>
        <w:rPr>
          <w:sz w:val="20"/>
          <w:szCs w:val="20"/>
          <w:rtl/>
        </w:rPr>
        <w:t xml:space="preserve">, מיישב את “מנהג העולם </w:t>
      </w:r>
      <w:proofErr w:type="spellStart"/>
      <w:r>
        <w:rPr>
          <w:sz w:val="20"/>
          <w:szCs w:val="20"/>
          <w:rtl/>
        </w:rPr>
        <w:t>שנוהגין</w:t>
      </w:r>
      <w:proofErr w:type="spellEnd"/>
      <w:r>
        <w:rPr>
          <w:sz w:val="20"/>
          <w:szCs w:val="20"/>
          <w:rtl/>
        </w:rPr>
        <w:t xml:space="preserve"> ע״פ </w:t>
      </w:r>
      <w:proofErr w:type="spellStart"/>
      <w:r>
        <w:rPr>
          <w:sz w:val="20"/>
          <w:szCs w:val="20"/>
          <w:rtl/>
        </w:rPr>
        <w:t>השו״ע</w:t>
      </w:r>
      <w:proofErr w:type="spellEnd"/>
      <w:r>
        <w:rPr>
          <w:sz w:val="20"/>
          <w:szCs w:val="20"/>
          <w:rtl/>
        </w:rPr>
        <w:t xml:space="preserve"> להדליק גם אחר תחילת השקיעה מעט”. אין הוא מזכיר במפורש שזה היה המנהג הכללי גם בווילנה, כמו שאמר אבי. ראה גם “הזמנים בהלכה”, עמ׳ </w:t>
      </w:r>
      <w:proofErr w:type="spellStart"/>
      <w:r>
        <w:rPr>
          <w:sz w:val="20"/>
          <w:szCs w:val="20"/>
          <w:rtl/>
        </w:rPr>
        <w:t>תנב</w:t>
      </w:r>
      <w:proofErr w:type="spellEnd"/>
      <w:r>
        <w:rPr>
          <w:sz w:val="20"/>
          <w:szCs w:val="20"/>
          <w:rtl/>
        </w:rPr>
        <w:t xml:space="preserve">, הערה 46, המביא תשובה שנתגלתה לאחרונה, שכתב </w:t>
      </w:r>
      <w:proofErr w:type="spellStart"/>
      <w:r>
        <w:rPr>
          <w:sz w:val="20"/>
          <w:szCs w:val="20"/>
          <w:rtl/>
        </w:rPr>
        <w:t>לר</w:t>
      </w:r>
      <w:proofErr w:type="spellEnd"/>
      <w:r>
        <w:rPr>
          <w:sz w:val="20"/>
          <w:szCs w:val="20"/>
          <w:rtl/>
        </w:rPr>
        <w:t xml:space="preserve">׳ </w:t>
      </w:r>
      <w:proofErr w:type="spellStart"/>
      <w:r>
        <w:rPr>
          <w:sz w:val="20"/>
          <w:szCs w:val="20"/>
          <w:rtl/>
        </w:rPr>
        <w:t>איצל׳ה</w:t>
      </w:r>
      <w:proofErr w:type="spellEnd"/>
      <w:r>
        <w:rPr>
          <w:sz w:val="20"/>
          <w:szCs w:val="20"/>
          <w:rtl/>
        </w:rPr>
        <w:t xml:space="preserve"> אחד מבני דורו, ובה נאמר על המדליקים נרות בערב שבת אחר השקיעה: “אין זאת מנהג רק שיש עצלנים ונפסדים, ולא ברצון חכמים הם עושים”. לא ברור מתי נכתבה תשובה זו; השנה המצוינת </w:t>
      </w:r>
      <w:proofErr w:type="spellStart"/>
      <w:r>
        <w:rPr>
          <w:sz w:val="20"/>
          <w:szCs w:val="20"/>
          <w:rtl/>
        </w:rPr>
        <w:t>ב“הזמנים</w:t>
      </w:r>
      <w:proofErr w:type="spellEnd"/>
      <w:r>
        <w:rPr>
          <w:sz w:val="20"/>
          <w:szCs w:val="20"/>
          <w:rtl/>
        </w:rPr>
        <w:t xml:space="preserve"> בהלכה”, תר״ג, היא בוודאי טעות דפוס, שהרי ר׳ </w:t>
      </w:r>
      <w:proofErr w:type="spellStart"/>
      <w:r>
        <w:rPr>
          <w:sz w:val="20"/>
          <w:szCs w:val="20"/>
          <w:rtl/>
        </w:rPr>
        <w:t>איצל׳ה</w:t>
      </w:r>
      <w:proofErr w:type="spellEnd"/>
      <w:r>
        <w:rPr>
          <w:sz w:val="20"/>
          <w:szCs w:val="20"/>
          <w:rtl/>
        </w:rPr>
        <w:t xml:space="preserve"> נולד רק שש שנים קודם לכן, </w:t>
      </w:r>
      <w:proofErr w:type="spellStart"/>
      <w:r>
        <w:rPr>
          <w:sz w:val="20"/>
          <w:szCs w:val="20"/>
          <w:rtl/>
        </w:rPr>
        <w:t>בתקצ״ז</w:t>
      </w:r>
      <w:proofErr w:type="spellEnd"/>
      <w:r>
        <w:rPr>
          <w:sz w:val="20"/>
          <w:szCs w:val="20"/>
          <w:rtl/>
        </w:rPr>
        <w:t>.</w:t>
      </w:r>
    </w:p>
  </w:footnote>
  <w:footnote w:id="2664">
    <w:p w14:paraId="346E70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w:t>
      </w:r>
    </w:p>
  </w:footnote>
  <w:footnote w:id="2665">
    <w:p w14:paraId="0BDC3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זכר את שמו של מי שהזכיר רבנו.</w:t>
      </w:r>
    </w:p>
  </w:footnote>
  <w:footnote w:id="2666">
    <w:p w14:paraId="1A0FA7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סעיף </w:t>
      </w:r>
      <w:proofErr w:type="spellStart"/>
      <w:r>
        <w:rPr>
          <w:sz w:val="20"/>
          <w:szCs w:val="20"/>
          <w:rtl/>
        </w:rPr>
        <w:t>קכא</w:t>
      </w:r>
      <w:proofErr w:type="spellEnd"/>
      <w:r>
        <w:rPr>
          <w:sz w:val="20"/>
          <w:szCs w:val="20"/>
          <w:rtl/>
        </w:rPr>
        <w:t>.</w:t>
      </w:r>
    </w:p>
  </w:footnote>
  <w:footnote w:id="2667">
    <w:p w14:paraId="65AC6B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26 בינואר 1997.</w:t>
      </w:r>
    </w:p>
  </w:footnote>
  <w:footnote w:id="2668">
    <w:p w14:paraId="22A5F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 22.</w:t>
      </w:r>
    </w:p>
  </w:footnote>
  <w:footnote w:id="2669">
    <w:p w14:paraId="536778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בהיותו אזרח גרמני נעצר ר׳ פרץ באנגליה עם פרוץ מלחמת העולם השנייה, ונכלא במחנה מעצר בקנדה. כששוחרר </w:t>
      </w:r>
      <w:proofErr w:type="spellStart"/>
      <w:r>
        <w:rPr>
          <w:sz w:val="20"/>
          <w:szCs w:val="20"/>
          <w:rtl/>
        </w:rPr>
        <w:t>בתש״ב</w:t>
      </w:r>
      <w:proofErr w:type="spellEnd"/>
      <w:r>
        <w:rPr>
          <w:sz w:val="20"/>
          <w:szCs w:val="20"/>
          <w:rtl/>
        </w:rPr>
        <w:t>, היה לבן בית בביתנו בטורונטו. ראה כרך 3.</w:t>
      </w:r>
    </w:p>
  </w:footnote>
  <w:footnote w:id="2670">
    <w:p w14:paraId="437FE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“תוספת מעשה רב”, שנדפס בירושלים, </w:t>
      </w:r>
      <w:proofErr w:type="spellStart"/>
      <w:r>
        <w:rPr>
          <w:sz w:val="20"/>
          <w:szCs w:val="20"/>
          <w:rtl/>
        </w:rPr>
        <w:t>ששו״ן</w:t>
      </w:r>
      <w:proofErr w:type="spellEnd"/>
      <w:r>
        <w:rPr>
          <w:sz w:val="20"/>
          <w:szCs w:val="20"/>
          <w:rtl/>
        </w:rPr>
        <w:t xml:space="preserve"> (תרנ״ו).</w:t>
      </w:r>
    </w:p>
  </w:footnote>
  <w:footnote w:id="2671">
    <w:p w14:paraId="1DA5CC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רלח</w:t>
      </w:r>
      <w:proofErr w:type="spellEnd"/>
      <w:r>
        <w:rPr>
          <w:sz w:val="20"/>
          <w:szCs w:val="20"/>
          <w:rtl/>
        </w:rPr>
        <w:t>.</w:t>
      </w:r>
    </w:p>
  </w:footnote>
  <w:footnote w:id="2672">
    <w:p w14:paraId="7CA63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w:t>
      </w:r>
      <w:proofErr w:type="spellEnd"/>
      <w:r>
        <w:rPr>
          <w:sz w:val="20"/>
          <w:szCs w:val="20"/>
          <w:rtl/>
        </w:rPr>
        <w:t>.</w:t>
      </w:r>
    </w:p>
  </w:footnote>
  <w:footnote w:id="2673">
    <w:p w14:paraId="10E99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מסר תלמידו ר׳ מייסי גורדון, בריאיון ב־30 ביוני 1993.</w:t>
      </w:r>
    </w:p>
  </w:footnote>
  <w:footnote w:id="2674">
    <w:p w14:paraId="6BA077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איכה א, </w:t>
      </w:r>
      <w:proofErr w:type="spellStart"/>
      <w:r>
        <w:rPr>
          <w:sz w:val="20"/>
          <w:szCs w:val="20"/>
          <w:rtl/>
        </w:rPr>
        <w:t>יג</w:t>
      </w:r>
      <w:proofErr w:type="spellEnd"/>
      <w:r>
        <w:rPr>
          <w:sz w:val="20"/>
          <w:szCs w:val="20"/>
          <w:rtl/>
        </w:rPr>
        <w:t>.</w:t>
      </w:r>
    </w:p>
  </w:footnote>
  <w:footnote w:id="2675">
    <w:p w14:paraId="061991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6">
    <w:p w14:paraId="1DF3E3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677">
    <w:p w14:paraId="307B64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אורח חיים סי׳ </w:t>
      </w:r>
      <w:proofErr w:type="spellStart"/>
      <w:r>
        <w:rPr>
          <w:sz w:val="20"/>
          <w:szCs w:val="20"/>
          <w:rtl/>
        </w:rPr>
        <w:t>קכח</w:t>
      </w:r>
      <w:proofErr w:type="spellEnd"/>
      <w:r>
        <w:rPr>
          <w:sz w:val="20"/>
          <w:szCs w:val="20"/>
          <w:rtl/>
        </w:rPr>
        <w:t xml:space="preserve"> סע’ סד – ראה פרק 2, הערה 4, בדבר מחברו של כרך זה.</w:t>
      </w:r>
    </w:p>
  </w:footnote>
  <w:footnote w:id="2678">
    <w:p w14:paraId="08CA2E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נוקט את המונח שבו השתמש </w:t>
      </w:r>
      <w:proofErr w:type="spellStart"/>
      <w:r>
        <w:rPr>
          <w:sz w:val="20"/>
          <w:szCs w:val="20"/>
          <w:rtl/>
        </w:rPr>
        <w:t>ה“מגן</w:t>
      </w:r>
      <w:proofErr w:type="spellEnd"/>
      <w:r>
        <w:rPr>
          <w:sz w:val="20"/>
          <w:szCs w:val="20"/>
          <w:rtl/>
        </w:rPr>
        <w:t xml:space="preserve"> אברהם” בתיאור מנהג זה – “גרוע”.</w:t>
      </w:r>
    </w:p>
  </w:footnote>
  <w:footnote w:id="2679">
    <w:p w14:paraId="4F790F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“הגאון החסיד </w:t>
      </w:r>
      <w:proofErr w:type="spellStart"/>
      <w:r>
        <w:rPr>
          <w:sz w:val="20"/>
          <w:szCs w:val="20"/>
          <w:rtl/>
        </w:rPr>
        <w:t>מווילנא</w:t>
      </w:r>
      <w:proofErr w:type="spellEnd"/>
      <w:r>
        <w:rPr>
          <w:sz w:val="20"/>
          <w:szCs w:val="20"/>
          <w:rtl/>
        </w:rPr>
        <w:t>”, עמ׳ נח–</w:t>
      </w:r>
      <w:proofErr w:type="spellStart"/>
      <w:r>
        <w:rPr>
          <w:sz w:val="20"/>
          <w:szCs w:val="20"/>
          <w:rtl/>
        </w:rPr>
        <w:t>סא</w:t>
      </w:r>
      <w:proofErr w:type="spellEnd"/>
      <w:r>
        <w:rPr>
          <w:sz w:val="20"/>
          <w:szCs w:val="20"/>
          <w:rtl/>
        </w:rPr>
        <w:t xml:space="preserve">. מסופר שם גם שכמה מהם התחצפו כלפי הגאון עצמו, וכי הגאון “הביע את תמיכתו הבלתי מסויגת בראשי הקהילה [הקהל]”. השקפת “הגאון החסיד </w:t>
      </w:r>
      <w:proofErr w:type="spellStart"/>
      <w:r>
        <w:rPr>
          <w:sz w:val="20"/>
          <w:szCs w:val="20"/>
          <w:rtl/>
        </w:rPr>
        <w:t>מווילנא</w:t>
      </w:r>
      <w:proofErr w:type="spellEnd"/>
      <w:r>
        <w:rPr>
          <w:sz w:val="20"/>
          <w:szCs w:val="20"/>
          <w:rtl/>
        </w:rPr>
        <w:t xml:space="preserve">” בעניין זה נסמכת על כתבי ד״ר ישראל </w:t>
      </w:r>
      <w:proofErr w:type="spellStart"/>
      <w:r>
        <w:rPr>
          <w:sz w:val="20"/>
          <w:szCs w:val="20"/>
          <w:rtl/>
        </w:rPr>
        <w:t>קלויזנר</w:t>
      </w:r>
      <w:proofErr w:type="spellEnd"/>
      <w:r>
        <w:rPr>
          <w:sz w:val="20"/>
          <w:szCs w:val="20"/>
          <w:rtl/>
        </w:rPr>
        <w:t xml:space="preserve"> </w:t>
      </w:r>
      <w:proofErr w:type="spellStart"/>
      <w:r>
        <w:rPr>
          <w:sz w:val="20"/>
          <w:szCs w:val="20"/>
          <w:rtl/>
        </w:rPr>
        <w:t>ב“וילנא</w:t>
      </w:r>
      <w:proofErr w:type="spellEnd"/>
      <w:r>
        <w:rPr>
          <w:sz w:val="20"/>
          <w:szCs w:val="20"/>
          <w:rtl/>
        </w:rPr>
        <w:t xml:space="preserve"> בתקופת הגאון” (ירושלים, תש״ב).</w:t>
      </w:r>
    </w:p>
    <w:p w14:paraId="7251A3EF" w14:textId="77777777" w:rsidR="00AB3647" w:rsidRDefault="00000000">
      <w:pPr>
        <w:spacing w:after="0" w:before="0"/>
        <w:jc w:val="both"/>
      </w:pPr>
      <w:r>
        <w:rPr>
          <w:sz w:val="20"/>
          <w:szCs w:val="20"/>
          <w:rtl/>
        </w:rPr>
        <w:t>ואולם לפי מאמרים שכותרתם “</w:t>
      </w:r>
      <w:proofErr w:type="spellStart"/>
      <w:r>
        <w:rPr>
          <w:sz w:val="20"/>
          <w:szCs w:val="20"/>
          <w:rtl/>
        </w:rPr>
        <w:t>פאלקסטימליכע</w:t>
      </w:r>
      <w:proofErr w:type="spellEnd"/>
      <w:r>
        <w:rPr>
          <w:sz w:val="20"/>
          <w:szCs w:val="20"/>
          <w:rtl/>
        </w:rPr>
        <w:t xml:space="preserve"> אגדות [כך במקור] </w:t>
      </w:r>
      <w:proofErr w:type="spellStart"/>
      <w:r>
        <w:rPr>
          <w:sz w:val="20"/>
          <w:szCs w:val="20"/>
          <w:rtl/>
        </w:rPr>
        <w:t>וועגען</w:t>
      </w:r>
      <w:proofErr w:type="spellEnd"/>
      <w:r>
        <w:rPr>
          <w:sz w:val="20"/>
          <w:szCs w:val="20"/>
          <w:rtl/>
        </w:rPr>
        <w:t xml:space="preserve"> </w:t>
      </w:r>
      <w:proofErr w:type="spellStart"/>
      <w:r>
        <w:rPr>
          <w:sz w:val="20"/>
          <w:szCs w:val="20"/>
          <w:rtl/>
        </w:rPr>
        <w:t>ווילנער</w:t>
      </w:r>
      <w:proofErr w:type="spellEnd"/>
      <w:r>
        <w:rPr>
          <w:sz w:val="20"/>
          <w:szCs w:val="20"/>
          <w:rtl/>
        </w:rPr>
        <w:t xml:space="preserve"> גאון זצ״ל” [אגדות עם על הגאון מווילנה זצ״ל], מאת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בשבועון הוילנאי “</w:t>
      </w:r>
      <w:proofErr w:type="spellStart"/>
      <w:r>
        <w:rPr>
          <w:sz w:val="20"/>
          <w:szCs w:val="20"/>
          <w:rtl/>
        </w:rPr>
        <w:t>דאס</w:t>
      </w:r>
      <w:proofErr w:type="spellEnd"/>
      <w:r>
        <w:rPr>
          <w:sz w:val="20"/>
          <w:szCs w:val="20"/>
          <w:rtl/>
        </w:rPr>
        <w:t xml:space="preserve"> </w:t>
      </w:r>
      <w:proofErr w:type="spellStart"/>
      <w:r>
        <w:rPr>
          <w:sz w:val="20"/>
          <w:szCs w:val="20"/>
          <w:rtl/>
        </w:rPr>
        <w:t>ווארט</w:t>
      </w:r>
      <w:proofErr w:type="spellEnd"/>
      <w:r>
        <w:rPr>
          <w:sz w:val="20"/>
          <w:szCs w:val="20"/>
          <w:rtl/>
        </w:rPr>
        <w:t xml:space="preserve">” בשנים תרצ״ו–תרצ״ז – שנדפסו מחדש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גיליונות חשוון–כסלו תשנ״ז וטבת–שבט תשנ״ח (מס׳ 341–342) – הגאון לא נקט צד במחלוקת. תומכיו הפשוטים של הרב פירשו בטעות את שתיקתו כתמיכה בקהל. למעשה תמך הגאון ברב, אך סבר שהמחלוקת כבר הרחיקה לכת מכדי שמחאתו נגד הקהל תועיל (ראה שם, מס׳ 342, עמ׳ 40). ההכרעה במי תמך הגאון אינה נוגעת </w:t>
      </w:r>
      <w:proofErr w:type="spellStart"/>
      <w:r>
        <w:rPr>
          <w:sz w:val="20"/>
          <w:szCs w:val="20"/>
          <w:rtl/>
        </w:rPr>
        <w:t>לנספחנו</w:t>
      </w:r>
      <w:proofErr w:type="spellEnd"/>
      <w:r>
        <w:rPr>
          <w:sz w:val="20"/>
          <w:szCs w:val="20"/>
          <w:rtl/>
        </w:rPr>
        <w:t>: גם אם טעו המלשינים ביחס לגאון, לא הייתה לו סיבה שלא לחשוש שיתמידו בטעותם וימשיכו לרדוף אותו אם יוסיף להתעקש על שינוי המנהג הרווח.</w:t>
      </w:r>
    </w:p>
  </w:footnote>
  <w:footnote w:id="2680">
    <w:p w14:paraId="410AF1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w:t>
      </w:r>
      <w:proofErr w:type="spellStart"/>
      <w:r>
        <w:rPr>
          <w:sz w:val="20"/>
          <w:szCs w:val="20"/>
          <w:rtl/>
        </w:rPr>
        <w:t>ל“רשומות</w:t>
      </w:r>
      <w:proofErr w:type="spellEnd"/>
      <w:r>
        <w:rPr>
          <w:sz w:val="20"/>
          <w:szCs w:val="20"/>
          <w:rtl/>
        </w:rPr>
        <w:t xml:space="preserve"> א”], הערה 4 בפתיחה – מס׳ 38.</w:t>
      </w:r>
    </w:p>
  </w:footnote>
  <w:footnote w:id="2681">
    <w:p w14:paraId="5BEA0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אגדה על ספר שנפל מארון ספרים בחג המולד מסופרת בחוברת מאת אברהם </w:t>
      </w:r>
      <w:proofErr w:type="spellStart"/>
      <w:r>
        <w:rPr>
          <w:sz w:val="20"/>
          <w:szCs w:val="20"/>
          <w:rtl/>
        </w:rPr>
        <w:t>משי־זהב</w:t>
      </w:r>
      <w:proofErr w:type="spellEnd"/>
      <w:r>
        <w:rPr>
          <w:sz w:val="20"/>
          <w:szCs w:val="20"/>
          <w:rtl/>
        </w:rPr>
        <w:t xml:space="preserve">, “תולדות </w:t>
      </w:r>
      <w:proofErr w:type="spellStart"/>
      <w:r>
        <w:rPr>
          <w:sz w:val="20"/>
          <w:szCs w:val="20"/>
          <w:rtl/>
        </w:rPr>
        <w:t>המהרש״א</w:t>
      </w:r>
      <w:proofErr w:type="spellEnd"/>
      <w:r>
        <w:rPr>
          <w:sz w:val="20"/>
          <w:szCs w:val="20"/>
          <w:rtl/>
        </w:rPr>
        <w:t xml:space="preserve">” (ירושלים, תשל״ג), עמ׳ לב–לג. גם האות שראה </w:t>
      </w:r>
      <w:proofErr w:type="spellStart"/>
      <w:r>
        <w:rPr>
          <w:sz w:val="20"/>
          <w:szCs w:val="20"/>
          <w:rtl/>
        </w:rPr>
        <w:t>המהרש״א</w:t>
      </w:r>
      <w:proofErr w:type="spellEnd"/>
      <w:r>
        <w:rPr>
          <w:sz w:val="20"/>
          <w:szCs w:val="20"/>
          <w:rtl/>
        </w:rPr>
        <w:t xml:space="preserve"> (מורנו הרב שמואל </w:t>
      </w:r>
      <w:proofErr w:type="spellStart"/>
      <w:r>
        <w:rPr>
          <w:sz w:val="20"/>
          <w:szCs w:val="20"/>
          <w:rtl/>
        </w:rPr>
        <w:t>איידלס</w:t>
      </w:r>
      <w:proofErr w:type="spellEnd"/>
      <w:r>
        <w:rPr>
          <w:sz w:val="20"/>
          <w:szCs w:val="20"/>
          <w:rtl/>
        </w:rPr>
        <w:t xml:space="preserve">, רב וראש ישיבה בחלם, לובלין, </w:t>
      </w:r>
      <w:proofErr w:type="spellStart"/>
      <w:r>
        <w:rPr>
          <w:sz w:val="20"/>
          <w:szCs w:val="20"/>
          <w:rtl/>
        </w:rPr>
        <w:t>טיקטין</w:t>
      </w:r>
      <w:proofErr w:type="spellEnd"/>
      <w:r>
        <w:rPr>
          <w:sz w:val="20"/>
          <w:szCs w:val="20"/>
          <w:rtl/>
        </w:rPr>
        <w:t xml:space="preserve"> </w:t>
      </w:r>
      <w:proofErr w:type="spellStart"/>
      <w:r>
        <w:rPr>
          <w:sz w:val="20"/>
          <w:szCs w:val="20"/>
          <w:rtl/>
        </w:rPr>
        <w:t>ואוסטרהא</w:t>
      </w:r>
      <w:proofErr w:type="spellEnd"/>
      <w:r>
        <w:rPr>
          <w:sz w:val="20"/>
          <w:szCs w:val="20"/>
          <w:rtl/>
        </w:rPr>
        <w:t>; שט״ו–שצ״ב) בנפילת הספר היה שעליו לפתוח את הספר ולעיין בו.</w:t>
      </w:r>
    </w:p>
    <w:p w14:paraId="3CF8EB96" w14:textId="77777777" w:rsidR="00AB3647" w:rsidRDefault="00000000">
      <w:pPr>
        <w:spacing w:after="0" w:before="0"/>
        <w:jc w:val="both"/>
      </w:pPr>
      <w:r>
        <w:rPr>
          <w:sz w:val="20"/>
          <w:szCs w:val="20"/>
          <w:rtl/>
        </w:rPr>
        <w:t xml:space="preserve">בחוברת מסופר </w:t>
      </w:r>
      <w:proofErr w:type="spellStart"/>
      <w:r>
        <w:rPr>
          <w:sz w:val="20"/>
          <w:szCs w:val="20"/>
          <w:rtl/>
        </w:rPr>
        <w:t>שהמהרש״א</w:t>
      </w:r>
      <w:proofErr w:type="spellEnd"/>
      <w:r>
        <w:rPr>
          <w:sz w:val="20"/>
          <w:szCs w:val="20"/>
          <w:rtl/>
        </w:rPr>
        <w:t xml:space="preserve"> למד תורה בכל לילה, חוץ מליל חג המולד, שבו עסק בחישוב הכנסתו השנתית כדי להפריש מעשר כראוי. אחד משונאיו החליט להלשין למשטרה שמעשהו זה בליל חג המולד מבטא זלזול בדת הנוצרית, ותכנן פשיטה משטרתית על בית </w:t>
      </w:r>
      <w:proofErr w:type="spellStart"/>
      <w:r>
        <w:rPr>
          <w:sz w:val="20"/>
          <w:szCs w:val="20"/>
          <w:rtl/>
        </w:rPr>
        <w:t>המהרש״א</w:t>
      </w:r>
      <w:proofErr w:type="spellEnd"/>
      <w:r>
        <w:rPr>
          <w:sz w:val="20"/>
          <w:szCs w:val="20"/>
          <w:rtl/>
        </w:rPr>
        <w:t xml:space="preserve"> באותו לילה, כדי לתפוס אותו בלי ספר קודש בידו. כשהספר נפל שוב ושוב מארונו של </w:t>
      </w:r>
      <w:proofErr w:type="spellStart"/>
      <w:r>
        <w:rPr>
          <w:sz w:val="20"/>
          <w:szCs w:val="20"/>
          <w:rtl/>
        </w:rPr>
        <w:t>המהרש״א</w:t>
      </w:r>
      <w:proofErr w:type="spellEnd"/>
      <w:r>
        <w:rPr>
          <w:sz w:val="20"/>
          <w:szCs w:val="20"/>
          <w:rtl/>
        </w:rPr>
        <w:t xml:space="preserve"> באותו לילה, החליט שמורים לו מן השמים לקרוא בו. אך התחיל לעיין בו, פרצו השוטרים לחדרו ומצאוהו לומד תורה כמנהגו בכל לילה, ומזימתו הרעה של המלשין סוכלה.</w:t>
      </w:r>
    </w:p>
  </w:footnote>
  <w:footnote w:id="2682">
    <w:p w14:paraId="3472A3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הוצאת ספרים אשכול, ירושלים, תשי״ז – עמ׳ תק, אות כ.</w:t>
      </w:r>
    </w:p>
  </w:footnote>
  <w:footnote w:id="2683">
    <w:p w14:paraId="2CEF71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ללא מקום ושנת דפוס.</w:t>
      </w:r>
    </w:p>
  </w:footnote>
  <w:footnote w:id="2684">
    <w:p w14:paraId="78D797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נדפס ע״י שלמה סופר, שנת “ועל עבדיו יתנחם” (תש״ח), ניו יורק – כתבי רבנו משה סופר, מכתב ב.</w:t>
      </w:r>
    </w:p>
  </w:footnote>
  <w:footnote w:id="2685">
    <w:p w14:paraId="01C918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אות </w:t>
      </w:r>
      <w:proofErr w:type="spellStart"/>
      <w:r>
        <w:rPr>
          <w:sz w:val="20"/>
          <w:szCs w:val="20"/>
          <w:rtl/>
        </w:rPr>
        <w:t>יט</w:t>
      </w:r>
      <w:proofErr w:type="spellEnd"/>
      <w:r>
        <w:rPr>
          <w:sz w:val="20"/>
          <w:szCs w:val="20"/>
          <w:rtl/>
        </w:rPr>
        <w:t>.</w:t>
      </w:r>
    </w:p>
  </w:footnote>
  <w:footnote w:id="2686">
    <w:p w14:paraId="1ACBE1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באפריל 1998.</w:t>
      </w:r>
    </w:p>
  </w:footnote>
  <w:footnote w:id="2687">
    <w:p w14:paraId="1A8E3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הפסקה הראשונה בנספח ב – עמ׳ </w:t>
      </w:r>
      <w:proofErr w:type="spellStart"/>
      <w:r>
        <w:rPr>
          <w:sz w:val="20"/>
          <w:szCs w:val="20"/>
          <w:rtl/>
        </w:rPr>
        <w:t>תתצד</w:t>
      </w:r>
      <w:proofErr w:type="spellEnd"/>
      <w:r>
        <w:rPr>
          <w:sz w:val="20"/>
          <w:szCs w:val="20"/>
          <w:rtl/>
        </w:rPr>
        <w:t>–1786.</w:t>
      </w:r>
    </w:p>
  </w:footnote>
  <w:footnote w:id="2688">
    <w:p w14:paraId="5D18E5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המנהג שלא להפסיק את לימוד התורה בכל שעות היממה נהג גם בכמה עיירות בליטא, כמובא בנספח טו לעיל. השווה גם “הרב” (צוין לעיל, פרק 2, הפסקה השנייה בנספח א), כרך א, עמ׳ 165, המספר שגם בשבת בשעה מאוחרת אחר הצהריים – זמן שבו שולחן ערוך אורח חיים סוף סי׳ </w:t>
      </w:r>
      <w:proofErr w:type="spellStart"/>
      <w:r>
        <w:rPr>
          <w:sz w:val="20"/>
          <w:szCs w:val="20"/>
          <w:rtl/>
        </w:rPr>
        <w:t>רצב</w:t>
      </w:r>
      <w:proofErr w:type="spellEnd"/>
      <w:r>
        <w:rPr>
          <w:sz w:val="20"/>
          <w:szCs w:val="20"/>
          <w:rtl/>
        </w:rPr>
        <w:t xml:space="preserve"> אוסר “לקבוע מדרש”, ותלמידי </w:t>
      </w:r>
      <w:proofErr w:type="spellStart"/>
      <w:r>
        <w:rPr>
          <w:sz w:val="20"/>
          <w:szCs w:val="20"/>
          <w:rtl/>
        </w:rPr>
        <w:t>וולוז׳ין</w:t>
      </w:r>
      <w:proofErr w:type="spellEnd"/>
      <w:r>
        <w:rPr>
          <w:sz w:val="20"/>
          <w:szCs w:val="20"/>
          <w:rtl/>
        </w:rPr>
        <w:t xml:space="preserve"> בחרו בדרך כלל לעיין “בנושאים קלים יותר [כגון פרשת השבוע או פרקי אבות]” – “יועד תלמיד אחד להמשיך בלימוד </w:t>
      </w:r>
      <w:proofErr w:type="spellStart"/>
      <w:r>
        <w:rPr>
          <w:sz w:val="20"/>
          <w:szCs w:val="20"/>
          <w:rtl/>
        </w:rPr>
        <w:t>הישיבתי</w:t>
      </w:r>
      <w:proofErr w:type="spellEnd"/>
      <w:r>
        <w:rPr>
          <w:sz w:val="20"/>
          <w:szCs w:val="20"/>
          <w:rtl/>
        </w:rPr>
        <w:t xml:space="preserve"> העמוק יותר” באותה שעה. “אפילו במוצאי יום הכיפורים, כשכל הישיבה הלכה לאכול, נשאר </w:t>
      </w:r>
      <w:proofErr w:type="spellStart"/>
      <w:r>
        <w:rPr>
          <w:sz w:val="20"/>
          <w:szCs w:val="20"/>
          <w:rtl/>
        </w:rPr>
        <w:t>הנצי״ב</w:t>
      </w:r>
      <w:proofErr w:type="spellEnd"/>
      <w:r>
        <w:rPr>
          <w:sz w:val="20"/>
          <w:szCs w:val="20"/>
          <w:rtl/>
        </w:rPr>
        <w:t xml:space="preserve"> בבית המדרש ולמד. רק לאחר שהתלמידים הראשונים סיימו את סעודתם וחזרו ללימודם בבית המדרש, הלך </w:t>
      </w:r>
      <w:proofErr w:type="spellStart"/>
      <w:r>
        <w:rPr>
          <w:sz w:val="20"/>
          <w:szCs w:val="20"/>
          <w:rtl/>
        </w:rPr>
        <w:t>הנצי״ב</w:t>
      </w:r>
      <w:proofErr w:type="spellEnd"/>
      <w:r>
        <w:rPr>
          <w:sz w:val="20"/>
          <w:szCs w:val="20"/>
          <w:rtl/>
        </w:rPr>
        <w:t xml:space="preserve"> לביתו לשבור את הצום”.</w:t>
      </w:r>
    </w:p>
    <w:p w14:paraId="1F20A98A" w14:textId="77777777" w:rsidR="00AB3647" w:rsidRDefault="00000000">
      <w:pPr>
        <w:spacing w:after="0" w:before="0"/>
        <w:jc w:val="both"/>
      </w:pPr>
      <w:r>
        <w:rPr>
          <w:sz w:val="20"/>
          <w:szCs w:val="20"/>
          <w:rtl/>
        </w:rPr>
        <w:t>המנהג מבוסס על דברי “נפש החיים”, שער ד פרק כה, שאילו לא הייתה תורה נלמדת בכל רגע במקום כלשהו על פני כדור הארץ, היה העולם חדל להתקיים.</w:t>
      </w:r>
    </w:p>
  </w:footnote>
  <w:footnote w:id="2689">
    <w:p w14:paraId="4314D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באמצע הערה </w:t>
      </w:r>
      <w:proofErr w:type="spellStart"/>
      <w:r>
        <w:rPr>
          <w:sz w:val="20"/>
          <w:szCs w:val="20"/>
          <w:rtl/>
        </w:rPr>
        <w:t>יג</w:t>
      </w:r>
      <w:proofErr w:type="spellEnd"/>
      <w:r>
        <w:rPr>
          <w:sz w:val="20"/>
          <w:szCs w:val="20"/>
          <w:rtl/>
        </w:rPr>
        <w:t>, עמ׳ 32–33.</w:t>
      </w:r>
    </w:p>
  </w:footnote>
  <w:footnote w:id="2690">
    <w:p w14:paraId="119523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סוכה דף נא.</w:t>
      </w:r>
    </w:p>
  </w:footnote>
  <w:footnote w:id="2691">
    <w:p w14:paraId="217FE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בספטמבר 1994.</w:t>
      </w:r>
    </w:p>
  </w:footnote>
  <w:footnote w:id="2692">
    <w:p w14:paraId="42CCD9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צוין לעיל, פרק 1, הערה 73 – ויקרא </w:t>
      </w:r>
      <w:proofErr w:type="spellStart"/>
      <w:r>
        <w:rPr>
          <w:sz w:val="20"/>
          <w:szCs w:val="20"/>
          <w:rtl/>
        </w:rPr>
        <w:t>כג</w:t>
      </w:r>
      <w:proofErr w:type="spellEnd"/>
      <w:r>
        <w:rPr>
          <w:sz w:val="20"/>
          <w:szCs w:val="20"/>
          <w:rtl/>
        </w:rPr>
        <w:t>, כד.</w:t>
      </w:r>
    </w:p>
  </w:footnote>
  <w:footnote w:id="2693">
    <w:p w14:paraId="47CED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בנספח א לעיל – הערת שוליים בעמ׳ 996.</w:t>
      </w:r>
    </w:p>
  </w:footnote>
  <w:footnote w:id="2694">
    <w:p w14:paraId="648EA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הטקסט היידי משתמש בראשי התיבות </w:t>
      </w:r>
      <w:proofErr w:type="spellStart"/>
      <w:r>
        <w:rPr>
          <w:sz w:val="20"/>
          <w:szCs w:val="20"/>
          <w:rtl/>
        </w:rPr>
        <w:t>שבפע״ב</w:t>
      </w:r>
      <w:proofErr w:type="spellEnd"/>
      <w:r>
        <w:rPr>
          <w:sz w:val="20"/>
          <w:szCs w:val="20"/>
          <w:rtl/>
        </w:rPr>
        <w:t>, שיש לראות בהם קיצור של ‘שבפעם ב׳’, כמודגש, וכפי שמתברר מן ההדגשה הבאה.</w:t>
      </w:r>
    </w:p>
  </w:footnote>
  <w:footnote w:id="2695">
    <w:p w14:paraId="50588F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ציטוט ביטוי בדברים ל, </w:t>
      </w:r>
      <w:proofErr w:type="spellStart"/>
      <w:r>
        <w:rPr>
          <w:sz w:val="20"/>
          <w:szCs w:val="20"/>
          <w:rtl/>
        </w:rPr>
        <w:t>יב</w:t>
      </w:r>
      <w:proofErr w:type="spellEnd"/>
      <w:r>
        <w:rPr>
          <w:sz w:val="20"/>
          <w:szCs w:val="20"/>
          <w:rtl/>
        </w:rPr>
        <w:t xml:space="preserve">, המתבאר </w:t>
      </w:r>
      <w:proofErr w:type="spellStart"/>
      <w:r>
        <w:rPr>
          <w:sz w:val="20"/>
          <w:szCs w:val="20"/>
          <w:rtl/>
        </w:rPr>
        <w:t>בבבא</w:t>
      </w:r>
      <w:proofErr w:type="spellEnd"/>
      <w:r>
        <w:rPr>
          <w:sz w:val="20"/>
          <w:szCs w:val="20"/>
          <w:rtl/>
        </w:rPr>
        <w:t xml:space="preserve"> מציעא נט ע״ב כמלמד שלאחר שניתנה התורה בסיני אין אותות משמים מכריעים את ההלכה.</w:t>
      </w:r>
    </w:p>
  </w:footnote>
  <w:footnote w:id="2696">
    <w:p w14:paraId="70963E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ב לעיל.</w:t>
      </w:r>
    </w:p>
  </w:footnote>
  <w:footnote w:id="2697">
    <w:p w14:paraId="4ED779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מצוטט בפרק 1, הפסקה השלישית בנספח ד, מתוך “כתבי הסבא”.</w:t>
      </w:r>
    </w:p>
  </w:footnote>
  <w:footnote w:id="2698">
    <w:p w14:paraId="3B5B0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סבור שרבנו אמר שר׳ ישראל הסכים עם הגאון שתיקוני מנהגים מותרים בהחלט, רק מפני שאבי מעולם לא ראה את “כתבי הסבא”: הספר נדפס לראשונה שש שנים לאחר פטירת רבנו.</w:t>
      </w:r>
    </w:p>
  </w:footnote>
  <w:footnote w:id="2699">
    <w:p w14:paraId="2F0F1C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סנהדרין קד ע״ב, באה אש מן השמים וליחכה אש בספסליהם ולא השגיחו עליה.</w:t>
      </w:r>
    </w:p>
  </w:footnote>
  <w:footnote w:id="2700">
    <w:p w14:paraId="71D5C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pr_f_2519 \h </w:instrText>
      </w:r>
      <w:r>
        <w:rPr>
          <w:sz w:val="20"/>
          <w:szCs w:val="20"/>
          <w:rtl/>
        </w:rPr>
      </w:r>
      <w:r>
        <w:rPr>
          <w:sz w:val="20"/>
          <w:szCs w:val="20"/>
          <w:rtl/>
        </w:rPr>
        <w:fldChar w:fldCharType="separate"/>
      </w:r>
      <w:r w:rsidR="007923E9">
        <w:rPr>
          <w:sz w:val="20"/>
          <w:szCs w:val="20"/>
          <w:rtl/>
        </w:rPr>
        <w:t>1565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עמ׳ ב.</w:t>
      </w:r>
    </w:p>
  </w:footnote>
  <w:footnote w:id="2701">
    <w:p w14:paraId="3103E7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הטעם לכך נידון בנספח כה לעיל.</w:t>
      </w:r>
    </w:p>
  </w:footnote>
  <w:footnote w:id="2702">
    <w:p w14:paraId="7DC8777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בין תרכ״ו </w:t>
      </w:r>
      <w:proofErr w:type="spellStart"/>
      <w:r>
        <w:rPr>
          <w:sz w:val="20"/>
          <w:szCs w:val="20"/>
          <w:rtl/>
        </w:rPr>
        <w:t>לתרל״ה</w:t>
      </w:r>
      <w:proofErr w:type="spellEnd"/>
      <w:r>
        <w:rPr>
          <w:sz w:val="20"/>
          <w:szCs w:val="20"/>
          <w:rtl/>
        </w:rPr>
        <w:t xml:space="preserve"> חלפו תשע שנים ולא </w:t>
      </w:r>
      <w:proofErr w:type="spellStart"/>
      <w:r>
        <w:rPr>
          <w:sz w:val="20"/>
          <w:szCs w:val="20"/>
          <w:rtl/>
        </w:rPr>
        <w:t>אחת־עשרה</w:t>
      </w:r>
      <w:proofErr w:type="spellEnd"/>
      <w:r>
        <w:rPr>
          <w:sz w:val="20"/>
          <w:szCs w:val="20"/>
          <w:rtl/>
        </w:rPr>
        <w:t xml:space="preserve">; </w:t>
      </w:r>
      <w:proofErr w:type="spellStart"/>
      <w:r>
        <w:rPr>
          <w:sz w:val="20"/>
          <w:szCs w:val="20"/>
          <w:rtl/>
        </w:rPr>
        <w:t>אחת־עשרה</w:t>
      </w:r>
      <w:proofErr w:type="spellEnd"/>
      <w:r>
        <w:rPr>
          <w:sz w:val="20"/>
          <w:szCs w:val="20"/>
          <w:rtl/>
        </w:rPr>
        <w:t xml:space="preserve"> שנים אחרי 1866 הן 1877 (תרל״ז). אחד המספרים שגוי, ואין בידינו לקבוע איזה.</w:t>
      </w:r>
    </w:p>
  </w:footnote>
  <w:footnote w:id="2703">
    <w:p w14:paraId="0E9D2E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נכדתם, שהוזכרה בפסקה הראשונה לעיל, אישרה ב־5 באוקטובר 1997 שסבתה, שאותה זכרה מן הקיצים שבילתה </w:t>
      </w:r>
      <w:proofErr w:type="spellStart"/>
      <w:r>
        <w:rPr>
          <w:sz w:val="20"/>
          <w:szCs w:val="20"/>
          <w:rtl/>
        </w:rPr>
        <w:t>בציטוביאן</w:t>
      </w:r>
      <w:proofErr w:type="spellEnd"/>
      <w:r>
        <w:rPr>
          <w:sz w:val="20"/>
          <w:szCs w:val="20"/>
          <w:rtl/>
        </w:rPr>
        <w:t>, הייתה צעירה בהרבה מסבה.</w:t>
      </w:r>
    </w:p>
  </w:footnote>
  <w:footnote w:id="2704">
    <w:p w14:paraId="3F057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בנספח ח.</w:t>
      </w:r>
    </w:p>
  </w:footnote>
  <w:footnote w:id="2705">
    <w:p w14:paraId="4FAA2B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כץ, “תנועת המוסר”, כרך א, עמ׳ 237–238 ו־240–241.</w:t>
      </w:r>
    </w:p>
  </w:footnote>
  <w:footnote w:id="2706">
    <w:p w14:paraId="4E59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5, הפסקה השביעית בנספח ב, שבדרכו לקניגסברג עצר בממל – </w:t>
      </w:r>
      <w:proofErr w:type="spellStart"/>
      <w:r>
        <w:rPr>
          <w:rStyle w:val="a5"/>
          <w:sz w:val="20"/>
          <w:szCs w:val="20"/>
          <w:vertAlign w:val="baseline"/>
          <w:rtl/>
        </w:rPr>
        <w:t>ל“ימים</w:t>
      </w:r>
      <w:proofErr w:type="spellEnd"/>
      <w:r>
        <w:rPr>
          <w:rStyle w:val="a5"/>
          <w:sz w:val="20"/>
          <w:szCs w:val="20"/>
          <w:vertAlign w:val="baseline"/>
          <w:rtl/>
        </w:rPr>
        <w:t xml:space="preserve"> הנוראים”, על פי כץ, “תנועת המוסר”, כרך א, עמ׳ 240 (אך למעשה גם לאלול, על פי “</w:t>
      </w:r>
      <w:proofErr w:type="spellStart"/>
      <w:r>
        <w:rPr>
          <w:rStyle w:val="a5"/>
          <w:sz w:val="20"/>
          <w:szCs w:val="20"/>
          <w:vertAlign w:val="baseline"/>
          <w:rtl/>
        </w:rPr>
        <w:t>זכרון</w:t>
      </w:r>
      <w:proofErr w:type="spellEnd"/>
      <w:r>
        <w:rPr>
          <w:rStyle w:val="a5"/>
          <w:sz w:val="20"/>
          <w:szCs w:val="20"/>
          <w:vertAlign w:val="baseline"/>
          <w:rtl/>
        </w:rPr>
        <w:t xml:space="preserve"> יעקב”, כרך ג, עמ׳ 127). לפי הכותרת שבראש מכתבו המובא שם, עמ׳ 131, כבר הגיע לקניגסברג בערב שבת פרשת נח (13 באוקטובר 1882), ומסלול נסיעתו של </w:t>
      </w:r>
      <w:proofErr w:type="spellStart"/>
      <w:r>
        <w:rPr>
          <w:rStyle w:val="a5"/>
          <w:sz w:val="20"/>
          <w:szCs w:val="20"/>
          <w:vertAlign w:val="baseline"/>
          <w:rtl/>
        </w:rPr>
        <w:t>סלנטר</w:t>
      </w:r>
      <w:proofErr w:type="spellEnd"/>
      <w:r>
        <w:rPr>
          <w:rStyle w:val="a5"/>
          <w:sz w:val="20"/>
          <w:szCs w:val="20"/>
          <w:vertAlign w:val="baseline"/>
          <w:rtl/>
        </w:rPr>
        <w:t xml:space="preserve"> היה קובנה–קלם–ממל–קניגסברג. ראה גם “</w:t>
      </w:r>
      <w:proofErr w:type="spellStart"/>
      <w:r>
        <w:rPr>
          <w:rStyle w:val="a5"/>
          <w:sz w:val="20"/>
          <w:szCs w:val="20"/>
          <w:vertAlign w:val="baseline"/>
          <w:rtl/>
        </w:rPr>
        <w:t>זכרון</w:t>
      </w:r>
      <w:proofErr w:type="spellEnd"/>
      <w:r>
        <w:rPr>
          <w:rStyle w:val="a5"/>
          <w:sz w:val="20"/>
          <w:szCs w:val="20"/>
          <w:vertAlign w:val="baseline"/>
          <w:rtl/>
        </w:rPr>
        <w:t xml:space="preserve"> יעקב”, שם, עמ׳ 125, שבין תר״ל </w:t>
      </w:r>
      <w:proofErr w:type="spellStart"/>
      <w:r>
        <w:rPr>
          <w:rStyle w:val="a5"/>
          <w:sz w:val="20"/>
          <w:szCs w:val="20"/>
          <w:vertAlign w:val="baseline"/>
          <w:rtl/>
        </w:rPr>
        <w:t>לתרמ״ב</w:t>
      </w:r>
      <w:proofErr w:type="spellEnd"/>
      <w:r>
        <w:rPr>
          <w:rStyle w:val="a5"/>
          <w:sz w:val="20"/>
          <w:szCs w:val="20"/>
          <w:vertAlign w:val="baseline"/>
          <w:rtl/>
        </w:rPr>
        <w:t xml:space="preserve"> עבר בקובנה פעם אחת בלבד ושהה בה ימים אחדים.</w:t>
      </w:r>
    </w:p>
  </w:footnote>
  <w:footnote w:id="2707">
    <w:p w14:paraId="533C83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708">
    <w:p w14:paraId="538B6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סב ע״א.</w:t>
      </w:r>
    </w:p>
  </w:footnote>
  <w:footnote w:id="2709">
    <w:p w14:paraId="271DE6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ה.</w:t>
      </w:r>
    </w:p>
  </w:footnote>
  <w:footnote w:id="2710">
    <w:p w14:paraId="4113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בבא </w:t>
      </w:r>
      <w:proofErr w:type="spellStart"/>
      <w:r>
        <w:rPr>
          <w:sz w:val="20"/>
          <w:szCs w:val="20"/>
          <w:rtl/>
        </w:rPr>
        <w:t>בתרא</w:t>
      </w:r>
      <w:proofErr w:type="spellEnd"/>
      <w:r>
        <w:rPr>
          <w:sz w:val="20"/>
          <w:szCs w:val="20"/>
          <w:rtl/>
        </w:rPr>
        <w:t xml:space="preserve"> </w:t>
      </w:r>
      <w:proofErr w:type="spellStart"/>
      <w:r>
        <w:rPr>
          <w:sz w:val="20"/>
          <w:szCs w:val="20"/>
          <w:rtl/>
        </w:rPr>
        <w:t>קסה</w:t>
      </w:r>
      <w:proofErr w:type="spellEnd"/>
      <w:r>
        <w:rPr>
          <w:sz w:val="20"/>
          <w:szCs w:val="20"/>
          <w:rtl/>
        </w:rPr>
        <w:t xml:space="preserve"> ע״א. השווה גם כץ, “תנועת המוסר”, כרך א, עמ׳ 389, שר׳ ישראל היה יוצא מחדר שבו הושאר כסף ללא השגחה.</w:t>
      </w:r>
    </w:p>
  </w:footnote>
  <w:footnote w:id="2711">
    <w:p w14:paraId="1A29A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בפברואר 1988.</w:t>
      </w:r>
    </w:p>
  </w:footnote>
  <w:footnote w:id="2712">
    <w:p w14:paraId="4A5738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לו, אות ה.</w:t>
      </w:r>
    </w:p>
  </w:footnote>
  <w:footnote w:id="2713">
    <w:p w14:paraId="0F126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מועד קטן ו ע״א, אמר </w:t>
      </w:r>
      <w:proofErr w:type="spellStart"/>
      <w:r>
        <w:rPr>
          <w:sz w:val="20"/>
          <w:szCs w:val="20"/>
          <w:rtl/>
        </w:rPr>
        <w:t>אביי</w:t>
      </w:r>
      <w:proofErr w:type="spellEnd"/>
      <w:r>
        <w:rPr>
          <w:sz w:val="20"/>
          <w:szCs w:val="20"/>
          <w:rtl/>
        </w:rPr>
        <w:t xml:space="preserve"> שמע מינה האי צורבא </w:t>
      </w:r>
      <w:proofErr w:type="spellStart"/>
      <w:r>
        <w:rPr>
          <w:sz w:val="20"/>
          <w:szCs w:val="20"/>
          <w:rtl/>
        </w:rPr>
        <w:t>מרבנן</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714">
    <w:p w14:paraId="4FAFC3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1996.</w:t>
      </w:r>
    </w:p>
  </w:footnote>
  <w:footnote w:id="2715">
    <w:p w14:paraId="24F6C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הוצאת הישיבה הקדושה “אור אלחנן”, לוס אנג׳לס, תשל״ח – הערת שוליים 57 בעמ׳ </w:t>
      </w:r>
      <w:proofErr w:type="spellStart"/>
      <w:r>
        <w:rPr>
          <w:sz w:val="20"/>
          <w:szCs w:val="20"/>
          <w:rtl/>
        </w:rPr>
        <w:t>עג</w:t>
      </w:r>
      <w:proofErr w:type="spellEnd"/>
      <w:r>
        <w:rPr>
          <w:sz w:val="20"/>
          <w:szCs w:val="20"/>
          <w:rtl/>
        </w:rPr>
        <w:t>.</w:t>
      </w:r>
    </w:p>
  </w:footnote>
  <w:footnote w:id="2716">
    <w:p w14:paraId="2AFE63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בינואר 1988.</w:t>
      </w:r>
    </w:p>
  </w:footnote>
  <w:footnote w:id="2717">
    <w:p w14:paraId="7C301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ראשי תיבות של מורנו הרב [יהודה־]</w:t>
      </w:r>
      <w:proofErr w:type="spellStart"/>
      <w:r>
        <w:rPr>
          <w:sz w:val="20"/>
          <w:szCs w:val="20"/>
          <w:rtl/>
        </w:rPr>
        <w:t>ליווא</w:t>
      </w:r>
      <w:proofErr w:type="spellEnd"/>
      <w:r>
        <w:rPr>
          <w:sz w:val="20"/>
          <w:szCs w:val="20"/>
          <w:rtl/>
        </w:rPr>
        <w:t>, רב פראג.</w:t>
      </w:r>
    </w:p>
  </w:footnote>
  <w:footnote w:id="2718">
    <w:p w14:paraId="5B8330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719">
    <w:p w14:paraId="52EA9D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עה</w:t>
      </w:r>
      <w:proofErr w:type="spellEnd"/>
      <w:r>
        <w:rPr>
          <w:sz w:val="20"/>
          <w:szCs w:val="20"/>
          <w:rtl/>
        </w:rPr>
        <w:t>–עז.</w:t>
      </w:r>
    </w:p>
  </w:footnote>
  <w:footnote w:id="2720">
    <w:p w14:paraId="0DAB7F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שם, עמ׳ </w:t>
      </w:r>
      <w:proofErr w:type="spellStart"/>
      <w:r>
        <w:rPr>
          <w:rStyle w:val="a5"/>
          <w:sz w:val="20"/>
          <w:szCs w:val="20"/>
          <w:vertAlign w:val="baseline"/>
          <w:rtl/>
        </w:rPr>
        <w:t>עג</w:t>
      </w:r>
      <w:proofErr w:type="spellEnd"/>
      <w:r>
        <w:rPr>
          <w:rStyle w:val="a5"/>
          <w:sz w:val="20"/>
          <w:szCs w:val="20"/>
          <w:vertAlign w:val="baseline"/>
          <w:rtl/>
        </w:rPr>
        <w:t>–עד.</w:t>
      </w:r>
    </w:p>
  </w:footnote>
  <w:footnote w:id="2721">
    <w:p w14:paraId="074036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תהלים קב, </w:t>
      </w:r>
      <w:proofErr w:type="spellStart"/>
      <w:r>
        <w:rPr>
          <w:sz w:val="20"/>
          <w:szCs w:val="20"/>
          <w:rtl/>
        </w:rPr>
        <w:t>יט</w:t>
      </w:r>
      <w:proofErr w:type="spellEnd"/>
      <w:r>
        <w:rPr>
          <w:sz w:val="20"/>
          <w:szCs w:val="20"/>
          <w:rtl/>
        </w:rPr>
        <w:t>.</w:t>
      </w:r>
    </w:p>
  </w:footnote>
  <w:footnote w:id="2722">
    <w:p w14:paraId="4580F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מיום ו׳ בשבט תשנ״ז.</w:t>
      </w:r>
    </w:p>
  </w:footnote>
  <w:footnote w:id="2723">
    <w:p w14:paraId="00402D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צוין לעיל, נספח ח.</w:t>
      </w:r>
    </w:p>
  </w:footnote>
  <w:footnote w:id="2724">
    <w:p w14:paraId="391CF9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שמחה לא היה מעורב ישירות במהדורה העברית, מלבד כתיבת דברי תודה בפתיחה למחבר, “שאסף את הזיכרונות מתלמידים וממושפעים של אביו”.</w:t>
      </w:r>
    </w:p>
  </w:footnote>
  <w:footnote w:id="2725">
    <w:p w14:paraId="27A664E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עריכה מסוג זה נעשתה בהוצאת “</w:t>
      </w:r>
      <w:proofErr w:type="spellStart"/>
      <w:r>
        <w:rPr>
          <w:sz w:val="20"/>
          <w:szCs w:val="20"/>
          <w:rtl/>
        </w:rPr>
        <w:t>צאינה</w:t>
      </w:r>
      <w:proofErr w:type="spellEnd"/>
      <w:r>
        <w:rPr>
          <w:sz w:val="20"/>
          <w:szCs w:val="20"/>
          <w:rtl/>
        </w:rPr>
        <w:t xml:space="preserve"> וראינה”, כאמור בפרק 1, הפסקה השנייה בנספח ה. השמטה נוספת שהורה עליה ר׳ שמחה בספר האנגלי “ר׳ אלחנן” היא הדיווח </w:t>
      </w:r>
      <w:proofErr w:type="spellStart"/>
      <w:r>
        <w:rPr>
          <w:sz w:val="20"/>
          <w:szCs w:val="20"/>
          <w:rtl/>
        </w:rPr>
        <w:t>ב“אור</w:t>
      </w:r>
      <w:proofErr w:type="spellEnd"/>
      <w:r>
        <w:rPr>
          <w:sz w:val="20"/>
          <w:szCs w:val="20"/>
          <w:rtl/>
        </w:rPr>
        <w:t xml:space="preserve"> אלחנן”, חלק ב, עמ׳ ע, על התנהגותו של ר׳ אלחנן בהלוויית </w:t>
      </w:r>
      <w:proofErr w:type="spellStart"/>
      <w:r>
        <w:rPr>
          <w:sz w:val="20"/>
          <w:szCs w:val="20"/>
          <w:rtl/>
        </w:rPr>
        <w:t>החפץ־חיים</w:t>
      </w:r>
      <w:proofErr w:type="spellEnd"/>
      <w:r>
        <w:rPr>
          <w:sz w:val="20"/>
          <w:szCs w:val="20"/>
          <w:rtl/>
        </w:rPr>
        <w:t xml:space="preserve">, שכביכול “עדי ראיה מוסרים” </w:t>
      </w:r>
      <w:proofErr w:type="spellStart"/>
      <w:r>
        <w:rPr>
          <w:sz w:val="20"/>
          <w:szCs w:val="20"/>
          <w:rtl/>
        </w:rPr>
        <w:t>ו“מפי</w:t>
      </w:r>
      <w:proofErr w:type="spellEnd"/>
      <w:r>
        <w:rPr>
          <w:sz w:val="20"/>
          <w:szCs w:val="20"/>
          <w:rtl/>
        </w:rPr>
        <w:t xml:space="preserve"> אחד התלמידים המלווים...” – שהרי אביו כלל לא היה שם! ר׳ אלחנן היה באנגליה בעת פטירת רבו. ראה גם להלן השקפה נוספת על כוונתו של ר׳ אלחנן בסיפור מעשה הדיבוק – לא בהכרח כפי ששיער הרב </w:t>
      </w:r>
      <w:proofErr w:type="spellStart"/>
      <w:r>
        <w:rPr>
          <w:sz w:val="20"/>
          <w:szCs w:val="20"/>
          <w:rtl/>
        </w:rPr>
        <w:t>סורסקי</w:t>
      </w:r>
      <w:proofErr w:type="spellEnd"/>
      <w:r>
        <w:rPr>
          <w:sz w:val="20"/>
          <w:szCs w:val="20"/>
          <w:rtl/>
        </w:rPr>
        <w:t>, “לחזק את האמונה בה׳ ובמידות שבהן הוא מנהיג את העולם”.</w:t>
      </w:r>
    </w:p>
  </w:footnote>
  <w:footnote w:id="2726">
    <w:p w14:paraId="357A3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גרשון </w:t>
      </w:r>
      <w:proofErr w:type="spellStart"/>
      <w:r>
        <w:rPr>
          <w:sz w:val="20"/>
          <w:szCs w:val="20"/>
          <w:rtl/>
        </w:rPr>
        <w:t>וינקלר</w:t>
      </w:r>
      <w:proofErr w:type="spellEnd"/>
      <w:r>
        <w:rPr>
          <w:sz w:val="20"/>
          <w:szCs w:val="20"/>
          <w:rtl/>
        </w:rPr>
        <w:t xml:space="preserve"> (הוצאת יודאיקה, ניו יורק, 1981).</w:t>
      </w:r>
    </w:p>
  </w:footnote>
  <w:footnote w:id="2727">
    <w:p w14:paraId="2D1A84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מלשונו של הרב </w:t>
      </w:r>
      <w:proofErr w:type="spellStart"/>
      <w:r>
        <w:rPr>
          <w:sz w:val="20"/>
          <w:szCs w:val="20"/>
          <w:rtl/>
        </w:rPr>
        <w:t>ברפמן</w:t>
      </w:r>
      <w:proofErr w:type="spellEnd"/>
      <w:r>
        <w:rPr>
          <w:sz w:val="20"/>
          <w:szCs w:val="20"/>
          <w:rtl/>
        </w:rPr>
        <w:t xml:space="preserve"> עולה שאבי התנגד לפרסום כל סוגי </w:t>
      </w:r>
      <w:proofErr w:type="spellStart"/>
      <w:r>
        <w:rPr>
          <w:sz w:val="20"/>
          <w:szCs w:val="20"/>
          <w:rtl/>
        </w:rPr>
        <w:t>ה“עניינים</w:t>
      </w:r>
      <w:proofErr w:type="spellEnd"/>
      <w:r>
        <w:rPr>
          <w:sz w:val="20"/>
          <w:szCs w:val="20"/>
          <w:rtl/>
        </w:rPr>
        <w:t xml:space="preserve"> המיסטיים”.</w:t>
      </w:r>
    </w:p>
  </w:footnote>
  <w:footnote w:id="2728">
    <w:p w14:paraId="6D55D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239–264.</w:t>
      </w:r>
    </w:p>
  </w:footnote>
  <w:footnote w:id="2729">
    <w:p w14:paraId="1255E1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w:t>
      </w:r>
    </w:p>
  </w:footnote>
  <w:footnote w:id="2730">
    <w:p w14:paraId="03B79B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הייתה </w:t>
      </w:r>
      <w:proofErr w:type="spellStart"/>
      <w:r>
        <w:rPr>
          <w:sz w:val="20"/>
          <w:szCs w:val="20"/>
          <w:rtl/>
        </w:rPr>
        <w:t>בסלבודקה</w:t>
      </w:r>
      <w:proofErr w:type="spellEnd"/>
      <w:r>
        <w:rPr>
          <w:sz w:val="20"/>
          <w:szCs w:val="20"/>
          <w:rtl/>
        </w:rPr>
        <w:t xml:space="preserve"> כשהתקיימה השיחה המתוארת. את שנות השואה עברה במחבוא בליטא.</w:t>
      </w:r>
    </w:p>
  </w:footnote>
  <w:footnote w:id="2731">
    <w:p w14:paraId="35D26E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732">
    <w:p w14:paraId="64E51BE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רק מטפורה לקדושה: היא גם קושרת את הישיבה למאמר בשיר השירים רבה ב, ד, שהקב״ה נשבע לכותל המערבי שלא ייחרב לעולם.</w:t>
      </w:r>
    </w:p>
  </w:footnote>
  <w:footnote w:id="2733">
    <w:p w14:paraId="446C68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אמנם ע׳ בדברים רבה א:יז ובחידושי </w:t>
      </w:r>
      <w:proofErr w:type="spellStart"/>
      <w:r>
        <w:rPr>
          <w:sz w:val="20"/>
          <w:szCs w:val="20"/>
          <w:rtl/>
        </w:rPr>
        <w:t>הרד״ל</w:t>
      </w:r>
      <w:proofErr w:type="spellEnd"/>
      <w:r>
        <w:rPr>
          <w:sz w:val="20"/>
          <w:szCs w:val="20"/>
          <w:rtl/>
        </w:rPr>
        <w:t xml:space="preserve"> שם אות מ״ב וגם ע׳ בביאור </w:t>
      </w:r>
      <w:proofErr w:type="spellStart"/>
      <w:r>
        <w:rPr>
          <w:sz w:val="20"/>
          <w:szCs w:val="20"/>
          <w:rtl/>
        </w:rPr>
        <w:t>הרד״ל</w:t>
      </w:r>
      <w:proofErr w:type="spellEnd"/>
      <w:r>
        <w:rPr>
          <w:sz w:val="20"/>
          <w:szCs w:val="20"/>
          <w:rtl/>
        </w:rPr>
        <w:t xml:space="preserve"> בפרקי רבי אליעזר פרק י׳ אות ז׳ בשם אחיו.</w:t>
      </w:r>
    </w:p>
  </w:footnote>
  <w:footnote w:id="2734">
    <w:p w14:paraId="0DE278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אם הקורא בן זמננו חולק על ניתוח זה, ומייחס את פרוץ המלחמות בזמנים האחרונים ללחצים כלכליים וכיוצא בהם, הרי זה משום שאינו חי תחת השלטון האוטוקרטי ששרר ברוב אירופה לפני מלחמת העולם הראשונה. באייר תשנ״ט נתקלתי </w:t>
      </w:r>
      <w:proofErr w:type="spellStart"/>
      <w:r>
        <w:rPr>
          <w:sz w:val="20"/>
          <w:szCs w:val="20"/>
          <w:rtl/>
        </w:rPr>
        <w:t>ב“אינטרנשיונל</w:t>
      </w:r>
      <w:proofErr w:type="spellEnd"/>
      <w:r>
        <w:rPr>
          <w:sz w:val="20"/>
          <w:szCs w:val="20"/>
          <w:rtl/>
        </w:rPr>
        <w:t xml:space="preserve"> </w:t>
      </w:r>
      <w:proofErr w:type="spellStart"/>
      <w:r>
        <w:rPr>
          <w:sz w:val="20"/>
          <w:szCs w:val="20"/>
          <w:rtl/>
        </w:rPr>
        <w:t>הראלד</w:t>
      </w:r>
      <w:proofErr w:type="spellEnd"/>
      <w:r>
        <w:rPr>
          <w:sz w:val="20"/>
          <w:szCs w:val="20"/>
          <w:rtl/>
        </w:rPr>
        <w:t xml:space="preserve"> </w:t>
      </w:r>
      <w:proofErr w:type="spellStart"/>
      <w:r>
        <w:rPr>
          <w:sz w:val="20"/>
          <w:szCs w:val="20"/>
          <w:rtl/>
        </w:rPr>
        <w:t>טריביון</w:t>
      </w:r>
      <w:proofErr w:type="spellEnd"/>
      <w:r>
        <w:rPr>
          <w:sz w:val="20"/>
          <w:szCs w:val="20"/>
          <w:rtl/>
        </w:rPr>
        <w:t>” בציטוט בן מאה שנה ממאמר מערכת בעיתון “</w:t>
      </w:r>
      <w:proofErr w:type="spellStart"/>
      <w:r>
        <w:rPr>
          <w:sz w:val="20"/>
          <w:szCs w:val="20"/>
          <w:rtl/>
        </w:rPr>
        <w:t>בערזן</w:t>
      </w:r>
      <w:proofErr w:type="spellEnd"/>
      <w:r>
        <w:rPr>
          <w:sz w:val="20"/>
          <w:szCs w:val="20"/>
          <w:rtl/>
        </w:rPr>
        <w:t xml:space="preserve"> </w:t>
      </w:r>
      <w:proofErr w:type="spellStart"/>
      <w:r>
        <w:rPr>
          <w:sz w:val="20"/>
          <w:szCs w:val="20"/>
          <w:rtl/>
        </w:rPr>
        <w:t>קוריר</w:t>
      </w:r>
      <w:proofErr w:type="spellEnd"/>
      <w:r>
        <w:rPr>
          <w:sz w:val="20"/>
          <w:szCs w:val="20"/>
          <w:rtl/>
        </w:rPr>
        <w:t>”: “מלחמות ילכו ויהיו נדירות יותר ויותר, משום שכעת כבר אין בידי ממשלות להכריז מלחמה בשל מחלוקות קבינט גרידא. כיום אפשר להכריז מלחמה רק בשל שאלות שיש בהן עניין לכלל האומה. העובדה היא שמלחמות הולכות ונעשות נדירות יותר ויותר”.</w:t>
      </w:r>
    </w:p>
    <w:p w14:paraId="4439668A" w14:textId="77777777" w:rsidR="00AB3647" w:rsidRDefault="00000000">
      <w:pPr>
        <w:spacing w:after="0" w:before="0"/>
        <w:jc w:val="both"/>
      </w:pPr>
      <w:r>
        <w:rPr>
          <w:sz w:val="20"/>
          <w:szCs w:val="20"/>
          <w:rtl/>
        </w:rPr>
        <w:t xml:space="preserve">בדיעבד אנו יודעים עד כמה מגוחך המשפט האחרון. כמו כן, גם פרוץ מלחמת העולם הראשונה לא נבע אלא </w:t>
      </w:r>
      <w:proofErr w:type="spellStart"/>
      <w:r>
        <w:rPr>
          <w:sz w:val="20"/>
          <w:szCs w:val="20"/>
          <w:rtl/>
        </w:rPr>
        <w:t>מ“מחלוקות</w:t>
      </w:r>
      <w:proofErr w:type="spellEnd"/>
      <w:r>
        <w:rPr>
          <w:sz w:val="20"/>
          <w:szCs w:val="20"/>
          <w:rtl/>
        </w:rPr>
        <w:t xml:space="preserve"> קבינט”, או ליתר דיוק </w:t>
      </w:r>
      <w:proofErr w:type="spellStart"/>
      <w:r>
        <w:rPr>
          <w:sz w:val="20"/>
          <w:szCs w:val="20"/>
          <w:rtl/>
        </w:rPr>
        <w:t>מ“חמת</w:t>
      </w:r>
      <w:proofErr w:type="spellEnd"/>
      <w:r>
        <w:rPr>
          <w:sz w:val="20"/>
          <w:szCs w:val="20"/>
          <w:rtl/>
        </w:rPr>
        <w:t xml:space="preserve"> זעמם של שוטים”, כלשונה של בתו של הסבא.</w:t>
      </w:r>
    </w:p>
  </w:footnote>
  <w:footnote w:id="2735">
    <w:p w14:paraId="691F97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מ־30 בנובמבר 1996.</w:t>
      </w:r>
    </w:p>
  </w:footnote>
  <w:footnote w:id="2736">
    <w:p w14:paraId="7C0880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קובנה הייתה העיר הגדולה ביותר; וילנה כבר לא הייתה חלק מליטא, לאחר שנכבשה בידי פולין בכ״ז בתשרי תרפ״א.</w:t>
      </w:r>
    </w:p>
  </w:footnote>
  <w:footnote w:id="2737">
    <w:p w14:paraId="6D2E3B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הערה 100 לעיל.</w:t>
      </w:r>
    </w:p>
  </w:footnote>
  <w:footnote w:id="2738">
    <w:p w14:paraId="21BF96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מ־15 באוקטובר 1998; וכפי שדווח גם בריאיון עם ר׳ מרדכי </w:t>
      </w:r>
      <w:proofErr w:type="spellStart"/>
      <w:r>
        <w:rPr>
          <w:sz w:val="20"/>
          <w:szCs w:val="20"/>
          <w:rtl/>
        </w:rPr>
        <w:t>ב“יתד</w:t>
      </w:r>
      <w:proofErr w:type="spellEnd"/>
      <w:r>
        <w:rPr>
          <w:sz w:val="20"/>
          <w:szCs w:val="20"/>
          <w:rtl/>
        </w:rPr>
        <w:t xml:space="preserve"> נאמן” בקיץ שקדם לו.</w:t>
      </w:r>
    </w:p>
  </w:footnote>
  <w:footnote w:id="2739">
    <w:p w14:paraId="4DEA50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השנייה בנספח י לעיל.</w:t>
      </w:r>
    </w:p>
  </w:footnote>
  <w:footnote w:id="2740">
    <w:p w14:paraId="310DB2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741">
    <w:p w14:paraId="757B3B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ראיה מכרעת, מפני שהנוסח לא נלקח מכתב ידו של אבי – כפי שנלקח יתר הכרך (אלא אם צוין אחרת) – אלא “מפי השמועה”.</w:t>
      </w:r>
    </w:p>
  </w:footnote>
  <w:footnote w:id="2742">
    <w:p w14:paraId="139555B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“דיבוק”, עמ׳ 239.</w:t>
      </w:r>
    </w:p>
  </w:footnote>
  <w:footnote w:id="2743">
    <w:p w14:paraId="630607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 ו־264.</w:t>
      </w:r>
    </w:p>
  </w:footnote>
  <w:footnote w:id="2744">
    <w:p w14:paraId="7967FC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239.</w:t>
      </w:r>
    </w:p>
  </w:footnote>
  <w:footnote w:id="2745">
    <w:p w14:paraId="25593C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“החפץ חיים (ישר)”, עמ׳ 791.</w:t>
      </w:r>
    </w:p>
  </w:footnote>
  <w:footnote w:id="2746">
    <w:p w14:paraId="6B667B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“דיבוק”, עמ׳ 264.</w:t>
      </w:r>
    </w:p>
  </w:footnote>
  <w:footnote w:id="2747">
    <w:p w14:paraId="558DEF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שם, עמ׳ 263.</w:t>
      </w:r>
    </w:p>
  </w:footnote>
  <w:footnote w:id="2748">
    <w:p w14:paraId="412B3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אולם לדברי אחד מבני משפחתו של ר׳ מנדל, </w:t>
      </w:r>
      <w:proofErr w:type="spellStart"/>
      <w:r>
        <w:rPr>
          <w:sz w:val="20"/>
          <w:szCs w:val="20"/>
          <w:rtl/>
        </w:rPr>
        <w:t>החפץ־חיים</w:t>
      </w:r>
      <w:proofErr w:type="spellEnd"/>
      <w:r>
        <w:rPr>
          <w:sz w:val="20"/>
          <w:szCs w:val="20"/>
          <w:rtl/>
        </w:rPr>
        <w:t xml:space="preserve"> לא התעלם סתם משאלתו, אלא השיב לו: “יש לנו מסורת שמאז ימיו של ר׳ חיים </w:t>
      </w:r>
      <w:proofErr w:type="spellStart"/>
      <w:r>
        <w:rPr>
          <w:sz w:val="20"/>
          <w:szCs w:val="20"/>
          <w:rtl/>
        </w:rPr>
        <w:t>מוולוז׳ין</w:t>
      </w:r>
      <w:proofErr w:type="spellEnd"/>
      <w:r>
        <w:rPr>
          <w:sz w:val="20"/>
          <w:szCs w:val="20"/>
          <w:rtl/>
        </w:rPr>
        <w:t xml:space="preserve"> לא דווח על שום מקרה של דיבוק”. על אחרים שהכחישו את סיפור הדיבוק ראה להלן, וכן בפסקה השביעית, שבה נאמר שגם </w:t>
      </w:r>
      <w:proofErr w:type="spellStart"/>
      <w:r>
        <w:rPr>
          <w:sz w:val="20"/>
          <w:szCs w:val="20"/>
          <w:rtl/>
        </w:rPr>
        <w:t>לר</w:t>
      </w:r>
      <w:proofErr w:type="spellEnd"/>
      <w:r>
        <w:rPr>
          <w:sz w:val="20"/>
          <w:szCs w:val="20"/>
          <w:rtl/>
        </w:rPr>
        <w:t xml:space="preserve">׳ יצחק־זאב הייתה אותה מסורת מר׳ חיים </w:t>
      </w:r>
      <w:proofErr w:type="spellStart"/>
      <w:r>
        <w:rPr>
          <w:sz w:val="20"/>
          <w:szCs w:val="20"/>
          <w:rtl/>
        </w:rPr>
        <w:t>מוולוז׳ין</w:t>
      </w:r>
      <w:proofErr w:type="spellEnd"/>
      <w:r>
        <w:rPr>
          <w:sz w:val="20"/>
          <w:szCs w:val="20"/>
          <w:rtl/>
        </w:rPr>
        <w:t xml:space="preserve"> שהייתה </w:t>
      </w:r>
      <w:proofErr w:type="spellStart"/>
      <w:r>
        <w:rPr>
          <w:sz w:val="20"/>
          <w:szCs w:val="20"/>
          <w:rtl/>
        </w:rPr>
        <w:t>לחפץ־חיים</w:t>
      </w:r>
      <w:proofErr w:type="spellEnd"/>
      <w:r>
        <w:rPr>
          <w:sz w:val="20"/>
          <w:szCs w:val="20"/>
          <w:rtl/>
        </w:rPr>
        <w:t>.</w:t>
      </w:r>
    </w:p>
  </w:footnote>
  <w:footnote w:id="2749">
    <w:p w14:paraId="323A8E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פרץ </w:t>
      </w:r>
      <w:proofErr w:type="spellStart"/>
      <w:r>
        <w:rPr>
          <w:sz w:val="20"/>
          <w:szCs w:val="20"/>
          <w:rtl/>
        </w:rPr>
        <w:t>פוזן</w:t>
      </w:r>
      <w:proofErr w:type="spellEnd"/>
      <w:r>
        <w:rPr>
          <w:sz w:val="20"/>
          <w:szCs w:val="20"/>
          <w:rtl/>
        </w:rPr>
        <w:t xml:space="preserve"> אמר לי ב־7 ביוני 1997 בשם ר׳ יצחק </w:t>
      </w:r>
      <w:proofErr w:type="spellStart"/>
      <w:r>
        <w:rPr>
          <w:sz w:val="20"/>
          <w:szCs w:val="20"/>
          <w:rtl/>
        </w:rPr>
        <w:t>פופקו</w:t>
      </w:r>
      <w:proofErr w:type="spellEnd"/>
      <w:r>
        <w:rPr>
          <w:sz w:val="20"/>
          <w:szCs w:val="20"/>
          <w:rtl/>
        </w:rPr>
        <w:t xml:space="preserve">, שכשלמד </w:t>
      </w:r>
      <w:proofErr w:type="spellStart"/>
      <w:r>
        <w:rPr>
          <w:sz w:val="20"/>
          <w:szCs w:val="20"/>
          <w:rtl/>
        </w:rPr>
        <w:t>בראדין</w:t>
      </w:r>
      <w:proofErr w:type="spellEnd"/>
      <w:r>
        <w:rPr>
          <w:sz w:val="20"/>
          <w:szCs w:val="20"/>
          <w:rtl/>
        </w:rPr>
        <w:t xml:space="preserve"> הגישו לו ויסקי לקידוש, ואחר כך, כשהיה מבושם, דחק בו ר׳ מנדל זקס לשאול את </w:t>
      </w:r>
      <w:proofErr w:type="spellStart"/>
      <w:r>
        <w:rPr>
          <w:sz w:val="20"/>
          <w:szCs w:val="20"/>
          <w:rtl/>
        </w:rPr>
        <w:t>החפץ־חיים</w:t>
      </w:r>
      <w:proofErr w:type="spellEnd"/>
      <w:r>
        <w:rPr>
          <w:sz w:val="20"/>
          <w:szCs w:val="20"/>
          <w:rtl/>
        </w:rPr>
        <w:t xml:space="preserve"> על הדיבוק. התשובה שקיבל הייתה: “אין אנו עוסקים בעניינים כאלה”. סביר שמאורע זה התרחש לפני שר׳ מנדל עצמו שאל את </w:t>
      </w:r>
      <w:proofErr w:type="spellStart"/>
      <w:r>
        <w:rPr>
          <w:sz w:val="20"/>
          <w:szCs w:val="20"/>
          <w:rtl/>
        </w:rPr>
        <w:t>החפץ־חיים</w:t>
      </w:r>
      <w:proofErr w:type="spellEnd"/>
      <w:r>
        <w:rPr>
          <w:sz w:val="20"/>
          <w:szCs w:val="20"/>
          <w:rtl/>
        </w:rPr>
        <w:t xml:space="preserve"> ולא קיבל תשובה (או קיבל את התשובה המובאת בהערת השוליים הקודמת).</w:t>
      </w:r>
    </w:p>
  </w:footnote>
  <w:footnote w:id="2750">
    <w:p w14:paraId="0B7CD8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מ־10 באפריל 1999.</w:t>
      </w:r>
    </w:p>
  </w:footnote>
  <w:footnote w:id="2751">
    <w:p w14:paraId="4F95EE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ב“ר</w:t>
      </w:r>
      <w:proofErr w:type="spellEnd"/>
      <w:r>
        <w:rPr>
          <w:sz w:val="20"/>
          <w:szCs w:val="20"/>
          <w:rtl/>
        </w:rPr>
        <w:t xml:space="preserve">׳ מנדל </w:t>
      </w:r>
      <w:proofErr w:type="spellStart"/>
      <w:r>
        <w:rPr>
          <w:sz w:val="20"/>
          <w:szCs w:val="20"/>
          <w:rtl/>
        </w:rPr>
        <w:t>וחכמתו</w:t>
      </w:r>
      <w:proofErr w:type="spellEnd"/>
      <w:r>
        <w:rPr>
          <w:sz w:val="20"/>
          <w:szCs w:val="20"/>
          <w:rtl/>
        </w:rPr>
        <w:t>” (נספח ח לעיל), עמ׳ 220, מסופר שר׳ מנדל קפלן, תלמידו של הרב וסרמן, הסביר מדוע חדל ר׳ אלחנן לספר את הסיפור: “ר׳ אלחנן הבין עד כמה הקב״ה מסתיר את נוכחותו בעולם [הסתר פנים] בתקופה שקדמה למלחמת העולם השנייה, וסבר שאין זה ראוי להעלות באותה שעה סיפור הממחיש בבירור כה רב את תפקידו הישיר של הקב״ה בעולם”.</w:t>
      </w:r>
    </w:p>
    <w:p w14:paraId="45F78032" w14:textId="77777777" w:rsidR="00AB3647" w:rsidRDefault="00000000">
      <w:pPr>
        <w:spacing w:after="0" w:before="0"/>
        <w:jc w:val="both"/>
      </w:pPr>
      <w:r>
        <w:rPr>
          <w:sz w:val="20"/>
          <w:szCs w:val="20"/>
          <w:rtl/>
        </w:rPr>
        <w:t xml:space="preserve">אם התכוון ר׳ מנדל קפלן להסתרת נוכחותו של הקב״ה ביחס לאנשים </w:t>
      </w:r>
      <w:proofErr w:type="spellStart"/>
      <w:r>
        <w:rPr>
          <w:sz w:val="20"/>
          <w:szCs w:val="20"/>
          <w:rtl/>
        </w:rPr>
        <w:t>ש“אין</w:t>
      </w:r>
      <w:proofErr w:type="spellEnd"/>
      <w:r>
        <w:rPr>
          <w:sz w:val="20"/>
          <w:szCs w:val="20"/>
          <w:rtl/>
        </w:rPr>
        <w:t xml:space="preserve"> להם אמונה שלמה בסיפורים מסוג זה” אפילו בחברת בני הישיבות – כמו שאף ר׳ אלחנן חשד שיש כאלה בין ידידיה של משפחת פרידמן כשסיפר את הסיפור בביתם בממל – יש ממש בהסברו להפסקתו של ר׳ אלחנן. אבל אם לכך התכוון ר׳ מנדל, נראה שהוא הטיל על הקב״ה את האחריות לנסיגתם של בני אדם באמונה.</w:t>
      </w:r>
    </w:p>
  </w:footnote>
  <w:footnote w:id="2752">
    <w:p w14:paraId="42FDE7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הכוונה לצאצאים אחרים מלבד אותו בן משפחה של ר׳ מנדל זקס שצוטט (בעילום שם) בהערת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לעיל.</w:t>
      </w:r>
    </w:p>
  </w:footnote>
  <w:footnote w:id="2753">
    <w:p w14:paraId="21B2F4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בתו של ר׳ הירש נשואה לבנו של המרואיין.</w:t>
      </w:r>
    </w:p>
  </w:footnote>
  <w:footnote w:id="2754">
    <w:p w14:paraId="696429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באוקטובר 1994.</w:t>
      </w:r>
    </w:p>
  </w:footnote>
  <w:footnote w:id="2755">
    <w:p w14:paraId="429C56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בדצמבר 1996.</w:t>
      </w:r>
    </w:p>
  </w:footnote>
  <w:footnote w:id="2756">
    <w:p w14:paraId="02AB91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א לעיל – כרך א, חלק 1, עמ׳ </w:t>
      </w:r>
      <w:proofErr w:type="spellStart"/>
      <w:r>
        <w:rPr>
          <w:sz w:val="20"/>
          <w:szCs w:val="20"/>
          <w:rtl/>
        </w:rPr>
        <w:t>רסב</w:t>
      </w:r>
      <w:proofErr w:type="spellEnd"/>
      <w:r>
        <w:rPr>
          <w:sz w:val="20"/>
          <w:szCs w:val="20"/>
          <w:rtl/>
        </w:rPr>
        <w:t>–</w:t>
      </w:r>
      <w:proofErr w:type="spellStart"/>
      <w:r>
        <w:rPr>
          <w:sz w:val="20"/>
          <w:szCs w:val="20"/>
          <w:rtl/>
        </w:rPr>
        <w:t>רסז</w:t>
      </w:r>
      <w:proofErr w:type="spellEnd"/>
      <w:r>
        <w:rPr>
          <w:sz w:val="20"/>
          <w:szCs w:val="20"/>
          <w:rtl/>
        </w:rPr>
        <w:t>.</w:t>
      </w:r>
    </w:p>
  </w:footnote>
  <w:footnote w:id="2757">
    <w:p w14:paraId="0AF4CF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רסה</w:t>
      </w:r>
      <w:proofErr w:type="spellEnd"/>
      <w:r>
        <w:rPr>
          <w:sz w:val="20"/>
          <w:szCs w:val="20"/>
          <w:rtl/>
        </w:rPr>
        <w:t>.</w:t>
      </w:r>
    </w:p>
  </w:footnote>
  <w:footnote w:id="2758">
    <w:p w14:paraId="6CBD50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ניסה כנראה לתרגם לעברית, שפת מאמרו, את הביטוי היידי </w:t>
      </w:r>
      <w:proofErr w:type="spellStart"/>
      <w:r>
        <w:rPr>
          <w:sz w:val="20"/>
          <w:szCs w:val="20"/>
          <w:rtl/>
        </w:rPr>
        <w:t>קלעטערן</w:t>
      </w:r>
      <w:proofErr w:type="spellEnd"/>
      <w:r>
        <w:rPr>
          <w:sz w:val="20"/>
          <w:szCs w:val="20"/>
          <w:rtl/>
        </w:rPr>
        <w:t xml:space="preserve"> </w:t>
      </w:r>
      <w:proofErr w:type="spellStart"/>
      <w:r>
        <w:rPr>
          <w:sz w:val="20"/>
          <w:szCs w:val="20"/>
          <w:rtl/>
        </w:rPr>
        <w:t>אויף</w:t>
      </w:r>
      <w:proofErr w:type="spellEnd"/>
      <w:r>
        <w:rPr>
          <w:sz w:val="20"/>
          <w:szCs w:val="20"/>
          <w:rtl/>
        </w:rPr>
        <w:t xml:space="preserve"> </w:t>
      </w:r>
      <w:proofErr w:type="spellStart"/>
      <w:r>
        <w:rPr>
          <w:sz w:val="20"/>
          <w:szCs w:val="20"/>
          <w:rtl/>
        </w:rPr>
        <w:t>לייטערס</w:t>
      </w:r>
      <w:proofErr w:type="spellEnd"/>
      <w:r>
        <w:rPr>
          <w:sz w:val="20"/>
          <w:szCs w:val="20"/>
          <w:rtl/>
        </w:rPr>
        <w:t xml:space="preserve">, שברוח הלשון האנגלית קרוב יותר </w:t>
      </w:r>
      <w:proofErr w:type="spellStart"/>
      <w:r>
        <w:rPr>
          <w:sz w:val="20"/>
          <w:szCs w:val="20"/>
          <w:rtl/>
        </w:rPr>
        <w:t>ל“להושיט</w:t>
      </w:r>
      <w:proofErr w:type="spellEnd"/>
      <w:r>
        <w:rPr>
          <w:sz w:val="20"/>
          <w:szCs w:val="20"/>
          <w:rtl/>
        </w:rPr>
        <w:t xml:space="preserve"> יד אל מה שאין להשיגו”.</w:t>
      </w:r>
    </w:p>
  </w:footnote>
  <w:footnote w:id="2759">
    <w:p w14:paraId="35D6D2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בינואר 1997.</w:t>
      </w:r>
    </w:p>
  </w:footnote>
  <w:footnote w:id="2760">
    <w:p w14:paraId="0D4CF8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“דיבוק”, עמ׳ 253–254.</w:t>
      </w:r>
    </w:p>
  </w:footnote>
  <w:footnote w:id="2761">
    <w:p w14:paraId="5CF2C8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מאחר שדעה זו תאמה בדיוק את דעתו של “מחר הלוי”, התפתיתי לזהות את “מחר הלוי” עם ר׳ ירוחם </w:t>
      </w:r>
      <w:proofErr w:type="spellStart"/>
      <w:r>
        <w:rPr>
          <w:sz w:val="20"/>
          <w:szCs w:val="20"/>
          <w:rtl/>
        </w:rPr>
        <w:t>ליבוביץ</w:t>
      </w:r>
      <w:proofErr w:type="spellEnd"/>
      <w:r>
        <w:rPr>
          <w:sz w:val="20"/>
          <w:szCs w:val="20"/>
          <w:rtl/>
        </w:rPr>
        <w:t xml:space="preserve"> עצמו, שלכאורה השתמש בהיפוך סדר האותיות של שמו (ירוחם הלוי) ככינוי עט. ודאי היה קרוב </w:t>
      </w:r>
      <w:proofErr w:type="spellStart"/>
      <w:r>
        <w:rPr>
          <w:sz w:val="20"/>
          <w:szCs w:val="20"/>
          <w:rtl/>
        </w:rPr>
        <w:t>לחפץ־חיים</w:t>
      </w:r>
      <w:proofErr w:type="spellEnd"/>
      <w:r>
        <w:rPr>
          <w:sz w:val="20"/>
          <w:szCs w:val="20"/>
          <w:rtl/>
        </w:rPr>
        <w:t xml:space="preserve"> כשלמד בכולל קודשים שלו, ואחר כך מונה למשגיח בישיבת </w:t>
      </w:r>
      <w:proofErr w:type="spellStart"/>
      <w:r>
        <w:rPr>
          <w:sz w:val="20"/>
          <w:szCs w:val="20"/>
          <w:rtl/>
        </w:rPr>
        <w:t>ראדין</w:t>
      </w:r>
      <w:proofErr w:type="spellEnd"/>
      <w:r>
        <w:rPr>
          <w:sz w:val="20"/>
          <w:szCs w:val="20"/>
          <w:rtl/>
        </w:rPr>
        <w:t xml:space="preserve"> בשנים תרס״ו–תרס״ט. אך כשקראתי שוב את המאמר ראיתי שיש בו סימנים רבים מדי הסותרים השערה זו.</w:t>
      </w:r>
    </w:p>
  </w:footnote>
  <w:footnote w:id="2762">
    <w:p w14:paraId="690142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253 ו־256–257.</w:t>
      </w:r>
    </w:p>
  </w:footnote>
  <w:footnote w:id="2763">
    <w:p w14:paraId="706E02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הדיווח שם, עמ׳ 256–257, על ריאיון הרב </w:t>
      </w:r>
      <w:proofErr w:type="spellStart"/>
      <w:r>
        <w:rPr>
          <w:sz w:val="20"/>
          <w:szCs w:val="20"/>
          <w:rtl/>
        </w:rPr>
        <w:t>קצמן</w:t>
      </w:r>
      <w:proofErr w:type="spellEnd"/>
      <w:r>
        <w:rPr>
          <w:sz w:val="20"/>
          <w:szCs w:val="20"/>
          <w:rtl/>
        </w:rPr>
        <w:t xml:space="preserve"> עם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“בשנת תשכ״ט בבני ברק”, מדויק רק בשאלות ששאל המראיין הצעיר את רבו; ואילו מה שהשיב לכאורה </w:t>
      </w:r>
      <w:proofErr w:type="spellStart"/>
      <w:r>
        <w:rPr>
          <w:sz w:val="20"/>
          <w:szCs w:val="20"/>
          <w:rtl/>
        </w:rPr>
        <w:t>החפץ־חיים</w:t>
      </w:r>
      <w:proofErr w:type="spellEnd"/>
      <w:r>
        <w:rPr>
          <w:sz w:val="20"/>
          <w:szCs w:val="20"/>
          <w:rtl/>
        </w:rPr>
        <w:t xml:space="preserve"> הוא מה שהמראיין (או מחבר “דיבוק”) רצה לשמוע. (ראה גם הערה </w:t>
      </w:r>
      <w:r>
        <w:rPr>
          <w:sz w:val="20"/>
          <w:szCs w:val="20"/>
          <w:rtl/>
        </w:rPr>
        <w:fldChar w:fldCharType="begin" w:dirty="true"/>
      </w:r>
      <w:r>
        <w:rPr>
          <w:sz w:val="20"/>
          <w:szCs w:val="20"/>
          <w:rtl/>
        </w:rPr>
        <w:instrText xml:space="preserve"> NOTEREF pr_f_2615 \h </w:instrText>
      </w:r>
      <w:r>
        <w:rPr>
          <w:sz w:val="20"/>
          <w:szCs w:val="20"/>
          <w:rtl/>
        </w:rPr>
      </w:r>
      <w:r>
        <w:rPr>
          <w:sz w:val="20"/>
          <w:szCs w:val="20"/>
          <w:rtl/>
        </w:rPr>
        <w:fldChar w:fldCharType="separate"/>
      </w:r>
      <w:r w:rsidR="007923E9">
        <w:rPr>
          <w:sz w:val="20"/>
          <w:szCs w:val="20"/>
          <w:rtl/>
        </w:rPr>
        <w:t>1662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pr_f_2615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דיווח של “עד ראייה” שפוברק.) ר׳ יעקב </w:t>
      </w:r>
      <w:proofErr w:type="spellStart"/>
      <w:r>
        <w:rPr>
          <w:sz w:val="20"/>
          <w:szCs w:val="20"/>
          <w:rtl/>
        </w:rPr>
        <w:t>לויסון</w:t>
      </w:r>
      <w:proofErr w:type="spellEnd"/>
      <w:r>
        <w:rPr>
          <w:sz w:val="20"/>
          <w:szCs w:val="20"/>
          <w:rtl/>
        </w:rPr>
        <w:t xml:space="preserve"> חזר על דברי רב </w:t>
      </w:r>
      <w:proofErr w:type="spellStart"/>
      <w:r>
        <w:rPr>
          <w:sz w:val="20"/>
          <w:szCs w:val="20"/>
          <w:rtl/>
        </w:rPr>
        <w:t>פוניבז</w:t>
      </w:r>
      <w:proofErr w:type="spellEnd"/>
      <w:r>
        <w:rPr>
          <w:sz w:val="20"/>
          <w:szCs w:val="20"/>
          <w:rtl/>
        </w:rPr>
        <w:t xml:space="preserve">׳ באוזני ר׳ </w:t>
      </w:r>
      <w:proofErr w:type="spellStart"/>
      <w:r>
        <w:rPr>
          <w:sz w:val="20"/>
          <w:szCs w:val="20"/>
          <w:rtl/>
        </w:rPr>
        <w:t>שלמה־זלמן</w:t>
      </w:r>
      <w:proofErr w:type="spellEnd"/>
      <w:r>
        <w:rPr>
          <w:sz w:val="20"/>
          <w:szCs w:val="20"/>
          <w:rtl/>
        </w:rPr>
        <w:t xml:space="preserve"> </w:t>
      </w:r>
      <w:proofErr w:type="spellStart"/>
      <w:r>
        <w:rPr>
          <w:sz w:val="20"/>
          <w:szCs w:val="20"/>
          <w:rtl/>
        </w:rPr>
        <w:t>הבלין</w:t>
      </w:r>
      <w:proofErr w:type="spellEnd"/>
      <w:r>
        <w:rPr>
          <w:sz w:val="20"/>
          <w:szCs w:val="20"/>
          <w:rtl/>
        </w:rPr>
        <w:t xml:space="preserve"> ב־9 ביולי 2001 בלונדון, ושני ימים אחר כך, למרבה המזל, פגשתי את ר׳ </w:t>
      </w:r>
      <w:proofErr w:type="spellStart"/>
      <w:r>
        <w:rPr>
          <w:sz w:val="20"/>
          <w:szCs w:val="20"/>
          <w:rtl/>
        </w:rPr>
        <w:t>שלמה־זלמן</w:t>
      </w:r>
      <w:proofErr w:type="spellEnd"/>
      <w:r>
        <w:rPr>
          <w:sz w:val="20"/>
          <w:szCs w:val="20"/>
          <w:rtl/>
        </w:rPr>
        <w:t xml:space="preserve"> בפראג ושמעתי את הדיווח המלא כפי שנרשם כאן.</w:t>
      </w:r>
    </w:p>
  </w:footnote>
  <w:footnote w:id="2764">
    <w:p w14:paraId="475485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כאן מתגלה עיקרון יסוד בתורתם של גדולי ליטא: “מוטב שאמונתם של רבים תהיה פגומה מאשר שאפילו מעטים ייפגעו”. השווה את ההערה </w:t>
      </w:r>
      <w:r>
        <w:rPr>
          <w:sz w:val="20"/>
          <w:szCs w:val="20"/>
          <w:rtl/>
        </w:rPr>
        <w:fldChar w:fldCharType="begin" w:dirty="true"/>
      </w:r>
      <w:r>
        <w:rPr>
          <w:sz w:val="20"/>
          <w:szCs w:val="20"/>
          <w:rtl/>
        </w:rPr>
        <w:instrText xml:space="preserve"> NOTEREF pr_f_2687 \h </w:instrText>
      </w:r>
      <w:r>
        <w:rPr>
          <w:sz w:val="20"/>
          <w:szCs w:val="20"/>
          <w:rtl/>
        </w:rPr>
      </w:r>
      <w:r>
        <w:rPr>
          <w:sz w:val="20"/>
          <w:szCs w:val="20"/>
          <w:rtl/>
        </w:rPr>
        <w:fldChar w:fldCharType="separate"/>
      </w:r>
      <w:r w:rsidR="007923E9">
        <w:rPr>
          <w:sz w:val="20"/>
          <w:szCs w:val="20"/>
          <w:rtl/>
        </w:rPr>
        <w:t>1734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ליישום נוסף של עיקרון זה. את הכרתו של ר׳ אלחנן שהוא מתמודד עם דיבוק ייחס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לתמימות.</w:t>
      </w:r>
    </w:p>
  </w:footnote>
  <w:footnote w:id="2765">
    <w:p w14:paraId="109368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24 בנובמבר 1996.</w:t>
      </w:r>
    </w:p>
  </w:footnote>
  <w:footnote w:id="2766">
    <w:p w14:paraId="02145C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שם, עמ׳ 249.</w:t>
      </w:r>
    </w:p>
  </w:footnote>
  <w:footnote w:id="2767">
    <w:p w14:paraId="6232A1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2768">
    <w:p w14:paraId="4B76CF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311.</w:t>
      </w:r>
    </w:p>
  </w:footnote>
  <w:footnote w:id="2769">
    <w:p w14:paraId="28036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בנובמבר 1994.</w:t>
      </w:r>
    </w:p>
  </w:footnote>
  <w:footnote w:id="2770">
    <w:p w14:paraId="267A14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גרוסנס</w:t>
      </w:r>
      <w:proofErr w:type="spellEnd"/>
      <w:r>
        <w:rPr>
          <w:sz w:val="20"/>
          <w:szCs w:val="20"/>
          <w:rtl/>
        </w:rPr>
        <w:t xml:space="preserve">, שעבר לישיבת </w:t>
      </w:r>
      <w:proofErr w:type="spellStart"/>
      <w:r>
        <w:rPr>
          <w:sz w:val="20"/>
          <w:szCs w:val="20"/>
          <w:rtl/>
        </w:rPr>
        <w:t>קמניץ</w:t>
      </w:r>
      <w:proofErr w:type="spellEnd"/>
      <w:r>
        <w:rPr>
          <w:sz w:val="20"/>
          <w:szCs w:val="20"/>
          <w:rtl/>
        </w:rPr>
        <w:t xml:space="preserve"> בגיל </w:t>
      </w:r>
      <w:proofErr w:type="spellStart"/>
      <w:r>
        <w:rPr>
          <w:sz w:val="20"/>
          <w:szCs w:val="20"/>
          <w:rtl/>
        </w:rPr>
        <w:t>שמונה־עשרה</w:t>
      </w:r>
      <w:proofErr w:type="spellEnd"/>
      <w:r>
        <w:rPr>
          <w:sz w:val="20"/>
          <w:szCs w:val="20"/>
          <w:rtl/>
        </w:rPr>
        <w:t xml:space="preserve">, אהב לדלות סיפורים מגדולי התורה. השווה מאמר מאת הרב א. חפץ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תולדות תשנ״ז, המספר (בשם </w:t>
      </w:r>
      <w:proofErr w:type="spellStart"/>
      <w:r>
        <w:rPr>
          <w:sz w:val="20"/>
          <w:szCs w:val="20"/>
          <w:rtl/>
        </w:rPr>
        <w:t>הגר״ש</w:t>
      </w:r>
      <w:proofErr w:type="spellEnd"/>
      <w:r>
        <w:rPr>
          <w:sz w:val="20"/>
          <w:szCs w:val="20"/>
          <w:rtl/>
        </w:rPr>
        <w:t xml:space="preserve"> </w:t>
      </w:r>
      <w:proofErr w:type="spellStart"/>
      <w:r>
        <w:rPr>
          <w:sz w:val="20"/>
          <w:szCs w:val="20"/>
          <w:rtl/>
        </w:rPr>
        <w:t>שבדרון</w:t>
      </w:r>
      <w:proofErr w:type="spellEnd"/>
      <w:r>
        <w:rPr>
          <w:sz w:val="20"/>
          <w:szCs w:val="20"/>
          <w:rtl/>
        </w:rPr>
        <w:t xml:space="preserve">) סיפור שסיפר ר׳ לייב: כיצד התחבא מתחת למיטה בביתו של 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כדי לשמוע שיחה בין ראש ישיבתו ובין תלמיד מובהק של </w:t>
      </w:r>
      <w:proofErr w:type="spellStart"/>
      <w:r>
        <w:rPr>
          <w:sz w:val="20"/>
          <w:szCs w:val="20"/>
          <w:rtl/>
        </w:rPr>
        <w:t>החפץ־חיים</w:t>
      </w:r>
      <w:proofErr w:type="spellEnd"/>
      <w:r>
        <w:rPr>
          <w:sz w:val="20"/>
          <w:szCs w:val="20"/>
          <w:rtl/>
        </w:rPr>
        <w:t xml:space="preserve">. תעוזתו השתלמה, ושמע שני סיפורים מדהימים, שנרשמו שם. ר׳ יעקב כרמל סיפר (19 באוקטובר 2000) שר׳ לייב אמר לו שלמעשה שמע באותה שעה שלושים סיפורים, ורשם אותם במחברת, שהשאיל לאדם שלא החזיר אותה מעולם. הוא זכר רק את שני הסיפורים שנרשמו </w:t>
      </w:r>
      <w:proofErr w:type="spellStart"/>
      <w:r>
        <w:rPr>
          <w:sz w:val="20"/>
          <w:szCs w:val="20"/>
          <w:rtl/>
        </w:rPr>
        <w:t>ב“יתד</w:t>
      </w:r>
      <w:proofErr w:type="spellEnd"/>
      <w:r>
        <w:rPr>
          <w:sz w:val="20"/>
          <w:szCs w:val="20"/>
          <w:rtl/>
        </w:rPr>
        <w:t xml:space="preserve"> נאמן”.</w:t>
      </w:r>
    </w:p>
  </w:footnote>
  <w:footnote w:id="2771">
    <w:p w14:paraId="34729C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שמות ז, </w:t>
      </w:r>
      <w:proofErr w:type="spellStart"/>
      <w:r>
        <w:rPr>
          <w:sz w:val="20"/>
          <w:szCs w:val="20"/>
          <w:rtl/>
        </w:rPr>
        <w:t>כב</w:t>
      </w:r>
      <w:proofErr w:type="spellEnd"/>
      <w:r>
        <w:rPr>
          <w:sz w:val="20"/>
          <w:szCs w:val="20"/>
          <w:rtl/>
        </w:rPr>
        <w:t>.</w:t>
      </w:r>
    </w:p>
  </w:footnote>
  <w:footnote w:id="2772">
    <w:p w14:paraId="2BF212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סוף הערת שוליים </w:t>
      </w:r>
      <w:r>
        <w:rPr>
          <w:sz w:val="20"/>
          <w:szCs w:val="20"/>
          <w:rtl/>
        </w:rPr>
        <w:fldChar w:fldCharType="begin" w:dirty="true"/>
      </w:r>
      <w:r>
        <w:rPr>
          <w:sz w:val="20"/>
          <w:szCs w:val="20"/>
          <w:rtl/>
        </w:rPr>
        <w:instrText xml:space="preserve"> NOTEREF pr_f_192 \h </w:instrText>
      </w:r>
      <w:r>
        <w:rPr>
          <w:sz w:val="20"/>
          <w:szCs w:val="20"/>
          <w:rtl/>
        </w:rPr>
      </w:r>
      <w:r>
        <w:rPr>
          <w:sz w:val="20"/>
          <w:szCs w:val="20"/>
          <w:rtl/>
        </w:rPr>
        <w:fldChar w:fldCharType="separate"/>
      </w:r>
      <w:r w:rsidR="007923E9">
        <w:rPr>
          <w:sz w:val="20"/>
          <w:szCs w:val="20"/>
          <w:rtl/>
        </w:rPr>
        <w:t>136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על אתר.</w:t>
      </w:r>
    </w:p>
  </w:footnote>
  <w:footnote w:id="2773">
    <w:p w14:paraId="00C587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2774">
    <w:p w14:paraId="34E70F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את זה לעומת זה עשה </w:t>
      </w:r>
      <w:proofErr w:type="spellStart"/>
      <w:r>
        <w:rPr>
          <w:sz w:val="20"/>
          <w:szCs w:val="20"/>
          <w:rtl/>
        </w:rPr>
        <w:t>הא־להים</w:t>
      </w:r>
      <w:proofErr w:type="spellEnd"/>
      <w:r>
        <w:rPr>
          <w:sz w:val="20"/>
          <w:szCs w:val="20"/>
          <w:rtl/>
        </w:rPr>
        <w:t xml:space="preserve"> (קהלת ז:יד).</w:t>
      </w:r>
    </w:p>
  </w:footnote>
  <w:footnote w:id="2775">
    <w:p w14:paraId="1F4B2A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15 לעיל – עמ׳ 235.</w:t>
      </w:r>
    </w:p>
  </w:footnote>
  <w:footnote w:id="2776">
    <w:p w14:paraId="219CC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 בדיוק מה שמסר בן משפחתו של ר׳ מנדל זקס בשם </w:t>
      </w:r>
      <w:proofErr w:type="spellStart"/>
      <w:r>
        <w:rPr>
          <w:sz w:val="20"/>
          <w:szCs w:val="20"/>
          <w:rtl/>
        </w:rPr>
        <w:t>החפץ־חיים</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pr_f_2638 \h </w:instrText>
      </w:r>
      <w:r>
        <w:rPr>
          <w:sz w:val="20"/>
          <w:szCs w:val="20"/>
          <w:rtl/>
        </w:rPr>
      </w:r>
      <w:r>
        <w:rPr>
          <w:sz w:val="20"/>
          <w:szCs w:val="20"/>
          <w:rtl/>
        </w:rPr>
        <w:fldChar w:fldCharType="separate"/>
      </w:r>
      <w:r w:rsidR="007923E9">
        <w:rPr>
          <w:sz w:val="20"/>
          <w:szCs w:val="20"/>
          <w:rtl/>
        </w:rPr>
        <w:t>1685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pr_f_2638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7">
    <w:p w14:paraId="16B3D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עפ״י דברים </w:t>
      </w:r>
      <w:proofErr w:type="spellStart"/>
      <w:r>
        <w:rPr>
          <w:sz w:val="20"/>
          <w:szCs w:val="20"/>
          <w:rtl/>
        </w:rPr>
        <w:t>לא:יז,יח</w:t>
      </w:r>
      <w:proofErr w:type="spellEnd"/>
      <w:r>
        <w:rPr>
          <w:sz w:val="20"/>
          <w:szCs w:val="20"/>
          <w:rtl/>
        </w:rPr>
        <w:t>.</w:t>
      </w:r>
    </w:p>
  </w:footnote>
  <w:footnote w:id="2778">
    <w:p w14:paraId="0D6203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(נספח ח לעיל), עמ׳ קמה, מתייחס כנראה לאותה אמירה של ר׳ יצחק־זאב – בתוספת מעניינת – כשהוא מצטט את ר׳ </w:t>
      </w:r>
      <w:proofErr w:type="spellStart"/>
      <w:r>
        <w:rPr>
          <w:sz w:val="20"/>
          <w:szCs w:val="20"/>
          <w:rtl/>
        </w:rPr>
        <w:t>אלעזר־מנחם־מן</w:t>
      </w:r>
      <w:proofErr w:type="spellEnd"/>
      <w:r>
        <w:rPr>
          <w:sz w:val="20"/>
          <w:szCs w:val="20"/>
          <w:rtl/>
        </w:rPr>
        <w:t xml:space="preserve"> שך: “יש לנו מסורת מר׳ חיים </w:t>
      </w:r>
      <w:proofErr w:type="spellStart"/>
      <w:r>
        <w:rPr>
          <w:sz w:val="20"/>
          <w:szCs w:val="20"/>
          <w:rtl/>
        </w:rPr>
        <w:t>מוולוז׳ין</w:t>
      </w:r>
      <w:proofErr w:type="spellEnd"/>
      <w:r>
        <w:rPr>
          <w:sz w:val="20"/>
          <w:szCs w:val="20"/>
          <w:rtl/>
        </w:rPr>
        <w:t xml:space="preserve"> שיבואו ימים שבהם עוד ‘יתגעגעו’ אנשים לראות דיבוק, מפני שגם דיבוק הוא סוג מסוים של ‘גילוי’, והסתר הפנים יהיה כה קשה עד שלא יהיו ראויים אפילו לראות דיבוק”. מעניין שאבי ראה בדיבוקים “טומאה”, ואילו אחרים ראו בהם גילוי של “פני ה׳”. (אפשר לראות בהם טומאה על פי דברי הרמב״ם </w:t>
      </w:r>
      <w:proofErr w:type="spellStart"/>
      <w:r>
        <w:rPr>
          <w:sz w:val="20"/>
          <w:szCs w:val="20"/>
          <w:rtl/>
        </w:rPr>
        <w:t>ב“פירוש</w:t>
      </w:r>
      <w:proofErr w:type="spellEnd"/>
      <w:r>
        <w:rPr>
          <w:sz w:val="20"/>
          <w:szCs w:val="20"/>
          <w:rtl/>
        </w:rPr>
        <w:t xml:space="preserve"> המשניות”, המובאים בהערת שוליים </w:t>
      </w:r>
      <w:r>
        <w:rPr>
          <w:sz w:val="20"/>
          <w:szCs w:val="20"/>
          <w:rtl/>
        </w:rPr>
        <w:fldChar w:fldCharType="begin" w:dirty="true"/>
      </w:r>
      <w:r>
        <w:rPr>
          <w:sz w:val="20"/>
          <w:szCs w:val="20"/>
          <w:rtl/>
        </w:rPr>
        <w:instrText xml:space="preserve"> NOTEREF pr_f_2676 \h </w:instrText>
      </w:r>
      <w:r>
        <w:rPr>
          <w:sz w:val="20"/>
          <w:szCs w:val="20"/>
          <w:rtl/>
        </w:rPr>
      </w:r>
      <w:r>
        <w:rPr>
          <w:sz w:val="20"/>
          <w:szCs w:val="20"/>
          <w:rtl/>
        </w:rPr>
        <w:fldChar w:fldCharType="separate"/>
      </w:r>
      <w:r w:rsidR="007923E9">
        <w:rPr>
          <w:sz w:val="20"/>
          <w:szCs w:val="20"/>
          <w:rtl/>
        </w:rPr>
        <w:t>1723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779">
    <w:p w14:paraId="042FD0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אדר א תשנ״ה.</w:t>
      </w:r>
    </w:p>
  </w:footnote>
  <w:footnote w:id="2780">
    <w:p w14:paraId="3966E8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אעתיק יותר מן הדרוש לענייננו, כדי להראות אגב כך כיצד </w:t>
      </w:r>
      <w:proofErr w:type="spellStart"/>
      <w:r>
        <w:rPr>
          <w:sz w:val="20"/>
          <w:szCs w:val="20"/>
          <w:rtl/>
        </w:rPr>
        <w:t>אי־דיוקים</w:t>
      </w:r>
      <w:proofErr w:type="spellEnd"/>
      <w:r>
        <w:rPr>
          <w:sz w:val="20"/>
          <w:szCs w:val="20"/>
          <w:rtl/>
        </w:rPr>
        <w:t xml:space="preserve"> עלולים להשתרבב לכתיבה מגמתית.</w:t>
      </w:r>
    </w:p>
  </w:footnote>
  <w:footnote w:id="2781">
    <w:p w14:paraId="3BEF0A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פסחים ק״י ע״ב.</w:t>
      </w:r>
    </w:p>
  </w:footnote>
  <w:footnote w:id="2782">
    <w:p w14:paraId="5C684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הרבי </w:t>
      </w:r>
      <w:proofErr w:type="spellStart"/>
      <w:r>
        <w:rPr>
          <w:sz w:val="20"/>
          <w:szCs w:val="20"/>
          <w:rtl/>
        </w:rPr>
        <w:t>מאמשינוב</w:t>
      </w:r>
      <w:proofErr w:type="spellEnd"/>
      <w:r>
        <w:rPr>
          <w:sz w:val="20"/>
          <w:szCs w:val="20"/>
          <w:rtl/>
        </w:rPr>
        <w:t xml:space="preserve"> עודד את ההורים לעזוב את פולין, ואילו הרבי מגור התנגד.</w:t>
      </w:r>
    </w:p>
  </w:footnote>
  <w:footnote w:id="2783">
    <w:p w14:paraId="26B1B4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בינואר 1997.</w:t>
      </w:r>
    </w:p>
  </w:footnote>
  <w:footnote w:id="2784">
    <w:p w14:paraId="0A5C3C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ברכות ל״ב ע״ב, חסידים הראשונים היו שוהים שעה אחת אחר התפלה [לפני שיצאו לעסקיהם], וראה פרק 4, הערה 162, על הדרך שבה הכין הסבא </w:t>
      </w:r>
      <w:proofErr w:type="spellStart"/>
      <w:r>
        <w:rPr>
          <w:sz w:val="20"/>
          <w:szCs w:val="20"/>
          <w:rtl/>
        </w:rPr>
        <w:t>מסלבודקה</w:t>
      </w:r>
      <w:proofErr w:type="spellEnd"/>
      <w:r>
        <w:rPr>
          <w:sz w:val="20"/>
          <w:szCs w:val="20"/>
          <w:rtl/>
        </w:rPr>
        <w:t xml:space="preserve"> את התלמידים היוצאים מישיבת </w:t>
      </w:r>
      <w:proofErr w:type="spellStart"/>
      <w:r>
        <w:rPr>
          <w:sz w:val="20"/>
          <w:szCs w:val="20"/>
          <w:rtl/>
        </w:rPr>
        <w:t>סלבודקה</w:t>
      </w:r>
      <w:proofErr w:type="spellEnd"/>
      <w:r>
        <w:rPr>
          <w:sz w:val="20"/>
          <w:szCs w:val="20"/>
          <w:rtl/>
        </w:rPr>
        <w:t xml:space="preserve"> לביקורים בביתם.</w:t>
      </w:r>
    </w:p>
  </w:footnote>
  <w:footnote w:id="2785">
    <w:p w14:paraId="0F828C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ח״ג</w:t>
      </w:r>
      <w:proofErr w:type="spellEnd"/>
      <w:r>
        <w:rPr>
          <w:sz w:val="20"/>
          <w:szCs w:val="20"/>
          <w:rtl/>
        </w:rPr>
        <w:t>, פרק כ״ט.</w:t>
      </w:r>
    </w:p>
  </w:footnote>
  <w:footnote w:id="2786">
    <w:p w14:paraId="1E5D6F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פירוש המשניות </w:t>
      </w:r>
      <w:proofErr w:type="spellStart"/>
      <w:r>
        <w:rPr>
          <w:sz w:val="20"/>
          <w:szCs w:val="20"/>
          <w:rtl/>
        </w:rPr>
        <w:t>להרמב״ם</w:t>
      </w:r>
      <w:proofErr w:type="spellEnd"/>
      <w:r>
        <w:rPr>
          <w:sz w:val="20"/>
          <w:szCs w:val="20"/>
          <w:rtl/>
        </w:rPr>
        <w:t xml:space="preserve">, חגיגה ריש פ״ב, שהפעולה התקינה של השכל נקראת “כבוד קונו”; והשווה ספר החינוך מצ׳ </w:t>
      </w:r>
      <w:proofErr w:type="spellStart"/>
      <w:r>
        <w:rPr>
          <w:sz w:val="20"/>
          <w:szCs w:val="20"/>
          <w:rtl/>
        </w:rPr>
        <w:t>ר״ן</w:t>
      </w:r>
      <w:proofErr w:type="spellEnd"/>
      <w:r>
        <w:rPr>
          <w:sz w:val="20"/>
          <w:szCs w:val="20"/>
          <w:rtl/>
        </w:rPr>
        <w:t>, שקבלת דבר בלתי הגיוני כאפשרי – שלא בדרך של התערבות אלוקית מסוימת שנאמרה בנבואה – מביאה לכפירה במציאות הבורא.</w:t>
      </w:r>
    </w:p>
  </w:footnote>
  <w:footnote w:id="2787">
    <w:p w14:paraId="01998F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מביא דוגמה זו מפני שכבר הייתי באמצע שנות העשרים לחיי כששמעתי דבר כזה לראשונה, ליד שולחן הסדר שלא בבית הוריי.</w:t>
      </w:r>
    </w:p>
    <w:p w14:paraId="7B272617" w14:textId="77777777" w:rsidR="00AB3647" w:rsidRDefault="00000000">
      <w:pPr>
        <w:spacing w:after="0" w:before="0"/>
        <w:jc w:val="both"/>
      </w:pPr>
      <w:r>
        <w:rPr>
          <w:sz w:val="20"/>
          <w:szCs w:val="20"/>
          <w:rtl/>
        </w:rPr>
        <w:t xml:space="preserve">השקפת אבא זצ״ל על דברים שמחוץ לדרך הטבע באה לידי ביטוי בדרך שהסביר מה שחז״ל רואים קריעת ים סוף כדבר “קשה” להקב״ה, כביכול, והוא מפני שכללי הטבע הינם חכמה ותבונה, </w:t>
      </w:r>
      <w:proofErr w:type="spellStart"/>
      <w:r>
        <w:rPr>
          <w:sz w:val="20"/>
          <w:szCs w:val="20"/>
          <w:rtl/>
        </w:rPr>
        <w:t>כמש״כ</w:t>
      </w:r>
      <w:proofErr w:type="spellEnd"/>
      <w:r>
        <w:rPr>
          <w:sz w:val="20"/>
          <w:szCs w:val="20"/>
          <w:rtl/>
        </w:rPr>
        <w:t xml:space="preserve"> “ה׳ בחכמה יסד ארץ כונן שמים בתבונה (משלי ג:יט)”, וכל תופעה שהיא כנגד הטבע היא </w:t>
      </w:r>
      <w:proofErr w:type="spellStart"/>
      <w:r>
        <w:rPr>
          <w:sz w:val="20"/>
          <w:szCs w:val="20"/>
          <w:rtl/>
        </w:rPr>
        <w:t>טפשות</w:t>
      </w:r>
      <w:proofErr w:type="spellEnd"/>
      <w:r>
        <w:rPr>
          <w:sz w:val="20"/>
          <w:szCs w:val="20"/>
          <w:rtl/>
        </w:rPr>
        <w:t xml:space="preserve">, דהיינו הפך החכמה, ואת הקושי שבמעשה נסים הדגים ע״י משל מההווי של ימי נעוריו, והוא שאם מבקשים מאדם לבקע עגלה של עצים בחצרו הוא </w:t>
      </w:r>
      <w:proofErr w:type="spellStart"/>
      <w:r>
        <w:rPr>
          <w:sz w:val="20"/>
          <w:szCs w:val="20"/>
          <w:rtl/>
        </w:rPr>
        <w:t>יקח</w:t>
      </w:r>
      <w:proofErr w:type="spellEnd"/>
      <w:r>
        <w:rPr>
          <w:sz w:val="20"/>
          <w:szCs w:val="20"/>
          <w:rtl/>
        </w:rPr>
        <w:t xml:space="preserve"> בשביל המלאכה רובל אחד אבל אם יבקשו ממנו שיעשה את הביקוע באמצע הרחוב הוא ידרוש לכך חמשה רובלים מפני שכל עובר אורח יסתכל עליו כעל מטורף מדעתו, וקשה לו להיראות שכזה.</w:t>
      </w:r>
    </w:p>
  </w:footnote>
  <w:footnote w:id="2788">
    <w:p w14:paraId="27ED39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ה לעיל.</w:t>
      </w:r>
    </w:p>
  </w:footnote>
  <w:footnote w:id="2789">
    <w:p w14:paraId="52B318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יעקב כרמל הציע טעם אחר לכך שסיכויי תפילותיו להיענות יהיו פחותים, על פי דברי האמוראים כל המאריך בתפלתו ומעיין בה סוף בא לידי כאב לב (ברכות ל״ב ע״ב, ורש״י ותוספות שם).</w:t>
      </w:r>
    </w:p>
  </w:footnote>
  <w:footnote w:id="2790">
    <w:p w14:paraId="3BB2FF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272–273.</w:t>
      </w:r>
    </w:p>
  </w:footnote>
  <w:footnote w:id="2791">
    <w:p w14:paraId="5CEEFF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תקפ״ג ס״ב.</w:t>
      </w:r>
    </w:p>
  </w:footnote>
  <w:footnote w:id="2792">
    <w:p w14:paraId="57BFFA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ב לעיל – עמ׳ </w:t>
      </w:r>
      <w:proofErr w:type="spellStart"/>
      <w:r>
        <w:rPr>
          <w:sz w:val="20"/>
          <w:szCs w:val="20"/>
          <w:rtl/>
        </w:rPr>
        <w:t>רסט</w:t>
      </w:r>
      <w:proofErr w:type="spellEnd"/>
      <w:r>
        <w:rPr>
          <w:sz w:val="20"/>
          <w:szCs w:val="20"/>
          <w:rtl/>
        </w:rPr>
        <w:t>.</w:t>
      </w:r>
    </w:p>
  </w:footnote>
  <w:footnote w:id="2793">
    <w:p w14:paraId="7B0C00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שם, עמ׳ </w:t>
      </w:r>
      <w:proofErr w:type="spellStart"/>
      <w:r>
        <w:rPr>
          <w:sz w:val="20"/>
          <w:szCs w:val="20"/>
          <w:rtl/>
        </w:rPr>
        <w:t>קעד</w:t>
      </w:r>
      <w:proofErr w:type="spellEnd"/>
      <w:r>
        <w:rPr>
          <w:sz w:val="20"/>
          <w:szCs w:val="20"/>
          <w:rtl/>
        </w:rPr>
        <w:t>.</w:t>
      </w:r>
    </w:p>
  </w:footnote>
  <w:footnote w:id="2794">
    <w:p w14:paraId="168CF9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הערה 158, על טעמו של ר׳ נפתלי אמסטרדם שלא לנהוג לפי פסקו המקל של </w:t>
      </w:r>
      <w:proofErr w:type="spellStart"/>
      <w:r>
        <w:rPr>
          <w:sz w:val="20"/>
          <w:szCs w:val="20"/>
          <w:rtl/>
        </w:rPr>
        <w:t>הרמ״א</w:t>
      </w:r>
      <w:proofErr w:type="spellEnd"/>
      <w:r>
        <w:rPr>
          <w:sz w:val="20"/>
          <w:szCs w:val="20"/>
          <w:rtl/>
        </w:rPr>
        <w:t>.</w:t>
      </w:r>
    </w:p>
  </w:footnote>
  <w:footnote w:id="2795">
    <w:p w14:paraId="39436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נדפס </w:t>
      </w:r>
      <w:proofErr w:type="spellStart"/>
      <w:r>
        <w:rPr>
          <w:sz w:val="20"/>
          <w:szCs w:val="20"/>
          <w:rtl/>
        </w:rPr>
        <w:t>בלמברג</w:t>
      </w:r>
      <w:proofErr w:type="spellEnd"/>
      <w:r>
        <w:rPr>
          <w:sz w:val="20"/>
          <w:szCs w:val="20"/>
          <w:rtl/>
        </w:rPr>
        <w:t xml:space="preserve"> </w:t>
      </w:r>
      <w:proofErr w:type="spellStart"/>
      <w:r>
        <w:rPr>
          <w:sz w:val="20"/>
          <w:szCs w:val="20"/>
          <w:rtl/>
        </w:rPr>
        <w:t>בתקמ״ח</w:t>
      </w:r>
      <w:proofErr w:type="spellEnd"/>
      <w:r>
        <w:rPr>
          <w:sz w:val="20"/>
          <w:szCs w:val="20"/>
          <w:rtl/>
        </w:rPr>
        <w:t xml:space="preserve">. המחבר הבלתי נלאה 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w:t>
      </w:r>
      <w:proofErr w:type="spellStart"/>
      <w:r>
        <w:rPr>
          <w:sz w:val="20"/>
          <w:szCs w:val="20"/>
          <w:rtl/>
        </w:rPr>
        <w:t>מפלוצק</w:t>
      </w:r>
      <w:proofErr w:type="spellEnd"/>
      <w:r>
        <w:rPr>
          <w:sz w:val="20"/>
          <w:szCs w:val="20"/>
          <w:rtl/>
        </w:rPr>
        <w:t xml:space="preserve">, שנולד תשע שנים אחרי ר׳ אלימלך (ונפטר </w:t>
      </w:r>
      <w:proofErr w:type="spellStart"/>
      <w:r>
        <w:rPr>
          <w:sz w:val="20"/>
          <w:szCs w:val="20"/>
          <w:rtl/>
        </w:rPr>
        <w:t>בתקצ״ג</w:t>
      </w:r>
      <w:proofErr w:type="spellEnd"/>
      <w:r>
        <w:rPr>
          <w:sz w:val="20"/>
          <w:szCs w:val="20"/>
          <w:rtl/>
        </w:rPr>
        <w:t>), עודד את הפצת תורתו בהבטחה שיליץ טוב למעלה בעד כל מי שידפיס אחד מספריו הרבים, ואף הורה לחקוק את התחייבותו על מצבתו. אבל ודאי שהאמונה בעניין “נועם אלימלך” לא נולדה אצל מחברו, שהרי הספר לא נדפס אלא כשנה אחרי פטירתו.</w:t>
      </w:r>
    </w:p>
    <w:p w14:paraId="69A3F5A7" w14:textId="77777777" w:rsidR="00AB3647" w:rsidRDefault="00000000">
      <w:pPr>
        <w:spacing w:after="0" w:before="0"/>
        <w:jc w:val="both"/>
      </w:pPr>
      <w:r>
        <w:rPr>
          <w:sz w:val="20"/>
          <w:szCs w:val="20"/>
          <w:rtl/>
        </w:rPr>
        <w:t xml:space="preserve">ראה גם “מקור ברוך”, עמ׳ </w:t>
      </w:r>
      <w:proofErr w:type="spellStart"/>
      <w:r>
        <w:rPr>
          <w:sz w:val="20"/>
          <w:szCs w:val="20"/>
          <w:rtl/>
        </w:rPr>
        <w:t>תרט</w:t>
      </w:r>
      <w:proofErr w:type="spellEnd"/>
      <w:r>
        <w:rPr>
          <w:sz w:val="20"/>
          <w:szCs w:val="20"/>
          <w:rtl/>
        </w:rPr>
        <w:t xml:space="preserve">, שר׳ </w:t>
      </w:r>
      <w:proofErr w:type="spellStart"/>
      <w:r>
        <w:rPr>
          <w:sz w:val="20"/>
          <w:szCs w:val="20"/>
          <w:rtl/>
        </w:rPr>
        <w:t>אריה־לייב</w:t>
      </w:r>
      <w:proofErr w:type="spellEnd"/>
      <w:r>
        <w:rPr>
          <w:sz w:val="20"/>
          <w:szCs w:val="20"/>
          <w:rtl/>
        </w:rPr>
        <w:t xml:space="preserve">, </w:t>
      </w:r>
      <w:proofErr w:type="spellStart"/>
      <w:r>
        <w:rPr>
          <w:sz w:val="20"/>
          <w:szCs w:val="20"/>
          <w:rtl/>
        </w:rPr>
        <w:t>ה“זיידע</w:t>
      </w:r>
      <w:proofErr w:type="spellEnd"/>
      <w:r>
        <w:rPr>
          <w:sz w:val="20"/>
          <w:szCs w:val="20"/>
          <w:rtl/>
        </w:rPr>
        <w:t xml:space="preserve">” משפולה, בן דורו של ר׳ אלימלך </w:t>
      </w:r>
      <w:proofErr w:type="spellStart"/>
      <w:r>
        <w:rPr>
          <w:sz w:val="20"/>
          <w:szCs w:val="20"/>
          <w:rtl/>
        </w:rPr>
        <w:t>מליז׳נסק</w:t>
      </w:r>
      <w:proofErr w:type="spellEnd"/>
      <w:r>
        <w:rPr>
          <w:sz w:val="20"/>
          <w:szCs w:val="20"/>
          <w:rtl/>
        </w:rPr>
        <w:t xml:space="preserve">, היה מניח את הספר “תולדות יעקב יוסף” מתחת לראשו של כל חולה כדי להביא לרפואתו. ספר זה חיבר רבו של </w:t>
      </w:r>
      <w:proofErr w:type="spellStart"/>
      <w:r>
        <w:rPr>
          <w:sz w:val="20"/>
          <w:szCs w:val="20"/>
          <w:rtl/>
        </w:rPr>
        <w:t>הזיידע</w:t>
      </w:r>
      <w:proofErr w:type="spellEnd"/>
      <w:r>
        <w:rPr>
          <w:sz w:val="20"/>
          <w:szCs w:val="20"/>
          <w:rtl/>
        </w:rPr>
        <w:t xml:space="preserve"> משפולה, ר׳ </w:t>
      </w:r>
      <w:proofErr w:type="spellStart"/>
      <w:r>
        <w:rPr>
          <w:sz w:val="20"/>
          <w:szCs w:val="20"/>
          <w:rtl/>
        </w:rPr>
        <w:t>יעקב־יוסף</w:t>
      </w:r>
      <w:proofErr w:type="spellEnd"/>
      <w:r>
        <w:rPr>
          <w:sz w:val="20"/>
          <w:szCs w:val="20"/>
          <w:rtl/>
        </w:rPr>
        <w:t xml:space="preserve"> </w:t>
      </w:r>
      <w:proofErr w:type="spellStart"/>
      <w:r>
        <w:rPr>
          <w:sz w:val="20"/>
          <w:szCs w:val="20"/>
          <w:rtl/>
        </w:rPr>
        <w:t>מפולנאה</w:t>
      </w:r>
      <w:proofErr w:type="spellEnd"/>
      <w:r>
        <w:rPr>
          <w:sz w:val="20"/>
          <w:szCs w:val="20"/>
          <w:rtl/>
        </w:rPr>
        <w:t xml:space="preserve">, תלמיד </w:t>
      </w:r>
      <w:proofErr w:type="spellStart"/>
      <w:r>
        <w:rPr>
          <w:sz w:val="20"/>
          <w:szCs w:val="20"/>
          <w:rtl/>
        </w:rPr>
        <w:t>הבעש״ט</w:t>
      </w:r>
      <w:proofErr w:type="spellEnd"/>
      <w:r>
        <w:rPr>
          <w:sz w:val="20"/>
          <w:szCs w:val="20"/>
          <w:rtl/>
        </w:rPr>
        <w:t xml:space="preserve">. </w:t>
      </w:r>
      <w:proofErr w:type="spellStart"/>
      <w:r>
        <w:rPr>
          <w:sz w:val="20"/>
          <w:szCs w:val="20"/>
          <w:rtl/>
        </w:rPr>
        <w:t>בשו״ת</w:t>
      </w:r>
      <w:proofErr w:type="spellEnd"/>
      <w:r>
        <w:rPr>
          <w:sz w:val="20"/>
          <w:szCs w:val="20"/>
          <w:rtl/>
        </w:rPr>
        <w:t xml:space="preserve"> שבט הלוי (מאת שמואל הלוי </w:t>
      </w:r>
      <w:proofErr w:type="spellStart"/>
      <w:r>
        <w:rPr>
          <w:sz w:val="20"/>
          <w:szCs w:val="20"/>
          <w:rtl/>
        </w:rPr>
        <w:t>ואזנר</w:t>
      </w:r>
      <w:proofErr w:type="spellEnd"/>
      <w:r>
        <w:rPr>
          <w:sz w:val="20"/>
          <w:szCs w:val="20"/>
          <w:rtl/>
        </w:rPr>
        <w:t xml:space="preserve">) [בני ברק, תשמ״ו], ח״ו, סי׳ </w:t>
      </w:r>
      <w:proofErr w:type="spellStart"/>
      <w:r>
        <w:rPr>
          <w:sz w:val="20"/>
          <w:szCs w:val="20"/>
          <w:rtl/>
        </w:rPr>
        <w:t>קסב</w:t>
      </w:r>
      <w:proofErr w:type="spellEnd"/>
      <w:r>
        <w:rPr>
          <w:sz w:val="20"/>
          <w:szCs w:val="20"/>
          <w:rtl/>
        </w:rPr>
        <w:t xml:space="preserve">, מוזכר שיש קבלה מאת הרב יוסף נפתלי </w:t>
      </w:r>
      <w:proofErr w:type="spellStart"/>
      <w:r>
        <w:rPr>
          <w:sz w:val="20"/>
          <w:szCs w:val="20"/>
          <w:rtl/>
        </w:rPr>
        <w:t>שטערן</w:t>
      </w:r>
      <w:proofErr w:type="spellEnd"/>
      <w:r>
        <w:rPr>
          <w:sz w:val="20"/>
          <w:szCs w:val="20"/>
          <w:rtl/>
        </w:rPr>
        <w:t xml:space="preserve"> להשתמש בסגולה כזאת בדפים של חידושי חתם סופר.</w:t>
      </w:r>
    </w:p>
  </w:footnote>
  <w:footnote w:id="2796">
    <w:p w14:paraId="5214059F"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ר׳ אלימלך </w:t>
      </w:r>
      <w:proofErr w:type="spellStart"/>
      <w:r>
        <w:rPr>
          <w:sz w:val="20"/>
          <w:szCs w:val="20"/>
          <w:rtl/>
        </w:rPr>
        <w:t>מליז׳נסק</w:t>
      </w:r>
      <w:proofErr w:type="spellEnd"/>
      <w:r>
        <w:rPr>
          <w:sz w:val="20"/>
          <w:szCs w:val="20"/>
          <w:rtl/>
        </w:rPr>
        <w:t xml:space="preserve"> נולד בשנת תע״ז, ור׳ </w:t>
      </w:r>
      <w:proofErr w:type="spellStart"/>
      <w:r>
        <w:rPr>
          <w:sz w:val="20"/>
          <w:szCs w:val="20"/>
          <w:rtl/>
        </w:rPr>
        <w:t>אריה־לייב</w:t>
      </w:r>
      <w:proofErr w:type="spellEnd"/>
      <w:r>
        <w:rPr>
          <w:sz w:val="20"/>
          <w:szCs w:val="20"/>
          <w:rtl/>
        </w:rPr>
        <w:t xml:space="preserve"> </w:t>
      </w:r>
      <w:proofErr w:type="spellStart"/>
      <w:r>
        <w:rPr>
          <w:sz w:val="20"/>
          <w:szCs w:val="20"/>
          <w:rtl/>
        </w:rPr>
        <w:t>צינץ</w:t>
      </w:r>
      <w:proofErr w:type="spellEnd"/>
      <w:r>
        <w:rPr>
          <w:sz w:val="20"/>
          <w:szCs w:val="20"/>
          <w:rtl/>
        </w:rPr>
        <w:t xml:space="preserve"> נולד יותר מחמישים שנה אחריו.</w:t>
      </w:r>
    </w:p>
  </w:footnote>
  <w:footnote w:id="2797">
    <w:p w14:paraId="65288B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י׳ באב תשל״ו.</w:t>
      </w:r>
    </w:p>
  </w:footnote>
  <w:footnote w:id="2798">
    <w:p w14:paraId="5F7EF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וונדר שלח גם מכתב ובו תמצית גילויו לעורך העיתון “המודיע”, אך על פי עצת תלמיד חכם נודע ערך העיתון את המכתב כך שלא יטיל דופי </w:t>
      </w:r>
      <w:proofErr w:type="spellStart"/>
      <w:r>
        <w:rPr>
          <w:sz w:val="20"/>
          <w:szCs w:val="20"/>
          <w:rtl/>
        </w:rPr>
        <w:t>ב“מסורת</w:t>
      </w:r>
      <w:proofErr w:type="spellEnd"/>
      <w:r>
        <w:rPr>
          <w:sz w:val="20"/>
          <w:szCs w:val="20"/>
          <w:rtl/>
        </w:rPr>
        <w:t xml:space="preserve">”. אין זאת שאותו תלמיד חכם התיר לעשות דברים מסוכנים כדי להגיע לעמוקה, אבל הוא לא רצה לפסול לגמרי את רעיון הנסיעה לשם, ואמר: “יהיה כך; אם הם מאמינים בכך, אל נרפה את ידיהם”. נראה לי שהוא חמל על האומללים המוצאים נחמה באמונותיהם הטפלות – ראה את ההערה </w:t>
      </w:r>
      <w:r>
        <w:rPr>
          <w:sz w:val="20"/>
          <w:szCs w:val="20"/>
          <w:rtl/>
        </w:rPr>
        <w:fldChar w:fldCharType="begin" w:dirty="true"/>
      </w:r>
      <w:r>
        <w:rPr>
          <w:sz w:val="20"/>
          <w:szCs w:val="20"/>
          <w:rtl/>
        </w:rPr>
        <w:instrText xml:space="preserve"> NOTEREF pr_f_2654 \h </w:instrText>
      </w:r>
      <w:r>
        <w:rPr>
          <w:sz w:val="20"/>
          <w:szCs w:val="20"/>
          <w:rtl/>
        </w:rPr>
      </w:r>
      <w:r>
        <w:rPr>
          <w:sz w:val="20"/>
          <w:szCs w:val="20"/>
          <w:rtl/>
        </w:rPr>
        <w:fldChar w:fldCharType="separate"/>
      </w:r>
      <w:r w:rsidR="007923E9">
        <w:rPr>
          <w:sz w:val="20"/>
          <w:szCs w:val="20"/>
          <w:rtl/>
        </w:rPr>
        <w:t>1701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pr_f_2654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לפי הסברה, תלמיד חכם זה הוא ר׳ </w:t>
      </w:r>
      <w:proofErr w:type="spellStart"/>
      <w:r>
        <w:rPr>
          <w:sz w:val="20"/>
          <w:szCs w:val="20"/>
          <w:rtl/>
        </w:rPr>
        <w:t>שלמה־זלמן</w:t>
      </w:r>
      <w:proofErr w:type="spellEnd"/>
      <w:r>
        <w:rPr>
          <w:sz w:val="20"/>
          <w:szCs w:val="20"/>
          <w:rtl/>
        </w:rPr>
        <w:t xml:space="preserve"> </w:t>
      </w:r>
      <w:proofErr w:type="spellStart"/>
      <w:r>
        <w:rPr>
          <w:sz w:val="20"/>
          <w:szCs w:val="20"/>
          <w:rtl/>
        </w:rPr>
        <w:t>אוירבך</w:t>
      </w:r>
      <w:proofErr w:type="spellEnd"/>
      <w:r>
        <w:rPr>
          <w:sz w:val="20"/>
          <w:szCs w:val="20"/>
          <w:rtl/>
        </w:rPr>
        <w:t>.</w:t>
      </w:r>
    </w:p>
  </w:footnote>
  <w:footnote w:id="2799">
    <w:p w14:paraId="249334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ב־5 בדצמבר 1990.</w:t>
      </w:r>
    </w:p>
  </w:footnote>
  <w:footnote w:id="2800">
    <w:p w14:paraId="3E6037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60 לעיל.</w:t>
      </w:r>
    </w:p>
  </w:footnote>
  <w:footnote w:id="2801">
    <w:p w14:paraId="0C452B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בהערה 68 לעיל.</w:t>
      </w:r>
    </w:p>
  </w:footnote>
  <w:footnote w:id="2802">
    <w:p w14:paraId="549978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בדצמבר 1986.</w:t>
      </w:r>
    </w:p>
  </w:footnote>
  <w:footnote w:id="2803">
    <w:p w14:paraId="1EAC60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לייזר גולדשמידט תיאר לי ב־12 באוגוסט 1994 כיצד ר׳ </w:t>
      </w:r>
      <w:proofErr w:type="spellStart"/>
      <w:r>
        <w:rPr>
          <w:sz w:val="20"/>
          <w:szCs w:val="20"/>
          <w:rtl/>
        </w:rPr>
        <w:t xml:space="preserve">בער־הירש</w:t>
      </w:r>
      <w:proofErr w:type="spellEnd"/>
      <w:r>
        <w:rPr>
          <w:sz w:val="20"/>
          <w:szCs w:val="20"/>
          <w:rtl/>
        </w:rPr>
        <w:t xml:space="preserve"> מוכיח תלמיד – תיאור שכנראה אינו אלא אגדה: ר׳ </w:t>
      </w:r>
      <w:proofErr w:type="spellStart"/>
      <w:r>
        <w:rPr>
          <w:sz w:val="20"/>
          <w:szCs w:val="20"/>
          <w:rtl/>
        </w:rPr>
        <w:t xml:space="preserve">בער־הירש</w:t>
      </w:r>
      <w:proofErr w:type="spellEnd"/>
      <w:r>
        <w:rPr>
          <w:sz w:val="20"/>
          <w:szCs w:val="20"/>
          <w:rtl/>
        </w:rPr>
        <w:t xml:space="preserve"> ממלמל את ביקורתו באוזני התלמיד בעיניים עצומות, ואם הלה מחליט להסתלק באמצע התוכחה החרישית, ר׳ </w:t>
      </w:r>
      <w:proofErr w:type="spellStart"/>
      <w:r>
        <w:rPr>
          <w:sz w:val="20"/>
          <w:szCs w:val="20"/>
          <w:rtl/>
        </w:rPr>
        <w:t xml:space="preserve">בער־הירש</w:t>
      </w:r>
      <w:proofErr w:type="spellEnd"/>
      <w:r>
        <w:rPr>
          <w:sz w:val="20"/>
          <w:szCs w:val="20"/>
          <w:rtl/>
        </w:rPr>
        <w:t xml:space="preserve"> ממשיך לדבר ואינו מבחין בכך.</w:t>
      </w:r>
    </w:p>
  </w:footnote>
  <w:footnote w:id="2804">
    <w:p w14:paraId="55EBF1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805">
    <w:p w14:paraId="57A59E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כץ, “תנועת המוסר”, כרך ג, עמ׳ 34, הוא אכן קיים ועדים “בשנים הראשונות” של ישיבת </w:t>
      </w:r>
      <w:proofErr w:type="spellStart"/>
      <w:r>
        <w:rPr>
          <w:sz w:val="20"/>
          <w:szCs w:val="20"/>
          <w:rtl/>
        </w:rPr>
        <w:t>סלבודקה</w:t>
      </w:r>
      <w:proofErr w:type="spellEnd"/>
      <w:r>
        <w:rPr>
          <w:sz w:val="20"/>
          <w:szCs w:val="20"/>
          <w:rtl/>
        </w:rPr>
        <w:t xml:space="preserve"> המקורית, כשהיה בשנות השלושים לחייו.</w:t>
      </w:r>
    </w:p>
  </w:footnote>
  <w:footnote w:id="2806">
    <w:p w14:paraId="07B6C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כב</w:t>
      </w:r>
      <w:proofErr w:type="spellEnd"/>
      <w:r>
        <w:rPr>
          <w:sz w:val="20"/>
          <w:szCs w:val="20"/>
          <w:rtl/>
        </w:rPr>
        <w:t xml:space="preserve"> לעיל.</w:t>
      </w:r>
    </w:p>
  </w:footnote>
  <w:footnote w:id="2807">
    <w:p w14:paraId="098E8C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סוף הערה 53.</w:t>
      </w:r>
    </w:p>
  </w:footnote>
  <w:footnote w:id="2808">
    <w:p w14:paraId="3CA02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34.</w:t>
      </w:r>
    </w:p>
  </w:footnote>
  <w:footnote w:id="2809">
    <w:p w14:paraId="6631DD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ירושלים, תשנ״ז – עמ׳ 17.</w:t>
      </w:r>
    </w:p>
  </w:footnote>
  <w:footnote w:id="2810">
    <w:p w14:paraId="2201D1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הערה 68 לעיל.</w:t>
      </w:r>
    </w:p>
  </w:footnote>
  <w:footnote w:id="2811">
    <w:p w14:paraId="3ACDA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103.</w:t>
      </w:r>
    </w:p>
  </w:footnote>
  <w:footnote w:id="2812">
    <w:p w14:paraId="7F8CB1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סביר שפגישתו של ר׳ </w:t>
      </w:r>
      <w:proofErr w:type="spellStart"/>
      <w:r>
        <w:rPr>
          <w:sz w:val="20"/>
          <w:szCs w:val="20"/>
          <w:rtl/>
        </w:rPr>
        <w:t xml:space="preserve">בער־הירש</w:t>
      </w:r>
      <w:proofErr w:type="spellEnd"/>
      <w:r>
        <w:rPr>
          <w:sz w:val="20"/>
          <w:szCs w:val="20"/>
          <w:rtl/>
        </w:rPr>
        <w:t xml:space="preserve"> עם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w:t>
      </w:r>
      <w:proofErr w:type="spellStart"/>
      <w:r>
        <w:rPr>
          <w:sz w:val="20"/>
          <w:szCs w:val="20"/>
          <w:rtl/>
        </w:rPr>
        <w:t>בפינסק־קרלין</w:t>
      </w:r>
      <w:proofErr w:type="spellEnd"/>
      <w:r>
        <w:rPr>
          <w:sz w:val="20"/>
          <w:szCs w:val="20"/>
          <w:rtl/>
        </w:rPr>
        <w:t xml:space="preserve"> – השווה הפסקה השלישית בנספח </w:t>
      </w:r>
      <w:proofErr w:type="spellStart"/>
      <w:r>
        <w:rPr>
          <w:sz w:val="20"/>
          <w:szCs w:val="20"/>
          <w:rtl/>
        </w:rPr>
        <w:t>כו</w:t>
      </w:r>
      <w:proofErr w:type="spellEnd"/>
      <w:r>
        <w:rPr>
          <w:sz w:val="20"/>
          <w:szCs w:val="20"/>
          <w:rtl/>
        </w:rPr>
        <w:t xml:space="preserve"> לעיל – אירעה באחת מנסיעותיו לגיוס כספים.</w:t>
      </w:r>
    </w:p>
  </w:footnote>
  <w:footnote w:id="2813">
    <w:p w14:paraId="538E95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זליג סטאר, תלמיד הישיבה בתקופה שלפני מלחמת העולם הראשונה, סיפר זאת בריאיון ב־27 בינואר 1987.</w:t>
      </w:r>
    </w:p>
  </w:footnote>
  <w:footnote w:id="2814">
    <w:p w14:paraId="2002F7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76 לעיל.</w:t>
      </w:r>
    </w:p>
  </w:footnote>
  <w:footnote w:id="2815">
    <w:p w14:paraId="2CE1AB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פסקה זו.</w:t>
      </w:r>
    </w:p>
  </w:footnote>
  <w:footnote w:id="2816">
    <w:p w14:paraId="686E14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לדברי ר׳ בנימין, אחי, בריאיון ב־19 באוקטובר 1991.</w:t>
      </w:r>
    </w:p>
  </w:footnote>
  <w:footnote w:id="2817">
    <w:p w14:paraId="621C4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ב־3 ביולי 1994 סיפרה רבקה </w:t>
      </w:r>
      <w:proofErr w:type="spellStart"/>
      <w:r>
        <w:rPr>
          <w:sz w:val="20"/>
          <w:szCs w:val="20"/>
          <w:rtl/>
        </w:rPr>
        <w:t>וולבה</w:t>
      </w:r>
      <w:proofErr w:type="spellEnd"/>
      <w:r>
        <w:rPr>
          <w:sz w:val="20"/>
          <w:szCs w:val="20"/>
          <w:rtl/>
        </w:rPr>
        <w:t xml:space="preserve"> לי שהיא זוכרת כיצד אביה, ר׳ אברהם </w:t>
      </w:r>
      <w:proofErr w:type="spellStart"/>
      <w:r>
        <w:rPr>
          <w:sz w:val="20"/>
          <w:szCs w:val="20"/>
          <w:rtl/>
        </w:rPr>
        <w:t>גרודזינסקי</w:t>
      </w:r>
      <w:proofErr w:type="spellEnd"/>
      <w:r>
        <w:rPr>
          <w:sz w:val="20"/>
          <w:szCs w:val="20"/>
          <w:rtl/>
        </w:rPr>
        <w:t xml:space="preserve">, מנהל הישיבה בשנות </w:t>
      </w:r>
      <w:proofErr w:type="spellStart"/>
      <w:r>
        <w:rPr>
          <w:sz w:val="20"/>
          <w:szCs w:val="20"/>
          <w:rtl/>
        </w:rPr>
        <w:t xml:space="preserve">התר״צ</w:t>
      </w:r>
      <w:proofErr w:type="spellEnd"/>
      <w:r>
        <w:rPr>
          <w:sz w:val="20"/>
          <w:szCs w:val="20"/>
          <w:rtl/>
        </w:rPr>
        <w:t xml:space="preserve">, היה משלם מדי פעם סכומים זעומים לבעלי החנויות.</w:t>
      </w:r>
    </w:p>
  </w:footnote>
  <w:footnote w:id="2818">
    <w:p w14:paraId="725B45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שרה </w:t>
      </w:r>
      <w:proofErr w:type="spellStart"/>
      <w:r>
        <w:rPr>
          <w:sz w:val="20"/>
          <w:szCs w:val="20"/>
          <w:rtl/>
        </w:rPr>
        <w:t>קרייזווירט</w:t>
      </w:r>
      <w:proofErr w:type="spellEnd"/>
      <w:r>
        <w:rPr>
          <w:sz w:val="20"/>
          <w:szCs w:val="20"/>
          <w:rtl/>
        </w:rPr>
        <w:t xml:space="preserve">, נכדתו, בריאיון ב־16 בנובמבר 1987. אך ראה בסוף פסקה זו, שמלבד בעלי החנויות היו נושים נוספים שרצו שר׳ </w:t>
      </w:r>
      <w:proofErr w:type="spellStart"/>
      <w:r>
        <w:rPr>
          <w:sz w:val="20"/>
          <w:szCs w:val="20"/>
          <w:rtl/>
        </w:rPr>
        <w:t xml:space="preserve">בער־הירש</w:t>
      </w:r>
      <w:proofErr w:type="spellEnd"/>
      <w:r>
        <w:rPr>
          <w:sz w:val="20"/>
          <w:szCs w:val="20"/>
          <w:rtl/>
        </w:rPr>
        <w:t xml:space="preserve">, הערב שלהם, יישאר </w:t>
      </w:r>
      <w:proofErr w:type="spellStart"/>
      <w:r>
        <w:rPr>
          <w:sz w:val="20"/>
          <w:szCs w:val="20"/>
          <w:rtl/>
        </w:rPr>
        <w:t>בסלבודקה</w:t>
      </w:r>
      <w:proofErr w:type="spellEnd"/>
      <w:r>
        <w:rPr>
          <w:sz w:val="20"/>
          <w:szCs w:val="20"/>
          <w:rtl/>
        </w:rPr>
        <w:t>.</w:t>
      </w:r>
    </w:p>
  </w:footnote>
  <w:footnote w:id="2819">
    <w:p w14:paraId="32920E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אביגדור מילר, שלמד אז </w:t>
      </w:r>
      <w:proofErr w:type="spellStart"/>
      <w:r>
        <w:rPr>
          <w:sz w:val="20"/>
          <w:szCs w:val="20"/>
          <w:rtl/>
        </w:rPr>
        <w:t>בסלבודקה</w:t>
      </w:r>
      <w:proofErr w:type="spellEnd"/>
      <w:r>
        <w:rPr>
          <w:sz w:val="20"/>
          <w:szCs w:val="20"/>
          <w:rtl/>
        </w:rPr>
        <w:t>, בריאיון ב־24 באוקטובר 1991.</w:t>
      </w:r>
    </w:p>
  </w:footnote>
  <w:footnote w:id="2820">
    <w:p w14:paraId="2838E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821">
    <w:p w14:paraId="2AF5D8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בינואר 1997.</w:t>
      </w:r>
    </w:p>
  </w:footnote>
  <w:footnote w:id="2822">
    <w:p w14:paraId="347BD1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ב־3 ביולי 1994. הדברים אושרו בידי ר׳ פרץ </w:t>
      </w:r>
      <w:proofErr w:type="spellStart"/>
      <w:r>
        <w:rPr>
          <w:sz w:val="20"/>
          <w:szCs w:val="20"/>
          <w:rtl/>
        </w:rPr>
        <w:t>פוזן</w:t>
      </w:r>
      <w:proofErr w:type="spellEnd"/>
      <w:r>
        <w:rPr>
          <w:sz w:val="20"/>
          <w:szCs w:val="20"/>
          <w:rtl/>
        </w:rPr>
        <w:t xml:space="preserve"> (השווה כרך 3), בריאיון ב־2 בנובמבר 1997, ששמע זאת מרבנו.</w:t>
      </w:r>
    </w:p>
  </w:footnote>
  <w:footnote w:id="2823">
    <w:p w14:paraId="0D18F6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בנספח הבא.</w:t>
      </w:r>
    </w:p>
  </w:footnote>
  <w:footnote w:id="2824">
    <w:p w14:paraId="11C788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הם רשומים </w:t>
      </w:r>
      <w:proofErr w:type="spellStart"/>
      <w:r>
        <w:rPr>
          <w:sz w:val="20"/>
          <w:szCs w:val="20"/>
          <w:rtl/>
        </w:rPr>
        <w:t>ב“קול</w:t>
      </w:r>
      <w:proofErr w:type="spellEnd"/>
      <w:r>
        <w:rPr>
          <w:sz w:val="20"/>
          <w:szCs w:val="20"/>
          <w:rtl/>
        </w:rPr>
        <w:t xml:space="preserve"> ישראל”, שבועון אגודת ישראל, ח׳ באלול תרצ״ה.</w:t>
      </w:r>
    </w:p>
  </w:footnote>
  <w:footnote w:id="2825">
    <w:p w14:paraId="2EC49D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93, ובפרקנו נספח י והפסקאות השלישית והרביעית בנספח כ.</w:t>
      </w:r>
    </w:p>
  </w:footnote>
  <w:footnote w:id="2826">
    <w:p w14:paraId="47D2AC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בדצמבר 1986.</w:t>
      </w:r>
    </w:p>
  </w:footnote>
  <w:footnote w:id="2827">
    <w:p w14:paraId="783245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דמיון בין ר׳ </w:t>
      </w:r>
      <w:proofErr w:type="spellStart"/>
      <w:r>
        <w:rPr>
          <w:sz w:val="20"/>
          <w:szCs w:val="20"/>
          <w:rtl/>
        </w:rPr>
        <w:t xml:space="preserve">בער־הירש</w:t>
      </w:r>
      <w:proofErr w:type="spellEnd"/>
      <w:r>
        <w:rPr>
          <w:sz w:val="20"/>
          <w:szCs w:val="20"/>
          <w:rtl/>
        </w:rPr>
        <w:t xml:space="preserve"> </w:t>
      </w:r>
      <w:proofErr w:type="spellStart"/>
      <w:r>
        <w:rPr>
          <w:sz w:val="20"/>
          <w:szCs w:val="20"/>
          <w:rtl/>
        </w:rPr>
        <w:t>לחפץ־חיים</w:t>
      </w:r>
      <w:proofErr w:type="spellEnd"/>
      <w:r>
        <w:rPr>
          <w:sz w:val="20"/>
          <w:szCs w:val="20"/>
          <w:rtl/>
        </w:rPr>
        <w:t xml:space="preserve"> יצוין בפסקה הבאה – ובכך נעשית השוואת המרואיין ליותר ממשל בלבד.</w:t>
      </w:r>
    </w:p>
  </w:footnote>
  <w:footnote w:id="2828">
    <w:p w14:paraId="3B9128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פתח תקווה, תשמ״ג – עמ׳ 22.</w:t>
      </w:r>
    </w:p>
  </w:footnote>
  <w:footnote w:id="2829">
    <w:p w14:paraId="4AD4F3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באפריל 1987.</w:t>
      </w:r>
    </w:p>
  </w:footnote>
  <w:footnote w:id="2830">
    <w:p w14:paraId="668BF7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68 לעיל.</w:t>
      </w:r>
    </w:p>
  </w:footnote>
  <w:footnote w:id="2831">
    <w:p w14:paraId="22A43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שש שנים לאחר הריאיון הראשון, ב־14 בפברואר 1993.</w:t>
      </w:r>
    </w:p>
  </w:footnote>
  <w:footnote w:id="2832">
    <w:p w14:paraId="113FEC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באירועים מיוחדים ניהלו שם את התפילה חזן ומקהלה.</w:t>
      </w:r>
    </w:p>
  </w:footnote>
  <w:footnote w:id="2833">
    <w:p w14:paraId="5C5DD9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השנייה בנספח י לעיל.</w:t>
      </w:r>
    </w:p>
  </w:footnote>
  <w:footnote w:id="2834">
    <w:p w14:paraId="176098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ב־29 ביוני 1994.</w:t>
      </w:r>
    </w:p>
  </w:footnote>
  <w:footnote w:id="2835">
    <w:p w14:paraId="6FD72A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2836">
    <w:p w14:paraId="2C85E3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837">
    <w:p w14:paraId="276E4F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באוקטובר 1991.</w:t>
      </w:r>
    </w:p>
  </w:footnote>
  <w:footnote w:id="2838">
    <w:p w14:paraId="4DDD66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משלי ו, ל.</w:t>
      </w:r>
    </w:p>
  </w:footnote>
  <w:footnote w:id="2839">
    <w:p w14:paraId="41B2E0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ב־13 בינואר 1988.</w:t>
      </w:r>
    </w:p>
  </w:footnote>
  <w:footnote w:id="2840">
    <w:p w14:paraId="065B3C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גיליון תמוז–אלול תרצ״ד, שהוקדש </w:t>
      </w:r>
      <w:proofErr w:type="spellStart"/>
      <w:r>
        <w:rPr>
          <w:sz w:val="20"/>
          <w:szCs w:val="20"/>
          <w:rtl/>
        </w:rPr>
        <w:t>לחפץ־חיים</w:t>
      </w:r>
      <w:proofErr w:type="spellEnd"/>
      <w:r>
        <w:rPr>
          <w:sz w:val="20"/>
          <w:szCs w:val="20"/>
          <w:rtl/>
        </w:rPr>
        <w:t xml:space="preserve"> במלאות שנה לפטירתו.</w:t>
      </w:r>
    </w:p>
  </w:footnote>
  <w:footnote w:id="2841">
    <w:p w14:paraId="75274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מ.</w:t>
      </w:r>
    </w:p>
  </w:footnote>
  <w:footnote w:id="2842">
    <w:p w14:paraId="0015E6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 – עמ׳ 506.</w:t>
      </w:r>
    </w:p>
  </w:footnote>
  <w:footnote w:id="2843">
    <w:p w14:paraId="633356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כד לעיל.</w:t>
      </w:r>
    </w:p>
  </w:footnote>
  <w:footnote w:id="2844">
    <w:p w14:paraId="43876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“מגן אברהם”.</w:t>
      </w:r>
    </w:p>
  </w:footnote>
  <w:footnote w:id="2845">
    <w:p w14:paraId="3CCEE8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32.</w:t>
      </w:r>
    </w:p>
  </w:footnote>
  <w:footnote w:id="2846">
    <w:p w14:paraId="68C916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י לעיל.</w:t>
      </w:r>
    </w:p>
  </w:footnote>
  <w:footnote w:id="2847">
    <w:p w14:paraId="05820A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ב־14 בנובמבר 1987.</w:t>
      </w:r>
    </w:p>
  </w:footnote>
  <w:footnote w:id="2848">
    <w:p w14:paraId="68DA6A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השנייה בנספח הקודם.</w:t>
      </w:r>
    </w:p>
  </w:footnote>
  <w:footnote w:id="2849">
    <w:p w14:paraId="1E35B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תואר זה שימש גם את הסופר מ. </w:t>
      </w:r>
      <w:proofErr w:type="spellStart"/>
      <w:r>
        <w:rPr>
          <w:sz w:val="20"/>
          <w:szCs w:val="20"/>
          <w:rtl/>
        </w:rPr>
        <w:t>גרץ</w:t>
      </w:r>
      <w:proofErr w:type="spellEnd"/>
      <w:r>
        <w:rPr>
          <w:sz w:val="20"/>
          <w:szCs w:val="20"/>
          <w:rtl/>
        </w:rPr>
        <w:t>, המצוטט בפסקה השלישית להלן.</w:t>
      </w:r>
    </w:p>
  </w:footnote>
  <w:footnote w:id="2850">
    <w:p w14:paraId="0CE97F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באוגוסט 1998.</w:t>
      </w:r>
    </w:p>
  </w:footnote>
  <w:footnote w:id="2851">
    <w:p w14:paraId="74D61F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נכח כשמסר ר׳ ישראל </w:t>
      </w:r>
      <w:proofErr w:type="spellStart"/>
      <w:r>
        <w:rPr>
          <w:sz w:val="20"/>
          <w:szCs w:val="20"/>
          <w:rtl/>
        </w:rPr>
        <w:t>שורין</w:t>
      </w:r>
      <w:proofErr w:type="spellEnd"/>
      <w:r>
        <w:rPr>
          <w:sz w:val="20"/>
          <w:szCs w:val="20"/>
          <w:rtl/>
        </w:rPr>
        <w:t xml:space="preserve"> את דבריו.</w:t>
      </w:r>
    </w:p>
  </w:footnote>
  <w:footnote w:id="2852">
    <w:p w14:paraId="557F46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בנובמבר 1987.</w:t>
      </w:r>
    </w:p>
  </w:footnote>
  <w:footnote w:id="2853">
    <w:p w14:paraId="0EB4E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4, הערה 86, שם מסופר שהסבא ראה ברבנו עצמו “מופת למוסר” בשנותיו הראשונות.</w:t>
      </w:r>
    </w:p>
  </w:footnote>
  <w:footnote w:id="2854">
    <w:p w14:paraId="4D97A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ראיתי שמביאים את פירושו של </w:t>
      </w:r>
      <w:proofErr w:type="spellStart"/>
      <w:r>
        <w:rPr>
          <w:sz w:val="20"/>
          <w:szCs w:val="20"/>
          <w:rtl/>
        </w:rPr>
        <w:t>הגר״א</w:t>
      </w:r>
      <w:proofErr w:type="spellEnd"/>
      <w:r>
        <w:rPr>
          <w:sz w:val="20"/>
          <w:szCs w:val="20"/>
          <w:rtl/>
        </w:rPr>
        <w:t xml:space="preserve"> בגמרא שבת דף קי״ד ע״א, אמר רבי יוחנן איזהו ת״ח (וכו׳) זה המקפיד על חלוקו להופכו, עפ״י מה שאמרו (שם בסוף דף קי״ג ע״א) רבי יוחנן קרי למאניה </w:t>
      </w:r>
      <w:proofErr w:type="spellStart"/>
      <w:r>
        <w:rPr>
          <w:sz w:val="20"/>
          <w:szCs w:val="20"/>
          <w:rtl/>
        </w:rPr>
        <w:t>מכבדותיה</w:t>
      </w:r>
      <w:proofErr w:type="spellEnd"/>
      <w:r>
        <w:rPr>
          <w:sz w:val="20"/>
          <w:szCs w:val="20"/>
          <w:rtl/>
        </w:rPr>
        <w:t xml:space="preserve">, </w:t>
      </w:r>
      <w:proofErr w:type="spellStart"/>
      <w:r>
        <w:rPr>
          <w:sz w:val="20"/>
          <w:szCs w:val="20"/>
          <w:rtl/>
        </w:rPr>
        <w:t>שהמדות</w:t>
      </w:r>
      <w:proofErr w:type="spellEnd"/>
      <w:r>
        <w:rPr>
          <w:sz w:val="20"/>
          <w:szCs w:val="20"/>
          <w:rtl/>
        </w:rPr>
        <w:t xml:space="preserve"> הם לבושי הנפש, ומדת ת״ח היא “שיודע איך להפך מידותיו ולהטות אל קצה ההפך (מהן), כמו מכעס אל החמלה </w:t>
      </w:r>
      <w:proofErr w:type="spellStart"/>
      <w:r>
        <w:rPr>
          <w:sz w:val="20"/>
          <w:szCs w:val="20"/>
          <w:rtl/>
        </w:rPr>
        <w:t>ומהגאוה</w:t>
      </w:r>
      <w:proofErr w:type="spellEnd"/>
      <w:r>
        <w:rPr>
          <w:sz w:val="20"/>
          <w:szCs w:val="20"/>
          <w:rtl/>
        </w:rPr>
        <w:t xml:space="preserve"> הרמה אל תכלית השפלות”. (פי׳ </w:t>
      </w:r>
      <w:proofErr w:type="spellStart"/>
      <w:r>
        <w:rPr>
          <w:sz w:val="20"/>
          <w:szCs w:val="20"/>
          <w:rtl/>
        </w:rPr>
        <w:t>הגר״א</w:t>
      </w:r>
      <w:proofErr w:type="spellEnd"/>
      <w:r>
        <w:rPr>
          <w:sz w:val="20"/>
          <w:szCs w:val="20"/>
          <w:rtl/>
        </w:rPr>
        <w:t xml:space="preserve"> הוא הפוך </w:t>
      </w:r>
      <w:proofErr w:type="spellStart"/>
      <w:r>
        <w:rPr>
          <w:sz w:val="20"/>
          <w:szCs w:val="20"/>
          <w:rtl/>
        </w:rPr>
        <w:t>מפירש״י</w:t>
      </w:r>
      <w:proofErr w:type="spellEnd"/>
      <w:r>
        <w:rPr>
          <w:sz w:val="20"/>
          <w:szCs w:val="20"/>
          <w:rtl/>
        </w:rPr>
        <w:t xml:space="preserve"> בפשוטו של </w:t>
      </w:r>
      <w:proofErr w:type="spellStart"/>
      <w:r>
        <w:rPr>
          <w:sz w:val="20"/>
          <w:szCs w:val="20"/>
          <w:rtl/>
        </w:rPr>
        <w:t>המימרא</w:t>
      </w:r>
      <w:proofErr w:type="spellEnd"/>
      <w:r>
        <w:rPr>
          <w:sz w:val="20"/>
          <w:szCs w:val="20"/>
          <w:rtl/>
        </w:rPr>
        <w:t xml:space="preserve">: דהיינו, </w:t>
      </w:r>
      <w:proofErr w:type="spellStart"/>
      <w:r>
        <w:rPr>
          <w:sz w:val="20"/>
          <w:szCs w:val="20"/>
          <w:rtl/>
        </w:rPr>
        <w:t>שת״ח</w:t>
      </w:r>
      <w:proofErr w:type="spellEnd"/>
      <w:r>
        <w:rPr>
          <w:sz w:val="20"/>
          <w:szCs w:val="20"/>
          <w:rtl/>
        </w:rPr>
        <w:t xml:space="preserve"> מקפיד על חלוק הפוך להחזירו לצידו הנכון.)</w:t>
      </w:r>
    </w:p>
  </w:footnote>
  <w:footnote w:id="2855">
    <w:p w14:paraId="4DEB9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באוגוסט 1996. הוא למד בישיבה שש שנים, עד תרצ״ז.</w:t>
      </w:r>
    </w:p>
  </w:footnote>
  <w:footnote w:id="2856">
    <w:p w14:paraId="62B1C4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שבת </w:t>
      </w:r>
      <w:proofErr w:type="spellStart"/>
      <w:r>
        <w:rPr>
          <w:sz w:val="20"/>
          <w:szCs w:val="20"/>
          <w:rtl/>
        </w:rPr>
        <w:t>נה</w:t>
      </w:r>
      <w:proofErr w:type="spellEnd"/>
      <w:r>
        <w:rPr>
          <w:sz w:val="20"/>
          <w:szCs w:val="20"/>
          <w:rtl/>
        </w:rPr>
        <w:t xml:space="preserve"> ע״ב, שם נמנים ארבעה אישים מן המקרא שמיתתם מתבארת כך.</w:t>
      </w:r>
    </w:p>
  </w:footnote>
  <w:footnote w:id="2857">
    <w:p w14:paraId="58CEE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56 לעיל.</w:t>
      </w:r>
    </w:p>
  </w:footnote>
  <w:footnote w:id="2858">
    <w:p w14:paraId="14BD8A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4 בנובמבר 1935.</w:t>
      </w:r>
    </w:p>
  </w:footnote>
  <w:footnote w:id="2859">
    <w:p w14:paraId="466E79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סעיף 1 בפרק זה.</w:t>
      </w:r>
    </w:p>
  </w:footnote>
  <w:footnote w:id="2860">
    <w:p w14:paraId="17405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עירובין </w:t>
      </w:r>
      <w:proofErr w:type="spellStart"/>
      <w:r>
        <w:rPr>
          <w:sz w:val="20"/>
          <w:szCs w:val="20"/>
          <w:rtl/>
        </w:rPr>
        <w:t>מא</w:t>
      </w:r>
      <w:proofErr w:type="spellEnd"/>
      <w:r>
        <w:rPr>
          <w:sz w:val="20"/>
          <w:szCs w:val="20"/>
          <w:rtl/>
        </w:rPr>
        <w:t xml:space="preserve"> ע״ב: “ת״ר ג׳ דברים </w:t>
      </w:r>
      <w:proofErr w:type="spellStart"/>
      <w:r>
        <w:rPr>
          <w:sz w:val="20"/>
          <w:szCs w:val="20"/>
          <w:rtl/>
        </w:rPr>
        <w:t>מעבירין</w:t>
      </w:r>
      <w:proofErr w:type="spellEnd"/>
      <w:r>
        <w:rPr>
          <w:sz w:val="20"/>
          <w:szCs w:val="20"/>
          <w:rtl/>
        </w:rPr>
        <w:t xml:space="preserve"> את האדם וכו׳ ועל דעת קונו וכו׳ ודקדוקי עניות”.</w:t>
      </w:r>
    </w:p>
  </w:footnote>
  <w:footnote w:id="2861">
    <w:p w14:paraId="1B3B30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 xml:space="preserve">בער־הירש</w:t>
      </w:r>
      <w:proofErr w:type="spellEnd"/>
      <w:r>
        <w:rPr>
          <w:sz w:val="20"/>
          <w:szCs w:val="20"/>
          <w:rtl/>
        </w:rPr>
        <w:t xml:space="preserve"> ודאי ביקש וקיבל את הסכמת הסבא </w:t>
      </w:r>
      <w:proofErr w:type="spellStart"/>
      <w:r>
        <w:rPr>
          <w:sz w:val="20"/>
          <w:szCs w:val="20"/>
          <w:rtl/>
        </w:rPr>
        <w:t>מסלבודקה</w:t>
      </w:r>
      <w:proofErr w:type="spellEnd"/>
      <w:r>
        <w:rPr>
          <w:sz w:val="20"/>
          <w:szCs w:val="20"/>
          <w:rtl/>
        </w:rPr>
        <w:t xml:space="preserve"> לפני ששלח את בנו, אף שהסבא ראה בחינוך שניתן </w:t>
      </w:r>
      <w:proofErr w:type="spellStart"/>
      <w:r>
        <w:rPr>
          <w:sz w:val="20"/>
          <w:szCs w:val="20"/>
          <w:rtl/>
        </w:rPr>
        <w:t>בנובהרדוק</w:t>
      </w:r>
      <w:proofErr w:type="spellEnd"/>
      <w:r>
        <w:rPr>
          <w:sz w:val="20"/>
          <w:szCs w:val="20"/>
          <w:rtl/>
        </w:rPr>
        <w:t xml:space="preserve"> חינוך לקוי ביותר (ראה הערה 51 לעיל). ההסבר להסכמת הסבא לצעד זה הוא שלדעתו התרחק </w:t>
      </w:r>
      <w:proofErr w:type="spellStart"/>
      <w:r>
        <w:rPr>
          <w:sz w:val="20"/>
          <w:szCs w:val="20"/>
          <w:rtl/>
        </w:rPr>
        <w:t>אברהם־מאיר</w:t>
      </w:r>
      <w:proofErr w:type="spellEnd"/>
      <w:r>
        <w:rPr>
          <w:sz w:val="20"/>
          <w:szCs w:val="20"/>
          <w:rtl/>
        </w:rPr>
        <w:t xml:space="preserve"> מכדי שאפשר יהיה לחנכו בדרך הרגילה, והוא חש שהתקווה היחידה להשיבו למוטב היא בגישה </w:t>
      </w:r>
      <w:proofErr w:type="spellStart"/>
      <w:r>
        <w:rPr>
          <w:sz w:val="20"/>
          <w:szCs w:val="20"/>
          <w:rtl/>
        </w:rPr>
        <w:t>הנובהרדוקאית</w:t>
      </w:r>
      <w:proofErr w:type="spellEnd"/>
      <w:r>
        <w:rPr>
          <w:sz w:val="20"/>
          <w:szCs w:val="20"/>
          <w:rtl/>
        </w:rPr>
        <w:t xml:space="preserve"> הקיצונית. אך גם היא לא הועילה.</w:t>
      </w:r>
    </w:p>
  </w:footnote>
  <w:footnote w:id="2862">
    <w:p w14:paraId="48BC63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הפרק האחרון בספרו של כץ, “תנועת המוסר”, כרך ה (נספח ט לעיל), ושם, עמ׳ 350–351.</w:t>
      </w:r>
    </w:p>
  </w:footnote>
  <w:footnote w:id="2863">
    <w:p w14:paraId="7E351F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מ־7 באוגוסט 1991.</w:t>
      </w:r>
    </w:p>
  </w:footnote>
  <w:footnote w:id="2864">
    <w:p w14:paraId="56FC77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המכתב מחליף בטעות את סדר הישיבות שבהן למד, ומעמיד את </w:t>
      </w:r>
      <w:proofErr w:type="spellStart"/>
      <w:r>
        <w:rPr>
          <w:sz w:val="20"/>
          <w:szCs w:val="20"/>
          <w:rtl/>
        </w:rPr>
        <w:t>נובהרדוק</w:t>
      </w:r>
      <w:proofErr w:type="spellEnd"/>
      <w:r>
        <w:rPr>
          <w:sz w:val="20"/>
          <w:szCs w:val="20"/>
          <w:rtl/>
        </w:rPr>
        <w:t xml:space="preserve"> לפני </w:t>
      </w:r>
      <w:proofErr w:type="spellStart"/>
      <w:r>
        <w:rPr>
          <w:sz w:val="20"/>
          <w:szCs w:val="20"/>
          <w:rtl/>
        </w:rPr>
        <w:t>סלבודקה</w:t>
      </w:r>
      <w:proofErr w:type="spellEnd"/>
      <w:r>
        <w:rPr>
          <w:sz w:val="20"/>
          <w:szCs w:val="20"/>
          <w:rtl/>
        </w:rPr>
        <w:t>.</w:t>
      </w:r>
    </w:p>
  </w:footnote>
  <w:footnote w:id="2865">
    <w:p w14:paraId="2E7A70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ביוני 2000.</w:t>
      </w:r>
    </w:p>
  </w:footnote>
  <w:footnote w:id="2866">
    <w:p w14:paraId="2A4A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יוג׳ין </w:t>
      </w:r>
      <w:proofErr w:type="spellStart"/>
      <w:r>
        <w:rPr>
          <w:sz w:val="20"/>
          <w:szCs w:val="20"/>
          <w:rtl/>
        </w:rPr>
        <w:t>העלר</w:t>
      </w:r>
      <w:proofErr w:type="spellEnd"/>
      <w:r>
        <w:rPr>
          <w:sz w:val="20"/>
          <w:szCs w:val="20"/>
          <w:rtl/>
        </w:rPr>
        <w:t xml:space="preserve"> מסר שאביו התכוון מלכתחילה להגר לדרום אפריקה, אך כספו אזל באנגליה והוא נאלץ לנסוע לאמריקה במקום זאת.</w:t>
      </w:r>
    </w:p>
  </w:footnote>
  <w:footnote w:id="2867">
    <w:p w14:paraId="0601A3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הבן המוזכר, יוג׳ין, ואשתו, ריבה, הם גם עמודי התווך של בתי הספר היהודיים המשלבים לימודי קודש וחול במדינתם, והיו התורמים הגדולים ביותר לבניית בניין בית הספר החדש שם </w:t>
      </w:r>
      <w:proofErr w:type="spellStart"/>
      <w:r>
        <w:rPr>
          <w:sz w:val="20"/>
          <w:szCs w:val="20"/>
          <w:rtl/>
        </w:rPr>
        <w:t>בתשנ״ב</w:t>
      </w:r>
      <w:proofErr w:type="spellEnd"/>
      <w:r>
        <w:rPr>
          <w:sz w:val="20"/>
          <w:szCs w:val="20"/>
          <w:rtl/>
        </w:rPr>
        <w:t>.</w:t>
      </w:r>
    </w:p>
  </w:footnote>
  <w:footnote w:id="2868">
    <w:p w14:paraId="07EE4E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 בעיה בתאריך שעל הגלויה. לפי פשוטו – היום הראשון בשבוע של פרשת ויקרא – חל התאריך לפני פורים, ב־3 באדר ב׳ תרצ״ח. אבל מתוכן הגלויה ברור שנכתבה לפחות שלושה שבועות אחר כך. רחוק מן הדעת שהכותבת התבלבלה בקריאת התורה וציינה את החומש “ויקרא” כולו, ולא את פרשת השבוע המסוימת, תזריע או מצורע, שאז יחול יום כתיבתה ב־24 באדר ב׳ (27 במרס) או ב־2 בניסן (3 באפריל).</w:t>
      </w:r>
    </w:p>
    <w:p w14:paraId="5C3B9D2C" w14:textId="77777777" w:rsidR="00AB3647" w:rsidRDefault="00000000">
      <w:pPr>
        <w:spacing w:after="0" w:before="0"/>
        <w:jc w:val="both"/>
      </w:pPr>
      <w:r>
        <w:rPr>
          <w:sz w:val="20"/>
          <w:szCs w:val="20"/>
          <w:rtl/>
        </w:rPr>
        <w:t>אפשר לשער, לעומת זאת, שהאישה העדינה הסוותה בכוונה את שם הפרשה: אם “(</w:t>
      </w:r>
      <w:proofErr w:type="spellStart"/>
      <w:r>
        <w:rPr>
          <w:sz w:val="20"/>
          <w:szCs w:val="20"/>
          <w:rtl/>
        </w:rPr>
        <w:t>אשה</w:t>
      </w:r>
      <w:proofErr w:type="spellEnd"/>
      <w:r>
        <w:rPr>
          <w:sz w:val="20"/>
          <w:szCs w:val="20"/>
          <w:rtl/>
        </w:rPr>
        <w:t xml:space="preserve"> כי) תזריע”, כדי להימנע ממשמעות גסה (ראה פירוש רש״י שם), ואם “מצורע”, אדם שפל – ראה הערה 100 לעיל על האופן שבו שמרו אנשי </w:t>
      </w:r>
      <w:proofErr w:type="spellStart"/>
      <w:r>
        <w:rPr>
          <w:sz w:val="20"/>
          <w:szCs w:val="20"/>
          <w:rtl/>
        </w:rPr>
        <w:t>סלבודקה</w:t>
      </w:r>
      <w:proofErr w:type="spellEnd"/>
      <w:r>
        <w:rPr>
          <w:sz w:val="20"/>
          <w:szCs w:val="20"/>
          <w:rtl/>
        </w:rPr>
        <w:t xml:space="preserve"> ותלמידיה על טוהר לשונם. שינוי זה ודאי היה מקובל בין אנשים מעודנים, שהרי כולם הבינו לאיזה תאריך הכוונה – ואילו אנו איננו יכולים לדעת לאיזה משני ימי ראשון התכוונה </w:t>
      </w:r>
      <w:proofErr w:type="spellStart"/>
      <w:r>
        <w:rPr>
          <w:sz w:val="20"/>
          <w:szCs w:val="20"/>
          <w:rtl/>
        </w:rPr>
        <w:t>פייגה־אסתר</w:t>
      </w:r>
      <w:proofErr w:type="spellEnd"/>
      <w:r>
        <w:rPr>
          <w:sz w:val="20"/>
          <w:szCs w:val="20"/>
          <w:rtl/>
        </w:rPr>
        <w:t xml:space="preserve"> </w:t>
      </w:r>
      <w:proofErr w:type="spellStart"/>
      <w:r>
        <w:rPr>
          <w:sz w:val="20"/>
          <w:szCs w:val="20"/>
          <w:rtl/>
        </w:rPr>
        <w:t xml:space="preserve">הלר</w:t>
      </w:r>
      <w:proofErr w:type="spellEnd"/>
      <w:r>
        <w:rPr>
          <w:sz w:val="20"/>
          <w:szCs w:val="20"/>
          <w:rtl/>
        </w:rPr>
        <w:t>.</w:t>
      </w:r>
    </w:p>
  </w:footnote>
  <w:footnote w:id="2869">
    <w:p w14:paraId="760991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התרגום המילולי של מילותיה ביידיש, א </w:t>
      </w:r>
      <w:proofErr w:type="spellStart"/>
      <w:r>
        <w:rPr>
          <w:sz w:val="20"/>
          <w:szCs w:val="20"/>
          <w:rtl/>
        </w:rPr>
        <w:t>מינרליכען</w:t>
      </w:r>
      <w:proofErr w:type="spellEnd"/>
      <w:r>
        <w:rPr>
          <w:sz w:val="20"/>
          <w:szCs w:val="20"/>
          <w:rtl/>
        </w:rPr>
        <w:t xml:space="preserve"> </w:t>
      </w:r>
      <w:proofErr w:type="spellStart"/>
      <w:r>
        <w:rPr>
          <w:sz w:val="20"/>
          <w:szCs w:val="20"/>
          <w:rtl/>
        </w:rPr>
        <w:t>גערוס</w:t>
      </w:r>
      <w:proofErr w:type="spellEnd"/>
      <w:r>
        <w:rPr>
          <w:sz w:val="20"/>
          <w:szCs w:val="20"/>
          <w:rtl/>
        </w:rPr>
        <w:t>, הוא “דרישת שלום בעל פה”, אך מובן שכוונתה הייתה כפי שתורגם כאן.</w:t>
      </w:r>
    </w:p>
  </w:footnote>
  <w:footnote w:id="2870">
    <w:p w14:paraId="68153B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בינואר 1999.</w:t>
      </w:r>
    </w:p>
  </w:footnote>
  <w:footnote w:id="2871">
    <w:p w14:paraId="119E70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שאני הוא בן דוד מדרגה שלישית של ר׳ </w:t>
      </w:r>
      <w:proofErr w:type="spellStart"/>
      <w:r>
        <w:rPr>
          <w:sz w:val="20"/>
          <w:szCs w:val="20"/>
          <w:rtl/>
        </w:rPr>
        <w:t>אליהו־יהודה</w:t>
      </w:r>
      <w:proofErr w:type="spellEnd"/>
      <w:r>
        <w:rPr>
          <w:sz w:val="20"/>
          <w:szCs w:val="20"/>
          <w:rtl/>
        </w:rPr>
        <w:t xml:space="preserve"> שוחט.</w:t>
      </w:r>
    </w:p>
  </w:footnote>
  <w:footnote w:id="2872">
    <w:p w14:paraId="065F0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השנייה בנספח </w:t>
      </w:r>
      <w:proofErr w:type="spellStart"/>
      <w:r>
        <w:rPr>
          <w:sz w:val="20"/>
          <w:szCs w:val="20"/>
          <w:rtl/>
        </w:rPr>
        <w:t>יט</w:t>
      </w:r>
      <w:proofErr w:type="spellEnd"/>
      <w:r>
        <w:rPr>
          <w:sz w:val="20"/>
          <w:szCs w:val="20"/>
          <w:rtl/>
        </w:rPr>
        <w:t xml:space="preserve"> לעיל.</w:t>
      </w:r>
    </w:p>
  </w:footnote>
  <w:footnote w:id="2873">
    <w:p w14:paraId="3B7C1393"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פרשת כי תבוא נקראה </w:t>
      </w:r>
      <w:proofErr w:type="spellStart"/>
      <w:r>
        <w:rPr>
          <w:sz w:val="20"/>
          <w:szCs w:val="20"/>
          <w:rtl/>
        </w:rPr>
        <w:t>בתרצ״ב</w:t>
      </w:r>
      <w:proofErr w:type="spellEnd"/>
      <w:r>
        <w:rPr>
          <w:sz w:val="20"/>
          <w:szCs w:val="20"/>
          <w:rtl/>
        </w:rPr>
        <w:t xml:space="preserve"> בשבת ט״ז באלול, ולכן ערב שבת שלפניה היה ט״ו באלול; י״ד באלול חל ביום חמישי.</w:t>
      </w:r>
    </w:p>
  </w:footnote>
  <w:footnote w:id="2874">
    <w:p w14:paraId="067E6F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ממשפט זה ברור שר׳ </w:t>
      </w:r>
      <w:proofErr w:type="spellStart"/>
      <w:r>
        <w:rPr>
          <w:sz w:val="20"/>
          <w:szCs w:val="20"/>
          <w:rtl/>
        </w:rPr>
        <w:t xml:space="preserve">בער־הירש</w:t>
      </w:r>
      <w:proofErr w:type="spellEnd"/>
      <w:r>
        <w:rPr>
          <w:sz w:val="20"/>
          <w:szCs w:val="20"/>
          <w:rtl/>
        </w:rPr>
        <w:t xml:space="preserve"> ידע על הרמה המוסרית הגבוהה של בנו, כמתואר באגרת בנו של </w:t>
      </w:r>
      <w:proofErr w:type="spellStart"/>
      <w:r>
        <w:rPr>
          <w:sz w:val="20"/>
          <w:szCs w:val="20"/>
          <w:rtl/>
        </w:rPr>
        <w:t>אברהם־מאיר</w:t>
      </w:r>
      <w:proofErr w:type="spellEnd"/>
      <w:r>
        <w:rPr>
          <w:sz w:val="20"/>
          <w:szCs w:val="20"/>
          <w:rtl/>
        </w:rPr>
        <w:t xml:space="preserve"> המצוטטת בסוף הפסקה הקודמת.</w:t>
      </w:r>
    </w:p>
  </w:footnote>
  <w:footnote w:id="2875">
    <w:p w14:paraId="2207BC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שהמשפט האחרון נכתב בהשראת מה שהתרחש אז בליטא, כמתואר </w:t>
      </w:r>
      <w:proofErr w:type="spellStart"/>
      <w:r>
        <w:rPr>
          <w:sz w:val="20"/>
          <w:szCs w:val="20"/>
          <w:rtl/>
        </w:rPr>
        <w:t>ב“יהדות</w:t>
      </w:r>
      <w:proofErr w:type="spellEnd"/>
      <w:r>
        <w:rPr>
          <w:sz w:val="20"/>
          <w:szCs w:val="20"/>
          <w:rtl/>
        </w:rPr>
        <w:t xml:space="preserve"> ליטא” (הערה 9 לעיל), כרך 2, עמ׳ 24, המסכם את מצב יהודי ליטא בשנים 1930–1934 במילים: “תהליך דחיקת היהודים מעמדותיהם הכלכליות... קיבל צורות הרבה יותר בולטות וחריפות. ארגון הסוחרים, התעשיינים </w:t>
      </w:r>
      <w:proofErr w:type="spellStart"/>
      <w:r>
        <w:rPr>
          <w:sz w:val="20"/>
          <w:szCs w:val="20"/>
          <w:rtl/>
        </w:rPr>
        <w:t>ובעלי־מלאכה</w:t>
      </w:r>
      <w:proofErr w:type="spellEnd"/>
      <w:r>
        <w:rPr>
          <w:sz w:val="20"/>
          <w:szCs w:val="20"/>
          <w:rtl/>
        </w:rPr>
        <w:t xml:space="preserve"> הליטאים בשם ‘</w:t>
      </w:r>
      <w:proofErr w:type="spellStart"/>
      <w:r>
        <w:rPr>
          <w:sz w:val="20"/>
          <w:szCs w:val="20"/>
          <w:rtl/>
        </w:rPr>
        <w:t>ווארסלאס</w:t>
      </w:r>
      <w:proofErr w:type="spellEnd"/>
      <w:r>
        <w:rPr>
          <w:sz w:val="20"/>
          <w:szCs w:val="20"/>
          <w:rtl/>
        </w:rPr>
        <w:t>’ (</w:t>
      </w:r>
      <w:proofErr w:type="spellStart"/>
      <w:r>
        <w:rPr>
          <w:sz w:val="20"/>
          <w:szCs w:val="20"/>
          <w:rtl/>
        </w:rPr>
        <w:t>משלח־יד</w:t>
      </w:r>
      <w:proofErr w:type="spellEnd"/>
      <w:r>
        <w:rPr>
          <w:sz w:val="20"/>
          <w:szCs w:val="20"/>
          <w:rtl/>
        </w:rPr>
        <w:t xml:space="preserve">), קיבל באופן גלוי אופי אנטישמי תוקפני. בהשפעת הרוחות הרעות, שהגיעו לליטא מפולין הלאומנית וגרמניה הנאצית, גברו והלכו המגמות </w:t>
      </w:r>
      <w:proofErr w:type="spellStart"/>
      <w:r>
        <w:rPr>
          <w:sz w:val="20"/>
          <w:szCs w:val="20"/>
          <w:rtl/>
        </w:rPr>
        <w:t>הלאומיות־הפאשיסטיות</w:t>
      </w:r>
      <w:proofErr w:type="spellEnd"/>
      <w:r>
        <w:rPr>
          <w:sz w:val="20"/>
          <w:szCs w:val="20"/>
          <w:rtl/>
        </w:rPr>
        <w:t xml:space="preserve"> והאנטישמיות בקרב הציבור הליטאי, בעיקר בחוגי הנוער”. ראה כרכים 2 ו־3.</w:t>
      </w:r>
    </w:p>
  </w:footnote>
  <w:footnote w:id="2876">
    <w:p w14:paraId="599330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19 באוקטובר 1991.</w:t>
      </w:r>
    </w:p>
  </w:footnote>
  <w:footnote w:id="2877">
    <w:p w14:paraId="7EC514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5, תחילת נספח ב.</w:t>
      </w:r>
    </w:p>
  </w:footnote>
  <w:footnote w:id="2878">
    <w:p w14:paraId="69BACF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12 ביוני 1999.</w:t>
      </w:r>
    </w:p>
  </w:footnote>
  <w:footnote w:id="2879">
    <w:p w14:paraId="3EA493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ביצה ט״ז ע״ב.</w:t>
      </w:r>
    </w:p>
  </w:footnote>
  <w:footnote w:id="2880">
    <w:p w14:paraId="4AB23D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321, הערה 466.</w:t>
      </w:r>
    </w:p>
  </w:footnote>
  <w:footnote w:id="2881">
    <w:p w14:paraId="32F86C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22 ביולי 1994.</w:t>
      </w:r>
    </w:p>
  </w:footnote>
  <w:footnote w:id="2882">
    <w:p w14:paraId="7F687F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דב כהן, שבא מסיאטל להצטרף לישיבת חברון </w:t>
      </w:r>
      <w:proofErr w:type="spellStart"/>
      <w:r>
        <w:rPr>
          <w:sz w:val="20"/>
          <w:szCs w:val="20"/>
          <w:rtl/>
        </w:rPr>
        <w:t>בתרפ״ו</w:t>
      </w:r>
      <w:proofErr w:type="spellEnd"/>
      <w:r>
        <w:rPr>
          <w:sz w:val="20"/>
          <w:szCs w:val="20"/>
          <w:rtl/>
        </w:rPr>
        <w:t xml:space="preserve">, בריאיון ב־23 ביולי 2000. המרואיין לא למד בליטא, שבה פעל הרב </w:t>
      </w:r>
      <w:proofErr w:type="spellStart"/>
      <w:r>
        <w:rPr>
          <w:sz w:val="20"/>
          <w:szCs w:val="20"/>
          <w:rtl/>
        </w:rPr>
        <w:t xml:space="preserve">הלר</w:t>
      </w:r>
      <w:proofErr w:type="spellEnd"/>
      <w:r>
        <w:rPr>
          <w:sz w:val="20"/>
          <w:szCs w:val="20"/>
          <w:rtl/>
        </w:rPr>
        <w:t xml:space="preserve">, אבל המסורת כיצד הכריז ר׳ </w:t>
      </w:r>
      <w:proofErr w:type="spellStart"/>
      <w:r>
        <w:rPr>
          <w:sz w:val="20"/>
          <w:szCs w:val="20"/>
          <w:rtl/>
        </w:rPr>
        <w:t xml:space="preserve">בער־הירש</w:t>
      </w:r>
      <w:proofErr w:type="spellEnd"/>
      <w:r>
        <w:rPr>
          <w:sz w:val="20"/>
          <w:szCs w:val="20"/>
          <w:rtl/>
        </w:rPr>
        <w:t xml:space="preserve"> על סדר המוסר נמסרה מפי תלמידי </w:t>
      </w:r>
      <w:proofErr w:type="spellStart"/>
      <w:r>
        <w:rPr>
          <w:sz w:val="20"/>
          <w:szCs w:val="20"/>
          <w:rtl/>
        </w:rPr>
        <w:t>סלבודקה</w:t>
      </w:r>
      <w:proofErr w:type="spellEnd"/>
      <w:r>
        <w:rPr>
          <w:sz w:val="20"/>
          <w:szCs w:val="20"/>
          <w:rtl/>
        </w:rPr>
        <w:t xml:space="preserve"> שהקימו את סניף ישיבתם בארץ ישראל שנתיים קודם לכן.</w:t>
      </w:r>
    </w:p>
  </w:footnote>
  <w:footnote w:id="2883">
    <w:p w14:paraId="66F28F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103 לעיל.</w:t>
      </w:r>
    </w:p>
  </w:footnote>
  <w:footnote w:id="2884">
    <w:p w14:paraId="026C9A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לפיכך נראה שתיאורם של ר׳ </w:t>
      </w:r>
      <w:proofErr w:type="spellStart"/>
      <w:r>
        <w:rPr>
          <w:sz w:val="20"/>
          <w:szCs w:val="20"/>
          <w:rtl/>
        </w:rPr>
        <w:t xml:space="preserve">בער־הירש</w:t>
      </w:r>
      <w:proofErr w:type="spellEnd"/>
      <w:r>
        <w:rPr>
          <w:sz w:val="20"/>
          <w:szCs w:val="20"/>
          <w:rtl/>
        </w:rPr>
        <w:t xml:space="preserve"> ור׳ </w:t>
      </w:r>
      <w:proofErr w:type="spellStart"/>
      <w:r>
        <w:rPr>
          <w:sz w:val="20"/>
          <w:szCs w:val="20"/>
          <w:rtl/>
        </w:rPr>
        <w:t>נתן־צבי</w:t>
      </w:r>
      <w:proofErr w:type="spellEnd"/>
      <w:r>
        <w:rPr>
          <w:sz w:val="20"/>
          <w:szCs w:val="20"/>
          <w:rtl/>
        </w:rPr>
        <w:t xml:space="preserve"> בפי הרב גרז כבעלי “נשמה אחת” – ראה הפסקה השנייה בהערה 115 לעיל – מופרז מעט.</w:t>
      </w:r>
    </w:p>
  </w:footnote>
  <w:footnote w:id="2885">
    <w:p w14:paraId="1B676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אגרת זו נכתבה כנראה בראשית תרצ״ג, כשמשפחת </w:t>
      </w:r>
      <w:proofErr w:type="spellStart"/>
      <w:r>
        <w:rPr>
          <w:sz w:val="20"/>
          <w:szCs w:val="20"/>
          <w:rtl/>
        </w:rPr>
        <w:t xml:space="preserve">הלר</w:t>
      </w:r>
      <w:proofErr w:type="spellEnd"/>
      <w:r>
        <w:rPr>
          <w:sz w:val="20"/>
          <w:szCs w:val="20"/>
          <w:rtl/>
        </w:rPr>
        <w:t xml:space="preserve"> כבר תכננה ככל הנראה את יציאתה מליטא. בבקשתו מבן דודו שיודיע לו על הפרשת מעשר מן הנדוניה לטובת הישיבה, ייתכן שר׳ </w:t>
      </w:r>
      <w:proofErr w:type="spellStart"/>
      <w:r>
        <w:rPr>
          <w:sz w:val="20"/>
          <w:szCs w:val="20"/>
          <w:rtl/>
        </w:rPr>
        <w:t xml:space="preserve">בער־הירש</w:t>
      </w:r>
      <w:proofErr w:type="spellEnd"/>
      <w:r>
        <w:rPr>
          <w:sz w:val="20"/>
          <w:szCs w:val="20"/>
          <w:rtl/>
        </w:rPr>
        <w:t xml:space="preserve"> התכוון להסדיר שתרומתו של ר׳ יעקב תשמש לפירעון חלק מחובות הישיבה שהרב </w:t>
      </w:r>
      <w:proofErr w:type="spellStart"/>
      <w:r>
        <w:rPr>
          <w:sz w:val="20"/>
          <w:szCs w:val="20"/>
          <w:rtl/>
        </w:rPr>
        <w:t xml:space="preserve">הלר</w:t>
      </w:r>
      <w:proofErr w:type="spellEnd"/>
      <w:r>
        <w:rPr>
          <w:sz w:val="20"/>
          <w:szCs w:val="20"/>
          <w:rtl/>
        </w:rPr>
        <w:t xml:space="preserve"> נטל על עצמו ושיישארו בלתי משולמים כשיעלה לארץ ישראל. ראה הפסקה הקודמת.</w:t>
      </w:r>
    </w:p>
  </w:footnote>
  <w:footnote w:id="2886">
    <w:p w14:paraId="69FBC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כתובות ס״ו ע״ב.</w:t>
      </w:r>
    </w:p>
  </w:footnote>
  <w:footnote w:id="2887">
    <w:p w14:paraId="7C1A08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רש״י שם.</w:t>
      </w:r>
    </w:p>
  </w:footnote>
  <w:footnote w:id="2888">
    <w:p w14:paraId="0DB77E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נרשם בהערת שוליים בספרו של כץ, “תנועת המוסר”, כרך ג, עמ׳ 291.</w:t>
      </w:r>
    </w:p>
  </w:footnote>
  <w:footnote w:id="2889">
    <w:p w14:paraId="5371A0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106.</w:t>
      </w:r>
    </w:p>
  </w:footnote>
  <w:footnote w:id="2890">
    <w:p w14:paraId="49227D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א לעיל – עמ׳ רע.</w:t>
      </w:r>
    </w:p>
  </w:footnote>
  <w:footnote w:id="2891">
    <w:p w14:paraId="4B2292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892">
    <w:p w14:paraId="0857B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כלשון הפסוק השני שבשמע: דברים ו, ה, ועוד.</w:t>
      </w:r>
    </w:p>
  </w:footnote>
  <w:footnote w:id="2893">
    <w:p w14:paraId="28980A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סיפר ר׳ דוד אפן (ששמע זאת מחותנו ר׳ לייב בקשט), בריאיון, 18 בדצמבר 1998.</w:t>
      </w:r>
    </w:p>
  </w:footnote>
  <w:footnote w:id="2894">
    <w:p w14:paraId="6BDA39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היסוד הוא במשנה, סוטה ח ע״ב, והלשון נמצא בהרבה מקומות בש״ס.</w:t>
      </w:r>
    </w:p>
  </w:footnote>
  <w:footnote w:id="2895">
    <w:p w14:paraId="2DCED3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היא נדפסה בספר זיכרון </w:t>
      </w:r>
      <w:proofErr w:type="spellStart"/>
      <w:r>
        <w:rPr>
          <w:sz w:val="20"/>
          <w:szCs w:val="20"/>
          <w:rtl/>
        </w:rPr>
        <w:t>סרנא</w:t>
      </w:r>
      <w:proofErr w:type="spellEnd"/>
      <w:r>
        <w:rPr>
          <w:sz w:val="20"/>
          <w:szCs w:val="20"/>
          <w:rtl/>
        </w:rPr>
        <w:t xml:space="preserve"> (הפסקה השלישית בנספח ד לעיל), עמ׳ תרד.</w:t>
      </w:r>
    </w:p>
  </w:footnote>
  <w:footnote w:id="2896">
    <w:p w14:paraId="728548C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28 באפריל 2000.</w:t>
      </w:r>
    </w:p>
  </w:footnote>
  <w:footnote w:id="2897">
    <w:p w14:paraId="7E4543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הפסקה הראשונה בנספח </w:t>
      </w:r>
      <w:proofErr w:type="spellStart"/>
      <w:r>
        <w:rPr>
          <w:sz w:val="20"/>
          <w:szCs w:val="20"/>
          <w:rtl/>
        </w:rPr>
        <w:t>יט</w:t>
      </w:r>
      <w:proofErr w:type="spellEnd"/>
      <w:r>
        <w:rPr>
          <w:sz w:val="20"/>
          <w:szCs w:val="20"/>
          <w:rtl/>
        </w:rPr>
        <w:t xml:space="preserve"> לעיל.</w:t>
      </w:r>
    </w:p>
  </w:footnote>
  <w:footnote w:id="2898">
    <w:p w14:paraId="422DC8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ריאיון, 6 בינואר 1992.</w:t>
      </w:r>
    </w:p>
  </w:footnote>
  <w:footnote w:id="2899">
    <w:p w14:paraId="7168D3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השישית בנספח </w:t>
      </w:r>
      <w:proofErr w:type="spellStart"/>
      <w:r>
        <w:rPr>
          <w:sz w:val="20"/>
          <w:szCs w:val="20"/>
          <w:rtl/>
        </w:rPr>
        <w:t>יח</w:t>
      </w:r>
      <w:proofErr w:type="spellEnd"/>
      <w:r>
        <w:rPr>
          <w:sz w:val="20"/>
          <w:szCs w:val="20"/>
          <w:rtl/>
        </w:rPr>
        <w:t xml:space="preserve"> לעיל – עמ׳ 277.</w:t>
      </w:r>
    </w:p>
  </w:footnote>
  <w:footnote w:id="2900">
    <w:p w14:paraId="5D7B97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הפסקה הראשונה בנספח </w:t>
      </w:r>
      <w:proofErr w:type="spellStart"/>
      <w:r>
        <w:rPr>
          <w:sz w:val="20"/>
          <w:szCs w:val="20"/>
          <w:rtl/>
        </w:rPr>
        <w:t>יח</w:t>
      </w:r>
      <w:proofErr w:type="spellEnd"/>
      <w:r>
        <w:rPr>
          <w:sz w:val="20"/>
          <w:szCs w:val="20"/>
          <w:rtl/>
        </w:rPr>
        <w:t xml:space="preserve"> לעיל.</w:t>
      </w:r>
    </w:p>
  </w:footnote>
  <w:footnote w:id="2901">
    <w:p w14:paraId="697AB37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מכון מאיר, תשנ״ב – עמ׳ </w:t>
      </w:r>
      <w:proofErr w:type="spellStart"/>
      <w:r>
        <w:rPr>
          <w:rStyle w:val="a5"/>
          <w:sz w:val="20"/>
          <w:szCs w:val="20"/>
          <w:vertAlign w:val="baseline"/>
          <w:rtl/>
        </w:rPr>
        <w:t>קעה</w:t>
      </w:r>
      <w:proofErr w:type="spellEnd"/>
      <w:r>
        <w:rPr>
          <w:rStyle w:val="a5"/>
          <w:sz w:val="20"/>
          <w:szCs w:val="20"/>
          <w:vertAlign w:val="baseline"/>
          <w:rtl/>
        </w:rPr>
        <w:t>.</w:t>
      </w:r>
    </w:p>
  </w:footnote>
  <w:footnote w:id="2902">
    <w:p w14:paraId="2344A8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 זה מופיע </w:t>
      </w:r>
      <w:proofErr w:type="spellStart"/>
      <w:r>
        <w:rPr>
          <w:sz w:val="20"/>
          <w:szCs w:val="20"/>
          <w:rtl/>
        </w:rPr>
        <w:t>ב“מורי</w:t>
      </w:r>
      <w:proofErr w:type="spellEnd"/>
      <w:r>
        <w:rPr>
          <w:sz w:val="20"/>
          <w:szCs w:val="20"/>
          <w:rtl/>
        </w:rPr>
        <w:t xml:space="preserve"> האומה”, כרך ה, מאת הרב ישראל </w:t>
      </w:r>
      <w:proofErr w:type="spellStart"/>
      <w:r>
        <w:rPr>
          <w:sz w:val="20"/>
          <w:szCs w:val="20"/>
          <w:rtl/>
        </w:rPr>
        <w:t>שורין</w:t>
      </w:r>
      <w:proofErr w:type="spellEnd"/>
      <w:r>
        <w:rPr>
          <w:sz w:val="20"/>
          <w:szCs w:val="20"/>
          <w:rtl/>
        </w:rPr>
        <w:t xml:space="preserve"> (ללא מקום ושנת הוצאה), עמ׳ 165.</w:t>
      </w:r>
    </w:p>
  </w:footnote>
  <w:footnote w:id="2903">
    <w:p w14:paraId="1BFF9F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חיים־עוזר</w:t>
      </w:r>
      <w:proofErr w:type="spellEnd"/>
      <w:r>
        <w:rPr>
          <w:sz w:val="20"/>
          <w:szCs w:val="20"/>
          <w:rtl/>
        </w:rPr>
        <w:t xml:space="preserve"> </w:t>
      </w:r>
      <w:proofErr w:type="spellStart"/>
      <w:r>
        <w:rPr>
          <w:sz w:val="20"/>
          <w:szCs w:val="20"/>
          <w:rtl/>
        </w:rPr>
        <w:t>סמיאטיצקי</w:t>
      </w:r>
      <w:proofErr w:type="spellEnd"/>
      <w:r>
        <w:rPr>
          <w:sz w:val="20"/>
          <w:szCs w:val="20"/>
          <w:rtl/>
        </w:rPr>
        <w:t>, כפי ששמע מר׳ לייב בקשט. ריאיון, 11 בינואר 1996.</w:t>
      </w:r>
    </w:p>
  </w:footnote>
  <w:footnote w:id="2904">
    <w:p w14:paraId="38A3E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נספח טו לעיל – עמ׳ 44.</w:t>
      </w:r>
    </w:p>
  </w:footnote>
  <w:footnote w:id="2905">
    <w:p w14:paraId="02ED59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120 לעיל.</w:t>
      </w:r>
    </w:p>
  </w:footnote>
  <w:footnote w:id="2906">
    <w:p w14:paraId="669EC0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w:t>
      </w:r>
      <w:proofErr w:type="spellStart"/>
      <w:r>
        <w:rPr>
          <w:sz w:val="20"/>
          <w:szCs w:val="20"/>
          <w:rtl/>
        </w:rPr>
        <w:t>פורטנוי</w:t>
      </w:r>
      <w:proofErr w:type="spellEnd"/>
      <w:r>
        <w:rPr>
          <w:sz w:val="20"/>
          <w:szCs w:val="20"/>
          <w:rtl/>
        </w:rPr>
        <w:t xml:space="preserve"> סיפר על המעשה בריאיון ב־13 בספטמבר 1997.</w:t>
      </w:r>
    </w:p>
  </w:footnote>
  <w:footnote w:id="2907">
    <w:p w14:paraId="733C360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8">
    <w:p w14:paraId="67F0BA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עירובין </w:t>
      </w:r>
      <w:proofErr w:type="spellStart"/>
      <w:r>
        <w:rPr>
          <w:sz w:val="20"/>
          <w:szCs w:val="20"/>
          <w:rtl/>
        </w:rPr>
        <w:t>יג</w:t>
      </w:r>
      <w:proofErr w:type="spellEnd"/>
      <w:r>
        <w:rPr>
          <w:sz w:val="20"/>
          <w:szCs w:val="20"/>
          <w:rtl/>
        </w:rPr>
        <w:t xml:space="preserve"> ע״ב, האי </w:t>
      </w:r>
      <w:proofErr w:type="spellStart"/>
      <w:r>
        <w:rPr>
          <w:sz w:val="20"/>
          <w:szCs w:val="20"/>
          <w:rtl/>
        </w:rPr>
        <w:t>דמחדדנא</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2909">
    <w:p w14:paraId="193651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נמסר בריאיון עם ר׳ יצחק פרמן, 17 בנובמבר 1987.</w:t>
      </w:r>
    </w:p>
  </w:footnote>
  <w:footnote w:id="2910">
    <w:p w14:paraId="53E13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הראשונה בנספח </w:t>
      </w:r>
      <w:proofErr w:type="spellStart"/>
      <w:r>
        <w:rPr>
          <w:sz w:val="20"/>
          <w:szCs w:val="20"/>
          <w:rtl/>
        </w:rPr>
        <w:t>יח</w:t>
      </w:r>
      <w:proofErr w:type="spellEnd"/>
      <w:r>
        <w:rPr>
          <w:sz w:val="20"/>
          <w:szCs w:val="20"/>
          <w:rtl/>
        </w:rPr>
        <w:t>, הערה 135 והפסקה השנייה בהערה 137 בפרק זה.</w:t>
      </w:r>
    </w:p>
  </w:footnote>
  <w:footnote w:id="2911">
    <w:p w14:paraId="01E269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18 לעיל – עמ׳ </w:t>
      </w:r>
      <w:proofErr w:type="spellStart"/>
      <w:r>
        <w:rPr>
          <w:sz w:val="20"/>
          <w:szCs w:val="20"/>
          <w:rtl/>
        </w:rPr>
        <w:t>יז</w:t>
      </w:r>
      <w:proofErr w:type="spellEnd"/>
      <w:r>
        <w:rPr>
          <w:sz w:val="20"/>
          <w:szCs w:val="20"/>
          <w:rtl/>
        </w:rPr>
        <w:t>–</w:t>
      </w:r>
      <w:proofErr w:type="spellStart"/>
      <w:r>
        <w:rPr>
          <w:sz w:val="20"/>
          <w:szCs w:val="20"/>
          <w:rtl/>
        </w:rPr>
        <w:t>יח</w:t>
      </w:r>
      <w:proofErr w:type="spellEnd"/>
      <w:r>
        <w:rPr>
          <w:sz w:val="20"/>
          <w:szCs w:val="20"/>
          <w:rtl/>
        </w:rPr>
        <w:t>.</w:t>
      </w:r>
    </w:p>
  </w:footnote>
  <w:footnote w:id="2912">
    <w:p w14:paraId="65F863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באפריל 1998.</w:t>
      </w:r>
    </w:p>
  </w:footnote>
  <w:footnote w:id="2913">
    <w:p w14:paraId="0510C2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חתנו ר׳ דוד אפן – ראה נספח </w:t>
      </w:r>
      <w:proofErr w:type="spellStart"/>
      <w:r>
        <w:rPr>
          <w:sz w:val="20"/>
          <w:szCs w:val="20"/>
          <w:rtl/>
        </w:rPr>
        <w:t>כט</w:t>
      </w:r>
      <w:proofErr w:type="spellEnd"/>
      <w:r>
        <w:rPr>
          <w:sz w:val="20"/>
          <w:szCs w:val="20"/>
          <w:rtl/>
        </w:rPr>
        <w:t xml:space="preserve"> לעיל.</w:t>
      </w:r>
    </w:p>
  </w:footnote>
  <w:footnote w:id="2914">
    <w:p w14:paraId="6F144F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יט</w:t>
      </w:r>
      <w:proofErr w:type="spellEnd"/>
      <w:r>
        <w:rPr>
          <w:sz w:val="20"/>
          <w:szCs w:val="20"/>
          <w:rtl/>
        </w:rPr>
        <w:t>.</w:t>
      </w:r>
    </w:p>
  </w:footnote>
  <w:footnote w:id="2915">
    <w:p w14:paraId="794B1A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שם, עמ׳ </w:t>
      </w:r>
      <w:proofErr w:type="spellStart"/>
      <w:r>
        <w:rPr>
          <w:sz w:val="20"/>
          <w:szCs w:val="20"/>
          <w:rtl/>
        </w:rPr>
        <w:t>כו</w:t>
      </w:r>
      <w:proofErr w:type="spellEnd"/>
      <w:r>
        <w:rPr>
          <w:sz w:val="20"/>
          <w:szCs w:val="20"/>
          <w:rtl/>
        </w:rPr>
        <w:t>.</w:t>
      </w:r>
    </w:p>
  </w:footnote>
  <w:footnote w:id="2916">
    <w:p w14:paraId="5153E7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יד.</w:t>
      </w:r>
    </w:p>
  </w:footnote>
  <w:footnote w:id="2917">
    <w:p w14:paraId="1AEB0C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נב במספור העמודים השני.</w:t>
      </w:r>
    </w:p>
  </w:footnote>
  <w:footnote w:id="2918">
    <w:p w14:paraId="46589B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כמוזכר בסוף הפסקה הראשונה בנספח </w:t>
      </w:r>
      <w:proofErr w:type="spellStart"/>
      <w:r>
        <w:rPr>
          <w:sz w:val="20"/>
          <w:szCs w:val="20"/>
          <w:rtl/>
        </w:rPr>
        <w:t>יח</w:t>
      </w:r>
      <w:proofErr w:type="spellEnd"/>
      <w:r>
        <w:rPr>
          <w:sz w:val="20"/>
          <w:szCs w:val="20"/>
          <w:rtl/>
        </w:rPr>
        <w:t xml:space="preserve"> לעיל.</w:t>
      </w:r>
    </w:p>
  </w:footnote>
  <w:footnote w:id="2919">
    <w:p w14:paraId="504400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מבואר בספרו של </w:t>
      </w:r>
      <w:proofErr w:type="spellStart"/>
      <w:r>
        <w:rPr>
          <w:sz w:val="20"/>
          <w:szCs w:val="20"/>
          <w:rtl/>
        </w:rPr>
        <w:t>ידעאל</w:t>
      </w:r>
      <w:proofErr w:type="spellEnd"/>
      <w:r>
        <w:rPr>
          <w:sz w:val="20"/>
          <w:szCs w:val="20"/>
          <w:rtl/>
        </w:rPr>
        <w:t xml:space="preserve"> מלצר, “בדרך עץ החיים” (הערה 6 לעיל), בראש עמ׳ 186.</w:t>
      </w:r>
    </w:p>
  </w:footnote>
  <w:footnote w:id="2920">
    <w:p w14:paraId="5BD7F5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ל לעיל.</w:t>
      </w:r>
    </w:p>
  </w:footnote>
  <w:footnote w:id="2921">
    <w:p w14:paraId="07035B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בנובמבר 1991.</w:t>
      </w:r>
    </w:p>
  </w:footnote>
  <w:footnote w:id="2922">
    <w:p w14:paraId="26DDB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23">
    <w:p w14:paraId="23530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יא לעיל – עמ׳ 210.</w:t>
      </w:r>
    </w:p>
  </w:footnote>
  <w:footnote w:id="2924">
    <w:p w14:paraId="446502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5, הפסקה התשיעית בנספח ו, שבה מובאים דברי יעקב מארק (עמ׳ 42) ודברי בנו של ר׳ חיים, ר׳ יצחק־זאב.</w:t>
      </w:r>
    </w:p>
  </w:footnote>
  <w:footnote w:id="2925">
    <w:p w14:paraId="720B30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מה ייתכן שהיה הדבר.</w:t>
      </w:r>
    </w:p>
  </w:footnote>
  <w:footnote w:id="2926">
    <w:p w14:paraId="325F61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“המועדים בהלכה”, מאת שלמה יוסף </w:t>
      </w:r>
      <w:proofErr w:type="spellStart"/>
      <w:r>
        <w:rPr>
          <w:sz w:val="20"/>
          <w:szCs w:val="20"/>
          <w:rtl/>
        </w:rPr>
        <w:t>זוין</w:t>
      </w:r>
      <w:proofErr w:type="spellEnd"/>
      <w:r>
        <w:rPr>
          <w:sz w:val="20"/>
          <w:szCs w:val="20"/>
          <w:rtl/>
        </w:rPr>
        <w:t xml:space="preserve"> (הוצאת ספרים אברהם ציוני, תל אביב, תשכ״ג), עמ׳ קנח; ומכתב מאת ר׳ יחזקאל </w:t>
      </w:r>
      <w:proofErr w:type="spellStart"/>
      <w:r>
        <w:rPr>
          <w:sz w:val="20"/>
          <w:szCs w:val="20"/>
          <w:rtl/>
        </w:rPr>
        <w:t>אברמסקי</w:t>
      </w:r>
      <w:proofErr w:type="spellEnd"/>
      <w:r>
        <w:rPr>
          <w:sz w:val="20"/>
          <w:szCs w:val="20"/>
          <w:rtl/>
        </w:rPr>
        <w:t xml:space="preserve"> המובא בחלק “הערות והשגות” שבכתב העת התורני “יגדיל תורה” (הנזכר לעיל בנספח </w:t>
      </w:r>
      <w:proofErr w:type="spellStart"/>
      <w:r>
        <w:rPr>
          <w:sz w:val="20"/>
          <w:szCs w:val="20"/>
          <w:rtl/>
        </w:rPr>
        <w:t>יז</w:t>
      </w:r>
      <w:proofErr w:type="spellEnd"/>
      <w:r>
        <w:rPr>
          <w:sz w:val="20"/>
          <w:szCs w:val="20"/>
          <w:rtl/>
        </w:rPr>
        <w:t xml:space="preserve">), שנה שנייה, קונטרס </w:t>
      </w:r>
      <w:proofErr w:type="spellStart"/>
      <w:r>
        <w:rPr>
          <w:sz w:val="20"/>
          <w:szCs w:val="20"/>
          <w:rtl/>
        </w:rPr>
        <w:t>יג</w:t>
      </w:r>
      <w:proofErr w:type="spellEnd"/>
      <w:r>
        <w:rPr>
          <w:sz w:val="20"/>
          <w:szCs w:val="20"/>
          <w:rtl/>
        </w:rPr>
        <w:t xml:space="preserve">. הקונטרס יצא בחיי ר׳ חיים, כשלוש שנים אחרי שהעלה ר׳ מנדל שוק את </w:t>
      </w:r>
      <w:proofErr w:type="spellStart"/>
      <w:r>
        <w:rPr>
          <w:sz w:val="20"/>
          <w:szCs w:val="20"/>
          <w:rtl/>
        </w:rPr>
        <w:t>הוורט</w:t>
      </w:r>
      <w:proofErr w:type="spellEnd"/>
      <w:r>
        <w:rPr>
          <w:sz w:val="20"/>
          <w:szCs w:val="20"/>
          <w:rtl/>
        </w:rPr>
        <w:t xml:space="preserve"> הזה בנסיעה ברכבת – לפי החישוב בפרק 2, הערה 106, של תקופת לימודיו של הרב </w:t>
      </w:r>
      <w:proofErr w:type="spellStart"/>
      <w:r>
        <w:rPr>
          <w:sz w:val="20"/>
          <w:szCs w:val="20"/>
          <w:rtl/>
        </w:rPr>
        <w:t>גרוזובסקי</w:t>
      </w:r>
      <w:proofErr w:type="spellEnd"/>
      <w:r>
        <w:rPr>
          <w:sz w:val="20"/>
          <w:szCs w:val="20"/>
          <w:rtl/>
        </w:rPr>
        <w:t xml:space="preserve"> </w:t>
      </w:r>
      <w:proofErr w:type="spellStart"/>
      <w:r>
        <w:rPr>
          <w:sz w:val="20"/>
          <w:szCs w:val="20"/>
          <w:rtl/>
        </w:rPr>
        <w:t>במיר</w:t>
      </w:r>
      <w:proofErr w:type="spellEnd"/>
      <w:r>
        <w:rPr>
          <w:sz w:val="20"/>
          <w:szCs w:val="20"/>
          <w:rtl/>
        </w:rPr>
        <w:t>.</w:t>
      </w:r>
    </w:p>
    <w:p w14:paraId="103456AA" w14:textId="77777777" w:rsidR="00AB3647" w:rsidRDefault="00000000">
      <w:pPr>
        <w:spacing w:after="0" w:before="0"/>
        <w:jc w:val="both"/>
      </w:pPr>
      <w:r>
        <w:rPr>
          <w:sz w:val="20"/>
          <w:szCs w:val="20"/>
          <w:rtl/>
        </w:rPr>
        <w:t xml:space="preserve">יש להניח שר׳ חיים עצמו ראה לבסוף את מכתבו של ר׳ יחזקאל </w:t>
      </w:r>
      <w:proofErr w:type="spellStart"/>
      <w:r>
        <w:rPr>
          <w:sz w:val="20"/>
          <w:szCs w:val="20"/>
          <w:rtl/>
        </w:rPr>
        <w:t>אברמסקי</w:t>
      </w:r>
      <w:proofErr w:type="spellEnd"/>
      <w:r>
        <w:rPr>
          <w:sz w:val="20"/>
          <w:szCs w:val="20"/>
          <w:rtl/>
        </w:rPr>
        <w:t xml:space="preserve"> </w:t>
      </w:r>
      <w:proofErr w:type="spellStart"/>
      <w:r>
        <w:rPr>
          <w:sz w:val="20"/>
          <w:szCs w:val="20"/>
          <w:rtl/>
        </w:rPr>
        <w:t>ב“יגדיל</w:t>
      </w:r>
      <w:proofErr w:type="spellEnd"/>
      <w:r>
        <w:rPr>
          <w:sz w:val="20"/>
          <w:szCs w:val="20"/>
          <w:rtl/>
        </w:rPr>
        <w:t xml:space="preserve"> תורה”, שכן בעמ׳ 83 של “פנקס </w:t>
      </w:r>
      <w:proofErr w:type="spellStart"/>
      <w:r>
        <w:rPr>
          <w:sz w:val="20"/>
          <w:szCs w:val="20"/>
          <w:rtl/>
        </w:rPr>
        <w:t>סלוצק</w:t>
      </w:r>
      <w:proofErr w:type="spellEnd"/>
      <w:r>
        <w:rPr>
          <w:sz w:val="20"/>
          <w:szCs w:val="20"/>
          <w:rtl/>
        </w:rPr>
        <w:t xml:space="preserve">” (נספח טו לעיל) כותב הרב ניסן וקסמן, במאמר שכותרתו “אכסניה של תורה”: “כששהה הגאון ר׳ </w:t>
      </w:r>
      <w:proofErr w:type="spellStart"/>
      <w:r>
        <w:rPr>
          <w:sz w:val="20"/>
          <w:szCs w:val="20"/>
          <w:rtl/>
        </w:rPr>
        <w:t>ברוך־בר</w:t>
      </w:r>
      <w:proofErr w:type="spellEnd"/>
      <w:r>
        <w:rPr>
          <w:sz w:val="20"/>
          <w:szCs w:val="20"/>
          <w:rtl/>
        </w:rPr>
        <w:t xml:space="preserve"> בשנת תרפ״ט באמריקה וביקר בביתו של הרב </w:t>
      </w:r>
      <w:proofErr w:type="spellStart"/>
      <w:r>
        <w:rPr>
          <w:sz w:val="20"/>
          <w:szCs w:val="20"/>
          <w:rtl/>
        </w:rPr>
        <w:t>טומשוב</w:t>
      </w:r>
      <w:proofErr w:type="spellEnd"/>
      <w:r>
        <w:rPr>
          <w:sz w:val="20"/>
          <w:szCs w:val="20"/>
          <w:rtl/>
        </w:rPr>
        <w:t xml:space="preserve"> נתקל מבטו במאסף ‘יגדיל תורה’, שעמד מכורך בחדר הספרים שלו, פתחו ועיין בו בהערצה ובחיבה. אחרי כן פנה אל הרב ט. ואמר: היודע כבודו למה אני מסתכל בו, מפני שגם רבי – הגאון ר׳ חיים </w:t>
      </w:r>
      <w:proofErr w:type="spellStart"/>
      <w:r>
        <w:rPr>
          <w:sz w:val="20"/>
          <w:szCs w:val="20"/>
          <w:rtl/>
        </w:rPr>
        <w:t xml:space="preserve">סולובייצ׳יק</w:t>
      </w:r>
      <w:proofErr w:type="spellEnd"/>
      <w:r>
        <w:rPr>
          <w:sz w:val="20"/>
          <w:szCs w:val="20"/>
          <w:rtl/>
        </w:rPr>
        <w:t xml:space="preserve"> – היה מעיין בו ומחבבו.”</w:t>
      </w:r>
    </w:p>
  </w:footnote>
  <w:footnote w:id="2927">
    <w:p w14:paraId="42ED7F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את ראשית מאמרו של הרב מנחם </w:t>
      </w:r>
      <w:proofErr w:type="spellStart"/>
      <w:r>
        <w:rPr>
          <w:sz w:val="20"/>
          <w:szCs w:val="20"/>
          <w:rtl/>
        </w:rPr>
        <w:t>מענדל</w:t>
      </w:r>
      <w:proofErr w:type="spellEnd"/>
      <w:r>
        <w:rPr>
          <w:sz w:val="20"/>
          <w:szCs w:val="20"/>
          <w:rtl/>
        </w:rPr>
        <w:t xml:space="preserve"> שוק, “אכילה או טעימה קודם תקיעת שופר”, </w:t>
      </w:r>
      <w:proofErr w:type="spellStart"/>
      <w:r>
        <w:rPr>
          <w:sz w:val="20"/>
          <w:szCs w:val="20"/>
          <w:rtl/>
        </w:rPr>
        <w:t>ב“מוריה</w:t>
      </w:r>
      <w:proofErr w:type="spellEnd"/>
      <w:r>
        <w:rPr>
          <w:sz w:val="20"/>
          <w:szCs w:val="20"/>
          <w:rtl/>
        </w:rPr>
        <w:t xml:space="preserve">” (אלול תש״ל / תשרי תשל״א; יוצא לאור על ידי תנועה להפצת תורה, ירושלים), עמ׳ נח. שם מזכיר ר׳ מנדל שוק פרטים אחדים מהנהגתו של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w:t>
      </w:r>
      <w:proofErr w:type="spellStart"/>
      <w:r>
        <w:rPr>
          <w:sz w:val="20"/>
          <w:szCs w:val="20"/>
          <w:rtl/>
        </w:rPr>
        <w:t>בסלבודקה</w:t>
      </w:r>
      <w:proofErr w:type="spellEnd"/>
      <w:r>
        <w:rPr>
          <w:sz w:val="20"/>
          <w:szCs w:val="20"/>
          <w:rtl/>
        </w:rPr>
        <w:t>, שזכר מילדותו שם.</w:t>
      </w:r>
    </w:p>
  </w:footnote>
  <w:footnote w:id="2928">
    <w:p w14:paraId="2C42AB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בלי מקום ושנת דפוס.</w:t>
      </w:r>
    </w:p>
  </w:footnote>
  <w:footnote w:id="2929">
    <w:p w14:paraId="14B723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9 באוגוסט 1936.</w:t>
      </w:r>
    </w:p>
  </w:footnote>
  <w:footnote w:id="2930">
    <w:p w14:paraId="50D41A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בינואר 1998.</w:t>
      </w:r>
    </w:p>
  </w:footnote>
  <w:footnote w:id="2931">
    <w:p w14:paraId="7411FB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שהרב </w:t>
      </w:r>
      <w:proofErr w:type="spellStart"/>
      <w:r>
        <w:rPr>
          <w:sz w:val="20"/>
          <w:szCs w:val="20"/>
          <w:rtl/>
        </w:rPr>
        <w:t>סילבר</w:t>
      </w:r>
      <w:proofErr w:type="spellEnd"/>
      <w:r>
        <w:rPr>
          <w:sz w:val="20"/>
          <w:szCs w:val="20"/>
          <w:rtl/>
        </w:rPr>
        <w:t xml:space="preserve"> שמע זאת מן העילוי </w:t>
      </w:r>
      <w:proofErr w:type="spellStart"/>
      <w:r>
        <w:rPr>
          <w:sz w:val="20"/>
          <w:szCs w:val="20"/>
          <w:rtl/>
        </w:rPr>
        <w:t>ממייצ׳ט</w:t>
      </w:r>
      <w:proofErr w:type="spellEnd"/>
      <w:r>
        <w:rPr>
          <w:sz w:val="20"/>
          <w:szCs w:val="20"/>
          <w:rtl/>
        </w:rPr>
        <w:t xml:space="preserve"> כשלמדו יחד אצל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 ראה “תקופת </w:t>
      </w:r>
      <w:proofErr w:type="spellStart"/>
      <w:r>
        <w:rPr>
          <w:sz w:val="20"/>
          <w:szCs w:val="20"/>
          <w:rtl/>
        </w:rPr>
        <w:t>סילבר</w:t>
      </w:r>
      <w:proofErr w:type="spellEnd"/>
      <w:r>
        <w:rPr>
          <w:sz w:val="20"/>
          <w:szCs w:val="20"/>
          <w:rtl/>
        </w:rPr>
        <w:t xml:space="preserve">” מאת אהרן </w:t>
      </w:r>
      <w:proofErr w:type="spellStart"/>
      <w:r>
        <w:rPr>
          <w:sz w:val="20"/>
          <w:szCs w:val="20"/>
          <w:rtl/>
        </w:rPr>
        <w:t>רקפת־רוטקוף</w:t>
      </w:r>
      <w:proofErr w:type="spellEnd"/>
      <w:r>
        <w:rPr>
          <w:sz w:val="20"/>
          <w:szCs w:val="20"/>
          <w:rtl/>
        </w:rPr>
        <w:t xml:space="preserve"> (הוצאת ישיבה </w:t>
      </w:r>
      <w:proofErr w:type="spellStart"/>
      <w:r>
        <w:rPr>
          <w:sz w:val="20"/>
          <w:szCs w:val="20"/>
          <w:rtl/>
        </w:rPr>
        <w:t>יוניברסיטי</w:t>
      </w:r>
      <w:proofErr w:type="spellEnd"/>
      <w:r>
        <w:rPr>
          <w:sz w:val="20"/>
          <w:szCs w:val="20"/>
          <w:rtl/>
        </w:rPr>
        <w:t xml:space="preserve"> והוצאת </w:t>
      </w:r>
      <w:proofErr w:type="spellStart"/>
      <w:r>
        <w:rPr>
          <w:sz w:val="20"/>
          <w:szCs w:val="20"/>
          <w:rtl/>
        </w:rPr>
        <w:t>פלדהיים</w:t>
      </w:r>
      <w:proofErr w:type="spellEnd"/>
      <w:r>
        <w:rPr>
          <w:sz w:val="20"/>
          <w:szCs w:val="20"/>
          <w:rtl/>
        </w:rPr>
        <w:t xml:space="preserve">, ירושלים / ניו יורק, תשמ״א), עמ׳ 50. אבל </w:t>
      </w:r>
      <w:proofErr w:type="spellStart"/>
      <w:r>
        <w:rPr>
          <w:sz w:val="20"/>
          <w:szCs w:val="20"/>
          <w:rtl/>
        </w:rPr>
        <w:t>רקפת־רוטקוף</w:t>
      </w:r>
      <w:proofErr w:type="spellEnd"/>
      <w:r>
        <w:rPr>
          <w:sz w:val="20"/>
          <w:szCs w:val="20"/>
          <w:rtl/>
        </w:rPr>
        <w:t xml:space="preserve"> טועה כשהוא מספר שהרב </w:t>
      </w:r>
      <w:proofErr w:type="spellStart"/>
      <w:r>
        <w:rPr>
          <w:sz w:val="20"/>
          <w:szCs w:val="20"/>
          <w:rtl/>
        </w:rPr>
        <w:t>סילבר</w:t>
      </w:r>
      <w:proofErr w:type="spellEnd"/>
      <w:r>
        <w:rPr>
          <w:sz w:val="20"/>
          <w:szCs w:val="20"/>
          <w:rtl/>
        </w:rPr>
        <w:t xml:space="preserve"> עזב את הכולל של ר׳ </w:t>
      </w:r>
      <w:proofErr w:type="spellStart"/>
      <w:r>
        <w:rPr>
          <w:sz w:val="20"/>
          <w:szCs w:val="20"/>
          <w:rtl/>
        </w:rPr>
        <w:t>חיים־עוזר</w:t>
      </w:r>
      <w:proofErr w:type="spellEnd"/>
      <w:r>
        <w:rPr>
          <w:sz w:val="20"/>
          <w:szCs w:val="20"/>
          <w:rtl/>
        </w:rPr>
        <w:t xml:space="preserve"> </w:t>
      </w:r>
      <w:proofErr w:type="spellStart"/>
      <w:r>
        <w:rPr>
          <w:sz w:val="20"/>
          <w:szCs w:val="20"/>
          <w:rtl/>
        </w:rPr>
        <w:t>לבריסק</w:t>
      </w:r>
      <w:proofErr w:type="spellEnd"/>
      <w:r>
        <w:rPr>
          <w:sz w:val="20"/>
          <w:szCs w:val="20"/>
          <w:rtl/>
        </w:rPr>
        <w:t xml:space="preserve">, מצויד במכתב המלצה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“יחד עם חברו הקרוב ביותר, שלמה </w:t>
      </w:r>
      <w:proofErr w:type="spellStart"/>
      <w:r>
        <w:rPr>
          <w:sz w:val="20"/>
          <w:szCs w:val="20"/>
          <w:rtl/>
        </w:rPr>
        <w:t>פוליצ׳ק</w:t>
      </w:r>
      <w:proofErr w:type="spellEnd"/>
      <w:r>
        <w:rPr>
          <w:sz w:val="20"/>
          <w:szCs w:val="20"/>
          <w:rtl/>
        </w:rPr>
        <w:t xml:space="preserve">”. ר׳ שלמה </w:t>
      </w:r>
      <w:proofErr w:type="spellStart"/>
      <w:r>
        <w:rPr>
          <w:sz w:val="20"/>
          <w:szCs w:val="20"/>
          <w:rtl/>
        </w:rPr>
        <w:t>פוליצ׳ק</w:t>
      </w:r>
      <w:proofErr w:type="spellEnd"/>
      <w:r>
        <w:rPr>
          <w:sz w:val="20"/>
          <w:szCs w:val="20"/>
          <w:rtl/>
        </w:rPr>
        <w:t xml:space="preserve"> עזב את </w:t>
      </w:r>
      <w:proofErr w:type="spellStart"/>
      <w:r>
        <w:rPr>
          <w:sz w:val="20"/>
          <w:szCs w:val="20"/>
          <w:rtl/>
        </w:rPr>
        <w:t>בריסק</w:t>
      </w:r>
      <w:proofErr w:type="spellEnd"/>
      <w:r>
        <w:rPr>
          <w:sz w:val="20"/>
          <w:szCs w:val="20"/>
          <w:rtl/>
        </w:rPr>
        <w:t xml:space="preserve"> </w:t>
      </w:r>
      <w:proofErr w:type="spellStart"/>
      <w:r>
        <w:rPr>
          <w:sz w:val="20"/>
          <w:szCs w:val="20"/>
          <w:rtl/>
        </w:rPr>
        <w:t>בתרנ״ו</w:t>
      </w:r>
      <w:proofErr w:type="spellEnd"/>
      <w:r>
        <w:rPr>
          <w:sz w:val="20"/>
          <w:szCs w:val="20"/>
          <w:rtl/>
        </w:rPr>
        <w:t xml:space="preserve">, לפני שהצטרף לכולל של ר׳ </w:t>
      </w:r>
      <w:proofErr w:type="spellStart"/>
      <w:r>
        <w:rPr>
          <w:sz w:val="20"/>
          <w:szCs w:val="20"/>
          <w:rtl/>
        </w:rPr>
        <w:t>חיים־עוזר</w:t>
      </w:r>
      <w:proofErr w:type="spellEnd"/>
      <w:r>
        <w:rPr>
          <w:sz w:val="20"/>
          <w:szCs w:val="20"/>
          <w:rtl/>
        </w:rPr>
        <w:t xml:space="preserve">, כשהרב </w:t>
      </w:r>
      <w:proofErr w:type="spellStart"/>
      <w:r>
        <w:rPr>
          <w:sz w:val="20"/>
          <w:szCs w:val="20"/>
          <w:rtl/>
        </w:rPr>
        <w:t>סילבר</w:t>
      </w:r>
      <w:proofErr w:type="spellEnd"/>
      <w:r>
        <w:rPr>
          <w:sz w:val="20"/>
          <w:szCs w:val="20"/>
          <w:rtl/>
        </w:rPr>
        <w:t xml:space="preserve"> היה בן </w:t>
      </w:r>
      <w:proofErr w:type="spellStart"/>
      <w:r>
        <w:rPr>
          <w:sz w:val="20"/>
          <w:szCs w:val="20"/>
          <w:rtl/>
        </w:rPr>
        <w:t>חמש־עשרה</w:t>
      </w:r>
      <w:proofErr w:type="spellEnd"/>
      <w:r>
        <w:rPr>
          <w:sz w:val="20"/>
          <w:szCs w:val="20"/>
          <w:rtl/>
        </w:rPr>
        <w:t xml:space="preserve"> בלבד! הרב </w:t>
      </w:r>
      <w:proofErr w:type="spellStart"/>
      <w:r>
        <w:rPr>
          <w:sz w:val="20"/>
          <w:szCs w:val="20"/>
          <w:rtl/>
        </w:rPr>
        <w:t>סילבר</w:t>
      </w:r>
      <w:proofErr w:type="spellEnd"/>
      <w:r>
        <w:rPr>
          <w:sz w:val="20"/>
          <w:szCs w:val="20"/>
          <w:rtl/>
        </w:rPr>
        <w:t xml:space="preserve"> נסע מן הכולל של ר׳ </w:t>
      </w:r>
      <w:proofErr w:type="spellStart"/>
      <w:r>
        <w:rPr>
          <w:sz w:val="20"/>
          <w:szCs w:val="20"/>
          <w:rtl/>
        </w:rPr>
        <w:t>חיים־עוזר</w:t>
      </w:r>
      <w:proofErr w:type="spellEnd"/>
      <w:r>
        <w:rPr>
          <w:sz w:val="20"/>
          <w:szCs w:val="20"/>
          <w:rtl/>
        </w:rPr>
        <w:t xml:space="preserve"> אל ר׳ חיים </w:t>
      </w:r>
      <w:proofErr w:type="spellStart"/>
      <w:r>
        <w:rPr>
          <w:sz w:val="20"/>
          <w:szCs w:val="20"/>
          <w:rtl/>
        </w:rPr>
        <w:t>סולובייצ׳יק</w:t>
      </w:r>
      <w:proofErr w:type="spellEnd"/>
      <w:r>
        <w:rPr>
          <w:sz w:val="20"/>
          <w:szCs w:val="20"/>
          <w:rtl/>
        </w:rPr>
        <w:t xml:space="preserve"> לבדו, </w:t>
      </w:r>
      <w:proofErr w:type="spellStart"/>
      <w:r>
        <w:rPr>
          <w:sz w:val="20"/>
          <w:szCs w:val="20"/>
          <w:rtl/>
        </w:rPr>
        <w:t>בתר״ס</w:t>
      </w:r>
      <w:proofErr w:type="spellEnd"/>
      <w:r>
        <w:rPr>
          <w:sz w:val="20"/>
          <w:szCs w:val="20"/>
          <w:rtl/>
        </w:rPr>
        <w:t>, על פי האמור שם, עמ׳ 49, או מאוחר יותר.</w:t>
      </w:r>
    </w:p>
  </w:footnote>
  <w:footnote w:id="2932">
    <w:p w14:paraId="70F11F3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ב־9 באוגוסט 1992.</w:t>
      </w:r>
    </w:p>
  </w:footnote>
  <w:footnote w:id="2933">
    <w:p w14:paraId="6D46AB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נספח ו, שר׳ ראובן היה מאזין נלהב לשיעוריו של ר׳ </w:t>
      </w:r>
      <w:proofErr w:type="spellStart"/>
      <w:r>
        <w:rPr>
          <w:sz w:val="20"/>
          <w:szCs w:val="20"/>
          <w:rtl/>
        </w:rPr>
        <w:t>ברוך־בער</w:t>
      </w:r>
      <w:proofErr w:type="spellEnd"/>
      <w:r>
        <w:rPr>
          <w:sz w:val="20"/>
          <w:szCs w:val="20"/>
          <w:rtl/>
        </w:rPr>
        <w:t xml:space="preserve"> בכנסת בית יצחק </w:t>
      </w:r>
      <w:proofErr w:type="spellStart"/>
      <w:r>
        <w:rPr>
          <w:sz w:val="20"/>
          <w:szCs w:val="20"/>
          <w:rtl/>
        </w:rPr>
        <w:t>בסלבודקה</w:t>
      </w:r>
      <w:proofErr w:type="spellEnd"/>
      <w:r>
        <w:rPr>
          <w:sz w:val="20"/>
          <w:szCs w:val="20"/>
          <w:rtl/>
        </w:rPr>
        <w:t xml:space="preserve">, בעודו תלמיד בישיבת </w:t>
      </w:r>
      <w:proofErr w:type="spellStart"/>
      <w:r>
        <w:rPr>
          <w:sz w:val="20"/>
          <w:szCs w:val="20"/>
          <w:rtl/>
        </w:rPr>
        <w:t>סלבודקה</w:t>
      </w:r>
      <w:proofErr w:type="spellEnd"/>
      <w:r>
        <w:rPr>
          <w:sz w:val="20"/>
          <w:szCs w:val="20"/>
          <w:rtl/>
        </w:rPr>
        <w:t xml:space="preserve"> האחרת, כנסת ישראל.</w:t>
      </w:r>
    </w:p>
  </w:footnote>
  <w:footnote w:id="2934">
    <w:p w14:paraId="4B1C6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הרעיון הפשוט שמסר ר׳ מנדל שוק </w:t>
      </w:r>
      <w:proofErr w:type="spellStart"/>
      <w:r>
        <w:rPr>
          <w:sz w:val="20"/>
          <w:szCs w:val="20"/>
          <w:rtl/>
        </w:rPr>
        <w:t>לר</w:t>
      </w:r>
      <w:proofErr w:type="spellEnd"/>
      <w:r>
        <w:rPr>
          <w:sz w:val="20"/>
          <w:szCs w:val="20"/>
          <w:rtl/>
        </w:rPr>
        <w:t xml:space="preserve">׳ </w:t>
      </w:r>
      <w:proofErr w:type="spellStart"/>
      <w:r>
        <w:rPr>
          <w:sz w:val="20"/>
          <w:szCs w:val="20"/>
          <w:rtl/>
        </w:rPr>
        <w:t>ברוך־בער</w:t>
      </w:r>
      <w:proofErr w:type="spellEnd"/>
      <w:r>
        <w:rPr>
          <w:sz w:val="20"/>
          <w:szCs w:val="20"/>
          <w:rtl/>
        </w:rPr>
        <w:t xml:space="preserve"> לא יכול היה הלה להחיל את ההסבר הזה, ונשאר בתמיהתו מדוע התנער ממנו ר׳ חיים.</w:t>
      </w:r>
    </w:p>
  </w:footnote>
  <w:footnote w:id="2935">
    <w:p w14:paraId="1C5262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יצא לאור בידי ידידיה הלוי פרנקל, ירושלים – עמ׳ 16.</w:t>
      </w:r>
    </w:p>
  </w:footnote>
  <w:footnote w:id="2936">
    <w:p w14:paraId="1F8E5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פא.</w:t>
      </w:r>
    </w:p>
  </w:footnote>
  <w:footnote w:id="2937">
    <w:p w14:paraId="33FD04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במרס 1996.</w:t>
      </w:r>
    </w:p>
  </w:footnote>
  <w:footnote w:id="2938">
    <w:p w14:paraId="0CA54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דיווחה אחייניתו של ר׳ ראובן, דבורה אפשטיין – השווה פרק 2, הערה 86.</w:t>
      </w:r>
    </w:p>
  </w:footnote>
  <w:footnote w:id="2939">
    <w:p w14:paraId="3B8DB6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w:t>
      </w:r>
      <w:proofErr w:type="spellStart"/>
      <w:r>
        <w:rPr>
          <w:sz w:val="20"/>
          <w:szCs w:val="20"/>
          <w:rtl/>
        </w:rPr>
        <w:t>יט</w:t>
      </w:r>
      <w:proofErr w:type="spellEnd"/>
      <w:r>
        <w:rPr>
          <w:sz w:val="20"/>
          <w:szCs w:val="20"/>
          <w:rtl/>
        </w:rPr>
        <w:t xml:space="preserve"> לעיל.</w:t>
      </w:r>
    </w:p>
  </w:footnote>
  <w:footnote w:id="2940">
    <w:p w14:paraId="46A5C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פרק 5, הפסקה השנייה בנספח ב (עמ׳ </w:t>
      </w:r>
      <w:r>
        <w:rPr>
          <w:rStyle w:val="a5"/>
          <w:sz w:val="20"/>
          <w:szCs w:val="20"/>
          <w:vertAlign w:val="baseline"/>
          <w:rtl/>
        </w:rPr>
        <w:fldChar w:fldCharType="begin" w:dirty="true"/>
      </w:r>
      <w:r>
        <w:rPr>
          <w:rStyle w:val="a5"/>
          <w:sz w:val="20"/>
          <w:szCs w:val="20"/>
          <w:vertAlign w:val="baseline"/>
          <w:rtl/>
        </w:rPr>
        <w:instrText xml:space="preserve"> PAGEREF pr_b_2644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2941">
    <w:p w14:paraId="75951C9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“שחלק מכבודו </w:t>
      </w:r>
      <w:proofErr w:type="spellStart"/>
      <w:r>
        <w:rPr>
          <w:sz w:val="20"/>
          <w:szCs w:val="20"/>
          <w:rtl/>
        </w:rPr>
        <w:t>ליראיו</w:t>
      </w:r>
      <w:proofErr w:type="spellEnd"/>
      <w:r>
        <w:rPr>
          <w:sz w:val="20"/>
          <w:szCs w:val="20"/>
          <w:rtl/>
        </w:rPr>
        <w:t xml:space="preserve">” הוא נוסח הברכה על מלכי ישראל (ברכות נח ע״א). על חכמי ישראל מברכים “שחלק </w:t>
      </w:r>
      <w:proofErr w:type="spellStart"/>
      <w:r>
        <w:rPr>
          <w:sz w:val="20"/>
          <w:szCs w:val="20"/>
          <w:rtl/>
        </w:rPr>
        <w:t>מחכמתו</w:t>
      </w:r>
      <w:proofErr w:type="spellEnd"/>
      <w:r>
        <w:rPr>
          <w:sz w:val="20"/>
          <w:szCs w:val="20"/>
          <w:rtl/>
        </w:rPr>
        <w:t xml:space="preserve"> </w:t>
      </w:r>
      <w:proofErr w:type="spellStart"/>
      <w:r>
        <w:rPr>
          <w:sz w:val="20"/>
          <w:szCs w:val="20"/>
          <w:rtl/>
        </w:rPr>
        <w:t>ליראיו</w:t>
      </w:r>
      <w:proofErr w:type="spellEnd"/>
      <w:r>
        <w:rPr>
          <w:sz w:val="20"/>
          <w:szCs w:val="20"/>
          <w:rtl/>
        </w:rPr>
        <w:t xml:space="preserve">”, וכך מובאת ברכתו של ר׳ </w:t>
      </w:r>
      <w:proofErr w:type="spellStart"/>
      <w:r>
        <w:rPr>
          <w:sz w:val="20"/>
          <w:szCs w:val="20"/>
          <w:rtl/>
        </w:rPr>
        <w:t>ברוך־בער</w:t>
      </w:r>
      <w:proofErr w:type="spellEnd"/>
      <w:r>
        <w:rPr>
          <w:sz w:val="20"/>
          <w:szCs w:val="20"/>
          <w:rtl/>
        </w:rPr>
        <w:t xml:space="preserve"> להלן, בתיאור ביקורו של ר׳ </w:t>
      </w:r>
      <w:proofErr w:type="spellStart"/>
      <w:r>
        <w:rPr>
          <w:sz w:val="20"/>
          <w:szCs w:val="20"/>
          <w:rtl/>
        </w:rPr>
        <w:t>דוד׳ל</w:t>
      </w:r>
      <w:proofErr w:type="spellEnd"/>
      <w:r>
        <w:rPr>
          <w:sz w:val="20"/>
          <w:szCs w:val="20"/>
          <w:rtl/>
        </w:rPr>
        <w:t xml:space="preserve"> בקובנה.</w:t>
      </w:r>
    </w:p>
  </w:footnote>
  <w:footnote w:id="2942">
    <w:p w14:paraId="60609D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השלישית מסוף סעיף 2 והערה 140 שם.</w:t>
      </w:r>
    </w:p>
  </w:footnote>
  <w:footnote w:id="2943">
    <w:p w14:paraId="3778DC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במרץ 1998.</w:t>
      </w:r>
    </w:p>
  </w:footnote>
  <w:footnote w:id="2944">
    <w:p w14:paraId="32C11B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בכך סתירה למה שסיפרה לי ב־19 במאי 2001 נכדת הסבא, מרים גולדשמידט. היא גרה </w:t>
      </w:r>
      <w:proofErr w:type="spellStart"/>
      <w:r>
        <w:rPr>
          <w:sz w:val="20"/>
          <w:szCs w:val="20"/>
          <w:rtl/>
        </w:rPr>
        <w:t>בדווינסק</w:t>
      </w:r>
      <w:proofErr w:type="spellEnd"/>
      <w:r>
        <w:rPr>
          <w:sz w:val="20"/>
          <w:szCs w:val="20"/>
          <w:rtl/>
        </w:rPr>
        <w:t xml:space="preserve">, שבה היה אביה רב, בשנותיו האחרונות של </w:t>
      </w:r>
      <w:proofErr w:type="spellStart"/>
      <w:r>
        <w:rPr>
          <w:sz w:val="20"/>
          <w:szCs w:val="20"/>
          <w:rtl/>
        </w:rPr>
        <w:t>הרוגצ׳ובר</w:t>
      </w:r>
      <w:proofErr w:type="spellEnd"/>
      <w:r>
        <w:rPr>
          <w:sz w:val="20"/>
          <w:szCs w:val="20"/>
          <w:rtl/>
        </w:rPr>
        <w:t xml:space="preserve">, וזכרה שנודע בעיר </w:t>
      </w:r>
      <w:proofErr w:type="spellStart"/>
      <w:r>
        <w:rPr>
          <w:sz w:val="20"/>
          <w:szCs w:val="20"/>
          <w:rtl/>
        </w:rPr>
        <w:t>כ“חכם</w:t>
      </w:r>
      <w:proofErr w:type="spellEnd"/>
      <w:r>
        <w:rPr>
          <w:sz w:val="20"/>
          <w:szCs w:val="20"/>
          <w:rtl/>
        </w:rPr>
        <w:t xml:space="preserve"> ולץ”. כוונתה הייתה לערמומיותו, ולא להבנתו הצלולה במחשבות בני אדם. היא סיפרה שפעם התדיינה אישה יהודייה עם כמה גויים לפני </w:t>
      </w:r>
      <w:proofErr w:type="spellStart"/>
      <w:r>
        <w:rPr>
          <w:sz w:val="20"/>
          <w:szCs w:val="20"/>
          <w:rtl/>
        </w:rPr>
        <w:t>הרוגצ׳ובר</w:t>
      </w:r>
      <w:proofErr w:type="spellEnd"/>
      <w:r>
        <w:rPr>
          <w:sz w:val="20"/>
          <w:szCs w:val="20"/>
          <w:rtl/>
        </w:rPr>
        <w:t xml:space="preserve">, והוא הבין שהאישה משקרת ומנסה לרמות את יריביה. בעוד בעלי הדין משוחחים עמו ברוסית, אמר לה ביידיש: “את סבורה כגמרא </w:t>
      </w:r>
      <w:proofErr w:type="spellStart"/>
      <w:r>
        <w:rPr>
          <w:sz w:val="20"/>
          <w:szCs w:val="20"/>
          <w:rtl/>
        </w:rPr>
        <w:t>ש‘גזל</w:t>
      </w:r>
      <w:proofErr w:type="spellEnd"/>
      <w:r>
        <w:rPr>
          <w:sz w:val="20"/>
          <w:szCs w:val="20"/>
          <w:rtl/>
        </w:rPr>
        <w:t xml:space="preserve"> עכו״ם מותר’?” היא סברה </w:t>
      </w:r>
      <w:proofErr w:type="spellStart"/>
      <w:r>
        <w:rPr>
          <w:sz w:val="20"/>
          <w:szCs w:val="20"/>
          <w:rtl/>
        </w:rPr>
        <w:t>שהרוגצ׳ובר</w:t>
      </w:r>
      <w:proofErr w:type="spellEnd"/>
      <w:r>
        <w:rPr>
          <w:sz w:val="20"/>
          <w:szCs w:val="20"/>
          <w:rtl/>
        </w:rPr>
        <w:t xml:space="preserve"> יפסוק לטובתה בשל אותה גמרא, והשיבה בחיוב. אז אמר: “ובכן, ההלכה היא </w:t>
      </w:r>
      <w:proofErr w:type="spellStart"/>
      <w:r>
        <w:rPr>
          <w:sz w:val="20"/>
          <w:szCs w:val="20"/>
          <w:rtl/>
        </w:rPr>
        <w:t>ש‘גזל</w:t>
      </w:r>
      <w:proofErr w:type="spellEnd"/>
      <w:r>
        <w:rPr>
          <w:sz w:val="20"/>
          <w:szCs w:val="20"/>
          <w:rtl/>
        </w:rPr>
        <w:t xml:space="preserve"> עכו״ם אסור’”, וסיים ברוסית: “שלמי להם!”</w:t>
      </w:r>
    </w:p>
  </w:footnote>
  <w:footnote w:id="2945">
    <w:p w14:paraId="354C2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(נספח ח לעיל), ראש עמ׳ </w:t>
      </w:r>
      <w:proofErr w:type="spellStart"/>
      <w:r>
        <w:rPr>
          <w:sz w:val="20"/>
          <w:szCs w:val="20"/>
          <w:rtl/>
        </w:rPr>
        <w:t>רכח</w:t>
      </w:r>
      <w:proofErr w:type="spellEnd"/>
      <w:r>
        <w:rPr>
          <w:sz w:val="20"/>
          <w:szCs w:val="20"/>
          <w:rtl/>
        </w:rPr>
        <w:t xml:space="preserve">, ואת המעשה המופלא שסיפר ר׳ חיים </w:t>
      </w:r>
      <w:proofErr w:type="spellStart"/>
      <w:r>
        <w:rPr>
          <w:sz w:val="20"/>
          <w:szCs w:val="20"/>
          <w:rtl/>
        </w:rPr>
        <w:t>קרייזווירט</w:t>
      </w:r>
      <w:proofErr w:type="spellEnd"/>
      <w:r>
        <w:rPr>
          <w:sz w:val="20"/>
          <w:szCs w:val="20"/>
          <w:rtl/>
        </w:rPr>
        <w:t xml:space="preserve">, המובא </w:t>
      </w:r>
      <w:proofErr w:type="spellStart"/>
      <w:r>
        <w:rPr>
          <w:sz w:val="20"/>
          <w:szCs w:val="20"/>
          <w:rtl/>
        </w:rPr>
        <w:t>ב“תורת</w:t>
      </w:r>
      <w:proofErr w:type="spellEnd"/>
      <w:r>
        <w:rPr>
          <w:sz w:val="20"/>
          <w:szCs w:val="20"/>
          <w:rtl/>
        </w:rPr>
        <w:t xml:space="preserve"> חיים” (נספח ט לעיל) בהערת השוליים בעמ׳ פה שבעימוד השני: הלקח שלמד ר׳ </w:t>
      </w:r>
      <w:proofErr w:type="spellStart"/>
      <w:r>
        <w:rPr>
          <w:sz w:val="20"/>
          <w:szCs w:val="20"/>
          <w:rtl/>
        </w:rPr>
        <w:t>חיים־עוזר</w:t>
      </w:r>
      <w:proofErr w:type="spellEnd"/>
      <w:r>
        <w:rPr>
          <w:sz w:val="20"/>
          <w:szCs w:val="20"/>
          <w:rtl/>
        </w:rPr>
        <w:t xml:space="preserve"> מר׳ </w:t>
      </w:r>
      <w:proofErr w:type="spellStart"/>
      <w:r>
        <w:rPr>
          <w:sz w:val="20"/>
          <w:szCs w:val="20"/>
          <w:rtl/>
        </w:rPr>
        <w:t>אליהו־חיים</w:t>
      </w:r>
      <w:proofErr w:type="spellEnd"/>
      <w:r>
        <w:rPr>
          <w:sz w:val="20"/>
          <w:szCs w:val="20"/>
          <w:rtl/>
        </w:rPr>
        <w:t xml:space="preserve"> </w:t>
      </w:r>
      <w:proofErr w:type="spellStart"/>
      <w:r>
        <w:rPr>
          <w:sz w:val="20"/>
          <w:szCs w:val="20"/>
          <w:rtl/>
        </w:rPr>
        <w:t>מייזל</w:t>
      </w:r>
      <w:proofErr w:type="spellEnd"/>
      <w:r>
        <w:rPr>
          <w:sz w:val="20"/>
          <w:szCs w:val="20"/>
          <w:rtl/>
        </w:rPr>
        <w:t xml:space="preserve">, כשבא אליו לקבל הסכמה לספר שתכנן להוציא לאור. את עיקר המעשה סיפר גם ר׳ </w:t>
      </w:r>
      <w:proofErr w:type="spellStart"/>
      <w:r>
        <w:rPr>
          <w:sz w:val="20"/>
          <w:szCs w:val="20"/>
          <w:rtl/>
        </w:rPr>
        <w:t>חזקיה־יוסף</w:t>
      </w:r>
      <w:proofErr w:type="spellEnd"/>
      <w:r>
        <w:rPr>
          <w:sz w:val="20"/>
          <w:szCs w:val="20"/>
          <w:rtl/>
        </w:rPr>
        <w:t xml:space="preserve"> מישקובסקי </w:t>
      </w:r>
      <w:proofErr w:type="spellStart"/>
      <w:r>
        <w:rPr>
          <w:sz w:val="20"/>
          <w:szCs w:val="20"/>
          <w:rtl/>
        </w:rPr>
        <w:t>לר</w:t>
      </w:r>
      <w:proofErr w:type="spellEnd"/>
      <w:r>
        <w:rPr>
          <w:sz w:val="20"/>
          <w:szCs w:val="20"/>
          <w:rtl/>
        </w:rPr>
        <w:t xml:space="preserve">׳ משה </w:t>
      </w:r>
      <w:proofErr w:type="spellStart"/>
      <w:r>
        <w:rPr>
          <w:sz w:val="20"/>
          <w:szCs w:val="20"/>
          <w:rtl/>
        </w:rPr>
        <w:t>שטרנבוך</w:t>
      </w:r>
      <w:proofErr w:type="spellEnd"/>
      <w:r>
        <w:rPr>
          <w:sz w:val="20"/>
          <w:szCs w:val="20"/>
          <w:rtl/>
        </w:rPr>
        <w:t xml:space="preserve">, כפי ששמע מר׳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ור׳ משה </w:t>
      </w:r>
      <w:proofErr w:type="spellStart"/>
      <w:r>
        <w:rPr>
          <w:sz w:val="20"/>
          <w:szCs w:val="20"/>
          <w:rtl/>
        </w:rPr>
        <w:t>שטרנבוך</w:t>
      </w:r>
      <w:proofErr w:type="spellEnd"/>
      <w:r>
        <w:rPr>
          <w:sz w:val="20"/>
          <w:szCs w:val="20"/>
          <w:rtl/>
        </w:rPr>
        <w:t xml:space="preserve"> רשם אותו בפירושו “טעם ודעת” (ללא מקום ושנת דפוס) על בראשית ה, א. הכרך הראשון של שו״ת וחידושי ר׳ </w:t>
      </w:r>
      <w:proofErr w:type="spellStart"/>
      <w:r>
        <w:rPr>
          <w:sz w:val="20"/>
          <w:szCs w:val="20"/>
          <w:rtl/>
        </w:rPr>
        <w:t>חיים־עוזר</w:t>
      </w:r>
      <w:proofErr w:type="spellEnd"/>
      <w:r>
        <w:rPr>
          <w:sz w:val="20"/>
          <w:szCs w:val="20"/>
          <w:rtl/>
        </w:rPr>
        <w:t xml:space="preserve">, “אחיעזר”, נדפס רק </w:t>
      </w:r>
      <w:proofErr w:type="spellStart"/>
      <w:r>
        <w:rPr>
          <w:sz w:val="20"/>
          <w:szCs w:val="20"/>
          <w:rtl/>
        </w:rPr>
        <w:t>בתרפ״ב</w:t>
      </w:r>
      <w:proofErr w:type="spellEnd"/>
      <w:r>
        <w:rPr>
          <w:sz w:val="20"/>
          <w:szCs w:val="20"/>
          <w:rtl/>
        </w:rPr>
        <w:t xml:space="preserve">, עשר שנים אחרי פטירת הרב </w:t>
      </w:r>
      <w:proofErr w:type="spellStart"/>
      <w:r>
        <w:rPr>
          <w:sz w:val="20"/>
          <w:szCs w:val="20"/>
          <w:rtl/>
        </w:rPr>
        <w:t>מייזל</w:t>
      </w:r>
      <w:proofErr w:type="spellEnd"/>
      <w:r>
        <w:rPr>
          <w:sz w:val="20"/>
          <w:szCs w:val="20"/>
          <w:rtl/>
        </w:rPr>
        <w:t>.</w:t>
      </w:r>
    </w:p>
    <w:p w14:paraId="450E2463" w14:textId="77777777" w:rsidR="00AB3647" w:rsidRDefault="00000000">
      <w:pPr>
        <w:spacing w:after="0" w:before="0"/>
        <w:jc w:val="both"/>
      </w:pPr>
      <w:r>
        <w:rPr>
          <w:sz w:val="20"/>
          <w:szCs w:val="20"/>
          <w:rtl/>
        </w:rPr>
        <w:t xml:space="preserve">הנקודה במקורות אלה היא מסקנתו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בשנותיו האחרונות, שעזרה לאלמנה, לאישה נזקקת או ליתום חשובה יותר מכתיבת ספר חידושי תורה. בתקופה מוקדמת יותר – למשל בשעת דין התורה המתואר, כלומר לפני מלחמת העולם הראשונה, כשר׳ </w:t>
      </w:r>
      <w:proofErr w:type="spellStart"/>
      <w:r>
        <w:rPr>
          <w:sz w:val="20"/>
          <w:szCs w:val="20"/>
          <w:rtl/>
        </w:rPr>
        <w:t>דוד׳ל</w:t>
      </w:r>
      <w:proofErr w:type="spellEnd"/>
      <w:r>
        <w:rPr>
          <w:sz w:val="20"/>
          <w:szCs w:val="20"/>
          <w:rtl/>
        </w:rPr>
        <w:t xml:space="preserve"> פרידמן היה עדיין בחיים – עדיין לא השתכנע ר׳ </w:t>
      </w:r>
      <w:proofErr w:type="spellStart"/>
      <w:r>
        <w:rPr>
          <w:sz w:val="20"/>
          <w:szCs w:val="20"/>
          <w:rtl/>
        </w:rPr>
        <w:t>חיים־עוזר</w:t>
      </w:r>
      <w:proofErr w:type="spellEnd"/>
      <w:r>
        <w:rPr>
          <w:sz w:val="20"/>
          <w:szCs w:val="20"/>
          <w:rtl/>
        </w:rPr>
        <w:t xml:space="preserve"> שהרב </w:t>
      </w:r>
      <w:proofErr w:type="spellStart"/>
      <w:r>
        <w:rPr>
          <w:sz w:val="20"/>
          <w:szCs w:val="20"/>
          <w:rtl/>
        </w:rPr>
        <w:t>מייזל</w:t>
      </w:r>
      <w:proofErr w:type="spellEnd"/>
      <w:r>
        <w:rPr>
          <w:sz w:val="20"/>
          <w:szCs w:val="20"/>
          <w:rtl/>
        </w:rPr>
        <w:t xml:space="preserve"> צודק כשייחס לעזרה לנזקקים חשיבות רבה יותר מאשר לעידוד הלמדנות, אבל כבר היה עסוק מאוד בפעילות צדקה.</w:t>
      </w:r>
    </w:p>
  </w:footnote>
  <w:footnote w:id="2946">
    <w:p w14:paraId="4A96C4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באוקטובר 2000.</w:t>
      </w:r>
    </w:p>
  </w:footnote>
  <w:footnote w:id="2947">
    <w:p w14:paraId="150226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אף </w:t>
      </w:r>
      <w:proofErr w:type="spellStart"/>
      <w:r>
        <w:rPr>
          <w:sz w:val="20"/>
          <w:szCs w:val="20"/>
          <w:rtl/>
        </w:rPr>
        <w:t>ש“אור</w:t>
      </w:r>
      <w:proofErr w:type="spellEnd"/>
      <w:r>
        <w:rPr>
          <w:sz w:val="20"/>
          <w:szCs w:val="20"/>
          <w:rtl/>
        </w:rPr>
        <w:t xml:space="preserve"> שמח” יצא לאור זמן רב לפני “צפנת פענח”, היה כתב היד של </w:t>
      </w:r>
      <w:proofErr w:type="spellStart"/>
      <w:r>
        <w:rPr>
          <w:sz w:val="20"/>
          <w:szCs w:val="20"/>
          <w:rtl/>
        </w:rPr>
        <w:t>הרוגצ׳ובר</w:t>
      </w:r>
      <w:proofErr w:type="spellEnd"/>
      <w:r>
        <w:rPr>
          <w:sz w:val="20"/>
          <w:szCs w:val="20"/>
          <w:rtl/>
        </w:rPr>
        <w:t xml:space="preserve"> מוכן כבר בזמן המוקדם.</w:t>
      </w:r>
    </w:p>
  </w:footnote>
  <w:footnote w:id="2948">
    <w:p w14:paraId="0E7BEC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ביולי 1999.</w:t>
      </w:r>
    </w:p>
  </w:footnote>
  <w:footnote w:id="2949">
    <w:p w14:paraId="43297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למד אצל בנו של ר׳ יצחק־זאב,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וכנראה שמע זאת מפיו.</w:t>
      </w:r>
    </w:p>
  </w:footnote>
  <w:footnote w:id="2950">
    <w:p w14:paraId="27DB4C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ראוי לקורא לעיין להלן ולראות כיצד התבטא רבנו על מעשה של זריקת כיסאות.</w:t>
      </w:r>
    </w:p>
  </w:footnote>
  <w:footnote w:id="2951">
    <w:p w14:paraId="232362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ב־26 בספטמבר 1998.</w:t>
      </w:r>
    </w:p>
  </w:footnote>
  <w:footnote w:id="2952">
    <w:p w14:paraId="1F8DC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שאת השאלה שאל ר׳ </w:t>
      </w:r>
      <w:proofErr w:type="spellStart"/>
      <w:r>
        <w:rPr>
          <w:sz w:val="20"/>
          <w:szCs w:val="20"/>
          <w:rtl/>
        </w:rPr>
        <w:t>פייבל</w:t>
      </w:r>
      <w:proofErr w:type="spellEnd"/>
      <w:r>
        <w:rPr>
          <w:sz w:val="20"/>
          <w:szCs w:val="20"/>
          <w:rtl/>
        </w:rPr>
        <w:t xml:space="preserve"> </w:t>
      </w:r>
      <w:proofErr w:type="spellStart"/>
      <w:r>
        <w:rPr>
          <w:sz w:val="20"/>
          <w:szCs w:val="20"/>
          <w:rtl/>
        </w:rPr>
        <w:t>מנדלוביץ</w:t>
      </w:r>
      <w:proofErr w:type="spellEnd"/>
      <w:r>
        <w:rPr>
          <w:sz w:val="20"/>
          <w:szCs w:val="20"/>
          <w:rtl/>
        </w:rPr>
        <w:t xml:space="preserve"> מתורה ודעת בברוקלין. ראה “שלוחא </w:t>
      </w:r>
      <w:proofErr w:type="spellStart"/>
      <w:r>
        <w:rPr>
          <w:sz w:val="20"/>
          <w:szCs w:val="20"/>
          <w:rtl/>
        </w:rPr>
        <w:t>דרחמנא</w:t>
      </w:r>
      <w:proofErr w:type="spellEnd"/>
      <w:r>
        <w:rPr>
          <w:sz w:val="20"/>
          <w:szCs w:val="20"/>
          <w:rtl/>
        </w:rPr>
        <w:t xml:space="preserve">” מאת אהרן </w:t>
      </w:r>
      <w:proofErr w:type="spellStart"/>
      <w:r>
        <w:rPr>
          <w:sz w:val="20"/>
          <w:szCs w:val="20"/>
          <w:rtl/>
        </w:rPr>
        <w:t>סורסקי</w:t>
      </w:r>
      <w:proofErr w:type="spellEnd"/>
      <w:r>
        <w:rPr>
          <w:sz w:val="20"/>
          <w:szCs w:val="20"/>
          <w:rtl/>
        </w:rPr>
        <w:t xml:space="preserve"> (</w:t>
      </w:r>
      <w:proofErr w:type="spellStart"/>
      <w:r>
        <w:rPr>
          <w:sz w:val="20"/>
          <w:szCs w:val="20"/>
          <w:rtl/>
        </w:rPr>
        <w:t>פלדהיים</w:t>
      </w:r>
      <w:proofErr w:type="spellEnd"/>
      <w:r>
        <w:rPr>
          <w:sz w:val="20"/>
          <w:szCs w:val="20"/>
          <w:rtl/>
        </w:rPr>
        <w:t xml:space="preserve">, ירושלים / ניו יורק), עמ׳ 173: ר׳ </w:t>
      </w:r>
      <w:proofErr w:type="spellStart"/>
      <w:r>
        <w:rPr>
          <w:sz w:val="20"/>
          <w:szCs w:val="20"/>
          <w:rtl/>
        </w:rPr>
        <w:t>פייבל</w:t>
      </w:r>
      <w:proofErr w:type="spellEnd"/>
      <w:r>
        <w:rPr>
          <w:sz w:val="20"/>
          <w:szCs w:val="20"/>
          <w:rtl/>
        </w:rPr>
        <w:t xml:space="preserve"> שלח שאלה זו </w:t>
      </w:r>
      <w:proofErr w:type="spellStart"/>
      <w:r>
        <w:rPr>
          <w:sz w:val="20"/>
          <w:szCs w:val="20"/>
          <w:rtl/>
        </w:rPr>
        <w:t>לרוגצ׳ובר</w:t>
      </w:r>
      <w:proofErr w:type="spellEnd"/>
      <w:r>
        <w:rPr>
          <w:sz w:val="20"/>
          <w:szCs w:val="20"/>
          <w:rtl/>
        </w:rPr>
        <w:t xml:space="preserve"> ולגדולים נוספים. אבל מחברו טועה כשהוא אומר שם שהשאלה נשלחה “תיכף בתחילת יסוד </w:t>
      </w:r>
      <w:proofErr w:type="spellStart"/>
      <w:r>
        <w:rPr>
          <w:sz w:val="20"/>
          <w:szCs w:val="20"/>
          <w:rtl/>
        </w:rPr>
        <w:t>ה‘מתיבתא</w:t>
      </w:r>
      <w:proofErr w:type="spellEnd"/>
      <w:r>
        <w:rPr>
          <w:sz w:val="20"/>
          <w:szCs w:val="20"/>
          <w:rtl/>
        </w:rPr>
        <w:t xml:space="preserve">’”, שהיה לפי “שלוחא </w:t>
      </w:r>
      <w:proofErr w:type="spellStart"/>
      <w:r>
        <w:rPr>
          <w:sz w:val="20"/>
          <w:szCs w:val="20"/>
          <w:rtl/>
        </w:rPr>
        <w:t>דרחמנא</w:t>
      </w:r>
      <w:proofErr w:type="spellEnd"/>
      <w:r>
        <w:rPr>
          <w:sz w:val="20"/>
          <w:szCs w:val="20"/>
          <w:rtl/>
        </w:rPr>
        <w:t>”, עמ׳ 110, בתחילת תרפ״ז. היא נשלחה כמעט שמונה שנים לאחר מכן, זמן קצר לפני מסעם של הרבנים האמורים לאירופה.</w:t>
      </w:r>
    </w:p>
  </w:footnote>
  <w:footnote w:id="2953">
    <w:p w14:paraId="1D673D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ב־5 בפברואר 2001 הוסיף המרואיין שכשיצא עם חברו מבית הקיץ של </w:t>
      </w:r>
      <w:proofErr w:type="spellStart"/>
      <w:r>
        <w:rPr>
          <w:sz w:val="20"/>
          <w:szCs w:val="20"/>
          <w:rtl/>
        </w:rPr>
        <w:t>הרוגצ׳ובר</w:t>
      </w:r>
      <w:proofErr w:type="spellEnd"/>
      <w:r>
        <w:rPr>
          <w:sz w:val="20"/>
          <w:szCs w:val="20"/>
          <w:rtl/>
        </w:rPr>
        <w:t xml:space="preserve">, שאל אותם הגאון – שנודע בזלזולו ברבנים אחרים (ראה הערת שוליים </w:t>
      </w:r>
      <w:r>
        <w:rPr>
          <w:sz w:val="20"/>
          <w:szCs w:val="20"/>
          <w:rtl/>
        </w:rPr>
        <w:fldChar w:fldCharType="begin" w:dirty="true"/>
      </w:r>
      <w:r>
        <w:rPr>
          <w:sz w:val="20"/>
          <w:szCs w:val="20"/>
          <w:rtl/>
        </w:rPr>
        <w:instrText xml:space="preserve"> NOTEREF pr_f_3220 \h </w:instrText>
      </w:r>
      <w:r>
        <w:rPr>
          <w:sz w:val="20"/>
          <w:szCs w:val="20"/>
          <w:rtl/>
        </w:rPr>
      </w:r>
      <w:r>
        <w:rPr>
          <w:sz w:val="20"/>
          <w:szCs w:val="20"/>
          <w:rtl/>
        </w:rPr>
        <w:fldChar w:fldCharType="separate"/>
      </w:r>
      <w:r w:rsidR="007923E9">
        <w:rPr>
          <w:sz w:val="20"/>
          <w:szCs w:val="20"/>
          <w:rtl/>
        </w:rPr>
        <w:t>297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pr_f_3220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pr_f_2864 \h </w:instrText>
      </w:r>
      <w:r>
        <w:rPr>
          <w:sz w:val="20"/>
          <w:szCs w:val="20"/>
          <w:rtl/>
        </w:rPr>
      </w:r>
      <w:r>
        <w:rPr>
          <w:sz w:val="20"/>
          <w:szCs w:val="20"/>
          <w:rtl/>
        </w:rPr>
        <w:fldChar w:fldCharType="separate"/>
      </w:r>
      <w:r w:rsidR="007923E9">
        <w:rPr>
          <w:sz w:val="20"/>
          <w:szCs w:val="20"/>
          <w:rtl/>
        </w:rPr>
        <w:t>1911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pr_f_2864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לאן פניהם מועדות. כשהשיבו שאחרי שהייה קצרה באירופה ימשיכו לארץ ישראל, אמר: “למה לנסוע לשם? אין שם מי שיודע ללמוד.”</w:t>
      </w:r>
    </w:p>
  </w:footnote>
  <w:footnote w:id="2954">
    <w:p w14:paraId="1CAD98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עח</w:t>
      </w:r>
      <w:proofErr w:type="spellEnd"/>
      <w:r>
        <w:rPr>
          <w:sz w:val="20"/>
          <w:szCs w:val="20"/>
          <w:rtl/>
        </w:rPr>
        <w:t>.</w:t>
      </w:r>
    </w:p>
  </w:footnote>
  <w:footnote w:id="2955">
    <w:p w14:paraId="4ACA09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1992.</w:t>
      </w:r>
    </w:p>
  </w:footnote>
  <w:footnote w:id="2956">
    <w:p w14:paraId="43DAF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סוף הערה זו, שהרב </w:t>
      </w:r>
      <w:proofErr w:type="spellStart"/>
      <w:r>
        <w:rPr>
          <w:sz w:val="20"/>
          <w:szCs w:val="20"/>
          <w:rtl/>
        </w:rPr>
        <w:t>רוזין</w:t>
      </w:r>
      <w:proofErr w:type="spellEnd"/>
      <w:r>
        <w:rPr>
          <w:sz w:val="20"/>
          <w:szCs w:val="20"/>
          <w:rtl/>
        </w:rPr>
        <w:t xml:space="preserve"> היה ביקורתי הרבה יותר כלפי ר׳ יוסף־דב.</w:t>
      </w:r>
    </w:p>
  </w:footnote>
  <w:footnote w:id="2957">
    <w:p w14:paraId="4251C8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ההדגשה שלי, כדי להצביע על ההבדל בין האופן שבו סיפר אבי את המעשה לבין האופן שבו סיפרוהו אחרים;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pr_f_2837 \h </w:instrText>
      </w:r>
      <w:r>
        <w:rPr>
          <w:sz w:val="20"/>
          <w:szCs w:val="20"/>
          <w:rtl/>
        </w:rPr>
      </w:r>
      <w:r>
        <w:rPr>
          <w:sz w:val="20"/>
          <w:szCs w:val="20"/>
          <w:rtl/>
        </w:rPr>
        <w:fldChar w:fldCharType="separate"/>
      </w:r>
      <w:r w:rsidR="007923E9">
        <w:rPr>
          <w:sz w:val="20"/>
          <w:szCs w:val="20"/>
          <w:rtl/>
        </w:rPr>
        <w:t>1884</w:t>
      </w:r>
      <w:r>
        <w:rPr>
          <w:sz w:val="20"/>
          <w:szCs w:val="20"/>
          <w:rtl/>
        </w:rPr>
        <w:fldChar w:fldCharType="end"/>
      </w:r>
      <w:r>
        <w:rPr>
          <w:sz w:val="20"/>
          <w:szCs w:val="20"/>
          <w:rtl/>
        </w:rPr>
        <w:t xml:space="preserve"> לעיל. השווה גם הערה 100 לעיל, על כך שתלמידי </w:t>
      </w:r>
      <w:proofErr w:type="spellStart"/>
      <w:r>
        <w:rPr>
          <w:sz w:val="20"/>
          <w:szCs w:val="20"/>
          <w:rtl/>
        </w:rPr>
        <w:t>סלבודקה</w:t>
      </w:r>
      <w:proofErr w:type="spellEnd"/>
      <w:r>
        <w:rPr>
          <w:sz w:val="20"/>
          <w:szCs w:val="20"/>
          <w:rtl/>
        </w:rPr>
        <w:t xml:space="preserve"> למדו “איך לדבר”, ועל זהירותו של אבי בדיבורו.</w:t>
      </w:r>
    </w:p>
  </w:footnote>
  <w:footnote w:id="2958">
    <w:p w14:paraId="568A10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2001 סיפר ר׳ חיים </w:t>
      </w:r>
      <w:proofErr w:type="spellStart"/>
      <w:r>
        <w:rPr>
          <w:sz w:val="20"/>
          <w:szCs w:val="20"/>
          <w:rtl/>
        </w:rPr>
        <w:t>פסמן</w:t>
      </w:r>
      <w:proofErr w:type="spellEnd"/>
      <w:r>
        <w:rPr>
          <w:sz w:val="20"/>
          <w:szCs w:val="20"/>
          <w:rtl/>
        </w:rPr>
        <w:t xml:space="preserve"> </w:t>
      </w:r>
      <w:proofErr w:type="spellStart"/>
      <w:r>
        <w:rPr>
          <w:sz w:val="20"/>
          <w:szCs w:val="20"/>
          <w:rtl/>
        </w:rPr>
        <w:t>שבהיותו</w:t>
      </w:r>
      <w:proofErr w:type="spellEnd"/>
      <w:r>
        <w:rPr>
          <w:sz w:val="20"/>
          <w:szCs w:val="20"/>
          <w:rtl/>
        </w:rPr>
        <w:t xml:space="preserve"> תלמיד בבית התלמוד בברוקלין שמע מר׳ חיים ויסוקר שר׳ חיים </w:t>
      </w:r>
      <w:proofErr w:type="spellStart"/>
      <w:r>
        <w:rPr>
          <w:sz w:val="20"/>
          <w:szCs w:val="20"/>
          <w:rtl/>
        </w:rPr>
        <w:t>סולובייצ׳יק</w:t>
      </w:r>
      <w:proofErr w:type="spellEnd"/>
      <w:r>
        <w:rPr>
          <w:sz w:val="20"/>
          <w:szCs w:val="20"/>
          <w:rtl/>
        </w:rPr>
        <w:t xml:space="preserve"> שאל פעם את </w:t>
      </w:r>
      <w:proofErr w:type="spellStart"/>
      <w:r>
        <w:rPr>
          <w:sz w:val="20"/>
          <w:szCs w:val="20"/>
          <w:rtl/>
        </w:rPr>
        <w:t>הרוגצ׳ובר</w:t>
      </w:r>
      <w:proofErr w:type="spellEnd"/>
      <w:r>
        <w:rPr>
          <w:sz w:val="20"/>
          <w:szCs w:val="20"/>
          <w:rtl/>
        </w:rPr>
        <w:t xml:space="preserve"> שאלה, והלה ניסה לבנות תשובה בקישור למקורות תלמודיים שונים. אבל ר׳ חיים הוכיח בבירור שאף אחד מן המקורות אינו נוגע לשאלתו. כשהרים </w:t>
      </w:r>
      <w:proofErr w:type="spellStart"/>
      <w:r>
        <w:rPr>
          <w:sz w:val="20"/>
          <w:szCs w:val="20"/>
          <w:rtl/>
        </w:rPr>
        <w:t>הרוגצ׳ובר</w:t>
      </w:r>
      <w:proofErr w:type="spellEnd"/>
      <w:r>
        <w:rPr>
          <w:sz w:val="20"/>
          <w:szCs w:val="20"/>
          <w:rtl/>
        </w:rPr>
        <w:t xml:space="preserve"> לבסוף ידיים, הראה לו ר׳ חיים שהמקור מפורש בתוספות מסוים במסכת גיטין. כשהסכים </w:t>
      </w:r>
      <w:proofErr w:type="spellStart"/>
      <w:r>
        <w:rPr>
          <w:sz w:val="20"/>
          <w:szCs w:val="20"/>
          <w:rtl/>
        </w:rPr>
        <w:t>הרוגצ׳ובר</w:t>
      </w:r>
      <w:proofErr w:type="spellEnd"/>
      <w:r>
        <w:rPr>
          <w:sz w:val="20"/>
          <w:szCs w:val="20"/>
          <w:rtl/>
        </w:rPr>
        <w:t xml:space="preserve">, ביקש ממנו ר׳ חיים ברוח טובה שני דברים: “מעתה אל תדבר נגד אבי; ומעתה קרא לי לא ‘ר׳ חיים החריף’, אלא ‘ר׳ חיים הבקי’.”</w:t>
      </w:r>
    </w:p>
  </w:footnote>
  <w:footnote w:id="2959">
    <w:p w14:paraId="09AB5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בנובמבר 1998.</w:t>
      </w:r>
    </w:p>
  </w:footnote>
  <w:footnote w:id="2960">
    <w:p w14:paraId="0E377F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טו לעיל – עמ׳ 81.</w:t>
      </w:r>
    </w:p>
  </w:footnote>
  <w:footnote w:id="2961">
    <w:p w14:paraId="0222A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השנייה בנספח ד.</w:t>
      </w:r>
    </w:p>
  </w:footnote>
  <w:footnote w:id="2962">
    <w:p w14:paraId="074E54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נספח ט לעיל – עמ׳ </w:t>
      </w:r>
      <w:proofErr w:type="spellStart"/>
      <w:r>
        <w:rPr>
          <w:sz w:val="20"/>
          <w:szCs w:val="20"/>
          <w:rtl/>
        </w:rPr>
        <w:t>רלח</w:t>
      </w:r>
      <w:proofErr w:type="spellEnd"/>
      <w:r>
        <w:rPr>
          <w:sz w:val="20"/>
          <w:szCs w:val="20"/>
          <w:rtl/>
        </w:rPr>
        <w:t>.</w:t>
      </w:r>
    </w:p>
  </w:footnote>
  <w:footnote w:id="2963">
    <w:p w14:paraId="630F97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הפסקה הראשונה בנספח ח לעיל.</w:t>
      </w:r>
    </w:p>
  </w:footnote>
  <w:footnote w:id="2964">
    <w:p w14:paraId="683D4D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153.</w:t>
      </w:r>
    </w:p>
  </w:footnote>
  <w:footnote w:id="2965">
    <w:p w14:paraId="12C0B7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79 לעיל – עמ׳ 54.</w:t>
      </w:r>
    </w:p>
  </w:footnote>
  <w:footnote w:id="2966">
    <w:p w14:paraId="063EE9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האמרה מבוססת על מה שמובא </w:t>
      </w:r>
      <w:proofErr w:type="spellStart"/>
      <w:r>
        <w:rPr>
          <w:sz w:val="20"/>
          <w:szCs w:val="20"/>
          <w:rtl/>
        </w:rPr>
        <w:t>ב“שפתי</w:t>
      </w:r>
      <w:proofErr w:type="spellEnd"/>
      <w:r>
        <w:rPr>
          <w:sz w:val="20"/>
          <w:szCs w:val="20"/>
          <w:rtl/>
        </w:rPr>
        <w:t xml:space="preserve"> חכמים” על רש״י (בראשית </w:t>
      </w:r>
      <w:proofErr w:type="spellStart"/>
      <w:r>
        <w:rPr>
          <w:sz w:val="20"/>
          <w:szCs w:val="20"/>
          <w:rtl/>
        </w:rPr>
        <w:t>מז:לא</w:t>
      </w:r>
      <w:proofErr w:type="spellEnd"/>
      <w:r>
        <w:rPr>
          <w:sz w:val="20"/>
          <w:szCs w:val="20"/>
          <w:rtl/>
        </w:rPr>
        <w:t>) שיש חודש בשנה שהשועל הוא מלך על החיות במקום האריה.</w:t>
      </w:r>
    </w:p>
  </w:footnote>
  <w:footnote w:id="2967">
    <w:p w14:paraId="36992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הערה 225.</w:t>
      </w:r>
    </w:p>
  </w:footnote>
  <w:footnote w:id="2968">
    <w:p w14:paraId="2D27EB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(הפסקה השלישית בנספח </w:t>
      </w:r>
      <w:proofErr w:type="spellStart"/>
      <w:r>
        <w:rPr>
          <w:sz w:val="20"/>
          <w:szCs w:val="20"/>
          <w:rtl/>
        </w:rPr>
        <w:t>כו</w:t>
      </w:r>
      <w:proofErr w:type="spellEnd"/>
      <w:r>
        <w:rPr>
          <w:sz w:val="20"/>
          <w:szCs w:val="20"/>
          <w:rtl/>
        </w:rPr>
        <w:t xml:space="preserve"> לעיל), כרך 1, עמ׳ 175, ממעיט שלא בצדק ממעלתו של ר׳ </w:t>
      </w:r>
      <w:proofErr w:type="spellStart"/>
      <w:r>
        <w:rPr>
          <w:sz w:val="20"/>
          <w:szCs w:val="20"/>
          <w:rtl/>
        </w:rPr>
        <w:t>מנדל׳ה</w:t>
      </w:r>
      <w:proofErr w:type="spellEnd"/>
      <w:r>
        <w:rPr>
          <w:sz w:val="20"/>
          <w:szCs w:val="20"/>
          <w:rtl/>
        </w:rPr>
        <w:t xml:space="preserve"> בתארו אותו </w:t>
      </w:r>
      <w:proofErr w:type="spellStart"/>
      <w:r>
        <w:rPr>
          <w:sz w:val="20"/>
          <w:szCs w:val="20"/>
          <w:rtl/>
        </w:rPr>
        <w:t>כ“מלמד</w:t>
      </w:r>
      <w:proofErr w:type="spellEnd"/>
      <w:r>
        <w:rPr>
          <w:sz w:val="20"/>
          <w:szCs w:val="20"/>
          <w:rtl/>
        </w:rPr>
        <w:t xml:space="preserve">” </w:t>
      </w:r>
      <w:proofErr w:type="spellStart"/>
      <w:r>
        <w:rPr>
          <w:sz w:val="20"/>
          <w:szCs w:val="20"/>
          <w:rtl/>
        </w:rPr>
        <w:t>בסלוצק</w:t>
      </w:r>
      <w:proofErr w:type="spellEnd"/>
      <w:r>
        <w:rPr>
          <w:sz w:val="20"/>
          <w:szCs w:val="20"/>
          <w:rtl/>
        </w:rPr>
        <w:t>.</w:t>
      </w:r>
    </w:p>
  </w:footnote>
  <w:footnote w:id="2969">
    <w:p w14:paraId="6F8756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ב־19 בנובמבר 2000.</w:t>
      </w:r>
    </w:p>
  </w:footnote>
  <w:footnote w:id="2970">
    <w:p w14:paraId="361061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הרב סגל, שנולד בערך </w:t>
      </w:r>
      <w:proofErr w:type="spellStart"/>
      <w:r>
        <w:rPr>
          <w:sz w:val="20"/>
          <w:szCs w:val="20"/>
          <w:rtl/>
        </w:rPr>
        <w:t>בתרמ״ח</w:t>
      </w:r>
      <w:proofErr w:type="spellEnd"/>
      <w:r>
        <w:rPr>
          <w:sz w:val="20"/>
          <w:szCs w:val="20"/>
          <w:rtl/>
        </w:rPr>
        <w:t xml:space="preserve">, למד אצל ר׳ </w:t>
      </w:r>
      <w:proofErr w:type="spellStart"/>
      <w:r>
        <w:rPr>
          <w:sz w:val="20"/>
          <w:szCs w:val="20"/>
          <w:rtl/>
        </w:rPr>
        <w:t>ברוך־בער</w:t>
      </w:r>
      <w:proofErr w:type="spellEnd"/>
      <w:r>
        <w:rPr>
          <w:sz w:val="20"/>
          <w:szCs w:val="20"/>
          <w:rtl/>
        </w:rPr>
        <w:t xml:space="preserve">, ר׳ </w:t>
      </w:r>
      <w:proofErr w:type="spellStart"/>
      <w:r>
        <w:rPr>
          <w:sz w:val="20"/>
          <w:szCs w:val="20"/>
          <w:rtl/>
        </w:rPr>
        <w:t>זלמן־סנדר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ור׳ </w:t>
      </w:r>
      <w:proofErr w:type="spellStart"/>
      <w:r>
        <w:rPr>
          <w:sz w:val="20"/>
          <w:szCs w:val="20"/>
          <w:rtl/>
        </w:rPr>
        <w:t>אליהו־ברוך</w:t>
      </w:r>
      <w:proofErr w:type="spellEnd"/>
      <w:r>
        <w:rPr>
          <w:sz w:val="20"/>
          <w:szCs w:val="20"/>
          <w:rtl/>
        </w:rPr>
        <w:t xml:space="preserve"> קמאי. הוא עזב את אירופה לארץ ישראל לפני מלחמת העולם הראשונה, משום שר׳ </w:t>
      </w:r>
      <w:proofErr w:type="spellStart"/>
      <w:r>
        <w:rPr>
          <w:sz w:val="20"/>
          <w:szCs w:val="20"/>
          <w:rtl/>
        </w:rPr>
        <w:t>מאיר־שמחה</w:t>
      </w:r>
      <w:proofErr w:type="spellEnd"/>
      <w:r>
        <w:rPr>
          <w:sz w:val="20"/>
          <w:szCs w:val="20"/>
          <w:rtl/>
        </w:rPr>
        <w:t xml:space="preserve"> הורה לבחורים המקורבים אליו לעזוב. ר׳ </w:t>
      </w:r>
      <w:proofErr w:type="spellStart"/>
      <w:r>
        <w:rPr>
          <w:sz w:val="20"/>
          <w:szCs w:val="20"/>
          <w:rtl/>
        </w:rPr>
        <w:t>מאיר־שמחה</w:t>
      </w:r>
      <w:proofErr w:type="spellEnd"/>
      <w:r>
        <w:rPr>
          <w:sz w:val="20"/>
          <w:szCs w:val="20"/>
          <w:rtl/>
        </w:rPr>
        <w:t xml:space="preserve"> היה נוסע בקיץ לאוסטריה, לרחוץ במרחצאות המרפא </w:t>
      </w:r>
      <w:proofErr w:type="spellStart"/>
      <w:r>
        <w:rPr>
          <w:sz w:val="20"/>
          <w:szCs w:val="20"/>
          <w:rtl/>
        </w:rPr>
        <w:t>בקרלסבד</w:t>
      </w:r>
      <w:proofErr w:type="spellEnd"/>
      <w:r>
        <w:rPr>
          <w:sz w:val="20"/>
          <w:szCs w:val="20"/>
          <w:rtl/>
        </w:rPr>
        <w:t xml:space="preserve">. ר׳ שפטיה סיפר שהימים שלפני יציאתו </w:t>
      </w:r>
      <w:proofErr w:type="spellStart"/>
      <w:r>
        <w:rPr>
          <w:sz w:val="20"/>
          <w:szCs w:val="20"/>
          <w:rtl/>
        </w:rPr>
        <w:t>מדווינסק</w:t>
      </w:r>
      <w:proofErr w:type="spellEnd"/>
      <w:r>
        <w:rPr>
          <w:sz w:val="20"/>
          <w:szCs w:val="20"/>
          <w:rtl/>
        </w:rPr>
        <w:t xml:space="preserve"> </w:t>
      </w:r>
      <w:proofErr w:type="spellStart"/>
      <w:r>
        <w:rPr>
          <w:sz w:val="20"/>
          <w:szCs w:val="20"/>
          <w:rtl/>
        </w:rPr>
        <w:t>לקרלסבד</w:t>
      </w:r>
      <w:proofErr w:type="spellEnd"/>
      <w:r>
        <w:rPr>
          <w:sz w:val="20"/>
          <w:szCs w:val="20"/>
          <w:rtl/>
        </w:rPr>
        <w:t xml:space="preserve"> נחשבו בעיני האור שמח </w:t>
      </w:r>
      <w:proofErr w:type="spellStart"/>
      <w:r>
        <w:rPr>
          <w:sz w:val="20"/>
          <w:szCs w:val="20"/>
          <w:rtl/>
        </w:rPr>
        <w:t>ל“ימים</w:t>
      </w:r>
      <w:proofErr w:type="spellEnd"/>
      <w:r>
        <w:rPr>
          <w:sz w:val="20"/>
          <w:szCs w:val="20"/>
          <w:rtl/>
        </w:rPr>
        <w:t xml:space="preserve"> השחורים” בחייו, כי אז היו בעלי הבתים מביאים לו כסף למרחצאות, והוא תיעב קבלת מתנות, אפילו לתכלית נעלה כזאת. (ראה גם פרק 4, הפסקה הראשונה בנספח כ: ר׳ יצחק־זאב </w:t>
      </w:r>
      <w:proofErr w:type="spellStart"/>
      <w:r>
        <w:rPr>
          <w:sz w:val="20"/>
          <w:szCs w:val="20"/>
          <w:rtl/>
        </w:rPr>
        <w:t>סולובייצ׳יק</w:t>
      </w:r>
      <w:proofErr w:type="spellEnd"/>
      <w:r>
        <w:rPr>
          <w:sz w:val="20"/>
          <w:szCs w:val="20"/>
          <w:rtl/>
        </w:rPr>
        <w:t xml:space="preserve"> סירב לקבל מתנה שהייתה נחוצה לבריאותו.)</w:t>
      </w:r>
    </w:p>
    <w:p w14:paraId="2D8B65F3" w14:textId="77777777" w:rsidR="00AB3647" w:rsidRDefault="00000000">
      <w:pPr>
        <w:spacing w:after="0" w:before="0"/>
        <w:jc w:val="both"/>
      </w:pPr>
      <w:r>
        <w:rPr>
          <w:sz w:val="20"/>
          <w:szCs w:val="20"/>
          <w:rtl/>
        </w:rPr>
        <w:t xml:space="preserve">כשהגיעה לפרנץ יוזף, קיסר </w:t>
      </w:r>
      <w:proofErr w:type="spellStart"/>
      <w:r>
        <w:rPr>
          <w:sz w:val="20"/>
          <w:szCs w:val="20"/>
          <w:rtl/>
        </w:rPr>
        <w:t>אוסטרו־הונגריה</w:t>
      </w:r>
      <w:proofErr w:type="spellEnd"/>
      <w:r>
        <w:rPr>
          <w:sz w:val="20"/>
          <w:szCs w:val="20"/>
          <w:rtl/>
        </w:rPr>
        <w:t xml:space="preserve">, הידיעה </w:t>
      </w:r>
      <w:proofErr w:type="spellStart"/>
      <w:r>
        <w:rPr>
          <w:sz w:val="20"/>
          <w:szCs w:val="20"/>
          <w:rtl/>
        </w:rPr>
        <w:t>ש“הרב</w:t>
      </w:r>
      <w:proofErr w:type="spellEnd"/>
      <w:r>
        <w:rPr>
          <w:sz w:val="20"/>
          <w:szCs w:val="20"/>
          <w:rtl/>
        </w:rPr>
        <w:t xml:space="preserve"> היהודי החכם ביותר” נמצא בעיר, ביקש השליט, אוהב היהודים, להביא אליו את האור שמח, והם שוחחו ארוכות. כשחזר ר׳ </w:t>
      </w:r>
      <w:proofErr w:type="spellStart"/>
      <w:r>
        <w:rPr>
          <w:sz w:val="20"/>
          <w:szCs w:val="20"/>
          <w:rtl/>
        </w:rPr>
        <w:t>מאיר־שמחה</w:t>
      </w:r>
      <w:proofErr w:type="spellEnd"/>
      <w:r>
        <w:rPr>
          <w:sz w:val="20"/>
          <w:szCs w:val="20"/>
          <w:rtl/>
        </w:rPr>
        <w:t xml:space="preserve"> </w:t>
      </w:r>
      <w:proofErr w:type="spellStart"/>
      <w:r>
        <w:rPr>
          <w:sz w:val="20"/>
          <w:szCs w:val="20"/>
          <w:rtl/>
        </w:rPr>
        <w:t>לדווינסק</w:t>
      </w:r>
      <w:proofErr w:type="spellEnd"/>
      <w:r>
        <w:rPr>
          <w:sz w:val="20"/>
          <w:szCs w:val="20"/>
          <w:rtl/>
        </w:rPr>
        <w:t xml:space="preserve"> אמר לתלמידים: “</w:t>
      </w:r>
      <w:proofErr w:type="spellStart"/>
      <w:r>
        <w:rPr>
          <w:sz w:val="20"/>
          <w:szCs w:val="20"/>
          <w:rtl/>
        </w:rPr>
        <w:t>קינדערלאך</w:t>
      </w:r>
      <w:proofErr w:type="spellEnd"/>
      <w:r>
        <w:rPr>
          <w:sz w:val="20"/>
          <w:szCs w:val="20"/>
          <w:rtl/>
        </w:rPr>
        <w:t xml:space="preserve">, עלינו להיפרד. עליי להישאר בעירי, אבל אני אומר לכם שתהיה מלחמה, לא לשבועות אלא לשנים; אירופה תהפוך לשדה קרב. עזבו את אירופה עכשיו, לפני שתפרוץ המלחמה.” ר׳ שפטיה זכר את הבכי שפרץ כשאמר להם ר׳ </w:t>
      </w:r>
      <w:proofErr w:type="spellStart"/>
      <w:r>
        <w:rPr>
          <w:sz w:val="20"/>
          <w:szCs w:val="20"/>
          <w:rtl/>
        </w:rPr>
        <w:t>מאיר־שמחה</w:t>
      </w:r>
      <w:proofErr w:type="spellEnd"/>
      <w:r>
        <w:rPr>
          <w:sz w:val="20"/>
          <w:szCs w:val="20"/>
          <w:rtl/>
        </w:rPr>
        <w:t xml:space="preserve"> דברים אלה. השווה גם עמ׳ </w:t>
      </w:r>
      <w:r>
        <w:rPr>
          <w:sz w:val="20"/>
          <w:szCs w:val="20"/>
          <w:rtl/>
        </w:rPr>
        <w:fldChar w:fldCharType="begin" w:dirty="true"/>
      </w:r>
      <w:r>
        <w:rPr>
          <w:sz w:val="20"/>
          <w:szCs w:val="20"/>
          <w:rtl/>
        </w:rPr>
        <w:instrText xml:space="preserve"> PAGEREF pr_b_1585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2971">
    <w:p w14:paraId="57D2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sz w:val="20"/>
          <w:szCs w:val="20"/>
          <w:rtl/>
        </w:rPr>
        <w:fldChar w:fldCharType="begin" w:dirty="true"/>
      </w:r>
      <w:r>
        <w:rPr>
          <w:sz w:val="20"/>
          <w:szCs w:val="20"/>
          <w:rtl/>
        </w:rPr>
        <w:instrText xml:space="preserve"> NOTEREF pr_f_4475 \h </w:instrText>
      </w:r>
      <w:r>
        <w:rPr>
          <w:sz w:val="20"/>
          <w:szCs w:val="20"/>
          <w:rtl/>
        </w:rPr>
      </w:r>
      <w:r>
        <w:rPr>
          <w:sz w:val="20"/>
          <w:szCs w:val="20"/>
          <w:rtl/>
        </w:rPr>
        <w:fldChar w:fldCharType="separate"/>
      </w:r>
      <w:r w:rsidR="007923E9">
        <w:rPr>
          <w:sz w:val="20"/>
          <w:szCs w:val="20"/>
          <w:rtl/>
        </w:rPr>
        <w:t>129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2972">
    <w:p w14:paraId="504C51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ידעתי בתחילה מתי שב </w:t>
      </w:r>
      <w:proofErr w:type="spellStart"/>
      <w:r>
        <w:rPr>
          <w:sz w:val="20"/>
          <w:szCs w:val="20"/>
          <w:rtl/>
        </w:rPr>
        <w:t>מסליאנסקי</w:t>
      </w:r>
      <w:proofErr w:type="spellEnd"/>
      <w:r>
        <w:rPr>
          <w:sz w:val="20"/>
          <w:szCs w:val="20"/>
          <w:rtl/>
        </w:rPr>
        <w:t xml:space="preserve"> לבקר באירופה אחרי שעזב אותה </w:t>
      </w:r>
      <w:proofErr w:type="spellStart"/>
      <w:r>
        <w:rPr>
          <w:sz w:val="20"/>
          <w:szCs w:val="20"/>
          <w:rtl/>
        </w:rPr>
        <w:t>בתרנ״ה</w:t>
      </w:r>
      <w:proofErr w:type="spellEnd"/>
      <w:r>
        <w:rPr>
          <w:sz w:val="20"/>
          <w:szCs w:val="20"/>
          <w:rtl/>
        </w:rPr>
        <w:t xml:space="preserve">, כאמור בהערה 79 לעיל. אם ביקורו היה קשור למשלחת בת עשרים וחמישה חברים ששלח הג׳וינט לדווח על מצב יהדות אירופה אחרי המלחמה, הרי שהיה </w:t>
      </w:r>
      <w:proofErr w:type="spellStart"/>
      <w:r>
        <w:rPr>
          <w:sz w:val="20"/>
          <w:szCs w:val="20"/>
          <w:rtl/>
        </w:rPr>
        <w:t>בתר״פ</w:t>
      </w:r>
      <w:proofErr w:type="spellEnd"/>
      <w:r>
        <w:rPr>
          <w:sz w:val="20"/>
          <w:szCs w:val="20"/>
          <w:rtl/>
        </w:rPr>
        <w:t xml:space="preserve">. באותה עת לא היה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אלא בפטרבורג, שבה שהה “כעשר שנים” מאמצע המלחמה ואילך, לפי “אישים ושיטות” (נספח י לעיל), עמ׳ 91. אבל לאחר חקירה נוספת הגעתי למסקנה שר׳ שפטיה (או חתנו) טעה כשמסר </w:t>
      </w:r>
      <w:proofErr w:type="spellStart"/>
      <w:r>
        <w:rPr>
          <w:sz w:val="20"/>
          <w:szCs w:val="20"/>
          <w:rtl/>
        </w:rPr>
        <w:t>שמסליאנסקי</w:t>
      </w:r>
      <w:proofErr w:type="spellEnd"/>
      <w:r>
        <w:rPr>
          <w:sz w:val="20"/>
          <w:szCs w:val="20"/>
          <w:rtl/>
        </w:rPr>
        <w:t xml:space="preserve"> הזכיר ביקור במזרח אירופה אחרי המלחמה. אין ראיה שביקר אי פעם במזרח אירופה אחרי שגורש ממנה בפקודת הז׳נדרמריה הרוסית </w:t>
      </w:r>
      <w:proofErr w:type="spellStart"/>
      <w:r>
        <w:rPr>
          <w:sz w:val="20"/>
          <w:szCs w:val="20"/>
          <w:rtl/>
        </w:rPr>
        <w:t>בתרנ״ד</w:t>
      </w:r>
      <w:proofErr w:type="spellEnd"/>
      <w:r>
        <w:rPr>
          <w:sz w:val="20"/>
          <w:szCs w:val="20"/>
          <w:rtl/>
        </w:rPr>
        <w:t xml:space="preserve">. הוא ביקר במערב אירופה </w:t>
      </w:r>
      <w:proofErr w:type="spellStart"/>
      <w:r>
        <w:rPr>
          <w:sz w:val="20"/>
          <w:szCs w:val="20"/>
          <w:rtl/>
        </w:rPr>
        <w:t>בתרס״ח</w:t>
      </w:r>
      <w:proofErr w:type="spellEnd"/>
      <w:r>
        <w:rPr>
          <w:sz w:val="20"/>
          <w:szCs w:val="20"/>
          <w:rtl/>
        </w:rPr>
        <w:t xml:space="preserve">, לניתוח במיתרי קולו, ועבר במערב אירופה </w:t>
      </w:r>
      <w:proofErr w:type="spellStart"/>
      <w:r>
        <w:rPr>
          <w:sz w:val="20"/>
          <w:szCs w:val="20"/>
          <w:rtl/>
        </w:rPr>
        <w:t>בתרפ״א</w:t>
      </w:r>
      <w:proofErr w:type="spellEnd"/>
      <w:r>
        <w:rPr>
          <w:sz w:val="20"/>
          <w:szCs w:val="20"/>
          <w:rtl/>
        </w:rPr>
        <w:t xml:space="preserve">, בדרכו לביקור של אביב וקיץ בארץ ישראל. גם בעת שגורש מרוסיה שהה במערב אירופה, ובכלל זה באנגליה; בעת ביקור </w:t>
      </w:r>
      <w:proofErr w:type="spellStart"/>
      <w:r>
        <w:rPr>
          <w:sz w:val="20"/>
          <w:szCs w:val="20"/>
          <w:rtl/>
        </w:rPr>
        <w:t>בשאוול</w:t>
      </w:r>
      <w:proofErr w:type="spellEnd"/>
      <w:r>
        <w:rPr>
          <w:sz w:val="20"/>
          <w:szCs w:val="20"/>
          <w:rtl/>
        </w:rPr>
        <w:t xml:space="preserve"> החרימו את כתבי ידו וציוו עליו לעזוב את רוסיה בתוך חודש.</w:t>
      </w:r>
    </w:p>
    <w:p w14:paraId="1ADFFC70" w14:textId="77777777" w:rsidR="00AB3647" w:rsidRDefault="00000000">
      <w:pPr>
        <w:spacing w:after="0" w:before="0"/>
        <w:jc w:val="both"/>
      </w:pPr>
      <w:r>
        <w:rPr>
          <w:sz w:val="20"/>
          <w:szCs w:val="20"/>
          <w:rtl/>
        </w:rPr>
        <w:t xml:space="preserve">למעשה, לפי עמ׳ 101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כשביקר את הגאון </w:t>
      </w:r>
      <w:proofErr w:type="spellStart"/>
      <w:r>
        <w:rPr>
          <w:sz w:val="20"/>
          <w:szCs w:val="20"/>
          <w:rtl/>
        </w:rPr>
        <w:t>הרוגצ׳ובר</w:t>
      </w:r>
      <w:proofErr w:type="spellEnd"/>
      <w:r>
        <w:rPr>
          <w:sz w:val="20"/>
          <w:szCs w:val="20"/>
          <w:rtl/>
        </w:rPr>
        <w:t xml:space="preserve"> </w:t>
      </w:r>
      <w:proofErr w:type="spellStart"/>
      <w:r>
        <w:rPr>
          <w:sz w:val="20"/>
          <w:szCs w:val="20"/>
          <w:rtl/>
        </w:rPr>
        <w:t>בדווינסק</w:t>
      </w:r>
      <w:proofErr w:type="spellEnd"/>
      <w:r>
        <w:rPr>
          <w:sz w:val="20"/>
          <w:szCs w:val="20"/>
          <w:rtl/>
        </w:rPr>
        <w:t xml:space="preserve"> </w:t>
      </w:r>
      <w:proofErr w:type="spellStart"/>
      <w:r>
        <w:rPr>
          <w:sz w:val="20"/>
          <w:szCs w:val="20"/>
          <w:rtl/>
        </w:rPr>
        <w:t>בתרנ״ג</w:t>
      </w:r>
      <w:proofErr w:type="spellEnd"/>
      <w:r>
        <w:rPr>
          <w:sz w:val="20"/>
          <w:szCs w:val="20"/>
          <w:rtl/>
        </w:rPr>
        <w:t xml:space="preserve">–תרנ״ד, ידע שזהו מכרו הוותיק </w:t>
      </w:r>
      <w:proofErr w:type="spellStart"/>
      <w:r>
        <w:rPr>
          <w:sz w:val="20"/>
          <w:szCs w:val="20"/>
          <w:rtl/>
        </w:rPr>
        <w:t>מסלוצק</w:t>
      </w:r>
      <w:proofErr w:type="spellEnd"/>
      <w:r>
        <w:rPr>
          <w:sz w:val="20"/>
          <w:szCs w:val="20"/>
          <w:rtl/>
        </w:rPr>
        <w:t xml:space="preserve">. הוא מתאר שם ביקור מאכזב מאוד אצל ר׳ יוסף </w:t>
      </w:r>
      <w:proofErr w:type="spellStart"/>
      <w:r>
        <w:rPr>
          <w:sz w:val="20"/>
          <w:szCs w:val="20"/>
          <w:rtl/>
        </w:rPr>
        <w:t>רוזין</w:t>
      </w:r>
      <w:proofErr w:type="spellEnd"/>
      <w:r>
        <w:rPr>
          <w:sz w:val="20"/>
          <w:szCs w:val="20"/>
          <w:rtl/>
        </w:rPr>
        <w:t xml:space="preserve">, שבו התווכחו על “קיומן של מושבות [יהודיות] בארץ ישראל” ועל אתרוגי </w:t>
      </w:r>
      <w:proofErr w:type="spellStart"/>
      <w:r>
        <w:rPr>
          <w:sz w:val="20"/>
          <w:szCs w:val="20"/>
          <w:rtl/>
        </w:rPr>
        <w:t>קורפו</w:t>
      </w:r>
      <w:proofErr w:type="spellEnd"/>
      <w:r>
        <w:rPr>
          <w:sz w:val="20"/>
          <w:szCs w:val="20"/>
          <w:rtl/>
        </w:rPr>
        <w:t xml:space="preserve">.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108 (ראה פרק 3, הערה 79), הציג את </w:t>
      </w:r>
      <w:proofErr w:type="spellStart"/>
      <w:r>
        <w:rPr>
          <w:sz w:val="20"/>
          <w:szCs w:val="20"/>
          <w:rtl/>
        </w:rPr>
        <w:t>הרוגצ׳ובר</w:t>
      </w:r>
      <w:proofErr w:type="spellEnd"/>
      <w:r>
        <w:rPr>
          <w:sz w:val="20"/>
          <w:szCs w:val="20"/>
          <w:rtl/>
        </w:rPr>
        <w:t xml:space="preserve"> באור שלילי כל כך, עד שעורך התרגום האנגלי של זיכרונות </w:t>
      </w:r>
      <w:proofErr w:type="spellStart"/>
      <w:r>
        <w:rPr>
          <w:sz w:val="20"/>
          <w:szCs w:val="20"/>
          <w:rtl/>
        </w:rPr>
        <w:t>מסליאנסקי</w:t>
      </w:r>
      <w:proofErr w:type="spellEnd"/>
      <w:r>
        <w:rPr>
          <w:sz w:val="20"/>
          <w:szCs w:val="20"/>
          <w:rtl/>
        </w:rPr>
        <w:t xml:space="preserve"> החליט להשמיט כמה שורות דוחות מן המקור.</w:t>
      </w:r>
    </w:p>
  </w:footnote>
  <w:footnote w:id="2973">
    <w:p w14:paraId="1DE413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w:t>
      </w:r>
      <w:proofErr w:type="spellStart"/>
      <w:r>
        <w:rPr>
          <w:rStyle w:val="a5"/>
          <w:sz w:val="20"/>
          <w:szCs w:val="20"/>
          <w:vertAlign w:val="baseline"/>
          <w:rtl/>
        </w:rPr>
        <w:t>הערת־שוליים</w:t>
      </w:r>
      <w:proofErr w:type="spellEnd"/>
      <w:r>
        <w:rPr>
          <w:rStyle w:val="a5"/>
          <w:sz w:val="20"/>
          <w:szCs w:val="20"/>
          <w:vertAlign w:val="baseline"/>
          <w:rtl/>
        </w:rPr>
        <w:t xml:space="preserve"> </w:t>
      </w:r>
      <w:r>
        <w:rPr>
          <w:rStyle w:val="a5"/>
          <w:sz w:val="20"/>
          <w:szCs w:val="20"/>
          <w:vertAlign w:val="baseline"/>
          <w:rtl/>
        </w:rPr>
        <w:fldChar w:fldCharType="begin" w:dirty="true"/>
      </w:r>
      <w:r>
        <w:rPr>
          <w:rStyle w:val="a5"/>
          <w:sz w:val="20"/>
          <w:szCs w:val="20"/>
          <w:vertAlign w:val="baseline"/>
          <w:rtl/>
        </w:rPr>
        <w:instrText xml:space="preserve"> NOTEREF pr_f_2863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1910</w:t>
      </w:r>
      <w:r>
        <w:rPr>
          <w:rStyle w:val="a5"/>
          <w:sz w:val="20"/>
          <w:szCs w:val="20"/>
          <w:vertAlign w:val="baseline"/>
          <w:rtl/>
        </w:rPr>
        <w:fldChar w:fldCharType="end"/>
      </w:r>
      <w:r>
        <w:rPr>
          <w:rStyle w:val="a5"/>
          <w:sz w:val="20"/>
          <w:szCs w:val="20"/>
          <w:vertAlign w:val="baseline"/>
          <w:rtl/>
        </w:rPr>
        <w:t xml:space="preserve"> להלן.</w:t>
      </w:r>
    </w:p>
  </w:footnote>
  <w:footnote w:id="2974">
    <w:p w14:paraId="51BDB2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ב־8 במרץ 2001.</w:t>
      </w:r>
    </w:p>
  </w:footnote>
  <w:footnote w:id="2975">
    <w:p w14:paraId="75645B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מן הסתם סיפר זאת ר׳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w:t>
      </w:r>
      <w:proofErr w:type="spellStart"/>
      <w:r>
        <w:rPr>
          <w:sz w:val="20"/>
          <w:szCs w:val="20"/>
          <w:rtl/>
        </w:rPr>
        <w:t>לר</w:t>
      </w:r>
      <w:proofErr w:type="spellEnd"/>
      <w:r>
        <w:rPr>
          <w:sz w:val="20"/>
          <w:szCs w:val="20"/>
          <w:rtl/>
        </w:rPr>
        <w:t xml:space="preserve">׳ ראובן כץ במשך שלוש שנות שהותו של האחרון בארצות הברית כרב </w:t>
      </w:r>
      <w:proofErr w:type="spellStart"/>
      <w:r>
        <w:rPr>
          <w:sz w:val="20"/>
          <w:szCs w:val="20"/>
          <w:rtl/>
        </w:rPr>
        <w:t>בייון</w:t>
      </w:r>
      <w:proofErr w:type="spellEnd"/>
      <w:r>
        <w:rPr>
          <w:sz w:val="20"/>
          <w:szCs w:val="20"/>
          <w:rtl/>
        </w:rPr>
        <w:t>, ניו ג׳רזי (תרפ״ט–תרצ״ב).</w:t>
      </w:r>
    </w:p>
  </w:footnote>
  <w:footnote w:id="2976">
    <w:p w14:paraId="2625F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מדויק, שהרי אם הפגישה התקיימה אחרי מלחמת העולם הראשונה, חלפו לפחות חמישים וחמש שנה! אבל ראה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w:t>
      </w:r>
      <w:proofErr w:type="spellStart"/>
      <w:r>
        <w:rPr>
          <w:sz w:val="20"/>
          <w:szCs w:val="20"/>
          <w:rtl/>
        </w:rPr>
        <w:t>מסליאנסקי</w:t>
      </w:r>
      <w:proofErr w:type="spellEnd"/>
      <w:r>
        <w:rPr>
          <w:sz w:val="20"/>
          <w:szCs w:val="20"/>
          <w:rtl/>
        </w:rPr>
        <w:t xml:space="preserve"> פגש את </w:t>
      </w:r>
      <w:proofErr w:type="spellStart"/>
      <w:r>
        <w:rPr>
          <w:sz w:val="20"/>
          <w:szCs w:val="20"/>
          <w:rtl/>
        </w:rPr>
        <w:t>הרוגצ׳ובר</w:t>
      </w:r>
      <w:proofErr w:type="spellEnd"/>
      <w:r>
        <w:rPr>
          <w:sz w:val="20"/>
          <w:szCs w:val="20"/>
          <w:rtl/>
        </w:rPr>
        <w:t xml:space="preserve"> בשנים תרנ״ג–תרנ״ד, ולכן הפער מצטמצם לעשרים ושמונה שנה. מעניין </w:t>
      </w:r>
      <w:proofErr w:type="spellStart"/>
      <w:r>
        <w:rPr>
          <w:sz w:val="20"/>
          <w:szCs w:val="20"/>
          <w:rtl/>
        </w:rPr>
        <w:t>שמסליאנסקי</w:t>
      </w:r>
      <w:proofErr w:type="spellEnd"/>
      <w:r>
        <w:rPr>
          <w:sz w:val="20"/>
          <w:szCs w:val="20"/>
          <w:rtl/>
        </w:rPr>
        <w:t xml:space="preserve"> אינו מזכיר בזיכרונותיו את מפגן הזיכרון הזה של </w:t>
      </w:r>
      <w:proofErr w:type="spellStart"/>
      <w:r>
        <w:rPr>
          <w:sz w:val="20"/>
          <w:szCs w:val="20"/>
          <w:rtl/>
        </w:rPr>
        <w:t>הרוגצ׳ובר</w:t>
      </w:r>
      <w:proofErr w:type="spellEnd"/>
      <w:r>
        <w:rPr>
          <w:sz w:val="20"/>
          <w:szCs w:val="20"/>
          <w:rtl/>
        </w:rPr>
        <w:t xml:space="preserve"> – אולי מפני שנמנע מלשבח את הגאון שהתנצח עמו, כמובא בסוף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pr_f_2859 \h </w:instrText>
      </w:r>
      <w:r>
        <w:rPr>
          <w:sz w:val="20"/>
          <w:szCs w:val="20"/>
          <w:rtl/>
        </w:rPr>
      </w:r>
      <w:r>
        <w:rPr>
          <w:sz w:val="20"/>
          <w:szCs w:val="20"/>
          <w:rtl/>
        </w:rPr>
        <w:fldChar w:fldCharType="separate"/>
      </w:r>
      <w:r w:rsidR="007923E9">
        <w:rPr>
          <w:sz w:val="20"/>
          <w:szCs w:val="20"/>
          <w:rtl/>
        </w:rPr>
        <w:t>1906</w:t>
      </w:r>
      <w:r>
        <w:rPr>
          <w:sz w:val="20"/>
          <w:szCs w:val="20"/>
          <w:rtl/>
        </w:rPr>
        <w:fldChar w:fldCharType="end"/>
      </w:r>
      <w:r>
        <w:rPr>
          <w:sz w:val="20"/>
          <w:szCs w:val="20"/>
          <w:rtl/>
        </w:rPr>
        <w:t xml:space="preserve"> לעיל. אבל הוא מספר כמה התרשם מר׳ חיים </w:t>
      </w:r>
      <w:proofErr w:type="spellStart"/>
      <w:r>
        <w:rPr>
          <w:sz w:val="20"/>
          <w:szCs w:val="20"/>
          <w:rtl/>
        </w:rPr>
        <w:t>סולובייצ׳יק</w:t>
      </w:r>
      <w:proofErr w:type="spellEnd"/>
      <w:r>
        <w:rPr>
          <w:sz w:val="20"/>
          <w:szCs w:val="20"/>
          <w:rtl/>
        </w:rPr>
        <w:t xml:space="preserve">, שאותו ביקר </w:t>
      </w:r>
      <w:proofErr w:type="spellStart"/>
      <w:r>
        <w:rPr>
          <w:sz w:val="20"/>
          <w:szCs w:val="20"/>
          <w:rtl/>
        </w:rPr>
        <w:t>בבריסק</w:t>
      </w:r>
      <w:proofErr w:type="spellEnd"/>
      <w:r>
        <w:rPr>
          <w:sz w:val="20"/>
          <w:szCs w:val="20"/>
          <w:rtl/>
        </w:rPr>
        <w:t xml:space="preserve"> לפני שהמשיך </w:t>
      </w:r>
      <w:proofErr w:type="spellStart"/>
      <w:r>
        <w:rPr>
          <w:sz w:val="20"/>
          <w:szCs w:val="20"/>
          <w:rtl/>
        </w:rPr>
        <w:t>לדווינסק</w:t>
      </w:r>
      <w:proofErr w:type="spellEnd"/>
      <w:r>
        <w:rPr>
          <w:sz w:val="20"/>
          <w:szCs w:val="20"/>
          <w:rtl/>
        </w:rPr>
        <w:t xml:space="preserve">, ושזיהה אותו “לאחר שלושים וחמש שנה”, כמסופר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ביידיש (1924), עמ׳ 103. גם זה אינו מדויק, ובזיכרונותיו באנגלית (1929), עמ׳ 97, תוקן </w:t>
      </w:r>
      <w:proofErr w:type="spellStart"/>
      <w:r>
        <w:rPr>
          <w:sz w:val="20"/>
          <w:szCs w:val="20"/>
          <w:rtl/>
        </w:rPr>
        <w:t>ל“לאחר</w:t>
      </w:r>
      <w:proofErr w:type="spellEnd"/>
      <w:r>
        <w:rPr>
          <w:sz w:val="20"/>
          <w:szCs w:val="20"/>
          <w:rtl/>
        </w:rPr>
        <w:t xml:space="preserve"> עשרים וחמש שנה”. מספר השנים המדויק שבהן לא ראו </w:t>
      </w:r>
      <w:proofErr w:type="spellStart"/>
      <w:r>
        <w:rPr>
          <w:sz w:val="20"/>
          <w:szCs w:val="20"/>
          <w:rtl/>
        </w:rPr>
        <w:t>מסליאנסקי</w:t>
      </w:r>
      <w:proofErr w:type="spellEnd"/>
      <w:r>
        <w:rPr>
          <w:sz w:val="20"/>
          <w:szCs w:val="20"/>
          <w:rtl/>
        </w:rPr>
        <w:t xml:space="preserve"> ור׳ חיים זה את זה היה עשרים ושבע.</w:t>
      </w:r>
    </w:p>
  </w:footnote>
  <w:footnote w:id="2977">
    <w:p w14:paraId="18C2B3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היידי הבוטה שבו השתמש הרב </w:t>
      </w:r>
      <w:proofErr w:type="spellStart"/>
      <w:r>
        <w:rPr>
          <w:sz w:val="20"/>
          <w:szCs w:val="20"/>
          <w:rtl/>
        </w:rPr>
        <w:t>רוזין</w:t>
      </w:r>
      <w:proofErr w:type="spellEnd"/>
      <w:r>
        <w:rPr>
          <w:sz w:val="20"/>
          <w:szCs w:val="20"/>
          <w:rtl/>
        </w:rPr>
        <w:t xml:space="preserve"> בשתי המילים האחרונות היה “א מכה”. אולי יש רמז למה שהוסיף </w:t>
      </w:r>
      <w:proofErr w:type="spellStart"/>
      <w:r>
        <w:rPr>
          <w:sz w:val="20"/>
          <w:szCs w:val="20"/>
          <w:rtl/>
        </w:rPr>
        <w:t>מסליאנסקי</w:t>
      </w:r>
      <w:proofErr w:type="spellEnd"/>
      <w:r>
        <w:rPr>
          <w:sz w:val="20"/>
          <w:szCs w:val="20"/>
          <w:rtl/>
        </w:rPr>
        <w:t xml:space="preserve"> באוזני ר׳ ראובן כץ בזיכרונותיו של </w:t>
      </w:r>
      <w:proofErr w:type="spellStart"/>
      <w:r>
        <w:rPr>
          <w:sz w:val="20"/>
          <w:szCs w:val="20"/>
          <w:rtl/>
        </w:rPr>
        <w:t>צבי־הירש</w:t>
      </w:r>
      <w:proofErr w:type="spellEnd"/>
      <w:r>
        <w:rPr>
          <w:sz w:val="20"/>
          <w:szCs w:val="20"/>
          <w:rtl/>
        </w:rPr>
        <w:t xml:space="preserve"> </w:t>
      </w:r>
      <w:proofErr w:type="spellStart"/>
      <w:r>
        <w:rPr>
          <w:sz w:val="20"/>
          <w:szCs w:val="20"/>
          <w:rtl/>
        </w:rPr>
        <w:t>מסליאנסקי</w:t>
      </w:r>
      <w:proofErr w:type="spellEnd"/>
      <w:r>
        <w:rPr>
          <w:sz w:val="20"/>
          <w:szCs w:val="20"/>
          <w:rtl/>
        </w:rPr>
        <w:t xml:space="preserve"> באנגלית (1929), עמ׳ 101: “יחד עם כוח זיכרונו של </w:t>
      </w:r>
      <w:proofErr w:type="spellStart"/>
      <w:r>
        <w:rPr>
          <w:sz w:val="20"/>
          <w:szCs w:val="20"/>
          <w:rtl/>
        </w:rPr>
        <w:t>הרוגצ׳ובר</w:t>
      </w:r>
      <w:proofErr w:type="spellEnd"/>
      <w:r>
        <w:rPr>
          <w:sz w:val="20"/>
          <w:szCs w:val="20"/>
          <w:rtl/>
        </w:rPr>
        <w:t xml:space="preserve"> התעצמה בו התכונה של שלילת כל גדולי הרבנים, ובכללם רבו, ר׳ </w:t>
      </w:r>
      <w:proofErr w:type="spellStart"/>
      <w:r>
        <w:rPr>
          <w:sz w:val="20"/>
          <w:szCs w:val="20"/>
          <w:rtl/>
        </w:rPr>
        <w:t xml:space="preserve">יושע־בער</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השווה גם שו״ת “שרידי אש”, ח״א (הועד להוצאת כתבי הגאון הרב יחיאל יעקב וינברג זצ״ל, ירושלים, תשנ״ט), עמ׳ שנו, שבו כותב ר׳ </w:t>
      </w:r>
      <w:proofErr w:type="spellStart"/>
      <w:r>
        <w:rPr>
          <w:sz w:val="20"/>
          <w:szCs w:val="20"/>
          <w:rtl/>
        </w:rPr>
        <w:t>יחיאל־יעקב</w:t>
      </w:r>
      <w:proofErr w:type="spellEnd"/>
      <w:r>
        <w:rPr>
          <w:sz w:val="20"/>
          <w:szCs w:val="20"/>
          <w:rtl/>
        </w:rPr>
        <w:t xml:space="preserve"> ויינברג: “ואם הוא לעצמו כל גדולי הדור בעיניו כקליפת השום, אין אנו יכולים לפסוק כדעת יחיד”; “כקליפת השום” הוא ביטוי תלמודי בבכורות נ״ח ע״א. השווה “בין עולם הישיבות לאורתודוקסיה המודרנית” (</w:t>
      </w:r>
      <w:proofErr w:type="spellStart"/>
      <w:r>
        <w:rPr>
          <w:sz w:val="20"/>
          <w:szCs w:val="20"/>
          <w:rtl/>
        </w:rPr>
        <w:t>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pr_f_1747 \h </w:instrText>
      </w:r>
      <w:r>
        <w:rPr>
          <w:sz w:val="20"/>
          <w:szCs w:val="20"/>
          <w:rtl/>
        </w:rPr>
      </w:r>
      <w:r>
        <w:rPr>
          <w:sz w:val="20"/>
          <w:szCs w:val="20"/>
          <w:rtl/>
        </w:rPr>
        <w:fldChar w:fldCharType="separate"/>
      </w:r>
      <w:r w:rsidR="007923E9">
        <w:rPr>
          <w:sz w:val="20"/>
          <w:szCs w:val="20"/>
          <w:rtl/>
        </w:rPr>
        <w:t>794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ערך המפתח “</w:t>
      </w:r>
      <w:proofErr w:type="spellStart"/>
      <w:r>
        <w:rPr>
          <w:sz w:val="20"/>
          <w:szCs w:val="20"/>
          <w:rtl/>
        </w:rPr>
        <w:t>רוזין</w:t>
      </w:r>
      <w:proofErr w:type="spellEnd"/>
      <w:r>
        <w:rPr>
          <w:sz w:val="20"/>
          <w:szCs w:val="20"/>
          <w:rtl/>
        </w:rPr>
        <w:t xml:space="preserve">, יוסף”, על הקשר בין ר׳ </w:t>
      </w:r>
      <w:proofErr w:type="spellStart"/>
      <w:r>
        <w:rPr>
          <w:sz w:val="20"/>
          <w:szCs w:val="20"/>
          <w:rtl/>
        </w:rPr>
        <w:t>יחיאל־יעקב</w:t>
      </w:r>
      <w:proofErr w:type="spellEnd"/>
      <w:r>
        <w:rPr>
          <w:sz w:val="20"/>
          <w:szCs w:val="20"/>
          <w:rtl/>
        </w:rPr>
        <w:t xml:space="preserve"> ויינברג לגאון </w:t>
      </w:r>
      <w:proofErr w:type="spellStart"/>
      <w:r>
        <w:rPr>
          <w:sz w:val="20"/>
          <w:szCs w:val="20"/>
          <w:rtl/>
        </w:rPr>
        <w:t>הרוגצ׳ובר</w:t>
      </w:r>
      <w:proofErr w:type="spellEnd"/>
      <w:r>
        <w:rPr>
          <w:sz w:val="20"/>
          <w:szCs w:val="20"/>
          <w:rtl/>
        </w:rPr>
        <w:t>.</w:t>
      </w:r>
    </w:p>
  </w:footnote>
  <w:footnote w:id="2978">
    <w:p w14:paraId="005A43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92.</w:t>
      </w:r>
    </w:p>
  </w:footnote>
  <w:footnote w:id="2979">
    <w:p w14:paraId="21EE5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2980">
    <w:p w14:paraId="50B30E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נספח </w:t>
      </w:r>
      <w:proofErr w:type="spellStart"/>
      <w:r>
        <w:rPr>
          <w:sz w:val="20"/>
          <w:szCs w:val="20"/>
          <w:rtl/>
        </w:rPr>
        <w:t>כג</w:t>
      </w:r>
      <w:proofErr w:type="spellEnd"/>
      <w:r>
        <w:rPr>
          <w:sz w:val="20"/>
          <w:szCs w:val="20"/>
          <w:rtl/>
        </w:rPr>
        <w:t xml:space="preserve"> לעיל.</w:t>
      </w:r>
    </w:p>
  </w:footnote>
  <w:footnote w:id="2981">
    <w:p w14:paraId="002E22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השווה נספח ה לעיל.</w:t>
      </w:r>
    </w:p>
  </w:footnote>
  <w:footnote w:id="2982">
    <w:p w14:paraId="04EC4B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2983">
    <w:p w14:paraId="781C3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כינוי זה משלים את התואר “משגיח”, ששימש בישיבות שלא דגלו במוסר לממונה על בדיקת נוכחות התלמידים ועל התנהגותם הכללית. השווה גם פרק 2, הערה 93. במאמרים </w:t>
      </w:r>
      <w:proofErr w:type="spellStart"/>
      <w:r>
        <w:rPr>
          <w:sz w:val="20"/>
          <w:szCs w:val="20"/>
          <w:rtl/>
        </w:rPr>
        <w:t>ב“העבר</w:t>
      </w:r>
      <w:proofErr w:type="spellEnd"/>
      <w:r>
        <w:rPr>
          <w:sz w:val="20"/>
          <w:szCs w:val="20"/>
          <w:rtl/>
        </w:rPr>
        <w:t xml:space="preserve">” (נספח כה לעיל) המתארים את בית הספר </w:t>
      </w:r>
      <w:proofErr w:type="spellStart"/>
      <w:r>
        <w:rPr>
          <w:sz w:val="20"/>
          <w:szCs w:val="20"/>
          <w:rtl/>
        </w:rPr>
        <w:t>בגרובין</w:t>
      </w:r>
      <w:proofErr w:type="spellEnd"/>
      <w:r>
        <w:rPr>
          <w:sz w:val="20"/>
          <w:szCs w:val="20"/>
          <w:rtl/>
        </w:rPr>
        <w:t xml:space="preserve"> כרבע מאה קודם לכן – כרך א, עמ׳ 112 ו־115, וכרך ב, עמ׳ 89–90 – משמש המונח “מחזק” לתלמיד מצטיין בכיתה, שתפקידו היה להטיף לחבריו או לכמה כיתות יחד. הכינוי “מחזק” הלם במיוחד את הסבא (בפי אנשים מבחוץ, שלא יכלו להעריך את כוחו העליון בתוך הישיבה), משום שכלפי חוץ הציג את עצמו לא כבעל תפקיד בישיבה אלא כחברם של התלמידים, כמובא בסוף הפסקה הראשונה בנספח ה לעיל ובתחילת הערה 1 בפרק 4.</w:t>
      </w:r>
    </w:p>
  </w:footnote>
  <w:footnote w:id="2984">
    <w:p w14:paraId="6C74EE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(המקור הנזכר בפרק 2, הערה 93), עמ׳ </w:t>
      </w:r>
      <w:proofErr w:type="spellStart"/>
      <w:r>
        <w:rPr>
          <w:sz w:val="20"/>
          <w:szCs w:val="20"/>
          <w:rtl/>
        </w:rPr>
        <w:t>יג</w:t>
      </w:r>
      <w:proofErr w:type="spellEnd"/>
      <w:r>
        <w:rPr>
          <w:sz w:val="20"/>
          <w:szCs w:val="20"/>
          <w:rtl/>
        </w:rPr>
        <w:t xml:space="preserve">, כותב העורך: “ואופייני הוא מאד: שבעירה הקטנה </w:t>
      </w:r>
      <w:proofErr w:type="spellStart"/>
      <w:r>
        <w:rPr>
          <w:sz w:val="20"/>
          <w:szCs w:val="20"/>
          <w:rtl/>
        </w:rPr>
        <w:t>סלובודקה</w:t>
      </w:r>
      <w:proofErr w:type="spellEnd"/>
      <w:r>
        <w:rPr>
          <w:sz w:val="20"/>
          <w:szCs w:val="20"/>
          <w:rtl/>
        </w:rPr>
        <w:t xml:space="preserve"> מעטים הם האנשים היודעים כי האיש הזה דר בשכונתם... עד כה הגיעה מדת הסתרתו של אדמו״ר זצוק״ל”.</w:t>
      </w:r>
    </w:p>
  </w:footnote>
  <w:footnote w:id="2985">
    <w:p w14:paraId="5CFD85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ע״א.</w:t>
      </w:r>
    </w:p>
  </w:footnote>
  <w:footnote w:id="2986">
    <w:p w14:paraId="04F5B1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מלכים א ג, </w:t>
      </w:r>
      <w:proofErr w:type="spellStart"/>
      <w:r>
        <w:rPr>
          <w:sz w:val="20"/>
          <w:szCs w:val="20"/>
          <w:rtl/>
        </w:rPr>
        <w:t>יב</w:t>
      </w:r>
      <w:proofErr w:type="spellEnd"/>
      <w:r>
        <w:rPr>
          <w:sz w:val="20"/>
          <w:szCs w:val="20"/>
          <w:rtl/>
        </w:rPr>
        <w:t xml:space="preserve">, ובמדבר </w:t>
      </w:r>
      <w:proofErr w:type="spellStart"/>
      <w:r>
        <w:rPr>
          <w:sz w:val="20"/>
          <w:szCs w:val="20"/>
          <w:rtl/>
        </w:rPr>
        <w:t>יב</w:t>
      </w:r>
      <w:proofErr w:type="spellEnd"/>
      <w:r>
        <w:rPr>
          <w:sz w:val="20"/>
          <w:szCs w:val="20"/>
          <w:rtl/>
        </w:rPr>
        <w:t>, ג.</w:t>
      </w:r>
    </w:p>
  </w:footnote>
  <w:footnote w:id="2987">
    <w:p w14:paraId="609D8C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67.</w:t>
      </w:r>
    </w:p>
  </w:footnote>
  <w:footnote w:id="2988">
    <w:p w14:paraId="171AC00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י לעיל.</w:t>
      </w:r>
    </w:p>
  </w:footnote>
  <w:footnote w:id="2989">
    <w:p w14:paraId="7845B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88.</w:t>
      </w:r>
    </w:p>
  </w:footnote>
  <w:footnote w:id="2990">
    <w:p w14:paraId="257C93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בישיבת ר׳ </w:t>
      </w:r>
      <w:proofErr w:type="spellStart"/>
      <w:r>
        <w:rPr>
          <w:sz w:val="20"/>
          <w:szCs w:val="20"/>
          <w:rtl/>
        </w:rPr>
        <w:t>הירשל׳ה</w:t>
      </w:r>
      <w:proofErr w:type="spellEnd"/>
      <w:r>
        <w:rPr>
          <w:sz w:val="20"/>
          <w:szCs w:val="20"/>
          <w:rtl/>
        </w:rPr>
        <w:t xml:space="preserve"> למדו התלמידים מוסר שעה בכל ערב, כפי שנאמר שם, עמ׳ 58.</w:t>
      </w:r>
    </w:p>
  </w:footnote>
  <w:footnote w:id="2991">
    <w:p w14:paraId="37284C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108.</w:t>
      </w:r>
    </w:p>
  </w:footnote>
  <w:footnote w:id="2992">
    <w:p w14:paraId="1FFEE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45.</w:t>
      </w:r>
    </w:p>
  </w:footnote>
  <w:footnote w:id="2993">
    <w:p w14:paraId="10FF8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דולינסקי</w:t>
      </w:r>
      <w:proofErr w:type="spellEnd"/>
      <w:r>
        <w:rPr>
          <w:sz w:val="20"/>
          <w:szCs w:val="20"/>
          <w:rtl/>
        </w:rPr>
        <w:t>; השווה נספח לו להלן.</w:t>
      </w:r>
    </w:p>
  </w:footnote>
  <w:footnote w:id="2994">
    <w:p w14:paraId="369DFC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5">
    <w:p w14:paraId="65F1A0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אמר אבי בלשון נקייה במקום ‘הרבי הורה שלא ללמוד מוסר’.</w:t>
      </w:r>
    </w:p>
  </w:footnote>
  <w:footnote w:id="2996">
    <w:p w14:paraId="01AEE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2997">
    <w:p w14:paraId="2E20A2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2998">
    <w:p w14:paraId="3500C2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27 לעיל – עמ׳ 62.</w:t>
      </w:r>
    </w:p>
  </w:footnote>
  <w:footnote w:id="2999">
    <w:p w14:paraId="7936FE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79 לעיל.</w:t>
      </w:r>
    </w:p>
  </w:footnote>
  <w:footnote w:id="3000">
    <w:p w14:paraId="4DC1782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נא.</w:t>
      </w:r>
    </w:p>
  </w:footnote>
  <w:footnote w:id="3001">
    <w:p w14:paraId="122A99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18 לעיל – עמ׳ רכו.</w:t>
      </w:r>
    </w:p>
  </w:footnote>
  <w:footnote w:id="3002">
    <w:p w14:paraId="0748F1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פו.</w:t>
      </w:r>
    </w:p>
  </w:footnote>
  <w:footnote w:id="3003">
    <w:p w14:paraId="145FC8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סיפר ר׳ יצחק </w:t>
      </w:r>
      <w:proofErr w:type="spellStart"/>
      <w:r>
        <w:rPr>
          <w:sz w:val="20"/>
          <w:szCs w:val="20"/>
          <w:rtl/>
        </w:rPr>
        <w:t>ביניק</w:t>
      </w:r>
      <w:proofErr w:type="spellEnd"/>
      <w:r>
        <w:rPr>
          <w:sz w:val="20"/>
          <w:szCs w:val="20"/>
          <w:rtl/>
        </w:rPr>
        <w:t xml:space="preserve">; השווה סוף הפסקה החמישית בנספח </w:t>
      </w:r>
      <w:proofErr w:type="spellStart"/>
      <w:r>
        <w:rPr>
          <w:sz w:val="20"/>
          <w:szCs w:val="20"/>
          <w:rtl/>
        </w:rPr>
        <w:t>כו</w:t>
      </w:r>
      <w:proofErr w:type="spellEnd"/>
      <w:r>
        <w:rPr>
          <w:sz w:val="20"/>
          <w:szCs w:val="20"/>
          <w:rtl/>
        </w:rPr>
        <w:t xml:space="preserve"> לעיל.</w:t>
      </w:r>
    </w:p>
  </w:footnote>
  <w:footnote w:id="3004">
    <w:p w14:paraId="39927F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“פולמוס המוסר” (תחילת נספח ו), עמ׳ 281–283, המציין </w:t>
      </w:r>
      <w:proofErr w:type="spellStart"/>
      <w:r>
        <w:rPr>
          <w:sz w:val="20"/>
          <w:szCs w:val="20"/>
          <w:rtl/>
        </w:rPr>
        <w:t>ש“רבים</w:t>
      </w:r>
      <w:proofErr w:type="spellEnd"/>
      <w:r>
        <w:rPr>
          <w:sz w:val="20"/>
          <w:szCs w:val="20"/>
          <w:rtl/>
        </w:rPr>
        <w:t xml:space="preserve"> מהרבנים המתנגדים הודיעו בפירוש שהם חוזרים מדעתם”. בעמ׳ 282 מצטט “פולמוס המוסר” את </w:t>
      </w:r>
      <w:proofErr w:type="spellStart"/>
      <w:r>
        <w:rPr>
          <w:sz w:val="20"/>
          <w:szCs w:val="20"/>
          <w:rtl/>
        </w:rPr>
        <w:t>החפץ־חיים</w:t>
      </w:r>
      <w:proofErr w:type="spellEnd"/>
      <w:r>
        <w:rPr>
          <w:sz w:val="20"/>
          <w:szCs w:val="20"/>
          <w:rtl/>
        </w:rPr>
        <w:t xml:space="preserve"> מתוך פרסום </w:t>
      </w:r>
      <w:proofErr w:type="spellStart"/>
      <w:r>
        <w:rPr>
          <w:sz w:val="20"/>
          <w:szCs w:val="20"/>
          <w:rtl/>
        </w:rPr>
        <w:t>מתרפ״ח</w:t>
      </w:r>
      <w:proofErr w:type="spellEnd"/>
      <w:r>
        <w:rPr>
          <w:sz w:val="20"/>
          <w:szCs w:val="20"/>
          <w:rtl/>
        </w:rPr>
        <w:t xml:space="preserve">: “דיברתי עם גדולים שהתנגדו לפנים ללימוד המוסר בישיבות, ועתה הודו </w:t>
      </w:r>
      <w:proofErr w:type="spellStart"/>
      <w:r>
        <w:rPr>
          <w:sz w:val="20"/>
          <w:szCs w:val="20"/>
          <w:rtl/>
        </w:rPr>
        <w:t>הכל</w:t>
      </w:r>
      <w:proofErr w:type="spellEnd"/>
      <w:r>
        <w:rPr>
          <w:sz w:val="20"/>
          <w:szCs w:val="20"/>
          <w:rtl/>
        </w:rPr>
        <w:t xml:space="preserve"> (ההדגשה במקור) כי כהיום נחוץ מאד לימוד המוסר, ובלא לימוד המוסר אין אנו בטוחים שתתקיים תורת ה׳ ויראתו בידינו”. ודאי היה ר׳ </w:t>
      </w:r>
      <w:proofErr w:type="spellStart"/>
      <w:r>
        <w:rPr>
          <w:sz w:val="20"/>
          <w:szCs w:val="20"/>
          <w:rtl/>
        </w:rPr>
        <w:t>ברוך־בער</w:t>
      </w:r>
      <w:proofErr w:type="spellEnd"/>
      <w:r>
        <w:rPr>
          <w:sz w:val="20"/>
          <w:szCs w:val="20"/>
          <w:rtl/>
        </w:rPr>
        <w:t xml:space="preserve"> אחד מן הגדולים </w:t>
      </w:r>
      <w:proofErr w:type="spellStart"/>
      <w:r>
        <w:rPr>
          <w:sz w:val="20"/>
          <w:szCs w:val="20"/>
          <w:rtl/>
        </w:rPr>
        <w:t>שהחפץ־חיים</w:t>
      </w:r>
      <w:proofErr w:type="spellEnd"/>
      <w:r>
        <w:rPr>
          <w:sz w:val="20"/>
          <w:szCs w:val="20"/>
          <w:rtl/>
        </w:rPr>
        <w:t xml:space="preserve"> דיבר עמם. השווה גם הפסקה השנייה בנספח כ לעיל.</w:t>
      </w:r>
    </w:p>
  </w:footnote>
  <w:footnote w:id="3005">
    <w:p w14:paraId="4432C8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32 לעיל – עמ׳ </w:t>
      </w:r>
      <w:proofErr w:type="spellStart"/>
      <w:r>
        <w:rPr>
          <w:sz w:val="20"/>
          <w:szCs w:val="20"/>
          <w:rtl/>
        </w:rPr>
        <w:t>כב</w:t>
      </w:r>
      <w:proofErr w:type="spellEnd"/>
      <w:r>
        <w:rPr>
          <w:sz w:val="20"/>
          <w:szCs w:val="20"/>
          <w:rtl/>
        </w:rPr>
        <w:t xml:space="preserve"> במספור העמודים השני.</w:t>
      </w:r>
    </w:p>
  </w:footnote>
  <w:footnote w:id="3006">
    <w:p w14:paraId="6B38AB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אף זאת בשם ר׳ זאב </w:t>
      </w:r>
      <w:proofErr w:type="spellStart"/>
      <w:r>
        <w:rPr>
          <w:sz w:val="20"/>
          <w:szCs w:val="20"/>
          <w:rtl/>
        </w:rPr>
        <w:t>איידלמן</w:t>
      </w:r>
      <w:proofErr w:type="spellEnd"/>
      <w:r>
        <w:rPr>
          <w:sz w:val="20"/>
          <w:szCs w:val="20"/>
          <w:rtl/>
        </w:rPr>
        <w:t xml:space="preserve">. הוא למד אצל ר׳ </w:t>
      </w:r>
      <w:proofErr w:type="spellStart"/>
      <w:r>
        <w:rPr>
          <w:sz w:val="20"/>
          <w:szCs w:val="20"/>
          <w:rtl/>
        </w:rPr>
        <w:t>ברוך־בער</w:t>
      </w:r>
      <w:proofErr w:type="spellEnd"/>
      <w:r>
        <w:rPr>
          <w:sz w:val="20"/>
          <w:szCs w:val="20"/>
          <w:rtl/>
        </w:rPr>
        <w:t xml:space="preserve"> בתקופה מאוחרת מזו שבה אירע המעשה שתיאר, ומן הסתם הכירו מפי השמועה.</w:t>
      </w:r>
    </w:p>
  </w:footnote>
  <w:footnote w:id="3007">
    <w:p w14:paraId="7816F63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כשכתיבת ספר זה התקרבה לסיומה, נודע לי שבחיפושיו אחר דרכו בחיים אף השתעשע ר׳ אייזיק הצעיר ברעיון ללמוד באוניברסיטה. בהקדמה </w:t>
      </w:r>
      <w:proofErr w:type="spellStart"/>
      <w:r>
        <w:rPr>
          <w:sz w:val="20"/>
          <w:szCs w:val="20"/>
          <w:rtl/>
        </w:rPr>
        <w:t>ל“תורת</w:t>
      </w:r>
      <w:proofErr w:type="spellEnd"/>
      <w:r>
        <w:rPr>
          <w:sz w:val="20"/>
          <w:szCs w:val="20"/>
          <w:rtl/>
        </w:rPr>
        <w:t xml:space="preserve"> יחיאל” (הוצאת הועד להוצאת ספרי הגאון רבי עקיבא יוסף זצ״ל, ירושלם [תשל״א]), “לתולדות רבינו המחבר” (עמ׳ </w:t>
      </w:r>
      <w:proofErr w:type="spellStart"/>
      <w:r>
        <w:rPr>
          <w:sz w:val="20"/>
          <w:szCs w:val="20"/>
          <w:rtl/>
        </w:rPr>
        <w:t>יח</w:t>
      </w:r>
      <w:proofErr w:type="spellEnd"/>
      <w:r>
        <w:rPr>
          <w:sz w:val="20"/>
          <w:szCs w:val="20"/>
          <w:rtl/>
        </w:rPr>
        <w:t xml:space="preserve">, הערה </w:t>
      </w:r>
      <w:proofErr w:type="spellStart"/>
      <w:r>
        <w:rPr>
          <w:sz w:val="20"/>
          <w:szCs w:val="20"/>
          <w:rtl/>
        </w:rPr>
        <w:t>כא</w:t>
      </w:r>
      <w:proofErr w:type="spellEnd"/>
      <w:r>
        <w:rPr>
          <w:sz w:val="20"/>
          <w:szCs w:val="20"/>
          <w:rtl/>
        </w:rPr>
        <w:t>), מסופר שר׳ אייזיק “הי׳ מספר ואומר, ‘</w:t>
      </w:r>
      <w:proofErr w:type="spellStart"/>
      <w:r>
        <w:rPr>
          <w:sz w:val="20"/>
          <w:szCs w:val="20"/>
          <w:rtl/>
        </w:rPr>
        <w:t>ה“לב</w:t>
      </w:r>
      <w:proofErr w:type="spellEnd"/>
      <w:r>
        <w:rPr>
          <w:sz w:val="20"/>
          <w:szCs w:val="20"/>
          <w:rtl/>
        </w:rPr>
        <w:t xml:space="preserve"> העברי” [מאת ר׳ </w:t>
      </w:r>
      <w:proofErr w:type="spellStart"/>
      <w:r>
        <w:rPr>
          <w:sz w:val="20"/>
          <w:szCs w:val="20"/>
          <w:rtl/>
        </w:rPr>
        <w:t>עקיבא־יוסף</w:t>
      </w:r>
      <w:proofErr w:type="spellEnd"/>
      <w:r>
        <w:rPr>
          <w:sz w:val="20"/>
          <w:szCs w:val="20"/>
          <w:rtl/>
        </w:rPr>
        <w:t xml:space="preserve"> שלזינגר] הציל אותי’”. מסופר שם שכבר “נסע מהישיבה אל אחת האוניברסיטאות ברוסיה”, ובדרך ראה את הספר, “והציץ בתוכו לבו נמשך אחרי דבריו הקדושים, ומיד החליט לנסוע חזרה לישיבה”.</w:t>
      </w:r>
    </w:p>
  </w:footnote>
  <w:footnote w:id="3008">
    <w:p w14:paraId="23F114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האמצעית בהערה 24 לעיל – עמ׳ </w:t>
      </w:r>
      <w:proofErr w:type="spellStart"/>
      <w:r>
        <w:rPr>
          <w:sz w:val="20"/>
          <w:szCs w:val="20"/>
          <w:rtl/>
        </w:rPr>
        <w:t>תקכד</w:t>
      </w:r>
      <w:proofErr w:type="spellEnd"/>
      <w:r>
        <w:rPr>
          <w:sz w:val="20"/>
          <w:szCs w:val="20"/>
          <w:rtl/>
        </w:rPr>
        <w:t>.</w:t>
      </w:r>
    </w:p>
  </w:footnote>
  <w:footnote w:id="3009">
    <w:p w14:paraId="72BE38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10">
    <w:p w14:paraId="068488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 אם ניתנה רשות לעבור במישרין – כפי שקרה, מן הסתם, עם </w:t>
      </w:r>
      <w:proofErr w:type="spellStart"/>
      <w:r>
        <w:rPr>
          <w:sz w:val="20"/>
          <w:szCs w:val="20"/>
          <w:rtl/>
        </w:rPr>
        <w:t>ה“בחור</w:t>
      </w:r>
      <w:proofErr w:type="spellEnd"/>
      <w:r>
        <w:rPr>
          <w:sz w:val="20"/>
          <w:szCs w:val="20"/>
          <w:rtl/>
        </w:rPr>
        <w:t xml:space="preserve"> הפשוט” הנזכר בהערה 1 לעיל. כפי שסיפר ר׳ יעקב הירשמן, מראשי הכולל בטורונטו (ריאיון ב־7 בנובמבר 1987), גילה לו רבנו דבר זה כשייעץ לו שמוסדו ינהג באותו אופן כלפי כוללים אחרים בעיר.</w:t>
      </w:r>
    </w:p>
    <w:p w14:paraId="2571716C" w14:textId="77777777" w:rsidR="00AB3647" w:rsidRDefault="00000000">
      <w:pPr>
        <w:spacing w:after="0" w:before="0"/>
        <w:jc w:val="both"/>
      </w:pPr>
      <w:r>
        <w:rPr>
          <w:sz w:val="20"/>
          <w:szCs w:val="20"/>
          <w:rtl/>
        </w:rPr>
        <w:t xml:space="preserve">תמהתי על דברי הרב הירשמן בשם אבי, שר׳ ראובן </w:t>
      </w:r>
      <w:proofErr w:type="spellStart"/>
      <w:r>
        <w:rPr>
          <w:sz w:val="20"/>
          <w:szCs w:val="20"/>
          <w:rtl/>
        </w:rPr>
        <w:t>גרוזובסקי</w:t>
      </w:r>
      <w:proofErr w:type="spellEnd"/>
      <w:r>
        <w:rPr>
          <w:sz w:val="20"/>
          <w:szCs w:val="20"/>
          <w:rtl/>
        </w:rPr>
        <w:t xml:space="preserve"> ור׳ אהרן קוטלר תכננו לעבור מכנסת ישראל לכנסת בית יצחק, ומחמת דרישה זו עזבו שניהם את </w:t>
      </w:r>
      <w:proofErr w:type="spellStart"/>
      <w:r>
        <w:rPr>
          <w:sz w:val="20"/>
          <w:szCs w:val="20"/>
          <w:rtl/>
        </w:rPr>
        <w:t>סלבודקה</w:t>
      </w:r>
      <w:proofErr w:type="spellEnd"/>
      <w:r>
        <w:rPr>
          <w:sz w:val="20"/>
          <w:szCs w:val="20"/>
          <w:rtl/>
        </w:rPr>
        <w:t xml:space="preserve"> ונסעו </w:t>
      </w:r>
      <w:proofErr w:type="spellStart"/>
      <w:r>
        <w:rPr>
          <w:sz w:val="20"/>
          <w:szCs w:val="20"/>
          <w:rtl/>
        </w:rPr>
        <w:t>לקרלין</w:t>
      </w:r>
      <w:proofErr w:type="spellEnd"/>
      <w:r>
        <w:rPr>
          <w:sz w:val="20"/>
          <w:szCs w:val="20"/>
          <w:rtl/>
        </w:rPr>
        <w:t xml:space="preserve"> ללמוד אצל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xml:space="preserve"> (פרידמן; השווה הפסקה השלישית בנספח יד לעיל ופרק 4, סעיף 2), ושאחרי ההפסקה השלים ר׳ ראובן את המעבר, ואילו ר׳ אהרן החליט לחזור לישיבתו הקודמת. בבירור אצל בנו של ר׳ ראובן, ר׳ חיים </w:t>
      </w:r>
      <w:proofErr w:type="spellStart"/>
      <w:r>
        <w:rPr>
          <w:sz w:val="20"/>
          <w:szCs w:val="20"/>
          <w:rtl/>
        </w:rPr>
        <w:t>גרוזובסקי</w:t>
      </w:r>
      <w:proofErr w:type="spellEnd"/>
      <w:r>
        <w:rPr>
          <w:sz w:val="20"/>
          <w:szCs w:val="20"/>
          <w:rtl/>
        </w:rPr>
        <w:t xml:space="preserve">, ואצל נכדו של ר׳ אהרן, ר׳ </w:t>
      </w:r>
      <w:proofErr w:type="spellStart"/>
      <w:r>
        <w:rPr>
          <w:sz w:val="20"/>
          <w:szCs w:val="20"/>
          <w:rtl/>
        </w:rPr>
        <w:t>יעקב־אליעזר</w:t>
      </w:r>
      <w:proofErr w:type="spellEnd"/>
      <w:r>
        <w:rPr>
          <w:sz w:val="20"/>
          <w:szCs w:val="20"/>
          <w:rtl/>
        </w:rPr>
        <w:t xml:space="preserve"> שוורצמן, התברר שאיש מהם לא שמע שאביו או סבו הדגול למד אצל ר׳ </w:t>
      </w:r>
      <w:proofErr w:type="spellStart"/>
      <w:r>
        <w:rPr>
          <w:sz w:val="20"/>
          <w:szCs w:val="20"/>
          <w:rtl/>
        </w:rPr>
        <w:t>דוד׳ל</w:t>
      </w:r>
      <w:proofErr w:type="spellEnd"/>
      <w:r>
        <w:rPr>
          <w:sz w:val="20"/>
          <w:szCs w:val="20"/>
          <w:rtl/>
        </w:rPr>
        <w:t xml:space="preserve">. כשנמסר הדבר לרב הירשמן במכתב בספטמבר 1991, לא זו בלבד שאישר ששמע זאת מרבנו, אלא אף סיפר שאבי אמר שגם הוא למד אצל החכם </w:t>
      </w:r>
      <w:proofErr w:type="spellStart"/>
      <w:r>
        <w:rPr>
          <w:sz w:val="20"/>
          <w:szCs w:val="20"/>
          <w:rtl/>
        </w:rPr>
        <w:t>מקרלין</w:t>
      </w:r>
      <w:proofErr w:type="spellEnd"/>
      <w:r>
        <w:rPr>
          <w:sz w:val="20"/>
          <w:szCs w:val="20"/>
          <w:rtl/>
        </w:rPr>
        <w:t xml:space="preserve"> – דבר שגם בני משפחתנו אינם יודעים עליו. הרב הירשמן כתב גם שר׳ אהרן עבר לכנסת בית יצחק לחצי שנה ואחר כך חזר לכנסת ישראל.</w:t>
      </w:r>
    </w:p>
    <w:p w14:paraId="0C18F0D6" w14:textId="77777777" w:rsidR="00AB3647" w:rsidRDefault="00000000">
      <w:pPr>
        <w:spacing w:after="0" w:before="0"/>
        <w:jc w:val="both"/>
      </w:pPr>
      <w:r>
        <w:rPr>
          <w:sz w:val="20"/>
          <w:szCs w:val="20"/>
          <w:rtl/>
        </w:rPr>
        <w:t xml:space="preserve">באשר לאבי, אמת שאמר “איך האב עם </w:t>
      </w:r>
      <w:proofErr w:type="spellStart"/>
      <w:r>
        <w:rPr>
          <w:sz w:val="20"/>
          <w:szCs w:val="20"/>
          <w:rtl/>
        </w:rPr>
        <w:t>גוט</w:t>
      </w:r>
      <w:proofErr w:type="spellEnd"/>
      <w:r>
        <w:rPr>
          <w:sz w:val="20"/>
          <w:szCs w:val="20"/>
          <w:rtl/>
        </w:rPr>
        <w:t xml:space="preserve"> </w:t>
      </w:r>
      <w:proofErr w:type="spellStart"/>
      <w:r>
        <w:rPr>
          <w:sz w:val="20"/>
          <w:szCs w:val="20"/>
          <w:rtl/>
        </w:rPr>
        <w:t>געקענט</w:t>
      </w:r>
      <w:proofErr w:type="spellEnd"/>
      <w:r>
        <w:rPr>
          <w:sz w:val="20"/>
          <w:szCs w:val="20"/>
          <w:rtl/>
        </w:rPr>
        <w:t xml:space="preserve"> [הכרתי היטב את ר׳ </w:t>
      </w:r>
      <w:proofErr w:type="spellStart"/>
      <w:r>
        <w:rPr>
          <w:sz w:val="20"/>
          <w:szCs w:val="20"/>
          <w:rtl/>
        </w:rPr>
        <w:t>דוד׳ל</w:t>
      </w:r>
      <w:proofErr w:type="spellEnd"/>
      <w:r>
        <w:rPr>
          <w:sz w:val="20"/>
          <w:szCs w:val="20"/>
          <w:rtl/>
        </w:rPr>
        <w:t xml:space="preserve">]” (כמסופר בתחילת נספח </w:t>
      </w:r>
      <w:proofErr w:type="spellStart"/>
      <w:r>
        <w:rPr>
          <w:sz w:val="20"/>
          <w:szCs w:val="20"/>
          <w:rtl/>
        </w:rPr>
        <w:t>יז</w:t>
      </w:r>
      <w:proofErr w:type="spellEnd"/>
      <w:r>
        <w:rPr>
          <w:sz w:val="20"/>
          <w:szCs w:val="20"/>
          <w:rtl/>
        </w:rPr>
        <w:t xml:space="preserve"> בפרק 4) – ואולי התכוון רק, בלשון צינית, לשיחה הכואבת שהייתה לחותנו עם הגאון, כמסופר בפסקה השלישית בנספח </w:t>
      </w:r>
      <w:proofErr w:type="spellStart"/>
      <w:r>
        <w:rPr>
          <w:sz w:val="20"/>
          <w:szCs w:val="20"/>
          <w:rtl/>
        </w:rPr>
        <w:t>כו</w:t>
      </w:r>
      <w:proofErr w:type="spellEnd"/>
      <w:r>
        <w:rPr>
          <w:sz w:val="20"/>
          <w:szCs w:val="20"/>
          <w:rtl/>
        </w:rPr>
        <w:t xml:space="preserve"> לעיל. אבל איש מלבד מרואיין זה לא אמר שרבנו אכן למד אצלו. גם לא מצאתי שום ראיה שהיו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 xml:space="preserve"> תלמידים בכלל – לא רק בזמן המעשה הנטען, כשכבר היה בן יותר משמונים, אלא אף קודם לכן (השווה פרק 5, הערה 85).</w:t>
      </w:r>
    </w:p>
    <w:p w14:paraId="33DC08DA" w14:textId="77777777" w:rsidR="00AB3647" w:rsidRDefault="00000000">
      <w:pPr>
        <w:spacing w:after="0" w:before="0"/>
        <w:jc w:val="both"/>
      </w:pPr>
      <w:r>
        <w:rPr>
          <w:sz w:val="20"/>
          <w:szCs w:val="20"/>
          <w:rtl/>
        </w:rPr>
        <w:t xml:space="preserve">נראה שר׳ </w:t>
      </w:r>
      <w:proofErr w:type="spellStart"/>
      <w:r>
        <w:rPr>
          <w:sz w:val="20"/>
          <w:szCs w:val="20"/>
          <w:rtl/>
        </w:rPr>
        <w:t>דוד׳ל</w:t>
      </w:r>
      <w:proofErr w:type="spellEnd"/>
      <w:r>
        <w:rPr>
          <w:sz w:val="20"/>
          <w:szCs w:val="20"/>
          <w:rtl/>
        </w:rPr>
        <w:t xml:space="preserve"> סבר שהוא מקיים את חובת “ללמד” בכתיבת ספרים שקיווה להוציא לאור. ראה מכתבו מלפני פסח תרס״ט לגיסו בירושלים, ר׳ </w:t>
      </w:r>
      <w:proofErr w:type="spellStart"/>
      <w:r>
        <w:rPr>
          <w:sz w:val="20"/>
          <w:szCs w:val="20"/>
          <w:rtl/>
        </w:rPr>
        <w:t>יחיאל־מיכל</w:t>
      </w:r>
      <w:proofErr w:type="spellEnd"/>
      <w:r>
        <w:rPr>
          <w:sz w:val="20"/>
          <w:szCs w:val="20"/>
          <w:rtl/>
        </w:rPr>
        <w:t xml:space="preserve"> פינס, המובא </w:t>
      </w:r>
      <w:proofErr w:type="spellStart"/>
      <w:r>
        <w:rPr>
          <w:sz w:val="20"/>
          <w:szCs w:val="20"/>
          <w:rtl/>
        </w:rPr>
        <w:t>ב“שנות</w:t>
      </w:r>
      <w:proofErr w:type="spellEnd"/>
      <w:r>
        <w:rPr>
          <w:sz w:val="20"/>
          <w:szCs w:val="20"/>
          <w:rtl/>
        </w:rPr>
        <w:t xml:space="preserve"> דור ודור” (הפסקה הראשונה בנספח א לעיל), עמ׳ ש–שא. במכתב הביע רצון עז לעלות לארץ ישראל באותו קיץ, ונשא תפילה שהקב״ה יסייע בידו להדפיס את כל ספריו ולהפיצם בעם ישראל. השווה גם את הערת העורכים שם, שלפיה סיפר נכד כי בכל תפילת </w:t>
      </w:r>
      <w:proofErr w:type="spellStart"/>
      <w:r>
        <w:rPr>
          <w:sz w:val="20"/>
          <w:szCs w:val="20"/>
          <w:rtl/>
        </w:rPr>
        <w:t>שמונה־עשרה</w:t>
      </w:r>
      <w:proofErr w:type="spellEnd"/>
      <w:r>
        <w:rPr>
          <w:sz w:val="20"/>
          <w:szCs w:val="20"/>
          <w:rtl/>
        </w:rPr>
        <w:t xml:space="preserve"> היה ר׳ </w:t>
      </w:r>
      <w:proofErr w:type="spellStart"/>
      <w:r>
        <w:rPr>
          <w:sz w:val="20"/>
          <w:szCs w:val="20"/>
          <w:rtl/>
        </w:rPr>
        <w:t>דוד׳ל</w:t>
      </w:r>
      <w:proofErr w:type="spellEnd"/>
      <w:r>
        <w:rPr>
          <w:sz w:val="20"/>
          <w:szCs w:val="20"/>
          <w:rtl/>
        </w:rPr>
        <w:t xml:space="preserve"> מתפלל “לזכות להוציא לאור את כתביו”. למרבה הצער, הספר היחיד שזכה להוציא לאור אחרי מכתבו </w:t>
      </w:r>
      <w:proofErr w:type="spellStart"/>
      <w:r>
        <w:rPr>
          <w:sz w:val="20"/>
          <w:szCs w:val="20"/>
          <w:rtl/>
        </w:rPr>
        <w:t>לר</w:t>
      </w:r>
      <w:proofErr w:type="spellEnd"/>
      <w:r>
        <w:rPr>
          <w:sz w:val="20"/>
          <w:szCs w:val="20"/>
          <w:rtl/>
        </w:rPr>
        <w:t xml:space="preserve">׳ </w:t>
      </w:r>
      <w:proofErr w:type="spellStart"/>
      <w:r>
        <w:rPr>
          <w:sz w:val="20"/>
          <w:szCs w:val="20"/>
          <w:rtl/>
        </w:rPr>
        <w:t>יחיאל־מיכל</w:t>
      </w:r>
      <w:proofErr w:type="spellEnd"/>
      <w:r>
        <w:rPr>
          <w:sz w:val="20"/>
          <w:szCs w:val="20"/>
          <w:rtl/>
        </w:rPr>
        <w:t xml:space="preserve"> פינס היה “שאילת דוד”, ספר תשובות שראה אור ארבע שנים לאחר מכן, </w:t>
      </w:r>
      <w:proofErr w:type="spellStart"/>
      <w:r>
        <w:rPr>
          <w:sz w:val="20"/>
          <w:szCs w:val="20"/>
          <w:rtl/>
        </w:rPr>
        <w:t>בתרע״ג</w:t>
      </w:r>
      <w:proofErr w:type="spellEnd"/>
      <w:r>
        <w:rPr>
          <w:sz w:val="20"/>
          <w:szCs w:val="20"/>
          <w:rtl/>
        </w:rPr>
        <w:t>, שנתיים לפני פטירתו. יתר כתביו אבדו במלחמת העולם הראשונה.</w:t>
      </w:r>
    </w:p>
    <w:p w14:paraId="1B4C5523" w14:textId="77777777" w:rsidR="00AB3647" w:rsidRDefault="00000000">
      <w:pPr>
        <w:spacing w:after="0" w:before="0"/>
        <w:jc w:val="both"/>
      </w:pPr>
      <w:r>
        <w:rPr>
          <w:sz w:val="20"/>
          <w:szCs w:val="20"/>
          <w:rtl/>
        </w:rPr>
        <w:t xml:space="preserve">ר׳ משה רוזן, מחבר סדרת “נזר הקודש” על סדר קדשים ומסכתות נוספות (וראש הישיבה הראשון של מתיבתא תורה ודעת, </w:t>
      </w:r>
      <w:proofErr w:type="spellStart"/>
      <w:r>
        <w:rPr>
          <w:sz w:val="20"/>
          <w:szCs w:val="20"/>
          <w:rtl/>
        </w:rPr>
        <w:t>בתרפ״ו</w:t>
      </w:r>
      <w:proofErr w:type="spellEnd"/>
      <w:r>
        <w:rPr>
          <w:sz w:val="20"/>
          <w:szCs w:val="20"/>
          <w:rtl/>
        </w:rPr>
        <w:t xml:space="preserve">), נימק כך גם את דרכו שלו, כשייעץ לרבנו שלא לקבל את משרת ההוראה שהוצעה לו בתורה ודעת, אלא ללמד תורה באמצעות פרסומים, כפי שעשה הוא עצמו. כך סיפר אחי ר׳ בנימין, ונכדו של הרב רוזן, ר׳ הלל </w:t>
      </w:r>
      <w:proofErr w:type="spellStart"/>
      <w:r>
        <w:rPr>
          <w:sz w:val="20"/>
          <w:szCs w:val="20"/>
          <w:rtl/>
        </w:rPr>
        <w:t>ליטווק</w:t>
      </w:r>
      <w:proofErr w:type="spellEnd"/>
      <w:r>
        <w:rPr>
          <w:sz w:val="20"/>
          <w:szCs w:val="20"/>
          <w:rtl/>
        </w:rPr>
        <w:t>, אישר זאת במכתב שחותמת הדואר עליו נושאת את התאריך 8 בדצמבר 1998.</w:t>
      </w:r>
    </w:p>
    <w:p w14:paraId="5A6ACD32" w14:textId="77777777" w:rsidR="00AB3647" w:rsidRDefault="00000000">
      <w:pPr>
        <w:spacing w:after="0" w:before="0"/>
        <w:jc w:val="both"/>
      </w:pPr>
      <w:r>
        <w:rPr>
          <w:sz w:val="20"/>
          <w:szCs w:val="20"/>
          <w:rtl/>
        </w:rPr>
        <w:t xml:space="preserve">טענתו של הרב הירשמן שר׳ ראובן עבר לכנסת בית יצחק בעודו </w:t>
      </w:r>
      <w:proofErr w:type="spellStart"/>
      <w:r>
        <w:rPr>
          <w:sz w:val="20"/>
          <w:szCs w:val="20"/>
          <w:rtl/>
        </w:rPr>
        <w:t>בסלבודקה</w:t>
      </w:r>
      <w:proofErr w:type="spellEnd"/>
      <w:r>
        <w:rPr>
          <w:sz w:val="20"/>
          <w:szCs w:val="20"/>
          <w:rtl/>
        </w:rPr>
        <w:t xml:space="preserve"> (וממילא שר׳ </w:t>
      </w:r>
      <w:proofErr w:type="spellStart"/>
      <w:r>
        <w:rPr>
          <w:sz w:val="20"/>
          <w:szCs w:val="20"/>
          <w:rtl/>
        </w:rPr>
        <w:t>ברוך־בער</w:t>
      </w:r>
      <w:proofErr w:type="spellEnd"/>
      <w:r>
        <w:rPr>
          <w:sz w:val="20"/>
          <w:szCs w:val="20"/>
          <w:rtl/>
        </w:rPr>
        <w:t xml:space="preserve"> הכירו היטב לפני הגלות </w:t>
      </w:r>
      <w:proofErr w:type="spellStart"/>
      <w:r>
        <w:rPr>
          <w:sz w:val="20"/>
          <w:szCs w:val="20"/>
          <w:rtl/>
        </w:rPr>
        <w:t>בקרמנצ׳וג</w:t>
      </w:r>
      <w:proofErr w:type="spellEnd"/>
      <w:r>
        <w:rPr>
          <w:sz w:val="20"/>
          <w:szCs w:val="20"/>
          <w:rtl/>
        </w:rPr>
        <w:t xml:space="preserve">) אינה מתיישבת עם סיפורה מכלי ראשון של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שבנספח הקודם. הדרך היחידה ליישב את הקושי בדברי המרואיין היא שהייתה </w:t>
      </w:r>
      <w:proofErr w:type="spellStart"/>
      <w:r>
        <w:rPr>
          <w:sz w:val="20"/>
          <w:szCs w:val="20"/>
          <w:rtl/>
        </w:rPr>
        <w:t>אי־הבנה</w:t>
      </w:r>
      <w:proofErr w:type="spellEnd"/>
      <w:r>
        <w:rPr>
          <w:sz w:val="20"/>
          <w:szCs w:val="20"/>
          <w:rtl/>
        </w:rPr>
        <w:t xml:space="preserve"> בינו לבין רבנו. אבי תיאר מצב היפותטי: אילו ר׳ ראובן, ר׳ אהרן והוא עצמו, שלושת הידידים ממינסק, היו רוצים לעבור לכנסת בית יצחק, היו צריכים ללכת </w:t>
      </w:r>
      <w:proofErr w:type="spellStart"/>
      <w:r>
        <w:rPr>
          <w:sz w:val="20"/>
          <w:szCs w:val="20"/>
          <w:rtl/>
        </w:rPr>
        <w:t>לזמן־מה</w:t>
      </w:r>
      <w:proofErr w:type="spellEnd"/>
      <w:r>
        <w:rPr>
          <w:sz w:val="20"/>
          <w:szCs w:val="20"/>
          <w:rtl/>
        </w:rPr>
        <w:t xml:space="preserve">, למשל, </w:t>
      </w:r>
      <w:proofErr w:type="spellStart"/>
      <w:r>
        <w:rPr>
          <w:sz w:val="20"/>
          <w:szCs w:val="20"/>
          <w:rtl/>
        </w:rPr>
        <w:t>לר</w:t>
      </w:r>
      <w:proofErr w:type="spellEnd"/>
      <w:r>
        <w:rPr>
          <w:sz w:val="20"/>
          <w:szCs w:val="20"/>
          <w:rtl/>
        </w:rPr>
        <w:t xml:space="preserve">׳ </w:t>
      </w:r>
      <w:proofErr w:type="spellStart"/>
      <w:r>
        <w:rPr>
          <w:sz w:val="20"/>
          <w:szCs w:val="20"/>
          <w:rtl/>
        </w:rPr>
        <w:t>דוד׳ל</w:t>
      </w:r>
      <w:proofErr w:type="spellEnd"/>
      <w:r>
        <w:rPr>
          <w:sz w:val="20"/>
          <w:szCs w:val="20"/>
          <w:rtl/>
        </w:rPr>
        <w:t>.</w:t>
      </w:r>
    </w:p>
    <w:p w14:paraId="4E4EDAD1" w14:textId="77777777" w:rsidR="00AB3647" w:rsidRDefault="00000000">
      <w:pPr>
        <w:spacing w:after="0" w:before="0"/>
        <w:jc w:val="both"/>
      </w:pPr>
      <w:r>
        <w:rPr>
          <w:sz w:val="20"/>
          <w:szCs w:val="20"/>
          <w:rtl/>
        </w:rPr>
        <w:t xml:space="preserve">גם יתר הסיפור, שר׳ ראובן ור׳ אהרן למדו אצל ר׳ </w:t>
      </w:r>
      <w:proofErr w:type="spellStart"/>
      <w:r>
        <w:rPr>
          <w:sz w:val="20"/>
          <w:szCs w:val="20"/>
          <w:rtl/>
        </w:rPr>
        <w:t>ברוך־בער</w:t>
      </w:r>
      <w:proofErr w:type="spellEnd"/>
      <w:r>
        <w:rPr>
          <w:sz w:val="20"/>
          <w:szCs w:val="20"/>
          <w:rtl/>
        </w:rPr>
        <w:t xml:space="preserve">, נבע </w:t>
      </w:r>
      <w:proofErr w:type="spellStart"/>
      <w:r>
        <w:rPr>
          <w:sz w:val="20"/>
          <w:szCs w:val="20"/>
          <w:rtl/>
        </w:rPr>
        <w:t>מאי־הבנה</w:t>
      </w:r>
      <w:proofErr w:type="spellEnd"/>
      <w:r>
        <w:rPr>
          <w:sz w:val="20"/>
          <w:szCs w:val="20"/>
          <w:rtl/>
        </w:rPr>
        <w:t xml:space="preserve">. מאחר שתיאר את המעבר מכנסת ישראל לכנסת בית יצחק כדבר שהוא ושני ידידיו עשויים היו לעשות, הזכיר אבי בדרך אגב שבפועל נעשה ר׳ ראובן תלמידו לכל דבר של ר׳ </w:t>
      </w:r>
      <w:proofErr w:type="spellStart"/>
      <w:r>
        <w:rPr>
          <w:sz w:val="20"/>
          <w:szCs w:val="20"/>
          <w:rtl/>
        </w:rPr>
        <w:t>ברוך־בער</w:t>
      </w:r>
      <w:proofErr w:type="spellEnd"/>
      <w:r>
        <w:rPr>
          <w:sz w:val="20"/>
          <w:szCs w:val="20"/>
          <w:rtl/>
        </w:rPr>
        <w:t xml:space="preserve"> (אחרי שנעשה חתנו </w:t>
      </w:r>
      <w:proofErr w:type="spellStart"/>
      <w:r>
        <w:rPr>
          <w:sz w:val="20"/>
          <w:szCs w:val="20"/>
          <w:rtl/>
        </w:rPr>
        <w:t>בקרמנצ׳וג</w:t>
      </w:r>
      <w:proofErr w:type="spellEnd"/>
      <w:r>
        <w:rPr>
          <w:sz w:val="20"/>
          <w:szCs w:val="20"/>
          <w:rtl/>
        </w:rPr>
        <w:t xml:space="preserve"> </w:t>
      </w:r>
      <w:proofErr w:type="spellStart"/>
      <w:r>
        <w:rPr>
          <w:sz w:val="20"/>
          <w:szCs w:val="20"/>
          <w:rtl/>
        </w:rPr>
        <w:t>בתרע״ט</w:t>
      </w:r>
      <w:proofErr w:type="spellEnd"/>
      <w:r>
        <w:rPr>
          <w:sz w:val="20"/>
          <w:szCs w:val="20"/>
          <w:rtl/>
        </w:rPr>
        <w:t xml:space="preserve">), ואילו ר׳ אהרן למד אצל ר׳ </w:t>
      </w:r>
      <w:proofErr w:type="spellStart"/>
      <w:r>
        <w:rPr>
          <w:sz w:val="20"/>
          <w:szCs w:val="20"/>
          <w:rtl/>
        </w:rPr>
        <w:t>ברוך־בער</w:t>
      </w:r>
      <w:proofErr w:type="spellEnd"/>
      <w:r>
        <w:rPr>
          <w:sz w:val="20"/>
          <w:szCs w:val="20"/>
          <w:rtl/>
        </w:rPr>
        <w:t xml:space="preserve"> חצי שנה (לפני שהצטרף לכנסת ישראל, כמתואר בפרק 2.3, פסקה 5, ובנספח ד). במקרה למד ר׳ אהרן בכנסת בית יצחק זמן אחד, שהוא פרק הזמן שנדרש בדרך כלל למעבר מישיבת </w:t>
      </w:r>
      <w:proofErr w:type="spellStart"/>
      <w:r>
        <w:rPr>
          <w:sz w:val="20"/>
          <w:szCs w:val="20"/>
          <w:rtl/>
        </w:rPr>
        <w:t>סלבודקה</w:t>
      </w:r>
      <w:proofErr w:type="spellEnd"/>
      <w:r>
        <w:rPr>
          <w:sz w:val="20"/>
          <w:szCs w:val="20"/>
          <w:rtl/>
        </w:rPr>
        <w:t xml:space="preserve"> אחת לחברתה (אף שגם פרקי זמן קצרים יותר הספיקו, כמתואר בפסקה הבאה בנספח זה).</w:t>
      </w:r>
    </w:p>
  </w:footnote>
  <w:footnote w:id="3011">
    <w:p w14:paraId="422D7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2">
    <w:p w14:paraId="64CB93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לעיל.</w:t>
      </w:r>
    </w:p>
  </w:footnote>
  <w:footnote w:id="3013">
    <w:p w14:paraId="70E023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63, להסבר טעותו של ר׳ לייב, הנראית מובנת מאליה.</w:t>
      </w:r>
    </w:p>
  </w:footnote>
  <w:footnote w:id="3014">
    <w:p w14:paraId="61B28C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לג לעיל.</w:t>
      </w:r>
    </w:p>
  </w:footnote>
  <w:footnote w:id="3015">
    <w:p w14:paraId="19D26B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ב לעיל – עמ׳ 40–41.</w:t>
      </w:r>
    </w:p>
  </w:footnote>
  <w:footnote w:id="3016">
    <w:p w14:paraId="387F5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איני יודע איזו ישיבה הייתה זו.</w:t>
      </w:r>
    </w:p>
  </w:footnote>
  <w:footnote w:id="3017">
    <w:p w14:paraId="07F8F2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5, נספח ד.</w:t>
      </w:r>
    </w:p>
  </w:footnote>
  <w:footnote w:id="3018">
    <w:p w14:paraId="747045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הערות 56 ו־57 והפסקה השלישית בנספח </w:t>
      </w:r>
      <w:proofErr w:type="spellStart"/>
      <w:r>
        <w:rPr>
          <w:sz w:val="20"/>
          <w:szCs w:val="20"/>
          <w:rtl/>
        </w:rPr>
        <w:t>כח</w:t>
      </w:r>
      <w:proofErr w:type="spellEnd"/>
      <w:r>
        <w:rPr>
          <w:sz w:val="20"/>
          <w:szCs w:val="20"/>
          <w:rtl/>
        </w:rPr>
        <w:t xml:space="preserve"> לעיל.</w:t>
      </w:r>
    </w:p>
  </w:footnote>
  <w:footnote w:id="3019">
    <w:p w14:paraId="12394B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ר׳ אהרן קוטלר לא היה צריך לעשות הפסקה אצל ר׳ </w:t>
      </w:r>
      <w:proofErr w:type="spellStart"/>
      <w:r>
        <w:rPr>
          <w:sz w:val="20"/>
          <w:szCs w:val="20"/>
          <w:rtl/>
        </w:rPr>
        <w:t>דוד׳ל</w:t>
      </w:r>
      <w:proofErr w:type="spellEnd"/>
      <w:r>
        <w:rPr>
          <w:sz w:val="20"/>
          <w:szCs w:val="20"/>
          <w:rtl/>
        </w:rPr>
        <w:t xml:space="preserve"> פרידמן </w:t>
      </w:r>
      <w:proofErr w:type="spellStart"/>
      <w:r>
        <w:rPr>
          <w:sz w:val="20"/>
          <w:szCs w:val="20"/>
          <w:rtl/>
        </w:rPr>
        <w:t>בקרלין</w:t>
      </w:r>
      <w:proofErr w:type="spellEnd"/>
      <w:r>
        <w:rPr>
          <w:sz w:val="20"/>
          <w:szCs w:val="20"/>
          <w:rtl/>
        </w:rPr>
        <w:t xml:space="preserve"> כהכנה למעבר המתוכנן, כביכול, לכנסת בית יצחק (ראה הערת שוליים </w:t>
      </w:r>
      <w:r>
        <w:rPr>
          <w:sz w:val="20"/>
          <w:szCs w:val="20"/>
          <w:rtl/>
        </w:rPr>
        <w:fldChar w:fldCharType="begin" w:dirty="true"/>
      </w:r>
      <w:r>
        <w:rPr>
          <w:sz w:val="20"/>
          <w:szCs w:val="20"/>
          <w:rtl/>
        </w:rPr>
        <w:instrText xml:space="preserve"> NOTEREF pr_f_2896 \h </w:instrText>
      </w:r>
      <w:r>
        <w:rPr>
          <w:sz w:val="20"/>
          <w:szCs w:val="20"/>
          <w:rtl/>
        </w:rPr>
      </w:r>
      <w:r>
        <w:rPr>
          <w:sz w:val="20"/>
          <w:szCs w:val="20"/>
          <w:rtl/>
        </w:rPr>
        <w:fldChar w:fldCharType="separate"/>
      </w:r>
      <w:r w:rsidR="007923E9">
        <w:rPr>
          <w:sz w:val="20"/>
          <w:szCs w:val="20"/>
          <w:rtl/>
        </w:rPr>
        <w:t>1944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pr_f_2896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שהרי ר׳ אהרן כבר למד בה לפני שבא לכנסת ישראל, כפי שנתבאר בפרק 2, נספח ד.</w:t>
      </w:r>
    </w:p>
  </w:footnote>
  <w:footnote w:id="3020">
    <w:p w14:paraId="3B060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חיים </w:t>
      </w:r>
      <w:proofErr w:type="spellStart"/>
      <w:r>
        <w:rPr>
          <w:sz w:val="20"/>
          <w:szCs w:val="20"/>
          <w:rtl/>
        </w:rPr>
        <w:t>גרוזובסקי</w:t>
      </w:r>
      <w:proofErr w:type="spellEnd"/>
      <w:r>
        <w:rPr>
          <w:sz w:val="20"/>
          <w:szCs w:val="20"/>
          <w:rtl/>
        </w:rPr>
        <w:t xml:space="preserve"> בשם </w:t>
      </w:r>
      <w:proofErr w:type="spellStart"/>
      <w:r>
        <w:rPr>
          <w:sz w:val="20"/>
          <w:szCs w:val="20"/>
          <w:rtl/>
        </w:rPr>
        <w:t>אמו</w:t>
      </w:r>
      <w:proofErr w:type="spellEnd"/>
      <w:r>
        <w:rPr>
          <w:sz w:val="20"/>
          <w:szCs w:val="20"/>
          <w:rtl/>
        </w:rPr>
        <w:t>.</w:t>
      </w:r>
    </w:p>
  </w:footnote>
  <w:footnote w:id="3021">
    <w:p w14:paraId="7191C8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אלי׳ שווי בשם אביו.</w:t>
      </w:r>
    </w:p>
  </w:footnote>
  <w:footnote w:id="3022">
    <w:p w14:paraId="00BB9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כץ, “תנועת המוסר”, כרך ג, עמ׳ 40.</w:t>
      </w:r>
    </w:p>
  </w:footnote>
  <w:footnote w:id="3023">
    <w:p w14:paraId="37E7F6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בעת הזאת נשכרו קצבים תקיפים כדי לסלק בכוח את הגבאים המתנגדים למוסר – ראה נספח </w:t>
      </w:r>
      <w:proofErr w:type="spellStart"/>
      <w:r>
        <w:rPr>
          <w:sz w:val="20"/>
          <w:szCs w:val="20"/>
          <w:rtl/>
        </w:rPr>
        <w:t>כב</w:t>
      </w:r>
      <w:proofErr w:type="spellEnd"/>
      <w:r>
        <w:rPr>
          <w:sz w:val="20"/>
          <w:szCs w:val="20"/>
          <w:rtl/>
        </w:rPr>
        <w:t xml:space="preserve"> לעיל.</w:t>
      </w:r>
    </w:p>
  </w:footnote>
  <w:footnote w:id="3024">
    <w:p w14:paraId="58DEC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64–65.</w:t>
      </w:r>
    </w:p>
  </w:footnote>
  <w:footnote w:id="3025">
    <w:p w14:paraId="75EF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26">
    <w:p w14:paraId="7D028E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ט לעיל – עמ׳ 130–150.</w:t>
      </w:r>
    </w:p>
  </w:footnote>
  <w:footnote w:id="3027">
    <w:p w14:paraId="663149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השלישית בנספח </w:t>
      </w:r>
      <w:proofErr w:type="spellStart"/>
      <w:r>
        <w:rPr>
          <w:sz w:val="20"/>
          <w:szCs w:val="20"/>
          <w:rtl/>
        </w:rPr>
        <w:t>יח</w:t>
      </w:r>
      <w:proofErr w:type="spellEnd"/>
      <w:r>
        <w:rPr>
          <w:sz w:val="20"/>
          <w:szCs w:val="20"/>
          <w:rtl/>
        </w:rPr>
        <w:t xml:space="preserve"> לעיל.</w:t>
      </w:r>
    </w:p>
  </w:footnote>
  <w:footnote w:id="3028">
    <w:p w14:paraId="0BF0B5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כ.</w:t>
      </w:r>
    </w:p>
  </w:footnote>
  <w:footnote w:id="3029">
    <w:p w14:paraId="2C660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אבן עזרא שמות </w:t>
      </w:r>
      <w:proofErr w:type="spellStart"/>
      <w:r>
        <w:rPr>
          <w:sz w:val="20"/>
          <w:szCs w:val="20"/>
          <w:rtl/>
        </w:rPr>
        <w:t>יח:כא</w:t>
      </w:r>
      <w:proofErr w:type="spellEnd"/>
      <w:r>
        <w:rPr>
          <w:sz w:val="20"/>
          <w:szCs w:val="20"/>
          <w:rtl/>
        </w:rPr>
        <w:t xml:space="preserve"> שכ׳ כי לא ייתכן להיות ירא שמים כראוי רק מי שהוא חכם.</w:t>
      </w:r>
    </w:p>
  </w:footnote>
  <w:footnote w:id="3030">
    <w:p w14:paraId="60BA5D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ערב </w:t>
      </w:r>
      <w:proofErr w:type="spellStart"/>
      <w:r>
        <w:rPr>
          <w:sz w:val="20"/>
          <w:szCs w:val="20"/>
          <w:rtl/>
        </w:rPr>
        <w:t>שב״ק</w:t>
      </w:r>
      <w:proofErr w:type="spellEnd"/>
      <w:r>
        <w:rPr>
          <w:sz w:val="20"/>
          <w:szCs w:val="20"/>
          <w:rtl/>
        </w:rPr>
        <w:t xml:space="preserve"> פרשת מצורע תשנ״ה.</w:t>
      </w:r>
    </w:p>
  </w:footnote>
  <w:footnote w:id="3031">
    <w:p w14:paraId="689A4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ב־17 במרץ 1988.</w:t>
      </w:r>
    </w:p>
  </w:footnote>
  <w:footnote w:id="3032">
    <w:p w14:paraId="028721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267.</w:t>
      </w:r>
    </w:p>
  </w:footnote>
  <w:footnote w:id="3033">
    <w:p w14:paraId="1526BF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לאמרתו של הרב </w:t>
      </w:r>
      <w:proofErr w:type="spellStart"/>
      <w:r>
        <w:rPr>
          <w:sz w:val="20"/>
          <w:szCs w:val="20"/>
          <w:rtl/>
        </w:rPr>
        <w:t>משינאווא</w:t>
      </w:r>
      <w:proofErr w:type="spellEnd"/>
      <w:r>
        <w:rPr>
          <w:sz w:val="20"/>
          <w:szCs w:val="20"/>
          <w:rtl/>
        </w:rPr>
        <w:t xml:space="preserve"> הוסיף בנו, הרב </w:t>
      </w:r>
      <w:proofErr w:type="spellStart"/>
      <w:r>
        <w:rPr>
          <w:sz w:val="20"/>
          <w:szCs w:val="20"/>
          <w:rtl/>
        </w:rPr>
        <w:t>מסטרופקוב</w:t>
      </w:r>
      <w:proofErr w:type="spellEnd"/>
      <w:r>
        <w:rPr>
          <w:sz w:val="20"/>
          <w:szCs w:val="20"/>
          <w:rtl/>
        </w:rPr>
        <w:t xml:space="preserve">, ר׳ </w:t>
      </w:r>
      <w:proofErr w:type="spellStart"/>
      <w:r>
        <w:rPr>
          <w:sz w:val="20"/>
          <w:szCs w:val="20"/>
          <w:rtl/>
        </w:rPr>
        <w:t>אברהם־שלום</w:t>
      </w:r>
      <w:proofErr w:type="spellEnd"/>
      <w:r>
        <w:rPr>
          <w:sz w:val="20"/>
          <w:szCs w:val="20"/>
          <w:rtl/>
        </w:rPr>
        <w:t xml:space="preserve"> </w:t>
      </w:r>
      <w:proofErr w:type="spellStart"/>
      <w:r>
        <w:rPr>
          <w:sz w:val="20"/>
          <w:szCs w:val="20"/>
          <w:rtl/>
        </w:rPr>
        <w:t>הלברשטם</w:t>
      </w:r>
      <w:proofErr w:type="spellEnd"/>
      <w:r>
        <w:rPr>
          <w:sz w:val="20"/>
          <w:szCs w:val="20"/>
          <w:rtl/>
        </w:rPr>
        <w:t xml:space="preserve">, את הפסוק באיכה ג:כו כסימן זיכרון המונה את שלוש הדרישות, בסדרו של הרב </w:t>
      </w:r>
      <w:proofErr w:type="spellStart"/>
      <w:r>
        <w:rPr>
          <w:sz w:val="20"/>
          <w:szCs w:val="20"/>
          <w:rtl/>
        </w:rPr>
        <w:t>משינאווא</w:t>
      </w:r>
      <w:proofErr w:type="spellEnd"/>
      <w:r>
        <w:rPr>
          <w:sz w:val="20"/>
          <w:szCs w:val="20"/>
          <w:rtl/>
        </w:rPr>
        <w:t>: “טוב ויחיל ודומם” – טוב: טוּב; ויחיל: יראה (מן השמים); ודומם: שתיקה, הסייג לחכמה, כמאמר אבות פ״ג מי״ג: “סייג לחכמה שתיקה”.</w:t>
      </w:r>
    </w:p>
  </w:footnote>
  <w:footnote w:id="3034">
    <w:p w14:paraId="0A8502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3035">
    <w:p w14:paraId="2BC394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טבת תשנ״ב.</w:t>
      </w:r>
    </w:p>
  </w:footnote>
  <w:footnote w:id="3036">
    <w:p w14:paraId="0930C8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בעמ׳ 21–22.</w:t>
      </w:r>
    </w:p>
  </w:footnote>
  <w:footnote w:id="3037">
    <w:p w14:paraId="2F9167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א לעיל – עמ׳ 22 בחלק הנקרא “שיחות חפץ חיים”.</w:t>
      </w:r>
    </w:p>
  </w:footnote>
  <w:footnote w:id="3038">
    <w:p w14:paraId="783300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לא השתייך לאסכולת המוסר; ראה הפסקה השנייה בנספח </w:t>
      </w:r>
      <w:proofErr w:type="spellStart"/>
      <w:r>
        <w:rPr>
          <w:sz w:val="20"/>
          <w:szCs w:val="20"/>
          <w:rtl/>
        </w:rPr>
        <w:t>כא</w:t>
      </w:r>
      <w:proofErr w:type="spellEnd"/>
      <w:r>
        <w:rPr>
          <w:sz w:val="20"/>
          <w:szCs w:val="20"/>
          <w:rtl/>
        </w:rPr>
        <w:t xml:space="preserve"> לעיל.</w:t>
      </w:r>
    </w:p>
  </w:footnote>
  <w:footnote w:id="3039">
    <w:p w14:paraId="57AFD0C9" w14:textId="77777777" w:rsidR="00AB3647" w:rsidRDefault="00000000">
      <w:pPr>
        <w:spacing w:after="0" w:before="0"/>
        <w:jc w:val="both"/>
      </w:pPr>
      <w:r>
        <w:rPr>
          <w:sz w:val="20"/>
          <w:szCs w:val="20"/>
          <w:rtl/>
        </w:rPr>
        <w:footnoteRef/>
      </w:r>
      <w:r>
        <w:rPr>
          <w:sz w:val="20"/>
          <w:szCs w:val="20"/>
          <w:rtl/>
        </w:rPr>
        <w:t>. פרק 3, נספח א – עמ׳ מח, במאמר מאת יעקב משה לסין.</w:t>
      </w:r>
    </w:p>
  </w:footnote>
  <w:footnote w:id="3040">
    <w:p w14:paraId="0EE99A8C" w14:textId="77777777" w:rsidR="00AB3647" w:rsidRDefault="00000000">
      <w:pPr>
        <w:spacing w:after="0" w:before="0"/>
        <w:jc w:val="both"/>
      </w:pPr>
      <w:r>
        <w:rPr>
          <w:sz w:val="20"/>
          <w:szCs w:val="20"/>
          <w:rtl/>
        </w:rPr>
        <w:footnoteRef/>
      </w:r>
      <w:r>
        <w:rPr>
          <w:sz w:val="20"/>
          <w:szCs w:val="20"/>
          <w:rtl/>
        </w:rPr>
        <w:t>. השווה פרק 3, נספח ה, והערה 38 להלן; וכן תחילת סעיף 2 בפרק זה והערה 57 שם.</w:t>
      </w:r>
    </w:p>
  </w:footnote>
  <w:footnote w:id="3041">
    <w:p w14:paraId="32DA93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042">
    <w:p w14:paraId="06490BCF"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יט</w:t>
      </w:r>
      <w:proofErr w:type="spellEnd"/>
      <w:r>
        <w:rPr>
          <w:sz w:val="20"/>
          <w:szCs w:val="20"/>
          <w:rtl/>
        </w:rPr>
        <w:t>.</w:t>
      </w:r>
    </w:p>
  </w:footnote>
  <w:footnote w:id="3043">
    <w:p w14:paraId="3B56B7C0" w14:textId="77777777" w:rsidR="00AB3647" w:rsidRDefault="00000000">
      <w:pPr>
        <w:spacing w:after="0" w:before="0"/>
        <w:jc w:val="both"/>
      </w:pPr>
      <w:r>
        <w:rPr>
          <w:sz w:val="20"/>
          <w:szCs w:val="20"/>
          <w:rtl/>
        </w:rPr>
        <w:footnoteRef/>
      </w:r>
      <w:r>
        <w:rPr>
          <w:sz w:val="20"/>
          <w:szCs w:val="20"/>
          <w:rtl/>
        </w:rPr>
        <w:t>. משלי יא, ב.</w:t>
      </w:r>
    </w:p>
  </w:footnote>
  <w:footnote w:id="3044">
    <w:p w14:paraId="08D41965" w14:textId="77777777" w:rsidR="00AB3647" w:rsidRDefault="00000000">
      <w:pPr>
        <w:spacing w:after="0" w:before="0"/>
        <w:jc w:val="both"/>
      </w:pPr>
      <w:r>
        <w:rPr>
          <w:sz w:val="20"/>
          <w:szCs w:val="20"/>
          <w:rtl/>
        </w:rPr>
        <w:footnoteRef/>
      </w:r>
      <w:r>
        <w:rPr>
          <w:sz w:val="20"/>
          <w:szCs w:val="20"/>
          <w:rtl/>
        </w:rPr>
        <w:t>. השווה גם תחילת נספח י להלן.</w:t>
      </w:r>
    </w:p>
  </w:footnote>
  <w:footnote w:id="3045">
    <w:p w14:paraId="4BDEE699" w14:textId="77777777" w:rsidR="00AB3647" w:rsidRDefault="00000000">
      <w:pPr>
        <w:spacing w:after="0" w:before="0"/>
        <w:jc w:val="both"/>
      </w:pPr>
      <w:r>
        <w:rPr>
          <w:sz w:val="20"/>
          <w:szCs w:val="20"/>
          <w:rtl/>
        </w:rPr>
        <w:footnoteRef/>
      </w:r>
      <w:r>
        <w:rPr>
          <w:sz w:val="20"/>
          <w:szCs w:val="20"/>
          <w:rtl/>
        </w:rPr>
        <w:t>. הוצאת כרם, ניו יורק, תשט״ז – עמ׳ 4.</w:t>
      </w:r>
    </w:p>
  </w:footnote>
  <w:footnote w:id="3046">
    <w:p w14:paraId="41414A2F"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השיר מובא כאן בתרגום חוזר מן התרגום האנגלי שבמקור; נוסחו העברי </w:t>
      </w:r>
      <w:proofErr w:type="spellStart"/>
      <w:r>
        <w:rPr>
          <w:sz w:val="20"/>
          <w:szCs w:val="20"/>
          <w:rtl/>
        </w:rPr>
        <w:t>שב“הדת</w:t>
      </w:r>
      <w:proofErr w:type="spellEnd"/>
      <w:r>
        <w:rPr>
          <w:sz w:val="20"/>
          <w:szCs w:val="20"/>
          <w:rtl/>
        </w:rPr>
        <w:t xml:space="preserve"> והחיים” לא היה בידי.</w:t>
      </w:r>
    </w:p>
  </w:footnote>
  <w:footnote w:id="3047">
    <w:p w14:paraId="00C7B54F" w14:textId="77777777" w:rsidR="00AB3647" w:rsidRDefault="00000000">
      <w:pPr>
        <w:spacing w:after="0" w:before="0"/>
        <w:jc w:val="both"/>
      </w:pPr>
      <w:r>
        <w:rPr>
          <w:sz w:val="20"/>
          <w:szCs w:val="20"/>
          <w:rtl/>
        </w:rPr>
        <w:footnoteRef/>
      </w:r>
      <w:r>
        <w:rPr>
          <w:sz w:val="20"/>
          <w:szCs w:val="20"/>
          <w:rtl/>
        </w:rPr>
        <w:t xml:space="preserve">. נתן צבי </w:t>
      </w:r>
      <w:proofErr w:type="spellStart"/>
      <w:r>
        <w:rPr>
          <w:sz w:val="20"/>
          <w:szCs w:val="20"/>
          <w:rtl/>
        </w:rPr>
        <w:t>פינקל</w:t>
      </w:r>
      <w:proofErr w:type="spellEnd"/>
      <w:r>
        <w:rPr>
          <w:sz w:val="20"/>
          <w:szCs w:val="20"/>
          <w:rtl/>
        </w:rPr>
        <w:t>.</w:t>
      </w:r>
    </w:p>
  </w:footnote>
  <w:footnote w:id="3048">
    <w:p w14:paraId="08834F13" w14:textId="77777777" w:rsidR="00AB3647" w:rsidRDefault="00000000">
      <w:pPr>
        <w:spacing w:after="0" w:before="0"/>
        <w:jc w:val="both"/>
      </w:pPr>
      <w:r>
        <w:rPr>
          <w:sz w:val="20"/>
          <w:szCs w:val="20"/>
          <w:rtl/>
        </w:rPr>
        <w:footnoteRef/>
      </w:r>
      <w:r>
        <w:rPr>
          <w:sz w:val="20"/>
          <w:szCs w:val="20"/>
          <w:rtl/>
        </w:rPr>
        <w:t>. ייתכן שהה״א היא ראשי התיבות של הירש.</w:t>
      </w:r>
    </w:p>
  </w:footnote>
  <w:footnote w:id="3049">
    <w:p w14:paraId="307D484C" w14:textId="77777777" w:rsidR="00AB3647" w:rsidRDefault="00000000">
      <w:pPr>
        <w:spacing w:after="0" w:before="0"/>
        <w:jc w:val="both"/>
      </w:pPr>
      <w:r>
        <w:rPr>
          <w:sz w:val="20"/>
          <w:szCs w:val="20"/>
          <w:rtl/>
        </w:rPr>
        <w:footnoteRef/>
      </w:r>
      <w:r>
        <w:rPr>
          <w:sz w:val="20"/>
          <w:szCs w:val="20"/>
          <w:rtl/>
        </w:rPr>
        <w:t>. זו המשמעות אם קוראים הַצָּפוּן; הקריאה הַצּוֹפֶן, שמשמעותה קוד, אינה נכונה, מפני שמילה זו נטבעה לאחר ימי הסבא.</w:t>
      </w:r>
    </w:p>
  </w:footnote>
  <w:footnote w:id="3050">
    <w:p w14:paraId="514B5A05" w14:textId="77777777" w:rsidR="00AB3647" w:rsidRDefault="00000000">
      <w:pPr>
        <w:spacing w:after="0" w:before="0"/>
        <w:jc w:val="both"/>
      </w:pPr>
      <w:r>
        <w:rPr>
          <w:sz w:val="20"/>
          <w:szCs w:val="20"/>
          <w:rtl/>
        </w:rPr>
        <w:footnoteRef/>
      </w:r>
      <w:r>
        <w:rPr>
          <w:sz w:val="20"/>
          <w:szCs w:val="20"/>
          <w:rtl/>
        </w:rPr>
        <w:t>. השווה כרך 2.</w:t>
      </w:r>
    </w:p>
  </w:footnote>
  <w:footnote w:id="3051">
    <w:p w14:paraId="52C9622C" w14:textId="77777777" w:rsidR="00AB3647" w:rsidRDefault="00000000">
      <w:pPr>
        <w:spacing w:after="0" w:before="0"/>
        <w:jc w:val="both"/>
      </w:pPr>
      <w:r>
        <w:rPr>
          <w:sz w:val="20"/>
          <w:szCs w:val="20"/>
          <w:rtl/>
        </w:rPr>
        <w:footnoteRef/>
      </w:r>
      <w:r>
        <w:rPr>
          <w:sz w:val="20"/>
          <w:szCs w:val="20"/>
          <w:rtl/>
        </w:rPr>
        <w:t>. פרק 2, הערה 93.</w:t>
      </w:r>
    </w:p>
  </w:footnote>
  <w:footnote w:id="3052">
    <w:p w14:paraId="12C806CE" w14:textId="77777777" w:rsidR="00AB3647" w:rsidRDefault="00000000">
      <w:pPr>
        <w:spacing w:after="0" w:before="0"/>
        <w:jc w:val="both"/>
      </w:pPr>
      <w:r>
        <w:rPr>
          <w:sz w:val="20"/>
          <w:szCs w:val="20"/>
          <w:rtl/>
        </w:rPr>
        <w:footnoteRef/>
      </w:r>
      <w:r>
        <w:rPr>
          <w:sz w:val="20"/>
          <w:szCs w:val="20"/>
          <w:rtl/>
        </w:rPr>
        <w:t>. עמ׳ לה, במאמר מאת דב כץ.</w:t>
      </w:r>
    </w:p>
  </w:footnote>
  <w:footnote w:id="3053">
    <w:p w14:paraId="1EB9D7FE" w14:textId="77777777" w:rsidR="00AB3647" w:rsidRDefault="00000000">
      <w:pPr>
        <w:spacing w:after="0" w:before="0"/>
        <w:jc w:val="both"/>
      </w:pPr>
      <w:r>
        <w:rPr>
          <w:sz w:val="20"/>
          <w:szCs w:val="20"/>
          <w:rtl/>
        </w:rPr>
        <w:footnoteRef/>
      </w:r>
      <w:r>
        <w:rPr>
          <w:sz w:val="20"/>
          <w:szCs w:val="20"/>
          <w:rtl/>
        </w:rPr>
        <w:t>. המקור הנזכר בפרק 2, נספח ו – עמ׳ 117.</w:t>
      </w:r>
    </w:p>
  </w:footnote>
  <w:footnote w:id="3054">
    <w:p w14:paraId="5A9FE5DE" w14:textId="77777777" w:rsidR="00AB3647" w:rsidRDefault="00000000">
      <w:pPr>
        <w:spacing w:after="0" w:before="0"/>
        <w:jc w:val="both"/>
      </w:pPr>
      <w:r>
        <w:rPr>
          <w:sz w:val="20"/>
          <w:szCs w:val="20"/>
          <w:rtl/>
        </w:rPr>
        <w:footnoteRef/>
      </w:r>
      <w:r>
        <w:rPr>
          <w:sz w:val="20"/>
          <w:szCs w:val="20"/>
          <w:rtl/>
        </w:rPr>
        <w:t>. השווה כץ, “תנועת המוסר”, כרך ג, פרק 17: מובאות מפנקסו הפרטי.</w:t>
      </w:r>
    </w:p>
  </w:footnote>
  <w:footnote w:id="3055">
    <w:p w14:paraId="43425123" w14:textId="77777777" w:rsidR="00AB3647" w:rsidRDefault="00000000">
      <w:pPr>
        <w:spacing w:after="0" w:before="0"/>
        <w:jc w:val="both"/>
      </w:pPr>
      <w:r>
        <w:rPr>
          <w:sz w:val="20"/>
          <w:szCs w:val="20"/>
          <w:rtl/>
        </w:rPr>
        <w:footnoteRef/>
      </w:r>
      <w:r>
        <w:rPr>
          <w:sz w:val="20"/>
          <w:szCs w:val="20"/>
          <w:rtl/>
        </w:rPr>
        <w:t>. השווה שם, וכן תצלום המכתב שם, עמ׳ 117, בשורה שלפני חתימתו.</w:t>
      </w:r>
    </w:p>
  </w:footnote>
  <w:footnote w:id="3056">
    <w:p w14:paraId="622F7D3C" w14:textId="77777777" w:rsidR="00AB3647" w:rsidRDefault="00000000">
      <w:pPr>
        <w:spacing w:after="0" w:before="0"/>
        <w:jc w:val="both"/>
      </w:pPr>
      <w:r>
        <w:rPr>
          <w:sz w:val="20"/>
          <w:szCs w:val="20"/>
          <w:rtl/>
        </w:rPr>
        <w:footnoteRef/>
      </w:r>
      <w:r>
        <w:rPr>
          <w:sz w:val="20"/>
          <w:szCs w:val="20"/>
          <w:rtl/>
        </w:rPr>
        <w:t xml:space="preserve">. כך מתוארך מכתבו לאבי, וכך גם שער החוברת “עץ פרי” (פרק 3, נספח א). במקרה האחרון, במקום לכתוב את השנה במפורש, תרמ״א, בחר הסבא לשנות לשון פסוק בתהלים </w:t>
      </w:r>
      <w:proofErr w:type="spellStart"/>
      <w:r>
        <w:rPr>
          <w:sz w:val="20"/>
          <w:szCs w:val="20"/>
          <w:rtl/>
        </w:rPr>
        <w:t>קג</w:t>
      </w:r>
      <w:proofErr w:type="spellEnd"/>
      <w:r>
        <w:rPr>
          <w:sz w:val="20"/>
          <w:szCs w:val="20"/>
          <w:rtl/>
        </w:rPr>
        <w:t xml:space="preserve">, </w:t>
      </w:r>
      <w:proofErr w:type="spellStart"/>
      <w:r>
        <w:rPr>
          <w:sz w:val="20"/>
          <w:szCs w:val="20"/>
          <w:rtl/>
        </w:rPr>
        <w:t>יג</w:t>
      </w:r>
      <w:proofErr w:type="spellEnd"/>
      <w:r>
        <w:rPr>
          <w:sz w:val="20"/>
          <w:szCs w:val="20"/>
          <w:rtl/>
        </w:rPr>
        <w:t xml:space="preserve">: הוסיף מילה בת שתי אותיות בראשו והכניס אות במילה האחרונה, כדי להגיע לגימטרייה הדרושה: “כי רחם ה׳ על </w:t>
      </w:r>
      <w:proofErr w:type="spellStart"/>
      <w:r>
        <w:rPr>
          <w:sz w:val="20"/>
          <w:szCs w:val="20"/>
          <w:rtl/>
        </w:rPr>
        <w:t>יריאיו</w:t>
      </w:r>
      <w:proofErr w:type="spellEnd"/>
      <w:r>
        <w:rPr>
          <w:sz w:val="20"/>
          <w:szCs w:val="20"/>
          <w:rtl/>
        </w:rPr>
        <w:t>” (כששם ה׳ נכתב במלואו).</w:t>
      </w:r>
    </w:p>
  </w:footnote>
  <w:footnote w:id="3057">
    <w:p w14:paraId="52E4589D" w14:textId="77777777" w:rsidR="00AB3647" w:rsidRDefault="00000000">
      <w:pPr>
        <w:spacing w:after="0" w:before="0"/>
        <w:jc w:val="both"/>
      </w:pPr>
      <w:r>
        <w:rPr>
          <w:sz w:val="20"/>
          <w:szCs w:val="20"/>
          <w:rtl/>
        </w:rPr>
        <w:footnoteRef/>
      </w:r>
      <w:r>
        <w:rPr>
          <w:sz w:val="20"/>
          <w:szCs w:val="20"/>
          <w:rtl/>
        </w:rPr>
        <w:t>. השווה סוף הפסקה השנייה בפרק 3, הערה 16.</w:t>
      </w:r>
    </w:p>
  </w:footnote>
  <w:footnote w:id="3058">
    <w:p w14:paraId="1D285581" w14:textId="77777777" w:rsidR="00AB3647" w:rsidRDefault="00000000">
      <w:pPr>
        <w:spacing w:after="0" w:before="0"/>
        <w:jc w:val="both"/>
      </w:pPr>
      <w:r>
        <w:rPr>
          <w:sz w:val="20"/>
          <w:szCs w:val="20"/>
          <w:rtl/>
        </w:rPr>
        <w:footnoteRef/>
      </w:r>
      <w:r>
        <w:rPr>
          <w:sz w:val="20"/>
          <w:szCs w:val="20"/>
          <w:rtl/>
        </w:rPr>
        <w:t xml:space="preserve">. ראה יומא ד ע״ב: “מנין לאומר דבר </w:t>
      </w:r>
      <w:proofErr w:type="spellStart"/>
      <w:r>
        <w:rPr>
          <w:sz w:val="20"/>
          <w:szCs w:val="20"/>
          <w:rtl/>
        </w:rPr>
        <w:t>לחבירו</w:t>
      </w:r>
      <w:proofErr w:type="spellEnd"/>
      <w:r>
        <w:rPr>
          <w:sz w:val="20"/>
          <w:szCs w:val="20"/>
          <w:rtl/>
        </w:rPr>
        <w:t xml:space="preserve">” </w:t>
      </w:r>
      <w:proofErr w:type="spellStart"/>
      <w:r>
        <w:rPr>
          <w:sz w:val="20"/>
          <w:szCs w:val="20"/>
          <w:rtl/>
        </w:rPr>
        <w:t>וכו</w:t>
      </w:r>
      <w:proofErr w:type="spellEnd"/>
      <w:r>
        <w:rPr>
          <w:sz w:val="20"/>
          <w:szCs w:val="20"/>
          <w:rtl/>
        </w:rPr>
        <w:t>׳.</w:t>
      </w:r>
    </w:p>
  </w:footnote>
  <w:footnote w:id="3059">
    <w:p w14:paraId="2F6500DE" w14:textId="77777777" w:rsidR="00AB3647" w:rsidRDefault="00000000">
      <w:pPr>
        <w:spacing w:after="0" w:before="0"/>
        <w:jc w:val="both"/>
      </w:pPr>
      <w:r>
        <w:rPr>
          <w:sz w:val="20"/>
          <w:szCs w:val="20"/>
          <w:rtl/>
        </w:rPr>
        <w:footnoteRef/>
      </w:r>
      <w:r>
        <w:rPr>
          <w:sz w:val="20"/>
          <w:szCs w:val="20"/>
          <w:rtl/>
        </w:rPr>
        <w:t>. השווה פרק 3, הפסקה השנייה של נספח ה.</w:t>
      </w:r>
    </w:p>
  </w:footnote>
  <w:footnote w:id="3060">
    <w:p w14:paraId="50DF17AB" w14:textId="77777777" w:rsidR="00AB3647" w:rsidRDefault="00000000">
      <w:pPr>
        <w:spacing w:after="0" w:before="0"/>
        <w:jc w:val="both"/>
      </w:pPr>
      <w:r>
        <w:rPr>
          <w:sz w:val="20"/>
          <w:szCs w:val="20"/>
          <w:rtl/>
        </w:rPr>
        <w:footnoteRef/>
      </w:r>
      <w:r>
        <w:rPr>
          <w:sz w:val="20"/>
          <w:szCs w:val="20"/>
          <w:rtl/>
        </w:rPr>
        <w:t>. עמ׳ 213.</w:t>
      </w:r>
    </w:p>
  </w:footnote>
  <w:footnote w:id="3061">
    <w:p w14:paraId="199BDEDA" w14:textId="77777777" w:rsidR="00AB3647" w:rsidRDefault="00000000">
      <w:pPr>
        <w:spacing w:after="0" w:before="0"/>
        <w:jc w:val="both"/>
      </w:pPr>
      <w:r>
        <w:rPr>
          <w:sz w:val="20"/>
          <w:szCs w:val="20"/>
          <w:rtl/>
        </w:rPr>
        <w:footnoteRef/>
      </w:r>
      <w:r>
        <w:rPr>
          <w:sz w:val="20"/>
          <w:szCs w:val="20"/>
          <w:rtl/>
        </w:rPr>
        <w:t>. ריאיון מיום 13 בנובמבר 1987.</w:t>
      </w:r>
    </w:p>
  </w:footnote>
  <w:footnote w:id="3062">
    <w:p w14:paraId="0BC121F9" w14:textId="77777777" w:rsidR="00AB3647" w:rsidRDefault="00000000">
      <w:pPr>
        <w:spacing w:after="0" w:before="0"/>
        <w:jc w:val="both"/>
      </w:pPr>
      <w:r>
        <w:rPr>
          <w:sz w:val="20"/>
          <w:szCs w:val="20"/>
          <w:rtl/>
        </w:rPr>
        <w:footnoteRef/>
      </w:r>
      <w:r>
        <w:rPr>
          <w:sz w:val="20"/>
          <w:szCs w:val="20"/>
          <w:rtl/>
        </w:rPr>
        <w:t xml:space="preserve">. להמשך דברי הרב ברקוביץ על מאורע זה השווה הפסקה השנייה של נספח א בפרק זה. דבריו של ר׳ </w:t>
      </w:r>
      <w:proofErr w:type="spellStart"/>
      <w:r>
        <w:rPr>
          <w:sz w:val="20"/>
          <w:szCs w:val="20"/>
          <w:rtl/>
        </w:rPr>
        <w:t>יוסף־שלמה</w:t>
      </w:r>
      <w:proofErr w:type="spellEnd"/>
      <w:r>
        <w:rPr>
          <w:sz w:val="20"/>
          <w:szCs w:val="20"/>
          <w:rtl/>
        </w:rPr>
        <w:t xml:space="preserve"> ספסל, שאביו, העילוי </w:t>
      </w:r>
      <w:proofErr w:type="spellStart"/>
      <w:r>
        <w:rPr>
          <w:sz w:val="20"/>
          <w:szCs w:val="20"/>
          <w:rtl/>
        </w:rPr>
        <w:t>מווישקי</w:t>
      </w:r>
      <w:proofErr w:type="spellEnd"/>
      <w:r>
        <w:rPr>
          <w:sz w:val="20"/>
          <w:szCs w:val="20"/>
          <w:rtl/>
        </w:rPr>
        <w:t xml:space="preserve">, היה בא לכנסת ישראל כדי “לדבר בלימוד” עם הסבא, מתבארים בעמ׳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063">
    <w:p w14:paraId="0B40F998" w14:textId="77777777" w:rsidR="00AB3647" w:rsidRDefault="00000000">
      <w:pPr>
        <w:spacing w:after="0" w:before="0"/>
        <w:jc w:val="both"/>
      </w:pPr>
      <w:r>
        <w:rPr>
          <w:sz w:val="20"/>
          <w:szCs w:val="20"/>
          <w:rtl/>
        </w:rPr>
        <w:footnoteRef/>
      </w:r>
      <w:r>
        <w:rPr>
          <w:sz w:val="20"/>
          <w:szCs w:val="20"/>
          <w:rtl/>
        </w:rPr>
        <w:t>. עמ׳ 209.</w:t>
      </w:r>
    </w:p>
  </w:footnote>
  <w:footnote w:id="3064">
    <w:p w14:paraId="56B3EF2B"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כג</w:t>
      </w:r>
      <w:proofErr w:type="spellEnd"/>
      <w:r>
        <w:rPr>
          <w:sz w:val="20"/>
          <w:szCs w:val="20"/>
          <w:rtl/>
        </w:rPr>
        <w:t xml:space="preserve">, ובהמשך סעיף זה, לתיאור </w:t>
      </w:r>
      <w:proofErr w:type="spellStart"/>
      <w:r>
        <w:rPr>
          <w:sz w:val="20"/>
          <w:szCs w:val="20"/>
          <w:rtl/>
        </w:rPr>
        <w:t>ה“דירה</w:t>
      </w:r>
      <w:proofErr w:type="spellEnd"/>
      <w:r>
        <w:rPr>
          <w:sz w:val="20"/>
          <w:szCs w:val="20"/>
          <w:rtl/>
        </w:rPr>
        <w:t>” שאליה עברה.</w:t>
      </w:r>
    </w:p>
  </w:footnote>
  <w:footnote w:id="3065">
    <w:p w14:paraId="4FEB323E" w14:textId="77777777" w:rsidR="00AB3647" w:rsidRDefault="00000000">
      <w:pPr>
        <w:spacing w:after="0" w:before="0"/>
        <w:jc w:val="both"/>
      </w:pPr>
      <w:r>
        <w:rPr>
          <w:sz w:val="20"/>
          <w:szCs w:val="20"/>
          <w:rtl/>
        </w:rPr>
        <w:footnoteRef/>
      </w:r>
      <w:r>
        <w:rPr>
          <w:sz w:val="20"/>
          <w:szCs w:val="20"/>
          <w:rtl/>
        </w:rPr>
        <w:t>. השווה פרק 3, הערה 95.</w:t>
      </w:r>
    </w:p>
  </w:footnote>
  <w:footnote w:id="3066">
    <w:p w14:paraId="0CF34467" w14:textId="77777777" w:rsidR="00AB3647" w:rsidRDefault="00000000">
      <w:pPr>
        <w:spacing w:after="0" w:before="0"/>
        <w:jc w:val="both"/>
      </w:pPr>
      <w:r>
        <w:rPr>
          <w:sz w:val="20"/>
          <w:szCs w:val="20"/>
          <w:rtl/>
        </w:rPr>
        <w:footnoteRef/>
      </w:r>
      <w:r>
        <w:rPr>
          <w:sz w:val="20"/>
          <w:szCs w:val="20"/>
          <w:rtl/>
        </w:rPr>
        <w:t>. עמ׳ 210–211.</w:t>
      </w:r>
    </w:p>
  </w:footnote>
  <w:footnote w:id="3067">
    <w:p w14:paraId="6B93C8A8" w14:textId="77777777" w:rsidR="00AB3647" w:rsidRDefault="00000000">
      <w:pPr>
        <w:spacing w:after="0" w:before="0"/>
        <w:jc w:val="both"/>
      </w:pPr>
      <w:r>
        <w:rPr>
          <w:sz w:val="20"/>
          <w:szCs w:val="20"/>
          <w:rtl/>
        </w:rPr>
        <w:footnoteRef/>
      </w:r>
      <w:r>
        <w:rPr>
          <w:sz w:val="20"/>
          <w:szCs w:val="20"/>
          <w:rtl/>
        </w:rPr>
        <w:t>. פסחים, סימן י.</w:t>
      </w:r>
    </w:p>
  </w:footnote>
  <w:footnote w:id="3068">
    <w:p w14:paraId="1F85B970" w14:textId="77777777" w:rsidR="00AB3647" w:rsidRDefault="00000000">
      <w:pPr>
        <w:spacing w:after="0" w:before="0"/>
        <w:jc w:val="both"/>
      </w:pPr>
      <w:r>
        <w:rPr>
          <w:sz w:val="20"/>
          <w:szCs w:val="20"/>
          <w:rtl/>
        </w:rPr>
        <w:footnoteRef/>
      </w:r>
      <w:r>
        <w:rPr>
          <w:sz w:val="20"/>
          <w:szCs w:val="20"/>
          <w:rtl/>
        </w:rPr>
        <w:t>. פרק 3, סוף נספח ה.</w:t>
      </w:r>
    </w:p>
  </w:footnote>
  <w:footnote w:id="3069">
    <w:p w14:paraId="6827C072" w14:textId="77777777" w:rsidR="00AB3647" w:rsidRDefault="00000000">
      <w:pPr>
        <w:spacing w:after="0" w:before="0"/>
        <w:jc w:val="both"/>
      </w:pPr>
      <w:r>
        <w:rPr>
          <w:sz w:val="20"/>
          <w:szCs w:val="20"/>
          <w:rtl/>
        </w:rPr>
        <w:footnoteRef/>
      </w:r>
      <w:r>
        <w:rPr>
          <w:sz w:val="20"/>
          <w:szCs w:val="20"/>
          <w:rtl/>
        </w:rPr>
        <w:t xml:space="preserve">. אורח חיים סימן </w:t>
      </w:r>
      <w:proofErr w:type="spellStart"/>
      <w:r>
        <w:rPr>
          <w:sz w:val="20"/>
          <w:szCs w:val="20"/>
          <w:rtl/>
        </w:rPr>
        <w:t>רנ</w:t>
      </w:r>
      <w:proofErr w:type="spellEnd"/>
      <w:r>
        <w:rPr>
          <w:sz w:val="20"/>
          <w:szCs w:val="20"/>
          <w:rtl/>
        </w:rPr>
        <w:t xml:space="preserve"> בהגה.</w:t>
      </w:r>
    </w:p>
  </w:footnote>
  <w:footnote w:id="3070">
    <w:p w14:paraId="580ECF8C" w14:textId="77777777" w:rsidR="00AB3647" w:rsidRDefault="00000000">
      <w:pPr>
        <w:spacing w:after="0" w:before="0"/>
        <w:jc w:val="both"/>
      </w:pPr>
      <w:r>
        <w:rPr>
          <w:sz w:val="20"/>
          <w:szCs w:val="20"/>
          <w:rtl/>
        </w:rPr>
        <w:footnoteRef/>
      </w:r>
      <w:r>
        <w:rPr>
          <w:sz w:val="20"/>
          <w:szCs w:val="20"/>
          <w:rtl/>
        </w:rPr>
        <w:t>. במאמר מאת יעקב משה לסין, עמ׳ מח.</w:t>
      </w:r>
    </w:p>
  </w:footnote>
  <w:footnote w:id="3071">
    <w:p w14:paraId="4B3D0A8C" w14:textId="77777777" w:rsidR="00AB3647" w:rsidRDefault="00000000">
      <w:pPr>
        <w:spacing w:after="0" w:before="0"/>
        <w:jc w:val="both"/>
      </w:pPr>
      <w:r>
        <w:rPr>
          <w:sz w:val="20"/>
          <w:szCs w:val="20"/>
          <w:rtl/>
        </w:rPr>
        <w:footnoteRef/>
      </w:r>
      <w:r>
        <w:rPr>
          <w:sz w:val="20"/>
          <w:szCs w:val="20"/>
          <w:rtl/>
        </w:rPr>
        <w:t>. פרק 1, הערה 7.</w:t>
      </w:r>
    </w:p>
  </w:footnote>
  <w:footnote w:id="3072">
    <w:p w14:paraId="7FCA6AC8" w14:textId="77777777" w:rsidR="00AB3647" w:rsidRDefault="00000000">
      <w:pPr>
        <w:spacing w:after="0" w:before="0"/>
        <w:jc w:val="both"/>
      </w:pPr>
      <w:r>
        <w:rPr>
          <w:sz w:val="20"/>
          <w:szCs w:val="20"/>
          <w:rtl/>
        </w:rPr>
        <w:footnoteRef/>
      </w:r>
      <w:r>
        <w:rPr>
          <w:sz w:val="20"/>
          <w:szCs w:val="20"/>
          <w:rtl/>
        </w:rPr>
        <w:t>. שם.</w:t>
      </w:r>
    </w:p>
  </w:footnote>
  <w:footnote w:id="3073">
    <w:p w14:paraId="136F7744" w14:textId="77777777" w:rsidR="00AB3647" w:rsidRDefault="00000000">
      <w:pPr>
        <w:spacing w:after="0" w:before="0"/>
        <w:jc w:val="both"/>
      </w:pPr>
      <w:r>
        <w:rPr>
          <w:sz w:val="20"/>
          <w:szCs w:val="20"/>
          <w:rtl/>
        </w:rPr>
        <w:footnoteRef/>
      </w:r>
      <w:r>
        <w:rPr>
          <w:sz w:val="20"/>
          <w:szCs w:val="20"/>
          <w:rtl/>
        </w:rPr>
        <w:t>. השווה פרק 3, נספח ל.</w:t>
      </w:r>
    </w:p>
  </w:footnote>
  <w:footnote w:id="3074">
    <w:p w14:paraId="363F21E1" w14:textId="77777777" w:rsidR="00AB3647" w:rsidRDefault="00000000">
      <w:pPr>
        <w:spacing w:after="0" w:before="0"/>
        <w:jc w:val="both"/>
      </w:pPr>
      <w:r>
        <w:rPr>
          <w:sz w:val="20"/>
          <w:szCs w:val="20"/>
          <w:rtl/>
        </w:rPr>
        <w:footnoteRef/>
      </w:r>
      <w:r>
        <w:rPr>
          <w:sz w:val="20"/>
          <w:szCs w:val="20"/>
          <w:rtl/>
        </w:rPr>
        <w:t>. פרק 21.</w:t>
      </w:r>
    </w:p>
  </w:footnote>
  <w:footnote w:id="3075">
    <w:p w14:paraId="2F0374BA" w14:textId="77777777" w:rsidR="00AB3647" w:rsidRDefault="00000000">
      <w:pPr>
        <w:spacing w:after="0" w:before="0"/>
        <w:jc w:val="both"/>
      </w:pPr>
      <w:r>
        <w:rPr>
          <w:sz w:val="20"/>
          <w:szCs w:val="20"/>
          <w:rtl/>
        </w:rPr>
        <w:footnoteRef/>
      </w:r>
      <w:r>
        <w:rPr>
          <w:sz w:val="20"/>
          <w:szCs w:val="20"/>
          <w:rtl/>
        </w:rPr>
        <w:t>. המקור הנזכר בפרק 1, נספח ב – עמ׳ 68.</w:t>
      </w:r>
    </w:p>
  </w:footnote>
  <w:footnote w:id="3076">
    <w:p w14:paraId="32A1E20E" w14:textId="77777777" w:rsidR="00AB3647" w:rsidRDefault="00000000">
      <w:pPr>
        <w:spacing w:after="0" w:before="0"/>
        <w:jc w:val="both"/>
      </w:pPr>
      <w:r>
        <w:rPr>
          <w:sz w:val="20"/>
          <w:szCs w:val="20"/>
          <w:rtl/>
        </w:rPr>
        <w:footnoteRef/>
      </w:r>
      <w:r>
        <w:rPr>
          <w:sz w:val="20"/>
          <w:szCs w:val="20"/>
          <w:rtl/>
        </w:rPr>
        <w:t xml:space="preserve">. השווה גם הערת השוליים </w:t>
      </w:r>
      <w:r>
        <w:rPr>
          <w:sz w:val="20"/>
          <w:szCs w:val="20"/>
          <w:rtl/>
        </w:rPr>
        <w:fldChar w:fldCharType="begin" w:dirty="true"/>
      </w:r>
      <w:r>
        <w:rPr>
          <w:sz w:val="20"/>
          <w:szCs w:val="20"/>
          <w:rtl/>
        </w:rPr>
        <w:instrText xml:space="preserve"> NOTEREF pr_f_2522 \h </w:instrText>
      </w:r>
      <w:r>
        <w:rPr>
          <w:sz w:val="20"/>
          <w:szCs w:val="20"/>
          <w:rtl/>
        </w:rPr>
      </w:r>
      <w:r>
        <w:rPr>
          <w:sz w:val="20"/>
          <w:szCs w:val="20"/>
          <w:rtl/>
        </w:rPr>
        <w:fldChar w:fldCharType="separate"/>
      </w:r>
      <w:r w:rsidR="007923E9">
        <w:rPr>
          <w:sz w:val="20"/>
          <w:szCs w:val="20"/>
          <w:rtl/>
        </w:rPr>
        <w:t>1568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המביאה </w:t>
      </w:r>
      <w:proofErr w:type="spellStart"/>
      <w:r>
        <w:rPr>
          <w:sz w:val="20"/>
          <w:szCs w:val="20"/>
          <w:rtl/>
        </w:rPr>
        <w:t>מ“תורת</w:t>
      </w:r>
      <w:proofErr w:type="spellEnd"/>
      <w:r>
        <w:rPr>
          <w:sz w:val="20"/>
          <w:szCs w:val="20"/>
          <w:rtl/>
        </w:rPr>
        <w:t xml:space="preserve"> אברהם” (הפסקה הרביעית בנספח א בפרק זה), עמ׳ רכה.</w:t>
      </w:r>
    </w:p>
  </w:footnote>
  <w:footnote w:id="3077">
    <w:p w14:paraId="076A0ECD" w14:textId="77777777" w:rsidR="00AB3647" w:rsidRDefault="00000000">
      <w:pPr>
        <w:spacing w:after="0" w:before="0"/>
        <w:jc w:val="both"/>
      </w:pPr>
      <w:r>
        <w:rPr>
          <w:sz w:val="20"/>
          <w:szCs w:val="20"/>
          <w:rtl/>
        </w:rPr>
        <w:footnoteRef/>
      </w:r>
      <w:r>
        <w:rPr>
          <w:sz w:val="20"/>
          <w:szCs w:val="20"/>
          <w:rtl/>
        </w:rPr>
        <w:t>. כץ, “תנועת המוסר”, כרך ג, עמ׳ 213.</w:t>
      </w:r>
    </w:p>
  </w:footnote>
  <w:footnote w:id="3078">
    <w:p w14:paraId="0AC68E8A" w14:textId="77777777" w:rsidR="00AB3647" w:rsidRDefault="00000000">
      <w:pPr>
        <w:spacing w:after="0" w:before="0"/>
        <w:jc w:val="both"/>
      </w:pPr>
      <w:r>
        <w:rPr>
          <w:sz w:val="20"/>
          <w:szCs w:val="20"/>
          <w:rtl/>
        </w:rPr>
        <w:footnoteRef/>
      </w:r>
      <w:r>
        <w:rPr>
          <w:sz w:val="20"/>
          <w:szCs w:val="20"/>
          <w:rtl/>
        </w:rPr>
        <w:t>. השווה פרק 3, נספח כה, והפסקה השנייה של נספח ב להלן.</w:t>
      </w:r>
    </w:p>
  </w:footnote>
  <w:footnote w:id="3079">
    <w:p w14:paraId="7E570338" w14:textId="77777777" w:rsidR="00AB3647" w:rsidRDefault="00000000">
      <w:pPr>
        <w:spacing w:after="0" w:before="0"/>
        <w:jc w:val="both"/>
      </w:pPr>
      <w:r>
        <w:rPr>
          <w:sz w:val="20"/>
          <w:szCs w:val="20"/>
          <w:rtl/>
        </w:rPr>
        <w:footnoteRef/>
      </w:r>
      <w:r>
        <w:rPr>
          <w:sz w:val="20"/>
          <w:szCs w:val="20"/>
          <w:rtl/>
        </w:rPr>
        <w:t>. עמ׳ 213, 33.</w:t>
      </w:r>
    </w:p>
  </w:footnote>
  <w:footnote w:id="3080">
    <w:p w14:paraId="6B23794C" w14:textId="77777777" w:rsidR="00AB3647" w:rsidRDefault="00000000">
      <w:pPr>
        <w:spacing w:after="0" w:before="0"/>
        <w:jc w:val="both"/>
      </w:pPr>
      <w:r>
        <w:rPr>
          <w:sz w:val="20"/>
          <w:szCs w:val="20"/>
          <w:rtl/>
        </w:rPr>
        <w:footnoteRef/>
      </w:r>
      <w:r>
        <w:rPr>
          <w:sz w:val="20"/>
          <w:szCs w:val="20"/>
          <w:rtl/>
        </w:rPr>
        <w:t xml:space="preserve">. ראה הערה 1 לעיל, שבה הביע את הערצתו לסבא </w:t>
      </w:r>
      <w:proofErr w:type="spellStart"/>
      <w:r>
        <w:rPr>
          <w:sz w:val="20"/>
          <w:szCs w:val="20"/>
          <w:rtl/>
        </w:rPr>
        <w:t>מסלבודקה</w:t>
      </w:r>
      <w:proofErr w:type="spellEnd"/>
      <w:r>
        <w:rPr>
          <w:sz w:val="20"/>
          <w:szCs w:val="20"/>
          <w:rtl/>
        </w:rPr>
        <w:t>.</w:t>
      </w:r>
    </w:p>
  </w:footnote>
  <w:footnote w:id="3081">
    <w:p w14:paraId="4AF13F7C"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w:t>
      </w:r>
    </w:p>
  </w:footnote>
  <w:footnote w:id="3082">
    <w:p w14:paraId="241D6106" w14:textId="77777777" w:rsidR="00AB3647" w:rsidRDefault="00000000">
      <w:pPr>
        <w:spacing w:after="0" w:before="0"/>
        <w:jc w:val="both"/>
      </w:pPr>
      <w:r>
        <w:rPr>
          <w:sz w:val="20"/>
          <w:szCs w:val="20"/>
          <w:rtl/>
        </w:rPr>
        <w:footnoteRef/>
      </w:r>
      <w:r>
        <w:rPr>
          <w:sz w:val="20"/>
          <w:szCs w:val="20"/>
          <w:rtl/>
        </w:rPr>
        <w:t>. השווה פרק 3, הערה 118.</w:t>
      </w:r>
    </w:p>
  </w:footnote>
  <w:footnote w:id="3083">
    <w:p w14:paraId="161FE904" w14:textId="77777777" w:rsidR="00AB3647" w:rsidRDefault="00000000">
      <w:pPr>
        <w:spacing w:after="0" w:before="0"/>
        <w:jc w:val="both"/>
      </w:pPr>
      <w:r>
        <w:rPr>
          <w:sz w:val="20"/>
          <w:szCs w:val="20"/>
          <w:rtl/>
        </w:rPr>
        <w:footnoteRef/>
      </w:r>
      <w:r>
        <w:rPr>
          <w:sz w:val="20"/>
          <w:szCs w:val="20"/>
          <w:rtl/>
        </w:rPr>
        <w:t>. פרק 3, סוף נספח ה.</w:t>
      </w:r>
    </w:p>
  </w:footnote>
  <w:footnote w:id="3084">
    <w:p w14:paraId="613AFD04" w14:textId="77777777" w:rsidR="00AB3647" w:rsidRDefault="00000000">
      <w:pPr>
        <w:spacing w:after="0" w:before="0"/>
        <w:jc w:val="both"/>
      </w:pPr>
      <w:r>
        <w:rPr>
          <w:sz w:val="20"/>
          <w:szCs w:val="20"/>
          <w:rtl/>
        </w:rPr>
        <w:footnoteRef/>
      </w:r>
      <w:r>
        <w:rPr>
          <w:sz w:val="20"/>
          <w:szCs w:val="20"/>
          <w:rtl/>
        </w:rPr>
        <w:t>. השווה כרך 2.</w:t>
      </w:r>
    </w:p>
  </w:footnote>
  <w:footnote w:id="3085">
    <w:p w14:paraId="2F0975FE" w14:textId="77777777" w:rsidR="00AB3647" w:rsidRDefault="00000000">
      <w:pPr>
        <w:spacing w:after="0" w:before="0"/>
        <w:jc w:val="both"/>
      </w:pPr>
      <w:r>
        <w:rPr>
          <w:sz w:val="20"/>
          <w:szCs w:val="20"/>
          <w:rtl/>
        </w:rPr>
        <w:footnoteRef/>
      </w:r>
      <w:r>
        <w:rPr>
          <w:sz w:val="20"/>
          <w:szCs w:val="20"/>
          <w:rtl/>
        </w:rPr>
        <w:t>. ראה פרק 3, הפסקה השלישית של נספח ה.</w:t>
      </w:r>
    </w:p>
  </w:footnote>
  <w:footnote w:id="3086">
    <w:p w14:paraId="19006E90" w14:textId="77777777" w:rsidR="00AB3647" w:rsidRDefault="00000000">
      <w:pPr>
        <w:spacing w:after="0" w:before="0"/>
        <w:jc w:val="both"/>
      </w:pPr>
      <w:r>
        <w:rPr>
          <w:sz w:val="20"/>
          <w:szCs w:val="20"/>
          <w:rtl/>
        </w:rPr>
        <w:footnoteRef/>
      </w:r>
      <w:r>
        <w:rPr>
          <w:sz w:val="20"/>
          <w:szCs w:val="20"/>
          <w:rtl/>
        </w:rPr>
        <w:t xml:space="preserve">. ראה הערת השוליים </w:t>
      </w:r>
      <w:r>
        <w:rPr>
          <w:sz w:val="20"/>
          <w:szCs w:val="20"/>
          <w:rtl/>
        </w:rPr>
        <w:fldChar w:fldCharType="begin" w:dirty="true"/>
      </w:r>
      <w:r>
        <w:rPr>
          <w:sz w:val="20"/>
          <w:szCs w:val="20"/>
          <w:rtl/>
        </w:rPr>
        <w:instrText xml:space="preserve"> NOTEREF pr_f_1976 \h </w:instrText>
      </w:r>
      <w:r>
        <w:rPr>
          <w:sz w:val="20"/>
          <w:szCs w:val="20"/>
          <w:rtl/>
        </w:rPr>
      </w:r>
      <w:r>
        <w:rPr>
          <w:sz w:val="20"/>
          <w:szCs w:val="20"/>
          <w:rtl/>
        </w:rPr>
        <w:fldChar w:fldCharType="separate"/>
      </w:r>
      <w:r w:rsidR="007923E9">
        <w:rPr>
          <w:sz w:val="20"/>
          <w:szCs w:val="20"/>
          <w:rtl/>
        </w:rPr>
        <w:t>1022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pr_f_1976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w:t>
      </w:r>
    </w:p>
  </w:footnote>
  <w:footnote w:id="3087">
    <w:p w14:paraId="409E4342" w14:textId="77777777" w:rsidR="00AB3647" w:rsidRDefault="00000000">
      <w:pPr>
        <w:spacing w:after="0" w:before="0"/>
        <w:jc w:val="both"/>
      </w:pPr>
      <w:r>
        <w:rPr>
          <w:sz w:val="20"/>
          <w:szCs w:val="20"/>
          <w:rtl/>
        </w:rPr>
        <w:footnoteRef/>
      </w:r>
      <w:r>
        <w:rPr>
          <w:sz w:val="20"/>
          <w:szCs w:val="20"/>
          <w:rtl/>
        </w:rPr>
        <w:t xml:space="preserve">. דברים אלו נכתבו לפי מסורת ירושלמית, ופרט אחד בה מוטל בספק: </w:t>
      </w:r>
      <w:proofErr w:type="spellStart"/>
      <w:r>
        <w:rPr>
          <w:sz w:val="20"/>
          <w:szCs w:val="20"/>
          <w:rtl/>
        </w:rPr>
        <w:t>שהחפץ־חיים</w:t>
      </w:r>
      <w:proofErr w:type="spellEnd"/>
      <w:r>
        <w:rPr>
          <w:sz w:val="20"/>
          <w:szCs w:val="20"/>
          <w:rtl/>
        </w:rPr>
        <w:t xml:space="preserve"> שקל לבחור בר׳ </w:t>
      </w:r>
      <w:proofErr w:type="spellStart"/>
      <w:r>
        <w:rPr>
          <w:sz w:val="20"/>
          <w:szCs w:val="20"/>
          <w:rtl/>
        </w:rPr>
        <w:t>חיים־לייב</w:t>
      </w:r>
      <w:proofErr w:type="spellEnd"/>
      <w:r>
        <w:rPr>
          <w:sz w:val="20"/>
          <w:szCs w:val="20"/>
          <w:rtl/>
        </w:rPr>
        <w:t xml:space="preserve"> </w:t>
      </w:r>
      <w:proofErr w:type="spellStart"/>
      <w:r>
        <w:rPr>
          <w:sz w:val="20"/>
          <w:szCs w:val="20"/>
          <w:rtl/>
        </w:rPr>
        <w:t>סטוויסקר</w:t>
      </w:r>
      <w:proofErr w:type="spellEnd"/>
      <w:r>
        <w:rPr>
          <w:sz w:val="20"/>
          <w:szCs w:val="20"/>
          <w:rtl/>
        </w:rPr>
        <w:t xml:space="preserve"> לרבו. לפי החישובים השונים של גיל </w:t>
      </w:r>
      <w:proofErr w:type="spellStart"/>
      <w:r>
        <w:rPr>
          <w:sz w:val="20"/>
          <w:szCs w:val="20"/>
          <w:rtl/>
        </w:rPr>
        <w:t>החפץ־חיים</w:t>
      </w:r>
      <w:proofErr w:type="spellEnd"/>
      <w:r>
        <w:rPr>
          <w:sz w:val="20"/>
          <w:szCs w:val="20"/>
          <w:rtl/>
        </w:rPr>
        <w:t xml:space="preserve">, הנידונים בפרק 5, הפסקה השנייה של נספח ב, היה ר׳ </w:t>
      </w:r>
      <w:proofErr w:type="spellStart"/>
      <w:r>
        <w:rPr>
          <w:sz w:val="20"/>
          <w:szCs w:val="20"/>
          <w:rtl/>
        </w:rPr>
        <w:t>חיים־לייב</w:t>
      </w:r>
      <w:proofErr w:type="spellEnd"/>
      <w:r>
        <w:rPr>
          <w:sz w:val="20"/>
          <w:szCs w:val="20"/>
          <w:rtl/>
        </w:rPr>
        <w:t xml:space="preserve"> בן גילו – מבוגר ממנו בשלוש שנים, כמסתבר ביותר, או צעיר ממנו בשבע שנים.</w:t>
      </w:r>
    </w:p>
  </w:footnote>
  <w:footnote w:id="3088">
    <w:p w14:paraId="1287169E" w14:textId="77777777" w:rsidR="00AB3647" w:rsidRDefault="00000000">
      <w:pPr>
        <w:spacing w:after="0" w:before="0"/>
        <w:jc w:val="both"/>
      </w:pPr>
      <w:r>
        <w:rPr>
          <w:sz w:val="20"/>
          <w:szCs w:val="20"/>
          <w:rtl/>
        </w:rPr>
        <w:footnoteRef/>
      </w:r>
      <w:r>
        <w:rPr>
          <w:sz w:val="20"/>
          <w:szCs w:val="20"/>
          <w:rtl/>
        </w:rPr>
        <w:t xml:space="preserve">. באות נב של “דוגמא מדרכי אבי זצ״ל”, </w:t>
      </w:r>
      <w:proofErr w:type="spellStart"/>
      <w:r>
        <w:rPr>
          <w:sz w:val="20"/>
          <w:szCs w:val="20"/>
          <w:rtl/>
        </w:rPr>
        <w:t>ב“בבית</w:t>
      </w:r>
      <w:proofErr w:type="spellEnd"/>
      <w:r>
        <w:rPr>
          <w:sz w:val="20"/>
          <w:szCs w:val="20"/>
          <w:rtl/>
        </w:rPr>
        <w:t xml:space="preserve"> החפץ חיים” (המקור הנזכר בפרק 1, נספח ב), חלק א.</w:t>
      </w:r>
    </w:p>
  </w:footnote>
  <w:footnote w:id="3089">
    <w:p w14:paraId="637B647E" w14:textId="77777777" w:rsidR="00AB3647" w:rsidRDefault="00000000">
      <w:pPr>
        <w:spacing w:after="0" w:before="0"/>
        <w:jc w:val="both"/>
      </w:pPr>
      <w:r>
        <w:rPr>
          <w:sz w:val="20"/>
          <w:szCs w:val="20"/>
          <w:rtl/>
        </w:rPr>
        <w:footnoteRef/>
      </w:r>
      <w:r>
        <w:rPr>
          <w:sz w:val="20"/>
          <w:szCs w:val="20"/>
          <w:rtl/>
        </w:rPr>
        <w:t>. עמ׳ נד.</w:t>
      </w:r>
    </w:p>
  </w:footnote>
  <w:footnote w:id="3090">
    <w:p w14:paraId="0FCB1F5A" w14:textId="77777777" w:rsidR="00AB3647" w:rsidRDefault="00000000">
      <w:pPr>
        <w:spacing w:after="0" w:before="0"/>
        <w:jc w:val="both"/>
      </w:pPr>
      <w:r>
        <w:rPr>
          <w:sz w:val="20"/>
          <w:szCs w:val="20"/>
          <w:rtl/>
        </w:rPr>
        <w:footnoteRef/>
      </w:r>
      <w:r>
        <w:rPr>
          <w:sz w:val="20"/>
          <w:szCs w:val="20"/>
          <w:rtl/>
        </w:rPr>
        <w:t>. המקור הנזכר בפרק 1, נספח ה – המחצית התחתונה של עמ׳ קנח.</w:t>
      </w:r>
    </w:p>
  </w:footnote>
  <w:footnote w:id="3091">
    <w:p w14:paraId="7E7E708C" w14:textId="77777777" w:rsidR="00AB3647" w:rsidRDefault="00000000">
      <w:pPr>
        <w:spacing w:after="0" w:before="0"/>
        <w:jc w:val="both"/>
      </w:pPr>
      <w:r>
        <w:rPr>
          <w:sz w:val="20"/>
          <w:szCs w:val="20"/>
          <w:rtl/>
        </w:rPr>
        <w:footnoteRef/>
      </w:r>
      <w:r>
        <w:rPr>
          <w:sz w:val="20"/>
          <w:szCs w:val="20"/>
          <w:rtl/>
        </w:rPr>
        <w:t>. עמ׳ 311.</w:t>
      </w:r>
    </w:p>
  </w:footnote>
  <w:footnote w:id="3092">
    <w:p w14:paraId="53B0952F" w14:textId="77777777" w:rsidR="00AB3647" w:rsidRDefault="00000000">
      <w:pPr>
        <w:spacing w:after="0" w:before="0"/>
        <w:jc w:val="both"/>
      </w:pPr>
      <w:r>
        <w:rPr>
          <w:sz w:val="20"/>
          <w:szCs w:val="20"/>
          <w:rtl/>
        </w:rPr>
        <w:footnoteRef/>
      </w:r>
      <w:r>
        <w:rPr>
          <w:sz w:val="20"/>
          <w:szCs w:val="20"/>
          <w:rtl/>
        </w:rPr>
        <w:t>. השווה פרק 3, הערה 51, ותחילת הערה 4 לעיל.</w:t>
      </w:r>
    </w:p>
  </w:footnote>
  <w:footnote w:id="3093">
    <w:p w14:paraId="3857FC53" w14:textId="77777777" w:rsidR="00AB3647" w:rsidRDefault="00000000">
      <w:pPr>
        <w:spacing w:after="0" w:before="0"/>
        <w:jc w:val="both"/>
      </w:pPr>
      <w:r>
        <w:rPr>
          <w:sz w:val="20"/>
          <w:szCs w:val="20"/>
          <w:rtl/>
        </w:rPr>
        <w:footnoteRef/>
      </w:r>
      <w:r>
        <w:rPr>
          <w:sz w:val="20"/>
          <w:szCs w:val="20"/>
          <w:rtl/>
        </w:rPr>
        <w:t>. עמ׳ 214.</w:t>
      </w:r>
    </w:p>
  </w:footnote>
  <w:footnote w:id="3094">
    <w:p w14:paraId="2277C43C" w14:textId="77777777" w:rsidR="00AB3647" w:rsidRDefault="00000000">
      <w:pPr>
        <w:spacing w:after="0" w:before="0"/>
        <w:jc w:val="both"/>
      </w:pPr>
      <w:r>
        <w:rPr>
          <w:sz w:val="20"/>
          <w:szCs w:val="20"/>
          <w:rtl/>
        </w:rPr>
        <w:footnoteRef/>
      </w:r>
      <w:r>
        <w:rPr>
          <w:sz w:val="20"/>
          <w:szCs w:val="20"/>
          <w:rtl/>
        </w:rPr>
        <w:t>. שם.</w:t>
      </w:r>
    </w:p>
  </w:footnote>
  <w:footnote w:id="3095">
    <w:p w14:paraId="67B00198" w14:textId="77777777" w:rsidR="00AB3647" w:rsidRDefault="00000000">
      <w:pPr>
        <w:spacing w:after="0" w:before="0"/>
        <w:jc w:val="both"/>
      </w:pPr>
      <w:r>
        <w:rPr>
          <w:sz w:val="20"/>
          <w:szCs w:val="20"/>
          <w:rtl/>
        </w:rPr>
        <w:footnoteRef/>
      </w:r>
      <w:r>
        <w:rPr>
          <w:sz w:val="20"/>
          <w:szCs w:val="20"/>
          <w:rtl/>
        </w:rPr>
        <w:t>. המקור הנזכר בפרק 2, הערה 93 – עמ׳ 72.</w:t>
      </w:r>
    </w:p>
  </w:footnote>
  <w:footnote w:id="3096">
    <w:p w14:paraId="663A0F37" w14:textId="77777777" w:rsidR="00AB3647" w:rsidRDefault="00000000">
      <w:pPr>
        <w:spacing w:after="0" w:before="0"/>
        <w:jc w:val="both"/>
      </w:pPr>
      <w:r>
        <w:rPr>
          <w:sz w:val="20"/>
          <w:szCs w:val="20"/>
          <w:rtl/>
        </w:rPr>
        <w:footnoteRef/>
      </w:r>
      <w:r>
        <w:rPr>
          <w:sz w:val="20"/>
          <w:szCs w:val="20"/>
          <w:rtl/>
        </w:rPr>
        <w:t>. עמ׳ 311.</w:t>
      </w:r>
    </w:p>
  </w:footnote>
  <w:footnote w:id="3097">
    <w:p w14:paraId="5C669981" w14:textId="77777777" w:rsidR="00AB3647" w:rsidRDefault="00000000">
      <w:pPr>
        <w:spacing w:after="0" w:before="0"/>
        <w:jc w:val="both"/>
      </w:pPr>
      <w:r>
        <w:rPr>
          <w:sz w:val="20"/>
          <w:szCs w:val="20"/>
          <w:rtl/>
        </w:rPr>
        <w:footnoteRef/>
      </w:r>
      <w:r>
        <w:rPr>
          <w:sz w:val="20"/>
          <w:szCs w:val="20"/>
          <w:rtl/>
        </w:rPr>
        <w:t>. השווה פרק 3, הערה 146.</w:t>
      </w:r>
    </w:p>
  </w:footnote>
  <w:footnote w:id="3098">
    <w:p w14:paraId="671BD29C" w14:textId="77777777" w:rsidR="00AB3647" w:rsidRDefault="00000000">
      <w:pPr>
        <w:spacing w:after="0" w:before="0"/>
        <w:jc w:val="both"/>
      </w:pPr>
      <w:r>
        <w:rPr>
          <w:sz w:val="20"/>
          <w:szCs w:val="20"/>
          <w:rtl/>
        </w:rPr>
        <w:footnoteRef/>
      </w:r>
      <w:r>
        <w:rPr>
          <w:sz w:val="20"/>
          <w:szCs w:val="20"/>
          <w:rtl/>
        </w:rPr>
        <w:t>. גם בשיחה המוקלטת במלאות חמישים שנה לפטירת הסבא (פרק 3, סוף נספח ה) אמר אבי שהשיחות נמשכו שעה.</w:t>
      </w:r>
    </w:p>
  </w:footnote>
  <w:footnote w:id="3099">
    <w:p w14:paraId="316BA854" w14:textId="77777777" w:rsidR="00AB3647" w:rsidRDefault="00000000">
      <w:pPr>
        <w:spacing w:after="0" w:before="0"/>
        <w:jc w:val="both"/>
      </w:pPr>
      <w:r>
        <w:rPr>
          <w:sz w:val="20"/>
          <w:szCs w:val="20"/>
          <w:rtl/>
        </w:rPr>
        <w:footnoteRef/>
      </w:r>
      <w:r>
        <w:rPr>
          <w:sz w:val="20"/>
          <w:szCs w:val="20"/>
          <w:rtl/>
        </w:rPr>
        <w:t>. הפסקה הרביעית בנספח א בפרק זה – עמ׳ 452.</w:t>
      </w:r>
    </w:p>
  </w:footnote>
  <w:footnote w:id="3100">
    <w:p w14:paraId="0A256973" w14:textId="77777777" w:rsidR="00AB3647" w:rsidRDefault="00000000">
      <w:pPr>
        <w:spacing w:after="0" w:before="0"/>
        <w:jc w:val="both"/>
      </w:pPr>
      <w:r>
        <w:rPr>
          <w:sz w:val="20"/>
          <w:szCs w:val="20"/>
          <w:rtl/>
        </w:rPr>
        <w:footnoteRef/>
      </w:r>
      <w:r>
        <w:rPr>
          <w:sz w:val="20"/>
          <w:szCs w:val="20"/>
          <w:rtl/>
        </w:rPr>
        <w:t>. עמ׳ רכו.</w:t>
      </w:r>
    </w:p>
  </w:footnote>
  <w:footnote w:id="3101">
    <w:p w14:paraId="584B0677" w14:textId="77777777" w:rsidR="00AB3647" w:rsidRDefault="00000000">
      <w:pPr>
        <w:spacing w:after="0" w:before="0"/>
        <w:jc w:val="both"/>
      </w:pPr>
      <w:r>
        <w:rPr>
          <w:sz w:val="20"/>
          <w:szCs w:val="20"/>
          <w:rtl/>
        </w:rPr>
        <w:footnoteRef/>
      </w:r>
      <w:r>
        <w:rPr>
          <w:sz w:val="20"/>
          <w:szCs w:val="20"/>
          <w:rtl/>
        </w:rPr>
        <w:t xml:space="preserve">. מסתבר </w:t>
      </w:r>
      <w:proofErr w:type="spellStart"/>
      <w:r>
        <w:rPr>
          <w:sz w:val="20"/>
          <w:szCs w:val="20"/>
          <w:rtl/>
        </w:rPr>
        <w:t>ש“תורת</w:t>
      </w:r>
      <w:proofErr w:type="spellEnd"/>
      <w:r>
        <w:rPr>
          <w:sz w:val="20"/>
          <w:szCs w:val="20"/>
          <w:rtl/>
        </w:rPr>
        <w:t xml:space="preserve"> אברהם” מתכוון לדרך מסירת הדברים.</w:t>
      </w:r>
    </w:p>
  </w:footnote>
  <w:footnote w:id="3102">
    <w:p w14:paraId="5143EB15" w14:textId="77777777" w:rsidR="00AB3647" w:rsidRDefault="00000000">
      <w:pPr>
        <w:spacing w:after="0" w:before="0"/>
        <w:jc w:val="both"/>
      </w:pPr>
      <w:r>
        <w:rPr>
          <w:sz w:val="20"/>
          <w:szCs w:val="20"/>
          <w:rtl/>
        </w:rPr>
        <w:footnoteRef/>
      </w:r>
      <w:r>
        <w:rPr>
          <w:sz w:val="20"/>
          <w:szCs w:val="20"/>
          <w:rtl/>
        </w:rPr>
        <w:t xml:space="preserve">. פרק 3, נספחים ד </w:t>
      </w:r>
      <w:proofErr w:type="spellStart"/>
      <w:r>
        <w:rPr>
          <w:sz w:val="20"/>
          <w:szCs w:val="20"/>
          <w:rtl/>
        </w:rPr>
        <w:t>ויז</w:t>
      </w:r>
      <w:proofErr w:type="spellEnd"/>
      <w:r>
        <w:rPr>
          <w:sz w:val="20"/>
          <w:szCs w:val="20"/>
          <w:rtl/>
        </w:rPr>
        <w:t>.</w:t>
      </w:r>
    </w:p>
  </w:footnote>
  <w:footnote w:id="3103">
    <w:p w14:paraId="359E5507"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איצל׳ה</w:t>
      </w:r>
      <w:proofErr w:type="spellEnd"/>
      <w:r>
        <w:rPr>
          <w:sz w:val="20"/>
          <w:szCs w:val="20"/>
          <w:rtl/>
        </w:rPr>
        <w:t xml:space="preserve"> נדד לשם לאחר שיהודי ליטא הוגלו במלחמת העולם הראשונה. ראה כרך 2.</w:t>
      </w:r>
    </w:p>
  </w:footnote>
  <w:footnote w:id="3104">
    <w:p w14:paraId="1630C390" w14:textId="77777777" w:rsidR="00AB3647" w:rsidRDefault="00000000">
      <w:pPr>
        <w:spacing w:after="0" w:before="0"/>
        <w:jc w:val="both"/>
      </w:pPr>
      <w:r>
        <w:rPr>
          <w:sz w:val="20"/>
          <w:szCs w:val="20"/>
          <w:rtl/>
        </w:rPr>
        <w:footnoteRef/>
      </w:r>
      <w:r>
        <w:rPr>
          <w:sz w:val="20"/>
          <w:szCs w:val="20"/>
          <w:rtl/>
        </w:rPr>
        <w:t>. המקור הנזכר בפרולוג, הערה 4 – עמ׳ 377, חלק ז, מס׳ 377.</w:t>
      </w:r>
    </w:p>
  </w:footnote>
  <w:footnote w:id="3105">
    <w:p w14:paraId="67CB32DE" w14:textId="77777777" w:rsidR="00AB3647" w:rsidRDefault="00000000">
      <w:pPr>
        <w:spacing w:after="0" w:before="0"/>
        <w:jc w:val="both"/>
      </w:pPr>
      <w:r>
        <w:rPr>
          <w:sz w:val="20"/>
          <w:szCs w:val="20"/>
          <w:rtl/>
        </w:rPr>
        <w:footnoteRef/>
      </w:r>
      <w:r>
        <w:rPr>
          <w:sz w:val="20"/>
          <w:szCs w:val="20"/>
          <w:rtl/>
        </w:rPr>
        <w:t xml:space="preserve">. המקור הנזכר בפרק 3, הפסקה השלישית של נספח </w:t>
      </w:r>
      <w:proofErr w:type="spellStart"/>
      <w:r>
        <w:rPr>
          <w:sz w:val="20"/>
          <w:szCs w:val="20"/>
          <w:rtl/>
        </w:rPr>
        <w:t>כו</w:t>
      </w:r>
      <w:proofErr w:type="spellEnd"/>
      <w:r>
        <w:rPr>
          <w:sz w:val="20"/>
          <w:szCs w:val="20"/>
          <w:rtl/>
        </w:rPr>
        <w:t xml:space="preserve"> – אות </w:t>
      </w:r>
      <w:proofErr w:type="spellStart"/>
      <w:r>
        <w:rPr>
          <w:sz w:val="20"/>
          <w:szCs w:val="20"/>
          <w:rtl/>
        </w:rPr>
        <w:t>תיד</w:t>
      </w:r>
      <w:proofErr w:type="spellEnd"/>
      <w:r>
        <w:rPr>
          <w:sz w:val="20"/>
          <w:szCs w:val="20"/>
          <w:rtl/>
        </w:rPr>
        <w:t>; עיין שם ובהערת השוליים על אתר.</w:t>
      </w:r>
    </w:p>
  </w:footnote>
  <w:footnote w:id="3106">
    <w:p w14:paraId="796B5A64" w14:textId="77777777" w:rsidR="00AB3647" w:rsidRDefault="00000000">
      <w:pPr>
        <w:spacing w:after="0" w:before="0"/>
        <w:jc w:val="both"/>
      </w:pPr>
      <w:r>
        <w:rPr>
          <w:sz w:val="20"/>
          <w:szCs w:val="20"/>
          <w:rtl/>
        </w:rPr>
        <w:footnoteRef/>
      </w:r>
      <w:r>
        <w:rPr>
          <w:sz w:val="20"/>
          <w:szCs w:val="20"/>
          <w:rtl/>
        </w:rPr>
        <w:t xml:space="preserve">. אחי ר׳ אברהם אמר לי ב־8 במרץ 1988 שראה לאחרונה בספר, ששמו נשמט מזיכרונו, שההסתכלות בציפורניים מביאה לענווה, והדבר נקשר באופן כלשהו </w:t>
      </w:r>
      <w:proofErr w:type="spellStart"/>
      <w:r>
        <w:rPr>
          <w:sz w:val="20"/>
          <w:szCs w:val="20"/>
          <w:rtl/>
        </w:rPr>
        <w:t>ל“מאין</w:t>
      </w:r>
      <w:proofErr w:type="spellEnd"/>
      <w:r>
        <w:rPr>
          <w:sz w:val="20"/>
          <w:szCs w:val="20"/>
          <w:rtl/>
        </w:rPr>
        <w:t xml:space="preserve"> באת” (אבות פ״ג מ״א). אבל מסתבר שהוא קשור דווקא </w:t>
      </w:r>
      <w:proofErr w:type="spellStart"/>
      <w:r>
        <w:rPr>
          <w:sz w:val="20"/>
          <w:szCs w:val="20"/>
          <w:rtl/>
        </w:rPr>
        <w:t>ל“אתה</w:t>
      </w:r>
      <w:proofErr w:type="spellEnd"/>
      <w:r>
        <w:rPr>
          <w:sz w:val="20"/>
          <w:szCs w:val="20"/>
          <w:rtl/>
        </w:rPr>
        <w:t xml:space="preserve"> הולך... למקום עפר” (שם), שהרי כמו שני הרגשות האחרים שנזכרו – כובד ראש והשפלה – גם הוא מזכיר את החטא הראשון ואת עונשו: “ואל עפר תשוב” (בראשית ג, </w:t>
      </w:r>
      <w:proofErr w:type="spellStart"/>
      <w:r>
        <w:rPr>
          <w:sz w:val="20"/>
          <w:szCs w:val="20"/>
          <w:rtl/>
        </w:rPr>
        <w:t>יט</w:t>
      </w:r>
      <w:proofErr w:type="spellEnd"/>
      <w:r>
        <w:rPr>
          <w:sz w:val="20"/>
          <w:szCs w:val="20"/>
          <w:rtl/>
        </w:rPr>
        <w:t>).</w:t>
      </w:r>
    </w:p>
  </w:footnote>
  <w:footnote w:id="3107">
    <w:p w14:paraId="2677B62D" w14:textId="77777777" w:rsidR="00AB3647" w:rsidRDefault="00000000">
      <w:pPr>
        <w:spacing w:after="0" w:before="0"/>
        <w:jc w:val="both"/>
      </w:pPr>
      <w:r>
        <w:rPr>
          <w:sz w:val="20"/>
          <w:szCs w:val="20"/>
          <w:rtl/>
        </w:rPr>
        <w:footnoteRef/>
      </w:r>
      <w:r>
        <w:rPr>
          <w:sz w:val="20"/>
          <w:szCs w:val="20"/>
          <w:rtl/>
        </w:rPr>
        <w:t xml:space="preserve">. “בעקבות היראה” (הערה 9 לעיל), עמ׳ </w:t>
      </w:r>
      <w:proofErr w:type="spellStart"/>
      <w:r>
        <w:rPr>
          <w:sz w:val="20"/>
          <w:szCs w:val="20"/>
          <w:rtl/>
        </w:rPr>
        <w:t>קס</w:t>
      </w:r>
      <w:proofErr w:type="spellEnd"/>
      <w:r>
        <w:rPr>
          <w:sz w:val="20"/>
          <w:szCs w:val="20"/>
          <w:rtl/>
        </w:rPr>
        <w:t>.</w:t>
      </w:r>
    </w:p>
  </w:footnote>
  <w:footnote w:id="3108">
    <w:p w14:paraId="59949BF6" w14:textId="77777777" w:rsidR="00AB3647" w:rsidRDefault="00000000">
      <w:pPr>
        <w:spacing w:after="0" w:before="0"/>
        <w:jc w:val="both"/>
      </w:pPr>
      <w:r>
        <w:rPr>
          <w:sz w:val="20"/>
          <w:szCs w:val="20"/>
          <w:rtl/>
        </w:rPr>
        <w:footnoteRef/>
      </w:r>
      <w:r>
        <w:rPr>
          <w:sz w:val="20"/>
          <w:szCs w:val="20"/>
          <w:rtl/>
        </w:rPr>
        <w:t xml:space="preserve">. הערה 1 לעיל – עמ׳ מ, במאמר מאת דן בן יעקב, ועמ׳ נד, במאמר מאת אלעזר ראובן </w:t>
      </w:r>
      <w:proofErr w:type="spellStart"/>
      <w:r>
        <w:rPr>
          <w:sz w:val="20"/>
          <w:szCs w:val="20"/>
          <w:rtl/>
        </w:rPr>
        <w:t>מושקין</w:t>
      </w:r>
      <w:proofErr w:type="spellEnd"/>
      <w:r>
        <w:rPr>
          <w:sz w:val="20"/>
          <w:szCs w:val="20"/>
          <w:rtl/>
        </w:rPr>
        <w:t>.</w:t>
      </w:r>
    </w:p>
  </w:footnote>
  <w:footnote w:id="3109">
    <w:p w14:paraId="35300E6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יב</w:t>
      </w:r>
      <w:proofErr w:type="spellEnd"/>
      <w:r>
        <w:rPr>
          <w:sz w:val="20"/>
          <w:szCs w:val="20"/>
          <w:rtl/>
        </w:rPr>
        <w:t>.</w:t>
      </w:r>
    </w:p>
  </w:footnote>
  <w:footnote w:id="3110">
    <w:p w14:paraId="0FA442D5"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111">
    <w:p w14:paraId="2BA4A392" w14:textId="77777777" w:rsidR="00AB3647" w:rsidRDefault="00000000">
      <w:pPr>
        <w:spacing w:after="0" w:before="0"/>
        <w:jc w:val="both"/>
      </w:pPr>
      <w:r>
        <w:rPr>
          <w:sz w:val="20"/>
          <w:szCs w:val="20"/>
          <w:rtl/>
        </w:rPr>
        <w:footnoteRef/>
      </w:r>
      <w:r>
        <w:rPr>
          <w:sz w:val="20"/>
          <w:szCs w:val="20"/>
          <w:rtl/>
        </w:rPr>
        <w:t>. השווה פרק 3, הערה 68.</w:t>
      </w:r>
    </w:p>
  </w:footnote>
  <w:footnote w:id="3112">
    <w:p w14:paraId="6623E8BC" w14:textId="77777777" w:rsidR="00AB3647" w:rsidRDefault="00000000">
      <w:pPr>
        <w:spacing w:after="0" w:before="0"/>
        <w:jc w:val="both"/>
      </w:pPr>
      <w:r>
        <w:rPr>
          <w:sz w:val="20"/>
          <w:szCs w:val="20"/>
          <w:rtl/>
        </w:rPr>
        <w:footnoteRef/>
      </w:r>
      <w:r>
        <w:rPr>
          <w:sz w:val="20"/>
          <w:szCs w:val="20"/>
          <w:rtl/>
        </w:rPr>
        <w:t>. הערה 5 לעיל.</w:t>
      </w:r>
    </w:p>
  </w:footnote>
  <w:footnote w:id="3113">
    <w:p w14:paraId="0AA46631" w14:textId="77777777" w:rsidR="00AB3647" w:rsidRDefault="00000000">
      <w:pPr>
        <w:spacing w:after="0" w:before="0"/>
        <w:jc w:val="both"/>
      </w:pPr>
      <w:r>
        <w:rPr>
          <w:sz w:val="20"/>
          <w:szCs w:val="20"/>
          <w:rtl/>
        </w:rPr>
        <w:footnoteRef/>
      </w:r>
      <w:r>
        <w:rPr>
          <w:sz w:val="20"/>
          <w:szCs w:val="20"/>
          <w:rtl/>
        </w:rPr>
        <w:t>. עמ׳ 291.</w:t>
      </w:r>
    </w:p>
  </w:footnote>
  <w:footnote w:id="3114">
    <w:p w14:paraId="5FF11CDF" w14:textId="77777777" w:rsidR="00AB3647" w:rsidRDefault="00000000">
      <w:pPr>
        <w:spacing w:after="0" w:before="0"/>
        <w:jc w:val="both"/>
      </w:pPr>
      <w:r>
        <w:rPr>
          <w:sz w:val="20"/>
          <w:szCs w:val="20"/>
          <w:rtl/>
        </w:rPr>
        <w:footnoteRef/>
      </w:r>
      <w:r>
        <w:rPr>
          <w:sz w:val="20"/>
          <w:szCs w:val="20"/>
          <w:rtl/>
        </w:rPr>
        <w:t>. הפסקה הראשונה בנספח א בפרק זה – עמ׳ 19, ערב ז׳ באב תשמ״א.</w:t>
      </w:r>
    </w:p>
  </w:footnote>
  <w:footnote w:id="3115">
    <w:p w14:paraId="3FED8442" w14:textId="77777777" w:rsidR="00AB3647" w:rsidRDefault="00000000">
      <w:pPr>
        <w:spacing w:after="0" w:before="0"/>
        <w:jc w:val="both"/>
      </w:pPr>
      <w:r>
        <w:rPr>
          <w:sz w:val="20"/>
          <w:szCs w:val="20"/>
          <w:rtl/>
        </w:rPr>
        <w:footnoteRef/>
      </w:r>
      <w:r>
        <w:rPr>
          <w:sz w:val="20"/>
          <w:szCs w:val="20"/>
          <w:rtl/>
        </w:rPr>
        <w:t>. השווה גם פרק 3, הערה 100, ופרק 5, הפסקה השנייה של נספח ז.</w:t>
      </w:r>
    </w:p>
  </w:footnote>
  <w:footnote w:id="3116">
    <w:p w14:paraId="15F7AB60" w14:textId="77777777" w:rsidR="00AB3647" w:rsidRDefault="00000000">
      <w:pPr>
        <w:spacing w:after="0" w:before="0"/>
        <w:jc w:val="both"/>
      </w:pPr>
      <w:r>
        <w:rPr>
          <w:sz w:val="20"/>
          <w:szCs w:val="20"/>
          <w:rtl/>
        </w:rPr>
        <w:footnoteRef/>
      </w:r>
      <w:r>
        <w:rPr>
          <w:sz w:val="20"/>
          <w:szCs w:val="20"/>
          <w:rtl/>
        </w:rPr>
        <w:t>. ירושלים, תשנ״ז; להלן: “פרקי חיים [ויינברג]” – עמ׳ 6.</w:t>
      </w:r>
    </w:p>
  </w:footnote>
  <w:footnote w:id="3117">
    <w:p w14:paraId="59763BB8" w14:textId="77777777" w:rsidR="00AB3647" w:rsidRDefault="00000000">
      <w:pPr>
        <w:spacing w:after="0" w:before="0"/>
        <w:jc w:val="both"/>
      </w:pPr>
      <w:r>
        <w:rPr>
          <w:sz w:val="20"/>
          <w:szCs w:val="20"/>
          <w:rtl/>
        </w:rPr>
        <w:footnoteRef/>
      </w:r>
      <w:r>
        <w:rPr>
          <w:sz w:val="20"/>
          <w:szCs w:val="20"/>
          <w:rtl/>
        </w:rPr>
        <w:t>. ריאיון מיום 14 בספטמבר 1991.</w:t>
      </w:r>
    </w:p>
  </w:footnote>
  <w:footnote w:id="3118">
    <w:p w14:paraId="27DDE460" w14:textId="77777777" w:rsidR="00AB3647" w:rsidRDefault="00000000">
      <w:pPr>
        <w:spacing w:after="0" w:before="0"/>
        <w:jc w:val="both"/>
      </w:pPr>
      <w:r>
        <w:rPr>
          <w:sz w:val="20"/>
          <w:szCs w:val="20"/>
          <w:rtl/>
        </w:rPr>
        <w:footnoteRef/>
      </w:r>
      <w:r>
        <w:rPr>
          <w:sz w:val="20"/>
          <w:szCs w:val="20"/>
          <w:rtl/>
        </w:rPr>
        <w:t>. המקור הנזכר בפרק 3, נספח ב – עמ׳ שכו.</w:t>
      </w:r>
    </w:p>
  </w:footnote>
  <w:footnote w:id="3119">
    <w:p w14:paraId="068F0B40" w14:textId="77777777" w:rsidR="00AB3647" w:rsidRDefault="00000000">
      <w:pPr>
        <w:spacing w:after="0" w:before="0"/>
        <w:jc w:val="both"/>
      </w:pPr>
      <w:r>
        <w:rPr>
          <w:sz w:val="20"/>
          <w:szCs w:val="20"/>
          <w:rtl/>
        </w:rPr>
        <w:footnoteRef/>
      </w:r>
      <w:r>
        <w:rPr>
          <w:sz w:val="20"/>
          <w:szCs w:val="20"/>
          <w:rtl/>
        </w:rPr>
        <w:t xml:space="preserve">. השווה עמ׳ </w:t>
      </w:r>
      <w:r>
        <w:rPr>
          <w:sz w:val="20"/>
          <w:szCs w:val="20"/>
          <w:rtl/>
        </w:rPr>
        <w:fldChar w:fldCharType="begin" w:dirty="true"/>
      </w:r>
      <w:r>
        <w:rPr>
          <w:sz w:val="20"/>
          <w:szCs w:val="20"/>
          <w:rtl/>
        </w:rPr>
        <w:instrText xml:space="preserve"> PAGEREF pr_b_1158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0">
    <w:p w14:paraId="38AF3798" w14:textId="77777777" w:rsidR="00AB3647" w:rsidRDefault="00000000">
      <w:pPr>
        <w:spacing w:after="0" w:before="0"/>
        <w:jc w:val="both"/>
      </w:pPr>
      <w:r>
        <w:rPr>
          <w:sz w:val="20"/>
          <w:szCs w:val="20"/>
          <w:rtl/>
        </w:rPr>
        <w:footnoteRef/>
      </w:r>
      <w:r>
        <w:rPr>
          <w:sz w:val="20"/>
          <w:szCs w:val="20"/>
          <w:rtl/>
        </w:rPr>
        <w:t xml:space="preserve">. המקור הנזכר בפרק 1, הפסקה השלישית של נספח ד – כרך ב, עמ׳ </w:t>
      </w:r>
      <w:proofErr w:type="spellStart"/>
      <w:r>
        <w:rPr>
          <w:sz w:val="20"/>
          <w:szCs w:val="20"/>
          <w:rtl/>
        </w:rPr>
        <w:t>תשצא</w:t>
      </w:r>
      <w:proofErr w:type="spellEnd"/>
      <w:r>
        <w:rPr>
          <w:sz w:val="20"/>
          <w:szCs w:val="20"/>
          <w:rtl/>
        </w:rPr>
        <w:t xml:space="preserve">, אות </w:t>
      </w:r>
      <w:proofErr w:type="spellStart"/>
      <w:r>
        <w:rPr>
          <w:sz w:val="20"/>
          <w:szCs w:val="20"/>
          <w:rtl/>
        </w:rPr>
        <w:t>לז</w:t>
      </w:r>
      <w:proofErr w:type="spellEnd"/>
      <w:r>
        <w:rPr>
          <w:sz w:val="20"/>
          <w:szCs w:val="20"/>
          <w:rtl/>
        </w:rPr>
        <w:t>.</w:t>
      </w:r>
    </w:p>
  </w:footnote>
  <w:footnote w:id="3121">
    <w:p w14:paraId="34F4958A" w14:textId="77777777" w:rsidR="00AB3647" w:rsidRDefault="00000000">
      <w:pPr>
        <w:spacing w:after="0" w:before="0"/>
        <w:jc w:val="both"/>
      </w:pPr>
      <w:r>
        <w:rPr>
          <w:sz w:val="20"/>
          <w:szCs w:val="20"/>
          <w:rtl/>
        </w:rPr>
        <w:footnoteRef/>
      </w:r>
      <w:r>
        <w:rPr>
          <w:sz w:val="20"/>
          <w:szCs w:val="20"/>
          <w:rtl/>
        </w:rPr>
        <w:t>. השווה כרך 2.</w:t>
      </w:r>
    </w:p>
  </w:footnote>
  <w:footnote w:id="3122">
    <w:p w14:paraId="2619A860" w14:textId="77777777" w:rsidR="00AB3647" w:rsidRDefault="00000000">
      <w:pPr>
        <w:spacing w:after="0" w:before="0"/>
        <w:jc w:val="both"/>
      </w:pPr>
      <w:r>
        <w:rPr>
          <w:sz w:val="20"/>
          <w:szCs w:val="20"/>
          <w:rtl/>
        </w:rPr>
        <w:footnoteRef/>
      </w:r>
      <w:r>
        <w:rPr>
          <w:sz w:val="20"/>
          <w:szCs w:val="20"/>
          <w:rtl/>
        </w:rPr>
        <w:t xml:space="preserve">. מקור מהימן סיפר שר׳ אהרן כתב לארוסתו מכתב שאביה, ר׳ </w:t>
      </w:r>
      <w:proofErr w:type="spellStart"/>
      <w:r>
        <w:rPr>
          <w:sz w:val="20"/>
          <w:szCs w:val="20"/>
          <w:rtl/>
        </w:rPr>
        <w:t>איסר־זלמן</w:t>
      </w:r>
      <w:proofErr w:type="spellEnd"/>
      <w:r>
        <w:rPr>
          <w:sz w:val="20"/>
          <w:szCs w:val="20"/>
          <w:rtl/>
        </w:rPr>
        <w:t xml:space="preserve"> מלצר, לא ראה בעין יפה. כשהראו אותו לסבא, השיב: “לא אמרתי לכם שהוא צדיק; אמרתי שיש לו תכונות אחרות. אבל הוא עוד יהיה כל כך פרום שכולם יסבלו ממנו.” על </w:t>
      </w:r>
      <w:proofErr w:type="spellStart"/>
      <w:r>
        <w:rPr>
          <w:sz w:val="20"/>
          <w:szCs w:val="20"/>
          <w:rtl/>
        </w:rPr>
        <w:t>חזון</w:t>
      </w:r>
      <w:proofErr w:type="spellEnd"/>
      <w:r>
        <w:rPr>
          <w:sz w:val="20"/>
          <w:szCs w:val="20"/>
          <w:rtl/>
        </w:rPr>
        <w:t xml:space="preserve"> הסבא ראה פרק 3, סוף הפסקה השנייה של נספח כ; ועל קנאותו החרדית המאוחרת של ר׳ אהרן – פרק 2, הפסקה השנייה בהערה 85, והערת שוליים </w:t>
      </w:r>
      <w:r>
        <w:rPr>
          <w:sz w:val="20"/>
          <w:szCs w:val="20"/>
          <w:rtl/>
        </w:rPr>
        <w:fldChar w:fldCharType="begin" w:dirty="true"/>
      </w:r>
      <w:r>
        <w:rPr>
          <w:sz w:val="20"/>
          <w:szCs w:val="20"/>
          <w:rtl/>
        </w:rPr>
        <w:instrText xml:space="preserve"> NOTEREF pr_f_221 \h </w:instrText>
      </w:r>
      <w:r>
        <w:rPr>
          <w:sz w:val="20"/>
          <w:szCs w:val="20"/>
          <w:rtl/>
        </w:rPr>
      </w:r>
      <w:r>
        <w:rPr>
          <w:sz w:val="20"/>
          <w:szCs w:val="20"/>
          <w:rtl/>
        </w:rPr>
        <w:fldChar w:fldCharType="separate"/>
      </w:r>
      <w:r w:rsidR="007923E9">
        <w:rPr>
          <w:sz w:val="20"/>
          <w:szCs w:val="20"/>
          <w:rtl/>
        </w:rPr>
        <w:t>164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pr_f_221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23">
    <w:p w14:paraId="415D2B2A" w14:textId="77777777" w:rsidR="00AB3647" w:rsidRDefault="00000000">
      <w:pPr>
        <w:spacing w:after="0" w:before="0"/>
        <w:jc w:val="both"/>
      </w:pPr>
      <w:r>
        <w:rPr>
          <w:sz w:val="20"/>
          <w:szCs w:val="20"/>
          <w:rtl/>
        </w:rPr>
        <w:footnoteRef/>
      </w:r>
      <w:r>
        <w:rPr>
          <w:sz w:val="20"/>
          <w:szCs w:val="20"/>
          <w:rtl/>
        </w:rPr>
        <w:t>. מוסף ערב שבת, א׳ באדר תשמ״ח, עמ׳ 6.</w:t>
      </w:r>
    </w:p>
  </w:footnote>
  <w:footnote w:id="3124">
    <w:p w14:paraId="2E4DBE41" w14:textId="77777777" w:rsidR="00AB3647" w:rsidRDefault="00000000">
      <w:pPr>
        <w:spacing w:after="0" w:before="0"/>
        <w:jc w:val="both"/>
      </w:pPr>
      <w:r>
        <w:rPr>
          <w:sz w:val="20"/>
          <w:szCs w:val="20"/>
          <w:rtl/>
        </w:rPr>
        <w:footnoteRef/>
      </w:r>
      <w:r>
        <w:rPr>
          <w:sz w:val="20"/>
          <w:szCs w:val="20"/>
          <w:rtl/>
        </w:rPr>
        <w:t>. השווה פרק 3, הפסקאות השלישית והרביעית של נספח כ.</w:t>
      </w:r>
    </w:p>
  </w:footnote>
  <w:footnote w:id="3125">
    <w:p w14:paraId="77888ED7" w14:textId="77777777" w:rsidR="00AB3647" w:rsidRDefault="00000000">
      <w:pPr>
        <w:spacing w:after="0" w:before="0"/>
        <w:jc w:val="both"/>
      </w:pPr>
      <w:r>
        <w:rPr>
          <w:sz w:val="20"/>
          <w:szCs w:val="20"/>
          <w:rtl/>
        </w:rPr>
        <w:footnoteRef/>
      </w:r>
      <w:r>
        <w:rPr>
          <w:sz w:val="20"/>
          <w:szCs w:val="20"/>
          <w:rtl/>
        </w:rPr>
        <w:t xml:space="preserve">. ראה ראש השנה </w:t>
      </w:r>
      <w:proofErr w:type="spellStart"/>
      <w:r>
        <w:rPr>
          <w:sz w:val="20"/>
          <w:szCs w:val="20"/>
          <w:rtl/>
        </w:rPr>
        <w:t>טז</w:t>
      </w:r>
      <w:proofErr w:type="spellEnd"/>
      <w:r>
        <w:rPr>
          <w:sz w:val="20"/>
          <w:szCs w:val="20"/>
          <w:rtl/>
        </w:rPr>
        <w:t xml:space="preserve"> ע״ב: “ואמר רבי יצחק ארבעה דברים </w:t>
      </w:r>
      <w:proofErr w:type="spellStart"/>
      <w:r>
        <w:rPr>
          <w:sz w:val="20"/>
          <w:szCs w:val="20"/>
          <w:rtl/>
        </w:rPr>
        <w:t>מקרעין</w:t>
      </w:r>
      <w:proofErr w:type="spellEnd"/>
      <w:r>
        <w:rPr>
          <w:sz w:val="20"/>
          <w:szCs w:val="20"/>
          <w:rtl/>
        </w:rPr>
        <w:t xml:space="preserve"> גזר דינו של אדם” </w:t>
      </w:r>
      <w:proofErr w:type="spellStart"/>
      <w:r>
        <w:rPr>
          <w:sz w:val="20"/>
          <w:szCs w:val="20"/>
          <w:rtl/>
        </w:rPr>
        <w:t>וכו</w:t>
      </w:r>
      <w:proofErr w:type="spellEnd"/>
      <w:r>
        <w:rPr>
          <w:sz w:val="20"/>
          <w:szCs w:val="20"/>
          <w:rtl/>
        </w:rPr>
        <w:t>׳, “שינוי השם”.</w:t>
      </w:r>
    </w:p>
  </w:footnote>
  <w:footnote w:id="3126">
    <w:p w14:paraId="4CDCB608" w14:textId="77777777" w:rsidR="00AB3647" w:rsidRDefault="00000000">
      <w:pPr>
        <w:spacing w:after="0" w:before="0"/>
        <w:jc w:val="both"/>
      </w:pPr>
      <w:r>
        <w:rPr>
          <w:sz w:val="20"/>
          <w:szCs w:val="20"/>
          <w:rtl/>
        </w:rPr>
        <w:footnoteRef/>
      </w:r>
      <w:r>
        <w:rPr>
          <w:sz w:val="20"/>
          <w:szCs w:val="20"/>
          <w:rtl/>
        </w:rPr>
        <w:t xml:space="preserve">. ועיין ברכות ו ע״ב: “מאי כי זה כל האדם” </w:t>
      </w:r>
      <w:proofErr w:type="spellStart"/>
      <w:r>
        <w:rPr>
          <w:sz w:val="20"/>
          <w:szCs w:val="20"/>
          <w:rtl/>
        </w:rPr>
        <w:t>וכו</w:t>
      </w:r>
      <w:proofErr w:type="spellEnd"/>
      <w:r>
        <w:rPr>
          <w:sz w:val="20"/>
          <w:szCs w:val="20"/>
          <w:rtl/>
        </w:rPr>
        <w:t>׳, “כל העולם כולו לא נברא אלא לצוות לזה”.</w:t>
      </w:r>
    </w:p>
  </w:footnote>
  <w:footnote w:id="3127">
    <w:p w14:paraId="4A402859" w14:textId="77777777" w:rsidR="00AB3647" w:rsidRDefault="00000000">
      <w:pPr>
        <w:spacing w:after="0" w:before="0"/>
        <w:jc w:val="both"/>
      </w:pPr>
      <w:r>
        <w:rPr>
          <w:sz w:val="20"/>
          <w:szCs w:val="20"/>
          <w:rtl/>
        </w:rPr>
        <w:footnoteRef/>
      </w:r>
      <w:r>
        <w:rPr>
          <w:sz w:val="20"/>
          <w:szCs w:val="20"/>
          <w:rtl/>
        </w:rPr>
        <w:t>. עמ׳ 35.</w:t>
      </w:r>
    </w:p>
  </w:footnote>
  <w:footnote w:id="3128">
    <w:p w14:paraId="1A58B733" w14:textId="77777777" w:rsidR="00AB3647" w:rsidRDefault="00000000">
      <w:pPr>
        <w:spacing w:after="0" w:before="0"/>
        <w:jc w:val="both"/>
      </w:pPr>
      <w:r>
        <w:rPr>
          <w:sz w:val="20"/>
          <w:szCs w:val="20"/>
          <w:rtl/>
        </w:rPr>
        <w:footnoteRef/>
      </w:r>
      <w:r>
        <w:rPr>
          <w:sz w:val="20"/>
          <w:szCs w:val="20"/>
          <w:rtl/>
        </w:rPr>
        <w:t>. הדברים חלים רק על דרך המוסר המיוחדת של הסבא – השווה פרק 3, הערה 51.</w:t>
      </w:r>
    </w:p>
  </w:footnote>
  <w:footnote w:id="3129">
    <w:p w14:paraId="5878E356" w14:textId="77777777" w:rsidR="00AB3647" w:rsidRDefault="00000000">
      <w:pPr>
        <w:spacing w:after="0" w:before="0"/>
        <w:jc w:val="both"/>
      </w:pPr>
      <w:r>
        <w:rPr>
          <w:sz w:val="20"/>
          <w:szCs w:val="20"/>
          <w:rtl/>
        </w:rPr>
        <w:footnoteRef/>
      </w:r>
      <w:r>
        <w:rPr>
          <w:sz w:val="20"/>
          <w:szCs w:val="20"/>
          <w:rtl/>
        </w:rPr>
        <w:t>. עמ׳ לה, במאמר מאת דב כץ.</w:t>
      </w:r>
    </w:p>
  </w:footnote>
  <w:footnote w:id="3130">
    <w:p w14:paraId="30B642D8" w14:textId="77777777" w:rsidR="00AB3647" w:rsidRDefault="00000000">
      <w:pPr>
        <w:spacing w:after="0" w:before="0"/>
        <w:jc w:val="both"/>
      </w:pPr>
      <w:r>
        <w:rPr>
          <w:sz w:val="20"/>
          <w:szCs w:val="20"/>
          <w:rtl/>
        </w:rPr>
        <w:footnoteRef/>
      </w:r>
      <w:r>
        <w:rPr>
          <w:sz w:val="20"/>
          <w:szCs w:val="20"/>
          <w:rtl/>
        </w:rPr>
        <w:t>. פרק 3, הערה 115.</w:t>
      </w:r>
    </w:p>
  </w:footnote>
  <w:footnote w:id="3131">
    <w:p w14:paraId="5B2F21D2" w14:textId="77777777" w:rsidR="00AB3647" w:rsidRDefault="00000000">
      <w:pPr>
        <w:spacing w:after="0" w:before="0"/>
        <w:jc w:val="both"/>
      </w:pPr>
      <w:r>
        <w:rPr>
          <w:sz w:val="20"/>
          <w:szCs w:val="20"/>
          <w:rtl/>
        </w:rPr>
        <w:footnoteRef/>
      </w:r>
      <w:r>
        <w:rPr>
          <w:sz w:val="20"/>
          <w:szCs w:val="20"/>
          <w:rtl/>
        </w:rPr>
        <w:t>. עמ׳ 307.</w:t>
      </w:r>
    </w:p>
  </w:footnote>
  <w:footnote w:id="3132">
    <w:p w14:paraId="3A316ED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נג</w:t>
      </w:r>
      <w:proofErr w:type="spellEnd"/>
      <w:r>
        <w:rPr>
          <w:sz w:val="20"/>
          <w:szCs w:val="20"/>
          <w:rtl/>
        </w:rPr>
        <w:t xml:space="preserve">, במאמר מאת אלעזר ראובן </w:t>
      </w:r>
      <w:proofErr w:type="spellStart"/>
      <w:r>
        <w:rPr>
          <w:sz w:val="20"/>
          <w:szCs w:val="20"/>
          <w:rtl/>
        </w:rPr>
        <w:t>מושקין</w:t>
      </w:r>
      <w:proofErr w:type="spellEnd"/>
      <w:r>
        <w:rPr>
          <w:sz w:val="20"/>
          <w:szCs w:val="20"/>
          <w:rtl/>
        </w:rPr>
        <w:t>, ועמ׳ מח, במאמר מאת יעקב משה לסין.</w:t>
      </w:r>
    </w:p>
  </w:footnote>
  <w:footnote w:id="3133">
    <w:p w14:paraId="15755FF5" w14:textId="77777777" w:rsidR="00AB3647" w:rsidRDefault="00000000">
      <w:pPr>
        <w:spacing w:after="0" w:before="0"/>
        <w:jc w:val="both"/>
      </w:pPr>
      <w:r>
        <w:rPr>
          <w:sz w:val="20"/>
          <w:szCs w:val="20"/>
          <w:rtl/>
        </w:rPr>
        <w:footnoteRef/>
      </w:r>
      <w:r>
        <w:rPr>
          <w:sz w:val="20"/>
          <w:szCs w:val="20"/>
          <w:rtl/>
        </w:rPr>
        <w:t>. במובאה הראשונה.</w:t>
      </w:r>
    </w:p>
  </w:footnote>
  <w:footnote w:id="3134">
    <w:p w14:paraId="52EF0289" w14:textId="77777777" w:rsidR="00AB3647" w:rsidRDefault="00000000">
      <w:pPr>
        <w:spacing w:after="0" w:before="0"/>
        <w:jc w:val="both"/>
      </w:pPr>
      <w:r>
        <w:rPr>
          <w:sz w:val="20"/>
          <w:szCs w:val="20"/>
          <w:rtl/>
        </w:rPr>
        <w:footnoteRef/>
      </w:r>
      <w:r>
        <w:rPr>
          <w:sz w:val="20"/>
          <w:szCs w:val="20"/>
          <w:rtl/>
        </w:rPr>
        <w:t>. עמ׳ 70.</w:t>
      </w:r>
    </w:p>
  </w:footnote>
  <w:footnote w:id="3135">
    <w:p w14:paraId="36411504" w14:textId="77777777" w:rsidR="00AB3647" w:rsidRDefault="00000000">
      <w:pPr>
        <w:spacing w:after="0" w:before="0"/>
        <w:jc w:val="both"/>
      </w:pPr>
      <w:r>
        <w:rPr>
          <w:sz w:val="20"/>
          <w:szCs w:val="20"/>
          <w:rtl/>
        </w:rPr>
        <w:footnoteRef/>
      </w:r>
      <w:r>
        <w:rPr>
          <w:sz w:val="20"/>
          <w:szCs w:val="20"/>
          <w:rtl/>
        </w:rPr>
        <w:t>. השווה פרק 3, הפסקה השנייה בהערה 115.</w:t>
      </w:r>
    </w:p>
  </w:footnote>
  <w:footnote w:id="3136">
    <w:p w14:paraId="79D00CB9" w14:textId="77777777" w:rsidR="00AB3647" w:rsidRDefault="00000000">
      <w:pPr>
        <w:spacing w:after="0" w:before="0"/>
        <w:jc w:val="both"/>
      </w:pPr>
      <w:r>
        <w:rPr>
          <w:sz w:val="20"/>
          <w:szCs w:val="20"/>
          <w:rtl/>
        </w:rPr>
        <w:footnoteRef/>
      </w:r>
      <w:r>
        <w:rPr>
          <w:sz w:val="20"/>
          <w:szCs w:val="20"/>
          <w:rtl/>
        </w:rPr>
        <w:t>. כץ, “תנועת המוסר”, כרך ג, עמ׳ 50.</w:t>
      </w:r>
    </w:p>
  </w:footnote>
  <w:footnote w:id="3137">
    <w:p w14:paraId="3D84FFFB"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38">
    <w:p w14:paraId="325D13E1" w14:textId="77777777" w:rsidR="00AB3647" w:rsidRDefault="00000000">
      <w:pPr>
        <w:spacing w:after="0" w:before="0"/>
        <w:jc w:val="both"/>
      </w:pPr>
      <w:r>
        <w:rPr>
          <w:sz w:val="20"/>
          <w:szCs w:val="20"/>
          <w:rtl/>
        </w:rPr>
        <w:footnoteRef/>
      </w:r>
      <w:r>
        <w:rPr>
          <w:sz w:val="20"/>
          <w:szCs w:val="20"/>
          <w:rtl/>
        </w:rPr>
        <w:t>. שם.</w:t>
      </w:r>
    </w:p>
  </w:footnote>
  <w:footnote w:id="3139">
    <w:p w14:paraId="37D0747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40">
    <w:p w14:paraId="53107E8D" w14:textId="77777777" w:rsidR="00AB3647" w:rsidRDefault="00000000">
      <w:pPr>
        <w:spacing w:after="0" w:before="0"/>
        <w:jc w:val="both"/>
      </w:pPr>
      <w:r>
        <w:rPr>
          <w:sz w:val="20"/>
          <w:szCs w:val="20"/>
          <w:rtl/>
        </w:rPr>
        <w:footnoteRef/>
      </w:r>
      <w:r>
        <w:rPr>
          <w:sz w:val="20"/>
          <w:szCs w:val="20"/>
          <w:rtl/>
        </w:rPr>
        <w:t>. השווה פרק 3, נספח א.</w:t>
      </w:r>
    </w:p>
  </w:footnote>
  <w:footnote w:id="3141">
    <w:p w14:paraId="3AD3BD17" w14:textId="77777777" w:rsidR="00AB3647" w:rsidRDefault="00000000">
      <w:pPr>
        <w:spacing w:after="0" w:before="0"/>
        <w:jc w:val="both"/>
      </w:pPr>
      <w:r>
        <w:rPr>
          <w:sz w:val="20"/>
          <w:szCs w:val="20"/>
          <w:rtl/>
        </w:rPr>
        <w:footnoteRef/>
      </w:r>
      <w:r>
        <w:rPr>
          <w:sz w:val="20"/>
          <w:szCs w:val="20"/>
          <w:rtl/>
        </w:rPr>
        <w:t>. עמ׳ 215 ו־218.</w:t>
      </w:r>
    </w:p>
  </w:footnote>
  <w:footnote w:id="3142">
    <w:p w14:paraId="6809FB56" w14:textId="77777777" w:rsidR="00AB3647" w:rsidRDefault="00000000">
      <w:pPr>
        <w:spacing w:after="0" w:before="0"/>
        <w:jc w:val="both"/>
      </w:pPr>
      <w:r>
        <w:rPr>
          <w:sz w:val="20"/>
          <w:szCs w:val="20"/>
          <w:rtl/>
        </w:rPr>
        <w:footnoteRef/>
      </w:r>
      <w:r>
        <w:rPr>
          <w:sz w:val="20"/>
          <w:szCs w:val="20"/>
          <w:rtl/>
        </w:rPr>
        <w:t>. ראיונות מיום 19 בינואר 1987 ומיום 13 בנובמבר 1991.</w:t>
      </w:r>
    </w:p>
  </w:footnote>
  <w:footnote w:id="3143">
    <w:p w14:paraId="61FC063B" w14:textId="77777777" w:rsidR="00AB3647" w:rsidRDefault="00000000">
      <w:pPr>
        <w:spacing w:after="0" w:before="0"/>
        <w:jc w:val="both"/>
      </w:pPr>
      <w:r>
        <w:rPr>
          <w:sz w:val="20"/>
          <w:szCs w:val="20"/>
          <w:rtl/>
        </w:rPr>
        <w:footnoteRef/>
      </w:r>
      <w:r>
        <w:rPr>
          <w:sz w:val="20"/>
          <w:szCs w:val="20"/>
          <w:rtl/>
        </w:rPr>
        <w:t>. ריאיון מיום 24 במאי 1987.</w:t>
      </w:r>
    </w:p>
  </w:footnote>
  <w:footnote w:id="3144">
    <w:p w14:paraId="1C87E62B" w14:textId="77777777" w:rsidR="00AB3647" w:rsidRDefault="00000000">
      <w:pPr>
        <w:spacing w:after="0" w:before="0"/>
        <w:jc w:val="both"/>
      </w:pPr>
      <w:r>
        <w:rPr>
          <w:sz w:val="20"/>
          <w:szCs w:val="20"/>
          <w:rtl/>
        </w:rPr>
        <w:footnoteRef/>
      </w:r>
      <w:r>
        <w:rPr>
          <w:sz w:val="20"/>
          <w:szCs w:val="20"/>
          <w:rtl/>
        </w:rPr>
        <w:t>. ריאיון מיום 2 באוגוסט 1991.</w:t>
      </w:r>
    </w:p>
  </w:footnote>
  <w:footnote w:id="3145">
    <w:p w14:paraId="2495C635" w14:textId="77777777" w:rsidR="00AB3647" w:rsidRDefault="00000000">
      <w:pPr>
        <w:spacing w:after="0" w:before="0"/>
        <w:jc w:val="both"/>
      </w:pPr>
      <w:r>
        <w:rPr>
          <w:sz w:val="20"/>
          <w:szCs w:val="20"/>
          <w:rtl/>
        </w:rPr>
        <w:footnoteRef/>
      </w:r>
      <w:r>
        <w:rPr>
          <w:sz w:val="20"/>
          <w:szCs w:val="20"/>
          <w:rtl/>
        </w:rPr>
        <w:t xml:space="preserve">. היא גדלה </w:t>
      </w:r>
      <w:proofErr w:type="spellStart"/>
      <w:r>
        <w:rPr>
          <w:sz w:val="20"/>
          <w:szCs w:val="20"/>
          <w:rtl/>
        </w:rPr>
        <w:t>במיר</w:t>
      </w:r>
      <w:proofErr w:type="spellEnd"/>
      <w:r>
        <w:rPr>
          <w:sz w:val="20"/>
          <w:szCs w:val="20"/>
          <w:rtl/>
        </w:rPr>
        <w:t xml:space="preserve">, אך זכרה את הדירה מביקורה </w:t>
      </w:r>
      <w:proofErr w:type="spellStart"/>
      <w:r>
        <w:rPr>
          <w:sz w:val="20"/>
          <w:szCs w:val="20"/>
          <w:rtl/>
        </w:rPr>
        <w:t>בסלבודקה</w:t>
      </w:r>
      <w:proofErr w:type="spellEnd"/>
      <w:r>
        <w:rPr>
          <w:sz w:val="20"/>
          <w:szCs w:val="20"/>
          <w:rtl/>
        </w:rPr>
        <w:t xml:space="preserve"> במשך שבועות אחדים כשהייתה בת שבע.</w:t>
      </w:r>
    </w:p>
  </w:footnote>
  <w:footnote w:id="3146">
    <w:p w14:paraId="20E196C7" w14:textId="77777777" w:rsidR="00AB3647" w:rsidRDefault="00000000">
      <w:pPr>
        <w:spacing w:after="0" w:before="0"/>
        <w:jc w:val="both"/>
      </w:pPr>
      <w:r>
        <w:rPr>
          <w:sz w:val="20"/>
          <w:szCs w:val="20"/>
          <w:rtl/>
        </w:rPr>
        <w:footnoteRef/>
      </w:r>
      <w:r>
        <w:rPr>
          <w:sz w:val="20"/>
          <w:szCs w:val="20"/>
          <w:rtl/>
        </w:rPr>
        <w:t>. ריאיון מיום 21 באוגוסט 1991.</w:t>
      </w:r>
    </w:p>
  </w:footnote>
  <w:footnote w:id="3147">
    <w:p w14:paraId="09621AA0" w14:textId="77777777" w:rsidR="00AB3647" w:rsidRDefault="00000000">
      <w:pPr>
        <w:spacing w:after="0" w:before="0"/>
        <w:jc w:val="both"/>
      </w:pPr>
      <w:r>
        <w:rPr>
          <w:sz w:val="20"/>
          <w:szCs w:val="20"/>
          <w:rtl/>
        </w:rPr>
        <w:footnoteRef/>
      </w:r>
      <w:r>
        <w:rPr>
          <w:sz w:val="20"/>
          <w:szCs w:val="20"/>
          <w:rtl/>
        </w:rPr>
        <w:t>. השווה גם פרק 3, הפסקה השנייה בהערה 95.</w:t>
      </w:r>
    </w:p>
  </w:footnote>
  <w:footnote w:id="3148">
    <w:p w14:paraId="13A426CC" w14:textId="77777777" w:rsidR="00AB3647" w:rsidRDefault="00000000">
      <w:pPr>
        <w:spacing w:after="0" w:before="0"/>
        <w:jc w:val="both"/>
      </w:pPr>
      <w:r>
        <w:rPr>
          <w:sz w:val="20"/>
          <w:szCs w:val="20"/>
          <w:rtl/>
        </w:rPr>
        <w:footnoteRef/>
      </w:r>
      <w:r>
        <w:rPr>
          <w:sz w:val="20"/>
          <w:szCs w:val="20"/>
          <w:rtl/>
        </w:rPr>
        <w:t>. ראה הערה 30 להלן.</w:t>
      </w:r>
    </w:p>
  </w:footnote>
  <w:footnote w:id="3149">
    <w:p w14:paraId="1B711C34" w14:textId="77777777" w:rsidR="00AB3647" w:rsidRDefault="00000000">
      <w:pPr>
        <w:spacing w:after="0" w:before="0"/>
        <w:jc w:val="both"/>
      </w:pPr>
      <w:r>
        <w:rPr>
          <w:sz w:val="20"/>
          <w:szCs w:val="20"/>
          <w:rtl/>
        </w:rPr>
        <w:footnoteRef/>
      </w:r>
      <w:r>
        <w:rPr>
          <w:sz w:val="20"/>
          <w:szCs w:val="20"/>
          <w:rtl/>
        </w:rPr>
        <w:t>. ראה ההערה הקודמת.</w:t>
      </w:r>
    </w:p>
  </w:footnote>
  <w:footnote w:id="3150">
    <w:p w14:paraId="5D53C44A" w14:textId="77777777" w:rsidR="00AB3647" w:rsidRDefault="00000000">
      <w:pPr>
        <w:spacing w:after="0" w:before="0"/>
        <w:jc w:val="both"/>
      </w:pPr>
      <w:r>
        <w:rPr>
          <w:sz w:val="20"/>
          <w:szCs w:val="20"/>
          <w:rtl/>
        </w:rPr>
        <w:footnoteRef/>
      </w:r>
      <w:r>
        <w:rPr>
          <w:sz w:val="20"/>
          <w:szCs w:val="20"/>
          <w:rtl/>
        </w:rPr>
        <w:t>. ריאיון מיום 13 בנובמבר 1991.</w:t>
      </w:r>
    </w:p>
  </w:footnote>
  <w:footnote w:id="3151">
    <w:p w14:paraId="719E3D12"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יט</w:t>
      </w:r>
      <w:proofErr w:type="spellEnd"/>
      <w:r>
        <w:rPr>
          <w:sz w:val="20"/>
          <w:szCs w:val="20"/>
          <w:rtl/>
        </w:rPr>
        <w:t>.</w:t>
      </w:r>
    </w:p>
  </w:footnote>
  <w:footnote w:id="3152">
    <w:p w14:paraId="5E99D4D9"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3">
    <w:p w14:paraId="4E8765AB" w14:textId="77777777" w:rsidR="00AB3647" w:rsidRDefault="00000000">
      <w:pPr>
        <w:spacing w:after="0" w:before="0"/>
        <w:jc w:val="both"/>
      </w:pPr>
      <w:r>
        <w:rPr>
          <w:sz w:val="20"/>
          <w:szCs w:val="20"/>
          <w:rtl/>
        </w:rPr>
        <w:footnoteRef/>
      </w:r>
      <w:r>
        <w:rPr>
          <w:sz w:val="20"/>
          <w:szCs w:val="20"/>
          <w:rtl/>
        </w:rPr>
        <w:t xml:space="preserve">. שמות </w:t>
      </w:r>
      <w:proofErr w:type="spellStart"/>
      <w:r>
        <w:rPr>
          <w:sz w:val="20"/>
          <w:szCs w:val="20"/>
          <w:rtl/>
        </w:rPr>
        <w:t>יב</w:t>
      </w:r>
      <w:proofErr w:type="spellEnd"/>
      <w:r>
        <w:rPr>
          <w:sz w:val="20"/>
          <w:szCs w:val="20"/>
          <w:rtl/>
        </w:rPr>
        <w:t xml:space="preserve">, </w:t>
      </w:r>
      <w:proofErr w:type="spellStart"/>
      <w:r>
        <w:rPr>
          <w:sz w:val="20"/>
          <w:szCs w:val="20"/>
          <w:rtl/>
        </w:rPr>
        <w:t>לז</w:t>
      </w:r>
      <w:proofErr w:type="spellEnd"/>
      <w:r>
        <w:rPr>
          <w:sz w:val="20"/>
          <w:szCs w:val="20"/>
          <w:rtl/>
        </w:rPr>
        <w:t xml:space="preserve"> </w:t>
      </w:r>
      <w:proofErr w:type="spellStart"/>
      <w:r>
        <w:rPr>
          <w:sz w:val="20"/>
          <w:szCs w:val="20"/>
          <w:rtl/>
        </w:rPr>
        <w:t>ויט</w:t>
      </w:r>
      <w:proofErr w:type="spellEnd"/>
      <w:r>
        <w:rPr>
          <w:sz w:val="20"/>
          <w:szCs w:val="20"/>
          <w:rtl/>
        </w:rPr>
        <w:t xml:space="preserve">, יא; ועיין כתובות </w:t>
      </w:r>
      <w:proofErr w:type="spellStart"/>
      <w:r>
        <w:rPr>
          <w:sz w:val="20"/>
          <w:szCs w:val="20"/>
          <w:rtl/>
        </w:rPr>
        <w:t>יז</w:t>
      </w:r>
      <w:proofErr w:type="spellEnd"/>
      <w:r>
        <w:rPr>
          <w:sz w:val="20"/>
          <w:szCs w:val="20"/>
          <w:rtl/>
        </w:rPr>
        <w:t xml:space="preserve"> סוף ע״א.</w:t>
      </w:r>
    </w:p>
  </w:footnote>
  <w:footnote w:id="3154">
    <w:p w14:paraId="3B542CFC"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ד – עמ׳ </w:t>
      </w:r>
      <w:proofErr w:type="spellStart"/>
      <w:r>
        <w:rPr>
          <w:sz w:val="20"/>
          <w:szCs w:val="20"/>
          <w:rtl/>
        </w:rPr>
        <w:t>תקכד</w:t>
      </w:r>
      <w:proofErr w:type="spellEnd"/>
      <w:r>
        <w:rPr>
          <w:sz w:val="20"/>
          <w:szCs w:val="20"/>
          <w:rtl/>
        </w:rPr>
        <w:t>.</w:t>
      </w:r>
    </w:p>
  </w:footnote>
  <w:footnote w:id="3155">
    <w:p w14:paraId="274E8D8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כג</w:t>
      </w:r>
      <w:proofErr w:type="spellEnd"/>
      <w:r>
        <w:rPr>
          <w:sz w:val="20"/>
          <w:szCs w:val="20"/>
          <w:rtl/>
        </w:rPr>
        <w:t>.</w:t>
      </w:r>
    </w:p>
  </w:footnote>
  <w:footnote w:id="3156">
    <w:p w14:paraId="0B991113" w14:textId="77777777" w:rsidR="00AB3647" w:rsidRDefault="00000000">
      <w:pPr>
        <w:spacing w:after="0" w:before="0"/>
        <w:jc w:val="both"/>
      </w:pPr>
      <w:r>
        <w:rPr>
          <w:sz w:val="20"/>
          <w:szCs w:val="20"/>
          <w:rtl/>
        </w:rPr>
        <w:footnoteRef/>
      </w:r>
      <w:r>
        <w:rPr>
          <w:sz w:val="20"/>
          <w:szCs w:val="20"/>
          <w:rtl/>
        </w:rPr>
        <w:t>. פרק 3, נספח ה.</w:t>
      </w:r>
    </w:p>
  </w:footnote>
  <w:footnote w:id="3157">
    <w:p w14:paraId="0A30B7E2" w14:textId="77777777" w:rsidR="00AB3647" w:rsidRDefault="00000000">
      <w:pPr>
        <w:spacing w:after="0" w:before="0"/>
        <w:jc w:val="both"/>
      </w:pPr>
      <w:r>
        <w:rPr>
          <w:sz w:val="20"/>
          <w:szCs w:val="20"/>
          <w:rtl/>
        </w:rPr>
        <w:footnoteRef/>
      </w:r>
      <w:r>
        <w:rPr>
          <w:sz w:val="20"/>
          <w:szCs w:val="20"/>
          <w:rtl/>
        </w:rPr>
        <w:t>. מן העברית “בעל הבית”; בלשון יידיש משמש הביטוי לאדם מן השורה.</w:t>
      </w:r>
    </w:p>
  </w:footnote>
  <w:footnote w:id="3158">
    <w:p w14:paraId="0A0B1280" w14:textId="77777777" w:rsidR="00AB3647" w:rsidRDefault="00000000">
      <w:pPr>
        <w:spacing w:after="0" w:before="0"/>
        <w:jc w:val="both"/>
      </w:pPr>
      <w:r>
        <w:rPr>
          <w:sz w:val="20"/>
          <w:szCs w:val="20"/>
          <w:rtl/>
        </w:rPr>
        <w:footnoteRef/>
      </w:r>
      <w:r>
        <w:rPr>
          <w:sz w:val="20"/>
          <w:szCs w:val="20"/>
          <w:rtl/>
        </w:rPr>
        <w:t xml:space="preserve">. השווה גם פרק 3, הפסקה החמישית של נספח </w:t>
      </w:r>
      <w:proofErr w:type="spellStart"/>
      <w:r>
        <w:rPr>
          <w:sz w:val="20"/>
          <w:szCs w:val="20"/>
          <w:rtl/>
        </w:rPr>
        <w:t>יח</w:t>
      </w:r>
      <w:proofErr w:type="spellEnd"/>
      <w:r>
        <w:rPr>
          <w:sz w:val="20"/>
          <w:szCs w:val="20"/>
          <w:rtl/>
        </w:rPr>
        <w:t xml:space="preserve">, שבה נמסר שגם ר׳ </w:t>
      </w:r>
      <w:proofErr w:type="spellStart"/>
      <w:r>
        <w:rPr>
          <w:sz w:val="20"/>
          <w:szCs w:val="20"/>
          <w:rtl/>
        </w:rPr>
        <w:t>מאיר־שמחה</w:t>
      </w:r>
      <w:proofErr w:type="spellEnd"/>
      <w:r>
        <w:rPr>
          <w:sz w:val="20"/>
          <w:szCs w:val="20"/>
          <w:rtl/>
        </w:rPr>
        <w:t xml:space="preserve"> כהן אמר זאת על </w:t>
      </w:r>
      <w:proofErr w:type="spellStart"/>
      <w:r>
        <w:rPr>
          <w:sz w:val="20"/>
          <w:szCs w:val="20"/>
          <w:rtl/>
        </w:rPr>
        <w:t>החפץ־חיים</w:t>
      </w:r>
      <w:proofErr w:type="spellEnd"/>
      <w:r>
        <w:rPr>
          <w:sz w:val="20"/>
          <w:szCs w:val="20"/>
          <w:rtl/>
        </w:rPr>
        <w:t xml:space="preserve"> – בפניו.</w:t>
      </w:r>
    </w:p>
  </w:footnote>
  <w:footnote w:id="3159">
    <w:p w14:paraId="65D17138" w14:textId="77777777" w:rsidR="00AB3647" w:rsidRDefault="00000000">
      <w:pPr>
        <w:spacing w:after="0" w:before="0"/>
        <w:jc w:val="both"/>
      </w:pPr>
      <w:r>
        <w:rPr>
          <w:sz w:val="20"/>
          <w:szCs w:val="20"/>
          <w:rtl/>
        </w:rPr>
        <w:footnoteRef/>
      </w:r>
      <w:r>
        <w:rPr>
          <w:sz w:val="20"/>
          <w:szCs w:val="20"/>
          <w:rtl/>
        </w:rPr>
        <w:t>. כאן במשמעות העברית המילולית האחרת: בעלים.</w:t>
      </w:r>
    </w:p>
  </w:footnote>
  <w:footnote w:id="3160">
    <w:p w14:paraId="2EF15E71" w14:textId="77777777" w:rsidR="00AB3647" w:rsidRDefault="00000000">
      <w:pPr>
        <w:spacing w:after="0" w:before="0"/>
        <w:jc w:val="both"/>
      </w:pPr>
      <w:r>
        <w:rPr>
          <w:sz w:val="20"/>
          <w:szCs w:val="20"/>
          <w:rtl/>
        </w:rPr>
        <w:footnoteRef/>
      </w:r>
      <w:r>
        <w:rPr>
          <w:sz w:val="20"/>
          <w:szCs w:val="20"/>
          <w:rtl/>
        </w:rPr>
        <w:t xml:space="preserve">. המעשה מובא </w:t>
      </w:r>
      <w:proofErr w:type="spellStart"/>
      <w:r>
        <w:rPr>
          <w:sz w:val="20"/>
          <w:szCs w:val="20"/>
          <w:rtl/>
        </w:rPr>
        <w:t>ב“פאר</w:t>
      </w:r>
      <w:proofErr w:type="spellEnd"/>
      <w:r>
        <w:rPr>
          <w:sz w:val="20"/>
          <w:szCs w:val="20"/>
          <w:rtl/>
        </w:rPr>
        <w:t xml:space="preserve"> הדור”, חלק א, עמ׳ </w:t>
      </w:r>
      <w:proofErr w:type="spellStart"/>
      <w:r>
        <w:rPr>
          <w:sz w:val="20"/>
          <w:szCs w:val="20"/>
          <w:rtl/>
        </w:rPr>
        <w:t>רמב</w:t>
      </w:r>
      <w:proofErr w:type="spellEnd"/>
      <w:r>
        <w:rPr>
          <w:sz w:val="20"/>
          <w:szCs w:val="20"/>
          <w:rtl/>
        </w:rPr>
        <w:t xml:space="preserve">, אבל בלי לציין את שמו של בן שיחו של </w:t>
      </w:r>
      <w:proofErr w:type="spellStart"/>
      <w:r>
        <w:rPr>
          <w:sz w:val="20"/>
          <w:szCs w:val="20"/>
          <w:rtl/>
        </w:rPr>
        <w:t>החזון־איש</w:t>
      </w:r>
      <w:proofErr w:type="spellEnd"/>
      <w:r>
        <w:rPr>
          <w:sz w:val="20"/>
          <w:szCs w:val="20"/>
          <w:rtl/>
        </w:rPr>
        <w:t>.</w:t>
      </w:r>
    </w:p>
  </w:footnote>
  <w:footnote w:id="3161">
    <w:p w14:paraId="7CC0DA82" w14:textId="77777777" w:rsidR="00AB3647" w:rsidRDefault="00000000">
      <w:pPr>
        <w:spacing w:after="0" w:before="0"/>
        <w:jc w:val="both"/>
      </w:pPr>
      <w:r>
        <w:rPr>
          <w:sz w:val="20"/>
          <w:szCs w:val="20"/>
          <w:rtl/>
        </w:rPr>
        <w:footnoteRef/>
      </w:r>
      <w:r>
        <w:rPr>
          <w:sz w:val="20"/>
          <w:szCs w:val="20"/>
          <w:rtl/>
        </w:rPr>
        <w:t xml:space="preserve">. השווה פרק 3, הערה 56, </w:t>
      </w:r>
      <w:proofErr w:type="spellStart"/>
      <w:r>
        <w:rPr>
          <w:sz w:val="20"/>
          <w:szCs w:val="20"/>
          <w:rtl/>
        </w:rPr>
        <w:t>ו“מסורת</w:t>
      </w:r>
      <w:proofErr w:type="spellEnd"/>
      <w:r>
        <w:rPr>
          <w:sz w:val="20"/>
          <w:szCs w:val="20"/>
          <w:rtl/>
        </w:rPr>
        <w:t xml:space="preserve"> הזהב” (המקור הנזכר שם), עמ׳ 180.</w:t>
      </w:r>
    </w:p>
  </w:footnote>
  <w:footnote w:id="3162">
    <w:p w14:paraId="0D8B95AE"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163">
    <w:p w14:paraId="3EF9EFC8" w14:textId="77777777" w:rsidR="00AB3647" w:rsidRDefault="00000000">
      <w:pPr>
        <w:spacing w:after="0" w:before="0"/>
        <w:jc w:val="both"/>
      </w:pPr>
      <w:r>
        <w:rPr>
          <w:sz w:val="20"/>
          <w:szCs w:val="20"/>
          <w:rtl/>
        </w:rPr>
        <w:footnoteRef/>
      </w:r>
      <w:r>
        <w:rPr>
          <w:sz w:val="20"/>
          <w:szCs w:val="20"/>
          <w:rtl/>
        </w:rPr>
        <w:t>. שם, עמ׳ 43.</w:t>
      </w:r>
    </w:p>
  </w:footnote>
  <w:footnote w:id="3164">
    <w:p w14:paraId="15708EA5" w14:textId="77777777" w:rsidR="00AB3647" w:rsidRDefault="00000000">
      <w:pPr>
        <w:spacing w:after="0" w:before="0"/>
        <w:jc w:val="both"/>
      </w:pPr>
      <w:r>
        <w:rPr>
          <w:sz w:val="20"/>
          <w:szCs w:val="20"/>
          <w:rtl/>
        </w:rPr>
        <w:footnoteRef/>
      </w:r>
      <w:r>
        <w:rPr>
          <w:sz w:val="20"/>
          <w:szCs w:val="20"/>
          <w:rtl/>
        </w:rPr>
        <w:t>. ריאיון מיום 20 באוקטובר 1987.</w:t>
      </w:r>
    </w:p>
  </w:footnote>
  <w:footnote w:id="3165">
    <w:p w14:paraId="1A1D1241" w14:textId="77777777" w:rsidR="00AB3647" w:rsidRDefault="00000000">
      <w:pPr>
        <w:spacing w:after="0" w:before="0"/>
        <w:jc w:val="both"/>
      </w:pPr>
      <w:r>
        <w:rPr>
          <w:sz w:val="20"/>
          <w:szCs w:val="20"/>
          <w:rtl/>
        </w:rPr>
        <w:footnoteRef/>
      </w:r>
      <w:r>
        <w:rPr>
          <w:sz w:val="20"/>
          <w:szCs w:val="20"/>
          <w:rtl/>
        </w:rPr>
        <w:t>. הפסקה הראשונה בנספח א בפרק זה – עמ׳ 18, ערב ז׳ באב תשמ״א.</w:t>
      </w:r>
    </w:p>
  </w:footnote>
  <w:footnote w:id="3166">
    <w:p w14:paraId="685217EF" w14:textId="77777777" w:rsidR="00AB3647" w:rsidRDefault="00000000">
      <w:pPr>
        <w:spacing w:after="0" w:before="0"/>
        <w:jc w:val="both"/>
      </w:pPr>
      <w:r>
        <w:rPr>
          <w:sz w:val="20"/>
          <w:szCs w:val="20"/>
          <w:rtl/>
        </w:rPr>
        <w:footnoteRef/>
      </w:r>
      <w:r>
        <w:rPr>
          <w:sz w:val="20"/>
          <w:szCs w:val="20"/>
          <w:rtl/>
        </w:rPr>
        <w:t>. עמ׳ 282.</w:t>
      </w:r>
    </w:p>
  </w:footnote>
  <w:footnote w:id="3167">
    <w:p w14:paraId="306D21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168">
    <w:p w14:paraId="65A0ECD6" w14:textId="77777777" w:rsidR="00AB3647" w:rsidRDefault="00000000">
      <w:pPr>
        <w:spacing w:after="0" w:before="0"/>
        <w:jc w:val="both"/>
      </w:pPr>
      <w:r>
        <w:rPr>
          <w:sz w:val="20"/>
          <w:szCs w:val="20"/>
          <w:rtl/>
        </w:rPr>
        <w:footnoteRef/>
      </w:r>
      <w:r>
        <w:rPr>
          <w:sz w:val="20"/>
          <w:szCs w:val="20"/>
          <w:rtl/>
        </w:rPr>
        <w:t>. המקור הנזכר בפרק 3, הערה 91 – עמ׳ 135.</w:t>
      </w:r>
    </w:p>
  </w:footnote>
  <w:footnote w:id="3169">
    <w:p w14:paraId="69AAB91D" w14:textId="77777777" w:rsidR="00AB3647" w:rsidRDefault="00000000">
      <w:pPr>
        <w:spacing w:after="0" w:before="0"/>
        <w:jc w:val="both"/>
      </w:pPr>
      <w:r>
        <w:rPr>
          <w:sz w:val="20"/>
          <w:szCs w:val="20"/>
          <w:rtl/>
        </w:rPr>
        <w:footnoteRef/>
      </w:r>
      <w:r>
        <w:rPr>
          <w:sz w:val="20"/>
          <w:szCs w:val="20"/>
          <w:rtl/>
        </w:rPr>
        <w:t>. השווה פרק 3, הפסקה השנייה של נספח כ.</w:t>
      </w:r>
    </w:p>
  </w:footnote>
  <w:footnote w:id="3170">
    <w:p w14:paraId="558C728A" w14:textId="77777777" w:rsidR="00AB3647" w:rsidRDefault="00000000">
      <w:pPr>
        <w:spacing w:after="0" w:before="0"/>
        <w:jc w:val="both"/>
      </w:pPr>
      <w:r>
        <w:rPr>
          <w:sz w:val="20"/>
          <w:szCs w:val="20"/>
          <w:rtl/>
        </w:rPr>
        <w:footnoteRef/>
      </w:r>
      <w:r>
        <w:rPr>
          <w:sz w:val="20"/>
          <w:szCs w:val="20"/>
          <w:rtl/>
        </w:rPr>
        <w:t>. פרק 3, סוף הפסקה השלישית של נספח כ.</w:t>
      </w:r>
    </w:p>
  </w:footnote>
  <w:footnote w:id="3171">
    <w:p w14:paraId="0812EC48" w14:textId="77777777" w:rsidR="00AB3647" w:rsidRDefault="00000000">
      <w:pPr>
        <w:spacing w:after="0" w:before="0"/>
        <w:jc w:val="both"/>
      </w:pPr>
      <w:r>
        <w:rPr>
          <w:sz w:val="20"/>
          <w:szCs w:val="20"/>
          <w:rtl/>
        </w:rPr>
        <w:footnoteRef/>
      </w:r>
      <w:r>
        <w:rPr>
          <w:sz w:val="20"/>
          <w:szCs w:val="20"/>
          <w:rtl/>
        </w:rPr>
        <w:t>. השווה פרק 3, סוף הפסקה הרביעית של נספח כ.</w:t>
      </w:r>
    </w:p>
  </w:footnote>
  <w:footnote w:id="3172">
    <w:p w14:paraId="58FF38F5" w14:textId="77777777" w:rsidR="00AB3647" w:rsidRDefault="00000000">
      <w:pPr>
        <w:spacing w:after="0" w:before="0"/>
        <w:jc w:val="both"/>
      </w:pPr>
      <w:r>
        <w:rPr>
          <w:sz w:val="20"/>
          <w:szCs w:val="20"/>
          <w:rtl/>
        </w:rPr>
        <w:footnoteRef/>
      </w:r>
      <w:r>
        <w:rPr>
          <w:sz w:val="20"/>
          <w:szCs w:val="20"/>
          <w:rtl/>
        </w:rPr>
        <w:t>. עמ׳ 247.</w:t>
      </w:r>
    </w:p>
  </w:footnote>
  <w:footnote w:id="3173">
    <w:p w14:paraId="5238EEB0"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74">
    <w:p w14:paraId="6D29AE0D" w14:textId="77777777" w:rsidR="00AB3647" w:rsidRDefault="00000000">
      <w:pPr>
        <w:spacing w:after="0" w:before="0"/>
        <w:jc w:val="both"/>
      </w:pPr>
      <w:r>
        <w:rPr>
          <w:sz w:val="20"/>
          <w:szCs w:val="20"/>
          <w:rtl/>
        </w:rPr>
        <w:footnoteRef/>
      </w:r>
      <w:r>
        <w:rPr>
          <w:sz w:val="20"/>
          <w:szCs w:val="20"/>
          <w:rtl/>
        </w:rPr>
        <w:t>. ראה הערה 18 לעיל למקרה קיצוני מסוג זה.</w:t>
      </w:r>
    </w:p>
  </w:footnote>
  <w:footnote w:id="3175">
    <w:p w14:paraId="730719F0" w14:textId="77777777" w:rsidR="00AB3647" w:rsidRDefault="00000000">
      <w:pPr>
        <w:spacing w:after="0" w:before="0"/>
        <w:jc w:val="both"/>
      </w:pPr>
      <w:r>
        <w:rPr>
          <w:sz w:val="20"/>
          <w:szCs w:val="20"/>
          <w:rtl/>
        </w:rPr>
        <w:footnoteRef/>
      </w:r>
      <w:r>
        <w:rPr>
          <w:sz w:val="20"/>
          <w:szCs w:val="20"/>
          <w:rtl/>
        </w:rPr>
        <w:t>. עמ׳ 300–301.</w:t>
      </w:r>
    </w:p>
  </w:footnote>
  <w:footnote w:id="3176">
    <w:p w14:paraId="727AF7B5" w14:textId="77777777" w:rsidR="00AB3647" w:rsidRDefault="00000000">
      <w:pPr>
        <w:spacing w:after="0" w:before="0"/>
        <w:jc w:val="both"/>
      </w:pPr>
      <w:r>
        <w:rPr>
          <w:sz w:val="20"/>
          <w:szCs w:val="20"/>
          <w:rtl/>
        </w:rPr>
        <w:footnoteRef/>
      </w:r>
      <w:r>
        <w:rPr>
          <w:sz w:val="20"/>
          <w:szCs w:val="20"/>
          <w:rtl/>
        </w:rPr>
        <w:t>. פרק 3, הפסקה השנייה של נספח כ.</w:t>
      </w:r>
    </w:p>
  </w:footnote>
  <w:footnote w:id="3177">
    <w:p w14:paraId="727DCDC4"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שכז</w:t>
      </w:r>
      <w:proofErr w:type="spellEnd"/>
      <w:r>
        <w:rPr>
          <w:sz w:val="20"/>
          <w:szCs w:val="20"/>
          <w:rtl/>
        </w:rPr>
        <w:t>.</w:t>
      </w:r>
    </w:p>
  </w:footnote>
  <w:footnote w:id="3178">
    <w:p w14:paraId="5F4BD183" w14:textId="77777777" w:rsidR="00AB3647" w:rsidRDefault="00000000">
      <w:pPr>
        <w:spacing w:after="0" w:before="0"/>
        <w:jc w:val="both"/>
      </w:pPr>
      <w:r>
        <w:rPr>
          <w:sz w:val="20"/>
          <w:szCs w:val="20"/>
          <w:rtl/>
        </w:rPr>
        <w:footnoteRef/>
      </w:r>
      <w:r>
        <w:rPr>
          <w:sz w:val="20"/>
          <w:szCs w:val="20"/>
          <w:rtl/>
        </w:rPr>
        <w:t>. פרק 1, הערה 32.</w:t>
      </w:r>
    </w:p>
  </w:footnote>
  <w:footnote w:id="3179">
    <w:p w14:paraId="7AB16B6C" w14:textId="77777777" w:rsidR="00AB3647" w:rsidRDefault="00000000">
      <w:pPr>
        <w:spacing w:after="0" w:before="0"/>
        <w:jc w:val="both"/>
      </w:pPr>
      <w:r>
        <w:rPr>
          <w:sz w:val="20"/>
          <w:szCs w:val="20"/>
          <w:rtl/>
        </w:rPr>
        <w:footnoteRef/>
      </w:r>
      <w:r>
        <w:rPr>
          <w:sz w:val="20"/>
          <w:szCs w:val="20"/>
          <w:rtl/>
        </w:rPr>
        <w:t xml:space="preserve">. ראה “קונטרס האדם ביקר” (המקור הנזכר בפרק 3, הפסקה השנייה של נספח </w:t>
      </w:r>
      <w:proofErr w:type="spellStart"/>
      <w:r>
        <w:rPr>
          <w:sz w:val="20"/>
          <w:szCs w:val="20"/>
          <w:rtl/>
        </w:rPr>
        <w:t>כא</w:t>
      </w:r>
      <w:proofErr w:type="spellEnd"/>
      <w:r>
        <w:rPr>
          <w:sz w:val="20"/>
          <w:szCs w:val="20"/>
          <w:rtl/>
        </w:rPr>
        <w:t xml:space="preserve">), עמ׳ יא–טו, לסקירת תחנות דרכו של ר׳ ירוחם. הלכתי בעקבות “קונטרס האדם ביקר” בקביעת זמן חזרתו </w:t>
      </w:r>
      <w:proofErr w:type="spellStart"/>
      <w:r>
        <w:rPr>
          <w:sz w:val="20"/>
          <w:szCs w:val="20"/>
          <w:rtl/>
        </w:rPr>
        <w:t>למיר</w:t>
      </w:r>
      <w:proofErr w:type="spellEnd"/>
      <w:r>
        <w:rPr>
          <w:sz w:val="20"/>
          <w:szCs w:val="20"/>
          <w:rtl/>
        </w:rPr>
        <w:t xml:space="preserve"> </w:t>
      </w:r>
      <w:proofErr w:type="spellStart"/>
      <w:r>
        <w:rPr>
          <w:sz w:val="20"/>
          <w:szCs w:val="20"/>
          <w:rtl/>
        </w:rPr>
        <w:t>בתרפ״ג</w:t>
      </w:r>
      <w:proofErr w:type="spellEnd"/>
      <w:r>
        <w:rPr>
          <w:sz w:val="20"/>
          <w:szCs w:val="20"/>
          <w:rtl/>
        </w:rPr>
        <w:t xml:space="preserve">, אבל לפי המאורעות המתוארים בפרק 3, הפסקה השנייה של נספח </w:t>
      </w:r>
      <w:proofErr w:type="spellStart"/>
      <w:r>
        <w:rPr>
          <w:sz w:val="20"/>
          <w:szCs w:val="20"/>
          <w:rtl/>
        </w:rPr>
        <w:t>יז</w:t>
      </w:r>
      <w:proofErr w:type="spellEnd"/>
      <w:r>
        <w:rPr>
          <w:sz w:val="20"/>
          <w:szCs w:val="20"/>
          <w:rtl/>
        </w:rPr>
        <w:t xml:space="preserve">, נראה שר׳ ירוחם עוד שימש בישיבת </w:t>
      </w:r>
      <w:proofErr w:type="spellStart"/>
      <w:r>
        <w:rPr>
          <w:sz w:val="20"/>
          <w:szCs w:val="20"/>
          <w:rtl/>
        </w:rPr>
        <w:t>פוניבז</w:t>
      </w:r>
      <w:proofErr w:type="spellEnd"/>
      <w:r>
        <w:rPr>
          <w:sz w:val="20"/>
          <w:szCs w:val="20"/>
          <w:rtl/>
        </w:rPr>
        <w:t xml:space="preserve">׳ </w:t>
      </w:r>
      <w:proofErr w:type="spellStart"/>
      <w:r>
        <w:rPr>
          <w:sz w:val="20"/>
          <w:szCs w:val="20"/>
          <w:rtl/>
        </w:rPr>
        <w:t>בתרפ״ד</w:t>
      </w:r>
      <w:proofErr w:type="spellEnd"/>
      <w:r>
        <w:rPr>
          <w:sz w:val="20"/>
          <w:szCs w:val="20"/>
          <w:rtl/>
        </w:rPr>
        <w:t>; אולם ייתכן שרק ביקר אז בליטא.</w:t>
      </w:r>
    </w:p>
  </w:footnote>
  <w:footnote w:id="3180">
    <w:p w14:paraId="03731077" w14:textId="77777777" w:rsidR="00AB3647" w:rsidRDefault="00000000">
      <w:pPr>
        <w:spacing w:after="0" w:before="0"/>
        <w:jc w:val="both"/>
      </w:pPr>
      <w:r>
        <w:rPr>
          <w:sz w:val="20"/>
          <w:szCs w:val="20"/>
          <w:rtl/>
        </w:rPr>
        <w:footnoteRef/>
      </w:r>
      <w:r>
        <w:rPr>
          <w:sz w:val="20"/>
          <w:szCs w:val="20"/>
          <w:rtl/>
        </w:rPr>
        <w:t xml:space="preserve">. ריאיון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ואתחנן תשמ״ט.</w:t>
      </w:r>
    </w:p>
  </w:footnote>
  <w:footnote w:id="3181">
    <w:p w14:paraId="704B4D04" w14:textId="77777777" w:rsidR="00AB3647" w:rsidRDefault="00000000">
      <w:pPr>
        <w:spacing w:after="0" w:before="0"/>
        <w:jc w:val="both"/>
      </w:pPr>
      <w:r>
        <w:rPr>
          <w:sz w:val="20"/>
          <w:szCs w:val="20"/>
          <w:rtl/>
        </w:rPr>
        <w:footnoteRef/>
      </w:r>
      <w:r>
        <w:rPr>
          <w:sz w:val="20"/>
          <w:szCs w:val="20"/>
          <w:rtl/>
        </w:rPr>
        <w:t xml:space="preserve">. ריאיון מיום 16 בנובמבר 1987. ראה גם הערת השוליים האחרונה בעמ׳ </w:t>
      </w:r>
      <w:r>
        <w:rPr>
          <w:sz w:val="20"/>
          <w:szCs w:val="20"/>
          <w:rtl/>
        </w:rPr>
        <w:fldChar w:fldCharType="begin" w:dirty="true"/>
      </w:r>
      <w:r>
        <w:rPr>
          <w:sz w:val="20"/>
          <w:szCs w:val="20"/>
          <w:rtl/>
        </w:rPr>
        <w:instrText xml:space="preserve"> PAGEREF pr_b_2886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182">
    <w:p w14:paraId="13D67D9B" w14:textId="77777777" w:rsidR="00AB3647" w:rsidRDefault="00000000">
      <w:pPr>
        <w:spacing w:after="0" w:before="0"/>
        <w:jc w:val="both"/>
      </w:pPr>
      <w:r>
        <w:rPr>
          <w:sz w:val="20"/>
          <w:szCs w:val="20"/>
          <w:rtl/>
        </w:rPr>
        <w:footnoteRef/>
      </w:r>
      <w:r>
        <w:rPr>
          <w:sz w:val="20"/>
          <w:szCs w:val="20"/>
          <w:rtl/>
        </w:rPr>
        <w:t>. “קונטרס האדם ביקר”, עמ׳ ח.</w:t>
      </w:r>
    </w:p>
  </w:footnote>
  <w:footnote w:id="3183">
    <w:p w14:paraId="269D4D32" w14:textId="77777777" w:rsidR="00AB3647" w:rsidRDefault="00000000">
      <w:pPr>
        <w:spacing w:after="0" w:before="0"/>
        <w:jc w:val="both"/>
      </w:pPr>
      <w:r>
        <w:rPr>
          <w:sz w:val="20"/>
          <w:szCs w:val="20"/>
          <w:rtl/>
        </w:rPr>
        <w:footnoteRef/>
      </w:r>
      <w:r>
        <w:rPr>
          <w:sz w:val="20"/>
          <w:szCs w:val="20"/>
          <w:rtl/>
        </w:rPr>
        <w:t>. השווה פרק 3, הערה 31.</w:t>
      </w:r>
    </w:p>
  </w:footnote>
  <w:footnote w:id="3184">
    <w:p w14:paraId="7BA73F3E" w14:textId="77777777" w:rsidR="00AB3647" w:rsidRDefault="00000000">
      <w:pPr>
        <w:spacing w:after="0" w:before="0"/>
        <w:jc w:val="both"/>
      </w:pPr>
      <w:r>
        <w:rPr>
          <w:sz w:val="20"/>
          <w:szCs w:val="20"/>
          <w:rtl/>
        </w:rPr>
        <w:footnoteRef/>
      </w:r>
      <w:r>
        <w:rPr>
          <w:sz w:val="20"/>
          <w:szCs w:val="20"/>
          <w:rtl/>
        </w:rPr>
        <w:t>. כץ, “תנועת המוסר”, כרך ג, שם; השווה גם הערה 6 שם.</w:t>
      </w:r>
    </w:p>
  </w:footnote>
  <w:footnote w:id="3185">
    <w:p w14:paraId="5A3223AF" w14:textId="77777777" w:rsidR="00AB3647" w:rsidRDefault="00000000">
      <w:pPr>
        <w:spacing w:after="0" w:before="0"/>
        <w:jc w:val="both"/>
      </w:pPr>
      <w:r>
        <w:rPr>
          <w:sz w:val="20"/>
          <w:szCs w:val="20"/>
          <w:rtl/>
        </w:rPr>
        <w:footnoteRef/>
      </w:r>
      <w:r>
        <w:rPr>
          <w:sz w:val="20"/>
          <w:szCs w:val="20"/>
          <w:rtl/>
        </w:rPr>
        <w:t>. ריאיון מיום 10 ביוני 1993.</w:t>
      </w:r>
    </w:p>
  </w:footnote>
  <w:footnote w:id="3186">
    <w:p w14:paraId="508FDBA5" w14:textId="77777777" w:rsidR="00AB3647" w:rsidRDefault="00000000">
      <w:pPr>
        <w:spacing w:after="0" w:before="0"/>
        <w:jc w:val="both"/>
      </w:pPr>
      <w:r>
        <w:rPr>
          <w:sz w:val="20"/>
          <w:szCs w:val="20"/>
          <w:rtl/>
        </w:rPr>
        <w:footnoteRef/>
      </w:r>
      <w:r>
        <w:rPr>
          <w:sz w:val="20"/>
          <w:szCs w:val="20"/>
          <w:rtl/>
        </w:rPr>
        <w:t>. השווה סוף הפסקה השישית בפרק 2.3, וכן פרק 2, הערה 106.</w:t>
      </w:r>
    </w:p>
  </w:footnote>
  <w:footnote w:id="3187">
    <w:p w14:paraId="39EA386F" w14:textId="77777777" w:rsidR="00AB3647" w:rsidRDefault="00000000">
      <w:pPr>
        <w:spacing w:after="0" w:before="0"/>
        <w:jc w:val="both"/>
      </w:pPr>
      <w:r>
        <w:rPr>
          <w:sz w:val="20"/>
          <w:szCs w:val="20"/>
          <w:rtl/>
        </w:rPr>
        <w:footnoteRef/>
      </w:r>
      <w:r>
        <w:rPr>
          <w:sz w:val="20"/>
          <w:szCs w:val="20"/>
          <w:rtl/>
        </w:rPr>
        <w:t>. עמ׳ 288.</w:t>
      </w:r>
    </w:p>
  </w:footnote>
  <w:footnote w:id="3188">
    <w:p w14:paraId="6983DEF3" w14:textId="77777777" w:rsidR="00AB3647" w:rsidRDefault="00000000">
      <w:pPr>
        <w:spacing w:after="0" w:before="0"/>
        <w:jc w:val="both"/>
      </w:pPr>
      <w:r>
        <w:rPr>
          <w:sz w:val="20"/>
          <w:szCs w:val="20"/>
          <w:rtl/>
        </w:rPr>
        <w:footnoteRef/>
      </w:r>
      <w:r>
        <w:rPr>
          <w:sz w:val="20"/>
          <w:szCs w:val="20"/>
          <w:rtl/>
        </w:rPr>
        <w:t>. ביום 16 במרס 1986.</w:t>
      </w:r>
    </w:p>
  </w:footnote>
  <w:footnote w:id="3189">
    <w:p w14:paraId="030D0E50" w14:textId="77777777" w:rsidR="00AB3647" w:rsidRDefault="00000000">
      <w:pPr>
        <w:spacing w:after="0" w:before="0"/>
        <w:jc w:val="both"/>
      </w:pPr>
      <w:r>
        <w:rPr>
          <w:sz w:val="20"/>
          <w:szCs w:val="20"/>
          <w:rtl/>
        </w:rPr>
        <w:footnoteRef/>
      </w:r>
      <w:r>
        <w:rPr>
          <w:sz w:val="20"/>
          <w:szCs w:val="20"/>
          <w:rtl/>
        </w:rPr>
        <w:t>. פרק 1, הערה 32.</w:t>
      </w:r>
    </w:p>
  </w:footnote>
  <w:footnote w:id="3190">
    <w:p w14:paraId="26EAB41C"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בפ״ד</w:t>
      </w:r>
      <w:proofErr w:type="spellEnd"/>
      <w:r>
        <w:rPr>
          <w:sz w:val="20"/>
          <w:szCs w:val="20"/>
          <w:rtl/>
        </w:rPr>
        <w:t xml:space="preserve"> </w:t>
      </w:r>
      <w:proofErr w:type="spellStart"/>
      <w:r>
        <w:rPr>
          <w:sz w:val="20"/>
          <w:szCs w:val="20"/>
          <w:rtl/>
        </w:rPr>
        <w:t>ה״ד</w:t>
      </w:r>
      <w:proofErr w:type="spellEnd"/>
      <w:r>
        <w:rPr>
          <w:sz w:val="20"/>
          <w:szCs w:val="20"/>
          <w:rtl/>
        </w:rPr>
        <w:t xml:space="preserve"> של הלכות תשובה מונה הרמב״ם מעשה זה בין עשרים וארבעה הדברים </w:t>
      </w:r>
      <w:proofErr w:type="spellStart"/>
      <w:r>
        <w:rPr>
          <w:sz w:val="20"/>
          <w:szCs w:val="20"/>
          <w:rtl/>
        </w:rPr>
        <w:t>ש“מעכבין</w:t>
      </w:r>
      <w:proofErr w:type="spellEnd"/>
      <w:r>
        <w:rPr>
          <w:sz w:val="20"/>
          <w:szCs w:val="20"/>
          <w:rtl/>
        </w:rPr>
        <w:t xml:space="preserve"> את התשובה”.</w:t>
      </w:r>
    </w:p>
  </w:footnote>
  <w:footnote w:id="3191">
    <w:p w14:paraId="150C4DA0" w14:textId="77777777" w:rsidR="00AB3647" w:rsidRDefault="00000000">
      <w:pPr>
        <w:spacing w:after="0" w:before="0"/>
        <w:jc w:val="both"/>
      </w:pPr>
      <w:r>
        <w:rPr>
          <w:sz w:val="20"/>
          <w:szCs w:val="20"/>
          <w:rtl/>
        </w:rPr>
        <w:footnoteRef/>
      </w:r>
      <w:r>
        <w:rPr>
          <w:sz w:val="20"/>
          <w:szCs w:val="20"/>
          <w:rtl/>
        </w:rPr>
        <w:t>. השווה כץ, “תנועת המוסר”, כרך ג, עמ׳ 283, לגרסה שונה במקצת, כנראה בלתי נכונה, של סיפור זה.</w:t>
      </w:r>
    </w:p>
  </w:footnote>
  <w:footnote w:id="3192">
    <w:p w14:paraId="140AA721" w14:textId="77777777" w:rsidR="00AB3647" w:rsidRDefault="00000000">
      <w:pPr>
        <w:spacing w:after="0" w:before="0"/>
        <w:jc w:val="both"/>
      </w:pPr>
      <w:r>
        <w:rPr>
          <w:sz w:val="20"/>
          <w:szCs w:val="20"/>
          <w:rtl/>
        </w:rPr>
        <w:footnoteRef/>
      </w:r>
      <w:r>
        <w:rPr>
          <w:sz w:val="20"/>
          <w:szCs w:val="20"/>
          <w:rtl/>
        </w:rPr>
        <w:t>. עמ׳ 306.</w:t>
      </w:r>
    </w:p>
  </w:footnote>
  <w:footnote w:id="3193">
    <w:p w14:paraId="77BA52B5" w14:textId="77777777" w:rsidR="00AB3647" w:rsidRDefault="00000000">
      <w:pPr>
        <w:spacing w:after="0" w:before="0"/>
        <w:jc w:val="both"/>
      </w:pPr>
      <w:r>
        <w:rPr>
          <w:sz w:val="20"/>
          <w:szCs w:val="20"/>
          <w:rtl/>
        </w:rPr>
        <w:footnoteRef/>
      </w:r>
      <w:r>
        <w:rPr>
          <w:sz w:val="20"/>
          <w:szCs w:val="20"/>
          <w:rtl/>
        </w:rPr>
        <w:t>. עמ׳ 237.</w:t>
      </w:r>
    </w:p>
  </w:footnote>
  <w:footnote w:id="3194">
    <w:p w14:paraId="4203F306" w14:textId="77777777" w:rsidR="00AB3647" w:rsidRDefault="00000000">
      <w:pPr>
        <w:spacing w:after="0" w:before="0"/>
        <w:jc w:val="both"/>
      </w:pPr>
      <w:r>
        <w:rPr>
          <w:sz w:val="20"/>
          <w:szCs w:val="20"/>
          <w:rtl/>
        </w:rPr>
        <w:footnoteRef/>
      </w:r>
      <w:r>
        <w:rPr>
          <w:sz w:val="20"/>
          <w:szCs w:val="20"/>
          <w:rtl/>
        </w:rPr>
        <w:t>. כששב מבשלו הקבוע, שנעדר יום אחד, והביא לו קערת דייסה חמה מתובלת בחמאה טרייה – כדי להתעלות על מחליפו – טעם הסבא וצעק: “אתה מנסה להרעיל אותי?! אני טועם כאן ‘מתכבד בקלון חברו’ מעורב בה.”</w:t>
      </w:r>
    </w:p>
  </w:footnote>
  <w:footnote w:id="3195">
    <w:p w14:paraId="2C8EFE07" w14:textId="77777777" w:rsidR="00AB3647" w:rsidRDefault="00000000">
      <w:pPr>
        <w:spacing w:after="0" w:before="0"/>
        <w:jc w:val="both"/>
      </w:pPr>
      <w:r>
        <w:rPr>
          <w:sz w:val="20"/>
          <w:szCs w:val="20"/>
          <w:rtl/>
        </w:rPr>
        <w:footnoteRef/>
      </w:r>
      <w:r>
        <w:rPr>
          <w:sz w:val="20"/>
          <w:szCs w:val="20"/>
          <w:rtl/>
        </w:rPr>
        <w:t>. ריאיון מיום 8 ביוני 1994.</w:t>
      </w:r>
    </w:p>
  </w:footnote>
  <w:footnote w:id="3196">
    <w:p w14:paraId="04B42C03" w14:textId="77777777" w:rsidR="00AB3647" w:rsidRDefault="00000000">
      <w:pPr>
        <w:spacing w:after="0" w:before="0"/>
        <w:jc w:val="both"/>
      </w:pPr>
      <w:r>
        <w:rPr>
          <w:sz w:val="20"/>
          <w:szCs w:val="20"/>
          <w:rtl/>
        </w:rPr>
        <w:footnoteRef/>
      </w:r>
      <w:r>
        <w:rPr>
          <w:sz w:val="20"/>
          <w:szCs w:val="20"/>
          <w:rtl/>
        </w:rPr>
        <w:t xml:space="preserve">. השווה רש״י שם, והשגות </w:t>
      </w:r>
      <w:proofErr w:type="spellStart"/>
      <w:r>
        <w:rPr>
          <w:sz w:val="20"/>
          <w:szCs w:val="20"/>
          <w:rtl/>
        </w:rPr>
        <w:t>הראב״ד</w:t>
      </w:r>
      <w:proofErr w:type="spellEnd"/>
      <w:r>
        <w:rPr>
          <w:sz w:val="20"/>
          <w:szCs w:val="20"/>
          <w:rtl/>
        </w:rPr>
        <w:t xml:space="preserve"> בסוף הלכות תשובה. השווה גם ירושלמי ברכות פ״ה ה״א, על ריש לקיש שהיה יוצא מחוץ לתחום שבת מתוך </w:t>
      </w:r>
      <w:proofErr w:type="spellStart"/>
      <w:r>
        <w:rPr>
          <w:sz w:val="20"/>
          <w:szCs w:val="20"/>
          <w:rtl/>
        </w:rPr>
        <w:t>שקיעותו</w:t>
      </w:r>
      <w:proofErr w:type="spellEnd"/>
      <w:r>
        <w:rPr>
          <w:sz w:val="20"/>
          <w:szCs w:val="20"/>
          <w:rtl/>
        </w:rPr>
        <w:t xml:space="preserve"> בלימודיו: “מנהגו </w:t>
      </w:r>
      <w:proofErr w:type="spellStart"/>
      <w:r>
        <w:rPr>
          <w:sz w:val="20"/>
          <w:szCs w:val="20"/>
          <w:rtl/>
        </w:rPr>
        <w:t>באורייתא</w:t>
      </w:r>
      <w:proofErr w:type="spellEnd"/>
      <w:r>
        <w:rPr>
          <w:sz w:val="20"/>
          <w:szCs w:val="20"/>
          <w:rtl/>
        </w:rPr>
        <w:t xml:space="preserve"> סגין </w:t>
      </w:r>
      <w:proofErr w:type="spellStart"/>
      <w:r>
        <w:rPr>
          <w:sz w:val="20"/>
          <w:szCs w:val="20"/>
          <w:rtl/>
        </w:rPr>
        <w:t>הוה</w:t>
      </w:r>
      <w:proofErr w:type="spellEnd"/>
      <w:r>
        <w:rPr>
          <w:sz w:val="20"/>
          <w:szCs w:val="20"/>
          <w:rtl/>
        </w:rPr>
        <w:t xml:space="preserve"> נפיק ליה לבר </w:t>
      </w:r>
      <w:proofErr w:type="spellStart"/>
      <w:r>
        <w:rPr>
          <w:sz w:val="20"/>
          <w:szCs w:val="20"/>
          <w:rtl/>
        </w:rPr>
        <w:t>מתחומא</w:t>
      </w:r>
      <w:proofErr w:type="spellEnd"/>
      <w:r>
        <w:rPr>
          <w:sz w:val="20"/>
          <w:szCs w:val="20"/>
          <w:rtl/>
        </w:rPr>
        <w:t xml:space="preserve"> </w:t>
      </w:r>
      <w:proofErr w:type="spellStart"/>
      <w:r>
        <w:rPr>
          <w:sz w:val="20"/>
          <w:szCs w:val="20"/>
          <w:rtl/>
        </w:rPr>
        <w:t>דשבתא</w:t>
      </w:r>
      <w:proofErr w:type="spellEnd"/>
      <w:r>
        <w:rPr>
          <w:sz w:val="20"/>
          <w:szCs w:val="20"/>
          <w:rtl/>
        </w:rPr>
        <w:t xml:space="preserve"> והוא לא ידע, לקיים מה שנאמר באהבתה תשגה תמיד”.</w:t>
      </w:r>
    </w:p>
  </w:footnote>
  <w:footnote w:id="3197">
    <w:p w14:paraId="0F091DEC" w14:textId="77777777" w:rsidR="00AB3647" w:rsidRDefault="00000000">
      <w:pPr>
        <w:spacing w:after="0" w:before="0"/>
        <w:jc w:val="both"/>
      </w:pPr>
      <w:r>
        <w:rPr>
          <w:sz w:val="20"/>
          <w:szCs w:val="20"/>
          <w:rtl/>
        </w:rPr>
        <w:footnoteRef/>
      </w:r>
      <w:r>
        <w:rPr>
          <w:sz w:val="20"/>
          <w:szCs w:val="20"/>
          <w:rtl/>
        </w:rPr>
        <w:t xml:space="preserve">. המקור הנזכר בפרק 3, נספח ב – עמ׳ </w:t>
      </w:r>
      <w:proofErr w:type="spellStart"/>
      <w:r>
        <w:rPr>
          <w:sz w:val="20"/>
          <w:szCs w:val="20"/>
          <w:rtl/>
        </w:rPr>
        <w:t>צז</w:t>
      </w:r>
      <w:proofErr w:type="spellEnd"/>
      <w:r>
        <w:rPr>
          <w:sz w:val="20"/>
          <w:szCs w:val="20"/>
          <w:rtl/>
        </w:rPr>
        <w:t>.</w:t>
      </w:r>
    </w:p>
  </w:footnote>
  <w:footnote w:id="3198">
    <w:p w14:paraId="6BCDAE5D" w14:textId="77777777" w:rsidR="00AB3647" w:rsidRDefault="00000000">
      <w:pPr>
        <w:spacing w:after="0" w:before="0"/>
        <w:jc w:val="both"/>
      </w:pPr>
      <w:r>
        <w:rPr>
          <w:sz w:val="20"/>
          <w:szCs w:val="20"/>
          <w:rtl/>
        </w:rPr>
        <w:footnoteRef/>
      </w:r>
      <w:r>
        <w:rPr>
          <w:sz w:val="20"/>
          <w:szCs w:val="20"/>
          <w:rtl/>
        </w:rPr>
        <w:t>. הפסקה הראשונה של נספח ח.</w:t>
      </w:r>
    </w:p>
  </w:footnote>
  <w:footnote w:id="3199">
    <w:p w14:paraId="4CA71880" w14:textId="77777777" w:rsidR="00AB3647" w:rsidRDefault="00000000">
      <w:pPr>
        <w:spacing w:after="0" w:before="0"/>
        <w:jc w:val="both"/>
      </w:pPr>
      <w:r>
        <w:rPr>
          <w:sz w:val="20"/>
          <w:szCs w:val="20"/>
          <w:rtl/>
        </w:rPr>
        <w:footnoteRef/>
      </w:r>
      <w:r>
        <w:rPr>
          <w:sz w:val="20"/>
          <w:szCs w:val="20"/>
          <w:rtl/>
        </w:rPr>
        <w:t>. הערה 1 לעיל – עמ׳ מ–</w:t>
      </w:r>
      <w:proofErr w:type="spellStart"/>
      <w:r>
        <w:rPr>
          <w:sz w:val="20"/>
          <w:szCs w:val="20"/>
          <w:rtl/>
        </w:rPr>
        <w:t>מא</w:t>
      </w:r>
      <w:proofErr w:type="spellEnd"/>
      <w:r>
        <w:rPr>
          <w:sz w:val="20"/>
          <w:szCs w:val="20"/>
          <w:rtl/>
        </w:rPr>
        <w:t>, במאמר מאת דן בן יעקב.</w:t>
      </w:r>
    </w:p>
  </w:footnote>
  <w:footnote w:id="3200">
    <w:p w14:paraId="4163C3F0" w14:textId="77777777" w:rsidR="00AB3647" w:rsidRDefault="00000000">
      <w:pPr>
        <w:spacing w:after="0" w:before="0"/>
        <w:jc w:val="both"/>
      </w:pPr>
      <w:r>
        <w:rPr>
          <w:sz w:val="20"/>
          <w:szCs w:val="20"/>
          <w:rtl/>
        </w:rPr>
        <w:footnoteRef/>
      </w:r>
      <w:r>
        <w:rPr>
          <w:sz w:val="20"/>
          <w:szCs w:val="20"/>
          <w:rtl/>
        </w:rPr>
        <w:t>. עמ׳ 279 ו־282.</w:t>
      </w:r>
    </w:p>
  </w:footnote>
  <w:footnote w:id="3201">
    <w:p w14:paraId="2B609512" w14:textId="77777777" w:rsidR="00AB3647" w:rsidRDefault="00000000">
      <w:pPr>
        <w:spacing w:after="0" w:before="0"/>
        <w:jc w:val="both"/>
      </w:pPr>
      <w:r>
        <w:rPr>
          <w:sz w:val="20"/>
          <w:szCs w:val="20"/>
          <w:rtl/>
        </w:rPr>
        <w:footnoteRef/>
      </w:r>
      <w:r>
        <w:rPr>
          <w:sz w:val="20"/>
          <w:szCs w:val="20"/>
          <w:rtl/>
        </w:rPr>
        <w:t xml:space="preserve">. המקור הנזכר בפרק 2, הפסקה התשיעית של נספח א – עמ׳ </w:t>
      </w:r>
      <w:proofErr w:type="spellStart"/>
      <w:r>
        <w:rPr>
          <w:sz w:val="20"/>
          <w:szCs w:val="20"/>
          <w:rtl/>
        </w:rPr>
        <w:t>קג</w:t>
      </w:r>
      <w:proofErr w:type="spellEnd"/>
      <w:r>
        <w:rPr>
          <w:sz w:val="20"/>
          <w:szCs w:val="20"/>
          <w:rtl/>
        </w:rPr>
        <w:t>.</w:t>
      </w:r>
    </w:p>
  </w:footnote>
  <w:footnote w:id="3202">
    <w:p w14:paraId="3343A6EF" w14:textId="77777777" w:rsidR="00AB3647" w:rsidRDefault="00000000">
      <w:pPr>
        <w:spacing w:after="0" w:before="0"/>
        <w:jc w:val="both"/>
      </w:pPr>
      <w:r>
        <w:rPr>
          <w:sz w:val="20"/>
          <w:szCs w:val="20"/>
          <w:rtl/>
        </w:rPr>
        <w:footnoteRef/>
      </w:r>
      <w:r>
        <w:rPr>
          <w:sz w:val="20"/>
          <w:szCs w:val="20"/>
          <w:rtl/>
        </w:rPr>
        <w:t xml:space="preserve">. פרק 1, הערת השוליים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203">
    <w:p w14:paraId="4567FF08" w14:textId="77777777" w:rsidR="00AB3647" w:rsidRDefault="00000000">
      <w:pPr>
        <w:spacing w:after="0" w:before="0"/>
        <w:jc w:val="both"/>
      </w:pPr>
      <w:r>
        <w:rPr>
          <w:sz w:val="20"/>
          <w:szCs w:val="20"/>
          <w:rtl/>
        </w:rPr>
        <w:footnoteRef/>
      </w:r>
      <w:r>
        <w:rPr>
          <w:sz w:val="20"/>
          <w:szCs w:val="20"/>
          <w:rtl/>
        </w:rPr>
        <w:t xml:space="preserve">. מאת </w:t>
      </w:r>
      <w:proofErr w:type="spellStart"/>
      <w:r>
        <w:rPr>
          <w:sz w:val="20"/>
          <w:szCs w:val="20"/>
          <w:rtl/>
        </w:rPr>
        <w:t>מנחם־מנדל</w:t>
      </w:r>
      <w:proofErr w:type="spellEnd"/>
      <w:r>
        <w:rPr>
          <w:sz w:val="20"/>
          <w:szCs w:val="20"/>
          <w:rtl/>
        </w:rPr>
        <w:t xml:space="preserve"> לפין </w:t>
      </w:r>
      <w:proofErr w:type="spellStart"/>
      <w:r>
        <w:rPr>
          <w:sz w:val="20"/>
          <w:szCs w:val="20"/>
          <w:rtl/>
        </w:rPr>
        <w:t>מסטנוב</w:t>
      </w:r>
      <w:proofErr w:type="spellEnd"/>
      <w:r>
        <w:rPr>
          <w:sz w:val="20"/>
          <w:szCs w:val="20"/>
          <w:rtl/>
        </w:rPr>
        <w:t>. ראה “פולמוס” (המקור הנזכר בפרק 3, נספח ג), עמ׳ 135–146, וכן “בית אהרן וישראל”, גיליון שבט–אדר תשנ״ד, עמ׳ קטר.</w:t>
      </w:r>
    </w:p>
  </w:footnote>
  <w:footnote w:id="3204">
    <w:p w14:paraId="41AFB870" w14:textId="77777777" w:rsidR="00AB3647" w:rsidRDefault="00000000">
      <w:pPr>
        <w:spacing w:after="0" w:before="0"/>
        <w:jc w:val="both"/>
      </w:pPr>
      <w:r>
        <w:rPr>
          <w:sz w:val="20"/>
          <w:szCs w:val="20"/>
          <w:rtl/>
        </w:rPr>
        <w:footnoteRef/>
      </w:r>
      <w:r>
        <w:rPr>
          <w:sz w:val="20"/>
          <w:szCs w:val="20"/>
          <w:rtl/>
        </w:rPr>
        <w:t>. ראה גם פרק 3, הערה 63.</w:t>
      </w:r>
    </w:p>
  </w:footnote>
  <w:footnote w:id="3205">
    <w:p w14:paraId="0D43750F" w14:textId="77777777" w:rsidR="00AB3647" w:rsidRDefault="00000000">
      <w:pPr>
        <w:spacing w:after="0" w:before="0"/>
        <w:jc w:val="both"/>
      </w:pPr>
      <w:r>
        <w:rPr>
          <w:sz w:val="20"/>
          <w:szCs w:val="20"/>
          <w:rtl/>
        </w:rPr>
        <w:footnoteRef/>
      </w:r>
      <w:r>
        <w:rPr>
          <w:sz w:val="20"/>
          <w:szCs w:val="20"/>
          <w:rtl/>
        </w:rPr>
        <w:t xml:space="preserve">. עמ׳ לד, במאמר מאת דב כץ, ועמ׳ מג–מד, במאמר מאת ש. י. </w:t>
      </w:r>
      <w:proofErr w:type="spellStart"/>
      <w:r>
        <w:rPr>
          <w:sz w:val="20"/>
          <w:szCs w:val="20"/>
          <w:rtl/>
        </w:rPr>
        <w:t>ברוידא</w:t>
      </w:r>
      <w:proofErr w:type="spellEnd"/>
      <w:r>
        <w:rPr>
          <w:sz w:val="20"/>
          <w:szCs w:val="20"/>
          <w:rtl/>
        </w:rPr>
        <w:t>.</w:t>
      </w:r>
    </w:p>
  </w:footnote>
  <w:footnote w:id="3206">
    <w:p w14:paraId="6FEE8827" w14:textId="77777777" w:rsidR="00AB3647" w:rsidRDefault="00000000">
      <w:pPr>
        <w:spacing w:after="0" w:before="0"/>
        <w:jc w:val="both"/>
      </w:pPr>
      <w:r>
        <w:rPr>
          <w:sz w:val="20"/>
          <w:szCs w:val="20"/>
          <w:rtl/>
        </w:rPr>
        <w:footnoteRef/>
      </w:r>
      <w:r>
        <w:rPr>
          <w:sz w:val="20"/>
          <w:szCs w:val="20"/>
          <w:rtl/>
        </w:rPr>
        <w:t>. המקור הנזכר בפרק 3, נספח ז – עמ׳ כד.</w:t>
      </w:r>
    </w:p>
  </w:footnote>
  <w:footnote w:id="3207">
    <w:p w14:paraId="2CEA39DA" w14:textId="77777777" w:rsidR="00AB3647" w:rsidRDefault="00000000">
      <w:pPr>
        <w:spacing w:after="0" w:before="0"/>
        <w:jc w:val="both"/>
      </w:pPr>
      <w:r>
        <w:rPr>
          <w:sz w:val="20"/>
          <w:szCs w:val="20"/>
          <w:rtl/>
        </w:rPr>
        <w:footnoteRef/>
      </w:r>
      <w:r>
        <w:rPr>
          <w:sz w:val="20"/>
          <w:szCs w:val="20"/>
          <w:rtl/>
        </w:rPr>
        <w:t>. עמ׳ לג, במאמר מאת דב כץ.</w:t>
      </w:r>
    </w:p>
  </w:footnote>
  <w:footnote w:id="3208">
    <w:p w14:paraId="30BA3970" w14:textId="77777777" w:rsidR="00AB3647" w:rsidRDefault="00000000">
      <w:pPr>
        <w:spacing w:after="0" w:before="0"/>
        <w:jc w:val="both"/>
      </w:pPr>
      <w:r>
        <w:rPr>
          <w:sz w:val="20"/>
          <w:szCs w:val="20"/>
          <w:rtl/>
        </w:rPr>
        <w:footnoteRef/>
      </w:r>
      <w:r>
        <w:rPr>
          <w:sz w:val="20"/>
          <w:szCs w:val="20"/>
          <w:rtl/>
        </w:rPr>
        <w:t>. המקור הנזכר בפרק 1, נספח א – עמ׳ 530.</w:t>
      </w:r>
    </w:p>
  </w:footnote>
  <w:footnote w:id="3209">
    <w:p w14:paraId="733A3DF9" w14:textId="77777777" w:rsidR="00AB3647" w:rsidRDefault="00000000">
      <w:pPr>
        <w:spacing w:after="0" w:before="0"/>
        <w:jc w:val="both"/>
      </w:pPr>
      <w:r>
        <w:rPr>
          <w:sz w:val="20"/>
          <w:szCs w:val="20"/>
          <w:rtl/>
        </w:rPr>
        <w:footnoteRef/>
      </w:r>
      <w:r>
        <w:rPr>
          <w:sz w:val="20"/>
          <w:szCs w:val="20"/>
          <w:rtl/>
        </w:rPr>
        <w:t>. תל אביב, גיליון ד׳ באדר תרצ״ט.</w:t>
      </w:r>
    </w:p>
  </w:footnote>
  <w:footnote w:id="3210">
    <w:p w14:paraId="1C6873D1" w14:textId="77777777" w:rsidR="00AB3647" w:rsidRDefault="00000000">
      <w:pPr>
        <w:spacing w:after="0" w:before="0"/>
        <w:jc w:val="both"/>
      </w:pPr>
      <w:r>
        <w:rPr>
          <w:sz w:val="20"/>
          <w:szCs w:val="20"/>
          <w:rtl/>
        </w:rPr>
        <w:footnoteRef/>
      </w:r>
      <w:r>
        <w:rPr>
          <w:sz w:val="20"/>
          <w:szCs w:val="20"/>
          <w:rtl/>
        </w:rPr>
        <w:t xml:space="preserve">. המאמר מובא כלשונו בספרו של כץ, “תנועת המוסר”, כרך ג, עמ׳ 295–297. הפרטים הביוגרפיים על ר׳ </w:t>
      </w:r>
      <w:proofErr w:type="spellStart"/>
      <w:r>
        <w:rPr>
          <w:sz w:val="20"/>
          <w:szCs w:val="20"/>
          <w:rtl/>
        </w:rPr>
        <w:t>ישראל־שלמה</w:t>
      </w:r>
      <w:proofErr w:type="spellEnd"/>
      <w:r>
        <w:rPr>
          <w:sz w:val="20"/>
          <w:szCs w:val="20"/>
          <w:rtl/>
        </w:rPr>
        <w:t xml:space="preserve"> גורדון לקוחים </w:t>
      </w:r>
      <w:proofErr w:type="spellStart"/>
      <w:r>
        <w:rPr>
          <w:sz w:val="20"/>
          <w:szCs w:val="20"/>
          <w:rtl/>
        </w:rPr>
        <w:t>מ“מינסק</w:t>
      </w:r>
      <w:proofErr w:type="spellEnd"/>
      <w:r>
        <w:rPr>
          <w:sz w:val="20"/>
          <w:szCs w:val="20"/>
          <w:rtl/>
        </w:rPr>
        <w:t xml:space="preserve"> עיר ואם” א, עמ׳ 647. השווה גם כרך 2.</w:t>
      </w:r>
    </w:p>
  </w:footnote>
  <w:footnote w:id="3211">
    <w:p w14:paraId="6E2FE43A" w14:textId="77777777" w:rsidR="00AB3647" w:rsidRDefault="00000000">
      <w:pPr>
        <w:spacing w:after="0" w:before="0"/>
        <w:jc w:val="both"/>
      </w:pPr>
      <w:r>
        <w:rPr>
          <w:sz w:val="20"/>
          <w:szCs w:val="20"/>
          <w:rtl/>
        </w:rPr>
        <w:footnoteRef/>
      </w:r>
      <w:r>
        <w:rPr>
          <w:sz w:val="20"/>
          <w:szCs w:val="20"/>
          <w:rtl/>
        </w:rPr>
        <w:t xml:space="preserve">. ראה כץ, “תנועת המוסר”, כרך ג, עמ׳ 244. השווה גם “ראש גולת אריאל”, כרך א, מאת אהרן </w:t>
      </w:r>
      <w:proofErr w:type="spellStart"/>
      <w:r>
        <w:rPr>
          <w:sz w:val="20"/>
          <w:szCs w:val="20"/>
          <w:rtl/>
        </w:rPr>
        <w:t>סורסקי</w:t>
      </w:r>
      <w:proofErr w:type="spellEnd"/>
      <w:r>
        <w:rPr>
          <w:sz w:val="20"/>
          <w:szCs w:val="20"/>
          <w:rtl/>
        </w:rPr>
        <w:t xml:space="preserve"> </w:t>
      </w:r>
      <w:proofErr w:type="spellStart"/>
      <w:r>
        <w:rPr>
          <w:sz w:val="20"/>
          <w:szCs w:val="20"/>
          <w:rtl/>
        </w:rPr>
        <w:t>ואברהם־מרדכי</w:t>
      </w:r>
      <w:proofErr w:type="spellEnd"/>
      <w:r>
        <w:rPr>
          <w:sz w:val="20"/>
          <w:szCs w:val="20"/>
          <w:rtl/>
        </w:rPr>
        <w:t xml:space="preserve"> סגל (מכון “עמודי אור”, ירושלים, תש״נ), עמ׳ </w:t>
      </w:r>
      <w:proofErr w:type="spellStart"/>
      <w:r>
        <w:rPr>
          <w:sz w:val="20"/>
          <w:szCs w:val="20"/>
          <w:rtl/>
        </w:rPr>
        <w:t>תנב</w:t>
      </w:r>
      <w:proofErr w:type="spellEnd"/>
      <w:r>
        <w:rPr>
          <w:sz w:val="20"/>
          <w:szCs w:val="20"/>
          <w:rtl/>
        </w:rPr>
        <w:t xml:space="preserve">, המספר כך גם על ר׳ </w:t>
      </w:r>
      <w:proofErr w:type="spellStart"/>
      <w:r>
        <w:rPr>
          <w:sz w:val="20"/>
          <w:szCs w:val="20"/>
          <w:rtl/>
        </w:rPr>
        <w:t>אברהם־מרדכי</w:t>
      </w:r>
      <w:proofErr w:type="spellEnd"/>
      <w:r>
        <w:rPr>
          <w:sz w:val="20"/>
          <w:szCs w:val="20"/>
          <w:rtl/>
        </w:rPr>
        <w:t xml:space="preserve"> אלתר, האדמו״ר מגור, ומוסיף שאמר – כדרך משחקי הלשון בגור – “וכי נמצא מי שלשונו נקיה... [ומדוע אפוא לבדוק אותה]”, ברמז לניקיון מלשון הרע וכדומה.</w:t>
      </w:r>
    </w:p>
  </w:footnote>
  <w:footnote w:id="3212">
    <w:p w14:paraId="3E5373F7" w14:textId="77777777" w:rsidR="00AB3647" w:rsidRDefault="00000000">
      <w:pPr>
        <w:spacing w:after="0" w:before="0"/>
        <w:jc w:val="both"/>
      </w:pPr>
      <w:r>
        <w:rPr>
          <w:sz w:val="20"/>
          <w:szCs w:val="20"/>
          <w:rtl/>
        </w:rPr>
        <w:footnoteRef/>
      </w:r>
      <w:r>
        <w:rPr>
          <w:sz w:val="20"/>
          <w:szCs w:val="20"/>
          <w:rtl/>
        </w:rPr>
        <w:t xml:space="preserve">. המקור הנזכר בפרק 1, סוף נספח ה – עמ׳ </w:t>
      </w:r>
      <w:proofErr w:type="spellStart"/>
      <w:r>
        <w:rPr>
          <w:sz w:val="20"/>
          <w:szCs w:val="20"/>
          <w:rtl/>
        </w:rPr>
        <w:t>רלא</w:t>
      </w:r>
      <w:proofErr w:type="spellEnd"/>
      <w:r>
        <w:rPr>
          <w:sz w:val="20"/>
          <w:szCs w:val="20"/>
          <w:rtl/>
        </w:rPr>
        <w:t>.</w:t>
      </w:r>
    </w:p>
  </w:footnote>
  <w:footnote w:id="3213">
    <w:p w14:paraId="22949DFA" w14:textId="77777777" w:rsidR="00AB3647" w:rsidRDefault="00000000">
      <w:pPr>
        <w:spacing w:after="0" w:before="0"/>
        <w:jc w:val="both"/>
      </w:pPr>
      <w:r>
        <w:rPr>
          <w:sz w:val="20"/>
          <w:szCs w:val="20"/>
          <w:rtl/>
        </w:rPr>
        <w:footnoteRef/>
      </w:r>
      <w:r>
        <w:rPr>
          <w:sz w:val="20"/>
          <w:szCs w:val="20"/>
          <w:rtl/>
        </w:rPr>
        <w:t xml:space="preserve">. השווה הערה 1 בפרק זה, שבה נזכר מכתב לאבי שלא היה ידוע למחברים הנזכרים לעיל. בידיי מצוי גם העתק של מכתב אחר שלא היה ידוע להם, שסיפק ר׳ פרץ </w:t>
      </w:r>
      <w:proofErr w:type="spellStart"/>
      <w:r>
        <w:rPr>
          <w:sz w:val="20"/>
          <w:szCs w:val="20"/>
          <w:rtl/>
        </w:rPr>
        <w:t>פוזן</w:t>
      </w:r>
      <w:proofErr w:type="spellEnd"/>
      <w:r>
        <w:rPr>
          <w:sz w:val="20"/>
          <w:szCs w:val="20"/>
          <w:rtl/>
        </w:rPr>
        <w:t xml:space="preserve"> (ראה כרך 3), בנו של הנמען.</w:t>
      </w:r>
    </w:p>
  </w:footnote>
  <w:footnote w:id="3214">
    <w:p w14:paraId="3A7D5218" w14:textId="77777777" w:rsidR="00AB3647" w:rsidRDefault="00000000">
      <w:pPr>
        <w:spacing w:after="0" w:before="0"/>
        <w:jc w:val="both"/>
      </w:pPr>
      <w:r>
        <w:rPr>
          <w:sz w:val="20"/>
          <w:szCs w:val="20"/>
          <w:rtl/>
        </w:rPr>
        <w:footnoteRef/>
      </w:r>
      <w:r>
        <w:rPr>
          <w:sz w:val="20"/>
          <w:szCs w:val="20"/>
          <w:rtl/>
        </w:rPr>
        <w:t>. עמ׳ 120.</w:t>
      </w:r>
    </w:p>
  </w:footnote>
  <w:footnote w:id="3215">
    <w:p w14:paraId="74C32720" w14:textId="77777777" w:rsidR="00AB3647" w:rsidRDefault="00000000">
      <w:pPr>
        <w:spacing w:after="0" w:before="0"/>
        <w:jc w:val="both"/>
      </w:pPr>
      <w:r>
        <w:rPr>
          <w:sz w:val="20"/>
          <w:szCs w:val="20"/>
          <w:rtl/>
        </w:rPr>
        <w:footnoteRef/>
      </w:r>
      <w:r>
        <w:rPr>
          <w:sz w:val="20"/>
          <w:szCs w:val="20"/>
          <w:rtl/>
        </w:rPr>
        <w:t>. ראה אבות, פרק ו.</w:t>
      </w:r>
    </w:p>
  </w:footnote>
  <w:footnote w:id="3216">
    <w:p w14:paraId="7DC0F09B" w14:textId="77777777" w:rsidR="00AB3647" w:rsidRDefault="00000000">
      <w:pPr>
        <w:spacing w:after="0" w:before="0"/>
        <w:jc w:val="both"/>
      </w:pPr>
      <w:r>
        <w:rPr>
          <w:sz w:val="20"/>
          <w:szCs w:val="20"/>
          <w:rtl/>
        </w:rPr>
        <w:footnoteRef/>
      </w:r>
      <w:r>
        <w:rPr>
          <w:sz w:val="20"/>
          <w:szCs w:val="20"/>
          <w:rtl/>
        </w:rPr>
        <w:t>. השווה פרק 3, נספח ד.</w:t>
      </w:r>
    </w:p>
  </w:footnote>
  <w:footnote w:id="3217">
    <w:p w14:paraId="6DDB5F6B" w14:textId="77777777" w:rsidR="00AB3647" w:rsidRDefault="00000000">
      <w:pPr>
        <w:spacing w:after="0" w:before="0"/>
        <w:jc w:val="both"/>
      </w:pPr>
      <w:r>
        <w:rPr>
          <w:sz w:val="20"/>
          <w:szCs w:val="20"/>
          <w:rtl/>
        </w:rPr>
        <w:footnoteRef/>
      </w:r>
      <w:r>
        <w:rPr>
          <w:sz w:val="20"/>
          <w:szCs w:val="20"/>
          <w:rtl/>
        </w:rPr>
        <w:t>. ריאיון, 20 במרץ 1988.</w:t>
      </w:r>
    </w:p>
  </w:footnote>
  <w:footnote w:id="3218">
    <w:p w14:paraId="13E8887B"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יוסף־דוד</w:t>
      </w:r>
      <w:proofErr w:type="spellEnd"/>
      <w:r>
        <w:rPr>
          <w:sz w:val="20"/>
          <w:szCs w:val="20"/>
          <w:rtl/>
        </w:rPr>
        <w:t xml:space="preserve"> אפשטיין ציין שהגילוי הפתיע אותו כל כך, עד שזכר בבירור את הזמן והמקום שבהם שמע אותו: הוא ואבי נסעו יחד באוטובוס בשדרות </w:t>
      </w:r>
      <w:proofErr w:type="spellStart"/>
      <w:r>
        <w:rPr>
          <w:sz w:val="20"/>
          <w:szCs w:val="20"/>
          <w:rtl/>
        </w:rPr>
        <w:t>נוסטרנד</w:t>
      </w:r>
      <w:proofErr w:type="spellEnd"/>
      <w:r>
        <w:rPr>
          <w:sz w:val="20"/>
          <w:szCs w:val="20"/>
          <w:rtl/>
        </w:rPr>
        <w:t xml:space="preserve">, בדרכם </w:t>
      </w:r>
      <w:proofErr w:type="spellStart"/>
      <w:r>
        <w:rPr>
          <w:sz w:val="20"/>
          <w:szCs w:val="20"/>
          <w:rtl/>
        </w:rPr>
        <w:t>לוויליאמסבורג</w:t>
      </w:r>
      <w:proofErr w:type="spellEnd"/>
      <w:r>
        <w:rPr>
          <w:sz w:val="20"/>
          <w:szCs w:val="20"/>
          <w:rtl/>
        </w:rPr>
        <w:t xml:space="preserve"> שבברוקלין.</w:t>
      </w:r>
    </w:p>
  </w:footnote>
  <w:footnote w:id="3219">
    <w:p w14:paraId="5AC88CDB" w14:textId="77777777" w:rsidR="00AB3647" w:rsidRDefault="00000000">
      <w:pPr>
        <w:spacing w:after="0" w:before="0"/>
        <w:jc w:val="both"/>
      </w:pPr>
      <w:r>
        <w:rPr>
          <w:sz w:val="20"/>
          <w:szCs w:val="20"/>
          <w:rtl/>
        </w:rPr>
        <w:footnoteRef/>
      </w:r>
      <w:r>
        <w:rPr>
          <w:sz w:val="20"/>
          <w:szCs w:val="20"/>
          <w:rtl/>
        </w:rPr>
        <w:t>. ריאיון, 24 באוקטובר 1991.</w:t>
      </w:r>
    </w:p>
  </w:footnote>
  <w:footnote w:id="3220">
    <w:p w14:paraId="5AD093E9" w14:textId="77777777" w:rsidR="00AB3647" w:rsidRDefault="00000000">
      <w:pPr>
        <w:spacing w:after="0" w:before="0"/>
        <w:jc w:val="both"/>
      </w:pPr>
      <w:r>
        <w:rPr>
          <w:sz w:val="20"/>
          <w:szCs w:val="20"/>
          <w:rtl/>
        </w:rPr>
        <w:footnoteRef/>
      </w:r>
      <w:r>
        <w:rPr>
          <w:sz w:val="20"/>
          <w:szCs w:val="20"/>
          <w:rtl/>
        </w:rPr>
        <w:t>. ריאיון, 31 בדצמבר 1991; והשווה פרק 2, הערה 85.</w:t>
      </w:r>
    </w:p>
  </w:footnote>
  <w:footnote w:id="3221">
    <w:p w14:paraId="0EC73022" w14:textId="77777777" w:rsidR="00AB3647" w:rsidRDefault="00000000">
      <w:pPr>
        <w:spacing w:after="0" w:before="0"/>
        <w:jc w:val="both"/>
      </w:pPr>
      <w:r>
        <w:rPr>
          <w:sz w:val="20"/>
          <w:szCs w:val="20"/>
          <w:rtl/>
        </w:rPr>
        <w:footnoteRef/>
      </w:r>
      <w:r>
        <w:rPr>
          <w:sz w:val="20"/>
          <w:szCs w:val="20"/>
          <w:rtl/>
        </w:rPr>
        <w:t xml:space="preserve">. המקור הנזכר בפרק 2, הערה 10 – עמ׳ </w:t>
      </w:r>
      <w:proofErr w:type="spellStart"/>
      <w:r>
        <w:rPr>
          <w:sz w:val="20"/>
          <w:szCs w:val="20"/>
          <w:rtl/>
        </w:rPr>
        <w:t>קצד</w:t>
      </w:r>
      <w:proofErr w:type="spellEnd"/>
      <w:r>
        <w:rPr>
          <w:sz w:val="20"/>
          <w:szCs w:val="20"/>
          <w:rtl/>
        </w:rPr>
        <w:t>.</w:t>
      </w:r>
    </w:p>
  </w:footnote>
  <w:footnote w:id="3222">
    <w:p w14:paraId="0A8E3DB4" w14:textId="77777777" w:rsidR="00AB3647" w:rsidRDefault="00000000">
      <w:pPr>
        <w:spacing w:after="0" w:before="0"/>
        <w:jc w:val="both"/>
      </w:pPr>
      <w:r>
        <w:rPr>
          <w:sz w:val="20"/>
          <w:szCs w:val="20"/>
          <w:rtl/>
        </w:rPr>
        <w:footnoteRef/>
      </w:r>
      <w:r>
        <w:rPr>
          <w:sz w:val="20"/>
          <w:szCs w:val="20"/>
          <w:rtl/>
        </w:rPr>
        <w:t>. ראה אבות ד, טו.</w:t>
      </w:r>
    </w:p>
  </w:footnote>
  <w:footnote w:id="3223">
    <w:p w14:paraId="0DE1E275" w14:textId="77777777" w:rsidR="00AB3647" w:rsidRDefault="00000000">
      <w:pPr>
        <w:spacing w:after="0" w:before="0"/>
        <w:jc w:val="both"/>
      </w:pPr>
      <w:r>
        <w:rPr>
          <w:sz w:val="20"/>
          <w:szCs w:val="20"/>
          <w:rtl/>
        </w:rPr>
        <w:footnoteRef/>
      </w:r>
      <w:r>
        <w:rPr>
          <w:sz w:val="20"/>
          <w:szCs w:val="20"/>
          <w:rtl/>
        </w:rPr>
        <w:t xml:space="preserve">. גיליון ח׳ באדר תשט״ז. המאמר פורסם “בקשר עם הכינוס השנתי של הסתדרות תלמידי ישיבת </w:t>
      </w:r>
      <w:proofErr w:type="spellStart"/>
      <w:r>
        <w:rPr>
          <w:sz w:val="20"/>
          <w:szCs w:val="20"/>
          <w:rtl/>
        </w:rPr>
        <w:t>סלבודקה</w:t>
      </w:r>
      <w:proofErr w:type="spellEnd"/>
      <w:r>
        <w:rPr>
          <w:sz w:val="20"/>
          <w:szCs w:val="20"/>
          <w:rtl/>
        </w:rPr>
        <w:t xml:space="preserve"> בארצות הברית”.</w:t>
      </w:r>
    </w:p>
  </w:footnote>
  <w:footnote w:id="3224">
    <w:p w14:paraId="2DB96198" w14:textId="77777777" w:rsidR="00AB3647" w:rsidRDefault="00000000">
      <w:pPr>
        <w:spacing w:after="0" w:before="0"/>
        <w:jc w:val="both"/>
      </w:pPr>
      <w:r>
        <w:rPr>
          <w:sz w:val="20"/>
          <w:szCs w:val="20"/>
          <w:rtl/>
        </w:rPr>
        <w:footnoteRef/>
      </w:r>
      <w:r>
        <w:rPr>
          <w:sz w:val="20"/>
          <w:szCs w:val="20"/>
          <w:rtl/>
        </w:rPr>
        <w:t>. השווה גם פרק 3, הערה 55.</w:t>
      </w:r>
    </w:p>
  </w:footnote>
  <w:footnote w:id="3225">
    <w:p w14:paraId="3BE1DBCF" w14:textId="77777777" w:rsidR="00AB3647" w:rsidRDefault="00000000">
      <w:pPr>
        <w:spacing w:after="0" w:before="0"/>
        <w:jc w:val="both"/>
      </w:pPr>
      <w:r>
        <w:rPr>
          <w:sz w:val="20"/>
          <w:szCs w:val="20"/>
          <w:rtl/>
        </w:rPr>
        <w:footnoteRef/>
      </w:r>
      <w:r>
        <w:rPr>
          <w:sz w:val="20"/>
          <w:szCs w:val="20"/>
          <w:rtl/>
        </w:rPr>
        <w:t>. הערה 1 לעיל.</w:t>
      </w:r>
    </w:p>
  </w:footnote>
  <w:footnote w:id="3226">
    <w:p w14:paraId="62BA7B00" w14:textId="77777777" w:rsidR="00AB3647" w:rsidRDefault="00000000">
      <w:pPr>
        <w:spacing w:after="0" w:before="0"/>
        <w:jc w:val="both"/>
      </w:pPr>
      <w:r>
        <w:rPr>
          <w:sz w:val="20"/>
          <w:szCs w:val="20"/>
          <w:rtl/>
        </w:rPr>
        <w:footnoteRef/>
      </w:r>
      <w:r>
        <w:rPr>
          <w:sz w:val="20"/>
          <w:szCs w:val="20"/>
          <w:rtl/>
        </w:rPr>
        <w:t>. הוא הביע חשש שקוראים יתקשו להאמין לסיפורים.</w:t>
      </w:r>
    </w:p>
  </w:footnote>
  <w:footnote w:id="3227">
    <w:p w14:paraId="270D90EF" w14:textId="77777777" w:rsidR="00AB3647" w:rsidRDefault="00000000">
      <w:pPr>
        <w:spacing w:after="0" w:before="0"/>
        <w:jc w:val="both"/>
      </w:pPr>
      <w:r>
        <w:rPr>
          <w:sz w:val="20"/>
          <w:szCs w:val="20"/>
          <w:rtl/>
        </w:rPr>
        <w:footnoteRef/>
      </w:r>
      <w:r>
        <w:rPr>
          <w:sz w:val="20"/>
          <w:szCs w:val="20"/>
          <w:rtl/>
        </w:rPr>
        <w:t>. השווה כרך 2.</w:t>
      </w:r>
    </w:p>
  </w:footnote>
  <w:footnote w:id="3228">
    <w:p w14:paraId="4E7DE3CF" w14:textId="77777777" w:rsidR="00AB3647" w:rsidRDefault="00000000">
      <w:pPr>
        <w:spacing w:after="0" w:before="0"/>
        <w:jc w:val="both"/>
      </w:pPr>
      <w:r>
        <w:rPr>
          <w:sz w:val="20"/>
          <w:szCs w:val="20"/>
          <w:rtl/>
        </w:rPr>
        <w:footnoteRef/>
      </w:r>
      <w:r>
        <w:rPr>
          <w:sz w:val="20"/>
          <w:szCs w:val="20"/>
          <w:rtl/>
        </w:rPr>
        <w:t>. פרק 1, נספח ג.</w:t>
      </w:r>
    </w:p>
  </w:footnote>
  <w:footnote w:id="3229">
    <w:p w14:paraId="4E9964E0" w14:textId="77777777" w:rsidR="00AB3647" w:rsidRDefault="00000000">
      <w:pPr>
        <w:spacing w:after="0" w:before="0"/>
        <w:jc w:val="both"/>
      </w:pPr>
      <w:r>
        <w:rPr>
          <w:sz w:val="20"/>
          <w:szCs w:val="20"/>
          <w:rtl/>
        </w:rPr>
        <w:footnoteRef/>
      </w:r>
      <w:r>
        <w:rPr>
          <w:sz w:val="20"/>
          <w:szCs w:val="20"/>
          <w:rtl/>
        </w:rPr>
        <w:t>. ברכה זו נאמרת רק מחוץ לארץ ישראל.</w:t>
      </w:r>
    </w:p>
  </w:footnote>
  <w:footnote w:id="3230">
    <w:p w14:paraId="6DBFB5B2" w14:textId="77777777" w:rsidR="00AB3647" w:rsidRDefault="00000000">
      <w:pPr>
        <w:spacing w:after="0" w:before="0"/>
        <w:jc w:val="both"/>
      </w:pPr>
      <w:r>
        <w:rPr>
          <w:sz w:val="20"/>
          <w:szCs w:val="20"/>
          <w:rtl/>
        </w:rPr>
        <w:footnoteRef/>
      </w:r>
      <w:r>
        <w:rPr>
          <w:sz w:val="20"/>
          <w:szCs w:val="20"/>
          <w:rtl/>
        </w:rPr>
        <w:t>. ריאיון, 10 ביוני 1993.</w:t>
      </w:r>
    </w:p>
  </w:footnote>
  <w:footnote w:id="3231">
    <w:p w14:paraId="6EAA6313" w14:textId="77777777" w:rsidR="00AB3647" w:rsidRDefault="00000000">
      <w:pPr>
        <w:spacing w:after="0" w:before="0"/>
        <w:jc w:val="both"/>
      </w:pPr>
      <w:r>
        <w:rPr>
          <w:sz w:val="20"/>
          <w:szCs w:val="20"/>
          <w:rtl/>
        </w:rPr>
        <w:footnoteRef/>
      </w:r>
      <w:r>
        <w:rPr>
          <w:sz w:val="20"/>
          <w:szCs w:val="20"/>
          <w:rtl/>
        </w:rPr>
        <w:t>. ראה פרק 1, הערה 75.</w:t>
      </w:r>
    </w:p>
  </w:footnote>
  <w:footnote w:id="3232">
    <w:p w14:paraId="19A7C205" w14:textId="77777777" w:rsidR="00AB3647" w:rsidRDefault="00000000">
      <w:pPr>
        <w:spacing w:after="0" w:before="0"/>
        <w:jc w:val="both"/>
      </w:pPr>
      <w:r>
        <w:rPr>
          <w:sz w:val="20"/>
          <w:szCs w:val="20"/>
          <w:rtl/>
        </w:rPr>
        <w:footnoteRef/>
      </w:r>
      <w:r>
        <w:rPr>
          <w:sz w:val="20"/>
          <w:szCs w:val="20"/>
          <w:rtl/>
        </w:rPr>
        <w:t>. השווה פרק 1, הערה 8.</w:t>
      </w:r>
    </w:p>
  </w:footnote>
  <w:footnote w:id="3233">
    <w:p w14:paraId="53CB05DE" w14:textId="77777777" w:rsidR="00AB3647" w:rsidRDefault="00000000">
      <w:pPr>
        <w:spacing w:after="0" w:before="0"/>
        <w:jc w:val="both"/>
      </w:pPr>
      <w:r>
        <w:rPr>
          <w:sz w:val="20"/>
          <w:szCs w:val="20"/>
          <w:rtl/>
        </w:rPr>
        <w:footnoteRef/>
      </w:r>
      <w:r>
        <w:rPr>
          <w:sz w:val="20"/>
          <w:szCs w:val="20"/>
          <w:rtl/>
        </w:rPr>
        <w:t>. ריאיון, 25 באפריל 1995.</w:t>
      </w:r>
    </w:p>
  </w:footnote>
  <w:footnote w:id="3234">
    <w:p w14:paraId="2EACFD80" w14:textId="77777777" w:rsidR="00AB3647" w:rsidRDefault="00000000">
      <w:pPr>
        <w:spacing w:after="0" w:before="0"/>
        <w:jc w:val="both"/>
      </w:pPr>
      <w:r>
        <w:rPr>
          <w:sz w:val="20"/>
          <w:szCs w:val="20"/>
          <w:rtl/>
        </w:rPr>
        <w:footnoteRef/>
      </w:r>
      <w:r>
        <w:rPr>
          <w:sz w:val="20"/>
          <w:szCs w:val="20"/>
          <w:rtl/>
        </w:rPr>
        <w:t>. השווה הפסקה שלפני האחרונה בסעיף 2 של פרק 3.</w:t>
      </w:r>
    </w:p>
  </w:footnote>
  <w:footnote w:id="3235">
    <w:p w14:paraId="3D85E7E6" w14:textId="77777777" w:rsidR="00AB3647" w:rsidRDefault="00000000">
      <w:pPr>
        <w:spacing w:after="0" w:before="0"/>
        <w:jc w:val="both"/>
      </w:pPr>
      <w:r>
        <w:rPr>
          <w:sz w:val="20"/>
          <w:szCs w:val="20"/>
          <w:rtl/>
        </w:rPr>
        <w:footnoteRef/>
      </w:r>
      <w:r>
        <w:rPr>
          <w:sz w:val="20"/>
          <w:szCs w:val="20"/>
          <w:rtl/>
        </w:rPr>
        <w:t>. השווה רמב״ם, הלכות תשובה ג, ד.</w:t>
      </w:r>
    </w:p>
  </w:footnote>
  <w:footnote w:id="3236">
    <w:p w14:paraId="551E3892" w14:textId="77777777" w:rsidR="00AB3647" w:rsidRDefault="00000000">
      <w:pPr>
        <w:spacing w:after="0" w:before="0"/>
        <w:jc w:val="both"/>
      </w:pPr>
      <w:r>
        <w:rPr>
          <w:sz w:val="20"/>
          <w:szCs w:val="20"/>
          <w:rtl/>
        </w:rPr>
        <w:footnoteRef/>
      </w:r>
      <w:r>
        <w:rPr>
          <w:sz w:val="20"/>
          <w:szCs w:val="20"/>
          <w:rtl/>
        </w:rPr>
        <w:t>. השווה הפסקה השלישית מן הסוף בסעיף 1 של פרק 3 והערה 51 שם.</w:t>
      </w:r>
    </w:p>
  </w:footnote>
  <w:footnote w:id="3237">
    <w:p w14:paraId="036D26F6" w14:textId="77777777" w:rsidR="00AB3647" w:rsidRDefault="00000000">
      <w:pPr>
        <w:spacing w:after="0" w:before="0"/>
        <w:jc w:val="both"/>
      </w:pPr>
      <w:r>
        <w:rPr>
          <w:sz w:val="20"/>
          <w:szCs w:val="20"/>
          <w:rtl/>
        </w:rPr>
        <w:footnoteRef/>
      </w:r>
      <w:r>
        <w:rPr>
          <w:sz w:val="20"/>
          <w:szCs w:val="20"/>
          <w:rtl/>
        </w:rPr>
        <w:t>. השווה פרק 3, נספח ג.</w:t>
      </w:r>
    </w:p>
  </w:footnote>
  <w:footnote w:id="3238">
    <w:p w14:paraId="0D7C70C1" w14:textId="77777777" w:rsidR="00AB3647" w:rsidRDefault="00000000">
      <w:pPr>
        <w:spacing w:after="0" w:before="0"/>
        <w:jc w:val="both"/>
      </w:pPr>
      <w:r>
        <w:rPr>
          <w:sz w:val="20"/>
          <w:szCs w:val="20"/>
          <w:rtl/>
        </w:rPr>
        <w:footnoteRef/>
      </w:r>
      <w:r>
        <w:rPr>
          <w:sz w:val="20"/>
          <w:szCs w:val="20"/>
          <w:rtl/>
        </w:rPr>
        <w:t>. ריאיון, 7 בדצמבר 1991.</w:t>
      </w:r>
    </w:p>
  </w:footnote>
  <w:footnote w:id="3239">
    <w:p w14:paraId="79FE573A" w14:textId="77777777" w:rsidR="00AB3647" w:rsidRDefault="00000000">
      <w:pPr>
        <w:spacing w:after="0" w:before="0"/>
        <w:jc w:val="both"/>
      </w:pPr>
      <w:r>
        <w:rPr>
          <w:sz w:val="20"/>
          <w:szCs w:val="20"/>
          <w:rtl/>
        </w:rPr>
        <w:footnoteRef/>
      </w:r>
      <w:r>
        <w:rPr>
          <w:sz w:val="20"/>
          <w:szCs w:val="20"/>
          <w:rtl/>
        </w:rPr>
        <w:t>. ריאיון, 16 באוקטובר 1992.</w:t>
      </w:r>
    </w:p>
  </w:footnote>
  <w:footnote w:id="3240">
    <w:p w14:paraId="2D655856" w14:textId="77777777" w:rsidR="00AB3647" w:rsidRDefault="00000000">
      <w:pPr>
        <w:spacing w:after="0" w:before="0"/>
        <w:jc w:val="both"/>
      </w:pPr>
      <w:r>
        <w:rPr>
          <w:sz w:val="20"/>
          <w:szCs w:val="20"/>
          <w:rtl/>
        </w:rPr>
        <w:footnoteRef/>
      </w:r>
      <w:r>
        <w:rPr>
          <w:sz w:val="20"/>
          <w:szCs w:val="20"/>
          <w:rtl/>
        </w:rPr>
        <w:t>. פרק 1, נספח ג.</w:t>
      </w:r>
    </w:p>
  </w:footnote>
  <w:footnote w:id="3241">
    <w:p w14:paraId="23FAB648" w14:textId="77777777" w:rsidR="00AB3647" w:rsidRDefault="00000000">
      <w:pPr>
        <w:spacing w:after="0" w:before="0"/>
        <w:jc w:val="both"/>
      </w:pPr>
      <w:r>
        <w:rPr>
          <w:sz w:val="20"/>
          <w:szCs w:val="20"/>
          <w:rtl/>
        </w:rPr>
        <w:footnoteRef/>
      </w:r>
      <w:r>
        <w:rPr>
          <w:sz w:val="20"/>
          <w:szCs w:val="20"/>
          <w:rtl/>
        </w:rPr>
        <w:t>. ריאיון, 20 בנובמבר 1987.</w:t>
      </w:r>
    </w:p>
  </w:footnote>
  <w:footnote w:id="3242">
    <w:p w14:paraId="642FB63B" w14:textId="77777777" w:rsidR="00AB3647" w:rsidRDefault="00000000">
      <w:pPr>
        <w:spacing w:after="0" w:before="0"/>
        <w:jc w:val="both"/>
      </w:pPr>
      <w:r>
        <w:rPr>
          <w:sz w:val="20"/>
          <w:szCs w:val="20"/>
          <w:rtl/>
        </w:rPr>
        <w:footnoteRef/>
      </w:r>
      <w:r>
        <w:rPr>
          <w:sz w:val="20"/>
          <w:szCs w:val="20"/>
          <w:rtl/>
        </w:rPr>
        <w:t xml:space="preserve">. הערה 14 לעיל – עמ׳ 352, אות </w:t>
      </w:r>
      <w:proofErr w:type="spellStart"/>
      <w:r>
        <w:rPr>
          <w:sz w:val="20"/>
          <w:szCs w:val="20"/>
          <w:rtl/>
        </w:rPr>
        <w:t>יט</w:t>
      </w:r>
      <w:proofErr w:type="spellEnd"/>
      <w:r>
        <w:rPr>
          <w:sz w:val="20"/>
          <w:szCs w:val="20"/>
          <w:rtl/>
        </w:rPr>
        <w:t>.</w:t>
      </w:r>
    </w:p>
  </w:footnote>
  <w:footnote w:id="3243">
    <w:p w14:paraId="156ED99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דרויאנוב</w:t>
      </w:r>
      <w:proofErr w:type="spellEnd"/>
      <w:r>
        <w:rPr>
          <w:sz w:val="20"/>
          <w:szCs w:val="20"/>
          <w:rtl/>
        </w:rPr>
        <w:t xml:space="preserve"> למד שם שנתיים, החל </w:t>
      </w:r>
      <w:proofErr w:type="spellStart"/>
      <w:r>
        <w:rPr>
          <w:sz w:val="20"/>
          <w:szCs w:val="20"/>
          <w:rtl/>
        </w:rPr>
        <w:t>בתרמ״ז</w:t>
      </w:r>
      <w:proofErr w:type="spellEnd"/>
      <w:r>
        <w:rPr>
          <w:sz w:val="20"/>
          <w:szCs w:val="20"/>
          <w:rtl/>
        </w:rPr>
        <w:t>.</w:t>
      </w:r>
    </w:p>
  </w:footnote>
  <w:footnote w:id="3244">
    <w:p w14:paraId="589F3041" w14:textId="77777777" w:rsidR="00AB3647" w:rsidRDefault="00000000">
      <w:pPr>
        <w:spacing w:after="0" w:before="0"/>
        <w:jc w:val="both"/>
      </w:pPr>
      <w:r>
        <w:rPr>
          <w:sz w:val="20"/>
          <w:szCs w:val="20"/>
          <w:rtl/>
        </w:rPr>
        <w:footnoteRef/>
      </w:r>
      <w:r>
        <w:rPr>
          <w:sz w:val="20"/>
          <w:szCs w:val="20"/>
          <w:rtl/>
        </w:rPr>
        <w:t>. באותה עת היה בן שבעים.</w:t>
      </w:r>
    </w:p>
  </w:footnote>
  <w:footnote w:id="3245">
    <w:p w14:paraId="6E0B0DBE" w14:textId="77777777" w:rsidR="00AB3647" w:rsidRDefault="00000000">
      <w:pPr>
        <w:spacing w:after="0" w:before="0"/>
        <w:jc w:val="both"/>
      </w:pPr>
      <w:r>
        <w:rPr>
          <w:sz w:val="20"/>
          <w:szCs w:val="20"/>
          <w:rtl/>
        </w:rPr>
        <w:footnoteRef/>
      </w:r>
      <w:r>
        <w:rPr>
          <w:sz w:val="20"/>
          <w:szCs w:val="20"/>
          <w:rtl/>
        </w:rPr>
        <w:t>. הערה 1 לעיל – עמ׳ 290.</w:t>
      </w:r>
    </w:p>
  </w:footnote>
  <w:footnote w:id="3246">
    <w:p w14:paraId="391B33F3" w14:textId="77777777" w:rsidR="00AB3647" w:rsidRDefault="00000000">
      <w:pPr>
        <w:spacing w:after="0" w:before="0"/>
        <w:jc w:val="both"/>
      </w:pPr>
      <w:r>
        <w:rPr>
          <w:sz w:val="20"/>
          <w:szCs w:val="20"/>
          <w:rtl/>
        </w:rPr>
        <w:footnoteRef/>
      </w:r>
      <w:r>
        <w:rPr>
          <w:sz w:val="20"/>
          <w:szCs w:val="20"/>
          <w:rtl/>
        </w:rPr>
        <w:t>. עמ׳ 290–291.</w:t>
      </w:r>
    </w:p>
  </w:footnote>
  <w:footnote w:id="3247">
    <w:p w14:paraId="63A4C9EA" w14:textId="77777777" w:rsidR="00AB3647" w:rsidRDefault="00000000">
      <w:pPr>
        <w:spacing w:after="0" w:before="0"/>
        <w:jc w:val="both"/>
      </w:pPr>
      <w:r>
        <w:rPr>
          <w:sz w:val="20"/>
          <w:szCs w:val="20"/>
          <w:rtl/>
        </w:rPr>
        <w:footnoteRef/>
      </w:r>
      <w:r>
        <w:rPr>
          <w:sz w:val="20"/>
          <w:szCs w:val="20"/>
          <w:rtl/>
        </w:rPr>
        <w:t>. פרק 1, הערה 77.</w:t>
      </w:r>
    </w:p>
  </w:footnote>
  <w:footnote w:id="3248">
    <w:p w14:paraId="43E311A4" w14:textId="77777777" w:rsidR="00AB3647" w:rsidRDefault="00000000">
      <w:pPr>
        <w:spacing w:after="0" w:before="0"/>
        <w:jc w:val="both"/>
      </w:pPr>
      <w:r>
        <w:rPr>
          <w:sz w:val="20"/>
          <w:szCs w:val="20"/>
          <w:rtl/>
        </w:rPr>
        <w:footnoteRef/>
      </w:r>
      <w:r>
        <w:rPr>
          <w:sz w:val="20"/>
          <w:szCs w:val="20"/>
          <w:rtl/>
        </w:rPr>
        <w:t>. הפסקה השנייה של נספח ב להלן – עמ׳ 276.</w:t>
      </w:r>
    </w:p>
  </w:footnote>
  <w:footnote w:id="3249">
    <w:p w14:paraId="79288F2D" w14:textId="77777777" w:rsidR="00AB3647" w:rsidRDefault="00000000">
      <w:pPr>
        <w:spacing w:after="0" w:before="0"/>
        <w:jc w:val="both"/>
      </w:pPr>
      <w:r>
        <w:rPr>
          <w:sz w:val="20"/>
          <w:szCs w:val="20"/>
          <w:rtl/>
        </w:rPr>
        <w:footnoteRef/>
      </w:r>
      <w:r>
        <w:rPr>
          <w:sz w:val="20"/>
          <w:szCs w:val="20"/>
          <w:rtl/>
        </w:rPr>
        <w:t>. הערה 7 לעיל – עמ׳ 171.</w:t>
      </w:r>
    </w:p>
  </w:footnote>
  <w:footnote w:id="3250">
    <w:p w14:paraId="24099FF2" w14:textId="77777777" w:rsidR="00AB3647" w:rsidRDefault="00000000">
      <w:pPr>
        <w:spacing w:after="0" w:before="0"/>
        <w:jc w:val="both"/>
      </w:pPr>
      <w:r>
        <w:rPr>
          <w:sz w:val="20"/>
          <w:szCs w:val="20"/>
          <w:rtl/>
        </w:rPr>
        <w:footnoteRef/>
      </w:r>
      <w:r>
        <w:rPr>
          <w:sz w:val="20"/>
          <w:szCs w:val="20"/>
          <w:rtl/>
        </w:rPr>
        <w:t>. השווה הפסקה הראשונה של פרק 3, נספח ח.</w:t>
      </w:r>
    </w:p>
  </w:footnote>
  <w:footnote w:id="3251">
    <w:p w14:paraId="2049BE4A" w14:textId="77777777" w:rsidR="00AB3647" w:rsidRDefault="00000000">
      <w:pPr>
        <w:spacing w:after="0" w:before="0"/>
        <w:jc w:val="both"/>
      </w:pPr>
      <w:r>
        <w:rPr>
          <w:sz w:val="20"/>
          <w:szCs w:val="20"/>
          <w:rtl/>
        </w:rPr>
        <w:footnoteRef/>
      </w:r>
      <w:r>
        <w:rPr>
          <w:sz w:val="20"/>
          <w:szCs w:val="20"/>
          <w:rtl/>
        </w:rPr>
        <w:t xml:space="preserve">. ר׳ ישראל החל ללמד </w:t>
      </w:r>
      <w:proofErr w:type="spellStart"/>
      <w:r>
        <w:rPr>
          <w:sz w:val="20"/>
          <w:szCs w:val="20"/>
          <w:rtl/>
        </w:rPr>
        <w:t>בזארעטשע</w:t>
      </w:r>
      <w:proofErr w:type="spellEnd"/>
      <w:r>
        <w:rPr>
          <w:sz w:val="20"/>
          <w:szCs w:val="20"/>
          <w:rtl/>
        </w:rPr>
        <w:t xml:space="preserve"> בסביבות תר״ב, לפי כץ, “תנועת המוסר”, כרך א, עמ׳ 149.</w:t>
      </w:r>
    </w:p>
  </w:footnote>
  <w:footnote w:id="3252">
    <w:p w14:paraId="4815D946" w14:textId="77777777" w:rsidR="00AB3647" w:rsidRDefault="00000000">
      <w:pPr>
        <w:spacing w:after="0" w:before="0"/>
        <w:jc w:val="both"/>
      </w:pPr>
      <w:r>
        <w:rPr>
          <w:sz w:val="20"/>
          <w:szCs w:val="20"/>
          <w:rtl/>
        </w:rPr>
        <w:footnoteRef/>
      </w:r>
      <w:r>
        <w:rPr>
          <w:sz w:val="20"/>
          <w:szCs w:val="20"/>
          <w:rtl/>
        </w:rPr>
        <w:t>. עמ׳ 274.</w:t>
      </w:r>
    </w:p>
  </w:footnote>
  <w:footnote w:id="3253">
    <w:p w14:paraId="093D3BB5" w14:textId="77777777" w:rsidR="00AB3647" w:rsidRDefault="00000000">
      <w:pPr>
        <w:spacing w:after="0" w:before="0"/>
        <w:jc w:val="both"/>
      </w:pPr>
      <w:r>
        <w:rPr>
          <w:sz w:val="20"/>
          <w:szCs w:val="20"/>
          <w:rtl/>
        </w:rPr>
        <w:footnoteRef/>
      </w:r>
      <w:r>
        <w:rPr>
          <w:sz w:val="20"/>
          <w:szCs w:val="20"/>
          <w:rtl/>
        </w:rPr>
        <w:t>. הערה 1 לעיל.</w:t>
      </w:r>
    </w:p>
  </w:footnote>
  <w:footnote w:id="3254">
    <w:p w14:paraId="0D284A1A" w14:textId="77777777" w:rsidR="00AB3647" w:rsidRDefault="00000000">
      <w:pPr>
        <w:spacing w:after="0" w:before="0"/>
        <w:jc w:val="both"/>
      </w:pPr>
      <w:r>
        <w:rPr>
          <w:sz w:val="20"/>
          <w:szCs w:val="20"/>
          <w:rtl/>
        </w:rPr>
        <w:footnoteRef/>
      </w:r>
      <w:r>
        <w:rPr>
          <w:sz w:val="20"/>
          <w:szCs w:val="20"/>
          <w:rtl/>
        </w:rPr>
        <w:t xml:space="preserve">. כץ, “תנועת המוסר”, כרך ב, עמ׳ 284, טועה באומרו כי “עבר לארץ ישראל </w:t>
      </w:r>
      <w:proofErr w:type="spellStart"/>
      <w:r>
        <w:rPr>
          <w:sz w:val="20"/>
          <w:szCs w:val="20"/>
          <w:rtl/>
        </w:rPr>
        <w:t>בתרס״ו</w:t>
      </w:r>
      <w:proofErr w:type="spellEnd"/>
      <w:r>
        <w:rPr>
          <w:sz w:val="20"/>
          <w:szCs w:val="20"/>
          <w:rtl/>
        </w:rPr>
        <w:t xml:space="preserve"> לאחר שנפטרה אשתו”, וכך גם בערל </w:t>
      </w:r>
      <w:proofErr w:type="spellStart"/>
      <w:r>
        <w:rPr>
          <w:sz w:val="20"/>
          <w:szCs w:val="20"/>
          <w:rtl/>
        </w:rPr>
        <w:t>קגן</w:t>
      </w:r>
      <w:proofErr w:type="spellEnd"/>
      <w:r>
        <w:rPr>
          <w:sz w:val="20"/>
          <w:szCs w:val="20"/>
          <w:rtl/>
        </w:rPr>
        <w:t xml:space="preserve"> (המקור הנזכר בפרק 1, הפסקה הראשונה של נספח ב), עמ׳ 22, המקדים את המועד עוד יותר, לשנת 1902.</w:t>
      </w:r>
    </w:p>
  </w:footnote>
  <w:footnote w:id="3255">
    <w:p w14:paraId="5DAF7586" w14:textId="77777777" w:rsidR="00AB3647" w:rsidRDefault="00000000">
      <w:pPr>
        <w:spacing w:after="0" w:before="0"/>
        <w:jc w:val="both"/>
      </w:pPr>
      <w:r>
        <w:rPr>
          <w:sz w:val="20"/>
          <w:szCs w:val="20"/>
          <w:rtl/>
        </w:rPr>
        <w:footnoteRef/>
      </w:r>
      <w:r>
        <w:rPr>
          <w:sz w:val="20"/>
          <w:szCs w:val="20"/>
          <w:rtl/>
        </w:rPr>
        <w:t>. עמ׳ 276.</w:t>
      </w:r>
    </w:p>
  </w:footnote>
  <w:footnote w:id="3256">
    <w:p w14:paraId="2F3C8AB8"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תשפ</w:t>
      </w:r>
      <w:proofErr w:type="spellEnd"/>
      <w:r>
        <w:rPr>
          <w:sz w:val="20"/>
          <w:szCs w:val="20"/>
          <w:rtl/>
        </w:rPr>
        <w:t>, אות ז.</w:t>
      </w:r>
    </w:p>
  </w:footnote>
  <w:footnote w:id="3257">
    <w:p w14:paraId="40A2840B" w14:textId="77777777" w:rsidR="00AB3647" w:rsidRDefault="00000000">
      <w:pPr>
        <w:spacing w:after="0" w:before="0"/>
        <w:jc w:val="both"/>
      </w:pPr>
      <w:r>
        <w:rPr>
          <w:sz w:val="20"/>
          <w:szCs w:val="20"/>
          <w:rtl/>
        </w:rPr>
        <w:footnoteRef/>
      </w:r>
      <w:r>
        <w:rPr>
          <w:sz w:val="20"/>
          <w:szCs w:val="20"/>
          <w:rtl/>
        </w:rPr>
        <w:t>. עמ׳ 286.</w:t>
      </w:r>
    </w:p>
  </w:footnote>
  <w:footnote w:id="3258">
    <w:p w14:paraId="35B0739C" w14:textId="77777777" w:rsidR="00AB3647" w:rsidRDefault="00000000">
      <w:pPr>
        <w:spacing w:after="0" w:before="0"/>
        <w:jc w:val="both"/>
      </w:pPr>
      <w:r>
        <w:rPr>
          <w:sz w:val="20"/>
          <w:szCs w:val="20"/>
          <w:rtl/>
        </w:rPr>
        <w:footnoteRef/>
      </w:r>
      <w:r>
        <w:rPr>
          <w:sz w:val="20"/>
          <w:szCs w:val="20"/>
          <w:rtl/>
        </w:rPr>
        <w:t>. ריאיון, 21 במרץ 1995.</w:t>
      </w:r>
    </w:p>
  </w:footnote>
  <w:footnote w:id="3259">
    <w:p w14:paraId="4D500ACD" w14:textId="77777777" w:rsidR="00AB3647" w:rsidRDefault="00000000">
      <w:pPr>
        <w:spacing w:after="0" w:before="0"/>
        <w:jc w:val="both"/>
      </w:pPr>
      <w:r>
        <w:rPr>
          <w:sz w:val="20"/>
          <w:szCs w:val="20"/>
          <w:rtl/>
        </w:rPr>
        <w:footnoteRef/>
      </w:r>
      <w:r>
        <w:rPr>
          <w:sz w:val="20"/>
          <w:szCs w:val="20"/>
          <w:rtl/>
        </w:rPr>
        <w:t>. עמ׳ 276.</w:t>
      </w:r>
    </w:p>
  </w:footnote>
  <w:footnote w:id="3260">
    <w:p w14:paraId="12BB403A" w14:textId="77777777" w:rsidR="00AB3647" w:rsidRDefault="00000000">
      <w:pPr>
        <w:spacing w:after="0" w:before="0"/>
        <w:jc w:val="both"/>
      </w:pPr>
      <w:r>
        <w:rPr>
          <w:sz w:val="20"/>
          <w:szCs w:val="20"/>
          <w:rtl/>
        </w:rPr>
        <w:footnoteRef/>
      </w:r>
      <w:r>
        <w:rPr>
          <w:sz w:val="20"/>
          <w:szCs w:val="20"/>
          <w:rtl/>
        </w:rPr>
        <w:t xml:space="preserve">. עיין שופטים </w:t>
      </w:r>
      <w:proofErr w:type="spellStart"/>
      <w:r>
        <w:rPr>
          <w:sz w:val="20"/>
          <w:szCs w:val="20"/>
          <w:rtl/>
        </w:rPr>
        <w:t>יג</w:t>
      </w:r>
      <w:proofErr w:type="spellEnd"/>
      <w:r>
        <w:rPr>
          <w:sz w:val="20"/>
          <w:szCs w:val="20"/>
          <w:rtl/>
        </w:rPr>
        <w:t>, כה.</w:t>
      </w:r>
    </w:p>
  </w:footnote>
  <w:footnote w:id="3261">
    <w:p w14:paraId="349BBE2C" w14:textId="77777777" w:rsidR="00AB3647" w:rsidRDefault="00000000">
      <w:pPr>
        <w:spacing w:after="0" w:before="0"/>
        <w:jc w:val="both"/>
      </w:pPr>
      <w:r>
        <w:rPr>
          <w:sz w:val="20"/>
          <w:szCs w:val="20"/>
          <w:rtl/>
        </w:rPr>
        <w:footnoteRef/>
      </w:r>
      <w:r>
        <w:rPr>
          <w:sz w:val="20"/>
          <w:szCs w:val="20"/>
          <w:rtl/>
        </w:rPr>
        <w:t>. עמ׳ 171.</w:t>
      </w:r>
    </w:p>
  </w:footnote>
  <w:footnote w:id="3262">
    <w:p w14:paraId="55DB744D" w14:textId="77777777" w:rsidR="00AB3647" w:rsidRDefault="00000000">
      <w:pPr>
        <w:spacing w:after="0" w:before="0"/>
        <w:jc w:val="both"/>
      </w:pPr>
      <w:r>
        <w:rPr>
          <w:sz w:val="20"/>
          <w:szCs w:val="20"/>
          <w:rtl/>
        </w:rPr>
        <w:footnoteRef/>
      </w:r>
      <w:r>
        <w:rPr>
          <w:sz w:val="20"/>
          <w:szCs w:val="20"/>
          <w:rtl/>
        </w:rPr>
        <w:t>. השווה פרק 3, הפסקה השנייה של נספח ב.</w:t>
      </w:r>
    </w:p>
  </w:footnote>
  <w:footnote w:id="3263">
    <w:p w14:paraId="5F099167" w14:textId="77777777" w:rsidR="00AB3647" w:rsidRDefault="00000000">
      <w:pPr>
        <w:spacing w:after="0" w:before="0"/>
        <w:jc w:val="both"/>
      </w:pPr>
      <w:r>
        <w:rPr>
          <w:sz w:val="20"/>
          <w:szCs w:val="20"/>
          <w:rtl/>
        </w:rPr>
        <w:footnoteRef/>
      </w:r>
      <w:r>
        <w:rPr>
          <w:sz w:val="20"/>
          <w:szCs w:val="20"/>
          <w:rtl/>
        </w:rPr>
        <w:t>. כץ, “תנועת המוסר”, כרך ב, עמ׳ 220.</w:t>
      </w:r>
    </w:p>
  </w:footnote>
  <w:footnote w:id="3264">
    <w:p w14:paraId="0D1BF7AF" w14:textId="77777777" w:rsidR="00AB3647" w:rsidRDefault="00000000">
      <w:pPr>
        <w:spacing w:after="0" w:before="0"/>
        <w:jc w:val="both"/>
      </w:pPr>
      <w:r>
        <w:rPr>
          <w:sz w:val="20"/>
          <w:szCs w:val="20"/>
          <w:rtl/>
        </w:rPr>
        <w:footnoteRef/>
      </w:r>
      <w:r>
        <w:rPr>
          <w:sz w:val="20"/>
          <w:szCs w:val="20"/>
          <w:rtl/>
        </w:rPr>
        <w:t>. השווה הערה 69 לעיל.</w:t>
      </w:r>
    </w:p>
  </w:footnote>
  <w:footnote w:id="3265">
    <w:p w14:paraId="04F9B132" w14:textId="77777777" w:rsidR="00AB3647" w:rsidRDefault="00000000">
      <w:pPr>
        <w:spacing w:after="0" w:before="0"/>
        <w:jc w:val="both"/>
      </w:pPr>
      <w:r>
        <w:rPr>
          <w:sz w:val="20"/>
          <w:szCs w:val="20"/>
          <w:rtl/>
        </w:rPr>
        <w:footnoteRef/>
      </w:r>
      <w:r>
        <w:rPr>
          <w:sz w:val="20"/>
          <w:szCs w:val="20"/>
          <w:rtl/>
        </w:rPr>
        <w:t>. עמ׳ 220.</w:t>
      </w:r>
    </w:p>
  </w:footnote>
  <w:footnote w:id="3266">
    <w:p w14:paraId="7A0F7C9D" w14:textId="77777777" w:rsidR="00AB3647" w:rsidRDefault="00000000">
      <w:pPr>
        <w:spacing w:after="0" w:before="0"/>
        <w:jc w:val="both"/>
      </w:pPr>
      <w:r>
        <w:rPr>
          <w:sz w:val="20"/>
          <w:szCs w:val="20"/>
          <w:rtl/>
        </w:rPr>
        <w:footnoteRef/>
      </w:r>
      <w:r>
        <w:rPr>
          <w:sz w:val="20"/>
          <w:szCs w:val="20"/>
          <w:rtl/>
        </w:rPr>
        <w:t>. המקור הנזכר בפרק 3, נספח ב – עמ׳ רט.</w:t>
      </w:r>
    </w:p>
  </w:footnote>
  <w:footnote w:id="3267">
    <w:p w14:paraId="3F2C8EBE" w14:textId="77777777" w:rsidR="00AB3647" w:rsidRDefault="00000000">
      <w:pPr>
        <w:spacing w:after="0" w:before="0"/>
        <w:jc w:val="both"/>
      </w:pPr>
      <w:r>
        <w:rPr>
          <w:sz w:val="20"/>
          <w:szCs w:val="20"/>
          <w:rtl/>
        </w:rPr>
        <w:footnoteRef/>
      </w:r>
      <w:r>
        <w:rPr>
          <w:sz w:val="20"/>
          <w:szCs w:val="20"/>
          <w:rtl/>
        </w:rPr>
        <w:t>. עמ׳ 277, 279 ו־281–282.</w:t>
      </w:r>
    </w:p>
  </w:footnote>
  <w:footnote w:id="3268">
    <w:p w14:paraId="2B6CE4AB" w14:textId="77777777" w:rsidR="00AB3647" w:rsidRDefault="00000000">
      <w:pPr>
        <w:spacing w:after="0" w:before="0"/>
        <w:jc w:val="both"/>
      </w:pPr>
      <w:r>
        <w:rPr>
          <w:sz w:val="20"/>
          <w:szCs w:val="20"/>
          <w:rtl/>
        </w:rPr>
        <w:footnoteRef/>
      </w:r>
      <w:r>
        <w:rPr>
          <w:sz w:val="20"/>
          <w:szCs w:val="20"/>
          <w:rtl/>
        </w:rPr>
        <w:t xml:space="preserve">. הערה 20 לעיל – כרך 2, עמ׳ </w:t>
      </w:r>
      <w:proofErr w:type="spellStart"/>
      <w:r>
        <w:rPr>
          <w:sz w:val="20"/>
          <w:szCs w:val="20"/>
          <w:rtl/>
        </w:rPr>
        <w:t>תשצד</w:t>
      </w:r>
      <w:proofErr w:type="spellEnd"/>
      <w:r>
        <w:rPr>
          <w:sz w:val="20"/>
          <w:szCs w:val="20"/>
          <w:rtl/>
        </w:rPr>
        <w:t>–</w:t>
      </w:r>
      <w:proofErr w:type="spellStart"/>
      <w:r>
        <w:rPr>
          <w:sz w:val="20"/>
          <w:szCs w:val="20"/>
          <w:rtl/>
        </w:rPr>
        <w:t>תשצה</w:t>
      </w:r>
      <w:proofErr w:type="spellEnd"/>
      <w:r>
        <w:rPr>
          <w:sz w:val="20"/>
          <w:szCs w:val="20"/>
          <w:rtl/>
        </w:rPr>
        <w:t>, אות מט.</w:t>
      </w:r>
    </w:p>
  </w:footnote>
  <w:footnote w:id="3269">
    <w:p w14:paraId="0B8D3F34" w14:textId="77777777" w:rsidR="00AB3647" w:rsidRDefault="00000000">
      <w:pPr>
        <w:spacing w:after="0" w:before="0"/>
        <w:jc w:val="both"/>
      </w:pPr>
      <w:r>
        <w:rPr>
          <w:sz w:val="20"/>
          <w:szCs w:val="20"/>
          <w:rtl/>
        </w:rPr>
        <w:footnoteRef/>
      </w:r>
      <w:r>
        <w:rPr>
          <w:sz w:val="20"/>
          <w:szCs w:val="20"/>
          <w:rtl/>
        </w:rPr>
        <w:t>. “כתבי הסבא” ראה אור למעלה מארבעים שנה אחרי סדרת “תנועת המוסר”.</w:t>
      </w:r>
    </w:p>
  </w:footnote>
  <w:footnote w:id="3270">
    <w:p w14:paraId="44BE6184" w14:textId="77777777" w:rsidR="00AB3647" w:rsidRDefault="00000000">
      <w:pPr>
        <w:spacing w:after="0" w:before="0"/>
        <w:jc w:val="both"/>
      </w:pPr>
      <w:r>
        <w:rPr>
          <w:sz w:val="20"/>
          <w:szCs w:val="20"/>
          <w:rtl/>
        </w:rPr>
        <w:footnoteRef/>
      </w:r>
      <w:r>
        <w:rPr>
          <w:sz w:val="20"/>
          <w:szCs w:val="20"/>
          <w:rtl/>
        </w:rPr>
        <w:t>. עמ׳ 21.</w:t>
      </w:r>
    </w:p>
  </w:footnote>
  <w:footnote w:id="3271">
    <w:p w14:paraId="34E03976"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לעיל נאמר שכולל קובנה נחנך בשנת תרל״ז. ר׳ נפתלי, שנולד </w:t>
      </w:r>
      <w:proofErr w:type="spellStart"/>
      <w:r>
        <w:rPr>
          <w:sz w:val="20"/>
          <w:szCs w:val="20"/>
          <w:rtl/>
        </w:rPr>
        <w:t>בתקצ״ב</w:t>
      </w:r>
      <w:proofErr w:type="spellEnd"/>
      <w:r>
        <w:rPr>
          <w:sz w:val="20"/>
          <w:szCs w:val="20"/>
          <w:rtl/>
        </w:rPr>
        <w:t>, היה בן ארבעים וחמש בשנה ההיא; לפי השנה שנזכרה כאן היה בן ארבעים ושבע.</w:t>
      </w:r>
    </w:p>
  </w:footnote>
  <w:footnote w:id="3272">
    <w:p w14:paraId="56AFE490" w14:textId="77777777" w:rsidR="00AB3647" w:rsidRDefault="00000000">
      <w:pPr>
        <w:spacing w:after="0" w:before="0"/>
        <w:jc w:val="both"/>
      </w:pPr>
      <w:r>
        <w:rPr>
          <w:sz w:val="20"/>
          <w:szCs w:val="20"/>
          <w:rtl/>
        </w:rPr>
        <w:footnoteRef/>
      </w:r>
      <w:r>
        <w:rPr>
          <w:sz w:val="20"/>
          <w:szCs w:val="20"/>
          <w:rtl/>
        </w:rPr>
        <w:t xml:space="preserve">. ראה פרק 3, הערה 20. בהנחה שר׳ נפתלי היה חבר בכולל, הטענה </w:t>
      </w:r>
      <w:proofErr w:type="spellStart"/>
      <w:r>
        <w:rPr>
          <w:sz w:val="20"/>
          <w:szCs w:val="20"/>
          <w:rtl/>
        </w:rPr>
        <w:t>ב“כתבי</w:t>
      </w:r>
      <w:proofErr w:type="spellEnd"/>
      <w:r>
        <w:rPr>
          <w:sz w:val="20"/>
          <w:szCs w:val="20"/>
          <w:rtl/>
        </w:rPr>
        <w:t xml:space="preserve"> הסבא”, שם, שר׳ נפתלי אמסטרדם כיהן </w:t>
      </w:r>
      <w:proofErr w:type="spellStart"/>
      <w:r>
        <w:rPr>
          <w:sz w:val="20"/>
          <w:szCs w:val="20"/>
          <w:rtl/>
        </w:rPr>
        <w:t>באלקסוט</w:t>
      </w:r>
      <w:proofErr w:type="spellEnd"/>
      <w:r>
        <w:rPr>
          <w:sz w:val="20"/>
          <w:szCs w:val="20"/>
          <w:rtl/>
        </w:rPr>
        <w:t xml:space="preserve"> שמונה שנים, אינה יכולה להיות נכונה מבחינה כרונולוגית. אף שאין לפקפק במהימנות המוסר, ייתכן שר׳ גרשון בלבל בין תקופתו </w:t>
      </w:r>
      <w:proofErr w:type="spellStart"/>
      <w:r>
        <w:rPr>
          <w:sz w:val="20"/>
          <w:szCs w:val="20"/>
          <w:rtl/>
        </w:rPr>
        <w:t>באלקסוט</w:t>
      </w:r>
      <w:proofErr w:type="spellEnd"/>
      <w:r>
        <w:rPr>
          <w:sz w:val="20"/>
          <w:szCs w:val="20"/>
          <w:rtl/>
        </w:rPr>
        <w:t xml:space="preserve"> לבין משך כהונתו בהלסינקי, שהיה שמונה שנים בדיוק.</w:t>
      </w:r>
    </w:p>
  </w:footnote>
  <w:footnote w:id="3273">
    <w:p w14:paraId="10F04D2E" w14:textId="77777777" w:rsidR="00AB3647" w:rsidRDefault="00000000">
      <w:pPr>
        <w:spacing w:after="0" w:before="0"/>
        <w:jc w:val="both"/>
      </w:pPr>
      <w:r>
        <w:rPr>
          <w:sz w:val="20"/>
          <w:szCs w:val="20"/>
          <w:rtl/>
        </w:rPr>
        <w:footnoteRef/>
      </w:r>
      <w:r>
        <w:rPr>
          <w:sz w:val="20"/>
          <w:szCs w:val="20"/>
          <w:rtl/>
        </w:rPr>
        <w:t>. עמ׳ 279.</w:t>
      </w:r>
    </w:p>
  </w:footnote>
  <w:footnote w:id="3274">
    <w:p w14:paraId="6DCDA6D7" w14:textId="77777777" w:rsidR="00AB3647" w:rsidRDefault="00000000">
      <w:pPr>
        <w:spacing w:after="0" w:before="0"/>
        <w:jc w:val="both"/>
      </w:pPr>
      <w:r>
        <w:rPr>
          <w:sz w:val="20"/>
          <w:szCs w:val="20"/>
          <w:rtl/>
        </w:rPr>
        <w:footnoteRef/>
      </w:r>
      <w:r>
        <w:rPr>
          <w:sz w:val="20"/>
          <w:szCs w:val="20"/>
          <w:rtl/>
        </w:rPr>
        <w:t>. הערה 1 לעיל.</w:t>
      </w:r>
    </w:p>
  </w:footnote>
  <w:footnote w:id="3275">
    <w:p w14:paraId="05866ABD" w14:textId="77777777" w:rsidR="00AB3647" w:rsidRDefault="00000000">
      <w:pPr>
        <w:spacing w:after="0" w:before="0"/>
        <w:jc w:val="both"/>
      </w:pPr>
      <w:r>
        <w:rPr>
          <w:sz w:val="20"/>
          <w:szCs w:val="20"/>
          <w:rtl/>
        </w:rPr>
        <w:footnoteRef/>
      </w:r>
      <w:r>
        <w:rPr>
          <w:sz w:val="20"/>
          <w:szCs w:val="20"/>
          <w:rtl/>
        </w:rPr>
        <w:t xml:space="preserve">. שיחת </w:t>
      </w:r>
      <w:proofErr w:type="spellStart"/>
      <w:r>
        <w:rPr>
          <w:sz w:val="20"/>
          <w:szCs w:val="20"/>
          <w:rtl/>
        </w:rPr>
        <w:t>ליבוביץ</w:t>
      </w:r>
      <w:proofErr w:type="spellEnd"/>
      <w:r>
        <w:rPr>
          <w:sz w:val="20"/>
          <w:szCs w:val="20"/>
          <w:rtl/>
        </w:rPr>
        <w:t xml:space="preserve"> (פרק 3, נספח א).</w:t>
      </w:r>
    </w:p>
  </w:footnote>
  <w:footnote w:id="3276">
    <w:p w14:paraId="10B9860B" w14:textId="77777777" w:rsidR="00AB3647" w:rsidRDefault="00000000">
      <w:pPr>
        <w:spacing w:after="0" w:before="0"/>
        <w:jc w:val="both"/>
      </w:pPr>
      <w:r>
        <w:rPr>
          <w:sz w:val="20"/>
          <w:szCs w:val="20"/>
          <w:rtl/>
        </w:rPr>
        <w:footnoteRef/>
      </w:r>
      <w:r>
        <w:rPr>
          <w:sz w:val="20"/>
          <w:szCs w:val="20"/>
          <w:rtl/>
        </w:rPr>
        <w:t>. כץ, “תנועת המוסר”, כרך ב, עמ׳ 284.</w:t>
      </w:r>
    </w:p>
  </w:footnote>
  <w:footnote w:id="3277">
    <w:p w14:paraId="3857FC02" w14:textId="77777777" w:rsidR="00AB3647" w:rsidRDefault="00000000">
      <w:pPr>
        <w:spacing w:after="0" w:before="0"/>
        <w:jc w:val="both"/>
      </w:pPr>
      <w:r>
        <w:rPr>
          <w:sz w:val="20"/>
          <w:szCs w:val="20"/>
          <w:rtl/>
        </w:rPr>
        <w:footnoteRef/>
      </w:r>
      <w:r>
        <w:rPr>
          <w:sz w:val="20"/>
          <w:szCs w:val="20"/>
          <w:rtl/>
        </w:rPr>
        <w:t>. עמ׳ 276.</w:t>
      </w:r>
    </w:p>
  </w:footnote>
  <w:footnote w:id="3278">
    <w:p w14:paraId="226BB26B" w14:textId="77777777" w:rsidR="00AB3647" w:rsidRDefault="00000000">
      <w:pPr>
        <w:spacing w:after="0" w:before="0"/>
        <w:jc w:val="both"/>
      </w:pPr>
      <w:r>
        <w:rPr>
          <w:sz w:val="20"/>
          <w:szCs w:val="20"/>
          <w:rtl/>
        </w:rPr>
        <w:footnoteRef/>
      </w:r>
      <w:r>
        <w:rPr>
          <w:sz w:val="20"/>
          <w:szCs w:val="20"/>
          <w:rtl/>
        </w:rPr>
        <w:t>. ראה גם הערה 74 לעיל.</w:t>
      </w:r>
    </w:p>
  </w:footnote>
  <w:footnote w:id="3279">
    <w:p w14:paraId="18A8769C" w14:textId="77777777" w:rsidR="00AB3647" w:rsidRDefault="00000000">
      <w:pPr>
        <w:spacing w:after="0" w:before="0"/>
        <w:jc w:val="both"/>
      </w:pPr>
      <w:r>
        <w:rPr>
          <w:sz w:val="20"/>
          <w:szCs w:val="20"/>
          <w:rtl/>
        </w:rPr>
        <w:footnoteRef/>
      </w:r>
      <w:r>
        <w:rPr>
          <w:sz w:val="20"/>
          <w:szCs w:val="20"/>
          <w:rtl/>
        </w:rPr>
        <w:t>. שם, עמ׳ 291.</w:t>
      </w:r>
    </w:p>
  </w:footnote>
  <w:footnote w:id="3280">
    <w:p w14:paraId="11DAF9F1" w14:textId="77777777" w:rsidR="00AB3647" w:rsidRDefault="00000000">
      <w:pPr>
        <w:spacing w:after="0" w:before="0"/>
        <w:jc w:val="both"/>
      </w:pPr>
      <w:r>
        <w:rPr>
          <w:sz w:val="20"/>
          <w:szCs w:val="20"/>
          <w:rtl/>
        </w:rPr>
        <w:footnoteRef/>
      </w:r>
      <w:r>
        <w:rPr>
          <w:sz w:val="20"/>
          <w:szCs w:val="20"/>
          <w:rtl/>
        </w:rPr>
        <w:t>. כץ, “תנועת המוסר”, כרך א, עמ׳ 226.</w:t>
      </w:r>
    </w:p>
  </w:footnote>
  <w:footnote w:id="3281">
    <w:p w14:paraId="18B36008" w14:textId="77777777" w:rsidR="00AB3647" w:rsidRDefault="00000000">
      <w:pPr>
        <w:spacing w:after="0" w:before="0"/>
        <w:jc w:val="both"/>
      </w:pPr>
      <w:r>
        <w:rPr>
          <w:sz w:val="20"/>
          <w:szCs w:val="20"/>
          <w:rtl/>
        </w:rPr>
        <w:footnoteRef/>
      </w:r>
      <w:r>
        <w:rPr>
          <w:sz w:val="20"/>
          <w:szCs w:val="20"/>
          <w:rtl/>
        </w:rPr>
        <w:t>. עמ׳ 294.</w:t>
      </w:r>
    </w:p>
  </w:footnote>
  <w:footnote w:id="3282">
    <w:p w14:paraId="3477BF57" w14:textId="77777777" w:rsidR="00AB3647" w:rsidRDefault="00000000">
      <w:pPr>
        <w:spacing w:after="0" w:before="0"/>
        <w:jc w:val="both"/>
      </w:pPr>
      <w:r>
        <w:rPr>
          <w:sz w:val="20"/>
          <w:szCs w:val="20"/>
          <w:rtl/>
        </w:rPr>
        <w:footnoteRef/>
      </w:r>
      <w:r>
        <w:rPr>
          <w:sz w:val="20"/>
          <w:szCs w:val="20"/>
          <w:rtl/>
        </w:rPr>
        <w:t>. שם, עמ׳ 295.</w:t>
      </w:r>
    </w:p>
  </w:footnote>
  <w:footnote w:id="3283">
    <w:p w14:paraId="70F43B6D" w14:textId="77777777" w:rsidR="00AB3647" w:rsidRDefault="00000000">
      <w:pPr>
        <w:spacing w:after="0" w:before="0"/>
        <w:jc w:val="both"/>
      </w:pPr>
      <w:r>
        <w:rPr>
          <w:sz w:val="20"/>
          <w:szCs w:val="20"/>
          <w:rtl/>
        </w:rPr>
        <w:footnoteRef/>
      </w:r>
      <w:r>
        <w:rPr>
          <w:sz w:val="20"/>
          <w:szCs w:val="20"/>
          <w:rtl/>
        </w:rPr>
        <w:t>. שם, עמ׳ 291.</w:t>
      </w:r>
    </w:p>
  </w:footnote>
  <w:footnote w:id="3284">
    <w:p w14:paraId="6498C818" w14:textId="77777777" w:rsidR="00AB3647" w:rsidRDefault="00000000">
      <w:pPr>
        <w:spacing w:after="0" w:before="0"/>
        <w:jc w:val="both"/>
      </w:pPr>
      <w:r>
        <w:rPr>
          <w:sz w:val="20"/>
          <w:szCs w:val="20"/>
          <w:rtl/>
        </w:rPr>
        <w:footnoteRef/>
      </w:r>
      <w:r>
        <w:rPr>
          <w:sz w:val="20"/>
          <w:szCs w:val="20"/>
          <w:rtl/>
        </w:rPr>
        <w:t>. שם, עמ׳ 293.</w:t>
      </w:r>
    </w:p>
  </w:footnote>
  <w:footnote w:id="3285">
    <w:p w14:paraId="54413887" w14:textId="77777777" w:rsidR="00AB3647" w:rsidRDefault="00000000">
      <w:pPr>
        <w:spacing w:after="0" w:before="0"/>
        <w:jc w:val="both"/>
      </w:pPr>
      <w:r>
        <w:rPr>
          <w:sz w:val="20"/>
          <w:szCs w:val="20"/>
          <w:rtl/>
        </w:rPr>
        <w:footnoteRef/>
      </w:r>
      <w:r>
        <w:rPr>
          <w:sz w:val="20"/>
          <w:szCs w:val="20"/>
          <w:rtl/>
        </w:rPr>
        <w:t xml:space="preserve">. שם, עמ׳ 294, כפי שסיפר ר׳ </w:t>
      </w:r>
      <w:proofErr w:type="spellStart"/>
      <w:r>
        <w:rPr>
          <w:sz w:val="20"/>
          <w:szCs w:val="20"/>
          <w:rtl/>
        </w:rPr>
        <w:t>יעקב־משה</w:t>
      </w:r>
      <w:proofErr w:type="spellEnd"/>
      <w:r>
        <w:rPr>
          <w:sz w:val="20"/>
          <w:szCs w:val="20"/>
          <w:rtl/>
        </w:rPr>
        <w:t xml:space="preserve"> חרל״פ. ראה גם את סוף שתי ההערות הקודמות ואת נספח י להלן, והשווה לסוף הפסקה הראשונה בפרק 3, נספח ב, על </w:t>
      </w:r>
      <w:proofErr w:type="spellStart"/>
      <w:r>
        <w:rPr>
          <w:sz w:val="20"/>
          <w:szCs w:val="20"/>
          <w:rtl/>
        </w:rPr>
        <w:t>אי־קיום</w:t>
      </w:r>
      <w:proofErr w:type="spellEnd"/>
      <w:r>
        <w:rPr>
          <w:sz w:val="20"/>
          <w:szCs w:val="20"/>
          <w:rtl/>
        </w:rPr>
        <w:t xml:space="preserve"> צוואתו האחרונה של ר׳ </w:t>
      </w:r>
      <w:proofErr w:type="spellStart"/>
      <w:r>
        <w:rPr>
          <w:sz w:val="20"/>
          <w:szCs w:val="20"/>
          <w:rtl/>
        </w:rPr>
        <w:t>איצל׳ה</w:t>
      </w:r>
      <w:proofErr w:type="spellEnd"/>
      <w:r>
        <w:rPr>
          <w:sz w:val="20"/>
          <w:szCs w:val="20"/>
          <w:rtl/>
        </w:rPr>
        <w:t xml:space="preserve"> במותו.</w:t>
      </w:r>
    </w:p>
  </w:footnote>
  <w:footnote w:id="3286">
    <w:p w14:paraId="65227DE4" w14:textId="77777777" w:rsidR="00AB3647" w:rsidRDefault="00000000">
      <w:pPr>
        <w:spacing w:after="0" w:before="0"/>
        <w:jc w:val="both"/>
      </w:pPr>
      <w:r>
        <w:rPr>
          <w:sz w:val="20"/>
          <w:szCs w:val="20"/>
          <w:rtl/>
        </w:rPr>
        <w:footnoteRef/>
      </w:r>
      <w:r>
        <w:rPr>
          <w:sz w:val="20"/>
          <w:szCs w:val="20"/>
          <w:rtl/>
        </w:rPr>
        <w:t>. פרק 3, נספח ה.</w:t>
      </w:r>
    </w:p>
  </w:footnote>
  <w:footnote w:id="3287">
    <w:p w14:paraId="77446E6A" w14:textId="77777777" w:rsidR="00AB3647" w:rsidRDefault="00000000">
      <w:pPr>
        <w:spacing w:after="0" w:before="0"/>
        <w:jc w:val="both"/>
      </w:pPr>
      <w:r>
        <w:rPr>
          <w:sz w:val="20"/>
          <w:szCs w:val="20"/>
          <w:rtl/>
        </w:rPr>
        <w:footnoteRef/>
      </w:r>
      <w:r>
        <w:rPr>
          <w:sz w:val="20"/>
          <w:szCs w:val="20"/>
          <w:rtl/>
        </w:rPr>
        <w:t>. כץ, “תנועת המוסר”, כרך ב, עמ׳ 298.</w:t>
      </w:r>
    </w:p>
  </w:footnote>
  <w:footnote w:id="3288">
    <w:p w14:paraId="174CC981" w14:textId="77777777" w:rsidR="00AB3647" w:rsidRDefault="00000000">
      <w:pPr>
        <w:spacing w:after="0" w:before="0"/>
        <w:jc w:val="both"/>
      </w:pPr>
      <w:r>
        <w:rPr>
          <w:sz w:val="20"/>
          <w:szCs w:val="20"/>
          <w:rtl/>
        </w:rPr>
        <w:footnoteRef/>
      </w:r>
      <w:r>
        <w:rPr>
          <w:sz w:val="20"/>
          <w:szCs w:val="20"/>
          <w:rtl/>
        </w:rPr>
        <w:t>. נספח ד להלן.</w:t>
      </w:r>
    </w:p>
  </w:footnote>
  <w:footnote w:id="3289">
    <w:p w14:paraId="77DB0A0A" w14:textId="77777777" w:rsidR="00AB3647" w:rsidRDefault="00000000">
      <w:pPr>
        <w:spacing w:after="0" w:before="0"/>
        <w:jc w:val="both"/>
      </w:pPr>
      <w:r>
        <w:rPr>
          <w:sz w:val="20"/>
          <w:szCs w:val="20"/>
          <w:rtl/>
        </w:rPr>
        <w:footnoteRef/>
      </w:r>
      <w:r>
        <w:rPr>
          <w:sz w:val="20"/>
          <w:szCs w:val="20"/>
          <w:rtl/>
        </w:rPr>
        <w:t xml:space="preserve">. עמ׳ 282, אחרי הטענה השנויה במחלוקת המצוטטת בהערת שוליים </w:t>
      </w:r>
      <w:r>
        <w:rPr>
          <w:sz w:val="20"/>
          <w:szCs w:val="20"/>
          <w:rtl/>
        </w:rPr>
        <w:fldChar w:fldCharType="begin" w:dirty="true"/>
      </w:r>
      <w:r>
        <w:rPr>
          <w:sz w:val="20"/>
          <w:szCs w:val="20"/>
          <w:rtl/>
        </w:rPr>
        <w:instrText xml:space="preserve"> NOTEREF pr_f_3176 \h </w:instrText>
      </w:r>
      <w:r>
        <w:rPr>
          <w:sz w:val="20"/>
          <w:szCs w:val="20"/>
          <w:rtl/>
        </w:rPr>
      </w:r>
      <w:r>
        <w:rPr>
          <w:sz w:val="20"/>
          <w:szCs w:val="20"/>
          <w:rtl/>
        </w:rPr>
        <w:fldChar w:fldCharType="separate"/>
      </w:r>
      <w:r w:rsidR="007923E9">
        <w:rPr>
          <w:sz w:val="20"/>
          <w:szCs w:val="20"/>
          <w:rtl/>
        </w:rPr>
        <w:t>253</w:t>
      </w:r>
      <w:r>
        <w:rPr>
          <w:sz w:val="20"/>
          <w:szCs w:val="20"/>
          <w:rtl/>
        </w:rPr>
        <w:fldChar w:fldCharType="end"/>
      </w:r>
      <w:r>
        <w:rPr>
          <w:sz w:val="20"/>
          <w:szCs w:val="20"/>
          <w:rtl/>
        </w:rPr>
        <w:t xml:space="preserve"> להלן.</w:t>
      </w:r>
    </w:p>
  </w:footnote>
  <w:footnote w:id="3290">
    <w:p w14:paraId="291D19F8" w14:textId="77777777" w:rsidR="00AB3647" w:rsidRDefault="00000000">
      <w:pPr>
        <w:spacing w:after="0" w:before="0"/>
        <w:jc w:val="both"/>
      </w:pPr>
      <w:r>
        <w:rPr>
          <w:sz w:val="20"/>
          <w:szCs w:val="20"/>
          <w:rtl/>
        </w:rPr>
        <w:footnoteRef/>
      </w:r>
      <w:r>
        <w:rPr>
          <w:sz w:val="20"/>
          <w:szCs w:val="20"/>
          <w:rtl/>
        </w:rPr>
        <w:t>. ראה את הערת השוליים שאחרי הבאה.</w:t>
      </w:r>
    </w:p>
  </w:footnote>
  <w:footnote w:id="3291">
    <w:p w14:paraId="5C7A0E24" w14:textId="77777777" w:rsidR="00AB3647" w:rsidRDefault="00000000">
      <w:pPr>
        <w:spacing w:after="0" w:before="0"/>
        <w:jc w:val="both"/>
      </w:pPr>
      <w:r>
        <w:rPr>
          <w:sz w:val="20"/>
          <w:szCs w:val="20"/>
          <w:rtl/>
        </w:rPr>
        <w:footnoteRef/>
      </w:r>
      <w:r>
        <w:rPr>
          <w:sz w:val="20"/>
          <w:szCs w:val="20"/>
          <w:rtl/>
        </w:rPr>
        <w:t>. השווה גם להערה 147 להלן.</w:t>
      </w:r>
    </w:p>
  </w:footnote>
  <w:footnote w:id="3292">
    <w:p w14:paraId="517D6D1E" w14:textId="77777777" w:rsidR="00AB3647" w:rsidRDefault="00000000">
      <w:pPr>
        <w:spacing w:after="0" w:before="0"/>
        <w:jc w:val="both"/>
      </w:pPr>
      <w:r>
        <w:rPr>
          <w:sz w:val="20"/>
          <w:szCs w:val="20"/>
          <w:rtl/>
        </w:rPr>
        <w:footnoteRef/>
      </w:r>
      <w:r>
        <w:rPr>
          <w:sz w:val="20"/>
          <w:szCs w:val="20"/>
          <w:rtl/>
        </w:rPr>
        <w:t xml:space="preserve">. השווה להערה 70 לעיל. האמירה </w:t>
      </w:r>
      <w:proofErr w:type="spellStart"/>
      <w:r>
        <w:rPr>
          <w:sz w:val="20"/>
          <w:szCs w:val="20"/>
          <w:rtl/>
        </w:rPr>
        <w:t>ב“שרידי</w:t>
      </w:r>
      <w:proofErr w:type="spellEnd"/>
      <w:r>
        <w:rPr>
          <w:sz w:val="20"/>
          <w:szCs w:val="20"/>
          <w:rtl/>
        </w:rPr>
        <w:t xml:space="preserve"> אש” (הערה 20 לעיל), עמ׳ רפה, שר׳ נפתלי קיבל תלמידים בפורים ובשמחת תורה, אולי הייתה נכונה רק בתקופה שבה שהה המחבר, ר׳ </w:t>
      </w:r>
      <w:proofErr w:type="spellStart"/>
      <w:r>
        <w:rPr>
          <w:sz w:val="20"/>
          <w:szCs w:val="20"/>
          <w:rtl/>
        </w:rPr>
        <w:t>יחיאל־יעקב</w:t>
      </w:r>
      <w:proofErr w:type="spellEnd"/>
      <w:r>
        <w:rPr>
          <w:sz w:val="20"/>
          <w:szCs w:val="20"/>
          <w:rtl/>
        </w:rPr>
        <w:t xml:space="preserve"> ויינברג, </w:t>
      </w:r>
      <w:proofErr w:type="spellStart"/>
      <w:r>
        <w:rPr>
          <w:sz w:val="20"/>
          <w:szCs w:val="20"/>
          <w:rtl/>
        </w:rPr>
        <w:t>בסלבודקה</w:t>
      </w:r>
      <w:proofErr w:type="spellEnd"/>
      <w:r>
        <w:rPr>
          <w:sz w:val="20"/>
          <w:szCs w:val="20"/>
          <w:rtl/>
        </w:rPr>
        <w:t xml:space="preserve">, שהסתיימה אחרי פסח תרס״ה, שנה לפני בוא אבי (ראה הפסקה השלישית של נספח ו להלן). אחר כך, בשנה האחרונה לפני יציאת ר׳ נפתלי לארץ ישראל, הוחלף יום הסוכות שבו קיבל את בחורי הישיבה, מסיבות שאינן ידועות, משמחת תורה להושענא רבה. אבל מפתיע שכץ משתמש במונח “מנהג קבוע” כשהוא מציין את הושענא רבה כיום שבו קיבל ר׳ נפתלי את התלמידים, אם הדבר התרחש רק בשנתיים תרס״ו </w:t>
      </w:r>
      <w:proofErr w:type="spellStart"/>
      <w:r>
        <w:rPr>
          <w:sz w:val="20"/>
          <w:szCs w:val="20"/>
          <w:rtl/>
        </w:rPr>
        <w:t>ותרס״ז</w:t>
      </w:r>
      <w:proofErr w:type="spellEnd"/>
      <w:r>
        <w:rPr>
          <w:sz w:val="20"/>
          <w:szCs w:val="20"/>
          <w:rtl/>
        </w:rPr>
        <w:t>.</w:t>
      </w:r>
    </w:p>
  </w:footnote>
  <w:footnote w:id="3293">
    <w:p w14:paraId="53D00345" w14:textId="77777777" w:rsidR="00AB3647" w:rsidRDefault="00000000">
      <w:pPr>
        <w:spacing w:after="0" w:before="0"/>
        <w:jc w:val="both"/>
      </w:pPr>
      <w:r>
        <w:rPr>
          <w:sz w:val="20"/>
          <w:szCs w:val="20"/>
          <w:rtl/>
        </w:rPr>
        <w:footnoteRef/>
      </w:r>
      <w:r>
        <w:rPr>
          <w:sz w:val="20"/>
          <w:szCs w:val="20"/>
          <w:rtl/>
        </w:rPr>
        <w:t xml:space="preserve">. “שרידי אש”, עמ׳ רצח. הטענה בספרו של כץ, “תנועת המוסר”, כרך ב, עמ׳ 282, </w:t>
      </w:r>
      <w:proofErr w:type="spellStart"/>
      <w:r>
        <w:rPr>
          <w:sz w:val="20"/>
          <w:szCs w:val="20"/>
          <w:rtl/>
        </w:rPr>
        <w:t>ש“ביתו</w:t>
      </w:r>
      <w:proofErr w:type="spellEnd"/>
      <w:r>
        <w:rPr>
          <w:sz w:val="20"/>
          <w:szCs w:val="20"/>
          <w:rtl/>
        </w:rPr>
        <w:t xml:space="preserve"> של ר׳ נפתלי היה למרכז לאנשי הכולל ולאנשי הישיבה מקובנה </w:t>
      </w:r>
      <w:proofErr w:type="spellStart"/>
      <w:r>
        <w:rPr>
          <w:sz w:val="20"/>
          <w:szCs w:val="20"/>
          <w:rtl/>
        </w:rPr>
        <w:t>ומסלבודקה</w:t>
      </w:r>
      <w:proofErr w:type="spellEnd"/>
      <w:r>
        <w:rPr>
          <w:sz w:val="20"/>
          <w:szCs w:val="20"/>
          <w:rtl/>
        </w:rPr>
        <w:t>, לשמוע את שיחתו ולשוחח עמו בדברי תורה ומוסר”, נראית מוגזמת.</w:t>
      </w:r>
    </w:p>
  </w:footnote>
  <w:footnote w:id="3294">
    <w:p w14:paraId="6E1A5311" w14:textId="77777777" w:rsidR="00AB3647" w:rsidRDefault="00000000">
      <w:pPr>
        <w:spacing w:after="0" w:before="0"/>
        <w:jc w:val="both"/>
      </w:pPr>
      <w:r>
        <w:rPr>
          <w:sz w:val="20"/>
          <w:szCs w:val="20"/>
          <w:rtl/>
        </w:rPr>
        <w:footnoteRef/>
      </w:r>
      <w:r>
        <w:rPr>
          <w:sz w:val="20"/>
          <w:szCs w:val="20"/>
          <w:rtl/>
        </w:rPr>
        <w:t>. עמ׳ רצח.</w:t>
      </w:r>
    </w:p>
  </w:footnote>
  <w:footnote w:id="3295">
    <w:p w14:paraId="02F1ADB0" w14:textId="77777777" w:rsidR="00AB3647" w:rsidRDefault="00000000">
      <w:pPr>
        <w:spacing w:after="0" w:before="0"/>
        <w:jc w:val="both"/>
      </w:pPr>
      <w:r>
        <w:rPr>
          <w:sz w:val="20"/>
          <w:szCs w:val="20"/>
          <w:rtl/>
        </w:rPr>
        <w:footnoteRef/>
      </w:r>
      <w:r>
        <w:rPr>
          <w:sz w:val="20"/>
          <w:szCs w:val="20"/>
          <w:rtl/>
        </w:rPr>
        <w:t>. ריאיון מ־11 בינואר 1988.</w:t>
      </w:r>
    </w:p>
  </w:footnote>
  <w:footnote w:id="3296">
    <w:p w14:paraId="0CA0EBD1" w14:textId="77777777" w:rsidR="00AB3647" w:rsidRDefault="00000000">
      <w:pPr>
        <w:spacing w:after="0" w:before="0"/>
        <w:jc w:val="both"/>
      </w:pPr>
      <w:r>
        <w:rPr>
          <w:sz w:val="20"/>
          <w:szCs w:val="20"/>
          <w:rtl/>
        </w:rPr>
        <w:footnoteRef/>
      </w:r>
      <w:r>
        <w:rPr>
          <w:sz w:val="20"/>
          <w:szCs w:val="20"/>
          <w:rtl/>
        </w:rPr>
        <w:t xml:space="preserve">. השווה לפרק 3, נספח </w:t>
      </w:r>
      <w:proofErr w:type="spellStart"/>
      <w:r>
        <w:rPr>
          <w:sz w:val="20"/>
          <w:szCs w:val="20"/>
          <w:rtl/>
        </w:rPr>
        <w:t>יט</w:t>
      </w:r>
      <w:proofErr w:type="spellEnd"/>
      <w:r>
        <w:rPr>
          <w:sz w:val="20"/>
          <w:szCs w:val="20"/>
          <w:rtl/>
        </w:rPr>
        <w:t>.</w:t>
      </w:r>
    </w:p>
  </w:footnote>
  <w:footnote w:id="3297">
    <w:p w14:paraId="14837138" w14:textId="77777777" w:rsidR="00AB3647" w:rsidRDefault="00000000">
      <w:pPr>
        <w:spacing w:after="0" w:before="0"/>
        <w:jc w:val="both"/>
      </w:pPr>
      <w:r>
        <w:rPr>
          <w:sz w:val="20"/>
          <w:szCs w:val="20"/>
          <w:rtl/>
        </w:rPr>
        <w:footnoteRef/>
      </w:r>
      <w:r>
        <w:rPr>
          <w:sz w:val="20"/>
          <w:szCs w:val="20"/>
          <w:rtl/>
        </w:rPr>
        <w:t>. נספח ט להלן, מדור נתיבות אור, עמ׳ 122.</w:t>
      </w:r>
    </w:p>
  </w:footnote>
  <w:footnote w:id="3298">
    <w:p w14:paraId="119B35F9" w14:textId="77777777" w:rsidR="00AB3647" w:rsidRDefault="00000000">
      <w:pPr>
        <w:spacing w:after="0" w:before="0"/>
        <w:jc w:val="both"/>
      </w:pPr>
      <w:r>
        <w:rPr>
          <w:sz w:val="20"/>
          <w:szCs w:val="20"/>
          <w:rtl/>
        </w:rPr>
        <w:footnoteRef/>
      </w:r>
      <w:r>
        <w:rPr>
          <w:sz w:val="20"/>
          <w:szCs w:val="20"/>
          <w:rtl/>
        </w:rPr>
        <w:t>. עמ׳ 111.</w:t>
      </w:r>
    </w:p>
  </w:footnote>
  <w:footnote w:id="3299">
    <w:p w14:paraId="0A724460" w14:textId="77777777" w:rsidR="00AB3647" w:rsidRDefault="00000000">
      <w:pPr>
        <w:spacing w:after="0" w:before="0"/>
        <w:jc w:val="both"/>
      </w:pPr>
      <w:r>
        <w:rPr>
          <w:sz w:val="20"/>
          <w:szCs w:val="20"/>
          <w:rtl/>
        </w:rPr>
        <w:footnoteRef/>
      </w:r>
      <w:r>
        <w:rPr>
          <w:sz w:val="20"/>
          <w:szCs w:val="20"/>
          <w:rtl/>
        </w:rPr>
        <w:t>. השווה גם להקדמה ולמבוא של ספר זה.</w:t>
      </w:r>
    </w:p>
  </w:footnote>
  <w:footnote w:id="3300">
    <w:p w14:paraId="5CB5C777" w14:textId="77777777" w:rsidR="00AB3647" w:rsidRDefault="00000000">
      <w:pPr>
        <w:spacing w:after="0" w:before="0"/>
        <w:jc w:val="both"/>
      </w:pPr>
      <w:r>
        <w:rPr>
          <w:sz w:val="20"/>
          <w:szCs w:val="20"/>
          <w:rtl/>
        </w:rPr>
        <w:footnoteRef/>
      </w:r>
      <w:r>
        <w:rPr>
          <w:sz w:val="20"/>
          <w:szCs w:val="20"/>
          <w:rtl/>
        </w:rPr>
        <w:t>. ראה הערה 79 לעיל.</w:t>
      </w:r>
    </w:p>
  </w:footnote>
  <w:footnote w:id="3301">
    <w:p w14:paraId="44B20559" w14:textId="77777777" w:rsidR="00AB3647" w:rsidRDefault="00000000">
      <w:pPr>
        <w:spacing w:after="0" w:before="0"/>
        <w:jc w:val="both"/>
      </w:pPr>
      <w:r>
        <w:rPr>
          <w:sz w:val="20"/>
          <w:szCs w:val="20"/>
          <w:rtl/>
        </w:rPr>
        <w:footnoteRef/>
      </w:r>
      <w:r>
        <w:rPr>
          <w:sz w:val="20"/>
          <w:szCs w:val="20"/>
          <w:rtl/>
        </w:rPr>
        <w:t>. פרק 1, הערה 71.</w:t>
      </w:r>
    </w:p>
  </w:footnote>
  <w:footnote w:id="3302">
    <w:p w14:paraId="7C83F2B5" w14:textId="77777777" w:rsidR="00AB3647" w:rsidRDefault="00000000">
      <w:pPr>
        <w:spacing w:after="0" w:before="0"/>
        <w:jc w:val="both"/>
      </w:pPr>
      <w:r>
        <w:rPr>
          <w:sz w:val="20"/>
          <w:szCs w:val="20"/>
          <w:rtl/>
        </w:rPr>
        <w:footnoteRef/>
      </w:r>
      <w:r>
        <w:rPr>
          <w:sz w:val="20"/>
          <w:szCs w:val="20"/>
          <w:rtl/>
        </w:rPr>
        <w:t>. פרק 1, הערה 71.</w:t>
      </w:r>
    </w:p>
  </w:footnote>
  <w:footnote w:id="3303">
    <w:p w14:paraId="6D02FF9D" w14:textId="77777777" w:rsidR="00AB3647" w:rsidRDefault="00000000">
      <w:pPr>
        <w:spacing w:after="0" w:before="0"/>
        <w:jc w:val="both"/>
      </w:pPr>
      <w:r>
        <w:rPr>
          <w:sz w:val="20"/>
          <w:szCs w:val="20"/>
          <w:rtl/>
        </w:rPr>
        <w:footnoteRef/>
      </w:r>
      <w:r>
        <w:rPr>
          <w:sz w:val="20"/>
          <w:szCs w:val="20"/>
          <w:rtl/>
        </w:rPr>
        <w:t xml:space="preserve">. אבי כינה את הסיפור “מעשה חי [א </w:t>
      </w:r>
      <w:proofErr w:type="spellStart"/>
      <w:r>
        <w:rPr>
          <w:sz w:val="20"/>
          <w:szCs w:val="20"/>
          <w:rtl/>
        </w:rPr>
        <w:t>לעבעדיגע</w:t>
      </w:r>
      <w:proofErr w:type="spellEnd"/>
      <w:r>
        <w:rPr>
          <w:sz w:val="20"/>
          <w:szCs w:val="20"/>
          <w:rtl/>
        </w:rPr>
        <w:t xml:space="preserve"> מעשה] ששמע מפי מייסדי תנועת המוסר ועליהם”. נראה שהתכוון שהסיפור מדגים את הנהגת גדולי המוסר, ולכן יש בו לקח גם להווה.</w:t>
      </w:r>
    </w:p>
  </w:footnote>
  <w:footnote w:id="3304">
    <w:p w14:paraId="27151F9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ריש סימן ס״ו.</w:t>
      </w:r>
    </w:p>
  </w:footnote>
  <w:footnote w:id="3305">
    <w:p w14:paraId="706A0A45" w14:textId="77777777" w:rsidR="00AB3647" w:rsidRDefault="00000000">
      <w:pPr>
        <w:spacing w:after="0" w:before="0"/>
        <w:jc w:val="both"/>
      </w:pPr>
      <w:r>
        <w:rPr>
          <w:sz w:val="20"/>
          <w:szCs w:val="20"/>
          <w:rtl/>
        </w:rPr>
        <w:footnoteRef/>
      </w:r>
      <w:r>
        <w:rPr>
          <w:sz w:val="20"/>
          <w:szCs w:val="20"/>
          <w:rtl/>
        </w:rPr>
        <w:t>. ריאיון מ־9 בנובמבר 1999.</w:t>
      </w:r>
    </w:p>
  </w:footnote>
  <w:footnote w:id="3306">
    <w:p w14:paraId="2F18E32B" w14:textId="77777777" w:rsidR="00AB3647" w:rsidRDefault="00000000">
      <w:pPr>
        <w:spacing w:after="0" w:before="0"/>
        <w:jc w:val="both"/>
      </w:pPr>
      <w:r>
        <w:rPr>
          <w:sz w:val="20"/>
          <w:szCs w:val="20"/>
          <w:rtl/>
        </w:rPr>
        <w:footnoteRef/>
      </w:r>
      <w:r>
        <w:rPr>
          <w:sz w:val="20"/>
          <w:szCs w:val="20"/>
          <w:rtl/>
        </w:rPr>
        <w:t>. שניים מקרא ואחד תרגום (</w:t>
      </w:r>
      <w:proofErr w:type="spellStart"/>
      <w:r>
        <w:rPr>
          <w:sz w:val="20"/>
          <w:szCs w:val="20"/>
          <w:rtl/>
        </w:rPr>
        <w:t>שו״ע</w:t>
      </w:r>
      <w:proofErr w:type="spellEnd"/>
      <w:r>
        <w:rPr>
          <w:sz w:val="20"/>
          <w:szCs w:val="20"/>
          <w:rtl/>
        </w:rPr>
        <w:t xml:space="preserve"> אורח חיים סימן רפ״ה).</w:t>
      </w:r>
    </w:p>
  </w:footnote>
  <w:footnote w:id="3307">
    <w:p w14:paraId="68CFA3E3" w14:textId="77777777" w:rsidR="00AB3647" w:rsidRDefault="00000000">
      <w:pPr>
        <w:spacing w:after="0" w:before="0"/>
        <w:jc w:val="both"/>
      </w:pPr>
      <w:r>
        <w:rPr>
          <w:sz w:val="20"/>
          <w:szCs w:val="20"/>
          <w:rtl/>
        </w:rPr>
        <w:footnoteRef/>
      </w:r>
      <w:r>
        <w:rPr>
          <w:sz w:val="20"/>
          <w:szCs w:val="20"/>
          <w:rtl/>
        </w:rPr>
        <w:t xml:space="preserve">. ע׳ מ״ב שם </w:t>
      </w:r>
      <w:proofErr w:type="spellStart"/>
      <w:r>
        <w:rPr>
          <w:sz w:val="20"/>
          <w:szCs w:val="20"/>
          <w:rtl/>
        </w:rPr>
        <w:t>ססק״ו</w:t>
      </w:r>
      <w:proofErr w:type="spellEnd"/>
      <w:r>
        <w:rPr>
          <w:sz w:val="20"/>
          <w:szCs w:val="20"/>
          <w:rtl/>
        </w:rPr>
        <w:t>.</w:t>
      </w:r>
    </w:p>
  </w:footnote>
  <w:footnote w:id="3308">
    <w:p w14:paraId="00CF2F4F" w14:textId="77777777" w:rsidR="00AB3647" w:rsidRDefault="00000000">
      <w:pPr>
        <w:spacing w:after="0" w:before="0"/>
        <w:jc w:val="both"/>
      </w:pPr>
      <w:r>
        <w:rPr>
          <w:sz w:val="20"/>
          <w:szCs w:val="20"/>
          <w:rtl/>
        </w:rPr>
        <w:footnoteRef/>
      </w:r>
      <w:r>
        <w:rPr>
          <w:sz w:val="20"/>
          <w:szCs w:val="20"/>
          <w:rtl/>
        </w:rPr>
        <w:t xml:space="preserve">. ומה שכ׳ שם בשער הציון </w:t>
      </w:r>
      <w:proofErr w:type="spellStart"/>
      <w:r>
        <w:rPr>
          <w:sz w:val="20"/>
          <w:szCs w:val="20"/>
          <w:rtl/>
        </w:rPr>
        <w:t>ס״ק</w:t>
      </w:r>
      <w:proofErr w:type="spellEnd"/>
      <w:r>
        <w:rPr>
          <w:sz w:val="20"/>
          <w:szCs w:val="20"/>
          <w:rtl/>
        </w:rPr>
        <w:t xml:space="preserve"> י״א שיש איסור גמור להפסיק באמצע </w:t>
      </w:r>
      <w:proofErr w:type="spellStart"/>
      <w:r>
        <w:rPr>
          <w:sz w:val="20"/>
          <w:szCs w:val="20"/>
          <w:rtl/>
        </w:rPr>
        <w:t>עניינא</w:t>
      </w:r>
      <w:proofErr w:type="spellEnd"/>
      <w:r>
        <w:rPr>
          <w:sz w:val="20"/>
          <w:szCs w:val="20"/>
          <w:rtl/>
        </w:rPr>
        <w:t xml:space="preserve"> אינו שייך לכאן כי המפסיק להשיב לשאלת אמא איננו עוסק </w:t>
      </w:r>
      <w:proofErr w:type="spellStart"/>
      <w:r>
        <w:rPr>
          <w:sz w:val="20"/>
          <w:szCs w:val="20"/>
          <w:rtl/>
        </w:rPr>
        <w:t>ב“דברי</w:t>
      </w:r>
      <w:proofErr w:type="spellEnd"/>
      <w:r>
        <w:rPr>
          <w:sz w:val="20"/>
          <w:szCs w:val="20"/>
          <w:rtl/>
        </w:rPr>
        <w:t xml:space="preserve"> שיחה” בעלמא.</w:t>
      </w:r>
    </w:p>
  </w:footnote>
  <w:footnote w:id="3309">
    <w:p w14:paraId="27569622" w14:textId="77777777" w:rsidR="00AB3647" w:rsidRDefault="00000000">
      <w:pPr>
        <w:spacing w:after="0" w:before="0"/>
        <w:jc w:val="both"/>
      </w:pPr>
      <w:r>
        <w:rPr>
          <w:sz w:val="20"/>
          <w:szCs w:val="20"/>
          <w:rtl/>
        </w:rPr>
        <w:footnoteRef/>
      </w:r>
      <w:r>
        <w:rPr>
          <w:sz w:val="20"/>
          <w:szCs w:val="20"/>
          <w:rtl/>
        </w:rPr>
        <w:t xml:space="preserve">. כנראה הוסיף נקודה זו מפני שבכל זאת לא הפסיק ר׳ נפתלי את שתיקתו, למרות הערת רבו. אגב, אבי סיים את הסיפור </w:t>
      </w:r>
      <w:proofErr w:type="spellStart"/>
      <w:r>
        <w:rPr>
          <w:sz w:val="20"/>
          <w:szCs w:val="20"/>
          <w:rtl/>
        </w:rPr>
        <w:t>לר</w:t>
      </w:r>
      <w:proofErr w:type="spellEnd"/>
      <w:r>
        <w:rPr>
          <w:sz w:val="20"/>
          <w:szCs w:val="20"/>
          <w:rtl/>
        </w:rPr>
        <w:t>׳ שלמה בדברי ר׳ ישראל, ולא סיפר לו שר׳ נפתלי המשיך לשתוק!</w:t>
      </w:r>
    </w:p>
  </w:footnote>
  <w:footnote w:id="3310">
    <w:p w14:paraId="3FCA652D" w14:textId="77777777" w:rsidR="00AB3647" w:rsidRDefault="00000000">
      <w:pPr>
        <w:spacing w:after="0" w:before="0"/>
        <w:jc w:val="both"/>
      </w:pPr>
      <w:r>
        <w:rPr>
          <w:sz w:val="20"/>
          <w:szCs w:val="20"/>
          <w:rtl/>
        </w:rPr>
        <w:footnoteRef/>
      </w:r>
      <w:r>
        <w:rPr>
          <w:sz w:val="20"/>
          <w:szCs w:val="20"/>
          <w:rtl/>
        </w:rPr>
        <w:t xml:space="preserve">. ר׳ מתתיהו </w:t>
      </w:r>
      <w:proofErr w:type="spellStart"/>
      <w:r>
        <w:rPr>
          <w:sz w:val="20"/>
          <w:szCs w:val="20"/>
          <w:rtl/>
        </w:rPr>
        <w:t>גרינבלט</w:t>
      </w:r>
      <w:proofErr w:type="spellEnd"/>
      <w:r>
        <w:rPr>
          <w:sz w:val="20"/>
          <w:szCs w:val="20"/>
          <w:rtl/>
        </w:rPr>
        <w:t>, שרואיין ב־23 באפריל 2001.</w:t>
      </w:r>
    </w:p>
  </w:footnote>
  <w:footnote w:id="3311">
    <w:p w14:paraId="529857FC" w14:textId="77777777" w:rsidR="00AB3647" w:rsidRDefault="00000000">
      <w:pPr>
        <w:spacing w:after="0" w:before="0"/>
        <w:jc w:val="both"/>
      </w:pPr>
      <w:r>
        <w:rPr>
          <w:sz w:val="20"/>
          <w:szCs w:val="20"/>
          <w:rtl/>
        </w:rPr>
        <w:footnoteRef/>
      </w:r>
      <w:r>
        <w:rPr>
          <w:sz w:val="20"/>
          <w:szCs w:val="20"/>
          <w:rtl/>
        </w:rPr>
        <w:t xml:space="preserve">. פסחים פ״ו ע״ב. השווה </w:t>
      </w:r>
      <w:proofErr w:type="spellStart"/>
      <w:r>
        <w:rPr>
          <w:sz w:val="20"/>
          <w:szCs w:val="20"/>
          <w:rtl/>
        </w:rPr>
        <w:t>ל“הגאון</w:t>
      </w:r>
      <w:proofErr w:type="spellEnd"/>
      <w:r>
        <w:rPr>
          <w:sz w:val="20"/>
          <w:szCs w:val="20"/>
          <w:rtl/>
        </w:rPr>
        <w:t xml:space="preserve"> החסיד </w:t>
      </w:r>
      <w:proofErr w:type="spellStart"/>
      <w:r>
        <w:rPr>
          <w:sz w:val="20"/>
          <w:szCs w:val="20"/>
          <w:rtl/>
        </w:rPr>
        <w:t>מוילנא</w:t>
      </w:r>
      <w:proofErr w:type="spellEnd"/>
      <w:r>
        <w:rPr>
          <w:sz w:val="20"/>
          <w:szCs w:val="20"/>
          <w:rtl/>
        </w:rPr>
        <w:t>” (נספח ט להלן), עמ׳ מג–מד, על מידת החיוב שבהוראה זו.</w:t>
      </w:r>
    </w:p>
  </w:footnote>
  <w:footnote w:id="3312">
    <w:p w14:paraId="39743E9B" w14:textId="77777777" w:rsidR="00AB3647" w:rsidRDefault="00000000">
      <w:pPr>
        <w:spacing w:after="0" w:before="0"/>
        <w:jc w:val="both"/>
      </w:pPr>
      <w:r>
        <w:rPr>
          <w:sz w:val="20"/>
          <w:szCs w:val="20"/>
          <w:rtl/>
        </w:rPr>
        <w:footnoteRef/>
      </w:r>
      <w:r>
        <w:rPr>
          <w:sz w:val="20"/>
          <w:szCs w:val="20"/>
          <w:rtl/>
        </w:rPr>
        <w:t>. השווה לפרק 1, הערה 7.</w:t>
      </w:r>
    </w:p>
  </w:footnote>
  <w:footnote w:id="3313">
    <w:p w14:paraId="3B9294E7" w14:textId="77777777" w:rsidR="00AB3647" w:rsidRDefault="00000000">
      <w:pPr>
        <w:spacing w:after="0" w:before="0"/>
        <w:jc w:val="both"/>
      </w:pPr>
      <w:r>
        <w:rPr>
          <w:sz w:val="20"/>
          <w:szCs w:val="20"/>
          <w:rtl/>
        </w:rPr>
        <w:footnoteRef/>
      </w:r>
      <w:r>
        <w:rPr>
          <w:sz w:val="20"/>
          <w:szCs w:val="20"/>
          <w:rtl/>
        </w:rPr>
        <w:t xml:space="preserve">. כתובות נ״ב ע״ב </w:t>
      </w:r>
      <w:proofErr w:type="spellStart"/>
      <w:r>
        <w:rPr>
          <w:sz w:val="20"/>
          <w:szCs w:val="20"/>
          <w:rtl/>
        </w:rPr>
        <w:t>ופ״ו</w:t>
      </w:r>
      <w:proofErr w:type="spellEnd"/>
      <w:r>
        <w:rPr>
          <w:sz w:val="20"/>
          <w:szCs w:val="20"/>
          <w:rtl/>
        </w:rPr>
        <w:t xml:space="preserve"> ע״א ועוד.</w:t>
      </w:r>
    </w:p>
  </w:footnote>
  <w:footnote w:id="3314">
    <w:p w14:paraId="01673E89" w14:textId="77777777" w:rsidR="00AB3647" w:rsidRDefault="00000000">
      <w:pPr>
        <w:spacing w:after="0" w:before="0"/>
        <w:jc w:val="both"/>
      </w:pPr>
      <w:r>
        <w:rPr>
          <w:sz w:val="20"/>
          <w:szCs w:val="20"/>
          <w:rtl/>
        </w:rPr>
        <w:footnoteRef/>
      </w:r>
      <w:r>
        <w:rPr>
          <w:sz w:val="20"/>
          <w:szCs w:val="20"/>
          <w:rtl/>
        </w:rPr>
        <w:t xml:space="preserve">. אולם ראה פרק 3, הפסקה הראשונה של נספח </w:t>
      </w:r>
      <w:proofErr w:type="spellStart"/>
      <w:r>
        <w:rPr>
          <w:sz w:val="20"/>
          <w:szCs w:val="20"/>
          <w:rtl/>
        </w:rPr>
        <w:t>כח</w:t>
      </w:r>
      <w:proofErr w:type="spellEnd"/>
      <w:r>
        <w:rPr>
          <w:sz w:val="20"/>
          <w:szCs w:val="20"/>
          <w:rtl/>
        </w:rPr>
        <w:t>: אבי לא ראה את עצמו כך בשנותיו המאוחרות.</w:t>
      </w:r>
    </w:p>
  </w:footnote>
  <w:footnote w:id="3315">
    <w:p w14:paraId="70D6AE5C" w14:textId="77777777" w:rsidR="00AB3647" w:rsidRDefault="00000000">
      <w:pPr>
        <w:spacing w:after="0" w:before="0"/>
        <w:jc w:val="both"/>
      </w:pPr>
      <w:r>
        <w:rPr>
          <w:sz w:val="20"/>
          <w:szCs w:val="20"/>
          <w:rtl/>
        </w:rPr>
        <w:footnoteRef/>
      </w:r>
      <w:r>
        <w:rPr>
          <w:sz w:val="20"/>
          <w:szCs w:val="20"/>
          <w:rtl/>
        </w:rPr>
        <w:t>. פרק 1, הערה 68.</w:t>
      </w:r>
    </w:p>
  </w:footnote>
  <w:footnote w:id="3316">
    <w:p w14:paraId="76EC0026"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גולובנצ׳יץ</w:t>
      </w:r>
      <w:proofErr w:type="spellEnd"/>
      <w:r>
        <w:rPr>
          <w:sz w:val="20"/>
          <w:szCs w:val="20"/>
          <w:rtl/>
        </w:rPr>
        <w:t xml:space="preserve"> (פרק 2, הערה 103).</w:t>
      </w:r>
    </w:p>
  </w:footnote>
  <w:footnote w:id="3317">
    <w:p w14:paraId="56CE996E" w14:textId="77777777" w:rsidR="00AB3647" w:rsidRDefault="00000000">
      <w:pPr>
        <w:spacing w:after="0" w:before="0"/>
        <w:jc w:val="both"/>
      </w:pPr>
      <w:r>
        <w:rPr>
          <w:sz w:val="20"/>
          <w:szCs w:val="20"/>
          <w:rtl/>
        </w:rPr>
        <w:footnoteRef/>
      </w:r>
      <w:r>
        <w:rPr>
          <w:sz w:val="20"/>
          <w:szCs w:val="20"/>
          <w:rtl/>
        </w:rPr>
        <w:t>. הערה 11 לעיל, עמ׳ 42.</w:t>
      </w:r>
    </w:p>
  </w:footnote>
  <w:footnote w:id="3318">
    <w:p w14:paraId="4EE0F2E4" w14:textId="77777777" w:rsidR="00AB3647" w:rsidRDefault="00000000">
      <w:pPr>
        <w:spacing w:after="0" w:before="0"/>
        <w:jc w:val="both"/>
      </w:pPr>
      <w:r>
        <w:rPr>
          <w:sz w:val="20"/>
          <w:szCs w:val="20"/>
          <w:rtl/>
        </w:rPr>
        <w:footnoteRef/>
      </w:r>
      <w:r>
        <w:rPr>
          <w:sz w:val="20"/>
          <w:szCs w:val="20"/>
          <w:rtl/>
        </w:rPr>
        <w:t xml:space="preserve">. הערה 48 לעיל, עמ׳ </w:t>
      </w:r>
      <w:proofErr w:type="spellStart"/>
      <w:r>
        <w:rPr>
          <w:sz w:val="20"/>
          <w:szCs w:val="20"/>
          <w:rtl/>
        </w:rPr>
        <w:t>יח</w:t>
      </w:r>
      <w:proofErr w:type="spellEnd"/>
      <w:r>
        <w:rPr>
          <w:sz w:val="20"/>
          <w:szCs w:val="20"/>
          <w:rtl/>
        </w:rPr>
        <w:t xml:space="preserve"> </w:t>
      </w:r>
      <w:proofErr w:type="spellStart"/>
      <w:r>
        <w:rPr>
          <w:sz w:val="20"/>
          <w:szCs w:val="20"/>
          <w:rtl/>
        </w:rPr>
        <w:t>ויט</w:t>
      </w:r>
      <w:proofErr w:type="spellEnd"/>
      <w:r>
        <w:rPr>
          <w:sz w:val="20"/>
          <w:szCs w:val="20"/>
          <w:rtl/>
        </w:rPr>
        <w:t>.</w:t>
      </w:r>
    </w:p>
  </w:footnote>
  <w:footnote w:id="3319">
    <w:p w14:paraId="26D2FE2E" w14:textId="77777777" w:rsidR="00AB3647" w:rsidRDefault="00000000">
      <w:pPr>
        <w:spacing w:after="0" w:before="0"/>
        <w:jc w:val="both"/>
      </w:pPr>
      <w:r>
        <w:rPr>
          <w:sz w:val="20"/>
          <w:szCs w:val="20"/>
          <w:rtl/>
        </w:rPr>
        <w:footnoteRef/>
      </w:r>
      <w:r>
        <w:rPr>
          <w:sz w:val="20"/>
          <w:szCs w:val="20"/>
          <w:rtl/>
        </w:rPr>
        <w:t>. ראה את סוף נספח ה ואת תחילת נספח ו להלן.</w:t>
      </w:r>
    </w:p>
  </w:footnote>
  <w:footnote w:id="3320">
    <w:p w14:paraId="076DED07" w14:textId="77777777" w:rsidR="00AB3647" w:rsidRDefault="00000000">
      <w:pPr>
        <w:spacing w:after="0" w:before="0"/>
        <w:jc w:val="both"/>
      </w:pPr>
      <w:r>
        <w:rPr>
          <w:sz w:val="20"/>
          <w:szCs w:val="20"/>
          <w:rtl/>
        </w:rPr>
        <w:footnoteRef/>
      </w:r>
      <w:r>
        <w:rPr>
          <w:sz w:val="20"/>
          <w:szCs w:val="20"/>
          <w:rtl/>
        </w:rPr>
        <w:t>. המאמר המסיים של יובל המאה (נספח ח להלן), עמ׳ 265.</w:t>
      </w:r>
    </w:p>
  </w:footnote>
  <w:footnote w:id="3321">
    <w:p w14:paraId="1F2ACF81" w14:textId="77777777" w:rsidR="00AB3647" w:rsidRDefault="00000000">
      <w:pPr>
        <w:spacing w:after="0" w:before="0"/>
        <w:jc w:val="both"/>
      </w:pPr>
      <w:r>
        <w:rPr>
          <w:sz w:val="20"/>
          <w:szCs w:val="20"/>
          <w:rtl/>
        </w:rPr>
        <w:footnoteRef/>
      </w:r>
      <w:r>
        <w:rPr>
          <w:sz w:val="20"/>
          <w:szCs w:val="20"/>
          <w:rtl/>
        </w:rPr>
        <w:t>. ריאיון מ־27 בנובמבר 1998.</w:t>
      </w:r>
    </w:p>
  </w:footnote>
  <w:footnote w:id="3322">
    <w:p w14:paraId="486756EA" w14:textId="77777777" w:rsidR="00AB3647" w:rsidRDefault="00000000">
      <w:pPr>
        <w:spacing w:after="0" w:before="0"/>
        <w:jc w:val="both"/>
      </w:pPr>
      <w:r>
        <w:rPr>
          <w:sz w:val="20"/>
          <w:szCs w:val="20"/>
          <w:rtl/>
        </w:rPr>
        <w:footnoteRef/>
      </w:r>
      <w:r>
        <w:rPr>
          <w:sz w:val="20"/>
          <w:szCs w:val="20"/>
          <w:rtl/>
        </w:rPr>
        <w:t>. ראה הערה 102 להלן.</w:t>
      </w:r>
    </w:p>
  </w:footnote>
  <w:footnote w:id="3323">
    <w:p w14:paraId="3F7E1AB0" w14:textId="77777777" w:rsidR="00AB3647" w:rsidRDefault="00000000">
      <w:pPr>
        <w:spacing w:after="0" w:before="0"/>
        <w:jc w:val="both"/>
      </w:pPr>
      <w:r>
        <w:rPr>
          <w:sz w:val="20"/>
          <w:szCs w:val="20"/>
          <w:rtl/>
        </w:rPr>
        <w:footnoteRef/>
      </w:r>
      <w:r>
        <w:rPr>
          <w:sz w:val="20"/>
          <w:szCs w:val="20"/>
          <w:rtl/>
        </w:rPr>
        <w:t>. “תורת חיים” (הערה 49 לעיל), עמ׳ פז במספור העמודים השני, מביא את עיקר הסיפור, אבל מטשטש את מטרת הופעתו של ר׳ לייזר גורדון בחתונה. הוא מספר את הסיפור הבלתי סביר הזה: “כשנשאל מה הביאו לבוא, אמר ר׳ לייזר גורדון שהתקשה בעניין תלמודי מסוים וסבר שבמעמד נכבד כזה של רבנים גדולים תיפתר בעייתו.”</w:t>
      </w:r>
    </w:p>
    <w:p w14:paraId="63D296F2" w14:textId="77777777" w:rsidR="00AB3647" w:rsidRDefault="00000000">
      <w:pPr>
        <w:spacing w:after="0" w:before="0"/>
        <w:jc w:val="both"/>
      </w:pPr>
      <w:r>
        <w:rPr>
          <w:sz w:val="20"/>
          <w:szCs w:val="20"/>
          <w:rtl/>
        </w:rPr>
        <w:t xml:space="preserve">לפי גרסת </w:t>
      </w:r>
      <w:proofErr w:type="spellStart"/>
      <w:r>
        <w:rPr>
          <w:sz w:val="20"/>
          <w:szCs w:val="20"/>
          <w:rtl/>
        </w:rPr>
        <w:t>וולקין</w:t>
      </w:r>
      <w:proofErr w:type="spellEnd"/>
      <w:r>
        <w:rPr>
          <w:sz w:val="20"/>
          <w:szCs w:val="20"/>
          <w:rtl/>
        </w:rPr>
        <w:t xml:space="preserve">, ייתכן שר׳ חיים העניק </w:t>
      </w:r>
      <w:proofErr w:type="spellStart"/>
      <w:r>
        <w:rPr>
          <w:sz w:val="20"/>
          <w:szCs w:val="20"/>
          <w:rtl/>
        </w:rPr>
        <w:t>לר</w:t>
      </w:r>
      <w:proofErr w:type="spellEnd"/>
      <w:r>
        <w:rPr>
          <w:sz w:val="20"/>
          <w:szCs w:val="20"/>
          <w:rtl/>
        </w:rPr>
        <w:t xml:space="preserve">׳ לייזר את הכבוד כפיצוי על כך שהוא, ר׳ חיים, סיכל את מטרת ביקורו. “תורת חיים” קושר את הכבוד לגילוי “אהבת התורה” של ר׳ לייזר, שנסע </w:t>
      </w:r>
      <w:proofErr w:type="spellStart"/>
      <w:r>
        <w:rPr>
          <w:sz w:val="20"/>
          <w:szCs w:val="20"/>
          <w:rtl/>
        </w:rPr>
        <w:t>מטלז</w:t>
      </w:r>
      <w:proofErr w:type="spellEnd"/>
      <w:r>
        <w:rPr>
          <w:sz w:val="20"/>
          <w:szCs w:val="20"/>
          <w:rtl/>
        </w:rPr>
        <w:t xml:space="preserve"> </w:t>
      </w:r>
      <w:proofErr w:type="spellStart"/>
      <w:r>
        <w:rPr>
          <w:sz w:val="20"/>
          <w:szCs w:val="20"/>
          <w:rtl/>
        </w:rPr>
        <w:t>לפרוז׳ני</w:t>
      </w:r>
      <w:proofErr w:type="spellEnd"/>
      <w:r>
        <w:rPr>
          <w:sz w:val="20"/>
          <w:szCs w:val="20"/>
          <w:rtl/>
        </w:rPr>
        <w:t xml:space="preserve"> כדי למצוא תשובה לשאלה תורנית. אבל כאמור, גרסת “תורת חיים” אינה מתקבלת לגמרי על הדעת: אילו הייתה </w:t>
      </w:r>
      <w:proofErr w:type="spellStart"/>
      <w:r>
        <w:rPr>
          <w:sz w:val="20"/>
          <w:szCs w:val="20"/>
          <w:rtl/>
        </w:rPr>
        <w:t>לר</w:t>
      </w:r>
      <w:proofErr w:type="spellEnd"/>
      <w:r>
        <w:rPr>
          <w:sz w:val="20"/>
          <w:szCs w:val="20"/>
          <w:rtl/>
        </w:rPr>
        <w:t xml:space="preserve">׳ לייזר גורדון שאלה תלמודית, הוא, שהיה עסוק מאוד, היה מעדיף לכתוב את שאלתו למספר המצומצם של חכמים שאפשר שהחשיב לגדולים ממנו, במקום להזניח את חובותיו כלפי תלמידיו ועירו ואת מעורבותו בענייני הציבור (ראה הערה 102 להלן) ולצאת למסע ממושך, של יותר מארבע מאות קילומטר, </w:t>
      </w:r>
      <w:proofErr w:type="spellStart"/>
      <w:r>
        <w:rPr>
          <w:sz w:val="20"/>
          <w:szCs w:val="20"/>
          <w:rtl/>
        </w:rPr>
        <w:t>לפרוז׳ני</w:t>
      </w:r>
      <w:proofErr w:type="spellEnd"/>
      <w:r>
        <w:rPr>
          <w:sz w:val="20"/>
          <w:szCs w:val="20"/>
          <w:rtl/>
        </w:rPr>
        <w:t>.</w:t>
      </w:r>
    </w:p>
  </w:footnote>
  <w:footnote w:id="3324">
    <w:p w14:paraId="20F5A6EB" w14:textId="77777777" w:rsidR="00AB3647" w:rsidRDefault="00000000">
      <w:pPr>
        <w:spacing w:after="0" w:before="0"/>
        <w:jc w:val="both"/>
      </w:pPr>
      <w:r>
        <w:rPr>
          <w:sz w:val="20"/>
          <w:szCs w:val="20"/>
          <w:rtl/>
        </w:rPr>
        <w:footnoteRef/>
      </w:r>
      <w:r>
        <w:rPr>
          <w:sz w:val="20"/>
          <w:szCs w:val="20"/>
          <w:rtl/>
        </w:rPr>
        <w:t>. ראה את סוף הפסקה השנייה בנספח יא להלן.</w:t>
      </w:r>
    </w:p>
  </w:footnote>
  <w:footnote w:id="3325">
    <w:p w14:paraId="0B115985" w14:textId="77777777" w:rsidR="00AB3647" w:rsidRDefault="00000000">
      <w:pPr>
        <w:spacing w:after="0" w:before="0"/>
        <w:jc w:val="both"/>
      </w:pPr>
      <w:r>
        <w:rPr>
          <w:sz w:val="20"/>
          <w:szCs w:val="20"/>
          <w:rtl/>
        </w:rPr>
        <w:footnoteRef/>
      </w:r>
      <w:r>
        <w:rPr>
          <w:sz w:val="20"/>
          <w:szCs w:val="20"/>
          <w:rtl/>
        </w:rPr>
        <w:t>. עמ׳ נ–נא.</w:t>
      </w:r>
    </w:p>
  </w:footnote>
  <w:footnote w:id="3326">
    <w:p w14:paraId="33A3F61E" w14:textId="77777777" w:rsidR="00AB3647" w:rsidRDefault="00000000">
      <w:pPr>
        <w:spacing w:after="0" w:before="0"/>
        <w:jc w:val="both"/>
      </w:pPr>
      <w:r>
        <w:rPr>
          <w:sz w:val="20"/>
          <w:szCs w:val="20"/>
          <w:rtl/>
        </w:rPr>
        <w:footnoteRef/>
      </w:r>
      <w:r>
        <w:rPr>
          <w:sz w:val="20"/>
          <w:szCs w:val="20"/>
          <w:rtl/>
        </w:rPr>
        <w:t>. הפסקה השנייה של נספח ב להלן, עמ׳ 431.</w:t>
      </w:r>
    </w:p>
  </w:footnote>
  <w:footnote w:id="3327">
    <w:p w14:paraId="3425BC95"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ישראל־יצחק</w:t>
      </w:r>
      <w:proofErr w:type="spellEnd"/>
      <w:r>
        <w:rPr>
          <w:sz w:val="20"/>
          <w:szCs w:val="20"/>
          <w:rtl/>
        </w:rPr>
        <w:t xml:space="preserve"> </w:t>
      </w:r>
      <w:proofErr w:type="spellStart"/>
      <w:r>
        <w:rPr>
          <w:sz w:val="20"/>
          <w:szCs w:val="20"/>
          <w:rtl/>
        </w:rPr>
        <w:t>קלמנוביץ</w:t>
      </w:r>
      <w:proofErr w:type="spellEnd"/>
      <w:r>
        <w:rPr>
          <w:sz w:val="20"/>
          <w:szCs w:val="20"/>
          <w:rtl/>
        </w:rPr>
        <w:t xml:space="preserve">, שרואיין ב־16 במרץ 1993, התלמיד הזה היה אביו, ר׳ אברהם </w:t>
      </w:r>
      <w:proofErr w:type="spellStart"/>
      <w:r>
        <w:rPr>
          <w:sz w:val="20"/>
          <w:szCs w:val="20"/>
          <w:rtl/>
        </w:rPr>
        <w:t>קלמנוביץ</w:t>
      </w:r>
      <w:proofErr w:type="spellEnd"/>
      <w:r>
        <w:rPr>
          <w:sz w:val="20"/>
          <w:szCs w:val="20"/>
          <w:rtl/>
        </w:rPr>
        <w:t xml:space="preserve"> (השווה כרך 2), ודבריו המדויקים של ר׳ לייזר גורדון היו: “כשהתלמיד הזה דן עמי בשיעורי, אני כמו אלכוהוליסט...”</w:t>
      </w:r>
    </w:p>
  </w:footnote>
  <w:footnote w:id="3328">
    <w:p w14:paraId="26C0783F" w14:textId="77777777" w:rsidR="00AB3647" w:rsidRDefault="00000000">
      <w:pPr>
        <w:spacing w:after="0" w:before="0"/>
        <w:jc w:val="both"/>
      </w:pPr>
      <w:r>
        <w:rPr>
          <w:sz w:val="20"/>
          <w:szCs w:val="20"/>
          <w:rtl/>
        </w:rPr>
        <w:footnoteRef/>
      </w:r>
      <w:r>
        <w:rPr>
          <w:sz w:val="20"/>
          <w:szCs w:val="20"/>
          <w:rtl/>
        </w:rPr>
        <w:t>. ריאיון מ־25 ביוני 1999.</w:t>
      </w:r>
    </w:p>
  </w:footnote>
  <w:footnote w:id="3329">
    <w:p w14:paraId="40D1D3BE" w14:textId="77777777" w:rsidR="00AB3647" w:rsidRDefault="00000000">
      <w:pPr>
        <w:spacing w:after="0" w:before="0"/>
        <w:jc w:val="both"/>
      </w:pPr>
      <w:r>
        <w:rPr>
          <w:sz w:val="20"/>
          <w:szCs w:val="20"/>
          <w:rtl/>
        </w:rPr>
        <w:footnoteRef/>
      </w:r>
      <w:r>
        <w:rPr>
          <w:sz w:val="20"/>
          <w:szCs w:val="20"/>
          <w:rtl/>
        </w:rPr>
        <w:t>. הביוגרפיה שבפתח “ליקוטי תשובות ר׳ אליעזר וחידושיו”.</w:t>
      </w:r>
    </w:p>
  </w:footnote>
  <w:footnote w:id="3330">
    <w:p w14:paraId="4CB4E51B" w14:textId="77777777" w:rsidR="00AB3647" w:rsidRDefault="00000000">
      <w:pPr>
        <w:spacing w:after="0" w:before="0"/>
        <w:jc w:val="both"/>
      </w:pPr>
      <w:r>
        <w:rPr>
          <w:sz w:val="20"/>
          <w:szCs w:val="20"/>
          <w:rtl/>
        </w:rPr>
        <w:footnoteRef/>
      </w:r>
      <w:r>
        <w:rPr>
          <w:sz w:val="20"/>
          <w:szCs w:val="20"/>
          <w:rtl/>
        </w:rPr>
        <w:t>. השווה לספרו של כץ, “תנועת המוסר”, כרך ב, עמ׳ 197.</w:t>
      </w:r>
    </w:p>
  </w:footnote>
  <w:footnote w:id="3331">
    <w:p w14:paraId="52C628C8" w14:textId="77777777" w:rsidR="00AB3647" w:rsidRDefault="00000000">
      <w:pPr>
        <w:spacing w:after="0" w:before="0"/>
        <w:jc w:val="both"/>
      </w:pPr>
      <w:r>
        <w:rPr>
          <w:sz w:val="20"/>
          <w:szCs w:val="20"/>
          <w:rtl/>
        </w:rPr>
        <w:footnoteRef/>
      </w:r>
      <w:r>
        <w:rPr>
          <w:sz w:val="20"/>
          <w:szCs w:val="20"/>
          <w:rtl/>
        </w:rPr>
        <w:t xml:space="preserve">. השווה לפסקה השנייה של נספח ח להלן: הוא מסר גם בישיבתו שלו שלושה שיעורים בשבוע. מכיוון שתלמוד התורה של ר׳ </w:t>
      </w:r>
      <w:proofErr w:type="spellStart"/>
      <w:r>
        <w:rPr>
          <w:sz w:val="20"/>
          <w:szCs w:val="20"/>
          <w:rtl/>
        </w:rPr>
        <w:t>שמחה־זיסל</w:t>
      </w:r>
      <w:proofErr w:type="spellEnd"/>
      <w:r>
        <w:rPr>
          <w:sz w:val="20"/>
          <w:szCs w:val="20"/>
          <w:rtl/>
        </w:rPr>
        <w:t xml:space="preserve"> זיו הציע גם לימודי חול, היה צורך בעיר בישיבה נוספת, רגילה, המוקדשת לתורה בלבד. ראה פרק 3, הפסקה הראשונה של נספח כה: תלמוד התורה נאלץ לעזוב את קלם ולעבור </w:t>
      </w:r>
      <w:proofErr w:type="spellStart"/>
      <w:r>
        <w:rPr>
          <w:sz w:val="20"/>
          <w:szCs w:val="20"/>
          <w:rtl/>
        </w:rPr>
        <w:t>לגרובין</w:t>
      </w:r>
      <w:proofErr w:type="spellEnd"/>
      <w:r>
        <w:rPr>
          <w:sz w:val="20"/>
          <w:szCs w:val="20"/>
          <w:rtl/>
        </w:rPr>
        <w:t xml:space="preserve"> בגלל אופיו הבלתי רגיל.</w:t>
      </w:r>
    </w:p>
  </w:footnote>
  <w:footnote w:id="3332">
    <w:p w14:paraId="171750AF" w14:textId="77777777" w:rsidR="00AB3647" w:rsidRDefault="00000000">
      <w:pPr>
        <w:spacing w:after="0" w:before="0"/>
        <w:jc w:val="both"/>
      </w:pPr>
      <w:r>
        <w:rPr>
          <w:sz w:val="20"/>
          <w:szCs w:val="20"/>
          <w:rtl/>
        </w:rPr>
        <w:footnoteRef/>
      </w:r>
      <w:r>
        <w:rPr>
          <w:sz w:val="20"/>
          <w:szCs w:val="20"/>
          <w:rtl/>
        </w:rPr>
        <w:t>. השווה לסעיף 1 בפרק 3 ולספרו של כץ, “תנועת המוסר”, כרך ג, עמ׳ 31.</w:t>
      </w:r>
    </w:p>
  </w:footnote>
  <w:footnote w:id="3333">
    <w:p w14:paraId="747EFCBF" w14:textId="77777777" w:rsidR="00AB3647" w:rsidRDefault="00000000">
      <w:pPr>
        <w:spacing w:after="0" w:before="0"/>
        <w:jc w:val="both"/>
      </w:pPr>
      <w:r>
        <w:rPr>
          <w:sz w:val="20"/>
          <w:szCs w:val="20"/>
          <w:rtl/>
        </w:rPr>
        <w:footnoteRef/>
      </w:r>
      <w:r>
        <w:rPr>
          <w:sz w:val="20"/>
          <w:szCs w:val="20"/>
          <w:rtl/>
        </w:rPr>
        <w:t>. המקור הנזכר, פרק 3, נספח ט.</w:t>
      </w:r>
    </w:p>
  </w:footnote>
  <w:footnote w:id="3334">
    <w:p w14:paraId="46B32DE9" w14:textId="77777777" w:rsidR="00AB3647" w:rsidRDefault="00000000">
      <w:pPr>
        <w:spacing w:after="0" w:before="0"/>
        <w:jc w:val="both"/>
      </w:pPr>
      <w:r>
        <w:rPr>
          <w:sz w:val="20"/>
          <w:szCs w:val="20"/>
          <w:rtl/>
        </w:rPr>
        <w:footnoteRef/>
      </w:r>
      <w:r>
        <w:rPr>
          <w:sz w:val="20"/>
          <w:szCs w:val="20"/>
          <w:rtl/>
        </w:rPr>
        <w:t>. כץ, “תנועת המוסר”, כרך ב, עמ׳ 428–429.</w:t>
      </w:r>
    </w:p>
  </w:footnote>
  <w:footnote w:id="3335">
    <w:p w14:paraId="62F52DAB" w14:textId="77777777" w:rsidR="00AB3647" w:rsidRDefault="00000000">
      <w:pPr>
        <w:spacing w:after="0" w:before="0"/>
        <w:jc w:val="both"/>
      </w:pPr>
      <w:r>
        <w:rPr>
          <w:sz w:val="20"/>
          <w:szCs w:val="20"/>
          <w:rtl/>
        </w:rPr>
        <w:footnoteRef/>
      </w:r>
      <w:r>
        <w:rPr>
          <w:sz w:val="20"/>
          <w:szCs w:val="20"/>
          <w:rtl/>
        </w:rPr>
        <w:t>. הפסקה השנייה של נספח ח להלן – עמ׳ 31.</w:t>
      </w:r>
    </w:p>
  </w:footnote>
  <w:footnote w:id="3336">
    <w:p w14:paraId="72E5D3C8" w14:textId="77777777" w:rsidR="00AB3647" w:rsidRDefault="00000000">
      <w:pPr>
        <w:spacing w:after="0" w:before="0"/>
        <w:jc w:val="both"/>
      </w:pPr>
      <w:r>
        <w:rPr>
          <w:sz w:val="20"/>
          <w:szCs w:val="20"/>
          <w:rtl/>
        </w:rPr>
        <w:footnoteRef/>
      </w:r>
      <w:r>
        <w:rPr>
          <w:sz w:val="20"/>
          <w:szCs w:val="20"/>
          <w:rtl/>
        </w:rPr>
        <w:t>. המקור הנזכר, פרק 1, הערה 11 – עמ׳ סד.</w:t>
      </w:r>
    </w:p>
  </w:footnote>
  <w:footnote w:id="3337">
    <w:p w14:paraId="75FA979D" w14:textId="77777777" w:rsidR="00AB3647" w:rsidRDefault="00000000">
      <w:pPr>
        <w:spacing w:after="0" w:before="0"/>
        <w:jc w:val="both"/>
      </w:pPr>
      <w:r>
        <w:rPr>
          <w:sz w:val="20"/>
          <w:szCs w:val="20"/>
          <w:rtl/>
        </w:rPr>
        <w:footnoteRef/>
      </w:r>
      <w:r>
        <w:rPr>
          <w:sz w:val="20"/>
          <w:szCs w:val="20"/>
          <w:rtl/>
        </w:rPr>
        <w:t xml:space="preserve">. גם הגאון </w:t>
      </w:r>
      <w:proofErr w:type="spellStart"/>
      <w:r>
        <w:rPr>
          <w:sz w:val="20"/>
          <w:szCs w:val="20"/>
          <w:rtl/>
        </w:rPr>
        <w:t>הרוגצ׳ובי</w:t>
      </w:r>
      <w:proofErr w:type="spellEnd"/>
      <w:r>
        <w:rPr>
          <w:sz w:val="20"/>
          <w:szCs w:val="20"/>
          <w:rtl/>
        </w:rPr>
        <w:t xml:space="preserve"> התנצל פעם ואמר שיודע פסוק מסוים מתוך הגמרא. ומעשה שהיה כך היה: הגאון כתב למאן דהו למה יש הבדל בין אונס ומוציא שם רע שבאחד כתוב “לא יוכל לשלחה” ובאחר כתוב “לא יוכל שלחה”, והוא מפני שבאונס אם </w:t>
      </w:r>
      <w:proofErr w:type="spellStart"/>
      <w:r>
        <w:rPr>
          <w:sz w:val="20"/>
          <w:szCs w:val="20"/>
          <w:rtl/>
        </w:rPr>
        <w:t>ישא</w:t>
      </w:r>
      <w:proofErr w:type="spellEnd"/>
      <w:r>
        <w:rPr>
          <w:sz w:val="20"/>
          <w:szCs w:val="20"/>
          <w:rtl/>
        </w:rPr>
        <w:t xml:space="preserve"> את אחות </w:t>
      </w:r>
      <w:proofErr w:type="spellStart"/>
      <w:r>
        <w:rPr>
          <w:sz w:val="20"/>
          <w:szCs w:val="20"/>
          <w:rtl/>
        </w:rPr>
        <w:t>אנוסתו</w:t>
      </w:r>
      <w:proofErr w:type="spellEnd"/>
      <w:r>
        <w:rPr>
          <w:sz w:val="20"/>
          <w:szCs w:val="20"/>
          <w:rtl/>
        </w:rPr>
        <w:t xml:space="preserve"> טרם יקיים את “ולו תהיה לאשה” ג״כ יעבור על איסור הלאו, </w:t>
      </w:r>
      <w:proofErr w:type="spellStart"/>
      <w:r>
        <w:rPr>
          <w:sz w:val="20"/>
          <w:szCs w:val="20"/>
          <w:rtl/>
        </w:rPr>
        <w:t>משא״כ</w:t>
      </w:r>
      <w:proofErr w:type="spellEnd"/>
      <w:r>
        <w:rPr>
          <w:sz w:val="20"/>
          <w:szCs w:val="20"/>
          <w:rtl/>
        </w:rPr>
        <w:t xml:space="preserve"> במוציא שם רע שהיא כבר אשתו לא </w:t>
      </w:r>
      <w:proofErr w:type="spellStart"/>
      <w:r>
        <w:rPr>
          <w:sz w:val="20"/>
          <w:szCs w:val="20"/>
          <w:rtl/>
        </w:rPr>
        <w:t>יצוייר</w:t>
      </w:r>
      <w:proofErr w:type="spellEnd"/>
      <w:r>
        <w:rPr>
          <w:sz w:val="20"/>
          <w:szCs w:val="20"/>
          <w:rtl/>
        </w:rPr>
        <w:t xml:space="preserve"> אופן כזה. ולכן כתוב אצל אונס המלה לשלחה, בתוספת למ״ד, לרבות את החידוש הזה. כשהגיעו הדברים לידי הרב שלמה יוסף </w:t>
      </w:r>
      <w:proofErr w:type="spellStart"/>
      <w:r>
        <w:rPr>
          <w:sz w:val="20"/>
          <w:szCs w:val="20"/>
          <w:rtl/>
        </w:rPr>
        <w:t>זוין</w:t>
      </w:r>
      <w:proofErr w:type="spellEnd"/>
      <w:r>
        <w:rPr>
          <w:sz w:val="20"/>
          <w:szCs w:val="20"/>
          <w:rtl/>
        </w:rPr>
        <w:t xml:space="preserve"> (שהוסמך על ידי </w:t>
      </w:r>
      <w:proofErr w:type="spellStart"/>
      <w:r>
        <w:rPr>
          <w:sz w:val="20"/>
          <w:szCs w:val="20"/>
          <w:rtl/>
        </w:rPr>
        <w:t>הרוגצ׳ובי</w:t>
      </w:r>
      <w:proofErr w:type="spellEnd"/>
      <w:r>
        <w:rPr>
          <w:sz w:val="20"/>
          <w:szCs w:val="20"/>
          <w:rtl/>
        </w:rPr>
        <w:t xml:space="preserve">) שלח לו מכתב כי “מצא בספר קטן ישן נושן, וחומש שמו” שכתוב להיפך, דהיינו שהאות למ״ד הנה בפסוק שבמוציא שם רע לא שבאונס. והוסיף כי סובר שמשום שהגאון רגיל לבטל דברי האחרונים נענש לבוא לכלל טעות בפסוק בתורה. הגאון ענה לו: “והוא רחום יכפר עוון וא״א ללמוד בלי </w:t>
      </w:r>
      <w:proofErr w:type="spellStart"/>
      <w:r>
        <w:rPr>
          <w:sz w:val="20"/>
          <w:szCs w:val="20"/>
          <w:rtl/>
        </w:rPr>
        <w:t>טעותים</w:t>
      </w:r>
      <w:proofErr w:type="spellEnd"/>
      <w:r>
        <w:rPr>
          <w:sz w:val="20"/>
          <w:szCs w:val="20"/>
          <w:rtl/>
        </w:rPr>
        <w:t xml:space="preserve"> והקב״ה יצילנו משגיאות, </w:t>
      </w:r>
      <w:proofErr w:type="spellStart"/>
      <w:r>
        <w:rPr>
          <w:sz w:val="20"/>
          <w:szCs w:val="20"/>
          <w:rtl/>
        </w:rPr>
        <w:t>ובמח״כ</w:t>
      </w:r>
      <w:proofErr w:type="spellEnd"/>
      <w:r>
        <w:rPr>
          <w:sz w:val="20"/>
          <w:szCs w:val="20"/>
          <w:rtl/>
        </w:rPr>
        <w:t xml:space="preserve"> אף הרמב״ם טעה בפסוק זה”, והמשיך להתפלפל בדברי הרמב״ם פ״א מהל׳ נערה בתולה (ועי׳ ספר החינוך ריש מצוה תקנ״ח והמנחת חינוך על אתר), והסיק “ולמה טעיתי? בגלל </w:t>
      </w:r>
      <w:proofErr w:type="spellStart"/>
      <w:r>
        <w:rPr>
          <w:sz w:val="20"/>
          <w:szCs w:val="20"/>
          <w:rtl/>
        </w:rPr>
        <w:t>גירסת</w:t>
      </w:r>
      <w:proofErr w:type="spellEnd"/>
      <w:r>
        <w:rPr>
          <w:sz w:val="20"/>
          <w:szCs w:val="20"/>
          <w:rtl/>
        </w:rPr>
        <w:t xml:space="preserve"> </w:t>
      </w:r>
      <w:proofErr w:type="spellStart"/>
      <w:r>
        <w:rPr>
          <w:sz w:val="20"/>
          <w:szCs w:val="20"/>
          <w:rtl/>
        </w:rPr>
        <w:t>הגמ</w:t>
      </w:r>
      <w:proofErr w:type="spellEnd"/>
      <w:r>
        <w:rPr>
          <w:sz w:val="20"/>
          <w:szCs w:val="20"/>
          <w:rtl/>
        </w:rPr>
        <w:t xml:space="preserve">’ גיטין דף צ׳ ע״א שם הובא הפסוק באונס עם למ״ד”. הסיפור נמסר למחבר בכ״ב באלול תשנ״ה ע״י נכדו של בעל המעשה, הרב נחום </w:t>
      </w:r>
      <w:proofErr w:type="spellStart"/>
      <w:r>
        <w:rPr>
          <w:sz w:val="20"/>
          <w:szCs w:val="20"/>
          <w:rtl/>
        </w:rPr>
        <w:t>זוין</w:t>
      </w:r>
      <w:proofErr w:type="spellEnd"/>
      <w:r>
        <w:rPr>
          <w:sz w:val="20"/>
          <w:szCs w:val="20"/>
          <w:rtl/>
        </w:rPr>
        <w:t xml:space="preserve">. הטעות של </w:t>
      </w:r>
      <w:proofErr w:type="spellStart"/>
      <w:r>
        <w:rPr>
          <w:sz w:val="20"/>
          <w:szCs w:val="20"/>
          <w:rtl/>
        </w:rPr>
        <w:t>הרוגצ׳ובי</w:t>
      </w:r>
      <w:proofErr w:type="spellEnd"/>
      <w:r>
        <w:rPr>
          <w:sz w:val="20"/>
          <w:szCs w:val="20"/>
          <w:rtl/>
        </w:rPr>
        <w:t xml:space="preserve"> הודפסה בקונטרס בירור הלכות בש״ס עמ׳ ד׳ ע״ב והושג עליה </w:t>
      </w:r>
      <w:proofErr w:type="spellStart"/>
      <w:r>
        <w:rPr>
          <w:sz w:val="20"/>
          <w:szCs w:val="20"/>
          <w:rtl/>
        </w:rPr>
        <w:t>בשו״ת</w:t>
      </w:r>
      <w:proofErr w:type="spellEnd"/>
      <w:r>
        <w:rPr>
          <w:sz w:val="20"/>
          <w:szCs w:val="20"/>
          <w:rtl/>
        </w:rPr>
        <w:t xml:space="preserve"> צפנת פענח (</w:t>
      </w:r>
      <w:proofErr w:type="spellStart"/>
      <w:r>
        <w:rPr>
          <w:sz w:val="20"/>
          <w:szCs w:val="20"/>
          <w:rtl/>
        </w:rPr>
        <w:t>וורשא</w:t>
      </w:r>
      <w:proofErr w:type="spellEnd"/>
      <w:r>
        <w:rPr>
          <w:sz w:val="20"/>
          <w:szCs w:val="20"/>
          <w:rtl/>
        </w:rPr>
        <w:t xml:space="preserve">, ונדפס מחדש </w:t>
      </w:r>
      <w:proofErr w:type="spellStart"/>
      <w:r>
        <w:rPr>
          <w:sz w:val="20"/>
          <w:szCs w:val="20"/>
          <w:rtl/>
        </w:rPr>
        <w:t>בניו־יורק</w:t>
      </w:r>
      <w:proofErr w:type="spellEnd"/>
      <w:r>
        <w:rPr>
          <w:sz w:val="20"/>
          <w:szCs w:val="20"/>
          <w:rtl/>
        </w:rPr>
        <w:t xml:space="preserve">, תשי״ד), סימן רי״ג, </w:t>
      </w:r>
      <w:proofErr w:type="spellStart"/>
      <w:r>
        <w:rPr>
          <w:sz w:val="20"/>
          <w:szCs w:val="20"/>
          <w:rtl/>
        </w:rPr>
        <w:t>ועיי״ש</w:t>
      </w:r>
      <w:proofErr w:type="spellEnd"/>
      <w:r>
        <w:rPr>
          <w:sz w:val="20"/>
          <w:szCs w:val="20"/>
          <w:rtl/>
        </w:rPr>
        <w:t xml:space="preserve"> איך התנצל </w:t>
      </w:r>
      <w:proofErr w:type="spellStart"/>
      <w:r>
        <w:rPr>
          <w:sz w:val="20"/>
          <w:szCs w:val="20"/>
          <w:rtl/>
        </w:rPr>
        <w:t>הרוגצ׳ובר</w:t>
      </w:r>
      <w:proofErr w:type="spellEnd"/>
      <w:r>
        <w:rPr>
          <w:sz w:val="20"/>
          <w:szCs w:val="20"/>
          <w:rtl/>
        </w:rPr>
        <w:t xml:space="preserve">. (הובא בספר משמר הלוי </w:t>
      </w:r>
      <w:proofErr w:type="spellStart"/>
      <w:r>
        <w:rPr>
          <w:sz w:val="20"/>
          <w:szCs w:val="20"/>
          <w:rtl/>
        </w:rPr>
        <w:t>לרמ״מ</w:t>
      </w:r>
      <w:proofErr w:type="spellEnd"/>
      <w:r>
        <w:rPr>
          <w:sz w:val="20"/>
          <w:szCs w:val="20"/>
          <w:rtl/>
        </w:rPr>
        <w:t xml:space="preserve"> </w:t>
      </w:r>
      <w:proofErr w:type="spellStart"/>
      <w:r>
        <w:rPr>
          <w:sz w:val="20"/>
          <w:szCs w:val="20"/>
          <w:rtl/>
        </w:rPr>
        <w:t>שולזינגר</w:t>
      </w:r>
      <w:proofErr w:type="spellEnd"/>
      <w:r>
        <w:rPr>
          <w:sz w:val="20"/>
          <w:szCs w:val="20"/>
          <w:rtl/>
        </w:rPr>
        <w:t>, עמ׳ ס.)</w:t>
      </w:r>
    </w:p>
    <w:p w14:paraId="29975AE5" w14:textId="77777777" w:rsidR="00AB3647" w:rsidRDefault="00000000">
      <w:pPr>
        <w:spacing w:after="0" w:before="0"/>
        <w:jc w:val="both"/>
      </w:pPr>
      <w:r>
        <w:rPr>
          <w:sz w:val="20"/>
          <w:szCs w:val="20"/>
          <w:rtl/>
        </w:rPr>
        <w:t xml:space="preserve">ובני הרב יוסף העירני על עוד תופעה של “אגב חורפיה לא עיין בה (עירובין צ׳ ע״א)” אצל גדול קדמון המהר״ל מפראג שהסביר בספרו דרך חיים (פרקי אבות ה׳ מי״ט) למה באברהם אבינו כתוב “ושני נעריו עמו” ובבלעם כתוב “ושני נעריו אתו”, והיפך הפסוקים, ומהמגיד </w:t>
      </w:r>
      <w:proofErr w:type="spellStart"/>
      <w:r>
        <w:rPr>
          <w:sz w:val="20"/>
          <w:szCs w:val="20"/>
          <w:rtl/>
        </w:rPr>
        <w:t>מקוזניץ</w:t>
      </w:r>
      <w:proofErr w:type="spellEnd"/>
      <w:r>
        <w:rPr>
          <w:sz w:val="20"/>
          <w:szCs w:val="20"/>
          <w:rtl/>
        </w:rPr>
        <w:t xml:space="preserve"> כתוב (כפי שהובא בסוף ספרו של המהר״ל באר הגולה) “שאין זה אלא שגגת המעתיקים והמדפיסים אשר הבינו דברי הספר על פשוטו, אמנם המחבר </w:t>
      </w:r>
      <w:proofErr w:type="spellStart"/>
      <w:r>
        <w:rPr>
          <w:sz w:val="20"/>
          <w:szCs w:val="20"/>
          <w:rtl/>
        </w:rPr>
        <w:t>הק</w:t>
      </w:r>
      <w:proofErr w:type="spellEnd"/>
      <w:r>
        <w:rPr>
          <w:sz w:val="20"/>
          <w:szCs w:val="20"/>
          <w:rtl/>
        </w:rPr>
        <w:t xml:space="preserve">׳ די רוח </w:t>
      </w:r>
      <w:proofErr w:type="spellStart"/>
      <w:r>
        <w:rPr>
          <w:sz w:val="20"/>
          <w:szCs w:val="20"/>
          <w:rtl/>
        </w:rPr>
        <w:t>א־להין</w:t>
      </w:r>
      <w:proofErr w:type="spellEnd"/>
      <w:r>
        <w:rPr>
          <w:sz w:val="20"/>
          <w:szCs w:val="20"/>
          <w:rtl/>
        </w:rPr>
        <w:t xml:space="preserve"> </w:t>
      </w:r>
      <w:proofErr w:type="spellStart"/>
      <w:r>
        <w:rPr>
          <w:sz w:val="20"/>
          <w:szCs w:val="20"/>
          <w:rtl/>
        </w:rPr>
        <w:t>קדישין</w:t>
      </w:r>
      <w:proofErr w:type="spellEnd"/>
      <w:r>
        <w:rPr>
          <w:sz w:val="20"/>
          <w:szCs w:val="20"/>
          <w:rtl/>
        </w:rPr>
        <w:t xml:space="preserve"> ביה מאד עמקו מחשבותיו”. אבל גם בחידושי אגדות היפך הפסוקים, וגם עיין בלשונו של המהר״ל בחידושי אגדות חולין צ״א ע״א, ואף שמעתי שר׳ מנחם מנדל מורגנשטרן, האדמו״ר </w:t>
      </w:r>
      <w:proofErr w:type="spellStart"/>
      <w:r>
        <w:rPr>
          <w:sz w:val="20"/>
          <w:szCs w:val="20"/>
          <w:rtl/>
        </w:rPr>
        <w:t>מקוצק</w:t>
      </w:r>
      <w:proofErr w:type="spellEnd"/>
      <w:r>
        <w:rPr>
          <w:sz w:val="20"/>
          <w:szCs w:val="20"/>
          <w:rtl/>
        </w:rPr>
        <w:t>, אמר שמן השמים נכשל המהר״ל בטעות זו כדי שנדע שהיה בשר ודם ולא מלאך.</w:t>
      </w:r>
    </w:p>
  </w:footnote>
  <w:footnote w:id="3338">
    <w:p w14:paraId="2E86DC95" w14:textId="77777777" w:rsidR="00AB3647" w:rsidRDefault="00000000">
      <w:pPr>
        <w:spacing w:after="0" w:before="0"/>
        <w:jc w:val="both"/>
      </w:pPr>
      <w:r>
        <w:rPr>
          <w:sz w:val="20"/>
          <w:szCs w:val="20"/>
          <w:rtl/>
        </w:rPr>
        <w:footnoteRef/>
      </w:r>
      <w:r>
        <w:rPr>
          <w:sz w:val="20"/>
          <w:szCs w:val="20"/>
          <w:rtl/>
        </w:rPr>
        <w:t>. עמ׳ 23.</w:t>
      </w:r>
    </w:p>
  </w:footnote>
  <w:footnote w:id="3339">
    <w:p w14:paraId="06C90E5C" w14:textId="77777777" w:rsidR="00AB3647" w:rsidRDefault="00000000">
      <w:pPr>
        <w:spacing w:after="0" w:before="0"/>
        <w:jc w:val="both"/>
      </w:pPr>
      <w:r>
        <w:rPr>
          <w:sz w:val="20"/>
          <w:szCs w:val="20"/>
          <w:rtl/>
        </w:rPr>
        <w:footnoteRef/>
      </w:r>
      <w:r>
        <w:rPr>
          <w:sz w:val="20"/>
          <w:szCs w:val="20"/>
          <w:rtl/>
        </w:rPr>
        <w:t>. עמ׳ 198.</w:t>
      </w:r>
    </w:p>
  </w:footnote>
  <w:footnote w:id="3340">
    <w:p w14:paraId="6A3884CF" w14:textId="77777777" w:rsidR="00AB3647" w:rsidRDefault="00000000">
      <w:pPr>
        <w:spacing w:after="0" w:before="0"/>
        <w:jc w:val="both"/>
      </w:pPr>
      <w:r>
        <w:rPr>
          <w:sz w:val="20"/>
          <w:szCs w:val="20"/>
          <w:rtl/>
        </w:rPr>
        <w:footnoteRef/>
      </w:r>
      <w:r>
        <w:rPr>
          <w:sz w:val="20"/>
          <w:szCs w:val="20"/>
          <w:rtl/>
        </w:rPr>
        <w:t>. פרק 1, נספח ו.</w:t>
      </w:r>
    </w:p>
  </w:footnote>
  <w:footnote w:id="3341">
    <w:p w14:paraId="154BEB8B" w14:textId="77777777" w:rsidR="00AB3647" w:rsidRDefault="00000000">
      <w:pPr>
        <w:spacing w:after="0" w:before="0"/>
        <w:jc w:val="both"/>
      </w:pPr>
      <w:r>
        <w:rPr>
          <w:sz w:val="20"/>
          <w:szCs w:val="20"/>
          <w:rtl/>
        </w:rPr>
        <w:footnoteRef/>
      </w:r>
      <w:r>
        <w:rPr>
          <w:sz w:val="20"/>
          <w:szCs w:val="20"/>
          <w:rtl/>
        </w:rPr>
        <w:t>. עמ׳ מו.</w:t>
      </w:r>
    </w:p>
  </w:footnote>
  <w:footnote w:id="3342">
    <w:p w14:paraId="1C97EE05" w14:textId="77777777" w:rsidR="00AB3647" w:rsidRDefault="00000000">
      <w:pPr>
        <w:spacing w:after="0" w:before="0"/>
        <w:jc w:val="both"/>
      </w:pPr>
      <w:r>
        <w:rPr>
          <w:sz w:val="20"/>
          <w:szCs w:val="20"/>
          <w:rtl/>
        </w:rPr>
        <w:footnoteRef/>
      </w:r>
      <w:r>
        <w:rPr>
          <w:sz w:val="20"/>
          <w:szCs w:val="20"/>
          <w:rtl/>
        </w:rPr>
        <w:t>. המקור הנזכר, פרק 3, נספח ט – עמ׳ 75.</w:t>
      </w:r>
    </w:p>
  </w:footnote>
  <w:footnote w:id="3343">
    <w:p w14:paraId="0B92E3FA" w14:textId="77777777" w:rsidR="00AB3647" w:rsidRDefault="00000000">
      <w:pPr>
        <w:spacing w:after="0" w:before="0"/>
        <w:jc w:val="both"/>
      </w:pPr>
      <w:r>
        <w:rPr>
          <w:sz w:val="20"/>
          <w:szCs w:val="20"/>
          <w:rtl/>
        </w:rPr>
        <w:footnoteRef/>
      </w:r>
      <w:r>
        <w:rPr>
          <w:sz w:val="20"/>
          <w:szCs w:val="20"/>
          <w:rtl/>
        </w:rPr>
        <w:t xml:space="preserve">. לפי פנקס “הגדול” (המקור הנזכר, פרק 1, נספח ו), עמ׳ 176, ביקר </w:t>
      </w:r>
      <w:proofErr w:type="spellStart"/>
      <w:r>
        <w:rPr>
          <w:sz w:val="20"/>
          <w:szCs w:val="20"/>
          <w:rtl/>
        </w:rPr>
        <w:t>ה“גדול</w:t>
      </w:r>
      <w:proofErr w:type="spellEnd"/>
      <w:r>
        <w:rPr>
          <w:sz w:val="20"/>
          <w:szCs w:val="20"/>
          <w:rtl/>
        </w:rPr>
        <w:t xml:space="preserve">” בעיר </w:t>
      </w:r>
      <w:proofErr w:type="spellStart"/>
      <w:r>
        <w:rPr>
          <w:sz w:val="20"/>
          <w:szCs w:val="20"/>
          <w:rtl/>
        </w:rPr>
        <w:t>בתרנ״ג</w:t>
      </w:r>
      <w:proofErr w:type="spellEnd"/>
      <w:r>
        <w:rPr>
          <w:sz w:val="20"/>
          <w:szCs w:val="20"/>
          <w:rtl/>
        </w:rPr>
        <w:t xml:space="preserve">. אבל ראה את העתק מכתב ההסכמה לישיבת </w:t>
      </w:r>
      <w:proofErr w:type="spellStart"/>
      <w:r>
        <w:rPr>
          <w:sz w:val="20"/>
          <w:szCs w:val="20"/>
          <w:rtl/>
        </w:rPr>
        <w:t>טלז</w:t>
      </w:r>
      <w:proofErr w:type="spellEnd"/>
      <w:r>
        <w:rPr>
          <w:sz w:val="20"/>
          <w:szCs w:val="20"/>
          <w:rtl/>
        </w:rPr>
        <w:t xml:space="preserve"> </w:t>
      </w:r>
      <w:proofErr w:type="spellStart"/>
      <w:r>
        <w:rPr>
          <w:sz w:val="20"/>
          <w:szCs w:val="20"/>
          <w:rtl/>
        </w:rPr>
        <w:t>ב“שנות</w:t>
      </w:r>
      <w:proofErr w:type="spellEnd"/>
      <w:r>
        <w:rPr>
          <w:sz w:val="20"/>
          <w:szCs w:val="20"/>
          <w:rtl/>
        </w:rPr>
        <w:t xml:space="preserve"> דור ודור” שיצא לאור לאחרונה (סוף נספח ז להלן), עמ׳ </w:t>
      </w:r>
      <w:proofErr w:type="spellStart"/>
      <w:r>
        <w:rPr>
          <w:sz w:val="20"/>
          <w:szCs w:val="20"/>
          <w:rtl/>
        </w:rPr>
        <w:t>רלו</w:t>
      </w:r>
      <w:proofErr w:type="spellEnd"/>
      <w:r>
        <w:rPr>
          <w:sz w:val="20"/>
          <w:szCs w:val="20"/>
          <w:rtl/>
        </w:rPr>
        <w:t xml:space="preserve">: </w:t>
      </w:r>
      <w:proofErr w:type="spellStart"/>
      <w:r>
        <w:rPr>
          <w:sz w:val="20"/>
          <w:szCs w:val="20"/>
          <w:rtl/>
        </w:rPr>
        <w:t>ה“גדול</w:t>
      </w:r>
      <w:proofErr w:type="spellEnd"/>
      <w:r>
        <w:rPr>
          <w:sz w:val="20"/>
          <w:szCs w:val="20"/>
          <w:rtl/>
        </w:rPr>
        <w:t xml:space="preserve">” כתב אותו בעת ביקור </w:t>
      </w:r>
      <w:proofErr w:type="spellStart"/>
      <w:r>
        <w:rPr>
          <w:sz w:val="20"/>
          <w:szCs w:val="20"/>
          <w:rtl/>
        </w:rPr>
        <w:t>בטלז</w:t>
      </w:r>
      <w:proofErr w:type="spellEnd"/>
      <w:r>
        <w:rPr>
          <w:sz w:val="20"/>
          <w:szCs w:val="20"/>
          <w:rtl/>
        </w:rPr>
        <w:t xml:space="preserve"> שנתיים קודם לכן, בי״ג בשבט תרמ״ט. כבר היו אז 250 תלמידים בישיבה.</w:t>
      </w:r>
    </w:p>
  </w:footnote>
  <w:footnote w:id="3344">
    <w:p w14:paraId="1D409D1A"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בין שבט תרמ״ט </w:t>
      </w:r>
      <w:proofErr w:type="spellStart"/>
      <w:r>
        <w:rPr>
          <w:sz w:val="20"/>
          <w:szCs w:val="20"/>
          <w:rtl/>
        </w:rPr>
        <w:t>לתרנ״ג</w:t>
      </w:r>
      <w:proofErr w:type="spellEnd"/>
      <w:r>
        <w:rPr>
          <w:sz w:val="20"/>
          <w:szCs w:val="20"/>
          <w:rtl/>
        </w:rPr>
        <w:t xml:space="preserve"> עברו כארבע שנים, ולא שתיים.</w:t>
      </w:r>
    </w:p>
  </w:footnote>
  <w:footnote w:id="3345">
    <w:p w14:paraId="52D7B98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 xml:space="preserve"> – בשם ר׳ אפרים </w:t>
      </w:r>
      <w:proofErr w:type="spellStart"/>
      <w:r>
        <w:rPr>
          <w:sz w:val="20"/>
          <w:szCs w:val="20"/>
          <w:rtl/>
        </w:rPr>
        <w:t>בורודיאנסקי</w:t>
      </w:r>
      <w:proofErr w:type="spellEnd"/>
      <w:r>
        <w:rPr>
          <w:sz w:val="20"/>
          <w:szCs w:val="20"/>
          <w:rtl/>
        </w:rPr>
        <w:t>.</w:t>
      </w:r>
    </w:p>
  </w:footnote>
  <w:footnote w:id="3346">
    <w:p w14:paraId="38F523AB" w14:textId="77777777" w:rsidR="00AB3647" w:rsidRDefault="00000000">
      <w:pPr>
        <w:spacing w:after="0" w:before="0"/>
        <w:jc w:val="both"/>
      </w:pPr>
      <w:r>
        <w:rPr>
          <w:sz w:val="20"/>
          <w:szCs w:val="20"/>
          <w:rtl/>
        </w:rPr>
        <w:footnoteRef/>
      </w:r>
      <w:r>
        <w:rPr>
          <w:sz w:val="20"/>
          <w:szCs w:val="20"/>
          <w:rtl/>
        </w:rPr>
        <w:t>. פרק 3, הערה 42 – עמ׳ 6.</w:t>
      </w:r>
    </w:p>
  </w:footnote>
  <w:footnote w:id="3347">
    <w:p w14:paraId="2F6636BB" w14:textId="77777777" w:rsidR="00AB3647" w:rsidRDefault="00000000">
      <w:pPr>
        <w:spacing w:after="0" w:before="0"/>
        <w:jc w:val="both"/>
      </w:pPr>
      <w:r>
        <w:rPr>
          <w:sz w:val="20"/>
          <w:szCs w:val="20"/>
          <w:rtl/>
        </w:rPr>
        <w:footnoteRef/>
      </w:r>
      <w:r>
        <w:rPr>
          <w:sz w:val="20"/>
          <w:szCs w:val="20"/>
          <w:rtl/>
        </w:rPr>
        <w:t>. ו׳ ע״ב.</w:t>
      </w:r>
    </w:p>
  </w:footnote>
  <w:footnote w:id="3348">
    <w:p w14:paraId="7F4E7514" w14:textId="77777777" w:rsidR="00AB3647" w:rsidRDefault="00000000">
      <w:pPr>
        <w:spacing w:after="0" w:before="0"/>
        <w:jc w:val="both"/>
      </w:pPr>
      <w:r>
        <w:rPr>
          <w:sz w:val="20"/>
          <w:szCs w:val="20"/>
          <w:rtl/>
        </w:rPr>
        <w:footnoteRef/>
      </w:r>
      <w:r>
        <w:rPr>
          <w:sz w:val="20"/>
          <w:szCs w:val="20"/>
          <w:rtl/>
        </w:rPr>
        <w:t xml:space="preserve">. על פי ויקרא </w:t>
      </w:r>
      <w:proofErr w:type="spellStart"/>
      <w:r>
        <w:rPr>
          <w:sz w:val="20"/>
          <w:szCs w:val="20"/>
          <w:rtl/>
        </w:rPr>
        <w:t>טז:ב,ג</w:t>
      </w:r>
      <w:proofErr w:type="spellEnd"/>
      <w:r>
        <w:rPr>
          <w:sz w:val="20"/>
          <w:szCs w:val="20"/>
          <w:rtl/>
        </w:rPr>
        <w:t>.</w:t>
      </w:r>
    </w:p>
  </w:footnote>
  <w:footnote w:id="3349">
    <w:p w14:paraId="7FEE759A" w14:textId="77777777" w:rsidR="00AB3647" w:rsidRDefault="00000000">
      <w:pPr>
        <w:spacing w:after="0" w:before="0"/>
        <w:jc w:val="both"/>
      </w:pPr>
      <w:r>
        <w:rPr>
          <w:sz w:val="20"/>
          <w:szCs w:val="20"/>
          <w:rtl/>
        </w:rPr>
        <w:footnoteRef/>
      </w:r>
      <w:r>
        <w:rPr>
          <w:sz w:val="20"/>
          <w:szCs w:val="20"/>
          <w:rtl/>
        </w:rPr>
        <w:t xml:space="preserve">. מרשימות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 ראה פרק 1, הערה 32.</w:t>
      </w:r>
    </w:p>
  </w:footnote>
  <w:footnote w:id="3350">
    <w:p w14:paraId="7A22802A" w14:textId="77777777" w:rsidR="00AB3647" w:rsidRDefault="00000000">
      <w:pPr>
        <w:spacing w:after="0" w:before="0"/>
        <w:jc w:val="both"/>
      </w:pPr>
      <w:r>
        <w:rPr>
          <w:sz w:val="20"/>
          <w:szCs w:val="20"/>
          <w:rtl/>
        </w:rPr>
        <w:footnoteRef/>
      </w:r>
      <w:r>
        <w:rPr>
          <w:sz w:val="20"/>
          <w:szCs w:val="20"/>
          <w:rtl/>
        </w:rPr>
        <w:t xml:space="preserve">. כפי שצוטט בספרו של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w:t>
      </w:r>
    </w:p>
  </w:footnote>
  <w:footnote w:id="3351">
    <w:p w14:paraId="189BC8C4" w14:textId="77777777" w:rsidR="00AB3647" w:rsidRDefault="00000000">
      <w:pPr>
        <w:spacing w:after="0" w:before="0"/>
        <w:jc w:val="both"/>
      </w:pPr>
      <w:r>
        <w:rPr>
          <w:sz w:val="20"/>
          <w:szCs w:val="20"/>
          <w:rtl/>
        </w:rPr>
        <w:footnoteRef/>
      </w:r>
      <w:r>
        <w:rPr>
          <w:sz w:val="20"/>
          <w:szCs w:val="20"/>
          <w:rtl/>
        </w:rPr>
        <w:t>. מצוטט שם, עמ׳ כ.</w:t>
      </w:r>
    </w:p>
  </w:footnote>
  <w:footnote w:id="3352">
    <w:p w14:paraId="2B71C445" w14:textId="77777777" w:rsidR="00AB3647" w:rsidRDefault="00000000">
      <w:pPr>
        <w:spacing w:after="0" w:before="0"/>
        <w:jc w:val="both"/>
      </w:pPr>
      <w:r>
        <w:rPr>
          <w:sz w:val="20"/>
          <w:szCs w:val="20"/>
          <w:rtl/>
        </w:rPr>
        <w:footnoteRef/>
      </w:r>
      <w:r>
        <w:rPr>
          <w:sz w:val="20"/>
          <w:szCs w:val="20"/>
          <w:rtl/>
        </w:rPr>
        <w:t>. לפי הביוגרפיה שבפתח “ליקוטי תשובות ר׳ אליעזר וחידושיו”.</w:t>
      </w:r>
    </w:p>
  </w:footnote>
  <w:footnote w:id="3353">
    <w:p w14:paraId="46836654" w14:textId="77777777" w:rsidR="00AB3647" w:rsidRDefault="00000000">
      <w:pPr>
        <w:spacing w:after="0" w:before="0"/>
        <w:jc w:val="both"/>
      </w:pPr>
      <w:r>
        <w:rPr>
          <w:sz w:val="20"/>
          <w:szCs w:val="20"/>
          <w:rtl/>
        </w:rPr>
        <w:footnoteRef/>
      </w:r>
      <w:r>
        <w:rPr>
          <w:sz w:val="20"/>
          <w:szCs w:val="20"/>
          <w:rtl/>
        </w:rPr>
        <w:t>. השווה לסוף הערה 92 לעיל.</w:t>
      </w:r>
    </w:p>
  </w:footnote>
  <w:footnote w:id="3354">
    <w:p w14:paraId="39F9877F" w14:textId="77777777" w:rsidR="00AB3647" w:rsidRDefault="00000000">
      <w:pPr>
        <w:spacing w:after="0" w:before="0"/>
        <w:jc w:val="both"/>
      </w:pPr>
      <w:r>
        <w:rPr>
          <w:sz w:val="20"/>
          <w:szCs w:val="20"/>
          <w:rtl/>
        </w:rPr>
        <w:footnoteRef/>
      </w:r>
      <w:r>
        <w:rPr>
          <w:sz w:val="20"/>
          <w:szCs w:val="20"/>
          <w:rtl/>
        </w:rPr>
        <w:t>. עמ׳ 23.</w:t>
      </w:r>
    </w:p>
  </w:footnote>
  <w:footnote w:id="3355">
    <w:p w14:paraId="34CFEAF4" w14:textId="77777777" w:rsidR="00AB3647" w:rsidRDefault="00000000">
      <w:pPr>
        <w:spacing w:after="0" w:before="0"/>
        <w:jc w:val="both"/>
      </w:pPr>
      <w:r>
        <w:rPr>
          <w:sz w:val="20"/>
          <w:szCs w:val="20"/>
          <w:rtl/>
        </w:rPr>
        <w:footnoteRef/>
      </w:r>
      <w:r>
        <w:rPr>
          <w:sz w:val="20"/>
          <w:szCs w:val="20"/>
          <w:rtl/>
        </w:rPr>
        <w:t xml:space="preserve">. על פי פרשיות שמע, דברים ו:ז, </w:t>
      </w:r>
      <w:proofErr w:type="spellStart"/>
      <w:r>
        <w:rPr>
          <w:sz w:val="20"/>
          <w:szCs w:val="20"/>
          <w:rtl/>
        </w:rPr>
        <w:t>יא:יט</w:t>
      </w:r>
      <w:proofErr w:type="spellEnd"/>
      <w:r>
        <w:rPr>
          <w:sz w:val="20"/>
          <w:szCs w:val="20"/>
          <w:rtl/>
        </w:rPr>
        <w:t xml:space="preserve"> – המצוות למעשה ללמוד תורה בכל המקומות והזמנים האלה.</w:t>
      </w:r>
    </w:p>
  </w:footnote>
  <w:footnote w:id="3356">
    <w:p w14:paraId="277567FC" w14:textId="77777777" w:rsidR="00AB3647" w:rsidRDefault="00000000">
      <w:pPr>
        <w:spacing w:after="0" w:before="0"/>
        <w:jc w:val="both"/>
      </w:pPr>
      <w:r>
        <w:rPr>
          <w:sz w:val="20"/>
          <w:szCs w:val="20"/>
          <w:rtl/>
        </w:rPr>
        <w:footnoteRef/>
      </w:r>
      <w:r>
        <w:rPr>
          <w:sz w:val="20"/>
          <w:szCs w:val="20"/>
          <w:rtl/>
        </w:rPr>
        <w:t xml:space="preserve">. השווה גם לפרק 5, סוף הפסקה הראשונה של נספח ב, שם מובאים דברי “תורת אברהם” (נספח א להלן) שלפיהם לכנסת ישראל הייתה בדיוק אותה השפעה על העיר </w:t>
      </w:r>
      <w:proofErr w:type="spellStart"/>
      <w:r>
        <w:rPr>
          <w:sz w:val="20"/>
          <w:szCs w:val="20"/>
          <w:rtl/>
        </w:rPr>
        <w:t>סלבודקה</w:t>
      </w:r>
      <w:proofErr w:type="spellEnd"/>
      <w:r>
        <w:rPr>
          <w:sz w:val="20"/>
          <w:szCs w:val="20"/>
          <w:rtl/>
        </w:rPr>
        <w:t>.</w:t>
      </w:r>
    </w:p>
  </w:footnote>
  <w:footnote w:id="3357">
    <w:p w14:paraId="5E23041D" w14:textId="77777777" w:rsidR="00AB3647" w:rsidRDefault="00000000">
      <w:pPr>
        <w:spacing w:after="0" w:before="0"/>
        <w:jc w:val="both"/>
      </w:pPr>
      <w:r>
        <w:rPr>
          <w:sz w:val="20"/>
          <w:szCs w:val="20"/>
          <w:rtl/>
        </w:rPr>
        <w:footnoteRef/>
      </w:r>
      <w:r>
        <w:rPr>
          <w:sz w:val="20"/>
          <w:szCs w:val="20"/>
          <w:rtl/>
        </w:rPr>
        <w:t xml:space="preserve">. ירושלים, תש״א (להלן: </w:t>
      </w:r>
      <w:proofErr w:type="spellStart"/>
      <w:r>
        <w:rPr>
          <w:sz w:val="20"/>
          <w:szCs w:val="20"/>
          <w:rtl/>
        </w:rPr>
        <w:t>ורהפטיג</w:t>
      </w:r>
      <w:proofErr w:type="spellEnd"/>
      <w:r>
        <w:rPr>
          <w:sz w:val="20"/>
          <w:szCs w:val="20"/>
          <w:rtl/>
        </w:rPr>
        <w:t>).</w:t>
      </w:r>
    </w:p>
  </w:footnote>
  <w:footnote w:id="3358">
    <w:p w14:paraId="0061B703" w14:textId="77777777" w:rsidR="00AB3647" w:rsidRDefault="00000000">
      <w:pPr>
        <w:spacing w:after="0" w:before="0"/>
        <w:jc w:val="both"/>
      </w:pPr>
      <w:r>
        <w:rPr>
          <w:sz w:val="20"/>
          <w:szCs w:val="20"/>
          <w:rtl/>
        </w:rPr>
        <w:footnoteRef/>
      </w:r>
      <w:r>
        <w:rPr>
          <w:sz w:val="20"/>
          <w:szCs w:val="20"/>
          <w:rtl/>
        </w:rPr>
        <w:t>. השווה להערות 106 ו־111 להלן.</w:t>
      </w:r>
    </w:p>
  </w:footnote>
  <w:footnote w:id="3359">
    <w:p w14:paraId="3FB6A5D6"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לשו״ע</w:t>
      </w:r>
      <w:proofErr w:type="spellEnd"/>
      <w:r>
        <w:rPr>
          <w:sz w:val="20"/>
          <w:szCs w:val="20"/>
          <w:rtl/>
        </w:rPr>
        <w:t xml:space="preserve"> </w:t>
      </w:r>
      <w:proofErr w:type="spellStart"/>
      <w:r>
        <w:rPr>
          <w:sz w:val="20"/>
          <w:szCs w:val="20"/>
          <w:rtl/>
        </w:rPr>
        <w:t>או״ח</w:t>
      </w:r>
      <w:proofErr w:type="spellEnd"/>
      <w:r>
        <w:rPr>
          <w:sz w:val="20"/>
          <w:szCs w:val="20"/>
          <w:rtl/>
        </w:rPr>
        <w:t xml:space="preserve"> סי׳ קכ״ד ס״ד ובמ״ב </w:t>
      </w:r>
      <w:proofErr w:type="spellStart"/>
      <w:r>
        <w:rPr>
          <w:sz w:val="20"/>
          <w:szCs w:val="20"/>
          <w:rtl/>
        </w:rPr>
        <w:t>ס״ק</w:t>
      </w:r>
      <w:proofErr w:type="spellEnd"/>
      <w:r>
        <w:rPr>
          <w:sz w:val="20"/>
          <w:szCs w:val="20"/>
          <w:rtl/>
        </w:rPr>
        <w:t xml:space="preserve"> י״ז, וסי׳ קמ״ו ס״ב.</w:t>
      </w:r>
    </w:p>
  </w:footnote>
  <w:footnote w:id="3360">
    <w:p w14:paraId="5D04E1F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מז</w:t>
      </w:r>
      <w:proofErr w:type="spellEnd"/>
      <w:r>
        <w:rPr>
          <w:sz w:val="20"/>
          <w:szCs w:val="20"/>
          <w:rtl/>
        </w:rPr>
        <w:t>.</w:t>
      </w:r>
    </w:p>
  </w:footnote>
  <w:footnote w:id="3361">
    <w:p w14:paraId="1F5E16E1" w14:textId="77777777" w:rsidR="00AB3647" w:rsidRDefault="00000000">
      <w:pPr>
        <w:spacing w:after="0" w:before="0"/>
        <w:jc w:val="both"/>
      </w:pPr>
      <w:r>
        <w:rPr>
          <w:sz w:val="20"/>
          <w:szCs w:val="20"/>
          <w:rtl/>
        </w:rPr>
        <w:footnoteRef/>
      </w:r>
      <w:r>
        <w:rPr>
          <w:sz w:val="20"/>
          <w:szCs w:val="20"/>
          <w:rtl/>
        </w:rPr>
        <w:t xml:space="preserve">. בשם ר׳ אפרים </w:t>
      </w:r>
      <w:proofErr w:type="spellStart"/>
      <w:r>
        <w:rPr>
          <w:sz w:val="20"/>
          <w:szCs w:val="20"/>
          <w:rtl/>
        </w:rPr>
        <w:t>בורודיאנסקי</w:t>
      </w:r>
      <w:proofErr w:type="spellEnd"/>
      <w:r>
        <w:rPr>
          <w:sz w:val="20"/>
          <w:szCs w:val="20"/>
          <w:rtl/>
        </w:rPr>
        <w:t>.</w:t>
      </w:r>
    </w:p>
  </w:footnote>
  <w:footnote w:id="3362">
    <w:p w14:paraId="77A06E28" w14:textId="77777777" w:rsidR="00AB3647" w:rsidRDefault="00000000">
      <w:pPr>
        <w:spacing w:after="0" w:before="0"/>
        <w:jc w:val="both"/>
      </w:pPr>
      <w:r>
        <w:rPr>
          <w:sz w:val="20"/>
          <w:szCs w:val="20"/>
          <w:rtl/>
        </w:rPr>
        <w:footnoteRef/>
      </w:r>
      <w:r>
        <w:rPr>
          <w:sz w:val="20"/>
          <w:szCs w:val="20"/>
          <w:rtl/>
        </w:rPr>
        <w:t>. ראה פרק 5, הפסקה השנייה של נספח ח, על עזיבתו הפתאומית משם.</w:t>
      </w:r>
    </w:p>
  </w:footnote>
  <w:footnote w:id="3363">
    <w:p w14:paraId="60AEEC1D" w14:textId="77777777" w:rsidR="00AB3647" w:rsidRDefault="00000000">
      <w:pPr>
        <w:spacing w:after="0" w:before="0"/>
        <w:jc w:val="both"/>
      </w:pPr>
      <w:r>
        <w:rPr>
          <w:sz w:val="20"/>
          <w:szCs w:val="20"/>
          <w:rtl/>
        </w:rPr>
        <w:footnoteRef/>
      </w:r>
      <w:r>
        <w:rPr>
          <w:sz w:val="20"/>
          <w:szCs w:val="20"/>
          <w:rtl/>
        </w:rPr>
        <w:t>. עמ׳ 22.</w:t>
      </w:r>
    </w:p>
  </w:footnote>
  <w:footnote w:id="3364">
    <w:p w14:paraId="31A510D8" w14:textId="77777777" w:rsidR="00AB3647" w:rsidRDefault="00000000">
      <w:pPr>
        <w:spacing w:after="0" w:before="0"/>
        <w:jc w:val="both"/>
      </w:pPr>
      <w:r>
        <w:rPr>
          <w:sz w:val="20"/>
          <w:szCs w:val="20"/>
          <w:rtl/>
        </w:rPr>
        <w:footnoteRef/>
      </w:r>
      <w:r>
        <w:rPr>
          <w:sz w:val="20"/>
          <w:szCs w:val="20"/>
          <w:rtl/>
        </w:rPr>
        <w:t xml:space="preserve">. סיפור מעניין בו רואים איך שר׳ אליעזר גורדון פיתח את החריפות אצל תלמידיו ישנו בספר </w:t>
      </w:r>
      <w:proofErr w:type="spellStart"/>
      <w:r>
        <w:rPr>
          <w:sz w:val="20"/>
          <w:szCs w:val="20"/>
          <w:rtl/>
        </w:rPr>
        <w:t>ארחת</w:t>
      </w:r>
      <w:proofErr w:type="spellEnd"/>
      <w:r>
        <w:rPr>
          <w:sz w:val="20"/>
          <w:szCs w:val="20"/>
          <w:rtl/>
        </w:rPr>
        <w:t xml:space="preserve"> חסידיך (הוזכר לעיל בפרק ראשון הערה עב), עמ׳ קן: אחד מתלמידיו בא אליו לבקש כסף כדי לשחד את הפקיד שהיה צריך להכריע אם יגייסו אותו לצבא, ור׳ אליעזר אמר לו, “וכי סתם אתן לך? תאמר איזו </w:t>
      </w:r>
      <w:proofErr w:type="spellStart"/>
      <w:r>
        <w:rPr>
          <w:sz w:val="20"/>
          <w:szCs w:val="20"/>
          <w:rtl/>
        </w:rPr>
        <w:t>סברא</w:t>
      </w:r>
      <w:proofErr w:type="spellEnd"/>
      <w:r>
        <w:rPr>
          <w:sz w:val="20"/>
          <w:szCs w:val="20"/>
          <w:rtl/>
        </w:rPr>
        <w:t xml:space="preserve"> </w:t>
      </w:r>
      <w:proofErr w:type="spellStart"/>
      <w:r>
        <w:rPr>
          <w:sz w:val="20"/>
          <w:szCs w:val="20"/>
          <w:rtl/>
        </w:rPr>
        <w:t>המכרחת</w:t>
      </w:r>
      <w:proofErr w:type="spellEnd"/>
      <w:r>
        <w:rPr>
          <w:sz w:val="20"/>
          <w:szCs w:val="20"/>
          <w:rtl/>
        </w:rPr>
        <w:t xml:space="preserve"> וראיה המחייבת אותי ליתן לך.” התלמיד ענה, “הנה הדין הוא </w:t>
      </w:r>
      <w:proofErr w:type="spellStart"/>
      <w:r>
        <w:rPr>
          <w:sz w:val="20"/>
          <w:szCs w:val="20"/>
          <w:rtl/>
        </w:rPr>
        <w:t>שמצוה</w:t>
      </w:r>
      <w:proofErr w:type="spellEnd"/>
      <w:r>
        <w:rPr>
          <w:sz w:val="20"/>
          <w:szCs w:val="20"/>
          <w:rtl/>
        </w:rPr>
        <w:t xml:space="preserve"> לקיים דברי המת, והרי אמרו חז״ל עני חשוב כמת, וא״כ מצוה על הרב למלא משאלתי.” והרב דחה דבריו באומרו, “אוי, אוי, אינך מדבר </w:t>
      </w:r>
      <w:proofErr w:type="spellStart"/>
      <w:r>
        <w:rPr>
          <w:sz w:val="20"/>
          <w:szCs w:val="20"/>
          <w:rtl/>
        </w:rPr>
        <w:t>לענין</w:t>
      </w:r>
      <w:proofErr w:type="spellEnd"/>
      <w:r>
        <w:rPr>
          <w:sz w:val="20"/>
          <w:szCs w:val="20"/>
          <w:rtl/>
        </w:rPr>
        <w:t xml:space="preserve">, הרי ההלכה </w:t>
      </w:r>
      <w:proofErr w:type="spellStart"/>
      <w:r>
        <w:rPr>
          <w:sz w:val="20"/>
          <w:szCs w:val="20"/>
          <w:rtl/>
        </w:rPr>
        <w:t>שמצוה</w:t>
      </w:r>
      <w:proofErr w:type="spellEnd"/>
      <w:r>
        <w:rPr>
          <w:sz w:val="20"/>
          <w:szCs w:val="20"/>
          <w:rtl/>
        </w:rPr>
        <w:t xml:space="preserve"> לקיים דברי המת הוא במי </w:t>
      </w:r>
      <w:proofErr w:type="spellStart"/>
      <w:r>
        <w:rPr>
          <w:sz w:val="20"/>
          <w:szCs w:val="20"/>
          <w:rtl/>
        </w:rPr>
        <w:t>שצוה</w:t>
      </w:r>
      <w:proofErr w:type="spellEnd"/>
      <w:r>
        <w:rPr>
          <w:sz w:val="20"/>
          <w:szCs w:val="20"/>
          <w:rtl/>
        </w:rPr>
        <w:t xml:space="preserve"> מחיים על לאחר מיתתו ולא </w:t>
      </w:r>
      <w:proofErr w:type="spellStart"/>
      <w:r>
        <w:rPr>
          <w:sz w:val="20"/>
          <w:szCs w:val="20"/>
          <w:rtl/>
        </w:rPr>
        <w:t>במצוה</w:t>
      </w:r>
      <w:proofErr w:type="spellEnd"/>
      <w:r>
        <w:rPr>
          <w:sz w:val="20"/>
          <w:szCs w:val="20"/>
          <w:rtl/>
        </w:rPr>
        <w:t xml:space="preserve"> אחרי מיתתו, וכאן הרי כשביקשת את העזרה כבר היית העני החשוב כמת.”</w:t>
      </w:r>
    </w:p>
  </w:footnote>
  <w:footnote w:id="3365">
    <w:p w14:paraId="2483EF0F" w14:textId="77777777" w:rsidR="00AB3647" w:rsidRDefault="00000000">
      <w:pPr>
        <w:spacing w:after="0" w:before="0"/>
        <w:jc w:val="both"/>
      </w:pPr>
      <w:r>
        <w:rPr>
          <w:sz w:val="20"/>
          <w:szCs w:val="20"/>
          <w:rtl/>
        </w:rPr>
        <w:footnoteRef/>
      </w:r>
      <w:r>
        <w:rPr>
          <w:sz w:val="20"/>
          <w:szCs w:val="20"/>
          <w:rtl/>
        </w:rPr>
        <w:t>. הפסקה השנייה של נספח ח להלן – עמ׳ 28.</w:t>
      </w:r>
    </w:p>
  </w:footnote>
  <w:footnote w:id="3366">
    <w:p w14:paraId="7476DBF3" w14:textId="77777777" w:rsidR="00AB3647" w:rsidRDefault="00000000">
      <w:pPr>
        <w:spacing w:after="0" w:before="0"/>
        <w:jc w:val="both"/>
      </w:pPr>
      <w:r>
        <w:rPr>
          <w:sz w:val="20"/>
          <w:szCs w:val="20"/>
          <w:rtl/>
        </w:rPr>
        <w:footnoteRef/>
      </w:r>
      <w:r>
        <w:rPr>
          <w:sz w:val="20"/>
          <w:szCs w:val="20"/>
          <w:rtl/>
        </w:rPr>
        <w:t xml:space="preserve">. יעקב מארק, שיצא לאור </w:t>
      </w:r>
      <w:proofErr w:type="spellStart"/>
      <w:r>
        <w:rPr>
          <w:sz w:val="20"/>
          <w:szCs w:val="20"/>
          <w:rtl/>
        </w:rPr>
        <w:t>בתרפ״ז</w:t>
      </w:r>
      <w:proofErr w:type="spellEnd"/>
      <w:r>
        <w:rPr>
          <w:sz w:val="20"/>
          <w:szCs w:val="20"/>
          <w:rtl/>
        </w:rPr>
        <w:t xml:space="preserve">, מורכב ממאמרים נפרדים שהופיעו </w:t>
      </w:r>
      <w:proofErr w:type="spellStart"/>
      <w:r>
        <w:rPr>
          <w:sz w:val="20"/>
          <w:szCs w:val="20"/>
          <w:rtl/>
        </w:rPr>
        <w:t>זמן־מה</w:t>
      </w:r>
      <w:proofErr w:type="spellEnd"/>
      <w:r>
        <w:rPr>
          <w:sz w:val="20"/>
          <w:szCs w:val="20"/>
          <w:rtl/>
        </w:rPr>
        <w:t xml:space="preserve"> קודם לכן בעיתון היידי “</w:t>
      </w:r>
      <w:proofErr w:type="spellStart"/>
      <w:r>
        <w:rPr>
          <w:sz w:val="20"/>
          <w:szCs w:val="20"/>
          <w:rtl/>
        </w:rPr>
        <w:t>טאגעבלאט</w:t>
      </w:r>
      <w:proofErr w:type="spellEnd"/>
      <w:r>
        <w:rPr>
          <w:sz w:val="20"/>
          <w:szCs w:val="20"/>
          <w:rtl/>
        </w:rPr>
        <w:t xml:space="preserve">” בוורשה. לפיכך “הדור האחרון” מכוון לשנות </w:t>
      </w:r>
      <w:proofErr w:type="spellStart"/>
      <w:r>
        <w:rPr>
          <w:sz w:val="20"/>
          <w:szCs w:val="20"/>
          <w:rtl/>
        </w:rPr>
        <w:t xml:space="preserve">התר״נ</w:t>
      </w:r>
      <w:proofErr w:type="spellEnd"/>
      <w:r>
        <w:rPr>
          <w:sz w:val="20"/>
          <w:szCs w:val="20"/>
          <w:rtl/>
        </w:rPr>
        <w:t xml:space="preserve">.</w:t>
      </w:r>
    </w:p>
  </w:footnote>
  <w:footnote w:id="3367">
    <w:p w14:paraId="0EE100C0" w14:textId="77777777" w:rsidR="00AB3647" w:rsidRDefault="00000000">
      <w:pPr>
        <w:spacing w:after="0" w:before="0"/>
        <w:jc w:val="both"/>
      </w:pPr>
      <w:r>
        <w:rPr>
          <w:sz w:val="20"/>
          <w:szCs w:val="20"/>
          <w:rtl/>
        </w:rPr>
        <w:footnoteRef/>
      </w:r>
      <w:r>
        <w:rPr>
          <w:sz w:val="20"/>
          <w:szCs w:val="20"/>
          <w:rtl/>
        </w:rPr>
        <w:t>. עמ׳ 28–29.</w:t>
      </w:r>
    </w:p>
  </w:footnote>
  <w:footnote w:id="3368">
    <w:p w14:paraId="68E688CF"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רבינר</w:t>
      </w:r>
      <w:proofErr w:type="spellEnd"/>
      <w:r>
        <w:rPr>
          <w:sz w:val="20"/>
          <w:szCs w:val="20"/>
          <w:rtl/>
        </w:rPr>
        <w:t xml:space="preserve">, “הגאון רבי אליעזר גורדון”, עמ׳ טו </w:t>
      </w:r>
      <w:proofErr w:type="spellStart"/>
      <w:r>
        <w:rPr>
          <w:sz w:val="20"/>
          <w:szCs w:val="20"/>
          <w:rtl/>
        </w:rPr>
        <w:t>וקעה</w:t>
      </w:r>
      <w:proofErr w:type="spellEnd"/>
      <w:r>
        <w:rPr>
          <w:sz w:val="20"/>
          <w:szCs w:val="20"/>
          <w:rtl/>
        </w:rPr>
        <w:t>.</w:t>
      </w:r>
    </w:p>
  </w:footnote>
  <w:footnote w:id="3369">
    <w:p w14:paraId="6F1B5CD7" w14:textId="77777777" w:rsidR="00AB3647" w:rsidRDefault="00000000">
      <w:pPr>
        <w:spacing w:after="0" w:before="0"/>
        <w:jc w:val="both"/>
      </w:pPr>
      <w:r>
        <w:rPr>
          <w:sz w:val="20"/>
          <w:szCs w:val="20"/>
          <w:rtl/>
        </w:rPr>
        <w:footnoteRef/>
      </w:r>
      <w:r>
        <w:rPr>
          <w:sz w:val="20"/>
          <w:szCs w:val="20"/>
          <w:rtl/>
        </w:rPr>
        <w:t>. עמ׳ 28, אחרי הציטוט הראשון שבהערה הקודמת.</w:t>
      </w:r>
    </w:p>
  </w:footnote>
  <w:footnote w:id="3370">
    <w:p w14:paraId="07C596AD" w14:textId="77777777" w:rsidR="00AB3647" w:rsidRDefault="00000000">
      <w:pPr>
        <w:spacing w:after="0" w:before="0"/>
        <w:jc w:val="both"/>
      </w:pPr>
      <w:r>
        <w:rPr>
          <w:sz w:val="20"/>
          <w:szCs w:val="20"/>
          <w:rtl/>
        </w:rPr>
        <w:footnoteRef/>
      </w:r>
      <w:r>
        <w:rPr>
          <w:sz w:val="20"/>
          <w:szCs w:val="20"/>
          <w:rtl/>
        </w:rPr>
        <w:t xml:space="preserve">. הרשימה נלקטה מספרו של </w:t>
      </w:r>
      <w:proofErr w:type="spellStart"/>
      <w:r>
        <w:rPr>
          <w:sz w:val="20"/>
          <w:szCs w:val="20"/>
          <w:rtl/>
        </w:rPr>
        <w:t>רבינר</w:t>
      </w:r>
      <w:proofErr w:type="spellEnd"/>
      <w:r>
        <w:rPr>
          <w:sz w:val="20"/>
          <w:szCs w:val="20"/>
          <w:rtl/>
        </w:rPr>
        <w:t xml:space="preserve">, “הגאון רבי אליעזר גורדון”, עמ׳ רז, קלח, קלט, </w:t>
      </w:r>
      <w:proofErr w:type="spellStart"/>
      <w:r>
        <w:rPr>
          <w:sz w:val="20"/>
          <w:szCs w:val="20"/>
          <w:rtl/>
        </w:rPr>
        <w:t>כב</w:t>
      </w:r>
      <w:proofErr w:type="spellEnd"/>
      <w:r>
        <w:rPr>
          <w:sz w:val="20"/>
          <w:szCs w:val="20"/>
          <w:rtl/>
        </w:rPr>
        <w:t xml:space="preserve"> </w:t>
      </w:r>
      <w:proofErr w:type="spellStart"/>
      <w:r>
        <w:rPr>
          <w:sz w:val="20"/>
          <w:szCs w:val="20"/>
          <w:rtl/>
        </w:rPr>
        <w:t>ורו</w:t>
      </w:r>
      <w:proofErr w:type="spellEnd"/>
      <w:r>
        <w:rPr>
          <w:sz w:val="20"/>
          <w:szCs w:val="20"/>
          <w:rtl/>
        </w:rPr>
        <w:t xml:space="preserve"> (בסופו), בהתאמה, לתקופה שעד סוף שנות </w:t>
      </w:r>
      <w:proofErr w:type="spellStart"/>
      <w:r>
        <w:rPr>
          <w:sz w:val="20"/>
          <w:szCs w:val="20"/>
          <w:rtl/>
        </w:rPr>
        <w:t xml:space="preserve">התר״נ</w:t>
      </w:r>
      <w:proofErr w:type="spellEnd"/>
      <w:r>
        <w:rPr>
          <w:sz w:val="20"/>
          <w:szCs w:val="20"/>
          <w:rtl/>
        </w:rPr>
        <w:t xml:space="preserve">, ונוספו לה מקורות מסייעים לעשור האחרון של חייו.</w:t>
      </w:r>
    </w:p>
  </w:footnote>
  <w:footnote w:id="3371">
    <w:p w14:paraId="423213FC" w14:textId="77777777" w:rsidR="00AB3647" w:rsidRDefault="00000000">
      <w:pPr>
        <w:spacing w:after="0" w:before="0"/>
        <w:jc w:val="both"/>
      </w:pPr>
      <w:r>
        <w:rPr>
          <w:sz w:val="20"/>
          <w:szCs w:val="20"/>
          <w:rtl/>
        </w:rPr>
        <w:footnoteRef/>
      </w:r>
      <w:r>
        <w:rPr>
          <w:sz w:val="20"/>
          <w:szCs w:val="20"/>
          <w:rtl/>
        </w:rPr>
        <w:t>. השווה לפרק 3, נספח א.</w:t>
      </w:r>
    </w:p>
  </w:footnote>
  <w:footnote w:id="3372">
    <w:p w14:paraId="163579AD" w14:textId="77777777" w:rsidR="00AB3647" w:rsidRDefault="00000000">
      <w:pPr>
        <w:spacing w:after="0" w:before="0"/>
        <w:jc w:val="both"/>
      </w:pPr>
      <w:r>
        <w:rPr>
          <w:sz w:val="20"/>
          <w:szCs w:val="20"/>
          <w:rtl/>
        </w:rPr>
        <w:footnoteRef/>
      </w:r>
      <w:r>
        <w:rPr>
          <w:sz w:val="20"/>
          <w:szCs w:val="20"/>
          <w:rtl/>
        </w:rPr>
        <w:t xml:space="preserve">. הביוגרפיה שבפתח “ליקוטי תשובות ר׳ אליעזר וחידושיו” (הערת שוליים </w:t>
      </w:r>
      <w:r>
        <w:rPr>
          <w:sz w:val="20"/>
          <w:szCs w:val="20"/>
          <w:rtl/>
        </w:rPr>
        <w:fldChar w:fldCharType="begin" w:dirty="true"/>
      </w:r>
      <w:r>
        <w:rPr>
          <w:sz w:val="20"/>
          <w:szCs w:val="20"/>
          <w:rtl/>
        </w:rPr>
        <w:instrText xml:space="preserve"> NOTEREF pr_f_4047 \h </w:instrText>
      </w:r>
      <w:r>
        <w:rPr>
          <w:sz w:val="20"/>
          <w:szCs w:val="20"/>
          <w:rtl/>
        </w:rPr>
      </w:r>
      <w:r>
        <w:rPr>
          <w:sz w:val="20"/>
          <w:szCs w:val="20"/>
          <w:rtl/>
        </w:rPr>
        <w:fldChar w:fldCharType="separate"/>
      </w:r>
      <w:r w:rsidR="007923E9">
        <w:rPr>
          <w:sz w:val="20"/>
          <w:szCs w:val="20"/>
          <w:rtl/>
        </w:rPr>
        <w:t>1124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והשווה לפרק 2, הפסקה </w:t>
      </w:r>
      <w:proofErr w:type="spellStart"/>
      <w:r>
        <w:rPr>
          <w:sz w:val="20"/>
          <w:szCs w:val="20"/>
          <w:rtl/>
        </w:rPr>
        <w:t>השתים־עשרה</w:t>
      </w:r>
      <w:proofErr w:type="spellEnd"/>
      <w:r>
        <w:rPr>
          <w:sz w:val="20"/>
          <w:szCs w:val="20"/>
          <w:rtl/>
        </w:rPr>
        <w:t xml:space="preserve"> של נספח א.</w:t>
      </w:r>
    </w:p>
  </w:footnote>
  <w:footnote w:id="3373">
    <w:p w14:paraId="1C898E22" w14:textId="77777777" w:rsidR="00AB3647" w:rsidRDefault="00000000">
      <w:pPr>
        <w:spacing w:after="0" w:before="0"/>
        <w:jc w:val="both"/>
      </w:pPr>
      <w:r>
        <w:rPr>
          <w:sz w:val="20"/>
          <w:szCs w:val="20"/>
          <w:rtl/>
        </w:rPr>
        <w:footnoteRef/>
      </w:r>
      <w:r>
        <w:rPr>
          <w:sz w:val="20"/>
          <w:szCs w:val="20"/>
          <w:rtl/>
        </w:rPr>
        <w:t>. ראה “</w:t>
      </w:r>
      <w:proofErr w:type="spellStart"/>
      <w:r>
        <w:rPr>
          <w:sz w:val="20"/>
          <w:szCs w:val="20"/>
          <w:rtl/>
        </w:rPr>
        <w:t>זכרון</w:t>
      </w:r>
      <w:proofErr w:type="spellEnd"/>
      <w:r>
        <w:rPr>
          <w:sz w:val="20"/>
          <w:szCs w:val="20"/>
          <w:rtl/>
        </w:rPr>
        <w:t xml:space="preserve"> יעקב” (הפסקה השנייה של נספח ח להלן), כרך 2, עמ׳ 132–140.</w:t>
      </w:r>
    </w:p>
  </w:footnote>
  <w:footnote w:id="3374">
    <w:p w14:paraId="641E6F3D" w14:textId="77777777" w:rsidR="00AB3647" w:rsidRDefault="00000000">
      <w:pPr>
        <w:spacing w:after="0" w:before="0"/>
        <w:jc w:val="both"/>
      </w:pPr>
      <w:r>
        <w:rPr>
          <w:sz w:val="20"/>
          <w:szCs w:val="20"/>
          <w:rtl/>
        </w:rPr>
        <w:footnoteRef/>
      </w:r>
      <w:r>
        <w:rPr>
          <w:sz w:val="20"/>
          <w:szCs w:val="20"/>
          <w:rtl/>
        </w:rPr>
        <w:t xml:space="preserve">. השווה לפרק 3, נספח ג, על מעורבות ר׳ לייזר גורדון בפעילות הנוגעת לצורך ציבורי זה </w:t>
      </w:r>
      <w:proofErr w:type="spellStart"/>
      <w:r>
        <w:rPr>
          <w:sz w:val="20"/>
          <w:szCs w:val="20"/>
          <w:rtl/>
        </w:rPr>
        <w:t>בתרמ״ו</w:t>
      </w:r>
      <w:proofErr w:type="spellEnd"/>
      <w:r>
        <w:rPr>
          <w:sz w:val="20"/>
          <w:szCs w:val="20"/>
          <w:rtl/>
        </w:rPr>
        <w:t>.</w:t>
      </w:r>
    </w:p>
  </w:footnote>
  <w:footnote w:id="3375">
    <w:p w14:paraId="7E9E5C89" w14:textId="77777777" w:rsidR="00AB3647" w:rsidRDefault="00000000">
      <w:pPr>
        <w:spacing w:after="0" w:before="0"/>
        <w:jc w:val="both"/>
      </w:pPr>
      <w:r>
        <w:rPr>
          <w:sz w:val="20"/>
          <w:szCs w:val="20"/>
          <w:rtl/>
        </w:rPr>
        <w:footnoteRef/>
      </w:r>
      <w:r>
        <w:rPr>
          <w:sz w:val="20"/>
          <w:szCs w:val="20"/>
          <w:rtl/>
        </w:rPr>
        <w:t>. פרק 1, נספח ו.</w:t>
      </w:r>
    </w:p>
  </w:footnote>
  <w:footnote w:id="3376">
    <w:p w14:paraId="1C50EAC2" w14:textId="77777777" w:rsidR="00AB3647" w:rsidRDefault="00000000">
      <w:pPr>
        <w:spacing w:after="0" w:before="0"/>
        <w:jc w:val="both"/>
      </w:pPr>
      <w:r>
        <w:rPr>
          <w:sz w:val="20"/>
          <w:szCs w:val="20"/>
          <w:rtl/>
        </w:rPr>
        <w:footnoteRef/>
      </w:r>
      <w:r>
        <w:rPr>
          <w:sz w:val="20"/>
          <w:szCs w:val="20"/>
          <w:rtl/>
        </w:rPr>
        <w:t>. השווה להערה 91 לעיל, על נסיעותיו של ר׳ לייזר למרחקים כדי לעניין רבנים אחרים בהשתתפות בפעילות זו.</w:t>
      </w:r>
    </w:p>
  </w:footnote>
  <w:footnote w:id="3377">
    <w:p w14:paraId="674AD909" w14:textId="77777777" w:rsidR="00AB3647" w:rsidRDefault="00000000">
      <w:pPr>
        <w:spacing w:after="0" w:before="0"/>
        <w:jc w:val="both"/>
      </w:pPr>
      <w:r>
        <w:rPr>
          <w:sz w:val="20"/>
          <w:szCs w:val="20"/>
          <w:rtl/>
        </w:rPr>
        <w:footnoteRef/>
      </w:r>
      <w:r>
        <w:rPr>
          <w:sz w:val="20"/>
          <w:szCs w:val="20"/>
          <w:rtl/>
        </w:rPr>
        <w:t>. השווה לכרך 2.</w:t>
      </w:r>
    </w:p>
  </w:footnote>
  <w:footnote w:id="3378">
    <w:p w14:paraId="3D750FD4"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ל“המאבק</w:t>
      </w:r>
      <w:proofErr w:type="spellEnd"/>
      <w:r>
        <w:rPr>
          <w:sz w:val="20"/>
          <w:szCs w:val="20"/>
          <w:rtl/>
        </w:rPr>
        <w:t xml:space="preserve"> וההדר” (אגודת ישראל באמריקה, 1982), עמ׳ 16–18.</w:t>
      </w:r>
    </w:p>
  </w:footnote>
  <w:footnote w:id="3379">
    <w:p w14:paraId="4EECFE86" w14:textId="77777777" w:rsidR="00AB3647" w:rsidRDefault="00000000">
      <w:pPr>
        <w:spacing w:after="0" w:before="0"/>
        <w:jc w:val="both"/>
      </w:pPr>
      <w:r>
        <w:rPr>
          <w:sz w:val="20"/>
          <w:szCs w:val="20"/>
          <w:rtl/>
        </w:rPr>
        <w:footnoteRef/>
      </w:r>
      <w:r>
        <w:rPr>
          <w:sz w:val="20"/>
          <w:szCs w:val="20"/>
          <w:rtl/>
        </w:rPr>
        <w:t>. הפסקה הרביעית של נספח ט להלן – סעיף ה.</w:t>
      </w:r>
    </w:p>
  </w:footnote>
  <w:footnote w:id="3380">
    <w:p w14:paraId="74ED3198" w14:textId="77777777" w:rsidR="00AB3647" w:rsidRDefault="00000000">
      <w:pPr>
        <w:spacing w:after="0" w:before="0"/>
        <w:jc w:val="both"/>
      </w:pPr>
      <w:r>
        <w:rPr>
          <w:sz w:val="20"/>
          <w:szCs w:val="20"/>
          <w:rtl/>
        </w:rPr>
        <w:footnoteRef/>
      </w:r>
      <w:r>
        <w:rPr>
          <w:sz w:val="20"/>
          <w:szCs w:val="20"/>
          <w:rtl/>
        </w:rPr>
        <w:t>. בתחילת סעיף ו.</w:t>
      </w:r>
    </w:p>
  </w:footnote>
  <w:footnote w:id="3381">
    <w:p w14:paraId="4A948908" w14:textId="77777777" w:rsidR="00AB3647" w:rsidRDefault="00000000">
      <w:pPr>
        <w:spacing w:after="0" w:before="0"/>
        <w:jc w:val="both"/>
      </w:pPr>
      <w:r>
        <w:rPr>
          <w:sz w:val="20"/>
          <w:szCs w:val="20"/>
          <w:rtl/>
        </w:rPr>
        <w:footnoteRef/>
      </w:r>
      <w:r>
        <w:rPr>
          <w:sz w:val="20"/>
          <w:szCs w:val="20"/>
          <w:rtl/>
        </w:rPr>
        <w:t xml:space="preserve">. השווה שם, שגם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עודד את המחבר מאוד.</w:t>
      </w:r>
    </w:p>
  </w:footnote>
  <w:footnote w:id="3382">
    <w:p w14:paraId="3F59D8A4" w14:textId="77777777" w:rsidR="00AB3647" w:rsidRDefault="00000000">
      <w:pPr>
        <w:spacing w:after="0" w:before="0"/>
        <w:jc w:val="both"/>
      </w:pPr>
      <w:r>
        <w:rPr>
          <w:sz w:val="20"/>
          <w:szCs w:val="20"/>
          <w:rtl/>
        </w:rPr>
        <w:footnoteRef/>
      </w:r>
      <w:r>
        <w:rPr>
          <w:sz w:val="20"/>
          <w:szCs w:val="20"/>
          <w:rtl/>
        </w:rPr>
        <w:t xml:space="preserve">. חיבורו הושלם, לפי השורה האחרונה בספר, “ועש״ק </w:t>
      </w:r>
      <w:proofErr w:type="spellStart"/>
      <w:r>
        <w:rPr>
          <w:sz w:val="20"/>
          <w:szCs w:val="20"/>
          <w:rtl/>
        </w:rPr>
        <w:t>חזון</w:t>
      </w:r>
      <w:proofErr w:type="spellEnd"/>
      <w:r>
        <w:rPr>
          <w:sz w:val="20"/>
          <w:szCs w:val="20"/>
          <w:rtl/>
        </w:rPr>
        <w:t xml:space="preserve"> ה׳ מנ״א תרע״ג ביער </w:t>
      </w:r>
      <w:proofErr w:type="spellStart"/>
      <w:r>
        <w:rPr>
          <w:sz w:val="20"/>
          <w:szCs w:val="20"/>
          <w:rtl/>
        </w:rPr>
        <w:t>ציטעוויאן</w:t>
      </w:r>
      <w:proofErr w:type="spellEnd"/>
      <w:r>
        <w:rPr>
          <w:sz w:val="20"/>
          <w:szCs w:val="20"/>
          <w:rtl/>
        </w:rPr>
        <w:t xml:space="preserve">” (ה׳ באב תרע״ג, יום שישי, ערב שבת </w:t>
      </w:r>
      <w:proofErr w:type="spellStart"/>
      <w:r>
        <w:rPr>
          <w:sz w:val="20"/>
          <w:szCs w:val="20"/>
          <w:rtl/>
        </w:rPr>
        <w:t>חזון</w:t>
      </w:r>
      <w:proofErr w:type="spellEnd"/>
      <w:r>
        <w:rPr>
          <w:sz w:val="20"/>
          <w:szCs w:val="20"/>
          <w:rtl/>
        </w:rPr>
        <w:t xml:space="preserve">, ביער </w:t>
      </w:r>
      <w:proofErr w:type="spellStart"/>
      <w:r>
        <w:rPr>
          <w:sz w:val="20"/>
          <w:szCs w:val="20"/>
          <w:rtl/>
        </w:rPr>
        <w:t>ציטוביאן</w:t>
      </w:r>
      <w:proofErr w:type="spellEnd"/>
      <w:r>
        <w:rPr>
          <w:sz w:val="20"/>
          <w:szCs w:val="20"/>
          <w:rtl/>
        </w:rPr>
        <w:t xml:space="preserve">, שבו שהה המחבר לנופש), והוא יצא לאור </w:t>
      </w:r>
      <w:proofErr w:type="spellStart"/>
      <w:r>
        <w:rPr>
          <w:sz w:val="20"/>
          <w:szCs w:val="20"/>
          <w:rtl/>
        </w:rPr>
        <w:t>ב“ווארשא</w:t>
      </w:r>
      <w:proofErr w:type="spellEnd"/>
      <w:r>
        <w:rPr>
          <w:sz w:val="20"/>
          <w:szCs w:val="20"/>
          <w:rtl/>
        </w:rPr>
        <w:t>, תרע״ד”.</w:t>
      </w:r>
    </w:p>
  </w:footnote>
  <w:footnote w:id="3383">
    <w:p w14:paraId="74D8D228" w14:textId="77777777" w:rsidR="00AB3647" w:rsidRDefault="00000000">
      <w:pPr>
        <w:spacing w:after="0" w:before="0"/>
        <w:jc w:val="both"/>
      </w:pPr>
      <w:r>
        <w:rPr>
          <w:sz w:val="20"/>
          <w:szCs w:val="20"/>
          <w:rtl/>
        </w:rPr>
        <w:footnoteRef/>
      </w:r>
      <w:r>
        <w:rPr>
          <w:sz w:val="20"/>
          <w:szCs w:val="20"/>
          <w:rtl/>
        </w:rPr>
        <w:t xml:space="preserve">. בהערת שוליים בעמ׳ </w:t>
      </w:r>
      <w:proofErr w:type="spellStart"/>
      <w:r>
        <w:rPr>
          <w:sz w:val="20"/>
          <w:szCs w:val="20"/>
          <w:rtl/>
        </w:rPr>
        <w:t>קלד</w:t>
      </w:r>
      <w:proofErr w:type="spellEnd"/>
      <w:r>
        <w:rPr>
          <w:sz w:val="20"/>
          <w:szCs w:val="20"/>
          <w:rtl/>
        </w:rPr>
        <w:t>.</w:t>
      </w:r>
    </w:p>
  </w:footnote>
  <w:footnote w:id="3384">
    <w:p w14:paraId="3D034CC8" w14:textId="77777777" w:rsidR="00AB3647" w:rsidRDefault="00000000">
      <w:pPr>
        <w:spacing w:after="0" w:before="0"/>
        <w:jc w:val="both"/>
      </w:pPr>
      <w:r>
        <w:rPr>
          <w:sz w:val="20"/>
          <w:szCs w:val="20"/>
          <w:rtl/>
        </w:rPr>
        <w:footnoteRef/>
      </w:r>
      <w:r>
        <w:rPr>
          <w:sz w:val="20"/>
          <w:szCs w:val="20"/>
          <w:rtl/>
        </w:rPr>
        <w:t>. ראה נספח יא להלן.</w:t>
      </w:r>
    </w:p>
  </w:footnote>
  <w:footnote w:id="3385">
    <w:p w14:paraId="42A55F0F" w14:textId="77777777" w:rsidR="00AB3647" w:rsidRDefault="00000000">
      <w:pPr>
        <w:spacing w:after="0" w:before="0"/>
        <w:jc w:val="both"/>
      </w:pPr>
      <w:r>
        <w:rPr>
          <w:sz w:val="20"/>
          <w:szCs w:val="20"/>
          <w:rtl/>
        </w:rPr>
        <w:footnoteRef/>
      </w:r>
      <w:r>
        <w:rPr>
          <w:sz w:val="20"/>
          <w:szCs w:val="20"/>
          <w:rtl/>
        </w:rPr>
        <w:t>. הערה 95 לעיל – עמ׳ 27.</w:t>
      </w:r>
    </w:p>
  </w:footnote>
  <w:footnote w:id="3386">
    <w:p w14:paraId="5D3CAA73" w14:textId="77777777" w:rsidR="00AB3647" w:rsidRDefault="00000000">
      <w:pPr>
        <w:spacing w:after="0" w:before="0"/>
        <w:jc w:val="both"/>
      </w:pPr>
      <w:r>
        <w:rPr>
          <w:sz w:val="20"/>
          <w:szCs w:val="20"/>
          <w:rtl/>
        </w:rPr>
        <w:footnoteRef/>
      </w:r>
      <w:r>
        <w:rPr>
          <w:sz w:val="20"/>
          <w:szCs w:val="20"/>
          <w:rtl/>
        </w:rPr>
        <w:t>. הפסקה השנייה של נספח ב להלן – עמ׳ 435.</w:t>
      </w:r>
    </w:p>
  </w:footnote>
  <w:footnote w:id="3387">
    <w:p w14:paraId="7B63DC1C" w14:textId="77777777" w:rsidR="00AB3647" w:rsidRDefault="00000000">
      <w:pPr>
        <w:spacing w:after="0" w:before="0"/>
        <w:jc w:val="both"/>
      </w:pPr>
      <w:r>
        <w:rPr>
          <w:sz w:val="20"/>
          <w:szCs w:val="20"/>
          <w:rtl/>
        </w:rPr>
        <w:footnoteRef/>
      </w:r>
      <w:r>
        <w:rPr>
          <w:sz w:val="20"/>
          <w:szCs w:val="20"/>
          <w:rtl/>
        </w:rPr>
        <w:t>. עמ׳ 32.</w:t>
      </w:r>
    </w:p>
  </w:footnote>
  <w:footnote w:id="3388">
    <w:p w14:paraId="41001250" w14:textId="77777777" w:rsidR="00AB3647" w:rsidRDefault="00000000">
      <w:pPr>
        <w:spacing w:after="0" w:before="0"/>
        <w:jc w:val="both"/>
      </w:pPr>
      <w:r>
        <w:rPr>
          <w:sz w:val="20"/>
          <w:szCs w:val="20"/>
          <w:rtl/>
        </w:rPr>
        <w:footnoteRef/>
      </w:r>
      <w:r>
        <w:rPr>
          <w:sz w:val="20"/>
          <w:szCs w:val="20"/>
          <w:rtl/>
        </w:rPr>
        <w:t>. עמ׳ 26.</w:t>
      </w:r>
    </w:p>
  </w:footnote>
  <w:footnote w:id="3389">
    <w:p w14:paraId="3ACB4F8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עה</w:t>
      </w:r>
      <w:proofErr w:type="spellEnd"/>
      <w:r>
        <w:rPr>
          <w:sz w:val="20"/>
          <w:szCs w:val="20"/>
          <w:rtl/>
        </w:rPr>
        <w:t>.</w:t>
      </w:r>
    </w:p>
  </w:footnote>
  <w:footnote w:id="3390">
    <w:p w14:paraId="24B66D98" w14:textId="77777777" w:rsidR="00AB3647" w:rsidRDefault="00000000">
      <w:pPr>
        <w:spacing w:after="0" w:before="0"/>
        <w:jc w:val="both"/>
      </w:pPr>
      <w:r>
        <w:rPr>
          <w:sz w:val="20"/>
          <w:szCs w:val="20"/>
          <w:rtl/>
        </w:rPr>
        <w:footnoteRef/>
      </w:r>
      <w:r>
        <w:rPr>
          <w:sz w:val="20"/>
          <w:szCs w:val="20"/>
          <w:rtl/>
        </w:rPr>
        <w:t>. הוא נקרא כך מפני שהחיילים היהודים, שכונו יוָנִים, הושבעו שם לצבא הרוסי.</w:t>
      </w:r>
    </w:p>
  </w:footnote>
  <w:footnote w:id="3391">
    <w:p w14:paraId="0597369D" w14:textId="77777777" w:rsidR="00AB3647" w:rsidRDefault="00000000">
      <w:pPr>
        <w:spacing w:after="0" w:before="0"/>
        <w:jc w:val="both"/>
      </w:pPr>
      <w:r>
        <w:rPr>
          <w:sz w:val="20"/>
          <w:szCs w:val="20"/>
          <w:rtl/>
        </w:rPr>
        <w:footnoteRef/>
      </w:r>
      <w:r>
        <w:rPr>
          <w:sz w:val="20"/>
          <w:szCs w:val="20"/>
          <w:rtl/>
        </w:rPr>
        <w:t xml:space="preserve">. השווה גם להלן, לציטוט </w:t>
      </w:r>
      <w:proofErr w:type="spellStart"/>
      <w:r>
        <w:rPr>
          <w:sz w:val="20"/>
          <w:szCs w:val="20"/>
          <w:rtl/>
        </w:rPr>
        <w:t xml:space="preserve">מוורהפטיג</w:t>
      </w:r>
      <w:proofErr w:type="spellEnd"/>
      <w:r>
        <w:rPr>
          <w:sz w:val="20"/>
          <w:szCs w:val="20"/>
          <w:rtl/>
        </w:rPr>
        <w:t xml:space="preserve"> בתחילת הערה 110 ולציטוט מאסף בסוף הפסקה הראשונה של הערה 127.</w:t>
      </w:r>
    </w:p>
  </w:footnote>
  <w:footnote w:id="3392">
    <w:p w14:paraId="1516E913" w14:textId="77777777" w:rsidR="00AB3647" w:rsidRDefault="00000000">
      <w:pPr>
        <w:spacing w:after="0" w:before="0"/>
        <w:jc w:val="both"/>
      </w:pPr>
      <w:r>
        <w:rPr>
          <w:sz w:val="20"/>
          <w:szCs w:val="20"/>
          <w:rtl/>
        </w:rPr>
        <w:footnoteRef/>
      </w:r>
      <w:r>
        <w:rPr>
          <w:sz w:val="20"/>
          <w:szCs w:val="20"/>
          <w:rtl/>
        </w:rPr>
        <w:t>. ריאיון מ־4 במרץ 1994.</w:t>
      </w:r>
    </w:p>
  </w:footnote>
  <w:footnote w:id="3393">
    <w:p w14:paraId="2AF82EAF" w14:textId="77777777" w:rsidR="00AB3647" w:rsidRDefault="00000000">
      <w:pPr>
        <w:spacing w:after="0" w:before="0"/>
        <w:jc w:val="both"/>
      </w:pPr>
      <w:r>
        <w:rPr>
          <w:sz w:val="20"/>
          <w:szCs w:val="20"/>
          <w:rtl/>
        </w:rPr>
        <w:footnoteRef/>
      </w:r>
      <w:r>
        <w:rPr>
          <w:sz w:val="20"/>
          <w:szCs w:val="20"/>
          <w:rtl/>
        </w:rPr>
        <w:t xml:space="preserve">. הסבא השתמש באותו ניסוח, ובדור הקודם גם ר׳ יוסף־דב </w:t>
      </w:r>
      <w:proofErr w:type="spellStart"/>
      <w:r>
        <w:rPr>
          <w:sz w:val="20"/>
          <w:szCs w:val="20"/>
          <w:rtl/>
        </w:rPr>
        <w:t>סולובייצ׳יק</w:t>
      </w:r>
      <w:proofErr w:type="spellEnd"/>
      <w:r>
        <w:rPr>
          <w:sz w:val="20"/>
          <w:szCs w:val="20"/>
          <w:rtl/>
        </w:rPr>
        <w:t xml:space="preserve"> – ראה, בהתאמה, פרק 5, סוף הפסקה הראשונה של נספח ד, וסוף הפסקה השנייה של נספח ו (והערת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שם).</w:t>
      </w:r>
    </w:p>
  </w:footnote>
  <w:footnote w:id="3394">
    <w:p w14:paraId="0E23AC92" w14:textId="77777777" w:rsidR="00AB3647" w:rsidRDefault="00000000">
      <w:pPr>
        <w:spacing w:after="0" w:before="0"/>
        <w:jc w:val="both"/>
      </w:pPr>
      <w:r>
        <w:rPr>
          <w:sz w:val="20"/>
          <w:szCs w:val="20"/>
          <w:rtl/>
        </w:rPr>
        <w:footnoteRef/>
      </w:r>
      <w:r>
        <w:rPr>
          <w:sz w:val="20"/>
          <w:szCs w:val="20"/>
          <w:rtl/>
        </w:rPr>
        <w:t>. עמ׳ 31.</w:t>
      </w:r>
    </w:p>
  </w:footnote>
  <w:footnote w:id="3395">
    <w:p w14:paraId="09A00AF9" w14:textId="77777777" w:rsidR="00AB3647" w:rsidRDefault="00000000">
      <w:pPr>
        <w:spacing w:after="0" w:before="0"/>
        <w:jc w:val="both"/>
      </w:pPr>
      <w:r>
        <w:rPr>
          <w:sz w:val="20"/>
          <w:szCs w:val="20"/>
          <w:rtl/>
        </w:rPr>
        <w:footnoteRef/>
      </w:r>
      <w:r>
        <w:rPr>
          <w:sz w:val="20"/>
          <w:szCs w:val="20"/>
          <w:rtl/>
        </w:rPr>
        <w:t xml:space="preserve">. כץ, “תנועת המוסר”, כרך ה, עמ׳ 24 ו־346; השווה גם לפרק 3, הפסקה השנייה של נספח </w:t>
      </w:r>
      <w:proofErr w:type="spellStart"/>
      <w:r>
        <w:rPr>
          <w:sz w:val="20"/>
          <w:szCs w:val="20"/>
          <w:rtl/>
        </w:rPr>
        <w:t>כח</w:t>
      </w:r>
      <w:proofErr w:type="spellEnd"/>
      <w:r>
        <w:rPr>
          <w:sz w:val="20"/>
          <w:szCs w:val="20"/>
          <w:rtl/>
        </w:rPr>
        <w:t>.</w:t>
      </w:r>
    </w:p>
  </w:footnote>
  <w:footnote w:id="3396">
    <w:p w14:paraId="5BD1B332" w14:textId="77777777" w:rsidR="00AB3647" w:rsidRDefault="00000000">
      <w:pPr>
        <w:spacing w:after="0" w:before="0"/>
        <w:jc w:val="both"/>
      </w:pPr>
      <w:r>
        <w:rPr>
          <w:sz w:val="20"/>
          <w:szCs w:val="20"/>
          <w:rtl/>
        </w:rPr>
        <w:footnoteRef/>
      </w:r>
      <w:r>
        <w:rPr>
          <w:sz w:val="20"/>
          <w:szCs w:val="20"/>
          <w:rtl/>
        </w:rPr>
        <w:t>. השווה להערה 110 להלן ולספרו של כץ, “תנועת המוסר”, כרך ה, עמ׳ 24–25, 29, 196 ו־199–202.</w:t>
      </w:r>
    </w:p>
  </w:footnote>
  <w:footnote w:id="3397">
    <w:p w14:paraId="16D45C9C" w14:textId="77777777" w:rsidR="00AB3647" w:rsidRDefault="00000000">
      <w:pPr>
        <w:spacing w:after="0" w:before="0"/>
        <w:jc w:val="both"/>
      </w:pPr>
      <w:r>
        <w:rPr>
          <w:sz w:val="20"/>
          <w:szCs w:val="20"/>
          <w:rtl/>
        </w:rPr>
        <w:footnoteRef/>
      </w:r>
      <w:r>
        <w:rPr>
          <w:sz w:val="20"/>
          <w:szCs w:val="20"/>
          <w:rtl/>
        </w:rPr>
        <w:t>. שם, עמ׳ 29 ו־270.</w:t>
      </w:r>
    </w:p>
  </w:footnote>
  <w:footnote w:id="3398">
    <w:p w14:paraId="6BF17F2C" w14:textId="77777777" w:rsidR="00AB3647" w:rsidRDefault="00000000">
      <w:pPr>
        <w:spacing w:after="0" w:before="0"/>
        <w:jc w:val="both"/>
      </w:pPr>
      <w:r>
        <w:rPr>
          <w:sz w:val="20"/>
          <w:szCs w:val="20"/>
          <w:rtl/>
        </w:rPr>
        <w:footnoteRef/>
      </w:r>
      <w:r>
        <w:rPr>
          <w:sz w:val="20"/>
          <w:szCs w:val="20"/>
          <w:rtl/>
        </w:rPr>
        <w:t>. שם, עמ׳ 31–32.</w:t>
      </w:r>
    </w:p>
  </w:footnote>
  <w:footnote w:id="3399">
    <w:p w14:paraId="2AA8A529" w14:textId="77777777" w:rsidR="00AB3647" w:rsidRDefault="00000000">
      <w:pPr>
        <w:spacing w:after="0" w:before="0"/>
        <w:jc w:val="both"/>
      </w:pPr>
      <w:r>
        <w:rPr>
          <w:sz w:val="20"/>
          <w:szCs w:val="20"/>
          <w:rtl/>
        </w:rPr>
        <w:footnoteRef/>
      </w:r>
      <w:r>
        <w:rPr>
          <w:sz w:val="20"/>
          <w:szCs w:val="20"/>
          <w:rtl/>
        </w:rPr>
        <w:t>. שם, עמ׳ 33.</w:t>
      </w:r>
    </w:p>
  </w:footnote>
  <w:footnote w:id="3400">
    <w:p w14:paraId="22D4D835"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סז</w:t>
      </w:r>
      <w:proofErr w:type="spellEnd"/>
      <w:r>
        <w:rPr>
          <w:sz w:val="20"/>
          <w:szCs w:val="20"/>
          <w:rtl/>
        </w:rPr>
        <w:t xml:space="preserve">, קצב </w:t>
      </w:r>
      <w:proofErr w:type="spellStart"/>
      <w:r>
        <w:rPr>
          <w:sz w:val="20"/>
          <w:szCs w:val="20"/>
          <w:rtl/>
        </w:rPr>
        <w:t>ורטז</w:t>
      </w:r>
      <w:proofErr w:type="spellEnd"/>
      <w:r>
        <w:rPr>
          <w:sz w:val="20"/>
          <w:szCs w:val="20"/>
          <w:rtl/>
        </w:rPr>
        <w:t>.</w:t>
      </w:r>
    </w:p>
  </w:footnote>
  <w:footnote w:id="3401">
    <w:p w14:paraId="5A773993" w14:textId="77777777" w:rsidR="00AB3647" w:rsidRDefault="00000000">
      <w:pPr>
        <w:spacing w:after="0" w:before="0"/>
        <w:jc w:val="both"/>
      </w:pPr>
      <w:r>
        <w:rPr>
          <w:sz w:val="20"/>
          <w:szCs w:val="20"/>
          <w:rtl/>
        </w:rPr>
        <w:footnoteRef/>
      </w:r>
      <w:r>
        <w:rPr>
          <w:sz w:val="20"/>
          <w:szCs w:val="20"/>
          <w:rtl/>
        </w:rPr>
        <w:t>. יצא לאור במוסד הרב קוק (ירושלים, תשמ״ה) – עמ׳ 231–234.</w:t>
      </w:r>
    </w:p>
  </w:footnote>
  <w:footnote w:id="3402">
    <w:p w14:paraId="2AE8B1D1" w14:textId="77777777" w:rsidR="00AB3647" w:rsidRDefault="00000000">
      <w:pPr>
        <w:spacing w:after="0" w:before="0"/>
        <w:jc w:val="both"/>
      </w:pPr>
      <w:r>
        <w:rPr>
          <w:sz w:val="20"/>
          <w:szCs w:val="20"/>
          <w:rtl/>
        </w:rPr>
        <w:footnoteRef/>
      </w:r>
      <w:r>
        <w:rPr>
          <w:sz w:val="20"/>
          <w:szCs w:val="20"/>
          <w:rtl/>
        </w:rPr>
        <w:t xml:space="preserve">. השווה להערה 95 לעיל ולפרק 3, תחילת הפסקה השנייה של נספח </w:t>
      </w:r>
      <w:proofErr w:type="spellStart"/>
      <w:r>
        <w:rPr>
          <w:sz w:val="20"/>
          <w:szCs w:val="20"/>
          <w:rtl/>
        </w:rPr>
        <w:t>יז</w:t>
      </w:r>
      <w:proofErr w:type="spellEnd"/>
      <w:r>
        <w:rPr>
          <w:sz w:val="20"/>
          <w:szCs w:val="20"/>
          <w:rtl/>
        </w:rPr>
        <w:t>.</w:t>
      </w:r>
    </w:p>
  </w:footnote>
  <w:footnote w:id="3403">
    <w:p w14:paraId="3BFA6A9B" w14:textId="77777777" w:rsidR="00AB3647" w:rsidRDefault="00000000">
      <w:pPr>
        <w:spacing w:after="0" w:before="0"/>
        <w:jc w:val="both"/>
      </w:pPr>
      <w:r>
        <w:rPr>
          <w:sz w:val="20"/>
          <w:szCs w:val="20"/>
          <w:rtl/>
        </w:rPr>
        <w:footnoteRef/>
      </w:r>
      <w:r>
        <w:rPr>
          <w:sz w:val="20"/>
          <w:szCs w:val="20"/>
          <w:rtl/>
        </w:rPr>
        <w:t>. כץ, “תנועת המוסר”, כרך ה, עמ׳ 18–21.</w:t>
      </w:r>
    </w:p>
  </w:footnote>
  <w:footnote w:id="3404">
    <w:p w14:paraId="10D88152" w14:textId="77777777" w:rsidR="00AB3647" w:rsidRDefault="00000000">
      <w:pPr>
        <w:spacing w:after="0" w:before="0"/>
        <w:jc w:val="both"/>
      </w:pPr>
      <w:r>
        <w:rPr>
          <w:sz w:val="20"/>
          <w:szCs w:val="20"/>
          <w:rtl/>
        </w:rPr>
        <w:footnoteRef/>
      </w:r>
      <w:r>
        <w:rPr>
          <w:sz w:val="20"/>
          <w:szCs w:val="20"/>
          <w:rtl/>
        </w:rPr>
        <w:t>. שם, עמ׳ 21.</w:t>
      </w:r>
    </w:p>
  </w:footnote>
  <w:footnote w:id="3405">
    <w:p w14:paraId="5CE5E56D" w14:textId="77777777" w:rsidR="00AB3647" w:rsidRDefault="00000000">
      <w:pPr>
        <w:spacing w:after="0" w:before="0"/>
        <w:jc w:val="both"/>
      </w:pPr>
      <w:r>
        <w:rPr>
          <w:sz w:val="20"/>
          <w:szCs w:val="20"/>
          <w:rtl/>
        </w:rPr>
        <w:footnoteRef/>
      </w:r>
      <w:r>
        <w:rPr>
          <w:sz w:val="20"/>
          <w:szCs w:val="20"/>
          <w:rtl/>
        </w:rPr>
        <w:t xml:space="preserve">. בריאיון המוקלט על הסבא </w:t>
      </w:r>
      <w:proofErr w:type="spellStart"/>
      <w:r>
        <w:rPr>
          <w:sz w:val="20"/>
          <w:szCs w:val="20"/>
          <w:rtl/>
        </w:rPr>
        <w:t>מסלבודקה</w:t>
      </w:r>
      <w:proofErr w:type="spellEnd"/>
      <w:r>
        <w:rPr>
          <w:sz w:val="20"/>
          <w:szCs w:val="20"/>
          <w:rtl/>
        </w:rPr>
        <w:t xml:space="preserve"> (הערה 1 לעיל).</w:t>
      </w:r>
    </w:p>
  </w:footnote>
  <w:footnote w:id="3406">
    <w:p w14:paraId="7A9F811A" w14:textId="77777777" w:rsidR="00AB3647" w:rsidRDefault="00000000">
      <w:pPr>
        <w:spacing w:after="0" w:before="0"/>
        <w:jc w:val="both"/>
      </w:pPr>
      <w:r>
        <w:rPr>
          <w:sz w:val="20"/>
          <w:szCs w:val="20"/>
          <w:rtl/>
        </w:rPr>
        <w:footnoteRef/>
      </w:r>
      <w:r>
        <w:rPr>
          <w:sz w:val="20"/>
          <w:szCs w:val="20"/>
          <w:rtl/>
        </w:rPr>
        <w:t>. השווה לנספח יד להלן.</w:t>
      </w:r>
    </w:p>
  </w:footnote>
  <w:footnote w:id="3407">
    <w:p w14:paraId="5428C1F9" w14:textId="77777777" w:rsidR="00AB3647" w:rsidRDefault="00000000">
      <w:pPr>
        <w:spacing w:after="0" w:before="0"/>
        <w:jc w:val="both"/>
      </w:pPr>
      <w:r>
        <w:rPr>
          <w:sz w:val="20"/>
          <w:szCs w:val="20"/>
          <w:rtl/>
        </w:rPr>
        <w:footnoteRef/>
      </w:r>
      <w:r>
        <w:rPr>
          <w:sz w:val="20"/>
          <w:szCs w:val="20"/>
          <w:rtl/>
        </w:rPr>
        <w:t>. ריאיון מ־3 בספטמבר 1995.</w:t>
      </w:r>
    </w:p>
  </w:footnote>
  <w:footnote w:id="3408">
    <w:p w14:paraId="3AA64D4A" w14:textId="77777777" w:rsidR="00AB3647" w:rsidRDefault="00000000">
      <w:pPr>
        <w:spacing w:after="0" w:before="0"/>
        <w:jc w:val="both"/>
      </w:pPr>
      <w:r>
        <w:rPr>
          <w:sz w:val="20"/>
          <w:szCs w:val="20"/>
          <w:rtl/>
        </w:rPr>
        <w:footnoteRef/>
      </w:r>
      <w:r>
        <w:rPr>
          <w:sz w:val="20"/>
          <w:szCs w:val="20"/>
          <w:rtl/>
        </w:rPr>
        <w:t>. השווה לספרו של כץ, “תנועת המוסר”, כרך ה, עמ׳ 25.</w:t>
      </w:r>
    </w:p>
  </w:footnote>
  <w:footnote w:id="3409">
    <w:p w14:paraId="18EFF5F0" w14:textId="77777777" w:rsidR="00AB3647" w:rsidRDefault="00000000">
      <w:pPr>
        <w:spacing w:after="0" w:before="0"/>
        <w:jc w:val="both"/>
      </w:pPr>
      <w:r>
        <w:rPr>
          <w:sz w:val="20"/>
          <w:szCs w:val="20"/>
          <w:rtl/>
        </w:rPr>
        <w:footnoteRef/>
      </w:r>
      <w:r>
        <w:rPr>
          <w:sz w:val="20"/>
          <w:szCs w:val="20"/>
          <w:rtl/>
        </w:rPr>
        <w:t>. הערה 99 לעיל.</w:t>
      </w:r>
    </w:p>
  </w:footnote>
  <w:footnote w:id="3410">
    <w:p w14:paraId="48BABACC" w14:textId="77777777" w:rsidR="00AB3647" w:rsidRDefault="00000000">
      <w:pPr>
        <w:spacing w:after="0" w:before="0"/>
        <w:jc w:val="both"/>
      </w:pPr>
      <w:r>
        <w:rPr>
          <w:sz w:val="20"/>
          <w:szCs w:val="20"/>
          <w:rtl/>
        </w:rPr>
        <w:footnoteRef/>
      </w:r>
      <w:r>
        <w:rPr>
          <w:sz w:val="20"/>
          <w:szCs w:val="20"/>
          <w:rtl/>
        </w:rPr>
        <w:t>. שם, עמ׳ 199–201.</w:t>
      </w:r>
    </w:p>
  </w:footnote>
  <w:footnote w:id="3411">
    <w:p w14:paraId="3E9D104E" w14:textId="77777777" w:rsidR="00AB3647" w:rsidRDefault="00000000">
      <w:pPr>
        <w:spacing w:after="0" w:before="0"/>
        <w:jc w:val="both"/>
      </w:pPr>
      <w:r>
        <w:rPr>
          <w:sz w:val="20"/>
          <w:szCs w:val="20"/>
          <w:rtl/>
        </w:rPr>
        <w:footnoteRef/>
      </w:r>
      <w:r>
        <w:rPr>
          <w:sz w:val="20"/>
          <w:szCs w:val="20"/>
          <w:rtl/>
        </w:rPr>
        <w:t>. יעקב מארק, עמ׳ 31.</w:t>
      </w:r>
    </w:p>
  </w:footnote>
  <w:footnote w:id="3412">
    <w:p w14:paraId="2A876544" w14:textId="77777777" w:rsidR="00AB3647" w:rsidRDefault="00000000">
      <w:pPr>
        <w:spacing w:after="0" w:before="0"/>
        <w:jc w:val="both"/>
      </w:pPr>
      <w:r>
        <w:rPr>
          <w:sz w:val="20"/>
          <w:szCs w:val="20"/>
          <w:rtl/>
        </w:rPr>
        <w:footnoteRef/>
      </w:r>
      <w:r>
        <w:rPr>
          <w:sz w:val="20"/>
          <w:szCs w:val="20"/>
          <w:rtl/>
        </w:rPr>
        <w:t>. כץ, “תנועת המוסר”, כרך ה, עמ׳ 25.</w:t>
      </w:r>
    </w:p>
  </w:footnote>
  <w:footnote w:id="3413">
    <w:p w14:paraId="2744AEE2" w14:textId="77777777" w:rsidR="00AB3647" w:rsidRDefault="00000000">
      <w:pPr>
        <w:spacing w:after="0" w:before="0"/>
        <w:jc w:val="both"/>
      </w:pPr>
      <w:r>
        <w:rPr>
          <w:sz w:val="20"/>
          <w:szCs w:val="20"/>
          <w:rtl/>
        </w:rPr>
        <w:footnoteRef/>
      </w:r>
      <w:r>
        <w:rPr>
          <w:sz w:val="20"/>
          <w:szCs w:val="20"/>
          <w:rtl/>
        </w:rPr>
        <w:t>. המקור הנזכר, פרק 1, הערה 46 – עמ׳ 70–72.</w:t>
      </w:r>
    </w:p>
  </w:footnote>
  <w:footnote w:id="3414">
    <w:p w14:paraId="10F5CB07"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ב“העבר</w:t>
      </w:r>
      <w:proofErr w:type="spellEnd"/>
      <w:r>
        <w:rPr>
          <w:sz w:val="20"/>
          <w:szCs w:val="20"/>
          <w:rtl/>
        </w:rPr>
        <w:t>” (תל אביב), חוברת כ (שבט תשי״ד) (להלן: אסף) – עמ׳ 38.</w:t>
      </w:r>
    </w:p>
  </w:footnote>
  <w:footnote w:id="3415">
    <w:p w14:paraId="407A847D" w14:textId="77777777" w:rsidR="00AB3647" w:rsidRDefault="00000000">
      <w:pPr>
        <w:spacing w:after="0" w:before="0"/>
        <w:jc w:val="both"/>
      </w:pPr>
      <w:r>
        <w:rPr>
          <w:sz w:val="20"/>
          <w:szCs w:val="20"/>
          <w:rtl/>
        </w:rPr>
        <w:footnoteRef/>
      </w:r>
      <w:r>
        <w:rPr>
          <w:sz w:val="20"/>
          <w:szCs w:val="20"/>
          <w:rtl/>
        </w:rPr>
        <w:t>. ראה סוף נספח יד להלן.</w:t>
      </w:r>
    </w:p>
  </w:footnote>
  <w:footnote w:id="3416">
    <w:p w14:paraId="37398B0C" w14:textId="77777777" w:rsidR="00AB3647" w:rsidRDefault="00000000">
      <w:pPr>
        <w:spacing w:after="0" w:before="0"/>
        <w:jc w:val="both"/>
      </w:pPr>
      <w:r>
        <w:rPr>
          <w:sz w:val="20"/>
          <w:szCs w:val="20"/>
          <w:rtl/>
        </w:rPr>
        <w:footnoteRef/>
      </w:r>
      <w:r>
        <w:rPr>
          <w:sz w:val="20"/>
          <w:szCs w:val="20"/>
          <w:rtl/>
        </w:rPr>
        <w:t>. וגם חלונות – ראה להלן.</w:t>
      </w:r>
    </w:p>
  </w:footnote>
  <w:footnote w:id="3417">
    <w:p w14:paraId="35982AD2" w14:textId="77777777" w:rsidR="00AB3647" w:rsidRDefault="00000000">
      <w:pPr>
        <w:spacing w:after="0" w:before="0"/>
        <w:jc w:val="both"/>
      </w:pPr>
      <w:r>
        <w:rPr>
          <w:sz w:val="20"/>
          <w:szCs w:val="20"/>
          <w:rtl/>
        </w:rPr>
        <w:footnoteRef/>
      </w:r>
      <w:r>
        <w:rPr>
          <w:sz w:val="20"/>
          <w:szCs w:val="20"/>
          <w:rtl/>
        </w:rPr>
        <w:t>. תל אביב, תש״ה.</w:t>
      </w:r>
    </w:p>
  </w:footnote>
  <w:footnote w:id="3418">
    <w:p w14:paraId="29AF7D80" w14:textId="77777777" w:rsidR="00AB3647" w:rsidRDefault="00000000">
      <w:pPr>
        <w:spacing w:after="0" w:before="0"/>
        <w:jc w:val="both"/>
      </w:pPr>
      <w:r>
        <w:rPr>
          <w:sz w:val="20"/>
          <w:szCs w:val="20"/>
          <w:rtl/>
        </w:rPr>
        <w:footnoteRef/>
      </w:r>
      <w:r>
        <w:rPr>
          <w:sz w:val="20"/>
          <w:szCs w:val="20"/>
          <w:rtl/>
        </w:rPr>
        <w:t>. עמ׳ קצב–</w:t>
      </w:r>
      <w:proofErr w:type="spellStart"/>
      <w:r>
        <w:rPr>
          <w:sz w:val="20"/>
          <w:szCs w:val="20"/>
          <w:rtl/>
        </w:rPr>
        <w:t>קצג</w:t>
      </w:r>
      <w:proofErr w:type="spellEnd"/>
      <w:r>
        <w:rPr>
          <w:sz w:val="20"/>
          <w:szCs w:val="20"/>
          <w:rtl/>
        </w:rPr>
        <w:t>.</w:t>
      </w:r>
    </w:p>
  </w:footnote>
  <w:footnote w:id="3419">
    <w:p w14:paraId="4C6E6EB7" w14:textId="77777777" w:rsidR="00AB3647" w:rsidRDefault="00000000">
      <w:pPr>
        <w:spacing w:after="0" w:before="0"/>
        <w:jc w:val="both"/>
      </w:pPr>
      <w:r>
        <w:rPr>
          <w:sz w:val="20"/>
          <w:szCs w:val="20"/>
          <w:rtl/>
        </w:rPr>
        <w:footnoteRef/>
      </w:r>
      <w:r>
        <w:rPr>
          <w:sz w:val="20"/>
          <w:szCs w:val="20"/>
          <w:rtl/>
        </w:rPr>
        <w:t>. בעמ׳ 42.</w:t>
      </w:r>
    </w:p>
  </w:footnote>
  <w:footnote w:id="3420">
    <w:p w14:paraId="439A4CCE" w14:textId="77777777" w:rsidR="00AB3647" w:rsidRDefault="00000000">
      <w:pPr>
        <w:spacing w:after="0" w:before="0"/>
        <w:jc w:val="both"/>
      </w:pPr>
      <w:r>
        <w:rPr>
          <w:sz w:val="20"/>
          <w:szCs w:val="20"/>
          <w:rtl/>
        </w:rPr>
        <w:footnoteRef/>
      </w:r>
      <w:r>
        <w:rPr>
          <w:sz w:val="20"/>
          <w:szCs w:val="20"/>
          <w:rtl/>
        </w:rPr>
        <w:t xml:space="preserve">. למידע נוסף על משפחת </w:t>
      </w:r>
      <w:proofErr w:type="spellStart"/>
      <w:r>
        <w:rPr>
          <w:sz w:val="20"/>
          <w:szCs w:val="20"/>
          <w:rtl/>
        </w:rPr>
        <w:t>פרסיץ</w:t>
      </w:r>
      <w:proofErr w:type="spellEnd"/>
      <w:r>
        <w:rPr>
          <w:sz w:val="20"/>
          <w:szCs w:val="20"/>
          <w:rtl/>
        </w:rPr>
        <w:t xml:space="preserve"> השווה לפרק 3, נספח ז, ולכרך 2.</w:t>
      </w:r>
    </w:p>
  </w:footnote>
  <w:footnote w:id="3421">
    <w:p w14:paraId="11814B03" w14:textId="77777777" w:rsidR="00AB3647" w:rsidRDefault="00000000">
      <w:pPr>
        <w:spacing w:after="0" w:before="0"/>
        <w:jc w:val="both"/>
      </w:pPr>
      <w:r>
        <w:rPr>
          <w:sz w:val="20"/>
          <w:szCs w:val="20"/>
          <w:rtl/>
        </w:rPr>
        <w:footnoteRef/>
      </w:r>
      <w:r>
        <w:rPr>
          <w:sz w:val="20"/>
          <w:szCs w:val="20"/>
          <w:rtl/>
        </w:rPr>
        <w:t>. עמ׳ 35–36.</w:t>
      </w:r>
    </w:p>
  </w:footnote>
  <w:footnote w:id="3422">
    <w:p w14:paraId="28277334" w14:textId="77777777" w:rsidR="00AB3647" w:rsidRDefault="00000000">
      <w:pPr>
        <w:spacing w:after="0" w:before="0"/>
        <w:jc w:val="both"/>
      </w:pPr>
      <w:r>
        <w:rPr>
          <w:sz w:val="20"/>
          <w:szCs w:val="20"/>
          <w:rtl/>
        </w:rPr>
        <w:footnoteRef/>
      </w:r>
      <w:r>
        <w:rPr>
          <w:sz w:val="20"/>
          <w:szCs w:val="20"/>
          <w:rtl/>
        </w:rPr>
        <w:t>. ראה ברכות י״ז ע״א.</w:t>
      </w:r>
    </w:p>
  </w:footnote>
  <w:footnote w:id="3423">
    <w:p w14:paraId="0C7B65D0" w14:textId="77777777" w:rsidR="00AB3647" w:rsidRDefault="00000000">
      <w:pPr>
        <w:spacing w:after="0" w:before="0"/>
        <w:jc w:val="both"/>
      </w:pPr>
      <w:r>
        <w:rPr>
          <w:sz w:val="20"/>
          <w:szCs w:val="20"/>
          <w:rtl/>
        </w:rPr>
        <w:footnoteRef/>
      </w:r>
      <w:r>
        <w:rPr>
          <w:sz w:val="20"/>
          <w:szCs w:val="20"/>
          <w:rtl/>
        </w:rPr>
        <w:t>. עמ׳ 40.</w:t>
      </w:r>
    </w:p>
  </w:footnote>
  <w:footnote w:id="3424">
    <w:p w14:paraId="74FDA0D2" w14:textId="77777777" w:rsidR="00AB3647" w:rsidRDefault="00000000">
      <w:pPr>
        <w:spacing w:after="0" w:before="0"/>
        <w:jc w:val="both"/>
      </w:pPr>
      <w:r>
        <w:rPr>
          <w:sz w:val="20"/>
          <w:szCs w:val="20"/>
          <w:rtl/>
        </w:rPr>
        <w:footnoteRef/>
      </w:r>
      <w:r>
        <w:rPr>
          <w:sz w:val="20"/>
          <w:szCs w:val="20"/>
          <w:rtl/>
        </w:rPr>
        <w:t>. כץ, “תנועת המוסר”, כרך ה, עמ׳ 201–202.</w:t>
      </w:r>
    </w:p>
  </w:footnote>
  <w:footnote w:id="3425">
    <w:p w14:paraId="410F8456" w14:textId="77777777" w:rsidR="00AB3647" w:rsidRDefault="00000000">
      <w:pPr>
        <w:spacing w:after="0" w:before="0"/>
        <w:jc w:val="both"/>
      </w:pPr>
      <w:r>
        <w:rPr>
          <w:sz w:val="20"/>
          <w:szCs w:val="20"/>
          <w:rtl/>
        </w:rPr>
        <w:footnoteRef/>
      </w:r>
      <w:r>
        <w:rPr>
          <w:sz w:val="20"/>
          <w:szCs w:val="20"/>
          <w:rtl/>
        </w:rPr>
        <w:t>. עמ׳ 191–265.</w:t>
      </w:r>
    </w:p>
  </w:footnote>
  <w:footnote w:id="3426">
    <w:p w14:paraId="0B54AE63" w14:textId="77777777" w:rsidR="00AB3647" w:rsidRDefault="00000000">
      <w:pPr>
        <w:spacing w:after="0" w:before="0"/>
        <w:jc w:val="both"/>
      </w:pPr>
      <w:r>
        <w:rPr>
          <w:sz w:val="20"/>
          <w:szCs w:val="20"/>
          <w:rtl/>
        </w:rPr>
        <w:footnoteRef/>
      </w:r>
      <w:r>
        <w:rPr>
          <w:sz w:val="20"/>
          <w:szCs w:val="20"/>
          <w:rtl/>
        </w:rPr>
        <w:t>. ריאיון מ־15 באפריל 1993.</w:t>
      </w:r>
    </w:p>
  </w:footnote>
  <w:footnote w:id="3427">
    <w:p w14:paraId="4AB2C8F5" w14:textId="77777777" w:rsidR="00AB3647" w:rsidRDefault="00000000">
      <w:pPr>
        <w:spacing w:after="0" w:before="0"/>
        <w:jc w:val="both"/>
      </w:pPr>
      <w:r>
        <w:rPr>
          <w:sz w:val="20"/>
          <w:szCs w:val="20"/>
          <w:rtl/>
        </w:rPr>
        <w:footnoteRef/>
      </w:r>
      <w:r>
        <w:rPr>
          <w:sz w:val="20"/>
          <w:szCs w:val="20"/>
          <w:rtl/>
        </w:rPr>
        <w:t>. עמ׳ 214–215.</w:t>
      </w:r>
    </w:p>
  </w:footnote>
  <w:footnote w:id="3428">
    <w:p w14:paraId="47D4334C" w14:textId="77777777" w:rsidR="00AB3647" w:rsidRDefault="00000000">
      <w:pPr>
        <w:spacing w:after="0" w:before="0"/>
        <w:jc w:val="both"/>
      </w:pPr>
      <w:r>
        <w:rPr>
          <w:sz w:val="20"/>
          <w:szCs w:val="20"/>
          <w:rtl/>
        </w:rPr>
        <w:footnoteRef/>
      </w:r>
      <w:r>
        <w:rPr>
          <w:sz w:val="20"/>
          <w:szCs w:val="20"/>
          <w:rtl/>
        </w:rPr>
        <w:t>. עמ׳ 35. ספר זה, מאת שמעון קושניר (הוצאת ספרית השדה, תשכ״ב), הוא ביוגרפיה של אברהם הרצפלד – מהפכן סוציאליסטי ברוסיה, ולימים מנהיג פועלים בארץ ישראל וממייסדי ההסתדרות. שמו של הספר הוא משחק מילים על שם משפחתו היידי של הרצפלד.</w:t>
      </w:r>
    </w:p>
  </w:footnote>
  <w:footnote w:id="3429">
    <w:p w14:paraId="32C0D1B6" w14:textId="77777777" w:rsidR="00AB3647" w:rsidRDefault="00000000">
      <w:pPr>
        <w:spacing w:after="0" w:before="0"/>
        <w:jc w:val="both"/>
      </w:pPr>
      <w:r>
        <w:rPr>
          <w:sz w:val="20"/>
          <w:szCs w:val="20"/>
          <w:rtl/>
        </w:rPr>
        <w:footnoteRef/>
      </w:r>
      <w:r>
        <w:rPr>
          <w:sz w:val="20"/>
          <w:szCs w:val="20"/>
          <w:rtl/>
        </w:rPr>
        <w:t>. אסף, עמ׳ 41.</w:t>
      </w:r>
    </w:p>
  </w:footnote>
  <w:footnote w:id="3430">
    <w:p w14:paraId="2A3A0A8F" w14:textId="77777777" w:rsidR="00AB3647" w:rsidRDefault="00000000">
      <w:pPr>
        <w:spacing w:after="0" w:before="0"/>
        <w:jc w:val="both"/>
      </w:pPr>
      <w:r>
        <w:rPr>
          <w:sz w:val="20"/>
          <w:szCs w:val="20"/>
          <w:rtl/>
        </w:rPr>
        <w:footnoteRef/>
      </w:r>
      <w:r>
        <w:rPr>
          <w:sz w:val="20"/>
          <w:szCs w:val="20"/>
          <w:rtl/>
        </w:rPr>
        <w:t xml:space="preserve">. כץ, “תנועת המוסר”, כרך ה, עמ׳ 27–28. השווה גם לפסקה השנייה של נספח יד להלן, על חזרתו </w:t>
      </w:r>
      <w:proofErr w:type="spellStart"/>
      <w:r>
        <w:rPr>
          <w:sz w:val="20"/>
          <w:szCs w:val="20"/>
          <w:rtl/>
        </w:rPr>
        <w:t>לטלז</w:t>
      </w:r>
      <w:proofErr w:type="spellEnd"/>
      <w:r>
        <w:rPr>
          <w:sz w:val="20"/>
          <w:szCs w:val="20"/>
          <w:rtl/>
        </w:rPr>
        <w:t xml:space="preserve"> כרבה.</w:t>
      </w:r>
    </w:p>
  </w:footnote>
  <w:footnote w:id="3431">
    <w:p w14:paraId="0FB3E8D1" w14:textId="77777777" w:rsidR="00AB3647" w:rsidRDefault="00000000">
      <w:pPr>
        <w:spacing w:after="0" w:before="0"/>
        <w:jc w:val="both"/>
      </w:pPr>
      <w:r>
        <w:rPr>
          <w:sz w:val="20"/>
          <w:szCs w:val="20"/>
          <w:rtl/>
        </w:rPr>
        <w:footnoteRef/>
      </w:r>
      <w:r>
        <w:rPr>
          <w:sz w:val="20"/>
          <w:szCs w:val="20"/>
          <w:rtl/>
        </w:rPr>
        <w:t>. השווה לספרו של כץ, “תנועת המוסר”, כרך ה, עמ׳ 29.</w:t>
      </w:r>
    </w:p>
  </w:footnote>
  <w:footnote w:id="3432">
    <w:p w14:paraId="03F75DBD" w14:textId="77777777" w:rsidR="00AB3647" w:rsidRDefault="00000000">
      <w:pPr>
        <w:spacing w:after="0" w:before="0"/>
        <w:jc w:val="both"/>
      </w:pPr>
      <w:r>
        <w:rPr>
          <w:sz w:val="20"/>
          <w:szCs w:val="20"/>
          <w:rtl/>
        </w:rPr>
        <w:footnoteRef/>
      </w:r>
      <w:r>
        <w:rPr>
          <w:sz w:val="20"/>
          <w:szCs w:val="20"/>
          <w:rtl/>
        </w:rPr>
        <w:t>. השווה שם ולעמ׳ 202.</w:t>
      </w:r>
    </w:p>
  </w:footnote>
  <w:footnote w:id="3433">
    <w:p w14:paraId="43D3DDE6" w14:textId="77777777" w:rsidR="00AB3647" w:rsidRDefault="00000000">
      <w:pPr>
        <w:spacing w:after="0" w:before="0"/>
        <w:jc w:val="both"/>
      </w:pPr>
      <w:r>
        <w:rPr>
          <w:sz w:val="20"/>
          <w:szCs w:val="20"/>
          <w:rtl/>
        </w:rPr>
        <w:footnoteRef/>
      </w:r>
      <w:r>
        <w:rPr>
          <w:sz w:val="20"/>
          <w:szCs w:val="20"/>
          <w:rtl/>
        </w:rPr>
        <w:t xml:space="preserve">. עמ׳ 134–147 של “העבר”, חוברת י״ב (אייר תשכ״ה) (להלן: </w:t>
      </w:r>
      <w:proofErr w:type="spellStart"/>
      <w:r>
        <w:rPr>
          <w:sz w:val="20"/>
          <w:szCs w:val="20"/>
          <w:rtl/>
        </w:rPr>
        <w:t>שולמן</w:t>
      </w:r>
      <w:proofErr w:type="spellEnd"/>
      <w:r>
        <w:rPr>
          <w:sz w:val="20"/>
          <w:szCs w:val="20"/>
          <w:rtl/>
        </w:rPr>
        <w:t>).</w:t>
      </w:r>
    </w:p>
  </w:footnote>
  <w:footnote w:id="3434">
    <w:p w14:paraId="31F489E9" w14:textId="77777777" w:rsidR="00AB3647" w:rsidRDefault="00000000">
      <w:pPr>
        <w:spacing w:after="0" w:before="0"/>
        <w:jc w:val="both"/>
      </w:pPr>
      <w:r>
        <w:rPr>
          <w:sz w:val="20"/>
          <w:szCs w:val="20"/>
          <w:rtl/>
        </w:rPr>
        <w:footnoteRef/>
      </w:r>
      <w:r>
        <w:rPr>
          <w:sz w:val="20"/>
          <w:szCs w:val="20"/>
          <w:rtl/>
        </w:rPr>
        <w:t>. עמ׳ 137.</w:t>
      </w:r>
    </w:p>
  </w:footnote>
  <w:footnote w:id="3435">
    <w:p w14:paraId="0D5B82D1" w14:textId="77777777" w:rsidR="00AB3647" w:rsidRDefault="00000000">
      <w:pPr>
        <w:spacing w:after="0" w:before="0"/>
        <w:jc w:val="both"/>
      </w:pPr>
      <w:r>
        <w:rPr>
          <w:sz w:val="20"/>
          <w:szCs w:val="20"/>
          <w:rtl/>
        </w:rPr>
        <w:footnoteRef/>
      </w:r>
      <w:r>
        <w:rPr>
          <w:sz w:val="20"/>
          <w:szCs w:val="20"/>
          <w:rtl/>
        </w:rPr>
        <w:t xml:space="preserve">. לא ברור לאילו ישיבות </w:t>
      </w:r>
      <w:proofErr w:type="spellStart"/>
      <w:r>
        <w:rPr>
          <w:sz w:val="20"/>
          <w:szCs w:val="20"/>
          <w:rtl/>
        </w:rPr>
        <w:t>בסלבודקה</w:t>
      </w:r>
      <w:proofErr w:type="spellEnd"/>
      <w:r>
        <w:rPr>
          <w:sz w:val="20"/>
          <w:szCs w:val="20"/>
          <w:rtl/>
        </w:rPr>
        <w:t xml:space="preserve">, מלבד כנסת בית יצחק, יכול היה המחבר להתכוון. ישיבתו של ר׳ </w:t>
      </w:r>
      <w:proofErr w:type="spellStart"/>
      <w:r>
        <w:rPr>
          <w:sz w:val="20"/>
          <w:szCs w:val="20"/>
          <w:rtl/>
        </w:rPr>
        <w:t>הירשל׳ה</w:t>
      </w:r>
      <w:proofErr w:type="spellEnd"/>
      <w:r>
        <w:rPr>
          <w:sz w:val="20"/>
          <w:szCs w:val="20"/>
          <w:rtl/>
        </w:rPr>
        <w:t xml:space="preserve"> הייתה של תלמידים צעירים מכדי שיושפעו, וכולל קובנה – של תלמידים נשואים שכבר כיוונו את חייהם לרבנות.</w:t>
      </w:r>
    </w:p>
  </w:footnote>
  <w:footnote w:id="3436">
    <w:p w14:paraId="0AB6573B" w14:textId="77777777" w:rsidR="00AB3647" w:rsidRDefault="00000000">
      <w:pPr>
        <w:spacing w:after="0" w:before="0"/>
        <w:jc w:val="both"/>
      </w:pPr>
      <w:r>
        <w:rPr>
          <w:sz w:val="20"/>
          <w:szCs w:val="20"/>
          <w:rtl/>
        </w:rPr>
        <w:footnoteRef/>
      </w:r>
      <w:r>
        <w:rPr>
          <w:sz w:val="20"/>
          <w:szCs w:val="20"/>
          <w:rtl/>
        </w:rPr>
        <w:t>. ראה הערה 121 להלן.</w:t>
      </w:r>
    </w:p>
  </w:footnote>
  <w:footnote w:id="3437">
    <w:p w14:paraId="103D3AF8" w14:textId="77777777" w:rsidR="00AB3647" w:rsidRDefault="00000000">
      <w:pPr>
        <w:spacing w:after="0" w:before="0"/>
        <w:jc w:val="both"/>
      </w:pPr>
      <w:r>
        <w:rPr>
          <w:sz w:val="20"/>
          <w:szCs w:val="20"/>
          <w:rtl/>
        </w:rPr>
        <w:footnoteRef/>
      </w:r>
      <w:r>
        <w:rPr>
          <w:sz w:val="20"/>
          <w:szCs w:val="20"/>
          <w:rtl/>
        </w:rPr>
        <w:t>. עמ׳ 31–32 ו־289.</w:t>
      </w:r>
    </w:p>
  </w:footnote>
  <w:footnote w:id="3438">
    <w:p w14:paraId="180BE8FB" w14:textId="77777777" w:rsidR="00AB3647" w:rsidRDefault="00000000">
      <w:pPr>
        <w:spacing w:after="0" w:before="0"/>
        <w:jc w:val="both"/>
      </w:pPr>
      <w:r>
        <w:rPr>
          <w:sz w:val="20"/>
          <w:szCs w:val="20"/>
          <w:rtl/>
        </w:rPr>
        <w:footnoteRef/>
      </w:r>
      <w:r>
        <w:rPr>
          <w:sz w:val="20"/>
          <w:szCs w:val="20"/>
          <w:rtl/>
        </w:rPr>
        <w:t>. הערה 110 לעיל – עמ׳ 40.</w:t>
      </w:r>
    </w:p>
  </w:footnote>
  <w:footnote w:id="3439">
    <w:p w14:paraId="1BF59118" w14:textId="77777777" w:rsidR="00AB3647" w:rsidRDefault="00000000">
      <w:pPr>
        <w:spacing w:after="0" w:before="0"/>
        <w:jc w:val="both"/>
      </w:pPr>
      <w:r>
        <w:rPr>
          <w:sz w:val="20"/>
          <w:szCs w:val="20"/>
          <w:rtl/>
        </w:rPr>
        <w:footnoteRef/>
      </w:r>
      <w:r>
        <w:rPr>
          <w:sz w:val="20"/>
          <w:szCs w:val="20"/>
          <w:rtl/>
        </w:rPr>
        <w:t>. השווה לספרו של כץ, “תנועת המוסר”, כרך ג, עמ׳ 63 והערה 254, ולפסקאות השנייה והשלישית של פרק 3, נספח כ.</w:t>
      </w:r>
    </w:p>
  </w:footnote>
  <w:footnote w:id="3440">
    <w:p w14:paraId="36CC0A21" w14:textId="77777777" w:rsidR="00AB3647" w:rsidRDefault="00000000">
      <w:pPr>
        <w:spacing w:after="0" w:before="0"/>
        <w:jc w:val="both"/>
      </w:pPr>
      <w:r>
        <w:rPr>
          <w:sz w:val="20"/>
          <w:szCs w:val="20"/>
          <w:rtl/>
        </w:rPr>
        <w:footnoteRef/>
      </w:r>
      <w:r>
        <w:rPr>
          <w:sz w:val="20"/>
          <w:szCs w:val="20"/>
          <w:rtl/>
        </w:rPr>
        <w:t>. השווה לכרך 2.</w:t>
      </w:r>
    </w:p>
  </w:footnote>
  <w:footnote w:id="3441">
    <w:p w14:paraId="4CAD679C" w14:textId="77777777" w:rsidR="00AB3647" w:rsidRDefault="00000000">
      <w:pPr>
        <w:spacing w:after="0" w:before="0"/>
        <w:jc w:val="both"/>
      </w:pPr>
      <w:r>
        <w:rPr>
          <w:sz w:val="20"/>
          <w:szCs w:val="20"/>
          <w:rtl/>
        </w:rPr>
        <w:footnoteRef/>
      </w:r>
      <w:r>
        <w:rPr>
          <w:sz w:val="20"/>
          <w:szCs w:val="20"/>
          <w:rtl/>
        </w:rPr>
        <w:t>. השווה לפרק 5.</w:t>
      </w:r>
    </w:p>
  </w:footnote>
  <w:footnote w:id="3442">
    <w:p w14:paraId="336C9A6C" w14:textId="77777777" w:rsidR="00AB3647" w:rsidRDefault="00000000">
      <w:pPr>
        <w:spacing w:after="0" w:before="0"/>
        <w:jc w:val="both"/>
      </w:pPr>
      <w:r>
        <w:rPr>
          <w:sz w:val="20"/>
          <w:szCs w:val="20"/>
          <w:rtl/>
        </w:rPr>
        <w:footnoteRef/>
      </w:r>
      <w:r>
        <w:rPr>
          <w:sz w:val="20"/>
          <w:szCs w:val="20"/>
          <w:rtl/>
        </w:rPr>
        <w:t>. נספח א להלן – עמ׳ יא.</w:t>
      </w:r>
    </w:p>
  </w:footnote>
  <w:footnote w:id="3443">
    <w:p w14:paraId="686CF766" w14:textId="77777777" w:rsidR="00AB3647" w:rsidRDefault="00000000">
      <w:pPr>
        <w:spacing w:after="0" w:before="0"/>
        <w:jc w:val="both"/>
      </w:pPr>
      <w:r>
        <w:rPr>
          <w:sz w:val="20"/>
          <w:szCs w:val="20"/>
          <w:rtl/>
        </w:rPr>
        <w:footnoteRef/>
      </w:r>
      <w:r>
        <w:rPr>
          <w:sz w:val="20"/>
          <w:szCs w:val="20"/>
          <w:rtl/>
        </w:rPr>
        <w:t xml:space="preserve">. השווה לפרק 3, הפסקאות השנייה והשלישית של נספח כ. השווה גם לפסקה השלישית בפרק הבא, על סיווגו הכללי של ר׳ שלמה </w:t>
      </w:r>
      <w:proofErr w:type="spellStart"/>
      <w:r>
        <w:rPr>
          <w:sz w:val="20"/>
          <w:szCs w:val="20"/>
          <w:rtl/>
        </w:rPr>
        <w:t>גבורין</w:t>
      </w:r>
      <w:proofErr w:type="spellEnd"/>
      <w:r>
        <w:rPr>
          <w:sz w:val="20"/>
          <w:szCs w:val="20"/>
          <w:rtl/>
        </w:rPr>
        <w:t xml:space="preserve"> בישיבה – שלא באמצעות זיקתו לסבא.</w:t>
      </w:r>
    </w:p>
  </w:footnote>
  <w:footnote w:id="3444">
    <w:p w14:paraId="375BFFE9" w14:textId="77777777" w:rsidR="00AB3647" w:rsidRDefault="00000000">
      <w:pPr>
        <w:spacing w:after="0" w:before="0"/>
        <w:jc w:val="both"/>
      </w:pPr>
      <w:r>
        <w:rPr>
          <w:sz w:val="20"/>
          <w:szCs w:val="20"/>
          <w:rtl/>
        </w:rPr>
        <w:footnoteRef/>
      </w:r>
      <w:r>
        <w:rPr>
          <w:sz w:val="20"/>
          <w:szCs w:val="20"/>
          <w:rtl/>
        </w:rPr>
        <w:t>. ריאיון מ־18 בנובמבר 1987.</w:t>
      </w:r>
    </w:p>
  </w:footnote>
  <w:footnote w:id="3445">
    <w:p w14:paraId="5F757126" w14:textId="77777777" w:rsidR="00AB3647" w:rsidRDefault="00000000">
      <w:pPr>
        <w:spacing w:after="0" w:before="0"/>
        <w:jc w:val="both"/>
      </w:pPr>
      <w:r>
        <w:rPr>
          <w:sz w:val="20"/>
          <w:szCs w:val="20"/>
          <w:rtl/>
        </w:rPr>
        <w:footnoteRef/>
      </w:r>
      <w:r>
        <w:rPr>
          <w:sz w:val="20"/>
          <w:szCs w:val="20"/>
          <w:rtl/>
        </w:rPr>
        <w:t>. נספח י להלן – עמ׳ 50.</w:t>
      </w:r>
    </w:p>
  </w:footnote>
  <w:footnote w:id="3446">
    <w:p w14:paraId="3782A109" w14:textId="77777777" w:rsidR="00AB3647" w:rsidRDefault="00000000">
      <w:pPr>
        <w:spacing w:after="0" w:before="0"/>
        <w:jc w:val="both"/>
      </w:pPr>
      <w:r>
        <w:rPr>
          <w:sz w:val="20"/>
          <w:szCs w:val="20"/>
          <w:rtl/>
        </w:rPr>
        <w:footnoteRef/>
      </w:r>
      <w:r>
        <w:rPr>
          <w:sz w:val="20"/>
          <w:szCs w:val="20"/>
          <w:rtl/>
        </w:rPr>
        <w:t>. עמ׳ 291.</w:t>
      </w:r>
    </w:p>
  </w:footnote>
  <w:footnote w:id="3447">
    <w:p w14:paraId="2968B52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עט:א</w:t>
      </w:r>
      <w:proofErr w:type="spellEnd"/>
      <w:r>
        <w:rPr>
          <w:sz w:val="20"/>
          <w:szCs w:val="20"/>
          <w:rtl/>
        </w:rPr>
        <w:t>.</w:t>
      </w:r>
    </w:p>
  </w:footnote>
  <w:footnote w:id="3448">
    <w:p w14:paraId="30F98B2E" w14:textId="77777777" w:rsidR="00AB3647" w:rsidRDefault="00000000">
      <w:pPr>
        <w:spacing w:after="0" w:before="0"/>
        <w:jc w:val="both"/>
      </w:pPr>
      <w:r>
        <w:rPr>
          <w:sz w:val="20"/>
          <w:szCs w:val="20"/>
          <w:rtl/>
        </w:rPr>
        <w:footnoteRef/>
      </w:r>
      <w:r>
        <w:rPr>
          <w:sz w:val="20"/>
          <w:szCs w:val="20"/>
          <w:rtl/>
        </w:rPr>
        <w:t>. ריאיון מ־16 ביוני 1992.</w:t>
      </w:r>
    </w:p>
  </w:footnote>
  <w:footnote w:id="3449">
    <w:p w14:paraId="705D3588" w14:textId="77777777" w:rsidR="00AB3647" w:rsidRDefault="00000000">
      <w:pPr>
        <w:spacing w:after="0" w:before="0"/>
        <w:jc w:val="both"/>
      </w:pPr>
      <w:r>
        <w:rPr>
          <w:sz w:val="20"/>
          <w:szCs w:val="20"/>
          <w:rtl/>
        </w:rPr>
        <w:footnoteRef/>
      </w:r>
      <w:r>
        <w:rPr>
          <w:sz w:val="20"/>
          <w:szCs w:val="20"/>
          <w:rtl/>
        </w:rPr>
        <w:t>. הערה 113 לעיל – עמ׳ 34–35.</w:t>
      </w:r>
    </w:p>
  </w:footnote>
  <w:footnote w:id="3450">
    <w:p w14:paraId="42DB89BC" w14:textId="77777777" w:rsidR="00AB3647" w:rsidRDefault="00000000">
      <w:pPr>
        <w:spacing w:after="0" w:before="0"/>
        <w:jc w:val="both"/>
      </w:pPr>
      <w:r>
        <w:rPr>
          <w:sz w:val="20"/>
          <w:szCs w:val="20"/>
          <w:rtl/>
        </w:rPr>
        <w:footnoteRef/>
      </w:r>
      <w:r>
        <w:rPr>
          <w:sz w:val="20"/>
          <w:szCs w:val="20"/>
          <w:rtl/>
        </w:rPr>
        <w:t>. השווה להערה 103 לעיל ולסוף הערה 127 להלן.</w:t>
      </w:r>
    </w:p>
  </w:footnote>
  <w:footnote w:id="3451">
    <w:p w14:paraId="7B3FB75A" w14:textId="77777777" w:rsidR="00AB3647" w:rsidRDefault="00000000">
      <w:pPr>
        <w:spacing w:after="0" w:before="0"/>
        <w:jc w:val="both"/>
      </w:pPr>
      <w:r>
        <w:rPr>
          <w:sz w:val="20"/>
          <w:szCs w:val="20"/>
          <w:rtl/>
        </w:rPr>
        <w:footnoteRef/>
      </w:r>
      <w:r>
        <w:rPr>
          <w:sz w:val="20"/>
          <w:szCs w:val="20"/>
          <w:rtl/>
        </w:rPr>
        <w:t>. עמ׳ 65.</w:t>
      </w:r>
    </w:p>
  </w:footnote>
  <w:footnote w:id="3452">
    <w:p w14:paraId="5669F187" w14:textId="77777777" w:rsidR="00AB3647" w:rsidRDefault="00000000">
      <w:pPr>
        <w:spacing w:after="0" w:before="0"/>
        <w:jc w:val="both"/>
      </w:pPr>
      <w:r>
        <w:rPr>
          <w:sz w:val="20"/>
          <w:szCs w:val="20"/>
          <w:rtl/>
        </w:rPr>
        <w:footnoteRef/>
      </w:r>
      <w:r>
        <w:rPr>
          <w:sz w:val="20"/>
          <w:szCs w:val="20"/>
          <w:rtl/>
        </w:rPr>
        <w:t xml:space="preserve">. השווה לסוף הפסקה הראשונה של פרק 3, נספח </w:t>
      </w:r>
      <w:proofErr w:type="spellStart"/>
      <w:r>
        <w:rPr>
          <w:sz w:val="20"/>
          <w:szCs w:val="20"/>
          <w:rtl/>
        </w:rPr>
        <w:t>כא</w:t>
      </w:r>
      <w:proofErr w:type="spellEnd"/>
      <w:r>
        <w:rPr>
          <w:sz w:val="20"/>
          <w:szCs w:val="20"/>
          <w:rtl/>
        </w:rPr>
        <w:t>.</w:t>
      </w:r>
    </w:p>
  </w:footnote>
  <w:footnote w:id="3453">
    <w:p w14:paraId="3963AF5F" w14:textId="77777777" w:rsidR="00AB3647" w:rsidRDefault="00000000">
      <w:pPr>
        <w:spacing w:after="0" w:before="0"/>
        <w:jc w:val="both"/>
      </w:pPr>
      <w:r>
        <w:rPr>
          <w:sz w:val="20"/>
          <w:szCs w:val="20"/>
          <w:rtl/>
        </w:rPr>
        <w:footnoteRef/>
      </w:r>
      <w:r>
        <w:rPr>
          <w:sz w:val="20"/>
          <w:szCs w:val="20"/>
          <w:rtl/>
        </w:rPr>
        <w:t>. על פי תענית ד׳ ע״א.</w:t>
      </w:r>
    </w:p>
  </w:footnote>
  <w:footnote w:id="3454">
    <w:p w14:paraId="404B957F" w14:textId="77777777" w:rsidR="00AB3647" w:rsidRDefault="00000000">
      <w:pPr>
        <w:spacing w:after="0" w:before="0"/>
        <w:jc w:val="both"/>
      </w:pPr>
      <w:r>
        <w:rPr>
          <w:sz w:val="20"/>
          <w:szCs w:val="20"/>
          <w:rtl/>
        </w:rPr>
        <w:footnoteRef/>
      </w:r>
      <w:r>
        <w:rPr>
          <w:sz w:val="20"/>
          <w:szCs w:val="20"/>
          <w:rtl/>
        </w:rPr>
        <w:t>. על פי ישעיה ו:ד, עיי״ש.</w:t>
      </w:r>
    </w:p>
  </w:footnote>
  <w:footnote w:id="3455">
    <w:p w14:paraId="2EB2F5A4"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נה</w:t>
      </w:r>
      <w:proofErr w:type="spellEnd"/>
      <w:r>
        <w:rPr>
          <w:sz w:val="20"/>
          <w:szCs w:val="20"/>
          <w:rtl/>
        </w:rPr>
        <w:t>.</w:t>
      </w:r>
    </w:p>
  </w:footnote>
  <w:footnote w:id="3456">
    <w:p w14:paraId="22865984" w14:textId="77777777" w:rsidR="00AB3647" w:rsidRDefault="00000000">
      <w:pPr>
        <w:spacing w:after="0" w:before="0"/>
        <w:jc w:val="both"/>
      </w:pPr>
      <w:r>
        <w:rPr>
          <w:sz w:val="20"/>
          <w:szCs w:val="20"/>
          <w:rtl/>
        </w:rPr>
        <w:footnoteRef/>
      </w:r>
      <w:r>
        <w:rPr>
          <w:sz w:val="20"/>
          <w:szCs w:val="20"/>
          <w:rtl/>
        </w:rPr>
        <w:t xml:space="preserve">. על פי בראשית </w:t>
      </w:r>
      <w:proofErr w:type="spellStart"/>
      <w:r>
        <w:rPr>
          <w:sz w:val="20"/>
          <w:szCs w:val="20"/>
          <w:rtl/>
        </w:rPr>
        <w:t>כז:מו</w:t>
      </w:r>
      <w:proofErr w:type="spellEnd"/>
      <w:r>
        <w:rPr>
          <w:sz w:val="20"/>
          <w:szCs w:val="20"/>
          <w:rtl/>
        </w:rPr>
        <w:t>.</w:t>
      </w:r>
    </w:p>
  </w:footnote>
  <w:footnote w:id="3457">
    <w:p w14:paraId="1724D4A1" w14:textId="77777777" w:rsidR="00AB3647" w:rsidRDefault="00000000">
      <w:pPr>
        <w:spacing w:after="0" w:before="0"/>
        <w:jc w:val="both"/>
      </w:pPr>
      <w:r>
        <w:rPr>
          <w:sz w:val="20"/>
          <w:szCs w:val="20"/>
          <w:rtl/>
        </w:rPr>
        <w:footnoteRef/>
      </w:r>
      <w:r>
        <w:rPr>
          <w:sz w:val="20"/>
          <w:szCs w:val="20"/>
          <w:rtl/>
        </w:rPr>
        <w:t>. עמ׳ 32–33 ו־328.</w:t>
      </w:r>
    </w:p>
  </w:footnote>
  <w:footnote w:id="3458">
    <w:p w14:paraId="7AFDD663" w14:textId="77777777" w:rsidR="00AB3647" w:rsidRDefault="00000000">
      <w:pPr>
        <w:spacing w:after="0" w:before="0"/>
        <w:jc w:val="both"/>
      </w:pPr>
      <w:r>
        <w:rPr>
          <w:sz w:val="20"/>
          <w:szCs w:val="20"/>
          <w:rtl/>
        </w:rPr>
        <w:footnoteRef/>
      </w:r>
      <w:r>
        <w:rPr>
          <w:sz w:val="20"/>
          <w:szCs w:val="20"/>
          <w:rtl/>
        </w:rPr>
        <w:t>. הערה 110 לעיל – עמ׳ 41.</w:t>
      </w:r>
    </w:p>
  </w:footnote>
  <w:footnote w:id="3459">
    <w:p w14:paraId="7716931D" w14:textId="77777777" w:rsidR="00AB3647" w:rsidRDefault="00000000">
      <w:pPr>
        <w:spacing w:after="0" w:before="0"/>
        <w:jc w:val="both"/>
      </w:pPr>
      <w:r>
        <w:rPr>
          <w:sz w:val="20"/>
          <w:szCs w:val="20"/>
          <w:rtl/>
        </w:rPr>
        <w:footnoteRef/>
      </w:r>
      <w:r>
        <w:rPr>
          <w:sz w:val="20"/>
          <w:szCs w:val="20"/>
          <w:rtl/>
        </w:rPr>
        <w:t>. הערה 115 לעיל – עמ׳ 135.</w:t>
      </w:r>
    </w:p>
  </w:footnote>
  <w:footnote w:id="3460">
    <w:p w14:paraId="3816C92E" w14:textId="77777777" w:rsidR="00AB3647" w:rsidRDefault="00000000">
      <w:pPr>
        <w:spacing w:after="0" w:before="0"/>
        <w:jc w:val="both"/>
      </w:pPr>
      <w:r>
        <w:rPr>
          <w:sz w:val="20"/>
          <w:szCs w:val="20"/>
          <w:rtl/>
        </w:rPr>
        <w:footnoteRef/>
      </w:r>
      <w:r>
        <w:rPr>
          <w:sz w:val="20"/>
          <w:szCs w:val="20"/>
          <w:rtl/>
        </w:rPr>
        <w:t>. שם, עמ׳ 138–139.</w:t>
      </w:r>
    </w:p>
  </w:footnote>
  <w:footnote w:id="3461">
    <w:p w14:paraId="5D30B71C" w14:textId="77777777" w:rsidR="00AB3647" w:rsidRDefault="00000000">
      <w:pPr>
        <w:spacing w:after="0" w:before="0"/>
        <w:jc w:val="both"/>
      </w:pPr>
      <w:r>
        <w:rPr>
          <w:sz w:val="20"/>
          <w:szCs w:val="20"/>
          <w:rtl/>
        </w:rPr>
        <w:footnoteRef/>
      </w:r>
      <w:r>
        <w:rPr>
          <w:sz w:val="20"/>
          <w:szCs w:val="20"/>
          <w:rtl/>
        </w:rPr>
        <w:t>. עמ׳ 137–139.</w:t>
      </w:r>
    </w:p>
  </w:footnote>
  <w:footnote w:id="3462">
    <w:p w14:paraId="30ED9F5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שולמן</w:t>
      </w:r>
      <w:proofErr w:type="spellEnd"/>
      <w:r>
        <w:rPr>
          <w:sz w:val="20"/>
          <w:szCs w:val="20"/>
          <w:rtl/>
        </w:rPr>
        <w:t xml:space="preserve"> מערבב כאן את דימוייו.</w:t>
      </w:r>
    </w:p>
  </w:footnote>
  <w:footnote w:id="3463">
    <w:p w14:paraId="270785BC" w14:textId="77777777" w:rsidR="00AB3647" w:rsidRDefault="00000000">
      <w:pPr>
        <w:spacing w:after="0" w:before="0"/>
        <w:jc w:val="both"/>
      </w:pPr>
      <w:r>
        <w:rPr>
          <w:sz w:val="20"/>
          <w:szCs w:val="20"/>
          <w:rtl/>
        </w:rPr>
        <w:footnoteRef/>
      </w:r>
      <w:r>
        <w:rPr>
          <w:sz w:val="20"/>
          <w:szCs w:val="20"/>
          <w:rtl/>
        </w:rPr>
        <w:t>. עמ׳ 42.</w:t>
      </w:r>
    </w:p>
  </w:footnote>
  <w:footnote w:id="3464">
    <w:p w14:paraId="66A233B1" w14:textId="77777777" w:rsidR="00AB3647" w:rsidRDefault="00000000">
      <w:pPr>
        <w:spacing w:after="0" w:before="0"/>
        <w:jc w:val="both"/>
      </w:pPr>
      <w:r>
        <w:rPr>
          <w:sz w:val="20"/>
          <w:szCs w:val="20"/>
          <w:rtl/>
        </w:rPr>
        <w:footnoteRef/>
      </w:r>
      <w:r>
        <w:rPr>
          <w:sz w:val="20"/>
          <w:szCs w:val="20"/>
          <w:rtl/>
        </w:rPr>
        <w:t>. השווה להערה 113 לעיל.</w:t>
      </w:r>
    </w:p>
  </w:footnote>
  <w:footnote w:id="3465">
    <w:p w14:paraId="77A6088E" w14:textId="77777777" w:rsidR="00AB3647" w:rsidRDefault="00000000">
      <w:pPr>
        <w:spacing w:after="0" w:before="0"/>
        <w:jc w:val="both"/>
      </w:pPr>
      <w:r>
        <w:rPr>
          <w:sz w:val="20"/>
          <w:szCs w:val="20"/>
          <w:rtl/>
        </w:rPr>
        <w:footnoteRef/>
      </w:r>
      <w:r>
        <w:rPr>
          <w:sz w:val="20"/>
          <w:szCs w:val="20"/>
          <w:rtl/>
        </w:rPr>
        <w:t>. עמ׳ 135.</w:t>
      </w:r>
    </w:p>
  </w:footnote>
  <w:footnote w:id="3466">
    <w:p w14:paraId="37A32812" w14:textId="77777777" w:rsidR="00AB3647" w:rsidRDefault="00000000">
      <w:pPr>
        <w:spacing w:after="0" w:before="0"/>
        <w:jc w:val="both"/>
      </w:pPr>
      <w:r>
        <w:rPr>
          <w:sz w:val="20"/>
          <w:szCs w:val="20"/>
          <w:rtl/>
        </w:rPr>
        <w:footnoteRef/>
      </w:r>
      <w:r>
        <w:rPr>
          <w:sz w:val="20"/>
          <w:szCs w:val="20"/>
          <w:rtl/>
        </w:rPr>
        <w:t>. ראה פסחים מ״ט ע״ב והפסקה השנייה של נספח ח להלן, שבה מובא מאמר חז״ל במלואו.</w:t>
      </w:r>
    </w:p>
  </w:footnote>
  <w:footnote w:id="3467">
    <w:p w14:paraId="09451761" w14:textId="77777777" w:rsidR="00AB3647" w:rsidRDefault="00000000">
      <w:pPr>
        <w:spacing w:after="0" w:before="0"/>
        <w:jc w:val="both"/>
      </w:pPr>
      <w:r>
        <w:rPr>
          <w:sz w:val="20"/>
          <w:szCs w:val="20"/>
          <w:rtl/>
        </w:rPr>
        <w:footnoteRef/>
      </w:r>
      <w:r>
        <w:rPr>
          <w:sz w:val="20"/>
          <w:szCs w:val="20"/>
          <w:rtl/>
        </w:rPr>
        <w:t>. שם, עמ׳ 141.</w:t>
      </w:r>
    </w:p>
  </w:footnote>
  <w:footnote w:id="3468">
    <w:p w14:paraId="3A9E99BD" w14:textId="77777777" w:rsidR="00AB3647" w:rsidRDefault="00000000">
      <w:pPr>
        <w:spacing w:after="0" w:before="0"/>
        <w:jc w:val="both"/>
      </w:pPr>
      <w:r>
        <w:rPr>
          <w:sz w:val="20"/>
          <w:szCs w:val="20"/>
          <w:rtl/>
        </w:rPr>
        <w:footnoteRef/>
      </w:r>
      <w:r>
        <w:rPr>
          <w:sz w:val="20"/>
          <w:szCs w:val="20"/>
          <w:rtl/>
        </w:rPr>
        <w:t xml:space="preserve">. השווה להערה 103 לעיל: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היה אחד מאלה.</w:t>
      </w:r>
    </w:p>
  </w:footnote>
  <w:footnote w:id="3469">
    <w:p w14:paraId="717CB5A8" w14:textId="77777777" w:rsidR="00AB3647" w:rsidRDefault="00000000">
      <w:pPr>
        <w:spacing w:after="0" w:before="0"/>
        <w:jc w:val="both"/>
      </w:pPr>
      <w:r>
        <w:rPr>
          <w:sz w:val="20"/>
          <w:szCs w:val="20"/>
          <w:rtl/>
        </w:rPr>
        <w:footnoteRef/>
      </w:r>
      <w:r>
        <w:rPr>
          <w:sz w:val="20"/>
          <w:szCs w:val="20"/>
          <w:rtl/>
        </w:rPr>
        <w:t>. עמ׳ 138.</w:t>
      </w:r>
    </w:p>
  </w:footnote>
  <w:footnote w:id="3470">
    <w:p w14:paraId="5851F19B" w14:textId="77777777" w:rsidR="00AB3647" w:rsidRDefault="00000000">
      <w:pPr>
        <w:spacing w:after="0" w:before="0"/>
        <w:jc w:val="both"/>
      </w:pPr>
      <w:r>
        <w:rPr>
          <w:sz w:val="20"/>
          <w:szCs w:val="20"/>
          <w:rtl/>
        </w:rPr>
        <w:footnoteRef/>
      </w:r>
      <w:r>
        <w:rPr>
          <w:sz w:val="20"/>
          <w:szCs w:val="20"/>
          <w:rtl/>
        </w:rPr>
        <w:t>. השווה הערה 84 לעיל.</w:t>
      </w:r>
    </w:p>
  </w:footnote>
  <w:footnote w:id="3471">
    <w:p w14:paraId="5AAE9FA6" w14:textId="77777777" w:rsidR="00AB3647" w:rsidRDefault="00000000">
      <w:pPr>
        <w:spacing w:after="0" w:before="0"/>
        <w:jc w:val="both"/>
      </w:pPr>
      <w:r>
        <w:rPr>
          <w:sz w:val="20"/>
          <w:szCs w:val="20"/>
          <w:rtl/>
        </w:rPr>
        <w:footnoteRef/>
      </w:r>
      <w:r>
        <w:rPr>
          <w:sz w:val="20"/>
          <w:szCs w:val="20"/>
          <w:rtl/>
        </w:rPr>
        <w:t>. שם.</w:t>
      </w:r>
    </w:p>
  </w:footnote>
  <w:footnote w:id="3472">
    <w:p w14:paraId="782F830F" w14:textId="77777777" w:rsidR="00AB3647" w:rsidRDefault="00000000">
      <w:pPr>
        <w:spacing w:after="0" w:before="0"/>
        <w:jc w:val="both"/>
      </w:pPr>
      <w:r>
        <w:rPr>
          <w:sz w:val="20"/>
          <w:szCs w:val="20"/>
          <w:rtl/>
        </w:rPr>
        <w:footnoteRef/>
      </w:r>
      <w:r>
        <w:rPr>
          <w:sz w:val="20"/>
          <w:szCs w:val="20"/>
          <w:rtl/>
        </w:rPr>
        <w:t xml:space="preserve">. הרב </w:t>
      </w:r>
      <w:proofErr w:type="spellStart"/>
      <w:r>
        <w:rPr>
          <w:sz w:val="20"/>
          <w:szCs w:val="20"/>
          <w:rtl/>
        </w:rPr>
        <w:t>פויער</w:t>
      </w:r>
      <w:proofErr w:type="spellEnd"/>
      <w:r>
        <w:rPr>
          <w:sz w:val="20"/>
          <w:szCs w:val="20"/>
          <w:rtl/>
        </w:rPr>
        <w:t xml:space="preserve"> (פרק 1, הערה 32). המרואיין לא הבין כהלכה את דברי אבי באותה שעה, שהוא “לא למד </w:t>
      </w:r>
      <w:proofErr w:type="spellStart"/>
      <w:r>
        <w:rPr>
          <w:sz w:val="20"/>
          <w:szCs w:val="20"/>
          <w:rtl/>
        </w:rPr>
        <w:t>בטלז</w:t>
      </w:r>
      <w:proofErr w:type="spellEnd"/>
      <w:r>
        <w:rPr>
          <w:sz w:val="20"/>
          <w:szCs w:val="20"/>
          <w:rtl/>
        </w:rPr>
        <w:t xml:space="preserve">, אלא שמע את השיעור כשהזדמן לעבור שם”: אבי לא התכוון שהוא עבר </w:t>
      </w:r>
      <w:proofErr w:type="spellStart"/>
      <w:r>
        <w:rPr>
          <w:sz w:val="20"/>
          <w:szCs w:val="20"/>
          <w:rtl/>
        </w:rPr>
        <w:t>בטלז</w:t>
      </w:r>
      <w:proofErr w:type="spellEnd"/>
      <w:r>
        <w:rPr>
          <w:sz w:val="20"/>
          <w:szCs w:val="20"/>
          <w:rtl/>
        </w:rPr>
        <w:t xml:space="preserve">, אלא שר׳ לייזר עבר בקובנה. לרבנו לא היה מה לעשות </w:t>
      </w:r>
      <w:proofErr w:type="spellStart"/>
      <w:r>
        <w:rPr>
          <w:sz w:val="20"/>
          <w:szCs w:val="20"/>
          <w:rtl/>
        </w:rPr>
        <w:t>בטלז</w:t>
      </w:r>
      <w:proofErr w:type="spellEnd"/>
      <w:r>
        <w:rPr>
          <w:sz w:val="20"/>
          <w:szCs w:val="20"/>
          <w:rtl/>
        </w:rPr>
        <w:t xml:space="preserve"> (השווה הערה 86 לעיל), ואילו ר׳ לייזר ודאי ביקר בקובנה, כדברי ר׳ קופל </w:t>
      </w:r>
      <w:proofErr w:type="spellStart"/>
      <w:r>
        <w:rPr>
          <w:sz w:val="20"/>
          <w:szCs w:val="20"/>
          <w:rtl/>
        </w:rPr>
        <w:t>וולפרט</w:t>
      </w:r>
      <w:proofErr w:type="spellEnd"/>
      <w:r>
        <w:rPr>
          <w:sz w:val="20"/>
          <w:szCs w:val="20"/>
          <w:rtl/>
        </w:rPr>
        <w:t xml:space="preserve"> בראש נספח יא להלן. בפסקה האמצעית של סעיף זה השתמשתי בביטוי של אבי, “עבר שם”, כדי לתאר את עיסוקו של ר׳ לייזר בקובנה באותה שעה, בחורף תרס״ז. את מטרת נסיעתו, הנזכרת בראש נספח יא להלן, ייחסתי להקמת ארגון “כנסת ישראל” (הנזכר בהערה 102 לעיל), שאירעה בתקופה זו.</w:t>
      </w:r>
    </w:p>
  </w:footnote>
  <w:footnote w:id="3473">
    <w:p w14:paraId="51C3DBE5" w14:textId="77777777" w:rsidR="00AB3647" w:rsidRDefault="00000000">
      <w:pPr>
        <w:spacing w:after="0" w:before="0"/>
        <w:jc w:val="both"/>
      </w:pPr>
      <w:r>
        <w:rPr>
          <w:sz w:val="20"/>
          <w:szCs w:val="20"/>
          <w:rtl/>
        </w:rPr>
        <w:footnoteRef/>
      </w:r>
      <w:r>
        <w:rPr>
          <w:sz w:val="20"/>
          <w:szCs w:val="20"/>
          <w:rtl/>
        </w:rPr>
        <w:t>. השווה הערה 91 לעיל.</w:t>
      </w:r>
    </w:p>
  </w:footnote>
  <w:footnote w:id="3474">
    <w:p w14:paraId="61D7CD5C" w14:textId="77777777" w:rsidR="00AB3647" w:rsidRDefault="00000000">
      <w:pPr>
        <w:spacing w:after="0" w:before="0"/>
        <w:jc w:val="both"/>
      </w:pPr>
      <w:r>
        <w:rPr>
          <w:sz w:val="20"/>
          <w:szCs w:val="20"/>
          <w:rtl/>
        </w:rPr>
        <w:footnoteRef/>
      </w:r>
      <w:r>
        <w:rPr>
          <w:sz w:val="20"/>
          <w:szCs w:val="20"/>
          <w:rtl/>
        </w:rPr>
        <w:t>. הערה 110 לעיל – עמ׳ 72.</w:t>
      </w:r>
    </w:p>
  </w:footnote>
  <w:footnote w:id="3475">
    <w:p w14:paraId="2EEE3537" w14:textId="77777777" w:rsidR="00AB3647" w:rsidRDefault="00000000">
      <w:pPr>
        <w:spacing w:after="0" w:before="0"/>
        <w:jc w:val="both"/>
      </w:pPr>
      <w:r>
        <w:rPr>
          <w:sz w:val="20"/>
          <w:szCs w:val="20"/>
          <w:rtl/>
        </w:rPr>
        <w:footnoteRef/>
      </w:r>
      <w:r>
        <w:rPr>
          <w:sz w:val="20"/>
          <w:szCs w:val="20"/>
          <w:rtl/>
        </w:rPr>
        <w:t>. עמ׳ 44.</w:t>
      </w:r>
    </w:p>
  </w:footnote>
  <w:footnote w:id="3476">
    <w:p w14:paraId="037C3CF3" w14:textId="77777777" w:rsidR="00AB3647" w:rsidRDefault="00000000">
      <w:pPr>
        <w:spacing w:after="0" w:before="0"/>
        <w:jc w:val="both"/>
      </w:pPr>
      <w:r>
        <w:rPr>
          <w:sz w:val="20"/>
          <w:szCs w:val="20"/>
          <w:rtl/>
        </w:rPr>
        <w:footnoteRef/>
      </w:r>
      <w:r>
        <w:rPr>
          <w:sz w:val="20"/>
          <w:szCs w:val="20"/>
          <w:rtl/>
        </w:rPr>
        <w:t>. השווה הערה 121 לעיל.</w:t>
      </w:r>
    </w:p>
  </w:footnote>
  <w:footnote w:id="3477">
    <w:p w14:paraId="503AF212" w14:textId="77777777" w:rsidR="00AB3647" w:rsidRDefault="00000000">
      <w:pPr>
        <w:spacing w:after="0" w:before="0"/>
        <w:jc w:val="both"/>
      </w:pPr>
      <w:r>
        <w:rPr>
          <w:sz w:val="20"/>
          <w:szCs w:val="20"/>
          <w:rtl/>
        </w:rPr>
        <w:footnoteRef/>
      </w:r>
      <w:r>
        <w:rPr>
          <w:sz w:val="20"/>
          <w:szCs w:val="20"/>
          <w:rtl/>
        </w:rPr>
        <w:t xml:space="preserve">. עמ׳ 138–139. מחבר זה היה עוין </w:t>
      </w:r>
      <w:proofErr w:type="spellStart"/>
      <w:r>
        <w:rPr>
          <w:sz w:val="20"/>
          <w:szCs w:val="20"/>
          <w:rtl/>
        </w:rPr>
        <w:t>ל“מוסרניקים</w:t>
      </w:r>
      <w:proofErr w:type="spellEnd"/>
      <w:r>
        <w:rPr>
          <w:sz w:val="20"/>
          <w:szCs w:val="20"/>
          <w:rtl/>
        </w:rPr>
        <w:t>”; ראה הערה 121 לעיל.</w:t>
      </w:r>
    </w:p>
  </w:footnote>
  <w:footnote w:id="3478">
    <w:p w14:paraId="0065746F" w14:textId="77777777" w:rsidR="00AB3647" w:rsidRDefault="00000000">
      <w:pPr>
        <w:spacing w:after="0" w:before="0"/>
        <w:jc w:val="both"/>
      </w:pPr>
      <w:r>
        <w:rPr>
          <w:sz w:val="20"/>
          <w:szCs w:val="20"/>
          <w:rtl/>
        </w:rPr>
        <w:footnoteRef/>
      </w:r>
      <w:r>
        <w:rPr>
          <w:sz w:val="20"/>
          <w:szCs w:val="20"/>
          <w:rtl/>
        </w:rPr>
        <w:t xml:space="preserve">. השווה פרק 3, הערה 63, על דעת ר׳ אייזיק שר </w:t>
      </w:r>
      <w:proofErr w:type="spellStart"/>
      <w:r>
        <w:rPr>
          <w:sz w:val="20"/>
          <w:szCs w:val="20"/>
          <w:rtl/>
        </w:rPr>
        <w:t>והחזון־איש</w:t>
      </w:r>
      <w:proofErr w:type="spellEnd"/>
      <w:r>
        <w:rPr>
          <w:sz w:val="20"/>
          <w:szCs w:val="20"/>
          <w:rtl/>
        </w:rPr>
        <w:t xml:space="preserve"> בעניין צד זה של המוסר.</w:t>
      </w:r>
    </w:p>
  </w:footnote>
  <w:footnote w:id="3479">
    <w:p w14:paraId="4F307C46" w14:textId="77777777" w:rsidR="00AB3647" w:rsidRDefault="00000000">
      <w:pPr>
        <w:spacing w:after="0" w:before="0"/>
        <w:jc w:val="both"/>
      </w:pPr>
      <w:r>
        <w:rPr>
          <w:sz w:val="20"/>
          <w:szCs w:val="20"/>
          <w:rtl/>
        </w:rPr>
        <w:footnoteRef/>
      </w:r>
      <w:r>
        <w:rPr>
          <w:sz w:val="20"/>
          <w:szCs w:val="20"/>
          <w:rtl/>
        </w:rPr>
        <w:t xml:space="preserve">. “הדיוטים ופראים” </w:t>
      </w:r>
      <w:proofErr w:type="spellStart"/>
      <w:r>
        <w:rPr>
          <w:sz w:val="20"/>
          <w:szCs w:val="20"/>
          <w:rtl/>
        </w:rPr>
        <w:t>בשולמן</w:t>
      </w:r>
      <w:proofErr w:type="spellEnd"/>
      <w:r>
        <w:rPr>
          <w:sz w:val="20"/>
          <w:szCs w:val="20"/>
          <w:rtl/>
        </w:rPr>
        <w:t xml:space="preserve"> העברי; ביידיש שבה דיברו היה זה כנראה “</w:t>
      </w:r>
      <w:proofErr w:type="spellStart"/>
      <w:r>
        <w:rPr>
          <w:sz w:val="20"/>
          <w:szCs w:val="20"/>
          <w:rtl/>
        </w:rPr>
        <w:t>ווילדע</w:t>
      </w:r>
      <w:proofErr w:type="spellEnd"/>
      <w:r>
        <w:rPr>
          <w:sz w:val="20"/>
          <w:szCs w:val="20"/>
          <w:rtl/>
        </w:rPr>
        <w:t xml:space="preserve"> </w:t>
      </w:r>
      <w:proofErr w:type="spellStart"/>
      <w:r>
        <w:rPr>
          <w:sz w:val="20"/>
          <w:szCs w:val="20"/>
          <w:rtl/>
        </w:rPr>
        <w:t>פראסטאקעס</w:t>
      </w:r>
      <w:proofErr w:type="spellEnd"/>
      <w:r>
        <w:rPr>
          <w:sz w:val="20"/>
          <w:szCs w:val="20"/>
          <w:rtl/>
        </w:rPr>
        <w:t xml:space="preserve"> [פראי אדם גסים]”.</w:t>
      </w:r>
    </w:p>
  </w:footnote>
  <w:footnote w:id="3480">
    <w:p w14:paraId="121C5AE2" w14:textId="77777777" w:rsidR="00AB3647" w:rsidRDefault="00000000">
      <w:pPr>
        <w:spacing w:after="0" w:before="0"/>
        <w:jc w:val="both"/>
      </w:pPr>
      <w:r>
        <w:rPr>
          <w:sz w:val="20"/>
          <w:szCs w:val="20"/>
          <w:rtl/>
        </w:rPr>
        <w:footnoteRef/>
      </w:r>
      <w:r>
        <w:rPr>
          <w:sz w:val="20"/>
          <w:szCs w:val="20"/>
          <w:rtl/>
        </w:rPr>
        <w:t xml:space="preserve">. “פרחחים גסים” </w:t>
      </w:r>
      <w:proofErr w:type="spellStart"/>
      <w:r>
        <w:rPr>
          <w:sz w:val="20"/>
          <w:szCs w:val="20"/>
          <w:rtl/>
        </w:rPr>
        <w:t>בשולמן</w:t>
      </w:r>
      <w:proofErr w:type="spellEnd"/>
      <w:r>
        <w:rPr>
          <w:sz w:val="20"/>
          <w:szCs w:val="20"/>
          <w:rtl/>
        </w:rPr>
        <w:t>; ביידיש “</w:t>
      </w:r>
      <w:proofErr w:type="spellStart"/>
      <w:r>
        <w:rPr>
          <w:sz w:val="20"/>
          <w:szCs w:val="20"/>
          <w:rtl/>
        </w:rPr>
        <w:t>גראבע</w:t>
      </w:r>
      <w:proofErr w:type="spellEnd"/>
      <w:r>
        <w:rPr>
          <w:sz w:val="20"/>
          <w:szCs w:val="20"/>
          <w:rtl/>
        </w:rPr>
        <w:t xml:space="preserve"> </w:t>
      </w:r>
      <w:proofErr w:type="spellStart"/>
      <w:r>
        <w:rPr>
          <w:sz w:val="20"/>
          <w:szCs w:val="20"/>
          <w:rtl/>
        </w:rPr>
        <w:t>יונגען</w:t>
      </w:r>
      <w:proofErr w:type="spellEnd"/>
      <w:r>
        <w:rPr>
          <w:sz w:val="20"/>
          <w:szCs w:val="20"/>
          <w:rtl/>
        </w:rPr>
        <w:t xml:space="preserve"> [בחורים גסים]”.</w:t>
      </w:r>
    </w:p>
  </w:footnote>
  <w:footnote w:id="3481">
    <w:p w14:paraId="64D73C9B" w14:textId="77777777" w:rsidR="00AB3647" w:rsidRDefault="00000000">
      <w:pPr>
        <w:spacing w:after="0" w:before="0"/>
        <w:jc w:val="both"/>
      </w:pPr>
      <w:r>
        <w:rPr>
          <w:sz w:val="20"/>
          <w:szCs w:val="20"/>
          <w:rtl/>
        </w:rPr>
        <w:footnoteRef/>
      </w:r>
      <w:r>
        <w:rPr>
          <w:sz w:val="20"/>
          <w:szCs w:val="20"/>
          <w:rtl/>
        </w:rPr>
        <w:t xml:space="preserve">. נראה שאיום זה לא יצא לפועל; לפי הציטוט </w:t>
      </w:r>
      <w:proofErr w:type="spellStart"/>
      <w:r>
        <w:rPr>
          <w:sz w:val="20"/>
          <w:szCs w:val="20"/>
          <w:rtl/>
        </w:rPr>
        <w:t>משולמן</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pr_b_2399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להלן, “הבחורים הגדולים... שוחדו... בהבטחות לעתיד”, שלא יכלו לעמוד בפניהן.</w:t>
      </w:r>
    </w:p>
  </w:footnote>
  <w:footnote w:id="3482">
    <w:p w14:paraId="303D0277" w14:textId="77777777" w:rsidR="00AB3647" w:rsidRDefault="00000000">
      <w:pPr>
        <w:spacing w:after="0" w:before="0"/>
        <w:jc w:val="both"/>
      </w:pPr>
      <w:r>
        <w:rPr>
          <w:sz w:val="20"/>
          <w:szCs w:val="20"/>
          <w:rtl/>
        </w:rPr>
        <w:footnoteRef/>
      </w:r>
      <w:r>
        <w:rPr>
          <w:sz w:val="20"/>
          <w:szCs w:val="20"/>
          <w:rtl/>
        </w:rPr>
        <w:t>. עמ׳ 42.</w:t>
      </w:r>
    </w:p>
  </w:footnote>
  <w:footnote w:id="3483">
    <w:p w14:paraId="2F94683F" w14:textId="77777777" w:rsidR="00AB3647" w:rsidRDefault="00000000">
      <w:pPr>
        <w:spacing w:after="0" w:before="0"/>
        <w:jc w:val="both"/>
      </w:pPr>
      <w:r>
        <w:rPr>
          <w:sz w:val="20"/>
          <w:szCs w:val="20"/>
          <w:rtl/>
        </w:rPr>
        <w:footnoteRef/>
      </w:r>
      <w:r>
        <w:rPr>
          <w:sz w:val="20"/>
          <w:szCs w:val="20"/>
          <w:rtl/>
        </w:rPr>
        <w:t>. השווה נספח ד להלן.</w:t>
      </w:r>
    </w:p>
  </w:footnote>
  <w:footnote w:id="3484">
    <w:p w14:paraId="6B700AA2" w14:textId="77777777" w:rsidR="00AB3647" w:rsidRDefault="00000000">
      <w:pPr>
        <w:spacing w:after="0" w:before="0"/>
        <w:jc w:val="both"/>
      </w:pPr>
      <w:r>
        <w:rPr>
          <w:sz w:val="20"/>
          <w:szCs w:val="20"/>
          <w:rtl/>
        </w:rPr>
        <w:footnoteRef/>
      </w:r>
      <w:r>
        <w:rPr>
          <w:sz w:val="20"/>
          <w:szCs w:val="20"/>
          <w:rtl/>
        </w:rPr>
        <w:t xml:space="preserve">. נראה שהתכוון לכך שלבחורי </w:t>
      </w:r>
      <w:proofErr w:type="spellStart"/>
      <w:r>
        <w:rPr>
          <w:sz w:val="20"/>
          <w:szCs w:val="20"/>
          <w:rtl/>
        </w:rPr>
        <w:t>סלבודקה</w:t>
      </w:r>
      <w:proofErr w:type="spellEnd"/>
      <w:r>
        <w:rPr>
          <w:sz w:val="20"/>
          <w:szCs w:val="20"/>
          <w:rtl/>
        </w:rPr>
        <w:t xml:space="preserve"> לא היה קול של ממש בקביעת מדיניות הישיבה, מפני שהיו נתונים לגמרי להשפעת הסבא </w:t>
      </w:r>
      <w:proofErr w:type="spellStart"/>
      <w:r>
        <w:rPr>
          <w:sz w:val="20"/>
          <w:szCs w:val="20"/>
          <w:rtl/>
        </w:rPr>
        <w:t>מסלבודקה</w:t>
      </w:r>
      <w:proofErr w:type="spellEnd"/>
      <w:r>
        <w:rPr>
          <w:sz w:val="20"/>
          <w:szCs w:val="20"/>
          <w:rtl/>
        </w:rPr>
        <w:t>.</w:t>
      </w:r>
    </w:p>
  </w:footnote>
  <w:footnote w:id="3485">
    <w:p w14:paraId="4454C936" w14:textId="77777777" w:rsidR="00AB3647" w:rsidRDefault="00000000">
      <w:pPr>
        <w:spacing w:after="0" w:before="0"/>
        <w:jc w:val="both"/>
      </w:pPr>
      <w:r>
        <w:rPr>
          <w:sz w:val="20"/>
          <w:szCs w:val="20"/>
          <w:rtl/>
        </w:rPr>
        <w:footnoteRef/>
      </w:r>
      <w:r>
        <w:rPr>
          <w:sz w:val="20"/>
          <w:szCs w:val="20"/>
          <w:rtl/>
        </w:rPr>
        <w:t>. השווה גם הערה 103 לעיל.</w:t>
      </w:r>
    </w:p>
  </w:footnote>
  <w:footnote w:id="3486">
    <w:p w14:paraId="03B7E6E0" w14:textId="77777777" w:rsidR="00AB3647" w:rsidRDefault="00000000">
      <w:pPr>
        <w:spacing w:after="0" w:before="0"/>
        <w:jc w:val="both"/>
      </w:pPr>
      <w:r>
        <w:rPr>
          <w:sz w:val="20"/>
          <w:szCs w:val="20"/>
          <w:rtl/>
        </w:rPr>
        <w:footnoteRef/>
      </w:r>
      <w:r>
        <w:rPr>
          <w:sz w:val="20"/>
          <w:szCs w:val="20"/>
          <w:rtl/>
        </w:rPr>
        <w:t>. נספח ח להלן – עמ׳ 272.</w:t>
      </w:r>
    </w:p>
  </w:footnote>
  <w:footnote w:id="3487">
    <w:p w14:paraId="4120D313"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יז</w:t>
      </w:r>
      <w:proofErr w:type="spellEnd"/>
      <w:r>
        <w:rPr>
          <w:sz w:val="20"/>
          <w:szCs w:val="20"/>
          <w:rtl/>
        </w:rPr>
        <w:t>.</w:t>
      </w:r>
    </w:p>
  </w:footnote>
  <w:footnote w:id="3488">
    <w:p w14:paraId="234E667B" w14:textId="77777777" w:rsidR="00AB3647" w:rsidRDefault="00000000">
      <w:pPr>
        <w:spacing w:after="0" w:before="0"/>
        <w:jc w:val="both"/>
      </w:pPr>
      <w:r>
        <w:rPr>
          <w:sz w:val="20"/>
          <w:szCs w:val="20"/>
          <w:rtl/>
        </w:rPr>
        <w:footnoteRef/>
      </w:r>
      <w:r>
        <w:rPr>
          <w:sz w:val="20"/>
          <w:szCs w:val="20"/>
          <w:rtl/>
        </w:rPr>
        <w:t>. השווה הערה 106 לעיל.</w:t>
      </w:r>
    </w:p>
  </w:footnote>
  <w:footnote w:id="3489">
    <w:p w14:paraId="11BE49B7" w14:textId="77777777" w:rsidR="00AB3647" w:rsidRDefault="00000000">
      <w:pPr>
        <w:spacing w:after="0" w:before="0"/>
        <w:jc w:val="both"/>
      </w:pPr>
      <w:r>
        <w:rPr>
          <w:sz w:val="20"/>
          <w:szCs w:val="20"/>
          <w:rtl/>
        </w:rPr>
        <w:footnoteRef/>
      </w:r>
      <w:r>
        <w:rPr>
          <w:sz w:val="20"/>
          <w:szCs w:val="20"/>
          <w:rtl/>
        </w:rPr>
        <w:t>. נספח ט להלן – כרך א, עמ׳ 193.</w:t>
      </w:r>
    </w:p>
  </w:footnote>
  <w:footnote w:id="3490">
    <w:p w14:paraId="4C1E9A77" w14:textId="77777777" w:rsidR="00AB3647" w:rsidRDefault="00000000">
      <w:pPr>
        <w:spacing w:after="0" w:before="0"/>
        <w:jc w:val="both"/>
      </w:pPr>
      <w:r>
        <w:rPr>
          <w:sz w:val="20"/>
          <w:szCs w:val="20"/>
          <w:rtl/>
        </w:rPr>
        <w:footnoteRef/>
      </w:r>
      <w:r>
        <w:rPr>
          <w:sz w:val="20"/>
          <w:szCs w:val="20"/>
          <w:rtl/>
        </w:rPr>
        <w:t>. הסיבה המשוערת לכך שאין מייחסים אף אחת משלוש התכונות הללו לגויים מבוגרים היא דברי התלמוד (קידושין לג ע״א), המחייבים לנהוג כבוד בגוי זקן – לפי דעה אחת שם, באותה הקפדה שבה מכבדים תלמיד חכם מישראל – מפני שניסיון החיים החכים אותו והקנה לו מידה של דתיות וכבוד לבריות.</w:t>
      </w:r>
    </w:p>
  </w:footnote>
  <w:footnote w:id="3491">
    <w:p w14:paraId="4D18AEC8" w14:textId="77777777" w:rsidR="00AB3647" w:rsidRDefault="00000000">
      <w:pPr>
        <w:spacing w:after="0" w:before="0"/>
        <w:jc w:val="both"/>
      </w:pPr>
      <w:r>
        <w:rPr>
          <w:sz w:val="20"/>
          <w:szCs w:val="20"/>
          <w:rtl/>
        </w:rPr>
        <w:footnoteRef/>
      </w:r>
      <w:r>
        <w:rPr>
          <w:sz w:val="20"/>
          <w:szCs w:val="20"/>
          <w:rtl/>
        </w:rPr>
        <w:t>. הפסקה השנייה של נספח ב להלן – עמ׳ 431.</w:t>
      </w:r>
    </w:p>
  </w:footnote>
  <w:footnote w:id="3492">
    <w:p w14:paraId="46F6098B" w14:textId="77777777" w:rsidR="00AB3647" w:rsidRDefault="00000000">
      <w:pPr>
        <w:spacing w:after="0" w:before="0"/>
        <w:jc w:val="both"/>
      </w:pPr>
      <w:r>
        <w:rPr>
          <w:sz w:val="20"/>
          <w:szCs w:val="20"/>
          <w:rtl/>
        </w:rPr>
        <w:footnoteRef/>
      </w:r>
      <w:r>
        <w:rPr>
          <w:sz w:val="20"/>
          <w:szCs w:val="20"/>
          <w:rtl/>
        </w:rPr>
        <w:t xml:space="preserve">. ראה הפסקה השנייה בהערה 119 לעיל, על התפשטותה לישיבת </w:t>
      </w:r>
      <w:proofErr w:type="spellStart"/>
      <w:r>
        <w:rPr>
          <w:sz w:val="20"/>
          <w:szCs w:val="20"/>
          <w:rtl/>
        </w:rPr>
        <w:t>טלז</w:t>
      </w:r>
      <w:proofErr w:type="spellEnd"/>
      <w:r>
        <w:rPr>
          <w:sz w:val="20"/>
          <w:szCs w:val="20"/>
          <w:rtl/>
        </w:rPr>
        <w:t xml:space="preserve"> ואחר כך </w:t>
      </w:r>
      <w:proofErr w:type="spellStart"/>
      <w:r>
        <w:rPr>
          <w:sz w:val="20"/>
          <w:szCs w:val="20"/>
          <w:rtl/>
        </w:rPr>
        <w:t>לסלבודקה</w:t>
      </w:r>
      <w:proofErr w:type="spellEnd"/>
      <w:r>
        <w:rPr>
          <w:sz w:val="20"/>
          <w:szCs w:val="20"/>
          <w:rtl/>
        </w:rPr>
        <w:t>.</w:t>
      </w:r>
    </w:p>
  </w:footnote>
  <w:footnote w:id="3493">
    <w:p w14:paraId="67D8FFFF" w14:textId="77777777" w:rsidR="00AB3647" w:rsidRDefault="00000000">
      <w:pPr>
        <w:spacing w:after="0" w:before="0"/>
        <w:jc w:val="both"/>
      </w:pPr>
      <w:r>
        <w:rPr>
          <w:sz w:val="20"/>
          <w:szCs w:val="20"/>
          <w:rtl/>
        </w:rPr>
        <w:footnoteRef/>
      </w:r>
      <w:r>
        <w:rPr>
          <w:sz w:val="20"/>
          <w:szCs w:val="20"/>
          <w:rtl/>
        </w:rPr>
        <w:t xml:space="preserve">. זוהי ביוגרפיה של ר׳ </w:t>
      </w:r>
      <w:proofErr w:type="spellStart"/>
      <w:r>
        <w:rPr>
          <w:sz w:val="20"/>
          <w:szCs w:val="20"/>
          <w:rtl/>
        </w:rPr>
        <w:t>צבי־פסח</w:t>
      </w:r>
      <w:proofErr w:type="spellEnd"/>
      <w:r>
        <w:rPr>
          <w:sz w:val="20"/>
          <w:szCs w:val="20"/>
          <w:rtl/>
        </w:rPr>
        <w:t xml:space="preserve"> פרנק, המצורפת </w:t>
      </w:r>
      <w:proofErr w:type="spellStart"/>
      <w:r>
        <w:rPr>
          <w:sz w:val="20"/>
          <w:szCs w:val="20"/>
          <w:rtl/>
        </w:rPr>
        <w:t>ל“הצבי</w:t>
      </w:r>
      <w:proofErr w:type="spellEnd"/>
      <w:r>
        <w:rPr>
          <w:sz w:val="20"/>
          <w:szCs w:val="20"/>
          <w:rtl/>
        </w:rPr>
        <w:t xml:space="preserve"> ישראל” (מכון הרב פרנק, ירושלם, תשל״א) – עמ׳ ט.</w:t>
      </w:r>
    </w:p>
  </w:footnote>
  <w:footnote w:id="3494">
    <w:p w14:paraId="0AE1C610" w14:textId="77777777" w:rsidR="00AB3647" w:rsidRDefault="00000000">
      <w:pPr>
        <w:spacing w:after="0" w:before="0"/>
        <w:jc w:val="both"/>
      </w:pPr>
      <w:r>
        <w:rPr>
          <w:sz w:val="20"/>
          <w:szCs w:val="20"/>
          <w:rtl/>
        </w:rPr>
        <w:footnoteRef/>
      </w:r>
      <w:r>
        <w:rPr>
          <w:sz w:val="20"/>
          <w:szCs w:val="20"/>
          <w:rtl/>
        </w:rPr>
        <w:t>. השווה גם הערה 127 לעיל.</w:t>
      </w:r>
    </w:p>
  </w:footnote>
  <w:footnote w:id="3495">
    <w:p w14:paraId="127800EC" w14:textId="77777777" w:rsidR="00AB3647" w:rsidRDefault="00000000">
      <w:pPr>
        <w:spacing w:after="0" w:before="0"/>
        <w:jc w:val="both"/>
      </w:pPr>
      <w:r>
        <w:rPr>
          <w:sz w:val="20"/>
          <w:szCs w:val="20"/>
          <w:rtl/>
        </w:rPr>
        <w:footnoteRef/>
      </w:r>
      <w:r>
        <w:rPr>
          <w:sz w:val="20"/>
          <w:szCs w:val="20"/>
          <w:rtl/>
        </w:rPr>
        <w:t>. ריאיון מ־25 בספטמבר 1992.</w:t>
      </w:r>
    </w:p>
  </w:footnote>
  <w:footnote w:id="3496">
    <w:p w14:paraId="20C81E8D" w14:textId="77777777" w:rsidR="00AB3647" w:rsidRDefault="00000000">
      <w:pPr>
        <w:spacing w:after="0" w:before="0"/>
        <w:jc w:val="both"/>
      </w:pPr>
      <w:r>
        <w:rPr>
          <w:sz w:val="20"/>
          <w:szCs w:val="20"/>
          <w:rtl/>
        </w:rPr>
        <w:footnoteRef/>
      </w:r>
      <w:r>
        <w:rPr>
          <w:sz w:val="20"/>
          <w:szCs w:val="20"/>
          <w:rtl/>
        </w:rPr>
        <w:t>. סיפר צאצא של הרב שניידר.</w:t>
      </w:r>
    </w:p>
  </w:footnote>
  <w:footnote w:id="3497">
    <w:p w14:paraId="3848BF45" w14:textId="77777777" w:rsidR="00AB3647" w:rsidRDefault="00000000">
      <w:pPr>
        <w:spacing w:after="0" w:before="0"/>
        <w:jc w:val="both"/>
      </w:pPr>
      <w:r>
        <w:rPr>
          <w:sz w:val="20"/>
          <w:szCs w:val="20"/>
          <w:rtl/>
        </w:rPr>
        <w:footnoteRef/>
      </w:r>
      <w:r>
        <w:rPr>
          <w:sz w:val="20"/>
          <w:szCs w:val="20"/>
          <w:rtl/>
        </w:rPr>
        <w:t>. ריאיון מ־10 ביוני 1999.</w:t>
      </w:r>
    </w:p>
  </w:footnote>
  <w:footnote w:id="3498">
    <w:p w14:paraId="59DE8ECF" w14:textId="77777777" w:rsidR="00AB3647" w:rsidRDefault="00000000">
      <w:pPr>
        <w:spacing w:after="0" w:before="0"/>
        <w:jc w:val="both"/>
      </w:pPr>
      <w:r>
        <w:rPr>
          <w:sz w:val="20"/>
          <w:szCs w:val="20"/>
          <w:rtl/>
        </w:rPr>
        <w:footnoteRef/>
      </w:r>
      <w:r>
        <w:rPr>
          <w:sz w:val="20"/>
          <w:szCs w:val="20"/>
          <w:rtl/>
        </w:rPr>
        <w:t xml:space="preserve">. סי׳ קמו, המובא </w:t>
      </w:r>
      <w:proofErr w:type="spellStart"/>
      <w:r>
        <w:rPr>
          <w:sz w:val="20"/>
          <w:szCs w:val="20"/>
          <w:rtl/>
        </w:rPr>
        <w:t>בסמ״ע</w:t>
      </w:r>
      <w:proofErr w:type="spellEnd"/>
      <w:r>
        <w:rPr>
          <w:sz w:val="20"/>
          <w:szCs w:val="20"/>
          <w:rtl/>
        </w:rPr>
        <w:t xml:space="preserve">, חושן משפט, סימן ג, </w:t>
      </w:r>
      <w:proofErr w:type="spellStart"/>
      <w:r>
        <w:rPr>
          <w:sz w:val="20"/>
          <w:szCs w:val="20"/>
          <w:rtl/>
        </w:rPr>
        <w:t>ס״ק</w:t>
      </w:r>
      <w:proofErr w:type="spellEnd"/>
      <w:r>
        <w:rPr>
          <w:sz w:val="20"/>
          <w:szCs w:val="20"/>
          <w:rtl/>
        </w:rPr>
        <w:t xml:space="preserve"> </w:t>
      </w:r>
      <w:proofErr w:type="spellStart"/>
      <w:r>
        <w:rPr>
          <w:sz w:val="20"/>
          <w:szCs w:val="20"/>
          <w:rtl/>
        </w:rPr>
        <w:t>יג</w:t>
      </w:r>
      <w:proofErr w:type="spellEnd"/>
      <w:r>
        <w:rPr>
          <w:sz w:val="20"/>
          <w:szCs w:val="20"/>
          <w:rtl/>
        </w:rPr>
        <w:t>.</w:t>
      </w:r>
    </w:p>
  </w:footnote>
  <w:footnote w:id="3499">
    <w:p w14:paraId="4A1985BF" w14:textId="77777777" w:rsidR="00AB3647" w:rsidRDefault="00000000">
      <w:pPr>
        <w:spacing w:after="0" w:before="0"/>
        <w:jc w:val="both"/>
      </w:pPr>
      <w:r>
        <w:rPr>
          <w:sz w:val="20"/>
          <w:szCs w:val="20"/>
          <w:rtl/>
        </w:rPr>
        <w:footnoteRef/>
      </w:r>
      <w:r>
        <w:rPr>
          <w:sz w:val="20"/>
          <w:szCs w:val="20"/>
          <w:rtl/>
        </w:rPr>
        <w:t xml:space="preserve">. הביטוי הרווח לרעיון זה, “דעת </w:t>
      </w:r>
      <w:proofErr w:type="spellStart"/>
      <w:r>
        <w:rPr>
          <w:sz w:val="20"/>
          <w:szCs w:val="20"/>
          <w:rtl/>
        </w:rPr>
        <w:t>בעלי־בתים</w:t>
      </w:r>
      <w:proofErr w:type="spellEnd"/>
      <w:r>
        <w:rPr>
          <w:sz w:val="20"/>
          <w:szCs w:val="20"/>
          <w:rtl/>
        </w:rPr>
        <w:t xml:space="preserve"> הפך דעת תורה”, נראה כציטוט שאינו מדויק.</w:t>
      </w:r>
    </w:p>
  </w:footnote>
  <w:footnote w:id="3500">
    <w:p w14:paraId="502CD577" w14:textId="77777777" w:rsidR="00AB3647" w:rsidRDefault="00000000">
      <w:pPr>
        <w:spacing w:after="0" w:before="0"/>
        <w:jc w:val="both"/>
      </w:pPr>
      <w:r>
        <w:rPr>
          <w:sz w:val="20"/>
          <w:szCs w:val="20"/>
          <w:rtl/>
        </w:rPr>
        <w:footnoteRef/>
      </w:r>
      <w:r>
        <w:rPr>
          <w:sz w:val="20"/>
          <w:szCs w:val="20"/>
          <w:rtl/>
        </w:rPr>
        <w:t>. ריאיון מ־19 בינואר 1996.</w:t>
      </w:r>
    </w:p>
  </w:footnote>
  <w:footnote w:id="3501">
    <w:p w14:paraId="63061157" w14:textId="77777777" w:rsidR="00AB3647" w:rsidRDefault="00000000">
      <w:pPr>
        <w:spacing w:after="0" w:before="0"/>
        <w:jc w:val="both"/>
      </w:pPr>
      <w:r>
        <w:rPr>
          <w:sz w:val="20"/>
          <w:szCs w:val="20"/>
          <w:rtl/>
        </w:rPr>
        <w:footnoteRef/>
      </w:r>
      <w:r>
        <w:rPr>
          <w:sz w:val="20"/>
          <w:szCs w:val="20"/>
          <w:rtl/>
        </w:rPr>
        <w:t xml:space="preserve">. מצאתי ראיה שלא היה זה סיפור </w:t>
      </w:r>
      <w:proofErr w:type="spellStart"/>
      <w:r>
        <w:rPr>
          <w:sz w:val="20"/>
          <w:szCs w:val="20"/>
          <w:rtl/>
        </w:rPr>
        <w:t>בלתי־מבוסס</w:t>
      </w:r>
      <w:proofErr w:type="spellEnd"/>
      <w:r>
        <w:rPr>
          <w:sz w:val="20"/>
          <w:szCs w:val="20"/>
          <w:rtl/>
        </w:rPr>
        <w:t xml:space="preserve">. </w:t>
      </w:r>
      <w:proofErr w:type="spellStart"/>
      <w:r>
        <w:rPr>
          <w:sz w:val="20"/>
          <w:szCs w:val="20"/>
          <w:rtl/>
        </w:rPr>
        <w:t>ב“דברי</w:t>
      </w:r>
      <w:proofErr w:type="spellEnd"/>
      <w:r>
        <w:rPr>
          <w:sz w:val="20"/>
          <w:szCs w:val="20"/>
          <w:rtl/>
        </w:rPr>
        <w:t xml:space="preserve"> ישראל” (לובלין, תרס״א), בחלק הנקרא “כללי דאורייתא”, עמ׳ טו, נאמר: “מה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כשאדם אינו יודע עצה איך יעשה </w:t>
      </w:r>
      <w:proofErr w:type="spellStart"/>
      <w:r>
        <w:rPr>
          <w:sz w:val="20"/>
          <w:szCs w:val="20"/>
          <w:rtl/>
        </w:rPr>
        <w:t>ישאול</w:t>
      </w:r>
      <w:proofErr w:type="spellEnd"/>
      <w:r>
        <w:rPr>
          <w:sz w:val="20"/>
          <w:szCs w:val="20"/>
          <w:rtl/>
        </w:rPr>
        <w:t xml:space="preserve"> דעת בעל הבית וכפי שיאמר </w:t>
      </w:r>
      <w:proofErr w:type="spellStart"/>
      <w:r>
        <w:rPr>
          <w:sz w:val="20"/>
          <w:szCs w:val="20"/>
          <w:rtl/>
        </w:rPr>
        <w:t>הבעה״ב</w:t>
      </w:r>
      <w:proofErr w:type="spellEnd"/>
      <w:r>
        <w:rPr>
          <w:sz w:val="20"/>
          <w:szCs w:val="20"/>
          <w:rtl/>
        </w:rPr>
        <w:t xml:space="preserve"> יעשה בהיפך. אמר </w:t>
      </w:r>
      <w:proofErr w:type="spellStart"/>
      <w:r>
        <w:rPr>
          <w:sz w:val="20"/>
          <w:szCs w:val="20"/>
          <w:rtl/>
        </w:rPr>
        <w:t>אא״ז</w:t>
      </w:r>
      <w:proofErr w:type="spellEnd"/>
      <w:r>
        <w:rPr>
          <w:sz w:val="20"/>
          <w:szCs w:val="20"/>
          <w:rtl/>
        </w:rPr>
        <w:t xml:space="preserve"> [של ר׳ ישראל </w:t>
      </w:r>
      <w:proofErr w:type="spellStart"/>
      <w:r>
        <w:rPr>
          <w:sz w:val="20"/>
          <w:szCs w:val="20"/>
          <w:rtl/>
        </w:rPr>
        <w:t>ממודז׳יץ</w:t>
      </w:r>
      <w:proofErr w:type="spellEnd"/>
      <w:r>
        <w:rPr>
          <w:sz w:val="20"/>
          <w:szCs w:val="20"/>
          <w:rtl/>
        </w:rPr>
        <w:t xml:space="preserve">] [ר׳ יחזקאל </w:t>
      </w:r>
      <w:proofErr w:type="spellStart"/>
      <w:r>
        <w:rPr>
          <w:sz w:val="20"/>
          <w:szCs w:val="20"/>
          <w:rtl/>
        </w:rPr>
        <w:t>מקוזמיר</w:t>
      </w:r>
      <w:proofErr w:type="spellEnd"/>
      <w:r>
        <w:rPr>
          <w:sz w:val="20"/>
          <w:szCs w:val="20"/>
          <w:rtl/>
        </w:rPr>
        <w:t xml:space="preserve">] זצוק״ל הרי היא משנה מפורשת. (וז״ל המשנה בקידושין ס״ד ע״ב, המקדש את בתו סתם אין הבוגרת בכלל ע״כ והנה אם נשאל בעל הבית בר דעת בוודאי יאמר בהפך, אדרבה את הבוגרת </w:t>
      </w:r>
      <w:proofErr w:type="spellStart"/>
      <w:r>
        <w:rPr>
          <w:sz w:val="20"/>
          <w:szCs w:val="20"/>
          <w:rtl/>
        </w:rPr>
        <w:t>דוקא</w:t>
      </w:r>
      <w:proofErr w:type="spellEnd"/>
      <w:r>
        <w:rPr>
          <w:sz w:val="20"/>
          <w:szCs w:val="20"/>
          <w:rtl/>
        </w:rPr>
        <w:t xml:space="preserve"> קידש כמובן, הרי שכפי דעת בעה״ב נהפוך הוא.)” ועיין </w:t>
      </w:r>
      <w:proofErr w:type="spellStart"/>
      <w:r>
        <w:rPr>
          <w:sz w:val="20"/>
          <w:szCs w:val="20"/>
          <w:rtl/>
        </w:rPr>
        <w:t>בחידו״ת</w:t>
      </w:r>
      <w:proofErr w:type="spellEnd"/>
      <w:r>
        <w:rPr>
          <w:sz w:val="20"/>
          <w:szCs w:val="20"/>
          <w:rtl/>
        </w:rPr>
        <w:t xml:space="preserve"> של בעל דברי ישראל פ׳ בא שפי׳ בדרך צחות את דברי </w:t>
      </w:r>
      <w:proofErr w:type="spellStart"/>
      <w:r>
        <w:rPr>
          <w:sz w:val="20"/>
          <w:szCs w:val="20"/>
          <w:rtl/>
        </w:rPr>
        <w:t>מרע״ה</w:t>
      </w:r>
      <w:proofErr w:type="spellEnd"/>
      <w:r>
        <w:rPr>
          <w:sz w:val="20"/>
          <w:szCs w:val="20"/>
          <w:rtl/>
        </w:rPr>
        <w:t xml:space="preserve"> אחרי שפרעה אמר “רק צאנכם </w:t>
      </w:r>
      <w:proofErr w:type="spellStart"/>
      <w:r>
        <w:rPr>
          <w:sz w:val="20"/>
          <w:szCs w:val="20"/>
          <w:rtl/>
        </w:rPr>
        <w:t>ובקרכם</w:t>
      </w:r>
      <w:proofErr w:type="spellEnd"/>
      <w:r>
        <w:rPr>
          <w:sz w:val="20"/>
          <w:szCs w:val="20"/>
          <w:rtl/>
        </w:rPr>
        <w:t xml:space="preserve"> יוצג” ומשה אמר בהיפך מקצה לקצה “גם אתה </w:t>
      </w:r>
      <w:proofErr w:type="spellStart"/>
      <w:r>
        <w:rPr>
          <w:sz w:val="20"/>
          <w:szCs w:val="20"/>
          <w:rtl/>
        </w:rPr>
        <w:t>תתן</w:t>
      </w:r>
      <w:proofErr w:type="spellEnd"/>
      <w:r>
        <w:rPr>
          <w:sz w:val="20"/>
          <w:szCs w:val="20"/>
          <w:rtl/>
        </w:rPr>
        <w:t xml:space="preserve"> </w:t>
      </w:r>
      <w:proofErr w:type="spellStart"/>
      <w:r>
        <w:rPr>
          <w:sz w:val="20"/>
          <w:szCs w:val="20"/>
          <w:rtl/>
        </w:rPr>
        <w:t>וכו</w:t>
      </w:r>
      <w:proofErr w:type="spellEnd"/>
      <w:r>
        <w:rPr>
          <w:sz w:val="20"/>
          <w:szCs w:val="20"/>
          <w:rtl/>
        </w:rPr>
        <w:t xml:space="preserve">׳”, כי ידוע שהתורה היא עצה </w:t>
      </w:r>
      <w:proofErr w:type="spellStart"/>
      <w:r>
        <w:rPr>
          <w:sz w:val="20"/>
          <w:szCs w:val="20"/>
          <w:rtl/>
        </w:rPr>
        <w:t>ותושיה</w:t>
      </w:r>
      <w:proofErr w:type="spellEnd"/>
      <w:r>
        <w:rPr>
          <w:sz w:val="20"/>
          <w:szCs w:val="20"/>
          <w:rtl/>
        </w:rPr>
        <w:t xml:space="preserve">, אמנם בגלות מצרים היה עדיין קודם מתן תורה וגם הדעת </w:t>
      </w:r>
      <w:proofErr w:type="spellStart"/>
      <w:r>
        <w:rPr>
          <w:sz w:val="20"/>
          <w:szCs w:val="20"/>
          <w:rtl/>
        </w:rPr>
        <w:t>היתה</w:t>
      </w:r>
      <w:proofErr w:type="spellEnd"/>
      <w:r>
        <w:rPr>
          <w:sz w:val="20"/>
          <w:szCs w:val="20"/>
          <w:rtl/>
        </w:rPr>
        <w:t xml:space="preserve"> בגלות כידוע, ולא ידעו עצה איך לעשות, רק זאת ידעו שכפי אשר יאמר להם פרעה ומצרים, יעשו הם </w:t>
      </w:r>
      <w:proofErr w:type="spellStart"/>
      <w:r>
        <w:rPr>
          <w:sz w:val="20"/>
          <w:szCs w:val="20"/>
          <w:rtl/>
        </w:rPr>
        <w:t>הכל</w:t>
      </w:r>
      <w:proofErr w:type="spellEnd"/>
      <w:r>
        <w:rPr>
          <w:sz w:val="20"/>
          <w:szCs w:val="20"/>
          <w:rtl/>
        </w:rPr>
        <w:t xml:space="preserve"> בהיפך, וזהו כשאמר פרעה “רק צאנכם </w:t>
      </w:r>
      <w:proofErr w:type="spellStart"/>
      <w:r>
        <w:rPr>
          <w:sz w:val="20"/>
          <w:szCs w:val="20"/>
          <w:rtl/>
        </w:rPr>
        <w:t>ובקרכם</w:t>
      </w:r>
      <w:proofErr w:type="spellEnd"/>
      <w:r>
        <w:rPr>
          <w:sz w:val="20"/>
          <w:szCs w:val="20"/>
          <w:rtl/>
        </w:rPr>
        <w:t xml:space="preserve"> יוצג” השיב משה בהיפך מקצה לקצה “גם אתה </w:t>
      </w:r>
      <w:proofErr w:type="spellStart"/>
      <w:r>
        <w:rPr>
          <w:sz w:val="20"/>
          <w:szCs w:val="20"/>
          <w:rtl/>
        </w:rPr>
        <w:t>תתן</w:t>
      </w:r>
      <w:proofErr w:type="spellEnd"/>
      <w:r>
        <w:rPr>
          <w:sz w:val="20"/>
          <w:szCs w:val="20"/>
          <w:rtl/>
        </w:rPr>
        <w:t xml:space="preserve"> וגם מקננו ילך כי ממנו ניקח לעבוד” פי׳ כי מזה שאתה אומר לעשות כך </w:t>
      </w:r>
      <w:proofErr w:type="spellStart"/>
      <w:r>
        <w:rPr>
          <w:sz w:val="20"/>
          <w:szCs w:val="20"/>
          <w:rtl/>
        </w:rPr>
        <w:t>נקח</w:t>
      </w:r>
      <w:proofErr w:type="spellEnd"/>
      <w:r>
        <w:rPr>
          <w:sz w:val="20"/>
          <w:szCs w:val="20"/>
          <w:rtl/>
        </w:rPr>
        <w:t xml:space="preserve"> עצה לעבוד ולעשות בהיפך, </w:t>
      </w:r>
      <w:proofErr w:type="spellStart"/>
      <w:r>
        <w:rPr>
          <w:sz w:val="20"/>
          <w:szCs w:val="20"/>
          <w:rtl/>
        </w:rPr>
        <w:t>וז״ש</w:t>
      </w:r>
      <w:proofErr w:type="spellEnd"/>
      <w:r>
        <w:rPr>
          <w:sz w:val="20"/>
          <w:szCs w:val="20"/>
          <w:rtl/>
        </w:rPr>
        <w:t xml:space="preserve"> “ואנחנו לא נדע מה נעבד עד בואנו שמה” פירושו ואנחנו לא נדע עצה מה לעבד ולעשות עד בואנו שמה, (היינו, למתן תורה, </w:t>
      </w:r>
      <w:proofErr w:type="spellStart"/>
      <w:r>
        <w:rPr>
          <w:sz w:val="20"/>
          <w:szCs w:val="20"/>
          <w:rtl/>
        </w:rPr>
        <w:t>ולעת־עתה</w:t>
      </w:r>
      <w:proofErr w:type="spellEnd"/>
      <w:r>
        <w:rPr>
          <w:sz w:val="20"/>
          <w:szCs w:val="20"/>
          <w:rtl/>
        </w:rPr>
        <w:t xml:space="preserve"> עצה זו ידענו שכל מה שאתה אומר, לעשות בהיפך מִקָצֶה לְקָצֶה).</w:t>
      </w:r>
    </w:p>
  </w:footnote>
  <w:footnote w:id="3502">
    <w:p w14:paraId="7AD43202" w14:textId="77777777" w:rsidR="00AB3647" w:rsidRDefault="00000000">
      <w:pPr>
        <w:spacing w:after="0" w:before="0"/>
        <w:jc w:val="both"/>
      </w:pPr>
      <w:r>
        <w:rPr>
          <w:sz w:val="20"/>
          <w:szCs w:val="20"/>
          <w:rtl/>
        </w:rPr>
        <w:footnoteRef/>
      </w:r>
      <w:r>
        <w:rPr>
          <w:sz w:val="20"/>
          <w:szCs w:val="20"/>
          <w:rtl/>
        </w:rPr>
        <w:t xml:space="preserve">. הפסקה השנייה של נספח ב להלן – </w:t>
      </w:r>
      <w:proofErr w:type="spellStart"/>
      <w:r>
        <w:rPr>
          <w:sz w:val="20"/>
          <w:szCs w:val="20"/>
          <w:rtl/>
        </w:rPr>
        <w:t>ח״ב</w:t>
      </w:r>
      <w:proofErr w:type="spellEnd"/>
      <w:r>
        <w:rPr>
          <w:sz w:val="20"/>
          <w:szCs w:val="20"/>
          <w:rtl/>
        </w:rPr>
        <w:t xml:space="preserve">, עמ׳ </w:t>
      </w:r>
      <w:proofErr w:type="spellStart"/>
      <w:r>
        <w:rPr>
          <w:sz w:val="20"/>
          <w:szCs w:val="20"/>
          <w:rtl/>
        </w:rPr>
        <w:t>קעב</w:t>
      </w:r>
      <w:proofErr w:type="spellEnd"/>
      <w:r>
        <w:rPr>
          <w:sz w:val="20"/>
          <w:szCs w:val="20"/>
          <w:rtl/>
        </w:rPr>
        <w:t>.</w:t>
      </w:r>
    </w:p>
  </w:footnote>
  <w:footnote w:id="3503">
    <w:p w14:paraId="398F7D26" w14:textId="77777777" w:rsidR="00AB3647" w:rsidRDefault="00000000">
      <w:pPr>
        <w:spacing w:after="0" w:before="0"/>
        <w:jc w:val="both"/>
      </w:pPr>
      <w:r>
        <w:rPr>
          <w:sz w:val="20"/>
          <w:szCs w:val="20"/>
          <w:rtl/>
        </w:rPr>
        <w:footnoteRef/>
      </w:r>
      <w:r>
        <w:rPr>
          <w:sz w:val="20"/>
          <w:szCs w:val="20"/>
          <w:rtl/>
        </w:rPr>
        <w:t xml:space="preserve">. שם, פרק 3, נספח ח – עמ׳ </w:t>
      </w:r>
      <w:proofErr w:type="spellStart"/>
      <w:r>
        <w:rPr>
          <w:sz w:val="20"/>
          <w:szCs w:val="20"/>
          <w:rtl/>
        </w:rPr>
        <w:t>קסז</w:t>
      </w:r>
      <w:proofErr w:type="spellEnd"/>
      <w:r>
        <w:rPr>
          <w:sz w:val="20"/>
          <w:szCs w:val="20"/>
          <w:rtl/>
        </w:rPr>
        <w:t>.</w:t>
      </w:r>
    </w:p>
  </w:footnote>
  <w:footnote w:id="3504">
    <w:p w14:paraId="50C0EF8C" w14:textId="77777777" w:rsidR="00AB3647" w:rsidRDefault="00000000">
      <w:pPr>
        <w:spacing w:after="0" w:before="0"/>
        <w:jc w:val="both"/>
      </w:pPr>
      <w:r>
        <w:rPr>
          <w:sz w:val="20"/>
          <w:szCs w:val="20"/>
          <w:rtl/>
        </w:rPr>
        <w:footnoteRef/>
      </w:r>
      <w:r>
        <w:rPr>
          <w:sz w:val="20"/>
          <w:szCs w:val="20"/>
          <w:rtl/>
        </w:rPr>
        <w:t>. ריאיון מ־12 באפריל 2000.</w:t>
      </w:r>
    </w:p>
  </w:footnote>
  <w:footnote w:id="3505">
    <w:p w14:paraId="14B2B869" w14:textId="77777777" w:rsidR="00AB3647" w:rsidRDefault="00000000">
      <w:pPr>
        <w:spacing w:after="0" w:before="0"/>
        <w:jc w:val="both"/>
      </w:pPr>
      <w:r>
        <w:rPr>
          <w:sz w:val="20"/>
          <w:szCs w:val="20"/>
          <w:rtl/>
        </w:rPr>
        <w:footnoteRef/>
      </w:r>
      <w:r>
        <w:rPr>
          <w:sz w:val="20"/>
          <w:szCs w:val="20"/>
          <w:rtl/>
        </w:rPr>
        <w:t>. 6 באפריל 1986.</w:t>
      </w:r>
    </w:p>
  </w:footnote>
  <w:footnote w:id="3506">
    <w:p w14:paraId="275952DD" w14:textId="77777777" w:rsidR="00AB3647" w:rsidRDefault="00000000">
      <w:pPr>
        <w:spacing w:after="0" w:before="0"/>
        <w:jc w:val="both"/>
      </w:pPr>
      <w:r>
        <w:rPr>
          <w:sz w:val="20"/>
          <w:szCs w:val="20"/>
          <w:rtl/>
        </w:rPr>
        <w:footnoteRef/>
      </w:r>
      <w:r>
        <w:rPr>
          <w:sz w:val="20"/>
          <w:szCs w:val="20"/>
          <w:rtl/>
        </w:rPr>
        <w:t>. ראה גם פרק 2, הפסקה האחרונה בהערה 85.</w:t>
      </w:r>
    </w:p>
  </w:footnote>
  <w:footnote w:id="3507">
    <w:p w14:paraId="28CC9D09" w14:textId="77777777" w:rsidR="00AB3647" w:rsidRDefault="00000000">
      <w:pPr>
        <w:spacing w:after="0" w:before="0"/>
        <w:jc w:val="both"/>
      </w:pPr>
      <w:r>
        <w:rPr>
          <w:sz w:val="20"/>
          <w:szCs w:val="20"/>
          <w:rtl/>
        </w:rPr>
        <w:footnoteRef/>
      </w:r>
      <w:r>
        <w:rPr>
          <w:sz w:val="20"/>
          <w:szCs w:val="20"/>
          <w:rtl/>
        </w:rPr>
        <w:t xml:space="preserve">. הערה 48 לעיל – עמ׳ </w:t>
      </w:r>
      <w:proofErr w:type="spellStart"/>
      <w:r>
        <w:rPr>
          <w:sz w:val="20"/>
          <w:szCs w:val="20"/>
          <w:rtl/>
        </w:rPr>
        <w:t>כא</w:t>
      </w:r>
      <w:proofErr w:type="spellEnd"/>
      <w:r>
        <w:rPr>
          <w:sz w:val="20"/>
          <w:szCs w:val="20"/>
          <w:rtl/>
        </w:rPr>
        <w:t>.</w:t>
      </w:r>
    </w:p>
  </w:footnote>
  <w:footnote w:id="3508">
    <w:p w14:paraId="4CB13750" w14:textId="77777777" w:rsidR="00AB3647" w:rsidRDefault="00000000">
      <w:pPr>
        <w:spacing w:after="0" w:before="0"/>
        <w:jc w:val="both"/>
      </w:pPr>
      <w:r>
        <w:rPr>
          <w:sz w:val="20"/>
          <w:szCs w:val="20"/>
          <w:rtl/>
        </w:rPr>
        <w:footnoteRef/>
      </w:r>
      <w:r>
        <w:rPr>
          <w:sz w:val="20"/>
          <w:szCs w:val="20"/>
          <w:rtl/>
        </w:rPr>
        <w:t>. נדפס בירושלם, תשנ״ז – עמ׳ ה.</w:t>
      </w:r>
    </w:p>
  </w:footnote>
  <w:footnote w:id="3509">
    <w:p w14:paraId="45A3D81F" w14:textId="77777777" w:rsidR="00AB3647" w:rsidRDefault="00000000">
      <w:pPr>
        <w:spacing w:after="0" w:before="0"/>
        <w:jc w:val="both"/>
      </w:pPr>
      <w:r>
        <w:rPr>
          <w:sz w:val="20"/>
          <w:szCs w:val="20"/>
          <w:rtl/>
        </w:rPr>
        <w:footnoteRef/>
      </w:r>
      <w:r>
        <w:rPr>
          <w:sz w:val="20"/>
          <w:szCs w:val="20"/>
          <w:rtl/>
        </w:rPr>
        <w:t>. נספח ט להלן – כרך א, עמ׳ 54.</w:t>
      </w:r>
    </w:p>
  </w:footnote>
  <w:footnote w:id="3510">
    <w:p w14:paraId="39A6F1DB" w14:textId="77777777" w:rsidR="00AB3647" w:rsidRDefault="00000000">
      <w:pPr>
        <w:spacing w:after="0" w:before="0"/>
        <w:jc w:val="both"/>
      </w:pPr>
      <w:r>
        <w:rPr>
          <w:sz w:val="20"/>
          <w:szCs w:val="20"/>
          <w:rtl/>
        </w:rPr>
        <w:footnoteRef/>
      </w:r>
      <w:r>
        <w:rPr>
          <w:sz w:val="20"/>
          <w:szCs w:val="20"/>
          <w:rtl/>
        </w:rPr>
        <w:t>. קידושין ל ע״ב.</w:t>
      </w:r>
    </w:p>
  </w:footnote>
  <w:footnote w:id="3511">
    <w:p w14:paraId="54993B2B" w14:textId="77777777" w:rsidR="00AB3647" w:rsidRDefault="00000000">
      <w:pPr>
        <w:spacing w:after="0" w:before="0"/>
        <w:jc w:val="both"/>
      </w:pPr>
      <w:r>
        <w:rPr>
          <w:sz w:val="20"/>
          <w:szCs w:val="20"/>
          <w:rtl/>
        </w:rPr>
        <w:footnoteRef/>
      </w:r>
      <w:r>
        <w:rPr>
          <w:sz w:val="20"/>
          <w:szCs w:val="20"/>
          <w:rtl/>
        </w:rPr>
        <w:t xml:space="preserve">. במדבר </w:t>
      </w:r>
      <w:proofErr w:type="spellStart"/>
      <w:r>
        <w:rPr>
          <w:sz w:val="20"/>
          <w:szCs w:val="20"/>
          <w:rtl/>
        </w:rPr>
        <w:t>כא</w:t>
      </w:r>
      <w:proofErr w:type="spellEnd"/>
      <w:r>
        <w:rPr>
          <w:sz w:val="20"/>
          <w:szCs w:val="20"/>
          <w:rtl/>
        </w:rPr>
        <w:t xml:space="preserve">, יד. ראה פרק 5, סוף הפסקה הראשונה של נספח ב, שבו מובאים דברי ר׳ ישראל </w:t>
      </w:r>
      <w:proofErr w:type="spellStart"/>
      <w:r>
        <w:rPr>
          <w:sz w:val="20"/>
          <w:szCs w:val="20"/>
          <w:rtl/>
        </w:rPr>
        <w:t>סלנטר</w:t>
      </w:r>
      <w:proofErr w:type="spellEnd"/>
      <w:r>
        <w:rPr>
          <w:sz w:val="20"/>
          <w:szCs w:val="20"/>
          <w:rtl/>
        </w:rPr>
        <w:t xml:space="preserve"> בעניין לימוד תורה מסוג זה.</w:t>
      </w:r>
    </w:p>
  </w:footnote>
  <w:footnote w:id="3512">
    <w:p w14:paraId="157FCDF2" w14:textId="77777777" w:rsidR="00AB3647" w:rsidRDefault="00000000">
      <w:pPr>
        <w:spacing w:after="0" w:before="0"/>
        <w:jc w:val="both"/>
      </w:pPr>
      <w:r>
        <w:rPr>
          <w:sz w:val="20"/>
          <w:szCs w:val="20"/>
          <w:rtl/>
        </w:rPr>
        <w:footnoteRef/>
      </w:r>
      <w:r>
        <w:rPr>
          <w:sz w:val="20"/>
          <w:szCs w:val="20"/>
          <w:rtl/>
        </w:rPr>
        <w:t>. ריאיון מ־17 באוקטובר 1999.</w:t>
      </w:r>
    </w:p>
  </w:footnote>
  <w:footnote w:id="3513">
    <w:p w14:paraId="630C70EA" w14:textId="77777777" w:rsidR="00AB3647" w:rsidRDefault="00000000">
      <w:pPr>
        <w:spacing w:after="0" w:before="0"/>
        <w:jc w:val="both"/>
      </w:pPr>
      <w:r>
        <w:rPr>
          <w:sz w:val="20"/>
          <w:szCs w:val="20"/>
          <w:rtl/>
        </w:rPr>
        <w:footnoteRef/>
      </w:r>
      <w:r>
        <w:rPr>
          <w:sz w:val="20"/>
          <w:szCs w:val="20"/>
          <w:rtl/>
        </w:rPr>
        <w:t xml:space="preserve">. השווה נספח </w:t>
      </w:r>
      <w:proofErr w:type="spellStart"/>
      <w:r>
        <w:rPr>
          <w:sz w:val="20"/>
          <w:szCs w:val="20"/>
          <w:rtl/>
        </w:rPr>
        <w:t>טז</w:t>
      </w:r>
      <w:proofErr w:type="spellEnd"/>
      <w:r>
        <w:rPr>
          <w:sz w:val="20"/>
          <w:szCs w:val="20"/>
          <w:rtl/>
        </w:rPr>
        <w:t xml:space="preserve"> להלן.</w:t>
      </w:r>
    </w:p>
  </w:footnote>
  <w:footnote w:id="3514">
    <w:p w14:paraId="6F549D18" w14:textId="77777777" w:rsidR="00AB3647" w:rsidRDefault="00000000">
      <w:pPr>
        <w:spacing w:after="0" w:before="0"/>
        <w:jc w:val="both"/>
      </w:pPr>
      <w:r>
        <w:rPr>
          <w:sz w:val="20"/>
          <w:szCs w:val="20"/>
          <w:rtl/>
        </w:rPr>
        <w:footnoteRef/>
      </w:r>
      <w:r>
        <w:rPr>
          <w:sz w:val="20"/>
          <w:szCs w:val="20"/>
          <w:rtl/>
        </w:rPr>
        <w:t>. הערה 11 לעיל – עמ׳ 42.</w:t>
      </w:r>
    </w:p>
  </w:footnote>
  <w:footnote w:id="3515">
    <w:p w14:paraId="1C1B84A0"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pr_f_3396 \h </w:instrText>
      </w:r>
      <w:r>
        <w:rPr>
          <w:sz w:val="20"/>
          <w:szCs w:val="20"/>
          <w:rtl/>
        </w:rPr>
      </w:r>
      <w:r>
        <w:rPr>
          <w:sz w:val="20"/>
          <w:szCs w:val="20"/>
          <w:rtl/>
        </w:rPr>
        <w:fldChar w:fldCharType="separate"/>
      </w:r>
      <w:r w:rsidR="007923E9">
        <w:rPr>
          <w:sz w:val="20"/>
          <w:szCs w:val="20"/>
          <w:rtl/>
        </w:rPr>
        <w:t>473</w:t>
      </w:r>
      <w:r>
        <w:rPr>
          <w:sz w:val="20"/>
          <w:szCs w:val="20"/>
          <w:rtl/>
        </w:rPr>
        <w:fldChar w:fldCharType="end"/>
      </w:r>
      <w:r>
        <w:rPr>
          <w:sz w:val="20"/>
          <w:szCs w:val="20"/>
          <w:rtl/>
        </w:rPr>
        <w:t xml:space="preserve"> – שם.</w:t>
      </w:r>
    </w:p>
  </w:footnote>
  <w:footnote w:id="3516">
    <w:p w14:paraId="66BBBEF8"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w:t>
      </w:r>
    </w:p>
  </w:footnote>
  <w:footnote w:id="3517">
    <w:p w14:paraId="4B9A2FEC" w14:textId="77777777" w:rsidR="00AB3647" w:rsidRDefault="00000000">
      <w:pPr>
        <w:spacing w:after="0" w:before="0"/>
        <w:jc w:val="both"/>
      </w:pPr>
      <w:r>
        <w:rPr>
          <w:sz w:val="20"/>
          <w:szCs w:val="20"/>
          <w:rtl/>
        </w:rPr>
        <w:footnoteRef/>
      </w:r>
      <w:r>
        <w:rPr>
          <w:sz w:val="20"/>
          <w:szCs w:val="20"/>
          <w:rtl/>
        </w:rPr>
        <w:t>. פרק 2, הערה 106.</w:t>
      </w:r>
    </w:p>
  </w:footnote>
  <w:footnote w:id="3518">
    <w:p w14:paraId="752D45ED" w14:textId="77777777" w:rsidR="00AB3647" w:rsidRDefault="00000000">
      <w:pPr>
        <w:spacing w:after="0" w:before="0"/>
        <w:jc w:val="both"/>
      </w:pPr>
      <w:r>
        <w:rPr>
          <w:sz w:val="20"/>
          <w:szCs w:val="20"/>
          <w:rtl/>
        </w:rPr>
        <w:footnoteRef/>
      </w:r>
      <w:r>
        <w:rPr>
          <w:sz w:val="20"/>
          <w:szCs w:val="20"/>
          <w:rtl/>
        </w:rPr>
        <w:t>. שם, פרק 3, הערה 9 – כרך 2, עמ׳ 326.</w:t>
      </w:r>
    </w:p>
  </w:footnote>
  <w:footnote w:id="3519">
    <w:p w14:paraId="64E08317" w14:textId="77777777" w:rsidR="00AB3647" w:rsidRDefault="00000000">
      <w:pPr>
        <w:spacing w:after="0" w:before="0"/>
        <w:jc w:val="both"/>
      </w:pPr>
      <w:r>
        <w:rPr>
          <w:sz w:val="20"/>
          <w:szCs w:val="20"/>
          <w:rtl/>
        </w:rPr>
        <w:footnoteRef/>
      </w:r>
      <w:r>
        <w:rPr>
          <w:sz w:val="20"/>
          <w:szCs w:val="20"/>
          <w:rtl/>
        </w:rPr>
        <w:t>. הפסקה השנייה של נספח ז להלן – עמ׳ 207–208.</w:t>
      </w:r>
    </w:p>
  </w:footnote>
  <w:footnote w:id="3520">
    <w:p w14:paraId="1411FC13" w14:textId="77777777" w:rsidR="00AB3647" w:rsidRDefault="00000000">
      <w:pPr>
        <w:spacing w:after="0" w:before="0"/>
        <w:jc w:val="both"/>
      </w:pPr>
      <w:r>
        <w:rPr>
          <w:sz w:val="20"/>
          <w:szCs w:val="20"/>
          <w:rtl/>
        </w:rPr>
        <w:footnoteRef/>
      </w:r>
      <w:r>
        <w:rPr>
          <w:sz w:val="20"/>
          <w:szCs w:val="20"/>
          <w:rtl/>
        </w:rPr>
        <w:t>. השווה פרק 3, הפסקה השלישית של נספח יד.</w:t>
      </w:r>
    </w:p>
  </w:footnote>
  <w:footnote w:id="3521">
    <w:p w14:paraId="11001BE7" w14:textId="77777777" w:rsidR="00AB3647" w:rsidRDefault="00000000">
      <w:pPr>
        <w:spacing w:after="0" w:before="0"/>
        <w:jc w:val="both"/>
      </w:pPr>
      <w:r>
        <w:rPr>
          <w:sz w:val="20"/>
          <w:szCs w:val="20"/>
          <w:rtl/>
        </w:rPr>
        <w:footnoteRef/>
      </w:r>
      <w:r>
        <w:rPr>
          <w:sz w:val="20"/>
          <w:szCs w:val="20"/>
          <w:rtl/>
        </w:rPr>
        <w:t>. השווה “פולמוס” (שם, הפסקה הראשונה של נספח ט להלן), עמ׳ 129.</w:t>
      </w:r>
    </w:p>
  </w:footnote>
  <w:footnote w:id="3522">
    <w:p w14:paraId="4C3B2CD5" w14:textId="77777777" w:rsidR="00AB3647" w:rsidRDefault="00000000">
      <w:pPr>
        <w:spacing w:after="0" w:before="0"/>
        <w:jc w:val="both"/>
      </w:pPr>
      <w:r>
        <w:rPr>
          <w:sz w:val="20"/>
          <w:szCs w:val="20"/>
          <w:rtl/>
        </w:rPr>
        <w:footnoteRef/>
      </w:r>
      <w:r>
        <w:rPr>
          <w:sz w:val="20"/>
          <w:szCs w:val="20"/>
          <w:rtl/>
        </w:rPr>
        <w:t>. “העבר”, כרך א, עמ׳ 108.</w:t>
      </w:r>
    </w:p>
  </w:footnote>
  <w:footnote w:id="3523">
    <w:p w14:paraId="1533BEE6" w14:textId="77777777" w:rsidR="00AB3647" w:rsidRDefault="00000000">
      <w:pPr>
        <w:spacing w:after="0" w:before="0"/>
        <w:jc w:val="both"/>
      </w:pPr>
      <w:r>
        <w:rPr>
          <w:sz w:val="20"/>
          <w:szCs w:val="20"/>
          <w:rtl/>
        </w:rPr>
        <w:footnoteRef/>
      </w:r>
      <w:r>
        <w:rPr>
          <w:sz w:val="20"/>
          <w:szCs w:val="20"/>
          <w:rtl/>
        </w:rPr>
        <w:t>. העניין נידון בהרחבה בפרק 3, נספח כה.</w:t>
      </w:r>
    </w:p>
  </w:footnote>
  <w:footnote w:id="3524">
    <w:p w14:paraId="7D2F3705" w14:textId="77777777" w:rsidR="00AB3647" w:rsidRDefault="00000000">
      <w:pPr>
        <w:spacing w:after="0" w:before="0"/>
        <w:jc w:val="both"/>
      </w:pPr>
      <w:r>
        <w:rPr>
          <w:sz w:val="20"/>
          <w:szCs w:val="20"/>
          <w:rtl/>
        </w:rPr>
        <w:footnoteRef/>
      </w:r>
      <w:r>
        <w:rPr>
          <w:sz w:val="20"/>
          <w:szCs w:val="20"/>
          <w:rtl/>
        </w:rPr>
        <w:t>. שם, פרק 2, הערה 36 – עמ׳ 172.</w:t>
      </w:r>
    </w:p>
  </w:footnote>
  <w:footnote w:id="3525">
    <w:p w14:paraId="175EC73C" w14:textId="77777777" w:rsidR="00AB3647" w:rsidRDefault="00000000">
      <w:pPr>
        <w:spacing w:after="0" w:before="0"/>
        <w:jc w:val="both"/>
      </w:pPr>
      <w:r>
        <w:rPr>
          <w:sz w:val="20"/>
          <w:szCs w:val="20"/>
          <w:rtl/>
        </w:rPr>
        <w:footnoteRef/>
      </w:r>
      <w:r>
        <w:rPr>
          <w:sz w:val="20"/>
          <w:szCs w:val="20"/>
          <w:rtl/>
        </w:rPr>
        <w:t>. השווה גם “שמושה של תורה”, עמ׳ קפה (מצוטט בפרק 5, הערה 85).</w:t>
      </w:r>
    </w:p>
  </w:footnote>
  <w:footnote w:id="3526">
    <w:p w14:paraId="2A0E0B8F" w14:textId="77777777" w:rsidR="00AB3647" w:rsidRDefault="00000000">
      <w:pPr>
        <w:spacing w:after="0" w:before="0"/>
        <w:jc w:val="both"/>
      </w:pPr>
      <w:r>
        <w:rPr>
          <w:sz w:val="20"/>
          <w:szCs w:val="20"/>
          <w:rtl/>
        </w:rPr>
        <w:footnoteRef/>
      </w:r>
      <w:r>
        <w:rPr>
          <w:sz w:val="20"/>
          <w:szCs w:val="20"/>
          <w:rtl/>
        </w:rPr>
        <w:t>. נספח א להלן – עמ׳ 28, מתאריך אור לי״ד באב תשמ״א.</w:t>
      </w:r>
    </w:p>
  </w:footnote>
  <w:footnote w:id="3527">
    <w:p w14:paraId="77DE40B7" w14:textId="77777777" w:rsidR="00AB3647" w:rsidRDefault="00000000">
      <w:pPr>
        <w:spacing w:after="0" w:before="0"/>
        <w:jc w:val="both"/>
      </w:pPr>
      <w:r>
        <w:rPr>
          <w:sz w:val="20"/>
          <w:szCs w:val="20"/>
          <w:rtl/>
        </w:rPr>
        <w:footnoteRef/>
      </w:r>
      <w:r>
        <w:rPr>
          <w:sz w:val="20"/>
          <w:szCs w:val="20"/>
          <w:rtl/>
        </w:rPr>
        <w:t xml:space="preserve">. סיפר זאת ר׳ חיים </w:t>
      </w:r>
      <w:proofErr w:type="spellStart"/>
      <w:r>
        <w:rPr>
          <w:sz w:val="20"/>
          <w:szCs w:val="20"/>
          <w:rtl/>
        </w:rPr>
        <w:t>סרנא</w:t>
      </w:r>
      <w:proofErr w:type="spellEnd"/>
      <w:r>
        <w:rPr>
          <w:sz w:val="20"/>
          <w:szCs w:val="20"/>
          <w:rtl/>
        </w:rPr>
        <w:t xml:space="preserve"> (פרק 3, נספח ד).</w:t>
      </w:r>
    </w:p>
  </w:footnote>
  <w:footnote w:id="3528">
    <w:p w14:paraId="2465AF88" w14:textId="77777777" w:rsidR="00AB3647" w:rsidRDefault="00000000">
      <w:pPr>
        <w:spacing w:after="0" w:before="0"/>
        <w:jc w:val="both"/>
      </w:pPr>
      <w:r>
        <w:rPr>
          <w:sz w:val="20"/>
          <w:szCs w:val="20"/>
          <w:rtl/>
        </w:rPr>
        <w:footnoteRef/>
      </w:r>
      <w:r>
        <w:rPr>
          <w:sz w:val="20"/>
          <w:szCs w:val="20"/>
          <w:rtl/>
        </w:rPr>
        <w:t>. השווה הערה 139 לעיל.</w:t>
      </w:r>
    </w:p>
  </w:footnote>
  <w:footnote w:id="3529">
    <w:p w14:paraId="6C0BC267" w14:textId="77777777" w:rsidR="00AB3647" w:rsidRDefault="00000000">
      <w:pPr>
        <w:spacing w:after="0" w:before="0"/>
        <w:jc w:val="both"/>
      </w:pPr>
      <w:r>
        <w:rPr>
          <w:sz w:val="20"/>
          <w:szCs w:val="20"/>
          <w:rtl/>
        </w:rPr>
        <w:footnoteRef/>
      </w:r>
      <w:r>
        <w:rPr>
          <w:sz w:val="20"/>
          <w:szCs w:val="20"/>
          <w:rtl/>
        </w:rPr>
        <w:t>. על פי סנהדרין ק ע״ב, ורש״י שם.</w:t>
      </w:r>
    </w:p>
  </w:footnote>
  <w:footnote w:id="3530">
    <w:p w14:paraId="1A2DECFF" w14:textId="77777777" w:rsidR="00AB3647" w:rsidRDefault="00000000">
      <w:pPr>
        <w:spacing w:after="0" w:before="0"/>
        <w:jc w:val="both"/>
      </w:pPr>
      <w:r>
        <w:rPr>
          <w:sz w:val="20"/>
          <w:szCs w:val="20"/>
          <w:rtl/>
        </w:rPr>
        <w:footnoteRef/>
      </w:r>
      <w:r>
        <w:rPr>
          <w:sz w:val="20"/>
          <w:szCs w:val="20"/>
          <w:rtl/>
        </w:rPr>
        <w:t>. עמ׳ 172.</w:t>
      </w:r>
    </w:p>
  </w:footnote>
  <w:footnote w:id="3531">
    <w:p w14:paraId="6EE9A49D" w14:textId="77777777" w:rsidR="00AB3647" w:rsidRDefault="00000000">
      <w:pPr>
        <w:spacing w:after="0" w:before="0"/>
        <w:jc w:val="both"/>
      </w:pPr>
      <w:r>
        <w:rPr>
          <w:sz w:val="20"/>
          <w:szCs w:val="20"/>
          <w:rtl/>
        </w:rPr>
        <w:footnoteRef/>
      </w:r>
      <w:r>
        <w:rPr>
          <w:sz w:val="20"/>
          <w:szCs w:val="20"/>
          <w:rtl/>
        </w:rPr>
        <w:t>. השווה הערה 139 לעיל.</w:t>
      </w:r>
    </w:p>
  </w:footnote>
  <w:footnote w:id="3532">
    <w:p w14:paraId="145CFACC" w14:textId="77777777" w:rsidR="00AB3647" w:rsidRDefault="00000000">
      <w:pPr>
        <w:spacing w:after="0" w:before="0"/>
        <w:jc w:val="both"/>
      </w:pPr>
      <w:r>
        <w:rPr>
          <w:sz w:val="20"/>
          <w:szCs w:val="20"/>
          <w:rtl/>
        </w:rPr>
        <w:footnoteRef/>
      </w:r>
      <w:r>
        <w:rPr>
          <w:sz w:val="20"/>
          <w:szCs w:val="20"/>
          <w:rtl/>
        </w:rPr>
        <w:t xml:space="preserve">. השווה תחילת נספח </w:t>
      </w:r>
      <w:proofErr w:type="spellStart"/>
      <w:r>
        <w:rPr>
          <w:sz w:val="20"/>
          <w:szCs w:val="20"/>
          <w:rtl/>
        </w:rPr>
        <w:t>יז</w:t>
      </w:r>
      <w:proofErr w:type="spellEnd"/>
      <w:r>
        <w:rPr>
          <w:sz w:val="20"/>
          <w:szCs w:val="20"/>
          <w:rtl/>
        </w:rPr>
        <w:t xml:space="preserve"> להלן.</w:t>
      </w:r>
    </w:p>
  </w:footnote>
  <w:footnote w:id="3533">
    <w:p w14:paraId="4E0E1CFB" w14:textId="77777777" w:rsidR="00AB3647" w:rsidRDefault="00000000">
      <w:pPr>
        <w:spacing w:after="0" w:before="0"/>
        <w:jc w:val="both"/>
      </w:pPr>
      <w:r>
        <w:rPr>
          <w:sz w:val="20"/>
          <w:szCs w:val="20"/>
          <w:rtl/>
        </w:rPr>
        <w:footnoteRef/>
      </w:r>
      <w:r>
        <w:rPr>
          <w:sz w:val="20"/>
          <w:szCs w:val="20"/>
          <w:rtl/>
        </w:rPr>
        <w:t>. ריאיון מ־5 בדצמבר 1991.</w:t>
      </w:r>
    </w:p>
  </w:footnote>
  <w:footnote w:id="3534">
    <w:p w14:paraId="0E7A9DDB" w14:textId="77777777" w:rsidR="00AB3647" w:rsidRDefault="00000000">
      <w:pPr>
        <w:spacing w:after="0" w:before="0"/>
        <w:jc w:val="both"/>
      </w:pPr>
      <w:r>
        <w:rPr>
          <w:sz w:val="20"/>
          <w:szCs w:val="20"/>
          <w:rtl/>
        </w:rPr>
        <w:footnoteRef/>
      </w:r>
      <w:r>
        <w:rPr>
          <w:sz w:val="20"/>
          <w:szCs w:val="20"/>
          <w:rtl/>
        </w:rPr>
        <w:t>. השווה כרך 2.</w:t>
      </w:r>
    </w:p>
  </w:footnote>
  <w:footnote w:id="3535">
    <w:p w14:paraId="110697C7" w14:textId="77777777" w:rsidR="00AB3647" w:rsidRDefault="00000000">
      <w:pPr>
        <w:spacing w:after="0" w:before="0"/>
        <w:jc w:val="both"/>
      </w:pPr>
      <w:r>
        <w:rPr>
          <w:sz w:val="20"/>
          <w:szCs w:val="20"/>
          <w:rtl/>
        </w:rPr>
        <w:footnoteRef/>
      </w:r>
      <w:r>
        <w:rPr>
          <w:sz w:val="20"/>
          <w:szCs w:val="20"/>
          <w:rtl/>
        </w:rPr>
        <w:t>. השווה גם פרק 3, נספח לב.</w:t>
      </w:r>
    </w:p>
  </w:footnote>
  <w:footnote w:id="3536">
    <w:p w14:paraId="44F97021" w14:textId="77777777" w:rsidR="00AB3647" w:rsidRDefault="00000000">
      <w:pPr>
        <w:spacing w:after="0" w:before="0"/>
        <w:jc w:val="both"/>
      </w:pPr>
      <w:r>
        <w:rPr>
          <w:sz w:val="20"/>
          <w:szCs w:val="20"/>
          <w:rtl/>
        </w:rPr>
        <w:footnoteRef/>
      </w:r>
      <w:r>
        <w:rPr>
          <w:sz w:val="20"/>
          <w:szCs w:val="20"/>
          <w:rtl/>
        </w:rPr>
        <w:t>. דף ל ע״ב.</w:t>
      </w:r>
    </w:p>
  </w:footnote>
  <w:footnote w:id="3537">
    <w:p w14:paraId="304F7CBA" w14:textId="77777777" w:rsidR="00AB3647" w:rsidRDefault="00000000">
      <w:pPr>
        <w:spacing w:after="0" w:before="0"/>
        <w:jc w:val="both"/>
      </w:pPr>
      <w:r>
        <w:rPr>
          <w:sz w:val="20"/>
          <w:szCs w:val="20"/>
          <w:rtl/>
        </w:rPr>
        <w:footnoteRef/>
      </w:r>
      <w:r>
        <w:rPr>
          <w:sz w:val="20"/>
          <w:szCs w:val="20"/>
          <w:rtl/>
        </w:rPr>
        <w:t>. ריאיון מ־1 בנובמבר 1987.</w:t>
      </w:r>
    </w:p>
  </w:footnote>
  <w:footnote w:id="3538">
    <w:p w14:paraId="7470C422" w14:textId="77777777" w:rsidR="00AB3647" w:rsidRDefault="00000000">
      <w:pPr>
        <w:spacing w:after="0" w:before="0"/>
        <w:jc w:val="both"/>
      </w:pPr>
      <w:r>
        <w:rPr>
          <w:sz w:val="20"/>
          <w:szCs w:val="20"/>
          <w:rtl/>
        </w:rPr>
        <w:footnoteRef/>
      </w:r>
      <w:r>
        <w:rPr>
          <w:sz w:val="20"/>
          <w:szCs w:val="20"/>
          <w:rtl/>
        </w:rPr>
        <w:t>. הערה 139 לעיל.</w:t>
      </w:r>
    </w:p>
  </w:footnote>
  <w:footnote w:id="3539">
    <w:p w14:paraId="25214104" w14:textId="77777777" w:rsidR="00AB3647" w:rsidRDefault="00000000">
      <w:pPr>
        <w:spacing w:after="0" w:before="0"/>
        <w:jc w:val="both"/>
      </w:pPr>
      <w:r>
        <w:rPr>
          <w:sz w:val="20"/>
          <w:szCs w:val="20"/>
          <w:rtl/>
        </w:rPr>
        <w:footnoteRef/>
      </w:r>
      <w:r>
        <w:rPr>
          <w:sz w:val="20"/>
          <w:szCs w:val="20"/>
          <w:rtl/>
        </w:rPr>
        <w:t xml:space="preserve">. הפסקה השמינית של נספח ט להלן – עמ׳ </w:t>
      </w:r>
      <w:proofErr w:type="spellStart"/>
      <w:r>
        <w:rPr>
          <w:sz w:val="20"/>
          <w:szCs w:val="20"/>
          <w:rtl/>
        </w:rPr>
        <w:t>רפב</w:t>
      </w:r>
      <w:proofErr w:type="spellEnd"/>
      <w:r>
        <w:rPr>
          <w:sz w:val="20"/>
          <w:szCs w:val="20"/>
          <w:rtl/>
        </w:rPr>
        <w:t>, הערה 41.</w:t>
      </w:r>
    </w:p>
  </w:footnote>
  <w:footnote w:id="3540">
    <w:p w14:paraId="07C80941"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מא</w:t>
      </w:r>
      <w:proofErr w:type="spellEnd"/>
      <w:r>
        <w:rPr>
          <w:sz w:val="20"/>
          <w:szCs w:val="20"/>
          <w:rtl/>
        </w:rPr>
        <w:t>.</w:t>
      </w:r>
    </w:p>
  </w:footnote>
  <w:footnote w:id="3541">
    <w:p w14:paraId="2017AB14" w14:textId="77777777" w:rsidR="00AB3647" w:rsidRDefault="00000000">
      <w:pPr>
        <w:spacing w:after="0" w:before="0"/>
        <w:jc w:val="both"/>
      </w:pPr>
      <w:r>
        <w:rPr>
          <w:sz w:val="20"/>
          <w:szCs w:val="20"/>
          <w:rtl/>
        </w:rPr>
        <w:footnoteRef/>
      </w:r>
      <w:r>
        <w:rPr>
          <w:sz w:val="20"/>
          <w:szCs w:val="20"/>
          <w:rtl/>
        </w:rPr>
        <w:t xml:space="preserve">. נראה שהיה חלש מכדי להשתתף בפועל בדיוני האספה. השווה פרק 3, הפסקה החמישית של נספח </w:t>
      </w:r>
      <w:proofErr w:type="spellStart"/>
      <w:r>
        <w:rPr>
          <w:sz w:val="20"/>
          <w:szCs w:val="20"/>
          <w:rtl/>
        </w:rPr>
        <w:t>יח</w:t>
      </w:r>
      <w:proofErr w:type="spellEnd"/>
      <w:r>
        <w:rPr>
          <w:sz w:val="20"/>
          <w:szCs w:val="20"/>
          <w:rtl/>
        </w:rPr>
        <w:t>, שם מובאים דברי “תורת חיים” שהוא תמך בהצעה שהועלתה באספה, במכתב ששלח.</w:t>
      </w:r>
    </w:p>
  </w:footnote>
  <w:footnote w:id="3542">
    <w:p w14:paraId="470AD50A" w14:textId="77777777" w:rsidR="00AB3647" w:rsidRDefault="00000000">
      <w:pPr>
        <w:spacing w:after="0" w:before="0"/>
        <w:jc w:val="both"/>
      </w:pPr>
      <w:r>
        <w:rPr>
          <w:sz w:val="20"/>
          <w:szCs w:val="20"/>
          <w:rtl/>
        </w:rPr>
        <w:footnoteRef/>
      </w:r>
      <w:r>
        <w:rPr>
          <w:sz w:val="20"/>
          <w:szCs w:val="20"/>
          <w:rtl/>
        </w:rPr>
        <w:t xml:space="preserve">. דברי הימים א </w:t>
      </w:r>
      <w:proofErr w:type="spellStart"/>
      <w:r>
        <w:rPr>
          <w:sz w:val="20"/>
          <w:szCs w:val="20"/>
          <w:rtl/>
        </w:rPr>
        <w:t>טז</w:t>
      </w:r>
      <w:proofErr w:type="spellEnd"/>
      <w:r>
        <w:rPr>
          <w:sz w:val="20"/>
          <w:szCs w:val="20"/>
          <w:rtl/>
        </w:rPr>
        <w:t xml:space="preserve">, </w:t>
      </w:r>
      <w:proofErr w:type="spellStart"/>
      <w:r>
        <w:rPr>
          <w:sz w:val="20"/>
          <w:szCs w:val="20"/>
          <w:rtl/>
        </w:rPr>
        <w:t>כב</w:t>
      </w:r>
      <w:proofErr w:type="spellEnd"/>
      <w:r>
        <w:rPr>
          <w:sz w:val="20"/>
          <w:szCs w:val="20"/>
          <w:rtl/>
        </w:rPr>
        <w:t>.</w:t>
      </w:r>
    </w:p>
  </w:footnote>
  <w:footnote w:id="3543">
    <w:p w14:paraId="059BB202" w14:textId="77777777" w:rsidR="00AB3647" w:rsidRDefault="00000000">
      <w:pPr>
        <w:spacing w:after="0" w:before="0"/>
        <w:jc w:val="both"/>
      </w:pPr>
      <w:r>
        <w:rPr>
          <w:sz w:val="20"/>
          <w:szCs w:val="20"/>
          <w:rtl/>
        </w:rPr>
        <w:footnoteRef/>
      </w:r>
      <w:r>
        <w:rPr>
          <w:sz w:val="20"/>
          <w:szCs w:val="20"/>
          <w:rtl/>
        </w:rPr>
        <w:t>. שבת קיט ע״ב. ראה גם פרק 2, נספח ג.</w:t>
      </w:r>
    </w:p>
  </w:footnote>
  <w:footnote w:id="3544">
    <w:p w14:paraId="4108B4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(הערה 139 לעיל), עמ׳ 172 ו־174.</w:t>
      </w:r>
    </w:p>
  </w:footnote>
  <w:footnote w:id="3545">
    <w:p w14:paraId="05F78D3D" w14:textId="77777777" w:rsidR="00AB3647" w:rsidRDefault="00000000">
      <w:pPr>
        <w:spacing w:after="0" w:before="0"/>
        <w:jc w:val="both"/>
      </w:pPr>
      <w:r>
        <w:rPr>
          <w:sz w:val="20"/>
          <w:szCs w:val="20"/>
          <w:rtl/>
        </w:rPr>
        <w:footnoteRef/>
      </w:r>
      <w:r>
        <w:rPr>
          <w:sz w:val="20"/>
          <w:szCs w:val="20"/>
          <w:rtl/>
        </w:rPr>
        <w:t>. שם, עמ׳ 173.</w:t>
      </w:r>
    </w:p>
  </w:footnote>
  <w:footnote w:id="3546">
    <w:p w14:paraId="04F2010E" w14:textId="77777777" w:rsidR="00AB3647" w:rsidRDefault="00000000">
      <w:pPr>
        <w:spacing w:after="0" w:before="0"/>
        <w:jc w:val="both"/>
      </w:pPr>
      <w:r>
        <w:rPr>
          <w:sz w:val="20"/>
          <w:szCs w:val="20"/>
          <w:rtl/>
        </w:rPr>
        <w:footnoteRef/>
      </w:r>
      <w:r>
        <w:rPr>
          <w:sz w:val="20"/>
          <w:szCs w:val="20"/>
          <w:rtl/>
        </w:rPr>
        <w:t>. ראה גם פרק 5, הערה 44, על אחרים ששינו גם הם את דעתם.</w:t>
      </w:r>
    </w:p>
  </w:footnote>
  <w:footnote w:id="3547">
    <w:p w14:paraId="531F29C9"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ב“יתד</w:t>
      </w:r>
      <w:proofErr w:type="spellEnd"/>
      <w:r>
        <w:rPr>
          <w:sz w:val="20"/>
          <w:szCs w:val="20"/>
          <w:rtl/>
        </w:rPr>
        <w:t xml:space="preserve"> נאמן” – ראה הפסקה השנייה של נספח </w:t>
      </w:r>
      <w:proofErr w:type="spellStart"/>
      <w:r>
        <w:rPr>
          <w:sz w:val="20"/>
          <w:szCs w:val="20"/>
          <w:rtl/>
        </w:rPr>
        <w:t>יז</w:t>
      </w:r>
      <w:proofErr w:type="spellEnd"/>
      <w:r>
        <w:rPr>
          <w:sz w:val="20"/>
          <w:szCs w:val="20"/>
          <w:rtl/>
        </w:rPr>
        <w:t xml:space="preserve"> להלן.</w:t>
      </w:r>
    </w:p>
  </w:footnote>
  <w:footnote w:id="3548">
    <w:p w14:paraId="6D92EA98" w14:textId="77777777" w:rsidR="00AB3647" w:rsidRDefault="00000000">
      <w:pPr>
        <w:spacing w:after="0" w:before="0"/>
        <w:jc w:val="both"/>
      </w:pPr>
      <w:r>
        <w:rPr>
          <w:sz w:val="20"/>
          <w:szCs w:val="20"/>
          <w:rtl/>
        </w:rPr>
        <w:footnoteRef/>
      </w:r>
      <w:r>
        <w:rPr>
          <w:sz w:val="20"/>
          <w:szCs w:val="20"/>
          <w:rtl/>
        </w:rPr>
        <w:t>. נספח ד להלן.</w:t>
      </w:r>
    </w:p>
  </w:footnote>
  <w:footnote w:id="3549">
    <w:p w14:paraId="383EBC9C" w14:textId="77777777" w:rsidR="00AB3647" w:rsidRDefault="00000000">
      <w:pPr>
        <w:spacing w:after="0" w:before="0"/>
        <w:jc w:val="both"/>
      </w:pPr>
      <w:r>
        <w:rPr>
          <w:sz w:val="20"/>
          <w:szCs w:val="20"/>
          <w:rtl/>
        </w:rPr>
        <w:footnoteRef/>
      </w:r>
      <w:r>
        <w:rPr>
          <w:sz w:val="20"/>
          <w:szCs w:val="20"/>
          <w:rtl/>
        </w:rPr>
        <w:t>. השווה הערה 79 לעיל.</w:t>
      </w:r>
    </w:p>
  </w:footnote>
  <w:footnote w:id="3550">
    <w:p w14:paraId="59D67C05" w14:textId="77777777" w:rsidR="00AB3647" w:rsidRDefault="00000000">
      <w:pPr>
        <w:spacing w:after="0" w:before="0"/>
        <w:jc w:val="both"/>
      </w:pPr>
      <w:r>
        <w:rPr>
          <w:sz w:val="20"/>
          <w:szCs w:val="20"/>
          <w:rtl/>
        </w:rPr>
        <w:footnoteRef/>
      </w:r>
      <w:r>
        <w:rPr>
          <w:sz w:val="20"/>
          <w:szCs w:val="20"/>
          <w:rtl/>
        </w:rPr>
        <w:t xml:space="preserve">. כמצוין שם בהערת שוליים </w:t>
      </w:r>
      <w:r>
        <w:rPr>
          <w:sz w:val="20"/>
          <w:szCs w:val="20"/>
          <w:rtl/>
        </w:rPr>
        <w:fldChar w:fldCharType="begin" w:dirty="true"/>
      </w:r>
      <w:r>
        <w:rPr>
          <w:sz w:val="20"/>
          <w:szCs w:val="20"/>
          <w:rtl/>
        </w:rPr>
        <w:instrText xml:space="preserve"> NOTEREF pr_f_3919 \h </w:instrText>
      </w:r>
      <w:r>
        <w:rPr>
          <w:sz w:val="20"/>
          <w:szCs w:val="20"/>
          <w:rtl/>
        </w:rPr>
      </w:r>
      <w:r>
        <w:rPr>
          <w:sz w:val="20"/>
          <w:szCs w:val="20"/>
          <w:rtl/>
        </w:rPr>
        <w:fldChar w:fldCharType="separate"/>
      </w:r>
      <w:r w:rsidR="007923E9">
        <w:rPr>
          <w:sz w:val="20"/>
          <w:szCs w:val="20"/>
          <w:rtl/>
        </w:rPr>
        <w:t>996</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pr_f_3919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551">
    <w:p w14:paraId="1460B35F" w14:textId="77777777" w:rsidR="00AB3647" w:rsidRDefault="00000000">
      <w:pPr>
        <w:spacing w:after="0" w:before="0"/>
        <w:jc w:val="both"/>
      </w:pPr>
      <w:r>
        <w:rPr>
          <w:sz w:val="20"/>
          <w:szCs w:val="20"/>
          <w:rtl/>
        </w:rPr>
        <w:footnoteRef/>
      </w:r>
      <w:r>
        <w:rPr>
          <w:sz w:val="20"/>
          <w:szCs w:val="20"/>
          <w:rtl/>
        </w:rPr>
        <w:t>. ריאיון מ־15 ביוני 1992.</w:t>
      </w:r>
    </w:p>
  </w:footnote>
  <w:footnote w:id="3552">
    <w:p w14:paraId="5CCDF809" w14:textId="77777777" w:rsidR="00AB3647" w:rsidRDefault="00000000">
      <w:pPr>
        <w:spacing w:after="0" w:before="0"/>
        <w:jc w:val="both"/>
      </w:pPr>
      <w:r>
        <w:rPr>
          <w:sz w:val="20"/>
          <w:szCs w:val="20"/>
          <w:rtl/>
        </w:rPr>
        <w:footnoteRef/>
      </w:r>
      <w:r>
        <w:rPr>
          <w:sz w:val="20"/>
          <w:szCs w:val="20"/>
          <w:rtl/>
        </w:rPr>
        <w:t xml:space="preserve">. השווה פרק 3, הפסקה השלישית של נספח </w:t>
      </w:r>
      <w:proofErr w:type="spellStart"/>
      <w:r>
        <w:rPr>
          <w:sz w:val="20"/>
          <w:szCs w:val="20"/>
          <w:rtl/>
        </w:rPr>
        <w:t>יח</w:t>
      </w:r>
      <w:proofErr w:type="spellEnd"/>
      <w:r>
        <w:rPr>
          <w:sz w:val="20"/>
          <w:szCs w:val="20"/>
          <w:rtl/>
        </w:rPr>
        <w:t>.</w:t>
      </w:r>
    </w:p>
  </w:footnote>
  <w:footnote w:id="3553">
    <w:p w14:paraId="64B157C5" w14:textId="77777777" w:rsidR="00AB3647" w:rsidRDefault="00000000">
      <w:pPr>
        <w:spacing w:after="0" w:before="0"/>
        <w:jc w:val="both"/>
      </w:pPr>
      <w:r>
        <w:rPr>
          <w:sz w:val="20"/>
          <w:szCs w:val="20"/>
          <w:rtl/>
        </w:rPr>
        <w:footnoteRef/>
      </w:r>
      <w:r>
        <w:rPr>
          <w:sz w:val="20"/>
          <w:szCs w:val="20"/>
          <w:rtl/>
        </w:rPr>
        <w:t>. הערה 11 לעיל – עמ׳ 41.</w:t>
      </w:r>
    </w:p>
  </w:footnote>
  <w:footnote w:id="3554">
    <w:p w14:paraId="02810CFE" w14:textId="77777777" w:rsidR="00AB3647" w:rsidRDefault="00000000">
      <w:pPr>
        <w:spacing w:after="0" w:before="0"/>
        <w:jc w:val="both"/>
      </w:pPr>
      <w:r>
        <w:rPr>
          <w:sz w:val="20"/>
          <w:szCs w:val="20"/>
          <w:rtl/>
        </w:rPr>
        <w:footnoteRef/>
      </w:r>
      <w:r>
        <w:rPr>
          <w:sz w:val="20"/>
          <w:szCs w:val="20"/>
          <w:rtl/>
        </w:rPr>
        <w:t>. הערה 1 לעיל – עמ׳ 44.</w:t>
      </w:r>
    </w:p>
  </w:footnote>
  <w:footnote w:id="3555">
    <w:p w14:paraId="2BDC1962" w14:textId="77777777" w:rsidR="00AB3647" w:rsidRDefault="00000000">
      <w:pPr>
        <w:spacing w:after="0" w:before="0"/>
        <w:jc w:val="both"/>
      </w:pPr>
      <w:r>
        <w:rPr>
          <w:sz w:val="20"/>
          <w:szCs w:val="20"/>
          <w:rtl/>
        </w:rPr>
        <w:footnoteRef/>
      </w:r>
      <w:r>
        <w:rPr>
          <w:sz w:val="20"/>
          <w:szCs w:val="20"/>
          <w:rtl/>
        </w:rPr>
        <w:t>. שם, עמ׳ 55.</w:t>
      </w:r>
    </w:p>
  </w:footnote>
  <w:footnote w:id="3556">
    <w:p w14:paraId="35C6856B" w14:textId="77777777" w:rsidR="00AB3647" w:rsidRDefault="00000000">
      <w:pPr>
        <w:spacing w:after="0" w:before="0"/>
        <w:jc w:val="both"/>
      </w:pPr>
      <w:r>
        <w:rPr>
          <w:sz w:val="20"/>
          <w:szCs w:val="20"/>
          <w:rtl/>
        </w:rPr>
        <w:footnoteRef/>
      </w:r>
      <w:r>
        <w:rPr>
          <w:sz w:val="20"/>
          <w:szCs w:val="20"/>
          <w:rtl/>
        </w:rPr>
        <w:t>. ראה פרק 3, נספח כד.</w:t>
      </w:r>
    </w:p>
  </w:footnote>
  <w:footnote w:id="3557">
    <w:p w14:paraId="1BF928EC" w14:textId="77777777" w:rsidR="00AB3647" w:rsidRDefault="00000000">
      <w:pPr>
        <w:spacing w:after="0" w:before="0"/>
        <w:jc w:val="both"/>
      </w:pPr>
      <w:r>
        <w:rPr>
          <w:sz w:val="20"/>
          <w:szCs w:val="20"/>
          <w:rtl/>
        </w:rPr>
        <w:footnoteRef/>
      </w:r>
      <w:r>
        <w:rPr>
          <w:sz w:val="20"/>
          <w:szCs w:val="20"/>
          <w:rtl/>
        </w:rPr>
        <w:t>. ראה פרק 3, הפסקה האחרונה של נספח טו.</w:t>
      </w:r>
    </w:p>
  </w:footnote>
  <w:footnote w:id="3558">
    <w:p w14:paraId="40A3B16A" w14:textId="77777777" w:rsidR="00AB3647" w:rsidRDefault="00000000">
      <w:pPr>
        <w:spacing w:after="0" w:before="0"/>
        <w:jc w:val="both"/>
      </w:pPr>
      <w:r>
        <w:rPr>
          <w:sz w:val="20"/>
          <w:szCs w:val="20"/>
          <w:rtl/>
        </w:rPr>
        <w:footnoteRef/>
      </w:r>
      <w:r>
        <w:rPr>
          <w:sz w:val="20"/>
          <w:szCs w:val="20"/>
          <w:rtl/>
        </w:rPr>
        <w:t>. ריאיון מ־5 במרץ 1997.</w:t>
      </w:r>
    </w:p>
  </w:footnote>
  <w:footnote w:id="3559">
    <w:p w14:paraId="62D9F484" w14:textId="77777777" w:rsidR="00AB3647" w:rsidRDefault="00000000">
      <w:pPr>
        <w:spacing w:after="0" w:before="0"/>
        <w:jc w:val="both"/>
      </w:pPr>
      <w:r>
        <w:rPr>
          <w:sz w:val="20"/>
          <w:szCs w:val="20"/>
          <w:rtl/>
        </w:rPr>
        <w:footnoteRef/>
      </w:r>
      <w:r>
        <w:rPr>
          <w:sz w:val="20"/>
          <w:szCs w:val="20"/>
          <w:rtl/>
        </w:rPr>
        <w:t>. בשיחה מוקלטת.</w:t>
      </w:r>
    </w:p>
  </w:footnote>
  <w:footnote w:id="3560">
    <w:p w14:paraId="5E8650F4" w14:textId="77777777" w:rsidR="00AB3647" w:rsidRDefault="00000000">
      <w:pPr>
        <w:spacing w:after="0" w:before="0"/>
        <w:jc w:val="both"/>
      </w:pPr>
      <w:r>
        <w:rPr>
          <w:sz w:val="20"/>
          <w:szCs w:val="20"/>
          <w:rtl/>
        </w:rPr>
        <w:footnoteRef/>
      </w:r>
      <w:r>
        <w:rPr>
          <w:sz w:val="20"/>
          <w:szCs w:val="20"/>
          <w:rtl/>
        </w:rPr>
        <w:t xml:space="preserve">. מסתבר שהתכוון ‘אפילו קדשים’, מפני שתלמידי חכמים בקיאים בדרך כלל בסדר זה פחות מאשר בנשים </w:t>
      </w:r>
      <w:proofErr w:type="spellStart"/>
      <w:r>
        <w:rPr>
          <w:sz w:val="20"/>
          <w:szCs w:val="20"/>
          <w:rtl/>
        </w:rPr>
        <w:t>ובנזיקין</w:t>
      </w:r>
      <w:proofErr w:type="spellEnd"/>
      <w:r>
        <w:rPr>
          <w:sz w:val="20"/>
          <w:szCs w:val="20"/>
          <w:rtl/>
        </w:rPr>
        <w:t>.</w:t>
      </w:r>
    </w:p>
  </w:footnote>
  <w:footnote w:id="3561">
    <w:p w14:paraId="61DC9B26" w14:textId="77777777" w:rsidR="00AB3647" w:rsidRDefault="00000000">
      <w:pPr>
        <w:spacing w:after="0" w:before="0"/>
        <w:jc w:val="both"/>
      </w:pPr>
      <w:r>
        <w:rPr>
          <w:sz w:val="20"/>
          <w:szCs w:val="20"/>
          <w:rtl/>
        </w:rPr>
        <w:footnoteRef/>
      </w:r>
      <w:r>
        <w:rPr>
          <w:sz w:val="20"/>
          <w:szCs w:val="20"/>
          <w:rtl/>
        </w:rPr>
        <w:t xml:space="preserve">. הפסקה החמישית של נספח ט להלן – עמ׳ </w:t>
      </w:r>
      <w:proofErr w:type="spellStart"/>
      <w:r>
        <w:rPr>
          <w:sz w:val="20"/>
          <w:szCs w:val="20"/>
          <w:rtl/>
        </w:rPr>
        <w:t>קג</w:t>
      </w:r>
      <w:proofErr w:type="spellEnd"/>
      <w:r>
        <w:rPr>
          <w:sz w:val="20"/>
          <w:szCs w:val="20"/>
          <w:rtl/>
        </w:rPr>
        <w:t>–קד.</w:t>
      </w:r>
    </w:p>
  </w:footnote>
  <w:footnote w:id="3562">
    <w:p w14:paraId="6738D9F8" w14:textId="77777777" w:rsidR="00AB3647" w:rsidRDefault="00000000">
      <w:pPr>
        <w:spacing w:after="0" w:before="0"/>
        <w:jc w:val="both"/>
      </w:pPr>
      <w:r>
        <w:rPr>
          <w:sz w:val="20"/>
          <w:szCs w:val="20"/>
          <w:rtl/>
        </w:rPr>
        <w:footnoteRef/>
      </w:r>
      <w:r>
        <w:rPr>
          <w:sz w:val="20"/>
          <w:szCs w:val="20"/>
          <w:rtl/>
        </w:rPr>
        <w:t>. הערה בעמ׳ קד. השווה גם פרק 3, סוף הערה 138.</w:t>
      </w:r>
    </w:p>
  </w:footnote>
  <w:footnote w:id="3563">
    <w:p w14:paraId="0B0EDEC8" w14:textId="77777777" w:rsidR="00AB3647" w:rsidRDefault="00000000">
      <w:pPr>
        <w:spacing w:after="0" w:before="0"/>
        <w:jc w:val="both"/>
      </w:pPr>
      <w:r>
        <w:rPr>
          <w:sz w:val="20"/>
          <w:szCs w:val="20"/>
          <w:rtl/>
        </w:rPr>
        <w:footnoteRef/>
      </w:r>
      <w:r>
        <w:rPr>
          <w:sz w:val="20"/>
          <w:szCs w:val="20"/>
          <w:rtl/>
        </w:rPr>
        <w:t xml:space="preserve">. השווה הערת שוליים </w:t>
      </w:r>
      <w:r>
        <w:rPr>
          <w:sz w:val="20"/>
          <w:szCs w:val="20"/>
          <w:rtl/>
        </w:rPr>
        <w:fldChar w:fldCharType="begin" w:dirty="true"/>
      </w:r>
      <w:r>
        <w:rPr>
          <w:sz w:val="20"/>
          <w:szCs w:val="20"/>
          <w:rtl/>
        </w:rPr>
        <w:instrText xml:space="preserve"> NOTEREF pr_f_1316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564">
    <w:p w14:paraId="54855068" w14:textId="77777777" w:rsidR="00AB3647" w:rsidRDefault="00000000">
      <w:pPr>
        <w:spacing w:after="0" w:before="0"/>
        <w:jc w:val="both"/>
      </w:pPr>
      <w:r>
        <w:rPr>
          <w:sz w:val="20"/>
          <w:szCs w:val="20"/>
          <w:rtl/>
        </w:rPr>
        <w:footnoteRef/>
      </w:r>
      <w:r>
        <w:rPr>
          <w:sz w:val="20"/>
          <w:szCs w:val="20"/>
          <w:rtl/>
        </w:rPr>
        <w:t xml:space="preserve">. השווה פרק 3, סוף הפסקה השלישית של נספח </w:t>
      </w:r>
      <w:proofErr w:type="spellStart"/>
      <w:r>
        <w:rPr>
          <w:sz w:val="20"/>
          <w:szCs w:val="20"/>
          <w:rtl/>
        </w:rPr>
        <w:t>יח</w:t>
      </w:r>
      <w:proofErr w:type="spellEnd"/>
      <w:r>
        <w:rPr>
          <w:sz w:val="20"/>
          <w:szCs w:val="20"/>
          <w:rtl/>
        </w:rPr>
        <w:t>.</w:t>
      </w:r>
    </w:p>
  </w:footnote>
  <w:footnote w:id="3565">
    <w:p w14:paraId="196A9700" w14:textId="77777777" w:rsidR="00AB3647" w:rsidRDefault="00000000">
      <w:pPr>
        <w:spacing w:after="0" w:before="0"/>
        <w:jc w:val="both"/>
      </w:pPr>
      <w:r>
        <w:rPr>
          <w:sz w:val="20"/>
          <w:szCs w:val="20"/>
          <w:rtl/>
        </w:rPr>
        <w:footnoteRef/>
      </w:r>
      <w:r>
        <w:rPr>
          <w:sz w:val="20"/>
          <w:szCs w:val="20"/>
          <w:rtl/>
        </w:rPr>
        <w:t>. עמ׳ 73.</w:t>
      </w:r>
    </w:p>
  </w:footnote>
  <w:footnote w:id="3566">
    <w:p w14:paraId="292FA016" w14:textId="77777777" w:rsidR="00AB3647" w:rsidRDefault="00000000">
      <w:pPr>
        <w:spacing w:after="0" w:before="0"/>
        <w:jc w:val="both"/>
      </w:pPr>
      <w:r>
        <w:rPr>
          <w:sz w:val="20"/>
          <w:szCs w:val="20"/>
          <w:rtl/>
        </w:rPr>
        <w:footnoteRef/>
      </w:r>
      <w:r>
        <w:rPr>
          <w:sz w:val="20"/>
          <w:szCs w:val="20"/>
          <w:rtl/>
        </w:rPr>
        <w:t>. הוא היה מבוגר בהרבה ממחבר המאמר, ולמד בישיבה בתקופה מוקדמת יותר.</w:t>
      </w:r>
    </w:p>
  </w:footnote>
  <w:footnote w:id="3567">
    <w:p w14:paraId="231D319A" w14:textId="77777777" w:rsidR="00AB3647" w:rsidRDefault="00000000">
      <w:pPr>
        <w:spacing w:after="0" w:before="0"/>
        <w:jc w:val="both"/>
      </w:pPr>
      <w:r>
        <w:rPr>
          <w:sz w:val="20"/>
          <w:szCs w:val="20"/>
          <w:rtl/>
        </w:rPr>
        <w:footnoteRef/>
      </w:r>
      <w:r>
        <w:rPr>
          <w:sz w:val="20"/>
          <w:szCs w:val="20"/>
          <w:rtl/>
        </w:rPr>
        <w:t>. ראה הפסקה השלישית מן הסוף בפרק 3.1.</w:t>
      </w:r>
    </w:p>
  </w:footnote>
  <w:footnote w:id="3568">
    <w:p w14:paraId="3204B0F8" w14:textId="77777777" w:rsidR="00AB3647" w:rsidRDefault="00000000">
      <w:pPr>
        <w:spacing w:after="0" w:before="0"/>
        <w:jc w:val="both"/>
      </w:pPr>
      <w:r>
        <w:rPr>
          <w:sz w:val="20"/>
          <w:szCs w:val="20"/>
          <w:rtl/>
        </w:rPr>
        <w:footnoteRef/>
      </w:r>
      <w:r>
        <w:rPr>
          <w:sz w:val="20"/>
          <w:szCs w:val="20"/>
          <w:rtl/>
        </w:rPr>
        <w:t>. הגיליון מי״ד באדר ב תרע״ו.</w:t>
      </w:r>
    </w:p>
  </w:footnote>
  <w:footnote w:id="3569">
    <w:p w14:paraId="7905F3A1"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יט</w:t>
      </w:r>
      <w:proofErr w:type="spellEnd"/>
      <w:r>
        <w:rPr>
          <w:sz w:val="20"/>
          <w:szCs w:val="20"/>
          <w:rtl/>
        </w:rPr>
        <w:t xml:space="preserve"> להלן.</w:t>
      </w:r>
    </w:p>
  </w:footnote>
  <w:footnote w:id="3570">
    <w:p w14:paraId="74606A03" w14:textId="77777777" w:rsidR="00AB3647" w:rsidRDefault="00000000">
      <w:pPr>
        <w:spacing w:after="0" w:before="0"/>
        <w:jc w:val="both"/>
      </w:pPr>
      <w:r>
        <w:rPr>
          <w:sz w:val="20"/>
          <w:szCs w:val="20"/>
          <w:rtl/>
        </w:rPr>
        <w:footnoteRef/>
      </w:r>
      <w:r>
        <w:rPr>
          <w:sz w:val="20"/>
          <w:szCs w:val="20"/>
          <w:rtl/>
        </w:rPr>
        <w:t>. מוסד הרב קוק, ירושלים, תש״ח – עמ׳ 117–130.</w:t>
      </w:r>
    </w:p>
  </w:footnote>
  <w:footnote w:id="3571">
    <w:p w14:paraId="31CFDF1D" w14:textId="77777777" w:rsidR="00AB3647" w:rsidRDefault="00000000">
      <w:pPr>
        <w:spacing w:after="0" w:before="0"/>
        <w:jc w:val="both"/>
      </w:pPr>
      <w:r>
        <w:rPr>
          <w:sz w:val="20"/>
          <w:szCs w:val="20"/>
          <w:rtl/>
        </w:rPr>
        <w:footnoteRef/>
      </w:r>
      <w:r>
        <w:rPr>
          <w:sz w:val="20"/>
          <w:szCs w:val="20"/>
          <w:rtl/>
        </w:rPr>
        <w:t>. נספח ח להלן.</w:t>
      </w:r>
    </w:p>
  </w:footnote>
  <w:footnote w:id="3572">
    <w:p w14:paraId="0EAF3647" w14:textId="77777777" w:rsidR="00AB3647" w:rsidRDefault="00000000">
      <w:pPr>
        <w:spacing w:after="0" w:before="0"/>
        <w:jc w:val="both"/>
      </w:pPr>
      <w:r>
        <w:rPr>
          <w:sz w:val="20"/>
          <w:szCs w:val="20"/>
          <w:rtl/>
        </w:rPr>
        <w:footnoteRef/>
      </w:r>
      <w:r>
        <w:rPr>
          <w:sz w:val="20"/>
          <w:szCs w:val="20"/>
          <w:rtl/>
        </w:rPr>
        <w:t>. שם, כרך ג, עמ׳ 153.</w:t>
      </w:r>
    </w:p>
  </w:footnote>
  <w:footnote w:id="3573">
    <w:p w14:paraId="72C1F3FE" w14:textId="77777777" w:rsidR="00AB3647" w:rsidRDefault="00000000">
      <w:pPr>
        <w:spacing w:after="0" w:before="0"/>
        <w:jc w:val="both"/>
      </w:pPr>
      <w:r>
        <w:rPr>
          <w:sz w:val="20"/>
          <w:szCs w:val="20"/>
          <w:rtl/>
        </w:rPr>
        <w:footnoteRef/>
      </w:r>
      <w:r>
        <w:rPr>
          <w:sz w:val="20"/>
          <w:szCs w:val="20"/>
          <w:rtl/>
        </w:rPr>
        <w:t>. קידושין ז ע״א.</w:t>
      </w:r>
    </w:p>
  </w:footnote>
  <w:footnote w:id="3574">
    <w:p w14:paraId="15BA4BF1"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אה״ע</w:t>
      </w:r>
      <w:proofErr w:type="spellEnd"/>
      <w:r>
        <w:rPr>
          <w:sz w:val="20"/>
          <w:szCs w:val="20"/>
          <w:rtl/>
        </w:rPr>
        <w:t xml:space="preserve"> </w:t>
      </w:r>
      <w:proofErr w:type="spellStart"/>
      <w:r>
        <w:rPr>
          <w:sz w:val="20"/>
          <w:szCs w:val="20"/>
          <w:rtl/>
        </w:rPr>
        <w:t>סס״י</w:t>
      </w:r>
      <w:proofErr w:type="spellEnd"/>
      <w:r>
        <w:rPr>
          <w:sz w:val="20"/>
          <w:szCs w:val="20"/>
          <w:rtl/>
        </w:rPr>
        <w:t xml:space="preserve"> כ״ז.</w:t>
      </w:r>
    </w:p>
  </w:footnote>
  <w:footnote w:id="3575">
    <w:p w14:paraId="270008FC" w14:textId="77777777" w:rsidR="00AB3647" w:rsidRDefault="00000000">
      <w:pPr>
        <w:spacing w:after="0" w:before="0"/>
        <w:jc w:val="both"/>
      </w:pPr>
      <w:r>
        <w:rPr>
          <w:sz w:val="20"/>
          <w:szCs w:val="20"/>
          <w:rtl/>
        </w:rPr>
        <w:footnoteRef/>
      </w:r>
      <w:r>
        <w:rPr>
          <w:sz w:val="20"/>
          <w:szCs w:val="20"/>
          <w:rtl/>
        </w:rPr>
        <w:t>. השווה פרק 3, סוף הפסקה השנייה של נספח טו.</w:t>
      </w:r>
    </w:p>
  </w:footnote>
  <w:footnote w:id="3576">
    <w:p w14:paraId="47657A5F" w14:textId="77777777" w:rsidR="00AB3647" w:rsidRDefault="00000000">
      <w:pPr>
        <w:spacing w:after="0" w:before="0"/>
        <w:jc w:val="both"/>
      </w:pPr>
      <w:r>
        <w:rPr>
          <w:sz w:val="20"/>
          <w:szCs w:val="20"/>
          <w:rtl/>
        </w:rPr>
        <w:footnoteRef/>
      </w:r>
      <w:r>
        <w:rPr>
          <w:sz w:val="20"/>
          <w:szCs w:val="20"/>
          <w:rtl/>
        </w:rPr>
        <w:t>. הפסקה השנייה של נספח ב להלן – עמ׳ 282–283.</w:t>
      </w:r>
    </w:p>
  </w:footnote>
  <w:footnote w:id="3577">
    <w:p w14:paraId="1B146BA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תרצ״ה, ס״ב בהגה.</w:t>
      </w:r>
    </w:p>
  </w:footnote>
  <w:footnote w:id="3578">
    <w:p w14:paraId="797290AC" w14:textId="77777777" w:rsidR="00AB3647" w:rsidRDefault="00000000">
      <w:pPr>
        <w:spacing w:after="0" w:before="0"/>
        <w:jc w:val="both"/>
      </w:pPr>
      <w:r>
        <w:rPr>
          <w:sz w:val="20"/>
          <w:szCs w:val="20"/>
          <w:rtl/>
        </w:rPr>
        <w:footnoteRef/>
      </w:r>
      <w:r>
        <w:rPr>
          <w:sz w:val="20"/>
          <w:szCs w:val="20"/>
          <w:rtl/>
        </w:rPr>
        <w:t>. מגילה ז ע״ב.</w:t>
      </w:r>
    </w:p>
  </w:footnote>
  <w:footnote w:id="3579">
    <w:p w14:paraId="3B2520BA" w14:textId="77777777" w:rsidR="00AB3647" w:rsidRDefault="00000000">
      <w:pPr>
        <w:spacing w:after="0" w:before="0"/>
        <w:jc w:val="both"/>
      </w:pPr>
      <w:r>
        <w:rPr>
          <w:sz w:val="20"/>
          <w:szCs w:val="20"/>
          <w:rtl/>
        </w:rPr>
        <w:footnoteRef/>
      </w:r>
      <w:r>
        <w:rPr>
          <w:sz w:val="20"/>
          <w:szCs w:val="20"/>
          <w:rtl/>
        </w:rPr>
        <w:t xml:space="preserve">. כמובא במשנה ברורה </w:t>
      </w:r>
      <w:proofErr w:type="spellStart"/>
      <w:r>
        <w:rPr>
          <w:sz w:val="20"/>
          <w:szCs w:val="20"/>
          <w:rtl/>
        </w:rPr>
        <w:t>ס״ק</w:t>
      </w:r>
      <w:proofErr w:type="spellEnd"/>
      <w:r>
        <w:rPr>
          <w:sz w:val="20"/>
          <w:szCs w:val="20"/>
          <w:rtl/>
        </w:rPr>
        <w:t xml:space="preserve"> ה.</w:t>
      </w:r>
    </w:p>
  </w:footnote>
  <w:footnote w:id="3580">
    <w:p w14:paraId="1A655E5B" w14:textId="77777777" w:rsidR="00AB3647" w:rsidRDefault="00000000">
      <w:pPr>
        <w:spacing w:after="0" w:before="0"/>
        <w:jc w:val="both"/>
      </w:pPr>
      <w:r>
        <w:rPr>
          <w:sz w:val="20"/>
          <w:szCs w:val="20"/>
          <w:rtl/>
        </w:rPr>
        <w:footnoteRef/>
      </w:r>
      <w:r>
        <w:rPr>
          <w:sz w:val="20"/>
          <w:szCs w:val="20"/>
          <w:rtl/>
        </w:rPr>
        <w:t>. עמ׳ 236–237.</w:t>
      </w:r>
    </w:p>
  </w:footnote>
  <w:footnote w:id="3581">
    <w:p w14:paraId="3DE19A48" w14:textId="77777777" w:rsidR="00AB3647" w:rsidRDefault="00000000">
      <w:pPr>
        <w:spacing w:after="0" w:before="0"/>
        <w:jc w:val="both"/>
      </w:pPr>
      <w:r>
        <w:rPr>
          <w:sz w:val="20"/>
          <w:szCs w:val="20"/>
          <w:rtl/>
        </w:rPr>
        <w:footnoteRef/>
      </w:r>
      <w:r>
        <w:rPr>
          <w:sz w:val="20"/>
          <w:szCs w:val="20"/>
          <w:rtl/>
        </w:rPr>
        <w:t>. השווה עירובין ס״ה ע״א. השווה גם “שפת אמת על הש״ס”, מגילה ז ע״ב, שפוסק כן אך אינו קושר את הפטור לפטור ממצוות אחרות.</w:t>
      </w:r>
    </w:p>
  </w:footnote>
  <w:footnote w:id="3582">
    <w:p w14:paraId="12E8921A" w14:textId="77777777" w:rsidR="00AB3647" w:rsidRDefault="00000000">
      <w:pPr>
        <w:spacing w:after="0" w:before="0"/>
        <w:jc w:val="both"/>
      </w:pPr>
      <w:r>
        <w:rPr>
          <w:sz w:val="20"/>
          <w:szCs w:val="20"/>
          <w:rtl/>
        </w:rPr>
        <w:footnoteRef/>
      </w:r>
      <w:r>
        <w:rPr>
          <w:sz w:val="20"/>
          <w:szCs w:val="20"/>
          <w:rtl/>
        </w:rPr>
        <w:t>. שם.</w:t>
      </w:r>
    </w:p>
  </w:footnote>
  <w:footnote w:id="3583">
    <w:p w14:paraId="7F39B008" w14:textId="77777777" w:rsidR="00AB3647" w:rsidRDefault="00000000">
      <w:pPr>
        <w:spacing w:after="0" w:before="0"/>
        <w:jc w:val="both"/>
      </w:pPr>
      <w:r>
        <w:rPr>
          <w:sz w:val="20"/>
          <w:szCs w:val="20"/>
          <w:rtl/>
        </w:rPr>
        <w:footnoteRef/>
      </w:r>
      <w:r>
        <w:rPr>
          <w:sz w:val="20"/>
          <w:szCs w:val="20"/>
          <w:rtl/>
        </w:rPr>
        <w:t xml:space="preserve">. השווה סוף הפסקה הראשונה של נספח י להלן, על האופן שבו הבין ר׳ </w:t>
      </w:r>
      <w:proofErr w:type="spellStart"/>
      <w:r>
        <w:rPr>
          <w:sz w:val="20"/>
          <w:szCs w:val="20"/>
          <w:rtl/>
        </w:rPr>
        <w:t>יחיאל־יעקב</w:t>
      </w:r>
      <w:proofErr w:type="spellEnd"/>
      <w:r>
        <w:rPr>
          <w:sz w:val="20"/>
          <w:szCs w:val="20"/>
          <w:rtl/>
        </w:rPr>
        <w:t xml:space="preserve"> ויינברג את חזרתו המיידית של ר׳ נפתלי לצלילות מלאה עם רדת הלילה.</w:t>
      </w:r>
    </w:p>
  </w:footnote>
  <w:footnote w:id="3584">
    <w:p w14:paraId="632312C6" w14:textId="77777777" w:rsidR="00AB3647" w:rsidRDefault="00000000">
      <w:pPr>
        <w:spacing w:after="0" w:before="0"/>
        <w:jc w:val="both"/>
      </w:pPr>
      <w:r>
        <w:rPr>
          <w:sz w:val="20"/>
          <w:szCs w:val="20"/>
          <w:rtl/>
        </w:rPr>
        <w:footnoteRef/>
      </w:r>
      <w:r>
        <w:rPr>
          <w:sz w:val="20"/>
          <w:szCs w:val="20"/>
          <w:rtl/>
        </w:rPr>
        <w:t>. הפסקה השלישית של נספח ט להלן – עמ׳ 27.</w:t>
      </w:r>
    </w:p>
  </w:footnote>
  <w:footnote w:id="3585">
    <w:p w14:paraId="5394171C" w14:textId="77777777" w:rsidR="00AB3647" w:rsidRDefault="00000000">
      <w:pPr>
        <w:spacing w:after="0" w:before="0"/>
        <w:jc w:val="both"/>
      </w:pPr>
      <w:r>
        <w:rPr>
          <w:sz w:val="20"/>
          <w:szCs w:val="20"/>
          <w:rtl/>
        </w:rPr>
        <w:footnoteRef/>
      </w:r>
      <w:r>
        <w:rPr>
          <w:sz w:val="20"/>
          <w:szCs w:val="20"/>
          <w:rtl/>
        </w:rPr>
        <w:t xml:space="preserve">. השווה נספח ט להלן, ופרק 3, הפסקה </w:t>
      </w:r>
      <w:proofErr w:type="spellStart"/>
      <w:r>
        <w:rPr>
          <w:sz w:val="20"/>
          <w:szCs w:val="20"/>
          <w:rtl/>
        </w:rPr>
        <w:t>הלפני־אחרונה</w:t>
      </w:r>
      <w:proofErr w:type="spellEnd"/>
      <w:r>
        <w:rPr>
          <w:sz w:val="20"/>
          <w:szCs w:val="20"/>
          <w:rtl/>
        </w:rPr>
        <w:t xml:space="preserve"> של נספח יד.</w:t>
      </w:r>
    </w:p>
  </w:footnote>
  <w:footnote w:id="3586">
    <w:p w14:paraId="73477D90" w14:textId="77777777" w:rsidR="00AB3647" w:rsidRDefault="00000000">
      <w:pPr>
        <w:spacing w:after="0" w:before="0"/>
        <w:jc w:val="both"/>
      </w:pPr>
      <w:r>
        <w:rPr>
          <w:sz w:val="20"/>
          <w:szCs w:val="20"/>
          <w:rtl/>
        </w:rPr>
        <w:footnoteRef/>
      </w:r>
      <w:r>
        <w:rPr>
          <w:sz w:val="20"/>
          <w:szCs w:val="20"/>
          <w:rtl/>
        </w:rPr>
        <w:t xml:space="preserve">. הוצאת בית המוסר ע״ש ר׳ ח.מ. להמן, ירושלים, תשמ״ו – עמ׳ </w:t>
      </w:r>
      <w:proofErr w:type="spellStart"/>
      <w:r>
        <w:rPr>
          <w:sz w:val="20"/>
          <w:szCs w:val="20"/>
          <w:rtl/>
        </w:rPr>
        <w:t>תסח</w:t>
      </w:r>
      <w:proofErr w:type="spellEnd"/>
      <w:r>
        <w:rPr>
          <w:sz w:val="20"/>
          <w:szCs w:val="20"/>
          <w:rtl/>
        </w:rPr>
        <w:t xml:space="preserve">. המחבר האלמוני הוא ר׳ שלמה </w:t>
      </w:r>
      <w:proofErr w:type="spellStart"/>
      <w:r>
        <w:rPr>
          <w:sz w:val="20"/>
          <w:szCs w:val="20"/>
          <w:rtl/>
        </w:rPr>
        <w:t>וולבה</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pr_f_2318 \h </w:instrText>
      </w:r>
      <w:r>
        <w:rPr>
          <w:sz w:val="20"/>
          <w:szCs w:val="20"/>
          <w:rtl/>
        </w:rPr>
      </w:r>
      <w:r>
        <w:rPr>
          <w:sz w:val="20"/>
          <w:szCs w:val="20"/>
          <w:rtl/>
        </w:rPr>
        <w:fldChar w:fldCharType="separate"/>
      </w:r>
      <w:r w:rsidR="007923E9">
        <w:rPr>
          <w:sz w:val="20"/>
          <w:szCs w:val="20"/>
          <w:rtl/>
        </w:rPr>
        <w:t>1364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pr_f_2318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חיבור אלמוני נוסף של אותו מחבר.</w:t>
      </w:r>
    </w:p>
  </w:footnote>
  <w:footnote w:id="3587">
    <w:p w14:paraId="18A8E8D6" w14:textId="77777777" w:rsidR="00AB3647" w:rsidRDefault="00000000">
      <w:pPr>
        <w:spacing w:after="0" w:before="0"/>
        <w:jc w:val="both"/>
      </w:pPr>
      <w:r>
        <w:rPr>
          <w:sz w:val="20"/>
          <w:szCs w:val="20"/>
          <w:rtl/>
        </w:rPr>
        <w:footnoteRef/>
      </w:r>
      <w:r>
        <w:rPr>
          <w:sz w:val="20"/>
          <w:szCs w:val="20"/>
          <w:rtl/>
        </w:rPr>
        <w:t>. נספח ד להלן.</w:t>
      </w:r>
    </w:p>
  </w:footnote>
  <w:footnote w:id="3588">
    <w:p w14:paraId="22F92665" w14:textId="77777777" w:rsidR="00AB3647" w:rsidRDefault="00000000">
      <w:pPr>
        <w:spacing w:after="0" w:before="0"/>
        <w:jc w:val="both"/>
      </w:pPr>
      <w:r>
        <w:rPr>
          <w:sz w:val="20"/>
          <w:szCs w:val="20"/>
          <w:rtl/>
        </w:rPr>
        <w:footnoteRef/>
      </w:r>
      <w:r>
        <w:rPr>
          <w:sz w:val="20"/>
          <w:szCs w:val="20"/>
          <w:rtl/>
        </w:rPr>
        <w:t>. ראה פרק 3, נספח ב.</w:t>
      </w:r>
    </w:p>
  </w:footnote>
  <w:footnote w:id="3589">
    <w:p w14:paraId="4B42C390" w14:textId="77777777" w:rsidR="00AB3647" w:rsidRDefault="00000000">
      <w:pPr>
        <w:spacing w:after="0" w:before="0"/>
        <w:jc w:val="both"/>
      </w:pPr>
      <w:r>
        <w:rPr>
          <w:sz w:val="20"/>
          <w:szCs w:val="20"/>
          <w:rtl/>
        </w:rPr>
        <w:footnoteRef/>
      </w:r>
      <w:r>
        <w:rPr>
          <w:sz w:val="20"/>
          <w:szCs w:val="20"/>
          <w:rtl/>
        </w:rPr>
        <w:t xml:space="preserve">. נספח י להלן – עמ׳ </w:t>
      </w:r>
      <w:proofErr w:type="spellStart"/>
      <w:r>
        <w:rPr>
          <w:sz w:val="20"/>
          <w:szCs w:val="20"/>
          <w:rtl/>
        </w:rPr>
        <w:t>נה</w:t>
      </w:r>
      <w:proofErr w:type="spellEnd"/>
      <w:r>
        <w:rPr>
          <w:sz w:val="20"/>
          <w:szCs w:val="20"/>
          <w:rtl/>
        </w:rPr>
        <w:t>.</w:t>
      </w:r>
    </w:p>
  </w:footnote>
  <w:footnote w:id="3590">
    <w:p w14:paraId="5B55411B" w14:textId="77777777" w:rsidR="00AB3647" w:rsidRDefault="00000000">
      <w:pPr>
        <w:spacing w:after="0" w:before="0"/>
        <w:jc w:val="both"/>
      </w:pPr>
      <w:r>
        <w:rPr>
          <w:sz w:val="20"/>
          <w:szCs w:val="20"/>
          <w:rtl/>
        </w:rPr>
        <w:footnoteRef/>
      </w:r>
      <w:r>
        <w:rPr>
          <w:sz w:val="20"/>
          <w:szCs w:val="20"/>
          <w:rtl/>
        </w:rPr>
        <w:t xml:space="preserve">. אבל ע׳ בספר דעת תורה </w:t>
      </w:r>
      <w:proofErr w:type="spellStart"/>
      <w:r>
        <w:rPr>
          <w:sz w:val="20"/>
          <w:szCs w:val="20"/>
          <w:rtl/>
        </w:rPr>
        <w:t>לר</w:t>
      </w:r>
      <w:proofErr w:type="spellEnd"/>
      <w:r>
        <w:rPr>
          <w:sz w:val="20"/>
          <w:szCs w:val="20"/>
          <w:rtl/>
        </w:rPr>
        <w:t xml:space="preserve">׳ ירוחם </w:t>
      </w:r>
      <w:proofErr w:type="spellStart"/>
      <w:r>
        <w:rPr>
          <w:sz w:val="20"/>
          <w:szCs w:val="20"/>
          <w:rtl/>
        </w:rPr>
        <w:t>ליבוביץ</w:t>
      </w:r>
      <w:proofErr w:type="spellEnd"/>
      <w:r>
        <w:rPr>
          <w:sz w:val="20"/>
          <w:szCs w:val="20"/>
          <w:rtl/>
        </w:rPr>
        <w:t xml:space="preserve">, משגיח ישיבת </w:t>
      </w:r>
      <w:proofErr w:type="spellStart"/>
      <w:r>
        <w:rPr>
          <w:sz w:val="20"/>
          <w:szCs w:val="20"/>
          <w:rtl/>
        </w:rPr>
        <w:t>מיר</w:t>
      </w:r>
      <w:proofErr w:type="spellEnd"/>
      <w:r>
        <w:rPr>
          <w:sz w:val="20"/>
          <w:szCs w:val="20"/>
          <w:rtl/>
        </w:rPr>
        <w:t>, שכותב (</w:t>
      </w:r>
      <w:proofErr w:type="spellStart"/>
      <w:r>
        <w:rPr>
          <w:sz w:val="20"/>
          <w:szCs w:val="20"/>
          <w:rtl/>
        </w:rPr>
        <w:t>בפ</w:t>
      </w:r>
      <w:proofErr w:type="spellEnd"/>
      <w:r>
        <w:rPr>
          <w:sz w:val="20"/>
          <w:szCs w:val="20"/>
          <w:rtl/>
        </w:rPr>
        <w:t xml:space="preserve">׳ וישב) ששאל מאדם צדיק וגדול מאד ביום שמחת תורה (שגם אז היו שותים משקאות חריפים בליטא) מדוע אינו מתבשם במעט יי״ש, והלה ענה: אני מכיר את עצמי היטב ויודע חולשותיי, ואני מפחד </w:t>
      </w:r>
      <w:proofErr w:type="spellStart"/>
      <w:r>
        <w:rPr>
          <w:sz w:val="20"/>
          <w:szCs w:val="20"/>
          <w:rtl/>
        </w:rPr>
        <w:t>להתגלף</w:t>
      </w:r>
      <w:proofErr w:type="spellEnd"/>
      <w:r>
        <w:rPr>
          <w:sz w:val="20"/>
          <w:szCs w:val="20"/>
          <w:rtl/>
        </w:rPr>
        <w:t xml:space="preserve"> אף מעט. (ובקשר לזה עיין של״ה שער האותיות דף פ״ד: שכ׳ אשרי מי שלא היה שיכור מימיו.) ויש לנחש שר׳ ירוחם שאל את השאלה לרבו, ר׳ שמחה </w:t>
      </w:r>
      <w:proofErr w:type="spellStart"/>
      <w:r>
        <w:rPr>
          <w:sz w:val="20"/>
          <w:szCs w:val="20"/>
          <w:rtl/>
        </w:rPr>
        <w:t>זיסל</w:t>
      </w:r>
      <w:proofErr w:type="spellEnd"/>
      <w:r>
        <w:rPr>
          <w:sz w:val="20"/>
          <w:szCs w:val="20"/>
          <w:rtl/>
        </w:rPr>
        <w:t xml:space="preserve"> זיו; ואכן, לפי זה, מסתמא גם בפורים לא התבשם. אומנם, ייתכן שאף שבעצמו לא קיים את הדין כפשוטו, הורה ר׳ שמחה </w:t>
      </w:r>
      <w:proofErr w:type="spellStart"/>
      <w:r>
        <w:rPr>
          <w:sz w:val="20"/>
          <w:szCs w:val="20"/>
          <w:rtl/>
        </w:rPr>
        <w:t>זיסל</w:t>
      </w:r>
      <w:proofErr w:type="spellEnd"/>
      <w:r>
        <w:rPr>
          <w:sz w:val="20"/>
          <w:szCs w:val="20"/>
          <w:rtl/>
        </w:rPr>
        <w:t xml:space="preserve"> לתלמידיו, אותם שאינם “מפחדים”, להשתכר ממש, ולכן נהגו ככה </w:t>
      </w:r>
      <w:proofErr w:type="spellStart"/>
      <w:r>
        <w:rPr>
          <w:sz w:val="20"/>
          <w:szCs w:val="20"/>
          <w:rtl/>
        </w:rPr>
        <w:t>ב“תלמוד</w:t>
      </w:r>
      <w:proofErr w:type="spellEnd"/>
      <w:r>
        <w:rPr>
          <w:sz w:val="20"/>
          <w:szCs w:val="20"/>
          <w:rtl/>
        </w:rPr>
        <w:t xml:space="preserve"> תורה” אף עשרות שנים אחרי פטירת מייסדה.</w:t>
      </w:r>
    </w:p>
  </w:footnote>
  <w:footnote w:id="3591">
    <w:p w14:paraId="70AF81D2" w14:textId="77777777" w:rsidR="00AB3647" w:rsidRDefault="00000000">
      <w:pPr>
        <w:spacing w:after="0" w:before="0"/>
        <w:jc w:val="both"/>
      </w:pPr>
      <w:r>
        <w:rPr>
          <w:sz w:val="20"/>
          <w:szCs w:val="20"/>
          <w:rtl/>
        </w:rPr>
        <w:footnoteRef/>
      </w:r>
      <w:r>
        <w:rPr>
          <w:sz w:val="20"/>
          <w:szCs w:val="20"/>
          <w:rtl/>
        </w:rPr>
        <w:t>. השווה נספח י להלן.</w:t>
      </w:r>
    </w:p>
  </w:footnote>
  <w:footnote w:id="3592">
    <w:p w14:paraId="18144D67"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עמ׳ 13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תשנ״ג.</w:t>
      </w:r>
    </w:p>
  </w:footnote>
  <w:footnote w:id="3593">
    <w:p w14:paraId="5DEA227C" w14:textId="77777777" w:rsidR="00AB3647" w:rsidRDefault="00000000">
      <w:pPr>
        <w:spacing w:after="0" w:before="0"/>
        <w:jc w:val="both"/>
      </w:pPr>
      <w:r>
        <w:rPr>
          <w:sz w:val="20"/>
          <w:szCs w:val="20"/>
          <w:rtl/>
        </w:rPr>
        <w:footnoteRef/>
      </w:r>
      <w:r>
        <w:rPr>
          <w:sz w:val="20"/>
          <w:szCs w:val="20"/>
          <w:rtl/>
        </w:rPr>
        <w:t>. השווה פרק 2, הערה 106.</w:t>
      </w:r>
    </w:p>
  </w:footnote>
  <w:footnote w:id="3594">
    <w:p w14:paraId="7A39E67B" w14:textId="77777777" w:rsidR="00AB3647" w:rsidRDefault="00000000">
      <w:pPr>
        <w:spacing w:after="0" w:before="0"/>
        <w:jc w:val="both"/>
      </w:pPr>
      <w:r>
        <w:rPr>
          <w:sz w:val="20"/>
          <w:szCs w:val="20"/>
          <w:rtl/>
        </w:rPr>
        <w:footnoteRef/>
      </w:r>
      <w:r>
        <w:rPr>
          <w:sz w:val="20"/>
          <w:szCs w:val="20"/>
          <w:rtl/>
        </w:rPr>
        <w:t>. הפסקה השנייה של נספח ט להלן – עמ׳ 318–319.</w:t>
      </w:r>
    </w:p>
  </w:footnote>
  <w:footnote w:id="3595">
    <w:p w14:paraId="1A4BEB0E" w14:textId="77777777" w:rsidR="00AB3647" w:rsidRDefault="00000000">
      <w:pPr>
        <w:spacing w:after="0" w:before="0"/>
        <w:jc w:val="both"/>
      </w:pPr>
      <w:r>
        <w:rPr>
          <w:sz w:val="20"/>
          <w:szCs w:val="20"/>
          <w:rtl/>
        </w:rPr>
        <w:footnoteRef/>
      </w:r>
      <w:r>
        <w:rPr>
          <w:sz w:val="20"/>
          <w:szCs w:val="20"/>
          <w:rtl/>
        </w:rPr>
        <w:t>. הגיליון מי״ז באב תרמ״ג.</w:t>
      </w:r>
    </w:p>
  </w:footnote>
  <w:footnote w:id="3596">
    <w:p w14:paraId="6D8540FD" w14:textId="77777777" w:rsidR="00AB3647" w:rsidRDefault="00000000">
      <w:pPr>
        <w:spacing w:after="0" w:before="0"/>
        <w:jc w:val="both"/>
      </w:pPr>
      <w:r>
        <w:rPr>
          <w:sz w:val="20"/>
          <w:szCs w:val="20"/>
          <w:rtl/>
        </w:rPr>
        <w:footnoteRef/>
      </w:r>
      <w:r>
        <w:rPr>
          <w:sz w:val="20"/>
          <w:szCs w:val="20"/>
          <w:rtl/>
        </w:rPr>
        <w:t>. פרק 3, סוף הערה 68.</w:t>
      </w:r>
    </w:p>
  </w:footnote>
  <w:footnote w:id="3597">
    <w:p w14:paraId="2C1B2000" w14:textId="77777777" w:rsidR="00AB3647" w:rsidRDefault="00000000">
      <w:pPr>
        <w:spacing w:after="0" w:before="0"/>
        <w:jc w:val="both"/>
      </w:pPr>
      <w:r>
        <w:rPr>
          <w:sz w:val="20"/>
          <w:szCs w:val="20"/>
          <w:rtl/>
        </w:rPr>
        <w:footnoteRef/>
      </w:r>
      <w:r>
        <w:rPr>
          <w:sz w:val="20"/>
          <w:szCs w:val="20"/>
          <w:rtl/>
        </w:rPr>
        <w:t>. הדודה דבורה, בפגישתי האישית עמה במינסק (פרק 1, הערה 8).</w:t>
      </w:r>
    </w:p>
  </w:footnote>
  <w:footnote w:id="3598">
    <w:p w14:paraId="27A75DAB" w14:textId="77777777" w:rsidR="00AB3647" w:rsidRDefault="00000000">
      <w:pPr>
        <w:spacing w:after="0" w:before="0"/>
        <w:jc w:val="both"/>
      </w:pPr>
      <w:r>
        <w:rPr>
          <w:sz w:val="20"/>
          <w:szCs w:val="20"/>
          <w:rtl/>
        </w:rPr>
        <w:footnoteRef/>
      </w:r>
      <w:r>
        <w:rPr>
          <w:sz w:val="20"/>
          <w:szCs w:val="20"/>
          <w:rtl/>
        </w:rPr>
        <w:t>. ריאיון מ־13 בדצמבר 1987.</w:t>
      </w:r>
    </w:p>
  </w:footnote>
  <w:footnote w:id="3599">
    <w:p w14:paraId="5AC12F67" w14:textId="77777777" w:rsidR="00AB3647" w:rsidRDefault="00000000">
      <w:pPr>
        <w:spacing w:after="0" w:before="0"/>
        <w:jc w:val="both"/>
      </w:pPr>
      <w:r>
        <w:rPr>
          <w:sz w:val="20"/>
          <w:szCs w:val="20"/>
          <w:rtl/>
        </w:rPr>
        <w:footnoteRef/>
      </w:r>
      <w:r>
        <w:rPr>
          <w:sz w:val="20"/>
          <w:szCs w:val="20"/>
          <w:rtl/>
        </w:rPr>
        <w:t>. השווה כרך 3.</w:t>
      </w:r>
    </w:p>
  </w:footnote>
  <w:footnote w:id="3600">
    <w:p w14:paraId="40446ACB" w14:textId="77777777" w:rsidR="00AB3647" w:rsidRDefault="00000000">
      <w:pPr>
        <w:spacing w:after="0" w:before="0"/>
        <w:jc w:val="both"/>
      </w:pPr>
      <w:r>
        <w:rPr>
          <w:sz w:val="20"/>
          <w:szCs w:val="20"/>
          <w:rtl/>
        </w:rPr>
        <w:footnoteRef/>
      </w:r>
      <w:r>
        <w:rPr>
          <w:sz w:val="20"/>
          <w:szCs w:val="20"/>
          <w:rtl/>
        </w:rPr>
        <w:t xml:space="preserve">. השווה כתובות לד ע״ב, </w:t>
      </w:r>
      <w:proofErr w:type="spellStart"/>
      <w:r>
        <w:rPr>
          <w:sz w:val="20"/>
          <w:szCs w:val="20"/>
          <w:rtl/>
        </w:rPr>
        <w:t>תוד״ה</w:t>
      </w:r>
      <w:proofErr w:type="spellEnd"/>
      <w:r>
        <w:rPr>
          <w:sz w:val="20"/>
          <w:szCs w:val="20"/>
          <w:rtl/>
        </w:rPr>
        <w:t xml:space="preserve"> אבל </w:t>
      </w:r>
      <w:proofErr w:type="spellStart"/>
      <w:r>
        <w:rPr>
          <w:sz w:val="20"/>
          <w:szCs w:val="20"/>
          <w:rtl/>
        </w:rPr>
        <w:t>ארישא</w:t>
      </w:r>
      <w:proofErr w:type="spellEnd"/>
      <w:r>
        <w:rPr>
          <w:sz w:val="20"/>
          <w:szCs w:val="20"/>
          <w:rtl/>
        </w:rPr>
        <w:t>.</w:t>
      </w:r>
    </w:p>
  </w:footnote>
  <w:footnote w:id="3601">
    <w:p w14:paraId="1BC1C890" w14:textId="77777777" w:rsidR="00AB3647" w:rsidRDefault="00000000">
      <w:pPr>
        <w:spacing w:after="0" w:before="0"/>
        <w:jc w:val="both"/>
      </w:pPr>
      <w:r>
        <w:rPr>
          <w:sz w:val="20"/>
          <w:szCs w:val="20"/>
          <w:rtl/>
        </w:rPr>
        <w:footnoteRef/>
      </w:r>
      <w:r>
        <w:rPr>
          <w:sz w:val="20"/>
          <w:szCs w:val="20"/>
          <w:rtl/>
        </w:rPr>
        <w:t>. נראה שראה בפתק רק חפץ בעל ערך רגשי, ולא הבין שהוא פריט אספנות השווה כסף – שהספרייה זכאית לו.</w:t>
      </w:r>
    </w:p>
  </w:footnote>
  <w:footnote w:id="3602">
    <w:p w14:paraId="7437F57B" w14:textId="77777777" w:rsidR="00AB3647" w:rsidRDefault="00000000">
      <w:pPr>
        <w:spacing w:after="0" w:before="0"/>
        <w:jc w:val="both"/>
      </w:pPr>
      <w:r>
        <w:rPr>
          <w:sz w:val="20"/>
          <w:szCs w:val="20"/>
          <w:rtl/>
        </w:rPr>
        <w:footnoteRef/>
      </w:r>
      <w:r>
        <w:rPr>
          <w:sz w:val="20"/>
          <w:szCs w:val="20"/>
          <w:rtl/>
        </w:rPr>
        <w:t xml:space="preserve">. בביקורו האחרון של אבי בארץ ישראל, </w:t>
      </w:r>
      <w:proofErr w:type="spellStart"/>
      <w:r>
        <w:rPr>
          <w:sz w:val="20"/>
          <w:szCs w:val="20"/>
          <w:rtl/>
        </w:rPr>
        <w:t>בתשמ״ב</w:t>
      </w:r>
      <w:proofErr w:type="spellEnd"/>
      <w:r>
        <w:rPr>
          <w:sz w:val="20"/>
          <w:szCs w:val="20"/>
          <w:rtl/>
        </w:rPr>
        <w:t>. ראה פרק 2, הערה 96.</w:t>
      </w:r>
    </w:p>
  </w:footnote>
  <w:footnote w:id="3603">
    <w:p w14:paraId="21D1603A" w14:textId="77777777" w:rsidR="00AB3647" w:rsidRDefault="00000000">
      <w:pPr>
        <w:spacing w:after="0" w:before="0"/>
        <w:jc w:val="both"/>
      </w:pPr>
      <w:r>
        <w:rPr>
          <w:sz w:val="20"/>
          <w:szCs w:val="20"/>
          <w:rtl/>
        </w:rPr>
        <w:footnoteRef/>
      </w:r>
      <w:r>
        <w:rPr>
          <w:sz w:val="20"/>
          <w:szCs w:val="20"/>
          <w:rtl/>
        </w:rPr>
        <w:t>. הערה 7 לעיל – עמ׳ 353.</w:t>
      </w:r>
    </w:p>
  </w:footnote>
  <w:footnote w:id="3604">
    <w:p w14:paraId="78656450" w14:textId="77777777" w:rsidR="00AB3647" w:rsidRDefault="00000000">
      <w:pPr>
        <w:spacing w:after="0" w:before="0"/>
        <w:jc w:val="both"/>
      </w:pPr>
      <w:r>
        <w:rPr>
          <w:sz w:val="20"/>
          <w:szCs w:val="20"/>
          <w:rtl/>
        </w:rPr>
        <w:footnoteRef/>
      </w:r>
      <w:r>
        <w:rPr>
          <w:sz w:val="20"/>
          <w:szCs w:val="20"/>
          <w:rtl/>
        </w:rPr>
        <w:t xml:space="preserve">. שם, פרק 3, הפסקה השנייה של נספח </w:t>
      </w:r>
      <w:proofErr w:type="spellStart"/>
      <w:r>
        <w:rPr>
          <w:sz w:val="20"/>
          <w:szCs w:val="20"/>
          <w:rtl/>
        </w:rPr>
        <w:t>כו</w:t>
      </w:r>
      <w:proofErr w:type="spellEnd"/>
      <w:r>
        <w:rPr>
          <w:sz w:val="20"/>
          <w:szCs w:val="20"/>
          <w:rtl/>
        </w:rPr>
        <w:t xml:space="preserve"> – עמ׳ 114.</w:t>
      </w:r>
    </w:p>
  </w:footnote>
  <w:footnote w:id="3605">
    <w:p w14:paraId="64C649B2" w14:textId="77777777" w:rsidR="00AB3647" w:rsidRDefault="00000000">
      <w:pPr>
        <w:spacing w:after="0" w:before="0"/>
        <w:jc w:val="both"/>
      </w:pPr>
      <w:r>
        <w:rPr>
          <w:sz w:val="20"/>
          <w:szCs w:val="20"/>
          <w:rtl/>
        </w:rPr>
        <w:footnoteRef/>
      </w:r>
      <w:r>
        <w:rPr>
          <w:sz w:val="20"/>
          <w:szCs w:val="20"/>
          <w:rtl/>
        </w:rPr>
        <w:t>. השווה גם פרק 5, הפסקה השביעית של נספח ב.</w:t>
      </w:r>
    </w:p>
  </w:footnote>
  <w:footnote w:id="3606">
    <w:p w14:paraId="26061C97" w14:textId="77777777" w:rsidR="00AB3647" w:rsidRDefault="00000000">
      <w:pPr>
        <w:spacing w:after="0" w:before="0"/>
        <w:jc w:val="both"/>
      </w:pPr>
      <w:r>
        <w:rPr>
          <w:sz w:val="20"/>
          <w:szCs w:val="20"/>
          <w:rtl/>
        </w:rPr>
        <w:footnoteRef/>
      </w:r>
      <w:r>
        <w:rPr>
          <w:sz w:val="20"/>
          <w:szCs w:val="20"/>
          <w:rtl/>
        </w:rPr>
        <w:t>. פרק 3, נספח ל.</w:t>
      </w:r>
    </w:p>
  </w:footnote>
  <w:footnote w:id="3607">
    <w:p w14:paraId="5383880C" w14:textId="77777777" w:rsidR="00AB3647" w:rsidRDefault="00000000">
      <w:pPr>
        <w:spacing w:after="0" w:before="0"/>
        <w:jc w:val="both"/>
      </w:pPr>
      <w:r>
        <w:rPr>
          <w:sz w:val="20"/>
          <w:szCs w:val="20"/>
          <w:rtl/>
        </w:rPr>
        <w:footnoteRef/>
      </w:r>
      <w:r>
        <w:rPr>
          <w:sz w:val="20"/>
          <w:szCs w:val="20"/>
          <w:rtl/>
        </w:rPr>
        <w:t>. פרק 2, הערה 94 – עמ׳ 7, תחילת אב תשמ״א.</w:t>
      </w:r>
    </w:p>
  </w:footnote>
  <w:footnote w:id="3608">
    <w:p w14:paraId="7807213A" w14:textId="77777777" w:rsidR="00AB3647" w:rsidRDefault="00000000">
      <w:pPr>
        <w:spacing w:after="0" w:before="0"/>
        <w:jc w:val="both"/>
      </w:pPr>
      <w:r>
        <w:rPr>
          <w:sz w:val="20"/>
          <w:szCs w:val="20"/>
          <w:rtl/>
        </w:rPr>
        <w:footnoteRef/>
      </w:r>
      <w:r>
        <w:rPr>
          <w:sz w:val="20"/>
          <w:szCs w:val="20"/>
          <w:rtl/>
        </w:rPr>
        <w:t>. השווה פרק 3, נספח ז, והפסקה השלישית של נספח יד.</w:t>
      </w:r>
    </w:p>
  </w:footnote>
  <w:footnote w:id="3609">
    <w:p w14:paraId="4492AB5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0">
    <w:p w14:paraId="49C46A25" w14:textId="77777777" w:rsidR="00AB3647" w:rsidRDefault="00000000">
      <w:pPr>
        <w:spacing w:after="0" w:before="0"/>
        <w:jc w:val="both"/>
      </w:pPr>
      <w:r>
        <w:rPr>
          <w:sz w:val="20"/>
          <w:szCs w:val="20"/>
          <w:rtl/>
        </w:rPr>
        <w:footnoteRef/>
      </w:r>
      <w:r>
        <w:rPr>
          <w:sz w:val="20"/>
          <w:szCs w:val="20"/>
          <w:rtl/>
        </w:rPr>
        <w:t>. עמ׳ 212.</w:t>
      </w:r>
    </w:p>
  </w:footnote>
  <w:footnote w:id="3611">
    <w:p w14:paraId="0F28EE1A" w14:textId="77777777" w:rsidR="00AB3647" w:rsidRDefault="00000000">
      <w:pPr>
        <w:spacing w:after="0" w:before="0"/>
        <w:jc w:val="both"/>
      </w:pPr>
      <w:r>
        <w:rPr>
          <w:sz w:val="20"/>
          <w:szCs w:val="20"/>
          <w:rtl/>
        </w:rPr>
        <w:footnoteRef/>
      </w:r>
      <w:r>
        <w:rPr>
          <w:sz w:val="20"/>
          <w:szCs w:val="20"/>
          <w:rtl/>
        </w:rPr>
        <w:t>. שם, עמ׳ 268.</w:t>
      </w:r>
    </w:p>
  </w:footnote>
  <w:footnote w:id="3612">
    <w:p w14:paraId="30431B10"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יג</w:t>
      </w:r>
      <w:proofErr w:type="spellEnd"/>
      <w:r>
        <w:rPr>
          <w:sz w:val="20"/>
          <w:szCs w:val="20"/>
          <w:rtl/>
        </w:rPr>
        <w:t>.</w:t>
      </w:r>
    </w:p>
  </w:footnote>
  <w:footnote w:id="3613">
    <w:p w14:paraId="1971F075" w14:textId="77777777" w:rsidR="00AB3647" w:rsidRDefault="00000000">
      <w:pPr>
        <w:spacing w:after="0" w:before="0"/>
        <w:jc w:val="both"/>
      </w:pPr>
      <w:r>
        <w:rPr>
          <w:sz w:val="20"/>
          <w:szCs w:val="20"/>
          <w:rtl/>
        </w:rPr>
        <w:footnoteRef/>
      </w:r>
      <w:r>
        <w:rPr>
          <w:sz w:val="20"/>
          <w:szCs w:val="20"/>
          <w:rtl/>
        </w:rPr>
        <w:t xml:space="preserve">. נראה שהכוונה לראש הישיבה, ר׳ </w:t>
      </w:r>
      <w:proofErr w:type="spellStart"/>
      <w:r>
        <w:rPr>
          <w:sz w:val="20"/>
          <w:szCs w:val="20"/>
          <w:rtl/>
        </w:rPr>
        <w:t>משה־מרדכי</w:t>
      </w:r>
      <w:proofErr w:type="spellEnd"/>
      <w:r>
        <w:rPr>
          <w:sz w:val="20"/>
          <w:szCs w:val="20"/>
          <w:rtl/>
        </w:rPr>
        <w:t xml:space="preserve"> אפשטיין.</w:t>
      </w:r>
    </w:p>
  </w:footnote>
  <w:footnote w:id="3614">
    <w:p w14:paraId="43228275" w14:textId="77777777" w:rsidR="00AB3647" w:rsidRDefault="00000000">
      <w:pPr>
        <w:spacing w:after="0" w:before="0"/>
        <w:jc w:val="both"/>
      </w:pPr>
      <w:r>
        <w:rPr>
          <w:sz w:val="20"/>
          <w:szCs w:val="20"/>
          <w:rtl/>
        </w:rPr>
        <w:footnoteRef/>
      </w:r>
      <w:r>
        <w:rPr>
          <w:sz w:val="20"/>
          <w:szCs w:val="20"/>
          <w:rtl/>
        </w:rPr>
        <w:t>. פרק 1, הערה 59.</w:t>
      </w:r>
    </w:p>
  </w:footnote>
  <w:footnote w:id="3615">
    <w:p w14:paraId="1DF3A70F" w14:textId="77777777" w:rsidR="00AB3647" w:rsidRDefault="00000000">
      <w:pPr>
        <w:spacing w:after="0" w:before="0"/>
        <w:jc w:val="both"/>
      </w:pPr>
      <w:r>
        <w:rPr>
          <w:sz w:val="20"/>
          <w:szCs w:val="20"/>
          <w:rtl/>
        </w:rPr>
        <w:footnoteRef/>
      </w:r>
      <w:r>
        <w:rPr>
          <w:sz w:val="20"/>
          <w:szCs w:val="20"/>
          <w:rtl/>
        </w:rPr>
        <w:t>. השווה פרק 3, הערה 102.</w:t>
      </w:r>
    </w:p>
  </w:footnote>
  <w:footnote w:id="3616">
    <w:p w14:paraId="275CBB26" w14:textId="77777777" w:rsidR="00AB3647" w:rsidRDefault="00000000">
      <w:pPr>
        <w:spacing w:after="0" w:before="0"/>
        <w:jc w:val="both"/>
      </w:pPr>
      <w:r>
        <w:rPr>
          <w:sz w:val="20"/>
          <w:szCs w:val="20"/>
          <w:rtl/>
        </w:rPr>
        <w:footnoteRef/>
      </w:r>
      <w:r>
        <w:rPr>
          <w:sz w:val="20"/>
          <w:szCs w:val="20"/>
          <w:rtl/>
        </w:rPr>
        <w:t>. פרק 3, נספח א.</w:t>
      </w:r>
    </w:p>
  </w:footnote>
  <w:footnote w:id="3617">
    <w:p w14:paraId="2B846C55" w14:textId="77777777" w:rsidR="00AB3647" w:rsidRDefault="00000000">
      <w:pPr>
        <w:spacing w:after="0" w:before="0"/>
        <w:jc w:val="both"/>
      </w:pPr>
      <w:r>
        <w:rPr>
          <w:sz w:val="20"/>
          <w:szCs w:val="20"/>
          <w:rtl/>
        </w:rPr>
        <w:footnoteRef/>
      </w:r>
      <w:r>
        <w:rPr>
          <w:sz w:val="20"/>
          <w:szCs w:val="20"/>
          <w:rtl/>
        </w:rPr>
        <w:t>. פסחים דף מט.</w:t>
      </w:r>
    </w:p>
  </w:footnote>
  <w:footnote w:id="3618">
    <w:p w14:paraId="123CD651" w14:textId="77777777" w:rsidR="00AB3647" w:rsidRDefault="00000000">
      <w:pPr>
        <w:spacing w:after="0" w:before="0"/>
        <w:jc w:val="both"/>
      </w:pPr>
      <w:r>
        <w:rPr>
          <w:sz w:val="20"/>
          <w:szCs w:val="20"/>
          <w:rtl/>
        </w:rPr>
        <w:footnoteRef/>
      </w:r>
      <w:r>
        <w:rPr>
          <w:sz w:val="20"/>
          <w:szCs w:val="20"/>
          <w:rtl/>
        </w:rPr>
        <w:t>. ריאיון מיום 6 בספטמבר 1991.</w:t>
      </w:r>
    </w:p>
  </w:footnote>
  <w:footnote w:id="3619">
    <w:p w14:paraId="42F6A84F" w14:textId="77777777" w:rsidR="00AB3647" w:rsidRDefault="00000000">
      <w:pPr>
        <w:spacing w:after="0" w:before="0"/>
        <w:jc w:val="both"/>
      </w:pPr>
      <w:r>
        <w:rPr>
          <w:sz w:val="20"/>
          <w:szCs w:val="20"/>
          <w:rtl/>
        </w:rPr>
        <w:footnoteRef/>
      </w:r>
      <w:r>
        <w:rPr>
          <w:sz w:val="20"/>
          <w:szCs w:val="20"/>
          <w:rtl/>
        </w:rPr>
        <w:t>. השווה הערה 9 לעיל.</w:t>
      </w:r>
    </w:p>
  </w:footnote>
  <w:footnote w:id="3620">
    <w:p w14:paraId="0BA3B219" w14:textId="77777777" w:rsidR="00AB3647" w:rsidRDefault="00000000">
      <w:pPr>
        <w:spacing w:after="0" w:before="0"/>
        <w:jc w:val="both"/>
      </w:pPr>
      <w:r>
        <w:rPr>
          <w:sz w:val="20"/>
          <w:szCs w:val="20"/>
          <w:rtl/>
        </w:rPr>
        <w:footnoteRef/>
      </w:r>
      <w:r>
        <w:rPr>
          <w:sz w:val="20"/>
          <w:szCs w:val="20"/>
          <w:rtl/>
        </w:rPr>
        <w:t>. השווה פרק 5, הערה 20 להלן, וכרך 2.</w:t>
      </w:r>
    </w:p>
  </w:footnote>
  <w:footnote w:id="3621">
    <w:p w14:paraId="21F422EE" w14:textId="77777777" w:rsidR="00AB3647" w:rsidRDefault="00000000">
      <w:pPr>
        <w:spacing w:after="0" w:before="0"/>
        <w:jc w:val="both"/>
      </w:pPr>
      <w:r>
        <w:rPr>
          <w:sz w:val="20"/>
          <w:szCs w:val="20"/>
          <w:rtl/>
        </w:rPr>
        <w:footnoteRef/>
      </w:r>
      <w:r>
        <w:rPr>
          <w:sz w:val="20"/>
          <w:szCs w:val="20"/>
          <w:rtl/>
        </w:rPr>
        <w:t>. ריאיון מיום 2 בפברואר 1992.</w:t>
      </w:r>
    </w:p>
  </w:footnote>
  <w:footnote w:id="3622">
    <w:p w14:paraId="2DECC0A1" w14:textId="77777777" w:rsidR="00AB3647" w:rsidRDefault="00000000">
      <w:pPr>
        <w:spacing w:after="0" w:before="0"/>
        <w:jc w:val="both"/>
      </w:pPr>
      <w:r>
        <w:rPr>
          <w:sz w:val="20"/>
          <w:szCs w:val="20"/>
          <w:rtl/>
        </w:rPr>
        <w:footnoteRef/>
      </w:r>
      <w:r>
        <w:rPr>
          <w:sz w:val="20"/>
          <w:szCs w:val="20"/>
          <w:rtl/>
        </w:rPr>
        <w:t>. ביטוי יידי שמשמעותו: אין הוא יודע על מה הוא מדבר. אפשר שהוא מבוסס על סנהדרין ע ע״ב: “</w:t>
      </w:r>
      <w:proofErr w:type="spellStart"/>
      <w:r>
        <w:rPr>
          <w:sz w:val="20"/>
          <w:szCs w:val="20"/>
          <w:rtl/>
        </w:rPr>
        <w:t>חטה</w:t>
      </w:r>
      <w:proofErr w:type="spellEnd"/>
      <w:r>
        <w:rPr>
          <w:sz w:val="20"/>
          <w:szCs w:val="20"/>
          <w:rtl/>
        </w:rPr>
        <w:t xml:space="preserve"> הי׳” </w:t>
      </w:r>
      <w:proofErr w:type="spellStart"/>
      <w:r>
        <w:rPr>
          <w:sz w:val="20"/>
          <w:szCs w:val="20"/>
          <w:rtl/>
        </w:rPr>
        <w:t>ופירש״י</w:t>
      </w:r>
      <w:proofErr w:type="spellEnd"/>
      <w:r>
        <w:rPr>
          <w:sz w:val="20"/>
          <w:szCs w:val="20"/>
          <w:rtl/>
        </w:rPr>
        <w:t xml:space="preserve">; וסוכה </w:t>
      </w:r>
      <w:proofErr w:type="spellStart"/>
      <w:r>
        <w:rPr>
          <w:sz w:val="20"/>
          <w:szCs w:val="20"/>
          <w:rtl/>
        </w:rPr>
        <w:t>מב</w:t>
      </w:r>
      <w:proofErr w:type="spellEnd"/>
      <w:r>
        <w:rPr>
          <w:sz w:val="20"/>
          <w:szCs w:val="20"/>
          <w:rtl/>
        </w:rPr>
        <w:t xml:space="preserve"> ע״ב: “כזית דגן” וכו׳ ויוסיף דעת.</w:t>
      </w:r>
    </w:p>
  </w:footnote>
  <w:footnote w:id="3623">
    <w:p w14:paraId="6EA6B4DB" w14:textId="77777777" w:rsidR="00AB3647" w:rsidRDefault="00000000">
      <w:pPr>
        <w:spacing w:after="0" w:before="0"/>
        <w:jc w:val="both"/>
      </w:pPr>
      <w:r>
        <w:rPr>
          <w:sz w:val="20"/>
          <w:szCs w:val="20"/>
          <w:rtl/>
        </w:rPr>
        <w:footnoteRef/>
      </w:r>
      <w:r>
        <w:rPr>
          <w:sz w:val="20"/>
          <w:szCs w:val="20"/>
          <w:rtl/>
        </w:rPr>
        <w:t xml:space="preserve">. המקור הנזכר, הקדמה, עמ׳ </w:t>
      </w:r>
      <w:proofErr w:type="spellStart"/>
      <w:r>
        <w:rPr>
          <w:sz w:val="20"/>
          <w:szCs w:val="20"/>
          <w:rtl/>
        </w:rPr>
        <w:t>xiv</w:t>
      </w:r>
      <w:proofErr w:type="spellEnd"/>
      <w:r>
        <w:rPr>
          <w:sz w:val="20"/>
          <w:szCs w:val="20"/>
          <w:rtl/>
        </w:rPr>
        <w:t xml:space="preserve"> – עמ׳ רנה.</w:t>
      </w:r>
    </w:p>
  </w:footnote>
  <w:footnote w:id="3624">
    <w:p w14:paraId="0C7523A2" w14:textId="77777777" w:rsidR="00AB3647" w:rsidRDefault="00000000">
      <w:pPr>
        <w:spacing w:after="0" w:before="0"/>
        <w:jc w:val="both"/>
      </w:pPr>
      <w:r>
        <w:rPr>
          <w:sz w:val="20"/>
          <w:szCs w:val="20"/>
          <w:rtl/>
        </w:rPr>
        <w:footnoteRef/>
      </w:r>
      <w:r>
        <w:rPr>
          <w:sz w:val="20"/>
          <w:szCs w:val="20"/>
          <w:rtl/>
        </w:rPr>
        <w:t xml:space="preserve">. כפי שנדפס בעמ׳ 454 של “תורת אברהם” (המקור הנזכר בפרק 3, סוף נספח </w:t>
      </w:r>
      <w:proofErr w:type="spellStart"/>
      <w:r>
        <w:rPr>
          <w:sz w:val="20"/>
          <w:szCs w:val="20"/>
          <w:rtl/>
        </w:rPr>
        <w:t>כג</w:t>
      </w:r>
      <w:proofErr w:type="spellEnd"/>
      <w:r>
        <w:rPr>
          <w:sz w:val="20"/>
          <w:szCs w:val="20"/>
          <w:rtl/>
        </w:rPr>
        <w:t>).</w:t>
      </w:r>
    </w:p>
  </w:footnote>
  <w:footnote w:id="3625">
    <w:p w14:paraId="04E4AAE3" w14:textId="77777777" w:rsidR="00AB3647" w:rsidRDefault="00000000">
      <w:pPr>
        <w:spacing w:after="0" w:before="0"/>
        <w:jc w:val="both"/>
      </w:pPr>
      <w:r>
        <w:rPr>
          <w:sz w:val="20"/>
          <w:szCs w:val="20"/>
          <w:rtl/>
        </w:rPr>
        <w:footnoteRef/>
      </w:r>
      <w:r>
        <w:rPr>
          <w:sz w:val="20"/>
          <w:szCs w:val="20"/>
          <w:rtl/>
        </w:rPr>
        <w:t>. שם.</w:t>
      </w:r>
    </w:p>
  </w:footnote>
  <w:footnote w:id="3626">
    <w:p w14:paraId="537C804F" w14:textId="77777777" w:rsidR="00AB3647" w:rsidRDefault="00000000">
      <w:pPr>
        <w:spacing w:after="0" w:before="0"/>
        <w:jc w:val="both"/>
      </w:pPr>
      <w:r>
        <w:rPr>
          <w:sz w:val="20"/>
          <w:szCs w:val="20"/>
          <w:rtl/>
        </w:rPr>
        <w:footnoteRef/>
      </w:r>
      <w:r>
        <w:rPr>
          <w:sz w:val="20"/>
          <w:szCs w:val="20"/>
          <w:rtl/>
        </w:rPr>
        <w:t>. עמ׳ 238.</w:t>
      </w:r>
    </w:p>
  </w:footnote>
  <w:footnote w:id="3627">
    <w:p w14:paraId="6A53393A" w14:textId="77777777" w:rsidR="00AB3647" w:rsidRDefault="00000000">
      <w:pPr>
        <w:spacing w:after="0" w:before="0"/>
        <w:jc w:val="both"/>
      </w:pPr>
      <w:r>
        <w:rPr>
          <w:sz w:val="20"/>
          <w:szCs w:val="20"/>
          <w:rtl/>
        </w:rPr>
        <w:footnoteRef/>
      </w:r>
      <w:r>
        <w:rPr>
          <w:sz w:val="20"/>
          <w:szCs w:val="20"/>
          <w:rtl/>
        </w:rPr>
        <w:t>. פרק 1, הערה 56.</w:t>
      </w:r>
    </w:p>
  </w:footnote>
  <w:footnote w:id="3628">
    <w:p w14:paraId="15C760CE" w14:textId="77777777" w:rsidR="00AB3647" w:rsidRDefault="00000000">
      <w:pPr>
        <w:spacing w:after="0" w:before="0"/>
        <w:jc w:val="both"/>
      </w:pPr>
      <w:r>
        <w:rPr>
          <w:sz w:val="20"/>
          <w:szCs w:val="20"/>
          <w:rtl/>
        </w:rPr>
        <w:footnoteRef/>
      </w:r>
      <w:r>
        <w:rPr>
          <w:sz w:val="20"/>
          <w:szCs w:val="20"/>
          <w:rtl/>
        </w:rPr>
        <w:t>. השווה הפסקה השישית בפרק 3.2.</w:t>
      </w:r>
    </w:p>
  </w:footnote>
  <w:footnote w:id="3629">
    <w:p w14:paraId="1CD9868B" w14:textId="77777777" w:rsidR="00AB3647" w:rsidRDefault="00000000">
      <w:pPr>
        <w:spacing w:after="0" w:before="0"/>
        <w:jc w:val="both"/>
      </w:pPr>
      <w:r>
        <w:rPr>
          <w:sz w:val="20"/>
          <w:szCs w:val="20"/>
          <w:rtl/>
        </w:rPr>
        <w:footnoteRef/>
      </w:r>
      <w:r>
        <w:rPr>
          <w:sz w:val="20"/>
          <w:szCs w:val="20"/>
          <w:rtl/>
        </w:rPr>
        <w:t>. פרק 3, הערה 124.</w:t>
      </w:r>
    </w:p>
  </w:footnote>
  <w:footnote w:id="3630">
    <w:p w14:paraId="600B55D1" w14:textId="77777777" w:rsidR="00AB3647" w:rsidRDefault="00000000">
      <w:pPr>
        <w:spacing w:after="0" w:before="0"/>
        <w:jc w:val="both"/>
      </w:pPr>
      <w:r>
        <w:rPr>
          <w:sz w:val="20"/>
          <w:szCs w:val="20"/>
          <w:rtl/>
        </w:rPr>
        <w:footnoteRef/>
      </w:r>
      <w:r>
        <w:rPr>
          <w:sz w:val="20"/>
          <w:szCs w:val="20"/>
          <w:rtl/>
        </w:rPr>
        <w:t>. ועיין אורח חיים סימן סח בהגה.</w:t>
      </w:r>
    </w:p>
  </w:footnote>
  <w:footnote w:id="3631">
    <w:p w14:paraId="2DE80C2B" w14:textId="77777777" w:rsidR="00AB3647" w:rsidRDefault="00000000">
      <w:pPr>
        <w:spacing w:after="0" w:before="0"/>
        <w:jc w:val="both"/>
      </w:pPr>
      <w:r>
        <w:rPr>
          <w:sz w:val="20"/>
          <w:szCs w:val="20"/>
          <w:rtl/>
        </w:rPr>
        <w:footnoteRef/>
      </w:r>
      <w:r>
        <w:rPr>
          <w:sz w:val="20"/>
          <w:szCs w:val="20"/>
          <w:rtl/>
        </w:rPr>
        <w:t>. פרולוג, הערה 4.</w:t>
      </w:r>
    </w:p>
  </w:footnote>
  <w:footnote w:id="3632">
    <w:p w14:paraId="3A278DE9" w14:textId="77777777" w:rsidR="00AB3647" w:rsidRDefault="00000000">
      <w:pPr>
        <w:spacing w:after="0" w:before="0"/>
        <w:jc w:val="both"/>
      </w:pPr>
      <w:r>
        <w:rPr>
          <w:sz w:val="20"/>
          <w:szCs w:val="20"/>
          <w:rtl/>
        </w:rPr>
        <w:footnoteRef/>
      </w:r>
      <w:r>
        <w:rPr>
          <w:sz w:val="20"/>
          <w:szCs w:val="20"/>
          <w:rtl/>
        </w:rPr>
        <w:t>. קידושין לד ע״א.</w:t>
      </w:r>
    </w:p>
  </w:footnote>
  <w:footnote w:id="3633">
    <w:p w14:paraId="1A7BF7A4" w14:textId="77777777" w:rsidR="00AB3647" w:rsidRDefault="00000000">
      <w:pPr>
        <w:spacing w:after="0" w:before="0"/>
        <w:jc w:val="both"/>
      </w:pPr>
      <w:r>
        <w:rPr>
          <w:sz w:val="20"/>
          <w:szCs w:val="20"/>
          <w:rtl/>
        </w:rPr>
        <w:footnoteRef/>
      </w:r>
      <w:r>
        <w:rPr>
          <w:sz w:val="20"/>
          <w:szCs w:val="20"/>
          <w:rtl/>
        </w:rPr>
        <w:t xml:space="preserve">. דברים יא, </w:t>
      </w:r>
      <w:proofErr w:type="spellStart"/>
      <w:r>
        <w:rPr>
          <w:sz w:val="20"/>
          <w:szCs w:val="20"/>
          <w:rtl/>
        </w:rPr>
        <w:t>כא</w:t>
      </w:r>
      <w:proofErr w:type="spellEnd"/>
      <w:r>
        <w:rPr>
          <w:sz w:val="20"/>
          <w:szCs w:val="20"/>
          <w:rtl/>
        </w:rPr>
        <w:t>.</w:t>
      </w:r>
    </w:p>
  </w:footnote>
  <w:footnote w:id="3634">
    <w:p w14:paraId="20D819CF" w14:textId="77777777" w:rsidR="00AB3647" w:rsidRDefault="00000000">
      <w:pPr>
        <w:spacing w:after="0" w:before="0"/>
        <w:jc w:val="both"/>
      </w:pPr>
      <w:r>
        <w:rPr>
          <w:sz w:val="20"/>
          <w:szCs w:val="20"/>
          <w:rtl/>
        </w:rPr>
        <w:footnoteRef/>
      </w:r>
      <w:r>
        <w:rPr>
          <w:sz w:val="20"/>
          <w:szCs w:val="20"/>
          <w:rtl/>
        </w:rPr>
        <w:t>. פרק 1, הערה 93.</w:t>
      </w:r>
    </w:p>
  </w:footnote>
  <w:footnote w:id="3635">
    <w:p w14:paraId="1D62DBC4" w14:textId="77777777" w:rsidR="00AB3647" w:rsidRDefault="00000000">
      <w:pPr>
        <w:spacing w:after="0" w:before="0"/>
        <w:jc w:val="both"/>
      </w:pPr>
      <w:r>
        <w:rPr>
          <w:sz w:val="20"/>
          <w:szCs w:val="20"/>
          <w:rtl/>
        </w:rPr>
        <w:footnoteRef/>
      </w:r>
      <w:r>
        <w:rPr>
          <w:sz w:val="20"/>
          <w:szCs w:val="20"/>
          <w:rtl/>
        </w:rPr>
        <w:t xml:space="preserve">. יש הוכחה שאין עליה עוררין לתקפות הנוסח האמור בחלקו האחרון של המשפט, ולאו דווקא “אל </w:t>
      </w:r>
      <w:proofErr w:type="spellStart"/>
      <w:r>
        <w:rPr>
          <w:sz w:val="20"/>
          <w:szCs w:val="20"/>
          <w:rtl/>
        </w:rPr>
        <w:t>אל</w:t>
      </w:r>
      <w:proofErr w:type="spellEnd"/>
      <w:r>
        <w:rPr>
          <w:sz w:val="20"/>
          <w:szCs w:val="20"/>
          <w:rtl/>
        </w:rPr>
        <w:t xml:space="preserve"> לא יושיע”, הנדפס בסידורים רבים שהוגהו ומופיע במקורו העיקרי של הביטוי, ישעיה מה, כ. בתצלום עמודים מתוך “מחזור מן המאה </w:t>
      </w:r>
      <w:proofErr w:type="spellStart"/>
      <w:r>
        <w:rPr>
          <w:sz w:val="20"/>
          <w:szCs w:val="20"/>
          <w:rtl/>
        </w:rPr>
        <w:t>השלוש־עשרה</w:t>
      </w:r>
      <w:proofErr w:type="spellEnd"/>
      <w:r>
        <w:rPr>
          <w:sz w:val="20"/>
          <w:szCs w:val="20"/>
          <w:rtl/>
        </w:rPr>
        <w:t xml:space="preserve"> (או </w:t>
      </w:r>
      <w:proofErr w:type="spellStart"/>
      <w:r>
        <w:rPr>
          <w:sz w:val="20"/>
          <w:szCs w:val="20"/>
          <w:rtl/>
        </w:rPr>
        <w:t>הארבע־עשרה</w:t>
      </w:r>
      <w:proofErr w:type="spellEnd"/>
      <w:r>
        <w:rPr>
          <w:sz w:val="20"/>
          <w:szCs w:val="20"/>
          <w:rtl/>
        </w:rPr>
        <w:t xml:space="preserve">)”, שנדפס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תשרי תשנ״ב (מס׳ 299), עמ׳ 20, אפשר לקרוא בבירור: “לאל”.</w:t>
      </w:r>
    </w:p>
  </w:footnote>
  <w:footnote w:id="3636">
    <w:p w14:paraId="74959F34" w14:textId="77777777" w:rsidR="00AB3647" w:rsidRDefault="00000000">
      <w:pPr>
        <w:spacing w:after="0" w:before="0"/>
        <w:jc w:val="both"/>
      </w:pPr>
      <w:r>
        <w:rPr>
          <w:sz w:val="20"/>
          <w:szCs w:val="20"/>
          <w:rtl/>
        </w:rPr>
        <w:footnoteRef/>
      </w:r>
      <w:r>
        <w:rPr>
          <w:sz w:val="20"/>
          <w:szCs w:val="20"/>
          <w:rtl/>
        </w:rPr>
        <w:t>. ויש לומר שמאותו טעם שרים באותן קהילות גם את הנוסח המקובל בהוצאת הספר תורה (שלפני “</w:t>
      </w:r>
      <w:proofErr w:type="spellStart"/>
      <w:r>
        <w:rPr>
          <w:sz w:val="20"/>
          <w:szCs w:val="20"/>
          <w:rtl/>
        </w:rPr>
        <w:t>בריך</w:t>
      </w:r>
      <w:proofErr w:type="spellEnd"/>
      <w:r>
        <w:rPr>
          <w:sz w:val="20"/>
          <w:szCs w:val="20"/>
          <w:rtl/>
        </w:rPr>
        <w:t xml:space="preserve"> שמיה”), משום שאחרי הפסוק “ויהי בנסוע” וכו׳ – שזה שייך ממש </w:t>
      </w:r>
      <w:proofErr w:type="spellStart"/>
      <w:r>
        <w:rPr>
          <w:sz w:val="20"/>
          <w:szCs w:val="20"/>
          <w:rtl/>
        </w:rPr>
        <w:t>לענין</w:t>
      </w:r>
      <w:proofErr w:type="spellEnd"/>
      <w:r>
        <w:rPr>
          <w:sz w:val="20"/>
          <w:szCs w:val="20"/>
          <w:rtl/>
        </w:rPr>
        <w:t xml:space="preserve"> של הוצאת </w:t>
      </w:r>
      <w:proofErr w:type="spellStart"/>
      <w:r>
        <w:rPr>
          <w:sz w:val="20"/>
          <w:szCs w:val="20"/>
          <w:rtl/>
        </w:rPr>
        <w:t>הס״ת</w:t>
      </w:r>
      <w:proofErr w:type="spellEnd"/>
      <w:r>
        <w:rPr>
          <w:sz w:val="20"/>
          <w:szCs w:val="20"/>
          <w:rtl/>
        </w:rPr>
        <w:t xml:space="preserve"> – היו מכריזים את הפסוק בישעיה ב, ג: “והלכו עמים רבים” וכו׳ “כי מציון תצא תורה” וכו׳ (או העדיפו את הפסוק במיכה ד, ב, כי שם “בית </w:t>
      </w:r>
      <w:proofErr w:type="spellStart"/>
      <w:r>
        <w:rPr>
          <w:sz w:val="20"/>
          <w:szCs w:val="20"/>
          <w:rtl/>
        </w:rPr>
        <w:t>א־להי</w:t>
      </w:r>
      <w:proofErr w:type="spellEnd"/>
      <w:r>
        <w:rPr>
          <w:sz w:val="20"/>
          <w:szCs w:val="20"/>
          <w:rtl/>
        </w:rPr>
        <w:t xml:space="preserve"> יעקב” נפרד </w:t>
      </w:r>
      <w:proofErr w:type="spellStart"/>
      <w:r>
        <w:rPr>
          <w:sz w:val="20"/>
          <w:szCs w:val="20"/>
          <w:rtl/>
        </w:rPr>
        <w:t>מ“הר</w:t>
      </w:r>
      <w:proofErr w:type="spellEnd"/>
      <w:r>
        <w:rPr>
          <w:sz w:val="20"/>
          <w:szCs w:val="20"/>
          <w:rtl/>
        </w:rPr>
        <w:t xml:space="preserve"> [הבית]” על ידי </w:t>
      </w:r>
      <w:proofErr w:type="spellStart"/>
      <w:r>
        <w:rPr>
          <w:sz w:val="20"/>
          <w:szCs w:val="20"/>
          <w:rtl/>
        </w:rPr>
        <w:t>וא״ו</w:t>
      </w:r>
      <w:proofErr w:type="spellEnd"/>
      <w:r>
        <w:rPr>
          <w:sz w:val="20"/>
          <w:szCs w:val="20"/>
          <w:rtl/>
        </w:rPr>
        <w:t xml:space="preserve"> – ושם כתוב “גוים” במקום “עמים”), והתקינו להכריז פסוק זה כדי שאלו שיצאו מביהכ״נ בחזרת הש״ץ יחזרו לשמוע קריאת התורה, </w:t>
      </w:r>
      <w:proofErr w:type="spellStart"/>
      <w:r>
        <w:rPr>
          <w:sz w:val="20"/>
          <w:szCs w:val="20"/>
          <w:rtl/>
        </w:rPr>
        <w:t>כמש״כ</w:t>
      </w:r>
      <w:proofErr w:type="spellEnd"/>
      <w:r>
        <w:rPr>
          <w:sz w:val="20"/>
          <w:szCs w:val="20"/>
          <w:rtl/>
        </w:rPr>
        <w:t xml:space="preserve"> שם בפסוק: “לכו” וכו׳ “אל בית </w:t>
      </w:r>
      <w:proofErr w:type="spellStart"/>
      <w:r>
        <w:rPr>
          <w:sz w:val="20"/>
          <w:szCs w:val="20"/>
          <w:rtl/>
        </w:rPr>
        <w:t>א־להי</w:t>
      </w:r>
      <w:proofErr w:type="spellEnd"/>
      <w:r>
        <w:rPr>
          <w:sz w:val="20"/>
          <w:szCs w:val="20"/>
          <w:rtl/>
        </w:rPr>
        <w:t xml:space="preserve"> יעקב” וכו׳ “ויורנו מדרכיו”. ועיין </w:t>
      </w:r>
      <w:proofErr w:type="spellStart"/>
      <w:r>
        <w:rPr>
          <w:sz w:val="20"/>
          <w:szCs w:val="20"/>
          <w:rtl/>
        </w:rPr>
        <w:t>במהרי״ל</w:t>
      </w:r>
      <w:proofErr w:type="spellEnd"/>
      <w:r>
        <w:rPr>
          <w:sz w:val="20"/>
          <w:szCs w:val="20"/>
          <w:rtl/>
        </w:rPr>
        <w:t xml:space="preserve"> (סב ע״ב בדפוסים), שהיו מכניסים את העם “לראות הוצאת </w:t>
      </w:r>
      <w:proofErr w:type="spellStart"/>
      <w:r>
        <w:rPr>
          <w:sz w:val="20"/>
          <w:szCs w:val="20"/>
          <w:rtl/>
        </w:rPr>
        <w:t>הס״ת</w:t>
      </w:r>
      <w:proofErr w:type="spellEnd"/>
      <w:r>
        <w:rPr>
          <w:sz w:val="20"/>
          <w:szCs w:val="20"/>
          <w:rtl/>
        </w:rPr>
        <w:t xml:space="preserve"> גם אם בשאר כל התפילה הולכים בחצר בית הכנסת”, עיי״ש. אבל כיון שעיקר הפסוק מדבר על קבלת התורה על ידי גוים, השמיטו בדפוסים את ראש הפסוק – כמו שהשמיטו בתפילת “עלינו” את הקטע שעלול לפגוע ברגשות </w:t>
      </w:r>
      <w:proofErr w:type="spellStart"/>
      <w:r>
        <w:rPr>
          <w:sz w:val="20"/>
          <w:szCs w:val="20"/>
          <w:rtl/>
        </w:rPr>
        <w:t>הגוים</w:t>
      </w:r>
      <w:proofErr w:type="spellEnd"/>
      <w:r>
        <w:rPr>
          <w:sz w:val="20"/>
          <w:szCs w:val="20"/>
          <w:rtl/>
        </w:rPr>
        <w:t xml:space="preserve"> – והשאירו סיפא </w:t>
      </w:r>
      <w:proofErr w:type="spellStart"/>
      <w:r>
        <w:rPr>
          <w:sz w:val="20"/>
          <w:szCs w:val="20"/>
          <w:rtl/>
        </w:rPr>
        <w:t>דקרא</w:t>
      </w:r>
      <w:proofErr w:type="spellEnd"/>
      <w:r>
        <w:rPr>
          <w:sz w:val="20"/>
          <w:szCs w:val="20"/>
          <w:rtl/>
        </w:rPr>
        <w:t xml:space="preserve"> שאחרי האתנחתא, שבעצם אין לו שום שייכות להוצאת הספר. וגם שרים את זה בקהילות אלו כדי להדגיש שמשמיטים את החלק הראשון של הפסוק.</w:t>
      </w:r>
    </w:p>
  </w:footnote>
  <w:footnote w:id="3637">
    <w:p w14:paraId="2B098627" w14:textId="77777777" w:rsidR="00AB3647" w:rsidRDefault="00000000">
      <w:pPr>
        <w:spacing w:after="0" w:before="0"/>
        <w:jc w:val="both"/>
      </w:pPr>
      <w:r>
        <w:rPr>
          <w:sz w:val="20"/>
          <w:szCs w:val="20"/>
          <w:rtl/>
        </w:rPr>
        <w:footnoteRef/>
      </w:r>
      <w:r>
        <w:rPr>
          <w:sz w:val="20"/>
          <w:szCs w:val="20"/>
          <w:rtl/>
        </w:rPr>
        <w:t>. המקור הנזכר בפרק 3, נספח לא.</w:t>
      </w:r>
    </w:p>
  </w:footnote>
  <w:footnote w:id="3638">
    <w:p w14:paraId="276C4E2D" w14:textId="77777777" w:rsidR="00AB3647" w:rsidRDefault="00000000">
      <w:pPr>
        <w:spacing w:after="0" w:before="0"/>
        <w:jc w:val="both"/>
      </w:pPr>
      <w:r>
        <w:rPr>
          <w:sz w:val="20"/>
          <w:szCs w:val="20"/>
          <w:rtl/>
        </w:rPr>
        <w:footnoteRef/>
      </w:r>
      <w:r>
        <w:rPr>
          <w:sz w:val="20"/>
          <w:szCs w:val="20"/>
          <w:rtl/>
        </w:rPr>
        <w:t xml:space="preserve">. ביטוי זה, שמשמעותו בורים, מבוסס על שבת </w:t>
      </w:r>
      <w:proofErr w:type="spellStart"/>
      <w:r>
        <w:rPr>
          <w:sz w:val="20"/>
          <w:szCs w:val="20"/>
          <w:rtl/>
        </w:rPr>
        <w:t>צה</w:t>
      </w:r>
      <w:proofErr w:type="spellEnd"/>
      <w:r>
        <w:rPr>
          <w:sz w:val="20"/>
          <w:szCs w:val="20"/>
          <w:rtl/>
        </w:rPr>
        <w:t xml:space="preserve"> ע״א, ועיין שם ברש״י.</w:t>
      </w:r>
    </w:p>
  </w:footnote>
  <w:footnote w:id="3639">
    <w:p w14:paraId="00FFDD2F" w14:textId="77777777" w:rsidR="00AB3647" w:rsidRDefault="00000000">
      <w:pPr>
        <w:spacing w:after="0" w:before="0"/>
        <w:jc w:val="both"/>
      </w:pPr>
      <w:r>
        <w:rPr>
          <w:sz w:val="20"/>
          <w:szCs w:val="20"/>
          <w:rtl/>
        </w:rPr>
        <w:footnoteRef/>
      </w:r>
      <w:r>
        <w:rPr>
          <w:sz w:val="20"/>
          <w:szCs w:val="20"/>
          <w:rtl/>
        </w:rPr>
        <w:t>. השווה פרק 3, הפסקה השלישית של נספח ד.</w:t>
      </w:r>
    </w:p>
  </w:footnote>
  <w:footnote w:id="3640">
    <w:p w14:paraId="72D4F677" w14:textId="77777777" w:rsidR="00AB3647" w:rsidRDefault="00000000">
      <w:pPr>
        <w:spacing w:after="0" w:before="0"/>
        <w:jc w:val="both"/>
      </w:pPr>
      <w:r>
        <w:rPr>
          <w:sz w:val="20"/>
          <w:szCs w:val="20"/>
          <w:rtl/>
        </w:rPr>
        <w:footnoteRef/>
      </w:r>
      <w:r>
        <w:rPr>
          <w:sz w:val="20"/>
          <w:szCs w:val="20"/>
          <w:rtl/>
        </w:rPr>
        <w:t>. פרק 3, סוף נספח ה.</w:t>
      </w:r>
    </w:p>
  </w:footnote>
  <w:footnote w:id="3641">
    <w:p w14:paraId="6F001B61" w14:textId="77777777" w:rsidR="00AB3647" w:rsidRDefault="00000000">
      <w:pPr>
        <w:spacing w:after="0" w:before="0"/>
        <w:jc w:val="both"/>
      </w:pPr>
      <w:r>
        <w:rPr>
          <w:sz w:val="20"/>
          <w:szCs w:val="20"/>
          <w:rtl/>
        </w:rPr>
        <w:footnoteRef/>
      </w:r>
      <w:r>
        <w:rPr>
          <w:sz w:val="20"/>
          <w:szCs w:val="20"/>
          <w:rtl/>
        </w:rPr>
        <w:t xml:space="preserve">. השווה כרך 3. על חיקוי הסבא בידי תלמידיו ראוי להביא את מה שאמר אבי פעם, לאחר שביקר בישיבת חברון ושמע שיחה מפי המשגיח שלה, ר׳ מאיר חדש, כפי שנמסרו הדברים </w:t>
      </w:r>
      <w:proofErr w:type="spellStart"/>
      <w:r>
        <w:rPr>
          <w:sz w:val="20"/>
          <w:szCs w:val="20"/>
          <w:rtl/>
        </w:rPr>
        <w:t>ב“המאיר</w:t>
      </w:r>
      <w:proofErr w:type="spellEnd"/>
      <w:r>
        <w:rPr>
          <w:sz w:val="20"/>
          <w:szCs w:val="20"/>
          <w:rtl/>
        </w:rPr>
        <w:t xml:space="preserve"> – ספר </w:t>
      </w:r>
      <w:proofErr w:type="spellStart"/>
      <w:r>
        <w:rPr>
          <w:sz w:val="20"/>
          <w:szCs w:val="20"/>
          <w:rtl/>
        </w:rPr>
        <w:t>זכרון</w:t>
      </w:r>
      <w:proofErr w:type="spellEnd"/>
      <w:r>
        <w:rPr>
          <w:sz w:val="20"/>
          <w:szCs w:val="20"/>
          <w:rtl/>
        </w:rPr>
        <w:t xml:space="preserve">” (הפסקה השלישית בנספח הקודם), חלק ב, עמ׳ קנה: “חשבתי שר׳ מאיר ממשיך את דרכו ואת חייו כמו </w:t>
      </w:r>
      <w:proofErr w:type="spellStart"/>
      <w:r>
        <w:rPr>
          <w:sz w:val="20"/>
          <w:szCs w:val="20"/>
          <w:rtl/>
        </w:rPr>
        <w:t>ש‘הסבא</w:t>
      </w:r>
      <w:proofErr w:type="spellEnd"/>
      <w:r>
        <w:rPr>
          <w:sz w:val="20"/>
          <w:szCs w:val="20"/>
          <w:rtl/>
        </w:rPr>
        <w:t xml:space="preserve">’ חינך אותו. כעת אני רואה שכל מהותו, כל </w:t>
      </w:r>
      <w:proofErr w:type="spellStart"/>
      <w:r>
        <w:rPr>
          <w:sz w:val="20"/>
          <w:szCs w:val="20"/>
          <w:rtl/>
        </w:rPr>
        <w:t>יישותו</w:t>
      </w:r>
      <w:proofErr w:type="spellEnd"/>
      <w:r>
        <w:rPr>
          <w:sz w:val="20"/>
          <w:szCs w:val="20"/>
          <w:rtl/>
        </w:rPr>
        <w:t xml:space="preserve"> וצורת דיבורו, היא של ‘הסבא’. אם לא הייתי רואה אותו [שזהו ר׳ מאיר], הייתי חושב </w:t>
      </w:r>
      <w:proofErr w:type="spellStart"/>
      <w:r>
        <w:rPr>
          <w:sz w:val="20"/>
          <w:szCs w:val="20"/>
          <w:rtl/>
        </w:rPr>
        <w:t>ש‘הסבא</w:t>
      </w:r>
      <w:proofErr w:type="spellEnd"/>
      <w:r>
        <w:rPr>
          <w:sz w:val="20"/>
          <w:szCs w:val="20"/>
          <w:rtl/>
        </w:rPr>
        <w:t>’ מדבר בפנינו”.</w:t>
      </w:r>
    </w:p>
  </w:footnote>
  <w:footnote w:id="3642">
    <w:p w14:paraId="7227500C" w14:textId="77777777" w:rsidR="00AB3647" w:rsidRDefault="00000000">
      <w:pPr>
        <w:spacing w:after="0" w:before="0"/>
        <w:jc w:val="both"/>
      </w:pPr>
      <w:r>
        <w:rPr>
          <w:sz w:val="20"/>
          <w:szCs w:val="20"/>
          <w:rtl/>
        </w:rPr>
        <w:footnoteRef/>
      </w:r>
      <w:r>
        <w:rPr>
          <w:sz w:val="20"/>
          <w:szCs w:val="20"/>
          <w:rtl/>
        </w:rPr>
        <w:t>. השווה כרך 2.</w:t>
      </w:r>
    </w:p>
  </w:footnote>
  <w:footnote w:id="3643">
    <w:p w14:paraId="6936C748" w14:textId="77777777" w:rsidR="00AB3647" w:rsidRDefault="00000000">
      <w:pPr>
        <w:spacing w:after="0" w:before="0"/>
        <w:jc w:val="both"/>
      </w:pPr>
      <w:r>
        <w:rPr>
          <w:sz w:val="20"/>
          <w:szCs w:val="20"/>
          <w:rtl/>
        </w:rPr>
        <w:footnoteRef/>
      </w:r>
      <w:r>
        <w:rPr>
          <w:sz w:val="20"/>
          <w:szCs w:val="20"/>
          <w:rtl/>
        </w:rPr>
        <w:t>. השווה פרק 1, הערה 32.</w:t>
      </w:r>
    </w:p>
  </w:footnote>
  <w:footnote w:id="3644">
    <w:p w14:paraId="7587F6C9" w14:textId="77777777" w:rsidR="00AB3647" w:rsidRDefault="00000000">
      <w:pPr>
        <w:spacing w:after="0" w:before="0"/>
        <w:jc w:val="both"/>
      </w:pPr>
      <w:r>
        <w:rPr>
          <w:sz w:val="20"/>
          <w:szCs w:val="20"/>
          <w:rtl/>
        </w:rPr>
        <w:footnoteRef/>
      </w:r>
      <w:r>
        <w:rPr>
          <w:sz w:val="20"/>
          <w:szCs w:val="20"/>
          <w:rtl/>
        </w:rPr>
        <w:t>. ריאיון מיום 27 באוקטובר 1998.</w:t>
      </w:r>
    </w:p>
  </w:footnote>
  <w:footnote w:id="3645">
    <w:p w14:paraId="7C1370DB" w14:textId="77777777" w:rsidR="00AB3647" w:rsidRDefault="00000000">
      <w:pPr>
        <w:spacing w:after="0" w:before="0"/>
        <w:jc w:val="both"/>
      </w:pPr>
      <w:r>
        <w:rPr>
          <w:sz w:val="20"/>
          <w:szCs w:val="20"/>
          <w:rtl/>
        </w:rPr>
        <w:footnoteRef/>
      </w:r>
      <w:r>
        <w:rPr>
          <w:sz w:val="20"/>
          <w:szCs w:val="20"/>
          <w:rtl/>
        </w:rPr>
        <w:t xml:space="preserve">. הנהגה זו תוארה בידי ר׳ שלמה </w:t>
      </w:r>
      <w:proofErr w:type="spellStart"/>
      <w:r>
        <w:rPr>
          <w:sz w:val="20"/>
          <w:szCs w:val="20"/>
          <w:rtl/>
        </w:rPr>
        <w:t>גיסינגר</w:t>
      </w:r>
      <w:proofErr w:type="spellEnd"/>
      <w:r>
        <w:rPr>
          <w:sz w:val="20"/>
          <w:szCs w:val="20"/>
          <w:rtl/>
        </w:rPr>
        <w:t xml:space="preserve"> – ריאיון מיום 5 בנובמבר 1997. הרב </w:t>
      </w:r>
      <w:proofErr w:type="spellStart"/>
      <w:r>
        <w:rPr>
          <w:sz w:val="20"/>
          <w:szCs w:val="20"/>
          <w:rtl/>
        </w:rPr>
        <w:t>גיסינגר</w:t>
      </w:r>
      <w:proofErr w:type="spellEnd"/>
      <w:r>
        <w:rPr>
          <w:sz w:val="20"/>
          <w:szCs w:val="20"/>
          <w:rtl/>
        </w:rPr>
        <w:t xml:space="preserve"> הבין את הדבר כפנייה למאזינים לרכז את מחשבתם במה שאבי עומד לומר.</w:t>
      </w:r>
    </w:p>
  </w:footnote>
  <w:footnote w:id="3646">
    <w:p w14:paraId="10DD7ADF"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 xml:space="preserve">. </w:t>
      </w:r>
      <w:proofErr w:type="spellStart"/>
      <w:r>
        <w:rPr>
          <w:sz w:val="20"/>
          <w:szCs w:val="20"/>
          <w:rtl/>
        </w:rPr>
        <w:t>ב“דאס</w:t>
      </w:r>
      <w:proofErr w:type="spellEnd"/>
      <w:r>
        <w:rPr>
          <w:sz w:val="20"/>
          <w:szCs w:val="20"/>
          <w:rtl/>
        </w:rPr>
        <w:t xml:space="preserve"> אידישע </w:t>
      </w:r>
      <w:proofErr w:type="spellStart"/>
      <w:r>
        <w:rPr>
          <w:sz w:val="20"/>
          <w:szCs w:val="20"/>
          <w:rtl/>
        </w:rPr>
        <w:t>ווארט</w:t>
      </w:r>
      <w:proofErr w:type="spellEnd"/>
      <w:r>
        <w:rPr>
          <w:sz w:val="20"/>
          <w:szCs w:val="20"/>
          <w:rtl/>
        </w:rPr>
        <w:t xml:space="preserve">”, גיליון טבת תשנ״א (מס׳ 294), עמ׳ 44, מתגלה </w:t>
      </w:r>
      <w:proofErr w:type="spellStart"/>
      <w:r>
        <w:rPr>
          <w:sz w:val="20"/>
          <w:szCs w:val="20"/>
          <w:rtl/>
        </w:rPr>
        <w:t>שבתרע״א</w:t>
      </w:r>
      <w:proofErr w:type="spellEnd"/>
      <w:r>
        <w:rPr>
          <w:sz w:val="20"/>
          <w:szCs w:val="20"/>
          <w:rtl/>
        </w:rPr>
        <w:t xml:space="preserve">, שנתיים לפני המאורעות המתוארים כאן, נסע ר׳ </w:t>
      </w:r>
      <w:proofErr w:type="spellStart"/>
      <w:r>
        <w:rPr>
          <w:sz w:val="20"/>
          <w:szCs w:val="20"/>
          <w:rtl/>
        </w:rPr>
        <w:t>חצקל</w:t>
      </w:r>
      <w:proofErr w:type="spellEnd"/>
      <w:r>
        <w:rPr>
          <w:sz w:val="20"/>
          <w:szCs w:val="20"/>
          <w:rtl/>
        </w:rPr>
        <w:t xml:space="preserve"> </w:t>
      </w:r>
      <w:proofErr w:type="spellStart"/>
      <w:r>
        <w:rPr>
          <w:sz w:val="20"/>
          <w:szCs w:val="20"/>
          <w:rtl/>
        </w:rPr>
        <w:t>ליבשיץ</w:t>
      </w:r>
      <w:proofErr w:type="spellEnd"/>
      <w:r>
        <w:rPr>
          <w:sz w:val="20"/>
          <w:szCs w:val="20"/>
          <w:rtl/>
        </w:rPr>
        <w:t xml:space="preserve"> ללונדון, ושם הוצעה לו כהונת הרב הראשי של אנגליה.</w:t>
      </w:r>
    </w:p>
  </w:footnote>
  <w:footnote w:id="3647">
    <w:p w14:paraId="1BBF737D" w14:textId="77777777" w:rsidR="00AB3647" w:rsidRDefault="00000000">
      <w:pPr>
        <w:spacing w:after="0" w:before="0"/>
        <w:jc w:val="both"/>
      </w:pPr>
      <w:r>
        <w:rPr>
          <w:sz w:val="20"/>
          <w:szCs w:val="20"/>
          <w:rtl/>
        </w:rPr>
        <w:footnoteRef/>
      </w:r>
      <w:r>
        <w:rPr>
          <w:sz w:val="20"/>
          <w:szCs w:val="20"/>
          <w:rtl/>
        </w:rPr>
        <w:t>. השווה הפסקה האחרונה בנספח זה, שממנה עולה שההחלטה לדחותו לא נתקבלה עד הרגע האחרון של שהותו בקובנה.</w:t>
      </w:r>
    </w:p>
  </w:footnote>
  <w:footnote w:id="3648">
    <w:p w14:paraId="1ABE37E9" w14:textId="77777777" w:rsidR="00AB3647" w:rsidRDefault="00000000">
      <w:pPr>
        <w:spacing w:after="0" w:before="0"/>
        <w:jc w:val="both"/>
      </w:pPr>
      <w:r>
        <w:rPr>
          <w:sz w:val="20"/>
          <w:szCs w:val="20"/>
          <w:rtl/>
        </w:rPr>
        <w:footnoteRef/>
      </w:r>
      <w:r>
        <w:rPr>
          <w:sz w:val="20"/>
          <w:szCs w:val="20"/>
          <w:rtl/>
        </w:rPr>
        <w:t xml:space="preserve">. עוד הוא כותב שיש לכנות את עירו “ירושלים </w:t>
      </w:r>
      <w:proofErr w:type="spellStart"/>
      <w:r>
        <w:rPr>
          <w:sz w:val="20"/>
          <w:szCs w:val="20"/>
          <w:rtl/>
        </w:rPr>
        <w:t>דזאמוט</w:t>
      </w:r>
      <w:proofErr w:type="spellEnd"/>
      <w:r>
        <w:rPr>
          <w:sz w:val="20"/>
          <w:szCs w:val="20"/>
          <w:rtl/>
        </w:rPr>
        <w:t xml:space="preserve">”, כשם שווילנה מכונה “ירושלים </w:t>
      </w:r>
      <w:proofErr w:type="spellStart"/>
      <w:r>
        <w:rPr>
          <w:sz w:val="20"/>
          <w:szCs w:val="20"/>
          <w:rtl/>
        </w:rPr>
        <w:t>דליטא</w:t>
      </w:r>
      <w:proofErr w:type="spellEnd"/>
      <w:r>
        <w:rPr>
          <w:sz w:val="20"/>
          <w:szCs w:val="20"/>
          <w:rtl/>
        </w:rPr>
        <w:t>”.</w:t>
      </w:r>
    </w:p>
  </w:footnote>
  <w:footnote w:id="3649">
    <w:p w14:paraId="0E73B3A6" w14:textId="77777777" w:rsidR="00AB3647" w:rsidRDefault="00000000">
      <w:pPr>
        <w:spacing w:after="0" w:before="0"/>
        <w:jc w:val="both"/>
      </w:pPr>
      <w:r>
        <w:rPr>
          <w:sz w:val="20"/>
          <w:szCs w:val="20"/>
          <w:rtl/>
        </w:rPr>
        <w:footnoteRef/>
      </w:r>
      <w:r>
        <w:rPr>
          <w:sz w:val="20"/>
          <w:szCs w:val="20"/>
          <w:rtl/>
        </w:rPr>
        <w:t>. המקור הנזכר בפרק 3, הערה 19 – עמ׳ לב.</w:t>
      </w:r>
    </w:p>
  </w:footnote>
  <w:footnote w:id="3650">
    <w:p w14:paraId="07BF9E28" w14:textId="77777777" w:rsidR="00AB3647" w:rsidRDefault="00000000">
      <w:pPr>
        <w:spacing w:after="0" w:before="0"/>
        <w:jc w:val="both"/>
      </w:pPr>
      <w:r>
        <w:rPr>
          <w:sz w:val="20"/>
          <w:szCs w:val="20"/>
          <w:rtl/>
        </w:rPr>
        <w:footnoteRef/>
      </w:r>
      <w:r>
        <w:rPr>
          <w:sz w:val="20"/>
          <w:szCs w:val="20"/>
          <w:rtl/>
        </w:rPr>
        <w:t>. קהלת ט, ו, ועיין הוריות דף יד.</w:t>
      </w:r>
    </w:p>
  </w:footnote>
  <w:footnote w:id="3651">
    <w:p w14:paraId="5D231682"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יז</w:t>
      </w:r>
      <w:proofErr w:type="spellEnd"/>
      <w:r>
        <w:rPr>
          <w:sz w:val="20"/>
          <w:szCs w:val="20"/>
          <w:rtl/>
        </w:rPr>
        <w:t>, על התנגדות הסבא ללימודי חול ארבעים שנה קודם לכן.</w:t>
      </w:r>
    </w:p>
  </w:footnote>
  <w:footnote w:id="3652">
    <w:p w14:paraId="262358FD" w14:textId="77777777" w:rsidR="00AB3647" w:rsidRDefault="00000000">
      <w:pPr>
        <w:spacing w:after="0" w:before="0"/>
        <w:jc w:val="both"/>
      </w:pPr>
      <w:r>
        <w:rPr>
          <w:sz w:val="20"/>
          <w:szCs w:val="20"/>
          <w:rtl/>
        </w:rPr>
        <w:footnoteRef/>
      </w:r>
      <w:r>
        <w:rPr>
          <w:sz w:val="20"/>
          <w:szCs w:val="20"/>
          <w:rtl/>
        </w:rPr>
        <w:t>. מלשונו של אבי נראה שמעבר להתנגדות ללימודי חול כשלעצמם, גם קבלת תעודה הייתה דבר שראו בעין רעה; ראה פרק 2, הערה 84.</w:t>
      </w:r>
    </w:p>
  </w:footnote>
  <w:footnote w:id="3653">
    <w:p w14:paraId="35199AA2" w14:textId="77777777" w:rsidR="00AB3647" w:rsidRDefault="00000000">
      <w:pPr>
        <w:spacing w:after="0" w:before="0"/>
        <w:jc w:val="both"/>
      </w:pPr>
      <w:r>
        <w:rPr>
          <w:sz w:val="20"/>
          <w:szCs w:val="20"/>
          <w:rtl/>
        </w:rPr>
        <w:footnoteRef/>
      </w:r>
      <w:r>
        <w:rPr>
          <w:sz w:val="20"/>
          <w:szCs w:val="20"/>
          <w:rtl/>
        </w:rPr>
        <w:t xml:space="preserve">. הגדרת הסבא הובאה שלא כראוי במאמר הזיכרון </w:t>
      </w:r>
      <w:proofErr w:type="spellStart"/>
      <w:r>
        <w:rPr>
          <w:sz w:val="20"/>
          <w:szCs w:val="20"/>
          <w:rtl/>
        </w:rPr>
        <w:t>ב“ג׳ואיש</w:t>
      </w:r>
      <w:proofErr w:type="spellEnd"/>
      <w:r>
        <w:rPr>
          <w:sz w:val="20"/>
          <w:szCs w:val="20"/>
          <w:rtl/>
        </w:rPr>
        <w:t xml:space="preserve"> </w:t>
      </w:r>
      <w:proofErr w:type="spellStart"/>
      <w:r>
        <w:rPr>
          <w:sz w:val="20"/>
          <w:szCs w:val="20"/>
          <w:rtl/>
        </w:rPr>
        <w:t>אובזרבר</w:t>
      </w:r>
      <w:proofErr w:type="spellEnd"/>
      <w:r>
        <w:rPr>
          <w:sz w:val="20"/>
          <w:szCs w:val="20"/>
          <w:rtl/>
        </w:rPr>
        <w:t>” (המקור הנזכר בפרולוג, הערה 1), ותוקנה במכתב למערכת בגיליון מאוחר יותר.</w:t>
      </w:r>
    </w:p>
  </w:footnote>
  <w:footnote w:id="3654">
    <w:p w14:paraId="324DFF96" w14:textId="77777777" w:rsidR="00AB3647" w:rsidRDefault="00000000">
      <w:pPr>
        <w:spacing w:after="0" w:before="0"/>
        <w:jc w:val="both"/>
      </w:pPr>
      <w:r>
        <w:rPr>
          <w:sz w:val="20"/>
          <w:szCs w:val="20"/>
          <w:rtl/>
        </w:rPr>
        <w:footnoteRef/>
      </w:r>
      <w:r>
        <w:rPr>
          <w:sz w:val="20"/>
          <w:szCs w:val="20"/>
          <w:rtl/>
        </w:rPr>
        <w:t xml:space="preserve">. ראה כרך 2. השווה גם מכתבו של ר׳ </w:t>
      </w:r>
      <w:proofErr w:type="spellStart"/>
      <w:r>
        <w:rPr>
          <w:sz w:val="20"/>
          <w:szCs w:val="20"/>
          <w:rtl/>
        </w:rPr>
        <w:t>יצחק־אייזיק</w:t>
      </w:r>
      <w:proofErr w:type="spellEnd"/>
      <w:r>
        <w:rPr>
          <w:sz w:val="20"/>
          <w:szCs w:val="20"/>
          <w:rtl/>
        </w:rPr>
        <w:t xml:space="preserve"> הלוי </w:t>
      </w:r>
      <w:proofErr w:type="spellStart"/>
      <w:r>
        <w:rPr>
          <w:sz w:val="20"/>
          <w:szCs w:val="20"/>
          <w:rtl/>
        </w:rPr>
        <w:t>מתרע״ג</w:t>
      </w:r>
      <w:proofErr w:type="spellEnd"/>
      <w:r>
        <w:rPr>
          <w:sz w:val="20"/>
          <w:szCs w:val="20"/>
          <w:rtl/>
        </w:rPr>
        <w:t xml:space="preserve">, המובא בעמ׳ </w:t>
      </w:r>
      <w:r>
        <w:rPr>
          <w:sz w:val="20"/>
          <w:szCs w:val="20"/>
          <w:rtl/>
        </w:rPr>
        <w:fldChar w:fldCharType="begin" w:dirty="true"/>
      </w:r>
      <w:r>
        <w:rPr>
          <w:sz w:val="20"/>
          <w:szCs w:val="20"/>
          <w:rtl/>
        </w:rPr>
        <w:instrText xml:space="preserve"> PAGEREF pr_b_1311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שלפיו כבר התקבלה ההשכלה בכל החוגים; רבה של קובנה שיקף באישיותו את השקפת דורו.</w:t>
      </w:r>
    </w:p>
  </w:footnote>
  <w:footnote w:id="3655">
    <w:p w14:paraId="7552E2F3" w14:textId="77777777" w:rsidR="00AB3647" w:rsidRDefault="00000000">
      <w:pPr>
        <w:spacing w:after="0" w:before="0"/>
        <w:jc w:val="both"/>
      </w:pPr>
      <w:r>
        <w:rPr>
          <w:sz w:val="20"/>
          <w:szCs w:val="20"/>
          <w:rtl/>
        </w:rPr>
        <w:footnoteRef/>
      </w:r>
      <w:r>
        <w:rPr>
          <w:sz w:val="20"/>
          <w:szCs w:val="20"/>
          <w:rtl/>
        </w:rPr>
        <w:t xml:space="preserve">. המקור הנזכר בפרק 1, הפסקה השנייה של נספח ב – חלק ב, עמ׳ </w:t>
      </w:r>
      <w:proofErr w:type="spellStart"/>
      <w:r>
        <w:rPr>
          <w:sz w:val="20"/>
          <w:szCs w:val="20"/>
          <w:rtl/>
        </w:rPr>
        <w:t>קצ</w:t>
      </w:r>
      <w:proofErr w:type="spellEnd"/>
      <w:r>
        <w:rPr>
          <w:sz w:val="20"/>
          <w:szCs w:val="20"/>
          <w:rtl/>
        </w:rPr>
        <w:t>.</w:t>
      </w:r>
    </w:p>
  </w:footnote>
  <w:footnote w:id="3656">
    <w:p w14:paraId="07D96CBB" w14:textId="77777777" w:rsidR="00AB3647" w:rsidRDefault="00000000">
      <w:pPr>
        <w:spacing w:after="0" w:before="0"/>
        <w:jc w:val="both"/>
      </w:pPr>
      <w:r>
        <w:rPr>
          <w:sz w:val="20"/>
          <w:szCs w:val="20"/>
          <w:rtl/>
        </w:rPr>
        <w:footnoteRef/>
      </w:r>
      <w:r>
        <w:rPr>
          <w:sz w:val="20"/>
          <w:szCs w:val="20"/>
          <w:rtl/>
        </w:rPr>
        <w:t xml:space="preserve">. אפשר שר׳ חיים הגיע למסקנה זו בעקבות ניסיונו באספת הרבנים בפטרבורג </w:t>
      </w:r>
      <w:proofErr w:type="spellStart"/>
      <w:r>
        <w:rPr>
          <w:sz w:val="20"/>
          <w:szCs w:val="20"/>
          <w:rtl/>
        </w:rPr>
        <w:t>בתר״ע</w:t>
      </w:r>
      <w:proofErr w:type="spellEnd"/>
      <w:r>
        <w:rPr>
          <w:sz w:val="20"/>
          <w:szCs w:val="20"/>
          <w:rtl/>
        </w:rPr>
        <w:t xml:space="preserve">; ראה פרק 3, הפסקה החמישית של נספח </w:t>
      </w:r>
      <w:proofErr w:type="spellStart"/>
      <w:r>
        <w:rPr>
          <w:sz w:val="20"/>
          <w:szCs w:val="20"/>
          <w:rtl/>
        </w:rPr>
        <w:t>יח</w:t>
      </w:r>
      <w:proofErr w:type="spellEnd"/>
      <w:r>
        <w:rPr>
          <w:sz w:val="20"/>
          <w:szCs w:val="20"/>
          <w:rtl/>
        </w:rPr>
        <w:t>.</w:t>
      </w:r>
    </w:p>
  </w:footnote>
  <w:footnote w:id="3657">
    <w:p w14:paraId="3B2CFD81" w14:textId="77777777" w:rsidR="00AB3647" w:rsidRDefault="00000000">
      <w:pPr>
        <w:spacing w:after="0" w:before="0"/>
        <w:jc w:val="both"/>
      </w:pPr>
      <w:r>
        <w:rPr>
          <w:sz w:val="20"/>
          <w:szCs w:val="20"/>
          <w:rtl/>
        </w:rPr>
        <w:footnoteRef/>
      </w:r>
      <w:r>
        <w:rPr>
          <w:sz w:val="20"/>
          <w:szCs w:val="20"/>
          <w:rtl/>
        </w:rPr>
        <w:t xml:space="preserve">. ריאיון מיום 11 באוקטובר 2001. מקורות אלו מובאים גם </w:t>
      </w:r>
      <w:proofErr w:type="spellStart"/>
      <w:r>
        <w:rPr>
          <w:sz w:val="20"/>
          <w:szCs w:val="20"/>
          <w:rtl/>
        </w:rPr>
        <w:t>ב“נפש</w:t>
      </w:r>
      <w:proofErr w:type="spellEnd"/>
      <w:r>
        <w:rPr>
          <w:sz w:val="20"/>
          <w:szCs w:val="20"/>
          <w:rtl/>
        </w:rPr>
        <w:t xml:space="preserve"> הרב” (המקור הנזכר בעמ׳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xml:space="preserve">), עמ׳ </w:t>
      </w:r>
      <w:proofErr w:type="spellStart"/>
      <w:r>
        <w:rPr>
          <w:sz w:val="20"/>
          <w:szCs w:val="20"/>
          <w:rtl/>
        </w:rPr>
        <w:t>קעח</w:t>
      </w:r>
      <w:proofErr w:type="spellEnd"/>
      <w:r>
        <w:rPr>
          <w:sz w:val="20"/>
          <w:szCs w:val="20"/>
          <w:rtl/>
        </w:rPr>
        <w:t>.</w:t>
      </w:r>
    </w:p>
  </w:footnote>
  <w:footnote w:id="3658">
    <w:p w14:paraId="480600D9" w14:textId="77777777" w:rsidR="00AB3647" w:rsidRDefault="00000000">
      <w:pPr>
        <w:spacing w:after="0" w:before="0"/>
        <w:jc w:val="both"/>
      </w:pPr>
      <w:r>
        <w:rPr>
          <w:sz w:val="20"/>
          <w:szCs w:val="20"/>
          <w:rtl/>
        </w:rPr>
        <w:footnoteRef/>
      </w:r>
      <w:r>
        <w:rPr>
          <w:sz w:val="20"/>
          <w:szCs w:val="20"/>
          <w:rtl/>
        </w:rPr>
        <w:t xml:space="preserve">. השווה “הראשון לשושלת </w:t>
      </w:r>
      <w:proofErr w:type="spellStart"/>
      <w:r>
        <w:rPr>
          <w:sz w:val="20"/>
          <w:szCs w:val="20"/>
          <w:rtl/>
        </w:rPr>
        <w:t>בריסק</w:t>
      </w:r>
      <w:proofErr w:type="spellEnd"/>
      <w:r>
        <w:rPr>
          <w:sz w:val="20"/>
          <w:szCs w:val="20"/>
          <w:rtl/>
        </w:rPr>
        <w:t>” (המקור הנזכר בפרק 1, הפסקה השנייה בהערה 96), עמ׳ 37–70.</w:t>
      </w:r>
    </w:p>
  </w:footnote>
  <w:footnote w:id="3659">
    <w:p w14:paraId="295B6D82" w14:textId="77777777" w:rsidR="00AB3647" w:rsidRDefault="00000000">
      <w:pPr>
        <w:spacing w:after="0" w:before="0"/>
        <w:jc w:val="both"/>
      </w:pPr>
      <w:r>
        <w:rPr>
          <w:sz w:val="20"/>
          <w:szCs w:val="20"/>
          <w:rtl/>
        </w:rPr>
        <w:footnoteRef/>
      </w:r>
      <w:r>
        <w:rPr>
          <w:sz w:val="20"/>
          <w:szCs w:val="20"/>
          <w:rtl/>
        </w:rPr>
        <w:t xml:space="preserve">. הדבר מודגש בפרק 5, הפסקה הראשונה של נספח ו, ביחס </w:t>
      </w:r>
      <w:proofErr w:type="spellStart"/>
      <w:r>
        <w:rPr>
          <w:sz w:val="20"/>
          <w:szCs w:val="20"/>
          <w:rtl/>
        </w:rPr>
        <w:t>לראסיין</w:t>
      </w:r>
      <w:proofErr w:type="spellEnd"/>
      <w:r>
        <w:rPr>
          <w:sz w:val="20"/>
          <w:szCs w:val="20"/>
          <w:rtl/>
        </w:rPr>
        <w:t xml:space="preserve"> </w:t>
      </w:r>
      <w:proofErr w:type="spellStart"/>
      <w:r>
        <w:rPr>
          <w:sz w:val="20"/>
          <w:szCs w:val="20"/>
          <w:rtl/>
        </w:rPr>
        <w:t>ולקמניץ</w:t>
      </w:r>
      <w:proofErr w:type="spellEnd"/>
      <w:r>
        <w:rPr>
          <w:sz w:val="20"/>
          <w:szCs w:val="20"/>
          <w:rtl/>
        </w:rPr>
        <w:t xml:space="preserve"> – הראשונה בלב ליטא, </w:t>
      </w:r>
      <w:proofErr w:type="spellStart"/>
      <w:r>
        <w:rPr>
          <w:sz w:val="20"/>
          <w:szCs w:val="20"/>
          <w:rtl/>
        </w:rPr>
        <w:t>בזאמוט</w:t>
      </w:r>
      <w:proofErr w:type="spellEnd"/>
      <w:r>
        <w:rPr>
          <w:sz w:val="20"/>
          <w:szCs w:val="20"/>
          <w:rtl/>
        </w:rPr>
        <w:t xml:space="preserve">, והשנייה בפולין. אין זה מתקבל על הדעת לייחס את רצונו של ר׳ חיים לעזוב את </w:t>
      </w:r>
      <w:proofErr w:type="spellStart"/>
      <w:r>
        <w:rPr>
          <w:sz w:val="20"/>
          <w:szCs w:val="20"/>
          <w:rtl/>
        </w:rPr>
        <w:t>בריסק</w:t>
      </w:r>
      <w:proofErr w:type="spellEnd"/>
      <w:r>
        <w:rPr>
          <w:sz w:val="20"/>
          <w:szCs w:val="20"/>
          <w:rtl/>
        </w:rPr>
        <w:t xml:space="preserve"> לכך שתושביה תמכו בציונות, שממנה הסתייג (ראה פרק 5, סוף נספח ח ואמצע הפסקה הראשונה של נספח ו; פרק 4, תחילת הפסקה השישית של נספח ט; והערת השוליים </w:t>
      </w:r>
      <w:r>
        <w:rPr>
          <w:sz w:val="20"/>
          <w:szCs w:val="20"/>
          <w:rtl/>
        </w:rPr>
        <w:fldChar w:fldCharType="begin" w:dirty="true"/>
      </w:r>
      <w:r>
        <w:rPr>
          <w:sz w:val="20"/>
          <w:szCs w:val="20"/>
          <w:rtl/>
        </w:rPr>
        <w:instrText xml:space="preserve"> NOTEREF pr_f_1955 \h </w:instrText>
      </w:r>
      <w:r>
        <w:rPr>
          <w:sz w:val="20"/>
          <w:szCs w:val="20"/>
          <w:rtl/>
        </w:rPr>
      </w:r>
      <w:r>
        <w:rPr>
          <w:sz w:val="20"/>
          <w:szCs w:val="20"/>
          <w:rtl/>
        </w:rPr>
        <w:fldChar w:fldCharType="separate"/>
      </w:r>
      <w:r w:rsidR="007923E9">
        <w:rPr>
          <w:sz w:val="20"/>
          <w:szCs w:val="20"/>
          <w:rtl/>
        </w:rPr>
        <w:t>1001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pr_f_1955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מפני שקובנה לא הייתה ציונית פחות.</w:t>
      </w:r>
    </w:p>
  </w:footnote>
  <w:footnote w:id="3660">
    <w:p w14:paraId="3384E48D" w14:textId="77777777" w:rsidR="00AB3647" w:rsidRDefault="00000000">
      <w:pPr>
        <w:spacing w:after="0" w:before="0"/>
        <w:jc w:val="both"/>
      </w:pPr>
      <w:r>
        <w:rPr>
          <w:sz w:val="20"/>
          <w:szCs w:val="20"/>
          <w:rtl/>
        </w:rPr>
        <w:footnoteRef/>
      </w:r>
      <w:r>
        <w:rPr>
          <w:sz w:val="20"/>
          <w:szCs w:val="20"/>
          <w:rtl/>
        </w:rPr>
        <w:t xml:space="preserve">. השווה פרק 3, נספח כה, ותחילת הפסקה השנייה של נספח </w:t>
      </w:r>
      <w:proofErr w:type="spellStart"/>
      <w:r>
        <w:rPr>
          <w:sz w:val="20"/>
          <w:szCs w:val="20"/>
          <w:rtl/>
        </w:rPr>
        <w:t>יז</w:t>
      </w:r>
      <w:proofErr w:type="spellEnd"/>
      <w:r>
        <w:rPr>
          <w:sz w:val="20"/>
          <w:szCs w:val="20"/>
          <w:rtl/>
        </w:rPr>
        <w:t xml:space="preserve">. ברור שבספרו של כץ, “תנועת המוסר”, כרך ב (המקור הנזכר בפרק 2, הערה 17), בהערה 7 בעמ׳ 196, חסר המידע שר׳ </w:t>
      </w:r>
      <w:proofErr w:type="spellStart"/>
      <w:r>
        <w:rPr>
          <w:sz w:val="20"/>
          <w:szCs w:val="20"/>
          <w:rtl/>
        </w:rPr>
        <w:t>חצקל</w:t>
      </w:r>
      <w:proofErr w:type="spellEnd"/>
      <w:r>
        <w:rPr>
          <w:sz w:val="20"/>
          <w:szCs w:val="20"/>
          <w:rtl/>
        </w:rPr>
        <w:t xml:space="preserve"> למד </w:t>
      </w:r>
      <w:proofErr w:type="spellStart"/>
      <w:r>
        <w:rPr>
          <w:sz w:val="20"/>
          <w:szCs w:val="20"/>
          <w:rtl/>
        </w:rPr>
        <w:t>בגרובין</w:t>
      </w:r>
      <w:proofErr w:type="spellEnd"/>
      <w:r>
        <w:rPr>
          <w:sz w:val="20"/>
          <w:szCs w:val="20"/>
          <w:rtl/>
        </w:rPr>
        <w:t>.</w:t>
      </w:r>
    </w:p>
  </w:footnote>
  <w:footnote w:id="3661">
    <w:p w14:paraId="0C40C447" w14:textId="77777777" w:rsidR="00AB3647" w:rsidRDefault="00000000">
      <w:pPr>
        <w:spacing w:after="0" w:before="0"/>
        <w:jc w:val="both"/>
      </w:pPr>
      <w:r>
        <w:rPr>
          <w:sz w:val="20"/>
          <w:szCs w:val="20"/>
          <w:rtl/>
        </w:rPr>
        <w:footnoteRef/>
      </w:r>
      <w:r>
        <w:rPr>
          <w:sz w:val="20"/>
          <w:szCs w:val="20"/>
          <w:rtl/>
        </w:rPr>
        <w:t>. עמ׳ 234.</w:t>
      </w:r>
    </w:p>
  </w:footnote>
  <w:footnote w:id="3662">
    <w:p w14:paraId="2BB67D1C" w14:textId="77777777" w:rsidR="00AB3647" w:rsidRDefault="00000000">
      <w:pPr>
        <w:spacing w:after="0" w:before="0"/>
        <w:jc w:val="both"/>
      </w:pPr>
      <w:r>
        <w:rPr>
          <w:sz w:val="20"/>
          <w:szCs w:val="20"/>
          <w:rtl/>
        </w:rPr>
        <w:footnoteRef/>
      </w:r>
      <w:r>
        <w:rPr>
          <w:sz w:val="20"/>
          <w:szCs w:val="20"/>
          <w:rtl/>
        </w:rPr>
        <w:t>. בנקודה זו חזר אבי על פרטי פולמוס המוסר, שנמסרו בפסקה השלישית מן הסוף בפרק 3.1 ובהערות השוליים שלה.</w:t>
      </w:r>
    </w:p>
  </w:footnote>
  <w:footnote w:id="3663">
    <w:p w14:paraId="12EA602F" w14:textId="77777777" w:rsidR="00AB3647" w:rsidRDefault="00000000">
      <w:pPr>
        <w:spacing w:after="0" w:before="0"/>
        <w:jc w:val="both"/>
      </w:pPr>
      <w:r>
        <w:rPr>
          <w:sz w:val="20"/>
          <w:szCs w:val="20"/>
          <w:rtl/>
        </w:rPr>
        <w:footnoteRef/>
      </w:r>
      <w:r>
        <w:rPr>
          <w:sz w:val="20"/>
          <w:szCs w:val="20"/>
          <w:rtl/>
        </w:rPr>
        <w:t>. ריאיון מיום 10 באוקטובר 1991.</w:t>
      </w:r>
    </w:p>
  </w:footnote>
  <w:footnote w:id="3664">
    <w:p w14:paraId="4478A9B7" w14:textId="77777777" w:rsidR="00AB3647" w:rsidRDefault="00000000">
      <w:pPr>
        <w:spacing w:after="0" w:before="0"/>
        <w:jc w:val="both"/>
      </w:pPr>
      <w:r>
        <w:rPr>
          <w:sz w:val="20"/>
          <w:szCs w:val="20"/>
          <w:rtl/>
        </w:rPr>
        <w:footnoteRef/>
      </w:r>
      <w:r>
        <w:rPr>
          <w:sz w:val="20"/>
          <w:szCs w:val="20"/>
          <w:rtl/>
        </w:rPr>
        <w:t>. המקור הנזכר בפרק 1, הערה 57 – עמ׳ 422.</w:t>
      </w:r>
    </w:p>
  </w:footnote>
  <w:footnote w:id="3665">
    <w:p w14:paraId="6413A5A0" w14:textId="77777777" w:rsidR="00AB3647" w:rsidRDefault="00000000">
      <w:pPr>
        <w:spacing w:after="0" w:before="0"/>
        <w:jc w:val="both"/>
      </w:pPr>
      <w:r>
        <w:rPr>
          <w:sz w:val="20"/>
          <w:szCs w:val="20"/>
          <w:rtl/>
        </w:rPr>
        <w:footnoteRef/>
      </w:r>
      <w:r>
        <w:rPr>
          <w:sz w:val="20"/>
          <w:szCs w:val="20"/>
          <w:rtl/>
        </w:rPr>
        <w:t>. המקור הנזכר בפרק 3, נספח יא – עמ׳ 160–161.</w:t>
      </w:r>
    </w:p>
  </w:footnote>
  <w:footnote w:id="3666">
    <w:p w14:paraId="60C5C44A"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יג</w:t>
      </w:r>
      <w:proofErr w:type="spellEnd"/>
      <w:r>
        <w:rPr>
          <w:sz w:val="20"/>
          <w:szCs w:val="20"/>
          <w:rtl/>
        </w:rPr>
        <w:t>.</w:t>
      </w:r>
    </w:p>
  </w:footnote>
  <w:footnote w:id="3667">
    <w:p w14:paraId="1E082A92" w14:textId="77777777" w:rsidR="00AB3647" w:rsidRDefault="00000000">
      <w:pPr>
        <w:spacing w:after="0" w:before="0"/>
        <w:jc w:val="both"/>
      </w:pPr>
      <w:r>
        <w:rPr>
          <w:sz w:val="20"/>
          <w:szCs w:val="20"/>
          <w:rtl/>
        </w:rPr>
        <w:footnoteRef/>
      </w:r>
      <w:r>
        <w:rPr>
          <w:sz w:val="20"/>
          <w:szCs w:val="20"/>
          <w:rtl/>
        </w:rPr>
        <w:t>. ריאיון מיום 14 בינואר 1988.</w:t>
      </w:r>
    </w:p>
  </w:footnote>
  <w:footnote w:id="3668">
    <w:p w14:paraId="3A55D4CB" w14:textId="77777777" w:rsidR="00AB3647" w:rsidRDefault="00000000">
      <w:pPr>
        <w:spacing w:after="0" w:before="0"/>
        <w:jc w:val="both"/>
      </w:pPr>
      <w:r>
        <w:rPr>
          <w:sz w:val="20"/>
          <w:szCs w:val="20"/>
          <w:rtl/>
        </w:rPr>
        <w:footnoteRef/>
      </w:r>
      <w:r>
        <w:rPr>
          <w:sz w:val="20"/>
          <w:szCs w:val="20"/>
          <w:rtl/>
        </w:rPr>
        <w:t>. המקור הנזכר בפרק 3, נספח א – עמ׳ שיד–שטו.</w:t>
      </w:r>
    </w:p>
  </w:footnote>
  <w:footnote w:id="3669">
    <w:p w14:paraId="09D13A9A" w14:textId="77777777" w:rsidR="00AB3647" w:rsidRDefault="00000000">
      <w:pPr>
        <w:spacing w:after="0" w:before="0"/>
        <w:jc w:val="both"/>
      </w:pPr>
      <w:r>
        <w:rPr>
          <w:sz w:val="20"/>
          <w:szCs w:val="20"/>
          <w:rtl/>
        </w:rPr>
        <w:footnoteRef/>
      </w:r>
      <w:r>
        <w:rPr>
          <w:sz w:val="20"/>
          <w:szCs w:val="20"/>
          <w:rtl/>
        </w:rPr>
        <w:t xml:space="preserve">. דברים אלו מסר ר׳ ישראל </w:t>
      </w:r>
      <w:proofErr w:type="spellStart"/>
      <w:r>
        <w:rPr>
          <w:sz w:val="20"/>
          <w:szCs w:val="20"/>
          <w:rtl/>
        </w:rPr>
        <w:t>שורין</w:t>
      </w:r>
      <w:proofErr w:type="spellEnd"/>
      <w:r>
        <w:rPr>
          <w:sz w:val="20"/>
          <w:szCs w:val="20"/>
          <w:rtl/>
        </w:rPr>
        <w:t>, בריאיון מיום 25 בספטמבר 1998.</w:t>
      </w:r>
    </w:p>
  </w:footnote>
  <w:footnote w:id="3670">
    <w:p w14:paraId="3AC1EB08" w14:textId="77777777" w:rsidR="00AB3647" w:rsidRDefault="00000000">
      <w:pPr>
        <w:spacing w:after="0" w:before="0"/>
        <w:jc w:val="both"/>
      </w:pPr>
      <w:r>
        <w:rPr>
          <w:sz w:val="20"/>
          <w:szCs w:val="20"/>
          <w:rtl/>
        </w:rPr>
        <w:footnoteRef/>
      </w:r>
      <w:r>
        <w:rPr>
          <w:sz w:val="20"/>
          <w:szCs w:val="20"/>
          <w:rtl/>
        </w:rPr>
        <w:t xml:space="preserve">. הוצאת ארגון עולי </w:t>
      </w:r>
      <w:proofErr w:type="spellStart"/>
      <w:r>
        <w:rPr>
          <w:sz w:val="20"/>
          <w:szCs w:val="20"/>
          <w:rtl/>
        </w:rPr>
        <w:t>לומזה</w:t>
      </w:r>
      <w:proofErr w:type="spellEnd"/>
      <w:r>
        <w:rPr>
          <w:sz w:val="20"/>
          <w:szCs w:val="20"/>
          <w:rtl/>
        </w:rPr>
        <w:t xml:space="preserve"> בישראל, תשי״ג – עמ׳ 115.</w:t>
      </w:r>
    </w:p>
  </w:footnote>
  <w:footnote w:id="3671">
    <w:p w14:paraId="3C625784" w14:textId="77777777" w:rsidR="00AB3647" w:rsidRDefault="00000000">
      <w:pPr>
        <w:spacing w:after="0" w:before="0"/>
        <w:jc w:val="both"/>
      </w:pPr>
      <w:r>
        <w:rPr>
          <w:sz w:val="20"/>
          <w:szCs w:val="20"/>
          <w:rtl/>
        </w:rPr>
        <w:footnoteRef/>
      </w:r>
      <w:r>
        <w:rPr>
          <w:sz w:val="20"/>
          <w:szCs w:val="20"/>
          <w:rtl/>
        </w:rPr>
        <w:t>. גיליון ה׳ באייר תשכ״א.</w:t>
      </w:r>
    </w:p>
  </w:footnote>
  <w:footnote w:id="3672">
    <w:p w14:paraId="23C432FB" w14:textId="77777777" w:rsidR="00AB3647" w:rsidRDefault="00000000">
      <w:pPr>
        <w:spacing w:after="0" w:before="0"/>
        <w:jc w:val="both"/>
      </w:pPr>
      <w:r>
        <w:rPr>
          <w:sz w:val="20"/>
          <w:szCs w:val="20"/>
          <w:rtl/>
        </w:rPr>
        <w:footnoteRef/>
      </w:r>
      <w:r>
        <w:rPr>
          <w:sz w:val="20"/>
          <w:szCs w:val="20"/>
          <w:rtl/>
        </w:rPr>
        <w:t>. משלי ג, ד.</w:t>
      </w:r>
    </w:p>
  </w:footnote>
  <w:footnote w:id="3673">
    <w:p w14:paraId="38E47A5C" w14:textId="77777777" w:rsidR="00AB3647" w:rsidRDefault="00000000">
      <w:pPr>
        <w:spacing w:after="0" w:before="0"/>
        <w:jc w:val="both"/>
      </w:pPr>
      <w:r>
        <w:rPr>
          <w:sz w:val="20"/>
          <w:szCs w:val="20"/>
          <w:rtl/>
        </w:rPr>
        <w:footnoteRef/>
      </w:r>
      <w:r>
        <w:rPr>
          <w:sz w:val="20"/>
          <w:szCs w:val="20"/>
          <w:rtl/>
        </w:rPr>
        <w:t>. השווה כרך 2.</w:t>
      </w:r>
    </w:p>
  </w:footnote>
  <w:footnote w:id="3674">
    <w:p w14:paraId="3036F796" w14:textId="77777777" w:rsidR="00AB3647" w:rsidRDefault="00000000">
      <w:pPr>
        <w:spacing w:after="0" w:before="0"/>
        <w:jc w:val="both"/>
      </w:pPr>
      <w:r>
        <w:rPr>
          <w:sz w:val="20"/>
          <w:szCs w:val="20"/>
          <w:rtl/>
        </w:rPr>
        <w:footnoteRef/>
      </w:r>
      <w:r>
        <w:rPr>
          <w:sz w:val="20"/>
          <w:szCs w:val="20"/>
          <w:rtl/>
        </w:rPr>
        <w:t>. ראה גם הערה 33 לעיל.</w:t>
      </w:r>
    </w:p>
  </w:footnote>
  <w:footnote w:id="3675">
    <w:p w14:paraId="47C4F901" w14:textId="77777777" w:rsidR="00AB3647" w:rsidRDefault="00000000">
      <w:pPr>
        <w:spacing w:after="0" w:before="0"/>
        <w:jc w:val="both"/>
      </w:pPr>
      <w:r>
        <w:rPr>
          <w:sz w:val="20"/>
          <w:szCs w:val="20"/>
          <w:rtl/>
        </w:rPr>
        <w:footnoteRef/>
      </w:r>
      <w:r>
        <w:rPr>
          <w:sz w:val="20"/>
          <w:szCs w:val="20"/>
          <w:rtl/>
        </w:rPr>
        <w:t xml:space="preserve">. ראה כרך 2 לפרטי המעשה, שאליו רומזים בעמ׳ </w:t>
      </w:r>
      <w:r>
        <w:rPr>
          <w:sz w:val="20"/>
          <w:szCs w:val="20"/>
          <w:rtl/>
        </w:rPr>
        <w:fldChar w:fldCharType="begin" w:dirty="true"/>
      </w:r>
      <w:r>
        <w:rPr>
          <w:sz w:val="20"/>
          <w:szCs w:val="20"/>
          <w:rtl/>
        </w:rPr>
        <w:instrText xml:space="preserve"> PAGEREF pr_b_2455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676">
    <w:p w14:paraId="6A916816" w14:textId="77777777" w:rsidR="00AB3647" w:rsidRDefault="00000000">
      <w:pPr>
        <w:spacing w:after="0" w:before="0"/>
        <w:jc w:val="both"/>
      </w:pPr>
      <w:r>
        <w:rPr>
          <w:sz w:val="20"/>
          <w:szCs w:val="20"/>
          <w:rtl/>
        </w:rPr>
        <w:footnoteRef/>
      </w:r>
      <w:r>
        <w:rPr>
          <w:sz w:val="20"/>
          <w:szCs w:val="20"/>
          <w:rtl/>
        </w:rPr>
        <w:t>. לפי ר׳ מרדכי שיין (פרק 2, נספח ב).</w:t>
      </w:r>
    </w:p>
  </w:footnote>
  <w:footnote w:id="3677">
    <w:p w14:paraId="67531431" w14:textId="77777777" w:rsidR="00AB3647" w:rsidRDefault="00000000">
      <w:pPr>
        <w:spacing w:after="0" w:before="0"/>
        <w:jc w:val="both"/>
      </w:pPr>
      <w:r>
        <w:rPr>
          <w:sz w:val="20"/>
          <w:szCs w:val="20"/>
          <w:rtl/>
        </w:rPr>
        <w:footnoteRef/>
      </w:r>
      <w:r>
        <w:rPr>
          <w:sz w:val="20"/>
          <w:szCs w:val="20"/>
          <w:rtl/>
        </w:rPr>
        <w:t>. עמ׳ 216.</w:t>
      </w:r>
    </w:p>
  </w:footnote>
  <w:footnote w:id="3678">
    <w:p w14:paraId="793A93D5" w14:textId="77777777" w:rsidR="00AB3647" w:rsidRDefault="00000000">
      <w:pPr>
        <w:spacing w:after="0" w:before="0"/>
        <w:jc w:val="both"/>
      </w:pPr>
      <w:r>
        <w:rPr>
          <w:sz w:val="20"/>
          <w:szCs w:val="20"/>
          <w:rtl/>
        </w:rPr>
        <w:footnoteRef/>
      </w:r>
      <w:r>
        <w:rPr>
          <w:sz w:val="20"/>
          <w:szCs w:val="20"/>
          <w:rtl/>
        </w:rPr>
        <w:t>. הערה 7 לעיל – עמ׳ 324.</w:t>
      </w:r>
    </w:p>
  </w:footnote>
  <w:footnote w:id="3679">
    <w:p w14:paraId="57465221" w14:textId="77777777" w:rsidR="00AB3647" w:rsidRDefault="00000000">
      <w:pPr>
        <w:spacing w:after="0" w:before="0"/>
        <w:jc w:val="both"/>
      </w:pPr>
      <w:r>
        <w:rPr>
          <w:sz w:val="20"/>
          <w:szCs w:val="20"/>
          <w:rtl/>
        </w:rPr>
        <w:footnoteRef/>
      </w:r>
      <w:r>
        <w:rPr>
          <w:sz w:val="20"/>
          <w:szCs w:val="20"/>
          <w:rtl/>
        </w:rPr>
        <w:t>. ריאיון מיום 6 במרץ 1992.</w:t>
      </w:r>
    </w:p>
  </w:footnote>
  <w:footnote w:id="3680">
    <w:p w14:paraId="3FC9B0A7" w14:textId="77777777" w:rsidR="00AB3647" w:rsidRDefault="00000000">
      <w:pPr>
        <w:spacing w:after="0" w:before="0"/>
        <w:jc w:val="both"/>
      </w:pPr>
      <w:r>
        <w:rPr>
          <w:sz w:val="20"/>
          <w:szCs w:val="20"/>
          <w:rtl/>
        </w:rPr>
        <w:footnoteRef/>
      </w:r>
      <w:r>
        <w:rPr>
          <w:sz w:val="20"/>
          <w:szCs w:val="20"/>
          <w:rtl/>
        </w:rPr>
        <w:t>. ראה פרק 3, סוף הערה 115, כיצד השפיע חשש זה של הסבא על פעולותיו בארץ ישראל.</w:t>
      </w:r>
    </w:p>
  </w:footnote>
  <w:footnote w:id="3681">
    <w:p w14:paraId="378AC964" w14:textId="77777777" w:rsidR="00AB3647" w:rsidRDefault="00000000">
      <w:pPr>
        <w:spacing w:after="0" w:before="0"/>
        <w:jc w:val="both"/>
      </w:pPr>
      <w:r>
        <w:rPr>
          <w:sz w:val="20"/>
          <w:szCs w:val="20"/>
          <w:rtl/>
        </w:rPr>
        <w:footnoteRef/>
      </w:r>
      <w:r>
        <w:rPr>
          <w:sz w:val="20"/>
          <w:szCs w:val="20"/>
          <w:rtl/>
        </w:rPr>
        <w:t>. השווה פרק 3, נספח א.</w:t>
      </w:r>
    </w:p>
  </w:footnote>
  <w:footnote w:id="3682">
    <w:p w14:paraId="625CC92F" w14:textId="77777777" w:rsidR="00AB3647" w:rsidRDefault="00000000">
      <w:pPr>
        <w:spacing w:after="0" w:before="0"/>
        <w:jc w:val="both"/>
      </w:pPr>
      <w:r>
        <w:rPr>
          <w:sz w:val="20"/>
          <w:szCs w:val="20"/>
          <w:rtl/>
        </w:rPr>
        <w:footnoteRef/>
      </w:r>
      <w:r>
        <w:rPr>
          <w:sz w:val="20"/>
          <w:szCs w:val="20"/>
          <w:rtl/>
        </w:rPr>
        <w:t>. עמ׳ 259.</w:t>
      </w:r>
    </w:p>
  </w:footnote>
  <w:footnote w:id="3683">
    <w:p w14:paraId="1C9EF155" w14:textId="77777777" w:rsidR="00AB3647" w:rsidRDefault="00000000">
      <w:pPr>
        <w:spacing w:after="0" w:before="0"/>
        <w:jc w:val="both"/>
      </w:pPr>
      <w:r>
        <w:rPr>
          <w:sz w:val="20"/>
          <w:szCs w:val="20"/>
          <w:rtl/>
        </w:rPr>
        <w:footnoteRef/>
      </w:r>
      <w:r>
        <w:rPr>
          <w:sz w:val="20"/>
          <w:szCs w:val="20"/>
          <w:rtl/>
        </w:rPr>
        <w:t>. עמ׳ 217.</w:t>
      </w:r>
    </w:p>
  </w:footnote>
  <w:footnote w:id="3684">
    <w:p w14:paraId="189D1AE1" w14:textId="77777777" w:rsidR="00AB3647" w:rsidRDefault="00000000">
      <w:pPr>
        <w:spacing w:after="0" w:before="0"/>
        <w:jc w:val="both"/>
      </w:pPr>
      <w:r>
        <w:rPr>
          <w:sz w:val="20"/>
          <w:szCs w:val="20"/>
          <w:rtl/>
        </w:rPr>
        <w:footnoteRef/>
      </w:r>
      <w:r>
        <w:rPr>
          <w:sz w:val="20"/>
          <w:szCs w:val="20"/>
          <w:rtl/>
        </w:rPr>
        <w:t xml:space="preserve">. כץ אומר שהמחאה הושמעה “בזמן שעלתה המחשבה למנות בה </w:t>
      </w:r>
      <w:proofErr w:type="spellStart"/>
      <w:r>
        <w:rPr>
          <w:sz w:val="20"/>
          <w:szCs w:val="20"/>
          <w:rtl/>
        </w:rPr>
        <w:t>כר״מים</w:t>
      </w:r>
      <w:proofErr w:type="spellEnd"/>
      <w:r>
        <w:rPr>
          <w:sz w:val="20"/>
          <w:szCs w:val="20"/>
          <w:rtl/>
        </w:rPr>
        <w:t xml:space="preserve"> את חתנו ובנו”. מינויו הראשון של הרב שר היה </w:t>
      </w:r>
      <w:proofErr w:type="spellStart"/>
      <w:r>
        <w:rPr>
          <w:sz w:val="20"/>
          <w:szCs w:val="20"/>
          <w:rtl/>
        </w:rPr>
        <w:t>בתרס״ו</w:t>
      </w:r>
      <w:proofErr w:type="spellEnd"/>
      <w:r>
        <w:rPr>
          <w:sz w:val="20"/>
          <w:szCs w:val="20"/>
          <w:rtl/>
        </w:rPr>
        <w:t xml:space="preserve">, לפי הפסקה האחרונה בפרק 3.2, ובאותה עת שהה ר׳ </w:t>
      </w:r>
      <w:proofErr w:type="spellStart"/>
      <w:r>
        <w:rPr>
          <w:sz w:val="20"/>
          <w:szCs w:val="20"/>
          <w:rtl/>
        </w:rPr>
        <w:t>יחיאל־יעקב</w:t>
      </w:r>
      <w:proofErr w:type="spellEnd"/>
      <w:r>
        <w:rPr>
          <w:sz w:val="20"/>
          <w:szCs w:val="20"/>
          <w:rtl/>
        </w:rPr>
        <w:t xml:space="preserve"> ויינברג מחוץ </w:t>
      </w:r>
      <w:proofErr w:type="spellStart"/>
      <w:r>
        <w:rPr>
          <w:sz w:val="20"/>
          <w:szCs w:val="20"/>
          <w:rtl/>
        </w:rPr>
        <w:t>לסלבודקה</w:t>
      </w:r>
      <w:proofErr w:type="spellEnd"/>
      <w:r>
        <w:rPr>
          <w:sz w:val="20"/>
          <w:szCs w:val="20"/>
          <w:rtl/>
        </w:rPr>
        <w:t xml:space="preserve">, </w:t>
      </w:r>
      <w:proofErr w:type="spellStart"/>
      <w:r>
        <w:rPr>
          <w:sz w:val="20"/>
          <w:szCs w:val="20"/>
          <w:rtl/>
        </w:rPr>
        <w:t>במיר</w:t>
      </w:r>
      <w:proofErr w:type="spellEnd"/>
      <w:r>
        <w:rPr>
          <w:sz w:val="20"/>
          <w:szCs w:val="20"/>
          <w:rtl/>
        </w:rPr>
        <w:t xml:space="preserve">. קידומו של ר׳ אייזיק לר״מ היה </w:t>
      </w:r>
      <w:proofErr w:type="spellStart"/>
      <w:r>
        <w:rPr>
          <w:sz w:val="20"/>
          <w:szCs w:val="20"/>
          <w:rtl/>
        </w:rPr>
        <w:t>בתרע״ב</w:t>
      </w:r>
      <w:proofErr w:type="spellEnd"/>
      <w:r>
        <w:rPr>
          <w:sz w:val="20"/>
          <w:szCs w:val="20"/>
          <w:rtl/>
        </w:rPr>
        <w:t xml:space="preserve">, ומינויו של ר׳ משה לר״מ היה </w:t>
      </w:r>
      <w:proofErr w:type="spellStart"/>
      <w:r>
        <w:rPr>
          <w:sz w:val="20"/>
          <w:szCs w:val="20"/>
          <w:rtl/>
        </w:rPr>
        <w:t>בתרע״ג</w:t>
      </w:r>
      <w:proofErr w:type="spellEnd"/>
      <w:r>
        <w:rPr>
          <w:sz w:val="20"/>
          <w:szCs w:val="20"/>
          <w:rtl/>
        </w:rPr>
        <w:t xml:space="preserve">, לפי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w:t>
      </w:r>
    </w:p>
    <w:p w14:paraId="5E1CEAC6" w14:textId="77777777" w:rsidR="00AB3647" w:rsidRDefault="00000000">
      <w:pPr>
        <w:spacing w:after="0" w:before="0"/>
        <w:jc w:val="both"/>
      </w:pPr>
      <w:r>
        <w:rPr>
          <w:sz w:val="20"/>
          <w:szCs w:val="20"/>
          <w:rtl/>
        </w:rPr>
        <w:t xml:space="preserve">ייתכן שר׳ </w:t>
      </w:r>
      <w:proofErr w:type="spellStart"/>
      <w:r>
        <w:rPr>
          <w:sz w:val="20"/>
          <w:szCs w:val="20"/>
          <w:rtl/>
        </w:rPr>
        <w:t>יחיאל־יעקב</w:t>
      </w:r>
      <w:proofErr w:type="spellEnd"/>
      <w:r>
        <w:rPr>
          <w:sz w:val="20"/>
          <w:szCs w:val="20"/>
          <w:rtl/>
        </w:rPr>
        <w:t xml:space="preserve"> ויינברג השמיע את מחאתו כשהובא </w:t>
      </w:r>
      <w:proofErr w:type="spellStart"/>
      <w:r>
        <w:rPr>
          <w:sz w:val="20"/>
          <w:szCs w:val="20"/>
          <w:rtl/>
        </w:rPr>
        <w:t>לסלבודקה</w:t>
      </w:r>
      <w:proofErr w:type="spellEnd"/>
      <w:r>
        <w:rPr>
          <w:sz w:val="20"/>
          <w:szCs w:val="20"/>
          <w:rtl/>
        </w:rPr>
        <w:t xml:space="preserve">, כבר בהיותו רבה של </w:t>
      </w:r>
      <w:proofErr w:type="spellStart"/>
      <w:r>
        <w:rPr>
          <w:sz w:val="20"/>
          <w:szCs w:val="20"/>
          <w:rtl/>
        </w:rPr>
        <w:t>פילווישוק</w:t>
      </w:r>
      <w:proofErr w:type="spellEnd"/>
      <w:r>
        <w:rPr>
          <w:sz w:val="20"/>
          <w:szCs w:val="20"/>
          <w:rtl/>
        </w:rPr>
        <w:t xml:space="preserve">, כדי להצטרף לסבא בביקור </w:t>
      </w:r>
      <w:proofErr w:type="spellStart"/>
      <w:r>
        <w:rPr>
          <w:sz w:val="20"/>
          <w:szCs w:val="20"/>
          <w:rtl/>
        </w:rPr>
        <w:t>בקלם</w:t>
      </w:r>
      <w:proofErr w:type="spellEnd"/>
      <w:r>
        <w:rPr>
          <w:sz w:val="20"/>
          <w:szCs w:val="20"/>
          <w:rtl/>
        </w:rPr>
        <w:t xml:space="preserve"> </w:t>
      </w:r>
      <w:proofErr w:type="spellStart"/>
      <w:r>
        <w:rPr>
          <w:sz w:val="20"/>
          <w:szCs w:val="20"/>
          <w:rtl/>
        </w:rPr>
        <w:t>בתרע״ב</w:t>
      </w:r>
      <w:proofErr w:type="spellEnd"/>
      <w:r>
        <w:rPr>
          <w:sz w:val="20"/>
          <w:szCs w:val="20"/>
          <w:rtl/>
        </w:rPr>
        <w:t xml:space="preserve">, להציע שידוך </w:t>
      </w:r>
      <w:proofErr w:type="spellStart"/>
      <w:r>
        <w:rPr>
          <w:sz w:val="20"/>
          <w:szCs w:val="20"/>
          <w:rtl/>
        </w:rPr>
        <w:t>לר</w:t>
      </w:r>
      <w:proofErr w:type="spellEnd"/>
      <w:r>
        <w:rPr>
          <w:sz w:val="20"/>
          <w:szCs w:val="20"/>
          <w:rtl/>
        </w:rPr>
        <w:t xml:space="preserve">׳ משה </w:t>
      </w:r>
      <w:proofErr w:type="spellStart"/>
      <w:r>
        <w:rPr>
          <w:sz w:val="20"/>
          <w:szCs w:val="20"/>
          <w:rtl/>
        </w:rPr>
        <w:t>פינקל</w:t>
      </w:r>
      <w:proofErr w:type="spellEnd"/>
      <w:r>
        <w:rPr>
          <w:sz w:val="20"/>
          <w:szCs w:val="20"/>
          <w:rtl/>
        </w:rPr>
        <w:t xml:space="preserve"> (ראה פרק 3, הפסקה השנייה בנספח ד). אפשר שהסבא סיפר אז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על תוכניותיו </w:t>
      </w:r>
      <w:proofErr w:type="spellStart"/>
      <w:r>
        <w:rPr>
          <w:sz w:val="20"/>
          <w:szCs w:val="20"/>
          <w:rtl/>
        </w:rPr>
        <w:t>לר</w:t>
      </w:r>
      <w:proofErr w:type="spellEnd"/>
      <w:r>
        <w:rPr>
          <w:sz w:val="20"/>
          <w:szCs w:val="20"/>
          <w:rtl/>
        </w:rPr>
        <w:t>׳ משה, כדי שיוכל למסור את המידע למשפחת הכלה המיועדת. ראה גם להלן: הדיון בעניין החל כשהסבא הזכיר את מינוי הקרובים בהנהלת התלמוד תורה של קלם.</w:t>
      </w:r>
    </w:p>
  </w:footnote>
  <w:footnote w:id="3685">
    <w:p w14:paraId="1667A13F" w14:textId="77777777" w:rsidR="00AB3647" w:rsidRDefault="00000000">
      <w:pPr>
        <w:spacing w:after="0" w:before="0"/>
        <w:jc w:val="both"/>
      </w:pPr>
      <w:r>
        <w:rPr>
          <w:sz w:val="20"/>
          <w:szCs w:val="20"/>
          <w:rtl/>
        </w:rPr>
        <w:footnoteRef/>
      </w:r>
      <w:r>
        <w:rPr>
          <w:sz w:val="20"/>
          <w:szCs w:val="20"/>
          <w:rtl/>
        </w:rPr>
        <w:t xml:space="preserve">. ראה פרק 3, הפסקה השנייה של נספח ד: מקורי למכתבים הללו הוא ר׳ </w:t>
      </w:r>
      <w:proofErr w:type="spellStart"/>
      <w:r>
        <w:rPr>
          <w:sz w:val="20"/>
          <w:szCs w:val="20"/>
          <w:rtl/>
        </w:rPr>
        <w:t>שמואל־חיים</w:t>
      </w:r>
      <w:proofErr w:type="spellEnd"/>
      <w:r>
        <w:rPr>
          <w:sz w:val="20"/>
          <w:szCs w:val="20"/>
          <w:rtl/>
        </w:rPr>
        <w:t xml:space="preserve"> דומב.</w:t>
      </w:r>
    </w:p>
  </w:footnote>
  <w:footnote w:id="3686">
    <w:p w14:paraId="20A1B645" w14:textId="77777777" w:rsidR="00AB3647" w:rsidRDefault="00000000">
      <w:pPr>
        <w:spacing w:after="0" w:before="0"/>
        <w:jc w:val="both"/>
      </w:pPr>
      <w:r>
        <w:rPr>
          <w:sz w:val="20"/>
          <w:szCs w:val="20"/>
          <w:rtl/>
        </w:rPr>
        <w:footnoteRef/>
      </w:r>
      <w:r>
        <w:rPr>
          <w:sz w:val="20"/>
          <w:szCs w:val="20"/>
          <w:rtl/>
        </w:rPr>
        <w:t xml:space="preserve">. לפי כץ, שם, שאל המוחה את הסבא “למה נהג כך, ולא כדרך שנהגו רבי המוסר האחרים הגדולים ר׳ ישראל </w:t>
      </w:r>
      <w:proofErr w:type="spellStart"/>
      <w:r>
        <w:rPr>
          <w:sz w:val="20"/>
          <w:szCs w:val="20"/>
          <w:rtl/>
        </w:rPr>
        <w:t>ורש״ז</w:t>
      </w:r>
      <w:proofErr w:type="spellEnd"/>
      <w:r>
        <w:rPr>
          <w:sz w:val="20"/>
          <w:szCs w:val="20"/>
          <w:rtl/>
        </w:rPr>
        <w:t xml:space="preserve">”, שלא בחרו קרובים למינויים. הזכרת הסבא מקלם אינה במקומה, שהרי הוא אכן מסר את הנהגת התלמוד תורה של קלם לקרוביו. למעשה, לפי מכתבו של ר׳ </w:t>
      </w:r>
      <w:proofErr w:type="spellStart"/>
      <w:r>
        <w:rPr>
          <w:sz w:val="20"/>
          <w:szCs w:val="20"/>
          <w:rtl/>
        </w:rPr>
        <w:t>יחיאל־יעקב</w:t>
      </w:r>
      <w:proofErr w:type="spellEnd"/>
      <w:r>
        <w:rPr>
          <w:sz w:val="20"/>
          <w:szCs w:val="20"/>
          <w:rtl/>
        </w:rPr>
        <w:t xml:space="preserve"> ויינברג, אזכור מינוי הקרובים </w:t>
      </w:r>
      <w:proofErr w:type="spellStart"/>
      <w:r>
        <w:rPr>
          <w:sz w:val="20"/>
          <w:szCs w:val="20"/>
          <w:rtl/>
        </w:rPr>
        <w:t>בקלם</w:t>
      </w:r>
      <w:proofErr w:type="spellEnd"/>
      <w:r>
        <w:rPr>
          <w:sz w:val="20"/>
          <w:szCs w:val="20"/>
          <w:rtl/>
        </w:rPr>
        <w:t xml:space="preserve"> בפי הסבא הוא שהביא את ר׳ </w:t>
      </w:r>
      <w:proofErr w:type="spellStart"/>
      <w:r>
        <w:rPr>
          <w:sz w:val="20"/>
          <w:szCs w:val="20"/>
          <w:rtl/>
        </w:rPr>
        <w:t>יחיאל־יעקב</w:t>
      </w:r>
      <w:proofErr w:type="spellEnd"/>
      <w:r>
        <w:rPr>
          <w:sz w:val="20"/>
          <w:szCs w:val="20"/>
          <w:rtl/>
        </w:rPr>
        <w:t xml:space="preserve"> למתוח ביקורת על הסבא </w:t>
      </w:r>
      <w:proofErr w:type="spellStart"/>
      <w:r>
        <w:rPr>
          <w:sz w:val="20"/>
          <w:szCs w:val="20"/>
          <w:rtl/>
        </w:rPr>
        <w:t>מסלבודקה</w:t>
      </w:r>
      <w:proofErr w:type="spellEnd"/>
      <w:r>
        <w:rPr>
          <w:sz w:val="20"/>
          <w:szCs w:val="20"/>
          <w:rtl/>
        </w:rPr>
        <w:t>!</w:t>
      </w:r>
    </w:p>
  </w:footnote>
  <w:footnote w:id="3687">
    <w:p w14:paraId="76DA3A5F"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יט</w:t>
      </w:r>
      <w:proofErr w:type="spellEnd"/>
      <w:r>
        <w:rPr>
          <w:sz w:val="20"/>
          <w:szCs w:val="20"/>
          <w:rtl/>
        </w:rPr>
        <w:t>–כ.</w:t>
      </w:r>
    </w:p>
  </w:footnote>
  <w:footnote w:id="3688">
    <w:p w14:paraId="2CFE4F64" w14:textId="77777777" w:rsidR="00AB3647" w:rsidRDefault="00000000">
      <w:pPr>
        <w:spacing w:after="0" w:before="0"/>
        <w:jc w:val="both"/>
      </w:pPr>
      <w:r>
        <w:rPr>
          <w:sz w:val="20"/>
          <w:szCs w:val="20"/>
          <w:rtl/>
        </w:rPr>
        <w:footnoteRef/>
      </w:r>
      <w:r>
        <w:rPr>
          <w:sz w:val="20"/>
          <w:szCs w:val="20"/>
          <w:rtl/>
        </w:rPr>
        <w:t>. השווה פרק 3, הערה 63.</w:t>
      </w:r>
    </w:p>
  </w:footnote>
  <w:footnote w:id="3689">
    <w:p w14:paraId="333872FD" w14:textId="77777777" w:rsidR="00AB3647" w:rsidRDefault="00000000">
      <w:pPr>
        <w:spacing w:after="0" w:before="0"/>
        <w:jc w:val="both"/>
      </w:pPr>
      <w:r>
        <w:rPr>
          <w:sz w:val="20"/>
          <w:szCs w:val="20"/>
          <w:rtl/>
        </w:rPr>
        <w:footnoteRef/>
      </w:r>
      <w:r>
        <w:rPr>
          <w:sz w:val="20"/>
          <w:szCs w:val="20"/>
          <w:rtl/>
        </w:rPr>
        <w:t>. פרק 3, נספח ד.</w:t>
      </w:r>
    </w:p>
  </w:footnote>
  <w:footnote w:id="3690">
    <w:p w14:paraId="17A02E94" w14:textId="77777777" w:rsidR="00AB3647" w:rsidRDefault="00000000">
      <w:pPr>
        <w:spacing w:after="0" w:before="0"/>
        <w:jc w:val="both"/>
      </w:pPr>
      <w:r>
        <w:rPr>
          <w:sz w:val="20"/>
          <w:szCs w:val="20"/>
          <w:rtl/>
        </w:rPr>
        <w:footnoteRef/>
      </w:r>
      <w:r>
        <w:rPr>
          <w:sz w:val="20"/>
          <w:szCs w:val="20"/>
          <w:rtl/>
        </w:rPr>
        <w:t xml:space="preserve">. הרבנית </w:t>
      </w:r>
      <w:proofErr w:type="spellStart"/>
      <w:r>
        <w:rPr>
          <w:sz w:val="20"/>
          <w:szCs w:val="20"/>
          <w:rtl/>
        </w:rPr>
        <w:t>שולמן</w:t>
      </w:r>
      <w:proofErr w:type="spellEnd"/>
      <w:r>
        <w:rPr>
          <w:sz w:val="20"/>
          <w:szCs w:val="20"/>
          <w:rtl/>
        </w:rPr>
        <w:t xml:space="preserve"> הוסיפה: “כעבור עשרים שנה” – יש כאן הגזמה קלה, שכן הסבא חי עוד </w:t>
      </w:r>
      <w:proofErr w:type="spellStart"/>
      <w:r>
        <w:rPr>
          <w:sz w:val="20"/>
          <w:szCs w:val="20"/>
          <w:rtl/>
        </w:rPr>
        <w:t>חמש־עשרה</w:t>
      </w:r>
      <w:proofErr w:type="spellEnd"/>
      <w:r>
        <w:rPr>
          <w:sz w:val="20"/>
          <w:szCs w:val="20"/>
          <w:rtl/>
        </w:rPr>
        <w:t xml:space="preserve"> שנה בלבד – “הודה הסבא </w:t>
      </w:r>
      <w:proofErr w:type="spellStart"/>
      <w:r>
        <w:rPr>
          <w:sz w:val="20"/>
          <w:szCs w:val="20"/>
          <w:rtl/>
        </w:rPr>
        <w:t>ש‘לפעמים</w:t>
      </w:r>
      <w:proofErr w:type="spellEnd"/>
      <w:r>
        <w:rPr>
          <w:sz w:val="20"/>
          <w:szCs w:val="20"/>
          <w:rtl/>
        </w:rPr>
        <w:t xml:space="preserve"> ילדים קטנים [</w:t>
      </w:r>
      <w:proofErr w:type="spellStart"/>
      <w:r>
        <w:rPr>
          <w:sz w:val="20"/>
          <w:szCs w:val="20"/>
          <w:rtl/>
        </w:rPr>
        <w:t>קליינע</w:t>
      </w:r>
      <w:proofErr w:type="spellEnd"/>
      <w:r>
        <w:rPr>
          <w:sz w:val="20"/>
          <w:szCs w:val="20"/>
          <w:rtl/>
        </w:rPr>
        <w:t xml:space="preserve"> </w:t>
      </w:r>
      <w:proofErr w:type="spellStart"/>
      <w:r>
        <w:rPr>
          <w:sz w:val="20"/>
          <w:szCs w:val="20"/>
          <w:rtl/>
        </w:rPr>
        <w:t>קינדער</w:t>
      </w:r>
      <w:proofErr w:type="spellEnd"/>
      <w:r>
        <w:rPr>
          <w:sz w:val="20"/>
          <w:szCs w:val="20"/>
          <w:rtl/>
        </w:rPr>
        <w:t>] רואים דברים טוב יותר מאנשים מבוגרים [</w:t>
      </w:r>
      <w:proofErr w:type="spellStart"/>
      <w:r>
        <w:rPr>
          <w:sz w:val="20"/>
          <w:szCs w:val="20"/>
          <w:rtl/>
        </w:rPr>
        <w:t>עלטערע</w:t>
      </w:r>
      <w:proofErr w:type="spellEnd"/>
      <w:r>
        <w:rPr>
          <w:sz w:val="20"/>
          <w:szCs w:val="20"/>
          <w:rtl/>
        </w:rPr>
        <w:t xml:space="preserve"> </w:t>
      </w:r>
      <w:proofErr w:type="spellStart"/>
      <w:r>
        <w:rPr>
          <w:sz w:val="20"/>
          <w:szCs w:val="20"/>
          <w:rtl/>
        </w:rPr>
        <w:t>אידען</w:t>
      </w:r>
      <w:proofErr w:type="spellEnd"/>
      <w:r>
        <w:rPr>
          <w:sz w:val="20"/>
          <w:szCs w:val="20"/>
          <w:rtl/>
        </w:rPr>
        <w:t xml:space="preserve">]’, ושבנו אכן צדיק גדול יותר מתלמידו”. ראה יבמות </w:t>
      </w:r>
      <w:proofErr w:type="spellStart"/>
      <w:r>
        <w:rPr>
          <w:sz w:val="20"/>
          <w:szCs w:val="20"/>
          <w:rtl/>
        </w:rPr>
        <w:t>סג</w:t>
      </w:r>
      <w:proofErr w:type="spellEnd"/>
      <w:r>
        <w:rPr>
          <w:sz w:val="20"/>
          <w:szCs w:val="20"/>
          <w:rtl/>
        </w:rPr>
        <w:t xml:space="preserve"> סוף ע״א, “</w:t>
      </w:r>
      <w:proofErr w:type="spellStart"/>
      <w:r>
        <w:rPr>
          <w:sz w:val="20"/>
          <w:szCs w:val="20"/>
          <w:rtl/>
        </w:rPr>
        <w:t>דאמרי</w:t>
      </w:r>
      <w:proofErr w:type="spellEnd"/>
      <w:r>
        <w:rPr>
          <w:sz w:val="20"/>
          <w:szCs w:val="20"/>
          <w:rtl/>
        </w:rPr>
        <w:t xml:space="preserve"> </w:t>
      </w:r>
      <w:proofErr w:type="spellStart"/>
      <w:r>
        <w:rPr>
          <w:sz w:val="20"/>
          <w:szCs w:val="20"/>
          <w:rtl/>
        </w:rPr>
        <w:t>אינשי</w:t>
      </w:r>
      <w:proofErr w:type="spellEnd"/>
      <w:r>
        <w:rPr>
          <w:sz w:val="20"/>
          <w:szCs w:val="20"/>
          <w:rtl/>
        </w:rPr>
        <w:t xml:space="preserve">” וגו’, ועיין שם ברש״י ד״ה “טעמא </w:t>
      </w:r>
      <w:proofErr w:type="spellStart"/>
      <w:r>
        <w:rPr>
          <w:sz w:val="20"/>
          <w:szCs w:val="20"/>
          <w:rtl/>
        </w:rPr>
        <w:t>מלפך</w:t>
      </w:r>
      <w:proofErr w:type="spellEnd"/>
      <w:r>
        <w:rPr>
          <w:sz w:val="20"/>
          <w:szCs w:val="20"/>
          <w:rtl/>
        </w:rPr>
        <w:t>”.</w:t>
      </w:r>
    </w:p>
  </w:footnote>
  <w:footnote w:id="3691">
    <w:p w14:paraId="77278EFF" w14:textId="77777777" w:rsidR="00AB3647" w:rsidRDefault="00000000">
      <w:pPr>
        <w:spacing w:after="0" w:before="0"/>
        <w:jc w:val="both"/>
      </w:pPr>
      <w:r>
        <w:rPr>
          <w:sz w:val="20"/>
          <w:szCs w:val="20"/>
          <w:rtl/>
        </w:rPr>
        <w:footnoteRef/>
      </w:r>
      <w:r>
        <w:rPr>
          <w:sz w:val="20"/>
          <w:szCs w:val="20"/>
          <w:rtl/>
        </w:rPr>
        <w:t>. הוצאת רשת ארצית להאדרת התודעה היהודית, ירושלים; פרשת ואתחנן תשנ״ג.</w:t>
      </w:r>
    </w:p>
  </w:footnote>
  <w:footnote w:id="3692">
    <w:p w14:paraId="43A5C56C" w14:textId="77777777" w:rsidR="00AB3647" w:rsidRDefault="00000000">
      <w:pPr>
        <w:spacing w:after="0" w:before="0"/>
        <w:jc w:val="both"/>
      </w:pPr>
      <w:r>
        <w:rPr>
          <w:sz w:val="20"/>
          <w:szCs w:val="20"/>
          <w:rtl/>
        </w:rPr>
        <w:footnoteRef/>
      </w:r>
      <w:r>
        <w:rPr>
          <w:sz w:val="20"/>
          <w:szCs w:val="20"/>
          <w:rtl/>
        </w:rPr>
        <w:t xml:space="preserve">. ספר הזיכרון לסבא </w:t>
      </w:r>
      <w:proofErr w:type="spellStart"/>
      <w:r>
        <w:rPr>
          <w:sz w:val="20"/>
          <w:szCs w:val="20"/>
          <w:rtl/>
        </w:rPr>
        <w:t>מסלבודקה</w:t>
      </w:r>
      <w:proofErr w:type="spellEnd"/>
      <w:r>
        <w:rPr>
          <w:sz w:val="20"/>
          <w:szCs w:val="20"/>
          <w:rtl/>
        </w:rPr>
        <w:t xml:space="preserve"> שערך ר׳ </w:t>
      </w:r>
      <w:proofErr w:type="spellStart"/>
      <w:r>
        <w:rPr>
          <w:sz w:val="20"/>
          <w:szCs w:val="20"/>
          <w:rtl/>
        </w:rPr>
        <w:t>ישראל־זיסל</w:t>
      </w:r>
      <w:proofErr w:type="spellEnd"/>
      <w:r>
        <w:rPr>
          <w:sz w:val="20"/>
          <w:szCs w:val="20"/>
          <w:rtl/>
        </w:rPr>
        <w:t xml:space="preserve"> </w:t>
      </w:r>
      <w:proofErr w:type="spellStart"/>
      <w:r>
        <w:rPr>
          <w:sz w:val="20"/>
          <w:szCs w:val="20"/>
          <w:rtl/>
        </w:rPr>
        <w:t>דבורץ</w:t>
      </w:r>
      <w:proofErr w:type="spellEnd"/>
      <w:r>
        <w:rPr>
          <w:sz w:val="20"/>
          <w:szCs w:val="20"/>
          <w:rtl/>
        </w:rPr>
        <w:t xml:space="preserve">, עמ׳ </w:t>
      </w:r>
      <w:proofErr w:type="spellStart"/>
      <w:r>
        <w:rPr>
          <w:sz w:val="20"/>
          <w:szCs w:val="20"/>
          <w:rtl/>
        </w:rPr>
        <w:t>מב</w:t>
      </w:r>
      <w:proofErr w:type="spellEnd"/>
      <w:r>
        <w:rPr>
          <w:sz w:val="20"/>
          <w:szCs w:val="20"/>
          <w:rtl/>
        </w:rPr>
        <w:t>, במאמר מאת דן בן יעקב.</w:t>
      </w:r>
    </w:p>
  </w:footnote>
  <w:footnote w:id="3693">
    <w:p w14:paraId="49939295" w14:textId="77777777" w:rsidR="00AB3647" w:rsidRDefault="00000000">
      <w:pPr>
        <w:spacing w:after="0" w:before="0"/>
        <w:jc w:val="both"/>
      </w:pPr>
      <w:r>
        <w:rPr>
          <w:sz w:val="20"/>
          <w:szCs w:val="20"/>
          <w:rtl/>
        </w:rPr>
        <w:footnoteRef/>
      </w:r>
      <w:r>
        <w:rPr>
          <w:sz w:val="20"/>
          <w:szCs w:val="20"/>
          <w:rtl/>
        </w:rPr>
        <w:t>. עמ׳ 211.</w:t>
      </w:r>
    </w:p>
  </w:footnote>
  <w:footnote w:id="3694">
    <w:p w14:paraId="3D6B2982" w14:textId="77777777" w:rsidR="00AB3647" w:rsidRDefault="00000000">
      <w:pPr>
        <w:spacing w:after="0" w:before="0"/>
        <w:jc w:val="both"/>
      </w:pPr>
      <w:r>
        <w:rPr>
          <w:sz w:val="20"/>
          <w:szCs w:val="20"/>
          <w:rtl/>
        </w:rPr>
        <w:footnoteRef/>
      </w:r>
      <w:r>
        <w:rPr>
          <w:sz w:val="20"/>
          <w:szCs w:val="20"/>
          <w:rtl/>
        </w:rPr>
        <w:t>. הערה 20 לעיל – עמ׳ שכד.</w:t>
      </w:r>
    </w:p>
  </w:footnote>
  <w:footnote w:id="3695">
    <w:p w14:paraId="53242FBA" w14:textId="77777777" w:rsidR="00AB3647" w:rsidRDefault="00000000">
      <w:pPr>
        <w:spacing w:after="0" w:before="0"/>
        <w:jc w:val="both"/>
      </w:pPr>
      <w:r>
        <w:rPr>
          <w:sz w:val="20"/>
          <w:szCs w:val="20"/>
          <w:rtl/>
        </w:rPr>
        <w:footnoteRef/>
      </w:r>
      <w:r>
        <w:rPr>
          <w:sz w:val="20"/>
          <w:szCs w:val="20"/>
          <w:rtl/>
        </w:rPr>
        <w:t>. אבל השווה גם סוף הערה 127 לעיל.</w:t>
      </w:r>
    </w:p>
  </w:footnote>
  <w:footnote w:id="3696">
    <w:p w14:paraId="2E47C1B2" w14:textId="77777777" w:rsidR="00AB3647" w:rsidRDefault="00000000">
      <w:pPr>
        <w:spacing w:after="0" w:before="0"/>
        <w:jc w:val="both"/>
      </w:pPr>
      <w:r>
        <w:rPr>
          <w:sz w:val="20"/>
          <w:szCs w:val="20"/>
          <w:rtl/>
        </w:rPr>
        <w:footnoteRef/>
      </w:r>
      <w:r>
        <w:rPr>
          <w:sz w:val="20"/>
          <w:szCs w:val="20"/>
          <w:rtl/>
        </w:rPr>
        <w:t xml:space="preserve">. הציטוט מתוך “הדואר”, גיליון י״ד בשבט תשכ״ו, עמ׳ 235, במאמר הספד מאת ה. ל. גורדון שכותרתו “אחרי </w:t>
      </w:r>
      <w:proofErr w:type="spellStart"/>
      <w:r>
        <w:rPr>
          <w:sz w:val="20"/>
          <w:szCs w:val="20"/>
          <w:rtl/>
        </w:rPr>
        <w:t>מטתו</w:t>
      </w:r>
      <w:proofErr w:type="spellEnd"/>
      <w:r>
        <w:rPr>
          <w:sz w:val="20"/>
          <w:szCs w:val="20"/>
          <w:rtl/>
        </w:rPr>
        <w:t xml:space="preserve"> של הרב יחיאל יעקב וינברג ז״ל”.</w:t>
      </w:r>
    </w:p>
  </w:footnote>
  <w:footnote w:id="3697">
    <w:p w14:paraId="11DE9C50" w14:textId="77777777" w:rsidR="00AB3647" w:rsidRDefault="00000000">
      <w:pPr>
        <w:spacing w:after="0" w:before="0"/>
        <w:jc w:val="both"/>
      </w:pPr>
      <w:r>
        <w:rPr>
          <w:sz w:val="20"/>
          <w:szCs w:val="20"/>
          <w:rtl/>
        </w:rPr>
        <w:footnoteRef/>
      </w:r>
      <w:r>
        <w:rPr>
          <w:sz w:val="20"/>
          <w:szCs w:val="20"/>
          <w:rtl/>
        </w:rPr>
        <w:t xml:space="preserve">. גיליון י״ב באדר תשכ״ו, עמ׳ 284. הכותב הוא צבי </w:t>
      </w:r>
      <w:proofErr w:type="spellStart"/>
      <w:r>
        <w:rPr>
          <w:sz w:val="20"/>
          <w:szCs w:val="20"/>
          <w:rtl/>
        </w:rPr>
        <w:t>מתיפון</w:t>
      </w:r>
      <w:proofErr w:type="spellEnd"/>
      <w:r>
        <w:rPr>
          <w:sz w:val="20"/>
          <w:szCs w:val="20"/>
          <w:rtl/>
        </w:rPr>
        <w:t xml:space="preserve"> וכותרת המאמר “הטרגדיה של אדם גדול”.</w:t>
      </w:r>
    </w:p>
  </w:footnote>
  <w:footnote w:id="3698">
    <w:p w14:paraId="241F69F4" w14:textId="77777777" w:rsidR="00AB3647" w:rsidRDefault="00000000">
      <w:pPr>
        <w:spacing w:after="0" w:before="0"/>
        <w:jc w:val="both"/>
      </w:pPr>
      <w:r>
        <w:rPr>
          <w:sz w:val="20"/>
          <w:szCs w:val="20"/>
          <w:rtl/>
        </w:rPr>
        <w:footnoteRef/>
      </w:r>
      <w:r>
        <w:rPr>
          <w:sz w:val="20"/>
          <w:szCs w:val="20"/>
          <w:rtl/>
        </w:rPr>
        <w:t>. ריאיון מיום 21 במרס 1991.</w:t>
      </w:r>
    </w:p>
  </w:footnote>
  <w:footnote w:id="3699">
    <w:p w14:paraId="643074A7" w14:textId="77777777" w:rsidR="00AB3647" w:rsidRDefault="00000000">
      <w:pPr>
        <w:spacing w:after="0" w:before="0"/>
        <w:jc w:val="both"/>
      </w:pPr>
      <w:r>
        <w:rPr>
          <w:sz w:val="20"/>
          <w:szCs w:val="20"/>
          <w:rtl/>
        </w:rPr>
        <w:footnoteRef/>
      </w:r>
      <w:r>
        <w:rPr>
          <w:sz w:val="20"/>
          <w:szCs w:val="20"/>
          <w:rtl/>
        </w:rPr>
        <w:t xml:space="preserve">. מובא </w:t>
      </w:r>
      <w:proofErr w:type="spellStart"/>
      <w:r>
        <w:rPr>
          <w:sz w:val="20"/>
          <w:szCs w:val="20"/>
          <w:rtl/>
        </w:rPr>
        <w:t>בתוספתא</w:t>
      </w:r>
      <w:proofErr w:type="spellEnd"/>
      <w:r>
        <w:rPr>
          <w:sz w:val="20"/>
          <w:szCs w:val="20"/>
          <w:rtl/>
        </w:rPr>
        <w:t xml:space="preserve"> ברכות פרק ו, </w:t>
      </w:r>
      <w:proofErr w:type="spellStart"/>
      <w:r>
        <w:rPr>
          <w:sz w:val="20"/>
          <w:szCs w:val="20"/>
          <w:rtl/>
        </w:rPr>
        <w:t>כג</w:t>
      </w:r>
      <w:proofErr w:type="spellEnd"/>
      <w:r>
        <w:rPr>
          <w:sz w:val="20"/>
          <w:szCs w:val="20"/>
          <w:rtl/>
        </w:rPr>
        <w:t>; ועיין שם.</w:t>
      </w:r>
    </w:p>
  </w:footnote>
  <w:footnote w:id="3700">
    <w:p w14:paraId="31F821A8" w14:textId="77777777" w:rsidR="00AB3647" w:rsidRDefault="00000000">
      <w:pPr>
        <w:spacing w:after="0" w:before="0"/>
        <w:jc w:val="both"/>
      </w:pPr>
      <w:r>
        <w:rPr>
          <w:sz w:val="20"/>
          <w:szCs w:val="20"/>
          <w:rtl/>
        </w:rPr>
        <w:footnoteRef/>
      </w:r>
      <w:r>
        <w:rPr>
          <w:sz w:val="20"/>
          <w:szCs w:val="20"/>
          <w:rtl/>
        </w:rPr>
        <w:t xml:space="preserve">. בכתב העת “תורה ומדע”, כרך שביעי, 1997 (ישיבה </w:t>
      </w:r>
      <w:proofErr w:type="spellStart"/>
      <w:r>
        <w:rPr>
          <w:sz w:val="20"/>
          <w:szCs w:val="20"/>
          <w:rtl/>
        </w:rPr>
        <w:t>יוניברסיטי</w:t>
      </w:r>
      <w:proofErr w:type="spellEnd"/>
      <w:r>
        <w:rPr>
          <w:sz w:val="20"/>
          <w:szCs w:val="20"/>
          <w:rtl/>
        </w:rPr>
        <w:t xml:space="preserve">), עמ׳ 111, במאמר שכותרתו “חכמים וידידים: הרב יחיאל יעקב ויינברג ופרופסור שמואל אטלס”. הכותב, מרק ב. שפירא, מתרגם מכתבים מאת ר׳ </w:t>
      </w:r>
      <w:proofErr w:type="spellStart"/>
      <w:r>
        <w:rPr>
          <w:sz w:val="20"/>
          <w:szCs w:val="20"/>
          <w:rtl/>
        </w:rPr>
        <w:t>יחיאל־יעקב</w:t>
      </w:r>
      <w:proofErr w:type="spellEnd"/>
      <w:r>
        <w:rPr>
          <w:sz w:val="20"/>
          <w:szCs w:val="20"/>
          <w:rtl/>
        </w:rPr>
        <w:t xml:space="preserve"> ויינברג.</w:t>
      </w:r>
    </w:p>
  </w:footnote>
  <w:footnote w:id="3701">
    <w:p w14:paraId="172FEE98"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02">
    <w:p w14:paraId="24E0F86A" w14:textId="77777777" w:rsidR="00AB3647" w:rsidRDefault="00000000">
      <w:pPr>
        <w:spacing w:after="0" w:before="0"/>
        <w:jc w:val="both"/>
      </w:pPr>
      <w:r>
        <w:rPr>
          <w:sz w:val="20"/>
          <w:szCs w:val="20"/>
          <w:rtl/>
        </w:rPr>
        <w:footnoteRef/>
      </w:r>
      <w:r>
        <w:rPr>
          <w:sz w:val="20"/>
          <w:szCs w:val="20"/>
          <w:rtl/>
        </w:rPr>
        <w:t>. נספח ג לעיל.</w:t>
      </w:r>
    </w:p>
  </w:footnote>
  <w:footnote w:id="3703">
    <w:p w14:paraId="65A6C103" w14:textId="77777777" w:rsidR="00AB3647" w:rsidRDefault="00000000">
      <w:pPr>
        <w:spacing w:after="0" w:before="0"/>
        <w:jc w:val="both"/>
      </w:pPr>
      <w:r>
        <w:rPr>
          <w:sz w:val="20"/>
          <w:szCs w:val="20"/>
          <w:rtl/>
        </w:rPr>
        <w:footnoteRef/>
      </w:r>
      <w:r>
        <w:rPr>
          <w:sz w:val="20"/>
          <w:szCs w:val="20"/>
          <w:rtl/>
        </w:rPr>
        <w:t>. הוצאת מסורה בשיתוף אגודת ישראל באמריקה, ברוקלין, 1980 – עמ׳ 102.</w:t>
      </w:r>
    </w:p>
  </w:footnote>
  <w:footnote w:id="3704">
    <w:p w14:paraId="49478D5F" w14:textId="77777777" w:rsidR="00AB3647" w:rsidRDefault="00000000">
      <w:pPr>
        <w:spacing w:after="0" w:before="0"/>
        <w:jc w:val="both"/>
      </w:pPr>
      <w:r>
        <w:rPr>
          <w:sz w:val="20"/>
          <w:szCs w:val="20"/>
          <w:rtl/>
        </w:rPr>
        <w:footnoteRef/>
      </w:r>
      <w:r>
        <w:rPr>
          <w:sz w:val="20"/>
          <w:szCs w:val="20"/>
          <w:rtl/>
        </w:rPr>
        <w:t>. השווה כרך 3, על כך שאבי לימד זכות על ניצולי שואה שנהגו שלא כראוי מבחינה דתית.</w:t>
      </w:r>
    </w:p>
  </w:footnote>
  <w:footnote w:id="3705">
    <w:p w14:paraId="590743F6" w14:textId="77777777" w:rsidR="00AB3647" w:rsidRDefault="00000000">
      <w:pPr>
        <w:spacing w:after="0" w:before="0"/>
        <w:jc w:val="both"/>
      </w:pPr>
      <w:r>
        <w:rPr>
          <w:sz w:val="20"/>
          <w:szCs w:val="20"/>
          <w:rtl/>
        </w:rPr>
        <w:footnoteRef/>
      </w:r>
      <w:r>
        <w:rPr>
          <w:sz w:val="20"/>
          <w:szCs w:val="20"/>
          <w:rtl/>
        </w:rPr>
        <w:t>. עמ׳ 118.</w:t>
      </w:r>
    </w:p>
  </w:footnote>
  <w:footnote w:id="3706">
    <w:p w14:paraId="06C71507" w14:textId="77777777" w:rsidR="00AB3647" w:rsidRDefault="00000000">
      <w:pPr>
        <w:spacing w:after="0" w:before="0"/>
        <w:jc w:val="both"/>
      </w:pPr>
      <w:r>
        <w:rPr>
          <w:sz w:val="20"/>
          <w:szCs w:val="20"/>
          <w:rtl/>
        </w:rPr>
        <w:footnoteRef/>
      </w:r>
      <w:r>
        <w:rPr>
          <w:sz w:val="20"/>
          <w:szCs w:val="20"/>
          <w:rtl/>
        </w:rPr>
        <w:t>. עמ׳ 112 ו־115.</w:t>
      </w:r>
    </w:p>
  </w:footnote>
  <w:footnote w:id="3707">
    <w:p w14:paraId="1E7E6D29" w14:textId="77777777" w:rsidR="00AB3647" w:rsidRDefault="00000000">
      <w:pPr>
        <w:spacing w:after="0" w:before="0"/>
        <w:jc w:val="both"/>
      </w:pPr>
      <w:r>
        <w:rPr>
          <w:sz w:val="20"/>
          <w:szCs w:val="20"/>
          <w:rtl/>
        </w:rPr>
        <w:footnoteRef/>
      </w:r>
      <w:r>
        <w:rPr>
          <w:sz w:val="20"/>
          <w:szCs w:val="20"/>
          <w:rtl/>
        </w:rPr>
        <w:t xml:space="preserve">. השווה גם “פניני רבנו </w:t>
      </w:r>
      <w:proofErr w:type="spellStart"/>
      <w:r>
        <w:rPr>
          <w:sz w:val="20"/>
          <w:szCs w:val="20"/>
          <w:rtl/>
        </w:rPr>
        <w:t>הגרי״ז</w:t>
      </w:r>
      <w:proofErr w:type="spellEnd"/>
      <w:r>
        <w:rPr>
          <w:sz w:val="20"/>
          <w:szCs w:val="20"/>
          <w:rtl/>
        </w:rPr>
        <w:t xml:space="preserve">” מאת משה מרדכי הלוי </w:t>
      </w:r>
      <w:proofErr w:type="spellStart"/>
      <w:r>
        <w:rPr>
          <w:sz w:val="20"/>
          <w:szCs w:val="20"/>
          <w:rtl/>
        </w:rPr>
        <w:t>שולזינגר</w:t>
      </w:r>
      <w:proofErr w:type="spellEnd"/>
      <w:r>
        <w:rPr>
          <w:sz w:val="20"/>
          <w:szCs w:val="20"/>
          <w:rtl/>
        </w:rPr>
        <w:t xml:space="preserve"> (</w:t>
      </w:r>
      <w:proofErr w:type="spellStart"/>
      <w:r>
        <w:rPr>
          <w:sz w:val="20"/>
          <w:szCs w:val="20"/>
          <w:rtl/>
        </w:rPr>
        <w:t>זכרון</w:t>
      </w:r>
      <w:proofErr w:type="spellEnd"/>
      <w:r>
        <w:rPr>
          <w:sz w:val="20"/>
          <w:szCs w:val="20"/>
          <w:rtl/>
        </w:rPr>
        <w:t xml:space="preserve"> מאיר, תשנ״ב), עמ׳ </w:t>
      </w:r>
      <w:proofErr w:type="spellStart"/>
      <w:r>
        <w:rPr>
          <w:sz w:val="20"/>
          <w:szCs w:val="20"/>
          <w:rtl/>
        </w:rPr>
        <w:t>קז</w:t>
      </w:r>
      <w:proofErr w:type="spellEnd"/>
      <w:r>
        <w:rPr>
          <w:sz w:val="20"/>
          <w:szCs w:val="20"/>
          <w:rtl/>
        </w:rPr>
        <w:t xml:space="preserve">: ניצול שואה אמר שאינו יכול לשאת את מראה הגויים המתהלכים בשלווה וביישוב הדעת, כאילו לא אירע דבר; ור׳ יצחק־זאב </w:t>
      </w:r>
      <w:proofErr w:type="spellStart"/>
      <w:r>
        <w:rPr>
          <w:sz w:val="20"/>
          <w:szCs w:val="20"/>
          <w:rtl/>
        </w:rPr>
        <w:t>סולובייצ׳יק</w:t>
      </w:r>
      <w:proofErr w:type="spellEnd"/>
      <w:r>
        <w:rPr>
          <w:sz w:val="20"/>
          <w:szCs w:val="20"/>
          <w:rtl/>
        </w:rPr>
        <w:t xml:space="preserve"> השיב: “איני רואה כלום”, וקרא את לשון השגת </w:t>
      </w:r>
      <w:proofErr w:type="spellStart"/>
      <w:r>
        <w:rPr>
          <w:sz w:val="20"/>
          <w:szCs w:val="20"/>
          <w:rtl/>
        </w:rPr>
        <w:t>הראב״ד</w:t>
      </w:r>
      <w:proofErr w:type="spellEnd"/>
      <w:r>
        <w:rPr>
          <w:sz w:val="20"/>
          <w:szCs w:val="20"/>
          <w:rtl/>
        </w:rPr>
        <w:t xml:space="preserve"> </w:t>
      </w:r>
      <w:proofErr w:type="spellStart"/>
      <w:r>
        <w:rPr>
          <w:sz w:val="20"/>
          <w:szCs w:val="20"/>
          <w:rtl/>
        </w:rPr>
        <w:t>בפ״ב</w:t>
      </w:r>
      <w:proofErr w:type="spellEnd"/>
      <w:r>
        <w:rPr>
          <w:sz w:val="20"/>
          <w:szCs w:val="20"/>
          <w:rtl/>
        </w:rPr>
        <w:t xml:space="preserve"> מהל׳ אבות הטומאה </w:t>
      </w:r>
      <w:proofErr w:type="spellStart"/>
      <w:r>
        <w:rPr>
          <w:sz w:val="20"/>
          <w:szCs w:val="20"/>
          <w:rtl/>
        </w:rPr>
        <w:t>ה״י</w:t>
      </w:r>
      <w:proofErr w:type="spellEnd"/>
      <w:r>
        <w:rPr>
          <w:sz w:val="20"/>
          <w:szCs w:val="20"/>
          <w:rtl/>
        </w:rPr>
        <w:t>, ועיין שם.</w:t>
      </w:r>
    </w:p>
  </w:footnote>
  <w:footnote w:id="3708">
    <w:p w14:paraId="732E7989" w14:textId="77777777" w:rsidR="00AB3647" w:rsidRDefault="00000000">
      <w:pPr>
        <w:spacing w:after="0" w:before="0"/>
        <w:jc w:val="both"/>
      </w:pPr>
      <w:r>
        <w:rPr>
          <w:sz w:val="20"/>
          <w:szCs w:val="20"/>
          <w:rtl/>
        </w:rPr>
        <w:footnoteRef/>
      </w:r>
      <w:r>
        <w:rPr>
          <w:sz w:val="20"/>
          <w:szCs w:val="20"/>
          <w:rtl/>
        </w:rPr>
        <w:t>. ראה הערה 20 בפרק זה.</w:t>
      </w:r>
    </w:p>
  </w:footnote>
  <w:footnote w:id="3709">
    <w:p w14:paraId="58F96D16" w14:textId="77777777" w:rsidR="00AB3647" w:rsidRDefault="00000000">
      <w:pPr>
        <w:spacing w:after="0" w:before="0"/>
        <w:jc w:val="both"/>
      </w:pPr>
      <w:r>
        <w:rPr>
          <w:sz w:val="20"/>
          <w:szCs w:val="20"/>
          <w:rtl/>
        </w:rPr>
        <w:footnoteRef/>
      </w:r>
      <w:r>
        <w:rPr>
          <w:sz w:val="20"/>
          <w:szCs w:val="20"/>
          <w:rtl/>
        </w:rPr>
        <w:t xml:space="preserve">. ראה פרק 3, תחילת נספח </w:t>
      </w:r>
      <w:proofErr w:type="spellStart"/>
      <w:r>
        <w:rPr>
          <w:sz w:val="20"/>
          <w:szCs w:val="20"/>
          <w:rtl/>
        </w:rPr>
        <w:t>כג</w:t>
      </w:r>
      <w:proofErr w:type="spellEnd"/>
      <w:r>
        <w:rPr>
          <w:sz w:val="20"/>
          <w:szCs w:val="20"/>
          <w:rtl/>
        </w:rPr>
        <w:t>.</w:t>
      </w:r>
    </w:p>
  </w:footnote>
  <w:footnote w:id="3710">
    <w:p w14:paraId="73DAC99E" w14:textId="77777777" w:rsidR="00AB3647" w:rsidRDefault="00000000">
      <w:pPr>
        <w:spacing w:after="0" w:before="0"/>
        <w:jc w:val="both"/>
      </w:pPr>
      <w:r>
        <w:rPr>
          <w:sz w:val="20"/>
          <w:szCs w:val="20"/>
          <w:rtl/>
        </w:rPr>
        <w:footnoteRef/>
      </w:r>
      <w:r>
        <w:rPr>
          <w:sz w:val="20"/>
          <w:szCs w:val="20"/>
          <w:rtl/>
        </w:rPr>
        <w:t>. עמ׳ 109, מכתב מיום 20 בספטמבר 1948.</w:t>
      </w:r>
    </w:p>
  </w:footnote>
  <w:footnote w:id="3711">
    <w:p w14:paraId="2B75B06E" w14:textId="77777777" w:rsidR="00AB3647" w:rsidRDefault="00000000">
      <w:pPr>
        <w:spacing w:after="0" w:before="0"/>
        <w:jc w:val="both"/>
      </w:pPr>
      <w:r>
        <w:rPr>
          <w:sz w:val="20"/>
          <w:szCs w:val="20"/>
          <w:rtl/>
        </w:rPr>
        <w:footnoteRef/>
      </w:r>
      <w:r>
        <w:rPr>
          <w:sz w:val="20"/>
          <w:szCs w:val="20"/>
          <w:rtl/>
        </w:rPr>
        <w:t>. שם.</w:t>
      </w:r>
    </w:p>
  </w:footnote>
  <w:footnote w:id="3712">
    <w:p w14:paraId="5CFE3384" w14:textId="77777777" w:rsidR="00AB3647" w:rsidRDefault="00000000">
      <w:pPr>
        <w:spacing w:after="0" w:before="0"/>
        <w:jc w:val="both"/>
      </w:pPr>
      <w:r>
        <w:rPr>
          <w:sz w:val="20"/>
          <w:szCs w:val="20"/>
          <w:rtl/>
        </w:rPr>
        <w:footnoteRef/>
      </w:r>
      <w:r>
        <w:rPr>
          <w:sz w:val="20"/>
          <w:szCs w:val="20"/>
          <w:rtl/>
        </w:rPr>
        <w:t>. שם.</w:t>
      </w:r>
    </w:p>
  </w:footnote>
  <w:footnote w:id="3713">
    <w:p w14:paraId="1F0B3AB4" w14:textId="77777777" w:rsidR="00AB3647" w:rsidRDefault="00000000">
      <w:pPr>
        <w:spacing w:after="0" w:before="0"/>
        <w:jc w:val="both"/>
      </w:pPr>
      <w:r>
        <w:rPr>
          <w:sz w:val="20"/>
          <w:szCs w:val="20"/>
          <w:rtl/>
        </w:rPr>
        <w:footnoteRef/>
      </w:r>
      <w:r>
        <w:rPr>
          <w:sz w:val="20"/>
          <w:szCs w:val="20"/>
          <w:rtl/>
        </w:rPr>
        <w:t>. עמ׳ 112, מכתב מיום 19 בספטמבר 1957.</w:t>
      </w:r>
    </w:p>
  </w:footnote>
  <w:footnote w:id="3714">
    <w:p w14:paraId="0CD7C683" w14:textId="77777777" w:rsidR="00AB3647" w:rsidRDefault="00000000">
      <w:pPr>
        <w:spacing w:after="0" w:before="0"/>
        <w:jc w:val="both"/>
      </w:pPr>
      <w:r>
        <w:rPr>
          <w:sz w:val="20"/>
          <w:szCs w:val="20"/>
          <w:rtl/>
        </w:rPr>
        <w:footnoteRef/>
      </w:r>
      <w:r>
        <w:rPr>
          <w:sz w:val="20"/>
          <w:szCs w:val="20"/>
          <w:rtl/>
        </w:rPr>
        <w:t>. עמ׳ 113–114, מכתב מיום 24 בפברואר 1960.</w:t>
      </w:r>
    </w:p>
  </w:footnote>
  <w:footnote w:id="3715">
    <w:p w14:paraId="4CE74F21" w14:textId="77777777" w:rsidR="00AB3647" w:rsidRDefault="00000000">
      <w:pPr>
        <w:spacing w:after="0" w:before="0"/>
        <w:jc w:val="both"/>
      </w:pPr>
      <w:r>
        <w:rPr>
          <w:sz w:val="20"/>
          <w:szCs w:val="20"/>
          <w:rtl/>
        </w:rPr>
        <w:footnoteRef/>
      </w:r>
      <w:r>
        <w:rPr>
          <w:sz w:val="20"/>
          <w:szCs w:val="20"/>
          <w:rtl/>
        </w:rPr>
        <w:t xml:space="preserve">. את תרגום המילה המודגשת תיקנתי, מפני ששפירא תרגם אותה בטעות. הוא פירש את המילה “צירוף” של ר׳ </w:t>
      </w:r>
      <w:proofErr w:type="spellStart"/>
      <w:r>
        <w:rPr>
          <w:sz w:val="20"/>
          <w:szCs w:val="20"/>
          <w:rtl/>
        </w:rPr>
        <w:t>יחיאל־יעקב</w:t>
      </w:r>
      <w:proofErr w:type="spellEnd"/>
      <w:r>
        <w:rPr>
          <w:sz w:val="20"/>
          <w:szCs w:val="20"/>
          <w:rtl/>
        </w:rPr>
        <w:t xml:space="preserve"> ויינברג במשמעות שילוב, והחמיץ את הרמז שהתכוון אליו הכותב: דברי האמורא רב (בבראשית רבה מד, א, ועוד) “לא ניתנו מצוות לישראל אלא לצרף בהן את הבריות”, שבהם צירוף משמעו זיכוך. וע׳ רמב״ן על פרשת שילוח הקן, </w:t>
      </w:r>
      <w:proofErr w:type="spellStart"/>
      <w:r>
        <w:rPr>
          <w:sz w:val="20"/>
          <w:szCs w:val="20"/>
          <w:rtl/>
        </w:rPr>
        <w:t>וב“נתינה</w:t>
      </w:r>
      <w:proofErr w:type="spellEnd"/>
      <w:r>
        <w:rPr>
          <w:sz w:val="20"/>
          <w:szCs w:val="20"/>
          <w:rtl/>
        </w:rPr>
        <w:t xml:space="preserve"> לגר”, בראשית לו, לט. (</w:t>
      </w:r>
      <w:proofErr w:type="spellStart"/>
      <w:r>
        <w:rPr>
          <w:sz w:val="20"/>
          <w:szCs w:val="20"/>
          <w:rtl/>
        </w:rPr>
        <w:t>ומ״ש</w:t>
      </w:r>
      <w:proofErr w:type="spellEnd"/>
      <w:r>
        <w:rPr>
          <w:sz w:val="20"/>
          <w:szCs w:val="20"/>
          <w:rtl/>
        </w:rPr>
        <w:t xml:space="preserve"> בנפש החיים שער ב׳ פ״ד הוא ע״ד ח״ן).</w:t>
      </w:r>
    </w:p>
  </w:footnote>
  <w:footnote w:id="3716">
    <w:p w14:paraId="60D38006" w14:textId="77777777" w:rsidR="00AB3647" w:rsidRDefault="00000000">
      <w:pPr>
        <w:spacing w:after="0" w:before="0"/>
        <w:jc w:val="both"/>
      </w:pPr>
      <w:r>
        <w:rPr>
          <w:sz w:val="20"/>
          <w:szCs w:val="20"/>
          <w:rtl/>
        </w:rPr>
        <w:footnoteRef/>
      </w:r>
      <w:r>
        <w:rPr>
          <w:sz w:val="20"/>
          <w:szCs w:val="20"/>
          <w:rtl/>
        </w:rPr>
        <w:t>. עמ׳ 114, מכתב מיום 2 במרס 1961.</w:t>
      </w:r>
    </w:p>
  </w:footnote>
  <w:footnote w:id="3717">
    <w:p w14:paraId="2CE35A9F"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יב</w:t>
      </w:r>
      <w:proofErr w:type="spellEnd"/>
      <w:r>
        <w:rPr>
          <w:sz w:val="20"/>
          <w:szCs w:val="20"/>
          <w:rtl/>
        </w:rPr>
        <w:t xml:space="preserve"> להלן.</w:t>
      </w:r>
    </w:p>
  </w:footnote>
  <w:footnote w:id="3718">
    <w:p w14:paraId="29184394" w14:textId="77777777" w:rsidR="00AB3647" w:rsidRDefault="00000000">
      <w:pPr>
        <w:spacing w:after="0" w:before="0"/>
        <w:jc w:val="both"/>
      </w:pPr>
      <w:r>
        <w:rPr>
          <w:sz w:val="20"/>
          <w:szCs w:val="20"/>
          <w:rtl/>
        </w:rPr>
        <w:footnoteRef/>
      </w:r>
      <w:r>
        <w:rPr>
          <w:sz w:val="20"/>
          <w:szCs w:val="20"/>
          <w:rtl/>
        </w:rPr>
        <w:t>. ראה פרק 5, סוף הפסקה הראשונה בנספח ד.</w:t>
      </w:r>
    </w:p>
  </w:footnote>
  <w:footnote w:id="3719">
    <w:p w14:paraId="22E558FD" w14:textId="77777777" w:rsidR="00AB3647" w:rsidRDefault="00000000">
      <w:pPr>
        <w:spacing w:after="0" w:before="0"/>
        <w:jc w:val="both"/>
      </w:pPr>
      <w:r>
        <w:rPr>
          <w:sz w:val="20"/>
          <w:szCs w:val="20"/>
          <w:rtl/>
        </w:rPr>
        <w:footnoteRef/>
      </w:r>
      <w:r>
        <w:rPr>
          <w:sz w:val="20"/>
          <w:szCs w:val="20"/>
          <w:rtl/>
        </w:rPr>
        <w:t xml:space="preserve">. זהו שמה של החוברת הקטנה של </w:t>
      </w:r>
      <w:proofErr w:type="spellStart"/>
      <w:r>
        <w:rPr>
          <w:sz w:val="20"/>
          <w:szCs w:val="20"/>
          <w:rtl/>
        </w:rPr>
        <w:t>החזון־איש</w:t>
      </w:r>
      <w:proofErr w:type="spellEnd"/>
      <w:r>
        <w:rPr>
          <w:sz w:val="20"/>
          <w:szCs w:val="20"/>
          <w:rtl/>
        </w:rPr>
        <w:t>, שבה ביאר את השקפתו הדתית.</w:t>
      </w:r>
    </w:p>
  </w:footnote>
  <w:footnote w:id="3720">
    <w:p w14:paraId="53939BAE" w14:textId="77777777" w:rsidR="00AB3647" w:rsidRDefault="00000000">
      <w:pPr>
        <w:spacing w:after="0" w:before="0"/>
        <w:jc w:val="both"/>
      </w:pPr>
      <w:r>
        <w:rPr>
          <w:sz w:val="20"/>
          <w:szCs w:val="20"/>
          <w:rtl/>
        </w:rPr>
        <w:footnoteRef/>
      </w:r>
      <w:r>
        <w:rPr>
          <w:sz w:val="20"/>
          <w:szCs w:val="20"/>
          <w:rtl/>
        </w:rPr>
        <w:t>. פרק 3, הערה 145.</w:t>
      </w:r>
    </w:p>
  </w:footnote>
  <w:footnote w:id="3721">
    <w:p w14:paraId="60C83DC6" w14:textId="77777777" w:rsidR="00AB3647" w:rsidRDefault="00000000">
      <w:pPr>
        <w:spacing w:after="0" w:before="0"/>
        <w:jc w:val="both"/>
      </w:pPr>
      <w:r>
        <w:rPr>
          <w:sz w:val="20"/>
          <w:szCs w:val="20"/>
          <w:rtl/>
        </w:rPr>
        <w:footnoteRef/>
      </w:r>
      <w:r>
        <w:rPr>
          <w:sz w:val="20"/>
          <w:szCs w:val="20"/>
          <w:rtl/>
        </w:rPr>
        <w:t>. ריאיון מיום 12 באוקטובר 1997.</w:t>
      </w:r>
    </w:p>
  </w:footnote>
  <w:footnote w:id="3722">
    <w:p w14:paraId="7CF6AD6B" w14:textId="77777777" w:rsidR="00AB3647" w:rsidRDefault="00000000">
      <w:pPr>
        <w:spacing w:after="0" w:before="0"/>
        <w:jc w:val="both"/>
      </w:pPr>
      <w:r>
        <w:rPr>
          <w:sz w:val="20"/>
          <w:szCs w:val="20"/>
          <w:rtl/>
        </w:rPr>
        <w:footnoteRef/>
      </w:r>
      <w:r>
        <w:rPr>
          <w:sz w:val="20"/>
          <w:szCs w:val="20"/>
          <w:rtl/>
        </w:rPr>
        <w:t xml:space="preserve">. באותה הזדמנות העביר הרב דומב קושיא שהייתה מפורסמת בישיבת </w:t>
      </w:r>
      <w:proofErr w:type="spellStart"/>
      <w:r>
        <w:rPr>
          <w:sz w:val="20"/>
          <w:szCs w:val="20"/>
          <w:rtl/>
        </w:rPr>
        <w:t>סלבודקה</w:t>
      </w:r>
      <w:proofErr w:type="spellEnd"/>
      <w:r>
        <w:rPr>
          <w:sz w:val="20"/>
          <w:szCs w:val="20"/>
          <w:rtl/>
        </w:rPr>
        <w:t xml:space="preserve"> בשמו של הרב ויינברג 20 שנה אחרי שעזב את הישיבה, והיא על </w:t>
      </w:r>
      <w:proofErr w:type="spellStart"/>
      <w:r>
        <w:rPr>
          <w:sz w:val="20"/>
          <w:szCs w:val="20"/>
          <w:rtl/>
        </w:rPr>
        <w:t>תוס</w:t>
      </w:r>
      <w:proofErr w:type="spellEnd"/>
      <w:r>
        <w:rPr>
          <w:sz w:val="20"/>
          <w:szCs w:val="20"/>
          <w:rtl/>
        </w:rPr>
        <w:t xml:space="preserve">’ </w:t>
      </w:r>
      <w:proofErr w:type="spellStart"/>
      <w:r>
        <w:rPr>
          <w:sz w:val="20"/>
          <w:szCs w:val="20"/>
          <w:rtl/>
        </w:rPr>
        <w:t>ב״מ</w:t>
      </w:r>
      <w:proofErr w:type="spellEnd"/>
      <w:r>
        <w:rPr>
          <w:sz w:val="20"/>
          <w:szCs w:val="20"/>
          <w:rtl/>
        </w:rPr>
        <w:t xml:space="preserve"> קי״ד ע״ב שכתבו שההיתר של אליהו להתמודד על הילד המת הוא משום פיקוח נפש שהיה ברור לו שיחייהו עיי״ש, והקשה הלוא למת מצוה מותר לכהן להיטמא בלי פיקוח נפשות, ואיך ייתכן שכדי לשים מת בקבר מותר לכהן להיטמא, ולהפקיע ממנו את המיתה יהיה אסור, ע״כ. ואומר אני </w:t>
      </w:r>
      <w:proofErr w:type="spellStart"/>
      <w:r>
        <w:rPr>
          <w:sz w:val="20"/>
          <w:szCs w:val="20"/>
          <w:rtl/>
        </w:rPr>
        <w:t>שקושיא</w:t>
      </w:r>
      <w:proofErr w:type="spellEnd"/>
      <w:r>
        <w:rPr>
          <w:sz w:val="20"/>
          <w:szCs w:val="20"/>
          <w:rtl/>
        </w:rPr>
        <w:t xml:space="preserve"> זאת בנויה </w:t>
      </w:r>
      <w:proofErr w:type="spellStart"/>
      <w:r>
        <w:rPr>
          <w:sz w:val="20"/>
          <w:szCs w:val="20"/>
          <w:rtl/>
        </w:rPr>
        <w:t>בדוקא</w:t>
      </w:r>
      <w:proofErr w:type="spellEnd"/>
      <w:r>
        <w:rPr>
          <w:sz w:val="20"/>
          <w:szCs w:val="20"/>
          <w:rtl/>
        </w:rPr>
        <w:t xml:space="preserve"> על גישה מוסרית. השווה גם את הסתייגותו של ר׳ </w:t>
      </w:r>
      <w:proofErr w:type="spellStart"/>
      <w:r>
        <w:rPr>
          <w:sz w:val="20"/>
          <w:szCs w:val="20"/>
          <w:rtl/>
        </w:rPr>
        <w:t>יחיאל־יעקב</w:t>
      </w:r>
      <w:proofErr w:type="spellEnd"/>
      <w:r>
        <w:rPr>
          <w:sz w:val="20"/>
          <w:szCs w:val="20"/>
          <w:rtl/>
        </w:rPr>
        <w:t xml:space="preserve"> ויינברג בהערת השוליים הפותחת את שיחות הסבא </w:t>
      </w:r>
      <w:proofErr w:type="spellStart"/>
      <w:r>
        <w:rPr>
          <w:sz w:val="20"/>
          <w:szCs w:val="20"/>
          <w:rtl/>
        </w:rPr>
        <w:t>ב“שרידי</w:t>
      </w:r>
      <w:proofErr w:type="spellEnd"/>
      <w:r>
        <w:rPr>
          <w:sz w:val="20"/>
          <w:szCs w:val="20"/>
          <w:rtl/>
        </w:rPr>
        <w:t xml:space="preserve"> אש”, עמ׳ </w:t>
      </w:r>
      <w:proofErr w:type="spellStart"/>
      <w:r>
        <w:rPr>
          <w:sz w:val="20"/>
          <w:szCs w:val="20"/>
          <w:rtl/>
        </w:rPr>
        <w:t>שיב</w:t>
      </w:r>
      <w:proofErr w:type="spellEnd"/>
      <w:r>
        <w:rPr>
          <w:sz w:val="20"/>
          <w:szCs w:val="20"/>
          <w:rtl/>
        </w:rPr>
        <w:t xml:space="preserve">, המובאת בהערת שוליים </w:t>
      </w:r>
      <w:r>
        <w:rPr>
          <w:sz w:val="20"/>
          <w:szCs w:val="20"/>
          <w:rtl/>
        </w:rPr>
        <w:fldChar w:fldCharType="begin" w:dirty="true"/>
      </w:r>
      <w:r>
        <w:rPr>
          <w:sz w:val="20"/>
          <w:szCs w:val="20"/>
          <w:rtl/>
        </w:rPr>
        <w:instrText xml:space="preserve"> NOTEREF pr_f_1053 \h </w:instrText>
      </w:r>
      <w:r>
        <w:rPr>
          <w:sz w:val="20"/>
          <w:szCs w:val="20"/>
          <w:rtl/>
        </w:rPr>
      </w:r>
      <w:r>
        <w:rPr>
          <w:sz w:val="20"/>
          <w:szCs w:val="20"/>
          <w:rtl/>
        </w:rPr>
        <w:fldChar w:fldCharType="separate"/>
      </w:r>
      <w:r w:rsidR="007923E9">
        <w:rPr>
          <w:sz w:val="20"/>
          <w:szCs w:val="20"/>
          <w:rtl/>
        </w:rPr>
        <w:t>95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pr_f_1053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23">
    <w:p w14:paraId="1E67CF92" w14:textId="77777777" w:rsidR="00AB3647" w:rsidRDefault="00000000">
      <w:pPr>
        <w:spacing w:after="0" w:before="0"/>
        <w:jc w:val="both"/>
      </w:pPr>
      <w:r>
        <w:rPr>
          <w:sz w:val="20"/>
          <w:szCs w:val="20"/>
          <w:rtl/>
        </w:rPr>
        <w:footnoteRef/>
      </w:r>
      <w:r>
        <w:rPr>
          <w:sz w:val="20"/>
          <w:szCs w:val="20"/>
          <w:rtl/>
        </w:rPr>
        <w:t>. ראה סוף נספח ה להלן.</w:t>
      </w:r>
    </w:p>
  </w:footnote>
  <w:footnote w:id="3724">
    <w:p w14:paraId="0F92C485" w14:textId="77777777" w:rsidR="00AB3647" w:rsidRDefault="00000000">
      <w:pPr>
        <w:spacing w:after="0" w:before="0"/>
        <w:jc w:val="both"/>
      </w:pPr>
      <w:r>
        <w:rPr>
          <w:sz w:val="20"/>
          <w:szCs w:val="20"/>
          <w:rtl/>
        </w:rPr>
        <w:footnoteRef/>
      </w:r>
      <w:r>
        <w:rPr>
          <w:sz w:val="20"/>
          <w:szCs w:val="20"/>
          <w:rtl/>
        </w:rPr>
        <w:t>. ראה מכתבים מתאריכים 25 במרס 1947 ו־7 במרס 1956, המכתב מיום 15 בנובמבר 1965 שצוטט לעיל, והמכתב שאין עליו תאריך בסוף האוסף.</w:t>
      </w:r>
    </w:p>
  </w:footnote>
  <w:footnote w:id="3725">
    <w:p w14:paraId="0C89E9CD"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דאס</w:t>
      </w:r>
      <w:proofErr w:type="spellEnd"/>
      <w:r>
        <w:rPr>
          <w:sz w:val="20"/>
          <w:szCs w:val="20"/>
          <w:rtl/>
        </w:rPr>
        <w:t xml:space="preserve"> אידישע </w:t>
      </w:r>
      <w:proofErr w:type="spellStart"/>
      <w:r>
        <w:rPr>
          <w:sz w:val="20"/>
          <w:szCs w:val="20"/>
          <w:rtl/>
        </w:rPr>
        <w:t>ווארט</w:t>
      </w:r>
      <w:proofErr w:type="spellEnd"/>
      <w:r>
        <w:rPr>
          <w:sz w:val="20"/>
          <w:szCs w:val="20"/>
          <w:rtl/>
        </w:rPr>
        <w:t>”, גיליון חשוון–כסלו תשנ״א (מס׳ 293), עמ׳ 31.</w:t>
      </w:r>
    </w:p>
  </w:footnote>
  <w:footnote w:id="3726">
    <w:p w14:paraId="21DB1BE4" w14:textId="77777777" w:rsidR="00AB3647" w:rsidRDefault="00000000">
      <w:pPr>
        <w:spacing w:after="0" w:before="0"/>
        <w:jc w:val="both"/>
      </w:pPr>
      <w:r>
        <w:rPr>
          <w:sz w:val="20"/>
          <w:szCs w:val="20"/>
          <w:rtl/>
        </w:rPr>
        <w:footnoteRef/>
      </w:r>
      <w:r>
        <w:rPr>
          <w:sz w:val="20"/>
          <w:szCs w:val="20"/>
          <w:rtl/>
        </w:rPr>
        <w:t>. עמ׳ 302.</w:t>
      </w:r>
    </w:p>
  </w:footnote>
  <w:footnote w:id="3727">
    <w:p w14:paraId="6DC9B911" w14:textId="77777777" w:rsidR="00AB3647" w:rsidRDefault="00000000">
      <w:pPr>
        <w:spacing w:after="0" w:before="0"/>
        <w:jc w:val="both"/>
      </w:pPr>
      <w:r>
        <w:rPr>
          <w:sz w:val="20"/>
          <w:szCs w:val="20"/>
          <w:rtl/>
        </w:rPr>
        <w:footnoteRef/>
      </w:r>
      <w:r>
        <w:rPr>
          <w:sz w:val="20"/>
          <w:szCs w:val="20"/>
          <w:rtl/>
        </w:rPr>
        <w:t xml:space="preserve">. השווה מגילה </w:t>
      </w:r>
      <w:proofErr w:type="spellStart"/>
      <w:r>
        <w:rPr>
          <w:sz w:val="20"/>
          <w:szCs w:val="20"/>
          <w:rtl/>
        </w:rPr>
        <w:t>כח</w:t>
      </w:r>
      <w:proofErr w:type="spellEnd"/>
      <w:r>
        <w:rPr>
          <w:sz w:val="20"/>
          <w:szCs w:val="20"/>
          <w:rtl/>
        </w:rPr>
        <w:t xml:space="preserve"> ע״א.</w:t>
      </w:r>
    </w:p>
  </w:footnote>
  <w:footnote w:id="3728">
    <w:p w14:paraId="6ECDA6B3" w14:textId="77777777" w:rsidR="00AB3647" w:rsidRDefault="00000000">
      <w:pPr>
        <w:spacing w:after="0" w:before="0"/>
        <w:jc w:val="both"/>
      </w:pPr>
      <w:r>
        <w:rPr>
          <w:sz w:val="20"/>
          <w:szCs w:val="20"/>
          <w:rtl/>
        </w:rPr>
        <w:footnoteRef/>
      </w:r>
      <w:r>
        <w:rPr>
          <w:sz w:val="20"/>
          <w:szCs w:val="20"/>
          <w:rtl/>
        </w:rPr>
        <w:t>. עמ׳ 300.</w:t>
      </w:r>
    </w:p>
  </w:footnote>
  <w:footnote w:id="3729">
    <w:p w14:paraId="62812606" w14:textId="77777777" w:rsidR="00AB3647" w:rsidRDefault="00000000">
      <w:pPr>
        <w:spacing w:after="0" w:before="0"/>
        <w:jc w:val="both"/>
      </w:pPr>
      <w:r>
        <w:rPr>
          <w:sz w:val="20"/>
          <w:szCs w:val="20"/>
          <w:rtl/>
        </w:rPr>
        <w:footnoteRef/>
      </w:r>
      <w:r>
        <w:rPr>
          <w:sz w:val="20"/>
          <w:szCs w:val="20"/>
          <w:rtl/>
        </w:rPr>
        <w:t xml:space="preserve">. ראה סוטה </w:t>
      </w:r>
      <w:proofErr w:type="spellStart"/>
      <w:r>
        <w:rPr>
          <w:sz w:val="20"/>
          <w:szCs w:val="20"/>
          <w:rtl/>
        </w:rPr>
        <w:t>מז</w:t>
      </w:r>
      <w:proofErr w:type="spellEnd"/>
      <w:r>
        <w:rPr>
          <w:sz w:val="20"/>
          <w:szCs w:val="20"/>
          <w:rtl/>
        </w:rPr>
        <w:t xml:space="preserve"> ע״א.</w:t>
      </w:r>
    </w:p>
  </w:footnote>
  <w:footnote w:id="3730">
    <w:p w14:paraId="0F9C9DE8" w14:textId="77777777" w:rsidR="00AB3647" w:rsidRDefault="00000000">
      <w:pPr>
        <w:spacing w:after="0" w:before="0"/>
        <w:jc w:val="both"/>
      </w:pPr>
      <w:r>
        <w:rPr>
          <w:sz w:val="20"/>
          <w:szCs w:val="20"/>
          <w:rtl/>
        </w:rPr>
        <w:footnoteRef/>
      </w:r>
      <w:r>
        <w:rPr>
          <w:sz w:val="20"/>
          <w:szCs w:val="20"/>
          <w:rtl/>
        </w:rPr>
        <w:t>. ריאיון מיום 13 במרס 1988.</w:t>
      </w:r>
    </w:p>
  </w:footnote>
  <w:footnote w:id="3731">
    <w:p w14:paraId="06628C13" w14:textId="77777777" w:rsidR="00AB3647" w:rsidRDefault="00000000">
      <w:pPr>
        <w:spacing w:after="0" w:before="0"/>
        <w:jc w:val="both"/>
      </w:pPr>
      <w:r>
        <w:rPr>
          <w:sz w:val="20"/>
          <w:szCs w:val="20"/>
          <w:rtl/>
        </w:rPr>
        <w:footnoteRef/>
      </w:r>
      <w:r>
        <w:rPr>
          <w:sz w:val="20"/>
          <w:szCs w:val="20"/>
          <w:rtl/>
        </w:rPr>
        <w:t>. עמ׳ 309.</w:t>
      </w:r>
    </w:p>
  </w:footnote>
  <w:footnote w:id="3732">
    <w:p w14:paraId="0DA470A0" w14:textId="77777777" w:rsidR="00AB3647" w:rsidRDefault="00000000">
      <w:pPr>
        <w:spacing w:after="0" w:before="0"/>
        <w:jc w:val="both"/>
      </w:pPr>
      <w:r>
        <w:rPr>
          <w:sz w:val="20"/>
          <w:szCs w:val="20"/>
          <w:rtl/>
        </w:rPr>
        <w:footnoteRef/>
      </w:r>
      <w:r>
        <w:rPr>
          <w:sz w:val="20"/>
          <w:szCs w:val="20"/>
          <w:rtl/>
        </w:rPr>
        <w:t xml:space="preserve">. ריאיון מיום 5 במאי 1995. ראה נספח ד לעיל, על קרבתו </w:t>
      </w:r>
      <w:proofErr w:type="spellStart"/>
      <w:r>
        <w:rPr>
          <w:sz w:val="20"/>
          <w:szCs w:val="20"/>
          <w:rtl/>
        </w:rPr>
        <w:t>לר</w:t>
      </w:r>
      <w:proofErr w:type="spellEnd"/>
      <w:r>
        <w:rPr>
          <w:sz w:val="20"/>
          <w:szCs w:val="20"/>
          <w:rtl/>
        </w:rPr>
        <w:t xml:space="preserve">׳ </w:t>
      </w:r>
      <w:proofErr w:type="spellStart"/>
      <w:r>
        <w:rPr>
          <w:sz w:val="20"/>
          <w:szCs w:val="20"/>
          <w:rtl/>
        </w:rPr>
        <w:t>יחיאל־יעקב</w:t>
      </w:r>
      <w:proofErr w:type="spellEnd"/>
      <w:r>
        <w:rPr>
          <w:sz w:val="20"/>
          <w:szCs w:val="20"/>
          <w:rtl/>
        </w:rPr>
        <w:t xml:space="preserve"> ויינברג.</w:t>
      </w:r>
    </w:p>
  </w:footnote>
  <w:footnote w:id="3733">
    <w:p w14:paraId="788154AE" w14:textId="77777777" w:rsidR="00AB3647" w:rsidRDefault="00000000">
      <w:pPr>
        <w:spacing w:after="0" w:before="0"/>
        <w:jc w:val="both"/>
      </w:pPr>
      <w:r>
        <w:rPr>
          <w:sz w:val="20"/>
          <w:szCs w:val="20"/>
          <w:rtl/>
        </w:rPr>
        <w:footnoteRef/>
      </w:r>
      <w:r>
        <w:rPr>
          <w:sz w:val="20"/>
          <w:szCs w:val="20"/>
          <w:rtl/>
        </w:rPr>
        <w:t>. הערה 33 לעיל – עמ׳ 50–53.</w:t>
      </w:r>
    </w:p>
  </w:footnote>
  <w:footnote w:id="3734">
    <w:p w14:paraId="149A9E03" w14:textId="77777777" w:rsidR="00AB3647" w:rsidRDefault="00000000">
      <w:pPr>
        <w:spacing w:after="0" w:before="0"/>
        <w:jc w:val="both"/>
      </w:pPr>
      <w:r>
        <w:rPr>
          <w:sz w:val="20"/>
          <w:szCs w:val="20"/>
          <w:rtl/>
        </w:rPr>
        <w:footnoteRef/>
      </w:r>
      <w:r>
        <w:rPr>
          <w:sz w:val="20"/>
          <w:szCs w:val="20"/>
          <w:rtl/>
        </w:rPr>
        <w:t>. ראה נספח ד לעיל, כולו.</w:t>
      </w:r>
    </w:p>
  </w:footnote>
  <w:footnote w:id="3735">
    <w:p w14:paraId="0AAC83E1" w14:textId="77777777" w:rsidR="00AB3647" w:rsidRDefault="00000000">
      <w:pPr>
        <w:spacing w:after="0" w:before="0"/>
        <w:jc w:val="both"/>
      </w:pPr>
      <w:r>
        <w:rPr>
          <w:sz w:val="20"/>
          <w:szCs w:val="20"/>
          <w:rtl/>
        </w:rPr>
        <w:footnoteRef/>
      </w:r>
      <w:r>
        <w:rPr>
          <w:sz w:val="20"/>
          <w:szCs w:val="20"/>
          <w:rtl/>
        </w:rPr>
        <w:t>. ריאיון מיום 28 באוגוסט 1997.</w:t>
      </w:r>
    </w:p>
  </w:footnote>
  <w:footnote w:id="3736">
    <w:p w14:paraId="174BF75A" w14:textId="77777777" w:rsidR="00AB3647" w:rsidRDefault="00000000">
      <w:pPr>
        <w:spacing w:after="0" w:before="0"/>
        <w:jc w:val="both"/>
      </w:pPr>
      <w:r>
        <w:rPr>
          <w:sz w:val="20"/>
          <w:szCs w:val="20"/>
          <w:rtl/>
        </w:rPr>
        <w:footnoteRef/>
      </w:r>
      <w:r>
        <w:rPr>
          <w:sz w:val="20"/>
          <w:szCs w:val="20"/>
          <w:rtl/>
        </w:rPr>
        <w:t xml:space="preserve">. אמירה זו אינה מדויקת לגמרי: הוא עזב את אשתו ואת ארצו כשפרצה מלחמת העולם, ולפי המאמר “הטרגדיה של אדם גדול” </w:t>
      </w:r>
      <w:proofErr w:type="spellStart"/>
      <w:r>
        <w:rPr>
          <w:sz w:val="20"/>
          <w:szCs w:val="20"/>
          <w:rtl/>
        </w:rPr>
        <w:t>ב“הדואר</w:t>
      </w:r>
      <w:proofErr w:type="spellEnd"/>
      <w:r>
        <w:rPr>
          <w:sz w:val="20"/>
          <w:szCs w:val="20"/>
          <w:rtl/>
        </w:rPr>
        <w:t xml:space="preserve">” (נספח ד לעיל) נתן את הגט רק </w:t>
      </w:r>
      <w:proofErr w:type="spellStart"/>
      <w:r>
        <w:rPr>
          <w:sz w:val="20"/>
          <w:szCs w:val="20"/>
          <w:rtl/>
        </w:rPr>
        <w:t>בתרפ״ב</w:t>
      </w:r>
      <w:proofErr w:type="spellEnd"/>
      <w:r>
        <w:rPr>
          <w:sz w:val="20"/>
          <w:szCs w:val="20"/>
          <w:rtl/>
        </w:rPr>
        <w:t xml:space="preserve">. הוא רצה להתגרש זמן קצר מאוד לאחר הנישואים, והעיכוב בן </w:t>
      </w:r>
      <w:proofErr w:type="spellStart"/>
      <w:r>
        <w:rPr>
          <w:sz w:val="20"/>
          <w:szCs w:val="20"/>
          <w:rtl/>
        </w:rPr>
        <w:t>שש־עשרה</w:t>
      </w:r>
      <w:proofErr w:type="spellEnd"/>
      <w:r>
        <w:rPr>
          <w:sz w:val="20"/>
          <w:szCs w:val="20"/>
          <w:rtl/>
        </w:rPr>
        <w:t xml:space="preserve"> השנים נבע מהתנגדות הוריו ואם אשתו לצעד הבלתי מקובל. היה על ר׳ חיים </w:t>
      </w:r>
      <w:proofErr w:type="spellStart"/>
      <w:r>
        <w:rPr>
          <w:sz w:val="20"/>
          <w:szCs w:val="20"/>
          <w:rtl/>
        </w:rPr>
        <w:t>סרנא</w:t>
      </w:r>
      <w:proofErr w:type="spellEnd"/>
      <w:r>
        <w:rPr>
          <w:sz w:val="20"/>
          <w:szCs w:val="20"/>
          <w:rtl/>
        </w:rPr>
        <w:t xml:space="preserve"> לנסח את דבריו אחרת: “הוא נאלץ לעזוב את ליטא בגלל הפרידה [שהייתה עתידה להוביל לגירושים]”. ראה גם קידושין נ ע״א, ברש״י ד״ה לא ניחא ליה.</w:t>
      </w:r>
    </w:p>
  </w:footnote>
  <w:footnote w:id="3737">
    <w:p w14:paraId="585CFC67" w14:textId="77777777" w:rsidR="00AB3647" w:rsidRDefault="00000000">
      <w:pPr>
        <w:spacing w:after="0" w:before="0"/>
        <w:jc w:val="both"/>
      </w:pPr>
      <w:r>
        <w:rPr>
          <w:sz w:val="20"/>
          <w:szCs w:val="20"/>
          <w:rtl/>
        </w:rPr>
        <w:footnoteRef/>
      </w:r>
      <w:r>
        <w:rPr>
          <w:sz w:val="20"/>
          <w:szCs w:val="20"/>
          <w:rtl/>
        </w:rPr>
        <w:t>. סוף נספח ד לעיל.</w:t>
      </w:r>
    </w:p>
  </w:footnote>
  <w:footnote w:id="3738">
    <w:p w14:paraId="024BEAEA" w14:textId="77777777" w:rsidR="00AB3647" w:rsidRDefault="00000000">
      <w:pPr>
        <w:spacing w:after="0" w:before="0"/>
        <w:jc w:val="both"/>
      </w:pPr>
      <w:r>
        <w:rPr>
          <w:sz w:val="20"/>
          <w:szCs w:val="20"/>
          <w:rtl/>
        </w:rPr>
        <w:footnoteRef/>
      </w:r>
      <w:r>
        <w:rPr>
          <w:sz w:val="20"/>
          <w:szCs w:val="20"/>
          <w:rtl/>
        </w:rPr>
        <w:t>. הערה 20 לעיל – עמ׳ 5.</w:t>
      </w:r>
    </w:p>
  </w:footnote>
  <w:footnote w:id="3739">
    <w:p w14:paraId="357FD146" w14:textId="77777777" w:rsidR="00AB3647" w:rsidRDefault="00000000">
      <w:pPr>
        <w:spacing w:after="0" w:before="0"/>
        <w:jc w:val="both"/>
      </w:pPr>
      <w:r>
        <w:rPr>
          <w:sz w:val="20"/>
          <w:szCs w:val="20"/>
          <w:rtl/>
        </w:rPr>
        <w:footnoteRef/>
      </w:r>
      <w:r>
        <w:rPr>
          <w:sz w:val="20"/>
          <w:szCs w:val="20"/>
          <w:rtl/>
        </w:rPr>
        <w:t xml:space="preserve">. סוף הפסקה הראשונה של נספח </w:t>
      </w:r>
      <w:proofErr w:type="spellStart"/>
      <w:r>
        <w:rPr>
          <w:sz w:val="20"/>
          <w:szCs w:val="20"/>
          <w:rtl/>
        </w:rPr>
        <w:t>כח</w:t>
      </w:r>
      <w:proofErr w:type="spellEnd"/>
      <w:r>
        <w:rPr>
          <w:sz w:val="20"/>
          <w:szCs w:val="20"/>
          <w:rtl/>
        </w:rPr>
        <w:t xml:space="preserve"> בפרק 3.</w:t>
      </w:r>
    </w:p>
  </w:footnote>
  <w:footnote w:id="3740">
    <w:p w14:paraId="038C421A" w14:textId="77777777" w:rsidR="00AB3647" w:rsidRDefault="00000000">
      <w:pPr>
        <w:spacing w:after="0" w:before="0"/>
        <w:jc w:val="both"/>
      </w:pPr>
      <w:r>
        <w:rPr>
          <w:sz w:val="20"/>
          <w:szCs w:val="20"/>
          <w:rtl/>
        </w:rPr>
        <w:footnoteRef/>
      </w:r>
      <w:r>
        <w:rPr>
          <w:sz w:val="20"/>
          <w:szCs w:val="20"/>
          <w:rtl/>
        </w:rPr>
        <w:t xml:space="preserve">. סוטה </w:t>
      </w:r>
      <w:proofErr w:type="spellStart"/>
      <w:r>
        <w:rPr>
          <w:sz w:val="20"/>
          <w:szCs w:val="20"/>
          <w:rtl/>
        </w:rPr>
        <w:t>מז</w:t>
      </w:r>
      <w:proofErr w:type="spellEnd"/>
      <w:r>
        <w:rPr>
          <w:sz w:val="20"/>
          <w:szCs w:val="20"/>
          <w:rtl/>
        </w:rPr>
        <w:t xml:space="preserve"> ע״א.</w:t>
      </w:r>
    </w:p>
  </w:footnote>
  <w:footnote w:id="3741">
    <w:p w14:paraId="36D0977E" w14:textId="77777777" w:rsidR="00AB3647" w:rsidRDefault="00000000">
      <w:pPr>
        <w:spacing w:after="0" w:before="0"/>
        <w:jc w:val="both"/>
      </w:pPr>
      <w:r>
        <w:rPr>
          <w:sz w:val="20"/>
          <w:szCs w:val="20"/>
          <w:rtl/>
        </w:rPr>
        <w:footnoteRef/>
      </w:r>
      <w:r>
        <w:rPr>
          <w:sz w:val="20"/>
          <w:szCs w:val="20"/>
          <w:rtl/>
        </w:rPr>
        <w:t xml:space="preserve">. הערה 3 לעיל, עמ׳ </w:t>
      </w:r>
      <w:proofErr w:type="spellStart"/>
      <w:r>
        <w:rPr>
          <w:sz w:val="20"/>
          <w:szCs w:val="20"/>
          <w:rtl/>
        </w:rPr>
        <w:t>יט</w:t>
      </w:r>
      <w:proofErr w:type="spellEnd"/>
      <w:r>
        <w:rPr>
          <w:sz w:val="20"/>
          <w:szCs w:val="20"/>
          <w:rtl/>
        </w:rPr>
        <w:t>; מתוארך ליל ז׳ באב תשמ״א.</w:t>
      </w:r>
    </w:p>
  </w:footnote>
  <w:footnote w:id="3742">
    <w:p w14:paraId="7B509184" w14:textId="77777777" w:rsidR="00AB3647" w:rsidRDefault="00000000">
      <w:pPr>
        <w:spacing w:after="0" w:before="0"/>
        <w:jc w:val="both"/>
      </w:pPr>
      <w:r>
        <w:rPr>
          <w:sz w:val="20"/>
          <w:szCs w:val="20"/>
          <w:rtl/>
        </w:rPr>
        <w:footnoteRef/>
      </w:r>
      <w:r>
        <w:rPr>
          <w:sz w:val="20"/>
          <w:szCs w:val="20"/>
          <w:rtl/>
        </w:rPr>
        <w:t>. ראה כרך 2.</w:t>
      </w:r>
    </w:p>
  </w:footnote>
  <w:footnote w:id="3743">
    <w:p w14:paraId="5CEB5F80" w14:textId="77777777" w:rsidR="00AB3647" w:rsidRDefault="00000000">
      <w:pPr>
        <w:spacing w:after="0" w:before="0"/>
        <w:jc w:val="both"/>
      </w:pPr>
      <w:r>
        <w:rPr>
          <w:sz w:val="20"/>
          <w:szCs w:val="20"/>
          <w:rtl/>
        </w:rPr>
        <w:footnoteRef/>
      </w:r>
      <w:r>
        <w:rPr>
          <w:sz w:val="20"/>
          <w:szCs w:val="20"/>
          <w:rtl/>
        </w:rPr>
        <w:t>. עמ׳ 293.</w:t>
      </w:r>
    </w:p>
  </w:footnote>
  <w:footnote w:id="3744">
    <w:p w14:paraId="4CBB96BA" w14:textId="77777777" w:rsidR="00AB3647" w:rsidRDefault="00000000">
      <w:pPr>
        <w:spacing w:after="0" w:before="0"/>
        <w:jc w:val="both"/>
      </w:pPr>
      <w:r>
        <w:rPr>
          <w:sz w:val="20"/>
          <w:szCs w:val="20"/>
          <w:rtl/>
        </w:rPr>
        <w:footnoteRef/>
      </w:r>
      <w:r>
        <w:rPr>
          <w:sz w:val="20"/>
          <w:szCs w:val="20"/>
          <w:rtl/>
        </w:rPr>
        <w:t>. עמ׳ 294.</w:t>
      </w:r>
    </w:p>
  </w:footnote>
  <w:footnote w:id="3745">
    <w:p w14:paraId="5392469E" w14:textId="77777777" w:rsidR="00AB3647" w:rsidRDefault="00000000">
      <w:pPr>
        <w:spacing w:after="0" w:before="0"/>
        <w:jc w:val="both"/>
      </w:pPr>
      <w:r>
        <w:rPr>
          <w:sz w:val="20"/>
          <w:szCs w:val="20"/>
          <w:rtl/>
        </w:rPr>
        <w:footnoteRef/>
      </w:r>
      <w:r>
        <w:rPr>
          <w:sz w:val="20"/>
          <w:szCs w:val="20"/>
          <w:rtl/>
        </w:rPr>
        <w:t xml:space="preserve">. השווה פרק 3, נספח </w:t>
      </w:r>
      <w:proofErr w:type="spellStart"/>
      <w:r>
        <w:rPr>
          <w:sz w:val="20"/>
          <w:szCs w:val="20"/>
          <w:rtl/>
        </w:rPr>
        <w:t>יט</w:t>
      </w:r>
      <w:proofErr w:type="spellEnd"/>
      <w:r>
        <w:rPr>
          <w:sz w:val="20"/>
          <w:szCs w:val="20"/>
          <w:rtl/>
        </w:rPr>
        <w:t>.</w:t>
      </w:r>
    </w:p>
  </w:footnote>
  <w:footnote w:id="3746">
    <w:p w14:paraId="2DAC0E91" w14:textId="77777777" w:rsidR="00AB3647" w:rsidRDefault="00000000">
      <w:pPr>
        <w:spacing w:after="0" w:before="0"/>
        <w:jc w:val="both"/>
      </w:pPr>
      <w:r>
        <w:rPr>
          <w:sz w:val="20"/>
          <w:szCs w:val="20"/>
          <w:rtl/>
        </w:rPr>
        <w:footnoteRef/>
      </w:r>
      <w:r>
        <w:rPr>
          <w:sz w:val="20"/>
          <w:szCs w:val="20"/>
          <w:rtl/>
        </w:rPr>
        <w:t xml:space="preserve">. השווה פרק 3, הפסקה השנייה של נספח </w:t>
      </w:r>
      <w:proofErr w:type="spellStart"/>
      <w:r>
        <w:rPr>
          <w:sz w:val="20"/>
          <w:szCs w:val="20"/>
          <w:rtl/>
        </w:rPr>
        <w:t>יט</w:t>
      </w:r>
      <w:proofErr w:type="spellEnd"/>
      <w:r>
        <w:rPr>
          <w:sz w:val="20"/>
          <w:szCs w:val="20"/>
          <w:rtl/>
        </w:rPr>
        <w:t>.</w:t>
      </w:r>
    </w:p>
  </w:footnote>
  <w:footnote w:id="3747">
    <w:p w14:paraId="3CB78B1F" w14:textId="77777777" w:rsidR="00AB3647" w:rsidRDefault="00000000">
      <w:pPr>
        <w:spacing w:after="0" w:before="0"/>
        <w:jc w:val="both"/>
      </w:pPr>
      <w:r>
        <w:rPr>
          <w:sz w:val="20"/>
          <w:szCs w:val="20"/>
          <w:rtl/>
        </w:rPr>
        <w:footnoteRef/>
      </w:r>
      <w:r>
        <w:rPr>
          <w:sz w:val="20"/>
          <w:szCs w:val="20"/>
          <w:rtl/>
        </w:rPr>
        <w:t>. נספח ג לעיל.</w:t>
      </w:r>
    </w:p>
  </w:footnote>
  <w:footnote w:id="3748">
    <w:p w14:paraId="6860F1CF"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יח</w:t>
      </w:r>
      <w:proofErr w:type="spellEnd"/>
      <w:r>
        <w:rPr>
          <w:sz w:val="20"/>
          <w:szCs w:val="20"/>
          <w:rtl/>
        </w:rPr>
        <w:t xml:space="preserve">, מתוארך כמצוין בהערת שוליים </w:t>
      </w:r>
      <w:r>
        <w:rPr>
          <w:sz w:val="20"/>
          <w:szCs w:val="20"/>
          <w:rtl/>
        </w:rPr>
        <w:fldChar w:fldCharType="begin" w:dirty="true"/>
      </w:r>
      <w:r>
        <w:rPr>
          <w:sz w:val="20"/>
          <w:szCs w:val="20"/>
          <w:rtl/>
        </w:rPr>
        <w:instrText xml:space="preserve"> NOTEREF pr_f_3623 \h </w:instrText>
      </w:r>
      <w:r>
        <w:rPr>
          <w:sz w:val="20"/>
          <w:szCs w:val="20"/>
          <w:rtl/>
        </w:rPr>
      </w:r>
      <w:r>
        <w:rPr>
          <w:sz w:val="20"/>
          <w:szCs w:val="20"/>
          <w:rtl/>
        </w:rPr>
        <w:fldChar w:fldCharType="separate"/>
      </w:r>
      <w:r w:rsidR="007923E9">
        <w:rPr>
          <w:sz w:val="20"/>
          <w:szCs w:val="20"/>
          <w:rtl/>
        </w:rPr>
        <w:t>700</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749">
    <w:p w14:paraId="6A299253" w14:textId="77777777" w:rsidR="00AB3647" w:rsidRDefault="00000000">
      <w:pPr>
        <w:spacing w:after="0" w:before="0"/>
        <w:jc w:val="both"/>
      </w:pPr>
      <w:r>
        <w:rPr>
          <w:sz w:val="20"/>
          <w:szCs w:val="20"/>
          <w:rtl/>
        </w:rPr>
        <w:footnoteRef/>
      </w:r>
      <w:r>
        <w:rPr>
          <w:sz w:val="20"/>
          <w:szCs w:val="20"/>
          <w:rtl/>
        </w:rPr>
        <w:t>. עמ׳ 292.</w:t>
      </w:r>
    </w:p>
  </w:footnote>
  <w:footnote w:id="3750">
    <w:p w14:paraId="57DF6B38" w14:textId="77777777" w:rsidR="00AB3647" w:rsidRDefault="00000000">
      <w:pPr>
        <w:spacing w:after="0" w:before="0"/>
        <w:jc w:val="both"/>
      </w:pPr>
      <w:r>
        <w:rPr>
          <w:sz w:val="20"/>
          <w:szCs w:val="20"/>
          <w:rtl/>
        </w:rPr>
        <w:footnoteRef/>
      </w:r>
      <w:r>
        <w:rPr>
          <w:sz w:val="20"/>
          <w:szCs w:val="20"/>
          <w:rtl/>
        </w:rPr>
        <w:t>. ריאיון מיום 19 בדצמבר 1987.</w:t>
      </w:r>
    </w:p>
  </w:footnote>
  <w:footnote w:id="3751">
    <w:p w14:paraId="312120DB" w14:textId="77777777" w:rsidR="00AB3647" w:rsidRDefault="00000000">
      <w:pPr>
        <w:spacing w:after="0" w:before="0"/>
        <w:jc w:val="both"/>
      </w:pPr>
      <w:r>
        <w:rPr>
          <w:sz w:val="20"/>
          <w:szCs w:val="20"/>
          <w:rtl/>
        </w:rPr>
        <w:footnoteRef/>
      </w:r>
      <w:r>
        <w:rPr>
          <w:sz w:val="20"/>
          <w:szCs w:val="20"/>
          <w:rtl/>
        </w:rPr>
        <w:t>. פרק 2, נספח ד.</w:t>
      </w:r>
    </w:p>
  </w:footnote>
  <w:footnote w:id="3752">
    <w:p w14:paraId="5EF63F68" w14:textId="77777777" w:rsidR="00AB3647" w:rsidRDefault="00000000">
      <w:pPr>
        <w:spacing w:after="0" w:before="0"/>
        <w:jc w:val="both"/>
      </w:pPr>
      <w:r>
        <w:rPr>
          <w:sz w:val="20"/>
          <w:szCs w:val="20"/>
          <w:rtl/>
        </w:rPr>
        <w:footnoteRef/>
      </w:r>
      <w:r>
        <w:rPr>
          <w:sz w:val="20"/>
          <w:szCs w:val="20"/>
          <w:rtl/>
        </w:rPr>
        <w:t xml:space="preserve">. השווה פרק 1, הערה 69, ופרק 3, הפסקה החמישית של נספח </w:t>
      </w:r>
      <w:proofErr w:type="spellStart"/>
      <w:r>
        <w:rPr>
          <w:sz w:val="20"/>
          <w:szCs w:val="20"/>
          <w:rtl/>
        </w:rPr>
        <w:t>יח</w:t>
      </w:r>
      <w:proofErr w:type="spellEnd"/>
      <w:r>
        <w:rPr>
          <w:sz w:val="20"/>
          <w:szCs w:val="20"/>
          <w:rtl/>
        </w:rPr>
        <w:t>.</w:t>
      </w:r>
    </w:p>
  </w:footnote>
  <w:footnote w:id="3753">
    <w:p w14:paraId="27EB6E6C" w14:textId="77777777" w:rsidR="00AB3647" w:rsidRDefault="00000000">
      <w:pPr>
        <w:spacing w:after="0" w:before="0"/>
        <w:jc w:val="both"/>
      </w:pPr>
      <w:r>
        <w:rPr>
          <w:sz w:val="20"/>
          <w:szCs w:val="20"/>
          <w:rtl/>
        </w:rPr>
        <w:footnoteRef/>
      </w:r>
      <w:r>
        <w:rPr>
          <w:sz w:val="20"/>
          <w:szCs w:val="20"/>
          <w:rtl/>
        </w:rPr>
        <w:t>. ראה להלן.</w:t>
      </w:r>
    </w:p>
  </w:footnote>
  <w:footnote w:id="3754">
    <w:p w14:paraId="0DF7DF75" w14:textId="77777777" w:rsidR="00AB3647" w:rsidRDefault="00000000">
      <w:pPr>
        <w:spacing w:after="0" w:before="0"/>
        <w:jc w:val="both"/>
      </w:pPr>
      <w:r>
        <w:rPr>
          <w:sz w:val="20"/>
          <w:szCs w:val="20"/>
          <w:rtl/>
        </w:rPr>
        <w:footnoteRef/>
      </w:r>
      <w:r>
        <w:rPr>
          <w:sz w:val="20"/>
          <w:szCs w:val="20"/>
          <w:rtl/>
        </w:rPr>
        <w:t xml:space="preserve">. נספח ד לעיל. גם המאמר “הטרגדיה של אדם גדול” </w:t>
      </w:r>
      <w:proofErr w:type="spellStart"/>
      <w:r>
        <w:rPr>
          <w:sz w:val="20"/>
          <w:szCs w:val="20"/>
          <w:rtl/>
        </w:rPr>
        <w:t>ב“הדואר</w:t>
      </w:r>
      <w:proofErr w:type="spellEnd"/>
      <w:r>
        <w:rPr>
          <w:sz w:val="20"/>
          <w:szCs w:val="20"/>
          <w:rtl/>
        </w:rPr>
        <w:t xml:space="preserve">”, הנזכר שם, סייע בבניית רצף השנים המעצבות של ר׳ </w:t>
      </w:r>
      <w:proofErr w:type="spellStart"/>
      <w:r>
        <w:rPr>
          <w:sz w:val="20"/>
          <w:szCs w:val="20"/>
          <w:rtl/>
        </w:rPr>
        <w:t>יחיאל־יעקב</w:t>
      </w:r>
      <w:proofErr w:type="spellEnd"/>
      <w:r>
        <w:rPr>
          <w:sz w:val="20"/>
          <w:szCs w:val="20"/>
          <w:rtl/>
        </w:rPr>
        <w:t xml:space="preserve"> ויינברג, כמפורט להלן.</w:t>
      </w:r>
    </w:p>
  </w:footnote>
  <w:footnote w:id="3755">
    <w:p w14:paraId="79444426" w14:textId="77777777" w:rsidR="00AB3647" w:rsidRDefault="00000000">
      <w:pPr>
        <w:spacing w:after="0" w:before="0"/>
        <w:jc w:val="both"/>
      </w:pPr>
      <w:r>
        <w:rPr>
          <w:sz w:val="20"/>
          <w:szCs w:val="20"/>
          <w:rtl/>
        </w:rPr>
        <w:footnoteRef/>
      </w:r>
      <w:r>
        <w:rPr>
          <w:sz w:val="20"/>
          <w:szCs w:val="20"/>
          <w:rtl/>
        </w:rPr>
        <w:t xml:space="preserve">. לנוכח מקורות סותרים על שנת לידתו של ר׳ </w:t>
      </w:r>
      <w:proofErr w:type="spellStart"/>
      <w:r>
        <w:rPr>
          <w:sz w:val="20"/>
          <w:szCs w:val="20"/>
          <w:rtl/>
        </w:rPr>
        <w:t>יחיאל־יעקב</w:t>
      </w:r>
      <w:proofErr w:type="spellEnd"/>
      <w:r>
        <w:rPr>
          <w:sz w:val="20"/>
          <w:szCs w:val="20"/>
          <w:rtl/>
        </w:rPr>
        <w:t xml:space="preserve"> ויינברג, הסקתי שנולד בתחילת תרמ״ה, כשעדיין הייתה השנה 1884. הוא הגיע </w:t>
      </w:r>
      <w:proofErr w:type="spellStart"/>
      <w:r>
        <w:rPr>
          <w:sz w:val="20"/>
          <w:szCs w:val="20"/>
          <w:rtl/>
        </w:rPr>
        <w:t>לסלבודקה</w:t>
      </w:r>
      <w:proofErr w:type="spellEnd"/>
      <w:r>
        <w:rPr>
          <w:sz w:val="20"/>
          <w:szCs w:val="20"/>
          <w:rtl/>
        </w:rPr>
        <w:t xml:space="preserve"> בסוף תרס״א, כמעט בן </w:t>
      </w:r>
      <w:proofErr w:type="spellStart"/>
      <w:r>
        <w:rPr>
          <w:sz w:val="20"/>
          <w:szCs w:val="20"/>
          <w:rtl/>
        </w:rPr>
        <w:t>שבע־עשרה</w:t>
      </w:r>
      <w:proofErr w:type="spellEnd"/>
      <w:r>
        <w:rPr>
          <w:sz w:val="20"/>
          <w:szCs w:val="20"/>
          <w:rtl/>
        </w:rPr>
        <w:t xml:space="preserve">. מחבר המאמר “הטרגדיה של אדם גדול” כותב שבחורף תרס״ב שהה ר׳ </w:t>
      </w:r>
      <w:proofErr w:type="spellStart"/>
      <w:r>
        <w:rPr>
          <w:sz w:val="20"/>
          <w:szCs w:val="20"/>
          <w:rtl/>
        </w:rPr>
        <w:t>יחיאל־יעקב</w:t>
      </w:r>
      <w:proofErr w:type="spellEnd"/>
      <w:r>
        <w:rPr>
          <w:sz w:val="20"/>
          <w:szCs w:val="20"/>
          <w:rtl/>
        </w:rPr>
        <w:t xml:space="preserve"> בעיירת מולדתם, </w:t>
      </w:r>
      <w:proofErr w:type="spellStart"/>
      <w:r>
        <w:rPr>
          <w:sz w:val="20"/>
          <w:szCs w:val="20"/>
          <w:rtl/>
        </w:rPr>
        <w:t>צ׳כנובצה</w:t>
      </w:r>
      <w:proofErr w:type="spellEnd"/>
      <w:r>
        <w:rPr>
          <w:sz w:val="20"/>
          <w:szCs w:val="20"/>
          <w:rtl/>
        </w:rPr>
        <w:t xml:space="preserve">; כלומר, זמן קצר יחסית לאחר בואו </w:t>
      </w:r>
      <w:proofErr w:type="spellStart"/>
      <w:r>
        <w:rPr>
          <w:sz w:val="20"/>
          <w:szCs w:val="20"/>
          <w:rtl/>
        </w:rPr>
        <w:t>לסלבודקה</w:t>
      </w:r>
      <w:proofErr w:type="spellEnd"/>
      <w:r>
        <w:rPr>
          <w:sz w:val="20"/>
          <w:szCs w:val="20"/>
          <w:rtl/>
        </w:rPr>
        <w:t xml:space="preserve"> כבר נטל חופשה של כמה חודשים. עוד מגלה המאמר שבאותו חורף התוודע ר׳ </w:t>
      </w:r>
      <w:proofErr w:type="spellStart"/>
      <w:r>
        <w:rPr>
          <w:sz w:val="20"/>
          <w:szCs w:val="20"/>
          <w:rtl/>
        </w:rPr>
        <w:t>יחיאל־יעקב</w:t>
      </w:r>
      <w:proofErr w:type="spellEnd"/>
      <w:r>
        <w:rPr>
          <w:sz w:val="20"/>
          <w:szCs w:val="20"/>
          <w:rtl/>
        </w:rPr>
        <w:t xml:space="preserve"> לספרות העברית החדשה.</w:t>
      </w:r>
    </w:p>
  </w:footnote>
  <w:footnote w:id="3756">
    <w:p w14:paraId="4AF74BEE" w14:textId="77777777" w:rsidR="00AB3647" w:rsidRDefault="00000000">
      <w:pPr>
        <w:spacing w:after="0" w:before="0"/>
        <w:jc w:val="both"/>
      </w:pPr>
      <w:r>
        <w:rPr>
          <w:sz w:val="20"/>
          <w:szCs w:val="20"/>
          <w:rtl/>
        </w:rPr>
        <w:footnoteRef/>
      </w:r>
      <w:r>
        <w:rPr>
          <w:sz w:val="20"/>
          <w:szCs w:val="20"/>
          <w:rtl/>
        </w:rPr>
        <w:t xml:space="preserve">. לפי “פרקי חיים [ויינברג]”, עמ׳ 1, למד ר׳ </w:t>
      </w:r>
      <w:proofErr w:type="spellStart"/>
      <w:r>
        <w:rPr>
          <w:sz w:val="20"/>
          <w:szCs w:val="20"/>
          <w:rtl/>
        </w:rPr>
        <w:t>יחיאל־יעקב</w:t>
      </w:r>
      <w:proofErr w:type="spellEnd"/>
      <w:r>
        <w:rPr>
          <w:sz w:val="20"/>
          <w:szCs w:val="20"/>
          <w:rtl/>
        </w:rPr>
        <w:t xml:space="preserve"> ויינברג זמן קצר </w:t>
      </w:r>
      <w:proofErr w:type="spellStart"/>
      <w:r>
        <w:rPr>
          <w:sz w:val="20"/>
          <w:szCs w:val="20"/>
          <w:rtl/>
        </w:rPr>
        <w:t>במיר</w:t>
      </w:r>
      <w:proofErr w:type="spellEnd"/>
      <w:r>
        <w:rPr>
          <w:sz w:val="20"/>
          <w:szCs w:val="20"/>
          <w:rtl/>
        </w:rPr>
        <w:t xml:space="preserve"> גם לפני בואו </w:t>
      </w:r>
      <w:proofErr w:type="spellStart"/>
      <w:r>
        <w:rPr>
          <w:sz w:val="20"/>
          <w:szCs w:val="20"/>
          <w:rtl/>
        </w:rPr>
        <w:t>לסלבודקה</w:t>
      </w:r>
      <w:proofErr w:type="spellEnd"/>
      <w:r>
        <w:rPr>
          <w:sz w:val="20"/>
          <w:szCs w:val="20"/>
          <w:rtl/>
        </w:rPr>
        <w:t xml:space="preserve">, </w:t>
      </w:r>
      <w:proofErr w:type="spellStart"/>
      <w:r>
        <w:rPr>
          <w:sz w:val="20"/>
          <w:szCs w:val="20"/>
          <w:rtl/>
        </w:rPr>
        <w:t>בתר״ס</w:t>
      </w:r>
      <w:proofErr w:type="spellEnd"/>
      <w:r>
        <w:rPr>
          <w:sz w:val="20"/>
          <w:szCs w:val="20"/>
          <w:rtl/>
        </w:rPr>
        <w:t xml:space="preserve">. כשהובא ר׳ </w:t>
      </w:r>
      <w:proofErr w:type="spellStart"/>
      <w:r>
        <w:rPr>
          <w:sz w:val="20"/>
          <w:szCs w:val="20"/>
          <w:rtl/>
        </w:rPr>
        <w:t>אליהו־ברוך</w:t>
      </w:r>
      <w:proofErr w:type="spellEnd"/>
      <w:r>
        <w:rPr>
          <w:sz w:val="20"/>
          <w:szCs w:val="20"/>
          <w:rtl/>
        </w:rPr>
        <w:t xml:space="preserve"> קמאי מרבנות </w:t>
      </w:r>
      <w:proofErr w:type="spellStart"/>
      <w:r>
        <w:rPr>
          <w:sz w:val="20"/>
          <w:szCs w:val="20"/>
          <w:rtl/>
        </w:rPr>
        <w:t>צ׳כנובצה</w:t>
      </w:r>
      <w:proofErr w:type="spellEnd"/>
      <w:r>
        <w:rPr>
          <w:sz w:val="20"/>
          <w:szCs w:val="20"/>
          <w:rtl/>
        </w:rPr>
        <w:t xml:space="preserve"> לשמש רב וראש ישיבה </w:t>
      </w:r>
      <w:proofErr w:type="spellStart"/>
      <w:r>
        <w:rPr>
          <w:sz w:val="20"/>
          <w:szCs w:val="20"/>
          <w:rtl/>
        </w:rPr>
        <w:t>במיר</w:t>
      </w:r>
      <w:proofErr w:type="spellEnd"/>
      <w:r>
        <w:rPr>
          <w:sz w:val="20"/>
          <w:szCs w:val="20"/>
          <w:rtl/>
        </w:rPr>
        <w:t xml:space="preserve">, הביא עמו את העילוי </w:t>
      </w:r>
      <w:proofErr w:type="spellStart"/>
      <w:r>
        <w:rPr>
          <w:sz w:val="20"/>
          <w:szCs w:val="20"/>
          <w:rtl/>
        </w:rPr>
        <w:t>מצ׳כנובצה</w:t>
      </w:r>
      <w:proofErr w:type="spellEnd"/>
      <w:r>
        <w:rPr>
          <w:sz w:val="20"/>
          <w:szCs w:val="20"/>
          <w:rtl/>
        </w:rPr>
        <w:t xml:space="preserve">, בן </w:t>
      </w:r>
      <w:proofErr w:type="spellStart"/>
      <w:r>
        <w:rPr>
          <w:sz w:val="20"/>
          <w:szCs w:val="20"/>
          <w:rtl/>
        </w:rPr>
        <w:t>החמש־עשרה</w:t>
      </w:r>
      <w:proofErr w:type="spellEnd"/>
      <w:r>
        <w:rPr>
          <w:sz w:val="20"/>
          <w:szCs w:val="20"/>
          <w:rtl/>
        </w:rPr>
        <w:t xml:space="preserve">.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מביא בשם ר׳ </w:t>
      </w:r>
      <w:proofErr w:type="spellStart"/>
      <w:r>
        <w:rPr>
          <w:sz w:val="20"/>
          <w:szCs w:val="20"/>
          <w:rtl/>
        </w:rPr>
        <w:t>יחיאל־יעקב</w:t>
      </w:r>
      <w:proofErr w:type="spellEnd"/>
      <w:r>
        <w:rPr>
          <w:sz w:val="20"/>
          <w:szCs w:val="20"/>
          <w:rtl/>
        </w:rPr>
        <w:t xml:space="preserve"> שהסבא “התחנן [אליו] להצטרף לבנו ולסייע לו בחיבור חידושי תורה”; לכן ייתכן מאוד שר׳ </w:t>
      </w:r>
      <w:proofErr w:type="spellStart"/>
      <w:r>
        <w:rPr>
          <w:sz w:val="20"/>
          <w:szCs w:val="20"/>
          <w:rtl/>
        </w:rPr>
        <w:t>אליהו־ברוך</w:t>
      </w:r>
      <w:proofErr w:type="spellEnd"/>
      <w:r>
        <w:rPr>
          <w:sz w:val="20"/>
          <w:szCs w:val="20"/>
          <w:rtl/>
        </w:rPr>
        <w:t xml:space="preserve"> הוא שהציע </w:t>
      </w:r>
      <w:proofErr w:type="spellStart"/>
      <w:r>
        <w:rPr>
          <w:sz w:val="20"/>
          <w:szCs w:val="20"/>
          <w:rtl/>
        </w:rPr>
        <w:t>לר</w:t>
      </w:r>
      <w:proofErr w:type="spellEnd"/>
      <w:r>
        <w:rPr>
          <w:sz w:val="20"/>
          <w:szCs w:val="20"/>
          <w:rtl/>
        </w:rPr>
        <w:t xml:space="preserve">׳ </w:t>
      </w:r>
      <w:proofErr w:type="spellStart"/>
      <w:r>
        <w:rPr>
          <w:sz w:val="20"/>
          <w:szCs w:val="20"/>
          <w:rtl/>
        </w:rPr>
        <w:t>נתן־צבי</w:t>
      </w:r>
      <w:proofErr w:type="spellEnd"/>
      <w:r>
        <w:rPr>
          <w:sz w:val="20"/>
          <w:szCs w:val="20"/>
          <w:rtl/>
        </w:rPr>
        <w:t xml:space="preserve"> לשלוח את ר׳ </w:t>
      </w:r>
      <w:proofErr w:type="spellStart"/>
      <w:r>
        <w:rPr>
          <w:sz w:val="20"/>
          <w:szCs w:val="20"/>
          <w:rtl/>
        </w:rPr>
        <w:t>יחיאל־יעקב</w:t>
      </w:r>
      <w:proofErr w:type="spellEnd"/>
      <w:r>
        <w:rPr>
          <w:sz w:val="20"/>
          <w:szCs w:val="20"/>
          <w:rtl/>
        </w:rPr>
        <w:t xml:space="preserve"> </w:t>
      </w:r>
      <w:proofErr w:type="spellStart"/>
      <w:r>
        <w:rPr>
          <w:sz w:val="20"/>
          <w:szCs w:val="20"/>
          <w:rtl/>
        </w:rPr>
        <w:t>למיר</w:t>
      </w:r>
      <w:proofErr w:type="spellEnd"/>
      <w:r>
        <w:rPr>
          <w:sz w:val="20"/>
          <w:szCs w:val="20"/>
          <w:rtl/>
        </w:rPr>
        <w:t xml:space="preserve">, ללמוד שם לשם כך עם חתנו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המאמר “הטרגדיה של אדם גדול” </w:t>
      </w:r>
      <w:proofErr w:type="spellStart"/>
      <w:r>
        <w:rPr>
          <w:sz w:val="20"/>
          <w:szCs w:val="20"/>
          <w:rtl/>
        </w:rPr>
        <w:t>ב“הדואר</w:t>
      </w:r>
      <w:proofErr w:type="spellEnd"/>
      <w:r>
        <w:rPr>
          <w:sz w:val="20"/>
          <w:szCs w:val="20"/>
          <w:rtl/>
        </w:rPr>
        <w:t xml:space="preserve">” טועה בשנתיים כשהוא כותב שר׳ </w:t>
      </w:r>
      <w:proofErr w:type="spellStart"/>
      <w:r>
        <w:rPr>
          <w:sz w:val="20"/>
          <w:szCs w:val="20"/>
          <w:rtl/>
        </w:rPr>
        <w:t>יחיאל־יעקב</w:t>
      </w:r>
      <w:proofErr w:type="spellEnd"/>
      <w:r>
        <w:rPr>
          <w:sz w:val="20"/>
          <w:szCs w:val="20"/>
          <w:rtl/>
        </w:rPr>
        <w:t xml:space="preserve"> יצא </w:t>
      </w:r>
      <w:proofErr w:type="spellStart"/>
      <w:r>
        <w:rPr>
          <w:sz w:val="20"/>
          <w:szCs w:val="20"/>
          <w:rtl/>
        </w:rPr>
        <w:t>למיר</w:t>
      </w:r>
      <w:proofErr w:type="spellEnd"/>
      <w:r>
        <w:rPr>
          <w:sz w:val="20"/>
          <w:szCs w:val="20"/>
          <w:rtl/>
        </w:rPr>
        <w:t xml:space="preserve"> “לאחר פסח תרס״ג”. הטעות ודאי אינה אלא טעות דפוס, שהרי ר׳ </w:t>
      </w:r>
      <w:proofErr w:type="spellStart"/>
      <w:r>
        <w:rPr>
          <w:sz w:val="20"/>
          <w:szCs w:val="20"/>
          <w:rtl/>
        </w:rPr>
        <w:t>יחיאל־יעקב</w:t>
      </w:r>
      <w:proofErr w:type="spellEnd"/>
      <w:r>
        <w:rPr>
          <w:sz w:val="20"/>
          <w:szCs w:val="20"/>
          <w:rtl/>
        </w:rPr>
        <w:t xml:space="preserve"> ויינברג לקח עמו את מחבר המאמר </w:t>
      </w:r>
      <w:proofErr w:type="spellStart"/>
      <w:r>
        <w:rPr>
          <w:sz w:val="20"/>
          <w:szCs w:val="20"/>
          <w:rtl/>
        </w:rPr>
        <w:t>מסלבודקה</w:t>
      </w:r>
      <w:proofErr w:type="spellEnd"/>
      <w:r>
        <w:rPr>
          <w:sz w:val="20"/>
          <w:szCs w:val="20"/>
          <w:rtl/>
        </w:rPr>
        <w:t xml:space="preserve"> </w:t>
      </w:r>
      <w:proofErr w:type="spellStart"/>
      <w:r>
        <w:rPr>
          <w:sz w:val="20"/>
          <w:szCs w:val="20"/>
          <w:rtl/>
        </w:rPr>
        <w:t>למיר</w:t>
      </w:r>
      <w:proofErr w:type="spellEnd"/>
      <w:r>
        <w:rPr>
          <w:sz w:val="20"/>
          <w:szCs w:val="20"/>
          <w:rtl/>
        </w:rPr>
        <w:t>, כמובא להלן, ובוודאי ידע באיזו שנה אירע המעבר.</w:t>
      </w:r>
    </w:p>
  </w:footnote>
  <w:footnote w:id="3757">
    <w:p w14:paraId="0C28D97B" w14:textId="77777777" w:rsidR="00AB3647" w:rsidRDefault="00000000">
      <w:pPr>
        <w:spacing w:after="0" w:before="0"/>
        <w:jc w:val="both"/>
      </w:pPr>
      <w:r>
        <w:rPr>
          <w:sz w:val="20"/>
          <w:szCs w:val="20"/>
          <w:rtl/>
        </w:rPr>
        <w:footnoteRef/>
      </w:r>
      <w:r>
        <w:rPr>
          <w:sz w:val="20"/>
          <w:szCs w:val="20"/>
          <w:rtl/>
        </w:rPr>
        <w:t xml:space="preserve">. לפי המידע שהובא מהמאמר “הטרגדיה של אדם גדול” </w:t>
      </w:r>
      <w:proofErr w:type="spellStart"/>
      <w:r>
        <w:rPr>
          <w:sz w:val="20"/>
          <w:szCs w:val="20"/>
          <w:rtl/>
        </w:rPr>
        <w:t>ב“הדואר</w:t>
      </w:r>
      <w:proofErr w:type="spellEnd"/>
      <w:r>
        <w:rPr>
          <w:sz w:val="20"/>
          <w:szCs w:val="20"/>
          <w:rtl/>
        </w:rPr>
        <w:t xml:space="preserve">” על שהות ר׳ </w:t>
      </w:r>
      <w:proofErr w:type="spellStart"/>
      <w:r>
        <w:rPr>
          <w:sz w:val="20"/>
          <w:szCs w:val="20"/>
          <w:rtl/>
        </w:rPr>
        <w:t>יחיאל־יעקב</w:t>
      </w:r>
      <w:proofErr w:type="spellEnd"/>
      <w:r>
        <w:rPr>
          <w:sz w:val="20"/>
          <w:szCs w:val="20"/>
          <w:rtl/>
        </w:rPr>
        <w:t xml:space="preserve"> ויינברג בחורף תרס״ב, לא היה מתחיל בלימוד הרוסית עד פסח תרס״ג, כשכבר היה באמצע שנתו </w:t>
      </w:r>
      <w:proofErr w:type="spellStart"/>
      <w:r>
        <w:rPr>
          <w:sz w:val="20"/>
          <w:szCs w:val="20"/>
          <w:rtl/>
        </w:rPr>
        <w:t>התשע־עשרה</w:t>
      </w:r>
      <w:proofErr w:type="spellEnd"/>
      <w:r>
        <w:rPr>
          <w:sz w:val="20"/>
          <w:szCs w:val="20"/>
          <w:rtl/>
        </w:rPr>
        <w:t xml:space="preserve"> – כלומר, לאחר שנת לימוד רצופה </w:t>
      </w:r>
      <w:proofErr w:type="spellStart"/>
      <w:r>
        <w:rPr>
          <w:sz w:val="20"/>
          <w:szCs w:val="20"/>
          <w:rtl/>
        </w:rPr>
        <w:t>בסלבודקה</w:t>
      </w:r>
      <w:proofErr w:type="spellEnd"/>
      <w:r>
        <w:rPr>
          <w:sz w:val="20"/>
          <w:szCs w:val="20"/>
          <w:rtl/>
        </w:rPr>
        <w:t>.</w:t>
      </w:r>
    </w:p>
  </w:footnote>
  <w:footnote w:id="3758">
    <w:p w14:paraId="162C0C5E" w14:textId="77777777" w:rsidR="00AB3647" w:rsidRDefault="00000000">
      <w:pPr>
        <w:spacing w:after="0" w:before="0"/>
        <w:jc w:val="both"/>
      </w:pPr>
      <w:r>
        <w:rPr>
          <w:sz w:val="20"/>
          <w:szCs w:val="20"/>
          <w:rtl/>
        </w:rPr>
        <w:footnoteRef/>
      </w:r>
      <w:r>
        <w:rPr>
          <w:sz w:val="20"/>
          <w:szCs w:val="20"/>
          <w:rtl/>
        </w:rPr>
        <w:t>. ריאיון מיום 14 ביולי 1999.</w:t>
      </w:r>
    </w:p>
  </w:footnote>
  <w:footnote w:id="3759">
    <w:p w14:paraId="32E32CF8" w14:textId="77777777" w:rsidR="00AB3647" w:rsidRDefault="00000000">
      <w:pPr>
        <w:spacing w:after="0" w:before="0"/>
        <w:jc w:val="both"/>
      </w:pPr>
      <w:r>
        <w:rPr>
          <w:sz w:val="20"/>
          <w:szCs w:val="20"/>
          <w:rtl/>
        </w:rPr>
        <w:footnoteRef/>
      </w:r>
      <w:r>
        <w:rPr>
          <w:sz w:val="20"/>
          <w:szCs w:val="20"/>
          <w:rtl/>
        </w:rPr>
        <w:t xml:space="preserve">. עמ׳ 4 ו־5, מתוך שיחה מוקלטת ומכתב של ר׳ </w:t>
      </w:r>
      <w:proofErr w:type="spellStart"/>
      <w:r>
        <w:rPr>
          <w:sz w:val="20"/>
          <w:szCs w:val="20"/>
          <w:rtl/>
        </w:rPr>
        <w:t>יחיאל־יעקב</w:t>
      </w:r>
      <w:proofErr w:type="spellEnd"/>
      <w:r>
        <w:rPr>
          <w:sz w:val="20"/>
          <w:szCs w:val="20"/>
          <w:rtl/>
        </w:rPr>
        <w:t xml:space="preserve"> ויינברג, בהתאמה.</w:t>
      </w:r>
    </w:p>
  </w:footnote>
  <w:footnote w:id="3760">
    <w:p w14:paraId="5040F01F" w14:textId="77777777" w:rsidR="00AB3647" w:rsidRDefault="00000000">
      <w:pPr>
        <w:spacing w:after="0" w:before="0"/>
        <w:jc w:val="both"/>
      </w:pPr>
      <w:r>
        <w:rPr>
          <w:sz w:val="20"/>
          <w:szCs w:val="20"/>
          <w:rtl/>
        </w:rPr>
        <w:footnoteRef/>
      </w:r>
      <w:r>
        <w:rPr>
          <w:sz w:val="20"/>
          <w:szCs w:val="20"/>
          <w:rtl/>
        </w:rPr>
        <w:t xml:space="preserve">. לפי מאמר ההספד של </w:t>
      </w:r>
      <w:proofErr w:type="spellStart"/>
      <w:r>
        <w:rPr>
          <w:sz w:val="20"/>
          <w:szCs w:val="20"/>
          <w:rtl/>
        </w:rPr>
        <w:t>ה״ל</w:t>
      </w:r>
      <w:proofErr w:type="spellEnd"/>
      <w:r>
        <w:rPr>
          <w:sz w:val="20"/>
          <w:szCs w:val="20"/>
          <w:rtl/>
        </w:rPr>
        <w:t xml:space="preserve"> גורדון </w:t>
      </w:r>
      <w:proofErr w:type="spellStart"/>
      <w:r>
        <w:rPr>
          <w:sz w:val="20"/>
          <w:szCs w:val="20"/>
          <w:rtl/>
        </w:rPr>
        <w:t>ב“הדואר</w:t>
      </w:r>
      <w:proofErr w:type="spellEnd"/>
      <w:r>
        <w:rPr>
          <w:sz w:val="20"/>
          <w:szCs w:val="20"/>
          <w:rtl/>
        </w:rPr>
        <w:t xml:space="preserve">”, לפני שבא </w:t>
      </w:r>
      <w:proofErr w:type="spellStart"/>
      <w:r>
        <w:rPr>
          <w:sz w:val="20"/>
          <w:szCs w:val="20"/>
          <w:rtl/>
        </w:rPr>
        <w:t>לסלבודקה</w:t>
      </w:r>
      <w:proofErr w:type="spellEnd"/>
      <w:r>
        <w:rPr>
          <w:sz w:val="20"/>
          <w:szCs w:val="20"/>
          <w:rtl/>
        </w:rPr>
        <w:t xml:space="preserve"> למד באותה עיר כשנה בקיבוץ בבית המדרש שייסד ר׳ </w:t>
      </w:r>
      <w:proofErr w:type="spellStart"/>
      <w:r>
        <w:rPr>
          <w:sz w:val="20"/>
          <w:szCs w:val="20"/>
          <w:rtl/>
        </w:rPr>
        <w:t>נחומק׳ה</w:t>
      </w:r>
      <w:proofErr w:type="spellEnd"/>
      <w:r>
        <w:rPr>
          <w:sz w:val="20"/>
          <w:szCs w:val="20"/>
          <w:rtl/>
        </w:rPr>
        <w:t xml:space="preserve"> קפלן. הוא גם לימד מדי יום בבית המדרש של בעלי העגלות </w:t>
      </w:r>
      <w:proofErr w:type="spellStart"/>
      <w:r>
        <w:rPr>
          <w:sz w:val="20"/>
          <w:szCs w:val="20"/>
          <w:rtl/>
        </w:rPr>
        <w:t>בגרודנא</w:t>
      </w:r>
      <w:proofErr w:type="spellEnd"/>
      <w:r>
        <w:rPr>
          <w:sz w:val="20"/>
          <w:szCs w:val="20"/>
          <w:rtl/>
        </w:rPr>
        <w:t xml:space="preserve"> ונשא שם דרשה בשבתות, אף שהיה בן </w:t>
      </w:r>
      <w:proofErr w:type="spellStart"/>
      <w:r>
        <w:rPr>
          <w:sz w:val="20"/>
          <w:szCs w:val="20"/>
          <w:rtl/>
        </w:rPr>
        <w:t>שש־עשרה</w:t>
      </w:r>
      <w:proofErr w:type="spellEnd"/>
      <w:r>
        <w:rPr>
          <w:sz w:val="20"/>
          <w:szCs w:val="20"/>
          <w:rtl/>
        </w:rPr>
        <w:t xml:space="preserve"> בלבד.</w:t>
      </w:r>
    </w:p>
  </w:footnote>
  <w:footnote w:id="3761">
    <w:p w14:paraId="6648C0C8" w14:textId="77777777" w:rsidR="00AB3647" w:rsidRDefault="00000000">
      <w:pPr>
        <w:spacing w:after="0" w:before="0"/>
        <w:jc w:val="both"/>
      </w:pPr>
      <w:r>
        <w:rPr>
          <w:sz w:val="20"/>
          <w:szCs w:val="20"/>
          <w:rtl/>
        </w:rPr>
        <w:footnoteRef/>
      </w:r>
      <w:r>
        <w:rPr>
          <w:sz w:val="20"/>
          <w:szCs w:val="20"/>
          <w:rtl/>
        </w:rPr>
        <w:t xml:space="preserve">. ראה הפסקה השלישית בפרק 3.2, וכן פרק 4, הערה 96, שספר יסוד זה היה חביב בישיבת </w:t>
      </w:r>
      <w:proofErr w:type="spellStart"/>
      <w:r>
        <w:rPr>
          <w:sz w:val="20"/>
          <w:szCs w:val="20"/>
          <w:rtl/>
        </w:rPr>
        <w:t>סלבודקה</w:t>
      </w:r>
      <w:proofErr w:type="spellEnd"/>
      <w:r>
        <w:rPr>
          <w:sz w:val="20"/>
          <w:szCs w:val="20"/>
          <w:rtl/>
        </w:rPr>
        <w:t>.</w:t>
      </w:r>
    </w:p>
  </w:footnote>
  <w:footnote w:id="3762">
    <w:p w14:paraId="1018AB99" w14:textId="77777777" w:rsidR="00AB3647" w:rsidRDefault="00000000">
      <w:pPr>
        <w:spacing w:after="0" w:before="0"/>
        <w:jc w:val="both"/>
      </w:pPr>
      <w:r>
        <w:rPr>
          <w:sz w:val="20"/>
          <w:szCs w:val="20"/>
          <w:rtl/>
        </w:rPr>
        <w:footnoteRef/>
      </w:r>
      <w:r>
        <w:rPr>
          <w:sz w:val="20"/>
          <w:szCs w:val="20"/>
          <w:rtl/>
        </w:rPr>
        <w:t xml:space="preserve">. אין ספק שגודלו הרגיל של הספר שהיה מונח לפני ר׳ </w:t>
      </w:r>
      <w:proofErr w:type="spellStart"/>
      <w:r>
        <w:rPr>
          <w:sz w:val="20"/>
          <w:szCs w:val="20"/>
          <w:rtl/>
        </w:rPr>
        <w:t>יחיאל־יעקב</w:t>
      </w:r>
      <w:proofErr w:type="spellEnd"/>
      <w:r>
        <w:rPr>
          <w:sz w:val="20"/>
          <w:szCs w:val="20"/>
          <w:rtl/>
        </w:rPr>
        <w:t xml:space="preserve"> לא הניח מקום לטעות ולחשבו לכרך הגדול של הקצות. כשהעלה הסבא את האפשרות שתלמידו לומד קצות, התבטא בדרך רטורית.</w:t>
      </w:r>
    </w:p>
  </w:footnote>
  <w:footnote w:id="3763">
    <w:p w14:paraId="1D7BD87D" w14:textId="77777777" w:rsidR="00AB3647" w:rsidRDefault="00000000">
      <w:pPr>
        <w:spacing w:after="0" w:before="0"/>
        <w:jc w:val="both"/>
      </w:pPr>
      <w:r>
        <w:rPr>
          <w:sz w:val="20"/>
          <w:szCs w:val="20"/>
          <w:rtl/>
        </w:rPr>
        <w:footnoteRef/>
      </w:r>
      <w:r>
        <w:rPr>
          <w:sz w:val="20"/>
          <w:szCs w:val="20"/>
          <w:rtl/>
        </w:rPr>
        <w:t xml:space="preserve">. השווה עמ׳ ז–ח במאמר הביוגרפי על ר׳ נפתלי שבפתח “חידושי </w:t>
      </w:r>
      <w:proofErr w:type="spellStart"/>
      <w:r>
        <w:rPr>
          <w:sz w:val="20"/>
          <w:szCs w:val="20"/>
          <w:rtl/>
        </w:rPr>
        <w:t>הגרנ״ט</w:t>
      </w:r>
      <w:proofErr w:type="spellEnd"/>
      <w:r>
        <w:rPr>
          <w:sz w:val="20"/>
          <w:szCs w:val="20"/>
          <w:rtl/>
        </w:rPr>
        <w:t xml:space="preserve"> השלם” (המקור הנזכר בפרק 3, הפסקה השנייה של נספח </w:t>
      </w:r>
      <w:proofErr w:type="spellStart"/>
      <w:r>
        <w:rPr>
          <w:sz w:val="20"/>
          <w:szCs w:val="20"/>
          <w:rtl/>
        </w:rPr>
        <w:t>כג</w:t>
      </w:r>
      <w:proofErr w:type="spellEnd"/>
      <w:r>
        <w:rPr>
          <w:sz w:val="20"/>
          <w:szCs w:val="20"/>
          <w:rtl/>
        </w:rPr>
        <w:t xml:space="preserve">); וראה פרק 3, הפסקה השנייה של נספח </w:t>
      </w:r>
      <w:proofErr w:type="spellStart"/>
      <w:r>
        <w:rPr>
          <w:sz w:val="20"/>
          <w:szCs w:val="20"/>
          <w:rtl/>
        </w:rPr>
        <w:t>יז</w:t>
      </w:r>
      <w:proofErr w:type="spellEnd"/>
      <w:r>
        <w:rPr>
          <w:sz w:val="20"/>
          <w:szCs w:val="20"/>
          <w:rtl/>
        </w:rPr>
        <w:t>, להרחבה על ישיבת אור החיים ומייסדה, והפסקה השנייה של נספח ג, להרחבה על ר׳ נפתלי.</w:t>
      </w:r>
    </w:p>
  </w:footnote>
  <w:footnote w:id="3764">
    <w:p w14:paraId="332CE6F6" w14:textId="77777777" w:rsidR="00AB3647" w:rsidRDefault="00000000">
      <w:pPr>
        <w:spacing w:after="0" w:before="0"/>
        <w:jc w:val="both"/>
      </w:pPr>
      <w:r>
        <w:rPr>
          <w:sz w:val="20"/>
          <w:szCs w:val="20"/>
          <w:rtl/>
        </w:rPr>
        <w:footnoteRef/>
      </w:r>
      <w:r>
        <w:rPr>
          <w:sz w:val="20"/>
          <w:szCs w:val="20"/>
          <w:rtl/>
        </w:rPr>
        <w:t xml:space="preserve">. מכתבי ר׳ </w:t>
      </w:r>
      <w:proofErr w:type="spellStart"/>
      <w:r>
        <w:rPr>
          <w:sz w:val="20"/>
          <w:szCs w:val="20"/>
          <w:rtl/>
        </w:rPr>
        <w:t>יחיאל־יעקב</w:t>
      </w:r>
      <w:proofErr w:type="spellEnd"/>
      <w:r>
        <w:rPr>
          <w:sz w:val="20"/>
          <w:szCs w:val="20"/>
          <w:rtl/>
        </w:rPr>
        <w:t xml:space="preserve"> ויינברג שפרסם מרק שפירא (נספח ד לעיל), מיום 24 בפברואר 1960.</w:t>
      </w:r>
    </w:p>
  </w:footnote>
  <w:footnote w:id="3765">
    <w:p w14:paraId="5CA54402" w14:textId="77777777" w:rsidR="00AB3647" w:rsidRDefault="00000000">
      <w:pPr>
        <w:spacing w:after="0" w:before="0"/>
        <w:jc w:val="both"/>
      </w:pPr>
      <w:r>
        <w:rPr>
          <w:sz w:val="20"/>
          <w:szCs w:val="20"/>
          <w:rtl/>
        </w:rPr>
        <w:footnoteRef/>
      </w:r>
      <w:r>
        <w:rPr>
          <w:sz w:val="20"/>
          <w:szCs w:val="20"/>
          <w:rtl/>
        </w:rPr>
        <w:t xml:space="preserve">. ראה את הערת הרב </w:t>
      </w:r>
      <w:proofErr w:type="spellStart"/>
      <w:r>
        <w:rPr>
          <w:sz w:val="20"/>
          <w:szCs w:val="20"/>
          <w:rtl/>
        </w:rPr>
        <w:t>דינובסקי</w:t>
      </w:r>
      <w:proofErr w:type="spellEnd"/>
      <w:r>
        <w:rPr>
          <w:sz w:val="20"/>
          <w:szCs w:val="20"/>
          <w:rtl/>
        </w:rPr>
        <w:t xml:space="preserve"> על לימוד רוסית, המובאת בפרק 5, הערה 45.</w:t>
      </w:r>
    </w:p>
  </w:footnote>
  <w:footnote w:id="3766">
    <w:p w14:paraId="4B2ED5FF" w14:textId="77777777" w:rsidR="00AB3647" w:rsidRDefault="00000000">
      <w:pPr>
        <w:spacing w:after="0" w:before="0"/>
        <w:jc w:val="both"/>
      </w:pPr>
      <w:r>
        <w:rPr>
          <w:sz w:val="20"/>
          <w:szCs w:val="20"/>
          <w:rtl/>
        </w:rPr>
        <w:footnoteRef/>
      </w:r>
      <w:r>
        <w:rPr>
          <w:sz w:val="20"/>
          <w:szCs w:val="20"/>
          <w:rtl/>
        </w:rPr>
        <w:t>. השווה כרך 2.</w:t>
      </w:r>
    </w:p>
  </w:footnote>
  <w:footnote w:id="3767">
    <w:p w14:paraId="5ED4663C" w14:textId="77777777" w:rsidR="00AB3647" w:rsidRDefault="00000000">
      <w:pPr>
        <w:spacing w:after="0" w:before="0"/>
        <w:jc w:val="both"/>
      </w:pPr>
      <w:r>
        <w:rPr>
          <w:sz w:val="20"/>
          <w:szCs w:val="20"/>
          <w:rtl/>
        </w:rPr>
        <w:footnoteRef/>
      </w:r>
      <w:r>
        <w:rPr>
          <w:sz w:val="20"/>
          <w:szCs w:val="20"/>
          <w:rtl/>
        </w:rPr>
        <w:t>. תהלים קט, כד.</w:t>
      </w:r>
    </w:p>
  </w:footnote>
  <w:footnote w:id="3768">
    <w:p w14:paraId="1562FA65" w14:textId="77777777" w:rsidR="00AB3647" w:rsidRDefault="00000000">
      <w:pPr>
        <w:spacing w:after="0" w:before="0"/>
        <w:jc w:val="both"/>
      </w:pPr>
      <w:r>
        <w:rPr>
          <w:sz w:val="20"/>
          <w:szCs w:val="20"/>
          <w:rtl/>
        </w:rPr>
        <w:footnoteRef/>
      </w:r>
      <w:r>
        <w:rPr>
          <w:sz w:val="20"/>
          <w:szCs w:val="20"/>
          <w:rtl/>
        </w:rPr>
        <w:t>. הפסקה השלישית של נספח ב לעיל – עמ׳ 423.</w:t>
      </w:r>
    </w:p>
  </w:footnote>
  <w:footnote w:id="3769">
    <w:p w14:paraId="112CAC11" w14:textId="77777777" w:rsidR="00AB3647" w:rsidRDefault="00000000">
      <w:pPr>
        <w:spacing w:after="0" w:before="0"/>
        <w:jc w:val="both"/>
      </w:pPr>
      <w:r>
        <w:rPr>
          <w:sz w:val="20"/>
          <w:szCs w:val="20"/>
          <w:rtl/>
        </w:rPr>
        <w:footnoteRef/>
      </w:r>
      <w:r>
        <w:rPr>
          <w:sz w:val="20"/>
          <w:szCs w:val="20"/>
          <w:rtl/>
        </w:rPr>
        <w:t>. מתואר שם.</w:t>
      </w:r>
    </w:p>
  </w:footnote>
  <w:footnote w:id="3770">
    <w:p w14:paraId="79D1C491" w14:textId="77777777" w:rsidR="00AB3647" w:rsidRDefault="00000000">
      <w:pPr>
        <w:spacing w:after="0" w:before="0"/>
        <w:jc w:val="both"/>
      </w:pPr>
      <w:r>
        <w:rPr>
          <w:sz w:val="20"/>
          <w:szCs w:val="20"/>
          <w:rtl/>
        </w:rPr>
        <w:footnoteRef/>
      </w:r>
      <w:r>
        <w:rPr>
          <w:sz w:val="20"/>
          <w:szCs w:val="20"/>
          <w:rtl/>
        </w:rPr>
        <w:t>. עמ׳ 315.</w:t>
      </w:r>
    </w:p>
  </w:footnote>
  <w:footnote w:id="3771">
    <w:p w14:paraId="7F6ED7F2" w14:textId="77777777" w:rsidR="00AB3647" w:rsidRDefault="00000000">
      <w:pPr>
        <w:spacing w:after="0" w:before="0"/>
        <w:jc w:val="both"/>
      </w:pPr>
      <w:r>
        <w:rPr>
          <w:sz w:val="20"/>
          <w:szCs w:val="20"/>
          <w:rtl/>
        </w:rPr>
        <w:footnoteRef/>
      </w:r>
      <w:r>
        <w:rPr>
          <w:sz w:val="20"/>
          <w:szCs w:val="20"/>
          <w:rtl/>
        </w:rPr>
        <w:t>. ריאיון מיום 7 בדצמבר 1987.</w:t>
      </w:r>
    </w:p>
  </w:footnote>
  <w:footnote w:id="3772">
    <w:p w14:paraId="5A5F670F" w14:textId="77777777" w:rsidR="00AB3647" w:rsidRDefault="00000000">
      <w:pPr>
        <w:spacing w:after="0" w:before="0"/>
        <w:jc w:val="both"/>
      </w:pPr>
      <w:r>
        <w:rPr>
          <w:sz w:val="20"/>
          <w:szCs w:val="20"/>
          <w:rtl/>
        </w:rPr>
        <w:footnoteRef/>
      </w:r>
      <w:r>
        <w:rPr>
          <w:sz w:val="20"/>
          <w:szCs w:val="20"/>
          <w:rtl/>
        </w:rPr>
        <w:t xml:space="preserve">. עמ׳ מג–מד, במאמר מאת ש. י. </w:t>
      </w:r>
      <w:proofErr w:type="spellStart"/>
      <w:r>
        <w:rPr>
          <w:sz w:val="20"/>
          <w:szCs w:val="20"/>
          <w:rtl/>
        </w:rPr>
        <w:t>ברוידא</w:t>
      </w:r>
      <w:proofErr w:type="spellEnd"/>
      <w:r>
        <w:rPr>
          <w:sz w:val="20"/>
          <w:szCs w:val="20"/>
          <w:rtl/>
        </w:rPr>
        <w:t>.</w:t>
      </w:r>
    </w:p>
  </w:footnote>
  <w:footnote w:id="3773">
    <w:p w14:paraId="190185F0" w14:textId="77777777" w:rsidR="00AB3647" w:rsidRDefault="00000000">
      <w:pPr>
        <w:spacing w:after="0" w:before="0"/>
        <w:jc w:val="both"/>
      </w:pPr>
      <w:r>
        <w:rPr>
          <w:sz w:val="20"/>
          <w:szCs w:val="20"/>
          <w:rtl/>
        </w:rPr>
        <w:footnoteRef/>
      </w:r>
      <w:r>
        <w:rPr>
          <w:sz w:val="20"/>
          <w:szCs w:val="20"/>
          <w:rtl/>
        </w:rPr>
        <w:t>. הערה 3 לעיל – עמ׳ 430.</w:t>
      </w:r>
    </w:p>
  </w:footnote>
  <w:footnote w:id="3774">
    <w:p w14:paraId="6A7C19B5" w14:textId="77777777" w:rsidR="00AB3647" w:rsidRDefault="00000000">
      <w:pPr>
        <w:spacing w:after="0" w:before="0"/>
        <w:jc w:val="both"/>
      </w:pPr>
      <w:r>
        <w:rPr>
          <w:sz w:val="20"/>
          <w:szCs w:val="20"/>
          <w:rtl/>
        </w:rPr>
        <w:footnoteRef/>
      </w:r>
      <w:r>
        <w:rPr>
          <w:sz w:val="20"/>
          <w:szCs w:val="20"/>
          <w:rtl/>
        </w:rPr>
        <w:t>. עמ׳ 308–309.</w:t>
      </w:r>
    </w:p>
  </w:footnote>
  <w:footnote w:id="3775">
    <w:p w14:paraId="35F32692" w14:textId="77777777" w:rsidR="00AB3647" w:rsidRDefault="00000000">
      <w:pPr>
        <w:spacing w:after="0" w:before="0"/>
        <w:jc w:val="both"/>
      </w:pPr>
      <w:r>
        <w:rPr>
          <w:sz w:val="20"/>
          <w:szCs w:val="20"/>
          <w:rtl/>
        </w:rPr>
        <w:footnoteRef/>
      </w:r>
      <w:r>
        <w:rPr>
          <w:sz w:val="20"/>
          <w:szCs w:val="20"/>
          <w:rtl/>
        </w:rPr>
        <w:t>. שם.</w:t>
      </w:r>
    </w:p>
  </w:footnote>
  <w:footnote w:id="3776">
    <w:p w14:paraId="4C1B8582" w14:textId="77777777" w:rsidR="00AB3647" w:rsidRDefault="00000000">
      <w:pPr>
        <w:spacing w:after="0" w:before="0"/>
        <w:jc w:val="both"/>
      </w:pPr>
      <w:r>
        <w:rPr>
          <w:sz w:val="20"/>
          <w:szCs w:val="20"/>
          <w:rtl/>
        </w:rPr>
        <w:footnoteRef/>
      </w:r>
      <w:r>
        <w:rPr>
          <w:sz w:val="20"/>
          <w:szCs w:val="20"/>
          <w:rtl/>
        </w:rPr>
        <w:t>. המקור הנזכר בפרק 2, נספח ב – עמ׳ 316.</w:t>
      </w:r>
    </w:p>
  </w:footnote>
  <w:footnote w:id="3777">
    <w:p w14:paraId="56DD973B" w14:textId="77777777" w:rsidR="00AB3647" w:rsidRDefault="00000000">
      <w:pPr>
        <w:spacing w:after="0" w:before="0"/>
        <w:jc w:val="both"/>
      </w:pPr>
      <w:r>
        <w:rPr>
          <w:sz w:val="20"/>
          <w:szCs w:val="20"/>
          <w:rtl/>
        </w:rPr>
        <w:footnoteRef/>
      </w:r>
      <w:r>
        <w:rPr>
          <w:sz w:val="20"/>
          <w:szCs w:val="20"/>
          <w:rtl/>
        </w:rPr>
        <w:t xml:space="preserve">. כפי שנתבאר בפרק 3, הערה 51, השפיעו על תלמידי </w:t>
      </w:r>
      <w:proofErr w:type="spellStart"/>
      <w:r>
        <w:rPr>
          <w:sz w:val="20"/>
          <w:szCs w:val="20"/>
          <w:rtl/>
        </w:rPr>
        <w:t>סלבודקה</w:t>
      </w:r>
      <w:proofErr w:type="spellEnd"/>
      <w:r>
        <w:rPr>
          <w:sz w:val="20"/>
          <w:szCs w:val="20"/>
          <w:rtl/>
        </w:rPr>
        <w:t xml:space="preserve"> שלא לראות בעין טובה את גיבור המוסר הזה, ר׳ יוזל.</w:t>
      </w:r>
    </w:p>
  </w:footnote>
  <w:footnote w:id="3778">
    <w:p w14:paraId="0DFF857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החפץ־חיים</w:t>
      </w:r>
      <w:proofErr w:type="spellEnd"/>
      <w:r>
        <w:rPr>
          <w:sz w:val="20"/>
          <w:szCs w:val="20"/>
          <w:rtl/>
        </w:rPr>
        <w:t xml:space="preserve"> השתמש בדימוי משונה. אי אפשר לומר שניבא את אושוויץ והאשים את המשכילים באסון היהודי, מפני שיהודים יראים ואוהבי מוסר לא פחות ממשכילים נעשו לאותה “ערמת אפר”. מוכרח שהתכוון למלאכי ג, כ–</w:t>
      </w:r>
      <w:proofErr w:type="spellStart"/>
      <w:r>
        <w:rPr>
          <w:sz w:val="20"/>
          <w:szCs w:val="20"/>
          <w:rtl/>
        </w:rPr>
        <w:t>כא</w:t>
      </w:r>
      <w:proofErr w:type="spellEnd"/>
      <w:r>
        <w:rPr>
          <w:sz w:val="20"/>
          <w:szCs w:val="20"/>
          <w:rtl/>
        </w:rPr>
        <w:t>, שבו עומדים “יראי שמי” כנגד הרשעים, שיהיו “אפר תחת כפות רגליכם”.</w:t>
      </w:r>
    </w:p>
  </w:footnote>
  <w:footnote w:id="3779">
    <w:p w14:paraId="1EAF96DF" w14:textId="77777777" w:rsidR="00AB3647" w:rsidRDefault="00000000">
      <w:pPr>
        <w:spacing w:after="0" w:before="0"/>
        <w:jc w:val="both"/>
      </w:pPr>
      <w:r>
        <w:rPr>
          <w:sz w:val="20"/>
          <w:szCs w:val="20"/>
          <w:rtl/>
        </w:rPr>
        <w:footnoteRef/>
      </w:r>
      <w:r>
        <w:rPr>
          <w:sz w:val="20"/>
          <w:szCs w:val="20"/>
          <w:rtl/>
        </w:rPr>
        <w:t xml:space="preserve">. “לימודי מוסרי התורה מאת וכו׳ מרן ירוחם הלוי </w:t>
      </w:r>
      <w:proofErr w:type="spellStart"/>
      <w:r>
        <w:rPr>
          <w:sz w:val="20"/>
          <w:szCs w:val="20"/>
          <w:rtl/>
        </w:rPr>
        <w:t>ליוואוויץ</w:t>
      </w:r>
      <w:proofErr w:type="spellEnd"/>
      <w:r>
        <w:rPr>
          <w:sz w:val="20"/>
          <w:szCs w:val="20"/>
          <w:rtl/>
        </w:rPr>
        <w:t xml:space="preserve">” – כרך א,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w:t>
      </w:r>
    </w:p>
  </w:footnote>
  <w:footnote w:id="3780">
    <w:p w14:paraId="513BB9C9" w14:textId="77777777" w:rsidR="00AB3647" w:rsidRDefault="00000000">
      <w:pPr>
        <w:spacing w:after="0" w:before="0"/>
        <w:jc w:val="both"/>
      </w:pPr>
      <w:r>
        <w:rPr>
          <w:sz w:val="20"/>
          <w:szCs w:val="20"/>
          <w:rtl/>
        </w:rPr>
        <w:footnoteRef/>
      </w:r>
      <w:r>
        <w:rPr>
          <w:sz w:val="20"/>
          <w:szCs w:val="20"/>
          <w:rtl/>
        </w:rPr>
        <w:t>. השווה סוף הערה 41 לעיל.</w:t>
      </w:r>
    </w:p>
  </w:footnote>
  <w:footnote w:id="3781">
    <w:p w14:paraId="7B532683" w14:textId="77777777" w:rsidR="00AB3647" w:rsidRDefault="00000000">
      <w:pPr>
        <w:spacing w:after="0" w:before="0"/>
        <w:jc w:val="both"/>
      </w:pPr>
      <w:r>
        <w:rPr>
          <w:sz w:val="20"/>
          <w:szCs w:val="20"/>
          <w:rtl/>
        </w:rPr>
        <w:footnoteRef/>
      </w:r>
      <w:r>
        <w:rPr>
          <w:sz w:val="20"/>
          <w:szCs w:val="20"/>
          <w:rtl/>
        </w:rPr>
        <w:t>. עמ׳ טו.</w:t>
      </w:r>
    </w:p>
  </w:footnote>
  <w:footnote w:id="3782">
    <w:p w14:paraId="3FF96F45" w14:textId="77777777" w:rsidR="00AB3647" w:rsidRDefault="00000000">
      <w:pPr>
        <w:spacing w:after="0" w:before="0"/>
        <w:jc w:val="both"/>
      </w:pPr>
      <w:r>
        <w:rPr>
          <w:sz w:val="20"/>
          <w:szCs w:val="20"/>
          <w:rtl/>
        </w:rPr>
        <w:footnoteRef/>
      </w:r>
      <w:r>
        <w:rPr>
          <w:sz w:val="20"/>
          <w:szCs w:val="20"/>
          <w:rtl/>
        </w:rPr>
        <w:t>. הרב קוטלר אמר זאת באירוסי נכד הסבא בירושלים בט״ז בשבט תשכ״ב, ור׳ הלל זקס חזר על הדברים במעמד ציבורי לכבוד נכדו של ר׳ אהרן, ר׳ מלכיאל קוטלר.</w:t>
      </w:r>
    </w:p>
  </w:footnote>
  <w:footnote w:id="3783">
    <w:p w14:paraId="5F2E7152" w14:textId="77777777" w:rsidR="00AB3647" w:rsidRDefault="00000000">
      <w:pPr>
        <w:spacing w:after="0" w:before="0"/>
        <w:jc w:val="both"/>
      </w:pPr>
      <w:r>
        <w:rPr>
          <w:sz w:val="20"/>
          <w:szCs w:val="20"/>
          <w:rtl/>
        </w:rPr>
        <w:footnoteRef/>
      </w:r>
      <w:r>
        <w:rPr>
          <w:sz w:val="20"/>
          <w:szCs w:val="20"/>
          <w:rtl/>
        </w:rPr>
        <w:t xml:space="preserve">. הריאיון המוקלט על הסבא </w:t>
      </w:r>
      <w:proofErr w:type="spellStart"/>
      <w:r>
        <w:rPr>
          <w:sz w:val="20"/>
          <w:szCs w:val="20"/>
          <w:rtl/>
        </w:rPr>
        <w:t>מסלבודקה</w:t>
      </w:r>
      <w:proofErr w:type="spellEnd"/>
      <w:r>
        <w:rPr>
          <w:sz w:val="20"/>
          <w:szCs w:val="20"/>
          <w:rtl/>
        </w:rPr>
        <w:t xml:space="preserve"> – הערה 1 לעיל.</w:t>
      </w:r>
    </w:p>
  </w:footnote>
  <w:footnote w:id="3784">
    <w:p w14:paraId="13BE4D07" w14:textId="77777777" w:rsidR="00AB3647" w:rsidRDefault="00000000">
      <w:pPr>
        <w:spacing w:after="0" w:before="0"/>
        <w:jc w:val="both"/>
      </w:pPr>
      <w:r>
        <w:rPr>
          <w:sz w:val="20"/>
          <w:szCs w:val="20"/>
          <w:rtl/>
        </w:rPr>
        <w:footnoteRef/>
      </w:r>
      <w:r>
        <w:rPr>
          <w:sz w:val="20"/>
          <w:szCs w:val="20"/>
          <w:rtl/>
        </w:rPr>
        <w:t xml:space="preserve">. ריאיון מיום 21 בפברואר 1999. הרב ברים שימש ראש ישיבה בניו </w:t>
      </w:r>
      <w:proofErr w:type="spellStart"/>
      <w:r>
        <w:rPr>
          <w:sz w:val="20"/>
          <w:szCs w:val="20"/>
          <w:rtl/>
        </w:rPr>
        <w:t>סקוור</w:t>
      </w:r>
      <w:proofErr w:type="spellEnd"/>
      <w:r>
        <w:rPr>
          <w:sz w:val="20"/>
          <w:szCs w:val="20"/>
          <w:rtl/>
        </w:rPr>
        <w:t xml:space="preserve"> חמש שנים, תשל״ז–תשמ״ב. ניו </w:t>
      </w:r>
      <w:proofErr w:type="spellStart"/>
      <w:r>
        <w:rPr>
          <w:sz w:val="20"/>
          <w:szCs w:val="20"/>
          <w:rtl/>
        </w:rPr>
        <w:t>סקוור</w:t>
      </w:r>
      <w:proofErr w:type="spellEnd"/>
      <w:r>
        <w:rPr>
          <w:sz w:val="20"/>
          <w:szCs w:val="20"/>
          <w:rtl/>
        </w:rPr>
        <w:t xml:space="preserve"> היא עיירה סמוכה </w:t>
      </w:r>
      <w:proofErr w:type="spellStart"/>
      <w:r>
        <w:rPr>
          <w:sz w:val="20"/>
          <w:szCs w:val="20"/>
          <w:rtl/>
        </w:rPr>
        <w:t>למונסי</w:t>
      </w:r>
      <w:proofErr w:type="spellEnd"/>
      <w:r>
        <w:rPr>
          <w:sz w:val="20"/>
          <w:szCs w:val="20"/>
          <w:rtl/>
        </w:rPr>
        <w:t xml:space="preserve">, שבה התגורר אבי </w:t>
      </w:r>
      <w:proofErr w:type="spellStart"/>
      <w:r>
        <w:rPr>
          <w:sz w:val="20"/>
          <w:szCs w:val="20"/>
          <w:rtl/>
        </w:rPr>
        <w:t>בתשע־עשרה</w:t>
      </w:r>
      <w:proofErr w:type="spellEnd"/>
      <w:r>
        <w:rPr>
          <w:sz w:val="20"/>
          <w:szCs w:val="20"/>
          <w:rtl/>
        </w:rPr>
        <w:t xml:space="preserve"> שנותיו האחרונות.</w:t>
      </w:r>
    </w:p>
  </w:footnote>
  <w:footnote w:id="3785">
    <w:p w14:paraId="069DD126" w14:textId="77777777" w:rsidR="00AB3647" w:rsidRDefault="00000000">
      <w:pPr>
        <w:spacing w:after="0" w:before="0"/>
        <w:jc w:val="both"/>
      </w:pPr>
      <w:r>
        <w:rPr>
          <w:sz w:val="20"/>
          <w:szCs w:val="20"/>
          <w:rtl/>
        </w:rPr>
        <w:footnoteRef/>
      </w:r>
      <w:r>
        <w:rPr>
          <w:sz w:val="20"/>
          <w:szCs w:val="20"/>
          <w:rtl/>
        </w:rPr>
        <w:t>. השווה פרק 2, הערה 85.</w:t>
      </w:r>
    </w:p>
  </w:footnote>
  <w:footnote w:id="3786">
    <w:p w14:paraId="6F6D5CD8" w14:textId="77777777" w:rsidR="00AB3647" w:rsidRDefault="00000000">
      <w:pPr>
        <w:spacing w:after="0" w:before="0"/>
        <w:jc w:val="both"/>
      </w:pPr>
      <w:r>
        <w:rPr>
          <w:sz w:val="20"/>
          <w:szCs w:val="20"/>
          <w:rtl/>
        </w:rPr>
        <w:footnoteRef/>
      </w:r>
      <w:r>
        <w:rPr>
          <w:sz w:val="20"/>
          <w:szCs w:val="20"/>
          <w:rtl/>
        </w:rPr>
        <w:t>. בשיחה איתי בכ״ח בטבת תשמ״ז.</w:t>
      </w:r>
    </w:p>
  </w:footnote>
  <w:footnote w:id="3787">
    <w:p w14:paraId="518FB398" w14:textId="77777777" w:rsidR="00AB3647" w:rsidRDefault="00000000">
      <w:pPr>
        <w:spacing w:after="0" w:before="0"/>
        <w:jc w:val="both"/>
      </w:pPr>
      <w:r>
        <w:rPr>
          <w:sz w:val="20"/>
          <w:szCs w:val="20"/>
          <w:rtl/>
        </w:rPr>
        <w:footnoteRef/>
      </w:r>
      <w:r>
        <w:rPr>
          <w:sz w:val="20"/>
          <w:szCs w:val="20"/>
          <w:rtl/>
        </w:rPr>
        <w:t xml:space="preserve">. לפרטים נוספים על מפעל צדקה זה, השווה עמ׳ 494–495 </w:t>
      </w:r>
      <w:proofErr w:type="spellStart"/>
      <w:r>
        <w:rPr>
          <w:sz w:val="20"/>
          <w:szCs w:val="20"/>
          <w:rtl/>
        </w:rPr>
        <w:t>ב“בני</w:t>
      </w:r>
      <w:proofErr w:type="spellEnd"/>
      <w:r>
        <w:rPr>
          <w:sz w:val="20"/>
          <w:szCs w:val="20"/>
          <w:rtl/>
        </w:rPr>
        <w:t xml:space="preserve"> רייכמן” מאת אנתוני </w:t>
      </w:r>
      <w:proofErr w:type="spellStart"/>
      <w:r>
        <w:rPr>
          <w:sz w:val="20"/>
          <w:szCs w:val="20"/>
          <w:rtl/>
        </w:rPr>
        <w:t>ביאנקו</w:t>
      </w:r>
      <w:proofErr w:type="spellEnd"/>
      <w:r>
        <w:rPr>
          <w:sz w:val="20"/>
          <w:szCs w:val="20"/>
          <w:rtl/>
        </w:rPr>
        <w:t xml:space="preserve"> (</w:t>
      </w:r>
      <w:proofErr w:type="spellStart"/>
      <w:r>
        <w:rPr>
          <w:sz w:val="20"/>
          <w:szCs w:val="20"/>
          <w:rtl/>
        </w:rPr>
        <w:t>רנדום</w:t>
      </w:r>
      <w:proofErr w:type="spellEnd"/>
      <w:r>
        <w:rPr>
          <w:sz w:val="20"/>
          <w:szCs w:val="20"/>
          <w:rtl/>
        </w:rPr>
        <w:t xml:space="preserve"> האוס, ניו יורק, 1997).</w:t>
      </w:r>
    </w:p>
  </w:footnote>
  <w:footnote w:id="3788">
    <w:p w14:paraId="10E9A211" w14:textId="77777777" w:rsidR="00AB3647" w:rsidRDefault="00000000">
      <w:pPr>
        <w:spacing w:after="0" w:before="0"/>
        <w:jc w:val="both"/>
      </w:pPr>
      <w:r>
        <w:rPr>
          <w:sz w:val="20"/>
          <w:szCs w:val="20"/>
          <w:rtl/>
        </w:rPr>
        <w:footnoteRef/>
      </w:r>
      <w:r>
        <w:rPr>
          <w:sz w:val="20"/>
          <w:szCs w:val="20"/>
          <w:rtl/>
        </w:rPr>
        <w:t>. השווה פרק 3, נספח א.</w:t>
      </w:r>
    </w:p>
  </w:footnote>
  <w:footnote w:id="3789">
    <w:p w14:paraId="6DFB2377" w14:textId="77777777" w:rsidR="00AB3647" w:rsidRDefault="00000000">
      <w:pPr>
        <w:spacing w:after="0" w:before="0"/>
        <w:jc w:val="both"/>
      </w:pPr>
      <w:r>
        <w:rPr>
          <w:sz w:val="20"/>
          <w:szCs w:val="20"/>
          <w:rtl/>
        </w:rPr>
        <w:footnoteRef/>
      </w:r>
      <w:r>
        <w:rPr>
          <w:sz w:val="20"/>
          <w:szCs w:val="20"/>
          <w:rtl/>
        </w:rPr>
        <w:t xml:space="preserve">. ראוי לשקול אם דעת ר׳ </w:t>
      </w:r>
      <w:proofErr w:type="spellStart"/>
      <w:r>
        <w:rPr>
          <w:sz w:val="20"/>
          <w:szCs w:val="20"/>
          <w:rtl/>
        </w:rPr>
        <w:t>אלעזר־מנחם־מן</w:t>
      </w:r>
      <w:proofErr w:type="spellEnd"/>
      <w:r>
        <w:rPr>
          <w:sz w:val="20"/>
          <w:szCs w:val="20"/>
          <w:rtl/>
        </w:rPr>
        <w:t xml:space="preserve"> שך על לחמן סותרת את דעת ר׳ חיים </w:t>
      </w:r>
      <w:proofErr w:type="spellStart"/>
      <w:r>
        <w:rPr>
          <w:sz w:val="20"/>
          <w:szCs w:val="20"/>
          <w:rtl/>
        </w:rPr>
        <w:t>סולובייצ׳יק</w:t>
      </w:r>
      <w:proofErr w:type="spellEnd"/>
      <w:r>
        <w:rPr>
          <w:sz w:val="20"/>
          <w:szCs w:val="20"/>
          <w:rtl/>
        </w:rPr>
        <w:t>, המובאת בשמו בפרק 3, אמצע הפסקה השלישית של נספח כה.</w:t>
      </w:r>
    </w:p>
  </w:footnote>
  <w:footnote w:id="3790">
    <w:p w14:paraId="568C7C66" w14:textId="77777777" w:rsidR="00AB3647" w:rsidRDefault="00000000">
      <w:pPr>
        <w:spacing w:after="0" w:before="0"/>
        <w:jc w:val="both"/>
      </w:pPr>
      <w:r>
        <w:rPr>
          <w:sz w:val="20"/>
          <w:szCs w:val="20"/>
          <w:rtl/>
        </w:rPr>
        <w:footnoteRef/>
      </w:r>
      <w:r>
        <w:rPr>
          <w:sz w:val="20"/>
          <w:szCs w:val="20"/>
          <w:rtl/>
        </w:rPr>
        <w:t>. פול רייכמן עצמו המעיט בחלקו בהבטחת “קיום כל התורה” כשאמר, לפי “בני רייכמן”, עמ׳ 496: “אכן עזרנו מאוד במצבים רבים... אבל במבט כולל איני מאמין שהשפעתנו הייתה כה גדולה: קשה להעריך את השפעת השקעתנו במטרה שיש לה תומכים כה רבים”.</w:t>
      </w:r>
    </w:p>
  </w:footnote>
  <w:footnote w:id="3791">
    <w:p w14:paraId="668D2BBF" w14:textId="77777777" w:rsidR="00AB3647" w:rsidRDefault="00000000">
      <w:pPr>
        <w:spacing w:after="0" w:before="0"/>
        <w:jc w:val="both"/>
      </w:pPr>
      <w:r>
        <w:rPr>
          <w:sz w:val="20"/>
          <w:szCs w:val="20"/>
          <w:rtl/>
        </w:rPr>
        <w:footnoteRef/>
      </w:r>
      <w:r>
        <w:rPr>
          <w:sz w:val="20"/>
          <w:szCs w:val="20"/>
          <w:rtl/>
        </w:rPr>
        <w:t xml:space="preserve">. הצטערתי אחר כך שלא שאלתי את ר׳ </w:t>
      </w:r>
      <w:proofErr w:type="spellStart"/>
      <w:r>
        <w:rPr>
          <w:sz w:val="20"/>
          <w:szCs w:val="20"/>
          <w:rtl/>
        </w:rPr>
        <w:t>אלעזר־מנחם־מן</w:t>
      </w:r>
      <w:proofErr w:type="spellEnd"/>
      <w:r>
        <w:rPr>
          <w:sz w:val="20"/>
          <w:szCs w:val="20"/>
          <w:rtl/>
        </w:rPr>
        <w:t xml:space="preserve"> שך מה היה המקור המדויק.</w:t>
      </w:r>
    </w:p>
  </w:footnote>
  <w:footnote w:id="3792">
    <w:p w14:paraId="50D41E4B" w14:textId="77777777" w:rsidR="00AB3647" w:rsidRDefault="00000000">
      <w:pPr>
        <w:spacing w:after="0" w:before="0"/>
        <w:jc w:val="both"/>
      </w:pPr>
      <w:r>
        <w:rPr>
          <w:sz w:val="20"/>
          <w:szCs w:val="20"/>
          <w:rtl/>
        </w:rPr>
        <w:footnoteRef/>
      </w:r>
      <w:r>
        <w:rPr>
          <w:sz w:val="20"/>
          <w:szCs w:val="20"/>
          <w:rtl/>
        </w:rPr>
        <w:t>. ריאיון מיום 1 בינואר 1987.</w:t>
      </w:r>
    </w:p>
  </w:footnote>
  <w:footnote w:id="3793">
    <w:p w14:paraId="749B1044" w14:textId="77777777" w:rsidR="00AB3647" w:rsidRDefault="00000000">
      <w:pPr>
        <w:spacing w:after="0" w:before="0"/>
        <w:jc w:val="both"/>
      </w:pPr>
      <w:r>
        <w:rPr>
          <w:sz w:val="20"/>
          <w:szCs w:val="20"/>
          <w:rtl/>
        </w:rPr>
        <w:footnoteRef/>
      </w:r>
      <w:r>
        <w:rPr>
          <w:sz w:val="20"/>
          <w:szCs w:val="20"/>
          <w:rtl/>
        </w:rPr>
        <w:t>. ריאיון מיום 30 ביולי 1995.</w:t>
      </w:r>
    </w:p>
  </w:footnote>
  <w:footnote w:id="3794">
    <w:p w14:paraId="7BCBE58E" w14:textId="77777777" w:rsidR="00AB3647" w:rsidRDefault="00000000">
      <w:pPr>
        <w:spacing w:after="0" w:before="0"/>
        <w:jc w:val="both"/>
      </w:pPr>
      <w:r>
        <w:rPr>
          <w:sz w:val="20"/>
          <w:szCs w:val="20"/>
          <w:rtl/>
        </w:rPr>
        <w:footnoteRef/>
      </w:r>
      <w:r>
        <w:rPr>
          <w:sz w:val="20"/>
          <w:szCs w:val="20"/>
          <w:rtl/>
        </w:rPr>
        <w:t>. השווה פרק 2, הערה 80, על דעת אבי שמחלוקות בהשקפה אינן צריכות להשפיע על יחסים בין בני אדם.</w:t>
      </w:r>
    </w:p>
  </w:footnote>
  <w:footnote w:id="3795">
    <w:p w14:paraId="5832654E" w14:textId="77777777" w:rsidR="00AB3647" w:rsidRDefault="00000000">
      <w:pPr>
        <w:spacing w:after="0" w:before="0"/>
        <w:jc w:val="both"/>
      </w:pPr>
      <w:r>
        <w:rPr>
          <w:sz w:val="20"/>
          <w:szCs w:val="20"/>
          <w:rtl/>
        </w:rPr>
        <w:footnoteRef/>
      </w:r>
      <w:r>
        <w:rPr>
          <w:sz w:val="20"/>
          <w:szCs w:val="20"/>
          <w:rtl/>
        </w:rPr>
        <w:t>. המקור הנזכר בפרק 2, הערה 20.</w:t>
      </w:r>
    </w:p>
  </w:footnote>
  <w:footnote w:id="3796">
    <w:p w14:paraId="206550C2" w14:textId="77777777" w:rsidR="00AB3647" w:rsidRDefault="00000000">
      <w:pPr>
        <w:spacing w:after="0" w:before="0"/>
        <w:jc w:val="both"/>
      </w:pPr>
      <w:r>
        <w:rPr>
          <w:sz w:val="20"/>
          <w:szCs w:val="20"/>
          <w:rtl/>
        </w:rPr>
        <w:footnoteRef/>
      </w:r>
      <w:r>
        <w:rPr>
          <w:sz w:val="20"/>
          <w:szCs w:val="20"/>
          <w:rtl/>
        </w:rPr>
        <w:t>. המקור הנזכר בפרק 3, נספח א.</w:t>
      </w:r>
    </w:p>
  </w:footnote>
  <w:footnote w:id="3797">
    <w:p w14:paraId="69D7D9C5" w14:textId="77777777" w:rsidR="00AB3647" w:rsidRDefault="00000000">
      <w:pPr>
        <w:spacing w:after="0" w:before="0"/>
        <w:jc w:val="both"/>
      </w:pPr>
      <w:r>
        <w:rPr>
          <w:sz w:val="20"/>
          <w:szCs w:val="20"/>
          <w:rtl/>
        </w:rPr>
        <w:footnoteRef/>
      </w:r>
      <w:r>
        <w:rPr>
          <w:sz w:val="20"/>
          <w:szCs w:val="20"/>
          <w:rtl/>
        </w:rPr>
        <w:t xml:space="preserve">. כותרתו “הערות ומילואים לקורות ספרי רבנו </w:t>
      </w:r>
      <w:proofErr w:type="spellStart"/>
      <w:r>
        <w:rPr>
          <w:sz w:val="20"/>
          <w:szCs w:val="20"/>
          <w:rtl/>
        </w:rPr>
        <w:t>הגר״א</w:t>
      </w:r>
      <w:proofErr w:type="spellEnd"/>
      <w:r>
        <w:rPr>
          <w:sz w:val="20"/>
          <w:szCs w:val="20"/>
          <w:rtl/>
        </w:rPr>
        <w:t xml:space="preserve"> ז״ל”, והוא נדפס </w:t>
      </w:r>
      <w:proofErr w:type="spellStart"/>
      <w:r>
        <w:rPr>
          <w:sz w:val="20"/>
          <w:szCs w:val="20"/>
          <w:rtl/>
        </w:rPr>
        <w:t>ב“תלפיות</w:t>
      </w:r>
      <w:proofErr w:type="spellEnd"/>
      <w:r>
        <w:rPr>
          <w:sz w:val="20"/>
          <w:szCs w:val="20"/>
          <w:rtl/>
        </w:rPr>
        <w:t xml:space="preserve">”, שמוציאה לאור ישיבה </w:t>
      </w:r>
      <w:proofErr w:type="spellStart"/>
      <w:r>
        <w:rPr>
          <w:sz w:val="20"/>
          <w:szCs w:val="20"/>
          <w:rtl/>
        </w:rPr>
        <w:t>יוניברסיטי</w:t>
      </w:r>
      <w:proofErr w:type="spellEnd"/>
      <w:r>
        <w:rPr>
          <w:sz w:val="20"/>
          <w:szCs w:val="20"/>
          <w:rtl/>
        </w:rPr>
        <w:t xml:space="preserve"> בניו יורק, תשי״א – עמ׳ 358–359. ר׳ </w:t>
      </w:r>
      <w:proofErr w:type="spellStart"/>
      <w:r>
        <w:rPr>
          <w:sz w:val="20"/>
          <w:szCs w:val="20"/>
          <w:rtl/>
        </w:rPr>
        <w:t>צבי־הירש</w:t>
      </w:r>
      <w:proofErr w:type="spellEnd"/>
      <w:r>
        <w:rPr>
          <w:sz w:val="20"/>
          <w:szCs w:val="20"/>
          <w:rtl/>
        </w:rPr>
        <w:t xml:space="preserve"> פרבר נולד </w:t>
      </w:r>
      <w:proofErr w:type="spellStart"/>
      <w:r>
        <w:rPr>
          <w:sz w:val="20"/>
          <w:szCs w:val="20"/>
          <w:rtl/>
        </w:rPr>
        <w:t>בתרמ״ג</w:t>
      </w:r>
      <w:proofErr w:type="spellEnd"/>
      <w:r>
        <w:rPr>
          <w:sz w:val="20"/>
          <w:szCs w:val="20"/>
          <w:rtl/>
        </w:rPr>
        <w:t xml:space="preserve"> ועבר לאנגליה </w:t>
      </w:r>
      <w:proofErr w:type="spellStart"/>
      <w:r>
        <w:rPr>
          <w:sz w:val="20"/>
          <w:szCs w:val="20"/>
          <w:rtl/>
        </w:rPr>
        <w:t>בתרע״א</w:t>
      </w:r>
      <w:proofErr w:type="spellEnd"/>
      <w:r>
        <w:rPr>
          <w:sz w:val="20"/>
          <w:szCs w:val="20"/>
          <w:rtl/>
        </w:rPr>
        <w:t>–תרע״ב, לפי “יחל” (המקור הנזכר בפרק 3, הערה 9), כרך ג, עמ׳ 79.</w:t>
      </w:r>
    </w:p>
  </w:footnote>
  <w:footnote w:id="3798">
    <w:p w14:paraId="18CA5CB8" w14:textId="77777777" w:rsidR="00AB3647" w:rsidRDefault="00000000">
      <w:pPr>
        <w:spacing w:after="0" w:before="0"/>
        <w:jc w:val="both"/>
      </w:pPr>
      <w:r>
        <w:rPr>
          <w:sz w:val="20"/>
          <w:szCs w:val="20"/>
          <w:rtl/>
        </w:rPr>
        <w:footnoteRef/>
      </w:r>
      <w:r>
        <w:rPr>
          <w:sz w:val="20"/>
          <w:szCs w:val="20"/>
          <w:rtl/>
        </w:rPr>
        <w:t xml:space="preserve">. מכתבו של ר׳ </w:t>
      </w:r>
      <w:proofErr w:type="spellStart"/>
      <w:r>
        <w:rPr>
          <w:sz w:val="20"/>
          <w:szCs w:val="20"/>
          <w:rtl/>
        </w:rPr>
        <w:t>צבי־הירש</w:t>
      </w:r>
      <w:proofErr w:type="spellEnd"/>
      <w:r>
        <w:rPr>
          <w:sz w:val="20"/>
          <w:szCs w:val="20"/>
          <w:rtl/>
        </w:rPr>
        <w:t xml:space="preserve"> פרבר נדפס עם הערות בכותרת “דרכו והנהגתו של בעל </w:t>
      </w:r>
      <w:proofErr w:type="spellStart"/>
      <w:r>
        <w:rPr>
          <w:sz w:val="20"/>
          <w:szCs w:val="20"/>
          <w:rtl/>
        </w:rPr>
        <w:t>ה‘לשם</w:t>
      </w:r>
      <w:proofErr w:type="spellEnd"/>
      <w:r>
        <w:rPr>
          <w:sz w:val="20"/>
          <w:szCs w:val="20"/>
          <w:rtl/>
        </w:rPr>
        <w:t xml:space="preserve"> שבו ואחלמה’”, </w:t>
      </w:r>
      <w:proofErr w:type="spellStart"/>
      <w:r>
        <w:rPr>
          <w:sz w:val="20"/>
          <w:szCs w:val="20"/>
          <w:rtl/>
        </w:rPr>
        <w:t>ב“ישורון</w:t>
      </w:r>
      <w:proofErr w:type="spellEnd"/>
      <w:r>
        <w:rPr>
          <w:sz w:val="20"/>
          <w:szCs w:val="20"/>
          <w:rtl/>
        </w:rPr>
        <w:t xml:space="preserve">”, גיליון ניסן תשנ״ט (יו״ל על ידי מכון “ישורון”, ניו יורק–ירושלים), עמ׳ </w:t>
      </w:r>
      <w:proofErr w:type="spellStart"/>
      <w:r>
        <w:rPr>
          <w:sz w:val="20"/>
          <w:szCs w:val="20"/>
          <w:rtl/>
        </w:rPr>
        <w:t>תרסא</w:t>
      </w:r>
      <w:proofErr w:type="spellEnd"/>
      <w:r>
        <w:rPr>
          <w:sz w:val="20"/>
          <w:szCs w:val="20"/>
          <w:rtl/>
        </w:rPr>
        <w:t>–</w:t>
      </w:r>
      <w:proofErr w:type="spellStart"/>
      <w:r>
        <w:rPr>
          <w:sz w:val="20"/>
          <w:szCs w:val="20"/>
          <w:rtl/>
        </w:rPr>
        <w:t>תרסה</w:t>
      </w:r>
      <w:proofErr w:type="spellEnd"/>
      <w:r>
        <w:rPr>
          <w:sz w:val="20"/>
          <w:szCs w:val="20"/>
          <w:rtl/>
        </w:rPr>
        <w:t>. ראה אות ד שם.</w:t>
      </w:r>
    </w:p>
  </w:footnote>
  <w:footnote w:id="3799">
    <w:p w14:paraId="2653C5E1" w14:textId="77777777" w:rsidR="00AB3647" w:rsidRDefault="00000000">
      <w:pPr>
        <w:spacing w:after="0" w:before="0"/>
        <w:jc w:val="both"/>
      </w:pPr>
      <w:r>
        <w:rPr>
          <w:sz w:val="20"/>
          <w:szCs w:val="20"/>
          <w:rtl/>
        </w:rPr>
        <w:footnoteRef/>
      </w:r>
      <w:r>
        <w:rPr>
          <w:sz w:val="20"/>
          <w:szCs w:val="20"/>
          <w:rtl/>
        </w:rPr>
        <w:t xml:space="preserve">. 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 xml:space="preserve">”, עמ׳ 359. הוא מתאר את עצמו אז </w:t>
      </w:r>
      <w:proofErr w:type="spellStart"/>
      <w:r>
        <w:rPr>
          <w:sz w:val="20"/>
          <w:szCs w:val="20"/>
          <w:rtl/>
        </w:rPr>
        <w:t>כ“נרתע</w:t>
      </w:r>
      <w:proofErr w:type="spellEnd"/>
      <w:r>
        <w:rPr>
          <w:sz w:val="20"/>
          <w:szCs w:val="20"/>
          <w:rtl/>
        </w:rPr>
        <w:t xml:space="preserve"> מהדרת פניו הזוהרות של מארחו, כשישב עטוף בטלית ותפילין, דבוק בתורתו”.</w:t>
      </w:r>
    </w:p>
  </w:footnote>
  <w:footnote w:id="3800">
    <w:p w14:paraId="76DB03B4" w14:textId="77777777" w:rsidR="00AB3647" w:rsidRDefault="00000000">
      <w:pPr>
        <w:spacing w:after="0" w:before="0"/>
        <w:jc w:val="both"/>
      </w:pPr>
      <w:r>
        <w:rPr>
          <w:sz w:val="20"/>
          <w:szCs w:val="20"/>
          <w:rtl/>
        </w:rPr>
        <w:footnoteRef/>
      </w:r>
      <w:r>
        <w:rPr>
          <w:sz w:val="20"/>
          <w:szCs w:val="20"/>
          <w:rtl/>
        </w:rPr>
        <w:t xml:space="preserve">. ראה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אות ו.</w:t>
      </w:r>
    </w:p>
  </w:footnote>
  <w:footnote w:id="3801">
    <w:p w14:paraId="4B2A0EB8" w14:textId="77777777" w:rsidR="00AB3647" w:rsidRDefault="00000000">
      <w:pPr>
        <w:spacing w:after="0" w:before="0"/>
        <w:jc w:val="both"/>
      </w:pPr>
      <w:r>
        <w:rPr>
          <w:sz w:val="20"/>
          <w:szCs w:val="20"/>
          <w:rtl/>
        </w:rPr>
        <w:footnoteRef/>
      </w:r>
      <w:r>
        <w:rPr>
          <w:sz w:val="20"/>
          <w:szCs w:val="20"/>
          <w:rtl/>
        </w:rPr>
        <w:t xml:space="preserve">. שם, אות ד, ובמאמרו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ב“תלפיות</w:t>
      </w:r>
      <w:proofErr w:type="spellEnd"/>
      <w:r>
        <w:rPr>
          <w:sz w:val="20"/>
          <w:szCs w:val="20"/>
          <w:rtl/>
        </w:rPr>
        <w:t>”.</w:t>
      </w:r>
    </w:p>
  </w:footnote>
  <w:footnote w:id="3802">
    <w:p w14:paraId="27838C47" w14:textId="77777777" w:rsidR="00AB3647" w:rsidRDefault="00000000">
      <w:pPr>
        <w:spacing w:after="0" w:before="0"/>
        <w:jc w:val="both"/>
      </w:pPr>
      <w:r>
        <w:rPr>
          <w:sz w:val="20"/>
          <w:szCs w:val="20"/>
          <w:rtl/>
        </w:rPr>
        <w:footnoteRef/>
      </w:r>
      <w:r>
        <w:rPr>
          <w:sz w:val="20"/>
          <w:szCs w:val="20"/>
          <w:rtl/>
        </w:rPr>
        <w:t>. ראה פרק 3, הפסקה הראשונה של נספח א.</w:t>
      </w:r>
    </w:p>
  </w:footnote>
  <w:footnote w:id="3803">
    <w:p w14:paraId="7CA934B0" w14:textId="77777777" w:rsidR="00AB3647" w:rsidRDefault="00000000">
      <w:pPr>
        <w:spacing w:after="0" w:before="0"/>
        <w:jc w:val="both"/>
      </w:pPr>
      <w:r>
        <w:rPr>
          <w:sz w:val="20"/>
          <w:szCs w:val="20"/>
          <w:rtl/>
        </w:rPr>
        <w:footnoteRef/>
      </w:r>
      <w:r>
        <w:rPr>
          <w:sz w:val="20"/>
          <w:szCs w:val="20"/>
          <w:rtl/>
        </w:rPr>
        <w:t xml:space="preserve">. “חבר מאמרים”, חלק ב (ברוקלין, תשכ״ט), עמ׳ </w:t>
      </w:r>
      <w:proofErr w:type="spellStart"/>
      <w:r>
        <w:rPr>
          <w:sz w:val="20"/>
          <w:szCs w:val="20"/>
          <w:rtl/>
        </w:rPr>
        <w:t>קעד</w:t>
      </w:r>
      <w:proofErr w:type="spellEnd"/>
      <w:r>
        <w:rPr>
          <w:sz w:val="20"/>
          <w:szCs w:val="20"/>
          <w:rtl/>
        </w:rPr>
        <w:t>.</w:t>
      </w:r>
    </w:p>
  </w:footnote>
  <w:footnote w:id="3804">
    <w:p w14:paraId="02574D49" w14:textId="77777777" w:rsidR="00AB3647" w:rsidRDefault="00000000">
      <w:pPr>
        <w:spacing w:after="0" w:before="0"/>
        <w:jc w:val="both"/>
      </w:pPr>
      <w:r>
        <w:rPr>
          <w:sz w:val="20"/>
          <w:szCs w:val="20"/>
          <w:rtl/>
        </w:rPr>
        <w:footnoteRef/>
      </w:r>
      <w:r>
        <w:rPr>
          <w:sz w:val="20"/>
          <w:szCs w:val="20"/>
          <w:rtl/>
        </w:rPr>
        <w:t>. השאלה אם השניים אכן נפגשו נידונה עוד בפסקה השנייה של נספח ח להלן.</w:t>
      </w:r>
    </w:p>
  </w:footnote>
  <w:footnote w:id="3805">
    <w:p w14:paraId="6A3C9B0B" w14:textId="77777777" w:rsidR="00AB3647" w:rsidRDefault="00000000">
      <w:pPr>
        <w:spacing w:after="0" w:before="0"/>
        <w:jc w:val="both"/>
      </w:pPr>
      <w:r>
        <w:rPr>
          <w:sz w:val="20"/>
          <w:szCs w:val="20"/>
          <w:rtl/>
        </w:rPr>
        <w:footnoteRef/>
      </w:r>
      <w:r>
        <w:rPr>
          <w:sz w:val="20"/>
          <w:szCs w:val="20"/>
          <w:rtl/>
        </w:rPr>
        <w:t xml:space="preserve">. את שואלו של ר׳ ישראל מכנה “חבר מאמרים” “ר׳ </w:t>
      </w:r>
      <w:proofErr w:type="spellStart"/>
      <w:r>
        <w:rPr>
          <w:sz w:val="20"/>
          <w:szCs w:val="20"/>
          <w:rtl/>
        </w:rPr>
        <w:t>שלומל׳ה</w:t>
      </w:r>
      <w:proofErr w:type="spellEnd"/>
      <w:r>
        <w:rPr>
          <w:sz w:val="20"/>
          <w:szCs w:val="20"/>
          <w:rtl/>
        </w:rPr>
        <w:t xml:space="preserve"> פיין, שהיה בקי </w:t>
      </w:r>
      <w:proofErr w:type="spellStart"/>
      <w:r>
        <w:rPr>
          <w:sz w:val="20"/>
          <w:szCs w:val="20"/>
          <w:rtl/>
        </w:rPr>
        <w:t>בחכמת</w:t>
      </w:r>
      <w:proofErr w:type="spellEnd"/>
      <w:r>
        <w:rPr>
          <w:sz w:val="20"/>
          <w:szCs w:val="20"/>
          <w:rtl/>
        </w:rPr>
        <w:t xml:space="preserve"> הקבלה כבר בשנות צעירותו”. זהו ר׳ שלמה אלישיב, שלימים חיבר את סדרת ספרי הקבלה “לשם”, ושמו היה כפול: פיין–</w:t>
      </w:r>
      <w:proofErr w:type="spellStart"/>
      <w:r>
        <w:rPr>
          <w:sz w:val="20"/>
          <w:szCs w:val="20"/>
          <w:rtl/>
        </w:rPr>
        <w:t>אלישוב</w:t>
      </w:r>
      <w:proofErr w:type="spellEnd"/>
      <w:r>
        <w:rPr>
          <w:sz w:val="20"/>
          <w:szCs w:val="20"/>
          <w:rtl/>
        </w:rPr>
        <w:t xml:space="preserve">. בשם הכפול כינהו ר׳ יוסף לייב בלוך כשתיאר את ביקורו אצל הצדיק, שהיה מבוגר ממנו </w:t>
      </w:r>
      <w:proofErr w:type="spellStart"/>
      <w:r>
        <w:rPr>
          <w:sz w:val="20"/>
          <w:szCs w:val="20"/>
          <w:rtl/>
        </w:rPr>
        <w:t>בתשע־עשרה</w:t>
      </w:r>
      <w:proofErr w:type="spellEnd"/>
      <w:r>
        <w:rPr>
          <w:sz w:val="20"/>
          <w:szCs w:val="20"/>
          <w:rtl/>
        </w:rPr>
        <w:t xml:space="preserve"> שנים, באחת משיחותיו שרשמו בניו ופרסמו </w:t>
      </w:r>
      <w:proofErr w:type="spellStart"/>
      <w:r>
        <w:rPr>
          <w:sz w:val="20"/>
          <w:szCs w:val="20"/>
          <w:rtl/>
        </w:rPr>
        <w:t>ב“שיעורי</w:t>
      </w:r>
      <w:proofErr w:type="spellEnd"/>
      <w:r>
        <w:rPr>
          <w:sz w:val="20"/>
          <w:szCs w:val="20"/>
          <w:rtl/>
        </w:rPr>
        <w:t xml:space="preserve"> דעת”, חלק ראשון (ירושלים, תשמ״ט), עמ׳ </w:t>
      </w:r>
      <w:proofErr w:type="spellStart"/>
      <w:r>
        <w:rPr>
          <w:sz w:val="20"/>
          <w:szCs w:val="20"/>
          <w:rtl/>
        </w:rPr>
        <w:t>קסג</w:t>
      </w:r>
      <w:proofErr w:type="spellEnd"/>
      <w:r>
        <w:rPr>
          <w:sz w:val="20"/>
          <w:szCs w:val="20"/>
          <w:rtl/>
        </w:rPr>
        <w:t xml:space="preserve">. פיין היה שם משפחתו של חותנו של הרב </w:t>
      </w:r>
      <w:proofErr w:type="spellStart"/>
      <w:r>
        <w:rPr>
          <w:sz w:val="20"/>
          <w:szCs w:val="20"/>
          <w:rtl/>
        </w:rPr>
        <w:t>אלישוב</w:t>
      </w:r>
      <w:proofErr w:type="spellEnd"/>
      <w:r>
        <w:rPr>
          <w:sz w:val="20"/>
          <w:szCs w:val="20"/>
          <w:rtl/>
        </w:rPr>
        <w:t xml:space="preserve">, שתמך בו, לפי “ארי במסתרים” – תולדות ר׳ שלמה אלישיב ליום הזיכרון החמישים, מאת שריה </w:t>
      </w:r>
      <w:proofErr w:type="spellStart"/>
      <w:r>
        <w:rPr>
          <w:sz w:val="20"/>
          <w:szCs w:val="20"/>
          <w:rtl/>
        </w:rPr>
        <w:t>דבליצקי</w:t>
      </w:r>
      <w:proofErr w:type="spellEnd"/>
      <w:r>
        <w:rPr>
          <w:sz w:val="20"/>
          <w:szCs w:val="20"/>
          <w:rtl/>
        </w:rPr>
        <w:t xml:space="preserve"> (בני ברק, תשל״ו). </w:t>
      </w:r>
      <w:proofErr w:type="spellStart"/>
      <w:r>
        <w:rPr>
          <w:sz w:val="20"/>
          <w:szCs w:val="20"/>
          <w:rtl/>
        </w:rPr>
        <w:t>אלישוב</w:t>
      </w:r>
      <w:proofErr w:type="spellEnd"/>
      <w:r>
        <w:rPr>
          <w:sz w:val="20"/>
          <w:szCs w:val="20"/>
          <w:rtl/>
        </w:rPr>
        <w:t xml:space="preserve"> </w:t>
      </w:r>
      <w:proofErr w:type="spellStart"/>
      <w:r>
        <w:rPr>
          <w:sz w:val="20"/>
          <w:szCs w:val="20"/>
          <w:rtl/>
        </w:rPr>
        <w:t>ואלישב</w:t>
      </w:r>
      <w:proofErr w:type="spellEnd"/>
      <w:r>
        <w:rPr>
          <w:sz w:val="20"/>
          <w:szCs w:val="20"/>
          <w:rtl/>
        </w:rPr>
        <w:t xml:space="preserve"> (בפרק 4, הערה 139) הם שמות משפחה </w:t>
      </w:r>
      <w:proofErr w:type="spellStart"/>
      <w:r>
        <w:rPr>
          <w:sz w:val="20"/>
          <w:szCs w:val="20"/>
          <w:rtl/>
        </w:rPr>
        <w:t>יהודיים־רוסיים</w:t>
      </w:r>
      <w:proofErr w:type="spellEnd"/>
      <w:r>
        <w:rPr>
          <w:sz w:val="20"/>
          <w:szCs w:val="20"/>
          <w:rtl/>
        </w:rPr>
        <w:t>, ור׳ שלמה עִברת את שמו לשם המקראי אלישיב.</w:t>
      </w:r>
    </w:p>
    <w:p w14:paraId="3214F7AD" w14:textId="77777777" w:rsidR="00AB3647" w:rsidRDefault="00000000">
      <w:pPr>
        <w:spacing w:after="0" w:before="0"/>
        <w:jc w:val="both"/>
      </w:pPr>
      <w:r>
        <w:rPr>
          <w:sz w:val="20"/>
          <w:szCs w:val="20"/>
          <w:rtl/>
        </w:rPr>
        <w:t xml:space="preserve">העובדה שר׳ </w:t>
      </w:r>
      <w:proofErr w:type="spellStart"/>
      <w:r>
        <w:rPr>
          <w:sz w:val="20"/>
          <w:szCs w:val="20"/>
          <w:rtl/>
        </w:rPr>
        <w:t>שלומל׳ה</w:t>
      </w:r>
      <w:proofErr w:type="spellEnd"/>
      <w:r>
        <w:rPr>
          <w:sz w:val="20"/>
          <w:szCs w:val="20"/>
          <w:rtl/>
        </w:rPr>
        <w:t xml:space="preserve"> פיין ור׳ שלמה אלישיב היו אותו אדם נעלמה מעיני המחברים עמנואל </w:t>
      </w:r>
      <w:proofErr w:type="spellStart"/>
      <w:r>
        <w:rPr>
          <w:sz w:val="20"/>
          <w:szCs w:val="20"/>
          <w:rtl/>
        </w:rPr>
        <w:t>אטקס</w:t>
      </w:r>
      <w:proofErr w:type="spellEnd"/>
      <w:r>
        <w:rPr>
          <w:sz w:val="20"/>
          <w:szCs w:val="20"/>
          <w:rtl/>
        </w:rPr>
        <w:t xml:space="preserve">, בספרו “ר׳ ישראל </w:t>
      </w:r>
      <w:proofErr w:type="spellStart"/>
      <w:r>
        <w:rPr>
          <w:sz w:val="20"/>
          <w:szCs w:val="20"/>
          <w:rtl/>
        </w:rPr>
        <w:t>סלנטר</w:t>
      </w:r>
      <w:proofErr w:type="spellEnd"/>
      <w:r>
        <w:rPr>
          <w:sz w:val="20"/>
          <w:szCs w:val="20"/>
          <w:rtl/>
        </w:rPr>
        <w:t xml:space="preserve"> וראשיתה של תנועת המוסר” (המקור הנזכר בפרק 2, הפסקה השישית של נספח א), והלל גולדברג, בספרו “ישראל </w:t>
      </w:r>
      <w:proofErr w:type="spellStart"/>
      <w:r>
        <w:rPr>
          <w:sz w:val="20"/>
          <w:szCs w:val="20"/>
          <w:rtl/>
        </w:rPr>
        <w:t>סלנטר</w:t>
      </w:r>
      <w:proofErr w:type="spellEnd"/>
      <w:r>
        <w:rPr>
          <w:sz w:val="20"/>
          <w:szCs w:val="20"/>
          <w:rtl/>
        </w:rPr>
        <w:t xml:space="preserve">: טקסט, מבנה, רעיון” (הוצאת כתב, ניו יורק, 1982), שכתבו על עמדת ר׳ ישראל </w:t>
      </w:r>
      <w:proofErr w:type="spellStart"/>
      <w:r>
        <w:rPr>
          <w:sz w:val="20"/>
          <w:szCs w:val="20"/>
          <w:rtl/>
        </w:rPr>
        <w:t>סלנטר</w:t>
      </w:r>
      <w:proofErr w:type="spellEnd"/>
      <w:r>
        <w:rPr>
          <w:sz w:val="20"/>
          <w:szCs w:val="20"/>
          <w:rtl/>
        </w:rPr>
        <w:t xml:space="preserve"> כלפי לימוד קבלה. הם לא הבינו שר׳ שלמה אלישיב נקרא לפעמים פיין בלבד – אפילו לאחר פטירתו, כשנמסרה השיחה שבה כינהו ר׳ ירוחם </w:t>
      </w:r>
      <w:proofErr w:type="spellStart"/>
      <w:r>
        <w:rPr>
          <w:sz w:val="20"/>
          <w:szCs w:val="20"/>
          <w:rtl/>
        </w:rPr>
        <w:t>ליבוביץ</w:t>
      </w:r>
      <w:proofErr w:type="spellEnd"/>
      <w:r>
        <w:rPr>
          <w:sz w:val="20"/>
          <w:szCs w:val="20"/>
          <w:rtl/>
        </w:rPr>
        <w:t xml:space="preserve"> כך.</w:t>
      </w:r>
    </w:p>
  </w:footnote>
  <w:footnote w:id="3806">
    <w:p w14:paraId="696E69EF" w14:textId="77777777" w:rsidR="00AB3647" w:rsidRDefault="00000000">
      <w:pPr>
        <w:spacing w:after="0" w:before="0"/>
        <w:jc w:val="both"/>
      </w:pPr>
      <w:r>
        <w:rPr>
          <w:sz w:val="20"/>
          <w:szCs w:val="20"/>
          <w:rtl/>
        </w:rPr>
        <w:footnoteRef/>
      </w:r>
      <w:r>
        <w:rPr>
          <w:sz w:val="20"/>
          <w:szCs w:val="20"/>
          <w:rtl/>
        </w:rPr>
        <w:t xml:space="preserve">. ראה אות ב במכתבו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w:t>
      </w:r>
    </w:p>
  </w:footnote>
  <w:footnote w:id="3807">
    <w:p w14:paraId="4BE2D79B" w14:textId="77777777" w:rsidR="00AB3647" w:rsidRDefault="00000000">
      <w:pPr>
        <w:spacing w:after="0" w:before="0"/>
        <w:jc w:val="both"/>
      </w:pPr>
      <w:r>
        <w:rPr>
          <w:sz w:val="20"/>
          <w:szCs w:val="20"/>
          <w:rtl/>
        </w:rPr>
        <w:footnoteRef/>
      </w:r>
      <w:r>
        <w:rPr>
          <w:sz w:val="20"/>
          <w:szCs w:val="20"/>
          <w:rtl/>
        </w:rPr>
        <w:t xml:space="preserve">. השווה גם עמ׳ </w:t>
      </w:r>
      <w:r>
        <w:rPr>
          <w:sz w:val="20"/>
          <w:szCs w:val="20"/>
          <w:rtl/>
        </w:rPr>
        <w:fldChar w:fldCharType="begin" w:dirty="true"/>
      </w:r>
      <w:r>
        <w:rPr>
          <w:sz w:val="20"/>
          <w:szCs w:val="20"/>
          <w:rtl/>
        </w:rPr>
        <w:instrText xml:space="preserve"> PAGEREF pr_f_4670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בהערת שוליים </w:t>
      </w:r>
      <w:r>
        <w:rPr>
          <w:sz w:val="20"/>
          <w:szCs w:val="20"/>
          <w:rtl/>
        </w:rPr>
        <w:fldChar w:fldCharType="begin" w:dirty="true"/>
      </w:r>
      <w:r>
        <w:rPr>
          <w:sz w:val="20"/>
          <w:szCs w:val="20"/>
          <w:rtl/>
        </w:rPr>
        <w:instrText xml:space="preserve"> NOTEREF pr_f_4670 \h </w:instrText>
      </w:r>
      <w:r>
        <w:rPr>
          <w:sz w:val="20"/>
          <w:szCs w:val="20"/>
          <w:rtl/>
        </w:rPr>
      </w:r>
      <w:r>
        <w:rPr>
          <w:sz w:val="20"/>
          <w:szCs w:val="20"/>
          <w:rtl/>
        </w:rPr>
        <w:fldChar w:fldCharType="separate"/>
      </w:r>
      <w:r w:rsidR="007923E9">
        <w:rPr>
          <w:sz w:val="20"/>
          <w:szCs w:val="20"/>
          <w:rtl/>
        </w:rPr>
        <w:t>324</w:t>
      </w:r>
      <w:r>
        <w:rPr>
          <w:sz w:val="20"/>
          <w:szCs w:val="20"/>
          <w:rtl/>
        </w:rPr>
        <w:fldChar w:fldCharType="end"/>
      </w:r>
      <w:r>
        <w:rPr>
          <w:sz w:val="20"/>
          <w:szCs w:val="20"/>
          <w:rtl/>
        </w:rPr>
        <w:t xml:space="preserve">, על חולשת ר׳ </w:t>
      </w:r>
      <w:proofErr w:type="spellStart"/>
      <w:r>
        <w:rPr>
          <w:sz w:val="20"/>
          <w:szCs w:val="20"/>
          <w:rtl/>
        </w:rPr>
        <w:t>צבי־הירש</w:t>
      </w:r>
      <w:proofErr w:type="spellEnd"/>
      <w:r>
        <w:rPr>
          <w:sz w:val="20"/>
          <w:szCs w:val="20"/>
          <w:rtl/>
        </w:rPr>
        <w:t xml:space="preserve"> פרבר בענייני כרונולוגיה.</w:t>
      </w:r>
    </w:p>
  </w:footnote>
  <w:footnote w:id="3808">
    <w:p w14:paraId="587630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תרע״ב.</w:t>
      </w:r>
    </w:p>
  </w:footnote>
  <w:footnote w:id="3809">
    <w:p w14:paraId="4937F3C3"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שלמה אלישיב, בעל הלשם, נפטר בירושלים בכ״ז באדר תרפ״ו, ולא </w:t>
      </w:r>
      <w:proofErr w:type="spellStart"/>
      <w:r>
        <w:rPr>
          <w:sz w:val="20"/>
          <w:szCs w:val="20"/>
          <w:rtl/>
        </w:rPr>
        <w:t>בתרפ״ח</w:t>
      </w:r>
      <w:proofErr w:type="spellEnd"/>
      <w:r>
        <w:rPr>
          <w:sz w:val="20"/>
          <w:szCs w:val="20"/>
          <w:rtl/>
        </w:rPr>
        <w:t>.</w:t>
      </w:r>
    </w:p>
  </w:footnote>
  <w:footnote w:id="3810">
    <w:p w14:paraId="028F4F6B" w14:textId="77777777" w:rsidR="00AB3647" w:rsidRDefault="00000000">
      <w:pPr>
        <w:spacing w:after="0" w:before="0"/>
        <w:jc w:val="both"/>
      </w:pPr>
      <w:r>
        <w:rPr>
          <w:sz w:val="20"/>
          <w:szCs w:val="20"/>
          <w:rtl/>
        </w:rPr>
        <w:footnoteRef/>
      </w:r>
      <w:r>
        <w:rPr>
          <w:sz w:val="20"/>
          <w:szCs w:val="20"/>
          <w:rtl/>
        </w:rPr>
        <w:t xml:space="preserve">. בשער “חלק הביאורים וחלקי הדרושים”. כרך זה נזכר בפרק 3, הפסקה השנייה של נספח </w:t>
      </w:r>
      <w:proofErr w:type="spellStart"/>
      <w:r>
        <w:rPr>
          <w:sz w:val="20"/>
          <w:szCs w:val="20"/>
          <w:rtl/>
        </w:rPr>
        <w:t>יז</w:t>
      </w:r>
      <w:proofErr w:type="spellEnd"/>
      <w:r>
        <w:rPr>
          <w:sz w:val="20"/>
          <w:szCs w:val="20"/>
          <w:rtl/>
        </w:rPr>
        <w:t>.</w:t>
      </w:r>
    </w:p>
  </w:footnote>
  <w:footnote w:id="3811">
    <w:p w14:paraId="4EE66B9A" w14:textId="77777777" w:rsidR="00AB3647" w:rsidRDefault="00000000">
      <w:pPr>
        <w:spacing w:after="0" w:before="0"/>
        <w:jc w:val="both"/>
      </w:pPr>
      <w:r>
        <w:rPr>
          <w:sz w:val="20"/>
          <w:szCs w:val="20"/>
          <w:rtl/>
        </w:rPr>
        <w:footnoteRef/>
      </w:r>
      <w:r>
        <w:rPr>
          <w:sz w:val="20"/>
          <w:szCs w:val="20"/>
          <w:rtl/>
        </w:rPr>
        <w:t xml:space="preserve">. כך נרמז שם משפחתו, אלישיב (או, ביתר דיוק, </w:t>
      </w:r>
      <w:proofErr w:type="spellStart"/>
      <w:r>
        <w:rPr>
          <w:sz w:val="20"/>
          <w:szCs w:val="20"/>
          <w:rtl/>
        </w:rPr>
        <w:t>אלישוב</w:t>
      </w:r>
      <w:proofErr w:type="spellEnd"/>
      <w:r>
        <w:rPr>
          <w:sz w:val="20"/>
          <w:szCs w:val="20"/>
          <w:rtl/>
        </w:rPr>
        <w:t xml:space="preserve">, כאמור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xml:space="preserve"> לעיל, בעמ׳ </w:t>
      </w:r>
      <w:r>
        <w:rPr>
          <w:sz w:val="20"/>
          <w:szCs w:val="20"/>
          <w:rtl/>
        </w:rPr>
        <w:fldChar w:fldCharType="begin" w:dirty="true"/>
      </w:r>
      <w:r>
        <w:rPr>
          <w:sz w:val="20"/>
          <w:szCs w:val="20"/>
          <w:rtl/>
        </w:rPr>
        <w:instrText xml:space="preserve"> PAGEREF pr_f_3687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יחד עם שמו הפרטי – אף שר׳ משה אלישיב ציין בפניי ביום 9 בפברואר 2000 </w:t>
      </w:r>
      <w:proofErr w:type="spellStart"/>
      <w:r>
        <w:rPr>
          <w:sz w:val="20"/>
          <w:szCs w:val="20"/>
          <w:rtl/>
        </w:rPr>
        <w:t>ש“סבא־רבא</w:t>
      </w:r>
      <w:proofErr w:type="spellEnd"/>
      <w:r>
        <w:rPr>
          <w:sz w:val="20"/>
          <w:szCs w:val="20"/>
          <w:rtl/>
        </w:rPr>
        <w:t xml:space="preserve"> שלו, מחבר סדרת הלשם, מעולם לא הזכיר את שם משפחתו באף אחד מספריו”. הוא שינה את שם משפחתו </w:t>
      </w:r>
      <w:proofErr w:type="spellStart"/>
      <w:r>
        <w:rPr>
          <w:sz w:val="20"/>
          <w:szCs w:val="20"/>
          <w:rtl/>
        </w:rPr>
        <w:t>מאלישוב</w:t>
      </w:r>
      <w:proofErr w:type="spellEnd"/>
      <w:r>
        <w:rPr>
          <w:sz w:val="20"/>
          <w:szCs w:val="20"/>
          <w:rtl/>
        </w:rPr>
        <w:t xml:space="preserve"> הרגיל לאלישיב בעל המשמעות – ישיב האל – כפי שצוין בהערת שוליים </w:t>
      </w:r>
      <w:r>
        <w:rPr>
          <w:sz w:val="20"/>
          <w:szCs w:val="20"/>
          <w:rtl/>
        </w:rPr>
        <w:fldChar w:fldCharType="begin" w:dirty="true"/>
      </w:r>
      <w:r>
        <w:rPr>
          <w:sz w:val="20"/>
          <w:szCs w:val="20"/>
          <w:rtl/>
        </w:rPr>
        <w:instrText xml:space="preserve"> NOTEREF pr_f_3687 \h </w:instrText>
      </w:r>
      <w:r>
        <w:rPr>
          <w:sz w:val="20"/>
          <w:szCs w:val="20"/>
          <w:rtl/>
        </w:rPr>
      </w:r>
      <w:r>
        <w:rPr>
          <w:sz w:val="20"/>
          <w:szCs w:val="20"/>
          <w:rtl/>
        </w:rPr>
        <w:fldChar w:fldCharType="separate"/>
      </w:r>
      <w:r w:rsidR="007923E9">
        <w:rPr>
          <w:sz w:val="20"/>
          <w:szCs w:val="20"/>
          <w:rtl/>
        </w:rPr>
        <w:t>764</w:t>
      </w:r>
      <w:r>
        <w:rPr>
          <w:sz w:val="20"/>
          <w:szCs w:val="20"/>
          <w:rtl/>
        </w:rPr>
        <w:fldChar w:fldCharType="end"/>
      </w:r>
      <w:r>
        <w:rPr>
          <w:sz w:val="20"/>
          <w:szCs w:val="20"/>
          <w:rtl/>
        </w:rPr>
        <w:t>, ולכן מסתבר מאוד שירמוז גם לשם משפחתו החדש.</w:t>
      </w:r>
    </w:p>
    <w:p w14:paraId="78BAC178" w14:textId="77777777" w:rsidR="00AB3647" w:rsidRDefault="00000000">
      <w:pPr>
        <w:spacing w:after="0" w:before="0"/>
        <w:jc w:val="both"/>
      </w:pPr>
      <w:r>
        <w:rPr>
          <w:sz w:val="20"/>
          <w:szCs w:val="20"/>
          <w:rtl/>
        </w:rPr>
        <w:t xml:space="preserve">אני מתקשה לקבל את הפירוש </w:t>
      </w:r>
      <w:proofErr w:type="spellStart"/>
      <w:r>
        <w:rPr>
          <w:sz w:val="20"/>
          <w:szCs w:val="20"/>
          <w:rtl/>
        </w:rPr>
        <w:t>ל“כי</w:t>
      </w:r>
      <w:proofErr w:type="spellEnd"/>
      <w:r>
        <w:rPr>
          <w:sz w:val="20"/>
          <w:szCs w:val="20"/>
          <w:rtl/>
        </w:rPr>
        <w:t xml:space="preserve"> שמי בקרבו” שנמסר לי בשם אביו של ר׳ משה, ר׳ </w:t>
      </w:r>
      <w:proofErr w:type="spellStart"/>
      <w:r>
        <w:rPr>
          <w:sz w:val="20"/>
          <w:szCs w:val="20"/>
          <w:rtl/>
        </w:rPr>
        <w:t>יוסף־שלום</w:t>
      </w:r>
      <w:proofErr w:type="spellEnd"/>
      <w:r>
        <w:rPr>
          <w:sz w:val="20"/>
          <w:szCs w:val="20"/>
          <w:rtl/>
        </w:rPr>
        <w:t xml:space="preserve"> אלישיב: שהאותיות השניות בשלוש המילים שבשם החיבור, שי״ן בי״ת חי״ת, הן ראשי התיבות של שלמה בר׳ חיים. פירוש זה נראה דחוק, מפני שהמחבר יכול היה לקרוא לספרו “שבח”, או צורה אחרת של המילה, באותה תוצאה ובפחות עקיפין. יתר על כן, “אחלמה” מופיעה תמיד – בחומש כבשם הספר – עם </w:t>
      </w:r>
      <w:proofErr w:type="spellStart"/>
      <w:r>
        <w:rPr>
          <w:sz w:val="20"/>
          <w:szCs w:val="20"/>
          <w:rtl/>
        </w:rPr>
        <w:t>וא״ו</w:t>
      </w:r>
      <w:proofErr w:type="spellEnd"/>
      <w:r>
        <w:rPr>
          <w:sz w:val="20"/>
          <w:szCs w:val="20"/>
          <w:rtl/>
        </w:rPr>
        <w:t xml:space="preserve"> החיבור, כך שהחי״ת הנדרשת היא האות השלישית במילה ולא השנייה. לפירושו של ר׳ </w:t>
      </w:r>
      <w:proofErr w:type="spellStart"/>
      <w:r>
        <w:rPr>
          <w:sz w:val="20"/>
          <w:szCs w:val="20"/>
          <w:rtl/>
        </w:rPr>
        <w:t>יוסף־שלום</w:t>
      </w:r>
      <w:proofErr w:type="spellEnd"/>
      <w:r>
        <w:rPr>
          <w:sz w:val="20"/>
          <w:szCs w:val="20"/>
          <w:rtl/>
        </w:rPr>
        <w:t xml:space="preserve"> יש יסוד בסידור השערים של “חלק הביאורים וחלקי הדרושים”, שנדפסו לאחר פטירת המחבר, ושל “ספר הכללים חלק א”, שנדפס בחיי סבו (ירושלים, תרפ״ד): כוכביות הוצבו מעל אותיות שב״ח. אף על פי כן ההסתייגויות האמורות עומדות בעינן, ומסתבר שצורת אותיות שב״ח הייתה רק רמז משני, ולא מה שהתכוון אליו המחבר בכותבו “כי שמי בקרבו”.</w:t>
      </w:r>
    </w:p>
  </w:footnote>
  <w:footnote w:id="3812">
    <w:p w14:paraId="2F9D1739" w14:textId="77777777" w:rsidR="00AB3647" w:rsidRDefault="00000000">
      <w:pPr>
        <w:spacing w:after="0" w:before="0"/>
        <w:jc w:val="both"/>
      </w:pPr>
      <w:r>
        <w:rPr>
          <w:sz w:val="20"/>
          <w:szCs w:val="20"/>
          <w:rtl/>
        </w:rPr>
        <w:footnoteRef/>
      </w:r>
      <w:r>
        <w:rPr>
          <w:sz w:val="20"/>
          <w:szCs w:val="20"/>
          <w:rtl/>
        </w:rPr>
        <w:t>. ראה פרק 3, הערה 39.</w:t>
      </w:r>
    </w:p>
  </w:footnote>
  <w:footnote w:id="3813">
    <w:p w14:paraId="3890BEA6" w14:textId="77777777" w:rsidR="00AB3647" w:rsidRDefault="00000000">
      <w:pPr>
        <w:spacing w:after="0" w:before="0"/>
        <w:jc w:val="both"/>
      </w:pPr>
      <w:r>
        <w:rPr>
          <w:sz w:val="20"/>
          <w:szCs w:val="20"/>
          <w:rtl/>
        </w:rPr>
        <w:footnoteRef/>
      </w:r>
      <w:r>
        <w:rPr>
          <w:sz w:val="20"/>
          <w:szCs w:val="20"/>
          <w:rtl/>
        </w:rPr>
        <w:t>. גיליון כ״ז באב תרנ״ז.</w:t>
      </w:r>
    </w:p>
  </w:footnote>
  <w:footnote w:id="3814">
    <w:p w14:paraId="23EEB116" w14:textId="77777777" w:rsidR="00AB3647" w:rsidRDefault="00000000">
      <w:pPr>
        <w:spacing w:after="0" w:before="0"/>
        <w:jc w:val="both"/>
      </w:pPr>
      <w:r>
        <w:rPr>
          <w:sz w:val="20"/>
          <w:szCs w:val="20"/>
          <w:rtl/>
        </w:rPr>
        <w:footnoteRef/>
      </w:r>
      <w:r>
        <w:rPr>
          <w:sz w:val="20"/>
          <w:szCs w:val="20"/>
          <w:rtl/>
        </w:rPr>
        <w:t xml:space="preserve">. המקור הנזכר בפרק 3, הערה 6 (פורסם </w:t>
      </w:r>
      <w:proofErr w:type="spellStart"/>
      <w:r>
        <w:rPr>
          <w:sz w:val="20"/>
          <w:szCs w:val="20"/>
          <w:rtl/>
        </w:rPr>
        <w:t>בתרפ״ו</w:t>
      </w:r>
      <w:proofErr w:type="spellEnd"/>
      <w:r>
        <w:rPr>
          <w:sz w:val="20"/>
          <w:szCs w:val="20"/>
          <w:rtl/>
        </w:rPr>
        <w:t>) – עמ׳ 82.</w:t>
      </w:r>
    </w:p>
  </w:footnote>
  <w:footnote w:id="3815">
    <w:p w14:paraId="170C571C"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בפיעטרקוב</w:t>
      </w:r>
      <w:proofErr w:type="spellEnd"/>
      <w:r>
        <w:rPr>
          <w:sz w:val="20"/>
          <w:szCs w:val="20"/>
          <w:rtl/>
        </w:rPr>
        <w:t xml:space="preserve"> </w:t>
      </w:r>
      <w:proofErr w:type="spellStart"/>
      <w:r>
        <w:rPr>
          <w:sz w:val="20"/>
          <w:szCs w:val="20"/>
          <w:rtl/>
        </w:rPr>
        <w:t>בתרס״ט</w:t>
      </w:r>
      <w:proofErr w:type="spellEnd"/>
      <w:r>
        <w:rPr>
          <w:sz w:val="20"/>
          <w:szCs w:val="20"/>
          <w:rtl/>
        </w:rPr>
        <w:t>, כמה שנים לאחר ביקור ר׳ עובדיה לחמן בליטא.</w:t>
      </w:r>
    </w:p>
  </w:footnote>
  <w:footnote w:id="3816">
    <w:p w14:paraId="4F7696E7" w14:textId="77777777" w:rsidR="00AB3647" w:rsidRDefault="00000000">
      <w:pPr>
        <w:spacing w:after="0" w:before="0"/>
        <w:jc w:val="both"/>
      </w:pPr>
      <w:r>
        <w:rPr>
          <w:sz w:val="20"/>
          <w:szCs w:val="20"/>
          <w:rtl/>
        </w:rPr>
        <w:footnoteRef/>
      </w:r>
      <w:r>
        <w:rPr>
          <w:sz w:val="20"/>
          <w:szCs w:val="20"/>
          <w:rtl/>
        </w:rPr>
        <w:t>. וילנה, תרמ״ו – בעמוד ההקדמה V.</w:t>
      </w:r>
    </w:p>
  </w:footnote>
  <w:footnote w:id="3817">
    <w:p w14:paraId="1387EB92"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pr_f_1375 \h </w:instrText>
      </w:r>
      <w:r>
        <w:rPr>
          <w:sz w:val="20"/>
          <w:szCs w:val="20"/>
          <w:rtl/>
        </w:rPr>
      </w:r>
      <w:r>
        <w:rPr>
          <w:sz w:val="20"/>
          <w:szCs w:val="20"/>
          <w:rtl/>
        </w:rPr>
        <w:fldChar w:fldCharType="separate"/>
      </w:r>
      <w:r w:rsidR="007923E9">
        <w:rPr>
          <w:sz w:val="20"/>
          <w:szCs w:val="20"/>
          <w:rtl/>
        </w:rPr>
        <w:t>420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8">
    <w:p w14:paraId="6064F6BC" w14:textId="77777777" w:rsidR="00AB3647" w:rsidRDefault="00000000">
      <w:pPr>
        <w:spacing w:after="0" w:before="0"/>
        <w:jc w:val="both"/>
      </w:pPr>
      <w:r>
        <w:rPr>
          <w:sz w:val="20"/>
          <w:szCs w:val="20"/>
          <w:rtl/>
        </w:rPr>
        <w:footnoteRef/>
      </w:r>
      <w:r>
        <w:rPr>
          <w:sz w:val="20"/>
          <w:szCs w:val="20"/>
          <w:rtl/>
        </w:rPr>
        <w:t xml:space="preserve">. השווה גם הערת שוליים </w:t>
      </w:r>
      <w:r>
        <w:rPr>
          <w:sz w:val="20"/>
          <w:szCs w:val="20"/>
          <w:rtl/>
        </w:rPr>
        <w:fldChar w:fldCharType="begin" w:dirty="true"/>
      </w:r>
      <w:r>
        <w:rPr>
          <w:sz w:val="20"/>
          <w:szCs w:val="20"/>
          <w:rtl/>
        </w:rPr>
        <w:instrText xml:space="preserve"> NOTEREF pr_f_1542 \h </w:instrText>
      </w:r>
      <w:r>
        <w:rPr>
          <w:sz w:val="20"/>
          <w:szCs w:val="20"/>
          <w:rtl/>
        </w:rPr>
      </w:r>
      <w:r>
        <w:rPr>
          <w:sz w:val="20"/>
          <w:szCs w:val="20"/>
          <w:rtl/>
        </w:rPr>
        <w:fldChar w:fldCharType="separate"/>
      </w:r>
      <w:r w:rsidR="007923E9">
        <w:rPr>
          <w:sz w:val="20"/>
          <w:szCs w:val="20"/>
          <w:rtl/>
        </w:rPr>
        <w:t>588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pr_f_1542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3819">
    <w:p w14:paraId="1C5A7B11" w14:textId="77777777" w:rsidR="00AB3647" w:rsidRDefault="00000000">
      <w:pPr>
        <w:spacing w:after="0" w:before="0"/>
        <w:jc w:val="both"/>
      </w:pPr>
      <w:r>
        <w:rPr>
          <w:sz w:val="20"/>
          <w:szCs w:val="20"/>
          <w:rtl/>
        </w:rPr>
        <w:footnoteRef/>
      </w:r>
      <w:r>
        <w:rPr>
          <w:sz w:val="20"/>
          <w:szCs w:val="20"/>
          <w:rtl/>
        </w:rPr>
        <w:t xml:space="preserve">. השווה “חבר מאמרים”, חלק א, מאמר </w:t>
      </w:r>
      <w:proofErr w:type="spellStart"/>
      <w:r>
        <w:rPr>
          <w:sz w:val="20"/>
          <w:szCs w:val="20"/>
          <w:rtl/>
        </w:rPr>
        <w:t>יח</w:t>
      </w:r>
      <w:proofErr w:type="spellEnd"/>
      <w:r>
        <w:rPr>
          <w:sz w:val="20"/>
          <w:szCs w:val="20"/>
          <w:rtl/>
        </w:rPr>
        <w:t xml:space="preserve">, לבירורו המבריק של ר׳ ירוחם </w:t>
      </w:r>
      <w:proofErr w:type="spellStart"/>
      <w:r>
        <w:rPr>
          <w:sz w:val="20"/>
          <w:szCs w:val="20"/>
          <w:rtl/>
        </w:rPr>
        <w:t>ליבוביץ</w:t>
      </w:r>
      <w:proofErr w:type="spellEnd"/>
      <w:r>
        <w:rPr>
          <w:sz w:val="20"/>
          <w:szCs w:val="20"/>
          <w:rtl/>
        </w:rPr>
        <w:t xml:space="preserve"> במקורות התלמודיים להקרבה עצמית כזאת.</w:t>
      </w:r>
    </w:p>
  </w:footnote>
  <w:footnote w:id="3820">
    <w:p w14:paraId="562FFCD0" w14:textId="77777777" w:rsidR="00AB3647" w:rsidRDefault="00000000">
      <w:pPr>
        <w:spacing w:after="0" w:before="0"/>
        <w:jc w:val="both"/>
      </w:pPr>
      <w:r>
        <w:rPr>
          <w:sz w:val="20"/>
          <w:szCs w:val="20"/>
          <w:rtl/>
        </w:rPr>
        <w:footnoteRef/>
      </w:r>
      <w:r>
        <w:rPr>
          <w:sz w:val="20"/>
          <w:szCs w:val="20"/>
          <w:rtl/>
        </w:rPr>
        <w:t>. הערה 48 לעיל – עמ׳ נו.</w:t>
      </w:r>
    </w:p>
  </w:footnote>
  <w:footnote w:id="3821">
    <w:p w14:paraId="0A0295E7" w14:textId="77777777" w:rsidR="00AB3647" w:rsidRDefault="00000000">
      <w:pPr>
        <w:spacing w:after="0" w:before="0"/>
        <w:jc w:val="both"/>
      </w:pPr>
      <w:r>
        <w:rPr>
          <w:sz w:val="20"/>
          <w:szCs w:val="20"/>
          <w:rtl/>
        </w:rPr>
        <w:footnoteRef/>
      </w:r>
      <w:r>
        <w:rPr>
          <w:sz w:val="20"/>
          <w:szCs w:val="20"/>
          <w:rtl/>
        </w:rPr>
        <w:t>. השווה הפסקאות החמישית עד השמינית והלאה של סעיף 2 בפרק זה.</w:t>
      </w:r>
    </w:p>
  </w:footnote>
  <w:footnote w:id="3822">
    <w:p w14:paraId="203D6655" w14:textId="77777777" w:rsidR="00AB3647" w:rsidRDefault="00000000">
      <w:pPr>
        <w:spacing w:after="0" w:before="0"/>
        <w:jc w:val="both"/>
      </w:pPr>
      <w:r>
        <w:rPr>
          <w:sz w:val="20"/>
          <w:szCs w:val="20"/>
          <w:rtl/>
        </w:rPr>
        <w:footnoteRef/>
      </w:r>
      <w:r>
        <w:rPr>
          <w:sz w:val="20"/>
          <w:szCs w:val="20"/>
          <w:rtl/>
        </w:rPr>
        <w:t>. ראה הפסקה השנייה של נספח יא להלן.</w:t>
      </w:r>
    </w:p>
  </w:footnote>
  <w:footnote w:id="3823">
    <w:p w14:paraId="6E8B932F" w14:textId="77777777" w:rsidR="00AB3647" w:rsidRDefault="00000000">
      <w:pPr>
        <w:spacing w:after="0" w:before="0"/>
        <w:jc w:val="both"/>
      </w:pPr>
      <w:r>
        <w:rPr>
          <w:sz w:val="20"/>
          <w:szCs w:val="20"/>
          <w:rtl/>
        </w:rPr>
        <w:footnoteRef/>
      </w:r>
      <w:r>
        <w:rPr>
          <w:sz w:val="20"/>
          <w:szCs w:val="20"/>
          <w:rtl/>
        </w:rPr>
        <w:t xml:space="preserve">. השווה פרק 3, נספח ט: שם מתברר שהתשובה לשאלה זו חיובית, והדבר מתחזק מן הדרך שבה הבין ר׳ </w:t>
      </w:r>
      <w:proofErr w:type="spellStart"/>
      <w:r>
        <w:rPr>
          <w:sz w:val="20"/>
          <w:szCs w:val="20"/>
          <w:rtl/>
        </w:rPr>
        <w:t>מאיר־שמחה</w:t>
      </w:r>
      <w:proofErr w:type="spellEnd"/>
      <w:r>
        <w:rPr>
          <w:sz w:val="20"/>
          <w:szCs w:val="20"/>
          <w:rtl/>
        </w:rPr>
        <w:t xml:space="preserve"> את תפקידו של ר׳ לייזר גורדון בישיבה. השווה גם “מאיר עיני ישראל” (נספח ז לעיל), עמ׳ 248, המספר שר׳ ירוחם </w:t>
      </w:r>
      <w:proofErr w:type="spellStart"/>
      <w:r>
        <w:rPr>
          <w:sz w:val="20"/>
          <w:szCs w:val="20"/>
          <w:rtl/>
        </w:rPr>
        <w:t>ליבוביץ</w:t>
      </w:r>
      <w:proofErr w:type="spellEnd"/>
      <w:r>
        <w:rPr>
          <w:sz w:val="20"/>
          <w:szCs w:val="20"/>
          <w:rtl/>
        </w:rPr>
        <w:t xml:space="preserve">, ששימש אז משגיח בישיבת </w:t>
      </w:r>
      <w:proofErr w:type="spellStart"/>
      <w:r>
        <w:rPr>
          <w:sz w:val="20"/>
          <w:szCs w:val="20"/>
          <w:rtl/>
        </w:rPr>
        <w:t>ראדין</w:t>
      </w:r>
      <w:proofErr w:type="spellEnd"/>
      <w:r>
        <w:rPr>
          <w:sz w:val="20"/>
          <w:szCs w:val="20"/>
          <w:rtl/>
        </w:rPr>
        <w:t xml:space="preserve">, התנגד להסכמת </w:t>
      </w:r>
      <w:proofErr w:type="spellStart"/>
      <w:r>
        <w:rPr>
          <w:sz w:val="20"/>
          <w:szCs w:val="20"/>
          <w:rtl/>
        </w:rPr>
        <w:t>החפץ־חיים</w:t>
      </w:r>
      <w:proofErr w:type="spellEnd"/>
      <w:r>
        <w:rPr>
          <w:sz w:val="20"/>
          <w:szCs w:val="20"/>
          <w:rtl/>
        </w:rPr>
        <w:t xml:space="preserve"> לשלוח אחדים מתלמידי </w:t>
      </w:r>
      <w:proofErr w:type="spellStart"/>
      <w:r>
        <w:rPr>
          <w:sz w:val="20"/>
          <w:szCs w:val="20"/>
          <w:rtl/>
        </w:rPr>
        <w:t>ראדין</w:t>
      </w:r>
      <w:proofErr w:type="spellEnd"/>
      <w:r>
        <w:rPr>
          <w:sz w:val="20"/>
          <w:szCs w:val="20"/>
          <w:rtl/>
        </w:rPr>
        <w:t xml:space="preserve"> לסייע </w:t>
      </w:r>
      <w:proofErr w:type="spellStart"/>
      <w:r>
        <w:rPr>
          <w:sz w:val="20"/>
          <w:szCs w:val="20"/>
          <w:rtl/>
        </w:rPr>
        <w:t>ל“תלמיד</w:t>
      </w:r>
      <w:proofErr w:type="spellEnd"/>
      <w:r>
        <w:rPr>
          <w:sz w:val="20"/>
          <w:szCs w:val="20"/>
          <w:rtl/>
        </w:rPr>
        <w:t xml:space="preserve"> חכם ידוע” לפתוח ישיבה משלו. כששאל ר׳ ירוחם: “כיצד נוכל להעביר לישיבה אחרת את הבחורים שגידלנו והעמדנו על רמה גבוהה?” השיב </w:t>
      </w:r>
      <w:proofErr w:type="spellStart"/>
      <w:r>
        <w:rPr>
          <w:sz w:val="20"/>
          <w:szCs w:val="20"/>
          <w:rtl/>
        </w:rPr>
        <w:t>החפץ־חיים</w:t>
      </w:r>
      <w:proofErr w:type="spellEnd"/>
      <w:r>
        <w:rPr>
          <w:sz w:val="20"/>
          <w:szCs w:val="20"/>
          <w:rtl/>
        </w:rPr>
        <w:t xml:space="preserve">: “מה ההבדל – הישיבה שלי, הישיבה שלך? העיקר הוא כבוד שמים, ומה עניין ‘שלי׳ </w:t>
      </w:r>
      <w:proofErr w:type="spellStart"/>
      <w:r>
        <w:rPr>
          <w:sz w:val="20"/>
          <w:szCs w:val="20"/>
          <w:rtl/>
        </w:rPr>
        <w:t>ו‘שלך</w:t>
      </w:r>
      <w:proofErr w:type="spellEnd"/>
      <w:r>
        <w:rPr>
          <w:sz w:val="20"/>
          <w:szCs w:val="20"/>
          <w:rtl/>
        </w:rPr>
        <w:t>׳ לכאן?!”</w:t>
      </w:r>
    </w:p>
    <w:p w14:paraId="7B9A56C6" w14:textId="77777777" w:rsidR="00AB3647" w:rsidRDefault="00000000">
      <w:pPr>
        <w:spacing w:after="0" w:before="0"/>
        <w:jc w:val="both"/>
      </w:pPr>
      <w:r>
        <w:rPr>
          <w:sz w:val="20"/>
          <w:szCs w:val="20"/>
          <w:rtl/>
        </w:rPr>
        <w:t xml:space="preserve">ב־26 בפברואר 2001 הביא ר׳ שלמה לורנץ לידיעתי שגם </w:t>
      </w:r>
      <w:proofErr w:type="spellStart"/>
      <w:r>
        <w:rPr>
          <w:sz w:val="20"/>
          <w:szCs w:val="20"/>
          <w:rtl/>
        </w:rPr>
        <w:t>לר</w:t>
      </w:r>
      <w:proofErr w:type="spellEnd"/>
      <w:r>
        <w:rPr>
          <w:sz w:val="20"/>
          <w:szCs w:val="20"/>
          <w:rtl/>
        </w:rPr>
        <w:t xml:space="preserve">׳ אהרן קוטלר הייתה גישה דומה כלפי מוסדו, בית מדרש גבוה </w:t>
      </w:r>
      <w:proofErr w:type="spellStart"/>
      <w:r>
        <w:rPr>
          <w:sz w:val="20"/>
          <w:szCs w:val="20"/>
          <w:rtl/>
        </w:rPr>
        <w:t>בלייקווד</w:t>
      </w:r>
      <w:proofErr w:type="spellEnd"/>
      <w:r>
        <w:rPr>
          <w:sz w:val="20"/>
          <w:szCs w:val="20"/>
          <w:rtl/>
        </w:rPr>
        <w:t xml:space="preserve">. ר׳ שלמה העלה זיכרונות מביקורו בן כמה חודשים בארצות הברית באמצע שנות </w:t>
      </w:r>
      <w:proofErr w:type="spellStart"/>
      <w:r>
        <w:rPr>
          <w:sz w:val="20"/>
          <w:szCs w:val="20"/>
          <w:rtl/>
        </w:rPr>
        <w:t>התש״י</w:t>
      </w:r>
      <w:proofErr w:type="spellEnd"/>
      <w:r>
        <w:rPr>
          <w:sz w:val="20"/>
          <w:szCs w:val="20"/>
          <w:rtl/>
        </w:rPr>
        <w:t xml:space="preserve">, כשנהג לבלות את ערביו בביקורים אצל יהודים עשירים, כדי לבקש את תמיכתם </w:t>
      </w:r>
      <w:proofErr w:type="spellStart"/>
      <w:r>
        <w:rPr>
          <w:sz w:val="20"/>
          <w:szCs w:val="20"/>
          <w:rtl/>
        </w:rPr>
        <w:t>ב“חינוך</w:t>
      </w:r>
      <w:proofErr w:type="spellEnd"/>
      <w:r>
        <w:rPr>
          <w:sz w:val="20"/>
          <w:szCs w:val="20"/>
          <w:rtl/>
        </w:rPr>
        <w:t xml:space="preserve"> עצמאי”, שנוסד זמן קצר קודם לכן.</w:t>
      </w:r>
    </w:p>
    <w:p w14:paraId="6AFFEEED" w14:textId="77777777" w:rsidR="00AB3647" w:rsidRDefault="00000000">
      <w:pPr>
        <w:spacing w:after="0" w:before="0"/>
        <w:jc w:val="both"/>
      </w:pPr>
      <w:r>
        <w:rPr>
          <w:sz w:val="20"/>
          <w:szCs w:val="20"/>
          <w:rtl/>
        </w:rPr>
        <w:t xml:space="preserve">“ליוויתי בסבבים הללו את ר׳ משה </w:t>
      </w:r>
      <w:proofErr w:type="spellStart"/>
      <w:r>
        <w:rPr>
          <w:sz w:val="20"/>
          <w:szCs w:val="20"/>
          <w:rtl/>
        </w:rPr>
        <w:t>פיינשטיין</w:t>
      </w:r>
      <w:proofErr w:type="spellEnd"/>
      <w:r>
        <w:rPr>
          <w:sz w:val="20"/>
          <w:szCs w:val="20"/>
          <w:rtl/>
        </w:rPr>
        <w:t xml:space="preserve">, את אביך ואת ר׳ אהרן קוטלר, ולעיתים קרובות גם את האדמו״ר </w:t>
      </w:r>
      <w:proofErr w:type="spellStart"/>
      <w:r>
        <w:rPr>
          <w:sz w:val="20"/>
          <w:szCs w:val="20"/>
          <w:rtl/>
        </w:rPr>
        <w:t>מקופיטשניץ</w:t>
      </w:r>
      <w:proofErr w:type="spellEnd"/>
      <w:r>
        <w:rPr>
          <w:sz w:val="20"/>
          <w:szCs w:val="20"/>
          <w:rtl/>
        </w:rPr>
        <w:t xml:space="preserve"> ר׳ </w:t>
      </w:r>
      <w:proofErr w:type="spellStart"/>
      <w:r>
        <w:rPr>
          <w:sz w:val="20"/>
          <w:szCs w:val="20"/>
          <w:rtl/>
        </w:rPr>
        <w:t>אברהם־יהושע</w:t>
      </w:r>
      <w:proofErr w:type="spellEnd"/>
      <w:r>
        <w:rPr>
          <w:sz w:val="20"/>
          <w:szCs w:val="20"/>
          <w:rtl/>
        </w:rPr>
        <w:t xml:space="preserve"> </w:t>
      </w:r>
      <w:proofErr w:type="spellStart"/>
      <w:r>
        <w:rPr>
          <w:sz w:val="20"/>
          <w:szCs w:val="20"/>
          <w:rtl/>
        </w:rPr>
        <w:t>העשיל</w:t>
      </w:r>
      <w:proofErr w:type="spellEnd"/>
      <w:r>
        <w:rPr>
          <w:sz w:val="20"/>
          <w:szCs w:val="20"/>
          <w:rtl/>
        </w:rPr>
        <w:t xml:space="preserve">, ולפעמים גם את האדמו״ר </w:t>
      </w:r>
      <w:proofErr w:type="spellStart"/>
      <w:r>
        <w:rPr>
          <w:sz w:val="20"/>
          <w:szCs w:val="20"/>
          <w:rtl/>
        </w:rPr>
        <w:t>מנובומינסק</w:t>
      </w:r>
      <w:proofErr w:type="spellEnd"/>
      <w:r>
        <w:rPr>
          <w:sz w:val="20"/>
          <w:szCs w:val="20"/>
          <w:rtl/>
        </w:rPr>
        <w:t xml:space="preserve"> ר׳ </w:t>
      </w:r>
      <w:proofErr w:type="spellStart"/>
      <w:r>
        <w:rPr>
          <w:sz w:val="20"/>
          <w:szCs w:val="20"/>
          <w:rtl/>
        </w:rPr>
        <w:t>נחום־מרדכי</w:t>
      </w:r>
      <w:proofErr w:type="spellEnd"/>
      <w:r>
        <w:rPr>
          <w:sz w:val="20"/>
          <w:szCs w:val="20"/>
          <w:rtl/>
        </w:rPr>
        <w:t xml:space="preserve"> </w:t>
      </w:r>
      <w:proofErr w:type="spellStart"/>
      <w:r>
        <w:rPr>
          <w:sz w:val="20"/>
          <w:szCs w:val="20"/>
          <w:rtl/>
        </w:rPr>
        <w:t>פרלוב</w:t>
      </w:r>
      <w:proofErr w:type="spellEnd"/>
      <w:r>
        <w:rPr>
          <w:sz w:val="20"/>
          <w:szCs w:val="20"/>
          <w:rtl/>
        </w:rPr>
        <w:t xml:space="preserve">”, אמר. “זו הייתה תקופה שבה היהודים האמריקאים העשירים השתייכו כולם לדור הקודם, שלפני המלחמה, שלא העריך במיוחד את גדולי התורה שבאו לבקש את עזרתם – ולא הייתה לנו הצלחה רבה. ר׳ אהרן השקיע כל כך הרבה מאמצים בחינוך עצמאי, עד שמנהלי בית מדרש גבוה העירו לו שישיבתו שלו נפגעת מכך. הוא השיב: ‘אתם צודקים שאני מפסיד את התמיכה הנחוצה לבית מדרש גבוה, אבל נראה לי שחשוב יותר לקיים את חינוך עצמאי מאשר את ישיבת </w:t>
      </w:r>
      <w:proofErr w:type="spellStart"/>
      <w:r>
        <w:rPr>
          <w:sz w:val="20"/>
          <w:szCs w:val="20"/>
          <w:rtl/>
        </w:rPr>
        <w:t>לייקווד</w:t>
      </w:r>
      <w:proofErr w:type="spellEnd"/>
      <w:r>
        <w:rPr>
          <w:sz w:val="20"/>
          <w:szCs w:val="20"/>
          <w:rtl/>
        </w:rPr>
        <w:t>’”. בהתחשב בתפיסתו של ר׳ אהרן בדבר תפקידו הייחודי של בית מדרש גבוה – ללמד “כיצד ללמוד”, כמתואר בפרק 3, בפסקה השנייה של נספח ה – דבריו מפתיעים במיוחד.</w:t>
      </w:r>
    </w:p>
    <w:p w14:paraId="777DE3D2" w14:textId="77777777" w:rsidR="00AB3647" w:rsidRDefault="00000000">
      <w:pPr>
        <w:spacing w:after="0" w:before="0"/>
        <w:jc w:val="both"/>
      </w:pPr>
      <w:r>
        <w:rPr>
          <w:sz w:val="20"/>
          <w:szCs w:val="20"/>
          <w:rtl/>
        </w:rPr>
        <w:t xml:space="preserve">ר׳ שלמה לורנץ סיפר גם שהרבנית </w:t>
      </w:r>
      <w:proofErr w:type="spellStart"/>
      <w:r>
        <w:rPr>
          <w:sz w:val="20"/>
          <w:szCs w:val="20"/>
          <w:rtl/>
        </w:rPr>
        <w:t>פיינשטיין</w:t>
      </w:r>
      <w:proofErr w:type="spellEnd"/>
      <w:r>
        <w:rPr>
          <w:sz w:val="20"/>
          <w:szCs w:val="20"/>
          <w:rtl/>
        </w:rPr>
        <w:t xml:space="preserve">, שהקפידה לשמור על בריאות בעלה, הורתה לו להחזיר את ר׳ משה הביתה עד השעה תשע, כדי שתוכל להגיש לו את ארוחת הערב בזמן; בפועל, ר׳ משה היה מגיע הביתה בדרך כלל </w:t>
      </w:r>
      <w:proofErr w:type="spellStart"/>
      <w:r>
        <w:rPr>
          <w:sz w:val="20"/>
          <w:szCs w:val="20"/>
          <w:rtl/>
        </w:rPr>
        <w:t>באחת־עשרה</w:t>
      </w:r>
      <w:proofErr w:type="spellEnd"/>
      <w:r>
        <w:rPr>
          <w:sz w:val="20"/>
          <w:szCs w:val="20"/>
          <w:rtl/>
        </w:rPr>
        <w:t xml:space="preserve"> בלילה או מאוחר יותר.</w:t>
      </w:r>
    </w:p>
    <w:p w14:paraId="3399D485" w14:textId="77777777" w:rsidR="00AB3647" w:rsidRDefault="00000000">
      <w:pPr>
        <w:spacing w:after="0" w:before="0"/>
        <w:jc w:val="both"/>
      </w:pPr>
      <w:r>
        <w:rPr>
          <w:sz w:val="20"/>
          <w:szCs w:val="20"/>
          <w:rtl/>
        </w:rPr>
        <w:t xml:space="preserve">עוד סיפר ר׳ שלמה לורנץ את המעשה הבא, כדי להמחיש עד כמה לא הכירו בגדולי התורה באותה תקופה. יום אחד הביא את ארבעת הגדולים הראשונים שהוזכרו לעיל למשרדו של איש עסקים בולט, ואמר לפקידת הקבלה שהרבנים </w:t>
      </w:r>
      <w:proofErr w:type="spellStart"/>
      <w:r>
        <w:rPr>
          <w:sz w:val="20"/>
          <w:szCs w:val="20"/>
          <w:rtl/>
        </w:rPr>
        <w:t>פיינשטיין</w:t>
      </w:r>
      <w:proofErr w:type="spellEnd"/>
      <w:r>
        <w:rPr>
          <w:sz w:val="20"/>
          <w:szCs w:val="20"/>
          <w:rtl/>
        </w:rPr>
        <w:t xml:space="preserve">, </w:t>
      </w:r>
      <w:proofErr w:type="spellStart"/>
      <w:r>
        <w:rPr>
          <w:sz w:val="20"/>
          <w:szCs w:val="20"/>
          <w:rtl/>
        </w:rPr>
        <w:t>העשיל</w:t>
      </w:r>
      <w:proofErr w:type="spellEnd"/>
      <w:r>
        <w:rPr>
          <w:sz w:val="20"/>
          <w:szCs w:val="20"/>
          <w:rtl/>
        </w:rPr>
        <w:t xml:space="preserve">, </w:t>
      </w:r>
      <w:proofErr w:type="spellStart"/>
      <w:r>
        <w:rPr>
          <w:sz w:val="20"/>
          <w:szCs w:val="20"/>
          <w:rtl/>
        </w:rPr>
        <w:t>קמינצקי</w:t>
      </w:r>
      <w:proofErr w:type="spellEnd"/>
      <w:r>
        <w:rPr>
          <w:sz w:val="20"/>
          <w:szCs w:val="20"/>
          <w:rtl/>
        </w:rPr>
        <w:t xml:space="preserve"> וקוטלר מבקשים לפגוש את מעסיקה. היא נכנסה למשרד הפנימי, חזרה אל הקבוצה הנכבדה במבט מושפל ומסרה – בשקר גלוי – שמעסיקה אינו נמצא. הרבנים הנבוכים הביטו זה בזה, ולא נותר להם אלא ללכת.</w:t>
      </w:r>
    </w:p>
    <w:p w14:paraId="2F7AB514" w14:textId="77777777" w:rsidR="00AB3647" w:rsidRDefault="00000000">
      <w:pPr>
        <w:spacing w:after="0" w:before="0"/>
        <w:jc w:val="both"/>
      </w:pPr>
      <w:r>
        <w:rPr>
          <w:sz w:val="20"/>
          <w:szCs w:val="20"/>
          <w:rtl/>
        </w:rPr>
        <w:t xml:space="preserve">אבל ר׳ שלמה נשאר עוד רגע והגיש לפקידה את כרטיס הביקור שלו, ועליו נכתב: “חבר הכנסת של מדינת ישראל”. היא מיהרה לשוב אל המשרד הפנימי, ואיש העסקים יצא מיד – והזדעזע למשמע דברי התוכחה החריפים ביותר שיצאו מפי המבקר: “אין כל שיעור </w:t>
      </w:r>
      <w:proofErr w:type="spellStart"/>
      <w:r>
        <w:rPr>
          <w:sz w:val="20"/>
          <w:szCs w:val="20"/>
          <w:rtl/>
        </w:rPr>
        <w:t>לגיהנם</w:t>
      </w:r>
      <w:proofErr w:type="spellEnd"/>
      <w:r>
        <w:rPr>
          <w:sz w:val="20"/>
          <w:szCs w:val="20"/>
          <w:rtl/>
        </w:rPr>
        <w:t xml:space="preserve"> שתסבול: גדולי התורה שבעולם באו למשרדך וסירבת לקבלם, ובמקום זאת אתה חולק כבוד לפוליטיקאי צעיר וחסר ערך שכמותי!” האיש הנכלם הבין מיד איזו שטות עשה, וקרא בבהלה ובמבוכה: “מה אני יכול לעשות עכשיו?” השיב ר׳ שלמה: “נסה להשיג אותם לפני שיגיעו למעלית; ואם כבר החמצת אותם, רוץ לרחוב ומצא אותם”. האיש זינק ממשרדו, השיג את הרבנים כשעמדו להיכנס למעלית, והפציר בהם לשוב למשרדו. מטבע הדברים תרם לחינוך עצמאי סכום גדול בהרבה מזה שהמשלחת קיוותה מלכתחילה לקבל ממנו.</w:t>
      </w:r>
    </w:p>
  </w:footnote>
  <w:footnote w:id="3824">
    <w:p w14:paraId="1181940A" w14:textId="77777777" w:rsidR="00AB3647" w:rsidRDefault="00000000">
      <w:pPr>
        <w:spacing w:after="0" w:before="0"/>
        <w:jc w:val="both"/>
      </w:pPr>
      <w:r>
        <w:rPr>
          <w:sz w:val="20"/>
          <w:szCs w:val="20"/>
          <w:rtl/>
        </w:rPr>
        <w:footnoteRef/>
      </w:r>
      <w:r>
        <w:rPr>
          <w:sz w:val="20"/>
          <w:szCs w:val="20"/>
          <w:rtl/>
        </w:rPr>
        <w:t xml:space="preserve">. הרב דב כץ שרטט קווים לתולדותיו בסוף “מגילת רות עם פירוש נחלת יוסף”, חיבורו המשובח של ר׳ </w:t>
      </w:r>
      <w:proofErr w:type="spellStart"/>
      <w:r>
        <w:rPr>
          <w:sz w:val="20"/>
          <w:szCs w:val="20"/>
          <w:rtl/>
        </w:rPr>
        <w:t>יוסף־זאב</w:t>
      </w:r>
      <w:proofErr w:type="spellEnd"/>
      <w:r>
        <w:rPr>
          <w:sz w:val="20"/>
          <w:szCs w:val="20"/>
          <w:rtl/>
        </w:rPr>
        <w:t xml:space="preserve"> </w:t>
      </w:r>
      <w:proofErr w:type="spellStart"/>
      <w:r>
        <w:rPr>
          <w:sz w:val="20"/>
          <w:szCs w:val="20"/>
          <w:rtl/>
        </w:rPr>
        <w:t>ליפוביץ</w:t>
      </w:r>
      <w:proofErr w:type="spellEnd"/>
      <w:r>
        <w:rPr>
          <w:sz w:val="20"/>
          <w:szCs w:val="20"/>
          <w:rtl/>
        </w:rPr>
        <w:t xml:space="preserve"> (“דפוס ועריכה חדשים”, ללא מקום ושנת דפוס).</w:t>
      </w:r>
    </w:p>
  </w:footnote>
  <w:footnote w:id="3825">
    <w:p w14:paraId="3318F9F5" w14:textId="77777777" w:rsidR="00AB3647" w:rsidRDefault="00000000">
      <w:pPr>
        <w:spacing w:after="0" w:before="0"/>
        <w:jc w:val="both"/>
      </w:pPr>
      <w:r>
        <w:rPr>
          <w:sz w:val="20"/>
          <w:szCs w:val="20"/>
          <w:rtl/>
        </w:rPr>
        <w:footnoteRef/>
      </w:r>
      <w:r>
        <w:rPr>
          <w:sz w:val="20"/>
          <w:szCs w:val="20"/>
          <w:rtl/>
        </w:rPr>
        <w:t>. המקור הנזכר בפרק 1, הערה 1 – כרך 3, עמ׳ 128.</w:t>
      </w:r>
    </w:p>
  </w:footnote>
  <w:footnote w:id="3826">
    <w:p w14:paraId="6039F9ED" w14:textId="77777777" w:rsidR="00AB3647" w:rsidRDefault="00000000">
      <w:pPr>
        <w:spacing w:after="0" w:before="0"/>
        <w:jc w:val="both"/>
      </w:pPr>
      <w:r>
        <w:rPr>
          <w:sz w:val="20"/>
          <w:szCs w:val="20"/>
          <w:rtl/>
        </w:rPr>
        <w:footnoteRef/>
      </w:r>
      <w:r>
        <w:rPr>
          <w:sz w:val="20"/>
          <w:szCs w:val="20"/>
          <w:rtl/>
        </w:rPr>
        <w:t>. שם, עמ׳ 125–133.</w:t>
      </w:r>
    </w:p>
  </w:footnote>
  <w:footnote w:id="3827">
    <w:p w14:paraId="2B35F5B4" w14:textId="77777777" w:rsidR="00AB3647" w:rsidRDefault="00000000">
      <w:pPr>
        <w:spacing w:after="0" w:before="0"/>
        <w:jc w:val="both"/>
      </w:pPr>
      <w:r>
        <w:rPr>
          <w:sz w:val="20"/>
          <w:szCs w:val="20"/>
          <w:rtl/>
        </w:rPr>
        <w:footnoteRef/>
      </w:r>
      <w:r>
        <w:rPr>
          <w:sz w:val="20"/>
          <w:szCs w:val="20"/>
          <w:rtl/>
        </w:rPr>
        <w:t>. עמ׳ 128.</w:t>
      </w:r>
    </w:p>
  </w:footnote>
  <w:footnote w:id="3828">
    <w:p w14:paraId="501FD6DA" w14:textId="77777777" w:rsidR="00AB3647" w:rsidRDefault="00000000">
      <w:pPr>
        <w:spacing w:after="0" w:before="0"/>
        <w:jc w:val="both"/>
      </w:pPr>
      <w:r>
        <w:rPr>
          <w:sz w:val="20"/>
          <w:szCs w:val="20"/>
          <w:rtl/>
        </w:rPr>
        <w:footnoteRef/>
      </w:r>
      <w:r>
        <w:rPr>
          <w:sz w:val="20"/>
          <w:szCs w:val="20"/>
          <w:rtl/>
        </w:rPr>
        <w:t xml:space="preserve">. ראה הפסקה השנייה בנספח ז לעיל; השווה גם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(שם), עמ׳ 256–258, שלפיו התגורר ר׳ ישראל בממל </w:t>
      </w:r>
      <w:proofErr w:type="spellStart"/>
      <w:r>
        <w:rPr>
          <w:sz w:val="20"/>
          <w:szCs w:val="20"/>
          <w:rtl/>
        </w:rPr>
        <w:t>תשע־עשרה</w:t>
      </w:r>
      <w:proofErr w:type="spellEnd"/>
      <w:r>
        <w:rPr>
          <w:sz w:val="20"/>
          <w:szCs w:val="20"/>
          <w:rtl/>
        </w:rPr>
        <w:t xml:space="preserve"> שנה – התקופה הארוכה ביותר שבילה במקום אחד בחייו.</w:t>
      </w:r>
    </w:p>
  </w:footnote>
  <w:footnote w:id="3829">
    <w:p w14:paraId="70824894" w14:textId="77777777" w:rsidR="00AB3647" w:rsidRDefault="00000000">
      <w:pPr>
        <w:spacing w:after="0" w:before="0"/>
        <w:jc w:val="both"/>
      </w:pPr>
      <w:r>
        <w:rPr>
          <w:sz w:val="20"/>
          <w:szCs w:val="20"/>
          <w:rtl/>
        </w:rPr>
        <w:footnoteRef/>
      </w:r>
      <w:r>
        <w:rPr>
          <w:sz w:val="20"/>
          <w:szCs w:val="20"/>
          <w:rtl/>
        </w:rPr>
        <w:t xml:space="preserve">. טעות דומה מופיעה </w:t>
      </w:r>
      <w:proofErr w:type="spellStart"/>
      <w:r>
        <w:rPr>
          <w:sz w:val="20"/>
          <w:szCs w:val="20"/>
          <w:rtl/>
        </w:rPr>
        <w:t>ב“תולדות</w:t>
      </w:r>
      <w:proofErr w:type="spellEnd"/>
      <w:r>
        <w:rPr>
          <w:sz w:val="20"/>
          <w:szCs w:val="20"/>
          <w:rtl/>
        </w:rPr>
        <w:t xml:space="preserve"> אנשי שם” (המקור הנזכר בפרק 3, סוף נספח ז), עמ׳ 48, בתולדותיו הקצרות של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יליד </w:t>
      </w:r>
      <w:proofErr w:type="spellStart"/>
      <w:r>
        <w:rPr>
          <w:sz w:val="20"/>
          <w:szCs w:val="20"/>
          <w:rtl/>
        </w:rPr>
        <w:t>ציטוביאן</w:t>
      </w:r>
      <w:proofErr w:type="spellEnd"/>
      <w:r>
        <w:rPr>
          <w:sz w:val="20"/>
          <w:szCs w:val="20"/>
          <w:rtl/>
        </w:rPr>
        <w:t xml:space="preserve">: נאמר שם שלמד אצל ר׳ לייזר גורדון </w:t>
      </w:r>
      <w:proofErr w:type="spellStart"/>
      <w:r>
        <w:rPr>
          <w:sz w:val="20"/>
          <w:szCs w:val="20"/>
          <w:rtl/>
        </w:rPr>
        <w:t>בטלז</w:t>
      </w:r>
      <w:proofErr w:type="spellEnd"/>
      <w:r>
        <w:rPr>
          <w:sz w:val="20"/>
          <w:szCs w:val="20"/>
          <w:rtl/>
        </w:rPr>
        <w:t xml:space="preserve">, ואילו למעשה למד אצלו כשר׳ לייזר היה עדיין </w:t>
      </w:r>
      <w:proofErr w:type="spellStart"/>
      <w:r>
        <w:rPr>
          <w:sz w:val="20"/>
          <w:szCs w:val="20"/>
          <w:rtl/>
        </w:rPr>
        <w:t>בקלם</w:t>
      </w:r>
      <w:proofErr w:type="spellEnd"/>
      <w:r>
        <w:rPr>
          <w:sz w:val="20"/>
          <w:szCs w:val="20"/>
          <w:rtl/>
        </w:rPr>
        <w:t xml:space="preserve">. ר׳ </w:t>
      </w:r>
      <w:proofErr w:type="spellStart"/>
      <w:r>
        <w:rPr>
          <w:sz w:val="20"/>
          <w:szCs w:val="20"/>
          <w:rtl/>
        </w:rPr>
        <w:t>משה־שמעון</w:t>
      </w:r>
      <w:proofErr w:type="spellEnd"/>
      <w:r>
        <w:rPr>
          <w:sz w:val="20"/>
          <w:szCs w:val="20"/>
          <w:rtl/>
        </w:rPr>
        <w:t xml:space="preserve"> </w:t>
      </w:r>
      <w:proofErr w:type="spellStart"/>
      <w:r>
        <w:rPr>
          <w:sz w:val="20"/>
          <w:szCs w:val="20"/>
          <w:rtl/>
        </w:rPr>
        <w:t>זיוויץ</w:t>
      </w:r>
      <w:proofErr w:type="spellEnd"/>
      <w:r>
        <w:rPr>
          <w:sz w:val="20"/>
          <w:szCs w:val="20"/>
          <w:rtl/>
        </w:rPr>
        <w:t xml:space="preserve"> שימש רבה של </w:t>
      </w:r>
      <w:proofErr w:type="spellStart"/>
      <w:r>
        <w:rPr>
          <w:sz w:val="20"/>
          <w:szCs w:val="20"/>
          <w:rtl/>
        </w:rPr>
        <w:t>פיקלן</w:t>
      </w:r>
      <w:proofErr w:type="spellEnd"/>
      <w:r>
        <w:rPr>
          <w:sz w:val="20"/>
          <w:szCs w:val="20"/>
          <w:rtl/>
        </w:rPr>
        <w:t xml:space="preserve">, כ־50 קילומטר מצפון </w:t>
      </w:r>
      <w:proofErr w:type="spellStart"/>
      <w:r>
        <w:rPr>
          <w:sz w:val="20"/>
          <w:szCs w:val="20"/>
          <w:rtl/>
        </w:rPr>
        <w:t>לטלז</w:t>
      </w:r>
      <w:proofErr w:type="spellEnd"/>
      <w:r>
        <w:rPr>
          <w:sz w:val="20"/>
          <w:szCs w:val="20"/>
          <w:rtl/>
        </w:rPr>
        <w:t xml:space="preserve">, עד שהיגר לארצות הברית </w:t>
      </w:r>
      <w:proofErr w:type="spellStart"/>
      <w:r>
        <w:rPr>
          <w:sz w:val="20"/>
          <w:szCs w:val="20"/>
          <w:rtl/>
        </w:rPr>
        <w:t>בתרמ״ו</w:t>
      </w:r>
      <w:proofErr w:type="spellEnd"/>
      <w:r>
        <w:rPr>
          <w:sz w:val="20"/>
          <w:szCs w:val="20"/>
          <w:rtl/>
        </w:rPr>
        <w:t xml:space="preserve">, בשליחותו של ר׳ </w:t>
      </w:r>
      <w:proofErr w:type="spellStart"/>
      <w:r>
        <w:rPr>
          <w:sz w:val="20"/>
          <w:szCs w:val="20"/>
          <w:rtl/>
        </w:rPr>
        <w:t>יצחק־אלחנן</w:t>
      </w:r>
      <w:proofErr w:type="spellEnd"/>
      <w:r>
        <w:rPr>
          <w:sz w:val="20"/>
          <w:szCs w:val="20"/>
          <w:rtl/>
        </w:rPr>
        <w:t>. בכל חמישים שנות חייו באמריקה היה רבה של פיטסבורג, פרט לשנתיים הראשונות, שבהן כיהן כרב בבולטימור.</w:t>
      </w:r>
    </w:p>
  </w:footnote>
  <w:footnote w:id="3830">
    <w:p w14:paraId="5127385F"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יז</w:t>
      </w:r>
      <w:proofErr w:type="spellEnd"/>
      <w:r>
        <w:rPr>
          <w:sz w:val="20"/>
          <w:szCs w:val="20"/>
          <w:rtl/>
        </w:rPr>
        <w:t xml:space="preserve"> – עמ׳ 264. אף שהספר “יובל המאה” יצא לאור בידי ישיבת </w:t>
      </w:r>
      <w:proofErr w:type="spellStart"/>
      <w:r>
        <w:rPr>
          <w:sz w:val="20"/>
          <w:szCs w:val="20"/>
          <w:rtl/>
        </w:rPr>
        <w:t>טלז</w:t>
      </w:r>
      <w:proofErr w:type="spellEnd"/>
      <w:r>
        <w:rPr>
          <w:sz w:val="20"/>
          <w:szCs w:val="20"/>
          <w:rtl/>
        </w:rPr>
        <w:t xml:space="preserve"> </w:t>
      </w:r>
      <w:proofErr w:type="spellStart"/>
      <w:r>
        <w:rPr>
          <w:sz w:val="20"/>
          <w:szCs w:val="20"/>
          <w:rtl/>
        </w:rPr>
        <w:t>בקליבלנד</w:t>
      </w:r>
      <w:proofErr w:type="spellEnd"/>
      <w:r>
        <w:rPr>
          <w:sz w:val="20"/>
          <w:szCs w:val="20"/>
          <w:rtl/>
        </w:rPr>
        <w:t xml:space="preserve">, אין הוא טוען שר׳ לייזר גורדון ייסד את ישיבת </w:t>
      </w:r>
      <w:proofErr w:type="spellStart"/>
      <w:r>
        <w:rPr>
          <w:sz w:val="20"/>
          <w:szCs w:val="20"/>
          <w:rtl/>
        </w:rPr>
        <w:t>טלז</w:t>
      </w:r>
      <w:proofErr w:type="spellEnd"/>
      <w:r>
        <w:rPr>
          <w:sz w:val="20"/>
          <w:szCs w:val="20"/>
          <w:rtl/>
        </w:rPr>
        <w:t xml:space="preserve">, כפי שטוענת הכתובת שהציבו יהודי לונדון על מצבתו (ראה סוף נספח יא להלן). “יובל המאה” קובע שם נכונה: “בשנת תרמ״א, משנתקבל ר׳ אליעזר גורדון ז״ל לרבה של </w:t>
      </w:r>
      <w:proofErr w:type="spellStart"/>
      <w:r>
        <w:rPr>
          <w:sz w:val="20"/>
          <w:szCs w:val="20"/>
          <w:rtl/>
        </w:rPr>
        <w:t>טלז</w:t>
      </w:r>
      <w:proofErr w:type="spellEnd"/>
      <w:r>
        <w:rPr>
          <w:sz w:val="20"/>
          <w:szCs w:val="20"/>
          <w:rtl/>
        </w:rPr>
        <w:t>, אנו מונים את ימי פריחתה ושגשוגה של הישיבה”.</w:t>
      </w:r>
    </w:p>
  </w:footnote>
  <w:footnote w:id="3831">
    <w:p w14:paraId="68AA6FD9" w14:textId="77777777" w:rsidR="00AB3647" w:rsidRDefault="00000000">
      <w:pPr>
        <w:spacing w:after="0" w:before="0"/>
        <w:jc w:val="both"/>
      </w:pPr>
      <w:r>
        <w:rPr>
          <w:sz w:val="20"/>
          <w:szCs w:val="20"/>
          <w:rtl/>
        </w:rPr>
        <w:footnoteRef/>
      </w:r>
      <w:r>
        <w:rPr>
          <w:sz w:val="20"/>
          <w:szCs w:val="20"/>
          <w:rtl/>
        </w:rPr>
        <w:t xml:space="preserve">. ראה פרק 2, הערה 106, בעניין השיחה עם אברכי הכולל; וראה נספח </w:t>
      </w:r>
      <w:proofErr w:type="spellStart"/>
      <w:r>
        <w:rPr>
          <w:sz w:val="20"/>
          <w:szCs w:val="20"/>
          <w:rtl/>
        </w:rPr>
        <w:t>יב</w:t>
      </w:r>
      <w:proofErr w:type="spellEnd"/>
      <w:r>
        <w:rPr>
          <w:sz w:val="20"/>
          <w:szCs w:val="20"/>
          <w:rtl/>
        </w:rPr>
        <w:t xml:space="preserve"> בפרק זה.</w:t>
      </w:r>
    </w:p>
  </w:footnote>
  <w:footnote w:id="3832">
    <w:p w14:paraId="6D91C1C7" w14:textId="77777777" w:rsidR="00AB3647" w:rsidRDefault="00000000">
      <w:pPr>
        <w:spacing w:after="0" w:before="0"/>
        <w:jc w:val="both"/>
      </w:pPr>
      <w:r>
        <w:rPr>
          <w:sz w:val="20"/>
          <w:szCs w:val="20"/>
          <w:rtl/>
        </w:rPr>
        <w:footnoteRef/>
      </w:r>
      <w:r>
        <w:rPr>
          <w:sz w:val="20"/>
          <w:szCs w:val="20"/>
          <w:rtl/>
        </w:rPr>
        <w:t>. עמ׳ 29 והערה 17 שם.</w:t>
      </w:r>
    </w:p>
  </w:footnote>
  <w:footnote w:id="3833">
    <w:p w14:paraId="0BC3E95B" w14:textId="77777777" w:rsidR="00AB3647" w:rsidRDefault="00000000">
      <w:pPr>
        <w:spacing w:after="0" w:before="0"/>
        <w:jc w:val="both"/>
      </w:pPr>
      <w:r>
        <w:rPr>
          <w:sz w:val="20"/>
          <w:szCs w:val="20"/>
          <w:rtl/>
        </w:rPr>
        <w:footnoteRef/>
      </w:r>
      <w:r>
        <w:rPr>
          <w:sz w:val="20"/>
          <w:szCs w:val="20"/>
          <w:rtl/>
        </w:rPr>
        <w:t xml:space="preserve">. הדבר חוזר בהקדמת “ספר פקוח נפש” </w:t>
      </w:r>
      <w:proofErr w:type="spellStart"/>
      <w:r>
        <w:rPr>
          <w:sz w:val="20"/>
          <w:szCs w:val="20"/>
          <w:rtl/>
        </w:rPr>
        <w:t>לר</w:t>
      </w:r>
      <w:proofErr w:type="spellEnd"/>
      <w:r>
        <w:rPr>
          <w:sz w:val="20"/>
          <w:szCs w:val="20"/>
          <w:rtl/>
        </w:rPr>
        <w:t xml:space="preserve">׳ </w:t>
      </w:r>
      <w:proofErr w:type="spellStart"/>
      <w:r>
        <w:rPr>
          <w:sz w:val="20"/>
          <w:szCs w:val="20"/>
          <w:rtl/>
        </w:rPr>
        <w:t>אליהו־מאיר</w:t>
      </w:r>
      <w:proofErr w:type="spellEnd"/>
      <w:r>
        <w:rPr>
          <w:sz w:val="20"/>
          <w:szCs w:val="20"/>
          <w:rtl/>
        </w:rPr>
        <w:t xml:space="preserve"> </w:t>
      </w:r>
      <w:proofErr w:type="spellStart"/>
      <w:r>
        <w:rPr>
          <w:sz w:val="20"/>
          <w:szCs w:val="20"/>
          <w:rtl/>
        </w:rPr>
        <w:t>פייבלזון</w:t>
      </w:r>
      <w:proofErr w:type="spellEnd"/>
      <w:r>
        <w:rPr>
          <w:sz w:val="20"/>
          <w:szCs w:val="20"/>
          <w:rtl/>
        </w:rPr>
        <w:t xml:space="preserve"> (המקור הנזכר בפרק 3, הפסקה הראשונה של נספח כה), עמ׳ ג, שכץ אינו מצטט.</w:t>
      </w:r>
    </w:p>
  </w:footnote>
  <w:footnote w:id="3834">
    <w:p w14:paraId="75DBF77C" w14:textId="77777777" w:rsidR="00AB3647" w:rsidRDefault="00000000">
      <w:pPr>
        <w:spacing w:after="0" w:before="0"/>
        <w:jc w:val="both"/>
      </w:pPr>
      <w:r>
        <w:rPr>
          <w:sz w:val="20"/>
          <w:szCs w:val="20"/>
          <w:rtl/>
        </w:rPr>
        <w:footnoteRef/>
      </w:r>
      <w:r>
        <w:rPr>
          <w:sz w:val="20"/>
          <w:szCs w:val="20"/>
          <w:rtl/>
        </w:rPr>
        <w:t xml:space="preserve">. תמוה </w:t>
      </w:r>
      <w:proofErr w:type="spellStart"/>
      <w:r>
        <w:rPr>
          <w:sz w:val="20"/>
          <w:szCs w:val="20"/>
          <w:rtl/>
        </w:rPr>
        <w:t>ש“יובל</w:t>
      </w:r>
      <w:proofErr w:type="spellEnd"/>
      <w:r>
        <w:rPr>
          <w:sz w:val="20"/>
          <w:szCs w:val="20"/>
          <w:rtl/>
        </w:rPr>
        <w:t xml:space="preserve"> המאה” מקדים את ייסוד הישיבה של “שלושת האברכים” בשנתיים אף לעומת השנה שטענו לה “אנשי ישיבת </w:t>
      </w:r>
      <w:proofErr w:type="spellStart"/>
      <w:r>
        <w:rPr>
          <w:sz w:val="20"/>
          <w:szCs w:val="20"/>
          <w:rtl/>
        </w:rPr>
        <w:t>טלז</w:t>
      </w:r>
      <w:proofErr w:type="spellEnd"/>
      <w:r>
        <w:rPr>
          <w:sz w:val="20"/>
          <w:szCs w:val="20"/>
          <w:rtl/>
        </w:rPr>
        <w:t>”, שאותה הפריך כץ – ובסך הכול בשש שנים לפני ייסודה בפועל.</w:t>
      </w:r>
    </w:p>
  </w:footnote>
  <w:footnote w:id="3835">
    <w:p w14:paraId="12B24F6E" w14:textId="77777777" w:rsidR="00AB3647" w:rsidRDefault="00000000">
      <w:pPr>
        <w:spacing w:after="0" w:before="0"/>
        <w:jc w:val="both"/>
      </w:pPr>
      <w:r>
        <w:rPr>
          <w:sz w:val="20"/>
          <w:szCs w:val="20"/>
          <w:rtl/>
        </w:rPr>
        <w:footnoteRef/>
      </w:r>
      <w:r>
        <w:rPr>
          <w:sz w:val="20"/>
          <w:szCs w:val="20"/>
          <w:rtl/>
        </w:rPr>
        <w:t xml:space="preserve">. לעניין מינויו של ר׳ לייזר, “יובל המאה” סותר את עצמו בעמ׳ 265, שם נאמר (ובצדק) שכיהן </w:t>
      </w:r>
      <w:proofErr w:type="spellStart"/>
      <w:r>
        <w:rPr>
          <w:sz w:val="20"/>
          <w:szCs w:val="20"/>
          <w:rtl/>
        </w:rPr>
        <w:t>בקלם</w:t>
      </w:r>
      <w:proofErr w:type="spellEnd"/>
      <w:r>
        <w:rPr>
          <w:sz w:val="20"/>
          <w:szCs w:val="20"/>
          <w:rtl/>
        </w:rPr>
        <w:t xml:space="preserve"> עשר שנים לאחר שנתמנה שם </w:t>
      </w:r>
      <w:proofErr w:type="spellStart"/>
      <w:r>
        <w:rPr>
          <w:sz w:val="20"/>
          <w:szCs w:val="20"/>
          <w:rtl/>
        </w:rPr>
        <w:t>בתרל״ד</w:t>
      </w:r>
      <w:proofErr w:type="spellEnd"/>
      <w:r>
        <w:rPr>
          <w:sz w:val="20"/>
          <w:szCs w:val="20"/>
          <w:rtl/>
        </w:rPr>
        <w:t>.</w:t>
      </w:r>
    </w:p>
  </w:footnote>
  <w:footnote w:id="3836">
    <w:p w14:paraId="0BCE4254"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“אור ליום ב׳ מקץ תרמ״ג” הוא ליל כ״ג בכסלו, ולא כ״ד בכסלו.</w:t>
      </w:r>
    </w:p>
  </w:footnote>
  <w:footnote w:id="3837">
    <w:p w14:paraId="5D9DDA58" w14:textId="77777777" w:rsidR="00AB3647" w:rsidRDefault="00000000">
      <w:pPr>
        <w:spacing w:after="0" w:before="0"/>
        <w:jc w:val="both"/>
      </w:pPr>
      <w:r>
        <w:rPr>
          <w:sz w:val="20"/>
          <w:szCs w:val="20"/>
          <w:rtl/>
        </w:rPr>
        <w:footnoteRef/>
      </w:r>
      <w:r>
        <w:rPr>
          <w:sz w:val="20"/>
          <w:szCs w:val="20"/>
          <w:rtl/>
        </w:rPr>
        <w:t>. שם, עמ׳ 131.</w:t>
      </w:r>
    </w:p>
  </w:footnote>
  <w:footnote w:id="3838">
    <w:p w14:paraId="014851E5" w14:textId="77777777" w:rsidR="00AB3647" w:rsidRDefault="00000000">
      <w:pPr>
        <w:spacing w:after="0" w:before="0"/>
        <w:jc w:val="both"/>
      </w:pPr>
      <w:r>
        <w:rPr>
          <w:sz w:val="20"/>
          <w:szCs w:val="20"/>
          <w:rtl/>
        </w:rPr>
        <w:footnoteRef/>
      </w:r>
      <w:r>
        <w:rPr>
          <w:sz w:val="20"/>
          <w:szCs w:val="20"/>
          <w:rtl/>
        </w:rPr>
        <w:t>. שם, עמ׳ 125.</w:t>
      </w:r>
    </w:p>
  </w:footnote>
  <w:footnote w:id="3839">
    <w:p w14:paraId="4E7A6049" w14:textId="77777777" w:rsidR="00AB3647" w:rsidRDefault="00000000">
      <w:pPr>
        <w:spacing w:after="0" w:before="0"/>
        <w:jc w:val="both"/>
      </w:pPr>
      <w:r>
        <w:rPr>
          <w:sz w:val="20"/>
          <w:szCs w:val="20"/>
          <w:rtl/>
        </w:rPr>
        <w:footnoteRef/>
      </w:r>
      <w:r>
        <w:rPr>
          <w:sz w:val="20"/>
          <w:szCs w:val="20"/>
          <w:rtl/>
        </w:rPr>
        <w:t xml:space="preserve">. יש להוסיף שייתכן שר׳ ישראל בא לקובנה לא מממל אלא ממינסק (ראה פרק 5, הפסקה השביעית של נספח ב); ואם כך, מכיוון שבנסיעה ממינסק </w:t>
      </w:r>
      <w:proofErr w:type="spellStart"/>
      <w:r>
        <w:rPr>
          <w:sz w:val="20"/>
          <w:szCs w:val="20"/>
          <w:rtl/>
        </w:rPr>
        <w:t>לקלם</w:t>
      </w:r>
      <w:proofErr w:type="spellEnd"/>
      <w:r>
        <w:rPr>
          <w:sz w:val="20"/>
          <w:szCs w:val="20"/>
          <w:rtl/>
        </w:rPr>
        <w:t xml:space="preserve"> מגיעים תחילה לקובנה, מסעו </w:t>
      </w:r>
      <w:proofErr w:type="spellStart"/>
      <w:r>
        <w:rPr>
          <w:sz w:val="20"/>
          <w:szCs w:val="20"/>
          <w:rtl/>
        </w:rPr>
        <w:t>לקלם</w:t>
      </w:r>
      <w:proofErr w:type="spellEnd"/>
      <w:r>
        <w:rPr>
          <w:sz w:val="20"/>
          <w:szCs w:val="20"/>
          <w:rtl/>
        </w:rPr>
        <w:t xml:space="preserve"> לפני שהגיע לקובנה לא היה סטייה קלה מן הדרך, כאמור לעיל, אלא נסיעה מיוחדת שנועדה לסייע לתלמידו לשעבר להרשים את הברון הצעיר והעשיר במעלתה של הישיבה.</w:t>
      </w:r>
    </w:p>
  </w:footnote>
  <w:footnote w:id="3840">
    <w:p w14:paraId="47CCB3CB" w14:textId="77777777" w:rsidR="00AB3647" w:rsidRDefault="00000000">
      <w:pPr>
        <w:spacing w:after="0" w:before="0"/>
        <w:jc w:val="both"/>
      </w:pPr>
      <w:r>
        <w:rPr>
          <w:sz w:val="20"/>
          <w:szCs w:val="20"/>
          <w:rtl/>
        </w:rPr>
        <w:footnoteRef/>
      </w:r>
      <w:r>
        <w:rPr>
          <w:sz w:val="20"/>
          <w:szCs w:val="20"/>
          <w:rtl/>
        </w:rPr>
        <w:t xml:space="preserve">. אפשר שבאותו זמן מסר ר׳ ישראל בעל פה </w:t>
      </w:r>
      <w:proofErr w:type="spellStart"/>
      <w:r>
        <w:rPr>
          <w:sz w:val="20"/>
          <w:szCs w:val="20"/>
          <w:rtl/>
        </w:rPr>
        <w:t>לר</w:t>
      </w:r>
      <w:proofErr w:type="spellEnd"/>
      <w:r>
        <w:rPr>
          <w:sz w:val="20"/>
          <w:szCs w:val="20"/>
          <w:rtl/>
        </w:rPr>
        <w:t xml:space="preserve">׳ </w:t>
      </w:r>
      <w:proofErr w:type="spellStart"/>
      <w:r>
        <w:rPr>
          <w:sz w:val="20"/>
          <w:szCs w:val="20"/>
          <w:rtl/>
        </w:rPr>
        <w:t>שמחה־זיסל</w:t>
      </w:r>
      <w:proofErr w:type="spellEnd"/>
      <w:r>
        <w:rPr>
          <w:sz w:val="20"/>
          <w:szCs w:val="20"/>
          <w:rtl/>
        </w:rPr>
        <w:t xml:space="preserve"> זיו גם הנחיות כיצד לנהל את בית הספר שתכנן </w:t>
      </w:r>
      <w:proofErr w:type="spellStart"/>
      <w:r>
        <w:rPr>
          <w:sz w:val="20"/>
          <w:szCs w:val="20"/>
          <w:rtl/>
        </w:rPr>
        <w:t>בגרובין</w:t>
      </w:r>
      <w:proofErr w:type="spellEnd"/>
      <w:r>
        <w:rPr>
          <w:sz w:val="20"/>
          <w:szCs w:val="20"/>
          <w:rtl/>
        </w:rPr>
        <w:t xml:space="preserve">. ראה המכתב שהובא מספרו של כץ, “תנועת המוסר”, כרך ב, עמ׳ 216–217, בפרק 3, נספח כה, ובו כתב ר׳ </w:t>
      </w:r>
      <w:proofErr w:type="spellStart"/>
      <w:r>
        <w:rPr>
          <w:sz w:val="20"/>
          <w:szCs w:val="20"/>
          <w:rtl/>
        </w:rPr>
        <w:t>שמחה־זיסל</w:t>
      </w:r>
      <w:proofErr w:type="spellEnd"/>
      <w:r>
        <w:rPr>
          <w:sz w:val="20"/>
          <w:szCs w:val="20"/>
          <w:rtl/>
        </w:rPr>
        <w:t xml:space="preserve"> זיו שרבו “אמר לי בפירוש...”. הנחיות אלה הן שאילצו אותו לבסוף לסגור את בית הספר </w:t>
      </w:r>
      <w:proofErr w:type="spellStart"/>
      <w:r>
        <w:rPr>
          <w:sz w:val="20"/>
          <w:szCs w:val="20"/>
          <w:rtl/>
        </w:rPr>
        <w:t>בגרובין</w:t>
      </w:r>
      <w:proofErr w:type="spellEnd"/>
      <w:r>
        <w:rPr>
          <w:sz w:val="20"/>
          <w:szCs w:val="20"/>
          <w:rtl/>
        </w:rPr>
        <w:t xml:space="preserve">, לאחר פטירת ר׳ ישראל, מפני שלא היה בכוחו עוד לעמוד בהן – כפי שהוצע בפרק 3, הפסקה השנייה של נספח </w:t>
      </w:r>
      <w:proofErr w:type="spellStart"/>
      <w:r>
        <w:rPr>
          <w:sz w:val="20"/>
          <w:szCs w:val="20"/>
          <w:rtl/>
        </w:rPr>
        <w:t>יז</w:t>
      </w:r>
      <w:proofErr w:type="spellEnd"/>
      <w:r>
        <w:rPr>
          <w:sz w:val="20"/>
          <w:szCs w:val="20"/>
          <w:rtl/>
        </w:rPr>
        <w:t>.</w:t>
      </w:r>
    </w:p>
  </w:footnote>
  <w:footnote w:id="3841">
    <w:p w14:paraId="131A5355" w14:textId="77777777" w:rsidR="00AB3647" w:rsidRDefault="00000000">
      <w:pPr>
        <w:spacing w:after="0" w:before="0"/>
        <w:jc w:val="both"/>
      </w:pPr>
      <w:r>
        <w:rPr>
          <w:sz w:val="20"/>
          <w:szCs w:val="20"/>
          <w:rtl/>
        </w:rPr>
        <w:footnoteRef/>
      </w:r>
      <w:r>
        <w:rPr>
          <w:sz w:val="20"/>
          <w:szCs w:val="20"/>
          <w:rtl/>
        </w:rPr>
        <w:t>. נספח ז לעיל – עמ׳ 358.</w:t>
      </w:r>
    </w:p>
  </w:footnote>
  <w:footnote w:id="3842">
    <w:p w14:paraId="73FB9C86" w14:textId="77777777" w:rsidR="00AB3647" w:rsidRDefault="00000000">
      <w:pPr>
        <w:spacing w:after="0" w:before="0"/>
        <w:jc w:val="both"/>
      </w:pPr>
      <w:r>
        <w:rPr>
          <w:sz w:val="20"/>
          <w:szCs w:val="20"/>
          <w:rtl/>
        </w:rPr>
        <w:footnoteRef/>
      </w:r>
      <w:r>
        <w:rPr>
          <w:sz w:val="20"/>
          <w:szCs w:val="20"/>
          <w:rtl/>
        </w:rPr>
        <w:t>. ריאיון, 3 באוגוסט 1999.</w:t>
      </w:r>
    </w:p>
  </w:footnote>
  <w:footnote w:id="3843">
    <w:p w14:paraId="16B0A6CF" w14:textId="77777777" w:rsidR="00AB3647" w:rsidRDefault="00000000">
      <w:pPr>
        <w:spacing w:after="0" w:before="0"/>
        <w:jc w:val="both"/>
      </w:pPr>
      <w:r>
        <w:rPr>
          <w:sz w:val="20"/>
          <w:szCs w:val="20"/>
          <w:rtl/>
        </w:rPr>
        <w:footnoteRef/>
      </w:r>
      <w:r>
        <w:rPr>
          <w:sz w:val="20"/>
          <w:szCs w:val="20"/>
          <w:rtl/>
        </w:rPr>
        <w:t xml:space="preserve">. נראה שזו גרסה ששונתה מעט מן הדברים שמסר ר׳ אריה לוין בשם </w:t>
      </w:r>
      <w:proofErr w:type="spellStart"/>
      <w:r>
        <w:rPr>
          <w:sz w:val="20"/>
          <w:szCs w:val="20"/>
          <w:rtl/>
        </w:rPr>
        <w:t>החפץ־חיים</w:t>
      </w:r>
      <w:proofErr w:type="spellEnd"/>
      <w:r>
        <w:rPr>
          <w:sz w:val="20"/>
          <w:szCs w:val="20"/>
          <w:rtl/>
        </w:rPr>
        <w:t xml:space="preserve"> </w:t>
      </w:r>
      <w:proofErr w:type="spellStart"/>
      <w:r>
        <w:rPr>
          <w:sz w:val="20"/>
          <w:szCs w:val="20"/>
          <w:rtl/>
        </w:rPr>
        <w:t>ב“הערות</w:t>
      </w:r>
      <w:proofErr w:type="spellEnd"/>
      <w:r>
        <w:rPr>
          <w:sz w:val="20"/>
          <w:szCs w:val="20"/>
          <w:rtl/>
        </w:rPr>
        <w:t xml:space="preserve"> הלשם” שלו (הפסקה השנייה של נספח ז לעיל).</w:t>
      </w:r>
    </w:p>
  </w:footnote>
  <w:footnote w:id="3844">
    <w:p w14:paraId="11FC1CDB" w14:textId="77777777" w:rsidR="00AB3647" w:rsidRDefault="00000000">
      <w:pPr>
        <w:spacing w:after="0" w:before="0"/>
        <w:jc w:val="both"/>
      </w:pPr>
      <w:r>
        <w:rPr>
          <w:sz w:val="20"/>
          <w:szCs w:val="20"/>
          <w:rtl/>
        </w:rPr>
        <w:footnoteRef/>
      </w:r>
      <w:r>
        <w:rPr>
          <w:sz w:val="20"/>
          <w:szCs w:val="20"/>
          <w:rtl/>
        </w:rPr>
        <w:t>. ראה הפסקה השנייה של נספח ז לעיל.</w:t>
      </w:r>
    </w:p>
  </w:footnote>
  <w:footnote w:id="3845">
    <w:p w14:paraId="0FEBC63E"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ב“הערות</w:t>
      </w:r>
      <w:proofErr w:type="spellEnd"/>
      <w:r>
        <w:rPr>
          <w:sz w:val="20"/>
          <w:szCs w:val="20"/>
          <w:rtl/>
        </w:rPr>
        <w:t xml:space="preserve"> הלשם”.</w:t>
      </w:r>
    </w:p>
  </w:footnote>
  <w:footnote w:id="3846">
    <w:p w14:paraId="6320F357" w14:textId="77777777" w:rsidR="00AB3647" w:rsidRDefault="00000000">
      <w:pPr>
        <w:spacing w:after="0" w:before="0"/>
        <w:jc w:val="both"/>
      </w:pPr>
      <w:r>
        <w:rPr>
          <w:sz w:val="20"/>
          <w:szCs w:val="20"/>
          <w:rtl/>
        </w:rPr>
        <w:footnoteRef/>
      </w:r>
      <w:r>
        <w:rPr>
          <w:sz w:val="20"/>
          <w:szCs w:val="20"/>
          <w:rtl/>
        </w:rPr>
        <w:t>. עמ׳ 456–460 בספרו של כץ, “תנועת המוסר”, כרך ב, מוקדשים לו.</w:t>
      </w:r>
    </w:p>
  </w:footnote>
  <w:footnote w:id="3847">
    <w:p w14:paraId="02244101" w14:textId="77777777" w:rsidR="00AB3647" w:rsidRDefault="00000000">
      <w:pPr>
        <w:spacing w:after="0" w:before="0"/>
        <w:jc w:val="both"/>
      </w:pPr>
      <w:r>
        <w:rPr>
          <w:sz w:val="20"/>
          <w:szCs w:val="20"/>
          <w:rtl/>
        </w:rPr>
        <w:footnoteRef/>
      </w:r>
      <w:r>
        <w:rPr>
          <w:sz w:val="20"/>
          <w:szCs w:val="20"/>
          <w:rtl/>
        </w:rPr>
        <w:t xml:space="preserve">. ראה “שמואל בדורו”, ביוגרפיה של ר׳ שמואל </w:t>
      </w:r>
      <w:proofErr w:type="spellStart"/>
      <w:r>
        <w:rPr>
          <w:sz w:val="20"/>
          <w:szCs w:val="20"/>
          <w:rtl/>
        </w:rPr>
        <w:t>סלנט</w:t>
      </w:r>
      <w:proofErr w:type="spellEnd"/>
      <w:r>
        <w:rPr>
          <w:sz w:val="20"/>
          <w:szCs w:val="20"/>
          <w:rtl/>
        </w:rPr>
        <w:t xml:space="preserve"> (רבה של ירושלים, תר״א–תרס״ט), “כתבו וערכו יעקב רימון ויוסף </w:t>
      </w:r>
      <w:proofErr w:type="spellStart"/>
      <w:r>
        <w:rPr>
          <w:sz w:val="20"/>
          <w:szCs w:val="20"/>
          <w:rtl/>
        </w:rPr>
        <w:t>זונדל</w:t>
      </w:r>
      <w:proofErr w:type="spellEnd"/>
      <w:r>
        <w:rPr>
          <w:sz w:val="20"/>
          <w:szCs w:val="20"/>
          <w:rtl/>
        </w:rPr>
        <w:t xml:space="preserve"> וסרמן” (הוצאת “מסלול”, תל אביב, תשכ״א), עמ׳ ט: בשנותיו המוקדמות של ר׳ ישראל, כשלמד </w:t>
      </w:r>
      <w:proofErr w:type="spellStart"/>
      <w:r>
        <w:rPr>
          <w:sz w:val="20"/>
          <w:szCs w:val="20"/>
          <w:rtl/>
        </w:rPr>
        <w:t>בסלנט</w:t>
      </w:r>
      <w:proofErr w:type="spellEnd"/>
      <w:r>
        <w:rPr>
          <w:sz w:val="20"/>
          <w:szCs w:val="20"/>
          <w:rtl/>
        </w:rPr>
        <w:t xml:space="preserve"> אצל ר׳ </w:t>
      </w:r>
      <w:proofErr w:type="spellStart"/>
      <w:r>
        <w:rPr>
          <w:sz w:val="20"/>
          <w:szCs w:val="20"/>
          <w:rtl/>
        </w:rPr>
        <w:t>צבי־הירש</w:t>
      </w:r>
      <w:proofErr w:type="spellEnd"/>
      <w:r>
        <w:rPr>
          <w:sz w:val="20"/>
          <w:szCs w:val="20"/>
          <w:rtl/>
        </w:rPr>
        <w:t xml:space="preserve"> </w:t>
      </w:r>
      <w:proofErr w:type="spellStart"/>
      <w:r>
        <w:rPr>
          <w:sz w:val="20"/>
          <w:szCs w:val="20"/>
          <w:rtl/>
        </w:rPr>
        <w:t>ברוידא</w:t>
      </w:r>
      <w:proofErr w:type="spellEnd"/>
      <w:r>
        <w:rPr>
          <w:sz w:val="20"/>
          <w:szCs w:val="20"/>
          <w:rtl/>
        </w:rPr>
        <w:t xml:space="preserve"> יחד עם ר׳ שמואל, שהיה צעיר ממנו בחמש שנים, החליטו שני החברים שלא ללמוד קבלה.</w:t>
      </w:r>
    </w:p>
  </w:footnote>
  <w:footnote w:id="3848">
    <w:p w14:paraId="43DE622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לז</w:t>
      </w:r>
      <w:proofErr w:type="spellEnd"/>
      <w:r>
        <w:rPr>
          <w:sz w:val="20"/>
          <w:szCs w:val="20"/>
          <w:rtl/>
        </w:rPr>
        <w:t>–לח.</w:t>
      </w:r>
    </w:p>
  </w:footnote>
  <w:footnote w:id="3849">
    <w:p w14:paraId="45688B79" w14:textId="77777777" w:rsidR="00AB3647" w:rsidRDefault="00000000">
      <w:pPr>
        <w:spacing w:after="0" w:before="0"/>
        <w:jc w:val="both"/>
      </w:pPr>
      <w:r>
        <w:rPr>
          <w:sz w:val="20"/>
          <w:szCs w:val="20"/>
          <w:rtl/>
        </w:rPr>
        <w:footnoteRef/>
      </w:r>
      <w:r>
        <w:rPr>
          <w:sz w:val="20"/>
          <w:szCs w:val="20"/>
          <w:rtl/>
        </w:rPr>
        <w:t xml:space="preserve">. השווה גם הערה 92 לעיל: הוא מסר שיעורים בתלמוד התורה של ר׳ </w:t>
      </w:r>
      <w:proofErr w:type="spellStart"/>
      <w:r>
        <w:rPr>
          <w:sz w:val="20"/>
          <w:szCs w:val="20"/>
          <w:rtl/>
        </w:rPr>
        <w:t>שמחה־זיסל</w:t>
      </w:r>
      <w:proofErr w:type="spellEnd"/>
      <w:r>
        <w:rPr>
          <w:sz w:val="20"/>
          <w:szCs w:val="20"/>
          <w:rtl/>
        </w:rPr>
        <w:t xml:space="preserve"> בעיר (לפני שעבר </w:t>
      </w:r>
      <w:proofErr w:type="spellStart"/>
      <w:r>
        <w:rPr>
          <w:sz w:val="20"/>
          <w:szCs w:val="20"/>
          <w:rtl/>
        </w:rPr>
        <w:t>לגרובין</w:t>
      </w:r>
      <w:proofErr w:type="spellEnd"/>
      <w:r>
        <w:rPr>
          <w:sz w:val="20"/>
          <w:szCs w:val="20"/>
          <w:rtl/>
        </w:rPr>
        <w:t>).</w:t>
      </w:r>
    </w:p>
  </w:footnote>
  <w:footnote w:id="3850">
    <w:p w14:paraId="56BB83DC" w14:textId="77777777" w:rsidR="00AB3647" w:rsidRDefault="00000000">
      <w:pPr>
        <w:spacing w:after="0" w:before="0"/>
        <w:jc w:val="both"/>
      </w:pPr>
      <w:r>
        <w:rPr>
          <w:sz w:val="20"/>
          <w:szCs w:val="20"/>
          <w:rtl/>
        </w:rPr>
        <w:footnoteRef/>
      </w:r>
      <w:r>
        <w:rPr>
          <w:sz w:val="20"/>
          <w:szCs w:val="20"/>
          <w:rtl/>
        </w:rPr>
        <w:t>. המקור הנזכר בפרק 1, הערה 13 – עמ׳ 289–298.</w:t>
      </w:r>
    </w:p>
  </w:footnote>
  <w:footnote w:id="3851">
    <w:p w14:paraId="72BE8621"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יט</w:t>
      </w:r>
      <w:proofErr w:type="spellEnd"/>
      <w:r>
        <w:rPr>
          <w:sz w:val="20"/>
          <w:szCs w:val="20"/>
          <w:rtl/>
        </w:rPr>
        <w:t>.</w:t>
      </w:r>
    </w:p>
  </w:footnote>
  <w:footnote w:id="3852">
    <w:p w14:paraId="122C9FD2" w14:textId="77777777" w:rsidR="00AB3647" w:rsidRDefault="00000000">
      <w:pPr>
        <w:spacing w:after="0" w:before="0"/>
        <w:jc w:val="both"/>
      </w:pPr>
      <w:r>
        <w:rPr>
          <w:sz w:val="20"/>
          <w:szCs w:val="20"/>
          <w:rtl/>
        </w:rPr>
        <w:footnoteRef/>
      </w:r>
      <w:r>
        <w:rPr>
          <w:sz w:val="20"/>
          <w:szCs w:val="20"/>
          <w:rtl/>
        </w:rPr>
        <w:t>. כרך 2, עמ׳ 5.</w:t>
      </w:r>
    </w:p>
  </w:footnote>
  <w:footnote w:id="3853">
    <w:p w14:paraId="54FBEA45"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נז</w:t>
      </w:r>
      <w:proofErr w:type="spellEnd"/>
      <w:r>
        <w:rPr>
          <w:sz w:val="20"/>
          <w:szCs w:val="20"/>
          <w:rtl/>
        </w:rPr>
        <w:t>.</w:t>
      </w:r>
    </w:p>
  </w:footnote>
  <w:footnote w:id="3854">
    <w:p w14:paraId="5F572EA2" w14:textId="77777777" w:rsidR="00AB3647" w:rsidRDefault="00000000">
      <w:pPr>
        <w:spacing w:after="0" w:before="0"/>
        <w:jc w:val="both"/>
      </w:pPr>
      <w:r>
        <w:rPr>
          <w:sz w:val="20"/>
          <w:szCs w:val="20"/>
          <w:rtl/>
        </w:rPr>
        <w:footnoteRef/>
      </w:r>
      <w:r>
        <w:rPr>
          <w:sz w:val="20"/>
          <w:szCs w:val="20"/>
          <w:rtl/>
        </w:rPr>
        <w:t>. כרך 1, עמ׳ 177.</w:t>
      </w:r>
    </w:p>
  </w:footnote>
  <w:footnote w:id="3855">
    <w:p w14:paraId="2EA4E753" w14:textId="77777777" w:rsidR="00AB3647" w:rsidRDefault="00000000">
      <w:pPr>
        <w:spacing w:after="0" w:before="0"/>
        <w:jc w:val="both"/>
      </w:pPr>
      <w:r>
        <w:rPr>
          <w:sz w:val="20"/>
          <w:szCs w:val="20"/>
          <w:rtl/>
        </w:rPr>
        <w:footnoteRef/>
      </w:r>
      <w:r>
        <w:rPr>
          <w:sz w:val="20"/>
          <w:szCs w:val="20"/>
          <w:rtl/>
        </w:rPr>
        <w:t xml:space="preserve">. השווה פרק 5, הפסקה השנייה של נספח ב, לפרטים נוספים על עזיבתו של ר׳ ישראל את וילנה </w:t>
      </w:r>
      <w:proofErr w:type="spellStart"/>
      <w:r>
        <w:rPr>
          <w:sz w:val="20"/>
          <w:szCs w:val="20"/>
          <w:rtl/>
        </w:rPr>
        <w:t>בתר״ט</w:t>
      </w:r>
      <w:proofErr w:type="spellEnd"/>
      <w:r>
        <w:rPr>
          <w:sz w:val="20"/>
          <w:szCs w:val="20"/>
          <w:rtl/>
        </w:rPr>
        <w:t xml:space="preserve"> ועל הקשר בינה לבין ההצעה שקיבל למשרה זו.</w:t>
      </w:r>
    </w:p>
  </w:footnote>
  <w:footnote w:id="3856">
    <w:p w14:paraId="074B3944" w14:textId="77777777" w:rsidR="00AB3647" w:rsidRDefault="00000000">
      <w:pPr>
        <w:spacing w:after="0" w:before="0"/>
        <w:jc w:val="both"/>
      </w:pPr>
      <w:r>
        <w:rPr>
          <w:sz w:val="20"/>
          <w:szCs w:val="20"/>
          <w:rtl/>
        </w:rPr>
        <w:footnoteRef/>
      </w:r>
      <w:r>
        <w:rPr>
          <w:sz w:val="20"/>
          <w:szCs w:val="20"/>
          <w:rtl/>
        </w:rPr>
        <w:t xml:space="preserve">. להגדרה אחרת של ר׳ ישראל </w:t>
      </w:r>
      <w:proofErr w:type="spellStart"/>
      <w:r>
        <w:rPr>
          <w:sz w:val="20"/>
          <w:szCs w:val="20"/>
          <w:rtl/>
        </w:rPr>
        <w:t>סלנטר</w:t>
      </w:r>
      <w:proofErr w:type="spellEnd"/>
      <w:r>
        <w:rPr>
          <w:sz w:val="20"/>
          <w:szCs w:val="20"/>
          <w:rtl/>
        </w:rPr>
        <w:t xml:space="preserve"> למה שהישיבה מייצגת, ראה פרק 3, הפסקה השלישית של נספח ד.</w:t>
      </w:r>
    </w:p>
  </w:footnote>
  <w:footnote w:id="3857">
    <w:p w14:paraId="6BE09E92" w14:textId="77777777" w:rsidR="00AB3647" w:rsidRDefault="00000000">
      <w:pPr>
        <w:spacing w:after="0" w:before="0"/>
        <w:jc w:val="both"/>
      </w:pPr>
      <w:r>
        <w:rPr>
          <w:sz w:val="20"/>
          <w:szCs w:val="20"/>
          <w:rtl/>
        </w:rPr>
        <w:footnoteRef/>
      </w:r>
      <w:r>
        <w:rPr>
          <w:sz w:val="20"/>
          <w:szCs w:val="20"/>
          <w:rtl/>
        </w:rPr>
        <w:t xml:space="preserve">. כנראה בזכות הרקע הליטאי הזה סיגל לעצמו את הכבוד שרוחשים </w:t>
      </w:r>
      <w:proofErr w:type="spellStart"/>
      <w:r>
        <w:rPr>
          <w:sz w:val="20"/>
          <w:szCs w:val="20"/>
          <w:rtl/>
        </w:rPr>
        <w:t>בזאמוט</w:t>
      </w:r>
      <w:proofErr w:type="spellEnd"/>
      <w:r>
        <w:rPr>
          <w:sz w:val="20"/>
          <w:szCs w:val="20"/>
          <w:rtl/>
        </w:rPr>
        <w:t xml:space="preserve"> לגדולי תורה, ותמך תמיכה מוסרית </w:t>
      </w:r>
      <w:proofErr w:type="spellStart"/>
      <w:r>
        <w:rPr>
          <w:sz w:val="20"/>
          <w:szCs w:val="20"/>
          <w:rtl/>
        </w:rPr>
        <w:t>במלבי״ם</w:t>
      </w:r>
      <w:proofErr w:type="spellEnd"/>
      <w:r>
        <w:rPr>
          <w:sz w:val="20"/>
          <w:szCs w:val="20"/>
          <w:rtl/>
        </w:rPr>
        <w:t xml:space="preserve"> כשנדד לפריז לאחר שגורש מרבנות בוקרשט. השווה פרק 5, הפסקה השנייה של נספח ב, </w:t>
      </w:r>
      <w:proofErr w:type="spellStart"/>
      <w:r>
        <w:rPr>
          <w:sz w:val="20"/>
          <w:szCs w:val="20"/>
          <w:rtl/>
        </w:rPr>
        <w:t>ו“המלבי״ם</w:t>
      </w:r>
      <w:proofErr w:type="spellEnd"/>
      <w:r>
        <w:rPr>
          <w:sz w:val="20"/>
          <w:szCs w:val="20"/>
          <w:rtl/>
        </w:rPr>
        <w:t xml:space="preserve">” (המקור הנזכר בהערה </w:t>
      </w:r>
      <w:r>
        <w:rPr>
          <w:sz w:val="20"/>
          <w:szCs w:val="20"/>
          <w:rtl/>
        </w:rPr>
        <w:fldChar w:fldCharType="begin" w:dirty="true"/>
      </w:r>
      <w:r>
        <w:rPr>
          <w:sz w:val="20"/>
          <w:szCs w:val="20"/>
          <w:rtl/>
        </w:rPr>
        <w:instrText xml:space="preserve"> NOTEREF pr_f_4659 \h </w:instrText>
      </w:r>
      <w:r>
        <w:rPr>
          <w:sz w:val="20"/>
          <w:szCs w:val="20"/>
          <w:rtl/>
        </w:rPr>
      </w:r>
      <w:r>
        <w:rPr>
          <w:sz w:val="20"/>
          <w:szCs w:val="20"/>
          <w:rtl/>
        </w:rPr>
        <w:fldChar w:fldCharType="separate"/>
      </w:r>
      <w:r w:rsidR="007923E9">
        <w:rPr>
          <w:sz w:val="20"/>
          <w:szCs w:val="20"/>
          <w:rtl/>
        </w:rPr>
        <w:t>313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pr_f_4659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43–67 ו־70.</w:t>
      </w:r>
    </w:p>
  </w:footnote>
  <w:footnote w:id="3858">
    <w:p w14:paraId="23304213" w14:textId="77777777" w:rsidR="00AB3647" w:rsidRDefault="00000000">
      <w:pPr>
        <w:spacing w:after="0" w:before="0"/>
        <w:jc w:val="both"/>
      </w:pPr>
      <w:r>
        <w:rPr>
          <w:sz w:val="20"/>
          <w:szCs w:val="20"/>
          <w:rtl/>
        </w:rPr>
        <w:footnoteRef/>
      </w:r>
      <w:r>
        <w:rPr>
          <w:sz w:val="20"/>
          <w:szCs w:val="20"/>
          <w:rtl/>
        </w:rPr>
        <w:t xml:space="preserve">. המקור הנזכר בפרק 3, הפסקה השנייה של נספח </w:t>
      </w:r>
      <w:proofErr w:type="spellStart"/>
      <w:r>
        <w:rPr>
          <w:sz w:val="20"/>
          <w:szCs w:val="20"/>
          <w:rtl/>
        </w:rPr>
        <w:t>יט</w:t>
      </w:r>
      <w:proofErr w:type="spellEnd"/>
      <w:r>
        <w:rPr>
          <w:sz w:val="20"/>
          <w:szCs w:val="20"/>
          <w:rtl/>
        </w:rPr>
        <w:t xml:space="preserve"> – עמ׳ 232.</w:t>
      </w:r>
    </w:p>
  </w:footnote>
  <w:footnote w:id="3859">
    <w:p w14:paraId="0D639046" w14:textId="77777777" w:rsidR="00AB3647" w:rsidRDefault="00000000">
      <w:pPr>
        <w:spacing w:after="0" w:before="0"/>
        <w:jc w:val="both"/>
      </w:pPr>
      <w:r>
        <w:rPr>
          <w:sz w:val="20"/>
          <w:szCs w:val="20"/>
          <w:rtl/>
        </w:rPr>
        <w:footnoteRef/>
      </w:r>
      <w:r>
        <w:rPr>
          <w:sz w:val="20"/>
          <w:szCs w:val="20"/>
          <w:rtl/>
        </w:rPr>
        <w:t>. עמ׳ 129.</w:t>
      </w:r>
    </w:p>
  </w:footnote>
  <w:footnote w:id="3860">
    <w:p w14:paraId="3FA277D7" w14:textId="77777777" w:rsidR="00AB3647" w:rsidRDefault="00000000">
      <w:pPr>
        <w:spacing w:after="0" w:before="0"/>
        <w:jc w:val="both"/>
      </w:pPr>
      <w:r>
        <w:rPr>
          <w:sz w:val="20"/>
          <w:szCs w:val="20"/>
          <w:rtl/>
        </w:rPr>
        <w:footnoteRef/>
      </w:r>
      <w:r>
        <w:rPr>
          <w:sz w:val="20"/>
          <w:szCs w:val="20"/>
          <w:rtl/>
        </w:rPr>
        <w:t>. עמ׳ 4.</w:t>
      </w:r>
    </w:p>
  </w:footnote>
  <w:footnote w:id="3861">
    <w:p w14:paraId="56DC459A"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טז</w:t>
      </w:r>
      <w:proofErr w:type="spellEnd"/>
      <w:r>
        <w:rPr>
          <w:sz w:val="20"/>
          <w:szCs w:val="20"/>
          <w:rtl/>
        </w:rPr>
        <w:t>.</w:t>
      </w:r>
    </w:p>
  </w:footnote>
  <w:footnote w:id="3862">
    <w:p w14:paraId="5B66FE42" w14:textId="77777777" w:rsidR="00AB3647" w:rsidRDefault="00000000">
      <w:pPr>
        <w:spacing w:after="0" w:before="0"/>
        <w:jc w:val="both"/>
      </w:pPr>
      <w:r>
        <w:rPr>
          <w:sz w:val="20"/>
          <w:szCs w:val="20"/>
          <w:rtl/>
        </w:rPr>
        <w:footnoteRef/>
      </w:r>
      <w:r>
        <w:rPr>
          <w:sz w:val="20"/>
          <w:szCs w:val="20"/>
          <w:rtl/>
        </w:rPr>
        <w:t>. ראה פרק 3, הערה 10, על גאון ואיש קדוש יוצא דופן זה.</w:t>
      </w:r>
    </w:p>
  </w:footnote>
  <w:footnote w:id="3863">
    <w:p w14:paraId="19351799" w14:textId="77777777" w:rsidR="00AB3647" w:rsidRDefault="00000000">
      <w:pPr>
        <w:spacing w:after="0" w:before="0"/>
        <w:jc w:val="both"/>
      </w:pPr>
      <w:r>
        <w:rPr>
          <w:sz w:val="20"/>
          <w:szCs w:val="20"/>
          <w:rtl/>
        </w:rPr>
        <w:footnoteRef/>
      </w:r>
      <w:r>
        <w:rPr>
          <w:sz w:val="20"/>
          <w:szCs w:val="20"/>
          <w:rtl/>
        </w:rPr>
        <w:t>. מט ע״ב.</w:t>
      </w:r>
    </w:p>
  </w:footnote>
  <w:footnote w:id="3864">
    <w:p w14:paraId="24D71875" w14:textId="77777777" w:rsidR="00AB3647" w:rsidRDefault="00000000">
      <w:pPr>
        <w:spacing w:after="0" w:before="0"/>
        <w:jc w:val="both"/>
      </w:pPr>
      <w:r>
        <w:rPr>
          <w:sz w:val="20"/>
          <w:szCs w:val="20"/>
          <w:rtl/>
        </w:rPr>
        <w:footnoteRef/>
      </w:r>
      <w:r>
        <w:rPr>
          <w:sz w:val="20"/>
          <w:szCs w:val="20"/>
          <w:rtl/>
        </w:rPr>
        <w:t>. עמ׳ 14–15 – מכתב מס׳ 8 (מתוארך לשנת לידתו של הברון דוד).</w:t>
      </w:r>
    </w:p>
  </w:footnote>
  <w:footnote w:id="3865">
    <w:p w14:paraId="6AD20C1B" w14:textId="77777777" w:rsidR="00AB3647" w:rsidRDefault="00000000">
      <w:pPr>
        <w:spacing w:after="0" w:before="0"/>
        <w:jc w:val="both"/>
      </w:pPr>
      <w:r>
        <w:rPr>
          <w:sz w:val="20"/>
          <w:szCs w:val="20"/>
          <w:rtl/>
        </w:rPr>
        <w:footnoteRef/>
      </w:r>
      <w:r>
        <w:rPr>
          <w:sz w:val="20"/>
          <w:szCs w:val="20"/>
          <w:rtl/>
        </w:rPr>
        <w:t>. עמ׳ 15.</w:t>
      </w:r>
    </w:p>
  </w:footnote>
  <w:footnote w:id="3866">
    <w:p w14:paraId="17274C37" w14:textId="77777777" w:rsidR="00AB3647" w:rsidRDefault="00000000">
      <w:pPr>
        <w:spacing w:after="0" w:before="0"/>
        <w:jc w:val="both"/>
      </w:pPr>
      <w:r>
        <w:rPr>
          <w:sz w:val="20"/>
          <w:szCs w:val="20"/>
          <w:rtl/>
        </w:rPr>
        <w:footnoteRef/>
      </w:r>
      <w:r>
        <w:rPr>
          <w:sz w:val="20"/>
          <w:szCs w:val="20"/>
          <w:rtl/>
        </w:rPr>
        <w:t>. עמ׳ 23–24 – מכתב מס׳ 12.</w:t>
      </w:r>
    </w:p>
  </w:footnote>
  <w:footnote w:id="3867">
    <w:p w14:paraId="59A39CBE" w14:textId="77777777" w:rsidR="00AB3647" w:rsidRDefault="00000000">
      <w:pPr>
        <w:spacing w:after="0" w:before="0"/>
        <w:jc w:val="both"/>
      </w:pPr>
      <w:r>
        <w:rPr>
          <w:sz w:val="20"/>
          <w:szCs w:val="20"/>
          <w:rtl/>
        </w:rPr>
        <w:footnoteRef/>
      </w:r>
      <w:r>
        <w:rPr>
          <w:sz w:val="20"/>
          <w:szCs w:val="20"/>
          <w:rtl/>
        </w:rPr>
        <w:t>. עמ׳ 19.</w:t>
      </w:r>
    </w:p>
  </w:footnote>
  <w:footnote w:id="3868">
    <w:p w14:paraId="74C0F8CA" w14:textId="77777777" w:rsidR="00AB3647" w:rsidRDefault="00000000">
      <w:pPr>
        <w:spacing w:after="0" w:before="0"/>
        <w:jc w:val="both"/>
      </w:pPr>
      <w:r>
        <w:rPr>
          <w:sz w:val="20"/>
          <w:szCs w:val="20"/>
          <w:rtl/>
        </w:rPr>
        <w:footnoteRef/>
      </w:r>
      <w:r>
        <w:rPr>
          <w:sz w:val="20"/>
          <w:szCs w:val="20"/>
          <w:rtl/>
        </w:rPr>
        <w:t>. מכתב מס׳ 8, ובמס׳ 8b, עמ׳ 16–17.</w:t>
      </w:r>
    </w:p>
  </w:footnote>
  <w:footnote w:id="3869">
    <w:p w14:paraId="2A15606F" w14:textId="77777777" w:rsidR="00AB3647" w:rsidRDefault="00000000">
      <w:pPr>
        <w:spacing w:after="0" w:before="0"/>
        <w:jc w:val="both"/>
      </w:pPr>
      <w:r>
        <w:rPr>
          <w:sz w:val="20"/>
          <w:szCs w:val="20"/>
          <w:rtl/>
        </w:rPr>
        <w:footnoteRef/>
      </w:r>
      <w:r>
        <w:rPr>
          <w:sz w:val="20"/>
          <w:szCs w:val="20"/>
          <w:rtl/>
        </w:rPr>
        <w:t xml:space="preserve">. שם, עמ׳ 133. שני הברונים, האב </w:t>
      </w:r>
      <w:proofErr w:type="spellStart"/>
      <w:r>
        <w:rPr>
          <w:sz w:val="20"/>
          <w:szCs w:val="20"/>
          <w:rtl/>
        </w:rPr>
        <w:t>הוראס</w:t>
      </w:r>
      <w:proofErr w:type="spellEnd"/>
      <w:r>
        <w:rPr>
          <w:sz w:val="20"/>
          <w:szCs w:val="20"/>
          <w:rtl/>
        </w:rPr>
        <w:t xml:space="preserve"> והבן דוד, קידמו את התוכנית; אף על פי כן, את </w:t>
      </w:r>
      <w:proofErr w:type="spellStart"/>
      <w:r>
        <w:rPr>
          <w:sz w:val="20"/>
          <w:szCs w:val="20"/>
          <w:rtl/>
        </w:rPr>
        <w:t>ה“טינא</w:t>
      </w:r>
      <w:proofErr w:type="spellEnd"/>
      <w:r>
        <w:rPr>
          <w:sz w:val="20"/>
          <w:szCs w:val="20"/>
          <w:rtl/>
        </w:rPr>
        <w:t xml:space="preserve">... על החרדים” שמייחס המחבר לאחד הברונים ראוי להבין כתכונה המתאימה יותר לאב מאשר לבן, שכן אופיו האדוק של הבן וצייתנותו לרבנים, כפי שיתוארו להלן, לא היו מתיישבים עם איבה ממושכת כלפי מנהיגיה הרוחניים של היהדות.</w:t>
      </w:r>
    </w:p>
  </w:footnote>
  <w:footnote w:id="3870">
    <w:p w14:paraId="11215054" w14:textId="77777777" w:rsidR="00AB3647" w:rsidRDefault="00000000">
      <w:pPr>
        <w:spacing w:after="0" w:before="0"/>
        <w:jc w:val="both"/>
      </w:pPr>
      <w:r>
        <w:rPr>
          <w:sz w:val="20"/>
          <w:szCs w:val="20"/>
          <w:rtl/>
        </w:rPr>
        <w:footnoteRef/>
      </w:r>
      <w:r>
        <w:rPr>
          <w:sz w:val="20"/>
          <w:szCs w:val="20"/>
          <w:rtl/>
        </w:rPr>
        <w:t>. שם, עמ׳ 187–188.</w:t>
      </w:r>
    </w:p>
  </w:footnote>
  <w:footnote w:id="3871">
    <w:p w14:paraId="46135D5D" w14:textId="77777777" w:rsidR="00AB3647" w:rsidRDefault="00000000">
      <w:pPr>
        <w:spacing w:after="0" w:before="0"/>
        <w:jc w:val="both"/>
      </w:pPr>
      <w:r>
        <w:rPr>
          <w:sz w:val="20"/>
          <w:szCs w:val="20"/>
          <w:rtl/>
        </w:rPr>
        <w:footnoteRef/>
      </w:r>
      <w:r>
        <w:rPr>
          <w:sz w:val="20"/>
          <w:szCs w:val="20"/>
          <w:rtl/>
        </w:rPr>
        <w:t xml:space="preserve">. המקור הנזכר בפרק 3, סוף נספח </w:t>
      </w:r>
      <w:proofErr w:type="spellStart"/>
      <w:r>
        <w:rPr>
          <w:sz w:val="20"/>
          <w:szCs w:val="20"/>
          <w:rtl/>
        </w:rPr>
        <w:t>יב</w:t>
      </w:r>
      <w:proofErr w:type="spellEnd"/>
      <w:r>
        <w:rPr>
          <w:sz w:val="20"/>
          <w:szCs w:val="20"/>
          <w:rtl/>
        </w:rPr>
        <w:t xml:space="preserve">. השווה עמ׳ </w:t>
      </w:r>
      <w:proofErr w:type="spellStart"/>
      <w:r>
        <w:rPr>
          <w:sz w:val="20"/>
          <w:szCs w:val="20"/>
          <w:rtl/>
        </w:rPr>
        <w:t>קכ</w:t>
      </w:r>
      <w:proofErr w:type="spellEnd"/>
      <w:r>
        <w:rPr>
          <w:sz w:val="20"/>
          <w:szCs w:val="20"/>
          <w:rtl/>
        </w:rPr>
        <w:t>–</w:t>
      </w:r>
      <w:proofErr w:type="spellStart"/>
      <w:r>
        <w:rPr>
          <w:sz w:val="20"/>
          <w:szCs w:val="20"/>
          <w:rtl/>
        </w:rPr>
        <w:t>קכו</w:t>
      </w:r>
      <w:proofErr w:type="spellEnd"/>
      <w:r>
        <w:rPr>
          <w:sz w:val="20"/>
          <w:szCs w:val="20"/>
          <w:rtl/>
        </w:rPr>
        <w:t xml:space="preserve"> בכרך הרביעי, בפרק בעל הכותרת המסקרנת “מנין שהרצל הניח תפילין?”.</w:t>
      </w:r>
    </w:p>
  </w:footnote>
  <w:footnote w:id="3872">
    <w:p w14:paraId="58619469"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עיר המרפא </w:t>
      </w:r>
      <w:proofErr w:type="spellStart"/>
      <w:r>
        <w:rPr>
          <w:sz w:val="20"/>
          <w:szCs w:val="20"/>
          <w:rtl/>
        </w:rPr>
        <w:t>קיסינגן</w:t>
      </w:r>
      <w:proofErr w:type="spellEnd"/>
      <w:r>
        <w:rPr>
          <w:sz w:val="20"/>
          <w:szCs w:val="20"/>
          <w:rtl/>
        </w:rPr>
        <w:t xml:space="preserve"> (באד </w:t>
      </w:r>
      <w:proofErr w:type="spellStart"/>
      <w:r>
        <w:rPr>
          <w:sz w:val="20"/>
          <w:szCs w:val="20"/>
          <w:rtl/>
        </w:rPr>
        <w:t>קיסינגן</w:t>
      </w:r>
      <w:proofErr w:type="spellEnd"/>
      <w:r>
        <w:rPr>
          <w:sz w:val="20"/>
          <w:szCs w:val="20"/>
          <w:rtl/>
        </w:rPr>
        <w:t>) שוכנת בבוואריה, ולא בפרוסיה.</w:t>
      </w:r>
    </w:p>
  </w:footnote>
  <w:footnote w:id="3873">
    <w:p w14:paraId="6FF1911F" w14:textId="77777777" w:rsidR="00AB3647" w:rsidRDefault="00000000">
      <w:pPr>
        <w:spacing w:after="0" w:before="0"/>
        <w:jc w:val="both"/>
      </w:pPr>
      <w:r>
        <w:rPr>
          <w:sz w:val="20"/>
          <w:szCs w:val="20"/>
          <w:rtl/>
        </w:rPr>
        <w:footnoteRef/>
      </w:r>
      <w:r>
        <w:rPr>
          <w:sz w:val="20"/>
          <w:szCs w:val="20"/>
          <w:rtl/>
        </w:rPr>
        <w:t>. לפי מחבר הזיכרונות, פעם התלווה אליו לשם ר׳ נטע, בנו של ר׳ יעקב הלוי ליפשיץ, שלימים הוציא לאור את “</w:t>
      </w:r>
      <w:proofErr w:type="spellStart"/>
      <w:r>
        <w:rPr>
          <w:sz w:val="20"/>
          <w:szCs w:val="20"/>
          <w:rtl/>
        </w:rPr>
        <w:t>זכרון</w:t>
      </w:r>
      <w:proofErr w:type="spellEnd"/>
      <w:r>
        <w:rPr>
          <w:sz w:val="20"/>
          <w:szCs w:val="20"/>
          <w:rtl/>
        </w:rPr>
        <w:t xml:space="preserve"> יעקב” של אביו.</w:t>
      </w:r>
    </w:p>
    <w:p w14:paraId="21595863" w14:textId="77777777" w:rsidR="00AB3647" w:rsidRDefault="00000000">
      <w:pPr>
        <w:spacing w:after="0" w:before="0"/>
        <w:jc w:val="both"/>
      </w:pPr>
      <w:r>
        <w:rPr>
          <w:sz w:val="20"/>
          <w:szCs w:val="20"/>
          <w:rtl/>
        </w:rPr>
        <w:t xml:space="preserve">אבי סיפר פעם שכאשר היה ר׳ לייזר גורדון במוסקבה, אמר לו המיליונר הגדול ר׳ </w:t>
      </w:r>
      <w:proofErr w:type="spellStart"/>
      <w:r>
        <w:rPr>
          <w:sz w:val="20"/>
          <w:szCs w:val="20"/>
          <w:rtl/>
        </w:rPr>
        <w:t>קלמן־וולף</w:t>
      </w:r>
      <w:proofErr w:type="spellEnd"/>
      <w:r>
        <w:rPr>
          <w:sz w:val="20"/>
          <w:szCs w:val="20"/>
          <w:rtl/>
        </w:rPr>
        <w:t xml:space="preserve"> ויסוצקי, שבאותו זמן “בהשפעת המשכילים כבר נתחמץ ביחס להשקפה האורתודוקסית על דברי חז״ל”: “אבל המשכילים צודקים! למשל, חז״ל אומרים שנשות ישראל במצרים ילדו שישה ילדים בבת אחת. כיצד הם אומרים דבר בלתי מתקבל על הדעת כזה בלא מקור מן המקרא?” ר׳ לייזר השיב לו מיד תשובה מבריקה ומשכנעת: “אם תחשב כמה זכרים מישראל יצאו ממצרים בטווח גיל של שבעה עשורים, מתינוקות בני יומם ועד בני שבעים – כפי שמשה רבנו מלמדנו בתהלים (צ, י), שבעים שנה היה אורך חיי אדם בזמנו – תמצא את המספר על ידי הכפלת מספר הזכרים בטווח ארבעת העשורים שבין גיל עשרים לשישים, המפורש בחומש (במדבר א, מו), 603,550, בשבעה רבעים. התוצאה היא 1,056,212. וכמה מבני ישראל היו בכורים זכרים? שוב, התורה – לא חז״ל – נותנת את המספר המדויק (במדבר ג, מג): 22,273. נמצא בכור אחד לכל 47 זכרים. אם נניח שאישה ממוצעת ילדה שמונה פעמים, בהכרח ילדה שישה תינוקות בכל לידה. אם כן, אם לומדים חומש כראוי, יודעים שחז״ל לא המציאו דבר מעצמם!”</w:t>
      </w:r>
    </w:p>
    <w:p w14:paraId="7BA086D5" w14:textId="77777777" w:rsidR="00AB3647" w:rsidRDefault="00000000">
      <w:pPr>
        <w:spacing w:after="0" w:before="0"/>
        <w:jc w:val="both"/>
      </w:pPr>
      <w:r>
        <w:rPr>
          <w:sz w:val="20"/>
          <w:szCs w:val="20"/>
          <w:rtl/>
        </w:rPr>
        <w:t xml:space="preserve">ראה גם הפסקה הראשונה של נספח </w:t>
      </w:r>
      <w:proofErr w:type="spellStart"/>
      <w:r>
        <w:rPr>
          <w:sz w:val="20"/>
          <w:szCs w:val="20"/>
          <w:rtl/>
        </w:rPr>
        <w:t>יג</w:t>
      </w:r>
      <w:proofErr w:type="spellEnd"/>
      <w:r>
        <w:rPr>
          <w:sz w:val="20"/>
          <w:szCs w:val="20"/>
          <w:rtl/>
        </w:rPr>
        <w:t xml:space="preserve"> להלן, לפרטים נוספים על יראת השמים של ר׳ </w:t>
      </w:r>
      <w:proofErr w:type="spellStart"/>
      <w:r>
        <w:rPr>
          <w:sz w:val="20"/>
          <w:szCs w:val="20"/>
          <w:rtl/>
        </w:rPr>
        <w:t>קלמן־וולף</w:t>
      </w:r>
      <w:proofErr w:type="spellEnd"/>
      <w:r>
        <w:rPr>
          <w:sz w:val="20"/>
          <w:szCs w:val="20"/>
          <w:rtl/>
        </w:rPr>
        <w:t xml:space="preserve"> ועל הידרדרותו הדתית, שעליה דיבר אבי.</w:t>
      </w:r>
    </w:p>
  </w:footnote>
  <w:footnote w:id="3874">
    <w:p w14:paraId="328763E0" w14:textId="77777777" w:rsidR="00AB3647" w:rsidRDefault="00000000">
      <w:pPr>
        <w:spacing w:after="0" w:before="0"/>
        <w:jc w:val="both"/>
      </w:pPr>
      <w:r>
        <w:rPr>
          <w:sz w:val="20"/>
          <w:szCs w:val="20"/>
          <w:rtl/>
        </w:rPr>
        <w:footnoteRef/>
      </w:r>
      <w:r>
        <w:rPr>
          <w:sz w:val="20"/>
          <w:szCs w:val="20"/>
          <w:rtl/>
        </w:rPr>
        <w:t>. השווה גם הפסקה השלישית של נספח יא להלן, על מסע ההתרמה הגורלי של ר׳ לייזר ללונדון.</w:t>
      </w:r>
    </w:p>
  </w:footnote>
  <w:footnote w:id="3875">
    <w:p w14:paraId="5ADBD94D"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קלה.</w:t>
      </w:r>
    </w:p>
  </w:footnote>
  <w:footnote w:id="3876">
    <w:p w14:paraId="3F2C384A" w14:textId="77777777" w:rsidR="00AB3647" w:rsidRDefault="00000000">
      <w:pPr>
        <w:spacing w:after="0" w:before="0"/>
        <w:jc w:val="both"/>
      </w:pPr>
      <w:r>
        <w:rPr>
          <w:sz w:val="20"/>
          <w:szCs w:val="20"/>
          <w:rtl/>
        </w:rPr>
        <w:footnoteRef/>
      </w:r>
      <w:r>
        <w:rPr>
          <w:sz w:val="20"/>
          <w:szCs w:val="20"/>
          <w:rtl/>
        </w:rPr>
        <w:t>. עמ׳ 295, 296 ו־293–294.</w:t>
      </w:r>
    </w:p>
  </w:footnote>
  <w:footnote w:id="3877">
    <w:p w14:paraId="1E783624" w14:textId="77777777" w:rsidR="00AB3647" w:rsidRDefault="00000000">
      <w:pPr>
        <w:spacing w:after="0" w:before="0"/>
        <w:jc w:val="both"/>
      </w:pPr>
      <w:r>
        <w:rPr>
          <w:sz w:val="20"/>
          <w:szCs w:val="20"/>
          <w:rtl/>
        </w:rPr>
        <w:footnoteRef/>
      </w:r>
      <w:r>
        <w:rPr>
          <w:sz w:val="20"/>
          <w:szCs w:val="20"/>
          <w:rtl/>
        </w:rPr>
        <w:t>. הסתייגות: אני מצטט ומתרגם את המונחים העבריים שבהם השתמש יעקב מארק, ולא הייתי מחילם מיוזמתי על חוקר לימודי חול, אף שמדובר, כמובן, בלימודים הנוגעים ליהדות.</w:t>
      </w:r>
    </w:p>
  </w:footnote>
  <w:footnote w:id="3878">
    <w:p w14:paraId="04C1D2F5" w14:textId="77777777" w:rsidR="00AB3647" w:rsidRDefault="00000000">
      <w:pPr>
        <w:spacing w:after="0" w:before="0"/>
        <w:jc w:val="both"/>
      </w:pPr>
      <w:r>
        <w:rPr>
          <w:sz w:val="20"/>
          <w:szCs w:val="20"/>
          <w:rtl/>
        </w:rPr>
        <w:footnoteRef/>
      </w:r>
      <w:r>
        <w:rPr>
          <w:sz w:val="20"/>
          <w:szCs w:val="20"/>
          <w:rtl/>
        </w:rPr>
        <w:t>. ראה כרך 2 ופרק 3, הפסקה השנייה של נספח ז.</w:t>
      </w:r>
    </w:p>
  </w:footnote>
  <w:footnote w:id="3879">
    <w:p w14:paraId="1AC6A63F"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כח</w:t>
      </w:r>
      <w:proofErr w:type="spellEnd"/>
      <w:r>
        <w:rPr>
          <w:sz w:val="20"/>
          <w:szCs w:val="20"/>
          <w:rtl/>
        </w:rPr>
        <w:t>.</w:t>
      </w:r>
    </w:p>
  </w:footnote>
  <w:footnote w:id="3880">
    <w:p w14:paraId="51E47CED" w14:textId="77777777" w:rsidR="00AB3647" w:rsidRDefault="00000000">
      <w:pPr>
        <w:spacing w:after="0" w:before="0"/>
        <w:jc w:val="both"/>
      </w:pPr>
      <w:r>
        <w:rPr>
          <w:sz w:val="20"/>
          <w:szCs w:val="20"/>
          <w:rtl/>
        </w:rPr>
        <w:footnoteRef/>
      </w:r>
      <w:r>
        <w:rPr>
          <w:sz w:val="20"/>
          <w:szCs w:val="20"/>
          <w:rtl/>
        </w:rPr>
        <w:t>. גם כץ, “תנועת המוסר”, כרך ב (המקור הנזכר בפרק 2, הערה 17), עמ׳ 87, מזכיר את המעשה הזה.</w:t>
      </w:r>
    </w:p>
  </w:footnote>
  <w:footnote w:id="3881">
    <w:p w14:paraId="45997939" w14:textId="77777777" w:rsidR="00AB3647" w:rsidRDefault="00000000">
      <w:pPr>
        <w:spacing w:after="0" w:before="0"/>
        <w:jc w:val="both"/>
      </w:pPr>
      <w:r>
        <w:rPr>
          <w:sz w:val="20"/>
          <w:szCs w:val="20"/>
          <w:rtl/>
        </w:rPr>
        <w:footnoteRef/>
      </w:r>
      <w:r>
        <w:rPr>
          <w:sz w:val="20"/>
          <w:szCs w:val="20"/>
          <w:rtl/>
        </w:rPr>
        <w:t>. השווה כץ, “תנועת המוסר”, כרך ג, עמ׳ 230–233.</w:t>
      </w:r>
    </w:p>
  </w:footnote>
  <w:footnote w:id="3882">
    <w:p w14:paraId="2BCC537A" w14:textId="77777777" w:rsidR="00AB3647" w:rsidRDefault="00000000">
      <w:pPr>
        <w:spacing w:after="0" w:before="0"/>
        <w:jc w:val="both"/>
      </w:pPr>
      <w:r>
        <w:rPr>
          <w:sz w:val="20"/>
          <w:szCs w:val="20"/>
          <w:rtl/>
        </w:rPr>
        <w:footnoteRef/>
      </w:r>
      <w:r>
        <w:rPr>
          <w:sz w:val="20"/>
          <w:szCs w:val="20"/>
          <w:rtl/>
        </w:rPr>
        <w:t xml:space="preserve">. השווה תחילת הפסקה השנייה של פרק 3, נספח </w:t>
      </w:r>
      <w:proofErr w:type="spellStart"/>
      <w:r>
        <w:rPr>
          <w:sz w:val="20"/>
          <w:szCs w:val="20"/>
          <w:rtl/>
        </w:rPr>
        <w:t>יז</w:t>
      </w:r>
      <w:proofErr w:type="spellEnd"/>
      <w:r>
        <w:rPr>
          <w:sz w:val="20"/>
          <w:szCs w:val="20"/>
          <w:rtl/>
        </w:rPr>
        <w:t xml:space="preserve">: זה היה תפקידו הראשון. הפשיטה קשורה בהתנגדות בחוגי התורה </w:t>
      </w:r>
      <w:proofErr w:type="spellStart"/>
      <w:r>
        <w:rPr>
          <w:sz w:val="20"/>
          <w:szCs w:val="20"/>
          <w:rtl/>
        </w:rPr>
        <w:t>ל“שיטות</w:t>
      </w:r>
      <w:proofErr w:type="spellEnd"/>
      <w:r>
        <w:rPr>
          <w:sz w:val="20"/>
          <w:szCs w:val="20"/>
          <w:rtl/>
        </w:rPr>
        <w:t xml:space="preserve"> החדישות” של התלמוד תורה, כפי שנדון בעמ׳ </w:t>
      </w:r>
      <w:r>
        <w:rPr>
          <w:sz w:val="20"/>
          <w:szCs w:val="20"/>
          <w:rtl/>
        </w:rPr>
        <w:fldChar w:fldCharType="begin" w:dirty="true"/>
      </w:r>
      <w:r>
        <w:rPr>
          <w:sz w:val="20"/>
          <w:szCs w:val="20"/>
          <w:rtl/>
        </w:rPr>
        <w:instrText xml:space="preserve"> PAGEREF pr_b_1509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w:t>
      </w:r>
    </w:p>
  </w:footnote>
  <w:footnote w:id="3883">
    <w:p w14:paraId="58AB4C01" w14:textId="77777777" w:rsidR="00AB3647" w:rsidRDefault="00000000">
      <w:pPr>
        <w:spacing w:after="0" w:before="0"/>
        <w:jc w:val="both"/>
      </w:pPr>
      <w:r>
        <w:rPr>
          <w:sz w:val="20"/>
          <w:szCs w:val="20"/>
          <w:rtl/>
        </w:rPr>
        <w:footnoteRef/>
      </w:r>
      <w:r>
        <w:rPr>
          <w:sz w:val="20"/>
          <w:szCs w:val="20"/>
          <w:rtl/>
        </w:rPr>
        <w:t>. השווה פרק 2, הערה 93.</w:t>
      </w:r>
    </w:p>
  </w:footnote>
  <w:footnote w:id="3884">
    <w:p w14:paraId="3E8FB6A7" w14:textId="77777777" w:rsidR="00AB3647" w:rsidRDefault="00000000">
      <w:pPr>
        <w:spacing w:after="0" w:before="0"/>
        <w:jc w:val="both"/>
      </w:pPr>
      <w:r>
        <w:rPr>
          <w:sz w:val="20"/>
          <w:szCs w:val="20"/>
          <w:rtl/>
        </w:rPr>
        <w:footnoteRef/>
      </w:r>
      <w:r>
        <w:rPr>
          <w:sz w:val="20"/>
          <w:szCs w:val="20"/>
          <w:rtl/>
        </w:rPr>
        <w:t>. שם, עמ׳ 233.</w:t>
      </w:r>
    </w:p>
  </w:footnote>
  <w:footnote w:id="3885">
    <w:p w14:paraId="2A5EFAE9" w14:textId="77777777" w:rsidR="00AB3647" w:rsidRDefault="00000000">
      <w:pPr>
        <w:spacing w:after="0" w:before="0"/>
        <w:jc w:val="both"/>
      </w:pPr>
      <w:r>
        <w:rPr>
          <w:sz w:val="20"/>
          <w:szCs w:val="20"/>
          <w:rtl/>
        </w:rPr>
        <w:footnoteRef/>
      </w:r>
      <w:r>
        <w:rPr>
          <w:sz w:val="20"/>
          <w:szCs w:val="20"/>
          <w:rtl/>
        </w:rPr>
        <w:t>. ט ע״ב. ראה כץ, “תנועת המוסר”, כרך ג, עמ׳ 232.</w:t>
      </w:r>
    </w:p>
  </w:footnote>
  <w:footnote w:id="3886">
    <w:p w14:paraId="18CC991C" w14:textId="77777777" w:rsidR="00AB3647" w:rsidRDefault="00000000">
      <w:pPr>
        <w:spacing w:after="0" w:before="0"/>
        <w:jc w:val="both"/>
      </w:pPr>
      <w:r>
        <w:rPr>
          <w:sz w:val="20"/>
          <w:szCs w:val="20"/>
          <w:rtl/>
        </w:rPr>
        <w:footnoteRef/>
      </w:r>
      <w:r>
        <w:rPr>
          <w:sz w:val="20"/>
          <w:szCs w:val="20"/>
          <w:rtl/>
        </w:rPr>
        <w:t xml:space="preserve">. מאמר מאת בנימין </w:t>
      </w:r>
      <w:proofErr w:type="spellStart"/>
      <w:r>
        <w:rPr>
          <w:sz w:val="20"/>
          <w:szCs w:val="20"/>
          <w:rtl/>
        </w:rPr>
        <w:t>נהוראי</w:t>
      </w:r>
      <w:proofErr w:type="spellEnd"/>
      <w:r>
        <w:rPr>
          <w:sz w:val="20"/>
          <w:szCs w:val="20"/>
          <w:rtl/>
        </w:rPr>
        <w:t xml:space="preserve">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תשנ״ב.</w:t>
      </w:r>
    </w:p>
    <w:p w14:paraId="7C1A8030" w14:textId="77777777" w:rsidR="00AB3647" w:rsidRDefault="00000000">
      <w:pPr>
        <w:spacing w:after="0" w:before="0"/>
        <w:jc w:val="both"/>
      </w:pPr>
      <w:r>
        <w:rPr>
          <w:sz w:val="20"/>
          <w:szCs w:val="20"/>
          <w:rtl/>
        </w:rPr>
        <w:t xml:space="preserve">בזה </w:t>
      </w:r>
      <w:proofErr w:type="spellStart"/>
      <w:r>
        <w:rPr>
          <w:sz w:val="20"/>
          <w:szCs w:val="20"/>
          <w:rtl/>
        </w:rPr>
        <w:t>הענין</w:t>
      </w:r>
      <w:proofErr w:type="spellEnd"/>
      <w:r>
        <w:rPr>
          <w:sz w:val="20"/>
          <w:szCs w:val="20"/>
          <w:rtl/>
        </w:rPr>
        <w:t xml:space="preserve"> איך אדם מטעה את עצמו כדאי לעיין בדברים הנוראים בספר מאיר עיני ישראל, עמוד שסה, בשם ר׳ יהודה </w:t>
      </w:r>
      <w:proofErr w:type="spellStart"/>
      <w:r>
        <w:rPr>
          <w:sz w:val="20"/>
          <w:szCs w:val="20"/>
          <w:rtl/>
        </w:rPr>
        <w:t>שולמן</w:t>
      </w:r>
      <w:proofErr w:type="spellEnd"/>
      <w:r>
        <w:rPr>
          <w:sz w:val="20"/>
          <w:szCs w:val="20"/>
          <w:rtl/>
        </w:rPr>
        <w:t xml:space="preserve">: </w:t>
      </w:r>
      <w:proofErr w:type="spellStart"/>
      <w:r>
        <w:rPr>
          <w:sz w:val="20"/>
          <w:szCs w:val="20"/>
          <w:rtl/>
        </w:rPr>
        <w:t>החפץ־חיים</w:t>
      </w:r>
      <w:proofErr w:type="spellEnd"/>
      <w:r>
        <w:rPr>
          <w:sz w:val="20"/>
          <w:szCs w:val="20"/>
          <w:rtl/>
        </w:rPr>
        <w:t xml:space="preserve"> שאל פעם, “יש לכאורה תמיהה גדולה היאך להבין את </w:t>
      </w:r>
      <w:proofErr w:type="spellStart"/>
      <w:r>
        <w:rPr>
          <w:sz w:val="20"/>
          <w:szCs w:val="20"/>
          <w:rtl/>
        </w:rPr>
        <w:t>הויכוח</w:t>
      </w:r>
      <w:proofErr w:type="spellEnd"/>
      <w:r>
        <w:rPr>
          <w:sz w:val="20"/>
          <w:szCs w:val="20"/>
          <w:rtl/>
        </w:rPr>
        <w:t xml:space="preserve"> שהתנהל בין הקב״ה לשרה אמנו האם היא צחקה או לא צחקה: ה׳ אומר שכן צחקה והיא מכחשת”. וביאר </w:t>
      </w:r>
      <w:proofErr w:type="spellStart"/>
      <w:r>
        <w:rPr>
          <w:sz w:val="20"/>
          <w:szCs w:val="20"/>
          <w:rtl/>
        </w:rPr>
        <w:t>הח״ח</w:t>
      </w:r>
      <w:proofErr w:type="spellEnd"/>
      <w:r>
        <w:rPr>
          <w:sz w:val="20"/>
          <w:szCs w:val="20"/>
          <w:rtl/>
        </w:rPr>
        <w:t xml:space="preserve">: “הלואי שאנחנו היינו מאמינים בביאת המשיח כמו ששרה אמנו אכן האמינה בהבטחה שיולד לה בן, אולם הקב״ה שהוא בלבד הבוחן כליות ולב הבחין </w:t>
      </w:r>
      <w:proofErr w:type="spellStart"/>
      <w:r>
        <w:rPr>
          <w:sz w:val="20"/>
          <w:szCs w:val="20"/>
          <w:rtl/>
        </w:rPr>
        <w:t>בעובדא</w:t>
      </w:r>
      <w:proofErr w:type="spellEnd"/>
      <w:r>
        <w:rPr>
          <w:sz w:val="20"/>
          <w:szCs w:val="20"/>
          <w:rtl/>
        </w:rPr>
        <w:t xml:space="preserve"> הזאת של ‘ותצחק שרה בקרבה’ שבתוככי כליותיה ולבה היא כן צחקה, אבל בחיצוניות הדברים ודאי שהאמינה בכך בלי פקפוק.”</w:t>
      </w:r>
    </w:p>
  </w:footnote>
  <w:footnote w:id="3887">
    <w:p w14:paraId="1FB4BA69" w14:textId="77777777" w:rsidR="00AB3647" w:rsidRDefault="00000000">
      <w:pPr>
        <w:spacing w:after="0" w:before="0"/>
        <w:jc w:val="both"/>
      </w:pPr>
      <w:r>
        <w:rPr>
          <w:sz w:val="20"/>
          <w:szCs w:val="20"/>
          <w:rtl/>
        </w:rPr>
        <w:footnoteRef/>
      </w:r>
      <w:r>
        <w:rPr>
          <w:sz w:val="20"/>
          <w:szCs w:val="20"/>
          <w:rtl/>
        </w:rPr>
        <w:t>. עמ׳ 228–231 ו־234.</w:t>
      </w:r>
    </w:p>
  </w:footnote>
  <w:footnote w:id="3888">
    <w:p w14:paraId="7360031E" w14:textId="77777777" w:rsidR="00AB3647" w:rsidRDefault="00000000">
      <w:pPr>
        <w:spacing w:after="0" w:before="0"/>
        <w:jc w:val="both"/>
      </w:pPr>
      <w:r>
        <w:rPr>
          <w:sz w:val="20"/>
          <w:szCs w:val="20"/>
          <w:rtl/>
        </w:rPr>
        <w:footnoteRef/>
      </w:r>
      <w:r>
        <w:rPr>
          <w:sz w:val="20"/>
          <w:szCs w:val="20"/>
          <w:rtl/>
        </w:rPr>
        <w:t xml:space="preserve">. הערה 20 לעיל, עמ׳ </w:t>
      </w:r>
      <w:proofErr w:type="spellStart"/>
      <w:r>
        <w:rPr>
          <w:sz w:val="20"/>
          <w:szCs w:val="20"/>
          <w:rtl/>
        </w:rPr>
        <w:t>שז</w:t>
      </w:r>
      <w:proofErr w:type="spellEnd"/>
      <w:r>
        <w:rPr>
          <w:sz w:val="20"/>
          <w:szCs w:val="20"/>
          <w:rtl/>
        </w:rPr>
        <w:t>.</w:t>
      </w:r>
    </w:p>
  </w:footnote>
  <w:footnote w:id="3889">
    <w:p w14:paraId="45647FD9"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רצז</w:t>
      </w:r>
      <w:proofErr w:type="spellEnd"/>
      <w:r>
        <w:rPr>
          <w:sz w:val="20"/>
          <w:szCs w:val="20"/>
          <w:rtl/>
        </w:rPr>
        <w:t>.</w:t>
      </w:r>
    </w:p>
  </w:footnote>
  <w:footnote w:id="3890">
    <w:p w14:paraId="3B897BAD"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3891">
    <w:p w14:paraId="245A7F81" w14:textId="77777777" w:rsidR="00AB3647" w:rsidRDefault="00000000">
      <w:pPr>
        <w:spacing w:after="0" w:before="0"/>
        <w:jc w:val="both"/>
      </w:pPr>
      <w:r>
        <w:rPr>
          <w:sz w:val="20"/>
          <w:szCs w:val="20"/>
          <w:rtl/>
        </w:rPr>
        <w:footnoteRef/>
      </w:r>
      <w:r>
        <w:rPr>
          <w:sz w:val="20"/>
          <w:szCs w:val="20"/>
          <w:rtl/>
        </w:rPr>
        <w:t>. המקור הנזכר בפרק 3, נספח ב.</w:t>
      </w:r>
    </w:p>
  </w:footnote>
  <w:footnote w:id="3892">
    <w:p w14:paraId="3EDA41AB" w14:textId="77777777" w:rsidR="00AB3647" w:rsidRDefault="00000000">
      <w:pPr>
        <w:spacing w:after="0" w:before="0"/>
        <w:jc w:val="both"/>
      </w:pPr>
      <w:r>
        <w:rPr>
          <w:sz w:val="20"/>
          <w:szCs w:val="20"/>
          <w:rtl/>
        </w:rPr>
        <w:footnoteRef/>
      </w:r>
      <w:r>
        <w:rPr>
          <w:sz w:val="20"/>
          <w:szCs w:val="20"/>
          <w:rtl/>
        </w:rPr>
        <w:t xml:space="preserve">. מספרו של כץ, “תנועת המוסר”, כרך ב, עמ׳ 252 והערה 24 שם. נראה שמקור זה נעלם מעיני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הפסקה השנייה בנספח ז לעיל, עמ׳ 79, הערה 9.</w:t>
      </w:r>
    </w:p>
  </w:footnote>
  <w:footnote w:id="3893">
    <w:p w14:paraId="561613BD" w14:textId="77777777" w:rsidR="00AB3647" w:rsidRDefault="00000000">
      <w:pPr>
        <w:spacing w:after="0" w:before="0"/>
        <w:jc w:val="both"/>
      </w:pPr>
      <w:r>
        <w:rPr>
          <w:sz w:val="20"/>
          <w:szCs w:val="20"/>
          <w:rtl/>
        </w:rPr>
        <w:footnoteRef/>
      </w:r>
      <w:r>
        <w:rPr>
          <w:sz w:val="20"/>
          <w:szCs w:val="20"/>
          <w:rtl/>
        </w:rPr>
        <w:t xml:space="preserve">. ראה כץ, “תנועת המוסר”, כרך ב, עמ׳ 245–246: ר׳ יוסף־דב </w:t>
      </w:r>
      <w:proofErr w:type="spellStart"/>
      <w:r>
        <w:rPr>
          <w:sz w:val="20"/>
          <w:szCs w:val="20"/>
          <w:rtl/>
        </w:rPr>
        <w:t>סולובייצ׳יק</w:t>
      </w:r>
      <w:proofErr w:type="spellEnd"/>
      <w:r>
        <w:rPr>
          <w:sz w:val="20"/>
          <w:szCs w:val="20"/>
          <w:rtl/>
        </w:rPr>
        <w:t xml:space="preserve"> השתומם על ענוותנותו של ר׳ </w:t>
      </w:r>
      <w:proofErr w:type="spellStart"/>
      <w:r>
        <w:rPr>
          <w:sz w:val="20"/>
          <w:szCs w:val="20"/>
          <w:rtl/>
        </w:rPr>
        <w:t>איצל׳ה</w:t>
      </w:r>
      <w:proofErr w:type="spellEnd"/>
      <w:r>
        <w:rPr>
          <w:sz w:val="20"/>
          <w:szCs w:val="20"/>
          <w:rtl/>
        </w:rPr>
        <w:t xml:space="preserve"> בהסתירו את ידיעותיו המופלגות מרבנים אחרים.</w:t>
      </w:r>
    </w:p>
  </w:footnote>
  <w:footnote w:id="3894">
    <w:p w14:paraId="2800129A" w14:textId="77777777" w:rsidR="00AB3647" w:rsidRDefault="00000000">
      <w:pPr>
        <w:spacing w:after="0" w:before="0"/>
        <w:jc w:val="both"/>
      </w:pPr>
      <w:r>
        <w:rPr>
          <w:sz w:val="20"/>
          <w:szCs w:val="20"/>
          <w:rtl/>
        </w:rPr>
        <w:footnoteRef/>
      </w:r>
      <w:r>
        <w:rPr>
          <w:sz w:val="20"/>
          <w:szCs w:val="20"/>
          <w:rtl/>
        </w:rPr>
        <w:t>. ראה סוף הפסקה השביעית להלן.</w:t>
      </w:r>
    </w:p>
  </w:footnote>
  <w:footnote w:id="3895">
    <w:p w14:paraId="25D668BA" w14:textId="77777777" w:rsidR="00AB3647" w:rsidRDefault="00000000">
      <w:pPr>
        <w:spacing w:after="0" w:before="0"/>
        <w:jc w:val="both"/>
      </w:pPr>
      <w:r>
        <w:rPr>
          <w:sz w:val="20"/>
          <w:szCs w:val="20"/>
          <w:rtl/>
        </w:rPr>
        <w:footnoteRef/>
      </w:r>
      <w:r>
        <w:rPr>
          <w:sz w:val="20"/>
          <w:szCs w:val="20"/>
          <w:rtl/>
        </w:rPr>
        <w:t>. פרק 3, נספח יא, עמ׳ 63–64.</w:t>
      </w:r>
    </w:p>
  </w:footnote>
  <w:footnote w:id="3896">
    <w:p w14:paraId="2D7C65B0" w14:textId="77777777" w:rsidR="00AB3647" w:rsidRDefault="00000000">
      <w:pPr>
        <w:spacing w:after="0" w:before="0"/>
        <w:jc w:val="both"/>
      </w:pPr>
      <w:r>
        <w:rPr>
          <w:sz w:val="20"/>
          <w:szCs w:val="20"/>
          <w:rtl/>
        </w:rPr>
        <w:footnoteRef/>
      </w:r>
      <w:r>
        <w:rPr>
          <w:sz w:val="20"/>
          <w:szCs w:val="20"/>
          <w:rtl/>
        </w:rPr>
        <w:t xml:space="preserve">. שנה א, חוברת ג–ד, עמ׳ 697–698. כץ, “תנועת המוסר”, כרך ב, עמ׳ 230–231, “פולמוס”, סוף הערה 49 לעיל, עמ׳ 292, </w:t>
      </w:r>
      <w:proofErr w:type="spellStart"/>
      <w:r>
        <w:rPr>
          <w:sz w:val="20"/>
          <w:szCs w:val="20"/>
          <w:rtl/>
        </w:rPr>
        <w:t>ו“שרידי</w:t>
      </w:r>
      <w:proofErr w:type="spellEnd"/>
      <w:r>
        <w:rPr>
          <w:sz w:val="20"/>
          <w:szCs w:val="20"/>
          <w:rtl/>
        </w:rPr>
        <w:t xml:space="preserve"> אש”, עמ׳ שט, מצטטים מקור זה.</w:t>
      </w:r>
    </w:p>
  </w:footnote>
  <w:footnote w:id="3897">
    <w:p w14:paraId="1855DAAB" w14:textId="77777777" w:rsidR="00AB3647" w:rsidRDefault="00000000">
      <w:pPr>
        <w:spacing w:after="0" w:before="0"/>
        <w:jc w:val="both"/>
      </w:pPr>
      <w:r>
        <w:rPr>
          <w:sz w:val="20"/>
          <w:szCs w:val="20"/>
          <w:rtl/>
        </w:rPr>
        <w:footnoteRef/>
      </w:r>
      <w:r>
        <w:rPr>
          <w:sz w:val="20"/>
          <w:szCs w:val="20"/>
          <w:rtl/>
        </w:rPr>
        <w:t>. ברכות ה׳ ע״א.</w:t>
      </w:r>
    </w:p>
  </w:footnote>
  <w:footnote w:id="3898">
    <w:p w14:paraId="30B2A1C5" w14:textId="77777777" w:rsidR="00AB3647" w:rsidRDefault="00000000">
      <w:pPr>
        <w:spacing w:after="0" w:before="0"/>
        <w:jc w:val="both"/>
      </w:pPr>
      <w:r>
        <w:rPr>
          <w:sz w:val="20"/>
          <w:szCs w:val="20"/>
          <w:rtl/>
        </w:rPr>
        <w:footnoteRef/>
      </w:r>
      <w:r>
        <w:rPr>
          <w:sz w:val="20"/>
          <w:szCs w:val="20"/>
          <w:rtl/>
        </w:rPr>
        <w:t xml:space="preserve">. ראה “אבי הישיבות” (המקור הנזכר בפרק 1, הערה 7), עמ׳ 212, המביא את דברי ר׳ </w:t>
      </w:r>
      <w:proofErr w:type="spellStart"/>
      <w:r>
        <w:rPr>
          <w:sz w:val="20"/>
          <w:szCs w:val="20"/>
          <w:rtl/>
        </w:rPr>
        <w:t>שמחה־זיסל</w:t>
      </w:r>
      <w:proofErr w:type="spellEnd"/>
      <w:r>
        <w:rPr>
          <w:sz w:val="20"/>
          <w:szCs w:val="20"/>
          <w:rtl/>
        </w:rPr>
        <w:t xml:space="preserve"> באחת ההזדמנויות: “וזהו מה </w:t>
      </w:r>
      <w:proofErr w:type="spellStart"/>
      <w:r>
        <w:rPr>
          <w:sz w:val="20"/>
          <w:szCs w:val="20"/>
          <w:rtl/>
        </w:rPr>
        <w:t>שאומרין</w:t>
      </w:r>
      <w:proofErr w:type="spellEnd"/>
      <w:r>
        <w:rPr>
          <w:sz w:val="20"/>
          <w:szCs w:val="20"/>
          <w:rtl/>
        </w:rPr>
        <w:t xml:space="preserve"> משם הגאון ר״ח </w:t>
      </w:r>
      <w:proofErr w:type="spellStart"/>
      <w:r>
        <w:rPr>
          <w:sz w:val="20"/>
          <w:szCs w:val="20"/>
          <w:rtl/>
        </w:rPr>
        <w:t>וואלאזינער</w:t>
      </w:r>
      <w:proofErr w:type="spellEnd"/>
      <w:r>
        <w:rPr>
          <w:sz w:val="20"/>
          <w:szCs w:val="20"/>
          <w:rtl/>
        </w:rPr>
        <w:t xml:space="preserve"> ז״ל: מוסר ה״ה כפרה אדומה [במדבר </w:t>
      </w:r>
      <w:proofErr w:type="spellStart"/>
      <w:r>
        <w:rPr>
          <w:sz w:val="20"/>
          <w:szCs w:val="20"/>
          <w:rtl/>
        </w:rPr>
        <w:t>יט</w:t>
      </w:r>
      <w:proofErr w:type="spellEnd"/>
      <w:r>
        <w:rPr>
          <w:sz w:val="20"/>
          <w:szCs w:val="20"/>
          <w:rtl/>
        </w:rPr>
        <w:t xml:space="preserve">], מטהר טמאין וכו׳ – מצדיק הבלתי צדיק, ומרשיע הצדיק”. ר׳ </w:t>
      </w:r>
      <w:proofErr w:type="spellStart"/>
      <w:r>
        <w:rPr>
          <w:sz w:val="20"/>
          <w:szCs w:val="20"/>
          <w:rtl/>
        </w:rPr>
        <w:t>שמחה־זיסל</w:t>
      </w:r>
      <w:proofErr w:type="spellEnd"/>
      <w:r>
        <w:rPr>
          <w:sz w:val="20"/>
          <w:szCs w:val="20"/>
          <w:rtl/>
        </w:rPr>
        <w:t xml:space="preserve"> זיו המשיך וצמצם את ביקורתו של ר׳ חיים </w:t>
      </w:r>
      <w:proofErr w:type="spellStart"/>
      <w:r>
        <w:rPr>
          <w:sz w:val="20"/>
          <w:szCs w:val="20"/>
          <w:rtl/>
        </w:rPr>
        <w:t>מוולוז׳ין</w:t>
      </w:r>
      <w:proofErr w:type="spellEnd"/>
      <w:r>
        <w:rPr>
          <w:sz w:val="20"/>
          <w:szCs w:val="20"/>
          <w:rtl/>
        </w:rPr>
        <w:t xml:space="preserve"> לחסידים בני זמנו, שהרבו בלימוד מוסר יותר מן המידה.</w:t>
      </w:r>
    </w:p>
    <w:p w14:paraId="4FF4DFA0" w14:textId="77777777" w:rsidR="00AB3647" w:rsidRDefault="00000000">
      <w:pPr>
        <w:spacing w:after="0" w:before="0"/>
        <w:jc w:val="both"/>
      </w:pPr>
      <w:r>
        <w:rPr>
          <w:sz w:val="20"/>
          <w:szCs w:val="20"/>
          <w:rtl/>
        </w:rPr>
        <w:t xml:space="preserve">בתחילה הטריד אותי שר׳ חיים </w:t>
      </w:r>
      <w:proofErr w:type="spellStart"/>
      <w:r>
        <w:rPr>
          <w:sz w:val="20"/>
          <w:szCs w:val="20"/>
          <w:rtl/>
        </w:rPr>
        <w:t>סולובייצ׳יק</w:t>
      </w:r>
      <w:proofErr w:type="spellEnd"/>
      <w:r>
        <w:rPr>
          <w:sz w:val="20"/>
          <w:szCs w:val="20"/>
          <w:rtl/>
        </w:rPr>
        <w:t xml:space="preserve"> השתמש במשל שמן הקיק, כשיכול היה להשתמש בדימוי העדין יותר של ר׳ חיים </w:t>
      </w:r>
      <w:proofErr w:type="spellStart"/>
      <w:r>
        <w:rPr>
          <w:sz w:val="20"/>
          <w:szCs w:val="20"/>
          <w:rtl/>
        </w:rPr>
        <w:t>מוולוז׳ין</w:t>
      </w:r>
      <w:proofErr w:type="spellEnd"/>
      <w:r>
        <w:rPr>
          <w:sz w:val="20"/>
          <w:szCs w:val="20"/>
          <w:rtl/>
        </w:rPr>
        <w:t xml:space="preserve">, מאבותיו. אחר כך מצאתי שגם </w:t>
      </w:r>
      <w:proofErr w:type="spellStart"/>
      <w:r>
        <w:rPr>
          <w:sz w:val="20"/>
          <w:szCs w:val="20"/>
          <w:rtl/>
        </w:rPr>
        <w:t>ספורנו</w:t>
      </w:r>
      <w:proofErr w:type="spellEnd"/>
      <w:r>
        <w:rPr>
          <w:sz w:val="20"/>
          <w:szCs w:val="20"/>
          <w:rtl/>
        </w:rPr>
        <w:t xml:space="preserve">, בראש פרשת חוקת, משווה את הפרה האדומה לתרופה משלשלת, “שתועיל לחולה ותזיק לבריא”; נמצא שמשלו של ר׳ חיים </w:t>
      </w:r>
      <w:proofErr w:type="spellStart"/>
      <w:r>
        <w:rPr>
          <w:sz w:val="20"/>
          <w:szCs w:val="20"/>
          <w:rtl/>
        </w:rPr>
        <w:t>סולובייצ׳יק</w:t>
      </w:r>
      <w:proofErr w:type="spellEnd"/>
      <w:r>
        <w:rPr>
          <w:sz w:val="20"/>
          <w:szCs w:val="20"/>
          <w:rtl/>
        </w:rPr>
        <w:t xml:space="preserve"> אינו אלא, בעיקרו, חזרה על משלו של ר׳ חיים </w:t>
      </w:r>
      <w:proofErr w:type="spellStart"/>
      <w:r>
        <w:rPr>
          <w:sz w:val="20"/>
          <w:szCs w:val="20"/>
          <w:rtl/>
        </w:rPr>
        <w:t>מוולוז׳ין</w:t>
      </w:r>
      <w:proofErr w:type="spellEnd"/>
      <w:r>
        <w:rPr>
          <w:sz w:val="20"/>
          <w:szCs w:val="20"/>
          <w:rtl/>
        </w:rPr>
        <w:t xml:space="preserve">. </w:t>
      </w:r>
      <w:proofErr w:type="spellStart"/>
      <w:r>
        <w:rPr>
          <w:sz w:val="20"/>
          <w:szCs w:val="20"/>
          <w:rtl/>
        </w:rPr>
        <w:t>ב“תורת</w:t>
      </w:r>
      <w:proofErr w:type="spellEnd"/>
      <w:r>
        <w:rPr>
          <w:sz w:val="20"/>
          <w:szCs w:val="20"/>
          <w:rtl/>
        </w:rPr>
        <w:t xml:space="preserve"> חיים” (הערה 49 לעיל), עמ׳ </w:t>
      </w:r>
      <w:proofErr w:type="spellStart"/>
      <w:r>
        <w:rPr>
          <w:sz w:val="20"/>
          <w:szCs w:val="20"/>
          <w:rtl/>
        </w:rPr>
        <w:t>רכג</w:t>
      </w:r>
      <w:proofErr w:type="spellEnd"/>
      <w:r>
        <w:rPr>
          <w:sz w:val="20"/>
          <w:szCs w:val="20"/>
          <w:rtl/>
        </w:rPr>
        <w:t xml:space="preserve">, מובא שר׳ חיים </w:t>
      </w:r>
      <w:proofErr w:type="spellStart"/>
      <w:r>
        <w:rPr>
          <w:sz w:val="20"/>
          <w:szCs w:val="20"/>
          <w:rtl/>
        </w:rPr>
        <w:t>סולובייצ׳יק</w:t>
      </w:r>
      <w:proofErr w:type="spellEnd"/>
      <w:r>
        <w:rPr>
          <w:sz w:val="20"/>
          <w:szCs w:val="20"/>
          <w:rtl/>
        </w:rPr>
        <w:t xml:space="preserve"> השתמש בפרה האדומה גם לגבי שאלה אחרת שעמדה על הפרק בזמנו: הוא השווה אותה לציונות, המטהרת יהודים שאיבדו את הקשר עם היהדות ומטמאת את האחרים.</w:t>
      </w:r>
    </w:p>
  </w:footnote>
  <w:footnote w:id="3899">
    <w:p w14:paraId="0033EDE5"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דברי ר׳ </w:t>
      </w:r>
      <w:proofErr w:type="spellStart"/>
      <w:r>
        <w:rPr>
          <w:sz w:val="20"/>
          <w:szCs w:val="20"/>
          <w:rtl/>
        </w:rPr>
        <w:t>שמחה־זיסל</w:t>
      </w:r>
      <w:proofErr w:type="spellEnd"/>
      <w:r>
        <w:rPr>
          <w:sz w:val="20"/>
          <w:szCs w:val="20"/>
          <w:rtl/>
        </w:rPr>
        <w:t xml:space="preserve"> הובאו כלשונם </w:t>
      </w:r>
      <w:proofErr w:type="spellStart"/>
      <w:r>
        <w:rPr>
          <w:sz w:val="20"/>
          <w:szCs w:val="20"/>
          <w:rtl/>
        </w:rPr>
        <w:t>מ“חכמה</w:t>
      </w:r>
      <w:proofErr w:type="spellEnd"/>
      <w:r>
        <w:rPr>
          <w:sz w:val="20"/>
          <w:szCs w:val="20"/>
          <w:rtl/>
        </w:rPr>
        <w:t xml:space="preserve"> ומוסר”, </w:t>
      </w:r>
      <w:proofErr w:type="spellStart"/>
      <w:r>
        <w:rPr>
          <w:sz w:val="20"/>
          <w:szCs w:val="20"/>
          <w:rtl/>
        </w:rPr>
        <w:t>ח״ב</w:t>
      </w:r>
      <w:proofErr w:type="spellEnd"/>
      <w:r>
        <w:rPr>
          <w:sz w:val="20"/>
          <w:szCs w:val="20"/>
          <w:rtl/>
        </w:rPr>
        <w:t xml:space="preserve"> (תשי״ז), עמ׳ </w:t>
      </w:r>
      <w:proofErr w:type="spellStart"/>
      <w:r>
        <w:rPr>
          <w:sz w:val="20"/>
          <w:szCs w:val="20"/>
          <w:rtl/>
        </w:rPr>
        <w:t>פב</w:t>
      </w:r>
      <w:proofErr w:type="spellEnd"/>
      <w:r>
        <w:rPr>
          <w:sz w:val="20"/>
          <w:szCs w:val="20"/>
          <w:rtl/>
        </w:rPr>
        <w:t xml:space="preserve">, סי׳ ב״ד; </w:t>
      </w:r>
      <w:proofErr w:type="spellStart"/>
      <w:r>
        <w:rPr>
          <w:sz w:val="20"/>
          <w:szCs w:val="20"/>
          <w:rtl/>
        </w:rPr>
        <w:t>ב“אבי</w:t>
      </w:r>
      <w:proofErr w:type="spellEnd"/>
      <w:r>
        <w:rPr>
          <w:sz w:val="20"/>
          <w:szCs w:val="20"/>
          <w:rtl/>
        </w:rPr>
        <w:t xml:space="preserve"> הישיבות” שבידינו (תשע״ד), עמ׳ 212, לא נמצאו.</w:t>
      </w:r>
    </w:p>
  </w:footnote>
  <w:footnote w:id="3900">
    <w:p w14:paraId="633A2BD4" w14:textId="77777777" w:rsidR="00AB3647" w:rsidRDefault="00000000">
      <w:pPr>
        <w:spacing w:after="0" w:before="0"/>
        <w:jc w:val="both"/>
      </w:pPr>
      <w:r>
        <w:rPr>
          <w:sz w:val="20"/>
          <w:szCs w:val="20"/>
          <w:rtl/>
        </w:rPr>
        <w:footnoteRef/>
      </w:r>
      <w:r>
        <w:rPr>
          <w:sz w:val="20"/>
          <w:szCs w:val="20"/>
          <w:rtl/>
        </w:rPr>
        <w:t>. עמ׳ שט.</w:t>
      </w:r>
    </w:p>
  </w:footnote>
  <w:footnote w:id="3901">
    <w:p w14:paraId="49B0425A" w14:textId="77777777" w:rsidR="00AB3647" w:rsidRDefault="00000000">
      <w:pPr>
        <w:spacing w:after="0" w:before="0"/>
        <w:jc w:val="both"/>
      </w:pPr>
      <w:r>
        <w:rPr>
          <w:sz w:val="20"/>
          <w:szCs w:val="20"/>
          <w:rtl/>
        </w:rPr>
        <w:footnoteRef/>
      </w:r>
      <w:r>
        <w:rPr>
          <w:sz w:val="20"/>
          <w:szCs w:val="20"/>
          <w:rtl/>
        </w:rPr>
        <w:t xml:space="preserve">. ראה שם פרטים מעניינים נוספים על דבריו של ר׳ </w:t>
      </w:r>
      <w:proofErr w:type="spellStart"/>
      <w:r>
        <w:rPr>
          <w:sz w:val="20"/>
          <w:szCs w:val="20"/>
          <w:rtl/>
        </w:rPr>
        <w:t>איצל׳ה</w:t>
      </w:r>
      <w:proofErr w:type="spellEnd"/>
      <w:r>
        <w:rPr>
          <w:sz w:val="20"/>
          <w:szCs w:val="20"/>
          <w:rtl/>
        </w:rPr>
        <w:t xml:space="preserve"> על הוויכוח </w:t>
      </w:r>
      <w:proofErr w:type="spellStart"/>
      <w:r>
        <w:rPr>
          <w:sz w:val="20"/>
          <w:szCs w:val="20"/>
          <w:rtl/>
        </w:rPr>
        <w:t>בוולוז׳ין</w:t>
      </w:r>
      <w:proofErr w:type="spellEnd"/>
      <w:r>
        <w:rPr>
          <w:sz w:val="20"/>
          <w:szCs w:val="20"/>
          <w:rtl/>
        </w:rPr>
        <w:t xml:space="preserve">, ועל טיעוניו המשכנעים נגד עמדת ר׳ חיים. נראה שר׳ </w:t>
      </w:r>
      <w:proofErr w:type="spellStart"/>
      <w:r>
        <w:rPr>
          <w:sz w:val="20"/>
          <w:szCs w:val="20"/>
          <w:rtl/>
        </w:rPr>
        <w:t>איצל׳ה</w:t>
      </w:r>
      <w:proofErr w:type="spellEnd"/>
      <w:r>
        <w:rPr>
          <w:sz w:val="20"/>
          <w:szCs w:val="20"/>
          <w:rtl/>
        </w:rPr>
        <w:t xml:space="preserve"> העלה טיעונים אלה לא בשעת הפגישה </w:t>
      </w:r>
      <w:proofErr w:type="spellStart"/>
      <w:r>
        <w:rPr>
          <w:sz w:val="20"/>
          <w:szCs w:val="20"/>
          <w:rtl/>
        </w:rPr>
        <w:t>בוולוז׳ין</w:t>
      </w:r>
      <w:proofErr w:type="spellEnd"/>
      <w:r>
        <w:rPr>
          <w:sz w:val="20"/>
          <w:szCs w:val="20"/>
          <w:rtl/>
        </w:rPr>
        <w:t>, אלא זמן מה אחריה.</w:t>
      </w:r>
    </w:p>
  </w:footnote>
  <w:footnote w:id="3902">
    <w:p w14:paraId="09EE52DC" w14:textId="77777777" w:rsidR="00AB3647" w:rsidRDefault="00000000">
      <w:pPr>
        <w:spacing w:after="0" w:before="0"/>
        <w:jc w:val="both"/>
      </w:pPr>
      <w:r>
        <w:rPr>
          <w:sz w:val="20"/>
          <w:szCs w:val="20"/>
          <w:rtl/>
        </w:rPr>
        <w:footnoteRef/>
      </w:r>
      <w:r>
        <w:rPr>
          <w:sz w:val="20"/>
          <w:szCs w:val="20"/>
          <w:rtl/>
        </w:rPr>
        <w:t>. י״א באדר א׳ תרנ״ז.</w:t>
      </w:r>
    </w:p>
  </w:footnote>
  <w:footnote w:id="3903">
    <w:p w14:paraId="16ED856F" w14:textId="77777777" w:rsidR="00AB3647" w:rsidRDefault="00000000">
      <w:pPr>
        <w:spacing w:after="0" w:before="0"/>
        <w:jc w:val="both"/>
      </w:pPr>
      <w:r>
        <w:rPr>
          <w:sz w:val="20"/>
          <w:szCs w:val="20"/>
          <w:rtl/>
        </w:rPr>
        <w:footnoteRef/>
      </w:r>
      <w:r>
        <w:rPr>
          <w:sz w:val="20"/>
          <w:szCs w:val="20"/>
          <w:rtl/>
        </w:rPr>
        <w:t>. ראה הפסקה השנייה בנספח ז לעיל, על האופן שבו בדה מחבר זה סיפורים.</w:t>
      </w:r>
    </w:p>
  </w:footnote>
  <w:footnote w:id="3904">
    <w:p w14:paraId="3124C00D" w14:textId="77777777" w:rsidR="00AB3647" w:rsidRDefault="00000000">
      <w:pPr>
        <w:spacing w:after="0" w:before="0"/>
        <w:jc w:val="both"/>
      </w:pPr>
      <w:r>
        <w:rPr>
          <w:sz w:val="20"/>
          <w:szCs w:val="20"/>
          <w:rtl/>
        </w:rPr>
        <w:footnoteRef/>
      </w:r>
      <w:r>
        <w:rPr>
          <w:sz w:val="20"/>
          <w:szCs w:val="20"/>
          <w:rtl/>
        </w:rPr>
        <w:t>. המקור הנזכר בפרק 1, הערה 42, עמ׳ 109–110.</w:t>
      </w:r>
    </w:p>
  </w:footnote>
  <w:footnote w:id="3905">
    <w:p w14:paraId="69E88C8F" w14:textId="77777777" w:rsidR="00AB3647" w:rsidRDefault="00000000">
      <w:pPr>
        <w:spacing w:after="0" w:before="0"/>
        <w:jc w:val="both"/>
      </w:pPr>
      <w:r>
        <w:rPr>
          <w:sz w:val="20"/>
          <w:szCs w:val="20"/>
          <w:rtl/>
        </w:rPr>
        <w:footnoteRef/>
      </w:r>
      <w:r>
        <w:rPr>
          <w:sz w:val="20"/>
          <w:szCs w:val="20"/>
          <w:rtl/>
        </w:rPr>
        <w:t>. ריאיון, 27 ביולי 1992.</w:t>
      </w:r>
    </w:p>
  </w:footnote>
  <w:footnote w:id="3906">
    <w:p w14:paraId="196541FD" w14:textId="77777777" w:rsidR="00AB3647" w:rsidRDefault="00000000">
      <w:pPr>
        <w:spacing w:after="0" w:before="0"/>
        <w:jc w:val="both"/>
      </w:pPr>
      <w:r>
        <w:rPr>
          <w:sz w:val="20"/>
          <w:szCs w:val="20"/>
          <w:rtl/>
        </w:rPr>
        <w:footnoteRef/>
      </w:r>
      <w:r>
        <w:rPr>
          <w:sz w:val="20"/>
          <w:szCs w:val="20"/>
          <w:rtl/>
        </w:rPr>
        <w:t>. ראה פרק 3, נספח יא.</w:t>
      </w:r>
    </w:p>
  </w:footnote>
  <w:footnote w:id="3907">
    <w:p w14:paraId="5CA139EF" w14:textId="77777777" w:rsidR="00AB3647" w:rsidRDefault="00000000">
      <w:pPr>
        <w:spacing w:after="0" w:before="0"/>
        <w:jc w:val="both"/>
      </w:pPr>
      <w:r>
        <w:rPr>
          <w:sz w:val="20"/>
          <w:szCs w:val="20"/>
          <w:rtl/>
        </w:rPr>
        <w:footnoteRef/>
      </w:r>
      <w:r>
        <w:rPr>
          <w:sz w:val="20"/>
          <w:szCs w:val="20"/>
          <w:rtl/>
        </w:rPr>
        <w:t xml:space="preserve">. ראה “פולמוס”, עמ׳ 290–291: ר׳ </w:t>
      </w:r>
      <w:proofErr w:type="spellStart"/>
      <w:r>
        <w:rPr>
          <w:sz w:val="20"/>
          <w:szCs w:val="20"/>
          <w:rtl/>
        </w:rPr>
        <w:t>מאיר־שמחה</w:t>
      </w:r>
      <w:proofErr w:type="spellEnd"/>
      <w:r>
        <w:rPr>
          <w:sz w:val="20"/>
          <w:szCs w:val="20"/>
          <w:rtl/>
        </w:rPr>
        <w:t xml:space="preserve"> כהן </w:t>
      </w:r>
      <w:proofErr w:type="spellStart"/>
      <w:r>
        <w:rPr>
          <w:sz w:val="20"/>
          <w:szCs w:val="20"/>
          <w:rtl/>
        </w:rPr>
        <w:t>מדווינסק</w:t>
      </w:r>
      <w:proofErr w:type="spellEnd"/>
      <w:r>
        <w:rPr>
          <w:sz w:val="20"/>
          <w:szCs w:val="20"/>
          <w:rtl/>
        </w:rPr>
        <w:t xml:space="preserve"> השמיע טיעון זה לפני ר׳ </w:t>
      </w:r>
      <w:proofErr w:type="spellStart"/>
      <w:r>
        <w:rPr>
          <w:sz w:val="20"/>
          <w:szCs w:val="20"/>
          <w:rtl/>
        </w:rPr>
        <w:t>שמחה־זיסל</w:t>
      </w:r>
      <w:proofErr w:type="spellEnd"/>
      <w:r>
        <w:rPr>
          <w:sz w:val="20"/>
          <w:szCs w:val="20"/>
          <w:rtl/>
        </w:rPr>
        <w:t xml:space="preserve"> זיו.</w:t>
      </w:r>
    </w:p>
  </w:footnote>
  <w:footnote w:id="3908">
    <w:p w14:paraId="30387A6A" w14:textId="77777777" w:rsidR="00AB3647" w:rsidRDefault="00000000">
      <w:pPr>
        <w:spacing w:after="0" w:before="0"/>
        <w:jc w:val="both"/>
      </w:pPr>
      <w:r>
        <w:rPr>
          <w:sz w:val="20"/>
          <w:szCs w:val="20"/>
          <w:rtl/>
        </w:rPr>
        <w:footnoteRef/>
      </w:r>
      <w:r>
        <w:rPr>
          <w:sz w:val="20"/>
          <w:szCs w:val="20"/>
          <w:rtl/>
        </w:rPr>
        <w:t>. ל׳ ע״ב.</w:t>
      </w:r>
    </w:p>
  </w:footnote>
  <w:footnote w:id="3909">
    <w:p w14:paraId="01BD0044" w14:textId="77777777" w:rsidR="00AB3647" w:rsidRDefault="00000000">
      <w:pPr>
        <w:spacing w:after="0" w:before="0"/>
        <w:jc w:val="both"/>
      </w:pPr>
      <w:r>
        <w:rPr>
          <w:sz w:val="20"/>
          <w:szCs w:val="20"/>
          <w:rtl/>
        </w:rPr>
        <w:footnoteRef/>
      </w:r>
      <w:r>
        <w:rPr>
          <w:sz w:val="20"/>
          <w:szCs w:val="20"/>
          <w:rtl/>
        </w:rPr>
        <w:t>. מובא בפרק 2, הערה 66.</w:t>
      </w:r>
    </w:p>
  </w:footnote>
  <w:footnote w:id="3910">
    <w:p w14:paraId="4ABFD651" w14:textId="77777777" w:rsidR="00AB3647" w:rsidRDefault="00000000">
      <w:pPr>
        <w:spacing w:after="0" w:before="0"/>
        <w:jc w:val="both"/>
      </w:pPr>
      <w:r>
        <w:rPr>
          <w:sz w:val="20"/>
          <w:szCs w:val="20"/>
          <w:rtl/>
        </w:rPr>
        <w:footnoteRef/>
      </w:r>
      <w:r>
        <w:rPr>
          <w:sz w:val="20"/>
          <w:szCs w:val="20"/>
          <w:rtl/>
        </w:rPr>
        <w:t>. ריאיון, 7 ביוני 1997; וראה כרך 3.</w:t>
      </w:r>
    </w:p>
  </w:footnote>
  <w:footnote w:id="3911">
    <w:p w14:paraId="3C8DC250" w14:textId="77777777" w:rsidR="00AB3647" w:rsidRDefault="00000000">
      <w:pPr>
        <w:spacing w:after="0" w:before="0"/>
        <w:jc w:val="both"/>
      </w:pPr>
      <w:r>
        <w:rPr>
          <w:sz w:val="20"/>
          <w:szCs w:val="20"/>
          <w:rtl/>
        </w:rPr>
        <w:footnoteRef/>
      </w:r>
      <w:r>
        <w:rPr>
          <w:sz w:val="20"/>
          <w:szCs w:val="20"/>
          <w:rtl/>
        </w:rPr>
        <w:t>. ראה נידה י״ז ע״ב.</w:t>
      </w:r>
    </w:p>
  </w:footnote>
  <w:footnote w:id="3912">
    <w:p w14:paraId="25643C39" w14:textId="77777777" w:rsidR="00AB3647" w:rsidRDefault="00000000">
      <w:pPr>
        <w:spacing w:after="0" w:before="0"/>
        <w:jc w:val="both"/>
      </w:pPr>
      <w:r>
        <w:rPr>
          <w:sz w:val="20"/>
          <w:szCs w:val="20"/>
          <w:rtl/>
        </w:rPr>
        <w:footnoteRef/>
      </w:r>
      <w:r>
        <w:rPr>
          <w:sz w:val="20"/>
          <w:szCs w:val="20"/>
          <w:rtl/>
        </w:rPr>
        <w:t xml:space="preserve">. ראה פרק 3, נספח יא, על מידת התנגדותו של </w:t>
      </w:r>
      <w:proofErr w:type="spellStart"/>
      <w:r>
        <w:rPr>
          <w:sz w:val="20"/>
          <w:szCs w:val="20"/>
          <w:rtl/>
        </w:rPr>
        <w:t>הנצי״ב</w:t>
      </w:r>
      <w:proofErr w:type="spellEnd"/>
      <w:r>
        <w:rPr>
          <w:sz w:val="20"/>
          <w:szCs w:val="20"/>
          <w:rtl/>
        </w:rPr>
        <w:t xml:space="preserve"> למוסר.</w:t>
      </w:r>
    </w:p>
  </w:footnote>
  <w:footnote w:id="3913">
    <w:p w14:paraId="1167234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קסו</w:t>
      </w:r>
      <w:proofErr w:type="spellEnd"/>
      <w:r>
        <w:rPr>
          <w:sz w:val="20"/>
          <w:szCs w:val="20"/>
          <w:rtl/>
        </w:rPr>
        <w:t>.</w:t>
      </w:r>
    </w:p>
  </w:footnote>
  <w:footnote w:id="3914">
    <w:p w14:paraId="3CC1736C" w14:textId="77777777" w:rsidR="00AB3647" w:rsidRDefault="00000000">
      <w:pPr>
        <w:spacing w:after="0" w:before="0"/>
        <w:jc w:val="both"/>
      </w:pPr>
      <w:r>
        <w:rPr>
          <w:sz w:val="20"/>
          <w:szCs w:val="20"/>
          <w:rtl/>
        </w:rPr>
        <w:footnoteRef/>
      </w:r>
      <w:r>
        <w:rPr>
          <w:sz w:val="20"/>
          <w:szCs w:val="20"/>
          <w:rtl/>
        </w:rPr>
        <w:t xml:space="preserve">. ראה “אבי הישיבות”, עמ׳ 154, לנסיבות שבהן אמר ר׳ חיים </w:t>
      </w:r>
      <w:proofErr w:type="spellStart"/>
      <w:r>
        <w:rPr>
          <w:sz w:val="20"/>
          <w:szCs w:val="20"/>
          <w:rtl/>
        </w:rPr>
        <w:t>מוולוז׳ין</w:t>
      </w:r>
      <w:proofErr w:type="spellEnd"/>
      <w:r>
        <w:rPr>
          <w:sz w:val="20"/>
          <w:szCs w:val="20"/>
          <w:rtl/>
        </w:rPr>
        <w:t xml:space="preserve"> את הדברים.</w:t>
      </w:r>
    </w:p>
  </w:footnote>
  <w:footnote w:id="3915">
    <w:p w14:paraId="6475D025" w14:textId="77777777" w:rsidR="00AB3647" w:rsidRDefault="00000000">
      <w:pPr>
        <w:spacing w:after="0" w:before="0"/>
        <w:jc w:val="both"/>
      </w:pPr>
      <w:r>
        <w:rPr>
          <w:sz w:val="20"/>
          <w:szCs w:val="20"/>
          <w:rtl/>
        </w:rPr>
        <w:footnoteRef/>
      </w:r>
      <w:r>
        <w:rPr>
          <w:sz w:val="20"/>
          <w:szCs w:val="20"/>
          <w:rtl/>
        </w:rPr>
        <w:t>. עמ׳ 230.</w:t>
      </w:r>
    </w:p>
  </w:footnote>
  <w:footnote w:id="3916">
    <w:p w14:paraId="16BF1A73" w14:textId="77777777" w:rsidR="00AB3647" w:rsidRDefault="00000000">
      <w:pPr>
        <w:spacing w:after="0" w:before="0"/>
        <w:jc w:val="both"/>
      </w:pPr>
      <w:r>
        <w:rPr>
          <w:sz w:val="20"/>
          <w:szCs w:val="20"/>
          <w:rtl/>
        </w:rPr>
        <w:footnoteRef/>
      </w:r>
      <w:r>
        <w:rPr>
          <w:sz w:val="20"/>
          <w:szCs w:val="20"/>
          <w:rtl/>
        </w:rPr>
        <w:t>. עמ׳ 292.</w:t>
      </w:r>
    </w:p>
  </w:footnote>
  <w:footnote w:id="3917">
    <w:p w14:paraId="3C665CAF" w14:textId="77777777" w:rsidR="00AB3647" w:rsidRDefault="00000000">
      <w:pPr>
        <w:spacing w:after="0" w:before="0"/>
        <w:jc w:val="both"/>
      </w:pPr>
      <w:r>
        <w:rPr>
          <w:sz w:val="20"/>
          <w:szCs w:val="20"/>
          <w:rtl/>
        </w:rPr>
        <w:footnoteRef/>
      </w:r>
      <w:r>
        <w:rPr>
          <w:sz w:val="20"/>
          <w:szCs w:val="20"/>
          <w:rtl/>
        </w:rPr>
        <w:t xml:space="preserve">. טענה זו אינה נכונה בלי קשר למועד הביקור, שכן ר׳ חיים </w:t>
      </w:r>
      <w:proofErr w:type="spellStart"/>
      <w:r>
        <w:rPr>
          <w:sz w:val="20"/>
          <w:szCs w:val="20"/>
          <w:rtl/>
        </w:rPr>
        <w:t>סולובייצ׳יק</w:t>
      </w:r>
      <w:proofErr w:type="spellEnd"/>
      <w:r>
        <w:rPr>
          <w:sz w:val="20"/>
          <w:szCs w:val="20"/>
          <w:rtl/>
        </w:rPr>
        <w:t xml:space="preserve"> מעולם לא היה ראש ישיבת </w:t>
      </w:r>
      <w:proofErr w:type="spellStart"/>
      <w:r>
        <w:rPr>
          <w:sz w:val="20"/>
          <w:szCs w:val="20"/>
          <w:rtl/>
        </w:rPr>
        <w:t>וולוז׳ין</w:t>
      </w:r>
      <w:proofErr w:type="spellEnd"/>
      <w:r>
        <w:rPr>
          <w:sz w:val="20"/>
          <w:szCs w:val="20"/>
          <w:rtl/>
        </w:rPr>
        <w:t>, אלא רק המשנה לראש הישיבה.</w:t>
      </w:r>
    </w:p>
  </w:footnote>
  <w:footnote w:id="3918">
    <w:p w14:paraId="3DFE742D" w14:textId="77777777" w:rsidR="00AB3647" w:rsidRDefault="00000000">
      <w:pPr>
        <w:spacing w:after="0" w:before="0"/>
        <w:jc w:val="both"/>
      </w:pPr>
      <w:r>
        <w:rPr>
          <w:sz w:val="20"/>
          <w:szCs w:val="20"/>
          <w:rtl/>
        </w:rPr>
        <w:footnoteRef/>
      </w:r>
      <w:r>
        <w:rPr>
          <w:sz w:val="20"/>
          <w:szCs w:val="20"/>
          <w:rtl/>
        </w:rPr>
        <w:t>. הוצאת האחים לוין אפשטיין ושותפם, תל אביב, תרצ״ב, עמ׳ 31.</w:t>
      </w:r>
    </w:p>
  </w:footnote>
  <w:footnote w:id="3919">
    <w:p w14:paraId="65BBAA94" w14:textId="77777777" w:rsidR="00AB3647" w:rsidRDefault="00000000">
      <w:pPr>
        <w:spacing w:after="0" w:before="0"/>
        <w:jc w:val="both"/>
      </w:pPr>
      <w:r>
        <w:rPr>
          <w:sz w:val="20"/>
          <w:szCs w:val="20"/>
          <w:rtl/>
        </w:rPr>
        <w:footnoteRef/>
      </w:r>
      <w:r>
        <w:rPr>
          <w:sz w:val="20"/>
          <w:szCs w:val="20"/>
          <w:rtl/>
        </w:rPr>
        <w:t xml:space="preserve">. ראה פרק 3, הערה 33. במאמר “יובל נשכח” בגיליונות אב–אלול תרס״ג של “הצפירה” כותב זלמן אפשטיין – שלמד </w:t>
      </w:r>
      <w:proofErr w:type="spellStart"/>
      <w:r>
        <w:rPr>
          <w:sz w:val="20"/>
          <w:szCs w:val="20"/>
          <w:rtl/>
        </w:rPr>
        <w:t>בוולוז׳ין</w:t>
      </w:r>
      <w:proofErr w:type="spellEnd"/>
      <w:r>
        <w:rPr>
          <w:sz w:val="20"/>
          <w:szCs w:val="20"/>
          <w:rtl/>
        </w:rPr>
        <w:t xml:space="preserve"> שנתיים או שלוש לפני </w:t>
      </w:r>
      <w:proofErr w:type="spellStart"/>
      <w:r>
        <w:rPr>
          <w:sz w:val="20"/>
          <w:szCs w:val="20"/>
          <w:rtl/>
        </w:rPr>
        <w:t>לוין־אפשטיין</w:t>
      </w:r>
      <w:proofErr w:type="spellEnd"/>
      <w:r>
        <w:rPr>
          <w:sz w:val="20"/>
          <w:szCs w:val="20"/>
          <w:rtl/>
        </w:rPr>
        <w:t xml:space="preserve">, זמן לא רב אחרי נישואי ר׳ חיים </w:t>
      </w:r>
      <w:proofErr w:type="spellStart"/>
      <w:r>
        <w:rPr>
          <w:sz w:val="20"/>
          <w:szCs w:val="20"/>
          <w:rtl/>
        </w:rPr>
        <w:t>בתרל״ג</w:t>
      </w:r>
      <w:proofErr w:type="spellEnd"/>
      <w:r>
        <w:rPr>
          <w:sz w:val="20"/>
          <w:szCs w:val="20"/>
          <w:rtl/>
        </w:rPr>
        <w:t xml:space="preserve"> – שבימיו “נמצאו בישיבה יחידים שקראו את ‘השחר’ בסוד גדול, אך הישיבה בכללותה, רוב ציבור תלמידיה, נשארה מחוץ להשפעתו”. נראה שחדירתה הממשית של ההשכלה לישיבת </w:t>
      </w:r>
      <w:proofErr w:type="spellStart"/>
      <w:r>
        <w:rPr>
          <w:sz w:val="20"/>
          <w:szCs w:val="20"/>
          <w:rtl/>
        </w:rPr>
        <w:t>וולוז׳ין</w:t>
      </w:r>
      <w:proofErr w:type="spellEnd"/>
      <w:r>
        <w:rPr>
          <w:sz w:val="20"/>
          <w:szCs w:val="20"/>
          <w:rtl/>
        </w:rPr>
        <w:t xml:space="preserve"> לא התחילה לפני אמצע אותו עשור.</w:t>
      </w:r>
    </w:p>
    <w:p w14:paraId="6B8BCD80" w14:textId="77777777" w:rsidR="00AB3647" w:rsidRDefault="00000000">
      <w:pPr>
        <w:spacing w:after="0" w:before="0"/>
        <w:jc w:val="both"/>
      </w:pPr>
      <w:r>
        <w:rPr>
          <w:sz w:val="20"/>
          <w:szCs w:val="20"/>
          <w:rtl/>
        </w:rPr>
        <w:t xml:space="preserve">ואולם יש לשלול את האפשרות שהמפגש בין ר׳ </w:t>
      </w:r>
      <w:proofErr w:type="spellStart"/>
      <w:r>
        <w:rPr>
          <w:sz w:val="20"/>
          <w:szCs w:val="20"/>
          <w:rtl/>
        </w:rPr>
        <w:t>איצל׳ה</w:t>
      </w:r>
      <w:proofErr w:type="spellEnd"/>
      <w:r>
        <w:rPr>
          <w:sz w:val="20"/>
          <w:szCs w:val="20"/>
          <w:rtl/>
        </w:rPr>
        <w:t xml:space="preserve"> </w:t>
      </w:r>
      <w:proofErr w:type="spellStart"/>
      <w:r>
        <w:rPr>
          <w:sz w:val="20"/>
          <w:szCs w:val="20"/>
          <w:rtl/>
        </w:rPr>
        <w:t>לר</w:t>
      </w:r>
      <w:proofErr w:type="spellEnd"/>
      <w:r>
        <w:rPr>
          <w:sz w:val="20"/>
          <w:szCs w:val="20"/>
          <w:rtl/>
        </w:rPr>
        <w:t xml:space="preserve">׳ חיים – שבו גם הציע ר׳ </w:t>
      </w:r>
      <w:proofErr w:type="spellStart"/>
      <w:r>
        <w:rPr>
          <w:sz w:val="20"/>
          <w:szCs w:val="20"/>
          <w:rtl/>
        </w:rPr>
        <w:t>איצל׳ה</w:t>
      </w:r>
      <w:proofErr w:type="spellEnd"/>
      <w:r>
        <w:rPr>
          <w:sz w:val="20"/>
          <w:szCs w:val="20"/>
          <w:rtl/>
        </w:rPr>
        <w:t xml:space="preserve"> להיות משגיח הישיבה, כפי שסיפר ר׳ </w:t>
      </w:r>
      <w:proofErr w:type="spellStart"/>
      <w:r>
        <w:rPr>
          <w:sz w:val="20"/>
          <w:szCs w:val="20"/>
          <w:rtl/>
        </w:rPr>
        <w:t>זלמן־נחמיה</w:t>
      </w:r>
      <w:proofErr w:type="spellEnd"/>
      <w:r>
        <w:rPr>
          <w:sz w:val="20"/>
          <w:szCs w:val="20"/>
          <w:rtl/>
        </w:rPr>
        <w:t xml:space="preserve"> גולדברג – התקיים לפני המחצית השנייה של העשור, משלושה טעמים. ראשית, אין זה מתקבל על הדעת שהרעיון להחליף את כהונתו החשובה של ר׳ </w:t>
      </w:r>
      <w:proofErr w:type="spellStart"/>
      <w:r>
        <w:rPr>
          <w:sz w:val="20"/>
          <w:szCs w:val="20"/>
          <w:rtl/>
        </w:rPr>
        <w:t>איצל׳ה</w:t>
      </w:r>
      <w:proofErr w:type="spellEnd"/>
      <w:r>
        <w:rPr>
          <w:sz w:val="20"/>
          <w:szCs w:val="20"/>
          <w:rtl/>
        </w:rPr>
        <w:t xml:space="preserve"> באותה עת, רבה של בירת רוסיה, בתפקיד משגיח ישיבה, שהיה אז חסר חשיבות, עלה בדעתו שנים רבות כל כך לפני תרל״ח, כשבחר בדרך המכובדת יותר – לפרוש מן השירות הציבורי כליל (כנדון בפרק 3, הפסקה הראשונה בנספח ב). שנית, אין להעלות על הדעת שר׳ חיים </w:t>
      </w:r>
      <w:proofErr w:type="spellStart"/>
      <w:r>
        <w:rPr>
          <w:sz w:val="20"/>
          <w:szCs w:val="20"/>
          <w:rtl/>
        </w:rPr>
        <w:t>סולובייצ׳יק</w:t>
      </w:r>
      <w:proofErr w:type="spellEnd"/>
      <w:r>
        <w:rPr>
          <w:sz w:val="20"/>
          <w:szCs w:val="20"/>
          <w:rtl/>
        </w:rPr>
        <w:t>, שבאמצע העשור היה רק בראשית שנות העשרים לחייו, היה מתווכח במונחים כאלה עם רבה המפורסם של פטרבורג. שלישית, אחרי שנתיים, או לכל היותר שלוש שנים, של “</w:t>
      </w:r>
      <w:proofErr w:type="spellStart"/>
      <w:r>
        <w:rPr>
          <w:sz w:val="20"/>
          <w:szCs w:val="20"/>
          <w:rtl/>
        </w:rPr>
        <w:t>קעסט</w:t>
      </w:r>
      <w:proofErr w:type="spellEnd"/>
      <w:r>
        <w:rPr>
          <w:sz w:val="20"/>
          <w:szCs w:val="20"/>
          <w:rtl/>
        </w:rPr>
        <w:t xml:space="preserve">” </w:t>
      </w:r>
      <w:proofErr w:type="spellStart"/>
      <w:r>
        <w:rPr>
          <w:sz w:val="20"/>
          <w:szCs w:val="20"/>
          <w:rtl/>
        </w:rPr>
        <w:t>בוולוז׳ין</w:t>
      </w:r>
      <w:proofErr w:type="spellEnd"/>
      <w:r>
        <w:rPr>
          <w:sz w:val="20"/>
          <w:szCs w:val="20"/>
          <w:rtl/>
        </w:rPr>
        <w:t xml:space="preserve">, היה ר׳ חיים משאיר עניין כזה של מדיניות הישיבה לגמרי לראש הישיבה, </w:t>
      </w:r>
      <w:proofErr w:type="spellStart"/>
      <w:r>
        <w:rPr>
          <w:sz w:val="20"/>
          <w:szCs w:val="20"/>
          <w:rtl/>
        </w:rPr>
        <w:t>הנצי״ב</w:t>
      </w:r>
      <w:proofErr w:type="spellEnd"/>
      <w:r>
        <w:rPr>
          <w:sz w:val="20"/>
          <w:szCs w:val="20"/>
          <w:rtl/>
        </w:rPr>
        <w:t>, סב אשתו.</w:t>
      </w:r>
    </w:p>
  </w:footnote>
  <w:footnote w:id="3920">
    <w:p w14:paraId="6D578A41" w14:textId="77777777" w:rsidR="00AB3647" w:rsidRDefault="00000000">
      <w:pPr>
        <w:spacing w:after="0" w:before="0"/>
        <w:jc w:val="both"/>
      </w:pPr>
      <w:r>
        <w:rPr>
          <w:sz w:val="20"/>
          <w:szCs w:val="20"/>
          <w:rtl/>
        </w:rPr>
        <w:footnoteRef/>
      </w:r>
      <w:r>
        <w:rPr>
          <w:sz w:val="20"/>
          <w:szCs w:val="20"/>
          <w:rtl/>
        </w:rPr>
        <w:t>. המקור הנזכר בפרק 2, הפסקה השישית של נספח א, עמ׳ 320–321.</w:t>
      </w:r>
    </w:p>
  </w:footnote>
  <w:footnote w:id="3921">
    <w:p w14:paraId="525FC909" w14:textId="77777777" w:rsidR="00AB3647" w:rsidRDefault="00000000">
      <w:pPr>
        <w:spacing w:after="0" w:before="0"/>
        <w:jc w:val="both"/>
      </w:pPr>
      <w:r>
        <w:rPr>
          <w:sz w:val="20"/>
          <w:szCs w:val="20"/>
          <w:rtl/>
        </w:rPr>
        <w:footnoteRef/>
      </w:r>
      <w:r>
        <w:rPr>
          <w:sz w:val="20"/>
          <w:szCs w:val="20"/>
          <w:rtl/>
        </w:rPr>
        <w:t xml:space="preserve">. חתימה בהשמטת אות עשויה להיראות מוזרה לקורא בן זמננו, אבל מצאתי אישיות מפורסמת נוספת, שנפטרה חודש לפני </w:t>
      </w:r>
      <w:proofErr w:type="spellStart"/>
      <w:r>
        <w:rPr>
          <w:sz w:val="20"/>
          <w:szCs w:val="20"/>
          <w:rtl/>
        </w:rPr>
        <w:t>הנצי״ב</w:t>
      </w:r>
      <w:proofErr w:type="spellEnd"/>
      <w:r>
        <w:rPr>
          <w:sz w:val="20"/>
          <w:szCs w:val="20"/>
          <w:rtl/>
        </w:rPr>
        <w:t xml:space="preserve">, שהשמיטה אות בחתימתה: ר׳ </w:t>
      </w:r>
      <w:proofErr w:type="spellStart"/>
      <w:r>
        <w:rPr>
          <w:sz w:val="20"/>
          <w:szCs w:val="20"/>
          <w:rtl/>
        </w:rPr>
        <w:t>יהושע׳לה</w:t>
      </w:r>
      <w:proofErr w:type="spellEnd"/>
      <w:r>
        <w:rPr>
          <w:sz w:val="20"/>
          <w:szCs w:val="20"/>
          <w:rtl/>
        </w:rPr>
        <w:t xml:space="preserve"> </w:t>
      </w:r>
      <w:proofErr w:type="spellStart"/>
      <w:r>
        <w:rPr>
          <w:sz w:val="20"/>
          <w:szCs w:val="20"/>
          <w:rtl/>
        </w:rPr>
        <w:t>טרונק</w:t>
      </w:r>
      <w:proofErr w:type="spellEnd"/>
      <w:r>
        <w:rPr>
          <w:sz w:val="20"/>
          <w:szCs w:val="20"/>
          <w:rtl/>
        </w:rPr>
        <w:t xml:space="preserve">, רבה של </w:t>
      </w:r>
      <w:proofErr w:type="spellStart"/>
      <w:r>
        <w:rPr>
          <w:sz w:val="20"/>
          <w:szCs w:val="20"/>
          <w:rtl/>
        </w:rPr>
        <w:t>קוטנא</w:t>
      </w:r>
      <w:proofErr w:type="spellEnd"/>
      <w:r>
        <w:rPr>
          <w:sz w:val="20"/>
          <w:szCs w:val="20"/>
          <w:rtl/>
        </w:rPr>
        <w:t xml:space="preserve">. שלושת שמותיו היו </w:t>
      </w:r>
      <w:proofErr w:type="spellStart"/>
      <w:r>
        <w:rPr>
          <w:sz w:val="20"/>
          <w:szCs w:val="20"/>
          <w:rtl/>
        </w:rPr>
        <w:t>ישראל־אליהו־יהושע</w:t>
      </w:r>
      <w:proofErr w:type="spellEnd"/>
      <w:r>
        <w:rPr>
          <w:sz w:val="20"/>
          <w:szCs w:val="20"/>
          <w:rtl/>
        </w:rPr>
        <w:t>, והוא חתם את הראשון ואת השלישי במשיכת קולמוס אחת, “</w:t>
      </w:r>
      <w:proofErr w:type="spellStart"/>
      <w:r>
        <w:rPr>
          <w:sz w:val="20"/>
          <w:szCs w:val="20"/>
          <w:rtl/>
        </w:rPr>
        <w:t>ישראליהושע</w:t>
      </w:r>
      <w:proofErr w:type="spellEnd"/>
      <w:r>
        <w:rPr>
          <w:sz w:val="20"/>
          <w:szCs w:val="20"/>
          <w:rtl/>
        </w:rPr>
        <w:t>”, וכך כלל בצירוף את כל אותיות השם האמצעי.</w:t>
      </w:r>
    </w:p>
  </w:footnote>
  <w:footnote w:id="3922">
    <w:p w14:paraId="3FB04DFD" w14:textId="77777777" w:rsidR="00AB3647" w:rsidRDefault="00000000">
      <w:pPr>
        <w:spacing w:after="0" w:before="0"/>
        <w:jc w:val="both"/>
      </w:pPr>
      <w:r>
        <w:rPr>
          <w:sz w:val="20"/>
          <w:szCs w:val="20"/>
          <w:rtl/>
        </w:rPr>
        <w:footnoteRef/>
      </w:r>
      <w:r>
        <w:rPr>
          <w:sz w:val="20"/>
          <w:szCs w:val="20"/>
          <w:rtl/>
        </w:rPr>
        <w:t>. אך ראה להלן הסבר אחר לכעס התלמידים, לפי “ר׳ משה שמואל ודורו”.</w:t>
      </w:r>
    </w:p>
  </w:footnote>
  <w:footnote w:id="3923">
    <w:p w14:paraId="69ACB614" w14:textId="77777777" w:rsidR="00AB3647" w:rsidRDefault="00000000">
      <w:pPr>
        <w:spacing w:after="0" w:before="0"/>
        <w:jc w:val="both"/>
      </w:pPr>
      <w:r>
        <w:rPr>
          <w:sz w:val="20"/>
          <w:szCs w:val="20"/>
          <w:rtl/>
        </w:rPr>
        <w:footnoteRef/>
      </w:r>
      <w:r>
        <w:rPr>
          <w:sz w:val="20"/>
          <w:szCs w:val="20"/>
          <w:rtl/>
        </w:rPr>
        <w:t>. ראה “הראשון”, הפסקה השנייה בנספח ב לעיל, עמ׳ 311–312.</w:t>
      </w:r>
    </w:p>
  </w:footnote>
  <w:footnote w:id="3924">
    <w:p w14:paraId="21D20EEF" w14:textId="77777777" w:rsidR="00AB3647" w:rsidRDefault="00000000">
      <w:pPr>
        <w:spacing w:after="0" w:before="0"/>
        <w:jc w:val="both"/>
      </w:pPr>
      <w:r>
        <w:rPr>
          <w:sz w:val="20"/>
          <w:szCs w:val="20"/>
          <w:rtl/>
        </w:rPr>
        <w:footnoteRef/>
      </w:r>
      <w:r>
        <w:rPr>
          <w:sz w:val="20"/>
          <w:szCs w:val="20"/>
          <w:rtl/>
        </w:rPr>
        <w:t>. ריאיון, 15 בינואר 1997.</w:t>
      </w:r>
    </w:p>
  </w:footnote>
  <w:footnote w:id="3925">
    <w:p w14:paraId="1293AF5C" w14:textId="77777777" w:rsidR="00AB3647" w:rsidRDefault="00000000">
      <w:pPr>
        <w:spacing w:after="0" w:before="0"/>
        <w:jc w:val="both"/>
      </w:pPr>
      <w:r>
        <w:rPr>
          <w:sz w:val="20"/>
          <w:szCs w:val="20"/>
          <w:rtl/>
        </w:rPr>
        <w:footnoteRef/>
      </w:r>
      <w:r>
        <w:rPr>
          <w:sz w:val="20"/>
          <w:szCs w:val="20"/>
          <w:rtl/>
        </w:rPr>
        <w:t>. ראה כרך 2.</w:t>
      </w:r>
    </w:p>
  </w:footnote>
  <w:footnote w:id="3926">
    <w:p w14:paraId="46BB094E" w14:textId="77777777" w:rsidR="00AB3647" w:rsidRDefault="00000000">
      <w:pPr>
        <w:spacing w:after="0" w:before="0"/>
        <w:jc w:val="both"/>
      </w:pPr>
      <w:r>
        <w:rPr>
          <w:sz w:val="20"/>
          <w:szCs w:val="20"/>
          <w:rtl/>
        </w:rPr>
        <w:footnoteRef/>
      </w:r>
      <w:r>
        <w:rPr>
          <w:sz w:val="20"/>
          <w:szCs w:val="20"/>
          <w:rtl/>
        </w:rPr>
        <w:t>. המקור הנזכר בפרק 3, נספח טו, עמ׳ 45.</w:t>
      </w:r>
    </w:p>
  </w:footnote>
  <w:footnote w:id="3927">
    <w:p w14:paraId="1060C79C" w14:textId="77777777" w:rsidR="00AB3647" w:rsidRDefault="00000000">
      <w:pPr>
        <w:spacing w:after="0" w:before="0"/>
        <w:jc w:val="both"/>
      </w:pPr>
      <w:r>
        <w:rPr>
          <w:sz w:val="20"/>
          <w:szCs w:val="20"/>
          <w:rtl/>
        </w:rPr>
        <w:footnoteRef/>
      </w:r>
      <w:r>
        <w:rPr>
          <w:sz w:val="20"/>
          <w:szCs w:val="20"/>
          <w:rtl/>
        </w:rPr>
        <w:t>. ריאיון, 7 באוגוסט 1992.</w:t>
      </w:r>
    </w:p>
  </w:footnote>
  <w:footnote w:id="3928">
    <w:p w14:paraId="6BD67014" w14:textId="77777777" w:rsidR="00AB3647" w:rsidRDefault="00000000">
      <w:pPr>
        <w:spacing w:after="0" w:before="0"/>
        <w:jc w:val="both"/>
      </w:pPr>
      <w:r>
        <w:rPr>
          <w:sz w:val="20"/>
          <w:szCs w:val="20"/>
          <w:rtl/>
        </w:rPr>
        <w:footnoteRef/>
      </w:r>
      <w:r>
        <w:rPr>
          <w:sz w:val="20"/>
          <w:szCs w:val="20"/>
          <w:rtl/>
        </w:rPr>
        <w:t xml:space="preserve">. הוא חיבר את הספרים הקלאסיים “תורה הכתובה והמסורה” </w:t>
      </w:r>
      <w:proofErr w:type="spellStart"/>
      <w:r>
        <w:rPr>
          <w:sz w:val="20"/>
          <w:szCs w:val="20"/>
          <w:rtl/>
        </w:rPr>
        <w:t>ו“תולדות</w:t>
      </w:r>
      <w:proofErr w:type="spellEnd"/>
      <w:r>
        <w:rPr>
          <w:sz w:val="20"/>
          <w:szCs w:val="20"/>
          <w:rtl/>
        </w:rPr>
        <w:t xml:space="preserve"> תנאים ואמוראים”.</w:t>
      </w:r>
    </w:p>
  </w:footnote>
  <w:footnote w:id="3929">
    <w:p w14:paraId="1C96A940" w14:textId="77777777" w:rsidR="00AB3647" w:rsidRDefault="00000000">
      <w:pPr>
        <w:spacing w:after="0" w:before="0"/>
        <w:jc w:val="both"/>
      </w:pPr>
      <w:r>
        <w:rPr>
          <w:sz w:val="20"/>
          <w:szCs w:val="20"/>
          <w:rtl/>
        </w:rPr>
        <w:footnoteRef/>
      </w:r>
      <w:r>
        <w:rPr>
          <w:sz w:val="20"/>
          <w:szCs w:val="20"/>
          <w:rtl/>
        </w:rPr>
        <w:t xml:space="preserve">. ראה את הפרק על המשמעת בבתי הספר ובצבא ברוסיה </w:t>
      </w:r>
      <w:proofErr w:type="spellStart"/>
      <w:r>
        <w:rPr>
          <w:sz w:val="20"/>
          <w:szCs w:val="20"/>
          <w:rtl/>
        </w:rPr>
        <w:t>ב“זכרון</w:t>
      </w:r>
      <w:proofErr w:type="spellEnd"/>
      <w:r>
        <w:rPr>
          <w:sz w:val="20"/>
          <w:szCs w:val="20"/>
          <w:rtl/>
        </w:rPr>
        <w:t xml:space="preserve"> יעקב” (הפסקה השנייה בנספח ח לעיל), כרך א, עמ׳ 103–105. מתוארות שם הצלפות תכופות בבתי הספר, ובצבא אף יותר: קצינים בכירים היו מכים את בעלי הדרגות הנמוכות מהם, ואפילו נסיכים ממשפחת המלוכה ספגו עונשים כאלה. ראה גם “ספר חסידים”, אות </w:t>
      </w:r>
      <w:proofErr w:type="spellStart"/>
      <w:r>
        <w:rPr>
          <w:sz w:val="20"/>
          <w:szCs w:val="20"/>
          <w:rtl/>
        </w:rPr>
        <w:t>תתשא</w:t>
      </w:r>
      <w:proofErr w:type="spellEnd"/>
      <w:r>
        <w:rPr>
          <w:sz w:val="20"/>
          <w:szCs w:val="20"/>
          <w:rtl/>
        </w:rPr>
        <w:t>: “כמו שמנהג הנכרים כן מנהגי היהודים ברוב המקומות”; וכן מכות ח׳ ע״ב: “הרב הרודה את תלמידו”.</w:t>
      </w:r>
    </w:p>
  </w:footnote>
  <w:footnote w:id="3930">
    <w:p w14:paraId="5AE7CB00" w14:textId="77777777" w:rsidR="00AB3647" w:rsidRDefault="00000000">
      <w:pPr>
        <w:spacing w:after="0" w:before="0"/>
        <w:jc w:val="both"/>
      </w:pPr>
      <w:r>
        <w:rPr>
          <w:sz w:val="20"/>
          <w:szCs w:val="20"/>
          <w:rtl/>
        </w:rPr>
        <w:footnoteRef/>
      </w:r>
      <w:r>
        <w:rPr>
          <w:sz w:val="20"/>
          <w:szCs w:val="20"/>
          <w:rtl/>
        </w:rPr>
        <w:t>. עמ׳ 30.</w:t>
      </w:r>
    </w:p>
  </w:footnote>
  <w:footnote w:id="3931">
    <w:p w14:paraId="0963952C" w14:textId="77777777" w:rsidR="00AB3647" w:rsidRDefault="00000000">
      <w:pPr>
        <w:spacing w:after="0" w:before="0"/>
        <w:jc w:val="both"/>
      </w:pPr>
      <w:r>
        <w:rPr>
          <w:sz w:val="20"/>
          <w:szCs w:val="20"/>
          <w:rtl/>
        </w:rPr>
        <w:footnoteRef/>
      </w:r>
      <w:r>
        <w:rPr>
          <w:sz w:val="20"/>
          <w:szCs w:val="20"/>
          <w:rtl/>
        </w:rPr>
        <w:t>. עמ׳ 59 ו־60.</w:t>
      </w:r>
    </w:p>
  </w:footnote>
  <w:footnote w:id="3932">
    <w:p w14:paraId="4C5E681D" w14:textId="77777777" w:rsidR="00AB3647" w:rsidRDefault="00000000">
      <w:pPr>
        <w:spacing w:after="0" w:before="0"/>
        <w:jc w:val="both"/>
      </w:pPr>
      <w:r>
        <w:rPr>
          <w:sz w:val="20"/>
          <w:szCs w:val="20"/>
          <w:rtl/>
        </w:rPr>
        <w:footnoteRef/>
      </w:r>
      <w:r>
        <w:rPr>
          <w:sz w:val="20"/>
          <w:szCs w:val="20"/>
          <w:rtl/>
        </w:rPr>
        <w:t>. הערה 33 לעיל, עמ׳ 74–75.</w:t>
      </w:r>
    </w:p>
  </w:footnote>
  <w:footnote w:id="3933">
    <w:p w14:paraId="5CCD040A" w14:textId="77777777" w:rsidR="00AB3647" w:rsidRDefault="00000000">
      <w:pPr>
        <w:spacing w:after="0" w:before="0"/>
        <w:jc w:val="both"/>
      </w:pPr>
      <w:r>
        <w:rPr>
          <w:sz w:val="20"/>
          <w:szCs w:val="20"/>
          <w:rtl/>
        </w:rPr>
        <w:footnoteRef/>
      </w:r>
      <w:r>
        <w:rPr>
          <w:sz w:val="20"/>
          <w:szCs w:val="20"/>
          <w:rtl/>
        </w:rPr>
        <w:t xml:space="preserve">. להלן: “מאמר </w:t>
      </w:r>
      <w:proofErr w:type="spellStart"/>
      <w:r>
        <w:rPr>
          <w:sz w:val="20"/>
          <w:szCs w:val="20"/>
          <w:rtl/>
        </w:rPr>
        <w:t>ציטרון</w:t>
      </w:r>
      <w:proofErr w:type="spellEnd"/>
      <w:r>
        <w:rPr>
          <w:sz w:val="20"/>
          <w:szCs w:val="20"/>
          <w:rtl/>
        </w:rPr>
        <w:t>”.</w:t>
      </w:r>
    </w:p>
  </w:footnote>
  <w:footnote w:id="3934">
    <w:p w14:paraId="4020D5DD" w14:textId="77777777" w:rsidR="00AB3647" w:rsidRDefault="00000000">
      <w:pPr>
        <w:spacing w:after="0" w:before="0"/>
        <w:jc w:val="both"/>
      </w:pPr>
      <w:r>
        <w:rPr>
          <w:sz w:val="20"/>
          <w:szCs w:val="20"/>
          <w:rtl/>
        </w:rPr>
        <w:footnoteRef/>
      </w:r>
      <w:r>
        <w:rPr>
          <w:sz w:val="20"/>
          <w:szCs w:val="20"/>
          <w:rtl/>
        </w:rPr>
        <w:t>. בעמ׳ 59.</w:t>
      </w:r>
    </w:p>
  </w:footnote>
  <w:footnote w:id="3935">
    <w:p w14:paraId="46B95E25" w14:textId="77777777" w:rsidR="00AB3647" w:rsidRDefault="00000000">
      <w:pPr>
        <w:spacing w:after="0" w:before="0"/>
        <w:jc w:val="both"/>
      </w:pPr>
      <w:r>
        <w:rPr>
          <w:sz w:val="20"/>
          <w:szCs w:val="20"/>
          <w:rtl/>
        </w:rPr>
        <w:footnoteRef/>
      </w:r>
      <w:r>
        <w:rPr>
          <w:sz w:val="20"/>
          <w:szCs w:val="20"/>
          <w:rtl/>
        </w:rPr>
        <w:t>. בעמ׳ 60.</w:t>
      </w:r>
    </w:p>
  </w:footnote>
  <w:footnote w:id="3936">
    <w:p w14:paraId="505D89A2" w14:textId="77777777" w:rsidR="00AB3647" w:rsidRDefault="00000000">
      <w:pPr>
        <w:spacing w:after="0" w:before="0"/>
        <w:jc w:val="both"/>
      </w:pPr>
      <w:r>
        <w:rPr>
          <w:sz w:val="20"/>
          <w:szCs w:val="20"/>
          <w:rtl/>
        </w:rPr>
        <w:footnoteRef/>
      </w:r>
      <w:r>
        <w:rPr>
          <w:sz w:val="20"/>
          <w:szCs w:val="20"/>
          <w:rtl/>
        </w:rPr>
        <w:t xml:space="preserve">. “ר׳ משה שמואל ודורו” אינו מבהיר כאן לאיזו משתי פעולות התספורת התנגד </w:t>
      </w:r>
      <w:proofErr w:type="spellStart"/>
      <w:r>
        <w:rPr>
          <w:sz w:val="20"/>
          <w:szCs w:val="20"/>
          <w:rtl/>
        </w:rPr>
        <w:t>הנצי״ב</w:t>
      </w:r>
      <w:proofErr w:type="spellEnd"/>
      <w:r>
        <w:rPr>
          <w:sz w:val="20"/>
          <w:szCs w:val="20"/>
          <w:rtl/>
        </w:rPr>
        <w:t xml:space="preserve">. מקורו העיקרי, כפי שהוא עצמו מציין, הוא מאמר </w:t>
      </w:r>
      <w:proofErr w:type="spellStart"/>
      <w:r>
        <w:rPr>
          <w:sz w:val="20"/>
          <w:szCs w:val="20"/>
          <w:rtl/>
        </w:rPr>
        <w:t>ב“הצפירה</w:t>
      </w:r>
      <w:proofErr w:type="spellEnd"/>
      <w:r>
        <w:rPr>
          <w:sz w:val="20"/>
          <w:szCs w:val="20"/>
          <w:rtl/>
        </w:rPr>
        <w:t xml:space="preserve">” מא׳ בסיוון תרע״ו מאת מ׳ </w:t>
      </w:r>
      <w:proofErr w:type="spellStart"/>
      <w:r>
        <w:rPr>
          <w:sz w:val="20"/>
          <w:szCs w:val="20"/>
          <w:rtl/>
        </w:rPr>
        <w:t>אייזנשטאדט</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שלושה עשורים קודם לכן. המאמר מבהיר כבר בפתיחתו שמה שעורר את כעס </w:t>
      </w:r>
      <w:proofErr w:type="spellStart"/>
      <w:r>
        <w:rPr>
          <w:sz w:val="20"/>
          <w:szCs w:val="20"/>
          <w:rtl/>
        </w:rPr>
        <w:t>הנצי״ב</w:t>
      </w:r>
      <w:proofErr w:type="spellEnd"/>
      <w:r>
        <w:rPr>
          <w:sz w:val="20"/>
          <w:szCs w:val="20"/>
          <w:rtl/>
        </w:rPr>
        <w:t xml:space="preserve"> הוא “השחתה” של הפאות (ראה ויקרא </w:t>
      </w:r>
      <w:proofErr w:type="spellStart"/>
      <w:r>
        <w:rPr>
          <w:sz w:val="20"/>
          <w:szCs w:val="20"/>
          <w:rtl/>
        </w:rPr>
        <w:t>יט</w:t>
      </w:r>
      <w:proofErr w:type="spellEnd"/>
      <w:r>
        <w:rPr>
          <w:sz w:val="20"/>
          <w:szCs w:val="20"/>
          <w:rtl/>
        </w:rPr>
        <w:t xml:space="preserve">, </w:t>
      </w:r>
      <w:proofErr w:type="spellStart"/>
      <w:r>
        <w:rPr>
          <w:sz w:val="20"/>
          <w:szCs w:val="20"/>
          <w:rtl/>
        </w:rPr>
        <w:t>כז</w:t>
      </w:r>
      <w:proofErr w:type="spellEnd"/>
      <w:r>
        <w:rPr>
          <w:sz w:val="20"/>
          <w:szCs w:val="20"/>
          <w:rtl/>
        </w:rPr>
        <w:t>).</w:t>
      </w:r>
    </w:p>
  </w:footnote>
  <w:footnote w:id="3937">
    <w:p w14:paraId="2F75DDA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ל“ר</w:t>
      </w:r>
      <w:proofErr w:type="spellEnd"/>
      <w:r>
        <w:rPr>
          <w:sz w:val="20"/>
          <w:szCs w:val="20"/>
          <w:rtl/>
        </w:rPr>
        <w:t xml:space="preserve">׳ משה שמואל ודורו” ודאי היו גם מקורות לסיפור מלבד מאמר “הצפירה”, שכן עיר מוצאו של התלמיד שנענש אינה נזכרת בו, ופרטי התנצלותו הפומבית המאוחרת של </w:t>
      </w:r>
      <w:proofErr w:type="spellStart"/>
      <w:r>
        <w:rPr>
          <w:sz w:val="20"/>
          <w:szCs w:val="20"/>
          <w:rtl/>
        </w:rPr>
        <w:t>הנצי״ב</w:t>
      </w:r>
      <w:proofErr w:type="spellEnd"/>
      <w:r>
        <w:rPr>
          <w:sz w:val="20"/>
          <w:szCs w:val="20"/>
          <w:rtl/>
        </w:rPr>
        <w:t xml:space="preserve"> אינם זהים במאמר ובספר.</w:t>
      </w:r>
    </w:p>
  </w:footnote>
  <w:footnote w:id="3938">
    <w:p w14:paraId="57C5F6CF" w14:textId="77777777" w:rsidR="00AB3647" w:rsidRDefault="00000000">
      <w:pPr>
        <w:spacing w:after="0" w:before="0"/>
        <w:jc w:val="both"/>
      </w:pPr>
      <w:r>
        <w:rPr>
          <w:sz w:val="20"/>
          <w:szCs w:val="20"/>
          <w:rtl/>
        </w:rPr>
        <w:footnoteRef/>
      </w:r>
      <w:r>
        <w:rPr>
          <w:sz w:val="20"/>
          <w:szCs w:val="20"/>
          <w:rtl/>
        </w:rPr>
        <w:t>. ראה פרק 3, הערה 93.</w:t>
      </w:r>
    </w:p>
  </w:footnote>
  <w:footnote w:id="3939">
    <w:p w14:paraId="609A4F8B" w14:textId="77777777" w:rsidR="00AB3647" w:rsidRDefault="00000000">
      <w:pPr>
        <w:spacing w:after="0" w:before="0"/>
        <w:jc w:val="both"/>
      </w:pPr>
      <w:r>
        <w:rPr>
          <w:sz w:val="20"/>
          <w:szCs w:val="20"/>
          <w:rtl/>
        </w:rPr>
        <w:footnoteRef/>
      </w:r>
      <w:r>
        <w:rPr>
          <w:sz w:val="20"/>
          <w:szCs w:val="20"/>
          <w:rtl/>
        </w:rPr>
        <w:t xml:space="preserve">. אמירה זו נראית שגויה לפי המידע המובא כאן: כפי שמוכיח הכינוי המיוחד שניתן לתלמיד שקיבל סטירה, כמובא להלן, התופעה התרחשה בוודאי יותר מפעם אחת בשלושים ותשע שנות כהונתו של </w:t>
      </w:r>
      <w:proofErr w:type="spellStart"/>
      <w:r>
        <w:rPr>
          <w:sz w:val="20"/>
          <w:szCs w:val="20"/>
          <w:rtl/>
        </w:rPr>
        <w:t>הנצי״ב</w:t>
      </w:r>
      <w:proofErr w:type="spellEnd"/>
      <w:r>
        <w:rPr>
          <w:sz w:val="20"/>
          <w:szCs w:val="20"/>
          <w:rtl/>
        </w:rPr>
        <w:t xml:space="preserve"> כראש הישיבה.</w:t>
      </w:r>
    </w:p>
  </w:footnote>
  <w:footnote w:id="3940">
    <w:p w14:paraId="1AEA7A5D" w14:textId="77777777" w:rsidR="00AB3647" w:rsidRDefault="00000000">
      <w:pPr>
        <w:spacing w:after="0" w:before="0"/>
        <w:jc w:val="both"/>
      </w:pPr>
      <w:r>
        <w:rPr>
          <w:sz w:val="20"/>
          <w:szCs w:val="20"/>
          <w:rtl/>
        </w:rPr>
        <w:footnoteRef/>
      </w:r>
      <w:r>
        <w:rPr>
          <w:sz w:val="20"/>
          <w:szCs w:val="20"/>
          <w:rtl/>
        </w:rPr>
        <w:t>. לא הצלחתי לברר פרטים נוספים על סופר זה.</w:t>
      </w:r>
    </w:p>
  </w:footnote>
  <w:footnote w:id="3941">
    <w:p w14:paraId="306506B8" w14:textId="77777777" w:rsidR="00AB3647" w:rsidRDefault="00000000">
      <w:pPr>
        <w:spacing w:after="0" w:before="0"/>
        <w:jc w:val="both"/>
      </w:pPr>
      <w:r>
        <w:rPr>
          <w:sz w:val="20"/>
          <w:szCs w:val="20"/>
          <w:rtl/>
        </w:rPr>
        <w:footnoteRef/>
      </w:r>
      <w:r>
        <w:rPr>
          <w:sz w:val="20"/>
          <w:szCs w:val="20"/>
          <w:rtl/>
        </w:rPr>
        <w:t>. על פי שבת ל׳ ע״א.</w:t>
      </w:r>
    </w:p>
  </w:footnote>
  <w:footnote w:id="3942">
    <w:p w14:paraId="2EBF9EE1" w14:textId="77777777" w:rsidR="00AB3647" w:rsidRDefault="00000000">
      <w:pPr>
        <w:spacing w:after="0" w:before="0"/>
        <w:jc w:val="both"/>
      </w:pPr>
      <w:r>
        <w:rPr>
          <w:sz w:val="20"/>
          <w:szCs w:val="20"/>
          <w:rtl/>
        </w:rPr>
        <w:footnoteRef/>
      </w:r>
      <w:r>
        <w:rPr>
          <w:sz w:val="20"/>
          <w:szCs w:val="20"/>
          <w:rtl/>
        </w:rPr>
        <w:t xml:space="preserve">. ראה להלן: זיכרונותיו של </w:t>
      </w:r>
      <w:proofErr w:type="spellStart"/>
      <w:r>
        <w:rPr>
          <w:sz w:val="20"/>
          <w:szCs w:val="20"/>
          <w:rtl/>
        </w:rPr>
        <w:t>יהושע־לייב</w:t>
      </w:r>
      <w:proofErr w:type="spellEnd"/>
      <w:r>
        <w:rPr>
          <w:sz w:val="20"/>
          <w:szCs w:val="20"/>
          <w:rtl/>
        </w:rPr>
        <w:t xml:space="preserve"> </w:t>
      </w:r>
      <w:proofErr w:type="spellStart"/>
      <w:r>
        <w:rPr>
          <w:sz w:val="20"/>
          <w:szCs w:val="20"/>
          <w:rtl/>
        </w:rPr>
        <w:t>ראדוס</w:t>
      </w:r>
      <w:proofErr w:type="spellEnd"/>
      <w:r>
        <w:rPr>
          <w:sz w:val="20"/>
          <w:szCs w:val="20"/>
          <w:rtl/>
        </w:rPr>
        <w:t xml:space="preserve">, בתיאור ההבדלים בין </w:t>
      </w:r>
      <w:proofErr w:type="spellStart"/>
      <w:r>
        <w:rPr>
          <w:sz w:val="20"/>
          <w:szCs w:val="20"/>
          <w:rtl/>
        </w:rPr>
        <w:t>הנצי״ב</w:t>
      </w:r>
      <w:proofErr w:type="spellEnd"/>
      <w:r>
        <w:rPr>
          <w:sz w:val="20"/>
          <w:szCs w:val="20"/>
          <w:rtl/>
        </w:rPr>
        <w:t xml:space="preserve"> לבין ר׳ חיים </w:t>
      </w:r>
      <w:proofErr w:type="spellStart"/>
      <w:r>
        <w:rPr>
          <w:sz w:val="20"/>
          <w:szCs w:val="20"/>
          <w:rtl/>
        </w:rPr>
        <w:t>סולובייצ׳יק</w:t>
      </w:r>
      <w:proofErr w:type="spellEnd"/>
      <w:r>
        <w:rPr>
          <w:sz w:val="20"/>
          <w:szCs w:val="20"/>
          <w:rtl/>
        </w:rPr>
        <w:t>, מתארים את הראשון כחסר רחמים.</w:t>
      </w:r>
    </w:p>
  </w:footnote>
  <w:footnote w:id="3943">
    <w:p w14:paraId="083EF602" w14:textId="77777777" w:rsidR="00AB3647" w:rsidRDefault="00000000">
      <w:pPr>
        <w:spacing w:after="0" w:before="0"/>
        <w:jc w:val="both"/>
      </w:pPr>
      <w:r>
        <w:rPr>
          <w:sz w:val="20"/>
          <w:szCs w:val="20"/>
          <w:rtl/>
        </w:rPr>
        <w:footnoteRef/>
      </w:r>
      <w:r>
        <w:rPr>
          <w:sz w:val="20"/>
          <w:szCs w:val="20"/>
          <w:rtl/>
        </w:rPr>
        <w:t xml:space="preserve">. ראה סוף נספח </w:t>
      </w:r>
      <w:proofErr w:type="spellStart"/>
      <w:r>
        <w:rPr>
          <w:sz w:val="20"/>
          <w:szCs w:val="20"/>
          <w:rtl/>
        </w:rPr>
        <w:t>יג</w:t>
      </w:r>
      <w:proofErr w:type="spellEnd"/>
      <w:r>
        <w:rPr>
          <w:sz w:val="20"/>
          <w:szCs w:val="20"/>
          <w:rtl/>
        </w:rPr>
        <w:t xml:space="preserve"> להלן.</w:t>
      </w:r>
    </w:p>
  </w:footnote>
  <w:footnote w:id="3944">
    <w:p w14:paraId="72705D27" w14:textId="77777777" w:rsidR="00AB3647" w:rsidRDefault="00000000">
      <w:pPr>
        <w:spacing w:after="0" w:before="0"/>
        <w:jc w:val="both"/>
      </w:pPr>
      <w:r>
        <w:rPr>
          <w:sz w:val="20"/>
          <w:szCs w:val="20"/>
          <w:rtl/>
        </w:rPr>
        <w:footnoteRef/>
      </w:r>
      <w:r>
        <w:rPr>
          <w:sz w:val="20"/>
          <w:szCs w:val="20"/>
          <w:rtl/>
        </w:rPr>
        <w:t xml:space="preserve">. להלן: בר </w:t>
      </w:r>
      <w:proofErr w:type="spellStart"/>
      <w:r>
        <w:rPr>
          <w:sz w:val="20"/>
          <w:szCs w:val="20"/>
          <w:rtl/>
        </w:rPr>
        <w:t>בי־רב</w:t>
      </w:r>
      <w:proofErr w:type="spellEnd"/>
      <w:r>
        <w:rPr>
          <w:sz w:val="20"/>
          <w:szCs w:val="20"/>
          <w:rtl/>
        </w:rPr>
        <w:t>.</w:t>
      </w:r>
    </w:p>
  </w:footnote>
  <w:footnote w:id="3945">
    <w:p w14:paraId="5BB2845F" w14:textId="77777777" w:rsidR="00AB3647" w:rsidRDefault="00000000">
      <w:pPr>
        <w:spacing w:after="0" w:before="0"/>
        <w:jc w:val="both"/>
      </w:pPr>
      <w:r>
        <w:rPr>
          <w:sz w:val="20"/>
          <w:szCs w:val="20"/>
          <w:rtl/>
        </w:rPr>
        <w:footnoteRef/>
      </w:r>
      <w:r>
        <w:rPr>
          <w:sz w:val="20"/>
          <w:szCs w:val="20"/>
          <w:rtl/>
        </w:rPr>
        <w:t>. גיליון ח׳ בניסן תרמ״ה.</w:t>
      </w:r>
    </w:p>
  </w:footnote>
  <w:footnote w:id="3946">
    <w:p w14:paraId="6A8D1D3B" w14:textId="77777777" w:rsidR="00AB3647" w:rsidRDefault="00000000">
      <w:pPr>
        <w:spacing w:after="0" w:before="0"/>
        <w:jc w:val="both"/>
      </w:pPr>
      <w:r>
        <w:rPr>
          <w:sz w:val="20"/>
          <w:szCs w:val="20"/>
          <w:rtl/>
        </w:rPr>
        <w:footnoteRef/>
      </w:r>
      <w:r>
        <w:rPr>
          <w:sz w:val="20"/>
          <w:szCs w:val="20"/>
          <w:rtl/>
        </w:rPr>
        <w:t xml:space="preserve">. “בעלי </w:t>
      </w:r>
      <w:proofErr w:type="spellStart"/>
      <w:r>
        <w:rPr>
          <w:sz w:val="20"/>
          <w:szCs w:val="20"/>
          <w:rtl/>
        </w:rPr>
        <w:t>אגרופין</w:t>
      </w:r>
      <w:proofErr w:type="spellEnd"/>
      <w:r>
        <w:rPr>
          <w:sz w:val="20"/>
          <w:szCs w:val="20"/>
          <w:rtl/>
        </w:rPr>
        <w:t xml:space="preserve"> של בית דוד”; ראה קידושין, סוף ע״ו ע״ב.</w:t>
      </w:r>
    </w:p>
  </w:footnote>
  <w:footnote w:id="3947">
    <w:p w14:paraId="42A74FC7" w14:textId="77777777" w:rsidR="00AB3647" w:rsidRDefault="00000000">
      <w:pPr>
        <w:spacing w:after="0" w:before="0"/>
        <w:jc w:val="both"/>
      </w:pPr>
      <w:r>
        <w:rPr>
          <w:sz w:val="20"/>
          <w:szCs w:val="20"/>
          <w:rtl/>
        </w:rPr>
        <w:footnoteRef/>
      </w:r>
      <w:r>
        <w:rPr>
          <w:sz w:val="20"/>
          <w:szCs w:val="20"/>
          <w:rtl/>
        </w:rPr>
        <w:t>. הכותב מכנה את “בית הרב”, ראה פרק 3, הערה 11, במונחי המלכות היהודית – כנראה בלשון סאטירית.</w:t>
      </w:r>
    </w:p>
  </w:footnote>
  <w:footnote w:id="3948">
    <w:p w14:paraId="27AC5BFD" w14:textId="77777777" w:rsidR="00AB3647" w:rsidRDefault="00000000">
      <w:pPr>
        <w:spacing w:after="0" w:before="0"/>
        <w:jc w:val="both"/>
      </w:pPr>
      <w:r>
        <w:rPr>
          <w:sz w:val="20"/>
          <w:szCs w:val="20"/>
          <w:rtl/>
        </w:rPr>
        <w:footnoteRef/>
      </w:r>
      <w:r>
        <w:rPr>
          <w:sz w:val="20"/>
          <w:szCs w:val="20"/>
          <w:rtl/>
        </w:rPr>
        <w:t xml:space="preserve">. הוצאת עם הספר, תל אביב, </w:t>
      </w:r>
      <w:proofErr w:type="spellStart"/>
      <w:r>
        <w:rPr>
          <w:sz w:val="20"/>
          <w:szCs w:val="20"/>
          <w:rtl/>
        </w:rPr>
        <w:t>תש״ך</w:t>
      </w:r>
      <w:proofErr w:type="spellEnd"/>
      <w:r>
        <w:rPr>
          <w:sz w:val="20"/>
          <w:szCs w:val="20"/>
          <w:rtl/>
        </w:rPr>
        <w:t>, עמ׳ 193.</w:t>
      </w:r>
    </w:p>
  </w:footnote>
  <w:footnote w:id="3949">
    <w:p w14:paraId="1A51B275" w14:textId="77777777" w:rsidR="00AB3647" w:rsidRDefault="00000000">
      <w:pPr>
        <w:spacing w:after="0" w:before="0"/>
        <w:jc w:val="both"/>
      </w:pPr>
      <w:r>
        <w:rPr>
          <w:sz w:val="20"/>
          <w:szCs w:val="20"/>
          <w:rtl/>
        </w:rPr>
        <w:footnoteRef/>
      </w:r>
      <w:r>
        <w:rPr>
          <w:sz w:val="20"/>
          <w:szCs w:val="20"/>
          <w:rtl/>
        </w:rPr>
        <w:t xml:space="preserve">. האספה מתוארת בהרחבה </w:t>
      </w:r>
      <w:proofErr w:type="spellStart"/>
      <w:r>
        <w:rPr>
          <w:sz w:val="20"/>
          <w:szCs w:val="20"/>
          <w:rtl/>
        </w:rPr>
        <w:t>ב“הראשון</w:t>
      </w:r>
      <w:proofErr w:type="spellEnd"/>
      <w:r>
        <w:rPr>
          <w:sz w:val="20"/>
          <w:szCs w:val="20"/>
          <w:rtl/>
        </w:rPr>
        <w:t>”, עמ׳ 381–390.</w:t>
      </w:r>
    </w:p>
  </w:footnote>
  <w:footnote w:id="3950">
    <w:p w14:paraId="4B37F929" w14:textId="77777777" w:rsidR="00AB3647" w:rsidRDefault="00000000">
      <w:pPr>
        <w:spacing w:after="0" w:before="0"/>
        <w:jc w:val="both"/>
      </w:pPr>
      <w:r>
        <w:rPr>
          <w:sz w:val="20"/>
          <w:szCs w:val="20"/>
          <w:rtl/>
        </w:rPr>
        <w:footnoteRef/>
      </w:r>
      <w:r>
        <w:rPr>
          <w:sz w:val="20"/>
          <w:szCs w:val="20"/>
          <w:rtl/>
        </w:rPr>
        <w:t xml:space="preserve">. שמונה שנים קודם לכן הבטיח </w:t>
      </w:r>
      <w:proofErr w:type="spellStart"/>
      <w:r>
        <w:rPr>
          <w:sz w:val="20"/>
          <w:szCs w:val="20"/>
          <w:rtl/>
        </w:rPr>
        <w:t>הנצי״ב</w:t>
      </w:r>
      <w:proofErr w:type="spellEnd"/>
      <w:r>
        <w:rPr>
          <w:sz w:val="20"/>
          <w:szCs w:val="20"/>
          <w:rtl/>
        </w:rPr>
        <w:t xml:space="preserve"> לשלטונות רוסיה לעשות זאת.</w:t>
      </w:r>
    </w:p>
  </w:footnote>
  <w:footnote w:id="3951">
    <w:p w14:paraId="3D5E7EC0" w14:textId="77777777" w:rsidR="00AB3647" w:rsidRDefault="00000000">
      <w:pPr>
        <w:spacing w:after="0" w:before="0"/>
        <w:jc w:val="both"/>
      </w:pPr>
      <w:r>
        <w:rPr>
          <w:sz w:val="20"/>
          <w:szCs w:val="20"/>
          <w:rtl/>
        </w:rPr>
        <w:footnoteRef/>
      </w:r>
      <w:r>
        <w:rPr>
          <w:sz w:val="20"/>
          <w:szCs w:val="20"/>
          <w:rtl/>
        </w:rPr>
        <w:t>. דביר, תל אביב, תרצ״ה, עמ׳ 233.</w:t>
      </w:r>
    </w:p>
  </w:footnote>
  <w:footnote w:id="3952">
    <w:p w14:paraId="6D3151F5" w14:textId="77777777" w:rsidR="00AB3647" w:rsidRDefault="00000000">
      <w:pPr>
        <w:spacing w:after="0" w:before="0"/>
        <w:jc w:val="both"/>
      </w:pPr>
      <w:r>
        <w:rPr>
          <w:sz w:val="20"/>
          <w:szCs w:val="20"/>
          <w:rtl/>
        </w:rPr>
        <w:footnoteRef/>
      </w:r>
      <w:r>
        <w:rPr>
          <w:sz w:val="20"/>
          <w:szCs w:val="20"/>
          <w:rtl/>
        </w:rPr>
        <w:t xml:space="preserve">. בעריכת פ׳ לחובר, הוצאת דביר, תל אביב; להלן “אגרות חיים נחמן ביאליק”, עמ׳ </w:t>
      </w:r>
      <w:proofErr w:type="spellStart"/>
      <w:r>
        <w:rPr>
          <w:sz w:val="20"/>
          <w:szCs w:val="20"/>
          <w:rtl/>
        </w:rPr>
        <w:t>קסח</w:t>
      </w:r>
      <w:proofErr w:type="spellEnd"/>
      <w:r>
        <w:rPr>
          <w:sz w:val="20"/>
          <w:szCs w:val="20"/>
          <w:rtl/>
        </w:rPr>
        <w:t>.</w:t>
      </w:r>
    </w:p>
  </w:footnote>
  <w:footnote w:id="3953">
    <w:p w14:paraId="1822056A" w14:textId="77777777" w:rsidR="00AB3647" w:rsidRDefault="00000000">
      <w:pPr>
        <w:spacing w:after="0" w:before="0"/>
        <w:jc w:val="both"/>
      </w:pPr>
      <w:r>
        <w:rPr>
          <w:sz w:val="20"/>
          <w:szCs w:val="20"/>
          <w:rtl/>
        </w:rPr>
        <w:footnoteRef/>
      </w:r>
      <w:r>
        <w:rPr>
          <w:sz w:val="20"/>
          <w:szCs w:val="20"/>
          <w:rtl/>
        </w:rPr>
        <w:t>. תוכנית האגודה האחות, בני משה, מתוארת בעמ׳ 190–192 של “</w:t>
      </w:r>
      <w:proofErr w:type="spellStart"/>
      <w:r>
        <w:rPr>
          <w:sz w:val="20"/>
          <w:szCs w:val="20"/>
          <w:rtl/>
        </w:rPr>
        <w:t>זכרונות</w:t>
      </w:r>
      <w:proofErr w:type="spellEnd"/>
      <w:r>
        <w:rPr>
          <w:sz w:val="20"/>
          <w:szCs w:val="20"/>
          <w:rtl/>
        </w:rPr>
        <w:t xml:space="preserve">”, סוף נספח ז לעיל, ומטרתה </w:t>
      </w:r>
      <w:proofErr w:type="spellStart"/>
      <w:r>
        <w:rPr>
          <w:sz w:val="20"/>
          <w:szCs w:val="20"/>
          <w:rtl/>
        </w:rPr>
        <w:t>האנטי־תורנית</w:t>
      </w:r>
      <w:proofErr w:type="spellEnd"/>
      <w:r>
        <w:rPr>
          <w:sz w:val="20"/>
          <w:szCs w:val="20"/>
          <w:rtl/>
        </w:rPr>
        <w:t xml:space="preserve"> נדונה בכל כתבי </w:t>
      </w:r>
      <w:proofErr w:type="spellStart"/>
      <w:r>
        <w:rPr>
          <w:sz w:val="20"/>
          <w:szCs w:val="20"/>
          <w:rtl/>
        </w:rPr>
        <w:t>ח״ח</w:t>
      </w:r>
      <w:proofErr w:type="spellEnd"/>
      <w:r>
        <w:rPr>
          <w:sz w:val="20"/>
          <w:szCs w:val="20"/>
          <w:rtl/>
        </w:rPr>
        <w:t>, הערה 8 לעיל, עמ׳ 79.</w:t>
      </w:r>
    </w:p>
  </w:footnote>
  <w:footnote w:id="3954">
    <w:p w14:paraId="6C366C14" w14:textId="77777777" w:rsidR="00AB3647" w:rsidRDefault="00000000">
      <w:pPr>
        <w:spacing w:after="0" w:before="0"/>
        <w:jc w:val="both"/>
      </w:pPr>
      <w:r>
        <w:rPr>
          <w:sz w:val="20"/>
          <w:szCs w:val="20"/>
          <w:rtl/>
        </w:rPr>
        <w:footnoteRef/>
      </w:r>
      <w:r>
        <w:rPr>
          <w:sz w:val="20"/>
          <w:szCs w:val="20"/>
          <w:rtl/>
        </w:rPr>
        <w:t>. המקור הנזכר בפרק 2, הערה 4, כרך א, עמ׳ 114.</w:t>
      </w:r>
    </w:p>
  </w:footnote>
  <w:footnote w:id="3955">
    <w:p w14:paraId="7EDD1A6C" w14:textId="77777777" w:rsidR="00AB3647" w:rsidRDefault="00000000">
      <w:pPr>
        <w:spacing w:after="0" w:before="0"/>
        <w:jc w:val="both"/>
      </w:pPr>
      <w:r>
        <w:rPr>
          <w:sz w:val="20"/>
          <w:szCs w:val="20"/>
          <w:rtl/>
        </w:rPr>
        <w:footnoteRef/>
      </w:r>
      <w:r>
        <w:rPr>
          <w:sz w:val="20"/>
          <w:szCs w:val="20"/>
          <w:rtl/>
        </w:rPr>
        <w:t xml:space="preserve">. ראה דניאל </w:t>
      </w:r>
      <w:proofErr w:type="spellStart"/>
      <w:r>
        <w:rPr>
          <w:sz w:val="20"/>
          <w:szCs w:val="20"/>
          <w:rtl/>
        </w:rPr>
        <w:t>יא:לב</w:t>
      </w:r>
      <w:proofErr w:type="spellEnd"/>
      <w:r>
        <w:rPr>
          <w:sz w:val="20"/>
          <w:szCs w:val="20"/>
          <w:rtl/>
        </w:rPr>
        <w:t>.</w:t>
      </w:r>
    </w:p>
  </w:footnote>
  <w:footnote w:id="3956">
    <w:p w14:paraId="034B9574" w14:textId="77777777" w:rsidR="00AB3647" w:rsidRDefault="00000000">
      <w:pPr>
        <w:spacing w:after="0" w:before="0"/>
        <w:jc w:val="both"/>
      </w:pPr>
      <w:r>
        <w:rPr>
          <w:sz w:val="20"/>
          <w:szCs w:val="20"/>
          <w:rtl/>
        </w:rPr>
        <w:footnoteRef/>
      </w:r>
      <w:r>
        <w:rPr>
          <w:sz w:val="20"/>
          <w:szCs w:val="20"/>
          <w:rtl/>
        </w:rPr>
        <w:t>. עמ׳ 116.</w:t>
      </w:r>
    </w:p>
  </w:footnote>
  <w:footnote w:id="3957">
    <w:p w14:paraId="05B12C21" w14:textId="77777777" w:rsidR="00AB3647" w:rsidRDefault="00000000">
      <w:pPr>
        <w:spacing w:after="0" w:before="0"/>
        <w:jc w:val="both"/>
      </w:pPr>
      <w:r>
        <w:rPr>
          <w:sz w:val="20"/>
          <w:szCs w:val="20"/>
          <w:rtl/>
        </w:rPr>
        <w:footnoteRef/>
      </w:r>
      <w:r>
        <w:rPr>
          <w:sz w:val="20"/>
          <w:szCs w:val="20"/>
          <w:rtl/>
        </w:rPr>
        <w:t>. עמ׳ 75.</w:t>
      </w:r>
    </w:p>
  </w:footnote>
  <w:footnote w:id="3958">
    <w:p w14:paraId="78F6AF2D" w14:textId="77777777" w:rsidR="00AB3647" w:rsidRDefault="00000000">
      <w:pPr>
        <w:spacing w:after="0" w:before="0"/>
        <w:jc w:val="both"/>
      </w:pPr>
      <w:r>
        <w:rPr>
          <w:sz w:val="20"/>
          <w:szCs w:val="20"/>
          <w:rtl/>
        </w:rPr>
        <w:footnoteRef/>
      </w:r>
      <w:r>
        <w:rPr>
          <w:sz w:val="20"/>
          <w:szCs w:val="20"/>
          <w:rtl/>
        </w:rPr>
        <w:t xml:space="preserve">. “שרידי אש”, עמ׳ שלט, מדבר על “ישיבות שסגרו דלתותיהן בפני שיטת המוסר </w:t>
      </w:r>
      <w:proofErr w:type="spellStart"/>
      <w:r>
        <w:rPr>
          <w:sz w:val="20"/>
          <w:szCs w:val="20"/>
          <w:rtl/>
        </w:rPr>
        <w:t>נדלדלו</w:t>
      </w:r>
      <w:proofErr w:type="spellEnd"/>
      <w:r>
        <w:rPr>
          <w:sz w:val="20"/>
          <w:szCs w:val="20"/>
          <w:rtl/>
        </w:rPr>
        <w:t xml:space="preserve"> ולבסוף נחרבו כמה מהן באשמת אחדים מתלמידיהן, שבעטו בתורה וירדו במוסריות והגיעו עד לידי הלשנה על ישיבותיהן בפני הרשות”. ואולם המשפט הבא, שבסוגריים – “דבר זה ידוע לבקיאים בתולדות הישיבות שלפני השואה ואין צורך בפירוט הדברים” – מרמז </w:t>
      </w:r>
      <w:proofErr w:type="spellStart"/>
      <w:r>
        <w:rPr>
          <w:sz w:val="20"/>
          <w:szCs w:val="20"/>
          <w:rtl/>
        </w:rPr>
        <w:t>ש“שרידי</w:t>
      </w:r>
      <w:proofErr w:type="spellEnd"/>
      <w:r>
        <w:rPr>
          <w:sz w:val="20"/>
          <w:szCs w:val="20"/>
          <w:rtl/>
        </w:rPr>
        <w:t xml:space="preserve"> אש” אינו מתייחס </w:t>
      </w:r>
      <w:proofErr w:type="spellStart"/>
      <w:r>
        <w:rPr>
          <w:sz w:val="20"/>
          <w:szCs w:val="20"/>
          <w:rtl/>
        </w:rPr>
        <w:t>לוולוז׳ין</w:t>
      </w:r>
      <w:proofErr w:type="spellEnd"/>
      <w:r>
        <w:rPr>
          <w:sz w:val="20"/>
          <w:szCs w:val="20"/>
          <w:rtl/>
        </w:rPr>
        <w:t xml:space="preserve"> של תרנ״ב ולרוסיה הצארית, אלא לתקופה שאחרי מלחמת העולם הראשונה ולשלטון הקומוניסטי.</w:t>
      </w:r>
    </w:p>
  </w:footnote>
  <w:footnote w:id="3959">
    <w:p w14:paraId="2AAB433B" w14:textId="77777777" w:rsidR="00AB3647" w:rsidRDefault="00000000">
      <w:pPr>
        <w:spacing w:after="0" w:before="0"/>
        <w:jc w:val="both"/>
      </w:pPr>
      <w:r>
        <w:rPr>
          <w:sz w:val="20"/>
          <w:szCs w:val="20"/>
          <w:rtl/>
        </w:rPr>
        <w:footnoteRef/>
      </w:r>
      <w:r>
        <w:rPr>
          <w:sz w:val="20"/>
          <w:szCs w:val="20"/>
          <w:rtl/>
        </w:rPr>
        <w:t>. המקור הנזכר בפרק 3, נספח א, עמ׳ 21.</w:t>
      </w:r>
    </w:p>
  </w:footnote>
  <w:footnote w:id="3960">
    <w:p w14:paraId="073EFCBD" w14:textId="77777777" w:rsidR="00AB3647" w:rsidRDefault="00000000">
      <w:pPr>
        <w:spacing w:after="0" w:before="0"/>
        <w:jc w:val="both"/>
      </w:pPr>
      <w:r>
        <w:rPr>
          <w:sz w:val="20"/>
          <w:szCs w:val="20"/>
          <w:rtl/>
        </w:rPr>
        <w:footnoteRef/>
      </w:r>
      <w:r>
        <w:rPr>
          <w:sz w:val="20"/>
          <w:szCs w:val="20"/>
          <w:rtl/>
        </w:rPr>
        <w:t>. על פי פסחים, סוף ל״ב ע״ב.</w:t>
      </w:r>
    </w:p>
  </w:footnote>
  <w:footnote w:id="3961">
    <w:p w14:paraId="16728B05" w14:textId="77777777" w:rsidR="00AB3647" w:rsidRDefault="00000000">
      <w:pPr>
        <w:spacing w:after="0" w:before="0"/>
        <w:jc w:val="both"/>
      </w:pPr>
      <w:r>
        <w:rPr>
          <w:sz w:val="20"/>
          <w:szCs w:val="20"/>
          <w:rtl/>
        </w:rPr>
        <w:footnoteRef/>
      </w:r>
      <w:r>
        <w:rPr>
          <w:sz w:val="20"/>
          <w:szCs w:val="20"/>
          <w:rtl/>
        </w:rPr>
        <w:t>. עמ׳ 293.</w:t>
      </w:r>
    </w:p>
  </w:footnote>
  <w:footnote w:id="3962">
    <w:p w14:paraId="434C06AC" w14:textId="77777777" w:rsidR="00AB3647" w:rsidRDefault="00000000">
      <w:pPr>
        <w:spacing w:after="0" w:before="0"/>
        <w:jc w:val="both"/>
      </w:pPr>
      <w:r>
        <w:rPr>
          <w:sz w:val="20"/>
          <w:szCs w:val="20"/>
          <w:rtl/>
        </w:rPr>
        <w:footnoteRef/>
      </w:r>
      <w:r>
        <w:rPr>
          <w:sz w:val="20"/>
          <w:szCs w:val="20"/>
          <w:rtl/>
        </w:rPr>
        <w:t xml:space="preserve">. שמעתי שר׳ אליהו </w:t>
      </w:r>
      <w:proofErr w:type="spellStart"/>
      <w:r>
        <w:rPr>
          <w:sz w:val="20"/>
          <w:szCs w:val="20"/>
          <w:rtl/>
        </w:rPr>
        <w:t>לופיאן</w:t>
      </w:r>
      <w:proofErr w:type="spellEnd"/>
      <w:r>
        <w:rPr>
          <w:sz w:val="20"/>
          <w:szCs w:val="20"/>
          <w:rtl/>
        </w:rPr>
        <w:t xml:space="preserve"> העיר פעם </w:t>
      </w:r>
      <w:proofErr w:type="spellStart"/>
      <w:r>
        <w:rPr>
          <w:sz w:val="20"/>
          <w:szCs w:val="20"/>
          <w:rtl/>
        </w:rPr>
        <w:t>לר</w:t>
      </w:r>
      <w:proofErr w:type="spellEnd"/>
      <w:r>
        <w:rPr>
          <w:sz w:val="20"/>
          <w:szCs w:val="20"/>
          <w:rtl/>
        </w:rPr>
        <w:t xml:space="preserve">׳ יצחק־זאב </w:t>
      </w:r>
      <w:proofErr w:type="spellStart"/>
      <w:r>
        <w:rPr>
          <w:sz w:val="20"/>
          <w:szCs w:val="20"/>
          <w:rtl/>
        </w:rPr>
        <w:t>סולובייצ׳יק</w:t>
      </w:r>
      <w:proofErr w:type="spellEnd"/>
      <w:r>
        <w:rPr>
          <w:sz w:val="20"/>
          <w:szCs w:val="20"/>
          <w:rtl/>
        </w:rPr>
        <w:t xml:space="preserve"> שכמה מחידושי אביו, שנדפסו </w:t>
      </w:r>
      <w:proofErr w:type="spellStart"/>
      <w:r>
        <w:rPr>
          <w:sz w:val="20"/>
          <w:szCs w:val="20"/>
          <w:rtl/>
        </w:rPr>
        <w:t>ב“חידושי</w:t>
      </w:r>
      <w:proofErr w:type="spellEnd"/>
      <w:r>
        <w:rPr>
          <w:sz w:val="20"/>
          <w:szCs w:val="20"/>
          <w:rtl/>
        </w:rPr>
        <w:t xml:space="preserve"> רבנו חיים הלוי”, אינם ניתנים להבנה (ראה גם פרק 3, הפסקה השנייה בנספח </w:t>
      </w:r>
      <w:proofErr w:type="spellStart"/>
      <w:r>
        <w:rPr>
          <w:sz w:val="20"/>
          <w:szCs w:val="20"/>
          <w:rtl/>
        </w:rPr>
        <w:t>טז</w:t>
      </w:r>
      <w:proofErr w:type="spellEnd"/>
      <w:r>
        <w:rPr>
          <w:sz w:val="20"/>
          <w:szCs w:val="20"/>
          <w:rtl/>
        </w:rPr>
        <w:t xml:space="preserve">, המצטטת את מאמרו של ניסן וקסמן </w:t>
      </w:r>
      <w:proofErr w:type="spellStart"/>
      <w:r>
        <w:rPr>
          <w:sz w:val="20"/>
          <w:szCs w:val="20"/>
          <w:rtl/>
        </w:rPr>
        <w:t>ב“תלפיות</w:t>
      </w:r>
      <w:proofErr w:type="spellEnd"/>
      <w:r>
        <w:rPr>
          <w:sz w:val="20"/>
          <w:szCs w:val="20"/>
          <w:rtl/>
        </w:rPr>
        <w:t xml:space="preserve">” על קבלת הספר בציבור עם צאתו לאור). “אם כן, מדוע הכין אותם אביך לדפוס?” שאל ר׳ אלי׳ </w:t>
      </w:r>
      <w:proofErr w:type="spellStart"/>
      <w:r>
        <w:rPr>
          <w:sz w:val="20"/>
          <w:szCs w:val="20"/>
          <w:rtl/>
        </w:rPr>
        <w:t>לופיאן</w:t>
      </w:r>
      <w:proofErr w:type="spellEnd"/>
      <w:r>
        <w:rPr>
          <w:sz w:val="20"/>
          <w:szCs w:val="20"/>
          <w:rtl/>
        </w:rPr>
        <w:t xml:space="preserve">. ר׳ יצחק־זאב השיב שר׳ אלי׳ </w:t>
      </w:r>
      <w:proofErr w:type="spellStart"/>
      <w:r>
        <w:rPr>
          <w:sz w:val="20"/>
          <w:szCs w:val="20"/>
          <w:rtl/>
        </w:rPr>
        <w:t>לופיאן</w:t>
      </w:r>
      <w:proofErr w:type="spellEnd"/>
      <w:r>
        <w:rPr>
          <w:sz w:val="20"/>
          <w:szCs w:val="20"/>
          <w:rtl/>
        </w:rPr>
        <w:t xml:space="preserve"> צודק: לא היה צריך להדפיסם, ור׳ חיים לא העריך נכונה את הדור כשחשב שאנשים מסוגלים לתפוס את רעיונותיו. ר׳ אלי׳ </w:t>
      </w:r>
      <w:proofErr w:type="spellStart"/>
      <w:r>
        <w:rPr>
          <w:sz w:val="20"/>
          <w:szCs w:val="20"/>
          <w:rtl/>
        </w:rPr>
        <w:t>לופיאן</w:t>
      </w:r>
      <w:proofErr w:type="spellEnd"/>
      <w:r>
        <w:rPr>
          <w:sz w:val="20"/>
          <w:szCs w:val="20"/>
          <w:rtl/>
        </w:rPr>
        <w:t xml:space="preserve"> השיב: “אם כך, אולי גם לא העריך נכונה את הדור באשר לצורכה של ישיבת </w:t>
      </w:r>
      <w:proofErr w:type="spellStart"/>
      <w:r>
        <w:rPr>
          <w:sz w:val="20"/>
          <w:szCs w:val="20"/>
          <w:rtl/>
        </w:rPr>
        <w:t>וולוז׳ין</w:t>
      </w:r>
      <w:proofErr w:type="spellEnd"/>
      <w:r>
        <w:rPr>
          <w:sz w:val="20"/>
          <w:szCs w:val="20"/>
          <w:rtl/>
        </w:rPr>
        <w:t xml:space="preserve"> במוסר”.</w:t>
      </w:r>
    </w:p>
    <w:p w14:paraId="56A8D5BE" w14:textId="77777777" w:rsidR="00AB3647" w:rsidRDefault="00000000">
      <w:pPr>
        <w:spacing w:after="0" w:before="0"/>
        <w:jc w:val="both"/>
      </w:pPr>
      <w:r>
        <w:rPr>
          <w:sz w:val="20"/>
          <w:szCs w:val="20"/>
          <w:rtl/>
        </w:rPr>
        <w:t xml:space="preserve">לא הבאתי אפשרות זו בגוף ההערות והנספחים אלא בהערת שוליים בלבד, משום שקשה לקבל את הסיפור כאמיתי, ובייחוד את הערכתו של ר׳ יצחק־זאב את ר׳ חיים. אבל ראה גם פרק 5, הערת השוליים בסוף נספח ח.</w:t>
      </w:r>
    </w:p>
  </w:footnote>
  <w:footnote w:id="3963">
    <w:p w14:paraId="261CAB06"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קסה</w:t>
      </w:r>
      <w:proofErr w:type="spellEnd"/>
      <w:r>
        <w:rPr>
          <w:sz w:val="20"/>
          <w:szCs w:val="20"/>
          <w:rtl/>
        </w:rPr>
        <w:t>–</w:t>
      </w:r>
      <w:proofErr w:type="spellStart"/>
      <w:r>
        <w:rPr>
          <w:sz w:val="20"/>
          <w:szCs w:val="20"/>
          <w:rtl/>
        </w:rPr>
        <w:t>קסז</w:t>
      </w:r>
      <w:proofErr w:type="spellEnd"/>
      <w:r>
        <w:rPr>
          <w:sz w:val="20"/>
          <w:szCs w:val="20"/>
          <w:rtl/>
        </w:rPr>
        <w:t>.</w:t>
      </w:r>
    </w:p>
  </w:footnote>
  <w:footnote w:id="3964">
    <w:p w14:paraId="34D9C638" w14:textId="77777777" w:rsidR="00AB3647" w:rsidRDefault="00000000">
      <w:pPr>
        <w:spacing w:after="0" w:before="0"/>
        <w:jc w:val="both"/>
      </w:pPr>
      <w:r>
        <w:rPr>
          <w:sz w:val="20"/>
          <w:szCs w:val="20"/>
          <w:rtl/>
        </w:rPr>
        <w:footnoteRef/>
      </w:r>
      <w:r>
        <w:rPr>
          <w:sz w:val="20"/>
          <w:szCs w:val="20"/>
          <w:rtl/>
        </w:rPr>
        <w:t>. הדבר עולה גם מטיוטת מכתב זה, שנמצאה בניירות ביאליק שש שנים אחרי מותו ונדפסה בידי מוסד ביאליק במלאת עשר שנים לפטירתו, בשם “פרקי חיים”. ראה “אגרות חיים נחמן ביאליק”, עמ׳ נט.</w:t>
      </w:r>
    </w:p>
  </w:footnote>
  <w:footnote w:id="3965">
    <w:p w14:paraId="21961F4C" w14:textId="77777777" w:rsidR="00AB3647" w:rsidRDefault="00000000">
      <w:pPr>
        <w:spacing w:after="0" w:before="0"/>
        <w:jc w:val="both"/>
      </w:pPr>
      <w:r>
        <w:rPr>
          <w:sz w:val="20"/>
          <w:szCs w:val="20"/>
          <w:rtl/>
        </w:rPr>
        <w:footnoteRef/>
      </w:r>
      <w:r>
        <w:rPr>
          <w:sz w:val="20"/>
          <w:szCs w:val="20"/>
          <w:rtl/>
        </w:rPr>
        <w:t>. ראה להלן שתלמידים כאלה היו מעטים.</w:t>
      </w:r>
    </w:p>
  </w:footnote>
  <w:footnote w:id="3966">
    <w:p w14:paraId="173B6EFE" w14:textId="77777777" w:rsidR="00AB3647" w:rsidRDefault="00000000">
      <w:pPr>
        <w:spacing w:after="0" w:before="0"/>
        <w:jc w:val="both"/>
      </w:pPr>
      <w:r>
        <w:rPr>
          <w:sz w:val="20"/>
          <w:szCs w:val="20"/>
          <w:rtl/>
        </w:rPr>
        <w:footnoteRef/>
      </w:r>
      <w:r>
        <w:rPr>
          <w:sz w:val="20"/>
          <w:szCs w:val="20"/>
          <w:rtl/>
        </w:rPr>
        <w:t>. בטיוטת “פרקי חיים” כתב בלשון שאינה עממית: “ליטאים”.</w:t>
      </w:r>
    </w:p>
  </w:footnote>
  <w:footnote w:id="3967">
    <w:p w14:paraId="5E1DCB95" w14:textId="77777777" w:rsidR="00AB3647" w:rsidRDefault="00000000">
      <w:pPr>
        <w:spacing w:after="0" w:before="0"/>
        <w:jc w:val="both"/>
      </w:pPr>
      <w:r>
        <w:rPr>
          <w:sz w:val="20"/>
          <w:szCs w:val="20"/>
          <w:rtl/>
        </w:rPr>
        <w:footnoteRef/>
      </w:r>
      <w:r>
        <w:rPr>
          <w:sz w:val="20"/>
          <w:szCs w:val="20"/>
          <w:rtl/>
        </w:rPr>
        <w:t xml:space="preserve">. זיכרונותיו של בן דורו של ביאליק, מ׳ </w:t>
      </w:r>
      <w:proofErr w:type="spellStart"/>
      <w:r>
        <w:rPr>
          <w:sz w:val="20"/>
          <w:szCs w:val="20"/>
          <w:rtl/>
        </w:rPr>
        <w:t>זלאטקין</w:t>
      </w:r>
      <w:proofErr w:type="spellEnd"/>
      <w:r>
        <w:rPr>
          <w:sz w:val="20"/>
          <w:szCs w:val="20"/>
          <w:rtl/>
        </w:rPr>
        <w:t xml:space="preserve">, שהם בדרך כלל מדויקים – במאמר “ישיבת </w:t>
      </w:r>
      <w:proofErr w:type="spellStart"/>
      <w:r>
        <w:rPr>
          <w:sz w:val="20"/>
          <w:szCs w:val="20"/>
          <w:rtl/>
        </w:rPr>
        <w:t>וולוז׳ין</w:t>
      </w:r>
      <w:proofErr w:type="spellEnd"/>
      <w:r>
        <w:rPr>
          <w:sz w:val="20"/>
          <w:szCs w:val="20"/>
          <w:rtl/>
        </w:rPr>
        <w:t xml:space="preserve"> בתקופת ביאליק” </w:t>
      </w:r>
      <w:proofErr w:type="spellStart"/>
      <w:r>
        <w:rPr>
          <w:sz w:val="20"/>
          <w:szCs w:val="20"/>
          <w:rtl/>
        </w:rPr>
        <w:t>ב“שביבים</w:t>
      </w:r>
      <w:proofErr w:type="spellEnd"/>
      <w:r>
        <w:rPr>
          <w:sz w:val="20"/>
          <w:szCs w:val="20"/>
          <w:rtl/>
        </w:rPr>
        <w:t xml:space="preserve"> א׳” – מספרים שר׳ חיים </w:t>
      </w:r>
      <w:proofErr w:type="spellStart"/>
      <w:r>
        <w:rPr>
          <w:sz w:val="20"/>
          <w:szCs w:val="20"/>
          <w:rtl/>
        </w:rPr>
        <w:t>סולובייצ׳יק</w:t>
      </w:r>
      <w:proofErr w:type="spellEnd"/>
      <w:r>
        <w:rPr>
          <w:sz w:val="20"/>
          <w:szCs w:val="20"/>
          <w:rtl/>
        </w:rPr>
        <w:t xml:space="preserve"> בחן אותו. ואולם במכתב ביאליק עצמו כתוב “ובעמדי </w:t>
      </w:r>
      <w:proofErr w:type="spellStart"/>
      <w:r>
        <w:rPr>
          <w:sz w:val="20"/>
          <w:szCs w:val="20"/>
          <w:rtl/>
        </w:rPr>
        <w:t>לנסיון</w:t>
      </w:r>
      <w:proofErr w:type="spellEnd"/>
      <w:r>
        <w:rPr>
          <w:sz w:val="20"/>
          <w:szCs w:val="20"/>
          <w:rtl/>
        </w:rPr>
        <w:t xml:space="preserve"> לפני ראש הישיבה”, ואין שום סימן שמישהו אחר מלבד </w:t>
      </w:r>
      <w:proofErr w:type="spellStart"/>
      <w:r>
        <w:rPr>
          <w:sz w:val="20"/>
          <w:szCs w:val="20"/>
          <w:rtl/>
        </w:rPr>
        <w:t>הנצי״ב</w:t>
      </w:r>
      <w:proofErr w:type="spellEnd"/>
      <w:r>
        <w:rPr>
          <w:sz w:val="20"/>
          <w:szCs w:val="20"/>
          <w:rtl/>
        </w:rPr>
        <w:t xml:space="preserve">, ראש הישיבה, בחן אותו. ראה גם “ביאליק חייו ויצירותיו” מאת פ׳ לחובר (מוסד ביאליק, תל אביב, תש״י), עמ׳ 65, המביא מקורות שלפיהם דחה ביאליק את שיטת לימודו של ר׳ חיים </w:t>
      </w:r>
      <w:proofErr w:type="spellStart"/>
      <w:r>
        <w:rPr>
          <w:sz w:val="20"/>
          <w:szCs w:val="20"/>
          <w:rtl/>
        </w:rPr>
        <w:t>סולובייצ׳יק</w:t>
      </w:r>
      <w:proofErr w:type="spellEnd"/>
      <w:r>
        <w:rPr>
          <w:sz w:val="20"/>
          <w:szCs w:val="20"/>
          <w:rtl/>
        </w:rPr>
        <w:t xml:space="preserve">, לפחות בזמן שהותו </w:t>
      </w:r>
      <w:proofErr w:type="spellStart"/>
      <w:r>
        <w:rPr>
          <w:sz w:val="20"/>
          <w:szCs w:val="20"/>
          <w:rtl/>
        </w:rPr>
        <w:t>בוולוז׳ין</w:t>
      </w:r>
      <w:proofErr w:type="spellEnd"/>
      <w:r>
        <w:rPr>
          <w:sz w:val="20"/>
          <w:szCs w:val="20"/>
          <w:rtl/>
        </w:rPr>
        <w:t xml:space="preserve">. ואם נניח שהרגשות שהביע בנאום הפומבי הנזכר לעיל, בחגיגת יום ההולדת השישים של </w:t>
      </w:r>
      <w:proofErr w:type="spellStart"/>
      <w:r>
        <w:rPr>
          <w:sz w:val="20"/>
          <w:szCs w:val="20"/>
          <w:rtl/>
        </w:rPr>
        <w:t>א״מ</w:t>
      </w:r>
      <w:proofErr w:type="spellEnd"/>
      <w:r>
        <w:rPr>
          <w:sz w:val="20"/>
          <w:szCs w:val="20"/>
          <w:rtl/>
        </w:rPr>
        <w:t xml:space="preserve"> ברכיהו, היו כנים, הרי שהחל להעריך את גישת ר׳ חיים אחרי שעזב את </w:t>
      </w:r>
      <w:proofErr w:type="spellStart"/>
      <w:r>
        <w:rPr>
          <w:sz w:val="20"/>
          <w:szCs w:val="20"/>
          <w:rtl/>
        </w:rPr>
        <w:t>וולוז׳ין</w:t>
      </w:r>
      <w:proofErr w:type="spellEnd"/>
      <w:r>
        <w:rPr>
          <w:sz w:val="20"/>
          <w:szCs w:val="20"/>
          <w:rtl/>
        </w:rPr>
        <w:t>.</w:t>
      </w:r>
    </w:p>
    <w:p w14:paraId="3817EDA5" w14:textId="77777777" w:rsidR="00AB3647" w:rsidRDefault="00000000">
      <w:pPr>
        <w:spacing w:after="0" w:before="0"/>
        <w:jc w:val="both"/>
      </w:pPr>
      <w:r>
        <w:rPr>
          <w:sz w:val="20"/>
          <w:szCs w:val="20"/>
          <w:rtl/>
        </w:rPr>
        <w:t xml:space="preserve">ועוד: ר׳ חיים – שבעיניו “פשט” פירושו הבנה (ראה עמ׳ </w:t>
      </w:r>
      <w:r>
        <w:rPr>
          <w:sz w:val="20"/>
          <w:szCs w:val="20"/>
          <w:rtl/>
        </w:rPr>
        <w:fldChar w:fldCharType="begin" w:dirty="true"/>
      </w:r>
      <w:r>
        <w:rPr>
          <w:sz w:val="20"/>
          <w:szCs w:val="20"/>
          <w:rtl/>
        </w:rPr>
        <w:instrText xml:space="preserve"> PAGEREF pr_f_4984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והערת שוליים </w:t>
      </w:r>
      <w:r>
        <w:rPr>
          <w:sz w:val="20"/>
          <w:szCs w:val="20"/>
          <w:rtl/>
        </w:rPr>
        <w:fldChar w:fldCharType="begin" w:dirty="true"/>
      </w:r>
      <w:r>
        <w:rPr>
          <w:sz w:val="20"/>
          <w:szCs w:val="20"/>
          <w:rtl/>
        </w:rPr>
        <w:instrText xml:space="preserve"> NOTEREF pr_f_4984 \h </w:instrText>
      </w:r>
      <w:r>
        <w:rPr>
          <w:sz w:val="20"/>
          <w:szCs w:val="20"/>
          <w:rtl/>
        </w:rPr>
      </w:r>
      <w:r>
        <w:rPr>
          <w:sz w:val="20"/>
          <w:szCs w:val="20"/>
          <w:rtl/>
        </w:rPr>
        <w:fldChar w:fldCharType="separate"/>
      </w:r>
      <w:r w:rsidR="007923E9">
        <w:rPr>
          <w:sz w:val="20"/>
          <w:szCs w:val="20"/>
          <w:rtl/>
        </w:rPr>
        <w:t>638</w:t>
      </w:r>
      <w:r>
        <w:rPr>
          <w:sz w:val="20"/>
          <w:szCs w:val="20"/>
          <w:rtl/>
        </w:rPr>
        <w:fldChar w:fldCharType="end"/>
      </w:r>
      <w:r>
        <w:rPr>
          <w:sz w:val="20"/>
          <w:szCs w:val="20"/>
          <w:rtl/>
        </w:rPr>
        <w:t xml:space="preserve"> שם) – כנראה לא היה נותן לביאליק את המחמאה “יודע גמרא” שקיבל מבוחנו, אילו ידע רק לחזור על הגמרא והתוספות בעל פה; ואילו </w:t>
      </w:r>
      <w:proofErr w:type="spellStart"/>
      <w:r>
        <w:rPr>
          <w:sz w:val="20"/>
          <w:szCs w:val="20"/>
          <w:rtl/>
        </w:rPr>
        <w:t>הנצי״ב</w:t>
      </w:r>
      <w:proofErr w:type="spellEnd"/>
      <w:r>
        <w:rPr>
          <w:sz w:val="20"/>
          <w:szCs w:val="20"/>
          <w:rtl/>
        </w:rPr>
        <w:t xml:space="preserve"> עשוי היה לעשות כן.</w:t>
      </w:r>
    </w:p>
  </w:footnote>
  <w:footnote w:id="3968">
    <w:p w14:paraId="0904969B" w14:textId="77777777" w:rsidR="00AB3647" w:rsidRDefault="00000000">
      <w:pPr>
        <w:spacing w:after="0" w:before="0"/>
        <w:jc w:val="both"/>
      </w:pPr>
      <w:r>
        <w:rPr>
          <w:sz w:val="20"/>
          <w:szCs w:val="20"/>
          <w:rtl/>
        </w:rPr>
        <w:footnoteRef/>
      </w:r>
      <w:r>
        <w:rPr>
          <w:sz w:val="20"/>
          <w:szCs w:val="20"/>
          <w:rtl/>
        </w:rPr>
        <w:t xml:space="preserve">. לפי “פרקי חיים” שלו, שם, התלהב ביאליק מלימודיו התורניים עד שחש </w:t>
      </w:r>
      <w:proofErr w:type="spellStart"/>
      <w:r>
        <w:rPr>
          <w:sz w:val="20"/>
          <w:szCs w:val="20"/>
          <w:rtl/>
        </w:rPr>
        <w:t>ש“כתר</w:t>
      </w:r>
      <w:proofErr w:type="spellEnd"/>
      <w:r>
        <w:rPr>
          <w:sz w:val="20"/>
          <w:szCs w:val="20"/>
          <w:rtl/>
        </w:rPr>
        <w:t xml:space="preserve"> הרבנות שב לנצנץ באוויר לפניו”.</w:t>
      </w:r>
    </w:p>
  </w:footnote>
  <w:footnote w:id="3969">
    <w:p w14:paraId="10126C9D" w14:textId="77777777" w:rsidR="00AB3647" w:rsidRDefault="00000000">
      <w:pPr>
        <w:spacing w:after="0" w:before="0"/>
        <w:jc w:val="both"/>
      </w:pPr>
      <w:r>
        <w:rPr>
          <w:sz w:val="20"/>
          <w:szCs w:val="20"/>
          <w:rtl/>
        </w:rPr>
        <w:footnoteRef/>
      </w:r>
      <w:r>
        <w:rPr>
          <w:sz w:val="20"/>
          <w:szCs w:val="20"/>
          <w:rtl/>
        </w:rPr>
        <w:t xml:space="preserve">. נדפס </w:t>
      </w:r>
      <w:proofErr w:type="spellStart"/>
      <w:r>
        <w:rPr>
          <w:sz w:val="20"/>
          <w:szCs w:val="20"/>
          <w:rtl/>
        </w:rPr>
        <w:t>ב“כנסת</w:t>
      </w:r>
      <w:proofErr w:type="spellEnd"/>
      <w:r>
        <w:rPr>
          <w:sz w:val="20"/>
          <w:szCs w:val="20"/>
          <w:rtl/>
        </w:rPr>
        <w:t xml:space="preserve"> – דברי סופרים לזכר ח״נ ביאליק”, ספר שני, הוצאת דביר, תל אביב.</w:t>
      </w:r>
    </w:p>
  </w:footnote>
  <w:footnote w:id="3970">
    <w:p w14:paraId="2DDD6E45" w14:textId="77777777" w:rsidR="00AB3647" w:rsidRDefault="00000000">
      <w:pPr>
        <w:spacing w:after="0" w:before="0"/>
        <w:jc w:val="both"/>
      </w:pPr>
      <w:r>
        <w:rPr>
          <w:sz w:val="20"/>
          <w:szCs w:val="20"/>
          <w:rtl/>
        </w:rPr>
        <w:footnoteRef/>
      </w:r>
      <w:r>
        <w:rPr>
          <w:sz w:val="20"/>
          <w:szCs w:val="20"/>
          <w:rtl/>
        </w:rPr>
        <w:t>. על פי ראש ספר קהלת.</w:t>
      </w:r>
    </w:p>
  </w:footnote>
  <w:footnote w:id="3971">
    <w:p w14:paraId="22DC1F7D" w14:textId="77777777" w:rsidR="00AB3647" w:rsidRDefault="00000000">
      <w:pPr>
        <w:spacing w:after="0" w:before="0"/>
        <w:jc w:val="both"/>
      </w:pPr>
      <w:r>
        <w:rPr>
          <w:sz w:val="20"/>
          <w:szCs w:val="20"/>
          <w:rtl/>
        </w:rPr>
        <w:footnoteRef/>
      </w:r>
      <w:r>
        <w:rPr>
          <w:sz w:val="20"/>
          <w:szCs w:val="20"/>
          <w:rtl/>
        </w:rPr>
        <w:t>. “אגרות חיים נחמן ביאליק”, עמ׳ ג–ט.</w:t>
      </w:r>
    </w:p>
  </w:footnote>
  <w:footnote w:id="3972">
    <w:p w14:paraId="71B0D0C1" w14:textId="77777777" w:rsidR="00AB3647" w:rsidRDefault="00000000">
      <w:pPr>
        <w:spacing w:after="0" w:before="0"/>
        <w:jc w:val="both"/>
      </w:pPr>
      <w:r>
        <w:rPr>
          <w:sz w:val="20"/>
          <w:szCs w:val="20"/>
          <w:rtl/>
        </w:rPr>
        <w:footnoteRef/>
      </w:r>
      <w:r>
        <w:rPr>
          <w:sz w:val="20"/>
          <w:szCs w:val="20"/>
          <w:rtl/>
        </w:rPr>
        <w:t>. בראשית ב:יז. הוא משתמש במינוח המשכילים, שבו “דעת” פירושה השכלה ואינה משמשת אצלם לעולם לחוכמת התורה.</w:t>
      </w:r>
    </w:p>
  </w:footnote>
  <w:footnote w:id="3973">
    <w:p w14:paraId="27456DDB" w14:textId="77777777" w:rsidR="00AB3647" w:rsidRDefault="00000000">
      <w:pPr>
        <w:spacing w:after="0" w:before="0"/>
        <w:jc w:val="both"/>
      </w:pPr>
      <w:r>
        <w:rPr>
          <w:sz w:val="20"/>
          <w:szCs w:val="20"/>
          <w:rtl/>
        </w:rPr>
        <w:footnoteRef/>
      </w:r>
      <w:r>
        <w:rPr>
          <w:sz w:val="20"/>
          <w:szCs w:val="20"/>
          <w:rtl/>
        </w:rPr>
        <w:t>. “אגרות חיים נחמן ביאליק”, עמ׳ יא.</w:t>
      </w:r>
    </w:p>
  </w:footnote>
  <w:footnote w:id="3974">
    <w:p w14:paraId="2D943A35" w14:textId="77777777" w:rsidR="00AB3647" w:rsidRDefault="00000000">
      <w:pPr>
        <w:spacing w:after="0" w:before="0"/>
        <w:jc w:val="both"/>
      </w:pPr>
      <w:r>
        <w:rPr>
          <w:sz w:val="20"/>
          <w:szCs w:val="20"/>
          <w:rtl/>
        </w:rPr>
        <w:footnoteRef/>
      </w:r>
      <w:r>
        <w:rPr>
          <w:sz w:val="20"/>
          <w:szCs w:val="20"/>
          <w:rtl/>
        </w:rPr>
        <w:t xml:space="preserve">. כאן </w:t>
      </w:r>
      <w:proofErr w:type="spellStart"/>
      <w:r>
        <w:rPr>
          <w:sz w:val="20"/>
          <w:szCs w:val="20"/>
          <w:rtl/>
        </w:rPr>
        <w:t>מפרפרז</w:t>
      </w:r>
      <w:proofErr w:type="spellEnd"/>
      <w:r>
        <w:rPr>
          <w:sz w:val="20"/>
          <w:szCs w:val="20"/>
          <w:rtl/>
        </w:rPr>
        <w:t xml:space="preserve"> ביאליק את הנוסח שלא תוקן של “ביאור </w:t>
      </w:r>
      <w:proofErr w:type="spellStart"/>
      <w:r>
        <w:rPr>
          <w:sz w:val="20"/>
          <w:szCs w:val="20"/>
          <w:rtl/>
        </w:rPr>
        <w:t>הגר״א</w:t>
      </w:r>
      <w:proofErr w:type="spellEnd"/>
      <w:r>
        <w:rPr>
          <w:sz w:val="20"/>
          <w:szCs w:val="20"/>
          <w:rtl/>
        </w:rPr>
        <w:t xml:space="preserve">”, יורה דעה סימן קע״ט, </w:t>
      </w:r>
      <w:proofErr w:type="spellStart"/>
      <w:r>
        <w:rPr>
          <w:sz w:val="20"/>
          <w:szCs w:val="20"/>
          <w:rtl/>
        </w:rPr>
        <w:t>ס״ק</w:t>
      </w:r>
      <w:proofErr w:type="spellEnd"/>
      <w:r>
        <w:rPr>
          <w:sz w:val="20"/>
          <w:szCs w:val="20"/>
          <w:rtl/>
        </w:rPr>
        <w:t xml:space="preserve"> י״ג, ביחס לפילוסופיה.</w:t>
      </w:r>
    </w:p>
  </w:footnote>
  <w:footnote w:id="3975">
    <w:p w14:paraId="2A89E051" w14:textId="77777777" w:rsidR="00AB3647" w:rsidRDefault="00000000">
      <w:pPr>
        <w:spacing w:after="0" w:before="0"/>
        <w:jc w:val="both"/>
      </w:pPr>
      <w:r>
        <w:rPr>
          <w:sz w:val="20"/>
          <w:szCs w:val="20"/>
          <w:rtl/>
        </w:rPr>
        <w:footnoteRef/>
      </w:r>
      <w:r>
        <w:rPr>
          <w:sz w:val="20"/>
          <w:szCs w:val="20"/>
          <w:rtl/>
        </w:rPr>
        <w:t xml:space="preserve">. מאחר </w:t>
      </w:r>
      <w:proofErr w:type="spellStart"/>
      <w:r>
        <w:rPr>
          <w:sz w:val="20"/>
          <w:szCs w:val="20"/>
          <w:rtl/>
        </w:rPr>
        <w:t>ש“השכלה</w:t>
      </w:r>
      <w:proofErr w:type="spellEnd"/>
      <w:r>
        <w:rPr>
          <w:sz w:val="20"/>
          <w:szCs w:val="20"/>
          <w:rtl/>
        </w:rPr>
        <w:t xml:space="preserve">” היא שם עצם בנקבה בעברית, ביאליק מתאר אותה </w:t>
      </w:r>
      <w:proofErr w:type="spellStart"/>
      <w:r>
        <w:rPr>
          <w:sz w:val="20"/>
          <w:szCs w:val="20"/>
          <w:rtl/>
        </w:rPr>
        <w:t>כ“בת</w:t>
      </w:r>
      <w:proofErr w:type="spellEnd"/>
      <w:r>
        <w:rPr>
          <w:sz w:val="20"/>
          <w:szCs w:val="20"/>
          <w:rtl/>
        </w:rPr>
        <w:t>”.</w:t>
      </w:r>
    </w:p>
  </w:footnote>
  <w:footnote w:id="3976">
    <w:p w14:paraId="066F4DD5" w14:textId="77777777" w:rsidR="00AB3647" w:rsidRDefault="00000000">
      <w:pPr>
        <w:spacing w:after="0" w:before="0"/>
        <w:jc w:val="both"/>
      </w:pPr>
      <w:r>
        <w:rPr>
          <w:sz w:val="20"/>
          <w:szCs w:val="20"/>
          <w:rtl/>
        </w:rPr>
        <w:footnoteRef/>
      </w:r>
      <w:r>
        <w:rPr>
          <w:sz w:val="20"/>
          <w:szCs w:val="20"/>
          <w:rtl/>
        </w:rPr>
        <w:t>. “אגרות חיים נחמן ביאליק”, עמ׳ ט–י.</w:t>
      </w:r>
    </w:p>
  </w:footnote>
  <w:footnote w:id="3977">
    <w:p w14:paraId="7709A603" w14:textId="77777777" w:rsidR="00AB3647" w:rsidRDefault="00000000">
      <w:pPr>
        <w:spacing w:after="0" w:before="0"/>
        <w:jc w:val="both"/>
      </w:pPr>
      <w:r>
        <w:rPr>
          <w:sz w:val="20"/>
          <w:szCs w:val="20"/>
          <w:rtl/>
        </w:rPr>
        <w:footnoteRef/>
      </w:r>
      <w:r>
        <w:rPr>
          <w:sz w:val="20"/>
          <w:szCs w:val="20"/>
          <w:rtl/>
        </w:rPr>
        <w:t>. שם, עמ׳ יא–</w:t>
      </w:r>
      <w:proofErr w:type="spellStart"/>
      <w:r>
        <w:rPr>
          <w:sz w:val="20"/>
          <w:szCs w:val="20"/>
          <w:rtl/>
        </w:rPr>
        <w:t>כא</w:t>
      </w:r>
      <w:proofErr w:type="spellEnd"/>
      <w:r>
        <w:rPr>
          <w:sz w:val="20"/>
          <w:szCs w:val="20"/>
          <w:rtl/>
        </w:rPr>
        <w:t>.</w:t>
      </w:r>
    </w:p>
  </w:footnote>
  <w:footnote w:id="3978">
    <w:p w14:paraId="4832C5CA"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כב</w:t>
      </w:r>
      <w:proofErr w:type="spellEnd"/>
      <w:r>
        <w:rPr>
          <w:sz w:val="20"/>
          <w:szCs w:val="20"/>
          <w:rtl/>
        </w:rPr>
        <w:t>.</w:t>
      </w:r>
    </w:p>
  </w:footnote>
  <w:footnote w:id="3979">
    <w:p w14:paraId="5EDAA43B" w14:textId="77777777" w:rsidR="00AB3647" w:rsidRDefault="00000000">
      <w:pPr>
        <w:spacing w:after="0" w:before="0"/>
        <w:jc w:val="both"/>
      </w:pPr>
      <w:r>
        <w:rPr>
          <w:sz w:val="20"/>
          <w:szCs w:val="20"/>
          <w:rtl/>
        </w:rPr>
        <w:footnoteRef/>
      </w:r>
      <w:r>
        <w:rPr>
          <w:sz w:val="20"/>
          <w:szCs w:val="20"/>
          <w:rtl/>
        </w:rPr>
        <w:t>. על פי דברים ו:כד.</w:t>
      </w:r>
    </w:p>
  </w:footnote>
  <w:footnote w:id="3980">
    <w:p w14:paraId="04DB6113" w14:textId="77777777" w:rsidR="00AB3647" w:rsidRDefault="00000000">
      <w:pPr>
        <w:spacing w:after="0" w:before="0"/>
        <w:jc w:val="both"/>
      </w:pPr>
      <w:r>
        <w:rPr>
          <w:sz w:val="20"/>
          <w:szCs w:val="20"/>
          <w:rtl/>
        </w:rPr>
        <w:footnoteRef/>
      </w:r>
      <w:r>
        <w:rPr>
          <w:sz w:val="20"/>
          <w:szCs w:val="20"/>
          <w:rtl/>
        </w:rPr>
        <w:t>. על פי איכה א:י.</w:t>
      </w:r>
    </w:p>
  </w:footnote>
  <w:footnote w:id="3981">
    <w:p w14:paraId="6F27D01E" w14:textId="77777777" w:rsidR="00AB3647" w:rsidRDefault="00000000">
      <w:pPr>
        <w:spacing w:after="0" w:before="0"/>
        <w:jc w:val="both"/>
      </w:pPr>
      <w:r>
        <w:rPr>
          <w:sz w:val="20"/>
          <w:szCs w:val="20"/>
          <w:rtl/>
        </w:rPr>
        <w:footnoteRef/>
      </w:r>
      <w:r>
        <w:rPr>
          <w:sz w:val="20"/>
          <w:szCs w:val="20"/>
          <w:rtl/>
        </w:rPr>
        <w:t xml:space="preserve">. שם, עמ׳ </w:t>
      </w:r>
      <w:proofErr w:type="spellStart"/>
      <w:r>
        <w:rPr>
          <w:sz w:val="20"/>
          <w:szCs w:val="20"/>
          <w:rtl/>
        </w:rPr>
        <w:t>כג</w:t>
      </w:r>
      <w:proofErr w:type="spellEnd"/>
      <w:r>
        <w:rPr>
          <w:sz w:val="20"/>
          <w:szCs w:val="20"/>
          <w:rtl/>
        </w:rPr>
        <w:t>–כד.</w:t>
      </w:r>
    </w:p>
  </w:footnote>
  <w:footnote w:id="3982">
    <w:p w14:paraId="65681445"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pr_f_3845 \h </w:instrText>
      </w:r>
      <w:r>
        <w:rPr>
          <w:sz w:val="20"/>
          <w:szCs w:val="20"/>
          <w:rtl/>
        </w:rPr>
      </w:r>
      <w:r>
        <w:rPr>
          <w:sz w:val="20"/>
          <w:szCs w:val="20"/>
          <w:rtl/>
        </w:rPr>
        <w:fldChar w:fldCharType="separate"/>
      </w:r>
      <w:r w:rsidR="007923E9">
        <w:rPr>
          <w:sz w:val="20"/>
          <w:szCs w:val="20"/>
          <w:rtl/>
        </w:rPr>
        <w:t>922</w:t>
      </w:r>
      <w:r>
        <w:rPr>
          <w:sz w:val="20"/>
          <w:szCs w:val="20"/>
          <w:rtl/>
        </w:rPr>
        <w:fldChar w:fldCharType="end"/>
      </w:r>
      <w:r>
        <w:rPr>
          <w:sz w:val="20"/>
          <w:szCs w:val="20"/>
          <w:rtl/>
        </w:rPr>
        <w:t xml:space="preserve"> לעיל, עמ׳ 59 ו־62.</w:t>
      </w:r>
    </w:p>
  </w:footnote>
  <w:footnote w:id="3983">
    <w:p w14:paraId="64DE8131" w14:textId="77777777" w:rsidR="00AB3647" w:rsidRDefault="00000000">
      <w:pPr>
        <w:spacing w:after="0" w:before="0"/>
        <w:jc w:val="both"/>
      </w:pPr>
      <w:r>
        <w:rPr>
          <w:sz w:val="20"/>
          <w:szCs w:val="20"/>
          <w:rtl/>
        </w:rPr>
        <w:footnoteRef/>
      </w:r>
      <w:r>
        <w:rPr>
          <w:sz w:val="20"/>
          <w:szCs w:val="20"/>
          <w:rtl/>
        </w:rPr>
        <w:t xml:space="preserve">. “אגרות חיים נחמן ביאליק”, עמ׳ </w:t>
      </w:r>
      <w:proofErr w:type="spellStart"/>
      <w:r>
        <w:rPr>
          <w:sz w:val="20"/>
          <w:szCs w:val="20"/>
          <w:rtl/>
        </w:rPr>
        <w:t>קסז</w:t>
      </w:r>
      <w:proofErr w:type="spellEnd"/>
      <w:r>
        <w:rPr>
          <w:sz w:val="20"/>
          <w:szCs w:val="20"/>
          <w:rtl/>
        </w:rPr>
        <w:t>.</w:t>
      </w:r>
    </w:p>
  </w:footnote>
  <w:footnote w:id="3984">
    <w:p w14:paraId="470F24BE" w14:textId="77777777" w:rsidR="00AB3647" w:rsidRDefault="00000000">
      <w:pPr>
        <w:spacing w:after="0" w:before="0"/>
        <w:jc w:val="both"/>
      </w:pPr>
      <w:r>
        <w:rPr>
          <w:sz w:val="20"/>
          <w:szCs w:val="20"/>
          <w:rtl/>
        </w:rPr>
        <w:footnoteRef/>
      </w:r>
      <w:r>
        <w:rPr>
          <w:sz w:val="20"/>
          <w:szCs w:val="20"/>
          <w:rtl/>
        </w:rPr>
        <w:t>. ועיין רמב״ם, הלכות עבודה זרה, פרק ב, הלכה ה, ומסכת עבודה זרה י״ז ע״א.</w:t>
      </w:r>
    </w:p>
  </w:footnote>
  <w:footnote w:id="3985">
    <w:p w14:paraId="2B01751A"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pr_f_3868 \h </w:instrText>
      </w:r>
      <w:r>
        <w:rPr>
          <w:sz w:val="20"/>
          <w:szCs w:val="20"/>
          <w:rtl/>
        </w:rPr>
      </w:r>
      <w:r>
        <w:rPr>
          <w:sz w:val="20"/>
          <w:szCs w:val="20"/>
          <w:rtl/>
        </w:rPr>
        <w:fldChar w:fldCharType="separate"/>
      </w:r>
      <w:r w:rsidR="007923E9">
        <w:rPr>
          <w:sz w:val="20"/>
          <w:szCs w:val="20"/>
          <w:rtl/>
        </w:rPr>
        <w:t>945</w:t>
      </w:r>
      <w:r>
        <w:rPr>
          <w:sz w:val="20"/>
          <w:szCs w:val="20"/>
          <w:rtl/>
        </w:rPr>
        <w:fldChar w:fldCharType="end"/>
      </w:r>
      <w:r>
        <w:rPr>
          <w:sz w:val="20"/>
          <w:szCs w:val="20"/>
          <w:rtl/>
        </w:rPr>
        <w:t xml:space="preserve"> להלן: ר׳ </w:t>
      </w:r>
      <w:proofErr w:type="spellStart"/>
      <w:r>
        <w:rPr>
          <w:sz w:val="20"/>
          <w:szCs w:val="20"/>
          <w:rtl/>
        </w:rPr>
        <w:t>יעקב־משה</w:t>
      </w:r>
      <w:proofErr w:type="spellEnd"/>
      <w:r>
        <w:rPr>
          <w:sz w:val="20"/>
          <w:szCs w:val="20"/>
          <w:rtl/>
        </w:rPr>
        <w:t xml:space="preserve"> חרל״פ תיאר את נפש ביאליק </w:t>
      </w:r>
      <w:proofErr w:type="spellStart"/>
      <w:r>
        <w:rPr>
          <w:sz w:val="20"/>
          <w:szCs w:val="20"/>
          <w:rtl/>
        </w:rPr>
        <w:t>כ“נשמה</w:t>
      </w:r>
      <w:proofErr w:type="spellEnd"/>
      <w:r>
        <w:rPr>
          <w:sz w:val="20"/>
          <w:szCs w:val="20"/>
          <w:rtl/>
        </w:rPr>
        <w:t xml:space="preserve"> יהודית גדולה”.</w:t>
      </w:r>
    </w:p>
  </w:footnote>
  <w:footnote w:id="3986">
    <w:p w14:paraId="71F62562"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3987">
    <w:p w14:paraId="0B05109F" w14:textId="77777777" w:rsidR="00AB3647" w:rsidRDefault="00000000">
      <w:pPr>
        <w:spacing w:after="0" w:before="0"/>
        <w:jc w:val="both"/>
      </w:pPr>
      <w:r>
        <w:rPr>
          <w:sz w:val="20"/>
          <w:szCs w:val="20"/>
          <w:rtl/>
        </w:rPr>
        <w:footnoteRef/>
      </w:r>
      <w:r>
        <w:rPr>
          <w:sz w:val="20"/>
          <w:szCs w:val="20"/>
          <w:rtl/>
        </w:rPr>
        <w:t xml:space="preserve">. נראה שההערכה הרבה שרחש לשכלו של ר׳ חיים </w:t>
      </w:r>
      <w:proofErr w:type="spellStart"/>
      <w:r>
        <w:rPr>
          <w:sz w:val="20"/>
          <w:szCs w:val="20"/>
          <w:rtl/>
        </w:rPr>
        <w:t>סולובייצ׳יק</w:t>
      </w:r>
      <w:proofErr w:type="spellEnd"/>
      <w:r>
        <w:rPr>
          <w:sz w:val="20"/>
          <w:szCs w:val="20"/>
          <w:rtl/>
        </w:rPr>
        <w:t xml:space="preserve">, כפי שהובאה לעיל מן הנאום לכבוד </w:t>
      </w:r>
      <w:proofErr w:type="spellStart"/>
      <w:r>
        <w:rPr>
          <w:sz w:val="20"/>
          <w:szCs w:val="20"/>
          <w:rtl/>
        </w:rPr>
        <w:t>א״מ</w:t>
      </w:r>
      <w:proofErr w:type="spellEnd"/>
      <w:r>
        <w:rPr>
          <w:sz w:val="20"/>
          <w:szCs w:val="20"/>
          <w:rtl/>
        </w:rPr>
        <w:t xml:space="preserve"> ברכיהו, עשויה הייתה להספיק כדי שביאליק ייתן את הבטחתו באותה עת. אבל אין זה סביר שהייתה מחייבת אותו לקיים את ההבטחה לאורך כל דרכו. את זה יש לייחס לכבוד שרחש בפועל לישיבות – רגש שנולד מתוך חווייתו האישית הטובה בישיבת </w:t>
      </w:r>
      <w:proofErr w:type="spellStart"/>
      <w:r>
        <w:rPr>
          <w:sz w:val="20"/>
          <w:szCs w:val="20"/>
          <w:rtl/>
        </w:rPr>
        <w:t>וולוז׳ין</w:t>
      </w:r>
      <w:proofErr w:type="spellEnd"/>
      <w:r>
        <w:rPr>
          <w:sz w:val="20"/>
          <w:szCs w:val="20"/>
          <w:rtl/>
        </w:rPr>
        <w:t>.</w:t>
      </w:r>
    </w:p>
  </w:footnote>
  <w:footnote w:id="3988">
    <w:p w14:paraId="5C5B6C84" w14:textId="77777777" w:rsidR="00AB3647" w:rsidRDefault="00000000">
      <w:pPr>
        <w:spacing w:after="0" w:before="0"/>
        <w:jc w:val="both"/>
      </w:pPr>
      <w:r>
        <w:rPr>
          <w:sz w:val="20"/>
          <w:szCs w:val="20"/>
          <w:rtl/>
        </w:rPr>
        <w:footnoteRef/>
      </w:r>
      <w:r>
        <w:rPr>
          <w:sz w:val="20"/>
          <w:szCs w:val="20"/>
          <w:rtl/>
        </w:rPr>
        <w:t xml:space="preserve">. מאת משה צבי נריה, הוצאת חי ראי, כפר </w:t>
      </w:r>
      <w:proofErr w:type="spellStart"/>
      <w:r>
        <w:rPr>
          <w:sz w:val="20"/>
          <w:szCs w:val="20"/>
          <w:rtl/>
        </w:rPr>
        <w:t>הרא״ה</w:t>
      </w:r>
      <w:proofErr w:type="spellEnd"/>
      <w:r>
        <w:rPr>
          <w:sz w:val="20"/>
          <w:szCs w:val="20"/>
          <w:rtl/>
        </w:rPr>
        <w:t xml:space="preserve">, תשנ״ב, כרך ב, עמ׳ 294. אני מודה </w:t>
      </w:r>
      <w:proofErr w:type="spellStart"/>
      <w:r>
        <w:rPr>
          <w:sz w:val="20"/>
          <w:szCs w:val="20"/>
          <w:rtl/>
        </w:rPr>
        <w:t>לר</w:t>
      </w:r>
      <w:proofErr w:type="spellEnd"/>
      <w:r>
        <w:rPr>
          <w:sz w:val="20"/>
          <w:szCs w:val="20"/>
          <w:rtl/>
        </w:rPr>
        <w:t xml:space="preserve">׳ יוסף </w:t>
      </w:r>
      <w:proofErr w:type="spellStart"/>
      <w:r>
        <w:rPr>
          <w:sz w:val="20"/>
          <w:szCs w:val="20"/>
          <w:rtl/>
        </w:rPr>
        <w:t>טולידאנו</w:t>
      </w:r>
      <w:proofErr w:type="spellEnd"/>
      <w:r>
        <w:rPr>
          <w:sz w:val="20"/>
          <w:szCs w:val="20"/>
          <w:rtl/>
        </w:rPr>
        <w:t>, רבה של גבעת זאב, על מקור זה.</w:t>
      </w:r>
    </w:p>
  </w:footnote>
  <w:footnote w:id="3989">
    <w:p w14:paraId="3A5EEC1B" w14:textId="77777777" w:rsidR="00AB3647" w:rsidRDefault="00000000">
      <w:pPr>
        <w:spacing w:after="0" w:before="0"/>
        <w:jc w:val="both"/>
      </w:pPr>
      <w:r>
        <w:rPr>
          <w:sz w:val="20"/>
          <w:szCs w:val="20"/>
          <w:rtl/>
        </w:rPr>
        <w:footnoteRef/>
      </w:r>
      <w:r>
        <w:rPr>
          <w:sz w:val="20"/>
          <w:szCs w:val="20"/>
          <w:rtl/>
        </w:rPr>
        <w:t>. ועיין שולחן ערוך יורה דעה סימן ב, על ההבדלים בין שני מיני המומרים.</w:t>
      </w:r>
    </w:p>
  </w:footnote>
  <w:footnote w:id="3990">
    <w:p w14:paraId="66948DB7" w14:textId="77777777" w:rsidR="00AB3647" w:rsidRDefault="00000000">
      <w:pPr>
        <w:spacing w:after="0" w:before="0"/>
        <w:jc w:val="both"/>
      </w:pPr>
      <w:r>
        <w:rPr>
          <w:sz w:val="20"/>
          <w:szCs w:val="20"/>
          <w:rtl/>
        </w:rPr>
        <w:footnoteRef/>
      </w:r>
      <w:r>
        <w:rPr>
          <w:sz w:val="20"/>
          <w:szCs w:val="20"/>
          <w:rtl/>
        </w:rPr>
        <w:t xml:space="preserve">. פרופסור ריבלין סיים: “ר׳ </w:t>
      </w:r>
      <w:proofErr w:type="spellStart"/>
      <w:r>
        <w:rPr>
          <w:sz w:val="20"/>
          <w:szCs w:val="20"/>
          <w:rtl/>
        </w:rPr>
        <w:t>יעקב־משה</w:t>
      </w:r>
      <w:proofErr w:type="spellEnd"/>
      <w:r>
        <w:rPr>
          <w:sz w:val="20"/>
          <w:szCs w:val="20"/>
          <w:rtl/>
        </w:rPr>
        <w:t xml:space="preserve"> חרל״פ הביט בי לרגע בעיניו החודרות – נדמה כאילו ריחף בעולמות העליונים – ואמר: ‘מה הפלא? האם תוכל לשער כמה נלחם השטן ללכוד ברשתו נשמה יהודית גדולה כל כך כנשמת ביאליק?!’”</w:t>
      </w:r>
    </w:p>
    <w:p w14:paraId="6C0D9160" w14:textId="77777777" w:rsidR="00AB3647" w:rsidRDefault="00000000">
      <w:pPr>
        <w:spacing w:after="0" w:before="0"/>
        <w:jc w:val="both"/>
      </w:pPr>
      <w:r>
        <w:rPr>
          <w:sz w:val="20"/>
          <w:szCs w:val="20"/>
          <w:rtl/>
        </w:rPr>
        <w:t xml:space="preserve">ראויה לציון עוד אמירה של </w:t>
      </w:r>
      <w:proofErr w:type="spellStart"/>
      <w:r>
        <w:rPr>
          <w:sz w:val="20"/>
          <w:szCs w:val="20"/>
          <w:rtl/>
        </w:rPr>
        <w:t>חיים־נחמן</w:t>
      </w:r>
      <w:proofErr w:type="spellEnd"/>
      <w:r>
        <w:rPr>
          <w:sz w:val="20"/>
          <w:szCs w:val="20"/>
          <w:rtl/>
        </w:rPr>
        <w:t xml:space="preserve"> ביאליק. בערב יום הכיפורים קיבל את “אורות התשובה” של ר׳ </w:t>
      </w:r>
      <w:proofErr w:type="spellStart"/>
      <w:r>
        <w:rPr>
          <w:sz w:val="20"/>
          <w:szCs w:val="20"/>
          <w:rtl/>
        </w:rPr>
        <w:t>אברהם־יצחק</w:t>
      </w:r>
      <w:proofErr w:type="spellEnd"/>
      <w:r>
        <w:rPr>
          <w:sz w:val="20"/>
          <w:szCs w:val="20"/>
          <w:rtl/>
        </w:rPr>
        <w:t xml:space="preserve"> קוק, ובמכתב תודה לבנו של המחבר, ר׳ </w:t>
      </w:r>
      <w:proofErr w:type="spellStart"/>
      <w:r>
        <w:rPr>
          <w:sz w:val="20"/>
          <w:szCs w:val="20"/>
          <w:rtl/>
        </w:rPr>
        <w:t>צבי־יהודה</w:t>
      </w:r>
      <w:proofErr w:type="spellEnd"/>
      <w:r>
        <w:rPr>
          <w:sz w:val="20"/>
          <w:szCs w:val="20"/>
          <w:rtl/>
        </w:rPr>
        <w:t xml:space="preserve">, כתב: “את ‘אורות התשובה’ המשכתי עלי ביום התשובה ואטהר מעט. אכן יש בדברי המחברת הקטנה הזאת כדי ארבעים סאה </w:t>
      </w:r>
      <w:proofErr w:type="spellStart"/>
      <w:r>
        <w:rPr>
          <w:sz w:val="20"/>
          <w:szCs w:val="20"/>
          <w:rtl/>
        </w:rPr>
        <w:t>לטהרת</w:t>
      </w:r>
      <w:proofErr w:type="spellEnd"/>
      <w:r>
        <w:rPr>
          <w:sz w:val="20"/>
          <w:szCs w:val="20"/>
          <w:rtl/>
        </w:rPr>
        <w:t xml:space="preserve"> הגוף והנפש יחד, ודבריה באו לא רק כמים טהורים בקרבי, כי אם גם כשמן הקדש בעצמותי.” (הביטויים האחרונים מבוססים על תהלים קט, </w:t>
      </w:r>
      <w:proofErr w:type="spellStart"/>
      <w:r>
        <w:rPr>
          <w:sz w:val="20"/>
          <w:szCs w:val="20"/>
          <w:rtl/>
        </w:rPr>
        <w:t>יח</w:t>
      </w:r>
      <w:proofErr w:type="spellEnd"/>
      <w:r>
        <w:rPr>
          <w:sz w:val="20"/>
          <w:szCs w:val="20"/>
          <w:rtl/>
        </w:rPr>
        <w:t xml:space="preserve">.) גם מקור זה – “אגרות חיים נחמן ביאליק”, כרך ד, עמ׳ </w:t>
      </w:r>
      <w:proofErr w:type="spellStart"/>
      <w:r>
        <w:rPr>
          <w:sz w:val="20"/>
          <w:szCs w:val="20"/>
          <w:rtl/>
        </w:rPr>
        <w:t>יב</w:t>
      </w:r>
      <w:proofErr w:type="spellEnd"/>
      <w:r>
        <w:rPr>
          <w:sz w:val="20"/>
          <w:szCs w:val="20"/>
          <w:rtl/>
        </w:rPr>
        <w:t xml:space="preserve">, מכתב מב׳ בחשוון תרפ״ח – מסר לי ר׳ יוסף </w:t>
      </w:r>
      <w:proofErr w:type="spellStart"/>
      <w:r>
        <w:rPr>
          <w:sz w:val="20"/>
          <w:szCs w:val="20"/>
          <w:rtl/>
        </w:rPr>
        <w:t>טולידאנו</w:t>
      </w:r>
      <w:proofErr w:type="spellEnd"/>
      <w:r>
        <w:rPr>
          <w:sz w:val="20"/>
          <w:szCs w:val="20"/>
          <w:rtl/>
        </w:rPr>
        <w:t xml:space="preserve">; ראה הערת שוליים </w:t>
      </w:r>
      <w:r>
        <w:rPr>
          <w:sz w:val="20"/>
          <w:szCs w:val="20"/>
          <w:rtl/>
        </w:rPr>
        <w:fldChar w:fldCharType="begin" w:dirty="true"/>
      </w:r>
      <w:r>
        <w:rPr>
          <w:sz w:val="20"/>
          <w:szCs w:val="20"/>
          <w:rtl/>
        </w:rPr>
        <w:instrText xml:space="preserve"> NOTEREF pr_f_3866 \h </w:instrText>
      </w:r>
      <w:r>
        <w:rPr>
          <w:sz w:val="20"/>
          <w:szCs w:val="20"/>
          <w:rtl/>
        </w:rPr>
      </w:r>
      <w:r>
        <w:rPr>
          <w:sz w:val="20"/>
          <w:szCs w:val="20"/>
          <w:rtl/>
        </w:rPr>
        <w:fldChar w:fldCharType="separate"/>
      </w:r>
      <w:r w:rsidR="007923E9">
        <w:rPr>
          <w:sz w:val="20"/>
          <w:szCs w:val="20"/>
          <w:rtl/>
        </w:rPr>
        <w:t>943</w:t>
      </w:r>
      <w:r>
        <w:rPr>
          <w:sz w:val="20"/>
          <w:szCs w:val="20"/>
          <w:rtl/>
        </w:rPr>
        <w:fldChar w:fldCharType="end"/>
      </w:r>
      <w:r>
        <w:rPr>
          <w:sz w:val="20"/>
          <w:szCs w:val="20"/>
          <w:rtl/>
        </w:rPr>
        <w:t xml:space="preserve"> לעיל.</w:t>
      </w:r>
    </w:p>
  </w:footnote>
  <w:footnote w:id="3991">
    <w:p w14:paraId="5F8EFF4B" w14:textId="77777777" w:rsidR="00AB3647" w:rsidRDefault="00000000">
      <w:pPr>
        <w:spacing w:after="0" w:before="0"/>
        <w:jc w:val="both"/>
      </w:pPr>
      <w:r>
        <w:rPr>
          <w:sz w:val="20"/>
          <w:szCs w:val="20"/>
          <w:rtl/>
        </w:rPr>
        <w:footnoteRef/>
      </w:r>
      <w:r>
        <w:rPr>
          <w:sz w:val="20"/>
          <w:szCs w:val="20"/>
          <w:rtl/>
        </w:rPr>
        <w:t xml:space="preserve">. “ספר אליהו” (המקור הנזכר בפרק 1, נספח ו), עמ׳ 22 ו־24, </w:t>
      </w:r>
      <w:proofErr w:type="spellStart"/>
      <w:r>
        <w:rPr>
          <w:sz w:val="20"/>
          <w:szCs w:val="20"/>
          <w:rtl/>
        </w:rPr>
        <w:t>ו“החפץ</w:t>
      </w:r>
      <w:proofErr w:type="spellEnd"/>
      <w:r>
        <w:rPr>
          <w:sz w:val="20"/>
          <w:szCs w:val="20"/>
          <w:rtl/>
        </w:rPr>
        <w:t xml:space="preserve"> חיים (ישר)” (המקור הנזכר בפרק 1, הערה 7), עמ׳ 23 – העוסקים, בהתאמה, בנישואין שנערכו </w:t>
      </w:r>
      <w:proofErr w:type="spellStart"/>
      <w:r>
        <w:rPr>
          <w:sz w:val="20"/>
          <w:szCs w:val="20"/>
          <w:rtl/>
        </w:rPr>
        <w:t>שלוש־עשרה</w:t>
      </w:r>
      <w:proofErr w:type="spellEnd"/>
      <w:r>
        <w:rPr>
          <w:sz w:val="20"/>
          <w:szCs w:val="20"/>
          <w:rtl/>
        </w:rPr>
        <w:t xml:space="preserve"> שנים לפני נישואי ר׳ חיים ושבע שנים אחריהם – נותנים שש שנים כהקצבה הרגילה של “</w:t>
      </w:r>
      <w:proofErr w:type="spellStart"/>
      <w:r>
        <w:rPr>
          <w:sz w:val="20"/>
          <w:szCs w:val="20"/>
          <w:rtl/>
        </w:rPr>
        <w:t>קעסט</w:t>
      </w:r>
      <w:proofErr w:type="spellEnd"/>
      <w:r>
        <w:rPr>
          <w:sz w:val="20"/>
          <w:szCs w:val="20"/>
          <w:rtl/>
        </w:rPr>
        <w:t xml:space="preserve">”. מפתיע </w:t>
      </w:r>
      <w:proofErr w:type="spellStart"/>
      <w:r>
        <w:rPr>
          <w:sz w:val="20"/>
          <w:szCs w:val="20"/>
          <w:rtl/>
        </w:rPr>
        <w:t>ש“הראשון</w:t>
      </w:r>
      <w:proofErr w:type="spellEnd"/>
      <w:r>
        <w:rPr>
          <w:sz w:val="20"/>
          <w:szCs w:val="20"/>
          <w:rtl/>
        </w:rPr>
        <w:t xml:space="preserve">”, עמ׳ 311, מקציב </w:t>
      </w:r>
      <w:proofErr w:type="spellStart"/>
      <w:r>
        <w:rPr>
          <w:sz w:val="20"/>
          <w:szCs w:val="20"/>
          <w:rtl/>
        </w:rPr>
        <w:t>לר</w:t>
      </w:r>
      <w:proofErr w:type="spellEnd"/>
      <w:r>
        <w:rPr>
          <w:sz w:val="20"/>
          <w:szCs w:val="20"/>
          <w:rtl/>
        </w:rPr>
        <w:t>׳ חיים חמש שנים בלבד – בלי אסמכתה, ואחרי שכבר נאמר בו בעמ׳ 87 שאביו של ר׳ חיים קיבל בשעתו שש שנות “</w:t>
      </w:r>
      <w:proofErr w:type="spellStart"/>
      <w:r>
        <w:rPr>
          <w:sz w:val="20"/>
          <w:szCs w:val="20"/>
          <w:rtl/>
        </w:rPr>
        <w:t>קעסט</w:t>
      </w:r>
      <w:proofErr w:type="spellEnd"/>
      <w:r>
        <w:rPr>
          <w:sz w:val="20"/>
          <w:szCs w:val="20"/>
          <w:rtl/>
        </w:rPr>
        <w:t xml:space="preserve">”. הוא מוסיף </w:t>
      </w:r>
      <w:proofErr w:type="spellStart"/>
      <w:r>
        <w:rPr>
          <w:sz w:val="20"/>
          <w:szCs w:val="20"/>
          <w:rtl/>
        </w:rPr>
        <w:t>ש“מפני</w:t>
      </w:r>
      <w:proofErr w:type="spellEnd"/>
      <w:r>
        <w:rPr>
          <w:sz w:val="20"/>
          <w:szCs w:val="20"/>
          <w:rtl/>
        </w:rPr>
        <w:t xml:space="preserve"> שלא הייתה ברירה” האריך ר׳ חיים את תקופת </w:t>
      </w:r>
      <w:proofErr w:type="spellStart"/>
      <w:r>
        <w:rPr>
          <w:sz w:val="20"/>
          <w:szCs w:val="20"/>
          <w:rtl/>
        </w:rPr>
        <w:t>ה“קעסט</w:t>
      </w:r>
      <w:proofErr w:type="spellEnd"/>
      <w:r>
        <w:rPr>
          <w:sz w:val="20"/>
          <w:szCs w:val="20"/>
          <w:rtl/>
        </w:rPr>
        <w:t xml:space="preserve">” בשנה שישית, מעבר למוסכם. הדבר כביכול “הקשה על חותנו”, </w:t>
      </w:r>
      <w:proofErr w:type="spellStart"/>
      <w:r>
        <w:rPr>
          <w:sz w:val="20"/>
          <w:szCs w:val="20"/>
          <w:rtl/>
        </w:rPr>
        <w:t>ו“היה</w:t>
      </w:r>
      <w:proofErr w:type="spellEnd"/>
      <w:r>
        <w:rPr>
          <w:sz w:val="20"/>
          <w:szCs w:val="20"/>
          <w:rtl/>
        </w:rPr>
        <w:t xml:space="preserve"> דבר שר׳ חיים ראה כעוול זועק הקרוב לגזל, והצטער עליו מאוד”.</w:t>
      </w:r>
    </w:p>
    <w:p w14:paraId="0BE4BDFC" w14:textId="77777777" w:rsidR="00AB3647" w:rsidRDefault="00000000">
      <w:pPr>
        <w:spacing w:after="0" w:before="0"/>
        <w:jc w:val="both"/>
      </w:pPr>
      <w:r>
        <w:rPr>
          <w:sz w:val="20"/>
          <w:szCs w:val="20"/>
          <w:rtl/>
        </w:rPr>
        <w:t xml:space="preserve">תיאורו של “הראשון” אינו מתקבל על הדעת כשמדובר בר׳ חיים. הוא לעולם לא היה כופה את עצמו על חותנו מעבר לתקופת </w:t>
      </w:r>
      <w:proofErr w:type="spellStart"/>
      <w:r>
        <w:rPr>
          <w:sz w:val="20"/>
          <w:szCs w:val="20"/>
          <w:rtl/>
        </w:rPr>
        <w:t>ה“קעסט</w:t>
      </w:r>
      <w:proofErr w:type="spellEnd"/>
      <w:r>
        <w:rPr>
          <w:sz w:val="20"/>
          <w:szCs w:val="20"/>
          <w:rtl/>
        </w:rPr>
        <w:t xml:space="preserve">” המוסכמת – לא רק בשל עדינותו האישית וזהירותו שלא לעבור על “לא תרדה בו בפרך” (ויקרא כה, מג), שרבנו יונה </w:t>
      </w:r>
      <w:proofErr w:type="spellStart"/>
      <w:r>
        <w:rPr>
          <w:sz w:val="20"/>
          <w:szCs w:val="20"/>
          <w:rtl/>
        </w:rPr>
        <w:t>ב“שערי</w:t>
      </w:r>
      <w:proofErr w:type="spellEnd"/>
      <w:r>
        <w:rPr>
          <w:sz w:val="20"/>
          <w:szCs w:val="20"/>
          <w:rtl/>
        </w:rPr>
        <w:t xml:space="preserve"> תשובה”, שער שלישי, אות ס, מפרש שהוא כולל בקשה מאדם לעשות דבר, “קטנה או גדולה”, מתוך פחד או בושה – אלא דווקא משום שמעשה כזה היה “קרוב לגזל”. ראה גם פרק 5, נספח ט, כיצד ר׳ חיים רעב ממש, ואולי אף סיכן את חייו, במינסק, ולא העלה על דעתו אפילו שמץ של גזל. וכמו בנו ר׳ יצחק־זאב, גם ר׳ חיים היה סולד לחלוטין מקבלת מתנה מכל אדם; ראה הפסקה הראשונה בנספח כ להלן. המסקנה: אם נשאר ר׳ חיים </w:t>
      </w:r>
      <w:proofErr w:type="spellStart"/>
      <w:r>
        <w:rPr>
          <w:sz w:val="20"/>
          <w:szCs w:val="20"/>
          <w:rtl/>
        </w:rPr>
        <w:t>ב“קעסט</w:t>
      </w:r>
      <w:proofErr w:type="spellEnd"/>
      <w:r>
        <w:rPr>
          <w:sz w:val="20"/>
          <w:szCs w:val="20"/>
          <w:rtl/>
        </w:rPr>
        <w:t>” שנה שישית – וכך אכן היה – הרי זה רק משום שהסכם הנישואין המקורי קצב לו שש שנות “</w:t>
      </w:r>
      <w:proofErr w:type="spellStart"/>
      <w:r>
        <w:rPr>
          <w:sz w:val="20"/>
          <w:szCs w:val="20"/>
          <w:rtl/>
        </w:rPr>
        <w:t>קעסט</w:t>
      </w:r>
      <w:proofErr w:type="spellEnd"/>
      <w:r>
        <w:rPr>
          <w:sz w:val="20"/>
          <w:szCs w:val="20"/>
          <w:rtl/>
        </w:rPr>
        <w:t>”, ולא חמש.</w:t>
      </w:r>
    </w:p>
  </w:footnote>
  <w:footnote w:id="3992">
    <w:p w14:paraId="615928F0" w14:textId="77777777" w:rsidR="00AB3647" w:rsidRDefault="00000000">
      <w:pPr>
        <w:spacing w:after="0" w:before="0"/>
        <w:jc w:val="both"/>
      </w:pPr>
      <w:r>
        <w:rPr>
          <w:sz w:val="20"/>
          <w:szCs w:val="20"/>
          <w:rtl/>
        </w:rPr>
        <w:footnoteRef/>
      </w:r>
      <w:r>
        <w:rPr>
          <w:sz w:val="20"/>
          <w:szCs w:val="20"/>
          <w:rtl/>
        </w:rPr>
        <w:t>. ריאיון מ־31 באוגוסט 1992.</w:t>
      </w:r>
    </w:p>
  </w:footnote>
  <w:footnote w:id="3993">
    <w:p w14:paraId="34846876" w14:textId="77777777" w:rsidR="00AB3647" w:rsidRDefault="00000000">
      <w:pPr>
        <w:spacing w:after="0" w:before="0"/>
        <w:jc w:val="both"/>
      </w:pPr>
      <w:r>
        <w:rPr>
          <w:sz w:val="20"/>
          <w:szCs w:val="20"/>
          <w:rtl/>
        </w:rPr>
        <w:footnoteRef/>
      </w:r>
      <w:r>
        <w:rPr>
          <w:sz w:val="20"/>
          <w:szCs w:val="20"/>
          <w:rtl/>
        </w:rPr>
        <w:t>. השווה לפרק 5, נספח י.</w:t>
      </w:r>
    </w:p>
  </w:footnote>
  <w:footnote w:id="3994">
    <w:p w14:paraId="56A85893" w14:textId="77777777" w:rsidR="00AB3647" w:rsidRDefault="00000000">
      <w:pPr>
        <w:spacing w:after="0" w:before="0"/>
        <w:jc w:val="both"/>
      </w:pPr>
      <w:r>
        <w:rPr>
          <w:sz w:val="20"/>
          <w:szCs w:val="20"/>
          <w:rtl/>
        </w:rPr>
        <w:footnoteRef/>
      </w:r>
      <w:r>
        <w:rPr>
          <w:sz w:val="20"/>
          <w:szCs w:val="20"/>
          <w:rtl/>
        </w:rPr>
        <w:t>. ריאיון מ־25 במאי 1997.</w:t>
      </w:r>
    </w:p>
  </w:footnote>
  <w:footnote w:id="3995">
    <w:p w14:paraId="135AD3D9" w14:textId="77777777" w:rsidR="00AB3647" w:rsidRDefault="00000000">
      <w:pPr>
        <w:spacing w:after="0" w:before="0"/>
        <w:jc w:val="both"/>
      </w:pPr>
      <w:r>
        <w:rPr>
          <w:sz w:val="20"/>
          <w:szCs w:val="20"/>
          <w:rtl/>
        </w:rPr>
        <w:footnoteRef/>
      </w:r>
      <w:r>
        <w:rPr>
          <w:sz w:val="20"/>
          <w:szCs w:val="20"/>
          <w:rtl/>
        </w:rPr>
        <w:t xml:space="preserve">. לא ברור אם ר׳ יוסף־דב </w:t>
      </w:r>
      <w:proofErr w:type="spellStart"/>
      <w:r>
        <w:rPr>
          <w:sz w:val="20"/>
          <w:szCs w:val="20"/>
          <w:rtl/>
        </w:rPr>
        <w:t>סולובייצ׳יק</w:t>
      </w:r>
      <w:proofErr w:type="spellEnd"/>
      <w:r>
        <w:rPr>
          <w:sz w:val="20"/>
          <w:szCs w:val="20"/>
          <w:rtl/>
        </w:rPr>
        <w:t xml:space="preserve">, אביו של ר׳ חיים, הציע את </w:t>
      </w:r>
      <w:proofErr w:type="spellStart"/>
      <w:r>
        <w:rPr>
          <w:sz w:val="20"/>
          <w:szCs w:val="20"/>
          <w:rtl/>
        </w:rPr>
        <w:t>ה“שיפור</w:t>
      </w:r>
      <w:proofErr w:type="spellEnd"/>
      <w:r>
        <w:rPr>
          <w:sz w:val="20"/>
          <w:szCs w:val="20"/>
          <w:rtl/>
        </w:rPr>
        <w:t>” הזה ברצינות או בדרך הלצה – כדי להבהיר לכלתו שמחשבת בעלה עסוקה בעניינים חשובים בהרבה מן השאלה במה לקנח את אפו.</w:t>
      </w:r>
    </w:p>
  </w:footnote>
  <w:footnote w:id="3996">
    <w:p w14:paraId="1E7DFA82" w14:textId="77777777" w:rsidR="00AB3647" w:rsidRDefault="00000000">
      <w:pPr>
        <w:spacing w:after="0" w:before="0"/>
        <w:jc w:val="both"/>
      </w:pPr>
      <w:r>
        <w:rPr>
          <w:sz w:val="20"/>
          <w:szCs w:val="20"/>
          <w:rtl/>
        </w:rPr>
        <w:footnoteRef/>
      </w:r>
      <w:r>
        <w:rPr>
          <w:sz w:val="20"/>
          <w:szCs w:val="20"/>
          <w:rtl/>
        </w:rPr>
        <w:t xml:space="preserve">. השווה פרק 4, סעיף 2, בתיאור ישיבת </w:t>
      </w:r>
      <w:proofErr w:type="spellStart"/>
      <w:r>
        <w:rPr>
          <w:sz w:val="20"/>
          <w:szCs w:val="20"/>
          <w:rtl/>
        </w:rPr>
        <w:t>טלז</w:t>
      </w:r>
      <w:proofErr w:type="spellEnd"/>
      <w:r>
        <w:rPr>
          <w:sz w:val="20"/>
          <w:szCs w:val="20"/>
          <w:rtl/>
        </w:rPr>
        <w:t>.</w:t>
      </w:r>
    </w:p>
  </w:footnote>
  <w:footnote w:id="3997">
    <w:p w14:paraId="62001C6D" w14:textId="77777777" w:rsidR="00AB3647" w:rsidRDefault="00000000">
      <w:pPr>
        <w:spacing w:after="0" w:before="0"/>
        <w:jc w:val="both"/>
      </w:pPr>
      <w:r>
        <w:rPr>
          <w:sz w:val="20"/>
          <w:szCs w:val="20"/>
          <w:rtl/>
        </w:rPr>
        <w:footnoteRef/>
      </w:r>
      <w:r>
        <w:rPr>
          <w:sz w:val="20"/>
          <w:szCs w:val="20"/>
          <w:rtl/>
        </w:rPr>
        <w:t>. הספר הנזכר בפרק 1, הערה 5, עמ׳ 194.</w:t>
      </w:r>
    </w:p>
  </w:footnote>
  <w:footnote w:id="3998">
    <w:p w14:paraId="394F5B36"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נוסח דברי ר׳ חיים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הובא מן הסיפור המקביל </w:t>
      </w:r>
      <w:proofErr w:type="spellStart"/>
      <w:r>
        <w:rPr>
          <w:sz w:val="20"/>
          <w:szCs w:val="20"/>
          <w:rtl/>
        </w:rPr>
        <w:t>ב“משל</w:t>
      </w:r>
      <w:proofErr w:type="spellEnd"/>
      <w:r>
        <w:rPr>
          <w:sz w:val="20"/>
          <w:szCs w:val="20"/>
          <w:rtl/>
        </w:rPr>
        <w:t xml:space="preserve"> האבות – פרקי אבות” (משה לוי), עמ׳ פז, מפי ר׳ צבי </w:t>
      </w:r>
      <w:proofErr w:type="spellStart"/>
      <w:r>
        <w:rPr>
          <w:sz w:val="20"/>
          <w:szCs w:val="20"/>
          <w:rtl/>
        </w:rPr>
        <w:t>ברוידא</w:t>
      </w:r>
      <w:proofErr w:type="spellEnd"/>
      <w:r>
        <w:rPr>
          <w:sz w:val="20"/>
          <w:szCs w:val="20"/>
          <w:rtl/>
        </w:rPr>
        <w:t xml:space="preserve"> ששמע מר׳ </w:t>
      </w:r>
      <w:proofErr w:type="spellStart"/>
      <w:r>
        <w:rPr>
          <w:sz w:val="20"/>
          <w:szCs w:val="20"/>
          <w:rtl/>
        </w:rPr>
        <w:t>איסר־זלמן</w:t>
      </w:r>
      <w:proofErr w:type="spellEnd"/>
      <w:r>
        <w:rPr>
          <w:sz w:val="20"/>
          <w:szCs w:val="20"/>
          <w:rtl/>
        </w:rPr>
        <w:t xml:space="preserve">. </w:t>
      </w:r>
      <w:proofErr w:type="spellStart"/>
      <w:r>
        <w:rPr>
          <w:sz w:val="20"/>
          <w:szCs w:val="20"/>
          <w:rtl/>
        </w:rPr>
        <w:t>ב“בדרך</w:t>
      </w:r>
      <w:proofErr w:type="spellEnd"/>
      <w:r>
        <w:rPr>
          <w:sz w:val="20"/>
          <w:szCs w:val="20"/>
          <w:rtl/>
        </w:rPr>
        <w:t xml:space="preserve"> עץ החיים” שבידינו (הדפסה שלישית, תשס״ו) העימוד שונה, והקטע לא אותר.</w:t>
      </w:r>
    </w:p>
  </w:footnote>
  <w:footnote w:id="3999">
    <w:p w14:paraId="346B09C0" w14:textId="77777777" w:rsidR="00AB3647" w:rsidRDefault="00000000">
      <w:pPr>
        <w:spacing w:after="0" w:before="0"/>
        <w:jc w:val="both"/>
      </w:pPr>
      <w:r>
        <w:rPr>
          <w:sz w:val="20"/>
          <w:szCs w:val="20"/>
          <w:rtl/>
        </w:rPr>
        <w:footnoteRef/>
      </w:r>
      <w:r>
        <w:rPr>
          <w:sz w:val="20"/>
          <w:szCs w:val="20"/>
          <w:rtl/>
        </w:rPr>
        <w:t>. ראה גם פרק 3, סוף הערה 32.</w:t>
      </w:r>
    </w:p>
  </w:footnote>
  <w:footnote w:id="4000">
    <w:p w14:paraId="0961CA25" w14:textId="77777777" w:rsidR="00AB3647" w:rsidRDefault="00000000">
      <w:pPr>
        <w:spacing w:after="0" w:before="0"/>
        <w:jc w:val="both"/>
      </w:pPr>
      <w:r>
        <w:rPr>
          <w:sz w:val="20"/>
          <w:szCs w:val="20"/>
          <w:rtl/>
        </w:rPr>
        <w:footnoteRef/>
      </w:r>
      <w:r>
        <w:rPr>
          <w:sz w:val="20"/>
          <w:szCs w:val="20"/>
          <w:rtl/>
        </w:rPr>
        <w:t>. ריאיון מ־2 במאי 1998.</w:t>
      </w:r>
    </w:p>
  </w:footnote>
  <w:footnote w:id="4001">
    <w:p w14:paraId="0794942F" w14:textId="77777777" w:rsidR="00AB3647" w:rsidRDefault="00000000">
      <w:pPr>
        <w:spacing w:after="0" w:before="0"/>
        <w:jc w:val="both"/>
      </w:pPr>
      <w:r>
        <w:rPr>
          <w:sz w:val="20"/>
          <w:szCs w:val="20"/>
          <w:rtl/>
        </w:rPr>
        <w:footnoteRef/>
      </w:r>
      <w:r>
        <w:rPr>
          <w:sz w:val="20"/>
          <w:szCs w:val="20"/>
          <w:rtl/>
        </w:rPr>
        <w:t>. הספר הנזכר בפרק 2, הפסקה השנייה של נספח א, כרך א, עמ׳ 182–184.</w:t>
      </w:r>
    </w:p>
  </w:footnote>
  <w:footnote w:id="4002">
    <w:p w14:paraId="6A057F07" w14:textId="77777777" w:rsidR="00AB3647" w:rsidRDefault="00000000">
      <w:pPr>
        <w:spacing w:after="0" w:before="0"/>
        <w:jc w:val="both"/>
      </w:pPr>
      <w:r>
        <w:rPr>
          <w:sz w:val="20"/>
          <w:szCs w:val="20"/>
          <w:rtl/>
        </w:rPr>
        <w:footnoteRef/>
      </w:r>
      <w:r>
        <w:rPr>
          <w:sz w:val="20"/>
          <w:szCs w:val="20"/>
          <w:rtl/>
        </w:rPr>
        <w:t>. הספר הנזכר בפרק 3, נספח ט, עמ׳ י. ראה גם שם, הערה 10. מקור זה בנפש הרב מובא גם בפרק 5, בפסקה השלישית של נספח ו.</w:t>
      </w:r>
    </w:p>
  </w:footnote>
  <w:footnote w:id="4003">
    <w:p w14:paraId="6FE712F8" w14:textId="77777777" w:rsidR="00AB3647" w:rsidRDefault="00000000">
      <w:pPr>
        <w:spacing w:after="0" w:before="0"/>
        <w:jc w:val="both"/>
      </w:pPr>
      <w:r>
        <w:rPr>
          <w:sz w:val="20"/>
          <w:szCs w:val="20"/>
          <w:rtl/>
        </w:rPr>
        <w:footnoteRef/>
      </w:r>
      <w:r>
        <w:rPr>
          <w:sz w:val="20"/>
          <w:szCs w:val="20"/>
          <w:rtl/>
        </w:rPr>
        <w:t xml:space="preserve">. אין זה מרחיק לכת לקשור את סיפורו של ר׳ מיכל </w:t>
      </w:r>
      <w:proofErr w:type="spellStart"/>
      <w:r>
        <w:rPr>
          <w:sz w:val="20"/>
          <w:szCs w:val="20"/>
          <w:rtl/>
        </w:rPr>
        <w:t>שורקין</w:t>
      </w:r>
      <w:proofErr w:type="spellEnd"/>
      <w:r>
        <w:rPr>
          <w:sz w:val="20"/>
          <w:szCs w:val="20"/>
          <w:rtl/>
        </w:rPr>
        <w:t xml:space="preserve">, על שר׳ חיים חזר בו משיעור שהכין, לא למינויו </w:t>
      </w:r>
      <w:proofErr w:type="spellStart"/>
      <w:r>
        <w:rPr>
          <w:sz w:val="20"/>
          <w:szCs w:val="20"/>
          <w:rtl/>
        </w:rPr>
        <w:t>בוולוז׳ין</w:t>
      </w:r>
      <w:proofErr w:type="spellEnd"/>
      <w:r>
        <w:rPr>
          <w:sz w:val="20"/>
          <w:szCs w:val="20"/>
          <w:rtl/>
        </w:rPr>
        <w:t xml:space="preserve"> אלא לתקופה שבה החל למסור שיעורים </w:t>
      </w:r>
      <w:proofErr w:type="spellStart"/>
      <w:r>
        <w:rPr>
          <w:sz w:val="20"/>
          <w:szCs w:val="20"/>
          <w:rtl/>
        </w:rPr>
        <w:t>בבריסק</w:t>
      </w:r>
      <w:proofErr w:type="spellEnd"/>
      <w:r>
        <w:rPr>
          <w:sz w:val="20"/>
          <w:szCs w:val="20"/>
          <w:rtl/>
        </w:rPr>
        <w:t xml:space="preserve"> אחרי סגירת </w:t>
      </w:r>
      <w:proofErr w:type="spellStart"/>
      <w:r>
        <w:rPr>
          <w:sz w:val="20"/>
          <w:szCs w:val="20"/>
          <w:rtl/>
        </w:rPr>
        <w:t>וולוז׳ין</w:t>
      </w:r>
      <w:proofErr w:type="spellEnd"/>
      <w:r>
        <w:rPr>
          <w:sz w:val="20"/>
          <w:szCs w:val="20"/>
          <w:rtl/>
        </w:rPr>
        <w:t xml:space="preserve"> (ראה להלן, הפסקה הראשונה של נספח </w:t>
      </w:r>
      <w:proofErr w:type="spellStart"/>
      <w:r>
        <w:rPr>
          <w:sz w:val="20"/>
          <w:szCs w:val="20"/>
          <w:rtl/>
        </w:rPr>
        <w:t>יג</w:t>
      </w:r>
      <w:proofErr w:type="spellEnd"/>
      <w:r>
        <w:rPr>
          <w:sz w:val="20"/>
          <w:szCs w:val="20"/>
          <w:rtl/>
        </w:rPr>
        <w:t xml:space="preserve">). הדבר יוכיח שר׳ חיים ניסה לפתוח ישיבה </w:t>
      </w:r>
      <w:proofErr w:type="spellStart"/>
      <w:r>
        <w:rPr>
          <w:sz w:val="20"/>
          <w:szCs w:val="20"/>
          <w:rtl/>
        </w:rPr>
        <w:t>בבריסק</w:t>
      </w:r>
      <w:proofErr w:type="spellEnd"/>
      <w:r>
        <w:rPr>
          <w:sz w:val="20"/>
          <w:szCs w:val="20"/>
          <w:rtl/>
        </w:rPr>
        <w:t xml:space="preserve">, והיה עליו לעשות רושם טוב על התלמידים שבאו ללמוד אצלו. הסיפור שבספרו של </w:t>
      </w:r>
      <w:proofErr w:type="spellStart"/>
      <w:r>
        <w:rPr>
          <w:sz w:val="20"/>
          <w:szCs w:val="20"/>
          <w:rtl/>
        </w:rPr>
        <w:t>ידעאל</w:t>
      </w:r>
      <w:proofErr w:type="spellEnd"/>
      <w:r>
        <w:rPr>
          <w:sz w:val="20"/>
          <w:szCs w:val="20"/>
          <w:rtl/>
        </w:rPr>
        <w:t xml:space="preserve"> מלצר, “בדרך עץ החיים”, התרחש בוודאי </w:t>
      </w:r>
      <w:proofErr w:type="spellStart"/>
      <w:r>
        <w:rPr>
          <w:sz w:val="20"/>
          <w:szCs w:val="20"/>
          <w:rtl/>
        </w:rPr>
        <w:t>בוולוז׳ין</w:t>
      </w:r>
      <w:proofErr w:type="spellEnd"/>
      <w:r>
        <w:rPr>
          <w:sz w:val="20"/>
          <w:szCs w:val="20"/>
          <w:rtl/>
        </w:rPr>
        <w:t xml:space="preserve">, כשר׳ חיים היה “ר״מ צעיר...”; בעת סגירת </w:t>
      </w:r>
      <w:proofErr w:type="spellStart"/>
      <w:r>
        <w:rPr>
          <w:sz w:val="20"/>
          <w:szCs w:val="20"/>
          <w:rtl/>
        </w:rPr>
        <w:t>וולוז׳ין</w:t>
      </w:r>
      <w:proofErr w:type="spellEnd"/>
      <w:r>
        <w:rPr>
          <w:sz w:val="20"/>
          <w:szCs w:val="20"/>
          <w:rtl/>
        </w:rPr>
        <w:t xml:space="preserve"> כבר היה בן שלושים ותשע.</w:t>
      </w:r>
    </w:p>
  </w:footnote>
  <w:footnote w:id="4004">
    <w:p w14:paraId="0ECFB5B9" w14:textId="77777777" w:rsidR="00AB3647" w:rsidRDefault="00000000">
      <w:pPr>
        <w:spacing w:after="0" w:before="0"/>
        <w:jc w:val="both"/>
      </w:pPr>
      <w:r>
        <w:rPr>
          <w:sz w:val="20"/>
          <w:szCs w:val="20"/>
          <w:rtl/>
        </w:rPr>
        <w:footnoteRef/>
      </w:r>
      <w:r>
        <w:rPr>
          <w:sz w:val="20"/>
          <w:szCs w:val="20"/>
          <w:rtl/>
        </w:rPr>
        <w:t>. השווה לפרק 5, הפסקה הרביעית של נספח ו.</w:t>
      </w:r>
    </w:p>
  </w:footnote>
  <w:footnote w:id="4005">
    <w:p w14:paraId="517B36F9" w14:textId="77777777" w:rsidR="00AB3647" w:rsidRDefault="00000000">
      <w:pPr>
        <w:spacing w:after="0" w:before="0"/>
        <w:jc w:val="both"/>
      </w:pPr>
      <w:r>
        <w:rPr>
          <w:sz w:val="20"/>
          <w:szCs w:val="20"/>
          <w:rtl/>
        </w:rPr>
        <w:footnoteRef/>
      </w:r>
      <w:r>
        <w:rPr>
          <w:sz w:val="20"/>
          <w:szCs w:val="20"/>
          <w:rtl/>
        </w:rPr>
        <w:t>. ריאיון מ־4 בפברואר 1998.</w:t>
      </w:r>
    </w:p>
  </w:footnote>
  <w:footnote w:id="4006">
    <w:p w14:paraId="7EF8D435" w14:textId="77777777" w:rsidR="00AB3647" w:rsidRDefault="00000000">
      <w:pPr>
        <w:spacing w:after="0" w:before="0"/>
        <w:jc w:val="both"/>
      </w:pPr>
      <w:r>
        <w:rPr>
          <w:sz w:val="20"/>
          <w:szCs w:val="20"/>
          <w:rtl/>
        </w:rPr>
        <w:footnoteRef/>
      </w:r>
      <w:r>
        <w:rPr>
          <w:sz w:val="20"/>
          <w:szCs w:val="20"/>
          <w:rtl/>
        </w:rPr>
        <w:t xml:space="preserve">. השווה גם “הרב”, כרך א, עמ׳ 182, המביא בשם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שמתנגדי גישתו החדשה של ר׳ חיים כינו את שיטתו האנליטית “כימיה”; הערת שוליים 1 שם מפנה את הקורא </w:t>
      </w:r>
      <w:proofErr w:type="spellStart"/>
      <w:r>
        <w:rPr>
          <w:sz w:val="20"/>
          <w:szCs w:val="20"/>
          <w:rtl/>
        </w:rPr>
        <w:t>לשטמפפר</w:t>
      </w:r>
      <w:proofErr w:type="spellEnd"/>
      <w:r>
        <w:rPr>
          <w:sz w:val="20"/>
          <w:szCs w:val="20"/>
          <w:rtl/>
        </w:rPr>
        <w:t xml:space="preserve"> (פרק 3, נספח ו), עמ׳ 113. ראה גם שם, הערת שוליים 29, המביאה בשם ר׳ שאול ליברמן שלא ר׳ חיים </w:t>
      </w:r>
      <w:proofErr w:type="spellStart"/>
      <w:r>
        <w:rPr>
          <w:sz w:val="20"/>
          <w:szCs w:val="20"/>
          <w:rtl/>
        </w:rPr>
        <w:t>סולובייצ׳יק</w:t>
      </w:r>
      <w:proofErr w:type="spellEnd"/>
      <w:r>
        <w:rPr>
          <w:sz w:val="20"/>
          <w:szCs w:val="20"/>
          <w:rtl/>
        </w:rPr>
        <w:t xml:space="preserve"> אלא ר׳ </w:t>
      </w:r>
      <w:proofErr w:type="spellStart"/>
      <w:r>
        <w:rPr>
          <w:sz w:val="20"/>
          <w:szCs w:val="20"/>
          <w:rtl/>
        </w:rPr>
        <w:t>יצחק־יעקב</w:t>
      </w:r>
      <w:proofErr w:type="spellEnd"/>
      <w:r>
        <w:rPr>
          <w:sz w:val="20"/>
          <w:szCs w:val="20"/>
          <w:rtl/>
        </w:rPr>
        <w:t xml:space="preserve"> ריינס הוא שכונה “כימאי”, בשל דרכו בניתוח סוגיה תלמודית. ר׳ </w:t>
      </w:r>
      <w:proofErr w:type="spellStart"/>
      <w:r>
        <w:rPr>
          <w:sz w:val="20"/>
          <w:szCs w:val="20"/>
          <w:rtl/>
        </w:rPr>
        <w:t>יצחק־יעקב</w:t>
      </w:r>
      <w:proofErr w:type="spellEnd"/>
      <w:r>
        <w:rPr>
          <w:sz w:val="20"/>
          <w:szCs w:val="20"/>
          <w:rtl/>
        </w:rPr>
        <w:t xml:space="preserve"> ריינס פרש את שיטתו האנליטית החדשה בתלמוד בספרו “חותם תכנית”: ראה הערות שוליים </w:t>
      </w:r>
      <w:r>
        <w:rPr>
          <w:sz w:val="20"/>
          <w:szCs w:val="20"/>
          <w:rtl/>
        </w:rPr>
        <w:fldChar w:fldCharType="begin" w:dirty="true"/>
      </w:r>
      <w:r>
        <w:rPr>
          <w:sz w:val="20"/>
          <w:szCs w:val="20"/>
          <w:rtl/>
        </w:rPr>
        <w:instrText xml:space="preserve"> NOTEREF pr_f_1386 \h </w:instrText>
      </w:r>
      <w:r>
        <w:rPr>
          <w:sz w:val="20"/>
          <w:szCs w:val="20"/>
          <w:rtl/>
        </w:rPr>
      </w:r>
      <w:r>
        <w:rPr>
          <w:sz w:val="20"/>
          <w:szCs w:val="20"/>
          <w:rtl/>
        </w:rPr>
        <w:fldChar w:fldCharType="separate"/>
      </w:r>
      <w:r w:rsidR="007923E9">
        <w:rPr>
          <w:sz w:val="20"/>
          <w:szCs w:val="20"/>
          <w:rtl/>
        </w:rPr>
        <w:t>431</w:t>
      </w:r>
      <w:r>
        <w:rPr>
          <w:sz w:val="20"/>
          <w:szCs w:val="20"/>
          <w:rtl/>
        </w:rPr>
        <w:fldChar w:fldCharType="end"/>
      </w:r>
      <w:r>
        <w:rPr>
          <w:sz w:val="20"/>
          <w:szCs w:val="20"/>
          <w:rtl/>
        </w:rPr>
        <w:t xml:space="preserve"> ו־</w:t>
      </w:r>
      <w:r>
        <w:rPr>
          <w:sz w:val="20"/>
          <w:szCs w:val="20"/>
          <w:rtl/>
        </w:rPr>
        <w:fldChar w:fldCharType="begin" w:dirty="true"/>
      </w:r>
      <w:r>
        <w:rPr>
          <w:sz w:val="20"/>
          <w:szCs w:val="20"/>
          <w:rtl/>
        </w:rPr>
        <w:instrText xml:space="preserve"> NOTEREF fx_ref_488 \h </w:instrText>
      </w:r>
      <w:r>
        <w:rPr>
          <w:sz w:val="20"/>
          <w:szCs w:val="20"/>
          <w:rtl/>
        </w:rPr>
      </w:r>
      <w:r>
        <w:rPr>
          <w:sz w:val="20"/>
          <w:szCs w:val="20"/>
          <w:rtl/>
        </w:rPr>
        <w:fldChar w:fldCharType="separate"/>
      </w:r>
      <w:r w:rsidR="007923E9">
        <w:rPr>
          <w:sz w:val="20"/>
          <w:szCs w:val="20"/>
          <w:rtl/>
        </w:rPr>
        <w:t>432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pr_f_1386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07">
    <w:p w14:paraId="2AF1E8B8" w14:textId="77777777" w:rsidR="00AB3647" w:rsidRDefault="00000000">
      <w:pPr>
        <w:spacing w:after="0" w:before="0"/>
        <w:jc w:val="both"/>
      </w:pPr>
      <w:r>
        <w:rPr>
          <w:sz w:val="20"/>
          <w:szCs w:val="20"/>
          <w:rtl/>
        </w:rPr>
        <w:footnoteRef/>
      </w:r>
      <w:r>
        <w:rPr>
          <w:sz w:val="20"/>
          <w:szCs w:val="20"/>
          <w:rtl/>
        </w:rPr>
        <w:t>. ירושלים, תשנ״ח.</w:t>
      </w:r>
    </w:p>
  </w:footnote>
  <w:footnote w:id="4008">
    <w:p w14:paraId="1D79B13D" w14:textId="77777777" w:rsidR="00AB3647" w:rsidRDefault="00000000">
      <w:pPr>
        <w:spacing w:after="0" w:before="0"/>
        <w:jc w:val="both"/>
      </w:pPr>
      <w:r>
        <w:rPr>
          <w:sz w:val="20"/>
          <w:szCs w:val="20"/>
          <w:rtl/>
        </w:rPr>
        <w:footnoteRef/>
      </w:r>
      <w:r>
        <w:rPr>
          <w:sz w:val="20"/>
          <w:szCs w:val="20"/>
          <w:rtl/>
        </w:rPr>
        <w:t>. ראה להלן שקודמו, ר׳ רפאל שפירא, מסר את שיעורו האחרון על הפרק התשיעי במסכת בבא קמא.</w:t>
      </w:r>
    </w:p>
  </w:footnote>
  <w:footnote w:id="4009">
    <w:p w14:paraId="60913532" w14:textId="77777777" w:rsidR="00AB3647" w:rsidRDefault="00000000">
      <w:pPr>
        <w:spacing w:after="0" w:before="0"/>
        <w:jc w:val="both"/>
      </w:pPr>
      <w:r>
        <w:rPr>
          <w:sz w:val="20"/>
          <w:szCs w:val="20"/>
          <w:rtl/>
        </w:rPr>
        <w:footnoteRef/>
      </w:r>
      <w:r>
        <w:rPr>
          <w:sz w:val="20"/>
          <w:szCs w:val="20"/>
          <w:rtl/>
        </w:rPr>
        <w:t>. שיטת לימוד זו היא ניסיון לקשור את עמדתו של תנא או אמורא מסוים בסוגיה תלמודית אחת עם עמדתו בסוגיה אחרת, שלכאורה אינה קשורה אליה.</w:t>
      </w:r>
    </w:p>
  </w:footnote>
  <w:footnote w:id="4010">
    <w:p w14:paraId="3DB2964E" w14:textId="77777777" w:rsidR="00AB3647" w:rsidRDefault="00000000">
      <w:pPr>
        <w:spacing w:after="0" w:before="0"/>
        <w:jc w:val="both"/>
      </w:pPr>
      <w:r>
        <w:rPr>
          <w:sz w:val="20"/>
          <w:szCs w:val="20"/>
          <w:rtl/>
        </w:rPr>
        <w:footnoteRef/>
      </w:r>
      <w:r>
        <w:rPr>
          <w:sz w:val="20"/>
          <w:szCs w:val="20"/>
          <w:rtl/>
        </w:rPr>
        <w:t>. ריאיון, 5 במרץ 1998.</w:t>
      </w:r>
    </w:p>
  </w:footnote>
  <w:footnote w:id="4011">
    <w:p w14:paraId="073D11B2" w14:textId="77777777" w:rsidR="00AB3647" w:rsidRDefault="00000000">
      <w:pPr>
        <w:spacing w:after="0" w:before="0"/>
        <w:jc w:val="both"/>
      </w:pPr>
      <w:r>
        <w:rPr>
          <w:sz w:val="20"/>
          <w:szCs w:val="20"/>
          <w:rtl/>
        </w:rPr>
        <w:footnoteRef/>
      </w:r>
      <w:r>
        <w:rPr>
          <w:sz w:val="20"/>
          <w:szCs w:val="20"/>
          <w:rtl/>
        </w:rPr>
        <w:t>. ריאיון, 24 באפריל 1998.</w:t>
      </w:r>
    </w:p>
  </w:footnote>
  <w:footnote w:id="4012">
    <w:p w14:paraId="4CDC8798" w14:textId="77777777" w:rsidR="00AB3647" w:rsidRDefault="00000000">
      <w:pPr>
        <w:spacing w:after="0" w:before="0"/>
        <w:jc w:val="both"/>
      </w:pPr>
      <w:r>
        <w:rPr>
          <w:sz w:val="20"/>
          <w:szCs w:val="20"/>
          <w:rtl/>
        </w:rPr>
        <w:footnoteRef/>
      </w:r>
      <w:r>
        <w:rPr>
          <w:sz w:val="20"/>
          <w:szCs w:val="20"/>
          <w:rtl/>
        </w:rPr>
        <w:t>. ריאיון, 25 בפברואר 1988.</w:t>
      </w:r>
    </w:p>
  </w:footnote>
  <w:footnote w:id="4013">
    <w:p w14:paraId="434AB952" w14:textId="77777777" w:rsidR="00AB3647" w:rsidRDefault="00000000">
      <w:pPr>
        <w:spacing w:after="0" w:before="0"/>
        <w:jc w:val="both"/>
      </w:pPr>
      <w:r>
        <w:rPr>
          <w:sz w:val="20"/>
          <w:szCs w:val="20"/>
          <w:rtl/>
        </w:rPr>
        <w:footnoteRef/>
      </w:r>
      <w:r>
        <w:rPr>
          <w:sz w:val="20"/>
          <w:szCs w:val="20"/>
          <w:rtl/>
        </w:rPr>
        <w:t>. שבוע לאחר מכן, ב־4 במרץ.</w:t>
      </w:r>
    </w:p>
  </w:footnote>
  <w:footnote w:id="4014">
    <w:p w14:paraId="24B4563B" w14:textId="77777777" w:rsidR="00AB3647" w:rsidRDefault="00000000">
      <w:pPr>
        <w:spacing w:after="0" w:before="0"/>
        <w:jc w:val="both"/>
      </w:pPr>
      <w:r>
        <w:rPr>
          <w:sz w:val="20"/>
          <w:szCs w:val="20"/>
          <w:rtl/>
        </w:rPr>
        <w:footnoteRef/>
      </w:r>
      <w:r>
        <w:rPr>
          <w:sz w:val="20"/>
          <w:szCs w:val="20"/>
          <w:rtl/>
        </w:rPr>
        <w:t xml:space="preserve">. תצלומה מופיע </w:t>
      </w:r>
      <w:proofErr w:type="spellStart"/>
      <w:r>
        <w:rPr>
          <w:sz w:val="20"/>
          <w:szCs w:val="20"/>
          <w:rtl/>
        </w:rPr>
        <w:t>ב“אבי</w:t>
      </w:r>
      <w:proofErr w:type="spellEnd"/>
      <w:r>
        <w:rPr>
          <w:sz w:val="20"/>
          <w:szCs w:val="20"/>
          <w:rtl/>
        </w:rPr>
        <w:t xml:space="preserve"> הישיבות”, עמ׳ 223. בני משפחת </w:t>
      </w:r>
      <w:proofErr w:type="spellStart"/>
      <w:r>
        <w:rPr>
          <w:sz w:val="20"/>
          <w:szCs w:val="20"/>
          <w:rtl/>
        </w:rPr>
        <w:t>סולובייצ׳יק</w:t>
      </w:r>
      <w:proofErr w:type="spellEnd"/>
      <w:r>
        <w:rPr>
          <w:sz w:val="20"/>
          <w:szCs w:val="20"/>
          <w:rtl/>
        </w:rPr>
        <w:t xml:space="preserve"> בירושלים אינם יודעים היכן הקופסה נמצאת כיום. כשביררתי את העניין אצל מחבר “אבי הישיבות”, התברר שהוא לקח את התמונה מקטלוג מסחרי של חברה לחפצי יודאיקה.</w:t>
      </w:r>
    </w:p>
  </w:footnote>
  <w:footnote w:id="4015">
    <w:p w14:paraId="355CEE4D" w14:textId="77777777" w:rsidR="00AB3647" w:rsidRDefault="00000000">
      <w:pPr>
        <w:spacing w:after="0" w:before="0"/>
        <w:jc w:val="both"/>
      </w:pPr>
      <w:r>
        <w:rPr>
          <w:sz w:val="20"/>
          <w:szCs w:val="20"/>
          <w:rtl/>
        </w:rPr>
        <w:footnoteRef/>
      </w:r>
      <w:r>
        <w:rPr>
          <w:sz w:val="20"/>
          <w:szCs w:val="20"/>
          <w:rtl/>
        </w:rPr>
        <w:t xml:space="preserve">. תחילה ביררתי אצל צאצאי ר׳ חיים </w:t>
      </w:r>
      <w:proofErr w:type="spellStart"/>
      <w:r>
        <w:rPr>
          <w:sz w:val="20"/>
          <w:szCs w:val="20"/>
          <w:rtl/>
        </w:rPr>
        <w:t>סולובייצ׳יק</w:t>
      </w:r>
      <w:proofErr w:type="spellEnd"/>
      <w:r>
        <w:rPr>
          <w:sz w:val="20"/>
          <w:szCs w:val="20"/>
          <w:rtl/>
        </w:rPr>
        <w:t xml:space="preserve"> בירושלים אם הם מכירים את הסיפור שמאחורי המתנה, ונעניתי בשלילה.</w:t>
      </w:r>
    </w:p>
  </w:footnote>
  <w:footnote w:id="4016">
    <w:p w14:paraId="492EC3C8" w14:textId="77777777" w:rsidR="00AB3647" w:rsidRDefault="00000000">
      <w:pPr>
        <w:spacing w:after="0" w:before="0"/>
        <w:jc w:val="both"/>
      </w:pPr>
      <w:r>
        <w:rPr>
          <w:sz w:val="20"/>
          <w:szCs w:val="20"/>
          <w:rtl/>
        </w:rPr>
        <w:footnoteRef/>
      </w:r>
      <w:r>
        <w:rPr>
          <w:sz w:val="20"/>
          <w:szCs w:val="20"/>
          <w:rtl/>
        </w:rPr>
        <w:t xml:space="preserve">. מתועד </w:t>
      </w:r>
      <w:proofErr w:type="spellStart"/>
      <w:r>
        <w:rPr>
          <w:sz w:val="20"/>
          <w:szCs w:val="20"/>
          <w:rtl/>
        </w:rPr>
        <w:t>ב“הראשון</w:t>
      </w:r>
      <w:proofErr w:type="spellEnd"/>
      <w:r>
        <w:rPr>
          <w:sz w:val="20"/>
          <w:szCs w:val="20"/>
          <w:rtl/>
        </w:rPr>
        <w:t>”, עמ׳ 322.</w:t>
      </w:r>
    </w:p>
  </w:footnote>
  <w:footnote w:id="4017">
    <w:p w14:paraId="2219B842" w14:textId="77777777" w:rsidR="00AB3647" w:rsidRDefault="00000000">
      <w:pPr>
        <w:spacing w:after="0" w:before="0"/>
        <w:jc w:val="both"/>
      </w:pPr>
      <w:r>
        <w:rPr>
          <w:sz w:val="20"/>
          <w:szCs w:val="20"/>
          <w:rtl/>
        </w:rPr>
        <w:footnoteRef/>
      </w:r>
      <w:r>
        <w:rPr>
          <w:sz w:val="20"/>
          <w:szCs w:val="20"/>
          <w:rtl/>
        </w:rPr>
        <w:t>. לפי “הראשון”, עמ׳ 70.</w:t>
      </w:r>
    </w:p>
  </w:footnote>
  <w:footnote w:id="4018">
    <w:p w14:paraId="4FBE8555" w14:textId="77777777" w:rsidR="00AB3647" w:rsidRDefault="00000000">
      <w:pPr>
        <w:spacing w:after="0" w:before="0"/>
        <w:jc w:val="both"/>
      </w:pPr>
      <w:r>
        <w:rPr>
          <w:sz w:val="20"/>
          <w:szCs w:val="20"/>
          <w:rtl/>
        </w:rPr>
        <w:footnoteRef/>
      </w:r>
      <w:r>
        <w:rPr>
          <w:sz w:val="20"/>
          <w:szCs w:val="20"/>
          <w:rtl/>
        </w:rPr>
        <w:t xml:space="preserve">. פרק 3, נספח </w:t>
      </w:r>
      <w:proofErr w:type="spellStart"/>
      <w:r>
        <w:rPr>
          <w:sz w:val="20"/>
          <w:szCs w:val="20"/>
          <w:rtl/>
        </w:rPr>
        <w:t>יב</w:t>
      </w:r>
      <w:proofErr w:type="spellEnd"/>
      <w:r>
        <w:rPr>
          <w:sz w:val="20"/>
          <w:szCs w:val="20"/>
          <w:rtl/>
        </w:rPr>
        <w:t>.</w:t>
      </w:r>
    </w:p>
  </w:footnote>
  <w:footnote w:id="4019">
    <w:p w14:paraId="5B0DE10C" w14:textId="77777777" w:rsidR="00AB3647" w:rsidRDefault="00000000">
      <w:pPr>
        <w:spacing w:after="0" w:before="0"/>
        <w:jc w:val="both"/>
      </w:pPr>
      <w:r>
        <w:rPr>
          <w:sz w:val="20"/>
          <w:szCs w:val="20"/>
          <w:rtl/>
        </w:rPr>
        <w:footnoteRef/>
      </w:r>
      <w:r>
        <w:rPr>
          <w:sz w:val="20"/>
          <w:szCs w:val="20"/>
          <w:rtl/>
        </w:rPr>
        <w:t xml:space="preserve">. הוצאת ישיבה </w:t>
      </w:r>
      <w:proofErr w:type="spellStart"/>
      <w:r>
        <w:rPr>
          <w:sz w:val="20"/>
          <w:szCs w:val="20"/>
          <w:rtl/>
        </w:rPr>
        <w:t>יוניברסיטי</w:t>
      </w:r>
      <w:proofErr w:type="spellEnd"/>
      <w:r>
        <w:rPr>
          <w:sz w:val="20"/>
          <w:szCs w:val="20"/>
          <w:rtl/>
        </w:rPr>
        <w:t>, ניו יורק, 1969, עמ׳ 17.</w:t>
      </w:r>
    </w:p>
  </w:footnote>
  <w:footnote w:id="4020">
    <w:p w14:paraId="3E7F7B07" w14:textId="77777777" w:rsidR="00AB3647" w:rsidRDefault="00000000">
      <w:pPr>
        <w:spacing w:after="0" w:before="0"/>
        <w:jc w:val="both"/>
      </w:pPr>
      <w:r>
        <w:rPr>
          <w:sz w:val="20"/>
          <w:szCs w:val="20"/>
          <w:rtl/>
        </w:rPr>
        <w:footnoteRef/>
      </w:r>
      <w:r>
        <w:rPr>
          <w:sz w:val="20"/>
          <w:szCs w:val="20"/>
          <w:rtl/>
        </w:rPr>
        <w:t xml:space="preserve">. המכתב שבאגרות ר׳ </w:t>
      </w:r>
      <w:proofErr w:type="spellStart"/>
      <w:r>
        <w:rPr>
          <w:sz w:val="20"/>
          <w:szCs w:val="20"/>
          <w:rtl/>
        </w:rPr>
        <w:t>יצחק־אייזיק</w:t>
      </w:r>
      <w:proofErr w:type="spellEnd"/>
      <w:r>
        <w:rPr>
          <w:sz w:val="20"/>
          <w:szCs w:val="20"/>
          <w:rtl/>
        </w:rPr>
        <w:t xml:space="preserve"> הלוי.</w:t>
      </w:r>
    </w:p>
  </w:footnote>
  <w:footnote w:id="4021">
    <w:p w14:paraId="3B9F8413" w14:textId="77777777" w:rsidR="00AB3647" w:rsidRDefault="00000000">
      <w:pPr>
        <w:spacing w:after="0" w:before="0"/>
        <w:jc w:val="both"/>
      </w:pPr>
      <w:r>
        <w:rPr>
          <w:sz w:val="20"/>
          <w:szCs w:val="20"/>
          <w:rtl/>
        </w:rPr>
        <w:footnoteRef/>
      </w:r>
      <w:r>
        <w:rPr>
          <w:sz w:val="20"/>
          <w:szCs w:val="20"/>
          <w:rtl/>
        </w:rPr>
        <w:t>. הוא מצוטט בפרק 5, נספח ט.</w:t>
      </w:r>
    </w:p>
  </w:footnote>
  <w:footnote w:id="4022">
    <w:p w14:paraId="719AA025" w14:textId="77777777" w:rsidR="00AB3647" w:rsidRDefault="00000000">
      <w:pPr>
        <w:spacing w:after="0" w:before="0"/>
        <w:jc w:val="both"/>
      </w:pPr>
      <w:r>
        <w:rPr>
          <w:sz w:val="20"/>
          <w:szCs w:val="20"/>
          <w:rtl/>
        </w:rPr>
        <w:footnoteRef/>
      </w:r>
      <w:r>
        <w:rPr>
          <w:sz w:val="20"/>
          <w:szCs w:val="20"/>
          <w:rtl/>
        </w:rPr>
        <w:t>. עמ׳ 33.</w:t>
      </w:r>
    </w:p>
  </w:footnote>
  <w:footnote w:id="4023">
    <w:p w14:paraId="53FEA413" w14:textId="77777777" w:rsidR="00AB3647" w:rsidRDefault="00000000">
      <w:pPr>
        <w:spacing w:after="0" w:before="0"/>
        <w:jc w:val="both"/>
      </w:pPr>
      <w:r>
        <w:rPr>
          <w:sz w:val="20"/>
          <w:szCs w:val="20"/>
          <w:rtl/>
        </w:rPr>
        <w:footnoteRef/>
      </w:r>
      <w:r>
        <w:rPr>
          <w:sz w:val="20"/>
          <w:szCs w:val="20"/>
          <w:rtl/>
        </w:rPr>
        <w:t xml:space="preserve">. הערת אגב: </w:t>
      </w:r>
      <w:proofErr w:type="spellStart"/>
      <w:r>
        <w:rPr>
          <w:sz w:val="20"/>
          <w:szCs w:val="20"/>
          <w:rtl/>
        </w:rPr>
        <w:t>ארבע־עשרה</w:t>
      </w:r>
      <w:proofErr w:type="spellEnd"/>
      <w:r>
        <w:rPr>
          <w:sz w:val="20"/>
          <w:szCs w:val="20"/>
          <w:rtl/>
        </w:rPr>
        <w:t xml:space="preserve"> שנים קודם לכן פרסם ר׳ יוסף </w:t>
      </w:r>
      <w:proofErr w:type="spellStart"/>
      <w:r>
        <w:rPr>
          <w:sz w:val="20"/>
          <w:szCs w:val="20"/>
          <w:rtl/>
        </w:rPr>
        <w:t>ענגיל</w:t>
      </w:r>
      <w:proofErr w:type="spellEnd"/>
      <w:r>
        <w:rPr>
          <w:sz w:val="20"/>
          <w:szCs w:val="20"/>
          <w:rtl/>
        </w:rPr>
        <w:t xml:space="preserve"> את “ספר שבעים פנים לתורה”, ובו שבעים תירוצים </w:t>
      </w:r>
      <w:proofErr w:type="spellStart"/>
      <w:r>
        <w:rPr>
          <w:sz w:val="20"/>
          <w:szCs w:val="20"/>
          <w:rtl/>
        </w:rPr>
        <w:t>לקושיה</w:t>
      </w:r>
      <w:proofErr w:type="spellEnd"/>
      <w:r>
        <w:rPr>
          <w:sz w:val="20"/>
          <w:szCs w:val="20"/>
          <w:rtl/>
        </w:rPr>
        <w:t xml:space="preserve"> אחת. את דבריו של ר׳ </w:t>
      </w:r>
      <w:proofErr w:type="spellStart"/>
      <w:r>
        <w:rPr>
          <w:sz w:val="20"/>
          <w:szCs w:val="20"/>
          <w:rtl/>
        </w:rPr>
        <w:t>יצחק־אייזיק</w:t>
      </w:r>
      <w:proofErr w:type="spellEnd"/>
      <w:r>
        <w:rPr>
          <w:sz w:val="20"/>
          <w:szCs w:val="20"/>
          <w:rtl/>
        </w:rPr>
        <w:t xml:space="preserve"> הלוי אפשר היה לומר באותה מידה כבר אז.</w:t>
      </w:r>
    </w:p>
  </w:footnote>
  <w:footnote w:id="4024">
    <w:p w14:paraId="6AE957D3" w14:textId="77777777" w:rsidR="00AB3647" w:rsidRDefault="00000000">
      <w:pPr>
        <w:spacing w:after="0" w:before="0"/>
        <w:jc w:val="both"/>
      </w:pPr>
      <w:r>
        <w:rPr>
          <w:sz w:val="20"/>
          <w:szCs w:val="20"/>
          <w:rtl/>
        </w:rPr>
        <w:footnoteRef/>
      </w:r>
      <w:r>
        <w:rPr>
          <w:sz w:val="20"/>
          <w:szCs w:val="20"/>
          <w:rtl/>
        </w:rPr>
        <w:t>. לפי “הראשון”, עמ׳ 436.</w:t>
      </w:r>
    </w:p>
  </w:footnote>
  <w:footnote w:id="4025">
    <w:p w14:paraId="14DB1B36" w14:textId="77777777" w:rsidR="00AB3647" w:rsidRDefault="00000000">
      <w:pPr>
        <w:spacing w:after="0" w:before="0"/>
        <w:jc w:val="both"/>
      </w:pPr>
      <w:r>
        <w:rPr>
          <w:sz w:val="20"/>
          <w:szCs w:val="20"/>
          <w:rtl/>
        </w:rPr>
        <w:footnoteRef/>
      </w:r>
      <w:r>
        <w:rPr>
          <w:sz w:val="20"/>
          <w:szCs w:val="20"/>
          <w:rtl/>
        </w:rPr>
        <w:t xml:space="preserve">. דאגתו של </w:t>
      </w:r>
      <w:proofErr w:type="spellStart"/>
      <w:r>
        <w:rPr>
          <w:sz w:val="20"/>
          <w:szCs w:val="20"/>
          <w:rtl/>
        </w:rPr>
        <w:t>הנצי״ב</w:t>
      </w:r>
      <w:proofErr w:type="spellEnd"/>
      <w:r>
        <w:rPr>
          <w:sz w:val="20"/>
          <w:szCs w:val="20"/>
          <w:rtl/>
        </w:rPr>
        <w:t xml:space="preserve"> מפני ישיבות מתחרות ניכרת בעמ׳ ז של “פתח העמק”, המבוא </w:t>
      </w:r>
      <w:proofErr w:type="spellStart"/>
      <w:r>
        <w:rPr>
          <w:sz w:val="20"/>
          <w:szCs w:val="20"/>
          <w:rtl/>
        </w:rPr>
        <w:t>ל“העמק</w:t>
      </w:r>
      <w:proofErr w:type="spellEnd"/>
      <w:r>
        <w:rPr>
          <w:sz w:val="20"/>
          <w:szCs w:val="20"/>
          <w:rtl/>
        </w:rPr>
        <w:t xml:space="preserve"> שאלה”, פירושו הגדול על “שאילתות </w:t>
      </w:r>
      <w:proofErr w:type="spellStart"/>
      <w:r>
        <w:rPr>
          <w:sz w:val="20"/>
          <w:szCs w:val="20"/>
          <w:rtl/>
        </w:rPr>
        <w:t>דרב</w:t>
      </w:r>
      <w:proofErr w:type="spellEnd"/>
      <w:r>
        <w:rPr>
          <w:sz w:val="20"/>
          <w:szCs w:val="20"/>
          <w:rtl/>
        </w:rPr>
        <w:t xml:space="preserve"> </w:t>
      </w:r>
      <w:proofErr w:type="spellStart"/>
      <w:r>
        <w:rPr>
          <w:sz w:val="20"/>
          <w:szCs w:val="20"/>
          <w:rtl/>
        </w:rPr>
        <w:t>אחאי</w:t>
      </w:r>
      <w:proofErr w:type="spellEnd"/>
      <w:r>
        <w:rPr>
          <w:sz w:val="20"/>
          <w:szCs w:val="20"/>
          <w:rtl/>
        </w:rPr>
        <w:t xml:space="preserve"> גאון”. כשנאלץ רב </w:t>
      </w:r>
      <w:proofErr w:type="spellStart"/>
      <w:r>
        <w:rPr>
          <w:sz w:val="20"/>
          <w:szCs w:val="20"/>
          <w:rtl/>
        </w:rPr>
        <w:t>אחאי</w:t>
      </w:r>
      <w:proofErr w:type="spellEnd"/>
      <w:r>
        <w:rPr>
          <w:sz w:val="20"/>
          <w:szCs w:val="20"/>
          <w:rtl/>
        </w:rPr>
        <w:t xml:space="preserve"> גאון לעזוב את בבל, עבר ליישוב היהודי הקטן שהיה אז בארץ ישראל, ולא למרכז יהודי גדול אחר; </w:t>
      </w:r>
      <w:proofErr w:type="spellStart"/>
      <w:r>
        <w:rPr>
          <w:sz w:val="20"/>
          <w:szCs w:val="20"/>
          <w:rtl/>
        </w:rPr>
        <w:t>והנצי״ב</w:t>
      </w:r>
      <w:proofErr w:type="spellEnd"/>
      <w:r>
        <w:rPr>
          <w:sz w:val="20"/>
          <w:szCs w:val="20"/>
          <w:rtl/>
        </w:rPr>
        <w:t xml:space="preserve"> מייחס זאת שם </w:t>
      </w:r>
      <w:proofErr w:type="spellStart"/>
      <w:r>
        <w:rPr>
          <w:sz w:val="20"/>
          <w:szCs w:val="20"/>
          <w:rtl/>
        </w:rPr>
        <w:t>ל“חסידותו</w:t>
      </w:r>
      <w:proofErr w:type="spellEnd"/>
      <w:r>
        <w:rPr>
          <w:sz w:val="20"/>
          <w:szCs w:val="20"/>
          <w:rtl/>
        </w:rPr>
        <w:t xml:space="preserve"> וטבעו הטוב”: הוא לא רצה לגרוע ממעמדן של הישיבות בבבל בהקמת מרכז תורה מתחרה בקהילה יהודית גדולה אחרת.</w:t>
      </w:r>
    </w:p>
  </w:footnote>
  <w:footnote w:id="4026">
    <w:p w14:paraId="34AFAD47" w14:textId="77777777" w:rsidR="00AB3647" w:rsidRDefault="00000000">
      <w:pPr>
        <w:spacing w:after="0" w:before="0"/>
        <w:jc w:val="both"/>
      </w:pPr>
      <w:r>
        <w:rPr>
          <w:sz w:val="20"/>
          <w:szCs w:val="20"/>
          <w:rtl/>
        </w:rPr>
        <w:footnoteRef/>
      </w:r>
      <w:r>
        <w:rPr>
          <w:sz w:val="20"/>
          <w:szCs w:val="20"/>
          <w:rtl/>
        </w:rPr>
        <w:t>. עמ׳ 142–143, 186–188 ו־322.</w:t>
      </w:r>
    </w:p>
  </w:footnote>
  <w:footnote w:id="4027">
    <w:p w14:paraId="52973B48" w14:textId="77777777" w:rsidR="00AB3647" w:rsidRDefault="00000000">
      <w:pPr>
        <w:spacing w:after="0" w:before="0"/>
        <w:jc w:val="both"/>
      </w:pPr>
      <w:r>
        <w:rPr>
          <w:sz w:val="20"/>
          <w:szCs w:val="20"/>
          <w:rtl/>
        </w:rPr>
        <w:footnoteRef/>
      </w:r>
      <w:r>
        <w:rPr>
          <w:sz w:val="20"/>
          <w:szCs w:val="20"/>
          <w:rtl/>
        </w:rPr>
        <w:t xml:space="preserve">. משלחת </w:t>
      </w:r>
      <w:proofErr w:type="spellStart"/>
      <w:r>
        <w:rPr>
          <w:sz w:val="20"/>
          <w:szCs w:val="20"/>
          <w:rtl/>
        </w:rPr>
        <w:t>מקלויז</w:t>
      </w:r>
      <w:proofErr w:type="spellEnd"/>
      <w:r>
        <w:rPr>
          <w:sz w:val="20"/>
          <w:szCs w:val="20"/>
          <w:rtl/>
        </w:rPr>
        <w:t xml:space="preserve"> </w:t>
      </w:r>
      <w:proofErr w:type="spellStart"/>
      <w:r>
        <w:rPr>
          <w:sz w:val="20"/>
          <w:szCs w:val="20"/>
          <w:rtl/>
        </w:rPr>
        <w:t>בלומקה</w:t>
      </w:r>
      <w:proofErr w:type="spellEnd"/>
      <w:r>
        <w:rPr>
          <w:sz w:val="20"/>
          <w:szCs w:val="20"/>
          <w:rtl/>
        </w:rPr>
        <w:t xml:space="preserve"> במינסק באה אליו מיד כשהחליט לפרוש מכהונתו </w:t>
      </w:r>
      <w:proofErr w:type="spellStart"/>
      <w:r>
        <w:rPr>
          <w:sz w:val="20"/>
          <w:szCs w:val="20"/>
          <w:rtl/>
        </w:rPr>
        <w:t>בוולוז׳ין</w:t>
      </w:r>
      <w:proofErr w:type="spellEnd"/>
      <w:r>
        <w:rPr>
          <w:sz w:val="20"/>
          <w:szCs w:val="20"/>
          <w:rtl/>
        </w:rPr>
        <w:t xml:space="preserve">, </w:t>
      </w:r>
      <w:proofErr w:type="spellStart"/>
      <w:r>
        <w:rPr>
          <w:sz w:val="20"/>
          <w:szCs w:val="20"/>
          <w:rtl/>
        </w:rPr>
        <w:t>בתרכ״ג</w:t>
      </w:r>
      <w:proofErr w:type="spellEnd"/>
      <w:r>
        <w:rPr>
          <w:sz w:val="20"/>
          <w:szCs w:val="20"/>
          <w:rtl/>
        </w:rPr>
        <w:t xml:space="preserve">, והזמינה אותו לעמוד בראש הישיבה שלה. מיד כשקיבל עליו את רבנות </w:t>
      </w:r>
      <w:proofErr w:type="spellStart"/>
      <w:r>
        <w:rPr>
          <w:sz w:val="20"/>
          <w:szCs w:val="20"/>
          <w:rtl/>
        </w:rPr>
        <w:t>סלוצק</w:t>
      </w:r>
      <w:proofErr w:type="spellEnd"/>
      <w:r>
        <w:rPr>
          <w:sz w:val="20"/>
          <w:szCs w:val="20"/>
          <w:rtl/>
        </w:rPr>
        <w:t xml:space="preserve">, </w:t>
      </w:r>
      <w:proofErr w:type="spellStart"/>
      <w:r>
        <w:rPr>
          <w:sz w:val="20"/>
          <w:szCs w:val="20"/>
          <w:rtl/>
        </w:rPr>
        <w:t>בתרכ״ה</w:t>
      </w:r>
      <w:proofErr w:type="spellEnd"/>
      <w:r>
        <w:rPr>
          <w:sz w:val="20"/>
          <w:szCs w:val="20"/>
          <w:rtl/>
        </w:rPr>
        <w:t xml:space="preserve">, לחצו עליו ראשי הקהילה לפתוח ישיבה בעירם. ובני קהילת </w:t>
      </w:r>
      <w:proofErr w:type="spellStart"/>
      <w:r>
        <w:rPr>
          <w:sz w:val="20"/>
          <w:szCs w:val="20"/>
          <w:rtl/>
        </w:rPr>
        <w:t>בריסק</w:t>
      </w:r>
      <w:proofErr w:type="spellEnd"/>
      <w:r>
        <w:rPr>
          <w:sz w:val="20"/>
          <w:szCs w:val="20"/>
          <w:rtl/>
        </w:rPr>
        <w:t xml:space="preserve"> ביקשו לפתוח שם ישיבה </w:t>
      </w:r>
      <w:proofErr w:type="spellStart"/>
      <w:r>
        <w:rPr>
          <w:sz w:val="20"/>
          <w:szCs w:val="20"/>
          <w:rtl/>
        </w:rPr>
        <w:t>בתר״מ</w:t>
      </w:r>
      <w:proofErr w:type="spellEnd"/>
      <w:r>
        <w:rPr>
          <w:sz w:val="20"/>
          <w:szCs w:val="20"/>
          <w:rtl/>
        </w:rPr>
        <w:t>, כאמור לעיל.</w:t>
      </w:r>
    </w:p>
  </w:footnote>
  <w:footnote w:id="4028">
    <w:p w14:paraId="0ECA25BB" w14:textId="77777777" w:rsidR="00AB3647" w:rsidRDefault="00000000">
      <w:pPr>
        <w:spacing w:after="0" w:before="0"/>
        <w:jc w:val="both"/>
      </w:pPr>
      <w:r>
        <w:rPr>
          <w:sz w:val="20"/>
          <w:szCs w:val="20"/>
          <w:rtl/>
        </w:rPr>
        <w:footnoteRef/>
      </w:r>
      <w:r>
        <w:rPr>
          <w:sz w:val="20"/>
          <w:szCs w:val="20"/>
          <w:rtl/>
        </w:rPr>
        <w:t>. לפי יעקב מארק, הפסקה השנייה בנספח ח לעיל, עמ׳ 57.</w:t>
      </w:r>
    </w:p>
  </w:footnote>
  <w:footnote w:id="4029">
    <w:p w14:paraId="7C1631F9" w14:textId="77777777" w:rsidR="00AB3647" w:rsidRDefault="00000000">
      <w:pPr>
        <w:spacing w:after="0" w:before="0"/>
        <w:jc w:val="both"/>
      </w:pPr>
      <w:r>
        <w:rPr>
          <w:sz w:val="20"/>
          <w:szCs w:val="20"/>
          <w:rtl/>
        </w:rPr>
        <w:footnoteRef/>
      </w:r>
      <w:r>
        <w:rPr>
          <w:sz w:val="20"/>
          <w:szCs w:val="20"/>
          <w:rtl/>
        </w:rPr>
        <w:t xml:space="preserve">. נוסח זה של האמרה מסר ר׳ ישראל גרבר, שהתחנך באירופה, ב־13 באפריל 1998. נוסח אחר, ברור יותר – “החתן שלי יודע ללמוד טוב יותר מן החתן שלך” – מסר באותו יום ר׳ שלמה פישר, שהתחנך בארץ ישראל. שני המרואיינים לא ידעו לומר באיזו הזדמנות אמר ר׳ רפאל את הדברים. אין זה סביר שהייתה זו רק בדיחה של רגע, שבה התגאה ר׳ רפאל שבחר חתנים טובים משבחר </w:t>
      </w:r>
      <w:proofErr w:type="spellStart"/>
      <w:r>
        <w:rPr>
          <w:sz w:val="20"/>
          <w:szCs w:val="20"/>
          <w:rtl/>
        </w:rPr>
        <w:t>הנצי״ב</w:t>
      </w:r>
      <w:proofErr w:type="spellEnd"/>
      <w:r>
        <w:rPr>
          <w:sz w:val="20"/>
          <w:szCs w:val="20"/>
          <w:rtl/>
        </w:rPr>
        <w:t xml:space="preserve">, שהרי </w:t>
      </w:r>
      <w:proofErr w:type="spellStart"/>
      <w:r>
        <w:rPr>
          <w:sz w:val="20"/>
          <w:szCs w:val="20"/>
          <w:rtl/>
        </w:rPr>
        <w:t>הנצי״ב</w:t>
      </w:r>
      <w:proofErr w:type="spellEnd"/>
      <w:r>
        <w:rPr>
          <w:sz w:val="20"/>
          <w:szCs w:val="20"/>
          <w:rtl/>
        </w:rPr>
        <w:t xml:space="preserve"> הוא שזקף לזכותו את הבחירה בר׳ חיים לנכדתו, כמובא בתחילת הפסקה הבאה.</w:t>
      </w:r>
    </w:p>
  </w:footnote>
  <w:footnote w:id="4030">
    <w:p w14:paraId="7A8822C0" w14:textId="77777777" w:rsidR="00AB3647" w:rsidRDefault="00000000">
      <w:pPr>
        <w:spacing w:after="0" w:before="0"/>
        <w:jc w:val="both"/>
      </w:pPr>
      <w:r>
        <w:rPr>
          <w:sz w:val="20"/>
          <w:szCs w:val="20"/>
          <w:rtl/>
        </w:rPr>
        <w:footnoteRef/>
      </w:r>
      <w:r>
        <w:rPr>
          <w:sz w:val="20"/>
          <w:szCs w:val="20"/>
          <w:rtl/>
        </w:rPr>
        <w:t xml:space="preserve">. נדפס בווילנה, תרע״ג.</w:t>
      </w:r>
    </w:p>
  </w:footnote>
  <w:footnote w:id="4031">
    <w:p w14:paraId="53AA2559" w14:textId="77777777" w:rsidR="00AB3647" w:rsidRDefault="00000000">
      <w:pPr>
        <w:spacing w:after="0" w:before="0"/>
        <w:jc w:val="both"/>
      </w:pPr>
      <w:r>
        <w:rPr>
          <w:sz w:val="20"/>
          <w:szCs w:val="20"/>
          <w:rtl/>
        </w:rPr>
        <w:footnoteRef/>
      </w:r>
      <w:r>
        <w:rPr>
          <w:sz w:val="20"/>
          <w:szCs w:val="20"/>
          <w:rtl/>
        </w:rPr>
        <w:t xml:space="preserve">. ראה להלן, הפסקה הראשונה בנספח </w:t>
      </w:r>
      <w:proofErr w:type="spellStart"/>
      <w:r>
        <w:rPr>
          <w:sz w:val="20"/>
          <w:szCs w:val="20"/>
          <w:rtl/>
        </w:rPr>
        <w:t>יב</w:t>
      </w:r>
      <w:proofErr w:type="spellEnd"/>
      <w:r>
        <w:rPr>
          <w:sz w:val="20"/>
          <w:szCs w:val="20"/>
          <w:rtl/>
        </w:rPr>
        <w:t>: “באותם ימים היה מעמדו של ראש ישיבה נמוך ממעמדו של רב.”</w:t>
      </w:r>
    </w:p>
  </w:footnote>
  <w:footnote w:id="4032">
    <w:p w14:paraId="41679C13" w14:textId="77777777" w:rsidR="00AB3647" w:rsidRDefault="00000000">
      <w:pPr>
        <w:spacing w:after="0" w:before="0"/>
        <w:jc w:val="both"/>
      </w:pPr>
      <w:r>
        <w:rPr>
          <w:sz w:val="20"/>
          <w:szCs w:val="20"/>
          <w:rtl/>
        </w:rPr>
        <w:footnoteRef/>
      </w:r>
      <w:r>
        <w:rPr>
          <w:sz w:val="20"/>
          <w:szCs w:val="20"/>
          <w:rtl/>
        </w:rPr>
        <w:t xml:space="preserve">. תאריך זה מתיישב גם עם הציטוט </w:t>
      </w:r>
      <w:proofErr w:type="spellStart"/>
      <w:r>
        <w:rPr>
          <w:sz w:val="20"/>
          <w:szCs w:val="20"/>
          <w:rtl/>
        </w:rPr>
        <w:t>מ“תשובות</w:t>
      </w:r>
      <w:proofErr w:type="spellEnd"/>
      <w:r>
        <w:rPr>
          <w:sz w:val="20"/>
          <w:szCs w:val="20"/>
          <w:rtl/>
        </w:rPr>
        <w:t xml:space="preserve"> אחיעזר” שנזכר בפרק 3, הפסקה החמישית בנספח </w:t>
      </w:r>
      <w:proofErr w:type="spellStart"/>
      <w:r>
        <w:rPr>
          <w:sz w:val="20"/>
          <w:szCs w:val="20"/>
          <w:rtl/>
        </w:rPr>
        <w:t>יח</w:t>
      </w:r>
      <w:proofErr w:type="spellEnd"/>
      <w:r>
        <w:rPr>
          <w:sz w:val="20"/>
          <w:szCs w:val="20"/>
          <w:rtl/>
        </w:rPr>
        <w:t xml:space="preserve">. ראה גם פרק 3, תחילת נספח י, שם אני מסכים עם “אישים ושיטות” לגבי השנה שבה התחיל ר׳ חיים למסור שיעורים. אבל כפי שמוכח מקופסת האתרוג, ומכך שר׳ לוי שפירא – שפטירתו פתחה את שרשרת המינויים שהסתיימה במינוי ר׳ חיים </w:t>
      </w:r>
      <w:proofErr w:type="spellStart"/>
      <w:r>
        <w:rPr>
          <w:sz w:val="20"/>
          <w:szCs w:val="20"/>
          <w:rtl/>
        </w:rPr>
        <w:t>בוולוז׳ין</w:t>
      </w:r>
      <w:proofErr w:type="spellEnd"/>
      <w:r>
        <w:rPr>
          <w:sz w:val="20"/>
          <w:szCs w:val="20"/>
          <w:rtl/>
        </w:rPr>
        <w:t xml:space="preserve"> – נפטר רק באביב תר״מ, הקביעה </w:t>
      </w:r>
      <w:proofErr w:type="spellStart"/>
      <w:r>
        <w:rPr>
          <w:sz w:val="20"/>
          <w:szCs w:val="20"/>
          <w:rtl/>
        </w:rPr>
        <w:t>ב“אישים</w:t>
      </w:r>
      <w:proofErr w:type="spellEnd"/>
      <w:r>
        <w:rPr>
          <w:sz w:val="20"/>
          <w:szCs w:val="20"/>
          <w:rtl/>
        </w:rPr>
        <w:t xml:space="preserve"> ושיטות” שר׳ חיים “מסר את שיעוריו הנפלאים </w:t>
      </w:r>
      <w:proofErr w:type="spellStart"/>
      <w:r>
        <w:rPr>
          <w:sz w:val="20"/>
          <w:szCs w:val="20"/>
          <w:rtl/>
        </w:rPr>
        <w:t>שתים־עשרה</w:t>
      </w:r>
      <w:proofErr w:type="spellEnd"/>
      <w:r>
        <w:rPr>
          <w:sz w:val="20"/>
          <w:szCs w:val="20"/>
          <w:rtl/>
        </w:rPr>
        <w:t xml:space="preserve"> שנים רצופות” מוגזמת מעט. ר׳ חיים מונה בקיץ תר״מ, </w:t>
      </w:r>
      <w:proofErr w:type="spellStart"/>
      <w:r>
        <w:rPr>
          <w:sz w:val="20"/>
          <w:szCs w:val="20"/>
          <w:rtl/>
        </w:rPr>
        <w:t>ווולוז׳ין</w:t>
      </w:r>
      <w:proofErr w:type="spellEnd"/>
      <w:r>
        <w:rPr>
          <w:sz w:val="20"/>
          <w:szCs w:val="20"/>
          <w:rtl/>
        </w:rPr>
        <w:t xml:space="preserve"> נסגרה בחורף תרנ״ב; לכן מספר שנות הוראתו </w:t>
      </w:r>
      <w:proofErr w:type="spellStart"/>
      <w:r>
        <w:rPr>
          <w:sz w:val="20"/>
          <w:szCs w:val="20"/>
          <w:rtl/>
        </w:rPr>
        <w:t>בוולוז׳ין</w:t>
      </w:r>
      <w:proofErr w:type="spellEnd"/>
      <w:r>
        <w:rPr>
          <w:sz w:val="20"/>
          <w:szCs w:val="20"/>
          <w:rtl/>
        </w:rPr>
        <w:t xml:space="preserve"> קרוב יותר </w:t>
      </w:r>
      <w:proofErr w:type="spellStart"/>
      <w:r>
        <w:rPr>
          <w:sz w:val="20"/>
          <w:szCs w:val="20"/>
          <w:rtl/>
        </w:rPr>
        <w:t>לאחת־עשרה</w:t>
      </w:r>
      <w:proofErr w:type="spellEnd"/>
      <w:r>
        <w:rPr>
          <w:sz w:val="20"/>
          <w:szCs w:val="20"/>
          <w:rtl/>
        </w:rPr>
        <w:t xml:space="preserve"> וחצי.</w:t>
      </w:r>
    </w:p>
    <w:p w14:paraId="3EDB6F73" w14:textId="77777777" w:rsidR="00AB3647" w:rsidRDefault="00000000">
      <w:pPr>
        <w:spacing w:after="0" w:before="0"/>
        <w:jc w:val="both"/>
      </w:pPr>
      <w:r>
        <w:rPr>
          <w:sz w:val="20"/>
          <w:szCs w:val="20"/>
          <w:rtl/>
        </w:rPr>
        <w:t xml:space="preserve">גם יעקב מארק, עמ׳ 56, נותן את המספר הלא מדויק </w:t>
      </w:r>
      <w:proofErr w:type="spellStart"/>
      <w:r>
        <w:rPr>
          <w:sz w:val="20"/>
          <w:szCs w:val="20"/>
          <w:rtl/>
        </w:rPr>
        <w:t>שתים־עשרה</w:t>
      </w:r>
      <w:proofErr w:type="spellEnd"/>
      <w:r>
        <w:rPr>
          <w:sz w:val="20"/>
          <w:szCs w:val="20"/>
          <w:rtl/>
        </w:rPr>
        <w:t>. “</w:t>
      </w:r>
      <w:proofErr w:type="spellStart"/>
      <w:r>
        <w:rPr>
          <w:sz w:val="20"/>
          <w:szCs w:val="20"/>
          <w:rtl/>
        </w:rPr>
        <w:t>אהלי</w:t>
      </w:r>
      <w:proofErr w:type="spellEnd"/>
      <w:r>
        <w:rPr>
          <w:sz w:val="20"/>
          <w:szCs w:val="20"/>
          <w:rtl/>
        </w:rPr>
        <w:t xml:space="preserve"> שם” (ראה להלן) מגזים מעט כשהוא כותב: “ומשך י״ב שנים הרביץ שמה [</w:t>
      </w:r>
      <w:proofErr w:type="spellStart"/>
      <w:r>
        <w:rPr>
          <w:sz w:val="20"/>
          <w:szCs w:val="20"/>
          <w:rtl/>
        </w:rPr>
        <w:t>בוולוז׳ין</w:t>
      </w:r>
      <w:proofErr w:type="spellEnd"/>
      <w:r>
        <w:rPr>
          <w:sz w:val="20"/>
          <w:szCs w:val="20"/>
          <w:rtl/>
        </w:rPr>
        <w:t xml:space="preserve">] תורה”, ומונה את התקופה ממינויו שם “בשנת תר״מ בערך” עד מינויו </w:t>
      </w:r>
      <w:proofErr w:type="spellStart"/>
      <w:r>
        <w:rPr>
          <w:sz w:val="20"/>
          <w:szCs w:val="20"/>
          <w:rtl/>
        </w:rPr>
        <w:t>בבריסק</w:t>
      </w:r>
      <w:proofErr w:type="spellEnd"/>
      <w:r>
        <w:rPr>
          <w:sz w:val="20"/>
          <w:szCs w:val="20"/>
          <w:rtl/>
        </w:rPr>
        <w:t xml:space="preserve"> “בשנת תרנ״ב”, שלושה חודשים אחרי סגירת הישיבה. בהנחה שר׳ חיים התחיל למסור שיעורים בתמוז תר״מ, אפילו תקופה זו חסרה חודשיים </w:t>
      </w:r>
      <w:proofErr w:type="spellStart"/>
      <w:r>
        <w:rPr>
          <w:sz w:val="20"/>
          <w:szCs w:val="20"/>
          <w:rtl/>
        </w:rPr>
        <w:t>משתים־עשרה</w:t>
      </w:r>
      <w:proofErr w:type="spellEnd"/>
      <w:r>
        <w:rPr>
          <w:sz w:val="20"/>
          <w:szCs w:val="20"/>
          <w:rtl/>
        </w:rPr>
        <w:t xml:space="preserve"> שנים מלאות.</w:t>
      </w:r>
    </w:p>
  </w:footnote>
  <w:footnote w:id="4033">
    <w:p w14:paraId="034F73DC" w14:textId="77777777" w:rsidR="00AB3647" w:rsidRDefault="00000000">
      <w:pPr>
        <w:spacing w:after="0" w:before="0"/>
        <w:jc w:val="both"/>
      </w:pPr>
      <w:r>
        <w:rPr>
          <w:sz w:val="20"/>
          <w:szCs w:val="20"/>
          <w:rtl/>
        </w:rPr>
        <w:footnoteRef/>
      </w:r>
      <w:r>
        <w:rPr>
          <w:sz w:val="20"/>
          <w:szCs w:val="20"/>
          <w:rtl/>
        </w:rPr>
        <w:t>. נדפס בירושלים, תש״ג.</w:t>
      </w:r>
    </w:p>
  </w:footnote>
  <w:footnote w:id="4034">
    <w:p w14:paraId="1A1C73AD" w14:textId="77777777" w:rsidR="00AB3647" w:rsidRDefault="00000000">
      <w:pPr>
        <w:spacing w:after="0" w:before="0"/>
        <w:jc w:val="both"/>
      </w:pPr>
      <w:r>
        <w:rPr>
          <w:sz w:val="20"/>
          <w:szCs w:val="20"/>
          <w:rtl/>
        </w:rPr>
        <w:footnoteRef/>
      </w:r>
      <w:r>
        <w:rPr>
          <w:sz w:val="20"/>
          <w:szCs w:val="20"/>
          <w:rtl/>
        </w:rPr>
        <w:t>. להרחבה ראה פרק 5, הפסקה הרביעית בנספח ו.</w:t>
      </w:r>
    </w:p>
  </w:footnote>
  <w:footnote w:id="4035">
    <w:p w14:paraId="508E6288" w14:textId="77777777" w:rsidR="00AB3647" w:rsidRDefault="00000000">
      <w:pPr>
        <w:spacing w:after="0" w:before="0"/>
        <w:jc w:val="both"/>
      </w:pPr>
      <w:r>
        <w:rPr>
          <w:sz w:val="20"/>
          <w:szCs w:val="20"/>
          <w:rtl/>
        </w:rPr>
        <w:footnoteRef/>
      </w:r>
      <w:r>
        <w:rPr>
          <w:sz w:val="20"/>
          <w:szCs w:val="20"/>
          <w:rtl/>
        </w:rPr>
        <w:t xml:space="preserve">. השיעורים לא התחילו </w:t>
      </w:r>
      <w:proofErr w:type="spellStart"/>
      <w:r>
        <w:rPr>
          <w:sz w:val="20"/>
          <w:szCs w:val="20"/>
          <w:rtl/>
        </w:rPr>
        <w:t>בתרמ״א</w:t>
      </w:r>
      <w:proofErr w:type="spellEnd"/>
      <w:r>
        <w:rPr>
          <w:sz w:val="20"/>
          <w:szCs w:val="20"/>
          <w:rtl/>
        </w:rPr>
        <w:t>, בסוף 1880 או ב־1881, כפי שהדפיסו המוציאים לאור בשער “שיעורי רבנו חיים הלוי”.</w:t>
      </w:r>
    </w:p>
  </w:footnote>
  <w:footnote w:id="4036">
    <w:p w14:paraId="0166CC1C" w14:textId="77777777" w:rsidR="00AB3647" w:rsidRDefault="00000000">
      <w:pPr>
        <w:spacing w:after="0" w:before="0"/>
        <w:jc w:val="both"/>
      </w:pPr>
      <w:r>
        <w:rPr>
          <w:sz w:val="20"/>
          <w:szCs w:val="20"/>
          <w:rtl/>
        </w:rPr>
        <w:footnoteRef/>
      </w:r>
      <w:r>
        <w:rPr>
          <w:sz w:val="20"/>
          <w:szCs w:val="20"/>
          <w:rtl/>
        </w:rPr>
        <w:t xml:space="preserve">. “נערך ונסדר ויוצא לאור ע״י... שמואל נח... </w:t>
      </w:r>
      <w:proofErr w:type="spellStart"/>
      <w:r>
        <w:rPr>
          <w:sz w:val="20"/>
          <w:szCs w:val="20"/>
          <w:rtl/>
        </w:rPr>
        <w:t>גאטליב</w:t>
      </w:r>
      <w:proofErr w:type="spellEnd"/>
      <w:r>
        <w:rPr>
          <w:sz w:val="20"/>
          <w:szCs w:val="20"/>
          <w:rtl/>
        </w:rPr>
        <w:t xml:space="preserve"> </w:t>
      </w:r>
      <w:proofErr w:type="spellStart"/>
      <w:r>
        <w:rPr>
          <w:sz w:val="20"/>
          <w:szCs w:val="20"/>
          <w:rtl/>
        </w:rPr>
        <w:t>מפינסק</w:t>
      </w:r>
      <w:proofErr w:type="spellEnd"/>
      <w:r>
        <w:rPr>
          <w:sz w:val="20"/>
          <w:szCs w:val="20"/>
          <w:rtl/>
        </w:rPr>
        <w:t xml:space="preserve">”; נדפס </w:t>
      </w:r>
      <w:proofErr w:type="spellStart"/>
      <w:r>
        <w:rPr>
          <w:sz w:val="20"/>
          <w:szCs w:val="20"/>
          <w:rtl/>
        </w:rPr>
        <w:t>בפינסק</w:t>
      </w:r>
      <w:proofErr w:type="spellEnd"/>
      <w:r>
        <w:rPr>
          <w:sz w:val="20"/>
          <w:szCs w:val="20"/>
          <w:rtl/>
        </w:rPr>
        <w:t>, תרע״ב.</w:t>
      </w:r>
    </w:p>
  </w:footnote>
  <w:footnote w:id="4037">
    <w:p w14:paraId="5FB0F356" w14:textId="77777777" w:rsidR="00AB3647" w:rsidRDefault="00000000">
      <w:pPr>
        <w:spacing w:after="0" w:before="0"/>
        <w:jc w:val="both"/>
      </w:pPr>
      <w:r>
        <w:rPr>
          <w:sz w:val="20"/>
          <w:szCs w:val="20"/>
          <w:rtl/>
        </w:rPr>
        <w:footnoteRef/>
      </w:r>
      <w:r>
        <w:rPr>
          <w:sz w:val="20"/>
          <w:szCs w:val="20"/>
          <w:rtl/>
        </w:rPr>
        <w:t>. בעמ׳ 29.</w:t>
      </w:r>
    </w:p>
  </w:footnote>
  <w:footnote w:id="4038">
    <w:p w14:paraId="227407AE" w14:textId="77777777" w:rsidR="00AB3647" w:rsidRDefault="00000000">
      <w:pPr>
        <w:spacing w:after="0" w:before="0"/>
        <w:jc w:val="both"/>
      </w:pPr>
      <w:r>
        <w:rPr>
          <w:sz w:val="20"/>
          <w:szCs w:val="20"/>
          <w:rtl/>
        </w:rPr>
        <w:footnoteRef/>
      </w:r>
      <w:r>
        <w:rPr>
          <w:sz w:val="20"/>
          <w:szCs w:val="20"/>
          <w:rtl/>
        </w:rPr>
        <w:t xml:space="preserve">. ברור שר׳ חיים קרא את שלוש הפסקאות שהוקדשו לו לפני שנדפסו, שכן בפסקה הראשונה מציין העורך, ר׳ </w:t>
      </w:r>
      <w:proofErr w:type="spellStart"/>
      <w:r>
        <w:rPr>
          <w:sz w:val="20"/>
          <w:szCs w:val="20"/>
          <w:rtl/>
        </w:rPr>
        <w:t>שמואל־נח</w:t>
      </w:r>
      <w:proofErr w:type="spellEnd"/>
      <w:r>
        <w:rPr>
          <w:sz w:val="20"/>
          <w:szCs w:val="20"/>
          <w:rtl/>
        </w:rPr>
        <w:t xml:space="preserve"> גוטליב, בארבע שורות בסוגריים החתומות “העורך”: “הרבה יש לנו לרצות מרוחב בינתו ועמקות שכלו של הגאון הכביר הזה </w:t>
      </w:r>
      <w:proofErr w:type="spellStart"/>
      <w:r>
        <w:rPr>
          <w:sz w:val="20"/>
          <w:szCs w:val="20"/>
          <w:rtl/>
        </w:rPr>
        <w:t>וכו</w:t>
      </w:r>
      <w:proofErr w:type="spellEnd"/>
      <w:r>
        <w:rPr>
          <w:sz w:val="20"/>
          <w:szCs w:val="20"/>
          <w:rtl/>
        </w:rPr>
        <w:t>׳, אבל, לצערנו, אנוסים אנחנו עפ״י אזהרתו של גאון ישראל זה... להבליג על אדיר חפצנו זה.” ר׳ חיים אף נתן לספר הסכמה נלהבת.</w:t>
      </w:r>
    </w:p>
  </w:footnote>
  <w:footnote w:id="4039">
    <w:p w14:paraId="5857708E" w14:textId="77777777" w:rsidR="00AB3647" w:rsidRDefault="00000000">
      <w:pPr>
        <w:spacing w:after="0" w:before="0"/>
        <w:jc w:val="both"/>
      </w:pPr>
      <w:r>
        <w:rPr>
          <w:sz w:val="20"/>
          <w:szCs w:val="20"/>
          <w:rtl/>
        </w:rPr>
        <w:footnoteRef/>
      </w:r>
      <w:r>
        <w:rPr>
          <w:sz w:val="20"/>
          <w:szCs w:val="20"/>
          <w:rtl/>
        </w:rPr>
        <w:t xml:space="preserve">. הערה 70 לעיל, עמ׳ 348. הספר, שנדפס ב־1991, קורא </w:t>
      </w:r>
      <w:proofErr w:type="spellStart"/>
      <w:r>
        <w:rPr>
          <w:sz w:val="20"/>
          <w:szCs w:val="20"/>
          <w:rtl/>
        </w:rPr>
        <w:t>לנובו־אלכסנדרובסק</w:t>
      </w:r>
      <w:proofErr w:type="spellEnd"/>
      <w:r>
        <w:rPr>
          <w:sz w:val="20"/>
          <w:szCs w:val="20"/>
          <w:rtl/>
        </w:rPr>
        <w:t xml:space="preserve"> בשמה היידי המקורי, </w:t>
      </w:r>
      <w:proofErr w:type="spellStart"/>
      <w:r>
        <w:rPr>
          <w:sz w:val="20"/>
          <w:szCs w:val="20"/>
          <w:rtl/>
        </w:rPr>
        <w:t>עז׳רני</w:t>
      </w:r>
      <w:proofErr w:type="spellEnd"/>
      <w:r>
        <w:rPr>
          <w:sz w:val="20"/>
          <w:szCs w:val="20"/>
          <w:rtl/>
        </w:rPr>
        <w:t xml:space="preserve"> (בליטאית: </w:t>
      </w:r>
      <w:proofErr w:type="spellStart"/>
      <w:r>
        <w:rPr>
          <w:sz w:val="20"/>
          <w:szCs w:val="20"/>
          <w:rtl/>
        </w:rPr>
        <w:t>עז׳רס</w:t>
      </w:r>
      <w:proofErr w:type="spellEnd"/>
      <w:r>
        <w:rPr>
          <w:sz w:val="20"/>
          <w:szCs w:val="20"/>
          <w:rtl/>
        </w:rPr>
        <w:t xml:space="preserve">), שהוחזר לה אחרי מלחמת העולם הראשונה, כשליטא זכתה בעצמאות מרוסיה. בשנת תקצ״ו נקראה העיר </w:t>
      </w:r>
      <w:proofErr w:type="spellStart"/>
      <w:r>
        <w:rPr>
          <w:sz w:val="20"/>
          <w:szCs w:val="20"/>
          <w:rtl/>
        </w:rPr>
        <w:t>נובו־אלכסנדרובסק</w:t>
      </w:r>
      <w:proofErr w:type="spellEnd"/>
      <w:r>
        <w:rPr>
          <w:sz w:val="20"/>
          <w:szCs w:val="20"/>
          <w:rtl/>
        </w:rPr>
        <w:t xml:space="preserve"> על שם הצאר אלכסנדר הראשון, שנפטר </w:t>
      </w:r>
      <w:proofErr w:type="spellStart"/>
      <w:r>
        <w:rPr>
          <w:sz w:val="20"/>
          <w:szCs w:val="20"/>
          <w:rtl/>
        </w:rPr>
        <w:t>אחת־עשרה</w:t>
      </w:r>
      <w:proofErr w:type="spellEnd"/>
      <w:r>
        <w:rPr>
          <w:sz w:val="20"/>
          <w:szCs w:val="20"/>
          <w:rtl/>
        </w:rPr>
        <w:t xml:space="preserve"> שנים קודם לכן. בערל </w:t>
      </w:r>
      <w:proofErr w:type="spellStart"/>
      <w:r>
        <w:rPr>
          <w:sz w:val="20"/>
          <w:szCs w:val="20"/>
          <w:rtl/>
        </w:rPr>
        <w:t>קגן</w:t>
      </w:r>
      <w:proofErr w:type="spellEnd"/>
      <w:r>
        <w:rPr>
          <w:sz w:val="20"/>
          <w:szCs w:val="20"/>
          <w:rtl/>
        </w:rPr>
        <w:t xml:space="preserve">, עמ׳ 346, מספר “בדיחה, ואולי סיפור אמיתי” על איכר שעבר לפני התיבה ואמר “צור ישראל קומה </w:t>
      </w:r>
      <w:proofErr w:type="spellStart"/>
      <w:r>
        <w:rPr>
          <w:sz w:val="20"/>
          <w:szCs w:val="20"/>
          <w:rtl/>
        </w:rPr>
        <w:t>בנובו־אלכסנדראוסק</w:t>
      </w:r>
      <w:proofErr w:type="spellEnd"/>
      <w:r>
        <w:rPr>
          <w:sz w:val="20"/>
          <w:szCs w:val="20"/>
          <w:rtl/>
        </w:rPr>
        <w:t xml:space="preserve"> ישראל” במקום “צור ישראל קומה בעזרת ישראל”: הוא פחד להמרות את הצו לכבד את הצאר המנוח אלכסנדר בשינוי שם העיר </w:t>
      </w:r>
      <w:proofErr w:type="spellStart"/>
      <w:r>
        <w:rPr>
          <w:sz w:val="20"/>
          <w:szCs w:val="20"/>
          <w:rtl/>
        </w:rPr>
        <w:t>עז׳רס</w:t>
      </w:r>
      <w:proofErr w:type="spellEnd"/>
      <w:r>
        <w:rPr>
          <w:sz w:val="20"/>
          <w:szCs w:val="20"/>
          <w:rtl/>
        </w:rPr>
        <w:t xml:space="preserve"> – בהגייה </w:t>
      </w:r>
      <w:proofErr w:type="spellStart"/>
      <w:r>
        <w:rPr>
          <w:sz w:val="20"/>
          <w:szCs w:val="20"/>
          <w:rtl/>
        </w:rPr>
        <w:t>הליטאית־יהודית</w:t>
      </w:r>
      <w:proofErr w:type="spellEnd"/>
      <w:r>
        <w:rPr>
          <w:sz w:val="20"/>
          <w:szCs w:val="20"/>
          <w:rtl/>
        </w:rPr>
        <w:t xml:space="preserve">, שאין בה שי״ן, </w:t>
      </w:r>
      <w:proofErr w:type="spellStart"/>
      <w:r>
        <w:rPr>
          <w:sz w:val="20"/>
          <w:szCs w:val="20"/>
          <w:rtl/>
        </w:rPr>
        <w:t>עזרס</w:t>
      </w:r>
      <w:proofErr w:type="spellEnd"/>
      <w:r>
        <w:rPr>
          <w:sz w:val="20"/>
          <w:szCs w:val="20"/>
          <w:rtl/>
        </w:rPr>
        <w:t xml:space="preserve"> – ולכן שינה גם את המילה “עזרת” שבנוסח התפילה </w:t>
      </w:r>
      <w:proofErr w:type="spellStart"/>
      <w:r>
        <w:rPr>
          <w:sz w:val="20"/>
          <w:szCs w:val="20"/>
          <w:rtl/>
        </w:rPr>
        <w:t>ל“נובו־אלכסנדרובסק</w:t>
      </w:r>
      <w:proofErr w:type="spellEnd"/>
      <w:r>
        <w:rPr>
          <w:sz w:val="20"/>
          <w:szCs w:val="20"/>
          <w:rtl/>
        </w:rPr>
        <w:t>”.</w:t>
      </w:r>
    </w:p>
  </w:footnote>
  <w:footnote w:id="4040">
    <w:p w14:paraId="2D85E954" w14:textId="77777777" w:rsidR="00AB3647" w:rsidRDefault="00000000">
      <w:pPr>
        <w:spacing w:after="0" w:before="0"/>
        <w:jc w:val="both"/>
      </w:pPr>
      <w:r>
        <w:rPr>
          <w:sz w:val="20"/>
          <w:szCs w:val="20"/>
          <w:rtl/>
        </w:rPr>
        <w:footnoteRef/>
      </w:r>
      <w:r>
        <w:rPr>
          <w:sz w:val="20"/>
          <w:szCs w:val="20"/>
          <w:rtl/>
        </w:rPr>
        <w:t xml:space="preserve">. ראה פרק 3, הערה 15. כל ששת בניו של ר׳ </w:t>
      </w:r>
      <w:proofErr w:type="spellStart"/>
      <w:r>
        <w:rPr>
          <w:sz w:val="20"/>
          <w:szCs w:val="20"/>
          <w:rtl/>
        </w:rPr>
        <w:t>לייבל׳ה</w:t>
      </w:r>
      <w:proofErr w:type="spellEnd"/>
      <w:r>
        <w:rPr>
          <w:sz w:val="20"/>
          <w:szCs w:val="20"/>
          <w:rtl/>
        </w:rPr>
        <w:t xml:space="preserve"> שימשו רבנים בליטא.</w:t>
      </w:r>
    </w:p>
  </w:footnote>
  <w:footnote w:id="4041">
    <w:p w14:paraId="05550B05" w14:textId="77777777" w:rsidR="00AB3647" w:rsidRDefault="00000000">
      <w:pPr>
        <w:spacing w:after="0" w:before="0"/>
        <w:jc w:val="both"/>
      </w:pPr>
      <w:r>
        <w:rPr>
          <w:sz w:val="20"/>
          <w:szCs w:val="20"/>
          <w:rtl/>
        </w:rPr>
        <w:footnoteRef/>
      </w:r>
      <w:r>
        <w:rPr>
          <w:sz w:val="20"/>
          <w:szCs w:val="20"/>
          <w:rtl/>
        </w:rPr>
        <w:t>. כרך א, עמ׳ 25.</w:t>
      </w:r>
    </w:p>
  </w:footnote>
  <w:footnote w:id="4042">
    <w:p w14:paraId="2A946794" w14:textId="77777777" w:rsidR="00AB3647" w:rsidRDefault="00000000">
      <w:pPr>
        <w:spacing w:after="0" w:before="0"/>
        <w:jc w:val="both"/>
      </w:pPr>
      <w:r>
        <w:rPr>
          <w:sz w:val="20"/>
          <w:szCs w:val="20"/>
          <w:rtl/>
        </w:rPr>
        <w:footnoteRef/>
      </w:r>
      <w:r>
        <w:rPr>
          <w:sz w:val="20"/>
          <w:szCs w:val="20"/>
          <w:rtl/>
        </w:rPr>
        <w:t xml:space="preserve">. פורים אינו נזכר כיום שבו דילגו על השיעור. ראה גם הערה 147 לעיל: </w:t>
      </w:r>
      <w:proofErr w:type="spellStart"/>
      <w:r>
        <w:rPr>
          <w:sz w:val="20"/>
          <w:szCs w:val="20"/>
          <w:rtl/>
        </w:rPr>
        <w:t>בסלבודקה</w:t>
      </w:r>
      <w:proofErr w:type="spellEnd"/>
      <w:r>
        <w:rPr>
          <w:sz w:val="20"/>
          <w:szCs w:val="20"/>
          <w:rtl/>
        </w:rPr>
        <w:t xml:space="preserve"> נערך סדר לימוד רגיל בבוקר פורים לאחר קריאת המגילה.</w:t>
      </w:r>
    </w:p>
  </w:footnote>
  <w:footnote w:id="4043">
    <w:p w14:paraId="1A566B6A" w14:textId="77777777" w:rsidR="00AB3647" w:rsidRDefault="00000000">
      <w:pPr>
        <w:spacing w:after="0" w:before="0"/>
        <w:jc w:val="both"/>
      </w:pPr>
      <w:r>
        <w:rPr>
          <w:sz w:val="20"/>
          <w:szCs w:val="20"/>
          <w:rtl/>
        </w:rPr>
        <w:footnoteRef/>
      </w:r>
      <w:r>
        <w:rPr>
          <w:sz w:val="20"/>
          <w:szCs w:val="20"/>
          <w:rtl/>
        </w:rPr>
        <w:t xml:space="preserve">. הוא לא התחיל “לערך בשנת תרכ״ה”, כפי שכותבים בניו במבוא לספרו (כמובא לעיל), אלא חמש שנים אחר כך, כפי שעולה </w:t>
      </w:r>
      <w:proofErr w:type="spellStart"/>
      <w:r>
        <w:rPr>
          <w:sz w:val="20"/>
          <w:szCs w:val="20"/>
          <w:rtl/>
        </w:rPr>
        <w:t>משטמפפר</w:t>
      </w:r>
      <w:proofErr w:type="spellEnd"/>
      <w:r>
        <w:rPr>
          <w:sz w:val="20"/>
          <w:szCs w:val="20"/>
          <w:rtl/>
        </w:rPr>
        <w:t>, המדייק מבחינה היסטורית (המקור הנזכר בפרק 3, נספח ו), עמ׳ 86.</w:t>
      </w:r>
    </w:p>
  </w:footnote>
  <w:footnote w:id="4044">
    <w:p w14:paraId="00638266" w14:textId="77777777" w:rsidR="00AB3647" w:rsidRDefault="00000000">
      <w:pPr>
        <w:spacing w:after="0" w:before="0"/>
        <w:jc w:val="both"/>
      </w:pPr>
      <w:r>
        <w:rPr>
          <w:sz w:val="20"/>
          <w:szCs w:val="20"/>
          <w:rtl/>
        </w:rPr>
        <w:footnoteRef/>
      </w:r>
      <w:r>
        <w:rPr>
          <w:sz w:val="20"/>
          <w:szCs w:val="20"/>
          <w:rtl/>
        </w:rPr>
        <w:t>. עמ׳ 43.</w:t>
      </w:r>
    </w:p>
  </w:footnote>
  <w:footnote w:id="4045">
    <w:p w14:paraId="048E4213" w14:textId="77777777" w:rsidR="00AB3647" w:rsidRDefault="00000000">
      <w:pPr>
        <w:spacing w:after="0" w:before="0"/>
        <w:jc w:val="both"/>
      </w:pPr>
      <w:r>
        <w:rPr>
          <w:sz w:val="20"/>
          <w:szCs w:val="20"/>
          <w:rtl/>
        </w:rPr>
        <w:footnoteRef/>
      </w:r>
      <w:r>
        <w:rPr>
          <w:sz w:val="20"/>
          <w:szCs w:val="20"/>
          <w:rtl/>
        </w:rPr>
        <w:t>. עמ׳ 26.</w:t>
      </w:r>
    </w:p>
  </w:footnote>
  <w:footnote w:id="4046">
    <w:p w14:paraId="60897D29" w14:textId="77777777" w:rsidR="00AB3647" w:rsidRDefault="00000000">
      <w:pPr>
        <w:spacing w:after="0" w:before="0"/>
        <w:jc w:val="both"/>
      </w:pPr>
      <w:r>
        <w:rPr>
          <w:sz w:val="20"/>
          <w:szCs w:val="20"/>
          <w:rtl/>
        </w:rPr>
        <w:footnoteRef/>
      </w:r>
      <w:r>
        <w:rPr>
          <w:sz w:val="20"/>
          <w:szCs w:val="20"/>
          <w:rtl/>
        </w:rPr>
        <w:t>. ב־18 באפריל 1994.</w:t>
      </w:r>
    </w:p>
  </w:footnote>
  <w:footnote w:id="4047">
    <w:p w14:paraId="15938731" w14:textId="77777777" w:rsidR="00AB3647" w:rsidRDefault="00000000">
      <w:pPr>
        <w:spacing w:after="0" w:before="0"/>
        <w:jc w:val="both"/>
      </w:pPr>
      <w:r>
        <w:rPr>
          <w:sz w:val="20"/>
          <w:szCs w:val="20"/>
          <w:rtl/>
        </w:rPr>
        <w:footnoteRef/>
      </w:r>
      <w:r>
        <w:rPr>
          <w:sz w:val="20"/>
          <w:szCs w:val="20"/>
          <w:rtl/>
        </w:rPr>
        <w:t xml:space="preserve">. ראה פרק 5, הפסקה השלישית בנספח ו: הם היו נפוצים כל כך, עד שנאמר שהגיעו אף לעשרת השבטים האבודים. הדברים נאמרו </w:t>
      </w:r>
      <w:proofErr w:type="spellStart"/>
      <w:r>
        <w:rPr>
          <w:sz w:val="20"/>
          <w:szCs w:val="20"/>
          <w:rtl/>
        </w:rPr>
        <w:t>ארבע־עשרה</w:t>
      </w:r>
      <w:proofErr w:type="spellEnd"/>
      <w:r>
        <w:rPr>
          <w:sz w:val="20"/>
          <w:szCs w:val="20"/>
          <w:rtl/>
        </w:rPr>
        <w:t xml:space="preserve"> שנים אחרי נישואי ר׳ חיים, אבל מסתבר שהיו רבים למדי גם בתקופה המוקדמת יותר.</w:t>
      </w:r>
    </w:p>
  </w:footnote>
  <w:footnote w:id="4048">
    <w:p w14:paraId="57B628B5" w14:textId="77777777" w:rsidR="00AB3647" w:rsidRDefault="00000000">
      <w:pPr>
        <w:spacing w:after="0" w:before="0"/>
        <w:jc w:val="both"/>
      </w:pPr>
      <w:r>
        <w:rPr>
          <w:sz w:val="20"/>
          <w:szCs w:val="20"/>
          <w:rtl/>
        </w:rPr>
        <w:footnoteRef/>
      </w:r>
      <w:r>
        <w:rPr>
          <w:sz w:val="20"/>
          <w:szCs w:val="20"/>
          <w:rtl/>
        </w:rPr>
        <w:t>. סימן ז.</w:t>
      </w:r>
    </w:p>
  </w:footnote>
  <w:footnote w:id="4049">
    <w:p w14:paraId="024493A8" w14:textId="77777777" w:rsidR="00AB3647" w:rsidRDefault="00000000">
      <w:pPr>
        <w:spacing w:after="0" w:before="0"/>
        <w:jc w:val="both"/>
      </w:pPr>
      <w:r>
        <w:rPr>
          <w:sz w:val="20"/>
          <w:szCs w:val="20"/>
          <w:rtl/>
        </w:rPr>
        <w:footnoteRef/>
      </w:r>
      <w:r>
        <w:rPr>
          <w:sz w:val="20"/>
          <w:szCs w:val="20"/>
          <w:rtl/>
        </w:rPr>
        <w:t>. עמ׳ 232, והערה 351 שם.</w:t>
      </w:r>
    </w:p>
  </w:footnote>
  <w:footnote w:id="4050">
    <w:p w14:paraId="1BE136BA" w14:textId="77777777" w:rsidR="00AB3647" w:rsidRDefault="00000000">
      <w:pPr>
        <w:spacing w:after="0" w:before="0"/>
        <w:jc w:val="both"/>
      </w:pPr>
      <w:r>
        <w:rPr>
          <w:sz w:val="20"/>
          <w:szCs w:val="20"/>
          <w:rtl/>
        </w:rPr>
        <w:footnoteRef/>
      </w:r>
      <w:r>
        <w:rPr>
          <w:sz w:val="20"/>
          <w:szCs w:val="20"/>
          <w:rtl/>
        </w:rPr>
        <w:t>. כרך א, עמ׳ 38.</w:t>
      </w:r>
    </w:p>
  </w:footnote>
  <w:footnote w:id="4051">
    <w:p w14:paraId="29FD34DF" w14:textId="77777777" w:rsidR="00AB3647" w:rsidRDefault="00000000">
      <w:pPr>
        <w:spacing w:after="0" w:before="0"/>
        <w:jc w:val="both"/>
      </w:pPr>
      <w:r>
        <w:rPr>
          <w:sz w:val="20"/>
          <w:szCs w:val="20"/>
          <w:rtl/>
        </w:rPr>
        <w:footnoteRef/>
      </w:r>
      <w:r>
        <w:rPr>
          <w:sz w:val="20"/>
          <w:szCs w:val="20"/>
          <w:rtl/>
        </w:rPr>
        <w:t>. ראה שם, בראש עמ׳ 233.</w:t>
      </w:r>
    </w:p>
  </w:footnote>
  <w:footnote w:id="4052">
    <w:p w14:paraId="71E21B70" w14:textId="77777777" w:rsidR="00AB3647" w:rsidRDefault="00000000">
      <w:pPr>
        <w:spacing w:after="0" w:before="0"/>
        <w:jc w:val="both"/>
      </w:pPr>
      <w:r>
        <w:rPr>
          <w:sz w:val="20"/>
          <w:szCs w:val="20"/>
          <w:rtl/>
        </w:rPr>
        <w:footnoteRef/>
      </w:r>
      <w:r>
        <w:rPr>
          <w:sz w:val="20"/>
          <w:szCs w:val="20"/>
          <w:rtl/>
        </w:rPr>
        <w:t xml:space="preserve">. שם, פרק 3, הפסקה הראשונה בנספח </w:t>
      </w:r>
      <w:proofErr w:type="spellStart"/>
      <w:r>
        <w:rPr>
          <w:sz w:val="20"/>
          <w:szCs w:val="20"/>
          <w:rtl/>
        </w:rPr>
        <w:t>יח</w:t>
      </w:r>
      <w:proofErr w:type="spellEnd"/>
      <w:r>
        <w:rPr>
          <w:sz w:val="20"/>
          <w:szCs w:val="20"/>
          <w:rtl/>
        </w:rPr>
        <w:t xml:space="preserve">, עמ׳ 131. השווה גם “תורת חיים”, עמ׳ עט: אפילו </w:t>
      </w:r>
      <w:proofErr w:type="spellStart"/>
      <w:r>
        <w:rPr>
          <w:sz w:val="20"/>
          <w:szCs w:val="20"/>
          <w:rtl/>
        </w:rPr>
        <w:t>בבריסק</w:t>
      </w:r>
      <w:proofErr w:type="spellEnd"/>
      <w:r>
        <w:rPr>
          <w:sz w:val="20"/>
          <w:szCs w:val="20"/>
          <w:rtl/>
        </w:rPr>
        <w:t xml:space="preserve"> עוד הואשם ר׳ חיים, שלא בצדק, </w:t>
      </w:r>
      <w:proofErr w:type="spellStart"/>
      <w:r>
        <w:rPr>
          <w:sz w:val="20"/>
          <w:szCs w:val="20"/>
          <w:rtl/>
        </w:rPr>
        <w:t>ב“בטלנות</w:t>
      </w:r>
      <w:proofErr w:type="spellEnd"/>
      <w:r>
        <w:rPr>
          <w:sz w:val="20"/>
          <w:szCs w:val="20"/>
          <w:rtl/>
        </w:rPr>
        <w:t>”.</w:t>
      </w:r>
    </w:p>
  </w:footnote>
  <w:footnote w:id="4053">
    <w:p w14:paraId="0A437C05" w14:textId="77777777" w:rsidR="00AB3647" w:rsidRDefault="00000000">
      <w:pPr>
        <w:spacing w:after="0" w:before="0"/>
        <w:jc w:val="both"/>
      </w:pPr>
      <w:r>
        <w:rPr>
          <w:sz w:val="20"/>
          <w:szCs w:val="20"/>
          <w:rtl/>
        </w:rPr>
        <w:footnoteRef/>
      </w:r>
      <w:r>
        <w:rPr>
          <w:sz w:val="20"/>
          <w:szCs w:val="20"/>
          <w:rtl/>
        </w:rPr>
        <w:t xml:space="preserve">. מאת בנימין גולדברג, נדפס </w:t>
      </w:r>
      <w:proofErr w:type="spellStart"/>
      <w:r>
        <w:rPr>
          <w:sz w:val="20"/>
          <w:szCs w:val="20"/>
          <w:rtl/>
        </w:rPr>
        <w:t>בגראיעווע</w:t>
      </w:r>
      <w:proofErr w:type="spellEnd"/>
      <w:r>
        <w:rPr>
          <w:sz w:val="20"/>
          <w:szCs w:val="20"/>
          <w:rtl/>
        </w:rPr>
        <w:t>, 1924, עמ׳ 6.</w:t>
      </w:r>
    </w:p>
  </w:footnote>
  <w:footnote w:id="4054">
    <w:p w14:paraId="59F987AF" w14:textId="77777777" w:rsidR="00AB3647" w:rsidRDefault="00000000">
      <w:pPr>
        <w:spacing w:after="0" w:before="0"/>
        <w:jc w:val="both"/>
      </w:pPr>
      <w:r>
        <w:rPr>
          <w:sz w:val="20"/>
          <w:szCs w:val="20"/>
          <w:rtl/>
        </w:rPr>
        <w:footnoteRef/>
      </w:r>
      <w:r>
        <w:rPr>
          <w:sz w:val="20"/>
          <w:szCs w:val="20"/>
          <w:rtl/>
        </w:rPr>
        <w:t xml:space="preserve">. הדבר מצוטט אצל </w:t>
      </w:r>
      <w:proofErr w:type="spellStart"/>
      <w:r>
        <w:rPr>
          <w:sz w:val="20"/>
          <w:szCs w:val="20"/>
          <w:rtl/>
        </w:rPr>
        <w:t>שטמפפר</w:t>
      </w:r>
      <w:proofErr w:type="spellEnd"/>
      <w:r>
        <w:rPr>
          <w:sz w:val="20"/>
          <w:szCs w:val="20"/>
          <w:rtl/>
        </w:rPr>
        <w:t xml:space="preserve">, עמ׳ 165, הערה 67. ראה גם פרק 3, הפסקה השנייה בנספח </w:t>
      </w:r>
      <w:proofErr w:type="spellStart"/>
      <w:r>
        <w:rPr>
          <w:sz w:val="20"/>
          <w:szCs w:val="20"/>
          <w:rtl/>
        </w:rPr>
        <w:t>יב</w:t>
      </w:r>
      <w:proofErr w:type="spellEnd"/>
      <w:r>
        <w:rPr>
          <w:sz w:val="20"/>
          <w:szCs w:val="20"/>
          <w:rtl/>
        </w:rPr>
        <w:t>, בדבר התכלית המסוימת שאולי הייתה לקריאה זו.</w:t>
      </w:r>
    </w:p>
  </w:footnote>
  <w:footnote w:id="4055">
    <w:p w14:paraId="54D7236F" w14:textId="77777777" w:rsidR="00AB3647" w:rsidRDefault="00000000">
      <w:pPr>
        <w:spacing w:after="0" w:before="0"/>
        <w:jc w:val="both"/>
      </w:pPr>
      <w:r>
        <w:rPr>
          <w:sz w:val="20"/>
          <w:szCs w:val="20"/>
          <w:rtl/>
        </w:rPr>
        <w:footnoteRef/>
      </w:r>
      <w:r>
        <w:rPr>
          <w:sz w:val="20"/>
          <w:szCs w:val="20"/>
          <w:rtl/>
        </w:rPr>
        <w:t>. ראה פרק 3, נספח יא.</w:t>
      </w:r>
    </w:p>
  </w:footnote>
  <w:footnote w:id="4056">
    <w:p w14:paraId="5C773183" w14:textId="77777777" w:rsidR="00AB3647" w:rsidRDefault="00000000">
      <w:pPr>
        <w:spacing w:after="0" w:before="0"/>
        <w:jc w:val="both"/>
      </w:pPr>
      <w:r>
        <w:rPr>
          <w:sz w:val="20"/>
          <w:szCs w:val="20"/>
          <w:rtl/>
        </w:rPr>
        <w:footnoteRef/>
      </w:r>
      <w:r>
        <w:rPr>
          <w:sz w:val="20"/>
          <w:szCs w:val="20"/>
          <w:rtl/>
        </w:rPr>
        <w:t>. הערה 33 לעיל; המחבר היה בן דורו של ברדיצ׳בסקי, עמ׳ 65–66.</w:t>
      </w:r>
    </w:p>
  </w:footnote>
  <w:footnote w:id="4057">
    <w:p w14:paraId="63B366C6" w14:textId="77777777" w:rsidR="00AB3647" w:rsidRDefault="00000000">
      <w:pPr>
        <w:spacing w:after="0" w:before="0"/>
        <w:jc w:val="both"/>
      </w:pPr>
      <w:r>
        <w:rPr>
          <w:sz w:val="20"/>
          <w:szCs w:val="20"/>
          <w:rtl/>
        </w:rPr>
        <w:footnoteRef/>
      </w:r>
      <w:r>
        <w:rPr>
          <w:sz w:val="20"/>
          <w:szCs w:val="20"/>
          <w:rtl/>
        </w:rPr>
        <w:t xml:space="preserve">. ראה, עם זאת, “עלי </w:t>
      </w:r>
      <w:proofErr w:type="spellStart"/>
      <w:r>
        <w:rPr>
          <w:sz w:val="20"/>
          <w:szCs w:val="20"/>
          <w:rtl/>
        </w:rPr>
        <w:t>חלדי</w:t>
      </w:r>
      <w:proofErr w:type="spellEnd"/>
      <w:r>
        <w:rPr>
          <w:sz w:val="20"/>
          <w:szCs w:val="20"/>
          <w:rtl/>
        </w:rPr>
        <w:t xml:space="preserve">”, עמ׳ 43. אחרי שנאמר שם </w:t>
      </w:r>
      <w:proofErr w:type="spellStart"/>
      <w:r>
        <w:rPr>
          <w:sz w:val="20"/>
          <w:szCs w:val="20"/>
          <w:rtl/>
        </w:rPr>
        <w:t>ש“ביום</w:t>
      </w:r>
      <w:proofErr w:type="spellEnd"/>
      <w:r>
        <w:rPr>
          <w:sz w:val="20"/>
          <w:szCs w:val="20"/>
          <w:rtl/>
        </w:rPr>
        <w:t xml:space="preserve"> הראשון, השני והשלישי לשבוע הגיד רבי חיים </w:t>
      </w:r>
      <w:proofErr w:type="spellStart"/>
      <w:r>
        <w:rPr>
          <w:sz w:val="20"/>
          <w:szCs w:val="20"/>
          <w:rtl/>
        </w:rPr>
        <w:t>סולוביציק</w:t>
      </w:r>
      <w:proofErr w:type="spellEnd"/>
      <w:r>
        <w:rPr>
          <w:sz w:val="20"/>
          <w:szCs w:val="20"/>
          <w:rtl/>
        </w:rPr>
        <w:t xml:space="preserve">, וביום הרביעי, החמישי </w:t>
      </w:r>
      <w:proofErr w:type="spellStart"/>
      <w:r>
        <w:rPr>
          <w:sz w:val="20"/>
          <w:szCs w:val="20"/>
          <w:rtl/>
        </w:rPr>
        <w:t>והששי</w:t>
      </w:r>
      <w:proofErr w:type="spellEnd"/>
      <w:r>
        <w:rPr>
          <w:sz w:val="20"/>
          <w:szCs w:val="20"/>
          <w:rtl/>
        </w:rPr>
        <w:t xml:space="preserve"> </w:t>
      </w:r>
      <w:proofErr w:type="spellStart"/>
      <w:r>
        <w:rPr>
          <w:sz w:val="20"/>
          <w:szCs w:val="20"/>
          <w:rtl/>
        </w:rPr>
        <w:t>הנצי״ב</w:t>
      </w:r>
      <w:proofErr w:type="spellEnd"/>
      <w:r>
        <w:rPr>
          <w:sz w:val="20"/>
          <w:szCs w:val="20"/>
          <w:rtl/>
        </w:rPr>
        <w:t xml:space="preserve">”, נכתב: “עצם </w:t>
      </w:r>
      <w:proofErr w:type="spellStart"/>
      <w:r>
        <w:rPr>
          <w:sz w:val="20"/>
          <w:szCs w:val="20"/>
          <w:rtl/>
        </w:rPr>
        <w:t>השעור</w:t>
      </w:r>
      <w:proofErr w:type="spellEnd"/>
      <w:r>
        <w:rPr>
          <w:sz w:val="20"/>
          <w:szCs w:val="20"/>
          <w:rtl/>
        </w:rPr>
        <w:t xml:space="preserve"> של רבי חיים היה באמת רק פעם אחת בשבוע, ביום השני, אז אמר את </w:t>
      </w:r>
      <w:proofErr w:type="spellStart"/>
      <w:r>
        <w:rPr>
          <w:sz w:val="20"/>
          <w:szCs w:val="20"/>
          <w:rtl/>
        </w:rPr>
        <w:t>חדושו</w:t>
      </w:r>
      <w:proofErr w:type="spellEnd"/>
      <w:r>
        <w:rPr>
          <w:sz w:val="20"/>
          <w:szCs w:val="20"/>
          <w:rtl/>
        </w:rPr>
        <w:t xml:space="preserve">. בשני הימים הנשארים היה עובר במהירות רבה על דף הגמרא ועד שהתלמידים נאספו כולם אל שלחנו, כבר גמר את </w:t>
      </w:r>
      <w:proofErr w:type="spellStart"/>
      <w:r>
        <w:rPr>
          <w:sz w:val="20"/>
          <w:szCs w:val="20"/>
          <w:rtl/>
        </w:rPr>
        <w:t>השעור</w:t>
      </w:r>
      <w:proofErr w:type="spellEnd"/>
      <w:r>
        <w:rPr>
          <w:sz w:val="20"/>
          <w:szCs w:val="20"/>
          <w:rtl/>
        </w:rPr>
        <w:t xml:space="preserve">.” (המחצית השנייה של המשפט נראית מוגזמת.) ואולם יש להוסיף שמחבר “עלי </w:t>
      </w:r>
      <w:proofErr w:type="spellStart"/>
      <w:r>
        <w:rPr>
          <w:sz w:val="20"/>
          <w:szCs w:val="20"/>
          <w:rtl/>
        </w:rPr>
        <w:t>חלדי</w:t>
      </w:r>
      <w:proofErr w:type="spellEnd"/>
      <w:r>
        <w:rPr>
          <w:sz w:val="20"/>
          <w:szCs w:val="20"/>
          <w:rtl/>
        </w:rPr>
        <w:t xml:space="preserve">” השתתף כנראה בשיעורים מעטים של ר׳ חיים, אם בכלל, שהרי הוא כותב שם, עמ׳ 43–44: “לי התאימו אז יותר שעוריו של </w:t>
      </w:r>
      <w:proofErr w:type="spellStart"/>
      <w:r>
        <w:rPr>
          <w:sz w:val="20"/>
          <w:szCs w:val="20"/>
          <w:rtl/>
        </w:rPr>
        <w:t>הנצי״ב</w:t>
      </w:r>
      <w:proofErr w:type="spellEnd"/>
      <w:r>
        <w:rPr>
          <w:sz w:val="20"/>
          <w:szCs w:val="20"/>
          <w:rtl/>
        </w:rPr>
        <w:t xml:space="preserve">”. תוספתו, “אולם הייתי שומע גם את שעוריו של רבי חיים ומבין את </w:t>
      </w:r>
      <w:proofErr w:type="spellStart"/>
      <w:r>
        <w:rPr>
          <w:sz w:val="20"/>
          <w:szCs w:val="20"/>
          <w:rtl/>
        </w:rPr>
        <w:t>חדושיו</w:t>
      </w:r>
      <w:proofErr w:type="spellEnd"/>
      <w:r>
        <w:rPr>
          <w:sz w:val="20"/>
          <w:szCs w:val="20"/>
          <w:rtl/>
        </w:rPr>
        <w:t>”, נראית מפוקפקת.</w:t>
      </w:r>
    </w:p>
  </w:footnote>
  <w:footnote w:id="4058">
    <w:p w14:paraId="747AA141" w14:textId="77777777" w:rsidR="00AB3647" w:rsidRDefault="00000000">
      <w:pPr>
        <w:spacing w:after="0" w:before="0"/>
        <w:jc w:val="both"/>
      </w:pPr>
      <w:r>
        <w:rPr>
          <w:sz w:val="20"/>
          <w:szCs w:val="20"/>
          <w:rtl/>
        </w:rPr>
        <w:footnoteRef/>
      </w:r>
      <w:r>
        <w:rPr>
          <w:sz w:val="20"/>
          <w:szCs w:val="20"/>
          <w:rtl/>
        </w:rPr>
        <w:t>. כוונת המחבר: כפי שאמור להיות תלמיד חכם, על פי הגמרא, מסכת יומא, תחילת דף כ״ג.</w:t>
      </w:r>
    </w:p>
  </w:footnote>
  <w:footnote w:id="4059">
    <w:p w14:paraId="1F8926F6" w14:textId="77777777" w:rsidR="00AB3647" w:rsidRDefault="00000000">
      <w:pPr>
        <w:spacing w:after="0" w:before="0"/>
        <w:jc w:val="both"/>
      </w:pPr>
      <w:r>
        <w:rPr>
          <w:sz w:val="20"/>
          <w:szCs w:val="20"/>
          <w:rtl/>
        </w:rPr>
        <w:footnoteRef/>
      </w:r>
      <w:r>
        <w:rPr>
          <w:sz w:val="20"/>
          <w:szCs w:val="20"/>
          <w:rtl/>
        </w:rPr>
        <w:t>. שם, פרק 3, תחילת נספח י, עמ׳ 36.</w:t>
      </w:r>
    </w:p>
  </w:footnote>
  <w:footnote w:id="4060">
    <w:p w14:paraId="6BA87804" w14:textId="77777777" w:rsidR="00AB3647" w:rsidRDefault="00000000">
      <w:pPr>
        <w:spacing w:after="0" w:before="0"/>
        <w:jc w:val="both"/>
      </w:pPr>
      <w:r>
        <w:rPr>
          <w:sz w:val="20"/>
          <w:szCs w:val="20"/>
          <w:rtl/>
        </w:rPr>
        <w:footnoteRef/>
      </w:r>
      <w:r>
        <w:rPr>
          <w:sz w:val="20"/>
          <w:szCs w:val="20"/>
          <w:rtl/>
        </w:rPr>
        <w:t>. שם, פרק 2, נספח ו, עמ׳ נ.</w:t>
      </w:r>
    </w:p>
  </w:footnote>
  <w:footnote w:id="4061">
    <w:p w14:paraId="39112AB0" w14:textId="77777777" w:rsidR="00AB3647" w:rsidRDefault="00000000">
      <w:pPr>
        <w:spacing w:after="0" w:before="0"/>
        <w:jc w:val="both"/>
      </w:pPr>
      <w:r>
        <w:rPr>
          <w:sz w:val="20"/>
          <w:szCs w:val="20"/>
          <w:rtl/>
        </w:rPr>
        <w:footnoteRef/>
      </w:r>
      <w:r>
        <w:rPr>
          <w:sz w:val="20"/>
          <w:szCs w:val="20"/>
          <w:rtl/>
        </w:rPr>
        <w:t>. פרק 33, עמ׳ 243–251, בכרך ב.</w:t>
      </w:r>
    </w:p>
  </w:footnote>
  <w:footnote w:id="4062">
    <w:p w14:paraId="629F77E1" w14:textId="77777777" w:rsidR="00AB3647" w:rsidRDefault="00000000">
      <w:pPr>
        <w:spacing w:after="0" w:before="0"/>
        <w:jc w:val="both"/>
      </w:pPr>
      <w:r>
        <w:rPr>
          <w:sz w:val="20"/>
          <w:szCs w:val="20"/>
          <w:rtl/>
        </w:rPr>
        <w:footnoteRef/>
      </w:r>
      <w:r>
        <w:rPr>
          <w:sz w:val="20"/>
          <w:szCs w:val="20"/>
          <w:rtl/>
        </w:rPr>
        <w:t xml:space="preserve">. תל אביב, תשט״ו; להלן “אנציקלופדיה </w:t>
      </w:r>
      <w:proofErr w:type="spellStart"/>
      <w:r>
        <w:rPr>
          <w:sz w:val="20"/>
          <w:szCs w:val="20"/>
          <w:rtl/>
        </w:rPr>
        <w:t>בריסק</w:t>
      </w:r>
      <w:proofErr w:type="spellEnd"/>
      <w:r>
        <w:rPr>
          <w:sz w:val="20"/>
          <w:szCs w:val="20"/>
          <w:rtl/>
        </w:rPr>
        <w:t>”, עמ׳ 151.</w:t>
      </w:r>
    </w:p>
  </w:footnote>
  <w:footnote w:id="4063">
    <w:p w14:paraId="1AC6D9B1" w14:textId="77777777" w:rsidR="00AB3647" w:rsidRDefault="00000000">
      <w:pPr>
        <w:spacing w:after="0" w:before="0"/>
        <w:jc w:val="both"/>
      </w:pPr>
      <w:r>
        <w:rPr>
          <w:sz w:val="20"/>
          <w:szCs w:val="20"/>
          <w:rtl/>
        </w:rPr>
        <w:footnoteRef/>
      </w:r>
      <w:r>
        <w:rPr>
          <w:sz w:val="20"/>
          <w:szCs w:val="20"/>
          <w:rtl/>
        </w:rPr>
        <w:t>. ראה כרך 2.</w:t>
      </w:r>
    </w:p>
  </w:footnote>
  <w:footnote w:id="4064">
    <w:p w14:paraId="599A24CE" w14:textId="77777777" w:rsidR="00AB3647" w:rsidRDefault="00000000">
      <w:pPr>
        <w:spacing w:after="0" w:before="0"/>
        <w:jc w:val="both"/>
      </w:pPr>
      <w:r>
        <w:rPr>
          <w:sz w:val="20"/>
          <w:szCs w:val="20"/>
          <w:rtl/>
        </w:rPr>
        <w:footnoteRef/>
      </w:r>
      <w:r>
        <w:rPr>
          <w:sz w:val="20"/>
          <w:szCs w:val="20"/>
          <w:rtl/>
        </w:rPr>
        <w:t>. לפי “רבן של ישראל” מאת מאיר ברלין, הסתדרות המזרחי באמריקה, ניו יורק, תש״ג, עמ׳ 114.</w:t>
      </w:r>
    </w:p>
  </w:footnote>
  <w:footnote w:id="4065">
    <w:p w14:paraId="0982D3F2" w14:textId="77777777" w:rsidR="00AB3647" w:rsidRDefault="00000000">
      <w:pPr>
        <w:spacing w:after="0" w:before="0"/>
        <w:jc w:val="both"/>
      </w:pPr>
      <w:r>
        <w:rPr>
          <w:sz w:val="20"/>
          <w:szCs w:val="20"/>
          <w:rtl/>
        </w:rPr>
        <w:footnoteRef/>
      </w:r>
      <w:r>
        <w:rPr>
          <w:sz w:val="20"/>
          <w:szCs w:val="20"/>
          <w:rtl/>
        </w:rPr>
        <w:t xml:space="preserve">. ראה פרק 5, הפסקה החמישית בנספח ו, בדבר קרבתו של ר׳ לייזר </w:t>
      </w:r>
      <w:proofErr w:type="spellStart"/>
      <w:r>
        <w:rPr>
          <w:sz w:val="20"/>
          <w:szCs w:val="20"/>
          <w:rtl/>
        </w:rPr>
        <w:t>רבינוביץ</w:t>
      </w:r>
      <w:proofErr w:type="spellEnd"/>
      <w:r>
        <w:rPr>
          <w:sz w:val="20"/>
          <w:szCs w:val="20"/>
          <w:rtl/>
        </w:rPr>
        <w:t xml:space="preserve"> למשפחת </w:t>
      </w:r>
      <w:proofErr w:type="spellStart"/>
      <w:r>
        <w:rPr>
          <w:sz w:val="20"/>
          <w:szCs w:val="20"/>
          <w:rtl/>
        </w:rPr>
        <w:t>סולובייצ׳יק</w:t>
      </w:r>
      <w:proofErr w:type="spellEnd"/>
      <w:r>
        <w:rPr>
          <w:sz w:val="20"/>
          <w:szCs w:val="20"/>
          <w:rtl/>
        </w:rPr>
        <w:t xml:space="preserve">. הוא היה תלמיד בישיבת </w:t>
      </w:r>
      <w:proofErr w:type="spellStart"/>
      <w:r>
        <w:rPr>
          <w:sz w:val="20"/>
          <w:szCs w:val="20"/>
          <w:rtl/>
        </w:rPr>
        <w:t>וולוז׳ין</w:t>
      </w:r>
      <w:proofErr w:type="spellEnd"/>
      <w:r>
        <w:rPr>
          <w:sz w:val="20"/>
          <w:szCs w:val="20"/>
          <w:rtl/>
        </w:rPr>
        <w:t>, ושם נודע כעילוי מקייב.</w:t>
      </w:r>
    </w:p>
  </w:footnote>
  <w:footnote w:id="4066">
    <w:p w14:paraId="7B09ADF9" w14:textId="77777777" w:rsidR="00AB3647" w:rsidRDefault="00000000">
      <w:pPr>
        <w:spacing w:after="0" w:before="0"/>
        <w:jc w:val="both"/>
      </w:pPr>
      <w:r>
        <w:rPr>
          <w:sz w:val="20"/>
          <w:szCs w:val="20"/>
          <w:rtl/>
        </w:rPr>
        <w:footnoteRef/>
      </w:r>
      <w:r>
        <w:rPr>
          <w:sz w:val="20"/>
          <w:szCs w:val="20"/>
          <w:rtl/>
        </w:rPr>
        <w:t xml:space="preserve">. ועיין שו״ת משיב דבר, ח״א, סי׳ כ״ה, ועפ״י מש״ב שם יוצא שמה שאמר </w:t>
      </w:r>
      <w:proofErr w:type="spellStart"/>
      <w:r>
        <w:rPr>
          <w:sz w:val="20"/>
          <w:szCs w:val="20"/>
          <w:rtl/>
        </w:rPr>
        <w:t>הרח״ה</w:t>
      </w:r>
      <w:proofErr w:type="spellEnd"/>
      <w:r>
        <w:rPr>
          <w:sz w:val="20"/>
          <w:szCs w:val="20"/>
          <w:rtl/>
        </w:rPr>
        <w:t xml:space="preserve"> שבעצמו הי׳ צריך להתענות זאת שיטת השאילתות </w:t>
      </w:r>
      <w:proofErr w:type="spellStart"/>
      <w:r>
        <w:rPr>
          <w:sz w:val="20"/>
          <w:szCs w:val="20"/>
          <w:rtl/>
        </w:rPr>
        <w:t>ודלא</w:t>
      </w:r>
      <w:proofErr w:type="spellEnd"/>
      <w:r>
        <w:rPr>
          <w:sz w:val="20"/>
          <w:szCs w:val="20"/>
          <w:rtl/>
        </w:rPr>
        <w:t xml:space="preserve"> </w:t>
      </w:r>
      <w:proofErr w:type="spellStart"/>
      <w:r>
        <w:rPr>
          <w:sz w:val="20"/>
          <w:szCs w:val="20"/>
          <w:rtl/>
        </w:rPr>
        <w:t>כהמג״א</w:t>
      </w:r>
      <w:proofErr w:type="spellEnd"/>
      <w:r>
        <w:rPr>
          <w:sz w:val="20"/>
          <w:szCs w:val="20"/>
          <w:rtl/>
        </w:rPr>
        <w:t xml:space="preserve"> שפוטרו. ואף הובא שם דברי הספר חסידים (אות תמד) שהחולם צריך להתענות (ג״כ) </w:t>
      </w:r>
      <w:proofErr w:type="spellStart"/>
      <w:r>
        <w:rPr>
          <w:sz w:val="20"/>
          <w:szCs w:val="20"/>
          <w:rtl/>
        </w:rPr>
        <w:t>והנצי״ב</w:t>
      </w:r>
      <w:proofErr w:type="spellEnd"/>
      <w:r>
        <w:rPr>
          <w:sz w:val="20"/>
          <w:szCs w:val="20"/>
          <w:rtl/>
        </w:rPr>
        <w:t xml:space="preserve"> כותב שזה “בכלל לא תעמוד על דם רעך או בכלל </w:t>
      </w:r>
      <w:proofErr w:type="spellStart"/>
      <w:r>
        <w:rPr>
          <w:sz w:val="20"/>
          <w:szCs w:val="20"/>
          <w:rtl/>
        </w:rPr>
        <w:t>והשבותו</w:t>
      </w:r>
      <w:proofErr w:type="spellEnd"/>
      <w:r>
        <w:rPr>
          <w:sz w:val="20"/>
          <w:szCs w:val="20"/>
          <w:rtl/>
        </w:rPr>
        <w:t xml:space="preserve"> לו” </w:t>
      </w:r>
      <w:proofErr w:type="spellStart"/>
      <w:r>
        <w:rPr>
          <w:sz w:val="20"/>
          <w:szCs w:val="20"/>
          <w:rtl/>
        </w:rPr>
        <w:t>ולפי״ז</w:t>
      </w:r>
      <w:proofErr w:type="spellEnd"/>
      <w:r>
        <w:rPr>
          <w:sz w:val="20"/>
          <w:szCs w:val="20"/>
          <w:rtl/>
        </w:rPr>
        <w:t xml:space="preserve"> צדק </w:t>
      </w:r>
      <w:proofErr w:type="spellStart"/>
      <w:r>
        <w:rPr>
          <w:sz w:val="20"/>
          <w:szCs w:val="20"/>
          <w:rtl/>
        </w:rPr>
        <w:t>הנצי״ב</w:t>
      </w:r>
      <w:proofErr w:type="spellEnd"/>
      <w:r>
        <w:rPr>
          <w:sz w:val="20"/>
          <w:szCs w:val="20"/>
          <w:rtl/>
        </w:rPr>
        <w:t xml:space="preserve"> בהתענותו. </w:t>
      </w:r>
      <w:proofErr w:type="spellStart"/>
      <w:r>
        <w:rPr>
          <w:sz w:val="20"/>
          <w:szCs w:val="20"/>
          <w:rtl/>
        </w:rPr>
        <w:t>ועיי״ש</w:t>
      </w:r>
      <w:proofErr w:type="spellEnd"/>
      <w:r>
        <w:rPr>
          <w:sz w:val="20"/>
          <w:szCs w:val="20"/>
          <w:rtl/>
        </w:rPr>
        <w:t xml:space="preserve"> שמסיים תשובתו בתפלה שהמקום יתברך יחוס עלינו ולא </w:t>
      </w:r>
      <w:proofErr w:type="spellStart"/>
      <w:r>
        <w:rPr>
          <w:sz w:val="20"/>
          <w:szCs w:val="20"/>
          <w:rtl/>
        </w:rPr>
        <w:t>יבהלנו</w:t>
      </w:r>
      <w:proofErr w:type="spellEnd"/>
      <w:r>
        <w:rPr>
          <w:sz w:val="20"/>
          <w:szCs w:val="20"/>
          <w:rtl/>
        </w:rPr>
        <w:t xml:space="preserve"> ע״י חלומות רעים. ובנידון זה שמעתי בשם הרב </w:t>
      </w:r>
      <w:proofErr w:type="spellStart"/>
      <w:r>
        <w:rPr>
          <w:sz w:val="20"/>
          <w:szCs w:val="20"/>
          <w:rtl/>
        </w:rPr>
        <w:t>מבריסק</w:t>
      </w:r>
      <w:proofErr w:type="spellEnd"/>
      <w:r>
        <w:rPr>
          <w:sz w:val="20"/>
          <w:szCs w:val="20"/>
          <w:rtl/>
        </w:rPr>
        <w:t xml:space="preserve"> ר׳ יצחק־זאב, שאמר שאינו מפחד מהחלום הרע אלא מהגמרא שמחייבת הטבתו, ועיין גם בספר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מא</w:t>
      </w:r>
      <w:proofErr w:type="spellEnd"/>
      <w:r>
        <w:rPr>
          <w:sz w:val="20"/>
          <w:szCs w:val="20"/>
          <w:rtl/>
        </w:rPr>
        <w:t xml:space="preserve"> בשם ר׳ אברהם </w:t>
      </w:r>
      <w:proofErr w:type="spellStart"/>
      <w:r>
        <w:rPr>
          <w:sz w:val="20"/>
          <w:szCs w:val="20"/>
          <w:rtl/>
        </w:rPr>
        <w:t>ארלנגר</w:t>
      </w:r>
      <w:proofErr w:type="spellEnd"/>
      <w:r>
        <w:rPr>
          <w:sz w:val="20"/>
          <w:szCs w:val="20"/>
          <w:rtl/>
        </w:rPr>
        <w:t xml:space="preserve"> שבכל יום היה </w:t>
      </w:r>
      <w:proofErr w:type="spellStart"/>
      <w:r>
        <w:rPr>
          <w:sz w:val="20"/>
          <w:szCs w:val="20"/>
          <w:rtl/>
        </w:rPr>
        <w:t>הרי״ז</w:t>
      </w:r>
      <w:proofErr w:type="spellEnd"/>
      <w:r>
        <w:rPr>
          <w:sz w:val="20"/>
          <w:szCs w:val="20"/>
          <w:rtl/>
        </w:rPr>
        <w:t xml:space="preserve"> עושה הטבת חלום ואף בשבת לפני תפלת מנחה אחרי שהיה ישן בצהרים בשבת.</w:t>
      </w:r>
    </w:p>
  </w:footnote>
  <w:footnote w:id="4067">
    <w:p w14:paraId="3D64191A" w14:textId="77777777" w:rsidR="00AB3647" w:rsidRDefault="00000000">
      <w:pPr>
        <w:spacing w:after="0" w:before="0"/>
        <w:jc w:val="both"/>
      </w:pPr>
      <w:r>
        <w:rPr>
          <w:sz w:val="20"/>
          <w:szCs w:val="20"/>
          <w:rtl/>
        </w:rPr>
        <w:footnoteRef/>
      </w:r>
      <w:r>
        <w:rPr>
          <w:sz w:val="20"/>
          <w:szCs w:val="20"/>
          <w:rtl/>
        </w:rPr>
        <w:t xml:space="preserve">. הוצאת כתר, ירושלים, 1999; להלן “ספר </w:t>
      </w:r>
      <w:proofErr w:type="spellStart"/>
      <w:r>
        <w:rPr>
          <w:sz w:val="20"/>
          <w:szCs w:val="20"/>
          <w:rtl/>
        </w:rPr>
        <w:t>רר״ס</w:t>
      </w:r>
      <w:proofErr w:type="spellEnd"/>
      <w:r>
        <w:rPr>
          <w:sz w:val="20"/>
          <w:szCs w:val="20"/>
          <w:rtl/>
        </w:rPr>
        <w:t>”, עמ׳ 306.</w:t>
      </w:r>
    </w:p>
  </w:footnote>
  <w:footnote w:id="4068">
    <w:p w14:paraId="4423C6CC" w14:textId="77777777" w:rsidR="00AB3647" w:rsidRDefault="00000000">
      <w:pPr>
        <w:spacing w:after="0" w:before="0"/>
        <w:jc w:val="both"/>
      </w:pPr>
      <w:r>
        <w:rPr>
          <w:sz w:val="20"/>
          <w:szCs w:val="20"/>
          <w:rtl/>
        </w:rPr>
        <w:footnoteRef/>
      </w:r>
      <w:r>
        <w:rPr>
          <w:sz w:val="20"/>
          <w:szCs w:val="20"/>
          <w:rtl/>
        </w:rPr>
        <w:t>. משלי ל:כד.</w:t>
      </w:r>
    </w:p>
  </w:footnote>
  <w:footnote w:id="4069">
    <w:p w14:paraId="2B8E5D79" w14:textId="77777777" w:rsidR="00AB3647" w:rsidRDefault="00000000">
      <w:pPr>
        <w:spacing w:after="0" w:before="0"/>
        <w:jc w:val="both"/>
      </w:pPr>
      <w:r>
        <w:rPr>
          <w:sz w:val="20"/>
          <w:szCs w:val="20"/>
          <w:rtl/>
        </w:rPr>
        <w:footnoteRef/>
      </w:r>
      <w:r>
        <w:rPr>
          <w:sz w:val="20"/>
          <w:szCs w:val="20"/>
          <w:rtl/>
        </w:rPr>
        <w:t>. עמ׳ 284.</w:t>
      </w:r>
    </w:p>
  </w:footnote>
  <w:footnote w:id="4070">
    <w:p w14:paraId="0FA4AAE0" w14:textId="77777777" w:rsidR="00AB3647" w:rsidRDefault="00000000">
      <w:pPr>
        <w:spacing w:after="0" w:before="0"/>
        <w:jc w:val="both"/>
      </w:pPr>
      <w:r>
        <w:rPr>
          <w:sz w:val="20"/>
          <w:szCs w:val="20"/>
          <w:rtl/>
        </w:rPr>
        <w:footnoteRef/>
      </w:r>
      <w:r>
        <w:rPr>
          <w:sz w:val="20"/>
          <w:szCs w:val="20"/>
          <w:rtl/>
        </w:rPr>
        <w:t>. כרך ב, עמ׳ 244.</w:t>
      </w:r>
    </w:p>
  </w:footnote>
  <w:footnote w:id="4071">
    <w:p w14:paraId="3B3C0487" w14:textId="77777777" w:rsidR="00AB3647" w:rsidRDefault="00000000">
      <w:pPr>
        <w:spacing w:after="0" w:before="0"/>
        <w:jc w:val="both"/>
      </w:pPr>
      <w:r>
        <w:rPr>
          <w:sz w:val="20"/>
          <w:szCs w:val="20"/>
          <w:rtl/>
        </w:rPr>
        <w:footnoteRef/>
      </w:r>
      <w:r>
        <w:rPr>
          <w:sz w:val="20"/>
          <w:szCs w:val="20"/>
          <w:rtl/>
        </w:rPr>
        <w:t>. ראה כרך 2.</w:t>
      </w:r>
    </w:p>
  </w:footnote>
  <w:footnote w:id="4072">
    <w:p w14:paraId="08868EE1" w14:textId="77777777" w:rsidR="00AB3647" w:rsidRDefault="00000000">
      <w:pPr>
        <w:spacing w:after="0" w:before="0"/>
        <w:jc w:val="both"/>
      </w:pPr>
      <w:r>
        <w:rPr>
          <w:sz w:val="20"/>
          <w:szCs w:val="20"/>
          <w:rtl/>
        </w:rPr>
        <w:footnoteRef/>
      </w:r>
      <w:r>
        <w:rPr>
          <w:sz w:val="20"/>
          <w:szCs w:val="20"/>
          <w:rtl/>
        </w:rPr>
        <w:t>. כרך א, עמ׳ 247–250.</w:t>
      </w:r>
    </w:p>
  </w:footnote>
  <w:footnote w:id="4073">
    <w:p w14:paraId="2D240D6E" w14:textId="77777777" w:rsidR="00AB3647" w:rsidRDefault="00000000">
      <w:pPr>
        <w:spacing w:after="0" w:before="0"/>
        <w:jc w:val="both"/>
      </w:pPr>
      <w:r>
        <w:rPr>
          <w:sz w:val="20"/>
          <w:szCs w:val="20"/>
          <w:rtl/>
        </w:rPr>
        <w:footnoteRef/>
      </w:r>
      <w:r>
        <w:rPr>
          <w:sz w:val="20"/>
          <w:szCs w:val="20"/>
          <w:rtl/>
        </w:rPr>
        <w:t>. שם, עמ׳ 251.</w:t>
      </w:r>
    </w:p>
  </w:footnote>
  <w:footnote w:id="4074">
    <w:p w14:paraId="5B23F792" w14:textId="77777777" w:rsidR="00AB3647" w:rsidRDefault="00000000">
      <w:pPr>
        <w:spacing w:after="0" w:before="0"/>
        <w:jc w:val="both"/>
      </w:pPr>
      <w:r>
        <w:rPr>
          <w:sz w:val="20"/>
          <w:szCs w:val="20"/>
          <w:rtl/>
        </w:rPr>
        <w:footnoteRef/>
      </w:r>
      <w:r>
        <w:rPr>
          <w:sz w:val="20"/>
          <w:szCs w:val="20"/>
          <w:rtl/>
        </w:rPr>
        <w:t xml:space="preserve">. ראה גם פרק 5, תחילת הפסקה השנייה בנספח ב: מסיבה זו התכוון ר׳ שמעון </w:t>
      </w:r>
      <w:proofErr w:type="spellStart"/>
      <w:r>
        <w:rPr>
          <w:sz w:val="20"/>
          <w:szCs w:val="20"/>
          <w:rtl/>
        </w:rPr>
        <w:t>שקופ</w:t>
      </w:r>
      <w:proofErr w:type="spellEnd"/>
      <w:r>
        <w:rPr>
          <w:sz w:val="20"/>
          <w:szCs w:val="20"/>
          <w:rtl/>
        </w:rPr>
        <w:t xml:space="preserve"> להישאר בארצות הברית כעבור </w:t>
      </w:r>
      <w:proofErr w:type="spellStart"/>
      <w:r>
        <w:rPr>
          <w:sz w:val="20"/>
          <w:szCs w:val="20"/>
          <w:rtl/>
        </w:rPr>
        <w:t>שבע־עשרה</w:t>
      </w:r>
      <w:proofErr w:type="spellEnd"/>
      <w:r>
        <w:rPr>
          <w:sz w:val="20"/>
          <w:szCs w:val="20"/>
          <w:rtl/>
        </w:rPr>
        <w:t xml:space="preserve"> שנה.</w:t>
      </w:r>
    </w:p>
  </w:footnote>
  <w:footnote w:id="4075">
    <w:p w14:paraId="0DDD883D"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קצ</w:t>
      </w:r>
      <w:proofErr w:type="spellEnd"/>
      <w:r>
        <w:rPr>
          <w:sz w:val="20"/>
          <w:szCs w:val="20"/>
          <w:rtl/>
        </w:rPr>
        <w:t>.</w:t>
      </w:r>
    </w:p>
  </w:footnote>
  <w:footnote w:id="4076">
    <w:p w14:paraId="06C04ABB" w14:textId="77777777" w:rsidR="00AB3647" w:rsidRDefault="00000000">
      <w:pPr>
        <w:spacing w:after="0" w:before="0"/>
        <w:jc w:val="both"/>
      </w:pPr>
      <w:r>
        <w:rPr>
          <w:sz w:val="20"/>
          <w:szCs w:val="20"/>
          <w:rtl/>
        </w:rPr>
        <w:footnoteRef/>
      </w:r>
      <w:r>
        <w:rPr>
          <w:sz w:val="20"/>
          <w:szCs w:val="20"/>
          <w:rtl/>
        </w:rPr>
        <w:t xml:space="preserve">. סיפור זה, בעיקרו, נכתב בסגנון סיפורי מפורט </w:t>
      </w:r>
      <w:proofErr w:type="spellStart"/>
      <w:r>
        <w:rPr>
          <w:sz w:val="20"/>
          <w:szCs w:val="20"/>
          <w:rtl/>
        </w:rPr>
        <w:t>ב“שמושה</w:t>
      </w:r>
      <w:proofErr w:type="spellEnd"/>
      <w:r>
        <w:rPr>
          <w:sz w:val="20"/>
          <w:szCs w:val="20"/>
          <w:rtl/>
        </w:rPr>
        <w:t xml:space="preserve"> של תורה” (הערה 57 לעיל), עמ׳ רד–רז. הסיפור מסתיים בכך שר׳ חיים מספר לפעילי </w:t>
      </w:r>
      <w:proofErr w:type="spellStart"/>
      <w:r>
        <w:rPr>
          <w:sz w:val="20"/>
          <w:szCs w:val="20"/>
          <w:rtl/>
        </w:rPr>
        <w:t>וולוז׳ין</w:t>
      </w:r>
      <w:proofErr w:type="spellEnd"/>
      <w:r>
        <w:rPr>
          <w:sz w:val="20"/>
          <w:szCs w:val="20"/>
          <w:rtl/>
        </w:rPr>
        <w:t xml:space="preserve"> המעורבים בדבר מה שאירע. מתוך הנחה שתחבולתו של ר׳ חיים תיכשל, הציגו את השאלה התלמודית “אם כן מה הועילו חכמים?” [כתובות י׳ ע״א], </w:t>
      </w:r>
      <w:proofErr w:type="spellStart"/>
      <w:r>
        <w:rPr>
          <w:sz w:val="20"/>
          <w:szCs w:val="20"/>
          <w:rtl/>
        </w:rPr>
        <w:t>ו“הוא</w:t>
      </w:r>
      <w:proofErr w:type="spellEnd"/>
      <w:r>
        <w:rPr>
          <w:sz w:val="20"/>
          <w:szCs w:val="20"/>
          <w:rtl/>
        </w:rPr>
        <w:t xml:space="preserve"> השיב: ‘המושל לקח את הכסף, והכול יסתדר מאליו.’ וכך היה.”</w:t>
      </w:r>
    </w:p>
    <w:p w14:paraId="19FF8EC0" w14:textId="77777777" w:rsidR="00AB3647" w:rsidRDefault="00000000">
      <w:pPr>
        <w:spacing w:after="0" w:before="0"/>
        <w:jc w:val="both"/>
      </w:pPr>
      <w:r>
        <w:rPr>
          <w:sz w:val="20"/>
          <w:szCs w:val="20"/>
          <w:rtl/>
        </w:rPr>
        <w:t xml:space="preserve">ראה גם הערה 8 בעמ׳ ט של המבוא </w:t>
      </w:r>
      <w:proofErr w:type="spellStart"/>
      <w:r>
        <w:rPr>
          <w:sz w:val="20"/>
          <w:szCs w:val="20"/>
          <w:rtl/>
        </w:rPr>
        <w:t>ל“חידושי</w:t>
      </w:r>
      <w:proofErr w:type="spellEnd"/>
      <w:r>
        <w:rPr>
          <w:sz w:val="20"/>
          <w:szCs w:val="20"/>
          <w:rtl/>
        </w:rPr>
        <w:t xml:space="preserve"> </w:t>
      </w:r>
      <w:proofErr w:type="spellStart"/>
      <w:r>
        <w:rPr>
          <w:sz w:val="20"/>
          <w:szCs w:val="20"/>
          <w:rtl/>
        </w:rPr>
        <w:t>הגר״ח</w:t>
      </w:r>
      <w:proofErr w:type="spellEnd"/>
      <w:r>
        <w:rPr>
          <w:sz w:val="20"/>
          <w:szCs w:val="20"/>
          <w:rtl/>
        </w:rPr>
        <w:t xml:space="preserve"> בסוגיות הש״ס” (אורייתא, ירושלים, תשנ״ה). מסופר שם שר׳ </w:t>
      </w:r>
      <w:proofErr w:type="spellStart"/>
      <w:r>
        <w:rPr>
          <w:sz w:val="20"/>
          <w:szCs w:val="20"/>
          <w:rtl/>
        </w:rPr>
        <w:t>בן־ציון</w:t>
      </w:r>
      <w:proofErr w:type="spellEnd"/>
      <w:r>
        <w:rPr>
          <w:sz w:val="20"/>
          <w:szCs w:val="20"/>
          <w:rtl/>
        </w:rPr>
        <w:t xml:space="preserve"> </w:t>
      </w:r>
      <w:proofErr w:type="spellStart"/>
      <w:r>
        <w:rPr>
          <w:sz w:val="20"/>
          <w:szCs w:val="20"/>
          <w:rtl/>
        </w:rPr>
        <w:t>שטרנפלד</w:t>
      </w:r>
      <w:proofErr w:type="spellEnd"/>
      <w:r>
        <w:rPr>
          <w:sz w:val="20"/>
          <w:szCs w:val="20"/>
          <w:rtl/>
        </w:rPr>
        <w:t xml:space="preserve"> (ראה הערה 8 לעיל ופרק 3, הפסקה הרביעית בנספח יד), שמעולם לא הביט במראה, ראה בזקנותו תמונה של עצמו ונשאל איזה מין אדם נראה האיש שבתמונה. הוא השיב: צדיק וירא שמים. כשנאמר לו שזה דיוקנו שלו, הזדעזע ואמר שוודאי ניסח את הדברים מתוך נגיעה בלתי מודעת, שכן טבעו של השוחד שהוא יכול להשפיע גם מתחת לסף התודעה.</w:t>
      </w:r>
    </w:p>
  </w:footnote>
  <w:footnote w:id="4077">
    <w:p w14:paraId="7C1412AB"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קנד</w:t>
      </w:r>
      <w:proofErr w:type="spellEnd"/>
      <w:r>
        <w:rPr>
          <w:sz w:val="20"/>
          <w:szCs w:val="20"/>
          <w:rtl/>
        </w:rPr>
        <w:t>–קנה.</w:t>
      </w:r>
    </w:p>
  </w:footnote>
  <w:footnote w:id="4078">
    <w:p w14:paraId="291D2FCB" w14:textId="77777777" w:rsidR="00AB3647" w:rsidRDefault="00000000">
      <w:pPr>
        <w:spacing w:after="0" w:before="0"/>
        <w:jc w:val="both"/>
      </w:pPr>
      <w:r>
        <w:rPr>
          <w:sz w:val="20"/>
          <w:szCs w:val="20"/>
          <w:rtl/>
        </w:rPr>
        <w:footnoteRef/>
      </w:r>
      <w:r>
        <w:rPr>
          <w:sz w:val="20"/>
          <w:szCs w:val="20"/>
          <w:rtl/>
        </w:rPr>
        <w:t>. שם, פרק 2, הפסקה העשרים וחמש בנספח א, עמ׳ 212.</w:t>
      </w:r>
    </w:p>
  </w:footnote>
  <w:footnote w:id="4079">
    <w:p w14:paraId="5FBF5A62" w14:textId="77777777" w:rsidR="00AB3647" w:rsidRDefault="00000000">
      <w:pPr>
        <w:spacing w:after="0" w:before="0"/>
        <w:jc w:val="both"/>
      </w:pPr>
      <w:r>
        <w:rPr>
          <w:sz w:val="20"/>
          <w:szCs w:val="20"/>
          <w:rtl/>
        </w:rPr>
        <w:footnoteRef/>
      </w:r>
      <w:r>
        <w:rPr>
          <w:sz w:val="20"/>
          <w:szCs w:val="20"/>
          <w:rtl/>
        </w:rPr>
        <w:t>. ראה ראש השנה י״ז ע״א.</w:t>
      </w:r>
    </w:p>
  </w:footnote>
  <w:footnote w:id="4080">
    <w:p w14:paraId="4AFB410F" w14:textId="77777777" w:rsidR="00AB3647" w:rsidRDefault="00000000">
      <w:pPr>
        <w:spacing w:after="0" w:before="0"/>
        <w:jc w:val="both"/>
      </w:pPr>
      <w:r>
        <w:rPr>
          <w:sz w:val="20"/>
          <w:szCs w:val="20"/>
          <w:rtl/>
        </w:rPr>
        <w:footnoteRef/>
      </w:r>
      <w:r>
        <w:rPr>
          <w:sz w:val="20"/>
          <w:szCs w:val="20"/>
          <w:rtl/>
        </w:rPr>
        <w:t xml:space="preserve">. ראה עמ׳ 29 במאמר </w:t>
      </w:r>
      <w:proofErr w:type="spellStart"/>
      <w:r>
        <w:rPr>
          <w:sz w:val="20"/>
          <w:szCs w:val="20"/>
          <w:rtl/>
        </w:rPr>
        <w:t>ב“ישורון</w:t>
      </w:r>
      <w:proofErr w:type="spellEnd"/>
      <w:r>
        <w:rPr>
          <w:sz w:val="20"/>
          <w:szCs w:val="20"/>
          <w:rtl/>
        </w:rPr>
        <w:t>”, שם, פרק 3, נספח ט.</w:t>
      </w:r>
    </w:p>
  </w:footnote>
  <w:footnote w:id="4081">
    <w:p w14:paraId="23FBC606"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pr_f_2383 \h </w:instrText>
      </w:r>
      <w:r>
        <w:rPr>
          <w:sz w:val="20"/>
          <w:szCs w:val="20"/>
          <w:rtl/>
        </w:rPr>
      </w:r>
      <w:r>
        <w:rPr>
          <w:sz w:val="20"/>
          <w:szCs w:val="20"/>
          <w:rtl/>
        </w:rPr>
        <w:fldChar w:fldCharType="separate"/>
      </w:r>
      <w:r w:rsidR="007923E9">
        <w:rPr>
          <w:sz w:val="20"/>
          <w:szCs w:val="20"/>
          <w:rtl/>
        </w:rPr>
        <w:t>1429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082">
    <w:p w14:paraId="0CE8AB66"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הנצי״ב</w:t>
      </w:r>
      <w:proofErr w:type="spellEnd"/>
      <w:r>
        <w:rPr>
          <w:sz w:val="20"/>
          <w:szCs w:val="20"/>
          <w:rtl/>
        </w:rPr>
        <w:t xml:space="preserve"> “דן את כולם לכף זכות” (כמתואר בפרק 2, נספח א, בפסקה </w:t>
      </w:r>
      <w:proofErr w:type="spellStart"/>
      <w:r>
        <w:rPr>
          <w:sz w:val="20"/>
          <w:szCs w:val="20"/>
          <w:rtl/>
        </w:rPr>
        <w:t>התשע־עשרה</w:t>
      </w:r>
      <w:proofErr w:type="spellEnd"/>
      <w:r>
        <w:rPr>
          <w:sz w:val="20"/>
          <w:szCs w:val="20"/>
          <w:rtl/>
        </w:rPr>
        <w:t xml:space="preserve">), ולכן ייתכן שלא היה מודע לתלמידים שסרו מן הדרך </w:t>
      </w:r>
      <w:proofErr w:type="spellStart"/>
      <w:r>
        <w:rPr>
          <w:sz w:val="20"/>
          <w:szCs w:val="20"/>
          <w:rtl/>
        </w:rPr>
        <w:t>בוולוז׳ין</w:t>
      </w:r>
      <w:proofErr w:type="spellEnd"/>
      <w:r>
        <w:rPr>
          <w:sz w:val="20"/>
          <w:szCs w:val="20"/>
          <w:rtl/>
        </w:rPr>
        <w:t xml:space="preserve"> במידה שהיה מודע לכך ר׳ חיים. לפיכך חש ר׳ חיים שהוא יכול לנהוג לפי מדיניות ההרחקה שלו בלי להתנגש במישרין בגישתו המכילה של </w:t>
      </w:r>
      <w:proofErr w:type="spellStart"/>
      <w:r>
        <w:rPr>
          <w:sz w:val="20"/>
          <w:szCs w:val="20"/>
          <w:rtl/>
        </w:rPr>
        <w:t>הנצי״ב</w:t>
      </w:r>
      <w:proofErr w:type="spellEnd"/>
      <w:r>
        <w:rPr>
          <w:sz w:val="20"/>
          <w:szCs w:val="20"/>
          <w:rtl/>
        </w:rPr>
        <w:t>.</w:t>
      </w:r>
    </w:p>
  </w:footnote>
  <w:footnote w:id="4083">
    <w:p w14:paraId="55042C04" w14:textId="77777777" w:rsidR="00AB3647" w:rsidRDefault="00000000">
      <w:pPr>
        <w:spacing w:after="0" w:before="0"/>
        <w:jc w:val="both"/>
      </w:pPr>
      <w:r>
        <w:rPr>
          <w:sz w:val="20"/>
          <w:szCs w:val="20"/>
          <w:rtl/>
        </w:rPr>
        <w:footnoteRef/>
      </w:r>
      <w:r>
        <w:rPr>
          <w:sz w:val="20"/>
          <w:szCs w:val="20"/>
          <w:rtl/>
        </w:rPr>
        <w:t>. הערה 74 לעיל, עמ׳ קפה–</w:t>
      </w:r>
      <w:proofErr w:type="spellStart"/>
      <w:r>
        <w:rPr>
          <w:sz w:val="20"/>
          <w:szCs w:val="20"/>
          <w:rtl/>
        </w:rPr>
        <w:t>קפט</w:t>
      </w:r>
      <w:proofErr w:type="spellEnd"/>
      <w:r>
        <w:rPr>
          <w:sz w:val="20"/>
          <w:szCs w:val="20"/>
          <w:rtl/>
        </w:rPr>
        <w:t>.</w:t>
      </w:r>
    </w:p>
  </w:footnote>
  <w:footnote w:id="4084">
    <w:p w14:paraId="1C1965A1" w14:textId="77777777" w:rsidR="00AB3647" w:rsidRDefault="00000000">
      <w:pPr>
        <w:spacing w:after="0" w:before="0"/>
        <w:jc w:val="both"/>
      </w:pPr>
      <w:r>
        <w:rPr>
          <w:sz w:val="20"/>
          <w:szCs w:val="20"/>
          <w:rtl/>
        </w:rPr>
        <w:footnoteRef/>
      </w:r>
      <w:r>
        <w:rPr>
          <w:sz w:val="20"/>
          <w:szCs w:val="20"/>
          <w:rtl/>
        </w:rPr>
        <w:t xml:space="preserve">. שם, עמ׳ ריח </w:t>
      </w:r>
      <w:proofErr w:type="spellStart"/>
      <w:r>
        <w:rPr>
          <w:sz w:val="20"/>
          <w:szCs w:val="20"/>
          <w:rtl/>
        </w:rPr>
        <w:t>ורכג</w:t>
      </w:r>
      <w:proofErr w:type="spellEnd"/>
      <w:r>
        <w:rPr>
          <w:sz w:val="20"/>
          <w:szCs w:val="20"/>
          <w:rtl/>
        </w:rPr>
        <w:t>.</w:t>
      </w:r>
    </w:p>
  </w:footnote>
  <w:footnote w:id="4085">
    <w:p w14:paraId="155C929B" w14:textId="77777777" w:rsidR="00AB3647" w:rsidRDefault="00000000">
      <w:pPr>
        <w:spacing w:after="0" w:before="0"/>
        <w:jc w:val="both"/>
      </w:pPr>
      <w:r>
        <w:rPr>
          <w:sz w:val="20"/>
          <w:szCs w:val="20"/>
          <w:rtl/>
        </w:rPr>
        <w:footnoteRef/>
      </w:r>
      <w:r>
        <w:rPr>
          <w:sz w:val="20"/>
          <w:szCs w:val="20"/>
          <w:rtl/>
        </w:rPr>
        <w:t>. עמ׳ ריב.</w:t>
      </w:r>
    </w:p>
  </w:footnote>
  <w:footnote w:id="4086">
    <w:p w14:paraId="1B70F1DE" w14:textId="77777777" w:rsidR="00AB3647" w:rsidRDefault="00000000">
      <w:pPr>
        <w:spacing w:after="0" w:before="0"/>
        <w:jc w:val="both"/>
      </w:pPr>
      <w:r>
        <w:rPr>
          <w:sz w:val="20"/>
          <w:szCs w:val="20"/>
          <w:rtl/>
        </w:rPr>
        <w:footnoteRef/>
      </w:r>
      <w:r>
        <w:rPr>
          <w:sz w:val="20"/>
          <w:szCs w:val="20"/>
          <w:rtl/>
        </w:rPr>
        <w:t xml:space="preserve">. ההדגשה השלישית נוספה משום </w:t>
      </w:r>
      <w:proofErr w:type="spellStart"/>
      <w:r>
        <w:rPr>
          <w:sz w:val="20"/>
          <w:szCs w:val="20"/>
          <w:rtl/>
        </w:rPr>
        <w:t>שב“כוכבי</w:t>
      </w:r>
      <w:proofErr w:type="spellEnd"/>
      <w:r>
        <w:rPr>
          <w:sz w:val="20"/>
          <w:szCs w:val="20"/>
          <w:rtl/>
        </w:rPr>
        <w:t xml:space="preserve"> אור” הנדפס כתוב “הוצאתי” [על חשבוני]; אבל בהתייעצות עם ר׳ ישעיה לפין, שהוציא לאור את הכרך ומחזיק במכתבו המקורי של ר׳ </w:t>
      </w:r>
      <w:proofErr w:type="spellStart"/>
      <w:r>
        <w:rPr>
          <w:sz w:val="20"/>
          <w:szCs w:val="20"/>
          <w:rtl/>
        </w:rPr>
        <w:t>שמחה־זיסל</w:t>
      </w:r>
      <w:proofErr w:type="spellEnd"/>
      <w:r>
        <w:rPr>
          <w:sz w:val="20"/>
          <w:szCs w:val="20"/>
          <w:rtl/>
        </w:rPr>
        <w:t xml:space="preserve"> זיו, הוסכם שהנוסח הנכון הוא “הוצאתו” [על חשבונו].</w:t>
      </w:r>
    </w:p>
  </w:footnote>
  <w:footnote w:id="4087">
    <w:p w14:paraId="56FB95E8" w14:textId="77777777" w:rsidR="00AB3647" w:rsidRDefault="00000000">
      <w:pPr>
        <w:spacing w:after="0" w:before="0"/>
        <w:jc w:val="both"/>
      </w:pPr>
      <w:r>
        <w:rPr>
          <w:sz w:val="20"/>
          <w:szCs w:val="20"/>
          <w:rtl/>
        </w:rPr>
        <w:footnoteRef/>
      </w:r>
      <w:r>
        <w:rPr>
          <w:sz w:val="20"/>
          <w:szCs w:val="20"/>
          <w:rtl/>
        </w:rPr>
        <w:t xml:space="preserve">. “כוכבי אור” מציין שהכתובת אינה קריאה, ואחריה באות המילים “או ליד ר״נ” – קיצור של הכותב לשמו של ר׳ נפתלי אמסטרדם (כמו במכתבים הנדפסים שם, עמ׳ </w:t>
      </w:r>
      <w:proofErr w:type="spellStart"/>
      <w:r>
        <w:rPr>
          <w:sz w:val="20"/>
          <w:szCs w:val="20"/>
          <w:rtl/>
        </w:rPr>
        <w:t>קצד</w:t>
      </w:r>
      <w:proofErr w:type="spellEnd"/>
      <w:r>
        <w:rPr>
          <w:sz w:val="20"/>
          <w:szCs w:val="20"/>
          <w:rtl/>
        </w:rPr>
        <w:t xml:space="preserve"> </w:t>
      </w:r>
      <w:proofErr w:type="spellStart"/>
      <w:r>
        <w:rPr>
          <w:sz w:val="20"/>
          <w:szCs w:val="20"/>
          <w:rtl/>
        </w:rPr>
        <w:t>ורג</w:t>
      </w:r>
      <w:proofErr w:type="spellEnd"/>
      <w:r>
        <w:rPr>
          <w:sz w:val="20"/>
          <w:szCs w:val="20"/>
          <w:rtl/>
        </w:rPr>
        <w:t xml:space="preserve">). בוודאי אי אפשר לקשור זאת לחלקו המוקדם של המכתב, שהרי ר׳ </w:t>
      </w:r>
      <w:proofErr w:type="spellStart"/>
      <w:r>
        <w:rPr>
          <w:sz w:val="20"/>
          <w:szCs w:val="20"/>
          <w:rtl/>
        </w:rPr>
        <w:t>שמחה־זיסל</w:t>
      </w:r>
      <w:proofErr w:type="spellEnd"/>
      <w:r>
        <w:rPr>
          <w:sz w:val="20"/>
          <w:szCs w:val="20"/>
          <w:rtl/>
        </w:rPr>
        <w:t xml:space="preserve"> לא היה מבקש מר׳ </w:t>
      </w:r>
      <w:proofErr w:type="spellStart"/>
      <w:r>
        <w:rPr>
          <w:sz w:val="20"/>
          <w:szCs w:val="20"/>
          <w:rtl/>
        </w:rPr>
        <w:t>איצל׳ה</w:t>
      </w:r>
      <w:proofErr w:type="spellEnd"/>
      <w:r>
        <w:rPr>
          <w:sz w:val="20"/>
          <w:szCs w:val="20"/>
          <w:rtl/>
        </w:rPr>
        <w:t>, שגר בקובנה, לשלוח אליו תשובה באמצעות ר׳ נפתלי, שגר אף הוא בקובנה. לכן, בלי החלק החסר של המכתב, אין אנו יכולים לדעת איזה עניין מופנה “ליד ר׳ נפתלי”.</w:t>
      </w:r>
    </w:p>
  </w:footnote>
  <w:footnote w:id="4088">
    <w:p w14:paraId="0CB2D155"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לפי הלוח, ח׳ באדר ב׳ תרמ״א חל ביום רביעי. בשנים תר״מ–תרמ״ג לא חל ח׳ באדר ב׳ ביום שני כלל.</w:t>
      </w:r>
    </w:p>
  </w:footnote>
  <w:footnote w:id="4089">
    <w:p w14:paraId="43155A82" w14:textId="77777777" w:rsidR="00AB3647" w:rsidRDefault="00000000">
      <w:pPr>
        <w:spacing w:after="0" w:before="0"/>
        <w:jc w:val="both"/>
      </w:pPr>
      <w:r>
        <w:rPr>
          <w:sz w:val="20"/>
          <w:szCs w:val="20"/>
          <w:rtl/>
        </w:rPr>
        <w:footnoteRef/>
      </w:r>
      <w:r>
        <w:rPr>
          <w:sz w:val="20"/>
          <w:szCs w:val="20"/>
          <w:rtl/>
        </w:rPr>
        <w:t>. ראה את הפסקה החמישית ואת תחילת השישית בפרק 3.1, וכן את תחילת נספח ח בפרק ההוא.</w:t>
      </w:r>
    </w:p>
  </w:footnote>
  <w:footnote w:id="4090">
    <w:p w14:paraId="253E02A6" w14:textId="77777777" w:rsidR="00AB3647" w:rsidRDefault="00000000">
      <w:pPr>
        <w:spacing w:after="0" w:before="0"/>
        <w:jc w:val="both"/>
      </w:pPr>
      <w:r>
        <w:rPr>
          <w:sz w:val="20"/>
          <w:szCs w:val="20"/>
          <w:rtl/>
        </w:rPr>
        <w:footnoteRef/>
      </w:r>
      <w:r>
        <w:rPr>
          <w:sz w:val="20"/>
          <w:szCs w:val="20"/>
          <w:rtl/>
        </w:rPr>
        <w:t xml:space="preserve">. ראה את הפסקה הראשונה לעיל. הוא הכין את המבוא קודם לכן, באדר א׳, אולי בציפייה לתוצאות נסיעתו </w:t>
      </w:r>
      <w:proofErr w:type="spellStart"/>
      <w:r>
        <w:rPr>
          <w:sz w:val="20"/>
          <w:szCs w:val="20"/>
          <w:rtl/>
        </w:rPr>
        <w:t>לוולוז׳ין</w:t>
      </w:r>
      <w:proofErr w:type="spellEnd"/>
      <w:r>
        <w:rPr>
          <w:sz w:val="20"/>
          <w:szCs w:val="20"/>
          <w:rtl/>
        </w:rPr>
        <w:t>.</w:t>
      </w:r>
    </w:p>
  </w:footnote>
  <w:footnote w:id="4091">
    <w:p w14:paraId="56F8507A" w14:textId="77777777" w:rsidR="00AB3647" w:rsidRDefault="00000000">
      <w:pPr>
        <w:spacing w:after="0" w:before="0"/>
        <w:jc w:val="both"/>
      </w:pPr>
      <w:r>
        <w:rPr>
          <w:rStyle w:val="a5"/>
          <w:vertAlign w:val="superscript"/>
          <w:rtl/>
        </w:rPr>
        <w:t>*</w:t>
      </w:r>
      <w:r>
        <w:rPr>
          <w:sz w:val="20"/>
          <w:szCs w:val="20"/>
        </w:rPr>
        <w:t xml:space="preserve"> </w:t>
      </w:r>
      <w:r>
        <w:rPr>
          <w:color w:val="000000"/>
          <w:sz w:val="20"/>
          <w:szCs w:val="20"/>
          <w:rtl/>
        </w:rPr>
      </w:r>
      <w:r>
        <w:rPr>
          <w:color w:val="000000"/>
          <w:sz w:val="20"/>
          <w:szCs w:val="20"/>
          <w:rtl/>
        </w:rPr>
        <w:t xml:space="preserve"/>
      </w:r>
      <w:r>
        <w:rPr>
          <w:color w:val="000000"/>
          <w:sz w:val="20"/>
          <w:szCs w:val="20"/>
          <w:rtl/>
        </w:rPr>
        <w:t xml:space="preserve">הערת המתרגם: במקור 5846 (1886). נראה שהכוונה </w:t>
      </w:r>
      <w:proofErr w:type="spellStart"/>
      <w:r>
        <w:rPr>
          <w:color w:val="000000"/>
          <w:sz w:val="20"/>
          <w:szCs w:val="20"/>
          <w:rtl/>
        </w:rPr>
        <w:t>לתרמ״ו</w:t>
      </w:r>
      <w:proofErr w:type="spellEnd"/>
      <w:r>
        <w:rPr>
          <w:color w:val="000000"/>
          <w:sz w:val="20"/>
          <w:szCs w:val="20"/>
          <w:rtl/>
        </w:rPr>
        <w:t xml:space="preserve"> (5646), ולא לשנת 5846.</w:t>
      </w:r>
    </w:p>
  </w:footnote>
  <w:footnote w:id="4092">
    <w:p w14:paraId="0F343EAD" w14:textId="77777777" w:rsidR="00AB3647" w:rsidRDefault="00000000">
      <w:pPr>
        <w:spacing w:after="0" w:before="0"/>
        <w:jc w:val="both"/>
      </w:pPr>
      <w:r>
        <w:rPr>
          <w:sz w:val="20"/>
          <w:szCs w:val="20"/>
          <w:rtl/>
        </w:rPr>
        <w:footnoteRef/>
      </w:r>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עמ׳ ט.</w:t>
      </w:r>
    </w:p>
  </w:footnote>
  <w:footnote w:id="4093">
    <w:p w14:paraId="62552AF8" w14:textId="77777777" w:rsidR="00AB3647" w:rsidRDefault="00000000">
      <w:pPr>
        <w:spacing w:after="0" w:before="0"/>
        <w:jc w:val="both"/>
      </w:pPr>
      <w:r>
        <w:rPr>
          <w:sz w:val="20"/>
          <w:szCs w:val="20"/>
          <w:rtl/>
        </w:rPr>
        <w:footnoteRef/>
      </w:r>
      <w:r>
        <w:rPr>
          <w:sz w:val="20"/>
          <w:szCs w:val="20"/>
          <w:rtl/>
        </w:rPr>
        <w:t xml:space="preserve">. זו שנת לידתו של ר׳ </w:t>
      </w:r>
      <w:proofErr w:type="spellStart"/>
      <w:r>
        <w:rPr>
          <w:sz w:val="20"/>
          <w:szCs w:val="20"/>
          <w:rtl/>
        </w:rPr>
        <w:t>ארצ׳יק</w:t>
      </w:r>
      <w:proofErr w:type="spellEnd"/>
      <w:r>
        <w:rPr>
          <w:sz w:val="20"/>
          <w:szCs w:val="20"/>
          <w:rtl/>
        </w:rPr>
        <w:t xml:space="preserve"> לפי ספר היזכור לקהילת עיר הולדתו, “ספר </w:t>
      </w:r>
      <w:proofErr w:type="spellStart"/>
      <w:r>
        <w:rPr>
          <w:sz w:val="20"/>
          <w:szCs w:val="20"/>
          <w:rtl/>
        </w:rPr>
        <w:t>זכרון</w:t>
      </w:r>
      <w:proofErr w:type="spellEnd"/>
      <w:r>
        <w:rPr>
          <w:sz w:val="20"/>
          <w:szCs w:val="20"/>
          <w:rtl/>
        </w:rPr>
        <w:t xml:space="preserve"> לקהילת איביה” (עורך: משה </w:t>
      </w:r>
      <w:proofErr w:type="spellStart"/>
      <w:r>
        <w:rPr>
          <w:sz w:val="20"/>
          <w:szCs w:val="20"/>
          <w:rtl/>
        </w:rPr>
        <w:t>כגנוביץ</w:t>
      </w:r>
      <w:proofErr w:type="spellEnd"/>
      <w:r>
        <w:rPr>
          <w:sz w:val="20"/>
          <w:szCs w:val="20"/>
          <w:rtl/>
        </w:rPr>
        <w:t>; הוצאה משותפת של ארגוני יוצאי איביה בישראל ובאמריקה, תל אביב, תשכ״ח). ספר הנצחה אחר, “אלה אזכרה” (מאת יצחק לוין, הוצאת המכון לחקר בעיות היהדות החרדית, ניו יורק, תשי״ט), כרך א, עמ׳ 72, נותן בקירוב את אותה שנה, תרכ״ז.</w:t>
      </w:r>
    </w:p>
    <w:p w14:paraId="785E47CE" w14:textId="77777777" w:rsidR="00AB3647" w:rsidRDefault="00000000">
      <w:pPr>
        <w:spacing w:after="0" w:before="0"/>
        <w:jc w:val="both"/>
      </w:pPr>
      <w:r>
        <w:rPr>
          <w:sz w:val="20"/>
          <w:szCs w:val="20"/>
          <w:rtl/>
        </w:rPr>
        <w:t xml:space="preserve">יש גם תאריכים אחרים ללידתו: כץ, “תנועת המוסר”, כרך ה (המקור הנזכר בפרק 3, הערה 32), עמ׳ 111, נותן את השנה המוקדמת יותר תרכ״ב, </w:t>
      </w:r>
      <w:proofErr w:type="spellStart"/>
      <w:r>
        <w:rPr>
          <w:sz w:val="20"/>
          <w:szCs w:val="20"/>
          <w:rtl/>
        </w:rPr>
        <w:t>ו“לב</w:t>
      </w:r>
      <w:proofErr w:type="spellEnd"/>
      <w:r>
        <w:rPr>
          <w:sz w:val="20"/>
          <w:szCs w:val="20"/>
          <w:rtl/>
        </w:rPr>
        <w:t xml:space="preserve"> אהרן” – את השנה המאוחרת יותר תרכ״ט. היה אפשר להניח </w:t>
      </w:r>
      <w:proofErr w:type="spellStart"/>
      <w:r>
        <w:rPr>
          <w:sz w:val="20"/>
          <w:szCs w:val="20"/>
          <w:rtl/>
        </w:rPr>
        <w:t>ש“לב</w:t>
      </w:r>
      <w:proofErr w:type="spellEnd"/>
      <w:r>
        <w:rPr>
          <w:sz w:val="20"/>
          <w:szCs w:val="20"/>
          <w:rtl/>
        </w:rPr>
        <w:t xml:space="preserve"> אהרן”, שפרסמו ילדיו ושיצא לאור אחרי שלושת הספרים האחרים, יביא את שנת לידתו הנכונה של ר׳ </w:t>
      </w:r>
      <w:proofErr w:type="spellStart"/>
      <w:r>
        <w:rPr>
          <w:sz w:val="20"/>
          <w:szCs w:val="20"/>
          <w:rtl/>
        </w:rPr>
        <w:t>ארצ׳יק</w:t>
      </w:r>
      <w:proofErr w:type="spellEnd"/>
      <w:r>
        <w:rPr>
          <w:sz w:val="20"/>
          <w:szCs w:val="20"/>
          <w:rtl/>
        </w:rPr>
        <w:t xml:space="preserve"> בקשט; אבל בנו של ר׳ </w:t>
      </w:r>
      <w:proofErr w:type="spellStart"/>
      <w:r>
        <w:rPr>
          <w:sz w:val="20"/>
          <w:szCs w:val="20"/>
          <w:rtl/>
        </w:rPr>
        <w:t>ארצ׳יק</w:t>
      </w:r>
      <w:proofErr w:type="spellEnd"/>
      <w:r>
        <w:rPr>
          <w:sz w:val="20"/>
          <w:szCs w:val="20"/>
          <w:rtl/>
        </w:rPr>
        <w:t xml:space="preserve">, ר׳ דוד, אמר לי ב־8 באוקטובר 2001 </w:t>
      </w:r>
      <w:proofErr w:type="spellStart"/>
      <w:r>
        <w:rPr>
          <w:sz w:val="20"/>
          <w:szCs w:val="20"/>
          <w:rtl/>
        </w:rPr>
        <w:t>ש“ספר</w:t>
      </w:r>
      <w:proofErr w:type="spellEnd"/>
      <w:r>
        <w:rPr>
          <w:sz w:val="20"/>
          <w:szCs w:val="20"/>
          <w:rtl/>
        </w:rPr>
        <w:t xml:space="preserve"> זיכרון לקהילת איביה” הוא הסמכותי ביותר.</w:t>
      </w:r>
    </w:p>
  </w:footnote>
  <w:footnote w:id="4094">
    <w:p w14:paraId="53F59043" w14:textId="77777777" w:rsidR="00AB3647" w:rsidRDefault="00000000">
      <w:pPr>
        <w:spacing w:after="0" w:before="0"/>
        <w:jc w:val="both"/>
      </w:pPr>
      <w:r>
        <w:rPr>
          <w:sz w:val="20"/>
          <w:szCs w:val="20"/>
          <w:rtl/>
        </w:rPr>
        <w:footnoteRef/>
      </w:r>
      <w:r>
        <w:rPr>
          <w:sz w:val="20"/>
          <w:szCs w:val="20"/>
          <w:rtl/>
        </w:rPr>
        <w:t xml:space="preserve">. לשאלה שהועלתה בהערה 103 בפרק 3 – כיצד התקרב תלמיד </w:t>
      </w:r>
      <w:proofErr w:type="spellStart"/>
      <w:r>
        <w:rPr>
          <w:sz w:val="20"/>
          <w:szCs w:val="20"/>
          <w:rtl/>
        </w:rPr>
        <w:t>וולוז׳ין</w:t>
      </w:r>
      <w:proofErr w:type="spellEnd"/>
      <w:r>
        <w:rPr>
          <w:sz w:val="20"/>
          <w:szCs w:val="20"/>
          <w:rtl/>
        </w:rPr>
        <w:t xml:space="preserve">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חמיו לעתיד של רבנו, למוסר – אפשר לשער שר׳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לקח אותו </w:t>
      </w:r>
      <w:proofErr w:type="spellStart"/>
      <w:r>
        <w:rPr>
          <w:sz w:val="20"/>
          <w:szCs w:val="20"/>
          <w:rtl/>
        </w:rPr>
        <w:t>מוולוז׳ין</w:t>
      </w:r>
      <w:proofErr w:type="spellEnd"/>
      <w:r>
        <w:rPr>
          <w:sz w:val="20"/>
          <w:szCs w:val="20"/>
          <w:rtl/>
        </w:rPr>
        <w:t xml:space="preserve"> כשלקח משם את ר׳ </w:t>
      </w:r>
      <w:proofErr w:type="spellStart"/>
      <w:r>
        <w:rPr>
          <w:sz w:val="20"/>
          <w:szCs w:val="20"/>
          <w:rtl/>
        </w:rPr>
        <w:t>ארצ׳יק</w:t>
      </w:r>
      <w:proofErr w:type="spellEnd"/>
      <w:r>
        <w:rPr>
          <w:sz w:val="20"/>
          <w:szCs w:val="20"/>
          <w:rtl/>
        </w:rPr>
        <w:t xml:space="preserve">. אם כך היה, נשאר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גיל עשרים ותשע, ואז הלך </w:t>
      </w:r>
      <w:proofErr w:type="spellStart"/>
      <w:r>
        <w:rPr>
          <w:sz w:val="20"/>
          <w:szCs w:val="20"/>
          <w:rtl/>
        </w:rPr>
        <w:t>לגרובין</w:t>
      </w:r>
      <w:proofErr w:type="spellEnd"/>
      <w:r>
        <w:rPr>
          <w:sz w:val="20"/>
          <w:szCs w:val="20"/>
          <w:rtl/>
        </w:rPr>
        <w:t xml:space="preserve"> (שנפתחה שנה קודם לכן), ושם פגש את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(ראה פרק 3.2). לפי האמור בפרק 3, בפסקה השנייה של נספח </w:t>
      </w:r>
      <w:proofErr w:type="spellStart"/>
      <w:r>
        <w:rPr>
          <w:sz w:val="20"/>
          <w:szCs w:val="20"/>
          <w:rtl/>
        </w:rPr>
        <w:t>יז</w:t>
      </w:r>
      <w:proofErr w:type="spellEnd"/>
      <w:r>
        <w:rPr>
          <w:sz w:val="20"/>
          <w:szCs w:val="20"/>
          <w:rtl/>
        </w:rPr>
        <w:t xml:space="preserve">, 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נשאר </w:t>
      </w:r>
      <w:proofErr w:type="spellStart"/>
      <w:r>
        <w:rPr>
          <w:sz w:val="20"/>
          <w:szCs w:val="20"/>
          <w:rtl/>
        </w:rPr>
        <w:t>בגרובין</w:t>
      </w:r>
      <w:proofErr w:type="spellEnd"/>
      <w:r>
        <w:rPr>
          <w:sz w:val="20"/>
          <w:szCs w:val="20"/>
          <w:rtl/>
        </w:rPr>
        <w:t xml:space="preserve"> זמן קצר מאוד; והוא סיפר שלא היה פותח את הישיבה </w:t>
      </w:r>
      <w:proofErr w:type="spellStart"/>
      <w:r>
        <w:rPr>
          <w:sz w:val="20"/>
          <w:szCs w:val="20"/>
          <w:rtl/>
        </w:rPr>
        <w:t>בסלבודקה</w:t>
      </w:r>
      <w:proofErr w:type="spellEnd"/>
      <w:r>
        <w:rPr>
          <w:sz w:val="20"/>
          <w:szCs w:val="20"/>
          <w:rtl/>
        </w:rPr>
        <w:t xml:space="preserve"> (</w:t>
      </w:r>
      <w:proofErr w:type="spellStart"/>
      <w:r>
        <w:rPr>
          <w:sz w:val="20"/>
          <w:szCs w:val="20"/>
          <w:rtl/>
        </w:rPr>
        <w:t>בתרמ״ב</w:t>
      </w:r>
      <w:proofErr w:type="spellEnd"/>
      <w:r>
        <w:rPr>
          <w:sz w:val="20"/>
          <w:szCs w:val="20"/>
          <w:rtl/>
        </w:rPr>
        <w:t xml:space="preserve">) אילולא היה ר׳ </w:t>
      </w:r>
      <w:proofErr w:type="spellStart"/>
      <w:r>
        <w:rPr>
          <w:sz w:val="20"/>
          <w:szCs w:val="20"/>
          <w:rtl/>
        </w:rPr>
        <w:t xml:space="preserve">בער־הירש</w:t>
      </w:r>
      <w:proofErr w:type="spellEnd"/>
      <w:r>
        <w:rPr>
          <w:sz w:val="20"/>
          <w:szCs w:val="20"/>
          <w:rtl/>
        </w:rPr>
        <w:t xml:space="preserve"> </w:t>
      </w:r>
      <w:proofErr w:type="spellStart"/>
      <w:r>
        <w:rPr>
          <w:sz w:val="20"/>
          <w:szCs w:val="20"/>
          <w:rtl/>
        </w:rPr>
        <w:t xml:space="preserve">הלר</w:t>
      </w:r>
      <w:proofErr w:type="spellEnd"/>
      <w:r>
        <w:rPr>
          <w:sz w:val="20"/>
          <w:szCs w:val="20"/>
          <w:rtl/>
        </w:rPr>
        <w:t xml:space="preserve"> עמו. לכן נראה שהשניים השתלבו היטב זה עם זה מיד, ור׳ זבולון גרז צדק לחלוטין כשאמר שהיו “נשמה אחת” (ראה פרק 3, הערה 115).</w:t>
      </w:r>
    </w:p>
  </w:footnote>
  <w:footnote w:id="4095">
    <w:p w14:paraId="0EAC3FDF" w14:textId="77777777" w:rsidR="00AB3647" w:rsidRDefault="00000000">
      <w:pPr>
        <w:spacing w:after="0" w:before="0"/>
        <w:jc w:val="both"/>
      </w:pPr>
      <w:r>
        <w:rPr>
          <w:sz w:val="20"/>
          <w:szCs w:val="20"/>
          <w:rtl/>
        </w:rPr>
        <w:footnoteRef/>
      </w:r>
      <w:r>
        <w:rPr>
          <w:sz w:val="20"/>
          <w:szCs w:val="20"/>
          <w:rtl/>
        </w:rPr>
        <w:t>. המאמר מובא בתחילת נספח זה.</w:t>
      </w:r>
    </w:p>
  </w:footnote>
  <w:footnote w:id="4096">
    <w:p w14:paraId="011B0636" w14:textId="77777777" w:rsidR="00AB3647" w:rsidRDefault="00000000">
      <w:pPr>
        <w:spacing w:after="0" w:before="0"/>
        <w:jc w:val="both"/>
      </w:pPr>
      <w:r>
        <w:rPr>
          <w:sz w:val="20"/>
          <w:szCs w:val="20"/>
          <w:rtl/>
        </w:rPr>
        <w:footnoteRef/>
      </w:r>
      <w:r>
        <w:rPr>
          <w:sz w:val="20"/>
          <w:szCs w:val="20"/>
          <w:rtl/>
        </w:rPr>
        <w:t>. הדבר מובלט גם בשלוש הפסקאות האחרונות של פרק 3.1 בספר זה.</w:t>
      </w:r>
    </w:p>
  </w:footnote>
  <w:footnote w:id="4097">
    <w:p w14:paraId="04CA01F0" w14:textId="77777777" w:rsidR="00AB3647" w:rsidRDefault="00000000">
      <w:pPr>
        <w:spacing w:after="0" w:before="0"/>
        <w:jc w:val="both"/>
      </w:pPr>
      <w:r>
        <w:rPr>
          <w:sz w:val="20"/>
          <w:szCs w:val="20"/>
          <w:rtl/>
        </w:rPr>
        <w:footnoteRef/>
      </w:r>
      <w:r>
        <w:rPr>
          <w:sz w:val="20"/>
          <w:szCs w:val="20"/>
          <w:rtl/>
        </w:rPr>
        <w:t>. פרק 1, הערה 7.</w:t>
      </w:r>
    </w:p>
  </w:footnote>
  <w:footnote w:id="4098">
    <w:p w14:paraId="54B91021" w14:textId="77777777" w:rsidR="00AB3647" w:rsidRDefault="00000000">
      <w:pPr>
        <w:spacing w:after="0" w:before="0"/>
        <w:jc w:val="both"/>
      </w:pPr>
      <w:r>
        <w:rPr>
          <w:sz w:val="20"/>
          <w:szCs w:val="20"/>
          <w:rtl/>
        </w:rPr>
        <w:footnoteRef/>
      </w:r>
      <w:r>
        <w:rPr>
          <w:sz w:val="20"/>
          <w:szCs w:val="20"/>
          <w:rtl/>
        </w:rPr>
        <w:t>. ריאיון מ־20 באפריל 1993.</w:t>
      </w:r>
    </w:p>
  </w:footnote>
  <w:footnote w:id="4099">
    <w:p w14:paraId="5AACB350" w14:textId="77777777" w:rsidR="00AB3647" w:rsidRDefault="00000000">
      <w:pPr>
        <w:spacing w:after="0" w:before="0"/>
        <w:jc w:val="both"/>
      </w:pPr>
      <w:r>
        <w:rPr>
          <w:sz w:val="20"/>
          <w:szCs w:val="20"/>
          <w:rtl/>
        </w:rPr>
        <w:footnoteRef/>
      </w:r>
      <w:r>
        <w:rPr>
          <w:sz w:val="20"/>
          <w:szCs w:val="20"/>
          <w:rtl/>
        </w:rPr>
        <w:t xml:space="preserve">. נספח ד לעיל, עמ׳ </w:t>
      </w:r>
      <w:proofErr w:type="spellStart"/>
      <w:r>
        <w:rPr>
          <w:sz w:val="20"/>
          <w:szCs w:val="20"/>
          <w:rtl/>
        </w:rPr>
        <w:t>עג</w:t>
      </w:r>
      <w:proofErr w:type="spellEnd"/>
      <w:r>
        <w:rPr>
          <w:sz w:val="20"/>
          <w:szCs w:val="20"/>
          <w:rtl/>
        </w:rPr>
        <w:t>.</w:t>
      </w:r>
    </w:p>
  </w:footnote>
  <w:footnote w:id="4100">
    <w:p w14:paraId="2E67DF2D" w14:textId="77777777" w:rsidR="00AB3647" w:rsidRDefault="00000000">
      <w:pPr>
        <w:spacing w:after="0" w:before="0"/>
        <w:jc w:val="both"/>
      </w:pPr>
      <w:r>
        <w:rPr>
          <w:sz w:val="20"/>
          <w:szCs w:val="20"/>
          <w:rtl/>
        </w:rPr>
        <w:footnoteRef/>
      </w:r>
      <w:r>
        <w:rPr>
          <w:sz w:val="20"/>
          <w:szCs w:val="20"/>
          <w:rtl/>
        </w:rPr>
        <w:t xml:space="preserve">. הדבר מצוטט </w:t>
      </w:r>
      <w:proofErr w:type="spellStart"/>
      <w:r>
        <w:rPr>
          <w:sz w:val="20"/>
          <w:szCs w:val="20"/>
          <w:rtl/>
        </w:rPr>
        <w:t>ב“תורת</w:t>
      </w:r>
      <w:proofErr w:type="spellEnd"/>
      <w:r>
        <w:rPr>
          <w:sz w:val="20"/>
          <w:szCs w:val="20"/>
          <w:rtl/>
        </w:rPr>
        <w:t xml:space="preserve"> חיים”, עמ׳ נא במספור העמודים השני.</w:t>
      </w:r>
    </w:p>
  </w:footnote>
  <w:footnote w:id="4101">
    <w:p w14:paraId="61E99664" w14:textId="77777777" w:rsidR="00AB3647" w:rsidRDefault="00000000">
      <w:pPr>
        <w:spacing w:after="0" w:before="0"/>
        <w:jc w:val="both"/>
      </w:pPr>
      <w:r>
        <w:rPr>
          <w:sz w:val="20"/>
          <w:szCs w:val="20"/>
          <w:rtl/>
        </w:rPr>
        <w:footnoteRef/>
      </w:r>
      <w:r>
        <w:rPr>
          <w:sz w:val="20"/>
          <w:szCs w:val="20"/>
          <w:rtl/>
        </w:rPr>
        <w:t xml:space="preserve">. ראה משנה ברורה, סימן תקנ״ד, </w:t>
      </w:r>
      <w:proofErr w:type="spellStart"/>
      <w:r>
        <w:rPr>
          <w:sz w:val="20"/>
          <w:szCs w:val="20"/>
          <w:rtl/>
        </w:rPr>
        <w:t>ס״ק</w:t>
      </w:r>
      <w:proofErr w:type="spellEnd"/>
      <w:r>
        <w:rPr>
          <w:sz w:val="20"/>
          <w:szCs w:val="20"/>
          <w:rtl/>
        </w:rPr>
        <w:t xml:space="preserve"> ד.</w:t>
      </w:r>
    </w:p>
  </w:footnote>
  <w:footnote w:id="4102">
    <w:p w14:paraId="593B5A63" w14:textId="77777777" w:rsidR="00AB3647" w:rsidRDefault="00000000">
      <w:pPr>
        <w:spacing w:after="0" w:before="0"/>
        <w:jc w:val="both"/>
      </w:pPr>
      <w:r>
        <w:rPr>
          <w:sz w:val="20"/>
          <w:szCs w:val="20"/>
          <w:rtl/>
        </w:rPr>
        <w:footnoteRef/>
      </w:r>
      <w:r>
        <w:rPr>
          <w:sz w:val="20"/>
          <w:szCs w:val="20"/>
          <w:rtl/>
        </w:rPr>
        <w:t xml:space="preserve">. השווה גם פרק 5, הפסקה הרביעית של נספח ו: בעלי שיטת </w:t>
      </w:r>
      <w:proofErr w:type="spellStart"/>
      <w:r>
        <w:rPr>
          <w:sz w:val="20"/>
          <w:szCs w:val="20"/>
          <w:rtl/>
        </w:rPr>
        <w:t>בריסק</w:t>
      </w:r>
      <w:proofErr w:type="spellEnd"/>
      <w:r>
        <w:rPr>
          <w:sz w:val="20"/>
          <w:szCs w:val="20"/>
          <w:rtl/>
        </w:rPr>
        <w:t xml:space="preserve"> רואים בכל חידושיהם רק השגה של ההבנה הפשוטה של העניין, הפשט. לפיכך לימוד תורה שאינו ממצה את שיטת הלימוד בעיון כמוהו </w:t>
      </w:r>
      <w:proofErr w:type="spellStart"/>
      <w:r>
        <w:rPr>
          <w:sz w:val="20"/>
          <w:szCs w:val="20"/>
          <w:rtl/>
        </w:rPr>
        <w:t>כאי־הגעה</w:t>
      </w:r>
      <w:proofErr w:type="spellEnd"/>
      <w:r>
        <w:rPr>
          <w:sz w:val="20"/>
          <w:szCs w:val="20"/>
          <w:rtl/>
        </w:rPr>
        <w:t xml:space="preserve"> אפילו למשמעות הפשוטה של החומר. אין פלא אפוא שלימוד בדרך העיון יהיה מותר בשבעה.</w:t>
      </w:r>
    </w:p>
  </w:footnote>
  <w:footnote w:id="4103">
    <w:p w14:paraId="55075C8F" w14:textId="77777777" w:rsidR="00AB3647" w:rsidRDefault="00000000">
      <w:pPr>
        <w:spacing w:after="0" w:before="0"/>
        <w:jc w:val="both"/>
      </w:pPr>
      <w:r>
        <w:rPr>
          <w:sz w:val="20"/>
          <w:szCs w:val="20"/>
          <w:rtl/>
        </w:rPr>
        <w:footnoteRef/>
      </w:r>
      <w:r>
        <w:rPr>
          <w:sz w:val="20"/>
          <w:szCs w:val="20"/>
          <w:rtl/>
        </w:rPr>
        <w:t>. ריאיון מ־25 במאי 1999.</w:t>
      </w:r>
    </w:p>
  </w:footnote>
  <w:footnote w:id="4104">
    <w:p w14:paraId="1676B690" w14:textId="77777777" w:rsidR="00AB3647" w:rsidRDefault="00000000">
      <w:pPr>
        <w:spacing w:after="0" w:before="0"/>
        <w:jc w:val="both"/>
      </w:pPr>
      <w:r>
        <w:rPr>
          <w:sz w:val="20"/>
          <w:szCs w:val="20"/>
          <w:rtl/>
        </w:rPr>
        <w:footnoteRef/>
      </w:r>
      <w:r>
        <w:rPr>
          <w:sz w:val="20"/>
          <w:szCs w:val="20"/>
          <w:rtl/>
        </w:rPr>
        <w:t>. המקור הנזכר בפרק 3, נספח ב, עמ׳ יא–</w:t>
      </w:r>
      <w:proofErr w:type="spellStart"/>
      <w:r>
        <w:rPr>
          <w:sz w:val="20"/>
          <w:szCs w:val="20"/>
          <w:rtl/>
        </w:rPr>
        <w:t>יב</w:t>
      </w:r>
      <w:proofErr w:type="spellEnd"/>
      <w:r>
        <w:rPr>
          <w:sz w:val="20"/>
          <w:szCs w:val="20"/>
          <w:rtl/>
        </w:rPr>
        <w:t>.</w:t>
      </w:r>
    </w:p>
  </w:footnote>
  <w:footnote w:id="4105">
    <w:p w14:paraId="63467945" w14:textId="77777777" w:rsidR="00AB3647" w:rsidRDefault="00000000">
      <w:pPr>
        <w:spacing w:after="0" w:before="0"/>
        <w:jc w:val="both"/>
      </w:pPr>
      <w:r>
        <w:rPr>
          <w:sz w:val="20"/>
          <w:szCs w:val="20"/>
          <w:rtl/>
        </w:rPr>
        <w:footnoteRef/>
      </w:r>
      <w:r>
        <w:rPr>
          <w:sz w:val="20"/>
          <w:szCs w:val="20"/>
          <w:rtl/>
        </w:rPr>
        <w:t>. עמ׳ 50–51.</w:t>
      </w:r>
    </w:p>
  </w:footnote>
  <w:footnote w:id="4106">
    <w:p w14:paraId="21A7266F" w14:textId="77777777" w:rsidR="00AB3647" w:rsidRDefault="00000000">
      <w:pPr>
        <w:spacing w:after="0" w:before="0"/>
        <w:jc w:val="both"/>
      </w:pPr>
      <w:r>
        <w:rPr>
          <w:sz w:val="20"/>
          <w:szCs w:val="20"/>
          <w:rtl/>
        </w:rPr>
        <w:footnoteRef/>
      </w:r>
      <w:r>
        <w:rPr>
          <w:sz w:val="20"/>
          <w:szCs w:val="20"/>
          <w:rtl/>
        </w:rPr>
        <w:t>. הוצאת חיים, ירושלים, תשל״ב, עמ׳ שנא.</w:t>
      </w:r>
    </w:p>
  </w:footnote>
  <w:footnote w:id="4107">
    <w:p w14:paraId="247A260D" w14:textId="77777777" w:rsidR="00AB3647" w:rsidRDefault="00000000">
      <w:pPr>
        <w:spacing w:after="0" w:before="0"/>
        <w:jc w:val="both"/>
      </w:pPr>
      <w:r>
        <w:rPr>
          <w:sz w:val="20"/>
          <w:szCs w:val="20"/>
          <w:rtl/>
        </w:rPr>
        <w:footnoteRef/>
      </w:r>
      <w:r>
        <w:rPr>
          <w:sz w:val="20"/>
          <w:szCs w:val="20"/>
          <w:rtl/>
        </w:rPr>
        <w:t>. השווה לפרק 5, הערה 65.</w:t>
      </w:r>
    </w:p>
  </w:footnote>
  <w:footnote w:id="4108">
    <w:p w14:paraId="7D127D43" w14:textId="77777777" w:rsidR="00AB3647" w:rsidRDefault="00000000">
      <w:pPr>
        <w:spacing w:after="0" w:before="0"/>
        <w:jc w:val="both"/>
      </w:pPr>
      <w:r>
        <w:rPr>
          <w:sz w:val="20"/>
          <w:szCs w:val="20"/>
          <w:rtl/>
        </w:rPr>
        <w:footnoteRef/>
      </w:r>
      <w:r>
        <w:rPr>
          <w:sz w:val="20"/>
          <w:szCs w:val="20"/>
          <w:rtl/>
        </w:rPr>
        <w:t>. עמ׳ 674–675 ו־699.</w:t>
      </w:r>
    </w:p>
  </w:footnote>
  <w:footnote w:id="4109">
    <w:p w14:paraId="495C6A8D" w14:textId="77777777" w:rsidR="00AB3647" w:rsidRDefault="00000000">
      <w:pPr>
        <w:spacing w:after="0" w:before="0"/>
        <w:jc w:val="both"/>
      </w:pPr>
      <w:r>
        <w:rPr>
          <w:sz w:val="20"/>
          <w:szCs w:val="20"/>
          <w:rtl/>
        </w:rPr>
        <w:footnoteRef/>
      </w:r>
      <w:r>
        <w:rPr>
          <w:sz w:val="20"/>
          <w:szCs w:val="20"/>
          <w:rtl/>
        </w:rPr>
        <w:t>. כרך א, עמ׳ 216.</w:t>
      </w:r>
    </w:p>
  </w:footnote>
  <w:footnote w:id="4110">
    <w:p w14:paraId="79707CC2" w14:textId="77777777" w:rsidR="00AB3647" w:rsidRDefault="00000000">
      <w:pPr>
        <w:spacing w:after="0" w:before="0"/>
        <w:jc w:val="both"/>
      </w:pPr>
      <w:r>
        <w:rPr>
          <w:sz w:val="20"/>
          <w:szCs w:val="20"/>
          <w:rtl/>
        </w:rPr>
        <w:footnoteRef/>
      </w:r>
      <w:r>
        <w:rPr>
          <w:sz w:val="20"/>
          <w:szCs w:val="20"/>
          <w:rtl/>
        </w:rPr>
        <w:t>. ריאיון מ־22 במרץ 1993.</w:t>
      </w:r>
    </w:p>
  </w:footnote>
  <w:footnote w:id="4111">
    <w:p w14:paraId="6B6F2100" w14:textId="77777777" w:rsidR="00AB3647" w:rsidRDefault="00000000">
      <w:pPr>
        <w:spacing w:after="0" w:before="0"/>
        <w:jc w:val="both"/>
      </w:pPr>
      <w:r>
        <w:rPr>
          <w:sz w:val="20"/>
          <w:szCs w:val="20"/>
          <w:rtl/>
        </w:rPr>
        <w:footnoteRef/>
      </w:r>
      <w:r>
        <w:rPr>
          <w:sz w:val="20"/>
          <w:szCs w:val="20"/>
          <w:rtl/>
        </w:rPr>
        <w:t>. לפי “הראשון”, עמ׳ 113, הערה 181.</w:t>
      </w:r>
    </w:p>
  </w:footnote>
  <w:footnote w:id="4112">
    <w:p w14:paraId="2151E707" w14:textId="77777777" w:rsidR="00AB3647" w:rsidRDefault="00000000">
      <w:pPr>
        <w:spacing w:after="0" w:before="0"/>
        <w:jc w:val="both"/>
      </w:pPr>
      <w:r>
        <w:rPr>
          <w:sz w:val="20"/>
          <w:szCs w:val="20"/>
          <w:rtl/>
        </w:rPr>
        <w:footnoteRef/>
      </w:r>
      <w:r>
        <w:rPr>
          <w:sz w:val="20"/>
          <w:szCs w:val="20"/>
          <w:rtl/>
        </w:rPr>
        <w:t>. עמ׳ 287.</w:t>
      </w:r>
    </w:p>
  </w:footnote>
  <w:footnote w:id="4113">
    <w:p w14:paraId="5E18ABEB" w14:textId="77777777" w:rsidR="00AB3647" w:rsidRDefault="00000000">
      <w:pPr>
        <w:spacing w:after="0" w:before="0"/>
        <w:jc w:val="both"/>
      </w:pPr>
      <w:r>
        <w:rPr>
          <w:sz w:val="20"/>
          <w:szCs w:val="20"/>
          <w:rtl/>
        </w:rPr>
        <w:footnoteRef/>
      </w:r>
      <w:r>
        <w:rPr>
          <w:sz w:val="20"/>
          <w:szCs w:val="20"/>
          <w:rtl/>
        </w:rPr>
        <w:t>. עמ׳ 329–330.</w:t>
      </w:r>
    </w:p>
  </w:footnote>
  <w:footnote w:id="4114">
    <w:p w14:paraId="73882EEF" w14:textId="77777777" w:rsidR="00AB3647" w:rsidRDefault="00000000">
      <w:pPr>
        <w:spacing w:after="0" w:before="0"/>
        <w:jc w:val="both"/>
      </w:pPr>
      <w:r>
        <w:rPr>
          <w:sz w:val="20"/>
          <w:szCs w:val="20"/>
          <w:rtl/>
        </w:rPr>
        <w:footnoteRef/>
      </w:r>
      <w:r>
        <w:rPr>
          <w:sz w:val="20"/>
          <w:szCs w:val="20"/>
          <w:rtl/>
        </w:rPr>
        <w:t xml:space="preserve">. ירושלים, תשל״ג, עמ׳ </w:t>
      </w:r>
      <w:proofErr w:type="spellStart"/>
      <w:r>
        <w:rPr>
          <w:sz w:val="20"/>
          <w:szCs w:val="20"/>
          <w:rtl/>
        </w:rPr>
        <w:t>רלא</w:t>
      </w:r>
      <w:proofErr w:type="spellEnd"/>
      <w:r>
        <w:rPr>
          <w:sz w:val="20"/>
          <w:szCs w:val="20"/>
          <w:rtl/>
        </w:rPr>
        <w:t>–</w:t>
      </w:r>
      <w:proofErr w:type="spellStart"/>
      <w:r>
        <w:rPr>
          <w:sz w:val="20"/>
          <w:szCs w:val="20"/>
          <w:rtl/>
        </w:rPr>
        <w:t>רלב</w:t>
      </w:r>
      <w:proofErr w:type="spellEnd"/>
      <w:r>
        <w:rPr>
          <w:sz w:val="20"/>
          <w:szCs w:val="20"/>
          <w:rtl/>
        </w:rPr>
        <w:t>.</w:t>
      </w:r>
    </w:p>
  </w:footnote>
  <w:footnote w:id="4115">
    <w:p w14:paraId="4A7D7B7D" w14:textId="77777777" w:rsidR="00AB3647" w:rsidRDefault="00000000">
      <w:pPr>
        <w:spacing w:after="0" w:before="0"/>
        <w:jc w:val="both"/>
      </w:pPr>
      <w:r>
        <w:rPr>
          <w:sz w:val="20"/>
          <w:szCs w:val="20"/>
          <w:rtl/>
        </w:rPr>
        <w:footnoteRef/>
      </w:r>
      <w:r>
        <w:rPr>
          <w:sz w:val="20"/>
          <w:szCs w:val="20"/>
          <w:rtl/>
        </w:rPr>
        <w:t xml:space="preserve">. ראה פרק 3, הפסקה השנייה של נספח </w:t>
      </w:r>
      <w:proofErr w:type="spellStart"/>
      <w:r>
        <w:rPr>
          <w:sz w:val="20"/>
          <w:szCs w:val="20"/>
          <w:rtl/>
        </w:rPr>
        <w:t>טז</w:t>
      </w:r>
      <w:proofErr w:type="spellEnd"/>
      <w:r>
        <w:rPr>
          <w:sz w:val="20"/>
          <w:szCs w:val="20"/>
          <w:rtl/>
        </w:rPr>
        <w:t xml:space="preserve">, על שני סוגי המשגיחים, ועל האפשרות שהסוג המפקח כבר שימש </w:t>
      </w:r>
      <w:proofErr w:type="spellStart"/>
      <w:r>
        <w:rPr>
          <w:sz w:val="20"/>
          <w:szCs w:val="20"/>
          <w:rtl/>
        </w:rPr>
        <w:t>בוולוז׳ין</w:t>
      </w:r>
      <w:proofErr w:type="spellEnd"/>
      <w:r>
        <w:rPr>
          <w:sz w:val="20"/>
          <w:szCs w:val="20"/>
          <w:rtl/>
        </w:rPr>
        <w:t xml:space="preserve"> בימי ר׳ חיים, מייסד הישיבה.</w:t>
      </w:r>
    </w:p>
  </w:footnote>
  <w:footnote w:id="4116">
    <w:p w14:paraId="4AF73D35" w14:textId="77777777" w:rsidR="00AB3647" w:rsidRDefault="00000000">
      <w:pPr>
        <w:spacing w:after="0" w:before="0"/>
        <w:jc w:val="both"/>
      </w:pPr>
      <w:r>
        <w:rPr>
          <w:sz w:val="20"/>
          <w:szCs w:val="20"/>
          <w:rtl/>
        </w:rPr>
        <w:footnoteRef/>
      </w:r>
      <w:r>
        <w:rPr>
          <w:sz w:val="20"/>
          <w:szCs w:val="20"/>
          <w:rtl/>
        </w:rPr>
        <w:t xml:space="preserve">. מסר חתנו ר׳ ישראל </w:t>
      </w:r>
      <w:proofErr w:type="spellStart"/>
      <w:r>
        <w:rPr>
          <w:sz w:val="20"/>
          <w:szCs w:val="20"/>
          <w:rtl/>
        </w:rPr>
        <w:t>שורין</w:t>
      </w:r>
      <w:proofErr w:type="spellEnd"/>
      <w:r>
        <w:rPr>
          <w:sz w:val="20"/>
          <w:szCs w:val="20"/>
          <w:rtl/>
        </w:rPr>
        <w:t>, בריאיון מ־2 באוגוסט 1992.</w:t>
      </w:r>
    </w:p>
  </w:footnote>
  <w:footnote w:id="4117">
    <w:p w14:paraId="09F3E915" w14:textId="77777777" w:rsidR="00AB3647" w:rsidRDefault="00000000">
      <w:pPr>
        <w:spacing w:after="0" w:before="0"/>
        <w:jc w:val="both"/>
      </w:pPr>
      <w:r>
        <w:rPr>
          <w:sz w:val="20"/>
          <w:szCs w:val="20"/>
          <w:rtl/>
        </w:rPr>
        <w:footnoteRef/>
      </w:r>
      <w:r>
        <w:rPr>
          <w:sz w:val="20"/>
          <w:szCs w:val="20"/>
          <w:rtl/>
        </w:rPr>
        <w:t>. עמ׳ רכו.</w:t>
      </w:r>
    </w:p>
  </w:footnote>
  <w:footnote w:id="4118">
    <w:p w14:paraId="6D418166" w14:textId="77777777" w:rsidR="00AB3647" w:rsidRDefault="00000000">
      <w:pPr>
        <w:spacing w:after="0" w:before="0"/>
        <w:jc w:val="both"/>
      </w:pPr>
      <w:r>
        <w:rPr>
          <w:sz w:val="20"/>
          <w:szCs w:val="20"/>
          <w:rtl/>
        </w:rPr>
        <w:footnoteRef/>
      </w:r>
      <w:r>
        <w:rPr>
          <w:sz w:val="20"/>
          <w:szCs w:val="20"/>
          <w:rtl/>
        </w:rPr>
        <w:t>. כץ, “תנועת המוסר”, כרך ב, עמ׳ 245.</w:t>
      </w:r>
    </w:p>
  </w:footnote>
  <w:footnote w:id="4119">
    <w:p w14:paraId="050E1DCB"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תשצד</w:t>
      </w:r>
      <w:proofErr w:type="spellEnd"/>
      <w:r>
        <w:rPr>
          <w:sz w:val="20"/>
          <w:szCs w:val="20"/>
          <w:rtl/>
        </w:rPr>
        <w:t>.</w:t>
      </w:r>
    </w:p>
  </w:footnote>
  <w:footnote w:id="4120">
    <w:p w14:paraId="0999B26A" w14:textId="77777777" w:rsidR="00AB3647" w:rsidRDefault="00000000">
      <w:pPr>
        <w:spacing w:after="0" w:before="0"/>
        <w:jc w:val="both"/>
      </w:pPr>
      <w:r>
        <w:rPr>
          <w:sz w:val="20"/>
          <w:szCs w:val="20"/>
          <w:rtl/>
        </w:rPr>
        <w:footnoteRef/>
      </w:r>
      <w:r>
        <w:rPr>
          <w:sz w:val="20"/>
          <w:szCs w:val="20"/>
          <w:rtl/>
        </w:rPr>
        <w:t xml:space="preserve">. סוף המשפט, מן הפסיק ואילך, בוודאי נאמר מפי </w:t>
      </w:r>
      <w:proofErr w:type="spellStart"/>
      <w:r>
        <w:rPr>
          <w:sz w:val="20"/>
          <w:szCs w:val="20"/>
          <w:rtl/>
        </w:rPr>
        <w:t>ה“מישהו</w:t>
      </w:r>
      <w:proofErr w:type="spellEnd"/>
      <w:r>
        <w:rPr>
          <w:sz w:val="20"/>
          <w:szCs w:val="20"/>
          <w:rtl/>
        </w:rPr>
        <w:t>”, ולא מפי ר׳ נפתלי.</w:t>
      </w:r>
    </w:p>
  </w:footnote>
  <w:footnote w:id="4121">
    <w:p w14:paraId="685E52CA" w14:textId="77777777" w:rsidR="00AB3647" w:rsidRDefault="00000000">
      <w:pPr>
        <w:spacing w:after="0" w:before="0"/>
        <w:jc w:val="both"/>
      </w:pPr>
      <w:r>
        <w:rPr>
          <w:sz w:val="20"/>
          <w:szCs w:val="20"/>
          <w:rtl/>
        </w:rPr>
        <w:footnoteRef/>
      </w:r>
      <w:r>
        <w:rPr>
          <w:sz w:val="20"/>
          <w:szCs w:val="20"/>
          <w:rtl/>
        </w:rPr>
        <w:t>. השווה לספרו של כץ, “תנועת המוסר”, כרך ב, עמ׳ 284.</w:t>
      </w:r>
    </w:p>
  </w:footnote>
  <w:footnote w:id="4122">
    <w:p w14:paraId="059AF7C3" w14:textId="77777777" w:rsidR="00AB3647" w:rsidRDefault="00000000">
      <w:pPr>
        <w:spacing w:after="0" w:before="0"/>
        <w:jc w:val="both"/>
      </w:pPr>
      <w:r>
        <w:rPr>
          <w:sz w:val="20"/>
          <w:szCs w:val="20"/>
          <w:rtl/>
        </w:rPr>
        <w:footnoteRef/>
      </w:r>
      <w:r>
        <w:rPr>
          <w:sz w:val="20"/>
          <w:szCs w:val="20"/>
          <w:rtl/>
        </w:rPr>
        <w:t>. הערה 58 לעיל.</w:t>
      </w:r>
    </w:p>
  </w:footnote>
  <w:footnote w:id="4123">
    <w:p w14:paraId="251FA84B" w14:textId="77777777" w:rsidR="00AB3647" w:rsidRDefault="00000000">
      <w:pPr>
        <w:spacing w:after="0" w:before="0"/>
        <w:jc w:val="both"/>
      </w:pPr>
      <w:r>
        <w:rPr>
          <w:sz w:val="20"/>
          <w:szCs w:val="20"/>
          <w:rtl/>
        </w:rPr>
        <w:footnoteRef/>
      </w:r>
      <w:r>
        <w:rPr>
          <w:sz w:val="20"/>
          <w:szCs w:val="20"/>
          <w:rtl/>
        </w:rPr>
        <w:t xml:space="preserve">. גם לקח זה של ר׳ ישראל סותר את הקביעה </w:t>
      </w:r>
      <w:proofErr w:type="spellStart"/>
      <w:r>
        <w:rPr>
          <w:sz w:val="20"/>
          <w:szCs w:val="20"/>
          <w:rtl/>
        </w:rPr>
        <w:t>ב“פליטת</w:t>
      </w:r>
      <w:proofErr w:type="spellEnd"/>
      <w:r>
        <w:rPr>
          <w:sz w:val="20"/>
          <w:szCs w:val="20"/>
          <w:rtl/>
        </w:rPr>
        <w:t xml:space="preserve"> סופרים” הנזכרת בפרק 3, נספח ב, על תלמידו העיקרי של ר׳ ישראל, ר׳ </w:t>
      </w:r>
      <w:proofErr w:type="spellStart"/>
      <w:r>
        <w:rPr>
          <w:sz w:val="20"/>
          <w:szCs w:val="20"/>
          <w:rtl/>
        </w:rPr>
        <w:t>שמחה־זיסל</w:t>
      </w:r>
      <w:proofErr w:type="spellEnd"/>
      <w:r>
        <w:rPr>
          <w:sz w:val="20"/>
          <w:szCs w:val="20"/>
          <w:rtl/>
        </w:rPr>
        <w:t>.</w:t>
      </w:r>
    </w:p>
  </w:footnote>
  <w:footnote w:id="4124">
    <w:p w14:paraId="4A87FE6B" w14:textId="77777777" w:rsidR="00AB3647" w:rsidRDefault="00000000">
      <w:pPr>
        <w:spacing w:after="0" w:before="0"/>
        <w:jc w:val="both"/>
      </w:pPr>
      <w:r>
        <w:rPr>
          <w:sz w:val="20"/>
          <w:szCs w:val="20"/>
          <w:rtl/>
        </w:rPr>
        <w:footnoteRef/>
      </w:r>
      <w:r>
        <w:rPr>
          <w:sz w:val="20"/>
          <w:szCs w:val="20"/>
          <w:rtl/>
        </w:rPr>
        <w:t xml:space="preserve">. השווה לספרו של </w:t>
      </w:r>
      <w:proofErr w:type="spellStart"/>
      <w:r>
        <w:rPr>
          <w:sz w:val="20"/>
          <w:szCs w:val="20"/>
          <w:rtl/>
        </w:rPr>
        <w:t>דבורץ</w:t>
      </w:r>
      <w:proofErr w:type="spellEnd"/>
      <w:r>
        <w:rPr>
          <w:sz w:val="20"/>
          <w:szCs w:val="20"/>
          <w:rtl/>
        </w:rPr>
        <w:t xml:space="preserve">, “הגאון רבי משה מרדכי אפשטיין” (המקור הנזכר בפרק 3, נספח ו), עמ׳ 20, שבו מובאת אמרה ברוח זו, שככל הנראה נאמרה מפי ר׳ ישראל: “להיות צנוע בתוך הפרסום ונסתר בתוך הנגלה”. השווה גם להערה 1 לעיל, על דבקותו של הסבא </w:t>
      </w:r>
      <w:proofErr w:type="spellStart"/>
      <w:r>
        <w:rPr>
          <w:sz w:val="20"/>
          <w:szCs w:val="20"/>
          <w:rtl/>
        </w:rPr>
        <w:t>מסלבודקה</w:t>
      </w:r>
      <w:proofErr w:type="spellEnd"/>
      <w:r>
        <w:rPr>
          <w:sz w:val="20"/>
          <w:szCs w:val="20"/>
          <w:rtl/>
        </w:rPr>
        <w:t xml:space="preserve"> בעיקרון זה.</w:t>
      </w:r>
    </w:p>
  </w:footnote>
  <w:footnote w:id="4125">
    <w:p w14:paraId="5E38190C" w14:textId="77777777" w:rsidR="00AB3647" w:rsidRDefault="00000000">
      <w:pPr>
        <w:spacing w:after="0" w:before="0"/>
        <w:jc w:val="both"/>
      </w:pPr>
      <w:r>
        <w:rPr>
          <w:sz w:val="20"/>
          <w:szCs w:val="20"/>
          <w:rtl/>
        </w:rPr>
        <w:footnoteRef/>
      </w:r>
      <w:r>
        <w:rPr>
          <w:sz w:val="20"/>
          <w:szCs w:val="20"/>
          <w:rtl/>
        </w:rPr>
        <w:t>. עמ׳ 331.</w:t>
      </w:r>
    </w:p>
  </w:footnote>
  <w:footnote w:id="4126">
    <w:p w14:paraId="2925DAD2" w14:textId="77777777" w:rsidR="00AB3647" w:rsidRDefault="00000000">
      <w:pPr>
        <w:spacing w:after="0" w:before="0"/>
        <w:jc w:val="both"/>
      </w:pPr>
      <w:r>
        <w:rPr>
          <w:sz w:val="20"/>
          <w:szCs w:val="20"/>
          <w:rtl/>
        </w:rPr>
        <w:footnoteRef/>
      </w:r>
      <w:r>
        <w:rPr>
          <w:sz w:val="20"/>
          <w:szCs w:val="20"/>
          <w:rtl/>
        </w:rPr>
        <w:t xml:space="preserve">. הערה 20 לעיל, כרך ב, עמ׳ </w:t>
      </w:r>
      <w:proofErr w:type="spellStart"/>
      <w:r>
        <w:rPr>
          <w:sz w:val="20"/>
          <w:szCs w:val="20"/>
          <w:rtl/>
        </w:rPr>
        <w:t>תשסט</w:t>
      </w:r>
      <w:proofErr w:type="spellEnd"/>
      <w:r>
        <w:rPr>
          <w:sz w:val="20"/>
          <w:szCs w:val="20"/>
          <w:rtl/>
        </w:rPr>
        <w:t>.</w:t>
      </w:r>
    </w:p>
  </w:footnote>
  <w:footnote w:id="4127">
    <w:p w14:paraId="2C486EA0" w14:textId="77777777" w:rsidR="00AB3647" w:rsidRDefault="00000000">
      <w:pPr>
        <w:spacing w:after="0" w:before="0"/>
        <w:jc w:val="both"/>
      </w:pPr>
      <w:r>
        <w:rPr>
          <w:sz w:val="20"/>
          <w:szCs w:val="20"/>
          <w:rtl/>
        </w:rPr>
        <w:footnoteRef/>
      </w:r>
      <w:r>
        <w:rPr>
          <w:sz w:val="20"/>
          <w:szCs w:val="20"/>
          <w:rtl/>
        </w:rPr>
        <w:t xml:space="preserve">. מצוטט שם, עמ׳ </w:t>
      </w:r>
      <w:proofErr w:type="spellStart"/>
      <w:r>
        <w:rPr>
          <w:sz w:val="20"/>
          <w:szCs w:val="20"/>
          <w:rtl/>
        </w:rPr>
        <w:t>תשעב</w:t>
      </w:r>
      <w:proofErr w:type="spellEnd"/>
      <w:r>
        <w:rPr>
          <w:sz w:val="20"/>
          <w:szCs w:val="20"/>
          <w:rtl/>
        </w:rPr>
        <w:t>.</w:t>
      </w:r>
    </w:p>
  </w:footnote>
  <w:footnote w:id="4128">
    <w:p w14:paraId="71C8BCC6" w14:textId="77777777" w:rsidR="00AB3647" w:rsidRDefault="00000000">
      <w:pPr>
        <w:spacing w:after="0" w:before="0"/>
        <w:jc w:val="both"/>
      </w:pPr>
      <w:r>
        <w:rPr>
          <w:sz w:val="20"/>
          <w:szCs w:val="20"/>
          <w:rtl/>
        </w:rPr>
        <w:footnoteRef/>
      </w:r>
      <w:r>
        <w:rPr>
          <w:sz w:val="20"/>
          <w:szCs w:val="20"/>
          <w:rtl/>
        </w:rPr>
        <w:t>. אבות, פרק א, משנה ד.</w:t>
      </w:r>
    </w:p>
  </w:footnote>
  <w:footnote w:id="4129">
    <w:p w14:paraId="3CFEF12A" w14:textId="77777777" w:rsidR="00AB3647" w:rsidRDefault="00000000">
      <w:pPr>
        <w:spacing w:after="0" w:before="0"/>
        <w:jc w:val="both"/>
      </w:pPr>
      <w:r>
        <w:rPr>
          <w:sz w:val="20"/>
          <w:szCs w:val="20"/>
          <w:rtl/>
        </w:rPr>
        <w:footnoteRef/>
      </w:r>
      <w:r>
        <w:rPr>
          <w:sz w:val="20"/>
          <w:szCs w:val="20"/>
          <w:rtl/>
        </w:rPr>
        <w:t>. השווה גם לפרק 2, סוף הערה 93.</w:t>
      </w:r>
    </w:p>
  </w:footnote>
  <w:footnote w:id="4130">
    <w:p w14:paraId="1B76AE34" w14:textId="77777777" w:rsidR="00AB3647" w:rsidRDefault="00000000">
      <w:pPr>
        <w:spacing w:after="0" w:before="0"/>
        <w:jc w:val="both"/>
      </w:pPr>
      <w:r>
        <w:rPr>
          <w:sz w:val="20"/>
          <w:szCs w:val="20"/>
          <w:rtl/>
        </w:rPr>
        <w:footnoteRef/>
      </w:r>
      <w:r>
        <w:rPr>
          <w:sz w:val="20"/>
          <w:szCs w:val="20"/>
          <w:rtl/>
        </w:rPr>
        <w:t>. עמ׳ 144.</w:t>
      </w:r>
    </w:p>
  </w:footnote>
  <w:footnote w:id="4131">
    <w:p w14:paraId="3305C17B" w14:textId="77777777" w:rsidR="00AB3647" w:rsidRDefault="00000000">
      <w:pPr>
        <w:spacing w:after="0" w:before="0"/>
        <w:jc w:val="both"/>
      </w:pPr>
      <w:r>
        <w:rPr>
          <w:sz w:val="20"/>
          <w:szCs w:val="20"/>
          <w:rtl/>
        </w:rPr>
        <w:footnoteRef/>
      </w:r>
      <w:r>
        <w:rPr>
          <w:sz w:val="20"/>
          <w:szCs w:val="20"/>
          <w:rtl/>
        </w:rPr>
        <w:t>. השווה לפרק 3, נספח ב, ולספרו של כץ, “תנועת המוסר”, כרך א, עמ׳ 117–119.</w:t>
      </w:r>
    </w:p>
  </w:footnote>
  <w:footnote w:id="4132">
    <w:p w14:paraId="7EDC552F" w14:textId="77777777" w:rsidR="00AB3647" w:rsidRDefault="00000000">
      <w:pPr>
        <w:spacing w:after="0" w:before="0"/>
        <w:jc w:val="both"/>
      </w:pPr>
      <w:r>
        <w:rPr>
          <w:sz w:val="20"/>
          <w:szCs w:val="20"/>
          <w:rtl/>
        </w:rPr>
        <w:footnoteRef/>
      </w:r>
      <w:r>
        <w:rPr>
          <w:sz w:val="20"/>
          <w:szCs w:val="20"/>
          <w:rtl/>
        </w:rPr>
        <w:t>. עמ׳ 144–145.</w:t>
      </w:r>
    </w:p>
  </w:footnote>
  <w:footnote w:id="4133">
    <w:p w14:paraId="65BCF38B" w14:textId="77777777" w:rsidR="00AB3647" w:rsidRDefault="00000000">
      <w:pPr>
        <w:spacing w:after="0" w:before="0"/>
        <w:jc w:val="both"/>
      </w:pPr>
      <w:r>
        <w:rPr>
          <w:sz w:val="20"/>
          <w:szCs w:val="20"/>
          <w:rtl/>
        </w:rPr>
        <w:footnoteRef/>
      </w:r>
      <w:r>
        <w:rPr>
          <w:sz w:val="20"/>
          <w:szCs w:val="20"/>
          <w:rtl/>
        </w:rPr>
        <w:t>. הערה 23 בעמ׳ 145.</w:t>
      </w:r>
    </w:p>
  </w:footnote>
  <w:footnote w:id="4134">
    <w:p w14:paraId="1CD804EC" w14:textId="77777777" w:rsidR="00AB3647" w:rsidRDefault="00000000">
      <w:pPr>
        <w:spacing w:after="0" w:before="0"/>
        <w:jc w:val="both"/>
      </w:pPr>
      <w:r>
        <w:rPr>
          <w:sz w:val="20"/>
          <w:szCs w:val="20"/>
          <w:rtl/>
        </w:rPr>
        <w:footnoteRef/>
      </w:r>
      <w:r>
        <w:rPr>
          <w:sz w:val="20"/>
          <w:szCs w:val="20"/>
          <w:rtl/>
        </w:rPr>
        <w:t>. ראה פרק 2, הערה 48.</w:t>
      </w:r>
    </w:p>
  </w:footnote>
  <w:footnote w:id="4135">
    <w:p w14:paraId="26419B04" w14:textId="77777777" w:rsidR="00AB3647" w:rsidRDefault="00000000">
      <w:pPr>
        <w:spacing w:after="0" w:before="0"/>
        <w:jc w:val="both"/>
      </w:pPr>
      <w:r>
        <w:rPr>
          <w:sz w:val="20"/>
          <w:szCs w:val="20"/>
          <w:rtl/>
        </w:rPr>
        <w:footnoteRef/>
      </w:r>
      <w:r>
        <w:rPr>
          <w:sz w:val="20"/>
          <w:szCs w:val="20"/>
          <w:rtl/>
        </w:rPr>
        <w:t xml:space="preserve">. תהלים </w:t>
      </w:r>
      <w:proofErr w:type="spellStart"/>
      <w:r>
        <w:rPr>
          <w:sz w:val="20"/>
          <w:szCs w:val="20"/>
          <w:rtl/>
        </w:rPr>
        <w:t>קיח</w:t>
      </w:r>
      <w:proofErr w:type="spellEnd"/>
      <w:r>
        <w:rPr>
          <w:sz w:val="20"/>
          <w:szCs w:val="20"/>
          <w:rtl/>
        </w:rPr>
        <w:t xml:space="preserve">, </w:t>
      </w:r>
      <w:proofErr w:type="spellStart"/>
      <w:r>
        <w:rPr>
          <w:sz w:val="20"/>
          <w:szCs w:val="20"/>
          <w:rtl/>
        </w:rPr>
        <w:t>יט</w:t>
      </w:r>
      <w:proofErr w:type="spellEnd"/>
      <w:r>
        <w:rPr>
          <w:sz w:val="20"/>
          <w:szCs w:val="20"/>
          <w:rtl/>
        </w:rPr>
        <w:t xml:space="preserve">–כ. נראה שפסוקים אלה היו אהובים גם על ר׳ </w:t>
      </w:r>
      <w:proofErr w:type="spellStart"/>
      <w:r>
        <w:rPr>
          <w:sz w:val="20"/>
          <w:szCs w:val="20"/>
          <w:rtl/>
        </w:rPr>
        <w:t>איצל׳ה</w:t>
      </w:r>
      <w:proofErr w:type="spellEnd"/>
      <w:r>
        <w:rPr>
          <w:sz w:val="20"/>
          <w:szCs w:val="20"/>
          <w:rtl/>
        </w:rPr>
        <w:t xml:space="preserve"> </w:t>
      </w:r>
      <w:proofErr w:type="spellStart"/>
      <w:r>
        <w:rPr>
          <w:sz w:val="20"/>
          <w:szCs w:val="20"/>
          <w:rtl/>
        </w:rPr>
        <w:t>פטרבורגר</w:t>
      </w:r>
      <w:proofErr w:type="spellEnd"/>
      <w:r>
        <w:rPr>
          <w:sz w:val="20"/>
          <w:szCs w:val="20"/>
          <w:rtl/>
        </w:rPr>
        <w:t>, לפי “</w:t>
      </w:r>
      <w:proofErr w:type="spellStart"/>
      <w:r>
        <w:rPr>
          <w:sz w:val="20"/>
          <w:szCs w:val="20"/>
          <w:rtl/>
        </w:rPr>
        <w:t>שמוש</w:t>
      </w:r>
      <w:proofErr w:type="spellEnd"/>
      <w:r>
        <w:rPr>
          <w:sz w:val="20"/>
          <w:szCs w:val="20"/>
          <w:rtl/>
        </w:rPr>
        <w:t xml:space="preserve"> חכמים” (המקור הנזכר בפרק 2, הפסקה </w:t>
      </w:r>
      <w:proofErr w:type="spellStart"/>
      <w:r>
        <w:rPr>
          <w:sz w:val="20"/>
          <w:szCs w:val="20"/>
          <w:rtl/>
        </w:rPr>
        <w:t>התשע־עשרה</w:t>
      </w:r>
      <w:proofErr w:type="spellEnd"/>
      <w:r>
        <w:rPr>
          <w:sz w:val="20"/>
          <w:szCs w:val="20"/>
          <w:rtl/>
        </w:rPr>
        <w:t xml:space="preserve"> של נספח א), עמ׳ </w:t>
      </w:r>
      <w:proofErr w:type="spellStart"/>
      <w:r>
        <w:rPr>
          <w:sz w:val="20"/>
          <w:szCs w:val="20"/>
          <w:rtl/>
        </w:rPr>
        <w:t>קכא</w:t>
      </w:r>
      <w:proofErr w:type="spellEnd"/>
      <w:r>
        <w:rPr>
          <w:sz w:val="20"/>
          <w:szCs w:val="20"/>
          <w:rtl/>
        </w:rPr>
        <w:t>. מסופר שם שר׳ אהרן (</w:t>
      </w:r>
      <w:proofErr w:type="spellStart"/>
      <w:r>
        <w:rPr>
          <w:sz w:val="20"/>
          <w:szCs w:val="20"/>
          <w:rtl/>
        </w:rPr>
        <w:t>ארצ׳יק</w:t>
      </w:r>
      <w:proofErr w:type="spellEnd"/>
      <w:r>
        <w:rPr>
          <w:sz w:val="20"/>
          <w:szCs w:val="20"/>
          <w:rtl/>
        </w:rPr>
        <w:t xml:space="preserve">) בקשט (ראה פרק 3, תחילת הפסקה השנייה של נספח י) סיפר שנסע פעם עם ר׳ </w:t>
      </w:r>
      <w:proofErr w:type="spellStart"/>
      <w:r>
        <w:rPr>
          <w:sz w:val="20"/>
          <w:szCs w:val="20"/>
          <w:rtl/>
        </w:rPr>
        <w:t>איצל׳ה</w:t>
      </w:r>
      <w:proofErr w:type="spellEnd"/>
      <w:r>
        <w:rPr>
          <w:sz w:val="20"/>
          <w:szCs w:val="20"/>
          <w:rtl/>
        </w:rPr>
        <w:t xml:space="preserve"> לפטרבורג, ובדרך לנו בפונדק. כשחשב ר׳ </w:t>
      </w:r>
      <w:proofErr w:type="spellStart"/>
      <w:r>
        <w:rPr>
          <w:sz w:val="20"/>
          <w:szCs w:val="20"/>
          <w:rtl/>
        </w:rPr>
        <w:t>איצל׳ה</w:t>
      </w:r>
      <w:proofErr w:type="spellEnd"/>
      <w:r>
        <w:rPr>
          <w:sz w:val="20"/>
          <w:szCs w:val="20"/>
          <w:rtl/>
        </w:rPr>
        <w:t xml:space="preserve"> שמלווהו ישן, התחיל לחזור ולומר: “מה אני מבקש ממך, אלוהים? ‘פתחו לי...’; ומה התשובה שאני מקבל משמים? ‘זה השער לה׳ צדיקים יבואו בו׳ – צדיקים נכנסים, לא אתה [און </w:t>
      </w:r>
      <w:proofErr w:type="spellStart"/>
      <w:r>
        <w:rPr>
          <w:sz w:val="20"/>
          <w:szCs w:val="20"/>
          <w:rtl/>
        </w:rPr>
        <w:t>נישט</w:t>
      </w:r>
      <w:proofErr w:type="spellEnd"/>
      <w:r>
        <w:rPr>
          <w:sz w:val="20"/>
          <w:szCs w:val="20"/>
          <w:rtl/>
        </w:rPr>
        <w:t xml:space="preserve"> דו].” וכך חזר על הדברים כל הלילה.</w:t>
      </w:r>
    </w:p>
    <w:p w14:paraId="3DE4B4A8" w14:textId="77777777" w:rsidR="00AB3647" w:rsidRDefault="00000000">
      <w:pPr>
        <w:spacing w:after="0" w:before="0"/>
        <w:jc w:val="both"/>
      </w:pPr>
      <w:r>
        <w:rPr>
          <w:sz w:val="20"/>
          <w:szCs w:val="20"/>
          <w:rtl/>
        </w:rPr>
        <w:t xml:space="preserve">שם מובא סיפור (בלתי ייאמן) בשם “בעלי המוסר הגדולים </w:t>
      </w:r>
      <w:proofErr w:type="spellStart"/>
      <w:r>
        <w:rPr>
          <w:sz w:val="20"/>
          <w:szCs w:val="20"/>
          <w:rtl/>
        </w:rPr>
        <w:t>מנובהרדוק</w:t>
      </w:r>
      <w:proofErr w:type="spellEnd"/>
      <w:r>
        <w:rPr>
          <w:sz w:val="20"/>
          <w:szCs w:val="20"/>
          <w:rtl/>
        </w:rPr>
        <w:t xml:space="preserve">”: ר׳ </w:t>
      </w:r>
      <w:proofErr w:type="spellStart"/>
      <w:r>
        <w:rPr>
          <w:sz w:val="20"/>
          <w:szCs w:val="20"/>
          <w:rtl/>
        </w:rPr>
        <w:t>שמחה־זיסל</w:t>
      </w:r>
      <w:proofErr w:type="spellEnd"/>
      <w:r>
        <w:rPr>
          <w:sz w:val="20"/>
          <w:szCs w:val="20"/>
          <w:rtl/>
        </w:rPr>
        <w:t xml:space="preserve"> למד מוסר “כשבע שעות”, וחזר על פסוקים אלה, “עד שפתאום קפץ ממקומו כאילו הכישו נחש, וקרא: ‘אוי, הלא הוא באמת פתוח; מדוע אין נכנסים?!’”</w:t>
      </w:r>
    </w:p>
  </w:footnote>
  <w:footnote w:id="4136">
    <w:p w14:paraId="09F36075" w14:textId="77777777" w:rsidR="00AB3647" w:rsidRDefault="00000000">
      <w:pPr>
        <w:spacing w:after="0" w:before="0"/>
        <w:jc w:val="both"/>
      </w:pPr>
      <w:r>
        <w:rPr>
          <w:sz w:val="20"/>
          <w:szCs w:val="20"/>
          <w:rtl/>
        </w:rPr>
        <w:footnoteRef/>
      </w:r>
      <w:r>
        <w:rPr>
          <w:sz w:val="20"/>
          <w:szCs w:val="20"/>
          <w:rtl/>
        </w:rPr>
        <w:t>. הערה 74 לעיל, עמ׳ 13.</w:t>
      </w:r>
    </w:p>
  </w:footnote>
  <w:footnote w:id="4137">
    <w:p w14:paraId="58C830A9" w14:textId="77777777" w:rsidR="00AB3647" w:rsidRDefault="00000000">
      <w:pPr>
        <w:spacing w:after="0" w:before="0"/>
        <w:jc w:val="both"/>
      </w:pPr>
      <w:r>
        <w:rPr>
          <w:sz w:val="20"/>
          <w:szCs w:val="20"/>
          <w:rtl/>
        </w:rPr>
        <w:footnoteRef/>
      </w:r>
      <w:r>
        <w:rPr>
          <w:sz w:val="20"/>
          <w:szCs w:val="20"/>
          <w:rtl/>
        </w:rPr>
        <w:t>. עמ׳ רצח.</w:t>
      </w:r>
    </w:p>
  </w:footnote>
  <w:footnote w:id="4138">
    <w:p w14:paraId="12FF9A2A" w14:textId="77777777" w:rsidR="00AB3647" w:rsidRDefault="00000000">
      <w:pPr>
        <w:spacing w:after="0" w:before="0"/>
        <w:jc w:val="both"/>
      </w:pPr>
      <w:r>
        <w:rPr>
          <w:sz w:val="20"/>
          <w:szCs w:val="20"/>
          <w:rtl/>
        </w:rPr>
        <w:footnoteRef/>
      </w:r>
      <w:r>
        <w:rPr>
          <w:sz w:val="20"/>
          <w:szCs w:val="20"/>
          <w:rtl/>
        </w:rPr>
        <w:t>. השווה להערה 158 לעיל.</w:t>
      </w:r>
    </w:p>
  </w:footnote>
  <w:footnote w:id="4139">
    <w:p w14:paraId="72C9FDC5" w14:textId="77777777" w:rsidR="00AB3647" w:rsidRDefault="00000000">
      <w:pPr>
        <w:spacing w:after="0" w:before="0"/>
        <w:jc w:val="both"/>
      </w:pPr>
      <w:r>
        <w:rPr>
          <w:sz w:val="20"/>
          <w:szCs w:val="20"/>
          <w:rtl/>
        </w:rPr>
        <w:footnoteRef/>
      </w:r>
      <w:r>
        <w:rPr>
          <w:sz w:val="20"/>
          <w:szCs w:val="20"/>
          <w:rtl/>
        </w:rPr>
        <w:t>. השווה לפרק 3, נספח ב.</w:t>
      </w:r>
    </w:p>
  </w:footnote>
  <w:footnote w:id="4140">
    <w:p w14:paraId="4A195777" w14:textId="77777777" w:rsidR="00AB3647" w:rsidRDefault="00000000">
      <w:pPr>
        <w:spacing w:after="0" w:before="0"/>
        <w:jc w:val="both"/>
      </w:pPr>
      <w:r>
        <w:rPr>
          <w:sz w:val="20"/>
          <w:szCs w:val="20"/>
          <w:rtl/>
        </w:rPr>
        <w:footnoteRef/>
      </w:r>
      <w:r>
        <w:rPr>
          <w:sz w:val="20"/>
          <w:szCs w:val="20"/>
          <w:rtl/>
        </w:rPr>
        <w:t xml:space="preserve">. ועיין בפלא יועץ (ערך גילה) סיפור על אודות </w:t>
      </w:r>
      <w:proofErr w:type="spellStart"/>
      <w:r>
        <w:rPr>
          <w:sz w:val="20"/>
          <w:szCs w:val="20"/>
          <w:rtl/>
        </w:rPr>
        <w:t>הריב״ש</w:t>
      </w:r>
      <w:proofErr w:type="spellEnd"/>
      <w:r>
        <w:rPr>
          <w:sz w:val="20"/>
          <w:szCs w:val="20"/>
          <w:rtl/>
        </w:rPr>
        <w:t xml:space="preserve"> שהפיג את יינו ע״י מחשבת פחד יר״ש. ראה גם הערה 158 לעיל, על הסברו של אבי לשיבתו של ר׳ נפתלי לפיכחון.</w:t>
      </w:r>
    </w:p>
  </w:footnote>
  <w:footnote w:id="4141">
    <w:p w14:paraId="493D5575" w14:textId="77777777" w:rsidR="00AB3647" w:rsidRDefault="00000000">
      <w:pPr>
        <w:spacing w:after="0" w:before="0"/>
        <w:jc w:val="both"/>
      </w:pPr>
      <w:r>
        <w:rPr>
          <w:sz w:val="20"/>
          <w:szCs w:val="20"/>
          <w:rtl/>
        </w:rPr>
        <w:footnoteRef/>
      </w:r>
      <w:r>
        <w:rPr>
          <w:sz w:val="20"/>
          <w:szCs w:val="20"/>
          <w:rtl/>
        </w:rPr>
        <w:t xml:space="preserve">. המקור הנזכר בפרק 3, הפסקה הראשונה של נספח ח, עמ׳ </w:t>
      </w:r>
      <w:proofErr w:type="spellStart"/>
      <w:r>
        <w:rPr>
          <w:sz w:val="20"/>
          <w:szCs w:val="20"/>
          <w:rtl/>
        </w:rPr>
        <w:t>נה</w:t>
      </w:r>
      <w:proofErr w:type="spellEnd"/>
      <w:r>
        <w:rPr>
          <w:sz w:val="20"/>
          <w:szCs w:val="20"/>
          <w:rtl/>
        </w:rPr>
        <w:t>.</w:t>
      </w:r>
    </w:p>
  </w:footnote>
  <w:footnote w:id="4142">
    <w:p w14:paraId="5104528D" w14:textId="77777777" w:rsidR="00AB3647" w:rsidRDefault="00000000">
      <w:pPr>
        <w:spacing w:after="0" w:before="0"/>
        <w:jc w:val="both"/>
      </w:pPr>
      <w:r>
        <w:rPr>
          <w:sz w:val="20"/>
          <w:szCs w:val="20"/>
          <w:rtl/>
        </w:rPr>
        <w:footnoteRef/>
      </w:r>
      <w:r>
        <w:rPr>
          <w:sz w:val="20"/>
          <w:szCs w:val="20"/>
          <w:rtl/>
        </w:rPr>
        <w:t>. תחילת נספח ט לעיל, עמ׳ 699.</w:t>
      </w:r>
    </w:p>
  </w:footnote>
  <w:footnote w:id="4143">
    <w:p w14:paraId="2DDFDE64" w14:textId="77777777" w:rsidR="00AB3647" w:rsidRDefault="00000000">
      <w:pPr>
        <w:spacing w:after="0" w:before="0"/>
        <w:jc w:val="both"/>
      </w:pPr>
      <w:r>
        <w:rPr>
          <w:sz w:val="20"/>
          <w:szCs w:val="20"/>
          <w:rtl/>
        </w:rPr>
        <w:footnoteRef/>
      </w:r>
      <w:r>
        <w:rPr>
          <w:sz w:val="20"/>
          <w:szCs w:val="20"/>
          <w:rtl/>
        </w:rPr>
        <w:t>. מסר ב־19 באוגוסט 1991.</w:t>
      </w:r>
    </w:p>
  </w:footnote>
  <w:footnote w:id="4144">
    <w:p w14:paraId="00635CC7" w14:textId="77777777" w:rsidR="00AB3647" w:rsidRDefault="00000000">
      <w:pPr>
        <w:spacing w:after="0" w:before="0"/>
        <w:jc w:val="both"/>
      </w:pPr>
      <w:r>
        <w:rPr>
          <w:sz w:val="20"/>
          <w:szCs w:val="20"/>
          <w:rtl/>
        </w:rPr>
        <w:footnoteRef/>
      </w:r>
      <w:r>
        <w:rPr>
          <w:sz w:val="20"/>
          <w:szCs w:val="20"/>
          <w:rtl/>
        </w:rPr>
        <w:t>. הענווה באמירה כזאת מבוססת על היות הדובר מבוגר מן השומעים; היא משתמעת כאילו השומעים אכן אדוקים יותר ממורם.</w:t>
      </w:r>
    </w:p>
  </w:footnote>
  <w:footnote w:id="4145">
    <w:p w14:paraId="7EEAE57A" w14:textId="77777777" w:rsidR="00AB3647" w:rsidRDefault="00000000">
      <w:pPr>
        <w:spacing w:after="0" w:before="0"/>
        <w:jc w:val="both"/>
      </w:pPr>
      <w:r>
        <w:rPr>
          <w:sz w:val="20"/>
          <w:szCs w:val="20"/>
          <w:rtl/>
        </w:rPr>
        <w:footnoteRef/>
      </w:r>
      <w:r>
        <w:rPr>
          <w:sz w:val="20"/>
          <w:szCs w:val="20"/>
          <w:rtl/>
        </w:rPr>
        <w:t>. אולי גם אמירה זו נמסרה לרבנו בידי ר׳ נפתלי.</w:t>
      </w:r>
    </w:p>
  </w:footnote>
  <w:footnote w:id="4146">
    <w:p w14:paraId="14727974" w14:textId="77777777" w:rsidR="00AB3647" w:rsidRDefault="00000000">
      <w:pPr>
        <w:spacing w:after="0" w:before="0"/>
        <w:jc w:val="both"/>
      </w:pPr>
      <w:r>
        <w:rPr>
          <w:sz w:val="20"/>
          <w:szCs w:val="20"/>
          <w:rtl/>
        </w:rPr>
        <w:footnoteRef/>
      </w:r>
      <w:r>
        <w:rPr>
          <w:sz w:val="20"/>
          <w:szCs w:val="20"/>
          <w:rtl/>
        </w:rPr>
        <w:t xml:space="preserve">. כרך ב, עמ׳ </w:t>
      </w:r>
      <w:proofErr w:type="spellStart"/>
      <w:r>
        <w:rPr>
          <w:sz w:val="20"/>
          <w:szCs w:val="20"/>
          <w:rtl/>
        </w:rPr>
        <w:t>תשצ</w:t>
      </w:r>
      <w:proofErr w:type="spellEnd"/>
      <w:r>
        <w:rPr>
          <w:sz w:val="20"/>
          <w:szCs w:val="20"/>
          <w:rtl/>
        </w:rPr>
        <w:t xml:space="preserve"> ולב.</w:t>
      </w:r>
    </w:p>
  </w:footnote>
  <w:footnote w:id="4147">
    <w:p w14:paraId="06AA09DF" w14:textId="77777777" w:rsidR="00AB3647" w:rsidRDefault="00000000">
      <w:pPr>
        <w:spacing w:after="0" w:before="0"/>
        <w:jc w:val="both"/>
      </w:pPr>
      <w:r>
        <w:rPr>
          <w:sz w:val="20"/>
          <w:szCs w:val="20"/>
          <w:rtl/>
        </w:rPr>
        <w:footnoteRef/>
      </w:r>
      <w:r>
        <w:rPr>
          <w:sz w:val="20"/>
          <w:szCs w:val="20"/>
          <w:rtl/>
        </w:rPr>
        <w:t>. ראה גם פרק 3, הפסקה הראשונה של נספח א, על מנהג זה.</w:t>
      </w:r>
    </w:p>
  </w:footnote>
  <w:footnote w:id="4148">
    <w:p w14:paraId="4449625D" w14:textId="77777777" w:rsidR="00AB3647" w:rsidRDefault="00000000">
      <w:pPr>
        <w:spacing w:after="0" w:before="0"/>
        <w:jc w:val="both"/>
      </w:pPr>
      <w:r>
        <w:rPr>
          <w:sz w:val="20"/>
          <w:szCs w:val="20"/>
          <w:rtl/>
        </w:rPr>
        <w:footnoteRef/>
      </w:r>
      <w:r>
        <w:rPr>
          <w:sz w:val="20"/>
          <w:szCs w:val="20"/>
          <w:rtl/>
        </w:rPr>
        <w:t xml:space="preserve">. בבדיקה שערכתי מצאתי תשעה פסוקים אחרים המתחילים ביו״ד ומסתיימים בבי״ת, ואין בהם שם ה׳ כלל: דברים לב, ב; יחזקאל לב, </w:t>
      </w:r>
      <w:proofErr w:type="spellStart"/>
      <w:r>
        <w:rPr>
          <w:sz w:val="20"/>
          <w:szCs w:val="20"/>
          <w:rtl/>
        </w:rPr>
        <w:t>כא</w:t>
      </w:r>
      <w:proofErr w:type="spellEnd"/>
      <w:r>
        <w:rPr>
          <w:sz w:val="20"/>
          <w:szCs w:val="20"/>
          <w:rtl/>
        </w:rPr>
        <w:t xml:space="preserve">; שם מה, ב; יואל ד, </w:t>
      </w:r>
      <w:proofErr w:type="spellStart"/>
      <w:r>
        <w:rPr>
          <w:sz w:val="20"/>
          <w:szCs w:val="20"/>
          <w:rtl/>
        </w:rPr>
        <w:t>יב</w:t>
      </w:r>
      <w:proofErr w:type="spellEnd"/>
      <w:r>
        <w:rPr>
          <w:sz w:val="20"/>
          <w:szCs w:val="20"/>
          <w:rtl/>
        </w:rPr>
        <w:t xml:space="preserve">; תהלים מח, ג; משלי א, כד; שם </w:t>
      </w:r>
      <w:proofErr w:type="spellStart"/>
      <w:r>
        <w:rPr>
          <w:sz w:val="20"/>
          <w:szCs w:val="20"/>
          <w:rtl/>
        </w:rPr>
        <w:t>יג</w:t>
      </w:r>
      <w:proofErr w:type="spellEnd"/>
      <w:r>
        <w:rPr>
          <w:sz w:val="20"/>
          <w:szCs w:val="20"/>
          <w:rtl/>
        </w:rPr>
        <w:t xml:space="preserve">, ז; איוב לד, טו; ושם לט, </w:t>
      </w:r>
      <w:proofErr w:type="spellStart"/>
      <w:r>
        <w:rPr>
          <w:sz w:val="20"/>
          <w:szCs w:val="20"/>
          <w:rtl/>
        </w:rPr>
        <w:t>כב</w:t>
      </w:r>
      <w:proofErr w:type="spellEnd"/>
      <w:r>
        <w:rPr>
          <w:sz w:val="20"/>
          <w:szCs w:val="20"/>
          <w:rtl/>
        </w:rPr>
        <w:t>. מתוכם נראים מתאימים הפסוקים שבדברים ובתהלים. ייתכן שבתקופתו האדוקה במיוחד לא בחר באחד מהם משום ששניהם אינם מעוררים כמו הפסוק הנזכר לעיל, שיש בו שם אחד. חזרתו לפסוק בעל שני השמות המובא בסידור הייתה כנראה בשל יתרונו הנוסף: שמו המלא הוא המילה האחרונה בו.</w:t>
      </w:r>
    </w:p>
  </w:footnote>
  <w:footnote w:id="4149">
    <w:p w14:paraId="4E4F6605" w14:textId="77777777" w:rsidR="00AB3647" w:rsidRDefault="00000000">
      <w:pPr>
        <w:spacing w:after="0" w:before="0"/>
        <w:jc w:val="both"/>
      </w:pPr>
      <w:r>
        <w:rPr>
          <w:sz w:val="20"/>
          <w:szCs w:val="20"/>
          <w:rtl/>
        </w:rPr>
        <w:footnoteRef/>
      </w:r>
      <w:r>
        <w:rPr>
          <w:sz w:val="20"/>
          <w:szCs w:val="20"/>
          <w:rtl/>
        </w:rPr>
        <w:t>. נספח ט לעיל, עמ׳ 501–502.</w:t>
      </w:r>
    </w:p>
  </w:footnote>
  <w:footnote w:id="4150">
    <w:p w14:paraId="5709BEA8" w14:textId="77777777" w:rsidR="00AB3647" w:rsidRDefault="00000000">
      <w:pPr>
        <w:spacing w:after="0" w:before="0"/>
        <w:jc w:val="both"/>
      </w:pPr>
      <w:r>
        <w:rPr>
          <w:sz w:val="20"/>
          <w:szCs w:val="20"/>
          <w:rtl/>
        </w:rPr>
        <w:footnoteRef/>
      </w:r>
      <w:r>
        <w:rPr>
          <w:sz w:val="20"/>
          <w:szCs w:val="20"/>
          <w:rtl/>
        </w:rPr>
        <w:t>. השווה לכרך 2.</w:t>
      </w:r>
    </w:p>
  </w:footnote>
  <w:footnote w:id="4151">
    <w:p w14:paraId="2BE42200" w14:textId="77777777" w:rsidR="00AB3647" w:rsidRDefault="00000000">
      <w:pPr>
        <w:spacing w:after="0" w:before="0"/>
        <w:jc w:val="both"/>
      </w:pPr>
      <w:r>
        <w:rPr>
          <w:sz w:val="20"/>
          <w:szCs w:val="20"/>
          <w:rtl/>
        </w:rPr>
        <w:footnoteRef/>
      </w:r>
      <w:r>
        <w:rPr>
          <w:sz w:val="20"/>
          <w:szCs w:val="20"/>
          <w:rtl/>
        </w:rPr>
        <w:t>. ריאיון מ־6 בספטמבר 1997. ראה כרך 3.</w:t>
      </w:r>
    </w:p>
  </w:footnote>
  <w:footnote w:id="4152">
    <w:p w14:paraId="69F93436" w14:textId="77777777" w:rsidR="00AB3647" w:rsidRDefault="00000000">
      <w:pPr>
        <w:spacing w:after="0" w:before="0"/>
        <w:jc w:val="both"/>
      </w:pPr>
      <w:r>
        <w:rPr>
          <w:sz w:val="20"/>
          <w:szCs w:val="20"/>
          <w:rtl/>
        </w:rPr>
        <w:footnoteRef/>
      </w:r>
      <w:r>
        <w:rPr>
          <w:sz w:val="20"/>
          <w:szCs w:val="20"/>
          <w:rtl/>
        </w:rPr>
        <w:t>. ר׳ פרץ הוסיף כשמסר את גרסתו: “זהו סיפור אחד שאדם מרקע חסידי לא יוכל להבין, משום שלאדם כזה אכילת שרויה, אפילו בהוראת רבו, אינה מתקבלת על הדעת.”</w:t>
      </w:r>
    </w:p>
  </w:footnote>
  <w:footnote w:id="4153">
    <w:p w14:paraId="1854F022" w14:textId="77777777" w:rsidR="00AB3647" w:rsidRDefault="00000000">
      <w:pPr>
        <w:spacing w:after="0" w:before="0"/>
        <w:jc w:val="both"/>
      </w:pPr>
      <w:r>
        <w:rPr>
          <w:sz w:val="20"/>
          <w:szCs w:val="20"/>
          <w:rtl/>
        </w:rPr>
        <w:footnoteRef/>
      </w:r>
      <w:r>
        <w:rPr>
          <w:sz w:val="20"/>
          <w:szCs w:val="20"/>
          <w:rtl/>
        </w:rPr>
        <w:t>. “רבי יעקב” (המקור הנזכר בהקדמה), עמ׳ 418–419.</w:t>
      </w:r>
    </w:p>
  </w:footnote>
  <w:footnote w:id="4154">
    <w:p w14:paraId="0D8D0D24" w14:textId="77777777" w:rsidR="00AB3647" w:rsidRDefault="00000000">
      <w:pPr>
        <w:spacing w:after="0" w:before="0"/>
        <w:jc w:val="both"/>
      </w:pPr>
      <w:r>
        <w:rPr>
          <w:sz w:val="20"/>
          <w:szCs w:val="20"/>
          <w:rtl/>
        </w:rPr>
        <w:footnoteRef/>
      </w:r>
      <w:r>
        <w:rPr>
          <w:sz w:val="20"/>
          <w:szCs w:val="20"/>
          <w:rtl/>
        </w:rPr>
        <w:t xml:space="preserve">. “ר׳ יעקב” (המקור הנזכר בהקדמה), עמ׳ 335, המספר את </w:t>
      </w:r>
      <w:proofErr w:type="spellStart"/>
      <w:r>
        <w:rPr>
          <w:sz w:val="20"/>
          <w:szCs w:val="20"/>
          <w:rtl/>
        </w:rPr>
        <w:t>ה“סיפור</w:t>
      </w:r>
      <w:proofErr w:type="spellEnd"/>
      <w:r>
        <w:rPr>
          <w:sz w:val="20"/>
          <w:szCs w:val="20"/>
          <w:rtl/>
        </w:rPr>
        <w:t xml:space="preserve"> המפורסם” כשהסבא הוא המארח, מתאר את אבי כמי שסירב לא רק למרק ולקניידלך, אלא לכל ההזמנה לאכול בבית רבו בפסח.</w:t>
      </w:r>
    </w:p>
  </w:footnote>
  <w:footnote w:id="4155">
    <w:p w14:paraId="773DC7CF" w14:textId="77777777" w:rsidR="00AB3647" w:rsidRDefault="00000000">
      <w:pPr>
        <w:spacing w:after="0" w:before="0"/>
        <w:jc w:val="both"/>
      </w:pPr>
      <w:r>
        <w:rPr>
          <w:sz w:val="20"/>
          <w:szCs w:val="20"/>
          <w:rtl/>
        </w:rPr>
        <w:footnoteRef/>
      </w:r>
      <w:r>
        <w:rPr>
          <w:sz w:val="20"/>
          <w:szCs w:val="20"/>
          <w:rtl/>
        </w:rPr>
        <w:t>. ראה גם את הפסקה הבאה להגדרתו של אבי את “</w:t>
      </w:r>
      <w:proofErr w:type="spellStart"/>
      <w:r>
        <w:rPr>
          <w:sz w:val="20"/>
          <w:szCs w:val="20"/>
          <w:rtl/>
        </w:rPr>
        <w:t>פרומקייט</w:t>
      </w:r>
      <w:proofErr w:type="spellEnd"/>
      <w:r>
        <w:rPr>
          <w:sz w:val="20"/>
          <w:szCs w:val="20"/>
          <w:rtl/>
        </w:rPr>
        <w:t>” של צעירים.</w:t>
      </w:r>
    </w:p>
  </w:footnote>
  <w:footnote w:id="4156">
    <w:p w14:paraId="18275713" w14:textId="77777777" w:rsidR="00AB3647" w:rsidRDefault="00000000">
      <w:pPr>
        <w:spacing w:after="0" w:before="0"/>
        <w:jc w:val="both"/>
      </w:pPr>
      <w:r>
        <w:rPr>
          <w:sz w:val="20"/>
          <w:szCs w:val="20"/>
          <w:rtl/>
        </w:rPr>
        <w:footnoteRef/>
      </w:r>
      <w:r>
        <w:rPr>
          <w:sz w:val="20"/>
          <w:szCs w:val="20"/>
          <w:rtl/>
        </w:rPr>
        <w:t>. בשנים מאוחרות יותר אמר אבי שבמצות הנאפות ביד אין לחשוש שנשאר קמח שלא נאפה. אבל במצות הנאפות במכונה, שהבצק שלהן נילוש במעט מאוד מים לפני שהוא עובר בתנור, יש מקום לחשש.</w:t>
      </w:r>
    </w:p>
  </w:footnote>
  <w:footnote w:id="4157">
    <w:p w14:paraId="38442595" w14:textId="77777777" w:rsidR="00AB3647" w:rsidRDefault="00000000">
      <w:pPr>
        <w:spacing w:after="0" w:before="0"/>
        <w:jc w:val="both"/>
      </w:pPr>
      <w:r>
        <w:rPr>
          <w:sz w:val="20"/>
          <w:szCs w:val="20"/>
          <w:rtl/>
        </w:rPr>
        <w:footnoteRef/>
      </w:r>
      <w:r>
        <w:rPr>
          <w:sz w:val="20"/>
          <w:szCs w:val="20"/>
          <w:rtl/>
        </w:rPr>
        <w:t xml:space="preserve">. סיפור דומה מסופר </w:t>
      </w:r>
      <w:proofErr w:type="spellStart"/>
      <w:r>
        <w:rPr>
          <w:sz w:val="20"/>
          <w:szCs w:val="20"/>
          <w:rtl/>
        </w:rPr>
        <w:t>ב“ויקהל</w:t>
      </w:r>
      <w:proofErr w:type="spellEnd"/>
      <w:r>
        <w:rPr>
          <w:sz w:val="20"/>
          <w:szCs w:val="20"/>
          <w:rtl/>
        </w:rPr>
        <w:t xml:space="preserve"> משה” מאת משה הכהן גורדון (ברוקלין, ניו יורק, תשט״ז), חלק א, עמ׳ לו, על ר׳ עזריאל </w:t>
      </w:r>
      <w:proofErr w:type="spellStart"/>
      <w:r>
        <w:rPr>
          <w:sz w:val="20"/>
          <w:szCs w:val="20"/>
          <w:rtl/>
        </w:rPr>
        <w:t>הילדסהיימר</w:t>
      </w:r>
      <w:proofErr w:type="spellEnd"/>
      <w:r>
        <w:rPr>
          <w:sz w:val="20"/>
          <w:szCs w:val="20"/>
          <w:rtl/>
        </w:rPr>
        <w:t xml:space="preserve"> (</w:t>
      </w:r>
      <w:proofErr w:type="spellStart"/>
      <w:r>
        <w:rPr>
          <w:sz w:val="20"/>
          <w:szCs w:val="20"/>
          <w:rtl/>
        </w:rPr>
        <w:t>תק״ף</w:t>
      </w:r>
      <w:proofErr w:type="spellEnd"/>
      <w:r>
        <w:rPr>
          <w:sz w:val="20"/>
          <w:szCs w:val="20"/>
          <w:rtl/>
        </w:rPr>
        <w:t xml:space="preserve">–תרנ״ט). ר׳ עזריאל, שעישן הרבה, נקרא בשבת לפגישה עם קנצלר גרמניה אוטו פון </w:t>
      </w:r>
      <w:proofErr w:type="spellStart"/>
      <w:r>
        <w:rPr>
          <w:sz w:val="20"/>
          <w:szCs w:val="20"/>
          <w:rtl/>
        </w:rPr>
        <w:t>ביסמרק</w:t>
      </w:r>
      <w:proofErr w:type="spellEnd"/>
      <w:r>
        <w:rPr>
          <w:sz w:val="20"/>
          <w:szCs w:val="20"/>
          <w:rtl/>
        </w:rPr>
        <w:t xml:space="preserve"> (1815–1898). המארח הציע לרב סיגר בכבוד, ור׳ עזריאל הודה לקנצלר ואמר: “אדוני השר, אין אני מעשן.” מאז לא עישן עד סוף ימיו.</w:t>
      </w:r>
    </w:p>
  </w:footnote>
  <w:footnote w:id="4158">
    <w:p w14:paraId="29628904" w14:textId="77777777" w:rsidR="00AB3647" w:rsidRDefault="00000000">
      <w:pPr>
        <w:spacing w:after="0" w:before="0"/>
        <w:jc w:val="both"/>
      </w:pPr>
      <w:r>
        <w:rPr>
          <w:sz w:val="20"/>
          <w:szCs w:val="20"/>
          <w:rtl/>
        </w:rPr>
        <w:footnoteRef/>
      </w:r>
      <w:r>
        <w:rPr>
          <w:sz w:val="20"/>
          <w:szCs w:val="20"/>
          <w:rtl/>
        </w:rPr>
        <w:t>. בתחילת ינואר 1988.</w:t>
      </w:r>
    </w:p>
  </w:footnote>
  <w:footnote w:id="4159">
    <w:p w14:paraId="442F27A8" w14:textId="77777777" w:rsidR="00AB3647" w:rsidRDefault="00000000">
      <w:pPr>
        <w:spacing w:after="0" w:before="0"/>
        <w:jc w:val="both"/>
      </w:pPr>
      <w:r>
        <w:rPr>
          <w:sz w:val="20"/>
          <w:szCs w:val="20"/>
          <w:rtl/>
        </w:rPr>
        <w:footnoteRef/>
      </w:r>
      <w:r>
        <w:rPr>
          <w:sz w:val="20"/>
          <w:szCs w:val="20"/>
          <w:rtl/>
        </w:rPr>
        <w:t>. ריאיון מ־16 בדצמבר 1987.</w:t>
      </w:r>
    </w:p>
  </w:footnote>
  <w:footnote w:id="4160">
    <w:p w14:paraId="601143A0" w14:textId="77777777" w:rsidR="00AB3647" w:rsidRDefault="00000000">
      <w:pPr>
        <w:spacing w:after="0" w:before="0"/>
        <w:jc w:val="both"/>
      </w:pPr>
      <w:r>
        <w:rPr>
          <w:sz w:val="20"/>
          <w:szCs w:val="20"/>
          <w:rtl/>
        </w:rPr>
        <w:footnoteRef/>
      </w:r>
      <w:r>
        <w:rPr>
          <w:sz w:val="20"/>
          <w:szCs w:val="20"/>
          <w:rtl/>
        </w:rPr>
        <w:t>. מרשימות שכתב בחיי אבי.</w:t>
      </w:r>
    </w:p>
  </w:footnote>
  <w:footnote w:id="4161">
    <w:p w14:paraId="115C4B09" w14:textId="77777777" w:rsidR="00AB3647" w:rsidRDefault="00000000">
      <w:pPr>
        <w:spacing w:after="0" w:before="0"/>
        <w:jc w:val="both"/>
      </w:pPr>
      <w:r>
        <w:rPr>
          <w:sz w:val="20"/>
          <w:szCs w:val="20"/>
          <w:rtl/>
        </w:rPr>
        <w:footnoteRef/>
      </w:r>
      <w:r>
        <w:rPr>
          <w:sz w:val="20"/>
          <w:szCs w:val="20"/>
          <w:rtl/>
        </w:rPr>
        <w:t>. לפי ר׳ יעקב ליפשיץ (שרואיין ב־14 בינואר 1988).</w:t>
      </w:r>
    </w:p>
  </w:footnote>
  <w:footnote w:id="4162">
    <w:p w14:paraId="1CB7600E" w14:textId="77777777" w:rsidR="00AB3647" w:rsidRDefault="00000000">
      <w:pPr>
        <w:spacing w:after="0" w:before="0"/>
        <w:jc w:val="both"/>
      </w:pPr>
      <w:r>
        <w:rPr>
          <w:sz w:val="20"/>
          <w:szCs w:val="20"/>
          <w:rtl/>
        </w:rPr>
        <w:footnoteRef/>
      </w:r>
      <w:r>
        <w:rPr>
          <w:sz w:val="20"/>
          <w:szCs w:val="20"/>
          <w:rtl/>
        </w:rPr>
        <w:t xml:space="preserve">. ר׳ דב סיפר את הסיפור בשנות </w:t>
      </w:r>
      <w:proofErr w:type="spellStart"/>
      <w:r>
        <w:rPr>
          <w:sz w:val="20"/>
          <w:szCs w:val="20"/>
          <w:rtl/>
        </w:rPr>
        <w:t xml:space="preserve">התר״צ</w:t>
      </w:r>
      <w:proofErr w:type="spellEnd"/>
      <w:r>
        <w:rPr>
          <w:sz w:val="20"/>
          <w:szCs w:val="20"/>
          <w:rtl/>
        </w:rPr>
        <w:t xml:space="preserve"> לקבוצת בחורים מישיבת חברון בירושלים, ובהם הרב כהן, יליד סיאטל. </w:t>
      </w:r>
      <w:proofErr w:type="spellStart"/>
      <w:r>
        <w:rPr>
          <w:sz w:val="20"/>
          <w:szCs w:val="20"/>
          <w:rtl/>
        </w:rPr>
        <w:t>אמו</w:t>
      </w:r>
      <w:proofErr w:type="spellEnd"/>
      <w:r>
        <w:rPr>
          <w:sz w:val="20"/>
          <w:szCs w:val="20"/>
          <w:rtl/>
        </w:rPr>
        <w:t xml:space="preserve"> הביאה את הצעיר מאמריקה לארץ ישראל אחרי בר המצווה שלו, </w:t>
      </w:r>
      <w:proofErr w:type="spellStart"/>
      <w:r>
        <w:rPr>
          <w:sz w:val="20"/>
          <w:szCs w:val="20"/>
          <w:rtl/>
        </w:rPr>
        <w:t>בתרפ״ו</w:t>
      </w:r>
      <w:proofErr w:type="spellEnd"/>
      <w:r>
        <w:rPr>
          <w:sz w:val="20"/>
          <w:szCs w:val="20"/>
          <w:rtl/>
        </w:rPr>
        <w:t xml:space="preserve">, והוא הצטרף לישיבה בחברון כעבור כשנה. הוא ניצל בנס בטבח </w:t>
      </w:r>
      <w:proofErr w:type="spellStart"/>
      <w:r>
        <w:rPr>
          <w:sz w:val="20"/>
          <w:szCs w:val="20"/>
          <w:rtl/>
        </w:rPr>
        <w:t>בתרפ״ט</w:t>
      </w:r>
      <w:proofErr w:type="spellEnd"/>
      <w:r>
        <w:rPr>
          <w:sz w:val="20"/>
          <w:szCs w:val="20"/>
          <w:rtl/>
        </w:rPr>
        <w:t xml:space="preserve">, שבו נרצחו עשרים וארבעה מאנשי הישיבה, ובהם שבעה אמריקאים. ר׳ דב חזר באוזניי על סיפורו של ר׳ אשר </w:t>
      </w:r>
      <w:proofErr w:type="spellStart"/>
      <w:r>
        <w:rPr>
          <w:sz w:val="20"/>
          <w:szCs w:val="20"/>
          <w:rtl/>
        </w:rPr>
        <w:t>סנדומירסקי</w:t>
      </w:r>
      <w:proofErr w:type="spellEnd"/>
      <w:r>
        <w:rPr>
          <w:sz w:val="20"/>
          <w:szCs w:val="20"/>
          <w:rtl/>
        </w:rPr>
        <w:t xml:space="preserve"> ב־30 במרץ 2001.</w:t>
      </w:r>
    </w:p>
  </w:footnote>
  <w:footnote w:id="4163">
    <w:p w14:paraId="41ECAD03" w14:textId="77777777" w:rsidR="00AB3647" w:rsidRDefault="00000000">
      <w:pPr>
        <w:spacing w:after="0" w:before="0"/>
        <w:jc w:val="both"/>
      </w:pPr>
      <w:r>
        <w:rPr>
          <w:sz w:val="20"/>
          <w:szCs w:val="20"/>
          <w:rtl/>
        </w:rPr>
        <w:footnoteRef/>
      </w:r>
      <w:r>
        <w:rPr>
          <w:sz w:val="20"/>
          <w:szCs w:val="20"/>
          <w:rtl/>
        </w:rPr>
        <w:t xml:space="preserve">.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xml:space="preserve"> ציין זאת בערב ראש חודש אדר תשמ״ב – ראה פרק 1, הערה 32.</w:t>
      </w:r>
    </w:p>
  </w:footnote>
  <w:footnote w:id="4164">
    <w:p w14:paraId="2FB62136" w14:textId="77777777" w:rsidR="00AB3647" w:rsidRDefault="00000000">
      <w:pPr>
        <w:spacing w:after="0" w:before="0"/>
        <w:jc w:val="both"/>
      </w:pPr>
      <w:r>
        <w:rPr>
          <w:sz w:val="20"/>
          <w:szCs w:val="20"/>
          <w:rtl/>
        </w:rPr>
        <w:footnoteRef/>
      </w:r>
      <w:r>
        <w:rPr>
          <w:sz w:val="20"/>
          <w:szCs w:val="20"/>
          <w:rtl/>
        </w:rPr>
        <w:t xml:space="preserve">. ראה נספח </w:t>
      </w:r>
      <w:proofErr w:type="spellStart"/>
      <w:r>
        <w:rPr>
          <w:sz w:val="20"/>
          <w:szCs w:val="20"/>
          <w:rtl/>
        </w:rPr>
        <w:t>טז</w:t>
      </w:r>
      <w:proofErr w:type="spellEnd"/>
      <w:r>
        <w:rPr>
          <w:sz w:val="20"/>
          <w:szCs w:val="20"/>
          <w:rtl/>
        </w:rPr>
        <w:t xml:space="preserve"> להלן.</w:t>
      </w:r>
    </w:p>
  </w:footnote>
  <w:footnote w:id="4165">
    <w:p w14:paraId="7924D547" w14:textId="77777777" w:rsidR="00AB3647" w:rsidRDefault="00000000">
      <w:pPr>
        <w:spacing w:after="0" w:before="0"/>
        <w:jc w:val="both"/>
      </w:pPr>
      <w:r>
        <w:rPr>
          <w:sz w:val="20"/>
          <w:szCs w:val="20"/>
          <w:rtl/>
        </w:rPr>
        <w:footnoteRef/>
      </w:r>
      <w:r>
        <w:rPr>
          <w:sz w:val="20"/>
          <w:szCs w:val="20"/>
          <w:rtl/>
        </w:rPr>
        <w:t>. ראה הערה 102 לעיל.</w:t>
      </w:r>
    </w:p>
  </w:footnote>
  <w:footnote w:id="4166">
    <w:p w14:paraId="1516FBA2"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1445.</w:t>
      </w:r>
    </w:p>
  </w:footnote>
  <w:footnote w:id="4167">
    <w:p w14:paraId="2DC02CA0" w14:textId="77777777" w:rsidR="00AB3647" w:rsidRDefault="00000000">
      <w:pPr>
        <w:spacing w:after="0" w:before="0"/>
        <w:jc w:val="both"/>
      </w:pPr>
      <w:r>
        <w:rPr>
          <w:sz w:val="20"/>
          <w:szCs w:val="20"/>
          <w:rtl/>
        </w:rPr>
        <w:footnoteRef/>
      </w:r>
      <w:r>
        <w:rPr>
          <w:sz w:val="20"/>
          <w:szCs w:val="20"/>
          <w:rtl/>
        </w:rPr>
        <w:t>. “עמך”, מילולית בעברית: העם שלך; בלשון הדיבור מילה יידית המציינת את “המוני העם”.</w:t>
      </w:r>
    </w:p>
  </w:footnote>
  <w:footnote w:id="4168">
    <w:p w14:paraId="407CC77F" w14:textId="77777777" w:rsidR="00AB3647" w:rsidRDefault="00000000">
      <w:pPr>
        <w:spacing w:after="0" w:before="0"/>
        <w:jc w:val="both"/>
      </w:pPr>
      <w:r>
        <w:rPr>
          <w:sz w:val="20"/>
          <w:szCs w:val="20"/>
          <w:rtl/>
        </w:rPr>
        <w:footnoteRef/>
      </w:r>
      <w:r>
        <w:rPr>
          <w:sz w:val="20"/>
          <w:szCs w:val="20"/>
          <w:rtl/>
        </w:rPr>
        <w:t>. “פני”, מילולית בעברית: פניה של החברה – ראה גם תרגום בראשית ל, מ; בלשון הדיבור מילה יידית המציינת את “המעמד הגבוה”.</w:t>
      </w:r>
    </w:p>
  </w:footnote>
  <w:footnote w:id="4169">
    <w:p w14:paraId="0DFE3705" w14:textId="77777777" w:rsidR="00AB3647" w:rsidRDefault="00000000">
      <w:pPr>
        <w:spacing w:after="0" w:before="0"/>
        <w:jc w:val="both"/>
      </w:pPr>
      <w:r>
        <w:rPr>
          <w:sz w:val="20"/>
          <w:szCs w:val="20"/>
          <w:rtl/>
        </w:rPr>
        <w:footnoteRef/>
      </w:r>
      <w:r>
        <w:rPr>
          <w:sz w:val="20"/>
          <w:szCs w:val="20"/>
          <w:rtl/>
        </w:rPr>
        <w:t>. המקור הנזכר בפרק 1, הפסקה השלישית של נספח ו, עמ׳ 1365–1370.</w:t>
      </w:r>
    </w:p>
  </w:footnote>
  <w:footnote w:id="4170">
    <w:p w14:paraId="6C917329" w14:textId="77777777" w:rsidR="00AB3647" w:rsidRDefault="00000000">
      <w:pPr>
        <w:spacing w:after="0" w:before="0"/>
        <w:jc w:val="both"/>
      </w:pPr>
      <w:r>
        <w:rPr>
          <w:sz w:val="20"/>
          <w:szCs w:val="20"/>
          <w:rtl/>
        </w:rPr>
        <w:footnoteRef/>
      </w:r>
      <w:r>
        <w:rPr>
          <w:sz w:val="20"/>
          <w:szCs w:val="20"/>
          <w:rtl/>
        </w:rPr>
        <w:t xml:space="preserve">. יש שם, עמ׳ 1368, תיאור מעניין של הדבר: תחילה אמר לו ר׳ </w:t>
      </w:r>
      <w:proofErr w:type="spellStart"/>
      <w:r>
        <w:rPr>
          <w:sz w:val="20"/>
          <w:szCs w:val="20"/>
          <w:rtl/>
        </w:rPr>
        <w:t>יוסף־זכריה</w:t>
      </w:r>
      <w:proofErr w:type="spellEnd"/>
      <w:r>
        <w:rPr>
          <w:sz w:val="20"/>
          <w:szCs w:val="20"/>
          <w:rtl/>
        </w:rPr>
        <w:t xml:space="preserve"> שטרן שאינו מבין מדוע ירצה אדם לנסוע לאנגליה. “האם אינך יכול ללמוד תורה בליטא?” שאל. כשהתחנן אליו ר׳ לייזר, הסכים ר׳ </w:t>
      </w:r>
      <w:proofErr w:type="spellStart"/>
      <w:r>
        <w:rPr>
          <w:sz w:val="20"/>
          <w:szCs w:val="20"/>
          <w:rtl/>
        </w:rPr>
        <w:t>יוסף־זכריה</w:t>
      </w:r>
      <w:proofErr w:type="spellEnd"/>
      <w:r>
        <w:rPr>
          <w:sz w:val="20"/>
          <w:szCs w:val="20"/>
          <w:rtl/>
        </w:rPr>
        <w:t xml:space="preserve"> שטרן לסמוך אותו אחרי שיבחן אותו. ר׳ </w:t>
      </w:r>
      <w:proofErr w:type="spellStart"/>
      <w:r>
        <w:rPr>
          <w:sz w:val="20"/>
          <w:szCs w:val="20"/>
          <w:rtl/>
        </w:rPr>
        <w:t>יוסף־זכריה</w:t>
      </w:r>
      <w:proofErr w:type="spellEnd"/>
      <w:r>
        <w:rPr>
          <w:sz w:val="20"/>
          <w:szCs w:val="20"/>
          <w:rtl/>
        </w:rPr>
        <w:t xml:space="preserve"> פתח גמרא ואמר: “קרא!” מיד כשהתחיל ר׳ לייזר לקרוא, החל ר׳ </w:t>
      </w:r>
      <w:proofErr w:type="spellStart"/>
      <w:r>
        <w:rPr>
          <w:sz w:val="20"/>
          <w:szCs w:val="20"/>
          <w:rtl/>
        </w:rPr>
        <w:t>יוסף־זכריה</w:t>
      </w:r>
      <w:proofErr w:type="spellEnd"/>
      <w:r>
        <w:rPr>
          <w:sz w:val="20"/>
          <w:szCs w:val="20"/>
          <w:rtl/>
        </w:rPr>
        <w:t xml:space="preserve"> שטרן להמטיר עליו שאלות, והמשיך לענותו עד שהתעלף. כשהעירו את ר׳ לייזר גורדון, אמר לו ר׳ </w:t>
      </w:r>
      <w:proofErr w:type="spellStart"/>
      <w:r>
        <w:rPr>
          <w:sz w:val="20"/>
          <w:szCs w:val="20"/>
          <w:rtl/>
        </w:rPr>
        <w:t>יוסף־זכריה</w:t>
      </w:r>
      <w:proofErr w:type="spellEnd"/>
      <w:r>
        <w:rPr>
          <w:sz w:val="20"/>
          <w:szCs w:val="20"/>
          <w:rtl/>
        </w:rPr>
        <w:t xml:space="preserve"> שטרן: “אם אינך יודע ללמוד, עליך להתעלף? יש הרבה עמי הארצות בעם שלנו, ואתה רק עוד אחד מהם.” המאמר מעמיד את טוב לבו של ר׳ </w:t>
      </w:r>
      <w:proofErr w:type="spellStart"/>
      <w:r>
        <w:rPr>
          <w:sz w:val="20"/>
          <w:szCs w:val="20"/>
          <w:rtl/>
        </w:rPr>
        <w:t>יוסף־זכריה</w:t>
      </w:r>
      <w:proofErr w:type="spellEnd"/>
      <w:r>
        <w:rPr>
          <w:sz w:val="20"/>
          <w:szCs w:val="20"/>
          <w:rtl/>
        </w:rPr>
        <w:t xml:space="preserve"> כלפי אנשים פשוטים מול קשיחותו כלפי רבנים אחרים.</w:t>
      </w:r>
    </w:p>
  </w:footnote>
  <w:footnote w:id="4171">
    <w:p w14:paraId="22FBDC84" w14:textId="77777777" w:rsidR="00AB3647" w:rsidRDefault="00000000">
      <w:pPr>
        <w:spacing w:after="0" w:before="0"/>
        <w:jc w:val="both"/>
      </w:pPr>
      <w:r>
        <w:rPr>
          <w:sz w:val="20"/>
          <w:szCs w:val="20"/>
          <w:rtl/>
        </w:rPr>
        <w:footnoteRef/>
      </w:r>
      <w:r>
        <w:rPr>
          <w:sz w:val="20"/>
          <w:szCs w:val="20"/>
          <w:rtl/>
        </w:rPr>
        <w:t xml:space="preserve">. ר׳ אהרן </w:t>
      </w:r>
      <w:proofErr w:type="spellStart"/>
      <w:r>
        <w:rPr>
          <w:sz w:val="20"/>
          <w:szCs w:val="20"/>
          <w:rtl/>
        </w:rPr>
        <w:t>וולקין</w:t>
      </w:r>
      <w:proofErr w:type="spellEnd"/>
      <w:r>
        <w:rPr>
          <w:sz w:val="20"/>
          <w:szCs w:val="20"/>
          <w:rtl/>
        </w:rPr>
        <w:t xml:space="preserve"> היה תלמיד קרוב כל כך </w:t>
      </w:r>
      <w:proofErr w:type="spellStart"/>
      <w:r>
        <w:rPr>
          <w:sz w:val="20"/>
          <w:szCs w:val="20"/>
          <w:rtl/>
        </w:rPr>
        <w:t>לנצי״ב</w:t>
      </w:r>
      <w:proofErr w:type="spellEnd"/>
      <w:r>
        <w:rPr>
          <w:sz w:val="20"/>
          <w:szCs w:val="20"/>
          <w:rtl/>
        </w:rPr>
        <w:t xml:space="preserve"> </w:t>
      </w:r>
      <w:proofErr w:type="spellStart"/>
      <w:r>
        <w:rPr>
          <w:sz w:val="20"/>
          <w:szCs w:val="20"/>
          <w:rtl/>
        </w:rPr>
        <w:t>בוולוז׳ין</w:t>
      </w:r>
      <w:proofErr w:type="spellEnd"/>
      <w:r>
        <w:rPr>
          <w:sz w:val="20"/>
          <w:szCs w:val="20"/>
          <w:rtl/>
        </w:rPr>
        <w:t xml:space="preserve">, עד שר׳ </w:t>
      </w:r>
      <w:proofErr w:type="spellStart"/>
      <w:r>
        <w:rPr>
          <w:sz w:val="20"/>
          <w:szCs w:val="20"/>
          <w:rtl/>
        </w:rPr>
        <w:t>ברוך־בער</w:t>
      </w:r>
      <w:proofErr w:type="spellEnd"/>
      <w:r>
        <w:rPr>
          <w:sz w:val="20"/>
          <w:szCs w:val="20"/>
          <w:rtl/>
        </w:rPr>
        <w:t xml:space="preserve"> אמר עליו שהוא הדוגמה המובהקת לשימוש תלמיד לרב (ראה כתובות צ״ו ע״א) – כך לפי נכדו של ר׳ אהרן, ר׳ חיים </w:t>
      </w:r>
      <w:proofErr w:type="spellStart"/>
      <w:r>
        <w:rPr>
          <w:sz w:val="20"/>
          <w:szCs w:val="20"/>
          <w:rtl/>
        </w:rPr>
        <w:t>וולקין</w:t>
      </w:r>
      <w:proofErr w:type="spellEnd"/>
      <w:r>
        <w:rPr>
          <w:sz w:val="20"/>
          <w:szCs w:val="20"/>
          <w:rtl/>
        </w:rPr>
        <w:t xml:space="preserve">, שרואיין ב־29 ביולי 1994. ראה פרק 3, סוף נספח ט, תחילת נספח </w:t>
      </w:r>
      <w:proofErr w:type="spellStart"/>
      <w:r>
        <w:rPr>
          <w:sz w:val="20"/>
          <w:szCs w:val="20"/>
          <w:rtl/>
        </w:rPr>
        <w:t>יח</w:t>
      </w:r>
      <w:proofErr w:type="spellEnd"/>
      <w:r>
        <w:rPr>
          <w:sz w:val="20"/>
          <w:szCs w:val="20"/>
          <w:rtl/>
        </w:rPr>
        <w:t xml:space="preserve">, הערה 135 והפסקה השנייה בהערה 137, על קרבתו של ר׳ </w:t>
      </w:r>
      <w:proofErr w:type="spellStart"/>
      <w:r>
        <w:rPr>
          <w:sz w:val="20"/>
          <w:szCs w:val="20"/>
          <w:rtl/>
        </w:rPr>
        <w:t>ברוך־בער</w:t>
      </w:r>
      <w:proofErr w:type="spellEnd"/>
      <w:r>
        <w:rPr>
          <w:sz w:val="20"/>
          <w:szCs w:val="20"/>
          <w:rtl/>
        </w:rPr>
        <w:t xml:space="preserve"> למורו </w:t>
      </w:r>
      <w:proofErr w:type="spellStart"/>
      <w:r>
        <w:rPr>
          <w:sz w:val="20"/>
          <w:szCs w:val="20"/>
          <w:rtl/>
        </w:rPr>
        <w:t>בוולוז׳ין</w:t>
      </w:r>
      <w:proofErr w:type="spellEnd"/>
      <w:r>
        <w:rPr>
          <w:sz w:val="20"/>
          <w:szCs w:val="20"/>
          <w:rtl/>
        </w:rPr>
        <w:t xml:space="preserve">, משנהו של </w:t>
      </w:r>
      <w:proofErr w:type="spellStart"/>
      <w:r>
        <w:rPr>
          <w:sz w:val="20"/>
          <w:szCs w:val="20"/>
          <w:rtl/>
        </w:rPr>
        <w:t>הנצי״ב</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ייתכן שבתיאורו של ר׳ אהרן </w:t>
      </w:r>
      <w:proofErr w:type="spellStart"/>
      <w:r>
        <w:rPr>
          <w:sz w:val="20"/>
          <w:szCs w:val="20"/>
          <w:rtl/>
        </w:rPr>
        <w:t>וולקין</w:t>
      </w:r>
      <w:proofErr w:type="spellEnd"/>
      <w:r>
        <w:rPr>
          <w:sz w:val="20"/>
          <w:szCs w:val="20"/>
          <w:rtl/>
        </w:rPr>
        <w:t xml:space="preserve"> רמז ר׳ </w:t>
      </w:r>
      <w:proofErr w:type="spellStart"/>
      <w:r>
        <w:rPr>
          <w:sz w:val="20"/>
          <w:szCs w:val="20"/>
          <w:rtl/>
        </w:rPr>
        <w:t>ברוך־בער</w:t>
      </w:r>
      <w:proofErr w:type="spellEnd"/>
      <w:r>
        <w:rPr>
          <w:sz w:val="20"/>
          <w:szCs w:val="20"/>
          <w:rtl/>
        </w:rPr>
        <w:t xml:space="preserve"> שהוא עיצב את קרבתו לרבו לפי דגם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w:t>
      </w:r>
    </w:p>
  </w:footnote>
  <w:footnote w:id="4172">
    <w:p w14:paraId="334767BB" w14:textId="77777777" w:rsidR="00AB3647" w:rsidRDefault="00000000">
      <w:pPr>
        <w:spacing w:after="0" w:before="0"/>
        <w:jc w:val="both"/>
      </w:pPr>
      <w:r>
        <w:rPr>
          <w:sz w:val="20"/>
          <w:szCs w:val="20"/>
          <w:rtl/>
        </w:rPr>
        <w:footnoteRef/>
      </w:r>
      <w:r>
        <w:rPr>
          <w:sz w:val="20"/>
          <w:szCs w:val="20"/>
          <w:rtl/>
        </w:rPr>
        <w:t>. הרשימות הביוגרפיות במבוא לליקוטי תשובות ר׳ אליעזר וחידושיו (ת״ש).</w:t>
      </w:r>
    </w:p>
  </w:footnote>
  <w:footnote w:id="4173">
    <w:p w14:paraId="5563381D" w14:textId="77777777" w:rsidR="00AB3647" w:rsidRDefault="00000000">
      <w:pPr>
        <w:spacing w:after="0" w:before="0"/>
        <w:jc w:val="both"/>
      </w:pPr>
      <w:r>
        <w:rPr>
          <w:sz w:val="20"/>
          <w:szCs w:val="20"/>
          <w:rtl/>
        </w:rPr>
        <w:footnoteRef/>
      </w:r>
      <w:r>
        <w:rPr>
          <w:sz w:val="20"/>
          <w:szCs w:val="20"/>
          <w:rtl/>
        </w:rPr>
        <w:t xml:space="preserve">. עיין בבא </w:t>
      </w:r>
      <w:proofErr w:type="spellStart"/>
      <w:r>
        <w:rPr>
          <w:sz w:val="20"/>
          <w:szCs w:val="20"/>
          <w:rtl/>
        </w:rPr>
        <w:t>בתרא</w:t>
      </w:r>
      <w:proofErr w:type="spellEnd"/>
      <w:r>
        <w:rPr>
          <w:sz w:val="20"/>
          <w:szCs w:val="20"/>
          <w:rtl/>
        </w:rPr>
        <w:t xml:space="preserve"> כ״ב ע״א, </w:t>
      </w:r>
      <w:proofErr w:type="spellStart"/>
      <w:r>
        <w:rPr>
          <w:sz w:val="20"/>
          <w:szCs w:val="20"/>
          <w:rtl/>
        </w:rPr>
        <w:t>תוד״ה</w:t>
      </w:r>
      <w:proofErr w:type="spellEnd"/>
      <w:r>
        <w:rPr>
          <w:sz w:val="20"/>
          <w:szCs w:val="20"/>
          <w:rtl/>
        </w:rPr>
        <w:t xml:space="preserve"> אנא </w:t>
      </w:r>
      <w:proofErr w:type="spellStart"/>
      <w:r>
        <w:rPr>
          <w:sz w:val="20"/>
          <w:szCs w:val="20"/>
          <w:rtl/>
        </w:rPr>
        <w:t>ענישתיה</w:t>
      </w:r>
      <w:proofErr w:type="spellEnd"/>
      <w:r>
        <w:rPr>
          <w:sz w:val="20"/>
          <w:szCs w:val="20"/>
          <w:rtl/>
        </w:rPr>
        <w:t>.</w:t>
      </w:r>
    </w:p>
  </w:footnote>
  <w:footnote w:id="4174">
    <w:p w14:paraId="5A6C9FCD" w14:textId="77777777" w:rsidR="00AB3647" w:rsidRDefault="00000000">
      <w:pPr>
        <w:spacing w:after="0" w:before="0"/>
        <w:jc w:val="both"/>
      </w:pPr>
      <w:r>
        <w:rPr>
          <w:sz w:val="20"/>
          <w:szCs w:val="20"/>
          <w:rtl/>
        </w:rPr>
        <w:footnoteRef/>
      </w:r>
      <w:r>
        <w:rPr>
          <w:sz w:val="20"/>
          <w:szCs w:val="20"/>
          <w:rtl/>
        </w:rPr>
        <w:t>. לונדון, 1974.</w:t>
      </w:r>
    </w:p>
  </w:footnote>
  <w:footnote w:id="4175">
    <w:p w14:paraId="143B7190" w14:textId="77777777" w:rsidR="00AB3647" w:rsidRDefault="00000000">
      <w:pPr>
        <w:spacing w:after="0" w:before="0"/>
        <w:jc w:val="both"/>
      </w:pPr>
      <w:r>
        <w:rPr>
          <w:sz w:val="20"/>
          <w:szCs w:val="20"/>
          <w:rtl/>
        </w:rPr>
        <w:footnoteRef/>
      </w:r>
      <w:r>
        <w:rPr>
          <w:sz w:val="20"/>
          <w:szCs w:val="20"/>
          <w:rtl/>
        </w:rPr>
        <w:t xml:space="preserve">. בעמ׳ 147, בתוך פרק שכותרתו “הגאון רבי אליעזר גורדון </w:t>
      </w:r>
      <w:proofErr w:type="spellStart"/>
      <w:r>
        <w:rPr>
          <w:sz w:val="20"/>
          <w:szCs w:val="20"/>
          <w:rtl/>
        </w:rPr>
        <w:t>מטלז</w:t>
      </w:r>
      <w:proofErr w:type="spellEnd"/>
      <w:r>
        <w:rPr>
          <w:sz w:val="20"/>
          <w:szCs w:val="20"/>
          <w:rtl/>
        </w:rPr>
        <w:t>”.</w:t>
      </w:r>
    </w:p>
  </w:footnote>
  <w:footnote w:id="4176">
    <w:p w14:paraId="47805EFA" w14:textId="77777777" w:rsidR="00AB3647" w:rsidRDefault="00000000">
      <w:pPr>
        <w:spacing w:after="0" w:before="0"/>
        <w:jc w:val="both"/>
      </w:pPr>
      <w:r>
        <w:rPr>
          <w:sz w:val="20"/>
          <w:szCs w:val="20"/>
          <w:rtl/>
        </w:rPr>
        <w:footnoteRef/>
      </w:r>
      <w:r>
        <w:rPr>
          <w:sz w:val="20"/>
          <w:szCs w:val="20"/>
          <w:rtl/>
        </w:rPr>
        <w:t xml:space="preserve">. אביו היה ר׳ נתן אדלר, תלמיד חכם גדול, הידוע על שם ספרו “נתינה לגר” – צירוף המבוסס על פסחים כ״א ע״ב (ובהגייה אשכנזית: </w:t>
      </w:r>
      <w:proofErr w:type="spellStart"/>
      <w:r>
        <w:rPr>
          <w:sz w:val="20"/>
          <w:szCs w:val="20"/>
          <w:rtl/>
        </w:rPr>
        <w:t>נסינו־לגר</w:t>
      </w:r>
      <w:proofErr w:type="spellEnd"/>
      <w:r>
        <w:rPr>
          <w:sz w:val="20"/>
          <w:szCs w:val="20"/>
          <w:rtl/>
        </w:rPr>
        <w:t xml:space="preserve">). בגלל סלידתו של סר הרמן ממהגרים ממזרח אירופה לאנגליה, זכה לכינוי “שנאה לגר” (בהגייה כמעט זהה לשם ספרו של אביו: </w:t>
      </w:r>
      <w:proofErr w:type="spellStart"/>
      <w:r>
        <w:rPr>
          <w:sz w:val="20"/>
          <w:szCs w:val="20"/>
          <w:rtl/>
        </w:rPr>
        <w:t>סינו־לגר</w:t>
      </w:r>
      <w:proofErr w:type="spellEnd"/>
      <w:r>
        <w:rPr>
          <w:sz w:val="20"/>
          <w:szCs w:val="20"/>
          <w:rtl/>
        </w:rPr>
        <w:t>).</w:t>
      </w:r>
    </w:p>
  </w:footnote>
  <w:footnote w:id="4177">
    <w:p w14:paraId="22C88978" w14:textId="77777777" w:rsidR="00AB3647" w:rsidRDefault="00000000">
      <w:pPr>
        <w:spacing w:after="0" w:before="0"/>
        <w:jc w:val="both"/>
      </w:pPr>
      <w:r>
        <w:rPr>
          <w:sz w:val="20"/>
          <w:szCs w:val="20"/>
          <w:rtl/>
        </w:rPr>
        <w:footnoteRef/>
      </w:r>
      <w:r>
        <w:rPr>
          <w:sz w:val="20"/>
          <w:szCs w:val="20"/>
          <w:rtl/>
        </w:rPr>
        <w:t>. הערה 70 לעיל, עמ׳ 202.</w:t>
      </w:r>
    </w:p>
  </w:footnote>
  <w:footnote w:id="4178">
    <w:p w14:paraId="024E829C" w14:textId="77777777" w:rsidR="00AB3647" w:rsidRDefault="00000000">
      <w:pPr>
        <w:spacing w:after="0" w:before="0"/>
        <w:jc w:val="both"/>
      </w:pPr>
      <w:r>
        <w:rPr>
          <w:sz w:val="20"/>
          <w:szCs w:val="20"/>
          <w:rtl/>
        </w:rPr>
        <w:footnoteRef/>
      </w:r>
      <w:r>
        <w:rPr>
          <w:sz w:val="20"/>
          <w:szCs w:val="20"/>
          <w:rtl/>
        </w:rPr>
        <w:t>. ריאיון מ־14 ביוני 1992.</w:t>
      </w:r>
    </w:p>
  </w:footnote>
  <w:footnote w:id="4179">
    <w:p w14:paraId="18F54F20" w14:textId="77777777" w:rsidR="00AB3647" w:rsidRDefault="00000000">
      <w:pPr>
        <w:spacing w:after="0" w:before="0"/>
        <w:jc w:val="both"/>
      </w:pPr>
      <w:r>
        <w:rPr>
          <w:sz w:val="20"/>
          <w:szCs w:val="20"/>
          <w:rtl/>
        </w:rPr>
        <w:footnoteRef/>
      </w:r>
      <w:r>
        <w:rPr>
          <w:sz w:val="20"/>
          <w:szCs w:val="20"/>
          <w:rtl/>
        </w:rPr>
        <w:t>. ראה את הפסקה השנייה של נספח ט לעיל.</w:t>
      </w:r>
    </w:p>
  </w:footnote>
  <w:footnote w:id="4180">
    <w:p w14:paraId="15E937CD" w14:textId="77777777" w:rsidR="00AB3647" w:rsidRDefault="00000000">
      <w:pPr>
        <w:spacing w:after="0" w:before="0"/>
        <w:jc w:val="both"/>
      </w:pPr>
      <w:r>
        <w:rPr>
          <w:sz w:val="20"/>
          <w:szCs w:val="20"/>
          <w:rtl/>
        </w:rPr>
        <w:footnoteRef/>
      </w:r>
      <w:r>
        <w:rPr>
          <w:sz w:val="20"/>
          <w:szCs w:val="20"/>
          <w:rtl/>
        </w:rPr>
        <w:t>. הפסקה השנייה של נספח ח לעיל, כרך ג, עמ׳ 93–95.</w:t>
      </w:r>
    </w:p>
  </w:footnote>
  <w:footnote w:id="4181">
    <w:p w14:paraId="2F0E6E4B" w14:textId="77777777" w:rsidR="00AB3647" w:rsidRDefault="00000000">
      <w:pPr>
        <w:spacing w:after="0" w:before="0"/>
        <w:jc w:val="both"/>
      </w:pPr>
      <w:r>
        <w:rPr>
          <w:sz w:val="20"/>
          <w:szCs w:val="20"/>
          <w:rtl/>
        </w:rPr>
        <w:footnoteRef/>
      </w:r>
      <w:r>
        <w:rPr>
          <w:sz w:val="20"/>
          <w:szCs w:val="20"/>
          <w:rtl/>
        </w:rPr>
        <w:t xml:space="preserve">. מסופר שם שהפעילים היהודים הדתיים התאכזבו מאוד: הם חשבו שהשניים באו בעקבות פנייתם החשאית לאחיהם לדת ברחבי מערב אירופה לעורר את הציבור נגד הפוגרומים שנתמכו בידי ממשלת רוסיה – פנייה שבוצעה ביעילות בהנחיית גדולי התורה. סר </w:t>
      </w:r>
      <w:proofErr w:type="spellStart"/>
      <w:r>
        <w:rPr>
          <w:sz w:val="20"/>
          <w:szCs w:val="20"/>
          <w:rtl/>
        </w:rPr>
        <w:t>מונטגיו</w:t>
      </w:r>
      <w:proofErr w:type="spellEnd"/>
      <w:r>
        <w:rPr>
          <w:sz w:val="20"/>
          <w:szCs w:val="20"/>
          <w:rtl/>
        </w:rPr>
        <w:t xml:space="preserve"> גם לא נטה חסד ליהודים שהתיישבו בארץ ישראל, ובשובו מביקור שם פרסם בעיתון דיווח משמיץ, שעליו השיב סר משה </w:t>
      </w:r>
      <w:proofErr w:type="spellStart"/>
      <w:r>
        <w:rPr>
          <w:sz w:val="20"/>
          <w:szCs w:val="20"/>
          <w:rtl/>
        </w:rPr>
        <w:t>מונטיפיורי</w:t>
      </w:r>
      <w:proofErr w:type="spellEnd"/>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w:t>
      </w:r>
      <w:proofErr w:type="spellStart"/>
      <w:r>
        <w:rPr>
          <w:sz w:val="20"/>
          <w:szCs w:val="20"/>
          <w:rtl/>
        </w:rPr>
        <w:t>קכו</w:t>
      </w:r>
      <w:proofErr w:type="spellEnd"/>
      <w:r>
        <w:rPr>
          <w:sz w:val="20"/>
          <w:szCs w:val="20"/>
          <w:rtl/>
        </w:rPr>
        <w:t>.</w:t>
      </w:r>
    </w:p>
  </w:footnote>
  <w:footnote w:id="4182">
    <w:p w14:paraId="57A9FD46" w14:textId="77777777" w:rsidR="00AB3647" w:rsidRDefault="00000000">
      <w:pPr>
        <w:spacing w:after="0" w:before="0"/>
        <w:jc w:val="both"/>
      </w:pPr>
      <w:r>
        <w:rPr>
          <w:sz w:val="20"/>
          <w:szCs w:val="20"/>
          <w:rtl/>
        </w:rPr>
        <w:footnoteRef/>
      </w:r>
      <w:r>
        <w:rPr>
          <w:sz w:val="20"/>
          <w:szCs w:val="20"/>
          <w:rtl/>
        </w:rPr>
        <w:t xml:space="preserve">. על סמך הרכב הוועד, ועל סמך רשימה של עשר ישיבות שלפי אחד המכתבים סבלו מאוד מן המהפכה נגד הצאר ב־1905 – “ישיבות עיקריות, כמו </w:t>
      </w:r>
      <w:proofErr w:type="spellStart"/>
      <w:r>
        <w:rPr>
          <w:sz w:val="20"/>
          <w:szCs w:val="20"/>
          <w:rtl/>
        </w:rPr>
        <w:t>וולוז׳ין</w:t>
      </w:r>
      <w:proofErr w:type="spellEnd"/>
      <w:r>
        <w:rPr>
          <w:sz w:val="20"/>
          <w:szCs w:val="20"/>
          <w:rtl/>
        </w:rPr>
        <w:t xml:space="preserve">, </w:t>
      </w:r>
      <w:proofErr w:type="spellStart"/>
      <w:r>
        <w:rPr>
          <w:sz w:val="20"/>
          <w:szCs w:val="20"/>
          <w:rtl/>
        </w:rPr>
        <w:t>טלז</w:t>
      </w:r>
      <w:proofErr w:type="spellEnd"/>
      <w:r>
        <w:rPr>
          <w:sz w:val="20"/>
          <w:szCs w:val="20"/>
          <w:rtl/>
        </w:rPr>
        <w:t xml:space="preserve">, </w:t>
      </w:r>
      <w:proofErr w:type="spellStart"/>
      <w:r>
        <w:rPr>
          <w:sz w:val="20"/>
          <w:szCs w:val="20"/>
          <w:rtl/>
        </w:rPr>
        <w:t>ליובאוויטש</w:t>
      </w:r>
      <w:proofErr w:type="spellEnd"/>
      <w:r>
        <w:rPr>
          <w:sz w:val="20"/>
          <w:szCs w:val="20"/>
          <w:rtl/>
        </w:rPr>
        <w:t xml:space="preserve">, </w:t>
      </w:r>
      <w:proofErr w:type="spellStart"/>
      <w:r>
        <w:rPr>
          <w:sz w:val="20"/>
          <w:szCs w:val="20"/>
          <w:rtl/>
        </w:rPr>
        <w:t>מיר</w:t>
      </w:r>
      <w:proofErr w:type="spellEnd"/>
      <w:r>
        <w:rPr>
          <w:sz w:val="20"/>
          <w:szCs w:val="20"/>
          <w:rtl/>
        </w:rPr>
        <w:t xml:space="preserve"> </w:t>
      </w:r>
      <w:proofErr w:type="spellStart"/>
      <w:r>
        <w:rPr>
          <w:sz w:val="20"/>
          <w:szCs w:val="20"/>
          <w:rtl/>
        </w:rPr>
        <w:t>ולומז׳ה</w:t>
      </w:r>
      <w:proofErr w:type="spellEnd"/>
      <w:r>
        <w:rPr>
          <w:sz w:val="20"/>
          <w:szCs w:val="20"/>
          <w:rtl/>
        </w:rPr>
        <w:t xml:space="preserve">, שתיים </w:t>
      </w:r>
      <w:proofErr w:type="spellStart"/>
      <w:r>
        <w:rPr>
          <w:sz w:val="20"/>
          <w:szCs w:val="20"/>
          <w:rtl/>
        </w:rPr>
        <w:t>בסלבודקה</w:t>
      </w:r>
      <w:proofErr w:type="spellEnd"/>
      <w:r>
        <w:rPr>
          <w:sz w:val="20"/>
          <w:szCs w:val="20"/>
          <w:rtl/>
        </w:rPr>
        <w:t xml:space="preserve">, הכולל בקובנה ועוד כמה ישיבות גדולות, כגון </w:t>
      </w:r>
      <w:proofErr w:type="spellStart"/>
      <w:r>
        <w:rPr>
          <w:sz w:val="20"/>
          <w:szCs w:val="20"/>
          <w:rtl/>
        </w:rPr>
        <w:t>סלוצק</w:t>
      </w:r>
      <w:proofErr w:type="spellEnd"/>
      <w:r>
        <w:rPr>
          <w:sz w:val="20"/>
          <w:szCs w:val="20"/>
          <w:rtl/>
        </w:rPr>
        <w:t xml:space="preserve"> </w:t>
      </w:r>
      <w:proofErr w:type="spellStart"/>
      <w:r>
        <w:rPr>
          <w:sz w:val="20"/>
          <w:szCs w:val="20"/>
          <w:rtl/>
        </w:rPr>
        <w:t>וקרינק</w:t>
      </w:r>
      <w:proofErr w:type="spellEnd"/>
      <w:r>
        <w:rPr>
          <w:sz w:val="20"/>
          <w:szCs w:val="20"/>
          <w:rtl/>
        </w:rPr>
        <w:t xml:space="preserve">” – סביר שחמש הישיבות שהוועד המליץ עליהן היו: </w:t>
      </w:r>
      <w:proofErr w:type="spellStart"/>
      <w:r>
        <w:rPr>
          <w:sz w:val="20"/>
          <w:szCs w:val="20"/>
          <w:rtl/>
        </w:rPr>
        <w:t>וולוז׳ין</w:t>
      </w:r>
      <w:proofErr w:type="spellEnd"/>
      <w:r>
        <w:rPr>
          <w:sz w:val="20"/>
          <w:szCs w:val="20"/>
          <w:rtl/>
        </w:rPr>
        <w:t xml:space="preserve"> המחודשת, בראשות חותנו של ר׳ חיים </w:t>
      </w:r>
      <w:proofErr w:type="spellStart"/>
      <w:r>
        <w:rPr>
          <w:sz w:val="20"/>
          <w:szCs w:val="20"/>
          <w:rtl/>
        </w:rPr>
        <w:t>סולובייצ׳יק</w:t>
      </w:r>
      <w:proofErr w:type="spellEnd"/>
      <w:r>
        <w:rPr>
          <w:sz w:val="20"/>
          <w:szCs w:val="20"/>
          <w:rtl/>
        </w:rPr>
        <w:t xml:space="preserve">, ר׳ רפאל שפירא; </w:t>
      </w:r>
      <w:proofErr w:type="spellStart"/>
      <w:r>
        <w:rPr>
          <w:sz w:val="20"/>
          <w:szCs w:val="20"/>
          <w:rtl/>
        </w:rPr>
        <w:t>טלז</w:t>
      </w:r>
      <w:proofErr w:type="spellEnd"/>
      <w:r>
        <w:rPr>
          <w:sz w:val="20"/>
          <w:szCs w:val="20"/>
          <w:rtl/>
        </w:rPr>
        <w:t xml:space="preserve">; </w:t>
      </w:r>
      <w:proofErr w:type="spellStart"/>
      <w:r>
        <w:rPr>
          <w:sz w:val="20"/>
          <w:szCs w:val="20"/>
          <w:rtl/>
        </w:rPr>
        <w:t>מיר</w:t>
      </w:r>
      <w:proofErr w:type="spellEnd"/>
      <w:r>
        <w:rPr>
          <w:sz w:val="20"/>
          <w:szCs w:val="20"/>
          <w:rtl/>
        </w:rPr>
        <w:t xml:space="preserve">, הסמוכה הן למינסק של ר׳ לייזר </w:t>
      </w:r>
      <w:proofErr w:type="spellStart"/>
      <w:r>
        <w:rPr>
          <w:sz w:val="20"/>
          <w:szCs w:val="20"/>
          <w:rtl/>
        </w:rPr>
        <w:t>רבינוביץ</w:t>
      </w:r>
      <w:proofErr w:type="spellEnd"/>
      <w:r>
        <w:rPr>
          <w:sz w:val="20"/>
          <w:szCs w:val="20"/>
          <w:rtl/>
        </w:rPr>
        <w:t xml:space="preserve"> והן לווילנה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וכנסת בית יצחק וכולל קובנה, בתחום </w:t>
      </w:r>
      <w:proofErr w:type="spellStart"/>
      <w:r>
        <w:rPr>
          <w:sz w:val="20"/>
          <w:szCs w:val="20"/>
          <w:rtl/>
        </w:rPr>
        <w:t>רבנותו</w:t>
      </w:r>
      <w:proofErr w:type="spellEnd"/>
      <w:r>
        <w:rPr>
          <w:sz w:val="20"/>
          <w:szCs w:val="20"/>
          <w:rtl/>
        </w:rPr>
        <w:t xml:space="preserve"> של ר׳ </w:t>
      </w:r>
      <w:proofErr w:type="spellStart"/>
      <w:r>
        <w:rPr>
          <w:sz w:val="20"/>
          <w:szCs w:val="20"/>
          <w:rtl/>
        </w:rPr>
        <w:t>צבי־הירש</w:t>
      </w:r>
      <w:proofErr w:type="spellEnd"/>
      <w:r>
        <w:rPr>
          <w:sz w:val="20"/>
          <w:szCs w:val="20"/>
          <w:rtl/>
        </w:rPr>
        <w:t xml:space="preserve"> </w:t>
      </w:r>
      <w:proofErr w:type="spellStart"/>
      <w:r>
        <w:rPr>
          <w:sz w:val="20"/>
          <w:szCs w:val="20"/>
          <w:rtl/>
        </w:rPr>
        <w:t>רבינוביץ</w:t>
      </w:r>
      <w:proofErr w:type="spellEnd"/>
      <w:r>
        <w:rPr>
          <w:sz w:val="20"/>
          <w:szCs w:val="20"/>
          <w:rtl/>
        </w:rPr>
        <w:t>, רבה של קובנה, ובאישורו.</w:t>
      </w:r>
    </w:p>
  </w:footnote>
  <w:footnote w:id="4183">
    <w:p w14:paraId="2F6651F4" w14:textId="77777777" w:rsidR="00AB3647" w:rsidRDefault="00000000">
      <w:pPr>
        <w:spacing w:after="0" w:before="0"/>
        <w:jc w:val="both"/>
      </w:pPr>
      <w:r>
        <w:rPr>
          <w:sz w:val="20"/>
          <w:szCs w:val="20"/>
          <w:rtl/>
        </w:rPr>
        <w:footnoteRef/>
      </w:r>
      <w:r>
        <w:rPr>
          <w:sz w:val="20"/>
          <w:szCs w:val="20"/>
          <w:rtl/>
        </w:rPr>
        <w:t>. סיני, כרך צ״א, ניסן–אלול תשמ״א, עמ׳ קסט–</w:t>
      </w:r>
      <w:proofErr w:type="spellStart"/>
      <w:r>
        <w:rPr>
          <w:sz w:val="20"/>
          <w:szCs w:val="20"/>
          <w:rtl/>
        </w:rPr>
        <w:t>קעג</w:t>
      </w:r>
      <w:proofErr w:type="spellEnd"/>
      <w:r>
        <w:rPr>
          <w:sz w:val="20"/>
          <w:szCs w:val="20"/>
          <w:rtl/>
        </w:rPr>
        <w:t>.</w:t>
      </w:r>
    </w:p>
  </w:footnote>
  <w:footnote w:id="4184">
    <w:p w14:paraId="0362CA39" w14:textId="77777777" w:rsidR="00AB3647" w:rsidRDefault="00000000">
      <w:pPr>
        <w:spacing w:after="0" w:before="0"/>
        <w:jc w:val="both"/>
      </w:pPr>
      <w:r>
        <w:rPr>
          <w:sz w:val="20"/>
          <w:szCs w:val="20"/>
          <w:rtl/>
        </w:rPr>
        <w:footnoteRef/>
      </w:r>
      <w:r>
        <w:rPr>
          <w:sz w:val="20"/>
          <w:szCs w:val="20"/>
          <w:rtl/>
        </w:rPr>
        <w:t xml:space="preserve">. השווה עמ׳ </w:t>
      </w:r>
      <w:proofErr w:type="spellStart"/>
      <w:r>
        <w:rPr>
          <w:sz w:val="20"/>
          <w:szCs w:val="20"/>
          <w:rtl/>
        </w:rPr>
        <w:t>קפג</w:t>
      </w:r>
      <w:proofErr w:type="spellEnd"/>
      <w:r>
        <w:rPr>
          <w:sz w:val="20"/>
          <w:szCs w:val="20"/>
          <w:rtl/>
        </w:rPr>
        <w:t xml:space="preserve"> במאמרו של ר׳ דב היימן, “מצב היהדות הרבנות והכשרות בלונדון”, </w:t>
      </w:r>
      <w:proofErr w:type="spellStart"/>
      <w:r>
        <w:rPr>
          <w:sz w:val="20"/>
          <w:szCs w:val="20"/>
          <w:rtl/>
        </w:rPr>
        <w:t>ב“סיני</w:t>
      </w:r>
      <w:proofErr w:type="spellEnd"/>
      <w:r>
        <w:rPr>
          <w:sz w:val="20"/>
          <w:szCs w:val="20"/>
          <w:rtl/>
        </w:rPr>
        <w:t>”, כרך צ״ד, תשרי–אדר ב׳ תשמ״ב. השווה גם “שנות דור ודור” (סוף נספח ז לעיל), עמ׳ רנה–</w:t>
      </w:r>
      <w:proofErr w:type="spellStart"/>
      <w:r>
        <w:rPr>
          <w:sz w:val="20"/>
          <w:szCs w:val="20"/>
          <w:rtl/>
        </w:rPr>
        <w:t>רנז</w:t>
      </w:r>
      <w:proofErr w:type="spellEnd"/>
      <w:r>
        <w:rPr>
          <w:sz w:val="20"/>
          <w:szCs w:val="20"/>
          <w:rtl/>
        </w:rPr>
        <w:t xml:space="preserve">, שמובא שם מכתב שכתב </w:t>
      </w:r>
      <w:proofErr w:type="spellStart"/>
      <w:r>
        <w:rPr>
          <w:sz w:val="20"/>
          <w:szCs w:val="20"/>
          <w:rtl/>
        </w:rPr>
        <w:t>החפץ־חיים</w:t>
      </w:r>
      <w:proofErr w:type="spellEnd"/>
      <w:r>
        <w:rPr>
          <w:sz w:val="20"/>
          <w:szCs w:val="20"/>
          <w:rtl/>
        </w:rPr>
        <w:t xml:space="preserve"> </w:t>
      </w:r>
      <w:proofErr w:type="spellStart"/>
      <w:r>
        <w:rPr>
          <w:sz w:val="20"/>
          <w:szCs w:val="20"/>
          <w:rtl/>
        </w:rPr>
        <w:t>בתרנ״ג</w:t>
      </w:r>
      <w:proofErr w:type="spellEnd"/>
      <w:r>
        <w:rPr>
          <w:sz w:val="20"/>
          <w:szCs w:val="20"/>
          <w:rtl/>
        </w:rPr>
        <w:t>, שנתיים אחרי שיצאו הרבנים הגדולים נגד הארגון הפורש. במכתב הוא כותב לשואל מאנשי “מחזיקי הדת” שאפשר לסייג את התנגדות הרבנים, שכן לא ידעו על בעיות הכשרות הממשיות שתיאר השואל בבית המטבחיים של הממסד הישן; אבל בה בעת הוא מזהיר שלא לפגוע בכבודו של הרב הראשי, ומדגיש שעל חברי הקבוצה החדשה להתרחק ממחלוקת בכל מחיר.</w:t>
      </w:r>
    </w:p>
    <w:p w14:paraId="7FF4923E" w14:textId="77777777" w:rsidR="00AB3647" w:rsidRDefault="00000000">
      <w:pPr>
        <w:spacing w:after="0" w:before="0"/>
        <w:jc w:val="both"/>
      </w:pPr>
      <w:r>
        <w:rPr>
          <w:sz w:val="20"/>
          <w:szCs w:val="20"/>
          <w:rtl/>
        </w:rPr>
        <w:t xml:space="preserve">קשריו של הרב אדלר עם מזרח אירופה מוקדמים אף יותר, כפי שעולה מכך ששמו נרשם, יחד עם אביו, בין מי שסייעו למשפחת ראם בהוצאת הש״ס של וילנה </w:t>
      </w:r>
      <w:proofErr w:type="spellStart"/>
      <w:r>
        <w:rPr>
          <w:sz w:val="20"/>
          <w:szCs w:val="20"/>
          <w:rtl/>
        </w:rPr>
        <w:t>בתרמ״א</w:t>
      </w:r>
      <w:proofErr w:type="spellEnd"/>
      <w:r>
        <w:rPr>
          <w:sz w:val="20"/>
          <w:szCs w:val="20"/>
          <w:rtl/>
        </w:rPr>
        <w:t xml:space="preserve"> – ראה בסוף כרך מסכת נידה.</w:t>
      </w:r>
    </w:p>
  </w:footnote>
  <w:footnote w:id="4185">
    <w:p w14:paraId="649B54CC" w14:textId="77777777" w:rsidR="00AB3647" w:rsidRDefault="00000000">
      <w:pPr>
        <w:spacing w:after="0" w:before="0"/>
        <w:jc w:val="both"/>
      </w:pPr>
      <w:r>
        <w:rPr>
          <w:sz w:val="20"/>
          <w:szCs w:val="20"/>
          <w:rtl/>
        </w:rPr>
        <w:footnoteRef/>
      </w:r>
      <w:r>
        <w:rPr>
          <w:sz w:val="20"/>
          <w:szCs w:val="20"/>
          <w:rtl/>
        </w:rPr>
        <w:t>. ריאיון מ־31 בדצמבר 1991.</w:t>
      </w:r>
    </w:p>
  </w:footnote>
  <w:footnote w:id="4186">
    <w:p w14:paraId="3611151D" w14:textId="77777777" w:rsidR="00AB3647" w:rsidRDefault="00000000">
      <w:pPr>
        <w:spacing w:after="0" w:before="0"/>
        <w:jc w:val="both"/>
      </w:pPr>
      <w:r>
        <w:rPr>
          <w:sz w:val="20"/>
          <w:szCs w:val="20"/>
          <w:rtl/>
        </w:rPr>
        <w:footnoteRef/>
      </w:r>
      <w:r>
        <w:rPr>
          <w:sz w:val="20"/>
          <w:szCs w:val="20"/>
          <w:rtl/>
        </w:rPr>
        <w:t>. השווה פרק 4, סעיף 2, בפסקה הפותחת “איזה כאב היה על ר׳ לייזר לשאת”.</w:t>
      </w:r>
    </w:p>
  </w:footnote>
  <w:footnote w:id="4187">
    <w:p w14:paraId="4863CECE" w14:textId="77777777" w:rsidR="00AB3647" w:rsidRDefault="00000000">
      <w:pPr>
        <w:spacing w:after="0" w:before="0"/>
        <w:jc w:val="both"/>
      </w:pPr>
      <w:r>
        <w:rPr>
          <w:sz w:val="20"/>
          <w:szCs w:val="20"/>
          <w:rtl/>
        </w:rPr>
        <w:footnoteRef/>
      </w:r>
      <w:r>
        <w:rPr>
          <w:sz w:val="20"/>
          <w:szCs w:val="20"/>
          <w:rtl/>
        </w:rPr>
        <w:t>. גיליון 32 (תשרי תשל״א). המאמר, ששמו ההולם הוא “</w:t>
      </w:r>
      <w:proofErr w:type="spellStart"/>
      <w:r>
        <w:rPr>
          <w:sz w:val="20"/>
          <w:szCs w:val="20"/>
          <w:rtl/>
        </w:rPr>
        <w:t>רגלוהי</w:t>
      </w:r>
      <w:proofErr w:type="spellEnd"/>
      <w:r>
        <w:rPr>
          <w:sz w:val="20"/>
          <w:szCs w:val="20"/>
          <w:rtl/>
        </w:rPr>
        <w:t xml:space="preserve"> דבר </w:t>
      </w:r>
      <w:proofErr w:type="spellStart"/>
      <w:r>
        <w:rPr>
          <w:sz w:val="20"/>
          <w:szCs w:val="20"/>
          <w:rtl/>
        </w:rPr>
        <w:t>אינש</w:t>
      </w:r>
      <w:proofErr w:type="spellEnd"/>
      <w:r>
        <w:rPr>
          <w:sz w:val="20"/>
          <w:szCs w:val="20"/>
          <w:rtl/>
        </w:rPr>
        <w:t xml:space="preserve"> אינון ערבין ביה” (ראה סוכה נ״ג ע״א), מצוטט גם </w:t>
      </w:r>
      <w:proofErr w:type="spellStart"/>
      <w:r>
        <w:rPr>
          <w:sz w:val="20"/>
          <w:szCs w:val="20"/>
          <w:rtl/>
        </w:rPr>
        <w:t>ב“גיבורי</w:t>
      </w:r>
      <w:proofErr w:type="spellEnd"/>
      <w:r>
        <w:rPr>
          <w:sz w:val="20"/>
          <w:szCs w:val="20"/>
          <w:rtl/>
        </w:rPr>
        <w:t xml:space="preserve"> האורתודוקסיה”, עמ׳ 141–143, בשם מחברו, אבל בלי ציון כתב העת שבו הופיע, “הדרום”.</w:t>
      </w:r>
    </w:p>
  </w:footnote>
  <w:footnote w:id="4188">
    <w:p w14:paraId="38018370" w14:textId="77777777" w:rsidR="00AB3647" w:rsidRDefault="00000000">
      <w:pPr>
        <w:spacing w:after="0" w:before="0"/>
        <w:jc w:val="both"/>
      </w:pPr>
      <w:r>
        <w:rPr>
          <w:sz w:val="20"/>
          <w:szCs w:val="20"/>
          <w:rtl/>
        </w:rPr>
        <w:footnoteRef/>
      </w:r>
      <w:r>
        <w:rPr>
          <w:sz w:val="20"/>
          <w:szCs w:val="20"/>
          <w:rtl/>
        </w:rPr>
        <w:t>. שם, עמ׳ 147.</w:t>
      </w:r>
    </w:p>
  </w:footnote>
  <w:footnote w:id="4189">
    <w:p w14:paraId="2D1C27E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ב“גיבורי</w:t>
      </w:r>
      <w:proofErr w:type="spellEnd"/>
      <w:r>
        <w:rPr>
          <w:sz w:val="20"/>
          <w:szCs w:val="20"/>
          <w:rtl/>
        </w:rPr>
        <w:t xml:space="preserve"> האורתודוקסיה”, עמ׳ 142, מסופר שר׳ לייזר גורדון רק לא היה מרוצה מידיעותיו של השוחט בהלכות שחיטה. השווה גם הערה 127 לעיל, על דוגמאות נוספות להתבטאויות לא מוצלחות של ר׳ לייזר.</w:t>
      </w:r>
    </w:p>
  </w:footnote>
  <w:footnote w:id="4190">
    <w:p w14:paraId="2C34401C" w14:textId="77777777" w:rsidR="00AB3647" w:rsidRDefault="00000000">
      <w:pPr>
        <w:spacing w:after="0" w:before="0"/>
        <w:jc w:val="both"/>
      </w:pPr>
      <w:r>
        <w:rPr>
          <w:sz w:val="20"/>
          <w:szCs w:val="20"/>
          <w:rtl/>
        </w:rPr>
        <w:footnoteRef/>
      </w:r>
      <w:r>
        <w:rPr>
          <w:sz w:val="20"/>
          <w:szCs w:val="20"/>
          <w:rtl/>
        </w:rPr>
        <w:t>. השווה לפרק 1, הערה 19.</w:t>
      </w:r>
    </w:p>
  </w:footnote>
  <w:footnote w:id="4191">
    <w:p w14:paraId="6B8C2E90" w14:textId="77777777" w:rsidR="00AB3647" w:rsidRDefault="00000000">
      <w:pPr>
        <w:spacing w:after="0" w:before="0"/>
        <w:jc w:val="both"/>
      </w:pPr>
      <w:r>
        <w:rPr>
          <w:sz w:val="20"/>
          <w:szCs w:val="20"/>
          <w:rtl/>
        </w:rPr>
        <w:footnoteRef/>
      </w:r>
      <w:r>
        <w:rPr>
          <w:sz w:val="20"/>
          <w:szCs w:val="20"/>
          <w:rtl/>
        </w:rPr>
        <w:t xml:space="preserve">. לפי מכתבו של ר׳ </w:t>
      </w:r>
      <w:proofErr w:type="spellStart"/>
      <w:r>
        <w:rPr>
          <w:sz w:val="20"/>
          <w:szCs w:val="20"/>
          <w:rtl/>
        </w:rPr>
        <w:t>צבי־הירש</w:t>
      </w:r>
      <w:proofErr w:type="spellEnd"/>
      <w:r>
        <w:rPr>
          <w:sz w:val="20"/>
          <w:szCs w:val="20"/>
          <w:rtl/>
        </w:rPr>
        <w:t xml:space="preserve"> פרבר </w:t>
      </w:r>
      <w:proofErr w:type="spellStart"/>
      <w:r>
        <w:rPr>
          <w:sz w:val="20"/>
          <w:szCs w:val="20"/>
          <w:rtl/>
        </w:rPr>
        <w:t>ב“ישורון</w:t>
      </w:r>
      <w:proofErr w:type="spellEnd"/>
      <w:r>
        <w:rPr>
          <w:sz w:val="20"/>
          <w:szCs w:val="20"/>
          <w:rtl/>
        </w:rPr>
        <w:t xml:space="preserve">” (הפסקה השנייה של נספח ז לעיל), אות ז, למד ר׳ שלמה אלישיב, בעל הלשם, קבלה אצל הרב הזה </w:t>
      </w:r>
      <w:proofErr w:type="spellStart"/>
      <w:r>
        <w:rPr>
          <w:sz w:val="20"/>
          <w:szCs w:val="20"/>
          <w:rtl/>
        </w:rPr>
        <w:t>מטלז</w:t>
      </w:r>
      <w:proofErr w:type="spellEnd"/>
      <w:r>
        <w:rPr>
          <w:sz w:val="20"/>
          <w:szCs w:val="20"/>
          <w:rtl/>
        </w:rPr>
        <w:t>.</w:t>
      </w:r>
    </w:p>
  </w:footnote>
  <w:footnote w:id="4192">
    <w:p w14:paraId="7BE33395"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יב</w:t>
      </w:r>
      <w:proofErr w:type="spellEnd"/>
      <w:r>
        <w:rPr>
          <w:sz w:val="20"/>
          <w:szCs w:val="20"/>
          <w:rtl/>
        </w:rPr>
        <w:t xml:space="preserve"> להלן. מובאים שם דברי אבי על דיין </w:t>
      </w:r>
      <w:proofErr w:type="spellStart"/>
      <w:r>
        <w:rPr>
          <w:sz w:val="20"/>
          <w:szCs w:val="20"/>
          <w:rtl/>
        </w:rPr>
        <w:t>בטלז</w:t>
      </w:r>
      <w:proofErr w:type="spellEnd"/>
      <w:r>
        <w:rPr>
          <w:sz w:val="20"/>
          <w:szCs w:val="20"/>
          <w:rtl/>
        </w:rPr>
        <w:t xml:space="preserve"> ששמו לא נזכר, ואולי שאף לרבנות </w:t>
      </w:r>
      <w:proofErr w:type="spellStart"/>
      <w:r>
        <w:rPr>
          <w:sz w:val="20"/>
          <w:szCs w:val="20"/>
          <w:rtl/>
        </w:rPr>
        <w:t>טלז</w:t>
      </w:r>
      <w:proofErr w:type="spellEnd"/>
      <w:r>
        <w:rPr>
          <w:sz w:val="20"/>
          <w:szCs w:val="20"/>
          <w:rtl/>
        </w:rPr>
        <w:t xml:space="preserve">, שניסה לחסום את כל המועמדים לרבנות העיר, והסיפור כיצד עקפו אותו. ייתכן שהיה זה ר׳ </w:t>
      </w:r>
      <w:proofErr w:type="spellStart"/>
      <w:r>
        <w:rPr>
          <w:sz w:val="20"/>
          <w:szCs w:val="20"/>
          <w:rtl/>
        </w:rPr>
        <w:t>אברהם־אבא</w:t>
      </w:r>
      <w:proofErr w:type="spellEnd"/>
      <w:r>
        <w:rPr>
          <w:sz w:val="20"/>
          <w:szCs w:val="20"/>
          <w:rtl/>
        </w:rPr>
        <w:t xml:space="preserve"> ורנר עצמו.</w:t>
      </w:r>
    </w:p>
  </w:footnote>
  <w:footnote w:id="4193">
    <w:p w14:paraId="563EE346" w14:textId="77777777" w:rsidR="00AB3647" w:rsidRDefault="00000000">
      <w:pPr>
        <w:spacing w:after="0" w:before="0"/>
        <w:jc w:val="both"/>
      </w:pPr>
      <w:r>
        <w:rPr>
          <w:sz w:val="20"/>
          <w:szCs w:val="20"/>
          <w:rtl/>
        </w:rPr>
        <w:footnoteRef/>
      </w:r>
      <w:r>
        <w:rPr>
          <w:sz w:val="20"/>
          <w:szCs w:val="20"/>
          <w:rtl/>
        </w:rPr>
        <w:t>. ראה את סוף הפסקה הקודמת.</w:t>
      </w:r>
    </w:p>
  </w:footnote>
  <w:footnote w:id="4194">
    <w:p w14:paraId="45A1CFEB" w14:textId="77777777" w:rsidR="00AB3647" w:rsidRDefault="00000000">
      <w:pPr>
        <w:spacing w:after="0" w:before="0"/>
        <w:jc w:val="both"/>
      </w:pPr>
      <w:r>
        <w:rPr>
          <w:sz w:val="20"/>
          <w:szCs w:val="20"/>
          <w:rtl/>
        </w:rPr>
        <w:footnoteRef/>
      </w:r>
      <w:r>
        <w:rPr>
          <w:sz w:val="20"/>
          <w:szCs w:val="20"/>
          <w:rtl/>
        </w:rPr>
        <w:t>. מיד עם בואו לשם היה מעורב בניסיון להקים את ארגון הכשרות העצמאי הנזכר לעיל.</w:t>
      </w:r>
    </w:p>
  </w:footnote>
  <w:footnote w:id="4195">
    <w:p w14:paraId="6BB23BE4" w14:textId="77777777" w:rsidR="00AB3647" w:rsidRDefault="00000000">
      <w:pPr>
        <w:spacing w:after="0" w:before="0"/>
        <w:jc w:val="both"/>
      </w:pPr>
      <w:r>
        <w:rPr>
          <w:sz w:val="20"/>
          <w:szCs w:val="20"/>
          <w:rtl/>
        </w:rPr>
        <w:footnoteRef/>
      </w:r>
      <w:r>
        <w:rPr>
          <w:sz w:val="20"/>
          <w:szCs w:val="20"/>
          <w:rtl/>
        </w:rPr>
        <w:t>. ריאיון מ־2 בספטמבר 1994.</w:t>
      </w:r>
    </w:p>
  </w:footnote>
  <w:footnote w:id="4196">
    <w:p w14:paraId="2FB08BA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מוינעשטער</w:t>
      </w:r>
      <w:proofErr w:type="spellEnd"/>
      <w:r>
        <w:rPr>
          <w:sz w:val="20"/>
          <w:szCs w:val="20"/>
          <w:rtl/>
        </w:rPr>
        <w:t xml:space="preserve"> </w:t>
      </w:r>
      <w:proofErr w:type="spellStart"/>
      <w:r>
        <w:rPr>
          <w:sz w:val="20"/>
          <w:szCs w:val="20"/>
          <w:rtl/>
        </w:rPr>
        <w:t>פאבלישינג</w:t>
      </w:r>
      <w:proofErr w:type="spellEnd"/>
      <w:r>
        <w:rPr>
          <w:sz w:val="20"/>
          <w:szCs w:val="20"/>
          <w:rtl/>
        </w:rPr>
        <w:t xml:space="preserve"> </w:t>
      </w:r>
      <w:proofErr w:type="spellStart"/>
      <w:r>
        <w:rPr>
          <w:sz w:val="20"/>
          <w:szCs w:val="20"/>
          <w:rtl/>
        </w:rPr>
        <w:t>קאמפ</w:t>
      </w:r>
      <w:proofErr w:type="spellEnd"/>
      <w:r>
        <w:rPr>
          <w:sz w:val="20"/>
          <w:szCs w:val="20"/>
          <w:rtl/>
        </w:rPr>
        <w:t xml:space="preserve">., ניו יורק</w:t>
      </w:r>
      <w:proofErr w:type="spellStart"/>
      <w:r>
        <w:rPr>
          <w:sz w:val="20"/>
          <w:szCs w:val="20"/>
          <w:rtl/>
        </w:rPr>
        <w:t xml:space="preserve"/>
      </w:r>
      <w:proofErr w:type="spellEnd"/>
      <w:r>
        <w:rPr>
          <w:sz w:val="20"/>
          <w:szCs w:val="20"/>
          <w:rtl/>
        </w:rPr>
        <w:t>, תשי״ב, עמ׳ 170.</w:t>
      </w:r>
    </w:p>
  </w:footnote>
  <w:footnote w:id="4197">
    <w:p w14:paraId="22EA0F7C" w14:textId="77777777" w:rsidR="00AB3647" w:rsidRDefault="00000000">
      <w:pPr>
        <w:spacing w:after="0" w:before="0"/>
        <w:jc w:val="both"/>
      </w:pPr>
      <w:r>
        <w:rPr>
          <w:sz w:val="20"/>
          <w:szCs w:val="20"/>
          <w:rtl/>
        </w:rPr>
        <w:footnoteRef/>
      </w:r>
      <w:r>
        <w:rPr>
          <w:sz w:val="20"/>
          <w:szCs w:val="20"/>
          <w:rtl/>
        </w:rPr>
        <w:t>. הפסקה הרביעית של נספח ט בפרק זה, עמ׳ 151.</w:t>
      </w:r>
    </w:p>
  </w:footnote>
  <w:footnote w:id="4198">
    <w:p w14:paraId="0860DA06" w14:textId="77777777" w:rsidR="00AB3647" w:rsidRDefault="00000000">
      <w:pPr>
        <w:spacing w:after="0" w:before="0"/>
        <w:jc w:val="both"/>
      </w:pPr>
      <w:r>
        <w:rPr>
          <w:sz w:val="20"/>
          <w:szCs w:val="20"/>
          <w:rtl/>
        </w:rPr>
        <w:footnoteRef/>
      </w:r>
      <w:r>
        <w:rPr>
          <w:sz w:val="20"/>
          <w:szCs w:val="20"/>
          <w:rtl/>
        </w:rPr>
        <w:t xml:space="preserve">. לפי המאמר </w:t>
      </w:r>
      <w:proofErr w:type="spellStart"/>
      <w:r>
        <w:rPr>
          <w:sz w:val="20"/>
          <w:szCs w:val="20"/>
          <w:rtl/>
        </w:rPr>
        <w:t>ב“גיבורי</w:t>
      </w:r>
      <w:proofErr w:type="spellEnd"/>
      <w:r>
        <w:rPr>
          <w:sz w:val="20"/>
          <w:szCs w:val="20"/>
          <w:rtl/>
        </w:rPr>
        <w:t xml:space="preserve"> האורתודוקסיה”.</w:t>
      </w:r>
    </w:p>
  </w:footnote>
  <w:footnote w:id="4199">
    <w:p w14:paraId="0698C0B8" w14:textId="77777777" w:rsidR="00AB3647" w:rsidRDefault="00000000">
      <w:pPr>
        <w:spacing w:after="0" w:before="0"/>
        <w:jc w:val="both"/>
      </w:pPr>
      <w:r>
        <w:rPr>
          <w:sz w:val="20"/>
          <w:szCs w:val="20"/>
          <w:rtl/>
        </w:rPr>
        <w:footnoteRef/>
      </w:r>
      <w:r>
        <w:rPr>
          <w:sz w:val="20"/>
          <w:szCs w:val="20"/>
          <w:rtl/>
        </w:rPr>
        <w:t>. ריאיון מ־31 ביולי 1994.</w:t>
      </w:r>
    </w:p>
  </w:footnote>
  <w:footnote w:id="4200">
    <w:p w14:paraId="2D261096" w14:textId="77777777" w:rsidR="00AB3647" w:rsidRDefault="00000000">
      <w:pPr>
        <w:spacing w:after="0" w:before="0"/>
        <w:jc w:val="both"/>
      </w:pPr>
      <w:r>
        <w:rPr>
          <w:sz w:val="20"/>
          <w:szCs w:val="20"/>
          <w:rtl/>
        </w:rPr>
        <w:footnoteRef/>
      </w:r>
      <w:r>
        <w:rPr>
          <w:sz w:val="20"/>
          <w:szCs w:val="20"/>
          <w:rtl/>
        </w:rPr>
        <w:t xml:space="preserve">. לפי ר׳ </w:t>
      </w:r>
      <w:proofErr w:type="spellStart"/>
      <w:r>
        <w:rPr>
          <w:sz w:val="20"/>
          <w:szCs w:val="20"/>
          <w:rtl/>
        </w:rPr>
        <w:t>אברהם־חיים</w:t>
      </w:r>
      <w:proofErr w:type="spellEnd"/>
      <w:r>
        <w:rPr>
          <w:sz w:val="20"/>
          <w:szCs w:val="20"/>
          <w:rtl/>
        </w:rPr>
        <w:t xml:space="preserve"> </w:t>
      </w:r>
      <w:proofErr w:type="spellStart"/>
      <w:r>
        <w:rPr>
          <w:sz w:val="20"/>
          <w:szCs w:val="20"/>
          <w:rtl/>
        </w:rPr>
        <w:t>פויער</w:t>
      </w:r>
      <w:proofErr w:type="spellEnd"/>
      <w:r>
        <w:rPr>
          <w:sz w:val="20"/>
          <w:szCs w:val="20"/>
          <w:rtl/>
        </w:rPr>
        <w:t>, השם מרי גורדון התפרסם לבסוף בחוגי הרפואה הבריטיים. אולם לא הצלחתי למצוא מידע נוסף עליה.</w:t>
      </w:r>
    </w:p>
  </w:footnote>
  <w:footnote w:id="4201">
    <w:p w14:paraId="285717BF" w14:textId="77777777" w:rsidR="00AB3647" w:rsidRDefault="00000000">
      <w:pPr>
        <w:spacing w:after="0" w:before="0"/>
        <w:jc w:val="both"/>
      </w:pPr>
      <w:r>
        <w:rPr>
          <w:sz w:val="20"/>
          <w:szCs w:val="20"/>
          <w:rtl/>
        </w:rPr>
        <w:footnoteRef/>
      </w:r>
      <w:r>
        <w:rPr>
          <w:sz w:val="20"/>
          <w:szCs w:val="20"/>
          <w:rtl/>
        </w:rPr>
        <w:t>. השווה לפרק 3, נספח טו.</w:t>
      </w:r>
    </w:p>
  </w:footnote>
  <w:footnote w:id="4202">
    <w:p w14:paraId="3036B847" w14:textId="77777777" w:rsidR="00AB3647" w:rsidRDefault="00000000">
      <w:pPr>
        <w:spacing w:after="0" w:before="0"/>
        <w:jc w:val="both"/>
      </w:pPr>
      <w:r>
        <w:rPr>
          <w:sz w:val="20"/>
          <w:szCs w:val="20"/>
          <w:rtl/>
        </w:rPr>
        <w:footnoteRef/>
      </w:r>
      <w:r>
        <w:rPr>
          <w:sz w:val="20"/>
          <w:szCs w:val="20"/>
          <w:rtl/>
        </w:rPr>
        <w:t xml:space="preserve">. “גיבורי האורתודוקסיה”, עמ׳ 150, מנפח את רשימת הרבנים המפורסמים שהשתתפו בהלוויית ר׳ לייזר, וכולל בה את </w:t>
      </w:r>
      <w:proofErr w:type="spellStart"/>
      <w:r>
        <w:rPr>
          <w:sz w:val="20"/>
          <w:szCs w:val="20"/>
          <w:rtl/>
        </w:rPr>
        <w:t>האדר״ת</w:t>
      </w:r>
      <w:proofErr w:type="spellEnd"/>
      <w:r>
        <w:rPr>
          <w:sz w:val="20"/>
          <w:szCs w:val="20"/>
          <w:rtl/>
        </w:rPr>
        <w:t xml:space="preserve"> (ראה פרק 1, נספח ו), שנפטר חמש שנים לפני ר׳ לייזר גורדון.</w:t>
      </w:r>
    </w:p>
  </w:footnote>
  <w:footnote w:id="4203">
    <w:p w14:paraId="3E4856FB" w14:textId="77777777" w:rsidR="00AB3647" w:rsidRDefault="00000000">
      <w:pPr>
        <w:spacing w:after="0" w:before="0"/>
        <w:jc w:val="both"/>
      </w:pPr>
      <w:r>
        <w:rPr>
          <w:sz w:val="20"/>
          <w:szCs w:val="20"/>
          <w:rtl/>
        </w:rPr>
        <w:footnoteRef/>
      </w:r>
      <w:r>
        <w:rPr>
          <w:sz w:val="20"/>
          <w:szCs w:val="20"/>
          <w:rtl/>
        </w:rPr>
        <w:t>. בראשית מ, טו.</w:t>
      </w:r>
    </w:p>
  </w:footnote>
  <w:footnote w:id="4204">
    <w:p w14:paraId="783DB731" w14:textId="77777777" w:rsidR="00AB3647" w:rsidRDefault="00000000">
      <w:pPr>
        <w:spacing w:after="0" w:before="0"/>
        <w:jc w:val="both"/>
      </w:pPr>
      <w:r>
        <w:rPr>
          <w:sz w:val="20"/>
          <w:szCs w:val="20"/>
          <w:rtl/>
        </w:rPr>
        <w:footnoteRef/>
      </w:r>
      <w:r>
        <w:rPr>
          <w:sz w:val="20"/>
          <w:szCs w:val="20"/>
          <w:rtl/>
        </w:rPr>
        <w:t>. ליטא, שחייה היהודיים היו עשירים לאין ערוך מאלה של אנגליה.</w:t>
      </w:r>
    </w:p>
  </w:footnote>
  <w:footnote w:id="4205">
    <w:p w14:paraId="72A9D519" w14:textId="77777777" w:rsidR="00AB3647" w:rsidRDefault="00000000">
      <w:pPr>
        <w:spacing w:after="0" w:before="0"/>
        <w:jc w:val="both"/>
      </w:pPr>
      <w:r>
        <w:rPr>
          <w:sz w:val="20"/>
          <w:szCs w:val="20"/>
          <w:rtl/>
        </w:rPr>
        <w:footnoteRef/>
      </w:r>
      <w:r>
        <w:rPr>
          <w:sz w:val="20"/>
          <w:szCs w:val="20"/>
          <w:rtl/>
        </w:rPr>
        <w:t xml:space="preserve">. היא מגזימה מעט בנקודה אחת – ראה הערת שוליים </w:t>
      </w:r>
      <w:r>
        <w:rPr>
          <w:sz w:val="20"/>
          <w:szCs w:val="20"/>
          <w:rtl/>
        </w:rPr>
        <w:fldChar w:fldCharType="begin" w:dirty="true"/>
      </w:r>
      <w:r>
        <w:rPr>
          <w:sz w:val="20"/>
          <w:szCs w:val="20"/>
          <w:rtl/>
        </w:rPr>
        <w:instrText xml:space="preserve"> NOTEREF pr_f_3711 \h </w:instrText>
      </w:r>
      <w:r>
        <w:rPr>
          <w:sz w:val="20"/>
          <w:szCs w:val="20"/>
          <w:rtl/>
        </w:rPr>
      </w:r>
      <w:r>
        <w:rPr>
          <w:sz w:val="20"/>
          <w:szCs w:val="20"/>
          <w:rtl/>
        </w:rPr>
        <w:fldChar w:fldCharType="separate"/>
      </w:r>
      <w:r w:rsidR="007923E9">
        <w:rPr>
          <w:sz w:val="20"/>
          <w:szCs w:val="20"/>
          <w:rtl/>
        </w:rPr>
        <w:t>788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06">
    <w:p w14:paraId="78611B7C" w14:textId="77777777" w:rsidR="00AB3647" w:rsidRDefault="00000000">
      <w:pPr>
        <w:spacing w:after="0" w:before="0"/>
        <w:jc w:val="both"/>
      </w:pPr>
      <w:r>
        <w:rPr>
          <w:sz w:val="20"/>
          <w:szCs w:val="20"/>
          <w:rtl/>
        </w:rPr>
        <w:footnoteRef/>
      </w:r>
      <w:r>
        <w:rPr>
          <w:sz w:val="20"/>
          <w:szCs w:val="20"/>
          <w:rtl/>
        </w:rPr>
        <w:t>. גיליון ט׳ באדר א׳ תר״ע.</w:t>
      </w:r>
    </w:p>
  </w:footnote>
  <w:footnote w:id="4207">
    <w:p w14:paraId="40686A8B" w14:textId="77777777" w:rsidR="00AB3647" w:rsidRDefault="00000000">
      <w:pPr>
        <w:spacing w:after="0" w:before="0"/>
        <w:jc w:val="both"/>
      </w:pPr>
      <w:r>
        <w:rPr>
          <w:sz w:val="20"/>
          <w:szCs w:val="20"/>
          <w:rtl/>
        </w:rPr>
        <w:footnoteRef/>
      </w:r>
      <w:r>
        <w:rPr>
          <w:sz w:val="20"/>
          <w:szCs w:val="20"/>
          <w:rtl/>
        </w:rPr>
        <w:t>. הפסקה השנייה של נספח ז לעיל.</w:t>
      </w:r>
    </w:p>
  </w:footnote>
  <w:footnote w:id="4208">
    <w:p w14:paraId="00CC3223" w14:textId="77777777" w:rsidR="00AB3647" w:rsidRDefault="00000000">
      <w:pPr>
        <w:spacing w:after="0" w:before="0"/>
        <w:jc w:val="both"/>
      </w:pPr>
      <w:r>
        <w:rPr>
          <w:sz w:val="20"/>
          <w:szCs w:val="20"/>
          <w:rtl/>
        </w:rPr>
        <w:footnoteRef/>
      </w:r>
      <w:r>
        <w:rPr>
          <w:sz w:val="20"/>
          <w:szCs w:val="20"/>
          <w:rtl/>
        </w:rPr>
        <w:t>. תוספות נלקטו גם מתבונה (תרפ״ג) – השווה לפרק 3, נספח ג.</w:t>
      </w:r>
    </w:p>
  </w:footnote>
  <w:footnote w:id="4209">
    <w:p w14:paraId="34AC21D0" w14:textId="77777777" w:rsidR="00AB3647" w:rsidRDefault="00000000">
      <w:pPr>
        <w:spacing w:after="0" w:before="0"/>
        <w:jc w:val="both"/>
      </w:pPr>
      <w:r>
        <w:rPr>
          <w:sz w:val="20"/>
          <w:szCs w:val="20"/>
          <w:rtl/>
        </w:rPr>
        <w:footnoteRef/>
      </w:r>
      <w:r>
        <w:rPr>
          <w:sz w:val="20"/>
          <w:szCs w:val="20"/>
          <w:rtl/>
        </w:rPr>
        <w:t xml:space="preserve">. אולם לפי </w:t>
      </w:r>
      <w:proofErr w:type="spellStart"/>
      <w:r>
        <w:rPr>
          <w:sz w:val="20"/>
          <w:szCs w:val="20"/>
          <w:rtl/>
        </w:rPr>
        <w:t>רבינר</w:t>
      </w:r>
      <w:proofErr w:type="spellEnd"/>
      <w:r>
        <w:rPr>
          <w:sz w:val="20"/>
          <w:szCs w:val="20"/>
          <w:rtl/>
        </w:rPr>
        <w:t xml:space="preserve">, “הגאון רבי אליעזר גורדון”, עמ׳ לט, היא נפתחה עם </w:t>
      </w:r>
      <w:proofErr w:type="spellStart"/>
      <w:r>
        <w:rPr>
          <w:sz w:val="20"/>
          <w:szCs w:val="20"/>
          <w:rtl/>
        </w:rPr>
        <w:t>שמונה־עשר</w:t>
      </w:r>
      <w:proofErr w:type="spellEnd"/>
      <w:r>
        <w:rPr>
          <w:sz w:val="20"/>
          <w:szCs w:val="20"/>
          <w:rtl/>
        </w:rPr>
        <w:t xml:space="preserve"> תלמידים.</w:t>
      </w:r>
    </w:p>
  </w:footnote>
  <w:footnote w:id="4210">
    <w:p w14:paraId="4A99EBC6" w14:textId="77777777" w:rsidR="00AB3647" w:rsidRDefault="00000000">
      <w:pPr>
        <w:spacing w:after="0" w:before="0"/>
        <w:jc w:val="both"/>
      </w:pPr>
      <w:r>
        <w:rPr>
          <w:sz w:val="20"/>
          <w:szCs w:val="20"/>
          <w:rtl/>
        </w:rPr>
        <w:footnoteRef/>
      </w:r>
      <w:r>
        <w:rPr>
          <w:sz w:val="20"/>
          <w:szCs w:val="20"/>
          <w:rtl/>
        </w:rPr>
        <w:t>. ריאיון מ־21 בדצמבר 1987.</w:t>
      </w:r>
    </w:p>
  </w:footnote>
  <w:footnote w:id="4211">
    <w:p w14:paraId="0DF6EDA7" w14:textId="77777777" w:rsidR="00AB3647" w:rsidRDefault="00000000">
      <w:pPr>
        <w:spacing w:after="0" w:before="0"/>
        <w:jc w:val="both"/>
      </w:pPr>
      <w:r>
        <w:rPr>
          <w:sz w:val="20"/>
          <w:szCs w:val="20"/>
          <w:rtl/>
        </w:rPr>
        <w:footnoteRef/>
      </w:r>
      <w:r>
        <w:rPr>
          <w:sz w:val="20"/>
          <w:szCs w:val="20"/>
          <w:rtl/>
        </w:rPr>
        <w:t xml:space="preserve">. השווה גם לסוף נספח זה, ושים לב שר׳ מאיר אטלס היה מבוגר מר׳ </w:t>
      </w:r>
      <w:proofErr w:type="spellStart"/>
      <w:r>
        <w:rPr>
          <w:sz w:val="20"/>
          <w:szCs w:val="20"/>
          <w:rtl/>
        </w:rPr>
        <w:t>הירש־יעקב</w:t>
      </w:r>
      <w:proofErr w:type="spellEnd"/>
      <w:r>
        <w:rPr>
          <w:sz w:val="20"/>
          <w:szCs w:val="20"/>
          <w:rtl/>
        </w:rPr>
        <w:t xml:space="preserve"> </w:t>
      </w:r>
      <w:proofErr w:type="spellStart"/>
      <w:r>
        <w:rPr>
          <w:sz w:val="20"/>
          <w:szCs w:val="20"/>
          <w:rtl/>
        </w:rPr>
        <w:t>אופנהיים</w:t>
      </w:r>
      <w:proofErr w:type="spellEnd"/>
      <w:r>
        <w:rPr>
          <w:sz w:val="20"/>
          <w:szCs w:val="20"/>
          <w:rtl/>
        </w:rPr>
        <w:t xml:space="preserve"> בשש שנים – השווה </w:t>
      </w:r>
      <w:proofErr w:type="spellStart"/>
      <w:r>
        <w:rPr>
          <w:sz w:val="20"/>
          <w:szCs w:val="20"/>
          <w:rtl/>
        </w:rPr>
        <w:t>לבערל</w:t>
      </w:r>
      <w:proofErr w:type="spellEnd"/>
      <w:r>
        <w:rPr>
          <w:sz w:val="20"/>
          <w:szCs w:val="20"/>
          <w:rtl/>
        </w:rPr>
        <w:t xml:space="preserve"> </w:t>
      </w:r>
      <w:proofErr w:type="spellStart"/>
      <w:r>
        <w:rPr>
          <w:sz w:val="20"/>
          <w:szCs w:val="20"/>
          <w:rtl/>
        </w:rPr>
        <w:t>קגן</w:t>
      </w:r>
      <w:proofErr w:type="spellEnd"/>
      <w:r>
        <w:rPr>
          <w:sz w:val="20"/>
          <w:szCs w:val="20"/>
          <w:rtl/>
        </w:rPr>
        <w:t>, עמ׳ 579 ו־423, בהתאמה.</w:t>
      </w:r>
    </w:p>
  </w:footnote>
  <w:footnote w:id="4212">
    <w:p w14:paraId="5507CBE0" w14:textId="77777777" w:rsidR="00AB3647" w:rsidRDefault="00000000">
      <w:pPr>
        <w:spacing w:after="0" w:before="0"/>
        <w:jc w:val="both"/>
      </w:pPr>
      <w:r>
        <w:rPr>
          <w:sz w:val="20"/>
          <w:szCs w:val="20"/>
          <w:rtl/>
        </w:rPr>
        <w:footnoteRef/>
      </w:r>
      <w:r>
        <w:rPr>
          <w:sz w:val="20"/>
          <w:szCs w:val="20"/>
          <w:rtl/>
        </w:rPr>
        <w:t xml:space="preserve">. לפי ר׳ נפתלי </w:t>
      </w:r>
      <w:proofErr w:type="spellStart"/>
      <w:r>
        <w:rPr>
          <w:sz w:val="20"/>
          <w:szCs w:val="20"/>
          <w:rtl/>
        </w:rPr>
        <w:t>אלזס</w:t>
      </w:r>
      <w:proofErr w:type="spellEnd"/>
      <w:r>
        <w:rPr>
          <w:sz w:val="20"/>
          <w:szCs w:val="20"/>
          <w:rtl/>
        </w:rPr>
        <w:t xml:space="preserve">, בריאיון מ־18 בפברואר 1988. הוא שמע זאת בביקורו האחרון של רבנו בישראל, </w:t>
      </w:r>
      <w:proofErr w:type="spellStart"/>
      <w:r>
        <w:rPr>
          <w:sz w:val="20"/>
          <w:szCs w:val="20"/>
          <w:rtl/>
        </w:rPr>
        <w:t>בתשמ״ב</w:t>
      </w:r>
      <w:proofErr w:type="spellEnd"/>
      <w:r>
        <w:rPr>
          <w:sz w:val="20"/>
          <w:szCs w:val="20"/>
          <w:rtl/>
        </w:rPr>
        <w:t>, “בשבת שלפני שבועות”.</w:t>
      </w:r>
    </w:p>
  </w:footnote>
  <w:footnote w:id="4213">
    <w:p w14:paraId="272530A9" w14:textId="77777777" w:rsidR="00AB3647" w:rsidRDefault="00000000">
      <w:pPr>
        <w:spacing w:after="0" w:before="0"/>
        <w:jc w:val="both"/>
      </w:pPr>
      <w:r>
        <w:rPr>
          <w:sz w:val="20"/>
          <w:szCs w:val="20"/>
          <w:rtl/>
        </w:rPr>
        <w:footnoteRef/>
      </w:r>
      <w:r>
        <w:rPr>
          <w:sz w:val="20"/>
          <w:szCs w:val="20"/>
          <w:rtl/>
        </w:rPr>
        <w:t>. הערה 8 לעיל – אות סד של דוגמא מדרכי אבי זצ״ל.</w:t>
      </w:r>
    </w:p>
  </w:footnote>
  <w:footnote w:id="4214">
    <w:p w14:paraId="58C88687" w14:textId="77777777" w:rsidR="00AB3647" w:rsidRDefault="00000000">
      <w:pPr>
        <w:spacing w:after="0" w:before="0"/>
        <w:jc w:val="both"/>
      </w:pPr>
      <w:r>
        <w:rPr>
          <w:sz w:val="20"/>
          <w:szCs w:val="20"/>
          <w:rtl/>
        </w:rPr>
        <w:footnoteRef/>
      </w:r>
      <w:r>
        <w:rPr>
          <w:sz w:val="20"/>
          <w:szCs w:val="20"/>
          <w:rtl/>
        </w:rPr>
        <w:t>. הפסקה השלישית של נספח א לעיל – חלק ב, עמ׳ ד.</w:t>
      </w:r>
    </w:p>
  </w:footnote>
  <w:footnote w:id="4215">
    <w:p w14:paraId="1FDDDFA8" w14:textId="77777777" w:rsidR="00AB3647" w:rsidRDefault="00000000">
      <w:pPr>
        <w:spacing w:after="0" w:before="0"/>
        <w:jc w:val="both"/>
      </w:pPr>
      <w:r>
        <w:rPr>
          <w:sz w:val="20"/>
          <w:szCs w:val="20"/>
          <w:rtl/>
        </w:rPr>
        <w:footnoteRef/>
      </w:r>
      <w:r>
        <w:rPr>
          <w:sz w:val="20"/>
          <w:szCs w:val="20"/>
          <w:rtl/>
        </w:rPr>
        <w:t xml:space="preserve">. לפי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קעח</w:t>
      </w:r>
      <w:proofErr w:type="spellEnd"/>
      <w:r>
        <w:rPr>
          <w:sz w:val="20"/>
          <w:szCs w:val="20"/>
          <w:rtl/>
        </w:rPr>
        <w:t>.</w:t>
      </w:r>
    </w:p>
  </w:footnote>
  <w:footnote w:id="4216">
    <w:p w14:paraId="1DD9F81D" w14:textId="77777777" w:rsidR="00AB3647" w:rsidRDefault="00000000">
      <w:pPr>
        <w:spacing w:after="0" w:before="0"/>
        <w:jc w:val="both"/>
      </w:pPr>
      <w:r>
        <w:rPr>
          <w:sz w:val="20"/>
          <w:szCs w:val="20"/>
          <w:rtl/>
        </w:rPr>
        <w:footnoteRef/>
      </w:r>
      <w:r>
        <w:rPr>
          <w:sz w:val="20"/>
          <w:szCs w:val="20"/>
          <w:rtl/>
        </w:rPr>
        <w:t xml:space="preserve">. השווה לפרק 3, סוף נספח </w:t>
      </w:r>
      <w:proofErr w:type="spellStart"/>
      <w:r>
        <w:rPr>
          <w:sz w:val="20"/>
          <w:szCs w:val="20"/>
          <w:rtl/>
        </w:rPr>
        <w:t>יז</w:t>
      </w:r>
      <w:proofErr w:type="spellEnd"/>
      <w:r>
        <w:rPr>
          <w:sz w:val="20"/>
          <w:szCs w:val="20"/>
          <w:rtl/>
        </w:rPr>
        <w:t>.</w:t>
      </w:r>
    </w:p>
  </w:footnote>
  <w:footnote w:id="4217">
    <w:p w14:paraId="4E104055" w14:textId="77777777" w:rsidR="00AB3647" w:rsidRDefault="00000000">
      <w:pPr>
        <w:spacing w:after="0" w:before="0"/>
        <w:jc w:val="both"/>
      </w:pPr>
      <w:r>
        <w:rPr>
          <w:sz w:val="20"/>
          <w:szCs w:val="20"/>
          <w:rtl/>
        </w:rPr>
        <w:footnoteRef/>
      </w:r>
      <w:r>
        <w:rPr>
          <w:sz w:val="20"/>
          <w:szCs w:val="20"/>
          <w:rtl/>
        </w:rPr>
        <w:t xml:space="preserve">. רבנו סיפר זאת </w:t>
      </w:r>
      <w:proofErr w:type="spellStart"/>
      <w:r>
        <w:rPr>
          <w:sz w:val="20"/>
          <w:szCs w:val="20"/>
          <w:rtl/>
        </w:rPr>
        <w:t>לר</w:t>
      </w:r>
      <w:proofErr w:type="spellEnd"/>
      <w:r>
        <w:rPr>
          <w:sz w:val="20"/>
          <w:szCs w:val="20"/>
          <w:rtl/>
        </w:rPr>
        <w:t>׳ יעקב הירשמן, בריאיון מ־7 בנובמבר 1987 (בתוספות קלות שזכר בני, ר׳ יוסף, ב־26 בדצמבר 1991).</w:t>
      </w:r>
    </w:p>
  </w:footnote>
  <w:footnote w:id="4218">
    <w:p w14:paraId="6080E7E0" w14:textId="77777777" w:rsidR="00AB3647" w:rsidRDefault="00000000">
      <w:pPr>
        <w:spacing w:after="0" w:before="0"/>
        <w:jc w:val="both"/>
      </w:pPr>
      <w:r>
        <w:rPr>
          <w:sz w:val="20"/>
          <w:szCs w:val="20"/>
          <w:rtl/>
        </w:rPr>
        <w:footnoteRef/>
      </w:r>
      <w:r>
        <w:rPr>
          <w:sz w:val="20"/>
          <w:szCs w:val="20"/>
          <w:rtl/>
        </w:rPr>
        <w:t xml:space="preserve">. השווה פרק 2, הערה 17: הרב הקודם, ר׳ יהושע הלר, שנפטר </w:t>
      </w:r>
      <w:proofErr w:type="spellStart"/>
      <w:r>
        <w:rPr>
          <w:sz w:val="20"/>
          <w:szCs w:val="20"/>
          <w:rtl/>
        </w:rPr>
        <w:t>בתר״מ</w:t>
      </w:r>
      <w:proofErr w:type="spellEnd"/>
      <w:r>
        <w:rPr>
          <w:sz w:val="20"/>
          <w:szCs w:val="20"/>
          <w:rtl/>
        </w:rPr>
        <w:t>, עזב את כס הרבנות זמן מה לפני כן. ר׳ לייזר גורדון לא נתמנה עד תרמ״ד – ראה הפסקה השנייה של נספח ח לעיל.</w:t>
      </w:r>
    </w:p>
  </w:footnote>
  <w:footnote w:id="4219">
    <w:p w14:paraId="4C4C64E6" w14:textId="77777777" w:rsidR="00AB3647" w:rsidRDefault="00000000">
      <w:pPr>
        <w:spacing w:after="0" w:before="0"/>
        <w:jc w:val="both"/>
      </w:pPr>
      <w:r>
        <w:rPr>
          <w:sz w:val="20"/>
          <w:szCs w:val="20"/>
          <w:rtl/>
        </w:rPr>
        <w:footnoteRef/>
      </w:r>
      <w:r>
        <w:rPr>
          <w:sz w:val="20"/>
          <w:szCs w:val="20"/>
          <w:rtl/>
        </w:rPr>
        <w:t xml:space="preserve">. ראה, לדוגמה, פרק 5, תחילת נספח ו, על המקרה </w:t>
      </w:r>
      <w:proofErr w:type="spellStart"/>
      <w:r>
        <w:rPr>
          <w:sz w:val="20"/>
          <w:szCs w:val="20"/>
          <w:rtl/>
        </w:rPr>
        <w:t>בראסיין</w:t>
      </w:r>
      <w:proofErr w:type="spellEnd"/>
      <w:r>
        <w:rPr>
          <w:sz w:val="20"/>
          <w:szCs w:val="20"/>
          <w:rtl/>
        </w:rPr>
        <w:t xml:space="preserve"> כעבור רבע מאה, שגם עליו דיבר רבנו.</w:t>
      </w:r>
    </w:p>
  </w:footnote>
  <w:footnote w:id="4220">
    <w:p w14:paraId="29C7B44E" w14:textId="77777777" w:rsidR="00AB3647" w:rsidRDefault="00000000">
      <w:pPr>
        <w:spacing w:after="0" w:before="0"/>
        <w:jc w:val="both"/>
      </w:pPr>
      <w:r>
        <w:rPr>
          <w:sz w:val="20"/>
          <w:szCs w:val="20"/>
          <w:rtl/>
        </w:rPr>
        <w:footnoteRef/>
      </w:r>
      <w:r>
        <w:rPr>
          <w:sz w:val="20"/>
          <w:szCs w:val="20"/>
          <w:rtl/>
        </w:rPr>
        <w:t>. נספח י לעיל – עמ׳ 9.</w:t>
      </w:r>
    </w:p>
  </w:footnote>
  <w:footnote w:id="4221">
    <w:p w14:paraId="6D5CEBA0" w14:textId="77777777" w:rsidR="00AB3647" w:rsidRDefault="00000000">
      <w:pPr>
        <w:spacing w:after="0" w:before="0"/>
        <w:jc w:val="both"/>
      </w:pPr>
      <w:r>
        <w:rPr>
          <w:sz w:val="20"/>
          <w:szCs w:val="20"/>
          <w:rtl/>
        </w:rPr>
        <w:footnoteRef/>
      </w:r>
      <w:r>
        <w:rPr>
          <w:sz w:val="20"/>
          <w:szCs w:val="20"/>
          <w:rtl/>
        </w:rPr>
        <w:t>. הפסקה השנייה של נספח ט לעיל – עמ׳ 194.</w:t>
      </w:r>
    </w:p>
  </w:footnote>
  <w:footnote w:id="4222">
    <w:p w14:paraId="20C84A6B" w14:textId="77777777" w:rsidR="00AB3647" w:rsidRDefault="00000000">
      <w:pPr>
        <w:spacing w:after="0" w:before="0"/>
        <w:jc w:val="both"/>
      </w:pPr>
      <w:r>
        <w:rPr>
          <w:sz w:val="20"/>
          <w:szCs w:val="20"/>
          <w:rtl/>
        </w:rPr>
        <w:footnoteRef/>
      </w:r>
      <w:r>
        <w:rPr>
          <w:sz w:val="20"/>
          <w:szCs w:val="20"/>
          <w:rtl/>
        </w:rPr>
        <w:t>. השווה לפרק 3, נספח יא.</w:t>
      </w:r>
    </w:p>
  </w:footnote>
  <w:footnote w:id="4223">
    <w:p w14:paraId="3EDBB6EC" w14:textId="77777777" w:rsidR="00AB3647" w:rsidRDefault="00000000">
      <w:pPr>
        <w:spacing w:after="0" w:before="0"/>
        <w:jc w:val="both"/>
      </w:pPr>
      <w:r>
        <w:rPr>
          <w:sz w:val="20"/>
          <w:szCs w:val="20"/>
          <w:rtl/>
        </w:rPr>
        <w:footnoteRef/>
      </w:r>
      <w:r>
        <w:rPr>
          <w:sz w:val="20"/>
          <w:szCs w:val="20"/>
          <w:rtl/>
        </w:rPr>
        <w:t>. כרך 1, עמ׳ 74–75.</w:t>
      </w:r>
    </w:p>
  </w:footnote>
  <w:footnote w:id="4224">
    <w:p w14:paraId="0E056397" w14:textId="77777777" w:rsidR="00AB3647" w:rsidRDefault="00000000">
      <w:pPr>
        <w:spacing w:after="0" w:before="0"/>
        <w:jc w:val="both"/>
      </w:pPr>
      <w:r>
        <w:rPr>
          <w:sz w:val="20"/>
          <w:szCs w:val="20"/>
          <w:rtl/>
        </w:rPr>
        <w:footnoteRef/>
      </w:r>
      <w:r>
        <w:rPr>
          <w:sz w:val="20"/>
          <w:szCs w:val="20"/>
          <w:rtl/>
        </w:rPr>
        <w:t>. פרק 3, נספח יא.</w:t>
      </w:r>
    </w:p>
  </w:footnote>
  <w:footnote w:id="4225">
    <w:p w14:paraId="7FCA41E3" w14:textId="77777777" w:rsidR="00AB3647" w:rsidRDefault="00000000">
      <w:pPr>
        <w:spacing w:after="0" w:before="0"/>
        <w:jc w:val="both"/>
      </w:pPr>
      <w:r>
        <w:rPr>
          <w:sz w:val="20"/>
          <w:szCs w:val="20"/>
          <w:rtl/>
        </w:rPr>
        <w:footnoteRef/>
      </w:r>
      <w:r>
        <w:rPr>
          <w:sz w:val="20"/>
          <w:szCs w:val="20"/>
          <w:rtl/>
        </w:rPr>
        <w:t>. עמ׳ 47.</w:t>
      </w:r>
    </w:p>
  </w:footnote>
  <w:footnote w:id="4226">
    <w:p w14:paraId="0D4E9DD9" w14:textId="77777777" w:rsidR="00AB3647" w:rsidRDefault="00000000">
      <w:pPr>
        <w:spacing w:after="0" w:before="0"/>
        <w:jc w:val="both"/>
      </w:pPr>
      <w:r>
        <w:rPr>
          <w:sz w:val="20"/>
          <w:szCs w:val="20"/>
          <w:rtl/>
        </w:rPr>
        <w:footnoteRef/>
      </w:r>
      <w:r>
        <w:rPr>
          <w:sz w:val="20"/>
          <w:szCs w:val="20"/>
          <w:rtl/>
        </w:rPr>
        <w:t>. הערה 57 לעיל – עמ׳ רט.</w:t>
      </w:r>
    </w:p>
  </w:footnote>
  <w:footnote w:id="4227">
    <w:p w14:paraId="1C0A5564" w14:textId="77777777" w:rsidR="00AB3647" w:rsidRDefault="00000000">
      <w:pPr>
        <w:spacing w:after="0" w:before="0"/>
        <w:jc w:val="both"/>
      </w:pPr>
      <w:r>
        <w:rPr>
          <w:sz w:val="20"/>
          <w:szCs w:val="20"/>
          <w:rtl/>
        </w:rPr>
        <w:footnoteRef/>
      </w:r>
      <w:r>
        <w:rPr>
          <w:sz w:val="20"/>
          <w:szCs w:val="20"/>
          <w:rtl/>
        </w:rPr>
        <w:t>. הפסקה השישית של נספח ט לעיל – עמ׳ 214.</w:t>
      </w:r>
    </w:p>
  </w:footnote>
  <w:footnote w:id="4228">
    <w:p w14:paraId="537AA2B6" w14:textId="77777777" w:rsidR="00AB3647" w:rsidRDefault="00000000">
      <w:pPr>
        <w:spacing w:after="0" w:before="0"/>
        <w:jc w:val="both"/>
      </w:pPr>
      <w:r>
        <w:rPr>
          <w:sz w:val="20"/>
          <w:szCs w:val="20"/>
          <w:rtl/>
        </w:rPr>
        <w:footnoteRef/>
      </w:r>
      <w:r>
        <w:rPr>
          <w:sz w:val="20"/>
          <w:szCs w:val="20"/>
          <w:rtl/>
        </w:rPr>
        <w:t>. השווה גם לפרק 5, הערה 83.</w:t>
      </w:r>
    </w:p>
  </w:footnote>
  <w:footnote w:id="4229">
    <w:p w14:paraId="22C1019A" w14:textId="77777777" w:rsidR="00AB3647" w:rsidRDefault="00000000">
      <w:pPr>
        <w:spacing w:after="0" w:before="0"/>
        <w:jc w:val="both"/>
      </w:pPr>
      <w:r>
        <w:rPr>
          <w:sz w:val="20"/>
          <w:szCs w:val="20"/>
          <w:rtl/>
        </w:rPr>
        <w:footnoteRef/>
      </w:r>
      <w:r>
        <w:rPr>
          <w:sz w:val="20"/>
          <w:szCs w:val="20"/>
          <w:rtl/>
        </w:rPr>
        <w:t xml:space="preserve">. כפי שמסר ר׳ ירוחם </w:t>
      </w:r>
      <w:proofErr w:type="spellStart"/>
      <w:r>
        <w:rPr>
          <w:sz w:val="20"/>
          <w:szCs w:val="20"/>
          <w:rtl/>
        </w:rPr>
        <w:t>גורליק</w:t>
      </w:r>
      <w:proofErr w:type="spellEnd"/>
      <w:r>
        <w:rPr>
          <w:sz w:val="20"/>
          <w:szCs w:val="20"/>
          <w:rtl/>
        </w:rPr>
        <w:t>, המצוטט בהערת שוליים בעמ׳ מה של נפש הרב (הפסקה הרביעית של נספח ט לעיל).</w:t>
      </w:r>
    </w:p>
  </w:footnote>
  <w:footnote w:id="4230">
    <w:p w14:paraId="6167307C" w14:textId="77777777" w:rsidR="00AB3647" w:rsidRDefault="00000000">
      <w:pPr>
        <w:spacing w:after="0" w:before="0"/>
        <w:jc w:val="both"/>
      </w:pPr>
      <w:r>
        <w:rPr>
          <w:sz w:val="20"/>
          <w:szCs w:val="20"/>
          <w:rtl/>
        </w:rPr>
        <w:footnoteRef/>
      </w:r>
      <w:r>
        <w:rPr>
          <w:sz w:val="20"/>
          <w:szCs w:val="20"/>
          <w:rtl/>
        </w:rPr>
        <w:t xml:space="preserve">. כמו שיש הסוגים של </w:t>
      </w:r>
      <w:proofErr w:type="spellStart"/>
      <w:r>
        <w:rPr>
          <w:sz w:val="20"/>
          <w:szCs w:val="20"/>
          <w:rtl/>
        </w:rPr>
        <w:t>דומם־צומח־חי־מדבר</w:t>
      </w:r>
      <w:proofErr w:type="spellEnd"/>
      <w:r>
        <w:rPr>
          <w:sz w:val="20"/>
          <w:szCs w:val="20"/>
          <w:rtl/>
        </w:rPr>
        <w:t xml:space="preserve"> (וישראל אליבא </w:t>
      </w:r>
      <w:proofErr w:type="spellStart"/>
      <w:r>
        <w:rPr>
          <w:sz w:val="20"/>
          <w:szCs w:val="20"/>
          <w:rtl/>
        </w:rPr>
        <w:t>דכוזרי</w:t>
      </w:r>
      <w:proofErr w:type="spellEnd"/>
      <w:r>
        <w:rPr>
          <w:sz w:val="20"/>
          <w:szCs w:val="20"/>
          <w:rtl/>
        </w:rPr>
        <w:t>).</w:t>
      </w:r>
    </w:p>
  </w:footnote>
  <w:footnote w:id="4231">
    <w:p w14:paraId="4EBBE016" w14:textId="77777777" w:rsidR="00AB3647" w:rsidRDefault="00000000">
      <w:pPr>
        <w:spacing w:after="0" w:before="0"/>
        <w:jc w:val="both"/>
      </w:pPr>
      <w:r>
        <w:rPr>
          <w:sz w:val="20"/>
          <w:szCs w:val="20"/>
          <w:rtl/>
        </w:rPr>
        <w:footnoteRef/>
      </w:r>
      <w:r>
        <w:rPr>
          <w:sz w:val="20"/>
          <w:szCs w:val="20"/>
          <w:rtl/>
        </w:rPr>
        <w:t xml:space="preserve">. “ישיבתו של ר׳ חיים </w:t>
      </w:r>
      <w:proofErr w:type="spellStart"/>
      <w:r>
        <w:rPr>
          <w:sz w:val="20"/>
          <w:szCs w:val="20"/>
          <w:rtl/>
        </w:rPr>
        <w:t>סולובייצ׳יק</w:t>
      </w:r>
      <w:proofErr w:type="spellEnd"/>
      <w:r>
        <w:rPr>
          <w:sz w:val="20"/>
          <w:szCs w:val="20"/>
          <w:rtl/>
        </w:rPr>
        <w:t xml:space="preserve">”, הנזכרת להלן בפרק 5, נספח ג, הייתה פשוט מוסד מקומי לתלמידים צעירים בפיקוח רב העיר, ותלמידיה לא שמעו את שיעוריו של ר׳ חיים, שיעורים של גאון עולם. גם מכתבו של ר׳ חיים מ־29 בחשוון תרס״ג מתייחס למוסד מקומי זה. המכתב מובא </w:t>
      </w:r>
      <w:proofErr w:type="spellStart"/>
      <w:r>
        <w:rPr>
          <w:sz w:val="20"/>
          <w:szCs w:val="20"/>
          <w:rtl/>
        </w:rPr>
        <w:t>ב“שנות</w:t>
      </w:r>
      <w:proofErr w:type="spellEnd"/>
      <w:r>
        <w:rPr>
          <w:sz w:val="20"/>
          <w:szCs w:val="20"/>
          <w:rtl/>
        </w:rPr>
        <w:t xml:space="preserve"> דור ודור” (סוף נספח ז לעיל), עמ׳ רה, ובו הוא כותב לנמען: “נוסע היקר </w:t>
      </w:r>
      <w:proofErr w:type="spellStart"/>
      <w:r>
        <w:rPr>
          <w:sz w:val="20"/>
          <w:szCs w:val="20"/>
          <w:rtl/>
        </w:rPr>
        <w:t>מהור״ר</w:t>
      </w:r>
      <w:proofErr w:type="spellEnd"/>
      <w:r>
        <w:rPr>
          <w:sz w:val="20"/>
          <w:szCs w:val="20"/>
          <w:rtl/>
        </w:rPr>
        <w:t xml:space="preserve"> בנימין זאב </w:t>
      </w:r>
      <w:proofErr w:type="spellStart"/>
      <w:r>
        <w:rPr>
          <w:sz w:val="20"/>
          <w:szCs w:val="20"/>
          <w:rtl/>
        </w:rPr>
        <w:t>חוסיטצער</w:t>
      </w:r>
      <w:proofErr w:type="spellEnd"/>
      <w:r>
        <w:rPr>
          <w:sz w:val="20"/>
          <w:szCs w:val="20"/>
          <w:rtl/>
        </w:rPr>
        <w:t xml:space="preserve"> </w:t>
      </w:r>
      <w:proofErr w:type="spellStart"/>
      <w:r>
        <w:rPr>
          <w:sz w:val="20"/>
          <w:szCs w:val="20"/>
          <w:rtl/>
        </w:rPr>
        <w:t>בשליחותא</w:t>
      </w:r>
      <w:proofErr w:type="spellEnd"/>
      <w:r>
        <w:rPr>
          <w:sz w:val="20"/>
          <w:szCs w:val="20"/>
          <w:rtl/>
        </w:rPr>
        <w:t xml:space="preserve"> דידן </w:t>
      </w:r>
      <w:proofErr w:type="spellStart"/>
      <w:r>
        <w:rPr>
          <w:sz w:val="20"/>
          <w:szCs w:val="20"/>
          <w:rtl/>
        </w:rPr>
        <w:t>ליסד</w:t>
      </w:r>
      <w:proofErr w:type="spellEnd"/>
      <w:r>
        <w:rPr>
          <w:sz w:val="20"/>
          <w:szCs w:val="20"/>
          <w:rtl/>
        </w:rPr>
        <w:t xml:space="preserve"> מעמדות לטובת הישיבה שיסדנו (ההדגשה שלי) פה [</w:t>
      </w:r>
      <w:proofErr w:type="spellStart"/>
      <w:r>
        <w:rPr>
          <w:sz w:val="20"/>
          <w:szCs w:val="20"/>
          <w:rtl/>
        </w:rPr>
        <w:t>בבריסק</w:t>
      </w:r>
      <w:proofErr w:type="spellEnd"/>
      <w:r>
        <w:rPr>
          <w:sz w:val="20"/>
          <w:szCs w:val="20"/>
          <w:rtl/>
        </w:rPr>
        <w:t>] הנני לבקשו כי יהי׳ לנו לעזר בזה”.</w:t>
      </w:r>
    </w:p>
    <w:p w14:paraId="18907A12" w14:textId="77777777" w:rsidR="00AB3647" w:rsidRDefault="00000000">
      <w:pPr>
        <w:spacing w:after="0" w:before="0"/>
        <w:jc w:val="both"/>
      </w:pPr>
      <w:r>
        <w:rPr>
          <w:sz w:val="20"/>
          <w:szCs w:val="20"/>
          <w:rtl/>
        </w:rPr>
        <w:t xml:space="preserve">בכ״ד טבת תשנ״ח מסרתי את יסודי זה על </w:t>
      </w:r>
      <w:proofErr w:type="spellStart"/>
      <w:r>
        <w:rPr>
          <w:sz w:val="20"/>
          <w:szCs w:val="20"/>
          <w:rtl/>
        </w:rPr>
        <w:t>אדות</w:t>
      </w:r>
      <w:proofErr w:type="spellEnd"/>
      <w:r>
        <w:rPr>
          <w:sz w:val="20"/>
          <w:szCs w:val="20"/>
          <w:rtl/>
        </w:rPr>
        <w:t xml:space="preserve"> </w:t>
      </w:r>
      <w:proofErr w:type="spellStart"/>
      <w:r>
        <w:rPr>
          <w:sz w:val="20"/>
          <w:szCs w:val="20"/>
          <w:rtl/>
        </w:rPr>
        <w:t>רח״ה</w:t>
      </w:r>
      <w:proofErr w:type="spellEnd"/>
      <w:r>
        <w:rPr>
          <w:sz w:val="20"/>
          <w:szCs w:val="20"/>
          <w:rtl/>
        </w:rPr>
        <w:t xml:space="preserve"> לרב גבריאל </w:t>
      </w:r>
      <w:proofErr w:type="spellStart"/>
      <w:r>
        <w:rPr>
          <w:sz w:val="20"/>
          <w:szCs w:val="20"/>
          <w:rtl/>
        </w:rPr>
        <w:t>גינזבורג</w:t>
      </w:r>
      <w:proofErr w:type="spellEnd"/>
      <w:r>
        <w:rPr>
          <w:sz w:val="20"/>
          <w:szCs w:val="20"/>
          <w:rtl/>
        </w:rPr>
        <w:t xml:space="preserve"> והוא דימה לזה את מה שאבא מארי ז״ל אמר בהספדו על הרב </w:t>
      </w:r>
      <w:proofErr w:type="spellStart"/>
      <w:r>
        <w:rPr>
          <w:sz w:val="20"/>
          <w:szCs w:val="20"/>
          <w:rtl/>
        </w:rPr>
        <w:t>אליהו־מאיר</w:t>
      </w:r>
      <w:proofErr w:type="spellEnd"/>
      <w:r>
        <w:rPr>
          <w:sz w:val="20"/>
          <w:szCs w:val="20"/>
          <w:rtl/>
        </w:rPr>
        <w:t xml:space="preserve"> בלוך; הוא שאל למה שלח יעקב אבינו את בנו יהודה לייסד בית תלמוד במצרים ולא שלח את בנו לוי, ראש הישיבה? ותירץ שלוי ידע איך להרצות השיעורים, אבל לבנות ישיבה צריכים מדה אחרת, והיא מדת מלכות.</w:t>
      </w:r>
    </w:p>
  </w:footnote>
  <w:footnote w:id="4232">
    <w:p w14:paraId="79A7C25A" w14:textId="77777777" w:rsidR="00AB3647" w:rsidRDefault="00000000">
      <w:pPr>
        <w:spacing w:after="0" w:before="0"/>
        <w:jc w:val="both"/>
      </w:pPr>
      <w:r>
        <w:rPr>
          <w:sz w:val="20"/>
          <w:szCs w:val="20"/>
          <w:rtl/>
        </w:rPr>
        <w:footnoteRef/>
      </w:r>
      <w:r>
        <w:rPr>
          <w:sz w:val="20"/>
          <w:szCs w:val="20"/>
          <w:rtl/>
        </w:rPr>
        <w:t>. השווה לפרק 5, סוף הפסקה השלישית מן הסוף של נספח ו.</w:t>
      </w:r>
    </w:p>
  </w:footnote>
  <w:footnote w:id="4233">
    <w:p w14:paraId="33D7F147" w14:textId="77777777" w:rsidR="00AB3647" w:rsidRDefault="00000000">
      <w:pPr>
        <w:spacing w:after="0" w:before="0"/>
        <w:jc w:val="both"/>
      </w:pPr>
      <w:r>
        <w:rPr>
          <w:sz w:val="20"/>
          <w:szCs w:val="20"/>
          <w:rtl/>
        </w:rPr>
        <w:footnoteRef/>
      </w:r>
      <w:r>
        <w:rPr>
          <w:sz w:val="20"/>
          <w:szCs w:val="20"/>
          <w:rtl/>
        </w:rPr>
        <w:t>. ריאיון מ־24 במאי 1995.</w:t>
      </w:r>
    </w:p>
  </w:footnote>
  <w:footnote w:id="4234">
    <w:p w14:paraId="7E5010EC"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pr_f_3880 \h </w:instrText>
      </w:r>
      <w:r>
        <w:rPr>
          <w:sz w:val="20"/>
          <w:szCs w:val="20"/>
          <w:rtl/>
        </w:rPr>
      </w:r>
      <w:r>
        <w:rPr>
          <w:sz w:val="20"/>
          <w:szCs w:val="20"/>
          <w:rtl/>
        </w:rPr>
        <w:fldChar w:fldCharType="separate"/>
      </w:r>
      <w:r w:rsidR="007923E9">
        <w:rPr>
          <w:sz w:val="20"/>
          <w:szCs w:val="20"/>
          <w:rtl/>
        </w:rPr>
        <w:t>957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שם שוער שהסיפור על רצונו של ר׳ חיים להרשים לטובה את תלמידיו החדשים נוגע לקבוצה זו, שבאה ללמוד אצלו </w:t>
      </w:r>
      <w:proofErr w:type="spellStart"/>
      <w:r>
        <w:rPr>
          <w:sz w:val="20"/>
          <w:szCs w:val="20"/>
          <w:rtl/>
        </w:rPr>
        <w:t>בבריסק</w:t>
      </w:r>
      <w:proofErr w:type="spellEnd"/>
      <w:r>
        <w:rPr>
          <w:sz w:val="20"/>
          <w:szCs w:val="20"/>
          <w:rtl/>
        </w:rPr>
        <w:t>.</w:t>
      </w:r>
    </w:p>
  </w:footnote>
  <w:footnote w:id="4235">
    <w:p w14:paraId="60A62FA9" w14:textId="77777777" w:rsidR="00AB3647" w:rsidRDefault="00000000">
      <w:pPr>
        <w:spacing w:after="0" w:before="0"/>
        <w:jc w:val="both"/>
      </w:pPr>
      <w:r>
        <w:rPr>
          <w:sz w:val="20"/>
          <w:szCs w:val="20"/>
          <w:rtl/>
        </w:rPr>
        <w:footnoteRef/>
      </w:r>
      <w:r>
        <w:rPr>
          <w:sz w:val="20"/>
          <w:szCs w:val="20"/>
          <w:rtl/>
        </w:rPr>
        <w:t>. ריאיון מ־1 באפריל 2000.</w:t>
      </w:r>
    </w:p>
  </w:footnote>
  <w:footnote w:id="4236">
    <w:p w14:paraId="627F3F08" w14:textId="77777777" w:rsidR="00AB3647" w:rsidRDefault="00000000">
      <w:pPr>
        <w:spacing w:after="0" w:before="0"/>
        <w:jc w:val="both"/>
      </w:pPr>
      <w:r>
        <w:rPr>
          <w:sz w:val="20"/>
          <w:szCs w:val="20"/>
          <w:rtl/>
        </w:rPr>
        <w:footnoteRef/>
      </w:r>
      <w:r>
        <w:rPr>
          <w:sz w:val="20"/>
          <w:szCs w:val="20"/>
          <w:rtl/>
        </w:rPr>
        <w:t xml:space="preserve">. ריאיון מ־28 בדצמבר 1997. הוא קיבל מידע זה כשלמד בישיבה </w:t>
      </w:r>
      <w:proofErr w:type="spellStart"/>
      <w:r>
        <w:rPr>
          <w:sz w:val="20"/>
          <w:szCs w:val="20"/>
          <w:rtl/>
        </w:rPr>
        <w:t>בריסקאית</w:t>
      </w:r>
      <w:proofErr w:type="spellEnd"/>
      <w:r>
        <w:rPr>
          <w:sz w:val="20"/>
          <w:szCs w:val="20"/>
          <w:rtl/>
        </w:rPr>
        <w:t xml:space="preserve"> בירושלים אצל אביו של ר׳ </w:t>
      </w:r>
      <w:proofErr w:type="spellStart"/>
      <w:r>
        <w:rPr>
          <w:sz w:val="20"/>
          <w:szCs w:val="20"/>
          <w:rtl/>
        </w:rPr>
        <w:t>אברהם־יהושע</w:t>
      </w:r>
      <w:proofErr w:type="spellEnd"/>
      <w:r>
        <w:rPr>
          <w:sz w:val="20"/>
          <w:szCs w:val="20"/>
          <w:rtl/>
        </w:rPr>
        <w:t xml:space="preserve">, ר׳ </w:t>
      </w:r>
      <w:proofErr w:type="spellStart"/>
      <w:r>
        <w:rPr>
          <w:sz w:val="20"/>
          <w:szCs w:val="20"/>
          <w:rtl/>
        </w:rPr>
        <w:t xml:space="preserve">יושע־בערל</w:t>
      </w:r>
      <w:proofErr w:type="spellEnd"/>
      <w:r>
        <w:rPr>
          <w:sz w:val="20"/>
          <w:szCs w:val="20"/>
          <w:rtl/>
        </w:rPr>
        <w:t>.</w:t>
      </w:r>
    </w:p>
  </w:footnote>
  <w:footnote w:id="4237">
    <w:p w14:paraId="46A2118A" w14:textId="77777777" w:rsidR="00AB3647" w:rsidRDefault="00000000">
      <w:pPr>
        <w:spacing w:after="0" w:before="0"/>
        <w:jc w:val="both"/>
      </w:pPr>
      <w:r>
        <w:rPr>
          <w:sz w:val="20"/>
          <w:szCs w:val="20"/>
          <w:rtl/>
        </w:rPr>
        <w:footnoteRef/>
      </w:r>
      <w:r>
        <w:rPr>
          <w:sz w:val="20"/>
          <w:szCs w:val="20"/>
          <w:rtl/>
        </w:rPr>
        <w:t xml:space="preserve">. אם זו אותה קבוצה שעליה דיבר הרב עתיק, שאלתו של ר׳ חיים </w:t>
      </w:r>
      <w:proofErr w:type="spellStart"/>
      <w:r>
        <w:rPr>
          <w:sz w:val="20"/>
          <w:szCs w:val="20"/>
          <w:rtl/>
        </w:rPr>
        <w:t>לר</w:t>
      </w:r>
      <w:proofErr w:type="spellEnd"/>
      <w:r>
        <w:rPr>
          <w:sz w:val="20"/>
          <w:szCs w:val="20"/>
          <w:rtl/>
        </w:rPr>
        <w:t>׳ משה לא הייתה אם להקל את השיעורים, אלא אם לשנות את דרך מסירתם כדי שיהיו פחות “פשוטים”.</w:t>
      </w:r>
    </w:p>
  </w:footnote>
  <w:footnote w:id="4238">
    <w:p w14:paraId="5287A9BB" w14:textId="77777777" w:rsidR="00AB3647" w:rsidRDefault="00000000">
      <w:pPr>
        <w:spacing w:after="0" w:before="0"/>
        <w:jc w:val="both"/>
      </w:pPr>
      <w:r>
        <w:rPr>
          <w:sz w:val="20"/>
          <w:szCs w:val="20"/>
          <w:rtl/>
        </w:rPr>
        <w:footnoteRef/>
      </w:r>
      <w:r>
        <w:rPr>
          <w:sz w:val="20"/>
          <w:szCs w:val="20"/>
          <w:rtl/>
        </w:rPr>
        <w:t>. נספח ב לעיל – הערה 5.</w:t>
      </w:r>
    </w:p>
  </w:footnote>
  <w:footnote w:id="4239">
    <w:p w14:paraId="39875987" w14:textId="77777777" w:rsidR="00AB3647" w:rsidRDefault="00000000">
      <w:pPr>
        <w:spacing w:after="0" w:before="0"/>
        <w:jc w:val="both"/>
      </w:pPr>
      <w:r>
        <w:rPr>
          <w:sz w:val="20"/>
          <w:szCs w:val="20"/>
          <w:rtl/>
        </w:rPr>
        <w:footnoteRef/>
      </w:r>
      <w:r>
        <w:rPr>
          <w:sz w:val="20"/>
          <w:szCs w:val="20"/>
          <w:rtl/>
        </w:rPr>
        <w:t>. הפסקה הרביעית של נספח ט לעיל – הערה 44.</w:t>
      </w:r>
    </w:p>
  </w:footnote>
  <w:footnote w:id="4240">
    <w:p w14:paraId="18826DC8" w14:textId="77777777" w:rsidR="00AB3647" w:rsidRDefault="00000000">
      <w:pPr>
        <w:spacing w:after="0" w:before="0"/>
        <w:jc w:val="both"/>
      </w:pPr>
      <w:r>
        <w:rPr>
          <w:sz w:val="20"/>
          <w:szCs w:val="20"/>
          <w:rtl/>
        </w:rPr>
        <w:footnoteRef/>
      </w:r>
      <w:r>
        <w:rPr>
          <w:sz w:val="20"/>
          <w:szCs w:val="20"/>
          <w:rtl/>
        </w:rPr>
        <w:t>. יצא לאור בהוצאת “אורות”, ח״א, תש״ל – עמ׳ 253.</w:t>
      </w:r>
    </w:p>
  </w:footnote>
  <w:footnote w:id="4241">
    <w:p w14:paraId="5EBA4E0C" w14:textId="77777777" w:rsidR="00AB3647" w:rsidRDefault="00000000">
      <w:pPr>
        <w:spacing w:after="0" w:before="0"/>
        <w:jc w:val="both"/>
      </w:pPr>
      <w:r>
        <w:rPr>
          <w:sz w:val="20"/>
          <w:szCs w:val="20"/>
          <w:rtl/>
        </w:rPr>
        <w:footnoteRef/>
      </w:r>
      <w:r>
        <w:rPr>
          <w:sz w:val="20"/>
          <w:szCs w:val="20"/>
          <w:rtl/>
        </w:rPr>
        <w:t>. ראה פרק 2, תחילת נספח א.</w:t>
      </w:r>
    </w:p>
  </w:footnote>
  <w:footnote w:id="4242">
    <w:p w14:paraId="2C510BA3" w14:textId="77777777" w:rsidR="00AB3647" w:rsidRDefault="00000000">
      <w:pPr>
        <w:spacing w:after="0" w:before="0"/>
        <w:jc w:val="both"/>
      </w:pPr>
      <w:r>
        <w:rPr>
          <w:sz w:val="20"/>
          <w:szCs w:val="20"/>
          <w:rtl/>
        </w:rPr>
        <w:footnoteRef/>
      </w:r>
      <w:r>
        <w:rPr>
          <w:sz w:val="20"/>
          <w:szCs w:val="20"/>
          <w:rtl/>
        </w:rPr>
        <w:t xml:space="preserve">. הקיבוץ הוקם אחרי פסח תרע״א, לפי מאמר שכתב אחד התלמידים, יצחק </w:t>
      </w:r>
      <w:proofErr w:type="spellStart"/>
      <w:r>
        <w:rPr>
          <w:sz w:val="20"/>
          <w:szCs w:val="20"/>
          <w:rtl/>
        </w:rPr>
        <w:t>ריבקינד</w:t>
      </w:r>
      <w:proofErr w:type="spellEnd"/>
      <w:r>
        <w:rPr>
          <w:sz w:val="20"/>
          <w:szCs w:val="20"/>
          <w:rtl/>
        </w:rPr>
        <w:t xml:space="preserve">, </w:t>
      </w:r>
      <w:proofErr w:type="spellStart"/>
      <w:r>
        <w:rPr>
          <w:sz w:val="20"/>
          <w:szCs w:val="20"/>
          <w:rtl/>
        </w:rPr>
        <w:t>בליטע</w:t>
      </w:r>
      <w:proofErr w:type="spellEnd"/>
      <w:r>
        <w:rPr>
          <w:sz w:val="20"/>
          <w:szCs w:val="20"/>
          <w:rtl/>
        </w:rPr>
        <w:t xml:space="preserve"> (תחילת נספח יא לעיל), עמ׳ 645 – ולא </w:t>
      </w:r>
      <w:proofErr w:type="spellStart"/>
      <w:r>
        <w:rPr>
          <w:sz w:val="20"/>
          <w:szCs w:val="20"/>
          <w:rtl/>
        </w:rPr>
        <w:t>בתרס״ט</w:t>
      </w:r>
      <w:proofErr w:type="spellEnd"/>
      <w:r>
        <w:rPr>
          <w:sz w:val="20"/>
          <w:szCs w:val="20"/>
          <w:rtl/>
        </w:rPr>
        <w:t>, כפי שטוען אחד בדורו שם.</w:t>
      </w:r>
    </w:p>
  </w:footnote>
  <w:footnote w:id="4243">
    <w:p w14:paraId="3C38278F" w14:textId="77777777" w:rsidR="00AB3647" w:rsidRDefault="00000000">
      <w:pPr>
        <w:spacing w:after="0" w:before="0"/>
        <w:jc w:val="both"/>
      </w:pPr>
      <w:r>
        <w:rPr>
          <w:sz w:val="20"/>
          <w:szCs w:val="20"/>
          <w:rtl/>
        </w:rPr>
        <w:footnoteRef/>
      </w:r>
      <w:r>
        <w:rPr>
          <w:sz w:val="20"/>
          <w:szCs w:val="20"/>
          <w:rtl/>
        </w:rPr>
        <w:t xml:space="preserve">. ראה כץ, “תנועת המוסר”, כרך ב (הפסקה השנייה של נספח ב לעיל), עמ׳ 60–61: בבחרותו למד ויסוצקי אצל ר׳ ישראל </w:t>
      </w:r>
      <w:proofErr w:type="spellStart"/>
      <w:r>
        <w:rPr>
          <w:sz w:val="20"/>
          <w:szCs w:val="20"/>
          <w:rtl/>
        </w:rPr>
        <w:t>סלנטר</w:t>
      </w:r>
      <w:proofErr w:type="spellEnd"/>
      <w:r>
        <w:rPr>
          <w:sz w:val="20"/>
          <w:szCs w:val="20"/>
          <w:rtl/>
        </w:rPr>
        <w:t xml:space="preserve">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וכשחזר לעיר הולדתו עבר לשם גם ר׳ </w:t>
      </w:r>
      <w:proofErr w:type="spellStart"/>
      <w:r>
        <w:rPr>
          <w:sz w:val="20"/>
          <w:szCs w:val="20"/>
          <w:rtl/>
        </w:rPr>
        <w:t>שמחה־זיסל</w:t>
      </w:r>
      <w:proofErr w:type="spellEnd"/>
      <w:r>
        <w:rPr>
          <w:sz w:val="20"/>
          <w:szCs w:val="20"/>
          <w:rtl/>
        </w:rPr>
        <w:t xml:space="preserve"> זיו. ר׳ </w:t>
      </w:r>
      <w:proofErr w:type="spellStart"/>
      <w:r>
        <w:rPr>
          <w:sz w:val="20"/>
          <w:szCs w:val="20"/>
          <w:rtl/>
        </w:rPr>
        <w:t>שמחה־זיסל</w:t>
      </w:r>
      <w:proofErr w:type="spellEnd"/>
      <w:r>
        <w:rPr>
          <w:sz w:val="20"/>
          <w:szCs w:val="20"/>
          <w:rtl/>
        </w:rPr>
        <w:t xml:space="preserve"> הלך אחרי ויסוצקי גם למוסקבה ושהה שם שנתיים, עד שר׳ </w:t>
      </w:r>
      <w:proofErr w:type="spellStart"/>
      <w:r>
        <w:rPr>
          <w:sz w:val="20"/>
          <w:szCs w:val="20"/>
          <w:rtl/>
        </w:rPr>
        <w:t>קלמן־וולף</w:t>
      </w:r>
      <w:proofErr w:type="spellEnd"/>
      <w:r>
        <w:rPr>
          <w:sz w:val="20"/>
          <w:szCs w:val="20"/>
          <w:rtl/>
        </w:rPr>
        <w:t xml:space="preserve"> “העסיק סופר משכיל כפקיד במשרדו”. ר׳ </w:t>
      </w:r>
      <w:proofErr w:type="spellStart"/>
      <w:r>
        <w:rPr>
          <w:sz w:val="20"/>
          <w:szCs w:val="20"/>
          <w:rtl/>
        </w:rPr>
        <w:t>שמחה־זיסל</w:t>
      </w:r>
      <w:proofErr w:type="spellEnd"/>
      <w:r>
        <w:rPr>
          <w:sz w:val="20"/>
          <w:szCs w:val="20"/>
          <w:rtl/>
        </w:rPr>
        <w:t xml:space="preserve"> עזב את מוסקבה אף </w:t>
      </w:r>
      <w:proofErr w:type="spellStart"/>
      <w:r>
        <w:rPr>
          <w:sz w:val="20"/>
          <w:szCs w:val="20"/>
          <w:rtl/>
        </w:rPr>
        <w:t>שויסוצקי</w:t>
      </w:r>
      <w:proofErr w:type="spellEnd"/>
      <w:r>
        <w:rPr>
          <w:sz w:val="20"/>
          <w:szCs w:val="20"/>
          <w:rtl/>
        </w:rPr>
        <w:t xml:space="preserve"> הפציר בו להישאר. נראה שר׳ ישראל רצה להשאיר את ר׳ </w:t>
      </w:r>
      <w:proofErr w:type="spellStart"/>
      <w:r>
        <w:rPr>
          <w:sz w:val="20"/>
          <w:szCs w:val="20"/>
          <w:rtl/>
        </w:rPr>
        <w:t>קלמן־וולף</w:t>
      </w:r>
      <w:proofErr w:type="spellEnd"/>
      <w:r>
        <w:rPr>
          <w:sz w:val="20"/>
          <w:szCs w:val="20"/>
          <w:rtl/>
        </w:rPr>
        <w:t xml:space="preserve"> תחת השפעת המוסר זמן רב ככל האפשר, על ידי שהחזיק את ר׳ </w:t>
      </w:r>
      <w:proofErr w:type="spellStart"/>
      <w:r>
        <w:rPr>
          <w:sz w:val="20"/>
          <w:szCs w:val="20"/>
          <w:rtl/>
        </w:rPr>
        <w:t>שמחה־זיסל</w:t>
      </w:r>
      <w:proofErr w:type="spellEnd"/>
      <w:r>
        <w:rPr>
          <w:sz w:val="20"/>
          <w:szCs w:val="20"/>
          <w:rtl/>
        </w:rPr>
        <w:t xml:space="preserve"> בקרבתו. השווה גם הערה 74 לעיל, לדוגמה לקרבתו של ויסוצקי לאנשי המוסר.</w:t>
      </w:r>
    </w:p>
  </w:footnote>
  <w:footnote w:id="4244">
    <w:p w14:paraId="51526D65" w14:textId="77777777" w:rsidR="00AB3647" w:rsidRDefault="00000000">
      <w:pPr>
        <w:spacing w:after="0" w:before="0"/>
        <w:jc w:val="both"/>
      </w:pPr>
      <w:r>
        <w:rPr>
          <w:sz w:val="20"/>
          <w:szCs w:val="20"/>
          <w:rtl/>
        </w:rPr>
        <w:footnoteRef/>
      </w:r>
      <w:r>
        <w:rPr>
          <w:sz w:val="20"/>
          <w:szCs w:val="20"/>
          <w:rtl/>
        </w:rPr>
        <w:t xml:space="preserve">. ראה הערת שוליים </w:t>
      </w:r>
      <w:r>
        <w:rPr>
          <w:sz w:val="20"/>
          <w:szCs w:val="20"/>
          <w:rtl/>
        </w:rPr>
        <w:fldChar w:fldCharType="begin" w:dirty="true"/>
      </w:r>
      <w:r>
        <w:rPr>
          <w:sz w:val="20"/>
          <w:szCs w:val="20"/>
          <w:rtl/>
        </w:rPr>
        <w:instrText xml:space="preserve"> NOTEREF pr_f_3752 \h </w:instrText>
      </w:r>
      <w:r>
        <w:rPr>
          <w:sz w:val="20"/>
          <w:szCs w:val="20"/>
          <w:rtl/>
        </w:rPr>
      </w:r>
      <w:r>
        <w:rPr>
          <w:sz w:val="20"/>
          <w:szCs w:val="20"/>
          <w:rtl/>
        </w:rPr>
        <w:fldChar w:fldCharType="separate"/>
      </w:r>
      <w:r w:rsidR="007923E9">
        <w:rPr>
          <w:sz w:val="20"/>
          <w:szCs w:val="20"/>
          <w:rtl/>
        </w:rPr>
        <w:t>829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pr_f_3752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בכרך זה, וכץ, “תנועת המוסר”, כרך ב, הערה בעמ׳ 61, שלפיהם נשאר ויסוצקי “דבוק בדרך המוסר כל חייו”. כץ, שם, מביא מזיכרונותיו של הרב יעקב </w:t>
      </w:r>
      <w:proofErr w:type="spellStart"/>
      <w:r>
        <w:rPr>
          <w:sz w:val="20"/>
          <w:szCs w:val="20"/>
          <w:rtl/>
        </w:rPr>
        <w:t>מזא״ה</w:t>
      </w:r>
      <w:proofErr w:type="spellEnd"/>
      <w:r>
        <w:rPr>
          <w:sz w:val="20"/>
          <w:szCs w:val="20"/>
          <w:rtl/>
        </w:rPr>
        <w:t xml:space="preserve"> (הפסקה השנייה של נספח ח לעיל) שכאשר סיים ר׳ </w:t>
      </w:r>
      <w:proofErr w:type="spellStart"/>
      <w:r>
        <w:rPr>
          <w:sz w:val="20"/>
          <w:szCs w:val="20"/>
          <w:rtl/>
        </w:rPr>
        <w:t>קלמן־וולף</w:t>
      </w:r>
      <w:proofErr w:type="spellEnd"/>
      <w:r>
        <w:rPr>
          <w:sz w:val="20"/>
          <w:szCs w:val="20"/>
          <w:rtl/>
        </w:rPr>
        <w:t xml:space="preserve"> להיוועץ ברבה של מוסקבה כיצד לחלק את כספי המעשר שלו לצדקה (שהגיעו לחצי מיליון רובל!), “קם מכיסאו, הניח את שתי ידיו על ראשו והתהלך בחדר, קורא בקול: ‘אוי לנו מיום הדין, אוי לנו מיום התוכחה [בראשית רבה </w:t>
      </w:r>
      <w:proofErr w:type="spellStart"/>
      <w:r>
        <w:rPr>
          <w:sz w:val="20"/>
          <w:szCs w:val="20"/>
          <w:rtl/>
        </w:rPr>
        <w:t>צג:ט</w:t>
      </w:r>
      <w:proofErr w:type="spellEnd"/>
      <w:r>
        <w:rPr>
          <w:sz w:val="20"/>
          <w:szCs w:val="20"/>
          <w:rtl/>
        </w:rPr>
        <w:t>]!’”.</w:t>
      </w:r>
    </w:p>
  </w:footnote>
  <w:footnote w:id="4245">
    <w:p w14:paraId="623B8A5D" w14:textId="77777777" w:rsidR="00AB3647" w:rsidRDefault="00000000">
      <w:pPr>
        <w:spacing w:after="0" w:before="0"/>
        <w:jc w:val="both"/>
      </w:pPr>
      <w:r>
        <w:rPr>
          <w:sz w:val="20"/>
          <w:szCs w:val="20"/>
          <w:rtl/>
        </w:rPr>
        <w:footnoteRef/>
      </w:r>
      <w:r>
        <w:rPr>
          <w:sz w:val="20"/>
          <w:szCs w:val="20"/>
          <w:rtl/>
        </w:rPr>
        <w:t>. במחנה אגודה, בי״ג באב תשמ״א, כפי שנרשם ברשימותיו של ר׳ משה גרוסמן (נספח א לעיל).</w:t>
      </w:r>
    </w:p>
  </w:footnote>
  <w:footnote w:id="4246">
    <w:p w14:paraId="2138075A" w14:textId="77777777" w:rsidR="00AB3647" w:rsidRDefault="00000000">
      <w:pPr>
        <w:spacing w:after="0" w:before="0"/>
        <w:jc w:val="both"/>
      </w:pPr>
      <w:r>
        <w:rPr>
          <w:sz w:val="20"/>
          <w:szCs w:val="20"/>
          <w:rtl/>
        </w:rPr>
        <w:footnoteRef/>
      </w:r>
      <w:r>
        <w:rPr>
          <w:sz w:val="20"/>
          <w:szCs w:val="20"/>
          <w:rtl/>
        </w:rPr>
        <w:t xml:space="preserve">. לאחר שגירשה הממשלה הרוסית את היהודים מרוב ליטא </w:t>
      </w:r>
      <w:proofErr w:type="spellStart"/>
      <w:r>
        <w:rPr>
          <w:sz w:val="20"/>
          <w:szCs w:val="20"/>
          <w:rtl/>
        </w:rPr>
        <w:t>בתרע״ה</w:t>
      </w:r>
      <w:proofErr w:type="spellEnd"/>
      <w:r>
        <w:rPr>
          <w:sz w:val="20"/>
          <w:szCs w:val="20"/>
          <w:rtl/>
        </w:rPr>
        <w:t xml:space="preserve"> – ראה כרך 2 – נדדו ר׳ </w:t>
      </w:r>
      <w:proofErr w:type="spellStart"/>
      <w:r>
        <w:rPr>
          <w:sz w:val="20"/>
          <w:szCs w:val="20"/>
          <w:rtl/>
        </w:rPr>
        <w:t>איצל׳ה</w:t>
      </w:r>
      <w:proofErr w:type="spellEnd"/>
      <w:r>
        <w:rPr>
          <w:sz w:val="20"/>
          <w:szCs w:val="20"/>
          <w:rtl/>
        </w:rPr>
        <w:t xml:space="preserve"> וקיבוצו מזרחה </w:t>
      </w:r>
      <w:proofErr w:type="spellStart"/>
      <w:r>
        <w:rPr>
          <w:sz w:val="20"/>
          <w:szCs w:val="20"/>
          <w:rtl/>
        </w:rPr>
        <w:t>מפוניבז</w:t>
      </w:r>
      <w:proofErr w:type="spellEnd"/>
      <w:r>
        <w:rPr>
          <w:sz w:val="20"/>
          <w:szCs w:val="20"/>
          <w:rtl/>
        </w:rPr>
        <w:t xml:space="preserve">׳ והתיישבו בעיירה </w:t>
      </w:r>
      <w:proofErr w:type="spellStart"/>
      <w:r>
        <w:rPr>
          <w:sz w:val="20"/>
          <w:szCs w:val="20"/>
          <w:rtl/>
        </w:rPr>
        <w:t>לוצ׳ין</w:t>
      </w:r>
      <w:proofErr w:type="spellEnd"/>
      <w:r>
        <w:rPr>
          <w:sz w:val="20"/>
          <w:szCs w:val="20"/>
          <w:rtl/>
        </w:rPr>
        <w:t>, כמעט 300 קילומטרים מצפון למינסק.</w:t>
      </w:r>
    </w:p>
  </w:footnote>
  <w:footnote w:id="4247">
    <w:p w14:paraId="7D7EBAF1" w14:textId="77777777" w:rsidR="00AB3647" w:rsidRDefault="00000000">
      <w:pPr>
        <w:spacing w:after="0" w:before="0"/>
        <w:jc w:val="both"/>
      </w:pPr>
      <w:r>
        <w:rPr>
          <w:sz w:val="20"/>
          <w:szCs w:val="20"/>
          <w:rtl/>
        </w:rPr>
        <w:footnoteRef/>
      </w:r>
      <w:r>
        <w:rPr>
          <w:sz w:val="20"/>
          <w:szCs w:val="20"/>
          <w:rtl/>
        </w:rPr>
        <w:t>. דברי אבי שהובאו לעיל, שהיו בקיבוץ “</w:t>
      </w:r>
      <w:proofErr w:type="spellStart"/>
      <w:r>
        <w:rPr>
          <w:sz w:val="20"/>
          <w:szCs w:val="20"/>
          <w:rtl/>
        </w:rPr>
        <w:t>וואוילע</w:t>
      </w:r>
      <w:proofErr w:type="spellEnd"/>
      <w:r>
        <w:rPr>
          <w:sz w:val="20"/>
          <w:szCs w:val="20"/>
          <w:rtl/>
        </w:rPr>
        <w:t xml:space="preserve"> בחורים”, מתייחסים או לקבוצת המייסדים </w:t>
      </w:r>
      <w:proofErr w:type="spellStart"/>
      <w:r>
        <w:rPr>
          <w:sz w:val="20"/>
          <w:szCs w:val="20"/>
          <w:rtl/>
        </w:rPr>
        <w:t>בתרע״א</w:t>
      </w:r>
      <w:proofErr w:type="spellEnd"/>
      <w:r>
        <w:rPr>
          <w:sz w:val="20"/>
          <w:szCs w:val="20"/>
          <w:rtl/>
        </w:rPr>
        <w:t xml:space="preserve">, ולא לתלמידים שהיו שם כעבור חמש שנים, כשהוזמן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או שאבי לא ידע מה עלה בגורל התלמידים ומדוע לא הניח הסבא </w:t>
      </w:r>
      <w:proofErr w:type="spellStart"/>
      <w:r>
        <w:rPr>
          <w:sz w:val="20"/>
          <w:szCs w:val="20"/>
          <w:rtl/>
        </w:rPr>
        <w:t>לר</w:t>
      </w:r>
      <w:proofErr w:type="spellEnd"/>
      <w:r>
        <w:rPr>
          <w:sz w:val="20"/>
          <w:szCs w:val="20"/>
          <w:rtl/>
        </w:rPr>
        <w:t xml:space="preserve">׳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ללכת לשם. בשעה ששקל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להצטרף לקיבוצו של ר׳ </w:t>
      </w:r>
      <w:proofErr w:type="spellStart"/>
      <w:r>
        <w:rPr>
          <w:sz w:val="20"/>
          <w:szCs w:val="20"/>
          <w:rtl/>
        </w:rPr>
        <w:t>איצל׳ה</w:t>
      </w:r>
      <w:proofErr w:type="spellEnd"/>
      <w:r>
        <w:rPr>
          <w:sz w:val="20"/>
          <w:szCs w:val="20"/>
          <w:rtl/>
        </w:rPr>
        <w:t>, ודאי כבר עזב אבי את מינסק – ראה כרך 2.</w:t>
      </w:r>
    </w:p>
  </w:footnote>
  <w:footnote w:id="4248">
    <w:p w14:paraId="01D6B90C" w14:textId="77777777" w:rsidR="00AB3647" w:rsidRDefault="00000000">
      <w:pPr>
        <w:spacing w:after="0" w:before="0"/>
        <w:jc w:val="both"/>
      </w:pPr>
      <w:r>
        <w:rPr>
          <w:sz w:val="20"/>
          <w:szCs w:val="20"/>
          <w:rtl/>
        </w:rPr>
        <w:footnoteRef/>
      </w:r>
      <w:r>
        <w:rPr>
          <w:sz w:val="20"/>
          <w:szCs w:val="20"/>
          <w:rtl/>
        </w:rPr>
        <w:t>. השווה לפרק 3, סוף נספח ח.</w:t>
      </w:r>
    </w:p>
  </w:footnote>
  <w:footnote w:id="4249">
    <w:p w14:paraId="2585C0D3" w14:textId="77777777" w:rsidR="00AB3647" w:rsidRDefault="00000000">
      <w:pPr>
        <w:spacing w:after="0" w:before="0"/>
        <w:jc w:val="both"/>
      </w:pPr>
      <w:r>
        <w:rPr>
          <w:sz w:val="20"/>
          <w:szCs w:val="20"/>
          <w:rtl/>
        </w:rPr>
        <w:footnoteRef/>
      </w:r>
      <w:r>
        <w:rPr>
          <w:sz w:val="20"/>
          <w:szCs w:val="20"/>
          <w:rtl/>
        </w:rPr>
        <w:t xml:space="preserve">. תל אביב, תשל״ב – עמ׳ רב (בשם הרב שבתי </w:t>
      </w:r>
      <w:proofErr w:type="spellStart"/>
      <w:r>
        <w:rPr>
          <w:sz w:val="20"/>
          <w:szCs w:val="20"/>
          <w:rtl/>
        </w:rPr>
        <w:t>סלובטיצקי</w:t>
      </w:r>
      <w:proofErr w:type="spellEnd"/>
      <w:r>
        <w:rPr>
          <w:sz w:val="20"/>
          <w:szCs w:val="20"/>
          <w:rtl/>
        </w:rPr>
        <w:t>).</w:t>
      </w:r>
    </w:p>
  </w:footnote>
  <w:footnote w:id="4250">
    <w:p w14:paraId="174332BA" w14:textId="77777777" w:rsidR="00AB3647" w:rsidRDefault="00000000">
      <w:pPr>
        <w:spacing w:after="0" w:before="0"/>
        <w:jc w:val="both"/>
      </w:pPr>
      <w:r>
        <w:rPr>
          <w:sz w:val="20"/>
          <w:szCs w:val="20"/>
          <w:rtl/>
        </w:rPr>
        <w:footnoteRef/>
      </w:r>
      <w:r>
        <w:rPr>
          <w:sz w:val="20"/>
          <w:szCs w:val="20"/>
          <w:rtl/>
        </w:rPr>
        <w:t xml:space="preserve">. כץ, “תנועת המוסר”, כרך ב, עמ׳ 457, מביא מעשה מעין זה, </w:t>
      </w:r>
      <w:proofErr w:type="spellStart"/>
      <w:r>
        <w:rPr>
          <w:sz w:val="20"/>
          <w:szCs w:val="20"/>
          <w:rtl/>
        </w:rPr>
        <w:t>ש“מספרים</w:t>
      </w:r>
      <w:proofErr w:type="spellEnd"/>
      <w:r>
        <w:rPr>
          <w:sz w:val="20"/>
          <w:szCs w:val="20"/>
          <w:rtl/>
        </w:rPr>
        <w:t xml:space="preserve">” על ר׳ ישראל </w:t>
      </w:r>
      <w:proofErr w:type="spellStart"/>
      <w:r>
        <w:rPr>
          <w:sz w:val="20"/>
          <w:szCs w:val="20"/>
          <w:rtl/>
        </w:rPr>
        <w:t>סלנטר</w:t>
      </w:r>
      <w:proofErr w:type="spellEnd"/>
      <w:r>
        <w:rPr>
          <w:sz w:val="20"/>
          <w:szCs w:val="20"/>
          <w:rtl/>
        </w:rPr>
        <w:t xml:space="preserve"> בשעה שלימד </w:t>
      </w:r>
      <w:proofErr w:type="spellStart"/>
      <w:r>
        <w:rPr>
          <w:sz w:val="20"/>
          <w:szCs w:val="20"/>
          <w:rtl/>
        </w:rPr>
        <w:t>בקלויז</w:t>
      </w:r>
      <w:proofErr w:type="spellEnd"/>
      <w:r>
        <w:rPr>
          <w:sz w:val="20"/>
          <w:szCs w:val="20"/>
          <w:rtl/>
        </w:rPr>
        <w:t xml:space="preserve"> </w:t>
      </w:r>
      <w:proofErr w:type="spellStart"/>
      <w:r>
        <w:rPr>
          <w:sz w:val="20"/>
          <w:szCs w:val="20"/>
          <w:rtl/>
        </w:rPr>
        <w:t>נוויאז</w:t>
      </w:r>
      <w:proofErr w:type="spellEnd"/>
      <w:r>
        <w:rPr>
          <w:sz w:val="20"/>
          <w:szCs w:val="20"/>
          <w:rtl/>
        </w:rPr>
        <w:t xml:space="preserve">׳ בקובנה: הוא הרים על כתפיו את ר׳ נחום שפירא קטן הקומה, העילוי </w:t>
      </w:r>
      <w:proofErr w:type="spellStart"/>
      <w:r>
        <w:rPr>
          <w:sz w:val="20"/>
          <w:szCs w:val="20"/>
          <w:rtl/>
        </w:rPr>
        <w:t>מדוקשיץ</w:t>
      </w:r>
      <w:proofErr w:type="spellEnd"/>
      <w:r>
        <w:rPr>
          <w:sz w:val="20"/>
          <w:szCs w:val="20"/>
          <w:rtl/>
        </w:rPr>
        <w:t xml:space="preserve"> (ראה הפסקה השנייה של נספח ח לעיל), ורקד סביב הבימה, “מוסיף בבדיחות הדעת שכבר אינו צריך להקיף עם ספר תורה” בזרועותיו.</w:t>
      </w:r>
    </w:p>
  </w:footnote>
  <w:footnote w:id="4251">
    <w:p w14:paraId="07FDCC69" w14:textId="77777777" w:rsidR="00AB3647" w:rsidRDefault="00000000">
      <w:pPr>
        <w:spacing w:after="0" w:before="0"/>
        <w:jc w:val="both"/>
      </w:pPr>
      <w:r>
        <w:rPr>
          <w:sz w:val="20"/>
          <w:szCs w:val="20"/>
          <w:rtl/>
        </w:rPr>
        <w:footnoteRef/>
      </w:r>
      <w:r>
        <w:rPr>
          <w:sz w:val="20"/>
          <w:szCs w:val="20"/>
          <w:rtl/>
        </w:rPr>
        <w:t>. הפסקה השנייה של נספח ב לעיל – עמ׳ 139.</w:t>
      </w:r>
    </w:p>
  </w:footnote>
  <w:footnote w:id="4252">
    <w:p w14:paraId="2E978C85" w14:textId="77777777" w:rsidR="00AB3647" w:rsidRDefault="00000000">
      <w:pPr>
        <w:spacing w:after="0" w:before="0"/>
        <w:jc w:val="both"/>
      </w:pPr>
      <w:r>
        <w:rPr>
          <w:sz w:val="20"/>
          <w:szCs w:val="20"/>
          <w:rtl/>
        </w:rPr>
        <w:footnoteRef/>
      </w:r>
      <w:r>
        <w:rPr>
          <w:sz w:val="20"/>
          <w:szCs w:val="20"/>
          <w:rtl/>
        </w:rPr>
        <w:t xml:space="preserve">. השווה למאמרו של ש״ל </w:t>
      </w:r>
      <w:proofErr w:type="spellStart"/>
      <w:r>
        <w:rPr>
          <w:sz w:val="20"/>
          <w:szCs w:val="20"/>
          <w:rtl/>
        </w:rPr>
        <w:t>ציטרון</w:t>
      </w:r>
      <w:proofErr w:type="spellEnd"/>
      <w:r>
        <w:rPr>
          <w:sz w:val="20"/>
          <w:szCs w:val="20"/>
          <w:rtl/>
        </w:rPr>
        <w:t xml:space="preserve"> על “מלחמת הדינסטיות” </w:t>
      </w:r>
      <w:proofErr w:type="spellStart"/>
      <w:r>
        <w:rPr>
          <w:sz w:val="20"/>
          <w:szCs w:val="20"/>
          <w:rtl/>
        </w:rPr>
        <w:t>בוולוז׳ין</w:t>
      </w:r>
      <w:proofErr w:type="spellEnd"/>
      <w:r>
        <w:rPr>
          <w:sz w:val="20"/>
          <w:szCs w:val="20"/>
          <w:rtl/>
        </w:rPr>
        <w:t xml:space="preserve"> (הפסקה השנייה של נספח ט לעיל), עמ׳ 130.</w:t>
      </w:r>
    </w:p>
  </w:footnote>
  <w:footnote w:id="4253">
    <w:p w14:paraId="06F6A2E3" w14:textId="77777777" w:rsidR="00AB3647" w:rsidRDefault="00000000">
      <w:pPr>
        <w:spacing w:after="0" w:before="0"/>
        <w:jc w:val="both"/>
      </w:pPr>
      <w:r>
        <w:rPr>
          <w:sz w:val="20"/>
          <w:szCs w:val="20"/>
          <w:rtl/>
        </w:rPr>
        <w:footnoteRef/>
      </w:r>
      <w:r>
        <w:rPr>
          <w:sz w:val="20"/>
          <w:szCs w:val="20"/>
          <w:rtl/>
        </w:rPr>
        <w:t>. ראה פרק 3, הערה 11.</w:t>
      </w:r>
    </w:p>
  </w:footnote>
  <w:footnote w:id="4254">
    <w:p w14:paraId="3ED38667" w14:textId="77777777" w:rsidR="00AB3647" w:rsidRDefault="00000000">
      <w:pPr>
        <w:spacing w:after="0" w:before="0"/>
        <w:jc w:val="both"/>
      </w:pPr>
      <w:r>
        <w:rPr>
          <w:sz w:val="20"/>
          <w:szCs w:val="20"/>
          <w:rtl/>
        </w:rPr>
        <w:footnoteRef/>
      </w:r>
      <w:r>
        <w:rPr>
          <w:sz w:val="20"/>
          <w:szCs w:val="20"/>
          <w:rtl/>
        </w:rPr>
        <w:t>. שם, עמ׳ 126.</w:t>
      </w:r>
    </w:p>
  </w:footnote>
  <w:footnote w:id="4255">
    <w:p w14:paraId="53D7F023" w14:textId="77777777" w:rsidR="00AB3647" w:rsidRDefault="00000000">
      <w:pPr>
        <w:spacing w:after="0" w:before="0"/>
        <w:jc w:val="both"/>
      </w:pPr>
      <w:r>
        <w:rPr>
          <w:sz w:val="20"/>
          <w:szCs w:val="20"/>
          <w:rtl/>
        </w:rPr>
        <w:footnoteRef/>
      </w:r>
      <w:r>
        <w:rPr>
          <w:sz w:val="20"/>
          <w:szCs w:val="20"/>
          <w:rtl/>
        </w:rPr>
        <w:t>. נפטר בשנת תק״ד.</w:t>
      </w:r>
    </w:p>
  </w:footnote>
  <w:footnote w:id="4256">
    <w:p w14:paraId="1E245CF0" w14:textId="77777777" w:rsidR="00AB3647" w:rsidRDefault="00000000">
      <w:pPr>
        <w:spacing w:after="0" w:before="0"/>
        <w:jc w:val="both"/>
      </w:pPr>
      <w:r>
        <w:rPr>
          <w:sz w:val="20"/>
          <w:szCs w:val="20"/>
          <w:rtl/>
        </w:rPr>
        <w:footnoteRef/>
      </w:r>
      <w:r>
        <w:rPr>
          <w:sz w:val="20"/>
          <w:szCs w:val="20"/>
          <w:rtl/>
        </w:rPr>
        <w:t xml:space="preserve">. יצא לאור </w:t>
      </w:r>
      <w:proofErr w:type="spellStart"/>
      <w:r>
        <w:rPr>
          <w:sz w:val="20"/>
          <w:szCs w:val="20"/>
          <w:rtl/>
        </w:rPr>
        <w:t>בלעמבערג</w:t>
      </w:r>
      <w:proofErr w:type="spellEnd"/>
      <w:r>
        <w:rPr>
          <w:sz w:val="20"/>
          <w:szCs w:val="20"/>
          <w:rtl/>
        </w:rPr>
        <w:t xml:space="preserve">, תרע״ב – עמ׳ צא. נוסח המצבה מובא גם בתולדות </w:t>
      </w:r>
      <w:proofErr w:type="spellStart"/>
      <w:r>
        <w:rPr>
          <w:sz w:val="20"/>
          <w:szCs w:val="20"/>
          <w:rtl/>
        </w:rPr>
        <w:t>המהרש״א</w:t>
      </w:r>
      <w:proofErr w:type="spellEnd"/>
      <w:r>
        <w:rPr>
          <w:sz w:val="20"/>
          <w:szCs w:val="20"/>
          <w:rtl/>
        </w:rPr>
        <w:t xml:space="preserve"> (המקור הנזכר בהערת שוליים </w:t>
      </w:r>
      <w:r>
        <w:rPr>
          <w:sz w:val="20"/>
          <w:szCs w:val="20"/>
          <w:rtl/>
        </w:rPr>
        <w:fldChar w:fldCharType="begin" w:dirty="true"/>
      </w:r>
      <w:r>
        <w:rPr>
          <w:sz w:val="20"/>
          <w:szCs w:val="20"/>
          <w:rtl/>
        </w:rPr>
        <w:instrText xml:space="preserve"> NOTEREF pr_f_2573 \h </w:instrText>
      </w:r>
      <w:r>
        <w:rPr>
          <w:sz w:val="20"/>
          <w:szCs w:val="20"/>
          <w:rtl/>
        </w:rPr>
      </w:r>
      <w:r>
        <w:rPr>
          <w:sz w:val="20"/>
          <w:szCs w:val="20"/>
          <w:rtl/>
        </w:rPr>
        <w:fldChar w:fldCharType="separate"/>
      </w:r>
      <w:r w:rsidR="007923E9">
        <w:rPr>
          <w:sz w:val="20"/>
          <w:szCs w:val="20"/>
          <w:rtl/>
        </w:rPr>
        <w:t>1619</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pr_f_2573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257">
    <w:p w14:paraId="740E1E14" w14:textId="77777777" w:rsidR="00AB3647" w:rsidRDefault="00000000">
      <w:pPr>
        <w:spacing w:after="0" w:before="0"/>
        <w:jc w:val="both"/>
      </w:pPr>
      <w:r>
        <w:rPr>
          <w:sz w:val="20"/>
          <w:szCs w:val="20"/>
          <w:rtl/>
        </w:rPr>
        <w:footnoteRef/>
      </w:r>
      <w:r>
        <w:rPr>
          <w:sz w:val="20"/>
          <w:szCs w:val="20"/>
          <w:rtl/>
        </w:rPr>
        <w:t xml:space="preserve">. לפי “תולדות </w:t>
      </w:r>
      <w:proofErr w:type="spellStart"/>
      <w:r>
        <w:rPr>
          <w:sz w:val="20"/>
          <w:szCs w:val="20"/>
          <w:rtl/>
        </w:rPr>
        <w:t>המהרש״א</w:t>
      </w:r>
      <w:proofErr w:type="spellEnd"/>
      <w:r>
        <w:rPr>
          <w:sz w:val="20"/>
          <w:szCs w:val="20"/>
          <w:rtl/>
        </w:rPr>
        <w:t xml:space="preserve">”, המילים “אות תורה” אכן נחקקו במצבה המחודשת אחרי התאריך המלא. אבל לפי ספר “תולדות אדם”, המילים “אות תורה” רק נרמזו: “אות” – בראשי התיבות המודגשים של יום חידוש המצבה, </w:t>
      </w:r>
      <w:proofErr w:type="spellStart"/>
      <w:r>
        <w:rPr>
          <w:sz w:val="20"/>
          <w:szCs w:val="20"/>
          <w:rtl/>
        </w:rPr>
        <w:t>ו“תורה</w:t>
      </w:r>
      <w:proofErr w:type="spellEnd"/>
      <w:r>
        <w:rPr>
          <w:sz w:val="20"/>
          <w:szCs w:val="20"/>
          <w:rtl/>
        </w:rPr>
        <w:t xml:space="preserve">” – בשנה, במקום “תרי״א” הפשוט. השווה גם שם, עמ׳ </w:t>
      </w:r>
      <w:proofErr w:type="spellStart"/>
      <w:r>
        <w:rPr>
          <w:sz w:val="20"/>
          <w:szCs w:val="20"/>
          <w:rtl/>
        </w:rPr>
        <w:t>כא</w:t>
      </w:r>
      <w:proofErr w:type="spellEnd"/>
      <w:r>
        <w:rPr>
          <w:sz w:val="20"/>
          <w:szCs w:val="20"/>
          <w:rtl/>
        </w:rPr>
        <w:t>.</w:t>
      </w:r>
    </w:p>
  </w:footnote>
  <w:footnote w:id="4258">
    <w:p w14:paraId="5CA4DCA0" w14:textId="77777777" w:rsidR="00AB3647" w:rsidRDefault="00000000">
      <w:pPr>
        <w:spacing w:after="0" w:before="0"/>
        <w:jc w:val="both"/>
      </w:pPr>
      <w:r>
        <w:rPr>
          <w:sz w:val="20"/>
          <w:szCs w:val="20"/>
          <w:rtl/>
        </w:rPr>
        <w:footnoteRef/>
      </w:r>
      <w:r>
        <w:rPr>
          <w:sz w:val="20"/>
          <w:szCs w:val="20"/>
          <w:rtl/>
        </w:rPr>
        <w:t>. נספח ט לעיל – עמ׳ 401.</w:t>
      </w:r>
    </w:p>
  </w:footnote>
  <w:footnote w:id="4259">
    <w:p w14:paraId="3BB0CD9A" w14:textId="77777777" w:rsidR="00AB3647" w:rsidRDefault="00000000">
      <w:pPr>
        <w:spacing w:after="0" w:before="0"/>
        <w:jc w:val="both"/>
      </w:pPr>
      <w:r>
        <w:rPr>
          <w:sz w:val="20"/>
          <w:szCs w:val="20"/>
          <w:rtl/>
        </w:rPr>
        <w:footnoteRef/>
      </w:r>
      <w:r>
        <w:rPr>
          <w:sz w:val="20"/>
          <w:szCs w:val="20"/>
          <w:rtl/>
        </w:rPr>
        <w:t xml:space="preserve">. הוא נזכר בפרק 3, הפסקה השנייה של נספח </w:t>
      </w:r>
      <w:proofErr w:type="spellStart"/>
      <w:r>
        <w:rPr>
          <w:sz w:val="20"/>
          <w:szCs w:val="20"/>
          <w:rtl/>
        </w:rPr>
        <w:t>טז</w:t>
      </w:r>
      <w:proofErr w:type="spellEnd"/>
      <w:r>
        <w:rPr>
          <w:sz w:val="20"/>
          <w:szCs w:val="20"/>
          <w:rtl/>
        </w:rPr>
        <w:t xml:space="preserve">, כחותנו של אחיו הבכור של </w:t>
      </w:r>
      <w:proofErr w:type="spellStart"/>
      <w:r>
        <w:rPr>
          <w:sz w:val="20"/>
          <w:szCs w:val="20"/>
          <w:rtl/>
        </w:rPr>
        <w:t>החפץ־חיים</w:t>
      </w:r>
      <w:proofErr w:type="spellEnd"/>
      <w:r>
        <w:rPr>
          <w:sz w:val="20"/>
          <w:szCs w:val="20"/>
          <w:rtl/>
        </w:rPr>
        <w:t xml:space="preserve">, ושייתכן שהוא כבר קיבל עליו את התפקיד בחיי ר׳ חיים. </w:t>
      </w:r>
      <w:proofErr w:type="spellStart"/>
      <w:r>
        <w:rPr>
          <w:sz w:val="20"/>
          <w:szCs w:val="20"/>
          <w:rtl/>
        </w:rPr>
        <w:t>האדרעצנער</w:t>
      </w:r>
      <w:proofErr w:type="spellEnd"/>
      <w:r>
        <w:rPr>
          <w:sz w:val="20"/>
          <w:szCs w:val="20"/>
          <w:rtl/>
        </w:rPr>
        <w:t xml:space="preserve"> נפטר </w:t>
      </w:r>
      <w:proofErr w:type="spellStart"/>
      <w:r>
        <w:rPr>
          <w:sz w:val="20"/>
          <w:szCs w:val="20"/>
          <w:rtl/>
        </w:rPr>
        <w:t>בתרכ״ה</w:t>
      </w:r>
      <w:proofErr w:type="spellEnd"/>
      <w:r>
        <w:rPr>
          <w:sz w:val="20"/>
          <w:szCs w:val="20"/>
          <w:rtl/>
        </w:rPr>
        <w:t xml:space="preserve">, </w:t>
      </w:r>
      <w:proofErr w:type="spellStart"/>
      <w:r>
        <w:rPr>
          <w:sz w:val="20"/>
          <w:szCs w:val="20"/>
          <w:rtl/>
        </w:rPr>
        <w:t>שתים־עשרה</w:t>
      </w:r>
      <w:proofErr w:type="spellEnd"/>
      <w:r>
        <w:rPr>
          <w:sz w:val="20"/>
          <w:szCs w:val="20"/>
          <w:rtl/>
        </w:rPr>
        <w:t xml:space="preserve"> שנה אחרי </w:t>
      </w:r>
      <w:proofErr w:type="spellStart"/>
      <w:r>
        <w:rPr>
          <w:sz w:val="20"/>
          <w:szCs w:val="20"/>
          <w:rtl/>
        </w:rPr>
        <w:t>שהנצי״ב</w:t>
      </w:r>
      <w:proofErr w:type="spellEnd"/>
      <w:r>
        <w:rPr>
          <w:sz w:val="20"/>
          <w:szCs w:val="20"/>
          <w:rtl/>
        </w:rPr>
        <w:t xml:space="preserve"> נעשה ראש ישיבה.</w:t>
      </w:r>
    </w:p>
  </w:footnote>
  <w:footnote w:id="4260">
    <w:p w14:paraId="08CC60DE" w14:textId="77777777" w:rsidR="00AB3647" w:rsidRDefault="00000000">
      <w:pPr>
        <w:spacing w:after="0" w:before="0"/>
        <w:jc w:val="both"/>
      </w:pPr>
      <w:r>
        <w:rPr>
          <w:sz w:val="20"/>
          <w:szCs w:val="20"/>
          <w:rtl/>
        </w:rPr>
        <w:footnoteRef/>
      </w:r>
      <w:r>
        <w:rPr>
          <w:sz w:val="20"/>
          <w:szCs w:val="20"/>
          <w:rtl/>
        </w:rPr>
        <w:t>. “אבי הישיבות”, שם, הערה 11.</w:t>
      </w:r>
    </w:p>
  </w:footnote>
  <w:footnote w:id="4261">
    <w:p w14:paraId="23ACE8E9" w14:textId="77777777" w:rsidR="00AB3647" w:rsidRDefault="00000000">
      <w:pPr>
        <w:spacing w:after="0" w:before="0"/>
        <w:jc w:val="both"/>
      </w:pPr>
      <w:r>
        <w:rPr>
          <w:sz w:val="20"/>
          <w:szCs w:val="20"/>
          <w:rtl/>
        </w:rPr>
        <w:footnoteRef/>
      </w:r>
      <w:r>
        <w:rPr>
          <w:sz w:val="20"/>
          <w:szCs w:val="20"/>
          <w:rtl/>
        </w:rPr>
        <w:t>. עמ׳ 206–207.</w:t>
      </w:r>
    </w:p>
  </w:footnote>
  <w:footnote w:id="4262">
    <w:p w14:paraId="3B6FF854" w14:textId="77777777" w:rsidR="00AB3647" w:rsidRDefault="00000000">
      <w:pPr>
        <w:spacing w:after="0" w:before="0"/>
        <w:jc w:val="both"/>
      </w:pPr>
      <w:r>
        <w:rPr>
          <w:sz w:val="20"/>
          <w:szCs w:val="20"/>
          <w:rtl/>
        </w:rPr>
        <w:footnoteRef/>
      </w:r>
      <w:r>
        <w:rPr>
          <w:sz w:val="20"/>
          <w:szCs w:val="20"/>
          <w:rtl/>
        </w:rPr>
        <w:t>. השווה לפרק 3, הערה 10.</w:t>
      </w:r>
    </w:p>
  </w:footnote>
  <w:footnote w:id="4263">
    <w:p w14:paraId="51968582" w14:textId="77777777" w:rsidR="00AB3647" w:rsidRDefault="00000000">
      <w:pPr>
        <w:spacing w:after="0" w:before="0"/>
        <w:jc w:val="both"/>
      </w:pPr>
      <w:r>
        <w:rPr>
          <w:sz w:val="20"/>
          <w:szCs w:val="20"/>
          <w:rtl/>
        </w:rPr>
        <w:footnoteRef/>
      </w:r>
      <w:r>
        <w:rPr>
          <w:sz w:val="20"/>
          <w:szCs w:val="20"/>
          <w:rtl/>
        </w:rPr>
        <w:t xml:space="preserve">. סיני, כרך מ״ב (תשרי–אדר תשי״ח), עמ׳ </w:t>
      </w:r>
      <w:proofErr w:type="spellStart"/>
      <w:r>
        <w:rPr>
          <w:sz w:val="20"/>
          <w:szCs w:val="20"/>
          <w:rtl/>
        </w:rPr>
        <w:t>רעט</w:t>
      </w:r>
      <w:proofErr w:type="spellEnd"/>
      <w:r>
        <w:rPr>
          <w:sz w:val="20"/>
          <w:szCs w:val="20"/>
          <w:rtl/>
        </w:rPr>
        <w:t>–</w:t>
      </w:r>
      <w:proofErr w:type="spellStart"/>
      <w:r>
        <w:rPr>
          <w:sz w:val="20"/>
          <w:szCs w:val="20"/>
          <w:rtl/>
        </w:rPr>
        <w:t>רפ</w:t>
      </w:r>
      <w:proofErr w:type="spellEnd"/>
      <w:r>
        <w:rPr>
          <w:sz w:val="20"/>
          <w:szCs w:val="20"/>
          <w:rtl/>
        </w:rPr>
        <w:t>.</w:t>
      </w:r>
    </w:p>
  </w:footnote>
  <w:footnote w:id="4264">
    <w:p w14:paraId="168CA1A6" w14:textId="77777777" w:rsidR="00AB3647" w:rsidRDefault="00000000">
      <w:pPr>
        <w:spacing w:after="0" w:before="0"/>
        <w:jc w:val="both"/>
      </w:pPr>
      <w:r>
        <w:rPr>
          <w:sz w:val="20"/>
          <w:szCs w:val="20"/>
          <w:rtl/>
        </w:rPr>
        <w:footnoteRef/>
      </w:r>
      <w:r>
        <w:rPr>
          <w:sz w:val="20"/>
          <w:szCs w:val="20"/>
          <w:rtl/>
        </w:rPr>
        <w:t>. המכתב מובא במאמר של ד״ר יצחק רפאל בארשת, א׳, תשי״ט, עמ׳ 358.</w:t>
      </w:r>
    </w:p>
  </w:footnote>
  <w:footnote w:id="4265">
    <w:p w14:paraId="2C22137B" w14:textId="77777777" w:rsidR="00AB3647" w:rsidRDefault="00000000">
      <w:pPr>
        <w:spacing w:after="0" w:before="0"/>
        <w:jc w:val="both"/>
      </w:pPr>
      <w:r>
        <w:rPr>
          <w:sz w:val="20"/>
          <w:szCs w:val="20"/>
          <w:rtl/>
        </w:rPr>
        <w:footnoteRef/>
      </w:r>
      <w:r>
        <w:rPr>
          <w:sz w:val="20"/>
          <w:szCs w:val="20"/>
          <w:rtl/>
        </w:rPr>
        <w:t xml:space="preserve">. כרך זה כולל את פירוש ר׳ חיים </w:t>
      </w:r>
      <w:proofErr w:type="spellStart"/>
      <w:r>
        <w:rPr>
          <w:sz w:val="20"/>
          <w:szCs w:val="20"/>
          <w:rtl/>
        </w:rPr>
        <w:t>מוולוז׳ין</w:t>
      </w:r>
      <w:proofErr w:type="spellEnd"/>
      <w:r>
        <w:rPr>
          <w:sz w:val="20"/>
          <w:szCs w:val="20"/>
          <w:rtl/>
        </w:rPr>
        <w:t xml:space="preserve"> לפרקי אבות, עם הקדמתו הארוכה של ר׳ </w:t>
      </w:r>
      <w:proofErr w:type="spellStart"/>
      <w:r>
        <w:rPr>
          <w:sz w:val="20"/>
          <w:szCs w:val="20"/>
          <w:rtl/>
        </w:rPr>
        <w:t>יהושע־העשיל</w:t>
      </w:r>
      <w:proofErr w:type="spellEnd"/>
      <w:r>
        <w:rPr>
          <w:sz w:val="20"/>
          <w:szCs w:val="20"/>
          <w:rtl/>
        </w:rPr>
        <w:t xml:space="preserve"> לוין, שכותרתה “מעיני יהושע”, והערותיו.</w:t>
      </w:r>
    </w:p>
  </w:footnote>
  <w:footnote w:id="4266">
    <w:p w14:paraId="325215AC" w14:textId="77777777" w:rsidR="00AB3647" w:rsidRDefault="00000000">
      <w:pPr>
        <w:spacing w:after="0" w:before="0"/>
        <w:jc w:val="both"/>
      </w:pPr>
      <w:r>
        <w:rPr>
          <w:sz w:val="20"/>
          <w:szCs w:val="20"/>
          <w:rtl/>
        </w:rPr>
        <w:footnoteRef/>
      </w:r>
      <w:r>
        <w:rPr>
          <w:sz w:val="20"/>
          <w:szCs w:val="20"/>
          <w:rtl/>
        </w:rPr>
        <w:t xml:space="preserve">. ראה פרק 2, הפסקה הרביעית של נספח א, ופרק 3, תחילת נספח </w:t>
      </w:r>
      <w:proofErr w:type="spellStart"/>
      <w:r>
        <w:rPr>
          <w:sz w:val="20"/>
          <w:szCs w:val="20"/>
          <w:rtl/>
        </w:rPr>
        <w:t>יט</w:t>
      </w:r>
      <w:proofErr w:type="spellEnd"/>
      <w:r>
        <w:rPr>
          <w:sz w:val="20"/>
          <w:szCs w:val="20"/>
          <w:rtl/>
        </w:rPr>
        <w:t>.</w:t>
      </w:r>
    </w:p>
  </w:footnote>
  <w:footnote w:id="4267">
    <w:p w14:paraId="121645F9" w14:textId="77777777" w:rsidR="00AB3647" w:rsidRDefault="00000000">
      <w:pPr>
        <w:spacing w:after="0" w:before="0"/>
        <w:jc w:val="both"/>
      </w:pPr>
      <w:r>
        <w:rPr>
          <w:sz w:val="20"/>
          <w:szCs w:val="20"/>
          <w:rtl/>
        </w:rPr>
        <w:footnoteRef/>
      </w:r>
      <w:r>
        <w:rPr>
          <w:sz w:val="20"/>
          <w:szCs w:val="20"/>
          <w:rtl/>
        </w:rPr>
        <w:t>. ראה הפסקה השמינית של נספח ט לעיל.</w:t>
      </w:r>
    </w:p>
  </w:footnote>
  <w:footnote w:id="4268">
    <w:p w14:paraId="0882C344" w14:textId="77777777" w:rsidR="00AB3647" w:rsidRDefault="00000000">
      <w:pPr>
        <w:spacing w:after="0" w:before="0"/>
        <w:jc w:val="both"/>
      </w:pPr>
      <w:r>
        <w:rPr>
          <w:rStyle w:val="a5"/>
          <w:vertAlign w:val="superscript"/>
          <w:rtl/>
        </w:rPr>
        <w:t>*</w:t>
      </w:r>
      <w:r>
        <w:rPr>
          <w:sz w:val="20"/>
          <w:szCs w:val="20"/>
        </w:rPr>
        <w:t xml:space="preserve"> </w:t>
      </w:r>
      <w:r>
        <w:rPr>
          <w:color w:val="000000"/>
          <w:sz w:val="20"/>
          <w:szCs w:val="20"/>
          <w:rtl/>
        </w:rPr>
      </w:r>
      <w:r>
        <w:rPr>
          <w:color w:val="000000"/>
          <w:sz w:val="20"/>
          <w:szCs w:val="20"/>
          <w:rtl/>
        </w:rPr>
        <w:t xml:space="preserve">הערת המתרגם: לפי הלקסיקון לספרות העברית החדשה, ר׳ </w:t>
      </w:r>
      <w:proofErr w:type="spellStart"/>
      <w:r>
        <w:rPr>
          <w:color w:val="000000"/>
          <w:sz w:val="20"/>
          <w:szCs w:val="20"/>
          <w:rtl/>
        </w:rPr>
        <w:t>יהושע־העשיל</w:t>
      </w:r>
      <w:proofErr w:type="spellEnd"/>
      <w:r>
        <w:rPr>
          <w:color w:val="000000"/>
          <w:sz w:val="20"/>
          <w:szCs w:val="20"/>
          <w:rtl/>
        </w:rPr>
        <w:t xml:space="preserve"> לוין נולד בי״ח בתמוז תקע״ח; לפי תאריך זה היה ר׳ ישראל מבוגר ממנו בכשמונה שנים.</w:t>
      </w:r>
    </w:p>
  </w:footnote>
  <w:footnote w:id="4269">
    <w:p w14:paraId="7B8716CD" w14:textId="77777777" w:rsidR="00AB3647" w:rsidRDefault="00000000">
      <w:pPr>
        <w:spacing w:after="0" w:before="0"/>
        <w:jc w:val="both"/>
      </w:pPr>
      <w:r>
        <w:rPr>
          <w:sz w:val="20"/>
          <w:szCs w:val="20"/>
          <w:rtl/>
        </w:rPr>
        <w:footnoteRef/>
      </w:r>
      <w:r>
        <w:rPr>
          <w:sz w:val="20"/>
          <w:szCs w:val="20"/>
          <w:rtl/>
        </w:rPr>
        <w:t xml:space="preserve">. אבל השווה לפסקה השנייה של הערה 22 לעיל: ייתכן שר׳ ישראל היה מבוגר מתלמידו העיקרי, ר׳ </w:t>
      </w:r>
      <w:proofErr w:type="spellStart"/>
      <w:r>
        <w:rPr>
          <w:sz w:val="20"/>
          <w:szCs w:val="20"/>
          <w:rtl/>
        </w:rPr>
        <w:t>שמחה־זיסל</w:t>
      </w:r>
      <w:proofErr w:type="spellEnd"/>
      <w:r>
        <w:rPr>
          <w:sz w:val="20"/>
          <w:szCs w:val="20"/>
          <w:rtl/>
        </w:rPr>
        <w:t xml:space="preserve"> זיו, בשבע שנים בלבד.</w:t>
      </w:r>
    </w:p>
  </w:footnote>
  <w:footnote w:id="4270">
    <w:p w14:paraId="0F9F1136" w14:textId="77777777" w:rsidR="00AB3647" w:rsidRDefault="00000000">
      <w:pPr>
        <w:spacing w:after="0" w:before="0"/>
        <w:jc w:val="both"/>
      </w:pPr>
      <w:r>
        <w:rPr>
          <w:sz w:val="20"/>
          <w:szCs w:val="20"/>
          <w:rtl/>
        </w:rPr>
        <w:footnoteRef/>
      </w:r>
      <w:r>
        <w:rPr>
          <w:sz w:val="20"/>
          <w:szCs w:val="20"/>
          <w:rtl/>
        </w:rPr>
        <w:t xml:space="preserve">. נספח </w:t>
      </w:r>
      <w:proofErr w:type="spellStart"/>
      <w:r>
        <w:rPr>
          <w:sz w:val="20"/>
          <w:szCs w:val="20"/>
          <w:rtl/>
        </w:rPr>
        <w:t>יב</w:t>
      </w:r>
      <w:proofErr w:type="spellEnd"/>
      <w:r>
        <w:rPr>
          <w:sz w:val="20"/>
          <w:szCs w:val="20"/>
          <w:rtl/>
        </w:rPr>
        <w:t xml:space="preserve"> לעיל.</w:t>
      </w:r>
    </w:p>
  </w:footnote>
  <w:footnote w:id="4271">
    <w:p w14:paraId="646400EF" w14:textId="77777777" w:rsidR="00AB3647" w:rsidRDefault="00000000">
      <w:pPr>
        <w:spacing w:after="0" w:before="0"/>
        <w:jc w:val="both"/>
      </w:pPr>
      <w:r>
        <w:rPr>
          <w:sz w:val="20"/>
          <w:szCs w:val="20"/>
          <w:rtl/>
        </w:rPr>
        <w:footnoteRef/>
      </w:r>
      <w:r>
        <w:rPr>
          <w:sz w:val="20"/>
          <w:szCs w:val="20"/>
          <w:rtl/>
        </w:rPr>
        <w:t>. הערה 1 לעיל.</w:t>
      </w:r>
    </w:p>
  </w:footnote>
  <w:footnote w:id="4272">
    <w:p w14:paraId="6B84B321" w14:textId="77777777" w:rsidR="00AB3647" w:rsidRDefault="00000000">
      <w:pPr>
        <w:spacing w:after="0" w:before="0"/>
        <w:jc w:val="both"/>
      </w:pPr>
      <w:r>
        <w:rPr>
          <w:sz w:val="20"/>
          <w:szCs w:val="20"/>
          <w:rtl/>
        </w:rPr>
        <w:footnoteRef/>
      </w:r>
      <w:r>
        <w:rPr>
          <w:sz w:val="20"/>
          <w:szCs w:val="20"/>
          <w:rtl/>
        </w:rPr>
        <w:t>. השווה נספח יא לעיל.</w:t>
      </w:r>
    </w:p>
  </w:footnote>
  <w:footnote w:id="4273">
    <w:p w14:paraId="5CD8DED0" w14:textId="77777777" w:rsidR="00AB3647" w:rsidRDefault="00000000">
      <w:pPr>
        <w:spacing w:after="0" w:before="0"/>
        <w:jc w:val="both"/>
      </w:pPr>
      <w:r>
        <w:rPr>
          <w:sz w:val="20"/>
          <w:szCs w:val="20"/>
          <w:rtl/>
        </w:rPr>
        <w:footnoteRef/>
      </w:r>
      <w:r>
        <w:rPr>
          <w:sz w:val="20"/>
          <w:szCs w:val="20"/>
          <w:rtl/>
        </w:rPr>
        <w:t>. השווה נספח יא והערה 92 לעיל.</w:t>
      </w:r>
    </w:p>
  </w:footnote>
  <w:footnote w:id="4274">
    <w:p w14:paraId="06E8CC13" w14:textId="77777777" w:rsidR="00AB3647" w:rsidRDefault="00000000">
      <w:pPr>
        <w:spacing w:after="0" w:before="0"/>
        <w:jc w:val="both"/>
      </w:pPr>
      <w:r>
        <w:rPr>
          <w:sz w:val="20"/>
          <w:szCs w:val="20"/>
          <w:rtl/>
        </w:rPr>
        <w:footnoteRef/>
      </w:r>
      <w:r>
        <w:rPr>
          <w:sz w:val="20"/>
          <w:szCs w:val="20"/>
          <w:rtl/>
        </w:rPr>
        <w:t>. הפסקה השנייה של נספח ט לעיל – כרך א, עמ׳ 205–206.</w:t>
      </w:r>
    </w:p>
  </w:footnote>
  <w:footnote w:id="4275">
    <w:p w14:paraId="2BE9A7B5" w14:textId="77777777" w:rsidR="00AB3647" w:rsidRDefault="00000000">
      <w:pPr>
        <w:spacing w:after="0" w:before="0"/>
        <w:jc w:val="both"/>
      </w:pPr>
      <w:r>
        <w:rPr>
          <w:sz w:val="20"/>
          <w:szCs w:val="20"/>
          <w:rtl/>
        </w:rPr>
        <w:footnoteRef/>
      </w:r>
      <w:r>
        <w:rPr>
          <w:sz w:val="20"/>
          <w:szCs w:val="20"/>
          <w:rtl/>
        </w:rPr>
        <w:t>. שם.</w:t>
      </w:r>
    </w:p>
  </w:footnote>
  <w:footnote w:id="4276">
    <w:p w14:paraId="3DD38413"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יז</w:t>
      </w:r>
      <w:proofErr w:type="spellEnd"/>
      <w:r>
        <w:rPr>
          <w:sz w:val="20"/>
          <w:szCs w:val="20"/>
          <w:rtl/>
        </w:rPr>
        <w:t xml:space="preserve"> </w:t>
      </w:r>
      <w:proofErr w:type="spellStart"/>
      <w:r>
        <w:rPr>
          <w:sz w:val="20"/>
          <w:szCs w:val="20"/>
          <w:rtl/>
        </w:rPr>
        <w:t>ויח</w:t>
      </w:r>
      <w:proofErr w:type="spellEnd"/>
      <w:r>
        <w:rPr>
          <w:sz w:val="20"/>
          <w:szCs w:val="20"/>
          <w:rtl/>
        </w:rPr>
        <w:t xml:space="preserve"> – ראה תחילת הערה 91 לעיל.</w:t>
      </w:r>
    </w:p>
  </w:footnote>
  <w:footnote w:id="4277">
    <w:p w14:paraId="767EA504" w14:textId="77777777" w:rsidR="00AB3647" w:rsidRDefault="00000000">
      <w:pPr>
        <w:spacing w:after="0" w:before="0"/>
        <w:jc w:val="both"/>
      </w:pPr>
      <w:r>
        <w:rPr>
          <w:sz w:val="20"/>
          <w:szCs w:val="20"/>
          <w:rtl/>
        </w:rPr>
        <w:footnoteRef/>
      </w:r>
      <w:r>
        <w:rPr>
          <w:sz w:val="20"/>
          <w:szCs w:val="20"/>
          <w:rtl/>
        </w:rPr>
        <w:t>. עמ׳ עד–</w:t>
      </w:r>
      <w:proofErr w:type="spellStart"/>
      <w:r>
        <w:rPr>
          <w:sz w:val="20"/>
          <w:szCs w:val="20"/>
          <w:rtl/>
        </w:rPr>
        <w:t>עה</w:t>
      </w:r>
      <w:proofErr w:type="spellEnd"/>
      <w:r>
        <w:rPr>
          <w:sz w:val="20"/>
          <w:szCs w:val="20"/>
          <w:rtl/>
        </w:rPr>
        <w:t>.</w:t>
      </w:r>
    </w:p>
  </w:footnote>
  <w:footnote w:id="4278">
    <w:p w14:paraId="738D7BAB" w14:textId="77777777" w:rsidR="00AB3647" w:rsidRDefault="00000000">
      <w:pPr>
        <w:spacing w:after="0" w:before="0"/>
        <w:jc w:val="both"/>
      </w:pPr>
      <w:r>
        <w:rPr>
          <w:sz w:val="20"/>
          <w:szCs w:val="20"/>
          <w:rtl/>
        </w:rPr>
        <w:footnoteRef/>
      </w:r>
      <w:r>
        <w:rPr>
          <w:sz w:val="20"/>
          <w:szCs w:val="20"/>
          <w:rtl/>
        </w:rPr>
        <w:t>. עמ׳ עד.</w:t>
      </w:r>
    </w:p>
  </w:footnote>
  <w:footnote w:id="4279">
    <w:p w14:paraId="15CE3AA5" w14:textId="77777777" w:rsidR="00AB3647" w:rsidRDefault="00000000">
      <w:pPr>
        <w:spacing w:after="0" w:before="0"/>
        <w:jc w:val="both"/>
      </w:pPr>
      <w:r>
        <w:rPr>
          <w:sz w:val="20"/>
          <w:szCs w:val="20"/>
          <w:rtl/>
        </w:rPr>
        <w:footnoteRef/>
      </w:r>
      <w:r>
        <w:rPr>
          <w:sz w:val="20"/>
          <w:szCs w:val="20"/>
          <w:rtl/>
        </w:rPr>
        <w:t>. השווה הערה 113 לעיל.</w:t>
      </w:r>
    </w:p>
  </w:footnote>
  <w:footnote w:id="4280">
    <w:p w14:paraId="23AC9898" w14:textId="77777777" w:rsidR="00AB3647" w:rsidRDefault="00000000">
      <w:pPr>
        <w:spacing w:after="0" w:before="0"/>
        <w:jc w:val="both"/>
      </w:pPr>
      <w:r>
        <w:rPr>
          <w:sz w:val="20"/>
          <w:szCs w:val="20"/>
          <w:rtl/>
        </w:rPr>
        <w:footnoteRef/>
      </w:r>
      <w:r>
        <w:rPr>
          <w:sz w:val="20"/>
          <w:szCs w:val="20"/>
          <w:rtl/>
        </w:rPr>
        <w:t>. משלי א, ז.</w:t>
      </w:r>
    </w:p>
  </w:footnote>
  <w:footnote w:id="4281">
    <w:p w14:paraId="2F66D217" w14:textId="77777777" w:rsidR="00AB3647" w:rsidRDefault="00000000">
      <w:pPr>
        <w:spacing w:after="0" w:before="0"/>
        <w:jc w:val="both"/>
      </w:pPr>
      <w:r>
        <w:rPr>
          <w:sz w:val="20"/>
          <w:szCs w:val="20"/>
          <w:rtl/>
        </w:rPr>
        <w:footnoteRef/>
      </w:r>
      <w:r>
        <w:rPr>
          <w:sz w:val="20"/>
          <w:szCs w:val="20"/>
          <w:rtl/>
        </w:rPr>
        <w:t>. הערה 99 לעיל.</w:t>
      </w:r>
    </w:p>
  </w:footnote>
  <w:footnote w:id="4282">
    <w:p w14:paraId="16969227" w14:textId="77777777" w:rsidR="00AB3647" w:rsidRDefault="00000000">
      <w:pPr>
        <w:spacing w:after="0" w:before="0"/>
        <w:jc w:val="both"/>
      </w:pPr>
      <w:r>
        <w:rPr>
          <w:sz w:val="20"/>
          <w:szCs w:val="20"/>
          <w:rtl/>
        </w:rPr>
        <w:footnoteRef/>
      </w:r>
      <w:r>
        <w:rPr>
          <w:sz w:val="20"/>
          <w:szCs w:val="20"/>
          <w:rtl/>
        </w:rPr>
        <w:t>. השווה הערה 110 לעיל.</w:t>
      </w:r>
    </w:p>
  </w:footnote>
  <w:footnote w:id="4283">
    <w:p w14:paraId="297194D2" w14:textId="77777777" w:rsidR="00AB3647" w:rsidRDefault="00000000">
      <w:pPr>
        <w:spacing w:after="0" w:before="0"/>
        <w:jc w:val="both"/>
      </w:pPr>
      <w:r>
        <w:rPr>
          <w:sz w:val="20"/>
          <w:szCs w:val="20"/>
          <w:rtl/>
        </w:rPr>
        <w:footnoteRef/>
      </w:r>
      <w:r>
        <w:rPr>
          <w:sz w:val="20"/>
          <w:szCs w:val="20"/>
          <w:rtl/>
        </w:rPr>
        <w:t>. השווה הערה 111 לעיל.</w:t>
      </w:r>
    </w:p>
  </w:footnote>
  <w:footnote w:id="4284">
    <w:p w14:paraId="05670E0A"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רבינר</w:t>
      </w:r>
      <w:proofErr w:type="spellEnd"/>
      <w:r>
        <w:rPr>
          <w:sz w:val="20"/>
          <w:szCs w:val="20"/>
          <w:rtl/>
        </w:rPr>
        <w:t xml:space="preserve">, “הגאון רבי אליעזר גורדון”, עמ׳ לג, בשם תלמידו של ר׳ לייזר גורדון,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על יחסו של ר׳ ישראל </w:t>
      </w:r>
      <w:proofErr w:type="spellStart"/>
      <w:r>
        <w:rPr>
          <w:sz w:val="20"/>
          <w:szCs w:val="20"/>
          <w:rtl/>
        </w:rPr>
        <w:t>סלנטר</w:t>
      </w:r>
      <w:proofErr w:type="spellEnd"/>
      <w:r>
        <w:rPr>
          <w:sz w:val="20"/>
          <w:szCs w:val="20"/>
          <w:rtl/>
        </w:rPr>
        <w:t xml:space="preserve"> לצורך של ר׳ לייזר גורדון במוסר ראה דברי תלמידו של ר׳ ישראל, ר׳ </w:t>
      </w:r>
      <w:proofErr w:type="spellStart"/>
      <w:r>
        <w:rPr>
          <w:sz w:val="20"/>
          <w:szCs w:val="20"/>
          <w:rtl/>
        </w:rPr>
        <w:t>איצל׳ה</w:t>
      </w:r>
      <w:proofErr w:type="spellEnd"/>
      <w:r>
        <w:rPr>
          <w:sz w:val="20"/>
          <w:szCs w:val="20"/>
          <w:rtl/>
        </w:rPr>
        <w:t xml:space="preserve"> </w:t>
      </w:r>
      <w:proofErr w:type="spellStart"/>
      <w:r>
        <w:rPr>
          <w:sz w:val="20"/>
          <w:szCs w:val="20"/>
          <w:rtl/>
        </w:rPr>
        <w:t>בלאזר</w:t>
      </w:r>
      <w:proofErr w:type="spellEnd"/>
      <w:r>
        <w:rPr>
          <w:sz w:val="20"/>
          <w:szCs w:val="20"/>
          <w:rtl/>
        </w:rPr>
        <w:t xml:space="preserve">, המובאים בפרק 3, נספח י, על כך שר׳ </w:t>
      </w:r>
      <w:proofErr w:type="spellStart"/>
      <w:r>
        <w:rPr>
          <w:sz w:val="20"/>
          <w:szCs w:val="20"/>
          <w:rtl/>
        </w:rPr>
        <w:t>משה־מרדכי</w:t>
      </w:r>
      <w:proofErr w:type="spellEnd"/>
      <w:r>
        <w:rPr>
          <w:sz w:val="20"/>
          <w:szCs w:val="20"/>
          <w:rtl/>
        </w:rPr>
        <w:t xml:space="preserve"> אפשטיין יכול היה לוותר על המוסר. ראה גם פרק 3, הערה 119, על שקידתו של ר׳ </w:t>
      </w:r>
      <w:proofErr w:type="spellStart"/>
      <w:r>
        <w:rPr>
          <w:sz w:val="20"/>
          <w:szCs w:val="20"/>
          <w:rtl/>
        </w:rPr>
        <w:t>משה־מרדכי</w:t>
      </w:r>
      <w:proofErr w:type="spellEnd"/>
      <w:r>
        <w:rPr>
          <w:sz w:val="20"/>
          <w:szCs w:val="20"/>
          <w:rtl/>
        </w:rPr>
        <w:t xml:space="preserve"> אפשטיין.</w:t>
      </w:r>
    </w:p>
  </w:footnote>
  <w:footnote w:id="4285">
    <w:p w14:paraId="5D924FA0" w14:textId="77777777" w:rsidR="00AB3647" w:rsidRDefault="00000000">
      <w:pPr>
        <w:spacing w:after="0" w:before="0"/>
        <w:jc w:val="both"/>
      </w:pPr>
      <w:r>
        <w:rPr>
          <w:sz w:val="20"/>
          <w:szCs w:val="20"/>
          <w:rtl/>
        </w:rPr>
        <w:footnoteRef/>
      </w:r>
      <w:r>
        <w:rPr>
          <w:sz w:val="20"/>
          <w:szCs w:val="20"/>
          <w:rtl/>
        </w:rPr>
        <w:t>. השווה הערה 103 לעיל וסוף הערה 127 לעיל.</w:t>
      </w:r>
    </w:p>
  </w:footnote>
  <w:footnote w:id="4286">
    <w:p w14:paraId="51059D97" w14:textId="77777777" w:rsidR="00AB3647" w:rsidRDefault="00000000">
      <w:pPr>
        <w:spacing w:after="0" w:before="0"/>
        <w:jc w:val="both"/>
      </w:pPr>
      <w:r>
        <w:rPr>
          <w:sz w:val="20"/>
          <w:szCs w:val="20"/>
          <w:rtl/>
        </w:rPr>
        <w:footnoteRef/>
      </w:r>
      <w:r>
        <w:rPr>
          <w:sz w:val="20"/>
          <w:szCs w:val="20"/>
          <w:rtl/>
        </w:rPr>
        <w:t xml:space="preserve">. אהבה מקלקלת את השורה – בראשית רבה </w:t>
      </w:r>
      <w:proofErr w:type="spellStart"/>
      <w:r>
        <w:rPr>
          <w:sz w:val="20"/>
          <w:szCs w:val="20"/>
          <w:rtl/>
        </w:rPr>
        <w:t>נה</w:t>
      </w:r>
      <w:proofErr w:type="spellEnd"/>
      <w:r>
        <w:rPr>
          <w:sz w:val="20"/>
          <w:szCs w:val="20"/>
          <w:rtl/>
        </w:rPr>
        <w:t>, ח.</w:t>
      </w:r>
    </w:p>
  </w:footnote>
  <w:footnote w:id="4287">
    <w:p w14:paraId="5F7B9C58" w14:textId="77777777" w:rsidR="00AB3647" w:rsidRDefault="00000000">
      <w:pPr>
        <w:spacing w:after="0" w:before="0"/>
        <w:jc w:val="both"/>
      </w:pPr>
      <w:r>
        <w:rPr>
          <w:sz w:val="20"/>
          <w:szCs w:val="20"/>
          <w:rtl/>
        </w:rPr>
        <w:footnoteRef/>
      </w:r>
      <w:r>
        <w:rPr>
          <w:sz w:val="20"/>
          <w:szCs w:val="20"/>
          <w:rtl/>
        </w:rPr>
        <w:t>. השווה הערה 106 לעיל.</w:t>
      </w:r>
    </w:p>
  </w:footnote>
  <w:footnote w:id="4288">
    <w:p w14:paraId="2429CACA" w14:textId="77777777" w:rsidR="00AB3647" w:rsidRDefault="00000000">
      <w:pPr>
        <w:spacing w:after="0" w:before="0"/>
        <w:jc w:val="both"/>
      </w:pPr>
      <w:r>
        <w:rPr>
          <w:sz w:val="20"/>
          <w:szCs w:val="20"/>
          <w:rtl/>
        </w:rPr>
        <w:footnoteRef/>
      </w:r>
      <w:r>
        <w:rPr>
          <w:sz w:val="20"/>
          <w:szCs w:val="20"/>
          <w:rtl/>
        </w:rPr>
        <w:t>. ריאיון מ־16 ביולי 1992.</w:t>
      </w:r>
    </w:p>
  </w:footnote>
  <w:footnote w:id="4289">
    <w:p w14:paraId="725573A8" w14:textId="77777777" w:rsidR="00AB3647" w:rsidRDefault="00000000">
      <w:pPr>
        <w:spacing w:after="0" w:before="0"/>
        <w:jc w:val="both"/>
      </w:pPr>
      <w:r>
        <w:rPr>
          <w:sz w:val="20"/>
          <w:szCs w:val="20"/>
          <w:rtl/>
        </w:rPr>
        <w:footnoteRef/>
      </w:r>
      <w:r>
        <w:rPr>
          <w:sz w:val="20"/>
          <w:szCs w:val="20"/>
          <w:rtl/>
        </w:rPr>
        <w:t>. עמ׳ 328 – השווה הנספח הבא.</w:t>
      </w:r>
    </w:p>
  </w:footnote>
  <w:footnote w:id="4290">
    <w:p w14:paraId="5342F0C9" w14:textId="77777777" w:rsidR="00AB3647" w:rsidRDefault="00000000">
      <w:pPr>
        <w:spacing w:after="0" w:before="0"/>
        <w:jc w:val="both"/>
      </w:pPr>
      <w:r>
        <w:rPr>
          <w:sz w:val="20"/>
          <w:szCs w:val="20"/>
          <w:rtl/>
        </w:rPr>
        <w:footnoteRef/>
      </w:r>
      <w:r>
        <w:rPr>
          <w:sz w:val="20"/>
          <w:szCs w:val="20"/>
          <w:rtl/>
        </w:rPr>
        <w:t>. עמ׳ 34.</w:t>
      </w:r>
    </w:p>
  </w:footnote>
  <w:footnote w:id="4291">
    <w:p w14:paraId="4A1C397E" w14:textId="77777777" w:rsidR="00AB3647" w:rsidRDefault="00000000">
      <w:pPr>
        <w:spacing w:after="0" w:before="0"/>
        <w:jc w:val="both"/>
      </w:pPr>
      <w:r>
        <w:rPr>
          <w:sz w:val="20"/>
          <w:szCs w:val="20"/>
          <w:rtl/>
        </w:rPr>
        <w:footnoteRef/>
      </w:r>
      <w:r>
        <w:rPr>
          <w:sz w:val="20"/>
          <w:szCs w:val="20"/>
          <w:rtl/>
        </w:rPr>
        <w:t xml:space="preserve">. השווה כרך 2, שבו מסופר שר׳ אברהם </w:t>
      </w:r>
      <w:proofErr w:type="spellStart"/>
      <w:r>
        <w:rPr>
          <w:sz w:val="20"/>
          <w:szCs w:val="20"/>
          <w:rtl/>
        </w:rPr>
        <w:t>קלמנוביץ</w:t>
      </w:r>
      <w:proofErr w:type="spellEnd"/>
      <w:r>
        <w:rPr>
          <w:sz w:val="20"/>
          <w:szCs w:val="20"/>
          <w:rtl/>
        </w:rPr>
        <w:t xml:space="preserve"> נשלח </w:t>
      </w:r>
      <w:proofErr w:type="spellStart"/>
      <w:r>
        <w:rPr>
          <w:sz w:val="20"/>
          <w:szCs w:val="20"/>
          <w:rtl/>
        </w:rPr>
        <w:t>לטלז</w:t>
      </w:r>
      <w:proofErr w:type="spellEnd"/>
      <w:r>
        <w:rPr>
          <w:sz w:val="20"/>
          <w:szCs w:val="20"/>
          <w:rtl/>
        </w:rPr>
        <w:t xml:space="preserve"> עם קבוצת תלמידים </w:t>
      </w:r>
      <w:proofErr w:type="spellStart"/>
      <w:r>
        <w:rPr>
          <w:sz w:val="20"/>
          <w:szCs w:val="20"/>
          <w:rtl/>
        </w:rPr>
        <w:t>בתרס״ט</w:t>
      </w:r>
      <w:proofErr w:type="spellEnd"/>
      <w:r>
        <w:rPr>
          <w:sz w:val="20"/>
          <w:szCs w:val="20"/>
          <w:rtl/>
        </w:rPr>
        <w:t xml:space="preserve">. מסתבר שהיה זה חלק </w:t>
      </w:r>
      <w:proofErr w:type="spellStart"/>
      <w:r>
        <w:rPr>
          <w:sz w:val="20"/>
          <w:szCs w:val="20"/>
          <w:rtl/>
        </w:rPr>
        <w:t>מ“חילופי</w:t>
      </w:r>
      <w:proofErr w:type="spellEnd"/>
      <w:r>
        <w:rPr>
          <w:sz w:val="20"/>
          <w:szCs w:val="20"/>
          <w:rtl/>
        </w:rPr>
        <w:t xml:space="preserve"> התלמידים” שלאחר השרפה.</w:t>
      </w:r>
    </w:p>
  </w:footnote>
  <w:footnote w:id="4292">
    <w:p w14:paraId="37D674E2" w14:textId="77777777" w:rsidR="00AB3647" w:rsidRDefault="00000000">
      <w:pPr>
        <w:spacing w:after="0" w:before="0"/>
        <w:jc w:val="both"/>
      </w:pPr>
      <w:r>
        <w:rPr>
          <w:sz w:val="20"/>
          <w:szCs w:val="20"/>
          <w:rtl/>
        </w:rPr>
        <w:footnoteRef/>
      </w:r>
      <w:r>
        <w:rPr>
          <w:sz w:val="20"/>
          <w:szCs w:val="20"/>
          <w:rtl/>
        </w:rPr>
        <w:t>. נספח יא לעיל.</w:t>
      </w:r>
    </w:p>
  </w:footnote>
  <w:footnote w:id="4293">
    <w:p w14:paraId="394EE156" w14:textId="77777777" w:rsidR="00AB3647" w:rsidRDefault="00000000">
      <w:pPr>
        <w:spacing w:after="0" w:before="0"/>
        <w:jc w:val="both"/>
      </w:pPr>
      <w:r>
        <w:rPr>
          <w:sz w:val="20"/>
          <w:szCs w:val="20"/>
          <w:rtl/>
        </w:rPr>
        <w:footnoteRef/>
      </w:r>
      <w:r>
        <w:rPr>
          <w:sz w:val="20"/>
          <w:szCs w:val="20"/>
          <w:rtl/>
        </w:rPr>
        <w:t>. השווה הערות 107 ו־113 לעיל וסוף הערה 127 לעיל.</w:t>
      </w:r>
    </w:p>
  </w:footnote>
  <w:footnote w:id="4294">
    <w:p w14:paraId="222774EA" w14:textId="77777777" w:rsidR="00AB3647" w:rsidRDefault="00000000">
      <w:pPr>
        <w:spacing w:after="0" w:before="0"/>
        <w:jc w:val="both"/>
      </w:pPr>
      <w:r>
        <w:rPr>
          <w:sz w:val="20"/>
          <w:szCs w:val="20"/>
          <w:rtl/>
        </w:rPr>
        <w:footnoteRef/>
      </w:r>
      <w:r>
        <w:rPr>
          <w:sz w:val="20"/>
          <w:szCs w:val="20"/>
          <w:rtl/>
        </w:rPr>
        <w:t>. ראה הערה 113 לעיל.</w:t>
      </w:r>
    </w:p>
  </w:footnote>
  <w:footnote w:id="4295">
    <w:p w14:paraId="5EBCF239" w14:textId="77777777" w:rsidR="00AB3647" w:rsidRDefault="00000000">
      <w:pPr>
        <w:spacing w:after="0" w:before="0"/>
        <w:jc w:val="both"/>
      </w:pPr>
      <w:r>
        <w:rPr>
          <w:sz w:val="20"/>
          <w:szCs w:val="20"/>
          <w:rtl/>
        </w:rPr>
        <w:footnoteRef/>
      </w:r>
      <w:r>
        <w:rPr>
          <w:sz w:val="20"/>
          <w:szCs w:val="20"/>
          <w:rtl/>
        </w:rPr>
        <w:t xml:space="preserve">. השווה </w:t>
      </w:r>
      <w:proofErr w:type="spellStart"/>
      <w:r>
        <w:rPr>
          <w:sz w:val="20"/>
          <w:szCs w:val="20"/>
          <w:rtl/>
        </w:rPr>
        <w:t>רבינר</w:t>
      </w:r>
      <w:proofErr w:type="spellEnd"/>
      <w:r>
        <w:rPr>
          <w:sz w:val="20"/>
          <w:szCs w:val="20"/>
          <w:rtl/>
        </w:rPr>
        <w:t xml:space="preserve">, “הגאון רבי אליעזר גורדון”, עמ׳ </w:t>
      </w:r>
      <w:proofErr w:type="spellStart"/>
      <w:r>
        <w:rPr>
          <w:sz w:val="20"/>
          <w:szCs w:val="20"/>
          <w:rtl/>
        </w:rPr>
        <w:t>רטו</w:t>
      </w:r>
      <w:proofErr w:type="spellEnd"/>
      <w:r>
        <w:rPr>
          <w:sz w:val="20"/>
          <w:szCs w:val="20"/>
          <w:rtl/>
        </w:rPr>
        <w:t xml:space="preserve">. שם טעה המחבר או מקורו, ר׳ שרגא אברמסון (או המקור שאברמסון עצמו מציין, ר׳ </w:t>
      </w:r>
      <w:proofErr w:type="spellStart"/>
      <w:r>
        <w:rPr>
          <w:sz w:val="20"/>
          <w:szCs w:val="20"/>
          <w:rtl/>
        </w:rPr>
        <w:t>יהושע־זליג</w:t>
      </w:r>
      <w:proofErr w:type="spellEnd"/>
      <w:r>
        <w:rPr>
          <w:sz w:val="20"/>
          <w:szCs w:val="20"/>
          <w:rtl/>
        </w:rPr>
        <w:t xml:space="preserve"> רוך), כשמסר שר׳ יוסף לייב הפר הסכם שלא להביא תלמידים </w:t>
      </w:r>
      <w:proofErr w:type="spellStart"/>
      <w:r>
        <w:rPr>
          <w:sz w:val="20"/>
          <w:szCs w:val="20"/>
          <w:rtl/>
        </w:rPr>
        <w:t>מסלבודקה</w:t>
      </w:r>
      <w:proofErr w:type="spellEnd"/>
      <w:r>
        <w:rPr>
          <w:sz w:val="20"/>
          <w:szCs w:val="20"/>
          <w:rtl/>
        </w:rPr>
        <w:t xml:space="preserve">. אילו היה מדובר בהבאת תלמידי </w:t>
      </w:r>
      <w:proofErr w:type="spellStart"/>
      <w:r>
        <w:rPr>
          <w:sz w:val="20"/>
          <w:szCs w:val="20"/>
          <w:rtl/>
        </w:rPr>
        <w:t>סלבודקה</w:t>
      </w:r>
      <w:proofErr w:type="spellEnd"/>
      <w:r>
        <w:rPr>
          <w:sz w:val="20"/>
          <w:szCs w:val="20"/>
          <w:rtl/>
        </w:rPr>
        <w:t xml:space="preserve">, היה ר׳ שמואל </w:t>
      </w:r>
      <w:proofErr w:type="spellStart"/>
      <w:r>
        <w:rPr>
          <w:sz w:val="20"/>
          <w:szCs w:val="20"/>
          <w:rtl/>
        </w:rPr>
        <w:t>פונדילער</w:t>
      </w:r>
      <w:proofErr w:type="spellEnd"/>
      <w:r>
        <w:rPr>
          <w:sz w:val="20"/>
          <w:szCs w:val="20"/>
          <w:rtl/>
        </w:rPr>
        <w:t xml:space="preserve"> שמח מאוד אילו הביא ר׳ יוסף לייב בלוך עוד תלמידים כאלה. התשובה שהשיב ר׳ יוסף לייב בלוך לפי המסופר שם, “קצרות ונמרצות”, כדי להצדיק את בוא התלמידים – “כלום אב יכול להרחיק את בניו, הבנים התגעגעו לאביהם ובאו אליו” – מתאימה בבירור לתלמידיו שלו משדובה; וייתכן שאכן כך הגן על עצמו כשהכניסם בניגוד להסכם.</w:t>
      </w:r>
    </w:p>
  </w:footnote>
  <w:footnote w:id="4296">
    <w:p w14:paraId="11A55DE9" w14:textId="77777777" w:rsidR="00AB3647" w:rsidRDefault="00000000">
      <w:pPr>
        <w:spacing w:after="0" w:before="0"/>
        <w:jc w:val="both"/>
      </w:pPr>
      <w:r>
        <w:rPr>
          <w:sz w:val="20"/>
          <w:szCs w:val="20"/>
          <w:rtl/>
        </w:rPr>
        <w:footnoteRef/>
      </w:r>
      <w:r>
        <w:rPr>
          <w:sz w:val="20"/>
          <w:szCs w:val="20"/>
          <w:rtl/>
        </w:rPr>
        <w:t>. התשובה הייתה לאמרת כנף ומובאת גם בספרו של כץ, “תנועת המוסר”, כרך ה, עמ׳ 35.</w:t>
      </w:r>
    </w:p>
  </w:footnote>
  <w:footnote w:id="4297">
    <w:p w14:paraId="10106806" w14:textId="77777777" w:rsidR="00AB3647" w:rsidRDefault="00000000">
      <w:pPr>
        <w:spacing w:after="0" w:before="0"/>
        <w:jc w:val="both"/>
      </w:pPr>
      <w:r>
        <w:rPr>
          <w:sz w:val="20"/>
          <w:szCs w:val="20"/>
          <w:rtl/>
        </w:rPr>
        <w:footnoteRef/>
      </w:r>
      <w:r>
        <w:rPr>
          <w:sz w:val="20"/>
          <w:szCs w:val="20"/>
          <w:rtl/>
        </w:rPr>
        <w:t>. ריאיון מ־30 בספטמבר 1997.</w:t>
      </w:r>
    </w:p>
  </w:footnote>
  <w:footnote w:id="4298">
    <w:p w14:paraId="60736061" w14:textId="77777777" w:rsidR="00AB3647" w:rsidRDefault="00000000">
      <w:pPr>
        <w:spacing w:after="0" w:before="0"/>
        <w:jc w:val="both"/>
      </w:pPr>
      <w:r>
        <w:rPr>
          <w:sz w:val="20"/>
          <w:szCs w:val="20"/>
          <w:rtl/>
        </w:rPr>
        <w:footnoteRef/>
      </w:r>
      <w:r>
        <w:rPr>
          <w:sz w:val="20"/>
          <w:szCs w:val="20"/>
          <w:rtl/>
        </w:rPr>
        <w:t>. השווה הערה 107 לעיל.</w:t>
      </w:r>
    </w:p>
  </w:footnote>
  <w:footnote w:id="4299">
    <w:p w14:paraId="45455DE7" w14:textId="77777777" w:rsidR="00AB3647" w:rsidRDefault="00000000">
      <w:pPr>
        <w:spacing w:after="0" w:before="0"/>
        <w:jc w:val="both"/>
      </w:pPr>
      <w:r>
        <w:rPr>
          <w:sz w:val="20"/>
          <w:szCs w:val="20"/>
          <w:rtl/>
        </w:rPr>
        <w:footnoteRef/>
      </w:r>
      <w:r>
        <w:rPr>
          <w:sz w:val="20"/>
          <w:szCs w:val="20"/>
          <w:rtl/>
        </w:rPr>
        <w:t>. היא נדפסה עם מהדורת תשכ״ז של ספרו “מיטב הגיון” (“פרקים במחשבת ישראל על יסוד כתבי ר׳ שמשון רפאל הירש”), בהוצאת נצח, בני ברק, עמ׳ שמד. השווה גם הערת השוליים הארוכה בספרו של כץ, “תנועת המוסר”, כרך ה, עמ׳ 31–32.</w:t>
      </w:r>
    </w:p>
  </w:footnote>
  <w:footnote w:id="4300">
    <w:p w14:paraId="113039A4" w14:textId="77777777" w:rsidR="00AB3647" w:rsidRDefault="00000000">
      <w:pPr>
        <w:spacing w:after="0" w:before="0"/>
        <w:jc w:val="both"/>
      </w:pPr>
      <w:r>
        <w:rPr>
          <w:sz w:val="20"/>
          <w:szCs w:val="20"/>
          <w:rtl/>
        </w:rPr>
        <w:footnoteRef/>
      </w:r>
      <w:r>
        <w:rPr>
          <w:sz w:val="20"/>
          <w:szCs w:val="20"/>
          <w:rtl/>
        </w:rPr>
        <w:t>. עמ׳ 328.</w:t>
      </w:r>
    </w:p>
  </w:footnote>
  <w:footnote w:id="4301">
    <w:p w14:paraId="02201070" w14:textId="77777777" w:rsidR="00AB3647" w:rsidRDefault="00000000">
      <w:pPr>
        <w:spacing w:after="0" w:before="0"/>
        <w:jc w:val="both"/>
      </w:pPr>
      <w:r>
        <w:rPr>
          <w:sz w:val="20"/>
          <w:szCs w:val="20"/>
          <w:rtl/>
        </w:rPr>
        <w:footnoteRef/>
      </w:r>
      <w:r>
        <w:rPr>
          <w:sz w:val="20"/>
          <w:szCs w:val="20"/>
          <w:rtl/>
        </w:rPr>
        <w:t xml:space="preserve">. ישעיה </w:t>
      </w:r>
      <w:proofErr w:type="spellStart"/>
      <w:r>
        <w:rPr>
          <w:sz w:val="20"/>
          <w:szCs w:val="20"/>
          <w:rtl/>
        </w:rPr>
        <w:t>כב</w:t>
      </w:r>
      <w:proofErr w:type="spellEnd"/>
      <w:r>
        <w:rPr>
          <w:sz w:val="20"/>
          <w:szCs w:val="20"/>
          <w:rtl/>
        </w:rPr>
        <w:t xml:space="preserve">, </w:t>
      </w:r>
      <w:proofErr w:type="spellStart"/>
      <w:r>
        <w:rPr>
          <w:sz w:val="20"/>
          <w:szCs w:val="20"/>
          <w:rtl/>
        </w:rPr>
        <w:t>טז</w:t>
      </w:r>
      <w:proofErr w:type="spellEnd"/>
      <w:r>
        <w:rPr>
          <w:sz w:val="20"/>
          <w:szCs w:val="20"/>
          <w:rtl/>
        </w:rPr>
        <w:t>.</w:t>
      </w:r>
    </w:p>
  </w:footnote>
  <w:footnote w:id="4302">
    <w:p w14:paraId="23235395" w14:textId="77777777" w:rsidR="00AB3647" w:rsidRDefault="00000000">
      <w:pPr>
        <w:spacing w:after="0" w:before="0"/>
        <w:jc w:val="both"/>
      </w:pPr>
      <w:r>
        <w:rPr>
          <w:sz w:val="20"/>
          <w:szCs w:val="20"/>
          <w:rtl/>
        </w:rPr>
        <w:footnoteRef/>
      </w:r>
      <w:r>
        <w:rPr>
          <w:sz w:val="20"/>
          <w:szCs w:val="20"/>
          <w:rtl/>
        </w:rPr>
        <w:t>. עמ׳ 139–141.</w:t>
      </w:r>
    </w:p>
  </w:footnote>
  <w:footnote w:id="4303">
    <w:p w14:paraId="1D4A4C22" w14:textId="77777777" w:rsidR="00AB3647" w:rsidRDefault="00000000">
      <w:pPr>
        <w:spacing w:after="0" w:before="0"/>
        <w:jc w:val="both"/>
      </w:pPr>
      <w:r>
        <w:rPr>
          <w:sz w:val="20"/>
          <w:szCs w:val="20"/>
          <w:rtl/>
        </w:rPr>
        <w:footnoteRef/>
      </w:r>
      <w:r>
        <w:rPr>
          <w:sz w:val="20"/>
          <w:szCs w:val="20"/>
          <w:rtl/>
        </w:rPr>
        <w:t>. עמ׳ 33.</w:t>
      </w:r>
    </w:p>
  </w:footnote>
  <w:footnote w:id="4304">
    <w:p w14:paraId="46576607" w14:textId="77777777" w:rsidR="00AB3647" w:rsidRDefault="00000000">
      <w:pPr>
        <w:spacing w:after="0" w:before="0"/>
        <w:jc w:val="both"/>
      </w:pPr>
      <w:r>
        <w:rPr>
          <w:sz w:val="20"/>
          <w:szCs w:val="20"/>
          <w:rtl/>
        </w:rPr>
        <w:footnoteRef/>
      </w:r>
      <w:r>
        <w:rPr>
          <w:sz w:val="20"/>
          <w:szCs w:val="20"/>
          <w:rtl/>
        </w:rPr>
        <w:t>. כלומר: לרבות מוסר.</w:t>
      </w:r>
    </w:p>
  </w:footnote>
  <w:footnote w:id="4305">
    <w:p w14:paraId="21F204CB" w14:textId="77777777" w:rsidR="00AB3647" w:rsidRDefault="00000000">
      <w:pPr>
        <w:spacing w:after="0" w:before="0"/>
        <w:jc w:val="both"/>
      </w:pPr>
      <w:r>
        <w:rPr>
          <w:sz w:val="20"/>
          <w:szCs w:val="20"/>
          <w:rtl/>
        </w:rPr>
        <w:footnoteRef/>
      </w:r>
      <w:r>
        <w:rPr>
          <w:sz w:val="20"/>
          <w:szCs w:val="20"/>
          <w:rtl/>
        </w:rPr>
        <w:t>. עמ׳ 140.</w:t>
      </w:r>
    </w:p>
  </w:footnote>
  <w:footnote w:id="4306">
    <w:p w14:paraId="5CAEA8F3" w14:textId="77777777" w:rsidR="00AB3647" w:rsidRDefault="00000000">
      <w:pPr>
        <w:spacing w:after="0" w:before="0"/>
        <w:jc w:val="both"/>
      </w:pPr>
      <w:r>
        <w:rPr>
          <w:sz w:val="20"/>
          <w:szCs w:val="20"/>
          <w:rtl/>
        </w:rPr>
        <w:footnoteRef/>
      </w:r>
      <w:r>
        <w:rPr>
          <w:sz w:val="20"/>
          <w:szCs w:val="20"/>
          <w:rtl/>
        </w:rPr>
        <w:t>. הערה 121 לעיל והערה 127 לעיל.</w:t>
      </w:r>
    </w:p>
  </w:footnote>
  <w:footnote w:id="4307">
    <w:p w14:paraId="33945DE0" w14:textId="77777777" w:rsidR="00AB3647" w:rsidRDefault="00000000">
      <w:pPr>
        <w:spacing w:after="0" w:before="0"/>
        <w:jc w:val="both"/>
      </w:pPr>
      <w:r>
        <w:rPr>
          <w:sz w:val="20"/>
          <w:szCs w:val="20"/>
          <w:rtl/>
        </w:rPr>
        <w:footnoteRef/>
      </w:r>
      <w:r>
        <w:rPr>
          <w:sz w:val="20"/>
          <w:szCs w:val="20"/>
          <w:rtl/>
        </w:rPr>
        <w:t>. בעמ׳ 141.</w:t>
      </w:r>
    </w:p>
  </w:footnote>
  <w:footnote w:id="4308">
    <w:p w14:paraId="5DE22DEB" w14:textId="77777777" w:rsidR="00AB3647" w:rsidRDefault="00000000">
      <w:pPr>
        <w:spacing w:after="0" w:before="0"/>
        <w:jc w:val="both"/>
      </w:pPr>
      <w:r>
        <w:rPr>
          <w:sz w:val="20"/>
          <w:szCs w:val="20"/>
          <w:rtl/>
        </w:rPr>
        <w:footnoteRef/>
      </w:r>
      <w:r>
        <w:rPr>
          <w:sz w:val="20"/>
          <w:szCs w:val="20"/>
          <w:rtl/>
        </w:rPr>
        <w:t xml:space="preserve">. לא ברור לי למה מתכוון </w:t>
      </w:r>
      <w:proofErr w:type="spellStart"/>
      <w:r>
        <w:rPr>
          <w:sz w:val="20"/>
          <w:szCs w:val="20"/>
          <w:rtl/>
        </w:rPr>
        <w:t>שולמן</w:t>
      </w:r>
      <w:proofErr w:type="spellEnd"/>
      <w:r>
        <w:rPr>
          <w:sz w:val="20"/>
          <w:szCs w:val="20"/>
          <w:rtl/>
        </w:rPr>
        <w:t xml:space="preserve"> באמירה זו.</w:t>
      </w:r>
    </w:p>
  </w:footnote>
  <w:footnote w:id="4309">
    <w:p w14:paraId="49087E84" w14:textId="77777777" w:rsidR="00AB3647" w:rsidRDefault="00000000">
      <w:pPr>
        <w:spacing w:after="0" w:before="0"/>
        <w:jc w:val="both"/>
      </w:pPr>
      <w:r>
        <w:rPr>
          <w:sz w:val="20"/>
          <w:szCs w:val="20"/>
          <w:rtl/>
        </w:rPr>
        <w:footnoteRef/>
      </w:r>
      <w:r>
        <w:rPr>
          <w:sz w:val="20"/>
          <w:szCs w:val="20"/>
          <w:rtl/>
        </w:rPr>
        <w:t>. השווה סוף הערה 110 לעיל.</w:t>
      </w:r>
    </w:p>
  </w:footnote>
  <w:footnote w:id="4310">
    <w:p w14:paraId="65EA683D" w14:textId="77777777" w:rsidR="00AB3647" w:rsidRDefault="00000000">
      <w:pPr>
        <w:spacing w:after="0" w:before="0"/>
        <w:jc w:val="both"/>
      </w:pPr>
      <w:r>
        <w:rPr>
          <w:sz w:val="20"/>
          <w:szCs w:val="20"/>
          <w:rtl/>
        </w:rPr>
        <w:footnoteRef/>
      </w:r>
      <w:r>
        <w:rPr>
          <w:sz w:val="20"/>
          <w:szCs w:val="20"/>
          <w:rtl/>
        </w:rPr>
        <w:t xml:space="preserve">. ברור </w:t>
      </w:r>
      <w:proofErr w:type="spellStart"/>
      <w:r>
        <w:rPr>
          <w:sz w:val="20"/>
          <w:szCs w:val="20"/>
          <w:rtl/>
        </w:rPr>
        <w:t>ששולמן</w:t>
      </w:r>
      <w:proofErr w:type="spellEnd"/>
      <w:r>
        <w:rPr>
          <w:sz w:val="20"/>
          <w:szCs w:val="20"/>
          <w:rtl/>
        </w:rPr>
        <w:t xml:space="preserve"> מתכוון </w:t>
      </w:r>
      <w:proofErr w:type="spellStart"/>
      <w:r>
        <w:rPr>
          <w:sz w:val="20"/>
          <w:szCs w:val="20"/>
          <w:rtl/>
        </w:rPr>
        <w:t>לר</w:t>
      </w:r>
      <w:proofErr w:type="spellEnd"/>
      <w:r>
        <w:rPr>
          <w:sz w:val="20"/>
          <w:szCs w:val="20"/>
          <w:rtl/>
        </w:rPr>
        <w:t xml:space="preserve">׳ שמואל </w:t>
      </w:r>
      <w:proofErr w:type="spellStart"/>
      <w:r>
        <w:rPr>
          <w:sz w:val="20"/>
          <w:szCs w:val="20"/>
          <w:rtl/>
        </w:rPr>
        <w:t>פונדילער</w:t>
      </w:r>
      <w:proofErr w:type="spellEnd"/>
      <w:r>
        <w:rPr>
          <w:sz w:val="20"/>
          <w:szCs w:val="20"/>
          <w:rtl/>
        </w:rPr>
        <w:t xml:space="preserve"> – בדרך לעג.</w:t>
      </w:r>
    </w:p>
  </w:footnote>
  <w:footnote w:id="4311">
    <w:p w14:paraId="6CADE7A4" w14:textId="77777777" w:rsidR="00AB3647" w:rsidRDefault="00000000">
      <w:pPr>
        <w:spacing w:after="0" w:before="0"/>
        <w:jc w:val="both"/>
      </w:pPr>
      <w:r>
        <w:rPr>
          <w:sz w:val="20"/>
          <w:szCs w:val="20"/>
          <w:rtl/>
        </w:rPr>
        <w:footnoteRef/>
      </w:r>
      <w:r>
        <w:rPr>
          <w:sz w:val="20"/>
          <w:szCs w:val="20"/>
          <w:rtl/>
        </w:rPr>
        <w:t>. שם.</w:t>
      </w:r>
    </w:p>
  </w:footnote>
  <w:footnote w:id="4312">
    <w:p w14:paraId="669C659A" w14:textId="77777777" w:rsidR="00AB3647" w:rsidRDefault="00000000">
      <w:pPr>
        <w:spacing w:after="0" w:before="0"/>
        <w:jc w:val="both"/>
      </w:pPr>
      <w:r>
        <w:rPr>
          <w:sz w:val="20"/>
          <w:szCs w:val="20"/>
          <w:rtl/>
        </w:rPr>
        <w:footnoteRef/>
      </w:r>
      <w:r>
        <w:rPr>
          <w:sz w:val="20"/>
          <w:szCs w:val="20"/>
          <w:rtl/>
        </w:rPr>
        <w:t xml:space="preserve">. לפי האמור שם, עמ׳ 34, אירע הדבר בשנותיו האחרונות של ר׳ שמואל </w:t>
      </w:r>
      <w:proofErr w:type="spellStart"/>
      <w:r>
        <w:rPr>
          <w:sz w:val="20"/>
          <w:szCs w:val="20"/>
          <w:rtl/>
        </w:rPr>
        <w:t>פונדילער</w:t>
      </w:r>
      <w:proofErr w:type="spellEnd"/>
      <w:r>
        <w:rPr>
          <w:sz w:val="20"/>
          <w:szCs w:val="20"/>
          <w:rtl/>
        </w:rPr>
        <w:t xml:space="preserve"> בתפקיד. אך השווה סוף הפסקה הראשונה של נספח יד לעיל, שבו מוצע הסבר אחר להצלחתו של ר׳ שמואל </w:t>
      </w:r>
      <w:proofErr w:type="spellStart"/>
      <w:r>
        <w:rPr>
          <w:sz w:val="20"/>
          <w:szCs w:val="20"/>
          <w:rtl/>
        </w:rPr>
        <w:t>פונדילער</w:t>
      </w:r>
      <w:proofErr w:type="spellEnd"/>
      <w:r>
        <w:rPr>
          <w:sz w:val="20"/>
          <w:szCs w:val="20"/>
          <w:rtl/>
        </w:rPr>
        <w:t xml:space="preserve"> </w:t>
      </w:r>
      <w:proofErr w:type="spellStart"/>
      <w:r>
        <w:rPr>
          <w:sz w:val="20"/>
          <w:szCs w:val="20"/>
          <w:rtl/>
        </w:rPr>
        <w:t>בטלז</w:t>
      </w:r>
      <w:proofErr w:type="spellEnd"/>
      <w:r>
        <w:rPr>
          <w:sz w:val="20"/>
          <w:szCs w:val="20"/>
          <w:rtl/>
        </w:rPr>
        <w:t xml:space="preserve">. פיטוריו לבסוף בידי ר׳ יוסף לייב בלוך – ראה הפסקה שלפני האחרונה בנספח יד לעיל – נבעו </w:t>
      </w:r>
      <w:proofErr w:type="spellStart"/>
      <w:r>
        <w:rPr>
          <w:sz w:val="20"/>
          <w:szCs w:val="20"/>
          <w:rtl/>
        </w:rPr>
        <w:t>מ“הליכותיו</w:t>
      </w:r>
      <w:proofErr w:type="spellEnd"/>
      <w:r>
        <w:rPr>
          <w:sz w:val="20"/>
          <w:szCs w:val="20"/>
          <w:rtl/>
        </w:rPr>
        <w:t xml:space="preserve"> הנעימות” </w:t>
      </w:r>
      <w:proofErr w:type="spellStart"/>
      <w:r>
        <w:rPr>
          <w:sz w:val="20"/>
          <w:szCs w:val="20"/>
          <w:rtl/>
        </w:rPr>
        <w:t>וכו</w:t>
      </w:r>
      <w:proofErr w:type="spellEnd"/>
      <w:r>
        <w:rPr>
          <w:sz w:val="20"/>
          <w:szCs w:val="20"/>
          <w:rtl/>
        </w:rPr>
        <w:t>׳.</w:t>
      </w:r>
    </w:p>
  </w:footnote>
  <w:footnote w:id="4313">
    <w:p w14:paraId="18F2BBDC" w14:textId="77777777" w:rsidR="00AB3647" w:rsidRDefault="00000000">
      <w:pPr>
        <w:spacing w:after="0" w:before="0"/>
        <w:jc w:val="both"/>
      </w:pPr>
      <w:r>
        <w:rPr>
          <w:sz w:val="20"/>
          <w:szCs w:val="20"/>
          <w:rtl/>
        </w:rPr>
        <w:footnoteRef/>
      </w:r>
      <w:r>
        <w:rPr>
          <w:sz w:val="20"/>
          <w:szCs w:val="20"/>
          <w:rtl/>
        </w:rPr>
        <w:t xml:space="preserve">. פרק 3, הפסקה השלישית של נספח </w:t>
      </w:r>
      <w:proofErr w:type="spellStart"/>
      <w:r>
        <w:rPr>
          <w:sz w:val="20"/>
          <w:szCs w:val="20"/>
          <w:rtl/>
        </w:rPr>
        <w:t>יח</w:t>
      </w:r>
      <w:proofErr w:type="spellEnd"/>
      <w:r>
        <w:rPr>
          <w:sz w:val="20"/>
          <w:szCs w:val="20"/>
          <w:rtl/>
        </w:rPr>
        <w:t>. השווה גם פרק 3, הערה 95.</w:t>
      </w:r>
    </w:p>
  </w:footnote>
  <w:footnote w:id="4314">
    <w:p w14:paraId="331DA484" w14:textId="77777777" w:rsidR="00AB3647" w:rsidRDefault="00000000">
      <w:pPr>
        <w:spacing w:after="0" w:before="0"/>
        <w:jc w:val="both"/>
      </w:pPr>
      <w:r>
        <w:rPr>
          <w:sz w:val="20"/>
          <w:szCs w:val="20"/>
          <w:rtl/>
        </w:rPr>
        <w:footnoteRef/>
      </w:r>
      <w:r>
        <w:rPr>
          <w:sz w:val="20"/>
          <w:szCs w:val="20"/>
          <w:rtl/>
        </w:rPr>
        <w:t>. פרק 3, הפסקה השנייה של נספח לה.</w:t>
      </w:r>
    </w:p>
  </w:footnote>
  <w:footnote w:id="4315">
    <w:p w14:paraId="133D1B45" w14:textId="77777777" w:rsidR="00AB3647" w:rsidRDefault="00000000">
      <w:pPr>
        <w:spacing w:after="0" w:before="0"/>
        <w:jc w:val="both"/>
      </w:pPr>
      <w:r>
        <w:rPr>
          <w:sz w:val="20"/>
          <w:szCs w:val="20"/>
          <w:rtl/>
        </w:rPr>
        <w:footnoteRef/>
      </w:r>
      <w:r>
        <w:rPr>
          <w:sz w:val="20"/>
          <w:szCs w:val="20"/>
          <w:rtl/>
        </w:rPr>
        <w:t>. פרק 3, נספח ח.</w:t>
      </w:r>
    </w:p>
  </w:footnote>
  <w:footnote w:id="4316">
    <w:p w14:paraId="2A4BEC33" w14:textId="77777777" w:rsidR="00AB3647" w:rsidRDefault="00000000">
      <w:pPr>
        <w:spacing w:after="0" w:before="0"/>
        <w:jc w:val="both"/>
      </w:pPr>
      <w:r>
        <w:rPr>
          <w:sz w:val="20"/>
          <w:szCs w:val="20"/>
          <w:rtl/>
        </w:rPr>
        <w:footnoteRef/>
      </w:r>
      <w:r>
        <w:rPr>
          <w:sz w:val="20"/>
          <w:szCs w:val="20"/>
          <w:rtl/>
        </w:rPr>
        <w:t xml:space="preserve">. השווה גם פרק 2, תחילת נספח ה, הערת שוליים </w:t>
      </w:r>
      <w:r>
        <w:rPr>
          <w:sz w:val="20"/>
          <w:szCs w:val="20"/>
          <w:rtl/>
        </w:rPr>
        <w:fldChar w:fldCharType="begin" w:dirty="true"/>
      </w:r>
      <w:r>
        <w:rPr>
          <w:sz w:val="20"/>
          <w:szCs w:val="20"/>
          <w:rtl/>
        </w:rPr>
        <w:instrText xml:space="preserve"> NOTEREF pr_f_931 \h </w:instrText>
      </w:r>
      <w:r>
        <w:rPr>
          <w:sz w:val="20"/>
          <w:szCs w:val="20"/>
          <w:rtl/>
        </w:rPr>
      </w:r>
      <w:r>
        <w:rPr>
          <w:sz w:val="20"/>
          <w:szCs w:val="20"/>
          <w:rtl/>
        </w:rPr>
        <w:fldChar w:fldCharType="separate"/>
      </w:r>
      <w:r w:rsidR="007923E9">
        <w:rPr>
          <w:sz w:val="20"/>
          <w:szCs w:val="20"/>
          <w:rtl/>
        </w:rPr>
        <w:t>562</w:t>
      </w:r>
      <w:r>
        <w:rPr>
          <w:sz w:val="20"/>
          <w:szCs w:val="20"/>
          <w:rtl/>
        </w:rPr>
        <w:fldChar w:fldCharType="end"/>
      </w:r>
      <w:r>
        <w:rPr>
          <w:sz w:val="20"/>
          <w:szCs w:val="20"/>
          <w:rtl/>
        </w:rPr>
        <w:t xml:space="preserve">, על הדעה המיוחסת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וראה הערת שוליים </w:t>
      </w:r>
      <w:r>
        <w:rPr>
          <w:sz w:val="20"/>
          <w:szCs w:val="20"/>
          <w:rtl/>
        </w:rPr>
        <w:fldChar w:fldCharType="begin" w:dirty="true"/>
      </w:r>
      <w:r>
        <w:rPr>
          <w:sz w:val="20"/>
          <w:szCs w:val="20"/>
          <w:rtl/>
        </w:rPr>
        <w:instrText xml:space="preserve"> NOTEREF pr_f_2382 \h </w:instrText>
      </w:r>
      <w:r>
        <w:rPr>
          <w:sz w:val="20"/>
          <w:szCs w:val="20"/>
          <w:rtl/>
        </w:rPr>
      </w:r>
      <w:r>
        <w:rPr>
          <w:sz w:val="20"/>
          <w:szCs w:val="20"/>
          <w:rtl/>
        </w:rPr>
        <w:fldChar w:fldCharType="separate"/>
      </w:r>
      <w:r w:rsidR="007923E9">
        <w:rPr>
          <w:sz w:val="20"/>
          <w:szCs w:val="20"/>
          <w:rtl/>
        </w:rPr>
        <w:t>1428</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pr_f_2382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7">
    <w:p w14:paraId="3DB13AF7" w14:textId="77777777" w:rsidR="00AB3647" w:rsidRDefault="00000000">
      <w:pPr>
        <w:spacing w:after="0" w:before="0"/>
        <w:jc w:val="both"/>
      </w:pPr>
      <w:r>
        <w:rPr>
          <w:sz w:val="20"/>
          <w:szCs w:val="20"/>
          <w:rtl/>
        </w:rPr>
        <w:footnoteRef/>
      </w:r>
      <w:r>
        <w:rPr>
          <w:sz w:val="20"/>
          <w:szCs w:val="20"/>
          <w:rtl/>
        </w:rPr>
        <w:t xml:space="preserve">. הערת שוליים </w:t>
      </w:r>
      <w:r>
        <w:rPr>
          <w:sz w:val="20"/>
          <w:szCs w:val="20"/>
          <w:rtl/>
        </w:rPr>
        <w:fldChar w:fldCharType="begin" w:dirty="true"/>
      </w:r>
      <w:r>
        <w:rPr>
          <w:sz w:val="20"/>
          <w:szCs w:val="20"/>
          <w:rtl/>
        </w:rPr>
        <w:instrText xml:space="preserve"> NOTEREF pr_f_2146 \h </w:instrText>
      </w:r>
      <w:r>
        <w:rPr>
          <w:sz w:val="20"/>
          <w:szCs w:val="20"/>
          <w:rtl/>
        </w:rPr>
      </w:r>
      <w:r>
        <w:rPr>
          <w:sz w:val="20"/>
          <w:szCs w:val="20"/>
          <w:rtl/>
        </w:rPr>
        <w:fldChar w:fldCharType="separate"/>
      </w:r>
      <w:r w:rsidR="007923E9">
        <w:rPr>
          <w:sz w:val="20"/>
          <w:szCs w:val="20"/>
          <w:rtl/>
        </w:rPr>
        <w:t>1192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pr_f_2146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18">
    <w:p w14:paraId="532FF8C9" w14:textId="77777777" w:rsidR="00AB3647" w:rsidRDefault="00000000">
      <w:pPr>
        <w:spacing w:after="0" w:before="0"/>
        <w:jc w:val="both"/>
      </w:pPr>
      <w:r>
        <w:rPr>
          <w:sz w:val="20"/>
          <w:szCs w:val="20"/>
          <w:rtl/>
        </w:rPr>
        <w:footnoteRef/>
      </w:r>
      <w:r>
        <w:rPr>
          <w:sz w:val="20"/>
          <w:szCs w:val="20"/>
          <w:rtl/>
        </w:rPr>
        <w:t>. ריאיון מ־17 בינואר 1988.</w:t>
      </w:r>
    </w:p>
  </w:footnote>
  <w:footnote w:id="4319">
    <w:p w14:paraId="726815C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פיעטרקוב</w:t>
      </w:r>
      <w:proofErr w:type="spellEnd"/>
      <w:r>
        <w:rPr>
          <w:sz w:val="20"/>
          <w:szCs w:val="20"/>
          <w:rtl/>
        </w:rPr>
        <w:t>, תרע״ג – עמ׳ 4 בהקדמה.</w:t>
      </w:r>
    </w:p>
  </w:footnote>
  <w:footnote w:id="4320">
    <w:p w14:paraId="1E195110" w14:textId="77777777" w:rsidR="00AB3647" w:rsidRDefault="00000000">
      <w:pPr>
        <w:spacing w:after="0" w:before="0"/>
        <w:jc w:val="both"/>
      </w:pPr>
      <w:r>
        <w:rPr>
          <w:sz w:val="20"/>
          <w:szCs w:val="20"/>
          <w:rtl/>
        </w:rPr>
        <w:footnoteRef/>
      </w:r>
      <w:r>
        <w:rPr>
          <w:sz w:val="20"/>
          <w:szCs w:val="20"/>
          <w:rtl/>
        </w:rPr>
        <w:t>. נספח ט לעיל – עמ׳ 422.</w:t>
      </w:r>
    </w:p>
  </w:footnote>
  <w:footnote w:id="4321">
    <w:p w14:paraId="4C478264" w14:textId="77777777" w:rsidR="00AB3647" w:rsidRDefault="00000000">
      <w:pPr>
        <w:spacing w:after="0" w:before="0"/>
        <w:jc w:val="both"/>
      </w:pPr>
      <w:r>
        <w:rPr>
          <w:sz w:val="20"/>
          <w:szCs w:val="20"/>
          <w:rtl/>
        </w:rPr>
        <w:footnoteRef/>
      </w:r>
      <w:r>
        <w:rPr>
          <w:sz w:val="20"/>
          <w:szCs w:val="20"/>
          <w:rtl/>
        </w:rPr>
        <w:t>. השווה כרך 3.</w:t>
      </w:r>
    </w:p>
  </w:footnote>
  <w:footnote w:id="4322">
    <w:p w14:paraId="6E621D47" w14:textId="77777777" w:rsidR="00AB3647" w:rsidRDefault="00000000">
      <w:pPr>
        <w:spacing w:after="0" w:before="0"/>
        <w:jc w:val="both"/>
      </w:pPr>
      <w:r>
        <w:rPr>
          <w:sz w:val="20"/>
          <w:szCs w:val="20"/>
          <w:rtl/>
        </w:rPr>
        <w:footnoteRef/>
      </w:r>
      <w:r>
        <w:rPr>
          <w:sz w:val="20"/>
          <w:szCs w:val="20"/>
          <w:rtl/>
        </w:rPr>
        <w:t>. ריאיון מ־2 בפברואר 1992. הריאיון נערך בנוכחות תלמיד מתקופה מוקדמת יותר, ר׳ מרדכי צוקרמן – ראה להלן.</w:t>
      </w:r>
    </w:p>
  </w:footnote>
  <w:footnote w:id="4323">
    <w:p w14:paraId="450A1CA9" w14:textId="77777777" w:rsidR="00AB3647" w:rsidRDefault="00000000">
      <w:pPr>
        <w:spacing w:after="0" w:before="0"/>
        <w:jc w:val="both"/>
      </w:pPr>
      <w:r>
        <w:rPr>
          <w:sz w:val="20"/>
          <w:szCs w:val="20"/>
          <w:rtl/>
        </w:rPr>
        <w:footnoteRef/>
      </w:r>
      <w:r>
        <w:rPr>
          <w:sz w:val="20"/>
          <w:szCs w:val="20"/>
          <w:rtl/>
        </w:rPr>
        <w:t xml:space="preserve">. השווה גם “שמושה של תורה” (הערה 57 לעיל), עמ׳ </w:t>
      </w:r>
      <w:proofErr w:type="spellStart"/>
      <w:r>
        <w:rPr>
          <w:sz w:val="20"/>
          <w:szCs w:val="20"/>
          <w:rtl/>
        </w:rPr>
        <w:t>לז</w:t>
      </w:r>
      <w:proofErr w:type="spellEnd"/>
      <w:r>
        <w:rPr>
          <w:sz w:val="20"/>
          <w:szCs w:val="20"/>
          <w:rtl/>
        </w:rPr>
        <w:t xml:space="preserve">, על יחסו המעניין של ר׳ </w:t>
      </w:r>
      <w:proofErr w:type="spellStart"/>
      <w:r>
        <w:rPr>
          <w:sz w:val="20"/>
          <w:szCs w:val="20"/>
          <w:rtl/>
        </w:rPr>
        <w:t>אלעזר־מנחם־מן</w:t>
      </w:r>
      <w:proofErr w:type="spellEnd"/>
      <w:r>
        <w:rPr>
          <w:sz w:val="20"/>
          <w:szCs w:val="20"/>
          <w:rtl/>
        </w:rPr>
        <w:t xml:space="preserve"> שך להחזקת ספרים שחיבר ר׳ עקיבא איגר.</w:t>
      </w:r>
    </w:p>
  </w:footnote>
  <w:footnote w:id="4324">
    <w:p w14:paraId="2FFA6094" w14:textId="77777777" w:rsidR="00AB3647" w:rsidRDefault="00000000">
      <w:pPr>
        <w:spacing w:after="0" w:before="0"/>
        <w:jc w:val="both"/>
      </w:pPr>
      <w:r>
        <w:rPr>
          <w:sz w:val="20"/>
          <w:szCs w:val="20"/>
          <w:rtl/>
        </w:rPr>
        <w:footnoteRef/>
      </w:r>
      <w:r>
        <w:rPr>
          <w:sz w:val="20"/>
          <w:szCs w:val="20"/>
          <w:rtl/>
        </w:rPr>
        <w:t xml:space="preserve">. הרב באסין היה חבר בבית דינו של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וחתנו ר׳ </w:t>
      </w:r>
      <w:proofErr w:type="spellStart"/>
      <w:r>
        <w:rPr>
          <w:sz w:val="20"/>
          <w:szCs w:val="20"/>
          <w:rtl/>
        </w:rPr>
        <w:t>ישראל־זאב</w:t>
      </w:r>
      <w:proofErr w:type="spellEnd"/>
      <w:r>
        <w:rPr>
          <w:sz w:val="20"/>
          <w:szCs w:val="20"/>
          <w:rtl/>
        </w:rPr>
        <w:t xml:space="preserve"> </w:t>
      </w:r>
      <w:proofErr w:type="spellStart"/>
      <w:r>
        <w:rPr>
          <w:sz w:val="20"/>
          <w:szCs w:val="20"/>
          <w:rtl/>
        </w:rPr>
        <w:t>גוסטמן</w:t>
      </w:r>
      <w:proofErr w:type="spellEnd"/>
      <w:r>
        <w:rPr>
          <w:sz w:val="20"/>
          <w:szCs w:val="20"/>
          <w:rtl/>
        </w:rPr>
        <w:t xml:space="preserve"> ירש את מקומו בתפקיד. ב־5 ביוני 2001 סיפר ר׳ שמחה </w:t>
      </w:r>
      <w:proofErr w:type="spellStart"/>
      <w:r>
        <w:rPr>
          <w:sz w:val="20"/>
          <w:szCs w:val="20"/>
          <w:rtl/>
        </w:rPr>
        <w:t>שיף</w:t>
      </w:r>
      <w:proofErr w:type="spellEnd"/>
      <w:r>
        <w:rPr>
          <w:sz w:val="20"/>
          <w:szCs w:val="20"/>
          <w:rtl/>
        </w:rPr>
        <w:t xml:space="preserve"> שהרב </w:t>
      </w:r>
      <w:proofErr w:type="spellStart"/>
      <w:r>
        <w:rPr>
          <w:sz w:val="20"/>
          <w:szCs w:val="20"/>
          <w:rtl/>
        </w:rPr>
        <w:t>גוסטמן</w:t>
      </w:r>
      <w:proofErr w:type="spellEnd"/>
      <w:r>
        <w:rPr>
          <w:sz w:val="20"/>
          <w:szCs w:val="20"/>
          <w:rtl/>
        </w:rPr>
        <w:t xml:space="preserve"> אמר לו: כשהציעו אותו כשידוך לבת הרב באסין והוא עמד </w:t>
      </w:r>
      <w:proofErr w:type="spellStart"/>
      <w:r>
        <w:rPr>
          <w:sz w:val="20"/>
          <w:szCs w:val="20"/>
          <w:rtl/>
        </w:rPr>
        <w:t>ב“מבחן</w:t>
      </w:r>
      <w:proofErr w:type="spellEnd"/>
      <w:r>
        <w:rPr>
          <w:sz w:val="20"/>
          <w:szCs w:val="20"/>
          <w:rtl/>
        </w:rPr>
        <w:t xml:space="preserve">” של חותנו לעתיד, אמר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שגם הוא צריך לבחון אותו. ר׳ </w:t>
      </w:r>
      <w:proofErr w:type="spellStart"/>
      <w:r>
        <w:rPr>
          <w:sz w:val="20"/>
          <w:szCs w:val="20"/>
          <w:rtl/>
        </w:rPr>
        <w:t>חיים־עוזר</w:t>
      </w:r>
      <w:proofErr w:type="spellEnd"/>
      <w:r>
        <w:rPr>
          <w:sz w:val="20"/>
          <w:szCs w:val="20"/>
          <w:rtl/>
        </w:rPr>
        <w:t xml:space="preserve"> נימק שמי שיהיה חתנו של הרב באסין עתיד לרשת יום אחד את מקומו בבית הדין, ולכן הוא זקוק לאישורו של אב בית הדין – הוא עצמו. אחר כך בחן את ר׳ </w:t>
      </w:r>
      <w:proofErr w:type="spellStart"/>
      <w:r>
        <w:rPr>
          <w:sz w:val="20"/>
          <w:szCs w:val="20"/>
          <w:rtl/>
        </w:rPr>
        <w:t>ישראל־זאב</w:t>
      </w:r>
      <w:proofErr w:type="spellEnd"/>
      <w:r>
        <w:rPr>
          <w:sz w:val="20"/>
          <w:szCs w:val="20"/>
          <w:rtl/>
        </w:rPr>
        <w:t xml:space="preserve"> ארבעה ימים תמימים, דווקא בשולחן ערוך. זמן לא רב אחרי נישואי הרב </w:t>
      </w:r>
      <w:proofErr w:type="spellStart"/>
      <w:r>
        <w:rPr>
          <w:sz w:val="20"/>
          <w:szCs w:val="20"/>
          <w:rtl/>
        </w:rPr>
        <w:t>גוסטמן</w:t>
      </w:r>
      <w:proofErr w:type="spellEnd"/>
      <w:r>
        <w:rPr>
          <w:sz w:val="20"/>
          <w:szCs w:val="20"/>
          <w:rtl/>
        </w:rPr>
        <w:t xml:space="preserve"> נפטר הרב באסין, וחתנו אכן נעשה דיין.</w:t>
      </w:r>
    </w:p>
    <w:p w14:paraId="3357D7CC" w14:textId="77777777" w:rsidR="00AB3647" w:rsidRDefault="00000000">
      <w:pPr>
        <w:spacing w:after="0" w:before="0"/>
        <w:jc w:val="both"/>
      </w:pPr>
      <w:r>
        <w:rPr>
          <w:sz w:val="20"/>
          <w:szCs w:val="20"/>
          <w:rtl/>
        </w:rPr>
        <w:t xml:space="preserve">באותה הזדמנות גילה הרב </w:t>
      </w:r>
      <w:proofErr w:type="spellStart"/>
      <w:r>
        <w:rPr>
          <w:sz w:val="20"/>
          <w:szCs w:val="20"/>
          <w:rtl/>
        </w:rPr>
        <w:t>גוסטמן</w:t>
      </w:r>
      <w:proofErr w:type="spellEnd"/>
      <w:r>
        <w:rPr>
          <w:sz w:val="20"/>
          <w:szCs w:val="20"/>
          <w:rtl/>
        </w:rPr>
        <w:t xml:space="preserve"> שבערב יום הכיפורים היה ר׳ </w:t>
      </w:r>
      <w:proofErr w:type="spellStart"/>
      <w:r>
        <w:rPr>
          <w:sz w:val="20"/>
          <w:szCs w:val="20"/>
          <w:rtl/>
        </w:rPr>
        <w:t>חיים־עוזר</w:t>
      </w:r>
      <w:proofErr w:type="spellEnd"/>
      <w:r>
        <w:rPr>
          <w:sz w:val="20"/>
          <w:szCs w:val="20"/>
          <w:rtl/>
        </w:rPr>
        <w:t xml:space="preserve"> חוזר ועובר על כל הדינים שפסקו בבית הדין בשנה החולפת, כדי לוודא שפסקו כראוי ולא עשקו איש. </w:t>
      </w:r>
      <w:proofErr w:type="spellStart"/>
      <w:r>
        <w:rPr>
          <w:sz w:val="20"/>
          <w:szCs w:val="20"/>
          <w:rtl/>
        </w:rPr>
        <w:t>לר</w:t>
      </w:r>
      <w:proofErr w:type="spellEnd"/>
      <w:r>
        <w:rPr>
          <w:sz w:val="20"/>
          <w:szCs w:val="20"/>
          <w:rtl/>
        </w:rPr>
        <w:t xml:space="preserve">׳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היה זיכרון מופלא – ראה “רב חיים עוזר” (שם, הערת שוליים </w:t>
      </w:r>
      <w:r>
        <w:rPr>
          <w:sz w:val="20"/>
          <w:szCs w:val="20"/>
          <w:rtl/>
        </w:rPr>
        <w:fldChar w:fldCharType="begin" w:dirty="true"/>
      </w:r>
      <w:r>
        <w:rPr>
          <w:sz w:val="20"/>
          <w:szCs w:val="20"/>
          <w:rtl/>
        </w:rPr>
        <w:instrText xml:space="preserve"> NOTEREF pr_f_1685 \h </w:instrText>
      </w:r>
      <w:r>
        <w:rPr>
          <w:sz w:val="20"/>
          <w:szCs w:val="20"/>
          <w:rtl/>
        </w:rPr>
      </w:r>
      <w:r>
        <w:rPr>
          <w:sz w:val="20"/>
          <w:szCs w:val="20"/>
          <w:rtl/>
        </w:rPr>
        <w:fldChar w:fldCharType="separate"/>
      </w:r>
      <w:r w:rsidR="007923E9">
        <w:rPr>
          <w:sz w:val="20"/>
          <w:szCs w:val="20"/>
          <w:rtl/>
        </w:rPr>
        <w:t>732</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pr_f_1685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החלק הראשון של פרק 7 – והוא היה זוכר כל דין לפי התאריך שבו הוכרע. בחדר בית הדין היה שולחן ערוך במאכלים טובים, וכשהפסיק ר׳ </w:t>
      </w:r>
      <w:proofErr w:type="spellStart"/>
      <w:r>
        <w:rPr>
          <w:sz w:val="20"/>
          <w:szCs w:val="20"/>
          <w:rtl/>
        </w:rPr>
        <w:t>חיים־עוזר</w:t>
      </w:r>
      <w:proofErr w:type="spellEnd"/>
      <w:r>
        <w:rPr>
          <w:sz w:val="20"/>
          <w:szCs w:val="20"/>
          <w:rtl/>
        </w:rPr>
        <w:t xml:space="preserve"> </w:t>
      </w:r>
      <w:proofErr w:type="spellStart"/>
      <w:r>
        <w:rPr>
          <w:sz w:val="20"/>
          <w:szCs w:val="20"/>
          <w:rtl/>
        </w:rPr>
        <w:t>גרודזנסקי</w:t>
      </w:r>
      <w:proofErr w:type="spellEnd"/>
      <w:r>
        <w:rPr>
          <w:sz w:val="20"/>
          <w:szCs w:val="20"/>
          <w:rtl/>
        </w:rPr>
        <w:t xml:space="preserve"> את הישיבה כדי להוציא ספר מן המדפים, היה אומר לדיינים: “אכלו משהו; מצווה לאכול היום”. עוד אמר הרב </w:t>
      </w:r>
      <w:proofErr w:type="spellStart"/>
      <w:r>
        <w:rPr>
          <w:sz w:val="20"/>
          <w:szCs w:val="20"/>
          <w:rtl/>
        </w:rPr>
        <w:t>גוסטמן</w:t>
      </w:r>
      <w:proofErr w:type="spellEnd"/>
      <w:r>
        <w:rPr>
          <w:sz w:val="20"/>
          <w:szCs w:val="20"/>
          <w:rtl/>
        </w:rPr>
        <w:t xml:space="preserve">: “פני ר׳ </w:t>
      </w:r>
      <w:proofErr w:type="spellStart"/>
      <w:r>
        <w:rPr>
          <w:sz w:val="20"/>
          <w:szCs w:val="20"/>
          <w:rtl/>
        </w:rPr>
        <w:t>חיים־עוזר</w:t>
      </w:r>
      <w:proofErr w:type="spellEnd"/>
      <w:r>
        <w:rPr>
          <w:sz w:val="20"/>
          <w:szCs w:val="20"/>
          <w:rtl/>
        </w:rPr>
        <w:t xml:space="preserve"> נראו אחרים בערב יום הכיפורים, קורנים בטהרה – התקשיתי להכירו באותו יום. פעם ביקש ממני רבי, ר׳ שמעון </w:t>
      </w:r>
      <w:proofErr w:type="spellStart"/>
      <w:r>
        <w:rPr>
          <w:sz w:val="20"/>
          <w:szCs w:val="20"/>
          <w:rtl/>
        </w:rPr>
        <w:t>שקופ</w:t>
      </w:r>
      <w:proofErr w:type="spellEnd"/>
      <w:r>
        <w:rPr>
          <w:sz w:val="20"/>
          <w:szCs w:val="20"/>
          <w:rtl/>
        </w:rPr>
        <w:t xml:space="preserve">, לנסות להכניס אותו לחדר בית הדין כדי לראות כיצד נראה ר׳ </w:t>
      </w:r>
      <w:proofErr w:type="spellStart"/>
      <w:r>
        <w:rPr>
          <w:sz w:val="20"/>
          <w:szCs w:val="20"/>
          <w:rtl/>
        </w:rPr>
        <w:t>חיים־עוזר</w:t>
      </w:r>
      <w:proofErr w:type="spellEnd"/>
      <w:r>
        <w:rPr>
          <w:sz w:val="20"/>
          <w:szCs w:val="20"/>
          <w:rtl/>
        </w:rPr>
        <w:t>, אך לא הצלחתי”.</w:t>
      </w:r>
    </w:p>
  </w:footnote>
  <w:footnote w:id="4325">
    <w:p w14:paraId="4BFE7245" w14:textId="77777777" w:rsidR="00AB3647" w:rsidRDefault="00000000">
      <w:pPr>
        <w:spacing w:after="0" w:before="0"/>
        <w:jc w:val="both"/>
      </w:pPr>
      <w:r>
        <w:rPr>
          <w:sz w:val="20"/>
          <w:szCs w:val="20"/>
          <w:rtl/>
        </w:rPr>
        <w:footnoteRef/>
      </w:r>
      <w:r>
        <w:rPr>
          <w:sz w:val="20"/>
          <w:szCs w:val="20"/>
          <w:rtl/>
        </w:rPr>
        <w:t>. פרק 1, הערה 77.</w:t>
      </w:r>
    </w:p>
  </w:footnote>
  <w:footnote w:id="4326">
    <w:p w14:paraId="7B728DA4" w14:textId="77777777" w:rsidR="00AB3647" w:rsidRDefault="00000000">
      <w:pPr>
        <w:spacing w:after="0" w:before="0"/>
        <w:jc w:val="both"/>
      </w:pPr>
      <w:r>
        <w:rPr>
          <w:sz w:val="20"/>
          <w:szCs w:val="20"/>
          <w:rtl/>
        </w:rPr>
        <w:footnoteRef/>
      </w:r>
      <w:r>
        <w:rPr>
          <w:sz w:val="20"/>
          <w:szCs w:val="20"/>
          <w:rtl/>
        </w:rPr>
        <w:t>. ראה תחילת הפסקה השישית של נספח ט לעיל.</w:t>
      </w:r>
    </w:p>
  </w:footnote>
  <w:footnote w:id="4327">
    <w:p w14:paraId="74B0BED7" w14:textId="77777777" w:rsidR="00AB3647" w:rsidRDefault="00000000">
      <w:pPr>
        <w:spacing w:after="0" w:before="0"/>
        <w:jc w:val="both"/>
      </w:pPr>
      <w:r>
        <w:rPr>
          <w:sz w:val="20"/>
          <w:szCs w:val="20"/>
          <w:rtl/>
        </w:rPr>
        <w:footnoteRef/>
      </w:r>
      <w:r>
        <w:rPr>
          <w:sz w:val="20"/>
          <w:szCs w:val="20"/>
          <w:rtl/>
        </w:rPr>
        <w:t>. ריאיון מ־5 באוקטובר 2000.</w:t>
      </w:r>
    </w:p>
  </w:footnote>
  <w:footnote w:id="4328">
    <w:p w14:paraId="3B963E75" w14:textId="77777777" w:rsidR="00AB3647" w:rsidRDefault="00000000">
      <w:pPr>
        <w:spacing w:after="0" w:before="0"/>
        <w:jc w:val="both"/>
      </w:pPr>
      <w:r>
        <w:rPr>
          <w:sz w:val="20"/>
          <w:szCs w:val="20"/>
          <w:rtl/>
        </w:rPr>
        <w:footnoteRef/>
      </w:r>
      <w:r>
        <w:rPr>
          <w:sz w:val="20"/>
          <w:szCs w:val="20"/>
          <w:rtl/>
        </w:rPr>
        <w:t xml:space="preserve">. ראה פרק 5, הפסקה השישית של נספח ב להלן, ובהערת השוליים שם על המעשה שסיפר ר׳ שלמה לורנץ על ר׳ </w:t>
      </w:r>
      <w:proofErr w:type="spellStart"/>
      <w:r>
        <w:rPr>
          <w:sz w:val="20"/>
          <w:szCs w:val="20"/>
          <w:rtl/>
        </w:rPr>
        <w:t>אליהו־ברוך</w:t>
      </w:r>
      <w:proofErr w:type="spellEnd"/>
      <w:r>
        <w:rPr>
          <w:sz w:val="20"/>
          <w:szCs w:val="20"/>
          <w:rtl/>
        </w:rPr>
        <w:t xml:space="preserve"> קמאי </w:t>
      </w:r>
      <w:proofErr w:type="spellStart"/>
      <w:r>
        <w:rPr>
          <w:sz w:val="20"/>
          <w:szCs w:val="20"/>
          <w:rtl/>
        </w:rPr>
        <w:t>במיר</w:t>
      </w:r>
      <w:proofErr w:type="spellEnd"/>
      <w:r>
        <w:rPr>
          <w:sz w:val="20"/>
          <w:szCs w:val="20"/>
          <w:rtl/>
        </w:rPr>
        <w:t>.</w:t>
      </w:r>
    </w:p>
  </w:footnote>
  <w:footnote w:id="4329">
    <w:p w14:paraId="0DE6EE31" w14:textId="77777777" w:rsidR="00AB3647" w:rsidRDefault="00000000">
      <w:pPr>
        <w:spacing w:after="0" w:before="0"/>
        <w:jc w:val="both"/>
      </w:pPr>
      <w:r>
        <w:rPr>
          <w:sz w:val="20"/>
          <w:szCs w:val="20"/>
          <w:rtl/>
        </w:rPr>
        <w:footnoteRef/>
      </w:r>
      <w:r>
        <w:rPr>
          <w:sz w:val="20"/>
          <w:szCs w:val="20"/>
          <w:rtl/>
        </w:rPr>
        <w:t>. המרואיין קשר יחס זה של רב לתלמידיו לדברים רבה ז, ח, שבו נאמר שרבי יהודה הנשיא לא התחיל בשיעורו עד שהתאספו כל התלמידים – עד האחרון.</w:t>
      </w:r>
    </w:p>
  </w:footnote>
  <w:footnote w:id="4330">
    <w:p w14:paraId="6F4C7F8D" w14:textId="77777777" w:rsidR="00AB3647" w:rsidRDefault="00000000">
      <w:pPr>
        <w:spacing w:after="0" w:before="0"/>
        <w:jc w:val="both"/>
      </w:pPr>
      <w:r>
        <w:rPr>
          <w:sz w:val="20"/>
          <w:szCs w:val="20"/>
          <w:rtl/>
        </w:rPr>
        <w:footnoteRef/>
      </w:r>
      <w:r>
        <w:rPr>
          <w:sz w:val="20"/>
          <w:szCs w:val="20"/>
          <w:rtl/>
        </w:rPr>
        <w:t>. פרק 1, הערה 71.</w:t>
      </w:r>
    </w:p>
  </w:footnote>
  <w:footnote w:id="4331">
    <w:p w14:paraId="64C63570" w14:textId="77777777" w:rsidR="00AB3647" w:rsidRDefault="00000000">
      <w:pPr>
        <w:spacing w:after="0" w:before="0"/>
        <w:jc w:val="both"/>
      </w:pPr>
      <w:r>
        <w:rPr>
          <w:sz w:val="20"/>
          <w:szCs w:val="20"/>
          <w:rtl/>
        </w:rPr>
        <w:footnoteRef/>
      </w:r>
      <w:r>
        <w:rPr>
          <w:sz w:val="20"/>
          <w:szCs w:val="20"/>
          <w:rtl/>
        </w:rPr>
        <w:t xml:space="preserve">. המעשה מובא גם </w:t>
      </w:r>
      <w:proofErr w:type="spellStart"/>
      <w:r>
        <w:rPr>
          <w:sz w:val="20"/>
          <w:szCs w:val="20"/>
          <w:rtl/>
        </w:rPr>
        <w:t>ב“רב</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(שניהם נזכרו לעיל בפסקה השלישית של נספח י), עמ׳ 195–196 ועמ׳ 259, בהתאמה.</w:t>
      </w:r>
    </w:p>
  </w:footnote>
  <w:footnote w:id="4332">
    <w:p w14:paraId="22FCF536" w14:textId="77777777" w:rsidR="00AB3647" w:rsidRDefault="00000000">
      <w:pPr>
        <w:spacing w:after="0" w:before="0"/>
        <w:jc w:val="both"/>
      </w:pPr>
      <w:r>
        <w:rPr>
          <w:sz w:val="20"/>
          <w:szCs w:val="20"/>
          <w:rtl/>
        </w:rPr>
        <w:footnoteRef/>
      </w:r>
      <w:r>
        <w:rPr>
          <w:sz w:val="20"/>
          <w:szCs w:val="20"/>
          <w:rtl/>
        </w:rPr>
        <w:t>. השווה פרק 2, הפסקה השנייה ותחילת הפסקה הרביעית של נספח א.</w:t>
      </w:r>
    </w:p>
  </w:footnote>
  <w:footnote w:id="4333">
    <w:p w14:paraId="5D57E531" w14:textId="77777777" w:rsidR="00AB3647" w:rsidRDefault="00000000">
      <w:pPr>
        <w:spacing w:after="0" w:before="0"/>
        <w:jc w:val="both"/>
      </w:pPr>
      <w:r>
        <w:rPr>
          <w:sz w:val="20"/>
          <w:szCs w:val="20"/>
          <w:rtl/>
        </w:rPr>
        <w:footnoteRef/>
      </w:r>
      <w:r>
        <w:rPr>
          <w:sz w:val="20"/>
          <w:szCs w:val="20"/>
          <w:rtl/>
        </w:rPr>
        <w:t xml:space="preserve">. ירושלם, שנת “לא יקום חרם ונידוי </w:t>
      </w:r>
      <w:proofErr w:type="spellStart"/>
      <w:r>
        <w:rPr>
          <w:sz w:val="20"/>
          <w:szCs w:val="20"/>
          <w:rtl/>
        </w:rPr>
        <w:t>במחניך</w:t>
      </w:r>
      <w:proofErr w:type="spellEnd"/>
      <w:r>
        <w:rPr>
          <w:sz w:val="20"/>
          <w:szCs w:val="20"/>
          <w:rtl/>
        </w:rPr>
        <w:t xml:space="preserve">” לפ״ק (תרנ״א). בשער ניתנת שנת ההוצאה בגימטרייה, </w:t>
      </w:r>
      <w:proofErr w:type="spellStart"/>
      <w:r>
        <w:rPr>
          <w:sz w:val="20"/>
          <w:szCs w:val="20"/>
          <w:rtl/>
        </w:rPr>
        <w:t>ו“ונדוי</w:t>
      </w:r>
      <w:proofErr w:type="spellEnd"/>
      <w:r>
        <w:rPr>
          <w:sz w:val="20"/>
          <w:szCs w:val="20"/>
          <w:rtl/>
        </w:rPr>
        <w:t xml:space="preserve">” נכתב שם בלי יו״ד אחרי הנו״ן – ולפי זה יוצאת שנת תרמ״א. אי אפשר לקבל שנה זו, שהרי החרם [המחודש] של ר׳ </w:t>
      </w:r>
      <w:proofErr w:type="spellStart"/>
      <w:r>
        <w:rPr>
          <w:sz w:val="20"/>
          <w:szCs w:val="20"/>
          <w:rtl/>
        </w:rPr>
        <w:t>יהושע־לייב</w:t>
      </w:r>
      <w:proofErr w:type="spellEnd"/>
      <w:r>
        <w:rPr>
          <w:sz w:val="20"/>
          <w:szCs w:val="20"/>
          <w:rtl/>
        </w:rPr>
        <w:t xml:space="preserve"> דיסקין על לימוד לשונות זרות, שר׳ </w:t>
      </w:r>
      <w:proofErr w:type="spellStart"/>
      <w:r>
        <w:rPr>
          <w:sz w:val="20"/>
          <w:szCs w:val="20"/>
          <w:rtl/>
        </w:rPr>
        <w:t>דוד׳ל</w:t>
      </w:r>
      <w:proofErr w:type="spellEnd"/>
      <w:r>
        <w:rPr>
          <w:sz w:val="20"/>
          <w:szCs w:val="20"/>
          <w:rtl/>
        </w:rPr>
        <w:t xml:space="preserve"> התנגד לו, לא הוכרז עד תרמ״ט. לפיכך קיבלתי את הגימטרייה שבסיום הקונטרס, שבו נכתבת המילה ביו״ד. אולם גם את הסיום אנו נאלצים לתקן: נאמר שם “אלה דברי החותם ביום שני, כ״ז באב תרמ״א...”, והשנה המפורשת, המודגשת כאן, נכתבה שלא כהלכה. [כ״ז באב חל ביום שני הן </w:t>
      </w:r>
      <w:proofErr w:type="spellStart"/>
      <w:r>
        <w:rPr>
          <w:sz w:val="20"/>
          <w:szCs w:val="20"/>
          <w:rtl/>
        </w:rPr>
        <w:t>בתרמ״א</w:t>
      </w:r>
      <w:proofErr w:type="spellEnd"/>
      <w:r>
        <w:rPr>
          <w:sz w:val="20"/>
          <w:szCs w:val="20"/>
          <w:rtl/>
        </w:rPr>
        <w:t xml:space="preserve"> והן </w:t>
      </w:r>
      <w:proofErr w:type="spellStart"/>
      <w:r>
        <w:rPr>
          <w:sz w:val="20"/>
          <w:szCs w:val="20"/>
          <w:rtl/>
        </w:rPr>
        <w:t>בתרנ״א</w:t>
      </w:r>
      <w:proofErr w:type="spellEnd"/>
      <w:r>
        <w:rPr>
          <w:sz w:val="20"/>
          <w:szCs w:val="20"/>
          <w:rtl/>
        </w:rPr>
        <w:t>.]</w:t>
      </w:r>
    </w:p>
  </w:footnote>
  <w:footnote w:id="4334">
    <w:p w14:paraId="10007B12" w14:textId="77777777" w:rsidR="00AB3647" w:rsidRDefault="00000000">
      <w:pPr>
        <w:spacing w:after="0" w:before="0"/>
        <w:jc w:val="both"/>
      </w:pPr>
      <w:r>
        <w:rPr>
          <w:sz w:val="20"/>
          <w:szCs w:val="20"/>
          <w:rtl/>
        </w:rPr>
        <w:footnoteRef/>
      </w:r>
      <w:r>
        <w:rPr>
          <w:sz w:val="20"/>
          <w:szCs w:val="20"/>
          <w:rtl/>
        </w:rPr>
        <w:t>. הערה 96 לעיל – עמ׳ 95.</w:t>
      </w:r>
    </w:p>
  </w:footnote>
  <w:footnote w:id="4335">
    <w:p w14:paraId="7D7E1516" w14:textId="77777777" w:rsidR="00AB3647" w:rsidRDefault="00000000">
      <w:pPr>
        <w:spacing w:after="0" w:before="0"/>
        <w:jc w:val="both"/>
      </w:pPr>
      <w:r>
        <w:rPr>
          <w:sz w:val="20"/>
          <w:szCs w:val="20"/>
          <w:rtl/>
        </w:rPr>
        <w:footnoteRef/>
      </w:r>
      <w:r>
        <w:rPr>
          <w:sz w:val="20"/>
          <w:szCs w:val="20"/>
          <w:rtl/>
        </w:rPr>
        <w:t>. הפסקה הרביעית של נספח ט לעיל – עמ׳ 172.</w:t>
      </w:r>
    </w:p>
  </w:footnote>
  <w:footnote w:id="4336">
    <w:p w14:paraId="68FBEBFE" w14:textId="77777777" w:rsidR="00AB3647" w:rsidRDefault="00000000">
      <w:pPr>
        <w:spacing w:after="0" w:before="0"/>
        <w:jc w:val="both"/>
      </w:pPr>
      <w:r>
        <w:rPr>
          <w:sz w:val="20"/>
          <w:szCs w:val="20"/>
          <w:rtl/>
        </w:rPr>
        <w:footnoteRef/>
      </w:r>
      <w:r>
        <w:rPr>
          <w:sz w:val="20"/>
          <w:szCs w:val="20"/>
          <w:rtl/>
        </w:rPr>
        <w:t xml:space="preserve">. ראה “שמואל בדורו” (עמ׳ </w:t>
      </w:r>
      <w:r>
        <w:rPr>
          <w:sz w:val="20"/>
          <w:szCs w:val="20"/>
          <w:rtl/>
        </w:rPr>
        <w:fldChar w:fldCharType="begin" w:dirty="true"/>
      </w:r>
      <w:r>
        <w:rPr>
          <w:sz w:val="20"/>
          <w:szCs w:val="20"/>
          <w:rtl/>
        </w:rPr>
        <w:instrText xml:space="preserve"> PAGEREF pr_f_3727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pr_f_3727 \h </w:instrText>
      </w:r>
      <w:r>
        <w:rPr>
          <w:sz w:val="20"/>
          <w:szCs w:val="20"/>
          <w:rtl/>
        </w:rPr>
      </w:r>
      <w:r>
        <w:rPr>
          <w:sz w:val="20"/>
          <w:szCs w:val="20"/>
          <w:rtl/>
        </w:rPr>
        <w:fldChar w:fldCharType="separate"/>
      </w:r>
      <w:r w:rsidR="007923E9">
        <w:rPr>
          <w:sz w:val="20"/>
          <w:szCs w:val="20"/>
          <w:rtl/>
        </w:rPr>
        <w:t>804</w:t>
      </w:r>
      <w:r>
        <w:rPr>
          <w:sz w:val="20"/>
          <w:szCs w:val="20"/>
          <w:rtl/>
        </w:rPr>
        <w:fldChar w:fldCharType="end"/>
      </w:r>
      <w:r>
        <w:rPr>
          <w:sz w:val="20"/>
          <w:szCs w:val="20"/>
          <w:rtl/>
        </w:rPr>
        <w:t xml:space="preserve">), עמ׳ ה: כעבור חמש שנים, כשהיה ר׳ </w:t>
      </w:r>
      <w:proofErr w:type="spellStart"/>
      <w:r>
        <w:rPr>
          <w:sz w:val="20"/>
          <w:szCs w:val="20"/>
          <w:rtl/>
        </w:rPr>
        <w:t>דוד׳ל</w:t>
      </w:r>
      <w:proofErr w:type="spellEnd"/>
      <w:r>
        <w:rPr>
          <w:sz w:val="20"/>
          <w:szCs w:val="20"/>
          <w:rtl/>
        </w:rPr>
        <w:t xml:space="preserve"> בן </w:t>
      </w:r>
      <w:proofErr w:type="spellStart"/>
      <w:r>
        <w:rPr>
          <w:sz w:val="20"/>
          <w:szCs w:val="20"/>
          <w:rtl/>
        </w:rPr>
        <w:t>ארבע־עשרה</w:t>
      </w:r>
      <w:proofErr w:type="spellEnd"/>
      <w:r>
        <w:rPr>
          <w:sz w:val="20"/>
          <w:szCs w:val="20"/>
          <w:rtl/>
        </w:rPr>
        <w:t xml:space="preserve">, ניסה [שוב] לפרק את דרשתו של אורח אחר, ר׳ שמואל </w:t>
      </w:r>
      <w:proofErr w:type="spellStart"/>
      <w:r>
        <w:rPr>
          <w:sz w:val="20"/>
          <w:szCs w:val="20"/>
          <w:rtl/>
        </w:rPr>
        <w:t>סלנט</w:t>
      </w:r>
      <w:proofErr w:type="spellEnd"/>
      <w:r>
        <w:rPr>
          <w:sz w:val="20"/>
          <w:szCs w:val="20"/>
          <w:rtl/>
        </w:rPr>
        <w:t xml:space="preserve"> (הפעם ללא הצלחה); אבל באותו מקרה הוזמן הקהל במיוחד לדון בפלפול עם הדורש. השווה גם </w:t>
      </w:r>
      <w:proofErr w:type="spellStart"/>
      <w:r>
        <w:rPr>
          <w:sz w:val="20"/>
          <w:szCs w:val="20"/>
          <w:rtl/>
        </w:rPr>
        <w:t>רבינר</w:t>
      </w:r>
      <w:proofErr w:type="spellEnd"/>
      <w:r>
        <w:rPr>
          <w:sz w:val="20"/>
          <w:szCs w:val="20"/>
          <w:rtl/>
        </w:rPr>
        <w:t xml:space="preserve">, “רבינו מאיר שמחה הכהן” (הערה 131 לעיל), עמ׳ לג, על תגובתו של ר׳ </w:t>
      </w:r>
      <w:proofErr w:type="spellStart"/>
      <w:r>
        <w:rPr>
          <w:sz w:val="20"/>
          <w:szCs w:val="20"/>
          <w:rtl/>
        </w:rPr>
        <w:t>מאיר־שמחה</w:t>
      </w:r>
      <w:proofErr w:type="spellEnd"/>
      <w:r>
        <w:rPr>
          <w:sz w:val="20"/>
          <w:szCs w:val="20"/>
          <w:rtl/>
        </w:rPr>
        <w:t xml:space="preserve"> לשאלה מביכה באמצע דרשתו. וגם עיין פי׳ הערוך על סמכוני באשישות בערך סמך ועל עורבא פרח בערך ערב. השווה גם הפסקה השלישית מן הסוף בסעיף זה של “הטקסט”, על תגובתו של ר׳ לייזר גורדון להתקפות באמצע שיעורו, והפסקה הרביעית מן הסוף בפרק 3.2, על המנהג ב[מקצת] הישיבות לשאול שאלות באמצע שיעורו הפומבי של ראש הישיבה.</w:t>
      </w:r>
    </w:p>
  </w:footnote>
  <w:footnote w:id="4337">
    <w:p w14:paraId="23996AFB" w14:textId="77777777" w:rsidR="00AB3647" w:rsidRDefault="00000000">
      <w:pPr>
        <w:spacing w:after="0" w:before="0"/>
        <w:jc w:val="both"/>
      </w:pPr>
      <w:r>
        <w:rPr>
          <w:sz w:val="20"/>
          <w:szCs w:val="20"/>
          <w:rtl/>
        </w:rPr>
        <w:footnoteRef/>
      </w:r>
      <w:r>
        <w:rPr>
          <w:sz w:val="20"/>
          <w:szCs w:val="20"/>
          <w:rtl/>
        </w:rPr>
        <w:t>. ריאיון מ־5 בפברואר 1988.</w:t>
      </w:r>
    </w:p>
  </w:footnote>
  <w:footnote w:id="4338">
    <w:p w14:paraId="4FA9F4C0" w14:textId="77777777" w:rsidR="00AB3647" w:rsidRDefault="00000000">
      <w:pPr>
        <w:spacing w:after="0" w:before="0"/>
        <w:jc w:val="both"/>
      </w:pPr>
      <w:r>
        <w:rPr>
          <w:sz w:val="20"/>
          <w:szCs w:val="20"/>
          <w:rtl/>
        </w:rPr>
        <w:footnoteRef/>
      </w:r>
      <w:r>
        <w:rPr>
          <w:sz w:val="20"/>
          <w:szCs w:val="20"/>
          <w:rtl/>
        </w:rPr>
        <w:t xml:space="preserve">. השווה פרק 2, תחילת הערה 35, לגרסה המבטאת את אמונתו של ר׳ חיים </w:t>
      </w:r>
      <w:proofErr w:type="spellStart"/>
      <w:r>
        <w:rPr>
          <w:sz w:val="20"/>
          <w:szCs w:val="20"/>
          <w:rtl/>
        </w:rPr>
        <w:t>מוולוז׳ין</w:t>
      </w:r>
      <w:proofErr w:type="spellEnd"/>
      <w:r>
        <w:rPr>
          <w:sz w:val="20"/>
          <w:szCs w:val="20"/>
          <w:rtl/>
        </w:rPr>
        <w:t xml:space="preserve"> עצמו בברכת גדול שקדם לו.</w:t>
      </w:r>
    </w:p>
  </w:footnote>
  <w:footnote w:id="4339">
    <w:p w14:paraId="461F5439" w14:textId="77777777" w:rsidR="00AB3647" w:rsidRDefault="00000000">
      <w:pPr>
        <w:spacing w:after="0" w:before="0"/>
        <w:jc w:val="both"/>
      </w:pPr>
      <w:r>
        <w:rPr>
          <w:sz w:val="20"/>
          <w:szCs w:val="20"/>
          <w:rtl/>
        </w:rPr>
        <w:footnoteRef/>
      </w:r>
      <w:r>
        <w:rPr>
          <w:sz w:val="20"/>
          <w:szCs w:val="20"/>
          <w:rtl/>
        </w:rPr>
        <w:t>. ראה הערה 152 לעיל.</w:t>
      </w:r>
    </w:p>
  </w:footnote>
  <w:footnote w:id="4340">
    <w:p w14:paraId="3AEEECD1" w14:textId="77777777" w:rsidR="00AB3647" w:rsidRDefault="00000000">
      <w:pPr>
        <w:spacing w:after="0" w:before="0"/>
        <w:jc w:val="both"/>
      </w:pPr>
      <w:r>
        <w:rPr>
          <w:sz w:val="20"/>
          <w:szCs w:val="20"/>
          <w:rtl/>
        </w:rPr>
        <w:footnoteRef/>
      </w:r>
      <w:r>
        <w:rPr>
          <w:sz w:val="20"/>
          <w:szCs w:val="20"/>
          <w:rtl/>
        </w:rPr>
        <w:t>. האחרים היו ר׳ יחיאל, ר׳ מאיר ור׳ יהושע (השווה פרק 2, הערה 17).</w:t>
      </w:r>
    </w:p>
  </w:footnote>
  <w:footnote w:id="4341">
    <w:p w14:paraId="7AFFED28" w14:textId="77777777" w:rsidR="00AB3647" w:rsidRDefault="00000000">
      <w:pPr>
        <w:spacing w:after="0" w:before="0"/>
        <w:jc w:val="both"/>
      </w:pPr>
      <w:r>
        <w:rPr>
          <w:sz w:val="20"/>
          <w:szCs w:val="20"/>
          <w:rtl/>
        </w:rPr>
        <w:footnoteRef/>
      </w:r>
      <w:r>
        <w:rPr>
          <w:sz w:val="20"/>
          <w:szCs w:val="20"/>
          <w:rtl/>
        </w:rPr>
        <w:t xml:space="preserve">. “נחלת ישראל” (נדפס בידי נכדו חמישים וחמש שנה לאחר פטירתו, </w:t>
      </w:r>
      <w:proofErr w:type="spellStart"/>
      <w:r>
        <w:rPr>
          <w:sz w:val="20"/>
          <w:szCs w:val="20"/>
          <w:rtl/>
        </w:rPr>
        <w:t>פיעטרקוב</w:t>
      </w:r>
      <w:proofErr w:type="spellEnd"/>
      <w:r>
        <w:rPr>
          <w:sz w:val="20"/>
          <w:szCs w:val="20"/>
          <w:rtl/>
        </w:rPr>
        <w:t xml:space="preserve">, תרס״ט) – מס׳ </w:t>
      </w:r>
      <w:proofErr w:type="spellStart"/>
      <w:r>
        <w:rPr>
          <w:sz w:val="20"/>
          <w:szCs w:val="20"/>
          <w:rtl/>
        </w:rPr>
        <w:t>ב״מ</w:t>
      </w:r>
      <w:proofErr w:type="spellEnd"/>
      <w:r>
        <w:rPr>
          <w:sz w:val="20"/>
          <w:szCs w:val="20"/>
          <w:rtl/>
        </w:rPr>
        <w:t xml:space="preserve">, ד׳ ע״א. דרך לימוד התלמוד שבו דומה לזו של ר׳ </w:t>
      </w:r>
      <w:proofErr w:type="spellStart"/>
      <w:r>
        <w:rPr>
          <w:sz w:val="20"/>
          <w:szCs w:val="20"/>
          <w:rtl/>
        </w:rPr>
        <w:t>דוד־טעביל</w:t>
      </w:r>
      <w:proofErr w:type="spellEnd"/>
      <w:r>
        <w:rPr>
          <w:sz w:val="20"/>
          <w:szCs w:val="20"/>
          <w:rtl/>
        </w:rPr>
        <w:t>!</w:t>
      </w:r>
    </w:p>
  </w:footnote>
  <w:footnote w:id="4342">
    <w:p w14:paraId="473A1290" w14:textId="77777777" w:rsidR="00AB3647" w:rsidRDefault="00000000">
      <w:pPr>
        <w:spacing w:after="0" w:before="0"/>
        <w:jc w:val="both"/>
      </w:pPr>
      <w:r>
        <w:rPr>
          <w:sz w:val="20"/>
          <w:szCs w:val="20"/>
          <w:rtl/>
        </w:rPr>
        <w:footnoteRef/>
      </w:r>
      <w:r>
        <w:rPr>
          <w:sz w:val="20"/>
          <w:szCs w:val="20"/>
          <w:rtl/>
        </w:rPr>
        <w:t xml:space="preserve">. הוא היה בנו של מייסד הישיבה, ר׳ שמואל </w:t>
      </w:r>
      <w:proofErr w:type="spellStart"/>
      <w:r>
        <w:rPr>
          <w:sz w:val="20"/>
          <w:szCs w:val="20"/>
          <w:rtl/>
        </w:rPr>
        <w:t>טיקטינסקי</w:t>
      </w:r>
      <w:proofErr w:type="spellEnd"/>
      <w:r>
        <w:rPr>
          <w:sz w:val="20"/>
          <w:szCs w:val="20"/>
          <w:rtl/>
        </w:rPr>
        <w:t>.</w:t>
      </w:r>
    </w:p>
  </w:footnote>
  <w:footnote w:id="4343">
    <w:p w14:paraId="19E7020B"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ב“סערת</w:t>
      </w:r>
      <w:proofErr w:type="spellEnd"/>
      <w:r>
        <w:rPr>
          <w:sz w:val="20"/>
          <w:szCs w:val="20"/>
          <w:rtl/>
        </w:rPr>
        <w:t xml:space="preserve"> קולמוס הלב” (שם, פרק 3, סוף הפסקה השנייה של נספח כה), עמ׳ פג–פד, הובא מה שר׳ אברהם </w:t>
      </w:r>
      <w:proofErr w:type="spellStart"/>
      <w:r>
        <w:rPr>
          <w:sz w:val="20"/>
          <w:szCs w:val="20"/>
          <w:rtl/>
        </w:rPr>
        <w:t>קלמנוביץ</w:t>
      </w:r>
      <w:proofErr w:type="spellEnd"/>
      <w:r>
        <w:rPr>
          <w:sz w:val="20"/>
          <w:szCs w:val="20"/>
          <w:rtl/>
        </w:rPr>
        <w:t xml:space="preserve"> ציין שישיבת </w:t>
      </w:r>
      <w:proofErr w:type="spellStart"/>
      <w:r>
        <w:rPr>
          <w:sz w:val="20"/>
          <w:szCs w:val="20"/>
          <w:rtl/>
        </w:rPr>
        <w:t>מיר</w:t>
      </w:r>
      <w:proofErr w:type="spellEnd"/>
      <w:r>
        <w:rPr>
          <w:sz w:val="20"/>
          <w:szCs w:val="20"/>
          <w:rtl/>
        </w:rPr>
        <w:t xml:space="preserve">, הישיבה העתיקה ביותר, ניצלה בשלימותה </w:t>
      </w:r>
      <w:proofErr w:type="spellStart"/>
      <w:r>
        <w:rPr>
          <w:sz w:val="20"/>
          <w:szCs w:val="20"/>
          <w:rtl/>
        </w:rPr>
        <w:t>מהכליון</w:t>
      </w:r>
      <w:proofErr w:type="spellEnd"/>
      <w:r>
        <w:rPr>
          <w:sz w:val="20"/>
          <w:szCs w:val="20"/>
          <w:rtl/>
        </w:rPr>
        <w:t xml:space="preserve"> כמו החרש והמסגר בחורבן בית ראשון ויבנה בחורבן בית שני.</w:t>
      </w:r>
    </w:p>
  </w:footnote>
  <w:footnote w:id="4344">
    <w:p w14:paraId="4E4630C5" w14:textId="77777777" w:rsidR="00AB3647" w:rsidRDefault="00000000">
      <w:pPr>
        <w:spacing w:after="0" w:before="0"/>
        <w:jc w:val="both"/>
      </w:pPr>
      <w:r>
        <w:rPr>
          <w:sz w:val="20"/>
          <w:szCs w:val="20"/>
          <w:rtl/>
        </w:rPr>
        <w:footnoteRef/>
      </w:r>
      <w:r>
        <w:rPr>
          <w:sz w:val="20"/>
          <w:szCs w:val="20"/>
          <w:rtl/>
        </w:rPr>
        <w:t>. נעזרתי בפרקי “</w:t>
      </w:r>
      <w:proofErr w:type="spellStart"/>
      <w:r>
        <w:rPr>
          <w:sz w:val="20"/>
          <w:szCs w:val="20"/>
          <w:rtl/>
        </w:rPr>
        <w:t>מיר</w:t>
      </w:r>
      <w:proofErr w:type="spellEnd"/>
      <w:r>
        <w:rPr>
          <w:sz w:val="20"/>
          <w:szCs w:val="20"/>
          <w:rtl/>
        </w:rPr>
        <w:t xml:space="preserve">” מאת הרב משה </w:t>
      </w:r>
      <w:proofErr w:type="spellStart"/>
      <w:r>
        <w:rPr>
          <w:sz w:val="20"/>
          <w:szCs w:val="20"/>
          <w:rtl/>
        </w:rPr>
        <w:t>צינוביץ</w:t>
      </w:r>
      <w:proofErr w:type="spellEnd"/>
      <w:r>
        <w:rPr>
          <w:sz w:val="20"/>
          <w:szCs w:val="20"/>
          <w:rtl/>
        </w:rPr>
        <w:t xml:space="preserve"> (“הוצאת מור”, תל אביב, תשמ״א) לצורך המידע על </w:t>
      </w:r>
      <w:proofErr w:type="spellStart"/>
      <w:r>
        <w:rPr>
          <w:sz w:val="20"/>
          <w:szCs w:val="20"/>
          <w:rtl/>
        </w:rPr>
        <w:t>מיר</w:t>
      </w:r>
      <w:proofErr w:type="spellEnd"/>
      <w:r>
        <w:rPr>
          <w:sz w:val="20"/>
          <w:szCs w:val="20"/>
          <w:rtl/>
        </w:rPr>
        <w:t>.</w:t>
      </w:r>
    </w:p>
  </w:footnote>
  <w:footnote w:id="4345">
    <w:p w14:paraId="75C9C80F" w14:textId="77777777" w:rsidR="00AB3647" w:rsidRDefault="00000000">
      <w:pPr>
        <w:spacing w:after="0" w:before="0"/>
        <w:jc w:val="both"/>
      </w:pPr>
      <w:r>
        <w:rPr>
          <w:sz w:val="20"/>
          <w:szCs w:val="20"/>
          <w:rtl/>
        </w:rPr>
        <w:footnoteRef/>
      </w:r>
      <w:r>
        <w:rPr>
          <w:sz w:val="20"/>
          <w:szCs w:val="20"/>
          <w:rtl/>
        </w:rPr>
        <w:t>. נעזרתי במאמר “</w:t>
      </w:r>
      <w:proofErr w:type="spellStart"/>
      <w:r>
        <w:rPr>
          <w:sz w:val="20"/>
          <w:szCs w:val="20"/>
          <w:rtl/>
        </w:rPr>
        <w:t>נאווארעדקער</w:t>
      </w:r>
      <w:proofErr w:type="spellEnd"/>
      <w:r>
        <w:rPr>
          <w:sz w:val="20"/>
          <w:szCs w:val="20"/>
          <w:rtl/>
        </w:rPr>
        <w:t xml:space="preserve"> רבנים” מאת הרב י.ח. </w:t>
      </w:r>
      <w:proofErr w:type="spellStart"/>
      <w:r>
        <w:rPr>
          <w:sz w:val="20"/>
          <w:szCs w:val="20"/>
          <w:rtl/>
        </w:rPr>
        <w:t>קאנציפאלסקי</w:t>
      </w:r>
      <w:proofErr w:type="spellEnd"/>
      <w:r>
        <w:rPr>
          <w:sz w:val="20"/>
          <w:szCs w:val="20"/>
          <w:rtl/>
        </w:rPr>
        <w:t xml:space="preserve"> (להלן: </w:t>
      </w:r>
      <w:proofErr w:type="spellStart"/>
      <w:r>
        <w:rPr>
          <w:sz w:val="20"/>
          <w:szCs w:val="20"/>
          <w:rtl/>
        </w:rPr>
        <w:t>קאנציפאלסקי</w:t>
      </w:r>
      <w:proofErr w:type="spellEnd"/>
      <w:r>
        <w:rPr>
          <w:sz w:val="20"/>
          <w:szCs w:val="20"/>
          <w:rtl/>
        </w:rPr>
        <w:t xml:space="preserve">), </w:t>
      </w:r>
      <w:proofErr w:type="spellStart"/>
      <w:r>
        <w:rPr>
          <w:sz w:val="20"/>
          <w:szCs w:val="20"/>
          <w:rtl/>
        </w:rPr>
        <w:t>ב“פנקס</w:t>
      </w:r>
      <w:proofErr w:type="spellEnd"/>
      <w:r>
        <w:rPr>
          <w:sz w:val="20"/>
          <w:szCs w:val="20"/>
          <w:rtl/>
        </w:rPr>
        <w:t xml:space="preserve"> </w:t>
      </w:r>
      <w:proofErr w:type="spellStart"/>
      <w:r>
        <w:rPr>
          <w:sz w:val="20"/>
          <w:szCs w:val="20"/>
          <w:rtl/>
        </w:rPr>
        <w:t>נאווארעדאק</w:t>
      </w:r>
      <w:proofErr w:type="spellEnd"/>
      <w:r>
        <w:rPr>
          <w:sz w:val="20"/>
          <w:szCs w:val="20"/>
          <w:rtl/>
        </w:rPr>
        <w:t xml:space="preserve">” (ישראל, תשכ״ג), לצורך המידע על </w:t>
      </w:r>
      <w:proofErr w:type="spellStart"/>
      <w:r>
        <w:rPr>
          <w:sz w:val="20"/>
          <w:szCs w:val="20"/>
          <w:rtl/>
        </w:rPr>
        <w:t>נובהרדוק</w:t>
      </w:r>
      <w:proofErr w:type="spellEnd"/>
      <w:r>
        <w:rPr>
          <w:sz w:val="20"/>
          <w:szCs w:val="20"/>
          <w:rtl/>
        </w:rPr>
        <w:t>.</w:t>
      </w:r>
    </w:p>
  </w:footnote>
  <w:footnote w:id="4346">
    <w:p w14:paraId="590CE720" w14:textId="77777777" w:rsidR="00AB3647" w:rsidRDefault="00000000">
      <w:pPr>
        <w:spacing w:after="0" w:before="0"/>
        <w:jc w:val="both"/>
      </w:pPr>
      <w:r>
        <w:rPr>
          <w:sz w:val="20"/>
          <w:szCs w:val="20"/>
          <w:rtl/>
        </w:rPr>
        <w:footnoteRef/>
      </w:r>
      <w:r>
        <w:rPr>
          <w:sz w:val="20"/>
          <w:szCs w:val="20"/>
          <w:rtl/>
        </w:rPr>
        <w:t xml:space="preserve">. השווה גם פרק 2, סוף הפסקה השנייה של נספח א, שבו מוצע פירוש חדש </w:t>
      </w:r>
      <w:proofErr w:type="spellStart"/>
      <w:r>
        <w:rPr>
          <w:sz w:val="20"/>
          <w:szCs w:val="20"/>
          <w:rtl/>
        </w:rPr>
        <w:t>לברכתו־תחזיתו</w:t>
      </w:r>
      <w:proofErr w:type="spellEnd"/>
      <w:r>
        <w:rPr>
          <w:sz w:val="20"/>
          <w:szCs w:val="20"/>
          <w:rtl/>
        </w:rPr>
        <w:t xml:space="preserve"> של ר׳ חיים. פירוש זה יסביר גם מדוע נזקק ר׳ </w:t>
      </w:r>
      <w:proofErr w:type="spellStart"/>
      <w:r>
        <w:rPr>
          <w:sz w:val="20"/>
          <w:szCs w:val="20"/>
          <w:rtl/>
        </w:rPr>
        <w:t>דוד־טעביל</w:t>
      </w:r>
      <w:proofErr w:type="spellEnd"/>
      <w:r>
        <w:rPr>
          <w:sz w:val="20"/>
          <w:szCs w:val="20"/>
          <w:rtl/>
        </w:rPr>
        <w:t xml:space="preserve"> להתנצל לפני חברו מימי הישיבה על שניסה להשיג כיסא רבנות גדול וחשוב בהרבה מזה של </w:t>
      </w:r>
      <w:proofErr w:type="spellStart"/>
      <w:r>
        <w:rPr>
          <w:sz w:val="20"/>
          <w:szCs w:val="20"/>
          <w:rtl/>
        </w:rPr>
        <w:t>סטויבץ</w:t>
      </w:r>
      <w:proofErr w:type="spellEnd"/>
      <w:r>
        <w:rPr>
          <w:sz w:val="20"/>
          <w:szCs w:val="20"/>
          <w:rtl/>
        </w:rPr>
        <w:t xml:space="preserve">, אם </w:t>
      </w:r>
      <w:proofErr w:type="spellStart"/>
      <w:r>
        <w:rPr>
          <w:sz w:val="20"/>
          <w:szCs w:val="20"/>
          <w:rtl/>
        </w:rPr>
        <w:t>בבריסק</w:t>
      </w:r>
      <w:proofErr w:type="spellEnd"/>
      <w:r>
        <w:rPr>
          <w:sz w:val="20"/>
          <w:szCs w:val="20"/>
          <w:rtl/>
        </w:rPr>
        <w:t xml:space="preserve"> ואם במינסק.</w:t>
      </w:r>
    </w:p>
  </w:footnote>
  <w:footnote w:id="4347">
    <w:p w14:paraId="5F0BA43E" w14:textId="77777777" w:rsidR="00AB3647" w:rsidRDefault="00000000">
      <w:pPr>
        <w:spacing w:after="0" w:before="0"/>
        <w:jc w:val="both"/>
      </w:pPr>
      <w:r>
        <w:rPr>
          <w:sz w:val="20"/>
          <w:szCs w:val="20"/>
          <w:rtl/>
        </w:rPr>
        <w:footnoteRef/>
      </w:r>
      <w:r>
        <w:rPr>
          <w:sz w:val="20"/>
          <w:szCs w:val="20"/>
          <w:rtl/>
        </w:rPr>
        <w:t>. נספח ט לעיל – עמ׳ 280.</w:t>
      </w:r>
    </w:p>
  </w:footnote>
  <w:footnote w:id="4348">
    <w:p w14:paraId="5CA8D4C2" w14:textId="77777777" w:rsidR="00AB3647" w:rsidRDefault="00000000">
      <w:pPr>
        <w:spacing w:after="0" w:before="0"/>
        <w:jc w:val="both"/>
      </w:pPr>
      <w:r>
        <w:rPr>
          <w:sz w:val="20"/>
          <w:szCs w:val="20"/>
          <w:rtl/>
        </w:rPr>
        <w:footnoteRef/>
      </w:r>
      <w:r>
        <w:rPr>
          <w:sz w:val="20"/>
          <w:szCs w:val="20"/>
          <w:rtl/>
        </w:rPr>
        <w:t>. ירושלים, תשמ״ט.</w:t>
      </w:r>
    </w:p>
  </w:footnote>
  <w:footnote w:id="4349">
    <w:p w14:paraId="53F70871" w14:textId="77777777" w:rsidR="00AB3647" w:rsidRDefault="00000000">
      <w:pPr>
        <w:spacing w:after="0" w:before="0"/>
        <w:jc w:val="both"/>
      </w:pPr>
      <w:r>
        <w:rPr>
          <w:sz w:val="20"/>
          <w:szCs w:val="20"/>
          <w:rtl/>
        </w:rPr>
        <w:footnoteRef/>
      </w:r>
      <w:r>
        <w:rPr>
          <w:sz w:val="20"/>
          <w:szCs w:val="20"/>
          <w:rtl/>
        </w:rPr>
        <w:t xml:space="preserve">. השווה: “הואיל ונפק </w:t>
      </w:r>
      <w:proofErr w:type="spellStart"/>
      <w:r>
        <w:rPr>
          <w:sz w:val="20"/>
          <w:szCs w:val="20"/>
          <w:rtl/>
        </w:rPr>
        <w:t>מפומיה</w:t>
      </w:r>
      <w:proofErr w:type="spellEnd"/>
      <w:r>
        <w:rPr>
          <w:sz w:val="20"/>
          <w:szCs w:val="20"/>
          <w:rtl/>
        </w:rPr>
        <w:t xml:space="preserve"> </w:t>
      </w:r>
      <w:proofErr w:type="spellStart"/>
      <w:r>
        <w:rPr>
          <w:sz w:val="20"/>
          <w:szCs w:val="20"/>
          <w:rtl/>
        </w:rPr>
        <w:t>דרב</w:t>
      </w:r>
      <w:proofErr w:type="spellEnd"/>
      <w:r>
        <w:rPr>
          <w:sz w:val="20"/>
          <w:szCs w:val="20"/>
          <w:rtl/>
        </w:rPr>
        <w:t xml:space="preserve">” (סנהדרין עב ע״א). אילו הזכיר ר׳ חיים </w:t>
      </w:r>
      <w:proofErr w:type="spellStart"/>
      <w:r>
        <w:rPr>
          <w:sz w:val="20"/>
          <w:szCs w:val="20"/>
          <w:rtl/>
        </w:rPr>
        <w:t>מוולוז׳ין</w:t>
      </w:r>
      <w:proofErr w:type="spellEnd"/>
      <w:r>
        <w:rPr>
          <w:sz w:val="20"/>
          <w:szCs w:val="20"/>
          <w:rtl/>
        </w:rPr>
        <w:t xml:space="preserve"> רק את מינסק, הייתה תחזיתו חלשה בהרבה מזו של הסבא </w:t>
      </w:r>
      <w:proofErr w:type="spellStart"/>
      <w:r>
        <w:rPr>
          <w:sz w:val="20"/>
          <w:szCs w:val="20"/>
          <w:rtl/>
        </w:rPr>
        <w:t>מסלבודקה</w:t>
      </w:r>
      <w:proofErr w:type="spellEnd"/>
      <w:r>
        <w:rPr>
          <w:sz w:val="20"/>
          <w:szCs w:val="20"/>
          <w:rtl/>
        </w:rPr>
        <w:t xml:space="preserve"> בעניין ר׳ </w:t>
      </w:r>
      <w:proofErr w:type="spellStart"/>
      <w:r>
        <w:rPr>
          <w:sz w:val="20"/>
          <w:szCs w:val="20"/>
          <w:rtl/>
        </w:rPr>
        <w:t>יהודה־לייב</w:t>
      </w:r>
      <w:proofErr w:type="spellEnd"/>
      <w:r>
        <w:rPr>
          <w:sz w:val="20"/>
          <w:szCs w:val="20"/>
          <w:rtl/>
        </w:rPr>
        <w:t xml:space="preserve"> פיין (השווה פרק 3, הפסקה השנייה של נספח </w:t>
      </w:r>
      <w:proofErr w:type="spellStart"/>
      <w:r>
        <w:rPr>
          <w:sz w:val="20"/>
          <w:szCs w:val="20"/>
          <w:rtl/>
        </w:rPr>
        <w:t>יט</w:t>
      </w:r>
      <w:proofErr w:type="spellEnd"/>
      <w:r>
        <w:rPr>
          <w:sz w:val="20"/>
          <w:szCs w:val="20"/>
          <w:rtl/>
        </w:rPr>
        <w:t xml:space="preserve">), שהרי לסלונים לא היה שום קשר </w:t>
      </w:r>
      <w:proofErr w:type="spellStart"/>
      <w:r>
        <w:rPr>
          <w:sz w:val="20"/>
          <w:szCs w:val="20"/>
          <w:rtl/>
        </w:rPr>
        <w:t>לפיונטניצה</w:t>
      </w:r>
      <w:proofErr w:type="spellEnd"/>
      <w:r>
        <w:rPr>
          <w:sz w:val="20"/>
          <w:szCs w:val="20"/>
          <w:rtl/>
        </w:rPr>
        <w:t>.</w:t>
      </w:r>
    </w:p>
  </w:footnote>
  <w:footnote w:id="4350">
    <w:p w14:paraId="470BBB74" w14:textId="77777777" w:rsidR="00AB3647" w:rsidRDefault="00000000">
      <w:pPr>
        <w:spacing w:after="0" w:before="0"/>
        <w:jc w:val="both"/>
      </w:pPr>
      <w:r>
        <w:rPr>
          <w:sz w:val="20"/>
          <w:szCs w:val="20"/>
          <w:rtl/>
        </w:rPr>
        <w:footnoteRef/>
      </w:r>
      <w:r>
        <w:rPr>
          <w:sz w:val="20"/>
          <w:szCs w:val="20"/>
          <w:rtl/>
        </w:rPr>
        <w:t>. עמ׳ 387–388.</w:t>
      </w:r>
    </w:p>
  </w:footnote>
  <w:footnote w:id="4351">
    <w:p w14:paraId="28233A44" w14:textId="77777777" w:rsidR="00AB3647" w:rsidRDefault="00000000">
      <w:pPr>
        <w:spacing w:after="0" w:before="0"/>
        <w:jc w:val="both"/>
      </w:pPr>
      <w:r>
        <w:rPr>
          <w:sz w:val="20"/>
          <w:szCs w:val="20"/>
          <w:rtl/>
        </w:rPr>
        <w:footnoteRef/>
      </w:r>
      <w:r>
        <w:rPr>
          <w:sz w:val="20"/>
          <w:szCs w:val="20"/>
          <w:rtl/>
        </w:rPr>
        <w:t>. עמ׳ 276–277.</w:t>
      </w:r>
    </w:p>
  </w:footnote>
  <w:footnote w:id="4352">
    <w:p w14:paraId="6A7F1678" w14:textId="77777777" w:rsidR="00AB3647" w:rsidRDefault="00000000">
      <w:pPr>
        <w:spacing w:after="0" w:before="0"/>
        <w:jc w:val="both"/>
      </w:pPr>
      <w:r>
        <w:rPr>
          <w:sz w:val="20"/>
          <w:szCs w:val="20"/>
          <w:rtl/>
        </w:rPr>
        <w:footnoteRef/>
      </w:r>
      <w:r>
        <w:rPr>
          <w:sz w:val="20"/>
          <w:szCs w:val="20"/>
          <w:rtl/>
        </w:rPr>
        <w:t>. מירכאות אלה והבאות אחריהן הן של מחבר אותו ספר.</w:t>
      </w:r>
    </w:p>
  </w:footnote>
  <w:footnote w:id="4353">
    <w:p w14:paraId="288DFCA5" w14:textId="77777777" w:rsidR="00AB3647" w:rsidRDefault="00000000">
      <w:pPr>
        <w:spacing w:after="0" w:before="0"/>
        <w:jc w:val="both"/>
      </w:pPr>
      <w:r>
        <w:rPr>
          <w:sz w:val="20"/>
          <w:szCs w:val="20"/>
          <w:rtl/>
        </w:rPr>
        <w:footnoteRef/>
      </w:r>
      <w:r>
        <w:rPr>
          <w:sz w:val="20"/>
          <w:szCs w:val="20"/>
          <w:rtl/>
        </w:rPr>
        <w:t>. בראשית מט, א. במילים אלה כינס אבינו יעקב את בניו לנבואת הפרידה על עתידם.</w:t>
      </w:r>
    </w:p>
  </w:footnote>
  <w:footnote w:id="4354">
    <w:p w14:paraId="6A2213DD" w14:textId="77777777" w:rsidR="00AB3647" w:rsidRDefault="00000000">
      <w:pPr>
        <w:spacing w:after="0" w:before="0"/>
        <w:jc w:val="both"/>
      </w:pPr>
      <w:r>
        <w:rPr>
          <w:sz w:val="20"/>
          <w:szCs w:val="20"/>
          <w:rtl/>
        </w:rPr>
        <w:footnoteRef/>
      </w:r>
      <w:r>
        <w:rPr>
          <w:sz w:val="20"/>
          <w:szCs w:val="20"/>
          <w:rtl/>
        </w:rPr>
        <w:t>. עמ׳ 11, מתאריך אור לו׳ באב תשמ״א.</w:t>
      </w:r>
    </w:p>
  </w:footnote>
  <w:footnote w:id="4355">
    <w:p w14:paraId="386101E4" w14:textId="77777777" w:rsidR="00AB3647" w:rsidRDefault="00000000">
      <w:pPr>
        <w:spacing w:after="0" w:before="0"/>
        <w:jc w:val="both"/>
      </w:pPr>
      <w:r>
        <w:rPr>
          <w:sz w:val="20"/>
          <w:szCs w:val="20"/>
          <w:rtl/>
        </w:rPr>
        <w:footnoteRef/>
      </w:r>
      <w:r>
        <w:rPr>
          <w:sz w:val="20"/>
          <w:szCs w:val="20"/>
          <w:rtl/>
        </w:rPr>
        <w:t>. עמ׳ 172–173.</w:t>
      </w:r>
    </w:p>
  </w:footnote>
  <w:footnote w:id="4356">
    <w:p w14:paraId="7C926449" w14:textId="77777777" w:rsidR="00AB3647" w:rsidRDefault="00000000">
      <w:pPr>
        <w:spacing w:after="0" w:before="0"/>
        <w:jc w:val="both"/>
      </w:pPr>
      <w:r>
        <w:rPr>
          <w:sz w:val="20"/>
          <w:szCs w:val="20"/>
          <w:rtl/>
        </w:rPr>
        <w:footnoteRef/>
      </w:r>
      <w:r>
        <w:rPr>
          <w:sz w:val="20"/>
          <w:szCs w:val="20"/>
          <w:rtl/>
        </w:rPr>
        <w:t xml:space="preserve">. ריאיון עם ר׳ </w:t>
      </w:r>
      <w:proofErr w:type="spellStart"/>
      <w:r>
        <w:rPr>
          <w:sz w:val="20"/>
          <w:szCs w:val="20"/>
          <w:rtl/>
        </w:rPr>
        <w:t>כתריאל־דוד</w:t>
      </w:r>
      <w:proofErr w:type="spellEnd"/>
      <w:r>
        <w:rPr>
          <w:sz w:val="20"/>
          <w:szCs w:val="20"/>
          <w:rtl/>
        </w:rPr>
        <w:t xml:space="preserve"> קפלין מ־29 באוקטובר 1991.</w:t>
      </w:r>
    </w:p>
  </w:footnote>
  <w:footnote w:id="4357">
    <w:p w14:paraId="171E4A45" w14:textId="77777777" w:rsidR="00AB3647" w:rsidRDefault="00000000">
      <w:pPr>
        <w:spacing w:after="0" w:before="0"/>
        <w:jc w:val="both"/>
      </w:pPr>
      <w:r>
        <w:rPr>
          <w:sz w:val="20"/>
          <w:szCs w:val="20"/>
          <w:rtl/>
        </w:rPr>
        <w:footnoteRef/>
      </w:r>
      <w:r>
        <w:rPr>
          <w:sz w:val="20"/>
          <w:szCs w:val="20"/>
          <w:rtl/>
        </w:rPr>
        <w:t>. “</w:t>
      </w:r>
      <w:proofErr w:type="spellStart"/>
      <w:r>
        <w:rPr>
          <w:sz w:val="20"/>
          <w:szCs w:val="20"/>
          <w:rtl/>
        </w:rPr>
        <w:t>אהלי</w:t>
      </w:r>
      <w:proofErr w:type="spellEnd"/>
      <w:r>
        <w:rPr>
          <w:sz w:val="20"/>
          <w:szCs w:val="20"/>
          <w:rtl/>
        </w:rPr>
        <w:t xml:space="preserve"> שם”, עמ׳ 173.</w:t>
      </w:r>
    </w:p>
  </w:footnote>
  <w:footnote w:id="4358">
    <w:p w14:paraId="0013F563" w14:textId="77777777" w:rsidR="00AB3647" w:rsidRDefault="00000000">
      <w:pPr>
        <w:spacing w:after="0" w:before="0"/>
        <w:jc w:val="both"/>
      </w:pPr>
      <w:r>
        <w:rPr>
          <w:sz w:val="20"/>
          <w:szCs w:val="20"/>
          <w:rtl/>
        </w:rPr>
        <w:footnoteRef/>
      </w:r>
      <w:r>
        <w:rPr>
          <w:sz w:val="20"/>
          <w:szCs w:val="20"/>
          <w:rtl/>
        </w:rPr>
        <w:t xml:space="preserve">. ר׳ ברוך </w:t>
      </w:r>
      <w:proofErr w:type="spellStart"/>
      <w:r>
        <w:rPr>
          <w:sz w:val="20"/>
          <w:szCs w:val="20"/>
          <w:rtl/>
        </w:rPr>
        <w:t>תאומים־פרנקל</w:t>
      </w:r>
      <w:proofErr w:type="spellEnd"/>
      <w:r>
        <w:rPr>
          <w:sz w:val="20"/>
          <w:szCs w:val="20"/>
          <w:rtl/>
        </w:rPr>
        <w:t xml:space="preserve"> ידוע על שם ספרו, </w:t>
      </w:r>
      <w:proofErr w:type="spellStart"/>
      <w:r>
        <w:rPr>
          <w:sz w:val="20"/>
          <w:szCs w:val="20"/>
          <w:rtl/>
        </w:rPr>
        <w:t>הברוך־טעם</w:t>
      </w:r>
      <w:proofErr w:type="spellEnd"/>
      <w:r>
        <w:rPr>
          <w:sz w:val="20"/>
          <w:szCs w:val="20"/>
          <w:rtl/>
        </w:rPr>
        <w:t>.</w:t>
      </w:r>
    </w:p>
  </w:footnote>
  <w:footnote w:id="4359">
    <w:p w14:paraId="18B992E9" w14:textId="77777777" w:rsidR="00AB3647" w:rsidRDefault="00000000">
      <w:pPr>
        <w:spacing w:after="0" w:before="0"/>
        <w:jc w:val="both"/>
      </w:pPr>
      <w:r>
        <w:rPr>
          <w:sz w:val="20"/>
          <w:szCs w:val="20"/>
          <w:rtl/>
        </w:rPr>
        <w:footnoteRef/>
      </w:r>
      <w:r>
        <w:rPr>
          <w:sz w:val="20"/>
          <w:szCs w:val="20"/>
          <w:rtl/>
        </w:rPr>
        <w:t xml:space="preserve">. עמ׳ </w:t>
      </w:r>
      <w:proofErr w:type="spellStart"/>
      <w:r>
        <w:rPr>
          <w:sz w:val="20"/>
          <w:szCs w:val="20"/>
          <w:rtl/>
        </w:rPr>
        <w:t>כט</w:t>
      </w:r>
      <w:proofErr w:type="spellEnd"/>
      <w:r>
        <w:rPr>
          <w:sz w:val="20"/>
          <w:szCs w:val="20"/>
          <w:rtl/>
        </w:rPr>
        <w:t xml:space="preserve"> </w:t>
      </w:r>
      <w:proofErr w:type="spellStart"/>
      <w:r>
        <w:rPr>
          <w:sz w:val="20"/>
          <w:szCs w:val="20"/>
          <w:rtl/>
        </w:rPr>
        <w:t>ב“רבנו</w:t>
      </w:r>
      <w:proofErr w:type="spellEnd"/>
      <w:r>
        <w:rPr>
          <w:sz w:val="20"/>
          <w:szCs w:val="20"/>
          <w:rtl/>
        </w:rPr>
        <w:t xml:space="preserve"> הקדוש </w:t>
      </w:r>
      <w:proofErr w:type="spellStart"/>
      <w:r>
        <w:rPr>
          <w:sz w:val="20"/>
          <w:szCs w:val="20"/>
          <w:rtl/>
        </w:rPr>
        <w:t>מצאנז</w:t>
      </w:r>
      <w:proofErr w:type="spellEnd"/>
      <w:r>
        <w:rPr>
          <w:sz w:val="20"/>
          <w:szCs w:val="20"/>
          <w:rtl/>
        </w:rPr>
        <w:t>”, מאת יוסף דוד ויסברג (מפעל “קסת שלמה”, ירושלים, תשל״ו).</w:t>
      </w:r>
    </w:p>
  </w:footnote>
  <w:footnote w:id="4360">
    <w:p w14:paraId="2245B41D" w14:textId="77777777" w:rsidR="00AB3647" w:rsidRDefault="00000000">
      <w:pPr>
        <w:spacing w:after="0" w:before="0"/>
        <w:jc w:val="both"/>
      </w:pPr>
      <w:r>
        <w:rPr>
          <w:sz w:val="20"/>
          <w:szCs w:val="20"/>
          <w:rtl/>
        </w:rPr>
        <w:footnoteRef/>
      </w:r>
      <w:r>
        <w:rPr>
          <w:sz w:val="20"/>
          <w:szCs w:val="20"/>
          <w:rtl/>
        </w:rPr>
        <w:t xml:space="preserve">. ראה גם פרק 3, הפסקה השלישית בהערה 79, שר׳ ראובן </w:t>
      </w:r>
      <w:proofErr w:type="spellStart"/>
      <w:r>
        <w:rPr>
          <w:sz w:val="20"/>
          <w:szCs w:val="20"/>
          <w:rtl/>
        </w:rPr>
        <w:t>בנגיס</w:t>
      </w:r>
      <w:proofErr w:type="spellEnd"/>
      <w:r>
        <w:rPr>
          <w:sz w:val="20"/>
          <w:szCs w:val="20"/>
          <w:rtl/>
        </w:rPr>
        <w:t xml:space="preserve"> גילה כישרון כזה.</w:t>
      </w:r>
    </w:p>
  </w:footnote>
  <w:footnote w:id="4361">
    <w:p w14:paraId="671B77E5"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צינוביץ</w:t>
      </w:r>
      <w:proofErr w:type="spellEnd"/>
      <w:r>
        <w:rPr>
          <w:sz w:val="20"/>
          <w:szCs w:val="20"/>
          <w:rtl/>
        </w:rPr>
        <w:t>, “אישים וקהילות”, עמ׳ 171.</w:t>
      </w:r>
    </w:p>
  </w:footnote>
  <w:footnote w:id="4362">
    <w:p w14:paraId="23D37F22" w14:textId="77777777" w:rsidR="00AB3647" w:rsidRDefault="00000000">
      <w:pPr>
        <w:spacing w:after="0" w:before="0"/>
        <w:jc w:val="both"/>
      </w:pPr>
      <w:r>
        <w:rPr>
          <w:sz w:val="20"/>
          <w:szCs w:val="20"/>
          <w:rtl/>
        </w:rPr>
        <w:footnoteRef/>
      </w:r>
      <w:r>
        <w:rPr>
          <w:sz w:val="20"/>
          <w:szCs w:val="20"/>
          <w:rtl/>
        </w:rPr>
        <w:t xml:space="preserve">. העניין נידון בהרחבה בפרק 3, הפסקה החמישית של נספח </w:t>
      </w:r>
      <w:proofErr w:type="spellStart"/>
      <w:r>
        <w:rPr>
          <w:sz w:val="20"/>
          <w:szCs w:val="20"/>
          <w:rtl/>
        </w:rPr>
        <w:t>יח</w:t>
      </w:r>
      <w:proofErr w:type="spellEnd"/>
      <w:r>
        <w:rPr>
          <w:sz w:val="20"/>
          <w:szCs w:val="20"/>
          <w:rtl/>
        </w:rPr>
        <w:t>.</w:t>
      </w:r>
    </w:p>
  </w:footnote>
  <w:footnote w:id="4363">
    <w:p w14:paraId="03C10742" w14:textId="77777777" w:rsidR="00AB3647" w:rsidRDefault="00000000">
      <w:pPr>
        <w:spacing w:after="0" w:before="0"/>
        <w:jc w:val="both"/>
      </w:pPr>
      <w:r>
        <w:rPr>
          <w:sz w:val="20"/>
          <w:szCs w:val="20"/>
          <w:rtl/>
        </w:rPr>
        <w:footnoteRef/>
      </w:r>
      <w:r>
        <w:rPr>
          <w:sz w:val="20"/>
          <w:szCs w:val="20"/>
          <w:rtl/>
        </w:rPr>
        <w:t xml:space="preserve">. המאבק נגד ר׳ </w:t>
      </w:r>
      <w:proofErr w:type="spellStart"/>
      <w:r>
        <w:rPr>
          <w:sz w:val="20"/>
          <w:szCs w:val="20"/>
          <w:rtl/>
        </w:rPr>
        <w:t>יחיאל־מיכל</w:t>
      </w:r>
      <w:proofErr w:type="spellEnd"/>
      <w:r>
        <w:rPr>
          <w:sz w:val="20"/>
          <w:szCs w:val="20"/>
          <w:rtl/>
        </w:rPr>
        <w:t xml:space="preserve"> פינס מתואר בהרחבה </w:t>
      </w:r>
      <w:proofErr w:type="spellStart"/>
      <w:r>
        <w:rPr>
          <w:sz w:val="20"/>
          <w:szCs w:val="20"/>
          <w:rtl/>
        </w:rPr>
        <w:t>ב“עמוד</w:t>
      </w:r>
      <w:proofErr w:type="spellEnd"/>
      <w:r>
        <w:rPr>
          <w:sz w:val="20"/>
          <w:szCs w:val="20"/>
          <w:rtl/>
        </w:rPr>
        <w:t xml:space="preserve"> אש” (שם, פרק 3, הערה 16), עמ׳ </w:t>
      </w:r>
      <w:proofErr w:type="spellStart"/>
      <w:r>
        <w:rPr>
          <w:sz w:val="20"/>
          <w:szCs w:val="20"/>
          <w:rtl/>
        </w:rPr>
        <w:t>קיג</w:t>
      </w:r>
      <w:proofErr w:type="spellEnd"/>
      <w:r>
        <w:rPr>
          <w:sz w:val="20"/>
          <w:szCs w:val="20"/>
          <w:rtl/>
        </w:rPr>
        <w:t xml:space="preserve"> ואילך. אולם הספר מסתיר את שמו המלא של ר׳ </w:t>
      </w:r>
      <w:proofErr w:type="spellStart"/>
      <w:r>
        <w:rPr>
          <w:sz w:val="20"/>
          <w:szCs w:val="20"/>
          <w:rtl/>
        </w:rPr>
        <w:t>יחיאל־מיכל</w:t>
      </w:r>
      <w:proofErr w:type="spellEnd"/>
      <w:r>
        <w:rPr>
          <w:sz w:val="20"/>
          <w:szCs w:val="20"/>
          <w:rtl/>
        </w:rPr>
        <w:t xml:space="preserve"> פינס מאחורי ראשי התיבות מ.פ.</w:t>
      </w:r>
    </w:p>
  </w:footnote>
  <w:footnote w:id="4364">
    <w:p w14:paraId="1F402288" w14:textId="77777777" w:rsidR="00AB3647" w:rsidRDefault="00000000">
      <w:pPr>
        <w:spacing w:after="0" w:before="0"/>
        <w:jc w:val="both"/>
      </w:pPr>
      <w:r>
        <w:rPr>
          <w:sz w:val="20"/>
          <w:szCs w:val="20"/>
          <w:rtl/>
        </w:rPr>
        <w:footnoteRef/>
      </w:r>
      <w:r>
        <w:rPr>
          <w:sz w:val="20"/>
          <w:szCs w:val="20"/>
          <w:rtl/>
        </w:rPr>
        <w:t xml:space="preserve">. ראה תחילת נספח זה – המאמר הרביעי (מאמר ד). הקונטרס נדפס בעילום שם – כנראה בידי ר׳ </w:t>
      </w:r>
      <w:proofErr w:type="spellStart"/>
      <w:r>
        <w:rPr>
          <w:sz w:val="20"/>
          <w:szCs w:val="20"/>
          <w:rtl/>
        </w:rPr>
        <w:t>יחיאל־מיכל</w:t>
      </w:r>
      <w:proofErr w:type="spellEnd"/>
      <w:r>
        <w:rPr>
          <w:sz w:val="20"/>
          <w:szCs w:val="20"/>
          <w:rtl/>
        </w:rPr>
        <w:t xml:space="preserve"> פינס.</w:t>
      </w:r>
    </w:p>
  </w:footnote>
  <w:footnote w:id="4365">
    <w:p w14:paraId="7A796DAE" w14:textId="77777777" w:rsidR="00AB3647" w:rsidRDefault="00000000">
      <w:pPr>
        <w:spacing w:after="0" w:before="0"/>
        <w:jc w:val="both"/>
      </w:pPr>
      <w:r>
        <w:rPr>
          <w:sz w:val="20"/>
          <w:szCs w:val="20"/>
          <w:rtl/>
        </w:rPr>
        <w:footnoteRef/>
      </w:r>
      <w:r>
        <w:rPr>
          <w:sz w:val="20"/>
          <w:szCs w:val="20"/>
          <w:rtl/>
        </w:rPr>
        <w:t xml:space="preserve">. הגאון צפה מראש שארץ זו תהיה יעד חשוב ליהודים המהגרים מרוסיה, אף שרק הספינה הראשונה, ועליה 140 משפחות, הפליגה לשם שנתיים לפני פרסום הקונטרס. חרם ר׳ </w:t>
      </w:r>
      <w:proofErr w:type="spellStart"/>
      <w:r>
        <w:rPr>
          <w:sz w:val="20"/>
          <w:szCs w:val="20"/>
          <w:rtl/>
        </w:rPr>
        <w:t>יהושע־לייב</w:t>
      </w:r>
      <w:proofErr w:type="spellEnd"/>
      <w:r>
        <w:rPr>
          <w:sz w:val="20"/>
          <w:szCs w:val="20"/>
          <w:rtl/>
        </w:rPr>
        <w:t xml:space="preserve"> דיסקין הוכרז באותה שנה שבה יצאה לארגנטינה הספינה הראשונה של יהודים.</w:t>
      </w:r>
    </w:p>
  </w:footnote>
  <w:footnote w:id="4366">
    <w:p w14:paraId="1F71A7D8" w14:textId="77777777" w:rsidR="00AB3647" w:rsidRDefault="00000000">
      <w:pPr>
        <w:spacing w:after="0" w:before="0"/>
        <w:jc w:val="both"/>
      </w:pPr>
      <w:r>
        <w:rPr>
          <w:sz w:val="20"/>
          <w:szCs w:val="20"/>
          <w:rtl/>
        </w:rPr>
        <w:footnoteRef/>
      </w:r>
      <w:r>
        <w:rPr>
          <w:sz w:val="20"/>
          <w:szCs w:val="20"/>
          <w:rtl/>
        </w:rPr>
        <w:t xml:space="preserve">. שם, פרק 3, הפסקה השלישית של נספח ה – הערת שוליים בעמ׳ </w:t>
      </w:r>
      <w:proofErr w:type="spellStart"/>
      <w:r>
        <w:rPr>
          <w:sz w:val="20"/>
          <w:szCs w:val="20"/>
          <w:rtl/>
        </w:rPr>
        <w:t>קפו</w:t>
      </w:r>
      <w:proofErr w:type="spellEnd"/>
      <w:r>
        <w:rPr>
          <w:sz w:val="20"/>
          <w:szCs w:val="20"/>
          <w:rtl/>
        </w:rPr>
        <w:t>.</w:t>
      </w:r>
    </w:p>
  </w:footnote>
  <w:footnote w:id="4367">
    <w:p w14:paraId="6640D837" w14:textId="77777777" w:rsidR="00AB3647" w:rsidRDefault="00000000">
      <w:pPr>
        <w:spacing w:after="0" w:before="0"/>
        <w:jc w:val="both"/>
      </w:pPr>
      <w:r>
        <w:rPr>
          <w:sz w:val="20"/>
          <w:szCs w:val="20"/>
          <w:rtl/>
        </w:rPr>
        <w:footnoteRef/>
      </w:r>
      <w:r>
        <w:rPr>
          <w:sz w:val="20"/>
          <w:szCs w:val="20"/>
          <w:rtl/>
        </w:rPr>
        <w:t xml:space="preserve">. ראה פרק 3, הפסקה הראשונה של נספח </w:t>
      </w:r>
      <w:proofErr w:type="spellStart"/>
      <w:r>
        <w:rPr>
          <w:sz w:val="20"/>
          <w:szCs w:val="20"/>
          <w:rtl/>
        </w:rPr>
        <w:t>כו</w:t>
      </w:r>
      <w:proofErr w:type="spellEnd"/>
      <w:r>
        <w:rPr>
          <w:sz w:val="20"/>
          <w:szCs w:val="20"/>
          <w:rtl/>
        </w:rPr>
        <w:t>.</w:t>
      </w:r>
    </w:p>
  </w:footnote>
  <w:footnote w:id="4368">
    <w:p w14:paraId="60B3B282" w14:textId="77777777" w:rsidR="00AB3647" w:rsidRDefault="00000000">
      <w:pPr>
        <w:spacing w:after="0" w:before="0"/>
        <w:jc w:val="both"/>
      </w:pPr>
      <w:r>
        <w:rPr>
          <w:sz w:val="20"/>
          <w:szCs w:val="20"/>
          <w:rtl/>
        </w:rPr>
        <w:footnoteRef/>
      </w:r>
      <w:r>
        <w:rPr>
          <w:sz w:val="20"/>
          <w:szCs w:val="20"/>
          <w:rtl/>
        </w:rPr>
        <w:t xml:space="preserve">. “ניו יורק טיימס”, 1 במאי, המהדורה </w:t>
      </w:r>
      <w:proofErr w:type="spellStart"/>
      <w:r>
        <w:rPr>
          <w:sz w:val="20"/>
          <w:szCs w:val="20"/>
          <w:rtl/>
        </w:rPr>
        <w:t>הבין־לאומית</w:t>
      </w:r>
      <w:proofErr w:type="spellEnd"/>
      <w:r>
        <w:rPr>
          <w:sz w:val="20"/>
          <w:szCs w:val="20"/>
          <w:rtl/>
        </w:rPr>
        <w:t>.</w:t>
      </w:r>
    </w:p>
  </w:footnote>
  <w:footnote w:id="4369">
    <w:p w14:paraId="2D060623"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proofErr w:type="spellStart"/>
      <w:r>
        <w:rPr>
          <w:sz w:val="20"/>
          <w:szCs w:val="20"/>
          <w:rtl/>
        </w:rPr>
        <w:t>יק״א</w:t>
      </w:r>
      <w:proofErr w:type="spellEnd"/>
      <w:r>
        <w:rPr>
          <w:sz w:val="20"/>
          <w:szCs w:val="20"/>
          <w:rtl/>
        </w:rPr>
        <w:t xml:space="preserve"> נוסדה רק </w:t>
      </w:r>
      <w:proofErr w:type="spellStart"/>
      <w:r>
        <w:rPr>
          <w:sz w:val="20"/>
          <w:szCs w:val="20"/>
          <w:rtl/>
        </w:rPr>
        <w:t>בתרנ״א</w:t>
      </w:r>
      <w:proofErr w:type="spellEnd"/>
      <w:r>
        <w:rPr>
          <w:sz w:val="20"/>
          <w:szCs w:val="20"/>
          <w:rtl/>
        </w:rPr>
        <w:t xml:space="preserve">. מתיישבי </w:t>
      </w:r>
      <w:proofErr w:type="spellStart"/>
      <w:r>
        <w:rPr>
          <w:sz w:val="20"/>
          <w:szCs w:val="20"/>
          <w:rtl/>
        </w:rPr>
        <w:t>מויסס</w:t>
      </w:r>
      <w:proofErr w:type="spellEnd"/>
      <w:r>
        <w:rPr>
          <w:sz w:val="20"/>
          <w:szCs w:val="20"/>
          <w:rtl/>
        </w:rPr>
        <w:t xml:space="preserve"> ויל הראשונים הגיעו בלעדיה, </w:t>
      </w:r>
      <w:proofErr w:type="spellStart"/>
      <w:r>
        <w:rPr>
          <w:sz w:val="20"/>
          <w:szCs w:val="20"/>
          <w:rtl/>
        </w:rPr>
        <w:t>ויק״א</w:t>
      </w:r>
      <w:proofErr w:type="spellEnd"/>
      <w:r>
        <w:rPr>
          <w:sz w:val="20"/>
          <w:szCs w:val="20"/>
          <w:rtl/>
        </w:rPr>
        <w:t xml:space="preserve"> קיבלה את המושבה לחסותה רק לאחר ייסודה.</w:t>
      </w:r>
    </w:p>
  </w:footnote>
  <w:footnote w:id="4370">
    <w:p w14:paraId="68D42115" w14:textId="77777777" w:rsidR="00AB3647" w:rsidRDefault="00000000">
      <w:pPr>
        <w:spacing w:after="0" w:before="0"/>
        <w:jc w:val="both"/>
      </w:pPr>
      <w:r>
        <w:rPr>
          <w:sz w:val="20"/>
          <w:szCs w:val="20"/>
          <w:rtl/>
        </w:rPr>
        <w:footnoteRef/>
      </w:r>
      <w:r>
        <w:rPr>
          <w:sz w:val="20"/>
          <w:szCs w:val="20"/>
          <w:rtl/>
        </w:rPr>
        <w:t xml:space="preserve">. ראה פרק 3, הפסקה השישית של נספח </w:t>
      </w:r>
      <w:proofErr w:type="spellStart"/>
      <w:r>
        <w:rPr>
          <w:sz w:val="20"/>
          <w:szCs w:val="20"/>
          <w:rtl/>
        </w:rPr>
        <w:t>יח</w:t>
      </w:r>
      <w:proofErr w:type="spellEnd"/>
      <w:r>
        <w:rPr>
          <w:sz w:val="20"/>
          <w:szCs w:val="20"/>
          <w:rtl/>
        </w:rPr>
        <w:t>.</w:t>
      </w:r>
    </w:p>
  </w:footnote>
  <w:footnote w:id="4371">
    <w:p w14:paraId="61EFBAFD" w14:textId="77777777" w:rsidR="00AB3647" w:rsidRDefault="00000000">
      <w:pPr>
        <w:spacing w:after="0" w:before="0"/>
        <w:jc w:val="both"/>
      </w:pPr>
      <w:r>
        <w:rPr>
          <w:sz w:val="20"/>
          <w:szCs w:val="20"/>
          <w:rtl/>
        </w:rPr>
        <w:footnoteRef/>
      </w:r>
      <w:r>
        <w:rPr>
          <w:sz w:val="20"/>
          <w:szCs w:val="20"/>
          <w:rtl/>
        </w:rPr>
        <w:t>. ריאיון מ־26 בפברואר 1998.</w:t>
      </w:r>
    </w:p>
  </w:footnote>
  <w:footnote w:id="4372">
    <w:p w14:paraId="44E5541A" w14:textId="77777777" w:rsidR="00AB3647" w:rsidRDefault="00000000">
      <w:pPr>
        <w:spacing w:after="0" w:before="0"/>
        <w:jc w:val="both"/>
      </w:pPr>
      <w:r>
        <w:rPr>
          <w:sz w:val="20"/>
          <w:szCs w:val="20"/>
          <w:rtl/>
        </w:rPr>
        <w:footnoteRef/>
      </w:r>
      <w:r>
        <w:rPr>
          <w:sz w:val="20"/>
          <w:szCs w:val="20"/>
          <w:rtl/>
        </w:rPr>
        <w:t>. עמ׳ קיט.</w:t>
      </w:r>
    </w:p>
  </w:footnote>
  <w:footnote w:id="4373">
    <w:p w14:paraId="2CD83B45" w14:textId="77777777" w:rsidR="00AB3647" w:rsidRDefault="00000000">
      <w:pPr>
        <w:spacing w:after="0" w:before="0"/>
        <w:jc w:val="both"/>
      </w:pPr>
      <w:r>
        <w:rPr>
          <w:sz w:val="20"/>
          <w:szCs w:val="20"/>
          <w:rtl/>
        </w:rPr>
        <w:footnoteRef/>
      </w:r>
      <w:r>
        <w:rPr>
          <w:sz w:val="20"/>
          <w:szCs w:val="20"/>
          <w:rtl/>
        </w:rPr>
        <w:t>. ב־4 ביוני 1992.</w:t>
      </w:r>
    </w:p>
  </w:footnote>
  <w:footnote w:id="4374">
    <w:p w14:paraId="7E668707" w14:textId="77777777" w:rsidR="00AB3647" w:rsidRDefault="00000000">
      <w:pPr>
        <w:spacing w:after="0" w:before="0"/>
        <w:jc w:val="both"/>
      </w:pPr>
      <w:r>
        <w:rPr>
          <w:sz w:val="20"/>
          <w:szCs w:val="20"/>
          <w:rtl/>
        </w:rPr>
        <w:footnoteRef/>
      </w:r>
      <w:r>
        <w:rPr>
          <w:sz w:val="20"/>
          <w:szCs w:val="20"/>
          <w:rtl/>
        </w:rPr>
        <w:t>. “יתד נאמן”, מוסף ערב סוכות תשס״א. המכתב נמצא בין ניירות פינס בארכיון הסוכנות היהודית.</w:t>
      </w:r>
    </w:p>
  </w:footnote>
  <w:footnote w:id="4375">
    <w:p w14:paraId="3E5703E4" w14:textId="77777777" w:rsidR="00AB3647" w:rsidRDefault="00000000">
      <w:pPr>
        <w:spacing w:after="0" w:before="0"/>
        <w:jc w:val="both"/>
      </w:pPr>
      <w:r>
        <w:rPr>
          <w:sz w:val="20"/>
          <w:szCs w:val="20"/>
          <w:rtl/>
        </w:rPr>
        <w:footnoteRef/>
      </w:r>
      <w:r>
        <w:rPr>
          <w:sz w:val="20"/>
          <w:szCs w:val="20"/>
          <w:rtl/>
        </w:rPr>
        <w:t xml:space="preserve">. השווה גם פרק 2, הערת שוליים </w:t>
      </w:r>
      <w:r>
        <w:rPr>
          <w:sz w:val="20"/>
          <w:szCs w:val="20"/>
          <w:rtl/>
        </w:rPr>
        <w:fldChar w:fldCharType="begin" w:dirty="true"/>
      </w:r>
      <w:r>
        <w:rPr>
          <w:sz w:val="20"/>
          <w:szCs w:val="20"/>
          <w:rtl/>
        </w:rPr>
        <w:instrText xml:space="preserve"> NOTEREF pr_f_853 \h </w:instrText>
      </w:r>
      <w:r>
        <w:rPr>
          <w:sz w:val="20"/>
          <w:szCs w:val="20"/>
          <w:rtl/>
        </w:rPr>
      </w:r>
      <w:r>
        <w:rPr>
          <w:sz w:val="20"/>
          <w:szCs w:val="20"/>
          <w:rtl/>
        </w:rPr>
        <w:fldChar w:fldCharType="separate"/>
      </w:r>
      <w:r w:rsidR="007923E9">
        <w:rPr>
          <w:sz w:val="20"/>
          <w:szCs w:val="20"/>
          <w:rtl/>
        </w:rPr>
        <w:t>484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pr_f_853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76">
    <w:p w14:paraId="2B3D0E7B" w14:textId="77777777" w:rsidR="00AB3647" w:rsidRDefault="00000000">
      <w:pPr>
        <w:spacing w:after="0" w:before="0"/>
        <w:jc w:val="both"/>
      </w:pPr>
      <w:r>
        <w:rPr>
          <w:sz w:val="20"/>
          <w:szCs w:val="20"/>
          <w:rtl/>
        </w:rPr>
        <w:footnoteRef/>
      </w:r>
      <w:r>
        <w:rPr>
          <w:sz w:val="20"/>
          <w:szCs w:val="20"/>
          <w:rtl/>
        </w:rPr>
        <w:t>. על פי דברים לב, לב–לג.</w:t>
      </w:r>
    </w:p>
  </w:footnote>
  <w:footnote w:id="4377">
    <w:p w14:paraId="6061578D" w14:textId="77777777" w:rsidR="00AB3647" w:rsidRDefault="00000000">
      <w:pPr>
        <w:spacing w:after="0" w:before="0"/>
        <w:jc w:val="both"/>
      </w:pPr>
      <w:r>
        <w:rPr>
          <w:sz w:val="20"/>
          <w:szCs w:val="20"/>
          <w:rtl/>
        </w:rPr>
        <w:footnoteRef/>
      </w:r>
      <w:r>
        <w:rPr>
          <w:sz w:val="20"/>
          <w:szCs w:val="20"/>
          <w:rtl/>
        </w:rPr>
        <w:t>. ריאיון מ־6 בדצמבר 1991.</w:t>
      </w:r>
    </w:p>
  </w:footnote>
  <w:footnote w:id="4378">
    <w:p w14:paraId="1168B862" w14:textId="77777777" w:rsidR="00AB3647" w:rsidRDefault="00000000">
      <w:pPr>
        <w:spacing w:after="0" w:before="0"/>
        <w:jc w:val="both"/>
      </w:pPr>
      <w:r>
        <w:rPr>
          <w:sz w:val="20"/>
          <w:szCs w:val="20"/>
          <w:rtl/>
        </w:rPr>
        <w:footnoteRef/>
      </w:r>
      <w:r>
        <w:rPr>
          <w:sz w:val="20"/>
          <w:szCs w:val="20"/>
          <w:rtl/>
        </w:rPr>
        <w:t xml:space="preserve">. הפסקה השנייה של נספח ב לעיל – </w:t>
      </w:r>
      <w:proofErr w:type="spellStart"/>
      <w:r>
        <w:rPr>
          <w:sz w:val="20"/>
          <w:szCs w:val="20"/>
          <w:rtl/>
        </w:rPr>
        <w:t>ח״ב</w:t>
      </w:r>
      <w:proofErr w:type="spellEnd"/>
      <w:r>
        <w:rPr>
          <w:sz w:val="20"/>
          <w:szCs w:val="20"/>
          <w:rtl/>
        </w:rPr>
        <w:t>, עמ׳ שי.</w:t>
      </w:r>
    </w:p>
  </w:footnote>
  <w:footnote w:id="4379">
    <w:p w14:paraId="79763A40" w14:textId="77777777" w:rsidR="00AB3647" w:rsidRDefault="00000000">
      <w:pPr>
        <w:spacing w:after="0" w:before="0"/>
        <w:jc w:val="both"/>
      </w:pPr>
      <w:r>
        <w:rPr>
          <w:sz w:val="20"/>
          <w:szCs w:val="20"/>
          <w:rtl/>
        </w:rPr>
        <w:footnoteRef/>
      </w:r>
      <w:r>
        <w:rPr>
          <w:sz w:val="20"/>
          <w:szCs w:val="20"/>
          <w:rtl/>
        </w:rPr>
        <w:t xml:space="preserve">. “עובדות והנהגות לבית </w:t>
      </w:r>
      <w:proofErr w:type="spellStart"/>
      <w:r>
        <w:rPr>
          <w:sz w:val="20"/>
          <w:szCs w:val="20"/>
          <w:rtl/>
        </w:rPr>
        <w:t>בריסק</w:t>
      </w:r>
      <w:proofErr w:type="spellEnd"/>
      <w:r>
        <w:rPr>
          <w:sz w:val="20"/>
          <w:szCs w:val="20"/>
          <w:rtl/>
        </w:rPr>
        <w:t xml:space="preserve">” אינו מפרט זאת, אבל לכאורה מוכרח שהתרגיל היה במקצוע שאינו מצריך ידיעת רוסית – מסתבר שבמתמטיקה, כמו במקרה של ר׳ </w:t>
      </w:r>
      <w:proofErr w:type="spellStart"/>
      <w:r>
        <w:rPr>
          <w:sz w:val="20"/>
          <w:szCs w:val="20"/>
          <w:rtl/>
        </w:rPr>
        <w:t>דוד׳ל</w:t>
      </w:r>
      <w:proofErr w:type="spellEnd"/>
      <w:r>
        <w:rPr>
          <w:sz w:val="20"/>
          <w:szCs w:val="20"/>
          <w:rtl/>
        </w:rPr>
        <w:t xml:space="preserve"> – שהרי, כמבואר בפרק 1, הערה 69, ר׳ חיים לא ידע לקרוא בשפה זו. אך לפי מה שסיפר פעם רבנו על ר׳ חיים, ייתכן שהתרגיל היה בכל מקצוע שהוא.</w:t>
      </w:r>
    </w:p>
    <w:p w14:paraId="47A5A15C" w14:textId="77777777" w:rsidR="00AB3647" w:rsidRDefault="00000000">
      <w:pPr>
        <w:spacing w:after="0" w:before="0"/>
        <w:jc w:val="both"/>
      </w:pPr>
      <w:r>
        <w:rPr>
          <w:sz w:val="20"/>
          <w:szCs w:val="20"/>
          <w:rtl/>
        </w:rPr>
        <w:t>אבי סיפר שר׳ חיים אמר פעם לאדם שהוא, ר׳ חיים, יכתוב בשבילו מכתב ברוסית. כשהלה אמר: “אבל רבי, אינך יודע רוסית!”, השיב: “אני לוקח נייר, עט ודיו, ואומר לשמש שלי – שיודע רוסית – מה לכתוב. השמש כותב ברוסית מה שאני אומר לו לכתוב. וכך כתבתי מכתב ברוסית”. אולי גם במעשה עם הסטודנט, כשאמר ר׳ חיים שיעשה את התרגיל, התכוון שאדם היודע לקרוא ולכתוב רוסית יאמר לו מה השאלות, והוא יאמר לו את התשובות הנכונות – ואותו אדם יכתוב אחר כך את התשובות ברוסית.</w:t>
      </w:r>
    </w:p>
  </w:footnote>
  <w:footnote w:id="4380">
    <w:p w14:paraId="382C26DB" w14:textId="77777777" w:rsidR="00AB3647" w:rsidRDefault="00000000">
      <w:pPr>
        <w:spacing w:after="0" w:before="0"/>
        <w:jc w:val="both"/>
      </w:pPr>
      <w:r>
        <w:rPr>
          <w:sz w:val="20"/>
          <w:szCs w:val="20"/>
          <w:rtl/>
        </w:rPr>
        <w:footnoteRef/>
      </w:r>
      <w:r>
        <w:rPr>
          <w:sz w:val="20"/>
          <w:szCs w:val="20"/>
          <w:rtl/>
        </w:rPr>
        <w:t>. הסיפור נדפס בסקירה ביוגרפית מאת יעקב ליב שפירא בהקדמה למהדורה חדשה של “מגלה עמוקות” (ללא מקום דפוס וללא תאריך).</w:t>
      </w:r>
    </w:p>
  </w:footnote>
  <w:footnote w:id="4381">
    <w:p w14:paraId="10DB70A2" w14:textId="77777777" w:rsidR="00AB3647" w:rsidRDefault="00000000">
      <w:pPr>
        <w:spacing w:after="0" w:before="0"/>
        <w:jc w:val="both"/>
      </w:pPr>
      <w:r>
        <w:rPr>
          <w:sz w:val="20"/>
          <w:szCs w:val="20"/>
          <w:rtl/>
        </w:rPr>
        <w:footnoteRef/>
      </w:r>
      <w:r>
        <w:rPr>
          <w:sz w:val="20"/>
          <w:szCs w:val="20"/>
          <w:rtl/>
        </w:rPr>
        <w:t>. השווה הערה 142 בפרק זה ופרק 5, הערה 83.</w:t>
      </w:r>
    </w:p>
  </w:footnote>
  <w:footnote w:id="4382">
    <w:p w14:paraId="4D7CBEDB" w14:textId="77777777" w:rsidR="00AB3647" w:rsidRDefault="00000000">
      <w:pPr>
        <w:spacing w:after="0" w:before="0"/>
        <w:jc w:val="both"/>
      </w:pPr>
      <w:r>
        <w:rPr>
          <w:sz w:val="20"/>
          <w:szCs w:val="20"/>
          <w:rtl/>
        </w:rPr>
        <w:footnoteRef/>
      </w:r>
      <w:r>
        <w:rPr>
          <w:sz w:val="20"/>
          <w:szCs w:val="20"/>
          <w:rtl/>
        </w:rPr>
        <w:t xml:space="preserve">. במכתב ר׳ </w:t>
      </w:r>
      <w:proofErr w:type="spellStart"/>
      <w:r>
        <w:rPr>
          <w:sz w:val="20"/>
          <w:szCs w:val="20"/>
          <w:rtl/>
        </w:rPr>
        <w:t>דוד׳ל</w:t>
      </w:r>
      <w:proofErr w:type="spellEnd"/>
      <w:r>
        <w:rPr>
          <w:sz w:val="20"/>
          <w:szCs w:val="20"/>
          <w:rtl/>
        </w:rPr>
        <w:t xml:space="preserve"> לגיסו, שנזכר לעיל, הוא כותב: “כעת אני בן שישים ושש שנה, וזה כחמישים שנה אני עובד בשדות הבבלי והירושלמי יומם ולילה ומקדיש למלאכה זו כמעט את כל כוחות נפשי וגופי”. אנו נותרים תוהים כיצד הגדיר ר׳ </w:t>
      </w:r>
      <w:proofErr w:type="spellStart"/>
      <w:r>
        <w:rPr>
          <w:sz w:val="20"/>
          <w:szCs w:val="20"/>
          <w:rtl/>
        </w:rPr>
        <w:t>דוד׳ל</w:t>
      </w:r>
      <w:proofErr w:type="spellEnd"/>
      <w:r>
        <w:rPr>
          <w:sz w:val="20"/>
          <w:szCs w:val="20"/>
          <w:rtl/>
        </w:rPr>
        <w:t xml:space="preserve"> את עיסוקו לפני גיל </w:t>
      </w:r>
      <w:proofErr w:type="spellStart"/>
      <w:r>
        <w:rPr>
          <w:sz w:val="20"/>
          <w:szCs w:val="20"/>
          <w:rtl/>
        </w:rPr>
        <w:t>שש־עשרה</w:t>
      </w:r>
      <w:proofErr w:type="spellEnd"/>
      <w:r>
        <w:rPr>
          <w:sz w:val="20"/>
          <w:szCs w:val="20"/>
          <w:rtl/>
        </w:rPr>
        <w:t xml:space="preserve"> – בשעה שכבר היה מסוגל לעצור גאונים ותיקים באמצע דבריהם (כמסופר בראש הפסקה הראשונה לעיל ובהערת השוליים </w:t>
      </w:r>
      <w:r>
        <w:rPr>
          <w:sz w:val="20"/>
          <w:szCs w:val="20"/>
          <w:rtl/>
        </w:rPr>
        <w:fldChar w:fldCharType="begin" w:dirty="true"/>
      </w:r>
      <w:r>
        <w:rPr>
          <w:sz w:val="20"/>
          <w:szCs w:val="20"/>
          <w:rtl/>
        </w:rPr>
        <w:instrText xml:space="preserve"> NOTEREF pr_f_4209 \h </w:instrText>
      </w:r>
      <w:r>
        <w:rPr>
          <w:sz w:val="20"/>
          <w:szCs w:val="20"/>
          <w:rtl/>
        </w:rPr>
      </w:r>
      <w:r>
        <w:rPr>
          <w:sz w:val="20"/>
          <w:szCs w:val="20"/>
          <w:rtl/>
        </w:rPr>
        <w:fldChar w:fldCharType="separate"/>
      </w:r>
      <w:r w:rsidR="007923E9">
        <w:rPr>
          <w:sz w:val="20"/>
          <w:szCs w:val="20"/>
          <w:rtl/>
        </w:rPr>
        <w:t>1287</w:t>
      </w:r>
      <w:r>
        <w:rPr>
          <w:sz w:val="20"/>
          <w:szCs w:val="20"/>
          <w:rtl/>
        </w:rPr>
        <w:fldChar w:fldCharType="end"/>
      </w:r>
      <w:r>
        <w:rPr>
          <w:sz w:val="20"/>
          <w:szCs w:val="20"/>
          <w:rtl/>
        </w:rPr>
        <w:t xml:space="preserve"> שם, על ניסיונו לפרק גם את דרשתו של ר׳ שמואל </w:t>
      </w:r>
      <w:proofErr w:type="spellStart"/>
      <w:r>
        <w:rPr>
          <w:sz w:val="20"/>
          <w:szCs w:val="20"/>
          <w:rtl/>
        </w:rPr>
        <w:t>סלנט</w:t>
      </w:r>
      <w:proofErr w:type="spellEnd"/>
      <w:r>
        <w:rPr>
          <w:sz w:val="20"/>
          <w:szCs w:val="20"/>
          <w:rtl/>
        </w:rPr>
        <w:t>).</w:t>
      </w:r>
    </w:p>
  </w:footnote>
  <w:footnote w:id="4383">
    <w:p w14:paraId="45B2C6C1" w14:textId="77777777" w:rsidR="00AB3647" w:rsidRDefault="00000000">
      <w:pPr>
        <w:spacing w:after="0" w:before="0"/>
        <w:jc w:val="both"/>
      </w:pPr>
      <w:r>
        <w:rPr>
          <w:sz w:val="20"/>
          <w:szCs w:val="20"/>
          <w:rtl/>
        </w:rPr>
        <w:footnoteRef/>
      </w:r>
      <w:r>
        <w:rPr>
          <w:sz w:val="20"/>
          <w:szCs w:val="20"/>
          <w:rtl/>
        </w:rPr>
        <w:t xml:space="preserve">. סיפר זאת ר׳ אביגדור אפן, שלמד בישיבת </w:t>
      </w:r>
      <w:proofErr w:type="spellStart"/>
      <w:r>
        <w:rPr>
          <w:sz w:val="20"/>
          <w:szCs w:val="20"/>
          <w:rtl/>
        </w:rPr>
        <w:t>קלצק</w:t>
      </w:r>
      <w:proofErr w:type="spellEnd"/>
      <w:r>
        <w:rPr>
          <w:sz w:val="20"/>
          <w:szCs w:val="20"/>
          <w:rtl/>
        </w:rPr>
        <w:t xml:space="preserve"> לפני המלחמה, בריאיון מ־21 באפריל 1992. המרואיין לא זכר היכן שמע או קרא את הסיפור. אפשר לשער שהרב אפן שמע אותו בישיבת </w:t>
      </w:r>
      <w:proofErr w:type="spellStart"/>
      <w:r>
        <w:rPr>
          <w:sz w:val="20"/>
          <w:szCs w:val="20"/>
          <w:rtl/>
        </w:rPr>
        <w:t>קלצק</w:t>
      </w:r>
      <w:proofErr w:type="spellEnd"/>
      <w:r>
        <w:rPr>
          <w:sz w:val="20"/>
          <w:szCs w:val="20"/>
          <w:rtl/>
        </w:rPr>
        <w:t xml:space="preserve">, שכן ב־16 במאי 1997 סיפר בוגר אחר של </w:t>
      </w:r>
      <w:proofErr w:type="spellStart"/>
      <w:r>
        <w:rPr>
          <w:sz w:val="20"/>
          <w:szCs w:val="20"/>
          <w:rtl/>
        </w:rPr>
        <w:t>קלצק</w:t>
      </w:r>
      <w:proofErr w:type="spellEnd"/>
      <w:r>
        <w:rPr>
          <w:sz w:val="20"/>
          <w:szCs w:val="20"/>
          <w:rtl/>
        </w:rPr>
        <w:t xml:space="preserve">, ר׳ לייב </w:t>
      </w:r>
      <w:proofErr w:type="spellStart"/>
      <w:r>
        <w:rPr>
          <w:sz w:val="20"/>
          <w:szCs w:val="20"/>
          <w:rtl/>
        </w:rPr>
        <w:t>רוטקין</w:t>
      </w:r>
      <w:proofErr w:type="spellEnd"/>
      <w:r>
        <w:rPr>
          <w:sz w:val="20"/>
          <w:szCs w:val="20"/>
          <w:rtl/>
        </w:rPr>
        <w:t xml:space="preserve">, מה שנראה כגרסה אחרת של אותו סיפור, וזכר ששמע אותה בישיבת </w:t>
      </w:r>
      <w:proofErr w:type="spellStart"/>
      <w:r>
        <w:rPr>
          <w:sz w:val="20"/>
          <w:szCs w:val="20"/>
          <w:rtl/>
        </w:rPr>
        <w:t>קלצק</w:t>
      </w:r>
      <w:proofErr w:type="spellEnd"/>
      <w:r>
        <w:rPr>
          <w:sz w:val="20"/>
          <w:szCs w:val="20"/>
          <w:rtl/>
        </w:rPr>
        <w:t xml:space="preserve"> שלפני המלחמה. ראה גם שני מעשים מעין זה על </w:t>
      </w:r>
      <w:proofErr w:type="spellStart"/>
      <w:r>
        <w:rPr>
          <w:sz w:val="20"/>
          <w:szCs w:val="20"/>
          <w:rtl/>
        </w:rPr>
        <w:t>החזון־איש</w:t>
      </w:r>
      <w:proofErr w:type="spellEnd"/>
      <w:r>
        <w:rPr>
          <w:sz w:val="20"/>
          <w:szCs w:val="20"/>
          <w:rtl/>
        </w:rPr>
        <w:t xml:space="preserve"> </w:t>
      </w:r>
      <w:proofErr w:type="spellStart"/>
      <w:r>
        <w:rPr>
          <w:sz w:val="20"/>
          <w:szCs w:val="20"/>
          <w:rtl/>
        </w:rPr>
        <w:t>ב“אמונת</w:t>
      </w:r>
      <w:proofErr w:type="spellEnd"/>
      <w:r>
        <w:rPr>
          <w:sz w:val="20"/>
          <w:szCs w:val="20"/>
          <w:rtl/>
        </w:rPr>
        <w:t xml:space="preserve"> חסידיך” (שם, פרק 1, הערה 72), עמ׳ 279–280 ו־280–281. בגרסת הרב </w:t>
      </w:r>
      <w:proofErr w:type="spellStart"/>
      <w:r>
        <w:rPr>
          <w:sz w:val="20"/>
          <w:szCs w:val="20"/>
          <w:rtl/>
        </w:rPr>
        <w:t>רוטקין</w:t>
      </w:r>
      <w:proofErr w:type="spellEnd"/>
      <w:r>
        <w:rPr>
          <w:sz w:val="20"/>
          <w:szCs w:val="20"/>
          <w:rtl/>
        </w:rPr>
        <w:t xml:space="preserve"> סיפר המגיד </w:t>
      </w:r>
      <w:proofErr w:type="spellStart"/>
      <w:r>
        <w:rPr>
          <w:sz w:val="20"/>
          <w:szCs w:val="20"/>
          <w:rtl/>
        </w:rPr>
        <w:t>לחפץ־חיים</w:t>
      </w:r>
      <w:proofErr w:type="spellEnd"/>
      <w:r>
        <w:rPr>
          <w:sz w:val="20"/>
          <w:szCs w:val="20"/>
          <w:rtl/>
        </w:rPr>
        <w:t xml:space="preserve"> שר׳ </w:t>
      </w:r>
      <w:proofErr w:type="spellStart"/>
      <w:r>
        <w:rPr>
          <w:sz w:val="20"/>
          <w:szCs w:val="20"/>
          <w:rtl/>
        </w:rPr>
        <w:t>דוד׳ל</w:t>
      </w:r>
      <w:proofErr w:type="spellEnd"/>
      <w:r>
        <w:rPr>
          <w:sz w:val="20"/>
          <w:szCs w:val="20"/>
          <w:rtl/>
        </w:rPr>
        <w:t xml:space="preserve"> הזקן אינו מכיר עוד את בני משפחתו, ורק חוזר כל היום בעל פה על דפי גמרא; </w:t>
      </w:r>
      <w:proofErr w:type="spellStart"/>
      <w:r>
        <w:rPr>
          <w:sz w:val="20"/>
          <w:szCs w:val="20"/>
          <w:rtl/>
        </w:rPr>
        <w:t>והחפץ־חיים</w:t>
      </w:r>
      <w:proofErr w:type="spellEnd"/>
      <w:r>
        <w:rPr>
          <w:sz w:val="20"/>
          <w:szCs w:val="20"/>
          <w:rtl/>
        </w:rPr>
        <w:t xml:space="preserve"> אמר לו שיספר זאת בהספדו.</w:t>
      </w:r>
    </w:p>
  </w:footnote>
  <w:footnote w:id="4384">
    <w:p w14:paraId="767FA2DE" w14:textId="77777777" w:rsidR="00AB3647" w:rsidRDefault="00000000">
      <w:pPr>
        <w:spacing w:after="0" w:before="0"/>
        <w:jc w:val="both"/>
      </w:pPr>
      <w:r>
        <w:rPr>
          <w:sz w:val="20"/>
          <w:szCs w:val="20"/>
          <w:rtl/>
        </w:rPr>
        <w:footnoteRef/>
      </w:r>
      <w:r>
        <w:rPr>
          <w:sz w:val="20"/>
          <w:szCs w:val="20"/>
          <w:rtl/>
        </w:rPr>
        <w:t>. ריאיון מ־25 בדצמבר 1991.</w:t>
      </w:r>
    </w:p>
  </w:footnote>
  <w:footnote w:id="4385">
    <w:p w14:paraId="199806CD" w14:textId="77777777" w:rsidR="00AB3647" w:rsidRDefault="00000000">
      <w:pPr>
        <w:spacing w:after="0" w:before="0"/>
        <w:jc w:val="both"/>
      </w:pPr>
      <w:r>
        <w:rPr>
          <w:sz w:val="20"/>
          <w:szCs w:val="20"/>
          <w:rtl/>
        </w:rPr>
        <w:footnoteRef/>
      </w:r>
      <w:r>
        <w:rPr>
          <w:sz w:val="20"/>
          <w:szCs w:val="20"/>
          <w:rtl/>
        </w:rPr>
        <w:t>. ראה הערה 133 לעיל.</w:t>
      </w:r>
    </w:p>
  </w:footnote>
  <w:footnote w:id="4386">
    <w:p w14:paraId="7849AC87" w14:textId="77777777" w:rsidR="00AB3647" w:rsidRDefault="00000000">
      <w:pPr>
        <w:spacing w:after="0" w:before="0"/>
        <w:jc w:val="both"/>
      </w:pPr>
      <w:r>
        <w:rPr>
          <w:sz w:val="20"/>
          <w:szCs w:val="20"/>
          <w:rtl/>
        </w:rPr>
        <w:footnoteRef/>
      </w:r>
      <w:r>
        <w:rPr>
          <w:sz w:val="20"/>
          <w:szCs w:val="20"/>
          <w:rtl/>
        </w:rPr>
        <w:t>. ריאיון מ־8 בפברואר 1987.</w:t>
      </w:r>
    </w:p>
  </w:footnote>
  <w:footnote w:id="4387">
    <w:p w14:paraId="3D6CB0E0" w14:textId="77777777" w:rsidR="00AB3647" w:rsidRDefault="00000000">
      <w:pPr>
        <w:spacing w:after="0" w:before="0"/>
        <w:jc w:val="both"/>
      </w:pPr>
      <w:r>
        <w:rPr>
          <w:sz w:val="20"/>
          <w:szCs w:val="20"/>
          <w:rtl/>
        </w:rPr>
        <w:footnoteRef/>
      </w:r>
      <w:r>
        <w:rPr>
          <w:sz w:val="20"/>
          <w:szCs w:val="20"/>
          <w:rtl/>
        </w:rPr>
        <w:t>. השווה כרך 2.</w:t>
      </w:r>
    </w:p>
  </w:footnote>
  <w:footnote w:id="4388">
    <w:p w14:paraId="0DCA68B4" w14:textId="77777777" w:rsidR="00AB3647" w:rsidRDefault="00000000">
      <w:pPr>
        <w:spacing w:after="0" w:before="0"/>
        <w:jc w:val="both"/>
      </w:pPr>
      <w:r>
        <w:rPr>
          <w:sz w:val="20"/>
          <w:szCs w:val="20"/>
          <w:rtl/>
        </w:rPr>
        <w:footnoteRef/>
      </w:r>
      <w:r>
        <w:rPr>
          <w:sz w:val="20"/>
          <w:szCs w:val="20"/>
          <w:rtl/>
        </w:rPr>
        <w:t>. השווה כרך 3.</w:t>
      </w:r>
    </w:p>
  </w:footnote>
  <w:footnote w:id="4389">
    <w:p w14:paraId="291F8760" w14:textId="77777777" w:rsidR="00AB3647" w:rsidRDefault="00000000">
      <w:pPr>
        <w:spacing w:after="0" w:before="0"/>
        <w:jc w:val="both"/>
      </w:pPr>
      <w:r>
        <w:rPr>
          <w:sz w:val="20"/>
          <w:szCs w:val="20"/>
          <w:rtl/>
        </w:rPr>
        <w:footnoteRef/>
      </w:r>
      <w:r>
        <w:rPr>
          <w:sz w:val="20"/>
          <w:szCs w:val="20"/>
          <w:rtl/>
        </w:rPr>
        <w:t xml:space="preserve">. נדפס בידי “בני... המחבר”, ניו יורק, תשמ״ט – עמ׳ </w:t>
      </w:r>
      <w:proofErr w:type="spellStart"/>
      <w:r>
        <w:rPr>
          <w:sz w:val="20"/>
          <w:szCs w:val="20"/>
          <w:rtl/>
        </w:rPr>
        <w:t>שכט</w:t>
      </w:r>
      <w:proofErr w:type="spellEnd"/>
      <w:r>
        <w:rPr>
          <w:sz w:val="20"/>
          <w:szCs w:val="20"/>
          <w:rtl/>
        </w:rPr>
        <w:t>, על סוף אבות פ״ב מ״ה.</w:t>
      </w:r>
    </w:p>
  </w:footnote>
  <w:footnote w:id="4390">
    <w:p w14:paraId="39993A61" w14:textId="77777777" w:rsidR="00AB3647" w:rsidRDefault="00000000">
      <w:pPr>
        <w:spacing w:after="0" w:before="0"/>
        <w:jc w:val="both"/>
      </w:pPr>
      <w:r>
        <w:rPr>
          <w:sz w:val="20"/>
          <w:szCs w:val="20"/>
          <w:rtl/>
        </w:rPr>
        <w:footnoteRef/>
      </w:r>
      <w:r>
        <w:rPr>
          <w:sz w:val="20"/>
          <w:szCs w:val="20"/>
          <w:rtl/>
        </w:rPr>
        <w:t xml:space="preserve">. השווה גם פרק 2, הערה 68. ועי׳ מאמר על ענין זה בקובץ בית אהרן וישראל, </w:t>
      </w:r>
      <w:proofErr w:type="spellStart"/>
      <w:r>
        <w:rPr>
          <w:sz w:val="20"/>
          <w:szCs w:val="20"/>
          <w:rtl/>
        </w:rPr>
        <w:t>אב־אלול</w:t>
      </w:r>
      <w:proofErr w:type="spellEnd"/>
      <w:r>
        <w:rPr>
          <w:sz w:val="20"/>
          <w:szCs w:val="20"/>
          <w:rtl/>
        </w:rPr>
        <w:t xml:space="preserve"> תשנ״א.</w:t>
      </w:r>
    </w:p>
  </w:footnote>
  <w:footnote w:id="4391">
    <w:p w14:paraId="4661602C" w14:textId="77777777" w:rsidR="00AB3647" w:rsidRDefault="00000000">
      <w:pPr>
        <w:spacing w:after="0" w:before="0"/>
        <w:jc w:val="both"/>
      </w:pPr>
      <w:r>
        <w:rPr>
          <w:sz w:val="20"/>
          <w:szCs w:val="20"/>
          <w:rtl/>
        </w:rPr>
        <w:footnoteRef/>
      </w:r>
      <w:r>
        <w:rPr>
          <w:sz w:val="20"/>
          <w:szCs w:val="20"/>
          <w:rtl/>
        </w:rPr>
        <w:t xml:space="preserve">. הפסקה השנייה של נספח </w:t>
      </w:r>
      <w:proofErr w:type="spellStart"/>
      <w:r>
        <w:rPr>
          <w:sz w:val="20"/>
          <w:szCs w:val="20"/>
          <w:rtl/>
        </w:rPr>
        <w:t>יז</w:t>
      </w:r>
      <w:proofErr w:type="spellEnd"/>
      <w:r>
        <w:rPr>
          <w:sz w:val="20"/>
          <w:szCs w:val="20"/>
          <w:rtl/>
        </w:rPr>
        <w:t xml:space="preserve"> לעיל – הערת שוליים </w:t>
      </w:r>
      <w:r>
        <w:rPr>
          <w:sz w:val="20"/>
          <w:szCs w:val="20"/>
          <w:rtl/>
        </w:rPr>
        <w:fldChar w:fldCharType="begin" w:dirty="true"/>
      </w:r>
      <w:r>
        <w:rPr>
          <w:sz w:val="20"/>
          <w:szCs w:val="20"/>
          <w:rtl/>
        </w:rPr>
        <w:instrText xml:space="preserve"> NOTEREF pr_f_4247 \h </w:instrText>
      </w:r>
      <w:r>
        <w:rPr>
          <w:sz w:val="20"/>
          <w:szCs w:val="20"/>
          <w:rtl/>
        </w:rPr>
      </w:r>
      <w:r>
        <w:rPr>
          <w:sz w:val="20"/>
          <w:szCs w:val="20"/>
          <w:rtl/>
        </w:rPr>
        <w:fldChar w:fldCharType="separate"/>
      </w:r>
      <w:r w:rsidR="007923E9">
        <w:rPr>
          <w:sz w:val="20"/>
          <w:szCs w:val="20"/>
          <w:rtl/>
        </w:rPr>
        <w:t>1324</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pr_f_4247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392">
    <w:p w14:paraId="20B35606" w14:textId="77777777" w:rsidR="00AB3647" w:rsidRDefault="00000000">
      <w:pPr>
        <w:spacing w:after="0" w:before="0"/>
        <w:jc w:val="both"/>
      </w:pPr>
      <w:r>
        <w:rPr>
          <w:sz w:val="20"/>
          <w:szCs w:val="20"/>
          <w:rtl/>
        </w:rPr>
        <w:footnoteRef/>
      </w:r>
      <w:r>
        <w:rPr>
          <w:sz w:val="20"/>
          <w:szCs w:val="20"/>
          <w:rtl/>
        </w:rPr>
        <w:t>. ראה פרק 5, הפסקה השנייה של נספח ב.</w:t>
      </w:r>
    </w:p>
  </w:footnote>
  <w:footnote w:id="4393">
    <w:p w14:paraId="1AF7D616" w14:textId="77777777" w:rsidR="00AB3647" w:rsidRDefault="00000000">
      <w:pPr>
        <w:spacing w:after="0" w:before="0"/>
        <w:jc w:val="both"/>
      </w:pPr>
      <w:r>
        <w:rPr>
          <w:sz w:val="20"/>
          <w:szCs w:val="20"/>
          <w:rtl/>
        </w:rPr>
        <w:footnoteRef/>
      </w:r>
      <w:r>
        <w:rPr>
          <w:sz w:val="20"/>
          <w:szCs w:val="20"/>
          <w:rtl/>
        </w:rPr>
        <w:t>. ריאיון מ־10 בינואר 1999.</w:t>
      </w:r>
    </w:p>
  </w:footnote>
  <w:footnote w:id="4394">
    <w:p w14:paraId="30DCBC6C" w14:textId="77777777" w:rsidR="00AB3647" w:rsidRDefault="00000000">
      <w:pPr>
        <w:spacing w:after="0" w:before="0"/>
        <w:jc w:val="both"/>
      </w:pPr>
      <w:r>
        <w:rPr>
          <w:sz w:val="20"/>
          <w:szCs w:val="20"/>
          <w:rtl/>
        </w:rPr>
        <w:footnoteRef/>
      </w:r>
      <w:r>
        <w:rPr>
          <w:sz w:val="20"/>
          <w:szCs w:val="20"/>
          <w:rtl/>
        </w:rPr>
        <w:t>. ראה כרך 2.</w:t>
      </w:r>
    </w:p>
  </w:footnote>
  <w:footnote w:id="4395">
    <w:p w14:paraId="1F353814" w14:textId="77777777" w:rsidR="00AB3647" w:rsidRDefault="00000000">
      <w:pPr>
        <w:spacing w:after="0" w:before="0"/>
        <w:jc w:val="both"/>
      </w:pPr>
      <w:r>
        <w:rPr>
          <w:sz w:val="20"/>
          <w:szCs w:val="20"/>
          <w:rtl/>
        </w:rPr>
        <w:footnoteRef/>
      </w:r>
      <w:r>
        <w:rPr>
          <w:sz w:val="20"/>
          <w:szCs w:val="20"/>
          <w:rtl/>
        </w:rPr>
        <w:t>. ראה הערה 103 לעיל.</w:t>
      </w:r>
    </w:p>
  </w:footnote>
  <w:footnote w:id="4396">
    <w:p w14:paraId="57B51D9F" w14:textId="77777777" w:rsidR="00AB3647" w:rsidRDefault="00000000">
      <w:pPr>
        <w:spacing w:after="0" w:before="0"/>
        <w:jc w:val="both"/>
      </w:pPr>
      <w:r>
        <w:rPr>
          <w:sz w:val="20"/>
          <w:szCs w:val="20"/>
          <w:rtl/>
        </w:rPr>
        <w:footnoteRef/>
      </w:r>
      <w:r>
        <w:rPr>
          <w:sz w:val="20"/>
          <w:szCs w:val="20"/>
          <w:rtl/>
        </w:rPr>
        <w:t>. הערה 70 לעיל – עמ׳ 85.</w:t>
      </w:r>
    </w:p>
  </w:footnote>
  <w:footnote w:id="4397">
    <w:p w14:paraId="5A3E4C1B" w14:textId="77777777" w:rsidR="00AB3647" w:rsidRDefault="00000000">
      <w:pPr>
        <w:spacing w:after="0" w:before="0"/>
        <w:jc w:val="both"/>
      </w:pPr>
      <w:r>
        <w:rPr>
          <w:sz w:val="20"/>
          <w:szCs w:val="20"/>
          <w:rtl/>
        </w:rPr>
        <w:footnoteRef/>
      </w:r>
      <w:r>
        <w:rPr>
          <w:sz w:val="20"/>
          <w:szCs w:val="20"/>
          <w:rtl/>
        </w:rPr>
        <w:t xml:space="preserve">. הוא אמר בזה הלשון: מה הכוונה לדורות בזה שהקב״ה כתב בתורה שהוא </w:t>
      </w:r>
      <w:proofErr w:type="spellStart"/>
      <w:r>
        <w:rPr>
          <w:sz w:val="20"/>
          <w:szCs w:val="20"/>
          <w:rtl/>
        </w:rPr>
        <w:t>צוה</w:t>
      </w:r>
      <w:proofErr w:type="spellEnd"/>
      <w:r>
        <w:rPr>
          <w:sz w:val="20"/>
          <w:szCs w:val="20"/>
          <w:rtl/>
        </w:rPr>
        <w:t xml:space="preserve"> למשה “קח את מטך והשלך לפני פרעה יהי לתנין (שמות ז:ט)”, וכי אנחנו צריכים ללמוד מזה לעשות כעין מעשה כשפים כזאת? אלא בא ללמד למשה ולנו משהו על כלל ישראל, דהיינו, שכשמרחיקים יהודים ומשליכים אותם הם נהפכים לנחשים אבל כשמקרבים אותם הם כמטה שאפשר לסמוך עליהם.</w:t>
      </w:r>
    </w:p>
  </w:footnote>
  <w:footnote w:id="4398">
    <w:p w14:paraId="22FA7E81" w14:textId="77777777" w:rsidR="00AB3647" w:rsidRDefault="00000000">
      <w:pPr>
        <w:spacing w:after="0" w:before="0"/>
        <w:jc w:val="both"/>
      </w:pPr>
      <w:r>
        <w:rPr>
          <w:sz w:val="20"/>
          <w:szCs w:val="20"/>
          <w:rtl/>
        </w:rPr>
        <w:footnoteRef/>
      </w:r>
      <w:r>
        <w:rPr>
          <w:sz w:val="20"/>
          <w:szCs w:val="20"/>
          <w:rtl/>
        </w:rPr>
        <w:t>. השווה פרק 3, נספח ח.</w:t>
      </w:r>
    </w:p>
  </w:footnote>
  <w:footnote w:id="4399">
    <w:p w14:paraId="7ED3D468" w14:textId="77777777" w:rsidR="00AB3647" w:rsidRDefault="00000000">
      <w:pPr>
        <w:spacing w:after="0" w:before="0"/>
        <w:jc w:val="both"/>
      </w:pPr>
      <w:r>
        <w:rPr>
          <w:sz w:val="20"/>
          <w:szCs w:val="20"/>
          <w:rtl/>
        </w:rPr>
        <w:footnoteRef/>
      </w:r>
      <w:r>
        <w:rPr>
          <w:sz w:val="20"/>
          <w:szCs w:val="20"/>
          <w:rtl/>
        </w:rPr>
        <w:t>. ריאיון מ־10 בינואר 1999.</w:t>
      </w:r>
    </w:p>
  </w:footnote>
  <w:footnote w:id="4400">
    <w:p w14:paraId="1F8886CE" w14:textId="77777777" w:rsidR="00AB3647" w:rsidRDefault="00000000">
      <w:pPr>
        <w:spacing w:after="0" w:before="0"/>
        <w:jc w:val="both"/>
      </w:pPr>
      <w:r>
        <w:rPr>
          <w:sz w:val="20"/>
          <w:szCs w:val="20"/>
          <w:rtl/>
        </w:rPr>
        <w:footnoteRef/>
      </w:r>
      <w:r>
        <w:rPr>
          <w:sz w:val="20"/>
          <w:szCs w:val="20"/>
          <w:rtl/>
        </w:rPr>
        <w:t xml:space="preserve">. ראה כרך 3. הוא היה גאון גדול, והיה פוסק בשאלות הלכה </w:t>
      </w:r>
      <w:proofErr w:type="spellStart"/>
      <w:r>
        <w:rPr>
          <w:sz w:val="20"/>
          <w:szCs w:val="20"/>
          <w:rtl/>
        </w:rPr>
        <w:t>בפוניבז</w:t>
      </w:r>
      <w:proofErr w:type="spellEnd"/>
      <w:r>
        <w:rPr>
          <w:sz w:val="20"/>
          <w:szCs w:val="20"/>
          <w:rtl/>
        </w:rPr>
        <w:t xml:space="preserve">׳ כשר׳ </w:t>
      </w:r>
      <w:proofErr w:type="spellStart"/>
      <w:r>
        <w:rPr>
          <w:sz w:val="20"/>
          <w:szCs w:val="20"/>
          <w:rtl/>
        </w:rPr>
        <w:t>יוסף־שלמה</w:t>
      </w:r>
      <w:proofErr w:type="spellEnd"/>
      <w:r>
        <w:rPr>
          <w:sz w:val="20"/>
          <w:szCs w:val="20"/>
          <w:rtl/>
        </w:rPr>
        <w:t xml:space="preserve"> שהה בחוץ לארץ במסעותיו הרבים. כשמילא את מקום הרב במשרדו, היה הרב שניידר, שלבש מקטורן קצר, לובש מעיל על חליפתו כדי להיראות רבני יותר.</w:t>
      </w:r>
    </w:p>
  </w:footnote>
  <w:footnote w:id="4401">
    <w:p w14:paraId="53A84B66" w14:textId="77777777" w:rsidR="00AB3647" w:rsidRDefault="00000000">
      <w:pPr>
        <w:spacing w:after="0" w:before="0"/>
        <w:jc w:val="both"/>
      </w:pPr>
      <w:r>
        <w:rPr>
          <w:sz w:val="20"/>
          <w:szCs w:val="20"/>
          <w:rtl/>
        </w:rPr>
        <w:footnoteRef/>
      </w:r>
      <w:r>
        <w:rPr>
          <w:sz w:val="20"/>
          <w:szCs w:val="20"/>
          <w:rtl/>
        </w:rPr>
        <w:t xml:space="preserve">. שם, פרק 3, נספח א – עמ׳ 137. נראה שמחבר המאמר,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שמע את הדברים בריאיון אישי עם בעל המעשה. ראה פרק 1, הערה 14, שר׳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השיג את ידיעותיו על אישים מפורסמים בכך ששאל אותם ישירות.</w:t>
      </w:r>
    </w:p>
  </w:footnote>
  <w:footnote w:id="4402">
    <w:p w14:paraId="7A617B97"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ה“סביבה</w:t>
      </w:r>
      <w:proofErr w:type="spellEnd"/>
      <w:r>
        <w:rPr>
          <w:sz w:val="20"/>
          <w:szCs w:val="20"/>
          <w:rtl/>
        </w:rPr>
        <w:t xml:space="preserve">” הנזכרת אינה </w:t>
      </w:r>
      <w:proofErr w:type="spellStart"/>
      <w:r>
        <w:rPr>
          <w:sz w:val="20"/>
          <w:szCs w:val="20"/>
          <w:rtl/>
        </w:rPr>
        <w:t>וידז</w:t>
      </w:r>
      <w:proofErr w:type="spellEnd"/>
      <w:r>
        <w:rPr>
          <w:sz w:val="20"/>
          <w:szCs w:val="20"/>
          <w:rtl/>
        </w:rPr>
        <w:t xml:space="preserve">׳ הרחוקה, שבה שוחררו השבויים, אלא </w:t>
      </w:r>
      <w:proofErr w:type="spellStart"/>
      <w:r>
        <w:rPr>
          <w:sz w:val="20"/>
          <w:szCs w:val="20"/>
          <w:rtl/>
        </w:rPr>
        <w:t>אוטיאן</w:t>
      </w:r>
      <w:proofErr w:type="spellEnd"/>
      <w:r>
        <w:rPr>
          <w:sz w:val="20"/>
          <w:szCs w:val="20"/>
          <w:rtl/>
        </w:rPr>
        <w:t xml:space="preserve"> או </w:t>
      </w:r>
      <w:proofErr w:type="spellStart"/>
      <w:r>
        <w:rPr>
          <w:sz w:val="20"/>
          <w:szCs w:val="20"/>
          <w:rtl/>
        </w:rPr>
        <w:t>אניקשט</w:t>
      </w:r>
      <w:proofErr w:type="spellEnd"/>
      <w:r>
        <w:rPr>
          <w:sz w:val="20"/>
          <w:szCs w:val="20"/>
          <w:rtl/>
        </w:rPr>
        <w:t xml:space="preserve">, הקרובות יותר </w:t>
      </w:r>
      <w:proofErr w:type="spellStart"/>
      <w:r>
        <w:rPr>
          <w:sz w:val="20"/>
          <w:szCs w:val="20"/>
          <w:rtl/>
        </w:rPr>
        <w:t>לפוניבז</w:t>
      </w:r>
      <w:proofErr w:type="spellEnd"/>
      <w:r>
        <w:rPr>
          <w:sz w:val="20"/>
          <w:szCs w:val="20"/>
          <w:rtl/>
        </w:rPr>
        <w:t xml:space="preserve">׳, שבהן גילה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xml:space="preserve"> גם הוא דאגה לשבויי המלחמה היהודים האומללים.</w:t>
      </w:r>
    </w:p>
  </w:footnote>
  <w:footnote w:id="4403">
    <w:p w14:paraId="08CF5382" w14:textId="77777777" w:rsidR="00AB3647" w:rsidRDefault="00000000">
      <w:pPr>
        <w:spacing w:after="0" w:before="0"/>
        <w:jc w:val="both"/>
      </w:pPr>
      <w:r>
        <w:rPr>
          <w:sz w:val="20"/>
          <w:szCs w:val="20"/>
          <w:rtl/>
        </w:rPr>
        <w:footnoteRef/>
      </w:r>
      <w:r>
        <w:rPr>
          <w:sz w:val="20"/>
          <w:szCs w:val="20"/>
          <w:rtl/>
        </w:rPr>
        <w:t xml:space="preserve">. “קשת </w:t>
      </w:r>
      <w:proofErr w:type="spellStart"/>
      <w:r>
        <w:rPr>
          <w:sz w:val="20"/>
          <w:szCs w:val="20"/>
          <w:rtl/>
        </w:rPr>
        <w:t>גבורים</w:t>
      </w:r>
      <w:proofErr w:type="spellEnd"/>
      <w:r>
        <w:rPr>
          <w:sz w:val="20"/>
          <w:szCs w:val="20"/>
          <w:rtl/>
        </w:rPr>
        <w:t>”, עמ׳ 136.</w:t>
      </w:r>
    </w:p>
  </w:footnote>
  <w:footnote w:id="4404">
    <w:p w14:paraId="14C35B40" w14:textId="77777777" w:rsidR="00AB3647" w:rsidRDefault="00000000">
      <w:pPr>
        <w:spacing w:after="0" w:before="0"/>
        <w:jc w:val="both"/>
      </w:pPr>
      <w:r>
        <w:rPr>
          <w:sz w:val="20"/>
          <w:szCs w:val="20"/>
          <w:rtl/>
        </w:rPr>
        <w:footnoteRef/>
      </w:r>
      <w:r>
        <w:rPr>
          <w:sz w:val="20"/>
          <w:szCs w:val="20"/>
          <w:rtl/>
        </w:rPr>
        <w:t xml:space="preserve">. מסתבר שר׳ </w:t>
      </w:r>
      <w:proofErr w:type="spellStart"/>
      <w:r>
        <w:rPr>
          <w:sz w:val="20"/>
          <w:szCs w:val="20"/>
          <w:rtl/>
        </w:rPr>
        <w:t>חיים־עוזר</w:t>
      </w:r>
      <w:proofErr w:type="spellEnd"/>
      <w:r>
        <w:rPr>
          <w:sz w:val="20"/>
          <w:szCs w:val="20"/>
          <w:rtl/>
        </w:rPr>
        <w:t xml:space="preserve"> שמע אז על פעולות ר׳ </w:t>
      </w:r>
      <w:proofErr w:type="spellStart"/>
      <w:r>
        <w:rPr>
          <w:sz w:val="20"/>
          <w:szCs w:val="20"/>
          <w:rtl/>
        </w:rPr>
        <w:t>יוסף־שלמה</w:t>
      </w:r>
      <w:proofErr w:type="spellEnd"/>
      <w:r>
        <w:rPr>
          <w:sz w:val="20"/>
          <w:szCs w:val="20"/>
          <w:rtl/>
        </w:rPr>
        <w:t xml:space="preserve"> </w:t>
      </w:r>
      <w:proofErr w:type="spellStart"/>
      <w:r>
        <w:rPr>
          <w:sz w:val="20"/>
          <w:szCs w:val="20"/>
          <w:rtl/>
        </w:rPr>
        <w:t>כהנמן</w:t>
      </w:r>
      <w:proofErr w:type="spellEnd"/>
      <w:r>
        <w:rPr>
          <w:sz w:val="20"/>
          <w:szCs w:val="20"/>
          <w:rtl/>
        </w:rPr>
        <w:t>, כמבואר להלן.</w:t>
      </w:r>
    </w:p>
  </w:footnote>
  <w:footnote w:id="4405">
    <w:p w14:paraId="2590627F" w14:textId="77777777" w:rsidR="00AB3647" w:rsidRDefault="00000000">
      <w:pPr>
        <w:spacing w:after="0" w:before="0"/>
        <w:jc w:val="both"/>
      </w:pPr>
      <w:r>
        <w:rPr>
          <w:sz w:val="20"/>
          <w:szCs w:val="20"/>
          <w:rtl/>
        </w:rPr>
        <w:footnoteRef/>
      </w:r>
      <w:r>
        <w:rPr>
          <w:sz w:val="20"/>
          <w:szCs w:val="20"/>
          <w:rtl/>
        </w:rPr>
        <w:t xml:space="preserve">. ראה יעקב מארק, עמ׳ 134: ר׳ </w:t>
      </w:r>
      <w:proofErr w:type="spellStart"/>
      <w:r>
        <w:rPr>
          <w:sz w:val="20"/>
          <w:szCs w:val="20"/>
          <w:rtl/>
        </w:rPr>
        <w:t>איצל׳ה</w:t>
      </w:r>
      <w:proofErr w:type="spellEnd"/>
      <w:r>
        <w:rPr>
          <w:sz w:val="20"/>
          <w:szCs w:val="20"/>
          <w:rtl/>
        </w:rPr>
        <w:t xml:space="preserve"> שב </w:t>
      </w:r>
      <w:proofErr w:type="spellStart"/>
      <w:r>
        <w:rPr>
          <w:sz w:val="20"/>
          <w:szCs w:val="20"/>
          <w:rtl/>
        </w:rPr>
        <w:t>לפוניבז</w:t>
      </w:r>
      <w:proofErr w:type="spellEnd"/>
      <w:r>
        <w:rPr>
          <w:sz w:val="20"/>
          <w:szCs w:val="20"/>
          <w:rtl/>
        </w:rPr>
        <w:t xml:space="preserve">׳ מגלותו </w:t>
      </w:r>
      <w:proofErr w:type="spellStart"/>
      <w:r>
        <w:rPr>
          <w:sz w:val="20"/>
          <w:szCs w:val="20"/>
          <w:rtl/>
        </w:rPr>
        <w:t>במריופול</w:t>
      </w:r>
      <w:proofErr w:type="spellEnd"/>
      <w:r>
        <w:rPr>
          <w:sz w:val="20"/>
          <w:szCs w:val="20"/>
          <w:rtl/>
        </w:rPr>
        <w:t xml:space="preserve">, בקצה </w:t>
      </w:r>
      <w:proofErr w:type="spellStart"/>
      <w:r>
        <w:rPr>
          <w:sz w:val="20"/>
          <w:szCs w:val="20"/>
          <w:rtl/>
        </w:rPr>
        <w:t>הצפון־מזרחי</w:t>
      </w:r>
      <w:proofErr w:type="spellEnd"/>
      <w:r>
        <w:rPr>
          <w:sz w:val="20"/>
          <w:szCs w:val="20"/>
          <w:rtl/>
        </w:rPr>
        <w:t xml:space="preserve"> של הים השחור, בחורף 1919 (יעקב מארק כותב 1918, אך זו כנראה טעות), ‘חלש ושבור’ מן המחסור הגדול שסבל במלחמות הלבנים והאדומים בדרום רוסיה. הוא הגיע לעיר בשעה שהשתוללה בה זה חודשים רבים מגפת טיפוס הבטן, והתמסר לטיפול בחולים. הוא עצמו נדבק במחלה, ולאחר מחלה קצרה נפטר.</w:t>
      </w:r>
    </w:p>
  </w:footnote>
  <w:footnote w:id="4406">
    <w:p w14:paraId="2F1F571D" w14:textId="77777777" w:rsidR="00AB3647" w:rsidRDefault="00000000">
      <w:pPr>
        <w:spacing w:after="0" w:before="0"/>
        <w:jc w:val="both"/>
      </w:pPr>
      <w:r>
        <w:rPr>
          <w:sz w:val="20"/>
          <w:szCs w:val="20"/>
          <w:rtl/>
        </w:rPr>
        <w:footnoteRef/>
      </w:r>
      <w:r>
        <w:rPr>
          <w:sz w:val="20"/>
          <w:szCs w:val="20"/>
          <w:rtl/>
        </w:rPr>
        <w:t>. עמ׳ 132–133.</w:t>
      </w:r>
    </w:p>
  </w:footnote>
  <w:footnote w:id="4407">
    <w:p w14:paraId="605DB71E" w14:textId="77777777" w:rsidR="00AB3647" w:rsidRDefault="00000000">
      <w:pPr>
        <w:spacing w:after="0" w:before="0"/>
        <w:jc w:val="both"/>
      </w:pPr>
      <w:r>
        <w:rPr>
          <w:sz w:val="20"/>
          <w:szCs w:val="20"/>
          <w:rtl/>
        </w:rPr>
        <w:footnoteRef/>
      </w:r>
      <w:r>
        <w:rPr>
          <w:sz w:val="20"/>
          <w:szCs w:val="20"/>
          <w:rtl/>
        </w:rPr>
        <w:t>. המעשה סופר שוב בידי בחור ישיבה קנדי שלמד אז גם הוא בליטא, ר׳ שמואל שכטר, בריאיון מ־28 במרץ 1997.</w:t>
      </w:r>
    </w:p>
  </w:footnote>
  <w:footnote w:id="4408">
    <w:p w14:paraId="0646F3F6" w14:textId="77777777" w:rsidR="00AB3647" w:rsidRDefault="00000000">
      <w:pPr>
        <w:spacing w:after="0" w:before="0"/>
        <w:jc w:val="both"/>
      </w:pPr>
      <w:r>
        <w:rPr>
          <w:sz w:val="20"/>
          <w:szCs w:val="20"/>
          <w:rtl/>
        </w:rPr>
        <w:footnoteRef/>
      </w:r>
      <w:r>
        <w:rPr>
          <w:sz w:val="20"/>
          <w:szCs w:val="20"/>
          <w:rtl/>
        </w:rPr>
        <w:t>. ריאיון מ־1 באוגוסט 1997.</w:t>
      </w:r>
    </w:p>
  </w:footnote>
  <w:footnote w:id="4409">
    <w:p w14:paraId="6B09D3B8"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ב“העבר</w:t>
      </w:r>
      <w:proofErr w:type="spellEnd"/>
      <w:r>
        <w:rPr>
          <w:sz w:val="20"/>
          <w:szCs w:val="20"/>
          <w:rtl/>
        </w:rPr>
        <w:t>”, חוברת י״ג (אייר תשכ״ו), עמ׳ 170–171.</w:t>
      </w:r>
    </w:p>
  </w:footnote>
  <w:footnote w:id="4410">
    <w:p w14:paraId="730C3240" w14:textId="77777777" w:rsidR="00AB3647" w:rsidRDefault="00000000">
      <w:pPr>
        <w:spacing w:after="0" w:before="0"/>
        <w:jc w:val="both"/>
      </w:pPr>
      <w:r>
        <w:rPr>
          <w:sz w:val="20"/>
          <w:szCs w:val="20"/>
          <w:rtl/>
        </w:rPr>
        <w:footnoteRef/>
      </w:r>
      <w:r>
        <w:rPr>
          <w:sz w:val="20"/>
          <w:szCs w:val="20"/>
          <w:rtl/>
        </w:rPr>
        <w:t>. ראה פרק 3, הפסקה השנייה של נספח ז.</w:t>
      </w:r>
    </w:p>
  </w:footnote>
  <w:footnote w:id="4411">
    <w:p w14:paraId="35F0BD8F" w14:textId="77777777" w:rsidR="00AB3647" w:rsidRDefault="00000000">
      <w:pPr>
        <w:spacing w:after="0" w:before="0"/>
        <w:jc w:val="both"/>
      </w:pPr>
      <w:r>
        <w:rPr>
          <w:sz w:val="20"/>
          <w:szCs w:val="20"/>
          <w:rtl/>
        </w:rPr>
        <w:footnoteRef/>
      </w:r>
      <w:r>
        <w:rPr>
          <w:sz w:val="20"/>
          <w:szCs w:val="20"/>
          <w:rtl/>
        </w:rPr>
        <w:t>. ראה פרק 3, תחילת נספח טו.</w:t>
      </w:r>
    </w:p>
  </w:footnote>
  <w:footnote w:id="4412">
    <w:p w14:paraId="6FA4D79C" w14:textId="77777777" w:rsidR="00AB3647" w:rsidRDefault="00000000">
      <w:pPr>
        <w:spacing w:after="0" w:before="0"/>
        <w:jc w:val="both"/>
      </w:pPr>
      <w:r>
        <w:rPr>
          <w:sz w:val="20"/>
          <w:szCs w:val="20"/>
          <w:rtl/>
        </w:rPr>
        <w:footnoteRef/>
      </w:r>
      <w:r>
        <w:rPr>
          <w:sz w:val="20"/>
          <w:szCs w:val="20"/>
          <w:rtl/>
        </w:rPr>
        <w:t>. הערה 1 לעיל – עמ׳ 53.</w:t>
      </w:r>
    </w:p>
  </w:footnote>
  <w:footnote w:id="4413">
    <w:p w14:paraId="21F07283" w14:textId="77777777" w:rsidR="00AB3647" w:rsidRDefault="00000000">
      <w:pPr>
        <w:spacing w:after="0" w:before="0"/>
        <w:jc w:val="both"/>
      </w:pPr>
      <w:r>
        <w:rPr>
          <w:sz w:val="20"/>
          <w:szCs w:val="20"/>
          <w:rtl/>
        </w:rPr>
        <w:footnoteRef/>
      </w:r>
      <w:r>
        <w:rPr>
          <w:sz w:val="20"/>
          <w:szCs w:val="20"/>
          <w:rtl/>
        </w:rPr>
        <w:t xml:space="preserve">. אירע בתקופה המתוארת בפסקה </w:t>
      </w:r>
      <w:proofErr w:type="spellStart"/>
      <w:r>
        <w:rPr>
          <w:sz w:val="20"/>
          <w:szCs w:val="20"/>
          <w:rtl/>
        </w:rPr>
        <w:t>הלפני־אחרונה</w:t>
      </w:r>
      <w:proofErr w:type="spellEnd"/>
      <w:r>
        <w:rPr>
          <w:sz w:val="20"/>
          <w:szCs w:val="20"/>
          <w:rtl/>
        </w:rPr>
        <w:t xml:space="preserve"> של פרק 3.1.</w:t>
      </w:r>
    </w:p>
  </w:footnote>
  <w:footnote w:id="4414">
    <w:p w14:paraId="2065C25D" w14:textId="77777777" w:rsidR="00AB3647" w:rsidRDefault="00000000">
      <w:pPr>
        <w:spacing w:after="0" w:before="0"/>
        <w:jc w:val="both"/>
      </w:pPr>
      <w:r>
        <w:rPr>
          <w:sz w:val="20"/>
          <w:szCs w:val="20"/>
          <w:rtl/>
        </w:rPr>
        <w:footnoteRef/>
      </w:r>
      <w:r>
        <w:rPr>
          <w:sz w:val="20"/>
          <w:szCs w:val="20"/>
          <w:rtl/>
        </w:rPr>
        <w:t>. ראה הערה 26 לעיל.</w:t>
      </w:r>
    </w:p>
  </w:footnote>
  <w:footnote w:id="4415">
    <w:p w14:paraId="7ADE3B27" w14:textId="77777777" w:rsidR="00AB3647" w:rsidRDefault="00000000">
      <w:pPr>
        <w:spacing w:after="0" w:before="0"/>
        <w:jc w:val="both"/>
      </w:pPr>
      <w:r>
        <w:rPr>
          <w:sz w:val="20"/>
          <w:szCs w:val="20"/>
          <w:rtl/>
        </w:rPr>
        <w:footnoteRef/>
      </w:r>
      <w:r>
        <w:rPr>
          <w:sz w:val="20"/>
          <w:szCs w:val="20"/>
          <w:rtl/>
        </w:rPr>
        <w:t>. הפסקה השנייה של נספח ט לעיל.</w:t>
      </w:r>
    </w:p>
  </w:footnote>
  <w:footnote w:id="4416">
    <w:p w14:paraId="3A905169" w14:textId="77777777" w:rsidR="00AB3647" w:rsidRDefault="00000000">
      <w:pPr>
        <w:spacing w:after="0" w:before="0"/>
        <w:jc w:val="both"/>
      </w:pPr>
      <w:r>
        <w:rPr>
          <w:sz w:val="20"/>
          <w:szCs w:val="20"/>
          <w:rtl/>
        </w:rPr>
        <w:footnoteRef/>
      </w:r>
      <w:r>
        <w:rPr>
          <w:sz w:val="20"/>
          <w:szCs w:val="20"/>
          <w:rtl/>
        </w:rPr>
        <w:t>. הפסקה השנייה של נספח ט לעיל – עמ׳ 127.</w:t>
      </w:r>
    </w:p>
  </w:footnote>
  <w:footnote w:id="4417">
    <w:p w14:paraId="4D9007EE" w14:textId="77777777" w:rsidR="00AB3647" w:rsidRDefault="00000000">
      <w:pPr>
        <w:spacing w:after="0" w:before="0"/>
        <w:jc w:val="both"/>
      </w:pPr>
      <w:r>
        <w:rPr>
          <w:sz w:val="20"/>
          <w:szCs w:val="20"/>
          <w:rtl/>
        </w:rPr>
        <w:footnoteRef/>
      </w:r>
      <w:r>
        <w:rPr>
          <w:sz w:val="20"/>
          <w:szCs w:val="20"/>
          <w:rtl/>
        </w:rPr>
        <w:t xml:space="preserve">. השווה הפסקה השנייה של נספח </w:t>
      </w:r>
      <w:proofErr w:type="spellStart"/>
      <w:r>
        <w:rPr>
          <w:sz w:val="20"/>
          <w:szCs w:val="20"/>
          <w:rtl/>
        </w:rPr>
        <w:t>יג</w:t>
      </w:r>
      <w:proofErr w:type="spellEnd"/>
      <w:r>
        <w:rPr>
          <w:sz w:val="20"/>
          <w:szCs w:val="20"/>
          <w:rtl/>
        </w:rPr>
        <w:t xml:space="preserve"> לעיל.</w:t>
      </w:r>
    </w:p>
  </w:footnote>
  <w:footnote w:id="4418">
    <w:p w14:paraId="298D06AF" w14:textId="77777777" w:rsidR="00AB3647" w:rsidRDefault="00000000">
      <w:pPr>
        <w:spacing w:after="0" w:before="0"/>
        <w:jc w:val="both"/>
      </w:pPr>
      <w:r>
        <w:rPr>
          <w:sz w:val="20"/>
          <w:szCs w:val="20"/>
          <w:rtl/>
        </w:rPr>
        <w:footnoteRef/>
      </w:r>
      <w:r>
        <w:rPr>
          <w:sz w:val="20"/>
          <w:szCs w:val="20"/>
          <w:rtl/>
        </w:rPr>
        <w:t>. סוף הפסקה השנייה של נספח ט לעיל – פרק 9.</w:t>
      </w:r>
    </w:p>
  </w:footnote>
  <w:footnote w:id="4419">
    <w:p w14:paraId="22463D85" w14:textId="77777777" w:rsidR="00AB3647" w:rsidRDefault="00000000">
      <w:pPr>
        <w:spacing w:after="0" w:before="0"/>
        <w:jc w:val="both"/>
      </w:pPr>
      <w:r>
        <w:rPr>
          <w:sz w:val="20"/>
          <w:szCs w:val="20"/>
          <w:rtl/>
        </w:rPr>
        <w:footnoteRef/>
      </w:r>
      <w:r>
        <w:rPr>
          <w:sz w:val="20"/>
          <w:szCs w:val="20"/>
          <w:rtl/>
        </w:rPr>
        <w:t>. המקור הנזכר, פרק 1, הפסקה הראשונה של נספח ב – עמ׳ תתקעה ו־1980.</w:t>
      </w:r>
    </w:p>
  </w:footnote>
  <w:footnote w:id="4420">
    <w:p w14:paraId="7BB2D7E7" w14:textId="77777777" w:rsidR="00AB3647" w:rsidRDefault="00000000">
      <w:pPr>
        <w:spacing w:after="0" w:before="0"/>
        <w:jc w:val="both"/>
      </w:pPr>
      <w:r>
        <w:rPr>
          <w:sz w:val="20"/>
          <w:szCs w:val="20"/>
          <w:rtl/>
        </w:rPr>
        <w:footnoteRef/>
      </w:r>
      <w:r>
        <w:rPr>
          <w:sz w:val="20"/>
          <w:szCs w:val="20"/>
          <w:rtl/>
        </w:rPr>
        <w:t>. פרק מ״ו, עמ׳ 1948–1976.</w:t>
      </w:r>
    </w:p>
  </w:footnote>
  <w:footnote w:id="4421">
    <w:p w14:paraId="1711A8CA" w14:textId="77777777" w:rsidR="00AB3647" w:rsidRDefault="00000000">
      <w:pPr>
        <w:spacing w:after="0" w:before="0"/>
        <w:jc w:val="both"/>
      </w:pPr>
      <w:r>
        <w:rPr>
          <w:sz w:val="20"/>
          <w:szCs w:val="20"/>
          <w:rtl/>
        </w:rPr>
        <w:footnoteRef/>
      </w:r>
      <w:r>
        <w:rPr>
          <w:sz w:val="20"/>
          <w:szCs w:val="20"/>
          <w:rtl/>
        </w:rPr>
        <w:t>. פרק 1, הערה 103.</w:t>
      </w:r>
    </w:p>
  </w:footnote>
  <w:footnote w:id="4422">
    <w:p w14:paraId="1B850834" w14:textId="77777777" w:rsidR="00AB3647" w:rsidRDefault="00000000">
      <w:pPr>
        <w:spacing w:after="0" w:before="0"/>
        <w:jc w:val="both"/>
      </w:pPr>
      <w:r>
        <w:rPr>
          <w:sz w:val="20"/>
          <w:szCs w:val="20"/>
          <w:rtl/>
        </w:rPr>
        <w:footnoteRef/>
      </w:r>
      <w:r>
        <w:rPr>
          <w:sz w:val="20"/>
          <w:szCs w:val="20"/>
          <w:rtl/>
        </w:rPr>
        <w:t>. ריאיון מ־23 ביולי 1993.</w:t>
      </w:r>
    </w:p>
  </w:footnote>
  <w:footnote w:id="4423">
    <w:p w14:paraId="59987CEB" w14:textId="77777777" w:rsidR="00AB3647" w:rsidRDefault="00000000">
      <w:pPr>
        <w:spacing w:after="0" w:before="0"/>
        <w:jc w:val="both"/>
      </w:pPr>
      <w:r>
        <w:rPr>
          <w:sz w:val="20"/>
          <w:szCs w:val="20"/>
          <w:rtl/>
        </w:rPr>
        <w:footnoteRef/>
      </w:r>
      <w:r>
        <w:rPr>
          <w:sz w:val="20"/>
          <w:szCs w:val="20"/>
          <w:rtl/>
        </w:rPr>
        <w:t>. מהדורה שביעית, ירושלים, תש״נ – על שמות לה, ח.</w:t>
      </w:r>
    </w:p>
  </w:footnote>
  <w:footnote w:id="4424">
    <w:p w14:paraId="49FD2EE5" w14:textId="77777777" w:rsidR="00AB3647" w:rsidRDefault="00000000">
      <w:pPr>
        <w:spacing w:after="0" w:before="0"/>
        <w:jc w:val="both"/>
      </w:pPr>
      <w:r>
        <w:rPr>
          <w:sz w:val="20"/>
          <w:szCs w:val="20"/>
          <w:rtl/>
        </w:rPr>
        <w:footnoteRef/>
      </w:r>
      <w:r>
        <w:rPr>
          <w:sz w:val="20"/>
          <w:szCs w:val="20"/>
          <w:rtl/>
        </w:rPr>
        <w:t xml:space="preserve">. “ר׳ יעקב” (הפסקה השלישית של נספח י לעיל), עמ׳ 195, טועה כשהוא מייחס את המעשה, בשם אבי, </w:t>
      </w:r>
      <w:proofErr w:type="spellStart"/>
      <w:r>
        <w:rPr>
          <w:sz w:val="20"/>
          <w:szCs w:val="20"/>
          <w:rtl/>
        </w:rPr>
        <w:t>לר</w:t>
      </w:r>
      <w:proofErr w:type="spellEnd"/>
      <w:r>
        <w:rPr>
          <w:sz w:val="20"/>
          <w:szCs w:val="20"/>
          <w:rtl/>
        </w:rPr>
        <w:t xml:space="preserve">׳ חיים </w:t>
      </w:r>
      <w:proofErr w:type="spellStart"/>
      <w:r>
        <w:rPr>
          <w:sz w:val="20"/>
          <w:szCs w:val="20"/>
          <w:rtl/>
        </w:rPr>
        <w:t>מוולוז׳ין</w:t>
      </w:r>
      <w:proofErr w:type="spellEnd"/>
      <w:r>
        <w:rPr>
          <w:sz w:val="20"/>
          <w:szCs w:val="20"/>
          <w:rtl/>
        </w:rPr>
        <w:t xml:space="preserve">; והוא טועה גם – לפי “אזנים לתורה” ולפי נכדו של ר׳ ברוך </w:t>
      </w:r>
      <w:proofErr w:type="spellStart"/>
      <w:r>
        <w:rPr>
          <w:sz w:val="20"/>
          <w:szCs w:val="20"/>
          <w:rtl/>
        </w:rPr>
        <w:t>זלדוביץ</w:t>
      </w:r>
      <w:proofErr w:type="spellEnd"/>
      <w:r>
        <w:rPr>
          <w:sz w:val="20"/>
          <w:szCs w:val="20"/>
          <w:rtl/>
        </w:rPr>
        <w:t xml:space="preserve">׳ – בהנחה שר׳ חיים ידע של מי הכסף בשעת התרומה. השווה גם “עובדות והנהגות לבית </w:t>
      </w:r>
      <w:proofErr w:type="spellStart"/>
      <w:r>
        <w:rPr>
          <w:sz w:val="20"/>
          <w:szCs w:val="20"/>
          <w:rtl/>
        </w:rPr>
        <w:t>בריסק</w:t>
      </w:r>
      <w:proofErr w:type="spellEnd"/>
      <w:r>
        <w:rPr>
          <w:sz w:val="20"/>
          <w:szCs w:val="20"/>
          <w:rtl/>
        </w:rPr>
        <w:t xml:space="preserve">” (הפסקה השנייה של נספח ב לעיל), ח״א, עמ׳ </w:t>
      </w:r>
      <w:proofErr w:type="spellStart"/>
      <w:r>
        <w:rPr>
          <w:sz w:val="20"/>
          <w:szCs w:val="20"/>
          <w:rtl/>
        </w:rPr>
        <w:t>סא</w:t>
      </w:r>
      <w:proofErr w:type="spellEnd"/>
      <w:r>
        <w:rPr>
          <w:sz w:val="20"/>
          <w:szCs w:val="20"/>
          <w:rtl/>
        </w:rPr>
        <w:t xml:space="preserve">, המביא גרסה אחרת של המעשה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w:t>
      </w:r>
    </w:p>
  </w:footnote>
  <w:footnote w:id="4425">
    <w:p w14:paraId="10FCD3C5" w14:textId="77777777" w:rsidR="00AB3647" w:rsidRDefault="00000000">
      <w:pPr>
        <w:spacing w:after="0" w:before="0"/>
        <w:jc w:val="both"/>
      </w:pPr>
      <w:r>
        <w:rPr>
          <w:sz w:val="20"/>
          <w:szCs w:val="20"/>
          <w:rtl/>
        </w:rPr>
        <w:footnoteRef/>
      </w:r>
      <w:r>
        <w:rPr>
          <w:sz w:val="20"/>
          <w:szCs w:val="20"/>
          <w:rtl/>
        </w:rPr>
        <w:t xml:space="preserve">. שם, פרק 3, הפסקה הרביעית של נספח </w:t>
      </w:r>
      <w:proofErr w:type="spellStart"/>
      <w:r>
        <w:rPr>
          <w:sz w:val="20"/>
          <w:szCs w:val="20"/>
          <w:rtl/>
        </w:rPr>
        <w:t>יח</w:t>
      </w:r>
      <w:proofErr w:type="spellEnd"/>
      <w:r>
        <w:rPr>
          <w:sz w:val="20"/>
          <w:szCs w:val="20"/>
          <w:rtl/>
        </w:rPr>
        <w:t xml:space="preserve"> – עמ׳ 211–212.</w:t>
      </w:r>
    </w:p>
  </w:footnote>
  <w:footnote w:id="4426">
    <w:p w14:paraId="4E54F878" w14:textId="77777777" w:rsidR="00AB3647" w:rsidRDefault="00000000">
      <w:pPr>
        <w:spacing w:after="0" w:before="0"/>
        <w:jc w:val="both"/>
      </w:pPr>
      <w:r>
        <w:rPr>
          <w:sz w:val="20"/>
          <w:szCs w:val="20"/>
          <w:rtl/>
        </w:rPr>
        <w:footnoteRef/>
      </w:r>
      <w:r>
        <w:rPr>
          <w:sz w:val="20"/>
          <w:szCs w:val="20"/>
          <w:rtl/>
        </w:rPr>
        <w:t>. ריאיון מ־28 בפברואר 2001.</w:t>
      </w:r>
    </w:p>
  </w:footnote>
  <w:footnote w:id="4427">
    <w:p w14:paraId="2CCCED82" w14:textId="77777777" w:rsidR="00AB3647" w:rsidRDefault="00000000">
      <w:pPr>
        <w:spacing w:after="0" w:before="0"/>
        <w:jc w:val="both"/>
      </w:pPr>
      <w:r>
        <w:rPr>
          <w:sz w:val="20"/>
          <w:szCs w:val="20"/>
          <w:rtl/>
        </w:rPr>
        <w:footnoteRef/>
      </w:r>
      <w:r>
        <w:rPr>
          <w:sz w:val="20"/>
          <w:szCs w:val="20"/>
          <w:rtl/>
        </w:rPr>
        <w:t xml:space="preserve">. “עד סוף ימיו הצטער בן דודי ד״ר בודנהיימר שלא זכה לספק בית לרב </w:t>
      </w:r>
      <w:proofErr w:type="spellStart"/>
      <w:r>
        <w:rPr>
          <w:sz w:val="20"/>
          <w:szCs w:val="20"/>
          <w:rtl/>
        </w:rPr>
        <w:t>מבריסק</w:t>
      </w:r>
      <w:proofErr w:type="spellEnd"/>
      <w:r>
        <w:rPr>
          <w:sz w:val="20"/>
          <w:szCs w:val="20"/>
          <w:rtl/>
        </w:rPr>
        <w:t xml:space="preserve">”, אמר ר׳ שלמה לורנץ. עוד על אדם מופלא זה ראה ההסכמות וההקדמה </w:t>
      </w:r>
      <w:proofErr w:type="spellStart"/>
      <w:r>
        <w:rPr>
          <w:sz w:val="20"/>
          <w:szCs w:val="20"/>
          <w:rtl/>
        </w:rPr>
        <w:t>ל“במי</w:t>
      </w:r>
      <w:proofErr w:type="spellEnd"/>
      <w:r>
        <w:rPr>
          <w:sz w:val="20"/>
          <w:szCs w:val="20"/>
          <w:rtl/>
        </w:rPr>
        <w:t xml:space="preserve"> התורה” (בני ברק, מנ״א ה׳תשס״א), מאת מיכאל יחיאל וכו׳ בודנהיימר.</w:t>
      </w:r>
    </w:p>
  </w:footnote>
  <w:footnote w:id="4428">
    <w:p w14:paraId="4CC06CDE" w14:textId="77777777" w:rsidR="00AB3647" w:rsidRDefault="00000000">
      <w:pPr>
        <w:spacing w:after="0" w:before="0"/>
        <w:jc w:val="both"/>
      </w:pPr>
      <w:r>
        <w:rPr>
          <w:sz w:val="20"/>
          <w:szCs w:val="20"/>
          <w:rtl/>
        </w:rPr>
        <w:footnoteRef/>
      </w:r>
      <w:r>
        <w:rPr>
          <w:sz w:val="20"/>
          <w:szCs w:val="20"/>
          <w:rtl/>
        </w:rPr>
        <w:t xml:space="preserve">. המעשה נדפס בשם אבי בעמ׳ 15–16 של המבוא הביוגרפי שכתב אלחנן שפירא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(מכון ירושלים, תשמ״א). הכותב לא שמע את המעשה מפי רבנו, אלא קרא אותו במאמר בעיתון מאת העיתונאי הרב אהרן ב. </w:t>
      </w:r>
      <w:proofErr w:type="spellStart"/>
      <w:r>
        <w:rPr>
          <w:sz w:val="20"/>
          <w:szCs w:val="20"/>
          <w:rtl/>
        </w:rPr>
        <w:t>שורין</w:t>
      </w:r>
      <w:proofErr w:type="spellEnd"/>
      <w:r>
        <w:rPr>
          <w:sz w:val="20"/>
          <w:szCs w:val="20"/>
          <w:rtl/>
        </w:rPr>
        <w:t xml:space="preserve"> (ראה פרק 1, הערה 14) על צדקת מעות חיטים שלפני פסח. ר׳ </w:t>
      </w:r>
      <w:proofErr w:type="spellStart"/>
      <w:r>
        <w:rPr>
          <w:sz w:val="20"/>
          <w:szCs w:val="20"/>
          <w:rtl/>
        </w:rPr>
        <w:t>אהרן־בן־ציון</w:t>
      </w:r>
      <w:proofErr w:type="spellEnd"/>
      <w:r>
        <w:rPr>
          <w:sz w:val="20"/>
          <w:szCs w:val="20"/>
          <w:rtl/>
        </w:rPr>
        <w:t xml:space="preserve"> </w:t>
      </w:r>
      <w:proofErr w:type="spellStart"/>
      <w:r>
        <w:rPr>
          <w:sz w:val="20"/>
          <w:szCs w:val="20"/>
          <w:rtl/>
        </w:rPr>
        <w:t>שורין</w:t>
      </w:r>
      <w:proofErr w:type="spellEnd"/>
      <w:r>
        <w:rPr>
          <w:sz w:val="20"/>
          <w:szCs w:val="20"/>
          <w:rtl/>
        </w:rPr>
        <w:t xml:space="preserve"> התקשר לרבנו כדי לשמוע את המעשה לפרטיו, אחרי שאבי סיפר אותו לחתנו ר׳ ישראל, אחיו של העיתונאי. המעשה כפי שהוא מסופר כאן כולל פרטים שלא היו במאמר בעיתון – ולכן גם לא </w:t>
      </w:r>
      <w:proofErr w:type="spellStart"/>
      <w:r>
        <w:rPr>
          <w:sz w:val="20"/>
          <w:szCs w:val="20"/>
          <w:rtl/>
        </w:rPr>
        <w:t>ב“שו״ת</w:t>
      </w:r>
      <w:proofErr w:type="spellEnd"/>
      <w:r>
        <w:rPr>
          <w:sz w:val="20"/>
          <w:szCs w:val="20"/>
          <w:rtl/>
        </w:rPr>
        <w:t xml:space="preserve"> רבנו יוסף </w:t>
      </w:r>
      <w:proofErr w:type="spellStart"/>
      <w:r>
        <w:rPr>
          <w:sz w:val="20"/>
          <w:szCs w:val="20"/>
          <w:rtl/>
        </w:rPr>
        <w:t>מסלוצק</w:t>
      </w:r>
      <w:proofErr w:type="spellEnd"/>
      <w:r>
        <w:rPr>
          <w:sz w:val="20"/>
          <w:szCs w:val="20"/>
          <w:rtl/>
        </w:rPr>
        <w:t xml:space="preserve">” – אבל אבי מסר אותם בעל פה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והוא מסר אותם לי.</w:t>
      </w:r>
    </w:p>
    <w:p w14:paraId="0D1D55EC" w14:textId="77777777" w:rsidR="00AB3647" w:rsidRDefault="00000000">
      <w:pPr>
        <w:spacing w:after="0" w:before="0"/>
        <w:jc w:val="both"/>
      </w:pPr>
      <w:r>
        <w:rPr>
          <w:sz w:val="20"/>
          <w:szCs w:val="20"/>
          <w:rtl/>
        </w:rPr>
        <w:t xml:space="preserve">אבי חזר על המעשה בפומבי בנוכחות </w:t>
      </w:r>
      <w:proofErr w:type="spellStart"/>
      <w:r>
        <w:rPr>
          <w:sz w:val="20"/>
          <w:szCs w:val="20"/>
          <w:rtl/>
        </w:rPr>
        <w:t>אירווינג</w:t>
      </w:r>
      <w:proofErr w:type="spellEnd"/>
      <w:r>
        <w:rPr>
          <w:sz w:val="20"/>
          <w:szCs w:val="20"/>
          <w:rtl/>
        </w:rPr>
        <w:t xml:space="preserve"> א. סטון, נדבן </w:t>
      </w:r>
      <w:proofErr w:type="spellStart"/>
      <w:r>
        <w:rPr>
          <w:sz w:val="20"/>
          <w:szCs w:val="20"/>
          <w:rtl/>
        </w:rPr>
        <w:t>מקליבלנד</w:t>
      </w:r>
      <w:proofErr w:type="spellEnd"/>
      <w:r>
        <w:rPr>
          <w:sz w:val="20"/>
          <w:szCs w:val="20"/>
          <w:rtl/>
        </w:rPr>
        <w:t xml:space="preserve"> ומתומכיו העיקריים של החינוך היהודי באמריקה, שבא למתיבתא תורה ודעת בברוקלין להשתתף בסעודה שלישית. אבי היה רגיל לדבר אל התלמידים לפני צאת השבת, וכשראה שמר סטון נמצא שם, החליט לספר מעשה שהאורח ייהנה ממנו. ראה גם הערת שוליים </w:t>
      </w:r>
      <w:r>
        <w:rPr>
          <w:sz w:val="20"/>
          <w:szCs w:val="20"/>
          <w:rtl/>
        </w:rPr>
        <w:fldChar w:fldCharType="begin" w:dirty="true"/>
      </w:r>
      <w:r>
        <w:rPr>
          <w:sz w:val="20"/>
          <w:szCs w:val="20"/>
          <w:rtl/>
        </w:rPr>
        <w:instrText xml:space="preserve"> NOTEREF pr_f_4304 \h </w:instrText>
      </w:r>
      <w:r>
        <w:rPr>
          <w:sz w:val="20"/>
          <w:szCs w:val="20"/>
          <w:rtl/>
        </w:rPr>
      </w:r>
      <w:r>
        <w:rPr>
          <w:sz w:val="20"/>
          <w:szCs w:val="20"/>
          <w:rtl/>
        </w:rPr>
        <w:fldChar w:fldCharType="separate"/>
      </w:r>
      <w:r w:rsidR="007923E9">
        <w:rPr>
          <w:sz w:val="20"/>
          <w:szCs w:val="20"/>
          <w:rtl/>
        </w:rPr>
        <w:t>1381</w:t>
      </w:r>
      <w:r>
        <w:rPr>
          <w:sz w:val="20"/>
          <w:szCs w:val="20"/>
          <w:rtl/>
        </w:rPr>
        <w:fldChar w:fldCharType="end"/>
      </w:r>
      <w:r>
        <w:rPr>
          <w:sz w:val="20"/>
          <w:szCs w:val="20"/>
          <w:rtl/>
        </w:rPr>
        <w:t xml:space="preserve"> להלן.</w:t>
      </w:r>
    </w:p>
  </w:footnote>
  <w:footnote w:id="4429">
    <w:p w14:paraId="3975E6F9" w14:textId="77777777" w:rsidR="00AB3647" w:rsidRDefault="00000000">
      <w:pPr>
        <w:spacing w:after="0" w:before="0"/>
        <w:jc w:val="both"/>
      </w:pPr>
      <w:r>
        <w:rPr>
          <w:sz w:val="20"/>
          <w:szCs w:val="20"/>
          <w:rtl/>
        </w:rPr>
        <w:footnoteRef/>
      </w:r>
      <w:r>
        <w:rPr>
          <w:sz w:val="20"/>
          <w:szCs w:val="20"/>
          <w:rtl/>
        </w:rPr>
        <w:t>. ראה פרק 3, נספח טו.</w:t>
      </w:r>
    </w:p>
  </w:footnote>
  <w:footnote w:id="4430">
    <w:p w14:paraId="7B2AA6AF" w14:textId="77777777" w:rsidR="00AB3647" w:rsidRDefault="00000000">
      <w:pPr>
        <w:spacing w:after="0" w:before="0"/>
        <w:jc w:val="both"/>
      </w:pPr>
      <w:r>
        <w:rPr>
          <w:sz w:val="20"/>
          <w:szCs w:val="20"/>
          <w:rtl/>
        </w:rPr>
        <w:footnoteRef/>
      </w:r>
      <w:r>
        <w:rPr>
          <w:sz w:val="20"/>
          <w:szCs w:val="20"/>
          <w:rtl/>
        </w:rPr>
        <w:t>. נראה שרבנו הזכיר פרט זה כדי לתאר כיצד שלח ר׳ יונה את ידו מתחת למזרנו להוציא את תרומתו, כדלהלן.</w:t>
      </w:r>
    </w:p>
  </w:footnote>
  <w:footnote w:id="4431">
    <w:p w14:paraId="2E498BAD" w14:textId="77777777" w:rsidR="00AB3647" w:rsidRDefault="00000000">
      <w:pPr>
        <w:spacing w:after="0" w:before="0"/>
        <w:jc w:val="both"/>
      </w:pPr>
      <w:r>
        <w:rPr>
          <w:sz w:val="20"/>
          <w:szCs w:val="20"/>
          <w:rtl/>
        </w:rPr>
        <w:footnoteRef/>
      </w:r>
      <w:r>
        <w:rPr>
          <w:sz w:val="20"/>
          <w:szCs w:val="20"/>
          <w:rtl/>
        </w:rPr>
        <w:t xml:space="preserve">. הלקח שהפיק </w:t>
      </w:r>
      <w:proofErr w:type="spellStart"/>
      <w:r>
        <w:rPr>
          <w:sz w:val="20"/>
          <w:szCs w:val="20"/>
          <w:rtl/>
        </w:rPr>
        <w:t>אירווינג</w:t>
      </w:r>
      <w:proofErr w:type="spellEnd"/>
      <w:r>
        <w:rPr>
          <w:sz w:val="20"/>
          <w:szCs w:val="20"/>
          <w:rtl/>
        </w:rPr>
        <w:t xml:space="preserve"> א. סטון מן המעשה שסיפר אבי (הערת שוליים </w:t>
      </w:r>
      <w:r>
        <w:rPr>
          <w:sz w:val="20"/>
          <w:szCs w:val="20"/>
          <w:rtl/>
        </w:rPr>
        <w:fldChar w:fldCharType="begin" w:dirty="true"/>
      </w:r>
      <w:r>
        <w:rPr>
          <w:sz w:val="20"/>
          <w:szCs w:val="20"/>
          <w:rtl/>
        </w:rPr>
        <w:instrText xml:space="preserve"> NOTEREF pr_f_4301 \h </w:instrText>
      </w:r>
      <w:r>
        <w:rPr>
          <w:sz w:val="20"/>
          <w:szCs w:val="20"/>
          <w:rtl/>
        </w:rPr>
      </w:r>
      <w:r>
        <w:rPr>
          <w:sz w:val="20"/>
          <w:szCs w:val="20"/>
          <w:rtl/>
        </w:rPr>
        <w:fldChar w:fldCharType="separate"/>
      </w:r>
      <w:r w:rsidR="007923E9">
        <w:rPr>
          <w:sz w:val="20"/>
          <w:szCs w:val="20"/>
          <w:rtl/>
        </w:rPr>
        <w:t>1378</w:t>
      </w:r>
      <w:r>
        <w:rPr>
          <w:sz w:val="20"/>
          <w:szCs w:val="20"/>
          <w:rtl/>
        </w:rPr>
        <w:fldChar w:fldCharType="end"/>
      </w:r>
      <w:r>
        <w:rPr>
          <w:sz w:val="20"/>
          <w:szCs w:val="20"/>
          <w:rtl/>
        </w:rPr>
        <w:t xml:space="preserve"> לעיל) לא היה מגישתו של ר׳ יונה בסוף המעשה, אלא מסירובו הראשון לתת את מלוא 200 הרובל: גם נדבן אינו מוציא את כספו בלי לעשות עם עצמו חשבון ברור אם ידו משגת. אחרי ששמע את המעשה על ר׳ יונה אבן, סיפר האורח לרבנו: סטון שכר לנהגו הפרטי אדם ששימש קודם לכן את הנשיא </w:t>
      </w:r>
      <w:proofErr w:type="spellStart"/>
      <w:r>
        <w:rPr>
          <w:sz w:val="20"/>
          <w:szCs w:val="20"/>
          <w:rtl/>
        </w:rPr>
        <w:t>דווייט</w:t>
      </w:r>
      <w:proofErr w:type="spellEnd"/>
      <w:r>
        <w:rPr>
          <w:sz w:val="20"/>
          <w:szCs w:val="20"/>
          <w:rtl/>
        </w:rPr>
        <w:t xml:space="preserve"> ד. אייזנהאואר. בפעם הראשונה שהסיע את מר סטון עצר הנהג למלא דלק, וכשנסעו משם שאל אותו מעסיקו: “מה עשית בעודף?” השיב הנהג: “חשבתי שזה רק שבעים סנט, ולכן נסעתי בלי לקחת אותו”. סטון הורה לו לחזור כמה קילומטרים ולקחת את העודף, ואמר לו: “אני רוצה שתדע שגם שבעים סנט הם כסף”.</w:t>
      </w:r>
    </w:p>
  </w:footnote>
  <w:footnote w:id="4432">
    <w:p w14:paraId="56802850" w14:textId="77777777" w:rsidR="00AB3647" w:rsidRDefault="00000000">
      <w:pPr>
        <w:spacing w:after="0" w:before="0"/>
        <w:jc w:val="both"/>
      </w:pPr>
      <w:r>
        <w:rPr>
          <w:sz w:val="20"/>
          <w:szCs w:val="20"/>
          <w:rtl/>
        </w:rPr>
        <w:footnoteRef/>
      </w:r>
      <w:r>
        <w:rPr>
          <w:sz w:val="20"/>
          <w:szCs w:val="20"/>
          <w:rtl/>
        </w:rPr>
        <w:t>. הפסקה השלישית של נספח ט לעיל – עמ׳ מו במספור המתחיל בחלק הנקרא “דרכיו ונימוקיו ושיחותיו של הרב חפץ חיים זצ״ל”.</w:t>
      </w:r>
    </w:p>
  </w:footnote>
  <w:footnote w:id="4433">
    <w:p w14:paraId="0D97754F" w14:textId="77777777" w:rsidR="00AB3647" w:rsidRDefault="00000000">
      <w:pPr>
        <w:spacing w:after="0" w:before="0"/>
        <w:jc w:val="both"/>
      </w:pPr>
      <w:r>
        <w:rPr>
          <w:sz w:val="20"/>
          <w:szCs w:val="20"/>
          <w:rtl/>
        </w:rPr>
        <w:footnoteRef/>
      </w:r>
      <w:r>
        <w:rPr>
          <w:sz w:val="20"/>
          <w:szCs w:val="20"/>
          <w:rtl/>
        </w:rPr>
        <w:t>. דברים טו, י.</w:t>
      </w:r>
    </w:p>
  </w:footnote>
  <w:footnote w:id="4434">
    <w:p w14:paraId="067C0EED" w14:textId="77777777" w:rsidR="00AB3647" w:rsidRDefault="00000000">
      <w:pPr>
        <w:spacing w:after="0" w:before="0"/>
        <w:jc w:val="both"/>
      </w:pPr>
      <w:r>
        <w:rPr>
          <w:sz w:val="20"/>
          <w:szCs w:val="20"/>
          <w:rtl/>
        </w:rPr>
        <w:footnoteRef/>
      </w:r>
      <w:r>
        <w:rPr>
          <w:sz w:val="20"/>
          <w:szCs w:val="20"/>
          <w:rtl/>
        </w:rPr>
        <w:t>. שם, פרק 3, נספח טו – עמ׳ 97.</w:t>
      </w:r>
    </w:p>
  </w:footnote>
  <w:footnote w:id="4435">
    <w:p w14:paraId="6055488D" w14:textId="77777777" w:rsidR="00AB3647" w:rsidRDefault="00000000">
      <w:pPr>
        <w:spacing w:after="0" w:before="0"/>
        <w:jc w:val="both"/>
      </w:pPr>
      <w:r>
        <w:rPr>
          <w:sz w:val="20"/>
          <w:szCs w:val="20"/>
          <w:rtl/>
        </w:rPr>
        <w:footnoteRef/>
      </w:r>
      <w:r>
        <w:rPr>
          <w:sz w:val="20"/>
          <w:szCs w:val="20"/>
          <w:rtl/>
        </w:rPr>
        <w:t xml:space="preserve">. הפסקה השנייה של נספח ב לעיל – ראה במפתח של “הראשון לשושלת </w:t>
      </w:r>
      <w:proofErr w:type="spellStart"/>
      <w:r>
        <w:rPr>
          <w:sz w:val="20"/>
          <w:szCs w:val="20"/>
          <w:rtl/>
        </w:rPr>
        <w:t>בריסק</w:t>
      </w:r>
      <w:proofErr w:type="spellEnd"/>
      <w:r>
        <w:rPr>
          <w:sz w:val="20"/>
          <w:szCs w:val="20"/>
          <w:rtl/>
        </w:rPr>
        <w:t>”.</w:t>
      </w:r>
    </w:p>
  </w:footnote>
  <w:footnote w:id="4436">
    <w:p w14:paraId="42CD3ABD" w14:textId="77777777" w:rsidR="00AB3647" w:rsidRDefault="00000000">
      <w:pPr>
        <w:spacing w:after="0" w:before="0"/>
        <w:jc w:val="both"/>
      </w:pPr>
      <w:r>
        <w:rPr>
          <w:sz w:val="20"/>
          <w:szCs w:val="20"/>
          <w:rtl/>
        </w:rPr>
        <w:footnoteRef/>
      </w:r>
      <w:r>
        <w:rPr>
          <w:sz w:val="20"/>
          <w:szCs w:val="20"/>
          <w:rtl/>
        </w:rPr>
        <w:t xml:space="preserve">. “פנקס </w:t>
      </w:r>
      <w:proofErr w:type="spellStart"/>
      <w:r>
        <w:rPr>
          <w:sz w:val="20"/>
          <w:szCs w:val="20"/>
          <w:rtl/>
        </w:rPr>
        <w:t>סלוצק</w:t>
      </w:r>
      <w:proofErr w:type="spellEnd"/>
      <w:r>
        <w:rPr>
          <w:sz w:val="20"/>
          <w:szCs w:val="20"/>
          <w:rtl/>
        </w:rPr>
        <w:t>”, עמ׳ 12.</w:t>
      </w:r>
    </w:p>
  </w:footnote>
  <w:footnote w:id="4437">
    <w:p w14:paraId="5653459E" w14:textId="77777777" w:rsidR="00AB3647" w:rsidRDefault="00000000">
      <w:pPr>
        <w:spacing w:after="0" w:before="0"/>
        <w:jc w:val="both"/>
      </w:pPr>
      <w:r>
        <w:rPr>
          <w:sz w:val="20"/>
          <w:szCs w:val="20"/>
          <w:rtl/>
        </w:rPr>
        <w:footnoteRef/>
      </w:r>
      <w:r>
        <w:rPr>
          <w:sz w:val="20"/>
          <w:szCs w:val="20"/>
          <w:rtl/>
        </w:rPr>
        <w:t>. ב־6 בנובמבר 1998.</w:t>
      </w:r>
    </w:p>
  </w:footnote>
  <w:footnote w:id="4438">
    <w:p w14:paraId="53A299E3" w14:textId="77777777" w:rsidR="00AB3647" w:rsidRDefault="00000000">
      <w:pPr>
        <w:spacing w:after="0" w:before="0"/>
        <w:jc w:val="both"/>
      </w:pPr>
      <w:r>
        <w:rPr>
          <w:sz w:val="20"/>
          <w:szCs w:val="20"/>
          <w:rtl/>
        </w:rPr>
        <w:footnoteRef/>
      </w:r>
      <w:r>
        <w:rPr>
          <w:sz w:val="20"/>
          <w:szCs w:val="20"/>
          <w:rtl/>
        </w:rPr>
        <w:t>. עמ׳ 36.</w:t>
      </w:r>
    </w:p>
  </w:footnote>
  <w:footnote w:id="4439">
    <w:p w14:paraId="1FF66AFD" w14:textId="77777777" w:rsidR="00AB3647" w:rsidRDefault="00000000">
      <w:pPr>
        <w:spacing w:after="0" w:before="0"/>
        <w:jc w:val="both"/>
      </w:pPr>
      <w:r>
        <w:rPr>
          <w:sz w:val="20"/>
          <w:szCs w:val="20"/>
          <w:rtl/>
        </w:rPr>
        <w:footnoteRef/>
      </w:r>
      <w:r>
        <w:rPr>
          <w:sz w:val="20"/>
          <w:szCs w:val="20"/>
          <w:rtl/>
        </w:rPr>
        <w:t xml:space="preserve">. </w:t>
      </w:r>
      <w:proofErr w:type="spellStart"/>
      <w:r>
        <w:rPr>
          <w:sz w:val="20"/>
          <w:szCs w:val="20"/>
          <w:rtl/>
        </w:rPr>
        <w:t>ווילנא</w:t>
      </w:r>
      <w:proofErr w:type="spellEnd"/>
      <w:r>
        <w:rPr>
          <w:sz w:val="20"/>
          <w:szCs w:val="20"/>
          <w:rtl/>
        </w:rPr>
        <w:t>, תרנ״ט – עמ׳ 31.</w:t>
      </w:r>
    </w:p>
  </w:footnote>
  <w:footnote w:id="4440">
    <w:p w14:paraId="4B73375D" w14:textId="77777777" w:rsidR="00AB3647" w:rsidRDefault="00000000">
      <w:pPr>
        <w:spacing w:after="0" w:before="0"/>
        <w:jc w:val="both"/>
      </w:pPr>
      <w:r>
        <w:rPr>
          <w:sz w:val="20"/>
          <w:szCs w:val="20"/>
          <w:rtl/>
        </w:rPr>
        <w:footnoteRef/>
      </w:r>
      <w:r>
        <w:rPr>
          <w:sz w:val="20"/>
          <w:szCs w:val="20"/>
          <w:rtl/>
        </w:rPr>
        <w:t>. על פי שמואל ב ג, לח.</w:t>
      </w:r>
    </w:p>
  </w:footnote>
  <w:footnote w:id="4441">
    <w:p w14:paraId="1E1FC141" w14:textId="77777777" w:rsidR="00AB3647" w:rsidRDefault="00000000">
      <w:pPr>
        <w:spacing w:after="0" w:before="0"/>
        <w:jc w:val="both"/>
      </w:pPr>
      <w:r>
        <w:rPr>
          <w:sz w:val="20"/>
          <w:szCs w:val="20"/>
          <w:rtl/>
        </w:rPr>
        <w:footnoteRef/>
      </w:r>
      <w:r>
        <w:rPr>
          <w:sz w:val="20"/>
          <w:szCs w:val="20"/>
          <w:rtl/>
        </w:rPr>
        <w:t>. עמ׳ 129.</w:t>
      </w:r>
    </w:p>
  </w:footnote>
  <w:footnote w:id="4442">
    <w:p w14:paraId="4345A59E" w14:textId="77777777" w:rsidR="00AB3647" w:rsidRDefault="00000000">
      <w:pPr>
        <w:spacing w:after="0" w:before="0"/>
        <w:jc w:val="both"/>
      </w:pPr>
      <w:r>
        <w:rPr>
          <w:sz w:val="20"/>
          <w:szCs w:val="20"/>
          <w:rtl/>
        </w:rPr>
        <w:footnoteRef/>
      </w:r>
      <w:r>
        <w:rPr>
          <w:sz w:val="20"/>
          <w:szCs w:val="20"/>
          <w:rtl/>
        </w:rPr>
        <w:t>. שם, פרק 1, הפסקה הראשונה של נספח ב – עמ׳ 34.</w:t>
      </w:r>
    </w:p>
  </w:footnote>
  <w:footnote w:id="4443">
    <w:p w14:paraId="61EF716B" w14:textId="77777777" w:rsidR="00AB3647" w:rsidRDefault="00000000">
      <w:pPr>
        <w:spacing w:after="0" w:before="0"/>
        <w:jc w:val="both"/>
      </w:pPr>
      <w:r>
        <w:rPr>
          <w:sz w:val="20"/>
          <w:szCs w:val="20"/>
          <w:rtl/>
        </w:rPr>
        <w:footnoteRef/>
      </w:r>
      <w:r>
        <w:rPr>
          <w:sz w:val="20"/>
          <w:szCs w:val="20"/>
          <w:rtl/>
        </w:rPr>
        <w:t xml:space="preserve">. מסתבר יותר שביידיש כינו אותו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xml:space="preserve">” (בלי “של הישיבה”), ושאת המילה העיקרית יש לתרגם לא “עמוד” אלא “דוכן קריאה”. (את התרגום העברי השגוי מן היידיש המקורית, המובא </w:t>
      </w:r>
      <w:proofErr w:type="spellStart"/>
      <w:r>
        <w:rPr>
          <w:sz w:val="20"/>
          <w:szCs w:val="20"/>
          <w:rtl/>
        </w:rPr>
        <w:t>ב“רבותינו</w:t>
      </w:r>
      <w:proofErr w:type="spellEnd"/>
      <w:r>
        <w:rPr>
          <w:sz w:val="20"/>
          <w:szCs w:val="20"/>
          <w:rtl/>
        </w:rPr>
        <w:t xml:space="preserve"> שבגולה”, תרגמתי לאנגלית.) הכינוי “יוסל </w:t>
      </w:r>
      <w:proofErr w:type="spellStart"/>
      <w:r>
        <w:rPr>
          <w:sz w:val="20"/>
          <w:szCs w:val="20"/>
          <w:rtl/>
        </w:rPr>
        <w:t>דער</w:t>
      </w:r>
      <w:proofErr w:type="spellEnd"/>
      <w:r>
        <w:rPr>
          <w:sz w:val="20"/>
          <w:szCs w:val="20"/>
          <w:rtl/>
        </w:rPr>
        <w:t xml:space="preserve"> </w:t>
      </w:r>
      <w:proofErr w:type="spellStart"/>
      <w:r>
        <w:rPr>
          <w:sz w:val="20"/>
          <w:szCs w:val="20"/>
          <w:rtl/>
        </w:rPr>
        <w:t>שטענדער</w:t>
      </w:r>
      <w:proofErr w:type="spellEnd"/>
      <w:r>
        <w:rPr>
          <w:sz w:val="20"/>
          <w:szCs w:val="20"/>
          <w:rtl/>
        </w:rPr>
        <w:t>” ציין שיוסל לא נפרד מן הסטנדר שלו ולמד תמיד. השווה גם הערה 71 לעיל, על הכינוי שנולד מהתמדתו של ר׳ נפתלי אמסטרדם.</w:t>
      </w:r>
    </w:p>
  </w:footnote>
  <w:footnote w:id="4444">
    <w:p w14:paraId="39DEF99A" w14:textId="77777777" w:rsidR="00AB3647" w:rsidRDefault="00000000">
      <w:pPr>
        <w:spacing w:after="0" w:before="0"/>
        <w:jc w:val="both"/>
      </w:pPr>
      <w:r>
        <w:rPr>
          <w:sz w:val="20"/>
          <w:szCs w:val="20"/>
          <w:rtl/>
        </w:rPr>
        <w:footnoteRef/>
      </w:r>
      <w:r>
        <w:rPr>
          <w:sz w:val="20"/>
          <w:szCs w:val="20"/>
          <w:rtl/>
        </w:rPr>
        <w:t>. ראה “הישיבות הליטאיות” (תחילת נספח ט לעיל), עמ׳ 574–576.</w:t>
      </w:r>
    </w:p>
  </w:footnote>
  <w:footnote w:id="4445">
    <w:p w14:paraId="3A1A59B8" w14:textId="77777777" w:rsidR="00AB3647" w:rsidRDefault="00000000">
      <w:pPr>
        <w:spacing w:after="0" w:before="0"/>
        <w:jc w:val="both"/>
      </w:pPr>
      <w:r>
        <w:rPr>
          <w:sz w:val="20"/>
          <w:szCs w:val="20"/>
          <w:rtl/>
        </w:rPr>
        <w:footnoteRef/>
      </w:r>
      <w:r>
        <w:rPr>
          <w:sz w:val="20"/>
          <w:szCs w:val="20"/>
          <w:rtl/>
        </w:rPr>
        <w:t xml:space="preserve">. בערל </w:t>
      </w:r>
      <w:proofErr w:type="spellStart"/>
      <w:r>
        <w:rPr>
          <w:sz w:val="20"/>
          <w:szCs w:val="20"/>
          <w:rtl/>
        </w:rPr>
        <w:t>קגן</w:t>
      </w:r>
      <w:proofErr w:type="spellEnd"/>
      <w:r>
        <w:rPr>
          <w:sz w:val="20"/>
          <w:szCs w:val="20"/>
          <w:rtl/>
        </w:rPr>
        <w:t xml:space="preserve"> (הערה 70 לעיל), עמ׳ 249.</w:t>
      </w:r>
    </w:p>
  </w:footnote>
  <w:footnote w:id="4446">
    <w:p w14:paraId="1FF0BA58" w14:textId="77777777" w:rsidR="00AB3647" w:rsidRDefault="00000000">
      <w:pPr>
        <w:spacing w:after="0" w:before="0"/>
        <w:jc w:val="both"/>
      </w:pPr>
      <w:r>
        <w:rPr>
          <w:sz w:val="20"/>
          <w:szCs w:val="20"/>
          <w:rtl/>
        </w:rPr>
        <w:footnoteRef/>
      </w:r>
      <w:r>
        <w:rPr>
          <w:sz w:val="20"/>
          <w:szCs w:val="20"/>
          <w:rtl/>
        </w:rPr>
        <w:t xml:space="preserve">. ראה המבוא הביוגרפי הנזכר </w:t>
      </w:r>
      <w:proofErr w:type="spellStart"/>
      <w:r>
        <w:rPr>
          <w:sz w:val="20"/>
          <w:szCs w:val="20"/>
          <w:rtl/>
        </w:rPr>
        <w:t>ל“שו״ת</w:t>
      </w:r>
      <w:proofErr w:type="spellEnd"/>
      <w:r>
        <w:rPr>
          <w:sz w:val="20"/>
          <w:szCs w:val="20"/>
          <w:rtl/>
        </w:rPr>
        <w:t xml:space="preserve"> רבנו יוסף </w:t>
      </w:r>
      <w:proofErr w:type="spellStart"/>
      <w:r>
        <w:rPr>
          <w:sz w:val="20"/>
          <w:szCs w:val="20"/>
          <w:rtl/>
        </w:rPr>
        <w:t>מסלוצק</w:t>
      </w:r>
      <w:proofErr w:type="spellEnd"/>
      <w:r>
        <w:rPr>
          <w:sz w:val="20"/>
          <w:szCs w:val="20"/>
          <w:rtl/>
        </w:rPr>
        <w:t>”, עמ׳ 10, הערה 11.</w:t>
      </w:r>
    </w:p>
  </w:footnote>
  <w:footnote w:id="4447">
    <w:p w14:paraId="712974EB" w14:textId="77777777" w:rsidR="00AB3647" w:rsidRDefault="00000000">
      <w:pPr>
        <w:spacing w:after="0" w:before="0"/>
        <w:jc w:val="both"/>
      </w:pPr>
      <w:r>
        <w:rPr>
          <w:sz w:val="20"/>
          <w:szCs w:val="20"/>
          <w:rtl/>
        </w:rPr>
        <w:footnoteRef/>
      </w:r>
      <w:r>
        <w:rPr>
          <w:sz w:val="20"/>
          <w:szCs w:val="20"/>
          <w:rtl/>
        </w:rPr>
        <w:t>. “רבותינו שבגולה”, שם, עמ׳ 36.</w:t>
      </w:r>
    </w:p>
  </w:footnote>
  <w:footnote w:id="4448">
    <w:p w14:paraId="5E7748FD" w14:textId="77777777" w:rsidR="00AB3647" w:rsidRDefault="00000000">
      <w:pPr>
        <w:spacing w:after="0" w:before="0"/>
        <w:jc w:val="both"/>
      </w:pPr>
      <w:r>
        <w:rPr>
          <w:sz w:val="20"/>
          <w:szCs w:val="20"/>
          <w:rtl/>
        </w:rPr>
        <w:footnoteRef/>
      </w:r>
      <w:r>
        <w:rPr>
          <w:sz w:val="20"/>
          <w:szCs w:val="20"/>
          <w:rtl/>
        </w:rPr>
        <w:t xml:space="preserve">. חלקה הראשון של האמרה אינו מכוון לכך שר׳ </w:t>
      </w:r>
      <w:proofErr w:type="spellStart"/>
      <w:r>
        <w:rPr>
          <w:sz w:val="20"/>
          <w:szCs w:val="20"/>
          <w:rtl/>
        </w:rPr>
        <w:t>איצל׳ה</w:t>
      </w:r>
      <w:proofErr w:type="spellEnd"/>
      <w:r>
        <w:rPr>
          <w:sz w:val="20"/>
          <w:szCs w:val="20"/>
          <w:rtl/>
        </w:rPr>
        <w:t xml:space="preserve"> כתב קמיעות – ראה </w:t>
      </w:r>
      <w:proofErr w:type="spellStart"/>
      <w:r>
        <w:rPr>
          <w:sz w:val="20"/>
          <w:szCs w:val="20"/>
          <w:rtl/>
        </w:rPr>
        <w:t>שטמפפר</w:t>
      </w:r>
      <w:proofErr w:type="spellEnd"/>
      <w:r>
        <w:rPr>
          <w:sz w:val="20"/>
          <w:szCs w:val="20"/>
          <w:rtl/>
        </w:rPr>
        <w:t xml:space="preserve"> (הפסקה הרביעית של נספח ט לעיל), עמ׳ 59 – מפני שר׳ </w:t>
      </w:r>
      <w:proofErr w:type="spellStart"/>
      <w:r>
        <w:rPr>
          <w:sz w:val="20"/>
          <w:szCs w:val="20"/>
          <w:rtl/>
        </w:rPr>
        <w:t>דוד־טעביל</w:t>
      </w:r>
      <w:proofErr w:type="spellEnd"/>
      <w:r>
        <w:rPr>
          <w:sz w:val="20"/>
          <w:szCs w:val="20"/>
          <w:rtl/>
        </w:rPr>
        <w:t xml:space="preserve"> לא היה מותח ביקורת על כך.</w:t>
      </w:r>
    </w:p>
  </w:footnote>
  <w:footnote w:id="4449">
    <w:p w14:paraId="21380839" w14:textId="77777777" w:rsidR="00AB3647" w:rsidRDefault="00000000">
      <w:pPr>
        <w:spacing w:after="0" w:before="0"/>
        <w:jc w:val="both"/>
      </w:pPr>
      <w:r>
        <w:rPr>
          <w:sz w:val="20"/>
          <w:szCs w:val="20"/>
          <w:rtl/>
        </w:rPr>
        <w:footnoteRef/>
      </w:r>
      <w:r>
        <w:rPr>
          <w:sz w:val="20"/>
          <w:szCs w:val="20"/>
          <w:rtl/>
        </w:rPr>
        <w:t xml:space="preserve">. ראה גם פרק 2, הפסקה </w:t>
      </w:r>
      <w:proofErr w:type="spellStart"/>
      <w:r>
        <w:rPr>
          <w:sz w:val="20"/>
          <w:szCs w:val="20"/>
          <w:rtl/>
        </w:rPr>
        <w:t>השמונה־עשרה</w:t>
      </w:r>
      <w:proofErr w:type="spellEnd"/>
      <w:r>
        <w:rPr>
          <w:sz w:val="20"/>
          <w:szCs w:val="20"/>
          <w:rtl/>
        </w:rPr>
        <w:t xml:space="preserve"> של נספח א.</w:t>
      </w:r>
    </w:p>
  </w:footnote>
  <w:footnote w:id="4450">
    <w:p w14:paraId="7DA04546" w14:textId="77777777" w:rsidR="00AB3647" w:rsidRDefault="00000000">
      <w:pPr>
        <w:spacing w:after="0" w:before="0"/>
        <w:jc w:val="both"/>
      </w:pPr>
      <w:r>
        <w:rPr>
          <w:sz w:val="20"/>
          <w:szCs w:val="20"/>
          <w:rtl/>
        </w:rPr>
        <w:footnoteRef/>
      </w:r>
      <w:r>
        <w:rPr>
          <w:sz w:val="20"/>
          <w:szCs w:val="20"/>
          <w:rtl/>
        </w:rPr>
        <w:t xml:space="preserve">. סיפר זאת ר׳ אלחנן שפירא, בריאיון מ־13 במאי 2001, בשם אביו ר׳ </w:t>
      </w:r>
      <w:proofErr w:type="spellStart"/>
      <w:r>
        <w:rPr>
          <w:sz w:val="20"/>
          <w:szCs w:val="20"/>
          <w:rtl/>
        </w:rPr>
        <w:t>אליהו־חיים</w:t>
      </w:r>
      <w:proofErr w:type="spellEnd"/>
      <w:r>
        <w:rPr>
          <w:sz w:val="20"/>
          <w:szCs w:val="20"/>
          <w:rtl/>
        </w:rPr>
        <w:t xml:space="preserve">, ששמע זאת מפי ר׳ יצחק־זאב </w:t>
      </w:r>
      <w:proofErr w:type="spellStart"/>
      <w:r>
        <w:rPr>
          <w:sz w:val="20"/>
          <w:szCs w:val="20"/>
          <w:rtl/>
        </w:rPr>
        <w:t>סולובייצ׳יק</w:t>
      </w:r>
      <w:proofErr w:type="spellEnd"/>
      <w:r>
        <w:rPr>
          <w:sz w:val="20"/>
          <w:szCs w:val="20"/>
          <w:rtl/>
        </w:rPr>
        <w:t xml:space="preserve">. ר׳ יצחק־זאב אמר גם שככל שהיה ר׳ </w:t>
      </w:r>
      <w:proofErr w:type="spellStart"/>
      <w:r>
        <w:rPr>
          <w:sz w:val="20"/>
          <w:szCs w:val="20"/>
          <w:rtl/>
        </w:rPr>
        <w:t>איצל׳ה</w:t>
      </w:r>
      <w:proofErr w:type="spellEnd"/>
      <w:r>
        <w:rPr>
          <w:sz w:val="20"/>
          <w:szCs w:val="20"/>
          <w:rtl/>
        </w:rPr>
        <w:t xml:space="preserve"> פיקח, אביו היה פיקח עוד יותר, והגאון מווילנה אמר </w:t>
      </w:r>
      <w:proofErr w:type="spellStart"/>
      <w:r>
        <w:rPr>
          <w:sz w:val="20"/>
          <w:szCs w:val="20"/>
          <w:rtl/>
        </w:rPr>
        <w:t>ש“נשמתו</w:t>
      </w:r>
      <w:proofErr w:type="spellEnd"/>
      <w:r>
        <w:rPr>
          <w:sz w:val="20"/>
          <w:szCs w:val="20"/>
          <w:rtl/>
        </w:rPr>
        <w:t xml:space="preserve"> של ר׳ חיים קומט פון עולם החכמה [באה מעולם החכמה]”.</w:t>
      </w:r>
    </w:p>
  </w:footnote>
  <w:footnote w:id="4451">
    <w:p w14:paraId="088E9514" w14:textId="77777777" w:rsidR="00AB3647" w:rsidRDefault="00000000">
      <w:pPr>
        <w:spacing w:after="0" w:before="0"/>
        <w:jc w:val="both"/>
      </w:pPr>
      <w:r>
        <w:rPr>
          <w:sz w:val="20"/>
          <w:szCs w:val="20"/>
          <w:rtl/>
        </w:rPr>
        <w:footnoteRef/>
      </w:r>
      <w:r>
        <w:rPr>
          <w:sz w:val="20"/>
          <w:szCs w:val="20"/>
          <w:rtl/>
        </w:rPr>
        <w:t>. ראה תחילת פסקה זו.</w:t>
      </w:r>
    </w:p>
  </w:footnote>
  <w:footnote w:id="4452">
    <w:p w14:paraId="60F9E37A" w14:textId="77777777" w:rsidR="00AB3647" w:rsidRDefault="00000000">
      <w:pPr>
        <w:spacing w:after="0" w:before="0"/>
        <w:jc w:val="both"/>
      </w:pPr>
      <w:r>
        <w:rPr>
          <w:sz w:val="20"/>
          <w:szCs w:val="20"/>
          <w:rtl/>
        </w:rPr>
        <w:footnoteRef/>
      </w:r>
      <w:r>
        <w:rPr>
          <w:sz w:val="20"/>
          <w:szCs w:val="20"/>
          <w:rtl/>
        </w:rPr>
        <w:t xml:space="preserve">. ראה </w:t>
      </w:r>
      <w:proofErr w:type="spellStart"/>
      <w:r>
        <w:rPr>
          <w:sz w:val="20"/>
          <w:szCs w:val="20"/>
          <w:rtl/>
        </w:rPr>
        <w:t>שו״ע</w:t>
      </w:r>
      <w:proofErr w:type="spellEnd"/>
      <w:r>
        <w:rPr>
          <w:sz w:val="20"/>
          <w:szCs w:val="20"/>
          <w:rtl/>
        </w:rPr>
        <w:t xml:space="preserve"> יו״ד סי׳ שס״ג ס״א.</w:t>
      </w:r>
    </w:p>
  </w:footnote>
  <w:footnote w:id="4453">
    <w:p w14:paraId="6D989689" w14:textId="77777777" w:rsidR="00AB3647" w:rsidRDefault="00000000">
      <w:pPr>
        <w:spacing w:after="0" w:before="0"/>
        <w:jc w:val="both"/>
      </w:pPr>
      <w:r>
        <w:rPr>
          <w:sz w:val="20"/>
          <w:szCs w:val="20"/>
          <w:rtl/>
        </w:rPr>
        <w:footnoteRef/>
      </w:r>
      <w:r>
        <w:rPr>
          <w:sz w:val="20"/>
          <w:szCs w:val="20"/>
          <w:rtl/>
        </w:rPr>
        <w:t>. ריאיון מ־12 במאי 2001.</w:t>
      </w:r>
    </w:p>
  </w:footnote>
  <w:footnote w:id="4454">
    <w:p w14:paraId="11D3F019" w14:textId="77777777" w:rsidR="00AB3647" w:rsidRDefault="00000000">
      <w:pPr>
        <w:spacing w:after="0" w:before="0"/>
        <w:jc w:val="both"/>
      </w:pPr>
      <w:r>
        <w:rPr>
          <w:sz w:val="20"/>
          <w:szCs w:val="20"/>
          <w:rtl/>
        </w:rPr>
        <w:footnoteRef/>
      </w:r>
      <w:r>
        <w:rPr>
          <w:sz w:val="20"/>
          <w:szCs w:val="20"/>
          <w:rtl/>
        </w:rPr>
        <w:t xml:space="preserve">. מסתבר שהמעשה על פסק הלכה כזה אינו מבוסס. יש להוסיף שפסק המבוסס על ידיעה שתפילותיו של אדם מתקבלות בשמים אפשר לייחס רק לאדם כר׳ חיים </w:t>
      </w:r>
      <w:proofErr w:type="spellStart"/>
      <w:r>
        <w:rPr>
          <w:sz w:val="20"/>
          <w:szCs w:val="20"/>
          <w:rtl/>
        </w:rPr>
        <w:t>מוולוז׳ין</w:t>
      </w:r>
      <w:proofErr w:type="spellEnd"/>
      <w:r>
        <w:rPr>
          <w:sz w:val="20"/>
          <w:szCs w:val="20"/>
          <w:rtl/>
        </w:rPr>
        <w:t xml:space="preserve">, שנחשב “בקי בענייני שמים” – ראה פרק 3, תחילת הפסקה השלישית של נספח </w:t>
      </w:r>
      <w:proofErr w:type="spellStart"/>
      <w:r>
        <w:rPr>
          <w:sz w:val="20"/>
          <w:szCs w:val="20"/>
          <w:rtl/>
        </w:rPr>
        <w:t>כו</w:t>
      </w:r>
      <w:proofErr w:type="spellEnd"/>
      <w:r>
        <w:rPr>
          <w:sz w:val="20"/>
          <w:szCs w:val="20"/>
          <w:rtl/>
        </w:rPr>
        <w:t xml:space="preserve">. אפשר לשער גם שמה שהתיר ר׳ חיים היה להביא את החולה </w:t>
      </w:r>
      <w:proofErr w:type="spellStart"/>
      <w:r>
        <w:rPr>
          <w:sz w:val="20"/>
          <w:szCs w:val="20"/>
          <w:rtl/>
        </w:rPr>
        <w:t>לז׳לודקר</w:t>
      </w:r>
      <w:proofErr w:type="spellEnd"/>
      <w:r>
        <w:rPr>
          <w:sz w:val="20"/>
          <w:szCs w:val="20"/>
          <w:rtl/>
        </w:rPr>
        <w:t xml:space="preserve">, מתוך סיכוי שההשפעה הפסיכוסומטית של הביקור תציל את חייו. השווה גם “מקור ברוך” (נספח </w:t>
      </w:r>
      <w:proofErr w:type="spellStart"/>
      <w:r>
        <w:rPr>
          <w:sz w:val="20"/>
          <w:szCs w:val="20"/>
          <w:rtl/>
        </w:rPr>
        <w:t>יט</w:t>
      </w:r>
      <w:proofErr w:type="spellEnd"/>
      <w:r>
        <w:rPr>
          <w:sz w:val="20"/>
          <w:szCs w:val="20"/>
          <w:rtl/>
        </w:rPr>
        <w:t xml:space="preserve"> לעיל), עמ׳ תרח–</w:t>
      </w:r>
      <w:proofErr w:type="spellStart"/>
      <w:r>
        <w:rPr>
          <w:sz w:val="20"/>
          <w:szCs w:val="20"/>
          <w:rtl/>
        </w:rPr>
        <w:t>תרט</w:t>
      </w:r>
      <w:proofErr w:type="spellEnd"/>
      <w:r>
        <w:rPr>
          <w:sz w:val="20"/>
          <w:szCs w:val="20"/>
          <w:rtl/>
        </w:rPr>
        <w:t>, על כתיבת קמיע בשבת.</w:t>
      </w:r>
    </w:p>
  </w:footnote>
  <w:footnote w:id="4455">
    <w:p w14:paraId="0AAE98F8" w14:textId="77777777" w:rsidR="00AB3647" w:rsidRDefault="00000000">
      <w:pPr>
        <w:spacing w:after="0" w:before="0"/>
        <w:jc w:val="both"/>
      </w:pPr>
      <w:r>
        <w:rPr>
          <w:sz w:val="20"/>
          <w:szCs w:val="20"/>
          <w:rtl/>
        </w:rPr>
        <w:footnoteRef/>
      </w:r>
      <w:r>
        <w:rPr>
          <w:sz w:val="20"/>
          <w:szCs w:val="20"/>
          <w:rtl/>
        </w:rPr>
        <w:t xml:space="preserve">. נדפס בירושלים, תשנ״ג – </w:t>
      </w:r>
      <w:proofErr w:type="spellStart"/>
      <w:r>
        <w:rPr>
          <w:sz w:val="20"/>
          <w:szCs w:val="20"/>
          <w:rtl/>
        </w:rPr>
        <w:t>ח״ה</w:t>
      </w:r>
      <w:proofErr w:type="spellEnd"/>
      <w:r>
        <w:rPr>
          <w:sz w:val="20"/>
          <w:szCs w:val="20"/>
          <w:rtl/>
        </w:rPr>
        <w:t>, סי׳ נו.</w:t>
      </w:r>
    </w:p>
  </w:footnote>
  <w:footnote w:id="4456">
    <w:p w14:paraId="672F2A2C" w14:textId="77777777" w:rsidR="00AB3647" w:rsidRDefault="00000000">
      <w:pPr>
        <w:spacing w:after="0" w:before="0"/>
        <w:jc w:val="both"/>
      </w:pPr>
      <w:r>
        <w:rPr>
          <w:sz w:val="20"/>
          <w:szCs w:val="20"/>
          <w:rtl/>
        </w:rPr>
        <w:footnoteRef/>
      </w:r>
      <w:r>
        <w:rPr>
          <w:sz w:val="20"/>
          <w:szCs w:val="20"/>
          <w:rtl/>
        </w:rPr>
        <w:t xml:space="preserve">. מועד קטן סוף </w:t>
      </w:r>
      <w:proofErr w:type="spellStart"/>
      <w:r>
        <w:rPr>
          <w:sz w:val="20"/>
          <w:szCs w:val="20"/>
          <w:rtl/>
        </w:rPr>
        <w:t>כב</w:t>
      </w:r>
      <w:proofErr w:type="spellEnd"/>
      <w:r>
        <w:rPr>
          <w:sz w:val="20"/>
          <w:szCs w:val="20"/>
          <w:rtl/>
        </w:rPr>
        <w:t xml:space="preserve"> ע״ב.</w:t>
      </w:r>
    </w:p>
  </w:footnote>
  <w:footnote w:id="4457">
    <w:p w14:paraId="1771D026" w14:textId="77777777" w:rsidR="00AB3647" w:rsidRDefault="00000000">
      <w:pPr>
        <w:spacing w:after="0" w:before="0"/>
        <w:jc w:val="both"/>
      </w:pPr>
      <w:r>
        <w:rPr>
          <w:sz w:val="20"/>
          <w:szCs w:val="20"/>
          <w:rtl/>
        </w:rPr>
        <w:footnoteRef/>
      </w:r>
      <w:r>
        <w:rPr>
          <w:sz w:val="20"/>
          <w:szCs w:val="20"/>
          <w:rtl/>
        </w:rPr>
        <w:t xml:space="preserve">. הרמב״ם </w:t>
      </w:r>
      <w:proofErr w:type="spellStart"/>
      <w:r>
        <w:rPr>
          <w:sz w:val="20"/>
          <w:szCs w:val="20"/>
          <w:rtl/>
        </w:rPr>
        <w:t>בפי״ג</w:t>
      </w:r>
      <w:proofErr w:type="spellEnd"/>
      <w:r>
        <w:rPr>
          <w:sz w:val="20"/>
          <w:szCs w:val="20"/>
          <w:rtl/>
        </w:rPr>
        <w:t xml:space="preserve"> מהל׳ אבל מכנה את הזרים המכבדים נפטר [שאינו משאיר בן משפחה לשבת שבעה] בכינוי מכובד יותר: “עשרה בני אדם כשרים”.</w:t>
      </w:r>
    </w:p>
  </w:footnote>
  <w:footnote w:id="4458">
    <w:p w14:paraId="044B0671" w14:textId="77777777" w:rsidR="00AB3647" w:rsidRDefault="00000000">
      <w:pPr>
        <w:spacing w:after="0" w:before="0"/>
        <w:jc w:val="both"/>
      </w:pPr>
      <w:r>
        <w:rPr>
          <w:sz w:val="20"/>
          <w:szCs w:val="20"/>
          <w:rtl/>
        </w:rPr>
        <w:footnoteRef/>
      </w:r>
      <w:r>
        <w:rPr>
          <w:sz w:val="20"/>
          <w:szCs w:val="20"/>
          <w:rtl/>
        </w:rPr>
        <w:t>. ריאיון מ־20 ביוני 2001.</w:t>
      </w:r>
    </w:p>
  </w:footnote>
  <w:footnote w:id="4459">
    <w:p w14:paraId="4D42DF36" w14:textId="77777777" w:rsidR="00AB3647" w:rsidRDefault="00000000">
      <w:pPr>
        <w:spacing w:after="0" w:before="0"/>
        <w:jc w:val="both"/>
      </w:pPr>
      <w:r>
        <w:rPr>
          <w:sz w:val="20"/>
          <w:szCs w:val="20"/>
          <w:rtl/>
        </w:rPr>
        <w:footnoteRef/>
      </w:r>
      <w:r>
        <w:rPr>
          <w:sz w:val="20"/>
          <w:szCs w:val="20"/>
          <w:rtl/>
        </w:rPr>
        <w:t xml:space="preserve">. השווה פרק 3, הפסקה הראשונה של נספח ח, והערת שוליים </w:t>
      </w:r>
      <w:r>
        <w:rPr>
          <w:sz w:val="20"/>
          <w:szCs w:val="20"/>
          <w:rtl/>
        </w:rPr>
        <w:fldChar w:fldCharType="begin" w:dirty="true"/>
      </w:r>
      <w:r>
        <w:rPr>
          <w:sz w:val="20"/>
          <w:szCs w:val="20"/>
          <w:rtl/>
        </w:rPr>
        <w:instrText xml:space="preserve"> NOTEREF pr_f_1657 \h </w:instrText>
      </w:r>
      <w:r>
        <w:rPr>
          <w:sz w:val="20"/>
          <w:szCs w:val="20"/>
          <w:rtl/>
        </w:rPr>
      </w:r>
      <w:r>
        <w:rPr>
          <w:sz w:val="20"/>
          <w:szCs w:val="20"/>
          <w:rtl/>
        </w:rPr>
        <w:fldChar w:fldCharType="separate"/>
      </w:r>
      <w:r w:rsidR="007923E9">
        <w:rPr>
          <w:sz w:val="20"/>
          <w:szCs w:val="20"/>
          <w:rtl/>
        </w:rPr>
        <w:t>703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pr_f_1657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460">
    <w:p w14:paraId="197A035F" w14:textId="77777777" w:rsidR="00AB3647" w:rsidRDefault="00000000">
      <w:pPr>
        <w:spacing w:after="0" w:before="0"/>
        <w:jc w:val="both"/>
      </w:pPr>
      <w:r>
        <w:rPr>
          <w:sz w:val="20"/>
          <w:szCs w:val="20"/>
          <w:rtl/>
        </w:rPr>
        <w:footnoteRef/>
      </w:r>
      <w:r>
        <w:rPr>
          <w:sz w:val="20"/>
          <w:szCs w:val="20"/>
          <w:rtl/>
        </w:rPr>
        <w:t xml:space="preserve">. ראה פרק 5, הערה 49, ושבת </w:t>
      </w:r>
      <w:proofErr w:type="spellStart"/>
      <w:r>
        <w:rPr>
          <w:sz w:val="20"/>
          <w:szCs w:val="20"/>
          <w:rtl/>
        </w:rPr>
        <w:t>כג</w:t>
      </w:r>
      <w:proofErr w:type="spellEnd"/>
      <w:r>
        <w:rPr>
          <w:sz w:val="20"/>
          <w:szCs w:val="20"/>
          <w:rtl/>
        </w:rPr>
        <w:t xml:space="preserve"> ע״ב, ד״ה </w:t>
      </w:r>
      <w:proofErr w:type="spellStart"/>
      <w:r>
        <w:rPr>
          <w:sz w:val="20"/>
          <w:szCs w:val="20"/>
          <w:rtl/>
        </w:rPr>
        <w:t>דנפק</w:t>
      </w:r>
      <w:proofErr w:type="spellEnd"/>
      <w:r>
        <w:rPr>
          <w:sz w:val="20"/>
          <w:szCs w:val="20"/>
          <w:rtl/>
        </w:rPr>
        <w:t>.</w:t>
      </w:r>
    </w:p>
  </w:footnote>
  <w:footnote w:id="4461">
    <w:p w14:paraId="78E00470" w14:textId="77777777" w:rsidR="00AB3647" w:rsidRDefault="00000000">
      <w:pPr>
        <w:spacing w:after="0" w:before="0"/>
        <w:jc w:val="both"/>
      </w:pPr>
      <w:r>
        <w:rPr>
          <w:sz w:val="20"/>
          <w:szCs w:val="20"/>
          <w:rtl/>
        </w:rPr>
        <w:footnoteRef/>
      </w:r>
      <w:r>
        <w:rPr>
          <w:sz w:val="20"/>
          <w:szCs w:val="20"/>
          <w:rtl/>
        </w:rPr>
        <w:t>. לאמיתו של דבר, סב אשתו; ראה הפסקה החמישית של נספח ט לעיל. ר׳ רפאל שפירא, חותנו האמיתי של ר׳ חיים, חי שלוש שנים אחריו.</w:t>
      </w:r>
    </w:p>
  </w:footnote>
  <w:footnote w:id="4462">
    <w:p w14:paraId="45172DFB" w14:textId="77777777" w:rsidR="00AB3647" w:rsidRDefault="00000000">
      <w:pPr>
        <w:spacing w:after="0" w:before="0"/>
        <w:jc w:val="both"/>
      </w:pPr>
      <w:r>
        <w:rPr>
          <w:sz w:val="20"/>
          <w:szCs w:val="20"/>
          <w:rtl/>
        </w:rPr>
        <w:footnoteRef/>
      </w:r>
      <w:r>
        <w:rPr>
          <w:sz w:val="20"/>
          <w:szCs w:val="20"/>
          <w:rtl/>
        </w:rPr>
        <w:t xml:space="preserve">. ראה פרק 5, הפסקה התשיעית של נספח ו. אפשר לשער </w:t>
      </w:r>
      <w:proofErr w:type="spellStart"/>
      <w:r>
        <w:rPr>
          <w:sz w:val="20"/>
          <w:szCs w:val="20"/>
          <w:rtl/>
        </w:rPr>
        <w:t>שאוטבוצק</w:t>
      </w:r>
      <w:proofErr w:type="spellEnd"/>
      <w:r>
        <w:rPr>
          <w:sz w:val="20"/>
          <w:szCs w:val="20"/>
          <w:rtl/>
        </w:rPr>
        <w:t xml:space="preserve"> צוינה על המצבה (נוסח המצבה מובא שם) כמקום פטירתו של ר׳ חיים כדי לפצות את אנשי </w:t>
      </w:r>
      <w:proofErr w:type="spellStart"/>
      <w:r>
        <w:rPr>
          <w:sz w:val="20"/>
          <w:szCs w:val="20"/>
          <w:rtl/>
        </w:rPr>
        <w:t>אוטבוצק</w:t>
      </w:r>
      <w:proofErr w:type="spellEnd"/>
      <w:r>
        <w:rPr>
          <w:sz w:val="20"/>
          <w:szCs w:val="20"/>
          <w:rtl/>
        </w:rPr>
        <w:t xml:space="preserve"> על שלא נקבר בעירם. (ר׳ מאיר הציע </w:t>
      </w:r>
      <w:proofErr w:type="spellStart"/>
      <w:r>
        <w:rPr>
          <w:sz w:val="20"/>
          <w:szCs w:val="20"/>
          <w:rtl/>
        </w:rPr>
        <w:t>שאוטבוצק</w:t>
      </w:r>
      <w:proofErr w:type="spellEnd"/>
      <w:r>
        <w:rPr>
          <w:sz w:val="20"/>
          <w:szCs w:val="20"/>
          <w:rtl/>
        </w:rPr>
        <w:t xml:space="preserve"> נזכרה כדי להסביר מדוע נקבר בוורשה ליד מי שהיה לו כאב, ולא </w:t>
      </w:r>
      <w:proofErr w:type="spellStart"/>
      <w:r>
        <w:rPr>
          <w:sz w:val="20"/>
          <w:szCs w:val="20"/>
          <w:rtl/>
        </w:rPr>
        <w:t>בבריסק</w:t>
      </w:r>
      <w:proofErr w:type="spellEnd"/>
      <w:r>
        <w:rPr>
          <w:sz w:val="20"/>
          <w:szCs w:val="20"/>
          <w:rtl/>
        </w:rPr>
        <w:t xml:space="preserve"> ליד ר׳ יוסף־דב, אביו ממש.) ראה גם שם שרבנו שמר בסוד מי חיבר את נוסח המצבה.</w:t>
      </w:r>
    </w:p>
  </w:footnote>
  <w:footnote w:id="4463">
    <w:p w14:paraId="254BC23D" w14:textId="77777777" w:rsidR="00AB3647" w:rsidRDefault="00000000">
      <w:pPr>
        <w:spacing w:after="0" w:before="0"/>
        <w:jc w:val="both"/>
      </w:pPr>
      <w:r>
        <w:rPr>
          <w:sz w:val="20"/>
          <w:szCs w:val="20"/>
          <w:rtl/>
        </w:rPr>
        <w:footnoteRef/>
      </w:r>
      <w:r>
        <w:rPr>
          <w:sz w:val="20"/>
          <w:szCs w:val="20"/>
          <w:rtl/>
        </w:rPr>
        <w:t>. ראה פרק 5, נספח ט.</w:t>
      </w:r>
    </w:p>
  </w:footnote>
  <w:footnote w:id="4464">
    <w:p w14:paraId="66675FA5" w14:textId="77777777" w:rsidR="00AB3647" w:rsidRDefault="00000000">
      <w:pPr>
        <w:spacing w:after="0" w:before="0"/>
        <w:jc w:val="both"/>
      </w:pPr>
      <w:r>
        <w:rPr>
          <w:sz w:val="20"/>
          <w:szCs w:val="20"/>
          <w:rtl/>
        </w:rPr>
        <w:footnoteRef/>
      </w:r>
      <w:r>
        <w:rPr>
          <w:sz w:val="20"/>
          <w:szCs w:val="20"/>
          <w:rtl/>
        </w:rPr>
        <w:t>. השווה פרק 5, הפסקה השלישית של נספח ב.</w:t>
      </w:r>
    </w:p>
  </w:footnote>
  <w:footnote w:id="4465">
    <w:p w14:paraId="26CD33B4" w14:textId="77777777" w:rsidR="00AB3647" w:rsidRDefault="00000000">
      <w:pPr>
        <w:spacing w:after="0" w:before="0"/>
        <w:jc w:val="both"/>
      </w:pPr>
      <w:r>
        <w:rPr>
          <w:sz w:val="20"/>
          <w:szCs w:val="20"/>
          <w:rtl/>
        </w:rPr>
        <w:footnoteRef/>
      </w:r>
      <w:r>
        <w:rPr>
          <w:sz w:val="20"/>
          <w:szCs w:val="20"/>
          <w:rtl/>
        </w:rPr>
        <w:t>. ראה פרק 1, סוף נספח ו.</w:t>
      </w:r>
    </w:p>
  </w:footnote>
  <w:footnote w:id="4466">
    <w:p w14:paraId="29455669" w14:textId="77777777" w:rsidR="00AB3647" w:rsidRDefault="00000000">
      <w:pPr>
        <w:spacing w:after="0" w:before="0"/>
        <w:jc w:val="both"/>
      </w:pPr>
      <w:r>
        <w:rPr>
          <w:sz w:val="20"/>
          <w:szCs w:val="20"/>
          <w:rtl/>
        </w:rPr>
        <w:footnoteRef/>
      </w:r>
      <w:r>
        <w:rPr>
          <w:sz w:val="20"/>
          <w:szCs w:val="20"/>
          <w:rtl/>
        </w:rPr>
        <w:t>. ריאיון מ־21 ביוני 2001.</w:t>
      </w:r>
    </w:p>
  </w:footnote>
  <w:footnote w:id="4467">
    <w:p w14:paraId="6410C1B3" w14:textId="77777777" w:rsidR="00AB3647" w:rsidRDefault="00000000">
      <w:pPr>
        <w:spacing w:after="0" w:before="0"/>
        <w:jc w:val="both"/>
      </w:pPr>
      <w:r>
        <w:rPr>
          <w:sz w:val="20"/>
          <w:szCs w:val="20"/>
          <w:rtl/>
        </w:rPr>
        <w:footnoteRef/>
      </w:r>
      <w:r>
        <w:rPr>
          <w:sz w:val="20"/>
          <w:szCs w:val="20"/>
          <w:rtl/>
        </w:rPr>
        <w:t>. 10 באוגוסט 1993.</w:t>
      </w:r>
    </w:p>
  </w:footnote>
  <w:footnote w:id="4468">
    <w:p w14:paraId="71E3DBC6" w14:textId="77777777" w:rsidR="00AB3647" w:rsidRDefault="00000000">
      <w:pPr>
        <w:spacing w:after="0" w:before="0"/>
        <w:jc w:val="both"/>
      </w:pPr>
      <w:r>
        <w:rPr>
          <w:sz w:val="20"/>
          <w:szCs w:val="20"/>
          <w:rtl/>
        </w:rPr>
        <w:footnoteRef/>
      </w:r>
      <w:r>
        <w:rPr>
          <w:sz w:val="20"/>
          <w:szCs w:val="20"/>
          <w:rtl/>
        </w:rPr>
        <w:t>. ראה פרק 2, הערה 31.</w:t>
      </w:r>
    </w:p>
  </w:footnote>
  <w:footnote w:id="4469">
    <w:p w14:paraId="4D731C69"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במקור: “במלחמת העולם השנייה”; תיקנתי, שהרי ר׳ חיים </w:t>
      </w:r>
      <w:proofErr w:type="spellStart"/>
      <w:r>
        <w:rPr>
          <w:sz w:val="20"/>
          <w:szCs w:val="20"/>
          <w:rtl/>
        </w:rPr>
        <w:t>סולובייצ׳יק</w:t>
      </w:r>
      <w:proofErr w:type="spellEnd"/>
      <w:r>
        <w:rPr>
          <w:sz w:val="20"/>
          <w:szCs w:val="20"/>
          <w:rtl/>
        </w:rPr>
        <w:t xml:space="preserve"> נפטר בכ״א באב תרע״ח (1918), ובמינסק שהה בימי מלחמת העולם הראשונה.</w:t>
      </w:r>
    </w:p>
  </w:footnote>
  <w:footnote w:id="4470">
    <w:p w14:paraId="5415CE1F" w14:textId="77777777" w:rsidR="00AB3647" w:rsidRDefault="00000000">
      <w:pPr>
        <w:spacing w:after="0" w:before="0"/>
        <w:jc w:val="both"/>
      </w:pPr>
      <w:r>
        <w:rPr>
          <w:sz w:val="20"/>
          <w:szCs w:val="20"/>
          <w:rtl/>
        </w:rPr>
        <w:footnoteRef/>
      </w:r>
      <w:r>
        <w:rPr>
          <w:sz w:val="20"/>
          <w:szCs w:val="20"/>
          <w:rtl/>
        </w:rPr>
        <w:t>. הערה 53 לעיל – עמ׳ 97.</w:t>
      </w:r>
    </w:p>
  </w:footnote>
  <w:footnote w:id="4471">
    <w:p w14:paraId="63915D44" w14:textId="77777777" w:rsidR="00AB3647" w:rsidRDefault="00000000">
      <w:pPr>
        <w:spacing w:after="0" w:before="0"/>
        <w:jc w:val="both"/>
      </w:pPr>
      <w:r>
        <w:rPr>
          <w:sz w:val="20"/>
          <w:szCs w:val="20"/>
          <w:rtl/>
        </w:rPr>
        <w:footnoteRef/>
      </w:r>
      <w:r>
        <w:rPr>
          <w:sz w:val="20"/>
          <w:szCs w:val="20"/>
          <w:rtl/>
        </w:rPr>
        <w:t>. עמ׳ 331.</w:t>
      </w:r>
    </w:p>
  </w:footnote>
  <w:footnote w:id="4472">
    <w:p w14:paraId="5AB3EA05" w14:textId="77777777" w:rsidR="00AB3647" w:rsidRDefault="00000000">
      <w:pPr>
        <w:spacing w:after="0" w:before="0"/>
        <w:jc w:val="both"/>
      </w:pPr>
      <w:r>
        <w:rPr>
          <w:sz w:val="20"/>
          <w:szCs w:val="20"/>
          <w:rtl/>
        </w:rPr>
        <w:footnoteRef/>
      </w:r>
      <w:r>
        <w:rPr>
          <w:sz w:val="20"/>
          <w:szCs w:val="20"/>
          <w:rtl/>
        </w:rPr>
        <w:t xml:space="preserve">. המאמר המגלה זאת נכתב </w:t>
      </w:r>
      <w:proofErr w:type="spellStart"/>
      <w:r>
        <w:rPr>
          <w:sz w:val="20"/>
          <w:szCs w:val="20"/>
          <w:rtl/>
        </w:rPr>
        <w:t>בתשל״ה</w:t>
      </w:r>
      <w:proofErr w:type="spellEnd"/>
      <w:r>
        <w:rPr>
          <w:sz w:val="20"/>
          <w:szCs w:val="20"/>
          <w:rtl/>
        </w:rPr>
        <w:t>. מסתבר שהספרייה עדיין בפטרבורג בשעה זו.</w:t>
      </w:r>
    </w:p>
  </w:footnote>
  <w:footnote w:id="4473">
    <w:p w14:paraId="4325A65F" w14:textId="77777777" w:rsidR="00AB3647" w:rsidRDefault="00000000">
      <w:pPr>
        <w:spacing w:after="0" w:before="0"/>
        <w:jc w:val="both"/>
      </w:pPr>
      <w:r>
        <w:rPr>
          <w:rStyle w:val="a5"/>
          <w:vertAlign w:val="superscript"/>
          <w:rtl/>
        </w:rPr>
        <w:t>*</w:t>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במקור “5635 (1975)” – שתי השנים אינן תואמות זו לזו. נראה שהכוונה </w:t>
      </w:r>
      <w:proofErr w:type="spellStart"/>
      <w:r>
        <w:rPr>
          <w:sz w:val="20"/>
          <w:szCs w:val="20"/>
          <w:rtl/>
        </w:rPr>
        <w:t>לתשל״ה</w:t>
      </w:r>
      <w:proofErr w:type="spellEnd"/>
      <w:r>
        <w:rPr>
          <w:sz w:val="20"/>
          <w:szCs w:val="20"/>
          <w:rtl/>
        </w:rPr>
        <w:t xml:space="preserve"> (1975), שנת פרסומו של כרך א של “מינסק עיר ואם”, ולא לשנת מכירת הספרייה; לפיכך כתבתי תשל״ה.</w:t>
      </w:r>
    </w:p>
  </w:footnote>
  <w:footnote w:id="4474">
    <w:p w14:paraId="166C5B36" w14:textId="77777777" w:rsidR="00AB3647" w:rsidRDefault="00000000">
      <w:pPr>
        <w:spacing w:after="0" w:before="0"/>
        <w:jc w:val="both"/>
      </w:pPr>
      <w:r>
        <w:rPr>
          <w:sz w:val="20"/>
          <w:szCs w:val="20"/>
          <w:rtl/>
        </w:rPr>
        <w:footnoteRef/>
      </w:r>
      <w:r>
        <w:rPr>
          <w:sz w:val="20"/>
          <w:szCs w:val="20"/>
          <w:rtl/>
        </w:rPr>
        <w:t>. השווה “מינסק עיר ואם א”, עמ׳ 643.</w:t>
      </w:r>
    </w:p>
  </w:footnote>
  <w:footnote w:id="4475">
    <w:p w14:paraId="55F3F2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87.</w:t>
      </w:r>
    </w:p>
  </w:footnote>
  <w:footnote w:id="4476">
    <w:p w14:paraId="0A9D5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w:t>
      </w:r>
    </w:p>
  </w:footnote>
  <w:footnote w:id="4477">
    <w:p w14:paraId="508148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478">
    <w:p w14:paraId="0ACB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73 – על בראשית ג, </w:t>
      </w:r>
      <w:proofErr w:type="spellStart"/>
      <w:r>
        <w:rPr>
          <w:sz w:val="20"/>
          <w:szCs w:val="20"/>
          <w:rtl/>
        </w:rPr>
        <w:t>יט</w:t>
      </w:r>
      <w:proofErr w:type="spellEnd"/>
      <w:r>
        <w:rPr>
          <w:sz w:val="20"/>
          <w:szCs w:val="20"/>
          <w:rtl/>
        </w:rPr>
        <w:t>.</w:t>
      </w:r>
    </w:p>
  </w:footnote>
  <w:footnote w:id="4479">
    <w:p w14:paraId="47D71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עיין במדבר רבה, ריש פרשה </w:t>
      </w:r>
      <w:proofErr w:type="spellStart"/>
      <w:r>
        <w:rPr>
          <w:sz w:val="20"/>
          <w:szCs w:val="20"/>
          <w:rtl/>
        </w:rPr>
        <w:t>יב</w:t>
      </w:r>
      <w:proofErr w:type="spellEnd"/>
      <w:r>
        <w:rPr>
          <w:sz w:val="20"/>
          <w:szCs w:val="20"/>
          <w:rtl/>
        </w:rPr>
        <w:t xml:space="preserve"> וז״ל ‘היה משה עומד והיה הדיבור בא לתוך אזנו כמין סילון ולא היה אחד מישראל שומע אבל כשהיו פניו מאדימות היו יודעים שהדיבור בא אצלו’ עכ״ל, ואולי ראו חז״ל תגובה גופנית כעין זאת להשראה של מחשבה </w:t>
      </w:r>
      <w:proofErr w:type="spellStart"/>
      <w:r>
        <w:rPr>
          <w:sz w:val="20"/>
          <w:szCs w:val="20"/>
          <w:rtl/>
        </w:rPr>
        <w:t>עילאה</w:t>
      </w:r>
      <w:proofErr w:type="spellEnd"/>
      <w:r>
        <w:rPr>
          <w:sz w:val="20"/>
          <w:szCs w:val="20"/>
          <w:rtl/>
        </w:rPr>
        <w:t xml:space="preserve"> באנשי דורם.</w:t>
      </w:r>
    </w:p>
  </w:footnote>
  <w:footnote w:id="4480">
    <w:p w14:paraId="20D062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עמ׳ </w:t>
      </w:r>
      <w:r>
        <w:rPr>
          <w:rStyle w:val="a5"/>
          <w:sz w:val="20"/>
          <w:szCs w:val="20"/>
          <w:vertAlign w:val="baseline"/>
          <w:rtl/>
        </w:rPr>
        <w:fldChar w:fldCharType="begin" w:dirty="true"/>
      </w:r>
      <w:r>
        <w:rPr>
          <w:rStyle w:val="a5"/>
          <w:sz w:val="20"/>
          <w:szCs w:val="20"/>
          <w:vertAlign w:val="baseline"/>
          <w:rtl/>
        </w:rPr>
        <w:instrText xml:space="preserve"> PAGEREF pr_b_2262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481">
    <w:p w14:paraId="7553C62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גם פרק 4, סוף הפסקה הרביעית של נספח ט.</w:t>
      </w:r>
    </w:p>
  </w:footnote>
  <w:footnote w:id="4482">
    <w:p w14:paraId="29E64D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עבודה זרה </w:t>
      </w:r>
      <w:proofErr w:type="spellStart"/>
      <w:r>
        <w:rPr>
          <w:sz w:val="20"/>
          <w:szCs w:val="20"/>
          <w:rtl/>
        </w:rPr>
        <w:t>יט</w:t>
      </w:r>
      <w:proofErr w:type="spellEnd"/>
      <w:r>
        <w:rPr>
          <w:sz w:val="20"/>
          <w:szCs w:val="20"/>
          <w:rtl/>
        </w:rPr>
        <w:t xml:space="preserve"> ע״א.</w:t>
      </w:r>
    </w:p>
  </w:footnote>
  <w:footnote w:id="4483">
    <w:p w14:paraId="033F52B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4484">
    <w:p w14:paraId="2F5456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w:t>
      </w:r>
    </w:p>
  </w:footnote>
  <w:footnote w:id="4485">
    <w:p w14:paraId="51958B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93.</w:t>
      </w:r>
    </w:p>
  </w:footnote>
  <w:footnote w:id="4486">
    <w:p w14:paraId="71173E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13 לעיל.</w:t>
      </w:r>
    </w:p>
  </w:footnote>
  <w:footnote w:id="4487">
    <w:p w14:paraId="23D3A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488">
    <w:p w14:paraId="0B066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יצחק </w:t>
      </w:r>
      <w:proofErr w:type="spellStart"/>
      <w:r>
        <w:rPr>
          <w:sz w:val="20"/>
          <w:szCs w:val="20"/>
          <w:rtl/>
        </w:rPr>
        <w:t>שורין</w:t>
      </w:r>
      <w:proofErr w:type="spellEnd"/>
      <w:r>
        <w:rPr>
          <w:sz w:val="20"/>
          <w:szCs w:val="20"/>
          <w:rtl/>
        </w:rPr>
        <w:t>, נכדו, רואיין ב־22 באוגוסט 1991. השווה גם הערה 39 להלן.</w:t>
      </w:r>
    </w:p>
  </w:footnote>
  <w:footnote w:id="4489">
    <w:p w14:paraId="10AF9D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93.</w:t>
      </w:r>
    </w:p>
  </w:footnote>
  <w:footnote w:id="4490">
    <w:p w14:paraId="3C42C8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סוף פרק 2, והערה 106 שם.</w:t>
      </w:r>
    </w:p>
  </w:footnote>
  <w:footnote w:id="4491">
    <w:p w14:paraId="69093D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“דברי יחזקאל” – השווה כרך 2.</w:t>
      </w:r>
    </w:p>
  </w:footnote>
  <w:footnote w:id="4492">
    <w:p w14:paraId="2291F9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493">
    <w:p w14:paraId="55287F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pr_close_b_2966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שם מצוטט הסבא כצופה שיחד עם ר׳ ירוחם </w:t>
      </w:r>
      <w:proofErr w:type="spellStart"/>
      <w:r>
        <w:rPr>
          <w:rStyle w:val="a5"/>
          <w:sz w:val="20"/>
          <w:szCs w:val="20"/>
          <w:vertAlign w:val="baseline"/>
          <w:rtl/>
        </w:rPr>
        <w:t>ליבוביץ</w:t>
      </w:r>
      <w:proofErr w:type="spellEnd"/>
      <w:r>
        <w:rPr>
          <w:rStyle w:val="a5"/>
          <w:sz w:val="20"/>
          <w:szCs w:val="20"/>
          <w:vertAlign w:val="baseline"/>
          <w:rtl/>
        </w:rPr>
        <w:t xml:space="preserve"> יבנה בנו “ישיבה מן המעלה הראשונה”</w:t>
      </w:r>
      <w:r>
        <w:rPr>
          <w:sz w:val="20"/>
          <w:szCs w:val="20"/>
          <w:rtl/>
        </w:rPr>
        <w:t>.</w:t>
      </w:r>
    </w:p>
  </w:footnote>
  <w:footnote w:id="4494">
    <w:p w14:paraId="0DAEE4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בדצמבר 1986.</w:t>
      </w:r>
    </w:p>
  </w:footnote>
  <w:footnote w:id="4495">
    <w:p w14:paraId="09756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 הערה 8: גם </w:t>
      </w:r>
      <w:proofErr w:type="spellStart"/>
      <w:r>
        <w:rPr>
          <w:sz w:val="20"/>
          <w:szCs w:val="20"/>
          <w:rtl/>
        </w:rPr>
        <w:t>הסולובייצ׳יקים</w:t>
      </w:r>
      <w:proofErr w:type="spellEnd"/>
      <w:r>
        <w:rPr>
          <w:sz w:val="20"/>
          <w:szCs w:val="20"/>
          <w:rtl/>
        </w:rPr>
        <w:t xml:space="preserve"> היו מבית הרב דרך בת זו, אך מנישואיה הראשונים, </w:t>
      </w:r>
      <w:proofErr w:type="spellStart"/>
      <w:r>
        <w:rPr>
          <w:sz w:val="20"/>
          <w:szCs w:val="20"/>
          <w:rtl/>
        </w:rPr>
        <w:t>לר</w:t>
      </w:r>
      <w:proofErr w:type="spellEnd"/>
      <w:r>
        <w:rPr>
          <w:sz w:val="20"/>
          <w:szCs w:val="20"/>
          <w:rtl/>
        </w:rPr>
        <w:t xml:space="preserve">׳ יוסף </w:t>
      </w:r>
      <w:proofErr w:type="spellStart"/>
      <w:r>
        <w:rPr>
          <w:sz w:val="20"/>
          <w:szCs w:val="20"/>
          <w:rtl/>
        </w:rPr>
        <w:t>סולובייצ׳יק</w:t>
      </w:r>
      <w:proofErr w:type="spellEnd"/>
      <w:r>
        <w:rPr>
          <w:sz w:val="20"/>
          <w:szCs w:val="20"/>
          <w:rtl/>
        </w:rPr>
        <w:t xml:space="preserve"> (בנו של ר׳ משה </w:t>
      </w:r>
      <w:proofErr w:type="spellStart"/>
      <w:r>
        <w:rPr>
          <w:sz w:val="20"/>
          <w:szCs w:val="20"/>
          <w:rtl/>
        </w:rPr>
        <w:t>סולובייצ׳יק</w:t>
      </w:r>
      <w:proofErr w:type="spellEnd"/>
      <w:r>
        <w:rPr>
          <w:sz w:val="20"/>
          <w:szCs w:val="20"/>
          <w:rtl/>
        </w:rPr>
        <w:t>, רבה של קובנה). ראה “הראשון” (הפסקה השנייה של נספח ב להלן), עמ׳ 42, והערה 75 שם.</w:t>
      </w:r>
    </w:p>
  </w:footnote>
  <w:footnote w:id="4496">
    <w:p w14:paraId="792CE0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189, הערה 294.</w:t>
      </w:r>
    </w:p>
  </w:footnote>
  <w:footnote w:id="4497">
    <w:p w14:paraId="49AF37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53.</w:t>
      </w:r>
    </w:p>
  </w:footnote>
  <w:footnote w:id="4498">
    <w:p w14:paraId="61DEA4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(הפסקה השישית של נספח ב להלן), כרך א, עמ׳ 233, מחלק את התפקידים כמו יעקב מארק ומשמיט לגמרי את תשובת המחץ.</w:t>
      </w:r>
    </w:p>
  </w:footnote>
  <w:footnote w:id="4499">
    <w:p w14:paraId="3566A6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188–189.</w:t>
      </w:r>
    </w:p>
  </w:footnote>
  <w:footnote w:id="4500">
    <w:p w14:paraId="3E18A5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 השווה גם “הראשון”, עמ׳ 132, הערה 198.</w:t>
      </w:r>
    </w:p>
  </w:footnote>
  <w:footnote w:id="4501">
    <w:p w14:paraId="52850E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שתי ההערות הקודמות.</w:t>
      </w:r>
    </w:p>
  </w:footnote>
  <w:footnote w:id="4502">
    <w:p w14:paraId="5590F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אחד התלמידים, ר׳ </w:t>
      </w:r>
      <w:proofErr w:type="spellStart"/>
      <w:r>
        <w:rPr>
          <w:sz w:val="20"/>
          <w:szCs w:val="20"/>
          <w:rtl/>
        </w:rPr>
        <w:t>איסר־יהודה</w:t>
      </w:r>
      <w:proofErr w:type="spellEnd"/>
      <w:r>
        <w:rPr>
          <w:sz w:val="20"/>
          <w:szCs w:val="20"/>
          <w:rtl/>
        </w:rPr>
        <w:t xml:space="preserve"> </w:t>
      </w:r>
      <w:proofErr w:type="spellStart"/>
      <w:r>
        <w:rPr>
          <w:sz w:val="20"/>
          <w:szCs w:val="20"/>
          <w:rtl/>
        </w:rPr>
        <w:t>אונטרמן</w:t>
      </w:r>
      <w:proofErr w:type="spellEnd"/>
      <w:r>
        <w:rPr>
          <w:sz w:val="20"/>
          <w:szCs w:val="20"/>
          <w:rtl/>
        </w:rPr>
        <w:t xml:space="preserve">, בהקדמה לספרו “שבט מיהודה” (הפסקה השנייה של נספח ב להלן), ובמאמר </w:t>
      </w:r>
      <w:proofErr w:type="spellStart"/>
      <w:r>
        <w:rPr>
          <w:sz w:val="20"/>
          <w:szCs w:val="20"/>
          <w:rtl/>
        </w:rPr>
        <w:t>ב“ספר</w:t>
      </w:r>
      <w:proofErr w:type="spellEnd"/>
      <w:r>
        <w:rPr>
          <w:sz w:val="20"/>
          <w:szCs w:val="20"/>
          <w:rtl/>
        </w:rPr>
        <w:t xml:space="preserve"> היובל” (שם, פרק 3, נספח ט), עמ׳ </w:t>
      </w:r>
      <w:proofErr w:type="spellStart"/>
      <w:r>
        <w:rPr>
          <w:sz w:val="20"/>
          <w:szCs w:val="20"/>
          <w:rtl/>
        </w:rPr>
        <w:t>יב</w:t>
      </w:r>
      <w:proofErr w:type="spellEnd"/>
      <w:r>
        <w:rPr>
          <w:sz w:val="20"/>
          <w:szCs w:val="20"/>
          <w:rtl/>
        </w:rPr>
        <w:t>.</w:t>
      </w:r>
    </w:p>
  </w:footnote>
  <w:footnote w:id="4503">
    <w:p w14:paraId="360F68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11.</w:t>
      </w:r>
    </w:p>
  </w:footnote>
  <w:footnote w:id="4504">
    <w:p w14:paraId="08222E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בהערה 22 לעיל.</w:t>
      </w:r>
    </w:p>
  </w:footnote>
  <w:footnote w:id="4505">
    <w:p w14:paraId="224C1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משלי ג, </w:t>
      </w:r>
      <w:proofErr w:type="spellStart"/>
      <w:r>
        <w:rPr>
          <w:sz w:val="20"/>
          <w:szCs w:val="20"/>
          <w:rtl/>
        </w:rPr>
        <w:t>יח</w:t>
      </w:r>
      <w:proofErr w:type="spellEnd"/>
      <w:r>
        <w:rPr>
          <w:sz w:val="20"/>
          <w:szCs w:val="20"/>
          <w:rtl/>
        </w:rPr>
        <w:t>.</w:t>
      </w:r>
    </w:p>
  </w:footnote>
  <w:footnote w:id="4506">
    <w:p w14:paraId="5D3DE6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12 לעיל, ופרק 4, סוף הפסקה הרביעית של נספח ט, לפי זיכרונות הרב </w:t>
      </w:r>
      <w:proofErr w:type="spellStart"/>
      <w:r>
        <w:rPr>
          <w:sz w:val="20"/>
          <w:szCs w:val="20"/>
          <w:rtl/>
        </w:rPr>
        <w:t>אונטרמן</w:t>
      </w:r>
      <w:proofErr w:type="spellEnd"/>
      <w:r>
        <w:rPr>
          <w:sz w:val="20"/>
          <w:szCs w:val="20"/>
          <w:rtl/>
        </w:rPr>
        <w:t xml:space="preserve"> שם.</w:t>
      </w:r>
    </w:p>
  </w:footnote>
  <w:footnote w:id="4507">
    <w:p w14:paraId="2ABD31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שבו יובאו פרטים נוספים על ר׳ </w:t>
      </w:r>
      <w:proofErr w:type="spellStart"/>
      <w:r>
        <w:rPr>
          <w:sz w:val="20"/>
          <w:szCs w:val="20"/>
          <w:rtl/>
        </w:rPr>
        <w:t>זלמן־סנדר</w:t>
      </w:r>
      <w:proofErr w:type="spellEnd"/>
      <w:r>
        <w:rPr>
          <w:sz w:val="20"/>
          <w:szCs w:val="20"/>
          <w:rtl/>
        </w:rPr>
        <w:t xml:space="preserve">. למרבה ההפתעה, בזמן פולמוס המוסר הוא חתם על מכתב התומך בכרוז “למען האמת” בעד המוסר, כמובא </w:t>
      </w:r>
      <w:proofErr w:type="spellStart"/>
      <w:r>
        <w:rPr>
          <w:sz w:val="20"/>
          <w:szCs w:val="20"/>
          <w:rtl/>
        </w:rPr>
        <w:t>ב“פולמוס</w:t>
      </w:r>
      <w:proofErr w:type="spellEnd"/>
      <w:r>
        <w:rPr>
          <w:sz w:val="20"/>
          <w:szCs w:val="20"/>
          <w:rtl/>
        </w:rPr>
        <w:t xml:space="preserve"> המוסר” (שם, פרק 3, נספח ו), עמ׳ 147.</w:t>
      </w:r>
    </w:p>
  </w:footnote>
  <w:footnote w:id="4508">
    <w:p w14:paraId="371CD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מאמר ביוגרפי </w:t>
      </w:r>
      <w:proofErr w:type="spellStart"/>
      <w:r>
        <w:rPr>
          <w:sz w:val="20"/>
          <w:szCs w:val="20"/>
          <w:rtl/>
        </w:rPr>
        <w:t>ב“מורי</w:t>
      </w:r>
      <w:proofErr w:type="spellEnd"/>
      <w:r>
        <w:rPr>
          <w:sz w:val="20"/>
          <w:szCs w:val="20"/>
          <w:rtl/>
        </w:rPr>
        <w:t xml:space="preserve"> האומה”, מאת הרב ישראל </w:t>
      </w:r>
      <w:proofErr w:type="spellStart"/>
      <w:r>
        <w:rPr>
          <w:sz w:val="20"/>
          <w:szCs w:val="20"/>
          <w:rtl/>
        </w:rPr>
        <w:t>שורין</w:t>
      </w:r>
      <w:proofErr w:type="spellEnd"/>
      <w:r>
        <w:rPr>
          <w:sz w:val="20"/>
          <w:szCs w:val="20"/>
          <w:rtl/>
        </w:rPr>
        <w:t>, כרך ה (הפסקה השנייה של נספח ב להלן), עמ׳ 88–91.</w:t>
      </w:r>
    </w:p>
  </w:footnote>
  <w:footnote w:id="4509">
    <w:p w14:paraId="6826E4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17.</w:t>
      </w:r>
    </w:p>
  </w:footnote>
  <w:footnote w:id="4510">
    <w:p w14:paraId="370BE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22 באפריל 2001.</w:t>
      </w:r>
    </w:p>
  </w:footnote>
  <w:footnote w:id="4511">
    <w:p w14:paraId="5E2FAA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נתן שטרן שמע זאת ומסרו לי ב־4 באוגוסט 1992.</w:t>
      </w:r>
    </w:p>
  </w:footnote>
  <w:footnote w:id="4512">
    <w:p w14:paraId="65AC1D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הרביעית של נספח ט. השווה גם פרק 3, תחילת הפסקה הרביעית של נספח </w:t>
      </w:r>
      <w:proofErr w:type="spellStart"/>
      <w:r>
        <w:rPr>
          <w:sz w:val="20"/>
          <w:szCs w:val="20"/>
          <w:rtl/>
        </w:rPr>
        <w:t>יח</w:t>
      </w:r>
      <w:proofErr w:type="spellEnd"/>
      <w:r>
        <w:rPr>
          <w:sz w:val="20"/>
          <w:szCs w:val="20"/>
          <w:rtl/>
        </w:rPr>
        <w:t xml:space="preserve">, כיצד ראה ר׳ </w:t>
      </w:r>
      <w:proofErr w:type="spellStart"/>
      <w:r>
        <w:rPr>
          <w:sz w:val="20"/>
          <w:szCs w:val="20"/>
          <w:rtl/>
        </w:rPr>
        <w:t>חיים־עוזר</w:t>
      </w:r>
      <w:proofErr w:type="spellEnd"/>
      <w:r>
        <w:rPr>
          <w:sz w:val="20"/>
          <w:szCs w:val="20"/>
          <w:rtl/>
        </w:rPr>
        <w:t xml:space="preserve">, שהיה </w:t>
      </w:r>
      <w:proofErr w:type="spellStart"/>
      <w:r>
        <w:rPr>
          <w:sz w:val="20"/>
          <w:szCs w:val="20"/>
          <w:rtl/>
        </w:rPr>
        <w:t>בוולוז׳ין</w:t>
      </w:r>
      <w:proofErr w:type="spellEnd"/>
      <w:r>
        <w:rPr>
          <w:sz w:val="20"/>
          <w:szCs w:val="20"/>
          <w:rtl/>
        </w:rPr>
        <w:t xml:space="preserve"> בערך באותו זמן כר׳ שמעון, את ר׳ חיים, המבוגר ממנו בעשר שנים.</w:t>
      </w:r>
    </w:p>
  </w:footnote>
  <w:footnote w:id="4513">
    <w:p w14:paraId="16F6A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334.</w:t>
      </w:r>
    </w:p>
  </w:footnote>
  <w:footnote w:id="4514">
    <w:p w14:paraId="0F84CE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20 לעיל.</w:t>
      </w:r>
    </w:p>
  </w:footnote>
  <w:footnote w:id="4515">
    <w:p w14:paraId="74EBB3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הרביעית של נספח ט – עמ׳ 114.</w:t>
      </w:r>
    </w:p>
  </w:footnote>
  <w:footnote w:id="4516">
    <w:p w14:paraId="115A7F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באוקטובר 1991.</w:t>
      </w:r>
    </w:p>
  </w:footnote>
  <w:footnote w:id="4517">
    <w:p w14:paraId="57E67D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ב, עמ׳ 334, המונה שבעה.</w:t>
      </w:r>
    </w:p>
  </w:footnote>
  <w:footnote w:id="4518">
    <w:p w14:paraId="406476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כרך 2, על תולדות ישיבת </w:t>
      </w:r>
      <w:proofErr w:type="spellStart"/>
      <w:r>
        <w:rPr>
          <w:sz w:val="20"/>
          <w:szCs w:val="20"/>
          <w:rtl/>
        </w:rPr>
        <w:t>לומז׳ה</w:t>
      </w:r>
      <w:proofErr w:type="spellEnd"/>
      <w:r>
        <w:rPr>
          <w:sz w:val="20"/>
          <w:szCs w:val="20"/>
          <w:rtl/>
        </w:rPr>
        <w:t>.</w:t>
      </w:r>
    </w:p>
  </w:footnote>
  <w:footnote w:id="4519">
    <w:p w14:paraId="69206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א. בר משה </w:t>
      </w:r>
      <w:proofErr w:type="spellStart"/>
      <w:r>
        <w:rPr>
          <w:sz w:val="20"/>
          <w:szCs w:val="20"/>
          <w:rtl/>
        </w:rPr>
        <w:t>ב“יתד</w:t>
      </w:r>
      <w:proofErr w:type="spellEnd"/>
      <w:r>
        <w:rPr>
          <w:sz w:val="20"/>
          <w:szCs w:val="20"/>
          <w:rtl/>
        </w:rPr>
        <w:t xml:space="preserve"> נאמן”, מוסף עש״ק פרשת </w:t>
      </w:r>
      <w:proofErr w:type="spellStart"/>
      <w:r>
        <w:rPr>
          <w:sz w:val="20"/>
          <w:szCs w:val="20"/>
          <w:rtl/>
        </w:rPr>
        <w:t>ויקהל־פרה</w:t>
      </w:r>
      <w:proofErr w:type="spellEnd"/>
      <w:r>
        <w:rPr>
          <w:sz w:val="20"/>
          <w:szCs w:val="20"/>
          <w:rtl/>
        </w:rPr>
        <w:t xml:space="preserve"> תשנ״ד, עמ׳ 8. ראה גם “אור יחזקאל” (בני ברק, תשל״ח), עמ׳ פג, שבו נזכר ר׳ </w:t>
      </w:r>
      <w:proofErr w:type="spellStart"/>
      <w:r>
        <w:rPr>
          <w:sz w:val="20"/>
          <w:szCs w:val="20"/>
          <w:rtl/>
        </w:rPr>
        <w:t>חצקל</w:t>
      </w:r>
      <w:proofErr w:type="spellEnd"/>
      <w:r>
        <w:rPr>
          <w:sz w:val="20"/>
          <w:szCs w:val="20"/>
          <w:rtl/>
        </w:rPr>
        <w:t xml:space="preserve"> בחוויה זו ‘מימי ילדותו’. אבי, בדבריו המצוטטים בהערה 58 להלן, לא כינה את הרב </w:t>
      </w:r>
      <w:proofErr w:type="spellStart"/>
      <w:r>
        <w:rPr>
          <w:sz w:val="20"/>
          <w:szCs w:val="20"/>
          <w:rtl/>
        </w:rPr>
        <w:t>דינובסקי</w:t>
      </w:r>
      <w:proofErr w:type="spellEnd"/>
      <w:r>
        <w:rPr>
          <w:sz w:val="20"/>
          <w:szCs w:val="20"/>
          <w:rtl/>
        </w:rPr>
        <w:t xml:space="preserve"> תלמיד ר׳ ישראל </w:t>
      </w:r>
      <w:proofErr w:type="spellStart"/>
      <w:r>
        <w:rPr>
          <w:sz w:val="20"/>
          <w:szCs w:val="20"/>
          <w:rtl/>
        </w:rPr>
        <w:t>סלנטר</w:t>
      </w:r>
      <w:proofErr w:type="spellEnd"/>
      <w:r>
        <w:rPr>
          <w:sz w:val="20"/>
          <w:szCs w:val="20"/>
          <w:rtl/>
        </w:rPr>
        <w:t>, אלא רק אמר עליו שראה את ר׳ ישראל. השווה גם הערה 32 להלן.</w:t>
      </w:r>
    </w:p>
  </w:footnote>
  <w:footnote w:id="4520">
    <w:p w14:paraId="1A2C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ו – עמ׳ 29.</w:t>
      </w:r>
    </w:p>
  </w:footnote>
  <w:footnote w:id="4521">
    <w:p w14:paraId="425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בשבת חול המועד סוכות תשנ״ב.</w:t>
      </w:r>
    </w:p>
  </w:footnote>
  <w:footnote w:id="4522">
    <w:p w14:paraId="151960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ד – עמ׳ </w:t>
      </w:r>
      <w:proofErr w:type="spellStart"/>
      <w:r>
        <w:rPr>
          <w:sz w:val="20"/>
          <w:szCs w:val="20"/>
          <w:rtl/>
        </w:rPr>
        <w:t>קמד</w:t>
      </w:r>
      <w:proofErr w:type="spellEnd"/>
      <w:r>
        <w:rPr>
          <w:sz w:val="20"/>
          <w:szCs w:val="20"/>
          <w:rtl/>
        </w:rPr>
        <w:t>–קנח.</w:t>
      </w:r>
    </w:p>
  </w:footnote>
  <w:footnote w:id="4523">
    <w:p w14:paraId="098ED9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3.1, פסקה 7.</w:t>
      </w:r>
    </w:p>
  </w:footnote>
  <w:footnote w:id="4524">
    <w:p w14:paraId="483945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4.2, פסקה 7.</w:t>
      </w:r>
    </w:p>
  </w:footnote>
  <w:footnote w:id="4525">
    <w:p w14:paraId="58320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בינואר 1992.</w:t>
      </w:r>
    </w:p>
  </w:footnote>
  <w:footnote w:id="4526">
    <w:p w14:paraId="11CDFA1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אך השווה “עובדות והנהגות לבית </w:t>
      </w:r>
      <w:proofErr w:type="spellStart"/>
      <w:r>
        <w:rPr>
          <w:sz w:val="20"/>
          <w:szCs w:val="20"/>
          <w:rtl/>
        </w:rPr>
        <w:t>בריסק</w:t>
      </w:r>
      <w:proofErr w:type="spellEnd"/>
      <w:r>
        <w:rPr>
          <w:sz w:val="20"/>
          <w:szCs w:val="20"/>
          <w:rtl/>
        </w:rPr>
        <w:t xml:space="preserve">” (הפסקה הראשונה של נספח ב להלן), </w:t>
      </w:r>
      <w:proofErr w:type="spellStart"/>
      <w:r>
        <w:rPr>
          <w:sz w:val="20"/>
          <w:szCs w:val="20"/>
          <w:rtl/>
        </w:rPr>
        <w:t>ח״ב</w:t>
      </w:r>
      <w:proofErr w:type="spellEnd"/>
      <w:r>
        <w:rPr>
          <w:sz w:val="20"/>
          <w:szCs w:val="20"/>
          <w:rtl/>
        </w:rPr>
        <w:t xml:space="preserve">, עמ׳ </w:t>
      </w:r>
      <w:proofErr w:type="spellStart"/>
      <w:r>
        <w:rPr>
          <w:sz w:val="20"/>
          <w:szCs w:val="20"/>
          <w:rtl/>
        </w:rPr>
        <w:t>קעה</w:t>
      </w:r>
      <w:proofErr w:type="spellEnd"/>
      <w:r>
        <w:rPr>
          <w:sz w:val="20"/>
          <w:szCs w:val="20"/>
          <w:rtl/>
        </w:rPr>
        <w:t xml:space="preserve">: ר׳ משה־מאיר פראג מוסר שם בשם ר׳ יצחק־זאב </w:t>
      </w:r>
      <w:proofErr w:type="spellStart"/>
      <w:r>
        <w:rPr>
          <w:sz w:val="20"/>
          <w:szCs w:val="20"/>
          <w:rtl/>
        </w:rPr>
        <w:t>סולובייצ׳יק</w:t>
      </w:r>
      <w:proofErr w:type="spellEnd"/>
      <w:r>
        <w:rPr>
          <w:sz w:val="20"/>
          <w:szCs w:val="20"/>
          <w:rtl/>
        </w:rPr>
        <w:t xml:space="preserve"> שר׳ חיים יעץ זאת </w:t>
      </w:r>
      <w:proofErr w:type="spellStart"/>
      <w:r>
        <w:rPr>
          <w:sz w:val="20"/>
          <w:szCs w:val="20"/>
          <w:rtl/>
        </w:rPr>
        <w:t>לר</w:t>
      </w:r>
      <w:proofErr w:type="spellEnd"/>
      <w:r>
        <w:rPr>
          <w:sz w:val="20"/>
          <w:szCs w:val="20"/>
          <w:rtl/>
        </w:rPr>
        <w:t xml:space="preserve">׳ </w:t>
      </w:r>
      <w:proofErr w:type="spellStart"/>
      <w:r>
        <w:rPr>
          <w:sz w:val="20"/>
          <w:szCs w:val="20"/>
          <w:rtl/>
        </w:rPr>
        <w:t>זלמן־סנדר</w:t>
      </w:r>
      <w:proofErr w:type="spellEnd"/>
      <w:r>
        <w:rPr>
          <w:sz w:val="20"/>
          <w:szCs w:val="20"/>
          <w:rtl/>
        </w:rPr>
        <w:t xml:space="preserve"> מפני שהיה שם “בחור אחד מהמזרחי שהפיץ את דעותיו בין תלמידי הישיבה”. עוד נאמר שם שבישיבה היו ארבע מאות תלמידים – המספר נראה מוגזם – ושר׳ </w:t>
      </w:r>
      <w:proofErr w:type="spellStart"/>
      <w:r>
        <w:rPr>
          <w:sz w:val="20"/>
          <w:szCs w:val="20"/>
          <w:rtl/>
        </w:rPr>
        <w:t>זלמן־סנדר</w:t>
      </w:r>
      <w:proofErr w:type="spellEnd"/>
      <w:r>
        <w:rPr>
          <w:sz w:val="20"/>
          <w:szCs w:val="20"/>
          <w:rtl/>
        </w:rPr>
        <w:t xml:space="preserve"> לקח עמו </w:t>
      </w:r>
      <w:proofErr w:type="spellStart"/>
      <w:r>
        <w:rPr>
          <w:sz w:val="20"/>
          <w:szCs w:val="20"/>
          <w:rtl/>
        </w:rPr>
        <w:t>לקרינק</w:t>
      </w:r>
      <w:proofErr w:type="spellEnd"/>
      <w:r>
        <w:rPr>
          <w:sz w:val="20"/>
          <w:szCs w:val="20"/>
          <w:rtl/>
        </w:rPr>
        <w:t xml:space="preserve"> רק ארבעים מהם.</w:t>
      </w:r>
    </w:p>
  </w:footnote>
  <w:footnote w:id="4527">
    <w:p w14:paraId="25FFE7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עמ׳ 369.</w:t>
      </w:r>
    </w:p>
  </w:footnote>
  <w:footnote w:id="4528">
    <w:p w14:paraId="654F950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24 בפרק זה – עמ׳ 13.</w:t>
      </w:r>
    </w:p>
  </w:footnote>
  <w:footnote w:id="4529">
    <w:p w14:paraId="3914BC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w:t>
      </w:r>
    </w:p>
  </w:footnote>
  <w:footnote w:id="4530">
    <w:p w14:paraId="6B944D5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“ספר היובל”, עמ׳ 13.</w:t>
      </w:r>
    </w:p>
  </w:footnote>
  <w:footnote w:id="4531">
    <w:p w14:paraId="3367E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532">
    <w:p w14:paraId="33A04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ו – עמ׳ 58.</w:t>
      </w:r>
    </w:p>
  </w:footnote>
  <w:footnote w:id="4533">
    <w:p w14:paraId="26B309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17–18.</w:t>
      </w:r>
    </w:p>
  </w:footnote>
  <w:footnote w:id="4534">
    <w:p w14:paraId="3D7957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w:t>
      </w:r>
    </w:p>
  </w:footnote>
  <w:footnote w:id="4535">
    <w:p w14:paraId="733196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 באוקטובר 1991.</w:t>
      </w:r>
    </w:p>
  </w:footnote>
  <w:footnote w:id="4536">
    <w:p w14:paraId="5075BC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72.</w:t>
      </w:r>
    </w:p>
  </w:footnote>
  <w:footnote w:id="4537">
    <w:p w14:paraId="4FCF8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כו</w:t>
      </w:r>
      <w:proofErr w:type="spellEnd"/>
      <w:r>
        <w:rPr>
          <w:sz w:val="20"/>
          <w:szCs w:val="20"/>
          <w:rtl/>
        </w:rPr>
        <w:t>.</w:t>
      </w:r>
    </w:p>
  </w:footnote>
  <w:footnote w:id="4538">
    <w:p w14:paraId="66B39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14.</w:t>
      </w:r>
    </w:p>
  </w:footnote>
  <w:footnote w:id="4539">
    <w:p w14:paraId="139E72B8"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לפי הנתונים שבהערה זו (נולד </w:t>
      </w:r>
      <w:proofErr w:type="spellStart"/>
      <w:r>
        <w:rPr>
          <w:sz w:val="20"/>
          <w:szCs w:val="20"/>
          <w:rtl/>
        </w:rPr>
        <w:t>בתרמ״ג</w:t>
      </w:r>
      <w:proofErr w:type="spellEnd"/>
      <w:r>
        <w:rPr>
          <w:sz w:val="20"/>
          <w:szCs w:val="20"/>
          <w:rtl/>
        </w:rPr>
        <w:t xml:space="preserve">,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ויצא </w:t>
      </w:r>
      <w:proofErr w:type="spellStart"/>
      <w:r>
        <w:rPr>
          <w:sz w:val="20"/>
          <w:szCs w:val="20"/>
          <w:rtl/>
        </w:rPr>
        <w:t>לטלז</w:t>
      </w:r>
      <w:proofErr w:type="spellEnd"/>
      <w:r>
        <w:rPr>
          <w:sz w:val="20"/>
          <w:szCs w:val="20"/>
          <w:rtl/>
        </w:rPr>
        <w:t xml:space="preserve"> </w:t>
      </w:r>
      <w:proofErr w:type="spellStart"/>
      <w:r>
        <w:rPr>
          <w:sz w:val="20"/>
          <w:szCs w:val="20"/>
          <w:rtl/>
        </w:rPr>
        <w:t>בתרס״ה</w:t>
      </w:r>
      <w:proofErr w:type="spellEnd"/>
      <w:r>
        <w:rPr>
          <w:sz w:val="20"/>
          <w:szCs w:val="20"/>
          <w:rtl/>
        </w:rPr>
        <w:t>) היה אז כבן עשרים ושתיים, ולא בן עשרים וארבע כבמקור.</w:t>
      </w:r>
    </w:p>
  </w:footnote>
  <w:footnote w:id="4540">
    <w:p w14:paraId="40A3BD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הספד מאת ד. </w:t>
      </w:r>
      <w:proofErr w:type="spellStart"/>
      <w:r>
        <w:rPr>
          <w:sz w:val="20"/>
          <w:szCs w:val="20"/>
          <w:rtl/>
        </w:rPr>
        <w:t>אהרני</w:t>
      </w:r>
      <w:proofErr w:type="spellEnd"/>
      <w:r>
        <w:rPr>
          <w:sz w:val="20"/>
          <w:szCs w:val="20"/>
          <w:rtl/>
        </w:rPr>
        <w:t xml:space="preserve"> </w:t>
      </w:r>
      <w:proofErr w:type="spellStart"/>
      <w:r>
        <w:rPr>
          <w:sz w:val="20"/>
          <w:szCs w:val="20"/>
          <w:rtl/>
        </w:rPr>
        <w:t>ב“ההד</w:t>
      </w:r>
      <w:proofErr w:type="spellEnd"/>
      <w:r>
        <w:rPr>
          <w:sz w:val="20"/>
          <w:szCs w:val="20"/>
          <w:rtl/>
        </w:rPr>
        <w:t xml:space="preserve">”, אייר </w:t>
      </w:r>
      <w:proofErr w:type="spellStart"/>
      <w:r>
        <w:rPr>
          <w:sz w:val="20"/>
          <w:szCs w:val="20"/>
          <w:rtl/>
        </w:rPr>
        <w:t>תר״ץ</w:t>
      </w:r>
      <w:proofErr w:type="spellEnd"/>
      <w:r>
        <w:rPr>
          <w:sz w:val="20"/>
          <w:szCs w:val="20"/>
          <w:rtl/>
        </w:rPr>
        <w:t xml:space="preserve">. המאמר טועה כשהוא אומר שאחרי שמונה שנים </w:t>
      </w:r>
      <w:proofErr w:type="spellStart"/>
      <w:r>
        <w:rPr>
          <w:sz w:val="20"/>
          <w:szCs w:val="20"/>
          <w:rtl/>
        </w:rPr>
        <w:t>בסלבודקה</w:t>
      </w:r>
      <w:proofErr w:type="spellEnd"/>
      <w:r>
        <w:rPr>
          <w:sz w:val="20"/>
          <w:szCs w:val="20"/>
          <w:rtl/>
        </w:rPr>
        <w:t xml:space="preserve"> למד שמונה שנים </w:t>
      </w:r>
      <w:proofErr w:type="spellStart"/>
      <w:r>
        <w:rPr>
          <w:sz w:val="20"/>
          <w:szCs w:val="20"/>
          <w:rtl/>
        </w:rPr>
        <w:t>בטלז</w:t>
      </w:r>
      <w:proofErr w:type="spellEnd"/>
      <w:r>
        <w:rPr>
          <w:sz w:val="20"/>
          <w:szCs w:val="20"/>
          <w:rtl/>
        </w:rPr>
        <w:t xml:space="preserve">. אילו היה הדבר נכון, היה עליו להצטרף </w:t>
      </w:r>
      <w:proofErr w:type="spellStart"/>
      <w:r>
        <w:rPr>
          <w:sz w:val="20"/>
          <w:szCs w:val="20"/>
          <w:rtl/>
        </w:rPr>
        <w:t>לסלבודקה</w:t>
      </w:r>
      <w:proofErr w:type="spellEnd"/>
      <w:r>
        <w:rPr>
          <w:sz w:val="20"/>
          <w:szCs w:val="20"/>
          <w:rtl/>
        </w:rPr>
        <w:t xml:space="preserve"> בגיל שמונה. השווה גם פרק 3, הפסקה השנייה של נספח כ: הוא היה ממנהיגי ההתנגשות נגד המוסר, ולא יכול היה להיות </w:t>
      </w:r>
      <w:proofErr w:type="spellStart"/>
      <w:r>
        <w:rPr>
          <w:sz w:val="20"/>
          <w:szCs w:val="20"/>
          <w:rtl/>
        </w:rPr>
        <w:t>בטלז</w:t>
      </w:r>
      <w:proofErr w:type="spellEnd"/>
      <w:r>
        <w:rPr>
          <w:sz w:val="20"/>
          <w:szCs w:val="20"/>
          <w:rtl/>
        </w:rPr>
        <w:t xml:space="preserve"> באותה שעה. למעשה היה </w:t>
      </w:r>
      <w:proofErr w:type="spellStart"/>
      <w:r>
        <w:rPr>
          <w:sz w:val="20"/>
          <w:szCs w:val="20"/>
          <w:rtl/>
        </w:rPr>
        <w:t>בטלז</w:t>
      </w:r>
      <w:proofErr w:type="spellEnd"/>
      <w:r>
        <w:rPr>
          <w:sz w:val="20"/>
          <w:szCs w:val="20"/>
          <w:rtl/>
        </w:rPr>
        <w:t xml:space="preserve"> פחות מחצי שנה, כשאר חברי הקבוצה הראשונה </w:t>
      </w:r>
      <w:proofErr w:type="spellStart"/>
      <w:r>
        <w:rPr>
          <w:sz w:val="20"/>
          <w:szCs w:val="20"/>
          <w:rtl/>
        </w:rPr>
        <w:t>מסלבודקה</w:t>
      </w:r>
      <w:proofErr w:type="spellEnd"/>
      <w:r>
        <w:rPr>
          <w:sz w:val="20"/>
          <w:szCs w:val="20"/>
          <w:rtl/>
        </w:rPr>
        <w:t xml:space="preserve">, </w:t>
      </w:r>
      <w:proofErr w:type="spellStart"/>
      <w:r>
        <w:rPr>
          <w:sz w:val="20"/>
          <w:szCs w:val="20"/>
          <w:rtl/>
        </w:rPr>
        <w:t>בתרס״ה</w:t>
      </w:r>
      <w:proofErr w:type="spellEnd"/>
      <w:r>
        <w:rPr>
          <w:sz w:val="20"/>
          <w:szCs w:val="20"/>
          <w:rtl/>
        </w:rPr>
        <w:t>.</w:t>
      </w:r>
    </w:p>
    <w:p w14:paraId="64B8540D" w14:textId="77777777" w:rsidR="00AB3647" w:rsidRDefault="00000000">
      <w:pPr>
        <w:spacing w:after="0" w:before="0"/>
        <w:jc w:val="both"/>
      </w:pPr>
      <w:r>
        <w:rPr>
          <w:sz w:val="20"/>
          <w:szCs w:val="20"/>
          <w:rtl/>
        </w:rPr>
        <w:t xml:space="preserve">גם במקרה </w:t>
      </w:r>
      <w:proofErr w:type="spellStart"/>
      <w:r>
        <w:rPr>
          <w:sz w:val="20"/>
          <w:szCs w:val="20"/>
          <w:rtl/>
        </w:rPr>
        <w:t>הלא־סביר</w:t>
      </w:r>
      <w:proofErr w:type="spellEnd"/>
      <w:r>
        <w:rPr>
          <w:sz w:val="20"/>
          <w:szCs w:val="20"/>
          <w:rtl/>
        </w:rPr>
        <w:t xml:space="preserve"> שהיה חבר גם במשלחת השנייה, </w:t>
      </w:r>
      <w:proofErr w:type="spellStart"/>
      <w:r>
        <w:rPr>
          <w:sz w:val="20"/>
          <w:szCs w:val="20"/>
          <w:rtl/>
        </w:rPr>
        <w:t>בתרס״ו</w:t>
      </w:r>
      <w:proofErr w:type="spellEnd"/>
      <w:r>
        <w:rPr>
          <w:sz w:val="20"/>
          <w:szCs w:val="20"/>
          <w:rtl/>
        </w:rPr>
        <w:t xml:space="preserve"> (השווה פרק 4, הפסקה השביעית בסעיף 2, הערות 117, 118 ו־119), היה </w:t>
      </w:r>
      <w:proofErr w:type="spellStart"/>
      <w:r>
        <w:rPr>
          <w:sz w:val="20"/>
          <w:szCs w:val="20"/>
          <w:rtl/>
        </w:rPr>
        <w:t>בטלז</w:t>
      </w:r>
      <w:proofErr w:type="spellEnd"/>
      <w:r>
        <w:rPr>
          <w:sz w:val="20"/>
          <w:szCs w:val="20"/>
          <w:rtl/>
        </w:rPr>
        <w:t xml:space="preserve"> לכל היותר שנתיים וחצי במצטבר – ולא שמונה! – וזאת אפילו אם נמשיך למנותו כתלמיד </w:t>
      </w:r>
      <w:proofErr w:type="spellStart"/>
      <w:r>
        <w:rPr>
          <w:sz w:val="20"/>
          <w:szCs w:val="20"/>
          <w:rtl/>
        </w:rPr>
        <w:t>טלז</w:t>
      </w:r>
      <w:proofErr w:type="spellEnd"/>
      <w:r>
        <w:rPr>
          <w:sz w:val="20"/>
          <w:szCs w:val="20"/>
          <w:rtl/>
        </w:rPr>
        <w:t xml:space="preserve"> בזמן שחזר </w:t>
      </w:r>
      <w:proofErr w:type="spellStart"/>
      <w:r>
        <w:rPr>
          <w:sz w:val="20"/>
          <w:szCs w:val="20"/>
          <w:rtl/>
        </w:rPr>
        <w:t>לסלבודקה</w:t>
      </w:r>
      <w:proofErr w:type="spellEnd"/>
      <w:r>
        <w:rPr>
          <w:sz w:val="20"/>
          <w:szCs w:val="20"/>
          <w:rtl/>
        </w:rPr>
        <w:t xml:space="preserve"> בעת סגירת </w:t>
      </w:r>
      <w:proofErr w:type="spellStart"/>
      <w:r>
        <w:rPr>
          <w:sz w:val="20"/>
          <w:szCs w:val="20"/>
          <w:rtl/>
        </w:rPr>
        <w:t>טלז</w:t>
      </w:r>
      <w:proofErr w:type="spellEnd"/>
      <w:r>
        <w:rPr>
          <w:sz w:val="20"/>
          <w:szCs w:val="20"/>
          <w:rtl/>
        </w:rPr>
        <w:t xml:space="preserve">. אבל אפשרות זו אינה סבירה משני טעמים: אבי מעולם לא הזכיר שר׳ שלמה הובא </w:t>
      </w:r>
      <w:proofErr w:type="spellStart"/>
      <w:r>
        <w:rPr>
          <w:sz w:val="20"/>
          <w:szCs w:val="20"/>
          <w:rtl/>
        </w:rPr>
        <w:t>מטלז</w:t>
      </w:r>
      <w:proofErr w:type="spellEnd"/>
      <w:r>
        <w:rPr>
          <w:sz w:val="20"/>
          <w:szCs w:val="20"/>
          <w:rtl/>
        </w:rPr>
        <w:t xml:space="preserve"> לעמוד בראש קבוצת </w:t>
      </w:r>
      <w:proofErr w:type="spellStart"/>
      <w:r>
        <w:rPr>
          <w:sz w:val="20"/>
          <w:szCs w:val="20"/>
          <w:rtl/>
        </w:rPr>
        <w:t>מאלטש</w:t>
      </w:r>
      <w:proofErr w:type="spellEnd"/>
      <w:r>
        <w:rPr>
          <w:sz w:val="20"/>
          <w:szCs w:val="20"/>
          <w:rtl/>
        </w:rPr>
        <w:t xml:space="preserve">; ומאחר שהמשלחת הראשונה נכשלה, לא היו מצערים איש מחבריה ומוליכים אותו שוב באותה דרך אומללה. כך או כך, הפעם הראשונה, וכנראה היחידה, שבה יצא </w:t>
      </w:r>
      <w:proofErr w:type="spellStart"/>
      <w:r>
        <w:rPr>
          <w:sz w:val="20"/>
          <w:szCs w:val="20"/>
          <w:rtl/>
        </w:rPr>
        <w:t>לטלז</w:t>
      </w:r>
      <w:proofErr w:type="spellEnd"/>
      <w:r>
        <w:rPr>
          <w:sz w:val="20"/>
          <w:szCs w:val="20"/>
          <w:rtl/>
        </w:rPr>
        <w:t xml:space="preserve"> הייתה עם קבוצת תרס״ה, אחרי שלמד </w:t>
      </w:r>
      <w:proofErr w:type="spellStart"/>
      <w:r>
        <w:rPr>
          <w:sz w:val="20"/>
          <w:szCs w:val="20"/>
          <w:rtl/>
        </w:rPr>
        <w:t>בסלבודקה</w:t>
      </w:r>
      <w:proofErr w:type="spellEnd"/>
      <w:r>
        <w:rPr>
          <w:sz w:val="20"/>
          <w:szCs w:val="20"/>
          <w:rtl/>
        </w:rPr>
        <w:t xml:space="preserve"> שמונה שנים. לפיכך בא </w:t>
      </w:r>
      <w:proofErr w:type="spellStart"/>
      <w:r>
        <w:rPr>
          <w:sz w:val="20"/>
          <w:szCs w:val="20"/>
          <w:rtl/>
        </w:rPr>
        <w:t>לסלבודקה</w:t>
      </w:r>
      <w:proofErr w:type="spellEnd"/>
      <w:r>
        <w:rPr>
          <w:sz w:val="20"/>
          <w:szCs w:val="20"/>
          <w:rtl/>
        </w:rPr>
        <w:t xml:space="preserve"> </w:t>
      </w:r>
      <w:proofErr w:type="spellStart"/>
      <w:r>
        <w:rPr>
          <w:sz w:val="20"/>
          <w:szCs w:val="20"/>
          <w:rtl/>
        </w:rPr>
        <w:t>בתרנ״ז</w:t>
      </w:r>
      <w:proofErr w:type="spellEnd"/>
      <w:r>
        <w:rPr>
          <w:sz w:val="20"/>
          <w:szCs w:val="20"/>
          <w:rtl/>
        </w:rPr>
        <w:t xml:space="preserve">, בגיל </w:t>
      </w:r>
      <w:proofErr w:type="spellStart"/>
      <w:r>
        <w:rPr>
          <w:sz w:val="20"/>
          <w:szCs w:val="20"/>
          <w:rtl/>
        </w:rPr>
        <w:t>ארבע־עשרה</w:t>
      </w:r>
      <w:proofErr w:type="spellEnd"/>
      <w:r>
        <w:rPr>
          <w:sz w:val="20"/>
          <w:szCs w:val="20"/>
          <w:rtl/>
        </w:rPr>
        <w:t xml:space="preserve"> – דבר סביר.</w:t>
      </w:r>
    </w:p>
  </w:footnote>
  <w:footnote w:id="4541">
    <w:p w14:paraId="0E7D6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הפסקאות השנייה והשלישית של נספח כ.</w:t>
      </w:r>
    </w:p>
  </w:footnote>
  <w:footnote w:id="4542">
    <w:p w14:paraId="7BAA71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השלישית של פרק 4.1.</w:t>
      </w:r>
    </w:p>
  </w:footnote>
  <w:footnote w:id="4543">
    <w:p w14:paraId="54E085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4544">
    <w:p w14:paraId="446BB6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19 לעיל.</w:t>
      </w:r>
    </w:p>
  </w:footnote>
  <w:footnote w:id="4545">
    <w:p w14:paraId="7357BC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31 לעיל.</w:t>
      </w:r>
    </w:p>
  </w:footnote>
  <w:footnote w:id="4546">
    <w:p w14:paraId="07DC3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“כל כתבי חפץ חיים השלם” (הפסקה השנייה של נספח ב להלן), עמ׳ 23–24.</w:t>
      </w:r>
    </w:p>
  </w:footnote>
  <w:footnote w:id="4547">
    <w:p w14:paraId="25F251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48">
    <w:p w14:paraId="5C2C8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י.</w:t>
      </w:r>
    </w:p>
  </w:footnote>
  <w:footnote w:id="4549">
    <w:p w14:paraId="3468CA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הערת השוליים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4550">
    <w:p w14:paraId="332C53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 ע״ב.</w:t>
      </w:r>
    </w:p>
  </w:footnote>
  <w:footnote w:id="4551">
    <w:p w14:paraId="4698D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הערה 40 לעיל.</w:t>
      </w:r>
    </w:p>
  </w:footnote>
  <w:footnote w:id="4552">
    <w:p w14:paraId="7188CA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הערות 45 ו־46 להלן.</w:t>
      </w:r>
    </w:p>
  </w:footnote>
  <w:footnote w:id="4553">
    <w:p w14:paraId="27D0C5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בדצמבר 1991.</w:t>
      </w:r>
    </w:p>
  </w:footnote>
  <w:footnote w:id="4554">
    <w:p w14:paraId="0F3A12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ר׳ </w:t>
      </w:r>
      <w:proofErr w:type="spellStart"/>
      <w:r>
        <w:rPr>
          <w:sz w:val="20"/>
          <w:szCs w:val="20"/>
          <w:rtl/>
        </w:rPr>
        <w:t>יהודה־לייב</w:t>
      </w:r>
      <w:proofErr w:type="spellEnd"/>
      <w:r>
        <w:rPr>
          <w:sz w:val="20"/>
          <w:szCs w:val="20"/>
          <w:rtl/>
        </w:rPr>
        <w:t xml:space="preserve"> </w:t>
      </w:r>
      <w:proofErr w:type="spellStart"/>
      <w:r>
        <w:rPr>
          <w:sz w:val="20"/>
          <w:szCs w:val="20"/>
          <w:rtl/>
        </w:rPr>
        <w:t>הוטנר</w:t>
      </w:r>
      <w:proofErr w:type="spellEnd"/>
      <w:r>
        <w:rPr>
          <w:sz w:val="20"/>
          <w:szCs w:val="20"/>
          <w:rtl/>
        </w:rPr>
        <w:t>, שהחליף את חותנו, ר׳ יודל סגל, ברבנות ורשה.</w:t>
      </w:r>
    </w:p>
  </w:footnote>
  <w:footnote w:id="4555">
    <w:p w14:paraId="41DAB8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אבות פ״ג מ״ו. במקור מתייחס המונח לחובות האזרח כלפי השלטון, אך הדובר השתמש בביטוי במשמעותו היומיומית יותר: נימוסים טובים.</w:t>
      </w:r>
    </w:p>
  </w:footnote>
  <w:footnote w:id="4556">
    <w:p w14:paraId="7ED886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106 – עמ׳ 109.</w:t>
      </w:r>
    </w:p>
  </w:footnote>
  <w:footnote w:id="4557">
    <w:p w14:paraId="53AD4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באוגוסט 1992.</w:t>
      </w:r>
    </w:p>
  </w:footnote>
  <w:footnote w:id="4558">
    <w:p w14:paraId="3A5F55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w:t>
      </w:r>
    </w:p>
  </w:footnote>
  <w:footnote w:id="4559">
    <w:p w14:paraId="767248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31 לעיל.</w:t>
      </w:r>
    </w:p>
  </w:footnote>
  <w:footnote w:id="4560">
    <w:p w14:paraId="1965E9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ישעיה </w:t>
      </w:r>
      <w:proofErr w:type="spellStart"/>
      <w:r>
        <w:rPr>
          <w:sz w:val="20"/>
          <w:szCs w:val="20"/>
          <w:rtl/>
        </w:rPr>
        <w:t>כא</w:t>
      </w:r>
      <w:proofErr w:type="spellEnd"/>
      <w:r>
        <w:rPr>
          <w:sz w:val="20"/>
          <w:szCs w:val="20"/>
          <w:rtl/>
        </w:rPr>
        <w:t>, יד.</w:t>
      </w:r>
    </w:p>
  </w:footnote>
  <w:footnote w:id="4561">
    <w:p w14:paraId="75C8F3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בכותרת העברית, המילה העיקרית (צמא) נעשית ראשי תיבות לשלוש הקבוצות, כפי שהדגשתי בעברית.</w:t>
      </w:r>
    </w:p>
  </w:footnote>
  <w:footnote w:id="4562">
    <w:p w14:paraId="39378A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דניאל </w:t>
      </w:r>
      <w:proofErr w:type="spellStart"/>
      <w:r>
        <w:rPr>
          <w:sz w:val="20"/>
          <w:szCs w:val="20"/>
          <w:rtl/>
        </w:rPr>
        <w:t>יב</w:t>
      </w:r>
      <w:proofErr w:type="spellEnd"/>
      <w:r>
        <w:rPr>
          <w:sz w:val="20"/>
          <w:szCs w:val="20"/>
          <w:rtl/>
        </w:rPr>
        <w:t>, י.</w:t>
      </w:r>
    </w:p>
  </w:footnote>
  <w:footnote w:id="4563">
    <w:p w14:paraId="22D5E6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מידות פ״א מ״ג.</w:t>
      </w:r>
    </w:p>
  </w:footnote>
  <w:footnote w:id="4564">
    <w:p w14:paraId="02F1A2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העברית ‘צפון’ פירושה גם ‘נסתר’.</w:t>
      </w:r>
    </w:p>
  </w:footnote>
  <w:footnote w:id="4565">
    <w:p w14:paraId="0AF679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המשניות, שם.</w:t>
      </w:r>
    </w:p>
  </w:footnote>
  <w:footnote w:id="4566">
    <w:p w14:paraId="2C92BD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ההערה הבאה.</w:t>
      </w:r>
    </w:p>
  </w:footnote>
  <w:footnote w:id="4567">
    <w:p w14:paraId="147399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42 לעיל.</w:t>
      </w:r>
    </w:p>
  </w:footnote>
  <w:footnote w:id="4568">
    <w:p w14:paraId="31E71D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48 להלן.</w:t>
      </w:r>
    </w:p>
  </w:footnote>
  <w:footnote w:id="4569">
    <w:p w14:paraId="0A5BA6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תחילת הפסקה השנייה של נספח </w:t>
      </w:r>
      <w:proofErr w:type="spellStart"/>
      <w:r>
        <w:rPr>
          <w:sz w:val="20"/>
          <w:szCs w:val="20"/>
          <w:rtl/>
        </w:rPr>
        <w:t>כג</w:t>
      </w:r>
      <w:proofErr w:type="spellEnd"/>
      <w:r>
        <w:rPr>
          <w:sz w:val="20"/>
          <w:szCs w:val="20"/>
          <w:rtl/>
        </w:rPr>
        <w:t>.</w:t>
      </w:r>
    </w:p>
  </w:footnote>
  <w:footnote w:id="4570">
    <w:p w14:paraId="78FDC3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הערה 146, על ר׳ </w:t>
      </w:r>
      <w:proofErr w:type="spellStart"/>
      <w:r>
        <w:rPr>
          <w:sz w:val="20"/>
          <w:szCs w:val="20"/>
          <w:rtl/>
        </w:rPr>
        <w:t>דוד׳ל</w:t>
      </w:r>
      <w:proofErr w:type="spellEnd"/>
      <w:r>
        <w:rPr>
          <w:sz w:val="20"/>
          <w:szCs w:val="20"/>
          <w:rtl/>
        </w:rPr>
        <w:t xml:space="preserve"> </w:t>
      </w:r>
      <w:proofErr w:type="spellStart"/>
      <w:r>
        <w:rPr>
          <w:sz w:val="20"/>
          <w:szCs w:val="20"/>
          <w:rtl/>
        </w:rPr>
        <w:t>קארלינער</w:t>
      </w:r>
      <w:proofErr w:type="spellEnd"/>
      <w:r>
        <w:rPr>
          <w:sz w:val="20"/>
          <w:szCs w:val="20"/>
          <w:rtl/>
        </w:rPr>
        <w:t>, שהתאכזב באותה דרך.</w:t>
      </w:r>
    </w:p>
  </w:footnote>
  <w:footnote w:id="4571">
    <w:p w14:paraId="3A3D5E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סוף הערה 15.</w:t>
      </w:r>
    </w:p>
  </w:footnote>
  <w:footnote w:id="4572">
    <w:p w14:paraId="5F5D74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3">
    <w:p w14:paraId="1F420C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40 לעיל.</w:t>
      </w:r>
    </w:p>
  </w:footnote>
  <w:footnote w:id="4574">
    <w:p w14:paraId="43DEB7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ר׳ זליג אפשטיין (הערה 42 לעיל).</w:t>
      </w:r>
    </w:p>
  </w:footnote>
  <w:footnote w:id="4575">
    <w:p w14:paraId="5229AE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להלן.</w:t>
      </w:r>
    </w:p>
  </w:footnote>
  <w:footnote w:id="4576">
    <w:p w14:paraId="242A8F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רבה פד, </w:t>
      </w:r>
      <w:proofErr w:type="spellStart"/>
      <w:r>
        <w:rPr>
          <w:sz w:val="20"/>
          <w:szCs w:val="20"/>
          <w:rtl/>
        </w:rPr>
        <w:t>יט</w:t>
      </w:r>
      <w:proofErr w:type="spellEnd"/>
      <w:r>
        <w:rPr>
          <w:sz w:val="20"/>
          <w:szCs w:val="20"/>
          <w:rtl/>
        </w:rPr>
        <w:t xml:space="preserve">; השווה גם רש״י המצוטט בעמ׳ </w:t>
      </w:r>
      <w:r>
        <w:rPr>
          <w:sz w:val="20"/>
          <w:szCs w:val="20"/>
          <w:rtl/>
        </w:rPr>
        <w:fldChar w:fldCharType="begin" w:dirty="true"/>
      </w:r>
      <w:r>
        <w:rPr>
          <w:sz w:val="20"/>
          <w:szCs w:val="20"/>
          <w:rtl/>
        </w:rPr>
        <w:instrText xml:space="preserve"> PAGEREF pr_f_4333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השוליים </w:t>
      </w:r>
      <w:r>
        <w:rPr>
          <w:sz w:val="20"/>
          <w:szCs w:val="20"/>
          <w:rtl/>
        </w:rPr>
        <w:fldChar w:fldCharType="begin" w:dirty="true"/>
      </w:r>
      <w:r>
        <w:rPr>
          <w:sz w:val="20"/>
          <w:szCs w:val="20"/>
          <w:rtl/>
        </w:rPr>
        <w:instrText xml:space="preserve"> NOTEREF pr_f_4333 \h </w:instrText>
      </w:r>
      <w:r>
        <w:rPr>
          <w:sz w:val="20"/>
          <w:szCs w:val="20"/>
          <w:rtl/>
        </w:rPr>
      </w:r>
      <w:r>
        <w:rPr>
          <w:sz w:val="20"/>
          <w:szCs w:val="20"/>
          <w:rtl/>
        </w:rPr>
        <w:fldChar w:fldCharType="separate"/>
      </w:r>
      <w:r w:rsidR="007923E9">
        <w:rPr>
          <w:sz w:val="20"/>
          <w:szCs w:val="20"/>
          <w:rtl/>
        </w:rPr>
        <w:t>1410</w:t>
      </w:r>
      <w:r>
        <w:rPr>
          <w:sz w:val="20"/>
          <w:szCs w:val="20"/>
          <w:rtl/>
        </w:rPr>
        <w:fldChar w:fldCharType="end"/>
      </w:r>
      <w:r>
        <w:rPr>
          <w:sz w:val="20"/>
          <w:szCs w:val="20"/>
          <w:rtl/>
        </w:rPr>
        <w:t>, הרואה את החתן כמי שנולד לחותנו.</w:t>
      </w:r>
    </w:p>
  </w:footnote>
  <w:footnote w:id="4577">
    <w:p w14:paraId="0FD5C3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מלכים א ג, </w:t>
      </w:r>
      <w:proofErr w:type="spellStart"/>
      <w:r>
        <w:rPr>
          <w:sz w:val="20"/>
          <w:szCs w:val="20"/>
          <w:rtl/>
        </w:rPr>
        <w:t>יב</w:t>
      </w:r>
      <w:proofErr w:type="spellEnd"/>
      <w:r>
        <w:rPr>
          <w:sz w:val="20"/>
          <w:szCs w:val="20"/>
          <w:rtl/>
        </w:rPr>
        <w:t xml:space="preserve"> ודה״י ב א, </w:t>
      </w:r>
      <w:proofErr w:type="spellStart"/>
      <w:r>
        <w:rPr>
          <w:sz w:val="20"/>
          <w:szCs w:val="20"/>
          <w:rtl/>
        </w:rPr>
        <w:t>יב</w:t>
      </w:r>
      <w:proofErr w:type="spellEnd"/>
      <w:r>
        <w:rPr>
          <w:sz w:val="20"/>
          <w:szCs w:val="20"/>
          <w:rtl/>
        </w:rPr>
        <w:t>.</w:t>
      </w:r>
    </w:p>
  </w:footnote>
  <w:footnote w:id="4578">
    <w:p w14:paraId="16BBAF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ההספד </w:t>
      </w:r>
      <w:proofErr w:type="spellStart"/>
      <w:r>
        <w:rPr>
          <w:sz w:val="20"/>
          <w:szCs w:val="20"/>
          <w:rtl/>
        </w:rPr>
        <w:t>ב“ההד</w:t>
      </w:r>
      <w:proofErr w:type="spellEnd"/>
      <w:r>
        <w:rPr>
          <w:sz w:val="20"/>
          <w:szCs w:val="20"/>
          <w:rtl/>
        </w:rPr>
        <w:t>” (הערה 38 לעיל).</w:t>
      </w:r>
    </w:p>
  </w:footnote>
  <w:footnote w:id="4579">
    <w:p w14:paraId="39467D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0">
    <w:p w14:paraId="603F31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581">
    <w:p w14:paraId="736C18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130.</w:t>
      </w:r>
    </w:p>
  </w:footnote>
  <w:footnote w:id="4582">
    <w:p w14:paraId="14EA91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ב־24 ביוני 1993.</w:t>
      </w:r>
    </w:p>
  </w:footnote>
  <w:footnote w:id="4583">
    <w:p w14:paraId="05D46F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55 להלן.</w:t>
      </w:r>
    </w:p>
  </w:footnote>
  <w:footnote w:id="4584">
    <w:p w14:paraId="41B7A4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ט ע״ב, שבית המקדש השני נחרב בגלל חטא זה.</w:t>
      </w:r>
    </w:p>
  </w:footnote>
  <w:footnote w:id="4585">
    <w:p w14:paraId="3D27B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פסחים מט ע״ב, תנא רבי </w:t>
      </w:r>
      <w:proofErr w:type="spellStart"/>
      <w:r>
        <w:rPr>
          <w:sz w:val="20"/>
          <w:szCs w:val="20"/>
          <w:rtl/>
        </w:rPr>
        <w:t>חייא</w:t>
      </w:r>
      <w:proofErr w:type="spellEnd"/>
      <w:r>
        <w:rPr>
          <w:sz w:val="20"/>
          <w:szCs w:val="20"/>
          <w:rtl/>
        </w:rPr>
        <w:t xml:space="preserve"> וכו׳ גדולה שנאה </w:t>
      </w:r>
      <w:proofErr w:type="spellStart"/>
      <w:r>
        <w:rPr>
          <w:sz w:val="20"/>
          <w:szCs w:val="20"/>
          <w:rtl/>
        </w:rPr>
        <w:t>וכו</w:t>
      </w:r>
      <w:proofErr w:type="spellEnd"/>
      <w:r>
        <w:rPr>
          <w:sz w:val="20"/>
          <w:szCs w:val="20"/>
          <w:rtl/>
        </w:rPr>
        <w:t>׳, ופרק 4, הפסקה השנייה של נספח ח.</w:t>
      </w:r>
    </w:p>
  </w:footnote>
  <w:footnote w:id="4586">
    <w:p w14:paraId="369CFA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השנייה של נספח כ.</w:t>
      </w:r>
    </w:p>
  </w:footnote>
  <w:footnote w:id="4587">
    <w:p w14:paraId="3F333A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המשפטים מצוטטים ממאמר ההספד </w:t>
      </w:r>
      <w:proofErr w:type="spellStart"/>
      <w:r>
        <w:rPr>
          <w:sz w:val="20"/>
          <w:szCs w:val="20"/>
          <w:rtl/>
        </w:rPr>
        <w:t>ב“ההד</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pr_f_4411 \h </w:instrText>
      </w:r>
      <w:r>
        <w:rPr>
          <w:sz w:val="20"/>
          <w:szCs w:val="20"/>
          <w:rtl/>
        </w:rPr>
      </w:r>
      <w:r>
        <w:rPr>
          <w:sz w:val="20"/>
          <w:szCs w:val="20"/>
          <w:rtl/>
        </w:rPr>
        <w:fldChar w:fldCharType="separate"/>
      </w:r>
      <w:r w:rsidR="007923E9">
        <w:rPr>
          <w:sz w:val="20"/>
          <w:szCs w:val="20"/>
          <w:rtl/>
        </w:rPr>
        <w:t>65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pr_f_4411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טענת כתב העת שהוא (בניגוד לחותנו – השווה הערה 44 לעיל) היה “קרוב לתנועת המזרחי” נסתרת מדברי בתו תמר </w:t>
      </w:r>
      <w:proofErr w:type="spellStart"/>
      <w:r>
        <w:rPr>
          <w:sz w:val="20"/>
          <w:szCs w:val="20"/>
          <w:rtl/>
        </w:rPr>
        <w:t>קיל</w:t>
      </w:r>
      <w:proofErr w:type="spellEnd"/>
      <w:r>
        <w:rPr>
          <w:sz w:val="20"/>
          <w:szCs w:val="20"/>
          <w:rtl/>
        </w:rPr>
        <w:t xml:space="preserve">: ‘כשגר אחר כך </w:t>
      </w:r>
      <w:proofErr w:type="spellStart"/>
      <w:r>
        <w:rPr>
          <w:sz w:val="20"/>
          <w:szCs w:val="20"/>
          <w:rtl/>
        </w:rPr>
        <w:t>בביאליסטוק</w:t>
      </w:r>
      <w:proofErr w:type="spellEnd"/>
      <w:r>
        <w:rPr>
          <w:sz w:val="20"/>
          <w:szCs w:val="20"/>
          <w:rtl/>
        </w:rPr>
        <w:t xml:space="preserve"> ולימד בבית הספר של המזרחי, </w:t>
      </w:r>
      <w:proofErr w:type="spellStart"/>
      <w:r>
        <w:rPr>
          <w:sz w:val="20"/>
          <w:szCs w:val="20"/>
          <w:rtl/>
        </w:rPr>
        <w:t>תחכמוני</w:t>
      </w:r>
      <w:proofErr w:type="spellEnd"/>
      <w:r>
        <w:rPr>
          <w:sz w:val="20"/>
          <w:szCs w:val="20"/>
          <w:rtl/>
        </w:rPr>
        <w:t>’ – השווה ההערה הבאה – ‘העדיף שילדיו ילמדו בתיכון הפולני ולא בבית הספר היהודי הציוני’.</w:t>
      </w:r>
    </w:p>
  </w:footnote>
  <w:footnote w:id="4588">
    <w:p w14:paraId="2B4D45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589">
    <w:p w14:paraId="4E6EDF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ביולי 1992.</w:t>
      </w:r>
    </w:p>
  </w:footnote>
  <w:footnote w:id="4590">
    <w:p w14:paraId="0E770E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“מדריך לאיתור עיירות”, מאת </w:t>
      </w:r>
      <w:proofErr w:type="spellStart"/>
      <w:r>
        <w:rPr>
          <w:sz w:val="20"/>
          <w:szCs w:val="20"/>
          <w:rtl/>
        </w:rPr>
        <w:t>צ׳סטר</w:t>
      </w:r>
      <w:proofErr w:type="spellEnd"/>
      <w:r>
        <w:rPr>
          <w:sz w:val="20"/>
          <w:szCs w:val="20"/>
          <w:rtl/>
        </w:rPr>
        <w:t xml:space="preserve"> ג. כהן (הוצאת </w:t>
      </w:r>
      <w:proofErr w:type="spellStart"/>
      <w:r>
        <w:rPr>
          <w:sz w:val="20"/>
          <w:szCs w:val="20"/>
          <w:rtl/>
        </w:rPr>
        <w:t>הריטג</w:t>
      </w:r>
      <w:proofErr w:type="spellEnd"/>
      <w:r>
        <w:rPr>
          <w:sz w:val="20"/>
          <w:szCs w:val="20"/>
          <w:rtl/>
        </w:rPr>
        <w:t>׳ בוקס, בואי, מרילנד), עמ׳ 58.</w:t>
      </w:r>
    </w:p>
  </w:footnote>
  <w:footnote w:id="4591">
    <w:p w14:paraId="0870B7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סעיף 3, והערה 44 שם.</w:t>
      </w:r>
    </w:p>
  </w:footnote>
  <w:footnote w:id="4592">
    <w:p w14:paraId="673D6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w:t>
      </w:r>
    </w:p>
  </w:footnote>
  <w:footnote w:id="4593">
    <w:p w14:paraId="38A454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רחל חדש ממינסק (פרק 1, הערה 103), רואיינה ב־13 בנובמבר 1991.</w:t>
      </w:r>
    </w:p>
  </w:footnote>
  <w:footnote w:id="4594">
    <w:p w14:paraId="1359B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דוד </w:t>
      </w:r>
      <w:proofErr w:type="spellStart"/>
      <w:r>
        <w:rPr>
          <w:sz w:val="20"/>
          <w:szCs w:val="20"/>
          <w:rtl/>
        </w:rPr>
        <w:t>אוסטרוב</w:t>
      </w:r>
      <w:proofErr w:type="spellEnd"/>
      <w:r>
        <w:rPr>
          <w:sz w:val="20"/>
          <w:szCs w:val="20"/>
          <w:rtl/>
        </w:rPr>
        <w:t xml:space="preserve"> (הערה 53 לעיל).</w:t>
      </w:r>
    </w:p>
  </w:footnote>
  <w:footnote w:id="4595">
    <w:p w14:paraId="73C4AA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“בשער הספר” בספרו “לעיתים” (הערה 7 לעיל), שבו מציין העורך, דניאל יהודה </w:t>
      </w:r>
      <w:proofErr w:type="spellStart"/>
      <w:r>
        <w:rPr>
          <w:sz w:val="20"/>
          <w:szCs w:val="20"/>
          <w:rtl/>
        </w:rPr>
        <w:t>נוישטט</w:t>
      </w:r>
      <w:proofErr w:type="spellEnd"/>
      <w:r>
        <w:rPr>
          <w:sz w:val="20"/>
          <w:szCs w:val="20"/>
          <w:rtl/>
        </w:rPr>
        <w:t>, שחלק מן הכרך עוסק בנושאים אלה, ‘שבימינו אין אנו רגילים ללמוד’. הוא כותב: ‘האמת ניתנת להיאמר, [רבנו] בתחילה הסתפק אם לפרסם עניינים אלה... אך לבסוף החליט שאדרבה, אולי בעקבות [פרסומם] יבוא גואל לחלק מוזנח זה של התורה, שרבותינו הראשונים השקיעו בו עמל רב כל כך, ואולי גם תלמידי זמננו יתעוררו להקדיש לו חלק מזמנם’.</w:t>
      </w:r>
    </w:p>
  </w:footnote>
  <w:footnote w:id="4596">
    <w:p w14:paraId="5AC47C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ב־6 ביולי 1995.</w:t>
      </w:r>
    </w:p>
  </w:footnote>
  <w:footnote w:id="4597">
    <w:p w14:paraId="3EF82B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29 בדצמבר 1962.</w:t>
      </w:r>
    </w:p>
  </w:footnote>
  <w:footnote w:id="4598">
    <w:p w14:paraId="51AF133C"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ליקוי ירח מתרחש רק במילוא הירח, סביב אמצע החודש העברי, ולא בג׳ בטבת; במוצאי שבת ג׳ בטבת תשכ״ג לא אירע ליקוי ירח.</w:t>
      </w:r>
    </w:p>
  </w:footnote>
  <w:footnote w:id="4599">
    <w:p w14:paraId="4481CA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 בספטמבר 1991.</w:t>
      </w:r>
    </w:p>
  </w:footnote>
  <w:footnote w:id="4600">
    <w:p w14:paraId="424CEF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w:t>
      </w:r>
    </w:p>
  </w:footnote>
  <w:footnote w:id="4601">
    <w:p w14:paraId="1C9D94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8.</w:t>
      </w:r>
    </w:p>
  </w:footnote>
  <w:footnote w:id="4602">
    <w:p w14:paraId="64490D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3.</w:t>
      </w:r>
    </w:p>
  </w:footnote>
  <w:footnote w:id="4603">
    <w:p w14:paraId="619CD0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pr_f_4662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להלן, הערת השוליים </w:t>
      </w:r>
      <w:r>
        <w:rPr>
          <w:rStyle w:val="a5"/>
          <w:sz w:val="20"/>
          <w:szCs w:val="20"/>
          <w:vertAlign w:val="baseline"/>
          <w:rtl/>
        </w:rPr>
        <w:fldChar w:fldCharType="begin" w:dirty="true"/>
      </w:r>
      <w:r>
        <w:rPr>
          <w:rStyle w:val="a5"/>
          <w:sz w:val="20"/>
          <w:szCs w:val="20"/>
          <w:vertAlign w:val="baseline"/>
          <w:rtl/>
        </w:rPr>
        <w:instrText xml:space="preserve"> NOTEREF pr_f_4662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316</w:t>
      </w:r>
      <w:r>
        <w:rPr>
          <w:rStyle w:val="a5"/>
          <w:sz w:val="20"/>
          <w:szCs w:val="20"/>
          <w:vertAlign w:val="baseline"/>
          <w:rtl/>
        </w:rPr>
        <w:fldChar w:fldCharType="end"/>
      </w:r>
      <w:r>
        <w:rPr>
          <w:sz w:val="20"/>
          <w:szCs w:val="20"/>
          <w:rtl/>
        </w:rPr>
        <w:t>.</w:t>
      </w:r>
    </w:p>
  </w:footnote>
  <w:footnote w:id="4604">
    <w:p w14:paraId="57F97C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נזכר בפרק 3, הערה 79 – עמ׳ 97.</w:t>
      </w:r>
    </w:p>
  </w:footnote>
  <w:footnote w:id="4605">
    <w:p w14:paraId="1933AF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טוען שהיה ידיד ילדות של ר׳ חיים מאז נעשה ר׳ יוסף־דב רב </w:t>
      </w:r>
      <w:proofErr w:type="spellStart"/>
      <w:r>
        <w:rPr>
          <w:sz w:val="20"/>
          <w:szCs w:val="20"/>
          <w:rtl/>
        </w:rPr>
        <w:t>בסלוצק</w:t>
      </w:r>
      <w:proofErr w:type="spellEnd"/>
      <w:r>
        <w:rPr>
          <w:sz w:val="20"/>
          <w:szCs w:val="20"/>
          <w:rtl/>
        </w:rPr>
        <w:t xml:space="preserve">, עיר הולדתו של המחבר, וכותב שם: “ר׳ חיים היה מבוגר ממני בארבע שנים, ולא פעם הכה אותי כשהשתובבנו בין תפילות מנחה וערבית – הוא היה ילד עליז ושובב”. הטענה שר׳ חיים הכה את המחבר מוזרה ואינה מסתברת, שהרי ר׳ חיים כבר היה בן </w:t>
      </w:r>
      <w:proofErr w:type="spellStart"/>
      <w:r>
        <w:rPr>
          <w:sz w:val="20"/>
          <w:szCs w:val="20"/>
          <w:rtl/>
        </w:rPr>
        <w:t>אחת־עשרה</w:t>
      </w:r>
      <w:proofErr w:type="spellEnd"/>
      <w:r>
        <w:rPr>
          <w:sz w:val="20"/>
          <w:szCs w:val="20"/>
          <w:rtl/>
        </w:rPr>
        <w:t xml:space="preserve"> כשאביו נתמנה לרבה של </w:t>
      </w:r>
      <w:proofErr w:type="spellStart"/>
      <w:r>
        <w:rPr>
          <w:sz w:val="20"/>
          <w:szCs w:val="20"/>
          <w:rtl/>
        </w:rPr>
        <w:t>סלוצק</w:t>
      </w:r>
      <w:proofErr w:type="spellEnd"/>
      <w:r>
        <w:rPr>
          <w:sz w:val="20"/>
          <w:szCs w:val="20"/>
          <w:rtl/>
        </w:rPr>
        <w:t xml:space="preserve">. השווה גם “תורת חיים”, עמ׳ </w:t>
      </w:r>
      <w:proofErr w:type="spellStart"/>
      <w:r>
        <w:rPr>
          <w:sz w:val="20"/>
          <w:szCs w:val="20"/>
          <w:rtl/>
        </w:rPr>
        <w:t>טז</w:t>
      </w:r>
      <w:proofErr w:type="spellEnd"/>
      <w:r>
        <w:rPr>
          <w:sz w:val="20"/>
          <w:szCs w:val="20"/>
          <w:rtl/>
        </w:rPr>
        <w:t xml:space="preserve">, המספר: “כמה אנשים באו אל ר׳ </w:t>
      </w:r>
      <w:proofErr w:type="spellStart"/>
      <w:r>
        <w:rPr>
          <w:sz w:val="20"/>
          <w:szCs w:val="20"/>
          <w:rtl/>
        </w:rPr>
        <w:t xml:space="preserve">יושע־בער</w:t>
      </w:r>
      <w:proofErr w:type="spellEnd"/>
      <w:r>
        <w:rPr>
          <w:sz w:val="20"/>
          <w:szCs w:val="20"/>
          <w:rtl/>
        </w:rPr>
        <w:t xml:space="preserve"> לספר לו שבנו מתקוטט עם ילדים אחרים </w:t>
      </w:r>
      <w:proofErr w:type="spellStart"/>
      <w:r>
        <w:rPr>
          <w:sz w:val="20"/>
          <w:szCs w:val="20"/>
          <w:rtl/>
        </w:rPr>
        <w:t>וכו</w:t>
      </w:r>
      <w:proofErr w:type="spellEnd"/>
      <w:r>
        <w:rPr>
          <w:sz w:val="20"/>
          <w:szCs w:val="20"/>
          <w:rtl/>
        </w:rPr>
        <w:t xml:space="preserve">׳”; אולם ייתכן שהדבר אירע כשעוד גרו </w:t>
      </w:r>
      <w:proofErr w:type="spellStart"/>
      <w:r>
        <w:rPr>
          <w:sz w:val="20"/>
          <w:szCs w:val="20"/>
          <w:rtl/>
        </w:rPr>
        <w:t>בוולוז׳ין</w:t>
      </w:r>
      <w:proofErr w:type="spellEnd"/>
      <w:r>
        <w:rPr>
          <w:sz w:val="20"/>
          <w:szCs w:val="20"/>
          <w:rtl/>
        </w:rPr>
        <w:t xml:space="preserve"> ור׳ חיים היה צעיר יותר.</w:t>
      </w:r>
    </w:p>
  </w:footnote>
  <w:footnote w:id="4606">
    <w:p w14:paraId="6ED48B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נספח כ.</w:t>
      </w:r>
    </w:p>
  </w:footnote>
  <w:footnote w:id="4607">
    <w:p w14:paraId="6AF19C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6 בנספח </w:t>
      </w:r>
      <w:proofErr w:type="spellStart"/>
      <w:r>
        <w:rPr>
          <w:sz w:val="20"/>
          <w:szCs w:val="20"/>
          <w:rtl/>
        </w:rPr>
        <w:t>ל“בכורי</w:t>
      </w:r>
      <w:proofErr w:type="spellEnd"/>
      <w:r>
        <w:rPr>
          <w:sz w:val="20"/>
          <w:szCs w:val="20"/>
          <w:rtl/>
        </w:rPr>
        <w:t xml:space="preserve"> יהודה”, </w:t>
      </w:r>
      <w:proofErr w:type="spellStart"/>
      <w:r>
        <w:rPr>
          <w:sz w:val="20"/>
          <w:szCs w:val="20"/>
          <w:rtl/>
        </w:rPr>
        <w:t>ח״ב</w:t>
      </w:r>
      <w:proofErr w:type="spellEnd"/>
      <w:r>
        <w:rPr>
          <w:sz w:val="20"/>
          <w:szCs w:val="20"/>
          <w:rtl/>
        </w:rPr>
        <w:t xml:space="preserve"> (ת״א, תרצ״ט), מתוך מאמר שנדפס כמה שנים קודם לכן.</w:t>
      </w:r>
    </w:p>
  </w:footnote>
  <w:footnote w:id="4608">
    <w:p w14:paraId="520197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לימים היה “עסקן ציוני ציבורי וספרן ידוע” בקובנה (על פי “יהדות ליטא” [ראה פרק 3, הערה 9], כרך 2, עמ׳ 252).</w:t>
      </w:r>
    </w:p>
  </w:footnote>
  <w:footnote w:id="4609">
    <w:p w14:paraId="221867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בבלושר</w:t>
      </w:r>
      <w:proofErr w:type="spellEnd"/>
      <w:r>
        <w:rPr>
          <w:sz w:val="20"/>
          <w:szCs w:val="20"/>
          <w:rtl/>
        </w:rPr>
        <w:t xml:space="preserve"> (נזכר בפרק 3, הפסקה הראשונה של נספח </w:t>
      </w:r>
      <w:proofErr w:type="spellStart"/>
      <w:r>
        <w:rPr>
          <w:sz w:val="20"/>
          <w:szCs w:val="20"/>
          <w:rtl/>
        </w:rPr>
        <w:t>יח</w:t>
      </w:r>
      <w:proofErr w:type="spellEnd"/>
      <w:r>
        <w:rPr>
          <w:sz w:val="20"/>
          <w:szCs w:val="20"/>
          <w:rtl/>
        </w:rPr>
        <w:t xml:space="preserve">), לאחר הציטוט </w:t>
      </w:r>
      <w:proofErr w:type="spellStart"/>
      <w:r>
        <w:rPr>
          <w:sz w:val="20"/>
          <w:szCs w:val="20"/>
          <w:rtl/>
        </w:rPr>
        <w:t>מבלושר</w:t>
      </w:r>
      <w:proofErr w:type="spellEnd"/>
      <w:r>
        <w:rPr>
          <w:sz w:val="20"/>
          <w:szCs w:val="20"/>
          <w:rtl/>
        </w:rPr>
        <w:t xml:space="preserve"> המובא בפרק 4, הפסקה החמישית של נספח ט – חתום “קובנה, תשרי תרצ״ה”.</w:t>
      </w:r>
    </w:p>
  </w:footnote>
  <w:footnote w:id="4610">
    <w:p w14:paraId="1D4C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החמישית של נספח ו להלן.</w:t>
      </w:r>
    </w:p>
  </w:footnote>
  <w:footnote w:id="4611">
    <w:p w14:paraId="1C333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בהקדמתו האוטוביוגרפית </w:t>
      </w:r>
      <w:proofErr w:type="spellStart"/>
      <w:r>
        <w:rPr>
          <w:sz w:val="20"/>
          <w:szCs w:val="20"/>
          <w:rtl/>
        </w:rPr>
        <w:t>ל“יריעות</w:t>
      </w:r>
      <w:proofErr w:type="spellEnd"/>
      <w:r>
        <w:rPr>
          <w:sz w:val="20"/>
          <w:szCs w:val="20"/>
          <w:rtl/>
        </w:rPr>
        <w:t xml:space="preserve"> שלמה” (ירושלים, </w:t>
      </w:r>
      <w:proofErr w:type="spellStart"/>
      <w:r>
        <w:rPr>
          <w:sz w:val="20"/>
          <w:szCs w:val="20"/>
          <w:rtl/>
        </w:rPr>
        <w:t>התשד״מ</w:t>
      </w:r>
      <w:proofErr w:type="spellEnd"/>
      <w:r>
        <w:rPr>
          <w:sz w:val="20"/>
          <w:szCs w:val="20"/>
          <w:rtl/>
        </w:rPr>
        <w:t xml:space="preserve">), עמ׳ 37. הוא נולד </w:t>
      </w:r>
      <w:proofErr w:type="spellStart"/>
      <w:r>
        <w:rPr>
          <w:sz w:val="20"/>
          <w:szCs w:val="20"/>
          <w:rtl/>
        </w:rPr>
        <w:t>בתרמ״ט</w:t>
      </w:r>
      <w:proofErr w:type="spellEnd"/>
      <w:r>
        <w:rPr>
          <w:sz w:val="20"/>
          <w:szCs w:val="20"/>
          <w:rtl/>
        </w:rPr>
        <w:t>.</w:t>
      </w:r>
    </w:p>
  </w:footnote>
  <w:footnote w:id="4612">
    <w:p w14:paraId="747E6D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א, עמ׳ </w:t>
      </w:r>
      <w:proofErr w:type="spellStart"/>
      <w:r>
        <w:rPr>
          <w:sz w:val="20"/>
          <w:szCs w:val="20"/>
          <w:rtl/>
        </w:rPr>
        <w:t>רנז</w:t>
      </w:r>
      <w:proofErr w:type="spellEnd"/>
      <w:r>
        <w:rPr>
          <w:sz w:val="20"/>
          <w:szCs w:val="20"/>
          <w:rtl/>
        </w:rPr>
        <w:t>.</w:t>
      </w:r>
    </w:p>
  </w:footnote>
  <w:footnote w:id="4613">
    <w:p w14:paraId="314246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אין זה מדויק, שהרי ר׳ חיים לא המתין </w:t>
      </w:r>
      <w:proofErr w:type="spellStart"/>
      <w:r>
        <w:rPr>
          <w:sz w:val="20"/>
          <w:szCs w:val="20"/>
          <w:rtl/>
        </w:rPr>
        <w:t>בבריסק</w:t>
      </w:r>
      <w:proofErr w:type="spellEnd"/>
      <w:r>
        <w:rPr>
          <w:sz w:val="20"/>
          <w:szCs w:val="20"/>
          <w:rtl/>
        </w:rPr>
        <w:t xml:space="preserve"> עד שתגיע אליו החזית, אלא נמלט למינסק קודם לכן. ראה גם נספח ט להלן: ר׳ אברהם </w:t>
      </w:r>
      <w:proofErr w:type="spellStart"/>
      <w:r>
        <w:rPr>
          <w:sz w:val="20"/>
          <w:szCs w:val="20"/>
          <w:rtl/>
        </w:rPr>
        <w:t>קלמנוביץ</w:t>
      </w:r>
      <w:proofErr w:type="spellEnd"/>
      <w:r>
        <w:rPr>
          <w:sz w:val="20"/>
          <w:szCs w:val="20"/>
          <w:rtl/>
        </w:rPr>
        <w:t xml:space="preserve"> סיפר שר׳ חיים כבר היה במינסק ב־1914, ואילו </w:t>
      </w:r>
      <w:proofErr w:type="spellStart"/>
      <w:r>
        <w:rPr>
          <w:sz w:val="20"/>
          <w:szCs w:val="20"/>
          <w:rtl/>
        </w:rPr>
        <w:t>בריסק</w:t>
      </w:r>
      <w:proofErr w:type="spellEnd"/>
      <w:r>
        <w:rPr>
          <w:sz w:val="20"/>
          <w:szCs w:val="20"/>
          <w:rtl/>
        </w:rPr>
        <w:t xml:space="preserve"> נפלה לידי הגרמנים ב־26 באוגוסט 1915. הגרמנים ראו את ר׳ חיים רק אחרי שכבשו את מינסק ב־22 בפברואר 1918; מישהו בשרשרת מסירת הסיפור החליף בין עיר זו לבין </w:t>
      </w:r>
      <w:proofErr w:type="spellStart"/>
      <w:r>
        <w:rPr>
          <w:sz w:val="20"/>
          <w:szCs w:val="20"/>
          <w:rtl/>
        </w:rPr>
        <w:t>בריסק</w:t>
      </w:r>
      <w:proofErr w:type="spellEnd"/>
      <w:r>
        <w:rPr>
          <w:sz w:val="20"/>
          <w:szCs w:val="20"/>
          <w:rtl/>
        </w:rPr>
        <w:t>.</w:t>
      </w:r>
    </w:p>
  </w:footnote>
  <w:footnote w:id="4614">
    <w:p w14:paraId="56A91F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הרביעית של נספח ו להלן – עמ׳ 36.</w:t>
      </w:r>
    </w:p>
  </w:footnote>
  <w:footnote w:id="4615">
    <w:p w14:paraId="3124F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ראשית נספח טו בפרק 3, ופרק 4, נספח כ.</w:t>
      </w:r>
    </w:p>
  </w:footnote>
  <w:footnote w:id="4616">
    <w:p w14:paraId="7331A1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הבאה.</w:t>
      </w:r>
    </w:p>
  </w:footnote>
  <w:footnote w:id="4617">
    <w:p w14:paraId="51FAEDD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דף </w:t>
      </w:r>
      <w:proofErr w:type="spellStart"/>
      <w:r>
        <w:rPr>
          <w:sz w:val="20"/>
          <w:szCs w:val="20"/>
          <w:rtl/>
        </w:rPr>
        <w:t>טז</w:t>
      </w:r>
      <w:proofErr w:type="spellEnd"/>
      <w:r>
        <w:rPr>
          <w:sz w:val="20"/>
          <w:szCs w:val="20"/>
          <w:rtl/>
        </w:rPr>
        <w:t xml:space="preserve"> ע״א.</w:t>
      </w:r>
    </w:p>
  </w:footnote>
  <w:footnote w:id="4618">
    <w:p w14:paraId="22826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
  </w:footnote>
  <w:footnote w:id="4619">
    <w:p w14:paraId="7F29B0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כז</w:t>
      </w:r>
      <w:proofErr w:type="spellEnd"/>
      <w:r>
        <w:rPr>
          <w:sz w:val="20"/>
          <w:szCs w:val="20"/>
          <w:rtl/>
        </w:rPr>
        <w:t>.</w:t>
      </w:r>
    </w:p>
  </w:footnote>
  <w:footnote w:id="4620">
    <w:p w14:paraId="7D56022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621">
    <w:p w14:paraId="679D86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ההערה הקודמת.</w:t>
      </w:r>
    </w:p>
  </w:footnote>
  <w:footnote w:id="4622">
    <w:p w14:paraId="21336D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עיין קידושין לב ע״ב: “לא אמרתי קימה אלא במקום שיש הידור”.</w:t>
      </w:r>
    </w:p>
  </w:footnote>
  <w:footnote w:id="4623">
    <w:p w14:paraId="4CF17A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ד – עמ׳ </w:t>
      </w:r>
      <w:proofErr w:type="spellStart"/>
      <w:r>
        <w:rPr>
          <w:sz w:val="20"/>
          <w:szCs w:val="20"/>
          <w:rtl/>
        </w:rPr>
        <w:t>תכא</w:t>
      </w:r>
      <w:proofErr w:type="spellEnd"/>
      <w:r>
        <w:rPr>
          <w:sz w:val="20"/>
          <w:szCs w:val="20"/>
          <w:rtl/>
        </w:rPr>
        <w:t xml:space="preserve">. השווה גם שם, עמ׳ </w:t>
      </w:r>
      <w:proofErr w:type="spellStart"/>
      <w:r>
        <w:rPr>
          <w:sz w:val="20"/>
          <w:szCs w:val="20"/>
          <w:rtl/>
        </w:rPr>
        <w:t>תלג</w:t>
      </w:r>
      <w:proofErr w:type="spellEnd"/>
      <w:r>
        <w:rPr>
          <w:sz w:val="20"/>
          <w:szCs w:val="20"/>
          <w:rtl/>
        </w:rPr>
        <w:t>, הערה 1.</w:t>
      </w:r>
    </w:p>
  </w:footnote>
  <w:footnote w:id="4624">
    <w:p w14:paraId="66E3F8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76 להלן.</w:t>
      </w:r>
    </w:p>
  </w:footnote>
  <w:footnote w:id="4625">
    <w:p w14:paraId="52C10D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ח.</w:t>
      </w:r>
    </w:p>
  </w:footnote>
  <w:footnote w:id="4626">
    <w:p w14:paraId="5336BB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הפסקה הראשונה של נספח א להלן – עמ׳ 79–80.</w:t>
      </w:r>
    </w:p>
  </w:footnote>
  <w:footnote w:id="4627">
    <w:p w14:paraId="75C32D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הערה 26 לעיל – עמ׳ 96. ראה גם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pr_f_1684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732</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pr_f_1684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628">
    <w:p w14:paraId="5BB1D2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הפסקה הרביעית של נספח ו להלן – עמ׳ קנא–קנב.</w:t>
      </w:r>
    </w:p>
  </w:footnote>
  <w:footnote w:id="4629">
    <w:p w14:paraId="4FF13B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החמישית של נספח </w:t>
      </w:r>
      <w:proofErr w:type="spellStart"/>
      <w:r>
        <w:rPr>
          <w:sz w:val="20"/>
          <w:szCs w:val="20"/>
          <w:rtl/>
        </w:rPr>
        <w:t>יח</w:t>
      </w:r>
      <w:proofErr w:type="spellEnd"/>
      <w:r>
        <w:rPr>
          <w:sz w:val="20"/>
          <w:szCs w:val="20"/>
          <w:rtl/>
        </w:rPr>
        <w:t>.</w:t>
      </w:r>
    </w:p>
  </w:footnote>
  <w:footnote w:id="4630">
    <w:p w14:paraId="74949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הערה 145, ופרק 3, הערה 95 והפסקה השלישית של נספח </w:t>
      </w:r>
      <w:proofErr w:type="spellStart"/>
      <w:r>
        <w:rPr>
          <w:sz w:val="20"/>
          <w:szCs w:val="20"/>
          <w:rtl/>
        </w:rPr>
        <w:t>יח</w:t>
      </w:r>
      <w:proofErr w:type="spellEnd"/>
      <w:r>
        <w:rPr>
          <w:sz w:val="20"/>
          <w:szCs w:val="20"/>
          <w:rtl/>
        </w:rPr>
        <w:t>.</w:t>
      </w:r>
    </w:p>
  </w:footnote>
  <w:footnote w:id="4631">
    <w:p w14:paraId="0340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לעיל – עמ׳ 494.</w:t>
      </w:r>
    </w:p>
  </w:footnote>
  <w:footnote w:id="4632">
    <w:p w14:paraId="584FC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המחבר חוזר על המילה “רוח” מפני שהוא מבקש לרמוז למשחק מילים. בשימוש הראשון אפשר לפרשה לא כ“(</w:t>
      </w:r>
      <w:proofErr w:type="spellStart"/>
      <w:r>
        <w:rPr>
          <w:sz w:val="20"/>
          <w:szCs w:val="20"/>
          <w:rtl/>
        </w:rPr>
        <w:t>ניזונת</w:t>
      </w:r>
      <w:proofErr w:type="spellEnd"/>
      <w:r>
        <w:rPr>
          <w:sz w:val="20"/>
          <w:szCs w:val="20"/>
          <w:rtl/>
        </w:rPr>
        <w:t xml:space="preserve"> מן ה)רוח” אלא כ“(</w:t>
      </w:r>
      <w:proofErr w:type="spellStart"/>
      <w:r>
        <w:rPr>
          <w:sz w:val="20"/>
          <w:szCs w:val="20"/>
          <w:rtl/>
        </w:rPr>
        <w:t>ניזונת</w:t>
      </w:r>
      <w:proofErr w:type="spellEnd"/>
      <w:r>
        <w:rPr>
          <w:sz w:val="20"/>
          <w:szCs w:val="20"/>
          <w:rtl/>
        </w:rPr>
        <w:t xml:space="preserve"> מן ה)אוויר” – כלומר, תלויה באוויר ואין לה בסיס תמיכה איתן.</w:t>
      </w:r>
    </w:p>
  </w:footnote>
  <w:footnote w:id="4633">
    <w:p w14:paraId="0850B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הביטוי הוא ברכות י ע״א; שם ההפניה היא לתפילה, ואילו כאן מתכוון המחבר לאיגרות או להכרזות של פנייה לעזרה.</w:t>
      </w:r>
    </w:p>
  </w:footnote>
  <w:footnote w:id="4634">
    <w:p w14:paraId="1B7EA8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pr_f_4501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156</w:t>
      </w:r>
      <w:r>
        <w:rPr>
          <w:rStyle w:val="a5"/>
          <w:sz w:val="20"/>
          <w:szCs w:val="20"/>
          <w:vertAlign w:val="baseline"/>
          <w:rtl/>
        </w:rPr>
        <w:fldChar w:fldCharType="end"/>
      </w:r>
      <w:r>
        <w:rPr>
          <w:sz w:val="20"/>
          <w:szCs w:val="20"/>
          <w:rtl/>
        </w:rPr>
        <w:t xml:space="preserve"> לעיל, לרמז תרגומי אחר.</w:t>
      </w:r>
    </w:p>
  </w:footnote>
  <w:footnote w:id="4635">
    <w:p w14:paraId="651619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עב.</w:t>
      </w:r>
    </w:p>
  </w:footnote>
  <w:footnote w:id="4636">
    <w:p w14:paraId="1BE2AD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יואל ב, ז.</w:t>
      </w:r>
    </w:p>
  </w:footnote>
  <w:footnote w:id="4637">
    <w:p w14:paraId="622CA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(הפסקה השנייה של נספח ב להלן), עמ׳ 199.</w:t>
      </w:r>
    </w:p>
  </w:footnote>
  <w:footnote w:id="4638">
    <w:p w14:paraId="667F9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ב להלן – חלק ב, עמ׳ לה.</w:t>
      </w:r>
    </w:p>
  </w:footnote>
  <w:footnote w:id="4639">
    <w:p w14:paraId="48AF24B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החמישית של נספח ו להלן, שלפיה היה הרב </w:t>
      </w:r>
      <w:proofErr w:type="spellStart"/>
      <w:r>
        <w:rPr>
          <w:sz w:val="20"/>
          <w:szCs w:val="20"/>
          <w:rtl/>
        </w:rPr>
        <w:t>מייזל</w:t>
      </w:r>
      <w:proofErr w:type="spellEnd"/>
      <w:r>
        <w:rPr>
          <w:sz w:val="20"/>
          <w:szCs w:val="20"/>
          <w:rtl/>
        </w:rPr>
        <w:t xml:space="preserve"> אחד משני הרבנים הגדולים שהסמיכוהו.</w:t>
      </w:r>
    </w:p>
  </w:footnote>
  <w:footnote w:id="4640">
    <w:p w14:paraId="021F40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ישעיה ס, </w:t>
      </w:r>
      <w:proofErr w:type="spellStart"/>
      <w:r>
        <w:rPr>
          <w:sz w:val="20"/>
          <w:szCs w:val="20"/>
          <w:rtl/>
        </w:rPr>
        <w:t>כא</w:t>
      </w:r>
      <w:proofErr w:type="spellEnd"/>
      <w:r>
        <w:rPr>
          <w:sz w:val="20"/>
          <w:szCs w:val="20"/>
          <w:rtl/>
        </w:rPr>
        <w:t>; גם הוא ספר קודש!</w:t>
      </w:r>
    </w:p>
  </w:footnote>
  <w:footnote w:id="4641">
    <w:p w14:paraId="040C13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הפסקה התשיעית של נספח ו להלן.</w:t>
      </w:r>
    </w:p>
  </w:footnote>
  <w:footnote w:id="4642">
    <w:p w14:paraId="5E44CD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להלן – עמ׳ קפה–</w:t>
      </w:r>
      <w:proofErr w:type="spellStart"/>
      <w:r>
        <w:rPr>
          <w:sz w:val="20"/>
          <w:szCs w:val="20"/>
          <w:rtl/>
        </w:rPr>
        <w:t>קפו</w:t>
      </w:r>
      <w:proofErr w:type="spellEnd"/>
      <w:r>
        <w:rPr>
          <w:sz w:val="20"/>
          <w:szCs w:val="20"/>
          <w:rtl/>
        </w:rPr>
        <w:t>.</w:t>
      </w:r>
    </w:p>
  </w:footnote>
  <w:footnote w:id="4643">
    <w:p w14:paraId="1098BC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139.</w:t>
      </w:r>
    </w:p>
  </w:footnote>
  <w:footnote w:id="4644">
    <w:p w14:paraId="4E901F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קל״ט, ושמות רבה ריש פרשת כי </w:t>
      </w:r>
      <w:proofErr w:type="spellStart"/>
      <w:r>
        <w:rPr>
          <w:sz w:val="20"/>
          <w:szCs w:val="20"/>
          <w:rtl/>
        </w:rPr>
        <w:t>תשא</w:t>
      </w:r>
      <w:proofErr w:type="spellEnd"/>
      <w:r>
        <w:rPr>
          <w:sz w:val="20"/>
          <w:szCs w:val="20"/>
          <w:rtl/>
        </w:rPr>
        <w:t>.</w:t>
      </w:r>
    </w:p>
  </w:footnote>
  <w:footnote w:id="4645">
    <w:p w14:paraId="0A0F84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הראשונה של נספח לה, שבה משמשת עמדה זו בעניין יחסו של ר׳ </w:t>
      </w:r>
      <w:proofErr w:type="spellStart"/>
      <w:r>
        <w:rPr>
          <w:sz w:val="20"/>
          <w:szCs w:val="20"/>
          <w:rtl/>
        </w:rPr>
        <w:t>דוד׳ל</w:t>
      </w:r>
      <w:proofErr w:type="spellEnd"/>
      <w:r>
        <w:rPr>
          <w:sz w:val="20"/>
          <w:szCs w:val="20"/>
          <w:rtl/>
        </w:rPr>
        <w:t xml:space="preserve"> לתלמידים להפרכת הטענה שכמה מתלמידי </w:t>
      </w:r>
      <w:proofErr w:type="spellStart"/>
      <w:r>
        <w:rPr>
          <w:sz w:val="20"/>
          <w:szCs w:val="20"/>
          <w:rtl/>
        </w:rPr>
        <w:t>סלבודקה</w:t>
      </w:r>
      <w:proofErr w:type="spellEnd"/>
      <w:r>
        <w:rPr>
          <w:sz w:val="20"/>
          <w:szCs w:val="20"/>
          <w:rtl/>
        </w:rPr>
        <w:t xml:space="preserve"> המעולים, ובהם רבנו, עזבו את כנסת ישראל כדי ללמוד אצל ר׳ </w:t>
      </w:r>
      <w:proofErr w:type="spellStart"/>
      <w:r>
        <w:rPr>
          <w:sz w:val="20"/>
          <w:szCs w:val="20"/>
          <w:rtl/>
        </w:rPr>
        <w:t>דוד׳ל</w:t>
      </w:r>
      <w:proofErr w:type="spellEnd"/>
      <w:r>
        <w:rPr>
          <w:sz w:val="20"/>
          <w:szCs w:val="20"/>
          <w:rtl/>
        </w:rPr>
        <w:t xml:space="preserve"> פרידמן.</w:t>
      </w:r>
    </w:p>
  </w:footnote>
  <w:footnote w:id="4646">
    <w:p w14:paraId="105A3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הראשונה של נספח ו להלן.</w:t>
      </w:r>
    </w:p>
  </w:footnote>
  <w:footnote w:id="4647">
    <w:p w14:paraId="6F5B03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לפרק 3, סוף הפסקה השלישית של נספח יד, ולפרק 4, הפסקה </w:t>
      </w:r>
      <w:proofErr w:type="spellStart"/>
      <w:r>
        <w:rPr>
          <w:sz w:val="20"/>
          <w:szCs w:val="20"/>
          <w:rtl/>
        </w:rPr>
        <w:t>הלפני־אחרונה</w:t>
      </w:r>
      <w:proofErr w:type="spellEnd"/>
      <w:r>
        <w:rPr>
          <w:sz w:val="20"/>
          <w:szCs w:val="20"/>
          <w:rtl/>
        </w:rPr>
        <w:t xml:space="preserve"> של נספח ט.</w:t>
      </w:r>
    </w:p>
  </w:footnote>
  <w:footnote w:id="4648">
    <w:p w14:paraId="11953A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ידעאל</w:t>
      </w:r>
      <w:proofErr w:type="spellEnd"/>
      <w:r>
        <w:rPr>
          <w:sz w:val="20"/>
          <w:szCs w:val="20"/>
          <w:rtl/>
        </w:rPr>
        <w:t xml:space="preserve"> מלצר, “בדרך עץ החיים” (שם, פרק 1, הערה 7), עמ׳ 48.</w:t>
      </w:r>
    </w:p>
  </w:footnote>
  <w:footnote w:id="4649">
    <w:p w14:paraId="24EA5F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מסופר שר׳ </w:t>
      </w:r>
      <w:proofErr w:type="spellStart"/>
      <w:r>
        <w:rPr>
          <w:sz w:val="20"/>
          <w:szCs w:val="20"/>
          <w:rtl/>
        </w:rPr>
        <w:t>איסר־זלמן</w:t>
      </w:r>
      <w:proofErr w:type="spellEnd"/>
      <w:r>
        <w:rPr>
          <w:sz w:val="20"/>
          <w:szCs w:val="20"/>
          <w:rtl/>
        </w:rPr>
        <w:t xml:space="preserve"> מתח ביקורת על “יצר הרע בלתי מובן לקצץ את שערות הזקן עד שורשיהן”. לפי זה אפשר לשער שגם </w:t>
      </w:r>
      <w:proofErr w:type="spellStart"/>
      <w:r>
        <w:rPr>
          <w:sz w:val="20"/>
          <w:szCs w:val="20"/>
          <w:rtl/>
        </w:rPr>
        <w:t>הנצי״ב</w:t>
      </w:r>
      <w:proofErr w:type="spellEnd"/>
      <w:r>
        <w:rPr>
          <w:sz w:val="20"/>
          <w:szCs w:val="20"/>
          <w:rtl/>
        </w:rPr>
        <w:t xml:space="preserve"> בדק רק אם התלמיד “קצץ את שערות הזקן עד שורשיהן”, או שזקנו עוד לא התחיל לצמוח, בלי לחשוד שתלמיד ישתמש בתער האסור בהלכה. אבל השערה זו אינה מסתברת, שכן נראה שגם תלמידים מבוגרים, שוודאי כבר צמחו שערות בפניהם, נבדקו במישוש ידו של </w:t>
      </w:r>
      <w:proofErr w:type="spellStart"/>
      <w:r>
        <w:rPr>
          <w:sz w:val="20"/>
          <w:szCs w:val="20"/>
          <w:rtl/>
        </w:rPr>
        <w:t>הנצי״ב</w:t>
      </w:r>
      <w:proofErr w:type="spellEnd"/>
      <w:r>
        <w:rPr>
          <w:sz w:val="20"/>
          <w:szCs w:val="20"/>
          <w:rtl/>
        </w:rPr>
        <w:t xml:space="preserve">; </w:t>
      </w:r>
      <w:proofErr w:type="spellStart"/>
      <w:r>
        <w:rPr>
          <w:sz w:val="20"/>
          <w:szCs w:val="20"/>
          <w:rtl/>
        </w:rPr>
        <w:t>ו“עלי</w:t>
      </w:r>
      <w:proofErr w:type="spellEnd"/>
      <w:r>
        <w:rPr>
          <w:sz w:val="20"/>
          <w:szCs w:val="20"/>
          <w:rtl/>
        </w:rPr>
        <w:t xml:space="preserve"> תמר”, המובא בפרק 4, נספח ט, אומר במפורש </w:t>
      </w:r>
      <w:proofErr w:type="spellStart"/>
      <w:r>
        <w:rPr>
          <w:sz w:val="20"/>
          <w:szCs w:val="20"/>
          <w:rtl/>
        </w:rPr>
        <w:t>ש“הנצי״ב</w:t>
      </w:r>
      <w:proofErr w:type="spellEnd"/>
      <w:r>
        <w:rPr>
          <w:sz w:val="20"/>
          <w:szCs w:val="20"/>
          <w:rtl/>
        </w:rPr>
        <w:t xml:space="preserve"> התבונן בבחורים שזקנם התחיל לצמוח, </w:t>
      </w:r>
      <w:proofErr w:type="spellStart"/>
      <w:r>
        <w:rPr>
          <w:sz w:val="20"/>
          <w:szCs w:val="20"/>
          <w:rtl/>
        </w:rPr>
        <w:t>וכו</w:t>
      </w:r>
      <w:proofErr w:type="spellEnd"/>
      <w:r>
        <w:rPr>
          <w:sz w:val="20"/>
          <w:szCs w:val="20"/>
          <w:rtl/>
        </w:rPr>
        <w:t>׳”.</w:t>
      </w:r>
    </w:p>
  </w:footnote>
  <w:footnote w:id="4650">
    <w:p w14:paraId="4E6F23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נספח ו להלן.</w:t>
      </w:r>
    </w:p>
  </w:footnote>
  <w:footnote w:id="4651">
    <w:p w14:paraId="18C4D5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ידעאל</w:t>
      </w:r>
      <w:proofErr w:type="spellEnd"/>
      <w:r>
        <w:rPr>
          <w:sz w:val="20"/>
          <w:szCs w:val="20"/>
          <w:rtl/>
        </w:rPr>
        <w:t xml:space="preserve"> מלצר, “בדרך עץ החיים”, עמ׳ 47, שר׳ </w:t>
      </w:r>
      <w:proofErr w:type="spellStart"/>
      <w:r>
        <w:rPr>
          <w:sz w:val="20"/>
          <w:szCs w:val="20"/>
          <w:rtl/>
        </w:rPr>
        <w:t>איסר־זלמן</w:t>
      </w:r>
      <w:proofErr w:type="spellEnd"/>
      <w:r>
        <w:rPr>
          <w:sz w:val="20"/>
          <w:szCs w:val="20"/>
          <w:rtl/>
        </w:rPr>
        <w:t xml:space="preserve"> סיפר שר׳ </w:t>
      </w:r>
      <w:proofErr w:type="spellStart"/>
      <w:r>
        <w:rPr>
          <w:sz w:val="20"/>
          <w:szCs w:val="20"/>
          <w:rtl/>
        </w:rPr>
        <w:t>אברהם־יצחק</w:t>
      </w:r>
      <w:proofErr w:type="spellEnd"/>
      <w:r>
        <w:rPr>
          <w:sz w:val="20"/>
          <w:szCs w:val="20"/>
          <w:rtl/>
        </w:rPr>
        <w:t xml:space="preserve"> קוק לא היה חביב על חבריו בישיבה, מפני שבצדקות יתרה דאג שהפסוק “</w:t>
      </w:r>
      <w:proofErr w:type="spellStart"/>
      <w:r>
        <w:rPr>
          <w:sz w:val="20"/>
          <w:szCs w:val="20"/>
          <w:rtl/>
        </w:rPr>
        <w:t>שויתי</w:t>
      </w:r>
      <w:proofErr w:type="spellEnd"/>
      <w:r>
        <w:rPr>
          <w:sz w:val="20"/>
          <w:szCs w:val="20"/>
          <w:rtl/>
        </w:rPr>
        <w:t xml:space="preserve"> ה׳ לנגדי תמיד” (תהלים </w:t>
      </w:r>
      <w:proofErr w:type="spellStart"/>
      <w:r>
        <w:rPr>
          <w:sz w:val="20"/>
          <w:szCs w:val="20"/>
          <w:rtl/>
        </w:rPr>
        <w:t>טז</w:t>
      </w:r>
      <w:proofErr w:type="spellEnd"/>
      <w:r>
        <w:rPr>
          <w:sz w:val="20"/>
          <w:szCs w:val="20"/>
          <w:rtl/>
        </w:rPr>
        <w:t>, ח) ייקבע על המנורה שלפני מקומו בבית המדרש, והפציר בראש הישיבה (כנראה בלא הצלחה) לסלק תלמיד פיקח שהטיל ספק בתוקפו של פירוש תלמודי לפסוק מסוים.</w:t>
      </w:r>
    </w:p>
  </w:footnote>
  <w:footnote w:id="4652">
    <w:p w14:paraId="52308D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 בנובמבר 1995.</w:t>
      </w:r>
    </w:p>
  </w:footnote>
  <w:footnote w:id="4653">
    <w:p w14:paraId="2BAF8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 תשנ״ה – עמ׳ 66.</w:t>
      </w:r>
    </w:p>
  </w:footnote>
  <w:footnote w:id="4654">
    <w:p w14:paraId="07AB75E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הערה 111 לעיל.</w:t>
      </w:r>
    </w:p>
  </w:footnote>
  <w:footnote w:id="4655">
    <w:p w14:paraId="57D65C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2.3, הפסקה הרביעית, על יוצא מן הכלל.</w:t>
      </w:r>
    </w:p>
  </w:footnote>
  <w:footnote w:id="4656">
    <w:p w14:paraId="55A5C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כב</w:t>
      </w:r>
      <w:proofErr w:type="spellEnd"/>
      <w:r>
        <w:rPr>
          <w:sz w:val="20"/>
          <w:szCs w:val="20"/>
          <w:rtl/>
        </w:rPr>
        <w:t>.</w:t>
      </w:r>
    </w:p>
  </w:footnote>
  <w:footnote w:id="4657">
    <w:p w14:paraId="54403F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כרכים 2 ו־3.</w:t>
      </w:r>
    </w:p>
  </w:footnote>
  <w:footnote w:id="4658">
    <w:p w14:paraId="3FC820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סיפר ר׳ זלמן </w:t>
      </w:r>
      <w:proofErr w:type="spellStart"/>
      <w:r>
        <w:rPr>
          <w:sz w:val="20"/>
          <w:szCs w:val="20"/>
          <w:rtl/>
        </w:rPr>
        <w:t>שרפמן</w:t>
      </w:r>
      <w:proofErr w:type="spellEnd"/>
      <w:r>
        <w:rPr>
          <w:sz w:val="20"/>
          <w:szCs w:val="20"/>
          <w:rtl/>
        </w:rPr>
        <w:t>, בריאיון מ־22 באפריל 1992.</w:t>
      </w:r>
    </w:p>
  </w:footnote>
  <w:footnote w:id="4659">
    <w:p w14:paraId="7B9087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ב“כפר</w:t>
      </w:r>
      <w:proofErr w:type="spellEnd"/>
      <w:r>
        <w:rPr>
          <w:sz w:val="20"/>
          <w:szCs w:val="20"/>
          <w:rtl/>
        </w:rPr>
        <w:t xml:space="preserve"> חב״ד”, הגיליון מד׳ בסיוון תשמ״ט.</w:t>
      </w:r>
    </w:p>
  </w:footnote>
  <w:footnote w:id="4660">
    <w:p w14:paraId="72A589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יט</w:t>
      </w:r>
      <w:proofErr w:type="spellEnd"/>
      <w:r>
        <w:rPr>
          <w:sz w:val="20"/>
          <w:szCs w:val="20"/>
          <w:rtl/>
        </w:rPr>
        <w:t>.</w:t>
      </w:r>
    </w:p>
  </w:footnote>
  <w:footnote w:id="4661">
    <w:p w14:paraId="53A33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לר</w:t>
      </w:r>
      <w:proofErr w:type="spellEnd"/>
      <w:r>
        <w:rPr>
          <w:sz w:val="20"/>
          <w:szCs w:val="20"/>
          <w:rtl/>
        </w:rPr>
        <w:t xml:space="preserve">׳ </w:t>
      </w:r>
      <w:proofErr w:type="spellStart"/>
      <w:r>
        <w:rPr>
          <w:sz w:val="20"/>
          <w:szCs w:val="20"/>
          <w:rtl/>
        </w:rPr>
        <w:t>לייבל</w:t>
      </w:r>
      <w:proofErr w:type="spellEnd"/>
      <w:r>
        <w:rPr>
          <w:sz w:val="20"/>
          <w:szCs w:val="20"/>
          <w:rtl/>
        </w:rPr>
        <w:t xml:space="preserve"> </w:t>
      </w:r>
      <w:proofErr w:type="spellStart"/>
      <w:r>
        <w:rPr>
          <w:sz w:val="20"/>
          <w:szCs w:val="20"/>
          <w:rtl/>
        </w:rPr>
        <w:t>פרלשטיין</w:t>
      </w:r>
      <w:proofErr w:type="spellEnd"/>
      <w:r>
        <w:rPr>
          <w:sz w:val="20"/>
          <w:szCs w:val="20"/>
          <w:rtl/>
        </w:rPr>
        <w:t xml:space="preserve"> (השווה פרק 1, הערה 7).</w:t>
      </w:r>
    </w:p>
  </w:footnote>
  <w:footnote w:id="4662">
    <w:p w14:paraId="369B65C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עם כמה מבוגרי ישיבת רבנו ישראל מאיר הכהן (ראה הערת שוליים </w:t>
      </w:r>
      <w:r>
        <w:rPr>
          <w:sz w:val="20"/>
          <w:szCs w:val="20"/>
          <w:rtl/>
        </w:rPr>
        <w:fldChar w:fldCharType="begin" w:dirty="true"/>
      </w:r>
      <w:r>
        <w:rPr>
          <w:sz w:val="20"/>
          <w:szCs w:val="20"/>
          <w:rtl/>
        </w:rPr>
        <w:instrText xml:space="preserve"> NOTEREF pr_f_365 \h </w:instrText>
      </w:r>
      <w:r>
        <w:rPr>
          <w:sz w:val="20"/>
          <w:szCs w:val="20"/>
          <w:rtl/>
        </w:rPr>
      </w:r>
      <w:r>
        <w:rPr>
          <w:sz w:val="20"/>
          <w:szCs w:val="20"/>
          <w:rtl/>
        </w:rPr>
        <w:fldChar w:fldCharType="separate"/>
      </w:r>
      <w:r w:rsidR="007923E9">
        <w:rPr>
          <w:sz w:val="20"/>
          <w:szCs w:val="20"/>
          <w:rtl/>
        </w:rPr>
        <w:t>307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pr_f_365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סיפר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כיצד הקפידה ישיבת </w:t>
      </w:r>
      <w:proofErr w:type="spellStart"/>
      <w:r>
        <w:rPr>
          <w:sz w:val="20"/>
          <w:szCs w:val="20"/>
          <w:rtl/>
        </w:rPr>
        <w:t>סלבודקה</w:t>
      </w:r>
      <w:proofErr w:type="spellEnd"/>
      <w:r>
        <w:rPr>
          <w:sz w:val="20"/>
          <w:szCs w:val="20"/>
          <w:rtl/>
        </w:rPr>
        <w:t xml:space="preserve"> על מראה מודרני של תלמידיה, ואמר שהשתמשו לגילוח באבקה להסרת שיער. אבל הוא דיבר על הישיבה שלאחר מלחמת העולם הראשונה, כשהשארת זיפים קצרים על הפנים כבר נחשבה בלתי נאה.</w:t>
      </w:r>
    </w:p>
  </w:footnote>
  <w:footnote w:id="4663">
    <w:p w14:paraId="029D48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77.</w:t>
      </w:r>
    </w:p>
  </w:footnote>
  <w:footnote w:id="4664">
    <w:p w14:paraId="66E13D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65">
    <w:p w14:paraId="6A0485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עלינו להניח שהדבר אירע בתקופתו </w:t>
      </w:r>
      <w:proofErr w:type="spellStart"/>
      <w:r>
        <w:rPr>
          <w:sz w:val="20"/>
          <w:szCs w:val="20"/>
          <w:rtl/>
        </w:rPr>
        <w:t>בלומז׳ה</w:t>
      </w:r>
      <w:proofErr w:type="spellEnd"/>
      <w:r>
        <w:rPr>
          <w:sz w:val="20"/>
          <w:szCs w:val="20"/>
          <w:rtl/>
        </w:rPr>
        <w:t xml:space="preserve"> – השווה כרך 2. וראיתי במעין השבוע של פרשת פקודי תשנ״ז, </w:t>
      </w:r>
      <w:proofErr w:type="spellStart"/>
      <w:r>
        <w:rPr>
          <w:sz w:val="20"/>
          <w:szCs w:val="20"/>
          <w:rtl/>
        </w:rPr>
        <w:t>שבהיות</w:t>
      </w:r>
      <w:proofErr w:type="spellEnd"/>
      <w:r>
        <w:rPr>
          <w:sz w:val="20"/>
          <w:szCs w:val="20"/>
          <w:rtl/>
        </w:rPr>
        <w:t xml:space="preserve"> </w:t>
      </w:r>
      <w:proofErr w:type="spellStart"/>
      <w:r>
        <w:rPr>
          <w:sz w:val="20"/>
          <w:szCs w:val="20"/>
          <w:rtl/>
        </w:rPr>
        <w:t>החיד״א</w:t>
      </w:r>
      <w:proofErr w:type="spellEnd"/>
      <w:r>
        <w:rPr>
          <w:sz w:val="20"/>
          <w:szCs w:val="20"/>
          <w:rtl/>
        </w:rPr>
        <w:t xml:space="preserve"> בצרפת סעד בבית אחד הגבירים ולן בבית גביר אחר. כשישב ולמד באישון לילה ביקש להריח בקופסת הטבק שלו לתוספת ריכוז. כשחיפש ולא מצאה, נזכר ששכחה במקום הסעודה. קם וחזר לאותו בית והודיע ששכח שם את קופסת הטבק, קיבלה לידו וחזר לאכסנייתו. למחרת ביקש לכנס את כל בני הקהילה לבית הכנסת ועלה לבימה </w:t>
      </w:r>
      <w:proofErr w:type="spellStart"/>
      <w:r>
        <w:rPr>
          <w:sz w:val="20"/>
          <w:szCs w:val="20"/>
          <w:rtl/>
        </w:rPr>
        <w:t>ו“התוודה</w:t>
      </w:r>
      <w:proofErr w:type="spellEnd"/>
      <w:r>
        <w:rPr>
          <w:sz w:val="20"/>
          <w:szCs w:val="20"/>
          <w:rtl/>
        </w:rPr>
        <w:t>” לקול בוכים: משכבר אני יודע את מיעוט ערכי ולבי דואב על הכבוד הרב שחולקים לי, אבל לא עלה בידי לשכנע שאינו מגיעני. אולם עתה הנה רואים אתם עין בעין – חפצתי בשאיפת טבק ולא גברתי על יצרי והלכתי באישון לילה לקחת את הקופסא. הן רואים אתם מה חדל אני! וכתשובת המשקל הריני נודר בזה שמהיום והלאה לא אריח טבק כל ימי חיי.</w:t>
      </w:r>
    </w:p>
  </w:footnote>
  <w:footnote w:id="4666">
    <w:p w14:paraId="4A8DDF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הניצול היחיד משואת </w:t>
      </w:r>
      <w:proofErr w:type="spellStart"/>
      <w:r>
        <w:rPr>
          <w:sz w:val="20"/>
          <w:szCs w:val="20"/>
          <w:rtl/>
        </w:rPr>
        <w:t>ציטוביאן</w:t>
      </w:r>
      <w:proofErr w:type="spellEnd"/>
      <w:r>
        <w:rPr>
          <w:sz w:val="20"/>
          <w:szCs w:val="20"/>
          <w:rtl/>
        </w:rPr>
        <w:t>; השווה כרך 3.</w:t>
      </w:r>
    </w:p>
  </w:footnote>
  <w:footnote w:id="4667">
    <w:p w14:paraId="3FD4EB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מ־16 במרץ 1995.</w:t>
      </w:r>
    </w:p>
  </w:footnote>
  <w:footnote w:id="4668">
    <w:p w14:paraId="665D79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מ־21 באוגוסט 1992. השווה כרך 3, שהמרואיין היה כבן משפחה בבית אבי.</w:t>
      </w:r>
    </w:p>
  </w:footnote>
  <w:footnote w:id="4669">
    <w:p w14:paraId="2B0F1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תק״ס ס״ב.</w:t>
      </w:r>
    </w:p>
  </w:footnote>
  <w:footnote w:id="4670">
    <w:p w14:paraId="7C5A37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4671">
    <w:p w14:paraId="2C0C6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מ־18 ביוני 1999.</w:t>
      </w:r>
    </w:p>
  </w:footnote>
  <w:footnote w:id="4672">
    <w:p w14:paraId="724974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673">
    <w:p w14:paraId="06FAFD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אבי סיפר זאת </w:t>
      </w:r>
      <w:proofErr w:type="spellStart"/>
      <w:r>
        <w:rPr>
          <w:sz w:val="20"/>
          <w:szCs w:val="20"/>
          <w:rtl/>
        </w:rPr>
        <w:t>לר</w:t>
      </w:r>
      <w:proofErr w:type="spellEnd"/>
      <w:r>
        <w:rPr>
          <w:sz w:val="20"/>
          <w:szCs w:val="20"/>
          <w:rtl/>
        </w:rPr>
        <w:t xml:space="preserve">׳ </w:t>
      </w:r>
      <w:proofErr w:type="spellStart"/>
      <w:r>
        <w:rPr>
          <w:sz w:val="20"/>
          <w:szCs w:val="20"/>
          <w:rtl/>
        </w:rPr>
        <w:t>יענקל</w:t>
      </w:r>
      <w:proofErr w:type="spellEnd"/>
      <w:r>
        <w:rPr>
          <w:sz w:val="20"/>
          <w:szCs w:val="20"/>
          <w:rtl/>
        </w:rPr>
        <w:t xml:space="preserve"> פולק, שחזר על הדברים בריאיון מ־9 בדצמבר 1987.</w:t>
      </w:r>
    </w:p>
  </w:footnote>
  <w:footnote w:id="4674">
    <w:p w14:paraId="65D43E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יענקל</w:t>
      </w:r>
      <w:proofErr w:type="spellEnd"/>
      <w:r>
        <w:rPr>
          <w:sz w:val="20"/>
          <w:szCs w:val="20"/>
          <w:rtl/>
        </w:rPr>
        <w:t xml:space="preserve"> ריבלין, בריאיון מ־22 במרץ 1988.</w:t>
      </w:r>
    </w:p>
  </w:footnote>
  <w:footnote w:id="4675">
    <w:p w14:paraId="1A773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פרטים אלה והפרטים הבאים מסר לי אחי ר׳ אברהם בריאיון מ־5 בינואר 1988; הוא התלווה אל אבינו לרופא. מעניין שאבי קשר לשבת גם את הפסקת העישון הקודמת שלו – ראה עמ׳ </w:t>
      </w:r>
      <w:r>
        <w:rPr>
          <w:sz w:val="20"/>
          <w:szCs w:val="20"/>
          <w:rtl/>
        </w:rPr>
        <w:fldChar w:fldCharType="begin" w:dirty="true"/>
      </w:r>
      <w:r>
        <w:rPr>
          <w:sz w:val="20"/>
          <w:szCs w:val="20"/>
          <w:rtl/>
        </w:rPr>
        <w:instrText xml:space="preserve"> PAGEREF pr_close_b_4120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676">
    <w:p w14:paraId="69B4A8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 “מכלול מאמרים ופתגמים”, הרב משה סבר (מוסד הרב קוק, ירושלים, תשכ״א), עמ׳ 101.</w:t>
      </w:r>
    </w:p>
  </w:footnote>
  <w:footnote w:id="4677">
    <w:p w14:paraId="52BA5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 – עמ׳ 84–85.</w:t>
      </w:r>
    </w:p>
  </w:footnote>
  <w:footnote w:id="4678">
    <w:p w14:paraId="51708B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72 – עמ׳ 73.</w:t>
      </w:r>
    </w:p>
  </w:footnote>
  <w:footnote w:id="4679">
    <w:p w14:paraId="6596A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מ־7 באפריל 1988.</w:t>
      </w:r>
    </w:p>
  </w:footnote>
  <w:footnote w:id="4680">
    <w:p w14:paraId="60CA6B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בדצמבר 1987.</w:t>
      </w:r>
    </w:p>
  </w:footnote>
  <w:footnote w:id="4681">
    <w:p w14:paraId="508BA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אשר גולדברג, בריאיון מ־8 במרץ 1988.</w:t>
      </w:r>
    </w:p>
  </w:footnote>
  <w:footnote w:id="4682">
    <w:p w14:paraId="1975D1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מ־11 באפריל 1988.</w:t>
      </w:r>
    </w:p>
  </w:footnote>
  <w:footnote w:id="4683">
    <w:p w14:paraId="57E92C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מ־17 במרץ 1991.</w:t>
      </w:r>
    </w:p>
  </w:footnote>
  <w:footnote w:id="4684">
    <w:p w14:paraId="276ADE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ב־6 בפברואר 2002 סיפר ר׳ הירש </w:t>
      </w:r>
      <w:proofErr w:type="spellStart"/>
      <w:r>
        <w:rPr>
          <w:sz w:val="20"/>
          <w:szCs w:val="20"/>
          <w:rtl/>
        </w:rPr>
        <w:t>דיסקינד</w:t>
      </w:r>
      <w:proofErr w:type="spellEnd"/>
      <w:r>
        <w:rPr>
          <w:sz w:val="20"/>
          <w:szCs w:val="20"/>
          <w:rtl/>
        </w:rPr>
        <w:t xml:space="preserve"> בשם בנו ר׳ פסח, שרבנו אמר: “עד ארבעים אחוז מכוח מוחו של אדם עולים בעשן”.</w:t>
      </w:r>
    </w:p>
  </w:footnote>
  <w:footnote w:id="4685">
    <w:p w14:paraId="49F9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הערות 68 ו־83, על זמן בואו של ר׳ מאיר </w:t>
      </w:r>
      <w:proofErr w:type="spellStart"/>
      <w:r>
        <w:rPr>
          <w:sz w:val="20"/>
          <w:szCs w:val="20"/>
          <w:rtl/>
        </w:rPr>
        <w:t>לסלבודקה</w:t>
      </w:r>
      <w:proofErr w:type="spellEnd"/>
      <w:r>
        <w:rPr>
          <w:sz w:val="20"/>
          <w:szCs w:val="20"/>
          <w:rtl/>
        </w:rPr>
        <w:t xml:space="preserve"> ועל גילו אז.</w:t>
      </w:r>
    </w:p>
  </w:footnote>
  <w:footnote w:id="4686">
    <w:p w14:paraId="095934D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יד – עמ׳ שמה.</w:t>
      </w:r>
    </w:p>
  </w:footnote>
  <w:footnote w:id="4687">
    <w:p w14:paraId="3E4CA7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סוף נספח ד.</w:t>
      </w:r>
    </w:p>
  </w:footnote>
  <w:footnote w:id="4688">
    <w:p w14:paraId="1DB13E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הוריות </w:t>
      </w:r>
      <w:proofErr w:type="spellStart"/>
      <w:r>
        <w:rPr>
          <w:sz w:val="20"/>
          <w:szCs w:val="20"/>
          <w:rtl/>
        </w:rPr>
        <w:t>יג</w:t>
      </w:r>
      <w:proofErr w:type="spellEnd"/>
      <w:r>
        <w:rPr>
          <w:sz w:val="20"/>
          <w:szCs w:val="20"/>
          <w:rtl/>
        </w:rPr>
        <w:t xml:space="preserve"> ע״ב. ראה גם “עובדות והנהגות לבית </w:t>
      </w:r>
      <w:proofErr w:type="spellStart"/>
      <w:r>
        <w:rPr>
          <w:sz w:val="20"/>
          <w:szCs w:val="20"/>
          <w:rtl/>
        </w:rPr>
        <w:t>בריסק</w:t>
      </w:r>
      <w:proofErr w:type="spellEnd"/>
      <w:r>
        <w:rPr>
          <w:sz w:val="20"/>
          <w:szCs w:val="20"/>
          <w:rtl/>
        </w:rPr>
        <w:t xml:space="preserve">” (שם, פרק 1, הפסקה השנייה של נספח ב), </w:t>
      </w:r>
      <w:proofErr w:type="spellStart"/>
      <w:r>
        <w:rPr>
          <w:sz w:val="20"/>
          <w:szCs w:val="20"/>
          <w:rtl/>
        </w:rPr>
        <w:t>ח״ב</w:t>
      </w:r>
      <w:proofErr w:type="spellEnd"/>
      <w:r>
        <w:rPr>
          <w:sz w:val="20"/>
          <w:szCs w:val="20"/>
          <w:rtl/>
        </w:rPr>
        <w:t xml:space="preserve">, עמ׳ </w:t>
      </w:r>
      <w:proofErr w:type="spellStart"/>
      <w:r>
        <w:rPr>
          <w:sz w:val="20"/>
          <w:szCs w:val="20"/>
          <w:rtl/>
        </w:rPr>
        <w:t>סא</w:t>
      </w:r>
      <w:proofErr w:type="spellEnd"/>
      <w:r>
        <w:rPr>
          <w:sz w:val="20"/>
          <w:szCs w:val="20"/>
          <w:rtl/>
        </w:rPr>
        <w:t xml:space="preserve">, בשם ר׳ אשר </w:t>
      </w:r>
      <w:proofErr w:type="spellStart"/>
      <w:r>
        <w:rPr>
          <w:sz w:val="20"/>
          <w:szCs w:val="20"/>
          <w:rtl/>
        </w:rPr>
        <w:t>קרלינסקי</w:t>
      </w:r>
      <w:proofErr w:type="spellEnd"/>
      <w:r>
        <w:rPr>
          <w:sz w:val="20"/>
          <w:szCs w:val="20"/>
          <w:rtl/>
        </w:rPr>
        <w:t xml:space="preserve">: ר׳ חיים </w:t>
      </w:r>
      <w:proofErr w:type="spellStart"/>
      <w:r>
        <w:rPr>
          <w:sz w:val="20"/>
          <w:szCs w:val="20"/>
          <w:rtl/>
        </w:rPr>
        <w:t>סולובייצ׳יק</w:t>
      </w:r>
      <w:proofErr w:type="spellEnd"/>
      <w:r>
        <w:rPr>
          <w:sz w:val="20"/>
          <w:szCs w:val="20"/>
          <w:rtl/>
        </w:rPr>
        <w:t xml:space="preserve">, קרוב המשפחה, ביקר פעם בביתם </w:t>
      </w:r>
      <w:proofErr w:type="spellStart"/>
      <w:r>
        <w:rPr>
          <w:sz w:val="20"/>
          <w:szCs w:val="20"/>
          <w:rtl/>
        </w:rPr>
        <w:t>בפוחוביץ</w:t>
      </w:r>
      <w:proofErr w:type="spellEnd"/>
      <w:r>
        <w:rPr>
          <w:sz w:val="20"/>
          <w:szCs w:val="20"/>
          <w:rtl/>
        </w:rPr>
        <w:t xml:space="preserve">׳, ונפל כפתור ממעילו. סבתו של ר׳ אשר תפרה אותו בחזרה בעוד ר׳ חיים לבוש במעיל, והוא אחז בשיניו את שולי המעיל בשעת התפירה – בגלל אמונת הזקנות האירופית (שאני זוכר מאמי) שאחרת “הזיכרון נתפר”. כשהסבתא שאלה אותו: “וכי גם אתם מאמינים בסיפורי הנשים?!”, השיב (שלא כדרכם של בני </w:t>
      </w:r>
      <w:proofErr w:type="spellStart"/>
      <w:r>
        <w:rPr>
          <w:sz w:val="20"/>
          <w:szCs w:val="20"/>
          <w:rtl/>
        </w:rPr>
        <w:t>בריסק</w:t>
      </w:r>
      <w:proofErr w:type="spellEnd"/>
      <w:r>
        <w:rPr>
          <w:sz w:val="20"/>
          <w:szCs w:val="20"/>
          <w:rtl/>
        </w:rPr>
        <w:t>): “בכל מה שנוגע וקשור לשכל ולשכחת התורה אין משחקים. ויש לחשוש גם לדברי הנשים”.</w:t>
      </w:r>
    </w:p>
    <w:p w14:paraId="33C1C304" w14:textId="77777777" w:rsidR="00AB3647" w:rsidRDefault="00000000">
      <w:pPr>
        <w:spacing w:after="0" w:before="0"/>
        <w:jc w:val="both"/>
      </w:pPr>
      <w:r>
        <w:rPr>
          <w:sz w:val="20"/>
          <w:szCs w:val="20"/>
          <w:rtl/>
        </w:rPr>
        <w:t xml:space="preserve">אבי, אף שנזהר מאמונות תפלות – ראה פרק 3, נספח </w:t>
      </w:r>
      <w:proofErr w:type="spellStart"/>
      <w:r>
        <w:rPr>
          <w:sz w:val="20"/>
          <w:szCs w:val="20"/>
          <w:rtl/>
        </w:rPr>
        <w:t>כו</w:t>
      </w:r>
      <w:proofErr w:type="spellEnd"/>
      <w:r>
        <w:rPr>
          <w:sz w:val="20"/>
          <w:szCs w:val="20"/>
          <w:rtl/>
        </w:rPr>
        <w:t xml:space="preserve"> – אמר פעם שסבתותינו החכמות המציאו את המיתוס הזה למטרה מעשית: כדי שלובש הבגד לא ידבר עם התופר, פן תוסח דעתו של התופר מעבודתו והוא ידקור את עצמו או את חברו.</w:t>
      </w:r>
    </w:p>
  </w:footnote>
  <w:footnote w:id="4689">
    <w:p w14:paraId="2B6333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במאי 1993.</w:t>
      </w:r>
    </w:p>
  </w:footnote>
  <w:footnote w:id="4690">
    <w:p w14:paraId="17C79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קידושין ל ע״ב – ראה גם פרק 4, הערה 133.</w:t>
      </w:r>
    </w:p>
  </w:footnote>
  <w:footnote w:id="4691">
    <w:p w14:paraId="5F1429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50.</w:t>
      </w:r>
    </w:p>
  </w:footnote>
  <w:footnote w:id="4692">
    <w:p w14:paraId="238B4A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השלישית של נספח </w:t>
      </w:r>
      <w:proofErr w:type="spellStart"/>
      <w:r>
        <w:rPr>
          <w:sz w:val="20"/>
          <w:szCs w:val="20"/>
          <w:rtl/>
        </w:rPr>
        <w:t>כג</w:t>
      </w:r>
      <w:proofErr w:type="spellEnd"/>
      <w:r>
        <w:rPr>
          <w:sz w:val="20"/>
          <w:szCs w:val="20"/>
          <w:rtl/>
        </w:rPr>
        <w:t xml:space="preserve"> – עמ׳ 434.</w:t>
      </w:r>
    </w:p>
  </w:footnote>
  <w:footnote w:id="4693">
    <w:p w14:paraId="31AB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694">
    <w:p w14:paraId="24FA68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כמובא מכץ בפרק 4, הערה 98.</w:t>
      </w:r>
    </w:p>
  </w:footnote>
  <w:footnote w:id="4695">
    <w:p w14:paraId="35880B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הדברים נשמעו ממקור נאמן שאין בו פקפוק, המבקש להישאר בעילום שם.</w:t>
      </w:r>
    </w:p>
  </w:footnote>
  <w:footnote w:id="4696">
    <w:p w14:paraId="3F23C5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שמע ר׳ יצחק </w:t>
      </w:r>
      <w:proofErr w:type="spellStart"/>
      <w:r>
        <w:rPr>
          <w:sz w:val="20"/>
          <w:szCs w:val="20"/>
          <w:rtl/>
        </w:rPr>
        <w:t>ולדומירסקי</w:t>
      </w:r>
      <w:proofErr w:type="spellEnd"/>
      <w:r>
        <w:rPr>
          <w:sz w:val="20"/>
          <w:szCs w:val="20"/>
          <w:rtl/>
        </w:rPr>
        <w:t xml:space="preserve"> מתלמיד חשוב של </w:t>
      </w:r>
      <w:proofErr w:type="spellStart"/>
      <w:r>
        <w:rPr>
          <w:sz w:val="20"/>
          <w:szCs w:val="20"/>
          <w:rtl/>
        </w:rPr>
        <w:t>לייקווד</w:t>
      </w:r>
      <w:proofErr w:type="spellEnd"/>
      <w:r>
        <w:rPr>
          <w:sz w:val="20"/>
          <w:szCs w:val="20"/>
          <w:rtl/>
        </w:rPr>
        <w:t xml:space="preserve"> לפני עשרים שנה, וסיפר לי ב־10 בפברואר 2001.</w:t>
      </w:r>
    </w:p>
  </w:footnote>
  <w:footnote w:id="4697">
    <w:p w14:paraId="5A61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רשימות שכתב </w:t>
      </w:r>
      <w:proofErr w:type="spellStart"/>
      <w:r>
        <w:rPr>
          <w:sz w:val="20"/>
          <w:szCs w:val="20"/>
          <w:rtl/>
        </w:rPr>
        <w:t>נכדו־חתנו</w:t>
      </w:r>
      <w:proofErr w:type="spellEnd"/>
      <w:r>
        <w:rPr>
          <w:sz w:val="20"/>
          <w:szCs w:val="20"/>
          <w:rtl/>
        </w:rPr>
        <w:t xml:space="preserve"> ר׳ נתן שטרן – ראה פרק 1, תחילת הפסקה השנייה של נספח ב.</w:t>
      </w:r>
    </w:p>
  </w:footnote>
  <w:footnote w:id="4698">
    <w:p w14:paraId="689B84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שיקגו, תרפ״ו – עמ׳ 64, </w:t>
      </w:r>
      <w:proofErr w:type="spellStart"/>
      <w:r>
        <w:rPr>
          <w:sz w:val="20"/>
          <w:szCs w:val="20"/>
          <w:rtl/>
        </w:rPr>
        <w:t>ועיי״ש</w:t>
      </w:r>
      <w:proofErr w:type="spellEnd"/>
      <w:r>
        <w:rPr>
          <w:sz w:val="20"/>
          <w:szCs w:val="20"/>
          <w:rtl/>
        </w:rPr>
        <w:t>.</w:t>
      </w:r>
    </w:p>
  </w:footnote>
  <w:footnote w:id="4699">
    <w:p w14:paraId="313DA6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בשו״ת</w:t>
      </w:r>
      <w:proofErr w:type="spellEnd"/>
      <w:r>
        <w:rPr>
          <w:sz w:val="20"/>
          <w:szCs w:val="20"/>
          <w:rtl/>
        </w:rPr>
        <w:t xml:space="preserve"> שואל ומשיב, </w:t>
      </w:r>
      <w:proofErr w:type="spellStart"/>
      <w:r>
        <w:rPr>
          <w:sz w:val="20"/>
          <w:szCs w:val="20"/>
          <w:rtl/>
        </w:rPr>
        <w:t>ח״ב</w:t>
      </w:r>
      <w:proofErr w:type="spellEnd"/>
      <w:r>
        <w:rPr>
          <w:sz w:val="20"/>
          <w:szCs w:val="20"/>
          <w:rtl/>
        </w:rPr>
        <w:t xml:space="preserve">, סי׳ קנ״ח, כתב שלפי </w:t>
      </w:r>
      <w:proofErr w:type="spellStart"/>
      <w:r>
        <w:rPr>
          <w:sz w:val="20"/>
          <w:szCs w:val="20"/>
          <w:rtl/>
        </w:rPr>
        <w:t>מ״ש</w:t>
      </w:r>
      <w:proofErr w:type="spellEnd"/>
      <w:r>
        <w:rPr>
          <w:sz w:val="20"/>
          <w:szCs w:val="20"/>
          <w:rtl/>
        </w:rPr>
        <w:t xml:space="preserve"> פני יהושע במס׳ שבת דף ל״ט ע״ב </w:t>
      </w:r>
      <w:proofErr w:type="spellStart"/>
      <w:r>
        <w:rPr>
          <w:sz w:val="20"/>
          <w:szCs w:val="20"/>
          <w:rtl/>
        </w:rPr>
        <w:t>דעישון</w:t>
      </w:r>
      <w:proofErr w:type="spellEnd"/>
      <w:r>
        <w:rPr>
          <w:sz w:val="20"/>
          <w:szCs w:val="20"/>
          <w:rtl/>
        </w:rPr>
        <w:t xml:space="preserve"> </w:t>
      </w:r>
      <w:proofErr w:type="spellStart"/>
      <w:r>
        <w:rPr>
          <w:sz w:val="20"/>
          <w:szCs w:val="20"/>
          <w:rtl/>
        </w:rPr>
        <w:t>הטובא״ק</w:t>
      </w:r>
      <w:proofErr w:type="spellEnd"/>
      <w:r>
        <w:rPr>
          <w:sz w:val="20"/>
          <w:szCs w:val="20"/>
          <w:rtl/>
        </w:rPr>
        <w:t xml:space="preserve"> הוי לבריאות הגוף, לעכל המזון “ולתאוות המאכל” (והערוך השולחן פירש כוונתו בסימן תקי״א </w:t>
      </w:r>
      <w:proofErr w:type="spellStart"/>
      <w:r>
        <w:rPr>
          <w:sz w:val="20"/>
          <w:szCs w:val="20"/>
          <w:rtl/>
        </w:rPr>
        <w:t>סי״א</w:t>
      </w:r>
      <w:proofErr w:type="spellEnd"/>
      <w:r>
        <w:rPr>
          <w:sz w:val="20"/>
          <w:szCs w:val="20"/>
          <w:rtl/>
        </w:rPr>
        <w:t xml:space="preserve"> “לדחות המותרות” עיי״ש), יש לעישון דין רפואה שמותר ביו״ט שני </w:t>
      </w:r>
      <w:proofErr w:type="spellStart"/>
      <w:r>
        <w:rPr>
          <w:sz w:val="20"/>
          <w:szCs w:val="20"/>
          <w:rtl/>
        </w:rPr>
        <w:t>כדאיתא</w:t>
      </w:r>
      <w:proofErr w:type="spellEnd"/>
      <w:r>
        <w:rPr>
          <w:sz w:val="20"/>
          <w:szCs w:val="20"/>
          <w:rtl/>
        </w:rPr>
        <w:t xml:space="preserve"> בסי׳ תצ״ו ס״ב, וכן פסק בעל </w:t>
      </w:r>
      <w:proofErr w:type="spellStart"/>
      <w:r>
        <w:rPr>
          <w:sz w:val="20"/>
          <w:szCs w:val="20"/>
          <w:rtl/>
        </w:rPr>
        <w:t>הפלאה</w:t>
      </w:r>
      <w:proofErr w:type="spellEnd"/>
      <w:r>
        <w:rPr>
          <w:sz w:val="20"/>
          <w:szCs w:val="20"/>
          <w:rtl/>
        </w:rPr>
        <w:t xml:space="preserve">. אבל </w:t>
      </w:r>
      <w:proofErr w:type="spellStart"/>
      <w:r>
        <w:rPr>
          <w:sz w:val="20"/>
          <w:szCs w:val="20"/>
          <w:rtl/>
        </w:rPr>
        <w:t>בשו״ת</w:t>
      </w:r>
      <w:proofErr w:type="spellEnd"/>
      <w:r>
        <w:rPr>
          <w:sz w:val="20"/>
          <w:szCs w:val="20"/>
          <w:rtl/>
        </w:rPr>
        <w:t xml:space="preserve"> עמודי אור, סי׳ כ״ט סוף אות ה׳, כתב דאם מתורת רפואה באנו להתירו, יעשנו רק לפי הצורך ע״פ “בקיאים” עיי״ש, וגם שכל ספרי הרפואה מזהירים שלא ירגיל אדם עצמו בו.</w:t>
      </w:r>
    </w:p>
  </w:footnote>
  <w:footnote w:id="4700">
    <w:p w14:paraId="253326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הערה 66.</w:t>
      </w:r>
    </w:p>
  </w:footnote>
  <w:footnote w:id="4701">
    <w:p w14:paraId="36460A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באוגוסט 1992.</w:t>
      </w:r>
    </w:p>
  </w:footnote>
  <w:footnote w:id="4702">
    <w:p w14:paraId="38000B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שנשא לאחר המלחמה נכדה של ר׳ שמעון, בא לומר שפעולות הרב </w:t>
      </w:r>
      <w:proofErr w:type="spellStart"/>
      <w:r>
        <w:rPr>
          <w:sz w:val="20"/>
          <w:szCs w:val="20"/>
          <w:rtl/>
        </w:rPr>
        <w:t>שקופ</w:t>
      </w:r>
      <w:proofErr w:type="spellEnd"/>
      <w:r>
        <w:rPr>
          <w:sz w:val="20"/>
          <w:szCs w:val="20"/>
          <w:rtl/>
        </w:rPr>
        <w:t xml:space="preserve"> הצטמצמו להוראה ולפסיקה בשאלות שהתעוררו בעיירות שבהן כיהן כרב וניהל את ישיבותיו; הוא לא נכנס לתחום הפעילות הציבורית.</w:t>
      </w:r>
    </w:p>
  </w:footnote>
  <w:footnote w:id="4703">
    <w:p w14:paraId="74B6C0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עיון בסוגיות ובאגדות הש״ס.</w:t>
      </w:r>
    </w:p>
  </w:footnote>
  <w:footnote w:id="4704">
    <w:p w14:paraId="21F984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ט – עמ׳ 87.</w:t>
      </w:r>
    </w:p>
  </w:footnote>
  <w:footnote w:id="4705">
    <w:p w14:paraId="7C699A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מתוך “טוב דעת”, בהוצאת ישיבת בית מאיר (חנוכה תשמ״ו), עמ׳ </w:t>
      </w:r>
      <w:proofErr w:type="spellStart"/>
      <w:r>
        <w:rPr>
          <w:sz w:val="20"/>
          <w:szCs w:val="20"/>
          <w:rtl/>
        </w:rPr>
        <w:t>שנ</w:t>
      </w:r>
      <w:proofErr w:type="spellEnd"/>
      <w:r>
        <w:rPr>
          <w:sz w:val="20"/>
          <w:szCs w:val="20"/>
          <w:rtl/>
        </w:rPr>
        <w:t>.</w:t>
      </w:r>
    </w:p>
  </w:footnote>
  <w:footnote w:id="4706">
    <w:p w14:paraId="7A5320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“עובדות והנהגות לבית </w:t>
      </w:r>
      <w:proofErr w:type="spellStart"/>
      <w:r>
        <w:rPr>
          <w:sz w:val="20"/>
          <w:szCs w:val="20"/>
          <w:rtl/>
        </w:rPr>
        <w:t>בריסק</w:t>
      </w:r>
      <w:proofErr w:type="spellEnd"/>
      <w:r>
        <w:rPr>
          <w:sz w:val="20"/>
          <w:szCs w:val="20"/>
          <w:rtl/>
        </w:rPr>
        <w:t xml:space="preserve">”, ח״א, עמ׳ </w:t>
      </w:r>
      <w:proofErr w:type="spellStart"/>
      <w:r>
        <w:rPr>
          <w:sz w:val="20"/>
          <w:szCs w:val="20"/>
          <w:rtl/>
        </w:rPr>
        <w:t>רחצ</w:t>
      </w:r>
      <w:proofErr w:type="spellEnd"/>
      <w:r>
        <w:rPr>
          <w:sz w:val="20"/>
          <w:szCs w:val="20"/>
          <w:rtl/>
        </w:rPr>
        <w:t xml:space="preserve">, מביא בשם ר׳ צבי </w:t>
      </w:r>
      <w:proofErr w:type="spellStart"/>
      <w:r>
        <w:rPr>
          <w:sz w:val="20"/>
          <w:szCs w:val="20"/>
          <w:rtl/>
        </w:rPr>
        <w:t>מרקוביץ</w:t>
      </w:r>
      <w:proofErr w:type="spellEnd"/>
      <w:r>
        <w:rPr>
          <w:sz w:val="20"/>
          <w:szCs w:val="20"/>
          <w:rtl/>
        </w:rPr>
        <w:t xml:space="preserve"> שר׳ ירוחם </w:t>
      </w:r>
      <w:proofErr w:type="spellStart"/>
      <w:r>
        <w:rPr>
          <w:sz w:val="20"/>
          <w:szCs w:val="20"/>
          <w:rtl/>
        </w:rPr>
        <w:t>ליבוביץ</w:t>
      </w:r>
      <w:proofErr w:type="spellEnd"/>
      <w:r>
        <w:rPr>
          <w:sz w:val="20"/>
          <w:szCs w:val="20"/>
          <w:rtl/>
        </w:rPr>
        <w:t xml:space="preserve"> ביקר את ר׳ שמעון בביתו </w:t>
      </w:r>
      <w:proofErr w:type="spellStart"/>
      <w:r>
        <w:rPr>
          <w:sz w:val="20"/>
          <w:szCs w:val="20"/>
          <w:rtl/>
        </w:rPr>
        <w:t>בגרודנא</w:t>
      </w:r>
      <w:proofErr w:type="spellEnd"/>
      <w:r>
        <w:rPr>
          <w:sz w:val="20"/>
          <w:szCs w:val="20"/>
          <w:rtl/>
        </w:rPr>
        <w:t xml:space="preserve">, ואמר לתלמידי ישיבת </w:t>
      </w:r>
      <w:proofErr w:type="spellStart"/>
      <w:r>
        <w:rPr>
          <w:sz w:val="20"/>
          <w:szCs w:val="20"/>
          <w:rtl/>
        </w:rPr>
        <w:t>מיר</w:t>
      </w:r>
      <w:proofErr w:type="spellEnd"/>
      <w:r>
        <w:rPr>
          <w:sz w:val="20"/>
          <w:szCs w:val="20"/>
          <w:rtl/>
        </w:rPr>
        <w:t xml:space="preserve"> שהתלוו אליו: “לכל המעלות האלו, שאנו צריכים לימוד המוסר, בכדי להגיע אליהן... רבי שמעון זצ״ל הגיע לכל המעלות האלו ישירות ע״י הלימוד של ‘שור שנגח את הפרה’” (ראה פרק 3, הפסקה הראשונה של נספח </w:t>
      </w:r>
      <w:proofErr w:type="spellStart"/>
      <w:r>
        <w:rPr>
          <w:sz w:val="20"/>
          <w:szCs w:val="20"/>
          <w:rtl/>
        </w:rPr>
        <w:t>יח</w:t>
      </w:r>
      <w:proofErr w:type="spellEnd"/>
      <w:r>
        <w:rPr>
          <w:sz w:val="20"/>
          <w:szCs w:val="20"/>
          <w:rtl/>
        </w:rPr>
        <w:t>).</w:t>
      </w:r>
    </w:p>
  </w:footnote>
  <w:footnote w:id="4707">
    <w:p w14:paraId="620AE70A"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 xml:space="preserve">הערת המתרגם לעניין זיהוי התלמידים כתלמידי ישיבת </w:t>
      </w:r>
      <w:proofErr w:type="spellStart"/>
      <w:r>
        <w:rPr>
          <w:sz w:val="20"/>
          <w:szCs w:val="20"/>
          <w:rtl/>
        </w:rPr>
        <w:t>מיר</w:t>
      </w:r>
      <w:proofErr w:type="spellEnd"/>
      <w:r>
        <w:rPr>
          <w:sz w:val="20"/>
          <w:szCs w:val="20"/>
          <w:rtl/>
        </w:rPr>
        <w:t xml:space="preserve">: במקור שם: “אמר רבי ירוחם זצ״ל לתלמידים בישיבה”, כלומר בישיבת </w:t>
      </w:r>
      <w:proofErr w:type="spellStart"/>
      <w:r>
        <w:rPr>
          <w:sz w:val="20"/>
          <w:szCs w:val="20"/>
          <w:rtl/>
        </w:rPr>
        <w:t>גרודנא</w:t>
      </w:r>
      <w:proofErr w:type="spellEnd"/>
      <w:r>
        <w:rPr>
          <w:sz w:val="20"/>
          <w:szCs w:val="20"/>
          <w:rtl/>
        </w:rPr>
        <w:t xml:space="preserve">, ואין שם זכר לתלמידי ישיבת </w:t>
      </w:r>
      <w:proofErr w:type="spellStart"/>
      <w:r>
        <w:rPr>
          <w:sz w:val="20"/>
          <w:szCs w:val="20"/>
          <w:rtl/>
        </w:rPr>
        <w:t>מיר</w:t>
      </w:r>
      <w:proofErr w:type="spellEnd"/>
      <w:r>
        <w:rPr>
          <w:sz w:val="20"/>
          <w:szCs w:val="20"/>
          <w:rtl/>
        </w:rPr>
        <w:t>.</w:t>
      </w:r>
    </w:p>
  </w:footnote>
  <w:footnote w:id="4708">
    <w:p w14:paraId="574E45F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סוף נספח </w:t>
      </w:r>
      <w:proofErr w:type="spellStart"/>
      <w:r>
        <w:rPr>
          <w:sz w:val="20"/>
          <w:szCs w:val="20"/>
          <w:rtl/>
        </w:rPr>
        <w:t>כט</w:t>
      </w:r>
      <w:proofErr w:type="spellEnd"/>
      <w:r>
        <w:rPr>
          <w:sz w:val="20"/>
          <w:szCs w:val="20"/>
          <w:rtl/>
        </w:rPr>
        <w:t xml:space="preserve"> – עמ׳ 167.</w:t>
      </w:r>
    </w:p>
  </w:footnote>
  <w:footnote w:id="4709">
    <w:p w14:paraId="70DF25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כמובא לעיל </w:t>
      </w:r>
      <w:proofErr w:type="spellStart"/>
      <w:r>
        <w:rPr>
          <w:sz w:val="20"/>
          <w:szCs w:val="20"/>
          <w:rtl/>
        </w:rPr>
        <w:t>מ“פני</w:t>
      </w:r>
      <w:proofErr w:type="spellEnd"/>
      <w:r>
        <w:rPr>
          <w:sz w:val="20"/>
          <w:szCs w:val="20"/>
          <w:rtl/>
        </w:rPr>
        <w:t xml:space="preserve"> יהושע” בהערת שוליים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10">
    <w:p w14:paraId="3B9CEA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השנייה של נספח ז.</w:t>
      </w:r>
    </w:p>
  </w:footnote>
  <w:footnote w:id="4711">
    <w:p w14:paraId="0DE45E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בקיצור זה (וכו׳) רמז הלשם למילים האחרונות של תפילת רבי יהודה הנשיא בשעת פטירתו, </w:t>
      </w:r>
      <w:proofErr w:type="spellStart"/>
      <w:r>
        <w:rPr>
          <w:sz w:val="20"/>
          <w:szCs w:val="20"/>
          <w:rtl/>
        </w:rPr>
        <w:t>כש“זקף</w:t>
      </w:r>
      <w:proofErr w:type="spellEnd"/>
      <w:r>
        <w:rPr>
          <w:sz w:val="20"/>
          <w:szCs w:val="20"/>
          <w:rtl/>
        </w:rPr>
        <w:t xml:space="preserve"> עשר אצבעותיו כלפי מעלה”, כמובא בכתובות קד ע״א: “רבש״ע גלוי וידוע לפניך שיגעתי בעשר </w:t>
      </w:r>
      <w:proofErr w:type="spellStart"/>
      <w:r>
        <w:rPr>
          <w:sz w:val="20"/>
          <w:szCs w:val="20"/>
          <w:rtl/>
        </w:rPr>
        <w:t>אצבעותי</w:t>
      </w:r>
      <w:proofErr w:type="spellEnd"/>
      <w:r>
        <w:rPr>
          <w:sz w:val="20"/>
          <w:szCs w:val="20"/>
          <w:rtl/>
        </w:rPr>
        <w:t xml:space="preserve"> בתורה ולא נהניתי [מן העולם הזה] אפילו באצבע קטנה”.</w:t>
      </w:r>
    </w:p>
  </w:footnote>
  <w:footnote w:id="4712">
    <w:p w14:paraId="0CFA97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שר׳ שמעון ראה את עצמו כממשיך דרכו של ר׳ ישראל בניסיון לבלום את חדירת ההשכלה. ראה פרק 3, תחילת נספח </w:t>
      </w:r>
      <w:proofErr w:type="spellStart"/>
      <w:r>
        <w:rPr>
          <w:sz w:val="20"/>
          <w:szCs w:val="20"/>
          <w:rtl/>
        </w:rPr>
        <w:t>יט</w:t>
      </w:r>
      <w:proofErr w:type="spellEnd"/>
      <w:r>
        <w:rPr>
          <w:sz w:val="20"/>
          <w:szCs w:val="20"/>
          <w:rtl/>
        </w:rPr>
        <w:t>, כיצד הגדיר רבנו את מטרת חייו של ר׳ ישראל: ר׳ ישראל – בדרך גדולה, בהנהגת השקפת חיים חדשה, השקפת המוסר; ור׳ שמעון – בדרך קטנה, בפתיחת מוחות צעירים [ומודרניים] לדרכים פילוסופיות חדשות לניתוח סוגיות התלמוד.</w:t>
      </w:r>
    </w:p>
  </w:footnote>
  <w:footnote w:id="4713">
    <w:p w14:paraId="049BD9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המרואיין לא פירט מה היו סיבות אלה. השווה גם “</w:t>
      </w:r>
      <w:proofErr w:type="spellStart"/>
      <w:r>
        <w:rPr>
          <w:sz w:val="20"/>
          <w:szCs w:val="20"/>
          <w:rtl/>
        </w:rPr>
        <w:t>ממעיני</w:t>
      </w:r>
      <w:proofErr w:type="spellEnd"/>
      <w:r>
        <w:rPr>
          <w:sz w:val="20"/>
          <w:szCs w:val="20"/>
          <w:rtl/>
        </w:rPr>
        <w:t xml:space="preserve"> הרב” (שם, עמ׳ </w:t>
      </w:r>
      <w:r>
        <w:rPr>
          <w:sz w:val="20"/>
          <w:szCs w:val="20"/>
          <w:rtl/>
        </w:rPr>
        <w:fldChar w:fldCharType="begin" w:dirty="true"/>
      </w:r>
      <w:r>
        <w:rPr>
          <w:sz w:val="20"/>
          <w:szCs w:val="20"/>
          <w:rtl/>
        </w:rPr>
        <w:instrText xml:space="preserve"> PAGEREF pr_f_122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pr_f_122 \h </w:instrText>
      </w:r>
      <w:r>
        <w:rPr>
          <w:sz w:val="20"/>
          <w:szCs w:val="20"/>
          <w:rtl/>
        </w:rPr>
      </w:r>
      <w:r>
        <w:rPr>
          <w:sz w:val="20"/>
          <w:szCs w:val="20"/>
          <w:rtl/>
        </w:rPr>
        <w:fldChar w:fldCharType="separate"/>
      </w:r>
      <w:r w:rsidR="007923E9">
        <w:rPr>
          <w:sz w:val="20"/>
          <w:szCs w:val="20"/>
          <w:rtl/>
        </w:rPr>
        <w:t>67</w:t>
      </w:r>
      <w:r>
        <w:rPr>
          <w:sz w:val="20"/>
          <w:szCs w:val="20"/>
          <w:rtl/>
        </w:rPr>
        <w:fldChar w:fldCharType="end"/>
      </w:r>
      <w:r>
        <w:rPr>
          <w:sz w:val="20"/>
          <w:szCs w:val="20"/>
          <w:rtl/>
        </w:rPr>
        <w:t>), עמ׳ רכב.</w:t>
      </w:r>
    </w:p>
  </w:footnote>
  <w:footnote w:id="4714">
    <w:p w14:paraId="69E25B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w:t>
      </w:r>
    </w:p>
  </w:footnote>
  <w:footnote w:id="4715">
    <w:p w14:paraId="2BD77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256.</w:t>
      </w:r>
    </w:p>
  </w:footnote>
  <w:footnote w:id="4716">
    <w:p w14:paraId="04C32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pr_f_1539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585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pr_f_1539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שבה נרשמה הצעתו הנועזת של ר׳ מרדכי צוקרמן בשאלה מדוע עזב ר׳ ישראל את ליטא</w:t>
      </w:r>
      <w:r>
        <w:rPr>
          <w:sz w:val="20"/>
          <w:szCs w:val="20"/>
          <w:rtl/>
        </w:rPr>
        <w:t xml:space="preserve">. הצעה זו שוללת את השימוש במעשה ר׳ ישראל כתקדים למצבו של ר׳ שמעון </w:t>
      </w:r>
      <w:proofErr w:type="spellStart"/>
      <w:r>
        <w:rPr>
          <w:sz w:val="20"/>
          <w:szCs w:val="20"/>
          <w:rtl/>
        </w:rPr>
        <w:t>שקופ</w:t>
      </w:r>
      <w:proofErr w:type="spellEnd"/>
      <w:r>
        <w:rPr>
          <w:sz w:val="20"/>
          <w:szCs w:val="20"/>
          <w:rtl/>
        </w:rPr>
        <w:t>, אך היא דחוקה למדי מכל מקום.</w:t>
      </w:r>
    </w:p>
  </w:footnote>
  <w:footnote w:id="4717">
    <w:p w14:paraId="4D3155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השנייה של נספח ב – עמ׳ 181–182.</w:t>
      </w:r>
    </w:p>
  </w:footnote>
  <w:footnote w:id="4718">
    <w:p w14:paraId="78A6DC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של נספח ט: גם ר׳ חיים </w:t>
      </w:r>
      <w:proofErr w:type="spellStart"/>
      <w:r>
        <w:rPr>
          <w:sz w:val="20"/>
          <w:szCs w:val="20"/>
          <w:rtl/>
        </w:rPr>
        <w:t>סולובייצ׳יק</w:t>
      </w:r>
      <w:proofErr w:type="spellEnd"/>
      <w:r>
        <w:rPr>
          <w:sz w:val="20"/>
          <w:szCs w:val="20"/>
          <w:rtl/>
        </w:rPr>
        <w:t xml:space="preserve"> סבר </w:t>
      </w:r>
      <w:proofErr w:type="spellStart"/>
      <w:r>
        <w:rPr>
          <w:sz w:val="20"/>
          <w:szCs w:val="20"/>
          <w:rtl/>
        </w:rPr>
        <w:t>ש“כל</w:t>
      </w:r>
      <w:proofErr w:type="spellEnd"/>
      <w:r>
        <w:rPr>
          <w:sz w:val="20"/>
          <w:szCs w:val="20"/>
          <w:rtl/>
        </w:rPr>
        <w:t xml:space="preserve"> אדם שיש לו השפעה, מרובה או </w:t>
      </w:r>
      <w:proofErr w:type="spellStart"/>
      <w:r>
        <w:rPr>
          <w:sz w:val="20"/>
          <w:szCs w:val="20"/>
          <w:rtl/>
        </w:rPr>
        <w:t>מועטת</w:t>
      </w:r>
      <w:proofErr w:type="spellEnd"/>
      <w:r>
        <w:rPr>
          <w:sz w:val="20"/>
          <w:szCs w:val="20"/>
          <w:rtl/>
        </w:rPr>
        <w:t>, צריך לנסוע לאמריקה... ולחפש דרכים לשפר את המצב הרוחני שם”.</w:t>
      </w:r>
    </w:p>
  </w:footnote>
  <w:footnote w:id="4719">
    <w:p w14:paraId="346663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בתחתית עמ׳ 419.</w:t>
      </w:r>
    </w:p>
  </w:footnote>
  <w:footnote w:id="4720">
    <w:p w14:paraId="57167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מ־27 באפריל 1993.</w:t>
      </w:r>
    </w:p>
  </w:footnote>
  <w:footnote w:id="4721">
    <w:p w14:paraId="1505D1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השנייה של נספח </w:t>
      </w:r>
      <w:proofErr w:type="spellStart"/>
      <w:r>
        <w:rPr>
          <w:sz w:val="20"/>
          <w:szCs w:val="20"/>
          <w:rtl/>
        </w:rPr>
        <w:t>טז</w:t>
      </w:r>
      <w:proofErr w:type="spellEnd"/>
      <w:r>
        <w:rPr>
          <w:sz w:val="20"/>
          <w:szCs w:val="20"/>
          <w:rtl/>
        </w:rPr>
        <w:t xml:space="preserve"> – עמ׳ 30.</w:t>
      </w:r>
    </w:p>
  </w:footnote>
  <w:footnote w:id="4722">
    <w:p w14:paraId="1B3531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כץ, “תנועת המוסר”, כרך ה, עמ׳ 202; והערות 106, 110 ו־111 בפרק 4 של ספר זה.</w:t>
      </w:r>
    </w:p>
  </w:footnote>
  <w:footnote w:id="4723">
    <w:p w14:paraId="62B19E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ויש לזה שם רפואה שמתיר העישון ביו״ט שני, כנ״ל בעמ׳ </w:t>
      </w:r>
      <w:r>
        <w:rPr>
          <w:sz w:val="20"/>
          <w:szCs w:val="20"/>
          <w:rtl/>
        </w:rPr>
        <w:fldChar w:fldCharType="begin" w:dirty="true"/>
      </w:r>
      <w:r>
        <w:rPr>
          <w:sz w:val="20"/>
          <w:szCs w:val="20"/>
          <w:rtl/>
        </w:rPr>
        <w:instrText xml:space="preserve"> PAGEREF pr_f_4569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בהערת־שוליים</w:t>
      </w:r>
      <w:proofErr w:type="spellEnd"/>
      <w:r>
        <w:rPr>
          <w:sz w:val="20"/>
          <w:szCs w:val="20"/>
          <w:rtl/>
        </w:rPr>
        <w:t xml:space="preserve"> </w:t>
      </w:r>
      <w:r>
        <w:rPr>
          <w:sz w:val="20"/>
          <w:szCs w:val="20"/>
          <w:rtl/>
        </w:rPr>
        <w:fldChar w:fldCharType="begin" w:dirty="true"/>
      </w:r>
      <w:r>
        <w:rPr>
          <w:sz w:val="20"/>
          <w:szCs w:val="20"/>
          <w:rtl/>
        </w:rPr>
        <w:instrText xml:space="preserve"> NOTEREF pr_f_4569 \h </w:instrText>
      </w:r>
      <w:r>
        <w:rPr>
          <w:sz w:val="20"/>
          <w:szCs w:val="20"/>
          <w:rtl/>
        </w:rPr>
      </w:r>
      <w:r>
        <w:rPr>
          <w:sz w:val="20"/>
          <w:szCs w:val="20"/>
          <w:rtl/>
        </w:rPr>
        <w:fldChar w:fldCharType="separate"/>
      </w:r>
      <w:r w:rsidR="007923E9">
        <w:rPr>
          <w:sz w:val="20"/>
          <w:szCs w:val="20"/>
          <w:rtl/>
        </w:rPr>
        <w:t>223</w:t>
      </w:r>
      <w:r>
        <w:rPr>
          <w:sz w:val="20"/>
          <w:szCs w:val="20"/>
          <w:rtl/>
        </w:rPr>
        <w:fldChar w:fldCharType="end"/>
      </w:r>
      <w:r>
        <w:rPr>
          <w:sz w:val="20"/>
          <w:szCs w:val="20"/>
          <w:rtl/>
        </w:rPr>
        <w:t xml:space="preserve"> שבעברית.</w:t>
      </w:r>
    </w:p>
  </w:footnote>
  <w:footnote w:id="4724">
    <w:p w14:paraId="53234F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רשימות ר׳ נתן שטרן.</w:t>
      </w:r>
    </w:p>
  </w:footnote>
  <w:footnote w:id="4725">
    <w:p w14:paraId="0CAE3D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להלן.</w:t>
      </w:r>
    </w:p>
  </w:footnote>
  <w:footnote w:id="4726">
    <w:p w14:paraId="1385492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ד.</w:t>
      </w:r>
    </w:p>
  </w:footnote>
  <w:footnote w:id="4727">
    <w:p w14:paraId="7B5302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הערה 48.</w:t>
      </w:r>
    </w:p>
  </w:footnote>
  <w:footnote w:id="4728">
    <w:p w14:paraId="3AA04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הפסקה האחרונה של נספח ד – כרך ב, עמ׳ </w:t>
      </w:r>
      <w:proofErr w:type="spellStart"/>
      <w:r>
        <w:rPr>
          <w:sz w:val="20"/>
          <w:szCs w:val="20"/>
          <w:rtl/>
        </w:rPr>
        <w:t>תשפט</w:t>
      </w:r>
      <w:proofErr w:type="spellEnd"/>
      <w:r>
        <w:rPr>
          <w:sz w:val="20"/>
          <w:szCs w:val="20"/>
          <w:rtl/>
        </w:rPr>
        <w:t>, אות מ.</w:t>
      </w:r>
    </w:p>
  </w:footnote>
  <w:footnote w:id="4729">
    <w:p w14:paraId="32C2E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שאבי שמע על </w:t>
      </w:r>
      <w:proofErr w:type="spellStart"/>
      <w:r>
        <w:rPr>
          <w:sz w:val="20"/>
          <w:szCs w:val="20"/>
          <w:rtl/>
        </w:rPr>
        <w:t>נגרותו</w:t>
      </w:r>
      <w:proofErr w:type="spellEnd"/>
      <w:r>
        <w:rPr>
          <w:sz w:val="20"/>
          <w:szCs w:val="20"/>
          <w:rtl/>
        </w:rPr>
        <w:t xml:space="preserve"> של ר׳ ישראל גם מפי ר׳ נפתלי, מלבד תלמיד </w:t>
      </w:r>
      <w:proofErr w:type="spellStart"/>
      <w:r>
        <w:rPr>
          <w:sz w:val="20"/>
          <w:szCs w:val="20"/>
          <w:rtl/>
        </w:rPr>
        <w:t>סלבודקה</w:t>
      </w:r>
      <w:proofErr w:type="spellEnd"/>
      <w:r>
        <w:rPr>
          <w:sz w:val="20"/>
          <w:szCs w:val="20"/>
          <w:rtl/>
        </w:rPr>
        <w:t>.</w:t>
      </w:r>
    </w:p>
  </w:footnote>
  <w:footnote w:id="4730">
    <w:p w14:paraId="7B602C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ב – עמ׳ 5.</w:t>
      </w:r>
    </w:p>
  </w:footnote>
  <w:footnote w:id="4731">
    <w:p w14:paraId="33993A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נספח </w:t>
      </w:r>
      <w:proofErr w:type="spellStart"/>
      <w:r>
        <w:rPr>
          <w:sz w:val="20"/>
          <w:szCs w:val="20"/>
          <w:rtl/>
        </w:rPr>
        <w:t>יט</w:t>
      </w:r>
      <w:proofErr w:type="spellEnd"/>
      <w:r>
        <w:rPr>
          <w:sz w:val="20"/>
          <w:szCs w:val="20"/>
          <w:rtl/>
        </w:rPr>
        <w:t xml:space="preserve">. ראה גם הערת שוליים </w:t>
      </w:r>
      <w:r>
        <w:rPr>
          <w:sz w:val="20"/>
          <w:szCs w:val="20"/>
          <w:rtl/>
        </w:rPr>
        <w:fldChar w:fldCharType="begin" w:dirty="true"/>
      </w:r>
      <w:r>
        <w:rPr>
          <w:sz w:val="20"/>
          <w:szCs w:val="20"/>
          <w:rtl/>
        </w:rPr>
        <w:instrText xml:space="preserve"> NOTEREF pr_f_4622 \h </w:instrText>
      </w:r>
      <w:r>
        <w:rPr>
          <w:sz w:val="20"/>
          <w:szCs w:val="20"/>
          <w:rtl/>
        </w:rPr>
      </w:r>
      <w:r>
        <w:rPr>
          <w:sz w:val="20"/>
          <w:szCs w:val="20"/>
          <w:rtl/>
        </w:rPr>
        <w:fldChar w:fldCharType="separate"/>
      </w:r>
      <w:r w:rsidR="007923E9">
        <w:rPr>
          <w:sz w:val="20"/>
          <w:szCs w:val="20"/>
          <w:rtl/>
        </w:rPr>
        <w:t>276</w:t>
      </w:r>
      <w:r>
        <w:rPr>
          <w:sz w:val="20"/>
          <w:szCs w:val="20"/>
          <w:rtl/>
        </w:rPr>
        <w:fldChar w:fldCharType="end"/>
      </w:r>
      <w:r>
        <w:rPr>
          <w:sz w:val="20"/>
          <w:szCs w:val="20"/>
          <w:rtl/>
        </w:rPr>
        <w:t xml:space="preserve"> להלן.</w:t>
      </w:r>
    </w:p>
  </w:footnote>
  <w:footnote w:id="4732">
    <w:p w14:paraId="1867B7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69.</w:t>
      </w:r>
    </w:p>
  </w:footnote>
  <w:footnote w:id="4733">
    <w:p w14:paraId="5E0883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במשנה ברורה סי׳ תרי״ח </w:t>
      </w:r>
      <w:proofErr w:type="spellStart"/>
      <w:r>
        <w:rPr>
          <w:sz w:val="20"/>
          <w:szCs w:val="20"/>
          <w:rtl/>
        </w:rPr>
        <w:t>ס״ק</w:t>
      </w:r>
      <w:proofErr w:type="spellEnd"/>
      <w:r>
        <w:rPr>
          <w:sz w:val="20"/>
          <w:szCs w:val="20"/>
          <w:rtl/>
        </w:rPr>
        <w:t xml:space="preserve"> כ״ט שהאוכל ביוה״כ אינו עושה קידוש, ועיין </w:t>
      </w:r>
      <w:proofErr w:type="spellStart"/>
      <w:r>
        <w:rPr>
          <w:sz w:val="20"/>
          <w:szCs w:val="20"/>
          <w:rtl/>
        </w:rPr>
        <w:t>בהג</w:t>
      </w:r>
      <w:proofErr w:type="spellEnd"/>
      <w:r>
        <w:rPr>
          <w:sz w:val="20"/>
          <w:szCs w:val="20"/>
          <w:rtl/>
        </w:rPr>
        <w:t>׳ רע״א שם שכשחל בשבת שאני.</w:t>
      </w:r>
    </w:p>
  </w:footnote>
  <w:footnote w:id="4734">
    <w:p w14:paraId="07A5BA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13.</w:t>
      </w:r>
    </w:p>
  </w:footnote>
  <w:footnote w:id="4735">
    <w:p w14:paraId="7BF616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w:t>
      </w:r>
    </w:p>
  </w:footnote>
  <w:footnote w:id="4736">
    <w:p w14:paraId="2ACCB5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“עיר </w:t>
      </w:r>
      <w:proofErr w:type="spellStart"/>
      <w:r>
        <w:rPr>
          <w:sz w:val="20"/>
          <w:szCs w:val="20"/>
          <w:rtl/>
        </w:rPr>
        <w:t>ווילנא</w:t>
      </w:r>
      <w:proofErr w:type="spellEnd"/>
      <w:r>
        <w:rPr>
          <w:sz w:val="20"/>
          <w:szCs w:val="20"/>
          <w:rtl/>
        </w:rPr>
        <w:t xml:space="preserve">”, מאת הלל נח </w:t>
      </w:r>
      <w:proofErr w:type="spellStart"/>
      <w:r>
        <w:rPr>
          <w:sz w:val="20"/>
          <w:szCs w:val="20"/>
          <w:rtl/>
        </w:rPr>
        <w:t>שטיינשניידער</w:t>
      </w:r>
      <w:proofErr w:type="spellEnd"/>
      <w:r>
        <w:rPr>
          <w:sz w:val="20"/>
          <w:szCs w:val="20"/>
          <w:rtl/>
        </w:rPr>
        <w:t xml:space="preserve"> (</w:t>
      </w:r>
      <w:proofErr w:type="spellStart"/>
      <w:r>
        <w:rPr>
          <w:sz w:val="20"/>
          <w:szCs w:val="20"/>
          <w:rtl/>
        </w:rPr>
        <w:t>וילנא</w:t>
      </w:r>
      <w:proofErr w:type="spellEnd"/>
      <w:r>
        <w:rPr>
          <w:sz w:val="20"/>
          <w:szCs w:val="20"/>
          <w:rtl/>
        </w:rPr>
        <w:t xml:space="preserve">, תר״ס), עמ׳ 130.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רואה בסיפור המסופר שם אגדה (ראה הפסקה השישית להלן), ואילו אני תומך במסורת אבי (ראה הפסקה החמישית להלן).</w:t>
      </w:r>
    </w:p>
  </w:footnote>
  <w:footnote w:id="4737">
    <w:p w14:paraId="0A5EE7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האחרונה של נספח ד; השווה עמ׳ 159–161 והערות השוליים שם בעניין המקורות.</w:t>
      </w:r>
    </w:p>
  </w:footnote>
  <w:footnote w:id="4738">
    <w:p w14:paraId="75D77F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w:t>
      </w:r>
    </w:p>
  </w:footnote>
  <w:footnote w:id="4739">
    <w:p w14:paraId="673840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pr_f_4625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279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pr_f_4625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4740">
    <w:p w14:paraId="742111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741">
    <w:p w14:paraId="33A690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742">
    <w:p w14:paraId="18088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מ־25 בספטמבר 1992.</w:t>
      </w:r>
    </w:p>
  </w:footnote>
  <w:footnote w:id="4743">
    <w:p w14:paraId="1AF81E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 זה קרוב לגיל שמסרה הסוכנות הטלגרפית היהודית בשעת פטירתו (לפי “</w:t>
      </w:r>
      <w:proofErr w:type="spellStart"/>
      <w:r>
        <w:rPr>
          <w:sz w:val="20"/>
          <w:szCs w:val="20"/>
          <w:rtl/>
        </w:rPr>
        <w:t>החפץ־חיים</w:t>
      </w:r>
      <w:proofErr w:type="spellEnd"/>
      <w:r>
        <w:rPr>
          <w:sz w:val="20"/>
          <w:szCs w:val="20"/>
          <w:rtl/>
        </w:rPr>
        <w:t>”, עמ׳ 793), היינו 105. ראה גם הערת השוליים שם.</w:t>
      </w:r>
    </w:p>
  </w:footnote>
  <w:footnote w:id="4744">
    <w:p w14:paraId="3BBAE7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265–266.</w:t>
      </w:r>
    </w:p>
  </w:footnote>
  <w:footnote w:id="4745">
    <w:p w14:paraId="0C41365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“יתד נאמן”, גיליון לחג הפסח תשנ״ח, עמ׳ 51, מאמר מאת הרב דב </w:t>
      </w:r>
      <w:proofErr w:type="spellStart"/>
      <w:r>
        <w:rPr>
          <w:sz w:val="20"/>
          <w:szCs w:val="20"/>
          <w:rtl/>
        </w:rPr>
        <w:t>אליאך</w:t>
      </w:r>
      <w:proofErr w:type="spellEnd"/>
      <w:r>
        <w:rPr>
          <w:sz w:val="20"/>
          <w:szCs w:val="20"/>
          <w:rtl/>
        </w:rPr>
        <w:t xml:space="preserve"> מתוך ספרו שעמד לצאת, “הגאון – חייו ומשנתו”.</w:t>
      </w:r>
    </w:p>
  </w:footnote>
  <w:footnote w:id="4746">
    <w:p w14:paraId="3CCDF2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פ״ד </w:t>
      </w:r>
      <w:proofErr w:type="spellStart"/>
      <w:r>
        <w:rPr>
          <w:sz w:val="20"/>
          <w:szCs w:val="20"/>
          <w:rtl/>
        </w:rPr>
        <w:t>ה״ד</w:t>
      </w:r>
      <w:proofErr w:type="spellEnd"/>
      <w:r>
        <w:rPr>
          <w:sz w:val="20"/>
          <w:szCs w:val="20"/>
          <w:rtl/>
        </w:rPr>
        <w:t xml:space="preserve"> מהלכות תשובה.</w:t>
      </w:r>
    </w:p>
  </w:footnote>
  <w:footnote w:id="4747">
    <w:p w14:paraId="43DC3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מאת בנימין אדלר (הוצאת </w:t>
      </w:r>
      <w:proofErr w:type="spellStart"/>
      <w:r>
        <w:rPr>
          <w:sz w:val="20"/>
          <w:szCs w:val="20"/>
          <w:rtl/>
        </w:rPr>
        <w:t>פלדהיים</w:t>
      </w:r>
      <w:proofErr w:type="spellEnd"/>
      <w:r>
        <w:rPr>
          <w:sz w:val="20"/>
          <w:szCs w:val="20"/>
          <w:rtl/>
        </w:rPr>
        <w:t xml:space="preserve">, ירושלים, תשל״ח), עמ׳ </w:t>
      </w:r>
      <w:proofErr w:type="spellStart"/>
      <w:r>
        <w:rPr>
          <w:sz w:val="20"/>
          <w:szCs w:val="20"/>
          <w:rtl/>
        </w:rPr>
        <w:t>רג</w:t>
      </w:r>
      <w:proofErr w:type="spellEnd"/>
      <w:r>
        <w:rPr>
          <w:sz w:val="20"/>
          <w:szCs w:val="20"/>
          <w:rtl/>
        </w:rPr>
        <w:t>, הערה 90.</w:t>
      </w:r>
    </w:p>
  </w:footnote>
  <w:footnote w:id="4748">
    <w:p w14:paraId="72CA21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יש ספק </w:t>
      </w:r>
      <w:proofErr w:type="spellStart"/>
      <w:r>
        <w:rPr>
          <w:sz w:val="20"/>
          <w:szCs w:val="20"/>
          <w:rtl/>
        </w:rPr>
        <w:t>בפמ״ג</w:t>
      </w:r>
      <w:proofErr w:type="spellEnd"/>
      <w:r>
        <w:rPr>
          <w:sz w:val="20"/>
          <w:szCs w:val="20"/>
          <w:rtl/>
        </w:rPr>
        <w:t xml:space="preserve"> אם לברך שהחיינו על הגעה לגיל שבעים. (</w:t>
      </w:r>
      <w:proofErr w:type="spellStart"/>
      <w:r>
        <w:rPr>
          <w:sz w:val="20"/>
          <w:szCs w:val="20"/>
          <w:rtl/>
        </w:rPr>
        <w:t>בשו״ת</w:t>
      </w:r>
      <w:proofErr w:type="spellEnd"/>
      <w:r>
        <w:rPr>
          <w:sz w:val="20"/>
          <w:szCs w:val="20"/>
          <w:rtl/>
        </w:rPr>
        <w:t xml:space="preserve"> </w:t>
      </w:r>
      <w:proofErr w:type="spellStart"/>
      <w:r>
        <w:rPr>
          <w:sz w:val="20"/>
          <w:szCs w:val="20"/>
          <w:rtl/>
        </w:rPr>
        <w:t>חות</w:t>
      </w:r>
      <w:proofErr w:type="spellEnd"/>
      <w:r>
        <w:rPr>
          <w:sz w:val="20"/>
          <w:szCs w:val="20"/>
          <w:rtl/>
        </w:rPr>
        <w:t xml:space="preserve"> יאיר סימן ע על מה נקראת סעודת מצוה, כותב, “סעודת </w:t>
      </w:r>
      <w:proofErr w:type="spellStart"/>
      <w:r>
        <w:rPr>
          <w:sz w:val="20"/>
          <w:szCs w:val="20"/>
          <w:rtl/>
        </w:rPr>
        <w:t>בן־שבעים</w:t>
      </w:r>
      <w:proofErr w:type="spellEnd"/>
      <w:r>
        <w:rPr>
          <w:sz w:val="20"/>
          <w:szCs w:val="20"/>
          <w:rtl/>
        </w:rPr>
        <w:t xml:space="preserve"> יש להסתפק [אם היא סעודת מצוה] אפי׳ זה </w:t>
      </w:r>
      <w:proofErr w:type="spellStart"/>
      <w:r>
        <w:rPr>
          <w:sz w:val="20"/>
          <w:szCs w:val="20"/>
          <w:rtl/>
        </w:rPr>
        <w:t>הבן־שבעים</w:t>
      </w:r>
      <w:proofErr w:type="spellEnd"/>
      <w:r>
        <w:rPr>
          <w:sz w:val="20"/>
          <w:szCs w:val="20"/>
          <w:rtl/>
        </w:rPr>
        <w:t xml:space="preserve"> מברך שהחיינו כי כך נ״ל [שצריך].”)</w:t>
      </w:r>
    </w:p>
  </w:footnote>
  <w:footnote w:id="4749">
    <w:p w14:paraId="4F870F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נספח ב – עמ׳ 282.</w:t>
      </w:r>
    </w:p>
  </w:footnote>
  <w:footnote w:id="4750">
    <w:p w14:paraId="0B7BAE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w:t>
      </w:r>
      <w:proofErr w:type="spellStart"/>
      <w:r>
        <w:rPr>
          <w:sz w:val="20"/>
          <w:szCs w:val="20"/>
          <w:rtl/>
        </w:rPr>
        <w:t>החפץ־חיים</w:t>
      </w:r>
      <w:proofErr w:type="spellEnd"/>
      <w:r>
        <w:rPr>
          <w:sz w:val="20"/>
          <w:szCs w:val="20"/>
          <w:rtl/>
        </w:rPr>
        <w:t xml:space="preserve">”, עמ׳ 54, “היה רגיל לצטט את הפסוק ‘יוסף בן </w:t>
      </w:r>
      <w:proofErr w:type="spellStart"/>
      <w:r>
        <w:rPr>
          <w:sz w:val="20"/>
          <w:szCs w:val="20"/>
          <w:rtl/>
        </w:rPr>
        <w:t>שבע־עשרה</w:t>
      </w:r>
      <w:proofErr w:type="spellEnd"/>
      <w:r>
        <w:rPr>
          <w:sz w:val="20"/>
          <w:szCs w:val="20"/>
          <w:rtl/>
        </w:rPr>
        <w:t xml:space="preserve"> שנה היה רועה את אחיו בצאן’ [בראשית </w:t>
      </w:r>
      <w:proofErr w:type="spellStart"/>
      <w:r>
        <w:rPr>
          <w:sz w:val="20"/>
          <w:szCs w:val="20"/>
          <w:rtl/>
        </w:rPr>
        <w:t>לז</w:t>
      </w:r>
      <w:proofErr w:type="spellEnd"/>
      <w:r>
        <w:rPr>
          <w:sz w:val="20"/>
          <w:szCs w:val="20"/>
          <w:rtl/>
        </w:rPr>
        <w:t xml:space="preserve">, ב]”, במובן שנישא בן </w:t>
      </w:r>
      <w:proofErr w:type="spellStart"/>
      <w:r>
        <w:rPr>
          <w:sz w:val="20"/>
          <w:szCs w:val="20"/>
          <w:rtl/>
        </w:rPr>
        <w:t>שבע־עשרה</w:t>
      </w:r>
      <w:proofErr w:type="spellEnd"/>
      <w:r>
        <w:rPr>
          <w:sz w:val="20"/>
          <w:szCs w:val="20"/>
          <w:rtl/>
        </w:rPr>
        <w:t xml:space="preserve"> ועזב את בית הוריו כדי לעמוד ברשות עצמו. </w:t>
      </w:r>
      <w:proofErr w:type="spellStart"/>
      <w:r>
        <w:rPr>
          <w:sz w:val="20"/>
          <w:szCs w:val="20"/>
          <w:rtl/>
        </w:rPr>
        <w:t>אמו</w:t>
      </w:r>
      <w:proofErr w:type="spellEnd"/>
      <w:r>
        <w:rPr>
          <w:sz w:val="20"/>
          <w:szCs w:val="20"/>
          <w:rtl/>
        </w:rPr>
        <w:t xml:space="preserve"> האלמנה נישאה בשנית קודם לכן.</w:t>
      </w:r>
    </w:p>
  </w:footnote>
  <w:footnote w:id="4751">
    <w:p w14:paraId="22EADA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w:t>
      </w:r>
    </w:p>
  </w:footnote>
  <w:footnote w:id="4752">
    <w:p w14:paraId="26BC25A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הראשונה של נספח א – עמ׳ </w:t>
      </w:r>
      <w:proofErr w:type="spellStart"/>
      <w:r>
        <w:rPr>
          <w:sz w:val="20"/>
          <w:szCs w:val="20"/>
          <w:rtl/>
        </w:rPr>
        <w:t>רצב</w:t>
      </w:r>
      <w:proofErr w:type="spellEnd"/>
      <w:r>
        <w:rPr>
          <w:sz w:val="20"/>
          <w:szCs w:val="20"/>
          <w:rtl/>
        </w:rPr>
        <w:t>–</w:t>
      </w:r>
      <w:proofErr w:type="spellStart"/>
      <w:r>
        <w:rPr>
          <w:sz w:val="20"/>
          <w:szCs w:val="20"/>
          <w:rtl/>
        </w:rPr>
        <w:t>רצג</w:t>
      </w:r>
      <w:proofErr w:type="spellEnd"/>
      <w:r>
        <w:rPr>
          <w:sz w:val="20"/>
          <w:szCs w:val="20"/>
          <w:rtl/>
        </w:rPr>
        <w:t>.</w:t>
      </w:r>
    </w:p>
  </w:footnote>
  <w:footnote w:id="4753">
    <w:p w14:paraId="1AFE28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לעניין שיעורים אלה, הן של כמות הן של זמן, 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ריש סי׳ תרי״ב ס״ד וס״ט.</w:t>
      </w:r>
    </w:p>
  </w:footnote>
  <w:footnote w:id="4754">
    <w:p w14:paraId="2363A6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תרי״ח ס״ז. יש מסורת שר׳ חיים </w:t>
      </w:r>
      <w:proofErr w:type="spellStart"/>
      <w:r>
        <w:rPr>
          <w:sz w:val="20"/>
          <w:szCs w:val="20"/>
          <w:rtl/>
        </w:rPr>
        <w:t>סולובייצ׳יק</w:t>
      </w:r>
      <w:proofErr w:type="spellEnd"/>
      <w:r>
        <w:rPr>
          <w:sz w:val="20"/>
          <w:szCs w:val="20"/>
          <w:rtl/>
        </w:rPr>
        <w:t xml:space="preserve"> סבר שמי שכבר חולה רשאי לאכול שיעור שלם האסור, ואילו מי שרק עלול לחלות במחלה קטלנית מחמת הצום מוגבל לאכילה פחות </w:t>
      </w:r>
      <w:proofErr w:type="spellStart"/>
      <w:r>
        <w:rPr>
          <w:sz w:val="20"/>
          <w:szCs w:val="20"/>
          <w:rtl/>
        </w:rPr>
        <w:t>מכשיעור</w:t>
      </w:r>
      <w:proofErr w:type="spellEnd"/>
      <w:r>
        <w:rPr>
          <w:sz w:val="20"/>
          <w:szCs w:val="20"/>
          <w:rtl/>
        </w:rPr>
        <w:t xml:space="preserve">. במגפת הכולרה גם ר׳ חיים היה מסכים שהותר רק פחות </w:t>
      </w:r>
      <w:proofErr w:type="spellStart"/>
      <w:r>
        <w:rPr>
          <w:sz w:val="20"/>
          <w:szCs w:val="20"/>
          <w:rtl/>
        </w:rPr>
        <w:t>מכשיעור</w:t>
      </w:r>
      <w:proofErr w:type="spellEnd"/>
      <w:r>
        <w:rPr>
          <w:sz w:val="20"/>
          <w:szCs w:val="20"/>
          <w:rtl/>
        </w:rPr>
        <w:t>, שכן החשש לבריאות הציבור היה שהצום יחליש את עמידותם של האנשים ויגדיל את הסיכון שיידבקו בכולרה. לדעת ר׳ חיים רק מי שכבר חלו בכולרה – ולא היו באים לבית הכנסת לקבל הוראות – היו רשאים לאכול שיעור שלם.</w:t>
      </w:r>
    </w:p>
    <w:p w14:paraId="41053E42" w14:textId="77777777" w:rsidR="00AB3647" w:rsidRDefault="00000000">
      <w:pPr>
        <w:spacing w:after="0" w:before="0"/>
        <w:jc w:val="both"/>
      </w:pPr>
      <w:r>
        <w:rPr>
          <w:sz w:val="20"/>
          <w:szCs w:val="20"/>
          <w:rtl/>
        </w:rPr>
        <w:t xml:space="preserve">לפי הידע הרפואי של ימינו, שלמחלה יש תקופת דגירה, ייתכן שר׳ חיים היה מתיר לכל אדם לאכול שיעור שלם האסור בזמן מגפה, שכן כל אדם עלול להיות כבר חולה בלי לדעת זאת. אבל דבר זה לא היה ידוע בתחילת שנות </w:t>
      </w:r>
      <w:proofErr w:type="spellStart"/>
      <w:r>
        <w:rPr>
          <w:sz w:val="20"/>
          <w:szCs w:val="20"/>
          <w:rtl/>
        </w:rPr>
        <w:t>הת״ר</w:t>
      </w:r>
      <w:proofErr w:type="spellEnd"/>
      <w:r>
        <w:rPr>
          <w:sz w:val="20"/>
          <w:szCs w:val="20"/>
          <w:rtl/>
        </w:rPr>
        <w:t xml:space="preserve">, וכל הנוכחים </w:t>
      </w:r>
      <w:proofErr w:type="spellStart"/>
      <w:r>
        <w:rPr>
          <w:sz w:val="20"/>
          <w:szCs w:val="20"/>
          <w:rtl/>
        </w:rPr>
        <w:t>בזארעצ׳ר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נחשבו עדיין בריאים, ורק כמי שנתונים </w:t>
      </w:r>
      <w:r>
        <w:rPr>
          <w:b/>
          <w:bCs/>
          <w:sz w:val="20"/>
          <w:szCs w:val="20"/>
          <w:rtl/>
        </w:rPr>
        <w:t>בסכנה לחלות</w:t>
      </w:r>
      <w:r>
        <w:rPr>
          <w:sz w:val="20"/>
          <w:szCs w:val="20"/>
          <w:rtl/>
        </w:rPr>
        <w:t>.</w:t>
      </w:r>
    </w:p>
  </w:footnote>
  <w:footnote w:id="4755">
    <w:p w14:paraId="013238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הסיפור על אמונתם של מקצת החסידים בדבר סיבת השבץ של ר׳ ישראל, שנזכר בעמ׳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לא פורסם במאמר </w:t>
      </w:r>
      <w:proofErr w:type="spellStart"/>
      <w:r>
        <w:rPr>
          <w:sz w:val="20"/>
          <w:szCs w:val="20"/>
          <w:rtl/>
        </w:rPr>
        <w:t>גלדוורט</w:t>
      </w:r>
      <w:proofErr w:type="spellEnd"/>
      <w:r>
        <w:rPr>
          <w:sz w:val="20"/>
          <w:szCs w:val="20"/>
          <w:rtl/>
        </w:rPr>
        <w:t>.</w:t>
      </w:r>
    </w:p>
  </w:footnote>
  <w:footnote w:id="4756">
    <w:p w14:paraId="7EBCCD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יעקב מארק טוען גם שביום הכיפורים עצמו נזף בר׳ ישראל ר׳ בצלאל הכהן, </w:t>
      </w:r>
      <w:proofErr w:type="spellStart"/>
      <w:r>
        <w:rPr>
          <w:sz w:val="20"/>
          <w:szCs w:val="20"/>
          <w:rtl/>
        </w:rPr>
        <w:t>המ״ץ</w:t>
      </w:r>
      <w:proofErr w:type="spellEnd"/>
      <w:r>
        <w:rPr>
          <w:sz w:val="20"/>
          <w:szCs w:val="20"/>
          <w:rtl/>
        </w:rPr>
        <w:t xml:space="preserve"> הראשי של וילנה, על שהכריז שמי שחש חולשה רשאי לאכול בלי להתייעץ ברופא. ר׳ בצלאל היה צעיר מר׳ ישראל בעשר שנים, ומונה לתפקיד חמש שנים קודם לכן, בגיל עשרים ושלוש. מיד כשירד ר׳ ישראל מן הבימה עלה ר׳ בצלאל והביע את התנגדותו – לא לאופן התנהגותו של ר׳ ישראל, אלא לפסקו ההלכתי.</w:t>
      </w:r>
    </w:p>
    <w:p w14:paraId="2C23B4F0" w14:textId="77777777" w:rsidR="00AB3647" w:rsidRDefault="00000000">
      <w:pPr>
        <w:spacing w:after="0" w:before="0"/>
        <w:jc w:val="both"/>
      </w:pPr>
      <w:r>
        <w:rPr>
          <w:sz w:val="20"/>
          <w:szCs w:val="20"/>
          <w:rtl/>
        </w:rPr>
        <w:t xml:space="preserve">ייתכן שטעותו של יעקב מארק נבעה מתוספת לתשובת ר׳ בצלאל בעמ׳ לג–64 בספרו “ראשית בכורים”, שנדפס בווילנה עשרים שנה אחרי המאורעות האלה, </w:t>
      </w:r>
      <w:proofErr w:type="spellStart"/>
      <w:r>
        <w:rPr>
          <w:sz w:val="20"/>
          <w:szCs w:val="20"/>
          <w:rtl/>
        </w:rPr>
        <w:t>בתרכ״ט</w:t>
      </w:r>
      <w:proofErr w:type="spellEnd"/>
      <w:r>
        <w:rPr>
          <w:sz w:val="20"/>
          <w:szCs w:val="20"/>
          <w:rtl/>
        </w:rPr>
        <w:t>. שם הוא כותב: “הן יען כי כתבתי זאת [תשובה זו]” – והיא משתרעת מעמ׳ 44 עד עמ׳ 92 – “</w:t>
      </w:r>
      <w:proofErr w:type="spellStart"/>
      <w:r>
        <w:rPr>
          <w:sz w:val="20"/>
          <w:szCs w:val="20"/>
          <w:rtl/>
        </w:rPr>
        <w:t>בעז״ה</w:t>
      </w:r>
      <w:proofErr w:type="spellEnd"/>
      <w:r>
        <w:rPr>
          <w:sz w:val="20"/>
          <w:szCs w:val="20"/>
          <w:rtl/>
        </w:rPr>
        <w:t xml:space="preserve"> סמוך ליום הצום, ע״כ ראיתי לציין כאן דבר הנחוץ לידע לכל חולה שיש בו סכנה ח״ו”. הרב הכהן דן בשיעור המדויק של אוכל ומשקה שהחולים רשאים לאכול ולשתות, ובמרווחים שביניהם. אחר כך הוא כותב: “וראיתי להזכיר בדבר </w:t>
      </w:r>
      <w:proofErr w:type="spellStart"/>
      <w:r>
        <w:rPr>
          <w:sz w:val="20"/>
          <w:szCs w:val="20"/>
          <w:rtl/>
        </w:rPr>
        <w:t>מ״ש</w:t>
      </w:r>
      <w:proofErr w:type="spellEnd"/>
      <w:r>
        <w:rPr>
          <w:sz w:val="20"/>
          <w:szCs w:val="20"/>
          <w:rtl/>
        </w:rPr>
        <w:t xml:space="preserve"> הגאון בעל חתם סופר ז״ל בס׳ כ״ג [בליקוטים] אם יש לסמוך ע״ד </w:t>
      </w:r>
      <w:proofErr w:type="spellStart"/>
      <w:r>
        <w:rPr>
          <w:sz w:val="20"/>
          <w:szCs w:val="20"/>
          <w:rtl/>
        </w:rPr>
        <w:t>המג״א</w:t>
      </w:r>
      <w:proofErr w:type="spellEnd"/>
      <w:r>
        <w:rPr>
          <w:sz w:val="20"/>
          <w:szCs w:val="20"/>
          <w:rtl/>
        </w:rPr>
        <w:t xml:space="preserve"> ז״ל בס׳ תקע״ו </w:t>
      </w:r>
      <w:proofErr w:type="spellStart"/>
      <w:r>
        <w:rPr>
          <w:sz w:val="20"/>
          <w:szCs w:val="20"/>
          <w:rtl/>
        </w:rPr>
        <w:t>סק״ב</w:t>
      </w:r>
      <w:proofErr w:type="spellEnd"/>
      <w:r>
        <w:rPr>
          <w:sz w:val="20"/>
          <w:szCs w:val="20"/>
          <w:rtl/>
        </w:rPr>
        <w:t xml:space="preserve"> גם בצום הכפורים”.</w:t>
      </w:r>
    </w:p>
    <w:p w14:paraId="70E124B1" w14:textId="77777777" w:rsidR="00AB3647" w:rsidRDefault="00000000">
      <w:pPr>
        <w:spacing w:after="0" w:before="0"/>
        <w:jc w:val="both"/>
      </w:pPr>
      <w:proofErr w:type="spellStart"/>
      <w:r>
        <w:rPr>
          <w:sz w:val="20"/>
          <w:szCs w:val="20"/>
          <w:rtl/>
        </w:rPr>
        <w:t>המג״א</w:t>
      </w:r>
      <w:proofErr w:type="spellEnd"/>
      <w:r>
        <w:rPr>
          <w:sz w:val="20"/>
          <w:szCs w:val="20"/>
          <w:rtl/>
        </w:rPr>
        <w:t xml:space="preserve"> המצוטט דן בתעניות שבית דין גוזר על צרות ציבור, כגון מתקפת אויב, דבר, רעידת אדמה, מתקפת חיות רעות וכיוצא באלה, וכותב שבזמננו אין מתענים על דבר: “</w:t>
      </w:r>
      <w:proofErr w:type="spellStart"/>
      <w:r>
        <w:rPr>
          <w:sz w:val="20"/>
          <w:szCs w:val="20"/>
          <w:rtl/>
        </w:rPr>
        <w:t>האידנא</w:t>
      </w:r>
      <w:proofErr w:type="spellEnd"/>
      <w:r>
        <w:rPr>
          <w:sz w:val="20"/>
          <w:szCs w:val="20"/>
          <w:rtl/>
        </w:rPr>
        <w:t xml:space="preserve"> אין </w:t>
      </w:r>
      <w:proofErr w:type="spellStart"/>
      <w:r>
        <w:rPr>
          <w:sz w:val="20"/>
          <w:szCs w:val="20"/>
          <w:rtl/>
        </w:rPr>
        <w:t>מתענין</w:t>
      </w:r>
      <w:proofErr w:type="spellEnd"/>
      <w:r>
        <w:rPr>
          <w:sz w:val="20"/>
          <w:szCs w:val="20"/>
          <w:rtl/>
        </w:rPr>
        <w:t xml:space="preserve"> כלל בשעת הדבר </w:t>
      </w:r>
      <w:proofErr w:type="spellStart"/>
      <w:r>
        <w:rPr>
          <w:sz w:val="20"/>
          <w:szCs w:val="20"/>
          <w:rtl/>
        </w:rPr>
        <w:t>דמנוסה</w:t>
      </w:r>
      <w:proofErr w:type="spellEnd"/>
      <w:r>
        <w:rPr>
          <w:sz w:val="20"/>
          <w:szCs w:val="20"/>
          <w:rtl/>
        </w:rPr>
        <w:t xml:space="preserve"> הוא כשאינו אוכל ושותה קולט ח״ו שינוי האויר [ומסכן את חייו]”. שו״ת </w:t>
      </w:r>
      <w:proofErr w:type="spellStart"/>
      <w:r>
        <w:rPr>
          <w:sz w:val="20"/>
          <w:szCs w:val="20"/>
          <w:rtl/>
        </w:rPr>
        <w:t>חת״ס</w:t>
      </w:r>
      <w:proofErr w:type="spellEnd"/>
      <w:r>
        <w:rPr>
          <w:sz w:val="20"/>
          <w:szCs w:val="20"/>
          <w:rtl/>
        </w:rPr>
        <w:t xml:space="preserve">, בתשובה מט״ז באלול תקצ״ו לשאלה כיצד לנהוג בצום יום הכיפורים הקרוב אם תימשך מגפת הכולרה, כותב: “אך אם המומחים מסכימים שהתענית עצמו מזיק וכמ״ש </w:t>
      </w:r>
      <w:proofErr w:type="spellStart"/>
      <w:r>
        <w:rPr>
          <w:sz w:val="20"/>
          <w:szCs w:val="20"/>
          <w:rtl/>
        </w:rPr>
        <w:t>מג״א</w:t>
      </w:r>
      <w:proofErr w:type="spellEnd"/>
      <w:r>
        <w:rPr>
          <w:sz w:val="20"/>
          <w:szCs w:val="20"/>
          <w:rtl/>
        </w:rPr>
        <w:t xml:space="preserve"> סי׳ תקע״ו </w:t>
      </w:r>
      <w:proofErr w:type="spellStart"/>
      <w:r>
        <w:rPr>
          <w:sz w:val="20"/>
          <w:szCs w:val="20"/>
          <w:rtl/>
        </w:rPr>
        <w:t>סק״ב</w:t>
      </w:r>
      <w:proofErr w:type="spellEnd"/>
      <w:r>
        <w:rPr>
          <w:sz w:val="20"/>
          <w:szCs w:val="20"/>
          <w:rtl/>
        </w:rPr>
        <w:t xml:space="preserve"> אז ישערו הרופאים כמה שיעור לגימה... ישתה פחות </w:t>
      </w:r>
      <w:proofErr w:type="spellStart"/>
      <w:r>
        <w:rPr>
          <w:sz w:val="20"/>
          <w:szCs w:val="20"/>
          <w:rtl/>
        </w:rPr>
        <w:t>פחות</w:t>
      </w:r>
      <w:proofErr w:type="spellEnd"/>
      <w:r>
        <w:rPr>
          <w:sz w:val="20"/>
          <w:szCs w:val="20"/>
          <w:rtl/>
        </w:rPr>
        <w:t xml:space="preserve"> </w:t>
      </w:r>
      <w:proofErr w:type="spellStart"/>
      <w:r>
        <w:rPr>
          <w:sz w:val="20"/>
          <w:szCs w:val="20"/>
          <w:rtl/>
        </w:rPr>
        <w:t>מכשיעור</w:t>
      </w:r>
      <w:proofErr w:type="spellEnd"/>
      <w:r>
        <w:rPr>
          <w:sz w:val="20"/>
          <w:szCs w:val="20"/>
          <w:rtl/>
        </w:rPr>
        <w:t>”.</w:t>
      </w:r>
    </w:p>
    <w:p w14:paraId="08497B69" w14:textId="77777777" w:rsidR="00AB3647" w:rsidRDefault="00000000">
      <w:pPr>
        <w:spacing w:after="0" w:before="0"/>
        <w:jc w:val="both"/>
      </w:pPr>
      <w:r>
        <w:rPr>
          <w:sz w:val="20"/>
          <w:szCs w:val="20"/>
          <w:rtl/>
        </w:rPr>
        <w:t xml:space="preserve">על עניין זה כותב ר׳ בצלאל: “הן עלינו להודיע הדבר הגדול הזה לדורות עולם </w:t>
      </w:r>
      <w:proofErr w:type="spellStart"/>
      <w:r>
        <w:rPr>
          <w:sz w:val="20"/>
          <w:szCs w:val="20"/>
          <w:rtl/>
        </w:rPr>
        <w:t>בעז״ה</w:t>
      </w:r>
      <w:proofErr w:type="spellEnd"/>
      <w:r>
        <w:rPr>
          <w:sz w:val="20"/>
          <w:szCs w:val="20"/>
          <w:rtl/>
        </w:rPr>
        <w:t xml:space="preserve"> אשר בתלת זימני </w:t>
      </w:r>
      <w:proofErr w:type="spellStart"/>
      <w:r>
        <w:rPr>
          <w:sz w:val="20"/>
          <w:szCs w:val="20"/>
          <w:rtl/>
        </w:rPr>
        <w:t>הוה</w:t>
      </w:r>
      <w:proofErr w:type="spellEnd"/>
      <w:r>
        <w:rPr>
          <w:sz w:val="20"/>
          <w:szCs w:val="20"/>
          <w:rtl/>
        </w:rPr>
        <w:t xml:space="preserve"> חזקה מאלפים ורבבות אנשים ונשים אשר ת״ל התענו כולם בצום הגדול (ביוה״כ </w:t>
      </w:r>
      <w:proofErr w:type="spellStart"/>
      <w:r>
        <w:rPr>
          <w:sz w:val="20"/>
          <w:szCs w:val="20"/>
          <w:rtl/>
        </w:rPr>
        <w:t>דשנת</w:t>
      </w:r>
      <w:proofErr w:type="spellEnd"/>
      <w:r>
        <w:rPr>
          <w:sz w:val="20"/>
          <w:szCs w:val="20"/>
          <w:rtl/>
        </w:rPr>
        <w:t xml:space="preserve"> תקצ״ב </w:t>
      </w:r>
      <w:proofErr w:type="spellStart"/>
      <w:r>
        <w:rPr>
          <w:sz w:val="20"/>
          <w:szCs w:val="20"/>
          <w:rtl/>
        </w:rPr>
        <w:t>ותר״ט</w:t>
      </w:r>
      <w:proofErr w:type="spellEnd"/>
      <w:r>
        <w:rPr>
          <w:sz w:val="20"/>
          <w:szCs w:val="20"/>
          <w:rtl/>
        </w:rPr>
        <w:t xml:space="preserve"> </w:t>
      </w:r>
      <w:proofErr w:type="spellStart"/>
      <w:r>
        <w:rPr>
          <w:sz w:val="20"/>
          <w:szCs w:val="20"/>
          <w:rtl/>
        </w:rPr>
        <w:t>ותרכ״ז</w:t>
      </w:r>
      <w:proofErr w:type="spellEnd"/>
      <w:r>
        <w:rPr>
          <w:sz w:val="20"/>
          <w:szCs w:val="20"/>
          <w:rtl/>
        </w:rPr>
        <w:t xml:space="preserve">) בכל מדינתנו אז, ולא קרה להם כל רע חלילה, ונודע זאת כמעט בכל העולם אז, ואין לנו דבר </w:t>
      </w:r>
      <w:proofErr w:type="spellStart"/>
      <w:r>
        <w:rPr>
          <w:sz w:val="20"/>
          <w:szCs w:val="20"/>
          <w:rtl/>
        </w:rPr>
        <w:t>שנתברר</w:t>
      </w:r>
      <w:proofErr w:type="spellEnd"/>
      <w:r>
        <w:rPr>
          <w:sz w:val="20"/>
          <w:szCs w:val="20"/>
          <w:rtl/>
        </w:rPr>
        <w:t xml:space="preserve"> </w:t>
      </w:r>
      <w:proofErr w:type="spellStart"/>
      <w:r>
        <w:rPr>
          <w:sz w:val="20"/>
          <w:szCs w:val="20"/>
          <w:rtl/>
        </w:rPr>
        <w:t>בנסיון</w:t>
      </w:r>
      <w:proofErr w:type="spellEnd"/>
      <w:r>
        <w:rPr>
          <w:sz w:val="20"/>
          <w:szCs w:val="20"/>
          <w:rtl/>
        </w:rPr>
        <w:t xml:space="preserve"> באמת יותר גדול מזה וכאשר נודע זאת ביחוד לכל האנשים שעסקו במצות פיקוח נפשות אז, שביום צום הכפורים לא נחלה שום אדם ח״ו ע״י הצום כלל (רק לאותן האנשים שלא נזהרו </w:t>
      </w:r>
      <w:proofErr w:type="spellStart"/>
      <w:r>
        <w:rPr>
          <w:sz w:val="20"/>
          <w:szCs w:val="20"/>
          <w:rtl/>
        </w:rPr>
        <w:t>בנפשותם</w:t>
      </w:r>
      <w:proofErr w:type="spellEnd"/>
      <w:r>
        <w:rPr>
          <w:sz w:val="20"/>
          <w:szCs w:val="20"/>
          <w:rtl/>
        </w:rPr>
        <w:t xml:space="preserve"> אז באכילתם ובשתייתם ומלאו כרסם בדברים הקשים לגוף אז בערב יוה״כ וכל שכן במוצאי יוה״כ שאז צריך שמירה רבה ביותר כנודע) וע״כ אם כי בד׳ צומות אז ח״ו (יהפכם ה׳ לששון במהרה) יש לסמוך ע״ד </w:t>
      </w:r>
      <w:proofErr w:type="spellStart"/>
      <w:r>
        <w:rPr>
          <w:sz w:val="20"/>
          <w:szCs w:val="20"/>
          <w:rtl/>
        </w:rPr>
        <w:t>המג״א</w:t>
      </w:r>
      <w:proofErr w:type="spellEnd"/>
      <w:r>
        <w:rPr>
          <w:sz w:val="20"/>
          <w:szCs w:val="20"/>
          <w:rtl/>
        </w:rPr>
        <w:t xml:space="preserve"> ז״ל הנ״ל בזה (ואף </w:t>
      </w:r>
      <w:proofErr w:type="spellStart"/>
      <w:r>
        <w:rPr>
          <w:sz w:val="20"/>
          <w:szCs w:val="20"/>
          <w:rtl/>
        </w:rPr>
        <w:t>דהמג״א</w:t>
      </w:r>
      <w:proofErr w:type="spellEnd"/>
      <w:r>
        <w:rPr>
          <w:sz w:val="20"/>
          <w:szCs w:val="20"/>
          <w:rtl/>
        </w:rPr>
        <w:t xml:space="preserve"> לא </w:t>
      </w:r>
      <w:proofErr w:type="spellStart"/>
      <w:r>
        <w:rPr>
          <w:sz w:val="20"/>
          <w:szCs w:val="20"/>
          <w:rtl/>
        </w:rPr>
        <w:t>מיירי</w:t>
      </w:r>
      <w:proofErr w:type="spellEnd"/>
      <w:r>
        <w:rPr>
          <w:sz w:val="20"/>
          <w:szCs w:val="20"/>
          <w:rtl/>
        </w:rPr>
        <w:t xml:space="preserve"> התם בתענית של חובה כלל ע״ש) אולם בצום הכפורים חלילה לצרף ולסמוך אז ח״ו על ד׳ </w:t>
      </w:r>
      <w:proofErr w:type="spellStart"/>
      <w:r>
        <w:rPr>
          <w:sz w:val="20"/>
          <w:szCs w:val="20"/>
          <w:rtl/>
        </w:rPr>
        <w:t>המג״א</w:t>
      </w:r>
      <w:proofErr w:type="spellEnd"/>
      <w:r>
        <w:rPr>
          <w:sz w:val="20"/>
          <w:szCs w:val="20"/>
          <w:rtl/>
        </w:rPr>
        <w:t xml:space="preserve"> הנ״ל בזה במאומה כלל וה׳ ירחם עלינו”.</w:t>
      </w:r>
    </w:p>
    <w:p w14:paraId="06102E36" w14:textId="77777777" w:rsidR="00AB3647" w:rsidRDefault="00000000">
      <w:pPr>
        <w:spacing w:after="0" w:before="0"/>
        <w:jc w:val="both"/>
      </w:pPr>
      <w:r>
        <w:rPr>
          <w:sz w:val="20"/>
          <w:szCs w:val="20"/>
          <w:rtl/>
        </w:rPr>
        <w:t xml:space="preserve">מאחר שר׳ בצלאל הכהן היה בדעה, </w:t>
      </w:r>
      <w:proofErr w:type="spellStart"/>
      <w:r>
        <w:rPr>
          <w:sz w:val="20"/>
          <w:szCs w:val="20"/>
          <w:rtl/>
        </w:rPr>
        <w:t>ה“מוכחת</w:t>
      </w:r>
      <w:proofErr w:type="spellEnd"/>
      <w:r>
        <w:rPr>
          <w:sz w:val="20"/>
          <w:szCs w:val="20"/>
          <w:rtl/>
        </w:rPr>
        <w:t xml:space="preserve"> במציאות”, שהצום אינו מסוכן גם בשעת מגפה, אין להתפלא שיעקב מארק מסר כעבור שנים רבות שהוא חלק לגמרי על פסקו של ר׳ ישראל. (אני חייב תודה </w:t>
      </w:r>
      <w:proofErr w:type="spellStart"/>
      <w:r>
        <w:rPr>
          <w:sz w:val="20"/>
          <w:szCs w:val="20"/>
          <w:rtl/>
        </w:rPr>
        <w:t>לר</w:t>
      </w:r>
      <w:proofErr w:type="spellEnd"/>
      <w:r>
        <w:rPr>
          <w:sz w:val="20"/>
          <w:szCs w:val="20"/>
          <w:rtl/>
        </w:rPr>
        <w:t xml:space="preserve">׳ </w:t>
      </w:r>
      <w:proofErr w:type="spellStart"/>
      <w:r>
        <w:rPr>
          <w:sz w:val="20"/>
          <w:szCs w:val="20"/>
          <w:rtl/>
        </w:rPr>
        <w:t>אברהם־אביש</w:t>
      </w:r>
      <w:proofErr w:type="spellEnd"/>
      <w:r>
        <w:rPr>
          <w:sz w:val="20"/>
          <w:szCs w:val="20"/>
          <w:rtl/>
        </w:rPr>
        <w:t xml:space="preserve"> שור על מקור זה – ראה פרק 4, סוף הפסקה השנייה של נספח כ לעיל.)</w:t>
      </w:r>
    </w:p>
  </w:footnote>
  <w:footnote w:id="4757">
    <w:p w14:paraId="35C970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שכ״ח.</w:t>
      </w:r>
    </w:p>
  </w:footnote>
  <w:footnote w:id="4758">
    <w:p w14:paraId="0BEF0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מחבר “בית שמואל”, פירוש על שולחן ערוך אבן העזר, היה רבה של פירט (</w:t>
      </w:r>
      <w:proofErr w:type="spellStart"/>
      <w:r>
        <w:rPr>
          <w:sz w:val="20"/>
          <w:szCs w:val="20"/>
          <w:rtl/>
        </w:rPr>
        <w:t>פיורדא</w:t>
      </w:r>
      <w:proofErr w:type="spellEnd"/>
      <w:r>
        <w:rPr>
          <w:sz w:val="20"/>
          <w:szCs w:val="20"/>
          <w:rtl/>
        </w:rPr>
        <w:t xml:space="preserve">) שבגרמניה. הוא נפטר </w:t>
      </w:r>
      <w:proofErr w:type="spellStart"/>
      <w:r>
        <w:rPr>
          <w:sz w:val="20"/>
          <w:szCs w:val="20"/>
          <w:rtl/>
        </w:rPr>
        <w:t xml:space="preserve">בה׳תנ״ח</w:t>
      </w:r>
      <w:proofErr w:type="spellEnd"/>
      <w:r>
        <w:rPr>
          <w:sz w:val="20"/>
          <w:szCs w:val="20"/>
          <w:rtl/>
        </w:rPr>
        <w:t xml:space="preserve">, כמעט מאה וחמישים שנה לפני המאורעות המתוארים, והיה מתלמידיו הבולטים של גדול מרביצי התורה בימיו, “הרבי” ר׳ </w:t>
      </w:r>
      <w:proofErr w:type="spellStart"/>
      <w:r>
        <w:rPr>
          <w:sz w:val="20"/>
          <w:szCs w:val="20"/>
          <w:rtl/>
        </w:rPr>
        <w:t>העשיל</w:t>
      </w:r>
      <w:proofErr w:type="spellEnd"/>
      <w:r>
        <w:rPr>
          <w:sz w:val="20"/>
          <w:szCs w:val="20"/>
          <w:rtl/>
        </w:rPr>
        <w:t xml:space="preserve"> </w:t>
      </w:r>
      <w:proofErr w:type="spellStart"/>
      <w:r>
        <w:rPr>
          <w:sz w:val="20"/>
          <w:szCs w:val="20"/>
          <w:rtl/>
        </w:rPr>
        <w:t>מקרקוב</w:t>
      </w:r>
      <w:proofErr w:type="spellEnd"/>
      <w:r>
        <w:rPr>
          <w:sz w:val="20"/>
          <w:szCs w:val="20"/>
          <w:rtl/>
        </w:rPr>
        <w:t>.</w:t>
      </w:r>
    </w:p>
  </w:footnote>
  <w:footnote w:id="4759">
    <w:p w14:paraId="6B783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w:t>
      </w:r>
      <w:proofErr w:type="spellStart"/>
      <w:r>
        <w:rPr>
          <w:sz w:val="20"/>
          <w:szCs w:val="20"/>
          <w:rtl/>
        </w:rPr>
        <w:t>הלפני</w:t>
      </w:r>
      <w:proofErr w:type="spellEnd"/>
      <w:r>
        <w:rPr>
          <w:sz w:val="20"/>
          <w:szCs w:val="20"/>
          <w:rtl/>
        </w:rPr>
        <w:t xml:space="preserve"> אחרונה של פרק 3.2.</w:t>
      </w:r>
    </w:p>
  </w:footnote>
  <w:footnote w:id="4760">
    <w:p w14:paraId="7DDE444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719–720.</w:t>
      </w:r>
    </w:p>
  </w:footnote>
  <w:footnote w:id="4761">
    <w:p w14:paraId="52ED6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אבל השווה שו״ת משיב דבר, </w:t>
      </w:r>
      <w:proofErr w:type="spellStart"/>
      <w:r>
        <w:rPr>
          <w:sz w:val="20"/>
          <w:szCs w:val="20"/>
          <w:rtl/>
        </w:rPr>
        <w:t>ח״ב</w:t>
      </w:r>
      <w:proofErr w:type="spellEnd"/>
      <w:r>
        <w:rPr>
          <w:sz w:val="20"/>
          <w:szCs w:val="20"/>
          <w:rtl/>
        </w:rPr>
        <w:t xml:space="preserve"> (בקונטרס דבר השמיטה שאחרי סי׳ נו), שם </w:t>
      </w:r>
      <w:proofErr w:type="spellStart"/>
      <w:r>
        <w:rPr>
          <w:sz w:val="20"/>
          <w:szCs w:val="20"/>
          <w:rtl/>
        </w:rPr>
        <w:t>הנצי״ב</w:t>
      </w:r>
      <w:proofErr w:type="spellEnd"/>
      <w:r>
        <w:rPr>
          <w:sz w:val="20"/>
          <w:szCs w:val="20"/>
          <w:rtl/>
        </w:rPr>
        <w:t xml:space="preserve"> דוחה לגמרי </w:t>
      </w:r>
      <w:proofErr w:type="spellStart"/>
      <w:r>
        <w:rPr>
          <w:sz w:val="20"/>
          <w:szCs w:val="20"/>
          <w:rtl/>
        </w:rPr>
        <w:t>קולא</w:t>
      </w:r>
      <w:proofErr w:type="spellEnd"/>
      <w:r>
        <w:rPr>
          <w:sz w:val="20"/>
          <w:szCs w:val="20"/>
          <w:rtl/>
        </w:rPr>
        <w:t xml:space="preserve"> כזאת: “</w:t>
      </w:r>
      <w:proofErr w:type="spellStart"/>
      <w:r>
        <w:rPr>
          <w:sz w:val="20"/>
          <w:szCs w:val="20"/>
          <w:rtl/>
        </w:rPr>
        <w:t>נשתוממתי</w:t>
      </w:r>
      <w:proofErr w:type="spellEnd"/>
      <w:r>
        <w:rPr>
          <w:sz w:val="20"/>
          <w:szCs w:val="20"/>
          <w:rtl/>
        </w:rPr>
        <w:t xml:space="preserve"> לראות, אשר רב יתיר בפומבי איסור דאורייתא בשביל מזון </w:t>
      </w:r>
      <w:proofErr w:type="spellStart"/>
      <w:r>
        <w:rPr>
          <w:sz w:val="20"/>
          <w:szCs w:val="20"/>
          <w:rtl/>
        </w:rPr>
        <w:t>האשה</w:t>
      </w:r>
      <w:proofErr w:type="spellEnd"/>
      <w:r>
        <w:rPr>
          <w:sz w:val="20"/>
          <w:szCs w:val="20"/>
          <w:rtl/>
        </w:rPr>
        <w:t xml:space="preserve"> והבנים”. נראה שגם מחבר “</w:t>
      </w:r>
      <w:proofErr w:type="spellStart"/>
      <w:r>
        <w:rPr>
          <w:sz w:val="20"/>
          <w:szCs w:val="20"/>
          <w:rtl/>
        </w:rPr>
        <w:t>החפץ־חיים</w:t>
      </w:r>
      <w:proofErr w:type="spellEnd"/>
      <w:r>
        <w:rPr>
          <w:sz w:val="20"/>
          <w:szCs w:val="20"/>
          <w:rtl/>
        </w:rPr>
        <w:t xml:space="preserve">” מצטדק על </w:t>
      </w:r>
      <w:proofErr w:type="spellStart"/>
      <w:r>
        <w:rPr>
          <w:sz w:val="20"/>
          <w:szCs w:val="20"/>
          <w:rtl/>
        </w:rPr>
        <w:t>קולתו</w:t>
      </w:r>
      <w:proofErr w:type="spellEnd"/>
      <w:r>
        <w:rPr>
          <w:sz w:val="20"/>
          <w:szCs w:val="20"/>
          <w:rtl/>
        </w:rPr>
        <w:t xml:space="preserve"> של </w:t>
      </w:r>
      <w:proofErr w:type="spellStart"/>
      <w:r>
        <w:rPr>
          <w:sz w:val="20"/>
          <w:szCs w:val="20"/>
          <w:rtl/>
        </w:rPr>
        <w:t>החפץ־חיים</w:t>
      </w:r>
      <w:proofErr w:type="spellEnd"/>
      <w:r>
        <w:rPr>
          <w:sz w:val="20"/>
          <w:szCs w:val="20"/>
          <w:rtl/>
        </w:rPr>
        <w:t xml:space="preserve"> – ראה ההערה שם, עמ׳ 720.</w:t>
      </w:r>
    </w:p>
  </w:footnote>
  <w:footnote w:id="4762">
    <w:p w14:paraId="79C135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התשיעית של נספח א – עמ׳ </w:t>
      </w:r>
      <w:proofErr w:type="spellStart"/>
      <w:r>
        <w:rPr>
          <w:sz w:val="20"/>
          <w:szCs w:val="20"/>
          <w:rtl/>
        </w:rPr>
        <w:t>רסה</w:t>
      </w:r>
      <w:proofErr w:type="spellEnd"/>
      <w:r>
        <w:rPr>
          <w:sz w:val="20"/>
          <w:szCs w:val="20"/>
          <w:rtl/>
        </w:rPr>
        <w:t>.</w:t>
      </w:r>
    </w:p>
  </w:footnote>
  <w:footnote w:id="4763">
    <w:p w14:paraId="043B8B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פתיחה, הערה 4 – עמ׳ 352, הערה </w:t>
      </w:r>
      <w:proofErr w:type="spellStart"/>
      <w:r>
        <w:rPr>
          <w:sz w:val="20"/>
          <w:szCs w:val="20"/>
          <w:rtl/>
        </w:rPr>
        <w:t>יז</w:t>
      </w:r>
      <w:proofErr w:type="spellEnd"/>
      <w:r>
        <w:rPr>
          <w:sz w:val="20"/>
          <w:szCs w:val="20"/>
          <w:rtl/>
        </w:rPr>
        <w:t>.</w:t>
      </w:r>
    </w:p>
  </w:footnote>
  <w:footnote w:id="4764">
    <w:p w14:paraId="7B589E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בהקשר זה סיפר ר׳ דוד </w:t>
      </w:r>
      <w:proofErr w:type="spellStart"/>
      <w:r>
        <w:rPr>
          <w:sz w:val="20"/>
          <w:szCs w:val="20"/>
          <w:rtl/>
        </w:rPr>
        <w:t>זופניק</w:t>
      </w:r>
      <w:proofErr w:type="spellEnd"/>
      <w:r>
        <w:rPr>
          <w:sz w:val="20"/>
          <w:szCs w:val="20"/>
          <w:rtl/>
        </w:rPr>
        <w:t xml:space="preserve"> (ראה הערת השוליים </w:t>
      </w:r>
      <w:r>
        <w:rPr>
          <w:sz w:val="20"/>
          <w:szCs w:val="20"/>
          <w:rtl/>
        </w:rPr>
        <w:fldChar w:fldCharType="begin" w:dirty="true"/>
      </w:r>
      <w:r>
        <w:rPr>
          <w:sz w:val="20"/>
          <w:szCs w:val="20"/>
          <w:rtl/>
        </w:rPr>
        <w:instrText xml:space="preserve"> NOTEREF fx_ref_506 \h </w:instrText>
      </w:r>
      <w:r>
        <w:rPr>
          <w:sz w:val="20"/>
          <w:szCs w:val="20"/>
          <w:rtl/>
        </w:rPr>
      </w:r>
      <w:r>
        <w:rPr>
          <w:sz w:val="20"/>
          <w:szCs w:val="20"/>
          <w:rtl/>
        </w:rPr>
        <w:fldChar w:fldCharType="separate"/>
      </w:r>
      <w:r w:rsidR="007923E9">
        <w:rPr>
          <w:sz w:val="20"/>
          <w:szCs w:val="20"/>
          <w:rtl/>
        </w:rPr>
        <w:t>705</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fx_ref_506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שבישיבת </w:t>
      </w:r>
      <w:proofErr w:type="spellStart"/>
      <w:r>
        <w:rPr>
          <w:sz w:val="20"/>
          <w:szCs w:val="20"/>
          <w:rtl/>
        </w:rPr>
        <w:t>מיר</w:t>
      </w:r>
      <w:proofErr w:type="spellEnd"/>
      <w:r>
        <w:rPr>
          <w:sz w:val="20"/>
          <w:szCs w:val="20"/>
          <w:rtl/>
        </w:rPr>
        <w:t xml:space="preserve"> נמשכו תפילות הנעילה הנלהבות אל תוך הלילה, ומיד כשנסתיים יום הכיפורים על פי ההלכה היה ראש הישיבה, ר׳ </w:t>
      </w:r>
      <w:proofErr w:type="spellStart"/>
      <w:r>
        <w:rPr>
          <w:sz w:val="20"/>
          <w:szCs w:val="20"/>
          <w:rtl/>
        </w:rPr>
        <w:t>לייזר־יודל</w:t>
      </w:r>
      <w:proofErr w:type="spellEnd"/>
      <w:r>
        <w:rPr>
          <w:sz w:val="20"/>
          <w:szCs w:val="20"/>
          <w:rtl/>
        </w:rPr>
        <w:t xml:space="preserve"> </w:t>
      </w:r>
      <w:proofErr w:type="spellStart"/>
      <w:r>
        <w:rPr>
          <w:sz w:val="20"/>
          <w:szCs w:val="20"/>
          <w:rtl/>
        </w:rPr>
        <w:t>פינקל</w:t>
      </w:r>
      <w:proofErr w:type="spellEnd"/>
      <w:r>
        <w:rPr>
          <w:sz w:val="20"/>
          <w:szCs w:val="20"/>
          <w:rtl/>
        </w:rPr>
        <w:t xml:space="preserve">, עובר בין השורות ואומר לתלמידים שנחשבו בעיניו חלשים ללכת מיד לאכסניותיהם ולהפסיק את צומם. אם היסס תלמיד, היה ר׳ </w:t>
      </w:r>
      <w:proofErr w:type="spellStart"/>
      <w:r>
        <w:rPr>
          <w:sz w:val="20"/>
          <w:szCs w:val="20"/>
          <w:rtl/>
        </w:rPr>
        <w:t>לייזר־יודל</w:t>
      </w:r>
      <w:proofErr w:type="spellEnd"/>
      <w:r>
        <w:rPr>
          <w:sz w:val="20"/>
          <w:szCs w:val="20"/>
          <w:rtl/>
        </w:rPr>
        <w:t xml:space="preserve"> מצווה עליו בכעס לצאת מבית המדרש.</w:t>
      </w:r>
    </w:p>
  </w:footnote>
  <w:footnote w:id="4765">
    <w:p w14:paraId="11C9BA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ולפי״ז</w:t>
      </w:r>
      <w:proofErr w:type="spellEnd"/>
      <w:r>
        <w:rPr>
          <w:sz w:val="20"/>
          <w:szCs w:val="20"/>
          <w:rtl/>
        </w:rPr>
        <w:t xml:space="preserve"> יש לתרץ למה לא הוזכר יום הכיפורים בספר עזרא (נחמיה ח), כי עזרא לא גילה לציבור הרחב על הצום מפני שחלק מהמסוכנים שבהם לא יקבלו את ההיתר של “וחי בהם” שכידוע שאפילו בימי החשמונאים התקשו לקבלו, וגם עיין רמב״ם פ״ב </w:t>
      </w:r>
      <w:proofErr w:type="spellStart"/>
      <w:r>
        <w:rPr>
          <w:sz w:val="20"/>
          <w:szCs w:val="20"/>
          <w:rtl/>
        </w:rPr>
        <w:t>ה״ג</w:t>
      </w:r>
      <w:proofErr w:type="spellEnd"/>
      <w:r>
        <w:rPr>
          <w:sz w:val="20"/>
          <w:szCs w:val="20"/>
          <w:rtl/>
        </w:rPr>
        <w:t xml:space="preserve"> מהלכות שבת שמשמע שאפילו בימיו היו מתפרצים נגד הדין של “וחי בהם”. ועיין גמ’ מגילה כ״ג ע״א אמר ליה יעקב </w:t>
      </w:r>
      <w:proofErr w:type="spellStart"/>
      <w:r>
        <w:rPr>
          <w:sz w:val="20"/>
          <w:szCs w:val="20"/>
          <w:rtl/>
        </w:rPr>
        <w:t>מינאה</w:t>
      </w:r>
      <w:proofErr w:type="spellEnd"/>
      <w:r>
        <w:rPr>
          <w:sz w:val="20"/>
          <w:szCs w:val="20"/>
          <w:rtl/>
        </w:rPr>
        <w:t xml:space="preserve"> לרב יהודה הני ששה </w:t>
      </w:r>
      <w:proofErr w:type="spellStart"/>
      <w:r>
        <w:rPr>
          <w:sz w:val="20"/>
          <w:szCs w:val="20"/>
          <w:rtl/>
        </w:rPr>
        <w:t>דיוה״כ</w:t>
      </w:r>
      <w:proofErr w:type="spellEnd"/>
      <w:r>
        <w:rPr>
          <w:sz w:val="20"/>
          <w:szCs w:val="20"/>
          <w:rtl/>
        </w:rPr>
        <w:t xml:space="preserve"> כנגד מי א״ל כנגד ששה שעמדו וכו׳ ופירושו שעזרא גילה את דבר יוה״כ רק לתלמידיו אלה שעמדו </w:t>
      </w:r>
      <w:proofErr w:type="spellStart"/>
      <w:r>
        <w:rPr>
          <w:sz w:val="20"/>
          <w:szCs w:val="20"/>
          <w:rtl/>
        </w:rPr>
        <w:t>בצדיו</w:t>
      </w:r>
      <w:proofErr w:type="spellEnd"/>
      <w:r>
        <w:rPr>
          <w:sz w:val="20"/>
          <w:szCs w:val="20"/>
          <w:rtl/>
        </w:rPr>
        <w:t xml:space="preserve"> בר״ה שבהם היה בטוח שלא יצומו אם יסתכנו ע״י כך, וליוה״כ סודי זה בתקופה שבה הותקנה חובת קריאת התורה בכללה עשו זכר במספר הקרואים, </w:t>
      </w:r>
      <w:proofErr w:type="spellStart"/>
      <w:r>
        <w:rPr>
          <w:sz w:val="20"/>
          <w:szCs w:val="20"/>
          <w:rtl/>
        </w:rPr>
        <w:t>ועיי״ש</w:t>
      </w:r>
      <w:proofErr w:type="spellEnd"/>
      <w:r>
        <w:rPr>
          <w:sz w:val="20"/>
          <w:szCs w:val="20"/>
          <w:rtl/>
        </w:rPr>
        <w:t xml:space="preserve"> שאם רק בצד אחד של עזרא עמדו ששה כבר אין תזכורת ודוק, ואולי לפי </w:t>
      </w:r>
      <w:proofErr w:type="spellStart"/>
      <w:r>
        <w:rPr>
          <w:sz w:val="20"/>
          <w:szCs w:val="20"/>
          <w:rtl/>
        </w:rPr>
        <w:t>גירסת</w:t>
      </w:r>
      <w:proofErr w:type="spellEnd"/>
      <w:r>
        <w:rPr>
          <w:sz w:val="20"/>
          <w:szCs w:val="20"/>
          <w:rtl/>
        </w:rPr>
        <w:t xml:space="preserve"> “</w:t>
      </w:r>
      <w:proofErr w:type="spellStart"/>
      <w:r>
        <w:rPr>
          <w:sz w:val="20"/>
          <w:szCs w:val="20"/>
          <w:rtl/>
        </w:rPr>
        <w:t>מינאה</w:t>
      </w:r>
      <w:proofErr w:type="spellEnd"/>
      <w:r>
        <w:rPr>
          <w:sz w:val="20"/>
          <w:szCs w:val="20"/>
          <w:rtl/>
        </w:rPr>
        <w:t xml:space="preserve">” עיקר </w:t>
      </w:r>
      <w:proofErr w:type="spellStart"/>
      <w:r>
        <w:rPr>
          <w:sz w:val="20"/>
          <w:szCs w:val="20"/>
          <w:rtl/>
        </w:rPr>
        <w:t>הקושיי</w:t>
      </w:r>
      <w:proofErr w:type="spellEnd"/>
      <w:r>
        <w:rPr>
          <w:sz w:val="20"/>
          <w:szCs w:val="20"/>
          <w:rtl/>
        </w:rPr>
        <w:t xml:space="preserve">’ </w:t>
      </w:r>
      <w:proofErr w:type="spellStart"/>
      <w:r>
        <w:rPr>
          <w:sz w:val="20"/>
          <w:szCs w:val="20"/>
          <w:rtl/>
        </w:rPr>
        <w:t>היתה</w:t>
      </w:r>
      <w:proofErr w:type="spellEnd"/>
      <w:r>
        <w:rPr>
          <w:sz w:val="20"/>
          <w:szCs w:val="20"/>
          <w:rtl/>
        </w:rPr>
        <w:t xml:space="preserve"> על ספר עזרא כנ״ל וכדי לבטל יוה״כ משום כפרה מדומה אחרת, להבדיל (שכידוע חיקו הנוצרים את חגינו כולם חוץ מיום כיפור), </w:t>
      </w:r>
      <w:proofErr w:type="spellStart"/>
      <w:r>
        <w:rPr>
          <w:sz w:val="20"/>
          <w:szCs w:val="20"/>
          <w:rtl/>
        </w:rPr>
        <w:t>והגמ</w:t>
      </w:r>
      <w:proofErr w:type="spellEnd"/>
      <w:r>
        <w:rPr>
          <w:sz w:val="20"/>
          <w:szCs w:val="20"/>
          <w:rtl/>
        </w:rPr>
        <w:t xml:space="preserve">’ ציטטה את השאלה כאילו </w:t>
      </w:r>
      <w:proofErr w:type="spellStart"/>
      <w:r>
        <w:rPr>
          <w:sz w:val="20"/>
          <w:szCs w:val="20"/>
          <w:rtl/>
        </w:rPr>
        <w:t>היתה</w:t>
      </w:r>
      <w:proofErr w:type="spellEnd"/>
      <w:r>
        <w:rPr>
          <w:sz w:val="20"/>
          <w:szCs w:val="20"/>
          <w:rtl/>
        </w:rPr>
        <w:t xml:space="preserve"> על מס׳ הקרואים כי בתשובתו של רב יהודה נכלל תירוץ על כך, ודוק. (וראה גם שבט מיהודה מאת הרב וכו׳ איסר יהודה </w:t>
      </w:r>
      <w:proofErr w:type="spellStart"/>
      <w:r>
        <w:rPr>
          <w:sz w:val="20"/>
          <w:szCs w:val="20"/>
          <w:rtl/>
        </w:rPr>
        <w:t>אונטרמן</w:t>
      </w:r>
      <w:proofErr w:type="spellEnd"/>
      <w:r>
        <w:rPr>
          <w:sz w:val="20"/>
          <w:szCs w:val="20"/>
          <w:rtl/>
        </w:rPr>
        <w:t xml:space="preserve"> [מוסד הרב קוק, ירושלים, תשמ״ד], עמ׳ </w:t>
      </w:r>
      <w:proofErr w:type="spellStart"/>
      <w:r>
        <w:rPr>
          <w:sz w:val="20"/>
          <w:szCs w:val="20"/>
          <w:rtl/>
        </w:rPr>
        <w:t>עג</w:t>
      </w:r>
      <w:proofErr w:type="spellEnd"/>
      <w:r>
        <w:rPr>
          <w:sz w:val="20"/>
          <w:szCs w:val="20"/>
          <w:rtl/>
        </w:rPr>
        <w:t xml:space="preserve">–עד, שמבאר את מחלוקת ר׳ ישראל ז״ל והדיינים בדרך משלו אחרי שמביע צערו “שחבל שלא </w:t>
      </w:r>
      <w:proofErr w:type="spellStart"/>
      <w:r>
        <w:rPr>
          <w:sz w:val="20"/>
          <w:szCs w:val="20"/>
          <w:rtl/>
        </w:rPr>
        <w:t>נתפרשו</w:t>
      </w:r>
      <w:proofErr w:type="spellEnd"/>
      <w:r>
        <w:rPr>
          <w:sz w:val="20"/>
          <w:szCs w:val="20"/>
          <w:rtl/>
        </w:rPr>
        <w:t xml:space="preserve"> הדברים כראוי בשעתם”.)</w:t>
      </w:r>
    </w:p>
  </w:footnote>
  <w:footnote w:id="4766">
    <w:p w14:paraId="030506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22.</w:t>
      </w:r>
    </w:p>
  </w:footnote>
  <w:footnote w:id="4767">
    <w:p w14:paraId="72D892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“כל כתבי חפץ חיים השלם”, עמ׳ 16, על הערכתו הגבוהה של ר׳ ישראל </w:t>
      </w:r>
      <w:proofErr w:type="spellStart"/>
      <w:r>
        <w:rPr>
          <w:sz w:val="20"/>
          <w:szCs w:val="20"/>
          <w:rtl/>
        </w:rPr>
        <w:t>לחפץ־חיים</w:t>
      </w:r>
      <w:proofErr w:type="spellEnd"/>
      <w:r>
        <w:rPr>
          <w:sz w:val="20"/>
          <w:szCs w:val="20"/>
          <w:rtl/>
        </w:rPr>
        <w:t xml:space="preserve">, כפי שצוטט לעיל בפרק 3, נספח א (עמ׳ </w:t>
      </w:r>
      <w:r>
        <w:rPr>
          <w:sz w:val="20"/>
          <w:szCs w:val="20"/>
          <w:rtl/>
        </w:rPr>
        <w:fldChar w:fldCharType="begin" w:dirty="true"/>
      </w:r>
      <w:r>
        <w:rPr>
          <w:sz w:val="20"/>
          <w:szCs w:val="20"/>
          <w:rtl/>
        </w:rPr>
        <w:instrText xml:space="preserve"> PAGEREF pr_b_996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68">
    <w:p w14:paraId="797A40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כץ, “תנועת המוסר”, כרך ב (שם, פרק 2, הערה 17), עמ׳ 424–426.</w:t>
      </w:r>
    </w:p>
  </w:footnote>
  <w:footnote w:id="4769">
    <w:p w14:paraId="6201B3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 עמ׳ רפט.</w:t>
      </w:r>
    </w:p>
  </w:footnote>
  <w:footnote w:id="4770">
    <w:p w14:paraId="764099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419 ואילך.</w:t>
      </w:r>
    </w:p>
  </w:footnote>
  <w:footnote w:id="4771">
    <w:p w14:paraId="275DFC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3.</w:t>
      </w:r>
    </w:p>
  </w:footnote>
  <w:footnote w:id="4772">
    <w:p w14:paraId="5BB642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בשיחה המוקלטת בבית הכנסת “בית ישראל” במיאמי </w:t>
      </w:r>
      <w:proofErr w:type="spellStart"/>
      <w:r>
        <w:rPr>
          <w:sz w:val="20"/>
          <w:szCs w:val="20"/>
          <w:rtl/>
        </w:rPr>
        <w:t>ביץ</w:t>
      </w:r>
      <w:proofErr w:type="spellEnd"/>
      <w:r>
        <w:rPr>
          <w:sz w:val="20"/>
          <w:szCs w:val="20"/>
          <w:rtl/>
        </w:rPr>
        <w:t xml:space="preserve">׳ השתמש אבי בביטוי חלש יותר: “שהיו למעלה מן הדור”. בלשון זו משתמש גם הרב משה מאיר ישר בעמוד הראשון של המבוא לספרו “הגאון </w:t>
      </w:r>
      <w:proofErr w:type="spellStart"/>
      <w:r>
        <w:rPr>
          <w:sz w:val="20"/>
          <w:szCs w:val="20"/>
          <w:rtl/>
        </w:rPr>
        <w:t>מלבי״ם</w:t>
      </w:r>
      <w:proofErr w:type="spellEnd"/>
      <w:r>
        <w:rPr>
          <w:sz w:val="20"/>
          <w:szCs w:val="20"/>
          <w:rtl/>
        </w:rPr>
        <w:t xml:space="preserve">” (הוצאת הוד, ירושלים, </w:t>
      </w:r>
      <w:proofErr w:type="spellStart"/>
      <w:r>
        <w:rPr>
          <w:sz w:val="20"/>
          <w:szCs w:val="20"/>
          <w:rtl/>
        </w:rPr>
        <w:t>התשל״ו</w:t>
      </w:r>
      <w:proofErr w:type="spellEnd"/>
      <w:r>
        <w:rPr>
          <w:sz w:val="20"/>
          <w:szCs w:val="20"/>
          <w:rtl/>
        </w:rPr>
        <w:t xml:space="preserve">), ושם הוא מספר ששמע על הערכת ר׳ חיים לארבעת החכמים “כשלמד </w:t>
      </w:r>
      <w:proofErr w:type="spellStart"/>
      <w:r>
        <w:rPr>
          <w:sz w:val="20"/>
          <w:szCs w:val="20"/>
          <w:rtl/>
        </w:rPr>
        <w:t>בבריסק</w:t>
      </w:r>
      <w:proofErr w:type="spellEnd"/>
      <w:r>
        <w:rPr>
          <w:sz w:val="20"/>
          <w:szCs w:val="20"/>
          <w:rtl/>
        </w:rPr>
        <w:t xml:space="preserve"> אצל ר׳ אלחנן וסרמן”.</w:t>
      </w:r>
    </w:p>
  </w:footnote>
  <w:footnote w:id="4773">
    <w:p w14:paraId="7A116A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הערה 16.</w:t>
      </w:r>
    </w:p>
  </w:footnote>
  <w:footnote w:id="4774">
    <w:p w14:paraId="093858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ח.</w:t>
      </w:r>
    </w:p>
  </w:footnote>
  <w:footnote w:id="4775">
    <w:p w14:paraId="51AD0A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4776">
    <w:p w14:paraId="7676E8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מאת הרב ישראל </w:t>
      </w:r>
      <w:proofErr w:type="spellStart"/>
      <w:r>
        <w:rPr>
          <w:rStyle w:val="a5"/>
          <w:sz w:val="20"/>
          <w:szCs w:val="20"/>
          <w:vertAlign w:val="baseline"/>
          <w:rtl/>
        </w:rPr>
        <w:t>שורין</w:t>
      </w:r>
      <w:proofErr w:type="spellEnd"/>
      <w:r>
        <w:rPr>
          <w:rStyle w:val="a5"/>
          <w:sz w:val="20"/>
          <w:szCs w:val="20"/>
          <w:vertAlign w:val="baseline"/>
          <w:rtl/>
        </w:rPr>
        <w:t xml:space="preserve"> (לא צוינה</w:t>
      </w:r>
      <w:r>
        <w:rPr>
          <w:sz w:val="20"/>
          <w:szCs w:val="20"/>
          <w:rtl/>
        </w:rPr>
        <w:t xml:space="preserve"> </w:t>
      </w:r>
      <w:r>
        <w:rPr>
          <w:sz w:val="20"/>
          <w:szCs w:val="20"/>
          <w:rtl/>
        </w:rPr>
        <w:t>שנת ההוצאה), עמ׳ 167.</w:t>
      </w:r>
    </w:p>
  </w:footnote>
  <w:footnote w:id="4777">
    <w:p w14:paraId="4AC405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pr_f_4641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295</w:t>
      </w:r>
      <w:r>
        <w:rPr>
          <w:rStyle w:val="a5"/>
          <w:sz w:val="20"/>
          <w:szCs w:val="20"/>
          <w:vertAlign w:val="baseline"/>
          <w:rtl/>
        </w:rPr>
        <w:fldChar w:fldCharType="end"/>
      </w:r>
      <w:r>
        <w:rPr>
          <w:rStyle w:val="a5"/>
          <w:sz w:val="20"/>
          <w:szCs w:val="20"/>
          <w:vertAlign w:val="baseline"/>
          <w:rtl/>
        </w:rPr>
        <w:t xml:space="preserve"> לעיל, שם.</w:t>
      </w:r>
    </w:p>
  </w:footnote>
  <w:footnote w:id="4778">
    <w:p w14:paraId="5D18789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“מורי האומה” טוען בשם ר׳ </w:t>
      </w:r>
      <w:proofErr w:type="spellStart"/>
      <w:r>
        <w:rPr>
          <w:sz w:val="20"/>
          <w:szCs w:val="20"/>
          <w:rtl/>
        </w:rPr>
        <w:t xml:space="preserve">יוסף־דב</w:t>
      </w:r>
      <w:proofErr w:type="spellEnd"/>
      <w:r>
        <w:rPr>
          <w:sz w:val="20"/>
          <w:szCs w:val="20"/>
          <w:rtl/>
        </w:rPr>
        <w:t xml:space="preserve"> שר׳ חיים צירף אל הארבעה עוד חכם גדול, ר׳ </w:t>
      </w:r>
      <w:proofErr w:type="spellStart"/>
      <w:r>
        <w:rPr>
          <w:sz w:val="20"/>
          <w:szCs w:val="20"/>
          <w:rtl/>
        </w:rPr>
        <w:t>אלעזר־משה</w:t>
      </w:r>
      <w:proofErr w:type="spellEnd"/>
      <w:r>
        <w:rPr>
          <w:sz w:val="20"/>
          <w:szCs w:val="20"/>
          <w:rtl/>
        </w:rPr>
        <w:t xml:space="preserve"> </w:t>
      </w:r>
      <w:proofErr w:type="spellStart"/>
      <w:r>
        <w:rPr>
          <w:sz w:val="20"/>
          <w:szCs w:val="20"/>
          <w:rtl/>
        </w:rPr>
        <w:t>הורוויץ</w:t>
      </w:r>
      <w:proofErr w:type="spellEnd"/>
      <w:r>
        <w:rPr>
          <w:sz w:val="20"/>
          <w:szCs w:val="20"/>
          <w:rtl/>
        </w:rPr>
        <w:t xml:space="preserve"> </w:t>
      </w:r>
      <w:proofErr w:type="spellStart"/>
      <w:r>
        <w:rPr>
          <w:sz w:val="20"/>
          <w:szCs w:val="20"/>
          <w:rtl/>
        </w:rPr>
        <w:t>מפינסק</w:t>
      </w:r>
      <w:proofErr w:type="spellEnd"/>
      <w:r>
        <w:rPr>
          <w:sz w:val="20"/>
          <w:szCs w:val="20"/>
          <w:rtl/>
        </w:rPr>
        <w:t xml:space="preserve"> (פרק 3, נספח ו; תקע״ח–תר״נ), “כחמישי אפשרי”; ובשם אבי הוא מספר שר׳ חיים אמר כי ר׳ </w:t>
      </w:r>
      <w:proofErr w:type="spellStart"/>
      <w:r>
        <w:rPr>
          <w:sz w:val="20"/>
          <w:szCs w:val="20"/>
          <w:rtl/>
        </w:rPr>
        <w:t>אלעזר־משה</w:t>
      </w:r>
      <w:proofErr w:type="spellEnd"/>
      <w:r>
        <w:rPr>
          <w:sz w:val="20"/>
          <w:szCs w:val="20"/>
          <w:rtl/>
        </w:rPr>
        <w:t xml:space="preserve"> הוא היחיד שהוא מכנהו “זקן הגאונים”. דברי אבי בעניין זה מעוררים קושי: כיצד ייתכן שר׳ </w:t>
      </w:r>
      <w:proofErr w:type="spellStart"/>
      <w:r>
        <w:rPr>
          <w:sz w:val="20"/>
          <w:szCs w:val="20"/>
          <w:rtl/>
        </w:rPr>
        <w:t>אלעזר־משה</w:t>
      </w:r>
      <w:proofErr w:type="spellEnd"/>
      <w:r>
        <w:rPr>
          <w:sz w:val="20"/>
          <w:szCs w:val="20"/>
          <w:rtl/>
        </w:rPr>
        <w:t>, שנחשב לכל היותר כמי שאולי היה במדרגת אחד מן הראשונים, יהיה זקן הגאונים?</w:t>
      </w:r>
    </w:p>
    <w:p w14:paraId="0ED7B5F7" w14:textId="77777777" w:rsidR="00AB3647" w:rsidRDefault="00000000">
      <w:pPr>
        <w:spacing w:after="0" w:before="0"/>
        <w:jc w:val="both"/>
      </w:pPr>
      <w:r>
        <w:rPr>
          <w:sz w:val="20"/>
          <w:szCs w:val="20"/>
          <w:rtl/>
        </w:rPr>
        <w:t xml:space="preserve">באשר </w:t>
      </w:r>
      <w:proofErr w:type="spellStart"/>
      <w:r>
        <w:rPr>
          <w:sz w:val="20"/>
          <w:szCs w:val="20"/>
          <w:rtl/>
        </w:rPr>
        <w:t>לר</w:t>
      </w:r>
      <w:proofErr w:type="spellEnd"/>
      <w:r>
        <w:rPr>
          <w:sz w:val="20"/>
          <w:szCs w:val="20"/>
          <w:rtl/>
        </w:rPr>
        <w:t xml:space="preserve">׳ ישראל </w:t>
      </w:r>
      <w:proofErr w:type="spellStart"/>
      <w:r>
        <w:rPr>
          <w:sz w:val="20"/>
          <w:szCs w:val="20"/>
          <w:rtl/>
        </w:rPr>
        <w:t>סלנטר</w:t>
      </w:r>
      <w:proofErr w:type="spellEnd"/>
      <w:r>
        <w:rPr>
          <w:sz w:val="20"/>
          <w:szCs w:val="20"/>
          <w:rtl/>
        </w:rPr>
        <w:t xml:space="preserve"> </w:t>
      </w:r>
      <w:proofErr w:type="spellStart"/>
      <w:r>
        <w:rPr>
          <w:sz w:val="20"/>
          <w:szCs w:val="20"/>
          <w:rtl/>
        </w:rPr>
        <w:t>ולמלבי״ם</w:t>
      </w:r>
      <w:proofErr w:type="spellEnd"/>
      <w:r>
        <w:rPr>
          <w:sz w:val="20"/>
          <w:szCs w:val="20"/>
          <w:rtl/>
        </w:rPr>
        <w:t xml:space="preserve"> אין קושי, שכן נפטרו לפני ר׳ </w:t>
      </w:r>
      <w:proofErr w:type="spellStart"/>
      <w:r>
        <w:rPr>
          <w:sz w:val="20"/>
          <w:szCs w:val="20"/>
          <w:rtl/>
        </w:rPr>
        <w:t>אלעזר־משה</w:t>
      </w:r>
      <w:proofErr w:type="spellEnd"/>
      <w:r>
        <w:rPr>
          <w:sz w:val="20"/>
          <w:szCs w:val="20"/>
          <w:rtl/>
        </w:rPr>
        <w:t xml:space="preserve">, וייתכן שר׳ חיים העניק לרב </w:t>
      </w:r>
      <w:proofErr w:type="spellStart"/>
      <w:r>
        <w:rPr>
          <w:sz w:val="20"/>
          <w:szCs w:val="20"/>
          <w:rtl/>
        </w:rPr>
        <w:t>מפינסק</w:t>
      </w:r>
      <w:proofErr w:type="spellEnd"/>
      <w:r>
        <w:rPr>
          <w:sz w:val="20"/>
          <w:szCs w:val="20"/>
          <w:rtl/>
        </w:rPr>
        <w:t xml:space="preserve"> את התואר “זקן הגאונים” אחרי הסתלקותם. גם באשר </w:t>
      </w:r>
      <w:proofErr w:type="spellStart"/>
      <w:r>
        <w:rPr>
          <w:sz w:val="20"/>
          <w:szCs w:val="20"/>
          <w:rtl/>
        </w:rPr>
        <w:t>לר</w:t>
      </w:r>
      <w:proofErr w:type="spellEnd"/>
      <w:r>
        <w:rPr>
          <w:sz w:val="20"/>
          <w:szCs w:val="20"/>
          <w:rtl/>
        </w:rPr>
        <w:t xml:space="preserve">׳ </w:t>
      </w:r>
      <w:proofErr w:type="spellStart"/>
      <w:r>
        <w:rPr>
          <w:sz w:val="20"/>
          <w:szCs w:val="20"/>
          <w:rtl/>
        </w:rPr>
        <w:t>יהושע־לייב</w:t>
      </w:r>
      <w:proofErr w:type="spellEnd"/>
      <w:r>
        <w:rPr>
          <w:sz w:val="20"/>
          <w:szCs w:val="20"/>
          <w:rtl/>
        </w:rPr>
        <w:t xml:space="preserve"> דיסקין אין קושי, שכן היה נעלה כל כך על שאר גאוני הדור, עד שהתואר “זקן הגאונים” היה מועט מדי בשבילו. ר׳ </w:t>
      </w:r>
      <w:proofErr w:type="spellStart"/>
      <w:r>
        <w:rPr>
          <w:sz w:val="20"/>
          <w:szCs w:val="20"/>
          <w:rtl/>
        </w:rPr>
        <w:t>יהושע־לייב</w:t>
      </w:r>
      <w:proofErr w:type="spellEnd"/>
      <w:r>
        <w:rPr>
          <w:sz w:val="20"/>
          <w:szCs w:val="20"/>
          <w:rtl/>
        </w:rPr>
        <w:t xml:space="preserve"> דיסקין, הראשון מארבעת הגדולים, תואר בידי ר׳ חיים, לפי “עמוד אש” (שם, פרק 3, הערה 16), עמ׳ קצה, כמי “שתאריו מתחילים במקום שבו מגיעים כינוייהם של כל שאר החכמים הגדולים לשיאם”; ולפי הערת השוליים בעמ׳ </w:t>
      </w:r>
      <w:proofErr w:type="spellStart"/>
      <w:r>
        <w:rPr>
          <w:sz w:val="20"/>
          <w:szCs w:val="20"/>
          <w:rtl/>
        </w:rPr>
        <w:t>רפז</w:t>
      </w:r>
      <w:proofErr w:type="spellEnd"/>
      <w:r>
        <w:rPr>
          <w:sz w:val="20"/>
          <w:szCs w:val="20"/>
          <w:rtl/>
        </w:rPr>
        <w:t xml:space="preserve"> של “תורת חיים” – כמי “שהיה נחשב </w:t>
      </w:r>
      <w:proofErr w:type="spellStart"/>
      <w:r>
        <w:rPr>
          <w:sz w:val="20"/>
          <w:szCs w:val="20"/>
          <w:rtl/>
        </w:rPr>
        <w:t>ל‘גאון</w:t>
      </w:r>
      <w:proofErr w:type="spellEnd"/>
      <w:r>
        <w:rPr>
          <w:sz w:val="20"/>
          <w:szCs w:val="20"/>
          <w:rtl/>
        </w:rPr>
        <w:t xml:space="preserve"> בישראל’ גם אילו חי בימי ר׳ משה </w:t>
      </w:r>
      <w:proofErr w:type="spellStart"/>
      <w:r>
        <w:rPr>
          <w:sz w:val="20"/>
          <w:szCs w:val="20"/>
          <w:rtl/>
        </w:rPr>
        <w:t>איסרליש</w:t>
      </w:r>
      <w:proofErr w:type="spellEnd"/>
      <w:r>
        <w:rPr>
          <w:sz w:val="20"/>
          <w:szCs w:val="20"/>
          <w:rtl/>
        </w:rPr>
        <w:t xml:space="preserve">, </w:t>
      </w:r>
      <w:proofErr w:type="spellStart"/>
      <w:r>
        <w:rPr>
          <w:sz w:val="20"/>
          <w:szCs w:val="20"/>
          <w:rtl/>
        </w:rPr>
        <w:t>הרמ״א</w:t>
      </w:r>
      <w:proofErr w:type="spellEnd"/>
      <w:r>
        <w:rPr>
          <w:sz w:val="20"/>
          <w:szCs w:val="20"/>
          <w:rtl/>
        </w:rPr>
        <w:t xml:space="preserve"> (נולד </w:t>
      </w:r>
      <w:proofErr w:type="spellStart"/>
      <w:r>
        <w:rPr>
          <w:sz w:val="20"/>
          <w:szCs w:val="20"/>
          <w:rtl/>
        </w:rPr>
        <w:t>בה׳ר״פ</w:t>
      </w:r>
      <w:proofErr w:type="spellEnd"/>
      <w:r>
        <w:rPr>
          <w:sz w:val="20"/>
          <w:szCs w:val="20"/>
          <w:rtl/>
        </w:rPr>
        <w:t xml:space="preserve"> או </w:t>
      </w:r>
      <w:proofErr w:type="spellStart"/>
      <w:r>
        <w:rPr>
          <w:sz w:val="20"/>
          <w:szCs w:val="20"/>
          <w:rtl/>
        </w:rPr>
        <w:t>בה׳ר״צ</w:t>
      </w:r>
      <w:proofErr w:type="spellEnd"/>
      <w:r>
        <w:rPr>
          <w:sz w:val="20"/>
          <w:szCs w:val="20"/>
          <w:rtl/>
        </w:rPr>
        <w:t xml:space="preserve">, נפטר </w:t>
      </w:r>
      <w:proofErr w:type="spellStart"/>
      <w:r>
        <w:rPr>
          <w:sz w:val="20"/>
          <w:szCs w:val="20"/>
          <w:rtl/>
        </w:rPr>
        <w:t>בה‘של״ב</w:t>
      </w:r>
      <w:proofErr w:type="spellEnd"/>
      <w:r>
        <w:rPr>
          <w:sz w:val="20"/>
          <w:szCs w:val="20"/>
          <w:rtl/>
        </w:rPr>
        <w:t>)”.</w:t>
      </w:r>
    </w:p>
    <w:p w14:paraId="046C8E8A" w14:textId="77777777" w:rsidR="00AB3647" w:rsidRDefault="00000000">
      <w:pPr>
        <w:spacing w:after="0" w:before="0"/>
        <w:jc w:val="both"/>
      </w:pPr>
      <w:r>
        <w:rPr>
          <w:sz w:val="20"/>
          <w:szCs w:val="20"/>
          <w:rtl/>
        </w:rPr>
        <w:t xml:space="preserve">אבל נשארנו עם השאלה ביחס </w:t>
      </w:r>
      <w:proofErr w:type="spellStart"/>
      <w:r>
        <w:rPr>
          <w:sz w:val="20"/>
          <w:szCs w:val="20"/>
          <w:rtl/>
        </w:rPr>
        <w:t>לר</w:t>
      </w:r>
      <w:proofErr w:type="spellEnd"/>
      <w:r>
        <w:rPr>
          <w:sz w:val="20"/>
          <w:szCs w:val="20"/>
          <w:rtl/>
        </w:rPr>
        <w:t xml:space="preserve">׳ יוסף־דב, אביו של ר׳ חיים </w:t>
      </w:r>
      <w:proofErr w:type="spellStart"/>
      <w:r>
        <w:rPr>
          <w:sz w:val="20"/>
          <w:szCs w:val="20"/>
          <w:rtl/>
        </w:rPr>
        <w:t>סולובייצ׳יק</w:t>
      </w:r>
      <w:proofErr w:type="spellEnd"/>
      <w:r>
        <w:rPr>
          <w:sz w:val="20"/>
          <w:szCs w:val="20"/>
          <w:rtl/>
        </w:rPr>
        <w:t xml:space="preserve">, שחי אחרי ר׳ </w:t>
      </w:r>
      <w:proofErr w:type="spellStart"/>
      <w:r>
        <w:rPr>
          <w:sz w:val="20"/>
          <w:szCs w:val="20"/>
          <w:rtl/>
        </w:rPr>
        <w:t>אלעזר־משה</w:t>
      </w:r>
      <w:proofErr w:type="spellEnd"/>
      <w:r>
        <w:rPr>
          <w:sz w:val="20"/>
          <w:szCs w:val="20"/>
          <w:rtl/>
        </w:rPr>
        <w:t xml:space="preserve">. בריאיון עם ר׳ זליג אפשטיין, הנזכר בראש הפסקה הזאת בעמ׳ </w:t>
      </w:r>
      <w:r>
        <w:rPr>
          <w:sz w:val="20"/>
          <w:szCs w:val="20"/>
          <w:rtl/>
        </w:rPr>
        <w:fldChar w:fldCharType="begin" w:dirty="true"/>
      </w:r>
      <w:r>
        <w:rPr>
          <w:sz w:val="20"/>
          <w:szCs w:val="20"/>
          <w:rtl/>
        </w:rPr>
        <w:instrText xml:space="preserve"> PAGEREF pr_b_2631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אמר המרואיין </w:t>
      </w:r>
      <w:proofErr w:type="spellStart"/>
      <w:r>
        <w:rPr>
          <w:sz w:val="20"/>
          <w:szCs w:val="20"/>
          <w:rtl/>
        </w:rPr>
        <w:t>ש“אסף</w:t>
      </w:r>
      <w:proofErr w:type="spellEnd"/>
      <w:r>
        <w:rPr>
          <w:sz w:val="20"/>
          <w:szCs w:val="20"/>
          <w:rtl/>
        </w:rPr>
        <w:t xml:space="preserve"> ממקורות רבים שר׳ חיים ראה </w:t>
      </w:r>
      <w:proofErr w:type="spellStart"/>
      <w:r>
        <w:rPr>
          <w:sz w:val="20"/>
          <w:szCs w:val="20"/>
          <w:rtl/>
        </w:rPr>
        <w:t>במלבי״ם</w:t>
      </w:r>
      <w:proofErr w:type="spellEnd"/>
      <w:r>
        <w:rPr>
          <w:sz w:val="20"/>
          <w:szCs w:val="20"/>
          <w:rtl/>
        </w:rPr>
        <w:t xml:space="preserve"> את בעל המוח הגדול ביותר בדור”. הדבר תואם את התקוות הגדולות שתלה בו דורו, כפי שהביע ר׳ ישראל </w:t>
      </w:r>
      <w:proofErr w:type="spellStart"/>
      <w:r>
        <w:rPr>
          <w:sz w:val="20"/>
          <w:szCs w:val="20"/>
          <w:rtl/>
        </w:rPr>
        <w:t>סלנטר</w:t>
      </w:r>
      <w:proofErr w:type="spellEnd"/>
      <w:r>
        <w:rPr>
          <w:sz w:val="20"/>
          <w:szCs w:val="20"/>
          <w:rtl/>
        </w:rPr>
        <w:t xml:space="preserve"> עצמו – ראה להלן. כדי להמחיש את גדלות מוחו של </w:t>
      </w:r>
      <w:proofErr w:type="spellStart"/>
      <w:r>
        <w:rPr>
          <w:sz w:val="20"/>
          <w:szCs w:val="20"/>
          <w:rtl/>
        </w:rPr>
        <w:t>המלבי״ם</w:t>
      </w:r>
      <w:proofErr w:type="spellEnd"/>
      <w:r>
        <w:rPr>
          <w:sz w:val="20"/>
          <w:szCs w:val="20"/>
          <w:rtl/>
        </w:rPr>
        <w:t xml:space="preserve"> סיפר אבי </w:t>
      </w:r>
      <w:proofErr w:type="spellStart"/>
      <w:r>
        <w:rPr>
          <w:sz w:val="20"/>
          <w:szCs w:val="20"/>
          <w:rtl/>
        </w:rPr>
        <w:t>לר</w:t>
      </w:r>
      <w:proofErr w:type="spellEnd"/>
      <w:r>
        <w:rPr>
          <w:sz w:val="20"/>
          <w:szCs w:val="20"/>
          <w:rtl/>
        </w:rPr>
        <w:t xml:space="preserve">׳ דוד </w:t>
      </w:r>
      <w:proofErr w:type="spellStart"/>
      <w:r>
        <w:rPr>
          <w:sz w:val="20"/>
          <w:szCs w:val="20"/>
          <w:rtl/>
        </w:rPr>
        <w:t>צימט</w:t>
      </w:r>
      <w:proofErr w:type="spellEnd"/>
      <w:r>
        <w:rPr>
          <w:sz w:val="20"/>
          <w:szCs w:val="20"/>
          <w:rtl/>
        </w:rPr>
        <w:t xml:space="preserve"> (ראה בראש נספח זה) שר׳ ישראל </w:t>
      </w:r>
      <w:proofErr w:type="spellStart"/>
      <w:r>
        <w:rPr>
          <w:sz w:val="20"/>
          <w:szCs w:val="20"/>
          <w:rtl/>
        </w:rPr>
        <w:t>סלנטר</w:t>
      </w:r>
      <w:proofErr w:type="spellEnd"/>
      <w:r>
        <w:rPr>
          <w:sz w:val="20"/>
          <w:szCs w:val="20"/>
          <w:rtl/>
        </w:rPr>
        <w:t xml:space="preserve"> הספיד את ר׳ </w:t>
      </w:r>
      <w:proofErr w:type="spellStart"/>
      <w:r>
        <w:rPr>
          <w:sz w:val="20"/>
          <w:szCs w:val="20"/>
          <w:rtl/>
        </w:rPr>
        <w:t xml:space="preserve">נחומק׳ה</w:t>
      </w:r>
      <w:proofErr w:type="spellEnd"/>
      <w:r>
        <w:rPr>
          <w:sz w:val="20"/>
          <w:szCs w:val="20"/>
          <w:rtl/>
        </w:rPr>
        <w:t xml:space="preserve"> </w:t>
      </w:r>
      <w:proofErr w:type="spellStart"/>
      <w:r>
        <w:rPr>
          <w:sz w:val="20"/>
          <w:szCs w:val="20"/>
          <w:rtl/>
        </w:rPr>
        <w:t>מהורודנא</w:t>
      </w:r>
      <w:proofErr w:type="spellEnd"/>
      <w:r>
        <w:rPr>
          <w:sz w:val="20"/>
          <w:szCs w:val="20"/>
          <w:rtl/>
        </w:rPr>
        <w:t xml:space="preserve"> (ראה פרק 4, הערה 7), ואמר: “</w:t>
      </w:r>
      <w:proofErr w:type="spellStart"/>
      <w:r>
        <w:rPr>
          <w:sz w:val="20"/>
          <w:szCs w:val="20"/>
          <w:rtl/>
        </w:rPr>
        <w:t>מלבי״ם</w:t>
      </w:r>
      <w:proofErr w:type="spellEnd"/>
      <w:r>
        <w:rPr>
          <w:sz w:val="20"/>
          <w:szCs w:val="20"/>
          <w:rtl/>
        </w:rPr>
        <w:t xml:space="preserve"> – לא כל אדם יכול להיות גאון כמותו; אבל ר׳ </w:t>
      </w:r>
      <w:proofErr w:type="spellStart"/>
      <w:r>
        <w:rPr>
          <w:sz w:val="20"/>
          <w:szCs w:val="20"/>
          <w:rtl/>
        </w:rPr>
        <w:t xml:space="preserve">נחומק׳ה</w:t>
      </w:r>
      <w:proofErr w:type="spellEnd"/>
      <w:r>
        <w:rPr>
          <w:sz w:val="20"/>
          <w:szCs w:val="20"/>
          <w:rtl/>
        </w:rPr>
        <w:t xml:space="preserve"> – לכל יהודי יש הכוחות להיות כמותו”. רבנו הבין מכאן שבעיני ר׳ ישראל היה מוח </w:t>
      </w:r>
      <w:proofErr w:type="spellStart"/>
      <w:r>
        <w:rPr>
          <w:sz w:val="20"/>
          <w:szCs w:val="20"/>
          <w:rtl/>
        </w:rPr>
        <w:t>המלבי״ם</w:t>
      </w:r>
      <w:proofErr w:type="spellEnd"/>
      <w:r>
        <w:rPr>
          <w:sz w:val="20"/>
          <w:szCs w:val="20"/>
          <w:rtl/>
        </w:rPr>
        <w:t xml:space="preserve"> בשיא החריפות השכלית.</w:t>
      </w:r>
    </w:p>
    <w:p w14:paraId="53A4F463" w14:textId="77777777" w:rsidR="00AB3647" w:rsidRDefault="00000000">
      <w:pPr>
        <w:spacing w:after="0" w:before="0"/>
        <w:jc w:val="both"/>
      </w:pPr>
      <w:r>
        <w:rPr>
          <w:sz w:val="20"/>
          <w:szCs w:val="20"/>
          <w:rtl/>
        </w:rPr>
        <w:t xml:space="preserve">השווה גם “הראשון” (שם, פרק 1, נספח ו), עמ׳ 26, הטוען </w:t>
      </w:r>
      <w:proofErr w:type="spellStart"/>
      <w:r>
        <w:rPr>
          <w:sz w:val="20"/>
          <w:szCs w:val="20"/>
          <w:rtl/>
        </w:rPr>
        <w:t>ש“מסופר</w:t>
      </w:r>
      <w:proofErr w:type="spellEnd"/>
      <w:r>
        <w:rPr>
          <w:sz w:val="20"/>
          <w:szCs w:val="20"/>
          <w:rtl/>
        </w:rPr>
        <w:t>” כי ר׳ חיים מנה את שלושת “</w:t>
      </w:r>
      <w:proofErr w:type="spellStart"/>
      <w:r>
        <w:rPr>
          <w:sz w:val="20"/>
          <w:szCs w:val="20"/>
          <w:rtl/>
        </w:rPr>
        <w:t>חריפי</w:t>
      </w:r>
      <w:proofErr w:type="spellEnd"/>
      <w:r>
        <w:rPr>
          <w:sz w:val="20"/>
          <w:szCs w:val="20"/>
          <w:rtl/>
        </w:rPr>
        <w:t xml:space="preserve"> המוח” הגדולים בדור –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ואביו – והשמיט את </w:t>
      </w:r>
      <w:proofErr w:type="spellStart"/>
      <w:r>
        <w:rPr>
          <w:sz w:val="20"/>
          <w:szCs w:val="20"/>
          <w:rtl/>
        </w:rPr>
        <w:t>המלבי״ם</w:t>
      </w:r>
      <w:proofErr w:type="spellEnd"/>
      <w:r>
        <w:rPr>
          <w:sz w:val="20"/>
          <w:szCs w:val="20"/>
          <w:rtl/>
        </w:rPr>
        <w:t xml:space="preserve"> לגמרי, בסדר שמעלה את ר׳ ישראל למקום הראשון. לנוכח המקורות </w:t>
      </w:r>
      <w:proofErr w:type="spellStart"/>
      <w:r>
        <w:rPr>
          <w:sz w:val="20"/>
          <w:szCs w:val="20"/>
          <w:rtl/>
        </w:rPr>
        <w:t>ב“עמוד</w:t>
      </w:r>
      <w:proofErr w:type="spellEnd"/>
      <w:r>
        <w:rPr>
          <w:sz w:val="20"/>
          <w:szCs w:val="20"/>
          <w:rtl/>
        </w:rPr>
        <w:t xml:space="preserve"> אש” </w:t>
      </w:r>
      <w:proofErr w:type="spellStart"/>
      <w:r>
        <w:rPr>
          <w:sz w:val="20"/>
          <w:szCs w:val="20"/>
          <w:rtl/>
        </w:rPr>
        <w:t>וב“תורת</w:t>
      </w:r>
      <w:proofErr w:type="spellEnd"/>
      <w:r>
        <w:rPr>
          <w:sz w:val="20"/>
          <w:szCs w:val="20"/>
          <w:rtl/>
        </w:rPr>
        <w:t xml:space="preserve"> חיים” על ר׳ </w:t>
      </w:r>
      <w:proofErr w:type="spellStart"/>
      <w:r>
        <w:rPr>
          <w:sz w:val="20"/>
          <w:szCs w:val="20"/>
          <w:rtl/>
        </w:rPr>
        <w:t>יהושע־לייב</w:t>
      </w:r>
      <w:proofErr w:type="spellEnd"/>
      <w:r>
        <w:rPr>
          <w:sz w:val="20"/>
          <w:szCs w:val="20"/>
          <w:rtl/>
        </w:rPr>
        <w:t xml:space="preserve"> דיסקין, מסתבר </w:t>
      </w:r>
      <w:proofErr w:type="spellStart"/>
      <w:r>
        <w:rPr>
          <w:sz w:val="20"/>
          <w:szCs w:val="20"/>
          <w:rtl/>
        </w:rPr>
        <w:t>ש“הראשון</w:t>
      </w:r>
      <w:proofErr w:type="spellEnd"/>
      <w:r>
        <w:rPr>
          <w:sz w:val="20"/>
          <w:szCs w:val="20"/>
          <w:rtl/>
        </w:rPr>
        <w:t xml:space="preserve">” לא דקדק בסדר; אבל הדבר מערער את דברי ר׳ זליג אפשטיין על </w:t>
      </w:r>
      <w:proofErr w:type="spellStart"/>
      <w:r>
        <w:rPr>
          <w:sz w:val="20"/>
          <w:szCs w:val="20"/>
          <w:rtl/>
        </w:rPr>
        <w:t>המלבי״ם</w:t>
      </w:r>
      <w:proofErr w:type="spellEnd"/>
      <w:r>
        <w:rPr>
          <w:sz w:val="20"/>
          <w:szCs w:val="20"/>
          <w:rtl/>
        </w:rPr>
        <w:t>.</w:t>
      </w:r>
    </w:p>
    <w:p w14:paraId="7A4052E7" w14:textId="77777777" w:rsidR="00AB3647" w:rsidRDefault="00000000">
      <w:pPr>
        <w:spacing w:after="0" w:before="0"/>
        <w:jc w:val="both"/>
      </w:pPr>
      <w:r>
        <w:rPr>
          <w:sz w:val="20"/>
          <w:szCs w:val="20"/>
          <w:rtl/>
        </w:rPr>
        <w:t xml:space="preserve">השווה גם “עובדות והנהגות לבית </w:t>
      </w:r>
      <w:proofErr w:type="spellStart"/>
      <w:r>
        <w:rPr>
          <w:sz w:val="20"/>
          <w:szCs w:val="20"/>
          <w:rtl/>
        </w:rPr>
        <w:t>בריסק</w:t>
      </w:r>
      <w:proofErr w:type="spellEnd"/>
      <w:r>
        <w:rPr>
          <w:sz w:val="20"/>
          <w:szCs w:val="20"/>
          <w:rtl/>
        </w:rPr>
        <w:t xml:space="preserve">”, ח״א, עמ׳ קי, המביא בשם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שגם סבו ר׳ חיים השמיט את </w:t>
      </w:r>
      <w:proofErr w:type="spellStart"/>
      <w:r>
        <w:rPr>
          <w:sz w:val="20"/>
          <w:szCs w:val="20"/>
          <w:rtl/>
        </w:rPr>
        <w:t>המלבי״ם</w:t>
      </w:r>
      <w:proofErr w:type="spellEnd"/>
      <w:r>
        <w:rPr>
          <w:sz w:val="20"/>
          <w:szCs w:val="20"/>
          <w:rtl/>
        </w:rPr>
        <w:t xml:space="preserve"> כשמנה “את הגדולים האמיתיים היחידים” בדור הקודם. כך גם בספרו של </w:t>
      </w:r>
      <w:proofErr w:type="spellStart"/>
      <w:r>
        <w:rPr>
          <w:sz w:val="20"/>
          <w:szCs w:val="20"/>
          <w:rtl/>
        </w:rPr>
        <w:t>ידעאל</w:t>
      </w:r>
      <w:proofErr w:type="spellEnd"/>
      <w:r>
        <w:rPr>
          <w:sz w:val="20"/>
          <w:szCs w:val="20"/>
          <w:rtl/>
        </w:rPr>
        <w:t xml:space="preserve"> מלצר, “בדרך עץ החיים”, עמ׳ 576, הושמט </w:t>
      </w:r>
      <w:proofErr w:type="spellStart"/>
      <w:r>
        <w:rPr>
          <w:sz w:val="20"/>
          <w:szCs w:val="20"/>
          <w:rtl/>
        </w:rPr>
        <w:t>המלבי״ם</w:t>
      </w:r>
      <w:proofErr w:type="spellEnd"/>
      <w:r>
        <w:rPr>
          <w:sz w:val="20"/>
          <w:szCs w:val="20"/>
          <w:rtl/>
        </w:rPr>
        <w:t xml:space="preserve"> בציטוט מפי ר׳ יצחק־זאב </w:t>
      </w:r>
      <w:proofErr w:type="spellStart"/>
      <w:r>
        <w:rPr>
          <w:sz w:val="20"/>
          <w:szCs w:val="20"/>
          <w:rtl/>
        </w:rPr>
        <w:t>סולובייצ׳יק</w:t>
      </w:r>
      <w:proofErr w:type="spellEnd"/>
      <w:r>
        <w:rPr>
          <w:sz w:val="20"/>
          <w:szCs w:val="20"/>
          <w:rtl/>
        </w:rPr>
        <w:t xml:space="preserve">: “כשנפטרו ר׳ ישראל </w:t>
      </w:r>
      <w:proofErr w:type="spellStart"/>
      <w:r>
        <w:rPr>
          <w:sz w:val="20"/>
          <w:szCs w:val="20"/>
          <w:rtl/>
        </w:rPr>
        <w:t>סלנטר</w:t>
      </w:r>
      <w:proofErr w:type="spellEnd"/>
      <w:r>
        <w:rPr>
          <w:sz w:val="20"/>
          <w:szCs w:val="20"/>
          <w:rtl/>
        </w:rPr>
        <w:t xml:space="preserve">, ר׳ </w:t>
      </w:r>
      <w:proofErr w:type="spellStart"/>
      <w:r>
        <w:rPr>
          <w:sz w:val="20"/>
          <w:szCs w:val="20"/>
          <w:rtl/>
        </w:rPr>
        <w:t>יהושע־לייב</w:t>
      </w:r>
      <w:proofErr w:type="spellEnd"/>
      <w:r>
        <w:rPr>
          <w:sz w:val="20"/>
          <w:szCs w:val="20"/>
          <w:rtl/>
        </w:rPr>
        <w:t xml:space="preserve"> דיסקין, סבי ר׳ </w:t>
      </w:r>
      <w:proofErr w:type="spellStart"/>
      <w:r>
        <w:rPr>
          <w:sz w:val="20"/>
          <w:szCs w:val="20"/>
          <w:rtl/>
        </w:rPr>
        <w:t xml:space="preserve">יושע־בער</w:t>
      </w:r>
      <w:proofErr w:type="spellEnd"/>
      <w:r>
        <w:rPr>
          <w:sz w:val="20"/>
          <w:szCs w:val="20"/>
          <w:rtl/>
        </w:rPr>
        <w:t xml:space="preserve"> ואבי ר׳ חיים, ירדה חשכה על העולם, אך נשאר עוד מעט אור. עכשיו, משנפטר ר׳ </w:t>
      </w:r>
      <w:proofErr w:type="spellStart"/>
      <w:r>
        <w:rPr>
          <w:sz w:val="20"/>
          <w:szCs w:val="20"/>
          <w:rtl/>
        </w:rPr>
        <w:t>איסר־זלמן</w:t>
      </w:r>
      <w:proofErr w:type="spellEnd"/>
      <w:r>
        <w:rPr>
          <w:sz w:val="20"/>
          <w:szCs w:val="20"/>
          <w:rtl/>
        </w:rPr>
        <w:t xml:space="preserve"> מלצר, לא נשאר מן האור דבר”. ייתכן שר׳ יצחק־זאב השמיט את </w:t>
      </w:r>
      <w:proofErr w:type="spellStart"/>
      <w:r>
        <w:rPr>
          <w:sz w:val="20"/>
          <w:szCs w:val="20"/>
          <w:rtl/>
        </w:rPr>
        <w:t>המלבי״ם</w:t>
      </w:r>
      <w:proofErr w:type="spellEnd"/>
      <w:r>
        <w:rPr>
          <w:sz w:val="20"/>
          <w:szCs w:val="20"/>
          <w:rtl/>
        </w:rPr>
        <w:t xml:space="preserve"> מפני שדיבר על “אורו” של הלימוד ההלכתי, </w:t>
      </w:r>
      <w:proofErr w:type="spellStart"/>
      <w:r>
        <w:rPr>
          <w:sz w:val="20"/>
          <w:szCs w:val="20"/>
          <w:rtl/>
        </w:rPr>
        <w:t>שהמלבי״ם</w:t>
      </w:r>
      <w:proofErr w:type="spellEnd"/>
      <w:r>
        <w:rPr>
          <w:sz w:val="20"/>
          <w:szCs w:val="20"/>
          <w:rtl/>
        </w:rPr>
        <w:t xml:space="preserve">, על אף מוחו המעולה, נתן לו מקום שני במחקריו – כפי שציינו ר׳ </w:t>
      </w:r>
      <w:proofErr w:type="spellStart"/>
      <w:r>
        <w:rPr>
          <w:sz w:val="20"/>
          <w:szCs w:val="20"/>
          <w:rtl/>
        </w:rPr>
        <w:t>אייזל</w:t>
      </w:r>
      <w:proofErr w:type="spellEnd"/>
      <w:r>
        <w:rPr>
          <w:sz w:val="20"/>
          <w:szCs w:val="20"/>
          <w:rtl/>
        </w:rPr>
        <w:t xml:space="preserve"> שפירא, ר׳ </w:t>
      </w:r>
      <w:proofErr w:type="spellStart"/>
      <w:r>
        <w:rPr>
          <w:sz w:val="20"/>
          <w:szCs w:val="20"/>
          <w:rtl/>
        </w:rPr>
        <w:t>רובל׳ה</w:t>
      </w:r>
      <w:proofErr w:type="spellEnd"/>
      <w:r>
        <w:rPr>
          <w:sz w:val="20"/>
          <w:szCs w:val="20"/>
          <w:rtl/>
        </w:rPr>
        <w:t xml:space="preserve"> </w:t>
      </w:r>
      <w:proofErr w:type="spellStart"/>
      <w:r>
        <w:rPr>
          <w:sz w:val="20"/>
          <w:szCs w:val="20"/>
          <w:rtl/>
        </w:rPr>
        <w:t>מדווינסק</w:t>
      </w:r>
      <w:proofErr w:type="spellEnd"/>
      <w:r>
        <w:rPr>
          <w:sz w:val="20"/>
          <w:szCs w:val="20"/>
          <w:rtl/>
        </w:rPr>
        <w:t xml:space="preserve"> ור׳ </w:t>
      </w:r>
      <w:proofErr w:type="spellStart"/>
      <w:r>
        <w:rPr>
          <w:sz w:val="20"/>
          <w:szCs w:val="20"/>
          <w:rtl/>
        </w:rPr>
        <w:t>ליפל׳ה</w:t>
      </w:r>
      <w:proofErr w:type="spellEnd"/>
      <w:r>
        <w:rPr>
          <w:sz w:val="20"/>
          <w:szCs w:val="20"/>
          <w:rtl/>
        </w:rPr>
        <w:t xml:space="preserve"> ממיר (המצוטטים מיד להלן). (ההערכה הגבוהה שייחס ר׳ יצחק־זאב </w:t>
      </w:r>
      <w:proofErr w:type="spellStart"/>
      <w:r>
        <w:rPr>
          <w:sz w:val="20"/>
          <w:szCs w:val="20"/>
          <w:rtl/>
        </w:rPr>
        <w:t>לר</w:t>
      </w:r>
      <w:proofErr w:type="spellEnd"/>
      <w:r>
        <w:rPr>
          <w:sz w:val="20"/>
          <w:szCs w:val="20"/>
          <w:rtl/>
        </w:rPr>
        <w:t xml:space="preserve">׳ </w:t>
      </w:r>
      <w:proofErr w:type="spellStart"/>
      <w:r>
        <w:rPr>
          <w:sz w:val="20"/>
          <w:szCs w:val="20"/>
          <w:rtl/>
        </w:rPr>
        <w:t>איסר־זלמן</w:t>
      </w:r>
      <w:proofErr w:type="spellEnd"/>
      <w:r>
        <w:rPr>
          <w:sz w:val="20"/>
          <w:szCs w:val="20"/>
          <w:rtl/>
        </w:rPr>
        <w:t xml:space="preserve"> הייתה הדדית – ראה עמ׳ </w:t>
      </w:r>
      <w:r>
        <w:rPr>
          <w:sz w:val="20"/>
          <w:szCs w:val="20"/>
          <w:rtl/>
        </w:rPr>
        <w:fldChar w:fldCharType="begin" w:dirty="true"/>
      </w:r>
      <w:r>
        <w:rPr>
          <w:sz w:val="20"/>
          <w:szCs w:val="20"/>
          <w:rtl/>
        </w:rPr>
        <w:instrText xml:space="preserve"> PAGEREF pr_close_b_4349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779">
    <w:p w14:paraId="10B95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רבנו רמז שהדובר לא הכיר את ר׳ ישראל!</w:t>
      </w:r>
    </w:p>
  </w:footnote>
  <w:footnote w:id="4780">
    <w:p w14:paraId="319A791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מ־13 בינואר 1997.</w:t>
      </w:r>
    </w:p>
  </w:footnote>
  <w:footnote w:id="4781">
    <w:p w14:paraId="0E23CBE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הציטוטים הבאים הם מרמב״ם הלכות תפילין פ״ד </w:t>
      </w:r>
      <w:proofErr w:type="spellStart"/>
      <w:r>
        <w:rPr>
          <w:sz w:val="20"/>
          <w:szCs w:val="20"/>
          <w:rtl/>
        </w:rPr>
        <w:t>הכ״ה</w:t>
      </w:r>
      <w:proofErr w:type="spellEnd"/>
      <w:r>
        <w:rPr>
          <w:sz w:val="20"/>
          <w:szCs w:val="20"/>
          <w:rtl/>
        </w:rPr>
        <w:t>.</w:t>
      </w:r>
    </w:p>
  </w:footnote>
  <w:footnote w:id="4782">
    <w:p w14:paraId="0E5357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נספח ו – עמ׳ </w:t>
      </w:r>
      <w:proofErr w:type="spellStart"/>
      <w:r>
        <w:rPr>
          <w:sz w:val="20"/>
          <w:szCs w:val="20"/>
          <w:rtl/>
        </w:rPr>
        <w:t>קכד</w:t>
      </w:r>
      <w:proofErr w:type="spellEnd"/>
      <w:r>
        <w:rPr>
          <w:sz w:val="20"/>
          <w:szCs w:val="20"/>
          <w:rtl/>
        </w:rPr>
        <w:t>.</w:t>
      </w:r>
    </w:p>
  </w:footnote>
  <w:footnote w:id="4783">
    <w:p w14:paraId="2E4650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7 – עמ׳ 372.</w:t>
      </w:r>
    </w:p>
  </w:footnote>
  <w:footnote w:id="4784">
    <w:p w14:paraId="5A8144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קידושין </w:t>
      </w:r>
      <w:proofErr w:type="spellStart"/>
      <w:r>
        <w:rPr>
          <w:sz w:val="20"/>
          <w:szCs w:val="20"/>
          <w:rtl/>
        </w:rPr>
        <w:t>עו</w:t>
      </w:r>
      <w:proofErr w:type="spellEnd"/>
      <w:r>
        <w:rPr>
          <w:sz w:val="20"/>
          <w:szCs w:val="20"/>
          <w:rtl/>
        </w:rPr>
        <w:t xml:space="preserve"> ע״א.</w:t>
      </w:r>
    </w:p>
  </w:footnote>
  <w:footnote w:id="4785">
    <w:p w14:paraId="2C240A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“הגאון </w:t>
      </w:r>
      <w:proofErr w:type="spellStart"/>
      <w:r>
        <w:rPr>
          <w:sz w:val="20"/>
          <w:szCs w:val="20"/>
          <w:rtl/>
        </w:rPr>
        <w:t>מלבי״ם</w:t>
      </w:r>
      <w:proofErr w:type="spellEnd"/>
      <w:r>
        <w:rPr>
          <w:sz w:val="20"/>
          <w:szCs w:val="20"/>
          <w:rtl/>
        </w:rPr>
        <w:t>”, עמ׳ קט.</w:t>
      </w:r>
    </w:p>
  </w:footnote>
  <w:footnote w:id="4786">
    <w:p w14:paraId="7DA203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רמד</w:t>
      </w:r>
      <w:proofErr w:type="spellEnd"/>
      <w:r>
        <w:rPr>
          <w:sz w:val="20"/>
          <w:szCs w:val="20"/>
          <w:rtl/>
        </w:rPr>
        <w:t xml:space="preserve">, בשם ר׳ </w:t>
      </w:r>
      <w:proofErr w:type="spellStart"/>
      <w:r>
        <w:rPr>
          <w:sz w:val="20"/>
          <w:szCs w:val="20"/>
          <w:rtl/>
        </w:rPr>
        <w:t>יחיאל־מרדכי</w:t>
      </w:r>
      <w:proofErr w:type="spellEnd"/>
      <w:r>
        <w:rPr>
          <w:sz w:val="20"/>
          <w:szCs w:val="20"/>
          <w:rtl/>
        </w:rPr>
        <w:t xml:space="preserve"> גורדון ששמע מפי חותנו ר׳ לייזר </w:t>
      </w:r>
      <w:proofErr w:type="spellStart"/>
      <w:r>
        <w:rPr>
          <w:sz w:val="20"/>
          <w:szCs w:val="20"/>
          <w:rtl/>
        </w:rPr>
        <w:t>שולביץ</w:t>
      </w:r>
      <w:proofErr w:type="spellEnd"/>
      <w:r>
        <w:rPr>
          <w:sz w:val="20"/>
          <w:szCs w:val="20"/>
          <w:rtl/>
        </w:rPr>
        <w:t xml:space="preserve"> – ראה פרק 3, הפסקה השלישית של נספח ד, </w:t>
      </w:r>
      <w:proofErr w:type="spellStart"/>
      <w:r>
        <w:rPr>
          <w:sz w:val="20"/>
          <w:szCs w:val="20"/>
          <w:rtl/>
        </w:rPr>
        <w:t>שלר</w:t>
      </w:r>
      <w:proofErr w:type="spellEnd"/>
      <w:r>
        <w:rPr>
          <w:sz w:val="20"/>
          <w:szCs w:val="20"/>
          <w:rtl/>
        </w:rPr>
        <w:t>׳ לייזר הייתה הזדמנות מיוחדת לשוחח עם ר׳ ישראל.</w:t>
      </w:r>
    </w:p>
  </w:footnote>
  <w:footnote w:id="4787">
    <w:p w14:paraId="4B7554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י, שבנעוריו ציפה ר׳ ישראל מעצמו שיהיה </w:t>
      </w:r>
      <w:proofErr w:type="spellStart"/>
      <w:r>
        <w:rPr>
          <w:sz w:val="20"/>
          <w:szCs w:val="20"/>
          <w:rtl/>
        </w:rPr>
        <w:t>גר״א</w:t>
      </w:r>
      <w:proofErr w:type="spellEnd"/>
      <w:r>
        <w:rPr>
          <w:sz w:val="20"/>
          <w:szCs w:val="20"/>
          <w:rtl/>
        </w:rPr>
        <w:t xml:space="preserve"> שני.</w:t>
      </w:r>
    </w:p>
  </w:footnote>
  <w:footnote w:id="4788">
    <w:p w14:paraId="6F33D3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הערה 10 – עמ׳ </w:t>
      </w:r>
      <w:proofErr w:type="spellStart"/>
      <w:r>
        <w:rPr>
          <w:sz w:val="20"/>
          <w:szCs w:val="20"/>
          <w:rtl/>
        </w:rPr>
        <w:t>עא</w:t>
      </w:r>
      <w:proofErr w:type="spellEnd"/>
      <w:r>
        <w:rPr>
          <w:sz w:val="20"/>
          <w:szCs w:val="20"/>
          <w:rtl/>
        </w:rPr>
        <w:t>–עב.</w:t>
      </w:r>
    </w:p>
  </w:footnote>
  <w:footnote w:id="4789">
    <w:p w14:paraId="325323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הרביעית של נספח ו להלן.</w:t>
      </w:r>
    </w:p>
  </w:footnote>
  <w:footnote w:id="4790">
    <w:p w14:paraId="3A7CD6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שר׳ עקיבא איגר רצה להוכיח את כנות הצהרתו בהמחשה מעשית. אבל מסתבר יותר </w:t>
      </w:r>
      <w:proofErr w:type="spellStart"/>
      <w:r>
        <w:rPr>
          <w:sz w:val="20"/>
          <w:szCs w:val="20"/>
          <w:rtl/>
        </w:rPr>
        <w:t>שהמלבי״ם</w:t>
      </w:r>
      <w:proofErr w:type="spellEnd"/>
      <w:r>
        <w:rPr>
          <w:sz w:val="20"/>
          <w:szCs w:val="20"/>
          <w:rtl/>
        </w:rPr>
        <w:t xml:space="preserve">, שעברו עליו ילדותו ונעוריו בעיר הולדתו </w:t>
      </w:r>
      <w:proofErr w:type="spellStart"/>
      <w:r>
        <w:rPr>
          <w:sz w:val="20"/>
          <w:szCs w:val="20"/>
          <w:rtl/>
        </w:rPr>
        <w:t>וולוצ׳יסק</w:t>
      </w:r>
      <w:proofErr w:type="spellEnd"/>
      <w:r>
        <w:rPr>
          <w:sz w:val="20"/>
          <w:szCs w:val="20"/>
          <w:rtl/>
        </w:rPr>
        <w:t xml:space="preserve"> ובוורשה, שבהן דיברו יידיש פולנית, פשוט לא הבין את היידיש הגרמנית של ר׳ עקיבא איגר, וחשב שהגאון הזקן מצווה עליו לשבת על כיסאו. שלוש שנים לאחר מכן, כשנפטר ר׳ עקיבא איגר, הציג </w:t>
      </w:r>
      <w:proofErr w:type="spellStart"/>
      <w:r>
        <w:rPr>
          <w:sz w:val="20"/>
          <w:szCs w:val="20"/>
          <w:rtl/>
        </w:rPr>
        <w:t>המלבי״ם</w:t>
      </w:r>
      <w:proofErr w:type="spellEnd"/>
      <w:r>
        <w:rPr>
          <w:sz w:val="20"/>
          <w:szCs w:val="20"/>
          <w:rtl/>
        </w:rPr>
        <w:t xml:space="preserve">, צעיר כל כך וחסר ניסיון ברבנות, את מועמדותו לכהונה שהגאון הנודע בעולם – “כמעט ראשון” לפי ר׳ חיים </w:t>
      </w:r>
      <w:proofErr w:type="spellStart"/>
      <w:r>
        <w:rPr>
          <w:sz w:val="20"/>
          <w:szCs w:val="20"/>
          <w:rtl/>
        </w:rPr>
        <w:t>סולובייצ׳יק</w:t>
      </w:r>
      <w:proofErr w:type="spellEnd"/>
      <w:r>
        <w:rPr>
          <w:sz w:val="20"/>
          <w:szCs w:val="20"/>
          <w:rtl/>
        </w:rPr>
        <w:t xml:space="preserve"> (ראה פרק 4, נספח </w:t>
      </w:r>
      <w:proofErr w:type="spellStart"/>
      <w:r>
        <w:rPr>
          <w:sz w:val="20"/>
          <w:szCs w:val="20"/>
          <w:rtl/>
        </w:rPr>
        <w:t>טז</w:t>
      </w:r>
      <w:proofErr w:type="spellEnd"/>
      <w:r>
        <w:rPr>
          <w:sz w:val="20"/>
          <w:szCs w:val="20"/>
          <w:rtl/>
        </w:rPr>
        <w:t>) – האציל עליה מכבודו.</w:t>
      </w:r>
    </w:p>
    <w:p w14:paraId="62331F79" w14:textId="77777777" w:rsidR="00AB3647" w:rsidRDefault="00000000">
      <w:pPr>
        <w:spacing w:after="0" w:before="0"/>
        <w:jc w:val="both"/>
      </w:pPr>
      <w:r>
        <w:rPr>
          <w:sz w:val="20"/>
          <w:szCs w:val="20"/>
          <w:rtl/>
        </w:rPr>
        <w:t>“</w:t>
      </w:r>
      <w:proofErr w:type="spellStart"/>
      <w:r>
        <w:rPr>
          <w:sz w:val="20"/>
          <w:szCs w:val="20"/>
          <w:rtl/>
        </w:rPr>
        <w:t>המלבי״ם</w:t>
      </w:r>
      <w:proofErr w:type="spellEnd"/>
      <w:r>
        <w:rPr>
          <w:sz w:val="20"/>
          <w:szCs w:val="20"/>
          <w:rtl/>
        </w:rPr>
        <w:t xml:space="preserve">” מאת נח ח. רוזנבלום (מוסד הרב קוק, ירושלים, תשמ״ח), שאני חייב לו תודה על חלק גדול מן המידע על </w:t>
      </w:r>
      <w:proofErr w:type="spellStart"/>
      <w:r>
        <w:rPr>
          <w:sz w:val="20"/>
          <w:szCs w:val="20"/>
          <w:rtl/>
        </w:rPr>
        <w:t>המלבי״ם</w:t>
      </w:r>
      <w:proofErr w:type="spellEnd"/>
      <w:r>
        <w:rPr>
          <w:sz w:val="20"/>
          <w:szCs w:val="20"/>
          <w:rtl/>
        </w:rPr>
        <w:t xml:space="preserve">, מביע פליאה על “יומרנותו” בהגשת מועמדותו (עמ׳ 27). ייתכן שהצהרת ר׳ עקיבא איגר שהוא מסוגל לשבת על כיסא הרבנות </w:t>
      </w:r>
      <w:proofErr w:type="spellStart"/>
      <w:r>
        <w:rPr>
          <w:sz w:val="20"/>
          <w:szCs w:val="20"/>
          <w:rtl/>
        </w:rPr>
        <w:t>בפוזנא</w:t>
      </w:r>
      <w:proofErr w:type="spellEnd"/>
      <w:r>
        <w:rPr>
          <w:sz w:val="20"/>
          <w:szCs w:val="20"/>
          <w:rtl/>
        </w:rPr>
        <w:t xml:space="preserve"> עודדה את החכם הצעיר לנסות זאת. אבל מועמדותו נדחתה, והעיר בחרה בבנו של ר׳ עקיבא איגר, ר׳ שלמה, רבה של </w:t>
      </w:r>
      <w:proofErr w:type="spellStart"/>
      <w:r>
        <w:rPr>
          <w:sz w:val="20"/>
          <w:szCs w:val="20"/>
          <w:rtl/>
        </w:rPr>
        <w:t>קאליש</w:t>
      </w:r>
      <w:proofErr w:type="spellEnd"/>
      <w:r>
        <w:rPr>
          <w:sz w:val="20"/>
          <w:szCs w:val="20"/>
          <w:rtl/>
        </w:rPr>
        <w:t xml:space="preserve">, שהיה מבוגר ממנו בעשרים וארבע שנים (כמעט פי שניים מגיל </w:t>
      </w:r>
      <w:proofErr w:type="spellStart"/>
      <w:r>
        <w:rPr>
          <w:sz w:val="20"/>
          <w:szCs w:val="20"/>
          <w:rtl/>
        </w:rPr>
        <w:t>המלבי״ם</w:t>
      </w:r>
      <w:proofErr w:type="spellEnd"/>
      <w:r>
        <w:rPr>
          <w:sz w:val="20"/>
          <w:szCs w:val="20"/>
          <w:rtl/>
        </w:rPr>
        <w:t xml:space="preserve"> בשעת פטירת ר׳ עקיבא), למלא את מקום אביו.</w:t>
      </w:r>
    </w:p>
  </w:footnote>
  <w:footnote w:id="4791">
    <w:p w14:paraId="5E4B4BD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 דניאל לוי סיפר מעשה זה ותוצאתו העצובה בשם אבי ב־19 ביולי 2001.</w:t>
      </w:r>
    </w:p>
  </w:footnote>
  <w:footnote w:id="4792">
    <w:p w14:paraId="09A9134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פרסם מאמרים בביטאון האורתודוקסי “הלבנון” (ראה פרק 2, סוף הפסקה </w:t>
      </w:r>
      <w:proofErr w:type="spellStart"/>
      <w:r>
        <w:rPr>
          <w:sz w:val="20"/>
          <w:szCs w:val="20"/>
          <w:rtl/>
        </w:rPr>
        <w:t>השתים־עשרה</w:t>
      </w:r>
      <w:proofErr w:type="spellEnd"/>
      <w:r>
        <w:rPr>
          <w:sz w:val="20"/>
          <w:szCs w:val="20"/>
          <w:rtl/>
        </w:rPr>
        <w:t xml:space="preserve"> של נספח א), ולמרבה ההפתעה זכה גם להערצתו של המשכיל שניאור </w:t>
      </w:r>
      <w:proofErr w:type="spellStart"/>
      <w:r>
        <w:rPr>
          <w:sz w:val="20"/>
          <w:szCs w:val="20"/>
          <w:rtl/>
        </w:rPr>
        <w:t>זק״ש</w:t>
      </w:r>
      <w:proofErr w:type="spellEnd"/>
      <w:r>
        <w:rPr>
          <w:sz w:val="20"/>
          <w:szCs w:val="20"/>
          <w:rtl/>
        </w:rPr>
        <w:t xml:space="preserve"> (ראה פרק 4, נספח ח).</w:t>
      </w:r>
    </w:p>
  </w:footnote>
  <w:footnote w:id="4793">
    <w:p w14:paraId="365570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המעשה כפי שסיפרו אבי – לפי רשימותיו של ר׳ אשר </w:t>
      </w:r>
      <w:proofErr w:type="spellStart"/>
      <w:r>
        <w:rPr>
          <w:sz w:val="20"/>
          <w:szCs w:val="20"/>
          <w:rtl/>
        </w:rPr>
        <w:t>קצמן</w:t>
      </w:r>
      <w:proofErr w:type="spellEnd"/>
      <w:r>
        <w:rPr>
          <w:sz w:val="20"/>
          <w:szCs w:val="20"/>
          <w:rtl/>
        </w:rPr>
        <w:t xml:space="preserve"> משיחותיו עם אבי בפלורידה (פרק 1, הערה 71) – מופיע </w:t>
      </w:r>
      <w:proofErr w:type="spellStart"/>
      <w:r>
        <w:rPr>
          <w:sz w:val="20"/>
          <w:szCs w:val="20"/>
          <w:rtl/>
        </w:rPr>
        <w:t>ב“ר</w:t>
      </w:r>
      <w:proofErr w:type="spellEnd"/>
      <w:r>
        <w:rPr>
          <w:sz w:val="20"/>
          <w:szCs w:val="20"/>
          <w:rtl/>
        </w:rPr>
        <w:t xml:space="preserve">׳ יעקב” (שם, הקדמה), עמ׳ 196, </w:t>
      </w:r>
      <w:proofErr w:type="spellStart"/>
      <w:r>
        <w:rPr>
          <w:sz w:val="20"/>
          <w:szCs w:val="20"/>
          <w:rtl/>
        </w:rPr>
        <w:t>וב“רבי</w:t>
      </w:r>
      <w:proofErr w:type="spellEnd"/>
      <w:r>
        <w:rPr>
          <w:sz w:val="20"/>
          <w:szCs w:val="20"/>
          <w:rtl/>
        </w:rPr>
        <w:t xml:space="preserve"> יעקב” (שם, שם), עמ׳ 260–261. ברשימות אלה מסר ר׳ אשר </w:t>
      </w:r>
      <w:proofErr w:type="spellStart"/>
      <w:r>
        <w:rPr>
          <w:sz w:val="20"/>
          <w:szCs w:val="20"/>
          <w:rtl/>
        </w:rPr>
        <w:t>קצמן</w:t>
      </w:r>
      <w:proofErr w:type="spellEnd"/>
      <w:r>
        <w:rPr>
          <w:sz w:val="20"/>
          <w:szCs w:val="20"/>
          <w:rtl/>
        </w:rPr>
        <w:t xml:space="preserve"> גרסה שונה במקצת משתי הגרסאות שנדפסו, וגם אני זוכר ששמעתי את המעשה מפי אבי בשינוי קל נוסף. מלבד ארבע הגרסאות האלה, שמקורן באבי, יש עוד שתי גרסאות בשני ספרים בשם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האחת </w:t>
      </w:r>
      <w:proofErr w:type="spellStart"/>
      <w:r>
        <w:rPr>
          <w:sz w:val="20"/>
          <w:szCs w:val="20"/>
          <w:rtl/>
        </w:rPr>
        <w:t>ב“נפש</w:t>
      </w:r>
      <w:proofErr w:type="spellEnd"/>
      <w:r>
        <w:rPr>
          <w:sz w:val="20"/>
          <w:szCs w:val="20"/>
          <w:rtl/>
        </w:rPr>
        <w:t xml:space="preserve"> הרב” (שם, פרק 3, נספח ט), עמ׳ </w:t>
      </w:r>
      <w:proofErr w:type="spellStart"/>
      <w:r>
        <w:rPr>
          <w:sz w:val="20"/>
          <w:szCs w:val="20"/>
          <w:rtl/>
        </w:rPr>
        <w:t>רנא</w:t>
      </w:r>
      <w:proofErr w:type="spellEnd"/>
      <w:r>
        <w:rPr>
          <w:sz w:val="20"/>
          <w:szCs w:val="20"/>
          <w:rtl/>
        </w:rPr>
        <w:t>–</w:t>
      </w:r>
      <w:proofErr w:type="spellStart"/>
      <w:r>
        <w:rPr>
          <w:sz w:val="20"/>
          <w:szCs w:val="20"/>
          <w:rtl/>
        </w:rPr>
        <w:t>רנב</w:t>
      </w:r>
      <w:proofErr w:type="spellEnd"/>
      <w:r>
        <w:rPr>
          <w:sz w:val="20"/>
          <w:szCs w:val="20"/>
          <w:rtl/>
        </w:rPr>
        <w:t xml:space="preserve">, והשנייה </w:t>
      </w:r>
      <w:proofErr w:type="spellStart"/>
      <w:r>
        <w:rPr>
          <w:sz w:val="20"/>
          <w:szCs w:val="20"/>
          <w:rtl/>
        </w:rPr>
        <w:t>ב“הגאון</w:t>
      </w:r>
      <w:proofErr w:type="spellEnd"/>
      <w:r>
        <w:rPr>
          <w:sz w:val="20"/>
          <w:szCs w:val="20"/>
          <w:rtl/>
        </w:rPr>
        <w:t xml:space="preserve"> </w:t>
      </w:r>
      <w:proofErr w:type="spellStart"/>
      <w:r>
        <w:rPr>
          <w:sz w:val="20"/>
          <w:szCs w:val="20"/>
          <w:rtl/>
        </w:rPr>
        <w:t>מלבי״ם</w:t>
      </w:r>
      <w:proofErr w:type="spellEnd"/>
      <w:r>
        <w:rPr>
          <w:sz w:val="20"/>
          <w:szCs w:val="20"/>
          <w:rtl/>
        </w:rPr>
        <w:t xml:space="preserve">”, עמ׳ </w:t>
      </w:r>
      <w:proofErr w:type="spellStart"/>
      <w:r>
        <w:rPr>
          <w:sz w:val="20"/>
          <w:szCs w:val="20"/>
          <w:rtl/>
        </w:rPr>
        <w:t>רמד</w:t>
      </w:r>
      <w:proofErr w:type="spellEnd"/>
      <w:r>
        <w:rPr>
          <w:sz w:val="20"/>
          <w:szCs w:val="20"/>
          <w:rtl/>
        </w:rPr>
        <w:t>–רמה.</w:t>
      </w:r>
    </w:p>
    <w:p w14:paraId="06B758DF" w14:textId="77777777" w:rsidR="00AB3647" w:rsidRDefault="00000000">
      <w:pPr>
        <w:spacing w:after="0" w:before="0"/>
        <w:jc w:val="both"/>
      </w:pPr>
      <w:r>
        <w:rPr>
          <w:sz w:val="20"/>
          <w:szCs w:val="20"/>
          <w:rtl/>
        </w:rPr>
        <w:t xml:space="preserve">ייתכן שאבי, כמו ר׳ משה־מאיר ישר, מחבר “הגאון </w:t>
      </w:r>
      <w:proofErr w:type="spellStart"/>
      <w:r>
        <w:rPr>
          <w:sz w:val="20"/>
          <w:szCs w:val="20"/>
          <w:rtl/>
        </w:rPr>
        <w:t>מלבי״ם</w:t>
      </w:r>
      <w:proofErr w:type="spellEnd"/>
      <w:r>
        <w:rPr>
          <w:sz w:val="20"/>
          <w:szCs w:val="20"/>
          <w:rtl/>
        </w:rPr>
        <w:t xml:space="preserve">”, שמע מעשה זה מפי ר׳ </w:t>
      </w:r>
      <w:proofErr w:type="spellStart"/>
      <w:r>
        <w:rPr>
          <w:sz w:val="20"/>
          <w:szCs w:val="20"/>
          <w:rtl/>
        </w:rPr>
        <w:t xml:space="preserve">יוסף־דב</w:t>
      </w:r>
      <w:proofErr w:type="spellEnd"/>
      <w:r>
        <w:rPr>
          <w:sz w:val="20"/>
          <w:szCs w:val="20"/>
          <w:rtl/>
        </w:rPr>
        <w:t xml:space="preserve">, כשם ששמע ממנו על ארבעת </w:t>
      </w:r>
      <w:proofErr w:type="spellStart"/>
      <w:r>
        <w:rPr>
          <w:sz w:val="20"/>
          <w:szCs w:val="20"/>
          <w:rtl/>
        </w:rPr>
        <w:t>מעין־הראשונים</w:t>
      </w:r>
      <w:proofErr w:type="spellEnd"/>
      <w:r>
        <w:rPr>
          <w:sz w:val="20"/>
          <w:szCs w:val="20"/>
          <w:rtl/>
        </w:rPr>
        <w:t xml:space="preserve">, </w:t>
      </w:r>
      <w:proofErr w:type="spellStart"/>
      <w:r>
        <w:rPr>
          <w:sz w:val="20"/>
          <w:szCs w:val="20"/>
          <w:rtl/>
        </w:rPr>
        <w:t>והמלבי״ם</w:t>
      </w:r>
      <w:proofErr w:type="spellEnd"/>
      <w:r>
        <w:rPr>
          <w:sz w:val="20"/>
          <w:szCs w:val="20"/>
          <w:rtl/>
        </w:rPr>
        <w:t xml:space="preserve"> בתוכם. אבל בגלל ההבדלים שיימנו להלן בין כל ארבע הגרסאות המיוחסות לאבי ובין השתיים המיוחסות </w:t>
      </w:r>
      <w:proofErr w:type="spellStart"/>
      <w:r>
        <w:rPr>
          <w:sz w:val="20"/>
          <w:szCs w:val="20"/>
          <w:rtl/>
        </w:rPr>
        <w:t>לר</w:t>
      </w:r>
      <w:proofErr w:type="spellEnd"/>
      <w:r>
        <w:rPr>
          <w:sz w:val="20"/>
          <w:szCs w:val="20"/>
          <w:rtl/>
        </w:rPr>
        <w:t xml:space="preserve">׳ </w:t>
      </w:r>
      <w:proofErr w:type="spellStart"/>
      <w:r>
        <w:rPr>
          <w:sz w:val="20"/>
          <w:szCs w:val="20"/>
          <w:rtl/>
        </w:rPr>
        <w:t xml:space="preserve">יוסף־דב</w:t>
      </w:r>
      <w:proofErr w:type="spellEnd"/>
      <w:r>
        <w:rPr>
          <w:sz w:val="20"/>
          <w:szCs w:val="20"/>
          <w:rtl/>
        </w:rPr>
        <w:t xml:space="preserve">, ובייחוד בגלל סיפורו הנוסף והקשור של אבי על פגישת </w:t>
      </w:r>
      <w:proofErr w:type="spellStart"/>
      <w:r>
        <w:rPr>
          <w:sz w:val="20"/>
          <w:szCs w:val="20"/>
          <w:rtl/>
        </w:rPr>
        <w:t>המלבי״ם</w:t>
      </w:r>
      <w:proofErr w:type="spellEnd"/>
      <w:r>
        <w:rPr>
          <w:sz w:val="20"/>
          <w:szCs w:val="20"/>
          <w:rtl/>
        </w:rPr>
        <w:t xml:space="preserve"> עם ר׳ עקיבא איגר, ברור למדי שאבי שמע את מעשה השגגה שבין </w:t>
      </w:r>
      <w:proofErr w:type="spellStart"/>
      <w:r>
        <w:rPr>
          <w:sz w:val="20"/>
          <w:szCs w:val="20"/>
          <w:rtl/>
        </w:rPr>
        <w:t>המלבי״ם</w:t>
      </w:r>
      <w:proofErr w:type="spellEnd"/>
      <w:r>
        <w:rPr>
          <w:sz w:val="20"/>
          <w:szCs w:val="20"/>
          <w:rtl/>
        </w:rPr>
        <w:t xml:space="preserve"> </w:t>
      </w:r>
      <w:proofErr w:type="spellStart"/>
      <w:r>
        <w:rPr>
          <w:sz w:val="20"/>
          <w:szCs w:val="20"/>
          <w:rtl/>
        </w:rPr>
        <w:t>לחתם־סופר</w:t>
      </w:r>
      <w:proofErr w:type="spellEnd"/>
      <w:r>
        <w:rPr>
          <w:sz w:val="20"/>
          <w:szCs w:val="20"/>
          <w:rtl/>
        </w:rPr>
        <w:t xml:space="preserve"> ממקום אחר.</w:t>
      </w:r>
    </w:p>
    <w:p w14:paraId="42D90973" w14:textId="77777777" w:rsidR="00AB3647" w:rsidRDefault="00000000">
      <w:pPr>
        <w:spacing w:after="0" w:before="0"/>
        <w:jc w:val="both"/>
      </w:pPr>
      <w:r>
        <w:rPr>
          <w:sz w:val="20"/>
          <w:szCs w:val="20"/>
          <w:rtl/>
        </w:rPr>
        <w:t xml:space="preserve">אמנה את שש הגרסאות בסדר שבו נזכרו לעיל, ואצביע על ההבדלים ביניהן בשלושה צדדים של המעשה: 1 – מתי אירע; 2 – מה גרם לטעות </w:t>
      </w:r>
      <w:proofErr w:type="spellStart"/>
      <w:r>
        <w:rPr>
          <w:sz w:val="20"/>
          <w:szCs w:val="20"/>
          <w:rtl/>
        </w:rPr>
        <w:t>המלבי״ם</w:t>
      </w:r>
      <w:proofErr w:type="spellEnd"/>
      <w:r>
        <w:rPr>
          <w:sz w:val="20"/>
          <w:szCs w:val="20"/>
          <w:rtl/>
        </w:rPr>
        <w:t xml:space="preserve">; 3 – למי אמר </w:t>
      </w:r>
      <w:proofErr w:type="spellStart"/>
      <w:r>
        <w:rPr>
          <w:sz w:val="20"/>
          <w:szCs w:val="20"/>
          <w:rtl/>
        </w:rPr>
        <w:t>החתם־סופר</w:t>
      </w:r>
      <w:proofErr w:type="spellEnd"/>
      <w:r>
        <w:rPr>
          <w:sz w:val="20"/>
          <w:szCs w:val="20"/>
          <w:rtl/>
        </w:rPr>
        <w:t xml:space="preserve"> את דבריו הגורליים.</w:t>
      </w:r>
    </w:p>
    <w:p w14:paraId="1B4C6196" w14:textId="77777777" w:rsidR="00AB3647" w:rsidRDefault="00000000">
      <w:pPr>
        <w:spacing w:after="0" w:before="0"/>
        <w:jc w:val="both"/>
      </w:pPr>
      <w:r>
        <w:rPr>
          <w:sz w:val="20"/>
          <w:szCs w:val="20"/>
          <w:rtl/>
        </w:rPr>
        <w:t xml:space="preserve">עניין 1: לפי גרסאות 1, 2 ו־3, התקלה אירעה לפני מנחה, אחרי </w:t>
      </w:r>
      <w:proofErr w:type="spellStart"/>
      <w:r>
        <w:rPr>
          <w:sz w:val="20"/>
          <w:szCs w:val="20"/>
          <w:rtl/>
        </w:rPr>
        <w:t>שהמלבי״ם</w:t>
      </w:r>
      <w:proofErr w:type="spellEnd"/>
      <w:r>
        <w:rPr>
          <w:sz w:val="20"/>
          <w:szCs w:val="20"/>
          <w:rtl/>
        </w:rPr>
        <w:t xml:space="preserve"> מסר דרשה בת שלוש שעות בבית הכנסת הגדול; לפי גרסה 4, היא אירעה אחרי הדרשה הארוכה, אבל לפני ערבית; לפי גרסאות 5 ו־6, היא אירעה לפני ערבית, אבל לא הייתה דרשה – אלא יום ארוך של שיחות בתורה בין שני ענקי התורה בבית </w:t>
      </w:r>
      <w:proofErr w:type="spellStart"/>
      <w:r>
        <w:rPr>
          <w:sz w:val="20"/>
          <w:szCs w:val="20"/>
          <w:rtl/>
        </w:rPr>
        <w:t>החתם־סופר</w:t>
      </w:r>
      <w:proofErr w:type="spellEnd"/>
      <w:r>
        <w:rPr>
          <w:sz w:val="20"/>
          <w:szCs w:val="20"/>
          <w:rtl/>
        </w:rPr>
        <w:t>.</w:t>
      </w:r>
    </w:p>
    <w:p w14:paraId="5C48850B" w14:textId="77777777" w:rsidR="00AB3647" w:rsidRDefault="00000000">
      <w:pPr>
        <w:spacing w:after="0" w:before="0"/>
        <w:jc w:val="both"/>
      </w:pPr>
      <w:r>
        <w:rPr>
          <w:sz w:val="20"/>
          <w:szCs w:val="20"/>
          <w:rtl/>
        </w:rPr>
        <w:t xml:space="preserve">עניין 2: לפי גרסאות 1 ו־3, </w:t>
      </w:r>
      <w:proofErr w:type="spellStart"/>
      <w:r>
        <w:rPr>
          <w:sz w:val="20"/>
          <w:szCs w:val="20"/>
          <w:rtl/>
        </w:rPr>
        <w:t>המלבי״ם</w:t>
      </w:r>
      <w:proofErr w:type="spellEnd"/>
      <w:r>
        <w:rPr>
          <w:sz w:val="20"/>
          <w:szCs w:val="20"/>
          <w:rtl/>
        </w:rPr>
        <w:t xml:space="preserve"> היה עדיין שקוע כל כך בפלפולו אחרי שירד מן הבימה, שלא שם לב היכן ישב; לפי גרסה 2, הוא היה חלש כל כך אחרי דרשתו הארוכה, שלא היה לו כוח להבחין היכן מצא מקום ישיבה, ומשישב הפליג במחשבותיו; לפי גרסה 4, הדרשה נמסרה אחרי מנחה והסתיימה כשכבר החשיך, ולכן החשכה גרמה לטעות </w:t>
      </w:r>
      <w:proofErr w:type="spellStart"/>
      <w:r>
        <w:rPr>
          <w:sz w:val="20"/>
          <w:szCs w:val="20"/>
          <w:rtl/>
        </w:rPr>
        <w:t>המלבי״ם</w:t>
      </w:r>
      <w:proofErr w:type="spellEnd"/>
      <w:r>
        <w:rPr>
          <w:sz w:val="20"/>
          <w:szCs w:val="20"/>
          <w:rtl/>
        </w:rPr>
        <w:t xml:space="preserve"> (והטעות נמשכה עד שבא גוי להדליק את מנורות בית הכנסת); לפי גרסה 5, שיחות התורה הסתיימו עם רדת החשכה, וכמו בגרסה 4 החשכה גרמה לטעות </w:t>
      </w:r>
      <w:proofErr w:type="spellStart"/>
      <w:r>
        <w:rPr>
          <w:sz w:val="20"/>
          <w:szCs w:val="20"/>
          <w:rtl/>
        </w:rPr>
        <w:t>המלבי״ם</w:t>
      </w:r>
      <w:proofErr w:type="spellEnd"/>
      <w:r>
        <w:rPr>
          <w:sz w:val="20"/>
          <w:szCs w:val="20"/>
          <w:rtl/>
        </w:rPr>
        <w:t xml:space="preserve">, “כשישב על כיסא הרב הסמוך לכיסא שעליו ישב במשך כל השבת”; לפי גרסה 6, </w:t>
      </w:r>
      <w:proofErr w:type="spellStart"/>
      <w:r>
        <w:rPr>
          <w:sz w:val="20"/>
          <w:szCs w:val="20"/>
          <w:rtl/>
        </w:rPr>
        <w:t>המלבי״ם</w:t>
      </w:r>
      <w:proofErr w:type="spellEnd"/>
      <w:r>
        <w:rPr>
          <w:sz w:val="20"/>
          <w:szCs w:val="20"/>
          <w:rtl/>
        </w:rPr>
        <w:t xml:space="preserve"> היה רגיל להתבודד ולהתבונן בשעת בין השמשות של שבת, ואחרי “שהלך לבדו לבית הכנסת, כשכל חוטי מחשבותיו מרוכזים בעולמות העליונים”, לא הבחין שאינו יושב על כיסאו שלו אלא על הכיסא הסמוך, כיסא הרב.</w:t>
      </w:r>
    </w:p>
    <w:p w14:paraId="6524D0C2" w14:textId="77777777" w:rsidR="00AB3647" w:rsidRDefault="00000000">
      <w:pPr>
        <w:spacing w:after="0" w:before="0"/>
        <w:jc w:val="both"/>
      </w:pPr>
      <w:r>
        <w:rPr>
          <w:sz w:val="20"/>
          <w:szCs w:val="20"/>
          <w:rtl/>
        </w:rPr>
        <w:t xml:space="preserve">עניין 3: לפי גרסה 1, </w:t>
      </w:r>
      <w:proofErr w:type="spellStart"/>
      <w:r>
        <w:rPr>
          <w:sz w:val="20"/>
          <w:szCs w:val="20"/>
          <w:rtl/>
        </w:rPr>
        <w:t>כשהמלבי״ם</w:t>
      </w:r>
      <w:proofErr w:type="spellEnd"/>
      <w:r>
        <w:rPr>
          <w:sz w:val="20"/>
          <w:szCs w:val="20"/>
          <w:rtl/>
        </w:rPr>
        <w:t xml:space="preserve"> לא הבחין שהרב בא ועומד לצדו, פנה אליו </w:t>
      </w:r>
      <w:proofErr w:type="spellStart"/>
      <w:r>
        <w:rPr>
          <w:sz w:val="20"/>
          <w:szCs w:val="20"/>
          <w:rtl/>
        </w:rPr>
        <w:t>החתם־סופר</w:t>
      </w:r>
      <w:proofErr w:type="spellEnd"/>
      <w:r>
        <w:rPr>
          <w:sz w:val="20"/>
          <w:szCs w:val="20"/>
          <w:rtl/>
        </w:rPr>
        <w:t xml:space="preserve"> ואמר לו במישרין: “אברך, הישאר במקומך”; לפי גרסאות 2 ו־4, </w:t>
      </w:r>
      <w:proofErr w:type="spellStart"/>
      <w:r>
        <w:rPr>
          <w:sz w:val="20"/>
          <w:szCs w:val="20"/>
          <w:rtl/>
        </w:rPr>
        <w:t>כשהמלבי״ם</w:t>
      </w:r>
      <w:proofErr w:type="spellEnd"/>
      <w:r>
        <w:rPr>
          <w:sz w:val="20"/>
          <w:szCs w:val="20"/>
          <w:rtl/>
        </w:rPr>
        <w:t xml:space="preserve"> הבחין לבסוף ברב העומד מעליו – אם משום שכבר הפנה את מחשבותיו אל סביבתו ואם משום שבית הכנסת כבר הואר – וקפץ לעבור למקומו, פנה אליו </w:t>
      </w:r>
      <w:proofErr w:type="spellStart"/>
      <w:r>
        <w:rPr>
          <w:sz w:val="20"/>
          <w:szCs w:val="20"/>
          <w:rtl/>
        </w:rPr>
        <w:t>החתם־סופר</w:t>
      </w:r>
      <w:proofErr w:type="spellEnd"/>
      <w:r>
        <w:rPr>
          <w:sz w:val="20"/>
          <w:szCs w:val="20"/>
          <w:rtl/>
        </w:rPr>
        <w:t xml:space="preserve"> באותה לשון; לפי גרסה 3, השמש שליווה את הרב לבית הכנסת שאל את </w:t>
      </w:r>
      <w:proofErr w:type="spellStart"/>
      <w:r>
        <w:rPr>
          <w:sz w:val="20"/>
          <w:szCs w:val="20"/>
          <w:rtl/>
        </w:rPr>
        <w:t>החתם־סופר</w:t>
      </w:r>
      <w:proofErr w:type="spellEnd"/>
      <w:r>
        <w:rPr>
          <w:sz w:val="20"/>
          <w:szCs w:val="20"/>
          <w:rtl/>
        </w:rPr>
        <w:t xml:space="preserve"> אם לומר לצעיר לעבור, </w:t>
      </w:r>
      <w:proofErr w:type="spellStart"/>
      <w:r>
        <w:rPr>
          <w:sz w:val="20"/>
          <w:szCs w:val="20"/>
          <w:rtl/>
        </w:rPr>
        <w:t>והחתם־סופר</w:t>
      </w:r>
      <w:proofErr w:type="spellEnd"/>
      <w:r>
        <w:rPr>
          <w:sz w:val="20"/>
          <w:szCs w:val="20"/>
          <w:rtl/>
        </w:rPr>
        <w:t xml:space="preserve"> השיב (בגוף שלישי): “יישאר במקומו”; לפי גרסה 5, אחד מבעלי הבתים אמר </w:t>
      </w:r>
      <w:proofErr w:type="spellStart"/>
      <w:r>
        <w:rPr>
          <w:sz w:val="20"/>
          <w:szCs w:val="20"/>
          <w:rtl/>
        </w:rPr>
        <w:t>למלבי״ם</w:t>
      </w:r>
      <w:proofErr w:type="spellEnd"/>
      <w:r>
        <w:rPr>
          <w:sz w:val="20"/>
          <w:szCs w:val="20"/>
          <w:rtl/>
        </w:rPr>
        <w:t xml:space="preserve"> שהוא יושב במקום הלא נכון, אבל הוא לא הבין שמדברים אליו, ורק </w:t>
      </w:r>
      <w:proofErr w:type="spellStart"/>
      <w:r>
        <w:rPr>
          <w:sz w:val="20"/>
          <w:szCs w:val="20"/>
          <w:rtl/>
        </w:rPr>
        <w:t>כשהחתם־סופר</w:t>
      </w:r>
      <w:proofErr w:type="spellEnd"/>
      <w:r>
        <w:rPr>
          <w:sz w:val="20"/>
          <w:szCs w:val="20"/>
          <w:rtl/>
        </w:rPr>
        <w:t xml:space="preserve"> אמר לבעל הבית “יישאר במקומו” הבין </w:t>
      </w:r>
      <w:proofErr w:type="spellStart"/>
      <w:r>
        <w:rPr>
          <w:sz w:val="20"/>
          <w:szCs w:val="20"/>
          <w:rtl/>
        </w:rPr>
        <w:t>המלבי״ם</w:t>
      </w:r>
      <w:proofErr w:type="spellEnd"/>
      <w:r>
        <w:rPr>
          <w:sz w:val="20"/>
          <w:szCs w:val="20"/>
          <w:rtl/>
        </w:rPr>
        <w:t xml:space="preserve"> מה מתרחש; לפי גרסה 6, בעלי הבתים רצו להעיר את </w:t>
      </w:r>
      <w:proofErr w:type="spellStart"/>
      <w:r>
        <w:rPr>
          <w:sz w:val="20"/>
          <w:szCs w:val="20"/>
          <w:rtl/>
        </w:rPr>
        <w:t>המלבי״ם</w:t>
      </w:r>
      <w:proofErr w:type="spellEnd"/>
      <w:r>
        <w:rPr>
          <w:sz w:val="20"/>
          <w:szCs w:val="20"/>
          <w:rtl/>
        </w:rPr>
        <w:t xml:space="preserve"> משרעפיו ולומר לו לעבור, אבל </w:t>
      </w:r>
      <w:proofErr w:type="spellStart"/>
      <w:r>
        <w:rPr>
          <w:sz w:val="20"/>
          <w:szCs w:val="20"/>
          <w:rtl/>
        </w:rPr>
        <w:t>החתם־סופר</w:t>
      </w:r>
      <w:proofErr w:type="spellEnd"/>
      <w:r>
        <w:rPr>
          <w:sz w:val="20"/>
          <w:szCs w:val="20"/>
          <w:rtl/>
        </w:rPr>
        <w:t xml:space="preserve"> לא הניח להם ואמר להם את אמירתו הגורלית. כשחזר </w:t>
      </w:r>
      <w:proofErr w:type="spellStart"/>
      <w:r>
        <w:rPr>
          <w:sz w:val="20"/>
          <w:szCs w:val="20"/>
          <w:rtl/>
        </w:rPr>
        <w:t>המלבי״ם</w:t>
      </w:r>
      <w:proofErr w:type="spellEnd"/>
      <w:r>
        <w:rPr>
          <w:sz w:val="20"/>
          <w:szCs w:val="20"/>
          <w:rtl/>
        </w:rPr>
        <w:t xml:space="preserve"> לעצמו והתנצל על שתפס את מקום הרב, סיפר לו </w:t>
      </w:r>
      <w:proofErr w:type="spellStart"/>
      <w:r>
        <w:rPr>
          <w:sz w:val="20"/>
          <w:szCs w:val="20"/>
          <w:rtl/>
        </w:rPr>
        <w:t>החתם־סופר</w:t>
      </w:r>
      <w:proofErr w:type="spellEnd"/>
      <w:r>
        <w:rPr>
          <w:sz w:val="20"/>
          <w:szCs w:val="20"/>
          <w:rtl/>
        </w:rPr>
        <w:t xml:space="preserve"> בדיוק מה אירע בינו ובין בעלי הבתים, ובכלל זה שאמר להם “להניח לו להישאר במקומו”. (אף אחת מן הגרסאות אינה מספרת אם </w:t>
      </w:r>
      <w:proofErr w:type="spellStart"/>
      <w:r>
        <w:rPr>
          <w:sz w:val="20"/>
          <w:szCs w:val="20"/>
          <w:rtl/>
        </w:rPr>
        <w:t>המלבי״ם</w:t>
      </w:r>
      <w:proofErr w:type="spellEnd"/>
      <w:r>
        <w:rPr>
          <w:sz w:val="20"/>
          <w:szCs w:val="20"/>
          <w:rtl/>
        </w:rPr>
        <w:t xml:space="preserve"> נשאר בפועל יושב על מקום </w:t>
      </w:r>
      <w:proofErr w:type="spellStart"/>
      <w:r>
        <w:rPr>
          <w:sz w:val="20"/>
          <w:szCs w:val="20"/>
          <w:rtl/>
        </w:rPr>
        <w:t>החתם־סופר</w:t>
      </w:r>
      <w:proofErr w:type="spellEnd"/>
      <w:r>
        <w:rPr>
          <w:sz w:val="20"/>
          <w:szCs w:val="20"/>
          <w:rtl/>
        </w:rPr>
        <w:t xml:space="preserve"> אחרי שנאמר לו לעשות כן. אחרי מה שאירע בפגישתו עם ר׳ עקיבא איגר, אין מנוס מלתהות על כך.)</w:t>
      </w:r>
    </w:p>
    <w:p w14:paraId="5069938B" w14:textId="77777777" w:rsidR="00AB3647" w:rsidRDefault="00000000">
      <w:pPr>
        <w:spacing w:after="0" w:before="0"/>
        <w:jc w:val="both"/>
      </w:pPr>
      <w:r>
        <w:rPr>
          <w:sz w:val="20"/>
          <w:szCs w:val="20"/>
          <w:rtl/>
        </w:rPr>
        <w:t xml:space="preserve">כפי שנרשם </w:t>
      </w:r>
      <w:proofErr w:type="spellStart"/>
      <w:r>
        <w:rPr>
          <w:sz w:val="20"/>
          <w:szCs w:val="20"/>
          <w:rtl/>
        </w:rPr>
        <w:t>ב“ר</w:t>
      </w:r>
      <w:proofErr w:type="spellEnd"/>
      <w:r>
        <w:rPr>
          <w:sz w:val="20"/>
          <w:szCs w:val="20"/>
          <w:rtl/>
        </w:rPr>
        <w:t xml:space="preserve">׳ יעקב” </w:t>
      </w:r>
      <w:proofErr w:type="spellStart"/>
      <w:r>
        <w:rPr>
          <w:sz w:val="20"/>
          <w:szCs w:val="20"/>
          <w:rtl/>
        </w:rPr>
        <w:t>וב“רבי</w:t>
      </w:r>
      <w:proofErr w:type="spellEnd"/>
      <w:r>
        <w:rPr>
          <w:sz w:val="20"/>
          <w:szCs w:val="20"/>
          <w:rtl/>
        </w:rPr>
        <w:t xml:space="preserve"> יעקב”, הוסיף אבי </w:t>
      </w:r>
      <w:proofErr w:type="spellStart"/>
      <w:r>
        <w:rPr>
          <w:sz w:val="20"/>
          <w:szCs w:val="20"/>
          <w:rtl/>
        </w:rPr>
        <w:t>ש“בשאר</w:t>
      </w:r>
      <w:proofErr w:type="spellEnd"/>
      <w:r>
        <w:rPr>
          <w:sz w:val="20"/>
          <w:szCs w:val="20"/>
          <w:rtl/>
        </w:rPr>
        <w:t xml:space="preserve"> ימי חייו היה </w:t>
      </w:r>
      <w:proofErr w:type="spellStart"/>
      <w:r>
        <w:rPr>
          <w:sz w:val="20"/>
          <w:szCs w:val="20"/>
          <w:rtl/>
        </w:rPr>
        <w:t>המלבי״ם</w:t>
      </w:r>
      <w:proofErr w:type="spellEnd"/>
      <w:r>
        <w:rPr>
          <w:sz w:val="20"/>
          <w:szCs w:val="20"/>
          <w:rtl/>
        </w:rPr>
        <w:t xml:space="preserve"> מתבודד בשעת מנחה של שבת, ונשטף זיעה מחמת האימה שעוררו דברי </w:t>
      </w:r>
      <w:proofErr w:type="spellStart"/>
      <w:r>
        <w:rPr>
          <w:sz w:val="20"/>
          <w:szCs w:val="20"/>
          <w:rtl/>
        </w:rPr>
        <w:t>החתם־סופר</w:t>
      </w:r>
      <w:proofErr w:type="spellEnd"/>
      <w:r>
        <w:rPr>
          <w:sz w:val="20"/>
          <w:szCs w:val="20"/>
          <w:rtl/>
        </w:rPr>
        <w:t xml:space="preserve">”; ולפי “הגאון </w:t>
      </w:r>
      <w:proofErr w:type="spellStart"/>
      <w:r>
        <w:rPr>
          <w:sz w:val="20"/>
          <w:szCs w:val="20"/>
          <w:rtl/>
        </w:rPr>
        <w:t>מלבי״ם</w:t>
      </w:r>
      <w:proofErr w:type="spellEnd"/>
      <w:r>
        <w:rPr>
          <w:sz w:val="20"/>
          <w:szCs w:val="20"/>
          <w:rtl/>
        </w:rPr>
        <w:t xml:space="preserve">”, </w:t>
      </w:r>
      <w:proofErr w:type="spellStart"/>
      <w:r>
        <w:rPr>
          <w:sz w:val="20"/>
          <w:szCs w:val="20"/>
          <w:rtl/>
        </w:rPr>
        <w:t>המלבי״ם</w:t>
      </w:r>
      <w:proofErr w:type="spellEnd"/>
      <w:r>
        <w:rPr>
          <w:sz w:val="20"/>
          <w:szCs w:val="20"/>
          <w:rtl/>
        </w:rPr>
        <w:t xml:space="preserve"> אימץ את מנהג ההתבודדות בשעת מנחה של שבת לפני פגישתו עם </w:t>
      </w:r>
      <w:proofErr w:type="spellStart"/>
      <w:r>
        <w:rPr>
          <w:sz w:val="20"/>
          <w:szCs w:val="20"/>
          <w:rtl/>
        </w:rPr>
        <w:t>החתם־סופר</w:t>
      </w:r>
      <w:proofErr w:type="spellEnd"/>
      <w:r>
        <w:rPr>
          <w:sz w:val="20"/>
          <w:szCs w:val="20"/>
          <w:rtl/>
        </w:rPr>
        <w:t xml:space="preserve">, וזה מה שהביא לתקלה. אפשר ששעה זו של השבוע הייתה </w:t>
      </w:r>
      <w:proofErr w:type="spellStart"/>
      <w:r>
        <w:rPr>
          <w:sz w:val="20"/>
          <w:szCs w:val="20"/>
          <w:rtl/>
        </w:rPr>
        <w:t>למלבי״ם</w:t>
      </w:r>
      <w:proofErr w:type="spellEnd"/>
      <w:r>
        <w:rPr>
          <w:sz w:val="20"/>
          <w:szCs w:val="20"/>
          <w:rtl/>
        </w:rPr>
        <w:t xml:space="preserve"> תחילה רק שעת התבוננות, ואחרי מעשה </w:t>
      </w:r>
      <w:proofErr w:type="spellStart"/>
      <w:r>
        <w:rPr>
          <w:sz w:val="20"/>
          <w:szCs w:val="20"/>
          <w:rtl/>
        </w:rPr>
        <w:t>פרשבורג</w:t>
      </w:r>
      <w:proofErr w:type="spellEnd"/>
      <w:r>
        <w:rPr>
          <w:sz w:val="20"/>
          <w:szCs w:val="20"/>
          <w:rtl/>
        </w:rPr>
        <w:t xml:space="preserve"> נעשתה גם שעת אימה.</w:t>
      </w:r>
    </w:p>
    <w:p w14:paraId="7D4E1901" w14:textId="77777777" w:rsidR="00AB3647" w:rsidRDefault="00000000">
      <w:pPr>
        <w:spacing w:after="0" w:before="0"/>
        <w:jc w:val="both"/>
      </w:pPr>
      <w:r>
        <w:rPr>
          <w:sz w:val="20"/>
          <w:szCs w:val="20"/>
          <w:rtl/>
        </w:rPr>
        <w:t xml:space="preserve">לכאורה יש קושי בגרסת אבי, </w:t>
      </w:r>
      <w:proofErr w:type="spellStart"/>
      <w:r>
        <w:rPr>
          <w:sz w:val="20"/>
          <w:szCs w:val="20"/>
          <w:rtl/>
        </w:rPr>
        <w:t>שהמלבי״ם</w:t>
      </w:r>
      <w:proofErr w:type="spellEnd"/>
      <w:r>
        <w:rPr>
          <w:sz w:val="20"/>
          <w:szCs w:val="20"/>
          <w:rtl/>
        </w:rPr>
        <w:t xml:space="preserve"> מסר פלפול בבית הכנסת הגדול </w:t>
      </w:r>
      <w:proofErr w:type="spellStart"/>
      <w:r>
        <w:rPr>
          <w:sz w:val="20"/>
          <w:szCs w:val="20"/>
          <w:rtl/>
        </w:rPr>
        <w:t>בפרשבורג</w:t>
      </w:r>
      <w:proofErr w:type="spellEnd"/>
      <w:r>
        <w:rPr>
          <w:sz w:val="20"/>
          <w:szCs w:val="20"/>
          <w:rtl/>
        </w:rPr>
        <w:t xml:space="preserve">: הסכמת </w:t>
      </w:r>
      <w:proofErr w:type="spellStart"/>
      <w:r>
        <w:rPr>
          <w:sz w:val="20"/>
          <w:szCs w:val="20"/>
          <w:rtl/>
        </w:rPr>
        <w:t>החתם־סופר</w:t>
      </w:r>
      <w:proofErr w:type="spellEnd"/>
      <w:r>
        <w:rPr>
          <w:sz w:val="20"/>
          <w:szCs w:val="20"/>
          <w:rtl/>
        </w:rPr>
        <w:t xml:space="preserve"> נושאת את התאריך י״ב בתשרי תקצ״ה (יום רביעי), </w:t>
      </w:r>
      <w:proofErr w:type="spellStart"/>
      <w:r>
        <w:rPr>
          <w:sz w:val="20"/>
          <w:szCs w:val="20"/>
          <w:rtl/>
        </w:rPr>
        <w:t>והמלבי״ם</w:t>
      </w:r>
      <w:proofErr w:type="spellEnd"/>
      <w:r>
        <w:rPr>
          <w:sz w:val="20"/>
          <w:szCs w:val="20"/>
          <w:rtl/>
        </w:rPr>
        <w:t xml:space="preserve"> שהה בראש השנה </w:t>
      </w:r>
      <w:proofErr w:type="spellStart"/>
      <w:r>
        <w:rPr>
          <w:sz w:val="20"/>
          <w:szCs w:val="20"/>
          <w:rtl/>
        </w:rPr>
        <w:t>בניקלשבורג</w:t>
      </w:r>
      <w:proofErr w:type="spellEnd"/>
      <w:r>
        <w:rPr>
          <w:sz w:val="20"/>
          <w:szCs w:val="20"/>
          <w:rtl/>
        </w:rPr>
        <w:t xml:space="preserve"> וקיבל את הסכמת רבה, ר׳ נחום </w:t>
      </w:r>
      <w:proofErr w:type="spellStart"/>
      <w:r>
        <w:rPr>
          <w:sz w:val="20"/>
          <w:szCs w:val="20"/>
          <w:rtl/>
        </w:rPr>
        <w:t>טריביש</w:t>
      </w:r>
      <w:proofErr w:type="spellEnd"/>
      <w:r>
        <w:rPr>
          <w:sz w:val="20"/>
          <w:szCs w:val="20"/>
          <w:rtl/>
        </w:rPr>
        <w:t xml:space="preserve">, למחרת החג; אם כן, השבת שבה שהה </w:t>
      </w:r>
      <w:proofErr w:type="spellStart"/>
      <w:r>
        <w:rPr>
          <w:sz w:val="20"/>
          <w:szCs w:val="20"/>
          <w:rtl/>
        </w:rPr>
        <w:t>בפרשבורג</w:t>
      </w:r>
      <w:proofErr w:type="spellEnd"/>
      <w:r>
        <w:rPr>
          <w:sz w:val="20"/>
          <w:szCs w:val="20"/>
          <w:rtl/>
        </w:rPr>
        <w:t xml:space="preserve"> מוכרחה להיות שבת שובה – ובוודאי הרב הוא שדרש אז לפני הציבור, ולא אורחו. היישוב הוא </w:t>
      </w:r>
      <w:proofErr w:type="spellStart"/>
      <w:r>
        <w:rPr>
          <w:sz w:val="20"/>
          <w:szCs w:val="20"/>
          <w:rtl/>
        </w:rPr>
        <w:t>שהמלבי״ם</w:t>
      </w:r>
      <w:proofErr w:type="spellEnd"/>
      <w:r>
        <w:rPr>
          <w:sz w:val="20"/>
          <w:szCs w:val="20"/>
          <w:rtl/>
        </w:rPr>
        <w:t xml:space="preserve"> נשאר </w:t>
      </w:r>
      <w:proofErr w:type="spellStart"/>
      <w:r>
        <w:rPr>
          <w:sz w:val="20"/>
          <w:szCs w:val="20"/>
          <w:rtl/>
        </w:rPr>
        <w:t>בפרשבורג</w:t>
      </w:r>
      <w:proofErr w:type="spellEnd"/>
      <w:r>
        <w:rPr>
          <w:sz w:val="20"/>
          <w:szCs w:val="20"/>
          <w:rtl/>
        </w:rPr>
        <w:t xml:space="preserve"> אחרי תאריך הסכמת מארחו, והמעשה אירע </w:t>
      </w:r>
      <w:r>
        <w:rPr>
          <w:b/>
          <w:bCs/>
          <w:sz w:val="20"/>
          <w:szCs w:val="20"/>
          <w:rtl/>
        </w:rPr>
        <w:t>אחרי</w:t>
      </w:r>
      <w:r>
        <w:rPr>
          <w:sz w:val="20"/>
          <w:szCs w:val="20"/>
          <w:rtl/>
        </w:rPr>
        <w:t xml:space="preserve"> שכבר קיבל את ההסכמה: אם בשבת שחלה ביום טוב, ביום הראשון של סוכות או בשמיני עצרת, ואם בשבת בראשית, כ״ט בתשרי תקצ״ה.</w:t>
      </w:r>
    </w:p>
    <w:p w14:paraId="38222F94" w14:textId="77777777" w:rsidR="00AB3647" w:rsidRDefault="00000000">
      <w:pPr>
        <w:spacing w:after="0" w:before="0"/>
        <w:jc w:val="both"/>
      </w:pPr>
      <w:r>
        <w:rPr>
          <w:sz w:val="20"/>
          <w:szCs w:val="20"/>
          <w:rtl/>
        </w:rPr>
        <w:t xml:space="preserve">הדבר נתמך בנוסח הסכמת </w:t>
      </w:r>
      <w:proofErr w:type="spellStart"/>
      <w:r>
        <w:rPr>
          <w:sz w:val="20"/>
          <w:szCs w:val="20"/>
          <w:rtl/>
        </w:rPr>
        <w:t>החתם־סופר</w:t>
      </w:r>
      <w:proofErr w:type="spellEnd"/>
      <w:r>
        <w:rPr>
          <w:sz w:val="20"/>
          <w:szCs w:val="20"/>
          <w:rtl/>
        </w:rPr>
        <w:t xml:space="preserve"> </w:t>
      </w:r>
      <w:proofErr w:type="spellStart"/>
      <w:r>
        <w:rPr>
          <w:sz w:val="20"/>
          <w:szCs w:val="20"/>
          <w:rtl/>
        </w:rPr>
        <w:t>ל“ארצות</w:t>
      </w:r>
      <w:proofErr w:type="spellEnd"/>
      <w:r>
        <w:rPr>
          <w:sz w:val="20"/>
          <w:szCs w:val="20"/>
          <w:rtl/>
        </w:rPr>
        <w:t xml:space="preserve"> החיים”, שבה הוא מתנצל על שנתן אותה לפני ששהה עוד עם המבקש. הוא כותב: “צורכי העיר מרובים בימים קדושים אלו. לולא ראיתי את עדות גדולי ישראל [שכבר נתנו את הסכמותיהם, לא הייתי יכול לתת את שלי]... והיה בדעתי לשעשע עמו עוד כמה ימים. [אבל] אחר כך יגיעו ימי החג הקדוש סוכות, ואחריהם [יבואו] ימי הסתיו [שבהם] הדרך רחוקה. לפיכך אמרתי: יעיד החלק [שעיינתי בו] על השלם [הספר]”. (הוא מוסיף ומשבח את הדרך המיוחדת של “ארצות החיים” להגיע למסקנות “קרובות לאמיתה של תורה”.) מן הלשון עולה </w:t>
      </w:r>
      <w:proofErr w:type="spellStart"/>
      <w:r>
        <w:rPr>
          <w:sz w:val="20"/>
          <w:szCs w:val="20"/>
          <w:rtl/>
        </w:rPr>
        <w:t>שהמלבי״ם</w:t>
      </w:r>
      <w:proofErr w:type="spellEnd"/>
      <w:r>
        <w:rPr>
          <w:sz w:val="20"/>
          <w:szCs w:val="20"/>
          <w:rtl/>
        </w:rPr>
        <w:t xml:space="preserve"> התכוון להישאר בעיר לפחות עד אחרי סוכות – אבל לא זמן רב אחר כך, כשמזג האוויר הסתווי יקשה על הנסיעה בדרכים (“רחוקה”).</w:t>
      </w:r>
    </w:p>
  </w:footnote>
  <w:footnote w:id="4794">
    <w:p w14:paraId="128810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רעו–</w:t>
      </w:r>
      <w:proofErr w:type="spellStart"/>
      <w:r>
        <w:rPr>
          <w:sz w:val="20"/>
          <w:szCs w:val="20"/>
          <w:rtl/>
        </w:rPr>
        <w:t>רעז</w:t>
      </w:r>
      <w:proofErr w:type="spellEnd"/>
      <w:r>
        <w:rPr>
          <w:sz w:val="20"/>
          <w:szCs w:val="20"/>
          <w:rtl/>
        </w:rPr>
        <w:t xml:space="preserve">, בשם הרב הראשי </w:t>
      </w:r>
      <w:proofErr w:type="spellStart"/>
      <w:r>
        <w:rPr>
          <w:sz w:val="20"/>
          <w:szCs w:val="20"/>
          <w:rtl/>
        </w:rPr>
        <w:t>יצחק־אייזיק</w:t>
      </w:r>
      <w:proofErr w:type="spellEnd"/>
      <w:r>
        <w:rPr>
          <w:sz w:val="20"/>
          <w:szCs w:val="20"/>
          <w:rtl/>
        </w:rPr>
        <w:t xml:space="preserve"> הרצוג.</w:t>
      </w:r>
    </w:p>
  </w:footnote>
  <w:footnote w:id="4795">
    <w:p w14:paraId="08DF10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בראש נספח זה.</w:t>
      </w:r>
    </w:p>
  </w:footnote>
  <w:footnote w:id="4796">
    <w:p w14:paraId="7078F6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162–169.</w:t>
      </w:r>
    </w:p>
  </w:footnote>
  <w:footnote w:id="4797">
    <w:p w14:paraId="6BA3FC3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158 ו־192.</w:t>
      </w:r>
    </w:p>
  </w:footnote>
  <w:footnote w:id="4798">
    <w:p w14:paraId="0D109C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מבוכה רבה שוררת בשאלת התאריך המדויק של פתיחת בית המדרש לרבנים.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מציין את תר״ח כשנת הפתיחה; יעקב מארק (עמ׳ 81–82) קובע את שנת החנוכה ל“1845”; “מקור ברוך” (שם, פרק 1, הפסקה הראשונה של נספח ב), עמ׳ 1084, קובע “תר״ה”; ומאמר מחקרי של יהודה </w:t>
      </w:r>
      <w:proofErr w:type="spellStart"/>
      <w:r>
        <w:rPr>
          <w:sz w:val="20"/>
          <w:szCs w:val="20"/>
          <w:rtl/>
        </w:rPr>
        <w:t>סלוצקי</w:t>
      </w:r>
      <w:proofErr w:type="spellEnd"/>
      <w:r>
        <w:rPr>
          <w:sz w:val="20"/>
          <w:szCs w:val="20"/>
          <w:rtl/>
        </w:rPr>
        <w:t xml:space="preserve">, “בית מדרש לרבנים בווילנה”, </w:t>
      </w:r>
      <w:proofErr w:type="spellStart"/>
      <w:r>
        <w:rPr>
          <w:sz w:val="20"/>
          <w:szCs w:val="20"/>
          <w:rtl/>
        </w:rPr>
        <w:t>ב“העבר</w:t>
      </w:r>
      <w:proofErr w:type="spellEnd"/>
      <w:r>
        <w:rPr>
          <w:sz w:val="20"/>
          <w:szCs w:val="20"/>
          <w:rtl/>
        </w:rPr>
        <w:t xml:space="preserve">”, חוברת ז (אייר </w:t>
      </w:r>
      <w:proofErr w:type="spellStart"/>
      <w:r>
        <w:rPr>
          <w:sz w:val="20"/>
          <w:szCs w:val="20"/>
          <w:rtl/>
        </w:rPr>
        <w:t>תש״ך</w:t>
      </w:r>
      <w:proofErr w:type="spellEnd"/>
      <w:r>
        <w:rPr>
          <w:sz w:val="20"/>
          <w:szCs w:val="20"/>
          <w:rtl/>
        </w:rPr>
        <w:t>), נותן יום מדויק: “י״ט בחשוון תר״ח (23.10.1847)”.</w:t>
      </w:r>
    </w:p>
    <w:p w14:paraId="5153D3AC" w14:textId="77777777" w:rsidR="00AB3647" w:rsidRDefault="00000000">
      <w:pPr>
        <w:spacing w:after="0" w:before="0"/>
        <w:jc w:val="both"/>
      </w:pPr>
      <w:proofErr w:type="spellStart"/>
      <w:r>
        <w:rPr>
          <w:sz w:val="20"/>
          <w:szCs w:val="20"/>
          <w:rtl/>
        </w:rPr>
        <w:t>סלוצקי</w:t>
      </w:r>
      <w:proofErr w:type="spellEnd"/>
      <w:r>
        <w:rPr>
          <w:sz w:val="20"/>
          <w:szCs w:val="20"/>
          <w:rtl/>
        </w:rPr>
        <w:t xml:space="preserve"> קיבל כנראה את התאריך המדויק לכאורה הזה מן החוברת המתרפסת “כבוד הבית” (</w:t>
      </w:r>
      <w:proofErr w:type="spellStart"/>
      <w:r>
        <w:rPr>
          <w:sz w:val="20"/>
          <w:szCs w:val="20"/>
          <w:rtl/>
        </w:rPr>
        <w:t>וילנא</w:t>
      </w:r>
      <w:proofErr w:type="spellEnd"/>
      <w:r>
        <w:rPr>
          <w:sz w:val="20"/>
          <w:szCs w:val="20"/>
          <w:rtl/>
        </w:rPr>
        <w:t xml:space="preserve">, תרי״ח, 1858) של יעקב </w:t>
      </w:r>
      <w:proofErr w:type="spellStart"/>
      <w:r>
        <w:rPr>
          <w:sz w:val="20"/>
          <w:szCs w:val="20"/>
          <w:rtl/>
        </w:rPr>
        <w:t>גורלאנד</w:t>
      </w:r>
      <w:proofErr w:type="spellEnd"/>
      <w:r>
        <w:rPr>
          <w:sz w:val="20"/>
          <w:szCs w:val="20"/>
          <w:rtl/>
        </w:rPr>
        <w:t xml:space="preserve"> (“אחד מתלמידי הרבנות המסיימים את תוכנית לימודיהם במחלקה העשירית”). אבל הוא הבחין שהתאריך הנקוב שם, “בשנת תר״ז (1847 לספירה)... י״ט בחשוון, שהוא כ״ג באוקטובר”, אינו מתאים, שהרי חשוון תר״ז חל ב־1846 ולא ב־1847. מאחר שראה בשנה הלועזית את הנתון הנכון, שינה </w:t>
      </w:r>
      <w:proofErr w:type="spellStart"/>
      <w:r>
        <w:rPr>
          <w:sz w:val="20"/>
          <w:szCs w:val="20"/>
          <w:rtl/>
        </w:rPr>
        <w:t>סלוצקי</w:t>
      </w:r>
      <w:proofErr w:type="spellEnd"/>
      <w:r>
        <w:rPr>
          <w:sz w:val="20"/>
          <w:szCs w:val="20"/>
          <w:rtl/>
        </w:rPr>
        <w:t xml:space="preserve"> את השנה העברית של </w:t>
      </w:r>
      <w:proofErr w:type="spellStart"/>
      <w:r>
        <w:rPr>
          <w:sz w:val="20"/>
          <w:szCs w:val="20"/>
          <w:rtl/>
        </w:rPr>
        <w:t>גורלאנד</w:t>
      </w:r>
      <w:proofErr w:type="spellEnd"/>
      <w:r>
        <w:rPr>
          <w:sz w:val="20"/>
          <w:szCs w:val="20"/>
          <w:rtl/>
        </w:rPr>
        <w:t xml:space="preserve"> </w:t>
      </w:r>
      <w:proofErr w:type="spellStart"/>
      <w:r>
        <w:rPr>
          <w:sz w:val="20"/>
          <w:szCs w:val="20"/>
          <w:rtl/>
        </w:rPr>
        <w:t>מתר״ז</w:t>
      </w:r>
      <w:proofErr w:type="spellEnd"/>
      <w:r>
        <w:rPr>
          <w:sz w:val="20"/>
          <w:szCs w:val="20"/>
          <w:rtl/>
        </w:rPr>
        <w:t xml:space="preserve"> </w:t>
      </w:r>
      <w:proofErr w:type="spellStart"/>
      <w:r>
        <w:rPr>
          <w:sz w:val="20"/>
          <w:szCs w:val="20"/>
          <w:rtl/>
        </w:rPr>
        <w:t>לתר״ח</w:t>
      </w:r>
      <w:proofErr w:type="spellEnd"/>
      <w:r>
        <w:rPr>
          <w:sz w:val="20"/>
          <w:szCs w:val="20"/>
          <w:rtl/>
        </w:rPr>
        <w:t xml:space="preserve"> – ולא הבחין שלא רק השנה טעונה תיקון, אלא גם היום!</w:t>
      </w:r>
    </w:p>
    <w:p w14:paraId="17EC5BA2" w14:textId="77777777" w:rsidR="00AB3647" w:rsidRDefault="00000000">
      <w:pPr>
        <w:spacing w:after="0" w:before="0"/>
        <w:jc w:val="both"/>
      </w:pPr>
      <w:r>
        <w:rPr>
          <w:sz w:val="20"/>
          <w:szCs w:val="20"/>
          <w:rtl/>
        </w:rPr>
        <w:t xml:space="preserve">בדיקת לוח לכל האפשרויות – של </w:t>
      </w:r>
      <w:proofErr w:type="spellStart"/>
      <w:r>
        <w:rPr>
          <w:sz w:val="20"/>
          <w:szCs w:val="20"/>
          <w:rtl/>
        </w:rPr>
        <w:t>אטקס</w:t>
      </w:r>
      <w:proofErr w:type="spellEnd"/>
      <w:r>
        <w:rPr>
          <w:sz w:val="20"/>
          <w:szCs w:val="20"/>
          <w:rtl/>
        </w:rPr>
        <w:t xml:space="preserve">, מארק, אפשטיין, </w:t>
      </w:r>
      <w:proofErr w:type="spellStart"/>
      <w:r>
        <w:rPr>
          <w:sz w:val="20"/>
          <w:szCs w:val="20"/>
          <w:rtl/>
        </w:rPr>
        <w:t>סלוצקי</w:t>
      </w:r>
      <w:proofErr w:type="spellEnd"/>
      <w:r>
        <w:rPr>
          <w:sz w:val="20"/>
          <w:szCs w:val="20"/>
          <w:rtl/>
        </w:rPr>
        <w:t xml:space="preserve"> </w:t>
      </w:r>
      <w:proofErr w:type="spellStart"/>
      <w:r>
        <w:rPr>
          <w:sz w:val="20"/>
          <w:szCs w:val="20"/>
          <w:rtl/>
        </w:rPr>
        <w:t>וגורלאנד</w:t>
      </w:r>
      <w:proofErr w:type="spellEnd"/>
      <w:r>
        <w:rPr>
          <w:sz w:val="20"/>
          <w:szCs w:val="20"/>
          <w:rtl/>
        </w:rPr>
        <w:t xml:space="preserve">, לרבות החלפות שגויות בין השנים העבריות ללועזיות – מראה שאין התאמה בין י״ט בחשוון לכ״ג באוקטובר לפי הלוח הישן (שהוא 4 בנובמבר לפי הלוח החדש). אם מתחילים מן התאריך הלועזי של </w:t>
      </w:r>
      <w:proofErr w:type="spellStart"/>
      <w:r>
        <w:rPr>
          <w:sz w:val="20"/>
          <w:szCs w:val="20"/>
          <w:rtl/>
        </w:rPr>
        <w:t>גורלאנד</w:t>
      </w:r>
      <w:proofErr w:type="spellEnd"/>
      <w:r>
        <w:rPr>
          <w:sz w:val="20"/>
          <w:szCs w:val="20"/>
          <w:rtl/>
        </w:rPr>
        <w:t xml:space="preserve">, 23 באוקטובר לפי הלוח הישן, הוא מקביל לד׳ בחשוון ב־1845, לט״ו בחשוון ב־1846, לכ״ה בחשוון ב־1847, ולשבת, ח׳ בחשוון, ב־1848. אם מתחילים מן התאריך העברי שלו, י״ט בחשוון, הוא מקביל ל־7 בנובמבר לפי הלוח הישן </w:t>
      </w:r>
      <w:proofErr w:type="spellStart"/>
      <w:r>
        <w:rPr>
          <w:sz w:val="20"/>
          <w:szCs w:val="20"/>
          <w:rtl/>
        </w:rPr>
        <w:t>בתר״ו</w:t>
      </w:r>
      <w:proofErr w:type="spellEnd"/>
      <w:r>
        <w:rPr>
          <w:sz w:val="20"/>
          <w:szCs w:val="20"/>
          <w:rtl/>
        </w:rPr>
        <w:t xml:space="preserve">, ליום ראשון, 27 באוקטובר לפי הלוח הישן, </w:t>
      </w:r>
      <w:proofErr w:type="spellStart"/>
      <w:r>
        <w:rPr>
          <w:sz w:val="20"/>
          <w:szCs w:val="20"/>
          <w:rtl/>
        </w:rPr>
        <w:t>בתר״ז</w:t>
      </w:r>
      <w:proofErr w:type="spellEnd"/>
      <w:r>
        <w:rPr>
          <w:sz w:val="20"/>
          <w:szCs w:val="20"/>
          <w:rtl/>
        </w:rPr>
        <w:t xml:space="preserve">, ליום שישי, 17 באוקטובר לפי הלוח הישן, </w:t>
      </w:r>
      <w:proofErr w:type="spellStart"/>
      <w:r>
        <w:rPr>
          <w:sz w:val="20"/>
          <w:szCs w:val="20"/>
          <w:rtl/>
        </w:rPr>
        <w:t>בתר״ח</w:t>
      </w:r>
      <w:proofErr w:type="spellEnd"/>
      <w:r>
        <w:rPr>
          <w:sz w:val="20"/>
          <w:szCs w:val="20"/>
          <w:rtl/>
        </w:rPr>
        <w:t xml:space="preserve">, ול־3 בנובמבר לפי הלוח הישן </w:t>
      </w:r>
      <w:proofErr w:type="spellStart"/>
      <w:r>
        <w:rPr>
          <w:sz w:val="20"/>
          <w:szCs w:val="20"/>
          <w:rtl/>
        </w:rPr>
        <w:t>בתר״ט</w:t>
      </w:r>
      <w:proofErr w:type="spellEnd"/>
      <w:r>
        <w:rPr>
          <w:sz w:val="20"/>
          <w:szCs w:val="20"/>
          <w:rtl/>
        </w:rPr>
        <w:t>. את ימי השבוע ציינתי בשלושה מן התאריכים האלה כדי להראות שיש לשלול אותם לגמרי: הם לא התאימו לחגיגה שהשתתפו בה יהודים, ולהבדיל פקידים נוצרים.</w:t>
      </w:r>
    </w:p>
    <w:p w14:paraId="618409C6" w14:textId="77777777" w:rsidR="00AB3647" w:rsidRDefault="00000000">
      <w:pPr>
        <w:spacing w:after="0" w:before="0"/>
        <w:jc w:val="both"/>
      </w:pPr>
      <w:r>
        <w:rPr>
          <w:sz w:val="20"/>
          <w:szCs w:val="20"/>
          <w:rtl/>
        </w:rPr>
        <w:t xml:space="preserve">מעורבותו האישית של </w:t>
      </w:r>
      <w:proofErr w:type="spellStart"/>
      <w:r>
        <w:rPr>
          <w:sz w:val="20"/>
          <w:szCs w:val="20"/>
          <w:rtl/>
        </w:rPr>
        <w:t>גורלאנד</w:t>
      </w:r>
      <w:proofErr w:type="spellEnd"/>
      <w:r>
        <w:rPr>
          <w:sz w:val="20"/>
          <w:szCs w:val="20"/>
          <w:rtl/>
        </w:rPr>
        <w:t xml:space="preserve"> בבית המדרש לרבנים, וכן שנת פרסום חוברתו – לעומת שאר המקורות שנזכרו לתאריך ייסוד המוסד – מאפשרות להניח שהשנה שנקב בה לחנוכת המוסד אמינה. לפיכך אפשר להסיק שהשנים האפשריות היחידות (אחרי שמביאים בחשבון את טעות החלפת השנים העבריות והלועזיות) הן תר״ז–1846 או תר״ח–1847, והימים הבאים בחשבון הם ט״ו בחשוון תר״ז (23 באוקטובר לפי הלוח הישן, 1846) או כ״ה בחשוון תר״ח (23 באוקטובר לפי הלוח הישן, 1847). משהוכח </w:t>
      </w:r>
      <w:proofErr w:type="spellStart"/>
      <w:r>
        <w:rPr>
          <w:sz w:val="20"/>
          <w:szCs w:val="20"/>
          <w:rtl/>
        </w:rPr>
        <w:t>שגורלאנד</w:t>
      </w:r>
      <w:proofErr w:type="spellEnd"/>
      <w:r>
        <w:rPr>
          <w:sz w:val="20"/>
          <w:szCs w:val="20"/>
          <w:rtl/>
        </w:rPr>
        <w:t xml:space="preserve"> דייק יותר ביום הלועזי, אפשר להניח שהקפיד יותר גם על השנה הלועזית. אין בזה שום פלא אצל תלמיד במוסד שבו “היו בקיאים רק בשפות זרות ובמקצועות המדעים, ואילו המקצועות הנוגעים לנו כיהודים לא נחשבו, ולא הובאו בחשבון, ואף לא עלו על הדעת כלל” (מתוך ציטוט בן הזמן המובא במאמרו של </w:t>
      </w:r>
      <w:proofErr w:type="spellStart"/>
      <w:r>
        <w:rPr>
          <w:sz w:val="20"/>
          <w:szCs w:val="20"/>
          <w:rtl/>
        </w:rPr>
        <w:t>סלוצקי</w:t>
      </w:r>
      <w:proofErr w:type="spellEnd"/>
      <w:r>
        <w:rPr>
          <w:sz w:val="20"/>
          <w:szCs w:val="20"/>
          <w:rtl/>
        </w:rPr>
        <w:t>).</w:t>
      </w:r>
    </w:p>
    <w:p w14:paraId="2177EC6A" w14:textId="77777777" w:rsidR="00AB3647" w:rsidRDefault="00000000">
      <w:pPr>
        <w:spacing w:after="0" w:before="0"/>
        <w:jc w:val="both"/>
      </w:pPr>
      <w:r>
        <w:rPr>
          <w:sz w:val="20"/>
          <w:szCs w:val="20"/>
          <w:rtl/>
        </w:rPr>
        <w:t xml:space="preserve">השווה גם ספרו של אותו מחבר, “תנועת ההשכלה ביהדות רוסיה” (החברה ההיסטורית הישראלית, ירושלים, תשל״ז), עמ׳ 84, המצטט שיר </w:t>
      </w:r>
      <w:proofErr w:type="spellStart"/>
      <w:r>
        <w:rPr>
          <w:sz w:val="20"/>
          <w:szCs w:val="20"/>
          <w:rtl/>
        </w:rPr>
        <w:t>מ“הכרם</w:t>
      </w:r>
      <w:proofErr w:type="spellEnd"/>
      <w:r>
        <w:rPr>
          <w:sz w:val="20"/>
          <w:szCs w:val="20"/>
          <w:rtl/>
        </w:rPr>
        <w:t>” (</w:t>
      </w:r>
      <w:proofErr w:type="spellStart"/>
      <w:r>
        <w:rPr>
          <w:sz w:val="20"/>
          <w:szCs w:val="20"/>
          <w:rtl/>
        </w:rPr>
        <w:t>ווארשא</w:t>
      </w:r>
      <w:proofErr w:type="spellEnd"/>
      <w:r>
        <w:rPr>
          <w:sz w:val="20"/>
          <w:szCs w:val="20"/>
          <w:rtl/>
        </w:rPr>
        <w:t xml:space="preserve">, תרמ״ח) של יצחק </w:t>
      </w:r>
      <w:proofErr w:type="spellStart"/>
      <w:r>
        <w:rPr>
          <w:sz w:val="20"/>
          <w:szCs w:val="20"/>
          <w:rtl/>
        </w:rPr>
        <w:t>רבינוביץ</w:t>
      </w:r>
      <w:proofErr w:type="spellEnd"/>
      <w:r>
        <w:rPr>
          <w:sz w:val="20"/>
          <w:szCs w:val="20"/>
          <w:rtl/>
        </w:rPr>
        <w:t xml:space="preserve"> (“ממשוררי ההשכלה”), שהיגר לאמריקה </w:t>
      </w:r>
      <w:proofErr w:type="spellStart"/>
      <w:r>
        <w:rPr>
          <w:sz w:val="20"/>
          <w:szCs w:val="20"/>
          <w:rtl/>
        </w:rPr>
        <w:t>בתרנ״ג</w:t>
      </w:r>
      <w:proofErr w:type="spellEnd"/>
      <w:r>
        <w:rPr>
          <w:sz w:val="20"/>
          <w:szCs w:val="20"/>
          <w:rtl/>
        </w:rPr>
        <w:t xml:space="preserve">. השיר מבטא את אכזבתם הגמורה של המשכילים (הדתיים במקצת והישרים) כשהוא מצהיר: “בית מדרש לרבנים, לו גדולות </w:t>
      </w:r>
      <w:proofErr w:type="spellStart"/>
      <w:r>
        <w:rPr>
          <w:sz w:val="20"/>
          <w:szCs w:val="20"/>
          <w:rtl/>
        </w:rPr>
        <w:t>קיוינו</w:t>
      </w:r>
      <w:proofErr w:type="spellEnd"/>
      <w:r>
        <w:rPr>
          <w:sz w:val="20"/>
          <w:szCs w:val="20"/>
          <w:rtl/>
        </w:rPr>
        <w:t xml:space="preserve">... הראה לדעת כי </w:t>
      </w:r>
      <w:proofErr w:type="spellStart"/>
      <w:r>
        <w:rPr>
          <w:sz w:val="20"/>
          <w:szCs w:val="20"/>
          <w:rtl/>
        </w:rPr>
        <w:t>נתעים</w:t>
      </w:r>
      <w:proofErr w:type="spellEnd"/>
      <w:r>
        <w:rPr>
          <w:sz w:val="20"/>
          <w:szCs w:val="20"/>
          <w:rtl/>
        </w:rPr>
        <w:t xml:space="preserve"> היינו, </w:t>
      </w:r>
      <w:r>
        <w:rPr>
          <w:b/>
          <w:bCs/>
          <w:sz w:val="20"/>
          <w:szCs w:val="20"/>
          <w:rtl/>
        </w:rPr>
        <w:t>כי אף רב אחד לא יצא כאשר עם לבבנו</w:t>
      </w:r>
      <w:r>
        <w:rPr>
          <w:sz w:val="20"/>
          <w:szCs w:val="20"/>
          <w:rtl/>
        </w:rPr>
        <w:t>” (ההדגשה שלי).</w:t>
      </w:r>
    </w:p>
    <w:p w14:paraId="10B55F2D" w14:textId="77777777" w:rsidR="00AB3647" w:rsidRDefault="00000000">
      <w:pPr>
        <w:spacing w:after="0" w:before="0"/>
        <w:jc w:val="both"/>
      </w:pPr>
      <w:r>
        <w:rPr>
          <w:sz w:val="20"/>
          <w:szCs w:val="20"/>
          <w:rtl/>
        </w:rPr>
        <w:t xml:space="preserve">נמצא </w:t>
      </w:r>
      <w:proofErr w:type="spellStart"/>
      <w:r>
        <w:rPr>
          <w:sz w:val="20"/>
          <w:szCs w:val="20"/>
          <w:rtl/>
        </w:rPr>
        <w:t>שתר״ז</w:t>
      </w:r>
      <w:proofErr w:type="spellEnd"/>
      <w:r>
        <w:rPr>
          <w:sz w:val="20"/>
          <w:szCs w:val="20"/>
          <w:rtl/>
        </w:rPr>
        <w:t xml:space="preserve"> של </w:t>
      </w:r>
      <w:proofErr w:type="spellStart"/>
      <w:r>
        <w:rPr>
          <w:sz w:val="20"/>
          <w:szCs w:val="20"/>
          <w:rtl/>
        </w:rPr>
        <w:t>גורלאנד</w:t>
      </w:r>
      <w:proofErr w:type="spellEnd"/>
      <w:r>
        <w:rPr>
          <w:sz w:val="20"/>
          <w:szCs w:val="20"/>
          <w:rtl/>
        </w:rPr>
        <w:t xml:space="preserve"> הייתה צריכה להיות תר״ח, ושנת תר״ח היא שנת ייסוד המוסד. גם מקורות שנחקרו היטב – “מוסד ‘הרבנות מטעם’ ברוסיה” של עזריאל שוחט (הוצאת אוניברסיטת חיפה, תשל״ו), עמ׳ 20, </w:t>
      </w:r>
      <w:proofErr w:type="spellStart"/>
      <w:r>
        <w:rPr>
          <w:sz w:val="20"/>
          <w:szCs w:val="20"/>
          <w:rtl/>
        </w:rPr>
        <w:t>ואטקס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161 – נותנים את התאריכים “אוקטובר 1847” </w:t>
      </w:r>
      <w:proofErr w:type="spellStart"/>
      <w:r>
        <w:rPr>
          <w:sz w:val="20"/>
          <w:szCs w:val="20"/>
          <w:rtl/>
        </w:rPr>
        <w:t>ו“תר״ח</w:t>
      </w:r>
      <w:proofErr w:type="spellEnd"/>
      <w:r>
        <w:rPr>
          <w:sz w:val="20"/>
          <w:szCs w:val="20"/>
          <w:rtl/>
        </w:rPr>
        <w:t>”, בהתאמה, ויש להניח שזה התאריך הנכון. “</w:t>
      </w:r>
      <w:proofErr w:type="spellStart"/>
      <w:r>
        <w:rPr>
          <w:sz w:val="20"/>
          <w:szCs w:val="20"/>
          <w:rtl/>
        </w:rPr>
        <w:t>זכרון</w:t>
      </w:r>
      <w:proofErr w:type="spellEnd"/>
      <w:r>
        <w:rPr>
          <w:sz w:val="20"/>
          <w:szCs w:val="20"/>
          <w:rtl/>
        </w:rPr>
        <w:t xml:space="preserve"> יעקב” (שם, פרק 1, הערה 1), כרך א, עמ׳ 178, הקובע “תר״ח=1848”, טעה באותו סוג טעות של </w:t>
      </w:r>
      <w:proofErr w:type="spellStart"/>
      <w:r>
        <w:rPr>
          <w:sz w:val="20"/>
          <w:szCs w:val="20"/>
          <w:rtl/>
        </w:rPr>
        <w:t>גורלאנד</w:t>
      </w:r>
      <w:proofErr w:type="spellEnd"/>
      <w:r>
        <w:rPr>
          <w:sz w:val="20"/>
          <w:szCs w:val="20"/>
          <w:rtl/>
        </w:rPr>
        <w:t xml:space="preserve"> – אלא שמחברו דייק, מטבע הדברים, בשנה העברית והצמיד לה שנה לועזית שגויה! היה צריך להיכתב “תר״ח=1847”. היום המדויק שבו נוסד בית המדרש לרבנים בווילנה הוא אפוא כ״ה בחשוון תר״ח (23 באוקטובר לפי הלוח הישן, 1847), יום חמישי.</w:t>
      </w:r>
    </w:p>
    <w:p w14:paraId="1910EB76" w14:textId="77777777" w:rsidR="00AB3647" w:rsidRDefault="00000000">
      <w:pPr>
        <w:spacing w:after="0" w:before="0"/>
        <w:jc w:val="both"/>
      </w:pPr>
      <w:proofErr w:type="spellStart"/>
      <w:r>
        <w:rPr>
          <w:sz w:val="20"/>
          <w:szCs w:val="20"/>
          <w:rtl/>
        </w:rPr>
        <w:t>גורלאנד</w:t>
      </w:r>
      <w:proofErr w:type="spellEnd"/>
      <w:r>
        <w:rPr>
          <w:sz w:val="20"/>
          <w:szCs w:val="20"/>
          <w:rtl/>
        </w:rPr>
        <w:t xml:space="preserve"> הגיע כנראה להתאמה המוטעית בין י״ט בחשוון ל־23 באוקטובר באחת משתי דרכים. האחת: כשכתב (</w:t>
      </w:r>
      <w:proofErr w:type="spellStart"/>
      <w:r>
        <w:rPr>
          <w:sz w:val="20"/>
          <w:szCs w:val="20"/>
          <w:rtl/>
        </w:rPr>
        <w:t>בתרי״ח</w:t>
      </w:r>
      <w:proofErr w:type="spellEnd"/>
      <w:r>
        <w:rPr>
          <w:sz w:val="20"/>
          <w:szCs w:val="20"/>
          <w:rtl/>
        </w:rPr>
        <w:t xml:space="preserve">) על מאורע </w:t>
      </w:r>
      <w:proofErr w:type="spellStart"/>
      <w:r>
        <w:rPr>
          <w:sz w:val="20"/>
          <w:szCs w:val="20"/>
          <w:rtl/>
        </w:rPr>
        <w:t>מתר״ח</w:t>
      </w:r>
      <w:proofErr w:type="spellEnd"/>
      <w:r>
        <w:rPr>
          <w:sz w:val="20"/>
          <w:szCs w:val="20"/>
          <w:rtl/>
        </w:rPr>
        <w:t xml:space="preserve">, השתמש מסיבה לא ידועה בלוח של שנת תר״י – השנה היחידה מאז תקס״ד [!] ועד שנת הפרסום שבשער חוברתו, שבה התאימו שני התאריכים. השנייה – אפשרות מוזרה, אך לא דחוקה כמוה – שהחוברת לא נדפסה </w:t>
      </w:r>
      <w:proofErr w:type="spellStart"/>
      <w:r>
        <w:rPr>
          <w:sz w:val="20"/>
          <w:szCs w:val="20"/>
          <w:rtl/>
        </w:rPr>
        <w:t>ב“תרי״ח</w:t>
      </w:r>
      <w:proofErr w:type="spellEnd"/>
      <w:r>
        <w:rPr>
          <w:sz w:val="20"/>
          <w:szCs w:val="20"/>
          <w:rtl/>
        </w:rPr>
        <w:t xml:space="preserve">, 1858”, כפי שטוען השער, אלא שלוש שנים אחר כך, </w:t>
      </w:r>
      <w:proofErr w:type="spellStart"/>
      <w:r>
        <w:rPr>
          <w:sz w:val="20"/>
          <w:szCs w:val="20"/>
          <w:rtl/>
        </w:rPr>
        <w:t>בתרכ״א</w:t>
      </w:r>
      <w:proofErr w:type="spellEnd"/>
      <w:r>
        <w:rPr>
          <w:sz w:val="20"/>
          <w:szCs w:val="20"/>
          <w:rtl/>
        </w:rPr>
        <w:t xml:space="preserve">, כששני התאריכים חזרו והתאימו. לפי האפשרות השנייה, המחבר פשוט עיין בלוח שהיה תקף בשעת פרסום החוברת, ולא עצר לבדוק כיצד התאימו שני התאריכים </w:t>
      </w:r>
      <w:proofErr w:type="spellStart"/>
      <w:r>
        <w:rPr>
          <w:sz w:val="20"/>
          <w:szCs w:val="20"/>
          <w:rtl/>
        </w:rPr>
        <w:t>שלוש־עשרה</w:t>
      </w:r>
      <w:proofErr w:type="spellEnd"/>
      <w:r>
        <w:rPr>
          <w:sz w:val="20"/>
          <w:szCs w:val="20"/>
          <w:rtl/>
        </w:rPr>
        <w:t xml:space="preserve"> שנה קודם לכן!</w:t>
      </w:r>
    </w:p>
    <w:p w14:paraId="3925C47E" w14:textId="77777777" w:rsidR="00AB3647" w:rsidRDefault="00000000">
      <w:pPr>
        <w:spacing w:after="0" w:before="0"/>
        <w:jc w:val="both"/>
      </w:pPr>
      <w:r>
        <w:rPr>
          <w:sz w:val="20"/>
          <w:szCs w:val="20"/>
          <w:rtl/>
        </w:rPr>
        <w:t xml:space="preserve">הסיבה להקדמת שנת הפרסום בשער עשויה להיות קשורה במוזרות כלשהי של הצנזורה הצארית, או בפרט </w:t>
      </w:r>
      <w:proofErr w:type="spellStart"/>
      <w:r>
        <w:rPr>
          <w:sz w:val="20"/>
          <w:szCs w:val="20"/>
          <w:rtl/>
        </w:rPr>
        <w:t>מקריירתו</w:t>
      </w:r>
      <w:proofErr w:type="spellEnd"/>
      <w:r>
        <w:rPr>
          <w:sz w:val="20"/>
          <w:szCs w:val="20"/>
          <w:rtl/>
        </w:rPr>
        <w:t xml:space="preserve"> האישית של יעקב </w:t>
      </w:r>
      <w:proofErr w:type="spellStart"/>
      <w:r>
        <w:rPr>
          <w:sz w:val="20"/>
          <w:szCs w:val="20"/>
          <w:rtl/>
        </w:rPr>
        <w:t>גורלאנד</w:t>
      </w:r>
      <w:proofErr w:type="spellEnd"/>
      <w:r>
        <w:rPr>
          <w:sz w:val="20"/>
          <w:szCs w:val="20"/>
          <w:rtl/>
        </w:rPr>
        <w:t xml:space="preserve">. (לא הצלחתי לגלות עוד על מחבר החוברת, אבל יש “ח״י </w:t>
      </w:r>
      <w:proofErr w:type="spellStart"/>
      <w:r>
        <w:rPr>
          <w:sz w:val="20"/>
          <w:szCs w:val="20"/>
          <w:rtl/>
        </w:rPr>
        <w:t>גורלאנד</w:t>
      </w:r>
      <w:proofErr w:type="spellEnd"/>
      <w:r>
        <w:rPr>
          <w:sz w:val="20"/>
          <w:szCs w:val="20"/>
          <w:rtl/>
        </w:rPr>
        <w:t xml:space="preserve">” שהיה מנהלה של חברת מפיצי השכלה, ולימים רבה של אודסה, לפי יעקב מארק, עמ׳ 279.) אפשר שהפעילות נגד השלטון, שהובילה לסגירת בית המדרש </w:t>
      </w:r>
      <w:proofErr w:type="spellStart"/>
      <w:r>
        <w:rPr>
          <w:sz w:val="20"/>
          <w:szCs w:val="20"/>
          <w:rtl/>
        </w:rPr>
        <w:t>בתרל״ב</w:t>
      </w:r>
      <w:proofErr w:type="spellEnd"/>
      <w:r>
        <w:rPr>
          <w:sz w:val="20"/>
          <w:szCs w:val="20"/>
          <w:rtl/>
        </w:rPr>
        <w:t xml:space="preserve"> (ראה להלן), התחילה להופיע כבר </w:t>
      </w:r>
      <w:proofErr w:type="spellStart"/>
      <w:r>
        <w:rPr>
          <w:sz w:val="20"/>
          <w:szCs w:val="20"/>
          <w:rtl/>
        </w:rPr>
        <w:t>בתרכ״א</w:t>
      </w:r>
      <w:proofErr w:type="spellEnd"/>
      <w:r>
        <w:rPr>
          <w:sz w:val="20"/>
          <w:szCs w:val="20"/>
          <w:rtl/>
        </w:rPr>
        <w:t xml:space="preserve">, ופרסום המשבח את המוסד החשוד לא היה זוכה לאישור; ואילו כשתוארכה החוברת שלוש שנים קודם לכן, כשבית המדרש עדיין נחשב נאמן, יכול היה הצנזור לתת את אישורו. ממצא זה, שתאריך הפרסום הוקדם, עשוי לשמש את ההיסטוריון שיחקור מדוע יצאה חוברת התעמולה בכלל </w:t>
      </w:r>
      <w:proofErr w:type="spellStart"/>
      <w:r>
        <w:rPr>
          <w:sz w:val="20"/>
          <w:szCs w:val="20"/>
          <w:rtl/>
        </w:rPr>
        <w:t>אחת־עשרה</w:t>
      </w:r>
      <w:proofErr w:type="spellEnd"/>
      <w:r>
        <w:rPr>
          <w:sz w:val="20"/>
          <w:szCs w:val="20"/>
          <w:rtl/>
        </w:rPr>
        <w:t xml:space="preserve"> [או </w:t>
      </w:r>
      <w:proofErr w:type="spellStart"/>
      <w:r>
        <w:rPr>
          <w:sz w:val="20"/>
          <w:szCs w:val="20"/>
          <w:rtl/>
        </w:rPr>
        <w:t>ארבע־עשרה</w:t>
      </w:r>
      <w:proofErr w:type="spellEnd"/>
      <w:r>
        <w:rPr>
          <w:sz w:val="20"/>
          <w:szCs w:val="20"/>
          <w:rtl/>
        </w:rPr>
        <w:t>] שנה לפני שהממשלה סגרה את בית המדרש.</w:t>
      </w:r>
    </w:p>
  </w:footnote>
  <w:footnote w:id="4799">
    <w:p w14:paraId="78EFD9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191, הערה 1.</w:t>
      </w:r>
    </w:p>
  </w:footnote>
  <w:footnote w:id="4800">
    <w:p w14:paraId="246CB2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מאמר </w:t>
      </w:r>
      <w:proofErr w:type="spellStart"/>
      <w:r>
        <w:rPr>
          <w:sz w:val="20"/>
          <w:szCs w:val="20"/>
          <w:rtl/>
        </w:rPr>
        <w:t>סלוצקי</w:t>
      </w:r>
      <w:proofErr w:type="spellEnd"/>
      <w:r>
        <w:rPr>
          <w:sz w:val="20"/>
          <w:szCs w:val="20"/>
          <w:rtl/>
        </w:rPr>
        <w:t xml:space="preserve"> </w:t>
      </w:r>
      <w:proofErr w:type="spellStart"/>
      <w:r>
        <w:rPr>
          <w:sz w:val="20"/>
          <w:szCs w:val="20"/>
          <w:rtl/>
        </w:rPr>
        <w:t>ו“כבוד</w:t>
      </w:r>
      <w:proofErr w:type="spellEnd"/>
      <w:r>
        <w:rPr>
          <w:sz w:val="20"/>
          <w:szCs w:val="20"/>
          <w:rtl/>
        </w:rPr>
        <w:t xml:space="preserve"> הבית” (עמ׳ 42–43), שניהם נזכרו בהערת שוליים </w:t>
      </w:r>
      <w:r>
        <w:rPr>
          <w:sz w:val="20"/>
          <w:szCs w:val="20"/>
          <w:rtl/>
        </w:rPr>
        <w:fldChar w:fldCharType="begin" w:dirty="true"/>
      </w:r>
      <w:r>
        <w:rPr>
          <w:sz w:val="20"/>
          <w:szCs w:val="20"/>
          <w:rtl/>
        </w:rPr>
        <w:instrText xml:space="preserve"> NOTEREF fx_ref_560 \h </w:instrText>
      </w:r>
      <w:r>
        <w:rPr>
          <w:sz w:val="20"/>
          <w:szCs w:val="20"/>
          <w:rtl/>
        </w:rPr>
      </w:r>
      <w:r>
        <w:rPr>
          <w:sz w:val="20"/>
          <w:szCs w:val="20"/>
          <w:rtl/>
        </w:rPr>
        <w:fldChar w:fldCharType="separate"/>
      </w:r>
      <w:r w:rsidR="007923E9">
        <w:rPr>
          <w:sz w:val="20"/>
          <w:szCs w:val="20"/>
          <w:rtl/>
        </w:rPr>
        <w:t>321</w:t>
      </w:r>
      <w:r>
        <w:rPr>
          <w:sz w:val="20"/>
          <w:szCs w:val="20"/>
          <w:rtl/>
        </w:rPr>
        <w:fldChar w:fldCharType="end"/>
      </w:r>
      <w:r>
        <w:rPr>
          <w:sz w:val="20"/>
          <w:szCs w:val="20"/>
          <w:rtl/>
        </w:rPr>
        <w:t xml:space="preserve"> הקודמת.</w:t>
      </w:r>
    </w:p>
  </w:footnote>
  <w:footnote w:id="4801">
    <w:p w14:paraId="7903EA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צבי־הירש</w:t>
      </w:r>
      <w:proofErr w:type="spellEnd"/>
      <w:r>
        <w:rPr>
          <w:sz w:val="20"/>
          <w:szCs w:val="20"/>
          <w:rtl/>
        </w:rPr>
        <w:t xml:space="preserve"> פרבר, שאשתו הייתה נכדת אחיו של ר׳ ישראל, טועה בסדר הזמנים </w:t>
      </w:r>
      <w:proofErr w:type="spellStart"/>
      <w:r>
        <w:rPr>
          <w:sz w:val="20"/>
          <w:szCs w:val="20"/>
          <w:rtl/>
        </w:rPr>
        <w:t>ב“שערי</w:t>
      </w:r>
      <w:proofErr w:type="spellEnd"/>
      <w:r>
        <w:rPr>
          <w:sz w:val="20"/>
          <w:szCs w:val="20"/>
          <w:rtl/>
        </w:rPr>
        <w:t xml:space="preserve"> ציון” (שם, פרק 1, הערה 11), עמ׳ לב–לג. הוא קושר את ההצעה </w:t>
      </w:r>
      <w:proofErr w:type="spellStart"/>
      <w:r>
        <w:rPr>
          <w:sz w:val="20"/>
          <w:szCs w:val="20"/>
          <w:rtl/>
        </w:rPr>
        <w:t>לר</w:t>
      </w:r>
      <w:proofErr w:type="spellEnd"/>
      <w:r>
        <w:rPr>
          <w:sz w:val="20"/>
          <w:szCs w:val="20"/>
          <w:rtl/>
        </w:rPr>
        <w:t>׳ ישראל לזמן שבו “אפילו תומכי בית המדרש לרבנים הודו שהתלמידים היו בורים ושוטים, שכל עניינם בתארים החילוניים שלהם... וכשראו שלב הציבור החרדי כולו פנה מהם, המציאו תחבולות שונות וגייסו את כוח השלטון כדי למשוך” את ר׳ ישראל פנימה.</w:t>
      </w:r>
    </w:p>
    <w:p w14:paraId="2657C4E9" w14:textId="77777777" w:rsidR="00AB3647" w:rsidRDefault="00000000">
      <w:pPr>
        <w:spacing w:after="0" w:before="0"/>
        <w:jc w:val="both"/>
      </w:pPr>
      <w:r>
        <w:rPr>
          <w:sz w:val="20"/>
          <w:szCs w:val="20"/>
          <w:rtl/>
        </w:rPr>
        <w:t xml:space="preserve">טעות בולטת אחרת בסדר הזמנים, שם בעמ׳ לג–לד, היא שר׳ </w:t>
      </w:r>
      <w:proofErr w:type="spellStart"/>
      <w:r>
        <w:rPr>
          <w:sz w:val="20"/>
          <w:szCs w:val="20"/>
          <w:rtl/>
        </w:rPr>
        <w:t>צבי־הירש</w:t>
      </w:r>
      <w:proofErr w:type="spellEnd"/>
      <w:r>
        <w:rPr>
          <w:sz w:val="20"/>
          <w:szCs w:val="20"/>
          <w:rtl/>
        </w:rPr>
        <w:t xml:space="preserve"> פרבר קושר את ייסוד הכולל בקובנה לשהיית ר׳ ישראל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 xml:space="preserve">: הכולל נוסד </w:t>
      </w:r>
      <w:proofErr w:type="spellStart"/>
      <w:r>
        <w:rPr>
          <w:sz w:val="20"/>
          <w:szCs w:val="20"/>
          <w:rtl/>
        </w:rPr>
        <w:t>בתרל״ז</w:t>
      </w:r>
      <w:proofErr w:type="spellEnd"/>
      <w:r>
        <w:rPr>
          <w:sz w:val="20"/>
          <w:szCs w:val="20"/>
          <w:rtl/>
        </w:rPr>
        <w:t xml:space="preserve">, ואילו השהייה </w:t>
      </w:r>
      <w:proofErr w:type="spellStart"/>
      <w:r>
        <w:rPr>
          <w:sz w:val="20"/>
          <w:szCs w:val="20"/>
          <w:rtl/>
        </w:rPr>
        <w:t>בקלויז</w:t>
      </w:r>
      <w:proofErr w:type="spellEnd"/>
      <w:r>
        <w:rPr>
          <w:sz w:val="20"/>
          <w:szCs w:val="20"/>
          <w:rtl/>
        </w:rPr>
        <w:t xml:space="preserve"> נמשכה שש שנים, שני עשורים קודם לכן, </w:t>
      </w:r>
      <w:proofErr w:type="spellStart"/>
      <w:r>
        <w:rPr>
          <w:sz w:val="20"/>
          <w:szCs w:val="20"/>
          <w:rtl/>
        </w:rPr>
        <w:t>מתרי״א</w:t>
      </w:r>
      <w:proofErr w:type="spellEnd"/>
      <w:r>
        <w:rPr>
          <w:sz w:val="20"/>
          <w:szCs w:val="20"/>
          <w:rtl/>
        </w:rPr>
        <w:t xml:space="preserve"> עד תרי״ז. השווה גם פרק 4, הפסקה השנייה של נספח ז, שבה אני מבאר טעות שטעה ר׳ </w:t>
      </w:r>
      <w:proofErr w:type="spellStart"/>
      <w:r>
        <w:rPr>
          <w:sz w:val="20"/>
          <w:szCs w:val="20"/>
          <w:rtl/>
        </w:rPr>
        <w:t>צבי־הירש</w:t>
      </w:r>
      <w:proofErr w:type="spellEnd"/>
      <w:r>
        <w:rPr>
          <w:sz w:val="20"/>
          <w:szCs w:val="20"/>
          <w:rtl/>
        </w:rPr>
        <w:t xml:space="preserve"> פרבר בהבנת שיחה עם מקובל גדול.</w:t>
      </w:r>
    </w:p>
  </w:footnote>
  <w:footnote w:id="4802">
    <w:p w14:paraId="1029F7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1084.</w:t>
      </w:r>
    </w:p>
  </w:footnote>
  <w:footnote w:id="4803">
    <w:p w14:paraId="350C00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בסוף פסקה זו פירוט של כוונות הממשלה.</w:t>
      </w:r>
    </w:p>
  </w:footnote>
  <w:footnote w:id="4804">
    <w:p w14:paraId="28733B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“מקור ברוך”, עמ׳ 1108, מנסה ליישב את ההבדל בתגובת המועמדים השונים, בתארו את ר׳ ישראל באופן בלתי משכנע כאדם בעל “לב רגז”, הפגיע יותר ללחץ.</w:t>
      </w:r>
    </w:p>
  </w:footnote>
  <w:footnote w:id="4805">
    <w:p w14:paraId="67C0339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“כל כתבי חפץ חיים השלם”, עמ׳ 2.</w:t>
      </w:r>
    </w:p>
  </w:footnote>
  <w:footnote w:id="4806">
    <w:p w14:paraId="5387F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בסוף פסקה זו, שכאשר פורסמו מסמכים ממשלתיים סודיים </w:t>
      </w:r>
      <w:proofErr w:type="spellStart"/>
      <w:r>
        <w:rPr>
          <w:sz w:val="20"/>
          <w:szCs w:val="20"/>
          <w:rtl/>
        </w:rPr>
        <w:t>בתרכ״ו</w:t>
      </w:r>
      <w:proofErr w:type="spellEnd"/>
      <w:r>
        <w:rPr>
          <w:sz w:val="20"/>
          <w:szCs w:val="20"/>
          <w:rtl/>
        </w:rPr>
        <w:t>, התברר שזאת בדיוק הייתה כוונת הממשלה.</w:t>
      </w:r>
    </w:p>
  </w:footnote>
  <w:footnote w:id="4807">
    <w:p w14:paraId="222EEC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257 של “העבר”, חוברת ט״ו (אייר תשכ״ח), במאמר “רשימה אוטוביוגרפית של ח.ז. מרגליות”, מאת ב. דינור.</w:t>
      </w:r>
    </w:p>
  </w:footnote>
  <w:footnote w:id="4808">
    <w:p w14:paraId="7D440A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וילנא</w:t>
      </w:r>
      <w:proofErr w:type="spellEnd"/>
      <w:r>
        <w:rPr>
          <w:sz w:val="20"/>
          <w:szCs w:val="20"/>
          <w:rtl/>
        </w:rPr>
        <w:t>, תרמ״ג.</w:t>
      </w:r>
    </w:p>
  </w:footnote>
  <w:footnote w:id="4809">
    <w:p w14:paraId="3653B8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נדפסה </w:t>
      </w:r>
      <w:proofErr w:type="spellStart"/>
      <w:r>
        <w:rPr>
          <w:sz w:val="20"/>
          <w:szCs w:val="20"/>
          <w:rtl/>
        </w:rPr>
        <w:t>ב“אליקום</w:t>
      </w:r>
      <w:proofErr w:type="spellEnd"/>
      <w:r>
        <w:rPr>
          <w:sz w:val="20"/>
          <w:szCs w:val="20"/>
          <w:rtl/>
        </w:rPr>
        <w:t xml:space="preserve"> </w:t>
      </w:r>
      <w:proofErr w:type="spellStart"/>
      <w:r>
        <w:rPr>
          <w:sz w:val="20"/>
          <w:szCs w:val="20"/>
          <w:rtl/>
        </w:rPr>
        <w:t>צונזערס</w:t>
      </w:r>
      <w:proofErr w:type="spellEnd"/>
      <w:r>
        <w:rPr>
          <w:sz w:val="20"/>
          <w:szCs w:val="20"/>
          <w:rtl/>
        </w:rPr>
        <w:t xml:space="preserve"> </w:t>
      </w:r>
      <w:proofErr w:type="spellStart"/>
      <w:r>
        <w:rPr>
          <w:sz w:val="20"/>
          <w:szCs w:val="20"/>
          <w:rtl/>
        </w:rPr>
        <w:t>ווערק</w:t>
      </w:r>
      <w:proofErr w:type="spellEnd"/>
      <w:r>
        <w:rPr>
          <w:sz w:val="20"/>
          <w:szCs w:val="20"/>
          <w:rtl/>
        </w:rPr>
        <w:t xml:space="preserve">”, </w:t>
      </w:r>
      <w:proofErr w:type="spellStart"/>
      <w:r>
        <w:rPr>
          <w:sz w:val="20"/>
          <w:szCs w:val="20"/>
          <w:rtl/>
        </w:rPr>
        <w:t>באנד</w:t>
      </w:r>
      <w:proofErr w:type="spellEnd"/>
      <w:r>
        <w:rPr>
          <w:sz w:val="20"/>
          <w:szCs w:val="20"/>
          <w:rtl/>
        </w:rPr>
        <w:t xml:space="preserve"> צוויי [כתבי </w:t>
      </w:r>
      <w:proofErr w:type="spellStart"/>
      <w:r>
        <w:rPr>
          <w:sz w:val="20"/>
          <w:szCs w:val="20"/>
          <w:rtl/>
        </w:rPr>
        <w:t>אליקום</w:t>
      </w:r>
      <w:proofErr w:type="spellEnd"/>
      <w:r>
        <w:rPr>
          <w:sz w:val="20"/>
          <w:szCs w:val="20"/>
          <w:rtl/>
        </w:rPr>
        <w:t xml:space="preserve"> צונזר, כרך שני] (שם, פרק 2, הערה 4).</w:t>
      </w:r>
    </w:p>
  </w:footnote>
  <w:footnote w:id="4810">
    <w:p w14:paraId="44D9E4D6"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המושל הכללי של וילנה בשנים ההן היה הגנרל אלכסנדר </w:t>
      </w:r>
      <w:proofErr w:type="spellStart"/>
      <w:r>
        <w:rPr>
          <w:sz w:val="20"/>
          <w:szCs w:val="20"/>
          <w:rtl/>
        </w:rPr>
        <w:t>פוטאפוב</w:t>
      </w:r>
      <w:proofErr w:type="spellEnd"/>
      <w:r>
        <w:rPr>
          <w:sz w:val="20"/>
          <w:szCs w:val="20"/>
          <w:rtl/>
        </w:rPr>
        <w:t>.</w:t>
      </w:r>
    </w:p>
    <w:p w14:paraId="762CB384" w14:textId="77777777" w:rsidR="00AB3647" w:rsidRDefault="00000000">
      <w:pPr>
        <w:spacing w:after="0" w:before="0"/>
        <w:jc w:val="both"/>
      </w:pPr>
      <w:r>
        <w:rPr>
          <w:sz w:val="20"/>
          <w:szCs w:val="20"/>
          <w:rtl/>
        </w:rPr>
        <w:t xml:space="preserve">בתי המדרש לרבנים בווילנה </w:t>
      </w:r>
      <w:proofErr w:type="spellStart"/>
      <w:r>
        <w:rPr>
          <w:sz w:val="20"/>
          <w:szCs w:val="20"/>
          <w:rtl/>
        </w:rPr>
        <w:t>ובז׳יטומיר</w:t>
      </w:r>
      <w:proofErr w:type="spellEnd"/>
      <w:r>
        <w:rPr>
          <w:sz w:val="20"/>
          <w:szCs w:val="20"/>
          <w:rtl/>
        </w:rPr>
        <w:t xml:space="preserve"> נסגרו בגזרת הממשלה </w:t>
      </w:r>
      <w:proofErr w:type="spellStart"/>
      <w:r>
        <w:rPr>
          <w:sz w:val="20"/>
          <w:szCs w:val="20"/>
          <w:rtl/>
        </w:rPr>
        <w:t>בתרל״ג</w:t>
      </w:r>
      <w:proofErr w:type="spellEnd"/>
      <w:r>
        <w:rPr>
          <w:sz w:val="20"/>
          <w:szCs w:val="20"/>
          <w:rtl/>
        </w:rPr>
        <w:t xml:space="preserve">, ולא </w:t>
      </w:r>
      <w:proofErr w:type="spellStart"/>
      <w:r>
        <w:rPr>
          <w:sz w:val="20"/>
          <w:szCs w:val="20"/>
          <w:rtl/>
        </w:rPr>
        <w:t>בתרל״ב</w:t>
      </w:r>
      <w:proofErr w:type="spellEnd"/>
      <w:r>
        <w:rPr>
          <w:sz w:val="20"/>
          <w:szCs w:val="20"/>
          <w:rtl/>
        </w:rPr>
        <w:t>.</w:t>
      </w:r>
    </w:p>
  </w:footnote>
  <w:footnote w:id="4811">
    <w:p w14:paraId="2BEFBD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בביקורו האחרון בישראל, בסיוון תשמ״ב.</w:t>
      </w:r>
    </w:p>
  </w:footnote>
  <w:footnote w:id="4812">
    <w:p w14:paraId="274A61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משה </w:t>
      </w:r>
      <w:proofErr w:type="spellStart"/>
      <w:r>
        <w:rPr>
          <w:sz w:val="20"/>
          <w:szCs w:val="20"/>
          <w:rtl/>
        </w:rPr>
        <w:t>קרלינסקי</w:t>
      </w:r>
      <w:proofErr w:type="spellEnd"/>
      <w:r>
        <w:rPr>
          <w:sz w:val="20"/>
          <w:szCs w:val="20"/>
          <w:rtl/>
        </w:rPr>
        <w:t>, בריאיון מ־26 בדצמבר 1986.</w:t>
      </w:r>
    </w:p>
  </w:footnote>
  <w:footnote w:id="4813">
    <w:p w14:paraId="6B8CD0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הערות 15 ו־35.</w:t>
      </w:r>
    </w:p>
  </w:footnote>
  <w:footnote w:id="4814">
    <w:p w14:paraId="1430A1D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181, שר׳ </w:t>
      </w:r>
      <w:proofErr w:type="spellStart"/>
      <w:r>
        <w:rPr>
          <w:sz w:val="20"/>
          <w:szCs w:val="20"/>
          <w:rtl/>
        </w:rPr>
        <w:t>לייבל׳ה</w:t>
      </w:r>
      <w:proofErr w:type="spellEnd"/>
      <w:r>
        <w:rPr>
          <w:sz w:val="20"/>
          <w:szCs w:val="20"/>
          <w:rtl/>
        </w:rPr>
        <w:t xml:space="preserve"> שפירא היה שולח את ר׳ </w:t>
      </w:r>
      <w:proofErr w:type="spellStart"/>
      <w:r>
        <w:rPr>
          <w:sz w:val="20"/>
          <w:szCs w:val="20"/>
          <w:rtl/>
        </w:rPr>
        <w:t>יהושע־העשיל</w:t>
      </w:r>
      <w:proofErr w:type="spellEnd"/>
      <w:r>
        <w:rPr>
          <w:sz w:val="20"/>
          <w:szCs w:val="20"/>
          <w:rtl/>
        </w:rPr>
        <w:t xml:space="preserve"> </w:t>
      </w:r>
      <w:proofErr w:type="spellStart"/>
      <w:r>
        <w:rPr>
          <w:sz w:val="20"/>
          <w:szCs w:val="20"/>
          <w:rtl/>
        </w:rPr>
        <w:t>מינובה</w:t>
      </w:r>
      <w:proofErr w:type="spellEnd"/>
      <w:r>
        <w:rPr>
          <w:sz w:val="20"/>
          <w:szCs w:val="20"/>
          <w:rtl/>
        </w:rPr>
        <w:t>, נואם מבריק, לדרוש בבתי המדרש שבהם דיבר ר׳ ישראל, כדי לסתור את דבריו.</w:t>
      </w:r>
    </w:p>
  </w:footnote>
  <w:footnote w:id="4815">
    <w:p w14:paraId="28BCFA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שם, עמ׳ 179–180, מדוע העמיד ר׳ </w:t>
      </w:r>
      <w:proofErr w:type="spellStart"/>
      <w:r>
        <w:rPr>
          <w:sz w:val="20"/>
          <w:szCs w:val="20"/>
          <w:rtl/>
        </w:rPr>
        <w:t>לייבל׳ה</w:t>
      </w:r>
      <w:proofErr w:type="spellEnd"/>
      <w:r>
        <w:rPr>
          <w:sz w:val="20"/>
          <w:szCs w:val="20"/>
          <w:rtl/>
        </w:rPr>
        <w:t xml:space="preserve"> תנאי כזה. בשמונה השנים שר׳ ישראל נשאר בקובנה שימש שנתיים דרשן העיר (תפקיד לא מוגדר – ראה להלן מתוך ספרו של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ושש שנים ראש ישיבה </w:t>
      </w:r>
      <w:proofErr w:type="spellStart"/>
      <w:r>
        <w:rPr>
          <w:sz w:val="20"/>
          <w:szCs w:val="20"/>
          <w:rtl/>
        </w:rPr>
        <w:t>בנביאזר</w:t>
      </w:r>
      <w:proofErr w:type="spellEnd"/>
      <w:r>
        <w:rPr>
          <w:sz w:val="20"/>
          <w:szCs w:val="20"/>
          <w:rtl/>
        </w:rPr>
        <w:t xml:space="preserve"> </w:t>
      </w:r>
      <w:proofErr w:type="spellStart"/>
      <w:r>
        <w:rPr>
          <w:sz w:val="20"/>
          <w:szCs w:val="20"/>
          <w:rtl/>
        </w:rPr>
        <w:t>קלויז</w:t>
      </w:r>
      <w:proofErr w:type="spellEnd"/>
      <w:r>
        <w:rPr>
          <w:sz w:val="20"/>
          <w:szCs w:val="20"/>
          <w:rtl/>
        </w:rPr>
        <w:t>.</w:t>
      </w:r>
    </w:p>
  </w:footnote>
  <w:footnote w:id="4816">
    <w:p w14:paraId="74DAA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עמ׳ </w:t>
      </w:r>
      <w:r>
        <w:rPr>
          <w:rStyle w:val="a5"/>
          <w:sz w:val="20"/>
          <w:szCs w:val="20"/>
          <w:vertAlign w:val="baseline"/>
          <w:rtl/>
        </w:rPr>
        <w:fldChar w:fldCharType="begin" w:dirty="true"/>
      </w:r>
      <w:r>
        <w:rPr>
          <w:rStyle w:val="a5"/>
          <w:sz w:val="20"/>
          <w:szCs w:val="20"/>
          <w:vertAlign w:val="baseline"/>
          <w:rtl/>
        </w:rPr>
        <w:instrText xml:space="preserve"> PAGEREF pr_b_2649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4817">
    <w:p w14:paraId="040BCB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ריאיון מ־27 ביולי 1996. ר׳ ישראל </w:t>
      </w:r>
      <w:proofErr w:type="spellStart"/>
      <w:r>
        <w:rPr>
          <w:sz w:val="20"/>
          <w:szCs w:val="20"/>
          <w:rtl/>
        </w:rPr>
        <w:t>שורין</w:t>
      </w:r>
      <w:proofErr w:type="spellEnd"/>
      <w:r>
        <w:rPr>
          <w:sz w:val="20"/>
          <w:szCs w:val="20"/>
          <w:rtl/>
        </w:rPr>
        <w:t xml:space="preserve"> שמע זאת מפי ר׳ נוטע </w:t>
      </w:r>
      <w:proofErr w:type="spellStart"/>
      <w:r>
        <w:rPr>
          <w:sz w:val="20"/>
          <w:szCs w:val="20"/>
          <w:rtl/>
        </w:rPr>
        <w:t>ביאליק־ביליצקי</w:t>
      </w:r>
      <w:proofErr w:type="spellEnd"/>
      <w:r>
        <w:rPr>
          <w:sz w:val="20"/>
          <w:szCs w:val="20"/>
          <w:rtl/>
        </w:rPr>
        <w:t>.</w:t>
      </w:r>
    </w:p>
  </w:footnote>
  <w:footnote w:id="4818">
    <w:p w14:paraId="539684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השלישית של נספח יד.</w:t>
      </w:r>
    </w:p>
  </w:footnote>
  <w:footnote w:id="4819">
    <w:p w14:paraId="505724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היה תלמידו של ר׳ </w:t>
      </w:r>
      <w:proofErr w:type="spellStart"/>
      <w:r>
        <w:rPr>
          <w:sz w:val="20"/>
          <w:szCs w:val="20"/>
          <w:rtl/>
        </w:rPr>
        <w:t>אלינקה</w:t>
      </w:r>
      <w:proofErr w:type="spellEnd"/>
      <w:r>
        <w:rPr>
          <w:sz w:val="20"/>
          <w:szCs w:val="20"/>
          <w:rtl/>
        </w:rPr>
        <w:t xml:space="preserve"> </w:t>
      </w:r>
      <w:proofErr w:type="spellStart"/>
      <w:r>
        <w:rPr>
          <w:sz w:val="20"/>
          <w:szCs w:val="20"/>
          <w:rtl/>
        </w:rPr>
        <w:t>מרגולה</w:t>
      </w:r>
      <w:proofErr w:type="spellEnd"/>
      <w:r>
        <w:rPr>
          <w:sz w:val="20"/>
          <w:szCs w:val="20"/>
          <w:rtl/>
        </w:rPr>
        <w:t xml:space="preserve"> (השווה פרק 3, הערה 10), וכך גם ר׳ </w:t>
      </w:r>
      <w:proofErr w:type="spellStart"/>
      <w:r>
        <w:rPr>
          <w:sz w:val="20"/>
          <w:szCs w:val="20"/>
          <w:rtl/>
        </w:rPr>
        <w:t>לייבל׳ה</w:t>
      </w:r>
      <w:proofErr w:type="spellEnd"/>
      <w:r>
        <w:rPr>
          <w:sz w:val="20"/>
          <w:szCs w:val="20"/>
          <w:rtl/>
        </w:rPr>
        <w:t xml:space="preserve"> שפירא.</w:t>
      </w:r>
    </w:p>
  </w:footnote>
  <w:footnote w:id="4820">
    <w:p w14:paraId="3A0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192–193 ו־213–214.</w:t>
      </w:r>
    </w:p>
  </w:footnote>
  <w:footnote w:id="4821">
    <w:p w14:paraId="68AFBB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מצוטט מעמ׳ </w:t>
      </w:r>
      <w:proofErr w:type="spellStart"/>
      <w:r>
        <w:rPr>
          <w:sz w:val="20"/>
          <w:szCs w:val="20"/>
          <w:rtl/>
        </w:rPr>
        <w:t>יב</w:t>
      </w:r>
      <w:proofErr w:type="spellEnd"/>
      <w:r>
        <w:rPr>
          <w:sz w:val="20"/>
          <w:szCs w:val="20"/>
          <w:rtl/>
        </w:rPr>
        <w:t xml:space="preserve"> של המבוא הביוגרפי </w:t>
      </w:r>
      <w:proofErr w:type="spellStart"/>
      <w:r>
        <w:rPr>
          <w:sz w:val="20"/>
          <w:szCs w:val="20"/>
          <w:rtl/>
        </w:rPr>
        <w:t>ל“שביל</w:t>
      </w:r>
      <w:proofErr w:type="spellEnd"/>
      <w:r>
        <w:rPr>
          <w:sz w:val="20"/>
          <w:szCs w:val="20"/>
          <w:rtl/>
        </w:rPr>
        <w:t xml:space="preserve"> הזהב” (שם, פרק 2, הפסקה העשרים וארבע של נספח א).</w:t>
      </w:r>
    </w:p>
  </w:footnote>
  <w:footnote w:id="4822">
    <w:p w14:paraId="38BE45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המבוא הביוגרפי </w:t>
      </w:r>
      <w:proofErr w:type="spellStart"/>
      <w:r>
        <w:rPr>
          <w:sz w:val="20"/>
          <w:szCs w:val="20"/>
          <w:rtl/>
        </w:rPr>
        <w:t>ל“שביל</w:t>
      </w:r>
      <w:proofErr w:type="spellEnd"/>
      <w:r>
        <w:rPr>
          <w:sz w:val="20"/>
          <w:szCs w:val="20"/>
          <w:rtl/>
        </w:rPr>
        <w:t xml:space="preserve"> הזהב”, עמ׳ </w:t>
      </w:r>
      <w:proofErr w:type="spellStart"/>
      <w:r>
        <w:rPr>
          <w:sz w:val="20"/>
          <w:szCs w:val="20"/>
          <w:rtl/>
        </w:rPr>
        <w:t>יג</w:t>
      </w:r>
      <w:proofErr w:type="spellEnd"/>
      <w:r>
        <w:rPr>
          <w:sz w:val="20"/>
          <w:szCs w:val="20"/>
          <w:rtl/>
        </w:rPr>
        <w:t>: “</w:t>
      </w:r>
      <w:r>
        <w:rPr>
          <w:b/>
          <w:bCs/>
          <w:sz w:val="20"/>
          <w:szCs w:val="20"/>
          <w:rtl/>
        </w:rPr>
        <w:t>ברבות הימים</w:t>
      </w:r>
      <w:r>
        <w:rPr>
          <w:sz w:val="20"/>
          <w:szCs w:val="20"/>
          <w:rtl/>
        </w:rPr>
        <w:t xml:space="preserve">, נעשה פירוד עצום בין הגאון ר׳ ליב שפירא והגאון ר׳ ישראל </w:t>
      </w:r>
      <w:proofErr w:type="spellStart"/>
      <w:r>
        <w:rPr>
          <w:sz w:val="20"/>
          <w:szCs w:val="20"/>
          <w:rtl/>
        </w:rPr>
        <w:t>מסלאנט</w:t>
      </w:r>
      <w:proofErr w:type="spellEnd"/>
      <w:r>
        <w:rPr>
          <w:sz w:val="20"/>
          <w:szCs w:val="20"/>
          <w:rtl/>
        </w:rPr>
        <w:t xml:space="preserve"> ז״ל, מפני </w:t>
      </w:r>
      <w:r>
        <w:rPr>
          <w:b/>
          <w:bCs/>
          <w:sz w:val="20"/>
          <w:szCs w:val="20"/>
          <w:rtl/>
        </w:rPr>
        <w:t xml:space="preserve">שינוי </w:t>
      </w:r>
      <w:proofErr w:type="spellStart"/>
      <w:r>
        <w:rPr>
          <w:b/>
          <w:bCs/>
          <w:sz w:val="20"/>
          <w:szCs w:val="20"/>
          <w:rtl/>
        </w:rPr>
        <w:t>טבעיהם</w:t>
      </w:r>
      <w:proofErr w:type="spellEnd"/>
      <w:r>
        <w:rPr>
          <w:sz w:val="20"/>
          <w:szCs w:val="20"/>
          <w:rtl/>
        </w:rPr>
        <w:t xml:space="preserve"> ו</w:t>
      </w:r>
      <w:r>
        <w:rPr>
          <w:b/>
          <w:bCs/>
          <w:sz w:val="20"/>
          <w:szCs w:val="20"/>
          <w:rtl/>
        </w:rPr>
        <w:t>דרכי הלמוד</w:t>
      </w:r>
      <w:r>
        <w:rPr>
          <w:sz w:val="20"/>
          <w:szCs w:val="20"/>
          <w:rtl/>
        </w:rPr>
        <w:t xml:space="preserve">”. הדגשתי באמירה זו שלוש נקודות שאינן נכונות: שני היריבים היו יחד בקובנה רק חמש שנים; ההבדל בטבעם, תהא מהותו אשר תהא, לא נגע למחלוקתם על הדתיות היהודית הנכונה (ראה את דברי ר׳ </w:t>
      </w:r>
      <w:proofErr w:type="spellStart"/>
      <w:r>
        <w:rPr>
          <w:sz w:val="20"/>
          <w:szCs w:val="20"/>
          <w:rtl/>
        </w:rPr>
        <w:t>אברהם־שמואל</w:t>
      </w:r>
      <w:proofErr w:type="spellEnd"/>
      <w:r>
        <w:rPr>
          <w:sz w:val="20"/>
          <w:szCs w:val="20"/>
          <w:rtl/>
        </w:rPr>
        <w:t xml:space="preserve"> </w:t>
      </w:r>
      <w:proofErr w:type="spellStart"/>
      <w:r>
        <w:rPr>
          <w:sz w:val="20"/>
          <w:szCs w:val="20"/>
          <w:rtl/>
        </w:rPr>
        <w:t>מראסיין</w:t>
      </w:r>
      <w:proofErr w:type="spellEnd"/>
      <w:r>
        <w:rPr>
          <w:sz w:val="20"/>
          <w:szCs w:val="20"/>
          <w:rtl/>
        </w:rPr>
        <w:t xml:space="preserve"> שצוטטו לעיל); והבדלים בדרכי לימוד (התלמוד) לא היו, ואף מעולם לא היו, עילה למחלוקות בין גדולי התורה.</w:t>
      </w:r>
    </w:p>
  </w:footnote>
  <w:footnote w:id="4823">
    <w:p w14:paraId="76712E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238–241;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295–305; פרק 3, סוף הפסקה הראשונה של נספח </w:t>
      </w:r>
      <w:proofErr w:type="spellStart"/>
      <w:r>
        <w:rPr>
          <w:sz w:val="20"/>
          <w:szCs w:val="20"/>
          <w:rtl/>
        </w:rPr>
        <w:t>טז</w:t>
      </w:r>
      <w:proofErr w:type="spellEnd"/>
      <w:r>
        <w:rPr>
          <w:sz w:val="20"/>
          <w:szCs w:val="20"/>
          <w:rtl/>
        </w:rPr>
        <w:t>; ופרק 4, הפסקה השנייה של נספח ח.</w:t>
      </w:r>
    </w:p>
  </w:footnote>
  <w:footnote w:id="4824">
    <w:p w14:paraId="6F16E1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יט</w:t>
      </w:r>
      <w:proofErr w:type="spellEnd"/>
      <w:r>
        <w:rPr>
          <w:sz w:val="20"/>
          <w:szCs w:val="20"/>
          <w:rtl/>
        </w:rPr>
        <w:t>.</w:t>
      </w:r>
    </w:p>
  </w:footnote>
  <w:footnote w:id="4825">
    <w:p w14:paraId="5BE082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יב</w:t>
      </w:r>
      <w:proofErr w:type="spellEnd"/>
      <w:r>
        <w:rPr>
          <w:sz w:val="20"/>
          <w:szCs w:val="20"/>
          <w:rtl/>
        </w:rPr>
        <w:t xml:space="preserve"> במבוא הביוגרפי לספר אביו, “שביל הזהב”.</w:t>
      </w:r>
    </w:p>
  </w:footnote>
  <w:footnote w:id="4826">
    <w:p w14:paraId="4F0AE29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“שביל הזהב” נדפס </w:t>
      </w:r>
      <w:proofErr w:type="spellStart"/>
      <w:r>
        <w:rPr>
          <w:sz w:val="20"/>
          <w:szCs w:val="20"/>
          <w:rtl/>
        </w:rPr>
        <w:t>בתרנ״ז</w:t>
      </w:r>
      <w:proofErr w:type="spellEnd"/>
      <w:r>
        <w:rPr>
          <w:sz w:val="20"/>
          <w:szCs w:val="20"/>
          <w:rtl/>
        </w:rPr>
        <w:t>, אך נכתב לפחות שש שנים קודם לכן.</w:t>
      </w:r>
    </w:p>
  </w:footnote>
  <w:footnote w:id="4827">
    <w:p w14:paraId="6FA45C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 – כרך א, עמ׳ 176.</w:t>
      </w:r>
    </w:p>
  </w:footnote>
  <w:footnote w:id="4828">
    <w:p w14:paraId="0F8A08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השיחה הייתה בקיץ תרמ״ב, כחצי שנה לפני פטירת ר׳ ישראל, לפי “</w:t>
      </w:r>
      <w:proofErr w:type="spellStart"/>
      <w:r>
        <w:rPr>
          <w:sz w:val="20"/>
          <w:szCs w:val="20"/>
          <w:rtl/>
        </w:rPr>
        <w:t>זכרון</w:t>
      </w:r>
      <w:proofErr w:type="spellEnd"/>
      <w:r>
        <w:rPr>
          <w:sz w:val="20"/>
          <w:szCs w:val="20"/>
          <w:rtl/>
        </w:rPr>
        <w:t xml:space="preserve"> יעקב”, כרך ג, עמ׳ 125–127. הדבר היה יותר משלושים שנה אחרי שעזב הרב </w:t>
      </w:r>
      <w:proofErr w:type="spellStart"/>
      <w:r>
        <w:rPr>
          <w:sz w:val="20"/>
          <w:szCs w:val="20"/>
          <w:rtl/>
        </w:rPr>
        <w:t>סלנטר</w:t>
      </w:r>
      <w:proofErr w:type="spellEnd"/>
      <w:r>
        <w:rPr>
          <w:sz w:val="20"/>
          <w:szCs w:val="20"/>
          <w:rtl/>
        </w:rPr>
        <w:t xml:space="preserve"> את וילנה.</w:t>
      </w:r>
    </w:p>
  </w:footnote>
  <w:footnote w:id="4829">
    <w:p w14:paraId="3D8488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לוריא, הידוע בכינוי </w:t>
      </w:r>
      <w:proofErr w:type="spellStart"/>
      <w:r>
        <w:rPr>
          <w:sz w:val="20"/>
          <w:szCs w:val="20"/>
          <w:rtl/>
        </w:rPr>
        <w:t>רד״ל</w:t>
      </w:r>
      <w:proofErr w:type="spellEnd"/>
      <w:r>
        <w:rPr>
          <w:sz w:val="20"/>
          <w:szCs w:val="20"/>
          <w:rtl/>
        </w:rPr>
        <w:t>.</w:t>
      </w:r>
    </w:p>
  </w:footnote>
  <w:footnote w:id="4830">
    <w:p w14:paraId="207BE0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שם, עמ׳ 177, שר׳ ישראל השיב על אותה שאלה עיקרית תשובה מתחמקת אחרת לשואל אחר, ד״ר לפילוסופיה </w:t>
      </w:r>
      <w:proofErr w:type="spellStart"/>
      <w:r>
        <w:rPr>
          <w:sz w:val="20"/>
          <w:szCs w:val="20"/>
          <w:rtl/>
        </w:rPr>
        <w:t>צבי־הירש</w:t>
      </w:r>
      <w:proofErr w:type="spellEnd"/>
      <w:r>
        <w:rPr>
          <w:sz w:val="20"/>
          <w:szCs w:val="20"/>
          <w:rtl/>
        </w:rPr>
        <w:t xml:space="preserve"> </w:t>
      </w:r>
      <w:proofErr w:type="spellStart"/>
      <w:r>
        <w:rPr>
          <w:sz w:val="20"/>
          <w:szCs w:val="20"/>
          <w:rtl/>
        </w:rPr>
        <w:t>אפטייקר־שפיר</w:t>
      </w:r>
      <w:proofErr w:type="spellEnd"/>
      <w:r>
        <w:rPr>
          <w:sz w:val="20"/>
          <w:szCs w:val="20"/>
          <w:rtl/>
        </w:rPr>
        <w:t xml:space="preserve"> מקובנה. לפרטים השווה פרק 4, הפסקה השנייה של נספח ח.</w:t>
      </w:r>
    </w:p>
  </w:footnote>
  <w:footnote w:id="4831">
    <w:p w14:paraId="4B61CE7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65.</w:t>
      </w:r>
    </w:p>
  </w:footnote>
  <w:footnote w:id="4832">
    <w:p w14:paraId="023BB9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ווין, </w:t>
      </w:r>
      <w:proofErr w:type="spellStart"/>
      <w:r>
        <w:rPr>
          <w:sz w:val="20"/>
          <w:szCs w:val="20"/>
          <w:rtl/>
        </w:rPr>
        <w:t>תר״ם</w:t>
      </w:r>
      <w:proofErr w:type="spellEnd"/>
      <w:r>
        <w:rPr>
          <w:sz w:val="20"/>
          <w:szCs w:val="20"/>
          <w:rtl/>
        </w:rPr>
        <w:t>.</w:t>
      </w:r>
    </w:p>
  </w:footnote>
  <w:footnote w:id="4833">
    <w:p w14:paraId="4838E1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233.</w:t>
      </w:r>
    </w:p>
  </w:footnote>
  <w:footnote w:id="4834">
    <w:p w14:paraId="4931C686"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rFonts w:ascii="David" w:eastAsia="David" w:hAnsi="David" w:cs="David"/>
          <w:sz w:val="20"/>
          <w:szCs w:val="20"/>
          <w:rtl/>
        </w:rPr>
        <w:t xml:space="preserve"/>
      </w:r>
      <w:r>
        <w:rPr>
          <w:b/>
          <w:color w:val="000000"/>
          <w:sz w:val="20"/>
          <w:szCs w:val="20"/>
          <w:rtl/>
        </w:rPr>
        <w:t xml:space="preserve">הערת המתרגם: </w:t>
      </w:r>
      <w:r>
        <w:rPr>
          <w:sz w:val="20"/>
          <w:szCs w:val="20"/>
          <w:rtl/>
        </w:rPr>
        <w:t xml:space="preserve">סרגיי </w:t>
      </w:r>
      <w:proofErr w:type="spellStart"/>
      <w:r>
        <w:rPr>
          <w:sz w:val="20"/>
          <w:szCs w:val="20"/>
          <w:rtl/>
        </w:rPr>
        <w:t>אוברוב</w:t>
      </w:r>
      <w:proofErr w:type="spellEnd"/>
      <w:r>
        <w:rPr>
          <w:sz w:val="20"/>
          <w:szCs w:val="20"/>
          <w:rtl/>
        </w:rPr>
        <w:t xml:space="preserve"> כיהן כשר ההשכלה הלאומית של רוסיה (1833–1849), ולא </w:t>
      </w:r>
      <w:proofErr w:type="spellStart"/>
      <w:r>
        <w:rPr>
          <w:sz w:val="20"/>
          <w:szCs w:val="20"/>
          <w:rtl/>
        </w:rPr>
        <w:t>כ“שר</w:t>
      </w:r>
      <w:proofErr w:type="spellEnd"/>
      <w:r>
        <w:rPr>
          <w:sz w:val="20"/>
          <w:szCs w:val="20"/>
          <w:rtl/>
        </w:rPr>
        <w:t xml:space="preserve"> הדתות והתרבות” כבמקור.</w:t>
      </w:r>
    </w:p>
  </w:footnote>
  <w:footnote w:id="4835">
    <w:p w14:paraId="1599ED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בין מסמכי המשרד מן השנים 1814–1864 – ראה פרק 2, הפסקה העשרים של נספח א.</w:t>
      </w:r>
    </w:p>
  </w:footnote>
  <w:footnote w:id="4836">
    <w:p w14:paraId="4D3A2E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“מקור ברוך”, עמ׳ תקלו–1072.</w:t>
      </w:r>
    </w:p>
  </w:footnote>
  <w:footnote w:id="4837">
    <w:p w14:paraId="4C1BC7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מכאן שם המשפחה </w:t>
      </w:r>
      <w:proofErr w:type="spellStart"/>
      <w:r>
        <w:rPr>
          <w:sz w:val="20"/>
          <w:szCs w:val="20"/>
          <w:rtl/>
        </w:rPr>
        <w:t>פרלוב</w:t>
      </w:r>
      <w:proofErr w:type="spellEnd"/>
      <w:r>
        <w:rPr>
          <w:sz w:val="20"/>
          <w:szCs w:val="20"/>
          <w:rtl/>
        </w:rPr>
        <w:t>.</w:t>
      </w:r>
    </w:p>
  </w:footnote>
  <w:footnote w:id="4838">
    <w:p w14:paraId="60C090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שתי הגרסאות מובאות, בהתאמה, </w:t>
      </w:r>
      <w:proofErr w:type="spellStart"/>
      <w:r>
        <w:rPr>
          <w:sz w:val="20"/>
          <w:szCs w:val="20"/>
          <w:rtl/>
        </w:rPr>
        <w:t>ב“דור</w:t>
      </w:r>
      <w:proofErr w:type="spellEnd"/>
      <w:r>
        <w:rPr>
          <w:sz w:val="20"/>
          <w:szCs w:val="20"/>
          <w:rtl/>
        </w:rPr>
        <w:t xml:space="preserve"> דעה”, מאת ר׳ יקותיאל ארי’ </w:t>
      </w:r>
      <w:proofErr w:type="spellStart"/>
      <w:r>
        <w:rPr>
          <w:sz w:val="20"/>
          <w:szCs w:val="20"/>
          <w:rtl/>
        </w:rPr>
        <w:t>קאמלהאר</w:t>
      </w:r>
      <w:proofErr w:type="spellEnd"/>
      <w:r>
        <w:rPr>
          <w:sz w:val="20"/>
          <w:szCs w:val="20"/>
          <w:rtl/>
        </w:rPr>
        <w:t xml:space="preserve"> (</w:t>
      </w:r>
      <w:proofErr w:type="spellStart"/>
      <w:r>
        <w:rPr>
          <w:sz w:val="20"/>
          <w:szCs w:val="20"/>
          <w:rtl/>
        </w:rPr>
        <w:t>ניו־יורק</w:t>
      </w:r>
      <w:proofErr w:type="spellEnd"/>
      <w:r>
        <w:rPr>
          <w:sz w:val="20"/>
          <w:szCs w:val="20"/>
          <w:rtl/>
        </w:rPr>
        <w:t xml:space="preserve">, תשי״ב), עמ׳ </w:t>
      </w:r>
      <w:proofErr w:type="spellStart"/>
      <w:r>
        <w:rPr>
          <w:sz w:val="20"/>
          <w:szCs w:val="20"/>
          <w:rtl/>
        </w:rPr>
        <w:t>קע</w:t>
      </w:r>
      <w:proofErr w:type="spellEnd"/>
      <w:r>
        <w:rPr>
          <w:sz w:val="20"/>
          <w:szCs w:val="20"/>
          <w:rtl/>
        </w:rPr>
        <w:t>–</w:t>
      </w:r>
      <w:proofErr w:type="spellStart"/>
      <w:r>
        <w:rPr>
          <w:sz w:val="20"/>
          <w:szCs w:val="20"/>
          <w:rtl/>
        </w:rPr>
        <w:t>קעא</w:t>
      </w:r>
      <w:proofErr w:type="spellEnd"/>
      <w:r>
        <w:rPr>
          <w:sz w:val="20"/>
          <w:szCs w:val="20"/>
          <w:rtl/>
        </w:rPr>
        <w:t xml:space="preserve">; </w:t>
      </w:r>
      <w:proofErr w:type="spellStart"/>
      <w:r>
        <w:rPr>
          <w:sz w:val="20"/>
          <w:szCs w:val="20"/>
          <w:rtl/>
        </w:rPr>
        <w:t>וב“בית</w:t>
      </w:r>
      <w:proofErr w:type="spellEnd"/>
      <w:r>
        <w:rPr>
          <w:sz w:val="20"/>
          <w:szCs w:val="20"/>
          <w:rtl/>
        </w:rPr>
        <w:t xml:space="preserve"> </w:t>
      </w:r>
      <w:proofErr w:type="spellStart"/>
      <w:r>
        <w:rPr>
          <w:sz w:val="20"/>
          <w:szCs w:val="20"/>
          <w:rtl/>
        </w:rPr>
        <w:t>קרלין</w:t>
      </w:r>
      <w:proofErr w:type="spellEnd"/>
      <w:r>
        <w:rPr>
          <w:sz w:val="20"/>
          <w:szCs w:val="20"/>
          <w:rtl/>
        </w:rPr>
        <w:t xml:space="preserve"> </w:t>
      </w:r>
      <w:proofErr w:type="spellStart"/>
      <w:r>
        <w:rPr>
          <w:sz w:val="20"/>
          <w:szCs w:val="20"/>
          <w:rtl/>
        </w:rPr>
        <w:t>סטולין</w:t>
      </w:r>
      <w:proofErr w:type="spellEnd"/>
      <w:r>
        <w:rPr>
          <w:sz w:val="20"/>
          <w:szCs w:val="20"/>
          <w:rtl/>
        </w:rPr>
        <w:t>”, מאת יעקב ישראלי (</w:t>
      </w:r>
      <w:proofErr w:type="spellStart"/>
      <w:r>
        <w:rPr>
          <w:sz w:val="20"/>
          <w:szCs w:val="20"/>
          <w:rtl/>
        </w:rPr>
        <w:t>קולא</w:t>
      </w:r>
      <w:proofErr w:type="spellEnd"/>
      <w:r>
        <w:rPr>
          <w:sz w:val="20"/>
          <w:szCs w:val="20"/>
          <w:rtl/>
        </w:rPr>
        <w:t>) (להלן: ישראלי), עמ׳ צ.</w:t>
      </w:r>
    </w:p>
  </w:footnote>
  <w:footnote w:id="4839">
    <w:p w14:paraId="5669D3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“קובץ בית אהרן וישראל”, שנה ח, גיליון ד (ניסן–אייר תשנ״ג), עמ׳ קנז–</w:t>
      </w:r>
      <w:proofErr w:type="spellStart"/>
      <w:r>
        <w:rPr>
          <w:sz w:val="20"/>
          <w:szCs w:val="20"/>
          <w:rtl/>
        </w:rPr>
        <w:t>קפב</w:t>
      </w:r>
      <w:proofErr w:type="spellEnd"/>
      <w:r>
        <w:rPr>
          <w:sz w:val="20"/>
          <w:szCs w:val="20"/>
          <w:rtl/>
        </w:rPr>
        <w:t xml:space="preserve">, שבו מאמר של אברהם אביש שור מתחקה אחר שורשי המחלוקת בין ר׳ </w:t>
      </w:r>
      <w:proofErr w:type="spellStart"/>
      <w:r>
        <w:rPr>
          <w:sz w:val="20"/>
          <w:szCs w:val="20"/>
          <w:rtl/>
        </w:rPr>
        <w:t>שניאור־זלמן</w:t>
      </w:r>
      <w:proofErr w:type="spellEnd"/>
      <w:r>
        <w:rPr>
          <w:sz w:val="20"/>
          <w:szCs w:val="20"/>
          <w:rtl/>
        </w:rPr>
        <w:t xml:space="preserve"> </w:t>
      </w:r>
      <w:proofErr w:type="spellStart"/>
      <w:r>
        <w:rPr>
          <w:sz w:val="20"/>
          <w:szCs w:val="20"/>
          <w:rtl/>
        </w:rPr>
        <w:t>לר</w:t>
      </w:r>
      <w:proofErr w:type="spellEnd"/>
      <w:r>
        <w:rPr>
          <w:sz w:val="20"/>
          <w:szCs w:val="20"/>
          <w:rtl/>
        </w:rPr>
        <w:t xml:space="preserve">׳ שלמה בדבר היחס למתנגדים – </w:t>
      </w:r>
      <w:proofErr w:type="spellStart"/>
      <w:r>
        <w:rPr>
          <w:sz w:val="20"/>
          <w:szCs w:val="20"/>
          <w:rtl/>
        </w:rPr>
        <w:t>ה“לומדים</w:t>
      </w:r>
      <w:proofErr w:type="spellEnd"/>
      <w:r>
        <w:rPr>
          <w:sz w:val="20"/>
          <w:szCs w:val="20"/>
          <w:rtl/>
        </w:rPr>
        <w:t>”, שהחסידים כינו אותם בזלזול “</w:t>
      </w:r>
      <w:proofErr w:type="spellStart"/>
      <w:r>
        <w:rPr>
          <w:sz w:val="20"/>
          <w:szCs w:val="20"/>
          <w:rtl/>
        </w:rPr>
        <w:t>לומצ׳וכעס</w:t>
      </w:r>
      <w:proofErr w:type="spellEnd"/>
      <w:r>
        <w:rPr>
          <w:sz w:val="20"/>
          <w:szCs w:val="20"/>
          <w:rtl/>
        </w:rPr>
        <w:t>” – בדור מוקדם יותר של חסידים.</w:t>
      </w:r>
    </w:p>
  </w:footnote>
  <w:footnote w:id="4840">
    <w:p w14:paraId="34D21BE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ישראלי, עמ׳ </w:t>
      </w:r>
      <w:proofErr w:type="spellStart"/>
      <w:r>
        <w:rPr>
          <w:sz w:val="20"/>
          <w:szCs w:val="20"/>
          <w:rtl/>
        </w:rPr>
        <w:t>קעב</w:t>
      </w:r>
      <w:proofErr w:type="spellEnd"/>
      <w:r>
        <w:rPr>
          <w:sz w:val="20"/>
          <w:szCs w:val="20"/>
          <w:rtl/>
        </w:rPr>
        <w:t xml:space="preserve">, ומאמר מאת אברהם אביש שור </w:t>
      </w:r>
      <w:proofErr w:type="spellStart"/>
      <w:r>
        <w:rPr>
          <w:sz w:val="20"/>
          <w:szCs w:val="20"/>
          <w:rtl/>
        </w:rPr>
        <w:t>ב“קובץ</w:t>
      </w:r>
      <w:proofErr w:type="spellEnd"/>
      <w:r>
        <w:rPr>
          <w:sz w:val="20"/>
          <w:szCs w:val="20"/>
          <w:rtl/>
        </w:rPr>
        <w:t xml:space="preserve"> בית אהרן וישראל”, שנה ז, גיליון ג (שבט–אדר תשנ״ב), עמ׳ </w:t>
      </w:r>
      <w:proofErr w:type="spellStart"/>
      <w:r>
        <w:rPr>
          <w:sz w:val="20"/>
          <w:szCs w:val="20"/>
          <w:rtl/>
        </w:rPr>
        <w:t>קנד</w:t>
      </w:r>
      <w:proofErr w:type="spellEnd"/>
      <w:r>
        <w:rPr>
          <w:sz w:val="20"/>
          <w:szCs w:val="20"/>
          <w:rtl/>
        </w:rPr>
        <w:t>.</w:t>
      </w:r>
    </w:p>
  </w:footnote>
  <w:footnote w:id="4841">
    <w:p w14:paraId="7B8504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ישראלי, עמ׳ קח.</w:t>
      </w:r>
    </w:p>
  </w:footnote>
  <w:footnote w:id="4842">
    <w:p w14:paraId="3902A4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ברכות </w:t>
      </w:r>
      <w:proofErr w:type="spellStart"/>
      <w:r>
        <w:rPr>
          <w:rStyle w:val="a5"/>
          <w:sz w:val="20"/>
          <w:szCs w:val="20"/>
          <w:vertAlign w:val="baseline"/>
          <w:rtl/>
        </w:rPr>
        <w:t>סא</w:t>
      </w:r>
      <w:proofErr w:type="spellEnd"/>
      <w:r>
        <w:rPr>
          <w:rStyle w:val="a5"/>
          <w:sz w:val="20"/>
          <w:szCs w:val="20"/>
          <w:vertAlign w:val="baseline"/>
          <w:rtl/>
        </w:rPr>
        <w:t xml:space="preserve"> ע״ב.</w:t>
      </w:r>
    </w:p>
  </w:footnote>
  <w:footnote w:id="4843">
    <w:p w14:paraId="357B7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המקורות </w:t>
      </w:r>
      <w:proofErr w:type="spellStart"/>
      <w:r>
        <w:rPr>
          <w:sz w:val="20"/>
          <w:szCs w:val="20"/>
          <w:rtl/>
        </w:rPr>
        <w:t>ב“קובץ</w:t>
      </w:r>
      <w:proofErr w:type="spellEnd"/>
      <w:r>
        <w:rPr>
          <w:sz w:val="20"/>
          <w:szCs w:val="20"/>
          <w:rtl/>
        </w:rPr>
        <w:t xml:space="preserve"> בית אהרן וישראל”, בגיליונות שלפני גיליון ג ושל אחריו, שנזכר לעיל בהערת שוליים </w:t>
      </w:r>
      <w:r>
        <w:rPr>
          <w:sz w:val="20"/>
          <w:szCs w:val="20"/>
          <w:rtl/>
        </w:rPr>
        <w:fldChar w:fldCharType="begin" w:dirty="true"/>
      </w:r>
      <w:r>
        <w:rPr>
          <w:sz w:val="20"/>
          <w:szCs w:val="20"/>
          <w:rtl/>
        </w:rPr>
        <w:instrText xml:space="preserve"> NOTEREF pr_f_4707 \h </w:instrText>
      </w:r>
      <w:r>
        <w:rPr>
          <w:sz w:val="20"/>
          <w:szCs w:val="20"/>
          <w:rtl/>
        </w:rPr>
      </w:r>
      <w:r>
        <w:rPr>
          <w:sz w:val="20"/>
          <w:szCs w:val="20"/>
          <w:rtl/>
        </w:rPr>
        <w:fldChar w:fldCharType="separate"/>
      </w:r>
      <w:r w:rsidR="007923E9">
        <w:rPr>
          <w:sz w:val="20"/>
          <w:szCs w:val="20"/>
          <w:rtl/>
        </w:rPr>
        <w:t>361</w:t>
      </w:r>
      <w:r>
        <w:rPr>
          <w:sz w:val="20"/>
          <w:szCs w:val="20"/>
          <w:rtl/>
        </w:rPr>
        <w:fldChar w:fldCharType="end"/>
      </w:r>
      <w:r>
        <w:rPr>
          <w:sz w:val="20"/>
          <w:szCs w:val="20"/>
          <w:rtl/>
        </w:rPr>
        <w:t>.</w:t>
      </w:r>
    </w:p>
  </w:footnote>
  <w:footnote w:id="4844">
    <w:p w14:paraId="5B8E29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עיין </w:t>
      </w:r>
      <w:proofErr w:type="spellStart"/>
      <w:r>
        <w:rPr>
          <w:sz w:val="20"/>
          <w:szCs w:val="20"/>
          <w:rtl/>
        </w:rPr>
        <w:t>מהרש״א</w:t>
      </w:r>
      <w:proofErr w:type="spellEnd"/>
      <w:r>
        <w:rPr>
          <w:sz w:val="20"/>
          <w:szCs w:val="20"/>
          <w:rtl/>
        </w:rPr>
        <w:t xml:space="preserve"> חידושי אגדות, סוכה ריש נ״ב ע״א </w:t>
      </w:r>
      <w:proofErr w:type="spellStart"/>
      <w:r>
        <w:rPr>
          <w:sz w:val="20"/>
          <w:szCs w:val="20"/>
          <w:rtl/>
        </w:rPr>
        <w:t>ובשו״ת</w:t>
      </w:r>
      <w:proofErr w:type="spellEnd"/>
      <w:r>
        <w:rPr>
          <w:sz w:val="20"/>
          <w:szCs w:val="20"/>
          <w:rtl/>
        </w:rPr>
        <w:t xml:space="preserve"> </w:t>
      </w:r>
      <w:proofErr w:type="spellStart"/>
      <w:r>
        <w:rPr>
          <w:sz w:val="20"/>
          <w:szCs w:val="20"/>
          <w:rtl/>
        </w:rPr>
        <w:t>חת״ס</w:t>
      </w:r>
      <w:proofErr w:type="spellEnd"/>
      <w:r>
        <w:rPr>
          <w:sz w:val="20"/>
          <w:szCs w:val="20"/>
          <w:rtl/>
        </w:rPr>
        <w:t xml:space="preserve">, ליקוטים תש׳ </w:t>
      </w:r>
      <w:proofErr w:type="spellStart"/>
      <w:r>
        <w:rPr>
          <w:sz w:val="20"/>
          <w:szCs w:val="20"/>
          <w:rtl/>
        </w:rPr>
        <w:t>צט</w:t>
      </w:r>
      <w:proofErr w:type="spellEnd"/>
      <w:r>
        <w:rPr>
          <w:sz w:val="20"/>
          <w:szCs w:val="20"/>
          <w:rtl/>
        </w:rPr>
        <w:t>, שהריגתו היא לכפר על שבית יוסף נחלק על מלכות בית דוד.</w:t>
      </w:r>
    </w:p>
  </w:footnote>
  <w:footnote w:id="4845">
    <w:p w14:paraId="77D752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אני מתכוון לעמדה הלכתית שנקט ר׳ ישראל ביחס לעצמו, כפי שמסר רבנו, והיא תידון בפסקה האחרונה של נספח זה.</w:t>
      </w:r>
    </w:p>
  </w:footnote>
  <w:footnote w:id="4846">
    <w:p w14:paraId="1A8B6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שיידון בסוף נספח זה.</w:t>
      </w:r>
    </w:p>
  </w:footnote>
  <w:footnote w:id="4847">
    <w:p w14:paraId="71D99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“החסידות הליטאית”, מאת זאב </w:t>
      </w:r>
      <w:proofErr w:type="spellStart"/>
      <w:r>
        <w:rPr>
          <w:sz w:val="20"/>
          <w:szCs w:val="20"/>
          <w:rtl/>
        </w:rPr>
        <w:t>רבינוביץ</w:t>
      </w:r>
      <w:proofErr w:type="spellEnd"/>
      <w:r>
        <w:rPr>
          <w:sz w:val="20"/>
          <w:szCs w:val="20"/>
          <w:rtl/>
        </w:rPr>
        <w:t xml:space="preserve"> (מוסד ביאליק, ירושלים, תשכ״א), עמ׳ 44; ומאמר מחקרי מאת אברהם אביש שור בשם “על תקופת שהותו של מרן </w:t>
      </w:r>
      <w:proofErr w:type="spellStart"/>
      <w:r>
        <w:rPr>
          <w:sz w:val="20"/>
          <w:szCs w:val="20"/>
          <w:rtl/>
        </w:rPr>
        <w:t>הרא״ש</w:t>
      </w:r>
      <w:proofErr w:type="spellEnd"/>
      <w:r>
        <w:rPr>
          <w:sz w:val="20"/>
          <w:szCs w:val="20"/>
          <w:rtl/>
        </w:rPr>
        <w:t xml:space="preserve"> הגדול מסטאלין </w:t>
      </w:r>
      <w:proofErr w:type="spellStart"/>
      <w:r>
        <w:rPr>
          <w:sz w:val="20"/>
          <w:szCs w:val="20"/>
          <w:rtl/>
        </w:rPr>
        <w:t>בזעליחוב</w:t>
      </w:r>
      <w:proofErr w:type="spellEnd"/>
      <w:r>
        <w:rPr>
          <w:sz w:val="20"/>
          <w:szCs w:val="20"/>
          <w:rtl/>
        </w:rPr>
        <w:t xml:space="preserve"> שבפולין”, </w:t>
      </w:r>
      <w:proofErr w:type="spellStart"/>
      <w:r>
        <w:rPr>
          <w:sz w:val="20"/>
          <w:szCs w:val="20"/>
          <w:rtl/>
        </w:rPr>
        <w:t>ב“קובץ</w:t>
      </w:r>
      <w:proofErr w:type="spellEnd"/>
      <w:r>
        <w:rPr>
          <w:sz w:val="20"/>
          <w:szCs w:val="20"/>
          <w:rtl/>
        </w:rPr>
        <w:t xml:space="preserve"> בית אהרן וישראל”, שנה ב, גיליון ד (ניסן–אייר תשמ״ז).</w:t>
      </w:r>
    </w:p>
  </w:footnote>
  <w:footnote w:id="4848">
    <w:p w14:paraId="44CAF5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“החסידות הליטאית”, עמ׳ 29–30, הערה 73: הרבי החסידי ר׳ </w:t>
      </w:r>
      <w:proofErr w:type="spellStart"/>
      <w:r>
        <w:rPr>
          <w:sz w:val="20"/>
          <w:szCs w:val="20"/>
          <w:rtl/>
        </w:rPr>
        <w:t>לוי־יצחק</w:t>
      </w:r>
      <w:proofErr w:type="spellEnd"/>
      <w:r>
        <w:rPr>
          <w:sz w:val="20"/>
          <w:szCs w:val="20"/>
          <w:rtl/>
        </w:rPr>
        <w:t xml:space="preserve"> (</w:t>
      </w:r>
      <w:proofErr w:type="spellStart"/>
      <w:r>
        <w:rPr>
          <w:sz w:val="20"/>
          <w:szCs w:val="20"/>
          <w:rtl/>
        </w:rPr>
        <w:t>דערבארעמדיגער</w:t>
      </w:r>
      <w:proofErr w:type="spellEnd"/>
      <w:r>
        <w:rPr>
          <w:sz w:val="20"/>
          <w:szCs w:val="20"/>
          <w:rtl/>
        </w:rPr>
        <w:t xml:space="preserve">), שהתיישב </w:t>
      </w:r>
      <w:proofErr w:type="spellStart"/>
      <w:r>
        <w:rPr>
          <w:sz w:val="20"/>
          <w:szCs w:val="20"/>
          <w:rtl/>
        </w:rPr>
        <w:t>בברדיצ׳ב</w:t>
      </w:r>
      <w:proofErr w:type="spellEnd"/>
      <w:r>
        <w:rPr>
          <w:sz w:val="20"/>
          <w:szCs w:val="20"/>
          <w:rtl/>
        </w:rPr>
        <w:t xml:space="preserve"> </w:t>
      </w:r>
      <w:proofErr w:type="spellStart"/>
      <w:r>
        <w:rPr>
          <w:sz w:val="20"/>
          <w:szCs w:val="20"/>
          <w:rtl/>
        </w:rPr>
        <w:t>בתקמ״ה</w:t>
      </w:r>
      <w:proofErr w:type="spellEnd"/>
      <w:r>
        <w:rPr>
          <w:sz w:val="20"/>
          <w:szCs w:val="20"/>
          <w:rtl/>
        </w:rPr>
        <w:t>, נקרא “</w:t>
      </w:r>
      <w:proofErr w:type="spellStart"/>
      <w:r>
        <w:rPr>
          <w:sz w:val="20"/>
          <w:szCs w:val="20"/>
          <w:rtl/>
        </w:rPr>
        <w:t>ז׳ליחובר</w:t>
      </w:r>
      <w:proofErr w:type="spellEnd"/>
      <w:r>
        <w:rPr>
          <w:sz w:val="20"/>
          <w:szCs w:val="20"/>
          <w:rtl/>
        </w:rPr>
        <w:t xml:space="preserve">” בפי המתנגדים בני זמנו גם אחרי שעזב את </w:t>
      </w:r>
      <w:proofErr w:type="spellStart"/>
      <w:r>
        <w:rPr>
          <w:sz w:val="20"/>
          <w:szCs w:val="20"/>
          <w:rtl/>
        </w:rPr>
        <w:t>ז׳ליחוב</w:t>
      </w:r>
      <w:proofErr w:type="spellEnd"/>
      <w:r>
        <w:rPr>
          <w:sz w:val="20"/>
          <w:szCs w:val="20"/>
          <w:rtl/>
        </w:rPr>
        <w:t xml:space="preserve"> ונעשה רבה של </w:t>
      </w:r>
      <w:proofErr w:type="spellStart"/>
      <w:r>
        <w:rPr>
          <w:sz w:val="20"/>
          <w:szCs w:val="20"/>
          <w:rtl/>
        </w:rPr>
        <w:t>פינסק</w:t>
      </w:r>
      <w:proofErr w:type="spellEnd"/>
      <w:r>
        <w:rPr>
          <w:sz w:val="20"/>
          <w:szCs w:val="20"/>
          <w:rtl/>
        </w:rPr>
        <w:t xml:space="preserve">. אולם הוא היה קשור </w:t>
      </w:r>
      <w:proofErr w:type="spellStart"/>
      <w:r>
        <w:rPr>
          <w:sz w:val="20"/>
          <w:szCs w:val="20"/>
          <w:rtl/>
        </w:rPr>
        <w:t>לז׳ליחוב</w:t>
      </w:r>
      <w:proofErr w:type="spellEnd"/>
      <w:r>
        <w:rPr>
          <w:sz w:val="20"/>
          <w:szCs w:val="20"/>
          <w:rtl/>
        </w:rPr>
        <w:t xml:space="preserve"> יותר מר׳ אשר, שהרי כיהן שם ברבנות, וראה עצמו קשור לעיר די הצורך כדי לכעוס על ר׳ אשר על שניסה להשתקע בה. השווה שם, עמ׳ 44, </w:t>
      </w:r>
      <w:proofErr w:type="spellStart"/>
      <w:r>
        <w:rPr>
          <w:sz w:val="20"/>
          <w:szCs w:val="20"/>
          <w:rtl/>
        </w:rPr>
        <w:t>ו“קובץ</w:t>
      </w:r>
      <w:proofErr w:type="spellEnd"/>
      <w:r>
        <w:rPr>
          <w:sz w:val="20"/>
          <w:szCs w:val="20"/>
          <w:rtl/>
        </w:rPr>
        <w:t xml:space="preserve"> בית אהרן וישראל”, שם, הערה 36. (</w:t>
      </w:r>
      <w:proofErr w:type="spellStart"/>
      <w:r>
        <w:rPr>
          <w:sz w:val="20"/>
          <w:szCs w:val="20"/>
          <w:rtl/>
        </w:rPr>
        <w:t>ב“דור</w:t>
      </w:r>
      <w:proofErr w:type="spellEnd"/>
      <w:r>
        <w:rPr>
          <w:sz w:val="20"/>
          <w:szCs w:val="20"/>
          <w:rtl/>
        </w:rPr>
        <w:t xml:space="preserve"> דעה”, עמ׳ </w:t>
      </w:r>
      <w:proofErr w:type="spellStart"/>
      <w:r>
        <w:rPr>
          <w:sz w:val="20"/>
          <w:szCs w:val="20"/>
          <w:rtl/>
        </w:rPr>
        <w:t>קמב</w:t>
      </w:r>
      <w:proofErr w:type="spellEnd"/>
      <w:r>
        <w:rPr>
          <w:sz w:val="20"/>
          <w:szCs w:val="20"/>
          <w:rtl/>
        </w:rPr>
        <w:t xml:space="preserve">, ובישראלי, עמ׳ </w:t>
      </w:r>
      <w:proofErr w:type="spellStart"/>
      <w:r>
        <w:rPr>
          <w:sz w:val="20"/>
          <w:szCs w:val="20"/>
          <w:rtl/>
        </w:rPr>
        <w:t>קכג</w:t>
      </w:r>
      <w:proofErr w:type="spellEnd"/>
      <w:r>
        <w:rPr>
          <w:sz w:val="20"/>
          <w:szCs w:val="20"/>
          <w:rtl/>
        </w:rPr>
        <w:t xml:space="preserve">, נהפך בטעות סדר כהונותיו של ר׳ </w:t>
      </w:r>
      <w:proofErr w:type="spellStart"/>
      <w:r>
        <w:rPr>
          <w:sz w:val="20"/>
          <w:szCs w:val="20"/>
          <w:rtl/>
        </w:rPr>
        <w:t>לוי־יצחק</w:t>
      </w:r>
      <w:proofErr w:type="spellEnd"/>
      <w:r>
        <w:rPr>
          <w:sz w:val="20"/>
          <w:szCs w:val="20"/>
          <w:rtl/>
        </w:rPr>
        <w:t xml:space="preserve"> ברבנות.) אני חייב תודה לד״ר יצחק אלפסי על עזרתו במסורות החסידיות שנזכרו לעיל.</w:t>
      </w:r>
    </w:p>
  </w:footnote>
  <w:footnote w:id="4849">
    <w:p w14:paraId="39367E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 ביולי 1995.</w:t>
      </w:r>
    </w:p>
  </w:footnote>
  <w:footnote w:id="4850">
    <w:p w14:paraId="7A8F04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85–86.</w:t>
      </w:r>
    </w:p>
  </w:footnote>
  <w:footnote w:id="4851">
    <w:p w14:paraId="5BA7CB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67–68.</w:t>
      </w:r>
    </w:p>
  </w:footnote>
  <w:footnote w:id="4852">
    <w:p w14:paraId="4F383FE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ב לעיל – עמ׳ לב–לג.</w:t>
      </w:r>
    </w:p>
  </w:footnote>
  <w:footnote w:id="4853">
    <w:p w14:paraId="3BF95C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130.</w:t>
      </w:r>
    </w:p>
  </w:footnote>
  <w:footnote w:id="4854">
    <w:p w14:paraId="68563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דפוס י.נ. </w:t>
      </w:r>
      <w:proofErr w:type="spellStart"/>
      <w:r>
        <w:rPr>
          <w:sz w:val="20"/>
          <w:szCs w:val="20"/>
          <w:rtl/>
        </w:rPr>
        <w:t>גארבער</w:t>
      </w:r>
      <w:proofErr w:type="spellEnd"/>
      <w:r>
        <w:rPr>
          <w:sz w:val="20"/>
          <w:szCs w:val="20"/>
          <w:rtl/>
        </w:rPr>
        <w:t xml:space="preserve">, </w:t>
      </w:r>
      <w:proofErr w:type="spellStart"/>
      <w:r>
        <w:rPr>
          <w:sz w:val="20"/>
          <w:szCs w:val="20"/>
          <w:rtl/>
        </w:rPr>
        <w:t>ווילנא</w:t>
      </w:r>
      <w:proofErr w:type="spellEnd"/>
      <w:r>
        <w:rPr>
          <w:sz w:val="20"/>
          <w:szCs w:val="20"/>
          <w:rtl/>
        </w:rPr>
        <w:t>, תרס״ז.</w:t>
      </w:r>
    </w:p>
  </w:footnote>
  <w:footnote w:id="4855">
    <w:p w14:paraId="4EEEB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תקו</w:t>
      </w:r>
      <w:proofErr w:type="spellEnd"/>
      <w:r>
        <w:rPr>
          <w:sz w:val="20"/>
          <w:szCs w:val="20"/>
          <w:rtl/>
        </w:rPr>
        <w:t>–1012.</w:t>
      </w:r>
    </w:p>
  </w:footnote>
  <w:footnote w:id="4856">
    <w:p w14:paraId="36655A4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תיארוך המעשה </w:t>
      </w:r>
      <w:proofErr w:type="spellStart"/>
      <w:r>
        <w:rPr>
          <w:sz w:val="20"/>
          <w:szCs w:val="20"/>
          <w:rtl/>
        </w:rPr>
        <w:t>לתר״ל</w:t>
      </w:r>
      <w:proofErr w:type="spellEnd"/>
      <w:r>
        <w:rPr>
          <w:sz w:val="20"/>
          <w:szCs w:val="20"/>
          <w:rtl/>
        </w:rPr>
        <w:t xml:space="preserve">, יותר מעשרים שנה אחרי המאורע, מוטעה, אך ייתכן שזו טעות דפוס כלשהי. על תאריך מוטעה זה ראה גם כץ, “תנועת המוסר”, כרך א, הערה בעמ׳ 160. כץ מציע </w:t>
      </w:r>
      <w:proofErr w:type="spellStart"/>
      <w:r>
        <w:rPr>
          <w:sz w:val="20"/>
          <w:szCs w:val="20"/>
          <w:rtl/>
        </w:rPr>
        <w:t>ש“מקור</w:t>
      </w:r>
      <w:proofErr w:type="spellEnd"/>
      <w:r>
        <w:rPr>
          <w:sz w:val="20"/>
          <w:szCs w:val="20"/>
          <w:rtl/>
        </w:rPr>
        <w:t xml:space="preserve"> ברוך” בלבל בין מגפת הכולרה של תר״ח ובין ההתפרצות המאוחרת </w:t>
      </w:r>
      <w:proofErr w:type="spellStart"/>
      <w:r>
        <w:rPr>
          <w:sz w:val="20"/>
          <w:szCs w:val="20"/>
          <w:rtl/>
        </w:rPr>
        <w:t>בתר״ל</w:t>
      </w:r>
      <w:proofErr w:type="spellEnd"/>
      <w:r>
        <w:rPr>
          <w:sz w:val="20"/>
          <w:szCs w:val="20"/>
          <w:rtl/>
        </w:rPr>
        <w:t>, שבה נפטרה הרבנית של ר׳ ישראל.</w:t>
      </w:r>
    </w:p>
  </w:footnote>
  <w:footnote w:id="4857">
    <w:p w14:paraId="6945F451" w14:textId="77777777" w:rsidR="00AB3647" w:rsidRDefault="00000000">
      <w:pPr>
        <w:spacing w:after="0" w:before="0"/>
        <w:jc w:val="both"/>
      </w:pPr>
      <w:r>
        <w:rPr>
          <w:rStyle w:val="a5"/>
          <w:vertAlign w:val="superscript"/>
          <w:rtl/>
        </w:rPr>
        <w:t>*</w:t>
      </w:r>
      <w:r>
        <w:rPr>
          <w:sz w:val="20"/>
          <w:szCs w:val="20"/>
        </w:rPr>
        <w:t xml:space="preserve"> </w:t>
      </w:r>
      <w:r>
        <w:rPr>
          <w:rStyle w:val="a5"/>
          <w:sz w:val="20"/>
          <w:szCs w:val="20"/>
          <w:vertAlign w:val="baseline"/>
          <w:rtl/>
        </w:rPr>
        <w:t/>
      </w:r>
      <w:r>
        <w:rPr>
          <w:rFonts w:ascii="David" w:eastAsia="David" w:hAnsi="David" w:cs="David"/>
          <w:sz w:val="20"/>
          <w:szCs w:val="20"/>
          <w:rtl/>
        </w:rPr>
        <w:t xml:space="preserve"/>
      </w:r>
      <w:r>
        <w:rPr>
          <w:b/>
          <w:sz w:val="20"/>
          <w:szCs w:val="20"/>
          <w:rtl/>
        </w:rPr>
        <w:t xml:space="preserve">הערת המתרגם: </w:t>
      </w:r>
      <w:r>
        <w:rPr>
          <w:sz w:val="20"/>
          <w:szCs w:val="20"/>
          <w:rtl/>
        </w:rPr>
        <w:t xml:space="preserve">שנת תר״ח מקבילה ל־1847–1848, ומגפת הכולרה בווילנה הייתה ב־1848 (ראה לעיל בנספח זה), ולא ב־1849 כבמקור.</w:t>
      </w:r>
    </w:p>
  </w:footnote>
  <w:footnote w:id="4858">
    <w:p w14:paraId="3BBAB8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184.</w:t>
      </w:r>
    </w:p>
  </w:footnote>
  <w:footnote w:id="4859">
    <w:p w14:paraId="053358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הלשון החריגה במשפט האחרון נידונה להלן.</w:t>
      </w:r>
    </w:p>
  </w:footnote>
  <w:footnote w:id="4860">
    <w:p w14:paraId="1DC61E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ועיין בהערת שוליים </w:t>
      </w:r>
      <w:r>
        <w:rPr>
          <w:rStyle w:val="a5"/>
          <w:sz w:val="20"/>
          <w:szCs w:val="20"/>
          <w:vertAlign w:val="baseline"/>
          <w:rtl/>
        </w:rPr>
        <w:fldChar w:fldCharType="begin" w:dirty="true"/>
      </w:r>
      <w:r>
        <w:rPr>
          <w:rStyle w:val="a5"/>
          <w:sz w:val="20"/>
          <w:szCs w:val="20"/>
          <w:vertAlign w:val="baseline"/>
          <w:rtl/>
        </w:rPr>
        <w:instrText xml:space="preserve"> NOTEREF pr_f_4634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288</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pr_f_4634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שעזרא הסופר גם כן קיים יום כיפור סודי בשעתו: ההבדל בין עזרא הסופר ור׳ ישראל הוא שעזרא לא גילה להמון העם שבכלל יש צום של יוה״כ ורק לתלמידיו הוא גילה, ור׳ ישראל ביטל את הצום עבור ההמון וגילה לתלמידיו שבעבורם נשאר הצום על כנו</w:t>
      </w:r>
      <w:r>
        <w:rPr>
          <w:sz w:val="20"/>
          <w:szCs w:val="20"/>
          <w:rtl/>
        </w:rPr>
        <w:t>.</w:t>
      </w:r>
    </w:p>
  </w:footnote>
  <w:footnote w:id="4861">
    <w:p w14:paraId="547ABF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יבמות ע״ט ע״א מוטב שתיעקר אות אחת וכו׳ ואל יתחלל שם שמים </w:t>
      </w:r>
      <w:proofErr w:type="spellStart"/>
      <w:r>
        <w:rPr>
          <w:sz w:val="20"/>
          <w:szCs w:val="20"/>
          <w:rtl/>
        </w:rPr>
        <w:t>בפרהסיא</w:t>
      </w:r>
      <w:proofErr w:type="spellEnd"/>
      <w:r>
        <w:rPr>
          <w:sz w:val="20"/>
          <w:szCs w:val="20"/>
          <w:rtl/>
        </w:rPr>
        <w:t xml:space="preserve"> ובחידושי </w:t>
      </w:r>
      <w:proofErr w:type="spellStart"/>
      <w:r>
        <w:rPr>
          <w:sz w:val="20"/>
          <w:szCs w:val="20"/>
          <w:rtl/>
        </w:rPr>
        <w:t>הריטב״א</w:t>
      </w:r>
      <w:proofErr w:type="spellEnd"/>
      <w:r>
        <w:rPr>
          <w:sz w:val="20"/>
          <w:szCs w:val="20"/>
          <w:rtl/>
        </w:rPr>
        <w:t xml:space="preserve"> שם.</w:t>
      </w:r>
    </w:p>
  </w:footnote>
  <w:footnote w:id="4862">
    <w:p w14:paraId="041413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או״ח</w:t>
      </w:r>
      <w:proofErr w:type="spellEnd"/>
      <w:r>
        <w:rPr>
          <w:sz w:val="20"/>
          <w:szCs w:val="20"/>
          <w:rtl/>
        </w:rPr>
        <w:t xml:space="preserve"> סי׳ של״ד </w:t>
      </w:r>
      <w:proofErr w:type="spellStart"/>
      <w:r>
        <w:rPr>
          <w:sz w:val="20"/>
          <w:szCs w:val="20"/>
          <w:rtl/>
        </w:rPr>
        <w:t>סכ״ו</w:t>
      </w:r>
      <w:proofErr w:type="spellEnd"/>
      <w:r>
        <w:rPr>
          <w:sz w:val="20"/>
          <w:szCs w:val="20"/>
          <w:rtl/>
        </w:rPr>
        <w:t xml:space="preserve"> בהגה.</w:t>
      </w:r>
    </w:p>
  </w:footnote>
  <w:footnote w:id="4863">
    <w:p w14:paraId="1138A4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w:t>
      </w:r>
      <w:proofErr w:type="spellStart"/>
      <w:r>
        <w:rPr>
          <w:sz w:val="20"/>
          <w:szCs w:val="20"/>
          <w:rtl/>
        </w:rPr>
        <w:t>או״ח</w:t>
      </w:r>
      <w:proofErr w:type="spellEnd"/>
      <w:r>
        <w:rPr>
          <w:sz w:val="20"/>
          <w:szCs w:val="20"/>
          <w:rtl/>
        </w:rPr>
        <w:t xml:space="preserve"> סי׳ שכ״ט במ״ב </w:t>
      </w:r>
      <w:proofErr w:type="spellStart"/>
      <w:r>
        <w:rPr>
          <w:sz w:val="20"/>
          <w:szCs w:val="20"/>
          <w:rtl/>
        </w:rPr>
        <w:t>סקי״ז</w:t>
      </w:r>
      <w:proofErr w:type="spellEnd"/>
      <w:r>
        <w:rPr>
          <w:sz w:val="20"/>
          <w:szCs w:val="20"/>
          <w:rtl/>
        </w:rPr>
        <w:t>.</w:t>
      </w:r>
    </w:p>
  </w:footnote>
  <w:footnote w:id="4864">
    <w:p w14:paraId="450C36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“היסטוריה עממית של היהודים”, מאת פרופ׳ ה. </w:t>
      </w:r>
      <w:proofErr w:type="spellStart"/>
      <w:r>
        <w:rPr>
          <w:sz w:val="20"/>
          <w:szCs w:val="20"/>
          <w:rtl/>
        </w:rPr>
        <w:t>גרץ</w:t>
      </w:r>
      <w:proofErr w:type="spellEnd"/>
      <w:r>
        <w:rPr>
          <w:sz w:val="20"/>
          <w:szCs w:val="20"/>
          <w:rtl/>
        </w:rPr>
        <w:t>, כרך ד, חלק 1, פרק ב, בשם “המוות השחור וטבח יהודים (1335–1391)”.</w:t>
      </w:r>
    </w:p>
  </w:footnote>
  <w:footnote w:id="4865">
    <w:p w14:paraId="00A0BC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11 – עמ׳ לא–לב.</w:t>
      </w:r>
    </w:p>
  </w:footnote>
  <w:footnote w:id="4866">
    <w:p w14:paraId="317072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יומא עד ע״א.</w:t>
      </w:r>
    </w:p>
  </w:footnote>
  <w:footnote w:id="4867">
    <w:p w14:paraId="41EE43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מסתבר שהתלמידים – לפחות מקצתם – נכחו במקום, שכן </w:t>
      </w:r>
      <w:proofErr w:type="spellStart"/>
      <w:r>
        <w:rPr>
          <w:sz w:val="20"/>
          <w:szCs w:val="20"/>
          <w:rtl/>
        </w:rPr>
        <w:t>הזארעצ׳ר</w:t>
      </w:r>
      <w:proofErr w:type="spellEnd"/>
      <w:r>
        <w:rPr>
          <w:sz w:val="20"/>
          <w:szCs w:val="20"/>
          <w:rtl/>
        </w:rPr>
        <w:t xml:space="preserve"> </w:t>
      </w:r>
      <w:proofErr w:type="spellStart"/>
      <w:r>
        <w:rPr>
          <w:sz w:val="20"/>
          <w:szCs w:val="20"/>
          <w:rtl/>
        </w:rPr>
        <w:t>קלויז</w:t>
      </w:r>
      <w:proofErr w:type="spellEnd"/>
      <w:r>
        <w:rPr>
          <w:sz w:val="20"/>
          <w:szCs w:val="20"/>
          <w:rtl/>
        </w:rPr>
        <w:t xml:space="preserve">, שבו נאמרה ההכרזה (עמ׳ </w:t>
      </w:r>
      <w:r>
        <w:rPr>
          <w:sz w:val="20"/>
          <w:szCs w:val="20"/>
          <w:rtl/>
        </w:rPr>
        <w:fldChar w:fldCharType="begin" w:dirty="true"/>
      </w:r>
      <w:r>
        <w:rPr>
          <w:sz w:val="20"/>
          <w:szCs w:val="20"/>
          <w:rtl/>
        </w:rPr>
        <w:instrText xml:space="preserve"> PAGEREF pr_b_2637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היה מקומה של ישיבת ר׳ ישראל בווילנה.</w:t>
      </w:r>
    </w:p>
  </w:footnote>
  <w:footnote w:id="4868">
    <w:p w14:paraId="6C9CB9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183–184.</w:t>
      </w:r>
    </w:p>
  </w:footnote>
  <w:footnote w:id="4869">
    <w:p w14:paraId="5375BA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184.</w:t>
      </w:r>
    </w:p>
  </w:footnote>
  <w:footnote w:id="4870">
    <w:p w14:paraId="668CA9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ה ויומא פה ע״ב.</w:t>
      </w:r>
    </w:p>
  </w:footnote>
  <w:footnote w:id="4871">
    <w:p w14:paraId="3D4AFD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w:t>
      </w:r>
      <w:proofErr w:type="spellStart"/>
      <w:r>
        <w:rPr>
          <w:sz w:val="20"/>
          <w:szCs w:val="20"/>
          <w:rtl/>
        </w:rPr>
        <w:t>אטקס</w:t>
      </w:r>
      <w:proofErr w:type="spellEnd"/>
      <w:r>
        <w:rPr>
          <w:sz w:val="20"/>
          <w:szCs w:val="20"/>
          <w:rtl/>
        </w:rPr>
        <w:t xml:space="preserve">, “ר׳ ישראל </w:t>
      </w:r>
      <w:proofErr w:type="spellStart"/>
      <w:r>
        <w:rPr>
          <w:sz w:val="20"/>
          <w:szCs w:val="20"/>
          <w:rtl/>
        </w:rPr>
        <w:t>סלנטר</w:t>
      </w:r>
      <w:proofErr w:type="spellEnd"/>
      <w:r>
        <w:rPr>
          <w:sz w:val="20"/>
          <w:szCs w:val="20"/>
          <w:rtl/>
        </w:rPr>
        <w:t xml:space="preserve"> וראשיתה של תנועת המוסר”, עמ׳ 183, הערה 52.</w:t>
      </w:r>
    </w:p>
  </w:footnote>
  <w:footnote w:id="4872">
    <w:p w14:paraId="00DABD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ברכות מה ע״א.</w:t>
      </w:r>
    </w:p>
  </w:footnote>
  <w:footnote w:id="4873">
    <w:p w14:paraId="62A4D94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י – עמ׳ 64.</w:t>
      </w:r>
    </w:p>
  </w:footnote>
  <w:footnote w:id="4874">
    <w:p w14:paraId="693043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מ־31 ביולי 1992.</w:t>
      </w:r>
    </w:p>
  </w:footnote>
  <w:footnote w:id="4875">
    <w:p w14:paraId="7B9488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הפסקה התשיעית של נספח א.</w:t>
      </w:r>
    </w:p>
  </w:footnote>
  <w:footnote w:id="4876">
    <w:p w14:paraId="0C40729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השמינית של נספח ט – עמ׳ שמח.</w:t>
      </w:r>
    </w:p>
  </w:footnote>
  <w:footnote w:id="4877">
    <w:p w14:paraId="1F78C8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מעשה דומה מסופר </w:t>
      </w:r>
      <w:proofErr w:type="spellStart"/>
      <w:r>
        <w:rPr>
          <w:sz w:val="20"/>
          <w:szCs w:val="20"/>
          <w:rtl/>
        </w:rPr>
        <w:t>ב“פון</w:t>
      </w:r>
      <w:proofErr w:type="spellEnd"/>
      <w:r>
        <w:rPr>
          <w:sz w:val="20"/>
          <w:szCs w:val="20"/>
          <w:rtl/>
        </w:rPr>
        <w:t xml:space="preserve">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w:t>
      </w:r>
      <w:proofErr w:type="spellStart"/>
      <w:r>
        <w:rPr>
          <w:sz w:val="20"/>
          <w:szCs w:val="20"/>
          <w:rtl/>
        </w:rPr>
        <w:t>מוולוז׳ין</w:t>
      </w:r>
      <w:proofErr w:type="spellEnd"/>
      <w:r>
        <w:rPr>
          <w:sz w:val="20"/>
          <w:szCs w:val="20"/>
          <w:rtl/>
        </w:rPr>
        <w:t xml:space="preserve"> עד ירושלים] (שם, פרק 2, הערה 4), כרך א, עמ׳ 218–219. שם, בעמ׳ 217–221, ראה גם דוגמאות לעומק דאגתו של ר׳ חיים אפילו מפני החשש הקלוש ביותר לסכנת נפשות. השווה עוד “עובדות והנהגות לבית </w:t>
      </w:r>
      <w:proofErr w:type="spellStart"/>
      <w:r>
        <w:rPr>
          <w:sz w:val="20"/>
          <w:szCs w:val="20"/>
          <w:rtl/>
        </w:rPr>
        <w:t>בריסק</w:t>
      </w:r>
      <w:proofErr w:type="spellEnd"/>
      <w:r>
        <w:rPr>
          <w:sz w:val="20"/>
          <w:szCs w:val="20"/>
          <w:rtl/>
        </w:rPr>
        <w:t xml:space="preserve">”, </w:t>
      </w:r>
      <w:proofErr w:type="spellStart"/>
      <w:r>
        <w:rPr>
          <w:sz w:val="20"/>
          <w:szCs w:val="20"/>
          <w:rtl/>
        </w:rPr>
        <w:t>ח״ב</w:t>
      </w:r>
      <w:proofErr w:type="spellEnd"/>
      <w:r>
        <w:rPr>
          <w:sz w:val="20"/>
          <w:szCs w:val="20"/>
          <w:rtl/>
        </w:rPr>
        <w:t xml:space="preserve">, עמ׳ </w:t>
      </w:r>
      <w:proofErr w:type="spellStart"/>
      <w:r>
        <w:rPr>
          <w:sz w:val="20"/>
          <w:szCs w:val="20"/>
          <w:rtl/>
        </w:rPr>
        <w:t>רסח</w:t>
      </w:r>
      <w:proofErr w:type="spellEnd"/>
      <w:r>
        <w:rPr>
          <w:sz w:val="20"/>
          <w:szCs w:val="20"/>
          <w:rtl/>
        </w:rPr>
        <w:t>–</w:t>
      </w:r>
      <w:proofErr w:type="spellStart"/>
      <w:r>
        <w:rPr>
          <w:sz w:val="20"/>
          <w:szCs w:val="20"/>
          <w:rtl/>
        </w:rPr>
        <w:t>רסט</w:t>
      </w:r>
      <w:proofErr w:type="spellEnd"/>
      <w:r>
        <w:rPr>
          <w:sz w:val="20"/>
          <w:szCs w:val="20"/>
          <w:rtl/>
        </w:rPr>
        <w:t xml:space="preserve">, וכן עמ׳ </w:t>
      </w:r>
      <w:proofErr w:type="spellStart"/>
      <w:r>
        <w:rPr>
          <w:sz w:val="20"/>
          <w:szCs w:val="20"/>
          <w:rtl/>
        </w:rPr>
        <w:t>רעא</w:t>
      </w:r>
      <w:proofErr w:type="spellEnd"/>
      <w:r>
        <w:rPr>
          <w:sz w:val="20"/>
          <w:szCs w:val="20"/>
          <w:rtl/>
        </w:rPr>
        <w:t xml:space="preserve"> ורעב: ר׳ חיים סבר שבענייני פיקוח נפש יש לנקוט אפילו צעדים שאינם הגיוניים – כפי שהובא ממקורות אחרים בפרק 2, הפסקה התשיעית של נספח א.</w:t>
      </w:r>
    </w:p>
  </w:footnote>
  <w:footnote w:id="4878">
    <w:p w14:paraId="77BD0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דברים ד, טו.</w:t>
      </w:r>
    </w:p>
  </w:footnote>
  <w:footnote w:id="4879">
    <w:p w14:paraId="2913A7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14 במאמר בנימין </w:t>
      </w:r>
      <w:proofErr w:type="spellStart"/>
      <w:r>
        <w:rPr>
          <w:sz w:val="20"/>
          <w:szCs w:val="20"/>
          <w:rtl/>
        </w:rPr>
        <w:t>נהוראי</w:t>
      </w:r>
      <w:proofErr w:type="spellEnd"/>
      <w:r>
        <w:rPr>
          <w:sz w:val="20"/>
          <w:szCs w:val="20"/>
          <w:rtl/>
        </w:rPr>
        <w:t xml:space="preserve"> שנזכר בפרק 4, הערה 158.</w:t>
      </w:r>
    </w:p>
  </w:footnote>
  <w:footnote w:id="4880">
    <w:p w14:paraId="720637B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31 באוגוסט 1992.</w:t>
      </w:r>
    </w:p>
  </w:footnote>
  <w:footnote w:id="4881">
    <w:p w14:paraId="73948C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ויקרא </w:t>
      </w:r>
      <w:proofErr w:type="spellStart"/>
      <w:r>
        <w:rPr>
          <w:sz w:val="20"/>
          <w:szCs w:val="20"/>
          <w:rtl/>
        </w:rPr>
        <w:t>טז</w:t>
      </w:r>
      <w:proofErr w:type="spellEnd"/>
      <w:r>
        <w:rPr>
          <w:sz w:val="20"/>
          <w:szCs w:val="20"/>
          <w:rtl/>
        </w:rPr>
        <w:t>, לא.</w:t>
      </w:r>
    </w:p>
  </w:footnote>
  <w:footnote w:id="4882">
    <w:p w14:paraId="24E396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37.</w:t>
      </w:r>
    </w:p>
  </w:footnote>
  <w:footnote w:id="4883">
    <w:p w14:paraId="4A11147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הוסיף שכאשר קבע הפרופסור שבריאותו מספיקה לצום, “רקד ר׳ </w:t>
      </w:r>
      <w:proofErr w:type="spellStart"/>
      <w:r>
        <w:rPr>
          <w:sz w:val="20"/>
          <w:szCs w:val="20"/>
          <w:rtl/>
        </w:rPr>
        <w:t>ברוך־בער</w:t>
      </w:r>
      <w:proofErr w:type="spellEnd"/>
      <w:r>
        <w:rPr>
          <w:sz w:val="20"/>
          <w:szCs w:val="20"/>
          <w:rtl/>
        </w:rPr>
        <w:t xml:space="preserve"> מרוב שמחה”.</w:t>
      </w:r>
    </w:p>
  </w:footnote>
  <w:footnote w:id="4884">
    <w:p w14:paraId="0C4A4D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כא</w:t>
      </w:r>
      <w:proofErr w:type="spellEnd"/>
      <w:r>
        <w:rPr>
          <w:sz w:val="20"/>
          <w:szCs w:val="20"/>
          <w:rtl/>
        </w:rPr>
        <w:t>.</w:t>
      </w:r>
    </w:p>
  </w:footnote>
  <w:footnote w:id="4885">
    <w:p w14:paraId="1999886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המעשה האחר שנרשם בפרק 3, נספח </w:t>
      </w:r>
      <w:proofErr w:type="spellStart"/>
      <w:r>
        <w:rPr>
          <w:sz w:val="20"/>
          <w:szCs w:val="20"/>
          <w:rtl/>
        </w:rPr>
        <w:t>כא</w:t>
      </w:r>
      <w:proofErr w:type="spellEnd"/>
      <w:r>
        <w:rPr>
          <w:sz w:val="20"/>
          <w:szCs w:val="20"/>
          <w:rtl/>
        </w:rPr>
        <w:t xml:space="preserve">, שמע ר׳ שלמה בעת לימודו </w:t>
      </w:r>
      <w:proofErr w:type="spellStart"/>
      <w:r>
        <w:rPr>
          <w:sz w:val="20"/>
          <w:szCs w:val="20"/>
          <w:rtl/>
        </w:rPr>
        <w:t>במיר</w:t>
      </w:r>
      <w:proofErr w:type="spellEnd"/>
      <w:r>
        <w:rPr>
          <w:sz w:val="20"/>
          <w:szCs w:val="20"/>
          <w:rtl/>
        </w:rPr>
        <w:t xml:space="preserve">, ולא היה בטוח מי מרבני </w:t>
      </w:r>
      <w:proofErr w:type="spellStart"/>
      <w:r>
        <w:rPr>
          <w:sz w:val="20"/>
          <w:szCs w:val="20"/>
          <w:rtl/>
        </w:rPr>
        <w:t>מיר</w:t>
      </w:r>
      <w:proofErr w:type="spellEnd"/>
      <w:r>
        <w:rPr>
          <w:sz w:val="20"/>
          <w:szCs w:val="20"/>
          <w:rtl/>
        </w:rPr>
        <w:t xml:space="preserve"> לבית קמאי היה העיקרי בו, האב או הבן; את המעשה הזה סיפר על האב, ר׳ </w:t>
      </w:r>
      <w:proofErr w:type="spellStart"/>
      <w:r>
        <w:rPr>
          <w:sz w:val="20"/>
          <w:szCs w:val="20"/>
          <w:rtl/>
        </w:rPr>
        <w:t>אליהו־ברוך</w:t>
      </w:r>
      <w:proofErr w:type="spellEnd"/>
      <w:r>
        <w:rPr>
          <w:sz w:val="20"/>
          <w:szCs w:val="20"/>
          <w:rtl/>
        </w:rPr>
        <w:t xml:space="preserve"> קמאי. אולם אני סבור שאולי אירע הדבר עם הבן, ר׳ </w:t>
      </w:r>
      <w:proofErr w:type="spellStart"/>
      <w:r>
        <w:rPr>
          <w:sz w:val="20"/>
          <w:szCs w:val="20"/>
          <w:rtl/>
        </w:rPr>
        <w:t>אברהם־צבי</w:t>
      </w:r>
      <w:proofErr w:type="spellEnd"/>
      <w:r>
        <w:rPr>
          <w:sz w:val="20"/>
          <w:szCs w:val="20"/>
          <w:rtl/>
        </w:rPr>
        <w:t xml:space="preserve"> (ואז הציע לא רובלים רוסיים אלא זלוטי פולניים), שנקט אותה שיטה פיקחית וערמומית שבזכותה שכנע את האישה העיקשת במצב קשה אחר.</w:t>
      </w:r>
    </w:p>
    <w:p w14:paraId="32119F18" w14:textId="77777777" w:rsidR="00AB3647" w:rsidRDefault="00000000">
      <w:pPr>
        <w:spacing w:after="0" w:before="0"/>
        <w:jc w:val="both"/>
      </w:pPr>
      <w:r>
        <w:rPr>
          <w:sz w:val="20"/>
          <w:szCs w:val="20"/>
          <w:rtl/>
        </w:rPr>
        <w:t xml:space="preserve">ר׳ דוד </w:t>
      </w:r>
      <w:proofErr w:type="spellStart"/>
      <w:r>
        <w:rPr>
          <w:sz w:val="20"/>
          <w:szCs w:val="20"/>
          <w:rtl/>
        </w:rPr>
        <w:t>זופניק</w:t>
      </w:r>
      <w:proofErr w:type="spellEnd"/>
      <w:r>
        <w:rPr>
          <w:sz w:val="20"/>
          <w:szCs w:val="20"/>
          <w:rtl/>
        </w:rPr>
        <w:t xml:space="preserve"> – ראה הערת השוליים </w:t>
      </w:r>
      <w:r>
        <w:rPr>
          <w:sz w:val="20"/>
          <w:szCs w:val="20"/>
          <w:rtl/>
        </w:rPr>
        <w:fldChar w:fldCharType="begin" w:dirty="true"/>
      </w:r>
      <w:r>
        <w:rPr>
          <w:sz w:val="20"/>
          <w:szCs w:val="20"/>
          <w:rtl/>
        </w:rPr>
        <w:instrText xml:space="preserve"> NOTEREF pr_f_4633 \h </w:instrText>
      </w:r>
      <w:r>
        <w:rPr>
          <w:sz w:val="20"/>
          <w:szCs w:val="20"/>
          <w:rtl/>
        </w:rPr>
      </w:r>
      <w:r>
        <w:rPr>
          <w:sz w:val="20"/>
          <w:szCs w:val="20"/>
          <w:rtl/>
        </w:rPr>
        <w:fldChar w:fldCharType="separate"/>
      </w:r>
      <w:r w:rsidR="007923E9">
        <w:rPr>
          <w:sz w:val="20"/>
          <w:szCs w:val="20"/>
          <w:rtl/>
        </w:rPr>
        <w:t>287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pr_f_4633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סיפר שכאשר ביקש ר׳ </w:t>
      </w:r>
      <w:proofErr w:type="spellStart"/>
      <w:r>
        <w:rPr>
          <w:sz w:val="20"/>
          <w:szCs w:val="20"/>
          <w:rtl/>
        </w:rPr>
        <w:t>אברהם־צבי</w:t>
      </w:r>
      <w:proofErr w:type="spellEnd"/>
      <w:r>
        <w:rPr>
          <w:sz w:val="20"/>
          <w:szCs w:val="20"/>
          <w:rtl/>
        </w:rPr>
        <w:t xml:space="preserve"> קמאי להפחיד כמה קצבים </w:t>
      </w:r>
      <w:proofErr w:type="spellStart"/>
      <w:r>
        <w:rPr>
          <w:sz w:val="20"/>
          <w:szCs w:val="20"/>
          <w:rtl/>
        </w:rPr>
        <w:t>במיר</w:t>
      </w:r>
      <w:proofErr w:type="spellEnd"/>
      <w:r>
        <w:rPr>
          <w:sz w:val="20"/>
          <w:szCs w:val="20"/>
          <w:rtl/>
        </w:rPr>
        <w:t xml:space="preserve"> שסירבו לקבל אחת מתקנות הכשרות שלו, איים שיטיל עליהם “חרם של ים”. הם דימו שהוא מתאר נידוי חמור במיוחד, שיחול עליהם אם יוסיפו להמרות את פי רבם. הביטוי שהשתמש בו לקוח למעשה ממשנה במסכת נדרים (כ ע״א), ושם פירושו “רשת דיג”! </w:t>
      </w:r>
      <w:proofErr w:type="spellStart"/>
      <w:r>
        <w:rPr>
          <w:sz w:val="20"/>
          <w:szCs w:val="20"/>
          <w:rtl/>
        </w:rPr>
        <w:t>ה“איום</w:t>
      </w:r>
      <w:proofErr w:type="spellEnd"/>
      <w:r>
        <w:rPr>
          <w:sz w:val="20"/>
          <w:szCs w:val="20"/>
          <w:rtl/>
        </w:rPr>
        <w:t xml:space="preserve">” הועיל, </w:t>
      </w:r>
      <w:proofErr w:type="spellStart"/>
      <w:r>
        <w:rPr>
          <w:sz w:val="20"/>
          <w:szCs w:val="20"/>
          <w:rtl/>
        </w:rPr>
        <w:t>והקצבים</w:t>
      </w:r>
      <w:proofErr w:type="spellEnd"/>
      <w:r>
        <w:rPr>
          <w:sz w:val="20"/>
          <w:szCs w:val="20"/>
          <w:rtl/>
        </w:rPr>
        <w:t xml:space="preserve"> קיבלו את מרותו.</w:t>
      </w:r>
    </w:p>
  </w:footnote>
  <w:footnote w:id="4886">
    <w:p w14:paraId="69113B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ו להלן.</w:t>
      </w:r>
    </w:p>
  </w:footnote>
  <w:footnote w:id="4887">
    <w:p w14:paraId="5531F5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888">
    <w:p w14:paraId="78ADEB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שמעתי שר׳ ישראל גילה כי החוק הצרפתי מתיר להוציא שרידים מקבר ולהשליכם אחרי חמישים שנות קבורה.</w:t>
      </w:r>
    </w:p>
  </w:footnote>
  <w:footnote w:id="4889">
    <w:p w14:paraId="434250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סנהדרין </w:t>
      </w:r>
      <w:proofErr w:type="spellStart"/>
      <w:r>
        <w:rPr>
          <w:sz w:val="20"/>
          <w:szCs w:val="20"/>
          <w:rtl/>
        </w:rPr>
        <w:t>נז</w:t>
      </w:r>
      <w:proofErr w:type="spellEnd"/>
      <w:r>
        <w:rPr>
          <w:sz w:val="20"/>
          <w:szCs w:val="20"/>
          <w:rtl/>
        </w:rPr>
        <w:t xml:space="preserve"> ע״א ועוד.</w:t>
      </w:r>
    </w:p>
  </w:footnote>
  <w:footnote w:id="4890">
    <w:p w14:paraId="62143C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w:t>
      </w:r>
      <w:proofErr w:type="spellStart"/>
      <w:r>
        <w:rPr>
          <w:sz w:val="20"/>
          <w:szCs w:val="20"/>
          <w:rtl/>
        </w:rPr>
        <w:t>חזון</w:t>
      </w:r>
      <w:proofErr w:type="spellEnd"/>
      <w:r>
        <w:rPr>
          <w:sz w:val="20"/>
          <w:szCs w:val="20"/>
          <w:rtl/>
        </w:rPr>
        <w:t xml:space="preserve"> איש על </w:t>
      </w:r>
      <w:proofErr w:type="spellStart"/>
      <w:r>
        <w:rPr>
          <w:sz w:val="20"/>
          <w:szCs w:val="20"/>
          <w:rtl/>
        </w:rPr>
        <w:t>שו״ע</w:t>
      </w:r>
      <w:proofErr w:type="spellEnd"/>
      <w:r>
        <w:rPr>
          <w:sz w:val="20"/>
          <w:szCs w:val="20"/>
          <w:rtl/>
        </w:rPr>
        <w:t xml:space="preserve"> יו״ד דף ז׳ ע״ד ד״ה ונראה דאין.</w:t>
      </w:r>
    </w:p>
  </w:footnote>
  <w:footnote w:id="4891">
    <w:p w14:paraId="3D5F82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נספח ב – עמ׳ </w:t>
      </w:r>
      <w:proofErr w:type="spellStart"/>
      <w:r>
        <w:rPr>
          <w:sz w:val="20"/>
          <w:szCs w:val="20"/>
          <w:rtl/>
        </w:rPr>
        <w:t>נז</w:t>
      </w:r>
      <w:proofErr w:type="spellEnd"/>
      <w:r>
        <w:rPr>
          <w:sz w:val="20"/>
          <w:szCs w:val="20"/>
          <w:rtl/>
        </w:rPr>
        <w:t>.</w:t>
      </w:r>
    </w:p>
  </w:footnote>
  <w:footnote w:id="4892">
    <w:p w14:paraId="141F80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המונח </w:t>
      </w:r>
      <w:proofErr w:type="spellStart"/>
      <w:r>
        <w:rPr>
          <w:sz w:val="20"/>
          <w:szCs w:val="20"/>
          <w:rtl/>
        </w:rPr>
        <w:t>יח״ס</w:t>
      </w:r>
      <w:proofErr w:type="spellEnd"/>
      <w:r>
        <w:rPr>
          <w:sz w:val="20"/>
          <w:szCs w:val="20"/>
          <w:rtl/>
        </w:rPr>
        <w:t xml:space="preserve"> (ראשי תיבות של יחיד סגולה) שימש תואר לבעלי בתים חשובים, כפי שניכר בכל כרכי “</w:t>
      </w:r>
      <w:proofErr w:type="spellStart"/>
      <w:r>
        <w:rPr>
          <w:sz w:val="20"/>
          <w:szCs w:val="20"/>
          <w:rtl/>
        </w:rPr>
        <w:t>זכרון</w:t>
      </w:r>
      <w:proofErr w:type="spellEnd"/>
      <w:r>
        <w:rPr>
          <w:sz w:val="20"/>
          <w:szCs w:val="20"/>
          <w:rtl/>
        </w:rPr>
        <w:t xml:space="preserve"> יעקב” (שם, פרק 1, הערה 1). ועיין פי׳ דעת מקרא על דה״י א׳ </w:t>
      </w:r>
      <w:proofErr w:type="spellStart"/>
      <w:r>
        <w:rPr>
          <w:sz w:val="20"/>
          <w:szCs w:val="20"/>
          <w:rtl/>
        </w:rPr>
        <w:t>כח</w:t>
      </w:r>
      <w:proofErr w:type="spellEnd"/>
      <w:r>
        <w:rPr>
          <w:sz w:val="20"/>
          <w:szCs w:val="20"/>
          <w:rtl/>
        </w:rPr>
        <w:t xml:space="preserve">, א ד״ה ולכל </w:t>
      </w:r>
      <w:proofErr w:type="spellStart"/>
      <w:r>
        <w:rPr>
          <w:sz w:val="20"/>
          <w:szCs w:val="20"/>
          <w:rtl/>
        </w:rPr>
        <w:t>גבור</w:t>
      </w:r>
      <w:proofErr w:type="spellEnd"/>
      <w:r>
        <w:rPr>
          <w:sz w:val="20"/>
          <w:szCs w:val="20"/>
          <w:rtl/>
        </w:rPr>
        <w:t xml:space="preserve"> חיל. ר׳ יצחק </w:t>
      </w:r>
      <w:proofErr w:type="spellStart"/>
      <w:r>
        <w:rPr>
          <w:sz w:val="20"/>
          <w:szCs w:val="20"/>
          <w:rtl/>
        </w:rPr>
        <w:t>חין</w:t>
      </w:r>
      <w:proofErr w:type="spellEnd"/>
      <w:r>
        <w:rPr>
          <w:sz w:val="20"/>
          <w:szCs w:val="20"/>
          <w:rtl/>
        </w:rPr>
        <w:t xml:space="preserve"> סיפר גם הוא בשם אבי (בהספד השלושים – ראה פרק 4, סוף הערה 131) שר׳ ישראל מדד את כוס הקידוש שלו כך שתכיל את השיעור המצומצם ביותר: מאחר שהיה נתמך מכספי צדקה, סבר שאין לו זכות להחמיר ולשתות יין נוסף (‘גזול’).</w:t>
      </w:r>
    </w:p>
  </w:footnote>
  <w:footnote w:id="4893">
    <w:p w14:paraId="178570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נח.</w:t>
      </w:r>
    </w:p>
  </w:footnote>
  <w:footnote w:id="4894">
    <w:p w14:paraId="754082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שהמצב המתואר קשור לפסק </w:t>
      </w:r>
      <w:proofErr w:type="spellStart"/>
      <w:r>
        <w:rPr>
          <w:sz w:val="20"/>
          <w:szCs w:val="20"/>
          <w:rtl/>
        </w:rPr>
        <w:t>בשו״ע</w:t>
      </w:r>
      <w:proofErr w:type="spellEnd"/>
      <w:r>
        <w:rPr>
          <w:sz w:val="20"/>
          <w:szCs w:val="20"/>
          <w:rtl/>
        </w:rPr>
        <w:t xml:space="preserve"> יו״ד סי׳ של״ט ס״א בהגה, שמותר להשתיק רעש, כגון קול דפיקות מבית סמוך, כדי להניח לגוסס למות. כך הלביש ר׳ ישראל את רצונו לחיות עוד רגע (על פי דברי ר׳ פסח </w:t>
      </w:r>
      <w:proofErr w:type="spellStart"/>
      <w:r>
        <w:rPr>
          <w:sz w:val="20"/>
          <w:szCs w:val="20"/>
          <w:rtl/>
        </w:rPr>
        <w:t>דיסקינד</w:t>
      </w:r>
      <w:proofErr w:type="spellEnd"/>
      <w:r>
        <w:rPr>
          <w:sz w:val="20"/>
          <w:szCs w:val="20"/>
          <w:rtl/>
        </w:rPr>
        <w:t xml:space="preserve"> שנזכרו בעמ׳ </w:t>
      </w:r>
      <w:r>
        <w:rPr>
          <w:sz w:val="20"/>
          <w:szCs w:val="20"/>
          <w:rtl/>
        </w:rPr>
        <w:fldChar w:fldCharType="begin" w:dirty="true"/>
      </w:r>
      <w:r>
        <w:rPr>
          <w:sz w:val="20"/>
          <w:szCs w:val="20"/>
          <w:rtl/>
        </w:rPr>
        <w:instrText xml:space="preserve"> PAGEREF pr_b_2635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לעיל) בטענה שאינו ראוי שיטריחו אדם לחדול מלהרעיש.</w:t>
      </w:r>
    </w:p>
  </w:footnote>
  <w:footnote w:id="4895">
    <w:p w14:paraId="46D67B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99–100.</w:t>
      </w:r>
    </w:p>
  </w:footnote>
  <w:footnote w:id="4896">
    <w:p w14:paraId="2D4A34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נז</w:t>
      </w:r>
      <w:proofErr w:type="spellEnd"/>
      <w:r>
        <w:rPr>
          <w:sz w:val="20"/>
          <w:szCs w:val="20"/>
          <w:rtl/>
        </w:rPr>
        <w:t>.</w:t>
      </w:r>
    </w:p>
  </w:footnote>
  <w:footnote w:id="4897">
    <w:p w14:paraId="12BFA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ב“אור</w:t>
      </w:r>
      <w:proofErr w:type="spellEnd"/>
      <w:r>
        <w:rPr>
          <w:sz w:val="20"/>
          <w:szCs w:val="20"/>
          <w:rtl/>
        </w:rPr>
        <w:t xml:space="preserve"> ישראל” משתנה גם ההסבר ההלכתי שמביא יעקב מארק, “שינוי רשות”, ל(ייאוש ו)שינוי מעשה – שינוי בהרכב הממון הגזול, בכך שר׳ ישראל החליף במצרכי האוכל את הכסף שניתן לו על יסוד מצג שווא.</w:t>
      </w:r>
    </w:p>
  </w:footnote>
  <w:footnote w:id="4898">
    <w:p w14:paraId="5E4615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סוף נספח </w:t>
      </w:r>
      <w:proofErr w:type="spellStart"/>
      <w:r>
        <w:rPr>
          <w:sz w:val="20"/>
          <w:szCs w:val="20"/>
          <w:rtl/>
        </w:rPr>
        <w:t>כז</w:t>
      </w:r>
      <w:proofErr w:type="spellEnd"/>
      <w:r>
        <w:rPr>
          <w:sz w:val="20"/>
          <w:szCs w:val="20"/>
          <w:rtl/>
        </w:rPr>
        <w:t xml:space="preserve"> – עמ׳ </w:t>
      </w:r>
      <w:proofErr w:type="spellStart"/>
      <w:r>
        <w:rPr>
          <w:sz w:val="20"/>
          <w:szCs w:val="20"/>
          <w:rtl/>
        </w:rPr>
        <w:t>מב</w:t>
      </w:r>
      <w:proofErr w:type="spellEnd"/>
      <w:r>
        <w:rPr>
          <w:sz w:val="20"/>
          <w:szCs w:val="20"/>
          <w:rtl/>
        </w:rPr>
        <w:t>–מג.</w:t>
      </w:r>
    </w:p>
  </w:footnote>
  <w:footnote w:id="4899">
    <w:p w14:paraId="41BC7B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2.</w:t>
      </w:r>
    </w:p>
  </w:footnote>
  <w:footnote w:id="4900">
    <w:p w14:paraId="76E466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הראשונה של נספח </w:t>
      </w:r>
      <w:proofErr w:type="spellStart"/>
      <w:r>
        <w:rPr>
          <w:sz w:val="20"/>
          <w:szCs w:val="20"/>
          <w:rtl/>
        </w:rPr>
        <w:t>יג</w:t>
      </w:r>
      <w:proofErr w:type="spellEnd"/>
      <w:r>
        <w:rPr>
          <w:sz w:val="20"/>
          <w:szCs w:val="20"/>
          <w:rtl/>
        </w:rPr>
        <w:t>.</w:t>
      </w:r>
    </w:p>
  </w:footnote>
  <w:footnote w:id="4901">
    <w:p w14:paraId="33341F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ברוקלין, ניו יורק</w:t>
      </w:r>
      <w:proofErr w:type="spellStart"/>
      <w:r>
        <w:rPr>
          <w:sz w:val="20"/>
          <w:szCs w:val="20"/>
          <w:rtl/>
        </w:rPr>
        <w:t xml:space="preserve"/>
      </w:r>
      <w:proofErr w:type="spellEnd"/>
      <w:r>
        <w:rPr>
          <w:sz w:val="20"/>
          <w:szCs w:val="20"/>
          <w:rtl/>
        </w:rPr>
        <w:t xml:space="preserve">, </w:t>
      </w:r>
      <w:proofErr w:type="spellStart"/>
      <w:r>
        <w:rPr>
          <w:sz w:val="20"/>
          <w:szCs w:val="20"/>
          <w:rtl/>
        </w:rPr>
        <w:t>תש״ם</w:t>
      </w:r>
      <w:proofErr w:type="spellEnd"/>
      <w:r>
        <w:rPr>
          <w:sz w:val="20"/>
          <w:szCs w:val="20"/>
          <w:rtl/>
        </w:rPr>
        <w:t xml:space="preserve"> – עמ׳ 75.</w:t>
      </w:r>
    </w:p>
  </w:footnote>
  <w:footnote w:id="4902">
    <w:p w14:paraId="71AF72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השוליים </w:t>
      </w:r>
      <w:r>
        <w:rPr>
          <w:rStyle w:val="a5"/>
          <w:sz w:val="20"/>
          <w:szCs w:val="20"/>
          <w:vertAlign w:val="baseline"/>
          <w:rtl/>
        </w:rPr>
        <w:fldChar w:fldCharType="begin" w:dirty="true"/>
      </w:r>
      <w:r>
        <w:rPr>
          <w:rStyle w:val="a5"/>
          <w:sz w:val="20"/>
          <w:szCs w:val="20"/>
          <w:vertAlign w:val="baseline"/>
          <w:rtl/>
        </w:rPr>
        <w:instrText xml:space="preserve"> NOTEREF pr_f_5235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889</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pr_f_5235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שר׳ חיים </w:t>
      </w:r>
      <w:proofErr w:type="spellStart"/>
      <w:r>
        <w:rPr>
          <w:rStyle w:val="a5"/>
          <w:sz w:val="20"/>
          <w:szCs w:val="20"/>
          <w:vertAlign w:val="baseline"/>
          <w:rtl/>
        </w:rPr>
        <w:t>סולובייצ׳יק</w:t>
      </w:r>
      <w:proofErr w:type="spellEnd"/>
      <w:r>
        <w:rPr>
          <w:rStyle w:val="a5"/>
          <w:sz w:val="20"/>
          <w:szCs w:val="20"/>
          <w:vertAlign w:val="baseline"/>
          <w:rtl/>
        </w:rPr>
        <w:t xml:space="preserve"> חש כך כלפי יהודי </w:t>
      </w:r>
      <w:proofErr w:type="spellStart"/>
      <w:r>
        <w:rPr>
          <w:rStyle w:val="a5"/>
          <w:sz w:val="20"/>
          <w:szCs w:val="20"/>
          <w:vertAlign w:val="baseline"/>
          <w:rtl/>
        </w:rPr>
        <w:t>בריסק</w:t>
      </w:r>
      <w:proofErr w:type="spellEnd"/>
      <w:r>
        <w:rPr>
          <w:rStyle w:val="a5"/>
          <w:sz w:val="20"/>
          <w:szCs w:val="20"/>
          <w:vertAlign w:val="baseline"/>
          <w:rtl/>
        </w:rPr>
        <w:t xml:space="preserve"> וכלפי עצמו</w:t>
      </w:r>
      <w:r>
        <w:rPr>
          <w:sz w:val="20"/>
          <w:szCs w:val="20"/>
          <w:rtl/>
        </w:rPr>
        <w:t>.</w:t>
      </w:r>
    </w:p>
  </w:footnote>
  <w:footnote w:id="4903">
    <w:p w14:paraId="72B67C5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פסיקתא רבתי </w:t>
      </w:r>
      <w:proofErr w:type="spellStart"/>
      <w:r>
        <w:rPr>
          <w:sz w:val="20"/>
          <w:szCs w:val="20"/>
          <w:rtl/>
        </w:rPr>
        <w:t>פל״ה</w:t>
      </w:r>
      <w:proofErr w:type="spellEnd"/>
      <w:r>
        <w:rPr>
          <w:sz w:val="20"/>
          <w:szCs w:val="20"/>
          <w:rtl/>
        </w:rPr>
        <w:t xml:space="preserve"> (בדפוס מאיר </w:t>
      </w:r>
      <w:proofErr w:type="spellStart"/>
      <w:r>
        <w:rPr>
          <w:sz w:val="20"/>
          <w:szCs w:val="20"/>
          <w:rtl/>
        </w:rPr>
        <w:t>איש־שלום</w:t>
      </w:r>
      <w:proofErr w:type="spellEnd"/>
      <w:r>
        <w:rPr>
          <w:sz w:val="20"/>
          <w:szCs w:val="20"/>
          <w:rtl/>
        </w:rPr>
        <w:t xml:space="preserve"> עמ׳ </w:t>
      </w:r>
      <w:proofErr w:type="spellStart"/>
      <w:r>
        <w:rPr>
          <w:sz w:val="20"/>
          <w:szCs w:val="20"/>
          <w:rtl/>
        </w:rPr>
        <w:t>קס</w:t>
      </w:r>
      <w:proofErr w:type="spellEnd"/>
      <w:r>
        <w:rPr>
          <w:sz w:val="20"/>
          <w:szCs w:val="20"/>
          <w:rtl/>
        </w:rPr>
        <w:t xml:space="preserve"> ע״ב) אמר הקב״ה וכו׳ בואו ואודיע לכם צדקתם של בניי וכו׳ </w:t>
      </w:r>
      <w:proofErr w:type="spellStart"/>
      <w:r>
        <w:rPr>
          <w:sz w:val="20"/>
          <w:szCs w:val="20"/>
          <w:rtl/>
        </w:rPr>
        <w:t>שקוראין</w:t>
      </w:r>
      <w:proofErr w:type="spellEnd"/>
      <w:r>
        <w:rPr>
          <w:sz w:val="20"/>
          <w:szCs w:val="20"/>
          <w:rtl/>
        </w:rPr>
        <w:t xml:space="preserve"> את עצמן רשעים </w:t>
      </w:r>
      <w:proofErr w:type="spellStart"/>
      <w:r>
        <w:rPr>
          <w:sz w:val="20"/>
          <w:szCs w:val="20"/>
          <w:rtl/>
        </w:rPr>
        <w:t>וקוראין</w:t>
      </w:r>
      <w:proofErr w:type="spellEnd"/>
      <w:r>
        <w:rPr>
          <w:sz w:val="20"/>
          <w:szCs w:val="20"/>
          <w:rtl/>
        </w:rPr>
        <w:t xml:space="preserve"> אותי צדיק עיי״ש. השווה גם פרק 1, הערה 11, על הגדרתו של ר׳ ישראל </w:t>
      </w:r>
      <w:proofErr w:type="spellStart"/>
      <w:r>
        <w:rPr>
          <w:sz w:val="20"/>
          <w:szCs w:val="20"/>
          <w:rtl/>
        </w:rPr>
        <w:t>סלנטר</w:t>
      </w:r>
      <w:proofErr w:type="spellEnd"/>
      <w:r>
        <w:rPr>
          <w:sz w:val="20"/>
          <w:szCs w:val="20"/>
          <w:rtl/>
        </w:rPr>
        <w:t xml:space="preserve"> </w:t>
      </w:r>
      <w:proofErr w:type="spellStart"/>
      <w:r>
        <w:rPr>
          <w:sz w:val="20"/>
          <w:szCs w:val="20"/>
          <w:rtl/>
        </w:rPr>
        <w:t>ל“גוטער</w:t>
      </w:r>
      <w:proofErr w:type="spellEnd"/>
      <w:r>
        <w:rPr>
          <w:sz w:val="20"/>
          <w:szCs w:val="20"/>
          <w:rtl/>
        </w:rPr>
        <w:t xml:space="preserve"> </w:t>
      </w:r>
      <w:proofErr w:type="spellStart"/>
      <w:r>
        <w:rPr>
          <w:sz w:val="20"/>
          <w:szCs w:val="20"/>
          <w:rtl/>
        </w:rPr>
        <w:t>ייד</w:t>
      </w:r>
      <w:proofErr w:type="spellEnd"/>
      <w:r>
        <w:rPr>
          <w:sz w:val="20"/>
          <w:szCs w:val="20"/>
          <w:rtl/>
        </w:rPr>
        <w:t>”.</w:t>
      </w:r>
    </w:p>
  </w:footnote>
  <w:footnote w:id="4904">
    <w:p w14:paraId="5DCDE5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המאורע היה חגיגת בר המצווה של נכדו </w:t>
      </w:r>
      <w:proofErr w:type="spellStart"/>
      <w:r>
        <w:rPr>
          <w:sz w:val="20"/>
          <w:szCs w:val="20"/>
          <w:rtl/>
        </w:rPr>
        <w:t>אברהם־יוסף</w:t>
      </w:r>
      <w:proofErr w:type="spellEnd"/>
      <w:r>
        <w:rPr>
          <w:sz w:val="20"/>
          <w:szCs w:val="20"/>
          <w:rtl/>
        </w:rPr>
        <w:t xml:space="preserve"> </w:t>
      </w:r>
      <w:proofErr w:type="spellStart"/>
      <w:r>
        <w:rPr>
          <w:sz w:val="20"/>
          <w:szCs w:val="20"/>
          <w:rtl/>
        </w:rPr>
        <w:t>זליבנסקי</w:t>
      </w:r>
      <w:proofErr w:type="spellEnd"/>
      <w:r>
        <w:rPr>
          <w:sz w:val="20"/>
          <w:szCs w:val="20"/>
          <w:rtl/>
        </w:rPr>
        <w:t xml:space="preserve"> ב־17 ביולי 1997.</w:t>
      </w:r>
    </w:p>
  </w:footnote>
  <w:footnote w:id="4905">
    <w:p w14:paraId="3EEA91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תחילת הפסקה השנייה של נספח </w:t>
      </w:r>
      <w:proofErr w:type="spellStart"/>
      <w:r>
        <w:rPr>
          <w:sz w:val="20"/>
          <w:szCs w:val="20"/>
          <w:rtl/>
        </w:rPr>
        <w:t>יז</w:t>
      </w:r>
      <w:proofErr w:type="spellEnd"/>
      <w:r>
        <w:rPr>
          <w:sz w:val="20"/>
          <w:szCs w:val="20"/>
          <w:rtl/>
        </w:rPr>
        <w:t>.</w:t>
      </w:r>
    </w:p>
  </w:footnote>
  <w:footnote w:id="4906">
    <w:p w14:paraId="47DAF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4907">
    <w:p w14:paraId="36703C9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כץ, “תנועת המוסר”, כרך א, עמ׳ 243, על זהות שתי בנותיו. זו שבחתונתה לא השתתף הייתה בוודאי </w:t>
      </w:r>
      <w:proofErr w:type="spellStart"/>
      <w:r>
        <w:rPr>
          <w:sz w:val="20"/>
          <w:szCs w:val="20"/>
          <w:rtl/>
        </w:rPr>
        <w:t>האדא</w:t>
      </w:r>
      <w:proofErr w:type="spellEnd"/>
      <w:r>
        <w:rPr>
          <w:sz w:val="20"/>
          <w:szCs w:val="20"/>
          <w:rtl/>
        </w:rPr>
        <w:t xml:space="preserve"> </w:t>
      </w:r>
      <w:proofErr w:type="spellStart"/>
      <w:r>
        <w:rPr>
          <w:sz w:val="20"/>
          <w:szCs w:val="20"/>
          <w:rtl/>
        </w:rPr>
        <w:t>ליבא</w:t>
      </w:r>
      <w:proofErr w:type="spellEnd"/>
      <w:r>
        <w:rPr>
          <w:sz w:val="20"/>
          <w:szCs w:val="20"/>
          <w:rtl/>
        </w:rPr>
        <w:t xml:space="preserve"> (אף שאין שם ידיעה שנישאה </w:t>
      </w:r>
      <w:proofErr w:type="spellStart"/>
      <w:r>
        <w:rPr>
          <w:sz w:val="20"/>
          <w:szCs w:val="20"/>
          <w:rtl/>
        </w:rPr>
        <w:t>בצ׳רקס</w:t>
      </w:r>
      <w:proofErr w:type="spellEnd"/>
      <w:r>
        <w:rPr>
          <w:sz w:val="20"/>
          <w:szCs w:val="20"/>
          <w:rtl/>
        </w:rPr>
        <w:t>).</w:t>
      </w:r>
    </w:p>
  </w:footnote>
  <w:footnote w:id="4908">
    <w:p w14:paraId="0AD1C0C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תשפז</w:t>
      </w:r>
      <w:proofErr w:type="spellEnd"/>
      <w:r>
        <w:rPr>
          <w:sz w:val="20"/>
          <w:szCs w:val="20"/>
          <w:rtl/>
        </w:rPr>
        <w:t>.</w:t>
      </w:r>
    </w:p>
  </w:footnote>
  <w:footnote w:id="4909">
    <w:p w14:paraId="2BDC79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סי׳ שכ״ט ס״ג.</w:t>
      </w:r>
    </w:p>
  </w:footnote>
  <w:footnote w:id="4910">
    <w:p w14:paraId="44344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237.</w:t>
      </w:r>
    </w:p>
  </w:footnote>
  <w:footnote w:id="4911">
    <w:p w14:paraId="24CF076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זו השערה דחוקה כל כך שנסע למינסק להחזיר, לפני מותו שממנו חשש, ספר או ספרים ששאל שם פעם – ראה פרק 4, הערה 164.</w:t>
      </w:r>
    </w:p>
  </w:footnote>
  <w:footnote w:id="4912">
    <w:p w14:paraId="355B18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4913">
    <w:p w14:paraId="02B8DE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הערה 93 – עמ׳ 57–58.</w:t>
      </w:r>
    </w:p>
  </w:footnote>
  <w:footnote w:id="4914">
    <w:p w14:paraId="09384B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מתואר </w:t>
      </w:r>
      <w:proofErr w:type="spellStart"/>
      <w:r>
        <w:rPr>
          <w:sz w:val="20"/>
          <w:szCs w:val="20"/>
          <w:rtl/>
        </w:rPr>
        <w:t>ב“זכרון</w:t>
      </w:r>
      <w:proofErr w:type="spellEnd"/>
      <w:r>
        <w:rPr>
          <w:sz w:val="20"/>
          <w:szCs w:val="20"/>
          <w:rtl/>
        </w:rPr>
        <w:t xml:space="preserve"> יעקב”, כרך ב, עמ׳ 69, כאחד משני ‘גבירים נכבדים, אנשי השם, </w:t>
      </w:r>
      <w:proofErr w:type="spellStart"/>
      <w:r>
        <w:rPr>
          <w:sz w:val="20"/>
          <w:szCs w:val="20"/>
          <w:rtl/>
        </w:rPr>
        <w:t>מופלגי</w:t>
      </w:r>
      <w:proofErr w:type="spellEnd"/>
      <w:r>
        <w:rPr>
          <w:sz w:val="20"/>
          <w:szCs w:val="20"/>
          <w:rtl/>
        </w:rPr>
        <w:t xml:space="preserve"> תורה ויראה’ שהיו חברי ועד בממל, שסיפק עזרה ליהודי ליטא בשנתיים וחצי של הרעב, תרכ״ז–תרכ״ט. רעב זה בא אחרי רעב קשה אחר, כרבע מאה קודם לכן, </w:t>
      </w:r>
      <w:proofErr w:type="spellStart"/>
      <w:r>
        <w:rPr>
          <w:sz w:val="20"/>
          <w:szCs w:val="20"/>
          <w:rtl/>
        </w:rPr>
        <w:t>בתר״ד</w:t>
      </w:r>
      <w:proofErr w:type="spellEnd"/>
      <w:r>
        <w:rPr>
          <w:sz w:val="20"/>
          <w:szCs w:val="20"/>
          <w:rtl/>
        </w:rPr>
        <w:t>–תר״ה, לפי שם, כרך א, עמ׳ 129. שני הרעבים נגרמו מקיצים של גשמים בלא הפסק, ובמאורע המאוחר בא אחריהם קיץ של בצורת גמורה. באותה שנה התירו רבנים רבים בליטא אכילת קטניות בפסח.</w:t>
      </w:r>
    </w:p>
  </w:footnote>
  <w:footnote w:id="4915">
    <w:p w14:paraId="4FAB43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“ואמונתך בלילות”, שם, פרק 3, נספח </w:t>
      </w:r>
      <w:proofErr w:type="spellStart"/>
      <w:r>
        <w:rPr>
          <w:sz w:val="20"/>
          <w:szCs w:val="20"/>
          <w:rtl/>
        </w:rPr>
        <w:t>כז</w:t>
      </w:r>
      <w:proofErr w:type="spellEnd"/>
      <w:r>
        <w:rPr>
          <w:sz w:val="20"/>
          <w:szCs w:val="20"/>
          <w:rtl/>
        </w:rPr>
        <w:t xml:space="preserve"> – עמ׳ 15.</w:t>
      </w:r>
    </w:p>
  </w:footnote>
  <w:footnote w:id="4916">
    <w:p w14:paraId="7852C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מוסף עש״ק פ׳ משפטים תשנ״ג.</w:t>
      </w:r>
    </w:p>
  </w:footnote>
  <w:footnote w:id="4917">
    <w:p w14:paraId="1A83C8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ראיתי פעם את החוברת בספרייה הלאומית בירושלים, אבל מאוחר יותר כבר לא נמצאה. לפי הערת שוליים בספרו של כץ, “תנועת המוסר”, כרך א, עמ׳ 142, הוא היה ממשפחת אייזנשטיין, שגם אשת ר׳ ישראל הייתה ממנה.</w:t>
      </w:r>
    </w:p>
  </w:footnote>
  <w:footnote w:id="4918">
    <w:p w14:paraId="4CA8BA3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244. שם, בהערה 34, מצוין: ‘אולם הרב י. ברמן ביקר על הקבר בשנת תרע״ב ומצא נוסח אחר. כנראה, נטשטש הנוסח הקודם מרוב השנים וחרתו בניו נוסח אחר’. לפי חישובי, הנוסח המקורי עמד לכל היותר עשרים שנה: הוא חובר </w:t>
      </w:r>
      <w:proofErr w:type="spellStart"/>
      <w:r>
        <w:rPr>
          <w:sz w:val="20"/>
          <w:szCs w:val="20"/>
          <w:rtl/>
        </w:rPr>
        <w:t>בתר״ן</w:t>
      </w:r>
      <w:proofErr w:type="spellEnd"/>
      <w:r>
        <w:rPr>
          <w:sz w:val="20"/>
          <w:szCs w:val="20"/>
          <w:rtl/>
        </w:rPr>
        <w:t xml:space="preserve">, כמבואר בפרק 3, הפסקה השנייה של נספח ה, ותוקן בערך </w:t>
      </w:r>
      <w:proofErr w:type="spellStart"/>
      <w:r>
        <w:rPr>
          <w:sz w:val="20"/>
          <w:szCs w:val="20"/>
          <w:rtl/>
        </w:rPr>
        <w:t>בתר״ע</w:t>
      </w:r>
      <w:proofErr w:type="spellEnd"/>
      <w:r>
        <w:rPr>
          <w:sz w:val="20"/>
          <w:szCs w:val="20"/>
          <w:rtl/>
        </w:rPr>
        <w:t>.</w:t>
      </w:r>
    </w:p>
  </w:footnote>
  <w:footnote w:id="4919">
    <w:p w14:paraId="7FFDC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קג</w:t>
      </w:r>
      <w:proofErr w:type="spellEnd"/>
      <w:r>
        <w:rPr>
          <w:sz w:val="20"/>
          <w:szCs w:val="20"/>
          <w:rtl/>
        </w:rPr>
        <w:t xml:space="preserve"> ע״ב.</w:t>
      </w:r>
    </w:p>
  </w:footnote>
  <w:footnote w:id="4920">
    <w:p w14:paraId="470154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תהלים קמה, </w:t>
      </w:r>
      <w:proofErr w:type="spellStart"/>
      <w:r>
        <w:rPr>
          <w:sz w:val="20"/>
          <w:szCs w:val="20"/>
          <w:rtl/>
        </w:rPr>
        <w:t>יט</w:t>
      </w:r>
      <w:proofErr w:type="spellEnd"/>
      <w:r>
        <w:rPr>
          <w:sz w:val="20"/>
          <w:szCs w:val="20"/>
          <w:rtl/>
        </w:rPr>
        <w:t>.</w:t>
      </w:r>
    </w:p>
  </w:footnote>
  <w:footnote w:id="4921">
    <w:p w14:paraId="19194EC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ב“שמע</w:t>
      </w:r>
      <w:proofErr w:type="spellEnd"/>
      <w:r>
        <w:rPr>
          <w:sz w:val="20"/>
          <w:szCs w:val="20"/>
          <w:rtl/>
        </w:rPr>
        <w:t xml:space="preserve"> שלמה”, </w:t>
      </w:r>
      <w:proofErr w:type="spellStart"/>
      <w:r>
        <w:rPr>
          <w:sz w:val="20"/>
          <w:szCs w:val="20"/>
          <w:rtl/>
        </w:rPr>
        <w:t>ח״ב</w:t>
      </w:r>
      <w:proofErr w:type="spellEnd"/>
      <w:r>
        <w:rPr>
          <w:sz w:val="20"/>
          <w:szCs w:val="20"/>
          <w:rtl/>
        </w:rPr>
        <w:t>, אות כה.</w:t>
      </w:r>
    </w:p>
  </w:footnote>
  <w:footnote w:id="4922">
    <w:p w14:paraId="7AF006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“אמרי יוסף”, פרשת נח, המביא בשם בן דורו של ר׳ שלמה, ר׳ </w:t>
      </w:r>
      <w:proofErr w:type="spellStart"/>
      <w:r>
        <w:rPr>
          <w:sz w:val="20"/>
          <w:szCs w:val="20"/>
          <w:rtl/>
        </w:rPr>
        <w:t>יעקב־יצחק</w:t>
      </w:r>
      <w:proofErr w:type="spellEnd"/>
      <w:r>
        <w:rPr>
          <w:sz w:val="20"/>
          <w:szCs w:val="20"/>
          <w:rtl/>
        </w:rPr>
        <w:t xml:space="preserve"> מלובלין (‘החוזה’), שלא היה מאמין שהוא צדיק גם אילו הבטיחו לו זאת מלאכים; אילו הקב״ה בכבודו ובעצמו היה אומר לו שהוא צדיק, היה מאמין לו – אך רק באותו שבריר רגע, ולאחריו היה בטוח ששוב איננו צדיק.</w:t>
      </w:r>
    </w:p>
  </w:footnote>
  <w:footnote w:id="4923">
    <w:p w14:paraId="65327C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ועיין גם מדרש תהלים, מזמור י״ז אות </w:t>
      </w:r>
      <w:proofErr w:type="spellStart"/>
      <w:r>
        <w:rPr>
          <w:sz w:val="20"/>
          <w:szCs w:val="20"/>
          <w:rtl/>
        </w:rPr>
        <w:t>יג</w:t>
      </w:r>
      <w:proofErr w:type="spellEnd"/>
      <w:r>
        <w:rPr>
          <w:sz w:val="20"/>
          <w:szCs w:val="20"/>
          <w:rtl/>
        </w:rPr>
        <w:t xml:space="preserve">: ‘אמר דוד לפני הקב״ה, רבש״ע אלו באים </w:t>
      </w:r>
      <w:proofErr w:type="spellStart"/>
      <w:r>
        <w:rPr>
          <w:sz w:val="20"/>
          <w:szCs w:val="20"/>
          <w:rtl/>
        </w:rPr>
        <w:t>מכח</w:t>
      </w:r>
      <w:proofErr w:type="spellEnd"/>
      <w:r>
        <w:rPr>
          <w:sz w:val="20"/>
          <w:szCs w:val="20"/>
          <w:rtl/>
        </w:rPr>
        <w:t xml:space="preserve"> התורה </w:t>
      </w:r>
      <w:proofErr w:type="spellStart"/>
      <w:r>
        <w:rPr>
          <w:sz w:val="20"/>
          <w:szCs w:val="20"/>
          <w:rtl/>
        </w:rPr>
        <w:t>ומע״ט</w:t>
      </w:r>
      <w:proofErr w:type="spellEnd"/>
      <w:r>
        <w:rPr>
          <w:sz w:val="20"/>
          <w:szCs w:val="20"/>
          <w:rtl/>
        </w:rPr>
        <w:t xml:space="preserve">, אבל אני איני </w:t>
      </w:r>
      <w:proofErr w:type="spellStart"/>
      <w:r>
        <w:rPr>
          <w:sz w:val="20"/>
          <w:szCs w:val="20"/>
          <w:rtl/>
        </w:rPr>
        <w:t>כח</w:t>
      </w:r>
      <w:proofErr w:type="spellEnd"/>
      <w:r>
        <w:rPr>
          <w:sz w:val="20"/>
          <w:szCs w:val="20"/>
          <w:rtl/>
        </w:rPr>
        <w:t xml:space="preserve"> לפניך אלא כעני המבקש צדקה, שנאמר ואני בצדק אחזה פניך’.</w:t>
      </w:r>
    </w:p>
  </w:footnote>
  <w:footnote w:id="4924">
    <w:p w14:paraId="5CE4E7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אחרונה של מס׳ יומא.</w:t>
      </w:r>
    </w:p>
  </w:footnote>
  <w:footnote w:id="4925">
    <w:p w14:paraId="548E91B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74.</w:t>
      </w:r>
    </w:p>
  </w:footnote>
  <w:footnote w:id="4926">
    <w:p w14:paraId="7C781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חיים־מאיר</w:t>
      </w:r>
      <w:proofErr w:type="spellEnd"/>
      <w:r>
        <w:rPr>
          <w:sz w:val="20"/>
          <w:szCs w:val="20"/>
          <w:rtl/>
        </w:rPr>
        <w:t xml:space="preserve"> סיפר שרבנו נהנה מאוד להיפגש ולשוחח עם אביו בכל פעם שזה ביקר </w:t>
      </w:r>
      <w:proofErr w:type="spellStart"/>
      <w:r>
        <w:rPr>
          <w:sz w:val="20"/>
          <w:szCs w:val="20"/>
          <w:rtl/>
        </w:rPr>
        <w:t>במונסי</w:t>
      </w:r>
      <w:proofErr w:type="spellEnd"/>
      <w:r>
        <w:rPr>
          <w:sz w:val="20"/>
          <w:szCs w:val="20"/>
          <w:rtl/>
        </w:rPr>
        <w:t>.</w:t>
      </w:r>
    </w:p>
  </w:footnote>
  <w:footnote w:id="4927">
    <w:p w14:paraId="264C1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טו – עמ׳ 45.</w:t>
      </w:r>
    </w:p>
  </w:footnote>
  <w:footnote w:id="4928">
    <w:p w14:paraId="50E87D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מסכת ביצה </w:t>
      </w:r>
      <w:proofErr w:type="spellStart"/>
      <w:r>
        <w:rPr>
          <w:sz w:val="20"/>
          <w:szCs w:val="20"/>
          <w:rtl/>
        </w:rPr>
        <w:t>כא</w:t>
      </w:r>
      <w:proofErr w:type="spellEnd"/>
      <w:r>
        <w:rPr>
          <w:sz w:val="20"/>
          <w:szCs w:val="20"/>
          <w:rtl/>
        </w:rPr>
        <w:t xml:space="preserve"> ע״א ומסכת חולין </w:t>
      </w:r>
      <w:proofErr w:type="spellStart"/>
      <w:r>
        <w:rPr>
          <w:sz w:val="20"/>
          <w:szCs w:val="20"/>
          <w:rtl/>
        </w:rPr>
        <w:t>קכד</w:t>
      </w:r>
      <w:proofErr w:type="spellEnd"/>
      <w:r>
        <w:rPr>
          <w:sz w:val="20"/>
          <w:szCs w:val="20"/>
          <w:rtl/>
        </w:rPr>
        <w:t xml:space="preserve"> ע״ב.</w:t>
      </w:r>
    </w:p>
  </w:footnote>
  <w:footnote w:id="4929">
    <w:p w14:paraId="022C9B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ועיין גם בספר הערוך ערך ערב שיש שם פירוש אחר.</w:t>
      </w:r>
    </w:p>
  </w:footnote>
  <w:footnote w:id="4930">
    <w:p w14:paraId="045EB6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ח, ז.</w:t>
      </w:r>
    </w:p>
  </w:footnote>
  <w:footnote w:id="4931">
    <w:p w14:paraId="4089C3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ח.</w:t>
      </w:r>
    </w:p>
  </w:footnote>
  <w:footnote w:id="4932">
    <w:p w14:paraId="00163E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4933">
    <w:p w14:paraId="7078CC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האחרונה של נספח ב לעיל – עמ׳ 74.</w:t>
      </w:r>
    </w:p>
  </w:footnote>
  <w:footnote w:id="4934">
    <w:p w14:paraId="653B28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הביטוי התלמודי לרעיון זה שונה מעט: ‘מונח בכיסיה’ (ראה מגילה ז ע״ב), כלומר כאילו מונח בכיסו, מוכן לציטוט בכל שעה. גם ‘מונח בקופסא’ הוא ביטוי תלמודי, אבל בהקשר שאינו שייך לשימושו של אותו מחבר: הוא מתאר דבר הנתון בין שתי שכבות חומר, כבקופסה.</w:t>
      </w:r>
    </w:p>
  </w:footnote>
  <w:footnote w:id="4935">
    <w:p w14:paraId="29A038D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שהמחבר הפליג יותר מדי בקביעה זו – אלא אם התכוון שהעילוי </w:t>
      </w:r>
      <w:proofErr w:type="spellStart"/>
      <w:r>
        <w:rPr>
          <w:sz w:val="20"/>
          <w:szCs w:val="20"/>
          <w:rtl/>
        </w:rPr>
        <w:t>מווישקי</w:t>
      </w:r>
      <w:proofErr w:type="spellEnd"/>
      <w:r>
        <w:rPr>
          <w:sz w:val="20"/>
          <w:szCs w:val="20"/>
          <w:rtl/>
        </w:rPr>
        <w:t xml:space="preserve"> מעולם לא ראה את התנ״ך כולו בכרך אחד; אך לא נראה שזו הנקודה שהכותב מבקש להביע.</w:t>
      </w:r>
    </w:p>
  </w:footnote>
  <w:footnote w:id="4936">
    <w:p w14:paraId="02B277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כרך ב (הוצאת תורה ומסורה, ניו יורק</w:t>
      </w:r>
      <w:proofErr w:type="spellStart"/>
      <w:r>
        <w:rPr>
          <w:sz w:val="20"/>
          <w:szCs w:val="20"/>
          <w:rtl/>
        </w:rPr>
        <w:t xml:space="preserve"/>
      </w:r>
      <w:proofErr w:type="spellEnd"/>
      <w:r>
        <w:rPr>
          <w:sz w:val="20"/>
          <w:szCs w:val="20"/>
          <w:rtl/>
        </w:rPr>
        <w:t>), עמ׳ 120–124.</w:t>
      </w:r>
    </w:p>
  </w:footnote>
  <w:footnote w:id="4937">
    <w:p w14:paraId="138C8A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ב־13 במרץ 2001.</w:t>
      </w:r>
    </w:p>
  </w:footnote>
  <w:footnote w:id="4938">
    <w:p w14:paraId="119DC3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לד, ופרק 4, נספח </w:t>
      </w:r>
      <w:proofErr w:type="spellStart"/>
      <w:r>
        <w:rPr>
          <w:sz w:val="20"/>
          <w:szCs w:val="20"/>
          <w:rtl/>
        </w:rPr>
        <w:t>טז</w:t>
      </w:r>
      <w:proofErr w:type="spellEnd"/>
      <w:r>
        <w:rPr>
          <w:sz w:val="20"/>
          <w:szCs w:val="20"/>
          <w:rtl/>
        </w:rPr>
        <w:t xml:space="preserve">. גם הסבא </w:t>
      </w:r>
      <w:proofErr w:type="spellStart"/>
      <w:r>
        <w:rPr>
          <w:sz w:val="20"/>
          <w:szCs w:val="20"/>
          <w:rtl/>
        </w:rPr>
        <w:t>מסלבודקה</w:t>
      </w:r>
      <w:proofErr w:type="spellEnd"/>
      <w:r>
        <w:rPr>
          <w:sz w:val="20"/>
          <w:szCs w:val="20"/>
          <w:rtl/>
        </w:rPr>
        <w:t xml:space="preserve"> כינהו צדיק – ראה עמ׳ </w:t>
      </w:r>
      <w:r>
        <w:rPr>
          <w:sz w:val="20"/>
          <w:szCs w:val="20"/>
          <w:rtl/>
        </w:rPr>
        <w:fldChar w:fldCharType="begin" w:dirty="true"/>
      </w:r>
      <w:r>
        <w:rPr>
          <w:sz w:val="20"/>
          <w:szCs w:val="20"/>
          <w:rtl/>
        </w:rPr>
        <w:instrText xml:space="preserve"> PAGEREF pr_b_857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4939">
    <w:p w14:paraId="6C587C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נידון עוד בכרך 3. ר׳ שלמה לימד בווילנה כשקיבל את עצת ר׳ </w:t>
      </w:r>
      <w:proofErr w:type="spellStart"/>
      <w:r>
        <w:rPr>
          <w:sz w:val="20"/>
          <w:szCs w:val="20"/>
          <w:rtl/>
        </w:rPr>
        <w:t>חיים־עוזר</w:t>
      </w:r>
      <w:proofErr w:type="spellEnd"/>
      <w:r>
        <w:rPr>
          <w:sz w:val="20"/>
          <w:szCs w:val="20"/>
          <w:rtl/>
        </w:rPr>
        <w:t xml:space="preserve"> – ראה פרק 4, נספח </w:t>
      </w:r>
      <w:proofErr w:type="spellStart"/>
      <w:r>
        <w:rPr>
          <w:sz w:val="20"/>
          <w:szCs w:val="20"/>
          <w:rtl/>
        </w:rPr>
        <w:t>טז</w:t>
      </w:r>
      <w:proofErr w:type="spellEnd"/>
      <w:r>
        <w:rPr>
          <w:sz w:val="20"/>
          <w:szCs w:val="20"/>
          <w:rtl/>
        </w:rPr>
        <w:t>.</w:t>
      </w:r>
    </w:p>
  </w:footnote>
  <w:footnote w:id="4940">
    <w:p w14:paraId="19ABB1A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נספחים לד ולא.</w:t>
      </w:r>
    </w:p>
  </w:footnote>
  <w:footnote w:id="4941">
    <w:p w14:paraId="6ACA43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אגודת אנשי מעמד הייתה בית אבות בלואר </w:t>
      </w:r>
      <w:proofErr w:type="spellStart"/>
      <w:r>
        <w:rPr>
          <w:sz w:val="20"/>
          <w:szCs w:val="20"/>
          <w:rtl/>
        </w:rPr>
        <w:t>איסט</w:t>
      </w:r>
      <w:proofErr w:type="spellEnd"/>
      <w:r>
        <w:rPr>
          <w:sz w:val="20"/>
          <w:szCs w:val="20"/>
          <w:rtl/>
        </w:rPr>
        <w:t xml:space="preserve"> סייד, שבו התגוררו תלמידי חכמים, וביניהם העילוי </w:t>
      </w:r>
      <w:proofErr w:type="spellStart"/>
      <w:r>
        <w:rPr>
          <w:sz w:val="20"/>
          <w:szCs w:val="20"/>
          <w:rtl/>
        </w:rPr>
        <w:t>מווישקי</w:t>
      </w:r>
      <w:proofErr w:type="spellEnd"/>
      <w:r>
        <w:rPr>
          <w:sz w:val="20"/>
          <w:szCs w:val="20"/>
          <w:rtl/>
        </w:rPr>
        <w:t>.</w:t>
      </w:r>
    </w:p>
  </w:footnote>
  <w:footnote w:id="4942">
    <w:p w14:paraId="6C8F79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ב־4 בדצמבר 1979.</w:t>
      </w:r>
    </w:p>
  </w:footnote>
  <w:footnote w:id="4943">
    <w:p w14:paraId="573AE3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121.</w:t>
      </w:r>
    </w:p>
  </w:footnote>
  <w:footnote w:id="4944">
    <w:p w14:paraId="092E9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ב־7 בדצמבר 1987.</w:t>
      </w:r>
    </w:p>
  </w:footnote>
  <w:footnote w:id="4945">
    <w:p w14:paraId="5B442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בראשית מו, ד.</w:t>
      </w:r>
    </w:p>
  </w:footnote>
  <w:footnote w:id="4946">
    <w:p w14:paraId="60670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19 לעיל.</w:t>
      </w:r>
    </w:p>
  </w:footnote>
  <w:footnote w:id="4947">
    <w:p w14:paraId="6B6B07E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הביטוי מבוסס על סוטה </w:t>
      </w:r>
      <w:proofErr w:type="spellStart"/>
      <w:r>
        <w:rPr>
          <w:sz w:val="20"/>
          <w:szCs w:val="20"/>
          <w:rtl/>
        </w:rPr>
        <w:t>מז</w:t>
      </w:r>
      <w:proofErr w:type="spellEnd"/>
      <w:r>
        <w:rPr>
          <w:sz w:val="20"/>
          <w:szCs w:val="20"/>
          <w:rtl/>
        </w:rPr>
        <w:t xml:space="preserve"> ע״א.</w:t>
      </w:r>
    </w:p>
  </w:footnote>
  <w:footnote w:id="4948">
    <w:p w14:paraId="041C04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הערה 86, שהסבא הקל את שובו בהחזרתו </w:t>
      </w:r>
      <w:proofErr w:type="spellStart"/>
      <w:r>
        <w:rPr>
          <w:sz w:val="20"/>
          <w:szCs w:val="20"/>
          <w:rtl/>
        </w:rPr>
        <w:t>לסטאנציע</w:t>
      </w:r>
      <w:proofErr w:type="spellEnd"/>
      <w:r>
        <w:rPr>
          <w:sz w:val="20"/>
          <w:szCs w:val="20"/>
          <w:rtl/>
        </w:rPr>
        <w:t xml:space="preserve"> הישנה שלו.</w:t>
      </w:r>
    </w:p>
  </w:footnote>
  <w:footnote w:id="4949">
    <w:p w14:paraId="41E5E15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הערות 20 ו־39 לעיל.</w:t>
      </w:r>
    </w:p>
  </w:footnote>
  <w:footnote w:id="4950">
    <w:p w14:paraId="2B02B8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נקודה מפליאה זו תידון בפסקה השנייה להלן.</w:t>
      </w:r>
    </w:p>
  </w:footnote>
  <w:footnote w:id="4951">
    <w:p w14:paraId="227DFC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81.</w:t>
      </w:r>
    </w:p>
  </w:footnote>
  <w:footnote w:id="4952">
    <w:p w14:paraId="5657F2A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52 לעיל, והמקורות שאליהם היא מפנה.</w:t>
      </w:r>
    </w:p>
  </w:footnote>
  <w:footnote w:id="4953">
    <w:p w14:paraId="0703E0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ב לעיל.</w:t>
      </w:r>
    </w:p>
  </w:footnote>
  <w:footnote w:id="4954">
    <w:p w14:paraId="3ABA436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דוגמה מסוג זה לרוחב אופקיו בפסקה השלישית של נספח ח להלן.</w:t>
      </w:r>
    </w:p>
  </w:footnote>
  <w:footnote w:id="4955">
    <w:p w14:paraId="16B9ACF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כא</w:t>
      </w:r>
      <w:proofErr w:type="spellEnd"/>
      <w:r>
        <w:rPr>
          <w:sz w:val="20"/>
          <w:szCs w:val="20"/>
          <w:rtl/>
        </w:rPr>
        <w:t xml:space="preserve"> ע״א.</w:t>
      </w:r>
    </w:p>
  </w:footnote>
  <w:footnote w:id="4956">
    <w:p w14:paraId="6C2CC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58–59. ראה פרק 1, הערה 13.</w:t>
      </w:r>
    </w:p>
  </w:footnote>
  <w:footnote w:id="4957">
    <w:p w14:paraId="0CB066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מלכים א ב, א–ב.</w:t>
      </w:r>
    </w:p>
  </w:footnote>
  <w:footnote w:id="4958">
    <w:p w14:paraId="665D64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החיד״א</w:t>
      </w:r>
      <w:proofErr w:type="spellEnd"/>
      <w:r>
        <w:rPr>
          <w:sz w:val="20"/>
          <w:szCs w:val="20"/>
          <w:rtl/>
        </w:rPr>
        <w:t xml:space="preserve"> – ראה פרק 2, הערה 8, והערת השוליים </w:t>
      </w:r>
      <w:r>
        <w:rPr>
          <w:sz w:val="20"/>
          <w:szCs w:val="20"/>
          <w:rtl/>
        </w:rPr>
        <w:fldChar w:fldCharType="begin" w:dirty="true"/>
      </w:r>
      <w:r>
        <w:rPr>
          <w:sz w:val="20"/>
          <w:szCs w:val="20"/>
          <w:rtl/>
        </w:rPr>
        <w:instrText xml:space="preserve"> NOTEREF pr_f_1398 \h </w:instrText>
      </w:r>
      <w:r>
        <w:rPr>
          <w:sz w:val="20"/>
          <w:szCs w:val="20"/>
          <w:rtl/>
        </w:rPr>
      </w:r>
      <w:r>
        <w:rPr>
          <w:sz w:val="20"/>
          <w:szCs w:val="20"/>
          <w:rtl/>
        </w:rPr>
        <w:fldChar w:fldCharType="separate"/>
      </w:r>
      <w:r w:rsidR="007923E9">
        <w:rPr>
          <w:sz w:val="20"/>
          <w:szCs w:val="20"/>
          <w:rtl/>
        </w:rPr>
        <w:t>443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pr_f_1398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 מציע אותו פירוש בספרו על </w:t>
      </w:r>
      <w:proofErr w:type="spellStart"/>
      <w:r>
        <w:rPr>
          <w:sz w:val="20"/>
          <w:szCs w:val="20"/>
          <w:rtl/>
        </w:rPr>
        <w:t>ההפטרות</w:t>
      </w:r>
      <w:proofErr w:type="spellEnd"/>
      <w:r>
        <w:rPr>
          <w:sz w:val="20"/>
          <w:szCs w:val="20"/>
          <w:rtl/>
        </w:rPr>
        <w:t>, “צוואר שלל”, בפרשת ויחי. ראה שם את פירושו לשלוש המילים האחרונות בפסוק, ‘וחזקת והיית לאיש’, הקשור בכך.</w:t>
      </w:r>
    </w:p>
  </w:footnote>
  <w:footnote w:id="4959">
    <w:p w14:paraId="27D56BA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נמנה </w:t>
      </w:r>
      <w:proofErr w:type="spellStart"/>
      <w:r>
        <w:rPr>
          <w:sz w:val="20"/>
          <w:szCs w:val="20"/>
          <w:rtl/>
        </w:rPr>
        <w:t>ב‘רשימת</w:t>
      </w:r>
      <w:proofErr w:type="spellEnd"/>
      <w:r>
        <w:rPr>
          <w:sz w:val="20"/>
          <w:szCs w:val="20"/>
          <w:rtl/>
        </w:rPr>
        <w:t xml:space="preserve"> מגידים ודרשנים’ במינסק </w:t>
      </w:r>
      <w:proofErr w:type="spellStart"/>
      <w:r>
        <w:rPr>
          <w:sz w:val="20"/>
          <w:szCs w:val="20"/>
          <w:rtl/>
        </w:rPr>
        <w:t>ב“מינסק</w:t>
      </w:r>
      <w:proofErr w:type="spellEnd"/>
      <w:r>
        <w:rPr>
          <w:sz w:val="20"/>
          <w:szCs w:val="20"/>
          <w:rtl/>
        </w:rPr>
        <w:t xml:space="preserve"> עיר ואם בישראל” א (שם, פרק 1, נספח א), עמ׳ 102.</w:t>
      </w:r>
    </w:p>
  </w:footnote>
  <w:footnote w:id="4960">
    <w:p w14:paraId="41906A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 ע״ב.</w:t>
      </w:r>
    </w:p>
  </w:footnote>
  <w:footnote w:id="4961">
    <w:p w14:paraId="5C5248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המילה המקראית “</w:t>
      </w:r>
      <w:proofErr w:type="spellStart"/>
      <w:r>
        <w:rPr>
          <w:sz w:val="20"/>
          <w:szCs w:val="20"/>
          <w:rtl/>
        </w:rPr>
        <w:t>כנור</w:t>
      </w:r>
      <w:proofErr w:type="spellEnd"/>
      <w:r>
        <w:rPr>
          <w:sz w:val="20"/>
          <w:szCs w:val="20"/>
          <w:rtl/>
        </w:rPr>
        <w:t xml:space="preserve">” מתורגמת בדרך כלל לאנגלית </w:t>
      </w:r>
      <w:proofErr w:type="spellStart"/>
      <w:r>
        <w:rPr>
          <w:sz w:val="20"/>
          <w:szCs w:val="20"/>
          <w:rtl/>
        </w:rPr>
        <w:t>כ־fiddle</w:t>
      </w:r>
      <w:proofErr w:type="spellEnd"/>
      <w:r>
        <w:rPr>
          <w:sz w:val="20"/>
          <w:szCs w:val="20"/>
          <w:rtl/>
        </w:rPr>
        <w:t xml:space="preserve"> (כינור קשת), אף שהתרגום הנכון הוא כנראה לירה – השווה “המוזיקה בישראל הקדומה”, מאת אלפרד </w:t>
      </w:r>
      <w:proofErr w:type="spellStart"/>
      <w:r>
        <w:rPr>
          <w:sz w:val="20"/>
          <w:szCs w:val="20"/>
          <w:rtl/>
        </w:rPr>
        <w:t>סנדרי</w:t>
      </w:r>
      <w:proofErr w:type="spellEnd"/>
      <w:r>
        <w:rPr>
          <w:sz w:val="20"/>
          <w:szCs w:val="20"/>
          <w:rtl/>
        </w:rPr>
        <w:t xml:space="preserve"> (הוצאת </w:t>
      </w:r>
      <w:proofErr w:type="spellStart"/>
      <w:r>
        <w:rPr>
          <w:sz w:val="20"/>
          <w:szCs w:val="20"/>
          <w:rtl/>
        </w:rPr>
        <w:t>פילוסופיקל</w:t>
      </w:r>
      <w:proofErr w:type="spellEnd"/>
      <w:r>
        <w:rPr>
          <w:sz w:val="20"/>
          <w:szCs w:val="20"/>
          <w:rtl/>
        </w:rPr>
        <w:t xml:space="preserve"> </w:t>
      </w:r>
      <w:proofErr w:type="spellStart"/>
      <w:r>
        <w:rPr>
          <w:sz w:val="20"/>
          <w:szCs w:val="20"/>
          <w:rtl/>
        </w:rPr>
        <w:t>ליבררי</w:t>
      </w:r>
      <w:proofErr w:type="spellEnd"/>
      <w:r>
        <w:rPr>
          <w:sz w:val="20"/>
          <w:szCs w:val="20"/>
          <w:rtl/>
        </w:rPr>
        <w:t>, ניו יורק, 1969), עמ׳ 266–278.</w:t>
      </w:r>
    </w:p>
  </w:footnote>
  <w:footnote w:id="4962">
    <w:p w14:paraId="5BBECE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ברוח ‘עת לעשות לה׳’ (תהלים קיט, </w:t>
      </w:r>
      <w:proofErr w:type="spellStart"/>
      <w:r>
        <w:rPr>
          <w:sz w:val="20"/>
          <w:szCs w:val="20"/>
          <w:rtl/>
        </w:rPr>
        <w:t>קכו</w:t>
      </w:r>
      <w:proofErr w:type="spellEnd"/>
      <w:r>
        <w:rPr>
          <w:sz w:val="20"/>
          <w:szCs w:val="20"/>
          <w:rtl/>
        </w:rPr>
        <w:t>) – ראה פרק 3, תחילת הפסקה השנייה של נספח כה.</w:t>
      </w:r>
    </w:p>
  </w:footnote>
  <w:footnote w:id="4963">
    <w:p w14:paraId="420277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אפשר לשער שרבנו זכר דרשה זו בבהירות רבה כל כך מפני שנגעה בבעיה אישית: הוא נישא מאוחר, בגיל עשרים ושמונה (ראה כרך 2). אבי לא סיפר מתי שמע את המגיד </w:t>
      </w:r>
      <w:proofErr w:type="spellStart"/>
      <w:r>
        <w:rPr>
          <w:sz w:val="20"/>
          <w:szCs w:val="20"/>
          <w:rtl/>
        </w:rPr>
        <w:t>ממוז׳יר</w:t>
      </w:r>
      <w:proofErr w:type="spellEnd"/>
      <w:r>
        <w:rPr>
          <w:sz w:val="20"/>
          <w:szCs w:val="20"/>
          <w:rtl/>
        </w:rPr>
        <w:t xml:space="preserve"> דורש. אם נכונה ההשערה ששמע אותו בזמן שכבר חש שהוא דוחה את נישואיו, ודאי היה הדבר </w:t>
      </w:r>
      <w:proofErr w:type="spellStart"/>
      <w:r>
        <w:rPr>
          <w:sz w:val="20"/>
          <w:szCs w:val="20"/>
          <w:rtl/>
        </w:rPr>
        <w:t>בתרע״ד</w:t>
      </w:r>
      <w:proofErr w:type="spellEnd"/>
      <w:r>
        <w:rPr>
          <w:sz w:val="20"/>
          <w:szCs w:val="20"/>
          <w:rtl/>
        </w:rPr>
        <w:t xml:space="preserve"> או </w:t>
      </w:r>
      <w:proofErr w:type="spellStart"/>
      <w:r>
        <w:rPr>
          <w:sz w:val="20"/>
          <w:szCs w:val="20"/>
          <w:rtl/>
        </w:rPr>
        <w:t>בתרע״ה</w:t>
      </w:r>
      <w:proofErr w:type="spellEnd"/>
      <w:r>
        <w:rPr>
          <w:sz w:val="20"/>
          <w:szCs w:val="20"/>
          <w:rtl/>
        </w:rPr>
        <w:t xml:space="preserve">, אחרי שנדדה הישיבה למינסק, כשהיה בן עשרים ושלוש או עשרים וארבע. (לא ייתכן שהיה מאוחר יותר, מפני שאבי היה מחוץ למינסק בשנות המלחמה המאוחרות – ראה כרך 2.) השווה גם הערת השוליים </w:t>
      </w:r>
      <w:r>
        <w:rPr>
          <w:sz w:val="20"/>
          <w:szCs w:val="20"/>
          <w:rtl/>
        </w:rPr>
        <w:fldChar w:fldCharType="begin" w:dirty="true"/>
      </w:r>
      <w:r>
        <w:rPr>
          <w:sz w:val="20"/>
          <w:szCs w:val="20"/>
          <w:rtl/>
        </w:rPr>
        <w:instrText xml:space="preserve"> NOTEREF pr_f_2554 \h </w:instrText>
      </w:r>
      <w:r>
        <w:rPr>
          <w:sz w:val="20"/>
          <w:szCs w:val="20"/>
          <w:rtl/>
        </w:rPr>
      </w:r>
      <w:r>
        <w:rPr>
          <w:sz w:val="20"/>
          <w:szCs w:val="20"/>
          <w:rtl/>
        </w:rPr>
        <w:fldChar w:fldCharType="separate"/>
      </w:r>
      <w:r w:rsidR="007923E9">
        <w:rPr>
          <w:sz w:val="20"/>
          <w:szCs w:val="20"/>
          <w:rtl/>
        </w:rPr>
        <w:t>1600</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pr_f_2554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על השפעת המנהג הכללי על פסיקות הלכתיות – צורה מתונה של ‘הכינור הקטן מנגן מאליו’.</w:t>
      </w:r>
    </w:p>
  </w:footnote>
  <w:footnote w:id="4964">
    <w:p w14:paraId="73BCC5E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יז</w:t>
      </w:r>
      <w:proofErr w:type="spellEnd"/>
      <w:r>
        <w:rPr>
          <w:sz w:val="20"/>
          <w:szCs w:val="20"/>
          <w:rtl/>
        </w:rPr>
        <w:t xml:space="preserve"> ע״א. השווה גם פרק 1, הפסקה הראשונה של נספח ד.</w:t>
      </w:r>
    </w:p>
  </w:footnote>
  <w:footnote w:id="4965">
    <w:p w14:paraId="2C0020D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משנה אבות פ״ד מ״ג.</w:t>
      </w:r>
    </w:p>
  </w:footnote>
  <w:footnote w:id="4966">
    <w:p w14:paraId="1BF93C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פירוש המשנה לפי רש״י ורבנו יונה.</w:t>
      </w:r>
    </w:p>
  </w:footnote>
  <w:footnote w:id="4967">
    <w:p w14:paraId="438F73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“שמושה של תורה” (הפסקה השנייה של נספח ב לעיל), עמ׳ שה </w:t>
      </w:r>
      <w:proofErr w:type="spellStart"/>
      <w:r>
        <w:rPr>
          <w:sz w:val="20"/>
          <w:szCs w:val="20"/>
          <w:rtl/>
        </w:rPr>
        <w:t>ושז</w:t>
      </w:r>
      <w:proofErr w:type="spellEnd"/>
      <w:r>
        <w:rPr>
          <w:sz w:val="20"/>
          <w:szCs w:val="20"/>
          <w:rtl/>
        </w:rPr>
        <w:t xml:space="preserve">, במדורים ‘שיקולי חינוך’ </w:t>
      </w:r>
      <w:proofErr w:type="spellStart"/>
      <w:r>
        <w:rPr>
          <w:sz w:val="20"/>
          <w:szCs w:val="20"/>
          <w:rtl/>
        </w:rPr>
        <w:t>ו‘ההרגל</w:t>
      </w:r>
      <w:proofErr w:type="spellEnd"/>
      <w:r>
        <w:rPr>
          <w:sz w:val="20"/>
          <w:szCs w:val="20"/>
          <w:rtl/>
        </w:rPr>
        <w:t xml:space="preserve"> מרמה את האדם’, בהתאמה, לדוגמאות לגישתו הנבונה של ר׳ יצחק־זאב.</w:t>
      </w:r>
    </w:p>
  </w:footnote>
  <w:footnote w:id="4968">
    <w:p w14:paraId="715253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נולד לאחות </w:t>
      </w:r>
      <w:proofErr w:type="spellStart"/>
      <w:r>
        <w:rPr>
          <w:sz w:val="20"/>
          <w:szCs w:val="20"/>
          <w:rtl/>
        </w:rPr>
        <w:t>אמו</w:t>
      </w:r>
      <w:proofErr w:type="spellEnd"/>
      <w:r>
        <w:rPr>
          <w:sz w:val="20"/>
          <w:szCs w:val="20"/>
          <w:rtl/>
        </w:rPr>
        <w:t xml:space="preserve"> של </w:t>
      </w:r>
      <w:proofErr w:type="spellStart"/>
      <w:r>
        <w:rPr>
          <w:sz w:val="20"/>
          <w:szCs w:val="20"/>
          <w:rtl/>
        </w:rPr>
        <w:t>החזון־איש</w:t>
      </w:r>
      <w:proofErr w:type="spellEnd"/>
      <w:r>
        <w:rPr>
          <w:sz w:val="20"/>
          <w:szCs w:val="20"/>
          <w:rtl/>
        </w:rPr>
        <w:t xml:space="preserve"> </w:t>
      </w:r>
      <w:proofErr w:type="spellStart"/>
      <w:r>
        <w:rPr>
          <w:sz w:val="20"/>
          <w:szCs w:val="20"/>
          <w:rtl/>
        </w:rPr>
        <w:t>בתרנ״ט</w:t>
      </w:r>
      <w:proofErr w:type="spellEnd"/>
      <w:r>
        <w:rPr>
          <w:sz w:val="20"/>
          <w:szCs w:val="20"/>
          <w:rtl/>
        </w:rPr>
        <w:t>.</w:t>
      </w:r>
    </w:p>
  </w:footnote>
  <w:footnote w:id="4969">
    <w:p w14:paraId="7E66BC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כך נהג הסבא, לפי פרק 4, הערה 20.</w:t>
      </w:r>
    </w:p>
  </w:footnote>
  <w:footnote w:id="4970">
    <w:p w14:paraId="4648A52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שסולק מן הישיבה, כמבואר להלן, בסוף הערת השוליים על פרטים ביוגרפיים נוספים.</w:t>
      </w:r>
    </w:p>
  </w:footnote>
  <w:footnote w:id="4971">
    <w:p w14:paraId="6BF565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הערה 103, ופרק 5, סוף הפסקה השנייה של נספח ו.</w:t>
      </w:r>
    </w:p>
  </w:footnote>
  <w:footnote w:id="4972">
    <w:p w14:paraId="4039063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(פרק 3, נספח </w:t>
      </w:r>
      <w:proofErr w:type="spellStart"/>
      <w:r>
        <w:rPr>
          <w:sz w:val="20"/>
          <w:szCs w:val="20"/>
          <w:rtl/>
        </w:rPr>
        <w:t>יט</w:t>
      </w:r>
      <w:proofErr w:type="spellEnd"/>
      <w:r>
        <w:rPr>
          <w:sz w:val="20"/>
          <w:szCs w:val="20"/>
          <w:rtl/>
        </w:rPr>
        <w:t>).</w:t>
      </w:r>
    </w:p>
  </w:footnote>
  <w:footnote w:id="4973">
    <w:p w14:paraId="66AF28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כמה מפרטים אלה מסר ר׳ שפטל </w:t>
      </w:r>
      <w:proofErr w:type="spellStart"/>
      <w:r>
        <w:rPr>
          <w:sz w:val="20"/>
          <w:szCs w:val="20"/>
          <w:rtl/>
        </w:rPr>
        <w:t>נויברגר</w:t>
      </w:r>
      <w:proofErr w:type="spellEnd"/>
      <w:r>
        <w:rPr>
          <w:sz w:val="20"/>
          <w:szCs w:val="20"/>
          <w:rtl/>
        </w:rPr>
        <w:t xml:space="preserve"> (פרק 4, הערה 41), ששמע אותם מדודו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הרב ליברמן בשנתיים. הסבא העביר את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הצעיר מן </w:t>
      </w:r>
      <w:proofErr w:type="spellStart"/>
      <w:r>
        <w:rPr>
          <w:sz w:val="20"/>
          <w:szCs w:val="20"/>
          <w:rtl/>
        </w:rPr>
        <w:t>הסטאנציע</w:t>
      </w:r>
      <w:proofErr w:type="spellEnd"/>
      <w:r>
        <w:rPr>
          <w:sz w:val="20"/>
          <w:szCs w:val="20"/>
          <w:rtl/>
        </w:rPr>
        <w:t xml:space="preserve"> של הרב ליברמן ושיכן אותו בביתו במינסק (עד שימצא לו חדר אחר), שמא יושפע לרעה משותפו המבוגר לחדר.</w:t>
      </w:r>
    </w:p>
    <w:p w14:paraId="68A5C7F3" w14:textId="77777777" w:rsidR="00AB3647" w:rsidRDefault="00000000">
      <w:pPr>
        <w:spacing w:after="0" w:before="0"/>
        <w:jc w:val="both"/>
      </w:pPr>
      <w:r>
        <w:rPr>
          <w:sz w:val="20"/>
          <w:szCs w:val="20"/>
          <w:rtl/>
        </w:rPr>
        <w:t xml:space="preserve">לפי </w:t>
      </w:r>
      <w:proofErr w:type="spellStart"/>
      <w:r>
        <w:rPr>
          <w:sz w:val="20"/>
          <w:szCs w:val="20"/>
          <w:rtl/>
        </w:rPr>
        <w:t>חיה־מרים</w:t>
      </w:r>
      <w:proofErr w:type="spellEnd"/>
      <w:r>
        <w:rPr>
          <w:sz w:val="20"/>
          <w:szCs w:val="20"/>
          <w:rtl/>
        </w:rPr>
        <w:t xml:space="preserve"> </w:t>
      </w:r>
      <w:proofErr w:type="spellStart"/>
      <w:r>
        <w:rPr>
          <w:sz w:val="20"/>
          <w:szCs w:val="20"/>
          <w:rtl/>
        </w:rPr>
        <w:t>שולמן</w:t>
      </w:r>
      <w:proofErr w:type="spellEnd"/>
      <w:r>
        <w:rPr>
          <w:sz w:val="20"/>
          <w:szCs w:val="20"/>
          <w:rtl/>
        </w:rPr>
        <w:t xml:space="preserve">, כשנפרד הרב ליברמן מן הסבא כדי לעבור לישיבת </w:t>
      </w:r>
      <w:proofErr w:type="spellStart"/>
      <w:r>
        <w:rPr>
          <w:sz w:val="20"/>
          <w:szCs w:val="20"/>
          <w:rtl/>
        </w:rPr>
        <w:t>נובהרדוק</w:t>
      </w:r>
      <w:proofErr w:type="spellEnd"/>
      <w:r>
        <w:rPr>
          <w:sz w:val="20"/>
          <w:szCs w:val="20"/>
          <w:rtl/>
        </w:rPr>
        <w:t xml:space="preserve">, אמר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‘ודאי שילך. </w:t>
      </w:r>
      <w:proofErr w:type="spellStart"/>
      <w:r>
        <w:rPr>
          <w:sz w:val="20"/>
          <w:szCs w:val="20"/>
          <w:rtl/>
        </w:rPr>
        <w:t>מסלבודקה</w:t>
      </w:r>
      <w:proofErr w:type="spellEnd"/>
      <w:r>
        <w:rPr>
          <w:sz w:val="20"/>
          <w:szCs w:val="20"/>
          <w:rtl/>
        </w:rPr>
        <w:t xml:space="preserve"> אין יוצאים לתרבות רעה; הולכים קודם למקום אחר’. וכשהלך הרב ליברמן, הוסיף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w:t>
      </w:r>
      <w:proofErr w:type="spellStart"/>
      <w:r>
        <w:rPr>
          <w:sz w:val="20"/>
          <w:szCs w:val="20"/>
          <w:rtl/>
        </w:rPr>
        <w:t>נעביך</w:t>
      </w:r>
      <w:proofErr w:type="spellEnd"/>
      <w:r>
        <w:rPr>
          <w:sz w:val="20"/>
          <w:szCs w:val="20"/>
          <w:rtl/>
        </w:rPr>
        <w:t xml:space="preserve">, הוא רימה את הסבא, שחשב שר׳ שאול בא ללמוד כאן, ובאמת בא “לראות מהי </w:t>
      </w:r>
      <w:proofErr w:type="spellStart"/>
      <w:r>
        <w:rPr>
          <w:sz w:val="20"/>
          <w:szCs w:val="20"/>
          <w:rtl/>
        </w:rPr>
        <w:t>סלבודקה</w:t>
      </w:r>
      <w:proofErr w:type="spellEnd"/>
      <w:r>
        <w:rPr>
          <w:sz w:val="20"/>
          <w:szCs w:val="20"/>
          <w:rtl/>
        </w:rPr>
        <w:t xml:space="preserve">” – בדיוק מטרתו ביציאתו </w:t>
      </w:r>
      <w:proofErr w:type="spellStart"/>
      <w:r>
        <w:rPr>
          <w:sz w:val="20"/>
          <w:szCs w:val="20"/>
          <w:rtl/>
        </w:rPr>
        <w:t>לנובהרדוק</w:t>
      </w:r>
      <w:proofErr w:type="spellEnd"/>
      <w:r>
        <w:rPr>
          <w:sz w:val="20"/>
          <w:szCs w:val="20"/>
          <w:rtl/>
        </w:rPr>
        <w:t xml:space="preserve"> עכשיו’.</w:t>
      </w:r>
    </w:p>
    <w:p w14:paraId="3AF4A18D" w14:textId="77777777" w:rsidR="00AB3647" w:rsidRDefault="00000000">
      <w:pPr>
        <w:spacing w:after="0" w:before="0"/>
        <w:jc w:val="both"/>
      </w:pPr>
      <w:r>
        <w:rPr>
          <w:sz w:val="20"/>
          <w:szCs w:val="20"/>
          <w:rtl/>
        </w:rPr>
        <w:t xml:space="preserve">לפי ר׳ שפטל, מסר ר׳ </w:t>
      </w:r>
      <w:proofErr w:type="spellStart"/>
      <w:r>
        <w:rPr>
          <w:sz w:val="20"/>
          <w:szCs w:val="20"/>
          <w:rtl/>
        </w:rPr>
        <w:t>יעקב־יצחק</w:t>
      </w:r>
      <w:proofErr w:type="spellEnd"/>
      <w:r>
        <w:rPr>
          <w:sz w:val="20"/>
          <w:szCs w:val="20"/>
          <w:rtl/>
        </w:rPr>
        <w:t xml:space="preserve"> </w:t>
      </w:r>
      <w:proofErr w:type="spellStart"/>
      <w:r>
        <w:rPr>
          <w:sz w:val="20"/>
          <w:szCs w:val="20"/>
          <w:rtl/>
        </w:rPr>
        <w:t>רודרמן</w:t>
      </w:r>
      <w:proofErr w:type="spellEnd"/>
      <w:r>
        <w:rPr>
          <w:sz w:val="20"/>
          <w:szCs w:val="20"/>
          <w:rtl/>
        </w:rPr>
        <w:t xml:space="preserve"> בלשון סתומה שר׳ </w:t>
      </w:r>
      <w:proofErr w:type="spellStart"/>
      <w:r>
        <w:rPr>
          <w:sz w:val="20"/>
          <w:szCs w:val="20"/>
          <w:rtl/>
        </w:rPr>
        <w:t>משה־מרדכי</w:t>
      </w:r>
      <w:proofErr w:type="spellEnd"/>
      <w:r>
        <w:rPr>
          <w:sz w:val="20"/>
          <w:szCs w:val="20"/>
          <w:rtl/>
        </w:rPr>
        <w:t xml:space="preserve"> אפשטיין מצא אמתלה לסלק את הרב ליברמן מישיבת </w:t>
      </w:r>
      <w:proofErr w:type="spellStart"/>
      <w:r>
        <w:rPr>
          <w:sz w:val="20"/>
          <w:szCs w:val="20"/>
          <w:rtl/>
        </w:rPr>
        <w:t>סלבודקה</w:t>
      </w:r>
      <w:proofErr w:type="spellEnd"/>
      <w:r>
        <w:rPr>
          <w:sz w:val="20"/>
          <w:szCs w:val="20"/>
          <w:rtl/>
        </w:rPr>
        <w:t xml:space="preserve"> כשהסבא נעדר במקרה – כנראה בשהותו הראשונה של ר׳ שאול בישיבת </w:t>
      </w:r>
      <w:proofErr w:type="spellStart"/>
      <w:r>
        <w:rPr>
          <w:sz w:val="20"/>
          <w:szCs w:val="20"/>
          <w:rtl/>
        </w:rPr>
        <w:t>סלבודקה</w:t>
      </w:r>
      <w:proofErr w:type="spellEnd"/>
      <w:r>
        <w:rPr>
          <w:sz w:val="20"/>
          <w:szCs w:val="20"/>
          <w:rtl/>
        </w:rPr>
        <w:t>, לפני המלחמה והגלות במינסק – ‘מפני שהלך למקום שראש הישיבה אמר לו שלא ללכת אליו’. יש להניח שהמקום הנרמז הוא בית הקולנוע.</w:t>
      </w:r>
    </w:p>
  </w:footnote>
  <w:footnote w:id="4974">
    <w:p w14:paraId="55E663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נספח ד.</w:t>
      </w:r>
    </w:p>
  </w:footnote>
  <w:footnote w:id="4975">
    <w:p w14:paraId="028DD28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ב־27 ביוני 1993.</w:t>
      </w:r>
    </w:p>
  </w:footnote>
  <w:footnote w:id="4976">
    <w:p w14:paraId="15D289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w:t>
      </w:r>
    </w:p>
  </w:footnote>
  <w:footnote w:id="4977">
    <w:p w14:paraId="48E12C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הערה 70.</w:t>
      </w:r>
    </w:p>
  </w:footnote>
  <w:footnote w:id="4978">
    <w:p w14:paraId="0186D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כרך 4.</w:t>
      </w:r>
    </w:p>
  </w:footnote>
  <w:footnote w:id="4979">
    <w:p w14:paraId="2DF6807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מבוסס על כתובות נט ע״ב.</w:t>
      </w:r>
    </w:p>
  </w:footnote>
  <w:footnote w:id="4980">
    <w:p w14:paraId="64AB54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מפי ר׳ דוד ויסקי, שרואיין ב־17 באפריל 2002, כשהכתיבה של ספר זה התקרבה לסיומה.</w:t>
      </w:r>
    </w:p>
  </w:footnote>
  <w:footnote w:id="4981">
    <w:p w14:paraId="1BD122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הערה 8.</w:t>
      </w:r>
    </w:p>
  </w:footnote>
  <w:footnote w:id="4982">
    <w:p w14:paraId="411E05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סוף פרק 1.2.</w:t>
      </w:r>
    </w:p>
  </w:footnote>
  <w:footnote w:id="4983">
    <w:p w14:paraId="3347D255"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כך במכתב. לפי תיאור המשפחה שבפרק הראשון, היה </w:t>
      </w:r>
      <w:proofErr w:type="spellStart"/>
      <w:r>
        <w:rPr>
          <w:sz w:val="20"/>
          <w:szCs w:val="20"/>
          <w:rtl/>
        </w:rPr>
        <w:t>שמואל־הירש</w:t>
      </w:r>
      <w:proofErr w:type="spellEnd"/>
      <w:r>
        <w:rPr>
          <w:sz w:val="20"/>
          <w:szCs w:val="20"/>
          <w:rtl/>
        </w:rPr>
        <w:t xml:space="preserve"> סבו של רבנו, כלומר אבי סבו של המחבר, נמען המכתב.</w:t>
      </w:r>
    </w:p>
  </w:footnote>
  <w:footnote w:id="4984">
    <w:p w14:paraId="37CC4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1.2, שר׳ </w:t>
      </w:r>
      <w:proofErr w:type="spellStart"/>
      <w:r>
        <w:rPr>
          <w:sz w:val="20"/>
          <w:szCs w:val="20"/>
          <w:rtl/>
        </w:rPr>
        <w:t>שמואל־הירש</w:t>
      </w:r>
      <w:proofErr w:type="spellEnd"/>
      <w:r>
        <w:rPr>
          <w:sz w:val="20"/>
          <w:szCs w:val="20"/>
          <w:rtl/>
        </w:rPr>
        <w:t xml:space="preserve"> התייעץ עמו כשחלתה אשתו.</w:t>
      </w:r>
    </w:p>
  </w:footnote>
  <w:footnote w:id="4985">
    <w:p w14:paraId="655CE3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להמשך מכתב זה, המתאר מה אירע לבעלי הפטור כשפרצה מלחמת העולם הראשונה, השווה כרך 2. השווה גם כרך 2, על התייצבות אבי לפני ועדת הגיוס.</w:t>
      </w:r>
    </w:p>
  </w:footnote>
  <w:footnote w:id="4986">
    <w:p w14:paraId="07BE11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102–105.</w:t>
      </w:r>
    </w:p>
  </w:footnote>
  <w:footnote w:id="4987">
    <w:p w14:paraId="21BF65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סוף הפסקה הראשונה של נספח ב לעיל.</w:t>
      </w:r>
    </w:p>
  </w:footnote>
  <w:footnote w:id="4988">
    <w:p w14:paraId="46ACB8B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196.</w:t>
      </w:r>
    </w:p>
  </w:footnote>
  <w:footnote w:id="4989">
    <w:p w14:paraId="6B377C5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הפסקה הראשונה של נספח ב.</w:t>
      </w:r>
    </w:p>
  </w:footnote>
  <w:footnote w:id="4990">
    <w:p w14:paraId="4AAA7F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w:t>
      </w:r>
      <w:proofErr w:type="spellStart"/>
      <w:r>
        <w:rPr>
          <w:sz w:val="20"/>
          <w:szCs w:val="20"/>
          <w:rtl/>
        </w:rPr>
        <w:t>זכרון</w:t>
      </w:r>
      <w:proofErr w:type="spellEnd"/>
      <w:r>
        <w:rPr>
          <w:sz w:val="20"/>
          <w:szCs w:val="20"/>
          <w:rtl/>
        </w:rPr>
        <w:t xml:space="preserve"> יעקב” (הפסקה השנייה של נספח ב לעיל), כרך א, עמ׳ 203–222, וכרך ב, עמ׳ 194–202. השווה גם שם, כרך א, עמ׳ 106–129, על תהפוכות נוהל הממשלה לגיוס יהודים לצבא הרוסי.</w:t>
      </w:r>
    </w:p>
  </w:footnote>
  <w:footnote w:id="4991">
    <w:p w14:paraId="09DD02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הערה 22.</w:t>
      </w:r>
    </w:p>
  </w:footnote>
  <w:footnote w:id="4992">
    <w:p w14:paraId="7EA6F1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1, הערה 13.</w:t>
      </w:r>
    </w:p>
  </w:footnote>
  <w:footnote w:id="4993">
    <w:p w14:paraId="658D47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2, נספח ה.</w:t>
      </w:r>
    </w:p>
  </w:footnote>
  <w:footnote w:id="4994">
    <w:p w14:paraId="78018E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ד״ר יוסף </w:t>
      </w:r>
      <w:proofErr w:type="spellStart"/>
      <w:r>
        <w:rPr>
          <w:sz w:val="20"/>
          <w:szCs w:val="20"/>
          <w:rtl/>
        </w:rPr>
        <w:t>קמינצקי</w:t>
      </w:r>
      <w:proofErr w:type="spellEnd"/>
      <w:r>
        <w:rPr>
          <w:sz w:val="20"/>
          <w:szCs w:val="20"/>
          <w:rtl/>
        </w:rPr>
        <w:t xml:space="preserve"> מביא מעשה זה בשינויים קלים </w:t>
      </w:r>
      <w:proofErr w:type="spellStart"/>
      <w:r>
        <w:rPr>
          <w:sz w:val="20"/>
          <w:szCs w:val="20"/>
          <w:rtl/>
        </w:rPr>
        <w:t>ב“מפגשים</w:t>
      </w:r>
      <w:proofErr w:type="spellEnd"/>
      <w:r>
        <w:rPr>
          <w:sz w:val="20"/>
          <w:szCs w:val="20"/>
          <w:rtl/>
        </w:rPr>
        <w:t xml:space="preserve"> בלתי נשכחים” (הוצאת שער, 1995), עמ׳ 118–119. הספר מגלה את אישיותו החמה במיוחד של ד״ר </w:t>
      </w:r>
      <w:proofErr w:type="spellStart"/>
      <w:r>
        <w:rPr>
          <w:sz w:val="20"/>
          <w:szCs w:val="20"/>
          <w:rtl/>
        </w:rPr>
        <w:t>קמינצקי</w:t>
      </w:r>
      <w:proofErr w:type="spellEnd"/>
      <w:r>
        <w:rPr>
          <w:sz w:val="20"/>
          <w:szCs w:val="20"/>
          <w:rtl/>
        </w:rPr>
        <w:t xml:space="preserve"> ואת קשריו הקרובים עם גדולי דורו. מידות אלה אפשרו לו, בתפקידו כמנהל ארגון תורה ומסורה, לחולל מהפכה בחינוך היהודי באמריקה באמצעות ייסוד בתי ספר יהודיים יומיים ברחבי הארץ, ולתפוס מקום מכובד בתולדות יהדות אמריקה.</w:t>
      </w:r>
    </w:p>
  </w:footnote>
  <w:footnote w:id="4995">
    <w:p w14:paraId="6ECF57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2, הפסקה </w:t>
      </w:r>
      <w:proofErr w:type="spellStart"/>
      <w:r>
        <w:rPr>
          <w:sz w:val="20"/>
          <w:szCs w:val="20"/>
          <w:rtl/>
        </w:rPr>
        <w:t>השתים־עשרה</w:t>
      </w:r>
      <w:proofErr w:type="spellEnd"/>
      <w:r>
        <w:rPr>
          <w:sz w:val="20"/>
          <w:szCs w:val="20"/>
          <w:rtl/>
        </w:rPr>
        <w:t xml:space="preserve"> של נספח א; פרק 3, נספח א; ופרק 4, הערה 102.</w:t>
      </w:r>
    </w:p>
  </w:footnote>
  <w:footnote w:id="4996">
    <w:p w14:paraId="23565F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כמה פרטים קלים השלים ר׳ ישראל </w:t>
      </w:r>
      <w:proofErr w:type="spellStart"/>
      <w:r>
        <w:rPr>
          <w:sz w:val="20"/>
          <w:szCs w:val="20"/>
          <w:rtl/>
        </w:rPr>
        <w:t>שורין</w:t>
      </w:r>
      <w:proofErr w:type="spellEnd"/>
      <w:r>
        <w:rPr>
          <w:sz w:val="20"/>
          <w:szCs w:val="20"/>
          <w:rtl/>
        </w:rPr>
        <w:t>, ששמעם מרבנו, חותנו.</w:t>
      </w:r>
    </w:p>
  </w:footnote>
  <w:footnote w:id="4997">
    <w:p w14:paraId="439D62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בן שמונים ושבע בפטירתו.</w:t>
      </w:r>
    </w:p>
  </w:footnote>
  <w:footnote w:id="4998">
    <w:p w14:paraId="07D673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26 בפרק זה – עמ׳ 198.</w:t>
      </w:r>
    </w:p>
  </w:footnote>
  <w:footnote w:id="4999">
    <w:p w14:paraId="49121A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4, הפסקה השנייה של נספח </w:t>
      </w:r>
      <w:proofErr w:type="spellStart"/>
      <w:r>
        <w:rPr>
          <w:sz w:val="20"/>
          <w:szCs w:val="20"/>
          <w:rtl/>
        </w:rPr>
        <w:t>יב</w:t>
      </w:r>
      <w:proofErr w:type="spellEnd"/>
      <w:r>
        <w:rPr>
          <w:sz w:val="20"/>
          <w:szCs w:val="20"/>
          <w:rtl/>
        </w:rPr>
        <w:t>.</w:t>
      </w:r>
    </w:p>
  </w:footnote>
  <w:footnote w:id="5000">
    <w:p w14:paraId="56831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הערות 95 ו־113, ונספח יד.</w:t>
      </w:r>
    </w:p>
  </w:footnote>
  <w:footnote w:id="5001">
    <w:p w14:paraId="7ED3E6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533.</w:t>
      </w:r>
    </w:p>
  </w:footnote>
  <w:footnote w:id="5002">
    <w:p w14:paraId="223D04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נספח א.</w:t>
      </w:r>
    </w:p>
  </w:footnote>
  <w:footnote w:id="5003">
    <w:p w14:paraId="19E82E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534.</w:t>
      </w:r>
    </w:p>
  </w:footnote>
  <w:footnote w:id="5004">
    <w:p w14:paraId="7B56121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531.</w:t>
      </w:r>
    </w:p>
  </w:footnote>
  <w:footnote w:id="5005">
    <w:p w14:paraId="3000680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הראשונה של נספח </w:t>
      </w:r>
      <w:proofErr w:type="spellStart"/>
      <w:r>
        <w:rPr>
          <w:sz w:val="20"/>
          <w:szCs w:val="20"/>
          <w:rtl/>
        </w:rPr>
        <w:t>יח</w:t>
      </w:r>
      <w:proofErr w:type="spellEnd"/>
      <w:r>
        <w:rPr>
          <w:sz w:val="20"/>
          <w:szCs w:val="20"/>
          <w:rtl/>
        </w:rPr>
        <w:t xml:space="preserve"> והערה 137.</w:t>
      </w:r>
    </w:p>
  </w:footnote>
  <w:footnote w:id="5006">
    <w:p w14:paraId="1AA48C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הפסקה האחרונה של נספח ב לעיל.</w:t>
      </w:r>
    </w:p>
  </w:footnote>
  <w:footnote w:id="5007">
    <w:p w14:paraId="359C78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בפברואר 1995.</w:t>
      </w:r>
    </w:p>
  </w:footnote>
  <w:footnote w:id="5008">
    <w:p w14:paraId="4ED05A6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009">
    <w:p w14:paraId="2A28EB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השנייה של נספח א – כרך א, עמ׳ 252–253.</w:t>
      </w:r>
    </w:p>
  </w:footnote>
  <w:footnote w:id="5010">
    <w:p w14:paraId="7ED7A0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אין זה סביר שמלבד ר׳ פישל בר ינסה גם הדיין (שמלכתחילה לא רצה שהעיר תקבל רב אחר מלבדו) להכשיל את הרב אחרי מינויו – ובאותו נושא. יתרה מזאת, הרמז שהדיין ניסה לתפוס את ר׳ משה בשאלת האתרוגים המורכבים מפני שהתפרנס ממכירתם הוא ביזוי לדייני ליטא: כאילו דיין ינסה למכור ככשרים אתרוגים שהוא יודע שהם פסולים, רק מפני שרבו אינו יודע את המקור ההלכתי לפסילתם. ולבסוף, איש לא טען שאתרוגים מורכבים כשרים; ר׳ משה רק ‘נבחן’ על המקור לפסילתם (שאינה שנויה במחלוקת).</w:t>
      </w:r>
    </w:p>
  </w:footnote>
  <w:footnote w:id="5011">
    <w:p w14:paraId="312972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נמסר </w:t>
      </w:r>
      <w:proofErr w:type="spellStart"/>
      <w:r>
        <w:rPr>
          <w:sz w:val="20"/>
          <w:szCs w:val="20"/>
          <w:rtl/>
        </w:rPr>
        <w:t>במונסי</w:t>
      </w:r>
      <w:proofErr w:type="spellEnd"/>
      <w:r>
        <w:rPr>
          <w:sz w:val="20"/>
          <w:szCs w:val="20"/>
          <w:rtl/>
        </w:rPr>
        <w:t xml:space="preserve"> לקבוצת תלמידי תורה ודעת לשעבר – להלן: קבוצת </w:t>
      </w:r>
      <w:proofErr w:type="spellStart"/>
      <w:r>
        <w:rPr>
          <w:sz w:val="20"/>
          <w:szCs w:val="20"/>
          <w:rtl/>
        </w:rPr>
        <w:t>מונסי</w:t>
      </w:r>
      <w:proofErr w:type="spellEnd"/>
      <w:r>
        <w:rPr>
          <w:sz w:val="20"/>
          <w:szCs w:val="20"/>
          <w:rtl/>
        </w:rPr>
        <w:t xml:space="preserve"> – על תחילת ספר יהושע.</w:t>
      </w:r>
    </w:p>
  </w:footnote>
  <w:footnote w:id="5012">
    <w:p w14:paraId="1E2CF8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13">
    <w:p w14:paraId="3E4DCB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גיליונות אלול תרפ״ח </w:t>
      </w:r>
      <w:proofErr w:type="spellStart"/>
      <w:r>
        <w:rPr>
          <w:sz w:val="20"/>
          <w:szCs w:val="20"/>
          <w:rtl/>
        </w:rPr>
        <w:t>ותר״ץ</w:t>
      </w:r>
      <w:proofErr w:type="spellEnd"/>
      <w:r>
        <w:rPr>
          <w:sz w:val="20"/>
          <w:szCs w:val="20"/>
          <w:rtl/>
        </w:rPr>
        <w:t>.</w:t>
      </w:r>
    </w:p>
  </w:footnote>
  <w:footnote w:id="5014">
    <w:p w14:paraId="49975E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‘הרה״ג׳ בראשי תיבות הוא תואר פחות </w:t>
      </w:r>
      <w:proofErr w:type="spellStart"/>
      <w:r>
        <w:rPr>
          <w:sz w:val="20"/>
          <w:szCs w:val="20"/>
          <w:rtl/>
        </w:rPr>
        <w:t>מ‘הרב</w:t>
      </w:r>
      <w:proofErr w:type="spellEnd"/>
      <w:r>
        <w:rPr>
          <w:sz w:val="20"/>
          <w:szCs w:val="20"/>
          <w:rtl/>
        </w:rPr>
        <w:t xml:space="preserve"> הגאון’, מפני </w:t>
      </w:r>
      <w:proofErr w:type="spellStart"/>
      <w:r>
        <w:rPr>
          <w:sz w:val="20"/>
          <w:szCs w:val="20"/>
          <w:rtl/>
        </w:rPr>
        <w:t>שהרה״ג</w:t>
      </w:r>
      <w:proofErr w:type="spellEnd"/>
      <w:r>
        <w:rPr>
          <w:sz w:val="20"/>
          <w:szCs w:val="20"/>
          <w:rtl/>
        </w:rPr>
        <w:t xml:space="preserve"> עשוי להיקרא הרב הגדול. ראה גם תחילת הפסקה השלישית להלן, המדגימה את הערצתו המופלגת של ר׳ פישל לכישרון.</w:t>
      </w:r>
    </w:p>
  </w:footnote>
  <w:footnote w:id="5015">
    <w:p w14:paraId="4EFF50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תשרי–כסלו תרצ״א.</w:t>
      </w:r>
    </w:p>
  </w:footnote>
  <w:footnote w:id="5016">
    <w:p w14:paraId="33CB47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נספח </w:t>
      </w:r>
      <w:proofErr w:type="spellStart"/>
      <w:r>
        <w:rPr>
          <w:sz w:val="20"/>
          <w:szCs w:val="20"/>
          <w:rtl/>
        </w:rPr>
        <w:t>יז</w:t>
      </w:r>
      <w:proofErr w:type="spellEnd"/>
      <w:r>
        <w:rPr>
          <w:sz w:val="20"/>
          <w:szCs w:val="20"/>
          <w:rtl/>
        </w:rPr>
        <w:t>.</w:t>
      </w:r>
    </w:p>
  </w:footnote>
  <w:footnote w:id="5017">
    <w:p w14:paraId="187745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הראשונה של הערה 117.</w:t>
      </w:r>
    </w:p>
  </w:footnote>
  <w:footnote w:id="5018">
    <w:p w14:paraId="32C512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כך מסר ר׳ מאיר חדש, ששמע על כך כשכבר למד </w:t>
      </w:r>
      <w:proofErr w:type="spellStart"/>
      <w:r>
        <w:rPr>
          <w:sz w:val="20"/>
          <w:szCs w:val="20"/>
          <w:rtl/>
        </w:rPr>
        <w:t>בסלבודקה</w:t>
      </w:r>
      <w:proofErr w:type="spellEnd"/>
      <w:r>
        <w:rPr>
          <w:sz w:val="20"/>
          <w:szCs w:val="20"/>
          <w:rtl/>
        </w:rPr>
        <w:t xml:space="preserve">, אחרי שתלמידי החלוץ חזרו לישיבתם הקודמת, בשעה שר׳ משה התכונן לעזוב את </w:t>
      </w:r>
      <w:proofErr w:type="spellStart"/>
      <w:r>
        <w:rPr>
          <w:sz w:val="20"/>
          <w:szCs w:val="20"/>
          <w:rtl/>
        </w:rPr>
        <w:t>ראסיין</w:t>
      </w:r>
      <w:proofErr w:type="spellEnd"/>
      <w:r>
        <w:rPr>
          <w:sz w:val="20"/>
          <w:szCs w:val="20"/>
          <w:rtl/>
        </w:rPr>
        <w:t xml:space="preserve"> (השווה פרק 3, הערה 68).</w:t>
      </w:r>
    </w:p>
  </w:footnote>
  <w:footnote w:id="5019">
    <w:p w14:paraId="4D68F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ב־15 באוגוסט 1997 – פרק 2, נספח ו.</w:t>
      </w:r>
    </w:p>
  </w:footnote>
  <w:footnote w:id="5020">
    <w:p w14:paraId="4DE301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בדצמבר 1997.</w:t>
      </w:r>
    </w:p>
  </w:footnote>
  <w:footnote w:id="5021">
    <w:p w14:paraId="18B62A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רבנו סיפר מעשה זה בשעה שבא לחלוק כבוד לאלמנת ר׳ </w:t>
      </w:r>
      <w:proofErr w:type="spellStart"/>
      <w:r>
        <w:rPr>
          <w:sz w:val="20"/>
          <w:szCs w:val="20"/>
          <w:rtl/>
        </w:rPr>
        <w:t xml:space="preserve">יושע־בערל</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בביקורו בישראל </w:t>
      </w:r>
      <w:proofErr w:type="spellStart"/>
      <w:r>
        <w:rPr>
          <w:sz w:val="20"/>
          <w:szCs w:val="20"/>
          <w:rtl/>
        </w:rPr>
        <w:t>בתש״ם</w:t>
      </w:r>
      <w:proofErr w:type="spellEnd"/>
      <w:r>
        <w:rPr>
          <w:sz w:val="20"/>
          <w:szCs w:val="20"/>
          <w:rtl/>
        </w:rPr>
        <w:t>. ראה גם פרק 2, הערה 56.</w:t>
      </w:r>
    </w:p>
  </w:footnote>
  <w:footnote w:id="5022">
    <w:p w14:paraId="1F9626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4, הפסקה הראשונה של נספח </w:t>
      </w:r>
      <w:proofErr w:type="spellStart"/>
      <w:r>
        <w:rPr>
          <w:sz w:val="20"/>
          <w:szCs w:val="20"/>
          <w:rtl/>
        </w:rPr>
        <w:t>יג</w:t>
      </w:r>
      <w:proofErr w:type="spellEnd"/>
      <w:r>
        <w:rPr>
          <w:sz w:val="20"/>
          <w:szCs w:val="20"/>
          <w:rtl/>
        </w:rPr>
        <w:t>.</w:t>
      </w:r>
    </w:p>
  </w:footnote>
  <w:footnote w:id="5023">
    <w:p w14:paraId="5E45CB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סמך יותר על בנו הצעיר ר׳ יצחק־זאב מאשר על בנו המבוגר ר׳ משה – במיוחד </w:t>
      </w:r>
      <w:proofErr w:type="spellStart"/>
      <w:r>
        <w:rPr>
          <w:sz w:val="20"/>
          <w:szCs w:val="20"/>
          <w:rtl/>
        </w:rPr>
        <w:t>כשלר</w:t>
      </w:r>
      <w:proofErr w:type="spellEnd"/>
      <w:r>
        <w:rPr>
          <w:sz w:val="20"/>
          <w:szCs w:val="20"/>
          <w:rtl/>
        </w:rPr>
        <w:t xml:space="preserve">׳ משה היה עניין אישי שתלמידיו ימשיכו ללמוד אצל אביו, כדי שלא יתפרק הקיבוץ שלו, כמבואר להלן. השווה גם את תחילת הפסקה השנייה להלן, המוכיחה שר׳ חיים ראה את ר׳ יצחק־זאב כנעלה מאחיו.</w:t>
      </w:r>
    </w:p>
  </w:footnote>
  <w:footnote w:id="5024">
    <w:p w14:paraId="369BCE9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גיטין </w:t>
      </w:r>
      <w:proofErr w:type="spellStart"/>
      <w:r>
        <w:rPr>
          <w:sz w:val="20"/>
          <w:szCs w:val="20"/>
          <w:rtl/>
        </w:rPr>
        <w:t>נה</w:t>
      </w:r>
      <w:proofErr w:type="spellEnd"/>
      <w:r>
        <w:rPr>
          <w:sz w:val="20"/>
          <w:szCs w:val="20"/>
          <w:rtl/>
        </w:rPr>
        <w:t xml:space="preserve"> ע״א </w:t>
      </w:r>
      <w:proofErr w:type="spellStart"/>
      <w:r>
        <w:rPr>
          <w:sz w:val="20"/>
          <w:szCs w:val="20"/>
          <w:rtl/>
        </w:rPr>
        <w:t>ונז</w:t>
      </w:r>
      <w:proofErr w:type="spellEnd"/>
      <w:r>
        <w:rPr>
          <w:sz w:val="20"/>
          <w:szCs w:val="20"/>
          <w:rtl/>
        </w:rPr>
        <w:t xml:space="preserve"> ע״ב: ‘</w:t>
      </w:r>
      <w:proofErr w:type="spellStart"/>
      <w:r>
        <w:rPr>
          <w:sz w:val="20"/>
          <w:szCs w:val="20"/>
          <w:rtl/>
        </w:rPr>
        <w:t>אתרנגולא</w:t>
      </w:r>
      <w:proofErr w:type="spellEnd"/>
      <w:r>
        <w:rPr>
          <w:sz w:val="20"/>
          <w:szCs w:val="20"/>
          <w:rtl/>
        </w:rPr>
        <w:t xml:space="preserve"> </w:t>
      </w:r>
      <w:proofErr w:type="spellStart"/>
      <w:r>
        <w:rPr>
          <w:sz w:val="20"/>
          <w:szCs w:val="20"/>
          <w:rtl/>
        </w:rPr>
        <w:t>ותרנגולתא</w:t>
      </w:r>
      <w:proofErr w:type="spellEnd"/>
      <w:r>
        <w:rPr>
          <w:sz w:val="20"/>
          <w:szCs w:val="20"/>
          <w:rtl/>
        </w:rPr>
        <w:t xml:space="preserve"> חרוב טור </w:t>
      </w:r>
      <w:proofErr w:type="spellStart"/>
      <w:r>
        <w:rPr>
          <w:sz w:val="20"/>
          <w:szCs w:val="20"/>
          <w:rtl/>
        </w:rPr>
        <w:t>מלכא</w:t>
      </w:r>
      <w:proofErr w:type="spellEnd"/>
      <w:r>
        <w:rPr>
          <w:sz w:val="20"/>
          <w:szCs w:val="20"/>
          <w:rtl/>
        </w:rPr>
        <w:t>’.</w:t>
      </w:r>
    </w:p>
  </w:footnote>
  <w:footnote w:id="5025">
    <w:p w14:paraId="1250D3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הערה 27 לעיל.</w:t>
      </w:r>
    </w:p>
  </w:footnote>
  <w:footnote w:id="5026">
    <w:p w14:paraId="41D40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להלן, בפסקה החמישית, את הציטוט </w:t>
      </w:r>
      <w:proofErr w:type="spellStart"/>
      <w:r>
        <w:rPr>
          <w:sz w:val="20"/>
          <w:szCs w:val="20"/>
          <w:rtl/>
        </w:rPr>
        <w:t>מ“הגדול</w:t>
      </w:r>
      <w:proofErr w:type="spellEnd"/>
      <w:r>
        <w:rPr>
          <w:sz w:val="20"/>
          <w:szCs w:val="20"/>
          <w:rtl/>
        </w:rPr>
        <w:t xml:space="preserve"> ממינסק” (שם, פרק 1, נספח ו), עמ׳ 200, המכנה ‘כפייה’ מצב אחר שבו מתקבל רב ‘שלא ברצון’ הקהילה. הוא מחיל על פעולה כזו את הביטוי ‘כפיית הר כגיגית’ – ביטוי המבוסס על המעשה בשבת פח ע״א, שהקב״ה כפה על בני ישראל לקבל את התורה בכך שהטה את הר סיני מעל ראשיהם כשהוא תלוי על בלימה, ואיים להניח להר ליפול אם יסרבו לקבל את מתנתו.</w:t>
      </w:r>
    </w:p>
  </w:footnote>
  <w:footnote w:id="5027">
    <w:p w14:paraId="7DFDF7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ההקדמה </w:t>
      </w:r>
      <w:proofErr w:type="spellStart"/>
      <w:r>
        <w:rPr>
          <w:sz w:val="20"/>
          <w:szCs w:val="20"/>
          <w:rtl/>
        </w:rPr>
        <w:t>ל“שיעורי</w:t>
      </w:r>
      <w:proofErr w:type="spellEnd"/>
      <w:r>
        <w:rPr>
          <w:sz w:val="20"/>
          <w:szCs w:val="20"/>
          <w:rtl/>
        </w:rPr>
        <w:t xml:space="preserve"> רבנו חיים הלוי” (השווה פרק 4, הפסקה הרביעית של נספח ט).</w:t>
      </w:r>
    </w:p>
  </w:footnote>
  <w:footnote w:id="5028">
    <w:p w14:paraId="12FDFCA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ישעיה ל, כ ועירובין </w:t>
      </w:r>
      <w:proofErr w:type="spellStart"/>
      <w:r>
        <w:rPr>
          <w:sz w:val="20"/>
          <w:szCs w:val="20"/>
          <w:rtl/>
        </w:rPr>
        <w:t>יג</w:t>
      </w:r>
      <w:proofErr w:type="spellEnd"/>
      <w:r>
        <w:rPr>
          <w:sz w:val="20"/>
          <w:szCs w:val="20"/>
          <w:rtl/>
        </w:rPr>
        <w:t xml:space="preserve"> ע״ב.</w:t>
      </w:r>
    </w:p>
  </w:footnote>
  <w:footnote w:id="5029">
    <w:p w14:paraId="34D2B3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ב־22 במרץ 1993.</w:t>
      </w:r>
    </w:p>
  </w:footnote>
  <w:footnote w:id="5030">
    <w:p w14:paraId="12330ED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האמצעית של נספח ד – עמ׳ תקנה. ר׳ חיים </w:t>
      </w:r>
      <w:proofErr w:type="spellStart"/>
      <w:r>
        <w:rPr>
          <w:sz w:val="20"/>
          <w:szCs w:val="20"/>
          <w:rtl/>
        </w:rPr>
        <w:t>סרנא</w:t>
      </w:r>
      <w:proofErr w:type="spellEnd"/>
      <w:r>
        <w:rPr>
          <w:sz w:val="20"/>
          <w:szCs w:val="20"/>
          <w:rtl/>
        </w:rPr>
        <w:t xml:space="preserve"> אינו נוקב בשמות </w:t>
      </w:r>
      <w:proofErr w:type="spellStart"/>
      <w:r>
        <w:rPr>
          <w:sz w:val="20"/>
          <w:szCs w:val="20"/>
          <w:rtl/>
        </w:rPr>
        <w:t>ראסיין</w:t>
      </w:r>
      <w:proofErr w:type="spellEnd"/>
      <w:r>
        <w:rPr>
          <w:sz w:val="20"/>
          <w:szCs w:val="20"/>
          <w:rtl/>
        </w:rPr>
        <w:t xml:space="preserve"> או בני משפחת </w:t>
      </w:r>
      <w:proofErr w:type="spellStart"/>
      <w:r>
        <w:rPr>
          <w:sz w:val="20"/>
          <w:szCs w:val="20"/>
          <w:rtl/>
        </w:rPr>
        <w:t>סולובייצ׳יק</w:t>
      </w:r>
      <w:proofErr w:type="spellEnd"/>
      <w:r>
        <w:rPr>
          <w:sz w:val="20"/>
          <w:szCs w:val="20"/>
          <w:rtl/>
        </w:rPr>
        <w:t>.</w:t>
      </w:r>
    </w:p>
  </w:footnote>
  <w:footnote w:id="5031">
    <w:p w14:paraId="4BCC31B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נתן־צבי</w:t>
      </w:r>
      <w:proofErr w:type="spellEnd"/>
      <w:r>
        <w:rPr>
          <w:sz w:val="20"/>
          <w:szCs w:val="20"/>
          <w:rtl/>
        </w:rPr>
        <w:t xml:space="preserve"> </w:t>
      </w:r>
      <w:proofErr w:type="spellStart"/>
      <w:r>
        <w:rPr>
          <w:sz w:val="20"/>
          <w:szCs w:val="20"/>
          <w:rtl/>
        </w:rPr>
        <w:t>פינקל</w:t>
      </w:r>
      <w:proofErr w:type="spellEnd"/>
      <w:r>
        <w:rPr>
          <w:sz w:val="20"/>
          <w:szCs w:val="20"/>
          <w:rtl/>
        </w:rPr>
        <w:t xml:space="preserve"> היה יליד </w:t>
      </w:r>
      <w:proofErr w:type="spellStart"/>
      <w:r>
        <w:rPr>
          <w:sz w:val="20"/>
          <w:szCs w:val="20"/>
          <w:rtl/>
        </w:rPr>
        <w:t>ראסיין</w:t>
      </w:r>
      <w:proofErr w:type="spellEnd"/>
      <w:r>
        <w:rPr>
          <w:sz w:val="20"/>
          <w:szCs w:val="20"/>
          <w:rtl/>
        </w:rPr>
        <w:t xml:space="preserve">, וכנראה הכיר את עירו די הצורך לדעת שר׳ משה נזקק לחיזוק שישיבה תעניק לו. ראה גם פרק 3, הפסקה הראשונה של נספח טו, כיצד תיאר ר׳ מאיר </w:t>
      </w:r>
      <w:proofErr w:type="spellStart"/>
      <w:r>
        <w:rPr>
          <w:sz w:val="20"/>
          <w:szCs w:val="20"/>
          <w:rtl/>
        </w:rPr>
        <w:t>פיימר</w:t>
      </w:r>
      <w:proofErr w:type="spellEnd"/>
      <w:r>
        <w:rPr>
          <w:sz w:val="20"/>
          <w:szCs w:val="20"/>
          <w:rtl/>
        </w:rPr>
        <w:t xml:space="preserve"> במאמר </w:t>
      </w:r>
      <w:proofErr w:type="spellStart"/>
      <w:r>
        <w:rPr>
          <w:sz w:val="20"/>
          <w:szCs w:val="20"/>
          <w:rtl/>
        </w:rPr>
        <w:t>ב“המליץ</w:t>
      </w:r>
      <w:proofErr w:type="spellEnd"/>
      <w:r>
        <w:rPr>
          <w:sz w:val="20"/>
          <w:szCs w:val="20"/>
          <w:rtl/>
        </w:rPr>
        <w:t xml:space="preserve">”, תשע שנים קודם לכן, את הכבוד הרב שזכה לו רב עירו, </w:t>
      </w:r>
      <w:proofErr w:type="spellStart"/>
      <w:r>
        <w:rPr>
          <w:sz w:val="20"/>
          <w:szCs w:val="20"/>
          <w:rtl/>
        </w:rPr>
        <w:t>סלוצק</w:t>
      </w:r>
      <w:proofErr w:type="spellEnd"/>
      <w:r>
        <w:rPr>
          <w:sz w:val="20"/>
          <w:szCs w:val="20"/>
          <w:rtl/>
        </w:rPr>
        <w:t>, בזכות נוכחות הבחורים ששלח לשם הסבא.</w:t>
      </w:r>
    </w:p>
  </w:footnote>
  <w:footnote w:id="5032">
    <w:p w14:paraId="739CA9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בריאיון זה פחת מספר התלמידים בחמישה מן המספר שמסר אותו מרואיין בזמן מאוחר יותר, כפי שצוטט בעמ׳ </w:t>
      </w:r>
      <w:r>
        <w:rPr>
          <w:sz w:val="20"/>
          <w:szCs w:val="20"/>
          <w:rtl/>
        </w:rPr>
        <w:fldChar w:fldCharType="begin" w:dirty="true"/>
      </w:r>
      <w:r>
        <w:rPr>
          <w:sz w:val="20"/>
          <w:szCs w:val="20"/>
          <w:rtl/>
        </w:rPr>
        <w:instrText xml:space="preserve"> PAGEREF pr_b_2733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3">
    <w:p w14:paraId="5C215F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379–380. הוא מובא שם </w:t>
      </w:r>
      <w:proofErr w:type="spellStart"/>
      <w:r>
        <w:rPr>
          <w:sz w:val="20"/>
          <w:szCs w:val="20"/>
          <w:rtl/>
        </w:rPr>
        <w:t>מ“שערי</w:t>
      </w:r>
      <w:proofErr w:type="spellEnd"/>
      <w:r>
        <w:rPr>
          <w:sz w:val="20"/>
          <w:szCs w:val="20"/>
          <w:rtl/>
        </w:rPr>
        <w:t xml:space="preserve"> ציון”, המקור שאני מצטט בהערת שוליים </w:t>
      </w:r>
      <w:r>
        <w:rPr>
          <w:sz w:val="20"/>
          <w:szCs w:val="20"/>
          <w:rtl/>
        </w:rPr>
        <w:fldChar w:fldCharType="begin" w:dirty="true"/>
      </w:r>
      <w:r>
        <w:rPr>
          <w:sz w:val="20"/>
          <w:szCs w:val="20"/>
          <w:rtl/>
        </w:rPr>
        <w:instrText xml:space="preserve"> NOTEREF pr_f_1219 \h </w:instrText>
      </w:r>
      <w:r>
        <w:rPr>
          <w:sz w:val="20"/>
          <w:szCs w:val="20"/>
          <w:rtl/>
        </w:rPr>
      </w:r>
      <w:r>
        <w:rPr>
          <w:sz w:val="20"/>
          <w:szCs w:val="20"/>
          <w:rtl/>
        </w:rPr>
        <w:fldChar w:fldCharType="separate"/>
      </w:r>
      <w:r w:rsidR="007923E9">
        <w:rPr>
          <w:sz w:val="20"/>
          <w:szCs w:val="20"/>
          <w:rtl/>
        </w:rPr>
        <w:t>261</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pr_f_1219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034">
    <w:p w14:paraId="074C99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306.</w:t>
      </w:r>
    </w:p>
  </w:footnote>
  <w:footnote w:id="5035">
    <w:p w14:paraId="209AB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האחרונה של נספח ה.</w:t>
      </w:r>
    </w:p>
  </w:footnote>
  <w:footnote w:id="5036">
    <w:p w14:paraId="69C343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כוונתו לישיבת </w:t>
      </w:r>
      <w:proofErr w:type="spellStart"/>
      <w:r>
        <w:rPr>
          <w:sz w:val="20"/>
          <w:szCs w:val="20"/>
          <w:rtl/>
        </w:rPr>
        <w:t>סלבודקה</w:t>
      </w:r>
      <w:proofErr w:type="spellEnd"/>
      <w:r>
        <w:rPr>
          <w:sz w:val="20"/>
          <w:szCs w:val="20"/>
          <w:rtl/>
        </w:rPr>
        <w:t xml:space="preserve"> – ראה פרק 3, סוף נספח ה ונספח ו.</w:t>
      </w:r>
    </w:p>
  </w:footnote>
  <w:footnote w:id="5037">
    <w:p w14:paraId="02FC63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מוסבר בפרק 3, נספח ה.</w:t>
      </w:r>
    </w:p>
  </w:footnote>
  <w:footnote w:id="5038">
    <w:p w14:paraId="2783585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לתועלת הקורא הבאתי קטע קצר מתוך איגרת ארוכה, אף שאני חושד שאותו כותב אינו מציג את העובדות באמת רבה יותר מזו </w:t>
      </w:r>
      <w:proofErr w:type="spellStart"/>
      <w:r>
        <w:rPr>
          <w:sz w:val="20"/>
          <w:szCs w:val="20"/>
          <w:rtl/>
        </w:rPr>
        <w:t>שבפולמוסיו</w:t>
      </w:r>
      <w:proofErr w:type="spellEnd"/>
      <w:r>
        <w:rPr>
          <w:sz w:val="20"/>
          <w:szCs w:val="20"/>
          <w:rtl/>
        </w:rPr>
        <w:t>, כמבואר בפרק 3, הפסקה השלישית של נספח ה.</w:t>
      </w:r>
    </w:p>
  </w:footnote>
  <w:footnote w:id="5039">
    <w:p w14:paraId="74DFAA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הערה 21, שהיה מן התלמידים המובהקים של ר׳ ישראל </w:t>
      </w:r>
      <w:proofErr w:type="spellStart"/>
      <w:r>
        <w:rPr>
          <w:sz w:val="20"/>
          <w:szCs w:val="20"/>
          <w:rtl/>
        </w:rPr>
        <w:t>סלנטר</w:t>
      </w:r>
      <w:proofErr w:type="spellEnd"/>
      <w:r>
        <w:rPr>
          <w:sz w:val="20"/>
          <w:szCs w:val="20"/>
          <w:rtl/>
        </w:rPr>
        <w:t>.</w:t>
      </w:r>
    </w:p>
  </w:footnote>
  <w:footnote w:id="5040">
    <w:p w14:paraId="43AABA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נימוק זה מתאים לאמרה של ר׳ נפתלי אמסטרדם שחזר עליה רבנו, והיא מצוטטת בפרק 4, סוף נספח י. ייתכן שמקורה ברבם המשותף, ר׳ ישראל.</w:t>
      </w:r>
    </w:p>
  </w:footnote>
  <w:footnote w:id="5041">
    <w:p w14:paraId="07CD0E2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זה בריאיון של ר׳ חיים </w:t>
      </w:r>
      <w:proofErr w:type="spellStart"/>
      <w:r>
        <w:rPr>
          <w:sz w:val="20"/>
          <w:szCs w:val="20"/>
          <w:rtl/>
        </w:rPr>
        <w:t>סרנא</w:t>
      </w:r>
      <w:proofErr w:type="spellEnd"/>
      <w:r>
        <w:rPr>
          <w:sz w:val="20"/>
          <w:szCs w:val="20"/>
          <w:rtl/>
        </w:rPr>
        <w:t xml:space="preserve"> מובא גם בכץ, שם, בשם ר׳ חיים עצמו.</w:t>
      </w:r>
    </w:p>
  </w:footnote>
  <w:footnote w:id="5042">
    <w:p w14:paraId="60A4090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ביצה </w:t>
      </w:r>
      <w:proofErr w:type="spellStart"/>
      <w:r>
        <w:rPr>
          <w:sz w:val="20"/>
          <w:szCs w:val="20"/>
          <w:rtl/>
        </w:rPr>
        <w:t>טז</w:t>
      </w:r>
      <w:proofErr w:type="spellEnd"/>
      <w:r>
        <w:rPr>
          <w:sz w:val="20"/>
          <w:szCs w:val="20"/>
          <w:rtl/>
        </w:rPr>
        <w:t xml:space="preserve"> ע״א ובבא קמא פא ע״ב (“תולדות תנאים ואמוראים” [הובא בעמ׳ </w:t>
      </w:r>
      <w:r>
        <w:rPr>
          <w:sz w:val="20"/>
          <w:szCs w:val="20"/>
          <w:rtl/>
        </w:rPr>
        <w:fldChar w:fldCharType="begin" w:dirty="true"/>
      </w:r>
      <w:r>
        <w:rPr>
          <w:sz w:val="20"/>
          <w:szCs w:val="20"/>
          <w:rtl/>
        </w:rPr>
        <w:instrText xml:space="preserve"> PAGEREF pr_f_880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pr_f_880 \h </w:instrText>
      </w:r>
      <w:r>
        <w:rPr>
          <w:sz w:val="20"/>
          <w:szCs w:val="20"/>
          <w:rtl/>
        </w:rPr>
      </w:r>
      <w:r>
        <w:rPr>
          <w:sz w:val="20"/>
          <w:szCs w:val="20"/>
          <w:rtl/>
        </w:rPr>
        <w:fldChar w:fldCharType="separate"/>
      </w:r>
      <w:r w:rsidR="007923E9">
        <w:rPr>
          <w:sz w:val="20"/>
          <w:szCs w:val="20"/>
          <w:rtl/>
        </w:rPr>
        <w:t>511</w:t>
      </w:r>
      <w:r>
        <w:rPr>
          <w:sz w:val="20"/>
          <w:szCs w:val="20"/>
          <w:rtl/>
        </w:rPr>
        <w:fldChar w:fldCharType="end"/>
      </w:r>
      <w:r>
        <w:rPr>
          <w:sz w:val="20"/>
          <w:szCs w:val="20"/>
          <w:rtl/>
        </w:rPr>
        <w:t xml:space="preserve">], עמ׳ </w:t>
      </w:r>
      <w:proofErr w:type="spellStart"/>
      <w:r>
        <w:rPr>
          <w:sz w:val="20"/>
          <w:szCs w:val="20"/>
          <w:rtl/>
        </w:rPr>
        <w:t>תקסו</w:t>
      </w:r>
      <w:proofErr w:type="spellEnd"/>
      <w:r>
        <w:rPr>
          <w:sz w:val="20"/>
          <w:szCs w:val="20"/>
          <w:rtl/>
        </w:rPr>
        <w:t xml:space="preserve">), וירושלמי סוטה פ״ט </w:t>
      </w:r>
      <w:proofErr w:type="spellStart"/>
      <w:r>
        <w:rPr>
          <w:sz w:val="20"/>
          <w:szCs w:val="20"/>
          <w:rtl/>
        </w:rPr>
        <w:t>ה״י</w:t>
      </w:r>
      <w:proofErr w:type="spellEnd"/>
      <w:r>
        <w:rPr>
          <w:sz w:val="20"/>
          <w:szCs w:val="20"/>
          <w:rtl/>
        </w:rPr>
        <w:t>.</w:t>
      </w:r>
    </w:p>
  </w:footnote>
  <w:footnote w:id="5043">
    <w:p w14:paraId="0FFAB00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44">
    <w:p w14:paraId="1F40B52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בעמ׳ 79, חמש שנים לפני החידוד המועתק בעליל על משולחי </w:t>
      </w:r>
      <w:proofErr w:type="spellStart"/>
      <w:r>
        <w:rPr>
          <w:sz w:val="20"/>
          <w:szCs w:val="20"/>
          <w:rtl/>
        </w:rPr>
        <w:t>סלבודקה</w:t>
      </w:r>
      <w:proofErr w:type="spellEnd"/>
      <w:r>
        <w:rPr>
          <w:sz w:val="20"/>
          <w:szCs w:val="20"/>
          <w:rtl/>
        </w:rPr>
        <w:t xml:space="preserve"> שהוזכר לעיל בקטע ממכתבו של אלתר </w:t>
      </w:r>
      <w:proofErr w:type="spellStart"/>
      <w:r>
        <w:rPr>
          <w:sz w:val="20"/>
          <w:szCs w:val="20"/>
          <w:rtl/>
        </w:rPr>
        <w:t>דרויאנוב</w:t>
      </w:r>
      <w:proofErr w:type="spellEnd"/>
      <w:r>
        <w:rPr>
          <w:sz w:val="20"/>
          <w:szCs w:val="20"/>
          <w:rtl/>
        </w:rPr>
        <w:t xml:space="preserve"> </w:t>
      </w:r>
      <w:proofErr w:type="spellStart"/>
      <w:r>
        <w:rPr>
          <w:sz w:val="20"/>
          <w:szCs w:val="20"/>
          <w:rtl/>
        </w:rPr>
        <w:t>ב“תלפיות</w:t>
      </w:r>
      <w:proofErr w:type="spellEnd"/>
      <w:r>
        <w:rPr>
          <w:sz w:val="20"/>
          <w:szCs w:val="20"/>
          <w:rtl/>
        </w:rPr>
        <w:t>”.</w:t>
      </w:r>
    </w:p>
  </w:footnote>
  <w:footnote w:id="5045">
    <w:p w14:paraId="10721E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“פון </w:t>
      </w:r>
      <w:proofErr w:type="spellStart"/>
      <w:r>
        <w:rPr>
          <w:sz w:val="20"/>
          <w:szCs w:val="20"/>
          <w:rtl/>
        </w:rPr>
        <w:t>וואלאזין</w:t>
      </w:r>
      <w:proofErr w:type="spellEnd"/>
      <w:r>
        <w:rPr>
          <w:sz w:val="20"/>
          <w:szCs w:val="20"/>
          <w:rtl/>
        </w:rPr>
        <w:t xml:space="preserve"> </w:t>
      </w:r>
      <w:proofErr w:type="spellStart"/>
      <w:r>
        <w:rPr>
          <w:sz w:val="20"/>
          <w:szCs w:val="20"/>
          <w:rtl/>
        </w:rPr>
        <w:t>ביז</w:t>
      </w:r>
      <w:proofErr w:type="spellEnd"/>
      <w:r>
        <w:rPr>
          <w:sz w:val="20"/>
          <w:szCs w:val="20"/>
          <w:rtl/>
        </w:rPr>
        <w:t xml:space="preserve"> ירושלים” (הפסקה השישית של נספח ב לעיל), כרך א, עמ׳ 236–237. השווה גם פרק 3, הפסקה השלישית של נספח יד, על ההספד על הרצל </w:t>
      </w:r>
      <w:proofErr w:type="spellStart"/>
      <w:r>
        <w:rPr>
          <w:sz w:val="20"/>
          <w:szCs w:val="20"/>
          <w:rtl/>
        </w:rPr>
        <w:t>בבריסק</w:t>
      </w:r>
      <w:proofErr w:type="spellEnd"/>
      <w:r>
        <w:rPr>
          <w:sz w:val="20"/>
          <w:szCs w:val="20"/>
          <w:rtl/>
        </w:rPr>
        <w:t>.</w:t>
      </w:r>
    </w:p>
  </w:footnote>
  <w:footnote w:id="5046">
    <w:p w14:paraId="0513F6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הערה 57 – עמ׳ 418.</w:t>
      </w:r>
    </w:p>
  </w:footnote>
  <w:footnote w:id="5047">
    <w:p w14:paraId="69EE66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אך השווה </w:t>
      </w:r>
      <w:proofErr w:type="spellStart"/>
      <w:r>
        <w:rPr>
          <w:rStyle w:val="a5"/>
          <w:sz w:val="20"/>
          <w:szCs w:val="20"/>
          <w:vertAlign w:val="baseline"/>
          <w:rtl/>
        </w:rPr>
        <w:t>רבינוביץ</w:t>
      </w:r>
      <w:proofErr w:type="spellEnd"/>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pr_f_401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35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pr_f_401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539, הנותן טעם אחר לשליחת התלמידים </w:t>
      </w:r>
      <w:proofErr w:type="spellStart"/>
      <w:r>
        <w:rPr>
          <w:sz w:val="20"/>
          <w:szCs w:val="20"/>
          <w:rtl/>
        </w:rPr>
        <w:t>לר</w:t>
      </w:r>
      <w:proofErr w:type="spellEnd"/>
      <w:r>
        <w:rPr>
          <w:sz w:val="20"/>
          <w:szCs w:val="20"/>
          <w:rtl/>
        </w:rPr>
        <w:t xml:space="preserve">׳ יצחק־זאב.</w:t>
      </w:r>
    </w:p>
  </w:footnote>
  <w:footnote w:id="5048">
    <w:p w14:paraId="79D8E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כא</w:t>
      </w:r>
      <w:proofErr w:type="spellEnd"/>
      <w:r>
        <w:rPr>
          <w:sz w:val="20"/>
          <w:szCs w:val="20"/>
          <w:rtl/>
        </w:rPr>
        <w:t>.</w:t>
      </w:r>
    </w:p>
  </w:footnote>
  <w:footnote w:id="5049">
    <w:p w14:paraId="1118669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533.</w:t>
      </w:r>
    </w:p>
  </w:footnote>
  <w:footnote w:id="5050">
    <w:p w14:paraId="702423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1, הערה 42, שחיברה בתו של ר׳ משה </w:t>
      </w:r>
      <w:proofErr w:type="spellStart"/>
      <w:r>
        <w:rPr>
          <w:sz w:val="20"/>
          <w:szCs w:val="20"/>
          <w:rtl/>
        </w:rPr>
        <w:t>סולובייצ׳יק</w:t>
      </w:r>
      <w:proofErr w:type="spellEnd"/>
      <w:r>
        <w:rPr>
          <w:sz w:val="20"/>
          <w:szCs w:val="20"/>
          <w:rtl/>
        </w:rPr>
        <w:t xml:space="preserve"> – עמ׳ 117–118.</w:t>
      </w:r>
    </w:p>
  </w:footnote>
  <w:footnote w:id="5051">
    <w:p w14:paraId="356315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30 לעיל – עמ׳ 70.</w:t>
      </w:r>
    </w:p>
  </w:footnote>
  <w:footnote w:id="5052">
    <w:p w14:paraId="3544670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מבוסס כנראה על ספרו של </w:t>
      </w:r>
      <w:proofErr w:type="spellStart"/>
      <w:r>
        <w:rPr>
          <w:sz w:val="20"/>
          <w:szCs w:val="20"/>
          <w:rtl/>
        </w:rPr>
        <w:t>דבורץ</w:t>
      </w:r>
      <w:proofErr w:type="spellEnd"/>
      <w:r>
        <w:rPr>
          <w:sz w:val="20"/>
          <w:szCs w:val="20"/>
          <w:rtl/>
        </w:rPr>
        <w:t>, “הגאון רבי משה מרדכי אפשטיין” (הערה 27 לעיל), עמ׳ 70.</w:t>
      </w:r>
    </w:p>
  </w:footnote>
  <w:footnote w:id="5053">
    <w:p w14:paraId="1C31E3D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3, הפסקה השישית של נספח </w:t>
      </w:r>
      <w:proofErr w:type="spellStart"/>
      <w:r>
        <w:rPr>
          <w:sz w:val="20"/>
          <w:szCs w:val="20"/>
          <w:rtl/>
        </w:rPr>
        <w:t>כו</w:t>
      </w:r>
      <w:proofErr w:type="spellEnd"/>
      <w:r>
        <w:rPr>
          <w:sz w:val="20"/>
          <w:szCs w:val="20"/>
          <w:rtl/>
        </w:rPr>
        <w:t>.</w:t>
      </w:r>
    </w:p>
  </w:footnote>
  <w:footnote w:id="5054">
    <w:p w14:paraId="40FF917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1999.</w:t>
      </w:r>
    </w:p>
  </w:footnote>
  <w:footnote w:id="5055">
    <w:p w14:paraId="277B75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ב.</w:t>
      </w:r>
    </w:p>
  </w:footnote>
  <w:footnote w:id="5056">
    <w:p w14:paraId="4646D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כרך 2. הסכמתם לקבל את ר׳ משה מפני שר׳ </w:t>
      </w:r>
      <w:proofErr w:type="spellStart"/>
      <w:r>
        <w:rPr>
          <w:sz w:val="20"/>
          <w:szCs w:val="20"/>
          <w:rtl/>
        </w:rPr>
        <w:t>ברוך־בער</w:t>
      </w:r>
      <w:proofErr w:type="spellEnd"/>
      <w:r>
        <w:rPr>
          <w:sz w:val="20"/>
          <w:szCs w:val="20"/>
          <w:rtl/>
        </w:rPr>
        <w:t xml:space="preserve"> פנה אליהם אישית מוכיחה עד כמה כיבדו תלמידי חכמים. ראה גם פרק 4, הפסקה השנייה של נספח ב, על העדפת ר׳ חיים את ליטא על פני פולין.</w:t>
      </w:r>
    </w:p>
  </w:footnote>
  <w:footnote w:id="5057">
    <w:p w14:paraId="27E2E4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116–117.</w:t>
      </w:r>
    </w:p>
  </w:footnote>
  <w:footnote w:id="5058">
    <w:p w14:paraId="465536D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הפרק השני של “סיפור ישיבה </w:t>
      </w:r>
      <w:proofErr w:type="spellStart"/>
      <w:r>
        <w:rPr>
          <w:sz w:val="20"/>
          <w:szCs w:val="20"/>
          <w:rtl/>
        </w:rPr>
        <w:t>יוניברסיטי</w:t>
      </w:r>
      <w:proofErr w:type="spellEnd"/>
      <w:r>
        <w:rPr>
          <w:sz w:val="20"/>
          <w:szCs w:val="20"/>
          <w:rtl/>
        </w:rPr>
        <w:t xml:space="preserve">” (שם, פרק 3, נספח </w:t>
      </w:r>
      <w:proofErr w:type="spellStart"/>
      <w:r>
        <w:rPr>
          <w:sz w:val="20"/>
          <w:szCs w:val="20"/>
          <w:rtl/>
        </w:rPr>
        <w:t>טז</w:t>
      </w:r>
      <w:proofErr w:type="spellEnd"/>
      <w:r>
        <w:rPr>
          <w:sz w:val="20"/>
          <w:szCs w:val="20"/>
          <w:rtl/>
        </w:rPr>
        <w:t xml:space="preserve">). </w:t>
      </w:r>
      <w:proofErr w:type="spellStart"/>
      <w:r>
        <w:rPr>
          <w:sz w:val="20"/>
          <w:szCs w:val="20"/>
          <w:rtl/>
        </w:rPr>
        <w:t>בתרס״ח</w:t>
      </w:r>
      <w:proofErr w:type="spellEnd"/>
      <w:r>
        <w:rPr>
          <w:sz w:val="20"/>
          <w:szCs w:val="20"/>
          <w:rtl/>
        </w:rPr>
        <w:t xml:space="preserve"> – בערך בזמן שבו ודאי הוצע התפקיד </w:t>
      </w:r>
      <w:proofErr w:type="spellStart"/>
      <w:r>
        <w:rPr>
          <w:sz w:val="20"/>
          <w:szCs w:val="20"/>
          <w:rtl/>
        </w:rPr>
        <w:t>לר</w:t>
      </w:r>
      <w:proofErr w:type="spellEnd"/>
      <w:r>
        <w:rPr>
          <w:sz w:val="20"/>
          <w:szCs w:val="20"/>
          <w:rtl/>
        </w:rPr>
        <w:t xml:space="preserve">׳ משה – היו התלמידים המבוגרים ביותר בישיבת עץ חיים בני </w:t>
      </w:r>
      <w:proofErr w:type="spellStart"/>
      <w:r>
        <w:rPr>
          <w:sz w:val="20"/>
          <w:szCs w:val="20"/>
          <w:rtl/>
        </w:rPr>
        <w:t>ארבע־עשרה</w:t>
      </w:r>
      <w:proofErr w:type="spellEnd"/>
      <w:r>
        <w:rPr>
          <w:sz w:val="20"/>
          <w:szCs w:val="20"/>
          <w:rtl/>
        </w:rPr>
        <w:t xml:space="preserve"> (שם, עמ׳ 31).</w:t>
      </w:r>
    </w:p>
  </w:footnote>
  <w:footnote w:id="5059">
    <w:p w14:paraId="4E2508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117.</w:t>
      </w:r>
    </w:p>
  </w:footnote>
  <w:footnote w:id="5060">
    <w:p w14:paraId="7DCEA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61">
    <w:p w14:paraId="7C3A89C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הספר “לקורות” נדפס </w:t>
      </w:r>
      <w:proofErr w:type="spellStart"/>
      <w:r>
        <w:rPr>
          <w:sz w:val="20"/>
          <w:szCs w:val="20"/>
          <w:rtl/>
        </w:rPr>
        <w:t>בתרע״ג</w:t>
      </w:r>
      <w:proofErr w:type="spellEnd"/>
      <w:r>
        <w:rPr>
          <w:sz w:val="20"/>
          <w:szCs w:val="20"/>
          <w:rtl/>
        </w:rPr>
        <w:t xml:space="preserve">, אבל משפט זה ודאי נכתב שנה קודם לכן: ר׳ אהרן </w:t>
      </w:r>
      <w:proofErr w:type="spellStart"/>
      <w:r>
        <w:rPr>
          <w:sz w:val="20"/>
          <w:szCs w:val="20"/>
          <w:rtl/>
        </w:rPr>
        <w:t>סולובייצ׳יק</w:t>
      </w:r>
      <w:proofErr w:type="spellEnd"/>
      <w:r>
        <w:rPr>
          <w:sz w:val="20"/>
          <w:szCs w:val="20"/>
          <w:rtl/>
        </w:rPr>
        <w:t xml:space="preserve"> מסר, כאמור לעיל, את תרע״ב כשנה שבה עזב אביו את </w:t>
      </w:r>
      <w:proofErr w:type="spellStart"/>
      <w:r>
        <w:rPr>
          <w:sz w:val="20"/>
          <w:szCs w:val="20"/>
          <w:rtl/>
        </w:rPr>
        <w:t>ראסיין</w:t>
      </w:r>
      <w:proofErr w:type="spellEnd"/>
      <w:r>
        <w:rPr>
          <w:sz w:val="20"/>
          <w:szCs w:val="20"/>
          <w:rtl/>
        </w:rPr>
        <w:t>, ואילו כתב המחבר בעת ההדפסה, היה כותב ‘בשנה שעברה’.</w:t>
      </w:r>
    </w:p>
  </w:footnote>
  <w:footnote w:id="5062">
    <w:p w14:paraId="6CC5C7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הערה 51.</w:t>
      </w:r>
    </w:p>
  </w:footnote>
  <w:footnote w:id="5063">
    <w:p w14:paraId="7A7428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 והפסקה השלישית של נספח יד.</w:t>
      </w:r>
    </w:p>
  </w:footnote>
  <w:footnote w:id="5064">
    <w:p w14:paraId="55502F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הערת שוליים </w:t>
      </w:r>
      <w:r>
        <w:rPr>
          <w:rStyle w:val="a5"/>
          <w:sz w:val="20"/>
          <w:szCs w:val="20"/>
          <w:vertAlign w:val="baseline"/>
          <w:rtl/>
        </w:rPr>
        <w:fldChar w:fldCharType="begin" w:dirty="true"/>
      </w:r>
      <w:r>
        <w:rPr>
          <w:rStyle w:val="a5"/>
          <w:sz w:val="20"/>
          <w:szCs w:val="20"/>
          <w:vertAlign w:val="baseline"/>
          <w:rtl/>
        </w:rPr>
        <w:instrText xml:space="preserve"> NOTEREF pr_f_4219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1296</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pr_f_4219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065">
    <w:p w14:paraId="003B28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הערה 9 – כרך 2, עמ׳ 337.</w:t>
      </w:r>
    </w:p>
  </w:footnote>
  <w:footnote w:id="5066">
    <w:p w14:paraId="788E93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יונה ברוורמן, 10 בנובמבר 2001. אביו, ר׳ </w:t>
      </w:r>
      <w:proofErr w:type="spellStart"/>
      <w:r>
        <w:rPr>
          <w:sz w:val="20"/>
          <w:szCs w:val="20"/>
          <w:rtl/>
        </w:rPr>
        <w:t>שמואל־ניסן</w:t>
      </w:r>
      <w:proofErr w:type="spellEnd"/>
      <w:r>
        <w:rPr>
          <w:sz w:val="20"/>
          <w:szCs w:val="20"/>
          <w:rtl/>
        </w:rPr>
        <w:t xml:space="preserve">, למד אצל ר׳ </w:t>
      </w:r>
      <w:proofErr w:type="spellStart"/>
      <w:r>
        <w:rPr>
          <w:sz w:val="20"/>
          <w:szCs w:val="20"/>
          <w:rtl/>
        </w:rPr>
        <w:t>אברהם־אהרן</w:t>
      </w:r>
      <w:proofErr w:type="spellEnd"/>
      <w:r>
        <w:rPr>
          <w:sz w:val="20"/>
          <w:szCs w:val="20"/>
          <w:rtl/>
        </w:rPr>
        <w:t xml:space="preserve"> </w:t>
      </w:r>
      <w:proofErr w:type="spellStart"/>
      <w:r>
        <w:rPr>
          <w:sz w:val="20"/>
          <w:szCs w:val="20"/>
          <w:rtl/>
        </w:rPr>
        <w:t>בורשטין</w:t>
      </w:r>
      <w:proofErr w:type="spellEnd"/>
      <w:r>
        <w:rPr>
          <w:sz w:val="20"/>
          <w:szCs w:val="20"/>
          <w:rtl/>
        </w:rPr>
        <w:t xml:space="preserve"> במרכז הרב </w:t>
      </w:r>
      <w:proofErr w:type="spellStart"/>
      <w:r>
        <w:rPr>
          <w:sz w:val="20"/>
          <w:szCs w:val="20"/>
          <w:rtl/>
        </w:rPr>
        <w:t>בתרפ״ה</w:t>
      </w:r>
      <w:proofErr w:type="spellEnd"/>
      <w:r>
        <w:rPr>
          <w:sz w:val="20"/>
          <w:szCs w:val="20"/>
          <w:rtl/>
        </w:rPr>
        <w:t>.</w:t>
      </w:r>
    </w:p>
  </w:footnote>
  <w:footnote w:id="5067">
    <w:p w14:paraId="10BE0B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כז</w:t>
      </w:r>
      <w:proofErr w:type="spellEnd"/>
      <w:r>
        <w:rPr>
          <w:sz w:val="20"/>
          <w:szCs w:val="20"/>
          <w:rtl/>
        </w:rPr>
        <w:t>.</w:t>
      </w:r>
    </w:p>
  </w:footnote>
  <w:footnote w:id="5068">
    <w:p w14:paraId="65DCEE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תל אביב, ת״ש.</w:t>
      </w:r>
    </w:p>
  </w:footnote>
  <w:footnote w:id="5069">
    <w:p w14:paraId="67B479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27 לעיל, ופרק 3, הפסקה השנייה של הערה 69.</w:t>
      </w:r>
    </w:p>
  </w:footnote>
  <w:footnote w:id="5070">
    <w:p w14:paraId="11ADFC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1, הערה 94 – עמ׳ 7–8, המתוארכות </w:t>
      </w:r>
      <w:proofErr w:type="spellStart"/>
      <w:r>
        <w:rPr>
          <w:sz w:val="20"/>
          <w:szCs w:val="20"/>
          <w:rtl/>
        </w:rPr>
        <w:t>ל‘תחילת</w:t>
      </w:r>
      <w:proofErr w:type="spellEnd"/>
      <w:r>
        <w:rPr>
          <w:sz w:val="20"/>
          <w:szCs w:val="20"/>
          <w:rtl/>
        </w:rPr>
        <w:t xml:space="preserve"> אב תשמ״א׳.</w:t>
      </w:r>
    </w:p>
  </w:footnote>
  <w:footnote w:id="5071">
    <w:p w14:paraId="5ACEF6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336.</w:t>
      </w:r>
    </w:p>
  </w:footnote>
  <w:footnote w:id="5072">
    <w:p w14:paraId="50C285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71.</w:t>
      </w:r>
    </w:p>
  </w:footnote>
  <w:footnote w:id="5073">
    <w:p w14:paraId="517DCB8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תחילת הפסקה השישית בפרק 3.1, והפסקה שלפני האחרונה בנספח יד שם.</w:t>
      </w:r>
    </w:p>
  </w:footnote>
  <w:footnote w:id="5074">
    <w:p w14:paraId="61F4C7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בנובמבר 1998.</w:t>
      </w:r>
    </w:p>
  </w:footnote>
  <w:footnote w:id="5075">
    <w:p w14:paraId="069BA5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78 לעיל.</w:t>
      </w:r>
    </w:p>
  </w:footnote>
  <w:footnote w:id="5076">
    <w:p w14:paraId="1C32F2B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ז.</w:t>
      </w:r>
    </w:p>
  </w:footnote>
  <w:footnote w:id="5077">
    <w:p w14:paraId="699759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בחלק שבו רשומים ר׳ חיים ובניו, עמ׳ 29.</w:t>
      </w:r>
    </w:p>
  </w:footnote>
  <w:footnote w:id="5078">
    <w:p w14:paraId="6E426B3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נספח א – עמ׳ 202.</w:t>
      </w:r>
    </w:p>
  </w:footnote>
  <w:footnote w:id="5079">
    <w:p w14:paraId="051770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w:t>
      </w:r>
    </w:p>
  </w:footnote>
  <w:footnote w:id="5080">
    <w:p w14:paraId="6F3730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ב־20 ביוני 1993.</w:t>
      </w:r>
    </w:p>
  </w:footnote>
  <w:footnote w:id="5081">
    <w:p w14:paraId="334CD3F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פסחים </w:t>
      </w:r>
      <w:proofErr w:type="spellStart"/>
      <w:r>
        <w:rPr>
          <w:sz w:val="20"/>
          <w:szCs w:val="20"/>
          <w:rtl/>
        </w:rPr>
        <w:t>קיח</w:t>
      </w:r>
      <w:proofErr w:type="spellEnd"/>
      <w:r>
        <w:rPr>
          <w:sz w:val="20"/>
          <w:szCs w:val="20"/>
          <w:rtl/>
        </w:rPr>
        <w:t xml:space="preserve"> סוף ע״א וברש״י שם, ובבראשית יא, </w:t>
      </w:r>
      <w:proofErr w:type="spellStart"/>
      <w:r>
        <w:rPr>
          <w:sz w:val="20"/>
          <w:szCs w:val="20"/>
          <w:rtl/>
        </w:rPr>
        <w:t>כח</w:t>
      </w:r>
      <w:proofErr w:type="spellEnd"/>
      <w:r>
        <w:rPr>
          <w:sz w:val="20"/>
          <w:szCs w:val="20"/>
          <w:rtl/>
        </w:rPr>
        <w:t>.</w:t>
      </w:r>
    </w:p>
  </w:footnote>
  <w:footnote w:id="5082">
    <w:p w14:paraId="256CF54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המרואיין ייחס לענווה את כפיפות סבו </w:t>
      </w:r>
      <w:proofErr w:type="spellStart"/>
      <w:r>
        <w:rPr>
          <w:sz w:val="20"/>
          <w:szCs w:val="20"/>
          <w:rtl/>
        </w:rPr>
        <w:t>לר</w:t>
      </w:r>
      <w:proofErr w:type="spellEnd"/>
      <w:r>
        <w:rPr>
          <w:sz w:val="20"/>
          <w:szCs w:val="20"/>
          <w:rtl/>
        </w:rPr>
        <w:t xml:space="preserve">׳ יצחק־זאב.</w:t>
      </w:r>
    </w:p>
  </w:footnote>
  <w:footnote w:id="5083">
    <w:p w14:paraId="6009E4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גיליון ערב ראש השנה תשנ״ה.</w:t>
      </w:r>
    </w:p>
  </w:footnote>
  <w:footnote w:id="5084">
    <w:p w14:paraId="768489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כשהתפלאתי שר׳ שלמה יכול היה לדבר עם הרב </w:t>
      </w:r>
      <w:proofErr w:type="spellStart"/>
      <w:r>
        <w:rPr>
          <w:sz w:val="20"/>
          <w:szCs w:val="20"/>
          <w:rtl/>
        </w:rPr>
        <w:t>מבריסק</w:t>
      </w:r>
      <w:proofErr w:type="spellEnd"/>
      <w:r>
        <w:rPr>
          <w:sz w:val="20"/>
          <w:szCs w:val="20"/>
          <w:rtl/>
        </w:rPr>
        <w:t xml:space="preserve"> בחופשיות כזו, גילה ר׳ שלמה לורנץ שר׳ יצחק־זאב אמר לו פעם: ‘אתה יכול לשאול אותי כל דבר, מפני שאני יודע שאתה שואל את שאלותיך רק כדי להבין את הדברים טוב יותר’.</w:t>
      </w:r>
    </w:p>
  </w:footnote>
  <w:footnote w:id="5085">
    <w:p w14:paraId="558B13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232.</w:t>
      </w:r>
    </w:p>
  </w:footnote>
  <w:footnote w:id="5086">
    <w:p w14:paraId="537492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את האמירה המפתיעה הזאת מסר ר׳ חיים </w:t>
      </w:r>
      <w:proofErr w:type="spellStart"/>
      <w:r>
        <w:rPr>
          <w:sz w:val="20"/>
          <w:szCs w:val="20"/>
          <w:rtl/>
        </w:rPr>
        <w:t>וולקין</w:t>
      </w:r>
      <w:proofErr w:type="spellEnd"/>
      <w:r>
        <w:rPr>
          <w:sz w:val="20"/>
          <w:szCs w:val="20"/>
          <w:rtl/>
        </w:rPr>
        <w:t xml:space="preserve">, שרואיין ב־31 באוגוסט 1994. הוא שמע אותה מר׳ חיים </w:t>
      </w:r>
      <w:proofErr w:type="spellStart"/>
      <w:r>
        <w:rPr>
          <w:sz w:val="20"/>
          <w:szCs w:val="20"/>
          <w:rtl/>
        </w:rPr>
        <w:t>מיליקובסקי</w:t>
      </w:r>
      <w:proofErr w:type="spellEnd"/>
      <w:r>
        <w:rPr>
          <w:sz w:val="20"/>
          <w:szCs w:val="20"/>
          <w:rtl/>
        </w:rPr>
        <w:t xml:space="preserve">, ששמע אותה מסבו של המרואיין, ר׳ אהרן </w:t>
      </w:r>
      <w:proofErr w:type="spellStart"/>
      <w:r>
        <w:rPr>
          <w:sz w:val="20"/>
          <w:szCs w:val="20"/>
          <w:rtl/>
        </w:rPr>
        <w:t>וולקין</w:t>
      </w:r>
      <w:proofErr w:type="spellEnd"/>
      <w:r>
        <w:rPr>
          <w:sz w:val="20"/>
          <w:szCs w:val="20"/>
          <w:rtl/>
        </w:rPr>
        <w:t xml:space="preserve"> הי״ד, שהיה אז רבה של </w:t>
      </w:r>
      <w:proofErr w:type="spellStart"/>
      <w:r>
        <w:rPr>
          <w:sz w:val="20"/>
          <w:szCs w:val="20"/>
          <w:rtl/>
        </w:rPr>
        <w:t>פינסק</w:t>
      </w:r>
      <w:proofErr w:type="spellEnd"/>
      <w:r>
        <w:rPr>
          <w:sz w:val="20"/>
          <w:szCs w:val="20"/>
          <w:rtl/>
        </w:rPr>
        <w:t xml:space="preserve">. ר׳ אהרן שמע אותה מרבו, </w:t>
      </w:r>
      <w:proofErr w:type="spellStart"/>
      <w:r>
        <w:rPr>
          <w:sz w:val="20"/>
          <w:szCs w:val="20"/>
          <w:rtl/>
        </w:rPr>
        <w:t>הנצי״ב</w:t>
      </w:r>
      <w:proofErr w:type="spellEnd"/>
      <w:r>
        <w:rPr>
          <w:sz w:val="20"/>
          <w:szCs w:val="20"/>
          <w:rtl/>
        </w:rPr>
        <w:t xml:space="preserve"> – ראה הערת שוליים </w:t>
      </w:r>
      <w:r>
        <w:rPr>
          <w:sz w:val="20"/>
          <w:szCs w:val="20"/>
          <w:rtl/>
        </w:rPr>
        <w:fldChar w:fldCharType="begin" w:dirty="true"/>
      </w:r>
      <w:r>
        <w:rPr>
          <w:sz w:val="20"/>
          <w:szCs w:val="20"/>
          <w:rtl/>
        </w:rPr>
        <w:instrText xml:space="preserve"> NOTEREF pr_f_4046 \h </w:instrText>
      </w:r>
      <w:r>
        <w:rPr>
          <w:sz w:val="20"/>
          <w:szCs w:val="20"/>
          <w:rtl/>
        </w:rPr>
      </w:r>
      <w:r>
        <w:rPr>
          <w:sz w:val="20"/>
          <w:szCs w:val="20"/>
          <w:rtl/>
        </w:rPr>
        <w:fldChar w:fldCharType="separate"/>
      </w:r>
      <w:r w:rsidR="007923E9">
        <w:rPr>
          <w:sz w:val="20"/>
          <w:szCs w:val="20"/>
          <w:rtl/>
        </w:rPr>
        <w:t>1123</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pr_f_4046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על קרבתו של ר׳ אהרן </w:t>
      </w:r>
      <w:proofErr w:type="spellStart"/>
      <w:r>
        <w:rPr>
          <w:sz w:val="20"/>
          <w:szCs w:val="20"/>
          <w:rtl/>
        </w:rPr>
        <w:t>וולקין</w:t>
      </w:r>
      <w:proofErr w:type="spellEnd"/>
      <w:r>
        <w:rPr>
          <w:sz w:val="20"/>
          <w:szCs w:val="20"/>
          <w:rtl/>
        </w:rPr>
        <w:t xml:space="preserve"> </w:t>
      </w:r>
      <w:proofErr w:type="spellStart"/>
      <w:r>
        <w:rPr>
          <w:sz w:val="20"/>
          <w:szCs w:val="20"/>
          <w:rtl/>
        </w:rPr>
        <w:t>לנצי״ב</w:t>
      </w:r>
      <w:proofErr w:type="spellEnd"/>
      <w:r>
        <w:rPr>
          <w:sz w:val="20"/>
          <w:szCs w:val="20"/>
          <w:rtl/>
        </w:rPr>
        <w:t xml:space="preserve">. המרואיין שמע מי היה הרב שאליו אמר ר׳ יוסף־דב את הדברים, אבל עד שסיפר לי את המעשה שכח את שמו.</w:t>
      </w:r>
    </w:p>
  </w:footnote>
  <w:footnote w:id="5087">
    <w:p w14:paraId="3A32FB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רמד</w:t>
      </w:r>
      <w:proofErr w:type="spellEnd"/>
      <w:r>
        <w:rPr>
          <w:sz w:val="20"/>
          <w:szCs w:val="20"/>
          <w:rtl/>
        </w:rPr>
        <w:t>.</w:t>
      </w:r>
    </w:p>
  </w:footnote>
  <w:footnote w:id="5088">
    <w:p w14:paraId="50E582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“הגדול ממינסק”, עמ׳ 88, המצטט מכתב ששלח ר׳ יוסף־דב לרב פרלמן כדי להמליץ על ר׳ לייזר </w:t>
      </w:r>
      <w:proofErr w:type="spellStart"/>
      <w:r>
        <w:rPr>
          <w:sz w:val="20"/>
          <w:szCs w:val="20"/>
          <w:rtl/>
        </w:rPr>
        <w:t>רבינוביץ</w:t>
      </w:r>
      <w:proofErr w:type="spellEnd"/>
      <w:r>
        <w:rPr>
          <w:sz w:val="20"/>
          <w:szCs w:val="20"/>
          <w:rtl/>
        </w:rPr>
        <w:t xml:space="preserve"> כחתן אפשרי, ובו השתמש השולח באותו ביטוי עצמו: ‘ולא אומר כי יהי [ר׳ לייזר] לגברא רבא, כי זה כבר הוא׳. (אמרה קולעת זו הועתקה בידי ר׳ לייזר גורדון והסבא </w:t>
      </w:r>
      <w:proofErr w:type="spellStart"/>
      <w:r>
        <w:rPr>
          <w:sz w:val="20"/>
          <w:szCs w:val="20"/>
          <w:rtl/>
        </w:rPr>
        <w:t>מסלבודקה</w:t>
      </w:r>
      <w:proofErr w:type="spellEnd"/>
      <w:r>
        <w:rPr>
          <w:sz w:val="20"/>
          <w:szCs w:val="20"/>
          <w:rtl/>
        </w:rPr>
        <w:t xml:space="preserve"> – ראה סוף הפסקה הראשונה של נספח ד לעיל, ופרק 4, סוף הערה 103, בהתאמה.)</w:t>
      </w:r>
    </w:p>
  </w:footnote>
  <w:footnote w:id="5089">
    <w:p w14:paraId="0FD807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לפי “החפץ חיים (ישר)” (הפסקה השנייה של נספח ב לעיל), עמ׳ 23.</w:t>
      </w:r>
    </w:p>
  </w:footnote>
  <w:footnote w:id="5090">
    <w:p w14:paraId="6DAD642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1">
    <w:p w14:paraId="2FE90A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זה, המגדיר עצמו ‘קובץ מאמרים והערות בתנ״ך תלמוד וספרות שאחר התלמוד’, נדפס בדפוס דוד </w:t>
      </w:r>
      <w:proofErr w:type="spellStart"/>
      <w:r>
        <w:rPr>
          <w:sz w:val="20"/>
          <w:szCs w:val="20"/>
          <w:rtl/>
        </w:rPr>
        <w:t>דראלער</w:t>
      </w:r>
      <w:proofErr w:type="spellEnd"/>
      <w:r>
        <w:rPr>
          <w:sz w:val="20"/>
          <w:szCs w:val="20"/>
          <w:rtl/>
        </w:rPr>
        <w:t xml:space="preserve"> (פרנקפורט ע״נ מיין, תרפ״ו). החלק השלישי בספר, שהושלם </w:t>
      </w:r>
      <w:proofErr w:type="spellStart"/>
      <w:r>
        <w:rPr>
          <w:sz w:val="20"/>
          <w:szCs w:val="20"/>
          <w:rtl/>
        </w:rPr>
        <w:t>בראסיין</w:t>
      </w:r>
      <w:proofErr w:type="spellEnd"/>
      <w:r>
        <w:rPr>
          <w:sz w:val="20"/>
          <w:szCs w:val="20"/>
          <w:rtl/>
        </w:rPr>
        <w:t xml:space="preserve"> באב תרפ״ג, כולל ‘הערות ותיקונים על ספר תולדות היהודים רב הכרכים של </w:t>
      </w:r>
      <w:proofErr w:type="spellStart"/>
      <w:r>
        <w:rPr>
          <w:sz w:val="20"/>
          <w:szCs w:val="20"/>
          <w:rtl/>
        </w:rPr>
        <w:t>גרץ</w:t>
      </w:r>
      <w:proofErr w:type="spellEnd"/>
      <w:r>
        <w:rPr>
          <w:sz w:val="20"/>
          <w:szCs w:val="20"/>
          <w:rtl/>
        </w:rPr>
        <w:t xml:space="preserve">, שנרשמו בעת קריאת הספרים עשרים שנה קודם לכן, בחודשי הנופש ביערות </w:t>
      </w:r>
      <w:proofErr w:type="spellStart"/>
      <w:r>
        <w:rPr>
          <w:sz w:val="20"/>
          <w:szCs w:val="20"/>
          <w:rtl/>
        </w:rPr>
        <w:t>ציטוביאן</w:t>
      </w:r>
      <w:proofErr w:type="spellEnd"/>
      <w:r>
        <w:rPr>
          <w:sz w:val="20"/>
          <w:szCs w:val="20"/>
          <w:rtl/>
        </w:rPr>
        <w:t>’.</w:t>
      </w:r>
    </w:p>
  </w:footnote>
  <w:footnote w:id="5092">
    <w:p w14:paraId="1A572A1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w:t>
      </w:r>
      <w:proofErr w:type="spellStart"/>
      <w:r>
        <w:rPr>
          <w:sz w:val="20"/>
          <w:szCs w:val="20"/>
          <w:rtl/>
        </w:rPr>
        <w:t>יב</w:t>
      </w:r>
      <w:proofErr w:type="spellEnd"/>
      <w:r>
        <w:rPr>
          <w:sz w:val="20"/>
          <w:szCs w:val="20"/>
          <w:rtl/>
        </w:rPr>
        <w:t>.</w:t>
      </w:r>
    </w:p>
  </w:footnote>
  <w:footnote w:id="5093">
    <w:p w14:paraId="1CF72F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על ר׳ ישראל.</w:t>
      </w:r>
    </w:p>
  </w:footnote>
  <w:footnote w:id="5094">
    <w:p w14:paraId="51E0EF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הרביעית של פרק 3.1.</w:t>
      </w:r>
    </w:p>
  </w:footnote>
  <w:footnote w:id="5095">
    <w:p w14:paraId="3D56D6F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בקבוצת </w:t>
      </w:r>
      <w:proofErr w:type="spellStart"/>
      <w:r>
        <w:rPr>
          <w:sz w:val="20"/>
          <w:szCs w:val="20"/>
          <w:rtl/>
        </w:rPr>
        <w:t>מונסי</w:t>
      </w:r>
      <w:proofErr w:type="spellEnd"/>
      <w:r>
        <w:rPr>
          <w:sz w:val="20"/>
          <w:szCs w:val="20"/>
          <w:rtl/>
        </w:rPr>
        <w:t>.</w:t>
      </w:r>
    </w:p>
  </w:footnote>
  <w:footnote w:id="5096">
    <w:p w14:paraId="4780F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הערה 12 לעיל – עמ׳ 107–108.</w:t>
      </w:r>
    </w:p>
  </w:footnote>
  <w:footnote w:id="5097">
    <w:p w14:paraId="39861E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שבת נא ע״א.</w:t>
      </w:r>
    </w:p>
  </w:footnote>
  <w:footnote w:id="5098">
    <w:p w14:paraId="69427D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כרך 3, עמ׳ 146.</w:t>
      </w:r>
    </w:p>
  </w:footnote>
  <w:footnote w:id="5099">
    <w:p w14:paraId="36C4175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השישית של נספח א – עמ׳ 353–357.</w:t>
      </w:r>
    </w:p>
  </w:footnote>
  <w:footnote w:id="5100">
    <w:p w14:paraId="1BC13B1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1, נספח ו.</w:t>
      </w:r>
    </w:p>
  </w:footnote>
  <w:footnote w:id="5101">
    <w:p w14:paraId="5F0538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355. מכתב זה מובא בפרק 3, נספח ו.</w:t>
      </w:r>
    </w:p>
  </w:footnote>
  <w:footnote w:id="5102">
    <w:p w14:paraId="66688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2, הפסקה הראשונה של נספח ה – עמ׳ </w:t>
      </w:r>
      <w:proofErr w:type="spellStart"/>
      <w:r>
        <w:rPr>
          <w:sz w:val="20"/>
          <w:szCs w:val="20"/>
          <w:rtl/>
        </w:rPr>
        <w:t>כו</w:t>
      </w:r>
      <w:proofErr w:type="spellEnd"/>
      <w:r>
        <w:rPr>
          <w:sz w:val="20"/>
          <w:szCs w:val="20"/>
          <w:rtl/>
        </w:rPr>
        <w:t>.</w:t>
      </w:r>
    </w:p>
  </w:footnote>
  <w:footnote w:id="5103">
    <w:p w14:paraId="52DDEF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צינוביץ</w:t>
      </w:r>
      <w:proofErr w:type="spellEnd"/>
      <w:r>
        <w:rPr>
          <w:sz w:val="20"/>
          <w:szCs w:val="20"/>
          <w:rtl/>
        </w:rPr>
        <w:t>, “עץ חיים”, עמ׳ 355.</w:t>
      </w:r>
    </w:p>
  </w:footnote>
  <w:footnote w:id="5104">
    <w:p w14:paraId="273BF8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הדבר נידון באריכות בפרק 4, הפסקה הרביעית של נספח ט.</w:t>
      </w:r>
    </w:p>
  </w:footnote>
  <w:footnote w:id="5105">
    <w:p w14:paraId="42A6C51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סוף הפסקה הרביעית של נספח ט.</w:t>
      </w:r>
    </w:p>
  </w:footnote>
  <w:footnote w:id="5106">
    <w:p w14:paraId="12E2CA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ו.</w:t>
      </w:r>
    </w:p>
  </w:footnote>
  <w:footnote w:id="5107">
    <w:p w14:paraId="217433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בספטמבר 1996.</w:t>
      </w:r>
    </w:p>
  </w:footnote>
  <w:footnote w:id="5108">
    <w:p w14:paraId="01E718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בספטמבר 1994.</w:t>
      </w:r>
    </w:p>
  </w:footnote>
  <w:footnote w:id="5109">
    <w:p w14:paraId="199FD5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ב־25 בפברואר 1998.</w:t>
      </w:r>
    </w:p>
  </w:footnote>
  <w:footnote w:id="5110">
    <w:p w14:paraId="23CB7E4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פרק 3, הפסקה השנייה של נספח ח – עמ׳ </w:t>
      </w:r>
      <w:proofErr w:type="spellStart"/>
      <w:r>
        <w:rPr>
          <w:sz w:val="20"/>
          <w:szCs w:val="20"/>
          <w:rtl/>
        </w:rPr>
        <w:t>רעח</w:t>
      </w:r>
      <w:proofErr w:type="spellEnd"/>
      <w:r>
        <w:rPr>
          <w:sz w:val="20"/>
          <w:szCs w:val="20"/>
          <w:rtl/>
        </w:rPr>
        <w:t>–</w:t>
      </w:r>
      <w:proofErr w:type="spellStart"/>
      <w:r>
        <w:rPr>
          <w:sz w:val="20"/>
          <w:szCs w:val="20"/>
          <w:rtl/>
        </w:rPr>
        <w:t>רעט</w:t>
      </w:r>
      <w:proofErr w:type="spellEnd"/>
      <w:r>
        <w:rPr>
          <w:sz w:val="20"/>
          <w:szCs w:val="20"/>
          <w:rtl/>
        </w:rPr>
        <w:t>.</w:t>
      </w:r>
    </w:p>
  </w:footnote>
  <w:footnote w:id="5111">
    <w:p w14:paraId="50B960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השנייה של נספח ב לעיל – עמ׳ </w:t>
      </w:r>
      <w:proofErr w:type="spellStart"/>
      <w:r>
        <w:rPr>
          <w:sz w:val="20"/>
          <w:szCs w:val="20"/>
          <w:rtl/>
        </w:rPr>
        <w:t>סו</w:t>
      </w:r>
      <w:proofErr w:type="spellEnd"/>
      <w:r>
        <w:rPr>
          <w:sz w:val="20"/>
          <w:szCs w:val="20"/>
          <w:rtl/>
        </w:rPr>
        <w:t>–סט.</w:t>
      </w:r>
    </w:p>
  </w:footnote>
  <w:footnote w:id="5112">
    <w:p w14:paraId="72BE03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במרץ 1993.</w:t>
      </w:r>
    </w:p>
  </w:footnote>
  <w:footnote w:id="5113">
    <w:p w14:paraId="7E9BB9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עיירה זו היא </w:t>
      </w:r>
      <w:proofErr w:type="spellStart"/>
      <w:r>
        <w:rPr>
          <w:sz w:val="20"/>
          <w:szCs w:val="20"/>
          <w:rtl/>
        </w:rPr>
        <w:t>בקורלנד</w:t>
      </w:r>
      <w:proofErr w:type="spellEnd"/>
      <w:r>
        <w:rPr>
          <w:sz w:val="20"/>
          <w:szCs w:val="20"/>
          <w:rtl/>
        </w:rPr>
        <w:t xml:space="preserve">; אין זו </w:t>
      </w:r>
      <w:proofErr w:type="spellStart"/>
      <w:r>
        <w:rPr>
          <w:sz w:val="20"/>
          <w:szCs w:val="20"/>
          <w:rtl/>
        </w:rPr>
        <w:t>גרייבה</w:t>
      </w:r>
      <w:proofErr w:type="spellEnd"/>
      <w:r>
        <w:rPr>
          <w:sz w:val="20"/>
          <w:szCs w:val="20"/>
          <w:rtl/>
        </w:rPr>
        <w:t xml:space="preserve"> שליד </w:t>
      </w:r>
      <w:proofErr w:type="spellStart"/>
      <w:r>
        <w:rPr>
          <w:sz w:val="20"/>
          <w:szCs w:val="20"/>
          <w:rtl/>
        </w:rPr>
        <w:t>ביאליסטוק</w:t>
      </w:r>
      <w:proofErr w:type="spellEnd"/>
      <w:r>
        <w:rPr>
          <w:sz w:val="20"/>
          <w:szCs w:val="20"/>
          <w:rtl/>
        </w:rPr>
        <w:t>.</w:t>
      </w:r>
    </w:p>
  </w:footnote>
  <w:footnote w:id="5114">
    <w:p w14:paraId="371AE1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בריאיון ב־25 בפברואר 1998.</w:t>
      </w:r>
    </w:p>
  </w:footnote>
  <w:footnote w:id="5115">
    <w:p w14:paraId="1D3CD3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צה</w:t>
      </w:r>
      <w:proofErr w:type="spellEnd"/>
      <w:r>
        <w:rPr>
          <w:sz w:val="20"/>
          <w:szCs w:val="20"/>
          <w:rtl/>
        </w:rPr>
        <w:t xml:space="preserve"> ע״ב ורש״י שם.</w:t>
      </w:r>
    </w:p>
  </w:footnote>
  <w:footnote w:id="5116">
    <w:p w14:paraId="418D03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סו</w:t>
      </w:r>
      <w:proofErr w:type="spellEnd"/>
      <w:r>
        <w:rPr>
          <w:sz w:val="20"/>
          <w:szCs w:val="20"/>
          <w:rtl/>
        </w:rPr>
        <w:t>.</w:t>
      </w:r>
    </w:p>
  </w:footnote>
  <w:footnote w:id="5117">
    <w:p w14:paraId="59D948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נדפס בהוצאת מורשת, תל אביב, תשל״ט – עמ׳ </w:t>
      </w:r>
      <w:proofErr w:type="spellStart"/>
      <w:r>
        <w:rPr>
          <w:sz w:val="20"/>
          <w:szCs w:val="20"/>
          <w:rtl/>
        </w:rPr>
        <w:t>עא</w:t>
      </w:r>
      <w:proofErr w:type="spellEnd"/>
      <w:r>
        <w:rPr>
          <w:sz w:val="20"/>
          <w:szCs w:val="20"/>
          <w:rtl/>
        </w:rPr>
        <w:t>.</w:t>
      </w:r>
    </w:p>
  </w:footnote>
  <w:footnote w:id="5118">
    <w:p w14:paraId="7FC766C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“שמושה של תורה”, שם, טוען בטעות שר׳ ראובן התכוון </w:t>
      </w:r>
      <w:proofErr w:type="spellStart"/>
      <w:r>
        <w:rPr>
          <w:sz w:val="20"/>
          <w:szCs w:val="20"/>
          <w:rtl/>
        </w:rPr>
        <w:t>לר</w:t>
      </w:r>
      <w:proofErr w:type="spellEnd"/>
      <w:r>
        <w:rPr>
          <w:sz w:val="20"/>
          <w:szCs w:val="20"/>
          <w:rtl/>
        </w:rPr>
        <w:t xml:space="preserve">׳ חיים כשיעץ לבחור (ששמו לא נמסר) שיצא </w:t>
      </w:r>
      <w:proofErr w:type="spellStart"/>
      <w:r>
        <w:rPr>
          <w:sz w:val="20"/>
          <w:szCs w:val="20"/>
          <w:rtl/>
        </w:rPr>
        <w:t>לוולוז׳ין</w:t>
      </w:r>
      <w:proofErr w:type="spellEnd"/>
      <w:r>
        <w:rPr>
          <w:sz w:val="20"/>
          <w:szCs w:val="20"/>
          <w:rtl/>
        </w:rPr>
        <w:t xml:space="preserve"> ללמוד אצל ראש הישיבה ‘שלומד פשט יפה’; הוא התכוון </w:t>
      </w:r>
      <w:proofErr w:type="spellStart"/>
      <w:r>
        <w:rPr>
          <w:sz w:val="20"/>
          <w:szCs w:val="20"/>
          <w:rtl/>
        </w:rPr>
        <w:t>לנצי״ב</w:t>
      </w:r>
      <w:proofErr w:type="spellEnd"/>
      <w:r>
        <w:rPr>
          <w:sz w:val="20"/>
          <w:szCs w:val="20"/>
          <w:rtl/>
        </w:rPr>
        <w:t xml:space="preserve">. השווה גם נספח א לעיל, </w:t>
      </w:r>
      <w:proofErr w:type="spellStart"/>
      <w:r>
        <w:rPr>
          <w:sz w:val="20"/>
          <w:szCs w:val="20"/>
          <w:rtl/>
        </w:rPr>
        <w:t>שלר</w:t>
      </w:r>
      <w:proofErr w:type="spellEnd"/>
      <w:r>
        <w:rPr>
          <w:sz w:val="20"/>
          <w:szCs w:val="20"/>
          <w:rtl/>
        </w:rPr>
        <w:t xml:space="preserve">׳ חיים הייתה ביקורת הדדית על ר׳ </w:t>
      </w:r>
      <w:proofErr w:type="spellStart"/>
      <w:r>
        <w:rPr>
          <w:sz w:val="20"/>
          <w:szCs w:val="20"/>
          <w:rtl/>
        </w:rPr>
        <w:t>אברהם־יצחק</w:t>
      </w:r>
      <w:proofErr w:type="spellEnd"/>
      <w:r>
        <w:rPr>
          <w:sz w:val="20"/>
          <w:szCs w:val="20"/>
          <w:rtl/>
        </w:rPr>
        <w:t xml:space="preserve"> קוק הצעיר.</w:t>
      </w:r>
    </w:p>
    <w:p w14:paraId="1FBDBE86" w14:textId="77777777" w:rsidR="00AB3647" w:rsidRDefault="00000000">
      <w:pPr>
        <w:spacing w:after="0" w:before="0"/>
        <w:jc w:val="both"/>
      </w:pPr>
      <w:r>
        <w:rPr>
          <w:sz w:val="20"/>
          <w:szCs w:val="20"/>
          <w:rtl/>
        </w:rPr>
        <w:t xml:space="preserve">גם </w:t>
      </w:r>
      <w:proofErr w:type="spellStart"/>
      <w:r>
        <w:rPr>
          <w:sz w:val="20"/>
          <w:szCs w:val="20"/>
          <w:rtl/>
        </w:rPr>
        <w:t>הנצי״ב</w:t>
      </w:r>
      <w:proofErr w:type="spellEnd"/>
      <w:r>
        <w:rPr>
          <w:sz w:val="20"/>
          <w:szCs w:val="20"/>
          <w:rtl/>
        </w:rPr>
        <w:t xml:space="preserve"> השיב </w:t>
      </w:r>
      <w:proofErr w:type="spellStart"/>
      <w:r>
        <w:rPr>
          <w:sz w:val="20"/>
          <w:szCs w:val="20"/>
          <w:rtl/>
        </w:rPr>
        <w:t>לר</w:t>
      </w:r>
      <w:proofErr w:type="spellEnd"/>
      <w:r>
        <w:rPr>
          <w:sz w:val="20"/>
          <w:szCs w:val="20"/>
          <w:rtl/>
        </w:rPr>
        <w:t xml:space="preserve">׳ </w:t>
      </w:r>
      <w:proofErr w:type="spellStart"/>
      <w:r>
        <w:rPr>
          <w:sz w:val="20"/>
          <w:szCs w:val="20"/>
          <w:rtl/>
        </w:rPr>
        <w:t>אברהם־יצחק</w:t>
      </w:r>
      <w:proofErr w:type="spellEnd"/>
      <w:r>
        <w:rPr>
          <w:sz w:val="20"/>
          <w:szCs w:val="20"/>
          <w:rtl/>
        </w:rPr>
        <w:t xml:space="preserve"> קוק </w:t>
      </w:r>
      <w:r>
        <w:rPr>
          <w:b/>
          <w:bCs/>
          <w:sz w:val="20"/>
          <w:szCs w:val="20"/>
          <w:rtl/>
        </w:rPr>
        <w:t>הערכה</w:t>
      </w:r>
      <w:r>
        <w:rPr>
          <w:sz w:val="20"/>
          <w:szCs w:val="20"/>
          <w:rtl/>
        </w:rPr>
        <w:t xml:space="preserve">, כפי שמעיד “טל הראיה” של משה צבי נריה (כפר הרואה, תשמ״ה), עמ׳ ס. שם מסופר שר׳ </w:t>
      </w:r>
      <w:proofErr w:type="spellStart"/>
      <w:r>
        <w:rPr>
          <w:sz w:val="20"/>
          <w:szCs w:val="20"/>
          <w:rtl/>
        </w:rPr>
        <w:t>חיים־יעקב</w:t>
      </w:r>
      <w:proofErr w:type="spellEnd"/>
      <w:r>
        <w:rPr>
          <w:sz w:val="20"/>
          <w:szCs w:val="20"/>
          <w:rtl/>
        </w:rPr>
        <w:t xml:space="preserve"> לוין מסר בשם חברו לישיבת </w:t>
      </w:r>
      <w:proofErr w:type="spellStart"/>
      <w:r>
        <w:rPr>
          <w:sz w:val="20"/>
          <w:szCs w:val="20"/>
          <w:rtl/>
        </w:rPr>
        <w:t>קמניץ</w:t>
      </w:r>
      <w:proofErr w:type="spellEnd"/>
      <w:r>
        <w:rPr>
          <w:sz w:val="20"/>
          <w:szCs w:val="20"/>
          <w:rtl/>
        </w:rPr>
        <w:t xml:space="preserve">, ר׳ צבי </w:t>
      </w:r>
      <w:proofErr w:type="spellStart"/>
      <w:r>
        <w:rPr>
          <w:sz w:val="20"/>
          <w:szCs w:val="20"/>
          <w:rtl/>
        </w:rPr>
        <w:t>סרניקר</w:t>
      </w:r>
      <w:proofErr w:type="spellEnd"/>
      <w:r>
        <w:rPr>
          <w:sz w:val="20"/>
          <w:szCs w:val="20"/>
          <w:rtl/>
        </w:rPr>
        <w:t xml:space="preserve">, שאביו, רבה של </w:t>
      </w:r>
      <w:proofErr w:type="spellStart"/>
      <w:r>
        <w:rPr>
          <w:sz w:val="20"/>
          <w:szCs w:val="20"/>
          <w:rtl/>
        </w:rPr>
        <w:t>סרניק</w:t>
      </w:r>
      <w:proofErr w:type="spellEnd"/>
      <w:r>
        <w:rPr>
          <w:sz w:val="20"/>
          <w:szCs w:val="20"/>
          <w:rtl/>
        </w:rPr>
        <w:t xml:space="preserve"> (כנראה ר׳ </w:t>
      </w:r>
      <w:proofErr w:type="spellStart"/>
      <w:r>
        <w:rPr>
          <w:sz w:val="20"/>
          <w:szCs w:val="20"/>
          <w:rtl/>
        </w:rPr>
        <w:t>אברהם־פרץ</w:t>
      </w:r>
      <w:proofErr w:type="spellEnd"/>
      <w:r>
        <w:rPr>
          <w:sz w:val="20"/>
          <w:szCs w:val="20"/>
          <w:rtl/>
        </w:rPr>
        <w:t xml:space="preserve"> </w:t>
      </w:r>
      <w:proofErr w:type="spellStart"/>
      <w:r>
        <w:rPr>
          <w:sz w:val="20"/>
          <w:szCs w:val="20"/>
          <w:rtl/>
        </w:rPr>
        <w:t>ציבולניק</w:t>
      </w:r>
      <w:proofErr w:type="spellEnd"/>
      <w:r>
        <w:rPr>
          <w:sz w:val="20"/>
          <w:szCs w:val="20"/>
          <w:rtl/>
        </w:rPr>
        <w:t xml:space="preserve">), שלמד </w:t>
      </w:r>
      <w:proofErr w:type="spellStart"/>
      <w:r>
        <w:rPr>
          <w:sz w:val="20"/>
          <w:szCs w:val="20"/>
          <w:rtl/>
        </w:rPr>
        <w:t>בוולוז׳ין</w:t>
      </w:r>
      <w:proofErr w:type="spellEnd"/>
      <w:r>
        <w:rPr>
          <w:sz w:val="20"/>
          <w:szCs w:val="20"/>
          <w:rtl/>
        </w:rPr>
        <w:t xml:space="preserve"> באותו זמן כמו ר׳ </w:t>
      </w:r>
      <w:proofErr w:type="spellStart"/>
      <w:r>
        <w:rPr>
          <w:sz w:val="20"/>
          <w:szCs w:val="20"/>
          <w:rtl/>
        </w:rPr>
        <w:t>אברהם־יצחק</w:t>
      </w:r>
      <w:proofErr w:type="spellEnd"/>
      <w:r>
        <w:rPr>
          <w:sz w:val="20"/>
          <w:szCs w:val="20"/>
          <w:rtl/>
        </w:rPr>
        <w:t xml:space="preserve"> קוק, סיפר </w:t>
      </w:r>
      <w:proofErr w:type="spellStart"/>
      <w:r>
        <w:rPr>
          <w:sz w:val="20"/>
          <w:szCs w:val="20"/>
          <w:rtl/>
        </w:rPr>
        <w:t>שהנצי״ב</w:t>
      </w:r>
      <w:proofErr w:type="spellEnd"/>
      <w:r>
        <w:rPr>
          <w:sz w:val="20"/>
          <w:szCs w:val="20"/>
          <w:rtl/>
        </w:rPr>
        <w:t xml:space="preserve"> אמר בשבחו המופלג של ר׳ </w:t>
      </w:r>
      <w:proofErr w:type="spellStart"/>
      <w:r>
        <w:rPr>
          <w:sz w:val="20"/>
          <w:szCs w:val="20"/>
          <w:rtl/>
        </w:rPr>
        <w:t>אברהם־יצחק</w:t>
      </w:r>
      <w:proofErr w:type="spellEnd"/>
      <w:r>
        <w:rPr>
          <w:sz w:val="20"/>
          <w:szCs w:val="20"/>
          <w:rtl/>
        </w:rPr>
        <w:t xml:space="preserve"> קוק: ‘תלמיד כזה עוד לא היה </w:t>
      </w:r>
      <w:proofErr w:type="spellStart"/>
      <w:r>
        <w:rPr>
          <w:sz w:val="20"/>
          <w:szCs w:val="20"/>
          <w:rtl/>
        </w:rPr>
        <w:t>בוולוז׳ין</w:t>
      </w:r>
      <w:proofErr w:type="spellEnd"/>
      <w:r>
        <w:rPr>
          <w:sz w:val="20"/>
          <w:szCs w:val="20"/>
          <w:rtl/>
        </w:rPr>
        <w:t xml:space="preserve">!’. נראה שבאמירה זו התכוון </w:t>
      </w:r>
      <w:proofErr w:type="spellStart"/>
      <w:r>
        <w:rPr>
          <w:sz w:val="20"/>
          <w:szCs w:val="20"/>
          <w:rtl/>
        </w:rPr>
        <w:t>הנצי״ב</w:t>
      </w:r>
      <w:proofErr w:type="spellEnd"/>
      <w:r>
        <w:rPr>
          <w:sz w:val="20"/>
          <w:szCs w:val="20"/>
          <w:rtl/>
        </w:rPr>
        <w:t xml:space="preserve"> לישיבת </w:t>
      </w:r>
      <w:proofErr w:type="spellStart"/>
      <w:r>
        <w:rPr>
          <w:sz w:val="20"/>
          <w:szCs w:val="20"/>
          <w:rtl/>
        </w:rPr>
        <w:t>וולוז׳ין</w:t>
      </w:r>
      <w:proofErr w:type="spellEnd"/>
      <w:r>
        <w:rPr>
          <w:sz w:val="20"/>
          <w:szCs w:val="20"/>
          <w:rtl/>
        </w:rPr>
        <w:t xml:space="preserve"> מן הזמן שבו נעשה ראש ישיבתה, כלומר </w:t>
      </w:r>
      <w:proofErr w:type="spellStart"/>
      <w:r>
        <w:rPr>
          <w:sz w:val="20"/>
          <w:szCs w:val="20"/>
          <w:rtl/>
        </w:rPr>
        <w:t>מתרי״ג</w:t>
      </w:r>
      <w:proofErr w:type="spellEnd"/>
      <w:r>
        <w:rPr>
          <w:sz w:val="20"/>
          <w:szCs w:val="20"/>
          <w:rtl/>
        </w:rPr>
        <w:t>.</w:t>
      </w:r>
    </w:p>
    <w:p w14:paraId="4D42EE60" w14:textId="77777777" w:rsidR="00AB3647" w:rsidRDefault="00000000">
      <w:pPr>
        <w:spacing w:after="0" w:before="0"/>
        <w:jc w:val="both"/>
      </w:pPr>
      <w:r>
        <w:rPr>
          <w:sz w:val="20"/>
          <w:szCs w:val="20"/>
          <w:rtl/>
        </w:rPr>
        <w:t xml:space="preserve">אבל “לשלשה באלול”, חוברת שהוציא ר׳ </w:t>
      </w:r>
      <w:proofErr w:type="spellStart"/>
      <w:r>
        <w:rPr>
          <w:sz w:val="20"/>
          <w:szCs w:val="20"/>
          <w:rtl/>
        </w:rPr>
        <w:t>צבי־יהודה</w:t>
      </w:r>
      <w:proofErr w:type="spellEnd"/>
      <w:r>
        <w:rPr>
          <w:sz w:val="20"/>
          <w:szCs w:val="20"/>
          <w:rtl/>
        </w:rPr>
        <w:t xml:space="preserve">, בנו של ר׳ </w:t>
      </w:r>
      <w:proofErr w:type="spellStart"/>
      <w:r>
        <w:rPr>
          <w:sz w:val="20"/>
          <w:szCs w:val="20"/>
          <w:rtl/>
        </w:rPr>
        <w:t>אברהם־יצחק</w:t>
      </w:r>
      <w:proofErr w:type="spellEnd"/>
      <w:r>
        <w:rPr>
          <w:sz w:val="20"/>
          <w:szCs w:val="20"/>
          <w:rtl/>
        </w:rPr>
        <w:t xml:space="preserve"> קוק, ביום השנה השלישי לפטירת אביו (ירושלים, תרצ״ח), מרחיקה לכת עוד יותר: בעמ׳ ה מסופר שם </w:t>
      </w:r>
      <w:proofErr w:type="spellStart"/>
      <w:r>
        <w:rPr>
          <w:sz w:val="20"/>
          <w:szCs w:val="20"/>
          <w:rtl/>
        </w:rPr>
        <w:t>שהנצי״ב</w:t>
      </w:r>
      <w:proofErr w:type="spellEnd"/>
      <w:r>
        <w:rPr>
          <w:sz w:val="20"/>
          <w:szCs w:val="20"/>
          <w:rtl/>
        </w:rPr>
        <w:t xml:space="preserve"> אמר על ר׳ </w:t>
      </w:r>
      <w:proofErr w:type="spellStart"/>
      <w:r>
        <w:rPr>
          <w:sz w:val="20"/>
          <w:szCs w:val="20"/>
          <w:rtl/>
        </w:rPr>
        <w:t>אברהם־יצחק</w:t>
      </w:r>
      <w:proofErr w:type="spellEnd"/>
      <w:r>
        <w:rPr>
          <w:sz w:val="20"/>
          <w:szCs w:val="20"/>
          <w:rtl/>
        </w:rPr>
        <w:t xml:space="preserve"> קוק: ‘כדאי היה להקים את ישיבת </w:t>
      </w:r>
      <w:proofErr w:type="spellStart"/>
      <w:r>
        <w:rPr>
          <w:sz w:val="20"/>
          <w:szCs w:val="20"/>
          <w:rtl/>
        </w:rPr>
        <w:t>וולוז׳ין</w:t>
      </w:r>
      <w:proofErr w:type="spellEnd"/>
      <w:r>
        <w:rPr>
          <w:sz w:val="20"/>
          <w:szCs w:val="20"/>
          <w:rtl/>
        </w:rPr>
        <w:t xml:space="preserve"> רק בשביל תלמיד זה’.</w:t>
      </w:r>
    </w:p>
  </w:footnote>
  <w:footnote w:id="5119">
    <w:p w14:paraId="1BBFAE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“נפש הרב” (הפסקה השנייה של נספח ב לעיל), עמ׳ </w:t>
      </w:r>
      <w:proofErr w:type="spellStart"/>
      <w:r>
        <w:rPr>
          <w:sz w:val="20"/>
          <w:szCs w:val="20"/>
          <w:rtl/>
        </w:rPr>
        <w:t>יז</w:t>
      </w:r>
      <w:proofErr w:type="spellEnd"/>
      <w:r>
        <w:rPr>
          <w:sz w:val="20"/>
          <w:szCs w:val="20"/>
          <w:rtl/>
        </w:rPr>
        <w:t xml:space="preserve">, הערה 23; “תורת חיים”, עמ׳ נו–נט במספור השני; והפסקה השמינית בפרק 4, נספח ט. השווה גם הציטוט מר׳ </w:t>
      </w:r>
      <w:proofErr w:type="spellStart"/>
      <w:r>
        <w:rPr>
          <w:sz w:val="20"/>
          <w:szCs w:val="20"/>
          <w:rtl/>
        </w:rPr>
        <w:t>ברוך־בער</w:t>
      </w:r>
      <w:proofErr w:type="spellEnd"/>
      <w:r>
        <w:rPr>
          <w:sz w:val="20"/>
          <w:szCs w:val="20"/>
          <w:rtl/>
        </w:rPr>
        <w:t xml:space="preserve"> </w:t>
      </w:r>
      <w:proofErr w:type="spellStart"/>
      <w:r>
        <w:rPr>
          <w:sz w:val="20"/>
          <w:szCs w:val="20"/>
          <w:rtl/>
        </w:rPr>
        <w:t>ליבוביץ</w:t>
      </w:r>
      <w:proofErr w:type="spellEnd"/>
      <w:r>
        <w:rPr>
          <w:sz w:val="20"/>
          <w:szCs w:val="20"/>
          <w:rtl/>
        </w:rPr>
        <w:t xml:space="preserve"> </w:t>
      </w:r>
      <w:proofErr w:type="spellStart"/>
      <w:r>
        <w:rPr>
          <w:sz w:val="20"/>
          <w:szCs w:val="20"/>
          <w:rtl/>
        </w:rPr>
        <w:t>ב“מגד</w:t>
      </w:r>
      <w:proofErr w:type="spellEnd"/>
      <w:r>
        <w:rPr>
          <w:sz w:val="20"/>
          <w:szCs w:val="20"/>
          <w:rtl/>
        </w:rPr>
        <w:t xml:space="preserve"> גבעות עולם”, עמ׳ יד. השורות החמישית, השישית והשביעית מן הסוף במצבת ר׳ חיים </w:t>
      </w:r>
      <w:proofErr w:type="spellStart"/>
      <w:r>
        <w:rPr>
          <w:sz w:val="20"/>
          <w:szCs w:val="20"/>
          <w:rtl/>
        </w:rPr>
        <w:t>סולובייצ׳יק</w:t>
      </w:r>
      <w:proofErr w:type="spellEnd"/>
      <w:r>
        <w:rPr>
          <w:sz w:val="20"/>
          <w:szCs w:val="20"/>
          <w:rtl/>
        </w:rPr>
        <w:t xml:space="preserve"> (המובאת בפסקה התשיעית להלן), ‘הפיץ אור חדש על דרכה של תורה וגילה לתלמידיו דבריה </w:t>
      </w:r>
      <w:r>
        <w:rPr>
          <w:b/>
          <w:bCs/>
          <w:sz w:val="20"/>
          <w:szCs w:val="20"/>
          <w:rtl/>
        </w:rPr>
        <w:t>כמו שהם</w:t>
      </w:r>
      <w:r>
        <w:rPr>
          <w:sz w:val="20"/>
          <w:szCs w:val="20"/>
          <w:rtl/>
        </w:rPr>
        <w:t>׳ (ההדגשה שלי), משקפות יחס זה של מחבר נוסח המצבה לחידושיו – שר׳ חיים גילה לתלמידיו את הפשט הנכון של דברי התורה.</w:t>
      </w:r>
    </w:p>
  </w:footnote>
  <w:footnote w:id="5120">
    <w:p w14:paraId="2399CF4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נספח ו – עמ׳ 63 ו־64.</w:t>
      </w:r>
    </w:p>
  </w:footnote>
  <w:footnote w:id="5121">
    <w:p w14:paraId="5EB139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י.</w:t>
      </w:r>
    </w:p>
  </w:footnote>
  <w:footnote w:id="5122">
    <w:p w14:paraId="4FFA76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182–184.</w:t>
      </w:r>
    </w:p>
  </w:footnote>
  <w:footnote w:id="5123">
    <w:p w14:paraId="568E91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פ.</w:t>
      </w:r>
    </w:p>
  </w:footnote>
  <w:footnote w:id="5124">
    <w:p w14:paraId="367C6C9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הפסקה השנייה של נספח </w:t>
      </w:r>
      <w:proofErr w:type="spellStart"/>
      <w:r>
        <w:rPr>
          <w:sz w:val="20"/>
          <w:szCs w:val="20"/>
          <w:rtl/>
        </w:rPr>
        <w:t>כט</w:t>
      </w:r>
      <w:proofErr w:type="spellEnd"/>
      <w:r>
        <w:rPr>
          <w:sz w:val="20"/>
          <w:szCs w:val="20"/>
          <w:rtl/>
        </w:rPr>
        <w:t>.</w:t>
      </w:r>
    </w:p>
  </w:footnote>
  <w:footnote w:id="5125">
    <w:p w14:paraId="5E5DE3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1, הפסקה הראשונה של נספח ב – עמ׳ 63, 66.</w:t>
      </w:r>
    </w:p>
  </w:footnote>
  <w:footnote w:id="5126">
    <w:p w14:paraId="52F22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בדומה לכך, גם הסיפור </w:t>
      </w:r>
      <w:proofErr w:type="spellStart"/>
      <w:r>
        <w:rPr>
          <w:sz w:val="20"/>
          <w:szCs w:val="20"/>
          <w:rtl/>
        </w:rPr>
        <w:t>ב“נפש</w:t>
      </w:r>
      <w:proofErr w:type="spellEnd"/>
      <w:r>
        <w:rPr>
          <w:sz w:val="20"/>
          <w:szCs w:val="20"/>
          <w:rtl/>
        </w:rPr>
        <w:t xml:space="preserve"> הרב”, עמ׳ </w:t>
      </w:r>
      <w:proofErr w:type="spellStart"/>
      <w:r>
        <w:rPr>
          <w:sz w:val="20"/>
          <w:szCs w:val="20"/>
          <w:rtl/>
        </w:rPr>
        <w:t>רלד</w:t>
      </w:r>
      <w:proofErr w:type="spellEnd"/>
      <w:r>
        <w:rPr>
          <w:sz w:val="20"/>
          <w:szCs w:val="20"/>
          <w:rtl/>
        </w:rPr>
        <w:t xml:space="preserve">, על ר׳ חיים שהשתתף בכינוס רבנים יחד עם ר׳ </w:t>
      </w:r>
      <w:proofErr w:type="spellStart"/>
      <w:r>
        <w:rPr>
          <w:sz w:val="20"/>
          <w:szCs w:val="20"/>
          <w:rtl/>
        </w:rPr>
        <w:t>אייזיל</w:t>
      </w:r>
      <w:proofErr w:type="spellEnd"/>
      <w:r>
        <w:rPr>
          <w:sz w:val="20"/>
          <w:szCs w:val="20"/>
          <w:rtl/>
        </w:rPr>
        <w:t>, ושניהם החליפו דברי עילוי (השווה שם לפרטים מעניינים), אינו מדויק.</w:t>
      </w:r>
    </w:p>
  </w:footnote>
  <w:footnote w:id="5127">
    <w:p w14:paraId="2F0E32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רעג</w:t>
      </w:r>
      <w:proofErr w:type="spellEnd"/>
      <w:r>
        <w:rPr>
          <w:sz w:val="20"/>
          <w:szCs w:val="20"/>
          <w:rtl/>
        </w:rPr>
        <w:t>.</w:t>
      </w:r>
    </w:p>
  </w:footnote>
  <w:footnote w:id="5128">
    <w:p w14:paraId="4EB951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“הגאון החסיד </w:t>
      </w:r>
      <w:proofErr w:type="spellStart"/>
      <w:r>
        <w:rPr>
          <w:sz w:val="20"/>
          <w:szCs w:val="20"/>
          <w:rtl/>
        </w:rPr>
        <w:t>מוילנא</w:t>
      </w:r>
      <w:proofErr w:type="spellEnd"/>
      <w:r>
        <w:rPr>
          <w:sz w:val="20"/>
          <w:szCs w:val="20"/>
          <w:rtl/>
        </w:rPr>
        <w:t xml:space="preserve">” (שם, פרק 3, נספח ב), עמ׳ </w:t>
      </w:r>
      <w:proofErr w:type="spellStart"/>
      <w:r>
        <w:rPr>
          <w:sz w:val="20"/>
          <w:szCs w:val="20"/>
          <w:rtl/>
        </w:rPr>
        <w:t>רעג</w:t>
      </w:r>
      <w:proofErr w:type="spellEnd"/>
      <w:r>
        <w:rPr>
          <w:sz w:val="20"/>
          <w:szCs w:val="20"/>
          <w:rtl/>
        </w:rPr>
        <w:t xml:space="preserve"> והערה 67 שם: ר׳ מנשה היה תלמיד גדול של הגאון מווילנה, והיה מבקר אצל רבו מדי שנה לשיחות. בספריו הוא מביא את הוראות הגאון על דרכי לימוד התורה והחינוך. ר׳ אריה קיבל כנראה מרבו את הרעיון לסלוד משיטות לימוד תלמודיות מסוימות.</w:t>
      </w:r>
    </w:p>
  </w:footnote>
  <w:footnote w:id="5129">
    <w:p w14:paraId="36872D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לדעת ר׳ חיים על פלפול, ראה פרק 3, הפסקה השנייה של נספח ל.</w:t>
      </w:r>
    </w:p>
  </w:footnote>
  <w:footnote w:id="5130">
    <w:p w14:paraId="7AEB94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הפסקה הראשונה של נספח ב לעיל – </w:t>
      </w:r>
      <w:proofErr w:type="spellStart"/>
      <w:r>
        <w:rPr>
          <w:sz w:val="20"/>
          <w:szCs w:val="20"/>
          <w:rtl/>
        </w:rPr>
        <w:t>ח״ב</w:t>
      </w:r>
      <w:proofErr w:type="spellEnd"/>
      <w:r>
        <w:rPr>
          <w:sz w:val="20"/>
          <w:szCs w:val="20"/>
          <w:rtl/>
        </w:rPr>
        <w:t>, עמ׳ שכה.</w:t>
      </w:r>
    </w:p>
  </w:footnote>
  <w:footnote w:id="5131">
    <w:p w14:paraId="3AA70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3, הפסקה הראשונה של נספח י – עמ׳ 71 ו־70.</w:t>
      </w:r>
    </w:p>
  </w:footnote>
  <w:footnote w:id="5132">
    <w:p w14:paraId="359843A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רצט</w:t>
      </w:r>
      <w:proofErr w:type="spellEnd"/>
      <w:r>
        <w:rPr>
          <w:sz w:val="20"/>
          <w:szCs w:val="20"/>
          <w:rtl/>
        </w:rPr>
        <w:t>.</w:t>
      </w:r>
    </w:p>
  </w:footnote>
  <w:footnote w:id="5133">
    <w:p w14:paraId="2D672DE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חתנו של ר׳ </w:t>
      </w:r>
      <w:proofErr w:type="spellStart"/>
      <w:r>
        <w:rPr>
          <w:sz w:val="20"/>
          <w:szCs w:val="20"/>
          <w:rtl/>
        </w:rPr>
        <w:t>יענקל־דוד</w:t>
      </w:r>
      <w:proofErr w:type="spellEnd"/>
      <w:r>
        <w:rPr>
          <w:sz w:val="20"/>
          <w:szCs w:val="20"/>
          <w:rtl/>
        </w:rPr>
        <w:t xml:space="preserve"> </w:t>
      </w:r>
      <w:proofErr w:type="spellStart"/>
      <w:r>
        <w:rPr>
          <w:sz w:val="20"/>
          <w:szCs w:val="20"/>
          <w:rtl/>
        </w:rPr>
        <w:t>ווילובסקי</w:t>
      </w:r>
      <w:proofErr w:type="spellEnd"/>
      <w:r>
        <w:rPr>
          <w:sz w:val="20"/>
          <w:szCs w:val="20"/>
          <w:rtl/>
        </w:rPr>
        <w:t xml:space="preserve"> וחותנו של ר׳ יחזקאל </w:t>
      </w:r>
      <w:proofErr w:type="spellStart"/>
      <w:r>
        <w:rPr>
          <w:sz w:val="20"/>
          <w:szCs w:val="20"/>
          <w:rtl/>
        </w:rPr>
        <w:t>אברמסקי</w:t>
      </w:r>
      <w:proofErr w:type="spellEnd"/>
      <w:r>
        <w:rPr>
          <w:sz w:val="20"/>
          <w:szCs w:val="20"/>
          <w:rtl/>
        </w:rPr>
        <w:t>. עיירתו הייתה במרחק כשמונים קילומטר ממזרח למינסק.</w:t>
      </w:r>
    </w:p>
  </w:footnote>
  <w:footnote w:id="5134">
    <w:p w14:paraId="6A5832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ב־12 באפריל 1992.</w:t>
      </w:r>
    </w:p>
  </w:footnote>
  <w:footnote w:id="5135">
    <w:p w14:paraId="5490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נספח ו.</w:t>
      </w:r>
    </w:p>
  </w:footnote>
  <w:footnote w:id="5136">
    <w:p w14:paraId="50F742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1, נספח ו.</w:t>
      </w:r>
    </w:p>
  </w:footnote>
  <w:footnote w:id="5137">
    <w:p w14:paraId="38B892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76–77.</w:t>
      </w:r>
    </w:p>
  </w:footnote>
  <w:footnote w:id="5138">
    <w:p w14:paraId="1BE2510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2, הפסקה שלפני האחרונה של נספח א – עמ׳ 213.</w:t>
      </w:r>
    </w:p>
  </w:footnote>
  <w:footnote w:id="5139">
    <w:p w14:paraId="544B30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פרק 4, הפסקה החמישית של נספח ט – עמ׳ 123–126.</w:t>
      </w:r>
    </w:p>
  </w:footnote>
  <w:footnote w:id="5140">
    <w:p w14:paraId="638C44A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113–122, שהודפס מחדש </w:t>
      </w:r>
      <w:proofErr w:type="spellStart"/>
      <w:r>
        <w:rPr>
          <w:sz w:val="20"/>
          <w:szCs w:val="20"/>
          <w:rtl/>
        </w:rPr>
        <w:t>מ“הצפירה</w:t>
      </w:r>
      <w:proofErr w:type="spellEnd"/>
      <w:r>
        <w:rPr>
          <w:sz w:val="20"/>
          <w:szCs w:val="20"/>
          <w:rtl/>
        </w:rPr>
        <w:t xml:space="preserve">”, גיליון </w:t>
      </w:r>
      <w:proofErr w:type="spellStart"/>
      <w:r>
        <w:rPr>
          <w:sz w:val="20"/>
          <w:szCs w:val="20"/>
          <w:rtl/>
        </w:rPr>
        <w:t>כו</w:t>
      </w:r>
      <w:proofErr w:type="spellEnd"/>
      <w:r>
        <w:rPr>
          <w:sz w:val="20"/>
          <w:szCs w:val="20"/>
          <w:rtl/>
        </w:rPr>
        <w:t xml:space="preserve"> באייר תרס״א.</w:t>
      </w:r>
    </w:p>
  </w:footnote>
  <w:footnote w:id="5141">
    <w:p w14:paraId="173333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שני ציוני הזמן אינם תואמים. הראשון, </w:t>
      </w:r>
      <w:proofErr w:type="spellStart"/>
      <w:r>
        <w:rPr>
          <w:sz w:val="20"/>
          <w:szCs w:val="20"/>
          <w:rtl/>
        </w:rPr>
        <w:t>כב</w:t>
      </w:r>
      <w:proofErr w:type="spellEnd"/>
      <w:r>
        <w:rPr>
          <w:sz w:val="20"/>
          <w:szCs w:val="20"/>
          <w:rtl/>
        </w:rPr>
        <w:t xml:space="preserve"> באייר (היום השלושים ושבעה לעומר), הוא יום השרפות הנכון (22 במאי 1895 ו־11 במאי 1901), לפי ספר </w:t>
      </w:r>
      <w:proofErr w:type="spellStart"/>
      <w:r>
        <w:rPr>
          <w:sz w:val="20"/>
          <w:szCs w:val="20"/>
          <w:rtl/>
        </w:rPr>
        <w:t>קוברין</w:t>
      </w:r>
      <w:proofErr w:type="spellEnd"/>
      <w:r>
        <w:rPr>
          <w:sz w:val="20"/>
          <w:szCs w:val="20"/>
          <w:rtl/>
        </w:rPr>
        <w:t xml:space="preserve"> (שם, פרק 3, נספח יא), עמ׳ 42.</w:t>
      </w:r>
    </w:p>
  </w:footnote>
  <w:footnote w:id="5142">
    <w:p w14:paraId="225A1DD3" w14:textId="77777777" w:rsidR="00AB3647" w:rsidRDefault="00000000">
      <w:pPr>
        <w:spacing w:after="0" w:before="0"/>
        <w:jc w:val="both"/>
      </w:pPr>
      <w:r>
        <w:rPr>
          <w:rStyle w:val="a5"/>
          <w:vertAlign w:val="superscript"/>
          <w:rtl/>
        </w:rPr>
        <w:t>*</w:t>
      </w:r>
      <w:r>
        <w:rPr>
          <w:sz w:val="20"/>
          <w:szCs w:val="20"/>
        </w:rPr>
        <w:t xml:space="preserve"> </w:t>
      </w:r>
      <w:r>
        <w:rPr>
          <w:sz w:val="20"/>
          <w:szCs w:val="20"/>
          <w:rtl/>
        </w:rPr>
        <w:t>הערת המתרגם: כ״ב באייר תרנ״ה חל ב־16 במאי (4 במאי לפי הלוח הישן), ולא ב־22 במאי.</w:t>
      </w:r>
    </w:p>
  </w:footnote>
  <w:footnote w:id="5143">
    <w:p w14:paraId="7636EE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44">
    <w:p w14:paraId="346411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ב־21 במאי 1995.</w:t>
      </w:r>
    </w:p>
  </w:footnote>
  <w:footnote w:id="5145">
    <w:p w14:paraId="7DFD44C2"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הרב </w:t>
      </w:r>
      <w:proofErr w:type="spellStart"/>
      <w:r>
        <w:rPr>
          <w:sz w:val="20"/>
          <w:szCs w:val="20"/>
          <w:rtl/>
        </w:rPr>
        <w:t>אונטרמן</w:t>
      </w:r>
      <w:proofErr w:type="spellEnd"/>
      <w:r>
        <w:rPr>
          <w:sz w:val="20"/>
          <w:szCs w:val="20"/>
          <w:rtl/>
        </w:rPr>
        <w:t xml:space="preserve"> נולד בניסן תרמ״ו, ולכן בשעת השרפה של תרנ״ה היה כבן תשע.</w:t>
      </w:r>
    </w:p>
  </w:footnote>
  <w:footnote w:id="5146">
    <w:p w14:paraId="7843AF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הפסקה הרביעית של נספח ט.</w:t>
      </w:r>
    </w:p>
  </w:footnote>
  <w:footnote w:id="5147">
    <w:p w14:paraId="57A61B8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 באוגוסט 1993.</w:t>
      </w:r>
    </w:p>
  </w:footnote>
  <w:footnote w:id="5148">
    <w:p w14:paraId="1A7A498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הוא היה בנו של ר׳ </w:t>
      </w:r>
      <w:proofErr w:type="spellStart"/>
      <w:r>
        <w:rPr>
          <w:sz w:val="20"/>
          <w:szCs w:val="20"/>
          <w:rtl/>
        </w:rPr>
        <w:t>בן־ציון</w:t>
      </w:r>
      <w:proofErr w:type="spellEnd"/>
      <w:r>
        <w:rPr>
          <w:sz w:val="20"/>
          <w:szCs w:val="20"/>
          <w:rtl/>
        </w:rPr>
        <w:t xml:space="preserve"> </w:t>
      </w:r>
      <w:proofErr w:type="spellStart"/>
      <w:r>
        <w:rPr>
          <w:sz w:val="20"/>
          <w:szCs w:val="20"/>
          <w:rtl/>
        </w:rPr>
        <w:t>הנמן</w:t>
      </w:r>
      <w:proofErr w:type="spellEnd"/>
      <w:r>
        <w:rPr>
          <w:sz w:val="20"/>
          <w:szCs w:val="20"/>
          <w:rtl/>
        </w:rPr>
        <w:t xml:space="preserve">, שבביתו בממל השתמש ר׳ ישראל </w:t>
      </w:r>
      <w:proofErr w:type="spellStart"/>
      <w:r>
        <w:rPr>
          <w:sz w:val="20"/>
          <w:szCs w:val="20"/>
          <w:rtl/>
        </w:rPr>
        <w:t>סלנטר</w:t>
      </w:r>
      <w:proofErr w:type="spellEnd"/>
      <w:r>
        <w:rPr>
          <w:sz w:val="20"/>
          <w:szCs w:val="20"/>
          <w:rtl/>
        </w:rPr>
        <w:t xml:space="preserve"> כבסיס ליציאות לגרמניה במשך </w:t>
      </w:r>
      <w:proofErr w:type="spellStart"/>
      <w:r>
        <w:rPr>
          <w:sz w:val="20"/>
          <w:szCs w:val="20"/>
          <w:rtl/>
        </w:rPr>
        <w:t>תשע־עשרה</w:t>
      </w:r>
      <w:proofErr w:type="spellEnd"/>
      <w:r>
        <w:rPr>
          <w:sz w:val="20"/>
          <w:szCs w:val="20"/>
          <w:rtl/>
        </w:rPr>
        <w:t xml:space="preserve"> שנה, </w:t>
      </w:r>
      <w:proofErr w:type="spellStart"/>
      <w:r>
        <w:rPr>
          <w:sz w:val="20"/>
          <w:szCs w:val="20"/>
          <w:rtl/>
        </w:rPr>
        <w:t>מתרכ״א</w:t>
      </w:r>
      <w:proofErr w:type="spellEnd"/>
      <w:r>
        <w:rPr>
          <w:sz w:val="20"/>
          <w:szCs w:val="20"/>
          <w:rtl/>
        </w:rPr>
        <w:t xml:space="preserve"> עד תרל״ט.</w:t>
      </w:r>
    </w:p>
  </w:footnote>
  <w:footnote w:id="5149">
    <w:p w14:paraId="6063B1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קצז</w:t>
      </w:r>
      <w:proofErr w:type="spellEnd"/>
      <w:r>
        <w:rPr>
          <w:sz w:val="20"/>
          <w:szCs w:val="20"/>
          <w:rtl/>
        </w:rPr>
        <w:t>.</w:t>
      </w:r>
    </w:p>
  </w:footnote>
  <w:footnote w:id="5150">
    <w:p w14:paraId="6B913C8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“עובדות והנהגות לבית </w:t>
      </w:r>
      <w:proofErr w:type="spellStart"/>
      <w:r>
        <w:rPr>
          <w:sz w:val="20"/>
          <w:szCs w:val="20"/>
          <w:rtl/>
        </w:rPr>
        <w:t>בריסק</w:t>
      </w:r>
      <w:proofErr w:type="spellEnd"/>
      <w:r>
        <w:rPr>
          <w:sz w:val="20"/>
          <w:szCs w:val="20"/>
          <w:rtl/>
        </w:rPr>
        <w:t xml:space="preserve">”, המקור המובא בפרק 3, הפסקה החמישית של נספח </w:t>
      </w:r>
      <w:proofErr w:type="spellStart"/>
      <w:r>
        <w:rPr>
          <w:sz w:val="20"/>
          <w:szCs w:val="20"/>
          <w:rtl/>
        </w:rPr>
        <w:t>יח</w:t>
      </w:r>
      <w:proofErr w:type="spellEnd"/>
      <w:r>
        <w:rPr>
          <w:sz w:val="20"/>
          <w:szCs w:val="20"/>
          <w:rtl/>
        </w:rPr>
        <w:t>, שהדבר אירע ‘רוב הזמן’.</w:t>
      </w:r>
    </w:p>
  </w:footnote>
  <w:footnote w:id="5151">
    <w:p w14:paraId="3DCCDD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דברי ר׳ </w:t>
      </w:r>
      <w:proofErr w:type="spellStart"/>
      <w:r>
        <w:rPr>
          <w:sz w:val="20"/>
          <w:szCs w:val="20"/>
          <w:rtl/>
        </w:rPr>
        <w:t>יהודה־לייב</w:t>
      </w:r>
      <w:proofErr w:type="spellEnd"/>
      <w:r>
        <w:rPr>
          <w:sz w:val="20"/>
          <w:szCs w:val="20"/>
          <w:rtl/>
        </w:rPr>
        <w:t xml:space="preserve"> </w:t>
      </w:r>
      <w:proofErr w:type="spellStart"/>
      <w:r>
        <w:rPr>
          <w:sz w:val="20"/>
          <w:szCs w:val="20"/>
          <w:rtl/>
        </w:rPr>
        <w:t>הנמן</w:t>
      </w:r>
      <w:proofErr w:type="spellEnd"/>
      <w:r>
        <w:rPr>
          <w:sz w:val="20"/>
          <w:szCs w:val="20"/>
          <w:rtl/>
        </w:rPr>
        <w:t>.</w:t>
      </w:r>
    </w:p>
  </w:footnote>
  <w:footnote w:id="5152">
    <w:p w14:paraId="77533C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כפי שמובא </w:t>
      </w:r>
      <w:proofErr w:type="spellStart"/>
      <w:r>
        <w:rPr>
          <w:sz w:val="20"/>
          <w:szCs w:val="20"/>
          <w:rtl/>
        </w:rPr>
        <w:t>ב“עובדות</w:t>
      </w:r>
      <w:proofErr w:type="spellEnd"/>
      <w:r>
        <w:rPr>
          <w:sz w:val="20"/>
          <w:szCs w:val="20"/>
          <w:rtl/>
        </w:rPr>
        <w:t xml:space="preserve"> והנהגות לבית </w:t>
      </w:r>
      <w:proofErr w:type="spellStart"/>
      <w:r>
        <w:rPr>
          <w:sz w:val="20"/>
          <w:szCs w:val="20"/>
          <w:rtl/>
        </w:rPr>
        <w:t>בריסק</w:t>
      </w:r>
      <w:proofErr w:type="spellEnd"/>
      <w:r>
        <w:rPr>
          <w:sz w:val="20"/>
          <w:szCs w:val="20"/>
          <w:rtl/>
        </w:rPr>
        <w:t xml:space="preserve">” – המוזכר בהערת שוליים </w:t>
      </w:r>
      <w:r>
        <w:rPr>
          <w:sz w:val="20"/>
          <w:szCs w:val="20"/>
          <w:rtl/>
        </w:rPr>
        <w:fldChar w:fldCharType="begin" w:dirty="true"/>
      </w:r>
      <w:r>
        <w:rPr>
          <w:sz w:val="20"/>
          <w:szCs w:val="20"/>
          <w:rtl/>
        </w:rPr>
        <w:instrText xml:space="preserve"> NOTEREF pr_f_5013 \h </w:instrText>
      </w:r>
      <w:r>
        <w:rPr>
          <w:sz w:val="20"/>
          <w:szCs w:val="20"/>
          <w:rtl/>
        </w:rPr>
      </w:r>
      <w:r>
        <w:rPr>
          <w:sz w:val="20"/>
          <w:szCs w:val="20"/>
          <w:rtl/>
        </w:rPr>
        <w:fldChar w:fldCharType="separate"/>
      </w:r>
      <w:r w:rsidR="007923E9">
        <w:rPr>
          <w:sz w:val="20"/>
          <w:szCs w:val="20"/>
          <w:rtl/>
        </w:rPr>
        <w:t>667</w:t>
      </w:r>
      <w:r>
        <w:rPr>
          <w:sz w:val="20"/>
          <w:szCs w:val="20"/>
          <w:rtl/>
        </w:rPr>
        <w:fldChar w:fldCharType="end"/>
      </w:r>
      <w:r>
        <w:rPr>
          <w:sz w:val="20"/>
          <w:szCs w:val="20"/>
          <w:rtl/>
        </w:rPr>
        <w:t xml:space="preserve"> לעיל.</w:t>
      </w:r>
    </w:p>
  </w:footnote>
  <w:footnote w:id="5153">
    <w:p w14:paraId="4F3481F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ב־31 במאי 1996.</w:t>
      </w:r>
    </w:p>
  </w:footnote>
  <w:footnote w:id="5154">
    <w:p w14:paraId="2C6AAB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העניין הוא שהרחובות שייכים לציבור, ואילו ביתו של ר׳ חיים היה הפקר – נתון לנטילה.</w:t>
      </w:r>
    </w:p>
  </w:footnote>
  <w:footnote w:id="5155">
    <w:p w14:paraId="1339DF1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יח</w:t>
      </w:r>
      <w:proofErr w:type="spellEnd"/>
      <w:r>
        <w:rPr>
          <w:sz w:val="20"/>
          <w:szCs w:val="20"/>
          <w:rtl/>
        </w:rPr>
        <w:t>.</w:t>
      </w:r>
    </w:p>
  </w:footnote>
  <w:footnote w:id="5156">
    <w:p w14:paraId="2E3071D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גמרא בבא מציעא פו ע״ב.</w:t>
      </w:r>
    </w:p>
  </w:footnote>
  <w:footnote w:id="5157">
    <w:p w14:paraId="138B07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ב־30 ביולי 1992.</w:t>
      </w:r>
    </w:p>
  </w:footnote>
  <w:footnote w:id="5158">
    <w:p w14:paraId="579BB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חלק ב, דף לט, קונטרס תרתי </w:t>
      </w:r>
      <w:proofErr w:type="spellStart"/>
      <w:r>
        <w:rPr>
          <w:sz w:val="20"/>
          <w:szCs w:val="20"/>
          <w:rtl/>
        </w:rPr>
        <w:t>לריעותא</w:t>
      </w:r>
      <w:proofErr w:type="spellEnd"/>
      <w:r>
        <w:rPr>
          <w:sz w:val="20"/>
          <w:szCs w:val="20"/>
          <w:rtl/>
        </w:rPr>
        <w:t>.</w:t>
      </w:r>
    </w:p>
  </w:footnote>
  <w:footnote w:id="5159">
    <w:p w14:paraId="0CEC954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רמט</w:t>
      </w:r>
      <w:proofErr w:type="spellEnd"/>
      <w:r>
        <w:rPr>
          <w:sz w:val="20"/>
          <w:szCs w:val="20"/>
          <w:rtl/>
        </w:rPr>
        <w:t>.</w:t>
      </w:r>
    </w:p>
  </w:footnote>
  <w:footnote w:id="5160">
    <w:p w14:paraId="6B26C0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ב־18 באפריל 1998.</w:t>
      </w:r>
    </w:p>
  </w:footnote>
  <w:footnote w:id="5161">
    <w:p w14:paraId="48C6BD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זהו המחבר הידוע שארבעה מספריו מובאים בספר זה: “החפץ חיים (ישר)” (פרולוג, הערה 5); “שאל אביך” (פרק 2, הערה 9); “החפץ חיים” (פרק 3, הפסקה הראשונה של נספח א); </w:t>
      </w:r>
      <w:proofErr w:type="spellStart"/>
      <w:r>
        <w:rPr>
          <w:sz w:val="20"/>
          <w:szCs w:val="20"/>
          <w:rtl/>
        </w:rPr>
        <w:t>ו“הגאון</w:t>
      </w:r>
      <w:proofErr w:type="spellEnd"/>
      <w:r>
        <w:rPr>
          <w:sz w:val="20"/>
          <w:szCs w:val="20"/>
          <w:rtl/>
        </w:rPr>
        <w:t xml:space="preserve"> </w:t>
      </w:r>
      <w:proofErr w:type="spellStart"/>
      <w:r>
        <w:rPr>
          <w:sz w:val="20"/>
          <w:szCs w:val="20"/>
          <w:rtl/>
        </w:rPr>
        <w:t>מלבי״ם</w:t>
      </w:r>
      <w:proofErr w:type="spellEnd"/>
      <w:r>
        <w:rPr>
          <w:sz w:val="20"/>
          <w:szCs w:val="20"/>
          <w:rtl/>
        </w:rPr>
        <w:t>” (הפסקה השנייה של נספח ב לעיל).</w:t>
      </w:r>
    </w:p>
  </w:footnote>
  <w:footnote w:id="5162">
    <w:p w14:paraId="0B502B7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“אישים ושיטות”, בראש עמ׳ 47, </w:t>
      </w:r>
      <w:proofErr w:type="spellStart"/>
      <w:r>
        <w:rPr>
          <w:sz w:val="20"/>
          <w:szCs w:val="20"/>
          <w:rtl/>
        </w:rPr>
        <w:t>ו“הראשון</w:t>
      </w:r>
      <w:proofErr w:type="spellEnd"/>
      <w:r>
        <w:rPr>
          <w:sz w:val="20"/>
          <w:szCs w:val="20"/>
          <w:rtl/>
        </w:rPr>
        <w:t xml:space="preserve"> לשושלת </w:t>
      </w:r>
      <w:proofErr w:type="spellStart"/>
      <w:r>
        <w:rPr>
          <w:sz w:val="20"/>
          <w:szCs w:val="20"/>
          <w:rtl/>
        </w:rPr>
        <w:t>בריסק</w:t>
      </w:r>
      <w:proofErr w:type="spellEnd"/>
      <w:r>
        <w:rPr>
          <w:sz w:val="20"/>
          <w:szCs w:val="20"/>
          <w:rtl/>
        </w:rPr>
        <w:t>”, בראש עמ׳ 436. (המקור השני מובא בפרק 4, הפסקה הרביעית של נספח ט.)</w:t>
      </w:r>
    </w:p>
  </w:footnote>
  <w:footnote w:id="5163">
    <w:p w14:paraId="1DA12CF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ה“גדול</w:t>
      </w:r>
      <w:proofErr w:type="spellEnd"/>
      <w:r>
        <w:rPr>
          <w:sz w:val="20"/>
          <w:szCs w:val="20"/>
          <w:rtl/>
        </w:rPr>
        <w:t xml:space="preserve">” עצמו היה רב תחילה </w:t>
      </w:r>
      <w:proofErr w:type="spellStart"/>
      <w:r>
        <w:rPr>
          <w:sz w:val="20"/>
          <w:szCs w:val="20"/>
          <w:rtl/>
        </w:rPr>
        <w:t>בסלץ</w:t>
      </w:r>
      <w:proofErr w:type="spellEnd"/>
      <w:r>
        <w:rPr>
          <w:sz w:val="20"/>
          <w:szCs w:val="20"/>
          <w:rtl/>
        </w:rPr>
        <w:t xml:space="preserve">, אחר כך </w:t>
      </w:r>
      <w:proofErr w:type="spellStart"/>
      <w:r>
        <w:rPr>
          <w:sz w:val="20"/>
          <w:szCs w:val="20"/>
          <w:rtl/>
        </w:rPr>
        <w:t>בפרוז׳ני</w:t>
      </w:r>
      <w:proofErr w:type="spellEnd"/>
      <w:r>
        <w:rPr>
          <w:sz w:val="20"/>
          <w:szCs w:val="20"/>
          <w:rtl/>
        </w:rPr>
        <w:t xml:space="preserve"> הגדולה יותר, ורק אז במינסק; ואילו ר׳ חיים רק מסר שיעורים </w:t>
      </w:r>
      <w:proofErr w:type="spellStart"/>
      <w:r>
        <w:rPr>
          <w:sz w:val="20"/>
          <w:szCs w:val="20"/>
          <w:rtl/>
        </w:rPr>
        <w:t>בוולוז׳ין</w:t>
      </w:r>
      <w:proofErr w:type="spellEnd"/>
      <w:r>
        <w:rPr>
          <w:sz w:val="20"/>
          <w:szCs w:val="20"/>
          <w:rtl/>
        </w:rPr>
        <w:t xml:space="preserve"> עד שנתמנה </w:t>
      </w:r>
      <w:proofErr w:type="spellStart"/>
      <w:r>
        <w:rPr>
          <w:sz w:val="20"/>
          <w:szCs w:val="20"/>
          <w:rtl/>
        </w:rPr>
        <w:t>בבריסק</w:t>
      </w:r>
      <w:proofErr w:type="spellEnd"/>
      <w:r>
        <w:rPr>
          <w:sz w:val="20"/>
          <w:szCs w:val="20"/>
          <w:rtl/>
        </w:rPr>
        <w:t>.</w:t>
      </w:r>
    </w:p>
  </w:footnote>
  <w:footnote w:id="5164">
    <w:p w14:paraId="4B477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68.</w:t>
      </w:r>
    </w:p>
  </w:footnote>
  <w:footnote w:id="5165">
    <w:p w14:paraId="100BB3B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שם, עמ׳ 63.</w:t>
      </w:r>
    </w:p>
  </w:footnote>
  <w:footnote w:id="5166">
    <w:p w14:paraId="2BFADD2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426–428.</w:t>
      </w:r>
    </w:p>
  </w:footnote>
  <w:footnote w:id="5167">
    <w:p w14:paraId="52041C2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לא הייתה לו קרבת משפחה לחותנו של ר׳ חיים.</w:t>
      </w:r>
    </w:p>
  </w:footnote>
  <w:footnote w:id="5168">
    <w:p w14:paraId="02B8FA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1, עמ׳ 151.</w:t>
      </w:r>
    </w:p>
  </w:footnote>
  <w:footnote w:id="5169">
    <w:p w14:paraId="0D68538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49.</w:t>
      </w:r>
    </w:p>
  </w:footnote>
  <w:footnote w:id="5170">
    <w:p w14:paraId="7658B11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199.</w:t>
      </w:r>
    </w:p>
  </w:footnote>
  <w:footnote w:id="5171">
    <w:p w14:paraId="438FA5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415–417.</w:t>
      </w:r>
    </w:p>
  </w:footnote>
  <w:footnote w:id="5172">
    <w:p w14:paraId="78C4D6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ח״ב</w:t>
      </w:r>
      <w:proofErr w:type="spellEnd"/>
      <w:r>
        <w:rPr>
          <w:sz w:val="20"/>
          <w:szCs w:val="20"/>
          <w:rtl/>
        </w:rPr>
        <w:t>, עמ׳ שט.</w:t>
      </w:r>
    </w:p>
  </w:footnote>
  <w:footnote w:id="5173">
    <w:p w14:paraId="32599B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שרשם ר׳ משה־מאיר פראג.</w:t>
      </w:r>
    </w:p>
  </w:footnote>
  <w:footnote w:id="5174">
    <w:p w14:paraId="32BAA8F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אירע </w:t>
      </w:r>
      <w:proofErr w:type="spellStart"/>
      <w:r>
        <w:rPr>
          <w:sz w:val="20"/>
          <w:szCs w:val="20"/>
          <w:rtl/>
        </w:rPr>
        <w:t>בתרנ״ד</w:t>
      </w:r>
      <w:proofErr w:type="spellEnd"/>
      <w:r>
        <w:rPr>
          <w:sz w:val="20"/>
          <w:szCs w:val="20"/>
          <w:rtl/>
        </w:rPr>
        <w:t>, לפי “הגדול ממינסק”, עמ׳ 164.</w:t>
      </w:r>
    </w:p>
  </w:footnote>
  <w:footnote w:id="5175">
    <w:p w14:paraId="3DF0EC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22 לעיל.</w:t>
      </w:r>
    </w:p>
  </w:footnote>
  <w:footnote w:id="5176">
    <w:p w14:paraId="5EC076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ח״א, עמ׳ </w:t>
      </w:r>
      <w:proofErr w:type="spellStart"/>
      <w:r>
        <w:rPr>
          <w:sz w:val="20"/>
          <w:szCs w:val="20"/>
          <w:rtl/>
        </w:rPr>
        <w:t>רנז</w:t>
      </w:r>
      <w:proofErr w:type="spellEnd"/>
      <w:r>
        <w:rPr>
          <w:sz w:val="20"/>
          <w:szCs w:val="20"/>
          <w:rtl/>
        </w:rPr>
        <w:t>.</w:t>
      </w:r>
    </w:p>
  </w:footnote>
  <w:footnote w:id="5177">
    <w:p w14:paraId="189E89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סוטה ז ע״ב.</w:t>
      </w:r>
    </w:p>
  </w:footnote>
  <w:footnote w:id="5178">
    <w:p w14:paraId="1514CB8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ב־28 באפריל 1992.</w:t>
      </w:r>
    </w:p>
  </w:footnote>
  <w:footnote w:id="5179">
    <w:p w14:paraId="59D0C2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201.</w:t>
      </w:r>
    </w:p>
  </w:footnote>
  <w:footnote w:id="5180">
    <w:p w14:paraId="38BF94E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גם ר׳ לייזר היה אהוב מאוד על אביו של ר׳ חיים, שלימדו </w:t>
      </w:r>
      <w:proofErr w:type="spellStart"/>
      <w:r>
        <w:rPr>
          <w:sz w:val="20"/>
          <w:szCs w:val="20"/>
          <w:rtl/>
        </w:rPr>
        <w:t>בסלוצק</w:t>
      </w:r>
      <w:proofErr w:type="spellEnd"/>
      <w:r>
        <w:rPr>
          <w:sz w:val="20"/>
          <w:szCs w:val="20"/>
          <w:rtl/>
        </w:rPr>
        <w:t xml:space="preserve"> (“הגדול ממינסק”, עמ׳ 88) – ראה הערת שוליים </w:t>
      </w:r>
      <w:r>
        <w:rPr>
          <w:sz w:val="20"/>
          <w:szCs w:val="20"/>
          <w:rtl/>
        </w:rPr>
        <w:fldChar w:fldCharType="begin" w:dirty="true"/>
      </w:r>
      <w:r>
        <w:rPr>
          <w:sz w:val="20"/>
          <w:szCs w:val="20"/>
          <w:rtl/>
        </w:rPr>
        <w:instrText xml:space="preserve"> NOTEREF pr_f_4953 \h </w:instrText>
      </w:r>
      <w:r>
        <w:rPr>
          <w:sz w:val="20"/>
          <w:szCs w:val="20"/>
          <w:rtl/>
        </w:rPr>
      </w:r>
      <w:r>
        <w:rPr>
          <w:sz w:val="20"/>
          <w:szCs w:val="20"/>
          <w:rtl/>
        </w:rPr>
        <w:fldChar w:fldCharType="separate"/>
      </w:r>
      <w:r w:rsidR="007923E9">
        <w:rPr>
          <w:sz w:val="20"/>
          <w:szCs w:val="20"/>
          <w:rtl/>
        </w:rPr>
        <w:t>607</w:t>
      </w:r>
      <w:r>
        <w:rPr>
          <w:sz w:val="20"/>
          <w:szCs w:val="20"/>
          <w:rtl/>
        </w:rPr>
        <w:fldChar w:fldCharType="end"/>
      </w:r>
      <w:r>
        <w:rPr>
          <w:sz w:val="20"/>
          <w:szCs w:val="20"/>
          <w:rtl/>
        </w:rPr>
        <w:t xml:space="preserve"> בעמ׳ </w:t>
      </w:r>
      <w:r>
        <w:rPr>
          <w:sz w:val="20"/>
          <w:szCs w:val="20"/>
          <w:rtl/>
        </w:rPr>
        <w:fldChar w:fldCharType="begin" w:dirty="true"/>
      </w:r>
      <w:r>
        <w:rPr>
          <w:sz w:val="20"/>
          <w:szCs w:val="20"/>
          <w:rtl/>
        </w:rPr>
        <w:instrText xml:space="preserve"> PAGEREF pr_f_4953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181">
    <w:p w14:paraId="28C062C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200.</w:t>
      </w:r>
    </w:p>
  </w:footnote>
  <w:footnote w:id="5182">
    <w:p w14:paraId="779AEFC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היו שני חתנים ראויים למינוי. מלבד ר׳ לייזר, שכבר שימש אז רב </w:t>
      </w:r>
      <w:proofErr w:type="spellStart"/>
      <w:r>
        <w:rPr>
          <w:sz w:val="20"/>
          <w:szCs w:val="20"/>
          <w:rtl/>
        </w:rPr>
        <w:t>בסמילוביץ</w:t>
      </w:r>
      <w:proofErr w:type="spellEnd"/>
      <w:r>
        <w:rPr>
          <w:sz w:val="20"/>
          <w:szCs w:val="20"/>
          <w:rtl/>
        </w:rPr>
        <w:t xml:space="preserve">׳, עיירה במרחק כשלושים וחמישה קילומטר ממינסק, היה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הנזכר לעיל, שעדיין היה על ‘</w:t>
      </w:r>
      <w:proofErr w:type="spellStart"/>
      <w:r>
        <w:rPr>
          <w:sz w:val="20"/>
          <w:szCs w:val="20"/>
          <w:rtl/>
        </w:rPr>
        <w:t>קעסט</w:t>
      </w:r>
      <w:proofErr w:type="spellEnd"/>
      <w:r>
        <w:rPr>
          <w:sz w:val="20"/>
          <w:szCs w:val="20"/>
          <w:rtl/>
        </w:rPr>
        <w:t xml:space="preserve">’. כשנתמנה אחר כך ר׳ לייזר </w:t>
      </w:r>
      <w:proofErr w:type="spellStart"/>
      <w:r>
        <w:rPr>
          <w:sz w:val="20"/>
          <w:szCs w:val="20"/>
          <w:rtl/>
        </w:rPr>
        <w:t>רבינוביץ</w:t>
      </w:r>
      <w:proofErr w:type="spellEnd"/>
      <w:r>
        <w:rPr>
          <w:sz w:val="20"/>
          <w:szCs w:val="20"/>
          <w:rtl/>
        </w:rPr>
        <w:t xml:space="preserve"> לממלא מקום חותנו, קיבל ר׳ </w:t>
      </w:r>
      <w:proofErr w:type="spellStart"/>
      <w:r>
        <w:rPr>
          <w:sz w:val="20"/>
          <w:szCs w:val="20"/>
          <w:rtl/>
        </w:rPr>
        <w:t>אברהם־דובער</w:t>
      </w:r>
      <w:proofErr w:type="spellEnd"/>
      <w:r>
        <w:rPr>
          <w:sz w:val="20"/>
          <w:szCs w:val="20"/>
          <w:rtl/>
        </w:rPr>
        <w:t xml:space="preserve"> </w:t>
      </w:r>
      <w:proofErr w:type="spellStart"/>
      <w:r>
        <w:rPr>
          <w:sz w:val="20"/>
          <w:szCs w:val="20"/>
          <w:rtl/>
        </w:rPr>
        <w:t>כהנא־שפירא</w:t>
      </w:r>
      <w:proofErr w:type="spellEnd"/>
      <w:r>
        <w:rPr>
          <w:sz w:val="20"/>
          <w:szCs w:val="20"/>
          <w:rtl/>
        </w:rPr>
        <w:t xml:space="preserve"> את כהונתו של גיסו </w:t>
      </w:r>
      <w:proofErr w:type="spellStart"/>
      <w:r>
        <w:rPr>
          <w:sz w:val="20"/>
          <w:szCs w:val="20"/>
          <w:rtl/>
        </w:rPr>
        <w:t>בסמילוביץ</w:t>
      </w:r>
      <w:proofErr w:type="spellEnd"/>
      <w:r>
        <w:rPr>
          <w:sz w:val="20"/>
          <w:szCs w:val="20"/>
          <w:rtl/>
        </w:rPr>
        <w:t>׳.</w:t>
      </w:r>
    </w:p>
  </w:footnote>
  <w:footnote w:id="5183">
    <w:p w14:paraId="0DED33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pr_f_4891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545</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pr_f_4891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w:t>
      </w:r>
    </w:p>
  </w:footnote>
  <w:footnote w:id="5184">
    <w:p w14:paraId="5FD33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95.</w:t>
      </w:r>
    </w:p>
  </w:footnote>
  <w:footnote w:id="5185">
    <w:p w14:paraId="43EC35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2, תחילת נספח א.</w:t>
      </w:r>
    </w:p>
  </w:footnote>
  <w:footnote w:id="5186">
    <w:p w14:paraId="57BCBD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94. היו עוד שני </w:t>
      </w:r>
      <w:proofErr w:type="spellStart"/>
      <w:r>
        <w:rPr>
          <w:sz w:val="20"/>
          <w:szCs w:val="20"/>
          <w:rtl/>
        </w:rPr>
        <w:t>מו״צים</w:t>
      </w:r>
      <w:proofErr w:type="spellEnd"/>
      <w:r>
        <w:rPr>
          <w:sz w:val="20"/>
          <w:szCs w:val="20"/>
          <w:rtl/>
        </w:rPr>
        <w:t xml:space="preserve"> בעיר, ובעקבות זאת ‘היו לפעמים חילוקי דעות והפרעות’ (“הגדול ממינסק”, עמ׳ 94).</w:t>
      </w:r>
    </w:p>
  </w:footnote>
  <w:footnote w:id="5187">
    <w:p w14:paraId="7EC42F1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“מינסק עיר ואם”, שם, </w:t>
      </w:r>
      <w:proofErr w:type="spellStart"/>
      <w:r>
        <w:rPr>
          <w:sz w:val="20"/>
          <w:szCs w:val="20"/>
          <w:rtl/>
        </w:rPr>
        <w:t>ו“הגדול</w:t>
      </w:r>
      <w:proofErr w:type="spellEnd"/>
      <w:r>
        <w:rPr>
          <w:sz w:val="20"/>
          <w:szCs w:val="20"/>
          <w:rtl/>
        </w:rPr>
        <w:t xml:space="preserve"> ממינסק”, עמ׳ 94–95. ראה גם פרק 1, נספח ו, שהכינוי “הגדול” ממינסק שניתן לרב פרלמן נבע אולי מן הכבוד הרב שרחשה העיר לקודמו, ר׳ </w:t>
      </w:r>
      <w:proofErr w:type="spellStart"/>
      <w:r>
        <w:rPr>
          <w:sz w:val="20"/>
          <w:szCs w:val="20"/>
          <w:rtl/>
        </w:rPr>
        <w:t>דוד־טעביל</w:t>
      </w:r>
      <w:proofErr w:type="spellEnd"/>
      <w:r>
        <w:rPr>
          <w:sz w:val="20"/>
          <w:szCs w:val="20"/>
          <w:rtl/>
        </w:rPr>
        <w:t>, עשרות שנים לפני כן.</w:t>
      </w:r>
    </w:p>
  </w:footnote>
  <w:footnote w:id="5188">
    <w:p w14:paraId="474E8DF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“מינסק עיר ואם א”, עמ׳ 504, במאמר מאת בת המגיד ממינסק, רחל חדש.</w:t>
      </w:r>
    </w:p>
  </w:footnote>
  <w:footnote w:id="5189">
    <w:p w14:paraId="2BAA3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פרק 4, נספח </w:t>
      </w:r>
      <w:proofErr w:type="spellStart"/>
      <w:r>
        <w:rPr>
          <w:sz w:val="20"/>
          <w:szCs w:val="20"/>
          <w:rtl/>
        </w:rPr>
        <w:t>יז</w:t>
      </w:r>
      <w:proofErr w:type="spellEnd"/>
      <w:r>
        <w:rPr>
          <w:sz w:val="20"/>
          <w:szCs w:val="20"/>
          <w:rtl/>
        </w:rPr>
        <w:t>.</w:t>
      </w:r>
    </w:p>
  </w:footnote>
  <w:footnote w:id="5190">
    <w:p w14:paraId="3CCC3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הקדמת החלק השני, הנקרא “פרי עץ חיים” (ירושלים, תרע״ד), בטור השני של ההקדמה הנדפסת באותיות מרובעות.</w:t>
      </w:r>
    </w:p>
  </w:footnote>
  <w:footnote w:id="5191">
    <w:p w14:paraId="014ADB5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ב־5 בנובמבר 1990.</w:t>
      </w:r>
    </w:p>
  </w:footnote>
  <w:footnote w:id="5192">
    <w:p w14:paraId="2FCD96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מכתבו של ר׳ חיים שפורסם מכתב יד </w:t>
      </w:r>
      <w:proofErr w:type="spellStart"/>
      <w:r>
        <w:rPr>
          <w:sz w:val="20"/>
          <w:szCs w:val="20"/>
          <w:rtl/>
        </w:rPr>
        <w:t>ב“צפונות</w:t>
      </w:r>
      <w:proofErr w:type="spellEnd"/>
      <w:r>
        <w:rPr>
          <w:sz w:val="20"/>
          <w:szCs w:val="20"/>
          <w:rtl/>
        </w:rPr>
        <w:t>” (רבעון תורני), בני ברק, ניסן תשמ״ט, עמ׳ סח.</w:t>
      </w:r>
    </w:p>
  </w:footnote>
  <w:footnote w:id="5193">
    <w:p w14:paraId="7D12F2E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נספח יא, באריכות.</w:t>
      </w:r>
    </w:p>
  </w:footnote>
  <w:footnote w:id="5194">
    <w:p w14:paraId="5AFC934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 עמ׳ 440.</w:t>
      </w:r>
    </w:p>
  </w:footnote>
  <w:footnote w:id="5195">
    <w:p w14:paraId="26AB75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קפז</w:t>
      </w:r>
      <w:proofErr w:type="spellEnd"/>
      <w:r>
        <w:rPr>
          <w:sz w:val="20"/>
          <w:szCs w:val="20"/>
          <w:rtl/>
        </w:rPr>
        <w:t>.</w:t>
      </w:r>
    </w:p>
  </w:footnote>
  <w:footnote w:id="5196">
    <w:p w14:paraId="1AC932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שם, פרק 4, הערת שוליים </w:t>
      </w:r>
      <w:r>
        <w:rPr>
          <w:rStyle w:val="a5"/>
          <w:sz w:val="20"/>
          <w:szCs w:val="20"/>
          <w:vertAlign w:val="baseline"/>
          <w:rtl/>
        </w:rPr>
        <w:fldChar w:fldCharType="begin" w:dirty="true"/>
      </w:r>
      <w:r>
        <w:rPr>
          <w:rStyle w:val="a5"/>
          <w:sz w:val="20"/>
          <w:szCs w:val="20"/>
          <w:vertAlign w:val="baseline"/>
          <w:rtl/>
        </w:rPr>
        <w:instrText xml:space="preserve"> NOTEREF pr_f_3968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1045</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pr_f_3968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 כרך 3, עמ׳ 38–39</w:t>
      </w:r>
      <w:r>
        <w:rPr>
          <w:sz w:val="20"/>
          <w:szCs w:val="20"/>
          <w:rtl/>
        </w:rPr>
        <w:t>.</w:t>
      </w:r>
    </w:p>
  </w:footnote>
  <w:footnote w:id="5197">
    <w:p w14:paraId="339FA29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147.</w:t>
      </w:r>
    </w:p>
  </w:footnote>
  <w:footnote w:id="5198">
    <w:p w14:paraId="0E2E2A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רה–</w:t>
      </w:r>
      <w:proofErr w:type="spellStart"/>
      <w:r>
        <w:rPr>
          <w:sz w:val="20"/>
          <w:szCs w:val="20"/>
          <w:rtl/>
        </w:rPr>
        <w:t>רו</w:t>
      </w:r>
      <w:proofErr w:type="spellEnd"/>
      <w:r>
        <w:rPr>
          <w:sz w:val="20"/>
          <w:szCs w:val="20"/>
          <w:rtl/>
        </w:rPr>
        <w:t>.</w:t>
      </w:r>
    </w:p>
  </w:footnote>
  <w:footnote w:id="5199">
    <w:p w14:paraId="1C31309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“הראשון לשושלת </w:t>
      </w:r>
      <w:proofErr w:type="spellStart"/>
      <w:r>
        <w:rPr>
          <w:sz w:val="20"/>
          <w:szCs w:val="20"/>
          <w:rtl/>
        </w:rPr>
        <w:t>בריסק</w:t>
      </w:r>
      <w:proofErr w:type="spellEnd"/>
      <w:r>
        <w:rPr>
          <w:sz w:val="20"/>
          <w:szCs w:val="20"/>
          <w:rtl/>
        </w:rPr>
        <w:t>”, עמ׳ 63, 144, 275–279, 281–283 ו־309.</w:t>
      </w:r>
    </w:p>
  </w:footnote>
  <w:footnote w:id="5200">
    <w:p w14:paraId="26220C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הערת שוליים </w:t>
      </w:r>
      <w:r>
        <w:rPr>
          <w:rStyle w:val="a5"/>
          <w:sz w:val="20"/>
          <w:szCs w:val="20"/>
          <w:vertAlign w:val="baseline"/>
          <w:rtl/>
        </w:rPr>
        <w:fldChar w:fldCharType="begin" w:dirty="true"/>
      </w:r>
      <w:r>
        <w:rPr>
          <w:rStyle w:val="a5"/>
          <w:sz w:val="20"/>
          <w:szCs w:val="20"/>
          <w:vertAlign w:val="baseline"/>
          <w:rtl/>
        </w:rPr>
        <w:instrText xml:space="preserve"> NOTEREF pr_f_4876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530</w:t>
      </w:r>
      <w:r>
        <w:rPr>
          <w:rStyle w:val="a5"/>
          <w:sz w:val="20"/>
          <w:szCs w:val="20"/>
          <w:vertAlign w:val="baseline"/>
          <w:rtl/>
        </w:rPr>
        <w:fldChar w:fldCharType="end"/>
      </w:r>
      <w:r>
        <w:rPr>
          <w:rStyle w:val="a5"/>
          <w:sz w:val="20"/>
          <w:szCs w:val="20"/>
          <w:vertAlign w:val="baseline"/>
          <w:rtl/>
        </w:rPr>
        <w:t xml:space="preserve"> בעמ׳ </w:t>
      </w:r>
      <w:r>
        <w:rPr>
          <w:rStyle w:val="a5"/>
          <w:sz w:val="20"/>
          <w:szCs w:val="20"/>
          <w:vertAlign w:val="baseline"/>
          <w:rtl/>
        </w:rPr>
        <w:fldChar w:fldCharType="begin" w:dirty="true"/>
      </w:r>
      <w:r>
        <w:rPr>
          <w:rStyle w:val="a5"/>
          <w:sz w:val="20"/>
          <w:szCs w:val="20"/>
          <w:vertAlign w:val="baseline"/>
          <w:rtl/>
        </w:rPr>
        <w:instrText xml:space="preserve"> PAGEREF pr_f_4876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xml:space="preserve"> לעיל</w:t>
      </w:r>
      <w:r>
        <w:rPr>
          <w:sz w:val="20"/>
          <w:szCs w:val="20"/>
          <w:rtl/>
        </w:rPr>
        <w:t>.</w:t>
      </w:r>
    </w:p>
  </w:footnote>
  <w:footnote w:id="5201">
    <w:p w14:paraId="0334A6C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א ג, </w:t>
      </w:r>
      <w:proofErr w:type="spellStart"/>
      <w:r>
        <w:rPr>
          <w:sz w:val="20"/>
          <w:szCs w:val="20"/>
          <w:rtl/>
        </w:rPr>
        <w:t>טז</w:t>
      </w:r>
      <w:proofErr w:type="spellEnd"/>
      <w:r>
        <w:rPr>
          <w:sz w:val="20"/>
          <w:szCs w:val="20"/>
          <w:rtl/>
        </w:rPr>
        <w:t>–</w:t>
      </w:r>
      <w:proofErr w:type="spellStart"/>
      <w:r>
        <w:rPr>
          <w:sz w:val="20"/>
          <w:szCs w:val="20"/>
          <w:rtl/>
        </w:rPr>
        <w:t>כז</w:t>
      </w:r>
      <w:proofErr w:type="spellEnd"/>
      <w:r>
        <w:rPr>
          <w:sz w:val="20"/>
          <w:szCs w:val="20"/>
          <w:rtl/>
        </w:rPr>
        <w:t>.</w:t>
      </w:r>
    </w:p>
  </w:footnote>
  <w:footnote w:id="5202">
    <w:p w14:paraId="15EF4D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בבא </w:t>
      </w:r>
      <w:proofErr w:type="spellStart"/>
      <w:r>
        <w:rPr>
          <w:sz w:val="20"/>
          <w:szCs w:val="20"/>
          <w:rtl/>
        </w:rPr>
        <w:t>בתרא</w:t>
      </w:r>
      <w:proofErr w:type="spellEnd"/>
      <w:r>
        <w:rPr>
          <w:sz w:val="20"/>
          <w:szCs w:val="20"/>
          <w:rtl/>
        </w:rPr>
        <w:t xml:space="preserve"> ג ע״ב. העניין בסיפור שבמלכים הוא שהמלך הבין מה תהיה מחשבת בעלות הדין בתגובה לפקודתו ‘</w:t>
      </w:r>
      <w:proofErr w:type="spellStart"/>
      <w:r>
        <w:rPr>
          <w:sz w:val="20"/>
          <w:szCs w:val="20"/>
          <w:rtl/>
        </w:rPr>
        <w:t>גזורו</w:t>
      </w:r>
      <w:proofErr w:type="spellEnd"/>
      <w:r>
        <w:rPr>
          <w:sz w:val="20"/>
          <w:szCs w:val="20"/>
          <w:rtl/>
        </w:rPr>
        <w:t>’; אבי רק הוסיף ששלמה המלך היה צריך להיות בטוח לחלוטין שזו תהיה תגובתן לפני שהוציא את פסקו, שאין להשיבו.</w:t>
      </w:r>
    </w:p>
    <w:p w14:paraId="188F4B50" w14:textId="77777777" w:rsidR="00AB3647" w:rsidRDefault="00000000">
      <w:pPr>
        <w:spacing w:after="0" w:before="0"/>
        <w:jc w:val="both"/>
      </w:pPr>
      <w:r>
        <w:rPr>
          <w:sz w:val="20"/>
          <w:szCs w:val="20"/>
          <w:rtl/>
        </w:rPr>
        <w:t>השווה גם “מושב זקנים”, סוף פרשת מקץ: כשהכריז שלמה המלך ‘</w:t>
      </w:r>
      <w:proofErr w:type="spellStart"/>
      <w:r>
        <w:rPr>
          <w:sz w:val="20"/>
          <w:szCs w:val="20"/>
          <w:rtl/>
        </w:rPr>
        <w:t>גזורו</w:t>
      </w:r>
      <w:proofErr w:type="spellEnd"/>
      <w:r>
        <w:rPr>
          <w:sz w:val="20"/>
          <w:szCs w:val="20"/>
          <w:rtl/>
        </w:rPr>
        <w:t xml:space="preserve">’, התנגדו הסנהדרין להוצאה להורג שציווה עליה, והמלך אמר: ‘אני יודע </w:t>
      </w:r>
      <w:proofErr w:type="spellStart"/>
      <w:r>
        <w:rPr>
          <w:sz w:val="20"/>
          <w:szCs w:val="20"/>
          <w:rtl/>
        </w:rPr>
        <w:t>בחכמתי</w:t>
      </w:r>
      <w:proofErr w:type="spellEnd"/>
      <w:r>
        <w:rPr>
          <w:sz w:val="20"/>
          <w:szCs w:val="20"/>
          <w:rtl/>
        </w:rPr>
        <w:t xml:space="preserve"> לחלקה ששני החצאים (יהיו) [יחיו]’. אפשר לפרש את תשובת המלך שידע בדיוק מה תהיה תגובת בעלות הדין, ושההריגה לא תתקיים לעולם, כפי שהסביר רבנו.</w:t>
      </w:r>
    </w:p>
    <w:p w14:paraId="4C48FE39" w14:textId="77777777" w:rsidR="00AB3647" w:rsidRDefault="00000000">
      <w:pPr>
        <w:spacing w:after="0" w:before="0"/>
        <w:jc w:val="both"/>
      </w:pPr>
      <w:r>
        <w:rPr>
          <w:sz w:val="20"/>
          <w:szCs w:val="20"/>
          <w:rtl/>
        </w:rPr>
        <w:t xml:space="preserve">“ילקוט שמעוני” במלכים שם מביא את המלך מסביר שהאיברים הכפולים נבראו כדי שיהיה אפשר לחלקם לשניים. הילקוט מצטט אחר כך תנא שאמר: ‘אלו הייתי שם פקרין הייתי נותן על </w:t>
      </w:r>
      <w:proofErr w:type="spellStart"/>
      <w:r>
        <w:rPr>
          <w:sz w:val="20"/>
          <w:szCs w:val="20"/>
          <w:rtl/>
        </w:rPr>
        <w:t>צוארו</w:t>
      </w:r>
      <w:proofErr w:type="spellEnd"/>
      <w:r>
        <w:rPr>
          <w:sz w:val="20"/>
          <w:szCs w:val="20"/>
          <w:rtl/>
        </w:rPr>
        <w:t xml:space="preserve"> של שלמה’ [והיה חייב כמכשף – אם לא כרוצח]. ובסוף מביא הילקוט שכאשר אמר המלך ‘</w:t>
      </w:r>
      <w:proofErr w:type="spellStart"/>
      <w:r>
        <w:rPr>
          <w:sz w:val="20"/>
          <w:szCs w:val="20"/>
          <w:rtl/>
        </w:rPr>
        <w:t>גזורו</w:t>
      </w:r>
      <w:proofErr w:type="spellEnd"/>
      <w:r>
        <w:rPr>
          <w:sz w:val="20"/>
          <w:szCs w:val="20"/>
          <w:rtl/>
        </w:rPr>
        <w:t xml:space="preserve">’, ראו בו יועצי המלך – כלומר, הסנהדרין – מי שאינו ראוי למלוך עליהם, והחילו עליו את המחצית הראשונה של קהלת י, </w:t>
      </w:r>
      <w:proofErr w:type="spellStart"/>
      <w:r>
        <w:rPr>
          <w:sz w:val="20"/>
          <w:szCs w:val="20"/>
          <w:rtl/>
        </w:rPr>
        <w:t>טז</w:t>
      </w:r>
      <w:proofErr w:type="spellEnd"/>
      <w:r>
        <w:rPr>
          <w:sz w:val="20"/>
          <w:szCs w:val="20"/>
          <w:rtl/>
        </w:rPr>
        <w:t xml:space="preserve">; וכאשר דיברה האם וראו את התוצאה, החילו את המחצית הראשונה של הפסוק הבא, קהלת י, </w:t>
      </w:r>
      <w:proofErr w:type="spellStart"/>
      <w:r>
        <w:rPr>
          <w:sz w:val="20"/>
          <w:szCs w:val="20"/>
          <w:rtl/>
        </w:rPr>
        <w:t>יז</w:t>
      </w:r>
      <w:proofErr w:type="spellEnd"/>
      <w:r>
        <w:rPr>
          <w:sz w:val="20"/>
          <w:szCs w:val="20"/>
          <w:rtl/>
        </w:rPr>
        <w:t>. דרכם של חז״ל מסייעת לרבנו לראות את צו המלך לא כאיום ריק, אלא כהוראה מחייבת – אילו עמדו בעלות הדין על שלהן.</w:t>
      </w:r>
    </w:p>
  </w:footnote>
  <w:footnote w:id="5203">
    <w:p w14:paraId="274DB9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השלישית של נספח ו.</w:t>
      </w:r>
    </w:p>
  </w:footnote>
  <w:footnote w:id="5204">
    <w:p w14:paraId="6BD094C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הציטוט </w:t>
      </w:r>
      <w:proofErr w:type="spellStart"/>
      <w:r>
        <w:rPr>
          <w:sz w:val="20"/>
          <w:szCs w:val="20"/>
          <w:rtl/>
        </w:rPr>
        <w:t>מ“חידושי</w:t>
      </w:r>
      <w:proofErr w:type="spellEnd"/>
      <w:r>
        <w:rPr>
          <w:sz w:val="20"/>
          <w:szCs w:val="20"/>
          <w:rtl/>
        </w:rPr>
        <w:t xml:space="preserve"> רבנו חיים הלוי” המובא בפרק 3, נספח לא, וסוף נספח ט בפרק 3, על כך שההולכים בדרכו של ר׳ חיים ראו בתורתו את האמת המוחלטת. השווה גם נוסח מצבת ר׳ חיים, המצוטט בפסקה התשיעית להלן, שבו הדגישו מחבריו את ‘הבנת התורה לאמיתה’.</w:t>
      </w:r>
    </w:p>
  </w:footnote>
  <w:footnote w:id="5205">
    <w:p w14:paraId="3BE9210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תחילת נספח א לעיל – עמ׳ 365.</w:t>
      </w:r>
    </w:p>
  </w:footnote>
  <w:footnote w:id="5206">
    <w:p w14:paraId="79A548A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כט</w:t>
      </w:r>
      <w:proofErr w:type="spellEnd"/>
      <w:r>
        <w:rPr>
          <w:sz w:val="20"/>
          <w:szCs w:val="20"/>
          <w:rtl/>
        </w:rPr>
        <w:t>.</w:t>
      </w:r>
    </w:p>
  </w:footnote>
  <w:footnote w:id="5207">
    <w:p w14:paraId="54E249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1, עמ׳ 214.</w:t>
      </w:r>
    </w:p>
  </w:footnote>
  <w:footnote w:id="5208">
    <w:p w14:paraId="0827AB2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מכון בית אהרן וישראל, ירושלים, תשנ״ב.</w:t>
      </w:r>
    </w:p>
  </w:footnote>
  <w:footnote w:id="5209">
    <w:p w14:paraId="72AC9E5E"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 xml:space="preserve">ר׳ יוסף־דב נתמנה לרב </w:t>
      </w:r>
      <w:proofErr w:type="spellStart"/>
      <w:r>
        <w:rPr>
          <w:sz w:val="20"/>
          <w:szCs w:val="20"/>
          <w:rtl/>
        </w:rPr>
        <w:t>בבריסק</w:t>
      </w:r>
      <w:proofErr w:type="spellEnd"/>
      <w:r>
        <w:rPr>
          <w:sz w:val="20"/>
          <w:szCs w:val="20"/>
          <w:rtl/>
        </w:rPr>
        <w:t xml:space="preserve"> רק </w:t>
      </w:r>
      <w:proofErr w:type="spellStart"/>
      <w:r>
        <w:rPr>
          <w:sz w:val="20"/>
          <w:szCs w:val="20"/>
          <w:rtl/>
        </w:rPr>
        <w:t>בתרל״ח</w:t>
      </w:r>
      <w:proofErr w:type="spellEnd"/>
      <w:r>
        <w:rPr>
          <w:sz w:val="20"/>
          <w:szCs w:val="20"/>
          <w:rtl/>
        </w:rPr>
        <w:t xml:space="preserve">; </w:t>
      </w:r>
      <w:proofErr w:type="spellStart"/>
      <w:r>
        <w:rPr>
          <w:sz w:val="20"/>
          <w:szCs w:val="20"/>
          <w:rtl/>
        </w:rPr>
        <w:t>בתרל״ד</w:t>
      </w:r>
      <w:proofErr w:type="spellEnd"/>
      <w:r>
        <w:rPr>
          <w:sz w:val="20"/>
          <w:szCs w:val="20"/>
          <w:rtl/>
        </w:rPr>
        <w:t xml:space="preserve"> עדיין כיהן </w:t>
      </w:r>
      <w:proofErr w:type="spellStart"/>
      <w:r>
        <w:rPr>
          <w:sz w:val="20"/>
          <w:szCs w:val="20"/>
          <w:rtl/>
        </w:rPr>
        <w:t>בסלוצק</w:t>
      </w:r>
      <w:proofErr w:type="spellEnd"/>
      <w:r>
        <w:rPr>
          <w:sz w:val="20"/>
          <w:szCs w:val="20"/>
          <w:rtl/>
        </w:rPr>
        <w:t xml:space="preserve"> (ומשם עבר לוורשה), כך שאביו של ר׳ חיים לא ישב אז </w:t>
      </w:r>
      <w:proofErr w:type="spellStart"/>
      <w:r>
        <w:rPr>
          <w:sz w:val="20"/>
          <w:szCs w:val="20"/>
          <w:rtl/>
        </w:rPr>
        <w:t>בבריסק</w:t>
      </w:r>
      <w:proofErr w:type="spellEnd"/>
      <w:r>
        <w:rPr>
          <w:sz w:val="20"/>
          <w:szCs w:val="20"/>
          <w:rtl/>
        </w:rPr>
        <w:t>.</w:t>
      </w:r>
    </w:p>
  </w:footnote>
  <w:footnote w:id="5210">
    <w:p w14:paraId="74DD8E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ב־16 באוגוסט 1995.</w:t>
      </w:r>
    </w:p>
  </w:footnote>
  <w:footnote w:id="5211">
    <w:p w14:paraId="52723C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76–78.</w:t>
      </w:r>
    </w:p>
  </w:footnote>
  <w:footnote w:id="5212">
    <w:p w14:paraId="038122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ייתכן שהסיפור הקיצוני הזה, אף שנדפס, הוא הגזמה של סיפור אחר, ודאי מהימן, שסיפר לי ר׳ אליעזר אבנר ב־9 ביולי 1997 בשם חמותו. היא הייתה בתו של ר׳ שלום </w:t>
      </w:r>
      <w:proofErr w:type="spellStart"/>
      <w:r>
        <w:rPr>
          <w:sz w:val="20"/>
          <w:szCs w:val="20"/>
          <w:rtl/>
        </w:rPr>
        <w:t>קופצ׳ינסקי</w:t>
      </w:r>
      <w:proofErr w:type="spellEnd"/>
      <w:r>
        <w:rPr>
          <w:sz w:val="20"/>
          <w:szCs w:val="20"/>
          <w:rtl/>
        </w:rPr>
        <w:t>, בן דודה של אשת ר׳ חיים. משרתת יהודייה רווקה שעבדה בבית ר׳ חיים נכנסה להיריון, והוא הורה לרבנית שלא לפטר אותה, אלא לדאוג במיוחד לבריאותה כדי שלא תאבד את התינוק, ולסייע לה להינשא אחר כך.</w:t>
      </w:r>
    </w:p>
    <w:p w14:paraId="0C044E21" w14:textId="77777777" w:rsidR="00AB3647" w:rsidRDefault="00000000">
      <w:pPr>
        <w:spacing w:after="0" w:before="0"/>
        <w:jc w:val="both"/>
      </w:pPr>
      <w:r>
        <w:rPr>
          <w:sz w:val="20"/>
          <w:szCs w:val="20"/>
          <w:rtl/>
        </w:rPr>
        <w:t>אולם השווה “</w:t>
      </w:r>
      <w:proofErr w:type="spellStart"/>
      <w:r>
        <w:rPr>
          <w:sz w:val="20"/>
          <w:szCs w:val="20"/>
          <w:rtl/>
        </w:rPr>
        <w:t>ארחות</w:t>
      </w:r>
      <w:proofErr w:type="spellEnd"/>
      <w:r>
        <w:rPr>
          <w:sz w:val="20"/>
          <w:szCs w:val="20"/>
          <w:rtl/>
        </w:rPr>
        <w:t xml:space="preserve"> חסידיך” (הפסקה הראשונה של נספח ב לעיל), עמ׳ 116–117, המספר בשם ר׳ יצחק־זאב </w:t>
      </w:r>
      <w:proofErr w:type="spellStart"/>
      <w:r>
        <w:rPr>
          <w:sz w:val="20"/>
          <w:szCs w:val="20"/>
          <w:rtl/>
        </w:rPr>
        <w:t>סולובייצ׳יק</w:t>
      </w:r>
      <w:proofErr w:type="spellEnd"/>
      <w:r>
        <w:rPr>
          <w:sz w:val="20"/>
          <w:szCs w:val="20"/>
          <w:rtl/>
        </w:rPr>
        <w:t xml:space="preserve"> את הסיפור כפי שהוא מובא </w:t>
      </w:r>
      <w:proofErr w:type="spellStart"/>
      <w:r>
        <w:rPr>
          <w:sz w:val="20"/>
          <w:szCs w:val="20"/>
          <w:rtl/>
        </w:rPr>
        <w:t>ב“אישים</w:t>
      </w:r>
      <w:proofErr w:type="spellEnd"/>
      <w:r>
        <w:rPr>
          <w:sz w:val="20"/>
          <w:szCs w:val="20"/>
          <w:rtl/>
        </w:rPr>
        <w:t xml:space="preserve"> ושיטות”: ר׳ חיים גבר על התנגדות הרבנית לקבל לביתם אישה זרה (ולא “להשאיר את המשרתת”), שבאה לשהות אצלם “יחד עם בנה הממזר”. אבל הוא אינו מסביר, כמו “אישים ושיטות”, מדוע קראה הרבנית לילד ממזר. ייתכן אפוא שיש כאן שני סיפורים על שתי נשים אומללות.</w:t>
      </w:r>
    </w:p>
  </w:footnote>
  <w:footnote w:id="5213">
    <w:p w14:paraId="1C35EFB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1, הערה 7.</w:t>
      </w:r>
    </w:p>
  </w:footnote>
  <w:footnote w:id="5214">
    <w:p w14:paraId="5C398A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כמו במקרה של המשרתת, שצוטט מפי ר׳ אבנר בהערת שוליים </w:t>
      </w:r>
      <w:r>
        <w:rPr>
          <w:sz w:val="20"/>
          <w:szCs w:val="20"/>
          <w:rtl/>
        </w:rPr>
        <w:fldChar w:fldCharType="begin" w:dirty="true"/>
      </w:r>
      <w:r>
        <w:rPr>
          <w:sz w:val="20"/>
          <w:szCs w:val="20"/>
          <w:rtl/>
        </w:rPr>
        <w:instrText xml:space="preserve"> NOTEREF _fnr5198 \h </w:instrText>
      </w:r>
      <w:r>
        <w:rPr>
          <w:sz w:val="20"/>
          <w:szCs w:val="20"/>
          <w:rtl/>
        </w:rPr>
      </w:r>
      <w:r>
        <w:rPr>
          <w:sz w:val="20"/>
          <w:szCs w:val="20"/>
          <w:rtl/>
        </w:rPr>
        <w:fldChar w:fldCharType="separate"/>
      </w:r>
      <w:r w:rsidR="007923E9">
        <w:rPr>
          <w:sz w:val="20"/>
          <w:szCs w:val="20"/>
          <w:rtl/>
        </w:rPr>
        <w:t>728</w:t>
      </w:r>
      <w:r>
        <w:rPr>
          <w:sz w:val="20"/>
          <w:szCs w:val="20"/>
          <w:rtl/>
        </w:rPr>
        <w:fldChar w:fldCharType="end"/>
      </w:r>
      <w:r>
        <w:rPr>
          <w:sz w:val="20"/>
          <w:szCs w:val="20"/>
          <w:rtl/>
        </w:rPr>
        <w:t xml:space="preserve"> לעיל.</w:t>
      </w:r>
    </w:p>
  </w:footnote>
  <w:footnote w:id="5215">
    <w:p w14:paraId="2677E77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w:t>
      </w:r>
      <w:proofErr w:type="spellStart"/>
      <w:r>
        <w:rPr>
          <w:sz w:val="20"/>
          <w:szCs w:val="20"/>
          <w:rtl/>
        </w:rPr>
        <w:t>בילגורייא</w:t>
      </w:r>
      <w:proofErr w:type="spellEnd"/>
      <w:r>
        <w:rPr>
          <w:sz w:val="20"/>
          <w:szCs w:val="20"/>
          <w:rtl/>
        </w:rPr>
        <w:t>, תרפ״ה) – עמ׳ לו. זהו ספר הספדים על גדולי תורה שנפטרו בשנות מלחמת העולם הראשונה.</w:t>
      </w:r>
    </w:p>
  </w:footnote>
  <w:footnote w:id="5216">
    <w:p w14:paraId="60F7ED1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תיאור השתתפותו בצער האומללים תואם את תיאור אבי שושלת “בית הרב”, ר׳ חיים </w:t>
      </w:r>
      <w:proofErr w:type="spellStart"/>
      <w:r>
        <w:rPr>
          <w:sz w:val="20"/>
          <w:szCs w:val="20"/>
          <w:rtl/>
        </w:rPr>
        <w:t>מוולוז׳ין</w:t>
      </w:r>
      <w:proofErr w:type="spellEnd"/>
      <w:r>
        <w:rPr>
          <w:sz w:val="20"/>
          <w:szCs w:val="20"/>
          <w:rtl/>
        </w:rPr>
        <w:t>, בידי בנו בהקדמת “נפש החיים” – השווה הפסקה הפותחת “וגדולה ענוה”.</w:t>
      </w:r>
    </w:p>
  </w:footnote>
  <w:footnote w:id="5217">
    <w:p w14:paraId="224F66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18">
    <w:p w14:paraId="5B2C1DD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נראה שר׳ חיים נמנע מלתת לבן שיחו תשובה אמיתית לשאלתו (דחהו בקש, חולין </w:t>
      </w:r>
      <w:proofErr w:type="spellStart"/>
      <w:r>
        <w:rPr>
          <w:sz w:val="20"/>
          <w:szCs w:val="20"/>
          <w:rtl/>
        </w:rPr>
        <w:t>כז</w:t>
      </w:r>
      <w:proofErr w:type="spellEnd"/>
      <w:r>
        <w:rPr>
          <w:sz w:val="20"/>
          <w:szCs w:val="20"/>
          <w:rtl/>
        </w:rPr>
        <w:t xml:space="preserve"> ע״ב). או שסבר שחובתו כרב לעסוק בצדקה, ולכן אינו רשאי ליטול מזמנו ללימוד; או שמצא לכך די זמן תוך כדי עשיית החסדים – ראה להלן, בשם ר׳ יצחק־זאב, שמחשבתו של ר׳ חיים הייתה נתונה לתורה גם בשיחות חולין. מסתבר שסבר שאורחו הגרמני לא יבין אף אחד משני ההסברים.</w:t>
      </w:r>
    </w:p>
  </w:footnote>
  <w:footnote w:id="5219">
    <w:p w14:paraId="46826E9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42.</w:t>
      </w:r>
    </w:p>
  </w:footnote>
  <w:footnote w:id="5220">
    <w:p w14:paraId="14DA7A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כמבואר שם, עמ׳ 43.</w:t>
      </w:r>
    </w:p>
  </w:footnote>
  <w:footnote w:id="5221">
    <w:p w14:paraId="1C90640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28 בנובמבר 1995.</w:t>
      </w:r>
    </w:p>
  </w:footnote>
  <w:footnote w:id="5222">
    <w:p w14:paraId="6A595F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ב“הרב</w:t>
      </w:r>
      <w:proofErr w:type="spellEnd"/>
      <w:r>
        <w:rPr>
          <w:sz w:val="20"/>
          <w:szCs w:val="20"/>
          <w:rtl/>
        </w:rPr>
        <w:t xml:space="preserve">”, כרך ב, עמ׳ 41, מצוטט ר׳ </w:t>
      </w:r>
      <w:proofErr w:type="spellStart"/>
      <w:r>
        <w:rPr>
          <w:sz w:val="20"/>
          <w:szCs w:val="20"/>
          <w:rtl/>
        </w:rPr>
        <w:t xml:space="preserve">יוסף־דב</w:t>
      </w:r>
      <w:proofErr w:type="spellEnd"/>
      <w:r>
        <w:rPr>
          <w:sz w:val="20"/>
          <w:szCs w:val="20"/>
          <w:rtl/>
        </w:rPr>
        <w:t xml:space="preserve"> כשהוא מספר את הסיפור בגרסה מפליאה עוד יותר מזו שכאן – עד כדי כך שהיה עליו להקדים ולומר: “זה סיפור אמיתי”.</w:t>
      </w:r>
    </w:p>
    <w:p w14:paraId="01A3CDAF" w14:textId="77777777" w:rsidR="00AB3647" w:rsidRDefault="00000000">
      <w:pPr>
        <w:spacing w:after="0" w:before="0"/>
        <w:jc w:val="both"/>
      </w:pPr>
      <w:r>
        <w:rPr>
          <w:sz w:val="20"/>
          <w:szCs w:val="20"/>
          <w:rtl/>
        </w:rPr>
        <w:t xml:space="preserve">לדבריו, פעם יצא ר׳ חיים מביתו ומצא חבורת ילדים שהמתינו לו. הם אמרו שהם רוצים לשחק </w:t>
      </w:r>
      <w:proofErr w:type="spellStart"/>
      <w:r>
        <w:rPr>
          <w:sz w:val="20"/>
          <w:szCs w:val="20"/>
          <w:rtl/>
        </w:rPr>
        <w:t>ב“סוסים</w:t>
      </w:r>
      <w:proofErr w:type="spellEnd"/>
      <w:r>
        <w:rPr>
          <w:sz w:val="20"/>
          <w:szCs w:val="20"/>
          <w:rtl/>
        </w:rPr>
        <w:t xml:space="preserve">”, אבל איש מהם אינו רוצה להיות הסוס; כולם רוצים להיות העגלונים או הנוסעים. ר׳ חיים התנדב מיד להיות הסוס, והם קשרו אותו בחבלים. (אין ספק שמחשבתו הייתה נתונה לסוגיה של תורה בשעה </w:t>
      </w:r>
      <w:proofErr w:type="spellStart"/>
      <w:r>
        <w:rPr>
          <w:sz w:val="20"/>
          <w:szCs w:val="20"/>
          <w:rtl/>
        </w:rPr>
        <w:t>ש“רכבו</w:t>
      </w:r>
      <w:proofErr w:type="spellEnd"/>
      <w:r>
        <w:rPr>
          <w:sz w:val="20"/>
          <w:szCs w:val="20"/>
          <w:rtl/>
        </w:rPr>
        <w:t xml:space="preserve">” עליו, כפי שיתואר להלן, עמ׳ </w:t>
      </w:r>
      <w:r>
        <w:rPr>
          <w:sz w:val="20"/>
          <w:szCs w:val="20"/>
          <w:rtl/>
        </w:rPr>
        <w:fldChar w:fldCharType="begin" w:dirty="true"/>
      </w:r>
      <w:r>
        <w:rPr>
          <w:sz w:val="20"/>
          <w:szCs w:val="20"/>
          <w:rtl/>
        </w:rPr>
        <w:instrText xml:space="preserve"> PAGEREF pr_b_2800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כשהילדים התעייפו ורעבו, קשרו את ר׳ חיים לעץ בכמה קשרים חזקים והלכו הביתה לאכול. כל זה התרחש מול בית הכנסת. כשיצא הגבאי וסיפר לו הרב מה אירע, ביקש להביא סכין ולחתוך את החבלים. אבל ר׳ חיים לא הניח לו, שמא יתאכזבו הילדים, ובמקום זאת הורה לגבאי להביא את הילדים שיתירו אותו.</w:t>
      </w:r>
    </w:p>
  </w:footnote>
  <w:footnote w:id="5223">
    <w:p w14:paraId="041671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4, הפסקה השנייה של נספח כ.</w:t>
      </w:r>
    </w:p>
  </w:footnote>
  <w:footnote w:id="5224">
    <w:p w14:paraId="6C163E3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השווה גם פרק 3, הפסקה החמישית של נספח </w:t>
      </w:r>
      <w:proofErr w:type="spellStart"/>
      <w:r>
        <w:rPr>
          <w:rStyle w:val="a5"/>
          <w:sz w:val="20"/>
          <w:szCs w:val="20"/>
          <w:vertAlign w:val="baseline"/>
          <w:rtl/>
        </w:rPr>
        <w:t>יח</w:t>
      </w:r>
      <w:proofErr w:type="spellEnd"/>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pr_b_1352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על יחסו של ר׳ חיים לשמשו.</w:t>
      </w:r>
    </w:p>
  </w:footnote>
  <w:footnote w:id="5225">
    <w:p w14:paraId="2C5DD8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ההפניה למכתב שבאגרות ר׳ </w:t>
      </w:r>
      <w:proofErr w:type="spellStart"/>
      <w:r>
        <w:rPr>
          <w:sz w:val="20"/>
          <w:szCs w:val="20"/>
          <w:rtl/>
        </w:rPr>
        <w:t>יצחק־אייזיק</w:t>
      </w:r>
      <w:proofErr w:type="spellEnd"/>
      <w:r>
        <w:rPr>
          <w:sz w:val="20"/>
          <w:szCs w:val="20"/>
          <w:rtl/>
        </w:rPr>
        <w:t xml:space="preserve"> הלוי בפרק 3, נספח </w:t>
      </w:r>
      <w:proofErr w:type="spellStart"/>
      <w:r>
        <w:rPr>
          <w:sz w:val="20"/>
          <w:szCs w:val="20"/>
          <w:rtl/>
        </w:rPr>
        <w:t>יב</w:t>
      </w:r>
      <w:proofErr w:type="spellEnd"/>
      <w:r>
        <w:rPr>
          <w:sz w:val="20"/>
          <w:szCs w:val="20"/>
          <w:rtl/>
        </w:rPr>
        <w:t>. הקטע המצוטט שם מדגיש את הקושי להשפיע על ר׳ חיים באמצעות אישים רבניים.</w:t>
      </w:r>
    </w:p>
  </w:footnote>
  <w:footnote w:id="5226">
    <w:p w14:paraId="27484FB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ברור שמכתבו של ר׳ יעקב, הנושא את התאריך ד׳ באדר תרס״ט, מתייחס לאספה המתוכננת שהתקיימה בקיץ שלאחר מכן בבית הלוי </w:t>
      </w:r>
      <w:proofErr w:type="spellStart"/>
      <w:r>
        <w:rPr>
          <w:sz w:val="20"/>
          <w:szCs w:val="20"/>
          <w:rtl/>
        </w:rPr>
        <w:t>בבאד</w:t>
      </w:r>
      <w:proofErr w:type="spellEnd"/>
      <w:r>
        <w:rPr>
          <w:sz w:val="20"/>
          <w:szCs w:val="20"/>
          <w:rtl/>
        </w:rPr>
        <w:t xml:space="preserve"> </w:t>
      </w:r>
      <w:proofErr w:type="spellStart"/>
      <w:r>
        <w:rPr>
          <w:sz w:val="20"/>
          <w:szCs w:val="20"/>
          <w:rtl/>
        </w:rPr>
        <w:t>הומבורג</w:t>
      </w:r>
      <w:proofErr w:type="spellEnd"/>
      <w:r>
        <w:rPr>
          <w:sz w:val="20"/>
          <w:szCs w:val="20"/>
          <w:rtl/>
        </w:rPr>
        <w:t xml:space="preserve"> שליד פרנקפורט. אל יתפלא הקורא על הנימה המתנשאת במכתבו של הלוי; </w:t>
      </w:r>
      <w:proofErr w:type="spellStart"/>
      <w:r>
        <w:rPr>
          <w:sz w:val="20"/>
          <w:szCs w:val="20"/>
          <w:rtl/>
        </w:rPr>
        <w:t>רוזנהיים</w:t>
      </w:r>
      <w:proofErr w:type="spellEnd"/>
      <w:r>
        <w:rPr>
          <w:sz w:val="20"/>
          <w:szCs w:val="20"/>
          <w:rtl/>
        </w:rPr>
        <w:t xml:space="preserve"> היה צעיר ממנו בעשרים ושלוש שנה.</w:t>
      </w:r>
    </w:p>
  </w:footnote>
  <w:footnote w:id="5227">
    <w:p w14:paraId="1C27F5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התאמתו לתאריך העברי שבהערת השוליים הקודמת, סטה תאריכו של ר׳ </w:t>
      </w:r>
      <w:proofErr w:type="spellStart"/>
      <w:r>
        <w:rPr>
          <w:sz w:val="20"/>
          <w:szCs w:val="20"/>
          <w:rtl/>
        </w:rPr>
        <w:t>יצחק־אייזיק</w:t>
      </w:r>
      <w:proofErr w:type="spellEnd"/>
      <w:r>
        <w:rPr>
          <w:sz w:val="20"/>
          <w:szCs w:val="20"/>
          <w:rtl/>
        </w:rPr>
        <w:t xml:space="preserve"> הלוי ביומיים.</w:t>
      </w:r>
    </w:p>
  </w:footnote>
  <w:footnote w:id="5228">
    <w:p w14:paraId="43FA7D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גיטין נט ע״א, שם מתוארות תורה וגדולה כשתי מעלות ראויות לשבח.</w:t>
      </w:r>
    </w:p>
  </w:footnote>
  <w:footnote w:id="5229">
    <w:p w14:paraId="7BAEE68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221–222.</w:t>
      </w:r>
    </w:p>
  </w:footnote>
  <w:footnote w:id="5230">
    <w:p w14:paraId="7FCFC41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“מוסף שבת קודש”, פרשת במדבר, תשנ״ז, עמ׳ 12, מאמר מאת הרב צבי </w:t>
      </w:r>
      <w:proofErr w:type="spellStart"/>
      <w:r>
        <w:rPr>
          <w:sz w:val="20"/>
          <w:szCs w:val="20"/>
          <w:rtl/>
        </w:rPr>
        <w:t>יברוב</w:t>
      </w:r>
      <w:proofErr w:type="spellEnd"/>
      <w:r>
        <w:rPr>
          <w:sz w:val="20"/>
          <w:szCs w:val="20"/>
          <w:rtl/>
        </w:rPr>
        <w:t>.</w:t>
      </w:r>
    </w:p>
  </w:footnote>
  <w:footnote w:id="5231">
    <w:p w14:paraId="60A316A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פרק 3, נספח לב.</w:t>
      </w:r>
    </w:p>
  </w:footnote>
  <w:footnote w:id="5232">
    <w:p w14:paraId="6BA8CC3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מפי ר׳ עזרא </w:t>
      </w:r>
      <w:proofErr w:type="spellStart"/>
      <w:r>
        <w:rPr>
          <w:sz w:val="20"/>
          <w:szCs w:val="20"/>
          <w:rtl/>
        </w:rPr>
        <w:t>נויבערגר</w:t>
      </w:r>
      <w:proofErr w:type="spellEnd"/>
      <w:r>
        <w:rPr>
          <w:sz w:val="20"/>
          <w:szCs w:val="20"/>
          <w:rtl/>
        </w:rPr>
        <w:t xml:space="preserve"> (פרק 1, הערה 32).</w:t>
      </w:r>
    </w:p>
  </w:footnote>
  <w:footnote w:id="5233">
    <w:p w14:paraId="45AF927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18 באפריל 1995.</w:t>
      </w:r>
    </w:p>
  </w:footnote>
  <w:footnote w:id="5234">
    <w:p w14:paraId="7B924DC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גם הפסקה העשירית של נספח זה, הקושרת בין חסדו של ר׳ חיים לבין הצלחתו לכבוש את עולם הישיבות בשיטת לימודו המיוחדת. קיימת אפשרות רחוקה שבעיני ר׳ חיים רמזו שלוש המילים שציווה לכתוב גם לכך.</w:t>
      </w:r>
    </w:p>
  </w:footnote>
  <w:footnote w:id="5235">
    <w:p w14:paraId="36BE7268" w14:textId="77777777" w:rsidR="00AB3647" w:rsidRDefault="00000000">
      <w:pPr>
        <w:spacing w:after="0" w:before="0"/>
        <w:jc w:val="both"/>
      </w:pPr>
      <w:r>
        <w:rPr>
          <w:rStyle w:val="a5"/>
          <w:sz w:val="18"/>
          <w:szCs w:val="18"/>
          <w:vertAlign w:val="baseline"/>
        </w:rPr>
        <w:footnoteRef/>
      </w:r>
      <w:r>
        <w:rPr>
          <w:rStyle w:val="a5"/>
          <w:sz w:val="18"/>
          <w:szCs w:val="18"/>
          <w:vertAlign w:val="baseline"/>
          <w:rtl/>
        </w:rPr>
        <w:t xml:space="preserve">. </w:t>
      </w:r>
      <w:r>
        <w:rPr>
          <w:sz w:val="18"/>
          <w:szCs w:val="18"/>
          <w:rtl/>
        </w:rPr>
        <w:t>השווה גם שו״ת “חיים שאל”, סי׳ עד אות ו, המצוטט בפסקה הראשונה של נספח ה בפרק 3.</w:t>
      </w:r>
    </w:p>
  </w:footnote>
  <w:footnote w:id="5236">
    <w:p w14:paraId="4337D2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בעזרת הנוסח הרצוף שמסר ר׳ </w:t>
      </w:r>
      <w:proofErr w:type="spellStart"/>
      <w:r>
        <w:rPr>
          <w:sz w:val="20"/>
          <w:szCs w:val="20"/>
          <w:rtl/>
        </w:rPr>
        <w:t>משולם־דוד</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הצלחתי לשחזר, מתוך תצלום בלתי קריא של המצבה שצולם אחרי מלחמת העולם השנייה, את החלוקה המדויקת לשורות של נוסח המצבה – מלבד שלוש השורות הראשונות, ששוחזרו על פי השערה. המצבה המקורית נופצה בשואה, אבל חלקיה חוברו והיא הוחזרה על הקבר.</w:t>
      </w:r>
    </w:p>
  </w:footnote>
  <w:footnote w:id="5237">
    <w:p w14:paraId="4F9C065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להלן בעניין תרגומן המדויק של המילים “רב החסד”.</w:t>
      </w:r>
    </w:p>
  </w:footnote>
  <w:footnote w:id="5238">
    <w:p w14:paraId="2FABBF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pr_f_4984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638</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pr_f_4984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rStyle w:val="a5"/>
          <w:sz w:val="20"/>
          <w:szCs w:val="20"/>
          <w:vertAlign w:val="baseline"/>
          <w:rtl/>
        </w:rPr>
        <w:t>, בעניין משמעות המילים “כמו שהם”</w:t>
      </w:r>
      <w:r>
        <w:rPr>
          <w:sz w:val="20"/>
          <w:szCs w:val="20"/>
          <w:rtl/>
        </w:rPr>
        <w:t>.</w:t>
      </w:r>
    </w:p>
  </w:footnote>
  <w:footnote w:id="5239">
    <w:p w14:paraId="6AE8E10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בראשית </w:t>
      </w:r>
      <w:proofErr w:type="spellStart"/>
      <w:r>
        <w:rPr>
          <w:sz w:val="20"/>
          <w:szCs w:val="20"/>
          <w:rtl/>
        </w:rPr>
        <w:t>כח</w:t>
      </w:r>
      <w:proofErr w:type="spellEnd"/>
      <w:r>
        <w:rPr>
          <w:sz w:val="20"/>
          <w:szCs w:val="20"/>
          <w:rtl/>
        </w:rPr>
        <w:t>, יא.</w:t>
      </w:r>
    </w:p>
  </w:footnote>
  <w:footnote w:id="5240">
    <w:p w14:paraId="030E8C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“ר׳ </w:t>
      </w:r>
      <w:proofErr w:type="spellStart"/>
      <w:r>
        <w:rPr>
          <w:sz w:val="20"/>
          <w:szCs w:val="20"/>
          <w:rtl/>
        </w:rPr>
        <w:t>זונדל</w:t>
      </w:r>
      <w:proofErr w:type="spellEnd"/>
      <w:r>
        <w:rPr>
          <w:sz w:val="20"/>
          <w:szCs w:val="20"/>
          <w:rtl/>
        </w:rPr>
        <w:t xml:space="preserve">” (פרק 3, נספח ב לעיל), הערת שוליים ב בעמ׳ </w:t>
      </w:r>
      <w:proofErr w:type="spellStart"/>
      <w:r>
        <w:rPr>
          <w:sz w:val="20"/>
          <w:szCs w:val="20"/>
          <w:rtl/>
        </w:rPr>
        <w:t>כא</w:t>
      </w:r>
      <w:proofErr w:type="spellEnd"/>
      <w:r>
        <w:rPr>
          <w:sz w:val="20"/>
          <w:szCs w:val="20"/>
          <w:rtl/>
        </w:rPr>
        <w:t>.</w:t>
      </w:r>
    </w:p>
  </w:footnote>
  <w:footnote w:id="5241">
    <w:p w14:paraId="603325E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כפי שהיא קודמת בשלושת הדברים המנויים בראש מסכת אבות, שעליהם העולם עומד: תורה, עבודה וגמילות חסדים.</w:t>
      </w:r>
    </w:p>
  </w:footnote>
  <w:footnote w:id="5242">
    <w:p w14:paraId="25414A7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ב, עמ׳ 49.</w:t>
      </w:r>
    </w:p>
  </w:footnote>
  <w:footnote w:id="5243">
    <w:p w14:paraId="54D1746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“הרב”, כרך א, עמ׳ 194, שם מצוטט ר׳ </w:t>
      </w:r>
      <w:proofErr w:type="spellStart"/>
      <w:r>
        <w:rPr>
          <w:sz w:val="20"/>
          <w:szCs w:val="20"/>
          <w:rtl/>
        </w:rPr>
        <w:t xml:space="preserve">יוסף־דב</w:t>
      </w:r>
      <w:proofErr w:type="spellEnd"/>
      <w:r>
        <w:rPr>
          <w:sz w:val="20"/>
          <w:szCs w:val="20"/>
          <w:rtl/>
        </w:rPr>
        <w:t xml:space="preserve"> בנוסח שונה במקצת: “אבי ודודי [ר׳ </w:t>
      </w:r>
      <w:proofErr w:type="spellStart"/>
      <w:r>
        <w:rPr>
          <w:sz w:val="20"/>
          <w:szCs w:val="20"/>
          <w:rtl/>
        </w:rPr>
        <w:t xml:space="preserve">וועלוול׳ה</w:t>
      </w:r>
      <w:proofErr w:type="spellEnd"/>
      <w:r>
        <w:rPr>
          <w:sz w:val="20"/>
          <w:szCs w:val="20"/>
          <w:rtl/>
        </w:rPr>
        <w:t xml:space="preserve">] עמדו על כך </w:t>
      </w:r>
      <w:proofErr w:type="spellStart"/>
      <w:r>
        <w:rPr>
          <w:sz w:val="20"/>
          <w:szCs w:val="20"/>
          <w:rtl/>
        </w:rPr>
        <w:t>ש‘רב</w:t>
      </w:r>
      <w:proofErr w:type="spellEnd"/>
      <w:r>
        <w:rPr>
          <w:sz w:val="20"/>
          <w:szCs w:val="20"/>
          <w:rtl/>
        </w:rPr>
        <w:t xml:space="preserve"> החסד’ ייחרת... בניגוד לרצונו של ר׳ חיים בצוואתו, שלא ייחרתו תארים על מצבתו”. כדי שלא תהיה סתירה בין הדברים האלה לבין מה שמסר ר׳ עזריה ברזון מפי ר׳ </w:t>
      </w:r>
      <w:proofErr w:type="spellStart"/>
      <w:r>
        <w:rPr>
          <w:sz w:val="20"/>
          <w:szCs w:val="20"/>
          <w:rtl/>
        </w:rPr>
        <w:t xml:space="preserve">יוסף־דב</w:t>
      </w:r>
      <w:proofErr w:type="spellEnd"/>
      <w:r>
        <w:rPr>
          <w:sz w:val="20"/>
          <w:szCs w:val="20"/>
          <w:rtl/>
        </w:rPr>
        <w:t xml:space="preserve"> על צוואת ר׳ חיים, יש לתקן את האמרה ולקרוא: “אבי ודודי עמדו על כך </w:t>
      </w:r>
      <w:proofErr w:type="spellStart"/>
      <w:r>
        <w:rPr>
          <w:sz w:val="20"/>
          <w:szCs w:val="20"/>
          <w:rtl/>
        </w:rPr>
        <w:t>ש‘רב</w:t>
      </w:r>
      <w:proofErr w:type="spellEnd"/>
      <w:r>
        <w:rPr>
          <w:sz w:val="20"/>
          <w:szCs w:val="20"/>
          <w:rtl/>
        </w:rPr>
        <w:t xml:space="preserve"> החסד’ יוקדם לשאר התארים שנחקקו... מפני רצונו של ר׳ חיים בצוואתו שלא ייחרתו על מצבתו תארים זולת זה”.</w:t>
      </w:r>
    </w:p>
  </w:footnote>
  <w:footnote w:id="5244">
    <w:p w14:paraId="026BFC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בגיליון של השבועון היידי “</w:t>
      </w:r>
      <w:proofErr w:type="spellStart"/>
      <w:r>
        <w:rPr>
          <w:sz w:val="20"/>
          <w:szCs w:val="20"/>
          <w:rtl/>
        </w:rPr>
        <w:t>אלגעמיינער</w:t>
      </w:r>
      <w:proofErr w:type="spellEnd"/>
      <w:r>
        <w:rPr>
          <w:sz w:val="20"/>
          <w:szCs w:val="20"/>
          <w:rtl/>
        </w:rPr>
        <w:t xml:space="preserve"> </w:t>
      </w:r>
      <w:proofErr w:type="spellStart"/>
      <w:r>
        <w:rPr>
          <w:sz w:val="20"/>
          <w:szCs w:val="20"/>
          <w:rtl/>
        </w:rPr>
        <w:t>זשורנאל</w:t>
      </w:r>
      <w:proofErr w:type="spellEnd"/>
      <w:r>
        <w:rPr>
          <w:sz w:val="20"/>
          <w:szCs w:val="20"/>
          <w:rtl/>
        </w:rPr>
        <w:t>”, שתאריכו לא נרשם בידיי וגם ר׳ שאול רוט לא הצליח להיזכר בו.</w:t>
      </w:r>
    </w:p>
  </w:footnote>
  <w:footnote w:id="5245">
    <w:p w14:paraId="03C3576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כמשמעות רב (חסד) בי״ג מידותיו של הקב״ה (שמות לד, ו).</w:t>
      </w:r>
    </w:p>
  </w:footnote>
  <w:footnote w:id="5246">
    <w:p w14:paraId="77FBEEA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שלפני האחרונה בהקדמת “חידושי רבנו חיים הלוי”, שבה מספרים בניו שר׳ חיים “נתן נפשו” לוודא </w:t>
      </w:r>
      <w:proofErr w:type="spellStart"/>
      <w:r>
        <w:rPr>
          <w:sz w:val="20"/>
          <w:szCs w:val="20"/>
          <w:rtl/>
        </w:rPr>
        <w:t>ש“כל</w:t>
      </w:r>
      <w:proofErr w:type="spellEnd"/>
      <w:r>
        <w:rPr>
          <w:sz w:val="20"/>
          <w:szCs w:val="20"/>
          <w:rtl/>
        </w:rPr>
        <w:t xml:space="preserve"> קוץ וקוץ” בכתב היד שהכין לדפוס יהיה “מבורר ומאומת ומדוקדק”.</w:t>
      </w:r>
    </w:p>
  </w:footnote>
  <w:footnote w:id="5247">
    <w:p w14:paraId="16FF08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4 באוקטובר 1993.</w:t>
      </w:r>
    </w:p>
  </w:footnote>
  <w:footnote w:id="5248">
    <w:p w14:paraId="50F8B5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או״ח</w:t>
      </w:r>
      <w:proofErr w:type="spellEnd"/>
      <w:r>
        <w:rPr>
          <w:sz w:val="20"/>
          <w:szCs w:val="20"/>
          <w:rtl/>
        </w:rPr>
        <w:t xml:space="preserve"> סי׳ שכח ס״ד, ובביאור הלכה ד״ה כל שרגילים. השווה גם עמ׳ </w:t>
      </w:r>
      <w:r>
        <w:rPr>
          <w:sz w:val="20"/>
          <w:szCs w:val="20"/>
          <w:rtl/>
        </w:rPr>
        <w:fldChar w:fldCharType="begin" w:dirty="true"/>
      </w:r>
      <w:r>
        <w:rPr>
          <w:sz w:val="20"/>
          <w:szCs w:val="20"/>
          <w:rtl/>
        </w:rPr>
        <w:instrText xml:space="preserve"> PAGEREF pr_f_4623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pr_f_4623 \h </w:instrText>
      </w:r>
      <w:r>
        <w:rPr>
          <w:sz w:val="20"/>
          <w:szCs w:val="20"/>
          <w:rtl/>
        </w:rPr>
      </w:r>
      <w:r>
        <w:rPr>
          <w:sz w:val="20"/>
          <w:szCs w:val="20"/>
          <w:rtl/>
        </w:rPr>
        <w:fldChar w:fldCharType="separate"/>
      </w:r>
      <w:r w:rsidR="007923E9">
        <w:rPr>
          <w:sz w:val="20"/>
          <w:szCs w:val="20"/>
          <w:rtl/>
        </w:rPr>
        <w:t>277</w:t>
      </w:r>
      <w:r>
        <w:rPr>
          <w:sz w:val="20"/>
          <w:szCs w:val="20"/>
          <w:rtl/>
        </w:rPr>
        <w:fldChar w:fldCharType="end"/>
      </w:r>
      <w:r>
        <w:rPr>
          <w:sz w:val="20"/>
          <w:szCs w:val="20"/>
          <w:rtl/>
        </w:rPr>
        <w:t xml:space="preserve">, בעניין </w:t>
      </w:r>
      <w:proofErr w:type="spellStart"/>
      <w:r>
        <w:rPr>
          <w:sz w:val="20"/>
          <w:szCs w:val="20"/>
          <w:rtl/>
        </w:rPr>
        <w:t>קולא</w:t>
      </w:r>
      <w:proofErr w:type="spellEnd"/>
      <w:r>
        <w:rPr>
          <w:sz w:val="20"/>
          <w:szCs w:val="20"/>
          <w:rtl/>
        </w:rPr>
        <w:t xml:space="preserve"> נוספת של ר׳ חיים במקרה של מחלה שיש בה סכנת חיים.</w:t>
      </w:r>
    </w:p>
  </w:footnote>
  <w:footnote w:id="5249">
    <w:p w14:paraId="7056435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4, הפסקה הראשונה של נספח ט – עמ׳ 673–674 ו־708–710.</w:t>
      </w:r>
    </w:p>
  </w:footnote>
  <w:footnote w:id="5250">
    <w:p w14:paraId="3862216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א, עמ׳ 229.</w:t>
      </w:r>
    </w:p>
  </w:footnote>
  <w:footnote w:id="5251">
    <w:p w14:paraId="27A8E45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מספר השנים הנקוב שם הוא “כשלושים, שלושים וחמש שנה”. מספר זה אינו נכון, וצריך להיות “עשרים, עשרים וחמש שנה”, שכן ר׳ חיים נעשה רב </w:t>
      </w:r>
      <w:proofErr w:type="spellStart"/>
      <w:r>
        <w:rPr>
          <w:sz w:val="20"/>
          <w:szCs w:val="20"/>
          <w:rtl/>
        </w:rPr>
        <w:t>בתרנ״ב</w:t>
      </w:r>
      <w:proofErr w:type="spellEnd"/>
      <w:r>
        <w:rPr>
          <w:sz w:val="20"/>
          <w:szCs w:val="20"/>
          <w:rtl/>
        </w:rPr>
        <w:t xml:space="preserve">, נשאר בעיר עשרים ושלוש שנה, עד שמלחמת העולם אילצה אותו לעבור למינסק, ונפטר כעבור שלוש עד ארבע שנים בלי ששב </w:t>
      </w:r>
      <w:proofErr w:type="spellStart"/>
      <w:r>
        <w:rPr>
          <w:sz w:val="20"/>
          <w:szCs w:val="20"/>
          <w:rtl/>
        </w:rPr>
        <w:t>לבריסק</w:t>
      </w:r>
      <w:proofErr w:type="spellEnd"/>
      <w:r>
        <w:rPr>
          <w:sz w:val="20"/>
          <w:szCs w:val="20"/>
          <w:rtl/>
        </w:rPr>
        <w:t xml:space="preserve">. גם אם נכלול בשנות </w:t>
      </w:r>
      <w:proofErr w:type="spellStart"/>
      <w:r>
        <w:rPr>
          <w:sz w:val="20"/>
          <w:szCs w:val="20"/>
          <w:rtl/>
        </w:rPr>
        <w:t>רבנותו</w:t>
      </w:r>
      <w:proofErr w:type="spellEnd"/>
      <w:r>
        <w:rPr>
          <w:sz w:val="20"/>
          <w:szCs w:val="20"/>
          <w:rtl/>
        </w:rPr>
        <w:t xml:space="preserve"> </w:t>
      </w:r>
      <w:proofErr w:type="spellStart"/>
      <w:r>
        <w:rPr>
          <w:sz w:val="20"/>
          <w:szCs w:val="20"/>
          <w:rtl/>
        </w:rPr>
        <w:t>בבריסק</w:t>
      </w:r>
      <w:proofErr w:type="spellEnd"/>
      <w:r>
        <w:rPr>
          <w:sz w:val="20"/>
          <w:szCs w:val="20"/>
          <w:rtl/>
        </w:rPr>
        <w:t xml:space="preserve"> את תקופת הגלות – ראה נספח ט להלן, שר׳ חיים ראה את עצמו אז עדיין כרבה של </w:t>
      </w:r>
      <w:proofErr w:type="spellStart"/>
      <w:r>
        <w:rPr>
          <w:sz w:val="20"/>
          <w:szCs w:val="20"/>
          <w:rtl/>
        </w:rPr>
        <w:t>בריסק</w:t>
      </w:r>
      <w:proofErr w:type="spellEnd"/>
      <w:r>
        <w:rPr>
          <w:sz w:val="20"/>
          <w:szCs w:val="20"/>
          <w:rtl/>
        </w:rPr>
        <w:t>, שעל בני קהילתה שגלו עמו למינסק לפרנסו – הסך הכול הוא עשרים ושש בלבד.</w:t>
      </w:r>
    </w:p>
  </w:footnote>
  <w:footnote w:id="5252">
    <w:p w14:paraId="154D52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שמח.</w:t>
      </w:r>
    </w:p>
  </w:footnote>
  <w:footnote w:id="5253">
    <w:p w14:paraId="526D35F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הוריות </w:t>
      </w:r>
      <w:proofErr w:type="spellStart"/>
      <w:r>
        <w:rPr>
          <w:sz w:val="20"/>
          <w:szCs w:val="20"/>
          <w:rtl/>
        </w:rPr>
        <w:t>יג</w:t>
      </w:r>
      <w:proofErr w:type="spellEnd"/>
      <w:r>
        <w:rPr>
          <w:sz w:val="20"/>
          <w:szCs w:val="20"/>
          <w:rtl/>
        </w:rPr>
        <w:t xml:space="preserve"> ע״א.</w:t>
      </w:r>
    </w:p>
  </w:footnote>
  <w:footnote w:id="5254">
    <w:p w14:paraId="42BD36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707–708.</w:t>
      </w:r>
    </w:p>
  </w:footnote>
  <w:footnote w:id="5255">
    <w:p w14:paraId="6FE9552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43.</w:t>
      </w:r>
    </w:p>
  </w:footnote>
  <w:footnote w:id="5256">
    <w:p w14:paraId="6574EC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11 בדצמבר 1996.</w:t>
      </w:r>
    </w:p>
  </w:footnote>
  <w:footnote w:id="5257">
    <w:p w14:paraId="51A94A9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כנראה נאמרו הדברים </w:t>
      </w:r>
      <w:proofErr w:type="spellStart"/>
      <w:r>
        <w:rPr>
          <w:sz w:val="20"/>
          <w:szCs w:val="20"/>
          <w:rtl/>
        </w:rPr>
        <w:t>לר</w:t>
      </w:r>
      <w:proofErr w:type="spellEnd"/>
      <w:r>
        <w:rPr>
          <w:sz w:val="20"/>
          <w:szCs w:val="20"/>
          <w:rtl/>
        </w:rPr>
        <w:t xml:space="preserve">׳ משה כשהתמנה לרבה של </w:t>
      </w:r>
      <w:proofErr w:type="spellStart"/>
      <w:r>
        <w:rPr>
          <w:sz w:val="20"/>
          <w:szCs w:val="20"/>
          <w:rtl/>
        </w:rPr>
        <w:t>ראסיין</w:t>
      </w:r>
      <w:proofErr w:type="spellEnd"/>
      <w:r>
        <w:rPr>
          <w:sz w:val="20"/>
          <w:szCs w:val="20"/>
          <w:rtl/>
        </w:rPr>
        <w:t xml:space="preserve"> – ראה הפסקה הראשונה לעיל.</w:t>
      </w:r>
    </w:p>
  </w:footnote>
  <w:footnote w:id="5258">
    <w:p w14:paraId="669F929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סיפור זה נשנה </w:t>
      </w:r>
      <w:proofErr w:type="spellStart"/>
      <w:r>
        <w:rPr>
          <w:sz w:val="20"/>
          <w:szCs w:val="20"/>
          <w:rtl/>
        </w:rPr>
        <w:t>ב“מגד</w:t>
      </w:r>
      <w:proofErr w:type="spellEnd"/>
      <w:r>
        <w:rPr>
          <w:sz w:val="20"/>
          <w:szCs w:val="20"/>
          <w:rtl/>
        </w:rPr>
        <w:t xml:space="preserve"> גבעות עולם” (הפסקה הרביעית לעיל), עמ׳ </w:t>
      </w:r>
      <w:proofErr w:type="spellStart"/>
      <w:r>
        <w:rPr>
          <w:sz w:val="20"/>
          <w:szCs w:val="20"/>
          <w:rtl/>
        </w:rPr>
        <w:t>נז</w:t>
      </w:r>
      <w:proofErr w:type="spellEnd"/>
      <w:r>
        <w:rPr>
          <w:sz w:val="20"/>
          <w:szCs w:val="20"/>
          <w:rtl/>
        </w:rPr>
        <w:t xml:space="preserve">, אות יד, בשם ר׳ </w:t>
      </w:r>
      <w:proofErr w:type="spellStart"/>
      <w:r>
        <w:rPr>
          <w:sz w:val="20"/>
          <w:szCs w:val="20"/>
          <w:rtl/>
        </w:rPr>
        <w:t xml:space="preserve">יוסף־דב</w:t>
      </w:r>
      <w:proofErr w:type="spellEnd"/>
      <w:r>
        <w:rPr>
          <w:sz w:val="20"/>
          <w:szCs w:val="20"/>
          <w:rtl/>
        </w:rPr>
        <w:t xml:space="preserve"> </w:t>
      </w:r>
      <w:proofErr w:type="spellStart"/>
      <w:r>
        <w:rPr>
          <w:sz w:val="20"/>
          <w:szCs w:val="20"/>
          <w:rtl/>
        </w:rPr>
        <w:t>סולובייצ׳יק</w:t>
      </w:r>
      <w:proofErr w:type="spellEnd"/>
      <w:r>
        <w:rPr>
          <w:sz w:val="20"/>
          <w:szCs w:val="20"/>
          <w:rtl/>
        </w:rPr>
        <w:t xml:space="preserve">. “מגד גבעות עולם” טוען – אף הוא בשם ר׳ </w:t>
      </w:r>
      <w:proofErr w:type="spellStart"/>
      <w:r>
        <w:rPr>
          <w:sz w:val="20"/>
          <w:szCs w:val="20"/>
          <w:rtl/>
        </w:rPr>
        <w:t xml:space="preserve">יוסף־דב</w:t>
      </w:r>
      <w:proofErr w:type="spellEnd"/>
      <w:r>
        <w:rPr>
          <w:sz w:val="20"/>
          <w:szCs w:val="20"/>
          <w:rtl/>
        </w:rPr>
        <w:t xml:space="preserve"> – שחותנו של ר׳ חיים, ר׳ רפאל שפירא, סבר שתפקידו של רב הוא רק לשבת וללמוד יומם ולילה.</w:t>
      </w:r>
    </w:p>
  </w:footnote>
  <w:footnote w:id="5259">
    <w:p w14:paraId="12C6AD5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הפסקה האחרונה של נספח ד בפרק 3. </w:t>
      </w:r>
      <w:proofErr w:type="spellStart"/>
      <w:r>
        <w:rPr>
          <w:sz w:val="20"/>
          <w:szCs w:val="20"/>
          <w:rtl/>
        </w:rPr>
        <w:t>ב“יתד</w:t>
      </w:r>
      <w:proofErr w:type="spellEnd"/>
      <w:r>
        <w:rPr>
          <w:sz w:val="20"/>
          <w:szCs w:val="20"/>
          <w:rtl/>
        </w:rPr>
        <w:t xml:space="preserve"> נאמן”, מוסף ערב </w:t>
      </w:r>
      <w:proofErr w:type="spellStart"/>
      <w:r>
        <w:rPr>
          <w:sz w:val="20"/>
          <w:szCs w:val="20"/>
          <w:rtl/>
        </w:rPr>
        <w:t>שב״ק</w:t>
      </w:r>
      <w:proofErr w:type="spellEnd"/>
      <w:r>
        <w:rPr>
          <w:sz w:val="20"/>
          <w:szCs w:val="20"/>
          <w:rtl/>
        </w:rPr>
        <w:t xml:space="preserve"> פרשת משפטים תשס״ב, מסופר שר׳ חיים </w:t>
      </w:r>
      <w:proofErr w:type="spellStart"/>
      <w:r>
        <w:rPr>
          <w:sz w:val="20"/>
          <w:szCs w:val="20"/>
          <w:rtl/>
        </w:rPr>
        <w:t>קרייזווירט</w:t>
      </w:r>
      <w:proofErr w:type="spellEnd"/>
      <w:r>
        <w:rPr>
          <w:sz w:val="20"/>
          <w:szCs w:val="20"/>
          <w:rtl/>
        </w:rPr>
        <w:t xml:space="preserve"> אמר שר׳ חיים </w:t>
      </w:r>
      <w:proofErr w:type="spellStart"/>
      <w:r>
        <w:rPr>
          <w:sz w:val="20"/>
          <w:szCs w:val="20"/>
          <w:rtl/>
        </w:rPr>
        <w:t>הלברשטם</w:t>
      </w:r>
      <w:proofErr w:type="spellEnd"/>
      <w:r>
        <w:rPr>
          <w:sz w:val="20"/>
          <w:szCs w:val="20"/>
          <w:rtl/>
        </w:rPr>
        <w:t xml:space="preserve"> </w:t>
      </w:r>
      <w:proofErr w:type="spellStart"/>
      <w:r>
        <w:rPr>
          <w:sz w:val="20"/>
          <w:szCs w:val="20"/>
          <w:rtl/>
        </w:rPr>
        <w:t>מצאנז</w:t>
      </w:r>
      <w:proofErr w:type="spellEnd"/>
      <w:r>
        <w:rPr>
          <w:sz w:val="20"/>
          <w:szCs w:val="20"/>
          <w:rtl/>
        </w:rPr>
        <w:t xml:space="preserve"> השתמש במילותיו המדויקות של ר׳ ישראל כשהגדיר את תפקיד הרב.</w:t>
      </w:r>
    </w:p>
  </w:footnote>
  <w:footnote w:id="5260">
    <w:p w14:paraId="6AF52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סוף הפסקה השלישית מסוף נספח יד, וסוף הערה 83 לעיל. ראה גם עמ׳ </w:t>
      </w:r>
      <w:r>
        <w:rPr>
          <w:sz w:val="20"/>
          <w:szCs w:val="20"/>
          <w:rtl/>
        </w:rPr>
        <w:fldChar w:fldCharType="begin" w:dirty="true"/>
      </w:r>
      <w:r>
        <w:rPr>
          <w:sz w:val="20"/>
          <w:szCs w:val="20"/>
          <w:rtl/>
        </w:rPr>
        <w:instrText xml:space="preserve"> PAGEREF pr_f_5235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pr_f_5235 \h </w:instrText>
      </w:r>
      <w:r>
        <w:rPr>
          <w:sz w:val="20"/>
          <w:szCs w:val="20"/>
          <w:rtl/>
        </w:rPr>
      </w:r>
      <w:r>
        <w:rPr>
          <w:sz w:val="20"/>
          <w:szCs w:val="20"/>
          <w:rtl/>
        </w:rPr>
        <w:fldChar w:fldCharType="separate"/>
      </w:r>
      <w:r w:rsidR="007923E9">
        <w:rPr>
          <w:sz w:val="20"/>
          <w:szCs w:val="20"/>
          <w:rtl/>
        </w:rPr>
        <w:t>889</w:t>
      </w:r>
      <w:r>
        <w:rPr>
          <w:sz w:val="20"/>
          <w:szCs w:val="20"/>
          <w:rtl/>
        </w:rPr>
        <w:fldChar w:fldCharType="end"/>
      </w:r>
      <w:r>
        <w:rPr>
          <w:sz w:val="20"/>
          <w:szCs w:val="20"/>
          <w:rtl/>
        </w:rPr>
        <w:t>.</w:t>
      </w:r>
    </w:p>
  </w:footnote>
  <w:footnote w:id="5261">
    <w:p w14:paraId="59C05C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פרק 3, הפסקה השנייה של נספח ז – עמ׳ 12–13.</w:t>
      </w:r>
    </w:p>
  </w:footnote>
  <w:footnote w:id="5262">
    <w:p w14:paraId="43B77C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נספח ח להלן.</w:t>
      </w:r>
    </w:p>
  </w:footnote>
  <w:footnote w:id="5263">
    <w:p w14:paraId="712C47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במניית הפריט השלישי הזה הראה ר׳ שלמה שלדעתו לא הייתה דרכו של ר׳ חיים מסוגלת לכבוש את עולם הישיבות במלואו, עד שעזב ר׳ חיים את מקום הוראתו </w:t>
      </w:r>
      <w:proofErr w:type="spellStart"/>
      <w:r>
        <w:rPr>
          <w:sz w:val="20"/>
          <w:szCs w:val="20"/>
          <w:rtl/>
        </w:rPr>
        <w:t>בוולוז׳ין</w:t>
      </w:r>
      <w:proofErr w:type="spellEnd"/>
      <w:r>
        <w:rPr>
          <w:sz w:val="20"/>
          <w:szCs w:val="20"/>
          <w:rtl/>
        </w:rPr>
        <w:t xml:space="preserve"> ונעשה רבה של </w:t>
      </w:r>
      <w:proofErr w:type="spellStart"/>
      <w:r>
        <w:rPr>
          <w:sz w:val="20"/>
          <w:szCs w:val="20"/>
          <w:rtl/>
        </w:rPr>
        <w:t>בריסק</w:t>
      </w:r>
      <w:proofErr w:type="spellEnd"/>
      <w:r>
        <w:rPr>
          <w:sz w:val="20"/>
          <w:szCs w:val="20"/>
          <w:rtl/>
        </w:rPr>
        <w:t xml:space="preserve">. ייתכן שהעילוי </w:t>
      </w:r>
      <w:proofErr w:type="spellStart"/>
      <w:r>
        <w:rPr>
          <w:sz w:val="20"/>
          <w:szCs w:val="20"/>
          <w:rtl/>
        </w:rPr>
        <w:t>ממייצ׳ט</w:t>
      </w:r>
      <w:proofErr w:type="spellEnd"/>
      <w:r>
        <w:rPr>
          <w:sz w:val="20"/>
          <w:szCs w:val="20"/>
          <w:rtl/>
        </w:rPr>
        <w:t xml:space="preserve"> ראה בעצמו שתלמידי </w:t>
      </w:r>
      <w:proofErr w:type="spellStart"/>
      <w:r>
        <w:rPr>
          <w:sz w:val="20"/>
          <w:szCs w:val="20"/>
          <w:rtl/>
        </w:rPr>
        <w:t>טלז</w:t>
      </w:r>
      <w:proofErr w:type="spellEnd"/>
      <w:r>
        <w:rPr>
          <w:sz w:val="20"/>
          <w:szCs w:val="20"/>
          <w:rtl/>
        </w:rPr>
        <w:t xml:space="preserve">, שבאו בראשית </w:t>
      </w:r>
      <w:proofErr w:type="spellStart"/>
      <w:r>
        <w:rPr>
          <w:sz w:val="20"/>
          <w:szCs w:val="20"/>
          <w:rtl/>
        </w:rPr>
        <w:t>רבנותו</w:t>
      </w:r>
      <w:proofErr w:type="spellEnd"/>
      <w:r>
        <w:rPr>
          <w:sz w:val="20"/>
          <w:szCs w:val="20"/>
          <w:rtl/>
        </w:rPr>
        <w:t xml:space="preserve"> של ר׳ חיים </w:t>
      </w:r>
      <w:proofErr w:type="spellStart"/>
      <w:r>
        <w:rPr>
          <w:sz w:val="20"/>
          <w:szCs w:val="20"/>
          <w:rtl/>
        </w:rPr>
        <w:t>בבריסק</w:t>
      </w:r>
      <w:proofErr w:type="spellEnd"/>
      <w:r>
        <w:rPr>
          <w:sz w:val="20"/>
          <w:szCs w:val="20"/>
          <w:rtl/>
        </w:rPr>
        <w:t xml:space="preserve"> ללמוד אצלו, התאכזבו משיעורי ר׳ חיים – לדעת ר׳ שלמה </w:t>
      </w:r>
      <w:proofErr w:type="spellStart"/>
      <w:r>
        <w:rPr>
          <w:sz w:val="20"/>
          <w:szCs w:val="20"/>
          <w:rtl/>
        </w:rPr>
        <w:t>פוליצ׳ק</w:t>
      </w:r>
      <w:proofErr w:type="spellEnd"/>
      <w:r>
        <w:rPr>
          <w:sz w:val="20"/>
          <w:szCs w:val="20"/>
          <w:rtl/>
        </w:rPr>
        <w:t xml:space="preserve">, ללא ספק מסיבה שאינה מובנת (ראה לעיל, עמ׳ </w:t>
      </w:r>
      <w:r>
        <w:rPr>
          <w:sz w:val="20"/>
          <w:szCs w:val="20"/>
          <w:rtl/>
        </w:rPr>
        <w:fldChar w:fldCharType="begin" w:dirty="true"/>
      </w:r>
      <w:r>
        <w:rPr>
          <w:sz w:val="20"/>
          <w:szCs w:val="20"/>
          <w:rtl/>
        </w:rPr>
        <w:instrText xml:space="preserve"> PAGEREF pr_b_2366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 ומכך השתכנע ששיטת “</w:t>
      </w:r>
      <w:proofErr w:type="spellStart"/>
      <w:r>
        <w:rPr>
          <w:sz w:val="20"/>
          <w:szCs w:val="20"/>
          <w:rtl/>
        </w:rPr>
        <w:t>בריסק</w:t>
      </w:r>
      <w:proofErr w:type="spellEnd"/>
      <w:r>
        <w:rPr>
          <w:sz w:val="20"/>
          <w:szCs w:val="20"/>
          <w:rtl/>
        </w:rPr>
        <w:t>” עדיין לא הייתה בכוחה להתקבל על הכול: נושא דגלה נדרש לגלות חסד גדול עוד יותר מכפי שגילה עד אז, כלומר לגדל “ממזרים” בביתו.</w:t>
      </w:r>
    </w:p>
  </w:footnote>
  <w:footnote w:id="5264">
    <w:p w14:paraId="4ABBC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4, הפסקה החמישית מסוף נספח ט, הציטוט שמביא “ר׳ ברוך בר” בשם “סופר מוכשר” שלא נקב בשמו, בעניין ר׳ חיים </w:t>
      </w:r>
      <w:proofErr w:type="spellStart"/>
      <w:r>
        <w:rPr>
          <w:sz w:val="20"/>
          <w:szCs w:val="20"/>
          <w:rtl/>
        </w:rPr>
        <w:t>מוולוז׳ין</w:t>
      </w:r>
      <w:proofErr w:type="spellEnd"/>
      <w:r>
        <w:rPr>
          <w:sz w:val="20"/>
          <w:szCs w:val="20"/>
          <w:rtl/>
        </w:rPr>
        <w:t>.</w:t>
      </w:r>
    </w:p>
  </w:footnote>
  <w:footnote w:id="5265">
    <w:p w14:paraId="21F0B2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“תורת חיים”, עמ׳ פה במספור השני.</w:t>
      </w:r>
    </w:p>
  </w:footnote>
  <w:footnote w:id="5266">
    <w:p w14:paraId="29E960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6 במאי 1995.</w:t>
      </w:r>
    </w:p>
  </w:footnote>
  <w:footnote w:id="5267">
    <w:p w14:paraId="791E3E3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סי׳ מו בחלק ב.</w:t>
      </w:r>
    </w:p>
  </w:footnote>
  <w:footnote w:id="5268">
    <w:p w14:paraId="184551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3, הפסקה האמצעית של נספח יד, וסופי הפסקה הראשונה והתשיעית של נספח זה.</w:t>
      </w:r>
    </w:p>
  </w:footnote>
  <w:footnote w:id="5269">
    <w:p w14:paraId="3658F6A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שער א, פרק נד.</w:t>
      </w:r>
    </w:p>
  </w:footnote>
  <w:footnote w:id="5270">
    <w:p w14:paraId="0DFA95B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הפרק “על הרחמנות” </w:t>
      </w:r>
      <w:proofErr w:type="spellStart"/>
      <w:r>
        <w:rPr>
          <w:sz w:val="20"/>
          <w:szCs w:val="20"/>
          <w:rtl/>
        </w:rPr>
        <w:t>ב“ספר</w:t>
      </w:r>
      <w:proofErr w:type="spellEnd"/>
      <w:r>
        <w:rPr>
          <w:sz w:val="20"/>
          <w:szCs w:val="20"/>
          <w:rtl/>
        </w:rPr>
        <w:t xml:space="preserve"> המספיק לעובדי ה׳”, מאת רבנו אברהם בן הרמב״ם (קרן הוצאת ספרי רבני בבל, ירושלים, תשל״ג), עמ׳ לא–לג.</w:t>
      </w:r>
    </w:p>
  </w:footnote>
  <w:footnote w:id="5271">
    <w:p w14:paraId="614D96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4, נספח ד – עמ׳ </w:t>
      </w:r>
      <w:proofErr w:type="spellStart"/>
      <w:r>
        <w:rPr>
          <w:sz w:val="20"/>
          <w:szCs w:val="20"/>
          <w:rtl/>
        </w:rPr>
        <w:t>קצג</w:t>
      </w:r>
      <w:proofErr w:type="spellEnd"/>
      <w:r>
        <w:rPr>
          <w:sz w:val="20"/>
          <w:szCs w:val="20"/>
          <w:rtl/>
        </w:rPr>
        <w:t>.</w:t>
      </w:r>
    </w:p>
  </w:footnote>
  <w:footnote w:id="5272">
    <w:p w14:paraId="788AAF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מאמר מאת </w:t>
      </w:r>
      <w:proofErr w:type="spellStart"/>
      <w:r>
        <w:rPr>
          <w:sz w:val="20"/>
          <w:szCs w:val="20"/>
          <w:rtl/>
        </w:rPr>
        <w:t>פיבל</w:t>
      </w:r>
      <w:proofErr w:type="spellEnd"/>
      <w:r>
        <w:rPr>
          <w:sz w:val="20"/>
          <w:szCs w:val="20"/>
          <w:rtl/>
        </w:rPr>
        <w:t xml:space="preserve"> מלצר </w:t>
      </w:r>
      <w:proofErr w:type="spellStart"/>
      <w:r>
        <w:rPr>
          <w:sz w:val="20"/>
          <w:szCs w:val="20"/>
          <w:rtl/>
        </w:rPr>
        <w:t>ב“בעקבות</w:t>
      </w:r>
      <w:proofErr w:type="spellEnd"/>
      <w:r>
        <w:rPr>
          <w:sz w:val="20"/>
          <w:szCs w:val="20"/>
          <w:rtl/>
        </w:rPr>
        <w:t xml:space="preserve"> היראה” (נזכר בפרק 1, נספח ה), עמ׳ רצו.</w:t>
      </w:r>
    </w:p>
  </w:footnote>
  <w:footnote w:id="5273">
    <w:p w14:paraId="7B732B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פרק 3, הפסקה השנייה של נספח </w:t>
      </w:r>
      <w:proofErr w:type="spellStart"/>
      <w:r>
        <w:rPr>
          <w:sz w:val="20"/>
          <w:szCs w:val="20"/>
          <w:rtl/>
        </w:rPr>
        <w:t>יז</w:t>
      </w:r>
      <w:proofErr w:type="spellEnd"/>
      <w:r>
        <w:rPr>
          <w:sz w:val="20"/>
          <w:szCs w:val="20"/>
          <w:rtl/>
        </w:rPr>
        <w:t>.</w:t>
      </w:r>
    </w:p>
  </w:footnote>
  <w:footnote w:id="5274">
    <w:p w14:paraId="0C513A9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ערש״ק</w:t>
      </w:r>
      <w:proofErr w:type="spellEnd"/>
      <w:r>
        <w:rPr>
          <w:sz w:val="20"/>
          <w:szCs w:val="20"/>
          <w:rtl/>
        </w:rPr>
        <w:t xml:space="preserve"> פרשת נשא תשנ״ד.</w:t>
      </w:r>
    </w:p>
  </w:footnote>
  <w:footnote w:id="5275">
    <w:p w14:paraId="2340571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276">
    <w:p w14:paraId="7659F0B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מנחות </w:t>
      </w:r>
      <w:proofErr w:type="spellStart"/>
      <w:r>
        <w:rPr>
          <w:sz w:val="20"/>
          <w:szCs w:val="20"/>
          <w:rtl/>
        </w:rPr>
        <w:t>צט</w:t>
      </w:r>
      <w:proofErr w:type="spellEnd"/>
      <w:r>
        <w:rPr>
          <w:sz w:val="20"/>
          <w:szCs w:val="20"/>
          <w:rtl/>
        </w:rPr>
        <w:t xml:space="preserve"> ע״א </w:t>
      </w:r>
      <w:proofErr w:type="spellStart"/>
      <w:r>
        <w:rPr>
          <w:sz w:val="20"/>
          <w:szCs w:val="20"/>
          <w:rtl/>
        </w:rPr>
        <w:t>וע״ב</w:t>
      </w:r>
      <w:proofErr w:type="spellEnd"/>
      <w:r>
        <w:rPr>
          <w:sz w:val="20"/>
          <w:szCs w:val="20"/>
          <w:rtl/>
        </w:rPr>
        <w:t>.</w:t>
      </w:r>
    </w:p>
  </w:footnote>
  <w:footnote w:id="5277">
    <w:p w14:paraId="73744A6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החומר הביוגרפי לקוח </w:t>
      </w:r>
      <w:proofErr w:type="spellStart"/>
      <w:r>
        <w:rPr>
          <w:sz w:val="20"/>
          <w:szCs w:val="20"/>
          <w:rtl/>
        </w:rPr>
        <w:t>מ“בעקבות</w:t>
      </w:r>
      <w:proofErr w:type="spellEnd"/>
      <w:r>
        <w:rPr>
          <w:sz w:val="20"/>
          <w:szCs w:val="20"/>
          <w:rtl/>
        </w:rPr>
        <w:t xml:space="preserve"> היראה”, עמ׳ ג, וממכתבו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xml:space="preserve">”, ביטאון אגודת ישראל </w:t>
      </w:r>
      <w:proofErr w:type="spellStart"/>
      <w:r>
        <w:rPr>
          <w:sz w:val="20"/>
          <w:szCs w:val="20"/>
          <w:rtl/>
        </w:rPr>
        <w:t>בטלז</w:t>
      </w:r>
      <w:proofErr w:type="spellEnd"/>
      <w:r>
        <w:rPr>
          <w:sz w:val="20"/>
          <w:szCs w:val="20"/>
          <w:rtl/>
        </w:rPr>
        <w:t>, הנושא את התאריך אייר–סיוון תרפ״ט, ונדפס שוב שם, עמ׳ רעד.</w:t>
      </w:r>
    </w:p>
  </w:footnote>
  <w:footnote w:id="5278">
    <w:p w14:paraId="4F57855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ויקרא </w:t>
      </w:r>
      <w:proofErr w:type="spellStart"/>
      <w:r>
        <w:rPr>
          <w:sz w:val="20"/>
          <w:szCs w:val="20"/>
          <w:rtl/>
        </w:rPr>
        <w:t>יח</w:t>
      </w:r>
      <w:proofErr w:type="spellEnd"/>
      <w:r>
        <w:rPr>
          <w:sz w:val="20"/>
          <w:szCs w:val="20"/>
          <w:rtl/>
        </w:rPr>
        <w:t xml:space="preserve">, </w:t>
      </w:r>
      <w:proofErr w:type="spellStart"/>
      <w:r>
        <w:rPr>
          <w:sz w:val="20"/>
          <w:szCs w:val="20"/>
          <w:rtl/>
        </w:rPr>
        <w:t>כא</w:t>
      </w:r>
      <w:proofErr w:type="spellEnd"/>
      <w:r>
        <w:rPr>
          <w:sz w:val="20"/>
          <w:szCs w:val="20"/>
          <w:rtl/>
        </w:rPr>
        <w:t>.</w:t>
      </w:r>
    </w:p>
  </w:footnote>
  <w:footnote w:id="5279">
    <w:p w14:paraId="6BA279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דברים לא, </w:t>
      </w:r>
      <w:proofErr w:type="spellStart"/>
      <w:r>
        <w:rPr>
          <w:sz w:val="20"/>
          <w:szCs w:val="20"/>
          <w:rtl/>
        </w:rPr>
        <w:t>כא</w:t>
      </w:r>
      <w:proofErr w:type="spellEnd"/>
      <w:r>
        <w:rPr>
          <w:sz w:val="20"/>
          <w:szCs w:val="20"/>
          <w:rtl/>
        </w:rPr>
        <w:t>.</w:t>
      </w:r>
    </w:p>
  </w:footnote>
  <w:footnote w:id="5280">
    <w:p w14:paraId="53134E2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רעז</w:t>
      </w:r>
      <w:proofErr w:type="spellEnd"/>
      <w:r>
        <w:rPr>
          <w:sz w:val="20"/>
          <w:szCs w:val="20"/>
          <w:rtl/>
        </w:rPr>
        <w:t>.</w:t>
      </w:r>
    </w:p>
  </w:footnote>
  <w:footnote w:id="5281">
    <w:p w14:paraId="26A9A18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לפי “שמושה של תורה”, עמ׳ שיט, נזכר ר׳ </w:t>
      </w:r>
      <w:proofErr w:type="spellStart"/>
      <w:r>
        <w:rPr>
          <w:sz w:val="20"/>
          <w:szCs w:val="20"/>
          <w:rtl/>
        </w:rPr>
        <w:t>אלעזר־מנחם־מן</w:t>
      </w:r>
      <w:proofErr w:type="spellEnd"/>
      <w:r>
        <w:rPr>
          <w:sz w:val="20"/>
          <w:szCs w:val="20"/>
          <w:rtl/>
        </w:rPr>
        <w:t xml:space="preserve"> שך, שהיה תלמיד </w:t>
      </w:r>
      <w:proofErr w:type="spellStart"/>
      <w:r>
        <w:rPr>
          <w:sz w:val="20"/>
          <w:szCs w:val="20"/>
          <w:rtl/>
        </w:rPr>
        <w:t>בסלבודקה</w:t>
      </w:r>
      <w:proofErr w:type="spellEnd"/>
      <w:r>
        <w:rPr>
          <w:sz w:val="20"/>
          <w:szCs w:val="20"/>
          <w:rtl/>
        </w:rPr>
        <w:t xml:space="preserve"> בעת חתונת ר׳ אהרן: “רק בחור אחד מתוך חמש מאות הבחורים שבישיבה נסע להשתתף בחתונתו של בחיר [לשעבר] תלמידי הישיבה”. שמו של הנוסע אינו נזכר שם, אבל ודאי היה זה ר׳ </w:t>
      </w:r>
      <w:proofErr w:type="spellStart"/>
      <w:r>
        <w:rPr>
          <w:sz w:val="20"/>
          <w:szCs w:val="20"/>
          <w:rtl/>
        </w:rPr>
        <w:t>אברהם־אליהו</w:t>
      </w:r>
      <w:proofErr w:type="spellEnd"/>
      <w:r>
        <w:rPr>
          <w:sz w:val="20"/>
          <w:szCs w:val="20"/>
          <w:rtl/>
        </w:rPr>
        <w:t xml:space="preserve"> קפלן.</w:t>
      </w:r>
    </w:p>
  </w:footnote>
  <w:footnote w:id="5282">
    <w:p w14:paraId="54A5B75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הפיוט המתחיל “למען תמים בדורותיו”, בסדר הושענות להושענא רבה: למען חסידך מכרכר בשיר, המלמד תורה בכל כלי שיר (דוד המלך). 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רומז לשילוב של למדנות תלמודית עם הנגינה בכינור אצל הרב קפלן, כדלהלן.</w:t>
      </w:r>
    </w:p>
  </w:footnote>
  <w:footnote w:id="5283">
    <w:p w14:paraId="747676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עמוס ט, ט: ולא </w:t>
      </w:r>
      <w:proofErr w:type="spellStart"/>
      <w:r>
        <w:rPr>
          <w:sz w:val="20"/>
          <w:szCs w:val="20"/>
          <w:rtl/>
        </w:rPr>
        <w:t>יפול</w:t>
      </w:r>
      <w:proofErr w:type="spellEnd"/>
      <w:r>
        <w:rPr>
          <w:sz w:val="20"/>
          <w:szCs w:val="20"/>
          <w:rtl/>
        </w:rPr>
        <w:t xml:space="preserve"> צרור ארץ, כלומר, בלי להחסיר אף את הנקודה הקטנה ביותר.</w:t>
      </w:r>
    </w:p>
  </w:footnote>
  <w:footnote w:id="5284">
    <w:p w14:paraId="7F9A5E4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עמ׳ </w:t>
      </w:r>
      <w:proofErr w:type="spellStart"/>
      <w:r>
        <w:rPr>
          <w:sz w:val="20"/>
          <w:szCs w:val="20"/>
          <w:rtl/>
        </w:rPr>
        <w:t>רצז</w:t>
      </w:r>
      <w:proofErr w:type="spellEnd"/>
      <w:r>
        <w:rPr>
          <w:sz w:val="20"/>
          <w:szCs w:val="20"/>
          <w:rtl/>
        </w:rPr>
        <w:t>.</w:t>
      </w:r>
    </w:p>
  </w:footnote>
  <w:footnote w:id="5285">
    <w:p w14:paraId="601EC58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אינו מאושר בספרו של </w:t>
      </w:r>
      <w:proofErr w:type="spellStart"/>
      <w:r>
        <w:rPr>
          <w:sz w:val="20"/>
          <w:szCs w:val="20"/>
          <w:rtl/>
        </w:rPr>
        <w:t>ידעאל</w:t>
      </w:r>
      <w:proofErr w:type="spellEnd"/>
      <w:r>
        <w:rPr>
          <w:sz w:val="20"/>
          <w:szCs w:val="20"/>
          <w:rtl/>
        </w:rPr>
        <w:t xml:space="preserve"> מלצר, “בדרך עץ החיים”, עמ׳ 132, שבו מתוארת החתונה.</w:t>
      </w:r>
    </w:p>
  </w:footnote>
  <w:footnote w:id="5286">
    <w:p w14:paraId="178D4E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יבמות </w:t>
      </w:r>
      <w:proofErr w:type="spellStart"/>
      <w:r>
        <w:rPr>
          <w:sz w:val="20"/>
          <w:szCs w:val="20"/>
          <w:rtl/>
        </w:rPr>
        <w:t>נז</w:t>
      </w:r>
      <w:proofErr w:type="spellEnd"/>
      <w:r>
        <w:rPr>
          <w:sz w:val="20"/>
          <w:szCs w:val="20"/>
          <w:rtl/>
        </w:rPr>
        <w:t xml:space="preserve"> ע״ב.</w:t>
      </w:r>
    </w:p>
  </w:footnote>
  <w:footnote w:id="5287">
    <w:p w14:paraId="23197D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131–132.</w:t>
      </w:r>
    </w:p>
  </w:footnote>
  <w:footnote w:id="5288">
    <w:p w14:paraId="23DDCEA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רצו.</w:t>
      </w:r>
    </w:p>
  </w:footnote>
  <w:footnote w:id="5289">
    <w:p w14:paraId="0F4DD27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נספח ח להלן.</w:t>
      </w:r>
    </w:p>
  </w:footnote>
  <w:footnote w:id="5290">
    <w:p w14:paraId="378F9AA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“בעקבות היראה”, עמ׳ </w:t>
      </w:r>
      <w:proofErr w:type="spellStart"/>
      <w:r>
        <w:rPr>
          <w:sz w:val="20"/>
          <w:szCs w:val="20"/>
          <w:rtl/>
        </w:rPr>
        <w:t>רעט</w:t>
      </w:r>
      <w:proofErr w:type="spellEnd"/>
      <w:r>
        <w:rPr>
          <w:sz w:val="20"/>
          <w:szCs w:val="20"/>
          <w:rtl/>
        </w:rPr>
        <w:t>.</w:t>
      </w:r>
    </w:p>
  </w:footnote>
  <w:footnote w:id="5291">
    <w:p w14:paraId="1B2D1C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המחבר מתכוון </w:t>
      </w:r>
      <w:proofErr w:type="spellStart"/>
      <w:r>
        <w:rPr>
          <w:sz w:val="20"/>
          <w:szCs w:val="20"/>
          <w:rtl/>
        </w:rPr>
        <w:t>לאחד־עשר</w:t>
      </w:r>
      <w:proofErr w:type="spellEnd"/>
      <w:r>
        <w:rPr>
          <w:sz w:val="20"/>
          <w:szCs w:val="20"/>
          <w:rtl/>
        </w:rPr>
        <w:t xml:space="preserve"> הכללים שקבע הרב קפלן לחיבור הפירוש שהציע.</w:t>
      </w:r>
    </w:p>
  </w:footnote>
  <w:footnote w:id="5292">
    <w:p w14:paraId="2C9E37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w:t>
      </w:r>
      <w:proofErr w:type="spellStart"/>
      <w:r>
        <w:rPr>
          <w:sz w:val="20"/>
          <w:szCs w:val="20"/>
          <w:rtl/>
        </w:rPr>
        <w:t>אברהם־יעקב</w:t>
      </w:r>
      <w:proofErr w:type="spellEnd"/>
      <w:r>
        <w:rPr>
          <w:sz w:val="20"/>
          <w:szCs w:val="20"/>
          <w:rtl/>
        </w:rPr>
        <w:t xml:space="preserve"> </w:t>
      </w:r>
      <w:proofErr w:type="spellStart"/>
      <w:r>
        <w:rPr>
          <w:sz w:val="20"/>
          <w:szCs w:val="20"/>
          <w:rtl/>
        </w:rPr>
        <w:t>ניימרק</w:t>
      </w:r>
      <w:proofErr w:type="spellEnd"/>
      <w:r>
        <w:rPr>
          <w:sz w:val="20"/>
          <w:szCs w:val="20"/>
          <w:rtl/>
        </w:rPr>
        <w:t xml:space="preserve"> מזכיר את גילו של הגאון, מפני שגם הרב קפלן היה בשנות השלושים לחייו בלבד כשנפטר. ועי׳ הקדמת בני </w:t>
      </w:r>
      <w:proofErr w:type="spellStart"/>
      <w:r>
        <w:rPr>
          <w:sz w:val="20"/>
          <w:szCs w:val="20"/>
          <w:rtl/>
        </w:rPr>
        <w:t>הגר״א</w:t>
      </w:r>
      <w:proofErr w:type="spellEnd"/>
      <w:r>
        <w:rPr>
          <w:sz w:val="20"/>
          <w:szCs w:val="20"/>
          <w:rtl/>
        </w:rPr>
        <w:t xml:space="preserve"> לביאור </w:t>
      </w:r>
      <w:proofErr w:type="spellStart"/>
      <w:r>
        <w:rPr>
          <w:sz w:val="20"/>
          <w:szCs w:val="20"/>
          <w:rtl/>
        </w:rPr>
        <w:t>הגר״א</w:t>
      </w:r>
      <w:proofErr w:type="spellEnd"/>
      <w:r>
        <w:rPr>
          <w:sz w:val="20"/>
          <w:szCs w:val="20"/>
          <w:rtl/>
        </w:rPr>
        <w:t xml:space="preserve"> על </w:t>
      </w:r>
      <w:proofErr w:type="spellStart"/>
      <w:r>
        <w:rPr>
          <w:sz w:val="20"/>
          <w:szCs w:val="20"/>
          <w:rtl/>
        </w:rPr>
        <w:t>שו״ע</w:t>
      </w:r>
      <w:proofErr w:type="spellEnd"/>
      <w:r>
        <w:rPr>
          <w:sz w:val="20"/>
          <w:szCs w:val="20"/>
          <w:rtl/>
        </w:rPr>
        <w:t xml:space="preserve"> שהוא אמר שלא ניתנה לו רשות מן השמים לחבר חיבור זה, אבל לא נמצא שם באיזה גיל היה כשחשב לכתחילה לעשות כן וגם לא שהראו לו אות מן השמים. ומסתמא </w:t>
      </w:r>
      <w:proofErr w:type="spellStart"/>
      <w:r>
        <w:rPr>
          <w:sz w:val="20"/>
          <w:szCs w:val="20"/>
          <w:rtl/>
        </w:rPr>
        <w:t>היתה</w:t>
      </w:r>
      <w:proofErr w:type="spellEnd"/>
      <w:r>
        <w:rPr>
          <w:sz w:val="20"/>
          <w:szCs w:val="20"/>
          <w:rtl/>
        </w:rPr>
        <w:t xml:space="preserve"> בליטא מסורת על הפרטים האלו (שבספרים שנכתבו על </w:t>
      </w:r>
      <w:proofErr w:type="spellStart"/>
      <w:r>
        <w:rPr>
          <w:sz w:val="20"/>
          <w:szCs w:val="20"/>
          <w:rtl/>
        </w:rPr>
        <w:t>הגר״א</w:t>
      </w:r>
      <w:proofErr w:type="spellEnd"/>
      <w:r>
        <w:rPr>
          <w:sz w:val="20"/>
          <w:szCs w:val="20"/>
          <w:rtl/>
        </w:rPr>
        <w:t xml:space="preserve"> לא הוזכרו).</w:t>
      </w:r>
    </w:p>
  </w:footnote>
  <w:footnote w:id="5293">
    <w:p w14:paraId="4CCE697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מלכים ב </w:t>
      </w:r>
      <w:proofErr w:type="spellStart"/>
      <w:r>
        <w:rPr>
          <w:sz w:val="20"/>
          <w:szCs w:val="20"/>
          <w:rtl/>
        </w:rPr>
        <w:t>ב</w:t>
      </w:r>
      <w:proofErr w:type="spellEnd"/>
      <w:r>
        <w:rPr>
          <w:sz w:val="20"/>
          <w:szCs w:val="20"/>
          <w:rtl/>
        </w:rPr>
        <w:t>, יא.</w:t>
      </w:r>
    </w:p>
  </w:footnote>
  <w:footnote w:id="5294">
    <w:p w14:paraId="25B0DF7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שמות ד, ח.</w:t>
      </w:r>
    </w:p>
  </w:footnote>
  <w:footnote w:id="5295">
    <w:p w14:paraId="0D7974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 שם, עמ׳ רעה.</w:t>
      </w:r>
    </w:p>
  </w:footnote>
  <w:footnote w:id="5296">
    <w:p w14:paraId="0779386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רפה.</w:t>
      </w:r>
    </w:p>
  </w:footnote>
  <w:footnote w:id="5297">
    <w:p w14:paraId="50750E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מכתבו של ר׳ </w:t>
      </w:r>
      <w:proofErr w:type="spellStart"/>
      <w:r>
        <w:rPr>
          <w:sz w:val="20"/>
          <w:szCs w:val="20"/>
          <w:rtl/>
        </w:rPr>
        <w:t>איסר־זלמן</w:t>
      </w:r>
      <w:proofErr w:type="spellEnd"/>
      <w:r>
        <w:rPr>
          <w:sz w:val="20"/>
          <w:szCs w:val="20"/>
          <w:rtl/>
        </w:rPr>
        <w:t xml:space="preserve"> מלצר </w:t>
      </w:r>
      <w:proofErr w:type="spellStart"/>
      <w:r>
        <w:rPr>
          <w:sz w:val="20"/>
          <w:szCs w:val="20"/>
          <w:rtl/>
        </w:rPr>
        <w:t>ל“הנאמן</w:t>
      </w:r>
      <w:proofErr w:type="spellEnd"/>
      <w:r>
        <w:rPr>
          <w:sz w:val="20"/>
          <w:szCs w:val="20"/>
          <w:rtl/>
        </w:rPr>
        <w:t>”.</w:t>
      </w:r>
    </w:p>
  </w:footnote>
  <w:footnote w:id="5298">
    <w:p w14:paraId="35C48F7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“בעקבות היראה”, עמ׳ ז.</w:t>
      </w:r>
    </w:p>
  </w:footnote>
  <w:footnote w:id="5299">
    <w:p w14:paraId="50C13B7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proofErr w:type="spellStart"/>
      <w:r>
        <w:rPr>
          <w:sz w:val="20"/>
          <w:szCs w:val="20"/>
          <w:rtl/>
        </w:rPr>
        <w:t>ניו־יורק</w:t>
      </w:r>
      <w:proofErr w:type="spellEnd"/>
      <w:r>
        <w:rPr>
          <w:sz w:val="20"/>
          <w:szCs w:val="20"/>
          <w:rtl/>
        </w:rPr>
        <w:t>, תש״ז – עמ׳ לא.</w:t>
      </w:r>
    </w:p>
  </w:footnote>
  <w:footnote w:id="5300">
    <w:p w14:paraId="2012757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היה זה לאחר שר׳ שלמה עזב את לימודו אצל ר׳ חיים – ראה הפסקה השנייה בנספח ח בפרק זה.</w:t>
      </w:r>
    </w:p>
  </w:footnote>
  <w:footnote w:id="5301">
    <w:p w14:paraId="7F31CD3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כב</w:t>
      </w:r>
      <w:proofErr w:type="spellEnd"/>
      <w:r>
        <w:rPr>
          <w:sz w:val="20"/>
          <w:szCs w:val="20"/>
          <w:rtl/>
        </w:rPr>
        <w:t>, נדפס שוב מן “הירחון ‘ההד׳ הירושלמי”.</w:t>
      </w:r>
    </w:p>
  </w:footnote>
  <w:footnote w:id="5302">
    <w:p w14:paraId="3499C5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w:t>
      </w:r>
    </w:p>
  </w:footnote>
  <w:footnote w:id="5303">
    <w:p w14:paraId="0A27F9C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המאמר בעמ׳ 26–27.</w:t>
      </w:r>
    </w:p>
  </w:footnote>
  <w:footnote w:id="5304">
    <w:p w14:paraId="3AA715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שלפני האחרונה של נספח ו לעיל – עמ׳ 7–8.</w:t>
      </w:r>
    </w:p>
  </w:footnote>
  <w:footnote w:id="5305">
    <w:p w14:paraId="36DE621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6">
    <w:p w14:paraId="0C650CA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פרק 4, הערה 20.</w:t>
      </w:r>
    </w:p>
  </w:footnote>
  <w:footnote w:id="5307">
    <w:p w14:paraId="1BA4354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הפסקה השנייה של נספח </w:t>
      </w:r>
      <w:proofErr w:type="spellStart"/>
      <w:r>
        <w:rPr>
          <w:sz w:val="20"/>
          <w:szCs w:val="20"/>
          <w:rtl/>
        </w:rPr>
        <w:t>טז</w:t>
      </w:r>
      <w:proofErr w:type="spellEnd"/>
      <w:r>
        <w:rPr>
          <w:sz w:val="20"/>
          <w:szCs w:val="20"/>
          <w:rtl/>
        </w:rPr>
        <w:t xml:space="preserve"> – עמ׳ 10.</w:t>
      </w:r>
    </w:p>
  </w:footnote>
  <w:footnote w:id="5308">
    <w:p w14:paraId="059C6B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השמטת השיבה </w:t>
      </w:r>
      <w:proofErr w:type="spellStart"/>
      <w:r>
        <w:rPr>
          <w:sz w:val="20"/>
          <w:szCs w:val="20"/>
          <w:rtl/>
        </w:rPr>
        <w:t>לבריסק</w:t>
      </w:r>
      <w:proofErr w:type="spellEnd"/>
      <w:r>
        <w:rPr>
          <w:sz w:val="20"/>
          <w:szCs w:val="20"/>
          <w:rtl/>
        </w:rPr>
        <w:t xml:space="preserve"> במאמרו של ניסן וקסמן </w:t>
      </w:r>
      <w:proofErr w:type="spellStart"/>
      <w:r>
        <w:rPr>
          <w:sz w:val="20"/>
          <w:szCs w:val="20"/>
          <w:rtl/>
        </w:rPr>
        <w:t>ב“תלפיות</w:t>
      </w:r>
      <w:proofErr w:type="spellEnd"/>
      <w:r>
        <w:rPr>
          <w:sz w:val="20"/>
          <w:szCs w:val="20"/>
          <w:rtl/>
        </w:rPr>
        <w:t xml:space="preserve">”, ובייחוד סיפורו שר׳ שלמה </w:t>
      </w:r>
      <w:proofErr w:type="spellStart"/>
      <w:r>
        <w:rPr>
          <w:sz w:val="20"/>
          <w:szCs w:val="20"/>
          <w:rtl/>
        </w:rPr>
        <w:t>פוליצ׳ק</w:t>
      </w:r>
      <w:proofErr w:type="spellEnd"/>
      <w:r>
        <w:rPr>
          <w:sz w:val="20"/>
          <w:szCs w:val="20"/>
          <w:rtl/>
        </w:rPr>
        <w:t xml:space="preserve"> “הצטער כל ימיו על שגרם לרבו צער”, כאמור לעיל, מורים שר׳ שלמה לא שב </w:t>
      </w:r>
      <w:proofErr w:type="spellStart"/>
      <w:r>
        <w:rPr>
          <w:sz w:val="20"/>
          <w:szCs w:val="20"/>
          <w:rtl/>
        </w:rPr>
        <w:t>לבריסק</w:t>
      </w:r>
      <w:proofErr w:type="spellEnd"/>
      <w:r>
        <w:rPr>
          <w:sz w:val="20"/>
          <w:szCs w:val="20"/>
          <w:rtl/>
        </w:rPr>
        <w:t xml:space="preserve">. מלבד זאת, היה עליו להתייצב לגיוס מוקדם יותר, בגיל </w:t>
      </w:r>
      <w:proofErr w:type="spellStart"/>
      <w:r>
        <w:rPr>
          <w:sz w:val="20"/>
          <w:szCs w:val="20"/>
          <w:rtl/>
        </w:rPr>
        <w:t>שמונה־עשרה</w:t>
      </w:r>
      <w:proofErr w:type="spellEnd"/>
      <w:r>
        <w:rPr>
          <w:sz w:val="20"/>
          <w:szCs w:val="20"/>
          <w:rtl/>
        </w:rPr>
        <w:t xml:space="preserve"> (כפי שנזכר עמ׳ </w:t>
      </w:r>
      <w:r>
        <w:rPr>
          <w:sz w:val="20"/>
          <w:szCs w:val="20"/>
          <w:rtl/>
        </w:rPr>
        <w:fldChar w:fldCharType="begin" w:dirty="true"/>
      </w:r>
      <w:r>
        <w:rPr>
          <w:sz w:val="20"/>
          <w:szCs w:val="20"/>
          <w:rtl/>
        </w:rPr>
        <w:instrText xml:space="preserve"> PAGEREF pr_b_1416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w:t>
      </w:r>
      <w:proofErr w:type="spellStart"/>
      <w:r>
        <w:rPr>
          <w:sz w:val="20"/>
          <w:szCs w:val="20"/>
          <w:rtl/>
        </w:rPr>
        <w:t>בתרנ״ה</w:t>
      </w:r>
      <w:proofErr w:type="spellEnd"/>
      <w:r>
        <w:rPr>
          <w:sz w:val="20"/>
          <w:szCs w:val="20"/>
          <w:rtl/>
        </w:rPr>
        <w:t>.</w:t>
      </w:r>
    </w:p>
  </w:footnote>
  <w:footnote w:id="5309">
    <w:p w14:paraId="5CD64DF2"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עמ׳ </w:t>
      </w:r>
      <w:proofErr w:type="spellStart"/>
      <w:r>
        <w:rPr>
          <w:sz w:val="20"/>
          <w:szCs w:val="20"/>
          <w:rtl/>
        </w:rPr>
        <w:t>יב</w:t>
      </w:r>
      <w:proofErr w:type="spellEnd"/>
      <w:r>
        <w:rPr>
          <w:sz w:val="20"/>
          <w:szCs w:val="20"/>
          <w:rtl/>
        </w:rPr>
        <w:t xml:space="preserve"> בפתיחה “מתולדותיו” </w:t>
      </w:r>
      <w:proofErr w:type="spellStart"/>
      <w:r>
        <w:rPr>
          <w:sz w:val="20"/>
          <w:szCs w:val="20"/>
          <w:rtl/>
        </w:rPr>
        <w:t>ל“לב</w:t>
      </w:r>
      <w:proofErr w:type="spellEnd"/>
      <w:r>
        <w:rPr>
          <w:sz w:val="20"/>
          <w:szCs w:val="20"/>
          <w:rtl/>
        </w:rPr>
        <w:t xml:space="preserve"> אהרן” (נזכר עמ׳ </w:t>
      </w:r>
      <w:r>
        <w:rPr>
          <w:sz w:val="20"/>
          <w:szCs w:val="20"/>
          <w:rtl/>
        </w:rPr>
        <w:fldChar w:fldCharType="begin" w:dirty="true"/>
      </w:r>
      <w:r>
        <w:rPr>
          <w:sz w:val="20"/>
          <w:szCs w:val="20"/>
          <w:rtl/>
        </w:rPr>
        <w:instrText xml:space="preserve"> PAGEREF pr_f_1775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הערת שוליים </w:t>
      </w:r>
      <w:r>
        <w:rPr>
          <w:sz w:val="20"/>
          <w:szCs w:val="20"/>
          <w:rtl/>
        </w:rPr>
        <w:fldChar w:fldCharType="begin" w:dirty="true"/>
      </w:r>
      <w:r>
        <w:rPr>
          <w:sz w:val="20"/>
          <w:szCs w:val="20"/>
          <w:rtl/>
        </w:rPr>
        <w:instrText xml:space="preserve"> NOTEREF pr_f_1775 \h </w:instrText>
      </w:r>
      <w:r>
        <w:rPr>
          <w:sz w:val="20"/>
          <w:szCs w:val="20"/>
          <w:rtl/>
        </w:rPr>
      </w:r>
      <w:r>
        <w:rPr>
          <w:sz w:val="20"/>
          <w:szCs w:val="20"/>
          <w:rtl/>
        </w:rPr>
        <w:fldChar w:fldCharType="separate"/>
      </w:r>
      <w:r w:rsidR="007923E9">
        <w:rPr>
          <w:sz w:val="20"/>
          <w:szCs w:val="20"/>
          <w:rtl/>
        </w:rPr>
        <w:t>822</w:t>
      </w:r>
      <w:r>
        <w:rPr>
          <w:sz w:val="20"/>
          <w:szCs w:val="20"/>
          <w:rtl/>
        </w:rPr>
        <w:fldChar w:fldCharType="end"/>
      </w:r>
      <w:r>
        <w:rPr>
          <w:sz w:val="20"/>
          <w:szCs w:val="20"/>
          <w:rtl/>
        </w:rPr>
        <w:t>).</w:t>
      </w:r>
    </w:p>
  </w:footnote>
  <w:footnote w:id="5310">
    <w:p w14:paraId="24791B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9 באוקטובר 1998.</w:t>
      </w:r>
    </w:p>
  </w:footnote>
  <w:footnote w:id="5311">
    <w:p w14:paraId="551A13E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הערה 40 לעיל.</w:t>
      </w:r>
    </w:p>
  </w:footnote>
  <w:footnote w:id="5312">
    <w:p w14:paraId="647A22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8 באוקטובר 2001.</w:t>
      </w:r>
    </w:p>
  </w:footnote>
  <w:footnote w:id="5313">
    <w:p w14:paraId="3C9391B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הכרונולוגיה בעמ׳ 27 במאמרו של ר׳ אהרן </w:t>
      </w:r>
      <w:proofErr w:type="spellStart"/>
      <w:r>
        <w:rPr>
          <w:sz w:val="20"/>
          <w:szCs w:val="20"/>
          <w:rtl/>
        </w:rPr>
        <w:t>רבינוביץ</w:t>
      </w:r>
      <w:proofErr w:type="spellEnd"/>
      <w:r>
        <w:rPr>
          <w:sz w:val="20"/>
          <w:szCs w:val="20"/>
          <w:rtl/>
        </w:rPr>
        <w:t xml:space="preserve">, רבה של לידה, שנזכר לעיל, מייחסת עשר שנים לכהונתו של ר׳ שלמה </w:t>
      </w:r>
      <w:proofErr w:type="spellStart"/>
      <w:r>
        <w:rPr>
          <w:sz w:val="20"/>
          <w:szCs w:val="20"/>
          <w:rtl/>
        </w:rPr>
        <w:t>פוליצ׳ק</w:t>
      </w:r>
      <w:proofErr w:type="spellEnd"/>
      <w:r>
        <w:rPr>
          <w:sz w:val="20"/>
          <w:szCs w:val="20"/>
          <w:rtl/>
        </w:rPr>
        <w:t xml:space="preserve"> שם.</w:t>
      </w:r>
    </w:p>
  </w:footnote>
  <w:footnote w:id="5314">
    <w:p w14:paraId="044ADAC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12.</w:t>
      </w:r>
    </w:p>
  </w:footnote>
  <w:footnote w:id="5315">
    <w:p w14:paraId="46B7B2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בנספח ה לעיל.</w:t>
      </w:r>
    </w:p>
  </w:footnote>
  <w:footnote w:id="5316">
    <w:p w14:paraId="1059DA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שהות זו מתועדת שם, עמ׳ 13.</w:t>
      </w:r>
    </w:p>
  </w:footnote>
  <w:footnote w:id="5317">
    <w:p w14:paraId="6220CE8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13–14.</w:t>
      </w:r>
    </w:p>
  </w:footnote>
  <w:footnote w:id="5318">
    <w:p w14:paraId="1FA0AD7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הדבר מתואר במאמרו של גורדון </w:t>
      </w:r>
      <w:proofErr w:type="spellStart"/>
      <w:r>
        <w:rPr>
          <w:sz w:val="20"/>
          <w:szCs w:val="20"/>
          <w:rtl/>
        </w:rPr>
        <w:t>ב“ההד</w:t>
      </w:r>
      <w:proofErr w:type="spellEnd"/>
      <w:r>
        <w:rPr>
          <w:sz w:val="20"/>
          <w:szCs w:val="20"/>
          <w:rtl/>
        </w:rPr>
        <w:t xml:space="preserve">”, עמ׳ </w:t>
      </w:r>
      <w:proofErr w:type="spellStart"/>
      <w:r>
        <w:rPr>
          <w:sz w:val="20"/>
          <w:szCs w:val="20"/>
          <w:rtl/>
        </w:rPr>
        <w:t>כו</w:t>
      </w:r>
      <w:proofErr w:type="spellEnd"/>
      <w:r>
        <w:rPr>
          <w:sz w:val="20"/>
          <w:szCs w:val="20"/>
          <w:rtl/>
        </w:rPr>
        <w:t>–</w:t>
      </w:r>
      <w:proofErr w:type="spellStart"/>
      <w:r>
        <w:rPr>
          <w:sz w:val="20"/>
          <w:szCs w:val="20"/>
          <w:rtl/>
        </w:rPr>
        <w:t>כז</w:t>
      </w:r>
      <w:proofErr w:type="spellEnd"/>
      <w:r>
        <w:rPr>
          <w:sz w:val="20"/>
          <w:szCs w:val="20"/>
          <w:rtl/>
        </w:rPr>
        <w:t xml:space="preserve">, מפי אחד מתלמידיו (שהיה אז כבן </w:t>
      </w:r>
      <w:proofErr w:type="spellStart"/>
      <w:r>
        <w:rPr>
          <w:sz w:val="20"/>
          <w:szCs w:val="20"/>
          <w:rtl/>
        </w:rPr>
        <w:t>ארבע־עשרה</w:t>
      </w:r>
      <w:proofErr w:type="spellEnd"/>
      <w:r>
        <w:rPr>
          <w:sz w:val="20"/>
          <w:szCs w:val="20"/>
          <w:rtl/>
        </w:rPr>
        <w:t>).</w:t>
      </w:r>
    </w:p>
  </w:footnote>
  <w:footnote w:id="5319">
    <w:p w14:paraId="722BC1E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בפרק 1, נספח ג.</w:t>
      </w:r>
    </w:p>
  </w:footnote>
  <w:footnote w:id="5320">
    <w:p w14:paraId="13BB0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כאמור בפסקה הראשונה של נספח ד לעיל.</w:t>
      </w:r>
    </w:p>
  </w:footnote>
  <w:footnote w:id="5321">
    <w:p w14:paraId="093D00C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2, הערה 93.</w:t>
      </w:r>
    </w:p>
  </w:footnote>
  <w:footnote w:id="5322">
    <w:p w14:paraId="0452903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23">
    <w:p w14:paraId="6E73F0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258–259.</w:t>
      </w:r>
    </w:p>
  </w:footnote>
  <w:footnote w:id="5324">
    <w:p w14:paraId="70CC89D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הפסקה השלישית של נספח יד.</w:t>
      </w:r>
    </w:p>
  </w:footnote>
  <w:footnote w:id="5325">
    <w:p w14:paraId="71D117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השווה גם פרק 3, הפסקה השישית של נספח </w:t>
      </w:r>
      <w:proofErr w:type="spellStart"/>
      <w:r>
        <w:rPr>
          <w:sz w:val="20"/>
          <w:szCs w:val="20"/>
          <w:rtl/>
        </w:rPr>
        <w:t>יח</w:t>
      </w:r>
      <w:proofErr w:type="spellEnd"/>
      <w:r>
        <w:rPr>
          <w:sz w:val="20"/>
          <w:szCs w:val="20"/>
          <w:rtl/>
        </w:rPr>
        <w:t>.</w:t>
      </w:r>
    </w:p>
  </w:footnote>
  <w:footnote w:id="5326">
    <w:p w14:paraId="7D91E36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קמח–קמט.</w:t>
      </w:r>
    </w:p>
  </w:footnote>
  <w:footnote w:id="5327">
    <w:p w14:paraId="60CDE3E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השקפה שלילית כל כך על החברה נראית כמחזקת את מה שאמר לכאורה הרב יצחק זאב על אביו, טענה שהפרכתי – כפי שנרשם בפרק 4, הערת שוליים </w:t>
      </w:r>
      <w:r>
        <w:rPr>
          <w:sz w:val="20"/>
          <w:szCs w:val="20"/>
          <w:rtl/>
        </w:rPr>
        <w:fldChar w:fldCharType="begin" w:dirty="true"/>
      </w:r>
      <w:r>
        <w:rPr>
          <w:sz w:val="20"/>
          <w:szCs w:val="20"/>
          <w:rtl/>
        </w:rPr>
        <w:instrText xml:space="preserve"> NOTEREF pr_f_3840 \h </w:instrText>
      </w:r>
      <w:r>
        <w:rPr>
          <w:sz w:val="20"/>
          <w:szCs w:val="20"/>
          <w:rtl/>
        </w:rPr>
      </w:r>
      <w:r>
        <w:rPr>
          <w:sz w:val="20"/>
          <w:szCs w:val="20"/>
          <w:rtl/>
        </w:rPr>
        <w:fldChar w:fldCharType="separate"/>
      </w:r>
      <w:r w:rsidR="007923E9">
        <w:rPr>
          <w:sz w:val="20"/>
          <w:szCs w:val="20"/>
          <w:rtl/>
        </w:rPr>
        <w:t>917</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pr_f_3840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28">
    <w:p w14:paraId="55ADB82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w:t>
      </w:r>
    </w:p>
  </w:footnote>
  <w:footnote w:id="5329">
    <w:p w14:paraId="047EFE8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41–60.</w:t>
      </w:r>
    </w:p>
  </w:footnote>
  <w:footnote w:id="5330">
    <w:p w14:paraId="16F7174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w:t>
      </w:r>
    </w:p>
  </w:footnote>
  <w:footnote w:id="5331">
    <w:p w14:paraId="2045966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שם, עמ׳ 58–59.</w:t>
      </w:r>
    </w:p>
  </w:footnote>
  <w:footnote w:id="5332">
    <w:p w14:paraId="28A8A8F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הפסקה השישית של נספח ב לעיל, שבה חזר הרב יצחק זאב </w:t>
      </w:r>
      <w:proofErr w:type="spellStart"/>
      <w:r>
        <w:rPr>
          <w:sz w:val="20"/>
          <w:szCs w:val="20"/>
          <w:rtl/>
        </w:rPr>
        <w:t>סולובייצ׳יק</w:t>
      </w:r>
      <w:proofErr w:type="spellEnd"/>
      <w:r>
        <w:rPr>
          <w:sz w:val="20"/>
          <w:szCs w:val="20"/>
          <w:rtl/>
        </w:rPr>
        <w:t xml:space="preserve"> על כך בשם ר׳ ישראל </w:t>
      </w:r>
      <w:proofErr w:type="spellStart"/>
      <w:r>
        <w:rPr>
          <w:sz w:val="20"/>
          <w:szCs w:val="20"/>
          <w:rtl/>
        </w:rPr>
        <w:t>סלנטר</w:t>
      </w:r>
      <w:proofErr w:type="spellEnd"/>
      <w:r>
        <w:rPr>
          <w:sz w:val="20"/>
          <w:szCs w:val="20"/>
          <w:rtl/>
        </w:rPr>
        <w:t>.</w:t>
      </w:r>
    </w:p>
  </w:footnote>
  <w:footnote w:id="5333">
    <w:p w14:paraId="6965FB1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נספח </w:t>
      </w:r>
      <w:proofErr w:type="spellStart"/>
      <w:r>
        <w:rPr>
          <w:sz w:val="20"/>
          <w:szCs w:val="20"/>
          <w:rtl/>
        </w:rPr>
        <w:t>יב</w:t>
      </w:r>
      <w:proofErr w:type="spellEnd"/>
      <w:r>
        <w:rPr>
          <w:sz w:val="20"/>
          <w:szCs w:val="20"/>
          <w:rtl/>
        </w:rPr>
        <w:t xml:space="preserve"> – עמ׳ </w:t>
      </w:r>
      <w:proofErr w:type="spellStart"/>
      <w:r>
        <w:rPr>
          <w:sz w:val="20"/>
          <w:szCs w:val="20"/>
          <w:rtl/>
        </w:rPr>
        <w:t>יב</w:t>
      </w:r>
      <w:proofErr w:type="spellEnd"/>
      <w:r>
        <w:rPr>
          <w:sz w:val="20"/>
          <w:szCs w:val="20"/>
          <w:rtl/>
        </w:rPr>
        <w:t xml:space="preserve">–יד. הוא נכתב בי׳ בניסן תרס״ט, ומוען </w:t>
      </w:r>
      <w:proofErr w:type="spellStart"/>
      <w:r>
        <w:rPr>
          <w:sz w:val="20"/>
          <w:szCs w:val="20"/>
          <w:rtl/>
        </w:rPr>
        <w:t>לר</w:t>
      </w:r>
      <w:proofErr w:type="spellEnd"/>
      <w:r>
        <w:rPr>
          <w:sz w:val="20"/>
          <w:szCs w:val="20"/>
          <w:rtl/>
        </w:rPr>
        <w:t xml:space="preserve">׳ </w:t>
      </w:r>
      <w:proofErr w:type="spellStart"/>
      <w:r>
        <w:rPr>
          <w:sz w:val="20"/>
          <w:szCs w:val="20"/>
          <w:rtl/>
        </w:rPr>
        <w:t>יצחק־אייזיק</w:t>
      </w:r>
      <w:proofErr w:type="spellEnd"/>
      <w:r>
        <w:rPr>
          <w:sz w:val="20"/>
          <w:szCs w:val="20"/>
          <w:rtl/>
        </w:rPr>
        <w:t xml:space="preserve"> הלוי.</w:t>
      </w:r>
    </w:p>
  </w:footnote>
  <w:footnote w:id="5334">
    <w:p w14:paraId="085F986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פרק 3, נספח </w:t>
      </w:r>
      <w:proofErr w:type="spellStart"/>
      <w:r>
        <w:rPr>
          <w:sz w:val="20"/>
          <w:szCs w:val="20"/>
          <w:rtl/>
        </w:rPr>
        <w:t>יב</w:t>
      </w:r>
      <w:proofErr w:type="spellEnd"/>
      <w:r>
        <w:rPr>
          <w:sz w:val="20"/>
          <w:szCs w:val="20"/>
          <w:rtl/>
        </w:rPr>
        <w:t>.</w:t>
      </w:r>
    </w:p>
  </w:footnote>
  <w:footnote w:id="5335">
    <w:p w14:paraId="5665529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ייתכן שר׳ חיים התכוון גם לכך שסבל מקשיים בשליטה בצרכיו, ושבמעברי הגבול, שבהם רותקו כל הנוסעים לקרונותיהם עד שנבדקו ניירותיהם, לא היה חופשי לעשות את צרכיו – דבר שהזיק לבריאותו.</w:t>
      </w:r>
    </w:p>
  </w:footnote>
  <w:footnote w:id="5336">
    <w:p w14:paraId="081F7D0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עמ׳ 217–218.</w:t>
      </w:r>
    </w:p>
  </w:footnote>
  <w:footnote w:id="5337">
    <w:p w14:paraId="3B0B174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לעיל, הפסקה השישית של נספח ב, ופרק 2, הפסקה התשיעית של נספח א.</w:t>
      </w:r>
    </w:p>
  </w:footnote>
  <w:footnote w:id="5338">
    <w:p w14:paraId="3389EEE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21 בספטמבר 1993.</w:t>
      </w:r>
    </w:p>
  </w:footnote>
  <w:footnote w:id="5339">
    <w:p w14:paraId="4D9F703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כשדיבר ר׳ משה על “המשפחה” התכוון לבית אביו, ולא למשפחת </w:t>
      </w:r>
      <w:proofErr w:type="spellStart"/>
      <w:r>
        <w:rPr>
          <w:sz w:val="20"/>
          <w:szCs w:val="20"/>
          <w:rtl/>
        </w:rPr>
        <w:t>סולובייצ׳יק</w:t>
      </w:r>
      <w:proofErr w:type="spellEnd"/>
      <w:r>
        <w:rPr>
          <w:sz w:val="20"/>
          <w:szCs w:val="20"/>
          <w:rtl/>
        </w:rPr>
        <w:t xml:space="preserve"> המורחבת. כך עולה מן ההסבר שנתן הרב יצחק זאב על בריאות אביו, כפי שסיפר בנו ר׳ </w:t>
      </w:r>
      <w:proofErr w:type="spellStart"/>
      <w:r>
        <w:rPr>
          <w:sz w:val="20"/>
          <w:szCs w:val="20"/>
          <w:rtl/>
        </w:rPr>
        <w:t>משולם־דוד</w:t>
      </w:r>
      <w:proofErr w:type="spellEnd"/>
      <w:r>
        <w:rPr>
          <w:sz w:val="20"/>
          <w:szCs w:val="20"/>
          <w:rtl/>
        </w:rPr>
        <w:t xml:space="preserve"> ב־26 באוקטובר 1993, וכפי שהובא בסוף נספח זה.</w:t>
      </w:r>
    </w:p>
  </w:footnote>
  <w:footnote w:id="5340">
    <w:p w14:paraId="78A07BF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השנייה של נספח ב לעיל – עמ׳ ע–</w:t>
      </w:r>
      <w:proofErr w:type="spellStart"/>
      <w:r>
        <w:rPr>
          <w:sz w:val="20"/>
          <w:szCs w:val="20"/>
          <w:rtl/>
        </w:rPr>
        <w:t>עא</w:t>
      </w:r>
      <w:proofErr w:type="spellEnd"/>
      <w:r>
        <w:rPr>
          <w:sz w:val="20"/>
          <w:szCs w:val="20"/>
          <w:rtl/>
        </w:rPr>
        <w:t xml:space="preserve"> בעימוד השני.</w:t>
      </w:r>
    </w:p>
  </w:footnote>
  <w:footnote w:id="5341">
    <w:p w14:paraId="3FC197D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הערת שוליים </w:t>
      </w:r>
      <w:r>
        <w:rPr>
          <w:rStyle w:val="a5"/>
          <w:sz w:val="20"/>
          <w:szCs w:val="20"/>
          <w:vertAlign w:val="baseline"/>
          <w:rtl/>
        </w:rPr>
        <w:fldChar w:fldCharType="begin" w:dirty="true"/>
      </w:r>
      <w:r>
        <w:rPr>
          <w:rStyle w:val="a5"/>
          <w:sz w:val="20"/>
          <w:szCs w:val="20"/>
          <w:vertAlign w:val="baseline"/>
          <w:rtl/>
        </w:rPr>
        <w:instrText xml:space="preserve"> NOTEREF pr_f_2383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1429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pr_f_2383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w:t>
      </w:r>
    </w:p>
  </w:footnote>
  <w:footnote w:id="5342">
    <w:p w14:paraId="00EAE18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“יעקב מארק”, עמ׳ 59.</w:t>
      </w:r>
    </w:p>
  </w:footnote>
  <w:footnote w:id="5343">
    <w:p w14:paraId="4DDBE53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נספח ד לעיל – עמ׳ 598–601.</w:t>
      </w:r>
    </w:p>
  </w:footnote>
  <w:footnote w:id="5344">
    <w:p w14:paraId="07F661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הפסקה הראשונה של נספח ו לעיל.</w:t>
      </w:r>
    </w:p>
  </w:footnote>
  <w:footnote w:id="5345">
    <w:p w14:paraId="120758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נזכר בפרק 3, בסוף הפסקה השנייה של נספח כה – עמ׳ </w:t>
      </w:r>
      <w:proofErr w:type="spellStart"/>
      <w:r>
        <w:rPr>
          <w:sz w:val="20"/>
          <w:szCs w:val="20"/>
          <w:rtl/>
        </w:rPr>
        <w:t>קעד</w:t>
      </w:r>
      <w:proofErr w:type="spellEnd"/>
      <w:r>
        <w:rPr>
          <w:sz w:val="20"/>
          <w:szCs w:val="20"/>
          <w:rtl/>
        </w:rPr>
        <w:t>.</w:t>
      </w:r>
    </w:p>
  </w:footnote>
  <w:footnote w:id="5346">
    <w:p w14:paraId="3EED0A6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כרך 2.</w:t>
      </w:r>
    </w:p>
  </w:footnote>
  <w:footnote w:id="5347">
    <w:p w14:paraId="26B4988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שם, עמ׳ </w:t>
      </w:r>
      <w:proofErr w:type="spellStart"/>
      <w:r>
        <w:rPr>
          <w:sz w:val="20"/>
          <w:szCs w:val="20"/>
          <w:rtl/>
        </w:rPr>
        <w:t>קעה</w:t>
      </w:r>
      <w:proofErr w:type="spellEnd"/>
      <w:r>
        <w:rPr>
          <w:sz w:val="20"/>
          <w:szCs w:val="20"/>
          <w:rtl/>
        </w:rPr>
        <w:t>.</w:t>
      </w:r>
    </w:p>
  </w:footnote>
  <w:footnote w:id="5348">
    <w:p w14:paraId="794CA36C"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הלכות דעות פרק ו הלכה א.</w:t>
      </w:r>
    </w:p>
  </w:footnote>
  <w:footnote w:id="5349">
    <w:p w14:paraId="0C265668"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ראה “טעם ודעת” (נזכר בפרק 3, הערת שוליים </w:t>
      </w:r>
      <w:r>
        <w:rPr>
          <w:rStyle w:val="a5"/>
          <w:sz w:val="20"/>
          <w:szCs w:val="20"/>
          <w:vertAlign w:val="baseline"/>
          <w:rtl/>
        </w:rPr>
        <w:fldChar w:fldCharType="begin" w:dirty="true"/>
      </w:r>
      <w:r>
        <w:rPr>
          <w:rStyle w:val="a5"/>
          <w:sz w:val="20"/>
          <w:szCs w:val="20"/>
          <w:vertAlign w:val="baseline"/>
          <w:rtl/>
        </w:rPr>
        <w:instrText xml:space="preserve"> NOTEREF pr_f_2832 \h </w:instrText>
      </w:r>
      <w:r>
        <w:rPr>
          <w:rStyle w:val="a5"/>
          <w:sz w:val="20"/>
          <w:szCs w:val="20"/>
          <w:vertAlign w:val="baseline"/>
          <w:rtl/>
        </w:rPr>
      </w:r>
      <w:r>
        <w:rPr>
          <w:rStyle w:val="a5"/>
          <w:sz w:val="20"/>
          <w:szCs w:val="20"/>
          <w:vertAlign w:val="baseline"/>
          <w:rtl/>
        </w:rPr>
        <w:fldChar w:fldCharType="separate"/>
      </w:r>
      <w:r w:rsidR="007923E9">
        <w:rPr>
          <w:rStyle w:val="a5"/>
          <w:sz w:val="20"/>
          <w:szCs w:val="20"/>
          <w:vertAlign w:val="baseline"/>
          <w:rtl/>
        </w:rPr>
        <w:t>1879</w:t>
      </w:r>
      <w:r>
        <w:rPr>
          <w:rStyle w:val="a5"/>
          <w:sz w:val="20"/>
          <w:szCs w:val="20"/>
          <w:vertAlign w:val="baseline"/>
          <w:rtl/>
        </w:rPr>
        <w:fldChar w:fldCharType="end"/>
      </w:r>
      <w:r>
        <w:rPr>
          <w:rStyle w:val="a5"/>
          <w:sz w:val="20"/>
          <w:szCs w:val="20"/>
          <w:vertAlign w:val="baseline"/>
          <w:rtl/>
        </w:rPr>
        <w:t xml:space="preserve">, עמ׳ </w:t>
      </w:r>
      <w:r>
        <w:rPr>
          <w:rStyle w:val="a5"/>
          <w:sz w:val="20"/>
          <w:szCs w:val="20"/>
          <w:vertAlign w:val="baseline"/>
          <w:rtl/>
        </w:rPr>
        <w:fldChar w:fldCharType="begin" w:dirty="true"/>
      </w:r>
      <w:r>
        <w:rPr>
          <w:rStyle w:val="a5"/>
          <w:sz w:val="20"/>
          <w:szCs w:val="20"/>
          <w:vertAlign w:val="baseline"/>
          <w:rtl/>
        </w:rPr>
        <w:instrText xml:space="preserve"> PAGEREF pr_f_2832 \h </w:instrText>
      </w:r>
      <w:r>
        <w:rPr>
          <w:rStyle w:val="a5"/>
          <w:sz w:val="20"/>
          <w:szCs w:val="20"/>
          <w:vertAlign w:val="baseline"/>
          <w:rtl/>
        </w:rPr>
      </w:r>
      <w:r>
        <w:rPr>
          <w:rStyle w:val="a5"/>
          <w:sz w:val="20"/>
          <w:szCs w:val="20"/>
          <w:vertAlign w:val="baseline"/>
          <w:rtl/>
        </w:rPr>
        <w:fldChar w:fldCharType="separate"/>
      </w:r>
      <w:r w:rsidR="007923E9">
        <w:rPr>
          <w:rStyle w:val="a5"/>
          <w:noProof/>
          <w:sz w:val="20"/>
          <w:szCs w:val="20"/>
          <w:vertAlign w:val="baseline"/>
          <w:rtl/>
        </w:rPr>
        <w:t>1</w:t>
      </w:r>
      <w:r>
        <w:rPr>
          <w:rStyle w:val="a5"/>
          <w:sz w:val="20"/>
          <w:szCs w:val="20"/>
          <w:vertAlign w:val="baseline"/>
          <w:rtl/>
        </w:rPr>
        <w:fldChar w:fldCharType="end"/>
      </w:r>
      <w:r>
        <w:rPr>
          <w:sz w:val="20"/>
          <w:szCs w:val="20"/>
          <w:rtl/>
        </w:rPr>
        <w:t xml:space="preserve">), עמ׳ </w:t>
      </w:r>
      <w:proofErr w:type="spellStart"/>
      <w:r>
        <w:rPr>
          <w:sz w:val="20"/>
          <w:szCs w:val="20"/>
          <w:rtl/>
        </w:rPr>
        <w:t>רלט</w:t>
      </w:r>
      <w:proofErr w:type="spellEnd"/>
      <w:r>
        <w:rPr>
          <w:sz w:val="20"/>
          <w:szCs w:val="20"/>
          <w:rtl/>
        </w:rPr>
        <w:t xml:space="preserve"> בכרך על בראשית. שם כותב המחבר, ר׳ משה </w:t>
      </w:r>
      <w:proofErr w:type="spellStart"/>
      <w:r>
        <w:rPr>
          <w:sz w:val="20"/>
          <w:szCs w:val="20"/>
          <w:rtl/>
        </w:rPr>
        <w:t>שטרנבוך</w:t>
      </w:r>
      <w:proofErr w:type="spellEnd"/>
      <w:r>
        <w:rPr>
          <w:sz w:val="20"/>
          <w:szCs w:val="20"/>
          <w:rtl/>
        </w:rPr>
        <w:t xml:space="preserve">: “שמעתי מפי גדול אחד” – כנראה ר׳ אברהם </w:t>
      </w:r>
      <w:proofErr w:type="spellStart"/>
      <w:r>
        <w:rPr>
          <w:sz w:val="20"/>
          <w:szCs w:val="20"/>
          <w:rtl/>
        </w:rPr>
        <w:t>קלמנוביץ</w:t>
      </w:r>
      <w:proofErr w:type="spellEnd"/>
      <w:r>
        <w:rPr>
          <w:sz w:val="20"/>
          <w:szCs w:val="20"/>
          <w:rtl/>
        </w:rPr>
        <w:t xml:space="preserve"> – שביקר אצל ר׳ חיים ומצא את ביתו נעול וחשוך, ורק לאחר שצעק והתחנן שבא בעניין דחוף פתח לו ר׳ חיים את הדלת. כששאל בתדהמה מדוע הסתגר ר׳ חיים בחושך, נענה שהדבר נובע מפסק הרמב״ם: “ואם היו רעים וחטאים שאין מניחים אותו </w:t>
      </w:r>
      <w:proofErr w:type="spellStart"/>
      <w:r>
        <w:rPr>
          <w:sz w:val="20"/>
          <w:szCs w:val="20"/>
          <w:rtl/>
        </w:rPr>
        <w:t>לישב</w:t>
      </w:r>
      <w:proofErr w:type="spellEnd"/>
      <w:r>
        <w:rPr>
          <w:sz w:val="20"/>
          <w:szCs w:val="20"/>
          <w:rtl/>
        </w:rPr>
        <w:t xml:space="preserve"> במדינה אא״כ נתערב עמהן ונוהג במנהגם הרע יצא למערות ולחוחים ולמדברות”. ר׳ חיים אמר שלעיתים הוא מתבודד ומדמה בנפשו שהוא אכן במדבר.</w:t>
      </w:r>
    </w:p>
    <w:p w14:paraId="35CD841C" w14:textId="77777777" w:rsidR="00AB3647" w:rsidRDefault="00000000">
      <w:pPr>
        <w:spacing w:after="0" w:before="0"/>
        <w:jc w:val="both"/>
      </w:pPr>
      <w:r>
        <w:rPr>
          <w:sz w:val="20"/>
          <w:szCs w:val="20"/>
          <w:rtl/>
        </w:rPr>
        <w:t xml:space="preserve">ראה גם “מפניני הרב” (הערת שוליים </w:t>
      </w:r>
      <w:r>
        <w:rPr>
          <w:sz w:val="20"/>
          <w:szCs w:val="20"/>
          <w:rtl/>
        </w:rPr>
        <w:fldChar w:fldCharType="begin" w:dirty="true"/>
      </w:r>
      <w:r>
        <w:rPr>
          <w:sz w:val="20"/>
          <w:szCs w:val="20"/>
          <w:rtl/>
        </w:rPr>
        <w:instrText xml:space="preserve"> NOTEREF pr_f_4582 \h </w:instrText>
      </w:r>
      <w:r>
        <w:rPr>
          <w:sz w:val="20"/>
          <w:szCs w:val="20"/>
          <w:rtl/>
        </w:rPr>
      </w:r>
      <w:r>
        <w:rPr>
          <w:sz w:val="20"/>
          <w:szCs w:val="20"/>
          <w:rtl/>
        </w:rPr>
        <w:fldChar w:fldCharType="separate"/>
      </w:r>
      <w:r w:rsidR="007923E9">
        <w:rPr>
          <w:sz w:val="20"/>
          <w:szCs w:val="20"/>
          <w:rtl/>
        </w:rPr>
        <w:t>236</w:t>
      </w:r>
      <w:r>
        <w:rPr>
          <w:sz w:val="20"/>
          <w:szCs w:val="20"/>
          <w:rtl/>
        </w:rPr>
        <w:fldChar w:fldCharType="end"/>
      </w:r>
      <w:r>
        <w:rPr>
          <w:sz w:val="20"/>
          <w:szCs w:val="20"/>
          <w:rtl/>
        </w:rPr>
        <w:t xml:space="preserve">, עמ׳ </w:t>
      </w:r>
      <w:r>
        <w:rPr>
          <w:sz w:val="20"/>
          <w:szCs w:val="20"/>
          <w:rtl/>
        </w:rPr>
        <w:fldChar w:fldCharType="begin" w:dirty="true"/>
      </w:r>
      <w:r>
        <w:rPr>
          <w:sz w:val="20"/>
          <w:szCs w:val="20"/>
          <w:rtl/>
        </w:rPr>
        <w:instrText xml:space="preserve"> PAGEREF pr_f_4582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 xml:space="preserve">), עמ׳ </w:t>
      </w:r>
      <w:proofErr w:type="spellStart"/>
      <w:r>
        <w:rPr>
          <w:sz w:val="20"/>
          <w:szCs w:val="20"/>
          <w:rtl/>
        </w:rPr>
        <w:t>נג</w:t>
      </w:r>
      <w:proofErr w:type="spellEnd"/>
      <w:r>
        <w:rPr>
          <w:sz w:val="20"/>
          <w:szCs w:val="20"/>
          <w:rtl/>
        </w:rPr>
        <w:t xml:space="preserve">–נד: כשנאלץ הרב יצחק זאב </w:t>
      </w:r>
      <w:proofErr w:type="spellStart"/>
      <w:r>
        <w:rPr>
          <w:sz w:val="20"/>
          <w:szCs w:val="20"/>
          <w:rtl/>
        </w:rPr>
        <w:t>סולובייצ׳יק</w:t>
      </w:r>
      <w:proofErr w:type="spellEnd"/>
      <w:r>
        <w:rPr>
          <w:sz w:val="20"/>
          <w:szCs w:val="20"/>
          <w:rtl/>
        </w:rPr>
        <w:t xml:space="preserve"> לברוח מאירופה בפרוץ מלחמת העולם השנייה, לא אבה לשמוע על הגירה לארצות הברית בשל פסק זה של הרמב״ם. הוא סיפר ששמע מאביו, ר׳ חיים, שמאחר שהרמב״ם פסק שם שכל הארצות, אפילו בימיו, רעות וחטאות, ומאחר שאין אנו יודעים כיצד להתקיים במדבר, אין לנו ברירה אלא להתבודד בבית בלי קשר עם העולם שבחוץ. הרב יצחק זאב דחה את רעיון המעבר לאמריקה מפני ששמע ששם, שלא כבארץ ישראל באותה עת, “גם אם אטום את חלונותיי, תחדור השפעת החוץ אל הבית”.</w:t>
      </w:r>
    </w:p>
  </w:footnote>
  <w:footnote w:id="5350">
    <w:p w14:paraId="2852061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לא את תלמיד </w:t>
      </w:r>
      <w:proofErr w:type="spellStart"/>
      <w:r>
        <w:rPr>
          <w:sz w:val="20"/>
          <w:szCs w:val="20"/>
          <w:rtl/>
        </w:rPr>
        <w:t>וולוז׳ין</w:t>
      </w:r>
      <w:proofErr w:type="spellEnd"/>
      <w:r>
        <w:rPr>
          <w:sz w:val="20"/>
          <w:szCs w:val="20"/>
          <w:rtl/>
        </w:rPr>
        <w:t xml:space="preserve"> יצחק ברגר, שנזכר לעיל, האשים ר׳ אברהם </w:t>
      </w:r>
      <w:proofErr w:type="spellStart"/>
      <w:r>
        <w:rPr>
          <w:sz w:val="20"/>
          <w:szCs w:val="20"/>
          <w:rtl/>
        </w:rPr>
        <w:t>קלמנוביץ</w:t>
      </w:r>
      <w:proofErr w:type="spellEnd"/>
      <w:r>
        <w:rPr>
          <w:sz w:val="20"/>
          <w:szCs w:val="20"/>
          <w:rtl/>
        </w:rPr>
        <w:t xml:space="preserve"> בחשיפת המידע, שכן ברגר היה מזכיר הוועד ולא ראשו, כאמור לעיל, עמ׳ </w:t>
      </w:r>
      <w:r>
        <w:rPr>
          <w:sz w:val="20"/>
          <w:szCs w:val="20"/>
          <w:rtl/>
        </w:rPr>
        <w:fldChar w:fldCharType="begin" w:dirty="true"/>
      </w:r>
      <w:r>
        <w:rPr>
          <w:sz w:val="20"/>
          <w:szCs w:val="20"/>
          <w:rtl/>
        </w:rPr>
        <w:instrText xml:space="preserve"> PAGEREF pr_b_2872 \h </w:instrText>
      </w:r>
      <w:r>
        <w:rPr>
          <w:sz w:val="20"/>
          <w:szCs w:val="20"/>
          <w:rtl/>
        </w:rPr>
      </w:r>
      <w:r>
        <w:rPr>
          <w:sz w:val="20"/>
          <w:szCs w:val="20"/>
          <w:rtl/>
        </w:rPr>
        <w:fldChar w:fldCharType="separate"/>
      </w:r>
      <w:r w:rsidR="007923E9">
        <w:rPr>
          <w:noProof/>
          <w:sz w:val="20"/>
          <w:szCs w:val="20"/>
          <w:rtl/>
        </w:rPr>
        <w:t>1</w:t>
      </w:r>
      <w:r>
        <w:rPr>
          <w:sz w:val="20"/>
          <w:szCs w:val="20"/>
          <w:rtl/>
        </w:rPr>
        <w:fldChar w:fldCharType="end"/>
      </w:r>
      <w:r>
        <w:rPr>
          <w:sz w:val="20"/>
          <w:szCs w:val="20"/>
          <w:rtl/>
        </w:rPr>
        <w:t>.</w:t>
      </w:r>
    </w:p>
  </w:footnote>
  <w:footnote w:id="5351">
    <w:p w14:paraId="6DC01A4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האדמו״ר סיפר מעשה זה </w:t>
      </w:r>
      <w:proofErr w:type="spellStart"/>
      <w:r>
        <w:rPr>
          <w:sz w:val="20"/>
          <w:szCs w:val="20"/>
          <w:rtl/>
        </w:rPr>
        <w:t>לר</w:t>
      </w:r>
      <w:proofErr w:type="spellEnd"/>
      <w:r>
        <w:rPr>
          <w:sz w:val="20"/>
          <w:szCs w:val="20"/>
          <w:rtl/>
        </w:rPr>
        <w:t xml:space="preserve">׳ שמואל </w:t>
      </w:r>
      <w:proofErr w:type="spellStart"/>
      <w:r>
        <w:rPr>
          <w:sz w:val="20"/>
          <w:szCs w:val="20"/>
          <w:rtl/>
        </w:rPr>
        <w:t xml:space="preserve">אוירבך</w:t>
      </w:r>
      <w:proofErr w:type="spellEnd"/>
      <w:r>
        <w:rPr>
          <w:sz w:val="20"/>
          <w:szCs w:val="20"/>
          <w:rtl/>
        </w:rPr>
        <w:t xml:space="preserve">, שסיפרו </w:t>
      </w:r>
      <w:proofErr w:type="spellStart"/>
      <w:r>
        <w:rPr>
          <w:sz w:val="20"/>
          <w:szCs w:val="20"/>
          <w:rtl/>
        </w:rPr>
        <w:t>לר</w:t>
      </w:r>
      <w:proofErr w:type="spellEnd"/>
      <w:r>
        <w:rPr>
          <w:sz w:val="20"/>
          <w:szCs w:val="20"/>
          <w:rtl/>
        </w:rPr>
        <w:t xml:space="preserve">׳ שלום </w:t>
      </w:r>
      <w:proofErr w:type="spellStart"/>
      <w:r>
        <w:rPr>
          <w:sz w:val="20"/>
          <w:szCs w:val="20"/>
          <w:rtl/>
        </w:rPr>
        <w:t>גלבר</w:t>
      </w:r>
      <w:proofErr w:type="spellEnd"/>
      <w:r>
        <w:rPr>
          <w:sz w:val="20"/>
          <w:szCs w:val="20"/>
          <w:rtl/>
        </w:rPr>
        <w:t>, שרואיין ב־18 ביוני 2000.</w:t>
      </w:r>
    </w:p>
  </w:footnote>
  <w:footnote w:id="5352">
    <w:p w14:paraId="7DBD475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יומא דף פ״ב.</w:t>
      </w:r>
    </w:p>
  </w:footnote>
  <w:footnote w:id="5353">
    <w:p w14:paraId="6167F43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פרק 3, תחילת נספח לב.</w:t>
      </w:r>
    </w:p>
  </w:footnote>
  <w:footnote w:id="5354">
    <w:p w14:paraId="6C116AD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גם פרק 2, נספח א, תחילת הפסקה </w:t>
      </w:r>
      <w:proofErr w:type="spellStart"/>
      <w:r>
        <w:rPr>
          <w:sz w:val="20"/>
          <w:szCs w:val="20"/>
          <w:rtl/>
        </w:rPr>
        <w:t>העשרים־וארבע</w:t>
      </w:r>
      <w:proofErr w:type="spellEnd"/>
      <w:r>
        <w:rPr>
          <w:sz w:val="20"/>
          <w:szCs w:val="20"/>
          <w:rtl/>
        </w:rPr>
        <w:t>.</w:t>
      </w:r>
    </w:p>
  </w:footnote>
  <w:footnote w:id="5355">
    <w:p w14:paraId="07D64F80" w14:textId="77777777" w:rsidR="00AB3647" w:rsidRDefault="00000000">
      <w:pPr>
        <w:spacing w:after="0" w:before="0"/>
        <w:jc w:val="both"/>
      </w:pPr>
      <w:r>
        <w:rPr>
          <w:rStyle w:val="a5"/>
          <w:vertAlign w:val="superscript"/>
          <w:rtl/>
        </w:rPr>
        <w:t>*</w:t>
      </w:r>
      <w:r>
        <w:rPr>
          <w:sz w:val="20"/>
          <w:szCs w:val="20"/>
        </w:rPr>
        <w:t xml:space="preserve"> </w:t>
      </w:r>
      <w:r>
        <w:rPr>
          <w:rStyle w:val="a5"/>
          <w:color w:val="000000"/>
          <w:sz w:val="20"/>
          <w:szCs w:val="20"/>
          <w:vertAlign w:val="baseline"/>
          <w:rtl/>
        </w:rPr>
      </w:r>
      <w:r>
        <w:rPr>
          <w:sz w:val="20"/>
          <w:szCs w:val="20"/>
          <w:rtl/>
        </w:rPr>
        <w:t xml:space="preserve"/>
      </w:r>
      <w:r>
        <w:rPr>
          <w:b/>
          <w:color w:val="000000"/>
          <w:sz w:val="20"/>
          <w:szCs w:val="20"/>
          <w:rtl/>
        </w:rPr>
        <w:t xml:space="preserve">הערת המתרגם: </w:t>
      </w:r>
      <w:r>
        <w:rPr>
          <w:sz w:val="20"/>
          <w:szCs w:val="20"/>
          <w:rtl/>
        </w:rPr>
        <w:t>בנוסח המכתב המצוטט בנספח ט כתב ר׳ חיים שאינו אומר את דבריו “מתוך ענווה או שפלות הדעת”, כלומר שלל שתכונה זו היא המניע שלו.</w:t>
      </w:r>
    </w:p>
  </w:footnote>
  <w:footnote w:id="5356">
    <w:p w14:paraId="733D0AD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 יקותיאל </w:t>
      </w:r>
      <w:proofErr w:type="spellStart"/>
      <w:r>
        <w:rPr>
          <w:sz w:val="20"/>
          <w:szCs w:val="20"/>
          <w:rtl/>
        </w:rPr>
        <w:t>דז׳יקנסקי</w:t>
      </w:r>
      <w:proofErr w:type="spellEnd"/>
      <w:r>
        <w:rPr>
          <w:sz w:val="20"/>
          <w:szCs w:val="20"/>
          <w:rtl/>
        </w:rPr>
        <w:t xml:space="preserve"> מסר את המעשה </w:t>
      </w:r>
      <w:proofErr w:type="spellStart"/>
      <w:r>
        <w:rPr>
          <w:sz w:val="20"/>
          <w:szCs w:val="20"/>
          <w:rtl/>
        </w:rPr>
        <w:t>לר</w:t>
      </w:r>
      <w:proofErr w:type="spellEnd"/>
      <w:r>
        <w:rPr>
          <w:sz w:val="20"/>
          <w:szCs w:val="20"/>
          <w:rtl/>
        </w:rPr>
        <w:t xml:space="preserve">׳ ישראל </w:t>
      </w:r>
      <w:proofErr w:type="spellStart"/>
      <w:r>
        <w:rPr>
          <w:sz w:val="20"/>
          <w:szCs w:val="20"/>
          <w:rtl/>
        </w:rPr>
        <w:t>שורין</w:t>
      </w:r>
      <w:proofErr w:type="spellEnd"/>
      <w:r>
        <w:rPr>
          <w:sz w:val="20"/>
          <w:szCs w:val="20"/>
          <w:rtl/>
        </w:rPr>
        <w:t>, שרואיין ב־27 בנובמבר 1998.</w:t>
      </w:r>
    </w:p>
  </w:footnote>
  <w:footnote w:id="5357">
    <w:p w14:paraId="43B4902E"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w:t>
      </w:r>
      <w:proofErr w:type="spellStart"/>
      <w:r>
        <w:rPr>
          <w:sz w:val="20"/>
          <w:szCs w:val="20"/>
          <w:rtl/>
        </w:rPr>
        <w:t>שו״ע</w:t>
      </w:r>
      <w:proofErr w:type="spellEnd"/>
      <w:r>
        <w:rPr>
          <w:sz w:val="20"/>
          <w:szCs w:val="20"/>
          <w:rtl/>
        </w:rPr>
        <w:t xml:space="preserve"> </w:t>
      </w:r>
      <w:proofErr w:type="spellStart"/>
      <w:r>
        <w:rPr>
          <w:sz w:val="20"/>
          <w:szCs w:val="20"/>
          <w:rtl/>
        </w:rPr>
        <w:t>או״ח</w:t>
      </w:r>
      <w:proofErr w:type="spellEnd"/>
      <w:r>
        <w:rPr>
          <w:sz w:val="20"/>
          <w:szCs w:val="20"/>
          <w:rtl/>
        </w:rPr>
        <w:t xml:space="preserve"> סוף סי׳ תע״ב.</w:t>
      </w:r>
    </w:p>
  </w:footnote>
  <w:footnote w:id="5358">
    <w:p w14:paraId="010C14C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אותו מעשה מסופר במאמריו של </w:t>
      </w:r>
      <w:proofErr w:type="spellStart"/>
      <w:r>
        <w:rPr>
          <w:sz w:val="20"/>
          <w:szCs w:val="20"/>
          <w:rtl/>
        </w:rPr>
        <w:t>חייקל</w:t>
      </w:r>
      <w:proofErr w:type="spellEnd"/>
      <w:r>
        <w:rPr>
          <w:sz w:val="20"/>
          <w:szCs w:val="20"/>
          <w:rtl/>
        </w:rPr>
        <w:t xml:space="preserve"> </w:t>
      </w:r>
      <w:proofErr w:type="spellStart"/>
      <w:r>
        <w:rPr>
          <w:sz w:val="20"/>
          <w:szCs w:val="20"/>
          <w:rtl/>
        </w:rPr>
        <w:t>לונסקי</w:t>
      </w:r>
      <w:proofErr w:type="spellEnd"/>
      <w:r>
        <w:rPr>
          <w:sz w:val="20"/>
          <w:szCs w:val="20"/>
          <w:rtl/>
        </w:rPr>
        <w:t xml:space="preserve"> על אגדות העם על הגאון (המקור הנזכר, פרק 3, הפסקה השלישית של נספח </w:t>
      </w:r>
      <w:proofErr w:type="spellStart"/>
      <w:r>
        <w:rPr>
          <w:sz w:val="20"/>
          <w:szCs w:val="20"/>
          <w:rtl/>
        </w:rPr>
        <w:t>כו</w:t>
      </w:r>
      <w:proofErr w:type="spellEnd"/>
      <w:r>
        <w:rPr>
          <w:sz w:val="20"/>
          <w:szCs w:val="20"/>
          <w:rtl/>
        </w:rPr>
        <w:t xml:space="preserve">), אלא שנראה שהגאון מווילנה היה אז צעיר בהרבה מבן שנתיים: “זחל [</w:t>
      </w:r>
      <w:proofErr w:type="spellStart"/>
      <w:r>
        <w:rPr>
          <w:sz w:val="20"/>
          <w:szCs w:val="20"/>
          <w:rtl/>
        </w:rPr>
        <w:t>צוגעפויזעט</w:t>
      </w:r>
      <w:proofErr w:type="spellEnd"/>
      <w:r>
        <w:rPr>
          <w:sz w:val="20"/>
          <w:szCs w:val="20"/>
          <w:rtl/>
        </w:rPr>
        <w:t xml:space="preserve">] אל הדלי, לקח </w:t>
      </w:r>
      <w:proofErr w:type="spellStart"/>
      <w:r>
        <w:rPr>
          <w:sz w:val="20"/>
          <w:szCs w:val="20"/>
          <w:rtl/>
        </w:rPr>
        <w:t>קענדעל</w:t>
      </w:r>
      <w:proofErr w:type="spellEnd"/>
      <w:r>
        <w:rPr>
          <w:sz w:val="20"/>
          <w:szCs w:val="20"/>
          <w:rtl/>
        </w:rPr>
        <w:t xml:space="preserve"> [כלי קיבול] של מים ושפך אותם </w:t>
      </w:r>
      <w:proofErr w:type="spellStart"/>
      <w:r>
        <w:rPr>
          <w:sz w:val="20"/>
          <w:szCs w:val="20"/>
          <w:rtl/>
        </w:rPr>
        <w:t>וכו</w:t>
      </w:r>
      <w:proofErr w:type="spellEnd"/>
      <w:r>
        <w:rPr>
          <w:sz w:val="20"/>
          <w:szCs w:val="20"/>
          <w:rtl/>
        </w:rPr>
        <w:t>׳”.</w:t>
      </w:r>
    </w:p>
  </w:footnote>
  <w:footnote w:id="5359">
    <w:p w14:paraId="6C11678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על פי דברי רבי יוחנן במגילה ל״א ע״א, לפי הנוסח המתוקן בתפילת מוצאי שבת </w:t>
      </w:r>
      <w:proofErr w:type="spellStart"/>
      <w:r>
        <w:rPr>
          <w:sz w:val="20"/>
          <w:szCs w:val="20"/>
          <w:rtl/>
        </w:rPr>
        <w:t>ויתן</w:t>
      </w:r>
      <w:proofErr w:type="spellEnd"/>
      <w:r>
        <w:rPr>
          <w:sz w:val="20"/>
          <w:szCs w:val="20"/>
          <w:rtl/>
        </w:rPr>
        <w:t xml:space="preserve"> לך. ראה סידור אוצר התפלות (הוצאת ספר, ניו יורק</w:t>
      </w:r>
      <w:proofErr w:type="spellStart"/>
      <w:r>
        <w:rPr>
          <w:sz w:val="20"/>
          <w:szCs w:val="20"/>
          <w:rtl/>
        </w:rPr>
        <w:t xml:space="preserve"/>
      </w:r>
      <w:proofErr w:type="spellEnd"/>
      <w:r>
        <w:rPr>
          <w:sz w:val="20"/>
          <w:szCs w:val="20"/>
          <w:rtl/>
        </w:rPr>
        <w:t xml:space="preserve">, נ״י, תש״ו), עמ׳ </w:t>
      </w:r>
      <w:proofErr w:type="spellStart"/>
      <w:r>
        <w:rPr>
          <w:sz w:val="20"/>
          <w:szCs w:val="20"/>
          <w:rtl/>
        </w:rPr>
        <w:t>תכד</w:t>
      </w:r>
      <w:proofErr w:type="spellEnd"/>
      <w:r>
        <w:rPr>
          <w:sz w:val="20"/>
          <w:szCs w:val="20"/>
          <w:rtl/>
        </w:rPr>
        <w:t>, בפירוש ענף יוסף.</w:t>
      </w:r>
    </w:p>
  </w:footnote>
  <w:footnote w:id="5360">
    <w:p w14:paraId="72BCB8A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ו לעיל – עמ׳ 442.</w:t>
      </w:r>
    </w:p>
  </w:footnote>
  <w:footnote w:id="5361">
    <w:p w14:paraId="4D048AA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השווה לפרק 3, סוף נספח יא, ולעיל, הפסקה החמישית של נספח ו, לפרטים נוספים.</w:t>
      </w:r>
    </w:p>
  </w:footnote>
  <w:footnote w:id="5362">
    <w:p w14:paraId="4247F41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מנהיגי העיר הללו היו חברי קבוצת המיעוט שתמכה במועמד שהעדיף ר׳ חיים, והם רצו שר׳ חיים יופיע בצורה מרשימה יותר בפני </w:t>
      </w:r>
      <w:proofErr w:type="spellStart"/>
      <w:r>
        <w:rPr>
          <w:sz w:val="20"/>
          <w:szCs w:val="20"/>
          <w:rtl/>
        </w:rPr>
        <w:t>ה“שיינע</w:t>
      </w:r>
      <w:proofErr w:type="spellEnd"/>
      <w:r>
        <w:rPr>
          <w:sz w:val="20"/>
          <w:szCs w:val="20"/>
          <w:rtl/>
        </w:rPr>
        <w:t xml:space="preserve"> </w:t>
      </w:r>
      <w:proofErr w:type="spellStart"/>
      <w:r>
        <w:rPr>
          <w:sz w:val="20"/>
          <w:szCs w:val="20"/>
          <w:rtl/>
        </w:rPr>
        <w:t>אידען</w:t>
      </w:r>
      <w:proofErr w:type="spellEnd"/>
      <w:r>
        <w:rPr>
          <w:sz w:val="20"/>
          <w:szCs w:val="20"/>
          <w:rtl/>
        </w:rPr>
        <w:t>” שהתכנסו.</w:t>
      </w:r>
    </w:p>
  </w:footnote>
  <w:footnote w:id="5363">
    <w:p w14:paraId="5D6D1FBA"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ספר </w:t>
      </w:r>
      <w:proofErr w:type="spellStart"/>
      <w:r>
        <w:rPr>
          <w:sz w:val="20"/>
          <w:szCs w:val="20"/>
          <w:rtl/>
        </w:rPr>
        <w:t>מזריטש</w:t>
      </w:r>
      <w:proofErr w:type="spellEnd"/>
      <w:r>
        <w:rPr>
          <w:sz w:val="20"/>
          <w:szCs w:val="20"/>
          <w:rtl/>
        </w:rPr>
        <w:t xml:space="preserve"> אינו נוקב במכוון בשמו של הדוד, אך ראה פרק 3, נספח יא (הנזכר גם בפסקה החמישית של נספח ו לעיל), על זהותו.</w:t>
      </w:r>
    </w:p>
  </w:footnote>
  <w:footnote w:id="5364">
    <w:p w14:paraId="3E6713F0"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מ־23 באפריל 1995.</w:t>
      </w:r>
    </w:p>
  </w:footnote>
  <w:footnote w:id="5365">
    <w:p w14:paraId="1374B13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מובא במאמר של הרב יהושע </w:t>
      </w:r>
      <w:proofErr w:type="spellStart"/>
      <w:r>
        <w:rPr>
          <w:sz w:val="20"/>
          <w:szCs w:val="20"/>
          <w:rtl/>
        </w:rPr>
        <w:t>קרלינסקי</w:t>
      </w:r>
      <w:proofErr w:type="spellEnd"/>
      <w:r>
        <w:rPr>
          <w:sz w:val="20"/>
          <w:szCs w:val="20"/>
          <w:rtl/>
        </w:rPr>
        <w:t xml:space="preserve"> בעמ׳ לב של “קול התורה” (יו״ל ע״י מחלקת החינוך של אגו״י באירופה), גיליון ניסן תשנ״ח.</w:t>
      </w:r>
    </w:p>
  </w:footnote>
  <w:footnote w:id="5366">
    <w:p w14:paraId="7EBF21F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ראה סוף נספח זה.</w:t>
      </w:r>
    </w:p>
  </w:footnote>
  <w:footnote w:id="5367">
    <w:p w14:paraId="0587915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י׳ ע״ב.</w:t>
      </w:r>
    </w:p>
  </w:footnote>
  <w:footnote w:id="5368">
    <w:p w14:paraId="3CDEC96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התשיעית של נספח ו לעיל – עמ׳ לח–לט.</w:t>
      </w:r>
    </w:p>
  </w:footnote>
  <w:footnote w:id="5369">
    <w:p w14:paraId="49E28E93"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כתובות ז׳ ע״א.</w:t>
      </w:r>
    </w:p>
  </w:footnote>
  <w:footnote w:id="5370">
    <w:p w14:paraId="138482C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משלי ה, </w:t>
      </w:r>
      <w:proofErr w:type="spellStart"/>
      <w:r>
        <w:rPr>
          <w:sz w:val="20"/>
          <w:szCs w:val="20"/>
          <w:rtl/>
        </w:rPr>
        <w:t>יט</w:t>
      </w:r>
      <w:proofErr w:type="spellEnd"/>
      <w:r>
        <w:rPr>
          <w:sz w:val="20"/>
          <w:szCs w:val="20"/>
          <w:rtl/>
        </w:rPr>
        <w:t>.</w:t>
      </w:r>
    </w:p>
  </w:footnote>
  <w:footnote w:id="5371">
    <w:p w14:paraId="5D9A03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על פי סנהדרין פ״ח ע״ב.</w:t>
      </w:r>
    </w:p>
  </w:footnote>
  <w:footnote w:id="5372">
    <w:p w14:paraId="787CA5B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41–42.</w:t>
      </w:r>
    </w:p>
  </w:footnote>
  <w:footnote w:id="5373">
    <w:p w14:paraId="60EE3F0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הראשונה של נספח ו לעיל – כרך 2, עמ׳ 190.</w:t>
      </w:r>
    </w:p>
  </w:footnote>
  <w:footnote w:id="5374">
    <w:p w14:paraId="2EF5294B"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במסירה זו, בכרך 2 של “הרב”, הוחלף בטעות סדר שתי הדרשות. ר׳ חיים קיבל עליו את הרבנות מיד אחרי פטירת אביו באייר, ולכן דרשתו הראשונה הייתה בשבת שובה, שישה חודשים לפני מועד דרשת שבת הגדול. בכרך 1, עמ׳ 129–130, מובא מאותו נכד תיאור הפסקת הדרשות בידי ר׳ חיים בסדר הנכון. אולם הסיבה שניתנת שם להפסקתן מבוססת על צדקותו המופלגת של ר׳ חיים, מסוג אנשי המוסר – ולא על חוסר נטייתו לפעילות רבנית, שהוא נושא נספח זה. כפי שמסופר בכרך 1 של “הרב”, אחרי דרשת שבת שובה “שאל כיצד הוא יכול להוכיח אחרים ולעוררם לשוב בתשובה, אם הוא החוטא הגדול ביותר </w:t>
      </w:r>
      <w:proofErr w:type="spellStart"/>
      <w:r>
        <w:rPr>
          <w:sz w:val="20"/>
          <w:szCs w:val="20"/>
          <w:rtl/>
        </w:rPr>
        <w:t>בבריסק</w:t>
      </w:r>
      <w:proofErr w:type="spellEnd"/>
      <w:r>
        <w:rPr>
          <w:sz w:val="20"/>
          <w:szCs w:val="20"/>
          <w:rtl/>
        </w:rPr>
        <w:t>”; ואחר כך, אחרי דרשת שבת הגדול, שכללה את הפלפול המקובל, “אמר שהוא מצטער על התנהגותו, מפני שבייש יהודים שלא הבינו את הדרשה המורכבת שלו”.</w:t>
      </w:r>
    </w:p>
    <w:p w14:paraId="0E3DE0BD" w14:textId="77777777" w:rsidR="00AB3647" w:rsidRDefault="00000000">
      <w:pPr>
        <w:spacing w:after="0" w:before="0"/>
        <w:jc w:val="both"/>
      </w:pPr>
      <w:r>
        <w:rPr>
          <w:sz w:val="20"/>
          <w:szCs w:val="20"/>
          <w:rtl/>
        </w:rPr>
        <w:t xml:space="preserve">השווה גם פרק 3, הערה 135, שם מובאים דברי אבי שבזכות כוח ההסברה של ר׳ חיים יכלו אפילו מי שמיעטו ללמוד להבין את פלפולו. אומנם אבי התכוון במפורש לדרשה הראשונה שנשא ר׳ חיים </w:t>
      </w:r>
      <w:proofErr w:type="spellStart"/>
      <w:r>
        <w:rPr>
          <w:sz w:val="20"/>
          <w:szCs w:val="20"/>
          <w:rtl/>
        </w:rPr>
        <w:t>בבריסק</w:t>
      </w:r>
      <w:proofErr w:type="spellEnd"/>
      <w:r>
        <w:rPr>
          <w:sz w:val="20"/>
          <w:szCs w:val="20"/>
          <w:rtl/>
        </w:rPr>
        <w:t>, אבל מה שאמר על כוח ההסברה שלו נכון כמובן באותה מידה גם לדרשתו השנייה. ייתכן שמספר קטן מאוד לא הצליח לעקוב אחרי מהלכו של ר׳ חיים ולא הבין את דבריו; בצדקותו הצטער ר׳ חיים אפילו על מעטים אלה.</w:t>
      </w:r>
    </w:p>
  </w:footnote>
  <w:footnote w:id="5375">
    <w:p w14:paraId="76E378DD"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הפסקה השישית של נספח ב לעיל – כרך 2, עמ׳ 244.</w:t>
      </w:r>
    </w:p>
  </w:footnote>
  <w:footnote w:id="5376">
    <w:p w14:paraId="0FA0BE0F"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כרך 2, עמ׳ 113.</w:t>
      </w:r>
    </w:p>
  </w:footnote>
  <w:footnote w:id="5377">
    <w:p w14:paraId="24A7FE06"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תוכנית זו כנראה לא התממשה לאחר שנישא הצעיר בילדיו, ר׳ יצחק־זאב, בשל פרוץ מלחמת העולם הראשונה.</w:t>
      </w:r>
    </w:p>
  </w:footnote>
  <w:footnote w:id="5378">
    <w:p w14:paraId="5BC8E4F9"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ריאיון מ־26 במאי 1997.</w:t>
      </w:r>
    </w:p>
  </w:footnote>
  <w:footnote w:id="5379">
    <w:p w14:paraId="45051885"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תהלים קמה – ראה ברכות ד׳ ע״ב.</w:t>
      </w:r>
    </w:p>
  </w:footnote>
  <w:footnote w:id="5380">
    <w:p w14:paraId="6F8A8E04"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המקור הנזכר, פרק 4, הפסקה החמישית של נספח ט – עמ׳ 172.</w:t>
      </w:r>
    </w:p>
  </w:footnote>
  <w:footnote w:id="5381">
    <w:p w14:paraId="31771847"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עמ׳ 174–175.</w:t>
      </w:r>
    </w:p>
  </w:footnote>
  <w:footnote w:id="5382">
    <w:p w14:paraId="40EB3A21" w14:textId="77777777" w:rsidR="00AB3647" w:rsidRDefault="00000000">
      <w:pPr>
        <w:spacing w:after="0" w:before="0"/>
        <w:jc w:val="both"/>
      </w:pPr>
      <w:r>
        <w:rPr>
          <w:rStyle w:val="a5"/>
          <w:sz w:val="20"/>
          <w:szCs w:val="20"/>
          <w:vertAlign w:val="baseline"/>
        </w:rPr>
        <w:footnoteRef/>
      </w:r>
      <w:r>
        <w:rPr>
          <w:rStyle w:val="a5"/>
          <w:sz w:val="20"/>
          <w:szCs w:val="20"/>
          <w:vertAlign w:val="baseline"/>
          <w:rtl/>
        </w:rPr>
        <w:t xml:space="preserve">. </w:t>
      </w:r>
      <w:r>
        <w:rPr>
          <w:sz w:val="20"/>
          <w:szCs w:val="20"/>
          <w:rtl/>
        </w:rPr>
        <w:t xml:space="preserve">ראה נספח ט לעיל ופרק 3, נספח </w:t>
      </w:r>
      <w:proofErr w:type="spellStart"/>
      <w:r>
        <w:rPr>
          <w:sz w:val="20"/>
          <w:szCs w:val="20"/>
          <w:rtl/>
        </w:rPr>
        <w:t>יב</w:t>
      </w:r>
      <w:proofErr w:type="spellEnd"/>
      <w:r>
        <w:rPr>
          <w:sz w:val="20"/>
          <w:szCs w:val="20"/>
          <w:rtl/>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3B67A7C"/>
    <w:multiLevelType w:val="hybridMultilevel"/>
    <w:tmpl w:val="99EC759C"/>
    <w:lvl w:ilvl="0" w:tplc="5F9091D6">
      <w:start w:val="1"/>
      <w:numFmt w:val="bullet"/>
      <w:lvlText w:val="●"/>
      <w:lvlJc w:val="left"/>
      <w:pPr>
        <w:ind w:left="720" w:hanging="360"/>
      </w:pPr>
    </w:lvl>
    <w:lvl w:ilvl="1" w:tplc="3080219C">
      <w:start w:val="1"/>
      <w:numFmt w:val="bullet"/>
      <w:lvlText w:val="○"/>
      <w:lvlJc w:val="left"/>
      <w:pPr>
        <w:ind w:left="1440" w:hanging="360"/>
      </w:pPr>
    </w:lvl>
    <w:lvl w:ilvl="2" w:tplc="D18C5E32">
      <w:start w:val="1"/>
      <w:numFmt w:val="bullet"/>
      <w:lvlText w:val="■"/>
      <w:lvlJc w:val="left"/>
      <w:pPr>
        <w:ind w:left="2160" w:hanging="360"/>
      </w:pPr>
    </w:lvl>
    <w:lvl w:ilvl="3" w:tplc="2E7CD45C">
      <w:start w:val="1"/>
      <w:numFmt w:val="bullet"/>
      <w:lvlText w:val="●"/>
      <w:lvlJc w:val="left"/>
      <w:pPr>
        <w:ind w:left="2880" w:hanging="360"/>
      </w:pPr>
    </w:lvl>
    <w:lvl w:ilvl="4" w:tplc="810E9C68">
      <w:start w:val="1"/>
      <w:numFmt w:val="bullet"/>
      <w:lvlText w:val="○"/>
      <w:lvlJc w:val="left"/>
      <w:pPr>
        <w:ind w:left="3600" w:hanging="360"/>
      </w:pPr>
    </w:lvl>
    <w:lvl w:ilvl="5" w:tplc="AB544C30">
      <w:start w:val="1"/>
      <w:numFmt w:val="bullet"/>
      <w:lvlText w:val="■"/>
      <w:lvlJc w:val="left"/>
      <w:pPr>
        <w:ind w:left="4320" w:hanging="360"/>
      </w:pPr>
    </w:lvl>
    <w:lvl w:ilvl="6" w:tplc="212CFE56">
      <w:start w:val="1"/>
      <w:numFmt w:val="bullet"/>
      <w:lvlText w:val="●"/>
      <w:lvlJc w:val="left"/>
      <w:pPr>
        <w:ind w:left="5040" w:hanging="360"/>
      </w:pPr>
    </w:lvl>
    <w:lvl w:ilvl="7" w:tplc="B6628068">
      <w:start w:val="1"/>
      <w:numFmt w:val="bullet"/>
      <w:lvlText w:val="●"/>
      <w:lvlJc w:val="left"/>
      <w:pPr>
        <w:ind w:left="5760" w:hanging="360"/>
      </w:pPr>
    </w:lvl>
    <w:lvl w:ilvl="8" w:tplc="7B643E04">
      <w:start w:val="1"/>
      <w:numFmt w:val="bullet"/>
      <w:lvlText w:val="●"/>
      <w:lvlJc w:val="left"/>
      <w:pPr>
        <w:ind w:left="6480" w:hanging="360"/>
      </w:pPr>
    </w:lvl>
  </w:abstractNum>
  <w:num w:numId="1" w16cid:durableId="365178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pos w:val="pageBottom"/>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3647"/>
    <w:rsid w:val="007923E9"/>
    <w:rsid w:val="007A449E"/>
    <w:rsid w:val="00926D2B"/>
    <w:rsid w:val="00966D6A"/>
    <w:rsid w:val="00AB3647"/>
    <w:rsid w:val="00AB485B"/>
    <w:rsid w:val="00C3469C"/>
    <w:rsid w:val="00EE1289"/>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4A3ED"/>
  <w15:docId w15:val="{54420818-9FBA-4128-81F9-71838819BB9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FrankRuehl" w:eastAsia="FrankRuehl" w:hAnsi="FrankRuehl" w:cs="FrankRuehl"/>
        <w:sz w:val="26"/>
        <w:szCs w:val="26"/>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uiPriority w:val="9"/>
    <w:qFormat/>
    <w:pPr>
      <w:keepNext/>
      <w:bidi/>
      <w:spacing w:before="600" w:after="360"/>
      <w:jc w:val="center"/>
      <w:outlineLvl w:val="0"/>
    </w:pPr>
    <w:rPr>
      <w:b/>
      <w:bCs/>
      <w:color w:val="000000"/>
      <w:sz w:val="36"/>
      <w:szCs w:val="36"/>
      <w:rtl/>
    </w:rPr>
  </w:style>
  <w:style w:type="paragraph" w:styleId="2">
    <w:name w:val="heading 2"/>
    <w:uiPriority w:val="9"/>
    <w:unhideWhenUsed/>
    <w:qFormat/>
    <w:pPr>
      <w:keepNext/>
      <w:bidi/>
      <w:spacing w:before="480" w:after="240"/>
      <w:jc w:val="center"/>
      <w:outlineLvl w:val="1"/>
    </w:pPr>
    <w:rPr>
      <w:b/>
      <w:bCs/>
      <w:color w:val="000000"/>
      <w:sz w:val="28"/>
      <w:szCs w:val="28"/>
      <w:rtl/>
    </w:rPr>
  </w:style>
  <w:style w:type="paragraph" w:styleId="3">
    <w:name w:val="heading 3"/>
    <w:uiPriority w:val="9"/>
    <w:unhideWhenUsed/>
    <w:qFormat/>
    <w:pPr>
      <w:keepNext/>
      <w:pageBreakBefore/>
      <w:pBdr>
        <w:bottom w:val="single" w:sz="8" w:space="6" w:color="7F7F7F"/>
      </w:pBdr>
      <w:bidi/>
      <w:spacing w:after="160"/>
      <w:jc w:val="center"/>
      <w:outlineLvl w:val="2"/>
    </w:pPr>
    <w:rPr>
      <w:b/>
      <w:bCs/>
      <w:color w:val="1F1F1F"/>
      <w:sz w:val="44"/>
      <w:szCs w:val="28"/>
      <w:rtl/>
    </w:rPr>
  </w:style>
  <w:style w:type="paragraph" w:styleId="4">
    <w:name w:val="heading 4"/>
    <w:uiPriority w:val="9"/>
    <w:unhideWhenUsed/>
    <w:qFormat/>
    <w:pPr>
      <w:keepNext/>
      <w:bidi/>
      <w:spacing w:before="360" w:after="60"/>
      <w:jc w:val="center"/>
      <w:outlineLvl w:val="3"/>
    </w:pPr>
    <w:rPr>
      <w:b/>
      <w:bCs/>
      <w:color w:val="7F7F7F"/>
      <w:sz w:val="20"/>
      <w:rtl/>
    </w:rPr>
  </w:style>
  <w:style w:type="paragraph" w:styleId="5">
    <w:name w:val="heading 5"/>
    <w:uiPriority w:val="9"/>
    <w:unhideWhenUsed/>
    <w:qFormat/>
    <w:pPr>
      <w:keepNext/>
      <w:shd w:val="clear" w:color="auto" w:fill="F2F2F2"/>
      <w:bidi/>
      <w:spacing w:before="40" w:after="200"/>
      <w:ind w:left="283" w:right="283"/>
      <w:jc w:val="both"/>
      <w:outlineLvl w:val="4"/>
    </w:pPr>
    <w:rPr>
      <w:color w:val="404040"/>
      <w:sz w:val="22"/>
      <w:szCs w:val="22"/>
      <w:rtl/>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חזק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a7"/>
    <w:uiPriority w:val="99"/>
    <w:semiHidden/>
    <w:unhideWhenUsed/>
    <w:rPr>
      <w:sz w:val="20"/>
      <w:szCs w:val="20"/>
    </w:rPr>
  </w:style>
  <w:style w:type="character" w:customStyle="1" w:styleId="a7">
    <w:name w:val="טקסט הערת שוליים תו"/>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aa"/>
    <w:uiPriority w:val="99"/>
    <w:semiHidden/>
    <w:unhideWhenUsed/>
    <w:rPr>
      <w:sz w:val="20"/>
      <w:szCs w:val="20"/>
    </w:rPr>
  </w:style>
  <w:style w:type="character" w:customStyle="1" w:styleId="aa">
    <w:name w:val="טקסט הערת סיום תו"/>
    <w:link w:val="a9"/>
    <w:uiPriority w:val="99"/>
    <w:semiHidden/>
    <w:unhideWhenUsed/>
    <w:rPr>
      <w:sz w:val="20"/>
      <w:szCs w:val="20"/>
    </w:rPr>
  </w:style>
  <w:style w:type="paragraph" w:styleId="ab">
    <w:name w:val="annotation text"/>
    <w:basedOn w:val="a"/>
    <w:link w:val="ac"/>
    <w:uiPriority w:val="99"/>
    <w:semiHidden/>
    <w:unhideWhenUsed/>
    <w:rPr>
      <w:sz w:val="20"/>
      <w:szCs w:val="20"/>
    </w:rPr>
  </w:style>
  <w:style w:type="character" w:customStyle="1" w:styleId="ac">
    <w:name w:val="טקסט הערה תו"/>
    <w:basedOn w:val="a0"/>
    <w:link w:val="ab"/>
    <w:uiPriority w:val="99"/>
    <w:semiHidden/>
    <w:rPr>
      <w:sz w:val="20"/>
      <w:szCs w:val="20"/>
    </w:rPr>
  </w:style>
  <w:style w:type="character" w:styleId="ad">
    <w:name w:val="annotation reference"/>
    <w:basedOn w:val="a0"/>
    <w:uiPriority w:val="99"/>
    <w:semiHidden/>
    <w:unhideWhenUsed/>
    <w:rPr>
      <w:sz w:val="16"/>
      <w:szCs w:val="16"/>
    </w:rPr>
  </w:style>
  <w:style w:type="paragraph" w:customStyle="1" w:styleId="ae">
    <w:name w:val="תווית פרק"/>
    <w:basedOn w:val="a"/>
    <w:next w:val="a"/>
    <w:qFormat/>
    <w:pPr>
      <w:spacing w:before="1800" w:after="120"/>
      <w:jc w:val="center"/>
    </w:pPr>
    <w:rPr>
      <w:sz w:val="28"/>
      <w:szCs w:val="28"/>
      <w:rtl/>
    </w:rPr>
  </w:style>
  <w:style w:type="paragraph" w:customStyle="1" w:styleId="af">
    <w:name w:val="נושא נספח"/>
    <w:basedOn w:val="a"/>
    <w:next w:val="a"/>
    <w:qFormat/>
    <w:pPr>
      <w:keepNext/>
      <w:spacing w:after="280"/>
      <w:jc w:val="center"/>
    </w:pPr>
    <w:rPr>
      <w:i/>
      <w:color w:val="404040"/>
      <w:szCs w:val="22"/>
      <w:rtl/>
    </w:rPr>
  </w:style>
  <w:style w:type="paragraph" w:customStyle="1" w:styleId="af0">
    <w:name w:val="חזרה להערה"/>
    <w:basedOn w:val="a"/>
    <w:next w:val="a"/>
    <w:qFormat/>
    <w:pPr>
      <w:keepNext/>
      <w:spacing w:after="200" w:line="300" w:lineRule="auto"/>
      <w:ind w:firstLine="340"/>
      <w:jc w:val="center"/>
    </w:pPr>
    <w:rPr>
      <w:rtl/>
    </w:rPr>
  </w:style>
  <w:style w:type="paragraph" w:customStyle="1" w:styleId="af1">
    <w:name w:val="שיר"/>
    <w:basedOn w:val="a"/>
    <w:next w:val="a"/>
    <w:qFormat/>
    <w:pPr>
      <w:jc w:val="center"/>
    </w:pPr>
    <w:rPr>
      <w:sz w:val="22"/>
      <w:szCs w:val="22"/>
      <w:rtl/>
    </w:rPr>
  </w:style>
  <w:style w:type="paragraph" w:styleId="TOC1">
    <w:name w:val="toc 1"/>
    <w:basedOn w:val="a"/>
    <w:next w:val="a"/>
    <w:qFormat/>
    <w:pPr>
      <w:tabs>
        <w:tab w:val="right" w:leader="dot" w:pos="7470"/>
      </w:tabs>
      <w:spacing w:before="60" w:after="50" w:line="260" w:lineRule="auto"/>
    </w:pPr>
    <w:rPr>
      <w:b/>
      <w:bCs/>
      <w:sz w:val="24"/>
      <w:szCs w:val="24"/>
      <w:rtl/>
    </w:rPr>
  </w:style>
  <w:style w:type="paragraph" w:styleId="TOC2">
    <w:name w:val="toc 2"/>
    <w:basedOn w:val="a"/>
    <w:next w:val="a"/>
    <w:qFormat/>
    <w:pPr>
      <w:tabs>
        <w:tab w:val="right" w:leader="dot" w:pos="7470"/>
      </w:tabs>
      <w:spacing w:after="50" w:line="260" w:lineRule="auto"/>
      <w:ind w:right="260"/>
    </w:pPr>
    <w:rPr>
      <w:sz w:val="22"/>
      <w:szCs w:val="22"/>
      <w:rtl/>
    </w:rPr>
  </w:style>
  <w:style w:type="paragraph" w:styleId="TOC3">
    <w:name w:val="toc 3"/>
    <w:basedOn w:val="a"/>
    <w:next w:val="a"/>
    <w:qFormat/>
    <w:pPr>
      <w:tabs>
        <w:tab w:val="right" w:leader="dot" w:pos="7470"/>
      </w:tabs>
      <w:spacing w:after="50" w:line="260" w:lineRule="auto"/>
      <w:ind w:right="260"/>
    </w:pPr>
    <w:rPr>
      <w:sz w:val="21"/>
      <w:szCs w:val="21"/>
      <w:rtl/>
    </w:rPr>
  </w:style>
  <w:style w:type="character" w:styleId="af2">
    <w:name w:val="Unresolved Mention"/>
    <w:basedOn w:val="a0"/>
    <w:uiPriority w:val="99"/>
    <w:semiHidden/>
    <w:unhideWhenUsed/>
    <w:rsid w:val="0079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7.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oter" Target="footer6.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footer" Target="footer9.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footer" Target="footer8.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474</TotalTime>
  <Pages>943</Pages>
  <Words>288875</Words>
  <Characters>1444375</Characters>
  <Application>Microsoft Office Word</Application>
  <DocSecurity>0</DocSecurity>
  <Lines>12036</Lines>
  <Paragraphs>3459</Paragraphs>
  <ScaleCrop>false</ScaleCrop>
  <HeadingPairs>
    <vt:vector size="2" baseType="variant">
      <vt:variant>
        <vt:lpstr>שם</vt:lpstr>
      </vt:variant>
      <vt:variant>
        <vt:i4>1</vt:i4>
      </vt:variant>
    </vt:vector>
  </HeadingPairs>
  <TitlesOfParts>
    <vt:vector size="1" baseType="lpstr">
      <vt:lpstr>גידולו של גדול – כרך א'</vt:lpstr>
    </vt:vector>
  </TitlesOfParts>
  <Company/>
  <LinksUpToDate>false</LinksUpToDate>
  <CharactersWithSpaces>1729791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גידולו של גדול – כרך א'</dc:title>
  <dc:creator>Claude</dc:creator>
  <cp:lastModifiedBy>User</cp:lastModifiedBy>
  <cp:revision>2</cp:revision>
  <dcterms:created xsi:type="dcterms:W3CDTF">2026-10-07T18:24:00Z</dcterms:created>
  <dcterms:modified xsi:type="dcterms:W3CDTF">2026-10-22T18:53:00Z</dcterms:modified>
</cp:coreProperties>
</file>